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6800" w:rsidRPr="0040172E" w:rsidRDefault="00CA6800" w:rsidP="00CA6800">
      <w:pPr>
        <w:tabs>
          <w:tab w:val="left" w:pos="3119"/>
        </w:tabs>
        <w:ind w:right="4961"/>
        <w:jc w:val="both"/>
        <w:rPr>
          <w:sz w:val="28"/>
          <w:szCs w:val="28"/>
        </w:rPr>
      </w:pPr>
    </w:p>
    <w:p w:rsidR="00CA6800" w:rsidRPr="0040172E" w:rsidRDefault="00CA6800" w:rsidP="00CA6800">
      <w:pPr>
        <w:tabs>
          <w:tab w:val="left" w:pos="3119"/>
        </w:tabs>
        <w:ind w:right="4961"/>
        <w:jc w:val="both"/>
        <w:rPr>
          <w:sz w:val="28"/>
          <w:szCs w:val="28"/>
        </w:rPr>
      </w:pPr>
    </w:p>
    <w:p w:rsidR="00CA6800" w:rsidRPr="0040172E" w:rsidRDefault="00CA6800" w:rsidP="00CA6800">
      <w:pPr>
        <w:tabs>
          <w:tab w:val="left" w:pos="3119"/>
        </w:tabs>
        <w:ind w:right="4961"/>
        <w:jc w:val="both"/>
        <w:rPr>
          <w:sz w:val="28"/>
          <w:szCs w:val="28"/>
        </w:rPr>
      </w:pPr>
    </w:p>
    <w:p w:rsidR="00CA6800" w:rsidRPr="0040172E" w:rsidRDefault="00CA6800" w:rsidP="00CA6800">
      <w:pPr>
        <w:tabs>
          <w:tab w:val="left" w:pos="3119"/>
        </w:tabs>
        <w:ind w:right="4961"/>
        <w:jc w:val="both"/>
        <w:rPr>
          <w:sz w:val="28"/>
          <w:szCs w:val="28"/>
        </w:rPr>
      </w:pPr>
    </w:p>
    <w:p w:rsidR="00CA6800" w:rsidRPr="0040172E" w:rsidRDefault="00CA6800" w:rsidP="00CA6800">
      <w:pPr>
        <w:tabs>
          <w:tab w:val="left" w:pos="3119"/>
        </w:tabs>
        <w:ind w:right="4961"/>
        <w:jc w:val="both"/>
        <w:rPr>
          <w:sz w:val="28"/>
          <w:szCs w:val="28"/>
        </w:rPr>
      </w:pPr>
    </w:p>
    <w:p w:rsidR="00CA6800" w:rsidRPr="0040172E" w:rsidRDefault="00CA6800" w:rsidP="00CA6800">
      <w:pPr>
        <w:tabs>
          <w:tab w:val="left" w:pos="3119"/>
        </w:tabs>
        <w:ind w:right="4961"/>
        <w:jc w:val="both"/>
        <w:rPr>
          <w:sz w:val="28"/>
          <w:szCs w:val="28"/>
        </w:rPr>
      </w:pPr>
    </w:p>
    <w:p w:rsidR="00CA6800" w:rsidRPr="0040172E" w:rsidRDefault="00CA6800" w:rsidP="00CA6800">
      <w:pPr>
        <w:tabs>
          <w:tab w:val="left" w:pos="3119"/>
        </w:tabs>
        <w:ind w:right="4961"/>
        <w:jc w:val="both"/>
        <w:rPr>
          <w:sz w:val="28"/>
          <w:szCs w:val="28"/>
        </w:rPr>
      </w:pPr>
    </w:p>
    <w:p w:rsidR="00CA6800" w:rsidRPr="0040172E" w:rsidRDefault="00CA6800" w:rsidP="00CA6800">
      <w:pPr>
        <w:tabs>
          <w:tab w:val="left" w:pos="3119"/>
        </w:tabs>
        <w:ind w:right="4961"/>
        <w:jc w:val="both"/>
        <w:rPr>
          <w:sz w:val="28"/>
          <w:szCs w:val="28"/>
        </w:rPr>
      </w:pPr>
    </w:p>
    <w:p w:rsidR="00CA6800" w:rsidRPr="0040172E" w:rsidRDefault="00CA6800" w:rsidP="00CA6800">
      <w:pPr>
        <w:tabs>
          <w:tab w:val="left" w:pos="3119"/>
        </w:tabs>
        <w:ind w:right="4961"/>
        <w:jc w:val="both"/>
        <w:rPr>
          <w:sz w:val="28"/>
          <w:szCs w:val="28"/>
        </w:rPr>
      </w:pPr>
    </w:p>
    <w:p w:rsidR="00CA6800" w:rsidRPr="0040172E" w:rsidRDefault="00CA6800" w:rsidP="00CA6800">
      <w:pPr>
        <w:tabs>
          <w:tab w:val="left" w:pos="3119"/>
        </w:tabs>
        <w:ind w:right="4961"/>
        <w:jc w:val="both"/>
        <w:rPr>
          <w:sz w:val="28"/>
          <w:szCs w:val="28"/>
        </w:rPr>
      </w:pPr>
    </w:p>
    <w:p w:rsidR="00CA6800" w:rsidRPr="0040172E" w:rsidRDefault="00CA6800" w:rsidP="00CA6800">
      <w:pPr>
        <w:tabs>
          <w:tab w:val="left" w:pos="3119"/>
        </w:tabs>
        <w:ind w:right="4961"/>
        <w:jc w:val="both"/>
        <w:rPr>
          <w:sz w:val="28"/>
          <w:szCs w:val="28"/>
        </w:rPr>
      </w:pPr>
    </w:p>
    <w:p w:rsidR="00CA6800" w:rsidRPr="0040172E" w:rsidRDefault="00CA6800" w:rsidP="00CA6800">
      <w:pPr>
        <w:tabs>
          <w:tab w:val="left" w:pos="3119"/>
        </w:tabs>
        <w:ind w:right="4961"/>
        <w:jc w:val="both"/>
        <w:rPr>
          <w:sz w:val="28"/>
          <w:szCs w:val="28"/>
        </w:rPr>
      </w:pPr>
    </w:p>
    <w:p w:rsidR="00CA6800" w:rsidRPr="0040172E" w:rsidRDefault="00CA6800" w:rsidP="00CA6800">
      <w:pPr>
        <w:tabs>
          <w:tab w:val="left" w:pos="3119"/>
        </w:tabs>
        <w:ind w:right="4961"/>
        <w:jc w:val="both"/>
        <w:rPr>
          <w:sz w:val="28"/>
          <w:szCs w:val="28"/>
        </w:rPr>
      </w:pPr>
    </w:p>
    <w:p w:rsidR="00CA6800" w:rsidRPr="00577477" w:rsidRDefault="00CA6800" w:rsidP="0040172E">
      <w:pPr>
        <w:tabs>
          <w:tab w:val="left" w:pos="3119"/>
        </w:tabs>
        <w:ind w:right="5160"/>
        <w:jc w:val="both"/>
        <w:rPr>
          <w:sz w:val="28"/>
          <w:szCs w:val="28"/>
        </w:rPr>
      </w:pPr>
      <w:r w:rsidRPr="00577477">
        <w:rPr>
          <w:sz w:val="28"/>
          <w:szCs w:val="28"/>
        </w:rPr>
        <w:t>О внесении изменени</w:t>
      </w:r>
      <w:r w:rsidR="00926017" w:rsidRPr="00577477">
        <w:rPr>
          <w:sz w:val="28"/>
          <w:szCs w:val="28"/>
        </w:rPr>
        <w:t>я</w:t>
      </w:r>
      <w:r w:rsidRPr="00577477">
        <w:rPr>
          <w:sz w:val="28"/>
          <w:szCs w:val="28"/>
        </w:rPr>
        <w:t xml:space="preserve"> в региональную программу </w:t>
      </w:r>
      <w:r w:rsidR="002F7358" w:rsidRPr="00577477">
        <w:rPr>
          <w:sz w:val="28"/>
          <w:szCs w:val="28"/>
        </w:rPr>
        <w:t>«</w:t>
      </w:r>
      <w:r w:rsidRPr="00577477">
        <w:rPr>
          <w:sz w:val="28"/>
          <w:szCs w:val="28"/>
        </w:rPr>
        <w:t xml:space="preserve">Борьба </w:t>
      </w:r>
      <w:r w:rsidRPr="00577477">
        <w:rPr>
          <w:rFonts w:eastAsia="Calibri"/>
          <w:sz w:val="28"/>
          <w:szCs w:val="28"/>
          <w:lang w:eastAsia="en-US"/>
        </w:rPr>
        <w:t xml:space="preserve">с онкологическими заболеваниями </w:t>
      </w:r>
      <w:r w:rsidRPr="00577477">
        <w:rPr>
          <w:sz w:val="28"/>
          <w:szCs w:val="28"/>
        </w:rPr>
        <w:t>в Республике Татарстан</w:t>
      </w:r>
      <w:r w:rsidR="002F7358" w:rsidRPr="00577477">
        <w:rPr>
          <w:sz w:val="28"/>
          <w:szCs w:val="28"/>
        </w:rPr>
        <w:t>»</w:t>
      </w:r>
      <w:r w:rsidRPr="00577477">
        <w:rPr>
          <w:sz w:val="28"/>
          <w:szCs w:val="28"/>
        </w:rPr>
        <w:t xml:space="preserve">, утвержденную постановлением Кабинета Министров Республики Татарстан от 17.06.2024 № 432 </w:t>
      </w:r>
      <w:r w:rsidR="002F7358" w:rsidRPr="00577477">
        <w:rPr>
          <w:sz w:val="28"/>
          <w:szCs w:val="28"/>
        </w:rPr>
        <w:t>«</w:t>
      </w:r>
      <w:r w:rsidRPr="00577477">
        <w:rPr>
          <w:sz w:val="28"/>
          <w:szCs w:val="28"/>
        </w:rPr>
        <w:t xml:space="preserve">Об утверждении региональной программы </w:t>
      </w:r>
      <w:r w:rsidR="002F7358" w:rsidRPr="00577477">
        <w:rPr>
          <w:rFonts w:eastAsia="Calibri"/>
          <w:color w:val="000000"/>
          <w:sz w:val="28"/>
          <w:szCs w:val="28"/>
        </w:rPr>
        <w:t>«</w:t>
      </w:r>
      <w:r w:rsidRPr="00577477">
        <w:rPr>
          <w:rFonts w:eastAsia="Calibri"/>
          <w:color w:val="000000"/>
          <w:sz w:val="28"/>
          <w:szCs w:val="28"/>
        </w:rPr>
        <w:t xml:space="preserve">Борьба </w:t>
      </w:r>
      <w:r w:rsidRPr="00577477">
        <w:rPr>
          <w:rFonts w:eastAsia="Calibri"/>
          <w:sz w:val="28"/>
          <w:szCs w:val="28"/>
          <w:lang w:eastAsia="en-US"/>
        </w:rPr>
        <w:t>с онкологическими заболеваниями</w:t>
      </w:r>
      <w:r w:rsidRPr="00577477">
        <w:rPr>
          <w:sz w:val="28"/>
          <w:szCs w:val="28"/>
        </w:rPr>
        <w:t xml:space="preserve"> в Республике </w:t>
      </w:r>
      <w:r w:rsidR="0040172E" w:rsidRPr="00577477">
        <w:rPr>
          <w:sz w:val="28"/>
          <w:szCs w:val="28"/>
        </w:rPr>
        <w:br/>
      </w:r>
      <w:r w:rsidRPr="00577477">
        <w:rPr>
          <w:sz w:val="28"/>
          <w:szCs w:val="28"/>
        </w:rPr>
        <w:t>Татарстан</w:t>
      </w:r>
      <w:r w:rsidR="002F7358" w:rsidRPr="00577477">
        <w:rPr>
          <w:rFonts w:eastAsia="Calibri"/>
          <w:color w:val="000000"/>
          <w:sz w:val="28"/>
          <w:szCs w:val="28"/>
        </w:rPr>
        <w:t>»</w:t>
      </w:r>
    </w:p>
    <w:p w:rsidR="00CA6800" w:rsidRPr="00577477" w:rsidRDefault="00CA6800" w:rsidP="00CA6800">
      <w:pPr>
        <w:rPr>
          <w:sz w:val="28"/>
          <w:szCs w:val="28"/>
        </w:rPr>
      </w:pPr>
    </w:p>
    <w:p w:rsidR="0040172E" w:rsidRPr="00577477" w:rsidRDefault="0040172E" w:rsidP="00CA6800">
      <w:pPr>
        <w:rPr>
          <w:sz w:val="28"/>
          <w:szCs w:val="28"/>
        </w:rPr>
      </w:pPr>
    </w:p>
    <w:p w:rsidR="00CA6800" w:rsidRPr="00577477" w:rsidRDefault="00CA6800" w:rsidP="00CA6800">
      <w:pPr>
        <w:ind w:firstLine="709"/>
        <w:rPr>
          <w:sz w:val="28"/>
          <w:szCs w:val="28"/>
        </w:rPr>
      </w:pPr>
      <w:r w:rsidRPr="00577477">
        <w:rPr>
          <w:sz w:val="28"/>
          <w:szCs w:val="28"/>
        </w:rPr>
        <w:t>Кабинет Министров Республики Татарстан ПОСТАНОВЛЯЕТ:</w:t>
      </w:r>
    </w:p>
    <w:p w:rsidR="00CA6800" w:rsidRPr="00577477" w:rsidRDefault="00CA6800" w:rsidP="00CA6800">
      <w:pPr>
        <w:ind w:firstLine="709"/>
        <w:rPr>
          <w:sz w:val="28"/>
          <w:szCs w:val="28"/>
        </w:rPr>
      </w:pPr>
    </w:p>
    <w:p w:rsidR="00CA6800" w:rsidRPr="00577477" w:rsidRDefault="00891819" w:rsidP="00CA6800">
      <w:pPr>
        <w:ind w:firstLine="709"/>
        <w:jc w:val="both"/>
        <w:rPr>
          <w:sz w:val="28"/>
          <w:szCs w:val="28"/>
        </w:rPr>
      </w:pPr>
      <w:r w:rsidRPr="00577477">
        <w:rPr>
          <w:sz w:val="28"/>
          <w:szCs w:val="28"/>
        </w:rPr>
        <w:t>Внести в р</w:t>
      </w:r>
      <w:r w:rsidR="00CA6800" w:rsidRPr="00577477">
        <w:rPr>
          <w:sz w:val="28"/>
          <w:szCs w:val="28"/>
        </w:rPr>
        <w:t xml:space="preserve">егиональную программу </w:t>
      </w:r>
      <w:r w:rsidR="002F7358" w:rsidRPr="00577477">
        <w:rPr>
          <w:sz w:val="28"/>
          <w:szCs w:val="28"/>
        </w:rPr>
        <w:t>«</w:t>
      </w:r>
      <w:r w:rsidR="00CA6800" w:rsidRPr="00577477">
        <w:rPr>
          <w:rFonts w:eastAsia="Calibri"/>
          <w:color w:val="000000"/>
          <w:sz w:val="28"/>
          <w:szCs w:val="28"/>
        </w:rPr>
        <w:t xml:space="preserve">Борьба </w:t>
      </w:r>
      <w:r w:rsidR="00CA6800" w:rsidRPr="00577477">
        <w:rPr>
          <w:rFonts w:eastAsia="Calibri"/>
          <w:sz w:val="28"/>
          <w:szCs w:val="28"/>
          <w:lang w:eastAsia="en-US"/>
        </w:rPr>
        <w:t xml:space="preserve">с онкологическими заболеваниями </w:t>
      </w:r>
      <w:r w:rsidR="00CA6800" w:rsidRPr="00577477">
        <w:rPr>
          <w:sz w:val="28"/>
          <w:szCs w:val="28"/>
        </w:rPr>
        <w:t>в Республике Татарстан</w:t>
      </w:r>
      <w:r w:rsidR="002F7358" w:rsidRPr="00577477">
        <w:rPr>
          <w:sz w:val="28"/>
          <w:szCs w:val="28"/>
        </w:rPr>
        <w:t>»</w:t>
      </w:r>
      <w:r w:rsidR="00CA6800" w:rsidRPr="00577477">
        <w:rPr>
          <w:sz w:val="28"/>
          <w:szCs w:val="28"/>
        </w:rPr>
        <w:t xml:space="preserve">, утвержденную постановлением Кабинета Министров Республики Татарстан от 17.06.2024 № 432 </w:t>
      </w:r>
      <w:r w:rsidR="002F7358" w:rsidRPr="00577477">
        <w:rPr>
          <w:sz w:val="28"/>
          <w:szCs w:val="28"/>
        </w:rPr>
        <w:t>«</w:t>
      </w:r>
      <w:r w:rsidR="00CA6800" w:rsidRPr="00577477">
        <w:rPr>
          <w:sz w:val="28"/>
          <w:szCs w:val="28"/>
        </w:rPr>
        <w:t xml:space="preserve">Об утверждении региональной программы </w:t>
      </w:r>
      <w:r w:rsidR="002F7358" w:rsidRPr="00577477">
        <w:rPr>
          <w:sz w:val="28"/>
          <w:szCs w:val="28"/>
        </w:rPr>
        <w:t>«</w:t>
      </w:r>
      <w:r w:rsidR="00CA6800" w:rsidRPr="00577477">
        <w:rPr>
          <w:rFonts w:eastAsia="Calibri"/>
          <w:color w:val="000000"/>
          <w:sz w:val="28"/>
          <w:szCs w:val="28"/>
        </w:rPr>
        <w:t xml:space="preserve">Борьба </w:t>
      </w:r>
      <w:r w:rsidR="00CA6800" w:rsidRPr="00577477">
        <w:rPr>
          <w:rFonts w:eastAsia="Calibri"/>
          <w:sz w:val="28"/>
          <w:szCs w:val="28"/>
          <w:lang w:eastAsia="en-US"/>
        </w:rPr>
        <w:t>с онкологическими заболеваниями</w:t>
      </w:r>
      <w:r w:rsidR="00CA6800" w:rsidRPr="00577477">
        <w:rPr>
          <w:sz w:val="28"/>
          <w:szCs w:val="28"/>
        </w:rPr>
        <w:t xml:space="preserve"> в Республике Татарстан</w:t>
      </w:r>
      <w:r w:rsidR="002F7358" w:rsidRPr="00577477">
        <w:rPr>
          <w:sz w:val="28"/>
          <w:szCs w:val="28"/>
        </w:rPr>
        <w:t>»</w:t>
      </w:r>
      <w:r w:rsidR="00C85832" w:rsidRPr="00577477">
        <w:rPr>
          <w:sz w:val="28"/>
          <w:szCs w:val="28"/>
        </w:rPr>
        <w:t xml:space="preserve"> </w:t>
      </w:r>
      <w:r w:rsidR="00C85832" w:rsidRPr="00577477">
        <w:rPr>
          <w:color w:val="000000" w:themeColor="text1"/>
          <w:sz w:val="28"/>
          <w:szCs w:val="28"/>
        </w:rPr>
        <w:t>(с изменениями, внесенными постановлени</w:t>
      </w:r>
      <w:r w:rsidR="00F74A3C" w:rsidRPr="00577477">
        <w:rPr>
          <w:color w:val="000000" w:themeColor="text1"/>
          <w:sz w:val="28"/>
          <w:szCs w:val="28"/>
        </w:rPr>
        <w:t>ями</w:t>
      </w:r>
      <w:r w:rsidR="00C85832" w:rsidRPr="00577477">
        <w:rPr>
          <w:color w:val="000000" w:themeColor="text1"/>
          <w:sz w:val="28"/>
          <w:szCs w:val="28"/>
        </w:rPr>
        <w:t xml:space="preserve"> Кабинета Министров Республики Татарстан от 30.06.2025 № 475, </w:t>
      </w:r>
      <w:r w:rsidR="00F74A3C" w:rsidRPr="00577477">
        <w:rPr>
          <w:color w:val="000000" w:themeColor="text1"/>
          <w:sz w:val="28"/>
          <w:szCs w:val="28"/>
        </w:rPr>
        <w:t>от 30.12.2025 № 1207</w:t>
      </w:r>
      <w:r w:rsidR="00C85832" w:rsidRPr="00577477">
        <w:rPr>
          <w:color w:val="000000" w:themeColor="text1"/>
          <w:sz w:val="28"/>
          <w:szCs w:val="28"/>
        </w:rPr>
        <w:t>)</w:t>
      </w:r>
      <w:r w:rsidR="00CA6800" w:rsidRPr="00577477">
        <w:rPr>
          <w:sz w:val="28"/>
          <w:szCs w:val="28"/>
        </w:rPr>
        <w:t xml:space="preserve">, </w:t>
      </w:r>
      <w:r w:rsidRPr="00577477">
        <w:rPr>
          <w:sz w:val="28"/>
          <w:szCs w:val="28"/>
        </w:rPr>
        <w:t xml:space="preserve">изменение, </w:t>
      </w:r>
      <w:r w:rsidR="00CA6800" w:rsidRPr="00577477">
        <w:rPr>
          <w:sz w:val="28"/>
          <w:szCs w:val="28"/>
        </w:rPr>
        <w:t>изложи</w:t>
      </w:r>
      <w:r w:rsidRPr="00577477">
        <w:rPr>
          <w:sz w:val="28"/>
          <w:szCs w:val="28"/>
        </w:rPr>
        <w:t>в ее</w:t>
      </w:r>
      <w:r w:rsidR="00CA6800" w:rsidRPr="00577477">
        <w:rPr>
          <w:sz w:val="28"/>
          <w:szCs w:val="28"/>
        </w:rPr>
        <w:t xml:space="preserve"> в новой редакции (прилагается). </w:t>
      </w:r>
    </w:p>
    <w:p w:rsidR="00CA6800" w:rsidRPr="00577477" w:rsidRDefault="00CA6800" w:rsidP="00CA6800">
      <w:pPr>
        <w:tabs>
          <w:tab w:val="left" w:pos="3119"/>
        </w:tabs>
        <w:ind w:right="5244"/>
        <w:jc w:val="both"/>
        <w:rPr>
          <w:sz w:val="28"/>
          <w:szCs w:val="28"/>
        </w:rPr>
      </w:pPr>
    </w:p>
    <w:p w:rsidR="00CA6800" w:rsidRPr="00577477" w:rsidRDefault="00CA6800" w:rsidP="00CA6800">
      <w:pPr>
        <w:rPr>
          <w:sz w:val="28"/>
          <w:szCs w:val="28"/>
        </w:rPr>
      </w:pPr>
    </w:p>
    <w:p w:rsidR="00CA6800" w:rsidRPr="00577477" w:rsidRDefault="00CA6800" w:rsidP="00CA6800">
      <w:pPr>
        <w:rPr>
          <w:sz w:val="28"/>
          <w:szCs w:val="28"/>
        </w:rPr>
      </w:pPr>
    </w:p>
    <w:p w:rsidR="00CA6800" w:rsidRPr="00577477" w:rsidRDefault="00CA6800" w:rsidP="00CA6800">
      <w:pPr>
        <w:jc w:val="both"/>
        <w:rPr>
          <w:sz w:val="28"/>
          <w:szCs w:val="28"/>
        </w:rPr>
      </w:pPr>
      <w:r w:rsidRPr="00577477">
        <w:rPr>
          <w:sz w:val="28"/>
          <w:szCs w:val="28"/>
        </w:rPr>
        <w:t xml:space="preserve">Премьер-министр </w:t>
      </w:r>
    </w:p>
    <w:p w:rsidR="00CA6800" w:rsidRPr="0040172E" w:rsidRDefault="00CA6800" w:rsidP="00CA6800">
      <w:pPr>
        <w:jc w:val="both"/>
        <w:rPr>
          <w:sz w:val="28"/>
          <w:szCs w:val="28"/>
        </w:rPr>
      </w:pPr>
      <w:r w:rsidRPr="00577477">
        <w:rPr>
          <w:sz w:val="28"/>
          <w:szCs w:val="28"/>
        </w:rPr>
        <w:t xml:space="preserve">Республики Татарстан </w:t>
      </w:r>
      <w:r w:rsidRPr="00577477">
        <w:rPr>
          <w:sz w:val="28"/>
          <w:szCs w:val="28"/>
        </w:rPr>
        <w:tab/>
      </w:r>
      <w:r w:rsidRPr="00577477">
        <w:rPr>
          <w:sz w:val="28"/>
          <w:szCs w:val="28"/>
        </w:rPr>
        <w:tab/>
      </w:r>
      <w:r w:rsidRPr="00577477">
        <w:rPr>
          <w:sz w:val="28"/>
          <w:szCs w:val="28"/>
        </w:rPr>
        <w:tab/>
      </w:r>
      <w:r w:rsidRPr="00577477">
        <w:rPr>
          <w:sz w:val="28"/>
          <w:szCs w:val="28"/>
        </w:rPr>
        <w:tab/>
      </w:r>
      <w:r w:rsidRPr="00577477">
        <w:rPr>
          <w:sz w:val="28"/>
          <w:szCs w:val="28"/>
        </w:rPr>
        <w:tab/>
      </w:r>
      <w:r w:rsidRPr="00577477">
        <w:rPr>
          <w:sz w:val="28"/>
          <w:szCs w:val="28"/>
        </w:rPr>
        <w:tab/>
      </w:r>
      <w:r w:rsidRPr="00577477">
        <w:rPr>
          <w:sz w:val="28"/>
          <w:szCs w:val="28"/>
        </w:rPr>
        <w:tab/>
      </w:r>
      <w:r w:rsidRPr="00577477">
        <w:rPr>
          <w:sz w:val="28"/>
          <w:szCs w:val="28"/>
        </w:rPr>
        <w:tab/>
        <w:t xml:space="preserve">           А.В.Песошин</w:t>
      </w:r>
    </w:p>
    <w:p w:rsidR="00685284" w:rsidRDefault="00685284" w:rsidP="00CA6800">
      <w:pPr>
        <w:jc w:val="both"/>
        <w:rPr>
          <w:sz w:val="28"/>
          <w:szCs w:val="28"/>
        </w:rPr>
      </w:pPr>
    </w:p>
    <w:p w:rsidR="0040172E" w:rsidRDefault="0040172E" w:rsidP="00CA6800">
      <w:pPr>
        <w:jc w:val="both"/>
        <w:rPr>
          <w:sz w:val="28"/>
          <w:szCs w:val="28"/>
        </w:rPr>
      </w:pPr>
    </w:p>
    <w:p w:rsidR="0040172E" w:rsidRDefault="0040172E" w:rsidP="00CA6800">
      <w:pPr>
        <w:jc w:val="both"/>
        <w:rPr>
          <w:sz w:val="28"/>
          <w:szCs w:val="28"/>
        </w:rPr>
      </w:pPr>
    </w:p>
    <w:p w:rsidR="0040172E" w:rsidRPr="0040172E" w:rsidRDefault="0040172E" w:rsidP="00CA6800">
      <w:pPr>
        <w:jc w:val="both"/>
        <w:rPr>
          <w:sz w:val="28"/>
          <w:szCs w:val="28"/>
        </w:rPr>
      </w:pPr>
    </w:p>
    <w:p w:rsidR="00CA6800" w:rsidRPr="0040172E" w:rsidRDefault="00CA6800" w:rsidP="00CA6800">
      <w:pPr>
        <w:jc w:val="both"/>
        <w:rPr>
          <w:color w:val="000000" w:themeColor="text1"/>
          <w:sz w:val="28"/>
          <w:szCs w:val="28"/>
        </w:rPr>
      </w:pPr>
    </w:p>
    <w:p w:rsidR="00CA6800" w:rsidRDefault="00CA6800" w:rsidP="00CA6800">
      <w:pPr>
        <w:jc w:val="center"/>
        <w:rPr>
          <w:color w:val="000000" w:themeColor="text1"/>
          <w:sz w:val="28"/>
          <w:szCs w:val="28"/>
        </w:rPr>
      </w:pPr>
    </w:p>
    <w:p w:rsidR="009E28B2" w:rsidRDefault="009E28B2" w:rsidP="00CA6800">
      <w:pPr>
        <w:jc w:val="center"/>
        <w:rPr>
          <w:color w:val="000000" w:themeColor="text1"/>
          <w:sz w:val="28"/>
          <w:szCs w:val="28"/>
        </w:rPr>
        <w:sectPr w:rsidR="009E28B2" w:rsidSect="0040172E">
          <w:headerReference w:type="default" r:id="rId8"/>
          <w:pgSz w:w="11906" w:h="16838"/>
          <w:pgMar w:top="1134" w:right="567" w:bottom="1134" w:left="1134" w:header="709" w:footer="709" w:gutter="0"/>
          <w:cols w:space="708"/>
          <w:titlePg/>
          <w:docGrid w:linePitch="360"/>
        </w:sectPr>
      </w:pPr>
    </w:p>
    <w:p w:rsidR="00CA6800" w:rsidRPr="00577477" w:rsidRDefault="00CA6800" w:rsidP="003C737D">
      <w:pPr>
        <w:spacing w:line="235" w:lineRule="auto"/>
        <w:ind w:left="6804"/>
        <w:jc w:val="both"/>
        <w:rPr>
          <w:sz w:val="32"/>
          <w:szCs w:val="28"/>
        </w:rPr>
      </w:pPr>
      <w:r w:rsidRPr="00577477">
        <w:rPr>
          <w:sz w:val="28"/>
        </w:rPr>
        <w:lastRenderedPageBreak/>
        <w:t xml:space="preserve">Утверждена </w:t>
      </w:r>
    </w:p>
    <w:p w:rsidR="00CA6800" w:rsidRPr="00577477" w:rsidRDefault="00CA6800" w:rsidP="003C737D">
      <w:pPr>
        <w:spacing w:line="235" w:lineRule="auto"/>
        <w:ind w:left="6804"/>
        <w:jc w:val="both"/>
        <w:rPr>
          <w:sz w:val="28"/>
        </w:rPr>
      </w:pPr>
      <w:r w:rsidRPr="00577477">
        <w:rPr>
          <w:sz w:val="28"/>
        </w:rPr>
        <w:t xml:space="preserve">постановлением </w:t>
      </w:r>
    </w:p>
    <w:p w:rsidR="00CA6800" w:rsidRPr="00577477" w:rsidRDefault="00CA6800" w:rsidP="003C737D">
      <w:pPr>
        <w:spacing w:line="235" w:lineRule="auto"/>
        <w:ind w:left="6804"/>
        <w:jc w:val="both"/>
        <w:rPr>
          <w:sz w:val="28"/>
        </w:rPr>
      </w:pPr>
      <w:r w:rsidRPr="00577477">
        <w:rPr>
          <w:sz w:val="28"/>
        </w:rPr>
        <w:t xml:space="preserve">Кабинета Министров </w:t>
      </w:r>
    </w:p>
    <w:p w:rsidR="00CA6800" w:rsidRPr="00577477" w:rsidRDefault="00CA6800" w:rsidP="003C737D">
      <w:pPr>
        <w:spacing w:line="235" w:lineRule="auto"/>
        <w:ind w:left="6804"/>
        <w:jc w:val="both"/>
        <w:rPr>
          <w:sz w:val="28"/>
        </w:rPr>
      </w:pPr>
      <w:r w:rsidRPr="00577477">
        <w:rPr>
          <w:sz w:val="28"/>
        </w:rPr>
        <w:t xml:space="preserve">Республики Татарстан </w:t>
      </w:r>
    </w:p>
    <w:p w:rsidR="00CA6800" w:rsidRPr="00577477" w:rsidRDefault="003C737D" w:rsidP="003C737D">
      <w:pPr>
        <w:spacing w:line="235" w:lineRule="auto"/>
        <w:ind w:left="6804"/>
        <w:jc w:val="both"/>
        <w:rPr>
          <w:sz w:val="28"/>
        </w:rPr>
      </w:pPr>
      <w:r w:rsidRPr="00577477">
        <w:rPr>
          <w:sz w:val="28"/>
        </w:rPr>
        <w:t>от 17.06.2024 № 432</w:t>
      </w:r>
    </w:p>
    <w:p w:rsidR="003C737D" w:rsidRPr="00577477" w:rsidRDefault="003C737D" w:rsidP="003C737D">
      <w:pPr>
        <w:spacing w:line="235" w:lineRule="auto"/>
        <w:ind w:left="6804"/>
        <w:jc w:val="both"/>
        <w:rPr>
          <w:sz w:val="28"/>
        </w:rPr>
      </w:pPr>
      <w:r w:rsidRPr="00577477">
        <w:rPr>
          <w:sz w:val="28"/>
        </w:rPr>
        <w:t>(в редакции постановления</w:t>
      </w:r>
    </w:p>
    <w:p w:rsidR="003C737D" w:rsidRPr="00577477" w:rsidRDefault="003C737D" w:rsidP="003C737D">
      <w:pPr>
        <w:spacing w:line="235" w:lineRule="auto"/>
        <w:ind w:left="6804"/>
        <w:jc w:val="both"/>
        <w:rPr>
          <w:sz w:val="28"/>
        </w:rPr>
      </w:pPr>
      <w:r w:rsidRPr="00577477">
        <w:rPr>
          <w:sz w:val="28"/>
        </w:rPr>
        <w:t xml:space="preserve">Кабинета Министров </w:t>
      </w:r>
    </w:p>
    <w:p w:rsidR="003C737D" w:rsidRPr="00577477" w:rsidRDefault="003C737D" w:rsidP="003C737D">
      <w:pPr>
        <w:spacing w:line="235" w:lineRule="auto"/>
        <w:ind w:left="6804"/>
        <w:jc w:val="both"/>
        <w:rPr>
          <w:sz w:val="28"/>
        </w:rPr>
      </w:pPr>
      <w:r w:rsidRPr="00577477">
        <w:rPr>
          <w:sz w:val="28"/>
        </w:rPr>
        <w:t xml:space="preserve">Республики Татарстан  </w:t>
      </w:r>
    </w:p>
    <w:p w:rsidR="003C737D" w:rsidRDefault="003C737D" w:rsidP="003C737D">
      <w:pPr>
        <w:spacing w:line="235" w:lineRule="auto"/>
        <w:ind w:left="6804"/>
        <w:jc w:val="both"/>
        <w:rPr>
          <w:sz w:val="28"/>
        </w:rPr>
      </w:pPr>
      <w:r w:rsidRPr="00577477">
        <w:rPr>
          <w:sz w:val="28"/>
        </w:rPr>
        <w:t xml:space="preserve">от </w:t>
      </w:r>
      <w:r w:rsidR="002E141F" w:rsidRPr="00577477">
        <w:rPr>
          <w:sz w:val="28"/>
        </w:rPr>
        <w:t>______ 202</w:t>
      </w:r>
      <w:r w:rsidR="00F74A3C" w:rsidRPr="00577477">
        <w:rPr>
          <w:sz w:val="28"/>
        </w:rPr>
        <w:t>6</w:t>
      </w:r>
      <w:r w:rsidR="002E141F" w:rsidRPr="00577477">
        <w:rPr>
          <w:sz w:val="28"/>
        </w:rPr>
        <w:t xml:space="preserve"> № ______</w:t>
      </w:r>
      <w:r w:rsidRPr="00577477">
        <w:rPr>
          <w:sz w:val="28"/>
        </w:rPr>
        <w:t>)</w:t>
      </w:r>
    </w:p>
    <w:p w:rsidR="00B3442D" w:rsidRPr="003C737D" w:rsidRDefault="00B3442D" w:rsidP="003C737D">
      <w:pPr>
        <w:spacing w:line="235" w:lineRule="auto"/>
        <w:jc w:val="center"/>
        <w:rPr>
          <w:color w:val="000000" w:themeColor="text1"/>
          <w:szCs w:val="28"/>
        </w:rPr>
      </w:pPr>
    </w:p>
    <w:p w:rsidR="00B3442D" w:rsidRPr="00626D49" w:rsidRDefault="00B3442D" w:rsidP="003C737D">
      <w:pPr>
        <w:spacing w:line="235" w:lineRule="auto"/>
        <w:jc w:val="center"/>
        <w:rPr>
          <w:color w:val="000000" w:themeColor="text1"/>
          <w:sz w:val="28"/>
          <w:szCs w:val="28"/>
        </w:rPr>
      </w:pPr>
      <w:r w:rsidRPr="00626D49">
        <w:rPr>
          <w:color w:val="000000" w:themeColor="text1"/>
          <w:sz w:val="28"/>
          <w:szCs w:val="28"/>
        </w:rPr>
        <w:t xml:space="preserve">Региональная программа </w:t>
      </w:r>
    </w:p>
    <w:p w:rsidR="00B3442D" w:rsidRPr="00626D49" w:rsidRDefault="002F7358" w:rsidP="003C737D">
      <w:pPr>
        <w:spacing w:line="235" w:lineRule="auto"/>
        <w:jc w:val="center"/>
        <w:rPr>
          <w:color w:val="000000" w:themeColor="text1"/>
          <w:sz w:val="28"/>
          <w:szCs w:val="28"/>
        </w:rPr>
      </w:pPr>
      <w:r>
        <w:rPr>
          <w:color w:val="000000" w:themeColor="text1"/>
          <w:sz w:val="28"/>
          <w:szCs w:val="28"/>
        </w:rPr>
        <w:t>«</w:t>
      </w:r>
      <w:r w:rsidR="00B3442D" w:rsidRPr="00626D49">
        <w:rPr>
          <w:color w:val="000000" w:themeColor="text1"/>
          <w:sz w:val="28"/>
          <w:szCs w:val="28"/>
        </w:rPr>
        <w:t>Борьба с онкологическими заболеваниями</w:t>
      </w:r>
      <w:r w:rsidR="00CA6800" w:rsidRPr="00CA6800">
        <w:rPr>
          <w:color w:val="000000" w:themeColor="text1"/>
          <w:sz w:val="28"/>
          <w:szCs w:val="28"/>
        </w:rPr>
        <w:t xml:space="preserve"> </w:t>
      </w:r>
      <w:r w:rsidR="00CA6800">
        <w:rPr>
          <w:color w:val="000000" w:themeColor="text1"/>
          <w:sz w:val="28"/>
          <w:szCs w:val="28"/>
        </w:rPr>
        <w:t xml:space="preserve">в </w:t>
      </w:r>
      <w:r w:rsidR="00CA6800" w:rsidRPr="00626D49">
        <w:rPr>
          <w:color w:val="000000" w:themeColor="text1"/>
          <w:sz w:val="28"/>
          <w:szCs w:val="28"/>
        </w:rPr>
        <w:t>Республик</w:t>
      </w:r>
      <w:r w:rsidR="00CA6800">
        <w:rPr>
          <w:color w:val="000000" w:themeColor="text1"/>
          <w:sz w:val="28"/>
          <w:szCs w:val="28"/>
        </w:rPr>
        <w:t>е</w:t>
      </w:r>
      <w:r w:rsidR="00CA6800" w:rsidRPr="00626D49">
        <w:rPr>
          <w:color w:val="000000" w:themeColor="text1"/>
          <w:sz w:val="28"/>
          <w:szCs w:val="28"/>
        </w:rPr>
        <w:t xml:space="preserve"> Татарстан</w:t>
      </w:r>
      <w:r>
        <w:rPr>
          <w:color w:val="000000" w:themeColor="text1"/>
          <w:sz w:val="28"/>
          <w:szCs w:val="28"/>
        </w:rPr>
        <w:t>»</w:t>
      </w:r>
    </w:p>
    <w:p w:rsidR="00B3442D" w:rsidRPr="003C737D" w:rsidRDefault="00B3442D" w:rsidP="003C737D">
      <w:pPr>
        <w:spacing w:line="235" w:lineRule="auto"/>
        <w:jc w:val="center"/>
        <w:rPr>
          <w:color w:val="000000" w:themeColor="text1"/>
          <w:szCs w:val="28"/>
        </w:rPr>
      </w:pPr>
    </w:p>
    <w:p w:rsidR="00A20085" w:rsidRPr="00091230" w:rsidRDefault="00A20085" w:rsidP="003C737D">
      <w:pPr>
        <w:autoSpaceDE/>
        <w:autoSpaceDN/>
        <w:adjustRightInd/>
        <w:spacing w:line="235" w:lineRule="auto"/>
        <w:jc w:val="center"/>
        <w:outlineLvl w:val="0"/>
        <w:rPr>
          <w:rFonts w:eastAsia="Calibri" w:cs="Arial"/>
          <w:bCs/>
          <w:kern w:val="32"/>
          <w:sz w:val="28"/>
          <w:szCs w:val="28"/>
          <w:lang w:eastAsia="en-US"/>
        </w:rPr>
      </w:pPr>
      <w:r w:rsidRPr="00091230">
        <w:rPr>
          <w:rFonts w:eastAsia="Calibri" w:cs="Arial"/>
          <w:bCs/>
          <w:kern w:val="32"/>
          <w:sz w:val="28"/>
          <w:szCs w:val="28"/>
          <w:lang w:eastAsia="en-US"/>
        </w:rPr>
        <w:t xml:space="preserve">Паспорт </w:t>
      </w:r>
      <w:r w:rsidR="005317F0">
        <w:rPr>
          <w:rFonts w:eastAsia="Calibri" w:cs="Arial"/>
          <w:bCs/>
          <w:kern w:val="32"/>
          <w:sz w:val="28"/>
          <w:szCs w:val="28"/>
          <w:lang w:eastAsia="en-US"/>
        </w:rPr>
        <w:t xml:space="preserve">региональной </w:t>
      </w:r>
      <w:r w:rsidRPr="00091230">
        <w:rPr>
          <w:rFonts w:eastAsia="Calibri" w:cs="Arial"/>
          <w:bCs/>
          <w:kern w:val="32"/>
          <w:sz w:val="28"/>
          <w:szCs w:val="28"/>
          <w:lang w:eastAsia="en-US"/>
        </w:rPr>
        <w:t>программы</w:t>
      </w:r>
    </w:p>
    <w:p w:rsidR="00A20085" w:rsidRPr="003C737D" w:rsidRDefault="00A20085" w:rsidP="003C737D">
      <w:pPr>
        <w:autoSpaceDE/>
        <w:autoSpaceDN/>
        <w:adjustRightInd/>
        <w:spacing w:line="235" w:lineRule="auto"/>
        <w:ind w:firstLine="709"/>
        <w:jc w:val="both"/>
        <w:rPr>
          <w:rFonts w:eastAsia="Calibri"/>
          <w:szCs w:val="28"/>
          <w:lang w:eastAsia="en-US"/>
        </w:rPr>
      </w:pPr>
    </w:p>
    <w:tbl>
      <w:tblPr>
        <w:tblW w:w="10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28"/>
        <w:gridCol w:w="7540"/>
      </w:tblGrid>
      <w:tr w:rsidR="00B3442D" w:rsidRPr="00091230" w:rsidTr="0040172E">
        <w:tc>
          <w:tcPr>
            <w:tcW w:w="2628" w:type="dxa"/>
          </w:tcPr>
          <w:p w:rsidR="00B3442D" w:rsidRPr="00091230" w:rsidRDefault="00B3442D" w:rsidP="0040172E">
            <w:pPr>
              <w:ind w:left="-57" w:right="-57"/>
              <w:jc w:val="both"/>
              <w:rPr>
                <w:rFonts w:eastAsia="Calibri"/>
                <w:sz w:val="28"/>
                <w:szCs w:val="28"/>
              </w:rPr>
            </w:pPr>
            <w:r w:rsidRPr="00091230">
              <w:rPr>
                <w:rFonts w:eastAsia="Calibri"/>
                <w:sz w:val="28"/>
                <w:szCs w:val="28"/>
              </w:rPr>
              <w:t xml:space="preserve">Наименование </w:t>
            </w:r>
            <w:r w:rsidR="00CA6800">
              <w:rPr>
                <w:sz w:val="28"/>
                <w:szCs w:val="28"/>
              </w:rPr>
              <w:t>региональной программы</w:t>
            </w:r>
          </w:p>
        </w:tc>
        <w:tc>
          <w:tcPr>
            <w:tcW w:w="7540" w:type="dxa"/>
          </w:tcPr>
          <w:p w:rsidR="00B3442D" w:rsidRPr="00091230" w:rsidRDefault="005317F0" w:rsidP="00CD4158">
            <w:pPr>
              <w:autoSpaceDE/>
              <w:autoSpaceDN/>
              <w:adjustRightInd/>
              <w:jc w:val="both"/>
              <w:rPr>
                <w:rFonts w:eastAsia="Calibri"/>
                <w:sz w:val="28"/>
                <w:szCs w:val="28"/>
                <w:lang w:eastAsia="en-US"/>
              </w:rPr>
            </w:pPr>
            <w:r>
              <w:rPr>
                <w:rFonts w:eastAsia="Calibri"/>
                <w:sz w:val="28"/>
                <w:szCs w:val="28"/>
                <w:lang w:eastAsia="en-US"/>
              </w:rPr>
              <w:t>«</w:t>
            </w:r>
            <w:r w:rsidR="00B3442D" w:rsidRPr="00091230">
              <w:rPr>
                <w:rFonts w:eastAsia="Calibri"/>
                <w:sz w:val="28"/>
                <w:szCs w:val="28"/>
                <w:lang w:eastAsia="en-US"/>
              </w:rPr>
              <w:t>Борьба с онкологическими заболеваниями</w:t>
            </w:r>
            <w:r w:rsidR="00DC60E8">
              <w:rPr>
                <w:rFonts w:eastAsia="Calibri"/>
                <w:sz w:val="28"/>
                <w:szCs w:val="28"/>
                <w:lang w:eastAsia="en-US"/>
              </w:rPr>
              <w:t xml:space="preserve"> в</w:t>
            </w:r>
            <w:r w:rsidR="00CA6800">
              <w:rPr>
                <w:color w:val="000000" w:themeColor="text1"/>
                <w:sz w:val="28"/>
                <w:szCs w:val="28"/>
              </w:rPr>
              <w:t xml:space="preserve"> </w:t>
            </w:r>
            <w:r w:rsidR="00CA6800" w:rsidRPr="00626D49">
              <w:rPr>
                <w:color w:val="000000" w:themeColor="text1"/>
                <w:sz w:val="28"/>
                <w:szCs w:val="28"/>
              </w:rPr>
              <w:t>Республик</w:t>
            </w:r>
            <w:r w:rsidR="00CA6800">
              <w:rPr>
                <w:color w:val="000000" w:themeColor="text1"/>
                <w:sz w:val="28"/>
                <w:szCs w:val="28"/>
              </w:rPr>
              <w:t>е</w:t>
            </w:r>
            <w:r w:rsidR="00CA6800" w:rsidRPr="00626D49">
              <w:rPr>
                <w:color w:val="000000" w:themeColor="text1"/>
                <w:sz w:val="28"/>
                <w:szCs w:val="28"/>
              </w:rPr>
              <w:t xml:space="preserve"> Татарстан</w:t>
            </w:r>
            <w:r>
              <w:rPr>
                <w:color w:val="000000" w:themeColor="text1"/>
                <w:sz w:val="28"/>
                <w:szCs w:val="28"/>
              </w:rPr>
              <w:t>»</w:t>
            </w:r>
          </w:p>
        </w:tc>
      </w:tr>
      <w:tr w:rsidR="00B3442D" w:rsidRPr="00091230" w:rsidTr="0040172E">
        <w:tc>
          <w:tcPr>
            <w:tcW w:w="2628" w:type="dxa"/>
          </w:tcPr>
          <w:p w:rsidR="00B3442D" w:rsidRPr="00091230" w:rsidRDefault="00CA6800" w:rsidP="0040172E">
            <w:pPr>
              <w:ind w:left="-57" w:right="-57"/>
              <w:jc w:val="both"/>
              <w:rPr>
                <w:rFonts w:eastAsia="Calibri"/>
                <w:sz w:val="28"/>
                <w:szCs w:val="28"/>
              </w:rPr>
            </w:pPr>
            <w:r>
              <w:rPr>
                <w:rFonts w:eastAsia="Calibri"/>
                <w:sz w:val="28"/>
                <w:szCs w:val="28"/>
              </w:rPr>
              <w:t>Ответственный ис-полнитель</w:t>
            </w:r>
            <w:r>
              <w:rPr>
                <w:sz w:val="28"/>
                <w:szCs w:val="28"/>
              </w:rPr>
              <w:t xml:space="preserve"> региональной программы</w:t>
            </w:r>
          </w:p>
        </w:tc>
        <w:tc>
          <w:tcPr>
            <w:tcW w:w="7540" w:type="dxa"/>
          </w:tcPr>
          <w:p w:rsidR="00B3442D" w:rsidRPr="00091230" w:rsidRDefault="00B3442D" w:rsidP="00CD4158">
            <w:pPr>
              <w:jc w:val="both"/>
              <w:rPr>
                <w:rFonts w:eastAsia="Calibri"/>
                <w:sz w:val="28"/>
                <w:szCs w:val="28"/>
              </w:rPr>
            </w:pPr>
            <w:r w:rsidRPr="00091230">
              <w:rPr>
                <w:rFonts w:eastAsia="Calibri"/>
                <w:sz w:val="28"/>
                <w:szCs w:val="28"/>
              </w:rPr>
              <w:t>Министерство здравоохранения Республики Татарстан</w:t>
            </w:r>
          </w:p>
        </w:tc>
      </w:tr>
      <w:tr w:rsidR="005B3B7F" w:rsidRPr="00091230" w:rsidTr="0040172E">
        <w:tc>
          <w:tcPr>
            <w:tcW w:w="2628" w:type="dxa"/>
          </w:tcPr>
          <w:p w:rsidR="005B3B7F" w:rsidRPr="00091230" w:rsidRDefault="005B3B7F" w:rsidP="003C737D">
            <w:pPr>
              <w:autoSpaceDE/>
              <w:autoSpaceDN/>
              <w:adjustRightInd/>
              <w:spacing w:line="235" w:lineRule="auto"/>
              <w:ind w:left="-57" w:right="-57" w:hanging="18"/>
              <w:jc w:val="both"/>
              <w:rPr>
                <w:rFonts w:eastAsia="Calibri"/>
                <w:sz w:val="28"/>
                <w:szCs w:val="28"/>
              </w:rPr>
            </w:pPr>
            <w:r w:rsidRPr="00091230">
              <w:rPr>
                <w:rFonts w:eastAsia="Calibri"/>
                <w:sz w:val="28"/>
                <w:szCs w:val="28"/>
              </w:rPr>
              <w:t xml:space="preserve">Цель и задачи </w:t>
            </w:r>
            <w:r w:rsidR="00CA6800">
              <w:rPr>
                <w:sz w:val="28"/>
                <w:szCs w:val="28"/>
              </w:rPr>
              <w:t xml:space="preserve">региональной программы </w:t>
            </w:r>
          </w:p>
          <w:p w:rsidR="005B3B7F" w:rsidRPr="00091230" w:rsidRDefault="005B3B7F" w:rsidP="003C737D">
            <w:pPr>
              <w:autoSpaceDE/>
              <w:autoSpaceDN/>
              <w:adjustRightInd/>
              <w:spacing w:line="235" w:lineRule="auto"/>
              <w:ind w:left="-57" w:right="-57" w:firstLine="709"/>
              <w:jc w:val="both"/>
              <w:rPr>
                <w:rFonts w:eastAsia="Calibri"/>
                <w:sz w:val="28"/>
                <w:szCs w:val="28"/>
              </w:rPr>
            </w:pPr>
          </w:p>
        </w:tc>
        <w:tc>
          <w:tcPr>
            <w:tcW w:w="7540" w:type="dxa"/>
          </w:tcPr>
          <w:p w:rsidR="005B3B7F" w:rsidRPr="00091230" w:rsidRDefault="005317F0" w:rsidP="00CD4158">
            <w:pPr>
              <w:spacing w:line="235" w:lineRule="auto"/>
              <w:jc w:val="both"/>
              <w:rPr>
                <w:color w:val="000000"/>
                <w:spacing w:val="-2"/>
                <w:sz w:val="28"/>
                <w:szCs w:val="28"/>
              </w:rPr>
            </w:pPr>
            <w:r>
              <w:rPr>
                <w:color w:val="000000"/>
                <w:spacing w:val="-2"/>
                <w:sz w:val="28"/>
                <w:szCs w:val="28"/>
              </w:rPr>
              <w:t>Цель: к</w:t>
            </w:r>
            <w:r w:rsidR="005B3B7F" w:rsidRPr="00091230">
              <w:rPr>
                <w:color w:val="000000"/>
                <w:spacing w:val="-2"/>
                <w:sz w:val="28"/>
                <w:szCs w:val="28"/>
              </w:rPr>
              <w:t xml:space="preserve"> 2030 году доступность диагностики и лечения онкологических заболеваний позволит увеличить на 7 </w:t>
            </w:r>
            <w:r w:rsidR="00CA6800">
              <w:rPr>
                <w:color w:val="000000"/>
                <w:spacing w:val="-2"/>
                <w:sz w:val="28"/>
                <w:szCs w:val="28"/>
              </w:rPr>
              <w:t>процентов</w:t>
            </w:r>
            <w:r w:rsidR="005B3B7F" w:rsidRPr="00091230">
              <w:rPr>
                <w:color w:val="000000"/>
                <w:spacing w:val="-2"/>
                <w:sz w:val="28"/>
                <w:szCs w:val="28"/>
              </w:rPr>
              <w:t xml:space="preserve"> количество пациентов со злокачественными новообразованиями, живущих более 5 лет</w:t>
            </w:r>
            <w:r w:rsidR="00AC6EAE" w:rsidRPr="00091230">
              <w:rPr>
                <w:color w:val="000000"/>
                <w:spacing w:val="-2"/>
                <w:sz w:val="28"/>
                <w:szCs w:val="28"/>
              </w:rPr>
              <w:t>.</w:t>
            </w:r>
          </w:p>
          <w:p w:rsidR="0040163F" w:rsidRPr="00091230" w:rsidRDefault="0040163F" w:rsidP="00CD4158">
            <w:pPr>
              <w:spacing w:line="235" w:lineRule="auto"/>
              <w:jc w:val="both"/>
              <w:rPr>
                <w:color w:val="000000"/>
                <w:spacing w:val="-2"/>
                <w:sz w:val="28"/>
                <w:szCs w:val="28"/>
              </w:rPr>
            </w:pPr>
            <w:r w:rsidRPr="00091230">
              <w:rPr>
                <w:color w:val="000000"/>
                <w:spacing w:val="-2"/>
                <w:sz w:val="28"/>
                <w:szCs w:val="28"/>
              </w:rPr>
              <w:t xml:space="preserve">Задачами </w:t>
            </w:r>
            <w:r w:rsidR="00F1248F">
              <w:rPr>
                <w:sz w:val="28"/>
                <w:szCs w:val="28"/>
              </w:rPr>
              <w:t>региональной программы</w:t>
            </w:r>
            <w:r w:rsidR="00F1248F" w:rsidRPr="00091230">
              <w:rPr>
                <w:color w:val="000000"/>
                <w:spacing w:val="-2"/>
                <w:sz w:val="28"/>
                <w:szCs w:val="28"/>
              </w:rPr>
              <w:t xml:space="preserve"> </w:t>
            </w:r>
            <w:r w:rsidRPr="00091230">
              <w:rPr>
                <w:color w:val="000000"/>
                <w:spacing w:val="-2"/>
                <w:sz w:val="28"/>
                <w:szCs w:val="28"/>
              </w:rPr>
              <w:t xml:space="preserve">являются: </w:t>
            </w:r>
          </w:p>
          <w:p w:rsidR="0040163F" w:rsidRPr="00091230" w:rsidRDefault="0040163F" w:rsidP="00CD4158">
            <w:pPr>
              <w:spacing w:line="235" w:lineRule="auto"/>
              <w:jc w:val="both"/>
              <w:rPr>
                <w:sz w:val="28"/>
                <w:szCs w:val="28"/>
              </w:rPr>
            </w:pPr>
            <w:r w:rsidRPr="00091230">
              <w:rPr>
                <w:sz w:val="28"/>
                <w:szCs w:val="28"/>
              </w:rPr>
              <w:t>совершенствование мер первичной профилакт</w:t>
            </w:r>
            <w:r w:rsidR="005317F0">
              <w:rPr>
                <w:sz w:val="28"/>
                <w:szCs w:val="28"/>
              </w:rPr>
              <w:t>ики онкологических заболеваний;</w:t>
            </w:r>
          </w:p>
          <w:p w:rsidR="0040163F" w:rsidRPr="00091230" w:rsidRDefault="0040163F" w:rsidP="00CD4158">
            <w:pPr>
              <w:spacing w:line="235" w:lineRule="auto"/>
              <w:jc w:val="both"/>
              <w:rPr>
                <w:sz w:val="28"/>
                <w:szCs w:val="28"/>
              </w:rPr>
            </w:pPr>
            <w:r w:rsidRPr="00091230">
              <w:rPr>
                <w:sz w:val="28"/>
                <w:szCs w:val="28"/>
              </w:rPr>
              <w:t>совершенствование мер вторичной профилак</w:t>
            </w:r>
            <w:r w:rsidR="005317F0">
              <w:rPr>
                <w:sz w:val="28"/>
                <w:szCs w:val="28"/>
              </w:rPr>
              <w:t>тики онкологических заболеваний;</w:t>
            </w:r>
            <w:r w:rsidRPr="00091230">
              <w:rPr>
                <w:sz w:val="28"/>
                <w:szCs w:val="28"/>
              </w:rPr>
              <w:t xml:space="preserve"> </w:t>
            </w:r>
          </w:p>
          <w:p w:rsidR="0040163F" w:rsidRPr="00091230" w:rsidRDefault="00AC6EAE" w:rsidP="00CD4158">
            <w:pPr>
              <w:spacing w:line="235" w:lineRule="auto"/>
              <w:jc w:val="both"/>
              <w:rPr>
                <w:sz w:val="28"/>
                <w:szCs w:val="28"/>
              </w:rPr>
            </w:pPr>
            <w:r w:rsidRPr="00091230">
              <w:rPr>
                <w:sz w:val="28"/>
                <w:szCs w:val="28"/>
              </w:rPr>
              <w:t>с</w:t>
            </w:r>
            <w:r w:rsidR="0040163F" w:rsidRPr="00091230">
              <w:rPr>
                <w:sz w:val="28"/>
                <w:szCs w:val="28"/>
              </w:rPr>
              <w:t>овершенствование порядка маршрутизации пациентов с подозрением на онкологические заболевания и с установленным диагнозом онкологического заболевания</w:t>
            </w:r>
            <w:r w:rsidR="005317F0">
              <w:rPr>
                <w:sz w:val="28"/>
                <w:szCs w:val="28"/>
              </w:rPr>
              <w:t>;</w:t>
            </w:r>
          </w:p>
          <w:p w:rsidR="00AC6EAE" w:rsidRPr="00091230" w:rsidRDefault="00AC6EAE" w:rsidP="00CD4158">
            <w:pPr>
              <w:spacing w:line="235" w:lineRule="auto"/>
              <w:jc w:val="both"/>
              <w:rPr>
                <w:sz w:val="28"/>
                <w:szCs w:val="28"/>
              </w:rPr>
            </w:pPr>
            <w:r w:rsidRPr="00091230">
              <w:rPr>
                <w:sz w:val="28"/>
                <w:szCs w:val="28"/>
              </w:rPr>
              <w:t xml:space="preserve">совершенствование </w:t>
            </w:r>
            <w:r w:rsidR="00327442" w:rsidRPr="00091230">
              <w:rPr>
                <w:sz w:val="28"/>
                <w:szCs w:val="28"/>
              </w:rPr>
              <w:t>оказания</w:t>
            </w:r>
            <w:r w:rsidRPr="00091230">
              <w:rPr>
                <w:sz w:val="28"/>
                <w:szCs w:val="28"/>
              </w:rPr>
              <w:t xml:space="preserve"> первичной специализированной медико-санитарной помощи пациентам с</w:t>
            </w:r>
            <w:r w:rsidR="005317F0">
              <w:rPr>
                <w:sz w:val="28"/>
                <w:szCs w:val="28"/>
              </w:rPr>
              <w:t xml:space="preserve"> онкологическими заболеваниями;</w:t>
            </w:r>
          </w:p>
          <w:p w:rsidR="00AC6EAE" w:rsidRPr="00091230" w:rsidRDefault="00AC6EAE" w:rsidP="00CD4158">
            <w:pPr>
              <w:spacing w:line="235" w:lineRule="auto"/>
              <w:jc w:val="both"/>
              <w:rPr>
                <w:sz w:val="28"/>
                <w:szCs w:val="28"/>
              </w:rPr>
            </w:pPr>
            <w:r w:rsidRPr="00091230">
              <w:rPr>
                <w:sz w:val="28"/>
                <w:szCs w:val="28"/>
              </w:rPr>
              <w:t>совершенствование специализированной медицинской помощи пациентам с онкологическими заб</w:t>
            </w:r>
            <w:r w:rsidR="005317F0">
              <w:rPr>
                <w:sz w:val="28"/>
                <w:szCs w:val="28"/>
              </w:rPr>
              <w:t>олеваниями;</w:t>
            </w:r>
          </w:p>
          <w:p w:rsidR="00AC6EAE" w:rsidRPr="00091230" w:rsidRDefault="00AC6EAE" w:rsidP="00CD4158">
            <w:pPr>
              <w:spacing w:line="235" w:lineRule="auto"/>
              <w:jc w:val="both"/>
              <w:rPr>
                <w:sz w:val="28"/>
                <w:szCs w:val="28"/>
              </w:rPr>
            </w:pPr>
            <w:r w:rsidRPr="00091230">
              <w:rPr>
                <w:sz w:val="28"/>
                <w:szCs w:val="28"/>
              </w:rPr>
              <w:t>совершенствование мероприятий третичной профилактики з</w:t>
            </w:r>
            <w:r w:rsidR="005317F0">
              <w:rPr>
                <w:sz w:val="28"/>
                <w:szCs w:val="28"/>
              </w:rPr>
              <w:t>локачественных новообразований;</w:t>
            </w:r>
          </w:p>
          <w:p w:rsidR="00AC6EAE" w:rsidRPr="00091230" w:rsidRDefault="00AC6EAE" w:rsidP="00CD4158">
            <w:pPr>
              <w:spacing w:line="235" w:lineRule="auto"/>
              <w:jc w:val="both"/>
              <w:rPr>
                <w:sz w:val="28"/>
                <w:szCs w:val="28"/>
              </w:rPr>
            </w:pPr>
            <w:r w:rsidRPr="00091230">
              <w:rPr>
                <w:sz w:val="28"/>
                <w:szCs w:val="28"/>
              </w:rPr>
              <w:t>организационно-методическое сопровождение деятельности</w:t>
            </w:r>
            <w:r w:rsidR="005317F0">
              <w:rPr>
                <w:sz w:val="28"/>
                <w:szCs w:val="28"/>
              </w:rPr>
              <w:t xml:space="preserve"> онкологической службы региона;</w:t>
            </w:r>
          </w:p>
          <w:p w:rsidR="00AC6EAE" w:rsidRPr="00091230" w:rsidRDefault="00AC6EAE" w:rsidP="00CD4158">
            <w:pPr>
              <w:spacing w:line="235" w:lineRule="auto"/>
              <w:jc w:val="both"/>
              <w:rPr>
                <w:sz w:val="28"/>
                <w:szCs w:val="28"/>
              </w:rPr>
            </w:pPr>
            <w:r w:rsidRPr="00091230">
              <w:rPr>
                <w:sz w:val="28"/>
                <w:szCs w:val="28"/>
              </w:rPr>
              <w:t>формирование и развитие цифрового контура онкологической службы регио</w:t>
            </w:r>
            <w:r w:rsidR="005317F0">
              <w:rPr>
                <w:sz w:val="28"/>
                <w:szCs w:val="28"/>
              </w:rPr>
              <w:t>на;</w:t>
            </w:r>
          </w:p>
          <w:p w:rsidR="00AC6EAE" w:rsidRPr="00091230" w:rsidRDefault="00AC6EAE" w:rsidP="00CD4158">
            <w:pPr>
              <w:spacing w:line="235" w:lineRule="auto"/>
              <w:jc w:val="both"/>
              <w:rPr>
                <w:color w:val="000000"/>
                <w:spacing w:val="-2"/>
                <w:sz w:val="28"/>
                <w:szCs w:val="28"/>
              </w:rPr>
            </w:pPr>
            <w:r w:rsidRPr="00091230">
              <w:rPr>
                <w:sz w:val="28"/>
                <w:szCs w:val="28"/>
              </w:rPr>
              <w:t xml:space="preserve">обеспечение укомплектованности кадрами медицинских организаций, оказывающих медицинскую помощь пациентам </w:t>
            </w:r>
            <w:r w:rsidR="0040172E">
              <w:rPr>
                <w:sz w:val="28"/>
                <w:szCs w:val="28"/>
              </w:rPr>
              <w:br/>
            </w:r>
            <w:r w:rsidR="005317F0">
              <w:rPr>
                <w:sz w:val="28"/>
                <w:szCs w:val="28"/>
              </w:rPr>
              <w:t>с онкологическими заболеваниями</w:t>
            </w:r>
          </w:p>
        </w:tc>
      </w:tr>
      <w:tr w:rsidR="005B3B7F" w:rsidRPr="00091230" w:rsidTr="0040172E">
        <w:tc>
          <w:tcPr>
            <w:tcW w:w="2628" w:type="dxa"/>
          </w:tcPr>
          <w:p w:rsidR="005B3B7F" w:rsidRPr="00091230" w:rsidRDefault="00CA6800" w:rsidP="0040172E">
            <w:pPr>
              <w:ind w:left="-57" w:right="-57"/>
              <w:jc w:val="both"/>
              <w:rPr>
                <w:rFonts w:ascii="Arial" w:eastAsia="Calibri" w:hAnsi="Arial"/>
                <w:sz w:val="20"/>
                <w:szCs w:val="20"/>
              </w:rPr>
            </w:pPr>
            <w:r>
              <w:rPr>
                <w:rFonts w:eastAsia="Calibri"/>
                <w:sz w:val="28"/>
                <w:szCs w:val="28"/>
              </w:rPr>
              <w:lastRenderedPageBreak/>
              <w:t>С</w:t>
            </w:r>
            <w:r w:rsidR="005B3B7F" w:rsidRPr="00091230">
              <w:rPr>
                <w:rFonts w:eastAsia="Calibri"/>
                <w:sz w:val="28"/>
                <w:szCs w:val="28"/>
              </w:rPr>
              <w:t xml:space="preserve">роки реализации </w:t>
            </w:r>
            <w:r>
              <w:rPr>
                <w:sz w:val="28"/>
                <w:szCs w:val="28"/>
              </w:rPr>
              <w:t>региональной программы</w:t>
            </w:r>
          </w:p>
        </w:tc>
        <w:tc>
          <w:tcPr>
            <w:tcW w:w="7540" w:type="dxa"/>
          </w:tcPr>
          <w:p w:rsidR="00CA6800" w:rsidRDefault="00CA6800" w:rsidP="00CD4158">
            <w:pPr>
              <w:jc w:val="both"/>
              <w:rPr>
                <w:sz w:val="28"/>
                <w:szCs w:val="28"/>
              </w:rPr>
            </w:pPr>
            <w:r>
              <w:rPr>
                <w:color w:val="000000" w:themeColor="text1"/>
                <w:sz w:val="28"/>
                <w:szCs w:val="28"/>
              </w:rPr>
              <w:t>Региональная</w:t>
            </w:r>
            <w:r>
              <w:rPr>
                <w:sz w:val="28"/>
                <w:szCs w:val="28"/>
              </w:rPr>
              <w:t xml:space="preserve"> программа реализуется в два этапа:</w:t>
            </w:r>
          </w:p>
          <w:p w:rsidR="00CA6800" w:rsidRDefault="00CA6800" w:rsidP="00CD4158">
            <w:pPr>
              <w:rPr>
                <w:rFonts w:eastAsia="Calibri"/>
                <w:sz w:val="28"/>
                <w:szCs w:val="28"/>
                <w:lang w:eastAsia="en-US"/>
              </w:rPr>
            </w:pPr>
            <w:r>
              <w:rPr>
                <w:rFonts w:eastAsia="Calibri"/>
                <w:sz w:val="28"/>
                <w:szCs w:val="28"/>
              </w:rPr>
              <w:t xml:space="preserve">1 этап: 2019 </w:t>
            </w:r>
            <w:r>
              <w:rPr>
                <w:spacing w:val="-4"/>
                <w:sz w:val="28"/>
                <w:szCs w:val="28"/>
              </w:rPr>
              <w:t>–</w:t>
            </w:r>
            <w:r>
              <w:rPr>
                <w:rFonts w:eastAsia="Calibri"/>
                <w:sz w:val="28"/>
                <w:szCs w:val="28"/>
              </w:rPr>
              <w:t xml:space="preserve"> 2024 годы;</w:t>
            </w:r>
          </w:p>
          <w:p w:rsidR="005B3B7F" w:rsidRPr="00091230" w:rsidRDefault="00CA6800" w:rsidP="00CD4158">
            <w:pPr>
              <w:jc w:val="both"/>
              <w:rPr>
                <w:rFonts w:eastAsia="Calibri"/>
                <w:sz w:val="28"/>
                <w:szCs w:val="28"/>
              </w:rPr>
            </w:pPr>
            <w:r>
              <w:rPr>
                <w:rFonts w:eastAsia="Calibri"/>
                <w:sz w:val="28"/>
                <w:szCs w:val="28"/>
              </w:rPr>
              <w:t xml:space="preserve">2 этап: 2025 </w:t>
            </w:r>
            <w:r>
              <w:rPr>
                <w:spacing w:val="-4"/>
                <w:sz w:val="28"/>
                <w:szCs w:val="28"/>
              </w:rPr>
              <w:t>–</w:t>
            </w:r>
            <w:r>
              <w:rPr>
                <w:rFonts w:eastAsia="Calibri"/>
                <w:sz w:val="28"/>
                <w:szCs w:val="28"/>
              </w:rPr>
              <w:t xml:space="preserve"> 2030 годы</w:t>
            </w:r>
          </w:p>
        </w:tc>
      </w:tr>
      <w:tr w:rsidR="002700AE" w:rsidRPr="00091230" w:rsidTr="0040172E">
        <w:tc>
          <w:tcPr>
            <w:tcW w:w="2628" w:type="dxa"/>
          </w:tcPr>
          <w:p w:rsidR="002700AE" w:rsidRPr="002700AE" w:rsidRDefault="002700AE" w:rsidP="002700AE">
            <w:pPr>
              <w:pStyle w:val="af8"/>
              <w:jc w:val="both"/>
              <w:rPr>
                <w:rFonts w:ascii="Times New Roman" w:hAnsi="Times New Roman"/>
                <w:sz w:val="28"/>
                <w:szCs w:val="28"/>
              </w:rPr>
            </w:pPr>
            <w:r>
              <w:rPr>
                <w:rFonts w:eastAsia="Calibri"/>
                <w:sz w:val="28"/>
                <w:szCs w:val="28"/>
              </w:rPr>
              <w:t xml:space="preserve">Основные </w:t>
            </w:r>
            <w:r>
              <w:rPr>
                <w:rFonts w:ascii="Times New Roman" w:hAnsi="Times New Roman"/>
                <w:sz w:val="28"/>
                <w:szCs w:val="28"/>
              </w:rPr>
              <w:t>мероприятия региональной программы</w:t>
            </w:r>
          </w:p>
        </w:tc>
        <w:tc>
          <w:tcPr>
            <w:tcW w:w="7540" w:type="dxa"/>
          </w:tcPr>
          <w:p w:rsidR="00571D3A" w:rsidRDefault="00571D3A" w:rsidP="00CD4158">
            <w:pPr>
              <w:jc w:val="both"/>
              <w:rPr>
                <w:sz w:val="28"/>
                <w:szCs w:val="28"/>
              </w:rPr>
            </w:pPr>
            <w:r>
              <w:rPr>
                <w:sz w:val="28"/>
                <w:szCs w:val="28"/>
              </w:rPr>
              <w:t>О</w:t>
            </w:r>
            <w:r w:rsidRPr="00BD74E7">
              <w:rPr>
                <w:sz w:val="28"/>
                <w:szCs w:val="28"/>
              </w:rPr>
              <w:t>рганиз</w:t>
            </w:r>
            <w:r>
              <w:rPr>
                <w:sz w:val="28"/>
                <w:szCs w:val="28"/>
              </w:rPr>
              <w:t>ация</w:t>
            </w:r>
            <w:r w:rsidRPr="00BD74E7">
              <w:rPr>
                <w:sz w:val="28"/>
                <w:szCs w:val="28"/>
              </w:rPr>
              <w:t xml:space="preserve"> </w:t>
            </w:r>
            <w:r>
              <w:rPr>
                <w:sz w:val="28"/>
                <w:szCs w:val="28"/>
              </w:rPr>
              <w:t>в</w:t>
            </w:r>
            <w:r w:rsidRPr="00BD74E7">
              <w:rPr>
                <w:sz w:val="28"/>
                <w:szCs w:val="28"/>
              </w:rPr>
              <w:t xml:space="preserve"> </w:t>
            </w:r>
            <w:r>
              <w:rPr>
                <w:sz w:val="28"/>
                <w:szCs w:val="28"/>
              </w:rPr>
              <w:t xml:space="preserve">Республике Татарстан </w:t>
            </w:r>
            <w:r w:rsidRPr="00BD74E7">
              <w:rPr>
                <w:sz w:val="28"/>
                <w:szCs w:val="28"/>
              </w:rPr>
              <w:t>маршрутизаци</w:t>
            </w:r>
            <w:r>
              <w:rPr>
                <w:sz w:val="28"/>
                <w:szCs w:val="28"/>
              </w:rPr>
              <w:t>и</w:t>
            </w:r>
            <w:r w:rsidRPr="00BD74E7">
              <w:rPr>
                <w:sz w:val="28"/>
                <w:szCs w:val="28"/>
              </w:rPr>
              <w:t xml:space="preserve"> пациентов с онкологическими заболеваниями на основании порядка оказания медицинской помощи с учетом клинических рекомендаций и обеспечения территориальной доступности медицинской помощи</w:t>
            </w:r>
            <w:r>
              <w:rPr>
                <w:sz w:val="28"/>
                <w:szCs w:val="28"/>
              </w:rPr>
              <w:t>;</w:t>
            </w:r>
          </w:p>
          <w:p w:rsidR="00BD74E7" w:rsidRPr="00571D3A" w:rsidRDefault="00571D3A" w:rsidP="00533786">
            <w:pPr>
              <w:jc w:val="both"/>
              <w:rPr>
                <w:sz w:val="28"/>
                <w:szCs w:val="28"/>
              </w:rPr>
            </w:pPr>
            <w:r>
              <w:rPr>
                <w:sz w:val="28"/>
                <w:szCs w:val="28"/>
              </w:rPr>
              <w:t>м</w:t>
            </w:r>
            <w:r w:rsidR="002700AE" w:rsidRPr="00BD74E7">
              <w:rPr>
                <w:sz w:val="28"/>
                <w:szCs w:val="28"/>
              </w:rPr>
              <w:t>одерниз</w:t>
            </w:r>
            <w:r w:rsidR="00BD74E7">
              <w:rPr>
                <w:sz w:val="28"/>
                <w:szCs w:val="28"/>
              </w:rPr>
              <w:t>ация</w:t>
            </w:r>
            <w:r w:rsidR="002700AE" w:rsidRPr="00BD74E7">
              <w:rPr>
                <w:sz w:val="28"/>
                <w:szCs w:val="28"/>
              </w:rPr>
              <w:t>, дооснащен</w:t>
            </w:r>
            <w:r w:rsidR="00BD74E7">
              <w:rPr>
                <w:sz w:val="28"/>
                <w:szCs w:val="28"/>
              </w:rPr>
              <w:t xml:space="preserve">ие </w:t>
            </w:r>
            <w:r w:rsidR="002700AE" w:rsidRPr="00BD74E7">
              <w:rPr>
                <w:sz w:val="28"/>
                <w:szCs w:val="28"/>
              </w:rPr>
              <w:t>или переоснащен</w:t>
            </w:r>
            <w:r w:rsidR="00BD74E7">
              <w:rPr>
                <w:sz w:val="28"/>
                <w:szCs w:val="28"/>
              </w:rPr>
              <w:t>ие</w:t>
            </w:r>
            <w:r w:rsidR="002700AE" w:rsidRPr="00BD74E7">
              <w:rPr>
                <w:sz w:val="28"/>
                <w:szCs w:val="28"/>
              </w:rPr>
              <w:t xml:space="preserve"> медицинским оборудованием существующи</w:t>
            </w:r>
            <w:r w:rsidR="00BD74E7">
              <w:rPr>
                <w:sz w:val="28"/>
                <w:szCs w:val="28"/>
              </w:rPr>
              <w:t>х и(</w:t>
            </w:r>
            <w:r w:rsidR="002700AE" w:rsidRPr="00BD74E7">
              <w:rPr>
                <w:sz w:val="28"/>
                <w:szCs w:val="28"/>
              </w:rPr>
              <w:t>или</w:t>
            </w:r>
            <w:r w:rsidR="00BD74E7">
              <w:rPr>
                <w:sz w:val="28"/>
                <w:szCs w:val="28"/>
              </w:rPr>
              <w:t>)</w:t>
            </w:r>
            <w:r w:rsidR="002700AE" w:rsidRPr="00BD74E7">
              <w:rPr>
                <w:sz w:val="28"/>
                <w:szCs w:val="28"/>
              </w:rPr>
              <w:t xml:space="preserve"> новы</w:t>
            </w:r>
            <w:r w:rsidR="00BD74E7">
              <w:rPr>
                <w:sz w:val="28"/>
                <w:szCs w:val="28"/>
              </w:rPr>
              <w:t xml:space="preserve">х </w:t>
            </w:r>
            <w:r w:rsidR="002700AE" w:rsidRPr="00BD74E7">
              <w:rPr>
                <w:sz w:val="28"/>
                <w:szCs w:val="28"/>
              </w:rPr>
              <w:t>(организуемы</w:t>
            </w:r>
            <w:r w:rsidR="00533786">
              <w:rPr>
                <w:sz w:val="28"/>
                <w:szCs w:val="28"/>
              </w:rPr>
              <w:t>х</w:t>
            </w:r>
            <w:r w:rsidR="002700AE" w:rsidRPr="00BD74E7">
              <w:rPr>
                <w:sz w:val="28"/>
                <w:szCs w:val="28"/>
              </w:rPr>
              <w:t>) структурны</w:t>
            </w:r>
            <w:r w:rsidR="00533786">
              <w:rPr>
                <w:sz w:val="28"/>
                <w:szCs w:val="28"/>
              </w:rPr>
              <w:t>х</w:t>
            </w:r>
            <w:r w:rsidR="002700AE" w:rsidRPr="00BD74E7">
              <w:rPr>
                <w:sz w:val="28"/>
                <w:szCs w:val="28"/>
              </w:rPr>
              <w:t xml:space="preserve"> подразделени</w:t>
            </w:r>
            <w:r w:rsidR="00533786">
              <w:rPr>
                <w:sz w:val="28"/>
                <w:szCs w:val="28"/>
              </w:rPr>
              <w:t>й</w:t>
            </w:r>
            <w:r w:rsidR="002700AE" w:rsidRPr="00BD74E7">
              <w:rPr>
                <w:sz w:val="28"/>
                <w:szCs w:val="28"/>
              </w:rPr>
              <w:t xml:space="preserve"> региональных медицинских организаций, оказывающих медицинскую</w:t>
            </w:r>
            <w:r w:rsidR="00533786">
              <w:rPr>
                <w:sz w:val="28"/>
                <w:szCs w:val="28"/>
              </w:rPr>
              <w:t xml:space="preserve"> </w:t>
            </w:r>
            <w:r w:rsidR="002700AE" w:rsidRPr="00BD74E7">
              <w:rPr>
                <w:sz w:val="28"/>
                <w:szCs w:val="28"/>
              </w:rPr>
              <w:t>помощь</w:t>
            </w:r>
            <w:r w:rsidR="00533786">
              <w:rPr>
                <w:sz w:val="28"/>
                <w:szCs w:val="28"/>
              </w:rPr>
              <w:t xml:space="preserve"> </w:t>
            </w:r>
            <w:r w:rsidR="002700AE" w:rsidRPr="00BD74E7">
              <w:rPr>
                <w:sz w:val="28"/>
                <w:szCs w:val="28"/>
              </w:rPr>
              <w:t>с применением радиологических методов</w:t>
            </w:r>
            <w:r w:rsidR="00533786">
              <w:rPr>
                <w:sz w:val="28"/>
                <w:szCs w:val="28"/>
              </w:rPr>
              <w:t xml:space="preserve"> </w:t>
            </w:r>
            <w:r w:rsidR="002700AE" w:rsidRPr="00BD74E7">
              <w:rPr>
                <w:sz w:val="28"/>
                <w:szCs w:val="28"/>
              </w:rPr>
              <w:t>(диагностики и</w:t>
            </w:r>
            <w:r w:rsidR="00533786">
              <w:rPr>
                <w:sz w:val="28"/>
                <w:szCs w:val="28"/>
              </w:rPr>
              <w:t>(</w:t>
            </w:r>
            <w:r w:rsidR="002700AE" w:rsidRPr="00BD74E7">
              <w:rPr>
                <w:sz w:val="28"/>
                <w:szCs w:val="28"/>
              </w:rPr>
              <w:t>или</w:t>
            </w:r>
            <w:r w:rsidR="00533786">
              <w:rPr>
                <w:sz w:val="28"/>
                <w:szCs w:val="28"/>
              </w:rPr>
              <w:t xml:space="preserve">) </w:t>
            </w:r>
            <w:r w:rsidR="002700AE" w:rsidRPr="00BD74E7">
              <w:rPr>
                <w:sz w:val="28"/>
                <w:szCs w:val="28"/>
              </w:rPr>
              <w:t>терапии)</w:t>
            </w:r>
          </w:p>
        </w:tc>
      </w:tr>
      <w:tr w:rsidR="005B3B7F" w:rsidRPr="00091230" w:rsidTr="00F74A3C">
        <w:trPr>
          <w:trHeight w:val="6922"/>
        </w:trPr>
        <w:tc>
          <w:tcPr>
            <w:tcW w:w="2628" w:type="dxa"/>
          </w:tcPr>
          <w:p w:rsidR="0002591A" w:rsidRDefault="005B3B7F" w:rsidP="003C737D">
            <w:pPr>
              <w:autoSpaceDE/>
              <w:adjustRightInd/>
              <w:spacing w:line="242" w:lineRule="auto"/>
              <w:jc w:val="both"/>
              <w:rPr>
                <w:sz w:val="28"/>
                <w:szCs w:val="28"/>
              </w:rPr>
            </w:pPr>
            <w:r w:rsidRPr="00BD4266">
              <w:rPr>
                <w:rFonts w:eastAsia="Calibri"/>
                <w:sz w:val="28"/>
                <w:szCs w:val="28"/>
                <w:lang w:eastAsia="en-US"/>
              </w:rPr>
              <w:t xml:space="preserve">Объемы финанси-рования </w:t>
            </w:r>
            <w:r w:rsidR="00CA6800" w:rsidRPr="00BD4266">
              <w:rPr>
                <w:sz w:val="28"/>
                <w:szCs w:val="28"/>
              </w:rPr>
              <w:t xml:space="preserve">региональной программы </w:t>
            </w:r>
            <w:r w:rsidR="0002591A">
              <w:rPr>
                <w:rFonts w:eastAsia="Calibri"/>
                <w:color w:val="0D0D0D"/>
                <w:sz w:val="28"/>
                <w:szCs w:val="28"/>
              </w:rPr>
              <w:t xml:space="preserve">(денежные средства предусмотрены в рамках реализации регионального проекта </w:t>
            </w:r>
            <w:r w:rsidR="002F7358">
              <w:rPr>
                <w:rFonts w:eastAsia="Calibri"/>
                <w:color w:val="000000"/>
                <w:sz w:val="28"/>
                <w:szCs w:val="28"/>
              </w:rPr>
              <w:t>«</w:t>
            </w:r>
            <w:r w:rsidR="0002591A">
              <w:rPr>
                <w:rFonts w:eastAsia="Calibri"/>
                <w:sz w:val="28"/>
                <w:szCs w:val="28"/>
                <w:lang w:eastAsia="en-US"/>
              </w:rPr>
              <w:t>Борьба с онкологическими заболеваниями</w:t>
            </w:r>
            <w:r w:rsidR="002F7358">
              <w:rPr>
                <w:rFonts w:eastAsia="Calibri"/>
                <w:color w:val="000000"/>
                <w:sz w:val="28"/>
                <w:szCs w:val="28"/>
              </w:rPr>
              <w:t>»</w:t>
            </w:r>
            <w:r w:rsidR="0002591A">
              <w:rPr>
                <w:sz w:val="28"/>
                <w:szCs w:val="28"/>
              </w:rPr>
              <w:t xml:space="preserve"> </w:t>
            </w:r>
            <w:r w:rsidR="0002591A">
              <w:rPr>
                <w:rFonts w:eastAsia="Calibri"/>
                <w:color w:val="0D0D0D"/>
                <w:sz w:val="28"/>
                <w:szCs w:val="28"/>
              </w:rPr>
              <w:t>государственной программы Республики Татарстан</w:t>
            </w:r>
            <w:r w:rsidR="0002591A">
              <w:rPr>
                <w:sz w:val="28"/>
                <w:szCs w:val="28"/>
              </w:rPr>
              <w:t xml:space="preserve"> </w:t>
            </w:r>
            <w:r w:rsidR="002F7358">
              <w:rPr>
                <w:rFonts w:eastAsia="Calibri"/>
                <w:sz w:val="28"/>
                <w:szCs w:val="28"/>
              </w:rPr>
              <w:t>«</w:t>
            </w:r>
            <w:r w:rsidR="0002591A">
              <w:rPr>
                <w:rFonts w:eastAsia="Calibri"/>
                <w:sz w:val="28"/>
                <w:szCs w:val="28"/>
              </w:rPr>
              <w:t>Развитие здравоохранения в Республике Татарстан</w:t>
            </w:r>
            <w:r w:rsidR="002F7358">
              <w:rPr>
                <w:rFonts w:eastAsia="Calibri"/>
                <w:sz w:val="28"/>
                <w:szCs w:val="28"/>
              </w:rPr>
              <w:t>»</w:t>
            </w:r>
            <w:r w:rsidR="0002591A">
              <w:rPr>
                <w:color w:val="0D0D0D"/>
                <w:sz w:val="28"/>
                <w:szCs w:val="28"/>
              </w:rPr>
              <w:t>)</w:t>
            </w:r>
          </w:p>
          <w:p w:rsidR="005B3B7F" w:rsidRPr="00BD4266" w:rsidRDefault="0002591A" w:rsidP="003C737D">
            <w:pPr>
              <w:spacing w:line="242" w:lineRule="auto"/>
              <w:ind w:left="-57" w:right="-57"/>
              <w:jc w:val="both"/>
              <w:rPr>
                <w:rFonts w:eastAsia="Calibri"/>
                <w:sz w:val="28"/>
                <w:szCs w:val="28"/>
              </w:rPr>
            </w:pPr>
            <w:r w:rsidRPr="00BD4266">
              <w:rPr>
                <w:rFonts w:eastAsia="Calibri"/>
                <w:color w:val="0D0D0D"/>
                <w:sz w:val="28"/>
                <w:szCs w:val="28"/>
              </w:rPr>
              <w:t xml:space="preserve"> </w:t>
            </w:r>
          </w:p>
        </w:tc>
        <w:tc>
          <w:tcPr>
            <w:tcW w:w="7540" w:type="dxa"/>
          </w:tcPr>
          <w:p w:rsidR="00C85832" w:rsidRPr="005A615B" w:rsidRDefault="00C85832" w:rsidP="00CD4158">
            <w:pPr>
              <w:jc w:val="both"/>
              <w:rPr>
                <w:rFonts w:eastAsia="Calibri"/>
                <w:color w:val="000000"/>
                <w:sz w:val="28"/>
                <w:szCs w:val="28"/>
              </w:rPr>
            </w:pPr>
            <w:r w:rsidRPr="005A615B">
              <w:rPr>
                <w:rFonts w:eastAsia="Calibri"/>
                <w:sz w:val="28"/>
                <w:szCs w:val="28"/>
              </w:rPr>
              <w:t xml:space="preserve">Всего – </w:t>
            </w:r>
            <w:r w:rsidRPr="005A615B">
              <w:rPr>
                <w:rFonts w:eastAsia="Calibri"/>
                <w:bCs/>
                <w:color w:val="000000"/>
                <w:sz w:val="28"/>
                <w:szCs w:val="28"/>
              </w:rPr>
              <w:t>2 724</w:t>
            </w:r>
            <w:r w:rsidRPr="005A615B">
              <w:rPr>
                <w:rFonts w:eastAsia="Calibri"/>
                <w:sz w:val="28"/>
                <w:szCs w:val="28"/>
              </w:rPr>
              <w:t> </w:t>
            </w:r>
            <w:r w:rsidRPr="005A615B">
              <w:rPr>
                <w:rFonts w:eastAsia="Calibri"/>
                <w:bCs/>
                <w:color w:val="000000"/>
                <w:sz w:val="28"/>
                <w:szCs w:val="28"/>
              </w:rPr>
              <w:t xml:space="preserve">372,9 </w:t>
            </w:r>
            <w:r w:rsidRPr="005A615B">
              <w:rPr>
                <w:rFonts w:eastAsia="Calibri"/>
                <w:sz w:val="28"/>
                <w:szCs w:val="28"/>
              </w:rPr>
              <w:t xml:space="preserve">тыс.рублей (2019 год – 491 520,2 тыс.рублей, 2020 год – 871 283,1 тыс.рублей, 2021 год – </w:t>
            </w:r>
            <w:r w:rsidR="00F74A3C" w:rsidRPr="005A615B">
              <w:rPr>
                <w:rFonts w:eastAsia="Calibri"/>
                <w:sz w:val="28"/>
                <w:szCs w:val="28"/>
              </w:rPr>
              <w:br/>
            </w:r>
            <w:r w:rsidRPr="005A615B">
              <w:rPr>
                <w:rFonts w:eastAsia="Calibri"/>
                <w:sz w:val="28"/>
                <w:szCs w:val="28"/>
              </w:rPr>
              <w:t xml:space="preserve">317 253,5 тыс.рублей, 2022 год – 408 339,8 тыс.рублей, </w:t>
            </w:r>
            <w:r w:rsidR="00F74A3C" w:rsidRPr="005A615B">
              <w:rPr>
                <w:rFonts w:eastAsia="Calibri"/>
                <w:sz w:val="28"/>
                <w:szCs w:val="28"/>
              </w:rPr>
              <w:br/>
            </w:r>
            <w:r w:rsidRPr="005A615B">
              <w:rPr>
                <w:rFonts w:eastAsia="Calibri"/>
                <w:sz w:val="28"/>
                <w:szCs w:val="28"/>
              </w:rPr>
              <w:t xml:space="preserve">2023 год – </w:t>
            </w:r>
            <w:r w:rsidRPr="005A615B">
              <w:rPr>
                <w:rFonts w:eastAsia="Calibri"/>
                <w:bCs/>
                <w:color w:val="000000"/>
                <w:sz w:val="28"/>
                <w:szCs w:val="28"/>
              </w:rPr>
              <w:t>71</w:t>
            </w:r>
            <w:r w:rsidRPr="005A615B">
              <w:rPr>
                <w:rFonts w:eastAsia="Calibri"/>
                <w:sz w:val="28"/>
                <w:szCs w:val="28"/>
              </w:rPr>
              <w:t> </w:t>
            </w:r>
            <w:r w:rsidRPr="005A615B">
              <w:rPr>
                <w:rFonts w:eastAsia="Calibri"/>
                <w:bCs/>
                <w:color w:val="000000"/>
                <w:sz w:val="28"/>
                <w:szCs w:val="28"/>
              </w:rPr>
              <w:t>637,0</w:t>
            </w:r>
            <w:r w:rsidRPr="005A615B">
              <w:rPr>
                <w:rFonts w:eastAsia="Calibri"/>
                <w:sz w:val="28"/>
                <w:szCs w:val="28"/>
              </w:rPr>
              <w:t xml:space="preserve"> тыс.рублей, 2024 год – </w:t>
            </w:r>
            <w:r w:rsidRPr="005A615B">
              <w:rPr>
                <w:rFonts w:eastAsia="Calibri"/>
                <w:bCs/>
                <w:color w:val="000000"/>
                <w:sz w:val="28"/>
                <w:szCs w:val="28"/>
              </w:rPr>
              <w:t>97</w:t>
            </w:r>
            <w:r w:rsidRPr="005A615B">
              <w:rPr>
                <w:rFonts w:eastAsia="Calibri"/>
                <w:sz w:val="28"/>
                <w:szCs w:val="28"/>
              </w:rPr>
              <w:t> </w:t>
            </w:r>
            <w:r w:rsidRPr="005A615B">
              <w:rPr>
                <w:rFonts w:eastAsia="Calibri"/>
                <w:bCs/>
                <w:color w:val="000000"/>
                <w:sz w:val="28"/>
                <w:szCs w:val="28"/>
              </w:rPr>
              <w:t xml:space="preserve">358,8 </w:t>
            </w:r>
            <w:r w:rsidRPr="005A615B">
              <w:rPr>
                <w:rFonts w:eastAsia="Calibri"/>
                <w:sz w:val="28"/>
                <w:szCs w:val="28"/>
              </w:rPr>
              <w:t xml:space="preserve">тыс.рублей, </w:t>
            </w:r>
            <w:r w:rsidRPr="005A615B">
              <w:rPr>
                <w:rFonts w:eastAsia="Calibri"/>
                <w:color w:val="000000"/>
                <w:sz w:val="28"/>
                <w:szCs w:val="28"/>
              </w:rPr>
              <w:t xml:space="preserve">2025 год – </w:t>
            </w:r>
            <w:r w:rsidRPr="005A615B">
              <w:rPr>
                <w:rFonts w:eastAsia="Calibri"/>
                <w:bCs/>
                <w:color w:val="000000"/>
                <w:sz w:val="28"/>
                <w:szCs w:val="28"/>
              </w:rPr>
              <w:t>0,0</w:t>
            </w:r>
            <w:r w:rsidRPr="005A615B">
              <w:rPr>
                <w:rFonts w:eastAsia="Calibri"/>
                <w:sz w:val="28"/>
                <w:szCs w:val="28"/>
              </w:rPr>
              <w:t xml:space="preserve"> тыс.рублей</w:t>
            </w:r>
            <w:r w:rsidRPr="005A615B">
              <w:rPr>
                <w:rFonts w:eastAsia="Calibri"/>
                <w:color w:val="000000"/>
                <w:sz w:val="28"/>
                <w:szCs w:val="28"/>
              </w:rPr>
              <w:t xml:space="preserve">, </w:t>
            </w:r>
            <w:r w:rsidRPr="005A615B">
              <w:rPr>
                <w:rFonts w:eastAsia="Calibri"/>
                <w:sz w:val="28"/>
                <w:szCs w:val="28"/>
              </w:rPr>
              <w:t xml:space="preserve">2026 год – </w:t>
            </w:r>
            <w:r w:rsidRPr="008009A6">
              <w:rPr>
                <w:rFonts w:eastAsia="Calibri"/>
                <w:bCs/>
                <w:color w:val="000000"/>
                <w:sz w:val="28"/>
                <w:szCs w:val="28"/>
                <w:highlight w:val="green"/>
              </w:rPr>
              <w:t>288</w:t>
            </w:r>
            <w:r w:rsidRPr="008009A6">
              <w:rPr>
                <w:rFonts w:eastAsia="Calibri"/>
                <w:sz w:val="28"/>
                <w:szCs w:val="28"/>
                <w:highlight w:val="green"/>
              </w:rPr>
              <w:t> </w:t>
            </w:r>
            <w:r w:rsidRPr="008009A6">
              <w:rPr>
                <w:rFonts w:eastAsia="Calibri"/>
                <w:bCs/>
                <w:color w:val="000000"/>
                <w:sz w:val="28"/>
                <w:szCs w:val="28"/>
                <w:highlight w:val="green"/>
              </w:rPr>
              <w:t>246,0</w:t>
            </w:r>
            <w:r w:rsidRPr="005A615B">
              <w:rPr>
                <w:rFonts w:eastAsia="Calibri"/>
                <w:sz w:val="28"/>
                <w:szCs w:val="28"/>
              </w:rPr>
              <w:t xml:space="preserve"> тыс.рублей, 2027 год – </w:t>
            </w:r>
            <w:r w:rsidRPr="005A615B">
              <w:rPr>
                <w:rFonts w:eastAsia="Calibri"/>
                <w:bCs/>
                <w:color w:val="000000"/>
                <w:sz w:val="28"/>
                <w:szCs w:val="28"/>
              </w:rPr>
              <w:t>178</w:t>
            </w:r>
            <w:r w:rsidRPr="005A615B">
              <w:rPr>
                <w:rFonts w:eastAsia="Calibri"/>
                <w:sz w:val="28"/>
                <w:szCs w:val="28"/>
              </w:rPr>
              <w:t> </w:t>
            </w:r>
            <w:r w:rsidRPr="005A615B">
              <w:rPr>
                <w:rFonts w:eastAsia="Calibri"/>
                <w:bCs/>
                <w:color w:val="000000"/>
                <w:sz w:val="28"/>
                <w:szCs w:val="28"/>
              </w:rPr>
              <w:t>734,5</w:t>
            </w:r>
            <w:r w:rsidRPr="005A615B">
              <w:rPr>
                <w:rFonts w:eastAsia="Calibri"/>
                <w:sz w:val="28"/>
                <w:szCs w:val="28"/>
              </w:rPr>
              <w:t xml:space="preserve"> тыс.рублей, 2028 год – </w:t>
            </w:r>
            <w:r w:rsidRPr="005A615B">
              <w:rPr>
                <w:rFonts w:eastAsia="Calibri"/>
                <w:bCs/>
                <w:color w:val="000000"/>
                <w:sz w:val="28"/>
                <w:szCs w:val="28"/>
              </w:rPr>
              <w:t>0,0</w:t>
            </w:r>
            <w:r w:rsidRPr="005A615B">
              <w:rPr>
                <w:rFonts w:eastAsia="Calibri"/>
                <w:sz w:val="28"/>
                <w:szCs w:val="28"/>
              </w:rPr>
              <w:t xml:space="preserve"> тыс.рублей, 2029 год – </w:t>
            </w:r>
            <w:r w:rsidRPr="005A615B">
              <w:rPr>
                <w:rFonts w:eastAsia="Calibri"/>
                <w:bCs/>
                <w:color w:val="000000"/>
                <w:sz w:val="28"/>
                <w:szCs w:val="28"/>
              </w:rPr>
              <w:t>0,0</w:t>
            </w:r>
            <w:r w:rsidRPr="005A615B">
              <w:rPr>
                <w:rFonts w:eastAsia="Calibri"/>
                <w:sz w:val="28"/>
                <w:szCs w:val="28"/>
              </w:rPr>
              <w:t xml:space="preserve"> тыс.рублей, 2030 год – </w:t>
            </w:r>
            <w:r w:rsidRPr="005A615B">
              <w:rPr>
                <w:rFonts w:eastAsia="Calibri"/>
                <w:bCs/>
                <w:color w:val="000000"/>
                <w:sz w:val="28"/>
                <w:szCs w:val="28"/>
              </w:rPr>
              <w:t>0,0</w:t>
            </w:r>
            <w:r w:rsidRPr="005A615B">
              <w:rPr>
                <w:rFonts w:eastAsia="Calibri"/>
                <w:sz w:val="28"/>
                <w:szCs w:val="28"/>
              </w:rPr>
              <w:t xml:space="preserve"> тыс.рублей</w:t>
            </w:r>
            <w:r w:rsidRPr="005A615B">
              <w:rPr>
                <w:rFonts w:eastAsia="Calibri"/>
                <w:color w:val="000000"/>
                <w:sz w:val="28"/>
                <w:szCs w:val="28"/>
              </w:rPr>
              <w:t>)</w:t>
            </w:r>
            <w:r w:rsidRPr="005A615B">
              <w:rPr>
                <w:rFonts w:eastAsia="Calibri"/>
                <w:sz w:val="28"/>
                <w:szCs w:val="28"/>
              </w:rPr>
              <w:t>, из них:</w:t>
            </w:r>
          </w:p>
          <w:p w:rsidR="00C85832" w:rsidRPr="005A615B" w:rsidRDefault="00C85832" w:rsidP="00CD4158">
            <w:pPr>
              <w:jc w:val="both"/>
              <w:rPr>
                <w:rFonts w:eastAsia="Calibri"/>
                <w:sz w:val="28"/>
                <w:szCs w:val="28"/>
              </w:rPr>
            </w:pPr>
            <w:r w:rsidRPr="005A615B">
              <w:rPr>
                <w:rFonts w:eastAsia="Calibri"/>
                <w:sz w:val="28"/>
                <w:szCs w:val="28"/>
              </w:rPr>
              <w:t xml:space="preserve">средства федерального бюджета – </w:t>
            </w:r>
            <w:r w:rsidRPr="005A615B">
              <w:rPr>
                <w:rFonts w:eastAsia="Calibri"/>
                <w:bCs/>
                <w:color w:val="000000"/>
                <w:sz w:val="28"/>
                <w:szCs w:val="28"/>
              </w:rPr>
              <w:t>2 569</w:t>
            </w:r>
            <w:r w:rsidRPr="005A615B">
              <w:rPr>
                <w:rFonts w:eastAsia="Calibri"/>
                <w:sz w:val="28"/>
                <w:szCs w:val="28"/>
              </w:rPr>
              <w:t> </w:t>
            </w:r>
            <w:r w:rsidRPr="005A615B">
              <w:rPr>
                <w:rFonts w:eastAsia="Calibri"/>
                <w:bCs/>
                <w:color w:val="000000"/>
                <w:sz w:val="28"/>
                <w:szCs w:val="28"/>
              </w:rPr>
              <w:t xml:space="preserve">065,9 </w:t>
            </w:r>
            <w:r w:rsidRPr="005A615B">
              <w:rPr>
                <w:rFonts w:eastAsia="Calibri"/>
                <w:sz w:val="28"/>
                <w:szCs w:val="28"/>
              </w:rPr>
              <w:t xml:space="preserve">тыс.рублей </w:t>
            </w:r>
            <w:r w:rsidRPr="005A615B">
              <w:rPr>
                <w:rFonts w:eastAsia="Calibri"/>
                <w:sz w:val="28"/>
                <w:szCs w:val="28"/>
              </w:rPr>
              <w:br/>
              <w:t>(2019 год – 491 520,2 тыс.рублей, 2020 год –</w:t>
            </w:r>
            <w:r w:rsidR="00F74A3C" w:rsidRPr="005A615B">
              <w:rPr>
                <w:rFonts w:eastAsia="Calibri"/>
                <w:sz w:val="28"/>
                <w:szCs w:val="28"/>
              </w:rPr>
              <w:t xml:space="preserve"> </w:t>
            </w:r>
            <w:r w:rsidR="00F74A3C" w:rsidRPr="005A615B">
              <w:rPr>
                <w:rFonts w:eastAsia="Calibri"/>
                <w:sz w:val="28"/>
                <w:szCs w:val="28"/>
              </w:rPr>
              <w:br/>
            </w:r>
            <w:r w:rsidRPr="005A615B">
              <w:rPr>
                <w:rFonts w:eastAsia="Calibri"/>
                <w:sz w:val="28"/>
                <w:szCs w:val="28"/>
              </w:rPr>
              <w:t>871 283,1</w:t>
            </w:r>
            <w:r w:rsidR="00F74A3C" w:rsidRPr="005A615B">
              <w:rPr>
                <w:rFonts w:eastAsia="Calibri"/>
                <w:sz w:val="28"/>
                <w:szCs w:val="28"/>
              </w:rPr>
              <w:t xml:space="preserve"> </w:t>
            </w:r>
            <w:r w:rsidRPr="005A615B">
              <w:rPr>
                <w:rFonts w:eastAsia="Calibri"/>
                <w:sz w:val="28"/>
                <w:szCs w:val="28"/>
              </w:rPr>
              <w:t xml:space="preserve">тыс.рублей, 2021 год – 317 253,5 тыс.рублей, </w:t>
            </w:r>
            <w:r w:rsidRPr="005A615B">
              <w:rPr>
                <w:rFonts w:eastAsia="Calibri"/>
                <w:sz w:val="28"/>
                <w:szCs w:val="28"/>
              </w:rPr>
              <w:br/>
              <w:t xml:space="preserve">2022 год – 408 339,8 тыс.рублей, 2023 год – </w:t>
            </w:r>
            <w:r w:rsidRPr="005A615B">
              <w:rPr>
                <w:rFonts w:eastAsia="Calibri"/>
                <w:bCs/>
                <w:color w:val="000000"/>
                <w:sz w:val="28"/>
                <w:szCs w:val="28"/>
              </w:rPr>
              <w:t>71</w:t>
            </w:r>
            <w:r w:rsidRPr="005A615B">
              <w:rPr>
                <w:rFonts w:eastAsia="Calibri"/>
                <w:sz w:val="28"/>
                <w:szCs w:val="28"/>
              </w:rPr>
              <w:t> </w:t>
            </w:r>
            <w:r w:rsidRPr="005A615B">
              <w:rPr>
                <w:rFonts w:eastAsia="Calibri"/>
                <w:bCs/>
                <w:color w:val="000000"/>
                <w:sz w:val="28"/>
                <w:szCs w:val="28"/>
              </w:rPr>
              <w:t>637,0</w:t>
            </w:r>
            <w:r w:rsidRPr="005A615B">
              <w:rPr>
                <w:rFonts w:eastAsia="Calibri"/>
                <w:sz w:val="28"/>
                <w:szCs w:val="28"/>
              </w:rPr>
              <w:t xml:space="preserve"> тыс.рублей, 2024 год – </w:t>
            </w:r>
            <w:r w:rsidRPr="005A615B">
              <w:rPr>
                <w:rFonts w:eastAsia="Calibri"/>
                <w:bCs/>
                <w:color w:val="000000"/>
                <w:sz w:val="28"/>
                <w:szCs w:val="28"/>
              </w:rPr>
              <w:t>78</w:t>
            </w:r>
            <w:r w:rsidRPr="005A615B">
              <w:rPr>
                <w:rFonts w:eastAsia="Calibri"/>
                <w:sz w:val="28"/>
                <w:szCs w:val="28"/>
              </w:rPr>
              <w:t> </w:t>
            </w:r>
            <w:r w:rsidRPr="005A615B">
              <w:rPr>
                <w:rFonts w:eastAsia="Calibri"/>
                <w:bCs/>
                <w:color w:val="000000"/>
                <w:sz w:val="28"/>
                <w:szCs w:val="28"/>
              </w:rPr>
              <w:t xml:space="preserve">860,6 </w:t>
            </w:r>
            <w:r w:rsidRPr="005A615B">
              <w:rPr>
                <w:rFonts w:eastAsia="Calibri"/>
                <w:sz w:val="28"/>
                <w:szCs w:val="28"/>
              </w:rPr>
              <w:t xml:space="preserve">тыс.рублей, </w:t>
            </w:r>
            <w:r w:rsidRPr="005A615B">
              <w:rPr>
                <w:rFonts w:eastAsia="Calibri"/>
                <w:color w:val="000000"/>
                <w:sz w:val="28"/>
                <w:szCs w:val="28"/>
              </w:rPr>
              <w:t xml:space="preserve">2025 год – </w:t>
            </w:r>
            <w:r w:rsidRPr="005A615B">
              <w:rPr>
                <w:rFonts w:eastAsia="Calibri"/>
                <w:bCs/>
                <w:color w:val="000000"/>
                <w:sz w:val="28"/>
                <w:szCs w:val="28"/>
              </w:rPr>
              <w:t>0,0</w:t>
            </w:r>
            <w:r w:rsidRPr="005A615B">
              <w:rPr>
                <w:rFonts w:eastAsia="Calibri"/>
                <w:sz w:val="28"/>
                <w:szCs w:val="28"/>
              </w:rPr>
              <w:t xml:space="preserve"> тыс.рублей</w:t>
            </w:r>
            <w:r w:rsidRPr="005A615B">
              <w:rPr>
                <w:rFonts w:eastAsia="Calibri"/>
                <w:color w:val="000000"/>
                <w:sz w:val="28"/>
                <w:szCs w:val="28"/>
              </w:rPr>
              <w:t xml:space="preserve">, </w:t>
            </w:r>
            <w:r w:rsidRPr="005A615B">
              <w:rPr>
                <w:rFonts w:eastAsia="Calibri"/>
                <w:sz w:val="28"/>
                <w:szCs w:val="28"/>
              </w:rPr>
              <w:t xml:space="preserve">2026 год – </w:t>
            </w:r>
            <w:r w:rsidRPr="005A615B">
              <w:rPr>
                <w:rFonts w:eastAsia="Calibri"/>
                <w:bCs/>
                <w:color w:val="000000"/>
                <w:sz w:val="28"/>
                <w:szCs w:val="28"/>
              </w:rPr>
              <w:t>210</w:t>
            </w:r>
            <w:r w:rsidRPr="005A615B">
              <w:rPr>
                <w:rFonts w:eastAsia="Calibri"/>
                <w:sz w:val="28"/>
                <w:szCs w:val="28"/>
              </w:rPr>
              <w:t> </w:t>
            </w:r>
            <w:r w:rsidRPr="005A615B">
              <w:rPr>
                <w:rFonts w:eastAsia="Calibri"/>
                <w:bCs/>
                <w:color w:val="000000"/>
                <w:sz w:val="28"/>
                <w:szCs w:val="28"/>
              </w:rPr>
              <w:t>419,6</w:t>
            </w:r>
            <w:r w:rsidRPr="005A615B">
              <w:rPr>
                <w:rFonts w:eastAsia="Calibri"/>
                <w:sz w:val="28"/>
                <w:szCs w:val="28"/>
              </w:rPr>
              <w:t xml:space="preserve"> тыс.рублей, 2027 год – </w:t>
            </w:r>
            <w:r w:rsidR="00F74A3C" w:rsidRPr="005A615B">
              <w:rPr>
                <w:rFonts w:eastAsia="Calibri"/>
                <w:sz w:val="28"/>
                <w:szCs w:val="28"/>
              </w:rPr>
              <w:br/>
            </w:r>
            <w:r w:rsidRPr="005A615B">
              <w:rPr>
                <w:rFonts w:eastAsia="Calibri"/>
                <w:bCs/>
                <w:color w:val="000000"/>
                <w:sz w:val="28"/>
                <w:szCs w:val="28"/>
              </w:rPr>
              <w:t>119</w:t>
            </w:r>
            <w:r w:rsidRPr="005A615B">
              <w:rPr>
                <w:rFonts w:eastAsia="Calibri"/>
                <w:sz w:val="28"/>
                <w:szCs w:val="28"/>
              </w:rPr>
              <w:t> </w:t>
            </w:r>
            <w:r w:rsidRPr="005A615B">
              <w:rPr>
                <w:rFonts w:eastAsia="Calibri"/>
                <w:bCs/>
                <w:color w:val="000000"/>
                <w:sz w:val="28"/>
                <w:szCs w:val="28"/>
              </w:rPr>
              <w:t>752,1</w:t>
            </w:r>
            <w:r w:rsidRPr="005A615B">
              <w:rPr>
                <w:rFonts w:eastAsia="Calibri"/>
                <w:sz w:val="28"/>
                <w:szCs w:val="28"/>
              </w:rPr>
              <w:t xml:space="preserve"> тыс.рублей, 2028 год – </w:t>
            </w:r>
            <w:r w:rsidRPr="005A615B">
              <w:rPr>
                <w:rFonts w:eastAsia="Calibri"/>
                <w:bCs/>
                <w:color w:val="000000"/>
                <w:sz w:val="28"/>
                <w:szCs w:val="28"/>
              </w:rPr>
              <w:t>0,0</w:t>
            </w:r>
            <w:r w:rsidRPr="005A615B">
              <w:rPr>
                <w:rFonts w:eastAsia="Calibri"/>
                <w:sz w:val="28"/>
                <w:szCs w:val="28"/>
              </w:rPr>
              <w:t xml:space="preserve"> тыс.рублей, 2029 год – </w:t>
            </w:r>
            <w:r w:rsidRPr="005A615B">
              <w:rPr>
                <w:rFonts w:eastAsia="Calibri"/>
                <w:bCs/>
                <w:color w:val="000000"/>
                <w:sz w:val="28"/>
                <w:szCs w:val="28"/>
              </w:rPr>
              <w:t>0,0</w:t>
            </w:r>
            <w:r w:rsidRPr="005A615B">
              <w:rPr>
                <w:rFonts w:eastAsia="Calibri"/>
                <w:sz w:val="28"/>
                <w:szCs w:val="28"/>
              </w:rPr>
              <w:t xml:space="preserve"> тыс.рублей, 2030 год –</w:t>
            </w:r>
            <w:r w:rsidR="00F74A3C" w:rsidRPr="005A615B">
              <w:rPr>
                <w:rFonts w:eastAsia="Calibri"/>
                <w:sz w:val="28"/>
                <w:szCs w:val="28"/>
              </w:rPr>
              <w:t xml:space="preserve"> </w:t>
            </w:r>
            <w:r w:rsidRPr="005A615B">
              <w:rPr>
                <w:rFonts w:eastAsia="Calibri"/>
                <w:bCs/>
                <w:color w:val="000000"/>
                <w:sz w:val="28"/>
                <w:szCs w:val="28"/>
              </w:rPr>
              <w:t>0,0</w:t>
            </w:r>
            <w:r w:rsidRPr="005A615B">
              <w:rPr>
                <w:rFonts w:eastAsia="Calibri"/>
                <w:sz w:val="28"/>
                <w:szCs w:val="28"/>
              </w:rPr>
              <w:t xml:space="preserve"> тыс.рублей);</w:t>
            </w:r>
          </w:p>
          <w:p w:rsidR="008D3DD7" w:rsidRPr="00482001" w:rsidRDefault="00C85832" w:rsidP="00CD4158">
            <w:pPr>
              <w:jc w:val="both"/>
              <w:rPr>
                <w:rFonts w:eastAsia="Calibri"/>
                <w:sz w:val="28"/>
                <w:szCs w:val="28"/>
                <w:lang w:eastAsia="en-US"/>
              </w:rPr>
            </w:pPr>
            <w:r w:rsidRPr="005A615B">
              <w:rPr>
                <w:rFonts w:eastAsia="Calibri"/>
                <w:sz w:val="28"/>
                <w:szCs w:val="28"/>
              </w:rPr>
              <w:t xml:space="preserve">средства бюджета Республики Татарстан – 155 307,0 тыс.рублей (2019 год – 0,0 тыс.рублей, 2020 год – 0,0 тыс.рублей, 2021 год – 0,0 тыс.рублей, 2022 год – 0,0 тыс.рублей, </w:t>
            </w:r>
            <w:r w:rsidR="00F74A3C" w:rsidRPr="005A615B">
              <w:rPr>
                <w:rFonts w:eastAsia="Calibri"/>
                <w:sz w:val="28"/>
                <w:szCs w:val="28"/>
              </w:rPr>
              <w:br/>
            </w:r>
            <w:r w:rsidRPr="005A615B">
              <w:rPr>
                <w:rFonts w:eastAsia="Calibri"/>
                <w:sz w:val="28"/>
                <w:szCs w:val="28"/>
              </w:rPr>
              <w:t xml:space="preserve">2023 год – 0,0 тыс.рублей, 2024 год – </w:t>
            </w:r>
            <w:r w:rsidRPr="005A615B">
              <w:rPr>
                <w:rFonts w:eastAsia="Calibri"/>
                <w:color w:val="000000"/>
                <w:sz w:val="28"/>
                <w:szCs w:val="28"/>
              </w:rPr>
              <w:t xml:space="preserve">18 498,2 </w:t>
            </w:r>
            <w:r w:rsidRPr="005A615B">
              <w:rPr>
                <w:rFonts w:eastAsia="Calibri"/>
                <w:sz w:val="28"/>
                <w:szCs w:val="28"/>
              </w:rPr>
              <w:t>тыс.рублей,</w:t>
            </w:r>
            <w:r w:rsidR="00F74A3C" w:rsidRPr="005A615B">
              <w:rPr>
                <w:rFonts w:eastAsia="Calibri"/>
                <w:color w:val="000000"/>
                <w:sz w:val="28"/>
                <w:szCs w:val="28"/>
              </w:rPr>
              <w:t xml:space="preserve"> 2025 год – </w:t>
            </w:r>
            <w:r w:rsidRPr="005A615B">
              <w:rPr>
                <w:rFonts w:eastAsia="Calibri"/>
                <w:bCs/>
                <w:color w:val="000000"/>
                <w:sz w:val="28"/>
                <w:szCs w:val="28"/>
              </w:rPr>
              <w:t>0,0</w:t>
            </w:r>
            <w:r w:rsidRPr="005A615B">
              <w:rPr>
                <w:rFonts w:eastAsia="Calibri"/>
                <w:sz w:val="28"/>
                <w:szCs w:val="28"/>
              </w:rPr>
              <w:t xml:space="preserve"> тыс.рублей</w:t>
            </w:r>
            <w:r w:rsidRPr="005A615B">
              <w:rPr>
                <w:rFonts w:eastAsia="Calibri"/>
                <w:color w:val="000000"/>
                <w:sz w:val="28"/>
                <w:szCs w:val="28"/>
              </w:rPr>
              <w:t xml:space="preserve">, </w:t>
            </w:r>
            <w:r w:rsidRPr="005A615B">
              <w:rPr>
                <w:rFonts w:eastAsia="Calibri"/>
                <w:sz w:val="28"/>
                <w:szCs w:val="28"/>
              </w:rPr>
              <w:t xml:space="preserve">2026 год – </w:t>
            </w:r>
            <w:r w:rsidRPr="005A615B">
              <w:rPr>
                <w:rFonts w:eastAsia="Calibri"/>
                <w:bCs/>
                <w:color w:val="000000"/>
                <w:sz w:val="28"/>
                <w:szCs w:val="28"/>
              </w:rPr>
              <w:t>77</w:t>
            </w:r>
            <w:r w:rsidRPr="005A615B">
              <w:rPr>
                <w:rFonts w:eastAsia="Calibri"/>
                <w:sz w:val="28"/>
                <w:szCs w:val="28"/>
              </w:rPr>
              <w:t> </w:t>
            </w:r>
            <w:r w:rsidRPr="005A615B">
              <w:rPr>
                <w:rFonts w:eastAsia="Calibri"/>
                <w:bCs/>
                <w:color w:val="000000"/>
                <w:sz w:val="28"/>
                <w:szCs w:val="28"/>
              </w:rPr>
              <w:t>826,4</w:t>
            </w:r>
            <w:r w:rsidR="00F74A3C" w:rsidRPr="005A615B">
              <w:rPr>
                <w:rFonts w:eastAsia="Calibri"/>
                <w:sz w:val="28"/>
                <w:szCs w:val="28"/>
              </w:rPr>
              <w:t xml:space="preserve"> тыс.рублей, 2027 год – </w:t>
            </w:r>
            <w:r w:rsidRPr="005A615B">
              <w:rPr>
                <w:rFonts w:eastAsia="Calibri"/>
                <w:bCs/>
                <w:color w:val="000000"/>
                <w:sz w:val="28"/>
                <w:szCs w:val="28"/>
              </w:rPr>
              <w:t>58</w:t>
            </w:r>
            <w:r w:rsidRPr="005A615B">
              <w:rPr>
                <w:rFonts w:eastAsia="Calibri"/>
                <w:sz w:val="28"/>
                <w:szCs w:val="28"/>
              </w:rPr>
              <w:t> </w:t>
            </w:r>
            <w:r w:rsidRPr="005A615B">
              <w:rPr>
                <w:rFonts w:eastAsia="Calibri"/>
                <w:bCs/>
                <w:color w:val="000000"/>
                <w:sz w:val="28"/>
                <w:szCs w:val="28"/>
              </w:rPr>
              <w:t>982,4</w:t>
            </w:r>
            <w:r w:rsidRPr="005A615B">
              <w:rPr>
                <w:rFonts w:eastAsia="Calibri"/>
                <w:sz w:val="28"/>
                <w:szCs w:val="28"/>
              </w:rPr>
              <w:t xml:space="preserve"> тыс.рублей, 2028 год – </w:t>
            </w:r>
            <w:r w:rsidRPr="005A615B">
              <w:rPr>
                <w:rFonts w:eastAsia="Calibri"/>
                <w:bCs/>
                <w:color w:val="000000"/>
                <w:sz w:val="28"/>
                <w:szCs w:val="28"/>
              </w:rPr>
              <w:t>0,0</w:t>
            </w:r>
            <w:r w:rsidR="00F74A3C" w:rsidRPr="005A615B">
              <w:rPr>
                <w:rFonts w:eastAsia="Calibri"/>
                <w:sz w:val="28"/>
                <w:szCs w:val="28"/>
              </w:rPr>
              <w:t xml:space="preserve"> тыс.рублей, 2029 год – </w:t>
            </w:r>
            <w:r w:rsidRPr="005A615B">
              <w:rPr>
                <w:rFonts w:eastAsia="Calibri"/>
                <w:bCs/>
                <w:color w:val="000000"/>
                <w:sz w:val="28"/>
                <w:szCs w:val="28"/>
              </w:rPr>
              <w:t>0,0</w:t>
            </w:r>
            <w:r w:rsidRPr="005A615B">
              <w:rPr>
                <w:rFonts w:eastAsia="Calibri"/>
                <w:sz w:val="28"/>
                <w:szCs w:val="28"/>
              </w:rPr>
              <w:t xml:space="preserve"> тыс.рублей, 2030 год – </w:t>
            </w:r>
            <w:r w:rsidRPr="005A615B">
              <w:rPr>
                <w:rFonts w:eastAsia="Calibri"/>
                <w:bCs/>
                <w:color w:val="000000"/>
                <w:sz w:val="28"/>
                <w:szCs w:val="28"/>
              </w:rPr>
              <w:t>0,0</w:t>
            </w:r>
            <w:r w:rsidR="00F74A3C" w:rsidRPr="005A615B">
              <w:rPr>
                <w:rFonts w:eastAsia="Calibri"/>
                <w:sz w:val="28"/>
                <w:szCs w:val="28"/>
              </w:rPr>
              <w:t xml:space="preserve"> тыс.рублей)</w:t>
            </w:r>
          </w:p>
        </w:tc>
      </w:tr>
      <w:tr w:rsidR="005B3B7F" w:rsidRPr="00091230" w:rsidTr="00CD4158">
        <w:trPr>
          <w:trHeight w:val="955"/>
        </w:trPr>
        <w:tc>
          <w:tcPr>
            <w:tcW w:w="2628" w:type="dxa"/>
          </w:tcPr>
          <w:p w:rsidR="005B3B7F" w:rsidRPr="00BD4266" w:rsidRDefault="005B3B7F" w:rsidP="003C737D">
            <w:pPr>
              <w:spacing w:line="242" w:lineRule="auto"/>
              <w:ind w:left="-57" w:right="-57"/>
              <w:jc w:val="both"/>
              <w:rPr>
                <w:rFonts w:eastAsia="Calibri"/>
                <w:sz w:val="28"/>
                <w:szCs w:val="28"/>
              </w:rPr>
            </w:pPr>
            <w:r w:rsidRPr="00BD4266">
              <w:rPr>
                <w:rFonts w:eastAsia="Calibri"/>
                <w:sz w:val="28"/>
                <w:szCs w:val="28"/>
              </w:rPr>
              <w:t xml:space="preserve">Ожидаемые результаты реализации </w:t>
            </w:r>
            <w:r w:rsidR="00BD4266" w:rsidRPr="00BD4266">
              <w:rPr>
                <w:sz w:val="28"/>
                <w:szCs w:val="28"/>
              </w:rPr>
              <w:t>региональной программы</w:t>
            </w:r>
            <w:r w:rsidR="00BD4266" w:rsidRPr="00BD4266">
              <w:rPr>
                <w:rFonts w:eastAsia="Calibri"/>
                <w:sz w:val="28"/>
                <w:szCs w:val="28"/>
              </w:rPr>
              <w:t xml:space="preserve"> </w:t>
            </w:r>
          </w:p>
        </w:tc>
        <w:tc>
          <w:tcPr>
            <w:tcW w:w="7540" w:type="dxa"/>
          </w:tcPr>
          <w:p w:rsidR="00E51FBA" w:rsidRPr="00BD4266" w:rsidRDefault="00E51FBA" w:rsidP="00E51FBA">
            <w:pPr>
              <w:jc w:val="both"/>
              <w:rPr>
                <w:rFonts w:eastAsia="Calibri"/>
                <w:spacing w:val="-6"/>
                <w:sz w:val="28"/>
                <w:szCs w:val="28"/>
              </w:rPr>
            </w:pPr>
            <w:r>
              <w:rPr>
                <w:color w:val="000000"/>
                <w:spacing w:val="-2"/>
                <w:sz w:val="28"/>
                <w:szCs w:val="28"/>
              </w:rPr>
              <w:t>У</w:t>
            </w:r>
            <w:r w:rsidRPr="00BD4266">
              <w:rPr>
                <w:color w:val="000000"/>
                <w:spacing w:val="-2"/>
                <w:sz w:val="28"/>
                <w:szCs w:val="28"/>
              </w:rPr>
              <w:t>величение доли злокачественных новообразований, выявленных на I стадии, от общего числа случаев злокачественных новообразований визуальных локализаций</w:t>
            </w:r>
            <w:r w:rsidRPr="00BD4266">
              <w:rPr>
                <w:rFonts w:eastAsia="Calibri"/>
                <w:spacing w:val="-6"/>
                <w:sz w:val="28"/>
                <w:szCs w:val="28"/>
              </w:rPr>
              <w:t xml:space="preserve"> до 58,7 процента;</w:t>
            </w:r>
          </w:p>
          <w:p w:rsidR="005B3B7F" w:rsidRPr="00BD4266" w:rsidRDefault="00E51FBA" w:rsidP="00CD4158">
            <w:pPr>
              <w:jc w:val="both"/>
              <w:rPr>
                <w:rFonts w:eastAsia="Calibri"/>
                <w:spacing w:val="-6"/>
                <w:sz w:val="28"/>
                <w:szCs w:val="28"/>
              </w:rPr>
            </w:pPr>
            <w:r>
              <w:rPr>
                <w:color w:val="000000"/>
                <w:spacing w:val="-2"/>
                <w:sz w:val="28"/>
                <w:szCs w:val="28"/>
              </w:rPr>
              <w:t>у</w:t>
            </w:r>
            <w:r w:rsidR="005B3B7F" w:rsidRPr="00BD4266">
              <w:rPr>
                <w:color w:val="000000"/>
                <w:spacing w:val="-2"/>
                <w:sz w:val="28"/>
                <w:szCs w:val="28"/>
              </w:rPr>
              <w:t xml:space="preserve">величение доли лиц, живущих 5 </w:t>
            </w:r>
            <w:r w:rsidR="005317F0" w:rsidRPr="00BD4266">
              <w:rPr>
                <w:color w:val="000000"/>
                <w:spacing w:val="-2"/>
                <w:sz w:val="28"/>
                <w:szCs w:val="28"/>
              </w:rPr>
              <w:t xml:space="preserve">лет </w:t>
            </w:r>
            <w:r w:rsidR="005B3B7F" w:rsidRPr="00BD4266">
              <w:rPr>
                <w:color w:val="000000"/>
                <w:spacing w:val="-2"/>
                <w:sz w:val="28"/>
                <w:szCs w:val="28"/>
              </w:rPr>
              <w:t>и более с момента установления диагноза злокачественного новообразования</w:t>
            </w:r>
            <w:r w:rsidR="00D11AEE">
              <w:rPr>
                <w:color w:val="000000"/>
                <w:spacing w:val="-2"/>
                <w:sz w:val="28"/>
                <w:szCs w:val="28"/>
              </w:rPr>
              <w:t>,</w:t>
            </w:r>
            <w:r w:rsidR="005B3B7F" w:rsidRPr="00BD4266">
              <w:rPr>
                <w:rFonts w:eastAsia="Calibri"/>
                <w:spacing w:val="-6"/>
                <w:sz w:val="28"/>
                <w:szCs w:val="28"/>
              </w:rPr>
              <w:t xml:space="preserve"> до </w:t>
            </w:r>
            <w:r w:rsidR="00B21F25">
              <w:rPr>
                <w:rFonts w:eastAsia="Calibri"/>
                <w:spacing w:val="-6"/>
                <w:sz w:val="28"/>
                <w:szCs w:val="28"/>
              </w:rPr>
              <w:br/>
            </w:r>
            <w:r w:rsidR="005B3B7F" w:rsidRPr="00BD4266">
              <w:rPr>
                <w:rFonts w:eastAsia="Calibri"/>
                <w:spacing w:val="-6"/>
                <w:sz w:val="28"/>
                <w:szCs w:val="28"/>
              </w:rPr>
              <w:t xml:space="preserve">71,8 процента; </w:t>
            </w:r>
          </w:p>
          <w:p w:rsidR="005B3B7F" w:rsidRPr="00BD4266" w:rsidRDefault="00771B10" w:rsidP="00CD4158">
            <w:pPr>
              <w:jc w:val="both"/>
              <w:rPr>
                <w:rFonts w:eastAsia="Calibri"/>
                <w:spacing w:val="-6"/>
                <w:sz w:val="28"/>
                <w:szCs w:val="28"/>
              </w:rPr>
            </w:pPr>
            <w:r w:rsidRPr="00BD4266">
              <w:rPr>
                <w:color w:val="000000"/>
                <w:spacing w:val="-2"/>
                <w:sz w:val="28"/>
                <w:szCs w:val="28"/>
              </w:rPr>
              <w:lastRenderedPageBreak/>
              <w:t>увеличение доли лиц, прошедших обследование в соответствии с индивидуальным планом ведения в рамках диспансерного наблюдения, из числа онкологических больных, завершивших лечение</w:t>
            </w:r>
            <w:r w:rsidR="005317F0">
              <w:rPr>
                <w:color w:val="000000"/>
                <w:spacing w:val="-2"/>
                <w:sz w:val="28"/>
                <w:szCs w:val="28"/>
              </w:rPr>
              <w:t>,</w:t>
            </w:r>
            <w:r w:rsidRPr="00BD4266">
              <w:rPr>
                <w:color w:val="000000"/>
                <w:spacing w:val="-2"/>
                <w:sz w:val="28"/>
                <w:szCs w:val="28"/>
              </w:rPr>
              <w:t xml:space="preserve"> до 90,0 </w:t>
            </w:r>
            <w:r w:rsidRPr="00BD4266">
              <w:rPr>
                <w:rFonts w:eastAsia="Calibri"/>
                <w:spacing w:val="-6"/>
                <w:sz w:val="28"/>
                <w:szCs w:val="28"/>
              </w:rPr>
              <w:t xml:space="preserve">процента; </w:t>
            </w:r>
          </w:p>
          <w:p w:rsidR="00C85832" w:rsidRPr="00091230" w:rsidRDefault="00771B10" w:rsidP="00CD4158">
            <w:pPr>
              <w:jc w:val="both"/>
              <w:rPr>
                <w:rFonts w:eastAsia="Calibri"/>
                <w:spacing w:val="-6"/>
                <w:sz w:val="28"/>
                <w:szCs w:val="28"/>
              </w:rPr>
            </w:pPr>
            <w:r w:rsidRPr="00BD4266">
              <w:rPr>
                <w:color w:val="000000"/>
                <w:spacing w:val="-2"/>
                <w:sz w:val="28"/>
                <w:szCs w:val="28"/>
              </w:rPr>
              <w:t>снижение одногодичной летальности больных со злокачественными новообразованиями (умерли в течени</w:t>
            </w:r>
            <w:r w:rsidR="00891819">
              <w:rPr>
                <w:color w:val="000000"/>
                <w:spacing w:val="-2"/>
                <w:sz w:val="28"/>
                <w:szCs w:val="28"/>
              </w:rPr>
              <w:t>е</w:t>
            </w:r>
            <w:r w:rsidRPr="00BD4266">
              <w:rPr>
                <w:color w:val="000000"/>
                <w:spacing w:val="-2"/>
                <w:sz w:val="28"/>
                <w:szCs w:val="28"/>
              </w:rPr>
              <w:t xml:space="preserve"> первого года с момента установления диагноза из числа больных, впервые взятых под диспансерное наблюдение в предыдущем году) до 16,4 </w:t>
            </w:r>
            <w:r w:rsidR="005317F0">
              <w:rPr>
                <w:rFonts w:eastAsia="Calibri"/>
                <w:spacing w:val="-6"/>
                <w:sz w:val="28"/>
                <w:szCs w:val="28"/>
              </w:rPr>
              <w:t>процента</w:t>
            </w:r>
          </w:p>
        </w:tc>
      </w:tr>
    </w:tbl>
    <w:p w:rsidR="003C737D" w:rsidRDefault="003C737D" w:rsidP="00185EDB">
      <w:pPr>
        <w:autoSpaceDE/>
        <w:adjustRightInd/>
        <w:jc w:val="center"/>
        <w:outlineLvl w:val="0"/>
        <w:rPr>
          <w:rFonts w:eastAsia="Calibri"/>
          <w:color w:val="000000"/>
          <w:sz w:val="28"/>
          <w:szCs w:val="28"/>
          <w:lang w:eastAsia="x-none"/>
        </w:rPr>
      </w:pPr>
    </w:p>
    <w:p w:rsidR="00A20085" w:rsidRPr="007C51D6" w:rsidRDefault="00A20085" w:rsidP="00185EDB">
      <w:pPr>
        <w:autoSpaceDE/>
        <w:adjustRightInd/>
        <w:jc w:val="center"/>
        <w:outlineLvl w:val="0"/>
        <w:rPr>
          <w:rFonts w:eastAsia="Calibri"/>
          <w:color w:val="000000"/>
          <w:sz w:val="28"/>
          <w:szCs w:val="28"/>
          <w:lang w:eastAsia="x-none"/>
        </w:rPr>
      </w:pPr>
      <w:r w:rsidRPr="007C51D6">
        <w:rPr>
          <w:rFonts w:eastAsia="Calibri"/>
          <w:color w:val="000000"/>
          <w:sz w:val="28"/>
          <w:szCs w:val="28"/>
          <w:lang w:eastAsia="x-none"/>
        </w:rPr>
        <w:t xml:space="preserve">I. Характеристика сферы реализации </w:t>
      </w:r>
      <w:r w:rsidR="00A22535" w:rsidRPr="007C51D6">
        <w:rPr>
          <w:rFonts w:eastAsia="Calibri"/>
          <w:color w:val="000000"/>
          <w:sz w:val="28"/>
          <w:szCs w:val="28"/>
          <w:lang w:eastAsia="x-none"/>
        </w:rPr>
        <w:t xml:space="preserve">региональной </w:t>
      </w:r>
      <w:r w:rsidRPr="007C51D6">
        <w:rPr>
          <w:rFonts w:eastAsia="Calibri"/>
          <w:color w:val="000000"/>
          <w:sz w:val="28"/>
          <w:szCs w:val="28"/>
          <w:lang w:eastAsia="x-none"/>
        </w:rPr>
        <w:t>программы, описание основных проблем</w:t>
      </w:r>
      <w:r w:rsidR="00A22535" w:rsidRPr="007C51D6">
        <w:rPr>
          <w:rFonts w:eastAsia="Calibri"/>
          <w:color w:val="000000"/>
          <w:sz w:val="28"/>
          <w:szCs w:val="28"/>
          <w:lang w:eastAsia="x-none"/>
        </w:rPr>
        <w:t xml:space="preserve"> </w:t>
      </w:r>
      <w:r w:rsidRPr="007C51D6">
        <w:rPr>
          <w:rFonts w:eastAsia="Calibri"/>
          <w:color w:val="000000"/>
          <w:sz w:val="28"/>
          <w:szCs w:val="28"/>
          <w:lang w:eastAsia="x-none"/>
        </w:rPr>
        <w:t>в указанной сфере и прогноз ее развития</w:t>
      </w:r>
    </w:p>
    <w:p w:rsidR="00185EDB" w:rsidRPr="007C51D6" w:rsidRDefault="00185EDB" w:rsidP="00185EDB">
      <w:pPr>
        <w:autoSpaceDE/>
        <w:autoSpaceDN/>
        <w:adjustRightInd/>
        <w:ind w:firstLine="709"/>
        <w:jc w:val="both"/>
        <w:rPr>
          <w:sz w:val="28"/>
          <w:szCs w:val="28"/>
        </w:rPr>
      </w:pPr>
    </w:p>
    <w:p w:rsidR="00A20085" w:rsidRPr="007C51D6" w:rsidRDefault="00A20085" w:rsidP="00185EDB">
      <w:pPr>
        <w:autoSpaceDE/>
        <w:autoSpaceDN/>
        <w:adjustRightInd/>
        <w:ind w:firstLine="709"/>
        <w:jc w:val="both"/>
        <w:rPr>
          <w:rFonts w:eastAsia="Arial"/>
          <w:sz w:val="28"/>
          <w:szCs w:val="28"/>
          <w:lang w:eastAsia="x-none"/>
        </w:rPr>
      </w:pPr>
      <w:r w:rsidRPr="007C51D6">
        <w:rPr>
          <w:sz w:val="28"/>
          <w:szCs w:val="28"/>
        </w:rPr>
        <w:t>1. Текущее состояние онкологической помощи в регионе. Основные показатели онкологической помощи населению региона.</w:t>
      </w:r>
    </w:p>
    <w:p w:rsidR="006E3599" w:rsidRPr="007C51D6" w:rsidRDefault="003778D6" w:rsidP="00185EDB">
      <w:pPr>
        <w:autoSpaceDE/>
        <w:autoSpaceDN/>
        <w:adjustRightInd/>
        <w:ind w:firstLine="709"/>
        <w:jc w:val="both"/>
        <w:rPr>
          <w:sz w:val="28"/>
          <w:szCs w:val="28"/>
        </w:rPr>
      </w:pPr>
      <w:r w:rsidRPr="007C51D6">
        <w:rPr>
          <w:rFonts w:eastAsia="Arial"/>
          <w:sz w:val="28"/>
          <w:szCs w:val="28"/>
          <w:lang w:eastAsia="x-none"/>
        </w:rPr>
        <w:t xml:space="preserve">1.1. </w:t>
      </w:r>
      <w:r w:rsidR="006E3599" w:rsidRPr="007C51D6">
        <w:rPr>
          <w:bCs/>
          <w:sz w:val="28"/>
          <w:szCs w:val="28"/>
        </w:rPr>
        <w:t>Краткая характеристика региона в целом</w:t>
      </w:r>
      <w:r w:rsidR="00156F49" w:rsidRPr="007C51D6">
        <w:rPr>
          <w:bCs/>
          <w:sz w:val="28"/>
          <w:szCs w:val="28"/>
        </w:rPr>
        <w:t>.</w:t>
      </w:r>
    </w:p>
    <w:p w:rsidR="003778D6" w:rsidRPr="007C51D6" w:rsidRDefault="003778D6" w:rsidP="00185EDB">
      <w:pPr>
        <w:autoSpaceDE/>
        <w:autoSpaceDN/>
        <w:adjustRightInd/>
        <w:ind w:firstLine="709"/>
        <w:jc w:val="both"/>
        <w:rPr>
          <w:rFonts w:eastAsia="Arial"/>
          <w:sz w:val="28"/>
          <w:szCs w:val="28"/>
          <w:lang w:eastAsia="x-none"/>
        </w:rPr>
      </w:pPr>
      <w:r w:rsidRPr="007C51D6">
        <w:rPr>
          <w:rFonts w:eastAsia="Arial"/>
          <w:sz w:val="28"/>
          <w:szCs w:val="28"/>
          <w:lang w:eastAsia="x-none"/>
        </w:rPr>
        <w:t xml:space="preserve">Республика Татарстан расположена в европейской части Российской Федерации – в центре Волжско-Камского бассейна. </w:t>
      </w:r>
    </w:p>
    <w:p w:rsidR="00B73597" w:rsidRPr="007C51D6" w:rsidRDefault="003778D6" w:rsidP="00185EDB">
      <w:pPr>
        <w:autoSpaceDE/>
        <w:autoSpaceDN/>
        <w:adjustRightInd/>
        <w:ind w:firstLine="709"/>
        <w:jc w:val="both"/>
        <w:rPr>
          <w:rFonts w:eastAsia="Arial"/>
          <w:sz w:val="28"/>
          <w:szCs w:val="28"/>
        </w:rPr>
      </w:pPr>
      <w:r w:rsidRPr="007C51D6">
        <w:rPr>
          <w:rFonts w:eastAsia="Arial"/>
          <w:sz w:val="28"/>
          <w:szCs w:val="28"/>
          <w:lang w:eastAsia="x-none"/>
        </w:rPr>
        <w:t xml:space="preserve">Территория Республики Татарстан составляет </w:t>
      </w:r>
      <w:r w:rsidR="003179F7" w:rsidRPr="007C51D6">
        <w:rPr>
          <w:rFonts w:eastAsia="Arial"/>
          <w:sz w:val="28"/>
          <w:szCs w:val="28"/>
          <w:lang w:eastAsia="x-none"/>
        </w:rPr>
        <w:t>67 936</w:t>
      </w:r>
      <w:r w:rsidRPr="007C51D6">
        <w:rPr>
          <w:rFonts w:eastAsia="Arial"/>
          <w:sz w:val="28"/>
          <w:szCs w:val="28"/>
          <w:lang w:eastAsia="x-none"/>
        </w:rPr>
        <w:t xml:space="preserve"> кв.километров. </w:t>
      </w:r>
    </w:p>
    <w:p w:rsidR="00DD4F8F" w:rsidRPr="007C51D6" w:rsidRDefault="00DD4F8F" w:rsidP="00185EDB">
      <w:pPr>
        <w:autoSpaceDE/>
        <w:autoSpaceDN/>
        <w:adjustRightInd/>
        <w:ind w:firstLine="709"/>
        <w:jc w:val="both"/>
        <w:rPr>
          <w:rFonts w:eastAsia="Arial"/>
          <w:sz w:val="28"/>
          <w:szCs w:val="28"/>
          <w:lang w:eastAsia="x-none"/>
        </w:rPr>
      </w:pPr>
      <w:r w:rsidRPr="007C51D6">
        <w:rPr>
          <w:rFonts w:eastAsia="Arial"/>
          <w:sz w:val="28"/>
          <w:szCs w:val="28"/>
          <w:lang w:eastAsia="x-none"/>
        </w:rPr>
        <w:t xml:space="preserve">Численность населения </w:t>
      </w:r>
      <w:r w:rsidR="00E709DB" w:rsidRPr="007C51D6">
        <w:rPr>
          <w:rFonts w:eastAsia="Arial"/>
          <w:sz w:val="28"/>
          <w:szCs w:val="28"/>
        </w:rPr>
        <w:t xml:space="preserve">Республики Татарстан </w:t>
      </w:r>
      <w:r w:rsidRPr="007C51D6">
        <w:rPr>
          <w:rFonts w:eastAsia="Arial"/>
          <w:sz w:val="28"/>
          <w:szCs w:val="28"/>
          <w:lang w:eastAsia="x-none"/>
        </w:rPr>
        <w:t>на начало 202</w:t>
      </w:r>
      <w:r w:rsidR="00F53105" w:rsidRPr="007C51D6">
        <w:rPr>
          <w:rFonts w:eastAsia="Arial"/>
          <w:sz w:val="28"/>
          <w:szCs w:val="28"/>
          <w:lang w:eastAsia="x-none"/>
        </w:rPr>
        <w:t>5</w:t>
      </w:r>
      <w:r w:rsidRPr="007C51D6">
        <w:rPr>
          <w:rFonts w:eastAsia="Arial"/>
          <w:sz w:val="28"/>
          <w:szCs w:val="28"/>
          <w:lang w:eastAsia="x-none"/>
        </w:rPr>
        <w:t xml:space="preserve"> года – </w:t>
      </w:r>
      <w:r w:rsidR="00185EDB" w:rsidRPr="007C51D6">
        <w:rPr>
          <w:rFonts w:eastAsia="Arial"/>
          <w:sz w:val="28"/>
          <w:szCs w:val="28"/>
          <w:lang w:eastAsia="x-none"/>
        </w:rPr>
        <w:br/>
      </w:r>
      <w:r w:rsidRPr="007C51D6">
        <w:rPr>
          <w:rFonts w:eastAsia="Arial"/>
          <w:sz w:val="28"/>
          <w:szCs w:val="28"/>
          <w:lang w:eastAsia="x-none"/>
        </w:rPr>
        <w:t>4 0</w:t>
      </w:r>
      <w:r w:rsidR="00F53105" w:rsidRPr="007C51D6">
        <w:rPr>
          <w:rFonts w:eastAsia="Arial"/>
          <w:sz w:val="28"/>
          <w:szCs w:val="28"/>
          <w:lang w:eastAsia="x-none"/>
        </w:rPr>
        <w:t>19</w:t>
      </w:r>
      <w:r w:rsidRPr="007C51D6">
        <w:rPr>
          <w:rFonts w:eastAsia="Arial"/>
          <w:sz w:val="28"/>
          <w:szCs w:val="28"/>
          <w:lang w:eastAsia="x-none"/>
        </w:rPr>
        <w:t> </w:t>
      </w:r>
      <w:r w:rsidR="00F53105" w:rsidRPr="007C51D6">
        <w:rPr>
          <w:rFonts w:eastAsia="Arial"/>
          <w:sz w:val="28"/>
          <w:szCs w:val="28"/>
          <w:lang w:eastAsia="x-none"/>
        </w:rPr>
        <w:t>6</w:t>
      </w:r>
      <w:r w:rsidRPr="007C51D6">
        <w:rPr>
          <w:rFonts w:eastAsia="Arial"/>
          <w:sz w:val="28"/>
          <w:szCs w:val="28"/>
          <w:lang w:eastAsia="x-none"/>
        </w:rPr>
        <w:t xml:space="preserve">06 человек, в том числе </w:t>
      </w:r>
      <w:r w:rsidR="00E87A6F" w:rsidRPr="007C51D6">
        <w:rPr>
          <w:rFonts w:eastAsia="Arial"/>
          <w:sz w:val="28"/>
          <w:szCs w:val="28"/>
          <w:lang w:eastAsia="x-none"/>
        </w:rPr>
        <w:t>городского населения</w:t>
      </w:r>
      <w:r w:rsidRPr="007C51D6">
        <w:rPr>
          <w:rFonts w:eastAsia="Arial"/>
          <w:sz w:val="28"/>
          <w:szCs w:val="28"/>
          <w:lang w:eastAsia="x-none"/>
        </w:rPr>
        <w:t xml:space="preserve"> – </w:t>
      </w:r>
      <w:r w:rsidR="00E87A6F" w:rsidRPr="007C51D6">
        <w:rPr>
          <w:rFonts w:eastAsia="Arial"/>
          <w:sz w:val="28"/>
          <w:szCs w:val="28"/>
          <w:lang w:eastAsia="x-none"/>
        </w:rPr>
        <w:t>3</w:t>
      </w:r>
      <w:r w:rsidRPr="007C51D6">
        <w:rPr>
          <w:bCs/>
          <w:sz w:val="28"/>
          <w:szCs w:val="28"/>
        </w:rPr>
        <w:t> </w:t>
      </w:r>
      <w:r w:rsidR="00E87A6F" w:rsidRPr="007C51D6">
        <w:rPr>
          <w:bCs/>
          <w:sz w:val="28"/>
          <w:szCs w:val="28"/>
        </w:rPr>
        <w:t>083366</w:t>
      </w:r>
      <w:r w:rsidRPr="007C51D6">
        <w:rPr>
          <w:bCs/>
          <w:sz w:val="28"/>
          <w:szCs w:val="28"/>
        </w:rPr>
        <w:t xml:space="preserve"> </w:t>
      </w:r>
      <w:r w:rsidRPr="007C51D6">
        <w:rPr>
          <w:rFonts w:eastAsia="Arial"/>
          <w:sz w:val="28"/>
          <w:szCs w:val="28"/>
          <w:lang w:eastAsia="x-none"/>
        </w:rPr>
        <w:t>человек (</w:t>
      </w:r>
      <w:r w:rsidR="00E87A6F" w:rsidRPr="007C51D6">
        <w:rPr>
          <w:rFonts w:eastAsia="Arial"/>
          <w:sz w:val="28"/>
          <w:szCs w:val="28"/>
          <w:lang w:eastAsia="x-none"/>
        </w:rPr>
        <w:t>7</w:t>
      </w:r>
      <w:r w:rsidRPr="007C51D6">
        <w:rPr>
          <w:rFonts w:eastAsia="Arial"/>
          <w:sz w:val="28"/>
          <w:szCs w:val="28"/>
          <w:lang w:eastAsia="x-none"/>
        </w:rPr>
        <w:t xml:space="preserve">6,7 процента), </w:t>
      </w:r>
      <w:r w:rsidR="00E87A6F" w:rsidRPr="007C51D6">
        <w:rPr>
          <w:rFonts w:eastAsia="Arial"/>
          <w:sz w:val="28"/>
          <w:szCs w:val="28"/>
          <w:lang w:eastAsia="x-none"/>
        </w:rPr>
        <w:t>сельского населения</w:t>
      </w:r>
      <w:r w:rsidRPr="007C51D6">
        <w:rPr>
          <w:rFonts w:eastAsia="Arial"/>
          <w:sz w:val="28"/>
          <w:szCs w:val="28"/>
          <w:lang w:eastAsia="x-none"/>
        </w:rPr>
        <w:t xml:space="preserve"> – </w:t>
      </w:r>
      <w:r w:rsidR="00E87A6F" w:rsidRPr="007C51D6">
        <w:rPr>
          <w:rFonts w:eastAsia="Arial"/>
          <w:sz w:val="28"/>
          <w:szCs w:val="28"/>
          <w:lang w:eastAsia="x-none"/>
        </w:rPr>
        <w:t>936</w:t>
      </w:r>
      <w:r w:rsidRPr="007C51D6">
        <w:rPr>
          <w:bCs/>
          <w:sz w:val="28"/>
          <w:szCs w:val="28"/>
        </w:rPr>
        <w:t> </w:t>
      </w:r>
      <w:r w:rsidR="00E87A6F" w:rsidRPr="007C51D6">
        <w:rPr>
          <w:bCs/>
          <w:sz w:val="28"/>
          <w:szCs w:val="28"/>
        </w:rPr>
        <w:t>240</w:t>
      </w:r>
      <w:r w:rsidRPr="007C51D6">
        <w:rPr>
          <w:bCs/>
          <w:sz w:val="28"/>
          <w:szCs w:val="28"/>
        </w:rPr>
        <w:t xml:space="preserve"> </w:t>
      </w:r>
      <w:r w:rsidRPr="007C51D6">
        <w:rPr>
          <w:rFonts w:eastAsia="Arial"/>
          <w:sz w:val="28"/>
          <w:szCs w:val="28"/>
          <w:lang w:eastAsia="x-none"/>
        </w:rPr>
        <w:t>человек (</w:t>
      </w:r>
      <w:r w:rsidR="00E87A6F" w:rsidRPr="007C51D6">
        <w:rPr>
          <w:rFonts w:eastAsia="Arial"/>
          <w:sz w:val="28"/>
          <w:szCs w:val="28"/>
          <w:lang w:eastAsia="x-none"/>
        </w:rPr>
        <w:t>2</w:t>
      </w:r>
      <w:r w:rsidRPr="007C51D6">
        <w:rPr>
          <w:rFonts w:eastAsia="Arial"/>
          <w:sz w:val="28"/>
          <w:szCs w:val="28"/>
          <w:lang w:eastAsia="x-none"/>
        </w:rPr>
        <w:t xml:space="preserve">3,3 процента). </w:t>
      </w:r>
    </w:p>
    <w:p w:rsidR="0089696D" w:rsidRPr="007C51D6" w:rsidRDefault="0089696D" w:rsidP="00185EDB">
      <w:pPr>
        <w:autoSpaceDE/>
        <w:autoSpaceDN/>
        <w:adjustRightInd/>
        <w:ind w:firstLine="709"/>
        <w:jc w:val="both"/>
        <w:rPr>
          <w:rFonts w:eastAsia="Arial"/>
          <w:sz w:val="28"/>
          <w:szCs w:val="28"/>
          <w:lang w:eastAsia="x-none"/>
        </w:rPr>
      </w:pPr>
      <w:r w:rsidRPr="007C51D6">
        <w:rPr>
          <w:rFonts w:eastAsia="Arial"/>
          <w:sz w:val="28"/>
          <w:szCs w:val="28"/>
          <w:lang w:eastAsia="x-none"/>
        </w:rPr>
        <w:t>Плотность населения Республики Татарстан составляет 5</w:t>
      </w:r>
      <w:r w:rsidR="00CB51B0" w:rsidRPr="007C51D6">
        <w:rPr>
          <w:rFonts w:eastAsia="Arial"/>
          <w:sz w:val="28"/>
          <w:szCs w:val="28"/>
          <w:lang w:eastAsia="x-none"/>
        </w:rPr>
        <w:t>9</w:t>
      </w:r>
      <w:r w:rsidR="00453E79" w:rsidRPr="007C51D6">
        <w:rPr>
          <w:rFonts w:eastAsia="Arial"/>
          <w:sz w:val="28"/>
          <w:szCs w:val="28"/>
          <w:lang w:eastAsia="x-none"/>
        </w:rPr>
        <w:t>,</w:t>
      </w:r>
      <w:r w:rsidR="0008726B" w:rsidRPr="007C51D6">
        <w:rPr>
          <w:rFonts w:eastAsia="Arial"/>
          <w:sz w:val="28"/>
          <w:szCs w:val="28"/>
          <w:lang w:eastAsia="x-none"/>
        </w:rPr>
        <w:t>17</w:t>
      </w:r>
      <w:r w:rsidRPr="007C51D6">
        <w:rPr>
          <w:rFonts w:eastAsia="Arial"/>
          <w:sz w:val="28"/>
          <w:szCs w:val="28"/>
          <w:lang w:eastAsia="x-none"/>
        </w:rPr>
        <w:t xml:space="preserve"> человек на </w:t>
      </w:r>
      <w:r w:rsidRPr="007C51D6">
        <w:rPr>
          <w:rFonts w:eastAsia="Arial"/>
          <w:sz w:val="28"/>
          <w:szCs w:val="28"/>
          <w:lang w:eastAsia="x-none"/>
        </w:rPr>
        <w:br/>
        <w:t xml:space="preserve">1 кв.километр. </w:t>
      </w:r>
    </w:p>
    <w:p w:rsidR="0089696D" w:rsidRPr="007C51D6" w:rsidRDefault="0089696D" w:rsidP="00185EDB">
      <w:pPr>
        <w:autoSpaceDE/>
        <w:autoSpaceDN/>
        <w:adjustRightInd/>
        <w:ind w:firstLine="709"/>
        <w:jc w:val="both"/>
        <w:rPr>
          <w:rFonts w:eastAsia="Arial"/>
          <w:sz w:val="28"/>
          <w:szCs w:val="28"/>
          <w:lang w:eastAsia="x-none"/>
        </w:rPr>
      </w:pPr>
      <w:r w:rsidRPr="007C51D6">
        <w:rPr>
          <w:rFonts w:eastAsia="Arial"/>
          <w:sz w:val="28"/>
          <w:szCs w:val="28"/>
          <w:lang w:eastAsia="x-none"/>
        </w:rPr>
        <w:t>Республика</w:t>
      </w:r>
      <w:r w:rsidRPr="007C51D6">
        <w:rPr>
          <w:rFonts w:eastAsia="Arial"/>
          <w:sz w:val="28"/>
          <w:szCs w:val="28"/>
        </w:rPr>
        <w:t xml:space="preserve"> Татарстан является одной из самых многонациональных территорий Росси</w:t>
      </w:r>
      <w:r w:rsidR="00B21F25" w:rsidRPr="007C51D6">
        <w:rPr>
          <w:rFonts w:eastAsia="Arial"/>
          <w:sz w:val="28"/>
          <w:szCs w:val="28"/>
        </w:rPr>
        <w:t>йской Федерации</w:t>
      </w:r>
      <w:r w:rsidRPr="007C51D6">
        <w:rPr>
          <w:rFonts w:eastAsia="Arial"/>
          <w:sz w:val="28"/>
          <w:szCs w:val="28"/>
        </w:rPr>
        <w:t xml:space="preserve">. По данным Всероссийской переписи населения </w:t>
      </w:r>
      <w:r w:rsidR="00185EDB" w:rsidRPr="007C51D6">
        <w:rPr>
          <w:rFonts w:eastAsia="Arial"/>
          <w:sz w:val="28"/>
          <w:szCs w:val="28"/>
        </w:rPr>
        <w:br/>
      </w:r>
      <w:r w:rsidRPr="007C51D6">
        <w:rPr>
          <w:rFonts w:eastAsia="Arial"/>
          <w:sz w:val="28"/>
          <w:szCs w:val="28"/>
        </w:rPr>
        <w:t xml:space="preserve">2020 года, представители </w:t>
      </w:r>
      <w:r w:rsidR="00F01222" w:rsidRPr="007C51D6">
        <w:rPr>
          <w:rFonts w:eastAsia="Arial"/>
          <w:sz w:val="28"/>
          <w:szCs w:val="28"/>
        </w:rPr>
        <w:t>173</w:t>
      </w:r>
      <w:r w:rsidRPr="007C51D6">
        <w:rPr>
          <w:rFonts w:eastAsia="Arial"/>
          <w:sz w:val="28"/>
          <w:szCs w:val="28"/>
        </w:rPr>
        <w:t xml:space="preserve"> национальностей проживают на территории республики. Среди народов, населяющих Татарстан, преобладающие по численности населения </w:t>
      </w:r>
      <w:r w:rsidRPr="007C51D6">
        <w:rPr>
          <w:rFonts w:eastAsia="Calibri"/>
          <w:sz w:val="28"/>
          <w:szCs w:val="28"/>
        </w:rPr>
        <w:t>–</w:t>
      </w:r>
      <w:r w:rsidRPr="007C51D6">
        <w:rPr>
          <w:rFonts w:eastAsia="Arial"/>
          <w:sz w:val="28"/>
          <w:szCs w:val="28"/>
        </w:rPr>
        <w:t xml:space="preserve"> татары (более 2 млн.человек, или 53,2 процента от общей численности населения республики). На втором месте </w:t>
      </w:r>
      <w:r w:rsidRPr="007C51D6">
        <w:rPr>
          <w:rFonts w:eastAsia="Calibri"/>
          <w:sz w:val="28"/>
          <w:szCs w:val="28"/>
        </w:rPr>
        <w:t>–</w:t>
      </w:r>
      <w:r w:rsidR="00185EDB" w:rsidRPr="007C51D6">
        <w:rPr>
          <w:rFonts w:eastAsia="Calibri"/>
          <w:sz w:val="28"/>
          <w:szCs w:val="28"/>
        </w:rPr>
        <w:t xml:space="preserve"> </w:t>
      </w:r>
      <w:r w:rsidRPr="007C51D6">
        <w:rPr>
          <w:rFonts w:eastAsia="Arial"/>
          <w:sz w:val="28"/>
          <w:szCs w:val="28"/>
        </w:rPr>
        <w:t xml:space="preserve">русские (более 1,5 млн.человек, или </w:t>
      </w:r>
      <w:r w:rsidR="00185EDB" w:rsidRPr="007C51D6">
        <w:rPr>
          <w:rFonts w:eastAsia="Arial"/>
          <w:sz w:val="28"/>
          <w:szCs w:val="28"/>
        </w:rPr>
        <w:br/>
      </w:r>
      <w:r w:rsidRPr="007C51D6">
        <w:rPr>
          <w:rFonts w:eastAsia="Arial"/>
          <w:sz w:val="28"/>
          <w:szCs w:val="28"/>
        </w:rPr>
        <w:t xml:space="preserve">39,7 процента), на третьем </w:t>
      </w:r>
      <w:r w:rsidRPr="007C51D6">
        <w:rPr>
          <w:rFonts w:eastAsia="Calibri"/>
          <w:sz w:val="28"/>
          <w:szCs w:val="28"/>
        </w:rPr>
        <w:t xml:space="preserve">– </w:t>
      </w:r>
      <w:r w:rsidRPr="007C51D6">
        <w:rPr>
          <w:rFonts w:eastAsia="Arial"/>
          <w:sz w:val="28"/>
          <w:szCs w:val="28"/>
        </w:rPr>
        <w:t xml:space="preserve">чуваши (116,2 тыс.человек, или 3,1 процента). </w:t>
      </w:r>
    </w:p>
    <w:p w:rsidR="0089696D" w:rsidRPr="007C51D6" w:rsidRDefault="0089696D" w:rsidP="00185EDB">
      <w:pPr>
        <w:autoSpaceDE/>
        <w:autoSpaceDN/>
        <w:adjustRightInd/>
        <w:ind w:firstLine="709"/>
        <w:jc w:val="both"/>
        <w:rPr>
          <w:rFonts w:eastAsia="Arial"/>
          <w:sz w:val="28"/>
          <w:szCs w:val="28"/>
          <w:lang w:eastAsia="x-none"/>
        </w:rPr>
      </w:pPr>
      <w:r w:rsidRPr="007C51D6">
        <w:rPr>
          <w:rFonts w:eastAsia="Arial"/>
          <w:sz w:val="28"/>
          <w:szCs w:val="28"/>
          <w:lang w:eastAsia="x-none"/>
        </w:rPr>
        <w:t xml:space="preserve">Муниципально-территориальное устройство республики: 2 городских округа (г.Казань и г.Набережные Челны), 43 муниципальных района, 39 городских поселений, 872 сельских поселения. </w:t>
      </w:r>
    </w:p>
    <w:p w:rsidR="00DD4F8F" w:rsidRPr="007C51D6" w:rsidRDefault="00DD4F8F" w:rsidP="00185EDB">
      <w:pPr>
        <w:autoSpaceDE/>
        <w:autoSpaceDN/>
        <w:adjustRightInd/>
        <w:ind w:firstLine="709"/>
        <w:jc w:val="both"/>
        <w:rPr>
          <w:rFonts w:eastAsia="Calibri"/>
          <w:sz w:val="28"/>
          <w:szCs w:val="28"/>
          <w:lang w:eastAsia="zh-CN"/>
        </w:rPr>
      </w:pPr>
      <w:r w:rsidRPr="007C51D6">
        <w:rPr>
          <w:rFonts w:eastAsia="Calibri"/>
          <w:sz w:val="28"/>
          <w:szCs w:val="28"/>
          <w:lang w:eastAsia="zh-CN"/>
        </w:rPr>
        <w:t>С 2014 по 2024 год в структуре населения Республики Татарстан регистрируется тенденция к увеличению доли населения старше трудоспособного возраста.</w:t>
      </w:r>
    </w:p>
    <w:p w:rsidR="004258A8" w:rsidRPr="007C51D6" w:rsidRDefault="004258A8" w:rsidP="00185EDB">
      <w:pPr>
        <w:autoSpaceDE/>
        <w:autoSpaceDN/>
        <w:adjustRightInd/>
        <w:ind w:firstLine="720"/>
        <w:jc w:val="both"/>
        <w:rPr>
          <w:rFonts w:eastAsia="Arial"/>
          <w:sz w:val="28"/>
          <w:szCs w:val="28"/>
        </w:rPr>
      </w:pPr>
      <w:r w:rsidRPr="007C51D6">
        <w:rPr>
          <w:rFonts w:eastAsia="Arial"/>
          <w:sz w:val="28"/>
          <w:szCs w:val="28"/>
        </w:rPr>
        <w:t>Рост численности населения отмечается с 2006 года. До 2011 года общее число жителей Татарстана росло на фоне естественных потерь населения. С 2011 года числен</w:t>
      </w:r>
      <w:r w:rsidR="00B21F25" w:rsidRPr="007C51D6">
        <w:rPr>
          <w:rFonts w:eastAsia="Arial"/>
          <w:sz w:val="28"/>
          <w:szCs w:val="28"/>
        </w:rPr>
        <w:t>ность населения увеличивается за счет миграции</w:t>
      </w:r>
      <w:r w:rsidRPr="007C51D6">
        <w:rPr>
          <w:rFonts w:eastAsia="Arial"/>
          <w:sz w:val="28"/>
          <w:szCs w:val="28"/>
        </w:rPr>
        <w:t xml:space="preserve"> и за счет естественного прироста населения.</w:t>
      </w:r>
    </w:p>
    <w:p w:rsidR="001C57BE" w:rsidRPr="007C51D6" w:rsidRDefault="004258A8" w:rsidP="00185EDB">
      <w:pPr>
        <w:autoSpaceDE/>
        <w:autoSpaceDN/>
        <w:adjustRightInd/>
        <w:ind w:firstLine="720"/>
        <w:jc w:val="both"/>
        <w:rPr>
          <w:rFonts w:eastAsia="Arial"/>
          <w:sz w:val="28"/>
          <w:szCs w:val="28"/>
        </w:rPr>
      </w:pPr>
      <w:r w:rsidRPr="007C51D6">
        <w:rPr>
          <w:rFonts w:eastAsia="Arial"/>
          <w:sz w:val="28"/>
          <w:szCs w:val="28"/>
        </w:rPr>
        <w:t xml:space="preserve">Несмотря на сложную демографическую ситуацию, связанную со снижением рождаемости и старением населения, в </w:t>
      </w:r>
      <w:r w:rsidRPr="007C51D6">
        <w:rPr>
          <w:rFonts w:eastAsia="Calibri"/>
          <w:bCs/>
          <w:sz w:val="28"/>
          <w:szCs w:val="28"/>
          <w:lang w:eastAsia="zh-CN"/>
        </w:rPr>
        <w:t>Республике Татарстан</w:t>
      </w:r>
      <w:r w:rsidRPr="007C51D6">
        <w:rPr>
          <w:rFonts w:eastAsia="Arial"/>
          <w:sz w:val="28"/>
          <w:szCs w:val="28"/>
        </w:rPr>
        <w:t xml:space="preserve"> в 2018 году удалось сохранить естественный прирост населения. </w:t>
      </w:r>
    </w:p>
    <w:p w:rsidR="00C05DB2" w:rsidRPr="007C51D6" w:rsidRDefault="004258A8" w:rsidP="00185EDB">
      <w:pPr>
        <w:autoSpaceDE/>
        <w:autoSpaceDN/>
        <w:adjustRightInd/>
        <w:ind w:firstLine="720"/>
        <w:jc w:val="both"/>
        <w:rPr>
          <w:rFonts w:eastAsia="Arial"/>
          <w:sz w:val="28"/>
          <w:szCs w:val="28"/>
        </w:rPr>
      </w:pPr>
      <w:r w:rsidRPr="007C51D6">
        <w:rPr>
          <w:rFonts w:eastAsia="Arial"/>
          <w:sz w:val="28"/>
          <w:szCs w:val="28"/>
        </w:rPr>
        <w:t xml:space="preserve">В 2019 году прироста населения не произошло, в 2020 году зафиксирована </w:t>
      </w:r>
      <w:r w:rsidRPr="007C51D6">
        <w:rPr>
          <w:rFonts w:eastAsia="Arial"/>
          <w:sz w:val="28"/>
          <w:szCs w:val="28"/>
        </w:rPr>
        <w:lastRenderedPageBreak/>
        <w:t>убыль населения на 3,2 на 1 000 населения, в 2021 году – на 5,0 на 1 000 населения, что связано с пандемией но</w:t>
      </w:r>
      <w:r w:rsidR="00F443F3" w:rsidRPr="007C51D6">
        <w:rPr>
          <w:rFonts w:eastAsia="Arial"/>
          <w:sz w:val="28"/>
          <w:szCs w:val="28"/>
        </w:rPr>
        <w:t xml:space="preserve">вой коронавирусной инфекции </w:t>
      </w:r>
      <w:r w:rsidR="005317F0" w:rsidRPr="007C51D6">
        <w:rPr>
          <w:rFonts w:eastAsia="Arial"/>
          <w:sz w:val="28"/>
          <w:szCs w:val="28"/>
        </w:rPr>
        <w:t>(</w:t>
      </w:r>
      <w:r w:rsidR="00F443F3" w:rsidRPr="007C51D6">
        <w:rPr>
          <w:rFonts w:eastAsia="Arial"/>
          <w:sz w:val="28"/>
          <w:szCs w:val="28"/>
        </w:rPr>
        <w:t>COVID-19</w:t>
      </w:r>
      <w:r w:rsidR="005317F0" w:rsidRPr="007C51D6">
        <w:rPr>
          <w:rFonts w:eastAsia="Arial"/>
          <w:sz w:val="28"/>
          <w:szCs w:val="28"/>
        </w:rPr>
        <w:t>)</w:t>
      </w:r>
      <w:r w:rsidRPr="007C51D6">
        <w:rPr>
          <w:rFonts w:eastAsia="Arial"/>
          <w:sz w:val="28"/>
          <w:szCs w:val="28"/>
        </w:rPr>
        <w:t>.</w:t>
      </w:r>
      <w:r w:rsidR="001C57BE" w:rsidRPr="007C51D6">
        <w:rPr>
          <w:rFonts w:eastAsia="Arial"/>
          <w:sz w:val="28"/>
          <w:szCs w:val="28"/>
        </w:rPr>
        <w:t xml:space="preserve"> </w:t>
      </w:r>
      <w:r w:rsidR="00547A84" w:rsidRPr="007C51D6">
        <w:rPr>
          <w:rFonts w:eastAsia="Arial"/>
          <w:sz w:val="28"/>
          <w:szCs w:val="28"/>
        </w:rPr>
        <w:t>В 202</w:t>
      </w:r>
      <w:r w:rsidR="00E334A7" w:rsidRPr="007C51D6">
        <w:rPr>
          <w:rFonts w:eastAsia="Arial"/>
          <w:sz w:val="28"/>
          <w:szCs w:val="28"/>
        </w:rPr>
        <w:t>4</w:t>
      </w:r>
      <w:r w:rsidR="00547A84" w:rsidRPr="007C51D6">
        <w:rPr>
          <w:rFonts w:eastAsia="Arial"/>
          <w:sz w:val="28"/>
          <w:szCs w:val="28"/>
        </w:rPr>
        <w:t xml:space="preserve"> году </w:t>
      </w:r>
      <w:r w:rsidR="007E78DF" w:rsidRPr="007C51D6">
        <w:rPr>
          <w:rFonts w:eastAsia="Arial"/>
          <w:sz w:val="28"/>
          <w:szCs w:val="28"/>
        </w:rPr>
        <w:t xml:space="preserve">зарегистрирована </w:t>
      </w:r>
      <w:r w:rsidR="00547A84" w:rsidRPr="007C51D6">
        <w:rPr>
          <w:rFonts w:eastAsia="Arial"/>
          <w:sz w:val="28"/>
          <w:szCs w:val="28"/>
        </w:rPr>
        <w:t xml:space="preserve">убыль населения </w:t>
      </w:r>
      <w:r w:rsidR="007E78DF" w:rsidRPr="007C51D6">
        <w:rPr>
          <w:rFonts w:eastAsia="Arial"/>
          <w:sz w:val="28"/>
          <w:szCs w:val="28"/>
        </w:rPr>
        <w:t xml:space="preserve">на </w:t>
      </w:r>
      <w:r w:rsidR="00E334A7" w:rsidRPr="007C51D6">
        <w:rPr>
          <w:rFonts w:eastAsia="Arial"/>
          <w:sz w:val="28"/>
          <w:szCs w:val="28"/>
        </w:rPr>
        <w:t xml:space="preserve">2,4 </w:t>
      </w:r>
      <w:r w:rsidR="007E78DF" w:rsidRPr="007C51D6">
        <w:rPr>
          <w:rFonts w:eastAsia="Arial"/>
          <w:sz w:val="28"/>
          <w:szCs w:val="28"/>
        </w:rPr>
        <w:t xml:space="preserve">на </w:t>
      </w:r>
      <w:r w:rsidR="00547A84" w:rsidRPr="007C51D6">
        <w:rPr>
          <w:rFonts w:eastAsia="Arial"/>
          <w:sz w:val="28"/>
          <w:szCs w:val="28"/>
        </w:rPr>
        <w:t xml:space="preserve">1 000 населения. </w:t>
      </w:r>
    </w:p>
    <w:p w:rsidR="00907EC6" w:rsidRPr="007C51D6" w:rsidRDefault="00907EC6" w:rsidP="00185EDB">
      <w:pPr>
        <w:autoSpaceDE/>
        <w:autoSpaceDN/>
        <w:adjustRightInd/>
        <w:ind w:firstLine="709"/>
        <w:jc w:val="both"/>
        <w:rPr>
          <w:rFonts w:eastAsia="Arial"/>
          <w:sz w:val="28"/>
          <w:szCs w:val="28"/>
          <w:lang w:eastAsia="x-none"/>
        </w:rPr>
      </w:pPr>
      <w:r w:rsidRPr="007C51D6">
        <w:rPr>
          <w:rFonts w:eastAsia="Arial"/>
          <w:sz w:val="28"/>
          <w:szCs w:val="28"/>
          <w:lang w:eastAsia="x-none"/>
        </w:rPr>
        <w:t xml:space="preserve">В республике сформирована сбалансированная социально-экономическая система: </w:t>
      </w:r>
    </w:p>
    <w:p w:rsidR="00907EC6" w:rsidRPr="007C51D6" w:rsidRDefault="00907EC6" w:rsidP="00185EDB">
      <w:pPr>
        <w:autoSpaceDE/>
        <w:autoSpaceDN/>
        <w:adjustRightInd/>
        <w:ind w:firstLine="709"/>
        <w:jc w:val="both"/>
        <w:rPr>
          <w:rFonts w:eastAsia="Arial"/>
          <w:sz w:val="28"/>
          <w:szCs w:val="28"/>
          <w:lang w:eastAsia="x-none"/>
        </w:rPr>
      </w:pPr>
      <w:r w:rsidRPr="007C51D6">
        <w:rPr>
          <w:rFonts w:eastAsia="Arial"/>
          <w:sz w:val="28"/>
          <w:szCs w:val="28"/>
          <w:lang w:eastAsia="x-none"/>
        </w:rPr>
        <w:t xml:space="preserve">развитая система среднего </w:t>
      </w:r>
      <w:r w:rsidR="005317F0" w:rsidRPr="007C51D6">
        <w:rPr>
          <w:rFonts w:eastAsia="Arial"/>
          <w:sz w:val="28"/>
          <w:szCs w:val="28"/>
          <w:lang w:eastAsia="x-none"/>
        </w:rPr>
        <w:t>профессионального</w:t>
      </w:r>
      <w:r w:rsidRPr="007C51D6">
        <w:rPr>
          <w:rFonts w:eastAsia="Arial"/>
          <w:sz w:val="28"/>
          <w:szCs w:val="28"/>
          <w:lang w:eastAsia="x-none"/>
        </w:rPr>
        <w:t xml:space="preserve"> и высшего образования, высокий потенциал социальной сферы как системы развития человеческого капитала; </w:t>
      </w:r>
    </w:p>
    <w:p w:rsidR="00907EC6" w:rsidRPr="007C51D6" w:rsidRDefault="00907EC6" w:rsidP="00185EDB">
      <w:pPr>
        <w:autoSpaceDE/>
        <w:autoSpaceDN/>
        <w:adjustRightInd/>
        <w:ind w:firstLine="709"/>
        <w:jc w:val="both"/>
        <w:rPr>
          <w:rFonts w:eastAsia="Arial"/>
          <w:sz w:val="28"/>
          <w:szCs w:val="28"/>
          <w:lang w:eastAsia="x-none"/>
        </w:rPr>
      </w:pPr>
      <w:r w:rsidRPr="007C51D6">
        <w:rPr>
          <w:rFonts w:eastAsia="Arial"/>
          <w:sz w:val="28"/>
          <w:szCs w:val="28"/>
          <w:lang w:eastAsia="x-none"/>
        </w:rPr>
        <w:t xml:space="preserve">развитый нефтегазохимический комплекс; </w:t>
      </w:r>
    </w:p>
    <w:p w:rsidR="00907EC6" w:rsidRPr="007C51D6" w:rsidRDefault="00907EC6" w:rsidP="00185EDB">
      <w:pPr>
        <w:autoSpaceDE/>
        <w:autoSpaceDN/>
        <w:adjustRightInd/>
        <w:ind w:firstLine="709"/>
        <w:jc w:val="both"/>
        <w:rPr>
          <w:rFonts w:eastAsia="Arial"/>
          <w:sz w:val="28"/>
          <w:szCs w:val="28"/>
          <w:lang w:eastAsia="x-none"/>
        </w:rPr>
      </w:pPr>
      <w:r w:rsidRPr="007C51D6">
        <w:rPr>
          <w:rFonts w:eastAsia="Arial"/>
          <w:sz w:val="28"/>
          <w:szCs w:val="28"/>
          <w:lang w:eastAsia="x-none"/>
        </w:rPr>
        <w:t>развитый машиностроительный комплекс;</w:t>
      </w:r>
    </w:p>
    <w:p w:rsidR="00907EC6" w:rsidRPr="007C51D6" w:rsidRDefault="00907EC6" w:rsidP="00185EDB">
      <w:pPr>
        <w:autoSpaceDE/>
        <w:autoSpaceDN/>
        <w:adjustRightInd/>
        <w:ind w:firstLine="709"/>
        <w:jc w:val="both"/>
        <w:rPr>
          <w:rFonts w:eastAsia="Arial"/>
          <w:sz w:val="28"/>
          <w:szCs w:val="28"/>
          <w:lang w:eastAsia="x-none"/>
        </w:rPr>
      </w:pPr>
      <w:r w:rsidRPr="007C51D6">
        <w:rPr>
          <w:rFonts w:eastAsia="Arial"/>
          <w:sz w:val="28"/>
          <w:szCs w:val="28"/>
          <w:lang w:eastAsia="x-none"/>
        </w:rPr>
        <w:t xml:space="preserve">сбалансированный агропромышленный комплекс при относительно благоприятных природных условиях; </w:t>
      </w:r>
    </w:p>
    <w:p w:rsidR="00907EC6" w:rsidRPr="007C51D6" w:rsidRDefault="00907EC6" w:rsidP="00185EDB">
      <w:pPr>
        <w:autoSpaceDE/>
        <w:autoSpaceDN/>
        <w:adjustRightInd/>
        <w:ind w:firstLine="709"/>
        <w:jc w:val="both"/>
        <w:rPr>
          <w:rFonts w:eastAsia="Arial"/>
          <w:sz w:val="28"/>
          <w:szCs w:val="28"/>
          <w:lang w:eastAsia="x-none"/>
        </w:rPr>
      </w:pPr>
      <w:r w:rsidRPr="007C51D6">
        <w:rPr>
          <w:rFonts w:eastAsia="Arial"/>
          <w:sz w:val="28"/>
          <w:szCs w:val="28"/>
          <w:lang w:eastAsia="x-none"/>
        </w:rPr>
        <w:t xml:space="preserve">транспортная доступность всех видов поселений внутри республики. </w:t>
      </w:r>
    </w:p>
    <w:p w:rsidR="00907EC6" w:rsidRPr="00B45832" w:rsidRDefault="00455D1F" w:rsidP="00185EDB">
      <w:pPr>
        <w:autoSpaceDE/>
        <w:autoSpaceDN/>
        <w:adjustRightInd/>
        <w:ind w:right="-1" w:firstLine="709"/>
        <w:jc w:val="both"/>
        <w:rPr>
          <w:sz w:val="28"/>
          <w:szCs w:val="28"/>
        </w:rPr>
      </w:pPr>
      <w:r w:rsidRPr="007C51D6">
        <w:rPr>
          <w:sz w:val="28"/>
          <w:szCs w:val="28"/>
        </w:rPr>
        <w:t>По итогам 2023 г</w:t>
      </w:r>
      <w:r w:rsidR="005317F0" w:rsidRPr="007C51D6">
        <w:rPr>
          <w:sz w:val="28"/>
          <w:szCs w:val="28"/>
        </w:rPr>
        <w:t>ода</w:t>
      </w:r>
      <w:r w:rsidRPr="007C51D6">
        <w:rPr>
          <w:sz w:val="28"/>
          <w:szCs w:val="28"/>
        </w:rPr>
        <w:t xml:space="preserve"> в </w:t>
      </w:r>
      <w:r w:rsidR="00907EC6" w:rsidRPr="007C51D6">
        <w:rPr>
          <w:sz w:val="28"/>
          <w:szCs w:val="28"/>
        </w:rPr>
        <w:t>структуре промышленности доля добычи полезных ископаемых составляет 2</w:t>
      </w:r>
      <w:r w:rsidRPr="007C51D6">
        <w:rPr>
          <w:sz w:val="28"/>
          <w:szCs w:val="28"/>
        </w:rPr>
        <w:t>3</w:t>
      </w:r>
      <w:r w:rsidR="00907EC6" w:rsidRPr="007C51D6">
        <w:rPr>
          <w:sz w:val="28"/>
          <w:szCs w:val="28"/>
        </w:rPr>
        <w:t>,</w:t>
      </w:r>
      <w:r w:rsidRPr="007C51D6">
        <w:rPr>
          <w:sz w:val="28"/>
          <w:szCs w:val="28"/>
        </w:rPr>
        <w:t>7</w:t>
      </w:r>
      <w:r w:rsidR="00907EC6" w:rsidRPr="007C51D6">
        <w:rPr>
          <w:sz w:val="28"/>
          <w:szCs w:val="28"/>
        </w:rPr>
        <w:t xml:space="preserve"> процента; обрабатывающих производств – </w:t>
      </w:r>
      <w:r w:rsidRPr="007C51D6">
        <w:rPr>
          <w:sz w:val="28"/>
          <w:szCs w:val="28"/>
        </w:rPr>
        <w:t>71</w:t>
      </w:r>
      <w:r w:rsidR="00907EC6" w:rsidRPr="007C51D6">
        <w:rPr>
          <w:sz w:val="28"/>
          <w:szCs w:val="28"/>
        </w:rPr>
        <w:t>,</w:t>
      </w:r>
      <w:r w:rsidRPr="007C51D6">
        <w:rPr>
          <w:sz w:val="28"/>
          <w:szCs w:val="28"/>
        </w:rPr>
        <w:t>2</w:t>
      </w:r>
      <w:r w:rsidR="00907EC6" w:rsidRPr="007C51D6">
        <w:rPr>
          <w:sz w:val="28"/>
          <w:szCs w:val="28"/>
        </w:rPr>
        <w:t xml:space="preserve"> процента; обеспечения электрической энергией, газом и паром, кондиционирования воздуха – </w:t>
      </w:r>
      <w:r w:rsidR="004F06A9" w:rsidRPr="007C51D6">
        <w:rPr>
          <w:sz w:val="28"/>
          <w:szCs w:val="28"/>
        </w:rPr>
        <w:br/>
      </w:r>
      <w:r w:rsidRPr="007C51D6">
        <w:rPr>
          <w:sz w:val="28"/>
          <w:szCs w:val="28"/>
        </w:rPr>
        <w:t>3</w:t>
      </w:r>
      <w:r w:rsidR="00907EC6" w:rsidRPr="007C51D6">
        <w:rPr>
          <w:sz w:val="28"/>
          <w:szCs w:val="28"/>
        </w:rPr>
        <w:t>,</w:t>
      </w:r>
      <w:r w:rsidRPr="007C51D6">
        <w:rPr>
          <w:sz w:val="28"/>
          <w:szCs w:val="28"/>
        </w:rPr>
        <w:t>8</w:t>
      </w:r>
      <w:r w:rsidR="00907EC6" w:rsidRPr="007C51D6">
        <w:rPr>
          <w:sz w:val="28"/>
          <w:szCs w:val="28"/>
        </w:rPr>
        <w:t xml:space="preserve"> процента; водоснабжения, водоотведения, организации сбора и утилизации отходов, деятельности по ликвидации загрязнений – 1</w:t>
      </w:r>
      <w:r w:rsidR="001D559B" w:rsidRPr="007C51D6">
        <w:rPr>
          <w:sz w:val="28"/>
          <w:szCs w:val="28"/>
        </w:rPr>
        <w:t>,</w:t>
      </w:r>
      <w:r w:rsidRPr="007C51D6">
        <w:rPr>
          <w:sz w:val="28"/>
          <w:szCs w:val="28"/>
        </w:rPr>
        <w:t>3</w:t>
      </w:r>
      <w:r w:rsidR="001D559B" w:rsidRPr="007C51D6">
        <w:rPr>
          <w:sz w:val="28"/>
          <w:szCs w:val="28"/>
        </w:rPr>
        <w:t xml:space="preserve"> </w:t>
      </w:r>
      <w:r w:rsidR="00907EC6" w:rsidRPr="007C51D6">
        <w:rPr>
          <w:sz w:val="28"/>
          <w:szCs w:val="28"/>
        </w:rPr>
        <w:t>процент</w:t>
      </w:r>
      <w:r w:rsidR="001D559B" w:rsidRPr="007C51D6">
        <w:rPr>
          <w:sz w:val="28"/>
          <w:szCs w:val="28"/>
        </w:rPr>
        <w:t>а</w:t>
      </w:r>
      <w:r w:rsidR="00907EC6" w:rsidRPr="007C51D6">
        <w:rPr>
          <w:sz w:val="28"/>
          <w:szCs w:val="28"/>
        </w:rPr>
        <w:t xml:space="preserve"> (рис.1).</w:t>
      </w:r>
      <w:r w:rsidR="00907EC6" w:rsidRPr="00B45832">
        <w:rPr>
          <w:sz w:val="28"/>
          <w:szCs w:val="28"/>
        </w:rPr>
        <w:t xml:space="preserve"> </w:t>
      </w:r>
    </w:p>
    <w:p w:rsidR="00B51D82" w:rsidRDefault="00B51D82" w:rsidP="00185EDB">
      <w:pPr>
        <w:autoSpaceDE/>
        <w:autoSpaceDN/>
        <w:adjustRightInd/>
        <w:jc w:val="center"/>
        <w:rPr>
          <w:sz w:val="28"/>
          <w:szCs w:val="28"/>
        </w:rPr>
      </w:pPr>
    </w:p>
    <w:tbl>
      <w:tblPr>
        <w:tblW w:w="10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9"/>
        <w:gridCol w:w="3225"/>
        <w:gridCol w:w="1823"/>
        <w:gridCol w:w="990"/>
        <w:gridCol w:w="709"/>
        <w:gridCol w:w="567"/>
        <w:gridCol w:w="562"/>
      </w:tblGrid>
      <w:tr w:rsidR="00EB19CC" w:rsidRPr="00B45832" w:rsidTr="00185EDB">
        <w:trPr>
          <w:trHeight w:val="300"/>
        </w:trPr>
        <w:tc>
          <w:tcPr>
            <w:tcW w:w="2349" w:type="dxa"/>
            <w:shd w:val="clear" w:color="000000" w:fill="92D050"/>
            <w:noWrap/>
            <w:vAlign w:val="bottom"/>
            <w:hideMark/>
          </w:tcPr>
          <w:p w:rsidR="00EB19CC" w:rsidRPr="00B45832" w:rsidRDefault="00EB19CC" w:rsidP="00455D1F">
            <w:pPr>
              <w:widowControl/>
              <w:autoSpaceDE/>
              <w:autoSpaceDN/>
              <w:adjustRightInd/>
              <w:spacing w:line="360" w:lineRule="auto"/>
              <w:jc w:val="both"/>
              <w:rPr>
                <w:color w:val="000000"/>
              </w:rPr>
            </w:pPr>
            <w:r w:rsidRPr="00B45832">
              <w:rPr>
                <w:color w:val="000000"/>
              </w:rPr>
              <w:t>2</w:t>
            </w:r>
            <w:r w:rsidR="00455D1F">
              <w:rPr>
                <w:color w:val="000000"/>
              </w:rPr>
              <w:t>3</w:t>
            </w:r>
            <w:r w:rsidRPr="00B45832">
              <w:rPr>
                <w:color w:val="000000"/>
              </w:rPr>
              <w:t>,</w:t>
            </w:r>
            <w:r w:rsidR="00455D1F">
              <w:rPr>
                <w:color w:val="000000"/>
              </w:rPr>
              <w:t>7</w:t>
            </w:r>
          </w:p>
        </w:tc>
        <w:tc>
          <w:tcPr>
            <w:tcW w:w="3225" w:type="dxa"/>
            <w:shd w:val="clear" w:color="000000" w:fill="00B0F0"/>
            <w:noWrap/>
            <w:vAlign w:val="bottom"/>
            <w:hideMark/>
          </w:tcPr>
          <w:p w:rsidR="00EB19CC" w:rsidRPr="00B45832" w:rsidRDefault="00EB19CC" w:rsidP="00455D1F">
            <w:pPr>
              <w:widowControl/>
              <w:autoSpaceDE/>
              <w:autoSpaceDN/>
              <w:adjustRightInd/>
              <w:spacing w:line="360" w:lineRule="auto"/>
              <w:jc w:val="both"/>
              <w:rPr>
                <w:color w:val="000000"/>
              </w:rPr>
            </w:pPr>
            <w:r w:rsidRPr="00B45832">
              <w:rPr>
                <w:color w:val="000000"/>
              </w:rPr>
              <w:t>3</w:t>
            </w:r>
            <w:r w:rsidR="00455D1F">
              <w:rPr>
                <w:color w:val="000000"/>
              </w:rPr>
              <w:t>5</w:t>
            </w:r>
            <w:r w:rsidRPr="00B45832">
              <w:rPr>
                <w:color w:val="000000"/>
              </w:rPr>
              <w:t>,</w:t>
            </w:r>
            <w:r w:rsidR="00455D1F">
              <w:rPr>
                <w:color w:val="000000"/>
              </w:rPr>
              <w:t>8</w:t>
            </w:r>
          </w:p>
        </w:tc>
        <w:tc>
          <w:tcPr>
            <w:tcW w:w="1823" w:type="dxa"/>
            <w:shd w:val="clear" w:color="000000" w:fill="FFC000"/>
            <w:noWrap/>
            <w:vAlign w:val="bottom"/>
            <w:hideMark/>
          </w:tcPr>
          <w:p w:rsidR="00EB19CC" w:rsidRPr="00B45832" w:rsidRDefault="00EB19CC" w:rsidP="00455D1F">
            <w:pPr>
              <w:widowControl/>
              <w:autoSpaceDE/>
              <w:autoSpaceDN/>
              <w:adjustRightInd/>
              <w:spacing w:line="360" w:lineRule="auto"/>
              <w:jc w:val="both"/>
              <w:rPr>
                <w:color w:val="000000"/>
              </w:rPr>
            </w:pPr>
            <w:r w:rsidRPr="00B45832">
              <w:rPr>
                <w:color w:val="000000"/>
              </w:rPr>
              <w:t>2</w:t>
            </w:r>
            <w:r w:rsidR="00455D1F">
              <w:rPr>
                <w:color w:val="000000"/>
              </w:rPr>
              <w:t>4</w:t>
            </w:r>
            <w:r w:rsidRPr="00B45832">
              <w:rPr>
                <w:color w:val="000000"/>
              </w:rPr>
              <w:t>,</w:t>
            </w:r>
            <w:r w:rsidR="00455D1F">
              <w:rPr>
                <w:color w:val="000000"/>
              </w:rPr>
              <w:t>6</w:t>
            </w:r>
          </w:p>
        </w:tc>
        <w:tc>
          <w:tcPr>
            <w:tcW w:w="990" w:type="dxa"/>
            <w:shd w:val="clear" w:color="auto" w:fill="D9D9D9" w:themeFill="background1" w:themeFillShade="D9"/>
            <w:noWrap/>
            <w:vAlign w:val="bottom"/>
            <w:hideMark/>
          </w:tcPr>
          <w:p w:rsidR="00EB19CC" w:rsidRPr="00B45832" w:rsidRDefault="00455D1F" w:rsidP="00455D1F">
            <w:pPr>
              <w:widowControl/>
              <w:autoSpaceDE/>
              <w:autoSpaceDN/>
              <w:adjustRightInd/>
              <w:spacing w:line="360" w:lineRule="auto"/>
              <w:jc w:val="both"/>
              <w:rPr>
                <w:color w:val="000000"/>
              </w:rPr>
            </w:pPr>
            <w:r>
              <w:rPr>
                <w:color w:val="000000"/>
              </w:rPr>
              <w:t>6</w:t>
            </w:r>
            <w:r w:rsidR="00EB19CC" w:rsidRPr="00B45832">
              <w:rPr>
                <w:color w:val="000000"/>
              </w:rPr>
              <w:t>,</w:t>
            </w:r>
            <w:r>
              <w:rPr>
                <w:color w:val="000000"/>
              </w:rPr>
              <w:t>4</w:t>
            </w:r>
          </w:p>
        </w:tc>
        <w:tc>
          <w:tcPr>
            <w:tcW w:w="709" w:type="dxa"/>
            <w:shd w:val="clear" w:color="auto" w:fill="F4B083" w:themeFill="accent2" w:themeFillTint="99"/>
          </w:tcPr>
          <w:p w:rsidR="00EB19CC" w:rsidRPr="00B45832" w:rsidRDefault="00EB19CC" w:rsidP="00455D1F">
            <w:pPr>
              <w:widowControl/>
              <w:autoSpaceDE/>
              <w:autoSpaceDN/>
              <w:adjustRightInd/>
              <w:spacing w:line="360" w:lineRule="auto"/>
              <w:jc w:val="both"/>
              <w:rPr>
                <w:color w:val="000000"/>
              </w:rPr>
            </w:pPr>
            <w:r w:rsidRPr="00B45832">
              <w:rPr>
                <w:color w:val="000000"/>
              </w:rPr>
              <w:t>4,</w:t>
            </w:r>
            <w:r w:rsidR="00455D1F">
              <w:rPr>
                <w:color w:val="000000"/>
              </w:rPr>
              <w:t>4</w:t>
            </w:r>
          </w:p>
        </w:tc>
        <w:tc>
          <w:tcPr>
            <w:tcW w:w="567" w:type="dxa"/>
            <w:shd w:val="clear" w:color="000000" w:fill="FFFF00"/>
            <w:noWrap/>
            <w:vAlign w:val="bottom"/>
            <w:hideMark/>
          </w:tcPr>
          <w:p w:rsidR="00EB19CC" w:rsidRPr="00B45832" w:rsidRDefault="00455D1F" w:rsidP="00455D1F">
            <w:pPr>
              <w:widowControl/>
              <w:autoSpaceDE/>
              <w:autoSpaceDN/>
              <w:adjustRightInd/>
              <w:spacing w:line="360" w:lineRule="auto"/>
              <w:jc w:val="both"/>
              <w:rPr>
                <w:color w:val="000000"/>
              </w:rPr>
            </w:pPr>
            <w:r>
              <w:rPr>
                <w:color w:val="000000"/>
              </w:rPr>
              <w:t>3</w:t>
            </w:r>
            <w:r w:rsidR="00EB19CC" w:rsidRPr="00B45832">
              <w:rPr>
                <w:color w:val="000000"/>
              </w:rPr>
              <w:t>,</w:t>
            </w:r>
            <w:r>
              <w:rPr>
                <w:color w:val="000000"/>
              </w:rPr>
              <w:t>8</w:t>
            </w:r>
          </w:p>
        </w:tc>
        <w:tc>
          <w:tcPr>
            <w:tcW w:w="562" w:type="dxa"/>
            <w:shd w:val="clear" w:color="000000" w:fill="FF0000"/>
            <w:noWrap/>
            <w:vAlign w:val="bottom"/>
            <w:hideMark/>
          </w:tcPr>
          <w:p w:rsidR="00EB19CC" w:rsidRPr="00B45832" w:rsidRDefault="00EB19CC" w:rsidP="00455D1F">
            <w:pPr>
              <w:widowControl/>
              <w:autoSpaceDE/>
              <w:autoSpaceDN/>
              <w:adjustRightInd/>
              <w:spacing w:line="360" w:lineRule="auto"/>
              <w:jc w:val="both"/>
              <w:rPr>
                <w:color w:val="000000"/>
              </w:rPr>
            </w:pPr>
            <w:r w:rsidRPr="00B45832">
              <w:rPr>
                <w:color w:val="000000"/>
              </w:rPr>
              <w:t>1,</w:t>
            </w:r>
            <w:r w:rsidR="00455D1F">
              <w:rPr>
                <w:color w:val="000000"/>
              </w:rPr>
              <w:t>3</w:t>
            </w:r>
          </w:p>
        </w:tc>
      </w:tr>
    </w:tbl>
    <w:p w:rsidR="00907EC6" w:rsidRPr="00B45832" w:rsidRDefault="00907EC6" w:rsidP="00907EC6">
      <w:pPr>
        <w:widowControl/>
        <w:autoSpaceDE/>
        <w:autoSpaceDN/>
        <w:adjustRightInd/>
        <w:jc w:val="both"/>
        <w:rPr>
          <w:color w:val="000000"/>
          <w:sz w:val="28"/>
          <w:szCs w:val="28"/>
        </w:rPr>
      </w:pPr>
    </w:p>
    <w:tbl>
      <w:tblPr>
        <w:tblW w:w="9566" w:type="dxa"/>
        <w:tblInd w:w="113" w:type="dxa"/>
        <w:tblLook w:val="04A0" w:firstRow="1" w:lastRow="0" w:firstColumn="1" w:lastColumn="0" w:noHBand="0" w:noVBand="1"/>
      </w:tblPr>
      <w:tblGrid>
        <w:gridCol w:w="286"/>
        <w:gridCol w:w="4270"/>
        <w:gridCol w:w="2650"/>
        <w:gridCol w:w="1380"/>
        <w:gridCol w:w="980"/>
      </w:tblGrid>
      <w:tr w:rsidR="00907EC6" w:rsidRPr="00B45832" w:rsidTr="00405EDB">
        <w:trPr>
          <w:gridAfter w:val="3"/>
          <w:wAfter w:w="5010" w:type="dxa"/>
          <w:trHeight w:val="146"/>
        </w:trPr>
        <w:tc>
          <w:tcPr>
            <w:tcW w:w="286" w:type="dxa"/>
            <w:tcBorders>
              <w:top w:val="nil"/>
              <w:left w:val="nil"/>
              <w:bottom w:val="nil"/>
              <w:right w:val="nil"/>
            </w:tcBorders>
            <w:shd w:val="clear" w:color="000000" w:fill="92D050"/>
            <w:noWrap/>
            <w:vAlign w:val="bottom"/>
            <w:hideMark/>
          </w:tcPr>
          <w:p w:rsidR="00907EC6" w:rsidRPr="00B45832" w:rsidRDefault="00907EC6" w:rsidP="00405EDB">
            <w:pPr>
              <w:widowControl/>
              <w:autoSpaceDE/>
              <w:autoSpaceDN/>
              <w:adjustRightInd/>
              <w:jc w:val="both"/>
              <w:rPr>
                <w:color w:val="000000"/>
                <w:sz w:val="28"/>
                <w:szCs w:val="28"/>
              </w:rPr>
            </w:pPr>
            <w:r w:rsidRPr="00B45832">
              <w:rPr>
                <w:color w:val="000000"/>
                <w:sz w:val="28"/>
                <w:szCs w:val="28"/>
              </w:rPr>
              <w:t> </w:t>
            </w:r>
          </w:p>
        </w:tc>
        <w:tc>
          <w:tcPr>
            <w:tcW w:w="4270" w:type="dxa"/>
            <w:tcBorders>
              <w:top w:val="nil"/>
              <w:left w:val="nil"/>
              <w:bottom w:val="nil"/>
              <w:right w:val="nil"/>
            </w:tcBorders>
            <w:shd w:val="clear" w:color="auto" w:fill="auto"/>
            <w:noWrap/>
            <w:vAlign w:val="bottom"/>
            <w:hideMark/>
          </w:tcPr>
          <w:p w:rsidR="00907EC6" w:rsidRPr="00B45832" w:rsidRDefault="00907EC6" w:rsidP="00405EDB">
            <w:pPr>
              <w:widowControl/>
              <w:autoSpaceDE/>
              <w:autoSpaceDN/>
              <w:adjustRightInd/>
              <w:jc w:val="both"/>
              <w:rPr>
                <w:color w:val="000000"/>
              </w:rPr>
            </w:pPr>
            <w:r w:rsidRPr="00B45832">
              <w:rPr>
                <w:color w:val="000000"/>
              </w:rPr>
              <w:t>Добыча полезных ископаемых</w:t>
            </w:r>
          </w:p>
        </w:tc>
      </w:tr>
      <w:tr w:rsidR="00907EC6" w:rsidRPr="00B45832" w:rsidTr="00405EDB">
        <w:trPr>
          <w:gridAfter w:val="2"/>
          <w:wAfter w:w="2360" w:type="dxa"/>
          <w:trHeight w:val="300"/>
        </w:trPr>
        <w:tc>
          <w:tcPr>
            <w:tcW w:w="286" w:type="dxa"/>
            <w:tcBorders>
              <w:top w:val="nil"/>
              <w:left w:val="nil"/>
              <w:bottom w:val="nil"/>
              <w:right w:val="nil"/>
            </w:tcBorders>
            <w:shd w:val="clear" w:color="000000" w:fill="00B0F0"/>
            <w:noWrap/>
            <w:vAlign w:val="bottom"/>
            <w:hideMark/>
          </w:tcPr>
          <w:p w:rsidR="00907EC6" w:rsidRPr="00B45832" w:rsidRDefault="00907EC6" w:rsidP="00405EDB">
            <w:pPr>
              <w:widowControl/>
              <w:autoSpaceDE/>
              <w:autoSpaceDN/>
              <w:adjustRightInd/>
              <w:jc w:val="both"/>
              <w:rPr>
                <w:color w:val="000000"/>
                <w:sz w:val="28"/>
                <w:szCs w:val="28"/>
              </w:rPr>
            </w:pPr>
            <w:r w:rsidRPr="00B45832">
              <w:rPr>
                <w:color w:val="000000"/>
                <w:sz w:val="28"/>
                <w:szCs w:val="28"/>
              </w:rPr>
              <w:t> </w:t>
            </w:r>
          </w:p>
        </w:tc>
        <w:tc>
          <w:tcPr>
            <w:tcW w:w="6920" w:type="dxa"/>
            <w:gridSpan w:val="2"/>
            <w:tcBorders>
              <w:top w:val="nil"/>
              <w:left w:val="nil"/>
              <w:bottom w:val="nil"/>
              <w:right w:val="nil"/>
            </w:tcBorders>
            <w:shd w:val="clear" w:color="auto" w:fill="auto"/>
            <w:noWrap/>
            <w:vAlign w:val="bottom"/>
            <w:hideMark/>
          </w:tcPr>
          <w:p w:rsidR="00907EC6" w:rsidRPr="00B45832" w:rsidRDefault="00907EC6" w:rsidP="00405EDB">
            <w:pPr>
              <w:widowControl/>
              <w:autoSpaceDE/>
              <w:autoSpaceDN/>
              <w:adjustRightInd/>
              <w:jc w:val="both"/>
              <w:rPr>
                <w:color w:val="000000"/>
              </w:rPr>
            </w:pPr>
            <w:r w:rsidRPr="00B45832">
              <w:rPr>
                <w:color w:val="000000"/>
              </w:rPr>
              <w:t>Производство нефтепродуктов, химия и нефтехимия</w:t>
            </w:r>
          </w:p>
        </w:tc>
      </w:tr>
      <w:tr w:rsidR="00907EC6" w:rsidRPr="00B45832" w:rsidTr="00405EDB">
        <w:trPr>
          <w:gridAfter w:val="2"/>
          <w:wAfter w:w="2360" w:type="dxa"/>
          <w:trHeight w:val="300"/>
        </w:trPr>
        <w:tc>
          <w:tcPr>
            <w:tcW w:w="286" w:type="dxa"/>
            <w:tcBorders>
              <w:top w:val="nil"/>
              <w:left w:val="nil"/>
              <w:bottom w:val="nil"/>
              <w:right w:val="nil"/>
            </w:tcBorders>
            <w:shd w:val="clear" w:color="000000" w:fill="FFC000"/>
            <w:noWrap/>
            <w:vAlign w:val="bottom"/>
            <w:hideMark/>
          </w:tcPr>
          <w:p w:rsidR="00907EC6" w:rsidRPr="00B45832" w:rsidRDefault="00907EC6" w:rsidP="00405EDB">
            <w:pPr>
              <w:widowControl/>
              <w:autoSpaceDE/>
              <w:autoSpaceDN/>
              <w:adjustRightInd/>
              <w:jc w:val="both"/>
              <w:rPr>
                <w:color w:val="000000"/>
                <w:sz w:val="28"/>
                <w:szCs w:val="28"/>
              </w:rPr>
            </w:pPr>
            <w:r w:rsidRPr="00B45832">
              <w:rPr>
                <w:color w:val="000000"/>
                <w:sz w:val="28"/>
                <w:szCs w:val="28"/>
              </w:rPr>
              <w:t> </w:t>
            </w:r>
          </w:p>
        </w:tc>
        <w:tc>
          <w:tcPr>
            <w:tcW w:w="6920" w:type="dxa"/>
            <w:gridSpan w:val="2"/>
            <w:tcBorders>
              <w:top w:val="nil"/>
              <w:left w:val="nil"/>
              <w:bottom w:val="nil"/>
              <w:right w:val="nil"/>
            </w:tcBorders>
            <w:shd w:val="clear" w:color="auto" w:fill="auto"/>
            <w:noWrap/>
            <w:vAlign w:val="bottom"/>
            <w:hideMark/>
          </w:tcPr>
          <w:p w:rsidR="00907EC6" w:rsidRPr="00B45832" w:rsidRDefault="00907EC6" w:rsidP="00405EDB">
            <w:pPr>
              <w:widowControl/>
              <w:autoSpaceDE/>
              <w:autoSpaceDN/>
              <w:adjustRightInd/>
              <w:jc w:val="both"/>
              <w:rPr>
                <w:color w:val="000000"/>
              </w:rPr>
            </w:pPr>
            <w:r w:rsidRPr="00B45832">
              <w:rPr>
                <w:color w:val="000000"/>
              </w:rPr>
              <w:t>Машиностроение и металлообработка</w:t>
            </w:r>
          </w:p>
        </w:tc>
      </w:tr>
      <w:tr w:rsidR="00EB19CC" w:rsidRPr="00B45832" w:rsidTr="00EB19CC">
        <w:trPr>
          <w:gridAfter w:val="2"/>
          <w:wAfter w:w="2360" w:type="dxa"/>
          <w:trHeight w:val="300"/>
        </w:trPr>
        <w:tc>
          <w:tcPr>
            <w:tcW w:w="286" w:type="dxa"/>
            <w:tcBorders>
              <w:top w:val="nil"/>
              <w:left w:val="nil"/>
              <w:bottom w:val="nil"/>
              <w:right w:val="nil"/>
            </w:tcBorders>
            <w:shd w:val="clear" w:color="auto" w:fill="D9D9D9" w:themeFill="background1" w:themeFillShade="D9"/>
            <w:noWrap/>
            <w:vAlign w:val="bottom"/>
          </w:tcPr>
          <w:p w:rsidR="00EB19CC" w:rsidRPr="00B45832" w:rsidRDefault="00EB19CC" w:rsidP="00405EDB">
            <w:pPr>
              <w:widowControl/>
              <w:autoSpaceDE/>
              <w:autoSpaceDN/>
              <w:adjustRightInd/>
              <w:jc w:val="both"/>
              <w:rPr>
                <w:color w:val="000000"/>
                <w:sz w:val="28"/>
                <w:szCs w:val="28"/>
              </w:rPr>
            </w:pPr>
          </w:p>
        </w:tc>
        <w:tc>
          <w:tcPr>
            <w:tcW w:w="6920" w:type="dxa"/>
            <w:gridSpan w:val="2"/>
            <w:tcBorders>
              <w:top w:val="nil"/>
              <w:left w:val="nil"/>
              <w:bottom w:val="nil"/>
              <w:right w:val="nil"/>
            </w:tcBorders>
            <w:shd w:val="clear" w:color="auto" w:fill="auto"/>
            <w:noWrap/>
            <w:vAlign w:val="bottom"/>
          </w:tcPr>
          <w:p w:rsidR="00EB19CC" w:rsidRPr="00B45832" w:rsidRDefault="00EB19CC" w:rsidP="00405EDB">
            <w:pPr>
              <w:widowControl/>
              <w:autoSpaceDE/>
              <w:autoSpaceDN/>
              <w:adjustRightInd/>
              <w:jc w:val="both"/>
              <w:rPr>
                <w:color w:val="000000"/>
              </w:rPr>
            </w:pPr>
            <w:r w:rsidRPr="00B45832">
              <w:rPr>
                <w:color w:val="000000"/>
              </w:rPr>
              <w:t>Производство пищевых продуктов</w:t>
            </w:r>
          </w:p>
        </w:tc>
      </w:tr>
      <w:tr w:rsidR="00907EC6" w:rsidRPr="00B45832" w:rsidTr="001D559B">
        <w:trPr>
          <w:gridAfter w:val="2"/>
          <w:wAfter w:w="2360" w:type="dxa"/>
          <w:trHeight w:val="300"/>
        </w:trPr>
        <w:tc>
          <w:tcPr>
            <w:tcW w:w="286" w:type="dxa"/>
            <w:tcBorders>
              <w:top w:val="nil"/>
              <w:left w:val="nil"/>
              <w:bottom w:val="nil"/>
              <w:right w:val="nil"/>
            </w:tcBorders>
            <w:shd w:val="clear" w:color="auto" w:fill="F4B083" w:themeFill="accent2" w:themeFillTint="99"/>
            <w:noWrap/>
            <w:vAlign w:val="bottom"/>
            <w:hideMark/>
          </w:tcPr>
          <w:p w:rsidR="00907EC6" w:rsidRPr="00B45832" w:rsidRDefault="00907EC6" w:rsidP="00405EDB">
            <w:pPr>
              <w:widowControl/>
              <w:autoSpaceDE/>
              <w:autoSpaceDN/>
              <w:adjustRightInd/>
              <w:jc w:val="both"/>
              <w:rPr>
                <w:color w:val="000000"/>
                <w:sz w:val="28"/>
                <w:szCs w:val="28"/>
              </w:rPr>
            </w:pPr>
            <w:r w:rsidRPr="00B45832">
              <w:rPr>
                <w:color w:val="000000"/>
                <w:sz w:val="28"/>
                <w:szCs w:val="28"/>
              </w:rPr>
              <w:t> </w:t>
            </w:r>
          </w:p>
        </w:tc>
        <w:tc>
          <w:tcPr>
            <w:tcW w:w="6920" w:type="dxa"/>
            <w:gridSpan w:val="2"/>
            <w:tcBorders>
              <w:top w:val="nil"/>
              <w:left w:val="nil"/>
              <w:bottom w:val="nil"/>
              <w:right w:val="nil"/>
            </w:tcBorders>
            <w:shd w:val="clear" w:color="auto" w:fill="auto"/>
            <w:noWrap/>
            <w:vAlign w:val="bottom"/>
            <w:hideMark/>
          </w:tcPr>
          <w:p w:rsidR="00907EC6" w:rsidRPr="00B45832" w:rsidRDefault="00907EC6" w:rsidP="00405EDB">
            <w:pPr>
              <w:widowControl/>
              <w:autoSpaceDE/>
              <w:autoSpaceDN/>
              <w:adjustRightInd/>
              <w:jc w:val="both"/>
              <w:rPr>
                <w:color w:val="000000"/>
              </w:rPr>
            </w:pPr>
            <w:r w:rsidRPr="00B45832">
              <w:rPr>
                <w:color w:val="000000"/>
              </w:rPr>
              <w:t>Прочие обрабатывающие производства</w:t>
            </w:r>
          </w:p>
        </w:tc>
      </w:tr>
      <w:tr w:rsidR="00907EC6" w:rsidRPr="00B45832" w:rsidTr="00405EDB">
        <w:trPr>
          <w:gridAfter w:val="1"/>
          <w:wAfter w:w="980" w:type="dxa"/>
          <w:trHeight w:val="300"/>
        </w:trPr>
        <w:tc>
          <w:tcPr>
            <w:tcW w:w="286" w:type="dxa"/>
            <w:tcBorders>
              <w:top w:val="nil"/>
              <w:left w:val="nil"/>
              <w:bottom w:val="nil"/>
              <w:right w:val="nil"/>
            </w:tcBorders>
            <w:shd w:val="clear" w:color="000000" w:fill="FFFF00"/>
            <w:noWrap/>
            <w:vAlign w:val="bottom"/>
            <w:hideMark/>
          </w:tcPr>
          <w:p w:rsidR="00907EC6" w:rsidRPr="00B45832" w:rsidRDefault="00907EC6" w:rsidP="00405EDB">
            <w:pPr>
              <w:widowControl/>
              <w:autoSpaceDE/>
              <w:autoSpaceDN/>
              <w:adjustRightInd/>
              <w:jc w:val="both"/>
              <w:rPr>
                <w:color w:val="000000"/>
                <w:sz w:val="28"/>
                <w:szCs w:val="28"/>
              </w:rPr>
            </w:pPr>
            <w:r w:rsidRPr="00B45832">
              <w:rPr>
                <w:color w:val="000000"/>
                <w:sz w:val="28"/>
                <w:szCs w:val="28"/>
              </w:rPr>
              <w:t> </w:t>
            </w:r>
          </w:p>
        </w:tc>
        <w:tc>
          <w:tcPr>
            <w:tcW w:w="8300" w:type="dxa"/>
            <w:gridSpan w:val="3"/>
            <w:tcBorders>
              <w:top w:val="nil"/>
              <w:left w:val="nil"/>
              <w:bottom w:val="nil"/>
              <w:right w:val="nil"/>
            </w:tcBorders>
            <w:shd w:val="clear" w:color="auto" w:fill="auto"/>
            <w:noWrap/>
            <w:vAlign w:val="bottom"/>
            <w:hideMark/>
          </w:tcPr>
          <w:p w:rsidR="00907EC6" w:rsidRPr="00B45832" w:rsidRDefault="00907EC6" w:rsidP="00405EDB">
            <w:pPr>
              <w:widowControl/>
              <w:autoSpaceDE/>
              <w:autoSpaceDN/>
              <w:adjustRightInd/>
              <w:jc w:val="both"/>
              <w:rPr>
                <w:color w:val="000000"/>
              </w:rPr>
            </w:pPr>
            <w:r w:rsidRPr="00B45832">
              <w:rPr>
                <w:color w:val="000000"/>
              </w:rPr>
              <w:t xml:space="preserve">Обеспечение электрической энергией, газом и паром, кондиционирование </w:t>
            </w:r>
            <w:r w:rsidR="003179F7">
              <w:rPr>
                <w:color w:val="000000"/>
              </w:rPr>
              <w:br/>
            </w:r>
            <w:r w:rsidRPr="00B45832">
              <w:rPr>
                <w:color w:val="000000"/>
              </w:rPr>
              <w:t>воздуха</w:t>
            </w:r>
          </w:p>
        </w:tc>
      </w:tr>
      <w:tr w:rsidR="00907EC6" w:rsidRPr="00B45832" w:rsidTr="00405EDB">
        <w:trPr>
          <w:trHeight w:val="300"/>
        </w:trPr>
        <w:tc>
          <w:tcPr>
            <w:tcW w:w="286" w:type="dxa"/>
            <w:tcBorders>
              <w:top w:val="nil"/>
              <w:left w:val="nil"/>
              <w:bottom w:val="nil"/>
              <w:right w:val="nil"/>
            </w:tcBorders>
            <w:shd w:val="clear" w:color="000000" w:fill="FF0000"/>
            <w:noWrap/>
            <w:vAlign w:val="bottom"/>
            <w:hideMark/>
          </w:tcPr>
          <w:p w:rsidR="00907EC6" w:rsidRPr="00B45832" w:rsidRDefault="00907EC6" w:rsidP="00405EDB">
            <w:pPr>
              <w:widowControl/>
              <w:autoSpaceDE/>
              <w:autoSpaceDN/>
              <w:adjustRightInd/>
              <w:jc w:val="both"/>
              <w:rPr>
                <w:sz w:val="28"/>
                <w:szCs w:val="28"/>
              </w:rPr>
            </w:pPr>
            <w:r w:rsidRPr="00B45832">
              <w:rPr>
                <w:sz w:val="28"/>
                <w:szCs w:val="28"/>
              </w:rPr>
              <w:t> </w:t>
            </w:r>
          </w:p>
        </w:tc>
        <w:tc>
          <w:tcPr>
            <w:tcW w:w="9280" w:type="dxa"/>
            <w:gridSpan w:val="4"/>
            <w:tcBorders>
              <w:top w:val="nil"/>
              <w:left w:val="nil"/>
              <w:bottom w:val="nil"/>
              <w:right w:val="nil"/>
            </w:tcBorders>
            <w:shd w:val="clear" w:color="auto" w:fill="auto"/>
            <w:noWrap/>
            <w:vAlign w:val="bottom"/>
            <w:hideMark/>
          </w:tcPr>
          <w:p w:rsidR="00907EC6" w:rsidRPr="00B45832" w:rsidRDefault="00907EC6" w:rsidP="00405EDB">
            <w:pPr>
              <w:widowControl/>
              <w:autoSpaceDE/>
              <w:autoSpaceDN/>
              <w:adjustRightInd/>
              <w:jc w:val="both"/>
              <w:rPr>
                <w:color w:val="000000"/>
              </w:rPr>
            </w:pPr>
            <w:r w:rsidRPr="00B45832">
              <w:rPr>
                <w:color w:val="000000"/>
              </w:rPr>
              <w:t>Водоснабжение, водоотведение, организация сбора и утилизации отходов</w:t>
            </w:r>
          </w:p>
        </w:tc>
      </w:tr>
    </w:tbl>
    <w:p w:rsidR="00907EC6" w:rsidRPr="00B45832" w:rsidRDefault="00907EC6" w:rsidP="00907EC6">
      <w:pPr>
        <w:widowControl/>
        <w:autoSpaceDE/>
        <w:autoSpaceDN/>
        <w:adjustRightInd/>
        <w:spacing w:line="233" w:lineRule="auto"/>
        <w:jc w:val="center"/>
        <w:rPr>
          <w:sz w:val="28"/>
          <w:szCs w:val="28"/>
        </w:rPr>
      </w:pPr>
    </w:p>
    <w:p w:rsidR="00907EC6" w:rsidRPr="007C51D6" w:rsidRDefault="00907EC6" w:rsidP="00907EC6">
      <w:pPr>
        <w:widowControl/>
        <w:autoSpaceDE/>
        <w:autoSpaceDN/>
        <w:adjustRightInd/>
        <w:spacing w:line="233" w:lineRule="auto"/>
        <w:jc w:val="center"/>
      </w:pPr>
      <w:r w:rsidRPr="007C51D6">
        <w:t>Рис.1. Структура промышленности Республики Татарстан в 2021 году, процентов</w:t>
      </w:r>
    </w:p>
    <w:p w:rsidR="00907EC6" w:rsidRPr="007C51D6" w:rsidRDefault="00907EC6" w:rsidP="00185EDB">
      <w:pPr>
        <w:ind w:firstLine="709"/>
        <w:rPr>
          <w:sz w:val="28"/>
          <w:szCs w:val="28"/>
        </w:rPr>
      </w:pPr>
    </w:p>
    <w:p w:rsidR="001D559B" w:rsidRPr="007C51D6" w:rsidRDefault="001D559B" w:rsidP="00185EDB">
      <w:pPr>
        <w:autoSpaceDE/>
        <w:autoSpaceDN/>
        <w:adjustRightInd/>
        <w:ind w:firstLine="709"/>
        <w:jc w:val="both"/>
        <w:rPr>
          <w:sz w:val="28"/>
          <w:szCs w:val="28"/>
        </w:rPr>
      </w:pPr>
      <w:r w:rsidRPr="007C51D6">
        <w:rPr>
          <w:sz w:val="28"/>
          <w:szCs w:val="28"/>
        </w:rPr>
        <w:t>По данным Управления Федеральной службы по надзору в сфере защиты прав потребителей и благополучия человека по Республике Татарстан</w:t>
      </w:r>
      <w:r w:rsidR="003179F7" w:rsidRPr="007C51D6">
        <w:rPr>
          <w:sz w:val="28"/>
          <w:szCs w:val="28"/>
        </w:rPr>
        <w:t xml:space="preserve"> (Татарстан)</w:t>
      </w:r>
      <w:r w:rsidRPr="007C51D6">
        <w:rPr>
          <w:sz w:val="28"/>
          <w:szCs w:val="28"/>
        </w:rPr>
        <w:t>, ведущими загрязнителями атмосферного воздуха, превышающими предельно допустимую концентрацию от 2 до 5 раз, в 20</w:t>
      </w:r>
      <w:r w:rsidR="00E73EC8" w:rsidRPr="007C51D6">
        <w:rPr>
          <w:sz w:val="28"/>
          <w:szCs w:val="28"/>
        </w:rPr>
        <w:t>21</w:t>
      </w:r>
      <w:r w:rsidRPr="007C51D6">
        <w:rPr>
          <w:sz w:val="28"/>
          <w:szCs w:val="28"/>
        </w:rPr>
        <w:t xml:space="preserve"> – 20</w:t>
      </w:r>
      <w:r w:rsidR="00E73EC8" w:rsidRPr="007C51D6">
        <w:rPr>
          <w:sz w:val="28"/>
          <w:szCs w:val="28"/>
        </w:rPr>
        <w:t>23</w:t>
      </w:r>
      <w:r w:rsidRPr="007C51D6">
        <w:rPr>
          <w:sz w:val="28"/>
          <w:szCs w:val="28"/>
        </w:rPr>
        <w:t xml:space="preserve"> годах на территории Республики Татарстан являлись такие вредные вещества, как дигидросульфид, </w:t>
      </w:r>
      <w:r w:rsidR="005317F0" w:rsidRPr="007C51D6">
        <w:rPr>
          <w:sz w:val="28"/>
          <w:szCs w:val="28"/>
        </w:rPr>
        <w:t xml:space="preserve">оксид </w:t>
      </w:r>
      <w:r w:rsidRPr="007C51D6">
        <w:rPr>
          <w:sz w:val="28"/>
          <w:szCs w:val="28"/>
        </w:rPr>
        <w:t xml:space="preserve">углерода, диоксид азота, </w:t>
      </w:r>
      <w:r w:rsidR="00E73EC8" w:rsidRPr="007C51D6">
        <w:rPr>
          <w:sz w:val="28"/>
          <w:szCs w:val="28"/>
        </w:rPr>
        <w:t>формальдегид,</w:t>
      </w:r>
      <w:r w:rsidRPr="007C51D6">
        <w:rPr>
          <w:sz w:val="28"/>
          <w:szCs w:val="28"/>
        </w:rPr>
        <w:t xml:space="preserve"> углерод (сажа). </w:t>
      </w:r>
    </w:p>
    <w:p w:rsidR="001D559B" w:rsidRPr="007C51D6" w:rsidRDefault="001D559B" w:rsidP="00185EDB">
      <w:pPr>
        <w:autoSpaceDE/>
        <w:autoSpaceDN/>
        <w:adjustRightInd/>
        <w:ind w:firstLine="709"/>
        <w:jc w:val="both"/>
        <w:rPr>
          <w:sz w:val="28"/>
          <w:szCs w:val="28"/>
        </w:rPr>
      </w:pPr>
      <w:r w:rsidRPr="007C51D6">
        <w:rPr>
          <w:sz w:val="28"/>
          <w:szCs w:val="28"/>
        </w:rPr>
        <w:t xml:space="preserve">Повышенное содержание загрязнений в атмосферном воздухе может вызвать неблагоприятное воздействие на здоровье населения со стороны органов дыхания, глаз, кроветворных органов, крови, иммунной, сердечно-сосудистой, нервной, мочеполовой систем, системы пищеварения, процессов развития, а также в части онкологической патологии. </w:t>
      </w:r>
    </w:p>
    <w:p w:rsidR="006043ED" w:rsidRPr="007C51D6" w:rsidRDefault="006043ED" w:rsidP="00185EDB">
      <w:pPr>
        <w:autoSpaceDE/>
        <w:autoSpaceDN/>
        <w:adjustRightInd/>
        <w:ind w:firstLine="709"/>
        <w:jc w:val="both"/>
        <w:rPr>
          <w:sz w:val="28"/>
          <w:szCs w:val="28"/>
        </w:rPr>
      </w:pPr>
      <w:r w:rsidRPr="007C51D6">
        <w:rPr>
          <w:sz w:val="28"/>
          <w:szCs w:val="28"/>
        </w:rPr>
        <w:t>По уровню случаев заболеваний от всех причин всего</w:t>
      </w:r>
      <w:r w:rsidR="006D2465" w:rsidRPr="007C51D6">
        <w:rPr>
          <w:sz w:val="28"/>
          <w:szCs w:val="28"/>
        </w:rPr>
        <w:t xml:space="preserve"> </w:t>
      </w:r>
      <w:r w:rsidRPr="007C51D6">
        <w:rPr>
          <w:sz w:val="28"/>
          <w:szCs w:val="28"/>
        </w:rPr>
        <w:t>населения, ассоциированн</w:t>
      </w:r>
      <w:r w:rsidR="004F06A9" w:rsidRPr="007C51D6">
        <w:rPr>
          <w:sz w:val="28"/>
          <w:szCs w:val="28"/>
        </w:rPr>
        <w:t>ых</w:t>
      </w:r>
      <w:r w:rsidRPr="007C51D6">
        <w:rPr>
          <w:sz w:val="28"/>
          <w:szCs w:val="28"/>
        </w:rPr>
        <w:t xml:space="preserve"> с качеством атмосферного воздуха</w:t>
      </w:r>
      <w:r w:rsidR="004F06A9" w:rsidRPr="007C51D6">
        <w:rPr>
          <w:sz w:val="28"/>
          <w:szCs w:val="28"/>
        </w:rPr>
        <w:t>,</w:t>
      </w:r>
      <w:r w:rsidRPr="007C51D6">
        <w:rPr>
          <w:sz w:val="28"/>
          <w:szCs w:val="28"/>
        </w:rPr>
        <w:t xml:space="preserve"> Республика</w:t>
      </w:r>
      <w:r w:rsidR="006D2465" w:rsidRPr="007C51D6">
        <w:rPr>
          <w:sz w:val="28"/>
          <w:szCs w:val="28"/>
        </w:rPr>
        <w:t xml:space="preserve"> </w:t>
      </w:r>
      <w:r w:rsidRPr="007C51D6">
        <w:rPr>
          <w:sz w:val="28"/>
          <w:szCs w:val="28"/>
        </w:rPr>
        <w:t>Татарстан в 2023 г</w:t>
      </w:r>
      <w:r w:rsidR="005317F0" w:rsidRPr="007C51D6">
        <w:rPr>
          <w:sz w:val="28"/>
          <w:szCs w:val="28"/>
        </w:rPr>
        <w:t>оду</w:t>
      </w:r>
      <w:r w:rsidRPr="007C51D6">
        <w:rPr>
          <w:sz w:val="28"/>
          <w:szCs w:val="28"/>
        </w:rPr>
        <w:t xml:space="preserve"> остается </w:t>
      </w:r>
      <w:r w:rsidRPr="007C51D6">
        <w:rPr>
          <w:sz w:val="28"/>
          <w:szCs w:val="28"/>
        </w:rPr>
        <w:lastRenderedPageBreak/>
        <w:t>на среднероссийском уровне.</w:t>
      </w:r>
      <w:r w:rsidR="006D2465" w:rsidRPr="007C51D6">
        <w:rPr>
          <w:sz w:val="28"/>
          <w:szCs w:val="28"/>
        </w:rPr>
        <w:t xml:space="preserve"> </w:t>
      </w:r>
    </w:p>
    <w:p w:rsidR="00CA08A3" w:rsidRPr="007C51D6" w:rsidRDefault="00DC7B4C" w:rsidP="00185EDB">
      <w:pPr>
        <w:autoSpaceDE/>
        <w:autoSpaceDN/>
        <w:adjustRightInd/>
        <w:ind w:firstLine="709"/>
        <w:jc w:val="both"/>
        <w:rPr>
          <w:sz w:val="28"/>
          <w:szCs w:val="28"/>
        </w:rPr>
      </w:pPr>
      <w:r w:rsidRPr="007C51D6">
        <w:rPr>
          <w:sz w:val="28"/>
          <w:szCs w:val="28"/>
        </w:rPr>
        <w:t>По данным лабораторных исследований в 2023 г</w:t>
      </w:r>
      <w:r w:rsidR="008B15F4" w:rsidRPr="007C51D6">
        <w:rPr>
          <w:sz w:val="28"/>
          <w:szCs w:val="28"/>
        </w:rPr>
        <w:t>оду</w:t>
      </w:r>
      <w:r w:rsidRPr="007C51D6">
        <w:rPr>
          <w:sz w:val="28"/>
          <w:szCs w:val="28"/>
        </w:rPr>
        <w:t xml:space="preserve"> о</w:t>
      </w:r>
      <w:r w:rsidR="00CA08A3" w:rsidRPr="007C51D6">
        <w:rPr>
          <w:sz w:val="28"/>
          <w:szCs w:val="28"/>
        </w:rPr>
        <w:t xml:space="preserve">сновная доля суммарных выбросов загрязняющих веществ от предприятий республики приходится на города Казань, Нижнекамск, Набережные Челны, Альметьевск, Заинск, где расположено большинство промышленных объектов республики. </w:t>
      </w:r>
    </w:p>
    <w:p w:rsidR="00A240E4" w:rsidRPr="007C51D6" w:rsidRDefault="00A240E4" w:rsidP="00185EDB">
      <w:pPr>
        <w:autoSpaceDE/>
        <w:autoSpaceDN/>
        <w:adjustRightInd/>
        <w:ind w:firstLine="709"/>
        <w:jc w:val="both"/>
        <w:rPr>
          <w:sz w:val="28"/>
          <w:szCs w:val="28"/>
        </w:rPr>
      </w:pPr>
      <w:r w:rsidRPr="007C51D6">
        <w:rPr>
          <w:sz w:val="28"/>
          <w:szCs w:val="28"/>
        </w:rPr>
        <w:t>В 2023 г</w:t>
      </w:r>
      <w:r w:rsidR="008B15F4" w:rsidRPr="007C51D6">
        <w:rPr>
          <w:sz w:val="28"/>
          <w:szCs w:val="28"/>
        </w:rPr>
        <w:t>оду</w:t>
      </w:r>
      <w:r w:rsidRPr="007C51D6">
        <w:rPr>
          <w:sz w:val="28"/>
          <w:szCs w:val="28"/>
        </w:rPr>
        <w:t xml:space="preserve"> в зоне влияния промышленных предприятий удельный вес проб атмосферного воздуха, не соответствующих гигиеническим требованиям, составил 0,09</w:t>
      </w:r>
      <w:r w:rsidR="00DC7B4C" w:rsidRPr="007C51D6">
        <w:rPr>
          <w:sz w:val="28"/>
          <w:szCs w:val="28"/>
        </w:rPr>
        <w:t xml:space="preserve"> </w:t>
      </w:r>
      <w:r w:rsidR="008B15F4" w:rsidRPr="007C51D6">
        <w:rPr>
          <w:sz w:val="28"/>
          <w:szCs w:val="28"/>
        </w:rPr>
        <w:t>процента</w:t>
      </w:r>
      <w:r w:rsidRPr="007C51D6">
        <w:rPr>
          <w:sz w:val="28"/>
          <w:szCs w:val="28"/>
        </w:rPr>
        <w:t>, что ниже уровня 2021 и 2022 г</w:t>
      </w:r>
      <w:r w:rsidR="008B15F4" w:rsidRPr="007C51D6">
        <w:rPr>
          <w:sz w:val="28"/>
          <w:szCs w:val="28"/>
        </w:rPr>
        <w:t>одов</w:t>
      </w:r>
      <w:r w:rsidRPr="007C51D6">
        <w:rPr>
          <w:sz w:val="28"/>
          <w:szCs w:val="28"/>
        </w:rPr>
        <w:t xml:space="preserve"> (0,37</w:t>
      </w:r>
      <w:r w:rsidR="00DC7B4C" w:rsidRPr="007C51D6">
        <w:rPr>
          <w:sz w:val="28"/>
          <w:szCs w:val="28"/>
        </w:rPr>
        <w:t xml:space="preserve"> </w:t>
      </w:r>
      <w:r w:rsidR="008B15F4" w:rsidRPr="007C51D6">
        <w:rPr>
          <w:sz w:val="28"/>
          <w:szCs w:val="28"/>
        </w:rPr>
        <w:t>процента</w:t>
      </w:r>
      <w:r w:rsidRPr="007C51D6">
        <w:rPr>
          <w:sz w:val="28"/>
          <w:szCs w:val="28"/>
        </w:rPr>
        <w:t xml:space="preserve"> и 0,24</w:t>
      </w:r>
      <w:r w:rsidR="00DC7B4C" w:rsidRPr="007C51D6">
        <w:rPr>
          <w:sz w:val="28"/>
          <w:szCs w:val="28"/>
        </w:rPr>
        <w:t xml:space="preserve"> </w:t>
      </w:r>
      <w:r w:rsidR="008B15F4" w:rsidRPr="007C51D6">
        <w:rPr>
          <w:sz w:val="28"/>
          <w:szCs w:val="28"/>
        </w:rPr>
        <w:t>процента</w:t>
      </w:r>
      <w:r w:rsidRPr="007C51D6">
        <w:rPr>
          <w:sz w:val="28"/>
          <w:szCs w:val="28"/>
        </w:rPr>
        <w:t xml:space="preserve"> соответственно). </w:t>
      </w:r>
    </w:p>
    <w:p w:rsidR="006043ED" w:rsidRPr="007C51D6" w:rsidRDefault="00DC7B4C" w:rsidP="00185EDB">
      <w:pPr>
        <w:autoSpaceDE/>
        <w:autoSpaceDN/>
        <w:adjustRightInd/>
        <w:ind w:firstLine="709"/>
        <w:jc w:val="both"/>
        <w:rPr>
          <w:sz w:val="28"/>
          <w:szCs w:val="28"/>
        </w:rPr>
      </w:pPr>
      <w:r w:rsidRPr="007C51D6">
        <w:rPr>
          <w:sz w:val="28"/>
          <w:szCs w:val="28"/>
        </w:rPr>
        <w:t>У</w:t>
      </w:r>
      <w:r w:rsidR="006043ED" w:rsidRPr="007C51D6">
        <w:rPr>
          <w:sz w:val="28"/>
          <w:szCs w:val="28"/>
        </w:rPr>
        <w:t xml:space="preserve">дельный вес проб атмосферного воздуха </w:t>
      </w:r>
      <w:r w:rsidR="00A240E4" w:rsidRPr="007C51D6">
        <w:rPr>
          <w:sz w:val="28"/>
          <w:szCs w:val="28"/>
        </w:rPr>
        <w:t>с превышением гигиенических нормативов в среднем по Республике Татарстан</w:t>
      </w:r>
      <w:r w:rsidR="005317F0" w:rsidRPr="007C51D6">
        <w:rPr>
          <w:sz w:val="28"/>
          <w:szCs w:val="28"/>
        </w:rPr>
        <w:t xml:space="preserve"> снизился по сравнению с 2022 годом</w:t>
      </w:r>
      <w:r w:rsidR="00A240E4" w:rsidRPr="007C51D6">
        <w:rPr>
          <w:sz w:val="28"/>
          <w:szCs w:val="28"/>
        </w:rPr>
        <w:t xml:space="preserve"> как в </w:t>
      </w:r>
      <w:r w:rsidR="006043ED" w:rsidRPr="007C51D6">
        <w:rPr>
          <w:sz w:val="28"/>
          <w:szCs w:val="28"/>
        </w:rPr>
        <w:t xml:space="preserve">городских </w:t>
      </w:r>
      <w:r w:rsidR="00A240E4" w:rsidRPr="007C51D6">
        <w:rPr>
          <w:sz w:val="28"/>
          <w:szCs w:val="28"/>
        </w:rPr>
        <w:t>(2023 г</w:t>
      </w:r>
      <w:r w:rsidR="008B15F4" w:rsidRPr="007C51D6">
        <w:rPr>
          <w:sz w:val="28"/>
          <w:szCs w:val="28"/>
        </w:rPr>
        <w:t>од</w:t>
      </w:r>
      <w:r w:rsidR="00A240E4" w:rsidRPr="007C51D6">
        <w:rPr>
          <w:sz w:val="28"/>
          <w:szCs w:val="28"/>
        </w:rPr>
        <w:t xml:space="preserve"> – 0,59 </w:t>
      </w:r>
      <w:r w:rsidR="008B15F4" w:rsidRPr="007C51D6">
        <w:rPr>
          <w:sz w:val="28"/>
          <w:szCs w:val="28"/>
        </w:rPr>
        <w:t>процента</w:t>
      </w:r>
      <w:r w:rsidR="00A240E4" w:rsidRPr="007C51D6">
        <w:rPr>
          <w:sz w:val="28"/>
          <w:szCs w:val="28"/>
        </w:rPr>
        <w:t>, 2022 г</w:t>
      </w:r>
      <w:r w:rsidR="008B15F4" w:rsidRPr="007C51D6">
        <w:rPr>
          <w:sz w:val="28"/>
          <w:szCs w:val="28"/>
        </w:rPr>
        <w:t>од</w:t>
      </w:r>
      <w:r w:rsidR="00A240E4" w:rsidRPr="007C51D6">
        <w:rPr>
          <w:sz w:val="28"/>
          <w:szCs w:val="28"/>
        </w:rPr>
        <w:t xml:space="preserve"> – 0,86 </w:t>
      </w:r>
      <w:r w:rsidR="008B15F4" w:rsidRPr="007C51D6">
        <w:rPr>
          <w:sz w:val="28"/>
          <w:szCs w:val="28"/>
        </w:rPr>
        <w:t>процента</w:t>
      </w:r>
      <w:r w:rsidR="00A240E4" w:rsidRPr="007C51D6">
        <w:rPr>
          <w:sz w:val="28"/>
          <w:szCs w:val="28"/>
        </w:rPr>
        <w:t xml:space="preserve">), так </w:t>
      </w:r>
      <w:r w:rsidR="006043ED" w:rsidRPr="007C51D6">
        <w:rPr>
          <w:sz w:val="28"/>
          <w:szCs w:val="28"/>
        </w:rPr>
        <w:t xml:space="preserve">и </w:t>
      </w:r>
      <w:r w:rsidR="00A240E4" w:rsidRPr="007C51D6">
        <w:rPr>
          <w:sz w:val="28"/>
          <w:szCs w:val="28"/>
        </w:rPr>
        <w:t xml:space="preserve">в </w:t>
      </w:r>
      <w:r w:rsidR="006043ED" w:rsidRPr="007C51D6">
        <w:rPr>
          <w:sz w:val="28"/>
          <w:szCs w:val="28"/>
        </w:rPr>
        <w:t>сельских</w:t>
      </w:r>
      <w:r w:rsidR="006D2465" w:rsidRPr="007C51D6">
        <w:rPr>
          <w:sz w:val="28"/>
          <w:szCs w:val="28"/>
        </w:rPr>
        <w:t xml:space="preserve"> </w:t>
      </w:r>
      <w:r w:rsidR="006043ED" w:rsidRPr="007C51D6">
        <w:rPr>
          <w:sz w:val="28"/>
          <w:szCs w:val="28"/>
        </w:rPr>
        <w:t>поселени</w:t>
      </w:r>
      <w:r w:rsidR="00A240E4" w:rsidRPr="007C51D6">
        <w:rPr>
          <w:sz w:val="28"/>
          <w:szCs w:val="28"/>
        </w:rPr>
        <w:t>ях</w:t>
      </w:r>
      <w:r w:rsidR="006043ED" w:rsidRPr="007C51D6">
        <w:rPr>
          <w:sz w:val="28"/>
          <w:szCs w:val="28"/>
        </w:rPr>
        <w:t xml:space="preserve"> </w:t>
      </w:r>
      <w:r w:rsidR="00CA08A3" w:rsidRPr="007C51D6">
        <w:rPr>
          <w:sz w:val="28"/>
          <w:szCs w:val="28"/>
        </w:rPr>
        <w:t>(</w:t>
      </w:r>
      <w:r w:rsidR="00A240E4" w:rsidRPr="007C51D6">
        <w:rPr>
          <w:sz w:val="28"/>
          <w:szCs w:val="28"/>
        </w:rPr>
        <w:t>2023 г</w:t>
      </w:r>
      <w:r w:rsidR="008B15F4" w:rsidRPr="007C51D6">
        <w:rPr>
          <w:sz w:val="28"/>
          <w:szCs w:val="28"/>
        </w:rPr>
        <w:t>од</w:t>
      </w:r>
      <w:r w:rsidR="005317F0" w:rsidRPr="007C51D6">
        <w:rPr>
          <w:sz w:val="28"/>
          <w:szCs w:val="28"/>
        </w:rPr>
        <w:t xml:space="preserve"> –</w:t>
      </w:r>
      <w:r w:rsidR="00A240E4" w:rsidRPr="007C51D6">
        <w:rPr>
          <w:sz w:val="28"/>
          <w:szCs w:val="28"/>
        </w:rPr>
        <w:t xml:space="preserve"> 0,03 </w:t>
      </w:r>
      <w:r w:rsidR="008B15F4" w:rsidRPr="007C51D6">
        <w:rPr>
          <w:sz w:val="28"/>
          <w:szCs w:val="28"/>
        </w:rPr>
        <w:t>процента</w:t>
      </w:r>
      <w:r w:rsidR="00A240E4" w:rsidRPr="007C51D6">
        <w:rPr>
          <w:sz w:val="28"/>
          <w:szCs w:val="28"/>
        </w:rPr>
        <w:t>, 2022 г</w:t>
      </w:r>
      <w:r w:rsidR="008B15F4" w:rsidRPr="007C51D6">
        <w:rPr>
          <w:sz w:val="28"/>
          <w:szCs w:val="28"/>
        </w:rPr>
        <w:t>од</w:t>
      </w:r>
      <w:r w:rsidR="00A240E4" w:rsidRPr="007C51D6">
        <w:rPr>
          <w:sz w:val="28"/>
          <w:szCs w:val="28"/>
        </w:rPr>
        <w:t xml:space="preserve"> – 0,32 </w:t>
      </w:r>
      <w:r w:rsidR="008B15F4" w:rsidRPr="007C51D6">
        <w:rPr>
          <w:sz w:val="28"/>
          <w:szCs w:val="28"/>
        </w:rPr>
        <w:t>процента</w:t>
      </w:r>
      <w:r w:rsidR="00CA08A3" w:rsidRPr="007C51D6">
        <w:rPr>
          <w:sz w:val="28"/>
          <w:szCs w:val="28"/>
        </w:rPr>
        <w:t xml:space="preserve">). </w:t>
      </w:r>
    </w:p>
    <w:p w:rsidR="00CA08A3" w:rsidRPr="007C51D6" w:rsidRDefault="00CA08A3" w:rsidP="00185EDB">
      <w:pPr>
        <w:autoSpaceDE/>
        <w:autoSpaceDN/>
        <w:adjustRightInd/>
        <w:ind w:firstLine="709"/>
        <w:jc w:val="both"/>
        <w:rPr>
          <w:sz w:val="28"/>
          <w:szCs w:val="28"/>
        </w:rPr>
      </w:pPr>
      <w:r w:rsidRPr="007C51D6">
        <w:rPr>
          <w:sz w:val="28"/>
          <w:szCs w:val="28"/>
        </w:rPr>
        <w:t xml:space="preserve">За последние три года </w:t>
      </w:r>
      <w:r w:rsidR="00EC4C3F" w:rsidRPr="007C51D6">
        <w:rPr>
          <w:sz w:val="28"/>
          <w:szCs w:val="28"/>
        </w:rPr>
        <w:t xml:space="preserve">(2021 – 2023 годы) </w:t>
      </w:r>
      <w:r w:rsidRPr="007C51D6">
        <w:rPr>
          <w:sz w:val="28"/>
          <w:szCs w:val="28"/>
        </w:rPr>
        <w:t>в Республике Татарстан наблюдаются:</w:t>
      </w:r>
    </w:p>
    <w:p w:rsidR="00CA08A3" w:rsidRPr="007C51D6" w:rsidRDefault="00CA08A3" w:rsidP="00185EDB">
      <w:pPr>
        <w:autoSpaceDE/>
        <w:autoSpaceDN/>
        <w:adjustRightInd/>
        <w:ind w:firstLine="709"/>
        <w:jc w:val="both"/>
        <w:rPr>
          <w:sz w:val="28"/>
          <w:szCs w:val="28"/>
        </w:rPr>
      </w:pPr>
      <w:r w:rsidRPr="007C51D6">
        <w:rPr>
          <w:sz w:val="28"/>
          <w:szCs w:val="28"/>
        </w:rPr>
        <w:t>стабилизация негативного влияния стационарных источников выбросов</w:t>
      </w:r>
      <w:r w:rsidR="00DC7B4C" w:rsidRPr="007C51D6">
        <w:rPr>
          <w:sz w:val="28"/>
          <w:szCs w:val="28"/>
        </w:rPr>
        <w:t xml:space="preserve"> </w:t>
      </w:r>
      <w:r w:rsidR="00CA5B2D" w:rsidRPr="007C51D6">
        <w:rPr>
          <w:sz w:val="28"/>
          <w:szCs w:val="28"/>
        </w:rPr>
        <w:t xml:space="preserve">загрязняющих веществ </w:t>
      </w:r>
      <w:r w:rsidR="005317F0" w:rsidRPr="007C51D6">
        <w:rPr>
          <w:sz w:val="28"/>
          <w:szCs w:val="28"/>
        </w:rPr>
        <w:t xml:space="preserve">в </w:t>
      </w:r>
      <w:r w:rsidRPr="007C51D6">
        <w:rPr>
          <w:sz w:val="28"/>
          <w:szCs w:val="28"/>
        </w:rPr>
        <w:t>городских поселени</w:t>
      </w:r>
      <w:r w:rsidR="005317F0" w:rsidRPr="007C51D6">
        <w:rPr>
          <w:sz w:val="28"/>
          <w:szCs w:val="28"/>
        </w:rPr>
        <w:t>ях</w:t>
      </w:r>
      <w:r w:rsidRPr="007C51D6">
        <w:rPr>
          <w:sz w:val="28"/>
          <w:szCs w:val="28"/>
        </w:rPr>
        <w:t>, что подтверждается результатами подфакельных и</w:t>
      </w:r>
      <w:r w:rsidR="00DC7B4C" w:rsidRPr="007C51D6">
        <w:rPr>
          <w:sz w:val="28"/>
          <w:szCs w:val="28"/>
        </w:rPr>
        <w:t xml:space="preserve"> </w:t>
      </w:r>
      <w:r w:rsidRPr="007C51D6">
        <w:rPr>
          <w:sz w:val="28"/>
          <w:szCs w:val="28"/>
        </w:rPr>
        <w:t>маршрутных исследований, в том числе снижением доли проб с превышением</w:t>
      </w:r>
      <w:r w:rsidR="00DC7B4C" w:rsidRPr="007C51D6">
        <w:rPr>
          <w:sz w:val="28"/>
          <w:szCs w:val="28"/>
        </w:rPr>
        <w:t xml:space="preserve"> </w:t>
      </w:r>
      <w:r w:rsidR="003A303D" w:rsidRPr="007C51D6">
        <w:rPr>
          <w:sz w:val="28"/>
          <w:szCs w:val="28"/>
        </w:rPr>
        <w:t>предельно допустимых концентраций п</w:t>
      </w:r>
      <w:r w:rsidRPr="007C51D6">
        <w:rPr>
          <w:sz w:val="28"/>
          <w:szCs w:val="28"/>
        </w:rPr>
        <w:t>о специфическим примесям, характерным для выбросов</w:t>
      </w:r>
      <w:r w:rsidR="00DC7B4C" w:rsidRPr="007C51D6">
        <w:rPr>
          <w:sz w:val="28"/>
          <w:szCs w:val="28"/>
        </w:rPr>
        <w:t xml:space="preserve"> </w:t>
      </w:r>
      <w:r w:rsidRPr="007C51D6">
        <w:rPr>
          <w:sz w:val="28"/>
          <w:szCs w:val="28"/>
        </w:rPr>
        <w:t>промышленных предприятий;</w:t>
      </w:r>
    </w:p>
    <w:p w:rsidR="00CA08A3" w:rsidRPr="007C51D6" w:rsidRDefault="00CA08A3" w:rsidP="00185EDB">
      <w:pPr>
        <w:autoSpaceDE/>
        <w:autoSpaceDN/>
        <w:adjustRightInd/>
        <w:ind w:firstLine="709"/>
        <w:jc w:val="both"/>
        <w:rPr>
          <w:sz w:val="28"/>
          <w:szCs w:val="28"/>
        </w:rPr>
      </w:pPr>
      <w:r w:rsidRPr="007C51D6">
        <w:rPr>
          <w:sz w:val="28"/>
          <w:szCs w:val="28"/>
        </w:rPr>
        <w:t>снижение загрязнения, формируемого выбросами автотранспорта, что</w:t>
      </w:r>
      <w:r w:rsidR="00DC7B4C" w:rsidRPr="007C51D6">
        <w:rPr>
          <w:sz w:val="28"/>
          <w:szCs w:val="28"/>
        </w:rPr>
        <w:t xml:space="preserve"> </w:t>
      </w:r>
      <w:r w:rsidRPr="007C51D6">
        <w:rPr>
          <w:sz w:val="28"/>
          <w:szCs w:val="28"/>
        </w:rPr>
        <w:t>подтверждается данными исследований атмосферного воздуха в зоне влияния</w:t>
      </w:r>
      <w:r w:rsidR="00DC7B4C" w:rsidRPr="007C51D6">
        <w:rPr>
          <w:sz w:val="28"/>
          <w:szCs w:val="28"/>
        </w:rPr>
        <w:t xml:space="preserve"> </w:t>
      </w:r>
      <w:r w:rsidRPr="007C51D6">
        <w:rPr>
          <w:sz w:val="28"/>
          <w:szCs w:val="28"/>
        </w:rPr>
        <w:t xml:space="preserve">автомагистралей. </w:t>
      </w:r>
    </w:p>
    <w:p w:rsidR="001D559B" w:rsidRPr="007C51D6" w:rsidRDefault="001D559B" w:rsidP="00185EDB">
      <w:pPr>
        <w:autoSpaceDE/>
        <w:autoSpaceDN/>
        <w:adjustRightInd/>
        <w:ind w:firstLine="709"/>
        <w:jc w:val="both"/>
        <w:rPr>
          <w:sz w:val="28"/>
          <w:szCs w:val="28"/>
        </w:rPr>
      </w:pPr>
      <w:r w:rsidRPr="007C51D6">
        <w:rPr>
          <w:spacing w:val="-2"/>
          <w:sz w:val="28"/>
          <w:szCs w:val="28"/>
        </w:rPr>
        <w:t>Радиационная обстановка на территории Республики Татарстан, по данным Управления Федеральной службы по надзору в сфере защиты прав потребителей и благополучия человека по Республике Татарстан</w:t>
      </w:r>
      <w:r w:rsidR="003179F7" w:rsidRPr="007C51D6">
        <w:rPr>
          <w:spacing w:val="-2"/>
          <w:sz w:val="28"/>
          <w:szCs w:val="28"/>
        </w:rPr>
        <w:t xml:space="preserve"> (Татарстан)</w:t>
      </w:r>
      <w:r w:rsidRPr="007C51D6">
        <w:rPr>
          <w:spacing w:val="-2"/>
          <w:sz w:val="28"/>
          <w:szCs w:val="28"/>
        </w:rPr>
        <w:t>, спокойная, стабильная. Средние значения естественного гамма-фона не превышают данных многолетних наблюдени</w:t>
      </w:r>
      <w:r w:rsidRPr="007C51D6">
        <w:rPr>
          <w:sz w:val="28"/>
          <w:szCs w:val="28"/>
        </w:rPr>
        <w:t xml:space="preserve">й. </w:t>
      </w:r>
    </w:p>
    <w:p w:rsidR="001D559B" w:rsidRPr="007C51D6" w:rsidRDefault="001D559B" w:rsidP="00185EDB">
      <w:pPr>
        <w:autoSpaceDE/>
        <w:autoSpaceDN/>
        <w:adjustRightInd/>
        <w:ind w:firstLine="709"/>
        <w:jc w:val="both"/>
        <w:rPr>
          <w:sz w:val="28"/>
          <w:szCs w:val="28"/>
        </w:rPr>
      </w:pPr>
      <w:r w:rsidRPr="007C51D6">
        <w:rPr>
          <w:sz w:val="28"/>
          <w:szCs w:val="28"/>
        </w:rPr>
        <w:t>В целом по Республике Татарстан, по данным лабораторных исследований, наблюдается тенденция к уменьшению доли проб воды водных объектов, используемых для рекреаци</w:t>
      </w:r>
      <w:r w:rsidR="00EC4C3F" w:rsidRPr="007C51D6">
        <w:rPr>
          <w:sz w:val="28"/>
          <w:szCs w:val="28"/>
        </w:rPr>
        <w:t>онных целей</w:t>
      </w:r>
      <w:r w:rsidRPr="007C51D6">
        <w:rPr>
          <w:sz w:val="28"/>
          <w:szCs w:val="28"/>
        </w:rPr>
        <w:t xml:space="preserve"> (II категории), не отвечающих санитарным нормативам по санитарно-химическим показателям (в 20</w:t>
      </w:r>
      <w:r w:rsidR="00EC4C3F" w:rsidRPr="007C51D6">
        <w:rPr>
          <w:sz w:val="28"/>
          <w:szCs w:val="28"/>
        </w:rPr>
        <w:t>23</w:t>
      </w:r>
      <w:r w:rsidRPr="007C51D6">
        <w:rPr>
          <w:sz w:val="28"/>
          <w:szCs w:val="28"/>
        </w:rPr>
        <w:t xml:space="preserve"> году – </w:t>
      </w:r>
      <w:r w:rsidR="00EC4C3F" w:rsidRPr="007C51D6">
        <w:rPr>
          <w:sz w:val="28"/>
          <w:szCs w:val="28"/>
        </w:rPr>
        <w:t>8</w:t>
      </w:r>
      <w:r w:rsidRPr="007C51D6">
        <w:rPr>
          <w:sz w:val="28"/>
          <w:szCs w:val="28"/>
        </w:rPr>
        <w:t>,</w:t>
      </w:r>
      <w:r w:rsidR="00EC4C3F" w:rsidRPr="007C51D6">
        <w:rPr>
          <w:sz w:val="28"/>
          <w:szCs w:val="28"/>
        </w:rPr>
        <w:t>8</w:t>
      </w:r>
      <w:r w:rsidRPr="007C51D6">
        <w:rPr>
          <w:sz w:val="28"/>
          <w:szCs w:val="28"/>
        </w:rPr>
        <w:t xml:space="preserve"> процента, в 20</w:t>
      </w:r>
      <w:r w:rsidR="00EC4C3F" w:rsidRPr="007C51D6">
        <w:rPr>
          <w:sz w:val="28"/>
          <w:szCs w:val="28"/>
        </w:rPr>
        <w:t>22</w:t>
      </w:r>
      <w:r w:rsidRPr="007C51D6">
        <w:rPr>
          <w:sz w:val="28"/>
          <w:szCs w:val="28"/>
        </w:rPr>
        <w:t xml:space="preserve"> году – </w:t>
      </w:r>
      <w:r w:rsidRPr="007C51D6">
        <w:rPr>
          <w:sz w:val="28"/>
          <w:szCs w:val="28"/>
        </w:rPr>
        <w:br/>
      </w:r>
      <w:r w:rsidR="00EC4C3F" w:rsidRPr="007C51D6">
        <w:rPr>
          <w:sz w:val="28"/>
          <w:szCs w:val="28"/>
        </w:rPr>
        <w:t>9</w:t>
      </w:r>
      <w:r w:rsidRPr="007C51D6">
        <w:rPr>
          <w:sz w:val="28"/>
          <w:szCs w:val="28"/>
        </w:rPr>
        <w:t>,7 процента, в 20</w:t>
      </w:r>
      <w:r w:rsidR="00EC4C3F" w:rsidRPr="007C51D6">
        <w:rPr>
          <w:sz w:val="28"/>
          <w:szCs w:val="28"/>
        </w:rPr>
        <w:t>21</w:t>
      </w:r>
      <w:r w:rsidRPr="007C51D6">
        <w:rPr>
          <w:sz w:val="28"/>
          <w:szCs w:val="28"/>
        </w:rPr>
        <w:t xml:space="preserve"> году – </w:t>
      </w:r>
      <w:r w:rsidR="00EC4C3F" w:rsidRPr="007C51D6">
        <w:rPr>
          <w:sz w:val="28"/>
          <w:szCs w:val="28"/>
        </w:rPr>
        <w:t>9</w:t>
      </w:r>
      <w:r w:rsidRPr="007C51D6">
        <w:rPr>
          <w:sz w:val="28"/>
          <w:szCs w:val="28"/>
        </w:rPr>
        <w:t>,</w:t>
      </w:r>
      <w:r w:rsidR="00EC4C3F" w:rsidRPr="007C51D6">
        <w:rPr>
          <w:sz w:val="28"/>
          <w:szCs w:val="28"/>
        </w:rPr>
        <w:t>5</w:t>
      </w:r>
      <w:r w:rsidRPr="007C51D6">
        <w:rPr>
          <w:sz w:val="28"/>
          <w:szCs w:val="28"/>
        </w:rPr>
        <w:t xml:space="preserve"> процента). </w:t>
      </w:r>
    </w:p>
    <w:p w:rsidR="001D559B" w:rsidRPr="007C51D6" w:rsidRDefault="00EC4C3F" w:rsidP="00185EDB">
      <w:pPr>
        <w:autoSpaceDE/>
        <w:autoSpaceDN/>
        <w:adjustRightInd/>
        <w:ind w:firstLine="709"/>
        <w:jc w:val="both"/>
        <w:rPr>
          <w:rFonts w:eastAsia="Arial"/>
          <w:sz w:val="28"/>
          <w:szCs w:val="28"/>
          <w:lang w:eastAsia="x-none"/>
        </w:rPr>
      </w:pPr>
      <w:r w:rsidRPr="007C51D6">
        <w:rPr>
          <w:sz w:val="28"/>
          <w:szCs w:val="28"/>
        </w:rPr>
        <w:t>В 2023 году доля проб питьевой воды из распределительной сети, не соответствующей гигиеническим требованиям по санитарно-химическим и микробиологическим показателям, составила 8,4</w:t>
      </w:r>
      <w:r w:rsidR="00983B18" w:rsidRPr="007C51D6">
        <w:rPr>
          <w:sz w:val="28"/>
          <w:szCs w:val="28"/>
        </w:rPr>
        <w:t xml:space="preserve"> процента</w:t>
      </w:r>
      <w:r w:rsidRPr="007C51D6">
        <w:rPr>
          <w:sz w:val="28"/>
          <w:szCs w:val="28"/>
        </w:rPr>
        <w:t xml:space="preserve"> и 1,8</w:t>
      </w:r>
      <w:r w:rsidR="00983B18" w:rsidRPr="007C51D6">
        <w:rPr>
          <w:sz w:val="28"/>
          <w:szCs w:val="28"/>
        </w:rPr>
        <w:t xml:space="preserve"> процента</w:t>
      </w:r>
      <w:r w:rsidRPr="007C51D6">
        <w:rPr>
          <w:sz w:val="28"/>
          <w:szCs w:val="28"/>
        </w:rPr>
        <w:t xml:space="preserve"> соответственно. Показатели качества питьевой воды из распределительной сети находятся на уровне средних многолетних показателей по Республике Татарстан. Все исследованные пробы воды по паразитологическим и радиологическим показателям соответствовали гигиеническим нормативам</w:t>
      </w:r>
      <w:r w:rsidR="00983B18" w:rsidRPr="007C51D6">
        <w:rPr>
          <w:sz w:val="28"/>
          <w:szCs w:val="28"/>
        </w:rPr>
        <w:t>.</w:t>
      </w:r>
      <w:r w:rsidR="001D559B" w:rsidRPr="007C51D6">
        <w:rPr>
          <w:sz w:val="28"/>
          <w:szCs w:val="28"/>
        </w:rPr>
        <w:t xml:space="preserve"> </w:t>
      </w:r>
    </w:p>
    <w:p w:rsidR="001D559B" w:rsidRPr="007C51D6" w:rsidRDefault="001D559B" w:rsidP="00185EDB">
      <w:pPr>
        <w:autoSpaceDE/>
        <w:autoSpaceDN/>
        <w:adjustRightInd/>
        <w:ind w:firstLine="709"/>
        <w:jc w:val="both"/>
        <w:rPr>
          <w:sz w:val="28"/>
          <w:szCs w:val="28"/>
        </w:rPr>
      </w:pPr>
      <w:r w:rsidRPr="007C51D6">
        <w:rPr>
          <w:sz w:val="28"/>
          <w:szCs w:val="28"/>
        </w:rPr>
        <w:t>По итогам 20</w:t>
      </w:r>
      <w:r w:rsidR="00983B18" w:rsidRPr="007C51D6">
        <w:rPr>
          <w:sz w:val="28"/>
          <w:szCs w:val="28"/>
        </w:rPr>
        <w:t>23</w:t>
      </w:r>
      <w:r w:rsidRPr="007C51D6">
        <w:rPr>
          <w:sz w:val="28"/>
          <w:szCs w:val="28"/>
        </w:rPr>
        <w:t xml:space="preserve"> года неблагополучными территориями по обеспечению населения питьевой водой, где показатели загрязнения (санитарно-химические показатели) превышали среднереспубликанские, являются </w:t>
      </w:r>
      <w:r w:rsidR="00983B18" w:rsidRPr="007C51D6">
        <w:rPr>
          <w:sz w:val="28"/>
          <w:szCs w:val="28"/>
        </w:rPr>
        <w:t xml:space="preserve">Атнинский, Бавлинский, </w:t>
      </w:r>
      <w:r w:rsidRPr="007C51D6">
        <w:rPr>
          <w:sz w:val="28"/>
          <w:szCs w:val="28"/>
        </w:rPr>
        <w:t xml:space="preserve">Муслюмовский, </w:t>
      </w:r>
      <w:r w:rsidR="00983B18" w:rsidRPr="007C51D6">
        <w:rPr>
          <w:sz w:val="28"/>
          <w:szCs w:val="28"/>
        </w:rPr>
        <w:t>Алексеев</w:t>
      </w:r>
      <w:r w:rsidRPr="007C51D6">
        <w:rPr>
          <w:sz w:val="28"/>
          <w:szCs w:val="28"/>
        </w:rPr>
        <w:t xml:space="preserve">ский, </w:t>
      </w:r>
      <w:r w:rsidR="00983B18" w:rsidRPr="007C51D6">
        <w:rPr>
          <w:sz w:val="28"/>
          <w:szCs w:val="28"/>
        </w:rPr>
        <w:t>Алькеевский</w:t>
      </w:r>
      <w:r w:rsidRPr="007C51D6">
        <w:rPr>
          <w:sz w:val="28"/>
          <w:szCs w:val="28"/>
        </w:rPr>
        <w:t xml:space="preserve"> муниципальные районы. </w:t>
      </w:r>
    </w:p>
    <w:p w:rsidR="00907EC6" w:rsidRPr="007C51D6" w:rsidRDefault="001D559B" w:rsidP="00B24387">
      <w:pPr>
        <w:autoSpaceDE/>
        <w:autoSpaceDN/>
        <w:adjustRightInd/>
        <w:ind w:firstLine="709"/>
        <w:jc w:val="both"/>
        <w:rPr>
          <w:sz w:val="28"/>
          <w:szCs w:val="28"/>
        </w:rPr>
      </w:pPr>
      <w:r w:rsidRPr="007C51D6">
        <w:rPr>
          <w:rFonts w:eastAsia="Arial"/>
          <w:sz w:val="28"/>
          <w:szCs w:val="28"/>
        </w:rPr>
        <w:lastRenderedPageBreak/>
        <w:t xml:space="preserve">Республика Татарстан с точки зрения экологии является относительно благополучным регионом, в Национальном экологическом рейтинге </w:t>
      </w:r>
      <w:r w:rsidR="00CF42D5" w:rsidRPr="007C51D6">
        <w:rPr>
          <w:rFonts w:eastAsia="Arial"/>
          <w:sz w:val="28"/>
          <w:szCs w:val="28"/>
        </w:rPr>
        <w:t>регионов</w:t>
      </w:r>
      <w:r w:rsidRPr="007C51D6">
        <w:rPr>
          <w:rFonts w:eastAsia="Arial"/>
          <w:sz w:val="28"/>
          <w:szCs w:val="28"/>
        </w:rPr>
        <w:t xml:space="preserve"> России Общероссийской общественной организации </w:t>
      </w:r>
      <w:r w:rsidR="002F7358" w:rsidRPr="007C51D6">
        <w:rPr>
          <w:rFonts w:eastAsia="Arial"/>
          <w:sz w:val="28"/>
          <w:szCs w:val="28"/>
        </w:rPr>
        <w:t>«</w:t>
      </w:r>
      <w:r w:rsidRPr="007C51D6">
        <w:rPr>
          <w:rFonts w:eastAsia="Arial"/>
          <w:sz w:val="28"/>
          <w:szCs w:val="28"/>
        </w:rPr>
        <w:t>Зеленый патруль</w:t>
      </w:r>
      <w:r w:rsidR="002F7358" w:rsidRPr="007C51D6">
        <w:rPr>
          <w:rFonts w:eastAsia="Arial"/>
          <w:sz w:val="28"/>
          <w:szCs w:val="28"/>
        </w:rPr>
        <w:t>»</w:t>
      </w:r>
      <w:r w:rsidRPr="007C51D6">
        <w:rPr>
          <w:rFonts w:eastAsia="Arial"/>
          <w:sz w:val="28"/>
          <w:szCs w:val="28"/>
        </w:rPr>
        <w:t xml:space="preserve"> по итогам </w:t>
      </w:r>
      <w:r w:rsidR="00692656" w:rsidRPr="007C51D6">
        <w:rPr>
          <w:rFonts w:eastAsia="Arial"/>
          <w:sz w:val="28"/>
          <w:szCs w:val="28"/>
        </w:rPr>
        <w:t>осеннего</w:t>
      </w:r>
      <w:r w:rsidRPr="007C51D6">
        <w:rPr>
          <w:rFonts w:eastAsia="Arial"/>
          <w:sz w:val="28"/>
          <w:szCs w:val="28"/>
        </w:rPr>
        <w:t xml:space="preserve"> сезона 202</w:t>
      </w:r>
      <w:r w:rsidR="00B3168A">
        <w:rPr>
          <w:rFonts w:eastAsia="Arial"/>
          <w:sz w:val="28"/>
          <w:szCs w:val="28"/>
        </w:rPr>
        <w:t>5</w:t>
      </w:r>
      <w:r w:rsidRPr="007C51D6">
        <w:rPr>
          <w:rFonts w:eastAsia="Arial"/>
          <w:sz w:val="28"/>
          <w:szCs w:val="28"/>
        </w:rPr>
        <w:t xml:space="preserve"> года республика занимает </w:t>
      </w:r>
      <w:r w:rsidR="00692656" w:rsidRPr="007C51D6">
        <w:rPr>
          <w:rFonts w:eastAsia="Arial"/>
          <w:sz w:val="28"/>
          <w:szCs w:val="28"/>
        </w:rPr>
        <w:t>5</w:t>
      </w:r>
      <w:r w:rsidR="00B3168A">
        <w:rPr>
          <w:rFonts w:eastAsia="Arial"/>
          <w:sz w:val="28"/>
          <w:szCs w:val="28"/>
        </w:rPr>
        <w:t>6</w:t>
      </w:r>
      <w:bookmarkStart w:id="0" w:name="_GoBack"/>
      <w:bookmarkEnd w:id="0"/>
      <w:r w:rsidRPr="007C51D6">
        <w:rPr>
          <w:rFonts w:eastAsia="Arial"/>
          <w:sz w:val="28"/>
          <w:szCs w:val="28"/>
        </w:rPr>
        <w:t xml:space="preserve"> место из 8</w:t>
      </w:r>
      <w:r w:rsidR="00692656" w:rsidRPr="007C51D6">
        <w:rPr>
          <w:rFonts w:eastAsia="Arial"/>
          <w:sz w:val="28"/>
          <w:szCs w:val="28"/>
        </w:rPr>
        <w:t>3</w:t>
      </w:r>
      <w:r w:rsidRPr="007C51D6">
        <w:rPr>
          <w:rFonts w:eastAsia="Arial"/>
          <w:sz w:val="28"/>
          <w:szCs w:val="28"/>
        </w:rPr>
        <w:t>.</w:t>
      </w:r>
      <w:r w:rsidR="004040B4" w:rsidRPr="007C51D6">
        <w:rPr>
          <w:rFonts w:eastAsia="Arial"/>
          <w:sz w:val="28"/>
          <w:szCs w:val="28"/>
        </w:rPr>
        <w:t xml:space="preserve"> </w:t>
      </w:r>
    </w:p>
    <w:p w:rsidR="002121A1" w:rsidRPr="007C51D6" w:rsidRDefault="002121A1">
      <w:pPr>
        <w:rPr>
          <w:sz w:val="28"/>
          <w:szCs w:val="28"/>
        </w:rPr>
        <w:sectPr w:rsidR="002121A1" w:rsidRPr="007C51D6" w:rsidSect="0040172E">
          <w:pgSz w:w="11906" w:h="16838"/>
          <w:pgMar w:top="1134" w:right="567" w:bottom="1134" w:left="1134" w:header="709" w:footer="709" w:gutter="0"/>
          <w:pgNumType w:start="1"/>
          <w:cols w:space="708"/>
          <w:titlePg/>
          <w:docGrid w:linePitch="360"/>
        </w:sectPr>
      </w:pPr>
    </w:p>
    <w:p w:rsidR="00A30CDE" w:rsidRPr="007C51D6" w:rsidRDefault="00A30CDE" w:rsidP="00A30CDE">
      <w:pPr>
        <w:autoSpaceDE/>
        <w:autoSpaceDN/>
        <w:adjustRightInd/>
        <w:spacing w:line="235" w:lineRule="auto"/>
        <w:ind w:firstLine="709"/>
        <w:jc w:val="both"/>
        <w:rPr>
          <w:rFonts w:eastAsia="Arial"/>
          <w:sz w:val="28"/>
          <w:szCs w:val="28"/>
        </w:rPr>
      </w:pPr>
      <w:r w:rsidRPr="007C51D6">
        <w:rPr>
          <w:rFonts w:eastAsia="Arial"/>
          <w:sz w:val="28"/>
          <w:szCs w:val="28"/>
        </w:rPr>
        <w:lastRenderedPageBreak/>
        <w:t xml:space="preserve">1.2. Эпидемиологические показатели: анализ динамики данных по заболеваемости и распространенности онкологических заболеваний. </w:t>
      </w:r>
    </w:p>
    <w:p w:rsidR="00A30CDE" w:rsidRPr="007C51D6" w:rsidRDefault="00A30CDE" w:rsidP="00A30CDE">
      <w:pPr>
        <w:autoSpaceDE/>
        <w:autoSpaceDN/>
        <w:adjustRightInd/>
        <w:ind w:firstLine="709"/>
        <w:jc w:val="both"/>
        <w:rPr>
          <w:rFonts w:eastAsia="Arial"/>
          <w:sz w:val="28"/>
          <w:szCs w:val="28"/>
        </w:rPr>
      </w:pPr>
      <w:r w:rsidRPr="007C51D6">
        <w:rPr>
          <w:rFonts w:eastAsia="Arial"/>
          <w:spacing w:val="1"/>
          <w:sz w:val="28"/>
          <w:szCs w:val="28"/>
        </w:rPr>
        <w:t>По состоянию на 31</w:t>
      </w:r>
      <w:r w:rsidR="005317F0" w:rsidRPr="007C51D6">
        <w:rPr>
          <w:rFonts w:eastAsia="Arial"/>
          <w:spacing w:val="1"/>
          <w:sz w:val="28"/>
          <w:szCs w:val="28"/>
        </w:rPr>
        <w:t xml:space="preserve"> декабря </w:t>
      </w:r>
      <w:r w:rsidRPr="007C51D6">
        <w:rPr>
          <w:rFonts w:eastAsia="Arial"/>
          <w:spacing w:val="1"/>
          <w:sz w:val="28"/>
          <w:szCs w:val="28"/>
        </w:rPr>
        <w:t>202</w:t>
      </w:r>
      <w:r w:rsidR="00DF2CBE" w:rsidRPr="007C51D6">
        <w:rPr>
          <w:rFonts w:eastAsia="Arial"/>
          <w:spacing w:val="1"/>
          <w:sz w:val="28"/>
          <w:szCs w:val="28"/>
        </w:rPr>
        <w:t>5</w:t>
      </w:r>
      <w:r w:rsidR="005317F0" w:rsidRPr="007C51D6">
        <w:rPr>
          <w:rFonts w:eastAsia="Arial"/>
          <w:spacing w:val="1"/>
          <w:sz w:val="28"/>
          <w:szCs w:val="28"/>
        </w:rPr>
        <w:t xml:space="preserve"> года</w:t>
      </w:r>
      <w:r w:rsidRPr="007C51D6">
        <w:rPr>
          <w:rFonts w:eastAsia="Arial"/>
          <w:spacing w:val="1"/>
          <w:sz w:val="28"/>
          <w:szCs w:val="28"/>
        </w:rPr>
        <w:t xml:space="preserve"> численность больных </w:t>
      </w:r>
      <w:r w:rsidRPr="007C51D6">
        <w:rPr>
          <w:color w:val="000000"/>
          <w:spacing w:val="-2"/>
          <w:sz w:val="28"/>
          <w:szCs w:val="28"/>
        </w:rPr>
        <w:t>со злокачественными новообразованиями</w:t>
      </w:r>
      <w:r w:rsidR="005317F0" w:rsidRPr="007C51D6">
        <w:rPr>
          <w:color w:val="000000"/>
          <w:spacing w:val="-2"/>
          <w:sz w:val="28"/>
          <w:szCs w:val="28"/>
        </w:rPr>
        <w:t xml:space="preserve"> (далее </w:t>
      </w:r>
      <w:r w:rsidR="005317F0" w:rsidRPr="007C51D6">
        <w:rPr>
          <w:sz w:val="28"/>
          <w:szCs w:val="28"/>
        </w:rPr>
        <w:t xml:space="preserve">– </w:t>
      </w:r>
      <w:r w:rsidR="005317F0" w:rsidRPr="007C51D6">
        <w:rPr>
          <w:rFonts w:eastAsia="Arial"/>
          <w:spacing w:val="1"/>
          <w:sz w:val="28"/>
          <w:szCs w:val="28"/>
        </w:rPr>
        <w:t xml:space="preserve">ЗНО) </w:t>
      </w:r>
      <w:r w:rsidRPr="007C51D6">
        <w:rPr>
          <w:rFonts w:eastAsia="Arial"/>
          <w:spacing w:val="1"/>
          <w:sz w:val="28"/>
          <w:szCs w:val="28"/>
        </w:rPr>
        <w:t xml:space="preserve"> в Республике Татарстан составила </w:t>
      </w:r>
      <w:r w:rsidRPr="007C51D6">
        <w:rPr>
          <w:color w:val="000000"/>
          <w:sz w:val="28"/>
          <w:szCs w:val="28"/>
        </w:rPr>
        <w:t>12</w:t>
      </w:r>
      <w:r w:rsidR="00177819" w:rsidRPr="007C51D6">
        <w:rPr>
          <w:color w:val="000000"/>
          <w:sz w:val="28"/>
          <w:szCs w:val="28"/>
        </w:rPr>
        <w:t>8</w:t>
      </w:r>
      <w:r w:rsidRPr="007C51D6">
        <w:rPr>
          <w:rFonts w:eastAsia="Arial"/>
          <w:spacing w:val="1"/>
          <w:sz w:val="28"/>
          <w:szCs w:val="28"/>
        </w:rPr>
        <w:t> </w:t>
      </w:r>
      <w:r w:rsidR="00632C11" w:rsidRPr="007C51D6">
        <w:rPr>
          <w:rFonts w:eastAsia="Arial"/>
          <w:spacing w:val="1"/>
          <w:sz w:val="28"/>
          <w:szCs w:val="28"/>
        </w:rPr>
        <w:t>093</w:t>
      </w:r>
      <w:r w:rsidRPr="007C51D6">
        <w:rPr>
          <w:color w:val="000000"/>
          <w:sz w:val="28"/>
          <w:szCs w:val="28"/>
        </w:rPr>
        <w:t xml:space="preserve"> человек</w:t>
      </w:r>
      <w:r w:rsidR="00632C11" w:rsidRPr="007C51D6">
        <w:rPr>
          <w:color w:val="000000"/>
          <w:sz w:val="28"/>
          <w:szCs w:val="28"/>
        </w:rPr>
        <w:t>а</w:t>
      </w:r>
      <w:r w:rsidRPr="007C51D6">
        <w:rPr>
          <w:rFonts w:eastAsia="Arial"/>
          <w:spacing w:val="1"/>
          <w:sz w:val="28"/>
          <w:szCs w:val="28"/>
        </w:rPr>
        <w:t xml:space="preserve"> (в 202</w:t>
      </w:r>
      <w:r w:rsidR="00DF2CBE" w:rsidRPr="007C51D6">
        <w:rPr>
          <w:rFonts w:eastAsia="Arial"/>
          <w:spacing w:val="1"/>
          <w:sz w:val="28"/>
          <w:szCs w:val="28"/>
        </w:rPr>
        <w:t>4</w:t>
      </w:r>
      <w:r w:rsidRPr="007C51D6">
        <w:rPr>
          <w:rFonts w:eastAsia="Arial"/>
          <w:spacing w:val="1"/>
          <w:sz w:val="28"/>
          <w:szCs w:val="28"/>
        </w:rPr>
        <w:t xml:space="preserve"> году </w:t>
      </w:r>
      <w:r w:rsidRPr="007C51D6">
        <w:rPr>
          <w:sz w:val="28"/>
          <w:szCs w:val="28"/>
        </w:rPr>
        <w:t>–</w:t>
      </w:r>
      <w:r w:rsidRPr="007C51D6">
        <w:rPr>
          <w:rFonts w:eastAsia="Arial"/>
          <w:spacing w:val="1"/>
          <w:sz w:val="28"/>
          <w:szCs w:val="28"/>
        </w:rPr>
        <w:t xml:space="preserve"> 12</w:t>
      </w:r>
      <w:r w:rsidR="00DF2CBE" w:rsidRPr="007C51D6">
        <w:rPr>
          <w:rFonts w:eastAsia="Arial"/>
          <w:spacing w:val="1"/>
          <w:sz w:val="28"/>
          <w:szCs w:val="28"/>
        </w:rPr>
        <w:t>7</w:t>
      </w:r>
      <w:r w:rsidRPr="007C51D6">
        <w:rPr>
          <w:rFonts w:eastAsia="Arial"/>
          <w:spacing w:val="1"/>
          <w:sz w:val="28"/>
          <w:szCs w:val="28"/>
        </w:rPr>
        <w:t> </w:t>
      </w:r>
      <w:r w:rsidR="00DF2CBE" w:rsidRPr="007C51D6">
        <w:rPr>
          <w:rFonts w:eastAsia="Arial"/>
          <w:spacing w:val="1"/>
          <w:sz w:val="28"/>
          <w:szCs w:val="28"/>
        </w:rPr>
        <w:t>287</w:t>
      </w:r>
      <w:r w:rsidRPr="007C51D6">
        <w:rPr>
          <w:rFonts w:eastAsia="Arial"/>
          <w:spacing w:val="1"/>
          <w:sz w:val="28"/>
          <w:szCs w:val="28"/>
        </w:rPr>
        <w:t xml:space="preserve"> человек). </w:t>
      </w:r>
    </w:p>
    <w:p w:rsidR="00A30CDE" w:rsidRPr="007C51D6" w:rsidRDefault="00A30CDE" w:rsidP="00A30CDE">
      <w:pPr>
        <w:shd w:val="clear" w:color="auto" w:fill="FFFFFF"/>
        <w:autoSpaceDE/>
        <w:autoSpaceDN/>
        <w:adjustRightInd/>
        <w:ind w:firstLine="709"/>
        <w:jc w:val="both"/>
        <w:rPr>
          <w:rFonts w:eastAsia="Arial"/>
          <w:spacing w:val="1"/>
          <w:sz w:val="28"/>
          <w:szCs w:val="28"/>
        </w:rPr>
      </w:pPr>
      <w:r w:rsidRPr="007C51D6">
        <w:rPr>
          <w:rFonts w:eastAsia="Arial"/>
          <w:spacing w:val="1"/>
          <w:sz w:val="28"/>
          <w:szCs w:val="28"/>
        </w:rPr>
        <w:t>В 202</w:t>
      </w:r>
      <w:r w:rsidR="00360A0B" w:rsidRPr="007C51D6">
        <w:rPr>
          <w:rFonts w:eastAsia="Arial"/>
          <w:spacing w:val="1"/>
          <w:sz w:val="28"/>
          <w:szCs w:val="28"/>
        </w:rPr>
        <w:t>5</w:t>
      </w:r>
      <w:r w:rsidRPr="007C51D6">
        <w:rPr>
          <w:rFonts w:eastAsia="Arial"/>
          <w:spacing w:val="1"/>
          <w:sz w:val="28"/>
          <w:szCs w:val="28"/>
        </w:rPr>
        <w:t xml:space="preserve"> году по сравнению с 202</w:t>
      </w:r>
      <w:r w:rsidR="00360A0B" w:rsidRPr="007C51D6">
        <w:rPr>
          <w:rFonts w:eastAsia="Arial"/>
          <w:spacing w:val="1"/>
          <w:sz w:val="28"/>
          <w:szCs w:val="28"/>
        </w:rPr>
        <w:t>4</w:t>
      </w:r>
      <w:r w:rsidRPr="007C51D6">
        <w:rPr>
          <w:rFonts w:eastAsia="Arial"/>
          <w:spacing w:val="1"/>
          <w:sz w:val="28"/>
          <w:szCs w:val="28"/>
        </w:rPr>
        <w:t xml:space="preserve"> годом количество впервые выявленных случаев </w:t>
      </w:r>
      <w:r w:rsidR="005317F0" w:rsidRPr="007C51D6">
        <w:rPr>
          <w:color w:val="000000"/>
          <w:spacing w:val="-2"/>
          <w:sz w:val="28"/>
          <w:szCs w:val="28"/>
        </w:rPr>
        <w:t>ЗНО</w:t>
      </w:r>
      <w:r w:rsidRPr="007C51D6">
        <w:rPr>
          <w:color w:val="000000"/>
          <w:spacing w:val="-2"/>
          <w:sz w:val="28"/>
          <w:szCs w:val="28"/>
        </w:rPr>
        <w:t xml:space="preserve"> </w:t>
      </w:r>
      <w:r w:rsidRPr="007C51D6">
        <w:rPr>
          <w:rFonts w:eastAsia="Arial"/>
          <w:spacing w:val="1"/>
          <w:sz w:val="28"/>
          <w:szCs w:val="28"/>
        </w:rPr>
        <w:t xml:space="preserve">увеличилось на </w:t>
      </w:r>
      <w:r w:rsidR="00632C11" w:rsidRPr="007C51D6">
        <w:rPr>
          <w:rFonts w:eastAsia="Arial"/>
          <w:spacing w:val="1"/>
          <w:sz w:val="28"/>
          <w:szCs w:val="28"/>
        </w:rPr>
        <w:t>4</w:t>
      </w:r>
      <w:r w:rsidRPr="007C51D6">
        <w:rPr>
          <w:rFonts w:eastAsia="Arial"/>
          <w:spacing w:val="1"/>
          <w:sz w:val="28"/>
          <w:szCs w:val="28"/>
        </w:rPr>
        <w:t>,</w:t>
      </w:r>
      <w:r w:rsidR="00632C11" w:rsidRPr="007C51D6">
        <w:rPr>
          <w:rFonts w:eastAsia="Arial"/>
          <w:spacing w:val="1"/>
          <w:sz w:val="28"/>
          <w:szCs w:val="28"/>
        </w:rPr>
        <w:t>5</w:t>
      </w:r>
      <w:r w:rsidRPr="007C51D6">
        <w:rPr>
          <w:rFonts w:eastAsia="Arial"/>
          <w:spacing w:val="1"/>
          <w:sz w:val="28"/>
          <w:szCs w:val="28"/>
        </w:rPr>
        <w:t xml:space="preserve"> процента и составило </w:t>
      </w:r>
      <w:r w:rsidR="00632C11" w:rsidRPr="007C51D6">
        <w:rPr>
          <w:rFonts w:eastAsia="Arial"/>
          <w:spacing w:val="1"/>
          <w:sz w:val="28"/>
          <w:szCs w:val="28"/>
        </w:rPr>
        <w:t>20</w:t>
      </w:r>
      <w:r w:rsidRPr="007C51D6">
        <w:rPr>
          <w:rFonts w:eastAsia="Arial"/>
          <w:spacing w:val="1"/>
          <w:sz w:val="28"/>
          <w:szCs w:val="28"/>
        </w:rPr>
        <w:t xml:space="preserve"> </w:t>
      </w:r>
      <w:r w:rsidR="00632C11" w:rsidRPr="007C51D6">
        <w:rPr>
          <w:rFonts w:eastAsia="Arial"/>
          <w:spacing w:val="1"/>
          <w:sz w:val="28"/>
          <w:szCs w:val="28"/>
        </w:rPr>
        <w:t>341</w:t>
      </w:r>
      <w:r w:rsidRPr="007C51D6">
        <w:rPr>
          <w:rFonts w:eastAsia="Arial"/>
          <w:spacing w:val="1"/>
          <w:sz w:val="28"/>
          <w:szCs w:val="28"/>
        </w:rPr>
        <w:t xml:space="preserve"> случа</w:t>
      </w:r>
      <w:r w:rsidR="00632C11" w:rsidRPr="007C51D6">
        <w:rPr>
          <w:rFonts w:eastAsia="Arial"/>
          <w:spacing w:val="1"/>
          <w:sz w:val="28"/>
          <w:szCs w:val="28"/>
        </w:rPr>
        <w:t>й</w:t>
      </w:r>
      <w:r w:rsidRPr="007C51D6">
        <w:rPr>
          <w:rFonts w:eastAsia="Arial"/>
          <w:spacing w:val="1"/>
          <w:sz w:val="28"/>
          <w:szCs w:val="28"/>
        </w:rPr>
        <w:t xml:space="preserve"> (в 202</w:t>
      </w:r>
      <w:r w:rsidR="00360A0B" w:rsidRPr="007C51D6">
        <w:rPr>
          <w:rFonts w:eastAsia="Arial"/>
          <w:spacing w:val="1"/>
          <w:sz w:val="28"/>
          <w:szCs w:val="28"/>
        </w:rPr>
        <w:t>4</w:t>
      </w:r>
      <w:r w:rsidRPr="007C51D6">
        <w:rPr>
          <w:rFonts w:eastAsia="Arial"/>
          <w:spacing w:val="1"/>
          <w:sz w:val="28"/>
          <w:szCs w:val="28"/>
        </w:rPr>
        <w:t xml:space="preserve"> году – 1</w:t>
      </w:r>
      <w:r w:rsidR="00360A0B" w:rsidRPr="007C51D6">
        <w:rPr>
          <w:rFonts w:eastAsia="Arial"/>
          <w:spacing w:val="1"/>
          <w:sz w:val="28"/>
          <w:szCs w:val="28"/>
        </w:rPr>
        <w:t>9</w:t>
      </w:r>
      <w:r w:rsidRPr="007C51D6">
        <w:rPr>
          <w:rFonts w:eastAsia="Arial"/>
          <w:spacing w:val="1"/>
          <w:sz w:val="28"/>
          <w:szCs w:val="28"/>
        </w:rPr>
        <w:t> </w:t>
      </w:r>
      <w:r w:rsidR="00360A0B" w:rsidRPr="007C51D6">
        <w:rPr>
          <w:rFonts w:eastAsia="Arial"/>
          <w:spacing w:val="1"/>
          <w:sz w:val="28"/>
          <w:szCs w:val="28"/>
        </w:rPr>
        <w:t>472</w:t>
      </w:r>
      <w:r w:rsidRPr="007C51D6">
        <w:rPr>
          <w:rFonts w:eastAsia="Arial"/>
          <w:spacing w:val="1"/>
          <w:sz w:val="28"/>
          <w:szCs w:val="28"/>
        </w:rPr>
        <w:t xml:space="preserve"> случая). </w:t>
      </w:r>
    </w:p>
    <w:p w:rsidR="00A30CDE" w:rsidRDefault="00A30CDE" w:rsidP="009D310C">
      <w:pPr>
        <w:autoSpaceDE/>
        <w:autoSpaceDN/>
        <w:adjustRightInd/>
        <w:spacing w:line="230" w:lineRule="auto"/>
        <w:jc w:val="right"/>
        <w:rPr>
          <w:rFonts w:eastAsia="Arial"/>
          <w:sz w:val="28"/>
          <w:szCs w:val="28"/>
        </w:rPr>
      </w:pPr>
    </w:p>
    <w:p w:rsidR="00871EE7" w:rsidRDefault="00871EE7" w:rsidP="009D310C">
      <w:pPr>
        <w:autoSpaceDE/>
        <w:autoSpaceDN/>
        <w:adjustRightInd/>
        <w:spacing w:line="230" w:lineRule="auto"/>
        <w:jc w:val="right"/>
        <w:rPr>
          <w:rFonts w:eastAsia="Arial"/>
          <w:sz w:val="28"/>
          <w:szCs w:val="28"/>
        </w:rPr>
      </w:pPr>
    </w:p>
    <w:p w:rsidR="00871EE7" w:rsidRPr="007C51D6" w:rsidRDefault="009D310C" w:rsidP="009D310C">
      <w:pPr>
        <w:autoSpaceDE/>
        <w:autoSpaceDN/>
        <w:adjustRightInd/>
        <w:spacing w:line="230" w:lineRule="auto"/>
        <w:jc w:val="right"/>
        <w:rPr>
          <w:rFonts w:eastAsia="Arial"/>
          <w:sz w:val="28"/>
          <w:szCs w:val="28"/>
        </w:rPr>
      </w:pPr>
      <w:r w:rsidRPr="007C51D6">
        <w:rPr>
          <w:rFonts w:eastAsia="Arial"/>
          <w:sz w:val="28"/>
          <w:szCs w:val="28"/>
        </w:rPr>
        <w:t xml:space="preserve">Таблица </w:t>
      </w:r>
      <w:r w:rsidR="00381A83" w:rsidRPr="007C51D6">
        <w:rPr>
          <w:rFonts w:eastAsia="Arial"/>
          <w:sz w:val="28"/>
          <w:szCs w:val="28"/>
        </w:rPr>
        <w:t>1</w:t>
      </w:r>
    </w:p>
    <w:p w:rsidR="00181549" w:rsidRPr="007C51D6" w:rsidRDefault="00181549" w:rsidP="009D310C">
      <w:pPr>
        <w:autoSpaceDE/>
        <w:autoSpaceDN/>
        <w:adjustRightInd/>
        <w:spacing w:line="230" w:lineRule="auto"/>
        <w:jc w:val="right"/>
        <w:rPr>
          <w:rFonts w:eastAsia="Arial"/>
          <w:sz w:val="28"/>
          <w:szCs w:val="28"/>
        </w:rPr>
      </w:pPr>
    </w:p>
    <w:p w:rsidR="00E10583" w:rsidRPr="007C51D6" w:rsidRDefault="00E10583" w:rsidP="00E10583">
      <w:pPr>
        <w:autoSpaceDE/>
        <w:autoSpaceDN/>
        <w:adjustRightInd/>
        <w:spacing w:line="230" w:lineRule="auto"/>
        <w:jc w:val="center"/>
        <w:rPr>
          <w:rFonts w:eastAsia="Arial"/>
          <w:sz w:val="28"/>
          <w:szCs w:val="28"/>
        </w:rPr>
      </w:pPr>
      <w:r w:rsidRPr="007C51D6">
        <w:rPr>
          <w:rFonts w:eastAsia="Arial"/>
          <w:sz w:val="28"/>
          <w:szCs w:val="28"/>
        </w:rPr>
        <w:t xml:space="preserve">Динамика показателя заболеваемости населения ЗНО </w:t>
      </w:r>
    </w:p>
    <w:p w:rsidR="00E10583" w:rsidRPr="007C51D6" w:rsidRDefault="00E10583" w:rsidP="00E10583">
      <w:pPr>
        <w:autoSpaceDE/>
        <w:autoSpaceDN/>
        <w:adjustRightInd/>
        <w:spacing w:line="230" w:lineRule="auto"/>
        <w:jc w:val="center"/>
        <w:rPr>
          <w:rFonts w:eastAsia="Arial"/>
          <w:sz w:val="28"/>
          <w:szCs w:val="28"/>
        </w:rPr>
      </w:pPr>
      <w:r w:rsidRPr="007C51D6">
        <w:rPr>
          <w:rFonts w:eastAsia="Arial"/>
          <w:sz w:val="28"/>
          <w:szCs w:val="28"/>
        </w:rPr>
        <w:t xml:space="preserve">(«грубый» и стандартизованный показатели) </w:t>
      </w:r>
    </w:p>
    <w:p w:rsidR="00E10583" w:rsidRPr="007C51D6" w:rsidRDefault="00E10583" w:rsidP="00E10583">
      <w:pPr>
        <w:autoSpaceDE/>
        <w:autoSpaceDN/>
        <w:adjustRightInd/>
        <w:spacing w:line="230" w:lineRule="auto"/>
        <w:jc w:val="center"/>
        <w:rPr>
          <w:rFonts w:eastAsia="Arial"/>
          <w:sz w:val="28"/>
          <w:szCs w:val="28"/>
        </w:rPr>
      </w:pPr>
      <w:r w:rsidRPr="007C51D6">
        <w:rPr>
          <w:rFonts w:eastAsia="Arial"/>
          <w:sz w:val="28"/>
          <w:szCs w:val="28"/>
        </w:rPr>
        <w:t xml:space="preserve">в Республике Татарстан, Российской Федерации, Приволжском федеральном округе </w:t>
      </w:r>
    </w:p>
    <w:p w:rsidR="00E10583" w:rsidRPr="007C51D6" w:rsidRDefault="00E10583" w:rsidP="00E10583">
      <w:pPr>
        <w:autoSpaceDE/>
        <w:autoSpaceDN/>
        <w:adjustRightInd/>
        <w:spacing w:line="230" w:lineRule="auto"/>
        <w:jc w:val="center"/>
        <w:rPr>
          <w:rFonts w:eastAsia="Arial"/>
          <w:sz w:val="28"/>
          <w:szCs w:val="28"/>
        </w:rPr>
      </w:pPr>
      <w:r w:rsidRPr="007C51D6">
        <w:rPr>
          <w:rFonts w:eastAsia="Arial"/>
          <w:sz w:val="28"/>
          <w:szCs w:val="28"/>
        </w:rPr>
        <w:t>в 2016 – 2025 годах (на 100 тыс.населения)</w:t>
      </w:r>
    </w:p>
    <w:p w:rsidR="00E10583" w:rsidRPr="007C51D6" w:rsidRDefault="00E10583" w:rsidP="00E10583">
      <w:pPr>
        <w:autoSpaceDE/>
        <w:autoSpaceDN/>
        <w:adjustRightInd/>
        <w:spacing w:line="230" w:lineRule="auto"/>
        <w:jc w:val="center"/>
        <w:rPr>
          <w:rFonts w:eastAsia="Arial"/>
          <w:sz w:val="28"/>
          <w:szCs w:val="28"/>
        </w:rPr>
      </w:pPr>
    </w:p>
    <w:tbl>
      <w:tblPr>
        <w:tblStyle w:val="af1"/>
        <w:tblW w:w="15304" w:type="dxa"/>
        <w:tblBorders>
          <w:bottom w:val="none" w:sz="0" w:space="0" w:color="auto"/>
        </w:tblBorders>
        <w:tblLayout w:type="fixed"/>
        <w:tblLook w:val="04A0" w:firstRow="1" w:lastRow="0" w:firstColumn="1" w:lastColumn="0" w:noHBand="0" w:noVBand="1"/>
      </w:tblPr>
      <w:tblGrid>
        <w:gridCol w:w="2120"/>
        <w:gridCol w:w="1699"/>
        <w:gridCol w:w="991"/>
        <w:gridCol w:w="992"/>
        <w:gridCol w:w="992"/>
        <w:gridCol w:w="993"/>
        <w:gridCol w:w="992"/>
        <w:gridCol w:w="907"/>
        <w:gridCol w:w="28"/>
        <w:gridCol w:w="935"/>
        <w:gridCol w:w="961"/>
        <w:gridCol w:w="950"/>
        <w:gridCol w:w="23"/>
        <w:gridCol w:w="1005"/>
        <w:gridCol w:w="16"/>
        <w:gridCol w:w="1675"/>
        <w:gridCol w:w="8"/>
        <w:gridCol w:w="17"/>
      </w:tblGrid>
      <w:tr w:rsidR="00E10583" w:rsidRPr="007C51D6" w:rsidTr="00871EE7">
        <w:trPr>
          <w:gridAfter w:val="2"/>
          <w:wAfter w:w="25" w:type="dxa"/>
        </w:trPr>
        <w:tc>
          <w:tcPr>
            <w:tcW w:w="2120" w:type="dxa"/>
          </w:tcPr>
          <w:p w:rsidR="00E10583" w:rsidRPr="007C51D6" w:rsidRDefault="00E10583" w:rsidP="00E57BBE">
            <w:pPr>
              <w:spacing w:line="230" w:lineRule="auto"/>
              <w:jc w:val="center"/>
              <w:rPr>
                <w:rFonts w:eastAsia="Arial"/>
                <w:sz w:val="20"/>
                <w:szCs w:val="20"/>
              </w:rPr>
            </w:pPr>
            <w:r w:rsidRPr="007C51D6">
              <w:rPr>
                <w:rFonts w:eastAsia="Arial"/>
                <w:sz w:val="20"/>
                <w:szCs w:val="20"/>
              </w:rPr>
              <w:t>Территория</w:t>
            </w:r>
          </w:p>
        </w:tc>
        <w:tc>
          <w:tcPr>
            <w:tcW w:w="1699" w:type="dxa"/>
          </w:tcPr>
          <w:p w:rsidR="00E10583" w:rsidRPr="007C51D6" w:rsidRDefault="00E10583" w:rsidP="00E57BBE">
            <w:pPr>
              <w:spacing w:line="230" w:lineRule="auto"/>
              <w:jc w:val="center"/>
              <w:rPr>
                <w:rFonts w:eastAsia="Arial"/>
                <w:sz w:val="20"/>
                <w:szCs w:val="20"/>
              </w:rPr>
            </w:pPr>
            <w:r w:rsidRPr="007C51D6">
              <w:rPr>
                <w:rFonts w:eastAsia="Arial"/>
                <w:sz w:val="20"/>
                <w:szCs w:val="20"/>
              </w:rPr>
              <w:t>Показатель</w:t>
            </w:r>
          </w:p>
        </w:tc>
        <w:tc>
          <w:tcPr>
            <w:tcW w:w="991" w:type="dxa"/>
          </w:tcPr>
          <w:p w:rsidR="00E10583" w:rsidRPr="007C51D6" w:rsidRDefault="00E10583" w:rsidP="00E57BBE">
            <w:pPr>
              <w:ind w:left="-57" w:right="-57"/>
              <w:jc w:val="center"/>
              <w:rPr>
                <w:bCs/>
                <w:color w:val="000000"/>
                <w:sz w:val="20"/>
                <w:szCs w:val="20"/>
              </w:rPr>
            </w:pPr>
            <w:r w:rsidRPr="007C51D6">
              <w:rPr>
                <w:bCs/>
                <w:color w:val="000000"/>
                <w:sz w:val="20"/>
                <w:szCs w:val="20"/>
              </w:rPr>
              <w:t>2016 г.</w:t>
            </w:r>
          </w:p>
        </w:tc>
        <w:tc>
          <w:tcPr>
            <w:tcW w:w="992" w:type="dxa"/>
          </w:tcPr>
          <w:p w:rsidR="00E10583" w:rsidRPr="007C51D6" w:rsidRDefault="00E10583" w:rsidP="00E57BBE">
            <w:pPr>
              <w:ind w:left="-57" w:right="-57"/>
              <w:jc w:val="center"/>
              <w:rPr>
                <w:bCs/>
                <w:color w:val="000000"/>
                <w:sz w:val="20"/>
                <w:szCs w:val="20"/>
              </w:rPr>
            </w:pPr>
            <w:r w:rsidRPr="007C51D6">
              <w:rPr>
                <w:bCs/>
                <w:color w:val="000000"/>
                <w:sz w:val="20"/>
                <w:szCs w:val="20"/>
              </w:rPr>
              <w:t>2017 г.</w:t>
            </w:r>
          </w:p>
        </w:tc>
        <w:tc>
          <w:tcPr>
            <w:tcW w:w="992" w:type="dxa"/>
          </w:tcPr>
          <w:p w:rsidR="00E10583" w:rsidRPr="007C51D6" w:rsidRDefault="00E10583" w:rsidP="00E57BBE">
            <w:pPr>
              <w:ind w:left="-57" w:right="-57"/>
              <w:jc w:val="center"/>
              <w:rPr>
                <w:bCs/>
                <w:color w:val="000000"/>
                <w:sz w:val="20"/>
                <w:szCs w:val="20"/>
              </w:rPr>
            </w:pPr>
            <w:r w:rsidRPr="007C51D6">
              <w:rPr>
                <w:bCs/>
                <w:color w:val="000000"/>
                <w:sz w:val="20"/>
                <w:szCs w:val="20"/>
              </w:rPr>
              <w:t>2018 г.</w:t>
            </w:r>
          </w:p>
        </w:tc>
        <w:tc>
          <w:tcPr>
            <w:tcW w:w="993" w:type="dxa"/>
          </w:tcPr>
          <w:p w:rsidR="00E10583" w:rsidRPr="007C51D6" w:rsidRDefault="00E10583" w:rsidP="00E57BBE">
            <w:pPr>
              <w:ind w:left="-57" w:right="-57"/>
              <w:jc w:val="center"/>
              <w:rPr>
                <w:rFonts w:eastAsia="Arial"/>
                <w:sz w:val="20"/>
                <w:szCs w:val="20"/>
              </w:rPr>
            </w:pPr>
            <w:r w:rsidRPr="007C51D6">
              <w:rPr>
                <w:rFonts w:eastAsia="Arial"/>
                <w:sz w:val="20"/>
                <w:szCs w:val="20"/>
              </w:rPr>
              <w:t>2019 г.</w:t>
            </w:r>
          </w:p>
        </w:tc>
        <w:tc>
          <w:tcPr>
            <w:tcW w:w="992" w:type="dxa"/>
          </w:tcPr>
          <w:p w:rsidR="00E10583" w:rsidRPr="007C51D6" w:rsidRDefault="00E10583" w:rsidP="00E57BBE">
            <w:pPr>
              <w:ind w:left="-57" w:right="-57"/>
              <w:jc w:val="center"/>
              <w:rPr>
                <w:rFonts w:eastAsia="Arial"/>
                <w:sz w:val="20"/>
                <w:szCs w:val="20"/>
              </w:rPr>
            </w:pPr>
            <w:r w:rsidRPr="007C51D6">
              <w:rPr>
                <w:rFonts w:eastAsia="Arial"/>
                <w:sz w:val="20"/>
                <w:szCs w:val="20"/>
              </w:rPr>
              <w:t>2020 г.</w:t>
            </w:r>
          </w:p>
        </w:tc>
        <w:tc>
          <w:tcPr>
            <w:tcW w:w="907" w:type="dxa"/>
          </w:tcPr>
          <w:p w:rsidR="00E10583" w:rsidRPr="007C51D6" w:rsidRDefault="00E10583" w:rsidP="00E57BBE">
            <w:pPr>
              <w:ind w:left="-57" w:right="-57"/>
              <w:jc w:val="center"/>
              <w:rPr>
                <w:rFonts w:eastAsia="Arial"/>
                <w:sz w:val="20"/>
                <w:szCs w:val="20"/>
              </w:rPr>
            </w:pPr>
            <w:r w:rsidRPr="007C51D6">
              <w:rPr>
                <w:rFonts w:eastAsia="Arial"/>
                <w:sz w:val="20"/>
                <w:szCs w:val="20"/>
              </w:rPr>
              <w:t>2021 г.</w:t>
            </w:r>
          </w:p>
        </w:tc>
        <w:tc>
          <w:tcPr>
            <w:tcW w:w="963" w:type="dxa"/>
            <w:gridSpan w:val="2"/>
          </w:tcPr>
          <w:p w:rsidR="00E10583" w:rsidRPr="007C51D6" w:rsidRDefault="00E10583" w:rsidP="00E57BBE">
            <w:pPr>
              <w:ind w:left="-57" w:right="-57"/>
              <w:jc w:val="center"/>
              <w:rPr>
                <w:rFonts w:eastAsia="Arial"/>
                <w:sz w:val="20"/>
                <w:szCs w:val="20"/>
              </w:rPr>
            </w:pPr>
            <w:r w:rsidRPr="007C51D6">
              <w:rPr>
                <w:rFonts w:eastAsia="Arial"/>
                <w:sz w:val="20"/>
                <w:szCs w:val="20"/>
              </w:rPr>
              <w:t>2022 г.</w:t>
            </w:r>
          </w:p>
        </w:tc>
        <w:tc>
          <w:tcPr>
            <w:tcW w:w="961" w:type="dxa"/>
          </w:tcPr>
          <w:p w:rsidR="00E10583" w:rsidRPr="007C51D6" w:rsidRDefault="00E10583" w:rsidP="00E57BBE">
            <w:pPr>
              <w:jc w:val="center"/>
              <w:rPr>
                <w:color w:val="000000"/>
                <w:sz w:val="20"/>
                <w:szCs w:val="20"/>
              </w:rPr>
            </w:pPr>
            <w:r w:rsidRPr="007C51D6">
              <w:rPr>
                <w:color w:val="000000"/>
                <w:sz w:val="20"/>
                <w:szCs w:val="20"/>
              </w:rPr>
              <w:t>2023 г.</w:t>
            </w:r>
          </w:p>
        </w:tc>
        <w:tc>
          <w:tcPr>
            <w:tcW w:w="973" w:type="dxa"/>
            <w:gridSpan w:val="2"/>
          </w:tcPr>
          <w:p w:rsidR="00E10583" w:rsidRPr="007C51D6" w:rsidRDefault="00E10583" w:rsidP="00E57BBE">
            <w:pPr>
              <w:jc w:val="center"/>
              <w:rPr>
                <w:rFonts w:eastAsia="Arial"/>
                <w:sz w:val="20"/>
                <w:szCs w:val="20"/>
              </w:rPr>
            </w:pPr>
            <w:r w:rsidRPr="007C51D6">
              <w:rPr>
                <w:rFonts w:eastAsia="Arial"/>
                <w:sz w:val="20"/>
                <w:szCs w:val="20"/>
              </w:rPr>
              <w:t>2024 г.</w:t>
            </w:r>
          </w:p>
        </w:tc>
        <w:tc>
          <w:tcPr>
            <w:tcW w:w="1005" w:type="dxa"/>
          </w:tcPr>
          <w:p w:rsidR="00E10583" w:rsidRPr="007C51D6" w:rsidRDefault="00E10583" w:rsidP="00E57BBE">
            <w:pPr>
              <w:jc w:val="center"/>
              <w:rPr>
                <w:rFonts w:eastAsia="Arial"/>
                <w:sz w:val="20"/>
                <w:szCs w:val="20"/>
              </w:rPr>
            </w:pPr>
            <w:r w:rsidRPr="007C51D6">
              <w:rPr>
                <w:rFonts w:eastAsia="Arial"/>
                <w:sz w:val="20"/>
                <w:szCs w:val="20"/>
              </w:rPr>
              <w:t>2025 г.*</w:t>
            </w:r>
          </w:p>
        </w:tc>
        <w:tc>
          <w:tcPr>
            <w:tcW w:w="1691" w:type="dxa"/>
            <w:gridSpan w:val="2"/>
          </w:tcPr>
          <w:p w:rsidR="00E10583" w:rsidRPr="007C51D6" w:rsidRDefault="00E10583" w:rsidP="00E57BBE">
            <w:pPr>
              <w:jc w:val="center"/>
              <w:rPr>
                <w:rFonts w:eastAsia="Arial"/>
                <w:sz w:val="20"/>
                <w:szCs w:val="20"/>
              </w:rPr>
            </w:pPr>
            <w:r w:rsidRPr="007C51D6">
              <w:rPr>
                <w:rFonts w:eastAsia="Arial"/>
                <w:sz w:val="20"/>
                <w:szCs w:val="20"/>
              </w:rPr>
              <w:t>Темп прироста показателя</w:t>
            </w:r>
          </w:p>
          <w:p w:rsidR="00E10583" w:rsidRPr="007C51D6" w:rsidRDefault="00E10583" w:rsidP="00E57BBE">
            <w:pPr>
              <w:jc w:val="center"/>
              <w:rPr>
                <w:rFonts w:eastAsia="Arial"/>
                <w:sz w:val="20"/>
                <w:szCs w:val="20"/>
              </w:rPr>
            </w:pPr>
            <w:r w:rsidRPr="007C51D6">
              <w:rPr>
                <w:rFonts w:eastAsia="Arial"/>
                <w:sz w:val="20"/>
                <w:szCs w:val="20"/>
              </w:rPr>
              <w:t>за 10 лет</w:t>
            </w:r>
          </w:p>
          <w:p w:rsidR="00E10583" w:rsidRPr="007C51D6" w:rsidRDefault="00E10583" w:rsidP="00E57BBE">
            <w:pPr>
              <w:jc w:val="center"/>
              <w:rPr>
                <w:rFonts w:eastAsia="Arial"/>
                <w:sz w:val="20"/>
                <w:szCs w:val="20"/>
              </w:rPr>
            </w:pPr>
            <w:r w:rsidRPr="007C51D6">
              <w:rPr>
                <w:rFonts w:eastAsia="Arial"/>
                <w:sz w:val="20"/>
                <w:szCs w:val="20"/>
              </w:rPr>
              <w:t>(201</w:t>
            </w:r>
            <w:r w:rsidR="0088232E" w:rsidRPr="007C51D6">
              <w:rPr>
                <w:rFonts w:eastAsia="Arial"/>
                <w:sz w:val="20"/>
                <w:szCs w:val="20"/>
              </w:rPr>
              <w:t>6</w:t>
            </w:r>
            <w:r w:rsidRPr="007C51D6">
              <w:rPr>
                <w:rFonts w:eastAsia="Arial"/>
                <w:sz w:val="20"/>
                <w:szCs w:val="20"/>
              </w:rPr>
              <w:t xml:space="preserve"> – 202</w:t>
            </w:r>
            <w:r w:rsidR="0088232E" w:rsidRPr="007C51D6">
              <w:rPr>
                <w:rFonts w:eastAsia="Arial"/>
                <w:sz w:val="20"/>
                <w:szCs w:val="20"/>
              </w:rPr>
              <w:t>5</w:t>
            </w:r>
            <w:r w:rsidRPr="007C51D6">
              <w:rPr>
                <w:rFonts w:eastAsia="Arial"/>
                <w:sz w:val="20"/>
                <w:szCs w:val="20"/>
              </w:rPr>
              <w:t xml:space="preserve"> годы),</w:t>
            </w:r>
          </w:p>
          <w:p w:rsidR="00E10583" w:rsidRPr="007C51D6" w:rsidRDefault="00E10583" w:rsidP="00E57BBE">
            <w:pPr>
              <w:jc w:val="center"/>
              <w:rPr>
                <w:rFonts w:eastAsia="Arial"/>
                <w:sz w:val="20"/>
                <w:szCs w:val="20"/>
              </w:rPr>
            </w:pPr>
            <w:r w:rsidRPr="007C51D6">
              <w:rPr>
                <w:rFonts w:eastAsia="Arial"/>
                <w:sz w:val="20"/>
                <w:szCs w:val="20"/>
              </w:rPr>
              <w:t>процентов</w:t>
            </w:r>
          </w:p>
        </w:tc>
      </w:tr>
      <w:tr w:rsidR="00E10583" w:rsidRPr="007C51D6" w:rsidTr="00871EE7">
        <w:tblPrEx>
          <w:tblBorders>
            <w:bottom w:val="single" w:sz="4" w:space="0" w:color="auto"/>
          </w:tblBorders>
        </w:tblPrEx>
        <w:trPr>
          <w:tblHeader/>
        </w:trPr>
        <w:tc>
          <w:tcPr>
            <w:tcW w:w="2120" w:type="dxa"/>
          </w:tcPr>
          <w:p w:rsidR="00E10583" w:rsidRPr="007C51D6" w:rsidRDefault="00E10583" w:rsidP="00E57BBE">
            <w:pPr>
              <w:spacing w:line="230" w:lineRule="auto"/>
              <w:jc w:val="center"/>
              <w:rPr>
                <w:rFonts w:eastAsia="Arial"/>
                <w:sz w:val="20"/>
                <w:szCs w:val="20"/>
              </w:rPr>
            </w:pPr>
            <w:r w:rsidRPr="007C51D6">
              <w:rPr>
                <w:rFonts w:eastAsia="Arial"/>
                <w:sz w:val="20"/>
                <w:szCs w:val="20"/>
              </w:rPr>
              <w:t>1</w:t>
            </w:r>
          </w:p>
        </w:tc>
        <w:tc>
          <w:tcPr>
            <w:tcW w:w="1699" w:type="dxa"/>
          </w:tcPr>
          <w:p w:rsidR="00E10583" w:rsidRPr="007C51D6" w:rsidRDefault="00E10583" w:rsidP="00E57BBE">
            <w:pPr>
              <w:spacing w:line="230" w:lineRule="auto"/>
              <w:jc w:val="center"/>
              <w:rPr>
                <w:rFonts w:eastAsia="Arial"/>
                <w:sz w:val="20"/>
                <w:szCs w:val="20"/>
              </w:rPr>
            </w:pPr>
            <w:r w:rsidRPr="007C51D6">
              <w:rPr>
                <w:rFonts w:eastAsia="Arial"/>
                <w:sz w:val="20"/>
                <w:szCs w:val="20"/>
              </w:rPr>
              <w:t>2</w:t>
            </w:r>
          </w:p>
        </w:tc>
        <w:tc>
          <w:tcPr>
            <w:tcW w:w="991" w:type="dxa"/>
          </w:tcPr>
          <w:p w:rsidR="00E10583" w:rsidRPr="007C51D6" w:rsidRDefault="00E10583" w:rsidP="00E57BBE">
            <w:pPr>
              <w:ind w:left="-57" w:right="-57"/>
              <w:jc w:val="center"/>
              <w:rPr>
                <w:bCs/>
                <w:color w:val="000000"/>
                <w:sz w:val="20"/>
                <w:szCs w:val="20"/>
              </w:rPr>
            </w:pPr>
            <w:r w:rsidRPr="007C51D6">
              <w:rPr>
                <w:bCs/>
                <w:color w:val="000000"/>
                <w:sz w:val="20"/>
                <w:szCs w:val="20"/>
              </w:rPr>
              <w:t>3</w:t>
            </w:r>
          </w:p>
        </w:tc>
        <w:tc>
          <w:tcPr>
            <w:tcW w:w="992" w:type="dxa"/>
          </w:tcPr>
          <w:p w:rsidR="00E10583" w:rsidRPr="007C51D6" w:rsidRDefault="00E10583" w:rsidP="00E57BBE">
            <w:pPr>
              <w:ind w:left="-57" w:right="-57"/>
              <w:jc w:val="center"/>
              <w:rPr>
                <w:bCs/>
                <w:color w:val="000000"/>
                <w:sz w:val="20"/>
                <w:szCs w:val="20"/>
              </w:rPr>
            </w:pPr>
            <w:r w:rsidRPr="007C51D6">
              <w:rPr>
                <w:bCs/>
                <w:color w:val="000000"/>
                <w:sz w:val="20"/>
                <w:szCs w:val="20"/>
              </w:rPr>
              <w:t>4</w:t>
            </w:r>
          </w:p>
        </w:tc>
        <w:tc>
          <w:tcPr>
            <w:tcW w:w="992" w:type="dxa"/>
          </w:tcPr>
          <w:p w:rsidR="00E10583" w:rsidRPr="007C51D6" w:rsidRDefault="00E10583" w:rsidP="00E57BBE">
            <w:pPr>
              <w:ind w:left="-57" w:right="-57"/>
              <w:jc w:val="center"/>
              <w:rPr>
                <w:bCs/>
                <w:color w:val="000000"/>
                <w:sz w:val="20"/>
                <w:szCs w:val="20"/>
              </w:rPr>
            </w:pPr>
            <w:r w:rsidRPr="007C51D6">
              <w:rPr>
                <w:bCs/>
                <w:color w:val="000000"/>
                <w:sz w:val="20"/>
                <w:szCs w:val="20"/>
              </w:rPr>
              <w:t>5</w:t>
            </w:r>
          </w:p>
        </w:tc>
        <w:tc>
          <w:tcPr>
            <w:tcW w:w="993" w:type="dxa"/>
          </w:tcPr>
          <w:p w:rsidR="00E10583" w:rsidRPr="007C51D6" w:rsidRDefault="00E10583" w:rsidP="00E57BBE">
            <w:pPr>
              <w:ind w:left="-57" w:right="-57"/>
              <w:jc w:val="center"/>
              <w:rPr>
                <w:rFonts w:eastAsia="Arial"/>
                <w:sz w:val="20"/>
                <w:szCs w:val="20"/>
              </w:rPr>
            </w:pPr>
            <w:r w:rsidRPr="007C51D6">
              <w:rPr>
                <w:rFonts w:eastAsia="Arial"/>
                <w:sz w:val="20"/>
                <w:szCs w:val="20"/>
              </w:rPr>
              <w:t>6</w:t>
            </w:r>
          </w:p>
        </w:tc>
        <w:tc>
          <w:tcPr>
            <w:tcW w:w="992" w:type="dxa"/>
          </w:tcPr>
          <w:p w:rsidR="00E10583" w:rsidRPr="007C51D6" w:rsidRDefault="00E10583" w:rsidP="00E57BBE">
            <w:pPr>
              <w:ind w:left="-57" w:right="-57"/>
              <w:jc w:val="center"/>
              <w:rPr>
                <w:rFonts w:eastAsia="Arial"/>
                <w:sz w:val="20"/>
                <w:szCs w:val="20"/>
              </w:rPr>
            </w:pPr>
            <w:r w:rsidRPr="007C51D6">
              <w:rPr>
                <w:rFonts w:eastAsia="Arial"/>
                <w:sz w:val="20"/>
                <w:szCs w:val="20"/>
              </w:rPr>
              <w:t>7</w:t>
            </w:r>
          </w:p>
        </w:tc>
        <w:tc>
          <w:tcPr>
            <w:tcW w:w="935" w:type="dxa"/>
            <w:gridSpan w:val="2"/>
          </w:tcPr>
          <w:p w:rsidR="00E10583" w:rsidRPr="007C51D6" w:rsidRDefault="00E10583" w:rsidP="00E57BBE">
            <w:pPr>
              <w:ind w:left="-57" w:right="-57"/>
              <w:jc w:val="center"/>
              <w:rPr>
                <w:rFonts w:eastAsia="Arial"/>
                <w:sz w:val="20"/>
                <w:szCs w:val="20"/>
              </w:rPr>
            </w:pPr>
            <w:r w:rsidRPr="007C51D6">
              <w:rPr>
                <w:rFonts w:eastAsia="Arial"/>
                <w:sz w:val="20"/>
                <w:szCs w:val="20"/>
              </w:rPr>
              <w:t>8</w:t>
            </w:r>
          </w:p>
        </w:tc>
        <w:tc>
          <w:tcPr>
            <w:tcW w:w="935" w:type="dxa"/>
          </w:tcPr>
          <w:p w:rsidR="00E10583" w:rsidRPr="007C51D6" w:rsidRDefault="00E10583" w:rsidP="00E57BBE">
            <w:pPr>
              <w:ind w:left="-57" w:right="-57"/>
              <w:jc w:val="center"/>
              <w:rPr>
                <w:rFonts w:eastAsia="Arial"/>
                <w:sz w:val="20"/>
                <w:szCs w:val="20"/>
              </w:rPr>
            </w:pPr>
            <w:r w:rsidRPr="007C51D6">
              <w:rPr>
                <w:rFonts w:eastAsia="Arial"/>
                <w:sz w:val="20"/>
                <w:szCs w:val="20"/>
              </w:rPr>
              <w:t>9</w:t>
            </w:r>
          </w:p>
        </w:tc>
        <w:tc>
          <w:tcPr>
            <w:tcW w:w="961" w:type="dxa"/>
          </w:tcPr>
          <w:p w:rsidR="00E10583" w:rsidRPr="007C51D6" w:rsidRDefault="00E10583" w:rsidP="00E57BBE">
            <w:pPr>
              <w:jc w:val="center"/>
              <w:rPr>
                <w:color w:val="000000"/>
                <w:sz w:val="20"/>
                <w:szCs w:val="20"/>
              </w:rPr>
            </w:pPr>
            <w:r w:rsidRPr="007C51D6">
              <w:rPr>
                <w:color w:val="000000"/>
                <w:sz w:val="20"/>
                <w:szCs w:val="20"/>
              </w:rPr>
              <w:t>10</w:t>
            </w:r>
          </w:p>
        </w:tc>
        <w:tc>
          <w:tcPr>
            <w:tcW w:w="950" w:type="dxa"/>
          </w:tcPr>
          <w:p w:rsidR="00E10583" w:rsidRPr="007C51D6" w:rsidRDefault="00E10583" w:rsidP="00E57BBE">
            <w:pPr>
              <w:jc w:val="center"/>
              <w:rPr>
                <w:rFonts w:eastAsia="Arial"/>
                <w:sz w:val="20"/>
                <w:szCs w:val="20"/>
              </w:rPr>
            </w:pPr>
            <w:r w:rsidRPr="007C51D6">
              <w:rPr>
                <w:rFonts w:eastAsia="Arial"/>
                <w:sz w:val="20"/>
                <w:szCs w:val="20"/>
              </w:rPr>
              <w:t>11</w:t>
            </w:r>
          </w:p>
        </w:tc>
        <w:tc>
          <w:tcPr>
            <w:tcW w:w="1044" w:type="dxa"/>
            <w:gridSpan w:val="3"/>
          </w:tcPr>
          <w:p w:rsidR="00E10583" w:rsidRPr="007C51D6" w:rsidRDefault="00E10583" w:rsidP="00E57BBE">
            <w:pPr>
              <w:jc w:val="center"/>
              <w:rPr>
                <w:rFonts w:eastAsia="Arial"/>
                <w:sz w:val="20"/>
                <w:szCs w:val="20"/>
              </w:rPr>
            </w:pPr>
            <w:r w:rsidRPr="007C51D6">
              <w:rPr>
                <w:rFonts w:eastAsia="Arial"/>
                <w:sz w:val="20"/>
                <w:szCs w:val="20"/>
              </w:rPr>
              <w:t>12</w:t>
            </w:r>
          </w:p>
        </w:tc>
        <w:tc>
          <w:tcPr>
            <w:tcW w:w="1700" w:type="dxa"/>
            <w:gridSpan w:val="3"/>
          </w:tcPr>
          <w:p w:rsidR="00E10583" w:rsidRPr="007C51D6" w:rsidRDefault="00E10583" w:rsidP="00E57BBE">
            <w:pPr>
              <w:jc w:val="center"/>
              <w:rPr>
                <w:rFonts w:eastAsia="Arial"/>
                <w:sz w:val="20"/>
                <w:szCs w:val="20"/>
              </w:rPr>
            </w:pPr>
            <w:r w:rsidRPr="007C51D6">
              <w:rPr>
                <w:rFonts w:eastAsia="Arial"/>
                <w:sz w:val="20"/>
                <w:szCs w:val="20"/>
              </w:rPr>
              <w:t>13</w:t>
            </w:r>
          </w:p>
        </w:tc>
      </w:tr>
      <w:tr w:rsidR="00E10583" w:rsidRPr="007C51D6" w:rsidTr="00871EE7">
        <w:tblPrEx>
          <w:tblBorders>
            <w:bottom w:val="single" w:sz="4" w:space="0" w:color="auto"/>
          </w:tblBorders>
        </w:tblPrEx>
        <w:trPr>
          <w:gridAfter w:val="1"/>
          <w:wAfter w:w="17" w:type="dxa"/>
        </w:trPr>
        <w:tc>
          <w:tcPr>
            <w:tcW w:w="15287" w:type="dxa"/>
            <w:gridSpan w:val="17"/>
          </w:tcPr>
          <w:p w:rsidR="00E10583" w:rsidRPr="007C51D6" w:rsidRDefault="00E10583" w:rsidP="00E57BBE">
            <w:pPr>
              <w:spacing w:line="230" w:lineRule="auto"/>
              <w:jc w:val="center"/>
              <w:rPr>
                <w:rFonts w:eastAsia="Arial"/>
                <w:sz w:val="20"/>
                <w:szCs w:val="20"/>
              </w:rPr>
            </w:pPr>
            <w:r w:rsidRPr="007C51D6">
              <w:rPr>
                <w:color w:val="000000"/>
                <w:sz w:val="20"/>
                <w:szCs w:val="20"/>
              </w:rPr>
              <w:t>Все население</w:t>
            </w:r>
          </w:p>
        </w:tc>
      </w:tr>
      <w:tr w:rsidR="00E10583" w:rsidRPr="007C51D6" w:rsidTr="00871EE7">
        <w:tblPrEx>
          <w:tblBorders>
            <w:bottom w:val="single" w:sz="4" w:space="0" w:color="auto"/>
          </w:tblBorders>
        </w:tblPrEx>
        <w:tc>
          <w:tcPr>
            <w:tcW w:w="2120" w:type="dxa"/>
          </w:tcPr>
          <w:p w:rsidR="00E10583" w:rsidRPr="007C51D6" w:rsidRDefault="00E10583" w:rsidP="00E57BBE">
            <w:pPr>
              <w:spacing w:line="230" w:lineRule="auto"/>
              <w:jc w:val="both"/>
              <w:rPr>
                <w:rFonts w:eastAsia="Arial"/>
                <w:sz w:val="20"/>
                <w:szCs w:val="20"/>
              </w:rPr>
            </w:pPr>
            <w:r w:rsidRPr="007C51D6">
              <w:rPr>
                <w:rFonts w:eastAsia="Arial"/>
                <w:sz w:val="20"/>
                <w:szCs w:val="20"/>
              </w:rPr>
              <w:t xml:space="preserve">Республика Татарстан </w:t>
            </w:r>
          </w:p>
        </w:tc>
        <w:tc>
          <w:tcPr>
            <w:tcW w:w="1699" w:type="dxa"/>
            <w:vMerge w:val="restart"/>
          </w:tcPr>
          <w:p w:rsidR="00E10583" w:rsidRPr="007C51D6" w:rsidRDefault="00E10583" w:rsidP="00E57BBE">
            <w:pPr>
              <w:spacing w:line="230" w:lineRule="auto"/>
              <w:rPr>
                <w:rFonts w:eastAsia="Arial"/>
                <w:sz w:val="20"/>
                <w:szCs w:val="20"/>
              </w:rPr>
            </w:pPr>
            <w:r w:rsidRPr="007C51D6">
              <w:rPr>
                <w:rFonts w:eastAsia="Arial"/>
                <w:sz w:val="20"/>
                <w:szCs w:val="20"/>
              </w:rPr>
              <w:t>«грубый»</w:t>
            </w:r>
          </w:p>
        </w:tc>
        <w:tc>
          <w:tcPr>
            <w:tcW w:w="991" w:type="dxa"/>
          </w:tcPr>
          <w:p w:rsidR="00E10583" w:rsidRPr="007C51D6" w:rsidRDefault="00E10583" w:rsidP="00E57BBE">
            <w:pPr>
              <w:jc w:val="center"/>
              <w:rPr>
                <w:color w:val="000000"/>
                <w:sz w:val="20"/>
                <w:szCs w:val="20"/>
              </w:rPr>
            </w:pPr>
            <w:r w:rsidRPr="007C51D6">
              <w:rPr>
                <w:color w:val="000000"/>
                <w:sz w:val="20"/>
                <w:szCs w:val="20"/>
              </w:rPr>
              <w:t>400,96</w:t>
            </w:r>
          </w:p>
        </w:tc>
        <w:tc>
          <w:tcPr>
            <w:tcW w:w="992" w:type="dxa"/>
          </w:tcPr>
          <w:p w:rsidR="00E10583" w:rsidRPr="007C51D6" w:rsidRDefault="00E10583" w:rsidP="00E57BBE">
            <w:pPr>
              <w:jc w:val="center"/>
              <w:rPr>
                <w:color w:val="000000"/>
                <w:sz w:val="20"/>
                <w:szCs w:val="20"/>
              </w:rPr>
            </w:pPr>
            <w:r w:rsidRPr="007C51D6">
              <w:rPr>
                <w:color w:val="000000"/>
                <w:sz w:val="20"/>
                <w:szCs w:val="20"/>
              </w:rPr>
              <w:t>412,47</w:t>
            </w:r>
          </w:p>
        </w:tc>
        <w:tc>
          <w:tcPr>
            <w:tcW w:w="992" w:type="dxa"/>
          </w:tcPr>
          <w:p w:rsidR="00E10583" w:rsidRPr="007C51D6" w:rsidRDefault="00E10583" w:rsidP="00E57BBE">
            <w:pPr>
              <w:jc w:val="center"/>
              <w:rPr>
                <w:color w:val="000000"/>
                <w:sz w:val="20"/>
                <w:szCs w:val="20"/>
              </w:rPr>
            </w:pPr>
            <w:r w:rsidRPr="007C51D6">
              <w:rPr>
                <w:color w:val="000000"/>
                <w:sz w:val="20"/>
                <w:szCs w:val="20"/>
              </w:rPr>
              <w:t>418,46</w:t>
            </w:r>
          </w:p>
        </w:tc>
        <w:tc>
          <w:tcPr>
            <w:tcW w:w="993" w:type="dxa"/>
          </w:tcPr>
          <w:p w:rsidR="00E10583" w:rsidRPr="007C51D6" w:rsidRDefault="00E10583" w:rsidP="00E57BBE">
            <w:pPr>
              <w:jc w:val="center"/>
              <w:rPr>
                <w:color w:val="000000"/>
                <w:sz w:val="20"/>
                <w:szCs w:val="20"/>
              </w:rPr>
            </w:pPr>
            <w:r w:rsidRPr="007C51D6">
              <w:rPr>
                <w:color w:val="000000"/>
                <w:sz w:val="20"/>
                <w:szCs w:val="20"/>
              </w:rPr>
              <w:t>423,17</w:t>
            </w:r>
          </w:p>
        </w:tc>
        <w:tc>
          <w:tcPr>
            <w:tcW w:w="992" w:type="dxa"/>
          </w:tcPr>
          <w:p w:rsidR="00E10583" w:rsidRPr="007C51D6" w:rsidRDefault="00E10583" w:rsidP="00E57BBE">
            <w:pPr>
              <w:jc w:val="center"/>
              <w:rPr>
                <w:color w:val="000000"/>
                <w:sz w:val="20"/>
                <w:szCs w:val="20"/>
              </w:rPr>
            </w:pPr>
            <w:r w:rsidRPr="007C51D6">
              <w:rPr>
                <w:color w:val="000000"/>
                <w:sz w:val="20"/>
                <w:szCs w:val="20"/>
              </w:rPr>
              <w:t>372,66</w:t>
            </w:r>
          </w:p>
        </w:tc>
        <w:tc>
          <w:tcPr>
            <w:tcW w:w="935" w:type="dxa"/>
            <w:gridSpan w:val="2"/>
          </w:tcPr>
          <w:p w:rsidR="00E10583" w:rsidRPr="007C51D6" w:rsidRDefault="00E10583" w:rsidP="00E57BBE">
            <w:pPr>
              <w:jc w:val="center"/>
              <w:rPr>
                <w:color w:val="000000"/>
                <w:sz w:val="20"/>
                <w:szCs w:val="20"/>
              </w:rPr>
            </w:pPr>
            <w:r w:rsidRPr="007C51D6">
              <w:rPr>
                <w:color w:val="000000"/>
                <w:sz w:val="20"/>
                <w:szCs w:val="20"/>
              </w:rPr>
              <w:t>429,48</w:t>
            </w:r>
          </w:p>
        </w:tc>
        <w:tc>
          <w:tcPr>
            <w:tcW w:w="935" w:type="dxa"/>
          </w:tcPr>
          <w:p w:rsidR="00E10583" w:rsidRPr="007C51D6" w:rsidRDefault="00E10583" w:rsidP="00E57BBE">
            <w:pPr>
              <w:jc w:val="center"/>
              <w:rPr>
                <w:color w:val="000000"/>
                <w:sz w:val="20"/>
                <w:szCs w:val="20"/>
              </w:rPr>
            </w:pPr>
            <w:r w:rsidRPr="007C51D6">
              <w:rPr>
                <w:color w:val="000000"/>
                <w:sz w:val="20"/>
                <w:szCs w:val="20"/>
              </w:rPr>
              <w:t>426,13</w:t>
            </w:r>
          </w:p>
        </w:tc>
        <w:tc>
          <w:tcPr>
            <w:tcW w:w="961" w:type="dxa"/>
          </w:tcPr>
          <w:p w:rsidR="00E10583" w:rsidRPr="007C51D6" w:rsidRDefault="00E10583" w:rsidP="00E57BBE">
            <w:pPr>
              <w:jc w:val="center"/>
              <w:rPr>
                <w:color w:val="000000"/>
                <w:sz w:val="20"/>
                <w:szCs w:val="20"/>
              </w:rPr>
            </w:pPr>
            <w:r w:rsidRPr="007C51D6">
              <w:rPr>
                <w:color w:val="000000"/>
                <w:sz w:val="20"/>
                <w:szCs w:val="20"/>
              </w:rPr>
              <w:t>453,54</w:t>
            </w:r>
          </w:p>
        </w:tc>
        <w:tc>
          <w:tcPr>
            <w:tcW w:w="950" w:type="dxa"/>
          </w:tcPr>
          <w:p w:rsidR="00E10583" w:rsidRPr="007C51D6" w:rsidRDefault="00E10583" w:rsidP="00E57BBE">
            <w:pPr>
              <w:spacing w:line="230" w:lineRule="auto"/>
              <w:jc w:val="center"/>
              <w:rPr>
                <w:rFonts w:eastAsia="Arial"/>
                <w:sz w:val="20"/>
                <w:szCs w:val="20"/>
              </w:rPr>
            </w:pPr>
            <w:r w:rsidRPr="007C51D6">
              <w:rPr>
                <w:rFonts w:eastAsia="Arial"/>
                <w:sz w:val="20"/>
                <w:szCs w:val="20"/>
              </w:rPr>
              <w:t>485,43</w:t>
            </w:r>
          </w:p>
        </w:tc>
        <w:tc>
          <w:tcPr>
            <w:tcW w:w="1044" w:type="dxa"/>
            <w:gridSpan w:val="3"/>
          </w:tcPr>
          <w:p w:rsidR="00E10583" w:rsidRPr="007C51D6" w:rsidRDefault="00F635A4" w:rsidP="00F635A4">
            <w:pPr>
              <w:spacing w:line="230" w:lineRule="auto"/>
              <w:jc w:val="center"/>
              <w:rPr>
                <w:rFonts w:eastAsia="Arial"/>
                <w:sz w:val="20"/>
                <w:szCs w:val="20"/>
              </w:rPr>
            </w:pPr>
            <w:r w:rsidRPr="007C51D6">
              <w:rPr>
                <w:rFonts w:eastAsia="Arial"/>
                <w:sz w:val="20"/>
                <w:szCs w:val="20"/>
              </w:rPr>
              <w:t>508,34</w:t>
            </w:r>
          </w:p>
        </w:tc>
        <w:tc>
          <w:tcPr>
            <w:tcW w:w="1700" w:type="dxa"/>
            <w:gridSpan w:val="3"/>
          </w:tcPr>
          <w:p w:rsidR="00E10583" w:rsidRPr="007C51D6" w:rsidRDefault="00E10583" w:rsidP="00F635A4">
            <w:pPr>
              <w:spacing w:line="230" w:lineRule="auto"/>
              <w:jc w:val="center"/>
              <w:rPr>
                <w:rFonts w:eastAsia="Arial"/>
                <w:sz w:val="20"/>
                <w:szCs w:val="20"/>
              </w:rPr>
            </w:pPr>
            <w:r w:rsidRPr="007C51D6">
              <w:rPr>
                <w:rFonts w:eastAsia="Arial"/>
                <w:sz w:val="20"/>
                <w:szCs w:val="20"/>
              </w:rPr>
              <w:t>2</w:t>
            </w:r>
            <w:r w:rsidR="00F635A4" w:rsidRPr="007C51D6">
              <w:rPr>
                <w:rFonts w:eastAsia="Arial"/>
                <w:sz w:val="20"/>
                <w:szCs w:val="20"/>
              </w:rPr>
              <w:t>6</w:t>
            </w:r>
            <w:r w:rsidRPr="007C51D6">
              <w:rPr>
                <w:rFonts w:eastAsia="Arial"/>
                <w:sz w:val="20"/>
                <w:szCs w:val="20"/>
              </w:rPr>
              <w:t>,</w:t>
            </w:r>
            <w:r w:rsidR="00F635A4" w:rsidRPr="007C51D6">
              <w:rPr>
                <w:rFonts w:eastAsia="Arial"/>
                <w:sz w:val="20"/>
                <w:szCs w:val="20"/>
              </w:rPr>
              <w:t>8</w:t>
            </w:r>
          </w:p>
        </w:tc>
      </w:tr>
      <w:tr w:rsidR="00E10583" w:rsidRPr="007C51D6" w:rsidTr="00871EE7">
        <w:tblPrEx>
          <w:tblBorders>
            <w:bottom w:val="single" w:sz="4" w:space="0" w:color="auto"/>
          </w:tblBorders>
        </w:tblPrEx>
        <w:tc>
          <w:tcPr>
            <w:tcW w:w="2120" w:type="dxa"/>
          </w:tcPr>
          <w:p w:rsidR="00E10583" w:rsidRPr="007C51D6" w:rsidRDefault="00E10583" w:rsidP="00E57BBE">
            <w:pPr>
              <w:spacing w:line="230" w:lineRule="auto"/>
              <w:jc w:val="both"/>
              <w:rPr>
                <w:rFonts w:eastAsia="Arial"/>
                <w:sz w:val="20"/>
                <w:szCs w:val="20"/>
              </w:rPr>
            </w:pPr>
            <w:r w:rsidRPr="007C51D6">
              <w:rPr>
                <w:color w:val="000000"/>
                <w:sz w:val="20"/>
                <w:szCs w:val="20"/>
              </w:rPr>
              <w:t>Приволжcкий федеральный округ</w:t>
            </w:r>
          </w:p>
        </w:tc>
        <w:tc>
          <w:tcPr>
            <w:tcW w:w="1699" w:type="dxa"/>
            <w:vMerge/>
          </w:tcPr>
          <w:p w:rsidR="00E10583" w:rsidRPr="007C51D6" w:rsidRDefault="00E10583" w:rsidP="00E57BBE">
            <w:pPr>
              <w:spacing w:line="230" w:lineRule="auto"/>
              <w:rPr>
                <w:rFonts w:eastAsia="Arial"/>
                <w:sz w:val="20"/>
                <w:szCs w:val="20"/>
              </w:rPr>
            </w:pPr>
          </w:p>
        </w:tc>
        <w:tc>
          <w:tcPr>
            <w:tcW w:w="991" w:type="dxa"/>
          </w:tcPr>
          <w:p w:rsidR="00E10583" w:rsidRPr="007C51D6" w:rsidRDefault="00E10583" w:rsidP="00E57BBE">
            <w:pPr>
              <w:jc w:val="center"/>
              <w:rPr>
                <w:color w:val="000000"/>
                <w:sz w:val="20"/>
                <w:szCs w:val="20"/>
              </w:rPr>
            </w:pPr>
            <w:r w:rsidRPr="007C51D6">
              <w:rPr>
                <w:color w:val="000000"/>
                <w:sz w:val="20"/>
                <w:szCs w:val="20"/>
              </w:rPr>
              <w:t>424,52</w:t>
            </w:r>
          </w:p>
        </w:tc>
        <w:tc>
          <w:tcPr>
            <w:tcW w:w="992" w:type="dxa"/>
          </w:tcPr>
          <w:p w:rsidR="00E10583" w:rsidRPr="007C51D6" w:rsidRDefault="00E10583" w:rsidP="00E57BBE">
            <w:pPr>
              <w:jc w:val="center"/>
              <w:rPr>
                <w:color w:val="000000"/>
                <w:sz w:val="20"/>
                <w:szCs w:val="20"/>
              </w:rPr>
            </w:pPr>
            <w:r w:rsidRPr="007C51D6">
              <w:rPr>
                <w:color w:val="000000"/>
                <w:sz w:val="20"/>
                <w:szCs w:val="20"/>
              </w:rPr>
              <w:t>434,88</w:t>
            </w:r>
          </w:p>
        </w:tc>
        <w:tc>
          <w:tcPr>
            <w:tcW w:w="992" w:type="dxa"/>
          </w:tcPr>
          <w:p w:rsidR="00E10583" w:rsidRPr="007C51D6" w:rsidRDefault="00E10583" w:rsidP="00E57BBE">
            <w:pPr>
              <w:jc w:val="center"/>
              <w:rPr>
                <w:color w:val="000000"/>
                <w:sz w:val="20"/>
                <w:szCs w:val="20"/>
              </w:rPr>
            </w:pPr>
            <w:r w:rsidRPr="007C51D6">
              <w:rPr>
                <w:color w:val="000000"/>
                <w:sz w:val="20"/>
                <w:szCs w:val="20"/>
              </w:rPr>
              <w:t>436,10</w:t>
            </w:r>
          </w:p>
        </w:tc>
        <w:tc>
          <w:tcPr>
            <w:tcW w:w="993" w:type="dxa"/>
          </w:tcPr>
          <w:p w:rsidR="00E10583" w:rsidRPr="007C51D6" w:rsidRDefault="00E10583" w:rsidP="00E57BBE">
            <w:pPr>
              <w:jc w:val="center"/>
              <w:rPr>
                <w:color w:val="000000"/>
                <w:sz w:val="20"/>
                <w:szCs w:val="20"/>
              </w:rPr>
            </w:pPr>
            <w:r w:rsidRPr="007C51D6">
              <w:rPr>
                <w:color w:val="000000"/>
                <w:sz w:val="20"/>
                <w:szCs w:val="20"/>
              </w:rPr>
              <w:t>451,78</w:t>
            </w:r>
          </w:p>
        </w:tc>
        <w:tc>
          <w:tcPr>
            <w:tcW w:w="992" w:type="dxa"/>
          </w:tcPr>
          <w:p w:rsidR="00E10583" w:rsidRPr="007C51D6" w:rsidRDefault="00E10583" w:rsidP="00E57BBE">
            <w:pPr>
              <w:jc w:val="center"/>
              <w:rPr>
                <w:color w:val="000000"/>
                <w:sz w:val="20"/>
                <w:szCs w:val="20"/>
              </w:rPr>
            </w:pPr>
            <w:r w:rsidRPr="007C51D6">
              <w:rPr>
                <w:color w:val="000000"/>
                <w:sz w:val="20"/>
                <w:szCs w:val="20"/>
              </w:rPr>
              <w:t>399,85</w:t>
            </w:r>
          </w:p>
        </w:tc>
        <w:tc>
          <w:tcPr>
            <w:tcW w:w="935" w:type="dxa"/>
            <w:gridSpan w:val="2"/>
          </w:tcPr>
          <w:p w:rsidR="00E10583" w:rsidRPr="007C51D6" w:rsidRDefault="00E10583" w:rsidP="00E57BBE">
            <w:pPr>
              <w:jc w:val="center"/>
              <w:rPr>
                <w:color w:val="000000"/>
                <w:sz w:val="20"/>
                <w:szCs w:val="20"/>
              </w:rPr>
            </w:pPr>
            <w:r w:rsidRPr="007C51D6">
              <w:rPr>
                <w:color w:val="000000"/>
                <w:sz w:val="20"/>
                <w:szCs w:val="20"/>
              </w:rPr>
              <w:t>424,68</w:t>
            </w:r>
          </w:p>
        </w:tc>
        <w:tc>
          <w:tcPr>
            <w:tcW w:w="935" w:type="dxa"/>
          </w:tcPr>
          <w:p w:rsidR="00E10583" w:rsidRPr="007C51D6" w:rsidRDefault="00E10583" w:rsidP="00E57BBE">
            <w:pPr>
              <w:jc w:val="center"/>
              <w:rPr>
                <w:color w:val="000000"/>
                <w:sz w:val="20"/>
                <w:szCs w:val="20"/>
              </w:rPr>
            </w:pPr>
            <w:r w:rsidRPr="007C51D6">
              <w:rPr>
                <w:color w:val="000000"/>
                <w:sz w:val="20"/>
                <w:szCs w:val="20"/>
              </w:rPr>
              <w:t>459,11</w:t>
            </w:r>
          </w:p>
        </w:tc>
        <w:tc>
          <w:tcPr>
            <w:tcW w:w="961" w:type="dxa"/>
          </w:tcPr>
          <w:p w:rsidR="00E10583" w:rsidRPr="007C51D6" w:rsidRDefault="00E10583" w:rsidP="00E57BBE">
            <w:pPr>
              <w:jc w:val="center"/>
              <w:rPr>
                <w:color w:val="000000"/>
                <w:sz w:val="20"/>
                <w:szCs w:val="20"/>
              </w:rPr>
            </w:pPr>
            <w:r w:rsidRPr="007C51D6">
              <w:rPr>
                <w:color w:val="000000"/>
                <w:sz w:val="20"/>
                <w:szCs w:val="20"/>
              </w:rPr>
              <w:t>495,06</w:t>
            </w:r>
          </w:p>
        </w:tc>
        <w:tc>
          <w:tcPr>
            <w:tcW w:w="950" w:type="dxa"/>
          </w:tcPr>
          <w:p w:rsidR="00E10583" w:rsidRPr="007C51D6" w:rsidRDefault="00E10583" w:rsidP="00E57BBE">
            <w:pPr>
              <w:spacing w:line="230" w:lineRule="auto"/>
              <w:jc w:val="center"/>
              <w:rPr>
                <w:rFonts w:eastAsia="Arial"/>
                <w:sz w:val="20"/>
                <w:szCs w:val="20"/>
              </w:rPr>
            </w:pPr>
            <w:r w:rsidRPr="007C51D6">
              <w:rPr>
                <w:rFonts w:eastAsia="Arial"/>
                <w:sz w:val="20"/>
                <w:szCs w:val="20"/>
              </w:rPr>
              <w:t>511,87</w:t>
            </w:r>
          </w:p>
        </w:tc>
        <w:tc>
          <w:tcPr>
            <w:tcW w:w="1044" w:type="dxa"/>
            <w:gridSpan w:val="3"/>
          </w:tcPr>
          <w:p w:rsidR="00E10583" w:rsidRPr="007C51D6" w:rsidRDefault="00E10583" w:rsidP="00E57BBE">
            <w:pPr>
              <w:jc w:val="center"/>
              <w:rPr>
                <w:color w:val="000000"/>
                <w:sz w:val="20"/>
                <w:szCs w:val="20"/>
              </w:rPr>
            </w:pPr>
            <w:r w:rsidRPr="007C51D6">
              <w:rPr>
                <w:color w:val="000000"/>
                <w:sz w:val="20"/>
                <w:szCs w:val="20"/>
              </w:rPr>
              <w:t>нет</w:t>
            </w:r>
          </w:p>
          <w:p w:rsidR="00E10583" w:rsidRPr="007C51D6" w:rsidRDefault="00E10583" w:rsidP="00E57BBE">
            <w:pPr>
              <w:spacing w:line="230" w:lineRule="auto"/>
              <w:jc w:val="center"/>
              <w:rPr>
                <w:rFonts w:eastAsia="Arial"/>
                <w:sz w:val="20"/>
                <w:szCs w:val="20"/>
              </w:rPr>
            </w:pPr>
            <w:r w:rsidRPr="007C51D6">
              <w:rPr>
                <w:color w:val="000000"/>
                <w:sz w:val="20"/>
                <w:szCs w:val="20"/>
              </w:rPr>
              <w:t>данных</w:t>
            </w:r>
          </w:p>
        </w:tc>
        <w:tc>
          <w:tcPr>
            <w:tcW w:w="1700" w:type="dxa"/>
            <w:gridSpan w:val="3"/>
          </w:tcPr>
          <w:p w:rsidR="00E10583" w:rsidRPr="007C51D6" w:rsidRDefault="00E10583" w:rsidP="00E57BBE">
            <w:pPr>
              <w:spacing w:line="230" w:lineRule="auto"/>
              <w:jc w:val="center"/>
              <w:rPr>
                <w:rFonts w:eastAsia="Arial"/>
                <w:sz w:val="20"/>
                <w:szCs w:val="20"/>
              </w:rPr>
            </w:pPr>
            <w:r w:rsidRPr="007C51D6">
              <w:rPr>
                <w:rFonts w:eastAsia="Arial"/>
                <w:sz w:val="20"/>
                <w:szCs w:val="20"/>
              </w:rPr>
              <w:t>-</w:t>
            </w:r>
          </w:p>
        </w:tc>
      </w:tr>
      <w:tr w:rsidR="00E10583" w:rsidRPr="007C51D6" w:rsidTr="00871EE7">
        <w:tblPrEx>
          <w:tblBorders>
            <w:bottom w:val="single" w:sz="4" w:space="0" w:color="auto"/>
          </w:tblBorders>
        </w:tblPrEx>
        <w:tc>
          <w:tcPr>
            <w:tcW w:w="2120" w:type="dxa"/>
          </w:tcPr>
          <w:p w:rsidR="00E10583" w:rsidRPr="007C51D6" w:rsidRDefault="00E10583" w:rsidP="00E57BBE">
            <w:pPr>
              <w:jc w:val="both"/>
              <w:rPr>
                <w:color w:val="000000"/>
                <w:sz w:val="20"/>
                <w:szCs w:val="20"/>
              </w:rPr>
            </w:pPr>
            <w:r w:rsidRPr="007C51D6">
              <w:rPr>
                <w:color w:val="000000"/>
                <w:sz w:val="20"/>
                <w:szCs w:val="20"/>
              </w:rPr>
              <w:t>Российская Федерация</w:t>
            </w:r>
          </w:p>
        </w:tc>
        <w:tc>
          <w:tcPr>
            <w:tcW w:w="1699" w:type="dxa"/>
            <w:vMerge/>
          </w:tcPr>
          <w:p w:rsidR="00E10583" w:rsidRPr="007C51D6" w:rsidRDefault="00E10583" w:rsidP="00E57BBE">
            <w:pPr>
              <w:spacing w:line="230" w:lineRule="auto"/>
              <w:rPr>
                <w:rFonts w:eastAsia="Arial"/>
                <w:sz w:val="20"/>
                <w:szCs w:val="20"/>
              </w:rPr>
            </w:pPr>
          </w:p>
        </w:tc>
        <w:tc>
          <w:tcPr>
            <w:tcW w:w="991" w:type="dxa"/>
          </w:tcPr>
          <w:p w:rsidR="00E10583" w:rsidRPr="007C51D6" w:rsidRDefault="00E10583" w:rsidP="00E57BBE">
            <w:pPr>
              <w:jc w:val="center"/>
              <w:rPr>
                <w:color w:val="000000"/>
                <w:sz w:val="20"/>
                <w:szCs w:val="20"/>
              </w:rPr>
            </w:pPr>
            <w:r w:rsidRPr="007C51D6">
              <w:rPr>
                <w:color w:val="000000"/>
                <w:sz w:val="20"/>
                <w:szCs w:val="20"/>
              </w:rPr>
              <w:t>408,62</w:t>
            </w:r>
          </w:p>
        </w:tc>
        <w:tc>
          <w:tcPr>
            <w:tcW w:w="992" w:type="dxa"/>
          </w:tcPr>
          <w:p w:rsidR="00E10583" w:rsidRPr="007C51D6" w:rsidRDefault="00E10583" w:rsidP="00E57BBE">
            <w:pPr>
              <w:jc w:val="center"/>
              <w:rPr>
                <w:color w:val="000000"/>
                <w:sz w:val="20"/>
                <w:szCs w:val="20"/>
              </w:rPr>
            </w:pPr>
            <w:r w:rsidRPr="007C51D6">
              <w:rPr>
                <w:color w:val="000000"/>
                <w:sz w:val="20"/>
                <w:szCs w:val="20"/>
              </w:rPr>
              <w:t>420,30</w:t>
            </w:r>
          </w:p>
        </w:tc>
        <w:tc>
          <w:tcPr>
            <w:tcW w:w="992" w:type="dxa"/>
          </w:tcPr>
          <w:p w:rsidR="00E10583" w:rsidRPr="007C51D6" w:rsidRDefault="00E10583" w:rsidP="00E57BBE">
            <w:pPr>
              <w:jc w:val="center"/>
              <w:rPr>
                <w:color w:val="000000"/>
                <w:sz w:val="20"/>
                <w:szCs w:val="20"/>
              </w:rPr>
            </w:pPr>
            <w:r w:rsidRPr="007C51D6">
              <w:rPr>
                <w:color w:val="000000"/>
                <w:sz w:val="20"/>
                <w:szCs w:val="20"/>
              </w:rPr>
              <w:t>425,46</w:t>
            </w:r>
          </w:p>
        </w:tc>
        <w:tc>
          <w:tcPr>
            <w:tcW w:w="993" w:type="dxa"/>
          </w:tcPr>
          <w:p w:rsidR="00E10583" w:rsidRPr="007C51D6" w:rsidRDefault="00E10583" w:rsidP="00E57BBE">
            <w:pPr>
              <w:jc w:val="center"/>
              <w:rPr>
                <w:color w:val="000000"/>
                <w:sz w:val="20"/>
                <w:szCs w:val="20"/>
              </w:rPr>
            </w:pPr>
            <w:r w:rsidRPr="007C51D6">
              <w:rPr>
                <w:color w:val="000000"/>
                <w:sz w:val="20"/>
                <w:szCs w:val="20"/>
              </w:rPr>
              <w:t>436,34</w:t>
            </w:r>
          </w:p>
        </w:tc>
        <w:tc>
          <w:tcPr>
            <w:tcW w:w="992" w:type="dxa"/>
          </w:tcPr>
          <w:p w:rsidR="00E10583" w:rsidRPr="007C51D6" w:rsidRDefault="00E10583" w:rsidP="00E57BBE">
            <w:pPr>
              <w:jc w:val="center"/>
              <w:rPr>
                <w:color w:val="000000"/>
                <w:sz w:val="20"/>
                <w:szCs w:val="20"/>
              </w:rPr>
            </w:pPr>
            <w:r w:rsidRPr="007C51D6">
              <w:rPr>
                <w:color w:val="000000"/>
                <w:sz w:val="20"/>
                <w:szCs w:val="20"/>
              </w:rPr>
              <w:t>379,65</w:t>
            </w:r>
          </w:p>
        </w:tc>
        <w:tc>
          <w:tcPr>
            <w:tcW w:w="935" w:type="dxa"/>
            <w:gridSpan w:val="2"/>
          </w:tcPr>
          <w:p w:rsidR="00E10583" w:rsidRPr="007C51D6" w:rsidRDefault="00E10583" w:rsidP="00E57BBE">
            <w:pPr>
              <w:jc w:val="center"/>
              <w:rPr>
                <w:color w:val="000000"/>
                <w:sz w:val="20"/>
                <w:szCs w:val="20"/>
              </w:rPr>
            </w:pPr>
            <w:r w:rsidRPr="007C51D6">
              <w:rPr>
                <w:color w:val="000000"/>
                <w:sz w:val="20"/>
                <w:szCs w:val="20"/>
              </w:rPr>
              <w:t>397,91</w:t>
            </w:r>
          </w:p>
        </w:tc>
        <w:tc>
          <w:tcPr>
            <w:tcW w:w="935" w:type="dxa"/>
          </w:tcPr>
          <w:p w:rsidR="00E10583" w:rsidRPr="007C51D6" w:rsidRDefault="00E10583" w:rsidP="00E57BBE">
            <w:pPr>
              <w:jc w:val="center"/>
              <w:rPr>
                <w:color w:val="000000"/>
                <w:sz w:val="20"/>
                <w:szCs w:val="20"/>
              </w:rPr>
            </w:pPr>
            <w:r w:rsidRPr="007C51D6">
              <w:rPr>
                <w:color w:val="000000"/>
                <w:sz w:val="20"/>
                <w:szCs w:val="20"/>
              </w:rPr>
              <w:t>425,89</w:t>
            </w:r>
          </w:p>
        </w:tc>
        <w:tc>
          <w:tcPr>
            <w:tcW w:w="961" w:type="dxa"/>
          </w:tcPr>
          <w:p w:rsidR="00E10583" w:rsidRPr="007C51D6" w:rsidRDefault="00E10583" w:rsidP="00E57BBE">
            <w:pPr>
              <w:jc w:val="center"/>
              <w:rPr>
                <w:color w:val="000000"/>
                <w:sz w:val="20"/>
                <w:szCs w:val="20"/>
              </w:rPr>
            </w:pPr>
            <w:r w:rsidRPr="007C51D6">
              <w:rPr>
                <w:color w:val="000000"/>
                <w:sz w:val="20"/>
                <w:szCs w:val="20"/>
              </w:rPr>
              <w:t>461,10</w:t>
            </w:r>
          </w:p>
        </w:tc>
        <w:tc>
          <w:tcPr>
            <w:tcW w:w="950" w:type="dxa"/>
          </w:tcPr>
          <w:p w:rsidR="00E10583" w:rsidRPr="007C51D6" w:rsidRDefault="00E10583" w:rsidP="00E57BBE">
            <w:pPr>
              <w:spacing w:line="230" w:lineRule="auto"/>
              <w:jc w:val="center"/>
              <w:rPr>
                <w:rFonts w:eastAsia="Arial"/>
                <w:sz w:val="20"/>
                <w:szCs w:val="20"/>
              </w:rPr>
            </w:pPr>
            <w:r w:rsidRPr="007C51D6">
              <w:rPr>
                <w:rFonts w:eastAsia="Arial"/>
                <w:sz w:val="20"/>
                <w:szCs w:val="20"/>
              </w:rPr>
              <w:t>478,11</w:t>
            </w:r>
          </w:p>
        </w:tc>
        <w:tc>
          <w:tcPr>
            <w:tcW w:w="1044" w:type="dxa"/>
            <w:gridSpan w:val="3"/>
          </w:tcPr>
          <w:p w:rsidR="00E10583" w:rsidRPr="007C51D6" w:rsidRDefault="00E10583" w:rsidP="00E57BBE">
            <w:pPr>
              <w:jc w:val="center"/>
              <w:rPr>
                <w:color w:val="000000"/>
                <w:sz w:val="20"/>
                <w:szCs w:val="20"/>
              </w:rPr>
            </w:pPr>
            <w:r w:rsidRPr="007C51D6">
              <w:rPr>
                <w:color w:val="000000"/>
                <w:sz w:val="20"/>
                <w:szCs w:val="20"/>
              </w:rPr>
              <w:t>нет</w:t>
            </w:r>
          </w:p>
          <w:p w:rsidR="00E10583" w:rsidRPr="007C51D6" w:rsidRDefault="00E10583" w:rsidP="00E57BBE">
            <w:pPr>
              <w:spacing w:line="230" w:lineRule="auto"/>
              <w:jc w:val="center"/>
              <w:rPr>
                <w:rFonts w:eastAsia="Arial"/>
                <w:sz w:val="20"/>
                <w:szCs w:val="20"/>
              </w:rPr>
            </w:pPr>
            <w:r w:rsidRPr="007C51D6">
              <w:rPr>
                <w:color w:val="000000"/>
                <w:sz w:val="20"/>
                <w:szCs w:val="20"/>
              </w:rPr>
              <w:t>данных</w:t>
            </w:r>
          </w:p>
        </w:tc>
        <w:tc>
          <w:tcPr>
            <w:tcW w:w="1700" w:type="dxa"/>
            <w:gridSpan w:val="3"/>
          </w:tcPr>
          <w:p w:rsidR="00E10583" w:rsidRPr="007C51D6" w:rsidRDefault="00E10583" w:rsidP="00E57BBE">
            <w:pPr>
              <w:spacing w:line="230" w:lineRule="auto"/>
              <w:jc w:val="center"/>
              <w:rPr>
                <w:rFonts w:eastAsia="Arial"/>
                <w:sz w:val="20"/>
                <w:szCs w:val="20"/>
              </w:rPr>
            </w:pPr>
            <w:r w:rsidRPr="007C51D6">
              <w:rPr>
                <w:rFonts w:eastAsia="Arial"/>
                <w:sz w:val="20"/>
                <w:szCs w:val="20"/>
              </w:rPr>
              <w:t>-</w:t>
            </w:r>
          </w:p>
        </w:tc>
      </w:tr>
      <w:tr w:rsidR="00E10583" w:rsidRPr="007C51D6" w:rsidTr="00871EE7">
        <w:tblPrEx>
          <w:tblBorders>
            <w:bottom w:val="single" w:sz="4" w:space="0" w:color="auto"/>
          </w:tblBorders>
        </w:tblPrEx>
        <w:tc>
          <w:tcPr>
            <w:tcW w:w="2120" w:type="dxa"/>
          </w:tcPr>
          <w:p w:rsidR="00E10583" w:rsidRPr="007C51D6" w:rsidRDefault="00E10583" w:rsidP="00E57BBE">
            <w:pPr>
              <w:spacing w:line="230" w:lineRule="auto"/>
              <w:jc w:val="both"/>
              <w:rPr>
                <w:rFonts w:eastAsia="Arial"/>
                <w:sz w:val="20"/>
                <w:szCs w:val="20"/>
              </w:rPr>
            </w:pPr>
            <w:r w:rsidRPr="007C51D6">
              <w:rPr>
                <w:rFonts w:eastAsia="Arial"/>
                <w:sz w:val="20"/>
                <w:szCs w:val="20"/>
              </w:rPr>
              <w:t>Республика Татарстан</w:t>
            </w:r>
          </w:p>
        </w:tc>
        <w:tc>
          <w:tcPr>
            <w:tcW w:w="1699" w:type="dxa"/>
            <w:vMerge w:val="restart"/>
          </w:tcPr>
          <w:p w:rsidR="00E10583" w:rsidRPr="007C51D6" w:rsidRDefault="00E10583" w:rsidP="00E57BBE">
            <w:pPr>
              <w:spacing w:line="230" w:lineRule="auto"/>
              <w:rPr>
                <w:rFonts w:eastAsia="Arial"/>
                <w:sz w:val="20"/>
                <w:szCs w:val="20"/>
              </w:rPr>
            </w:pPr>
            <w:r w:rsidRPr="007C51D6">
              <w:rPr>
                <w:rFonts w:eastAsia="Arial"/>
                <w:sz w:val="20"/>
                <w:szCs w:val="20"/>
              </w:rPr>
              <w:t>стандартизованный</w:t>
            </w:r>
          </w:p>
        </w:tc>
        <w:tc>
          <w:tcPr>
            <w:tcW w:w="991" w:type="dxa"/>
          </w:tcPr>
          <w:p w:rsidR="00E10583" w:rsidRPr="007C51D6" w:rsidRDefault="00E10583" w:rsidP="00E57BBE">
            <w:pPr>
              <w:jc w:val="center"/>
              <w:rPr>
                <w:color w:val="000000"/>
                <w:sz w:val="20"/>
                <w:szCs w:val="20"/>
              </w:rPr>
            </w:pPr>
            <w:r w:rsidRPr="007C51D6">
              <w:rPr>
                <w:color w:val="000000"/>
                <w:sz w:val="20"/>
                <w:szCs w:val="20"/>
              </w:rPr>
              <w:t>239,54</w:t>
            </w:r>
          </w:p>
        </w:tc>
        <w:tc>
          <w:tcPr>
            <w:tcW w:w="992" w:type="dxa"/>
          </w:tcPr>
          <w:p w:rsidR="00E10583" w:rsidRPr="007C51D6" w:rsidRDefault="00E10583" w:rsidP="00E57BBE">
            <w:pPr>
              <w:jc w:val="center"/>
              <w:rPr>
                <w:color w:val="000000"/>
                <w:sz w:val="20"/>
                <w:szCs w:val="20"/>
              </w:rPr>
            </w:pPr>
            <w:r w:rsidRPr="007C51D6">
              <w:rPr>
                <w:color w:val="000000"/>
                <w:sz w:val="20"/>
                <w:szCs w:val="20"/>
              </w:rPr>
              <w:t>247,07</w:t>
            </w:r>
          </w:p>
        </w:tc>
        <w:tc>
          <w:tcPr>
            <w:tcW w:w="992" w:type="dxa"/>
          </w:tcPr>
          <w:p w:rsidR="00E10583" w:rsidRPr="007C51D6" w:rsidRDefault="00E10583" w:rsidP="00E57BBE">
            <w:pPr>
              <w:jc w:val="center"/>
              <w:rPr>
                <w:color w:val="000000"/>
                <w:sz w:val="20"/>
                <w:szCs w:val="20"/>
              </w:rPr>
            </w:pPr>
            <w:r w:rsidRPr="007C51D6">
              <w:rPr>
                <w:color w:val="000000"/>
                <w:sz w:val="20"/>
                <w:szCs w:val="20"/>
              </w:rPr>
              <w:t>246,23</w:t>
            </w:r>
          </w:p>
        </w:tc>
        <w:tc>
          <w:tcPr>
            <w:tcW w:w="993" w:type="dxa"/>
          </w:tcPr>
          <w:p w:rsidR="00E10583" w:rsidRPr="007C51D6" w:rsidRDefault="00E10583" w:rsidP="00E57BBE">
            <w:pPr>
              <w:jc w:val="center"/>
              <w:rPr>
                <w:color w:val="000000"/>
                <w:sz w:val="20"/>
                <w:szCs w:val="20"/>
              </w:rPr>
            </w:pPr>
            <w:r w:rsidRPr="007C51D6">
              <w:rPr>
                <w:color w:val="000000"/>
                <w:sz w:val="20"/>
                <w:szCs w:val="20"/>
              </w:rPr>
              <w:t>248,14</w:t>
            </w:r>
          </w:p>
        </w:tc>
        <w:tc>
          <w:tcPr>
            <w:tcW w:w="992" w:type="dxa"/>
          </w:tcPr>
          <w:p w:rsidR="00E10583" w:rsidRPr="007C51D6" w:rsidRDefault="00E10583" w:rsidP="00E57BBE">
            <w:pPr>
              <w:jc w:val="center"/>
              <w:rPr>
                <w:color w:val="000000"/>
                <w:sz w:val="20"/>
                <w:szCs w:val="20"/>
              </w:rPr>
            </w:pPr>
            <w:r w:rsidRPr="007C51D6">
              <w:rPr>
                <w:color w:val="000000"/>
                <w:sz w:val="20"/>
                <w:szCs w:val="20"/>
              </w:rPr>
              <w:t>216,55</w:t>
            </w:r>
          </w:p>
        </w:tc>
        <w:tc>
          <w:tcPr>
            <w:tcW w:w="935" w:type="dxa"/>
            <w:gridSpan w:val="2"/>
          </w:tcPr>
          <w:p w:rsidR="00E10583" w:rsidRPr="007C51D6" w:rsidRDefault="00E10583" w:rsidP="00E57BBE">
            <w:pPr>
              <w:jc w:val="center"/>
              <w:rPr>
                <w:color w:val="000000"/>
                <w:sz w:val="20"/>
                <w:szCs w:val="20"/>
              </w:rPr>
            </w:pPr>
            <w:r w:rsidRPr="007C51D6">
              <w:rPr>
                <w:color w:val="000000"/>
                <w:sz w:val="20"/>
                <w:szCs w:val="20"/>
              </w:rPr>
              <w:t>248,16</w:t>
            </w:r>
          </w:p>
        </w:tc>
        <w:tc>
          <w:tcPr>
            <w:tcW w:w="935" w:type="dxa"/>
          </w:tcPr>
          <w:p w:rsidR="00E10583" w:rsidRPr="007C51D6" w:rsidRDefault="00E10583" w:rsidP="00E57BBE">
            <w:pPr>
              <w:jc w:val="center"/>
              <w:rPr>
                <w:color w:val="000000"/>
                <w:sz w:val="20"/>
                <w:szCs w:val="20"/>
              </w:rPr>
            </w:pPr>
            <w:r w:rsidRPr="007C51D6">
              <w:rPr>
                <w:color w:val="000000"/>
                <w:sz w:val="20"/>
                <w:szCs w:val="20"/>
              </w:rPr>
              <w:t>238,78</w:t>
            </w:r>
          </w:p>
        </w:tc>
        <w:tc>
          <w:tcPr>
            <w:tcW w:w="961" w:type="dxa"/>
          </w:tcPr>
          <w:p w:rsidR="00E10583" w:rsidRPr="007C51D6" w:rsidRDefault="00E10583" w:rsidP="00E57BBE">
            <w:pPr>
              <w:jc w:val="center"/>
              <w:rPr>
                <w:color w:val="000000"/>
                <w:sz w:val="20"/>
                <w:szCs w:val="20"/>
              </w:rPr>
            </w:pPr>
            <w:r w:rsidRPr="007C51D6">
              <w:rPr>
                <w:color w:val="000000"/>
                <w:sz w:val="20"/>
                <w:szCs w:val="20"/>
              </w:rPr>
              <w:t>249,64</w:t>
            </w:r>
          </w:p>
        </w:tc>
        <w:tc>
          <w:tcPr>
            <w:tcW w:w="950" w:type="dxa"/>
          </w:tcPr>
          <w:p w:rsidR="00E10583" w:rsidRPr="007C51D6" w:rsidRDefault="00E10583" w:rsidP="00E57BBE">
            <w:pPr>
              <w:spacing w:line="230" w:lineRule="auto"/>
              <w:jc w:val="center"/>
              <w:rPr>
                <w:rFonts w:eastAsia="Arial"/>
                <w:sz w:val="20"/>
                <w:szCs w:val="20"/>
              </w:rPr>
            </w:pPr>
            <w:r w:rsidRPr="007C51D6">
              <w:rPr>
                <w:rFonts w:eastAsia="Arial"/>
                <w:sz w:val="20"/>
                <w:szCs w:val="20"/>
              </w:rPr>
              <w:t>261,08</w:t>
            </w:r>
          </w:p>
        </w:tc>
        <w:tc>
          <w:tcPr>
            <w:tcW w:w="1044" w:type="dxa"/>
            <w:gridSpan w:val="3"/>
          </w:tcPr>
          <w:p w:rsidR="00E10583" w:rsidRPr="007C51D6" w:rsidRDefault="00F635A4" w:rsidP="00F635A4">
            <w:pPr>
              <w:spacing w:line="230" w:lineRule="auto"/>
              <w:jc w:val="center"/>
              <w:rPr>
                <w:rFonts w:eastAsia="Arial"/>
                <w:sz w:val="20"/>
                <w:szCs w:val="20"/>
              </w:rPr>
            </w:pPr>
            <w:r w:rsidRPr="007C51D6">
              <w:rPr>
                <w:rFonts w:eastAsia="Arial"/>
                <w:sz w:val="20"/>
                <w:szCs w:val="20"/>
              </w:rPr>
              <w:t>276,29</w:t>
            </w:r>
          </w:p>
        </w:tc>
        <w:tc>
          <w:tcPr>
            <w:tcW w:w="1700" w:type="dxa"/>
            <w:gridSpan w:val="3"/>
          </w:tcPr>
          <w:p w:rsidR="00E10583" w:rsidRPr="007C51D6" w:rsidRDefault="00E10583" w:rsidP="00F635A4">
            <w:pPr>
              <w:spacing w:line="230" w:lineRule="auto"/>
              <w:jc w:val="center"/>
              <w:rPr>
                <w:rFonts w:eastAsia="Arial"/>
                <w:sz w:val="20"/>
                <w:szCs w:val="20"/>
              </w:rPr>
            </w:pPr>
            <w:r w:rsidRPr="007C51D6">
              <w:rPr>
                <w:rFonts w:eastAsia="Arial"/>
                <w:sz w:val="20"/>
                <w:szCs w:val="20"/>
              </w:rPr>
              <w:t>1</w:t>
            </w:r>
            <w:r w:rsidR="00F635A4" w:rsidRPr="007C51D6">
              <w:rPr>
                <w:rFonts w:eastAsia="Arial"/>
                <w:sz w:val="20"/>
                <w:szCs w:val="20"/>
              </w:rPr>
              <w:t>5</w:t>
            </w:r>
            <w:r w:rsidRPr="007C51D6">
              <w:rPr>
                <w:rFonts w:eastAsia="Arial"/>
                <w:sz w:val="20"/>
                <w:szCs w:val="20"/>
              </w:rPr>
              <w:t>,</w:t>
            </w:r>
            <w:r w:rsidR="00F635A4" w:rsidRPr="007C51D6">
              <w:rPr>
                <w:rFonts w:eastAsia="Arial"/>
                <w:sz w:val="20"/>
                <w:szCs w:val="20"/>
              </w:rPr>
              <w:t>3</w:t>
            </w:r>
          </w:p>
        </w:tc>
      </w:tr>
      <w:tr w:rsidR="00E10583" w:rsidRPr="007C51D6" w:rsidTr="00871EE7">
        <w:tblPrEx>
          <w:tblBorders>
            <w:bottom w:val="single" w:sz="4" w:space="0" w:color="auto"/>
          </w:tblBorders>
        </w:tblPrEx>
        <w:tc>
          <w:tcPr>
            <w:tcW w:w="2120" w:type="dxa"/>
          </w:tcPr>
          <w:p w:rsidR="00E10583" w:rsidRPr="007C51D6" w:rsidRDefault="00E10583" w:rsidP="00E57BBE">
            <w:pPr>
              <w:spacing w:line="230" w:lineRule="auto"/>
              <w:jc w:val="both"/>
              <w:rPr>
                <w:rFonts w:eastAsia="Arial"/>
                <w:sz w:val="20"/>
                <w:szCs w:val="20"/>
              </w:rPr>
            </w:pPr>
            <w:r w:rsidRPr="007C51D6">
              <w:rPr>
                <w:color w:val="000000"/>
                <w:sz w:val="20"/>
                <w:szCs w:val="20"/>
              </w:rPr>
              <w:t>Приволжcкий федеральный округ</w:t>
            </w:r>
          </w:p>
        </w:tc>
        <w:tc>
          <w:tcPr>
            <w:tcW w:w="1699" w:type="dxa"/>
            <w:vMerge/>
          </w:tcPr>
          <w:p w:rsidR="00E10583" w:rsidRPr="007C51D6" w:rsidRDefault="00E10583" w:rsidP="00E57BBE">
            <w:pPr>
              <w:spacing w:line="230" w:lineRule="auto"/>
              <w:rPr>
                <w:rFonts w:eastAsia="Arial"/>
                <w:sz w:val="20"/>
                <w:szCs w:val="20"/>
              </w:rPr>
            </w:pPr>
          </w:p>
        </w:tc>
        <w:tc>
          <w:tcPr>
            <w:tcW w:w="991" w:type="dxa"/>
          </w:tcPr>
          <w:p w:rsidR="00E10583" w:rsidRPr="007C51D6" w:rsidRDefault="00E10583" w:rsidP="00E57BBE">
            <w:pPr>
              <w:jc w:val="center"/>
              <w:rPr>
                <w:color w:val="000000"/>
                <w:sz w:val="20"/>
                <w:szCs w:val="20"/>
              </w:rPr>
            </w:pPr>
            <w:r w:rsidRPr="007C51D6">
              <w:rPr>
                <w:color w:val="000000"/>
                <w:sz w:val="20"/>
                <w:szCs w:val="20"/>
              </w:rPr>
              <w:t>247,59</w:t>
            </w:r>
          </w:p>
        </w:tc>
        <w:tc>
          <w:tcPr>
            <w:tcW w:w="992" w:type="dxa"/>
          </w:tcPr>
          <w:p w:rsidR="00E10583" w:rsidRPr="007C51D6" w:rsidRDefault="00E10583" w:rsidP="00E57BBE">
            <w:pPr>
              <w:jc w:val="center"/>
              <w:rPr>
                <w:color w:val="000000"/>
                <w:sz w:val="20"/>
                <w:szCs w:val="20"/>
              </w:rPr>
            </w:pPr>
            <w:r w:rsidRPr="007C51D6">
              <w:rPr>
                <w:color w:val="000000"/>
                <w:sz w:val="20"/>
                <w:szCs w:val="20"/>
              </w:rPr>
              <w:t>251,03</w:t>
            </w:r>
          </w:p>
        </w:tc>
        <w:tc>
          <w:tcPr>
            <w:tcW w:w="992" w:type="dxa"/>
          </w:tcPr>
          <w:p w:rsidR="00E10583" w:rsidRPr="007C51D6" w:rsidRDefault="00E10583" w:rsidP="00E57BBE">
            <w:pPr>
              <w:jc w:val="center"/>
              <w:rPr>
                <w:color w:val="000000"/>
                <w:sz w:val="20"/>
                <w:szCs w:val="20"/>
              </w:rPr>
            </w:pPr>
            <w:r w:rsidRPr="007C51D6">
              <w:rPr>
                <w:color w:val="000000"/>
                <w:sz w:val="20"/>
                <w:szCs w:val="20"/>
              </w:rPr>
              <w:t>248,01</w:t>
            </w:r>
          </w:p>
        </w:tc>
        <w:tc>
          <w:tcPr>
            <w:tcW w:w="993" w:type="dxa"/>
          </w:tcPr>
          <w:p w:rsidR="00E10583" w:rsidRPr="007C51D6" w:rsidRDefault="00E10583" w:rsidP="00E57BBE">
            <w:pPr>
              <w:jc w:val="center"/>
              <w:rPr>
                <w:color w:val="000000"/>
                <w:sz w:val="20"/>
                <w:szCs w:val="20"/>
              </w:rPr>
            </w:pPr>
            <w:r w:rsidRPr="007C51D6">
              <w:rPr>
                <w:color w:val="000000"/>
                <w:sz w:val="20"/>
                <w:szCs w:val="20"/>
              </w:rPr>
              <w:t>252,94</w:t>
            </w:r>
          </w:p>
        </w:tc>
        <w:tc>
          <w:tcPr>
            <w:tcW w:w="992" w:type="dxa"/>
          </w:tcPr>
          <w:p w:rsidR="00E10583" w:rsidRPr="007C51D6" w:rsidRDefault="00E10583" w:rsidP="00E57BBE">
            <w:pPr>
              <w:jc w:val="center"/>
              <w:rPr>
                <w:color w:val="000000"/>
                <w:sz w:val="20"/>
                <w:szCs w:val="20"/>
              </w:rPr>
            </w:pPr>
            <w:r w:rsidRPr="007C51D6">
              <w:rPr>
                <w:color w:val="000000"/>
                <w:sz w:val="20"/>
                <w:szCs w:val="20"/>
              </w:rPr>
              <w:t>222,75</w:t>
            </w:r>
          </w:p>
        </w:tc>
        <w:tc>
          <w:tcPr>
            <w:tcW w:w="935" w:type="dxa"/>
            <w:gridSpan w:val="2"/>
          </w:tcPr>
          <w:p w:rsidR="00E10583" w:rsidRPr="007C51D6" w:rsidRDefault="00E10583" w:rsidP="00E57BBE">
            <w:pPr>
              <w:jc w:val="center"/>
              <w:rPr>
                <w:color w:val="000000"/>
                <w:sz w:val="20"/>
                <w:szCs w:val="20"/>
              </w:rPr>
            </w:pPr>
            <w:r w:rsidRPr="007C51D6">
              <w:rPr>
                <w:color w:val="000000"/>
                <w:sz w:val="20"/>
                <w:szCs w:val="20"/>
              </w:rPr>
              <w:t>234,59</w:t>
            </w:r>
          </w:p>
        </w:tc>
        <w:tc>
          <w:tcPr>
            <w:tcW w:w="935" w:type="dxa"/>
          </w:tcPr>
          <w:p w:rsidR="00E10583" w:rsidRPr="007C51D6" w:rsidRDefault="00E10583" w:rsidP="00E57BBE">
            <w:pPr>
              <w:jc w:val="center"/>
              <w:rPr>
                <w:sz w:val="20"/>
                <w:szCs w:val="20"/>
              </w:rPr>
            </w:pPr>
            <w:r w:rsidRPr="007C51D6">
              <w:rPr>
                <w:color w:val="000000"/>
                <w:sz w:val="20"/>
                <w:szCs w:val="20"/>
              </w:rPr>
              <w:t>246,89</w:t>
            </w:r>
          </w:p>
        </w:tc>
        <w:tc>
          <w:tcPr>
            <w:tcW w:w="961" w:type="dxa"/>
          </w:tcPr>
          <w:p w:rsidR="00E10583" w:rsidRPr="007C51D6" w:rsidRDefault="00E10583" w:rsidP="00E57BBE">
            <w:pPr>
              <w:jc w:val="center"/>
              <w:rPr>
                <w:color w:val="000000"/>
                <w:sz w:val="20"/>
                <w:szCs w:val="20"/>
              </w:rPr>
            </w:pPr>
            <w:r w:rsidRPr="007C51D6">
              <w:rPr>
                <w:color w:val="000000"/>
                <w:sz w:val="20"/>
                <w:szCs w:val="20"/>
              </w:rPr>
              <w:t>259,92</w:t>
            </w:r>
          </w:p>
        </w:tc>
        <w:tc>
          <w:tcPr>
            <w:tcW w:w="950" w:type="dxa"/>
          </w:tcPr>
          <w:p w:rsidR="00E10583" w:rsidRPr="007C51D6" w:rsidRDefault="00E10583" w:rsidP="00E57BBE">
            <w:pPr>
              <w:jc w:val="center"/>
              <w:rPr>
                <w:color w:val="000000"/>
                <w:sz w:val="20"/>
                <w:szCs w:val="20"/>
              </w:rPr>
            </w:pPr>
            <w:r w:rsidRPr="007C51D6">
              <w:rPr>
                <w:color w:val="000000"/>
                <w:sz w:val="20"/>
                <w:szCs w:val="20"/>
              </w:rPr>
              <w:t>264,22</w:t>
            </w:r>
          </w:p>
        </w:tc>
        <w:tc>
          <w:tcPr>
            <w:tcW w:w="1044" w:type="dxa"/>
            <w:gridSpan w:val="3"/>
          </w:tcPr>
          <w:p w:rsidR="00E10583" w:rsidRPr="007C51D6" w:rsidRDefault="00E10583" w:rsidP="00E57BBE">
            <w:pPr>
              <w:jc w:val="center"/>
              <w:rPr>
                <w:color w:val="000000"/>
                <w:sz w:val="20"/>
                <w:szCs w:val="20"/>
              </w:rPr>
            </w:pPr>
            <w:r w:rsidRPr="007C51D6">
              <w:rPr>
                <w:color w:val="000000"/>
                <w:sz w:val="20"/>
                <w:szCs w:val="20"/>
              </w:rPr>
              <w:t>нет</w:t>
            </w:r>
          </w:p>
          <w:p w:rsidR="00E10583" w:rsidRPr="007C51D6" w:rsidRDefault="00E10583" w:rsidP="00E57BBE">
            <w:pPr>
              <w:spacing w:line="230" w:lineRule="auto"/>
              <w:jc w:val="center"/>
              <w:rPr>
                <w:rFonts w:eastAsia="Arial"/>
                <w:sz w:val="20"/>
                <w:szCs w:val="20"/>
              </w:rPr>
            </w:pPr>
            <w:r w:rsidRPr="007C51D6">
              <w:rPr>
                <w:color w:val="000000"/>
                <w:sz w:val="20"/>
                <w:szCs w:val="20"/>
              </w:rPr>
              <w:t>данных</w:t>
            </w:r>
          </w:p>
        </w:tc>
        <w:tc>
          <w:tcPr>
            <w:tcW w:w="1700" w:type="dxa"/>
            <w:gridSpan w:val="3"/>
          </w:tcPr>
          <w:p w:rsidR="00E10583" w:rsidRPr="007C51D6" w:rsidRDefault="00E10583" w:rsidP="00E57BBE">
            <w:pPr>
              <w:spacing w:line="230" w:lineRule="auto"/>
              <w:jc w:val="center"/>
              <w:rPr>
                <w:rFonts w:eastAsia="Arial"/>
                <w:sz w:val="20"/>
                <w:szCs w:val="20"/>
              </w:rPr>
            </w:pPr>
            <w:r w:rsidRPr="007C51D6">
              <w:rPr>
                <w:rFonts w:eastAsia="Arial"/>
                <w:sz w:val="20"/>
                <w:szCs w:val="20"/>
              </w:rPr>
              <w:t>-</w:t>
            </w:r>
          </w:p>
        </w:tc>
      </w:tr>
      <w:tr w:rsidR="00E10583" w:rsidRPr="007C51D6" w:rsidTr="00871EE7">
        <w:tblPrEx>
          <w:tblBorders>
            <w:bottom w:val="single" w:sz="4" w:space="0" w:color="auto"/>
          </w:tblBorders>
        </w:tblPrEx>
        <w:tc>
          <w:tcPr>
            <w:tcW w:w="2120" w:type="dxa"/>
          </w:tcPr>
          <w:p w:rsidR="00E10583" w:rsidRPr="007C51D6" w:rsidRDefault="00E10583" w:rsidP="00E57BBE">
            <w:pPr>
              <w:jc w:val="both"/>
              <w:rPr>
                <w:color w:val="000000"/>
                <w:sz w:val="20"/>
                <w:szCs w:val="20"/>
              </w:rPr>
            </w:pPr>
            <w:r w:rsidRPr="007C51D6">
              <w:rPr>
                <w:color w:val="000000"/>
                <w:sz w:val="20"/>
                <w:szCs w:val="20"/>
              </w:rPr>
              <w:t>Российская Федерация</w:t>
            </w:r>
          </w:p>
        </w:tc>
        <w:tc>
          <w:tcPr>
            <w:tcW w:w="1699" w:type="dxa"/>
            <w:vMerge/>
          </w:tcPr>
          <w:p w:rsidR="00E10583" w:rsidRPr="007C51D6" w:rsidRDefault="00E10583" w:rsidP="00E57BBE">
            <w:pPr>
              <w:spacing w:line="230" w:lineRule="auto"/>
              <w:rPr>
                <w:rFonts w:eastAsia="Arial"/>
                <w:sz w:val="20"/>
                <w:szCs w:val="20"/>
              </w:rPr>
            </w:pPr>
          </w:p>
        </w:tc>
        <w:tc>
          <w:tcPr>
            <w:tcW w:w="991" w:type="dxa"/>
          </w:tcPr>
          <w:p w:rsidR="00E10583" w:rsidRPr="007C51D6" w:rsidRDefault="00E10583" w:rsidP="00E57BBE">
            <w:pPr>
              <w:jc w:val="center"/>
              <w:rPr>
                <w:color w:val="000000"/>
                <w:sz w:val="20"/>
                <w:szCs w:val="20"/>
              </w:rPr>
            </w:pPr>
            <w:r w:rsidRPr="007C51D6">
              <w:rPr>
                <w:color w:val="000000"/>
                <w:sz w:val="20"/>
                <w:szCs w:val="20"/>
              </w:rPr>
              <w:t>242,61</w:t>
            </w:r>
          </w:p>
        </w:tc>
        <w:tc>
          <w:tcPr>
            <w:tcW w:w="992" w:type="dxa"/>
          </w:tcPr>
          <w:p w:rsidR="00E10583" w:rsidRPr="007C51D6" w:rsidRDefault="00E10583" w:rsidP="00E57BBE">
            <w:pPr>
              <w:jc w:val="center"/>
              <w:rPr>
                <w:color w:val="000000"/>
                <w:sz w:val="20"/>
                <w:szCs w:val="20"/>
              </w:rPr>
            </w:pPr>
            <w:r w:rsidRPr="007C51D6">
              <w:rPr>
                <w:color w:val="000000"/>
                <w:sz w:val="20"/>
                <w:szCs w:val="20"/>
              </w:rPr>
              <w:t>246,58</w:t>
            </w:r>
          </w:p>
        </w:tc>
        <w:tc>
          <w:tcPr>
            <w:tcW w:w="992" w:type="dxa"/>
          </w:tcPr>
          <w:p w:rsidR="00E10583" w:rsidRPr="007C51D6" w:rsidRDefault="00E10583" w:rsidP="00E57BBE">
            <w:pPr>
              <w:jc w:val="center"/>
              <w:rPr>
                <w:color w:val="000000"/>
                <w:sz w:val="20"/>
                <w:szCs w:val="20"/>
              </w:rPr>
            </w:pPr>
            <w:r w:rsidRPr="007C51D6">
              <w:rPr>
                <w:color w:val="000000"/>
                <w:sz w:val="20"/>
                <w:szCs w:val="20"/>
              </w:rPr>
              <w:t>246,77</w:t>
            </w:r>
          </w:p>
        </w:tc>
        <w:tc>
          <w:tcPr>
            <w:tcW w:w="993" w:type="dxa"/>
          </w:tcPr>
          <w:p w:rsidR="00E10583" w:rsidRPr="007C51D6" w:rsidRDefault="00E10583" w:rsidP="00E57BBE">
            <w:pPr>
              <w:jc w:val="center"/>
              <w:rPr>
                <w:color w:val="000000"/>
                <w:sz w:val="20"/>
                <w:szCs w:val="20"/>
              </w:rPr>
            </w:pPr>
            <w:r w:rsidRPr="007C51D6">
              <w:rPr>
                <w:color w:val="000000"/>
                <w:sz w:val="20"/>
                <w:szCs w:val="20"/>
              </w:rPr>
              <w:t>249,54</w:t>
            </w:r>
          </w:p>
        </w:tc>
        <w:tc>
          <w:tcPr>
            <w:tcW w:w="992" w:type="dxa"/>
          </w:tcPr>
          <w:p w:rsidR="00E10583" w:rsidRPr="007C51D6" w:rsidRDefault="00E10583" w:rsidP="00E57BBE">
            <w:pPr>
              <w:jc w:val="center"/>
              <w:rPr>
                <w:color w:val="000000"/>
                <w:sz w:val="20"/>
                <w:szCs w:val="20"/>
              </w:rPr>
            </w:pPr>
            <w:r w:rsidRPr="007C51D6">
              <w:rPr>
                <w:color w:val="000000"/>
                <w:sz w:val="20"/>
                <w:szCs w:val="20"/>
              </w:rPr>
              <w:t>216,58</w:t>
            </w:r>
          </w:p>
        </w:tc>
        <w:tc>
          <w:tcPr>
            <w:tcW w:w="935" w:type="dxa"/>
            <w:gridSpan w:val="2"/>
          </w:tcPr>
          <w:p w:rsidR="00E10583" w:rsidRPr="007C51D6" w:rsidRDefault="00E10583" w:rsidP="00E57BBE">
            <w:pPr>
              <w:jc w:val="center"/>
              <w:rPr>
                <w:color w:val="000000"/>
                <w:sz w:val="20"/>
                <w:szCs w:val="20"/>
              </w:rPr>
            </w:pPr>
            <w:r w:rsidRPr="007C51D6">
              <w:rPr>
                <w:color w:val="000000"/>
                <w:sz w:val="20"/>
                <w:szCs w:val="20"/>
              </w:rPr>
              <w:t>224,87</w:t>
            </w:r>
          </w:p>
        </w:tc>
        <w:tc>
          <w:tcPr>
            <w:tcW w:w="935" w:type="dxa"/>
          </w:tcPr>
          <w:p w:rsidR="00E10583" w:rsidRPr="007C51D6" w:rsidRDefault="00E10583" w:rsidP="00E57BBE">
            <w:pPr>
              <w:jc w:val="center"/>
              <w:rPr>
                <w:sz w:val="20"/>
                <w:szCs w:val="20"/>
              </w:rPr>
            </w:pPr>
            <w:r w:rsidRPr="007C51D6">
              <w:rPr>
                <w:color w:val="000000"/>
                <w:sz w:val="20"/>
                <w:szCs w:val="20"/>
              </w:rPr>
              <w:t>236,47</w:t>
            </w:r>
          </w:p>
        </w:tc>
        <w:tc>
          <w:tcPr>
            <w:tcW w:w="961" w:type="dxa"/>
          </w:tcPr>
          <w:p w:rsidR="00E10583" w:rsidRPr="007C51D6" w:rsidRDefault="00E10583" w:rsidP="00E57BBE">
            <w:pPr>
              <w:jc w:val="center"/>
              <w:rPr>
                <w:color w:val="000000"/>
                <w:sz w:val="20"/>
                <w:szCs w:val="20"/>
              </w:rPr>
            </w:pPr>
            <w:r w:rsidRPr="007C51D6">
              <w:rPr>
                <w:color w:val="000000"/>
                <w:sz w:val="20"/>
                <w:szCs w:val="20"/>
              </w:rPr>
              <w:t>250,32</w:t>
            </w:r>
          </w:p>
        </w:tc>
        <w:tc>
          <w:tcPr>
            <w:tcW w:w="950" w:type="dxa"/>
          </w:tcPr>
          <w:p w:rsidR="00E10583" w:rsidRPr="007C51D6" w:rsidRDefault="00E10583" w:rsidP="00E57BBE">
            <w:pPr>
              <w:jc w:val="center"/>
              <w:rPr>
                <w:color w:val="000000"/>
                <w:sz w:val="20"/>
                <w:szCs w:val="20"/>
              </w:rPr>
            </w:pPr>
            <w:r w:rsidRPr="007C51D6">
              <w:rPr>
                <w:color w:val="000000"/>
                <w:sz w:val="20"/>
                <w:szCs w:val="20"/>
              </w:rPr>
              <w:t>255,27</w:t>
            </w:r>
          </w:p>
        </w:tc>
        <w:tc>
          <w:tcPr>
            <w:tcW w:w="1044" w:type="dxa"/>
            <w:gridSpan w:val="3"/>
          </w:tcPr>
          <w:p w:rsidR="00E10583" w:rsidRPr="007C51D6" w:rsidRDefault="00E10583" w:rsidP="00E57BBE">
            <w:pPr>
              <w:jc w:val="center"/>
              <w:rPr>
                <w:color w:val="000000"/>
                <w:sz w:val="20"/>
                <w:szCs w:val="20"/>
              </w:rPr>
            </w:pPr>
            <w:r w:rsidRPr="007C51D6">
              <w:rPr>
                <w:color w:val="000000"/>
                <w:sz w:val="20"/>
                <w:szCs w:val="20"/>
              </w:rPr>
              <w:t>нет</w:t>
            </w:r>
          </w:p>
          <w:p w:rsidR="00E10583" w:rsidRPr="007C51D6" w:rsidRDefault="00E10583" w:rsidP="00E57BBE">
            <w:pPr>
              <w:spacing w:line="230" w:lineRule="auto"/>
              <w:jc w:val="center"/>
              <w:rPr>
                <w:rFonts w:eastAsia="Arial"/>
                <w:sz w:val="20"/>
                <w:szCs w:val="20"/>
              </w:rPr>
            </w:pPr>
            <w:r w:rsidRPr="007C51D6">
              <w:rPr>
                <w:color w:val="000000"/>
                <w:sz w:val="20"/>
                <w:szCs w:val="20"/>
              </w:rPr>
              <w:t>данных</w:t>
            </w:r>
          </w:p>
        </w:tc>
        <w:tc>
          <w:tcPr>
            <w:tcW w:w="1700" w:type="dxa"/>
            <w:gridSpan w:val="3"/>
          </w:tcPr>
          <w:p w:rsidR="00E10583" w:rsidRPr="007C51D6" w:rsidRDefault="00E10583" w:rsidP="00E57BBE">
            <w:pPr>
              <w:spacing w:line="230" w:lineRule="auto"/>
              <w:jc w:val="center"/>
              <w:rPr>
                <w:rFonts w:eastAsia="Arial"/>
                <w:sz w:val="20"/>
                <w:szCs w:val="20"/>
              </w:rPr>
            </w:pPr>
            <w:r w:rsidRPr="007C51D6">
              <w:rPr>
                <w:rFonts w:eastAsia="Arial"/>
                <w:sz w:val="20"/>
                <w:szCs w:val="20"/>
              </w:rPr>
              <w:t>-</w:t>
            </w:r>
          </w:p>
        </w:tc>
      </w:tr>
      <w:tr w:rsidR="00E10583" w:rsidRPr="007C51D6" w:rsidTr="00871EE7">
        <w:tblPrEx>
          <w:tblBorders>
            <w:bottom w:val="single" w:sz="4" w:space="0" w:color="auto"/>
          </w:tblBorders>
        </w:tblPrEx>
        <w:trPr>
          <w:gridAfter w:val="1"/>
          <w:wAfter w:w="17" w:type="dxa"/>
        </w:trPr>
        <w:tc>
          <w:tcPr>
            <w:tcW w:w="15287" w:type="dxa"/>
            <w:gridSpan w:val="17"/>
          </w:tcPr>
          <w:p w:rsidR="00E10583" w:rsidRPr="007C51D6" w:rsidRDefault="00E10583" w:rsidP="00E57BBE">
            <w:pPr>
              <w:spacing w:line="230" w:lineRule="auto"/>
              <w:jc w:val="center"/>
              <w:rPr>
                <w:rFonts w:eastAsia="Arial"/>
                <w:sz w:val="20"/>
                <w:szCs w:val="20"/>
              </w:rPr>
            </w:pPr>
            <w:r w:rsidRPr="007C51D6">
              <w:rPr>
                <w:color w:val="000000"/>
                <w:sz w:val="20"/>
                <w:szCs w:val="20"/>
              </w:rPr>
              <w:t>Мужское население</w:t>
            </w:r>
          </w:p>
        </w:tc>
      </w:tr>
    </w:tbl>
    <w:p w:rsidR="00871EE7" w:rsidRDefault="00871EE7" w:rsidP="00E57BBE">
      <w:pPr>
        <w:spacing w:line="230" w:lineRule="auto"/>
        <w:jc w:val="both"/>
        <w:rPr>
          <w:rFonts w:eastAsia="Arial"/>
          <w:sz w:val="20"/>
          <w:szCs w:val="20"/>
        </w:rPr>
        <w:sectPr w:rsidR="00871EE7" w:rsidSect="007B1867">
          <w:headerReference w:type="default" r:id="rId9"/>
          <w:type w:val="continuous"/>
          <w:pgSz w:w="16838" w:h="11906" w:orient="landscape"/>
          <w:pgMar w:top="1134" w:right="567" w:bottom="1134" w:left="1134" w:header="709" w:footer="709" w:gutter="0"/>
          <w:cols w:space="708"/>
          <w:docGrid w:linePitch="360"/>
        </w:sectPr>
      </w:pPr>
    </w:p>
    <w:tbl>
      <w:tblPr>
        <w:tblStyle w:val="af1"/>
        <w:tblW w:w="15304" w:type="dxa"/>
        <w:tblLayout w:type="fixed"/>
        <w:tblLook w:val="04A0" w:firstRow="1" w:lastRow="0" w:firstColumn="1" w:lastColumn="0" w:noHBand="0" w:noVBand="1"/>
      </w:tblPr>
      <w:tblGrid>
        <w:gridCol w:w="2120"/>
        <w:gridCol w:w="1699"/>
        <w:gridCol w:w="991"/>
        <w:gridCol w:w="992"/>
        <w:gridCol w:w="992"/>
        <w:gridCol w:w="993"/>
        <w:gridCol w:w="992"/>
        <w:gridCol w:w="935"/>
        <w:gridCol w:w="935"/>
        <w:gridCol w:w="961"/>
        <w:gridCol w:w="950"/>
        <w:gridCol w:w="1044"/>
        <w:gridCol w:w="1683"/>
        <w:gridCol w:w="17"/>
      </w:tblGrid>
      <w:tr w:rsidR="00871EE7" w:rsidRPr="007C51D6" w:rsidTr="00871EE7">
        <w:tc>
          <w:tcPr>
            <w:tcW w:w="2120" w:type="dxa"/>
          </w:tcPr>
          <w:p w:rsidR="00871EE7" w:rsidRPr="007C51D6" w:rsidRDefault="00871EE7" w:rsidP="00871EE7">
            <w:pPr>
              <w:spacing w:line="230" w:lineRule="auto"/>
              <w:jc w:val="center"/>
              <w:rPr>
                <w:rFonts w:eastAsia="Arial"/>
                <w:sz w:val="20"/>
                <w:szCs w:val="20"/>
              </w:rPr>
            </w:pPr>
            <w:r w:rsidRPr="007C51D6">
              <w:rPr>
                <w:rFonts w:eastAsia="Arial"/>
                <w:sz w:val="20"/>
                <w:szCs w:val="20"/>
              </w:rPr>
              <w:lastRenderedPageBreak/>
              <w:t>1</w:t>
            </w:r>
          </w:p>
        </w:tc>
        <w:tc>
          <w:tcPr>
            <w:tcW w:w="1699" w:type="dxa"/>
          </w:tcPr>
          <w:p w:rsidR="00871EE7" w:rsidRPr="007C51D6" w:rsidRDefault="00871EE7" w:rsidP="00871EE7">
            <w:pPr>
              <w:spacing w:line="230" w:lineRule="auto"/>
              <w:jc w:val="center"/>
              <w:rPr>
                <w:rFonts w:eastAsia="Arial"/>
                <w:sz w:val="20"/>
                <w:szCs w:val="20"/>
              </w:rPr>
            </w:pPr>
            <w:r w:rsidRPr="007C51D6">
              <w:rPr>
                <w:rFonts w:eastAsia="Arial"/>
                <w:sz w:val="20"/>
                <w:szCs w:val="20"/>
              </w:rPr>
              <w:t>2</w:t>
            </w:r>
          </w:p>
        </w:tc>
        <w:tc>
          <w:tcPr>
            <w:tcW w:w="991" w:type="dxa"/>
          </w:tcPr>
          <w:p w:rsidR="00871EE7" w:rsidRPr="007C51D6" w:rsidRDefault="00871EE7" w:rsidP="00871EE7">
            <w:pPr>
              <w:ind w:left="-57" w:right="-57"/>
              <w:jc w:val="center"/>
              <w:rPr>
                <w:bCs/>
                <w:color w:val="000000"/>
                <w:sz w:val="20"/>
                <w:szCs w:val="20"/>
              </w:rPr>
            </w:pPr>
            <w:r w:rsidRPr="007C51D6">
              <w:rPr>
                <w:bCs/>
                <w:color w:val="000000"/>
                <w:sz w:val="20"/>
                <w:szCs w:val="20"/>
              </w:rPr>
              <w:t>3</w:t>
            </w:r>
          </w:p>
        </w:tc>
        <w:tc>
          <w:tcPr>
            <w:tcW w:w="992" w:type="dxa"/>
          </w:tcPr>
          <w:p w:rsidR="00871EE7" w:rsidRPr="007C51D6" w:rsidRDefault="00871EE7" w:rsidP="00871EE7">
            <w:pPr>
              <w:ind w:left="-57" w:right="-57"/>
              <w:jc w:val="center"/>
              <w:rPr>
                <w:bCs/>
                <w:color w:val="000000"/>
                <w:sz w:val="20"/>
                <w:szCs w:val="20"/>
              </w:rPr>
            </w:pPr>
            <w:r w:rsidRPr="007C51D6">
              <w:rPr>
                <w:bCs/>
                <w:color w:val="000000"/>
                <w:sz w:val="20"/>
                <w:szCs w:val="20"/>
              </w:rPr>
              <w:t>4</w:t>
            </w:r>
          </w:p>
        </w:tc>
        <w:tc>
          <w:tcPr>
            <w:tcW w:w="992" w:type="dxa"/>
          </w:tcPr>
          <w:p w:rsidR="00871EE7" w:rsidRPr="007C51D6" w:rsidRDefault="00871EE7" w:rsidP="00871EE7">
            <w:pPr>
              <w:ind w:left="-57" w:right="-57"/>
              <w:jc w:val="center"/>
              <w:rPr>
                <w:bCs/>
                <w:color w:val="000000"/>
                <w:sz w:val="20"/>
                <w:szCs w:val="20"/>
              </w:rPr>
            </w:pPr>
            <w:r w:rsidRPr="007C51D6">
              <w:rPr>
                <w:bCs/>
                <w:color w:val="000000"/>
                <w:sz w:val="20"/>
                <w:szCs w:val="20"/>
              </w:rPr>
              <w:t>5</w:t>
            </w:r>
          </w:p>
        </w:tc>
        <w:tc>
          <w:tcPr>
            <w:tcW w:w="993" w:type="dxa"/>
          </w:tcPr>
          <w:p w:rsidR="00871EE7" w:rsidRPr="007C51D6" w:rsidRDefault="00871EE7" w:rsidP="00871EE7">
            <w:pPr>
              <w:ind w:left="-57" w:right="-57"/>
              <w:jc w:val="center"/>
              <w:rPr>
                <w:rFonts w:eastAsia="Arial"/>
                <w:sz w:val="20"/>
                <w:szCs w:val="20"/>
              </w:rPr>
            </w:pPr>
            <w:r w:rsidRPr="007C51D6">
              <w:rPr>
                <w:rFonts w:eastAsia="Arial"/>
                <w:sz w:val="20"/>
                <w:szCs w:val="20"/>
              </w:rPr>
              <w:t>6</w:t>
            </w:r>
          </w:p>
        </w:tc>
        <w:tc>
          <w:tcPr>
            <w:tcW w:w="992" w:type="dxa"/>
          </w:tcPr>
          <w:p w:rsidR="00871EE7" w:rsidRPr="007C51D6" w:rsidRDefault="00871EE7" w:rsidP="00871EE7">
            <w:pPr>
              <w:ind w:left="-57" w:right="-57"/>
              <w:jc w:val="center"/>
              <w:rPr>
                <w:rFonts w:eastAsia="Arial"/>
                <w:sz w:val="20"/>
                <w:szCs w:val="20"/>
              </w:rPr>
            </w:pPr>
            <w:r w:rsidRPr="007C51D6">
              <w:rPr>
                <w:rFonts w:eastAsia="Arial"/>
                <w:sz w:val="20"/>
                <w:szCs w:val="20"/>
              </w:rPr>
              <w:t>7</w:t>
            </w:r>
          </w:p>
        </w:tc>
        <w:tc>
          <w:tcPr>
            <w:tcW w:w="935" w:type="dxa"/>
          </w:tcPr>
          <w:p w:rsidR="00871EE7" w:rsidRPr="007C51D6" w:rsidRDefault="00871EE7" w:rsidP="00871EE7">
            <w:pPr>
              <w:ind w:left="-57" w:right="-57"/>
              <w:jc w:val="center"/>
              <w:rPr>
                <w:rFonts w:eastAsia="Arial"/>
                <w:sz w:val="20"/>
                <w:szCs w:val="20"/>
              </w:rPr>
            </w:pPr>
            <w:r w:rsidRPr="007C51D6">
              <w:rPr>
                <w:rFonts w:eastAsia="Arial"/>
                <w:sz w:val="20"/>
                <w:szCs w:val="20"/>
              </w:rPr>
              <w:t>8</w:t>
            </w:r>
          </w:p>
        </w:tc>
        <w:tc>
          <w:tcPr>
            <w:tcW w:w="935" w:type="dxa"/>
          </w:tcPr>
          <w:p w:rsidR="00871EE7" w:rsidRPr="007C51D6" w:rsidRDefault="00871EE7" w:rsidP="00871EE7">
            <w:pPr>
              <w:ind w:left="-57" w:right="-57"/>
              <w:jc w:val="center"/>
              <w:rPr>
                <w:rFonts w:eastAsia="Arial"/>
                <w:sz w:val="20"/>
                <w:szCs w:val="20"/>
              </w:rPr>
            </w:pPr>
            <w:r w:rsidRPr="007C51D6">
              <w:rPr>
                <w:rFonts w:eastAsia="Arial"/>
                <w:sz w:val="20"/>
                <w:szCs w:val="20"/>
              </w:rPr>
              <w:t>9</w:t>
            </w:r>
          </w:p>
        </w:tc>
        <w:tc>
          <w:tcPr>
            <w:tcW w:w="961" w:type="dxa"/>
          </w:tcPr>
          <w:p w:rsidR="00871EE7" w:rsidRPr="007C51D6" w:rsidRDefault="00871EE7" w:rsidP="00871EE7">
            <w:pPr>
              <w:jc w:val="center"/>
              <w:rPr>
                <w:color w:val="000000"/>
                <w:sz w:val="20"/>
                <w:szCs w:val="20"/>
              </w:rPr>
            </w:pPr>
            <w:r w:rsidRPr="007C51D6">
              <w:rPr>
                <w:color w:val="000000"/>
                <w:sz w:val="20"/>
                <w:szCs w:val="20"/>
              </w:rPr>
              <w:t>10</w:t>
            </w:r>
          </w:p>
        </w:tc>
        <w:tc>
          <w:tcPr>
            <w:tcW w:w="950" w:type="dxa"/>
          </w:tcPr>
          <w:p w:rsidR="00871EE7" w:rsidRPr="007C51D6" w:rsidRDefault="00871EE7" w:rsidP="00871EE7">
            <w:pPr>
              <w:jc w:val="center"/>
              <w:rPr>
                <w:rFonts w:eastAsia="Arial"/>
                <w:sz w:val="20"/>
                <w:szCs w:val="20"/>
              </w:rPr>
            </w:pPr>
            <w:r w:rsidRPr="007C51D6">
              <w:rPr>
                <w:rFonts w:eastAsia="Arial"/>
                <w:sz w:val="20"/>
                <w:szCs w:val="20"/>
              </w:rPr>
              <w:t>11</w:t>
            </w:r>
          </w:p>
        </w:tc>
        <w:tc>
          <w:tcPr>
            <w:tcW w:w="1044" w:type="dxa"/>
          </w:tcPr>
          <w:p w:rsidR="00871EE7" w:rsidRPr="007C51D6" w:rsidRDefault="00871EE7" w:rsidP="00871EE7">
            <w:pPr>
              <w:jc w:val="center"/>
              <w:rPr>
                <w:rFonts w:eastAsia="Arial"/>
                <w:sz w:val="20"/>
                <w:szCs w:val="20"/>
              </w:rPr>
            </w:pPr>
            <w:r w:rsidRPr="007C51D6">
              <w:rPr>
                <w:rFonts w:eastAsia="Arial"/>
                <w:sz w:val="20"/>
                <w:szCs w:val="20"/>
              </w:rPr>
              <w:t>12</w:t>
            </w:r>
          </w:p>
        </w:tc>
        <w:tc>
          <w:tcPr>
            <w:tcW w:w="1700" w:type="dxa"/>
            <w:gridSpan w:val="2"/>
          </w:tcPr>
          <w:p w:rsidR="00871EE7" w:rsidRPr="007C51D6" w:rsidRDefault="00871EE7" w:rsidP="00871EE7">
            <w:pPr>
              <w:jc w:val="center"/>
              <w:rPr>
                <w:rFonts w:eastAsia="Arial"/>
                <w:sz w:val="20"/>
                <w:szCs w:val="20"/>
              </w:rPr>
            </w:pPr>
            <w:r w:rsidRPr="007C51D6">
              <w:rPr>
                <w:rFonts w:eastAsia="Arial"/>
                <w:sz w:val="20"/>
                <w:szCs w:val="20"/>
              </w:rPr>
              <w:t>13</w:t>
            </w:r>
          </w:p>
        </w:tc>
      </w:tr>
      <w:tr w:rsidR="00871EE7" w:rsidRPr="007C51D6" w:rsidTr="00871EE7">
        <w:tc>
          <w:tcPr>
            <w:tcW w:w="2120" w:type="dxa"/>
          </w:tcPr>
          <w:p w:rsidR="00871EE7" w:rsidRPr="007C51D6" w:rsidRDefault="00871EE7" w:rsidP="00871EE7">
            <w:pPr>
              <w:spacing w:line="230" w:lineRule="auto"/>
              <w:jc w:val="both"/>
              <w:rPr>
                <w:rFonts w:eastAsia="Arial"/>
                <w:sz w:val="20"/>
                <w:szCs w:val="20"/>
              </w:rPr>
            </w:pPr>
            <w:r w:rsidRPr="007C51D6">
              <w:rPr>
                <w:rFonts w:eastAsia="Arial"/>
                <w:sz w:val="20"/>
                <w:szCs w:val="20"/>
              </w:rPr>
              <w:t>Республика Татарстан</w:t>
            </w:r>
          </w:p>
        </w:tc>
        <w:tc>
          <w:tcPr>
            <w:tcW w:w="1699" w:type="dxa"/>
            <w:vMerge w:val="restart"/>
          </w:tcPr>
          <w:p w:rsidR="00871EE7" w:rsidRPr="007C51D6" w:rsidRDefault="00871EE7" w:rsidP="00871EE7">
            <w:pPr>
              <w:spacing w:line="230" w:lineRule="auto"/>
              <w:rPr>
                <w:rFonts w:eastAsia="Arial"/>
                <w:sz w:val="20"/>
                <w:szCs w:val="20"/>
              </w:rPr>
            </w:pPr>
            <w:r w:rsidRPr="007C51D6">
              <w:rPr>
                <w:rFonts w:eastAsia="Arial"/>
                <w:sz w:val="20"/>
                <w:szCs w:val="20"/>
              </w:rPr>
              <w:t>«грубый»</w:t>
            </w:r>
          </w:p>
        </w:tc>
        <w:tc>
          <w:tcPr>
            <w:tcW w:w="991" w:type="dxa"/>
          </w:tcPr>
          <w:p w:rsidR="00871EE7" w:rsidRPr="007C51D6" w:rsidRDefault="00871EE7" w:rsidP="00871EE7">
            <w:pPr>
              <w:jc w:val="center"/>
              <w:rPr>
                <w:color w:val="000000"/>
                <w:sz w:val="20"/>
                <w:szCs w:val="20"/>
              </w:rPr>
            </w:pPr>
            <w:r w:rsidRPr="007C51D6">
              <w:rPr>
                <w:color w:val="000000"/>
                <w:sz w:val="20"/>
                <w:szCs w:val="20"/>
              </w:rPr>
              <w:t>419,79</w:t>
            </w:r>
          </w:p>
        </w:tc>
        <w:tc>
          <w:tcPr>
            <w:tcW w:w="992" w:type="dxa"/>
          </w:tcPr>
          <w:p w:rsidR="00871EE7" w:rsidRPr="007C51D6" w:rsidRDefault="00871EE7" w:rsidP="00871EE7">
            <w:pPr>
              <w:jc w:val="center"/>
              <w:rPr>
                <w:color w:val="000000"/>
                <w:sz w:val="20"/>
                <w:szCs w:val="20"/>
              </w:rPr>
            </w:pPr>
            <w:r w:rsidRPr="007C51D6">
              <w:rPr>
                <w:color w:val="000000"/>
                <w:sz w:val="20"/>
                <w:szCs w:val="20"/>
              </w:rPr>
              <w:t>428,79</w:t>
            </w:r>
          </w:p>
        </w:tc>
        <w:tc>
          <w:tcPr>
            <w:tcW w:w="992" w:type="dxa"/>
          </w:tcPr>
          <w:p w:rsidR="00871EE7" w:rsidRPr="007C51D6" w:rsidRDefault="00871EE7" w:rsidP="00871EE7">
            <w:pPr>
              <w:jc w:val="center"/>
              <w:rPr>
                <w:color w:val="000000"/>
                <w:sz w:val="20"/>
                <w:szCs w:val="20"/>
              </w:rPr>
            </w:pPr>
            <w:r w:rsidRPr="007C51D6">
              <w:rPr>
                <w:color w:val="000000"/>
                <w:sz w:val="20"/>
                <w:szCs w:val="20"/>
              </w:rPr>
              <w:t>427,20</w:t>
            </w:r>
          </w:p>
        </w:tc>
        <w:tc>
          <w:tcPr>
            <w:tcW w:w="993" w:type="dxa"/>
          </w:tcPr>
          <w:p w:rsidR="00871EE7" w:rsidRPr="007C51D6" w:rsidRDefault="00871EE7" w:rsidP="00871EE7">
            <w:pPr>
              <w:jc w:val="center"/>
              <w:rPr>
                <w:color w:val="000000"/>
                <w:sz w:val="20"/>
                <w:szCs w:val="20"/>
              </w:rPr>
            </w:pPr>
            <w:r w:rsidRPr="007C51D6">
              <w:rPr>
                <w:color w:val="000000"/>
                <w:sz w:val="20"/>
                <w:szCs w:val="20"/>
              </w:rPr>
              <w:t>418,56</w:t>
            </w:r>
          </w:p>
        </w:tc>
        <w:tc>
          <w:tcPr>
            <w:tcW w:w="992" w:type="dxa"/>
          </w:tcPr>
          <w:p w:rsidR="00871EE7" w:rsidRPr="007C51D6" w:rsidRDefault="00871EE7" w:rsidP="00871EE7">
            <w:pPr>
              <w:jc w:val="center"/>
              <w:rPr>
                <w:color w:val="000000"/>
                <w:sz w:val="20"/>
                <w:szCs w:val="20"/>
              </w:rPr>
            </w:pPr>
            <w:r w:rsidRPr="007C51D6">
              <w:rPr>
                <w:color w:val="000000"/>
                <w:sz w:val="20"/>
                <w:szCs w:val="20"/>
              </w:rPr>
              <w:t>373,12</w:t>
            </w:r>
          </w:p>
        </w:tc>
        <w:tc>
          <w:tcPr>
            <w:tcW w:w="935" w:type="dxa"/>
          </w:tcPr>
          <w:p w:rsidR="00871EE7" w:rsidRPr="007C51D6" w:rsidRDefault="00871EE7" w:rsidP="00871EE7">
            <w:pPr>
              <w:jc w:val="center"/>
              <w:rPr>
                <w:color w:val="000000"/>
                <w:sz w:val="20"/>
                <w:szCs w:val="20"/>
              </w:rPr>
            </w:pPr>
            <w:r w:rsidRPr="007C51D6">
              <w:rPr>
                <w:color w:val="000000"/>
                <w:sz w:val="20"/>
                <w:szCs w:val="20"/>
              </w:rPr>
              <w:t>417,28</w:t>
            </w:r>
          </w:p>
        </w:tc>
        <w:tc>
          <w:tcPr>
            <w:tcW w:w="935" w:type="dxa"/>
          </w:tcPr>
          <w:p w:rsidR="00871EE7" w:rsidRPr="007C51D6" w:rsidRDefault="00871EE7" w:rsidP="00871EE7">
            <w:pPr>
              <w:jc w:val="center"/>
              <w:rPr>
                <w:color w:val="000000"/>
                <w:sz w:val="20"/>
                <w:szCs w:val="20"/>
              </w:rPr>
            </w:pPr>
            <w:r w:rsidRPr="007C51D6">
              <w:rPr>
                <w:color w:val="000000"/>
                <w:sz w:val="20"/>
                <w:szCs w:val="20"/>
              </w:rPr>
              <w:t>421,91</w:t>
            </w:r>
          </w:p>
        </w:tc>
        <w:tc>
          <w:tcPr>
            <w:tcW w:w="961" w:type="dxa"/>
          </w:tcPr>
          <w:p w:rsidR="00871EE7" w:rsidRPr="007C51D6" w:rsidRDefault="00871EE7" w:rsidP="00871EE7">
            <w:pPr>
              <w:jc w:val="center"/>
              <w:rPr>
                <w:color w:val="000000"/>
                <w:sz w:val="20"/>
                <w:szCs w:val="20"/>
              </w:rPr>
            </w:pPr>
            <w:r w:rsidRPr="007C51D6">
              <w:rPr>
                <w:color w:val="000000"/>
                <w:sz w:val="20"/>
                <w:szCs w:val="20"/>
              </w:rPr>
              <w:t>443,49</w:t>
            </w:r>
          </w:p>
        </w:tc>
        <w:tc>
          <w:tcPr>
            <w:tcW w:w="950" w:type="dxa"/>
          </w:tcPr>
          <w:p w:rsidR="00871EE7" w:rsidRPr="007C51D6" w:rsidRDefault="00871EE7" w:rsidP="00871EE7">
            <w:pPr>
              <w:jc w:val="center"/>
              <w:rPr>
                <w:color w:val="000000"/>
                <w:sz w:val="20"/>
                <w:szCs w:val="20"/>
              </w:rPr>
            </w:pPr>
            <w:r w:rsidRPr="007C51D6">
              <w:rPr>
                <w:color w:val="000000"/>
                <w:sz w:val="20"/>
                <w:szCs w:val="20"/>
              </w:rPr>
              <w:t>479,88</w:t>
            </w:r>
          </w:p>
        </w:tc>
        <w:tc>
          <w:tcPr>
            <w:tcW w:w="1044" w:type="dxa"/>
          </w:tcPr>
          <w:p w:rsidR="00871EE7" w:rsidRPr="007C51D6" w:rsidRDefault="00871EE7" w:rsidP="00871EE7">
            <w:pPr>
              <w:jc w:val="center"/>
              <w:rPr>
                <w:color w:val="000000"/>
                <w:sz w:val="20"/>
                <w:szCs w:val="20"/>
              </w:rPr>
            </w:pPr>
            <w:r w:rsidRPr="007C51D6">
              <w:rPr>
                <w:color w:val="000000"/>
                <w:sz w:val="20"/>
                <w:szCs w:val="20"/>
              </w:rPr>
              <w:t>нет</w:t>
            </w:r>
          </w:p>
          <w:p w:rsidR="00871EE7" w:rsidRPr="007C51D6" w:rsidRDefault="00871EE7" w:rsidP="00871EE7">
            <w:pPr>
              <w:jc w:val="center"/>
              <w:rPr>
                <w:color w:val="000000"/>
                <w:sz w:val="20"/>
                <w:szCs w:val="20"/>
              </w:rPr>
            </w:pPr>
            <w:r w:rsidRPr="007C51D6">
              <w:rPr>
                <w:color w:val="000000"/>
                <w:sz w:val="20"/>
                <w:szCs w:val="20"/>
              </w:rPr>
              <w:t>данных</w:t>
            </w:r>
          </w:p>
        </w:tc>
        <w:tc>
          <w:tcPr>
            <w:tcW w:w="1700" w:type="dxa"/>
            <w:gridSpan w:val="2"/>
          </w:tcPr>
          <w:p w:rsidR="00871EE7" w:rsidRPr="007C51D6" w:rsidRDefault="00871EE7" w:rsidP="00871EE7">
            <w:pPr>
              <w:spacing w:line="230" w:lineRule="auto"/>
              <w:jc w:val="center"/>
              <w:rPr>
                <w:rFonts w:eastAsia="Arial"/>
                <w:sz w:val="20"/>
                <w:szCs w:val="20"/>
              </w:rPr>
            </w:pPr>
            <w:r w:rsidRPr="007C51D6">
              <w:rPr>
                <w:rFonts w:eastAsia="Arial"/>
                <w:sz w:val="20"/>
                <w:szCs w:val="20"/>
              </w:rPr>
              <w:t>-</w:t>
            </w:r>
          </w:p>
        </w:tc>
      </w:tr>
      <w:tr w:rsidR="00871EE7" w:rsidRPr="007C51D6" w:rsidTr="00871EE7">
        <w:tc>
          <w:tcPr>
            <w:tcW w:w="2120" w:type="dxa"/>
          </w:tcPr>
          <w:p w:rsidR="00871EE7" w:rsidRPr="007C51D6" w:rsidRDefault="00871EE7" w:rsidP="00871EE7">
            <w:pPr>
              <w:jc w:val="both"/>
              <w:rPr>
                <w:sz w:val="20"/>
                <w:szCs w:val="20"/>
              </w:rPr>
            </w:pPr>
            <w:r w:rsidRPr="007C51D6">
              <w:rPr>
                <w:color w:val="000000"/>
                <w:sz w:val="20"/>
                <w:szCs w:val="20"/>
              </w:rPr>
              <w:t>Приволжcкий федеральный округ</w:t>
            </w:r>
          </w:p>
        </w:tc>
        <w:tc>
          <w:tcPr>
            <w:tcW w:w="1699" w:type="dxa"/>
            <w:vMerge/>
          </w:tcPr>
          <w:p w:rsidR="00871EE7" w:rsidRPr="007C51D6" w:rsidRDefault="00871EE7" w:rsidP="00871EE7">
            <w:pPr>
              <w:spacing w:line="230" w:lineRule="auto"/>
              <w:rPr>
                <w:rFonts w:eastAsia="Arial"/>
                <w:sz w:val="20"/>
                <w:szCs w:val="20"/>
              </w:rPr>
            </w:pPr>
          </w:p>
        </w:tc>
        <w:tc>
          <w:tcPr>
            <w:tcW w:w="991" w:type="dxa"/>
          </w:tcPr>
          <w:p w:rsidR="00871EE7" w:rsidRPr="007C51D6" w:rsidRDefault="00871EE7" w:rsidP="00871EE7">
            <w:pPr>
              <w:spacing w:line="230" w:lineRule="auto"/>
              <w:jc w:val="center"/>
              <w:rPr>
                <w:color w:val="000000"/>
                <w:sz w:val="20"/>
                <w:szCs w:val="20"/>
              </w:rPr>
            </w:pPr>
            <w:r w:rsidRPr="007C51D6">
              <w:rPr>
                <w:color w:val="000000"/>
                <w:sz w:val="20"/>
                <w:szCs w:val="20"/>
              </w:rPr>
              <w:t>430,68</w:t>
            </w:r>
          </w:p>
        </w:tc>
        <w:tc>
          <w:tcPr>
            <w:tcW w:w="992" w:type="dxa"/>
          </w:tcPr>
          <w:p w:rsidR="00871EE7" w:rsidRPr="007C51D6" w:rsidRDefault="00871EE7" w:rsidP="00871EE7">
            <w:pPr>
              <w:spacing w:line="230" w:lineRule="auto"/>
              <w:jc w:val="center"/>
              <w:rPr>
                <w:color w:val="000000"/>
                <w:sz w:val="20"/>
                <w:szCs w:val="20"/>
              </w:rPr>
            </w:pPr>
            <w:r w:rsidRPr="007C51D6">
              <w:rPr>
                <w:color w:val="000000"/>
                <w:sz w:val="20"/>
                <w:szCs w:val="20"/>
              </w:rPr>
              <w:t>442,99</w:t>
            </w:r>
          </w:p>
        </w:tc>
        <w:tc>
          <w:tcPr>
            <w:tcW w:w="992" w:type="dxa"/>
          </w:tcPr>
          <w:p w:rsidR="00871EE7" w:rsidRPr="007C51D6" w:rsidRDefault="00871EE7" w:rsidP="00871EE7">
            <w:pPr>
              <w:spacing w:line="230" w:lineRule="auto"/>
              <w:jc w:val="center"/>
              <w:rPr>
                <w:color w:val="000000"/>
                <w:sz w:val="20"/>
                <w:szCs w:val="20"/>
              </w:rPr>
            </w:pPr>
            <w:r w:rsidRPr="007C51D6">
              <w:rPr>
                <w:color w:val="000000"/>
                <w:sz w:val="20"/>
                <w:szCs w:val="20"/>
              </w:rPr>
              <w:t>441,68</w:t>
            </w:r>
          </w:p>
        </w:tc>
        <w:tc>
          <w:tcPr>
            <w:tcW w:w="993" w:type="dxa"/>
          </w:tcPr>
          <w:p w:rsidR="00871EE7" w:rsidRPr="007C51D6" w:rsidRDefault="00871EE7" w:rsidP="00871EE7">
            <w:pPr>
              <w:spacing w:line="230" w:lineRule="auto"/>
              <w:jc w:val="center"/>
              <w:rPr>
                <w:color w:val="000000"/>
                <w:sz w:val="20"/>
                <w:szCs w:val="20"/>
              </w:rPr>
            </w:pPr>
            <w:r w:rsidRPr="007C51D6">
              <w:rPr>
                <w:color w:val="000000"/>
                <w:sz w:val="20"/>
                <w:szCs w:val="20"/>
              </w:rPr>
              <w:t>450,50</w:t>
            </w:r>
          </w:p>
        </w:tc>
        <w:tc>
          <w:tcPr>
            <w:tcW w:w="992" w:type="dxa"/>
          </w:tcPr>
          <w:p w:rsidR="00871EE7" w:rsidRPr="007C51D6" w:rsidRDefault="00871EE7" w:rsidP="00871EE7">
            <w:pPr>
              <w:spacing w:line="230" w:lineRule="auto"/>
              <w:jc w:val="center"/>
              <w:rPr>
                <w:color w:val="000000"/>
                <w:sz w:val="20"/>
                <w:szCs w:val="20"/>
              </w:rPr>
            </w:pPr>
            <w:r w:rsidRPr="007C51D6">
              <w:rPr>
                <w:color w:val="000000"/>
                <w:sz w:val="20"/>
                <w:szCs w:val="20"/>
              </w:rPr>
              <w:t>407,96</w:t>
            </w:r>
          </w:p>
        </w:tc>
        <w:tc>
          <w:tcPr>
            <w:tcW w:w="935" w:type="dxa"/>
          </w:tcPr>
          <w:p w:rsidR="00871EE7" w:rsidRPr="007C51D6" w:rsidRDefault="00871EE7" w:rsidP="00871EE7">
            <w:pPr>
              <w:spacing w:line="230" w:lineRule="auto"/>
              <w:jc w:val="center"/>
              <w:rPr>
                <w:color w:val="000000"/>
                <w:sz w:val="20"/>
                <w:szCs w:val="20"/>
              </w:rPr>
            </w:pPr>
            <w:r w:rsidRPr="007C51D6">
              <w:rPr>
                <w:color w:val="000000"/>
                <w:sz w:val="20"/>
                <w:szCs w:val="20"/>
              </w:rPr>
              <w:t>426,68</w:t>
            </w:r>
          </w:p>
        </w:tc>
        <w:tc>
          <w:tcPr>
            <w:tcW w:w="935" w:type="dxa"/>
          </w:tcPr>
          <w:p w:rsidR="00871EE7" w:rsidRPr="007C51D6" w:rsidRDefault="00871EE7" w:rsidP="00871EE7">
            <w:pPr>
              <w:jc w:val="center"/>
              <w:rPr>
                <w:sz w:val="20"/>
                <w:szCs w:val="20"/>
              </w:rPr>
            </w:pPr>
            <w:r w:rsidRPr="007C51D6">
              <w:rPr>
                <w:color w:val="000000"/>
                <w:sz w:val="20"/>
                <w:szCs w:val="20"/>
              </w:rPr>
              <w:t>460,07</w:t>
            </w:r>
          </w:p>
        </w:tc>
        <w:tc>
          <w:tcPr>
            <w:tcW w:w="961" w:type="dxa"/>
          </w:tcPr>
          <w:p w:rsidR="00871EE7" w:rsidRPr="007C51D6" w:rsidRDefault="00871EE7" w:rsidP="00871EE7">
            <w:pPr>
              <w:spacing w:line="230" w:lineRule="auto"/>
              <w:jc w:val="center"/>
              <w:rPr>
                <w:color w:val="000000"/>
                <w:sz w:val="20"/>
                <w:szCs w:val="20"/>
              </w:rPr>
            </w:pPr>
            <w:r w:rsidRPr="007C51D6">
              <w:rPr>
                <w:color w:val="000000"/>
                <w:sz w:val="20"/>
                <w:szCs w:val="20"/>
              </w:rPr>
              <w:t>499,35</w:t>
            </w:r>
          </w:p>
        </w:tc>
        <w:tc>
          <w:tcPr>
            <w:tcW w:w="950" w:type="dxa"/>
          </w:tcPr>
          <w:p w:rsidR="00871EE7" w:rsidRPr="007C51D6" w:rsidRDefault="00871EE7" w:rsidP="00871EE7">
            <w:pPr>
              <w:jc w:val="center"/>
              <w:rPr>
                <w:color w:val="000000"/>
                <w:sz w:val="20"/>
                <w:szCs w:val="20"/>
              </w:rPr>
            </w:pPr>
            <w:r w:rsidRPr="007C51D6">
              <w:rPr>
                <w:color w:val="000000"/>
                <w:sz w:val="20"/>
                <w:szCs w:val="20"/>
              </w:rPr>
              <w:t>521,27</w:t>
            </w:r>
          </w:p>
        </w:tc>
        <w:tc>
          <w:tcPr>
            <w:tcW w:w="1044" w:type="dxa"/>
          </w:tcPr>
          <w:p w:rsidR="00871EE7" w:rsidRPr="007C51D6" w:rsidRDefault="00871EE7" w:rsidP="00871EE7">
            <w:pPr>
              <w:jc w:val="center"/>
              <w:rPr>
                <w:color w:val="000000"/>
                <w:sz w:val="20"/>
                <w:szCs w:val="20"/>
              </w:rPr>
            </w:pPr>
            <w:r w:rsidRPr="007C51D6">
              <w:rPr>
                <w:color w:val="000000"/>
                <w:sz w:val="20"/>
                <w:szCs w:val="20"/>
              </w:rPr>
              <w:t>нет</w:t>
            </w:r>
          </w:p>
          <w:p w:rsidR="00871EE7" w:rsidRPr="007C51D6" w:rsidRDefault="00871EE7" w:rsidP="00871EE7">
            <w:pPr>
              <w:jc w:val="center"/>
              <w:rPr>
                <w:color w:val="000000"/>
                <w:sz w:val="20"/>
                <w:szCs w:val="20"/>
              </w:rPr>
            </w:pPr>
            <w:r w:rsidRPr="007C51D6">
              <w:rPr>
                <w:color w:val="000000"/>
                <w:sz w:val="20"/>
                <w:szCs w:val="20"/>
              </w:rPr>
              <w:t>данных</w:t>
            </w:r>
          </w:p>
        </w:tc>
        <w:tc>
          <w:tcPr>
            <w:tcW w:w="1700" w:type="dxa"/>
            <w:gridSpan w:val="2"/>
          </w:tcPr>
          <w:p w:rsidR="00871EE7" w:rsidRPr="007C51D6" w:rsidRDefault="00871EE7" w:rsidP="00871EE7">
            <w:pPr>
              <w:spacing w:line="230" w:lineRule="auto"/>
              <w:jc w:val="center"/>
              <w:rPr>
                <w:rFonts w:eastAsia="Arial"/>
                <w:sz w:val="20"/>
                <w:szCs w:val="20"/>
              </w:rPr>
            </w:pPr>
            <w:r w:rsidRPr="007C51D6">
              <w:rPr>
                <w:rFonts w:eastAsia="Arial"/>
                <w:sz w:val="20"/>
                <w:szCs w:val="20"/>
              </w:rPr>
              <w:t>-</w:t>
            </w:r>
          </w:p>
        </w:tc>
      </w:tr>
      <w:tr w:rsidR="00871EE7" w:rsidRPr="007C51D6" w:rsidTr="00871EE7">
        <w:tc>
          <w:tcPr>
            <w:tcW w:w="2120" w:type="dxa"/>
          </w:tcPr>
          <w:p w:rsidR="00871EE7" w:rsidRPr="007C51D6" w:rsidRDefault="00871EE7" w:rsidP="00871EE7">
            <w:pPr>
              <w:jc w:val="both"/>
              <w:rPr>
                <w:sz w:val="20"/>
                <w:szCs w:val="20"/>
              </w:rPr>
            </w:pPr>
            <w:r w:rsidRPr="007C51D6">
              <w:rPr>
                <w:color w:val="000000"/>
                <w:sz w:val="20"/>
                <w:szCs w:val="20"/>
              </w:rPr>
              <w:t>Российская Федерация</w:t>
            </w:r>
          </w:p>
        </w:tc>
        <w:tc>
          <w:tcPr>
            <w:tcW w:w="1699" w:type="dxa"/>
            <w:vMerge/>
          </w:tcPr>
          <w:p w:rsidR="00871EE7" w:rsidRPr="007C51D6" w:rsidRDefault="00871EE7" w:rsidP="00871EE7">
            <w:pPr>
              <w:spacing w:line="230" w:lineRule="auto"/>
              <w:rPr>
                <w:rFonts w:eastAsia="Arial"/>
                <w:sz w:val="20"/>
                <w:szCs w:val="20"/>
              </w:rPr>
            </w:pPr>
          </w:p>
        </w:tc>
        <w:tc>
          <w:tcPr>
            <w:tcW w:w="991" w:type="dxa"/>
          </w:tcPr>
          <w:p w:rsidR="00871EE7" w:rsidRPr="007C51D6" w:rsidRDefault="00871EE7" w:rsidP="00871EE7">
            <w:pPr>
              <w:spacing w:line="230" w:lineRule="auto"/>
              <w:jc w:val="center"/>
              <w:rPr>
                <w:color w:val="000000"/>
                <w:sz w:val="20"/>
                <w:szCs w:val="20"/>
              </w:rPr>
            </w:pPr>
            <w:r w:rsidRPr="007C51D6">
              <w:rPr>
                <w:color w:val="000000"/>
                <w:sz w:val="20"/>
                <w:szCs w:val="20"/>
              </w:rPr>
              <w:t>402,51</w:t>
            </w:r>
          </w:p>
        </w:tc>
        <w:tc>
          <w:tcPr>
            <w:tcW w:w="992" w:type="dxa"/>
          </w:tcPr>
          <w:p w:rsidR="00871EE7" w:rsidRPr="007C51D6" w:rsidRDefault="00871EE7" w:rsidP="00871EE7">
            <w:pPr>
              <w:spacing w:line="230" w:lineRule="auto"/>
              <w:jc w:val="center"/>
              <w:rPr>
                <w:color w:val="000000"/>
                <w:sz w:val="20"/>
                <w:szCs w:val="20"/>
              </w:rPr>
            </w:pPr>
            <w:r w:rsidRPr="007C51D6">
              <w:rPr>
                <w:color w:val="000000"/>
                <w:sz w:val="20"/>
                <w:szCs w:val="20"/>
              </w:rPr>
              <w:t>414,06</w:t>
            </w:r>
          </w:p>
        </w:tc>
        <w:tc>
          <w:tcPr>
            <w:tcW w:w="992" w:type="dxa"/>
          </w:tcPr>
          <w:p w:rsidR="00871EE7" w:rsidRPr="007C51D6" w:rsidRDefault="00871EE7" w:rsidP="00871EE7">
            <w:pPr>
              <w:spacing w:line="230" w:lineRule="auto"/>
              <w:jc w:val="center"/>
              <w:rPr>
                <w:color w:val="000000"/>
                <w:sz w:val="20"/>
                <w:szCs w:val="20"/>
              </w:rPr>
            </w:pPr>
            <w:r w:rsidRPr="007C51D6">
              <w:rPr>
                <w:color w:val="000000"/>
                <w:sz w:val="20"/>
                <w:szCs w:val="20"/>
              </w:rPr>
              <w:t>419,85</w:t>
            </w:r>
          </w:p>
        </w:tc>
        <w:tc>
          <w:tcPr>
            <w:tcW w:w="993" w:type="dxa"/>
          </w:tcPr>
          <w:p w:rsidR="00871EE7" w:rsidRPr="007C51D6" w:rsidRDefault="00871EE7" w:rsidP="00871EE7">
            <w:pPr>
              <w:spacing w:line="230" w:lineRule="auto"/>
              <w:jc w:val="center"/>
              <w:rPr>
                <w:color w:val="000000"/>
                <w:sz w:val="20"/>
                <w:szCs w:val="20"/>
              </w:rPr>
            </w:pPr>
            <w:r w:rsidRPr="007C51D6">
              <w:rPr>
                <w:color w:val="000000"/>
                <w:sz w:val="20"/>
                <w:szCs w:val="20"/>
              </w:rPr>
              <w:t>427,98</w:t>
            </w:r>
          </w:p>
        </w:tc>
        <w:tc>
          <w:tcPr>
            <w:tcW w:w="992" w:type="dxa"/>
          </w:tcPr>
          <w:p w:rsidR="00871EE7" w:rsidRPr="007C51D6" w:rsidRDefault="00871EE7" w:rsidP="00871EE7">
            <w:pPr>
              <w:spacing w:line="230" w:lineRule="auto"/>
              <w:jc w:val="center"/>
              <w:rPr>
                <w:color w:val="000000"/>
                <w:sz w:val="20"/>
                <w:szCs w:val="20"/>
              </w:rPr>
            </w:pPr>
            <w:r w:rsidRPr="007C51D6">
              <w:rPr>
                <w:color w:val="000000"/>
                <w:sz w:val="20"/>
                <w:szCs w:val="20"/>
              </w:rPr>
              <w:t>376,65</w:t>
            </w:r>
          </w:p>
        </w:tc>
        <w:tc>
          <w:tcPr>
            <w:tcW w:w="935" w:type="dxa"/>
          </w:tcPr>
          <w:p w:rsidR="00871EE7" w:rsidRPr="007C51D6" w:rsidRDefault="00871EE7" w:rsidP="00871EE7">
            <w:pPr>
              <w:spacing w:line="230" w:lineRule="auto"/>
              <w:jc w:val="center"/>
              <w:rPr>
                <w:color w:val="000000"/>
                <w:sz w:val="20"/>
                <w:szCs w:val="20"/>
              </w:rPr>
            </w:pPr>
            <w:r w:rsidRPr="007C51D6">
              <w:rPr>
                <w:color w:val="000000"/>
                <w:sz w:val="20"/>
                <w:szCs w:val="20"/>
              </w:rPr>
              <w:t>391,20</w:t>
            </w:r>
          </w:p>
        </w:tc>
        <w:tc>
          <w:tcPr>
            <w:tcW w:w="935" w:type="dxa"/>
          </w:tcPr>
          <w:p w:rsidR="00871EE7" w:rsidRPr="007C51D6" w:rsidRDefault="00871EE7" w:rsidP="00871EE7">
            <w:pPr>
              <w:jc w:val="center"/>
              <w:rPr>
                <w:sz w:val="20"/>
                <w:szCs w:val="20"/>
              </w:rPr>
            </w:pPr>
            <w:r w:rsidRPr="007C51D6">
              <w:rPr>
                <w:color w:val="000000"/>
                <w:sz w:val="20"/>
                <w:szCs w:val="20"/>
              </w:rPr>
              <w:t>415,0</w:t>
            </w:r>
          </w:p>
        </w:tc>
        <w:tc>
          <w:tcPr>
            <w:tcW w:w="961" w:type="dxa"/>
          </w:tcPr>
          <w:p w:rsidR="00871EE7" w:rsidRPr="007C51D6" w:rsidRDefault="00871EE7" w:rsidP="00871EE7">
            <w:pPr>
              <w:spacing w:line="230" w:lineRule="auto"/>
              <w:jc w:val="center"/>
              <w:rPr>
                <w:color w:val="000000"/>
                <w:sz w:val="20"/>
                <w:szCs w:val="20"/>
              </w:rPr>
            </w:pPr>
            <w:r w:rsidRPr="007C51D6">
              <w:rPr>
                <w:color w:val="000000"/>
                <w:sz w:val="20"/>
                <w:szCs w:val="20"/>
              </w:rPr>
              <w:t>452,77</w:t>
            </w:r>
          </w:p>
        </w:tc>
        <w:tc>
          <w:tcPr>
            <w:tcW w:w="950" w:type="dxa"/>
          </w:tcPr>
          <w:p w:rsidR="00871EE7" w:rsidRPr="007C51D6" w:rsidRDefault="00871EE7" w:rsidP="00871EE7">
            <w:pPr>
              <w:jc w:val="center"/>
              <w:rPr>
                <w:color w:val="000000"/>
                <w:sz w:val="20"/>
                <w:szCs w:val="20"/>
              </w:rPr>
            </w:pPr>
            <w:r w:rsidRPr="007C51D6">
              <w:rPr>
                <w:color w:val="000000"/>
                <w:sz w:val="20"/>
                <w:szCs w:val="20"/>
              </w:rPr>
              <w:t>474,23</w:t>
            </w:r>
          </w:p>
        </w:tc>
        <w:tc>
          <w:tcPr>
            <w:tcW w:w="1044" w:type="dxa"/>
          </w:tcPr>
          <w:p w:rsidR="00871EE7" w:rsidRPr="007C51D6" w:rsidRDefault="00871EE7" w:rsidP="00871EE7">
            <w:pPr>
              <w:jc w:val="center"/>
              <w:rPr>
                <w:color w:val="000000"/>
                <w:sz w:val="20"/>
                <w:szCs w:val="20"/>
              </w:rPr>
            </w:pPr>
            <w:r w:rsidRPr="007C51D6">
              <w:rPr>
                <w:color w:val="000000"/>
                <w:sz w:val="20"/>
                <w:szCs w:val="20"/>
              </w:rPr>
              <w:t>нет</w:t>
            </w:r>
          </w:p>
          <w:p w:rsidR="00871EE7" w:rsidRPr="007C51D6" w:rsidRDefault="00871EE7" w:rsidP="00871EE7">
            <w:pPr>
              <w:jc w:val="center"/>
              <w:rPr>
                <w:color w:val="000000"/>
                <w:sz w:val="20"/>
                <w:szCs w:val="20"/>
              </w:rPr>
            </w:pPr>
            <w:r w:rsidRPr="007C51D6">
              <w:rPr>
                <w:color w:val="000000"/>
                <w:sz w:val="20"/>
                <w:szCs w:val="20"/>
              </w:rPr>
              <w:t>данных</w:t>
            </w:r>
          </w:p>
        </w:tc>
        <w:tc>
          <w:tcPr>
            <w:tcW w:w="1700" w:type="dxa"/>
            <w:gridSpan w:val="2"/>
          </w:tcPr>
          <w:p w:rsidR="00871EE7" w:rsidRPr="007C51D6" w:rsidRDefault="00871EE7" w:rsidP="00871EE7">
            <w:pPr>
              <w:spacing w:line="230" w:lineRule="auto"/>
              <w:jc w:val="center"/>
              <w:rPr>
                <w:rFonts w:eastAsia="Arial"/>
                <w:sz w:val="20"/>
                <w:szCs w:val="20"/>
              </w:rPr>
            </w:pPr>
            <w:r w:rsidRPr="007C51D6">
              <w:rPr>
                <w:rFonts w:eastAsia="Arial"/>
                <w:sz w:val="20"/>
                <w:szCs w:val="20"/>
              </w:rPr>
              <w:t>-</w:t>
            </w:r>
          </w:p>
        </w:tc>
      </w:tr>
      <w:tr w:rsidR="00871EE7" w:rsidRPr="007C51D6" w:rsidTr="00871EE7">
        <w:tc>
          <w:tcPr>
            <w:tcW w:w="2120" w:type="dxa"/>
          </w:tcPr>
          <w:p w:rsidR="00871EE7" w:rsidRPr="007C51D6" w:rsidRDefault="00871EE7" w:rsidP="00871EE7">
            <w:pPr>
              <w:spacing w:line="230" w:lineRule="auto"/>
              <w:jc w:val="both"/>
              <w:rPr>
                <w:rFonts w:eastAsia="Arial"/>
                <w:sz w:val="20"/>
                <w:szCs w:val="20"/>
              </w:rPr>
            </w:pPr>
            <w:r w:rsidRPr="007C51D6">
              <w:rPr>
                <w:rFonts w:eastAsia="Arial"/>
                <w:sz w:val="20"/>
                <w:szCs w:val="20"/>
              </w:rPr>
              <w:t>Республика Татарстан</w:t>
            </w:r>
          </w:p>
        </w:tc>
        <w:tc>
          <w:tcPr>
            <w:tcW w:w="1699" w:type="dxa"/>
            <w:vMerge w:val="restart"/>
          </w:tcPr>
          <w:p w:rsidR="00871EE7" w:rsidRPr="007C51D6" w:rsidRDefault="00871EE7" w:rsidP="00871EE7">
            <w:pPr>
              <w:spacing w:line="230" w:lineRule="auto"/>
              <w:rPr>
                <w:rFonts w:eastAsia="Arial"/>
                <w:sz w:val="20"/>
                <w:szCs w:val="20"/>
              </w:rPr>
            </w:pPr>
            <w:r w:rsidRPr="007C51D6">
              <w:rPr>
                <w:rFonts w:eastAsia="Arial"/>
                <w:sz w:val="20"/>
                <w:szCs w:val="20"/>
              </w:rPr>
              <w:t>стандартизованный</w:t>
            </w:r>
          </w:p>
        </w:tc>
        <w:tc>
          <w:tcPr>
            <w:tcW w:w="991" w:type="dxa"/>
          </w:tcPr>
          <w:p w:rsidR="00871EE7" w:rsidRPr="007C51D6" w:rsidRDefault="00871EE7" w:rsidP="00871EE7">
            <w:pPr>
              <w:spacing w:line="276" w:lineRule="auto"/>
              <w:jc w:val="center"/>
              <w:rPr>
                <w:color w:val="000000"/>
                <w:sz w:val="20"/>
                <w:szCs w:val="20"/>
              </w:rPr>
            </w:pPr>
            <w:r w:rsidRPr="007C51D6">
              <w:rPr>
                <w:color w:val="000000"/>
                <w:sz w:val="20"/>
                <w:szCs w:val="20"/>
              </w:rPr>
              <w:t>298,63</w:t>
            </w:r>
          </w:p>
        </w:tc>
        <w:tc>
          <w:tcPr>
            <w:tcW w:w="992" w:type="dxa"/>
          </w:tcPr>
          <w:p w:rsidR="00871EE7" w:rsidRPr="007C51D6" w:rsidRDefault="00871EE7" w:rsidP="00871EE7">
            <w:pPr>
              <w:spacing w:line="276" w:lineRule="auto"/>
              <w:jc w:val="center"/>
              <w:rPr>
                <w:color w:val="000000"/>
                <w:sz w:val="20"/>
                <w:szCs w:val="20"/>
              </w:rPr>
            </w:pPr>
            <w:r w:rsidRPr="007C51D6">
              <w:rPr>
                <w:color w:val="000000"/>
                <w:sz w:val="20"/>
                <w:szCs w:val="20"/>
              </w:rPr>
              <w:t>302,36</w:t>
            </w:r>
          </w:p>
        </w:tc>
        <w:tc>
          <w:tcPr>
            <w:tcW w:w="992" w:type="dxa"/>
          </w:tcPr>
          <w:p w:rsidR="00871EE7" w:rsidRPr="007C51D6" w:rsidRDefault="00871EE7" w:rsidP="00871EE7">
            <w:pPr>
              <w:spacing w:line="276" w:lineRule="auto"/>
              <w:jc w:val="center"/>
              <w:rPr>
                <w:color w:val="000000"/>
                <w:sz w:val="20"/>
                <w:szCs w:val="20"/>
              </w:rPr>
            </w:pPr>
            <w:r w:rsidRPr="007C51D6">
              <w:rPr>
                <w:color w:val="000000"/>
                <w:sz w:val="20"/>
                <w:szCs w:val="20"/>
              </w:rPr>
              <w:t>295,75</w:t>
            </w:r>
          </w:p>
        </w:tc>
        <w:tc>
          <w:tcPr>
            <w:tcW w:w="993" w:type="dxa"/>
          </w:tcPr>
          <w:p w:rsidR="00871EE7" w:rsidRPr="007C51D6" w:rsidRDefault="00871EE7" w:rsidP="00871EE7">
            <w:pPr>
              <w:spacing w:line="276" w:lineRule="auto"/>
              <w:jc w:val="center"/>
              <w:rPr>
                <w:color w:val="000000"/>
                <w:sz w:val="20"/>
                <w:szCs w:val="20"/>
              </w:rPr>
            </w:pPr>
            <w:r w:rsidRPr="007C51D6">
              <w:rPr>
                <w:color w:val="000000"/>
                <w:sz w:val="20"/>
                <w:szCs w:val="20"/>
              </w:rPr>
              <w:t>285,24</w:t>
            </w:r>
          </w:p>
        </w:tc>
        <w:tc>
          <w:tcPr>
            <w:tcW w:w="992" w:type="dxa"/>
          </w:tcPr>
          <w:p w:rsidR="00871EE7" w:rsidRPr="007C51D6" w:rsidRDefault="00871EE7" w:rsidP="00871EE7">
            <w:pPr>
              <w:spacing w:line="276" w:lineRule="auto"/>
              <w:jc w:val="center"/>
              <w:rPr>
                <w:color w:val="000000"/>
                <w:sz w:val="20"/>
                <w:szCs w:val="20"/>
              </w:rPr>
            </w:pPr>
            <w:r w:rsidRPr="007C51D6">
              <w:rPr>
                <w:color w:val="000000"/>
                <w:sz w:val="20"/>
                <w:szCs w:val="20"/>
              </w:rPr>
              <w:t>251,13</w:t>
            </w:r>
          </w:p>
        </w:tc>
        <w:tc>
          <w:tcPr>
            <w:tcW w:w="935" w:type="dxa"/>
          </w:tcPr>
          <w:p w:rsidR="00871EE7" w:rsidRPr="007C51D6" w:rsidRDefault="00871EE7" w:rsidP="00871EE7">
            <w:pPr>
              <w:spacing w:line="276" w:lineRule="auto"/>
              <w:jc w:val="center"/>
              <w:rPr>
                <w:color w:val="000000"/>
                <w:sz w:val="20"/>
                <w:szCs w:val="20"/>
              </w:rPr>
            </w:pPr>
            <w:r w:rsidRPr="007C51D6">
              <w:rPr>
                <w:color w:val="000000"/>
                <w:sz w:val="20"/>
                <w:szCs w:val="20"/>
              </w:rPr>
              <w:t>277,48</w:t>
            </w:r>
          </w:p>
        </w:tc>
        <w:tc>
          <w:tcPr>
            <w:tcW w:w="935" w:type="dxa"/>
          </w:tcPr>
          <w:p w:rsidR="00871EE7" w:rsidRPr="007C51D6" w:rsidRDefault="00871EE7" w:rsidP="00871EE7">
            <w:pPr>
              <w:spacing w:line="276" w:lineRule="auto"/>
              <w:jc w:val="center"/>
              <w:rPr>
                <w:color w:val="000000"/>
                <w:sz w:val="20"/>
                <w:szCs w:val="20"/>
              </w:rPr>
            </w:pPr>
            <w:r w:rsidRPr="007C51D6">
              <w:rPr>
                <w:color w:val="000000"/>
                <w:sz w:val="20"/>
                <w:szCs w:val="20"/>
              </w:rPr>
              <w:t>269,92</w:t>
            </w:r>
          </w:p>
        </w:tc>
        <w:tc>
          <w:tcPr>
            <w:tcW w:w="961" w:type="dxa"/>
          </w:tcPr>
          <w:p w:rsidR="00871EE7" w:rsidRPr="007C51D6" w:rsidRDefault="00871EE7" w:rsidP="00871EE7">
            <w:pPr>
              <w:spacing w:line="276" w:lineRule="auto"/>
              <w:jc w:val="center"/>
              <w:rPr>
                <w:color w:val="000000"/>
                <w:sz w:val="20"/>
                <w:szCs w:val="20"/>
              </w:rPr>
            </w:pPr>
            <w:r w:rsidRPr="007C51D6">
              <w:rPr>
                <w:color w:val="000000"/>
                <w:sz w:val="20"/>
                <w:szCs w:val="20"/>
              </w:rPr>
              <w:t>278,60</w:t>
            </w:r>
          </w:p>
        </w:tc>
        <w:tc>
          <w:tcPr>
            <w:tcW w:w="950" w:type="dxa"/>
          </w:tcPr>
          <w:p w:rsidR="00871EE7" w:rsidRPr="007C51D6" w:rsidRDefault="00871EE7" w:rsidP="00871EE7">
            <w:pPr>
              <w:spacing w:line="276" w:lineRule="auto"/>
              <w:jc w:val="center"/>
              <w:rPr>
                <w:color w:val="000000"/>
                <w:sz w:val="20"/>
                <w:szCs w:val="20"/>
              </w:rPr>
            </w:pPr>
            <w:r w:rsidRPr="007C51D6">
              <w:rPr>
                <w:color w:val="000000"/>
                <w:sz w:val="20"/>
                <w:szCs w:val="20"/>
              </w:rPr>
              <w:t>291,42</w:t>
            </w:r>
          </w:p>
        </w:tc>
        <w:tc>
          <w:tcPr>
            <w:tcW w:w="1044" w:type="dxa"/>
          </w:tcPr>
          <w:p w:rsidR="00871EE7" w:rsidRPr="007C51D6" w:rsidRDefault="00871EE7" w:rsidP="00871EE7">
            <w:pPr>
              <w:jc w:val="center"/>
              <w:rPr>
                <w:color w:val="000000"/>
                <w:sz w:val="20"/>
                <w:szCs w:val="20"/>
              </w:rPr>
            </w:pPr>
            <w:r w:rsidRPr="007C51D6">
              <w:rPr>
                <w:color w:val="000000"/>
                <w:sz w:val="20"/>
                <w:szCs w:val="20"/>
              </w:rPr>
              <w:t>нет</w:t>
            </w:r>
          </w:p>
          <w:p w:rsidR="00871EE7" w:rsidRPr="007C51D6" w:rsidRDefault="00871EE7" w:rsidP="00871EE7">
            <w:pPr>
              <w:spacing w:line="276" w:lineRule="auto"/>
              <w:jc w:val="center"/>
              <w:rPr>
                <w:color w:val="000000"/>
                <w:sz w:val="20"/>
                <w:szCs w:val="20"/>
              </w:rPr>
            </w:pPr>
            <w:r w:rsidRPr="007C51D6">
              <w:rPr>
                <w:color w:val="000000"/>
                <w:sz w:val="20"/>
                <w:szCs w:val="20"/>
              </w:rPr>
              <w:t>данных</w:t>
            </w:r>
          </w:p>
        </w:tc>
        <w:tc>
          <w:tcPr>
            <w:tcW w:w="1700" w:type="dxa"/>
            <w:gridSpan w:val="2"/>
          </w:tcPr>
          <w:p w:rsidR="00871EE7" w:rsidRPr="007C51D6" w:rsidRDefault="00871EE7" w:rsidP="00871EE7">
            <w:pPr>
              <w:spacing w:line="230" w:lineRule="auto"/>
              <w:jc w:val="center"/>
              <w:rPr>
                <w:rFonts w:eastAsia="Arial"/>
                <w:sz w:val="20"/>
                <w:szCs w:val="20"/>
              </w:rPr>
            </w:pPr>
            <w:r w:rsidRPr="007C51D6">
              <w:rPr>
                <w:rFonts w:eastAsia="Arial"/>
                <w:sz w:val="20"/>
                <w:szCs w:val="20"/>
              </w:rPr>
              <w:t>-</w:t>
            </w:r>
          </w:p>
        </w:tc>
      </w:tr>
      <w:tr w:rsidR="00871EE7" w:rsidRPr="007C51D6" w:rsidTr="00871EE7">
        <w:tc>
          <w:tcPr>
            <w:tcW w:w="2120" w:type="dxa"/>
          </w:tcPr>
          <w:p w:rsidR="00871EE7" w:rsidRPr="007C51D6" w:rsidRDefault="00871EE7" w:rsidP="00871EE7">
            <w:pPr>
              <w:jc w:val="both"/>
              <w:rPr>
                <w:sz w:val="20"/>
                <w:szCs w:val="20"/>
              </w:rPr>
            </w:pPr>
            <w:r w:rsidRPr="007C51D6">
              <w:rPr>
                <w:color w:val="000000"/>
                <w:sz w:val="20"/>
                <w:szCs w:val="20"/>
              </w:rPr>
              <w:t>Приволжcкий федеральный округ</w:t>
            </w:r>
          </w:p>
        </w:tc>
        <w:tc>
          <w:tcPr>
            <w:tcW w:w="1699" w:type="dxa"/>
            <w:vMerge/>
          </w:tcPr>
          <w:p w:rsidR="00871EE7" w:rsidRPr="007C51D6" w:rsidRDefault="00871EE7" w:rsidP="00871EE7">
            <w:pPr>
              <w:spacing w:line="230" w:lineRule="auto"/>
              <w:rPr>
                <w:rFonts w:eastAsia="Arial"/>
                <w:sz w:val="20"/>
                <w:szCs w:val="20"/>
              </w:rPr>
            </w:pPr>
          </w:p>
        </w:tc>
        <w:tc>
          <w:tcPr>
            <w:tcW w:w="991" w:type="dxa"/>
          </w:tcPr>
          <w:p w:rsidR="00871EE7" w:rsidRPr="007C51D6" w:rsidRDefault="00871EE7" w:rsidP="00871EE7">
            <w:pPr>
              <w:spacing w:line="276" w:lineRule="auto"/>
              <w:jc w:val="center"/>
              <w:rPr>
                <w:color w:val="000000"/>
                <w:sz w:val="20"/>
                <w:szCs w:val="20"/>
              </w:rPr>
            </w:pPr>
            <w:r w:rsidRPr="007C51D6">
              <w:rPr>
                <w:color w:val="000000"/>
                <w:sz w:val="20"/>
                <w:szCs w:val="20"/>
              </w:rPr>
              <w:t>297,72</w:t>
            </w:r>
          </w:p>
        </w:tc>
        <w:tc>
          <w:tcPr>
            <w:tcW w:w="992" w:type="dxa"/>
          </w:tcPr>
          <w:p w:rsidR="00871EE7" w:rsidRPr="007C51D6" w:rsidRDefault="00871EE7" w:rsidP="00871EE7">
            <w:pPr>
              <w:spacing w:line="276" w:lineRule="auto"/>
              <w:jc w:val="center"/>
              <w:rPr>
                <w:color w:val="000000"/>
                <w:sz w:val="20"/>
                <w:szCs w:val="20"/>
              </w:rPr>
            </w:pPr>
            <w:r w:rsidRPr="007C51D6">
              <w:rPr>
                <w:color w:val="000000"/>
                <w:sz w:val="20"/>
                <w:szCs w:val="20"/>
              </w:rPr>
              <w:t>301,88</w:t>
            </w:r>
          </w:p>
        </w:tc>
        <w:tc>
          <w:tcPr>
            <w:tcW w:w="992" w:type="dxa"/>
          </w:tcPr>
          <w:p w:rsidR="00871EE7" w:rsidRPr="007C51D6" w:rsidRDefault="00871EE7" w:rsidP="00871EE7">
            <w:pPr>
              <w:spacing w:line="276" w:lineRule="auto"/>
              <w:jc w:val="center"/>
              <w:rPr>
                <w:color w:val="000000"/>
                <w:sz w:val="20"/>
                <w:szCs w:val="20"/>
              </w:rPr>
            </w:pPr>
            <w:r w:rsidRPr="007C51D6">
              <w:rPr>
                <w:color w:val="000000"/>
                <w:sz w:val="20"/>
                <w:szCs w:val="20"/>
              </w:rPr>
              <w:t>295,93</w:t>
            </w:r>
          </w:p>
        </w:tc>
        <w:tc>
          <w:tcPr>
            <w:tcW w:w="993" w:type="dxa"/>
          </w:tcPr>
          <w:p w:rsidR="00871EE7" w:rsidRPr="007C51D6" w:rsidRDefault="00871EE7" w:rsidP="00871EE7">
            <w:pPr>
              <w:spacing w:line="276" w:lineRule="auto"/>
              <w:jc w:val="center"/>
              <w:rPr>
                <w:color w:val="000000"/>
                <w:sz w:val="20"/>
                <w:szCs w:val="20"/>
              </w:rPr>
            </w:pPr>
            <w:r w:rsidRPr="007C51D6">
              <w:rPr>
                <w:color w:val="000000"/>
                <w:sz w:val="20"/>
                <w:szCs w:val="20"/>
              </w:rPr>
              <w:t>295,60</w:t>
            </w:r>
          </w:p>
        </w:tc>
        <w:tc>
          <w:tcPr>
            <w:tcW w:w="992" w:type="dxa"/>
          </w:tcPr>
          <w:p w:rsidR="00871EE7" w:rsidRPr="007C51D6" w:rsidRDefault="00871EE7" w:rsidP="00871EE7">
            <w:pPr>
              <w:spacing w:line="276" w:lineRule="auto"/>
              <w:jc w:val="center"/>
              <w:rPr>
                <w:color w:val="000000"/>
                <w:sz w:val="20"/>
                <w:szCs w:val="20"/>
              </w:rPr>
            </w:pPr>
            <w:r w:rsidRPr="007C51D6">
              <w:rPr>
                <w:color w:val="000000"/>
                <w:sz w:val="20"/>
                <w:szCs w:val="20"/>
              </w:rPr>
              <w:t>263,86</w:t>
            </w:r>
          </w:p>
        </w:tc>
        <w:tc>
          <w:tcPr>
            <w:tcW w:w="935" w:type="dxa"/>
          </w:tcPr>
          <w:p w:rsidR="00871EE7" w:rsidRPr="007C51D6" w:rsidRDefault="00871EE7" w:rsidP="00871EE7">
            <w:pPr>
              <w:spacing w:line="276" w:lineRule="auto"/>
              <w:jc w:val="center"/>
              <w:rPr>
                <w:color w:val="000000"/>
                <w:sz w:val="20"/>
                <w:szCs w:val="20"/>
              </w:rPr>
            </w:pPr>
            <w:r w:rsidRPr="007C51D6">
              <w:rPr>
                <w:color w:val="000000"/>
                <w:sz w:val="20"/>
                <w:szCs w:val="20"/>
              </w:rPr>
              <w:t>272,84</w:t>
            </w:r>
          </w:p>
        </w:tc>
        <w:tc>
          <w:tcPr>
            <w:tcW w:w="935" w:type="dxa"/>
          </w:tcPr>
          <w:p w:rsidR="00871EE7" w:rsidRPr="007C51D6" w:rsidRDefault="00871EE7" w:rsidP="00871EE7">
            <w:pPr>
              <w:jc w:val="center"/>
              <w:rPr>
                <w:sz w:val="20"/>
                <w:szCs w:val="20"/>
              </w:rPr>
            </w:pPr>
            <w:r w:rsidRPr="007C51D6">
              <w:rPr>
                <w:color w:val="000000"/>
                <w:sz w:val="20"/>
                <w:szCs w:val="20"/>
              </w:rPr>
              <w:t>284,62</w:t>
            </w:r>
          </w:p>
        </w:tc>
        <w:tc>
          <w:tcPr>
            <w:tcW w:w="961" w:type="dxa"/>
          </w:tcPr>
          <w:p w:rsidR="00871EE7" w:rsidRPr="007C51D6" w:rsidRDefault="00871EE7" w:rsidP="00871EE7">
            <w:pPr>
              <w:spacing w:line="276" w:lineRule="auto"/>
              <w:jc w:val="center"/>
              <w:rPr>
                <w:color w:val="000000"/>
                <w:sz w:val="20"/>
                <w:szCs w:val="20"/>
              </w:rPr>
            </w:pPr>
            <w:r w:rsidRPr="007C51D6">
              <w:rPr>
                <w:color w:val="000000"/>
                <w:sz w:val="20"/>
                <w:szCs w:val="20"/>
              </w:rPr>
              <w:t>300,54</w:t>
            </w:r>
          </w:p>
        </w:tc>
        <w:tc>
          <w:tcPr>
            <w:tcW w:w="950" w:type="dxa"/>
          </w:tcPr>
          <w:p w:rsidR="00871EE7" w:rsidRPr="007C51D6" w:rsidRDefault="00871EE7" w:rsidP="00871EE7">
            <w:pPr>
              <w:jc w:val="center"/>
              <w:rPr>
                <w:color w:val="000000"/>
                <w:sz w:val="20"/>
                <w:szCs w:val="20"/>
              </w:rPr>
            </w:pPr>
            <w:r w:rsidRPr="007C51D6">
              <w:rPr>
                <w:color w:val="000000"/>
                <w:sz w:val="20"/>
                <w:szCs w:val="20"/>
              </w:rPr>
              <w:t>305,99</w:t>
            </w:r>
          </w:p>
        </w:tc>
        <w:tc>
          <w:tcPr>
            <w:tcW w:w="1044" w:type="dxa"/>
          </w:tcPr>
          <w:p w:rsidR="00871EE7" w:rsidRPr="007C51D6" w:rsidRDefault="00871EE7" w:rsidP="00871EE7">
            <w:pPr>
              <w:jc w:val="center"/>
              <w:rPr>
                <w:color w:val="000000"/>
                <w:sz w:val="20"/>
                <w:szCs w:val="20"/>
              </w:rPr>
            </w:pPr>
            <w:r w:rsidRPr="007C51D6">
              <w:rPr>
                <w:color w:val="000000"/>
                <w:sz w:val="20"/>
                <w:szCs w:val="20"/>
              </w:rPr>
              <w:t>нет</w:t>
            </w:r>
          </w:p>
          <w:p w:rsidR="00871EE7" w:rsidRPr="007C51D6" w:rsidRDefault="00871EE7" w:rsidP="00871EE7">
            <w:pPr>
              <w:jc w:val="center"/>
              <w:rPr>
                <w:color w:val="000000"/>
                <w:sz w:val="20"/>
                <w:szCs w:val="20"/>
              </w:rPr>
            </w:pPr>
            <w:r w:rsidRPr="007C51D6">
              <w:rPr>
                <w:color w:val="000000"/>
                <w:sz w:val="20"/>
                <w:szCs w:val="20"/>
              </w:rPr>
              <w:t>данных</w:t>
            </w:r>
          </w:p>
        </w:tc>
        <w:tc>
          <w:tcPr>
            <w:tcW w:w="1700" w:type="dxa"/>
            <w:gridSpan w:val="2"/>
          </w:tcPr>
          <w:p w:rsidR="00871EE7" w:rsidRPr="007C51D6" w:rsidRDefault="00871EE7" w:rsidP="00871EE7">
            <w:pPr>
              <w:spacing w:line="230" w:lineRule="auto"/>
              <w:jc w:val="center"/>
              <w:rPr>
                <w:rFonts w:eastAsia="Arial"/>
                <w:sz w:val="20"/>
                <w:szCs w:val="20"/>
              </w:rPr>
            </w:pPr>
            <w:r w:rsidRPr="007C51D6">
              <w:rPr>
                <w:rFonts w:eastAsia="Arial"/>
                <w:sz w:val="20"/>
                <w:szCs w:val="20"/>
              </w:rPr>
              <w:t>-</w:t>
            </w:r>
          </w:p>
        </w:tc>
      </w:tr>
      <w:tr w:rsidR="00871EE7" w:rsidRPr="007C51D6" w:rsidTr="00871EE7">
        <w:tc>
          <w:tcPr>
            <w:tcW w:w="2120" w:type="dxa"/>
          </w:tcPr>
          <w:p w:rsidR="00871EE7" w:rsidRPr="007C51D6" w:rsidRDefault="00871EE7" w:rsidP="00871EE7">
            <w:pPr>
              <w:jc w:val="both"/>
              <w:rPr>
                <w:sz w:val="20"/>
                <w:szCs w:val="20"/>
              </w:rPr>
            </w:pPr>
            <w:r w:rsidRPr="007C51D6">
              <w:rPr>
                <w:color w:val="000000"/>
                <w:sz w:val="20"/>
                <w:szCs w:val="20"/>
              </w:rPr>
              <w:t>Российская Федерация</w:t>
            </w:r>
          </w:p>
        </w:tc>
        <w:tc>
          <w:tcPr>
            <w:tcW w:w="1699" w:type="dxa"/>
            <w:vMerge/>
          </w:tcPr>
          <w:p w:rsidR="00871EE7" w:rsidRPr="007C51D6" w:rsidRDefault="00871EE7" w:rsidP="00871EE7">
            <w:pPr>
              <w:spacing w:line="230" w:lineRule="auto"/>
              <w:rPr>
                <w:rFonts w:eastAsia="Arial"/>
                <w:sz w:val="20"/>
                <w:szCs w:val="20"/>
              </w:rPr>
            </w:pPr>
          </w:p>
        </w:tc>
        <w:tc>
          <w:tcPr>
            <w:tcW w:w="991" w:type="dxa"/>
          </w:tcPr>
          <w:p w:rsidR="00871EE7" w:rsidRPr="007C51D6" w:rsidRDefault="00871EE7" w:rsidP="00871EE7">
            <w:pPr>
              <w:spacing w:line="276" w:lineRule="auto"/>
              <w:jc w:val="center"/>
              <w:rPr>
                <w:color w:val="000000"/>
                <w:sz w:val="20"/>
                <w:szCs w:val="20"/>
              </w:rPr>
            </w:pPr>
            <w:r w:rsidRPr="007C51D6">
              <w:rPr>
                <w:color w:val="000000"/>
                <w:sz w:val="20"/>
                <w:szCs w:val="20"/>
              </w:rPr>
              <w:t>283,09</w:t>
            </w:r>
          </w:p>
        </w:tc>
        <w:tc>
          <w:tcPr>
            <w:tcW w:w="992" w:type="dxa"/>
          </w:tcPr>
          <w:p w:rsidR="00871EE7" w:rsidRPr="007C51D6" w:rsidRDefault="00871EE7" w:rsidP="00871EE7">
            <w:pPr>
              <w:spacing w:line="276" w:lineRule="auto"/>
              <w:jc w:val="center"/>
              <w:rPr>
                <w:color w:val="000000"/>
                <w:sz w:val="20"/>
                <w:szCs w:val="20"/>
              </w:rPr>
            </w:pPr>
            <w:r w:rsidRPr="007C51D6">
              <w:rPr>
                <w:color w:val="000000"/>
                <w:sz w:val="20"/>
                <w:szCs w:val="20"/>
              </w:rPr>
              <w:t>286,74</w:t>
            </w:r>
          </w:p>
        </w:tc>
        <w:tc>
          <w:tcPr>
            <w:tcW w:w="992" w:type="dxa"/>
          </w:tcPr>
          <w:p w:rsidR="00871EE7" w:rsidRPr="007C51D6" w:rsidRDefault="00871EE7" w:rsidP="00871EE7">
            <w:pPr>
              <w:spacing w:line="276" w:lineRule="auto"/>
              <w:jc w:val="center"/>
              <w:rPr>
                <w:color w:val="000000"/>
                <w:sz w:val="20"/>
                <w:szCs w:val="20"/>
              </w:rPr>
            </w:pPr>
            <w:r w:rsidRPr="007C51D6">
              <w:rPr>
                <w:color w:val="000000"/>
                <w:sz w:val="20"/>
                <w:szCs w:val="20"/>
              </w:rPr>
              <w:t>286,49</w:t>
            </w:r>
          </w:p>
        </w:tc>
        <w:tc>
          <w:tcPr>
            <w:tcW w:w="993" w:type="dxa"/>
          </w:tcPr>
          <w:p w:rsidR="00871EE7" w:rsidRPr="007C51D6" w:rsidRDefault="00871EE7" w:rsidP="00871EE7">
            <w:pPr>
              <w:spacing w:line="276" w:lineRule="auto"/>
              <w:jc w:val="center"/>
              <w:rPr>
                <w:color w:val="000000"/>
                <w:sz w:val="20"/>
                <w:szCs w:val="20"/>
              </w:rPr>
            </w:pPr>
            <w:r w:rsidRPr="007C51D6">
              <w:rPr>
                <w:color w:val="000000"/>
                <w:sz w:val="20"/>
                <w:szCs w:val="20"/>
              </w:rPr>
              <w:t>286,79</w:t>
            </w:r>
          </w:p>
        </w:tc>
        <w:tc>
          <w:tcPr>
            <w:tcW w:w="992" w:type="dxa"/>
          </w:tcPr>
          <w:p w:rsidR="00871EE7" w:rsidRPr="007C51D6" w:rsidRDefault="00871EE7" w:rsidP="00871EE7">
            <w:pPr>
              <w:spacing w:line="276" w:lineRule="auto"/>
              <w:jc w:val="center"/>
              <w:rPr>
                <w:color w:val="000000"/>
                <w:sz w:val="20"/>
                <w:szCs w:val="20"/>
              </w:rPr>
            </w:pPr>
            <w:r w:rsidRPr="007C51D6">
              <w:rPr>
                <w:color w:val="000000"/>
                <w:sz w:val="20"/>
                <w:szCs w:val="20"/>
              </w:rPr>
              <w:t>249,05</w:t>
            </w:r>
          </w:p>
        </w:tc>
        <w:tc>
          <w:tcPr>
            <w:tcW w:w="935" w:type="dxa"/>
          </w:tcPr>
          <w:p w:rsidR="00871EE7" w:rsidRPr="007C51D6" w:rsidRDefault="00871EE7" w:rsidP="00871EE7">
            <w:pPr>
              <w:spacing w:line="276" w:lineRule="auto"/>
              <w:jc w:val="center"/>
              <w:rPr>
                <w:color w:val="000000"/>
                <w:sz w:val="20"/>
                <w:szCs w:val="20"/>
              </w:rPr>
            </w:pPr>
            <w:r w:rsidRPr="007C51D6">
              <w:rPr>
                <w:color w:val="000000"/>
                <w:sz w:val="20"/>
                <w:szCs w:val="20"/>
              </w:rPr>
              <w:t>255,54</w:t>
            </w:r>
          </w:p>
        </w:tc>
        <w:tc>
          <w:tcPr>
            <w:tcW w:w="935" w:type="dxa"/>
          </w:tcPr>
          <w:p w:rsidR="00871EE7" w:rsidRPr="007C51D6" w:rsidRDefault="00871EE7" w:rsidP="00871EE7">
            <w:pPr>
              <w:jc w:val="center"/>
              <w:rPr>
                <w:sz w:val="20"/>
                <w:szCs w:val="20"/>
              </w:rPr>
            </w:pPr>
            <w:r w:rsidRPr="007C51D6">
              <w:rPr>
                <w:color w:val="000000"/>
                <w:sz w:val="20"/>
                <w:szCs w:val="20"/>
              </w:rPr>
              <w:t>264,24</w:t>
            </w:r>
          </w:p>
        </w:tc>
        <w:tc>
          <w:tcPr>
            <w:tcW w:w="961" w:type="dxa"/>
          </w:tcPr>
          <w:p w:rsidR="00871EE7" w:rsidRPr="007C51D6" w:rsidRDefault="00871EE7" w:rsidP="00871EE7">
            <w:pPr>
              <w:spacing w:line="276" w:lineRule="auto"/>
              <w:jc w:val="center"/>
              <w:rPr>
                <w:color w:val="000000"/>
                <w:sz w:val="20"/>
                <w:szCs w:val="20"/>
              </w:rPr>
            </w:pPr>
            <w:r w:rsidRPr="007C51D6">
              <w:rPr>
                <w:color w:val="000000"/>
                <w:sz w:val="20"/>
                <w:szCs w:val="20"/>
              </w:rPr>
              <w:t>281,04</w:t>
            </w:r>
          </w:p>
        </w:tc>
        <w:tc>
          <w:tcPr>
            <w:tcW w:w="950" w:type="dxa"/>
          </w:tcPr>
          <w:p w:rsidR="00871EE7" w:rsidRPr="007C51D6" w:rsidRDefault="00871EE7" w:rsidP="00871EE7">
            <w:pPr>
              <w:jc w:val="center"/>
              <w:rPr>
                <w:color w:val="000000"/>
                <w:sz w:val="20"/>
                <w:szCs w:val="20"/>
              </w:rPr>
            </w:pPr>
            <w:r w:rsidRPr="007C51D6">
              <w:rPr>
                <w:color w:val="000000"/>
                <w:sz w:val="20"/>
                <w:szCs w:val="20"/>
              </w:rPr>
              <w:t>287,77</w:t>
            </w:r>
          </w:p>
        </w:tc>
        <w:tc>
          <w:tcPr>
            <w:tcW w:w="1044" w:type="dxa"/>
          </w:tcPr>
          <w:p w:rsidR="00871EE7" w:rsidRPr="007C51D6" w:rsidRDefault="00871EE7" w:rsidP="00871EE7">
            <w:pPr>
              <w:jc w:val="center"/>
              <w:rPr>
                <w:color w:val="000000"/>
                <w:sz w:val="20"/>
                <w:szCs w:val="20"/>
              </w:rPr>
            </w:pPr>
            <w:r w:rsidRPr="007C51D6">
              <w:rPr>
                <w:color w:val="000000"/>
                <w:sz w:val="20"/>
                <w:szCs w:val="20"/>
              </w:rPr>
              <w:t>нет</w:t>
            </w:r>
          </w:p>
          <w:p w:rsidR="00871EE7" w:rsidRPr="007C51D6" w:rsidRDefault="00871EE7" w:rsidP="00871EE7">
            <w:pPr>
              <w:jc w:val="center"/>
              <w:rPr>
                <w:color w:val="000000"/>
                <w:sz w:val="20"/>
                <w:szCs w:val="20"/>
              </w:rPr>
            </w:pPr>
            <w:r w:rsidRPr="007C51D6">
              <w:rPr>
                <w:color w:val="000000"/>
                <w:sz w:val="20"/>
                <w:szCs w:val="20"/>
              </w:rPr>
              <w:t>данных</w:t>
            </w:r>
          </w:p>
        </w:tc>
        <w:tc>
          <w:tcPr>
            <w:tcW w:w="1700" w:type="dxa"/>
            <w:gridSpan w:val="2"/>
          </w:tcPr>
          <w:p w:rsidR="00871EE7" w:rsidRPr="007C51D6" w:rsidRDefault="00871EE7" w:rsidP="00871EE7">
            <w:pPr>
              <w:spacing w:line="230" w:lineRule="auto"/>
              <w:jc w:val="center"/>
              <w:rPr>
                <w:rFonts w:eastAsia="Arial"/>
                <w:sz w:val="20"/>
                <w:szCs w:val="20"/>
              </w:rPr>
            </w:pPr>
          </w:p>
        </w:tc>
      </w:tr>
      <w:tr w:rsidR="00871EE7" w:rsidRPr="007C51D6" w:rsidTr="00871EE7">
        <w:trPr>
          <w:gridAfter w:val="1"/>
          <w:wAfter w:w="17" w:type="dxa"/>
        </w:trPr>
        <w:tc>
          <w:tcPr>
            <w:tcW w:w="15287" w:type="dxa"/>
            <w:gridSpan w:val="13"/>
          </w:tcPr>
          <w:p w:rsidR="00871EE7" w:rsidRPr="007C51D6" w:rsidRDefault="00871EE7" w:rsidP="00871EE7">
            <w:pPr>
              <w:spacing w:line="230" w:lineRule="auto"/>
              <w:jc w:val="center"/>
              <w:rPr>
                <w:rFonts w:eastAsia="Arial"/>
                <w:sz w:val="20"/>
                <w:szCs w:val="20"/>
              </w:rPr>
            </w:pPr>
            <w:r w:rsidRPr="007C51D6">
              <w:rPr>
                <w:rFonts w:eastAsia="Arial"/>
                <w:sz w:val="20"/>
                <w:szCs w:val="20"/>
              </w:rPr>
              <w:t>Женское население</w:t>
            </w:r>
          </w:p>
        </w:tc>
      </w:tr>
      <w:tr w:rsidR="00871EE7" w:rsidRPr="007C51D6" w:rsidTr="00871EE7">
        <w:tc>
          <w:tcPr>
            <w:tcW w:w="2120" w:type="dxa"/>
          </w:tcPr>
          <w:p w:rsidR="00871EE7" w:rsidRPr="007C51D6" w:rsidRDefault="00871EE7" w:rsidP="00871EE7">
            <w:pPr>
              <w:spacing w:line="230" w:lineRule="auto"/>
              <w:jc w:val="both"/>
              <w:rPr>
                <w:rFonts w:eastAsia="Arial"/>
                <w:sz w:val="20"/>
                <w:szCs w:val="20"/>
              </w:rPr>
            </w:pPr>
            <w:r w:rsidRPr="007C51D6">
              <w:rPr>
                <w:rFonts w:eastAsia="Arial"/>
                <w:sz w:val="20"/>
                <w:szCs w:val="20"/>
              </w:rPr>
              <w:t>Республика Татарстан</w:t>
            </w:r>
          </w:p>
        </w:tc>
        <w:tc>
          <w:tcPr>
            <w:tcW w:w="1699" w:type="dxa"/>
            <w:vMerge w:val="restart"/>
          </w:tcPr>
          <w:p w:rsidR="00871EE7" w:rsidRPr="007C51D6" w:rsidRDefault="00871EE7" w:rsidP="00871EE7">
            <w:pPr>
              <w:spacing w:line="230" w:lineRule="auto"/>
              <w:rPr>
                <w:rFonts w:eastAsia="Arial"/>
                <w:sz w:val="20"/>
                <w:szCs w:val="20"/>
              </w:rPr>
            </w:pPr>
            <w:r w:rsidRPr="007C51D6">
              <w:rPr>
                <w:rFonts w:eastAsia="Arial"/>
                <w:sz w:val="20"/>
                <w:szCs w:val="20"/>
              </w:rPr>
              <w:t>«грубый»</w:t>
            </w:r>
          </w:p>
        </w:tc>
        <w:tc>
          <w:tcPr>
            <w:tcW w:w="991" w:type="dxa"/>
          </w:tcPr>
          <w:p w:rsidR="00871EE7" w:rsidRPr="007C51D6" w:rsidRDefault="00871EE7" w:rsidP="00871EE7">
            <w:pPr>
              <w:jc w:val="center"/>
              <w:rPr>
                <w:color w:val="000000"/>
                <w:sz w:val="20"/>
                <w:szCs w:val="20"/>
              </w:rPr>
            </w:pPr>
            <w:r w:rsidRPr="007C51D6">
              <w:rPr>
                <w:color w:val="000000"/>
                <w:sz w:val="20"/>
                <w:szCs w:val="20"/>
              </w:rPr>
              <w:t>384,74</w:t>
            </w:r>
          </w:p>
        </w:tc>
        <w:tc>
          <w:tcPr>
            <w:tcW w:w="992" w:type="dxa"/>
          </w:tcPr>
          <w:p w:rsidR="00871EE7" w:rsidRPr="007C51D6" w:rsidRDefault="00871EE7" w:rsidP="00871EE7">
            <w:pPr>
              <w:jc w:val="center"/>
              <w:rPr>
                <w:color w:val="000000"/>
                <w:sz w:val="20"/>
                <w:szCs w:val="20"/>
              </w:rPr>
            </w:pPr>
            <w:r w:rsidRPr="007C51D6">
              <w:rPr>
                <w:color w:val="000000"/>
                <w:sz w:val="20"/>
                <w:szCs w:val="20"/>
              </w:rPr>
              <w:t>398,39</w:t>
            </w:r>
          </w:p>
        </w:tc>
        <w:tc>
          <w:tcPr>
            <w:tcW w:w="992" w:type="dxa"/>
          </w:tcPr>
          <w:p w:rsidR="00871EE7" w:rsidRPr="007C51D6" w:rsidRDefault="00871EE7" w:rsidP="00871EE7">
            <w:pPr>
              <w:jc w:val="center"/>
              <w:rPr>
                <w:color w:val="000000"/>
                <w:sz w:val="20"/>
                <w:szCs w:val="20"/>
              </w:rPr>
            </w:pPr>
            <w:r w:rsidRPr="007C51D6">
              <w:rPr>
                <w:color w:val="000000"/>
                <w:sz w:val="20"/>
                <w:szCs w:val="20"/>
              </w:rPr>
              <w:t>410,91</w:t>
            </w:r>
          </w:p>
        </w:tc>
        <w:tc>
          <w:tcPr>
            <w:tcW w:w="993" w:type="dxa"/>
          </w:tcPr>
          <w:p w:rsidR="00871EE7" w:rsidRPr="007C51D6" w:rsidRDefault="00871EE7" w:rsidP="00871EE7">
            <w:pPr>
              <w:jc w:val="center"/>
              <w:rPr>
                <w:color w:val="000000"/>
                <w:sz w:val="20"/>
                <w:szCs w:val="20"/>
              </w:rPr>
            </w:pPr>
            <w:r w:rsidRPr="007C51D6">
              <w:rPr>
                <w:color w:val="000000"/>
                <w:sz w:val="20"/>
                <w:szCs w:val="20"/>
              </w:rPr>
              <w:t>427,16</w:t>
            </w:r>
          </w:p>
        </w:tc>
        <w:tc>
          <w:tcPr>
            <w:tcW w:w="992" w:type="dxa"/>
          </w:tcPr>
          <w:p w:rsidR="00871EE7" w:rsidRPr="007C51D6" w:rsidRDefault="00871EE7" w:rsidP="00871EE7">
            <w:pPr>
              <w:jc w:val="center"/>
              <w:rPr>
                <w:color w:val="000000"/>
                <w:sz w:val="20"/>
                <w:szCs w:val="20"/>
              </w:rPr>
            </w:pPr>
            <w:r w:rsidRPr="007C51D6">
              <w:rPr>
                <w:color w:val="000000"/>
                <w:sz w:val="20"/>
                <w:szCs w:val="20"/>
              </w:rPr>
              <w:t>372,26</w:t>
            </w:r>
          </w:p>
        </w:tc>
        <w:tc>
          <w:tcPr>
            <w:tcW w:w="935" w:type="dxa"/>
          </w:tcPr>
          <w:p w:rsidR="00871EE7" w:rsidRPr="007C51D6" w:rsidRDefault="00871EE7" w:rsidP="00871EE7">
            <w:pPr>
              <w:jc w:val="center"/>
              <w:rPr>
                <w:color w:val="000000"/>
                <w:sz w:val="20"/>
                <w:szCs w:val="20"/>
              </w:rPr>
            </w:pPr>
            <w:r w:rsidRPr="007C51D6">
              <w:rPr>
                <w:color w:val="000000"/>
                <w:sz w:val="20"/>
                <w:szCs w:val="20"/>
              </w:rPr>
              <w:t>440,02</w:t>
            </w:r>
          </w:p>
        </w:tc>
        <w:tc>
          <w:tcPr>
            <w:tcW w:w="935" w:type="dxa"/>
          </w:tcPr>
          <w:p w:rsidR="00871EE7" w:rsidRPr="007C51D6" w:rsidRDefault="00871EE7" w:rsidP="00871EE7">
            <w:pPr>
              <w:jc w:val="center"/>
              <w:rPr>
                <w:color w:val="000000"/>
                <w:sz w:val="20"/>
                <w:szCs w:val="20"/>
              </w:rPr>
            </w:pPr>
            <w:r w:rsidRPr="007C51D6">
              <w:rPr>
                <w:color w:val="000000"/>
                <w:sz w:val="20"/>
                <w:szCs w:val="20"/>
              </w:rPr>
              <w:t>429,8</w:t>
            </w:r>
          </w:p>
        </w:tc>
        <w:tc>
          <w:tcPr>
            <w:tcW w:w="961" w:type="dxa"/>
          </w:tcPr>
          <w:p w:rsidR="00871EE7" w:rsidRPr="007C51D6" w:rsidRDefault="00871EE7" w:rsidP="00871EE7">
            <w:pPr>
              <w:jc w:val="center"/>
              <w:rPr>
                <w:sz w:val="20"/>
                <w:szCs w:val="20"/>
              </w:rPr>
            </w:pPr>
            <w:r w:rsidRPr="007C51D6">
              <w:rPr>
                <w:sz w:val="20"/>
                <w:szCs w:val="20"/>
              </w:rPr>
              <w:t>462,34</w:t>
            </w:r>
          </w:p>
        </w:tc>
        <w:tc>
          <w:tcPr>
            <w:tcW w:w="950" w:type="dxa"/>
          </w:tcPr>
          <w:p w:rsidR="00871EE7" w:rsidRPr="007C51D6" w:rsidRDefault="00871EE7" w:rsidP="00871EE7">
            <w:pPr>
              <w:jc w:val="center"/>
              <w:rPr>
                <w:sz w:val="20"/>
                <w:szCs w:val="20"/>
              </w:rPr>
            </w:pPr>
            <w:r w:rsidRPr="007C51D6">
              <w:rPr>
                <w:sz w:val="20"/>
                <w:szCs w:val="20"/>
              </w:rPr>
              <w:t>490,30</w:t>
            </w:r>
          </w:p>
        </w:tc>
        <w:tc>
          <w:tcPr>
            <w:tcW w:w="1044" w:type="dxa"/>
          </w:tcPr>
          <w:p w:rsidR="00871EE7" w:rsidRPr="007C51D6" w:rsidRDefault="00871EE7" w:rsidP="00871EE7">
            <w:pPr>
              <w:jc w:val="center"/>
              <w:rPr>
                <w:color w:val="000000"/>
                <w:sz w:val="20"/>
                <w:szCs w:val="20"/>
              </w:rPr>
            </w:pPr>
            <w:r w:rsidRPr="007C51D6">
              <w:rPr>
                <w:color w:val="000000"/>
                <w:sz w:val="20"/>
                <w:szCs w:val="20"/>
              </w:rPr>
              <w:t>нет</w:t>
            </w:r>
          </w:p>
          <w:p w:rsidR="00871EE7" w:rsidRPr="007C51D6" w:rsidRDefault="00871EE7" w:rsidP="00871EE7">
            <w:pPr>
              <w:jc w:val="center"/>
              <w:rPr>
                <w:color w:val="000000"/>
                <w:sz w:val="20"/>
                <w:szCs w:val="20"/>
              </w:rPr>
            </w:pPr>
            <w:r w:rsidRPr="007C51D6">
              <w:rPr>
                <w:color w:val="000000"/>
                <w:sz w:val="20"/>
                <w:szCs w:val="20"/>
              </w:rPr>
              <w:t>данных</w:t>
            </w:r>
          </w:p>
        </w:tc>
        <w:tc>
          <w:tcPr>
            <w:tcW w:w="1700" w:type="dxa"/>
            <w:gridSpan w:val="2"/>
          </w:tcPr>
          <w:p w:rsidR="00871EE7" w:rsidRPr="007C51D6" w:rsidRDefault="00871EE7" w:rsidP="00871EE7">
            <w:pPr>
              <w:spacing w:line="230" w:lineRule="auto"/>
              <w:jc w:val="center"/>
              <w:rPr>
                <w:rFonts w:eastAsia="Arial"/>
                <w:sz w:val="20"/>
                <w:szCs w:val="20"/>
              </w:rPr>
            </w:pPr>
            <w:r w:rsidRPr="007C51D6">
              <w:rPr>
                <w:rFonts w:eastAsia="Arial"/>
                <w:sz w:val="20"/>
                <w:szCs w:val="20"/>
              </w:rPr>
              <w:t>-</w:t>
            </w:r>
          </w:p>
        </w:tc>
      </w:tr>
      <w:tr w:rsidR="00871EE7" w:rsidRPr="007C51D6" w:rsidTr="00871EE7">
        <w:tc>
          <w:tcPr>
            <w:tcW w:w="2120" w:type="dxa"/>
          </w:tcPr>
          <w:p w:rsidR="00871EE7" w:rsidRPr="007C51D6" w:rsidRDefault="00871EE7" w:rsidP="00871EE7">
            <w:pPr>
              <w:spacing w:line="230" w:lineRule="auto"/>
              <w:jc w:val="both"/>
              <w:rPr>
                <w:rFonts w:eastAsia="Arial"/>
                <w:sz w:val="20"/>
                <w:szCs w:val="20"/>
              </w:rPr>
            </w:pPr>
            <w:r w:rsidRPr="007C51D6">
              <w:rPr>
                <w:color w:val="000000"/>
                <w:sz w:val="20"/>
                <w:szCs w:val="20"/>
              </w:rPr>
              <w:t>Приволжcкий федеральный округ</w:t>
            </w:r>
          </w:p>
        </w:tc>
        <w:tc>
          <w:tcPr>
            <w:tcW w:w="1699" w:type="dxa"/>
            <w:vMerge/>
          </w:tcPr>
          <w:p w:rsidR="00871EE7" w:rsidRPr="007C51D6" w:rsidRDefault="00871EE7" w:rsidP="00871EE7">
            <w:pPr>
              <w:spacing w:line="230" w:lineRule="auto"/>
              <w:rPr>
                <w:rFonts w:eastAsia="Arial"/>
                <w:sz w:val="20"/>
                <w:szCs w:val="20"/>
              </w:rPr>
            </w:pPr>
          </w:p>
        </w:tc>
        <w:tc>
          <w:tcPr>
            <w:tcW w:w="991" w:type="dxa"/>
          </w:tcPr>
          <w:p w:rsidR="00871EE7" w:rsidRPr="007C51D6" w:rsidRDefault="00871EE7" w:rsidP="00871EE7">
            <w:pPr>
              <w:jc w:val="center"/>
              <w:rPr>
                <w:color w:val="000000"/>
                <w:sz w:val="20"/>
                <w:szCs w:val="20"/>
              </w:rPr>
            </w:pPr>
            <w:r w:rsidRPr="007C51D6">
              <w:rPr>
                <w:color w:val="000000"/>
                <w:sz w:val="20"/>
                <w:szCs w:val="20"/>
              </w:rPr>
              <w:t>419,24</w:t>
            </w:r>
          </w:p>
        </w:tc>
        <w:tc>
          <w:tcPr>
            <w:tcW w:w="992" w:type="dxa"/>
          </w:tcPr>
          <w:p w:rsidR="00871EE7" w:rsidRPr="007C51D6" w:rsidRDefault="00871EE7" w:rsidP="00871EE7">
            <w:pPr>
              <w:jc w:val="center"/>
              <w:rPr>
                <w:color w:val="000000"/>
                <w:sz w:val="20"/>
                <w:szCs w:val="20"/>
              </w:rPr>
            </w:pPr>
            <w:r w:rsidRPr="007C51D6">
              <w:rPr>
                <w:color w:val="000000"/>
                <w:sz w:val="20"/>
                <w:szCs w:val="20"/>
              </w:rPr>
              <w:t>427,93</w:t>
            </w:r>
          </w:p>
        </w:tc>
        <w:tc>
          <w:tcPr>
            <w:tcW w:w="992" w:type="dxa"/>
          </w:tcPr>
          <w:p w:rsidR="00871EE7" w:rsidRPr="007C51D6" w:rsidRDefault="00871EE7" w:rsidP="00871EE7">
            <w:pPr>
              <w:jc w:val="center"/>
              <w:rPr>
                <w:color w:val="000000"/>
                <w:sz w:val="20"/>
                <w:szCs w:val="20"/>
              </w:rPr>
            </w:pPr>
            <w:r w:rsidRPr="007C51D6">
              <w:rPr>
                <w:color w:val="000000"/>
                <w:sz w:val="20"/>
                <w:szCs w:val="20"/>
              </w:rPr>
              <w:t>431,31</w:t>
            </w:r>
          </w:p>
        </w:tc>
        <w:tc>
          <w:tcPr>
            <w:tcW w:w="993" w:type="dxa"/>
          </w:tcPr>
          <w:p w:rsidR="00871EE7" w:rsidRPr="007C51D6" w:rsidRDefault="00871EE7" w:rsidP="00871EE7">
            <w:pPr>
              <w:jc w:val="center"/>
              <w:rPr>
                <w:color w:val="000000"/>
                <w:sz w:val="20"/>
                <w:szCs w:val="20"/>
              </w:rPr>
            </w:pPr>
            <w:r w:rsidRPr="007C51D6">
              <w:rPr>
                <w:color w:val="000000"/>
                <w:sz w:val="20"/>
                <w:szCs w:val="20"/>
              </w:rPr>
              <w:t>452,89</w:t>
            </w:r>
          </w:p>
        </w:tc>
        <w:tc>
          <w:tcPr>
            <w:tcW w:w="992" w:type="dxa"/>
          </w:tcPr>
          <w:p w:rsidR="00871EE7" w:rsidRPr="007C51D6" w:rsidRDefault="00871EE7" w:rsidP="00871EE7">
            <w:pPr>
              <w:jc w:val="center"/>
              <w:rPr>
                <w:color w:val="000000"/>
                <w:sz w:val="20"/>
                <w:szCs w:val="20"/>
              </w:rPr>
            </w:pPr>
            <w:r w:rsidRPr="007C51D6">
              <w:rPr>
                <w:color w:val="000000"/>
                <w:sz w:val="20"/>
                <w:szCs w:val="20"/>
              </w:rPr>
              <w:t>392,88</w:t>
            </w:r>
          </w:p>
        </w:tc>
        <w:tc>
          <w:tcPr>
            <w:tcW w:w="935" w:type="dxa"/>
          </w:tcPr>
          <w:p w:rsidR="00871EE7" w:rsidRPr="007C51D6" w:rsidRDefault="00871EE7" w:rsidP="00871EE7">
            <w:pPr>
              <w:jc w:val="center"/>
              <w:rPr>
                <w:color w:val="000000"/>
                <w:sz w:val="20"/>
                <w:szCs w:val="20"/>
              </w:rPr>
            </w:pPr>
            <w:r w:rsidRPr="007C51D6">
              <w:rPr>
                <w:color w:val="000000"/>
                <w:sz w:val="20"/>
                <w:szCs w:val="20"/>
              </w:rPr>
              <w:t>422,96</w:t>
            </w:r>
          </w:p>
        </w:tc>
        <w:tc>
          <w:tcPr>
            <w:tcW w:w="935" w:type="dxa"/>
          </w:tcPr>
          <w:p w:rsidR="00871EE7" w:rsidRPr="007C51D6" w:rsidRDefault="00871EE7" w:rsidP="00871EE7">
            <w:pPr>
              <w:jc w:val="center"/>
              <w:rPr>
                <w:sz w:val="20"/>
                <w:szCs w:val="20"/>
              </w:rPr>
            </w:pPr>
            <w:r w:rsidRPr="007C51D6">
              <w:rPr>
                <w:color w:val="000000"/>
                <w:sz w:val="20"/>
                <w:szCs w:val="20"/>
              </w:rPr>
              <w:t>458,29</w:t>
            </w:r>
          </w:p>
        </w:tc>
        <w:tc>
          <w:tcPr>
            <w:tcW w:w="961" w:type="dxa"/>
          </w:tcPr>
          <w:p w:rsidR="00871EE7" w:rsidRPr="007C51D6" w:rsidRDefault="00871EE7" w:rsidP="00871EE7">
            <w:pPr>
              <w:jc w:val="center"/>
              <w:rPr>
                <w:sz w:val="20"/>
                <w:szCs w:val="20"/>
              </w:rPr>
            </w:pPr>
            <w:r w:rsidRPr="007C51D6">
              <w:rPr>
                <w:sz w:val="20"/>
                <w:szCs w:val="20"/>
              </w:rPr>
              <w:t>491,39</w:t>
            </w:r>
          </w:p>
        </w:tc>
        <w:tc>
          <w:tcPr>
            <w:tcW w:w="950" w:type="dxa"/>
          </w:tcPr>
          <w:p w:rsidR="00871EE7" w:rsidRPr="007C51D6" w:rsidRDefault="00871EE7" w:rsidP="00871EE7">
            <w:pPr>
              <w:jc w:val="center"/>
              <w:rPr>
                <w:color w:val="000000"/>
                <w:sz w:val="20"/>
                <w:szCs w:val="20"/>
              </w:rPr>
            </w:pPr>
            <w:r w:rsidRPr="007C51D6">
              <w:rPr>
                <w:color w:val="000000"/>
                <w:sz w:val="20"/>
                <w:szCs w:val="20"/>
              </w:rPr>
              <w:t>503,80</w:t>
            </w:r>
          </w:p>
        </w:tc>
        <w:tc>
          <w:tcPr>
            <w:tcW w:w="1044" w:type="dxa"/>
          </w:tcPr>
          <w:p w:rsidR="00871EE7" w:rsidRPr="007C51D6" w:rsidRDefault="00871EE7" w:rsidP="00871EE7">
            <w:pPr>
              <w:jc w:val="center"/>
              <w:rPr>
                <w:color w:val="000000"/>
                <w:sz w:val="20"/>
                <w:szCs w:val="20"/>
              </w:rPr>
            </w:pPr>
            <w:r w:rsidRPr="007C51D6">
              <w:rPr>
                <w:color w:val="000000"/>
                <w:sz w:val="20"/>
                <w:szCs w:val="20"/>
              </w:rPr>
              <w:t>нет</w:t>
            </w:r>
          </w:p>
          <w:p w:rsidR="00871EE7" w:rsidRPr="007C51D6" w:rsidRDefault="00871EE7" w:rsidP="00871EE7">
            <w:pPr>
              <w:jc w:val="center"/>
              <w:rPr>
                <w:color w:val="000000"/>
                <w:sz w:val="20"/>
                <w:szCs w:val="20"/>
              </w:rPr>
            </w:pPr>
            <w:r w:rsidRPr="007C51D6">
              <w:rPr>
                <w:color w:val="000000"/>
                <w:sz w:val="20"/>
                <w:szCs w:val="20"/>
              </w:rPr>
              <w:t>данных</w:t>
            </w:r>
          </w:p>
        </w:tc>
        <w:tc>
          <w:tcPr>
            <w:tcW w:w="1700" w:type="dxa"/>
            <w:gridSpan w:val="2"/>
          </w:tcPr>
          <w:p w:rsidR="00871EE7" w:rsidRPr="007C51D6" w:rsidRDefault="00871EE7" w:rsidP="00871EE7">
            <w:pPr>
              <w:spacing w:line="230" w:lineRule="auto"/>
              <w:jc w:val="center"/>
              <w:rPr>
                <w:rFonts w:eastAsia="Arial"/>
                <w:sz w:val="20"/>
                <w:szCs w:val="20"/>
              </w:rPr>
            </w:pPr>
            <w:r w:rsidRPr="007C51D6">
              <w:rPr>
                <w:rFonts w:eastAsia="Arial"/>
                <w:sz w:val="20"/>
                <w:szCs w:val="20"/>
              </w:rPr>
              <w:t>-</w:t>
            </w:r>
          </w:p>
        </w:tc>
      </w:tr>
      <w:tr w:rsidR="00871EE7" w:rsidRPr="007C51D6" w:rsidTr="00871EE7">
        <w:tc>
          <w:tcPr>
            <w:tcW w:w="2120" w:type="dxa"/>
          </w:tcPr>
          <w:p w:rsidR="00871EE7" w:rsidRPr="007C51D6" w:rsidRDefault="00871EE7" w:rsidP="00871EE7">
            <w:pPr>
              <w:spacing w:line="230" w:lineRule="auto"/>
              <w:jc w:val="both"/>
              <w:rPr>
                <w:rFonts w:eastAsia="Arial"/>
                <w:sz w:val="20"/>
                <w:szCs w:val="20"/>
              </w:rPr>
            </w:pPr>
            <w:r w:rsidRPr="007C51D6">
              <w:rPr>
                <w:color w:val="000000"/>
                <w:sz w:val="20"/>
                <w:szCs w:val="20"/>
              </w:rPr>
              <w:t>Российская Федерация</w:t>
            </w:r>
          </w:p>
        </w:tc>
        <w:tc>
          <w:tcPr>
            <w:tcW w:w="1699" w:type="dxa"/>
            <w:vMerge/>
          </w:tcPr>
          <w:p w:rsidR="00871EE7" w:rsidRPr="007C51D6" w:rsidRDefault="00871EE7" w:rsidP="00871EE7">
            <w:pPr>
              <w:spacing w:line="230" w:lineRule="auto"/>
              <w:rPr>
                <w:rFonts w:eastAsia="Arial"/>
                <w:sz w:val="20"/>
                <w:szCs w:val="20"/>
              </w:rPr>
            </w:pPr>
          </w:p>
        </w:tc>
        <w:tc>
          <w:tcPr>
            <w:tcW w:w="991" w:type="dxa"/>
          </w:tcPr>
          <w:p w:rsidR="00871EE7" w:rsidRPr="007C51D6" w:rsidRDefault="00871EE7" w:rsidP="00871EE7">
            <w:pPr>
              <w:jc w:val="center"/>
              <w:rPr>
                <w:color w:val="000000"/>
                <w:sz w:val="20"/>
                <w:szCs w:val="20"/>
              </w:rPr>
            </w:pPr>
            <w:r w:rsidRPr="007C51D6">
              <w:rPr>
                <w:color w:val="000000"/>
                <w:sz w:val="20"/>
                <w:szCs w:val="20"/>
              </w:rPr>
              <w:t>413,91</w:t>
            </w:r>
          </w:p>
        </w:tc>
        <w:tc>
          <w:tcPr>
            <w:tcW w:w="992" w:type="dxa"/>
          </w:tcPr>
          <w:p w:rsidR="00871EE7" w:rsidRPr="007C51D6" w:rsidRDefault="00871EE7" w:rsidP="00871EE7">
            <w:pPr>
              <w:jc w:val="center"/>
              <w:rPr>
                <w:color w:val="000000"/>
                <w:sz w:val="20"/>
                <w:szCs w:val="20"/>
              </w:rPr>
            </w:pPr>
            <w:r w:rsidRPr="007C51D6">
              <w:rPr>
                <w:color w:val="000000"/>
                <w:sz w:val="20"/>
                <w:szCs w:val="20"/>
              </w:rPr>
              <w:t>425,69</w:t>
            </w:r>
          </w:p>
        </w:tc>
        <w:tc>
          <w:tcPr>
            <w:tcW w:w="992" w:type="dxa"/>
          </w:tcPr>
          <w:p w:rsidR="00871EE7" w:rsidRPr="007C51D6" w:rsidRDefault="00871EE7" w:rsidP="00871EE7">
            <w:pPr>
              <w:jc w:val="center"/>
              <w:rPr>
                <w:color w:val="000000"/>
                <w:sz w:val="20"/>
                <w:szCs w:val="20"/>
              </w:rPr>
            </w:pPr>
            <w:r w:rsidRPr="007C51D6">
              <w:rPr>
                <w:color w:val="000000"/>
                <w:sz w:val="20"/>
                <w:szCs w:val="20"/>
              </w:rPr>
              <w:t>430,32</w:t>
            </w:r>
          </w:p>
        </w:tc>
        <w:tc>
          <w:tcPr>
            <w:tcW w:w="993" w:type="dxa"/>
          </w:tcPr>
          <w:p w:rsidR="00871EE7" w:rsidRPr="007C51D6" w:rsidRDefault="00871EE7" w:rsidP="00871EE7">
            <w:pPr>
              <w:jc w:val="center"/>
              <w:rPr>
                <w:color w:val="000000"/>
                <w:sz w:val="20"/>
                <w:szCs w:val="20"/>
              </w:rPr>
            </w:pPr>
            <w:r w:rsidRPr="007C51D6">
              <w:rPr>
                <w:color w:val="000000"/>
                <w:sz w:val="20"/>
                <w:szCs w:val="20"/>
              </w:rPr>
              <w:t>443,58</w:t>
            </w:r>
          </w:p>
        </w:tc>
        <w:tc>
          <w:tcPr>
            <w:tcW w:w="992" w:type="dxa"/>
          </w:tcPr>
          <w:p w:rsidR="00871EE7" w:rsidRPr="007C51D6" w:rsidRDefault="00871EE7" w:rsidP="00871EE7">
            <w:pPr>
              <w:jc w:val="center"/>
              <w:rPr>
                <w:color w:val="000000"/>
                <w:sz w:val="20"/>
                <w:szCs w:val="20"/>
              </w:rPr>
            </w:pPr>
            <w:r w:rsidRPr="007C51D6">
              <w:rPr>
                <w:color w:val="000000"/>
                <w:sz w:val="20"/>
                <w:szCs w:val="20"/>
              </w:rPr>
              <w:t>382,25</w:t>
            </w:r>
          </w:p>
        </w:tc>
        <w:tc>
          <w:tcPr>
            <w:tcW w:w="935" w:type="dxa"/>
          </w:tcPr>
          <w:p w:rsidR="00871EE7" w:rsidRPr="007C51D6" w:rsidRDefault="00871EE7" w:rsidP="00871EE7">
            <w:pPr>
              <w:jc w:val="center"/>
              <w:rPr>
                <w:color w:val="000000"/>
                <w:sz w:val="20"/>
                <w:szCs w:val="20"/>
              </w:rPr>
            </w:pPr>
            <w:r w:rsidRPr="007C51D6">
              <w:rPr>
                <w:color w:val="000000"/>
                <w:sz w:val="20"/>
                <w:szCs w:val="20"/>
              </w:rPr>
              <w:t>403,74</w:t>
            </w:r>
          </w:p>
        </w:tc>
        <w:tc>
          <w:tcPr>
            <w:tcW w:w="935" w:type="dxa"/>
          </w:tcPr>
          <w:p w:rsidR="00871EE7" w:rsidRPr="007C51D6" w:rsidRDefault="00871EE7" w:rsidP="00871EE7">
            <w:pPr>
              <w:jc w:val="center"/>
              <w:rPr>
                <w:sz w:val="20"/>
                <w:szCs w:val="20"/>
              </w:rPr>
            </w:pPr>
            <w:r w:rsidRPr="007C51D6">
              <w:rPr>
                <w:color w:val="000000"/>
                <w:sz w:val="20"/>
                <w:szCs w:val="20"/>
              </w:rPr>
              <w:t>435,35</w:t>
            </w:r>
          </w:p>
        </w:tc>
        <w:tc>
          <w:tcPr>
            <w:tcW w:w="961" w:type="dxa"/>
          </w:tcPr>
          <w:p w:rsidR="00871EE7" w:rsidRPr="007C51D6" w:rsidRDefault="00871EE7" w:rsidP="00871EE7">
            <w:pPr>
              <w:jc w:val="center"/>
              <w:rPr>
                <w:sz w:val="20"/>
                <w:szCs w:val="20"/>
              </w:rPr>
            </w:pPr>
            <w:r w:rsidRPr="007C51D6">
              <w:rPr>
                <w:sz w:val="20"/>
                <w:szCs w:val="20"/>
              </w:rPr>
              <w:t>468,33</w:t>
            </w:r>
          </w:p>
        </w:tc>
        <w:tc>
          <w:tcPr>
            <w:tcW w:w="950" w:type="dxa"/>
          </w:tcPr>
          <w:p w:rsidR="00871EE7" w:rsidRPr="007C51D6" w:rsidRDefault="00871EE7" w:rsidP="00871EE7">
            <w:pPr>
              <w:jc w:val="center"/>
              <w:rPr>
                <w:color w:val="000000"/>
                <w:sz w:val="20"/>
                <w:szCs w:val="20"/>
              </w:rPr>
            </w:pPr>
            <w:r w:rsidRPr="007C51D6">
              <w:rPr>
                <w:color w:val="000000"/>
                <w:sz w:val="20"/>
                <w:szCs w:val="20"/>
              </w:rPr>
              <w:t>481,49</w:t>
            </w:r>
          </w:p>
        </w:tc>
        <w:tc>
          <w:tcPr>
            <w:tcW w:w="1044" w:type="dxa"/>
          </w:tcPr>
          <w:p w:rsidR="00871EE7" w:rsidRPr="007C51D6" w:rsidRDefault="00871EE7" w:rsidP="00871EE7">
            <w:pPr>
              <w:jc w:val="center"/>
              <w:rPr>
                <w:color w:val="000000"/>
                <w:sz w:val="20"/>
                <w:szCs w:val="20"/>
              </w:rPr>
            </w:pPr>
            <w:r w:rsidRPr="007C51D6">
              <w:rPr>
                <w:color w:val="000000"/>
                <w:sz w:val="20"/>
                <w:szCs w:val="20"/>
              </w:rPr>
              <w:t>нет</w:t>
            </w:r>
          </w:p>
          <w:p w:rsidR="00871EE7" w:rsidRPr="007C51D6" w:rsidRDefault="00871EE7" w:rsidP="00871EE7">
            <w:pPr>
              <w:jc w:val="center"/>
              <w:rPr>
                <w:color w:val="000000"/>
                <w:sz w:val="20"/>
                <w:szCs w:val="20"/>
              </w:rPr>
            </w:pPr>
            <w:r w:rsidRPr="007C51D6">
              <w:rPr>
                <w:color w:val="000000"/>
                <w:sz w:val="20"/>
                <w:szCs w:val="20"/>
              </w:rPr>
              <w:t>данных</w:t>
            </w:r>
          </w:p>
        </w:tc>
        <w:tc>
          <w:tcPr>
            <w:tcW w:w="1700" w:type="dxa"/>
            <w:gridSpan w:val="2"/>
          </w:tcPr>
          <w:p w:rsidR="00871EE7" w:rsidRPr="007C51D6" w:rsidRDefault="00871EE7" w:rsidP="00871EE7">
            <w:pPr>
              <w:spacing w:line="230" w:lineRule="auto"/>
              <w:jc w:val="center"/>
              <w:rPr>
                <w:rFonts w:eastAsia="Arial"/>
                <w:sz w:val="20"/>
                <w:szCs w:val="20"/>
              </w:rPr>
            </w:pPr>
            <w:r w:rsidRPr="007C51D6">
              <w:rPr>
                <w:rFonts w:eastAsia="Arial"/>
                <w:sz w:val="20"/>
                <w:szCs w:val="20"/>
              </w:rPr>
              <w:t>-</w:t>
            </w:r>
          </w:p>
        </w:tc>
      </w:tr>
      <w:tr w:rsidR="00871EE7" w:rsidRPr="007C51D6" w:rsidTr="00871EE7">
        <w:tc>
          <w:tcPr>
            <w:tcW w:w="2120" w:type="dxa"/>
          </w:tcPr>
          <w:p w:rsidR="00871EE7" w:rsidRPr="007C51D6" w:rsidRDefault="00871EE7" w:rsidP="00871EE7">
            <w:pPr>
              <w:spacing w:line="230" w:lineRule="auto"/>
              <w:jc w:val="both"/>
              <w:rPr>
                <w:rFonts w:eastAsia="Arial"/>
                <w:sz w:val="20"/>
                <w:szCs w:val="20"/>
              </w:rPr>
            </w:pPr>
            <w:r w:rsidRPr="007C51D6">
              <w:rPr>
                <w:rFonts w:eastAsia="Arial"/>
                <w:sz w:val="20"/>
                <w:szCs w:val="20"/>
              </w:rPr>
              <w:t>Республика Татарстан</w:t>
            </w:r>
          </w:p>
        </w:tc>
        <w:tc>
          <w:tcPr>
            <w:tcW w:w="1699" w:type="dxa"/>
            <w:vMerge w:val="restart"/>
          </w:tcPr>
          <w:p w:rsidR="00871EE7" w:rsidRPr="007C51D6" w:rsidRDefault="00871EE7" w:rsidP="00871EE7">
            <w:pPr>
              <w:spacing w:line="230" w:lineRule="auto"/>
              <w:jc w:val="both"/>
              <w:rPr>
                <w:rFonts w:eastAsia="Arial"/>
                <w:sz w:val="20"/>
                <w:szCs w:val="20"/>
              </w:rPr>
            </w:pPr>
            <w:r w:rsidRPr="007C51D6">
              <w:rPr>
                <w:rFonts w:eastAsia="Arial"/>
                <w:sz w:val="20"/>
                <w:szCs w:val="20"/>
              </w:rPr>
              <w:t>стандартизованный</w:t>
            </w:r>
          </w:p>
        </w:tc>
        <w:tc>
          <w:tcPr>
            <w:tcW w:w="991" w:type="dxa"/>
          </w:tcPr>
          <w:p w:rsidR="00871EE7" w:rsidRPr="007C51D6" w:rsidRDefault="00871EE7" w:rsidP="00871EE7">
            <w:pPr>
              <w:spacing w:line="276" w:lineRule="auto"/>
              <w:jc w:val="center"/>
              <w:rPr>
                <w:color w:val="000000"/>
                <w:sz w:val="20"/>
                <w:szCs w:val="20"/>
              </w:rPr>
            </w:pPr>
            <w:r w:rsidRPr="007C51D6">
              <w:rPr>
                <w:color w:val="000000"/>
                <w:sz w:val="20"/>
                <w:szCs w:val="20"/>
              </w:rPr>
              <w:t>210,97</w:t>
            </w:r>
          </w:p>
        </w:tc>
        <w:tc>
          <w:tcPr>
            <w:tcW w:w="992" w:type="dxa"/>
          </w:tcPr>
          <w:p w:rsidR="00871EE7" w:rsidRPr="007C51D6" w:rsidRDefault="00871EE7" w:rsidP="00871EE7">
            <w:pPr>
              <w:spacing w:line="276" w:lineRule="auto"/>
              <w:jc w:val="center"/>
              <w:rPr>
                <w:color w:val="000000"/>
                <w:sz w:val="20"/>
                <w:szCs w:val="20"/>
              </w:rPr>
            </w:pPr>
            <w:r w:rsidRPr="007C51D6">
              <w:rPr>
                <w:color w:val="000000"/>
                <w:sz w:val="20"/>
                <w:szCs w:val="20"/>
              </w:rPr>
              <w:t>219,97</w:t>
            </w:r>
          </w:p>
        </w:tc>
        <w:tc>
          <w:tcPr>
            <w:tcW w:w="992" w:type="dxa"/>
          </w:tcPr>
          <w:p w:rsidR="00871EE7" w:rsidRPr="007C51D6" w:rsidRDefault="00871EE7" w:rsidP="00871EE7">
            <w:pPr>
              <w:spacing w:line="276" w:lineRule="auto"/>
              <w:jc w:val="center"/>
              <w:rPr>
                <w:color w:val="000000"/>
                <w:sz w:val="20"/>
                <w:szCs w:val="20"/>
              </w:rPr>
            </w:pPr>
            <w:r w:rsidRPr="007C51D6">
              <w:rPr>
                <w:color w:val="000000"/>
                <w:sz w:val="20"/>
                <w:szCs w:val="20"/>
              </w:rPr>
              <w:t>224,36</w:t>
            </w:r>
          </w:p>
        </w:tc>
        <w:tc>
          <w:tcPr>
            <w:tcW w:w="993" w:type="dxa"/>
          </w:tcPr>
          <w:p w:rsidR="00871EE7" w:rsidRPr="007C51D6" w:rsidRDefault="00871EE7" w:rsidP="00871EE7">
            <w:pPr>
              <w:spacing w:line="276" w:lineRule="auto"/>
              <w:jc w:val="center"/>
              <w:rPr>
                <w:color w:val="000000"/>
                <w:sz w:val="20"/>
                <w:szCs w:val="20"/>
              </w:rPr>
            </w:pPr>
            <w:r w:rsidRPr="007C51D6">
              <w:rPr>
                <w:color w:val="000000"/>
                <w:sz w:val="20"/>
                <w:szCs w:val="20"/>
              </w:rPr>
              <w:t>233,42</w:t>
            </w:r>
          </w:p>
        </w:tc>
        <w:tc>
          <w:tcPr>
            <w:tcW w:w="992" w:type="dxa"/>
          </w:tcPr>
          <w:p w:rsidR="00871EE7" w:rsidRPr="007C51D6" w:rsidRDefault="00871EE7" w:rsidP="00871EE7">
            <w:pPr>
              <w:spacing w:line="276" w:lineRule="auto"/>
              <w:jc w:val="center"/>
              <w:rPr>
                <w:color w:val="000000"/>
                <w:sz w:val="20"/>
                <w:szCs w:val="20"/>
              </w:rPr>
            </w:pPr>
            <w:r w:rsidRPr="007C51D6">
              <w:rPr>
                <w:color w:val="000000"/>
                <w:sz w:val="20"/>
                <w:szCs w:val="20"/>
              </w:rPr>
              <w:t>202,28</w:t>
            </w:r>
          </w:p>
        </w:tc>
        <w:tc>
          <w:tcPr>
            <w:tcW w:w="935" w:type="dxa"/>
          </w:tcPr>
          <w:p w:rsidR="00871EE7" w:rsidRPr="007C51D6" w:rsidRDefault="00871EE7" w:rsidP="00871EE7">
            <w:pPr>
              <w:spacing w:line="276" w:lineRule="auto"/>
              <w:jc w:val="center"/>
              <w:rPr>
                <w:color w:val="000000"/>
                <w:sz w:val="20"/>
                <w:szCs w:val="20"/>
              </w:rPr>
            </w:pPr>
            <w:r w:rsidRPr="007C51D6">
              <w:rPr>
                <w:color w:val="000000"/>
                <w:sz w:val="20"/>
                <w:szCs w:val="20"/>
              </w:rPr>
              <w:t>239,87</w:t>
            </w:r>
          </w:p>
        </w:tc>
        <w:tc>
          <w:tcPr>
            <w:tcW w:w="935" w:type="dxa"/>
          </w:tcPr>
          <w:p w:rsidR="00871EE7" w:rsidRPr="007C51D6" w:rsidRDefault="00871EE7" w:rsidP="00871EE7">
            <w:pPr>
              <w:spacing w:line="276" w:lineRule="auto"/>
              <w:jc w:val="center"/>
              <w:rPr>
                <w:color w:val="000000"/>
                <w:sz w:val="20"/>
                <w:szCs w:val="20"/>
              </w:rPr>
            </w:pPr>
            <w:r w:rsidRPr="007C51D6">
              <w:rPr>
                <w:color w:val="000000"/>
                <w:sz w:val="20"/>
                <w:szCs w:val="20"/>
              </w:rPr>
              <w:t>227,35</w:t>
            </w:r>
          </w:p>
        </w:tc>
        <w:tc>
          <w:tcPr>
            <w:tcW w:w="961" w:type="dxa"/>
          </w:tcPr>
          <w:p w:rsidR="00871EE7" w:rsidRPr="007C51D6" w:rsidRDefault="00871EE7" w:rsidP="00871EE7">
            <w:pPr>
              <w:spacing w:line="276" w:lineRule="auto"/>
              <w:jc w:val="center"/>
              <w:rPr>
                <w:sz w:val="20"/>
                <w:szCs w:val="20"/>
              </w:rPr>
            </w:pPr>
            <w:r w:rsidRPr="007C51D6">
              <w:rPr>
                <w:sz w:val="20"/>
                <w:szCs w:val="20"/>
              </w:rPr>
              <w:t>239,54</w:t>
            </w:r>
          </w:p>
        </w:tc>
        <w:tc>
          <w:tcPr>
            <w:tcW w:w="950" w:type="dxa"/>
          </w:tcPr>
          <w:p w:rsidR="00871EE7" w:rsidRPr="007C51D6" w:rsidRDefault="00871EE7" w:rsidP="00871EE7">
            <w:pPr>
              <w:spacing w:line="276" w:lineRule="auto"/>
              <w:jc w:val="center"/>
              <w:rPr>
                <w:sz w:val="20"/>
                <w:szCs w:val="20"/>
              </w:rPr>
            </w:pPr>
            <w:r w:rsidRPr="007C51D6">
              <w:rPr>
                <w:sz w:val="20"/>
                <w:szCs w:val="20"/>
              </w:rPr>
              <w:t>251,73</w:t>
            </w:r>
          </w:p>
        </w:tc>
        <w:tc>
          <w:tcPr>
            <w:tcW w:w="1044" w:type="dxa"/>
          </w:tcPr>
          <w:p w:rsidR="00871EE7" w:rsidRPr="007C51D6" w:rsidRDefault="00871EE7" w:rsidP="00871EE7">
            <w:pPr>
              <w:jc w:val="center"/>
              <w:rPr>
                <w:color w:val="000000"/>
                <w:sz w:val="20"/>
                <w:szCs w:val="20"/>
              </w:rPr>
            </w:pPr>
            <w:r w:rsidRPr="007C51D6">
              <w:rPr>
                <w:color w:val="000000"/>
                <w:sz w:val="20"/>
                <w:szCs w:val="20"/>
              </w:rPr>
              <w:t>нет</w:t>
            </w:r>
          </w:p>
          <w:p w:rsidR="00871EE7" w:rsidRPr="007C51D6" w:rsidRDefault="00871EE7" w:rsidP="00871EE7">
            <w:pPr>
              <w:spacing w:line="276" w:lineRule="auto"/>
              <w:jc w:val="center"/>
              <w:rPr>
                <w:color w:val="000000"/>
                <w:sz w:val="20"/>
                <w:szCs w:val="20"/>
              </w:rPr>
            </w:pPr>
            <w:r w:rsidRPr="007C51D6">
              <w:rPr>
                <w:color w:val="000000"/>
                <w:sz w:val="20"/>
                <w:szCs w:val="20"/>
              </w:rPr>
              <w:t>данных</w:t>
            </w:r>
          </w:p>
        </w:tc>
        <w:tc>
          <w:tcPr>
            <w:tcW w:w="1700" w:type="dxa"/>
            <w:gridSpan w:val="2"/>
          </w:tcPr>
          <w:p w:rsidR="00871EE7" w:rsidRPr="007C51D6" w:rsidRDefault="00871EE7" w:rsidP="00871EE7">
            <w:pPr>
              <w:spacing w:line="230" w:lineRule="auto"/>
              <w:jc w:val="center"/>
              <w:rPr>
                <w:rFonts w:eastAsia="Arial"/>
                <w:sz w:val="20"/>
                <w:szCs w:val="20"/>
              </w:rPr>
            </w:pPr>
            <w:r w:rsidRPr="007C51D6">
              <w:rPr>
                <w:rFonts w:eastAsia="Arial"/>
                <w:sz w:val="20"/>
                <w:szCs w:val="20"/>
              </w:rPr>
              <w:t>-</w:t>
            </w:r>
          </w:p>
        </w:tc>
      </w:tr>
      <w:tr w:rsidR="00871EE7" w:rsidRPr="007C51D6" w:rsidTr="00871EE7">
        <w:tc>
          <w:tcPr>
            <w:tcW w:w="2120" w:type="dxa"/>
          </w:tcPr>
          <w:p w:rsidR="00871EE7" w:rsidRPr="007C51D6" w:rsidRDefault="00871EE7" w:rsidP="00871EE7">
            <w:pPr>
              <w:spacing w:line="230" w:lineRule="auto"/>
              <w:jc w:val="both"/>
              <w:rPr>
                <w:rFonts w:eastAsia="Arial"/>
                <w:sz w:val="20"/>
                <w:szCs w:val="20"/>
              </w:rPr>
            </w:pPr>
            <w:r w:rsidRPr="007C51D6">
              <w:rPr>
                <w:color w:val="000000"/>
                <w:sz w:val="20"/>
                <w:szCs w:val="20"/>
              </w:rPr>
              <w:t>Приволжcкий федеральный округ</w:t>
            </w:r>
          </w:p>
        </w:tc>
        <w:tc>
          <w:tcPr>
            <w:tcW w:w="1699" w:type="dxa"/>
            <w:vMerge/>
          </w:tcPr>
          <w:p w:rsidR="00871EE7" w:rsidRPr="007C51D6" w:rsidRDefault="00871EE7" w:rsidP="00871EE7">
            <w:pPr>
              <w:spacing w:line="230" w:lineRule="auto"/>
              <w:rPr>
                <w:rFonts w:eastAsia="Arial"/>
                <w:sz w:val="20"/>
                <w:szCs w:val="20"/>
              </w:rPr>
            </w:pPr>
          </w:p>
        </w:tc>
        <w:tc>
          <w:tcPr>
            <w:tcW w:w="991" w:type="dxa"/>
          </w:tcPr>
          <w:p w:rsidR="00871EE7" w:rsidRPr="007C51D6" w:rsidRDefault="00871EE7" w:rsidP="00871EE7">
            <w:pPr>
              <w:spacing w:line="276" w:lineRule="auto"/>
              <w:jc w:val="center"/>
              <w:rPr>
                <w:color w:val="000000"/>
                <w:sz w:val="20"/>
                <w:szCs w:val="20"/>
              </w:rPr>
            </w:pPr>
            <w:r w:rsidRPr="007C51D6">
              <w:rPr>
                <w:color w:val="000000"/>
                <w:sz w:val="20"/>
                <w:szCs w:val="20"/>
              </w:rPr>
              <w:t>225,41</w:t>
            </w:r>
          </w:p>
        </w:tc>
        <w:tc>
          <w:tcPr>
            <w:tcW w:w="992" w:type="dxa"/>
          </w:tcPr>
          <w:p w:rsidR="00871EE7" w:rsidRPr="007C51D6" w:rsidRDefault="00871EE7" w:rsidP="00871EE7">
            <w:pPr>
              <w:spacing w:line="276" w:lineRule="auto"/>
              <w:jc w:val="center"/>
              <w:rPr>
                <w:color w:val="000000"/>
                <w:sz w:val="20"/>
                <w:szCs w:val="20"/>
              </w:rPr>
            </w:pPr>
            <w:r w:rsidRPr="007C51D6">
              <w:rPr>
                <w:color w:val="000000"/>
                <w:sz w:val="20"/>
                <w:szCs w:val="20"/>
              </w:rPr>
              <w:t>227,99</w:t>
            </w:r>
          </w:p>
        </w:tc>
        <w:tc>
          <w:tcPr>
            <w:tcW w:w="992" w:type="dxa"/>
          </w:tcPr>
          <w:p w:rsidR="00871EE7" w:rsidRPr="007C51D6" w:rsidRDefault="00871EE7" w:rsidP="00871EE7">
            <w:pPr>
              <w:spacing w:line="276" w:lineRule="auto"/>
              <w:jc w:val="center"/>
              <w:rPr>
                <w:color w:val="000000"/>
                <w:sz w:val="20"/>
                <w:szCs w:val="20"/>
              </w:rPr>
            </w:pPr>
            <w:r w:rsidRPr="007C51D6">
              <w:rPr>
                <w:color w:val="000000"/>
                <w:sz w:val="20"/>
                <w:szCs w:val="20"/>
              </w:rPr>
              <w:t>226,80</w:t>
            </w:r>
          </w:p>
        </w:tc>
        <w:tc>
          <w:tcPr>
            <w:tcW w:w="993" w:type="dxa"/>
          </w:tcPr>
          <w:p w:rsidR="00871EE7" w:rsidRPr="007C51D6" w:rsidRDefault="00871EE7" w:rsidP="00871EE7">
            <w:pPr>
              <w:spacing w:line="276" w:lineRule="auto"/>
              <w:jc w:val="center"/>
              <w:rPr>
                <w:color w:val="000000"/>
                <w:sz w:val="20"/>
                <w:szCs w:val="20"/>
              </w:rPr>
            </w:pPr>
            <w:r w:rsidRPr="007C51D6">
              <w:rPr>
                <w:color w:val="000000"/>
                <w:sz w:val="20"/>
                <w:szCs w:val="20"/>
              </w:rPr>
              <w:t>235,18</w:t>
            </w:r>
          </w:p>
        </w:tc>
        <w:tc>
          <w:tcPr>
            <w:tcW w:w="992" w:type="dxa"/>
          </w:tcPr>
          <w:p w:rsidR="00871EE7" w:rsidRPr="007C51D6" w:rsidRDefault="00871EE7" w:rsidP="00871EE7">
            <w:pPr>
              <w:spacing w:line="276" w:lineRule="auto"/>
              <w:jc w:val="center"/>
              <w:rPr>
                <w:color w:val="000000"/>
                <w:sz w:val="20"/>
                <w:szCs w:val="20"/>
              </w:rPr>
            </w:pPr>
            <w:r w:rsidRPr="007C51D6">
              <w:rPr>
                <w:color w:val="000000"/>
                <w:sz w:val="20"/>
                <w:szCs w:val="20"/>
              </w:rPr>
              <w:t>204,86</w:t>
            </w:r>
          </w:p>
        </w:tc>
        <w:tc>
          <w:tcPr>
            <w:tcW w:w="935" w:type="dxa"/>
          </w:tcPr>
          <w:p w:rsidR="00871EE7" w:rsidRPr="007C51D6" w:rsidRDefault="00871EE7" w:rsidP="00871EE7">
            <w:pPr>
              <w:spacing w:line="276" w:lineRule="auto"/>
              <w:jc w:val="center"/>
              <w:rPr>
                <w:color w:val="000000"/>
                <w:sz w:val="20"/>
                <w:szCs w:val="20"/>
              </w:rPr>
            </w:pPr>
            <w:r w:rsidRPr="007C51D6">
              <w:rPr>
                <w:color w:val="000000"/>
                <w:sz w:val="20"/>
                <w:szCs w:val="20"/>
              </w:rPr>
              <w:t>219,78</w:t>
            </w:r>
          </w:p>
        </w:tc>
        <w:tc>
          <w:tcPr>
            <w:tcW w:w="935" w:type="dxa"/>
          </w:tcPr>
          <w:p w:rsidR="00871EE7" w:rsidRPr="007C51D6" w:rsidRDefault="00871EE7" w:rsidP="00871EE7">
            <w:pPr>
              <w:jc w:val="center"/>
              <w:rPr>
                <w:sz w:val="20"/>
                <w:szCs w:val="20"/>
              </w:rPr>
            </w:pPr>
            <w:r w:rsidRPr="007C51D6">
              <w:rPr>
                <w:color w:val="000000"/>
                <w:sz w:val="20"/>
                <w:szCs w:val="20"/>
              </w:rPr>
              <w:t>231,34</w:t>
            </w:r>
          </w:p>
        </w:tc>
        <w:tc>
          <w:tcPr>
            <w:tcW w:w="961" w:type="dxa"/>
          </w:tcPr>
          <w:p w:rsidR="00871EE7" w:rsidRPr="007C51D6" w:rsidRDefault="00871EE7" w:rsidP="00871EE7">
            <w:pPr>
              <w:spacing w:line="276" w:lineRule="auto"/>
              <w:jc w:val="center"/>
              <w:rPr>
                <w:sz w:val="20"/>
                <w:szCs w:val="20"/>
              </w:rPr>
            </w:pPr>
            <w:r w:rsidRPr="007C51D6">
              <w:rPr>
                <w:sz w:val="20"/>
                <w:szCs w:val="20"/>
              </w:rPr>
              <w:t>243,26</w:t>
            </w:r>
          </w:p>
        </w:tc>
        <w:tc>
          <w:tcPr>
            <w:tcW w:w="950" w:type="dxa"/>
          </w:tcPr>
          <w:p w:rsidR="00871EE7" w:rsidRPr="007C51D6" w:rsidRDefault="00871EE7" w:rsidP="00871EE7">
            <w:pPr>
              <w:jc w:val="center"/>
              <w:rPr>
                <w:color w:val="000000"/>
                <w:sz w:val="20"/>
                <w:szCs w:val="20"/>
              </w:rPr>
            </w:pPr>
            <w:r w:rsidRPr="007C51D6">
              <w:rPr>
                <w:color w:val="000000"/>
                <w:sz w:val="20"/>
                <w:szCs w:val="20"/>
              </w:rPr>
              <w:t>247,43</w:t>
            </w:r>
          </w:p>
        </w:tc>
        <w:tc>
          <w:tcPr>
            <w:tcW w:w="1044" w:type="dxa"/>
          </w:tcPr>
          <w:p w:rsidR="00871EE7" w:rsidRPr="007C51D6" w:rsidRDefault="00871EE7" w:rsidP="00871EE7">
            <w:pPr>
              <w:jc w:val="center"/>
              <w:rPr>
                <w:color w:val="000000"/>
                <w:sz w:val="20"/>
                <w:szCs w:val="20"/>
              </w:rPr>
            </w:pPr>
            <w:r w:rsidRPr="007C51D6">
              <w:rPr>
                <w:color w:val="000000"/>
                <w:sz w:val="20"/>
                <w:szCs w:val="20"/>
              </w:rPr>
              <w:t>нет</w:t>
            </w:r>
          </w:p>
          <w:p w:rsidR="00871EE7" w:rsidRPr="007C51D6" w:rsidRDefault="00871EE7" w:rsidP="00871EE7">
            <w:pPr>
              <w:jc w:val="center"/>
              <w:rPr>
                <w:color w:val="000000"/>
                <w:sz w:val="20"/>
                <w:szCs w:val="20"/>
              </w:rPr>
            </w:pPr>
            <w:r w:rsidRPr="007C51D6">
              <w:rPr>
                <w:color w:val="000000"/>
                <w:sz w:val="20"/>
                <w:szCs w:val="20"/>
              </w:rPr>
              <w:t>данных</w:t>
            </w:r>
          </w:p>
        </w:tc>
        <w:tc>
          <w:tcPr>
            <w:tcW w:w="1700" w:type="dxa"/>
            <w:gridSpan w:val="2"/>
          </w:tcPr>
          <w:p w:rsidR="00871EE7" w:rsidRPr="007C51D6" w:rsidRDefault="00871EE7" w:rsidP="00871EE7">
            <w:pPr>
              <w:spacing w:line="230" w:lineRule="auto"/>
              <w:jc w:val="center"/>
              <w:rPr>
                <w:rFonts w:eastAsia="Arial"/>
                <w:sz w:val="20"/>
                <w:szCs w:val="20"/>
              </w:rPr>
            </w:pPr>
            <w:r w:rsidRPr="007C51D6">
              <w:rPr>
                <w:rFonts w:eastAsia="Arial"/>
                <w:sz w:val="20"/>
                <w:szCs w:val="20"/>
              </w:rPr>
              <w:t>-</w:t>
            </w:r>
          </w:p>
        </w:tc>
      </w:tr>
      <w:tr w:rsidR="00871EE7" w:rsidRPr="007C51D6" w:rsidTr="00871EE7">
        <w:tc>
          <w:tcPr>
            <w:tcW w:w="2120" w:type="dxa"/>
          </w:tcPr>
          <w:p w:rsidR="00871EE7" w:rsidRPr="007C51D6" w:rsidRDefault="00871EE7" w:rsidP="00871EE7">
            <w:pPr>
              <w:spacing w:line="230" w:lineRule="auto"/>
              <w:jc w:val="both"/>
              <w:rPr>
                <w:rFonts w:eastAsia="Arial"/>
                <w:sz w:val="20"/>
                <w:szCs w:val="20"/>
              </w:rPr>
            </w:pPr>
            <w:r w:rsidRPr="007C51D6">
              <w:rPr>
                <w:color w:val="000000"/>
                <w:sz w:val="20"/>
                <w:szCs w:val="20"/>
              </w:rPr>
              <w:t>Российская Федерация</w:t>
            </w:r>
          </w:p>
        </w:tc>
        <w:tc>
          <w:tcPr>
            <w:tcW w:w="1699" w:type="dxa"/>
            <w:vMerge/>
          </w:tcPr>
          <w:p w:rsidR="00871EE7" w:rsidRPr="007C51D6" w:rsidRDefault="00871EE7" w:rsidP="00871EE7">
            <w:pPr>
              <w:spacing w:line="230" w:lineRule="auto"/>
              <w:rPr>
                <w:rFonts w:eastAsia="Arial"/>
                <w:sz w:val="20"/>
                <w:szCs w:val="20"/>
              </w:rPr>
            </w:pPr>
          </w:p>
        </w:tc>
        <w:tc>
          <w:tcPr>
            <w:tcW w:w="991" w:type="dxa"/>
          </w:tcPr>
          <w:p w:rsidR="00871EE7" w:rsidRPr="007C51D6" w:rsidRDefault="00871EE7" w:rsidP="00871EE7">
            <w:pPr>
              <w:spacing w:line="276" w:lineRule="auto"/>
              <w:jc w:val="center"/>
              <w:rPr>
                <w:color w:val="000000"/>
                <w:sz w:val="20"/>
                <w:szCs w:val="20"/>
              </w:rPr>
            </w:pPr>
            <w:r w:rsidRPr="007C51D6">
              <w:rPr>
                <w:color w:val="000000"/>
                <w:sz w:val="20"/>
                <w:szCs w:val="20"/>
              </w:rPr>
              <w:t>225,64</w:t>
            </w:r>
          </w:p>
        </w:tc>
        <w:tc>
          <w:tcPr>
            <w:tcW w:w="992" w:type="dxa"/>
          </w:tcPr>
          <w:p w:rsidR="00871EE7" w:rsidRPr="007C51D6" w:rsidRDefault="00871EE7" w:rsidP="00871EE7">
            <w:pPr>
              <w:spacing w:line="276" w:lineRule="auto"/>
              <w:jc w:val="center"/>
              <w:rPr>
                <w:color w:val="000000"/>
                <w:sz w:val="20"/>
                <w:szCs w:val="20"/>
              </w:rPr>
            </w:pPr>
            <w:r w:rsidRPr="007C51D6">
              <w:rPr>
                <w:color w:val="000000"/>
                <w:sz w:val="20"/>
                <w:szCs w:val="20"/>
              </w:rPr>
              <w:t>229,55</w:t>
            </w:r>
          </w:p>
        </w:tc>
        <w:tc>
          <w:tcPr>
            <w:tcW w:w="992" w:type="dxa"/>
          </w:tcPr>
          <w:p w:rsidR="00871EE7" w:rsidRPr="007C51D6" w:rsidRDefault="00871EE7" w:rsidP="00871EE7">
            <w:pPr>
              <w:spacing w:line="276" w:lineRule="auto"/>
              <w:jc w:val="center"/>
              <w:rPr>
                <w:color w:val="000000"/>
                <w:sz w:val="20"/>
                <w:szCs w:val="20"/>
              </w:rPr>
            </w:pPr>
            <w:r w:rsidRPr="007C51D6">
              <w:rPr>
                <w:color w:val="000000"/>
                <w:sz w:val="20"/>
                <w:szCs w:val="20"/>
              </w:rPr>
              <w:t>230,16</w:t>
            </w:r>
          </w:p>
        </w:tc>
        <w:tc>
          <w:tcPr>
            <w:tcW w:w="993" w:type="dxa"/>
          </w:tcPr>
          <w:p w:rsidR="00871EE7" w:rsidRPr="007C51D6" w:rsidRDefault="00871EE7" w:rsidP="00871EE7">
            <w:pPr>
              <w:spacing w:line="276" w:lineRule="auto"/>
              <w:jc w:val="center"/>
              <w:rPr>
                <w:color w:val="000000"/>
                <w:sz w:val="20"/>
                <w:szCs w:val="20"/>
              </w:rPr>
            </w:pPr>
            <w:r w:rsidRPr="007C51D6">
              <w:rPr>
                <w:color w:val="000000"/>
                <w:sz w:val="20"/>
                <w:szCs w:val="20"/>
              </w:rPr>
              <w:t>234,51</w:t>
            </w:r>
          </w:p>
        </w:tc>
        <w:tc>
          <w:tcPr>
            <w:tcW w:w="992" w:type="dxa"/>
          </w:tcPr>
          <w:p w:rsidR="00871EE7" w:rsidRPr="007C51D6" w:rsidRDefault="00871EE7" w:rsidP="00871EE7">
            <w:pPr>
              <w:spacing w:line="276" w:lineRule="auto"/>
              <w:jc w:val="center"/>
              <w:rPr>
                <w:color w:val="000000"/>
                <w:sz w:val="20"/>
                <w:szCs w:val="20"/>
              </w:rPr>
            </w:pPr>
            <w:r w:rsidRPr="007C51D6">
              <w:rPr>
                <w:color w:val="000000"/>
                <w:sz w:val="20"/>
                <w:szCs w:val="20"/>
              </w:rPr>
              <w:t>203,45</w:t>
            </w:r>
          </w:p>
        </w:tc>
        <w:tc>
          <w:tcPr>
            <w:tcW w:w="935" w:type="dxa"/>
          </w:tcPr>
          <w:p w:rsidR="00871EE7" w:rsidRPr="007C51D6" w:rsidRDefault="00871EE7" w:rsidP="00871EE7">
            <w:pPr>
              <w:spacing w:line="276" w:lineRule="auto"/>
              <w:jc w:val="center"/>
              <w:rPr>
                <w:color w:val="000000"/>
                <w:sz w:val="20"/>
                <w:szCs w:val="20"/>
              </w:rPr>
            </w:pPr>
            <w:r w:rsidRPr="007C51D6">
              <w:rPr>
                <w:color w:val="000000"/>
                <w:sz w:val="20"/>
                <w:szCs w:val="20"/>
              </w:rPr>
              <w:t>213,58</w:t>
            </w:r>
          </w:p>
        </w:tc>
        <w:tc>
          <w:tcPr>
            <w:tcW w:w="935" w:type="dxa"/>
          </w:tcPr>
          <w:p w:rsidR="00871EE7" w:rsidRPr="007C51D6" w:rsidRDefault="00871EE7" w:rsidP="00871EE7">
            <w:pPr>
              <w:jc w:val="center"/>
              <w:rPr>
                <w:sz w:val="20"/>
                <w:szCs w:val="20"/>
              </w:rPr>
            </w:pPr>
            <w:r w:rsidRPr="007C51D6">
              <w:rPr>
                <w:color w:val="000000"/>
                <w:sz w:val="20"/>
                <w:szCs w:val="20"/>
              </w:rPr>
              <w:t>226,33</w:t>
            </w:r>
          </w:p>
        </w:tc>
        <w:tc>
          <w:tcPr>
            <w:tcW w:w="961" w:type="dxa"/>
          </w:tcPr>
          <w:p w:rsidR="00871EE7" w:rsidRPr="007C51D6" w:rsidRDefault="00871EE7" w:rsidP="00871EE7">
            <w:pPr>
              <w:spacing w:line="276" w:lineRule="auto"/>
              <w:jc w:val="center"/>
              <w:rPr>
                <w:sz w:val="20"/>
                <w:szCs w:val="20"/>
              </w:rPr>
            </w:pPr>
            <w:r w:rsidRPr="007C51D6">
              <w:rPr>
                <w:sz w:val="20"/>
                <w:szCs w:val="20"/>
              </w:rPr>
              <w:t>238,93</w:t>
            </w:r>
          </w:p>
        </w:tc>
        <w:tc>
          <w:tcPr>
            <w:tcW w:w="950" w:type="dxa"/>
          </w:tcPr>
          <w:p w:rsidR="00871EE7" w:rsidRPr="007C51D6" w:rsidRDefault="00871EE7" w:rsidP="00871EE7">
            <w:pPr>
              <w:jc w:val="center"/>
              <w:rPr>
                <w:color w:val="000000"/>
                <w:sz w:val="20"/>
                <w:szCs w:val="20"/>
              </w:rPr>
            </w:pPr>
            <w:r w:rsidRPr="007C51D6">
              <w:rPr>
                <w:color w:val="000000"/>
                <w:sz w:val="20"/>
                <w:szCs w:val="20"/>
              </w:rPr>
              <w:t>243,02</w:t>
            </w:r>
          </w:p>
        </w:tc>
        <w:tc>
          <w:tcPr>
            <w:tcW w:w="1044" w:type="dxa"/>
          </w:tcPr>
          <w:p w:rsidR="00871EE7" w:rsidRPr="007C51D6" w:rsidRDefault="00871EE7" w:rsidP="00871EE7">
            <w:pPr>
              <w:jc w:val="center"/>
              <w:rPr>
                <w:color w:val="000000"/>
                <w:sz w:val="20"/>
                <w:szCs w:val="20"/>
              </w:rPr>
            </w:pPr>
            <w:r w:rsidRPr="007C51D6">
              <w:rPr>
                <w:color w:val="000000"/>
                <w:sz w:val="20"/>
                <w:szCs w:val="20"/>
              </w:rPr>
              <w:t>нет</w:t>
            </w:r>
          </w:p>
          <w:p w:rsidR="00871EE7" w:rsidRPr="007C51D6" w:rsidRDefault="00871EE7" w:rsidP="00871EE7">
            <w:pPr>
              <w:jc w:val="center"/>
              <w:rPr>
                <w:color w:val="000000"/>
                <w:sz w:val="20"/>
                <w:szCs w:val="20"/>
              </w:rPr>
            </w:pPr>
            <w:r w:rsidRPr="007C51D6">
              <w:rPr>
                <w:color w:val="000000"/>
                <w:sz w:val="20"/>
                <w:szCs w:val="20"/>
              </w:rPr>
              <w:t>данных</w:t>
            </w:r>
          </w:p>
        </w:tc>
        <w:tc>
          <w:tcPr>
            <w:tcW w:w="1700" w:type="dxa"/>
            <w:gridSpan w:val="2"/>
          </w:tcPr>
          <w:p w:rsidR="00871EE7" w:rsidRPr="007C51D6" w:rsidRDefault="00871EE7" w:rsidP="00871EE7">
            <w:pPr>
              <w:spacing w:line="230" w:lineRule="auto"/>
              <w:jc w:val="center"/>
              <w:rPr>
                <w:rFonts w:eastAsia="Arial"/>
                <w:sz w:val="20"/>
                <w:szCs w:val="20"/>
              </w:rPr>
            </w:pPr>
            <w:r w:rsidRPr="007C51D6">
              <w:rPr>
                <w:rFonts w:eastAsia="Arial"/>
                <w:sz w:val="20"/>
                <w:szCs w:val="20"/>
              </w:rPr>
              <w:t>-</w:t>
            </w:r>
          </w:p>
        </w:tc>
      </w:tr>
    </w:tbl>
    <w:p w:rsidR="007F46A2" w:rsidRPr="007C51D6" w:rsidRDefault="007F46A2">
      <w:pPr>
        <w:rPr>
          <w:sz w:val="2"/>
          <w:szCs w:val="2"/>
        </w:rPr>
      </w:pPr>
    </w:p>
    <w:p w:rsidR="007F46A2" w:rsidRPr="007C51D6" w:rsidRDefault="007F46A2" w:rsidP="00D811D4">
      <w:pPr>
        <w:autoSpaceDE/>
        <w:autoSpaceDN/>
        <w:adjustRightInd/>
        <w:rPr>
          <w:rFonts w:eastAsia="Arial"/>
          <w:sz w:val="20"/>
          <w:szCs w:val="20"/>
        </w:rPr>
      </w:pPr>
    </w:p>
    <w:p w:rsidR="00D811D4" w:rsidRPr="007C51D6" w:rsidRDefault="00D811D4" w:rsidP="005317F0">
      <w:pPr>
        <w:autoSpaceDE/>
        <w:autoSpaceDN/>
        <w:adjustRightInd/>
        <w:ind w:firstLine="709"/>
        <w:rPr>
          <w:rFonts w:eastAsia="Arial"/>
          <w:sz w:val="28"/>
          <w:szCs w:val="28"/>
        </w:rPr>
      </w:pPr>
      <w:r w:rsidRPr="007C51D6">
        <w:rPr>
          <w:rFonts w:eastAsia="Arial"/>
          <w:sz w:val="20"/>
          <w:szCs w:val="20"/>
        </w:rPr>
        <w:t>*Представлены оперативные данные</w:t>
      </w:r>
      <w:r w:rsidR="001F1DAA" w:rsidRPr="007C51D6">
        <w:rPr>
          <w:rFonts w:eastAsia="Arial"/>
          <w:sz w:val="20"/>
          <w:szCs w:val="20"/>
        </w:rPr>
        <w:t>.</w:t>
      </w:r>
    </w:p>
    <w:p w:rsidR="00181549" w:rsidRPr="007C51D6" w:rsidRDefault="00181549" w:rsidP="00D027E7">
      <w:pPr>
        <w:shd w:val="clear" w:color="auto" w:fill="FFFFFF"/>
        <w:autoSpaceDE/>
        <w:autoSpaceDN/>
        <w:adjustRightInd/>
        <w:ind w:firstLine="709"/>
        <w:jc w:val="both"/>
        <w:rPr>
          <w:rFonts w:eastAsia="Arial"/>
          <w:spacing w:val="1"/>
          <w:sz w:val="28"/>
          <w:szCs w:val="28"/>
        </w:rPr>
      </w:pPr>
    </w:p>
    <w:p w:rsidR="005C716C" w:rsidRPr="007C51D6" w:rsidRDefault="00D027E7" w:rsidP="00D027E7">
      <w:pPr>
        <w:shd w:val="clear" w:color="auto" w:fill="FFFFFF"/>
        <w:autoSpaceDE/>
        <w:autoSpaceDN/>
        <w:adjustRightInd/>
        <w:ind w:firstLine="709"/>
        <w:jc w:val="both"/>
        <w:rPr>
          <w:rFonts w:eastAsia="Arial"/>
          <w:sz w:val="28"/>
          <w:szCs w:val="28"/>
        </w:rPr>
      </w:pPr>
      <w:r w:rsidRPr="007C51D6">
        <w:rPr>
          <w:rFonts w:eastAsia="Arial"/>
          <w:spacing w:val="1"/>
          <w:sz w:val="28"/>
          <w:szCs w:val="28"/>
        </w:rPr>
        <w:t xml:space="preserve">За </w:t>
      </w:r>
      <w:r w:rsidR="00CA5B2D" w:rsidRPr="007C51D6">
        <w:rPr>
          <w:rFonts w:eastAsia="Arial"/>
          <w:spacing w:val="1"/>
          <w:sz w:val="28"/>
          <w:szCs w:val="28"/>
        </w:rPr>
        <w:t>10-</w:t>
      </w:r>
      <w:r w:rsidRPr="007C51D6">
        <w:rPr>
          <w:rFonts w:eastAsia="Arial"/>
          <w:spacing w:val="1"/>
          <w:sz w:val="28"/>
          <w:szCs w:val="28"/>
        </w:rPr>
        <w:t>летний период (201</w:t>
      </w:r>
      <w:r w:rsidR="00F635A4" w:rsidRPr="007C51D6">
        <w:rPr>
          <w:rFonts w:eastAsia="Arial"/>
          <w:spacing w:val="1"/>
          <w:sz w:val="28"/>
          <w:szCs w:val="28"/>
        </w:rPr>
        <w:t>6</w:t>
      </w:r>
      <w:r w:rsidRPr="007C51D6">
        <w:rPr>
          <w:rFonts w:eastAsia="Arial"/>
          <w:spacing w:val="1"/>
          <w:sz w:val="28"/>
          <w:szCs w:val="28"/>
        </w:rPr>
        <w:t xml:space="preserve"> – 202</w:t>
      </w:r>
      <w:r w:rsidR="00F635A4" w:rsidRPr="007C51D6">
        <w:rPr>
          <w:rFonts w:eastAsia="Arial"/>
          <w:spacing w:val="1"/>
          <w:sz w:val="28"/>
          <w:szCs w:val="28"/>
        </w:rPr>
        <w:t>5</w:t>
      </w:r>
      <w:r w:rsidRPr="007C51D6">
        <w:rPr>
          <w:rFonts w:eastAsia="Arial"/>
          <w:spacing w:val="1"/>
          <w:sz w:val="28"/>
          <w:szCs w:val="28"/>
        </w:rPr>
        <w:t xml:space="preserve"> годы) темп </w:t>
      </w:r>
      <w:r w:rsidRPr="007C51D6">
        <w:rPr>
          <w:rFonts w:eastAsia="Arial"/>
          <w:sz w:val="28"/>
          <w:szCs w:val="28"/>
        </w:rPr>
        <w:t xml:space="preserve">прироста </w:t>
      </w:r>
      <w:r w:rsidR="002F7358" w:rsidRPr="007C51D6">
        <w:rPr>
          <w:rFonts w:eastAsia="Arial"/>
          <w:sz w:val="28"/>
          <w:szCs w:val="28"/>
        </w:rPr>
        <w:t>«</w:t>
      </w:r>
      <w:r w:rsidRPr="007C51D6">
        <w:rPr>
          <w:rFonts w:eastAsia="Arial"/>
          <w:sz w:val="28"/>
          <w:szCs w:val="28"/>
        </w:rPr>
        <w:t>грубого</w:t>
      </w:r>
      <w:r w:rsidR="002F7358" w:rsidRPr="007C51D6">
        <w:rPr>
          <w:rFonts w:eastAsia="Arial"/>
          <w:sz w:val="28"/>
          <w:szCs w:val="28"/>
        </w:rPr>
        <w:t>»</w:t>
      </w:r>
      <w:r w:rsidRPr="007C51D6">
        <w:rPr>
          <w:rFonts w:eastAsia="Arial"/>
          <w:sz w:val="28"/>
          <w:szCs w:val="28"/>
        </w:rPr>
        <w:t xml:space="preserve"> показателя заболеваемости ЗНО составил 2</w:t>
      </w:r>
      <w:r w:rsidR="00F635A4" w:rsidRPr="007C51D6">
        <w:rPr>
          <w:rFonts w:eastAsia="Arial"/>
          <w:sz w:val="28"/>
          <w:szCs w:val="28"/>
        </w:rPr>
        <w:t>6</w:t>
      </w:r>
      <w:r w:rsidRPr="007C51D6">
        <w:rPr>
          <w:rFonts w:eastAsia="Arial"/>
          <w:sz w:val="28"/>
          <w:szCs w:val="28"/>
        </w:rPr>
        <w:t>,</w:t>
      </w:r>
      <w:r w:rsidR="00F635A4" w:rsidRPr="007C51D6">
        <w:rPr>
          <w:rFonts w:eastAsia="Arial"/>
          <w:sz w:val="28"/>
          <w:szCs w:val="28"/>
        </w:rPr>
        <w:t>8</w:t>
      </w:r>
      <w:r w:rsidRPr="007C51D6">
        <w:rPr>
          <w:rFonts w:eastAsia="Arial"/>
          <w:sz w:val="28"/>
          <w:szCs w:val="28"/>
        </w:rPr>
        <w:t xml:space="preserve"> процента</w:t>
      </w:r>
      <w:r w:rsidRPr="007C51D6">
        <w:rPr>
          <w:rFonts w:eastAsia="Arial"/>
          <w:spacing w:val="1"/>
          <w:sz w:val="28"/>
          <w:szCs w:val="28"/>
        </w:rPr>
        <w:t xml:space="preserve"> </w:t>
      </w:r>
      <w:r w:rsidRPr="007C51D6">
        <w:rPr>
          <w:rFonts w:eastAsia="Arial"/>
          <w:sz w:val="28"/>
          <w:szCs w:val="28"/>
        </w:rPr>
        <w:t>(в 202</w:t>
      </w:r>
      <w:r w:rsidR="00F635A4" w:rsidRPr="007C51D6">
        <w:rPr>
          <w:rFonts w:eastAsia="Arial"/>
          <w:sz w:val="28"/>
          <w:szCs w:val="28"/>
        </w:rPr>
        <w:t>5</w:t>
      </w:r>
      <w:r w:rsidRPr="007C51D6">
        <w:rPr>
          <w:rFonts w:eastAsia="Arial"/>
          <w:sz w:val="28"/>
          <w:szCs w:val="28"/>
        </w:rPr>
        <w:t xml:space="preserve"> году – </w:t>
      </w:r>
      <w:r w:rsidR="00F635A4" w:rsidRPr="007C51D6">
        <w:rPr>
          <w:rFonts w:eastAsia="Arial"/>
          <w:sz w:val="28"/>
          <w:szCs w:val="28"/>
        </w:rPr>
        <w:t>508</w:t>
      </w:r>
      <w:r w:rsidRPr="007C51D6">
        <w:rPr>
          <w:rFonts w:eastAsia="Arial"/>
          <w:sz w:val="28"/>
          <w:szCs w:val="28"/>
        </w:rPr>
        <w:t>,</w:t>
      </w:r>
      <w:r w:rsidR="00F635A4" w:rsidRPr="007C51D6">
        <w:rPr>
          <w:rFonts w:eastAsia="Arial"/>
          <w:sz w:val="28"/>
          <w:szCs w:val="28"/>
        </w:rPr>
        <w:t>34</w:t>
      </w:r>
      <w:r w:rsidRPr="007C51D6">
        <w:rPr>
          <w:rFonts w:eastAsia="Arial"/>
          <w:sz w:val="28"/>
          <w:szCs w:val="28"/>
        </w:rPr>
        <w:t xml:space="preserve"> случая; в 201</w:t>
      </w:r>
      <w:r w:rsidR="00F635A4" w:rsidRPr="007C51D6">
        <w:rPr>
          <w:rFonts w:eastAsia="Arial"/>
          <w:sz w:val="28"/>
          <w:szCs w:val="28"/>
        </w:rPr>
        <w:t>6</w:t>
      </w:r>
      <w:r w:rsidRPr="007C51D6">
        <w:rPr>
          <w:rFonts w:eastAsia="Arial"/>
          <w:sz w:val="28"/>
          <w:szCs w:val="28"/>
        </w:rPr>
        <w:t xml:space="preserve"> году – </w:t>
      </w:r>
      <w:r w:rsidR="00F635A4" w:rsidRPr="007C51D6">
        <w:rPr>
          <w:rFonts w:eastAsia="Arial"/>
          <w:sz w:val="28"/>
          <w:szCs w:val="28"/>
        </w:rPr>
        <w:t>400</w:t>
      </w:r>
      <w:r w:rsidRPr="007C51D6">
        <w:rPr>
          <w:color w:val="000000"/>
          <w:sz w:val="28"/>
          <w:szCs w:val="28"/>
        </w:rPr>
        <w:t>,</w:t>
      </w:r>
      <w:r w:rsidR="00F635A4" w:rsidRPr="007C51D6">
        <w:rPr>
          <w:color w:val="000000"/>
          <w:sz w:val="28"/>
          <w:szCs w:val="28"/>
        </w:rPr>
        <w:t>96</w:t>
      </w:r>
      <w:r w:rsidRPr="007C51D6">
        <w:rPr>
          <w:rFonts w:eastAsia="Arial"/>
          <w:sz w:val="28"/>
          <w:szCs w:val="28"/>
        </w:rPr>
        <w:t xml:space="preserve"> случая на 100 тыс.населения), темп прироста стандартизованного показателя заболеваемости составил 1</w:t>
      </w:r>
      <w:r w:rsidR="00F635A4" w:rsidRPr="007C51D6">
        <w:rPr>
          <w:rFonts w:eastAsia="Arial"/>
          <w:sz w:val="28"/>
          <w:szCs w:val="28"/>
        </w:rPr>
        <w:t>5</w:t>
      </w:r>
      <w:r w:rsidRPr="007C51D6">
        <w:rPr>
          <w:rFonts w:eastAsia="Arial"/>
          <w:sz w:val="28"/>
          <w:szCs w:val="28"/>
        </w:rPr>
        <w:t>,</w:t>
      </w:r>
      <w:r w:rsidR="00F635A4" w:rsidRPr="007C51D6">
        <w:rPr>
          <w:rFonts w:eastAsia="Arial"/>
          <w:sz w:val="28"/>
          <w:szCs w:val="28"/>
        </w:rPr>
        <w:t>3</w:t>
      </w:r>
      <w:r w:rsidRPr="007C51D6">
        <w:rPr>
          <w:rFonts w:eastAsia="Arial"/>
          <w:sz w:val="28"/>
          <w:szCs w:val="28"/>
        </w:rPr>
        <w:t xml:space="preserve"> процента (в 202</w:t>
      </w:r>
      <w:r w:rsidR="00F635A4" w:rsidRPr="007C51D6">
        <w:rPr>
          <w:rFonts w:eastAsia="Arial"/>
          <w:sz w:val="28"/>
          <w:szCs w:val="28"/>
        </w:rPr>
        <w:t>5</w:t>
      </w:r>
      <w:r w:rsidRPr="007C51D6">
        <w:rPr>
          <w:rFonts w:eastAsia="Arial"/>
          <w:sz w:val="28"/>
          <w:szCs w:val="28"/>
        </w:rPr>
        <w:t xml:space="preserve"> году – 2</w:t>
      </w:r>
      <w:r w:rsidR="00F635A4" w:rsidRPr="007C51D6">
        <w:rPr>
          <w:rFonts w:eastAsia="Arial"/>
          <w:sz w:val="28"/>
          <w:szCs w:val="28"/>
        </w:rPr>
        <w:t>76</w:t>
      </w:r>
      <w:r w:rsidRPr="007C51D6">
        <w:rPr>
          <w:rFonts w:eastAsia="Arial"/>
          <w:sz w:val="28"/>
          <w:szCs w:val="28"/>
        </w:rPr>
        <w:t>,2</w:t>
      </w:r>
      <w:r w:rsidR="00F635A4" w:rsidRPr="007C51D6">
        <w:rPr>
          <w:rFonts w:eastAsia="Arial"/>
          <w:sz w:val="28"/>
          <w:szCs w:val="28"/>
        </w:rPr>
        <w:t>9</w:t>
      </w:r>
      <w:r w:rsidRPr="007C51D6">
        <w:rPr>
          <w:rFonts w:eastAsia="Arial"/>
          <w:sz w:val="28"/>
          <w:szCs w:val="28"/>
        </w:rPr>
        <w:t xml:space="preserve"> случая; в 201</w:t>
      </w:r>
      <w:r w:rsidR="00F635A4" w:rsidRPr="007C51D6">
        <w:rPr>
          <w:rFonts w:eastAsia="Arial"/>
          <w:sz w:val="28"/>
          <w:szCs w:val="28"/>
        </w:rPr>
        <w:t>6</w:t>
      </w:r>
      <w:r w:rsidRPr="007C51D6">
        <w:rPr>
          <w:rFonts w:eastAsia="Arial"/>
          <w:sz w:val="28"/>
          <w:szCs w:val="28"/>
        </w:rPr>
        <w:t xml:space="preserve"> году – </w:t>
      </w:r>
      <w:r w:rsidRPr="007C51D6">
        <w:rPr>
          <w:color w:val="000000"/>
          <w:sz w:val="28"/>
          <w:szCs w:val="28"/>
        </w:rPr>
        <w:t>23</w:t>
      </w:r>
      <w:r w:rsidR="00F635A4" w:rsidRPr="007C51D6">
        <w:rPr>
          <w:color w:val="000000"/>
          <w:sz w:val="28"/>
          <w:szCs w:val="28"/>
        </w:rPr>
        <w:t>9</w:t>
      </w:r>
      <w:r w:rsidRPr="007C51D6">
        <w:rPr>
          <w:color w:val="000000"/>
          <w:sz w:val="28"/>
          <w:szCs w:val="28"/>
        </w:rPr>
        <w:t>,</w:t>
      </w:r>
      <w:r w:rsidR="00F635A4" w:rsidRPr="007C51D6">
        <w:rPr>
          <w:color w:val="000000"/>
          <w:sz w:val="28"/>
          <w:szCs w:val="28"/>
        </w:rPr>
        <w:t>54</w:t>
      </w:r>
      <w:r w:rsidRPr="007C51D6">
        <w:rPr>
          <w:rFonts w:eastAsia="Arial"/>
          <w:sz w:val="28"/>
          <w:szCs w:val="28"/>
        </w:rPr>
        <w:t xml:space="preserve"> случая на 100 тыс.населения). </w:t>
      </w:r>
    </w:p>
    <w:p w:rsidR="00D027E7" w:rsidRPr="007C51D6" w:rsidRDefault="00D027E7" w:rsidP="00D027E7">
      <w:pPr>
        <w:shd w:val="clear" w:color="auto" w:fill="FFFFFF"/>
        <w:autoSpaceDE/>
        <w:autoSpaceDN/>
        <w:adjustRightInd/>
        <w:ind w:firstLine="709"/>
        <w:jc w:val="both"/>
        <w:rPr>
          <w:rFonts w:eastAsia="Arial"/>
          <w:spacing w:val="-2"/>
          <w:sz w:val="28"/>
          <w:szCs w:val="28"/>
        </w:rPr>
      </w:pPr>
      <w:r w:rsidRPr="007C51D6">
        <w:rPr>
          <w:rFonts w:eastAsia="Arial"/>
          <w:sz w:val="28"/>
          <w:szCs w:val="28"/>
        </w:rPr>
        <w:t xml:space="preserve">При этом рост </w:t>
      </w:r>
      <w:r w:rsidR="002F7358" w:rsidRPr="007C51D6">
        <w:rPr>
          <w:rFonts w:eastAsia="Arial"/>
          <w:sz w:val="28"/>
          <w:szCs w:val="28"/>
        </w:rPr>
        <w:t>«</w:t>
      </w:r>
      <w:r w:rsidRPr="007C51D6">
        <w:rPr>
          <w:rFonts w:eastAsia="Arial"/>
          <w:sz w:val="28"/>
          <w:szCs w:val="28"/>
        </w:rPr>
        <w:t>грубого</w:t>
      </w:r>
      <w:r w:rsidR="002F7358" w:rsidRPr="007C51D6">
        <w:rPr>
          <w:rFonts w:eastAsia="Arial"/>
          <w:sz w:val="28"/>
          <w:szCs w:val="28"/>
        </w:rPr>
        <w:t>»</w:t>
      </w:r>
      <w:r w:rsidRPr="007C51D6">
        <w:rPr>
          <w:rFonts w:eastAsia="Arial"/>
          <w:sz w:val="28"/>
          <w:szCs w:val="28"/>
        </w:rPr>
        <w:t xml:space="preserve"> и стандартизованного показателей заболеваемости ЗНО регистрируется как среди мужского, так и среди женского населения </w:t>
      </w:r>
      <w:r w:rsidR="00CF6545" w:rsidRPr="007C51D6">
        <w:rPr>
          <w:rFonts w:eastAsia="Arial"/>
          <w:spacing w:val="-2"/>
          <w:sz w:val="28"/>
          <w:szCs w:val="28"/>
        </w:rPr>
        <w:t>(таблица 1).</w:t>
      </w:r>
    </w:p>
    <w:p w:rsidR="00D027E7" w:rsidRPr="007C51D6" w:rsidRDefault="00D027E7" w:rsidP="00D027E7">
      <w:pPr>
        <w:autoSpaceDE/>
        <w:autoSpaceDN/>
        <w:adjustRightInd/>
        <w:ind w:firstLine="709"/>
        <w:jc w:val="both"/>
        <w:rPr>
          <w:rFonts w:eastAsia="Arial"/>
          <w:spacing w:val="-2"/>
          <w:sz w:val="28"/>
          <w:szCs w:val="28"/>
        </w:rPr>
      </w:pPr>
      <w:r w:rsidRPr="007C51D6">
        <w:rPr>
          <w:rFonts w:eastAsia="Arial"/>
          <w:spacing w:val="-2"/>
          <w:sz w:val="28"/>
          <w:szCs w:val="28"/>
        </w:rPr>
        <w:t xml:space="preserve">Прирост показателей заболеваемости ЗНО в значительной мере определен неблагоприятным развитием демографических </w:t>
      </w:r>
      <w:r w:rsidRPr="007C51D6">
        <w:rPr>
          <w:rFonts w:eastAsia="Arial"/>
          <w:spacing w:val="-2"/>
          <w:sz w:val="28"/>
          <w:szCs w:val="28"/>
        </w:rPr>
        <w:lastRenderedPageBreak/>
        <w:t xml:space="preserve">процессов в популяции, обусловившим </w:t>
      </w:r>
      <w:r w:rsidR="002F7358" w:rsidRPr="007C51D6">
        <w:rPr>
          <w:rFonts w:eastAsia="Arial"/>
          <w:spacing w:val="-2"/>
          <w:sz w:val="28"/>
          <w:szCs w:val="28"/>
        </w:rPr>
        <w:t>«</w:t>
      </w:r>
      <w:r w:rsidRPr="007C51D6">
        <w:rPr>
          <w:rFonts w:eastAsia="Arial"/>
          <w:spacing w:val="-2"/>
          <w:sz w:val="28"/>
          <w:szCs w:val="28"/>
        </w:rPr>
        <w:t>постарение</w:t>
      </w:r>
      <w:r w:rsidR="002F7358" w:rsidRPr="007C51D6">
        <w:rPr>
          <w:rFonts w:eastAsia="Arial"/>
          <w:spacing w:val="-2"/>
          <w:sz w:val="28"/>
          <w:szCs w:val="28"/>
        </w:rPr>
        <w:t>»</w:t>
      </w:r>
      <w:r w:rsidRPr="007C51D6">
        <w:rPr>
          <w:rFonts w:eastAsia="Arial"/>
          <w:spacing w:val="-2"/>
          <w:sz w:val="28"/>
          <w:szCs w:val="28"/>
        </w:rPr>
        <w:t xml:space="preserve"> населения. </w:t>
      </w:r>
    </w:p>
    <w:p w:rsidR="00E57BBE" w:rsidRPr="007C51D6" w:rsidRDefault="00E57BBE" w:rsidP="007F46A2">
      <w:pPr>
        <w:autoSpaceDE/>
        <w:autoSpaceDN/>
        <w:adjustRightInd/>
        <w:jc w:val="right"/>
        <w:rPr>
          <w:rFonts w:eastAsia="Arial"/>
          <w:sz w:val="28"/>
          <w:szCs w:val="28"/>
        </w:rPr>
      </w:pPr>
    </w:p>
    <w:p w:rsidR="003D2F39" w:rsidRPr="007C51D6" w:rsidRDefault="0041790A" w:rsidP="007F46A2">
      <w:pPr>
        <w:autoSpaceDE/>
        <w:autoSpaceDN/>
        <w:adjustRightInd/>
        <w:jc w:val="right"/>
        <w:rPr>
          <w:rFonts w:eastAsia="Arial"/>
          <w:sz w:val="28"/>
          <w:szCs w:val="28"/>
        </w:rPr>
      </w:pPr>
      <w:r w:rsidRPr="007C51D6">
        <w:rPr>
          <w:rFonts w:eastAsia="Arial"/>
          <w:sz w:val="28"/>
          <w:szCs w:val="28"/>
        </w:rPr>
        <w:t>Та</w:t>
      </w:r>
      <w:r w:rsidR="003D2F39" w:rsidRPr="007C51D6">
        <w:rPr>
          <w:rFonts w:eastAsia="Arial"/>
          <w:sz w:val="28"/>
          <w:szCs w:val="28"/>
        </w:rPr>
        <w:t xml:space="preserve">блица </w:t>
      </w:r>
      <w:r w:rsidR="00381A83" w:rsidRPr="007C51D6">
        <w:rPr>
          <w:rFonts w:eastAsia="Arial"/>
          <w:sz w:val="28"/>
          <w:szCs w:val="28"/>
        </w:rPr>
        <w:t>2</w:t>
      </w:r>
    </w:p>
    <w:p w:rsidR="002813C5" w:rsidRPr="007C51D6" w:rsidRDefault="002813C5" w:rsidP="007F46A2">
      <w:pPr>
        <w:autoSpaceDE/>
        <w:autoSpaceDN/>
        <w:adjustRightInd/>
        <w:jc w:val="right"/>
        <w:rPr>
          <w:rFonts w:eastAsia="Arial"/>
          <w:sz w:val="28"/>
          <w:szCs w:val="28"/>
        </w:rPr>
      </w:pPr>
    </w:p>
    <w:p w:rsidR="00E57BBE" w:rsidRPr="007C51D6" w:rsidRDefault="00E57BBE" w:rsidP="00E57BBE">
      <w:pPr>
        <w:autoSpaceDE/>
        <w:autoSpaceDN/>
        <w:adjustRightInd/>
        <w:jc w:val="center"/>
        <w:rPr>
          <w:rFonts w:eastAsia="Arial"/>
          <w:sz w:val="28"/>
          <w:szCs w:val="28"/>
        </w:rPr>
      </w:pPr>
      <w:r w:rsidRPr="007C51D6">
        <w:rPr>
          <w:rFonts w:eastAsia="Arial"/>
          <w:sz w:val="28"/>
          <w:szCs w:val="28"/>
        </w:rPr>
        <w:t xml:space="preserve">Динамика показателя заболеваемости ЗНО в муниципальных образованиях </w:t>
      </w:r>
    </w:p>
    <w:p w:rsidR="00E57BBE" w:rsidRPr="007C51D6" w:rsidRDefault="00E57BBE" w:rsidP="00E57BBE">
      <w:pPr>
        <w:autoSpaceDE/>
        <w:autoSpaceDN/>
        <w:adjustRightInd/>
        <w:jc w:val="center"/>
        <w:rPr>
          <w:rFonts w:eastAsia="Arial"/>
          <w:sz w:val="28"/>
          <w:szCs w:val="28"/>
        </w:rPr>
      </w:pPr>
      <w:r w:rsidRPr="007C51D6">
        <w:rPr>
          <w:rFonts w:eastAsia="Arial"/>
          <w:sz w:val="28"/>
          <w:szCs w:val="28"/>
        </w:rPr>
        <w:t>Республики Татарстан в 2016 – 2025 годах (на 100 тыс.населения) («грубый» показатель)</w:t>
      </w:r>
    </w:p>
    <w:p w:rsidR="00093ED0" w:rsidRPr="007C51D6" w:rsidRDefault="00093ED0" w:rsidP="007F46A2">
      <w:pPr>
        <w:autoSpaceDE/>
        <w:autoSpaceDN/>
        <w:adjustRightInd/>
        <w:jc w:val="center"/>
        <w:rPr>
          <w:rFonts w:eastAsia="Arial"/>
          <w:sz w:val="28"/>
          <w:szCs w:val="28"/>
        </w:rPr>
      </w:pPr>
    </w:p>
    <w:tbl>
      <w:tblPr>
        <w:tblW w:w="15163" w:type="dxa"/>
        <w:tblInd w:w="-5"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top w:w="17" w:type="dxa"/>
          <w:bottom w:w="17" w:type="dxa"/>
        </w:tblCellMar>
        <w:tblLook w:val="04A0" w:firstRow="1" w:lastRow="0" w:firstColumn="1" w:lastColumn="0" w:noHBand="0" w:noVBand="1"/>
      </w:tblPr>
      <w:tblGrid>
        <w:gridCol w:w="3255"/>
        <w:gridCol w:w="1062"/>
        <w:gridCol w:w="1225"/>
        <w:gridCol w:w="992"/>
        <w:gridCol w:w="1134"/>
        <w:gridCol w:w="1134"/>
        <w:gridCol w:w="1276"/>
        <w:gridCol w:w="1134"/>
        <w:gridCol w:w="1399"/>
        <w:gridCol w:w="1276"/>
        <w:gridCol w:w="1276"/>
      </w:tblGrid>
      <w:tr w:rsidR="00E57BBE" w:rsidRPr="007C51D6" w:rsidTr="00E57BBE">
        <w:trPr>
          <w:trHeight w:val="227"/>
        </w:trPr>
        <w:tc>
          <w:tcPr>
            <w:tcW w:w="3255" w:type="dxa"/>
            <w:shd w:val="clear" w:color="auto" w:fill="auto"/>
            <w:vAlign w:val="center"/>
          </w:tcPr>
          <w:p w:rsidR="00E57BBE" w:rsidRPr="007C51D6" w:rsidRDefault="00E57BBE" w:rsidP="00E57BBE">
            <w:pPr>
              <w:autoSpaceDE/>
              <w:autoSpaceDN/>
              <w:adjustRightInd/>
              <w:jc w:val="center"/>
              <w:rPr>
                <w:color w:val="000000"/>
                <w:sz w:val="20"/>
                <w:szCs w:val="20"/>
              </w:rPr>
            </w:pPr>
            <w:r w:rsidRPr="007C51D6">
              <w:rPr>
                <w:color w:val="000000"/>
                <w:sz w:val="20"/>
                <w:szCs w:val="20"/>
              </w:rPr>
              <w:t>Наименование муниципальных районов и городских округов</w:t>
            </w:r>
          </w:p>
        </w:tc>
        <w:tc>
          <w:tcPr>
            <w:tcW w:w="1062" w:type="dxa"/>
            <w:shd w:val="clear" w:color="auto" w:fill="auto"/>
          </w:tcPr>
          <w:p w:rsidR="00E57BBE" w:rsidRPr="007C51D6" w:rsidRDefault="00E57BBE" w:rsidP="00E57BBE">
            <w:pPr>
              <w:autoSpaceDE/>
              <w:autoSpaceDN/>
              <w:adjustRightInd/>
              <w:jc w:val="center"/>
              <w:rPr>
                <w:rFonts w:eastAsia="Arial"/>
                <w:sz w:val="20"/>
                <w:szCs w:val="22"/>
              </w:rPr>
            </w:pPr>
            <w:r w:rsidRPr="007C51D6">
              <w:rPr>
                <w:rFonts w:eastAsia="Arial"/>
                <w:sz w:val="20"/>
                <w:szCs w:val="22"/>
              </w:rPr>
              <w:t>2016 г.</w:t>
            </w:r>
          </w:p>
        </w:tc>
        <w:tc>
          <w:tcPr>
            <w:tcW w:w="1225" w:type="dxa"/>
            <w:shd w:val="clear" w:color="auto" w:fill="auto"/>
          </w:tcPr>
          <w:p w:rsidR="00E57BBE" w:rsidRPr="007C51D6" w:rsidRDefault="00E57BBE" w:rsidP="00E57BBE">
            <w:pPr>
              <w:autoSpaceDE/>
              <w:autoSpaceDN/>
              <w:adjustRightInd/>
              <w:jc w:val="center"/>
              <w:rPr>
                <w:rFonts w:eastAsia="Arial"/>
                <w:sz w:val="20"/>
                <w:szCs w:val="22"/>
              </w:rPr>
            </w:pPr>
            <w:r w:rsidRPr="007C51D6">
              <w:rPr>
                <w:rFonts w:eastAsia="Arial"/>
                <w:sz w:val="20"/>
                <w:szCs w:val="22"/>
              </w:rPr>
              <w:t>2017 г.</w:t>
            </w:r>
          </w:p>
        </w:tc>
        <w:tc>
          <w:tcPr>
            <w:tcW w:w="992" w:type="dxa"/>
            <w:shd w:val="clear" w:color="auto" w:fill="auto"/>
          </w:tcPr>
          <w:p w:rsidR="00E57BBE" w:rsidRPr="007C51D6" w:rsidRDefault="00E57BBE" w:rsidP="00E57BBE">
            <w:pPr>
              <w:autoSpaceDE/>
              <w:autoSpaceDN/>
              <w:adjustRightInd/>
              <w:jc w:val="center"/>
              <w:rPr>
                <w:rFonts w:eastAsia="Arial"/>
                <w:sz w:val="20"/>
                <w:szCs w:val="22"/>
              </w:rPr>
            </w:pPr>
            <w:r w:rsidRPr="007C51D6">
              <w:rPr>
                <w:rFonts w:eastAsia="Arial"/>
                <w:sz w:val="20"/>
                <w:szCs w:val="22"/>
              </w:rPr>
              <w:t>2018 г.</w:t>
            </w:r>
          </w:p>
        </w:tc>
        <w:tc>
          <w:tcPr>
            <w:tcW w:w="1134" w:type="dxa"/>
            <w:shd w:val="clear" w:color="auto" w:fill="auto"/>
          </w:tcPr>
          <w:p w:rsidR="00E57BBE" w:rsidRPr="007C51D6" w:rsidRDefault="00E57BBE" w:rsidP="00E57BBE">
            <w:pPr>
              <w:autoSpaceDE/>
              <w:autoSpaceDN/>
              <w:adjustRightInd/>
              <w:jc w:val="center"/>
              <w:rPr>
                <w:rFonts w:eastAsia="Arial"/>
                <w:sz w:val="20"/>
                <w:szCs w:val="22"/>
              </w:rPr>
            </w:pPr>
            <w:r w:rsidRPr="007C51D6">
              <w:rPr>
                <w:rFonts w:eastAsia="Arial"/>
                <w:sz w:val="20"/>
                <w:szCs w:val="22"/>
              </w:rPr>
              <w:t>2019 г.</w:t>
            </w:r>
          </w:p>
        </w:tc>
        <w:tc>
          <w:tcPr>
            <w:tcW w:w="1134" w:type="dxa"/>
            <w:shd w:val="clear" w:color="auto" w:fill="auto"/>
          </w:tcPr>
          <w:p w:rsidR="00E57BBE" w:rsidRPr="007C51D6" w:rsidRDefault="00E57BBE" w:rsidP="00E57BBE">
            <w:pPr>
              <w:autoSpaceDE/>
              <w:autoSpaceDN/>
              <w:adjustRightInd/>
              <w:jc w:val="center"/>
              <w:rPr>
                <w:rFonts w:eastAsia="Arial"/>
                <w:sz w:val="20"/>
                <w:szCs w:val="22"/>
              </w:rPr>
            </w:pPr>
            <w:r w:rsidRPr="007C51D6">
              <w:rPr>
                <w:rFonts w:eastAsia="Arial"/>
                <w:sz w:val="20"/>
                <w:szCs w:val="22"/>
              </w:rPr>
              <w:t>2020 г.</w:t>
            </w:r>
          </w:p>
        </w:tc>
        <w:tc>
          <w:tcPr>
            <w:tcW w:w="1276" w:type="dxa"/>
          </w:tcPr>
          <w:p w:rsidR="00E57BBE" w:rsidRPr="007C51D6" w:rsidRDefault="00E57BBE" w:rsidP="00E57BBE">
            <w:pPr>
              <w:autoSpaceDE/>
              <w:autoSpaceDN/>
              <w:adjustRightInd/>
              <w:jc w:val="center"/>
              <w:rPr>
                <w:rFonts w:eastAsia="Arial"/>
                <w:sz w:val="20"/>
                <w:szCs w:val="22"/>
              </w:rPr>
            </w:pPr>
            <w:r w:rsidRPr="007C51D6">
              <w:rPr>
                <w:rFonts w:eastAsia="Arial"/>
                <w:sz w:val="20"/>
                <w:szCs w:val="22"/>
              </w:rPr>
              <w:t>2021 г.</w:t>
            </w:r>
          </w:p>
        </w:tc>
        <w:tc>
          <w:tcPr>
            <w:tcW w:w="1134" w:type="dxa"/>
          </w:tcPr>
          <w:p w:rsidR="00E57BBE" w:rsidRPr="007C51D6" w:rsidRDefault="00E57BBE" w:rsidP="00E57BBE">
            <w:pPr>
              <w:autoSpaceDE/>
              <w:autoSpaceDN/>
              <w:adjustRightInd/>
              <w:jc w:val="center"/>
              <w:rPr>
                <w:rFonts w:eastAsia="Arial"/>
                <w:sz w:val="20"/>
                <w:szCs w:val="22"/>
              </w:rPr>
            </w:pPr>
            <w:r w:rsidRPr="007C51D6">
              <w:rPr>
                <w:rFonts w:eastAsia="Arial"/>
                <w:sz w:val="20"/>
                <w:szCs w:val="22"/>
              </w:rPr>
              <w:t>2022 г.</w:t>
            </w:r>
          </w:p>
        </w:tc>
        <w:tc>
          <w:tcPr>
            <w:tcW w:w="1399" w:type="dxa"/>
          </w:tcPr>
          <w:p w:rsidR="00E57BBE" w:rsidRPr="007C51D6" w:rsidRDefault="00E57BBE" w:rsidP="00E57BBE">
            <w:pPr>
              <w:autoSpaceDE/>
              <w:autoSpaceDN/>
              <w:adjustRightInd/>
              <w:jc w:val="center"/>
              <w:rPr>
                <w:rFonts w:eastAsia="Arial"/>
                <w:sz w:val="20"/>
                <w:szCs w:val="22"/>
              </w:rPr>
            </w:pPr>
            <w:r w:rsidRPr="007C51D6">
              <w:rPr>
                <w:rFonts w:eastAsia="Arial"/>
                <w:sz w:val="20"/>
                <w:szCs w:val="22"/>
              </w:rPr>
              <w:t>2023 г.</w:t>
            </w:r>
          </w:p>
        </w:tc>
        <w:tc>
          <w:tcPr>
            <w:tcW w:w="1276" w:type="dxa"/>
          </w:tcPr>
          <w:p w:rsidR="00E57BBE" w:rsidRPr="007C51D6" w:rsidRDefault="00E57BBE" w:rsidP="00E57BBE">
            <w:pPr>
              <w:autoSpaceDE/>
              <w:autoSpaceDN/>
              <w:adjustRightInd/>
              <w:jc w:val="center"/>
              <w:rPr>
                <w:rFonts w:eastAsia="Arial"/>
                <w:sz w:val="20"/>
                <w:szCs w:val="22"/>
              </w:rPr>
            </w:pPr>
            <w:r w:rsidRPr="007C51D6">
              <w:rPr>
                <w:rFonts w:eastAsia="Arial"/>
                <w:sz w:val="20"/>
                <w:szCs w:val="22"/>
              </w:rPr>
              <w:t>2024 г.</w:t>
            </w:r>
          </w:p>
        </w:tc>
        <w:tc>
          <w:tcPr>
            <w:tcW w:w="1276" w:type="dxa"/>
          </w:tcPr>
          <w:p w:rsidR="00E57BBE" w:rsidRPr="007C51D6" w:rsidRDefault="00E57BBE" w:rsidP="00E57BBE">
            <w:pPr>
              <w:autoSpaceDE/>
              <w:autoSpaceDN/>
              <w:adjustRightInd/>
              <w:jc w:val="center"/>
              <w:rPr>
                <w:rFonts w:eastAsia="Arial"/>
                <w:sz w:val="20"/>
                <w:szCs w:val="22"/>
              </w:rPr>
            </w:pPr>
            <w:r w:rsidRPr="007C51D6">
              <w:rPr>
                <w:rFonts w:eastAsia="Arial"/>
                <w:sz w:val="20"/>
                <w:szCs w:val="22"/>
              </w:rPr>
              <w:t>2025 г.*</w:t>
            </w:r>
          </w:p>
        </w:tc>
      </w:tr>
      <w:tr w:rsidR="00E57BBE" w:rsidRPr="007C51D6" w:rsidTr="00E57BBE">
        <w:tblPrEx>
          <w:tblBorders>
            <w:bottom w:val="single" w:sz="4" w:space="0" w:color="auto"/>
          </w:tblBorders>
          <w:tblCellMar>
            <w:top w:w="28" w:type="dxa"/>
            <w:bottom w:w="28" w:type="dxa"/>
          </w:tblCellMar>
        </w:tblPrEx>
        <w:trPr>
          <w:trHeight w:val="227"/>
          <w:tblHeader/>
        </w:trPr>
        <w:tc>
          <w:tcPr>
            <w:tcW w:w="3255" w:type="dxa"/>
            <w:shd w:val="clear" w:color="auto" w:fill="auto"/>
          </w:tcPr>
          <w:p w:rsidR="00E57BBE" w:rsidRPr="007C51D6" w:rsidRDefault="00E57BBE" w:rsidP="00E57BBE">
            <w:pPr>
              <w:autoSpaceDE/>
              <w:autoSpaceDN/>
              <w:adjustRightInd/>
              <w:jc w:val="center"/>
              <w:rPr>
                <w:color w:val="000000"/>
                <w:sz w:val="20"/>
                <w:szCs w:val="20"/>
              </w:rPr>
            </w:pPr>
            <w:r w:rsidRPr="007C51D6">
              <w:rPr>
                <w:color w:val="000000"/>
                <w:sz w:val="20"/>
                <w:szCs w:val="20"/>
              </w:rPr>
              <w:t>1</w:t>
            </w:r>
          </w:p>
        </w:tc>
        <w:tc>
          <w:tcPr>
            <w:tcW w:w="1062" w:type="dxa"/>
            <w:shd w:val="clear" w:color="auto" w:fill="auto"/>
          </w:tcPr>
          <w:p w:rsidR="00E57BBE" w:rsidRPr="007C51D6" w:rsidRDefault="00E57BBE" w:rsidP="00E57BBE">
            <w:pPr>
              <w:autoSpaceDE/>
              <w:autoSpaceDN/>
              <w:adjustRightInd/>
              <w:jc w:val="center"/>
              <w:rPr>
                <w:rFonts w:eastAsia="Arial"/>
                <w:sz w:val="20"/>
                <w:szCs w:val="20"/>
              </w:rPr>
            </w:pPr>
            <w:r w:rsidRPr="007C51D6">
              <w:rPr>
                <w:rFonts w:eastAsia="Arial"/>
                <w:sz w:val="20"/>
                <w:szCs w:val="20"/>
              </w:rPr>
              <w:t>2</w:t>
            </w:r>
          </w:p>
        </w:tc>
        <w:tc>
          <w:tcPr>
            <w:tcW w:w="1225" w:type="dxa"/>
            <w:shd w:val="clear" w:color="auto" w:fill="auto"/>
          </w:tcPr>
          <w:p w:rsidR="00E57BBE" w:rsidRPr="007C51D6" w:rsidRDefault="00E57BBE" w:rsidP="00E57BBE">
            <w:pPr>
              <w:autoSpaceDE/>
              <w:autoSpaceDN/>
              <w:adjustRightInd/>
              <w:jc w:val="center"/>
              <w:rPr>
                <w:rFonts w:eastAsia="Arial"/>
                <w:sz w:val="20"/>
                <w:szCs w:val="20"/>
              </w:rPr>
            </w:pPr>
            <w:r w:rsidRPr="007C51D6">
              <w:rPr>
                <w:rFonts w:eastAsia="Arial"/>
                <w:sz w:val="20"/>
                <w:szCs w:val="20"/>
              </w:rPr>
              <w:t>3</w:t>
            </w:r>
          </w:p>
        </w:tc>
        <w:tc>
          <w:tcPr>
            <w:tcW w:w="992" w:type="dxa"/>
            <w:shd w:val="clear" w:color="auto" w:fill="auto"/>
          </w:tcPr>
          <w:p w:rsidR="00E57BBE" w:rsidRPr="007C51D6" w:rsidRDefault="00E57BBE" w:rsidP="00E57BBE">
            <w:pPr>
              <w:autoSpaceDE/>
              <w:autoSpaceDN/>
              <w:adjustRightInd/>
              <w:jc w:val="center"/>
              <w:rPr>
                <w:rFonts w:eastAsia="Arial"/>
                <w:sz w:val="20"/>
                <w:szCs w:val="20"/>
              </w:rPr>
            </w:pPr>
            <w:r w:rsidRPr="007C51D6">
              <w:rPr>
                <w:rFonts w:eastAsia="Arial"/>
                <w:sz w:val="20"/>
                <w:szCs w:val="20"/>
              </w:rPr>
              <w:t>4</w:t>
            </w:r>
          </w:p>
        </w:tc>
        <w:tc>
          <w:tcPr>
            <w:tcW w:w="1134" w:type="dxa"/>
            <w:shd w:val="clear" w:color="auto" w:fill="auto"/>
          </w:tcPr>
          <w:p w:rsidR="00E57BBE" w:rsidRPr="007C51D6" w:rsidRDefault="00E57BBE" w:rsidP="00E57BBE">
            <w:pPr>
              <w:autoSpaceDE/>
              <w:autoSpaceDN/>
              <w:adjustRightInd/>
              <w:jc w:val="center"/>
              <w:rPr>
                <w:rFonts w:eastAsia="Arial"/>
                <w:sz w:val="20"/>
                <w:szCs w:val="20"/>
              </w:rPr>
            </w:pPr>
            <w:r w:rsidRPr="007C51D6">
              <w:rPr>
                <w:rFonts w:eastAsia="Arial"/>
                <w:sz w:val="20"/>
                <w:szCs w:val="20"/>
              </w:rPr>
              <w:t>5</w:t>
            </w:r>
          </w:p>
        </w:tc>
        <w:tc>
          <w:tcPr>
            <w:tcW w:w="1134" w:type="dxa"/>
            <w:shd w:val="clear" w:color="auto" w:fill="auto"/>
          </w:tcPr>
          <w:p w:rsidR="00E57BBE" w:rsidRPr="007C51D6" w:rsidRDefault="00E57BBE" w:rsidP="00E57BBE">
            <w:pPr>
              <w:autoSpaceDE/>
              <w:autoSpaceDN/>
              <w:adjustRightInd/>
              <w:jc w:val="center"/>
              <w:rPr>
                <w:rFonts w:eastAsia="Arial"/>
                <w:sz w:val="20"/>
                <w:szCs w:val="20"/>
              </w:rPr>
            </w:pPr>
            <w:r w:rsidRPr="007C51D6">
              <w:rPr>
                <w:rFonts w:eastAsia="Arial"/>
                <w:sz w:val="20"/>
                <w:szCs w:val="20"/>
              </w:rPr>
              <w:t>6</w:t>
            </w:r>
          </w:p>
        </w:tc>
        <w:tc>
          <w:tcPr>
            <w:tcW w:w="1276" w:type="dxa"/>
          </w:tcPr>
          <w:p w:rsidR="00E57BBE" w:rsidRPr="007C51D6" w:rsidRDefault="00E57BBE" w:rsidP="00E57BBE">
            <w:pPr>
              <w:autoSpaceDE/>
              <w:autoSpaceDN/>
              <w:adjustRightInd/>
              <w:jc w:val="center"/>
              <w:rPr>
                <w:rFonts w:eastAsia="Arial"/>
                <w:sz w:val="20"/>
                <w:szCs w:val="20"/>
              </w:rPr>
            </w:pPr>
            <w:r w:rsidRPr="007C51D6">
              <w:rPr>
                <w:rFonts w:eastAsia="Arial"/>
                <w:sz w:val="20"/>
                <w:szCs w:val="20"/>
              </w:rPr>
              <w:t>7</w:t>
            </w:r>
          </w:p>
        </w:tc>
        <w:tc>
          <w:tcPr>
            <w:tcW w:w="1134" w:type="dxa"/>
          </w:tcPr>
          <w:p w:rsidR="00E57BBE" w:rsidRPr="007C51D6" w:rsidRDefault="00E57BBE" w:rsidP="00E57BBE">
            <w:pPr>
              <w:autoSpaceDE/>
              <w:autoSpaceDN/>
              <w:adjustRightInd/>
              <w:jc w:val="center"/>
              <w:rPr>
                <w:rFonts w:eastAsia="Arial"/>
                <w:sz w:val="20"/>
                <w:szCs w:val="20"/>
              </w:rPr>
            </w:pPr>
            <w:r w:rsidRPr="007C51D6">
              <w:rPr>
                <w:rFonts w:eastAsia="Arial"/>
                <w:sz w:val="20"/>
                <w:szCs w:val="20"/>
              </w:rPr>
              <w:t>8</w:t>
            </w:r>
          </w:p>
        </w:tc>
        <w:tc>
          <w:tcPr>
            <w:tcW w:w="1399" w:type="dxa"/>
          </w:tcPr>
          <w:p w:rsidR="00E57BBE" w:rsidRPr="007C51D6" w:rsidRDefault="00E57BBE" w:rsidP="00E57BBE">
            <w:pPr>
              <w:autoSpaceDE/>
              <w:autoSpaceDN/>
              <w:adjustRightInd/>
              <w:jc w:val="center"/>
              <w:rPr>
                <w:rFonts w:eastAsia="Arial"/>
                <w:sz w:val="20"/>
                <w:szCs w:val="20"/>
              </w:rPr>
            </w:pPr>
            <w:r w:rsidRPr="007C51D6">
              <w:rPr>
                <w:rFonts w:eastAsia="Arial"/>
                <w:sz w:val="20"/>
                <w:szCs w:val="20"/>
              </w:rPr>
              <w:t>9</w:t>
            </w:r>
          </w:p>
        </w:tc>
        <w:tc>
          <w:tcPr>
            <w:tcW w:w="1276" w:type="dxa"/>
          </w:tcPr>
          <w:p w:rsidR="00E57BBE" w:rsidRPr="007C51D6" w:rsidRDefault="00E57BBE" w:rsidP="00E57BBE">
            <w:pPr>
              <w:autoSpaceDE/>
              <w:autoSpaceDN/>
              <w:adjustRightInd/>
              <w:jc w:val="center"/>
              <w:rPr>
                <w:rFonts w:eastAsia="Arial"/>
                <w:sz w:val="20"/>
                <w:szCs w:val="20"/>
              </w:rPr>
            </w:pPr>
            <w:r w:rsidRPr="007C51D6">
              <w:rPr>
                <w:rFonts w:eastAsia="Arial"/>
                <w:sz w:val="20"/>
                <w:szCs w:val="20"/>
              </w:rPr>
              <w:t>10</w:t>
            </w:r>
          </w:p>
        </w:tc>
        <w:tc>
          <w:tcPr>
            <w:tcW w:w="1276" w:type="dxa"/>
          </w:tcPr>
          <w:p w:rsidR="00E57BBE" w:rsidRPr="007C51D6" w:rsidRDefault="00E57BBE" w:rsidP="00E57BBE">
            <w:pPr>
              <w:autoSpaceDE/>
              <w:autoSpaceDN/>
              <w:adjustRightInd/>
              <w:jc w:val="center"/>
              <w:rPr>
                <w:rFonts w:eastAsia="Arial"/>
                <w:sz w:val="20"/>
                <w:szCs w:val="20"/>
              </w:rPr>
            </w:pPr>
            <w:r w:rsidRPr="007C51D6">
              <w:rPr>
                <w:rFonts w:eastAsia="Arial"/>
                <w:sz w:val="20"/>
                <w:szCs w:val="20"/>
              </w:rPr>
              <w:t>11</w:t>
            </w:r>
          </w:p>
        </w:tc>
      </w:tr>
      <w:tr w:rsidR="005C716C" w:rsidRPr="007C51D6" w:rsidTr="0038114E">
        <w:tblPrEx>
          <w:tblBorders>
            <w:bottom w:val="single" w:sz="4" w:space="0" w:color="auto"/>
          </w:tblBorders>
          <w:tblCellMar>
            <w:top w:w="28" w:type="dxa"/>
            <w:bottom w:w="28" w:type="dxa"/>
          </w:tblCellMar>
        </w:tblPrEx>
        <w:trPr>
          <w:trHeight w:val="227"/>
        </w:trPr>
        <w:tc>
          <w:tcPr>
            <w:tcW w:w="3255" w:type="dxa"/>
            <w:shd w:val="clear" w:color="auto" w:fill="auto"/>
            <w:hideMark/>
          </w:tcPr>
          <w:p w:rsidR="005C716C" w:rsidRPr="007C51D6" w:rsidRDefault="005C716C" w:rsidP="005C716C">
            <w:pPr>
              <w:autoSpaceDE/>
              <w:autoSpaceDN/>
              <w:adjustRightInd/>
              <w:rPr>
                <w:color w:val="000000"/>
                <w:sz w:val="20"/>
                <w:szCs w:val="20"/>
              </w:rPr>
            </w:pPr>
            <w:r w:rsidRPr="007C51D6">
              <w:rPr>
                <w:color w:val="000000"/>
                <w:sz w:val="20"/>
                <w:szCs w:val="20"/>
              </w:rPr>
              <w:t>Республика Татарстан</w:t>
            </w:r>
          </w:p>
        </w:tc>
        <w:tc>
          <w:tcPr>
            <w:tcW w:w="1062" w:type="dxa"/>
            <w:shd w:val="clear" w:color="auto" w:fill="auto"/>
            <w:hideMark/>
          </w:tcPr>
          <w:p w:rsidR="005C716C" w:rsidRPr="007C51D6" w:rsidRDefault="005C716C" w:rsidP="005C716C">
            <w:pPr>
              <w:autoSpaceDE/>
              <w:autoSpaceDN/>
              <w:adjustRightInd/>
              <w:jc w:val="center"/>
              <w:rPr>
                <w:rFonts w:eastAsia="Arial"/>
                <w:sz w:val="20"/>
                <w:szCs w:val="20"/>
              </w:rPr>
            </w:pPr>
            <w:r w:rsidRPr="007C51D6">
              <w:rPr>
                <w:rFonts w:eastAsia="Arial"/>
                <w:sz w:val="20"/>
                <w:szCs w:val="20"/>
              </w:rPr>
              <w:t>400,96</w:t>
            </w:r>
          </w:p>
        </w:tc>
        <w:tc>
          <w:tcPr>
            <w:tcW w:w="1225" w:type="dxa"/>
            <w:shd w:val="clear" w:color="auto" w:fill="auto"/>
            <w:hideMark/>
          </w:tcPr>
          <w:p w:rsidR="005C716C" w:rsidRPr="007C51D6" w:rsidRDefault="005C716C" w:rsidP="005C716C">
            <w:pPr>
              <w:autoSpaceDE/>
              <w:autoSpaceDN/>
              <w:adjustRightInd/>
              <w:jc w:val="center"/>
              <w:rPr>
                <w:rFonts w:eastAsia="Arial"/>
                <w:sz w:val="20"/>
                <w:szCs w:val="20"/>
              </w:rPr>
            </w:pPr>
            <w:r w:rsidRPr="007C51D6">
              <w:rPr>
                <w:rFonts w:eastAsia="Arial"/>
                <w:sz w:val="20"/>
                <w:szCs w:val="20"/>
              </w:rPr>
              <w:t>412,47</w:t>
            </w:r>
          </w:p>
        </w:tc>
        <w:tc>
          <w:tcPr>
            <w:tcW w:w="992" w:type="dxa"/>
            <w:shd w:val="clear" w:color="auto" w:fill="auto"/>
            <w:hideMark/>
          </w:tcPr>
          <w:p w:rsidR="005C716C" w:rsidRPr="007C51D6" w:rsidRDefault="005C716C" w:rsidP="005C716C">
            <w:pPr>
              <w:autoSpaceDE/>
              <w:autoSpaceDN/>
              <w:adjustRightInd/>
              <w:jc w:val="center"/>
              <w:rPr>
                <w:rFonts w:eastAsia="Arial"/>
                <w:sz w:val="20"/>
                <w:szCs w:val="20"/>
              </w:rPr>
            </w:pPr>
            <w:r w:rsidRPr="007C51D6">
              <w:rPr>
                <w:rFonts w:eastAsia="Arial"/>
                <w:sz w:val="20"/>
                <w:szCs w:val="20"/>
              </w:rPr>
              <w:t>418,46</w:t>
            </w:r>
          </w:p>
        </w:tc>
        <w:tc>
          <w:tcPr>
            <w:tcW w:w="1134" w:type="dxa"/>
            <w:shd w:val="clear" w:color="auto" w:fill="auto"/>
            <w:hideMark/>
          </w:tcPr>
          <w:p w:rsidR="005C716C" w:rsidRPr="007C51D6" w:rsidRDefault="005C716C" w:rsidP="005C716C">
            <w:pPr>
              <w:autoSpaceDE/>
              <w:autoSpaceDN/>
              <w:adjustRightInd/>
              <w:jc w:val="center"/>
              <w:rPr>
                <w:rFonts w:eastAsia="Arial"/>
                <w:sz w:val="20"/>
                <w:szCs w:val="20"/>
              </w:rPr>
            </w:pPr>
            <w:r w:rsidRPr="007C51D6">
              <w:rPr>
                <w:rFonts w:eastAsia="Arial"/>
                <w:sz w:val="20"/>
                <w:szCs w:val="20"/>
              </w:rPr>
              <w:t>423,17</w:t>
            </w:r>
          </w:p>
        </w:tc>
        <w:tc>
          <w:tcPr>
            <w:tcW w:w="1134" w:type="dxa"/>
            <w:shd w:val="clear" w:color="auto" w:fill="auto"/>
            <w:hideMark/>
          </w:tcPr>
          <w:p w:rsidR="005C716C" w:rsidRPr="007C51D6" w:rsidRDefault="005C716C" w:rsidP="005C716C">
            <w:pPr>
              <w:autoSpaceDE/>
              <w:autoSpaceDN/>
              <w:adjustRightInd/>
              <w:jc w:val="center"/>
              <w:rPr>
                <w:rFonts w:eastAsia="Arial"/>
                <w:sz w:val="20"/>
                <w:szCs w:val="20"/>
              </w:rPr>
            </w:pPr>
            <w:r w:rsidRPr="007C51D6">
              <w:rPr>
                <w:rFonts w:eastAsia="Arial"/>
                <w:sz w:val="20"/>
                <w:szCs w:val="20"/>
              </w:rPr>
              <w:t>372,24</w:t>
            </w:r>
          </w:p>
        </w:tc>
        <w:tc>
          <w:tcPr>
            <w:tcW w:w="1276" w:type="dxa"/>
          </w:tcPr>
          <w:p w:rsidR="005C716C" w:rsidRPr="007C51D6" w:rsidRDefault="005C716C" w:rsidP="005C716C">
            <w:pPr>
              <w:autoSpaceDE/>
              <w:autoSpaceDN/>
              <w:adjustRightInd/>
              <w:jc w:val="center"/>
              <w:rPr>
                <w:rFonts w:eastAsia="Arial"/>
                <w:sz w:val="20"/>
                <w:szCs w:val="20"/>
              </w:rPr>
            </w:pPr>
            <w:r w:rsidRPr="007C51D6">
              <w:rPr>
                <w:rFonts w:eastAsia="Arial"/>
                <w:sz w:val="20"/>
                <w:szCs w:val="20"/>
              </w:rPr>
              <w:t>429,48</w:t>
            </w:r>
          </w:p>
        </w:tc>
        <w:tc>
          <w:tcPr>
            <w:tcW w:w="1134" w:type="dxa"/>
          </w:tcPr>
          <w:p w:rsidR="005C716C" w:rsidRPr="007C51D6" w:rsidRDefault="005C716C" w:rsidP="005C716C">
            <w:pPr>
              <w:autoSpaceDE/>
              <w:autoSpaceDN/>
              <w:adjustRightInd/>
              <w:jc w:val="center"/>
              <w:rPr>
                <w:rFonts w:eastAsia="Arial"/>
                <w:sz w:val="20"/>
                <w:szCs w:val="20"/>
              </w:rPr>
            </w:pPr>
            <w:r w:rsidRPr="007C51D6">
              <w:rPr>
                <w:rFonts w:eastAsia="Arial"/>
                <w:sz w:val="20"/>
                <w:szCs w:val="20"/>
              </w:rPr>
              <w:t>437,81</w:t>
            </w:r>
          </w:p>
        </w:tc>
        <w:tc>
          <w:tcPr>
            <w:tcW w:w="1399" w:type="dxa"/>
          </w:tcPr>
          <w:p w:rsidR="005C716C" w:rsidRPr="007C51D6" w:rsidRDefault="005C716C" w:rsidP="005C716C">
            <w:pPr>
              <w:autoSpaceDE/>
              <w:autoSpaceDN/>
              <w:adjustRightInd/>
              <w:jc w:val="center"/>
              <w:rPr>
                <w:rFonts w:eastAsia="Arial"/>
                <w:sz w:val="20"/>
                <w:szCs w:val="20"/>
              </w:rPr>
            </w:pPr>
            <w:r w:rsidRPr="007C51D6">
              <w:rPr>
                <w:rFonts w:eastAsia="Arial"/>
                <w:sz w:val="20"/>
                <w:szCs w:val="20"/>
              </w:rPr>
              <w:t>453,54</w:t>
            </w:r>
          </w:p>
        </w:tc>
        <w:tc>
          <w:tcPr>
            <w:tcW w:w="1276" w:type="dxa"/>
            <w:vAlign w:val="center"/>
          </w:tcPr>
          <w:p w:rsidR="005C716C" w:rsidRPr="007C51D6" w:rsidRDefault="005C716C" w:rsidP="005C716C">
            <w:pPr>
              <w:autoSpaceDE/>
              <w:autoSpaceDN/>
              <w:adjustRightInd/>
              <w:jc w:val="center"/>
              <w:rPr>
                <w:color w:val="000000"/>
                <w:sz w:val="20"/>
                <w:szCs w:val="20"/>
              </w:rPr>
            </w:pPr>
            <w:r w:rsidRPr="007C51D6">
              <w:rPr>
                <w:color w:val="000000"/>
                <w:sz w:val="20"/>
                <w:szCs w:val="20"/>
              </w:rPr>
              <w:t>486,43</w:t>
            </w:r>
          </w:p>
        </w:tc>
        <w:tc>
          <w:tcPr>
            <w:tcW w:w="1276" w:type="dxa"/>
            <w:vAlign w:val="center"/>
          </w:tcPr>
          <w:p w:rsidR="005C716C" w:rsidRPr="007C51D6" w:rsidRDefault="005C716C" w:rsidP="005C716C">
            <w:pPr>
              <w:widowControl/>
              <w:autoSpaceDE/>
              <w:autoSpaceDN/>
              <w:adjustRightInd/>
              <w:jc w:val="center"/>
              <w:rPr>
                <w:bCs/>
                <w:sz w:val="20"/>
                <w:szCs w:val="20"/>
              </w:rPr>
            </w:pPr>
            <w:r w:rsidRPr="007C51D6">
              <w:rPr>
                <w:bCs/>
                <w:sz w:val="20"/>
                <w:szCs w:val="20"/>
              </w:rPr>
              <w:t>508.34</w:t>
            </w:r>
          </w:p>
        </w:tc>
      </w:tr>
      <w:tr w:rsidR="005C716C" w:rsidRPr="007C51D6" w:rsidTr="0038114E">
        <w:tblPrEx>
          <w:tblBorders>
            <w:bottom w:val="single" w:sz="4" w:space="0" w:color="auto"/>
          </w:tblBorders>
          <w:tblCellMar>
            <w:top w:w="28" w:type="dxa"/>
            <w:bottom w:w="28" w:type="dxa"/>
          </w:tblCellMar>
        </w:tblPrEx>
        <w:trPr>
          <w:trHeight w:val="227"/>
        </w:trPr>
        <w:tc>
          <w:tcPr>
            <w:tcW w:w="3255" w:type="dxa"/>
            <w:shd w:val="clear" w:color="auto" w:fill="auto"/>
            <w:hideMark/>
          </w:tcPr>
          <w:p w:rsidR="005C716C" w:rsidRPr="007C51D6" w:rsidRDefault="005C716C" w:rsidP="005C716C">
            <w:pPr>
              <w:autoSpaceDE/>
              <w:autoSpaceDN/>
              <w:adjustRightInd/>
              <w:rPr>
                <w:color w:val="000000"/>
                <w:sz w:val="20"/>
                <w:szCs w:val="20"/>
              </w:rPr>
            </w:pPr>
            <w:r w:rsidRPr="007C51D6">
              <w:rPr>
                <w:color w:val="000000"/>
                <w:sz w:val="20"/>
                <w:szCs w:val="20"/>
              </w:rPr>
              <w:t>Агрызский</w:t>
            </w:r>
          </w:p>
        </w:tc>
        <w:tc>
          <w:tcPr>
            <w:tcW w:w="1062" w:type="dxa"/>
            <w:shd w:val="clear" w:color="auto" w:fill="auto"/>
            <w:hideMark/>
          </w:tcPr>
          <w:p w:rsidR="005C716C" w:rsidRPr="007C51D6" w:rsidRDefault="005C716C" w:rsidP="005C716C">
            <w:pPr>
              <w:autoSpaceDE/>
              <w:autoSpaceDN/>
              <w:adjustRightInd/>
              <w:jc w:val="center"/>
              <w:rPr>
                <w:color w:val="000000"/>
                <w:sz w:val="20"/>
                <w:szCs w:val="20"/>
              </w:rPr>
            </w:pPr>
            <w:r w:rsidRPr="007C51D6">
              <w:rPr>
                <w:color w:val="000000"/>
                <w:sz w:val="20"/>
                <w:szCs w:val="20"/>
              </w:rPr>
              <w:t>331,72</w:t>
            </w:r>
          </w:p>
        </w:tc>
        <w:tc>
          <w:tcPr>
            <w:tcW w:w="1225" w:type="dxa"/>
            <w:shd w:val="clear" w:color="auto" w:fill="auto"/>
            <w:hideMark/>
          </w:tcPr>
          <w:p w:rsidR="005C716C" w:rsidRPr="007C51D6" w:rsidRDefault="005C716C" w:rsidP="005C716C">
            <w:pPr>
              <w:autoSpaceDE/>
              <w:autoSpaceDN/>
              <w:adjustRightInd/>
              <w:jc w:val="center"/>
              <w:rPr>
                <w:color w:val="000000"/>
                <w:sz w:val="20"/>
                <w:szCs w:val="20"/>
              </w:rPr>
            </w:pPr>
            <w:r w:rsidRPr="007C51D6">
              <w:rPr>
                <w:color w:val="000000"/>
                <w:sz w:val="20"/>
                <w:szCs w:val="20"/>
              </w:rPr>
              <w:t>345,76</w:t>
            </w:r>
          </w:p>
        </w:tc>
        <w:tc>
          <w:tcPr>
            <w:tcW w:w="992" w:type="dxa"/>
            <w:shd w:val="clear" w:color="auto" w:fill="auto"/>
            <w:hideMark/>
          </w:tcPr>
          <w:p w:rsidR="005C716C" w:rsidRPr="007C51D6" w:rsidRDefault="005C716C" w:rsidP="005C716C">
            <w:pPr>
              <w:autoSpaceDE/>
              <w:autoSpaceDN/>
              <w:adjustRightInd/>
              <w:jc w:val="center"/>
              <w:rPr>
                <w:color w:val="000000"/>
                <w:sz w:val="20"/>
                <w:szCs w:val="20"/>
              </w:rPr>
            </w:pPr>
            <w:r w:rsidRPr="007C51D6">
              <w:rPr>
                <w:color w:val="000000"/>
                <w:sz w:val="20"/>
                <w:szCs w:val="20"/>
              </w:rPr>
              <w:t>385,11</w:t>
            </w:r>
          </w:p>
        </w:tc>
        <w:tc>
          <w:tcPr>
            <w:tcW w:w="1134" w:type="dxa"/>
            <w:shd w:val="clear" w:color="auto" w:fill="auto"/>
            <w:hideMark/>
          </w:tcPr>
          <w:p w:rsidR="005C716C" w:rsidRPr="007C51D6" w:rsidRDefault="005C716C" w:rsidP="005C716C">
            <w:pPr>
              <w:autoSpaceDE/>
              <w:autoSpaceDN/>
              <w:adjustRightInd/>
              <w:jc w:val="center"/>
              <w:rPr>
                <w:color w:val="000000"/>
                <w:sz w:val="20"/>
                <w:szCs w:val="20"/>
              </w:rPr>
            </w:pPr>
            <w:r w:rsidRPr="007C51D6">
              <w:rPr>
                <w:color w:val="000000"/>
                <w:sz w:val="20"/>
                <w:szCs w:val="20"/>
              </w:rPr>
              <w:t>379,56</w:t>
            </w:r>
          </w:p>
        </w:tc>
        <w:tc>
          <w:tcPr>
            <w:tcW w:w="1134" w:type="dxa"/>
            <w:shd w:val="clear" w:color="auto" w:fill="auto"/>
            <w:hideMark/>
          </w:tcPr>
          <w:p w:rsidR="005C716C" w:rsidRPr="007C51D6" w:rsidRDefault="005C716C" w:rsidP="005C716C">
            <w:pPr>
              <w:autoSpaceDE/>
              <w:autoSpaceDN/>
              <w:adjustRightInd/>
              <w:jc w:val="center"/>
              <w:rPr>
                <w:color w:val="000000"/>
                <w:sz w:val="20"/>
                <w:szCs w:val="20"/>
              </w:rPr>
            </w:pPr>
            <w:r w:rsidRPr="007C51D6">
              <w:rPr>
                <w:color w:val="000000"/>
                <w:sz w:val="20"/>
                <w:szCs w:val="20"/>
              </w:rPr>
              <w:t>325,42</w:t>
            </w:r>
          </w:p>
        </w:tc>
        <w:tc>
          <w:tcPr>
            <w:tcW w:w="1276" w:type="dxa"/>
          </w:tcPr>
          <w:p w:rsidR="005C716C" w:rsidRPr="007C51D6" w:rsidRDefault="005C716C" w:rsidP="005C716C">
            <w:pPr>
              <w:autoSpaceDE/>
              <w:autoSpaceDN/>
              <w:adjustRightInd/>
              <w:jc w:val="center"/>
              <w:rPr>
                <w:color w:val="000000"/>
                <w:sz w:val="20"/>
                <w:szCs w:val="20"/>
              </w:rPr>
            </w:pPr>
            <w:r w:rsidRPr="007C51D6">
              <w:rPr>
                <w:color w:val="000000"/>
                <w:sz w:val="20"/>
                <w:szCs w:val="20"/>
              </w:rPr>
              <w:t>334,06</w:t>
            </w:r>
          </w:p>
        </w:tc>
        <w:tc>
          <w:tcPr>
            <w:tcW w:w="1134" w:type="dxa"/>
          </w:tcPr>
          <w:p w:rsidR="005C716C" w:rsidRPr="007C51D6" w:rsidRDefault="005C716C" w:rsidP="005C716C">
            <w:pPr>
              <w:autoSpaceDE/>
              <w:autoSpaceDN/>
              <w:adjustRightInd/>
              <w:jc w:val="center"/>
              <w:rPr>
                <w:color w:val="000000"/>
                <w:sz w:val="20"/>
                <w:szCs w:val="20"/>
              </w:rPr>
            </w:pPr>
            <w:r w:rsidRPr="007C51D6">
              <w:rPr>
                <w:color w:val="000000"/>
                <w:sz w:val="20"/>
                <w:szCs w:val="20"/>
              </w:rPr>
              <w:t>275,79</w:t>
            </w:r>
          </w:p>
        </w:tc>
        <w:tc>
          <w:tcPr>
            <w:tcW w:w="1399" w:type="dxa"/>
          </w:tcPr>
          <w:p w:rsidR="005C716C" w:rsidRPr="007C51D6" w:rsidRDefault="005C716C" w:rsidP="005C716C">
            <w:pPr>
              <w:autoSpaceDE/>
              <w:autoSpaceDN/>
              <w:adjustRightInd/>
              <w:jc w:val="center"/>
              <w:rPr>
                <w:color w:val="000000"/>
                <w:sz w:val="20"/>
                <w:szCs w:val="20"/>
              </w:rPr>
            </w:pPr>
            <w:r w:rsidRPr="007C51D6">
              <w:rPr>
                <w:color w:val="000000"/>
                <w:sz w:val="20"/>
                <w:szCs w:val="20"/>
              </w:rPr>
              <w:t>351,67</w:t>
            </w:r>
          </w:p>
        </w:tc>
        <w:tc>
          <w:tcPr>
            <w:tcW w:w="1276" w:type="dxa"/>
            <w:vAlign w:val="center"/>
          </w:tcPr>
          <w:p w:rsidR="005C716C" w:rsidRPr="007C51D6" w:rsidRDefault="005C716C" w:rsidP="005C716C">
            <w:pPr>
              <w:jc w:val="center"/>
              <w:rPr>
                <w:color w:val="000000"/>
                <w:sz w:val="20"/>
                <w:szCs w:val="20"/>
              </w:rPr>
            </w:pPr>
            <w:r w:rsidRPr="007C51D6">
              <w:rPr>
                <w:color w:val="000000"/>
                <w:sz w:val="20"/>
                <w:szCs w:val="20"/>
              </w:rPr>
              <w:t>316,85</w:t>
            </w:r>
          </w:p>
        </w:tc>
        <w:tc>
          <w:tcPr>
            <w:tcW w:w="1276" w:type="dxa"/>
            <w:vAlign w:val="center"/>
          </w:tcPr>
          <w:p w:rsidR="005C716C" w:rsidRPr="007C51D6" w:rsidRDefault="005C716C" w:rsidP="005C716C">
            <w:pPr>
              <w:jc w:val="center"/>
              <w:rPr>
                <w:sz w:val="20"/>
                <w:szCs w:val="20"/>
              </w:rPr>
            </w:pPr>
            <w:r w:rsidRPr="007C51D6">
              <w:rPr>
                <w:sz w:val="20"/>
                <w:szCs w:val="20"/>
              </w:rPr>
              <w:t>331.39</w:t>
            </w:r>
          </w:p>
        </w:tc>
      </w:tr>
      <w:tr w:rsidR="005C716C" w:rsidRPr="007C51D6" w:rsidTr="0038114E">
        <w:tblPrEx>
          <w:tblBorders>
            <w:bottom w:val="single" w:sz="4" w:space="0" w:color="auto"/>
          </w:tblBorders>
          <w:tblCellMar>
            <w:top w:w="28" w:type="dxa"/>
            <w:bottom w:w="28" w:type="dxa"/>
          </w:tblCellMar>
        </w:tblPrEx>
        <w:trPr>
          <w:trHeight w:val="227"/>
        </w:trPr>
        <w:tc>
          <w:tcPr>
            <w:tcW w:w="3255" w:type="dxa"/>
            <w:shd w:val="clear" w:color="auto" w:fill="auto"/>
            <w:hideMark/>
          </w:tcPr>
          <w:p w:rsidR="005C716C" w:rsidRPr="007C51D6" w:rsidRDefault="005C716C" w:rsidP="005C716C">
            <w:pPr>
              <w:autoSpaceDE/>
              <w:autoSpaceDN/>
              <w:adjustRightInd/>
              <w:rPr>
                <w:color w:val="000000"/>
                <w:sz w:val="20"/>
                <w:szCs w:val="20"/>
              </w:rPr>
            </w:pPr>
            <w:r w:rsidRPr="007C51D6">
              <w:rPr>
                <w:color w:val="000000"/>
                <w:sz w:val="20"/>
                <w:szCs w:val="20"/>
              </w:rPr>
              <w:t>Азнакаевский</w:t>
            </w:r>
          </w:p>
        </w:tc>
        <w:tc>
          <w:tcPr>
            <w:tcW w:w="1062" w:type="dxa"/>
            <w:shd w:val="clear" w:color="auto" w:fill="auto"/>
            <w:hideMark/>
          </w:tcPr>
          <w:p w:rsidR="005C716C" w:rsidRPr="007C51D6" w:rsidRDefault="005C716C" w:rsidP="005C716C">
            <w:pPr>
              <w:autoSpaceDE/>
              <w:autoSpaceDN/>
              <w:adjustRightInd/>
              <w:jc w:val="center"/>
              <w:rPr>
                <w:color w:val="000000"/>
                <w:sz w:val="20"/>
                <w:szCs w:val="20"/>
              </w:rPr>
            </w:pPr>
            <w:r w:rsidRPr="007C51D6">
              <w:rPr>
                <w:color w:val="000000"/>
                <w:sz w:val="20"/>
                <w:szCs w:val="20"/>
              </w:rPr>
              <w:t>446,07</w:t>
            </w:r>
          </w:p>
        </w:tc>
        <w:tc>
          <w:tcPr>
            <w:tcW w:w="1225" w:type="dxa"/>
            <w:shd w:val="clear" w:color="auto" w:fill="auto"/>
            <w:hideMark/>
          </w:tcPr>
          <w:p w:rsidR="005C716C" w:rsidRPr="007C51D6" w:rsidRDefault="005C716C" w:rsidP="005C716C">
            <w:pPr>
              <w:autoSpaceDE/>
              <w:autoSpaceDN/>
              <w:adjustRightInd/>
              <w:jc w:val="center"/>
              <w:rPr>
                <w:color w:val="000000"/>
                <w:sz w:val="20"/>
                <w:szCs w:val="20"/>
              </w:rPr>
            </w:pPr>
            <w:r w:rsidRPr="007C51D6">
              <w:rPr>
                <w:color w:val="000000"/>
                <w:sz w:val="20"/>
                <w:szCs w:val="20"/>
              </w:rPr>
              <w:t>530,33</w:t>
            </w:r>
          </w:p>
        </w:tc>
        <w:tc>
          <w:tcPr>
            <w:tcW w:w="992" w:type="dxa"/>
            <w:shd w:val="clear" w:color="auto" w:fill="auto"/>
            <w:hideMark/>
          </w:tcPr>
          <w:p w:rsidR="005C716C" w:rsidRPr="007C51D6" w:rsidRDefault="005C716C" w:rsidP="005C716C">
            <w:pPr>
              <w:autoSpaceDE/>
              <w:autoSpaceDN/>
              <w:adjustRightInd/>
              <w:jc w:val="center"/>
              <w:rPr>
                <w:color w:val="000000"/>
                <w:sz w:val="20"/>
                <w:szCs w:val="20"/>
              </w:rPr>
            </w:pPr>
            <w:r w:rsidRPr="007C51D6">
              <w:rPr>
                <w:color w:val="000000"/>
                <w:sz w:val="20"/>
                <w:szCs w:val="20"/>
              </w:rPr>
              <w:t>507,97</w:t>
            </w:r>
          </w:p>
        </w:tc>
        <w:tc>
          <w:tcPr>
            <w:tcW w:w="1134" w:type="dxa"/>
            <w:shd w:val="clear" w:color="auto" w:fill="auto"/>
            <w:hideMark/>
          </w:tcPr>
          <w:p w:rsidR="005C716C" w:rsidRPr="007C51D6" w:rsidRDefault="005C716C" w:rsidP="005C716C">
            <w:pPr>
              <w:autoSpaceDE/>
              <w:autoSpaceDN/>
              <w:adjustRightInd/>
              <w:jc w:val="center"/>
              <w:rPr>
                <w:color w:val="000000"/>
                <w:sz w:val="20"/>
                <w:szCs w:val="20"/>
              </w:rPr>
            </w:pPr>
            <w:r w:rsidRPr="007C51D6">
              <w:rPr>
                <w:color w:val="000000"/>
                <w:sz w:val="20"/>
                <w:szCs w:val="20"/>
              </w:rPr>
              <w:t>470,79</w:t>
            </w:r>
          </w:p>
        </w:tc>
        <w:tc>
          <w:tcPr>
            <w:tcW w:w="1134" w:type="dxa"/>
            <w:shd w:val="clear" w:color="auto" w:fill="auto"/>
            <w:hideMark/>
          </w:tcPr>
          <w:p w:rsidR="005C716C" w:rsidRPr="007C51D6" w:rsidRDefault="005C716C" w:rsidP="005C716C">
            <w:pPr>
              <w:autoSpaceDE/>
              <w:autoSpaceDN/>
              <w:adjustRightInd/>
              <w:jc w:val="center"/>
              <w:rPr>
                <w:color w:val="000000"/>
                <w:sz w:val="20"/>
                <w:szCs w:val="20"/>
              </w:rPr>
            </w:pPr>
            <w:r w:rsidRPr="007C51D6">
              <w:rPr>
                <w:color w:val="000000"/>
                <w:sz w:val="20"/>
                <w:szCs w:val="20"/>
              </w:rPr>
              <w:t>444,05</w:t>
            </w:r>
          </w:p>
        </w:tc>
        <w:tc>
          <w:tcPr>
            <w:tcW w:w="1276" w:type="dxa"/>
          </w:tcPr>
          <w:p w:rsidR="005C716C" w:rsidRPr="007C51D6" w:rsidRDefault="005C716C" w:rsidP="005C716C">
            <w:pPr>
              <w:autoSpaceDE/>
              <w:autoSpaceDN/>
              <w:adjustRightInd/>
              <w:jc w:val="center"/>
              <w:rPr>
                <w:color w:val="000000"/>
                <w:sz w:val="20"/>
                <w:szCs w:val="20"/>
              </w:rPr>
            </w:pPr>
            <w:r w:rsidRPr="007C51D6">
              <w:rPr>
                <w:color w:val="000000"/>
                <w:sz w:val="20"/>
                <w:szCs w:val="20"/>
              </w:rPr>
              <w:t>415,77</w:t>
            </w:r>
          </w:p>
        </w:tc>
        <w:tc>
          <w:tcPr>
            <w:tcW w:w="1134" w:type="dxa"/>
          </w:tcPr>
          <w:p w:rsidR="005C716C" w:rsidRPr="007C51D6" w:rsidRDefault="005C716C" w:rsidP="005C716C">
            <w:pPr>
              <w:autoSpaceDE/>
              <w:autoSpaceDN/>
              <w:adjustRightInd/>
              <w:jc w:val="center"/>
              <w:rPr>
                <w:color w:val="000000"/>
                <w:sz w:val="20"/>
                <w:szCs w:val="20"/>
              </w:rPr>
            </w:pPr>
            <w:r w:rsidRPr="007C51D6">
              <w:rPr>
                <w:color w:val="000000"/>
                <w:sz w:val="20"/>
                <w:szCs w:val="20"/>
              </w:rPr>
              <w:t>469,50</w:t>
            </w:r>
          </w:p>
        </w:tc>
        <w:tc>
          <w:tcPr>
            <w:tcW w:w="1399" w:type="dxa"/>
          </w:tcPr>
          <w:p w:rsidR="005C716C" w:rsidRPr="007C51D6" w:rsidRDefault="005C716C" w:rsidP="005C716C">
            <w:pPr>
              <w:jc w:val="center"/>
              <w:rPr>
                <w:color w:val="000000"/>
                <w:sz w:val="20"/>
                <w:szCs w:val="20"/>
              </w:rPr>
            </w:pPr>
            <w:r w:rsidRPr="007C51D6">
              <w:rPr>
                <w:color w:val="000000"/>
                <w:sz w:val="20"/>
                <w:szCs w:val="20"/>
              </w:rPr>
              <w:t>489,39</w:t>
            </w:r>
          </w:p>
        </w:tc>
        <w:tc>
          <w:tcPr>
            <w:tcW w:w="1276" w:type="dxa"/>
            <w:vAlign w:val="center"/>
          </w:tcPr>
          <w:p w:rsidR="005C716C" w:rsidRPr="007C51D6" w:rsidRDefault="005C716C" w:rsidP="005C716C">
            <w:pPr>
              <w:jc w:val="center"/>
              <w:rPr>
                <w:color w:val="000000"/>
                <w:sz w:val="20"/>
                <w:szCs w:val="20"/>
              </w:rPr>
            </w:pPr>
            <w:r w:rsidRPr="007C51D6">
              <w:rPr>
                <w:color w:val="000000"/>
                <w:sz w:val="20"/>
                <w:szCs w:val="20"/>
              </w:rPr>
              <w:t>504,44</w:t>
            </w:r>
          </w:p>
        </w:tc>
        <w:tc>
          <w:tcPr>
            <w:tcW w:w="1276" w:type="dxa"/>
            <w:vAlign w:val="center"/>
          </w:tcPr>
          <w:p w:rsidR="005C716C" w:rsidRPr="007C51D6" w:rsidRDefault="005C716C" w:rsidP="005C716C">
            <w:pPr>
              <w:jc w:val="center"/>
              <w:rPr>
                <w:sz w:val="20"/>
                <w:szCs w:val="20"/>
              </w:rPr>
            </w:pPr>
            <w:r w:rsidRPr="007C51D6">
              <w:rPr>
                <w:sz w:val="20"/>
                <w:szCs w:val="20"/>
              </w:rPr>
              <w:t>467.66</w:t>
            </w:r>
          </w:p>
        </w:tc>
      </w:tr>
      <w:tr w:rsidR="005C716C" w:rsidRPr="007C51D6" w:rsidTr="0038114E">
        <w:tblPrEx>
          <w:tblBorders>
            <w:bottom w:val="single" w:sz="4" w:space="0" w:color="auto"/>
          </w:tblBorders>
          <w:tblCellMar>
            <w:top w:w="28" w:type="dxa"/>
            <w:bottom w:w="28" w:type="dxa"/>
          </w:tblCellMar>
        </w:tblPrEx>
        <w:trPr>
          <w:trHeight w:val="227"/>
        </w:trPr>
        <w:tc>
          <w:tcPr>
            <w:tcW w:w="3255" w:type="dxa"/>
            <w:shd w:val="clear" w:color="auto" w:fill="auto"/>
            <w:hideMark/>
          </w:tcPr>
          <w:p w:rsidR="005C716C" w:rsidRPr="007C51D6" w:rsidRDefault="005C716C" w:rsidP="005C716C">
            <w:pPr>
              <w:autoSpaceDE/>
              <w:autoSpaceDN/>
              <w:adjustRightInd/>
              <w:rPr>
                <w:color w:val="000000"/>
                <w:sz w:val="20"/>
                <w:szCs w:val="20"/>
              </w:rPr>
            </w:pPr>
            <w:r w:rsidRPr="007C51D6">
              <w:rPr>
                <w:color w:val="000000"/>
                <w:sz w:val="20"/>
                <w:szCs w:val="20"/>
              </w:rPr>
              <w:t>Аксубаевский</w:t>
            </w:r>
          </w:p>
        </w:tc>
        <w:tc>
          <w:tcPr>
            <w:tcW w:w="1062" w:type="dxa"/>
            <w:shd w:val="clear" w:color="auto" w:fill="auto"/>
            <w:hideMark/>
          </w:tcPr>
          <w:p w:rsidR="005C716C" w:rsidRPr="007C51D6" w:rsidRDefault="005C716C" w:rsidP="005C716C">
            <w:pPr>
              <w:autoSpaceDE/>
              <w:autoSpaceDN/>
              <w:adjustRightInd/>
              <w:jc w:val="center"/>
              <w:rPr>
                <w:color w:val="000000"/>
                <w:sz w:val="20"/>
                <w:szCs w:val="20"/>
              </w:rPr>
            </w:pPr>
            <w:r w:rsidRPr="007C51D6">
              <w:rPr>
                <w:color w:val="000000"/>
                <w:sz w:val="20"/>
                <w:szCs w:val="20"/>
              </w:rPr>
              <w:t>288,77</w:t>
            </w:r>
          </w:p>
        </w:tc>
        <w:tc>
          <w:tcPr>
            <w:tcW w:w="1225" w:type="dxa"/>
            <w:shd w:val="clear" w:color="auto" w:fill="auto"/>
            <w:hideMark/>
          </w:tcPr>
          <w:p w:rsidR="005C716C" w:rsidRPr="007C51D6" w:rsidRDefault="005C716C" w:rsidP="005C716C">
            <w:pPr>
              <w:autoSpaceDE/>
              <w:autoSpaceDN/>
              <w:adjustRightInd/>
              <w:jc w:val="center"/>
              <w:rPr>
                <w:color w:val="000000"/>
                <w:sz w:val="20"/>
                <w:szCs w:val="20"/>
              </w:rPr>
            </w:pPr>
            <w:r w:rsidRPr="007C51D6">
              <w:rPr>
                <w:color w:val="000000"/>
                <w:sz w:val="20"/>
                <w:szCs w:val="20"/>
              </w:rPr>
              <w:t>292,81</w:t>
            </w:r>
          </w:p>
        </w:tc>
        <w:tc>
          <w:tcPr>
            <w:tcW w:w="992" w:type="dxa"/>
            <w:shd w:val="clear" w:color="auto" w:fill="auto"/>
            <w:hideMark/>
          </w:tcPr>
          <w:p w:rsidR="005C716C" w:rsidRPr="007C51D6" w:rsidRDefault="005C716C" w:rsidP="005C716C">
            <w:pPr>
              <w:autoSpaceDE/>
              <w:autoSpaceDN/>
              <w:adjustRightInd/>
              <w:jc w:val="center"/>
              <w:rPr>
                <w:color w:val="000000"/>
                <w:sz w:val="20"/>
                <w:szCs w:val="20"/>
              </w:rPr>
            </w:pPr>
            <w:r w:rsidRPr="007C51D6">
              <w:rPr>
                <w:color w:val="000000"/>
                <w:sz w:val="20"/>
                <w:szCs w:val="20"/>
              </w:rPr>
              <w:t>340,47</w:t>
            </w:r>
          </w:p>
        </w:tc>
        <w:tc>
          <w:tcPr>
            <w:tcW w:w="1134" w:type="dxa"/>
            <w:shd w:val="clear" w:color="auto" w:fill="auto"/>
            <w:hideMark/>
          </w:tcPr>
          <w:p w:rsidR="005C716C" w:rsidRPr="007C51D6" w:rsidRDefault="005C716C" w:rsidP="005C716C">
            <w:pPr>
              <w:autoSpaceDE/>
              <w:autoSpaceDN/>
              <w:adjustRightInd/>
              <w:jc w:val="center"/>
              <w:rPr>
                <w:color w:val="000000"/>
                <w:sz w:val="20"/>
                <w:szCs w:val="20"/>
              </w:rPr>
            </w:pPr>
            <w:r w:rsidRPr="007C51D6">
              <w:rPr>
                <w:color w:val="000000"/>
                <w:sz w:val="20"/>
                <w:szCs w:val="20"/>
              </w:rPr>
              <w:t>283,77</w:t>
            </w:r>
          </w:p>
        </w:tc>
        <w:tc>
          <w:tcPr>
            <w:tcW w:w="1134" w:type="dxa"/>
            <w:shd w:val="clear" w:color="auto" w:fill="auto"/>
            <w:hideMark/>
          </w:tcPr>
          <w:p w:rsidR="005C716C" w:rsidRPr="007C51D6" w:rsidRDefault="005C716C" w:rsidP="005C716C">
            <w:pPr>
              <w:autoSpaceDE/>
              <w:autoSpaceDN/>
              <w:adjustRightInd/>
              <w:jc w:val="center"/>
              <w:rPr>
                <w:color w:val="000000"/>
                <w:sz w:val="20"/>
                <w:szCs w:val="20"/>
              </w:rPr>
            </w:pPr>
            <w:r w:rsidRPr="007C51D6">
              <w:rPr>
                <w:color w:val="000000"/>
                <w:sz w:val="20"/>
                <w:szCs w:val="20"/>
              </w:rPr>
              <w:t>350,06</w:t>
            </w:r>
          </w:p>
        </w:tc>
        <w:tc>
          <w:tcPr>
            <w:tcW w:w="1276" w:type="dxa"/>
          </w:tcPr>
          <w:p w:rsidR="005C716C" w:rsidRPr="007C51D6" w:rsidRDefault="005C716C" w:rsidP="005C716C">
            <w:pPr>
              <w:autoSpaceDE/>
              <w:autoSpaceDN/>
              <w:adjustRightInd/>
              <w:jc w:val="center"/>
              <w:rPr>
                <w:color w:val="000000"/>
                <w:sz w:val="20"/>
                <w:szCs w:val="20"/>
              </w:rPr>
            </w:pPr>
            <w:r w:rsidRPr="007C51D6">
              <w:rPr>
                <w:color w:val="000000"/>
                <w:sz w:val="20"/>
                <w:szCs w:val="20"/>
              </w:rPr>
              <w:t>325,06</w:t>
            </w:r>
          </w:p>
        </w:tc>
        <w:tc>
          <w:tcPr>
            <w:tcW w:w="1134" w:type="dxa"/>
          </w:tcPr>
          <w:p w:rsidR="005C716C" w:rsidRPr="007C51D6" w:rsidRDefault="005C716C" w:rsidP="005C716C">
            <w:pPr>
              <w:autoSpaceDE/>
              <w:autoSpaceDN/>
              <w:adjustRightInd/>
              <w:jc w:val="center"/>
              <w:rPr>
                <w:color w:val="000000"/>
                <w:sz w:val="20"/>
                <w:szCs w:val="20"/>
              </w:rPr>
            </w:pPr>
            <w:r w:rsidRPr="007C51D6">
              <w:rPr>
                <w:color w:val="000000"/>
                <w:sz w:val="20"/>
                <w:szCs w:val="20"/>
              </w:rPr>
              <w:t>356,42</w:t>
            </w:r>
          </w:p>
        </w:tc>
        <w:tc>
          <w:tcPr>
            <w:tcW w:w="1399" w:type="dxa"/>
          </w:tcPr>
          <w:p w:rsidR="005C716C" w:rsidRPr="007C51D6" w:rsidRDefault="005C716C" w:rsidP="005C716C">
            <w:pPr>
              <w:jc w:val="center"/>
              <w:rPr>
                <w:color w:val="000000"/>
                <w:sz w:val="20"/>
                <w:szCs w:val="20"/>
              </w:rPr>
            </w:pPr>
            <w:r w:rsidRPr="007C51D6">
              <w:rPr>
                <w:color w:val="000000"/>
                <w:sz w:val="20"/>
                <w:szCs w:val="20"/>
              </w:rPr>
              <w:t>385,14</w:t>
            </w:r>
          </w:p>
        </w:tc>
        <w:tc>
          <w:tcPr>
            <w:tcW w:w="1276" w:type="dxa"/>
            <w:vAlign w:val="center"/>
          </w:tcPr>
          <w:p w:rsidR="005C716C" w:rsidRPr="007C51D6" w:rsidRDefault="005C716C" w:rsidP="005C716C">
            <w:pPr>
              <w:jc w:val="center"/>
              <w:rPr>
                <w:color w:val="000000"/>
                <w:sz w:val="20"/>
                <w:szCs w:val="20"/>
              </w:rPr>
            </w:pPr>
            <w:r w:rsidRPr="007C51D6">
              <w:rPr>
                <w:color w:val="000000"/>
                <w:sz w:val="20"/>
                <w:szCs w:val="20"/>
              </w:rPr>
              <w:t>405,17</w:t>
            </w:r>
          </w:p>
        </w:tc>
        <w:tc>
          <w:tcPr>
            <w:tcW w:w="1276" w:type="dxa"/>
            <w:vAlign w:val="center"/>
          </w:tcPr>
          <w:p w:rsidR="005C716C" w:rsidRPr="007C51D6" w:rsidRDefault="005C716C" w:rsidP="005C716C">
            <w:pPr>
              <w:jc w:val="center"/>
              <w:rPr>
                <w:sz w:val="20"/>
                <w:szCs w:val="20"/>
              </w:rPr>
            </w:pPr>
            <w:r w:rsidRPr="007C51D6">
              <w:rPr>
                <w:sz w:val="20"/>
                <w:szCs w:val="20"/>
              </w:rPr>
              <w:t>527.48</w:t>
            </w:r>
          </w:p>
        </w:tc>
      </w:tr>
      <w:tr w:rsidR="005C716C" w:rsidRPr="007C51D6" w:rsidTr="0038114E">
        <w:tblPrEx>
          <w:tblBorders>
            <w:bottom w:val="single" w:sz="4" w:space="0" w:color="auto"/>
          </w:tblBorders>
          <w:tblCellMar>
            <w:top w:w="28" w:type="dxa"/>
            <w:bottom w:w="28" w:type="dxa"/>
          </w:tblCellMar>
        </w:tblPrEx>
        <w:trPr>
          <w:trHeight w:val="227"/>
        </w:trPr>
        <w:tc>
          <w:tcPr>
            <w:tcW w:w="3255" w:type="dxa"/>
            <w:shd w:val="clear" w:color="auto" w:fill="auto"/>
            <w:hideMark/>
          </w:tcPr>
          <w:p w:rsidR="005C716C" w:rsidRPr="007C51D6" w:rsidRDefault="005C716C" w:rsidP="005C716C">
            <w:pPr>
              <w:autoSpaceDE/>
              <w:autoSpaceDN/>
              <w:adjustRightInd/>
              <w:rPr>
                <w:color w:val="000000"/>
                <w:sz w:val="20"/>
                <w:szCs w:val="20"/>
              </w:rPr>
            </w:pPr>
            <w:r w:rsidRPr="007C51D6">
              <w:rPr>
                <w:color w:val="000000"/>
                <w:sz w:val="20"/>
                <w:szCs w:val="20"/>
              </w:rPr>
              <w:t>Актанышский</w:t>
            </w:r>
          </w:p>
        </w:tc>
        <w:tc>
          <w:tcPr>
            <w:tcW w:w="1062" w:type="dxa"/>
            <w:shd w:val="clear" w:color="auto" w:fill="auto"/>
            <w:hideMark/>
          </w:tcPr>
          <w:p w:rsidR="005C716C" w:rsidRPr="007C51D6" w:rsidRDefault="005C716C" w:rsidP="005C716C">
            <w:pPr>
              <w:autoSpaceDE/>
              <w:autoSpaceDN/>
              <w:adjustRightInd/>
              <w:jc w:val="center"/>
              <w:rPr>
                <w:color w:val="000000"/>
                <w:sz w:val="20"/>
                <w:szCs w:val="20"/>
              </w:rPr>
            </w:pPr>
            <w:r w:rsidRPr="007C51D6">
              <w:rPr>
                <w:color w:val="000000"/>
                <w:sz w:val="20"/>
                <w:szCs w:val="20"/>
              </w:rPr>
              <w:t>405,44</w:t>
            </w:r>
          </w:p>
        </w:tc>
        <w:tc>
          <w:tcPr>
            <w:tcW w:w="1225" w:type="dxa"/>
            <w:shd w:val="clear" w:color="auto" w:fill="auto"/>
            <w:hideMark/>
          </w:tcPr>
          <w:p w:rsidR="005C716C" w:rsidRPr="007C51D6" w:rsidRDefault="005C716C" w:rsidP="005C716C">
            <w:pPr>
              <w:autoSpaceDE/>
              <w:autoSpaceDN/>
              <w:adjustRightInd/>
              <w:jc w:val="center"/>
              <w:rPr>
                <w:color w:val="000000"/>
                <w:sz w:val="20"/>
                <w:szCs w:val="20"/>
              </w:rPr>
            </w:pPr>
            <w:r w:rsidRPr="007C51D6">
              <w:rPr>
                <w:color w:val="000000"/>
                <w:sz w:val="20"/>
                <w:szCs w:val="20"/>
              </w:rPr>
              <w:t>274,73</w:t>
            </w:r>
          </w:p>
        </w:tc>
        <w:tc>
          <w:tcPr>
            <w:tcW w:w="992" w:type="dxa"/>
            <w:shd w:val="clear" w:color="auto" w:fill="auto"/>
            <w:hideMark/>
          </w:tcPr>
          <w:p w:rsidR="005C716C" w:rsidRPr="007C51D6" w:rsidRDefault="005C716C" w:rsidP="005C716C">
            <w:pPr>
              <w:autoSpaceDE/>
              <w:autoSpaceDN/>
              <w:adjustRightInd/>
              <w:jc w:val="center"/>
              <w:rPr>
                <w:color w:val="000000"/>
                <w:sz w:val="20"/>
                <w:szCs w:val="20"/>
              </w:rPr>
            </w:pPr>
            <w:r w:rsidRPr="007C51D6">
              <w:rPr>
                <w:color w:val="000000"/>
                <w:sz w:val="20"/>
                <w:szCs w:val="20"/>
              </w:rPr>
              <w:t>323,79</w:t>
            </w:r>
          </w:p>
        </w:tc>
        <w:tc>
          <w:tcPr>
            <w:tcW w:w="1134" w:type="dxa"/>
            <w:shd w:val="clear" w:color="auto" w:fill="auto"/>
            <w:hideMark/>
          </w:tcPr>
          <w:p w:rsidR="005C716C" w:rsidRPr="007C51D6" w:rsidRDefault="005C716C" w:rsidP="005C716C">
            <w:pPr>
              <w:autoSpaceDE/>
              <w:autoSpaceDN/>
              <w:adjustRightInd/>
              <w:jc w:val="center"/>
              <w:rPr>
                <w:color w:val="000000"/>
                <w:sz w:val="20"/>
                <w:szCs w:val="20"/>
              </w:rPr>
            </w:pPr>
            <w:r w:rsidRPr="007C51D6">
              <w:rPr>
                <w:color w:val="000000"/>
                <w:sz w:val="20"/>
                <w:szCs w:val="20"/>
              </w:rPr>
              <w:t>374,61</w:t>
            </w:r>
          </w:p>
        </w:tc>
        <w:tc>
          <w:tcPr>
            <w:tcW w:w="1134" w:type="dxa"/>
            <w:shd w:val="clear" w:color="auto" w:fill="auto"/>
            <w:hideMark/>
          </w:tcPr>
          <w:p w:rsidR="005C716C" w:rsidRPr="007C51D6" w:rsidRDefault="005C716C" w:rsidP="005C716C">
            <w:pPr>
              <w:autoSpaceDE/>
              <w:autoSpaceDN/>
              <w:adjustRightInd/>
              <w:jc w:val="center"/>
              <w:rPr>
                <w:color w:val="000000"/>
                <w:sz w:val="20"/>
                <w:szCs w:val="20"/>
              </w:rPr>
            </w:pPr>
            <w:r w:rsidRPr="007C51D6">
              <w:rPr>
                <w:color w:val="000000"/>
                <w:sz w:val="20"/>
                <w:szCs w:val="20"/>
              </w:rPr>
              <w:t>316,50</w:t>
            </w:r>
          </w:p>
        </w:tc>
        <w:tc>
          <w:tcPr>
            <w:tcW w:w="1276" w:type="dxa"/>
          </w:tcPr>
          <w:p w:rsidR="005C716C" w:rsidRPr="007C51D6" w:rsidRDefault="005C716C" w:rsidP="005C716C">
            <w:pPr>
              <w:autoSpaceDE/>
              <w:autoSpaceDN/>
              <w:adjustRightInd/>
              <w:jc w:val="center"/>
              <w:rPr>
                <w:color w:val="000000"/>
                <w:sz w:val="20"/>
                <w:szCs w:val="20"/>
              </w:rPr>
            </w:pPr>
            <w:r w:rsidRPr="007C51D6">
              <w:rPr>
                <w:color w:val="000000"/>
                <w:sz w:val="20"/>
                <w:szCs w:val="20"/>
              </w:rPr>
              <w:t>384,56</w:t>
            </w:r>
          </w:p>
        </w:tc>
        <w:tc>
          <w:tcPr>
            <w:tcW w:w="1134" w:type="dxa"/>
          </w:tcPr>
          <w:p w:rsidR="005C716C" w:rsidRPr="007C51D6" w:rsidRDefault="005C716C" w:rsidP="005C716C">
            <w:pPr>
              <w:autoSpaceDE/>
              <w:autoSpaceDN/>
              <w:adjustRightInd/>
              <w:jc w:val="center"/>
              <w:rPr>
                <w:color w:val="000000"/>
                <w:sz w:val="20"/>
                <w:szCs w:val="20"/>
              </w:rPr>
            </w:pPr>
            <w:r w:rsidRPr="007C51D6">
              <w:rPr>
                <w:color w:val="000000"/>
                <w:sz w:val="20"/>
                <w:szCs w:val="20"/>
              </w:rPr>
              <w:t>364,01</w:t>
            </w:r>
          </w:p>
        </w:tc>
        <w:tc>
          <w:tcPr>
            <w:tcW w:w="1399" w:type="dxa"/>
          </w:tcPr>
          <w:p w:rsidR="005C716C" w:rsidRPr="007C51D6" w:rsidRDefault="005C716C" w:rsidP="005C716C">
            <w:pPr>
              <w:jc w:val="center"/>
              <w:rPr>
                <w:color w:val="000000"/>
                <w:sz w:val="20"/>
                <w:szCs w:val="20"/>
              </w:rPr>
            </w:pPr>
            <w:r w:rsidRPr="007C51D6">
              <w:rPr>
                <w:color w:val="000000"/>
                <w:sz w:val="20"/>
                <w:szCs w:val="20"/>
              </w:rPr>
              <w:t>487,19</w:t>
            </w:r>
          </w:p>
        </w:tc>
        <w:tc>
          <w:tcPr>
            <w:tcW w:w="1276" w:type="dxa"/>
            <w:vAlign w:val="center"/>
          </w:tcPr>
          <w:p w:rsidR="005C716C" w:rsidRPr="007C51D6" w:rsidRDefault="005C716C" w:rsidP="005C716C">
            <w:pPr>
              <w:jc w:val="center"/>
              <w:rPr>
                <w:color w:val="000000"/>
                <w:sz w:val="20"/>
                <w:szCs w:val="20"/>
              </w:rPr>
            </w:pPr>
            <w:r w:rsidRPr="007C51D6">
              <w:rPr>
                <w:color w:val="000000"/>
                <w:sz w:val="20"/>
                <w:szCs w:val="20"/>
              </w:rPr>
              <w:t>403,12</w:t>
            </w:r>
          </w:p>
        </w:tc>
        <w:tc>
          <w:tcPr>
            <w:tcW w:w="1276" w:type="dxa"/>
            <w:vAlign w:val="center"/>
          </w:tcPr>
          <w:p w:rsidR="005C716C" w:rsidRPr="007C51D6" w:rsidRDefault="005C716C" w:rsidP="005C716C">
            <w:pPr>
              <w:jc w:val="center"/>
              <w:rPr>
                <w:sz w:val="20"/>
                <w:szCs w:val="20"/>
              </w:rPr>
            </w:pPr>
            <w:r w:rsidRPr="007C51D6">
              <w:rPr>
                <w:sz w:val="20"/>
                <w:szCs w:val="20"/>
              </w:rPr>
              <w:t>491.08</w:t>
            </w:r>
          </w:p>
        </w:tc>
      </w:tr>
      <w:tr w:rsidR="005C716C" w:rsidRPr="007C51D6" w:rsidTr="0038114E">
        <w:tblPrEx>
          <w:tblBorders>
            <w:bottom w:val="single" w:sz="4" w:space="0" w:color="auto"/>
          </w:tblBorders>
          <w:tblCellMar>
            <w:top w:w="28" w:type="dxa"/>
            <w:bottom w:w="28" w:type="dxa"/>
          </w:tblCellMar>
        </w:tblPrEx>
        <w:trPr>
          <w:trHeight w:val="227"/>
        </w:trPr>
        <w:tc>
          <w:tcPr>
            <w:tcW w:w="3255" w:type="dxa"/>
            <w:shd w:val="clear" w:color="auto" w:fill="auto"/>
            <w:hideMark/>
          </w:tcPr>
          <w:p w:rsidR="005C716C" w:rsidRPr="007C51D6" w:rsidRDefault="005C716C" w:rsidP="005C716C">
            <w:pPr>
              <w:autoSpaceDE/>
              <w:autoSpaceDN/>
              <w:adjustRightInd/>
              <w:rPr>
                <w:color w:val="000000"/>
                <w:sz w:val="20"/>
                <w:szCs w:val="20"/>
              </w:rPr>
            </w:pPr>
            <w:r w:rsidRPr="007C51D6">
              <w:rPr>
                <w:color w:val="000000"/>
                <w:sz w:val="20"/>
                <w:szCs w:val="20"/>
              </w:rPr>
              <w:t>Алексеевский</w:t>
            </w:r>
          </w:p>
        </w:tc>
        <w:tc>
          <w:tcPr>
            <w:tcW w:w="1062" w:type="dxa"/>
            <w:shd w:val="clear" w:color="auto" w:fill="auto"/>
            <w:hideMark/>
          </w:tcPr>
          <w:p w:rsidR="005C716C" w:rsidRPr="007C51D6" w:rsidRDefault="005C716C" w:rsidP="005C716C">
            <w:pPr>
              <w:autoSpaceDE/>
              <w:autoSpaceDN/>
              <w:adjustRightInd/>
              <w:jc w:val="center"/>
              <w:rPr>
                <w:color w:val="000000"/>
                <w:sz w:val="20"/>
                <w:szCs w:val="20"/>
              </w:rPr>
            </w:pPr>
            <w:r w:rsidRPr="007C51D6">
              <w:rPr>
                <w:color w:val="000000"/>
                <w:sz w:val="20"/>
                <w:szCs w:val="20"/>
              </w:rPr>
              <w:t>374,06</w:t>
            </w:r>
          </w:p>
        </w:tc>
        <w:tc>
          <w:tcPr>
            <w:tcW w:w="1225" w:type="dxa"/>
            <w:shd w:val="clear" w:color="auto" w:fill="auto"/>
            <w:hideMark/>
          </w:tcPr>
          <w:p w:rsidR="005C716C" w:rsidRPr="007C51D6" w:rsidRDefault="005C716C" w:rsidP="005C716C">
            <w:pPr>
              <w:autoSpaceDE/>
              <w:autoSpaceDN/>
              <w:adjustRightInd/>
              <w:jc w:val="center"/>
              <w:rPr>
                <w:color w:val="000000"/>
                <w:sz w:val="20"/>
                <w:szCs w:val="20"/>
              </w:rPr>
            </w:pPr>
            <w:r w:rsidRPr="007C51D6">
              <w:rPr>
                <w:color w:val="000000"/>
                <w:sz w:val="20"/>
                <w:szCs w:val="20"/>
              </w:rPr>
              <w:t>337,69</w:t>
            </w:r>
          </w:p>
        </w:tc>
        <w:tc>
          <w:tcPr>
            <w:tcW w:w="992" w:type="dxa"/>
            <w:shd w:val="clear" w:color="auto" w:fill="auto"/>
            <w:hideMark/>
          </w:tcPr>
          <w:p w:rsidR="005C716C" w:rsidRPr="007C51D6" w:rsidRDefault="005C716C" w:rsidP="005C716C">
            <w:pPr>
              <w:autoSpaceDE/>
              <w:autoSpaceDN/>
              <w:adjustRightInd/>
              <w:jc w:val="center"/>
              <w:rPr>
                <w:color w:val="000000"/>
                <w:sz w:val="20"/>
                <w:szCs w:val="20"/>
              </w:rPr>
            </w:pPr>
            <w:r w:rsidRPr="007C51D6">
              <w:rPr>
                <w:color w:val="000000"/>
                <w:sz w:val="20"/>
                <w:szCs w:val="20"/>
              </w:rPr>
              <w:t>446,38</w:t>
            </w:r>
          </w:p>
        </w:tc>
        <w:tc>
          <w:tcPr>
            <w:tcW w:w="1134" w:type="dxa"/>
            <w:shd w:val="clear" w:color="auto" w:fill="auto"/>
            <w:hideMark/>
          </w:tcPr>
          <w:p w:rsidR="005C716C" w:rsidRPr="007C51D6" w:rsidRDefault="005C716C" w:rsidP="005C716C">
            <w:pPr>
              <w:autoSpaceDE/>
              <w:autoSpaceDN/>
              <w:adjustRightInd/>
              <w:jc w:val="center"/>
              <w:rPr>
                <w:color w:val="000000"/>
                <w:sz w:val="20"/>
                <w:szCs w:val="20"/>
              </w:rPr>
            </w:pPr>
            <w:r w:rsidRPr="007C51D6">
              <w:rPr>
                <w:color w:val="000000"/>
                <w:sz w:val="20"/>
                <w:szCs w:val="20"/>
              </w:rPr>
              <w:t>485,40</w:t>
            </w:r>
          </w:p>
        </w:tc>
        <w:tc>
          <w:tcPr>
            <w:tcW w:w="1134" w:type="dxa"/>
            <w:shd w:val="clear" w:color="auto" w:fill="auto"/>
            <w:hideMark/>
          </w:tcPr>
          <w:p w:rsidR="005C716C" w:rsidRPr="007C51D6" w:rsidRDefault="005C716C" w:rsidP="005C716C">
            <w:pPr>
              <w:autoSpaceDE/>
              <w:autoSpaceDN/>
              <w:adjustRightInd/>
              <w:jc w:val="center"/>
              <w:rPr>
                <w:color w:val="000000"/>
                <w:sz w:val="20"/>
                <w:szCs w:val="20"/>
              </w:rPr>
            </w:pPr>
            <w:r w:rsidRPr="007C51D6">
              <w:rPr>
                <w:color w:val="000000"/>
                <w:sz w:val="20"/>
                <w:szCs w:val="20"/>
              </w:rPr>
              <w:t>328,41</w:t>
            </w:r>
          </w:p>
        </w:tc>
        <w:tc>
          <w:tcPr>
            <w:tcW w:w="1276" w:type="dxa"/>
          </w:tcPr>
          <w:p w:rsidR="005C716C" w:rsidRPr="007C51D6" w:rsidRDefault="005C716C" w:rsidP="005C716C">
            <w:pPr>
              <w:autoSpaceDE/>
              <w:autoSpaceDN/>
              <w:adjustRightInd/>
              <w:jc w:val="center"/>
              <w:rPr>
                <w:color w:val="000000"/>
                <w:sz w:val="20"/>
                <w:szCs w:val="20"/>
              </w:rPr>
            </w:pPr>
            <w:r w:rsidRPr="007C51D6">
              <w:rPr>
                <w:color w:val="000000"/>
                <w:sz w:val="20"/>
                <w:szCs w:val="20"/>
              </w:rPr>
              <w:t>376,47</w:t>
            </w:r>
          </w:p>
        </w:tc>
        <w:tc>
          <w:tcPr>
            <w:tcW w:w="1134" w:type="dxa"/>
          </w:tcPr>
          <w:p w:rsidR="005C716C" w:rsidRPr="007C51D6" w:rsidRDefault="005C716C" w:rsidP="005C716C">
            <w:pPr>
              <w:autoSpaceDE/>
              <w:autoSpaceDN/>
              <w:adjustRightInd/>
              <w:jc w:val="center"/>
              <w:rPr>
                <w:color w:val="000000"/>
                <w:sz w:val="20"/>
                <w:szCs w:val="20"/>
              </w:rPr>
            </w:pPr>
            <w:r w:rsidRPr="007C51D6">
              <w:rPr>
                <w:color w:val="000000"/>
                <w:sz w:val="20"/>
                <w:szCs w:val="20"/>
              </w:rPr>
              <w:t>335,94</w:t>
            </w:r>
          </w:p>
        </w:tc>
        <w:tc>
          <w:tcPr>
            <w:tcW w:w="1399" w:type="dxa"/>
          </w:tcPr>
          <w:p w:rsidR="005C716C" w:rsidRPr="007C51D6" w:rsidRDefault="005C716C" w:rsidP="005C716C">
            <w:pPr>
              <w:jc w:val="center"/>
              <w:rPr>
                <w:color w:val="000000"/>
                <w:sz w:val="20"/>
                <w:szCs w:val="20"/>
              </w:rPr>
            </w:pPr>
            <w:r w:rsidRPr="007C51D6">
              <w:rPr>
                <w:color w:val="000000"/>
                <w:sz w:val="20"/>
                <w:szCs w:val="20"/>
              </w:rPr>
              <w:t>416,35</w:t>
            </w:r>
          </w:p>
        </w:tc>
        <w:tc>
          <w:tcPr>
            <w:tcW w:w="1276" w:type="dxa"/>
            <w:vAlign w:val="center"/>
          </w:tcPr>
          <w:p w:rsidR="005C716C" w:rsidRPr="007C51D6" w:rsidRDefault="005C716C" w:rsidP="005C716C">
            <w:pPr>
              <w:jc w:val="center"/>
              <w:rPr>
                <w:color w:val="000000"/>
                <w:sz w:val="20"/>
                <w:szCs w:val="20"/>
              </w:rPr>
            </w:pPr>
            <w:r w:rsidRPr="007C51D6">
              <w:rPr>
                <w:color w:val="000000"/>
                <w:sz w:val="20"/>
                <w:szCs w:val="20"/>
              </w:rPr>
              <w:t>426,38</w:t>
            </w:r>
          </w:p>
        </w:tc>
        <w:tc>
          <w:tcPr>
            <w:tcW w:w="1276" w:type="dxa"/>
            <w:vAlign w:val="center"/>
          </w:tcPr>
          <w:p w:rsidR="005C716C" w:rsidRPr="007C51D6" w:rsidRDefault="005C716C" w:rsidP="005C716C">
            <w:pPr>
              <w:jc w:val="center"/>
              <w:rPr>
                <w:sz w:val="20"/>
                <w:szCs w:val="20"/>
              </w:rPr>
            </w:pPr>
            <w:r w:rsidRPr="007C51D6">
              <w:rPr>
                <w:sz w:val="20"/>
                <w:szCs w:val="20"/>
              </w:rPr>
              <w:t>491.35</w:t>
            </w:r>
          </w:p>
        </w:tc>
      </w:tr>
      <w:tr w:rsidR="005C716C" w:rsidRPr="007C51D6" w:rsidTr="0038114E">
        <w:tblPrEx>
          <w:tblBorders>
            <w:bottom w:val="single" w:sz="4" w:space="0" w:color="auto"/>
          </w:tblBorders>
          <w:tblCellMar>
            <w:top w:w="28" w:type="dxa"/>
            <w:bottom w:w="28" w:type="dxa"/>
          </w:tblCellMar>
        </w:tblPrEx>
        <w:trPr>
          <w:trHeight w:val="227"/>
        </w:trPr>
        <w:tc>
          <w:tcPr>
            <w:tcW w:w="3255" w:type="dxa"/>
            <w:shd w:val="clear" w:color="auto" w:fill="auto"/>
            <w:hideMark/>
          </w:tcPr>
          <w:p w:rsidR="005C716C" w:rsidRPr="007C51D6" w:rsidRDefault="005C716C" w:rsidP="005C716C">
            <w:pPr>
              <w:autoSpaceDE/>
              <w:autoSpaceDN/>
              <w:adjustRightInd/>
              <w:rPr>
                <w:color w:val="000000"/>
                <w:sz w:val="20"/>
                <w:szCs w:val="20"/>
              </w:rPr>
            </w:pPr>
            <w:r w:rsidRPr="007C51D6">
              <w:rPr>
                <w:color w:val="000000"/>
                <w:sz w:val="20"/>
                <w:szCs w:val="20"/>
              </w:rPr>
              <w:t>Алькеевский</w:t>
            </w:r>
          </w:p>
        </w:tc>
        <w:tc>
          <w:tcPr>
            <w:tcW w:w="1062" w:type="dxa"/>
            <w:shd w:val="clear" w:color="auto" w:fill="auto"/>
            <w:hideMark/>
          </w:tcPr>
          <w:p w:rsidR="005C716C" w:rsidRPr="007C51D6" w:rsidRDefault="005C716C" w:rsidP="005C716C">
            <w:pPr>
              <w:autoSpaceDE/>
              <w:autoSpaceDN/>
              <w:adjustRightInd/>
              <w:jc w:val="center"/>
              <w:rPr>
                <w:color w:val="000000"/>
                <w:sz w:val="20"/>
                <w:szCs w:val="20"/>
              </w:rPr>
            </w:pPr>
            <w:r w:rsidRPr="007C51D6">
              <w:rPr>
                <w:color w:val="000000"/>
                <w:sz w:val="20"/>
                <w:szCs w:val="20"/>
              </w:rPr>
              <w:t>324,09</w:t>
            </w:r>
          </w:p>
        </w:tc>
        <w:tc>
          <w:tcPr>
            <w:tcW w:w="1225" w:type="dxa"/>
            <w:shd w:val="clear" w:color="auto" w:fill="auto"/>
            <w:hideMark/>
          </w:tcPr>
          <w:p w:rsidR="005C716C" w:rsidRPr="007C51D6" w:rsidRDefault="005C716C" w:rsidP="005C716C">
            <w:pPr>
              <w:autoSpaceDE/>
              <w:autoSpaceDN/>
              <w:adjustRightInd/>
              <w:jc w:val="center"/>
              <w:rPr>
                <w:color w:val="000000"/>
                <w:sz w:val="20"/>
                <w:szCs w:val="20"/>
              </w:rPr>
            </w:pPr>
            <w:r w:rsidRPr="007C51D6">
              <w:rPr>
                <w:color w:val="000000"/>
                <w:sz w:val="20"/>
                <w:szCs w:val="20"/>
              </w:rPr>
              <w:t>456,17</w:t>
            </w:r>
          </w:p>
        </w:tc>
        <w:tc>
          <w:tcPr>
            <w:tcW w:w="992" w:type="dxa"/>
            <w:shd w:val="clear" w:color="auto" w:fill="auto"/>
            <w:hideMark/>
          </w:tcPr>
          <w:p w:rsidR="005C716C" w:rsidRPr="007C51D6" w:rsidRDefault="005C716C" w:rsidP="005C716C">
            <w:pPr>
              <w:autoSpaceDE/>
              <w:autoSpaceDN/>
              <w:adjustRightInd/>
              <w:jc w:val="center"/>
              <w:rPr>
                <w:color w:val="000000"/>
                <w:sz w:val="20"/>
                <w:szCs w:val="20"/>
              </w:rPr>
            </w:pPr>
            <w:r w:rsidRPr="007C51D6">
              <w:rPr>
                <w:color w:val="000000"/>
                <w:sz w:val="20"/>
                <w:szCs w:val="20"/>
              </w:rPr>
              <w:t>393,97</w:t>
            </w:r>
          </w:p>
        </w:tc>
        <w:tc>
          <w:tcPr>
            <w:tcW w:w="1134" w:type="dxa"/>
            <w:shd w:val="clear" w:color="auto" w:fill="auto"/>
            <w:hideMark/>
          </w:tcPr>
          <w:p w:rsidR="005C716C" w:rsidRPr="007C51D6" w:rsidRDefault="005C716C" w:rsidP="005C716C">
            <w:pPr>
              <w:autoSpaceDE/>
              <w:autoSpaceDN/>
              <w:adjustRightInd/>
              <w:jc w:val="center"/>
              <w:rPr>
                <w:color w:val="000000"/>
                <w:sz w:val="20"/>
                <w:szCs w:val="20"/>
              </w:rPr>
            </w:pPr>
            <w:r w:rsidRPr="007C51D6">
              <w:rPr>
                <w:color w:val="000000"/>
                <w:sz w:val="20"/>
                <w:szCs w:val="20"/>
              </w:rPr>
              <w:t>361,86</w:t>
            </w:r>
          </w:p>
        </w:tc>
        <w:tc>
          <w:tcPr>
            <w:tcW w:w="1134" w:type="dxa"/>
            <w:shd w:val="clear" w:color="auto" w:fill="auto"/>
            <w:hideMark/>
          </w:tcPr>
          <w:p w:rsidR="005C716C" w:rsidRPr="007C51D6" w:rsidRDefault="005C716C" w:rsidP="005C716C">
            <w:pPr>
              <w:autoSpaceDE/>
              <w:autoSpaceDN/>
              <w:adjustRightInd/>
              <w:jc w:val="center"/>
              <w:rPr>
                <w:color w:val="000000"/>
                <w:sz w:val="20"/>
                <w:szCs w:val="20"/>
              </w:rPr>
            </w:pPr>
            <w:r w:rsidRPr="007C51D6">
              <w:rPr>
                <w:color w:val="000000"/>
                <w:sz w:val="20"/>
                <w:szCs w:val="20"/>
              </w:rPr>
              <w:t>342,70</w:t>
            </w:r>
          </w:p>
        </w:tc>
        <w:tc>
          <w:tcPr>
            <w:tcW w:w="1276" w:type="dxa"/>
          </w:tcPr>
          <w:p w:rsidR="005C716C" w:rsidRPr="007C51D6" w:rsidRDefault="005C716C" w:rsidP="005C716C">
            <w:pPr>
              <w:autoSpaceDE/>
              <w:autoSpaceDN/>
              <w:adjustRightInd/>
              <w:jc w:val="center"/>
              <w:rPr>
                <w:color w:val="000000"/>
                <w:sz w:val="20"/>
                <w:szCs w:val="20"/>
              </w:rPr>
            </w:pPr>
            <w:r w:rsidRPr="007C51D6">
              <w:rPr>
                <w:color w:val="000000"/>
                <w:sz w:val="20"/>
                <w:szCs w:val="20"/>
              </w:rPr>
              <w:t>476,57</w:t>
            </w:r>
          </w:p>
        </w:tc>
        <w:tc>
          <w:tcPr>
            <w:tcW w:w="1134" w:type="dxa"/>
          </w:tcPr>
          <w:p w:rsidR="005C716C" w:rsidRPr="007C51D6" w:rsidRDefault="005C716C" w:rsidP="005C716C">
            <w:pPr>
              <w:autoSpaceDE/>
              <w:autoSpaceDN/>
              <w:adjustRightInd/>
              <w:jc w:val="center"/>
              <w:rPr>
                <w:color w:val="000000"/>
                <w:sz w:val="20"/>
                <w:szCs w:val="20"/>
              </w:rPr>
            </w:pPr>
            <w:r w:rsidRPr="007C51D6">
              <w:rPr>
                <w:color w:val="000000"/>
                <w:sz w:val="20"/>
                <w:szCs w:val="20"/>
              </w:rPr>
              <w:t>358,36</w:t>
            </w:r>
          </w:p>
        </w:tc>
        <w:tc>
          <w:tcPr>
            <w:tcW w:w="1399" w:type="dxa"/>
          </w:tcPr>
          <w:p w:rsidR="005C716C" w:rsidRPr="007C51D6" w:rsidRDefault="005C716C" w:rsidP="005C716C">
            <w:pPr>
              <w:jc w:val="center"/>
              <w:rPr>
                <w:color w:val="000000"/>
                <w:sz w:val="20"/>
                <w:szCs w:val="20"/>
              </w:rPr>
            </w:pPr>
            <w:r w:rsidRPr="007C51D6">
              <w:rPr>
                <w:color w:val="000000"/>
                <w:sz w:val="20"/>
                <w:szCs w:val="20"/>
              </w:rPr>
              <w:t>438,89</w:t>
            </w:r>
          </w:p>
        </w:tc>
        <w:tc>
          <w:tcPr>
            <w:tcW w:w="1276" w:type="dxa"/>
            <w:vAlign w:val="center"/>
          </w:tcPr>
          <w:p w:rsidR="005C716C" w:rsidRPr="007C51D6" w:rsidRDefault="005C716C" w:rsidP="005C716C">
            <w:pPr>
              <w:jc w:val="center"/>
              <w:rPr>
                <w:color w:val="000000"/>
                <w:sz w:val="20"/>
                <w:szCs w:val="20"/>
              </w:rPr>
            </w:pPr>
            <w:r w:rsidRPr="007C51D6">
              <w:rPr>
                <w:color w:val="000000"/>
                <w:sz w:val="20"/>
                <w:szCs w:val="20"/>
              </w:rPr>
              <w:t>409,68</w:t>
            </w:r>
          </w:p>
        </w:tc>
        <w:tc>
          <w:tcPr>
            <w:tcW w:w="1276" w:type="dxa"/>
            <w:vAlign w:val="center"/>
          </w:tcPr>
          <w:p w:rsidR="005C716C" w:rsidRPr="007C51D6" w:rsidRDefault="005C716C" w:rsidP="005C716C">
            <w:pPr>
              <w:jc w:val="center"/>
              <w:rPr>
                <w:sz w:val="20"/>
                <w:szCs w:val="20"/>
              </w:rPr>
            </w:pPr>
            <w:r w:rsidRPr="007C51D6">
              <w:rPr>
                <w:sz w:val="20"/>
                <w:szCs w:val="20"/>
              </w:rPr>
              <w:t>420.75</w:t>
            </w:r>
          </w:p>
        </w:tc>
      </w:tr>
      <w:tr w:rsidR="005C716C" w:rsidRPr="007C51D6" w:rsidTr="0038114E">
        <w:tblPrEx>
          <w:tblBorders>
            <w:bottom w:val="single" w:sz="4" w:space="0" w:color="auto"/>
          </w:tblBorders>
          <w:tblCellMar>
            <w:top w:w="28" w:type="dxa"/>
            <w:bottom w:w="28" w:type="dxa"/>
          </w:tblCellMar>
        </w:tblPrEx>
        <w:trPr>
          <w:trHeight w:val="227"/>
        </w:trPr>
        <w:tc>
          <w:tcPr>
            <w:tcW w:w="3255" w:type="dxa"/>
            <w:shd w:val="clear" w:color="auto" w:fill="auto"/>
            <w:hideMark/>
          </w:tcPr>
          <w:p w:rsidR="005C716C" w:rsidRPr="007C51D6" w:rsidRDefault="005C716C" w:rsidP="005C716C">
            <w:pPr>
              <w:autoSpaceDE/>
              <w:autoSpaceDN/>
              <w:adjustRightInd/>
              <w:rPr>
                <w:color w:val="000000"/>
                <w:sz w:val="20"/>
                <w:szCs w:val="20"/>
              </w:rPr>
            </w:pPr>
            <w:r w:rsidRPr="007C51D6">
              <w:rPr>
                <w:color w:val="000000"/>
                <w:sz w:val="20"/>
                <w:szCs w:val="20"/>
              </w:rPr>
              <w:t>Альметьевский</w:t>
            </w:r>
          </w:p>
        </w:tc>
        <w:tc>
          <w:tcPr>
            <w:tcW w:w="1062" w:type="dxa"/>
            <w:shd w:val="clear" w:color="auto" w:fill="auto"/>
            <w:hideMark/>
          </w:tcPr>
          <w:p w:rsidR="005C716C" w:rsidRPr="007C51D6" w:rsidRDefault="005C716C" w:rsidP="005C716C">
            <w:pPr>
              <w:autoSpaceDE/>
              <w:autoSpaceDN/>
              <w:adjustRightInd/>
              <w:jc w:val="center"/>
              <w:rPr>
                <w:color w:val="000000"/>
                <w:sz w:val="20"/>
                <w:szCs w:val="20"/>
              </w:rPr>
            </w:pPr>
            <w:r w:rsidRPr="007C51D6">
              <w:rPr>
                <w:color w:val="000000"/>
                <w:sz w:val="20"/>
                <w:szCs w:val="20"/>
              </w:rPr>
              <w:t>400,29</w:t>
            </w:r>
          </w:p>
        </w:tc>
        <w:tc>
          <w:tcPr>
            <w:tcW w:w="1225" w:type="dxa"/>
            <w:shd w:val="clear" w:color="auto" w:fill="auto"/>
            <w:hideMark/>
          </w:tcPr>
          <w:p w:rsidR="005C716C" w:rsidRPr="007C51D6" w:rsidRDefault="005C716C" w:rsidP="005C716C">
            <w:pPr>
              <w:autoSpaceDE/>
              <w:autoSpaceDN/>
              <w:adjustRightInd/>
              <w:jc w:val="center"/>
              <w:rPr>
                <w:color w:val="000000"/>
                <w:sz w:val="20"/>
                <w:szCs w:val="20"/>
              </w:rPr>
            </w:pPr>
            <w:r w:rsidRPr="007C51D6">
              <w:rPr>
                <w:color w:val="000000"/>
                <w:sz w:val="20"/>
                <w:szCs w:val="20"/>
              </w:rPr>
              <w:t>370,64</w:t>
            </w:r>
          </w:p>
        </w:tc>
        <w:tc>
          <w:tcPr>
            <w:tcW w:w="992" w:type="dxa"/>
            <w:shd w:val="clear" w:color="auto" w:fill="auto"/>
            <w:hideMark/>
          </w:tcPr>
          <w:p w:rsidR="005C716C" w:rsidRPr="007C51D6" w:rsidRDefault="005C716C" w:rsidP="005C716C">
            <w:pPr>
              <w:autoSpaceDE/>
              <w:autoSpaceDN/>
              <w:adjustRightInd/>
              <w:jc w:val="center"/>
              <w:rPr>
                <w:color w:val="000000"/>
                <w:sz w:val="20"/>
                <w:szCs w:val="20"/>
              </w:rPr>
            </w:pPr>
            <w:r w:rsidRPr="007C51D6">
              <w:rPr>
                <w:color w:val="000000"/>
                <w:sz w:val="20"/>
                <w:szCs w:val="20"/>
              </w:rPr>
              <w:t>397,39</w:t>
            </w:r>
          </w:p>
        </w:tc>
        <w:tc>
          <w:tcPr>
            <w:tcW w:w="1134" w:type="dxa"/>
            <w:shd w:val="clear" w:color="auto" w:fill="auto"/>
            <w:hideMark/>
          </w:tcPr>
          <w:p w:rsidR="005C716C" w:rsidRPr="007C51D6" w:rsidRDefault="005C716C" w:rsidP="005C716C">
            <w:pPr>
              <w:autoSpaceDE/>
              <w:autoSpaceDN/>
              <w:adjustRightInd/>
              <w:jc w:val="center"/>
              <w:rPr>
                <w:color w:val="000000"/>
                <w:sz w:val="20"/>
                <w:szCs w:val="20"/>
              </w:rPr>
            </w:pPr>
            <w:r w:rsidRPr="007C51D6">
              <w:rPr>
                <w:color w:val="000000"/>
                <w:sz w:val="20"/>
                <w:szCs w:val="20"/>
              </w:rPr>
              <w:t>360,20</w:t>
            </w:r>
          </w:p>
        </w:tc>
        <w:tc>
          <w:tcPr>
            <w:tcW w:w="1134" w:type="dxa"/>
            <w:shd w:val="clear" w:color="auto" w:fill="auto"/>
            <w:hideMark/>
          </w:tcPr>
          <w:p w:rsidR="005C716C" w:rsidRPr="007C51D6" w:rsidRDefault="005C716C" w:rsidP="005C716C">
            <w:pPr>
              <w:autoSpaceDE/>
              <w:autoSpaceDN/>
              <w:adjustRightInd/>
              <w:jc w:val="center"/>
              <w:rPr>
                <w:color w:val="000000"/>
                <w:sz w:val="20"/>
                <w:szCs w:val="20"/>
              </w:rPr>
            </w:pPr>
            <w:r w:rsidRPr="007C51D6">
              <w:rPr>
                <w:color w:val="000000"/>
                <w:sz w:val="20"/>
                <w:szCs w:val="20"/>
              </w:rPr>
              <w:t>311,13</w:t>
            </w:r>
          </w:p>
        </w:tc>
        <w:tc>
          <w:tcPr>
            <w:tcW w:w="1276" w:type="dxa"/>
          </w:tcPr>
          <w:p w:rsidR="005C716C" w:rsidRPr="007C51D6" w:rsidRDefault="005C716C" w:rsidP="005C716C">
            <w:pPr>
              <w:autoSpaceDE/>
              <w:autoSpaceDN/>
              <w:adjustRightInd/>
              <w:jc w:val="center"/>
              <w:rPr>
                <w:color w:val="000000"/>
                <w:sz w:val="20"/>
                <w:szCs w:val="20"/>
              </w:rPr>
            </w:pPr>
            <w:r w:rsidRPr="007C51D6">
              <w:rPr>
                <w:color w:val="000000"/>
                <w:sz w:val="20"/>
                <w:szCs w:val="20"/>
              </w:rPr>
              <w:t>406,39</w:t>
            </w:r>
          </w:p>
        </w:tc>
        <w:tc>
          <w:tcPr>
            <w:tcW w:w="1134" w:type="dxa"/>
          </w:tcPr>
          <w:p w:rsidR="005C716C" w:rsidRPr="007C51D6" w:rsidRDefault="005C716C" w:rsidP="005C716C">
            <w:pPr>
              <w:autoSpaceDE/>
              <w:autoSpaceDN/>
              <w:adjustRightInd/>
              <w:jc w:val="center"/>
              <w:rPr>
                <w:color w:val="000000"/>
                <w:sz w:val="20"/>
                <w:szCs w:val="20"/>
              </w:rPr>
            </w:pPr>
            <w:r w:rsidRPr="007C51D6">
              <w:rPr>
                <w:color w:val="000000"/>
                <w:sz w:val="20"/>
                <w:szCs w:val="20"/>
              </w:rPr>
              <w:t>374,28</w:t>
            </w:r>
          </w:p>
        </w:tc>
        <w:tc>
          <w:tcPr>
            <w:tcW w:w="1399" w:type="dxa"/>
          </w:tcPr>
          <w:p w:rsidR="005C716C" w:rsidRPr="007C51D6" w:rsidRDefault="005C716C" w:rsidP="005C716C">
            <w:pPr>
              <w:jc w:val="center"/>
              <w:rPr>
                <w:color w:val="000000"/>
                <w:sz w:val="20"/>
                <w:szCs w:val="20"/>
              </w:rPr>
            </w:pPr>
            <w:r w:rsidRPr="007C51D6">
              <w:rPr>
                <w:color w:val="000000"/>
                <w:sz w:val="20"/>
                <w:szCs w:val="20"/>
              </w:rPr>
              <w:t>435,59</w:t>
            </w:r>
          </w:p>
        </w:tc>
        <w:tc>
          <w:tcPr>
            <w:tcW w:w="1276" w:type="dxa"/>
            <w:vAlign w:val="center"/>
          </w:tcPr>
          <w:p w:rsidR="005C716C" w:rsidRPr="007C51D6" w:rsidRDefault="005C716C" w:rsidP="005C716C">
            <w:pPr>
              <w:jc w:val="center"/>
              <w:rPr>
                <w:color w:val="000000"/>
                <w:sz w:val="20"/>
                <w:szCs w:val="20"/>
              </w:rPr>
            </w:pPr>
            <w:r w:rsidRPr="007C51D6">
              <w:rPr>
                <w:color w:val="000000"/>
                <w:sz w:val="20"/>
                <w:szCs w:val="20"/>
              </w:rPr>
              <w:t>418,16</w:t>
            </w:r>
          </w:p>
        </w:tc>
        <w:tc>
          <w:tcPr>
            <w:tcW w:w="1276" w:type="dxa"/>
            <w:vAlign w:val="center"/>
          </w:tcPr>
          <w:p w:rsidR="005C716C" w:rsidRPr="007C51D6" w:rsidRDefault="005C716C" w:rsidP="005C716C">
            <w:pPr>
              <w:jc w:val="center"/>
              <w:rPr>
                <w:sz w:val="20"/>
                <w:szCs w:val="20"/>
              </w:rPr>
            </w:pPr>
            <w:r w:rsidRPr="007C51D6">
              <w:rPr>
                <w:sz w:val="20"/>
                <w:szCs w:val="20"/>
              </w:rPr>
              <w:t>451.12</w:t>
            </w:r>
          </w:p>
        </w:tc>
      </w:tr>
      <w:tr w:rsidR="005C716C" w:rsidRPr="007C51D6" w:rsidTr="0038114E">
        <w:tblPrEx>
          <w:tblBorders>
            <w:bottom w:val="single" w:sz="4" w:space="0" w:color="auto"/>
          </w:tblBorders>
          <w:tblCellMar>
            <w:top w:w="28" w:type="dxa"/>
            <w:bottom w:w="28" w:type="dxa"/>
          </w:tblCellMar>
        </w:tblPrEx>
        <w:trPr>
          <w:trHeight w:val="227"/>
        </w:trPr>
        <w:tc>
          <w:tcPr>
            <w:tcW w:w="3255" w:type="dxa"/>
            <w:shd w:val="clear" w:color="auto" w:fill="auto"/>
            <w:hideMark/>
          </w:tcPr>
          <w:p w:rsidR="005C716C" w:rsidRPr="007C51D6" w:rsidRDefault="005C716C" w:rsidP="005C716C">
            <w:pPr>
              <w:autoSpaceDE/>
              <w:autoSpaceDN/>
              <w:adjustRightInd/>
              <w:rPr>
                <w:color w:val="000000"/>
                <w:sz w:val="20"/>
                <w:szCs w:val="20"/>
              </w:rPr>
            </w:pPr>
            <w:r w:rsidRPr="007C51D6">
              <w:rPr>
                <w:color w:val="000000"/>
                <w:sz w:val="20"/>
                <w:szCs w:val="20"/>
              </w:rPr>
              <w:t>Апастовский</w:t>
            </w:r>
          </w:p>
        </w:tc>
        <w:tc>
          <w:tcPr>
            <w:tcW w:w="1062" w:type="dxa"/>
            <w:shd w:val="clear" w:color="auto" w:fill="auto"/>
            <w:hideMark/>
          </w:tcPr>
          <w:p w:rsidR="005C716C" w:rsidRPr="007C51D6" w:rsidRDefault="005C716C" w:rsidP="005C716C">
            <w:pPr>
              <w:autoSpaceDE/>
              <w:autoSpaceDN/>
              <w:adjustRightInd/>
              <w:jc w:val="center"/>
              <w:rPr>
                <w:color w:val="000000"/>
                <w:sz w:val="20"/>
                <w:szCs w:val="20"/>
              </w:rPr>
            </w:pPr>
            <w:r w:rsidRPr="007C51D6">
              <w:rPr>
                <w:color w:val="000000"/>
                <w:sz w:val="20"/>
                <w:szCs w:val="20"/>
              </w:rPr>
              <w:t>499,39</w:t>
            </w:r>
          </w:p>
        </w:tc>
        <w:tc>
          <w:tcPr>
            <w:tcW w:w="1225" w:type="dxa"/>
            <w:shd w:val="clear" w:color="auto" w:fill="auto"/>
            <w:hideMark/>
          </w:tcPr>
          <w:p w:rsidR="005C716C" w:rsidRPr="007C51D6" w:rsidRDefault="005C716C" w:rsidP="005C716C">
            <w:pPr>
              <w:autoSpaceDE/>
              <w:autoSpaceDN/>
              <w:adjustRightInd/>
              <w:jc w:val="center"/>
              <w:rPr>
                <w:color w:val="000000"/>
                <w:sz w:val="20"/>
                <w:szCs w:val="20"/>
              </w:rPr>
            </w:pPr>
            <w:r w:rsidRPr="007C51D6">
              <w:rPr>
                <w:color w:val="000000"/>
                <w:sz w:val="20"/>
                <w:szCs w:val="20"/>
              </w:rPr>
              <w:t>451,12</w:t>
            </w:r>
          </w:p>
        </w:tc>
        <w:tc>
          <w:tcPr>
            <w:tcW w:w="992" w:type="dxa"/>
            <w:shd w:val="clear" w:color="auto" w:fill="auto"/>
            <w:hideMark/>
          </w:tcPr>
          <w:p w:rsidR="005C716C" w:rsidRPr="007C51D6" w:rsidRDefault="005C716C" w:rsidP="005C716C">
            <w:pPr>
              <w:autoSpaceDE/>
              <w:autoSpaceDN/>
              <w:adjustRightInd/>
              <w:jc w:val="center"/>
              <w:rPr>
                <w:color w:val="000000"/>
                <w:sz w:val="20"/>
                <w:szCs w:val="20"/>
              </w:rPr>
            </w:pPr>
            <w:r w:rsidRPr="007C51D6">
              <w:rPr>
                <w:color w:val="000000"/>
                <w:sz w:val="20"/>
                <w:szCs w:val="20"/>
              </w:rPr>
              <w:t>446,16</w:t>
            </w:r>
          </w:p>
        </w:tc>
        <w:tc>
          <w:tcPr>
            <w:tcW w:w="1134" w:type="dxa"/>
            <w:shd w:val="clear" w:color="auto" w:fill="auto"/>
            <w:hideMark/>
          </w:tcPr>
          <w:p w:rsidR="005C716C" w:rsidRPr="007C51D6" w:rsidRDefault="005C716C" w:rsidP="005C716C">
            <w:pPr>
              <w:autoSpaceDE/>
              <w:autoSpaceDN/>
              <w:adjustRightInd/>
              <w:jc w:val="center"/>
              <w:rPr>
                <w:color w:val="000000"/>
                <w:sz w:val="20"/>
                <w:szCs w:val="20"/>
              </w:rPr>
            </w:pPr>
            <w:r w:rsidRPr="007C51D6">
              <w:rPr>
                <w:color w:val="000000"/>
                <w:sz w:val="20"/>
                <w:szCs w:val="20"/>
              </w:rPr>
              <w:t>511,64</w:t>
            </w:r>
          </w:p>
        </w:tc>
        <w:tc>
          <w:tcPr>
            <w:tcW w:w="1134" w:type="dxa"/>
            <w:shd w:val="clear" w:color="auto" w:fill="auto"/>
            <w:hideMark/>
          </w:tcPr>
          <w:p w:rsidR="005C716C" w:rsidRPr="007C51D6" w:rsidRDefault="005C716C" w:rsidP="005C716C">
            <w:pPr>
              <w:autoSpaceDE/>
              <w:autoSpaceDN/>
              <w:adjustRightInd/>
              <w:jc w:val="center"/>
              <w:rPr>
                <w:color w:val="000000"/>
                <w:sz w:val="20"/>
                <w:szCs w:val="20"/>
              </w:rPr>
            </w:pPr>
            <w:r w:rsidRPr="007C51D6">
              <w:rPr>
                <w:color w:val="000000"/>
                <w:sz w:val="20"/>
                <w:szCs w:val="20"/>
              </w:rPr>
              <w:t>399,75</w:t>
            </w:r>
          </w:p>
        </w:tc>
        <w:tc>
          <w:tcPr>
            <w:tcW w:w="1276" w:type="dxa"/>
          </w:tcPr>
          <w:p w:rsidR="005C716C" w:rsidRPr="007C51D6" w:rsidRDefault="005C716C" w:rsidP="005C716C">
            <w:pPr>
              <w:autoSpaceDE/>
              <w:autoSpaceDN/>
              <w:adjustRightInd/>
              <w:jc w:val="center"/>
              <w:rPr>
                <w:color w:val="000000"/>
                <w:sz w:val="20"/>
                <w:szCs w:val="20"/>
              </w:rPr>
            </w:pPr>
            <w:r w:rsidRPr="007C51D6">
              <w:rPr>
                <w:color w:val="000000"/>
                <w:sz w:val="20"/>
                <w:szCs w:val="20"/>
              </w:rPr>
              <w:t>389,50</w:t>
            </w:r>
          </w:p>
        </w:tc>
        <w:tc>
          <w:tcPr>
            <w:tcW w:w="1134" w:type="dxa"/>
          </w:tcPr>
          <w:p w:rsidR="005C716C" w:rsidRPr="007C51D6" w:rsidRDefault="005C716C" w:rsidP="005C716C">
            <w:pPr>
              <w:autoSpaceDE/>
              <w:autoSpaceDN/>
              <w:adjustRightInd/>
              <w:jc w:val="center"/>
              <w:rPr>
                <w:color w:val="000000"/>
                <w:sz w:val="20"/>
                <w:szCs w:val="20"/>
              </w:rPr>
            </w:pPr>
            <w:r w:rsidRPr="007C51D6">
              <w:rPr>
                <w:color w:val="000000"/>
                <w:sz w:val="20"/>
                <w:szCs w:val="20"/>
              </w:rPr>
              <w:t>503,03</w:t>
            </w:r>
          </w:p>
        </w:tc>
        <w:tc>
          <w:tcPr>
            <w:tcW w:w="1399" w:type="dxa"/>
          </w:tcPr>
          <w:p w:rsidR="005C716C" w:rsidRPr="007C51D6" w:rsidRDefault="005C716C" w:rsidP="005C716C">
            <w:pPr>
              <w:jc w:val="center"/>
              <w:rPr>
                <w:color w:val="000000"/>
                <w:sz w:val="20"/>
                <w:szCs w:val="20"/>
              </w:rPr>
            </w:pPr>
            <w:r w:rsidRPr="007C51D6">
              <w:rPr>
                <w:color w:val="000000"/>
                <w:sz w:val="20"/>
                <w:szCs w:val="20"/>
              </w:rPr>
              <w:t>479,08</w:t>
            </w:r>
          </w:p>
        </w:tc>
        <w:tc>
          <w:tcPr>
            <w:tcW w:w="1276" w:type="dxa"/>
            <w:vAlign w:val="center"/>
          </w:tcPr>
          <w:p w:rsidR="005C716C" w:rsidRPr="007C51D6" w:rsidRDefault="005C716C" w:rsidP="005C716C">
            <w:pPr>
              <w:jc w:val="center"/>
              <w:rPr>
                <w:color w:val="000000"/>
                <w:sz w:val="20"/>
                <w:szCs w:val="20"/>
              </w:rPr>
            </w:pPr>
            <w:r w:rsidRPr="007C51D6">
              <w:rPr>
                <w:color w:val="000000"/>
                <w:sz w:val="20"/>
                <w:szCs w:val="20"/>
              </w:rPr>
              <w:t>514,03</w:t>
            </w:r>
          </w:p>
        </w:tc>
        <w:tc>
          <w:tcPr>
            <w:tcW w:w="1276" w:type="dxa"/>
            <w:vAlign w:val="center"/>
          </w:tcPr>
          <w:p w:rsidR="005C716C" w:rsidRPr="007C51D6" w:rsidRDefault="005C716C" w:rsidP="005C716C">
            <w:pPr>
              <w:jc w:val="center"/>
              <w:rPr>
                <w:sz w:val="20"/>
                <w:szCs w:val="20"/>
              </w:rPr>
            </w:pPr>
            <w:r w:rsidRPr="007C51D6">
              <w:rPr>
                <w:sz w:val="20"/>
                <w:szCs w:val="20"/>
              </w:rPr>
              <w:t>610.41</w:t>
            </w:r>
          </w:p>
        </w:tc>
      </w:tr>
      <w:tr w:rsidR="005C716C" w:rsidRPr="007C51D6" w:rsidTr="0038114E">
        <w:tblPrEx>
          <w:tblBorders>
            <w:bottom w:val="single" w:sz="4" w:space="0" w:color="auto"/>
          </w:tblBorders>
          <w:tblCellMar>
            <w:top w:w="28" w:type="dxa"/>
            <w:bottom w:w="28" w:type="dxa"/>
          </w:tblCellMar>
        </w:tblPrEx>
        <w:trPr>
          <w:trHeight w:val="227"/>
        </w:trPr>
        <w:tc>
          <w:tcPr>
            <w:tcW w:w="3255" w:type="dxa"/>
            <w:shd w:val="clear" w:color="auto" w:fill="auto"/>
            <w:hideMark/>
          </w:tcPr>
          <w:p w:rsidR="005C716C" w:rsidRPr="007C51D6" w:rsidRDefault="005C716C" w:rsidP="005C716C">
            <w:pPr>
              <w:autoSpaceDE/>
              <w:autoSpaceDN/>
              <w:adjustRightInd/>
              <w:rPr>
                <w:color w:val="000000"/>
                <w:sz w:val="20"/>
                <w:szCs w:val="20"/>
              </w:rPr>
            </w:pPr>
            <w:r w:rsidRPr="007C51D6">
              <w:rPr>
                <w:color w:val="000000"/>
                <w:sz w:val="20"/>
                <w:szCs w:val="20"/>
              </w:rPr>
              <w:t>Арский</w:t>
            </w:r>
          </w:p>
        </w:tc>
        <w:tc>
          <w:tcPr>
            <w:tcW w:w="1062" w:type="dxa"/>
            <w:shd w:val="clear" w:color="auto" w:fill="auto"/>
            <w:hideMark/>
          </w:tcPr>
          <w:p w:rsidR="005C716C" w:rsidRPr="007C51D6" w:rsidRDefault="005C716C" w:rsidP="005C716C">
            <w:pPr>
              <w:autoSpaceDE/>
              <w:autoSpaceDN/>
              <w:adjustRightInd/>
              <w:jc w:val="center"/>
              <w:rPr>
                <w:color w:val="000000"/>
                <w:sz w:val="20"/>
                <w:szCs w:val="20"/>
              </w:rPr>
            </w:pPr>
            <w:r w:rsidRPr="007C51D6">
              <w:rPr>
                <w:color w:val="000000"/>
                <w:sz w:val="20"/>
                <w:szCs w:val="20"/>
              </w:rPr>
              <w:t>314,11</w:t>
            </w:r>
          </w:p>
        </w:tc>
        <w:tc>
          <w:tcPr>
            <w:tcW w:w="1225" w:type="dxa"/>
            <w:shd w:val="clear" w:color="auto" w:fill="auto"/>
            <w:hideMark/>
          </w:tcPr>
          <w:p w:rsidR="005C716C" w:rsidRPr="007C51D6" w:rsidRDefault="005C716C" w:rsidP="005C716C">
            <w:pPr>
              <w:autoSpaceDE/>
              <w:autoSpaceDN/>
              <w:adjustRightInd/>
              <w:jc w:val="center"/>
              <w:rPr>
                <w:color w:val="000000"/>
                <w:sz w:val="20"/>
                <w:szCs w:val="20"/>
              </w:rPr>
            </w:pPr>
            <w:r w:rsidRPr="007C51D6">
              <w:rPr>
                <w:color w:val="000000"/>
                <w:sz w:val="20"/>
                <w:szCs w:val="20"/>
              </w:rPr>
              <w:t>336,39</w:t>
            </w:r>
          </w:p>
        </w:tc>
        <w:tc>
          <w:tcPr>
            <w:tcW w:w="992" w:type="dxa"/>
            <w:shd w:val="clear" w:color="auto" w:fill="auto"/>
            <w:hideMark/>
          </w:tcPr>
          <w:p w:rsidR="005C716C" w:rsidRPr="007C51D6" w:rsidRDefault="005C716C" w:rsidP="005C716C">
            <w:pPr>
              <w:autoSpaceDE/>
              <w:autoSpaceDN/>
              <w:adjustRightInd/>
              <w:jc w:val="center"/>
              <w:rPr>
                <w:color w:val="000000"/>
                <w:sz w:val="20"/>
                <w:szCs w:val="20"/>
              </w:rPr>
            </w:pPr>
            <w:r w:rsidRPr="007C51D6">
              <w:rPr>
                <w:color w:val="000000"/>
                <w:sz w:val="20"/>
                <w:szCs w:val="20"/>
              </w:rPr>
              <w:t>340,19</w:t>
            </w:r>
          </w:p>
        </w:tc>
        <w:tc>
          <w:tcPr>
            <w:tcW w:w="1134" w:type="dxa"/>
            <w:shd w:val="clear" w:color="auto" w:fill="auto"/>
            <w:hideMark/>
          </w:tcPr>
          <w:p w:rsidR="005C716C" w:rsidRPr="007C51D6" w:rsidRDefault="005C716C" w:rsidP="005C716C">
            <w:pPr>
              <w:autoSpaceDE/>
              <w:autoSpaceDN/>
              <w:adjustRightInd/>
              <w:jc w:val="center"/>
              <w:rPr>
                <w:color w:val="000000"/>
                <w:sz w:val="20"/>
                <w:szCs w:val="20"/>
              </w:rPr>
            </w:pPr>
            <w:r w:rsidRPr="007C51D6">
              <w:rPr>
                <w:color w:val="000000"/>
                <w:sz w:val="20"/>
                <w:szCs w:val="20"/>
              </w:rPr>
              <w:t>355,88</w:t>
            </w:r>
          </w:p>
        </w:tc>
        <w:tc>
          <w:tcPr>
            <w:tcW w:w="1134" w:type="dxa"/>
            <w:shd w:val="clear" w:color="auto" w:fill="auto"/>
            <w:hideMark/>
          </w:tcPr>
          <w:p w:rsidR="005C716C" w:rsidRPr="007C51D6" w:rsidRDefault="005C716C" w:rsidP="005C716C">
            <w:pPr>
              <w:autoSpaceDE/>
              <w:autoSpaceDN/>
              <w:adjustRightInd/>
              <w:jc w:val="center"/>
              <w:rPr>
                <w:color w:val="000000"/>
                <w:sz w:val="20"/>
                <w:szCs w:val="20"/>
              </w:rPr>
            </w:pPr>
            <w:r w:rsidRPr="007C51D6">
              <w:rPr>
                <w:color w:val="000000"/>
                <w:sz w:val="20"/>
                <w:szCs w:val="20"/>
              </w:rPr>
              <w:t>329,49</w:t>
            </w:r>
          </w:p>
        </w:tc>
        <w:tc>
          <w:tcPr>
            <w:tcW w:w="1276" w:type="dxa"/>
          </w:tcPr>
          <w:p w:rsidR="005C716C" w:rsidRPr="007C51D6" w:rsidRDefault="005C716C" w:rsidP="005C716C">
            <w:pPr>
              <w:autoSpaceDE/>
              <w:autoSpaceDN/>
              <w:adjustRightInd/>
              <w:jc w:val="center"/>
              <w:rPr>
                <w:color w:val="000000"/>
                <w:sz w:val="20"/>
                <w:szCs w:val="20"/>
              </w:rPr>
            </w:pPr>
            <w:r w:rsidRPr="007C51D6">
              <w:rPr>
                <w:color w:val="000000"/>
                <w:sz w:val="20"/>
                <w:szCs w:val="20"/>
              </w:rPr>
              <w:t>370,44</w:t>
            </w:r>
          </w:p>
        </w:tc>
        <w:tc>
          <w:tcPr>
            <w:tcW w:w="1134" w:type="dxa"/>
          </w:tcPr>
          <w:p w:rsidR="005C716C" w:rsidRPr="007C51D6" w:rsidRDefault="005C716C" w:rsidP="005C716C">
            <w:pPr>
              <w:autoSpaceDE/>
              <w:autoSpaceDN/>
              <w:adjustRightInd/>
              <w:jc w:val="center"/>
              <w:rPr>
                <w:color w:val="000000"/>
                <w:sz w:val="20"/>
                <w:szCs w:val="20"/>
              </w:rPr>
            </w:pPr>
            <w:r w:rsidRPr="007C51D6">
              <w:rPr>
                <w:color w:val="000000"/>
                <w:sz w:val="20"/>
                <w:szCs w:val="20"/>
              </w:rPr>
              <w:t>399,32</w:t>
            </w:r>
          </w:p>
        </w:tc>
        <w:tc>
          <w:tcPr>
            <w:tcW w:w="1399" w:type="dxa"/>
          </w:tcPr>
          <w:p w:rsidR="005C716C" w:rsidRPr="007C51D6" w:rsidRDefault="005C716C" w:rsidP="005C716C">
            <w:pPr>
              <w:jc w:val="center"/>
              <w:rPr>
                <w:color w:val="000000"/>
                <w:sz w:val="20"/>
                <w:szCs w:val="20"/>
              </w:rPr>
            </w:pPr>
            <w:r w:rsidRPr="007C51D6">
              <w:rPr>
                <w:color w:val="000000"/>
                <w:sz w:val="20"/>
                <w:szCs w:val="20"/>
              </w:rPr>
              <w:t>408,64</w:t>
            </w:r>
          </w:p>
        </w:tc>
        <w:tc>
          <w:tcPr>
            <w:tcW w:w="1276" w:type="dxa"/>
            <w:vAlign w:val="center"/>
          </w:tcPr>
          <w:p w:rsidR="005C716C" w:rsidRPr="007C51D6" w:rsidRDefault="005C716C" w:rsidP="005C716C">
            <w:pPr>
              <w:jc w:val="center"/>
              <w:rPr>
                <w:color w:val="000000"/>
                <w:sz w:val="20"/>
                <w:szCs w:val="20"/>
              </w:rPr>
            </w:pPr>
            <w:r w:rsidRPr="007C51D6">
              <w:rPr>
                <w:color w:val="000000"/>
                <w:sz w:val="20"/>
                <w:szCs w:val="20"/>
              </w:rPr>
              <w:t>503,43</w:t>
            </w:r>
          </w:p>
        </w:tc>
        <w:tc>
          <w:tcPr>
            <w:tcW w:w="1276" w:type="dxa"/>
            <w:vAlign w:val="center"/>
          </w:tcPr>
          <w:p w:rsidR="005C716C" w:rsidRPr="007C51D6" w:rsidRDefault="005C716C" w:rsidP="005C716C">
            <w:pPr>
              <w:jc w:val="center"/>
              <w:rPr>
                <w:sz w:val="20"/>
                <w:szCs w:val="20"/>
              </w:rPr>
            </w:pPr>
            <w:r w:rsidRPr="007C51D6">
              <w:rPr>
                <w:sz w:val="20"/>
                <w:szCs w:val="20"/>
              </w:rPr>
              <w:t>545.72</w:t>
            </w:r>
          </w:p>
        </w:tc>
      </w:tr>
      <w:tr w:rsidR="005C716C" w:rsidRPr="007C51D6" w:rsidTr="0038114E">
        <w:tblPrEx>
          <w:tblBorders>
            <w:bottom w:val="single" w:sz="4" w:space="0" w:color="auto"/>
          </w:tblBorders>
          <w:tblCellMar>
            <w:top w:w="28" w:type="dxa"/>
            <w:bottom w:w="28" w:type="dxa"/>
          </w:tblCellMar>
        </w:tblPrEx>
        <w:trPr>
          <w:trHeight w:val="227"/>
        </w:trPr>
        <w:tc>
          <w:tcPr>
            <w:tcW w:w="3255" w:type="dxa"/>
            <w:shd w:val="clear" w:color="auto" w:fill="auto"/>
            <w:hideMark/>
          </w:tcPr>
          <w:p w:rsidR="005C716C" w:rsidRPr="007C51D6" w:rsidRDefault="005C716C" w:rsidP="005C716C">
            <w:pPr>
              <w:autoSpaceDE/>
              <w:autoSpaceDN/>
              <w:adjustRightInd/>
              <w:rPr>
                <w:color w:val="000000"/>
                <w:sz w:val="20"/>
                <w:szCs w:val="20"/>
              </w:rPr>
            </w:pPr>
            <w:r w:rsidRPr="007C51D6">
              <w:rPr>
                <w:color w:val="000000"/>
                <w:sz w:val="20"/>
                <w:szCs w:val="20"/>
              </w:rPr>
              <w:t>Атнинский</w:t>
            </w:r>
          </w:p>
        </w:tc>
        <w:tc>
          <w:tcPr>
            <w:tcW w:w="1062" w:type="dxa"/>
            <w:shd w:val="clear" w:color="auto" w:fill="auto"/>
            <w:hideMark/>
          </w:tcPr>
          <w:p w:rsidR="005C716C" w:rsidRPr="007C51D6" w:rsidRDefault="005C716C" w:rsidP="005C716C">
            <w:pPr>
              <w:autoSpaceDE/>
              <w:autoSpaceDN/>
              <w:adjustRightInd/>
              <w:jc w:val="center"/>
              <w:rPr>
                <w:color w:val="000000"/>
                <w:sz w:val="20"/>
                <w:szCs w:val="20"/>
              </w:rPr>
            </w:pPr>
            <w:r w:rsidRPr="007C51D6">
              <w:rPr>
                <w:color w:val="000000"/>
                <w:sz w:val="20"/>
                <w:szCs w:val="20"/>
              </w:rPr>
              <w:t>332,95</w:t>
            </w:r>
          </w:p>
        </w:tc>
        <w:tc>
          <w:tcPr>
            <w:tcW w:w="1225" w:type="dxa"/>
            <w:shd w:val="clear" w:color="auto" w:fill="auto"/>
            <w:hideMark/>
          </w:tcPr>
          <w:p w:rsidR="005C716C" w:rsidRPr="007C51D6" w:rsidRDefault="005C716C" w:rsidP="005C716C">
            <w:pPr>
              <w:autoSpaceDE/>
              <w:autoSpaceDN/>
              <w:adjustRightInd/>
              <w:jc w:val="center"/>
              <w:rPr>
                <w:color w:val="000000"/>
                <w:sz w:val="20"/>
                <w:szCs w:val="20"/>
              </w:rPr>
            </w:pPr>
            <w:r w:rsidRPr="007C51D6">
              <w:rPr>
                <w:color w:val="000000"/>
                <w:sz w:val="20"/>
                <w:szCs w:val="20"/>
              </w:rPr>
              <w:t>448,74</w:t>
            </w:r>
          </w:p>
        </w:tc>
        <w:tc>
          <w:tcPr>
            <w:tcW w:w="992" w:type="dxa"/>
            <w:shd w:val="clear" w:color="auto" w:fill="auto"/>
            <w:hideMark/>
          </w:tcPr>
          <w:p w:rsidR="005C716C" w:rsidRPr="007C51D6" w:rsidRDefault="005C716C" w:rsidP="005C716C">
            <w:pPr>
              <w:autoSpaceDE/>
              <w:autoSpaceDN/>
              <w:adjustRightInd/>
              <w:jc w:val="center"/>
              <w:rPr>
                <w:color w:val="000000"/>
                <w:sz w:val="20"/>
                <w:szCs w:val="20"/>
              </w:rPr>
            </w:pPr>
            <w:r w:rsidRPr="007C51D6">
              <w:rPr>
                <w:color w:val="000000"/>
                <w:sz w:val="20"/>
                <w:szCs w:val="20"/>
              </w:rPr>
              <w:t>372,68</w:t>
            </w:r>
          </w:p>
        </w:tc>
        <w:tc>
          <w:tcPr>
            <w:tcW w:w="1134" w:type="dxa"/>
            <w:shd w:val="clear" w:color="auto" w:fill="auto"/>
            <w:hideMark/>
          </w:tcPr>
          <w:p w:rsidR="005C716C" w:rsidRPr="007C51D6" w:rsidRDefault="005C716C" w:rsidP="005C716C">
            <w:pPr>
              <w:autoSpaceDE/>
              <w:autoSpaceDN/>
              <w:adjustRightInd/>
              <w:jc w:val="center"/>
              <w:rPr>
                <w:color w:val="000000"/>
                <w:sz w:val="20"/>
                <w:szCs w:val="20"/>
              </w:rPr>
            </w:pPr>
            <w:r w:rsidRPr="007C51D6">
              <w:rPr>
                <w:color w:val="000000"/>
                <w:sz w:val="20"/>
                <w:szCs w:val="20"/>
              </w:rPr>
              <w:t>376,55</w:t>
            </w:r>
          </w:p>
        </w:tc>
        <w:tc>
          <w:tcPr>
            <w:tcW w:w="1134" w:type="dxa"/>
            <w:shd w:val="clear" w:color="auto" w:fill="auto"/>
            <w:hideMark/>
          </w:tcPr>
          <w:p w:rsidR="005C716C" w:rsidRPr="007C51D6" w:rsidRDefault="005C716C" w:rsidP="005C716C">
            <w:pPr>
              <w:autoSpaceDE/>
              <w:autoSpaceDN/>
              <w:adjustRightInd/>
              <w:jc w:val="center"/>
              <w:rPr>
                <w:color w:val="000000"/>
                <w:sz w:val="20"/>
                <w:szCs w:val="20"/>
              </w:rPr>
            </w:pPr>
            <w:r w:rsidRPr="007C51D6">
              <w:rPr>
                <w:color w:val="000000"/>
                <w:sz w:val="20"/>
                <w:szCs w:val="20"/>
              </w:rPr>
              <w:t>357,06</w:t>
            </w:r>
          </w:p>
        </w:tc>
        <w:tc>
          <w:tcPr>
            <w:tcW w:w="1276" w:type="dxa"/>
          </w:tcPr>
          <w:p w:rsidR="005C716C" w:rsidRPr="007C51D6" w:rsidRDefault="005C716C" w:rsidP="005C716C">
            <w:pPr>
              <w:autoSpaceDE/>
              <w:autoSpaceDN/>
              <w:adjustRightInd/>
              <w:jc w:val="center"/>
              <w:rPr>
                <w:color w:val="000000"/>
                <w:sz w:val="20"/>
                <w:szCs w:val="20"/>
              </w:rPr>
            </w:pPr>
            <w:r w:rsidRPr="007C51D6">
              <w:rPr>
                <w:color w:val="000000"/>
                <w:sz w:val="20"/>
                <w:szCs w:val="20"/>
              </w:rPr>
              <w:t>388,11</w:t>
            </w:r>
          </w:p>
        </w:tc>
        <w:tc>
          <w:tcPr>
            <w:tcW w:w="1134" w:type="dxa"/>
          </w:tcPr>
          <w:p w:rsidR="005C716C" w:rsidRPr="007C51D6" w:rsidRDefault="005C716C" w:rsidP="005C716C">
            <w:pPr>
              <w:autoSpaceDE/>
              <w:autoSpaceDN/>
              <w:adjustRightInd/>
              <w:jc w:val="center"/>
              <w:rPr>
                <w:color w:val="000000"/>
                <w:sz w:val="20"/>
                <w:szCs w:val="20"/>
              </w:rPr>
            </w:pPr>
            <w:r w:rsidRPr="007C51D6">
              <w:rPr>
                <w:color w:val="000000"/>
                <w:sz w:val="20"/>
                <w:szCs w:val="20"/>
              </w:rPr>
              <w:t>329,83</w:t>
            </w:r>
          </w:p>
        </w:tc>
        <w:tc>
          <w:tcPr>
            <w:tcW w:w="1399" w:type="dxa"/>
          </w:tcPr>
          <w:p w:rsidR="005C716C" w:rsidRPr="007C51D6" w:rsidRDefault="005C716C" w:rsidP="005C716C">
            <w:pPr>
              <w:jc w:val="center"/>
              <w:rPr>
                <w:color w:val="000000"/>
                <w:sz w:val="20"/>
                <w:szCs w:val="20"/>
              </w:rPr>
            </w:pPr>
            <w:r w:rsidRPr="007C51D6">
              <w:rPr>
                <w:color w:val="000000"/>
                <w:sz w:val="20"/>
                <w:szCs w:val="20"/>
              </w:rPr>
              <w:t>468,84</w:t>
            </w:r>
          </w:p>
        </w:tc>
        <w:tc>
          <w:tcPr>
            <w:tcW w:w="1276" w:type="dxa"/>
            <w:vAlign w:val="center"/>
          </w:tcPr>
          <w:p w:rsidR="005C716C" w:rsidRPr="007C51D6" w:rsidRDefault="005C716C" w:rsidP="005C716C">
            <w:pPr>
              <w:autoSpaceDE/>
              <w:autoSpaceDN/>
              <w:adjustRightInd/>
              <w:jc w:val="center"/>
              <w:rPr>
                <w:color w:val="000000"/>
                <w:sz w:val="20"/>
                <w:szCs w:val="20"/>
              </w:rPr>
            </w:pPr>
            <w:r w:rsidRPr="007C51D6">
              <w:rPr>
                <w:color w:val="000000"/>
                <w:sz w:val="20"/>
                <w:szCs w:val="20"/>
              </w:rPr>
              <w:t>465,5</w:t>
            </w:r>
          </w:p>
        </w:tc>
        <w:tc>
          <w:tcPr>
            <w:tcW w:w="1276" w:type="dxa"/>
            <w:vAlign w:val="center"/>
          </w:tcPr>
          <w:p w:rsidR="005C716C" w:rsidRPr="007C51D6" w:rsidRDefault="005C716C" w:rsidP="005C716C">
            <w:pPr>
              <w:jc w:val="center"/>
              <w:rPr>
                <w:sz w:val="20"/>
                <w:szCs w:val="20"/>
              </w:rPr>
            </w:pPr>
            <w:r w:rsidRPr="007C51D6">
              <w:rPr>
                <w:sz w:val="20"/>
                <w:szCs w:val="20"/>
              </w:rPr>
              <w:t>473.66</w:t>
            </w:r>
          </w:p>
        </w:tc>
      </w:tr>
      <w:tr w:rsidR="005C716C" w:rsidRPr="007C51D6" w:rsidTr="0038114E">
        <w:tblPrEx>
          <w:tblBorders>
            <w:bottom w:val="single" w:sz="4" w:space="0" w:color="auto"/>
          </w:tblBorders>
          <w:tblCellMar>
            <w:top w:w="28" w:type="dxa"/>
            <w:bottom w:w="28" w:type="dxa"/>
          </w:tblCellMar>
        </w:tblPrEx>
        <w:trPr>
          <w:trHeight w:val="227"/>
        </w:trPr>
        <w:tc>
          <w:tcPr>
            <w:tcW w:w="3255" w:type="dxa"/>
            <w:shd w:val="clear" w:color="auto" w:fill="auto"/>
            <w:hideMark/>
          </w:tcPr>
          <w:p w:rsidR="005C716C" w:rsidRPr="007C51D6" w:rsidRDefault="005C716C" w:rsidP="005C716C">
            <w:pPr>
              <w:autoSpaceDE/>
              <w:autoSpaceDN/>
              <w:adjustRightInd/>
              <w:rPr>
                <w:color w:val="000000"/>
                <w:sz w:val="20"/>
                <w:szCs w:val="20"/>
              </w:rPr>
            </w:pPr>
            <w:r w:rsidRPr="007C51D6">
              <w:rPr>
                <w:color w:val="000000"/>
                <w:sz w:val="20"/>
                <w:szCs w:val="20"/>
              </w:rPr>
              <w:t>Бавлинский</w:t>
            </w:r>
          </w:p>
        </w:tc>
        <w:tc>
          <w:tcPr>
            <w:tcW w:w="1062" w:type="dxa"/>
            <w:shd w:val="clear" w:color="auto" w:fill="auto"/>
            <w:hideMark/>
          </w:tcPr>
          <w:p w:rsidR="005C716C" w:rsidRPr="007C51D6" w:rsidRDefault="005C716C" w:rsidP="005C716C">
            <w:pPr>
              <w:autoSpaceDE/>
              <w:autoSpaceDN/>
              <w:adjustRightInd/>
              <w:jc w:val="center"/>
              <w:rPr>
                <w:color w:val="000000"/>
                <w:sz w:val="20"/>
                <w:szCs w:val="20"/>
              </w:rPr>
            </w:pPr>
            <w:r w:rsidRPr="007C51D6">
              <w:rPr>
                <w:color w:val="000000"/>
                <w:sz w:val="20"/>
                <w:szCs w:val="20"/>
              </w:rPr>
              <w:t>475,83</w:t>
            </w:r>
          </w:p>
        </w:tc>
        <w:tc>
          <w:tcPr>
            <w:tcW w:w="1225" w:type="dxa"/>
            <w:shd w:val="clear" w:color="auto" w:fill="auto"/>
            <w:hideMark/>
          </w:tcPr>
          <w:p w:rsidR="005C716C" w:rsidRPr="007C51D6" w:rsidRDefault="005C716C" w:rsidP="005C716C">
            <w:pPr>
              <w:autoSpaceDE/>
              <w:autoSpaceDN/>
              <w:adjustRightInd/>
              <w:jc w:val="center"/>
              <w:rPr>
                <w:color w:val="000000"/>
                <w:sz w:val="20"/>
                <w:szCs w:val="20"/>
              </w:rPr>
            </w:pPr>
            <w:r w:rsidRPr="007C51D6">
              <w:rPr>
                <w:color w:val="000000"/>
                <w:sz w:val="20"/>
                <w:szCs w:val="20"/>
              </w:rPr>
              <w:t>325,35</w:t>
            </w:r>
          </w:p>
        </w:tc>
        <w:tc>
          <w:tcPr>
            <w:tcW w:w="992" w:type="dxa"/>
            <w:shd w:val="clear" w:color="auto" w:fill="auto"/>
            <w:hideMark/>
          </w:tcPr>
          <w:p w:rsidR="005C716C" w:rsidRPr="007C51D6" w:rsidRDefault="005C716C" w:rsidP="005C716C">
            <w:pPr>
              <w:autoSpaceDE/>
              <w:autoSpaceDN/>
              <w:adjustRightInd/>
              <w:jc w:val="center"/>
              <w:rPr>
                <w:color w:val="000000"/>
                <w:sz w:val="20"/>
                <w:szCs w:val="20"/>
              </w:rPr>
            </w:pPr>
            <w:r w:rsidRPr="007C51D6">
              <w:rPr>
                <w:color w:val="000000"/>
                <w:sz w:val="20"/>
                <w:szCs w:val="20"/>
              </w:rPr>
              <w:t>492,26</w:t>
            </w:r>
          </w:p>
        </w:tc>
        <w:tc>
          <w:tcPr>
            <w:tcW w:w="1134" w:type="dxa"/>
            <w:shd w:val="clear" w:color="auto" w:fill="auto"/>
            <w:hideMark/>
          </w:tcPr>
          <w:p w:rsidR="005C716C" w:rsidRPr="007C51D6" w:rsidRDefault="005C716C" w:rsidP="005C716C">
            <w:pPr>
              <w:autoSpaceDE/>
              <w:autoSpaceDN/>
              <w:adjustRightInd/>
              <w:jc w:val="center"/>
              <w:rPr>
                <w:color w:val="000000"/>
                <w:sz w:val="20"/>
                <w:szCs w:val="20"/>
              </w:rPr>
            </w:pPr>
            <w:r w:rsidRPr="007C51D6">
              <w:rPr>
                <w:color w:val="000000"/>
                <w:sz w:val="20"/>
                <w:szCs w:val="20"/>
              </w:rPr>
              <w:t>375,32</w:t>
            </w:r>
          </w:p>
        </w:tc>
        <w:tc>
          <w:tcPr>
            <w:tcW w:w="1134" w:type="dxa"/>
            <w:shd w:val="clear" w:color="auto" w:fill="auto"/>
            <w:hideMark/>
          </w:tcPr>
          <w:p w:rsidR="005C716C" w:rsidRPr="007C51D6" w:rsidRDefault="005C716C" w:rsidP="005C716C">
            <w:pPr>
              <w:autoSpaceDE/>
              <w:autoSpaceDN/>
              <w:adjustRightInd/>
              <w:jc w:val="center"/>
              <w:rPr>
                <w:color w:val="000000"/>
                <w:sz w:val="20"/>
                <w:szCs w:val="20"/>
              </w:rPr>
            </w:pPr>
            <w:r w:rsidRPr="007C51D6">
              <w:rPr>
                <w:color w:val="000000"/>
                <w:sz w:val="20"/>
                <w:szCs w:val="20"/>
              </w:rPr>
              <w:t>353,84</w:t>
            </w:r>
          </w:p>
        </w:tc>
        <w:tc>
          <w:tcPr>
            <w:tcW w:w="1276" w:type="dxa"/>
          </w:tcPr>
          <w:p w:rsidR="005C716C" w:rsidRPr="007C51D6" w:rsidRDefault="005C716C" w:rsidP="005C716C">
            <w:pPr>
              <w:autoSpaceDE/>
              <w:autoSpaceDN/>
              <w:adjustRightInd/>
              <w:jc w:val="center"/>
              <w:rPr>
                <w:color w:val="000000"/>
                <w:sz w:val="20"/>
                <w:szCs w:val="20"/>
              </w:rPr>
            </w:pPr>
            <w:r w:rsidRPr="007C51D6">
              <w:rPr>
                <w:color w:val="000000"/>
                <w:sz w:val="20"/>
                <w:szCs w:val="20"/>
              </w:rPr>
              <w:t>388,64</w:t>
            </w:r>
          </w:p>
        </w:tc>
        <w:tc>
          <w:tcPr>
            <w:tcW w:w="1134" w:type="dxa"/>
          </w:tcPr>
          <w:p w:rsidR="005C716C" w:rsidRPr="007C51D6" w:rsidRDefault="005C716C" w:rsidP="005C716C">
            <w:pPr>
              <w:autoSpaceDE/>
              <w:autoSpaceDN/>
              <w:adjustRightInd/>
              <w:jc w:val="center"/>
              <w:rPr>
                <w:color w:val="000000"/>
                <w:sz w:val="20"/>
                <w:szCs w:val="20"/>
              </w:rPr>
            </w:pPr>
            <w:r w:rsidRPr="007C51D6">
              <w:rPr>
                <w:color w:val="000000"/>
                <w:sz w:val="20"/>
                <w:szCs w:val="20"/>
              </w:rPr>
              <w:t>418,89</w:t>
            </w:r>
          </w:p>
        </w:tc>
        <w:tc>
          <w:tcPr>
            <w:tcW w:w="1399" w:type="dxa"/>
          </w:tcPr>
          <w:p w:rsidR="005C716C" w:rsidRPr="007C51D6" w:rsidRDefault="005C716C" w:rsidP="005C716C">
            <w:pPr>
              <w:jc w:val="center"/>
              <w:rPr>
                <w:color w:val="000000"/>
                <w:sz w:val="20"/>
                <w:szCs w:val="20"/>
              </w:rPr>
            </w:pPr>
            <w:r w:rsidRPr="007C51D6">
              <w:rPr>
                <w:color w:val="000000"/>
                <w:sz w:val="20"/>
                <w:szCs w:val="20"/>
              </w:rPr>
              <w:t>434,1</w:t>
            </w:r>
          </w:p>
        </w:tc>
        <w:tc>
          <w:tcPr>
            <w:tcW w:w="1276" w:type="dxa"/>
            <w:vAlign w:val="center"/>
          </w:tcPr>
          <w:p w:rsidR="005C716C" w:rsidRPr="007C51D6" w:rsidRDefault="005C716C" w:rsidP="005C716C">
            <w:pPr>
              <w:jc w:val="center"/>
              <w:rPr>
                <w:color w:val="000000"/>
                <w:sz w:val="20"/>
                <w:szCs w:val="20"/>
              </w:rPr>
            </w:pPr>
            <w:r w:rsidRPr="007C51D6">
              <w:rPr>
                <w:color w:val="000000"/>
                <w:sz w:val="20"/>
                <w:szCs w:val="20"/>
              </w:rPr>
              <w:t>502,5</w:t>
            </w:r>
          </w:p>
        </w:tc>
        <w:tc>
          <w:tcPr>
            <w:tcW w:w="1276" w:type="dxa"/>
            <w:vAlign w:val="center"/>
          </w:tcPr>
          <w:p w:rsidR="005C716C" w:rsidRPr="007C51D6" w:rsidRDefault="005C716C" w:rsidP="005C716C">
            <w:pPr>
              <w:jc w:val="center"/>
              <w:rPr>
                <w:sz w:val="20"/>
                <w:szCs w:val="20"/>
              </w:rPr>
            </w:pPr>
            <w:r w:rsidRPr="007C51D6">
              <w:rPr>
                <w:sz w:val="20"/>
                <w:szCs w:val="20"/>
              </w:rPr>
              <w:t>530.41</w:t>
            </w:r>
          </w:p>
        </w:tc>
      </w:tr>
      <w:tr w:rsidR="005C716C" w:rsidRPr="007C51D6" w:rsidTr="0038114E">
        <w:tblPrEx>
          <w:tblBorders>
            <w:bottom w:val="single" w:sz="4" w:space="0" w:color="auto"/>
          </w:tblBorders>
          <w:tblCellMar>
            <w:top w:w="28" w:type="dxa"/>
            <w:bottom w:w="28" w:type="dxa"/>
          </w:tblCellMar>
        </w:tblPrEx>
        <w:trPr>
          <w:trHeight w:val="227"/>
        </w:trPr>
        <w:tc>
          <w:tcPr>
            <w:tcW w:w="3255" w:type="dxa"/>
            <w:shd w:val="clear" w:color="auto" w:fill="auto"/>
            <w:hideMark/>
          </w:tcPr>
          <w:p w:rsidR="005C716C" w:rsidRPr="007C51D6" w:rsidRDefault="005C716C" w:rsidP="005C716C">
            <w:pPr>
              <w:autoSpaceDE/>
              <w:autoSpaceDN/>
              <w:adjustRightInd/>
              <w:rPr>
                <w:color w:val="000000"/>
                <w:sz w:val="20"/>
                <w:szCs w:val="20"/>
              </w:rPr>
            </w:pPr>
            <w:r w:rsidRPr="007C51D6">
              <w:rPr>
                <w:color w:val="000000"/>
                <w:sz w:val="20"/>
                <w:szCs w:val="20"/>
              </w:rPr>
              <w:t>Балтасинский</w:t>
            </w:r>
          </w:p>
        </w:tc>
        <w:tc>
          <w:tcPr>
            <w:tcW w:w="1062" w:type="dxa"/>
            <w:shd w:val="clear" w:color="auto" w:fill="auto"/>
            <w:hideMark/>
          </w:tcPr>
          <w:p w:rsidR="005C716C" w:rsidRPr="007C51D6" w:rsidRDefault="005C716C" w:rsidP="005C716C">
            <w:pPr>
              <w:autoSpaceDE/>
              <w:autoSpaceDN/>
              <w:adjustRightInd/>
              <w:jc w:val="center"/>
              <w:rPr>
                <w:color w:val="000000"/>
                <w:sz w:val="20"/>
                <w:szCs w:val="20"/>
              </w:rPr>
            </w:pPr>
            <w:r w:rsidRPr="007C51D6">
              <w:rPr>
                <w:color w:val="000000"/>
                <w:sz w:val="20"/>
                <w:szCs w:val="20"/>
              </w:rPr>
              <w:t>343,80</w:t>
            </w:r>
          </w:p>
        </w:tc>
        <w:tc>
          <w:tcPr>
            <w:tcW w:w="1225" w:type="dxa"/>
            <w:shd w:val="clear" w:color="auto" w:fill="auto"/>
            <w:hideMark/>
          </w:tcPr>
          <w:p w:rsidR="005C716C" w:rsidRPr="007C51D6" w:rsidRDefault="005C716C" w:rsidP="005C716C">
            <w:pPr>
              <w:autoSpaceDE/>
              <w:autoSpaceDN/>
              <w:adjustRightInd/>
              <w:jc w:val="center"/>
              <w:rPr>
                <w:color w:val="000000"/>
                <w:sz w:val="20"/>
                <w:szCs w:val="20"/>
              </w:rPr>
            </w:pPr>
            <w:r w:rsidRPr="007C51D6">
              <w:rPr>
                <w:color w:val="000000"/>
                <w:sz w:val="20"/>
                <w:szCs w:val="20"/>
              </w:rPr>
              <w:t>298,15</w:t>
            </w:r>
          </w:p>
        </w:tc>
        <w:tc>
          <w:tcPr>
            <w:tcW w:w="992" w:type="dxa"/>
            <w:shd w:val="clear" w:color="auto" w:fill="auto"/>
            <w:hideMark/>
          </w:tcPr>
          <w:p w:rsidR="005C716C" w:rsidRPr="007C51D6" w:rsidRDefault="005C716C" w:rsidP="005C716C">
            <w:pPr>
              <w:autoSpaceDE/>
              <w:autoSpaceDN/>
              <w:adjustRightInd/>
              <w:jc w:val="center"/>
              <w:rPr>
                <w:color w:val="000000"/>
                <w:sz w:val="20"/>
                <w:szCs w:val="20"/>
              </w:rPr>
            </w:pPr>
            <w:r w:rsidRPr="007C51D6">
              <w:rPr>
                <w:color w:val="000000"/>
                <w:sz w:val="20"/>
                <w:szCs w:val="20"/>
              </w:rPr>
              <w:t>324,99</w:t>
            </w:r>
          </w:p>
        </w:tc>
        <w:tc>
          <w:tcPr>
            <w:tcW w:w="1134" w:type="dxa"/>
            <w:shd w:val="clear" w:color="auto" w:fill="auto"/>
            <w:hideMark/>
          </w:tcPr>
          <w:p w:rsidR="005C716C" w:rsidRPr="007C51D6" w:rsidRDefault="005C716C" w:rsidP="005C716C">
            <w:pPr>
              <w:autoSpaceDE/>
              <w:autoSpaceDN/>
              <w:adjustRightInd/>
              <w:jc w:val="center"/>
              <w:rPr>
                <w:color w:val="000000"/>
                <w:sz w:val="20"/>
                <w:szCs w:val="20"/>
              </w:rPr>
            </w:pPr>
            <w:r w:rsidRPr="007C51D6">
              <w:rPr>
                <w:color w:val="000000"/>
                <w:sz w:val="20"/>
                <w:szCs w:val="20"/>
              </w:rPr>
              <w:t>325,97</w:t>
            </w:r>
          </w:p>
        </w:tc>
        <w:tc>
          <w:tcPr>
            <w:tcW w:w="1134" w:type="dxa"/>
            <w:shd w:val="clear" w:color="auto" w:fill="auto"/>
            <w:hideMark/>
          </w:tcPr>
          <w:p w:rsidR="005C716C" w:rsidRPr="007C51D6" w:rsidRDefault="005C716C" w:rsidP="005C716C">
            <w:pPr>
              <w:autoSpaceDE/>
              <w:autoSpaceDN/>
              <w:adjustRightInd/>
              <w:jc w:val="center"/>
              <w:rPr>
                <w:color w:val="000000"/>
                <w:sz w:val="20"/>
                <w:szCs w:val="20"/>
              </w:rPr>
            </w:pPr>
            <w:r w:rsidRPr="007C51D6">
              <w:rPr>
                <w:color w:val="000000"/>
                <w:sz w:val="20"/>
                <w:szCs w:val="20"/>
              </w:rPr>
              <w:t>301,42</w:t>
            </w:r>
          </w:p>
        </w:tc>
        <w:tc>
          <w:tcPr>
            <w:tcW w:w="1276" w:type="dxa"/>
          </w:tcPr>
          <w:p w:rsidR="005C716C" w:rsidRPr="007C51D6" w:rsidRDefault="005C716C" w:rsidP="005C716C">
            <w:pPr>
              <w:autoSpaceDE/>
              <w:autoSpaceDN/>
              <w:adjustRightInd/>
              <w:jc w:val="center"/>
              <w:rPr>
                <w:color w:val="000000"/>
                <w:sz w:val="20"/>
                <w:szCs w:val="20"/>
              </w:rPr>
            </w:pPr>
            <w:r w:rsidRPr="007C51D6">
              <w:rPr>
                <w:color w:val="000000"/>
                <w:sz w:val="20"/>
                <w:szCs w:val="20"/>
              </w:rPr>
              <w:t>304,44</w:t>
            </w:r>
          </w:p>
        </w:tc>
        <w:tc>
          <w:tcPr>
            <w:tcW w:w="1134" w:type="dxa"/>
          </w:tcPr>
          <w:p w:rsidR="005C716C" w:rsidRPr="007C51D6" w:rsidRDefault="005C716C" w:rsidP="005C716C">
            <w:pPr>
              <w:autoSpaceDE/>
              <w:autoSpaceDN/>
              <w:adjustRightInd/>
              <w:jc w:val="center"/>
              <w:rPr>
                <w:color w:val="000000"/>
                <w:sz w:val="20"/>
                <w:szCs w:val="20"/>
              </w:rPr>
            </w:pPr>
            <w:r w:rsidRPr="007C51D6">
              <w:rPr>
                <w:color w:val="000000"/>
                <w:sz w:val="20"/>
                <w:szCs w:val="20"/>
              </w:rPr>
              <w:t>406,12</w:t>
            </w:r>
          </w:p>
        </w:tc>
        <w:tc>
          <w:tcPr>
            <w:tcW w:w="1399" w:type="dxa"/>
          </w:tcPr>
          <w:p w:rsidR="005C716C" w:rsidRPr="007C51D6" w:rsidRDefault="005C716C" w:rsidP="005C716C">
            <w:pPr>
              <w:jc w:val="center"/>
              <w:rPr>
                <w:color w:val="000000"/>
                <w:sz w:val="20"/>
                <w:szCs w:val="20"/>
              </w:rPr>
            </w:pPr>
            <w:r w:rsidRPr="007C51D6">
              <w:rPr>
                <w:color w:val="000000"/>
                <w:sz w:val="20"/>
                <w:szCs w:val="20"/>
              </w:rPr>
              <w:t>416,91</w:t>
            </w:r>
          </w:p>
        </w:tc>
        <w:tc>
          <w:tcPr>
            <w:tcW w:w="1276" w:type="dxa"/>
            <w:vAlign w:val="center"/>
          </w:tcPr>
          <w:p w:rsidR="005C716C" w:rsidRPr="007C51D6" w:rsidRDefault="005C716C" w:rsidP="005C716C">
            <w:pPr>
              <w:jc w:val="center"/>
              <w:rPr>
                <w:color w:val="000000"/>
                <w:sz w:val="20"/>
                <w:szCs w:val="20"/>
              </w:rPr>
            </w:pPr>
            <w:r w:rsidRPr="007C51D6">
              <w:rPr>
                <w:color w:val="000000"/>
                <w:sz w:val="20"/>
                <w:szCs w:val="20"/>
              </w:rPr>
              <w:t>380,63</w:t>
            </w:r>
          </w:p>
        </w:tc>
        <w:tc>
          <w:tcPr>
            <w:tcW w:w="1276" w:type="dxa"/>
            <w:vAlign w:val="center"/>
          </w:tcPr>
          <w:p w:rsidR="005C716C" w:rsidRPr="007C51D6" w:rsidRDefault="005C716C" w:rsidP="005C716C">
            <w:pPr>
              <w:jc w:val="center"/>
              <w:rPr>
                <w:sz w:val="20"/>
                <w:szCs w:val="20"/>
              </w:rPr>
            </w:pPr>
            <w:r w:rsidRPr="007C51D6">
              <w:rPr>
                <w:sz w:val="20"/>
                <w:szCs w:val="20"/>
              </w:rPr>
              <w:t>538.98</w:t>
            </w:r>
          </w:p>
        </w:tc>
      </w:tr>
      <w:tr w:rsidR="005C716C" w:rsidRPr="007C51D6" w:rsidTr="0038114E">
        <w:tblPrEx>
          <w:tblBorders>
            <w:bottom w:val="single" w:sz="4" w:space="0" w:color="auto"/>
          </w:tblBorders>
          <w:tblCellMar>
            <w:top w:w="28" w:type="dxa"/>
            <w:bottom w:w="28" w:type="dxa"/>
          </w:tblCellMar>
        </w:tblPrEx>
        <w:trPr>
          <w:trHeight w:val="227"/>
        </w:trPr>
        <w:tc>
          <w:tcPr>
            <w:tcW w:w="3255" w:type="dxa"/>
            <w:shd w:val="clear" w:color="auto" w:fill="auto"/>
            <w:hideMark/>
          </w:tcPr>
          <w:p w:rsidR="005C716C" w:rsidRPr="007C51D6" w:rsidRDefault="005C716C" w:rsidP="005C716C">
            <w:pPr>
              <w:autoSpaceDE/>
              <w:autoSpaceDN/>
              <w:adjustRightInd/>
              <w:rPr>
                <w:color w:val="000000"/>
                <w:sz w:val="20"/>
                <w:szCs w:val="20"/>
              </w:rPr>
            </w:pPr>
            <w:r w:rsidRPr="007C51D6">
              <w:rPr>
                <w:color w:val="000000"/>
                <w:sz w:val="20"/>
                <w:szCs w:val="20"/>
              </w:rPr>
              <w:t>Бугульминский</w:t>
            </w:r>
          </w:p>
        </w:tc>
        <w:tc>
          <w:tcPr>
            <w:tcW w:w="1062" w:type="dxa"/>
            <w:shd w:val="clear" w:color="auto" w:fill="auto"/>
            <w:hideMark/>
          </w:tcPr>
          <w:p w:rsidR="005C716C" w:rsidRPr="007C51D6" w:rsidRDefault="005C716C" w:rsidP="005C716C">
            <w:pPr>
              <w:autoSpaceDE/>
              <w:autoSpaceDN/>
              <w:adjustRightInd/>
              <w:jc w:val="center"/>
              <w:rPr>
                <w:color w:val="000000"/>
                <w:sz w:val="20"/>
                <w:szCs w:val="20"/>
              </w:rPr>
            </w:pPr>
            <w:r w:rsidRPr="007C51D6">
              <w:rPr>
                <w:color w:val="000000"/>
                <w:sz w:val="20"/>
                <w:szCs w:val="20"/>
              </w:rPr>
              <w:t>408,05</w:t>
            </w:r>
          </w:p>
        </w:tc>
        <w:tc>
          <w:tcPr>
            <w:tcW w:w="1225" w:type="dxa"/>
            <w:shd w:val="clear" w:color="auto" w:fill="auto"/>
            <w:hideMark/>
          </w:tcPr>
          <w:p w:rsidR="005C716C" w:rsidRPr="007C51D6" w:rsidRDefault="005C716C" w:rsidP="005C716C">
            <w:pPr>
              <w:autoSpaceDE/>
              <w:autoSpaceDN/>
              <w:adjustRightInd/>
              <w:jc w:val="center"/>
              <w:rPr>
                <w:color w:val="000000"/>
                <w:sz w:val="20"/>
                <w:szCs w:val="20"/>
              </w:rPr>
            </w:pPr>
            <w:r w:rsidRPr="007C51D6">
              <w:rPr>
                <w:color w:val="000000"/>
                <w:sz w:val="20"/>
                <w:szCs w:val="20"/>
              </w:rPr>
              <w:t>408,35</w:t>
            </w:r>
          </w:p>
        </w:tc>
        <w:tc>
          <w:tcPr>
            <w:tcW w:w="992" w:type="dxa"/>
            <w:shd w:val="clear" w:color="auto" w:fill="auto"/>
            <w:hideMark/>
          </w:tcPr>
          <w:p w:rsidR="005C716C" w:rsidRPr="007C51D6" w:rsidRDefault="005C716C" w:rsidP="005C716C">
            <w:pPr>
              <w:autoSpaceDE/>
              <w:autoSpaceDN/>
              <w:adjustRightInd/>
              <w:jc w:val="center"/>
              <w:rPr>
                <w:color w:val="000000"/>
                <w:sz w:val="20"/>
                <w:szCs w:val="20"/>
              </w:rPr>
            </w:pPr>
            <w:r w:rsidRPr="007C51D6">
              <w:rPr>
                <w:color w:val="000000"/>
                <w:sz w:val="20"/>
                <w:szCs w:val="20"/>
              </w:rPr>
              <w:t>437,32</w:t>
            </w:r>
          </w:p>
        </w:tc>
        <w:tc>
          <w:tcPr>
            <w:tcW w:w="1134" w:type="dxa"/>
            <w:shd w:val="clear" w:color="auto" w:fill="auto"/>
            <w:hideMark/>
          </w:tcPr>
          <w:p w:rsidR="005C716C" w:rsidRPr="007C51D6" w:rsidRDefault="005C716C" w:rsidP="005C716C">
            <w:pPr>
              <w:autoSpaceDE/>
              <w:autoSpaceDN/>
              <w:adjustRightInd/>
              <w:jc w:val="center"/>
              <w:rPr>
                <w:color w:val="000000"/>
                <w:sz w:val="20"/>
                <w:szCs w:val="20"/>
              </w:rPr>
            </w:pPr>
            <w:r w:rsidRPr="007C51D6">
              <w:rPr>
                <w:color w:val="000000"/>
                <w:sz w:val="20"/>
                <w:szCs w:val="20"/>
              </w:rPr>
              <w:t>412,97</w:t>
            </w:r>
          </w:p>
        </w:tc>
        <w:tc>
          <w:tcPr>
            <w:tcW w:w="1134" w:type="dxa"/>
            <w:shd w:val="clear" w:color="auto" w:fill="auto"/>
            <w:hideMark/>
          </w:tcPr>
          <w:p w:rsidR="005C716C" w:rsidRPr="007C51D6" w:rsidRDefault="005C716C" w:rsidP="005C716C">
            <w:pPr>
              <w:autoSpaceDE/>
              <w:autoSpaceDN/>
              <w:adjustRightInd/>
              <w:jc w:val="center"/>
              <w:rPr>
                <w:color w:val="000000"/>
                <w:sz w:val="20"/>
                <w:szCs w:val="20"/>
              </w:rPr>
            </w:pPr>
            <w:r w:rsidRPr="007C51D6">
              <w:rPr>
                <w:color w:val="000000"/>
                <w:sz w:val="20"/>
                <w:szCs w:val="20"/>
              </w:rPr>
              <w:t>301,76</w:t>
            </w:r>
          </w:p>
        </w:tc>
        <w:tc>
          <w:tcPr>
            <w:tcW w:w="1276" w:type="dxa"/>
          </w:tcPr>
          <w:p w:rsidR="005C716C" w:rsidRPr="007C51D6" w:rsidRDefault="005C716C" w:rsidP="005C716C">
            <w:pPr>
              <w:autoSpaceDE/>
              <w:autoSpaceDN/>
              <w:adjustRightInd/>
              <w:jc w:val="center"/>
              <w:rPr>
                <w:color w:val="000000"/>
                <w:sz w:val="20"/>
                <w:szCs w:val="20"/>
              </w:rPr>
            </w:pPr>
            <w:r w:rsidRPr="007C51D6">
              <w:rPr>
                <w:color w:val="000000"/>
                <w:sz w:val="20"/>
                <w:szCs w:val="20"/>
              </w:rPr>
              <w:t>384,23</w:t>
            </w:r>
          </w:p>
        </w:tc>
        <w:tc>
          <w:tcPr>
            <w:tcW w:w="1134" w:type="dxa"/>
          </w:tcPr>
          <w:p w:rsidR="005C716C" w:rsidRPr="007C51D6" w:rsidRDefault="005C716C" w:rsidP="005C716C">
            <w:pPr>
              <w:autoSpaceDE/>
              <w:autoSpaceDN/>
              <w:adjustRightInd/>
              <w:jc w:val="center"/>
              <w:rPr>
                <w:color w:val="000000"/>
                <w:sz w:val="20"/>
                <w:szCs w:val="20"/>
              </w:rPr>
            </w:pPr>
            <w:r w:rsidRPr="007C51D6">
              <w:rPr>
                <w:color w:val="000000"/>
                <w:sz w:val="20"/>
                <w:szCs w:val="20"/>
              </w:rPr>
              <w:t>433,93</w:t>
            </w:r>
          </w:p>
        </w:tc>
        <w:tc>
          <w:tcPr>
            <w:tcW w:w="1399" w:type="dxa"/>
          </w:tcPr>
          <w:p w:rsidR="005C716C" w:rsidRPr="007C51D6" w:rsidRDefault="005C716C" w:rsidP="005C716C">
            <w:pPr>
              <w:jc w:val="center"/>
              <w:rPr>
                <w:color w:val="000000"/>
                <w:sz w:val="20"/>
                <w:szCs w:val="20"/>
              </w:rPr>
            </w:pPr>
            <w:r w:rsidRPr="007C51D6">
              <w:rPr>
                <w:color w:val="000000"/>
                <w:sz w:val="20"/>
                <w:szCs w:val="20"/>
              </w:rPr>
              <w:t>392,57</w:t>
            </w:r>
          </w:p>
        </w:tc>
        <w:tc>
          <w:tcPr>
            <w:tcW w:w="1276" w:type="dxa"/>
            <w:vAlign w:val="center"/>
          </w:tcPr>
          <w:p w:rsidR="005C716C" w:rsidRPr="007C51D6" w:rsidRDefault="005C716C" w:rsidP="005C716C">
            <w:pPr>
              <w:jc w:val="center"/>
              <w:rPr>
                <w:color w:val="000000"/>
                <w:sz w:val="20"/>
                <w:szCs w:val="20"/>
              </w:rPr>
            </w:pPr>
            <w:r w:rsidRPr="007C51D6">
              <w:rPr>
                <w:color w:val="000000"/>
                <w:sz w:val="20"/>
                <w:szCs w:val="20"/>
              </w:rPr>
              <w:t>408,36</w:t>
            </w:r>
          </w:p>
        </w:tc>
        <w:tc>
          <w:tcPr>
            <w:tcW w:w="1276" w:type="dxa"/>
            <w:vAlign w:val="center"/>
          </w:tcPr>
          <w:p w:rsidR="005C716C" w:rsidRPr="007C51D6" w:rsidRDefault="005C716C" w:rsidP="005C716C">
            <w:pPr>
              <w:jc w:val="center"/>
              <w:rPr>
                <w:sz w:val="20"/>
                <w:szCs w:val="20"/>
              </w:rPr>
            </w:pPr>
            <w:r w:rsidRPr="007C51D6">
              <w:rPr>
                <w:sz w:val="20"/>
                <w:szCs w:val="20"/>
              </w:rPr>
              <w:t>491.04</w:t>
            </w:r>
          </w:p>
        </w:tc>
      </w:tr>
      <w:tr w:rsidR="005C716C" w:rsidRPr="007C51D6" w:rsidTr="0038114E">
        <w:tblPrEx>
          <w:tblBorders>
            <w:bottom w:val="single" w:sz="4" w:space="0" w:color="auto"/>
          </w:tblBorders>
          <w:tblCellMar>
            <w:top w:w="28" w:type="dxa"/>
            <w:bottom w:w="28" w:type="dxa"/>
          </w:tblCellMar>
        </w:tblPrEx>
        <w:trPr>
          <w:trHeight w:val="227"/>
        </w:trPr>
        <w:tc>
          <w:tcPr>
            <w:tcW w:w="3255" w:type="dxa"/>
            <w:shd w:val="clear" w:color="auto" w:fill="auto"/>
            <w:hideMark/>
          </w:tcPr>
          <w:p w:rsidR="005C716C" w:rsidRPr="007C51D6" w:rsidRDefault="005C716C" w:rsidP="005C716C">
            <w:pPr>
              <w:autoSpaceDE/>
              <w:autoSpaceDN/>
              <w:adjustRightInd/>
              <w:rPr>
                <w:color w:val="000000"/>
                <w:sz w:val="20"/>
                <w:szCs w:val="20"/>
              </w:rPr>
            </w:pPr>
            <w:r w:rsidRPr="007C51D6">
              <w:rPr>
                <w:color w:val="000000"/>
                <w:sz w:val="20"/>
                <w:szCs w:val="20"/>
              </w:rPr>
              <w:t>Буинский</w:t>
            </w:r>
          </w:p>
        </w:tc>
        <w:tc>
          <w:tcPr>
            <w:tcW w:w="1062" w:type="dxa"/>
            <w:shd w:val="clear" w:color="auto" w:fill="auto"/>
            <w:hideMark/>
          </w:tcPr>
          <w:p w:rsidR="005C716C" w:rsidRPr="007C51D6" w:rsidRDefault="005C716C" w:rsidP="005C716C">
            <w:pPr>
              <w:autoSpaceDE/>
              <w:autoSpaceDN/>
              <w:adjustRightInd/>
              <w:jc w:val="center"/>
              <w:rPr>
                <w:color w:val="000000"/>
                <w:sz w:val="20"/>
                <w:szCs w:val="20"/>
              </w:rPr>
            </w:pPr>
            <w:r w:rsidRPr="007C51D6">
              <w:rPr>
                <w:color w:val="000000"/>
                <w:sz w:val="20"/>
                <w:szCs w:val="20"/>
              </w:rPr>
              <w:t>377,48</w:t>
            </w:r>
          </w:p>
        </w:tc>
        <w:tc>
          <w:tcPr>
            <w:tcW w:w="1225" w:type="dxa"/>
            <w:shd w:val="clear" w:color="auto" w:fill="auto"/>
            <w:hideMark/>
          </w:tcPr>
          <w:p w:rsidR="005C716C" w:rsidRPr="007C51D6" w:rsidRDefault="005C716C" w:rsidP="005C716C">
            <w:pPr>
              <w:autoSpaceDE/>
              <w:autoSpaceDN/>
              <w:adjustRightInd/>
              <w:jc w:val="center"/>
              <w:rPr>
                <w:color w:val="000000"/>
                <w:sz w:val="20"/>
                <w:szCs w:val="20"/>
              </w:rPr>
            </w:pPr>
            <w:r w:rsidRPr="007C51D6">
              <w:rPr>
                <w:color w:val="000000"/>
                <w:sz w:val="20"/>
                <w:szCs w:val="20"/>
              </w:rPr>
              <w:t>438,71</w:t>
            </w:r>
          </w:p>
        </w:tc>
        <w:tc>
          <w:tcPr>
            <w:tcW w:w="992" w:type="dxa"/>
            <w:shd w:val="clear" w:color="auto" w:fill="auto"/>
            <w:hideMark/>
          </w:tcPr>
          <w:p w:rsidR="005C716C" w:rsidRPr="007C51D6" w:rsidRDefault="005C716C" w:rsidP="005C716C">
            <w:pPr>
              <w:autoSpaceDE/>
              <w:autoSpaceDN/>
              <w:adjustRightInd/>
              <w:jc w:val="center"/>
              <w:rPr>
                <w:color w:val="000000"/>
                <w:sz w:val="20"/>
                <w:szCs w:val="20"/>
              </w:rPr>
            </w:pPr>
            <w:r w:rsidRPr="007C51D6">
              <w:rPr>
                <w:color w:val="000000"/>
                <w:sz w:val="20"/>
                <w:szCs w:val="20"/>
              </w:rPr>
              <w:t>395,07</w:t>
            </w:r>
          </w:p>
        </w:tc>
        <w:tc>
          <w:tcPr>
            <w:tcW w:w="1134" w:type="dxa"/>
            <w:shd w:val="clear" w:color="auto" w:fill="auto"/>
            <w:hideMark/>
          </w:tcPr>
          <w:p w:rsidR="005C716C" w:rsidRPr="007C51D6" w:rsidRDefault="005C716C" w:rsidP="005C716C">
            <w:pPr>
              <w:autoSpaceDE/>
              <w:autoSpaceDN/>
              <w:adjustRightInd/>
              <w:jc w:val="center"/>
              <w:rPr>
                <w:color w:val="000000"/>
                <w:sz w:val="20"/>
                <w:szCs w:val="20"/>
              </w:rPr>
            </w:pPr>
            <w:r w:rsidRPr="007C51D6">
              <w:rPr>
                <w:color w:val="000000"/>
                <w:sz w:val="20"/>
                <w:szCs w:val="20"/>
              </w:rPr>
              <w:t>487,61</w:t>
            </w:r>
          </w:p>
        </w:tc>
        <w:tc>
          <w:tcPr>
            <w:tcW w:w="1134" w:type="dxa"/>
            <w:shd w:val="clear" w:color="auto" w:fill="auto"/>
            <w:hideMark/>
          </w:tcPr>
          <w:p w:rsidR="005C716C" w:rsidRPr="007C51D6" w:rsidRDefault="005C716C" w:rsidP="005C716C">
            <w:pPr>
              <w:autoSpaceDE/>
              <w:autoSpaceDN/>
              <w:adjustRightInd/>
              <w:jc w:val="center"/>
              <w:rPr>
                <w:color w:val="000000"/>
                <w:sz w:val="20"/>
                <w:szCs w:val="20"/>
              </w:rPr>
            </w:pPr>
            <w:r w:rsidRPr="007C51D6">
              <w:rPr>
                <w:color w:val="000000"/>
                <w:sz w:val="20"/>
                <w:szCs w:val="20"/>
              </w:rPr>
              <w:t>403,97</w:t>
            </w:r>
          </w:p>
        </w:tc>
        <w:tc>
          <w:tcPr>
            <w:tcW w:w="1276" w:type="dxa"/>
          </w:tcPr>
          <w:p w:rsidR="005C716C" w:rsidRPr="007C51D6" w:rsidRDefault="005C716C" w:rsidP="005C716C">
            <w:pPr>
              <w:autoSpaceDE/>
              <w:autoSpaceDN/>
              <w:adjustRightInd/>
              <w:jc w:val="center"/>
              <w:rPr>
                <w:color w:val="000000"/>
                <w:sz w:val="20"/>
                <w:szCs w:val="20"/>
              </w:rPr>
            </w:pPr>
            <w:r w:rsidRPr="007C51D6">
              <w:rPr>
                <w:color w:val="000000"/>
                <w:sz w:val="20"/>
                <w:szCs w:val="20"/>
              </w:rPr>
              <w:t>399,16</w:t>
            </w:r>
          </w:p>
        </w:tc>
        <w:tc>
          <w:tcPr>
            <w:tcW w:w="1134" w:type="dxa"/>
          </w:tcPr>
          <w:p w:rsidR="005C716C" w:rsidRPr="007C51D6" w:rsidRDefault="005C716C" w:rsidP="005C716C">
            <w:pPr>
              <w:autoSpaceDE/>
              <w:autoSpaceDN/>
              <w:adjustRightInd/>
              <w:jc w:val="center"/>
              <w:rPr>
                <w:color w:val="000000"/>
                <w:sz w:val="20"/>
                <w:szCs w:val="20"/>
              </w:rPr>
            </w:pPr>
            <w:r w:rsidRPr="007C51D6">
              <w:rPr>
                <w:color w:val="000000"/>
                <w:sz w:val="20"/>
                <w:szCs w:val="20"/>
              </w:rPr>
              <w:t>471,12</w:t>
            </w:r>
          </w:p>
        </w:tc>
        <w:tc>
          <w:tcPr>
            <w:tcW w:w="1399" w:type="dxa"/>
          </w:tcPr>
          <w:p w:rsidR="005C716C" w:rsidRPr="007C51D6" w:rsidRDefault="005C716C" w:rsidP="005C716C">
            <w:pPr>
              <w:jc w:val="center"/>
              <w:rPr>
                <w:color w:val="000000"/>
                <w:sz w:val="20"/>
                <w:szCs w:val="20"/>
              </w:rPr>
            </w:pPr>
            <w:r w:rsidRPr="007C51D6">
              <w:rPr>
                <w:color w:val="000000"/>
                <w:sz w:val="20"/>
                <w:szCs w:val="20"/>
              </w:rPr>
              <w:t>523,73</w:t>
            </w:r>
          </w:p>
        </w:tc>
        <w:tc>
          <w:tcPr>
            <w:tcW w:w="1276" w:type="dxa"/>
            <w:vAlign w:val="center"/>
          </w:tcPr>
          <w:p w:rsidR="005C716C" w:rsidRPr="007C51D6" w:rsidRDefault="005C716C" w:rsidP="005C716C">
            <w:pPr>
              <w:jc w:val="center"/>
              <w:rPr>
                <w:color w:val="000000"/>
                <w:sz w:val="20"/>
                <w:szCs w:val="20"/>
              </w:rPr>
            </w:pPr>
            <w:r w:rsidRPr="007C51D6">
              <w:rPr>
                <w:color w:val="000000"/>
                <w:sz w:val="20"/>
                <w:szCs w:val="20"/>
              </w:rPr>
              <w:t>577,49</w:t>
            </w:r>
          </w:p>
        </w:tc>
        <w:tc>
          <w:tcPr>
            <w:tcW w:w="1276" w:type="dxa"/>
            <w:vAlign w:val="center"/>
          </w:tcPr>
          <w:p w:rsidR="005C716C" w:rsidRPr="007C51D6" w:rsidRDefault="005C716C" w:rsidP="005C716C">
            <w:pPr>
              <w:jc w:val="center"/>
              <w:rPr>
                <w:sz w:val="20"/>
                <w:szCs w:val="20"/>
              </w:rPr>
            </w:pPr>
            <w:r w:rsidRPr="007C51D6">
              <w:rPr>
                <w:sz w:val="20"/>
                <w:szCs w:val="20"/>
              </w:rPr>
              <w:t>567.27</w:t>
            </w:r>
          </w:p>
        </w:tc>
      </w:tr>
      <w:tr w:rsidR="005C716C" w:rsidRPr="007C51D6" w:rsidTr="0038114E">
        <w:tblPrEx>
          <w:tblBorders>
            <w:bottom w:val="single" w:sz="4" w:space="0" w:color="auto"/>
          </w:tblBorders>
          <w:tblCellMar>
            <w:top w:w="28" w:type="dxa"/>
            <w:bottom w:w="28" w:type="dxa"/>
          </w:tblCellMar>
        </w:tblPrEx>
        <w:trPr>
          <w:trHeight w:val="227"/>
        </w:trPr>
        <w:tc>
          <w:tcPr>
            <w:tcW w:w="3255" w:type="dxa"/>
            <w:shd w:val="clear" w:color="auto" w:fill="auto"/>
            <w:hideMark/>
          </w:tcPr>
          <w:p w:rsidR="005C716C" w:rsidRPr="007C51D6" w:rsidRDefault="005C716C" w:rsidP="005C716C">
            <w:pPr>
              <w:autoSpaceDE/>
              <w:autoSpaceDN/>
              <w:adjustRightInd/>
              <w:rPr>
                <w:color w:val="000000"/>
                <w:sz w:val="20"/>
                <w:szCs w:val="20"/>
              </w:rPr>
            </w:pPr>
            <w:r w:rsidRPr="007C51D6">
              <w:rPr>
                <w:color w:val="000000"/>
                <w:sz w:val="20"/>
                <w:szCs w:val="20"/>
              </w:rPr>
              <w:t>Верхнеуслонский</w:t>
            </w:r>
          </w:p>
        </w:tc>
        <w:tc>
          <w:tcPr>
            <w:tcW w:w="1062" w:type="dxa"/>
            <w:shd w:val="clear" w:color="auto" w:fill="auto"/>
            <w:hideMark/>
          </w:tcPr>
          <w:p w:rsidR="005C716C" w:rsidRPr="007C51D6" w:rsidRDefault="005C716C" w:rsidP="005C716C">
            <w:pPr>
              <w:autoSpaceDE/>
              <w:autoSpaceDN/>
              <w:adjustRightInd/>
              <w:jc w:val="center"/>
              <w:rPr>
                <w:color w:val="000000"/>
                <w:sz w:val="20"/>
                <w:szCs w:val="20"/>
              </w:rPr>
            </w:pPr>
            <w:r w:rsidRPr="007C51D6">
              <w:rPr>
                <w:color w:val="000000"/>
                <w:sz w:val="20"/>
                <w:szCs w:val="20"/>
              </w:rPr>
              <w:t>494,57</w:t>
            </w:r>
          </w:p>
        </w:tc>
        <w:tc>
          <w:tcPr>
            <w:tcW w:w="1225" w:type="dxa"/>
            <w:shd w:val="clear" w:color="auto" w:fill="auto"/>
            <w:hideMark/>
          </w:tcPr>
          <w:p w:rsidR="005C716C" w:rsidRPr="007C51D6" w:rsidRDefault="005C716C" w:rsidP="005C716C">
            <w:pPr>
              <w:autoSpaceDE/>
              <w:autoSpaceDN/>
              <w:adjustRightInd/>
              <w:jc w:val="center"/>
              <w:rPr>
                <w:color w:val="000000"/>
                <w:sz w:val="20"/>
                <w:szCs w:val="20"/>
              </w:rPr>
            </w:pPr>
            <w:r w:rsidRPr="007C51D6">
              <w:rPr>
                <w:color w:val="000000"/>
                <w:sz w:val="20"/>
                <w:szCs w:val="20"/>
              </w:rPr>
              <w:t>394,97</w:t>
            </w:r>
          </w:p>
        </w:tc>
        <w:tc>
          <w:tcPr>
            <w:tcW w:w="992" w:type="dxa"/>
            <w:shd w:val="clear" w:color="auto" w:fill="auto"/>
            <w:hideMark/>
          </w:tcPr>
          <w:p w:rsidR="005C716C" w:rsidRPr="007C51D6" w:rsidRDefault="005C716C" w:rsidP="005C716C">
            <w:pPr>
              <w:autoSpaceDE/>
              <w:autoSpaceDN/>
              <w:adjustRightInd/>
              <w:jc w:val="center"/>
              <w:rPr>
                <w:color w:val="000000"/>
                <w:sz w:val="20"/>
                <w:szCs w:val="20"/>
              </w:rPr>
            </w:pPr>
            <w:r w:rsidRPr="007C51D6">
              <w:rPr>
                <w:color w:val="000000"/>
                <w:sz w:val="20"/>
                <w:szCs w:val="20"/>
              </w:rPr>
              <w:t>552,96</w:t>
            </w:r>
          </w:p>
        </w:tc>
        <w:tc>
          <w:tcPr>
            <w:tcW w:w="1134" w:type="dxa"/>
            <w:shd w:val="clear" w:color="auto" w:fill="auto"/>
            <w:hideMark/>
          </w:tcPr>
          <w:p w:rsidR="005C716C" w:rsidRPr="007C51D6" w:rsidRDefault="005C716C" w:rsidP="005C716C">
            <w:pPr>
              <w:autoSpaceDE/>
              <w:autoSpaceDN/>
              <w:adjustRightInd/>
              <w:jc w:val="center"/>
              <w:rPr>
                <w:color w:val="000000"/>
                <w:sz w:val="20"/>
                <w:szCs w:val="20"/>
              </w:rPr>
            </w:pPr>
            <w:r w:rsidRPr="007C51D6">
              <w:rPr>
                <w:color w:val="000000"/>
                <w:sz w:val="20"/>
                <w:szCs w:val="20"/>
              </w:rPr>
              <w:t>435,13</w:t>
            </w:r>
          </w:p>
        </w:tc>
        <w:tc>
          <w:tcPr>
            <w:tcW w:w="1134" w:type="dxa"/>
            <w:shd w:val="clear" w:color="auto" w:fill="auto"/>
            <w:hideMark/>
          </w:tcPr>
          <w:p w:rsidR="005C716C" w:rsidRPr="007C51D6" w:rsidRDefault="005C716C" w:rsidP="005C716C">
            <w:pPr>
              <w:autoSpaceDE/>
              <w:autoSpaceDN/>
              <w:adjustRightInd/>
              <w:jc w:val="center"/>
              <w:rPr>
                <w:color w:val="000000"/>
                <w:sz w:val="20"/>
                <w:szCs w:val="20"/>
              </w:rPr>
            </w:pPr>
            <w:r w:rsidRPr="007C51D6">
              <w:rPr>
                <w:color w:val="000000"/>
                <w:sz w:val="20"/>
                <w:szCs w:val="20"/>
              </w:rPr>
              <w:t>401,63</w:t>
            </w:r>
          </w:p>
        </w:tc>
        <w:tc>
          <w:tcPr>
            <w:tcW w:w="1276" w:type="dxa"/>
          </w:tcPr>
          <w:p w:rsidR="005C716C" w:rsidRPr="007C51D6" w:rsidRDefault="005C716C" w:rsidP="005C716C">
            <w:pPr>
              <w:autoSpaceDE/>
              <w:autoSpaceDN/>
              <w:adjustRightInd/>
              <w:jc w:val="center"/>
              <w:rPr>
                <w:color w:val="000000"/>
                <w:sz w:val="20"/>
                <w:szCs w:val="20"/>
              </w:rPr>
            </w:pPr>
            <w:r w:rsidRPr="007C51D6">
              <w:rPr>
                <w:color w:val="000000"/>
                <w:sz w:val="20"/>
                <w:szCs w:val="20"/>
              </w:rPr>
              <w:t>458,11</w:t>
            </w:r>
          </w:p>
        </w:tc>
        <w:tc>
          <w:tcPr>
            <w:tcW w:w="1134" w:type="dxa"/>
          </w:tcPr>
          <w:p w:rsidR="005C716C" w:rsidRPr="007C51D6" w:rsidRDefault="005C716C" w:rsidP="005C716C">
            <w:pPr>
              <w:autoSpaceDE/>
              <w:autoSpaceDN/>
              <w:adjustRightInd/>
              <w:jc w:val="center"/>
              <w:rPr>
                <w:color w:val="000000"/>
                <w:sz w:val="20"/>
                <w:szCs w:val="20"/>
              </w:rPr>
            </w:pPr>
            <w:r w:rsidRPr="007C51D6">
              <w:rPr>
                <w:color w:val="000000"/>
                <w:sz w:val="20"/>
                <w:szCs w:val="20"/>
              </w:rPr>
              <w:t>504,11</w:t>
            </w:r>
          </w:p>
        </w:tc>
        <w:tc>
          <w:tcPr>
            <w:tcW w:w="1399" w:type="dxa"/>
          </w:tcPr>
          <w:p w:rsidR="005C716C" w:rsidRPr="007C51D6" w:rsidRDefault="005C716C" w:rsidP="005C716C">
            <w:pPr>
              <w:jc w:val="center"/>
              <w:rPr>
                <w:color w:val="000000"/>
                <w:sz w:val="20"/>
                <w:szCs w:val="20"/>
              </w:rPr>
            </w:pPr>
            <w:r w:rsidRPr="007C51D6">
              <w:rPr>
                <w:color w:val="000000"/>
                <w:sz w:val="20"/>
                <w:szCs w:val="20"/>
              </w:rPr>
              <w:t>423,03</w:t>
            </w:r>
          </w:p>
        </w:tc>
        <w:tc>
          <w:tcPr>
            <w:tcW w:w="1276" w:type="dxa"/>
            <w:vAlign w:val="center"/>
          </w:tcPr>
          <w:p w:rsidR="005C716C" w:rsidRPr="007C51D6" w:rsidRDefault="005C716C" w:rsidP="005C716C">
            <w:pPr>
              <w:jc w:val="center"/>
              <w:rPr>
                <w:color w:val="000000"/>
                <w:sz w:val="20"/>
                <w:szCs w:val="20"/>
              </w:rPr>
            </w:pPr>
            <w:r w:rsidRPr="007C51D6">
              <w:rPr>
                <w:color w:val="000000"/>
                <w:sz w:val="20"/>
                <w:szCs w:val="20"/>
              </w:rPr>
              <w:t>402,47</w:t>
            </w:r>
          </w:p>
        </w:tc>
        <w:tc>
          <w:tcPr>
            <w:tcW w:w="1276" w:type="dxa"/>
            <w:vAlign w:val="center"/>
          </w:tcPr>
          <w:p w:rsidR="005C716C" w:rsidRPr="007C51D6" w:rsidRDefault="005C716C" w:rsidP="005C716C">
            <w:pPr>
              <w:jc w:val="center"/>
              <w:rPr>
                <w:sz w:val="20"/>
                <w:szCs w:val="20"/>
              </w:rPr>
            </w:pPr>
            <w:r w:rsidRPr="007C51D6">
              <w:rPr>
                <w:sz w:val="20"/>
                <w:szCs w:val="20"/>
              </w:rPr>
              <w:t>617.88</w:t>
            </w:r>
          </w:p>
        </w:tc>
      </w:tr>
      <w:tr w:rsidR="005C716C" w:rsidRPr="007C51D6" w:rsidTr="0038114E">
        <w:tblPrEx>
          <w:tblBorders>
            <w:bottom w:val="single" w:sz="4" w:space="0" w:color="auto"/>
          </w:tblBorders>
          <w:tblCellMar>
            <w:top w:w="28" w:type="dxa"/>
            <w:bottom w:w="28" w:type="dxa"/>
          </w:tblCellMar>
        </w:tblPrEx>
        <w:trPr>
          <w:trHeight w:val="227"/>
        </w:trPr>
        <w:tc>
          <w:tcPr>
            <w:tcW w:w="3255" w:type="dxa"/>
            <w:shd w:val="clear" w:color="auto" w:fill="auto"/>
            <w:hideMark/>
          </w:tcPr>
          <w:p w:rsidR="005C716C" w:rsidRPr="007C51D6" w:rsidRDefault="005C716C" w:rsidP="005C716C">
            <w:pPr>
              <w:autoSpaceDE/>
              <w:autoSpaceDN/>
              <w:adjustRightInd/>
              <w:rPr>
                <w:color w:val="000000"/>
                <w:sz w:val="20"/>
                <w:szCs w:val="20"/>
              </w:rPr>
            </w:pPr>
            <w:r w:rsidRPr="007C51D6">
              <w:rPr>
                <w:color w:val="000000"/>
                <w:sz w:val="20"/>
                <w:szCs w:val="20"/>
              </w:rPr>
              <w:t>Высокогорский</w:t>
            </w:r>
          </w:p>
        </w:tc>
        <w:tc>
          <w:tcPr>
            <w:tcW w:w="1062" w:type="dxa"/>
            <w:shd w:val="clear" w:color="auto" w:fill="auto"/>
            <w:hideMark/>
          </w:tcPr>
          <w:p w:rsidR="005C716C" w:rsidRPr="007C51D6" w:rsidRDefault="005C716C" w:rsidP="005C716C">
            <w:pPr>
              <w:autoSpaceDE/>
              <w:autoSpaceDN/>
              <w:adjustRightInd/>
              <w:jc w:val="center"/>
              <w:rPr>
                <w:color w:val="000000"/>
                <w:sz w:val="20"/>
                <w:szCs w:val="20"/>
              </w:rPr>
            </w:pPr>
            <w:r w:rsidRPr="007C51D6">
              <w:rPr>
                <w:color w:val="000000"/>
                <w:sz w:val="20"/>
                <w:szCs w:val="20"/>
              </w:rPr>
              <w:t>369,67</w:t>
            </w:r>
          </w:p>
        </w:tc>
        <w:tc>
          <w:tcPr>
            <w:tcW w:w="1225" w:type="dxa"/>
            <w:shd w:val="clear" w:color="auto" w:fill="auto"/>
            <w:hideMark/>
          </w:tcPr>
          <w:p w:rsidR="005C716C" w:rsidRPr="007C51D6" w:rsidRDefault="005C716C" w:rsidP="005C716C">
            <w:pPr>
              <w:autoSpaceDE/>
              <w:autoSpaceDN/>
              <w:adjustRightInd/>
              <w:jc w:val="center"/>
              <w:rPr>
                <w:color w:val="000000"/>
                <w:sz w:val="20"/>
                <w:szCs w:val="20"/>
              </w:rPr>
            </w:pPr>
            <w:r w:rsidRPr="007C51D6">
              <w:rPr>
                <w:color w:val="000000"/>
                <w:sz w:val="20"/>
                <w:szCs w:val="20"/>
              </w:rPr>
              <w:t>352,67</w:t>
            </w:r>
          </w:p>
        </w:tc>
        <w:tc>
          <w:tcPr>
            <w:tcW w:w="992" w:type="dxa"/>
            <w:shd w:val="clear" w:color="auto" w:fill="auto"/>
            <w:hideMark/>
          </w:tcPr>
          <w:p w:rsidR="005C716C" w:rsidRPr="007C51D6" w:rsidRDefault="005C716C" w:rsidP="005C716C">
            <w:pPr>
              <w:autoSpaceDE/>
              <w:autoSpaceDN/>
              <w:adjustRightInd/>
              <w:jc w:val="center"/>
              <w:rPr>
                <w:color w:val="000000"/>
                <w:sz w:val="20"/>
                <w:szCs w:val="20"/>
              </w:rPr>
            </w:pPr>
            <w:r w:rsidRPr="007C51D6">
              <w:rPr>
                <w:color w:val="000000"/>
                <w:sz w:val="20"/>
                <w:szCs w:val="20"/>
              </w:rPr>
              <w:t>377,56</w:t>
            </w:r>
          </w:p>
        </w:tc>
        <w:tc>
          <w:tcPr>
            <w:tcW w:w="1134" w:type="dxa"/>
            <w:shd w:val="clear" w:color="auto" w:fill="auto"/>
            <w:hideMark/>
          </w:tcPr>
          <w:p w:rsidR="005C716C" w:rsidRPr="007C51D6" w:rsidRDefault="005C716C" w:rsidP="005C716C">
            <w:pPr>
              <w:autoSpaceDE/>
              <w:autoSpaceDN/>
              <w:adjustRightInd/>
              <w:jc w:val="center"/>
              <w:rPr>
                <w:color w:val="000000"/>
                <w:sz w:val="20"/>
                <w:szCs w:val="20"/>
              </w:rPr>
            </w:pPr>
            <w:r w:rsidRPr="007C51D6">
              <w:rPr>
                <w:color w:val="000000"/>
                <w:sz w:val="20"/>
                <w:szCs w:val="20"/>
              </w:rPr>
              <w:t>326,82</w:t>
            </w:r>
          </w:p>
        </w:tc>
        <w:tc>
          <w:tcPr>
            <w:tcW w:w="1134" w:type="dxa"/>
            <w:shd w:val="clear" w:color="auto" w:fill="auto"/>
            <w:hideMark/>
          </w:tcPr>
          <w:p w:rsidR="005C716C" w:rsidRPr="007C51D6" w:rsidRDefault="005C716C" w:rsidP="005C716C">
            <w:pPr>
              <w:autoSpaceDE/>
              <w:autoSpaceDN/>
              <w:adjustRightInd/>
              <w:jc w:val="center"/>
              <w:rPr>
                <w:color w:val="000000"/>
                <w:sz w:val="20"/>
                <w:szCs w:val="20"/>
              </w:rPr>
            </w:pPr>
            <w:r w:rsidRPr="007C51D6">
              <w:rPr>
                <w:color w:val="000000"/>
                <w:sz w:val="20"/>
                <w:szCs w:val="20"/>
              </w:rPr>
              <w:t>345,18</w:t>
            </w:r>
          </w:p>
        </w:tc>
        <w:tc>
          <w:tcPr>
            <w:tcW w:w="1276" w:type="dxa"/>
          </w:tcPr>
          <w:p w:rsidR="005C716C" w:rsidRPr="007C51D6" w:rsidRDefault="005C716C" w:rsidP="005C716C">
            <w:pPr>
              <w:autoSpaceDE/>
              <w:autoSpaceDN/>
              <w:adjustRightInd/>
              <w:jc w:val="center"/>
              <w:rPr>
                <w:color w:val="000000"/>
                <w:sz w:val="20"/>
                <w:szCs w:val="20"/>
              </w:rPr>
            </w:pPr>
            <w:r w:rsidRPr="007C51D6">
              <w:rPr>
                <w:color w:val="000000"/>
                <w:sz w:val="20"/>
                <w:szCs w:val="20"/>
              </w:rPr>
              <w:t>368,45</w:t>
            </w:r>
          </w:p>
        </w:tc>
        <w:tc>
          <w:tcPr>
            <w:tcW w:w="1134" w:type="dxa"/>
          </w:tcPr>
          <w:p w:rsidR="005C716C" w:rsidRPr="007C51D6" w:rsidRDefault="005C716C" w:rsidP="005C716C">
            <w:pPr>
              <w:autoSpaceDE/>
              <w:autoSpaceDN/>
              <w:adjustRightInd/>
              <w:jc w:val="center"/>
              <w:rPr>
                <w:color w:val="000000"/>
                <w:sz w:val="20"/>
                <w:szCs w:val="20"/>
              </w:rPr>
            </w:pPr>
            <w:r w:rsidRPr="007C51D6">
              <w:rPr>
                <w:color w:val="000000"/>
                <w:sz w:val="20"/>
                <w:szCs w:val="20"/>
              </w:rPr>
              <w:t>466,94</w:t>
            </w:r>
          </w:p>
        </w:tc>
        <w:tc>
          <w:tcPr>
            <w:tcW w:w="1399" w:type="dxa"/>
          </w:tcPr>
          <w:p w:rsidR="005C716C" w:rsidRPr="007C51D6" w:rsidRDefault="005C716C" w:rsidP="005C716C">
            <w:pPr>
              <w:jc w:val="center"/>
              <w:rPr>
                <w:color w:val="000000"/>
                <w:sz w:val="20"/>
                <w:szCs w:val="20"/>
              </w:rPr>
            </w:pPr>
            <w:r w:rsidRPr="007C51D6">
              <w:rPr>
                <w:color w:val="000000"/>
                <w:sz w:val="20"/>
                <w:szCs w:val="20"/>
              </w:rPr>
              <w:t>382,62</w:t>
            </w:r>
          </w:p>
        </w:tc>
        <w:tc>
          <w:tcPr>
            <w:tcW w:w="1276" w:type="dxa"/>
            <w:vAlign w:val="center"/>
          </w:tcPr>
          <w:p w:rsidR="005C716C" w:rsidRPr="007C51D6" w:rsidRDefault="005C716C" w:rsidP="005C716C">
            <w:pPr>
              <w:jc w:val="center"/>
              <w:rPr>
                <w:color w:val="000000"/>
                <w:sz w:val="20"/>
                <w:szCs w:val="20"/>
              </w:rPr>
            </w:pPr>
            <w:r w:rsidRPr="007C51D6">
              <w:rPr>
                <w:color w:val="000000"/>
                <w:sz w:val="20"/>
                <w:szCs w:val="20"/>
              </w:rPr>
              <w:t>385,84</w:t>
            </w:r>
          </w:p>
        </w:tc>
        <w:tc>
          <w:tcPr>
            <w:tcW w:w="1276" w:type="dxa"/>
            <w:vAlign w:val="center"/>
          </w:tcPr>
          <w:p w:rsidR="005C716C" w:rsidRPr="007C51D6" w:rsidRDefault="005C716C" w:rsidP="005C716C">
            <w:pPr>
              <w:jc w:val="center"/>
              <w:rPr>
                <w:sz w:val="20"/>
                <w:szCs w:val="20"/>
              </w:rPr>
            </w:pPr>
            <w:r w:rsidRPr="007C51D6">
              <w:rPr>
                <w:sz w:val="20"/>
                <w:szCs w:val="20"/>
              </w:rPr>
              <w:t>507.86</w:t>
            </w:r>
          </w:p>
        </w:tc>
      </w:tr>
      <w:tr w:rsidR="005C716C" w:rsidRPr="007C51D6" w:rsidTr="0038114E">
        <w:tblPrEx>
          <w:tblBorders>
            <w:bottom w:val="single" w:sz="4" w:space="0" w:color="auto"/>
          </w:tblBorders>
          <w:tblCellMar>
            <w:top w:w="28" w:type="dxa"/>
            <w:bottom w:w="28" w:type="dxa"/>
          </w:tblCellMar>
        </w:tblPrEx>
        <w:trPr>
          <w:trHeight w:val="227"/>
        </w:trPr>
        <w:tc>
          <w:tcPr>
            <w:tcW w:w="3255" w:type="dxa"/>
            <w:shd w:val="clear" w:color="auto" w:fill="auto"/>
            <w:hideMark/>
          </w:tcPr>
          <w:p w:rsidR="005C716C" w:rsidRPr="007C51D6" w:rsidRDefault="005C716C" w:rsidP="005C716C">
            <w:pPr>
              <w:autoSpaceDE/>
              <w:autoSpaceDN/>
              <w:adjustRightInd/>
              <w:rPr>
                <w:color w:val="000000"/>
                <w:sz w:val="20"/>
                <w:szCs w:val="20"/>
              </w:rPr>
            </w:pPr>
            <w:r w:rsidRPr="007C51D6">
              <w:rPr>
                <w:color w:val="000000"/>
                <w:sz w:val="20"/>
                <w:szCs w:val="20"/>
              </w:rPr>
              <w:t>Дрожжановский</w:t>
            </w:r>
          </w:p>
        </w:tc>
        <w:tc>
          <w:tcPr>
            <w:tcW w:w="1062" w:type="dxa"/>
            <w:shd w:val="clear" w:color="auto" w:fill="auto"/>
            <w:hideMark/>
          </w:tcPr>
          <w:p w:rsidR="005C716C" w:rsidRPr="007C51D6" w:rsidRDefault="005C716C" w:rsidP="005C716C">
            <w:pPr>
              <w:autoSpaceDE/>
              <w:autoSpaceDN/>
              <w:adjustRightInd/>
              <w:jc w:val="center"/>
              <w:rPr>
                <w:color w:val="000000"/>
                <w:sz w:val="20"/>
                <w:szCs w:val="20"/>
              </w:rPr>
            </w:pPr>
            <w:r w:rsidRPr="007C51D6">
              <w:rPr>
                <w:color w:val="000000"/>
                <w:sz w:val="20"/>
                <w:szCs w:val="20"/>
              </w:rPr>
              <w:t>336,96</w:t>
            </w:r>
          </w:p>
        </w:tc>
        <w:tc>
          <w:tcPr>
            <w:tcW w:w="1225" w:type="dxa"/>
            <w:shd w:val="clear" w:color="auto" w:fill="auto"/>
            <w:hideMark/>
          </w:tcPr>
          <w:p w:rsidR="005C716C" w:rsidRPr="007C51D6" w:rsidRDefault="005C716C" w:rsidP="005C716C">
            <w:pPr>
              <w:autoSpaceDE/>
              <w:autoSpaceDN/>
              <w:adjustRightInd/>
              <w:jc w:val="center"/>
              <w:rPr>
                <w:color w:val="000000"/>
                <w:sz w:val="20"/>
                <w:szCs w:val="20"/>
              </w:rPr>
            </w:pPr>
            <w:r w:rsidRPr="007C51D6">
              <w:rPr>
                <w:color w:val="000000"/>
                <w:sz w:val="20"/>
                <w:szCs w:val="20"/>
              </w:rPr>
              <w:t>363,83</w:t>
            </w:r>
          </w:p>
        </w:tc>
        <w:tc>
          <w:tcPr>
            <w:tcW w:w="992" w:type="dxa"/>
            <w:shd w:val="clear" w:color="auto" w:fill="auto"/>
            <w:hideMark/>
          </w:tcPr>
          <w:p w:rsidR="005C716C" w:rsidRPr="007C51D6" w:rsidRDefault="005C716C" w:rsidP="005C716C">
            <w:pPr>
              <w:autoSpaceDE/>
              <w:autoSpaceDN/>
              <w:adjustRightInd/>
              <w:jc w:val="center"/>
              <w:rPr>
                <w:color w:val="000000"/>
                <w:sz w:val="20"/>
                <w:szCs w:val="20"/>
              </w:rPr>
            </w:pPr>
            <w:r w:rsidRPr="007C51D6">
              <w:rPr>
                <w:color w:val="000000"/>
                <w:sz w:val="20"/>
                <w:szCs w:val="20"/>
              </w:rPr>
              <w:t>363,83</w:t>
            </w:r>
          </w:p>
        </w:tc>
        <w:tc>
          <w:tcPr>
            <w:tcW w:w="1134" w:type="dxa"/>
            <w:shd w:val="clear" w:color="auto" w:fill="auto"/>
            <w:hideMark/>
          </w:tcPr>
          <w:p w:rsidR="005C716C" w:rsidRPr="007C51D6" w:rsidRDefault="005C716C" w:rsidP="005C716C">
            <w:pPr>
              <w:autoSpaceDE/>
              <w:autoSpaceDN/>
              <w:adjustRightInd/>
              <w:jc w:val="center"/>
              <w:rPr>
                <w:color w:val="000000"/>
                <w:sz w:val="20"/>
                <w:szCs w:val="20"/>
              </w:rPr>
            </w:pPr>
            <w:r w:rsidRPr="007C51D6">
              <w:rPr>
                <w:color w:val="000000"/>
                <w:sz w:val="20"/>
                <w:szCs w:val="20"/>
              </w:rPr>
              <w:t>377,02</w:t>
            </w:r>
          </w:p>
        </w:tc>
        <w:tc>
          <w:tcPr>
            <w:tcW w:w="1134" w:type="dxa"/>
            <w:shd w:val="clear" w:color="auto" w:fill="auto"/>
            <w:hideMark/>
          </w:tcPr>
          <w:p w:rsidR="005C716C" w:rsidRPr="007C51D6" w:rsidRDefault="005C716C" w:rsidP="005C716C">
            <w:pPr>
              <w:autoSpaceDE/>
              <w:autoSpaceDN/>
              <w:adjustRightInd/>
              <w:jc w:val="center"/>
              <w:rPr>
                <w:color w:val="000000"/>
                <w:sz w:val="20"/>
                <w:szCs w:val="20"/>
              </w:rPr>
            </w:pPr>
            <w:r w:rsidRPr="007C51D6">
              <w:rPr>
                <w:color w:val="000000"/>
                <w:sz w:val="20"/>
                <w:szCs w:val="20"/>
              </w:rPr>
              <w:t>292,09</w:t>
            </w:r>
          </w:p>
        </w:tc>
        <w:tc>
          <w:tcPr>
            <w:tcW w:w="1276" w:type="dxa"/>
          </w:tcPr>
          <w:p w:rsidR="005C716C" w:rsidRPr="007C51D6" w:rsidRDefault="005C716C" w:rsidP="005C716C">
            <w:pPr>
              <w:autoSpaceDE/>
              <w:autoSpaceDN/>
              <w:adjustRightInd/>
              <w:jc w:val="center"/>
              <w:rPr>
                <w:color w:val="000000"/>
                <w:sz w:val="20"/>
                <w:szCs w:val="20"/>
              </w:rPr>
            </w:pPr>
            <w:r w:rsidRPr="007C51D6">
              <w:rPr>
                <w:color w:val="000000"/>
                <w:sz w:val="20"/>
                <w:szCs w:val="20"/>
              </w:rPr>
              <w:t>343,08</w:t>
            </w:r>
          </w:p>
        </w:tc>
        <w:tc>
          <w:tcPr>
            <w:tcW w:w="1134" w:type="dxa"/>
          </w:tcPr>
          <w:p w:rsidR="005C716C" w:rsidRPr="007C51D6" w:rsidRDefault="005C716C" w:rsidP="005C716C">
            <w:pPr>
              <w:autoSpaceDE/>
              <w:autoSpaceDN/>
              <w:adjustRightInd/>
              <w:jc w:val="center"/>
              <w:rPr>
                <w:color w:val="000000"/>
                <w:sz w:val="20"/>
                <w:szCs w:val="20"/>
              </w:rPr>
            </w:pPr>
            <w:r w:rsidRPr="007C51D6">
              <w:rPr>
                <w:color w:val="000000"/>
                <w:sz w:val="20"/>
                <w:szCs w:val="20"/>
              </w:rPr>
              <w:t>282,10</w:t>
            </w:r>
          </w:p>
        </w:tc>
        <w:tc>
          <w:tcPr>
            <w:tcW w:w="1399" w:type="dxa"/>
          </w:tcPr>
          <w:p w:rsidR="005C716C" w:rsidRPr="007C51D6" w:rsidRDefault="005C716C" w:rsidP="005C716C">
            <w:pPr>
              <w:jc w:val="center"/>
              <w:rPr>
                <w:color w:val="000000"/>
                <w:sz w:val="20"/>
                <w:szCs w:val="20"/>
              </w:rPr>
            </w:pPr>
            <w:r w:rsidRPr="007C51D6">
              <w:rPr>
                <w:color w:val="000000"/>
                <w:sz w:val="20"/>
                <w:szCs w:val="20"/>
              </w:rPr>
              <w:t>411,18</w:t>
            </w:r>
          </w:p>
        </w:tc>
        <w:tc>
          <w:tcPr>
            <w:tcW w:w="1276" w:type="dxa"/>
            <w:vAlign w:val="center"/>
          </w:tcPr>
          <w:p w:rsidR="005C716C" w:rsidRPr="007C51D6" w:rsidRDefault="005C716C" w:rsidP="005C716C">
            <w:pPr>
              <w:jc w:val="center"/>
              <w:rPr>
                <w:color w:val="000000"/>
                <w:sz w:val="20"/>
                <w:szCs w:val="20"/>
              </w:rPr>
            </w:pPr>
            <w:r w:rsidRPr="007C51D6">
              <w:rPr>
                <w:color w:val="000000"/>
                <w:sz w:val="20"/>
                <w:szCs w:val="20"/>
              </w:rPr>
              <w:t>418,22</w:t>
            </w:r>
          </w:p>
        </w:tc>
        <w:tc>
          <w:tcPr>
            <w:tcW w:w="1276" w:type="dxa"/>
            <w:vAlign w:val="center"/>
          </w:tcPr>
          <w:p w:rsidR="005C716C" w:rsidRPr="007C51D6" w:rsidRDefault="005C716C" w:rsidP="005C716C">
            <w:pPr>
              <w:jc w:val="center"/>
              <w:rPr>
                <w:sz w:val="20"/>
                <w:szCs w:val="20"/>
              </w:rPr>
            </w:pPr>
            <w:r w:rsidRPr="007C51D6">
              <w:rPr>
                <w:sz w:val="20"/>
                <w:szCs w:val="20"/>
              </w:rPr>
              <w:t>502.86</w:t>
            </w:r>
          </w:p>
        </w:tc>
      </w:tr>
      <w:tr w:rsidR="005C716C" w:rsidRPr="007C51D6" w:rsidTr="0038114E">
        <w:tblPrEx>
          <w:tblBorders>
            <w:bottom w:val="single" w:sz="4" w:space="0" w:color="auto"/>
          </w:tblBorders>
          <w:tblCellMar>
            <w:top w:w="28" w:type="dxa"/>
            <w:bottom w:w="28" w:type="dxa"/>
          </w:tblCellMar>
        </w:tblPrEx>
        <w:trPr>
          <w:trHeight w:val="227"/>
        </w:trPr>
        <w:tc>
          <w:tcPr>
            <w:tcW w:w="3255" w:type="dxa"/>
            <w:shd w:val="clear" w:color="auto" w:fill="auto"/>
            <w:hideMark/>
          </w:tcPr>
          <w:p w:rsidR="005C716C" w:rsidRPr="007C51D6" w:rsidRDefault="005C716C" w:rsidP="005C716C">
            <w:pPr>
              <w:autoSpaceDE/>
              <w:autoSpaceDN/>
              <w:adjustRightInd/>
              <w:rPr>
                <w:color w:val="000000"/>
                <w:sz w:val="20"/>
                <w:szCs w:val="20"/>
              </w:rPr>
            </w:pPr>
            <w:r w:rsidRPr="007C51D6">
              <w:rPr>
                <w:color w:val="000000"/>
                <w:sz w:val="20"/>
                <w:szCs w:val="20"/>
              </w:rPr>
              <w:t>Елабужский</w:t>
            </w:r>
          </w:p>
        </w:tc>
        <w:tc>
          <w:tcPr>
            <w:tcW w:w="1062" w:type="dxa"/>
            <w:shd w:val="clear" w:color="auto" w:fill="auto"/>
            <w:hideMark/>
          </w:tcPr>
          <w:p w:rsidR="005C716C" w:rsidRPr="007C51D6" w:rsidRDefault="005C716C" w:rsidP="005C716C">
            <w:pPr>
              <w:autoSpaceDE/>
              <w:autoSpaceDN/>
              <w:adjustRightInd/>
              <w:jc w:val="center"/>
              <w:rPr>
                <w:color w:val="000000"/>
                <w:sz w:val="20"/>
                <w:szCs w:val="20"/>
              </w:rPr>
            </w:pPr>
            <w:r w:rsidRPr="007C51D6">
              <w:rPr>
                <w:color w:val="000000"/>
                <w:sz w:val="20"/>
                <w:szCs w:val="20"/>
              </w:rPr>
              <w:t>399,24</w:t>
            </w:r>
          </w:p>
        </w:tc>
        <w:tc>
          <w:tcPr>
            <w:tcW w:w="1225" w:type="dxa"/>
            <w:shd w:val="clear" w:color="auto" w:fill="auto"/>
            <w:hideMark/>
          </w:tcPr>
          <w:p w:rsidR="005C716C" w:rsidRPr="007C51D6" w:rsidRDefault="005C716C" w:rsidP="005C716C">
            <w:pPr>
              <w:autoSpaceDE/>
              <w:autoSpaceDN/>
              <w:adjustRightInd/>
              <w:jc w:val="center"/>
              <w:rPr>
                <w:color w:val="000000"/>
                <w:sz w:val="20"/>
                <w:szCs w:val="20"/>
              </w:rPr>
            </w:pPr>
            <w:r w:rsidRPr="007C51D6">
              <w:rPr>
                <w:color w:val="000000"/>
                <w:sz w:val="20"/>
                <w:szCs w:val="20"/>
              </w:rPr>
              <w:t>449,79</w:t>
            </w:r>
          </w:p>
        </w:tc>
        <w:tc>
          <w:tcPr>
            <w:tcW w:w="992" w:type="dxa"/>
            <w:shd w:val="clear" w:color="auto" w:fill="auto"/>
            <w:hideMark/>
          </w:tcPr>
          <w:p w:rsidR="005C716C" w:rsidRPr="007C51D6" w:rsidRDefault="005C716C" w:rsidP="005C716C">
            <w:pPr>
              <w:autoSpaceDE/>
              <w:autoSpaceDN/>
              <w:adjustRightInd/>
              <w:jc w:val="center"/>
              <w:rPr>
                <w:color w:val="000000"/>
                <w:sz w:val="20"/>
                <w:szCs w:val="20"/>
              </w:rPr>
            </w:pPr>
            <w:r w:rsidRPr="007C51D6">
              <w:rPr>
                <w:color w:val="000000"/>
                <w:sz w:val="20"/>
                <w:szCs w:val="20"/>
              </w:rPr>
              <w:t>411,23</w:t>
            </w:r>
          </w:p>
        </w:tc>
        <w:tc>
          <w:tcPr>
            <w:tcW w:w="1134" w:type="dxa"/>
            <w:shd w:val="clear" w:color="auto" w:fill="auto"/>
            <w:hideMark/>
          </w:tcPr>
          <w:p w:rsidR="005C716C" w:rsidRPr="007C51D6" w:rsidRDefault="005C716C" w:rsidP="005C716C">
            <w:pPr>
              <w:autoSpaceDE/>
              <w:autoSpaceDN/>
              <w:adjustRightInd/>
              <w:jc w:val="center"/>
              <w:rPr>
                <w:color w:val="000000"/>
                <w:sz w:val="20"/>
                <w:szCs w:val="20"/>
              </w:rPr>
            </w:pPr>
            <w:r w:rsidRPr="007C51D6">
              <w:rPr>
                <w:color w:val="000000"/>
                <w:sz w:val="20"/>
                <w:szCs w:val="20"/>
              </w:rPr>
              <w:t>375,38</w:t>
            </w:r>
          </w:p>
        </w:tc>
        <w:tc>
          <w:tcPr>
            <w:tcW w:w="1134" w:type="dxa"/>
            <w:shd w:val="clear" w:color="auto" w:fill="auto"/>
            <w:hideMark/>
          </w:tcPr>
          <w:p w:rsidR="005C716C" w:rsidRPr="007C51D6" w:rsidRDefault="005C716C" w:rsidP="005C716C">
            <w:pPr>
              <w:autoSpaceDE/>
              <w:autoSpaceDN/>
              <w:adjustRightInd/>
              <w:jc w:val="center"/>
              <w:rPr>
                <w:color w:val="000000"/>
                <w:sz w:val="20"/>
                <w:szCs w:val="20"/>
              </w:rPr>
            </w:pPr>
            <w:r w:rsidRPr="007C51D6">
              <w:rPr>
                <w:color w:val="000000"/>
                <w:sz w:val="20"/>
                <w:szCs w:val="20"/>
              </w:rPr>
              <w:t>360,96</w:t>
            </w:r>
          </w:p>
        </w:tc>
        <w:tc>
          <w:tcPr>
            <w:tcW w:w="1276" w:type="dxa"/>
          </w:tcPr>
          <w:p w:rsidR="005C716C" w:rsidRPr="007C51D6" w:rsidRDefault="005C716C" w:rsidP="005C716C">
            <w:pPr>
              <w:autoSpaceDE/>
              <w:autoSpaceDN/>
              <w:adjustRightInd/>
              <w:jc w:val="center"/>
              <w:rPr>
                <w:color w:val="000000"/>
                <w:sz w:val="20"/>
                <w:szCs w:val="20"/>
              </w:rPr>
            </w:pPr>
            <w:r w:rsidRPr="007C51D6">
              <w:rPr>
                <w:color w:val="000000"/>
                <w:sz w:val="20"/>
                <w:szCs w:val="20"/>
              </w:rPr>
              <w:t>429,88</w:t>
            </w:r>
          </w:p>
        </w:tc>
        <w:tc>
          <w:tcPr>
            <w:tcW w:w="1134" w:type="dxa"/>
          </w:tcPr>
          <w:p w:rsidR="005C716C" w:rsidRPr="007C51D6" w:rsidRDefault="005C716C" w:rsidP="005C716C">
            <w:pPr>
              <w:autoSpaceDE/>
              <w:autoSpaceDN/>
              <w:adjustRightInd/>
              <w:jc w:val="center"/>
              <w:rPr>
                <w:color w:val="000000"/>
                <w:sz w:val="20"/>
                <w:szCs w:val="20"/>
              </w:rPr>
            </w:pPr>
            <w:r w:rsidRPr="007C51D6">
              <w:rPr>
                <w:color w:val="000000"/>
                <w:sz w:val="20"/>
                <w:szCs w:val="20"/>
              </w:rPr>
              <w:t>430,34</w:t>
            </w:r>
          </w:p>
        </w:tc>
        <w:tc>
          <w:tcPr>
            <w:tcW w:w="1399" w:type="dxa"/>
            <w:vAlign w:val="center"/>
          </w:tcPr>
          <w:p w:rsidR="005C716C" w:rsidRPr="007C51D6" w:rsidRDefault="005C716C" w:rsidP="005C716C">
            <w:pPr>
              <w:jc w:val="center"/>
              <w:rPr>
                <w:color w:val="000000"/>
                <w:sz w:val="20"/>
                <w:szCs w:val="20"/>
              </w:rPr>
            </w:pPr>
            <w:r w:rsidRPr="007C51D6">
              <w:rPr>
                <w:color w:val="000000"/>
                <w:sz w:val="20"/>
                <w:szCs w:val="20"/>
              </w:rPr>
              <w:t>410,89</w:t>
            </w:r>
          </w:p>
        </w:tc>
        <w:tc>
          <w:tcPr>
            <w:tcW w:w="1276" w:type="dxa"/>
            <w:vAlign w:val="center"/>
          </w:tcPr>
          <w:p w:rsidR="005C716C" w:rsidRPr="007C51D6" w:rsidRDefault="005C716C" w:rsidP="005C716C">
            <w:pPr>
              <w:jc w:val="center"/>
              <w:rPr>
                <w:color w:val="000000"/>
                <w:sz w:val="20"/>
                <w:szCs w:val="20"/>
              </w:rPr>
            </w:pPr>
            <w:r w:rsidRPr="007C51D6">
              <w:rPr>
                <w:color w:val="000000"/>
                <w:sz w:val="20"/>
                <w:szCs w:val="20"/>
              </w:rPr>
              <w:t>416,52</w:t>
            </w:r>
          </w:p>
        </w:tc>
        <w:tc>
          <w:tcPr>
            <w:tcW w:w="1276" w:type="dxa"/>
            <w:vAlign w:val="center"/>
          </w:tcPr>
          <w:p w:rsidR="005C716C" w:rsidRPr="007C51D6" w:rsidRDefault="005C716C" w:rsidP="005C716C">
            <w:pPr>
              <w:jc w:val="center"/>
              <w:rPr>
                <w:sz w:val="20"/>
                <w:szCs w:val="20"/>
              </w:rPr>
            </w:pPr>
            <w:r w:rsidRPr="007C51D6">
              <w:rPr>
                <w:sz w:val="20"/>
                <w:szCs w:val="20"/>
              </w:rPr>
              <w:t>504.26</w:t>
            </w:r>
          </w:p>
        </w:tc>
      </w:tr>
      <w:tr w:rsidR="005C716C" w:rsidRPr="007C51D6" w:rsidTr="0038114E">
        <w:tblPrEx>
          <w:tblBorders>
            <w:bottom w:val="single" w:sz="4" w:space="0" w:color="auto"/>
          </w:tblBorders>
          <w:tblCellMar>
            <w:top w:w="28" w:type="dxa"/>
            <w:bottom w:w="28" w:type="dxa"/>
          </w:tblCellMar>
        </w:tblPrEx>
        <w:trPr>
          <w:trHeight w:val="227"/>
        </w:trPr>
        <w:tc>
          <w:tcPr>
            <w:tcW w:w="3255" w:type="dxa"/>
            <w:shd w:val="clear" w:color="auto" w:fill="auto"/>
          </w:tcPr>
          <w:p w:rsidR="005C716C" w:rsidRPr="007C51D6" w:rsidRDefault="005C716C" w:rsidP="005C716C">
            <w:pPr>
              <w:autoSpaceDE/>
              <w:autoSpaceDN/>
              <w:adjustRightInd/>
              <w:rPr>
                <w:color w:val="000000"/>
                <w:sz w:val="20"/>
                <w:szCs w:val="20"/>
              </w:rPr>
            </w:pPr>
            <w:r w:rsidRPr="007C51D6">
              <w:rPr>
                <w:color w:val="000000"/>
                <w:sz w:val="20"/>
                <w:szCs w:val="20"/>
              </w:rPr>
              <w:t>Заинский</w:t>
            </w:r>
          </w:p>
        </w:tc>
        <w:tc>
          <w:tcPr>
            <w:tcW w:w="1062" w:type="dxa"/>
            <w:shd w:val="clear" w:color="auto" w:fill="auto"/>
          </w:tcPr>
          <w:p w:rsidR="005C716C" w:rsidRPr="007C51D6" w:rsidRDefault="005C716C" w:rsidP="005C716C">
            <w:pPr>
              <w:autoSpaceDE/>
              <w:autoSpaceDN/>
              <w:adjustRightInd/>
              <w:jc w:val="center"/>
              <w:rPr>
                <w:color w:val="000000"/>
                <w:sz w:val="20"/>
                <w:szCs w:val="20"/>
              </w:rPr>
            </w:pPr>
            <w:r w:rsidRPr="007C51D6">
              <w:rPr>
                <w:color w:val="000000"/>
                <w:sz w:val="20"/>
                <w:szCs w:val="20"/>
              </w:rPr>
              <w:t>404,17</w:t>
            </w:r>
          </w:p>
        </w:tc>
        <w:tc>
          <w:tcPr>
            <w:tcW w:w="1225" w:type="dxa"/>
            <w:shd w:val="clear" w:color="auto" w:fill="auto"/>
          </w:tcPr>
          <w:p w:rsidR="005C716C" w:rsidRPr="007C51D6" w:rsidRDefault="005C716C" w:rsidP="005C716C">
            <w:pPr>
              <w:autoSpaceDE/>
              <w:autoSpaceDN/>
              <w:adjustRightInd/>
              <w:jc w:val="center"/>
              <w:rPr>
                <w:color w:val="000000"/>
                <w:sz w:val="20"/>
                <w:szCs w:val="20"/>
              </w:rPr>
            </w:pPr>
            <w:r w:rsidRPr="007C51D6">
              <w:rPr>
                <w:color w:val="000000"/>
                <w:sz w:val="20"/>
                <w:szCs w:val="20"/>
              </w:rPr>
              <w:t>466,72</w:t>
            </w:r>
          </w:p>
        </w:tc>
        <w:tc>
          <w:tcPr>
            <w:tcW w:w="992" w:type="dxa"/>
            <w:shd w:val="clear" w:color="auto" w:fill="auto"/>
          </w:tcPr>
          <w:p w:rsidR="005C716C" w:rsidRPr="007C51D6" w:rsidRDefault="005C716C" w:rsidP="005C716C">
            <w:pPr>
              <w:autoSpaceDE/>
              <w:autoSpaceDN/>
              <w:adjustRightInd/>
              <w:jc w:val="center"/>
              <w:rPr>
                <w:color w:val="000000"/>
                <w:sz w:val="20"/>
                <w:szCs w:val="20"/>
              </w:rPr>
            </w:pPr>
            <w:r w:rsidRPr="007C51D6">
              <w:rPr>
                <w:color w:val="000000"/>
                <w:sz w:val="20"/>
                <w:szCs w:val="20"/>
              </w:rPr>
              <w:t>425,43</w:t>
            </w:r>
          </w:p>
        </w:tc>
        <w:tc>
          <w:tcPr>
            <w:tcW w:w="1134" w:type="dxa"/>
            <w:shd w:val="clear" w:color="auto" w:fill="auto"/>
          </w:tcPr>
          <w:p w:rsidR="005C716C" w:rsidRPr="007C51D6" w:rsidRDefault="005C716C" w:rsidP="005C716C">
            <w:pPr>
              <w:autoSpaceDE/>
              <w:autoSpaceDN/>
              <w:adjustRightInd/>
              <w:jc w:val="center"/>
              <w:rPr>
                <w:color w:val="000000"/>
                <w:sz w:val="20"/>
                <w:szCs w:val="20"/>
              </w:rPr>
            </w:pPr>
            <w:r w:rsidRPr="007C51D6">
              <w:rPr>
                <w:color w:val="000000"/>
                <w:sz w:val="20"/>
                <w:szCs w:val="20"/>
              </w:rPr>
              <w:t>402,66</w:t>
            </w:r>
          </w:p>
        </w:tc>
        <w:tc>
          <w:tcPr>
            <w:tcW w:w="1134" w:type="dxa"/>
            <w:shd w:val="clear" w:color="auto" w:fill="auto"/>
          </w:tcPr>
          <w:p w:rsidR="005C716C" w:rsidRPr="007C51D6" w:rsidRDefault="005C716C" w:rsidP="005C716C">
            <w:pPr>
              <w:autoSpaceDE/>
              <w:autoSpaceDN/>
              <w:adjustRightInd/>
              <w:jc w:val="center"/>
              <w:rPr>
                <w:color w:val="000000"/>
                <w:sz w:val="20"/>
                <w:szCs w:val="20"/>
              </w:rPr>
            </w:pPr>
            <w:r w:rsidRPr="007C51D6">
              <w:rPr>
                <w:color w:val="000000"/>
                <w:sz w:val="20"/>
                <w:szCs w:val="20"/>
              </w:rPr>
              <w:t>338,93</w:t>
            </w:r>
          </w:p>
        </w:tc>
        <w:tc>
          <w:tcPr>
            <w:tcW w:w="1276" w:type="dxa"/>
          </w:tcPr>
          <w:p w:rsidR="005C716C" w:rsidRPr="007C51D6" w:rsidRDefault="005C716C" w:rsidP="005C716C">
            <w:pPr>
              <w:autoSpaceDE/>
              <w:autoSpaceDN/>
              <w:adjustRightInd/>
              <w:jc w:val="center"/>
              <w:rPr>
                <w:color w:val="000000"/>
                <w:sz w:val="20"/>
                <w:szCs w:val="20"/>
              </w:rPr>
            </w:pPr>
            <w:r w:rsidRPr="007C51D6">
              <w:rPr>
                <w:color w:val="000000"/>
                <w:sz w:val="20"/>
                <w:szCs w:val="20"/>
              </w:rPr>
              <w:t>441,36</w:t>
            </w:r>
          </w:p>
        </w:tc>
        <w:tc>
          <w:tcPr>
            <w:tcW w:w="1134" w:type="dxa"/>
          </w:tcPr>
          <w:p w:rsidR="005C716C" w:rsidRPr="007C51D6" w:rsidRDefault="005C716C" w:rsidP="005C716C">
            <w:pPr>
              <w:autoSpaceDE/>
              <w:autoSpaceDN/>
              <w:adjustRightInd/>
              <w:jc w:val="center"/>
              <w:rPr>
                <w:color w:val="000000"/>
                <w:sz w:val="20"/>
                <w:szCs w:val="20"/>
              </w:rPr>
            </w:pPr>
            <w:r w:rsidRPr="007C51D6">
              <w:rPr>
                <w:color w:val="000000"/>
                <w:sz w:val="20"/>
                <w:szCs w:val="20"/>
              </w:rPr>
              <w:t>382,76</w:t>
            </w:r>
          </w:p>
        </w:tc>
        <w:tc>
          <w:tcPr>
            <w:tcW w:w="1399" w:type="dxa"/>
            <w:vAlign w:val="center"/>
          </w:tcPr>
          <w:p w:rsidR="005C716C" w:rsidRPr="007C51D6" w:rsidRDefault="005C716C" w:rsidP="005C716C">
            <w:pPr>
              <w:jc w:val="center"/>
              <w:rPr>
                <w:color w:val="000000"/>
                <w:sz w:val="20"/>
                <w:szCs w:val="20"/>
              </w:rPr>
            </w:pPr>
            <w:r w:rsidRPr="007C51D6">
              <w:rPr>
                <w:color w:val="000000"/>
                <w:sz w:val="20"/>
                <w:szCs w:val="20"/>
              </w:rPr>
              <w:t>412,78</w:t>
            </w:r>
          </w:p>
        </w:tc>
        <w:tc>
          <w:tcPr>
            <w:tcW w:w="1276" w:type="dxa"/>
            <w:vAlign w:val="center"/>
          </w:tcPr>
          <w:p w:rsidR="005C716C" w:rsidRPr="007C51D6" w:rsidRDefault="005C716C" w:rsidP="005C716C">
            <w:pPr>
              <w:jc w:val="center"/>
              <w:rPr>
                <w:color w:val="000000"/>
                <w:sz w:val="20"/>
                <w:szCs w:val="20"/>
              </w:rPr>
            </w:pPr>
            <w:r w:rsidRPr="007C51D6">
              <w:rPr>
                <w:color w:val="000000"/>
                <w:sz w:val="20"/>
                <w:szCs w:val="20"/>
              </w:rPr>
              <w:t>520,9</w:t>
            </w:r>
          </w:p>
        </w:tc>
        <w:tc>
          <w:tcPr>
            <w:tcW w:w="1276" w:type="dxa"/>
            <w:vAlign w:val="center"/>
          </w:tcPr>
          <w:p w:rsidR="005C716C" w:rsidRPr="007C51D6" w:rsidRDefault="005C716C" w:rsidP="005C716C">
            <w:pPr>
              <w:jc w:val="center"/>
              <w:rPr>
                <w:sz w:val="20"/>
                <w:szCs w:val="20"/>
              </w:rPr>
            </w:pPr>
            <w:r w:rsidRPr="007C51D6">
              <w:rPr>
                <w:sz w:val="20"/>
                <w:szCs w:val="20"/>
              </w:rPr>
              <w:t>471.11</w:t>
            </w:r>
          </w:p>
        </w:tc>
      </w:tr>
      <w:tr w:rsidR="005C716C" w:rsidRPr="007C51D6" w:rsidTr="0038114E">
        <w:tblPrEx>
          <w:tblBorders>
            <w:bottom w:val="single" w:sz="4" w:space="0" w:color="auto"/>
          </w:tblBorders>
          <w:tblCellMar>
            <w:top w:w="28" w:type="dxa"/>
            <w:bottom w:w="28" w:type="dxa"/>
          </w:tblCellMar>
        </w:tblPrEx>
        <w:trPr>
          <w:trHeight w:val="227"/>
        </w:trPr>
        <w:tc>
          <w:tcPr>
            <w:tcW w:w="3255" w:type="dxa"/>
            <w:shd w:val="clear" w:color="auto" w:fill="auto"/>
            <w:hideMark/>
          </w:tcPr>
          <w:p w:rsidR="005C716C" w:rsidRPr="007C51D6" w:rsidRDefault="005C716C" w:rsidP="005C716C">
            <w:pPr>
              <w:autoSpaceDE/>
              <w:autoSpaceDN/>
              <w:adjustRightInd/>
              <w:rPr>
                <w:color w:val="000000"/>
                <w:sz w:val="20"/>
                <w:szCs w:val="20"/>
              </w:rPr>
            </w:pPr>
            <w:r w:rsidRPr="007C51D6">
              <w:rPr>
                <w:color w:val="000000"/>
                <w:sz w:val="20"/>
                <w:szCs w:val="20"/>
              </w:rPr>
              <w:t>Зеленодольский</w:t>
            </w:r>
          </w:p>
        </w:tc>
        <w:tc>
          <w:tcPr>
            <w:tcW w:w="1062" w:type="dxa"/>
            <w:shd w:val="clear" w:color="auto" w:fill="auto"/>
            <w:hideMark/>
          </w:tcPr>
          <w:p w:rsidR="005C716C" w:rsidRPr="007C51D6" w:rsidRDefault="005C716C" w:rsidP="005C716C">
            <w:pPr>
              <w:autoSpaceDE/>
              <w:autoSpaceDN/>
              <w:adjustRightInd/>
              <w:jc w:val="center"/>
              <w:rPr>
                <w:color w:val="000000"/>
                <w:sz w:val="20"/>
                <w:szCs w:val="20"/>
              </w:rPr>
            </w:pPr>
            <w:r w:rsidRPr="007C51D6">
              <w:rPr>
                <w:color w:val="000000"/>
                <w:sz w:val="20"/>
                <w:szCs w:val="20"/>
              </w:rPr>
              <w:t>422,98</w:t>
            </w:r>
          </w:p>
        </w:tc>
        <w:tc>
          <w:tcPr>
            <w:tcW w:w="1225" w:type="dxa"/>
            <w:shd w:val="clear" w:color="auto" w:fill="auto"/>
            <w:hideMark/>
          </w:tcPr>
          <w:p w:rsidR="005C716C" w:rsidRPr="007C51D6" w:rsidRDefault="005C716C" w:rsidP="005C716C">
            <w:pPr>
              <w:autoSpaceDE/>
              <w:autoSpaceDN/>
              <w:adjustRightInd/>
              <w:jc w:val="center"/>
              <w:rPr>
                <w:color w:val="000000"/>
                <w:sz w:val="20"/>
                <w:szCs w:val="20"/>
              </w:rPr>
            </w:pPr>
            <w:r w:rsidRPr="007C51D6">
              <w:rPr>
                <w:color w:val="000000"/>
                <w:sz w:val="20"/>
                <w:szCs w:val="20"/>
              </w:rPr>
              <w:t>478,57</w:t>
            </w:r>
          </w:p>
        </w:tc>
        <w:tc>
          <w:tcPr>
            <w:tcW w:w="992" w:type="dxa"/>
            <w:shd w:val="clear" w:color="auto" w:fill="auto"/>
            <w:hideMark/>
          </w:tcPr>
          <w:p w:rsidR="005C716C" w:rsidRPr="007C51D6" w:rsidRDefault="005C716C" w:rsidP="005C716C">
            <w:pPr>
              <w:autoSpaceDE/>
              <w:autoSpaceDN/>
              <w:adjustRightInd/>
              <w:jc w:val="center"/>
              <w:rPr>
                <w:color w:val="000000"/>
                <w:sz w:val="20"/>
                <w:szCs w:val="20"/>
              </w:rPr>
            </w:pPr>
            <w:r w:rsidRPr="007C51D6">
              <w:rPr>
                <w:color w:val="000000"/>
                <w:sz w:val="20"/>
                <w:szCs w:val="20"/>
              </w:rPr>
              <w:t>473,13</w:t>
            </w:r>
          </w:p>
        </w:tc>
        <w:tc>
          <w:tcPr>
            <w:tcW w:w="1134" w:type="dxa"/>
            <w:shd w:val="clear" w:color="auto" w:fill="auto"/>
            <w:hideMark/>
          </w:tcPr>
          <w:p w:rsidR="005C716C" w:rsidRPr="007C51D6" w:rsidRDefault="005C716C" w:rsidP="005C716C">
            <w:pPr>
              <w:autoSpaceDE/>
              <w:autoSpaceDN/>
              <w:adjustRightInd/>
              <w:jc w:val="center"/>
              <w:rPr>
                <w:color w:val="000000"/>
                <w:sz w:val="20"/>
                <w:szCs w:val="20"/>
              </w:rPr>
            </w:pPr>
            <w:r w:rsidRPr="007C51D6">
              <w:rPr>
                <w:color w:val="000000"/>
                <w:sz w:val="20"/>
                <w:szCs w:val="20"/>
              </w:rPr>
              <w:t>404,87</w:t>
            </w:r>
          </w:p>
        </w:tc>
        <w:tc>
          <w:tcPr>
            <w:tcW w:w="1134" w:type="dxa"/>
            <w:shd w:val="clear" w:color="auto" w:fill="auto"/>
            <w:hideMark/>
          </w:tcPr>
          <w:p w:rsidR="005C716C" w:rsidRPr="007C51D6" w:rsidRDefault="005C716C" w:rsidP="005C716C">
            <w:pPr>
              <w:autoSpaceDE/>
              <w:autoSpaceDN/>
              <w:adjustRightInd/>
              <w:jc w:val="center"/>
              <w:rPr>
                <w:color w:val="000000"/>
                <w:sz w:val="20"/>
                <w:szCs w:val="20"/>
              </w:rPr>
            </w:pPr>
            <w:r w:rsidRPr="007C51D6">
              <w:rPr>
                <w:color w:val="000000"/>
                <w:sz w:val="20"/>
                <w:szCs w:val="20"/>
              </w:rPr>
              <w:t>403,22</w:t>
            </w:r>
          </w:p>
        </w:tc>
        <w:tc>
          <w:tcPr>
            <w:tcW w:w="1276" w:type="dxa"/>
          </w:tcPr>
          <w:p w:rsidR="005C716C" w:rsidRPr="007C51D6" w:rsidRDefault="005C716C" w:rsidP="005C716C">
            <w:pPr>
              <w:autoSpaceDE/>
              <w:autoSpaceDN/>
              <w:adjustRightInd/>
              <w:jc w:val="center"/>
              <w:rPr>
                <w:color w:val="000000"/>
                <w:sz w:val="20"/>
                <w:szCs w:val="20"/>
              </w:rPr>
            </w:pPr>
            <w:r w:rsidRPr="007C51D6">
              <w:rPr>
                <w:color w:val="000000"/>
                <w:sz w:val="20"/>
                <w:szCs w:val="20"/>
              </w:rPr>
              <w:t>476,75</w:t>
            </w:r>
          </w:p>
        </w:tc>
        <w:tc>
          <w:tcPr>
            <w:tcW w:w="1134" w:type="dxa"/>
          </w:tcPr>
          <w:p w:rsidR="005C716C" w:rsidRPr="007C51D6" w:rsidRDefault="005C716C" w:rsidP="005C716C">
            <w:pPr>
              <w:autoSpaceDE/>
              <w:autoSpaceDN/>
              <w:adjustRightInd/>
              <w:jc w:val="center"/>
              <w:rPr>
                <w:color w:val="000000"/>
                <w:sz w:val="20"/>
                <w:szCs w:val="20"/>
              </w:rPr>
            </w:pPr>
            <w:r w:rsidRPr="007C51D6">
              <w:rPr>
                <w:color w:val="000000"/>
                <w:sz w:val="20"/>
                <w:szCs w:val="20"/>
              </w:rPr>
              <w:t>459,56</w:t>
            </w:r>
          </w:p>
        </w:tc>
        <w:tc>
          <w:tcPr>
            <w:tcW w:w="1399" w:type="dxa"/>
            <w:vAlign w:val="center"/>
          </w:tcPr>
          <w:p w:rsidR="005C716C" w:rsidRPr="007C51D6" w:rsidRDefault="005C716C" w:rsidP="005C716C">
            <w:pPr>
              <w:widowControl/>
              <w:autoSpaceDE/>
              <w:autoSpaceDN/>
              <w:adjustRightInd/>
              <w:jc w:val="center"/>
              <w:rPr>
                <w:color w:val="000000"/>
                <w:sz w:val="20"/>
                <w:szCs w:val="20"/>
              </w:rPr>
            </w:pPr>
            <w:r w:rsidRPr="007C51D6">
              <w:rPr>
                <w:color w:val="000000"/>
                <w:sz w:val="20"/>
                <w:szCs w:val="20"/>
              </w:rPr>
              <w:t>502,62</w:t>
            </w:r>
          </w:p>
        </w:tc>
        <w:tc>
          <w:tcPr>
            <w:tcW w:w="1276" w:type="dxa"/>
            <w:vAlign w:val="center"/>
          </w:tcPr>
          <w:p w:rsidR="005C716C" w:rsidRPr="007C51D6" w:rsidRDefault="005C716C" w:rsidP="005C716C">
            <w:pPr>
              <w:jc w:val="center"/>
              <w:rPr>
                <w:color w:val="000000"/>
                <w:sz w:val="20"/>
                <w:szCs w:val="20"/>
              </w:rPr>
            </w:pPr>
            <w:r w:rsidRPr="007C51D6">
              <w:rPr>
                <w:color w:val="000000"/>
                <w:sz w:val="20"/>
                <w:szCs w:val="20"/>
              </w:rPr>
              <w:t>497.06</w:t>
            </w:r>
          </w:p>
        </w:tc>
        <w:tc>
          <w:tcPr>
            <w:tcW w:w="1276" w:type="dxa"/>
            <w:vAlign w:val="center"/>
          </w:tcPr>
          <w:p w:rsidR="005C716C" w:rsidRPr="007C51D6" w:rsidRDefault="005C716C" w:rsidP="005C716C">
            <w:pPr>
              <w:jc w:val="center"/>
              <w:rPr>
                <w:sz w:val="20"/>
                <w:szCs w:val="20"/>
              </w:rPr>
            </w:pPr>
            <w:r w:rsidRPr="007C51D6">
              <w:rPr>
                <w:sz w:val="20"/>
                <w:szCs w:val="20"/>
              </w:rPr>
              <w:t>552.42</w:t>
            </w:r>
          </w:p>
        </w:tc>
      </w:tr>
      <w:tr w:rsidR="00871EE7" w:rsidRPr="007C51D6" w:rsidTr="00871EE7">
        <w:tblPrEx>
          <w:tblBorders>
            <w:bottom w:val="single" w:sz="4" w:space="0" w:color="auto"/>
          </w:tblBorders>
          <w:tblCellMar>
            <w:top w:w="28" w:type="dxa"/>
            <w:bottom w:w="28" w:type="dxa"/>
          </w:tblCellMar>
        </w:tblPrEx>
        <w:trPr>
          <w:trHeight w:val="227"/>
        </w:trPr>
        <w:tc>
          <w:tcPr>
            <w:tcW w:w="3255" w:type="dxa"/>
            <w:shd w:val="clear" w:color="auto" w:fill="auto"/>
          </w:tcPr>
          <w:p w:rsidR="00871EE7" w:rsidRPr="007C51D6" w:rsidRDefault="00871EE7" w:rsidP="00871EE7">
            <w:pPr>
              <w:autoSpaceDE/>
              <w:autoSpaceDN/>
              <w:adjustRightInd/>
              <w:jc w:val="center"/>
              <w:rPr>
                <w:color w:val="000000"/>
                <w:sz w:val="20"/>
                <w:szCs w:val="20"/>
              </w:rPr>
            </w:pPr>
            <w:r w:rsidRPr="007C51D6">
              <w:rPr>
                <w:color w:val="000000"/>
                <w:sz w:val="20"/>
                <w:szCs w:val="20"/>
              </w:rPr>
              <w:lastRenderedPageBreak/>
              <w:t>1</w:t>
            </w:r>
          </w:p>
        </w:tc>
        <w:tc>
          <w:tcPr>
            <w:tcW w:w="1062" w:type="dxa"/>
            <w:shd w:val="clear" w:color="auto" w:fill="auto"/>
          </w:tcPr>
          <w:p w:rsidR="00871EE7" w:rsidRPr="007C51D6" w:rsidRDefault="00871EE7" w:rsidP="00871EE7">
            <w:pPr>
              <w:autoSpaceDE/>
              <w:autoSpaceDN/>
              <w:adjustRightInd/>
              <w:jc w:val="center"/>
              <w:rPr>
                <w:rFonts w:eastAsia="Arial"/>
                <w:sz w:val="20"/>
                <w:szCs w:val="20"/>
              </w:rPr>
            </w:pPr>
            <w:r w:rsidRPr="007C51D6">
              <w:rPr>
                <w:rFonts w:eastAsia="Arial"/>
                <w:sz w:val="20"/>
                <w:szCs w:val="20"/>
              </w:rPr>
              <w:t>2</w:t>
            </w:r>
          </w:p>
        </w:tc>
        <w:tc>
          <w:tcPr>
            <w:tcW w:w="1225" w:type="dxa"/>
            <w:shd w:val="clear" w:color="auto" w:fill="auto"/>
          </w:tcPr>
          <w:p w:rsidR="00871EE7" w:rsidRPr="007C51D6" w:rsidRDefault="00871EE7" w:rsidP="00871EE7">
            <w:pPr>
              <w:autoSpaceDE/>
              <w:autoSpaceDN/>
              <w:adjustRightInd/>
              <w:jc w:val="center"/>
              <w:rPr>
                <w:rFonts w:eastAsia="Arial"/>
                <w:sz w:val="20"/>
                <w:szCs w:val="20"/>
              </w:rPr>
            </w:pPr>
            <w:r w:rsidRPr="007C51D6">
              <w:rPr>
                <w:rFonts w:eastAsia="Arial"/>
                <w:sz w:val="20"/>
                <w:szCs w:val="20"/>
              </w:rPr>
              <w:t>3</w:t>
            </w:r>
          </w:p>
        </w:tc>
        <w:tc>
          <w:tcPr>
            <w:tcW w:w="992" w:type="dxa"/>
            <w:shd w:val="clear" w:color="auto" w:fill="auto"/>
          </w:tcPr>
          <w:p w:rsidR="00871EE7" w:rsidRPr="007C51D6" w:rsidRDefault="00871EE7" w:rsidP="00871EE7">
            <w:pPr>
              <w:autoSpaceDE/>
              <w:autoSpaceDN/>
              <w:adjustRightInd/>
              <w:jc w:val="center"/>
              <w:rPr>
                <w:rFonts w:eastAsia="Arial"/>
                <w:sz w:val="20"/>
                <w:szCs w:val="20"/>
              </w:rPr>
            </w:pPr>
            <w:r w:rsidRPr="007C51D6">
              <w:rPr>
                <w:rFonts w:eastAsia="Arial"/>
                <w:sz w:val="20"/>
                <w:szCs w:val="20"/>
              </w:rPr>
              <w:t>4</w:t>
            </w:r>
          </w:p>
        </w:tc>
        <w:tc>
          <w:tcPr>
            <w:tcW w:w="1134" w:type="dxa"/>
            <w:shd w:val="clear" w:color="auto" w:fill="auto"/>
          </w:tcPr>
          <w:p w:rsidR="00871EE7" w:rsidRPr="007C51D6" w:rsidRDefault="00871EE7" w:rsidP="00871EE7">
            <w:pPr>
              <w:autoSpaceDE/>
              <w:autoSpaceDN/>
              <w:adjustRightInd/>
              <w:jc w:val="center"/>
              <w:rPr>
                <w:rFonts w:eastAsia="Arial"/>
                <w:sz w:val="20"/>
                <w:szCs w:val="20"/>
              </w:rPr>
            </w:pPr>
            <w:r w:rsidRPr="007C51D6">
              <w:rPr>
                <w:rFonts w:eastAsia="Arial"/>
                <w:sz w:val="20"/>
                <w:szCs w:val="20"/>
              </w:rPr>
              <w:t>5</w:t>
            </w:r>
          </w:p>
        </w:tc>
        <w:tc>
          <w:tcPr>
            <w:tcW w:w="1134" w:type="dxa"/>
            <w:shd w:val="clear" w:color="auto" w:fill="auto"/>
          </w:tcPr>
          <w:p w:rsidR="00871EE7" w:rsidRPr="007C51D6" w:rsidRDefault="00871EE7" w:rsidP="00871EE7">
            <w:pPr>
              <w:autoSpaceDE/>
              <w:autoSpaceDN/>
              <w:adjustRightInd/>
              <w:jc w:val="center"/>
              <w:rPr>
                <w:rFonts w:eastAsia="Arial"/>
                <w:sz w:val="20"/>
                <w:szCs w:val="20"/>
              </w:rPr>
            </w:pPr>
            <w:r w:rsidRPr="007C51D6">
              <w:rPr>
                <w:rFonts w:eastAsia="Arial"/>
                <w:sz w:val="20"/>
                <w:szCs w:val="20"/>
              </w:rPr>
              <w:t>6</w:t>
            </w:r>
          </w:p>
        </w:tc>
        <w:tc>
          <w:tcPr>
            <w:tcW w:w="1276" w:type="dxa"/>
          </w:tcPr>
          <w:p w:rsidR="00871EE7" w:rsidRPr="007C51D6" w:rsidRDefault="00871EE7" w:rsidP="00871EE7">
            <w:pPr>
              <w:autoSpaceDE/>
              <w:autoSpaceDN/>
              <w:adjustRightInd/>
              <w:jc w:val="center"/>
              <w:rPr>
                <w:rFonts w:eastAsia="Arial"/>
                <w:sz w:val="20"/>
                <w:szCs w:val="20"/>
              </w:rPr>
            </w:pPr>
            <w:r w:rsidRPr="007C51D6">
              <w:rPr>
                <w:rFonts w:eastAsia="Arial"/>
                <w:sz w:val="20"/>
                <w:szCs w:val="20"/>
              </w:rPr>
              <w:t>7</w:t>
            </w:r>
          </w:p>
        </w:tc>
        <w:tc>
          <w:tcPr>
            <w:tcW w:w="1134" w:type="dxa"/>
          </w:tcPr>
          <w:p w:rsidR="00871EE7" w:rsidRPr="007C51D6" w:rsidRDefault="00871EE7" w:rsidP="00871EE7">
            <w:pPr>
              <w:autoSpaceDE/>
              <w:autoSpaceDN/>
              <w:adjustRightInd/>
              <w:jc w:val="center"/>
              <w:rPr>
                <w:rFonts w:eastAsia="Arial"/>
                <w:sz w:val="20"/>
                <w:szCs w:val="20"/>
              </w:rPr>
            </w:pPr>
            <w:r w:rsidRPr="007C51D6">
              <w:rPr>
                <w:rFonts w:eastAsia="Arial"/>
                <w:sz w:val="20"/>
                <w:szCs w:val="20"/>
              </w:rPr>
              <w:t>8</w:t>
            </w:r>
          </w:p>
        </w:tc>
        <w:tc>
          <w:tcPr>
            <w:tcW w:w="1399" w:type="dxa"/>
          </w:tcPr>
          <w:p w:rsidR="00871EE7" w:rsidRPr="007C51D6" w:rsidRDefault="00871EE7" w:rsidP="00871EE7">
            <w:pPr>
              <w:autoSpaceDE/>
              <w:autoSpaceDN/>
              <w:adjustRightInd/>
              <w:jc w:val="center"/>
              <w:rPr>
                <w:rFonts w:eastAsia="Arial"/>
                <w:sz w:val="20"/>
                <w:szCs w:val="20"/>
              </w:rPr>
            </w:pPr>
            <w:r w:rsidRPr="007C51D6">
              <w:rPr>
                <w:rFonts w:eastAsia="Arial"/>
                <w:sz w:val="20"/>
                <w:szCs w:val="20"/>
              </w:rPr>
              <w:t>9</w:t>
            </w:r>
          </w:p>
        </w:tc>
        <w:tc>
          <w:tcPr>
            <w:tcW w:w="1276" w:type="dxa"/>
          </w:tcPr>
          <w:p w:rsidR="00871EE7" w:rsidRPr="007C51D6" w:rsidRDefault="00871EE7" w:rsidP="00871EE7">
            <w:pPr>
              <w:autoSpaceDE/>
              <w:autoSpaceDN/>
              <w:adjustRightInd/>
              <w:jc w:val="center"/>
              <w:rPr>
                <w:rFonts w:eastAsia="Arial"/>
                <w:sz w:val="20"/>
                <w:szCs w:val="20"/>
              </w:rPr>
            </w:pPr>
            <w:r w:rsidRPr="007C51D6">
              <w:rPr>
                <w:rFonts w:eastAsia="Arial"/>
                <w:sz w:val="20"/>
                <w:szCs w:val="20"/>
              </w:rPr>
              <w:t>10</w:t>
            </w:r>
          </w:p>
        </w:tc>
        <w:tc>
          <w:tcPr>
            <w:tcW w:w="1276" w:type="dxa"/>
          </w:tcPr>
          <w:p w:rsidR="00871EE7" w:rsidRPr="007C51D6" w:rsidRDefault="00871EE7" w:rsidP="00871EE7">
            <w:pPr>
              <w:autoSpaceDE/>
              <w:autoSpaceDN/>
              <w:adjustRightInd/>
              <w:jc w:val="center"/>
              <w:rPr>
                <w:rFonts w:eastAsia="Arial"/>
                <w:sz w:val="20"/>
                <w:szCs w:val="20"/>
              </w:rPr>
            </w:pPr>
            <w:r w:rsidRPr="007C51D6">
              <w:rPr>
                <w:rFonts w:eastAsia="Arial"/>
                <w:sz w:val="20"/>
                <w:szCs w:val="20"/>
              </w:rPr>
              <w:t>11</w:t>
            </w:r>
          </w:p>
        </w:tc>
      </w:tr>
      <w:tr w:rsidR="00871EE7" w:rsidRPr="007C51D6" w:rsidTr="0038114E">
        <w:tblPrEx>
          <w:tblBorders>
            <w:bottom w:val="single" w:sz="4" w:space="0" w:color="auto"/>
          </w:tblBorders>
          <w:tblCellMar>
            <w:top w:w="28" w:type="dxa"/>
            <w:bottom w:w="28" w:type="dxa"/>
          </w:tblCellMar>
        </w:tblPrEx>
        <w:trPr>
          <w:trHeight w:val="227"/>
        </w:trPr>
        <w:tc>
          <w:tcPr>
            <w:tcW w:w="3255" w:type="dxa"/>
            <w:shd w:val="clear" w:color="auto" w:fill="auto"/>
            <w:hideMark/>
          </w:tcPr>
          <w:p w:rsidR="00871EE7" w:rsidRPr="007C51D6" w:rsidRDefault="00871EE7" w:rsidP="00871EE7">
            <w:pPr>
              <w:autoSpaceDE/>
              <w:autoSpaceDN/>
              <w:adjustRightInd/>
              <w:rPr>
                <w:color w:val="000000"/>
                <w:sz w:val="20"/>
                <w:szCs w:val="20"/>
              </w:rPr>
            </w:pPr>
            <w:r w:rsidRPr="007C51D6">
              <w:rPr>
                <w:color w:val="000000"/>
                <w:sz w:val="20"/>
                <w:szCs w:val="20"/>
              </w:rPr>
              <w:t>Кайбицкий</w:t>
            </w:r>
          </w:p>
        </w:tc>
        <w:tc>
          <w:tcPr>
            <w:tcW w:w="1062" w:type="dxa"/>
            <w:shd w:val="clear" w:color="auto" w:fill="auto"/>
            <w:hideMark/>
          </w:tcPr>
          <w:p w:rsidR="00871EE7" w:rsidRPr="007C51D6" w:rsidRDefault="00871EE7" w:rsidP="00871EE7">
            <w:pPr>
              <w:autoSpaceDE/>
              <w:autoSpaceDN/>
              <w:adjustRightInd/>
              <w:jc w:val="center"/>
              <w:rPr>
                <w:color w:val="000000"/>
                <w:sz w:val="20"/>
                <w:szCs w:val="20"/>
              </w:rPr>
            </w:pPr>
            <w:r w:rsidRPr="007C51D6">
              <w:rPr>
                <w:color w:val="000000"/>
                <w:sz w:val="20"/>
                <w:szCs w:val="20"/>
              </w:rPr>
              <w:t>457,46</w:t>
            </w:r>
          </w:p>
        </w:tc>
        <w:tc>
          <w:tcPr>
            <w:tcW w:w="1225" w:type="dxa"/>
            <w:shd w:val="clear" w:color="auto" w:fill="auto"/>
            <w:hideMark/>
          </w:tcPr>
          <w:p w:rsidR="00871EE7" w:rsidRPr="007C51D6" w:rsidRDefault="00871EE7" w:rsidP="00871EE7">
            <w:pPr>
              <w:autoSpaceDE/>
              <w:autoSpaceDN/>
              <w:adjustRightInd/>
              <w:jc w:val="center"/>
              <w:rPr>
                <w:color w:val="000000"/>
                <w:sz w:val="20"/>
                <w:szCs w:val="20"/>
              </w:rPr>
            </w:pPr>
            <w:r w:rsidRPr="007C51D6">
              <w:rPr>
                <w:color w:val="000000"/>
                <w:sz w:val="20"/>
                <w:szCs w:val="20"/>
              </w:rPr>
              <w:t>434,29</w:t>
            </w:r>
          </w:p>
        </w:tc>
        <w:tc>
          <w:tcPr>
            <w:tcW w:w="992" w:type="dxa"/>
            <w:shd w:val="clear" w:color="auto" w:fill="auto"/>
            <w:hideMark/>
          </w:tcPr>
          <w:p w:rsidR="00871EE7" w:rsidRPr="007C51D6" w:rsidRDefault="00871EE7" w:rsidP="00871EE7">
            <w:pPr>
              <w:autoSpaceDE/>
              <w:autoSpaceDN/>
              <w:adjustRightInd/>
              <w:jc w:val="center"/>
              <w:rPr>
                <w:color w:val="000000"/>
                <w:sz w:val="20"/>
                <w:szCs w:val="20"/>
              </w:rPr>
            </w:pPr>
            <w:r w:rsidRPr="007C51D6">
              <w:rPr>
                <w:color w:val="000000"/>
                <w:sz w:val="20"/>
                <w:szCs w:val="20"/>
              </w:rPr>
              <w:t>398,69</w:t>
            </w:r>
          </w:p>
        </w:tc>
        <w:tc>
          <w:tcPr>
            <w:tcW w:w="1134" w:type="dxa"/>
            <w:shd w:val="clear" w:color="auto" w:fill="auto"/>
            <w:hideMark/>
          </w:tcPr>
          <w:p w:rsidR="00871EE7" w:rsidRPr="007C51D6" w:rsidRDefault="00871EE7" w:rsidP="00871EE7">
            <w:pPr>
              <w:autoSpaceDE/>
              <w:autoSpaceDN/>
              <w:adjustRightInd/>
              <w:jc w:val="center"/>
              <w:rPr>
                <w:color w:val="000000"/>
                <w:sz w:val="20"/>
                <w:szCs w:val="20"/>
              </w:rPr>
            </w:pPr>
            <w:r w:rsidRPr="007C51D6">
              <w:rPr>
                <w:color w:val="000000"/>
                <w:sz w:val="20"/>
                <w:szCs w:val="20"/>
              </w:rPr>
              <w:t>360,28</w:t>
            </w:r>
          </w:p>
        </w:tc>
        <w:tc>
          <w:tcPr>
            <w:tcW w:w="1134" w:type="dxa"/>
            <w:shd w:val="clear" w:color="auto" w:fill="auto"/>
            <w:hideMark/>
          </w:tcPr>
          <w:p w:rsidR="00871EE7" w:rsidRPr="007C51D6" w:rsidRDefault="00871EE7" w:rsidP="00871EE7">
            <w:pPr>
              <w:autoSpaceDE/>
              <w:autoSpaceDN/>
              <w:adjustRightInd/>
              <w:jc w:val="center"/>
              <w:rPr>
                <w:color w:val="000000"/>
                <w:sz w:val="20"/>
                <w:szCs w:val="20"/>
              </w:rPr>
            </w:pPr>
            <w:r w:rsidRPr="007C51D6">
              <w:rPr>
                <w:color w:val="000000"/>
                <w:sz w:val="20"/>
                <w:szCs w:val="20"/>
              </w:rPr>
              <w:t>320,54</w:t>
            </w:r>
          </w:p>
        </w:tc>
        <w:tc>
          <w:tcPr>
            <w:tcW w:w="1276" w:type="dxa"/>
          </w:tcPr>
          <w:p w:rsidR="00871EE7" w:rsidRPr="007C51D6" w:rsidRDefault="00871EE7" w:rsidP="00871EE7">
            <w:pPr>
              <w:autoSpaceDE/>
              <w:autoSpaceDN/>
              <w:adjustRightInd/>
              <w:jc w:val="center"/>
              <w:rPr>
                <w:color w:val="000000"/>
                <w:sz w:val="20"/>
                <w:szCs w:val="20"/>
              </w:rPr>
            </w:pPr>
            <w:r w:rsidRPr="007C51D6">
              <w:rPr>
                <w:color w:val="000000"/>
                <w:sz w:val="20"/>
                <w:szCs w:val="20"/>
              </w:rPr>
              <w:t>409,99</w:t>
            </w:r>
          </w:p>
        </w:tc>
        <w:tc>
          <w:tcPr>
            <w:tcW w:w="1134" w:type="dxa"/>
          </w:tcPr>
          <w:p w:rsidR="00871EE7" w:rsidRPr="007C51D6" w:rsidRDefault="00871EE7" w:rsidP="00871EE7">
            <w:pPr>
              <w:autoSpaceDE/>
              <w:autoSpaceDN/>
              <w:adjustRightInd/>
              <w:jc w:val="center"/>
              <w:rPr>
                <w:color w:val="000000"/>
                <w:sz w:val="20"/>
                <w:szCs w:val="20"/>
              </w:rPr>
            </w:pPr>
            <w:r w:rsidRPr="007C51D6">
              <w:rPr>
                <w:color w:val="000000"/>
                <w:sz w:val="20"/>
                <w:szCs w:val="20"/>
              </w:rPr>
              <w:t>382,00</w:t>
            </w:r>
          </w:p>
        </w:tc>
        <w:tc>
          <w:tcPr>
            <w:tcW w:w="1399" w:type="dxa"/>
            <w:vAlign w:val="center"/>
          </w:tcPr>
          <w:p w:rsidR="00871EE7" w:rsidRPr="007C51D6" w:rsidRDefault="00871EE7" w:rsidP="00871EE7">
            <w:pPr>
              <w:jc w:val="center"/>
              <w:rPr>
                <w:color w:val="000000"/>
                <w:sz w:val="20"/>
                <w:szCs w:val="20"/>
              </w:rPr>
            </w:pPr>
            <w:r w:rsidRPr="007C51D6">
              <w:rPr>
                <w:color w:val="000000"/>
                <w:sz w:val="20"/>
                <w:szCs w:val="20"/>
              </w:rPr>
              <w:t>507,05</w:t>
            </w:r>
          </w:p>
        </w:tc>
        <w:tc>
          <w:tcPr>
            <w:tcW w:w="1276" w:type="dxa"/>
            <w:vAlign w:val="center"/>
          </w:tcPr>
          <w:p w:rsidR="00871EE7" w:rsidRPr="007C51D6" w:rsidRDefault="00871EE7" w:rsidP="00871EE7">
            <w:pPr>
              <w:jc w:val="center"/>
              <w:rPr>
                <w:color w:val="000000"/>
                <w:sz w:val="20"/>
                <w:szCs w:val="20"/>
              </w:rPr>
            </w:pPr>
            <w:r w:rsidRPr="007C51D6">
              <w:rPr>
                <w:color w:val="000000"/>
                <w:sz w:val="20"/>
                <w:szCs w:val="20"/>
              </w:rPr>
              <w:t>491.02</w:t>
            </w:r>
          </w:p>
        </w:tc>
        <w:tc>
          <w:tcPr>
            <w:tcW w:w="1276" w:type="dxa"/>
            <w:vAlign w:val="center"/>
          </w:tcPr>
          <w:p w:rsidR="00871EE7" w:rsidRPr="007C51D6" w:rsidRDefault="00871EE7" w:rsidP="00871EE7">
            <w:pPr>
              <w:jc w:val="center"/>
              <w:rPr>
                <w:sz w:val="20"/>
                <w:szCs w:val="20"/>
              </w:rPr>
            </w:pPr>
            <w:r w:rsidRPr="007C51D6">
              <w:rPr>
                <w:sz w:val="20"/>
                <w:szCs w:val="20"/>
              </w:rPr>
              <w:t>442.73</w:t>
            </w:r>
          </w:p>
        </w:tc>
      </w:tr>
      <w:tr w:rsidR="00871EE7" w:rsidRPr="007C51D6" w:rsidTr="0038114E">
        <w:tblPrEx>
          <w:tblBorders>
            <w:bottom w:val="single" w:sz="4" w:space="0" w:color="auto"/>
          </w:tblBorders>
          <w:tblCellMar>
            <w:top w:w="28" w:type="dxa"/>
            <w:bottom w:w="28" w:type="dxa"/>
          </w:tblCellMar>
        </w:tblPrEx>
        <w:trPr>
          <w:trHeight w:val="227"/>
        </w:trPr>
        <w:tc>
          <w:tcPr>
            <w:tcW w:w="3255" w:type="dxa"/>
            <w:shd w:val="clear" w:color="auto" w:fill="auto"/>
            <w:hideMark/>
          </w:tcPr>
          <w:p w:rsidR="00871EE7" w:rsidRPr="007C51D6" w:rsidRDefault="00871EE7" w:rsidP="00871EE7">
            <w:pPr>
              <w:autoSpaceDE/>
              <w:autoSpaceDN/>
              <w:adjustRightInd/>
              <w:rPr>
                <w:color w:val="000000"/>
                <w:sz w:val="20"/>
                <w:szCs w:val="20"/>
              </w:rPr>
            </w:pPr>
            <w:r w:rsidRPr="007C51D6">
              <w:rPr>
                <w:color w:val="000000"/>
                <w:sz w:val="20"/>
                <w:szCs w:val="20"/>
              </w:rPr>
              <w:t>Камско-Устьинский</w:t>
            </w:r>
          </w:p>
        </w:tc>
        <w:tc>
          <w:tcPr>
            <w:tcW w:w="1062" w:type="dxa"/>
            <w:shd w:val="clear" w:color="auto" w:fill="auto"/>
            <w:hideMark/>
          </w:tcPr>
          <w:p w:rsidR="00871EE7" w:rsidRPr="007C51D6" w:rsidRDefault="00871EE7" w:rsidP="00871EE7">
            <w:pPr>
              <w:autoSpaceDE/>
              <w:autoSpaceDN/>
              <w:adjustRightInd/>
              <w:jc w:val="center"/>
              <w:rPr>
                <w:color w:val="000000"/>
                <w:sz w:val="20"/>
                <w:szCs w:val="20"/>
              </w:rPr>
            </w:pPr>
            <w:r w:rsidRPr="007C51D6">
              <w:rPr>
                <w:color w:val="000000"/>
                <w:sz w:val="20"/>
                <w:szCs w:val="20"/>
              </w:rPr>
              <w:t>484,32</w:t>
            </w:r>
          </w:p>
        </w:tc>
        <w:tc>
          <w:tcPr>
            <w:tcW w:w="1225" w:type="dxa"/>
            <w:shd w:val="clear" w:color="auto" w:fill="auto"/>
            <w:hideMark/>
          </w:tcPr>
          <w:p w:rsidR="00871EE7" w:rsidRPr="007C51D6" w:rsidRDefault="00871EE7" w:rsidP="00871EE7">
            <w:pPr>
              <w:autoSpaceDE/>
              <w:autoSpaceDN/>
              <w:adjustRightInd/>
              <w:jc w:val="center"/>
              <w:rPr>
                <w:color w:val="000000"/>
                <w:sz w:val="20"/>
                <w:szCs w:val="20"/>
              </w:rPr>
            </w:pPr>
            <w:r w:rsidRPr="007C51D6">
              <w:rPr>
                <w:color w:val="000000"/>
                <w:sz w:val="20"/>
                <w:szCs w:val="20"/>
              </w:rPr>
              <w:t>434,30</w:t>
            </w:r>
          </w:p>
        </w:tc>
        <w:tc>
          <w:tcPr>
            <w:tcW w:w="992" w:type="dxa"/>
            <w:shd w:val="clear" w:color="auto" w:fill="auto"/>
            <w:hideMark/>
          </w:tcPr>
          <w:p w:rsidR="00871EE7" w:rsidRPr="007C51D6" w:rsidRDefault="00871EE7" w:rsidP="00871EE7">
            <w:pPr>
              <w:autoSpaceDE/>
              <w:autoSpaceDN/>
              <w:adjustRightInd/>
              <w:jc w:val="center"/>
              <w:rPr>
                <w:color w:val="000000"/>
                <w:sz w:val="20"/>
                <w:szCs w:val="20"/>
              </w:rPr>
            </w:pPr>
            <w:r w:rsidRPr="007C51D6">
              <w:rPr>
                <w:color w:val="000000"/>
                <w:sz w:val="20"/>
                <w:szCs w:val="20"/>
              </w:rPr>
              <w:t>570,43</w:t>
            </w:r>
          </w:p>
        </w:tc>
        <w:tc>
          <w:tcPr>
            <w:tcW w:w="1134" w:type="dxa"/>
            <w:shd w:val="clear" w:color="auto" w:fill="auto"/>
            <w:hideMark/>
          </w:tcPr>
          <w:p w:rsidR="00871EE7" w:rsidRPr="007C51D6" w:rsidRDefault="00871EE7" w:rsidP="00871EE7">
            <w:pPr>
              <w:autoSpaceDE/>
              <w:autoSpaceDN/>
              <w:adjustRightInd/>
              <w:jc w:val="center"/>
              <w:rPr>
                <w:color w:val="000000"/>
                <w:sz w:val="20"/>
                <w:szCs w:val="20"/>
              </w:rPr>
            </w:pPr>
            <w:r w:rsidRPr="007C51D6">
              <w:rPr>
                <w:color w:val="000000"/>
                <w:sz w:val="20"/>
                <w:szCs w:val="20"/>
              </w:rPr>
              <w:t>461,83</w:t>
            </w:r>
          </w:p>
        </w:tc>
        <w:tc>
          <w:tcPr>
            <w:tcW w:w="1134" w:type="dxa"/>
            <w:shd w:val="clear" w:color="auto" w:fill="auto"/>
            <w:hideMark/>
          </w:tcPr>
          <w:p w:rsidR="00871EE7" w:rsidRPr="007C51D6" w:rsidRDefault="00871EE7" w:rsidP="00871EE7">
            <w:pPr>
              <w:autoSpaceDE/>
              <w:autoSpaceDN/>
              <w:adjustRightInd/>
              <w:jc w:val="center"/>
              <w:rPr>
                <w:color w:val="000000"/>
                <w:sz w:val="20"/>
                <w:szCs w:val="20"/>
              </w:rPr>
            </w:pPr>
            <w:r w:rsidRPr="007C51D6">
              <w:rPr>
                <w:color w:val="000000"/>
                <w:sz w:val="20"/>
                <w:szCs w:val="20"/>
              </w:rPr>
              <w:t>386,52</w:t>
            </w:r>
          </w:p>
        </w:tc>
        <w:tc>
          <w:tcPr>
            <w:tcW w:w="1276" w:type="dxa"/>
          </w:tcPr>
          <w:p w:rsidR="00871EE7" w:rsidRPr="007C51D6" w:rsidRDefault="00871EE7" w:rsidP="00871EE7">
            <w:pPr>
              <w:autoSpaceDE/>
              <w:autoSpaceDN/>
              <w:adjustRightInd/>
              <w:jc w:val="center"/>
              <w:rPr>
                <w:color w:val="000000"/>
                <w:sz w:val="20"/>
                <w:szCs w:val="20"/>
              </w:rPr>
            </w:pPr>
            <w:r w:rsidRPr="007C51D6">
              <w:rPr>
                <w:color w:val="000000"/>
                <w:sz w:val="20"/>
                <w:szCs w:val="20"/>
              </w:rPr>
              <w:t>379,74</w:t>
            </w:r>
          </w:p>
        </w:tc>
        <w:tc>
          <w:tcPr>
            <w:tcW w:w="1134" w:type="dxa"/>
          </w:tcPr>
          <w:p w:rsidR="00871EE7" w:rsidRPr="007C51D6" w:rsidRDefault="00871EE7" w:rsidP="00871EE7">
            <w:pPr>
              <w:autoSpaceDE/>
              <w:autoSpaceDN/>
              <w:adjustRightInd/>
              <w:jc w:val="center"/>
              <w:rPr>
                <w:color w:val="000000"/>
                <w:sz w:val="20"/>
                <w:szCs w:val="20"/>
              </w:rPr>
            </w:pPr>
            <w:r w:rsidRPr="007C51D6">
              <w:rPr>
                <w:color w:val="000000"/>
                <w:sz w:val="20"/>
                <w:szCs w:val="20"/>
              </w:rPr>
              <w:t>412,17</w:t>
            </w:r>
          </w:p>
        </w:tc>
        <w:tc>
          <w:tcPr>
            <w:tcW w:w="1399" w:type="dxa"/>
            <w:vAlign w:val="center"/>
          </w:tcPr>
          <w:p w:rsidR="00871EE7" w:rsidRPr="007C51D6" w:rsidRDefault="00871EE7" w:rsidP="00871EE7">
            <w:pPr>
              <w:jc w:val="center"/>
              <w:rPr>
                <w:color w:val="000000"/>
                <w:sz w:val="20"/>
                <w:szCs w:val="20"/>
              </w:rPr>
            </w:pPr>
            <w:r w:rsidRPr="007C51D6">
              <w:rPr>
                <w:color w:val="000000"/>
                <w:sz w:val="20"/>
                <w:szCs w:val="20"/>
              </w:rPr>
              <w:t>503,32</w:t>
            </w:r>
          </w:p>
        </w:tc>
        <w:tc>
          <w:tcPr>
            <w:tcW w:w="1276" w:type="dxa"/>
            <w:vAlign w:val="center"/>
          </w:tcPr>
          <w:p w:rsidR="00871EE7" w:rsidRPr="007C51D6" w:rsidRDefault="00871EE7" w:rsidP="00871EE7">
            <w:pPr>
              <w:jc w:val="center"/>
              <w:rPr>
                <w:color w:val="000000"/>
                <w:sz w:val="20"/>
                <w:szCs w:val="20"/>
              </w:rPr>
            </w:pPr>
            <w:r w:rsidRPr="007C51D6">
              <w:rPr>
                <w:color w:val="000000"/>
                <w:sz w:val="20"/>
                <w:szCs w:val="20"/>
              </w:rPr>
              <w:t>558.03</w:t>
            </w:r>
          </w:p>
        </w:tc>
        <w:tc>
          <w:tcPr>
            <w:tcW w:w="1276" w:type="dxa"/>
            <w:vAlign w:val="center"/>
          </w:tcPr>
          <w:p w:rsidR="00871EE7" w:rsidRPr="007C51D6" w:rsidRDefault="00871EE7" w:rsidP="00871EE7">
            <w:pPr>
              <w:jc w:val="center"/>
              <w:rPr>
                <w:sz w:val="20"/>
                <w:szCs w:val="20"/>
              </w:rPr>
            </w:pPr>
            <w:r w:rsidRPr="007C51D6">
              <w:rPr>
                <w:sz w:val="20"/>
                <w:szCs w:val="20"/>
              </w:rPr>
              <w:t>543.90</w:t>
            </w:r>
          </w:p>
        </w:tc>
      </w:tr>
      <w:tr w:rsidR="00871EE7" w:rsidRPr="007C51D6" w:rsidTr="0038114E">
        <w:tblPrEx>
          <w:tblBorders>
            <w:bottom w:val="single" w:sz="4" w:space="0" w:color="auto"/>
          </w:tblBorders>
          <w:tblCellMar>
            <w:top w:w="28" w:type="dxa"/>
            <w:bottom w:w="28" w:type="dxa"/>
          </w:tblCellMar>
        </w:tblPrEx>
        <w:trPr>
          <w:trHeight w:val="227"/>
        </w:trPr>
        <w:tc>
          <w:tcPr>
            <w:tcW w:w="3255" w:type="dxa"/>
            <w:shd w:val="clear" w:color="auto" w:fill="auto"/>
            <w:hideMark/>
          </w:tcPr>
          <w:p w:rsidR="00871EE7" w:rsidRPr="007C51D6" w:rsidRDefault="00871EE7" w:rsidP="00871EE7">
            <w:pPr>
              <w:autoSpaceDE/>
              <w:autoSpaceDN/>
              <w:adjustRightInd/>
              <w:rPr>
                <w:color w:val="000000"/>
                <w:sz w:val="20"/>
                <w:szCs w:val="20"/>
              </w:rPr>
            </w:pPr>
            <w:r w:rsidRPr="007C51D6">
              <w:rPr>
                <w:color w:val="000000"/>
                <w:sz w:val="20"/>
                <w:szCs w:val="20"/>
              </w:rPr>
              <w:t>Кукморский</w:t>
            </w:r>
          </w:p>
        </w:tc>
        <w:tc>
          <w:tcPr>
            <w:tcW w:w="1062" w:type="dxa"/>
            <w:shd w:val="clear" w:color="auto" w:fill="auto"/>
            <w:hideMark/>
          </w:tcPr>
          <w:p w:rsidR="00871EE7" w:rsidRPr="007C51D6" w:rsidRDefault="00871EE7" w:rsidP="00871EE7">
            <w:pPr>
              <w:autoSpaceDE/>
              <w:autoSpaceDN/>
              <w:adjustRightInd/>
              <w:jc w:val="center"/>
              <w:rPr>
                <w:color w:val="000000"/>
                <w:sz w:val="20"/>
                <w:szCs w:val="20"/>
              </w:rPr>
            </w:pPr>
            <w:r w:rsidRPr="007C51D6">
              <w:rPr>
                <w:color w:val="000000"/>
                <w:sz w:val="20"/>
                <w:szCs w:val="20"/>
              </w:rPr>
              <w:t>360,49</w:t>
            </w:r>
          </w:p>
        </w:tc>
        <w:tc>
          <w:tcPr>
            <w:tcW w:w="1225" w:type="dxa"/>
            <w:shd w:val="clear" w:color="auto" w:fill="auto"/>
            <w:hideMark/>
          </w:tcPr>
          <w:p w:rsidR="00871EE7" w:rsidRPr="007C51D6" w:rsidRDefault="00871EE7" w:rsidP="00871EE7">
            <w:pPr>
              <w:autoSpaceDE/>
              <w:autoSpaceDN/>
              <w:adjustRightInd/>
              <w:jc w:val="center"/>
              <w:rPr>
                <w:color w:val="000000"/>
                <w:sz w:val="20"/>
                <w:szCs w:val="20"/>
              </w:rPr>
            </w:pPr>
            <w:r w:rsidRPr="007C51D6">
              <w:rPr>
                <w:color w:val="000000"/>
                <w:sz w:val="20"/>
                <w:szCs w:val="20"/>
              </w:rPr>
              <w:t>367,81</w:t>
            </w:r>
          </w:p>
        </w:tc>
        <w:tc>
          <w:tcPr>
            <w:tcW w:w="992" w:type="dxa"/>
            <w:shd w:val="clear" w:color="auto" w:fill="auto"/>
            <w:hideMark/>
          </w:tcPr>
          <w:p w:rsidR="00871EE7" w:rsidRPr="007C51D6" w:rsidRDefault="00871EE7" w:rsidP="00871EE7">
            <w:pPr>
              <w:autoSpaceDE/>
              <w:autoSpaceDN/>
              <w:adjustRightInd/>
              <w:jc w:val="center"/>
              <w:rPr>
                <w:color w:val="000000"/>
                <w:sz w:val="20"/>
                <w:szCs w:val="20"/>
              </w:rPr>
            </w:pPr>
            <w:r w:rsidRPr="007C51D6">
              <w:rPr>
                <w:color w:val="000000"/>
                <w:sz w:val="20"/>
                <w:szCs w:val="20"/>
              </w:rPr>
              <w:t>340,42</w:t>
            </w:r>
          </w:p>
        </w:tc>
        <w:tc>
          <w:tcPr>
            <w:tcW w:w="1134" w:type="dxa"/>
            <w:shd w:val="clear" w:color="auto" w:fill="auto"/>
            <w:hideMark/>
          </w:tcPr>
          <w:p w:rsidR="00871EE7" w:rsidRPr="007C51D6" w:rsidRDefault="00871EE7" w:rsidP="00871EE7">
            <w:pPr>
              <w:autoSpaceDE/>
              <w:autoSpaceDN/>
              <w:adjustRightInd/>
              <w:jc w:val="center"/>
              <w:rPr>
                <w:color w:val="000000"/>
                <w:sz w:val="20"/>
                <w:szCs w:val="20"/>
              </w:rPr>
            </w:pPr>
            <w:r w:rsidRPr="007C51D6">
              <w:rPr>
                <w:color w:val="000000"/>
                <w:sz w:val="20"/>
                <w:szCs w:val="20"/>
              </w:rPr>
              <w:t>284,91</w:t>
            </w:r>
          </w:p>
        </w:tc>
        <w:tc>
          <w:tcPr>
            <w:tcW w:w="1134" w:type="dxa"/>
            <w:shd w:val="clear" w:color="auto" w:fill="auto"/>
            <w:hideMark/>
          </w:tcPr>
          <w:p w:rsidR="00871EE7" w:rsidRPr="007C51D6" w:rsidRDefault="00871EE7" w:rsidP="00871EE7">
            <w:pPr>
              <w:autoSpaceDE/>
              <w:autoSpaceDN/>
              <w:adjustRightInd/>
              <w:jc w:val="center"/>
              <w:rPr>
                <w:color w:val="000000"/>
                <w:sz w:val="20"/>
                <w:szCs w:val="20"/>
              </w:rPr>
            </w:pPr>
            <w:r w:rsidRPr="007C51D6">
              <w:rPr>
                <w:color w:val="000000"/>
                <w:sz w:val="20"/>
                <w:szCs w:val="20"/>
              </w:rPr>
              <w:t>259,64</w:t>
            </w:r>
          </w:p>
        </w:tc>
        <w:tc>
          <w:tcPr>
            <w:tcW w:w="1276" w:type="dxa"/>
          </w:tcPr>
          <w:p w:rsidR="00871EE7" w:rsidRPr="007C51D6" w:rsidRDefault="00871EE7" w:rsidP="00871EE7">
            <w:pPr>
              <w:autoSpaceDE/>
              <w:autoSpaceDN/>
              <w:adjustRightInd/>
              <w:jc w:val="center"/>
              <w:rPr>
                <w:color w:val="000000"/>
                <w:sz w:val="20"/>
                <w:szCs w:val="20"/>
              </w:rPr>
            </w:pPr>
            <w:r w:rsidRPr="007C51D6">
              <w:rPr>
                <w:color w:val="000000"/>
                <w:sz w:val="20"/>
                <w:szCs w:val="20"/>
              </w:rPr>
              <w:t>369,79</w:t>
            </w:r>
          </w:p>
        </w:tc>
        <w:tc>
          <w:tcPr>
            <w:tcW w:w="1134" w:type="dxa"/>
          </w:tcPr>
          <w:p w:rsidR="00871EE7" w:rsidRPr="007C51D6" w:rsidRDefault="00871EE7" w:rsidP="00871EE7">
            <w:pPr>
              <w:autoSpaceDE/>
              <w:autoSpaceDN/>
              <w:adjustRightInd/>
              <w:jc w:val="center"/>
              <w:rPr>
                <w:color w:val="000000"/>
                <w:sz w:val="20"/>
                <w:szCs w:val="20"/>
              </w:rPr>
            </w:pPr>
            <w:r w:rsidRPr="007C51D6">
              <w:rPr>
                <w:color w:val="000000"/>
                <w:sz w:val="20"/>
                <w:szCs w:val="20"/>
              </w:rPr>
              <w:t>371,19</w:t>
            </w:r>
          </w:p>
        </w:tc>
        <w:tc>
          <w:tcPr>
            <w:tcW w:w="1399" w:type="dxa"/>
            <w:vAlign w:val="center"/>
          </w:tcPr>
          <w:p w:rsidR="00871EE7" w:rsidRPr="007C51D6" w:rsidRDefault="00871EE7" w:rsidP="00871EE7">
            <w:pPr>
              <w:jc w:val="center"/>
              <w:rPr>
                <w:color w:val="000000"/>
                <w:sz w:val="20"/>
                <w:szCs w:val="20"/>
              </w:rPr>
            </w:pPr>
            <w:r w:rsidRPr="007C51D6">
              <w:rPr>
                <w:color w:val="000000"/>
                <w:sz w:val="20"/>
                <w:szCs w:val="20"/>
              </w:rPr>
              <w:t>339,25</w:t>
            </w:r>
          </w:p>
        </w:tc>
        <w:tc>
          <w:tcPr>
            <w:tcW w:w="1276" w:type="dxa"/>
            <w:vAlign w:val="center"/>
          </w:tcPr>
          <w:p w:rsidR="00871EE7" w:rsidRPr="007C51D6" w:rsidRDefault="00871EE7" w:rsidP="00871EE7">
            <w:pPr>
              <w:jc w:val="center"/>
              <w:rPr>
                <w:color w:val="000000"/>
                <w:sz w:val="20"/>
                <w:szCs w:val="20"/>
              </w:rPr>
            </w:pPr>
            <w:r w:rsidRPr="007C51D6">
              <w:rPr>
                <w:color w:val="000000"/>
                <w:sz w:val="20"/>
                <w:szCs w:val="20"/>
              </w:rPr>
              <w:t>357.41</w:t>
            </w:r>
          </w:p>
        </w:tc>
        <w:tc>
          <w:tcPr>
            <w:tcW w:w="1276" w:type="dxa"/>
            <w:vAlign w:val="center"/>
          </w:tcPr>
          <w:p w:rsidR="00871EE7" w:rsidRPr="007C51D6" w:rsidRDefault="00871EE7" w:rsidP="00871EE7">
            <w:pPr>
              <w:jc w:val="center"/>
              <w:rPr>
                <w:sz w:val="20"/>
                <w:szCs w:val="20"/>
              </w:rPr>
            </w:pPr>
            <w:r w:rsidRPr="007C51D6">
              <w:rPr>
                <w:sz w:val="20"/>
                <w:szCs w:val="20"/>
              </w:rPr>
              <w:t>503.89</w:t>
            </w:r>
          </w:p>
        </w:tc>
      </w:tr>
      <w:tr w:rsidR="00871EE7" w:rsidRPr="007C51D6" w:rsidTr="0038114E">
        <w:tblPrEx>
          <w:tblBorders>
            <w:bottom w:val="single" w:sz="4" w:space="0" w:color="auto"/>
          </w:tblBorders>
          <w:tblCellMar>
            <w:top w:w="28" w:type="dxa"/>
            <w:bottom w:w="28" w:type="dxa"/>
          </w:tblCellMar>
        </w:tblPrEx>
        <w:trPr>
          <w:trHeight w:val="227"/>
        </w:trPr>
        <w:tc>
          <w:tcPr>
            <w:tcW w:w="3255" w:type="dxa"/>
            <w:shd w:val="clear" w:color="auto" w:fill="auto"/>
            <w:hideMark/>
          </w:tcPr>
          <w:p w:rsidR="00871EE7" w:rsidRPr="007C51D6" w:rsidRDefault="00871EE7" w:rsidP="00871EE7">
            <w:pPr>
              <w:autoSpaceDE/>
              <w:autoSpaceDN/>
              <w:adjustRightInd/>
              <w:rPr>
                <w:color w:val="000000"/>
                <w:sz w:val="20"/>
                <w:szCs w:val="20"/>
              </w:rPr>
            </w:pPr>
            <w:r w:rsidRPr="007C51D6">
              <w:rPr>
                <w:color w:val="000000"/>
                <w:sz w:val="20"/>
                <w:szCs w:val="20"/>
              </w:rPr>
              <w:t>Лаишевский</w:t>
            </w:r>
          </w:p>
        </w:tc>
        <w:tc>
          <w:tcPr>
            <w:tcW w:w="1062" w:type="dxa"/>
            <w:shd w:val="clear" w:color="auto" w:fill="auto"/>
            <w:hideMark/>
          </w:tcPr>
          <w:p w:rsidR="00871EE7" w:rsidRPr="007C51D6" w:rsidRDefault="00871EE7" w:rsidP="00871EE7">
            <w:pPr>
              <w:autoSpaceDE/>
              <w:autoSpaceDN/>
              <w:adjustRightInd/>
              <w:jc w:val="center"/>
              <w:rPr>
                <w:color w:val="000000"/>
                <w:sz w:val="20"/>
                <w:szCs w:val="20"/>
              </w:rPr>
            </w:pPr>
            <w:r w:rsidRPr="007C51D6">
              <w:rPr>
                <w:color w:val="000000"/>
                <w:sz w:val="20"/>
                <w:szCs w:val="20"/>
              </w:rPr>
              <w:t>334,65</w:t>
            </w:r>
          </w:p>
        </w:tc>
        <w:tc>
          <w:tcPr>
            <w:tcW w:w="1225" w:type="dxa"/>
            <w:shd w:val="clear" w:color="auto" w:fill="auto"/>
            <w:hideMark/>
          </w:tcPr>
          <w:p w:rsidR="00871EE7" w:rsidRPr="007C51D6" w:rsidRDefault="00871EE7" w:rsidP="00871EE7">
            <w:pPr>
              <w:autoSpaceDE/>
              <w:autoSpaceDN/>
              <w:adjustRightInd/>
              <w:jc w:val="center"/>
              <w:rPr>
                <w:color w:val="000000"/>
                <w:sz w:val="20"/>
                <w:szCs w:val="20"/>
              </w:rPr>
            </w:pPr>
            <w:r w:rsidRPr="007C51D6">
              <w:rPr>
                <w:color w:val="000000"/>
                <w:sz w:val="20"/>
                <w:szCs w:val="20"/>
              </w:rPr>
              <w:t>406,70</w:t>
            </w:r>
          </w:p>
        </w:tc>
        <w:tc>
          <w:tcPr>
            <w:tcW w:w="992" w:type="dxa"/>
            <w:shd w:val="clear" w:color="auto" w:fill="auto"/>
            <w:hideMark/>
          </w:tcPr>
          <w:p w:rsidR="00871EE7" w:rsidRPr="007C51D6" w:rsidRDefault="00871EE7" w:rsidP="00871EE7">
            <w:pPr>
              <w:autoSpaceDE/>
              <w:autoSpaceDN/>
              <w:adjustRightInd/>
              <w:jc w:val="center"/>
              <w:rPr>
                <w:color w:val="000000"/>
                <w:sz w:val="20"/>
                <w:szCs w:val="20"/>
              </w:rPr>
            </w:pPr>
            <w:r w:rsidRPr="007C51D6">
              <w:rPr>
                <w:color w:val="000000"/>
                <w:sz w:val="20"/>
                <w:szCs w:val="20"/>
              </w:rPr>
              <w:t>389,76</w:t>
            </w:r>
          </w:p>
        </w:tc>
        <w:tc>
          <w:tcPr>
            <w:tcW w:w="1134" w:type="dxa"/>
            <w:shd w:val="clear" w:color="auto" w:fill="auto"/>
            <w:hideMark/>
          </w:tcPr>
          <w:p w:rsidR="00871EE7" w:rsidRPr="007C51D6" w:rsidRDefault="00871EE7" w:rsidP="00871EE7">
            <w:pPr>
              <w:autoSpaceDE/>
              <w:autoSpaceDN/>
              <w:adjustRightInd/>
              <w:jc w:val="center"/>
              <w:rPr>
                <w:color w:val="000000"/>
                <w:sz w:val="20"/>
                <w:szCs w:val="20"/>
              </w:rPr>
            </w:pPr>
            <w:r w:rsidRPr="007C51D6">
              <w:rPr>
                <w:color w:val="000000"/>
                <w:sz w:val="20"/>
                <w:szCs w:val="20"/>
              </w:rPr>
              <w:t>322,17</w:t>
            </w:r>
          </w:p>
        </w:tc>
        <w:tc>
          <w:tcPr>
            <w:tcW w:w="1134" w:type="dxa"/>
            <w:shd w:val="clear" w:color="auto" w:fill="auto"/>
            <w:hideMark/>
          </w:tcPr>
          <w:p w:rsidR="00871EE7" w:rsidRPr="007C51D6" w:rsidRDefault="00871EE7" w:rsidP="00871EE7">
            <w:pPr>
              <w:autoSpaceDE/>
              <w:autoSpaceDN/>
              <w:adjustRightInd/>
              <w:jc w:val="center"/>
              <w:rPr>
                <w:color w:val="000000"/>
                <w:sz w:val="20"/>
                <w:szCs w:val="20"/>
              </w:rPr>
            </w:pPr>
            <w:r w:rsidRPr="007C51D6">
              <w:rPr>
                <w:color w:val="000000"/>
                <w:sz w:val="20"/>
                <w:szCs w:val="20"/>
              </w:rPr>
              <w:t>341,61</w:t>
            </w:r>
          </w:p>
        </w:tc>
        <w:tc>
          <w:tcPr>
            <w:tcW w:w="1276" w:type="dxa"/>
          </w:tcPr>
          <w:p w:rsidR="00871EE7" w:rsidRPr="007C51D6" w:rsidRDefault="00871EE7" w:rsidP="00871EE7">
            <w:pPr>
              <w:autoSpaceDE/>
              <w:autoSpaceDN/>
              <w:adjustRightInd/>
              <w:jc w:val="center"/>
              <w:rPr>
                <w:color w:val="000000"/>
                <w:sz w:val="20"/>
                <w:szCs w:val="20"/>
              </w:rPr>
            </w:pPr>
            <w:r w:rsidRPr="007C51D6">
              <w:rPr>
                <w:color w:val="000000"/>
                <w:sz w:val="20"/>
                <w:szCs w:val="20"/>
              </w:rPr>
              <w:t>417,52</w:t>
            </w:r>
          </w:p>
        </w:tc>
        <w:tc>
          <w:tcPr>
            <w:tcW w:w="1134" w:type="dxa"/>
          </w:tcPr>
          <w:p w:rsidR="00871EE7" w:rsidRPr="007C51D6" w:rsidRDefault="00871EE7" w:rsidP="00871EE7">
            <w:pPr>
              <w:autoSpaceDE/>
              <w:autoSpaceDN/>
              <w:adjustRightInd/>
              <w:jc w:val="center"/>
              <w:rPr>
                <w:color w:val="000000"/>
                <w:sz w:val="20"/>
                <w:szCs w:val="20"/>
              </w:rPr>
            </w:pPr>
            <w:r w:rsidRPr="007C51D6">
              <w:rPr>
                <w:color w:val="000000"/>
                <w:sz w:val="20"/>
                <w:szCs w:val="20"/>
              </w:rPr>
              <w:t>363,43</w:t>
            </w:r>
          </w:p>
        </w:tc>
        <w:tc>
          <w:tcPr>
            <w:tcW w:w="1399" w:type="dxa"/>
            <w:vAlign w:val="center"/>
          </w:tcPr>
          <w:p w:rsidR="00871EE7" w:rsidRPr="007C51D6" w:rsidRDefault="00871EE7" w:rsidP="00871EE7">
            <w:pPr>
              <w:jc w:val="center"/>
              <w:rPr>
                <w:color w:val="000000"/>
                <w:sz w:val="20"/>
                <w:szCs w:val="20"/>
              </w:rPr>
            </w:pPr>
            <w:r w:rsidRPr="007C51D6">
              <w:rPr>
                <w:color w:val="000000"/>
                <w:sz w:val="20"/>
                <w:szCs w:val="20"/>
              </w:rPr>
              <w:t>359,4</w:t>
            </w:r>
          </w:p>
        </w:tc>
        <w:tc>
          <w:tcPr>
            <w:tcW w:w="1276" w:type="dxa"/>
            <w:vAlign w:val="center"/>
          </w:tcPr>
          <w:p w:rsidR="00871EE7" w:rsidRPr="007C51D6" w:rsidRDefault="00871EE7" w:rsidP="00871EE7">
            <w:pPr>
              <w:jc w:val="center"/>
              <w:rPr>
                <w:color w:val="000000"/>
                <w:sz w:val="20"/>
                <w:szCs w:val="20"/>
              </w:rPr>
            </w:pPr>
            <w:r w:rsidRPr="007C51D6">
              <w:rPr>
                <w:color w:val="000000"/>
                <w:sz w:val="20"/>
                <w:szCs w:val="20"/>
              </w:rPr>
              <w:t>309.86</w:t>
            </w:r>
          </w:p>
        </w:tc>
        <w:tc>
          <w:tcPr>
            <w:tcW w:w="1276" w:type="dxa"/>
            <w:vAlign w:val="center"/>
          </w:tcPr>
          <w:p w:rsidR="00871EE7" w:rsidRPr="007C51D6" w:rsidRDefault="00871EE7" w:rsidP="00871EE7">
            <w:pPr>
              <w:jc w:val="center"/>
              <w:rPr>
                <w:sz w:val="20"/>
                <w:szCs w:val="20"/>
              </w:rPr>
            </w:pPr>
            <w:r w:rsidRPr="007C51D6">
              <w:rPr>
                <w:sz w:val="20"/>
                <w:szCs w:val="20"/>
              </w:rPr>
              <w:t>449.43</w:t>
            </w:r>
          </w:p>
        </w:tc>
      </w:tr>
      <w:tr w:rsidR="00871EE7" w:rsidRPr="007C51D6" w:rsidTr="0038114E">
        <w:tblPrEx>
          <w:tblBorders>
            <w:bottom w:val="single" w:sz="4" w:space="0" w:color="auto"/>
          </w:tblBorders>
          <w:tblCellMar>
            <w:top w:w="28" w:type="dxa"/>
            <w:bottom w:w="28" w:type="dxa"/>
          </w:tblCellMar>
        </w:tblPrEx>
        <w:trPr>
          <w:trHeight w:val="227"/>
        </w:trPr>
        <w:tc>
          <w:tcPr>
            <w:tcW w:w="3255" w:type="dxa"/>
            <w:shd w:val="clear" w:color="auto" w:fill="auto"/>
            <w:hideMark/>
          </w:tcPr>
          <w:p w:rsidR="00871EE7" w:rsidRPr="007C51D6" w:rsidRDefault="00871EE7" w:rsidP="00871EE7">
            <w:pPr>
              <w:autoSpaceDE/>
              <w:autoSpaceDN/>
              <w:adjustRightInd/>
              <w:rPr>
                <w:color w:val="000000"/>
                <w:sz w:val="20"/>
                <w:szCs w:val="20"/>
              </w:rPr>
            </w:pPr>
            <w:r w:rsidRPr="007C51D6">
              <w:rPr>
                <w:color w:val="000000"/>
                <w:sz w:val="20"/>
                <w:szCs w:val="20"/>
              </w:rPr>
              <w:t>Лениногорский</w:t>
            </w:r>
          </w:p>
        </w:tc>
        <w:tc>
          <w:tcPr>
            <w:tcW w:w="1062" w:type="dxa"/>
            <w:shd w:val="clear" w:color="auto" w:fill="auto"/>
            <w:hideMark/>
          </w:tcPr>
          <w:p w:rsidR="00871EE7" w:rsidRPr="007C51D6" w:rsidRDefault="00871EE7" w:rsidP="00871EE7">
            <w:pPr>
              <w:autoSpaceDE/>
              <w:autoSpaceDN/>
              <w:adjustRightInd/>
              <w:jc w:val="center"/>
              <w:rPr>
                <w:color w:val="000000"/>
                <w:sz w:val="20"/>
                <w:szCs w:val="20"/>
              </w:rPr>
            </w:pPr>
            <w:r w:rsidRPr="007C51D6">
              <w:rPr>
                <w:color w:val="000000"/>
                <w:sz w:val="20"/>
                <w:szCs w:val="20"/>
              </w:rPr>
              <w:t>447,85</w:t>
            </w:r>
          </w:p>
        </w:tc>
        <w:tc>
          <w:tcPr>
            <w:tcW w:w="1225" w:type="dxa"/>
            <w:shd w:val="clear" w:color="auto" w:fill="auto"/>
            <w:hideMark/>
          </w:tcPr>
          <w:p w:rsidR="00871EE7" w:rsidRPr="007C51D6" w:rsidRDefault="00871EE7" w:rsidP="00871EE7">
            <w:pPr>
              <w:autoSpaceDE/>
              <w:autoSpaceDN/>
              <w:adjustRightInd/>
              <w:jc w:val="center"/>
              <w:rPr>
                <w:color w:val="000000"/>
                <w:sz w:val="20"/>
                <w:szCs w:val="20"/>
              </w:rPr>
            </w:pPr>
            <w:r w:rsidRPr="007C51D6">
              <w:rPr>
                <w:color w:val="000000"/>
                <w:sz w:val="20"/>
                <w:szCs w:val="20"/>
              </w:rPr>
              <w:t>473,02</w:t>
            </w:r>
          </w:p>
        </w:tc>
        <w:tc>
          <w:tcPr>
            <w:tcW w:w="992" w:type="dxa"/>
            <w:shd w:val="clear" w:color="auto" w:fill="auto"/>
            <w:hideMark/>
          </w:tcPr>
          <w:p w:rsidR="00871EE7" w:rsidRPr="007C51D6" w:rsidRDefault="00871EE7" w:rsidP="00871EE7">
            <w:pPr>
              <w:autoSpaceDE/>
              <w:autoSpaceDN/>
              <w:adjustRightInd/>
              <w:jc w:val="center"/>
              <w:rPr>
                <w:color w:val="000000"/>
                <w:sz w:val="20"/>
                <w:szCs w:val="20"/>
              </w:rPr>
            </w:pPr>
            <w:r w:rsidRPr="007C51D6">
              <w:rPr>
                <w:color w:val="000000"/>
                <w:sz w:val="20"/>
                <w:szCs w:val="20"/>
              </w:rPr>
              <w:t>457,49</w:t>
            </w:r>
          </w:p>
        </w:tc>
        <w:tc>
          <w:tcPr>
            <w:tcW w:w="1134" w:type="dxa"/>
            <w:shd w:val="clear" w:color="auto" w:fill="auto"/>
            <w:hideMark/>
          </w:tcPr>
          <w:p w:rsidR="00871EE7" w:rsidRPr="007C51D6" w:rsidRDefault="00871EE7" w:rsidP="00871EE7">
            <w:pPr>
              <w:autoSpaceDE/>
              <w:autoSpaceDN/>
              <w:adjustRightInd/>
              <w:jc w:val="center"/>
              <w:rPr>
                <w:color w:val="000000"/>
                <w:sz w:val="20"/>
                <w:szCs w:val="20"/>
              </w:rPr>
            </w:pPr>
            <w:r w:rsidRPr="007C51D6">
              <w:rPr>
                <w:color w:val="000000"/>
                <w:sz w:val="20"/>
                <w:szCs w:val="20"/>
              </w:rPr>
              <w:t>401,49</w:t>
            </w:r>
          </w:p>
        </w:tc>
        <w:tc>
          <w:tcPr>
            <w:tcW w:w="1134" w:type="dxa"/>
            <w:shd w:val="clear" w:color="auto" w:fill="auto"/>
            <w:hideMark/>
          </w:tcPr>
          <w:p w:rsidR="00871EE7" w:rsidRPr="007C51D6" w:rsidRDefault="00871EE7" w:rsidP="00871EE7">
            <w:pPr>
              <w:autoSpaceDE/>
              <w:autoSpaceDN/>
              <w:adjustRightInd/>
              <w:jc w:val="center"/>
              <w:rPr>
                <w:color w:val="000000"/>
                <w:sz w:val="20"/>
                <w:szCs w:val="20"/>
              </w:rPr>
            </w:pPr>
            <w:r w:rsidRPr="007C51D6">
              <w:rPr>
                <w:color w:val="000000"/>
                <w:sz w:val="20"/>
                <w:szCs w:val="20"/>
              </w:rPr>
              <w:t>358,95</w:t>
            </w:r>
          </w:p>
        </w:tc>
        <w:tc>
          <w:tcPr>
            <w:tcW w:w="1276" w:type="dxa"/>
          </w:tcPr>
          <w:p w:rsidR="00871EE7" w:rsidRPr="007C51D6" w:rsidRDefault="00871EE7" w:rsidP="00871EE7">
            <w:pPr>
              <w:autoSpaceDE/>
              <w:autoSpaceDN/>
              <w:adjustRightInd/>
              <w:jc w:val="center"/>
              <w:rPr>
                <w:color w:val="000000"/>
                <w:sz w:val="20"/>
                <w:szCs w:val="20"/>
              </w:rPr>
            </w:pPr>
            <w:r w:rsidRPr="007C51D6">
              <w:rPr>
                <w:color w:val="000000"/>
                <w:sz w:val="20"/>
                <w:szCs w:val="20"/>
              </w:rPr>
              <w:t>465,04</w:t>
            </w:r>
          </w:p>
        </w:tc>
        <w:tc>
          <w:tcPr>
            <w:tcW w:w="1134" w:type="dxa"/>
          </w:tcPr>
          <w:p w:rsidR="00871EE7" w:rsidRPr="007C51D6" w:rsidRDefault="00871EE7" w:rsidP="00871EE7">
            <w:pPr>
              <w:autoSpaceDE/>
              <w:autoSpaceDN/>
              <w:adjustRightInd/>
              <w:jc w:val="center"/>
              <w:rPr>
                <w:color w:val="000000"/>
                <w:sz w:val="20"/>
                <w:szCs w:val="20"/>
              </w:rPr>
            </w:pPr>
            <w:r w:rsidRPr="007C51D6">
              <w:rPr>
                <w:color w:val="000000"/>
                <w:sz w:val="20"/>
                <w:szCs w:val="20"/>
              </w:rPr>
              <w:t>441,21</w:t>
            </w:r>
          </w:p>
        </w:tc>
        <w:tc>
          <w:tcPr>
            <w:tcW w:w="1399" w:type="dxa"/>
            <w:vAlign w:val="center"/>
          </w:tcPr>
          <w:p w:rsidR="00871EE7" w:rsidRPr="007C51D6" w:rsidRDefault="00871EE7" w:rsidP="00871EE7">
            <w:pPr>
              <w:jc w:val="center"/>
              <w:rPr>
                <w:color w:val="000000"/>
                <w:sz w:val="20"/>
                <w:szCs w:val="20"/>
              </w:rPr>
            </w:pPr>
            <w:r w:rsidRPr="007C51D6">
              <w:rPr>
                <w:color w:val="000000"/>
                <w:sz w:val="20"/>
                <w:szCs w:val="20"/>
              </w:rPr>
              <w:t>527,6</w:t>
            </w:r>
          </w:p>
        </w:tc>
        <w:tc>
          <w:tcPr>
            <w:tcW w:w="1276" w:type="dxa"/>
            <w:vAlign w:val="center"/>
          </w:tcPr>
          <w:p w:rsidR="00871EE7" w:rsidRPr="007C51D6" w:rsidRDefault="00871EE7" w:rsidP="00871EE7">
            <w:pPr>
              <w:jc w:val="center"/>
              <w:rPr>
                <w:color w:val="000000"/>
                <w:sz w:val="20"/>
                <w:szCs w:val="20"/>
              </w:rPr>
            </w:pPr>
            <w:r w:rsidRPr="007C51D6">
              <w:rPr>
                <w:color w:val="000000"/>
                <w:sz w:val="20"/>
                <w:szCs w:val="20"/>
              </w:rPr>
              <w:t>504.15</w:t>
            </w:r>
          </w:p>
        </w:tc>
        <w:tc>
          <w:tcPr>
            <w:tcW w:w="1276" w:type="dxa"/>
            <w:vAlign w:val="center"/>
          </w:tcPr>
          <w:p w:rsidR="00871EE7" w:rsidRPr="007C51D6" w:rsidRDefault="00871EE7" w:rsidP="00871EE7">
            <w:pPr>
              <w:jc w:val="center"/>
              <w:rPr>
                <w:sz w:val="20"/>
                <w:szCs w:val="20"/>
              </w:rPr>
            </w:pPr>
            <w:r w:rsidRPr="007C51D6">
              <w:rPr>
                <w:sz w:val="20"/>
                <w:szCs w:val="20"/>
              </w:rPr>
              <w:t>544.02</w:t>
            </w:r>
          </w:p>
        </w:tc>
      </w:tr>
      <w:tr w:rsidR="00871EE7" w:rsidRPr="007C51D6" w:rsidTr="0038114E">
        <w:tblPrEx>
          <w:tblBorders>
            <w:bottom w:val="single" w:sz="4" w:space="0" w:color="auto"/>
          </w:tblBorders>
          <w:tblCellMar>
            <w:top w:w="28" w:type="dxa"/>
            <w:bottom w:w="28" w:type="dxa"/>
          </w:tblCellMar>
        </w:tblPrEx>
        <w:trPr>
          <w:trHeight w:val="227"/>
        </w:trPr>
        <w:tc>
          <w:tcPr>
            <w:tcW w:w="3255" w:type="dxa"/>
            <w:shd w:val="clear" w:color="auto" w:fill="auto"/>
            <w:hideMark/>
          </w:tcPr>
          <w:p w:rsidR="00871EE7" w:rsidRPr="007C51D6" w:rsidRDefault="00871EE7" w:rsidP="00871EE7">
            <w:pPr>
              <w:autoSpaceDE/>
              <w:autoSpaceDN/>
              <w:adjustRightInd/>
              <w:rPr>
                <w:color w:val="000000"/>
                <w:sz w:val="20"/>
                <w:szCs w:val="20"/>
              </w:rPr>
            </w:pPr>
            <w:r w:rsidRPr="007C51D6">
              <w:rPr>
                <w:color w:val="000000"/>
                <w:sz w:val="20"/>
                <w:szCs w:val="20"/>
              </w:rPr>
              <w:t>Мамадышский</w:t>
            </w:r>
          </w:p>
        </w:tc>
        <w:tc>
          <w:tcPr>
            <w:tcW w:w="1062" w:type="dxa"/>
            <w:shd w:val="clear" w:color="auto" w:fill="auto"/>
            <w:hideMark/>
          </w:tcPr>
          <w:p w:rsidR="00871EE7" w:rsidRPr="007C51D6" w:rsidRDefault="00871EE7" w:rsidP="00871EE7">
            <w:pPr>
              <w:autoSpaceDE/>
              <w:autoSpaceDN/>
              <w:adjustRightInd/>
              <w:jc w:val="center"/>
              <w:rPr>
                <w:color w:val="000000"/>
                <w:sz w:val="20"/>
                <w:szCs w:val="20"/>
              </w:rPr>
            </w:pPr>
            <w:r w:rsidRPr="007C51D6">
              <w:rPr>
                <w:color w:val="000000"/>
                <w:sz w:val="20"/>
                <w:szCs w:val="20"/>
              </w:rPr>
              <w:t>349,76</w:t>
            </w:r>
          </w:p>
        </w:tc>
        <w:tc>
          <w:tcPr>
            <w:tcW w:w="1225" w:type="dxa"/>
            <w:shd w:val="clear" w:color="auto" w:fill="auto"/>
            <w:hideMark/>
          </w:tcPr>
          <w:p w:rsidR="00871EE7" w:rsidRPr="007C51D6" w:rsidRDefault="00871EE7" w:rsidP="00871EE7">
            <w:pPr>
              <w:autoSpaceDE/>
              <w:autoSpaceDN/>
              <w:adjustRightInd/>
              <w:jc w:val="center"/>
              <w:rPr>
                <w:color w:val="000000"/>
                <w:sz w:val="20"/>
                <w:szCs w:val="20"/>
              </w:rPr>
            </w:pPr>
            <w:r w:rsidRPr="007C51D6">
              <w:rPr>
                <w:color w:val="000000"/>
                <w:sz w:val="20"/>
                <w:szCs w:val="20"/>
              </w:rPr>
              <w:t>364,90</w:t>
            </w:r>
          </w:p>
        </w:tc>
        <w:tc>
          <w:tcPr>
            <w:tcW w:w="992" w:type="dxa"/>
            <w:shd w:val="clear" w:color="auto" w:fill="auto"/>
            <w:hideMark/>
          </w:tcPr>
          <w:p w:rsidR="00871EE7" w:rsidRPr="007C51D6" w:rsidRDefault="00871EE7" w:rsidP="00871EE7">
            <w:pPr>
              <w:autoSpaceDE/>
              <w:autoSpaceDN/>
              <w:adjustRightInd/>
              <w:jc w:val="center"/>
              <w:rPr>
                <w:color w:val="000000"/>
                <w:sz w:val="20"/>
                <w:szCs w:val="20"/>
              </w:rPr>
            </w:pPr>
            <w:r w:rsidRPr="007C51D6">
              <w:rPr>
                <w:color w:val="000000"/>
                <w:sz w:val="20"/>
                <w:szCs w:val="20"/>
              </w:rPr>
              <w:t>318,42</w:t>
            </w:r>
          </w:p>
        </w:tc>
        <w:tc>
          <w:tcPr>
            <w:tcW w:w="1134" w:type="dxa"/>
            <w:shd w:val="clear" w:color="auto" w:fill="auto"/>
            <w:hideMark/>
          </w:tcPr>
          <w:p w:rsidR="00871EE7" w:rsidRPr="007C51D6" w:rsidRDefault="00871EE7" w:rsidP="00871EE7">
            <w:pPr>
              <w:autoSpaceDE/>
              <w:autoSpaceDN/>
              <w:adjustRightInd/>
              <w:jc w:val="center"/>
              <w:rPr>
                <w:color w:val="000000"/>
                <w:sz w:val="20"/>
                <w:szCs w:val="20"/>
              </w:rPr>
            </w:pPr>
            <w:r w:rsidRPr="007C51D6">
              <w:rPr>
                <w:color w:val="000000"/>
                <w:sz w:val="20"/>
                <w:szCs w:val="20"/>
              </w:rPr>
              <w:t>314,92</w:t>
            </w:r>
          </w:p>
        </w:tc>
        <w:tc>
          <w:tcPr>
            <w:tcW w:w="1134" w:type="dxa"/>
            <w:shd w:val="clear" w:color="auto" w:fill="auto"/>
            <w:hideMark/>
          </w:tcPr>
          <w:p w:rsidR="00871EE7" w:rsidRPr="007C51D6" w:rsidRDefault="00871EE7" w:rsidP="00871EE7">
            <w:pPr>
              <w:autoSpaceDE/>
              <w:autoSpaceDN/>
              <w:adjustRightInd/>
              <w:jc w:val="center"/>
              <w:rPr>
                <w:color w:val="000000"/>
                <w:sz w:val="20"/>
                <w:szCs w:val="20"/>
              </w:rPr>
            </w:pPr>
            <w:r w:rsidRPr="007C51D6">
              <w:rPr>
                <w:color w:val="000000"/>
                <w:sz w:val="20"/>
                <w:szCs w:val="20"/>
              </w:rPr>
              <w:t>386,92</w:t>
            </w:r>
          </w:p>
        </w:tc>
        <w:tc>
          <w:tcPr>
            <w:tcW w:w="1276" w:type="dxa"/>
          </w:tcPr>
          <w:p w:rsidR="00871EE7" w:rsidRPr="007C51D6" w:rsidRDefault="00871EE7" w:rsidP="00871EE7">
            <w:pPr>
              <w:autoSpaceDE/>
              <w:autoSpaceDN/>
              <w:adjustRightInd/>
              <w:jc w:val="center"/>
              <w:rPr>
                <w:color w:val="000000"/>
                <w:sz w:val="20"/>
                <w:szCs w:val="20"/>
              </w:rPr>
            </w:pPr>
            <w:r w:rsidRPr="007C51D6">
              <w:rPr>
                <w:color w:val="000000"/>
                <w:sz w:val="20"/>
                <w:szCs w:val="20"/>
              </w:rPr>
              <w:t>379,71</w:t>
            </w:r>
          </w:p>
        </w:tc>
        <w:tc>
          <w:tcPr>
            <w:tcW w:w="1134" w:type="dxa"/>
          </w:tcPr>
          <w:p w:rsidR="00871EE7" w:rsidRPr="007C51D6" w:rsidRDefault="00871EE7" w:rsidP="00871EE7">
            <w:pPr>
              <w:autoSpaceDE/>
              <w:autoSpaceDN/>
              <w:adjustRightInd/>
              <w:jc w:val="center"/>
              <w:rPr>
                <w:color w:val="000000"/>
                <w:sz w:val="20"/>
                <w:szCs w:val="20"/>
              </w:rPr>
            </w:pPr>
            <w:r w:rsidRPr="007C51D6">
              <w:rPr>
                <w:color w:val="000000"/>
                <w:sz w:val="20"/>
                <w:szCs w:val="20"/>
              </w:rPr>
              <w:t>447,06</w:t>
            </w:r>
          </w:p>
        </w:tc>
        <w:tc>
          <w:tcPr>
            <w:tcW w:w="1399" w:type="dxa"/>
            <w:vAlign w:val="center"/>
          </w:tcPr>
          <w:p w:rsidR="00871EE7" w:rsidRPr="007C51D6" w:rsidRDefault="00871EE7" w:rsidP="00871EE7">
            <w:pPr>
              <w:jc w:val="center"/>
              <w:rPr>
                <w:color w:val="000000"/>
                <w:sz w:val="20"/>
                <w:szCs w:val="20"/>
              </w:rPr>
            </w:pPr>
            <w:r w:rsidRPr="007C51D6">
              <w:rPr>
                <w:color w:val="000000"/>
                <w:sz w:val="20"/>
                <w:szCs w:val="20"/>
              </w:rPr>
              <w:t>427,98</w:t>
            </w:r>
          </w:p>
        </w:tc>
        <w:tc>
          <w:tcPr>
            <w:tcW w:w="1276" w:type="dxa"/>
            <w:vAlign w:val="center"/>
          </w:tcPr>
          <w:p w:rsidR="00871EE7" w:rsidRPr="007C51D6" w:rsidRDefault="00871EE7" w:rsidP="00871EE7">
            <w:pPr>
              <w:jc w:val="center"/>
              <w:rPr>
                <w:color w:val="000000"/>
                <w:sz w:val="20"/>
                <w:szCs w:val="20"/>
              </w:rPr>
            </w:pPr>
            <w:r w:rsidRPr="007C51D6">
              <w:rPr>
                <w:color w:val="000000"/>
                <w:sz w:val="20"/>
                <w:szCs w:val="20"/>
              </w:rPr>
              <w:t>498.77</w:t>
            </w:r>
          </w:p>
        </w:tc>
        <w:tc>
          <w:tcPr>
            <w:tcW w:w="1276" w:type="dxa"/>
            <w:vAlign w:val="center"/>
          </w:tcPr>
          <w:p w:rsidR="00871EE7" w:rsidRPr="007C51D6" w:rsidRDefault="00871EE7" w:rsidP="00871EE7">
            <w:pPr>
              <w:jc w:val="center"/>
              <w:rPr>
                <w:sz w:val="20"/>
                <w:szCs w:val="20"/>
              </w:rPr>
            </w:pPr>
            <w:r w:rsidRPr="007C51D6">
              <w:rPr>
                <w:sz w:val="20"/>
                <w:szCs w:val="20"/>
              </w:rPr>
              <w:t>541.59</w:t>
            </w:r>
          </w:p>
        </w:tc>
      </w:tr>
      <w:tr w:rsidR="00871EE7" w:rsidRPr="007C51D6" w:rsidTr="0038114E">
        <w:tblPrEx>
          <w:tblBorders>
            <w:bottom w:val="single" w:sz="4" w:space="0" w:color="auto"/>
          </w:tblBorders>
          <w:tblCellMar>
            <w:top w:w="28" w:type="dxa"/>
            <w:bottom w:w="28" w:type="dxa"/>
          </w:tblCellMar>
        </w:tblPrEx>
        <w:trPr>
          <w:trHeight w:val="227"/>
        </w:trPr>
        <w:tc>
          <w:tcPr>
            <w:tcW w:w="3255" w:type="dxa"/>
            <w:shd w:val="clear" w:color="auto" w:fill="auto"/>
            <w:hideMark/>
          </w:tcPr>
          <w:p w:rsidR="00871EE7" w:rsidRPr="007C51D6" w:rsidRDefault="00871EE7" w:rsidP="00871EE7">
            <w:pPr>
              <w:autoSpaceDE/>
              <w:autoSpaceDN/>
              <w:adjustRightInd/>
              <w:rPr>
                <w:color w:val="000000"/>
                <w:sz w:val="20"/>
                <w:szCs w:val="20"/>
              </w:rPr>
            </w:pPr>
            <w:r w:rsidRPr="007C51D6">
              <w:rPr>
                <w:color w:val="000000"/>
                <w:sz w:val="20"/>
                <w:szCs w:val="20"/>
              </w:rPr>
              <w:t>Менделеевский</w:t>
            </w:r>
          </w:p>
        </w:tc>
        <w:tc>
          <w:tcPr>
            <w:tcW w:w="1062" w:type="dxa"/>
            <w:shd w:val="clear" w:color="auto" w:fill="auto"/>
            <w:hideMark/>
          </w:tcPr>
          <w:p w:rsidR="00871EE7" w:rsidRPr="007C51D6" w:rsidRDefault="00871EE7" w:rsidP="00871EE7">
            <w:pPr>
              <w:autoSpaceDE/>
              <w:autoSpaceDN/>
              <w:adjustRightInd/>
              <w:jc w:val="center"/>
              <w:rPr>
                <w:color w:val="000000"/>
                <w:sz w:val="20"/>
                <w:szCs w:val="20"/>
              </w:rPr>
            </w:pPr>
            <w:r w:rsidRPr="007C51D6">
              <w:rPr>
                <w:color w:val="000000"/>
                <w:sz w:val="20"/>
                <w:szCs w:val="20"/>
              </w:rPr>
              <w:t>320,42</w:t>
            </w:r>
          </w:p>
        </w:tc>
        <w:tc>
          <w:tcPr>
            <w:tcW w:w="1225" w:type="dxa"/>
            <w:shd w:val="clear" w:color="auto" w:fill="auto"/>
            <w:hideMark/>
          </w:tcPr>
          <w:p w:rsidR="00871EE7" w:rsidRPr="007C51D6" w:rsidRDefault="00871EE7" w:rsidP="00871EE7">
            <w:pPr>
              <w:autoSpaceDE/>
              <w:autoSpaceDN/>
              <w:adjustRightInd/>
              <w:jc w:val="center"/>
              <w:rPr>
                <w:color w:val="000000"/>
                <w:sz w:val="20"/>
                <w:szCs w:val="20"/>
              </w:rPr>
            </w:pPr>
            <w:r w:rsidRPr="007C51D6">
              <w:rPr>
                <w:color w:val="000000"/>
                <w:sz w:val="20"/>
                <w:szCs w:val="20"/>
              </w:rPr>
              <w:t>389,64</w:t>
            </w:r>
          </w:p>
        </w:tc>
        <w:tc>
          <w:tcPr>
            <w:tcW w:w="992" w:type="dxa"/>
            <w:shd w:val="clear" w:color="auto" w:fill="auto"/>
            <w:hideMark/>
          </w:tcPr>
          <w:p w:rsidR="00871EE7" w:rsidRPr="007C51D6" w:rsidRDefault="00871EE7" w:rsidP="00871EE7">
            <w:pPr>
              <w:autoSpaceDE/>
              <w:autoSpaceDN/>
              <w:adjustRightInd/>
              <w:jc w:val="center"/>
              <w:rPr>
                <w:color w:val="000000"/>
                <w:sz w:val="20"/>
                <w:szCs w:val="20"/>
              </w:rPr>
            </w:pPr>
            <w:r w:rsidRPr="007C51D6">
              <w:rPr>
                <w:color w:val="000000"/>
                <w:sz w:val="20"/>
                <w:szCs w:val="20"/>
              </w:rPr>
              <w:t>383,04</w:t>
            </w:r>
          </w:p>
        </w:tc>
        <w:tc>
          <w:tcPr>
            <w:tcW w:w="1134" w:type="dxa"/>
            <w:shd w:val="clear" w:color="auto" w:fill="auto"/>
            <w:hideMark/>
          </w:tcPr>
          <w:p w:rsidR="00871EE7" w:rsidRPr="007C51D6" w:rsidRDefault="00871EE7" w:rsidP="00871EE7">
            <w:pPr>
              <w:autoSpaceDE/>
              <w:autoSpaceDN/>
              <w:adjustRightInd/>
              <w:jc w:val="center"/>
              <w:rPr>
                <w:color w:val="000000"/>
                <w:sz w:val="20"/>
                <w:szCs w:val="20"/>
              </w:rPr>
            </w:pPr>
            <w:r w:rsidRPr="007C51D6">
              <w:rPr>
                <w:color w:val="000000"/>
                <w:sz w:val="20"/>
                <w:szCs w:val="20"/>
              </w:rPr>
              <w:t>381,96</w:t>
            </w:r>
          </w:p>
        </w:tc>
        <w:tc>
          <w:tcPr>
            <w:tcW w:w="1134" w:type="dxa"/>
            <w:shd w:val="clear" w:color="auto" w:fill="auto"/>
            <w:hideMark/>
          </w:tcPr>
          <w:p w:rsidR="00871EE7" w:rsidRPr="007C51D6" w:rsidRDefault="00871EE7" w:rsidP="00871EE7">
            <w:pPr>
              <w:autoSpaceDE/>
              <w:autoSpaceDN/>
              <w:adjustRightInd/>
              <w:jc w:val="center"/>
              <w:rPr>
                <w:color w:val="000000"/>
                <w:sz w:val="20"/>
                <w:szCs w:val="20"/>
              </w:rPr>
            </w:pPr>
            <w:r w:rsidRPr="007C51D6">
              <w:rPr>
                <w:color w:val="000000"/>
                <w:sz w:val="20"/>
                <w:szCs w:val="20"/>
              </w:rPr>
              <w:t>266,10</w:t>
            </w:r>
          </w:p>
        </w:tc>
        <w:tc>
          <w:tcPr>
            <w:tcW w:w="1276" w:type="dxa"/>
          </w:tcPr>
          <w:p w:rsidR="00871EE7" w:rsidRPr="007C51D6" w:rsidRDefault="00871EE7" w:rsidP="00871EE7">
            <w:pPr>
              <w:autoSpaceDE/>
              <w:autoSpaceDN/>
              <w:adjustRightInd/>
              <w:jc w:val="center"/>
              <w:rPr>
                <w:color w:val="000000"/>
                <w:sz w:val="20"/>
                <w:szCs w:val="20"/>
              </w:rPr>
            </w:pPr>
            <w:r w:rsidRPr="007C51D6">
              <w:rPr>
                <w:color w:val="000000"/>
                <w:sz w:val="20"/>
                <w:szCs w:val="20"/>
              </w:rPr>
              <w:t>309,34</w:t>
            </w:r>
          </w:p>
        </w:tc>
        <w:tc>
          <w:tcPr>
            <w:tcW w:w="1134" w:type="dxa"/>
          </w:tcPr>
          <w:p w:rsidR="00871EE7" w:rsidRPr="007C51D6" w:rsidRDefault="00871EE7" w:rsidP="00871EE7">
            <w:pPr>
              <w:autoSpaceDE/>
              <w:autoSpaceDN/>
              <w:adjustRightInd/>
              <w:jc w:val="center"/>
              <w:rPr>
                <w:color w:val="000000"/>
                <w:sz w:val="20"/>
                <w:szCs w:val="20"/>
              </w:rPr>
            </w:pPr>
            <w:r w:rsidRPr="007C51D6">
              <w:rPr>
                <w:color w:val="000000"/>
                <w:sz w:val="20"/>
                <w:szCs w:val="20"/>
              </w:rPr>
              <w:t>407,81</w:t>
            </w:r>
          </w:p>
        </w:tc>
        <w:tc>
          <w:tcPr>
            <w:tcW w:w="1399" w:type="dxa"/>
            <w:vAlign w:val="center"/>
          </w:tcPr>
          <w:p w:rsidR="00871EE7" w:rsidRPr="007C51D6" w:rsidRDefault="00871EE7" w:rsidP="00871EE7">
            <w:pPr>
              <w:jc w:val="center"/>
              <w:rPr>
                <w:color w:val="000000"/>
                <w:sz w:val="20"/>
                <w:szCs w:val="20"/>
              </w:rPr>
            </w:pPr>
            <w:r w:rsidRPr="007C51D6">
              <w:rPr>
                <w:color w:val="000000"/>
                <w:sz w:val="20"/>
                <w:szCs w:val="20"/>
              </w:rPr>
              <w:t>406,25</w:t>
            </w:r>
          </w:p>
        </w:tc>
        <w:tc>
          <w:tcPr>
            <w:tcW w:w="1276" w:type="dxa"/>
            <w:vAlign w:val="center"/>
          </w:tcPr>
          <w:p w:rsidR="00871EE7" w:rsidRPr="007C51D6" w:rsidRDefault="00871EE7" w:rsidP="00871EE7">
            <w:pPr>
              <w:jc w:val="center"/>
              <w:rPr>
                <w:color w:val="000000"/>
                <w:sz w:val="20"/>
                <w:szCs w:val="20"/>
              </w:rPr>
            </w:pPr>
            <w:r w:rsidRPr="007C51D6">
              <w:rPr>
                <w:color w:val="000000"/>
                <w:sz w:val="20"/>
                <w:szCs w:val="20"/>
              </w:rPr>
              <w:t>366.51</w:t>
            </w:r>
          </w:p>
        </w:tc>
        <w:tc>
          <w:tcPr>
            <w:tcW w:w="1276" w:type="dxa"/>
            <w:vAlign w:val="center"/>
          </w:tcPr>
          <w:p w:rsidR="00871EE7" w:rsidRPr="007C51D6" w:rsidRDefault="00871EE7" w:rsidP="00871EE7">
            <w:pPr>
              <w:jc w:val="center"/>
              <w:rPr>
                <w:sz w:val="20"/>
                <w:szCs w:val="20"/>
              </w:rPr>
            </w:pPr>
            <w:r w:rsidRPr="007C51D6">
              <w:rPr>
                <w:sz w:val="20"/>
                <w:szCs w:val="20"/>
              </w:rPr>
              <w:t>435.84</w:t>
            </w:r>
          </w:p>
        </w:tc>
      </w:tr>
      <w:tr w:rsidR="00871EE7" w:rsidRPr="007C51D6" w:rsidTr="0038114E">
        <w:tblPrEx>
          <w:tblBorders>
            <w:bottom w:val="single" w:sz="4" w:space="0" w:color="auto"/>
          </w:tblBorders>
          <w:tblCellMar>
            <w:top w:w="28" w:type="dxa"/>
            <w:bottom w:w="28" w:type="dxa"/>
          </w:tblCellMar>
        </w:tblPrEx>
        <w:trPr>
          <w:trHeight w:val="227"/>
        </w:trPr>
        <w:tc>
          <w:tcPr>
            <w:tcW w:w="3255" w:type="dxa"/>
            <w:shd w:val="clear" w:color="auto" w:fill="auto"/>
            <w:hideMark/>
          </w:tcPr>
          <w:p w:rsidR="00871EE7" w:rsidRPr="007C51D6" w:rsidRDefault="00871EE7" w:rsidP="00871EE7">
            <w:pPr>
              <w:autoSpaceDE/>
              <w:autoSpaceDN/>
              <w:adjustRightInd/>
              <w:rPr>
                <w:color w:val="000000"/>
                <w:sz w:val="20"/>
                <w:szCs w:val="20"/>
              </w:rPr>
            </w:pPr>
            <w:r w:rsidRPr="007C51D6">
              <w:rPr>
                <w:color w:val="000000"/>
                <w:sz w:val="20"/>
                <w:szCs w:val="20"/>
              </w:rPr>
              <w:t>Мензелинский</w:t>
            </w:r>
          </w:p>
        </w:tc>
        <w:tc>
          <w:tcPr>
            <w:tcW w:w="1062" w:type="dxa"/>
            <w:shd w:val="clear" w:color="auto" w:fill="auto"/>
            <w:hideMark/>
          </w:tcPr>
          <w:p w:rsidR="00871EE7" w:rsidRPr="007C51D6" w:rsidRDefault="00871EE7" w:rsidP="00871EE7">
            <w:pPr>
              <w:autoSpaceDE/>
              <w:autoSpaceDN/>
              <w:adjustRightInd/>
              <w:jc w:val="center"/>
              <w:rPr>
                <w:color w:val="000000"/>
                <w:sz w:val="20"/>
                <w:szCs w:val="20"/>
              </w:rPr>
            </w:pPr>
            <w:r w:rsidRPr="007C51D6">
              <w:rPr>
                <w:color w:val="000000"/>
                <w:sz w:val="20"/>
                <w:szCs w:val="20"/>
              </w:rPr>
              <w:t>468,23</w:t>
            </w:r>
          </w:p>
        </w:tc>
        <w:tc>
          <w:tcPr>
            <w:tcW w:w="1225" w:type="dxa"/>
            <w:shd w:val="clear" w:color="auto" w:fill="auto"/>
            <w:hideMark/>
          </w:tcPr>
          <w:p w:rsidR="00871EE7" w:rsidRPr="007C51D6" w:rsidRDefault="00871EE7" w:rsidP="00871EE7">
            <w:pPr>
              <w:autoSpaceDE/>
              <w:autoSpaceDN/>
              <w:adjustRightInd/>
              <w:jc w:val="center"/>
              <w:rPr>
                <w:color w:val="000000"/>
                <w:sz w:val="20"/>
                <w:szCs w:val="20"/>
              </w:rPr>
            </w:pPr>
            <w:r w:rsidRPr="007C51D6">
              <w:rPr>
                <w:color w:val="000000"/>
                <w:sz w:val="20"/>
                <w:szCs w:val="20"/>
              </w:rPr>
              <w:t>390,20</w:t>
            </w:r>
          </w:p>
        </w:tc>
        <w:tc>
          <w:tcPr>
            <w:tcW w:w="992" w:type="dxa"/>
            <w:shd w:val="clear" w:color="auto" w:fill="auto"/>
            <w:hideMark/>
          </w:tcPr>
          <w:p w:rsidR="00871EE7" w:rsidRPr="007C51D6" w:rsidRDefault="00871EE7" w:rsidP="00871EE7">
            <w:pPr>
              <w:autoSpaceDE/>
              <w:autoSpaceDN/>
              <w:adjustRightInd/>
              <w:jc w:val="center"/>
              <w:rPr>
                <w:color w:val="000000"/>
                <w:sz w:val="20"/>
                <w:szCs w:val="20"/>
              </w:rPr>
            </w:pPr>
            <w:r w:rsidRPr="007C51D6">
              <w:rPr>
                <w:color w:val="000000"/>
                <w:sz w:val="20"/>
                <w:szCs w:val="20"/>
              </w:rPr>
              <w:t>459,88</w:t>
            </w:r>
          </w:p>
        </w:tc>
        <w:tc>
          <w:tcPr>
            <w:tcW w:w="1134" w:type="dxa"/>
            <w:shd w:val="clear" w:color="auto" w:fill="auto"/>
            <w:hideMark/>
          </w:tcPr>
          <w:p w:rsidR="00871EE7" w:rsidRPr="007C51D6" w:rsidRDefault="00871EE7" w:rsidP="00871EE7">
            <w:pPr>
              <w:autoSpaceDE/>
              <w:autoSpaceDN/>
              <w:adjustRightInd/>
              <w:jc w:val="center"/>
              <w:rPr>
                <w:color w:val="000000"/>
                <w:sz w:val="20"/>
                <w:szCs w:val="20"/>
              </w:rPr>
            </w:pPr>
            <w:r w:rsidRPr="007C51D6">
              <w:rPr>
                <w:color w:val="000000"/>
                <w:sz w:val="20"/>
                <w:szCs w:val="20"/>
              </w:rPr>
              <w:t>391,74</w:t>
            </w:r>
          </w:p>
        </w:tc>
        <w:tc>
          <w:tcPr>
            <w:tcW w:w="1134" w:type="dxa"/>
            <w:shd w:val="clear" w:color="auto" w:fill="auto"/>
            <w:hideMark/>
          </w:tcPr>
          <w:p w:rsidR="00871EE7" w:rsidRPr="007C51D6" w:rsidRDefault="00871EE7" w:rsidP="00871EE7">
            <w:pPr>
              <w:autoSpaceDE/>
              <w:autoSpaceDN/>
              <w:adjustRightInd/>
              <w:jc w:val="center"/>
              <w:rPr>
                <w:color w:val="000000"/>
                <w:sz w:val="20"/>
                <w:szCs w:val="20"/>
              </w:rPr>
            </w:pPr>
            <w:r w:rsidRPr="007C51D6">
              <w:rPr>
                <w:color w:val="000000"/>
                <w:sz w:val="20"/>
                <w:szCs w:val="20"/>
              </w:rPr>
              <w:t>343,13</w:t>
            </w:r>
          </w:p>
        </w:tc>
        <w:tc>
          <w:tcPr>
            <w:tcW w:w="1276" w:type="dxa"/>
          </w:tcPr>
          <w:p w:rsidR="00871EE7" w:rsidRPr="007C51D6" w:rsidRDefault="00871EE7" w:rsidP="00871EE7">
            <w:pPr>
              <w:autoSpaceDE/>
              <w:autoSpaceDN/>
              <w:adjustRightInd/>
              <w:jc w:val="center"/>
              <w:rPr>
                <w:color w:val="000000"/>
                <w:sz w:val="20"/>
                <w:szCs w:val="20"/>
              </w:rPr>
            </w:pPr>
            <w:r w:rsidRPr="007C51D6">
              <w:rPr>
                <w:color w:val="000000"/>
                <w:sz w:val="20"/>
                <w:szCs w:val="20"/>
              </w:rPr>
              <w:t>444,27</w:t>
            </w:r>
          </w:p>
        </w:tc>
        <w:tc>
          <w:tcPr>
            <w:tcW w:w="1134" w:type="dxa"/>
          </w:tcPr>
          <w:p w:rsidR="00871EE7" w:rsidRPr="007C51D6" w:rsidRDefault="00871EE7" w:rsidP="00871EE7">
            <w:pPr>
              <w:autoSpaceDE/>
              <w:autoSpaceDN/>
              <w:adjustRightInd/>
              <w:jc w:val="center"/>
              <w:rPr>
                <w:color w:val="000000"/>
                <w:sz w:val="20"/>
                <w:szCs w:val="20"/>
              </w:rPr>
            </w:pPr>
            <w:r w:rsidRPr="007C51D6">
              <w:rPr>
                <w:color w:val="000000"/>
                <w:sz w:val="20"/>
                <w:szCs w:val="20"/>
              </w:rPr>
              <w:t>442,49</w:t>
            </w:r>
          </w:p>
        </w:tc>
        <w:tc>
          <w:tcPr>
            <w:tcW w:w="1399" w:type="dxa"/>
            <w:vAlign w:val="center"/>
          </w:tcPr>
          <w:p w:rsidR="00871EE7" w:rsidRPr="007C51D6" w:rsidRDefault="00871EE7" w:rsidP="00871EE7">
            <w:pPr>
              <w:jc w:val="center"/>
              <w:rPr>
                <w:color w:val="000000"/>
                <w:sz w:val="20"/>
                <w:szCs w:val="20"/>
              </w:rPr>
            </w:pPr>
            <w:r w:rsidRPr="007C51D6">
              <w:rPr>
                <w:color w:val="000000"/>
                <w:sz w:val="20"/>
                <w:szCs w:val="20"/>
              </w:rPr>
              <w:t>448,9</w:t>
            </w:r>
          </w:p>
        </w:tc>
        <w:tc>
          <w:tcPr>
            <w:tcW w:w="1276" w:type="dxa"/>
            <w:vAlign w:val="center"/>
          </w:tcPr>
          <w:p w:rsidR="00871EE7" w:rsidRPr="007C51D6" w:rsidRDefault="00871EE7" w:rsidP="00871EE7">
            <w:pPr>
              <w:jc w:val="center"/>
              <w:rPr>
                <w:color w:val="000000"/>
                <w:sz w:val="20"/>
                <w:szCs w:val="20"/>
              </w:rPr>
            </w:pPr>
            <w:r w:rsidRPr="007C51D6">
              <w:rPr>
                <w:color w:val="000000"/>
                <w:sz w:val="20"/>
                <w:szCs w:val="20"/>
              </w:rPr>
              <w:t>591.25</w:t>
            </w:r>
          </w:p>
        </w:tc>
        <w:tc>
          <w:tcPr>
            <w:tcW w:w="1276" w:type="dxa"/>
            <w:vAlign w:val="center"/>
          </w:tcPr>
          <w:p w:rsidR="00871EE7" w:rsidRPr="007C51D6" w:rsidRDefault="00871EE7" w:rsidP="00871EE7">
            <w:pPr>
              <w:jc w:val="center"/>
              <w:rPr>
                <w:sz w:val="20"/>
                <w:szCs w:val="20"/>
              </w:rPr>
            </w:pPr>
            <w:r w:rsidRPr="007C51D6">
              <w:rPr>
                <w:sz w:val="20"/>
                <w:szCs w:val="20"/>
              </w:rPr>
              <w:t>553.34</w:t>
            </w:r>
          </w:p>
        </w:tc>
      </w:tr>
      <w:tr w:rsidR="00871EE7" w:rsidRPr="007C51D6" w:rsidTr="0038114E">
        <w:tblPrEx>
          <w:tblBorders>
            <w:bottom w:val="single" w:sz="4" w:space="0" w:color="auto"/>
          </w:tblBorders>
          <w:tblCellMar>
            <w:top w:w="28" w:type="dxa"/>
            <w:bottom w:w="28" w:type="dxa"/>
          </w:tblCellMar>
        </w:tblPrEx>
        <w:trPr>
          <w:trHeight w:val="227"/>
        </w:trPr>
        <w:tc>
          <w:tcPr>
            <w:tcW w:w="3255" w:type="dxa"/>
            <w:shd w:val="clear" w:color="auto" w:fill="auto"/>
            <w:hideMark/>
          </w:tcPr>
          <w:p w:rsidR="00871EE7" w:rsidRPr="007C51D6" w:rsidRDefault="00871EE7" w:rsidP="00871EE7">
            <w:pPr>
              <w:autoSpaceDE/>
              <w:autoSpaceDN/>
              <w:adjustRightInd/>
              <w:rPr>
                <w:color w:val="000000"/>
                <w:sz w:val="20"/>
                <w:szCs w:val="20"/>
              </w:rPr>
            </w:pPr>
            <w:r w:rsidRPr="007C51D6">
              <w:rPr>
                <w:color w:val="000000"/>
                <w:sz w:val="20"/>
                <w:szCs w:val="20"/>
              </w:rPr>
              <w:t>Муслюмовский</w:t>
            </w:r>
          </w:p>
        </w:tc>
        <w:tc>
          <w:tcPr>
            <w:tcW w:w="1062" w:type="dxa"/>
            <w:shd w:val="clear" w:color="auto" w:fill="auto"/>
            <w:hideMark/>
          </w:tcPr>
          <w:p w:rsidR="00871EE7" w:rsidRPr="007C51D6" w:rsidRDefault="00871EE7" w:rsidP="00871EE7">
            <w:pPr>
              <w:autoSpaceDE/>
              <w:autoSpaceDN/>
              <w:adjustRightInd/>
              <w:jc w:val="center"/>
              <w:rPr>
                <w:color w:val="000000"/>
                <w:sz w:val="20"/>
                <w:szCs w:val="20"/>
              </w:rPr>
            </w:pPr>
            <w:r w:rsidRPr="007C51D6">
              <w:rPr>
                <w:color w:val="000000"/>
                <w:sz w:val="20"/>
                <w:szCs w:val="20"/>
              </w:rPr>
              <w:t>396,65</w:t>
            </w:r>
          </w:p>
        </w:tc>
        <w:tc>
          <w:tcPr>
            <w:tcW w:w="1225" w:type="dxa"/>
            <w:shd w:val="clear" w:color="auto" w:fill="auto"/>
            <w:hideMark/>
          </w:tcPr>
          <w:p w:rsidR="00871EE7" w:rsidRPr="007C51D6" w:rsidRDefault="00871EE7" w:rsidP="00871EE7">
            <w:pPr>
              <w:autoSpaceDE/>
              <w:autoSpaceDN/>
              <w:adjustRightInd/>
              <w:jc w:val="center"/>
              <w:rPr>
                <w:color w:val="000000"/>
                <w:sz w:val="20"/>
                <w:szCs w:val="20"/>
              </w:rPr>
            </w:pPr>
            <w:r w:rsidRPr="007C51D6">
              <w:rPr>
                <w:color w:val="000000"/>
                <w:sz w:val="20"/>
                <w:szCs w:val="20"/>
              </w:rPr>
              <w:t>504,25</w:t>
            </w:r>
          </w:p>
        </w:tc>
        <w:tc>
          <w:tcPr>
            <w:tcW w:w="992" w:type="dxa"/>
            <w:shd w:val="clear" w:color="auto" w:fill="auto"/>
            <w:hideMark/>
          </w:tcPr>
          <w:p w:rsidR="00871EE7" w:rsidRPr="007C51D6" w:rsidRDefault="00871EE7" w:rsidP="00871EE7">
            <w:pPr>
              <w:autoSpaceDE/>
              <w:autoSpaceDN/>
              <w:adjustRightInd/>
              <w:jc w:val="center"/>
              <w:rPr>
                <w:color w:val="000000"/>
                <w:sz w:val="20"/>
                <w:szCs w:val="20"/>
              </w:rPr>
            </w:pPr>
            <w:r w:rsidRPr="007C51D6">
              <w:rPr>
                <w:color w:val="000000"/>
                <w:sz w:val="20"/>
                <w:szCs w:val="20"/>
              </w:rPr>
              <w:t>499,31</w:t>
            </w:r>
          </w:p>
        </w:tc>
        <w:tc>
          <w:tcPr>
            <w:tcW w:w="1134" w:type="dxa"/>
            <w:shd w:val="clear" w:color="auto" w:fill="auto"/>
            <w:hideMark/>
          </w:tcPr>
          <w:p w:rsidR="00871EE7" w:rsidRPr="007C51D6" w:rsidRDefault="00871EE7" w:rsidP="00871EE7">
            <w:pPr>
              <w:autoSpaceDE/>
              <w:autoSpaceDN/>
              <w:adjustRightInd/>
              <w:jc w:val="center"/>
              <w:rPr>
                <w:color w:val="000000"/>
                <w:sz w:val="20"/>
                <w:szCs w:val="20"/>
              </w:rPr>
            </w:pPr>
            <w:r w:rsidRPr="007C51D6">
              <w:rPr>
                <w:color w:val="000000"/>
                <w:sz w:val="20"/>
                <w:szCs w:val="20"/>
              </w:rPr>
              <w:t>457,88</w:t>
            </w:r>
          </w:p>
        </w:tc>
        <w:tc>
          <w:tcPr>
            <w:tcW w:w="1134" w:type="dxa"/>
            <w:shd w:val="clear" w:color="auto" w:fill="auto"/>
            <w:hideMark/>
          </w:tcPr>
          <w:p w:rsidR="00871EE7" w:rsidRPr="007C51D6" w:rsidRDefault="00871EE7" w:rsidP="00871EE7">
            <w:pPr>
              <w:autoSpaceDE/>
              <w:autoSpaceDN/>
              <w:adjustRightInd/>
              <w:jc w:val="center"/>
              <w:rPr>
                <w:color w:val="000000"/>
                <w:sz w:val="20"/>
                <w:szCs w:val="20"/>
              </w:rPr>
            </w:pPr>
            <w:r w:rsidRPr="007C51D6">
              <w:rPr>
                <w:color w:val="000000"/>
                <w:sz w:val="20"/>
                <w:szCs w:val="20"/>
              </w:rPr>
              <w:t>372,56</w:t>
            </w:r>
          </w:p>
        </w:tc>
        <w:tc>
          <w:tcPr>
            <w:tcW w:w="1276" w:type="dxa"/>
          </w:tcPr>
          <w:p w:rsidR="00871EE7" w:rsidRPr="007C51D6" w:rsidRDefault="00871EE7" w:rsidP="00871EE7">
            <w:pPr>
              <w:autoSpaceDE/>
              <w:autoSpaceDN/>
              <w:adjustRightInd/>
              <w:jc w:val="center"/>
              <w:rPr>
                <w:color w:val="000000"/>
                <w:sz w:val="20"/>
                <w:szCs w:val="20"/>
              </w:rPr>
            </w:pPr>
            <w:r w:rsidRPr="007C51D6">
              <w:rPr>
                <w:color w:val="000000"/>
                <w:sz w:val="20"/>
                <w:szCs w:val="20"/>
              </w:rPr>
              <w:t>439,82</w:t>
            </w:r>
          </w:p>
        </w:tc>
        <w:tc>
          <w:tcPr>
            <w:tcW w:w="1134" w:type="dxa"/>
          </w:tcPr>
          <w:p w:rsidR="00871EE7" w:rsidRPr="007C51D6" w:rsidRDefault="00871EE7" w:rsidP="00871EE7">
            <w:pPr>
              <w:autoSpaceDE/>
              <w:autoSpaceDN/>
              <w:adjustRightInd/>
              <w:jc w:val="center"/>
              <w:rPr>
                <w:color w:val="000000"/>
                <w:sz w:val="20"/>
                <w:szCs w:val="20"/>
              </w:rPr>
            </w:pPr>
            <w:r w:rsidRPr="007C51D6">
              <w:rPr>
                <w:color w:val="000000"/>
                <w:sz w:val="20"/>
                <w:szCs w:val="20"/>
              </w:rPr>
              <w:t>387,48</w:t>
            </w:r>
          </w:p>
        </w:tc>
        <w:tc>
          <w:tcPr>
            <w:tcW w:w="1399" w:type="dxa"/>
            <w:vAlign w:val="center"/>
          </w:tcPr>
          <w:p w:rsidR="00871EE7" w:rsidRPr="007C51D6" w:rsidRDefault="00871EE7" w:rsidP="00871EE7">
            <w:pPr>
              <w:jc w:val="center"/>
              <w:rPr>
                <w:color w:val="000000"/>
                <w:sz w:val="20"/>
                <w:szCs w:val="20"/>
              </w:rPr>
            </w:pPr>
            <w:r w:rsidRPr="007C51D6">
              <w:rPr>
                <w:color w:val="000000"/>
                <w:sz w:val="20"/>
                <w:szCs w:val="20"/>
              </w:rPr>
              <w:t>393,03</w:t>
            </w:r>
          </w:p>
        </w:tc>
        <w:tc>
          <w:tcPr>
            <w:tcW w:w="1276" w:type="dxa"/>
            <w:vAlign w:val="center"/>
          </w:tcPr>
          <w:p w:rsidR="00871EE7" w:rsidRPr="007C51D6" w:rsidRDefault="00871EE7" w:rsidP="00871EE7">
            <w:pPr>
              <w:jc w:val="center"/>
              <w:rPr>
                <w:color w:val="000000"/>
                <w:sz w:val="20"/>
                <w:szCs w:val="20"/>
              </w:rPr>
            </w:pPr>
            <w:r w:rsidRPr="007C51D6">
              <w:rPr>
                <w:color w:val="000000"/>
                <w:sz w:val="20"/>
                <w:szCs w:val="20"/>
              </w:rPr>
              <w:t>513.59</w:t>
            </w:r>
          </w:p>
        </w:tc>
        <w:tc>
          <w:tcPr>
            <w:tcW w:w="1276" w:type="dxa"/>
            <w:vAlign w:val="center"/>
          </w:tcPr>
          <w:p w:rsidR="00871EE7" w:rsidRPr="007C51D6" w:rsidRDefault="00871EE7" w:rsidP="00871EE7">
            <w:pPr>
              <w:jc w:val="center"/>
              <w:rPr>
                <w:sz w:val="20"/>
                <w:szCs w:val="20"/>
              </w:rPr>
            </w:pPr>
            <w:r w:rsidRPr="007C51D6">
              <w:rPr>
                <w:sz w:val="20"/>
                <w:szCs w:val="20"/>
              </w:rPr>
              <w:t>567.09</w:t>
            </w:r>
          </w:p>
        </w:tc>
      </w:tr>
      <w:tr w:rsidR="00871EE7" w:rsidRPr="007C51D6" w:rsidTr="0038114E">
        <w:tblPrEx>
          <w:tblBorders>
            <w:bottom w:val="single" w:sz="4" w:space="0" w:color="auto"/>
          </w:tblBorders>
          <w:tblCellMar>
            <w:top w:w="28" w:type="dxa"/>
            <w:bottom w:w="28" w:type="dxa"/>
          </w:tblCellMar>
        </w:tblPrEx>
        <w:trPr>
          <w:trHeight w:val="227"/>
        </w:trPr>
        <w:tc>
          <w:tcPr>
            <w:tcW w:w="3255" w:type="dxa"/>
            <w:shd w:val="clear" w:color="auto" w:fill="auto"/>
            <w:hideMark/>
          </w:tcPr>
          <w:p w:rsidR="00871EE7" w:rsidRPr="007C51D6" w:rsidRDefault="00871EE7" w:rsidP="00871EE7">
            <w:pPr>
              <w:autoSpaceDE/>
              <w:autoSpaceDN/>
              <w:adjustRightInd/>
              <w:rPr>
                <w:color w:val="000000"/>
                <w:sz w:val="20"/>
                <w:szCs w:val="20"/>
              </w:rPr>
            </w:pPr>
            <w:r w:rsidRPr="007C51D6">
              <w:rPr>
                <w:color w:val="000000"/>
                <w:sz w:val="20"/>
                <w:szCs w:val="20"/>
              </w:rPr>
              <w:t>Нижнекамский</w:t>
            </w:r>
          </w:p>
        </w:tc>
        <w:tc>
          <w:tcPr>
            <w:tcW w:w="1062" w:type="dxa"/>
            <w:shd w:val="clear" w:color="auto" w:fill="auto"/>
            <w:hideMark/>
          </w:tcPr>
          <w:p w:rsidR="00871EE7" w:rsidRPr="007C51D6" w:rsidRDefault="00871EE7" w:rsidP="00871EE7">
            <w:pPr>
              <w:autoSpaceDE/>
              <w:autoSpaceDN/>
              <w:adjustRightInd/>
              <w:jc w:val="center"/>
              <w:rPr>
                <w:color w:val="000000"/>
                <w:sz w:val="20"/>
                <w:szCs w:val="20"/>
              </w:rPr>
            </w:pPr>
            <w:r w:rsidRPr="007C51D6">
              <w:rPr>
                <w:color w:val="000000"/>
                <w:sz w:val="20"/>
                <w:szCs w:val="20"/>
              </w:rPr>
              <w:t>361,25</w:t>
            </w:r>
          </w:p>
        </w:tc>
        <w:tc>
          <w:tcPr>
            <w:tcW w:w="1225" w:type="dxa"/>
            <w:shd w:val="clear" w:color="auto" w:fill="auto"/>
            <w:hideMark/>
          </w:tcPr>
          <w:p w:rsidR="00871EE7" w:rsidRPr="007C51D6" w:rsidRDefault="00871EE7" w:rsidP="00871EE7">
            <w:pPr>
              <w:autoSpaceDE/>
              <w:autoSpaceDN/>
              <w:adjustRightInd/>
              <w:jc w:val="center"/>
              <w:rPr>
                <w:color w:val="000000"/>
                <w:sz w:val="20"/>
                <w:szCs w:val="20"/>
              </w:rPr>
            </w:pPr>
            <w:r w:rsidRPr="007C51D6">
              <w:rPr>
                <w:color w:val="000000"/>
                <w:sz w:val="20"/>
                <w:szCs w:val="20"/>
              </w:rPr>
              <w:t>373,07</w:t>
            </w:r>
          </w:p>
        </w:tc>
        <w:tc>
          <w:tcPr>
            <w:tcW w:w="992" w:type="dxa"/>
            <w:shd w:val="clear" w:color="auto" w:fill="auto"/>
            <w:hideMark/>
          </w:tcPr>
          <w:p w:rsidR="00871EE7" w:rsidRPr="007C51D6" w:rsidRDefault="00871EE7" w:rsidP="00871EE7">
            <w:pPr>
              <w:autoSpaceDE/>
              <w:autoSpaceDN/>
              <w:adjustRightInd/>
              <w:jc w:val="center"/>
              <w:rPr>
                <w:color w:val="000000"/>
                <w:sz w:val="20"/>
                <w:szCs w:val="20"/>
              </w:rPr>
            </w:pPr>
            <w:r w:rsidRPr="007C51D6">
              <w:rPr>
                <w:color w:val="000000"/>
                <w:sz w:val="20"/>
                <w:szCs w:val="20"/>
              </w:rPr>
              <w:t>369,80</w:t>
            </w:r>
          </w:p>
        </w:tc>
        <w:tc>
          <w:tcPr>
            <w:tcW w:w="1134" w:type="dxa"/>
            <w:shd w:val="clear" w:color="auto" w:fill="auto"/>
            <w:hideMark/>
          </w:tcPr>
          <w:p w:rsidR="00871EE7" w:rsidRPr="007C51D6" w:rsidRDefault="00871EE7" w:rsidP="00871EE7">
            <w:pPr>
              <w:autoSpaceDE/>
              <w:autoSpaceDN/>
              <w:adjustRightInd/>
              <w:jc w:val="center"/>
              <w:rPr>
                <w:color w:val="000000"/>
                <w:sz w:val="20"/>
                <w:szCs w:val="20"/>
              </w:rPr>
            </w:pPr>
            <w:r w:rsidRPr="007C51D6">
              <w:rPr>
                <w:color w:val="000000"/>
                <w:sz w:val="20"/>
                <w:szCs w:val="20"/>
              </w:rPr>
              <w:t>397,04</w:t>
            </w:r>
          </w:p>
        </w:tc>
        <w:tc>
          <w:tcPr>
            <w:tcW w:w="1134" w:type="dxa"/>
            <w:shd w:val="clear" w:color="auto" w:fill="auto"/>
            <w:hideMark/>
          </w:tcPr>
          <w:p w:rsidR="00871EE7" w:rsidRPr="007C51D6" w:rsidRDefault="00871EE7" w:rsidP="00871EE7">
            <w:pPr>
              <w:autoSpaceDE/>
              <w:autoSpaceDN/>
              <w:adjustRightInd/>
              <w:jc w:val="center"/>
              <w:rPr>
                <w:color w:val="000000"/>
                <w:sz w:val="20"/>
                <w:szCs w:val="20"/>
              </w:rPr>
            </w:pPr>
            <w:r w:rsidRPr="007C51D6">
              <w:rPr>
                <w:color w:val="000000"/>
                <w:sz w:val="20"/>
                <w:szCs w:val="20"/>
              </w:rPr>
              <w:t>338,37</w:t>
            </w:r>
          </w:p>
        </w:tc>
        <w:tc>
          <w:tcPr>
            <w:tcW w:w="1276" w:type="dxa"/>
          </w:tcPr>
          <w:p w:rsidR="00871EE7" w:rsidRPr="007C51D6" w:rsidRDefault="00871EE7" w:rsidP="00871EE7">
            <w:pPr>
              <w:autoSpaceDE/>
              <w:autoSpaceDN/>
              <w:adjustRightInd/>
              <w:jc w:val="center"/>
              <w:rPr>
                <w:color w:val="000000"/>
                <w:sz w:val="20"/>
                <w:szCs w:val="20"/>
              </w:rPr>
            </w:pPr>
            <w:r w:rsidRPr="007C51D6">
              <w:rPr>
                <w:color w:val="000000"/>
                <w:sz w:val="20"/>
                <w:szCs w:val="20"/>
              </w:rPr>
              <w:t>374,20</w:t>
            </w:r>
          </w:p>
        </w:tc>
        <w:tc>
          <w:tcPr>
            <w:tcW w:w="1134" w:type="dxa"/>
          </w:tcPr>
          <w:p w:rsidR="00871EE7" w:rsidRPr="007C51D6" w:rsidRDefault="00871EE7" w:rsidP="00871EE7">
            <w:pPr>
              <w:autoSpaceDE/>
              <w:autoSpaceDN/>
              <w:adjustRightInd/>
              <w:jc w:val="center"/>
              <w:rPr>
                <w:color w:val="000000"/>
                <w:sz w:val="20"/>
                <w:szCs w:val="20"/>
              </w:rPr>
            </w:pPr>
            <w:r w:rsidRPr="007C51D6">
              <w:rPr>
                <w:color w:val="000000"/>
                <w:sz w:val="20"/>
                <w:szCs w:val="20"/>
              </w:rPr>
              <w:t>395,24</w:t>
            </w:r>
          </w:p>
        </w:tc>
        <w:tc>
          <w:tcPr>
            <w:tcW w:w="1399" w:type="dxa"/>
            <w:vAlign w:val="center"/>
          </w:tcPr>
          <w:p w:rsidR="00871EE7" w:rsidRPr="007C51D6" w:rsidRDefault="00871EE7" w:rsidP="00871EE7">
            <w:pPr>
              <w:jc w:val="center"/>
              <w:rPr>
                <w:color w:val="000000"/>
                <w:sz w:val="20"/>
                <w:szCs w:val="20"/>
              </w:rPr>
            </w:pPr>
            <w:r w:rsidRPr="007C51D6">
              <w:rPr>
                <w:color w:val="000000"/>
                <w:sz w:val="20"/>
                <w:szCs w:val="20"/>
              </w:rPr>
              <w:t>387,29</w:t>
            </w:r>
          </w:p>
        </w:tc>
        <w:tc>
          <w:tcPr>
            <w:tcW w:w="1276" w:type="dxa"/>
            <w:vAlign w:val="center"/>
          </w:tcPr>
          <w:p w:rsidR="00871EE7" w:rsidRPr="007C51D6" w:rsidRDefault="00871EE7" w:rsidP="00871EE7">
            <w:pPr>
              <w:jc w:val="center"/>
              <w:rPr>
                <w:color w:val="000000"/>
                <w:sz w:val="20"/>
                <w:szCs w:val="20"/>
              </w:rPr>
            </w:pPr>
            <w:r w:rsidRPr="007C51D6">
              <w:rPr>
                <w:color w:val="000000"/>
                <w:sz w:val="20"/>
                <w:szCs w:val="20"/>
              </w:rPr>
              <w:t>462.71</w:t>
            </w:r>
          </w:p>
        </w:tc>
        <w:tc>
          <w:tcPr>
            <w:tcW w:w="1276" w:type="dxa"/>
            <w:vAlign w:val="center"/>
          </w:tcPr>
          <w:p w:rsidR="00871EE7" w:rsidRPr="007C51D6" w:rsidRDefault="00871EE7" w:rsidP="00871EE7">
            <w:pPr>
              <w:jc w:val="center"/>
              <w:rPr>
                <w:sz w:val="20"/>
                <w:szCs w:val="20"/>
              </w:rPr>
            </w:pPr>
            <w:r w:rsidRPr="007C51D6">
              <w:rPr>
                <w:sz w:val="20"/>
                <w:szCs w:val="20"/>
              </w:rPr>
              <w:t>463.80</w:t>
            </w:r>
          </w:p>
        </w:tc>
      </w:tr>
      <w:tr w:rsidR="00871EE7" w:rsidRPr="007C51D6" w:rsidTr="0038114E">
        <w:tblPrEx>
          <w:tblBorders>
            <w:bottom w:val="single" w:sz="4" w:space="0" w:color="auto"/>
          </w:tblBorders>
          <w:tblCellMar>
            <w:top w:w="28" w:type="dxa"/>
            <w:bottom w:w="28" w:type="dxa"/>
          </w:tblCellMar>
        </w:tblPrEx>
        <w:trPr>
          <w:trHeight w:val="227"/>
        </w:trPr>
        <w:tc>
          <w:tcPr>
            <w:tcW w:w="3255" w:type="dxa"/>
            <w:shd w:val="clear" w:color="auto" w:fill="auto"/>
            <w:hideMark/>
          </w:tcPr>
          <w:p w:rsidR="00871EE7" w:rsidRPr="007C51D6" w:rsidRDefault="00871EE7" w:rsidP="00871EE7">
            <w:pPr>
              <w:autoSpaceDE/>
              <w:autoSpaceDN/>
              <w:adjustRightInd/>
              <w:rPr>
                <w:color w:val="000000"/>
                <w:sz w:val="20"/>
                <w:szCs w:val="20"/>
              </w:rPr>
            </w:pPr>
            <w:r w:rsidRPr="007C51D6">
              <w:rPr>
                <w:color w:val="000000"/>
                <w:sz w:val="20"/>
                <w:szCs w:val="20"/>
              </w:rPr>
              <w:t>Новошешминский</w:t>
            </w:r>
          </w:p>
        </w:tc>
        <w:tc>
          <w:tcPr>
            <w:tcW w:w="1062" w:type="dxa"/>
            <w:shd w:val="clear" w:color="auto" w:fill="auto"/>
            <w:hideMark/>
          </w:tcPr>
          <w:p w:rsidR="00871EE7" w:rsidRPr="007C51D6" w:rsidRDefault="00871EE7" w:rsidP="00871EE7">
            <w:pPr>
              <w:autoSpaceDE/>
              <w:autoSpaceDN/>
              <w:adjustRightInd/>
              <w:jc w:val="center"/>
              <w:rPr>
                <w:color w:val="000000"/>
                <w:sz w:val="20"/>
                <w:szCs w:val="20"/>
              </w:rPr>
            </w:pPr>
            <w:r w:rsidRPr="007C51D6">
              <w:rPr>
                <w:color w:val="000000"/>
                <w:sz w:val="20"/>
                <w:szCs w:val="20"/>
              </w:rPr>
              <w:t>391,84</w:t>
            </w:r>
          </w:p>
        </w:tc>
        <w:tc>
          <w:tcPr>
            <w:tcW w:w="1225" w:type="dxa"/>
            <w:shd w:val="clear" w:color="auto" w:fill="auto"/>
            <w:hideMark/>
          </w:tcPr>
          <w:p w:rsidR="00871EE7" w:rsidRPr="007C51D6" w:rsidRDefault="00871EE7" w:rsidP="00871EE7">
            <w:pPr>
              <w:autoSpaceDE/>
              <w:autoSpaceDN/>
              <w:adjustRightInd/>
              <w:jc w:val="center"/>
              <w:rPr>
                <w:color w:val="000000"/>
                <w:sz w:val="20"/>
                <w:szCs w:val="20"/>
              </w:rPr>
            </w:pPr>
            <w:r w:rsidRPr="007C51D6">
              <w:rPr>
                <w:color w:val="000000"/>
                <w:sz w:val="20"/>
                <w:szCs w:val="20"/>
              </w:rPr>
              <w:t>470,64</w:t>
            </w:r>
          </w:p>
        </w:tc>
        <w:tc>
          <w:tcPr>
            <w:tcW w:w="992" w:type="dxa"/>
            <w:shd w:val="clear" w:color="auto" w:fill="auto"/>
            <w:hideMark/>
          </w:tcPr>
          <w:p w:rsidR="00871EE7" w:rsidRPr="007C51D6" w:rsidRDefault="00871EE7" w:rsidP="00871EE7">
            <w:pPr>
              <w:autoSpaceDE/>
              <w:autoSpaceDN/>
              <w:adjustRightInd/>
              <w:jc w:val="center"/>
              <w:rPr>
                <w:color w:val="000000"/>
                <w:sz w:val="20"/>
                <w:szCs w:val="20"/>
              </w:rPr>
            </w:pPr>
            <w:r w:rsidRPr="007C51D6">
              <w:rPr>
                <w:color w:val="000000"/>
                <w:sz w:val="20"/>
                <w:szCs w:val="20"/>
              </w:rPr>
              <w:t>515,46</w:t>
            </w:r>
          </w:p>
        </w:tc>
        <w:tc>
          <w:tcPr>
            <w:tcW w:w="1134" w:type="dxa"/>
            <w:shd w:val="clear" w:color="auto" w:fill="auto"/>
            <w:hideMark/>
          </w:tcPr>
          <w:p w:rsidR="00871EE7" w:rsidRPr="007C51D6" w:rsidRDefault="00871EE7" w:rsidP="00871EE7">
            <w:pPr>
              <w:autoSpaceDE/>
              <w:autoSpaceDN/>
              <w:adjustRightInd/>
              <w:jc w:val="center"/>
              <w:rPr>
                <w:color w:val="000000"/>
                <w:sz w:val="20"/>
                <w:szCs w:val="20"/>
              </w:rPr>
            </w:pPr>
            <w:r w:rsidRPr="007C51D6">
              <w:rPr>
                <w:color w:val="000000"/>
                <w:sz w:val="20"/>
                <w:szCs w:val="20"/>
              </w:rPr>
              <w:t>386,07</w:t>
            </w:r>
          </w:p>
        </w:tc>
        <w:tc>
          <w:tcPr>
            <w:tcW w:w="1134" w:type="dxa"/>
            <w:shd w:val="clear" w:color="auto" w:fill="auto"/>
            <w:hideMark/>
          </w:tcPr>
          <w:p w:rsidR="00871EE7" w:rsidRPr="007C51D6" w:rsidRDefault="00871EE7" w:rsidP="00871EE7">
            <w:pPr>
              <w:autoSpaceDE/>
              <w:autoSpaceDN/>
              <w:adjustRightInd/>
              <w:jc w:val="center"/>
              <w:rPr>
                <w:color w:val="000000"/>
                <w:sz w:val="20"/>
                <w:szCs w:val="20"/>
              </w:rPr>
            </w:pPr>
            <w:r w:rsidRPr="007C51D6">
              <w:rPr>
                <w:color w:val="000000"/>
                <w:sz w:val="20"/>
                <w:szCs w:val="20"/>
              </w:rPr>
              <w:t>289,47</w:t>
            </w:r>
          </w:p>
        </w:tc>
        <w:tc>
          <w:tcPr>
            <w:tcW w:w="1276" w:type="dxa"/>
          </w:tcPr>
          <w:p w:rsidR="00871EE7" w:rsidRPr="007C51D6" w:rsidRDefault="00871EE7" w:rsidP="00871EE7">
            <w:pPr>
              <w:autoSpaceDE/>
              <w:autoSpaceDN/>
              <w:adjustRightInd/>
              <w:jc w:val="center"/>
              <w:rPr>
                <w:color w:val="000000"/>
                <w:sz w:val="20"/>
                <w:szCs w:val="20"/>
              </w:rPr>
            </w:pPr>
            <w:r w:rsidRPr="007C51D6">
              <w:rPr>
                <w:color w:val="000000"/>
                <w:sz w:val="20"/>
                <w:szCs w:val="20"/>
              </w:rPr>
              <w:t>563,29</w:t>
            </w:r>
          </w:p>
        </w:tc>
        <w:tc>
          <w:tcPr>
            <w:tcW w:w="1134" w:type="dxa"/>
          </w:tcPr>
          <w:p w:rsidR="00871EE7" w:rsidRPr="007C51D6" w:rsidRDefault="00871EE7" w:rsidP="00871EE7">
            <w:pPr>
              <w:autoSpaceDE/>
              <w:autoSpaceDN/>
              <w:adjustRightInd/>
              <w:jc w:val="center"/>
              <w:rPr>
                <w:color w:val="000000"/>
                <w:sz w:val="20"/>
                <w:szCs w:val="20"/>
              </w:rPr>
            </w:pPr>
            <w:r w:rsidRPr="007C51D6">
              <w:rPr>
                <w:color w:val="000000"/>
                <w:sz w:val="20"/>
                <w:szCs w:val="20"/>
              </w:rPr>
              <w:t>441,09</w:t>
            </w:r>
          </w:p>
        </w:tc>
        <w:tc>
          <w:tcPr>
            <w:tcW w:w="1399" w:type="dxa"/>
            <w:vAlign w:val="center"/>
          </w:tcPr>
          <w:p w:rsidR="00871EE7" w:rsidRPr="007C51D6" w:rsidRDefault="00871EE7" w:rsidP="00871EE7">
            <w:pPr>
              <w:jc w:val="center"/>
              <w:rPr>
                <w:color w:val="000000"/>
                <w:sz w:val="20"/>
                <w:szCs w:val="20"/>
              </w:rPr>
            </w:pPr>
            <w:r w:rsidRPr="007C51D6">
              <w:rPr>
                <w:color w:val="000000"/>
                <w:sz w:val="20"/>
                <w:szCs w:val="20"/>
              </w:rPr>
              <w:t>429,75</w:t>
            </w:r>
          </w:p>
        </w:tc>
        <w:tc>
          <w:tcPr>
            <w:tcW w:w="1276" w:type="dxa"/>
            <w:vAlign w:val="center"/>
          </w:tcPr>
          <w:p w:rsidR="00871EE7" w:rsidRPr="007C51D6" w:rsidRDefault="00871EE7" w:rsidP="00871EE7">
            <w:pPr>
              <w:jc w:val="center"/>
              <w:rPr>
                <w:color w:val="000000"/>
                <w:sz w:val="20"/>
                <w:szCs w:val="20"/>
              </w:rPr>
            </w:pPr>
            <w:r w:rsidRPr="007C51D6">
              <w:rPr>
                <w:color w:val="000000"/>
                <w:sz w:val="20"/>
                <w:szCs w:val="20"/>
              </w:rPr>
              <w:t>469.22</w:t>
            </w:r>
          </w:p>
        </w:tc>
        <w:tc>
          <w:tcPr>
            <w:tcW w:w="1276" w:type="dxa"/>
            <w:vAlign w:val="center"/>
          </w:tcPr>
          <w:p w:rsidR="00871EE7" w:rsidRPr="007C51D6" w:rsidRDefault="00871EE7" w:rsidP="00871EE7">
            <w:pPr>
              <w:jc w:val="center"/>
              <w:rPr>
                <w:sz w:val="20"/>
                <w:szCs w:val="20"/>
              </w:rPr>
            </w:pPr>
            <w:r w:rsidRPr="007C51D6">
              <w:rPr>
                <w:sz w:val="20"/>
                <w:szCs w:val="20"/>
              </w:rPr>
              <w:t>564.66</w:t>
            </w:r>
          </w:p>
        </w:tc>
      </w:tr>
      <w:tr w:rsidR="00871EE7" w:rsidRPr="007C51D6" w:rsidTr="0038114E">
        <w:tblPrEx>
          <w:tblBorders>
            <w:bottom w:val="single" w:sz="4" w:space="0" w:color="auto"/>
          </w:tblBorders>
          <w:tblCellMar>
            <w:top w:w="28" w:type="dxa"/>
            <w:bottom w:w="28" w:type="dxa"/>
          </w:tblCellMar>
        </w:tblPrEx>
        <w:trPr>
          <w:trHeight w:val="227"/>
        </w:trPr>
        <w:tc>
          <w:tcPr>
            <w:tcW w:w="3255" w:type="dxa"/>
            <w:shd w:val="clear" w:color="auto" w:fill="auto"/>
            <w:hideMark/>
          </w:tcPr>
          <w:p w:rsidR="00871EE7" w:rsidRPr="007C51D6" w:rsidRDefault="00871EE7" w:rsidP="00871EE7">
            <w:pPr>
              <w:autoSpaceDE/>
              <w:autoSpaceDN/>
              <w:adjustRightInd/>
              <w:rPr>
                <w:color w:val="000000"/>
                <w:sz w:val="20"/>
                <w:szCs w:val="20"/>
              </w:rPr>
            </w:pPr>
            <w:r w:rsidRPr="007C51D6">
              <w:rPr>
                <w:color w:val="000000"/>
                <w:sz w:val="20"/>
                <w:szCs w:val="20"/>
              </w:rPr>
              <w:t>Нурлатский</w:t>
            </w:r>
          </w:p>
        </w:tc>
        <w:tc>
          <w:tcPr>
            <w:tcW w:w="1062" w:type="dxa"/>
            <w:shd w:val="clear" w:color="auto" w:fill="auto"/>
            <w:hideMark/>
          </w:tcPr>
          <w:p w:rsidR="00871EE7" w:rsidRPr="007C51D6" w:rsidRDefault="00871EE7" w:rsidP="00871EE7">
            <w:pPr>
              <w:autoSpaceDE/>
              <w:autoSpaceDN/>
              <w:adjustRightInd/>
              <w:jc w:val="center"/>
              <w:rPr>
                <w:color w:val="000000"/>
                <w:sz w:val="20"/>
                <w:szCs w:val="20"/>
              </w:rPr>
            </w:pPr>
            <w:r w:rsidRPr="007C51D6">
              <w:rPr>
                <w:color w:val="000000"/>
                <w:sz w:val="20"/>
                <w:szCs w:val="20"/>
              </w:rPr>
              <w:t>384,29</w:t>
            </w:r>
          </w:p>
        </w:tc>
        <w:tc>
          <w:tcPr>
            <w:tcW w:w="1225" w:type="dxa"/>
            <w:shd w:val="clear" w:color="auto" w:fill="auto"/>
            <w:hideMark/>
          </w:tcPr>
          <w:p w:rsidR="00871EE7" w:rsidRPr="007C51D6" w:rsidRDefault="00871EE7" w:rsidP="00871EE7">
            <w:pPr>
              <w:autoSpaceDE/>
              <w:autoSpaceDN/>
              <w:adjustRightInd/>
              <w:jc w:val="center"/>
              <w:rPr>
                <w:color w:val="000000"/>
                <w:sz w:val="20"/>
                <w:szCs w:val="20"/>
              </w:rPr>
            </w:pPr>
            <w:r w:rsidRPr="007C51D6">
              <w:rPr>
                <w:color w:val="000000"/>
                <w:sz w:val="20"/>
                <w:szCs w:val="20"/>
              </w:rPr>
              <w:t>336,40</w:t>
            </w:r>
          </w:p>
        </w:tc>
        <w:tc>
          <w:tcPr>
            <w:tcW w:w="992" w:type="dxa"/>
            <w:shd w:val="clear" w:color="auto" w:fill="auto"/>
            <w:hideMark/>
          </w:tcPr>
          <w:p w:rsidR="00871EE7" w:rsidRPr="007C51D6" w:rsidRDefault="00871EE7" w:rsidP="00871EE7">
            <w:pPr>
              <w:autoSpaceDE/>
              <w:autoSpaceDN/>
              <w:adjustRightInd/>
              <w:jc w:val="center"/>
              <w:rPr>
                <w:color w:val="000000"/>
                <w:sz w:val="20"/>
                <w:szCs w:val="20"/>
              </w:rPr>
            </w:pPr>
            <w:r w:rsidRPr="007C51D6">
              <w:rPr>
                <w:color w:val="000000"/>
                <w:sz w:val="20"/>
                <w:szCs w:val="20"/>
              </w:rPr>
              <w:t>414,43</w:t>
            </w:r>
          </w:p>
        </w:tc>
        <w:tc>
          <w:tcPr>
            <w:tcW w:w="1134" w:type="dxa"/>
            <w:shd w:val="clear" w:color="auto" w:fill="auto"/>
            <w:hideMark/>
          </w:tcPr>
          <w:p w:rsidR="00871EE7" w:rsidRPr="007C51D6" w:rsidRDefault="00871EE7" w:rsidP="00871EE7">
            <w:pPr>
              <w:autoSpaceDE/>
              <w:autoSpaceDN/>
              <w:adjustRightInd/>
              <w:jc w:val="center"/>
              <w:rPr>
                <w:color w:val="000000"/>
                <w:sz w:val="20"/>
                <w:szCs w:val="20"/>
              </w:rPr>
            </w:pPr>
            <w:r w:rsidRPr="007C51D6">
              <w:rPr>
                <w:color w:val="000000"/>
                <w:sz w:val="20"/>
                <w:szCs w:val="20"/>
              </w:rPr>
              <w:t>410,80</w:t>
            </w:r>
          </w:p>
        </w:tc>
        <w:tc>
          <w:tcPr>
            <w:tcW w:w="1134" w:type="dxa"/>
            <w:shd w:val="clear" w:color="auto" w:fill="auto"/>
            <w:hideMark/>
          </w:tcPr>
          <w:p w:rsidR="00871EE7" w:rsidRPr="007C51D6" w:rsidRDefault="00871EE7" w:rsidP="00871EE7">
            <w:pPr>
              <w:autoSpaceDE/>
              <w:autoSpaceDN/>
              <w:adjustRightInd/>
              <w:jc w:val="center"/>
              <w:rPr>
                <w:color w:val="000000"/>
                <w:sz w:val="20"/>
                <w:szCs w:val="20"/>
              </w:rPr>
            </w:pPr>
            <w:r w:rsidRPr="007C51D6">
              <w:rPr>
                <w:color w:val="000000"/>
                <w:sz w:val="20"/>
                <w:szCs w:val="20"/>
              </w:rPr>
              <w:t>350,53</w:t>
            </w:r>
          </w:p>
        </w:tc>
        <w:tc>
          <w:tcPr>
            <w:tcW w:w="1276" w:type="dxa"/>
          </w:tcPr>
          <w:p w:rsidR="00871EE7" w:rsidRPr="007C51D6" w:rsidRDefault="00871EE7" w:rsidP="00871EE7">
            <w:pPr>
              <w:autoSpaceDE/>
              <w:autoSpaceDN/>
              <w:adjustRightInd/>
              <w:jc w:val="center"/>
              <w:rPr>
                <w:color w:val="000000"/>
                <w:sz w:val="20"/>
                <w:szCs w:val="20"/>
              </w:rPr>
            </w:pPr>
            <w:r w:rsidRPr="007C51D6">
              <w:rPr>
                <w:color w:val="000000"/>
                <w:sz w:val="20"/>
                <w:szCs w:val="20"/>
              </w:rPr>
              <w:t>363,18</w:t>
            </w:r>
          </w:p>
        </w:tc>
        <w:tc>
          <w:tcPr>
            <w:tcW w:w="1134" w:type="dxa"/>
          </w:tcPr>
          <w:p w:rsidR="00871EE7" w:rsidRPr="007C51D6" w:rsidRDefault="00871EE7" w:rsidP="00871EE7">
            <w:pPr>
              <w:autoSpaceDE/>
              <w:autoSpaceDN/>
              <w:adjustRightInd/>
              <w:jc w:val="center"/>
              <w:rPr>
                <w:color w:val="000000"/>
                <w:sz w:val="20"/>
                <w:szCs w:val="20"/>
              </w:rPr>
            </w:pPr>
            <w:r w:rsidRPr="007C51D6">
              <w:rPr>
                <w:color w:val="000000"/>
                <w:sz w:val="20"/>
                <w:szCs w:val="20"/>
              </w:rPr>
              <w:t>420,83</w:t>
            </w:r>
          </w:p>
        </w:tc>
        <w:tc>
          <w:tcPr>
            <w:tcW w:w="1399" w:type="dxa"/>
            <w:vAlign w:val="center"/>
          </w:tcPr>
          <w:p w:rsidR="00871EE7" w:rsidRPr="007C51D6" w:rsidRDefault="00871EE7" w:rsidP="00871EE7">
            <w:pPr>
              <w:jc w:val="center"/>
              <w:rPr>
                <w:color w:val="000000"/>
                <w:sz w:val="20"/>
                <w:szCs w:val="20"/>
              </w:rPr>
            </w:pPr>
            <w:r w:rsidRPr="007C51D6">
              <w:rPr>
                <w:color w:val="000000"/>
                <w:sz w:val="20"/>
                <w:szCs w:val="20"/>
              </w:rPr>
              <w:t>362,53</w:t>
            </w:r>
          </w:p>
        </w:tc>
        <w:tc>
          <w:tcPr>
            <w:tcW w:w="1276" w:type="dxa"/>
            <w:vAlign w:val="center"/>
          </w:tcPr>
          <w:p w:rsidR="00871EE7" w:rsidRPr="007C51D6" w:rsidRDefault="00871EE7" w:rsidP="00871EE7">
            <w:pPr>
              <w:jc w:val="center"/>
              <w:rPr>
                <w:color w:val="000000"/>
                <w:sz w:val="20"/>
                <w:szCs w:val="20"/>
              </w:rPr>
            </w:pPr>
            <w:r w:rsidRPr="007C51D6">
              <w:rPr>
                <w:color w:val="000000"/>
                <w:sz w:val="20"/>
                <w:szCs w:val="20"/>
              </w:rPr>
              <w:t>512.96</w:t>
            </w:r>
          </w:p>
        </w:tc>
        <w:tc>
          <w:tcPr>
            <w:tcW w:w="1276" w:type="dxa"/>
            <w:vAlign w:val="center"/>
          </w:tcPr>
          <w:p w:rsidR="00871EE7" w:rsidRPr="007C51D6" w:rsidRDefault="00871EE7" w:rsidP="00871EE7">
            <w:pPr>
              <w:jc w:val="center"/>
              <w:rPr>
                <w:sz w:val="20"/>
                <w:szCs w:val="20"/>
              </w:rPr>
            </w:pPr>
            <w:r w:rsidRPr="007C51D6">
              <w:rPr>
                <w:sz w:val="20"/>
                <w:szCs w:val="20"/>
              </w:rPr>
              <w:t>505.22</w:t>
            </w:r>
          </w:p>
        </w:tc>
      </w:tr>
      <w:tr w:rsidR="00871EE7" w:rsidRPr="007C51D6" w:rsidTr="0038114E">
        <w:tblPrEx>
          <w:tblBorders>
            <w:bottom w:val="single" w:sz="4" w:space="0" w:color="auto"/>
          </w:tblBorders>
          <w:tblCellMar>
            <w:top w:w="28" w:type="dxa"/>
            <w:bottom w:w="28" w:type="dxa"/>
          </w:tblCellMar>
        </w:tblPrEx>
        <w:trPr>
          <w:trHeight w:val="227"/>
        </w:trPr>
        <w:tc>
          <w:tcPr>
            <w:tcW w:w="3255" w:type="dxa"/>
            <w:shd w:val="clear" w:color="auto" w:fill="auto"/>
            <w:hideMark/>
          </w:tcPr>
          <w:p w:rsidR="00871EE7" w:rsidRPr="007C51D6" w:rsidRDefault="00871EE7" w:rsidP="00871EE7">
            <w:pPr>
              <w:autoSpaceDE/>
              <w:autoSpaceDN/>
              <w:adjustRightInd/>
              <w:rPr>
                <w:color w:val="000000"/>
                <w:sz w:val="20"/>
                <w:szCs w:val="20"/>
              </w:rPr>
            </w:pPr>
            <w:r w:rsidRPr="007C51D6">
              <w:rPr>
                <w:color w:val="000000"/>
                <w:sz w:val="20"/>
                <w:szCs w:val="20"/>
              </w:rPr>
              <w:t>Пестречинский</w:t>
            </w:r>
          </w:p>
        </w:tc>
        <w:tc>
          <w:tcPr>
            <w:tcW w:w="1062" w:type="dxa"/>
            <w:shd w:val="clear" w:color="auto" w:fill="auto"/>
            <w:hideMark/>
          </w:tcPr>
          <w:p w:rsidR="00871EE7" w:rsidRPr="007C51D6" w:rsidRDefault="00871EE7" w:rsidP="00871EE7">
            <w:pPr>
              <w:autoSpaceDE/>
              <w:autoSpaceDN/>
              <w:adjustRightInd/>
              <w:jc w:val="center"/>
              <w:rPr>
                <w:color w:val="000000"/>
                <w:sz w:val="20"/>
                <w:szCs w:val="20"/>
              </w:rPr>
            </w:pPr>
            <w:r w:rsidRPr="007C51D6">
              <w:rPr>
                <w:color w:val="000000"/>
                <w:sz w:val="20"/>
                <w:szCs w:val="20"/>
              </w:rPr>
              <w:t>334,72</w:t>
            </w:r>
          </w:p>
        </w:tc>
        <w:tc>
          <w:tcPr>
            <w:tcW w:w="1225" w:type="dxa"/>
            <w:shd w:val="clear" w:color="auto" w:fill="auto"/>
            <w:hideMark/>
          </w:tcPr>
          <w:p w:rsidR="00871EE7" w:rsidRPr="007C51D6" w:rsidRDefault="00871EE7" w:rsidP="00871EE7">
            <w:pPr>
              <w:autoSpaceDE/>
              <w:autoSpaceDN/>
              <w:adjustRightInd/>
              <w:jc w:val="center"/>
              <w:rPr>
                <w:color w:val="000000"/>
                <w:sz w:val="20"/>
                <w:szCs w:val="20"/>
              </w:rPr>
            </w:pPr>
            <w:r w:rsidRPr="007C51D6">
              <w:rPr>
                <w:color w:val="000000"/>
                <w:sz w:val="20"/>
                <w:szCs w:val="20"/>
              </w:rPr>
              <w:t>347,00</w:t>
            </w:r>
          </w:p>
        </w:tc>
        <w:tc>
          <w:tcPr>
            <w:tcW w:w="992" w:type="dxa"/>
            <w:shd w:val="clear" w:color="auto" w:fill="auto"/>
            <w:hideMark/>
          </w:tcPr>
          <w:p w:rsidR="00871EE7" w:rsidRPr="007C51D6" w:rsidRDefault="00871EE7" w:rsidP="00871EE7">
            <w:pPr>
              <w:autoSpaceDE/>
              <w:autoSpaceDN/>
              <w:adjustRightInd/>
              <w:jc w:val="center"/>
              <w:rPr>
                <w:color w:val="000000"/>
                <w:sz w:val="20"/>
                <w:szCs w:val="20"/>
              </w:rPr>
            </w:pPr>
            <w:r w:rsidRPr="007C51D6">
              <w:rPr>
                <w:color w:val="000000"/>
                <w:sz w:val="20"/>
                <w:szCs w:val="20"/>
              </w:rPr>
              <w:t>411,15</w:t>
            </w:r>
          </w:p>
        </w:tc>
        <w:tc>
          <w:tcPr>
            <w:tcW w:w="1134" w:type="dxa"/>
            <w:shd w:val="clear" w:color="auto" w:fill="auto"/>
            <w:hideMark/>
          </w:tcPr>
          <w:p w:rsidR="00871EE7" w:rsidRPr="007C51D6" w:rsidRDefault="00871EE7" w:rsidP="00871EE7">
            <w:pPr>
              <w:autoSpaceDE/>
              <w:autoSpaceDN/>
              <w:adjustRightInd/>
              <w:jc w:val="center"/>
              <w:rPr>
                <w:color w:val="000000"/>
                <w:sz w:val="20"/>
                <w:szCs w:val="20"/>
              </w:rPr>
            </w:pPr>
            <w:r w:rsidRPr="007C51D6">
              <w:rPr>
                <w:color w:val="000000"/>
                <w:sz w:val="20"/>
                <w:szCs w:val="20"/>
              </w:rPr>
              <w:t>381,87</w:t>
            </w:r>
          </w:p>
        </w:tc>
        <w:tc>
          <w:tcPr>
            <w:tcW w:w="1134" w:type="dxa"/>
            <w:shd w:val="clear" w:color="auto" w:fill="auto"/>
            <w:hideMark/>
          </w:tcPr>
          <w:p w:rsidR="00871EE7" w:rsidRPr="007C51D6" w:rsidRDefault="00871EE7" w:rsidP="00871EE7">
            <w:pPr>
              <w:autoSpaceDE/>
              <w:autoSpaceDN/>
              <w:adjustRightInd/>
              <w:jc w:val="center"/>
              <w:rPr>
                <w:color w:val="000000"/>
                <w:sz w:val="20"/>
                <w:szCs w:val="20"/>
              </w:rPr>
            </w:pPr>
            <w:r w:rsidRPr="007C51D6">
              <w:rPr>
                <w:color w:val="000000"/>
                <w:sz w:val="20"/>
                <w:szCs w:val="20"/>
              </w:rPr>
              <w:t>301,86</w:t>
            </w:r>
          </w:p>
        </w:tc>
        <w:tc>
          <w:tcPr>
            <w:tcW w:w="1276" w:type="dxa"/>
          </w:tcPr>
          <w:p w:rsidR="00871EE7" w:rsidRPr="007C51D6" w:rsidRDefault="00871EE7" w:rsidP="00871EE7">
            <w:pPr>
              <w:autoSpaceDE/>
              <w:autoSpaceDN/>
              <w:adjustRightInd/>
              <w:jc w:val="center"/>
              <w:rPr>
                <w:color w:val="000000"/>
                <w:sz w:val="20"/>
                <w:szCs w:val="20"/>
              </w:rPr>
            </w:pPr>
            <w:r w:rsidRPr="007C51D6">
              <w:rPr>
                <w:color w:val="000000"/>
                <w:sz w:val="20"/>
                <w:szCs w:val="20"/>
              </w:rPr>
              <w:t>344,03</w:t>
            </w:r>
          </w:p>
        </w:tc>
        <w:tc>
          <w:tcPr>
            <w:tcW w:w="1134" w:type="dxa"/>
          </w:tcPr>
          <w:p w:rsidR="00871EE7" w:rsidRPr="007C51D6" w:rsidRDefault="00871EE7" w:rsidP="00871EE7">
            <w:pPr>
              <w:autoSpaceDE/>
              <w:autoSpaceDN/>
              <w:adjustRightInd/>
              <w:jc w:val="center"/>
              <w:rPr>
                <w:color w:val="000000"/>
                <w:sz w:val="20"/>
                <w:szCs w:val="20"/>
              </w:rPr>
            </w:pPr>
            <w:r w:rsidRPr="007C51D6">
              <w:rPr>
                <w:color w:val="000000"/>
                <w:sz w:val="20"/>
                <w:szCs w:val="20"/>
              </w:rPr>
              <w:t>412,07</w:t>
            </w:r>
          </w:p>
        </w:tc>
        <w:tc>
          <w:tcPr>
            <w:tcW w:w="1399" w:type="dxa"/>
            <w:vAlign w:val="center"/>
          </w:tcPr>
          <w:p w:rsidR="00871EE7" w:rsidRPr="007C51D6" w:rsidRDefault="00871EE7" w:rsidP="00871EE7">
            <w:pPr>
              <w:jc w:val="center"/>
              <w:rPr>
                <w:color w:val="000000"/>
                <w:sz w:val="20"/>
                <w:szCs w:val="20"/>
              </w:rPr>
            </w:pPr>
            <w:r w:rsidRPr="007C51D6">
              <w:rPr>
                <w:color w:val="000000"/>
                <w:sz w:val="20"/>
                <w:szCs w:val="20"/>
              </w:rPr>
              <w:t>327,97</w:t>
            </w:r>
          </w:p>
        </w:tc>
        <w:tc>
          <w:tcPr>
            <w:tcW w:w="1276" w:type="dxa"/>
            <w:vAlign w:val="center"/>
          </w:tcPr>
          <w:p w:rsidR="00871EE7" w:rsidRPr="007C51D6" w:rsidRDefault="00871EE7" w:rsidP="00871EE7">
            <w:pPr>
              <w:jc w:val="center"/>
              <w:rPr>
                <w:color w:val="000000"/>
                <w:sz w:val="20"/>
                <w:szCs w:val="20"/>
              </w:rPr>
            </w:pPr>
            <w:r w:rsidRPr="007C51D6">
              <w:rPr>
                <w:color w:val="000000"/>
                <w:sz w:val="20"/>
                <w:szCs w:val="20"/>
              </w:rPr>
              <w:t>366.12</w:t>
            </w:r>
          </w:p>
        </w:tc>
        <w:tc>
          <w:tcPr>
            <w:tcW w:w="1276" w:type="dxa"/>
            <w:vAlign w:val="center"/>
          </w:tcPr>
          <w:p w:rsidR="00871EE7" w:rsidRPr="007C51D6" w:rsidRDefault="00871EE7" w:rsidP="00871EE7">
            <w:pPr>
              <w:jc w:val="center"/>
              <w:rPr>
                <w:sz w:val="20"/>
                <w:szCs w:val="20"/>
              </w:rPr>
            </w:pPr>
            <w:r w:rsidRPr="007C51D6">
              <w:rPr>
                <w:sz w:val="20"/>
                <w:szCs w:val="20"/>
              </w:rPr>
              <w:t>403.78</w:t>
            </w:r>
          </w:p>
        </w:tc>
      </w:tr>
      <w:tr w:rsidR="00871EE7" w:rsidRPr="007C51D6" w:rsidTr="0038114E">
        <w:tblPrEx>
          <w:tblBorders>
            <w:bottom w:val="single" w:sz="4" w:space="0" w:color="auto"/>
          </w:tblBorders>
          <w:tblCellMar>
            <w:top w:w="28" w:type="dxa"/>
            <w:bottom w:w="28" w:type="dxa"/>
          </w:tblCellMar>
        </w:tblPrEx>
        <w:trPr>
          <w:trHeight w:val="227"/>
        </w:trPr>
        <w:tc>
          <w:tcPr>
            <w:tcW w:w="3255" w:type="dxa"/>
            <w:shd w:val="clear" w:color="auto" w:fill="auto"/>
            <w:hideMark/>
          </w:tcPr>
          <w:p w:rsidR="00871EE7" w:rsidRPr="007C51D6" w:rsidRDefault="00871EE7" w:rsidP="00871EE7">
            <w:pPr>
              <w:autoSpaceDE/>
              <w:autoSpaceDN/>
              <w:adjustRightInd/>
              <w:rPr>
                <w:color w:val="000000"/>
                <w:sz w:val="20"/>
                <w:szCs w:val="20"/>
              </w:rPr>
            </w:pPr>
            <w:r w:rsidRPr="007C51D6">
              <w:rPr>
                <w:color w:val="000000"/>
                <w:sz w:val="20"/>
                <w:szCs w:val="20"/>
              </w:rPr>
              <w:t>Рыбно-Слободский</w:t>
            </w:r>
          </w:p>
        </w:tc>
        <w:tc>
          <w:tcPr>
            <w:tcW w:w="1062" w:type="dxa"/>
            <w:shd w:val="clear" w:color="auto" w:fill="auto"/>
            <w:hideMark/>
          </w:tcPr>
          <w:p w:rsidR="00871EE7" w:rsidRPr="007C51D6" w:rsidRDefault="00871EE7" w:rsidP="00871EE7">
            <w:pPr>
              <w:autoSpaceDE/>
              <w:autoSpaceDN/>
              <w:adjustRightInd/>
              <w:jc w:val="center"/>
              <w:rPr>
                <w:color w:val="000000"/>
                <w:sz w:val="20"/>
                <w:szCs w:val="20"/>
              </w:rPr>
            </w:pPr>
            <w:r w:rsidRPr="007C51D6">
              <w:rPr>
                <w:color w:val="000000"/>
                <w:sz w:val="20"/>
                <w:szCs w:val="20"/>
              </w:rPr>
              <w:t>314,22</w:t>
            </w:r>
          </w:p>
        </w:tc>
        <w:tc>
          <w:tcPr>
            <w:tcW w:w="1225" w:type="dxa"/>
            <w:shd w:val="clear" w:color="auto" w:fill="auto"/>
            <w:hideMark/>
          </w:tcPr>
          <w:p w:rsidR="00871EE7" w:rsidRPr="007C51D6" w:rsidRDefault="00871EE7" w:rsidP="00871EE7">
            <w:pPr>
              <w:autoSpaceDE/>
              <w:autoSpaceDN/>
              <w:adjustRightInd/>
              <w:jc w:val="center"/>
              <w:rPr>
                <w:color w:val="000000"/>
                <w:sz w:val="20"/>
                <w:szCs w:val="20"/>
              </w:rPr>
            </w:pPr>
            <w:r w:rsidRPr="007C51D6">
              <w:rPr>
                <w:color w:val="000000"/>
                <w:sz w:val="20"/>
                <w:szCs w:val="20"/>
              </w:rPr>
              <w:t>426,79</w:t>
            </w:r>
          </w:p>
        </w:tc>
        <w:tc>
          <w:tcPr>
            <w:tcW w:w="992" w:type="dxa"/>
            <w:shd w:val="clear" w:color="auto" w:fill="auto"/>
            <w:hideMark/>
          </w:tcPr>
          <w:p w:rsidR="00871EE7" w:rsidRPr="007C51D6" w:rsidRDefault="00871EE7" w:rsidP="00871EE7">
            <w:pPr>
              <w:autoSpaceDE/>
              <w:autoSpaceDN/>
              <w:adjustRightInd/>
              <w:jc w:val="center"/>
              <w:rPr>
                <w:color w:val="000000"/>
                <w:sz w:val="20"/>
                <w:szCs w:val="20"/>
              </w:rPr>
            </w:pPr>
            <w:r w:rsidRPr="007C51D6">
              <w:rPr>
                <w:color w:val="000000"/>
                <w:sz w:val="20"/>
                <w:szCs w:val="20"/>
              </w:rPr>
              <w:t>395,75</w:t>
            </w:r>
          </w:p>
        </w:tc>
        <w:tc>
          <w:tcPr>
            <w:tcW w:w="1134" w:type="dxa"/>
            <w:shd w:val="clear" w:color="auto" w:fill="auto"/>
            <w:hideMark/>
          </w:tcPr>
          <w:p w:rsidR="00871EE7" w:rsidRPr="007C51D6" w:rsidRDefault="00871EE7" w:rsidP="00871EE7">
            <w:pPr>
              <w:autoSpaceDE/>
              <w:autoSpaceDN/>
              <w:adjustRightInd/>
              <w:jc w:val="center"/>
              <w:rPr>
                <w:color w:val="000000"/>
                <w:sz w:val="20"/>
                <w:szCs w:val="20"/>
              </w:rPr>
            </w:pPr>
            <w:r w:rsidRPr="007C51D6">
              <w:rPr>
                <w:color w:val="000000"/>
                <w:sz w:val="20"/>
                <w:szCs w:val="20"/>
              </w:rPr>
              <w:t>448,11</w:t>
            </w:r>
          </w:p>
        </w:tc>
        <w:tc>
          <w:tcPr>
            <w:tcW w:w="1134" w:type="dxa"/>
            <w:shd w:val="clear" w:color="auto" w:fill="auto"/>
            <w:hideMark/>
          </w:tcPr>
          <w:p w:rsidR="00871EE7" w:rsidRPr="007C51D6" w:rsidRDefault="00871EE7" w:rsidP="00871EE7">
            <w:pPr>
              <w:autoSpaceDE/>
              <w:autoSpaceDN/>
              <w:adjustRightInd/>
              <w:jc w:val="center"/>
              <w:rPr>
                <w:color w:val="000000"/>
                <w:sz w:val="20"/>
                <w:szCs w:val="20"/>
              </w:rPr>
            </w:pPr>
            <w:r w:rsidRPr="007C51D6">
              <w:rPr>
                <w:color w:val="000000"/>
                <w:sz w:val="20"/>
                <w:szCs w:val="20"/>
              </w:rPr>
              <w:t>403,49</w:t>
            </w:r>
          </w:p>
        </w:tc>
        <w:tc>
          <w:tcPr>
            <w:tcW w:w="1276" w:type="dxa"/>
          </w:tcPr>
          <w:p w:rsidR="00871EE7" w:rsidRPr="007C51D6" w:rsidRDefault="00871EE7" w:rsidP="00871EE7">
            <w:pPr>
              <w:autoSpaceDE/>
              <w:autoSpaceDN/>
              <w:adjustRightInd/>
              <w:jc w:val="center"/>
              <w:rPr>
                <w:color w:val="000000"/>
                <w:sz w:val="20"/>
                <w:szCs w:val="20"/>
              </w:rPr>
            </w:pPr>
            <w:r w:rsidRPr="007C51D6">
              <w:rPr>
                <w:color w:val="000000"/>
                <w:sz w:val="20"/>
                <w:szCs w:val="20"/>
              </w:rPr>
              <w:t>476,11</w:t>
            </w:r>
          </w:p>
        </w:tc>
        <w:tc>
          <w:tcPr>
            <w:tcW w:w="1134" w:type="dxa"/>
          </w:tcPr>
          <w:p w:rsidR="00871EE7" w:rsidRPr="007C51D6" w:rsidRDefault="00871EE7" w:rsidP="00871EE7">
            <w:pPr>
              <w:autoSpaceDE/>
              <w:autoSpaceDN/>
              <w:adjustRightInd/>
              <w:jc w:val="center"/>
              <w:rPr>
                <w:color w:val="000000"/>
                <w:sz w:val="20"/>
                <w:szCs w:val="20"/>
              </w:rPr>
            </w:pPr>
            <w:r w:rsidRPr="007C51D6">
              <w:rPr>
                <w:color w:val="000000"/>
                <w:sz w:val="20"/>
                <w:szCs w:val="20"/>
              </w:rPr>
              <w:t>409,10</w:t>
            </w:r>
          </w:p>
        </w:tc>
        <w:tc>
          <w:tcPr>
            <w:tcW w:w="1399" w:type="dxa"/>
            <w:vAlign w:val="center"/>
          </w:tcPr>
          <w:p w:rsidR="00871EE7" w:rsidRPr="007C51D6" w:rsidRDefault="00871EE7" w:rsidP="00871EE7">
            <w:pPr>
              <w:jc w:val="center"/>
              <w:rPr>
                <w:color w:val="000000"/>
                <w:sz w:val="20"/>
                <w:szCs w:val="20"/>
              </w:rPr>
            </w:pPr>
            <w:r w:rsidRPr="007C51D6">
              <w:rPr>
                <w:color w:val="000000"/>
                <w:sz w:val="20"/>
                <w:szCs w:val="20"/>
              </w:rPr>
              <w:t>639,59</w:t>
            </w:r>
          </w:p>
        </w:tc>
        <w:tc>
          <w:tcPr>
            <w:tcW w:w="1276" w:type="dxa"/>
            <w:vAlign w:val="center"/>
          </w:tcPr>
          <w:p w:rsidR="00871EE7" w:rsidRPr="007C51D6" w:rsidRDefault="00871EE7" w:rsidP="00871EE7">
            <w:pPr>
              <w:jc w:val="center"/>
              <w:rPr>
                <w:color w:val="000000"/>
                <w:sz w:val="20"/>
                <w:szCs w:val="20"/>
              </w:rPr>
            </w:pPr>
            <w:r w:rsidRPr="007C51D6">
              <w:rPr>
                <w:color w:val="000000"/>
                <w:sz w:val="20"/>
                <w:szCs w:val="20"/>
              </w:rPr>
              <w:t>552.49</w:t>
            </w:r>
          </w:p>
        </w:tc>
        <w:tc>
          <w:tcPr>
            <w:tcW w:w="1276" w:type="dxa"/>
            <w:vAlign w:val="center"/>
          </w:tcPr>
          <w:p w:rsidR="00871EE7" w:rsidRPr="007C51D6" w:rsidRDefault="00871EE7" w:rsidP="00871EE7">
            <w:pPr>
              <w:jc w:val="center"/>
              <w:rPr>
                <w:sz w:val="20"/>
                <w:szCs w:val="20"/>
              </w:rPr>
            </w:pPr>
            <w:r w:rsidRPr="007C51D6">
              <w:rPr>
                <w:sz w:val="20"/>
                <w:szCs w:val="20"/>
              </w:rPr>
              <w:t>577.60</w:t>
            </w:r>
          </w:p>
        </w:tc>
      </w:tr>
      <w:tr w:rsidR="00871EE7" w:rsidRPr="007C51D6" w:rsidTr="0038114E">
        <w:tblPrEx>
          <w:tblBorders>
            <w:bottom w:val="single" w:sz="4" w:space="0" w:color="auto"/>
          </w:tblBorders>
          <w:tblCellMar>
            <w:top w:w="28" w:type="dxa"/>
            <w:bottom w:w="28" w:type="dxa"/>
          </w:tblCellMar>
        </w:tblPrEx>
        <w:trPr>
          <w:trHeight w:val="227"/>
        </w:trPr>
        <w:tc>
          <w:tcPr>
            <w:tcW w:w="3255" w:type="dxa"/>
            <w:shd w:val="clear" w:color="auto" w:fill="auto"/>
            <w:hideMark/>
          </w:tcPr>
          <w:p w:rsidR="00871EE7" w:rsidRPr="007C51D6" w:rsidRDefault="00871EE7" w:rsidP="00871EE7">
            <w:pPr>
              <w:autoSpaceDE/>
              <w:autoSpaceDN/>
              <w:adjustRightInd/>
              <w:rPr>
                <w:color w:val="000000"/>
                <w:sz w:val="20"/>
                <w:szCs w:val="20"/>
              </w:rPr>
            </w:pPr>
            <w:r w:rsidRPr="007C51D6">
              <w:rPr>
                <w:color w:val="000000"/>
                <w:sz w:val="20"/>
                <w:szCs w:val="20"/>
              </w:rPr>
              <w:t>Сабинский</w:t>
            </w:r>
          </w:p>
        </w:tc>
        <w:tc>
          <w:tcPr>
            <w:tcW w:w="1062" w:type="dxa"/>
            <w:shd w:val="clear" w:color="auto" w:fill="auto"/>
            <w:hideMark/>
          </w:tcPr>
          <w:p w:rsidR="00871EE7" w:rsidRPr="007C51D6" w:rsidRDefault="00871EE7" w:rsidP="00871EE7">
            <w:pPr>
              <w:autoSpaceDE/>
              <w:autoSpaceDN/>
              <w:adjustRightInd/>
              <w:jc w:val="center"/>
              <w:rPr>
                <w:color w:val="000000"/>
                <w:sz w:val="20"/>
                <w:szCs w:val="20"/>
              </w:rPr>
            </w:pPr>
            <w:r w:rsidRPr="007C51D6">
              <w:rPr>
                <w:color w:val="000000"/>
                <w:sz w:val="20"/>
                <w:szCs w:val="20"/>
              </w:rPr>
              <w:t>342,35</w:t>
            </w:r>
          </w:p>
        </w:tc>
        <w:tc>
          <w:tcPr>
            <w:tcW w:w="1225" w:type="dxa"/>
            <w:shd w:val="clear" w:color="auto" w:fill="auto"/>
            <w:hideMark/>
          </w:tcPr>
          <w:p w:rsidR="00871EE7" w:rsidRPr="007C51D6" w:rsidRDefault="00871EE7" w:rsidP="00871EE7">
            <w:pPr>
              <w:autoSpaceDE/>
              <w:autoSpaceDN/>
              <w:adjustRightInd/>
              <w:jc w:val="center"/>
              <w:rPr>
                <w:color w:val="000000"/>
                <w:sz w:val="20"/>
                <w:szCs w:val="20"/>
              </w:rPr>
            </w:pPr>
            <w:r w:rsidRPr="007C51D6">
              <w:rPr>
                <w:color w:val="000000"/>
                <w:sz w:val="20"/>
                <w:szCs w:val="20"/>
              </w:rPr>
              <w:t>396,48</w:t>
            </w:r>
          </w:p>
        </w:tc>
        <w:tc>
          <w:tcPr>
            <w:tcW w:w="992" w:type="dxa"/>
            <w:shd w:val="clear" w:color="auto" w:fill="auto"/>
            <w:hideMark/>
          </w:tcPr>
          <w:p w:rsidR="00871EE7" w:rsidRPr="007C51D6" w:rsidRDefault="00871EE7" w:rsidP="00871EE7">
            <w:pPr>
              <w:autoSpaceDE/>
              <w:autoSpaceDN/>
              <w:adjustRightInd/>
              <w:jc w:val="center"/>
              <w:rPr>
                <w:color w:val="000000"/>
                <w:sz w:val="20"/>
                <w:szCs w:val="20"/>
              </w:rPr>
            </w:pPr>
            <w:r w:rsidRPr="007C51D6">
              <w:rPr>
                <w:color w:val="000000"/>
                <w:sz w:val="20"/>
                <w:szCs w:val="20"/>
              </w:rPr>
              <w:t>367,71</w:t>
            </w:r>
          </w:p>
        </w:tc>
        <w:tc>
          <w:tcPr>
            <w:tcW w:w="1134" w:type="dxa"/>
            <w:shd w:val="clear" w:color="auto" w:fill="auto"/>
            <w:hideMark/>
          </w:tcPr>
          <w:p w:rsidR="00871EE7" w:rsidRPr="007C51D6" w:rsidRDefault="00871EE7" w:rsidP="00871EE7">
            <w:pPr>
              <w:autoSpaceDE/>
              <w:autoSpaceDN/>
              <w:adjustRightInd/>
              <w:jc w:val="center"/>
              <w:rPr>
                <w:color w:val="000000"/>
                <w:sz w:val="20"/>
                <w:szCs w:val="20"/>
              </w:rPr>
            </w:pPr>
            <w:r w:rsidRPr="007C51D6">
              <w:rPr>
                <w:color w:val="000000"/>
                <w:sz w:val="20"/>
                <w:szCs w:val="20"/>
              </w:rPr>
              <w:t>370,97</w:t>
            </w:r>
          </w:p>
        </w:tc>
        <w:tc>
          <w:tcPr>
            <w:tcW w:w="1134" w:type="dxa"/>
            <w:shd w:val="clear" w:color="auto" w:fill="auto"/>
            <w:hideMark/>
          </w:tcPr>
          <w:p w:rsidR="00871EE7" w:rsidRPr="007C51D6" w:rsidRDefault="00871EE7" w:rsidP="00871EE7">
            <w:pPr>
              <w:autoSpaceDE/>
              <w:autoSpaceDN/>
              <w:adjustRightInd/>
              <w:jc w:val="center"/>
              <w:rPr>
                <w:color w:val="000000"/>
                <w:sz w:val="20"/>
                <w:szCs w:val="20"/>
              </w:rPr>
            </w:pPr>
            <w:r w:rsidRPr="007C51D6">
              <w:rPr>
                <w:color w:val="000000"/>
                <w:sz w:val="20"/>
                <w:szCs w:val="20"/>
              </w:rPr>
              <w:t>331,06</w:t>
            </w:r>
          </w:p>
        </w:tc>
        <w:tc>
          <w:tcPr>
            <w:tcW w:w="1276" w:type="dxa"/>
          </w:tcPr>
          <w:p w:rsidR="00871EE7" w:rsidRPr="007C51D6" w:rsidRDefault="00871EE7" w:rsidP="00871EE7">
            <w:pPr>
              <w:autoSpaceDE/>
              <w:autoSpaceDN/>
              <w:adjustRightInd/>
              <w:jc w:val="center"/>
              <w:rPr>
                <w:color w:val="000000"/>
                <w:sz w:val="20"/>
                <w:szCs w:val="20"/>
              </w:rPr>
            </w:pPr>
            <w:r w:rsidRPr="007C51D6">
              <w:rPr>
                <w:color w:val="000000"/>
                <w:sz w:val="20"/>
                <w:szCs w:val="20"/>
              </w:rPr>
              <w:t>405,71</w:t>
            </w:r>
          </w:p>
        </w:tc>
        <w:tc>
          <w:tcPr>
            <w:tcW w:w="1134" w:type="dxa"/>
          </w:tcPr>
          <w:p w:rsidR="00871EE7" w:rsidRPr="007C51D6" w:rsidRDefault="00871EE7" w:rsidP="00871EE7">
            <w:pPr>
              <w:autoSpaceDE/>
              <w:autoSpaceDN/>
              <w:adjustRightInd/>
              <w:jc w:val="center"/>
              <w:rPr>
                <w:color w:val="000000"/>
                <w:sz w:val="20"/>
                <w:szCs w:val="20"/>
              </w:rPr>
            </w:pPr>
            <w:r w:rsidRPr="007C51D6">
              <w:rPr>
                <w:color w:val="000000"/>
                <w:sz w:val="20"/>
                <w:szCs w:val="20"/>
              </w:rPr>
              <w:t>444,30</w:t>
            </w:r>
          </w:p>
        </w:tc>
        <w:tc>
          <w:tcPr>
            <w:tcW w:w="1399" w:type="dxa"/>
            <w:vAlign w:val="center"/>
          </w:tcPr>
          <w:p w:rsidR="00871EE7" w:rsidRPr="007C51D6" w:rsidRDefault="00871EE7" w:rsidP="00871EE7">
            <w:pPr>
              <w:jc w:val="center"/>
              <w:rPr>
                <w:color w:val="000000"/>
                <w:sz w:val="20"/>
                <w:szCs w:val="20"/>
              </w:rPr>
            </w:pPr>
            <w:r w:rsidRPr="007C51D6">
              <w:rPr>
                <w:color w:val="000000"/>
                <w:sz w:val="20"/>
                <w:szCs w:val="20"/>
              </w:rPr>
              <w:t>447,27</w:t>
            </w:r>
          </w:p>
        </w:tc>
        <w:tc>
          <w:tcPr>
            <w:tcW w:w="1276" w:type="dxa"/>
            <w:vAlign w:val="center"/>
          </w:tcPr>
          <w:p w:rsidR="00871EE7" w:rsidRPr="007C51D6" w:rsidRDefault="00871EE7" w:rsidP="00871EE7">
            <w:pPr>
              <w:jc w:val="center"/>
              <w:rPr>
                <w:color w:val="000000"/>
                <w:sz w:val="20"/>
                <w:szCs w:val="20"/>
              </w:rPr>
            </w:pPr>
            <w:r w:rsidRPr="007C51D6">
              <w:rPr>
                <w:color w:val="000000"/>
                <w:sz w:val="20"/>
                <w:szCs w:val="20"/>
              </w:rPr>
              <w:t>516.77</w:t>
            </w:r>
          </w:p>
        </w:tc>
        <w:tc>
          <w:tcPr>
            <w:tcW w:w="1276" w:type="dxa"/>
            <w:vAlign w:val="center"/>
          </w:tcPr>
          <w:p w:rsidR="00871EE7" w:rsidRPr="007C51D6" w:rsidRDefault="00871EE7" w:rsidP="00871EE7">
            <w:pPr>
              <w:jc w:val="center"/>
              <w:rPr>
                <w:sz w:val="20"/>
                <w:szCs w:val="20"/>
              </w:rPr>
            </w:pPr>
            <w:r w:rsidRPr="007C51D6">
              <w:rPr>
                <w:sz w:val="20"/>
                <w:szCs w:val="20"/>
              </w:rPr>
              <w:t>480.56</w:t>
            </w:r>
          </w:p>
        </w:tc>
      </w:tr>
      <w:tr w:rsidR="00871EE7" w:rsidRPr="007C51D6" w:rsidTr="0038114E">
        <w:tblPrEx>
          <w:tblBorders>
            <w:bottom w:val="single" w:sz="4" w:space="0" w:color="auto"/>
          </w:tblBorders>
          <w:tblCellMar>
            <w:top w:w="28" w:type="dxa"/>
            <w:bottom w:w="28" w:type="dxa"/>
          </w:tblCellMar>
        </w:tblPrEx>
        <w:trPr>
          <w:trHeight w:val="227"/>
        </w:trPr>
        <w:tc>
          <w:tcPr>
            <w:tcW w:w="3255" w:type="dxa"/>
            <w:shd w:val="clear" w:color="auto" w:fill="auto"/>
            <w:hideMark/>
          </w:tcPr>
          <w:p w:rsidR="00871EE7" w:rsidRPr="007C51D6" w:rsidRDefault="00871EE7" w:rsidP="00871EE7">
            <w:pPr>
              <w:autoSpaceDE/>
              <w:autoSpaceDN/>
              <w:adjustRightInd/>
              <w:rPr>
                <w:color w:val="000000"/>
                <w:sz w:val="20"/>
                <w:szCs w:val="20"/>
              </w:rPr>
            </w:pPr>
            <w:r w:rsidRPr="007C51D6">
              <w:rPr>
                <w:color w:val="000000"/>
                <w:sz w:val="20"/>
                <w:szCs w:val="20"/>
              </w:rPr>
              <w:t>Сармановский</w:t>
            </w:r>
          </w:p>
        </w:tc>
        <w:tc>
          <w:tcPr>
            <w:tcW w:w="1062" w:type="dxa"/>
            <w:shd w:val="clear" w:color="auto" w:fill="auto"/>
            <w:hideMark/>
          </w:tcPr>
          <w:p w:rsidR="00871EE7" w:rsidRPr="007C51D6" w:rsidRDefault="00871EE7" w:rsidP="00871EE7">
            <w:pPr>
              <w:autoSpaceDE/>
              <w:autoSpaceDN/>
              <w:adjustRightInd/>
              <w:jc w:val="center"/>
              <w:rPr>
                <w:color w:val="000000"/>
                <w:sz w:val="20"/>
                <w:szCs w:val="20"/>
              </w:rPr>
            </w:pPr>
            <w:r w:rsidRPr="007C51D6">
              <w:rPr>
                <w:color w:val="000000"/>
                <w:sz w:val="20"/>
                <w:szCs w:val="20"/>
              </w:rPr>
              <w:t>375,47</w:t>
            </w:r>
          </w:p>
        </w:tc>
        <w:tc>
          <w:tcPr>
            <w:tcW w:w="1225" w:type="dxa"/>
            <w:shd w:val="clear" w:color="auto" w:fill="auto"/>
            <w:hideMark/>
          </w:tcPr>
          <w:p w:rsidR="00871EE7" w:rsidRPr="007C51D6" w:rsidRDefault="00871EE7" w:rsidP="00871EE7">
            <w:pPr>
              <w:autoSpaceDE/>
              <w:autoSpaceDN/>
              <w:adjustRightInd/>
              <w:jc w:val="center"/>
              <w:rPr>
                <w:color w:val="000000"/>
                <w:sz w:val="20"/>
                <w:szCs w:val="20"/>
              </w:rPr>
            </w:pPr>
            <w:r w:rsidRPr="007C51D6">
              <w:rPr>
                <w:color w:val="000000"/>
                <w:sz w:val="20"/>
                <w:szCs w:val="20"/>
              </w:rPr>
              <w:t>484,09</w:t>
            </w:r>
          </w:p>
        </w:tc>
        <w:tc>
          <w:tcPr>
            <w:tcW w:w="992" w:type="dxa"/>
            <w:shd w:val="clear" w:color="auto" w:fill="auto"/>
            <w:hideMark/>
          </w:tcPr>
          <w:p w:rsidR="00871EE7" w:rsidRPr="007C51D6" w:rsidRDefault="00871EE7" w:rsidP="00871EE7">
            <w:pPr>
              <w:autoSpaceDE/>
              <w:autoSpaceDN/>
              <w:adjustRightInd/>
              <w:jc w:val="center"/>
              <w:rPr>
                <w:color w:val="000000"/>
                <w:sz w:val="20"/>
                <w:szCs w:val="20"/>
              </w:rPr>
            </w:pPr>
            <w:r w:rsidRPr="007C51D6">
              <w:rPr>
                <w:color w:val="000000"/>
                <w:sz w:val="20"/>
                <w:szCs w:val="20"/>
              </w:rPr>
              <w:t>382,18</w:t>
            </w:r>
          </w:p>
        </w:tc>
        <w:tc>
          <w:tcPr>
            <w:tcW w:w="1134" w:type="dxa"/>
            <w:shd w:val="clear" w:color="auto" w:fill="auto"/>
            <w:hideMark/>
          </w:tcPr>
          <w:p w:rsidR="00871EE7" w:rsidRPr="007C51D6" w:rsidRDefault="00871EE7" w:rsidP="00871EE7">
            <w:pPr>
              <w:autoSpaceDE/>
              <w:autoSpaceDN/>
              <w:adjustRightInd/>
              <w:jc w:val="center"/>
              <w:rPr>
                <w:color w:val="000000"/>
                <w:sz w:val="20"/>
                <w:szCs w:val="20"/>
              </w:rPr>
            </w:pPr>
            <w:r w:rsidRPr="007C51D6">
              <w:rPr>
                <w:color w:val="000000"/>
                <w:sz w:val="20"/>
                <w:szCs w:val="20"/>
              </w:rPr>
              <w:t>401,12</w:t>
            </w:r>
          </w:p>
        </w:tc>
        <w:tc>
          <w:tcPr>
            <w:tcW w:w="1134" w:type="dxa"/>
            <w:shd w:val="clear" w:color="auto" w:fill="auto"/>
            <w:hideMark/>
          </w:tcPr>
          <w:p w:rsidR="00871EE7" w:rsidRPr="007C51D6" w:rsidRDefault="00871EE7" w:rsidP="00871EE7">
            <w:pPr>
              <w:autoSpaceDE/>
              <w:autoSpaceDN/>
              <w:adjustRightInd/>
              <w:jc w:val="center"/>
              <w:rPr>
                <w:color w:val="000000"/>
                <w:sz w:val="20"/>
                <w:szCs w:val="20"/>
              </w:rPr>
            </w:pPr>
            <w:r w:rsidRPr="007C51D6">
              <w:rPr>
                <w:color w:val="000000"/>
                <w:sz w:val="20"/>
                <w:szCs w:val="20"/>
              </w:rPr>
              <w:t>341,81</w:t>
            </w:r>
          </w:p>
        </w:tc>
        <w:tc>
          <w:tcPr>
            <w:tcW w:w="1276" w:type="dxa"/>
          </w:tcPr>
          <w:p w:rsidR="00871EE7" w:rsidRPr="007C51D6" w:rsidRDefault="00871EE7" w:rsidP="00871EE7">
            <w:pPr>
              <w:autoSpaceDE/>
              <w:autoSpaceDN/>
              <w:adjustRightInd/>
              <w:jc w:val="center"/>
              <w:rPr>
                <w:color w:val="000000"/>
                <w:sz w:val="20"/>
                <w:szCs w:val="20"/>
              </w:rPr>
            </w:pPr>
            <w:r w:rsidRPr="007C51D6">
              <w:rPr>
                <w:color w:val="000000"/>
                <w:sz w:val="20"/>
                <w:szCs w:val="20"/>
              </w:rPr>
              <w:t>371,02</w:t>
            </w:r>
          </w:p>
        </w:tc>
        <w:tc>
          <w:tcPr>
            <w:tcW w:w="1134" w:type="dxa"/>
          </w:tcPr>
          <w:p w:rsidR="00871EE7" w:rsidRPr="007C51D6" w:rsidRDefault="00871EE7" w:rsidP="00871EE7">
            <w:pPr>
              <w:autoSpaceDE/>
              <w:autoSpaceDN/>
              <w:adjustRightInd/>
              <w:jc w:val="center"/>
              <w:rPr>
                <w:color w:val="000000"/>
                <w:sz w:val="20"/>
                <w:szCs w:val="20"/>
              </w:rPr>
            </w:pPr>
            <w:r w:rsidRPr="007C51D6">
              <w:rPr>
                <w:color w:val="000000"/>
                <w:sz w:val="20"/>
                <w:szCs w:val="20"/>
              </w:rPr>
              <w:t>375,04</w:t>
            </w:r>
          </w:p>
        </w:tc>
        <w:tc>
          <w:tcPr>
            <w:tcW w:w="1399" w:type="dxa"/>
            <w:vAlign w:val="center"/>
          </w:tcPr>
          <w:p w:rsidR="00871EE7" w:rsidRPr="007C51D6" w:rsidRDefault="00871EE7" w:rsidP="00871EE7">
            <w:pPr>
              <w:jc w:val="center"/>
              <w:rPr>
                <w:color w:val="000000"/>
                <w:sz w:val="20"/>
                <w:szCs w:val="20"/>
              </w:rPr>
            </w:pPr>
            <w:r w:rsidRPr="007C51D6">
              <w:rPr>
                <w:color w:val="000000"/>
                <w:sz w:val="20"/>
                <w:szCs w:val="20"/>
              </w:rPr>
              <w:t>335,26</w:t>
            </w:r>
          </w:p>
        </w:tc>
        <w:tc>
          <w:tcPr>
            <w:tcW w:w="1276" w:type="dxa"/>
            <w:vAlign w:val="center"/>
          </w:tcPr>
          <w:p w:rsidR="00871EE7" w:rsidRPr="007C51D6" w:rsidRDefault="00871EE7" w:rsidP="00871EE7">
            <w:pPr>
              <w:widowControl/>
              <w:autoSpaceDE/>
              <w:autoSpaceDN/>
              <w:adjustRightInd/>
              <w:jc w:val="center"/>
              <w:rPr>
                <w:color w:val="000000"/>
                <w:sz w:val="20"/>
                <w:szCs w:val="20"/>
              </w:rPr>
            </w:pPr>
            <w:r w:rsidRPr="007C51D6">
              <w:rPr>
                <w:color w:val="000000"/>
                <w:sz w:val="20"/>
                <w:szCs w:val="20"/>
              </w:rPr>
              <w:t>463.38</w:t>
            </w:r>
          </w:p>
        </w:tc>
        <w:tc>
          <w:tcPr>
            <w:tcW w:w="1276" w:type="dxa"/>
            <w:vAlign w:val="center"/>
          </w:tcPr>
          <w:p w:rsidR="00871EE7" w:rsidRPr="007C51D6" w:rsidRDefault="00871EE7" w:rsidP="00871EE7">
            <w:pPr>
              <w:jc w:val="center"/>
              <w:rPr>
                <w:sz w:val="20"/>
                <w:szCs w:val="20"/>
              </w:rPr>
            </w:pPr>
            <w:r w:rsidRPr="007C51D6">
              <w:rPr>
                <w:sz w:val="20"/>
                <w:szCs w:val="20"/>
              </w:rPr>
              <w:t>427.73</w:t>
            </w:r>
          </w:p>
        </w:tc>
      </w:tr>
      <w:tr w:rsidR="00871EE7" w:rsidRPr="007C51D6" w:rsidTr="0038114E">
        <w:tblPrEx>
          <w:tblBorders>
            <w:bottom w:val="single" w:sz="4" w:space="0" w:color="auto"/>
          </w:tblBorders>
          <w:tblCellMar>
            <w:top w:w="28" w:type="dxa"/>
            <w:bottom w:w="28" w:type="dxa"/>
          </w:tblCellMar>
        </w:tblPrEx>
        <w:trPr>
          <w:trHeight w:val="227"/>
        </w:trPr>
        <w:tc>
          <w:tcPr>
            <w:tcW w:w="3255" w:type="dxa"/>
            <w:shd w:val="clear" w:color="auto" w:fill="auto"/>
            <w:hideMark/>
          </w:tcPr>
          <w:p w:rsidR="00871EE7" w:rsidRPr="007C51D6" w:rsidRDefault="00871EE7" w:rsidP="00871EE7">
            <w:pPr>
              <w:autoSpaceDE/>
              <w:autoSpaceDN/>
              <w:adjustRightInd/>
              <w:rPr>
                <w:color w:val="000000"/>
                <w:sz w:val="20"/>
                <w:szCs w:val="20"/>
              </w:rPr>
            </w:pPr>
            <w:r w:rsidRPr="007C51D6">
              <w:rPr>
                <w:color w:val="000000"/>
                <w:sz w:val="20"/>
                <w:szCs w:val="20"/>
              </w:rPr>
              <w:t>Спасский</w:t>
            </w:r>
          </w:p>
        </w:tc>
        <w:tc>
          <w:tcPr>
            <w:tcW w:w="1062" w:type="dxa"/>
            <w:shd w:val="clear" w:color="auto" w:fill="auto"/>
            <w:hideMark/>
          </w:tcPr>
          <w:p w:rsidR="00871EE7" w:rsidRPr="007C51D6" w:rsidRDefault="00871EE7" w:rsidP="00871EE7">
            <w:pPr>
              <w:autoSpaceDE/>
              <w:autoSpaceDN/>
              <w:adjustRightInd/>
              <w:jc w:val="center"/>
              <w:rPr>
                <w:color w:val="000000"/>
                <w:sz w:val="20"/>
                <w:szCs w:val="20"/>
              </w:rPr>
            </w:pPr>
            <w:r w:rsidRPr="007C51D6">
              <w:rPr>
                <w:color w:val="000000"/>
                <w:sz w:val="20"/>
                <w:szCs w:val="20"/>
              </w:rPr>
              <w:t>470,28</w:t>
            </w:r>
          </w:p>
        </w:tc>
        <w:tc>
          <w:tcPr>
            <w:tcW w:w="1225" w:type="dxa"/>
            <w:shd w:val="clear" w:color="auto" w:fill="auto"/>
            <w:hideMark/>
          </w:tcPr>
          <w:p w:rsidR="00871EE7" w:rsidRPr="007C51D6" w:rsidRDefault="00871EE7" w:rsidP="00871EE7">
            <w:pPr>
              <w:autoSpaceDE/>
              <w:autoSpaceDN/>
              <w:adjustRightInd/>
              <w:jc w:val="center"/>
              <w:rPr>
                <w:color w:val="000000"/>
                <w:sz w:val="20"/>
                <w:szCs w:val="20"/>
              </w:rPr>
            </w:pPr>
            <w:r w:rsidRPr="007C51D6">
              <w:rPr>
                <w:color w:val="000000"/>
                <w:sz w:val="20"/>
                <w:szCs w:val="20"/>
              </w:rPr>
              <w:t>500,87</w:t>
            </w:r>
          </w:p>
        </w:tc>
        <w:tc>
          <w:tcPr>
            <w:tcW w:w="992" w:type="dxa"/>
            <w:shd w:val="clear" w:color="auto" w:fill="auto"/>
            <w:hideMark/>
          </w:tcPr>
          <w:p w:rsidR="00871EE7" w:rsidRPr="007C51D6" w:rsidRDefault="00871EE7" w:rsidP="00871EE7">
            <w:pPr>
              <w:autoSpaceDE/>
              <w:autoSpaceDN/>
              <w:adjustRightInd/>
              <w:jc w:val="center"/>
              <w:rPr>
                <w:color w:val="000000"/>
                <w:sz w:val="20"/>
                <w:szCs w:val="20"/>
              </w:rPr>
            </w:pPr>
            <w:r w:rsidRPr="007C51D6">
              <w:rPr>
                <w:color w:val="000000"/>
                <w:sz w:val="20"/>
                <w:szCs w:val="20"/>
              </w:rPr>
              <w:t>521,31</w:t>
            </w:r>
          </w:p>
        </w:tc>
        <w:tc>
          <w:tcPr>
            <w:tcW w:w="1134" w:type="dxa"/>
            <w:shd w:val="clear" w:color="auto" w:fill="auto"/>
            <w:hideMark/>
          </w:tcPr>
          <w:p w:rsidR="00871EE7" w:rsidRPr="007C51D6" w:rsidRDefault="00871EE7" w:rsidP="00871EE7">
            <w:pPr>
              <w:autoSpaceDE/>
              <w:autoSpaceDN/>
              <w:adjustRightInd/>
              <w:jc w:val="center"/>
              <w:rPr>
                <w:color w:val="000000"/>
                <w:sz w:val="20"/>
                <w:szCs w:val="20"/>
              </w:rPr>
            </w:pPr>
            <w:r w:rsidRPr="007C51D6">
              <w:rPr>
                <w:color w:val="000000"/>
                <w:sz w:val="20"/>
                <w:szCs w:val="20"/>
              </w:rPr>
              <w:t>440,80</w:t>
            </w:r>
          </w:p>
        </w:tc>
        <w:tc>
          <w:tcPr>
            <w:tcW w:w="1134" w:type="dxa"/>
            <w:shd w:val="clear" w:color="auto" w:fill="auto"/>
            <w:hideMark/>
          </w:tcPr>
          <w:p w:rsidR="00871EE7" w:rsidRPr="007C51D6" w:rsidRDefault="00871EE7" w:rsidP="00871EE7">
            <w:pPr>
              <w:autoSpaceDE/>
              <w:autoSpaceDN/>
              <w:adjustRightInd/>
              <w:jc w:val="center"/>
              <w:rPr>
                <w:color w:val="000000"/>
                <w:sz w:val="20"/>
                <w:szCs w:val="20"/>
              </w:rPr>
            </w:pPr>
            <w:r w:rsidRPr="007C51D6">
              <w:rPr>
                <w:color w:val="000000"/>
                <w:sz w:val="20"/>
                <w:szCs w:val="20"/>
              </w:rPr>
              <w:t>446,26</w:t>
            </w:r>
          </w:p>
        </w:tc>
        <w:tc>
          <w:tcPr>
            <w:tcW w:w="1276" w:type="dxa"/>
          </w:tcPr>
          <w:p w:rsidR="00871EE7" w:rsidRPr="007C51D6" w:rsidRDefault="00871EE7" w:rsidP="00871EE7">
            <w:pPr>
              <w:autoSpaceDE/>
              <w:autoSpaceDN/>
              <w:adjustRightInd/>
              <w:jc w:val="center"/>
              <w:rPr>
                <w:color w:val="000000"/>
                <w:sz w:val="20"/>
                <w:szCs w:val="20"/>
              </w:rPr>
            </w:pPr>
            <w:r w:rsidRPr="007C51D6">
              <w:rPr>
                <w:color w:val="000000"/>
                <w:sz w:val="20"/>
                <w:szCs w:val="20"/>
              </w:rPr>
              <w:t>489,27</w:t>
            </w:r>
          </w:p>
        </w:tc>
        <w:tc>
          <w:tcPr>
            <w:tcW w:w="1134" w:type="dxa"/>
          </w:tcPr>
          <w:p w:rsidR="00871EE7" w:rsidRPr="007C51D6" w:rsidRDefault="00871EE7" w:rsidP="00871EE7">
            <w:pPr>
              <w:autoSpaceDE/>
              <w:autoSpaceDN/>
              <w:adjustRightInd/>
              <w:jc w:val="center"/>
              <w:rPr>
                <w:color w:val="000000"/>
                <w:sz w:val="20"/>
                <w:szCs w:val="20"/>
              </w:rPr>
            </w:pPr>
            <w:r w:rsidRPr="007C51D6">
              <w:rPr>
                <w:color w:val="000000"/>
                <w:sz w:val="20"/>
                <w:szCs w:val="20"/>
              </w:rPr>
              <w:t>430,03</w:t>
            </w:r>
          </w:p>
        </w:tc>
        <w:tc>
          <w:tcPr>
            <w:tcW w:w="1399" w:type="dxa"/>
            <w:vAlign w:val="center"/>
          </w:tcPr>
          <w:p w:rsidR="00871EE7" w:rsidRPr="007C51D6" w:rsidRDefault="00871EE7" w:rsidP="00871EE7">
            <w:pPr>
              <w:jc w:val="center"/>
              <w:rPr>
                <w:color w:val="000000"/>
                <w:sz w:val="20"/>
                <w:szCs w:val="20"/>
              </w:rPr>
            </w:pPr>
            <w:r w:rsidRPr="007C51D6">
              <w:rPr>
                <w:color w:val="000000"/>
                <w:sz w:val="20"/>
                <w:szCs w:val="20"/>
              </w:rPr>
              <w:t>527,21</w:t>
            </w:r>
          </w:p>
        </w:tc>
        <w:tc>
          <w:tcPr>
            <w:tcW w:w="1276" w:type="dxa"/>
            <w:vAlign w:val="center"/>
          </w:tcPr>
          <w:p w:rsidR="00871EE7" w:rsidRPr="007C51D6" w:rsidRDefault="00871EE7" w:rsidP="00871EE7">
            <w:pPr>
              <w:jc w:val="center"/>
              <w:rPr>
                <w:color w:val="000000"/>
                <w:sz w:val="20"/>
                <w:szCs w:val="20"/>
              </w:rPr>
            </w:pPr>
            <w:r w:rsidRPr="007C51D6">
              <w:rPr>
                <w:color w:val="000000"/>
                <w:sz w:val="20"/>
                <w:szCs w:val="20"/>
              </w:rPr>
              <w:t>588.43</w:t>
            </w:r>
          </w:p>
        </w:tc>
        <w:tc>
          <w:tcPr>
            <w:tcW w:w="1276" w:type="dxa"/>
            <w:vAlign w:val="center"/>
          </w:tcPr>
          <w:p w:rsidR="00871EE7" w:rsidRPr="007C51D6" w:rsidRDefault="00871EE7" w:rsidP="00871EE7">
            <w:pPr>
              <w:jc w:val="center"/>
              <w:rPr>
                <w:sz w:val="20"/>
                <w:szCs w:val="20"/>
              </w:rPr>
            </w:pPr>
            <w:r w:rsidRPr="007C51D6">
              <w:rPr>
                <w:sz w:val="20"/>
                <w:szCs w:val="20"/>
              </w:rPr>
              <w:t>599.53</w:t>
            </w:r>
          </w:p>
        </w:tc>
      </w:tr>
      <w:tr w:rsidR="00871EE7" w:rsidRPr="007C51D6" w:rsidTr="0038114E">
        <w:tblPrEx>
          <w:tblBorders>
            <w:bottom w:val="single" w:sz="4" w:space="0" w:color="auto"/>
          </w:tblBorders>
          <w:tblCellMar>
            <w:top w:w="28" w:type="dxa"/>
            <w:bottom w:w="28" w:type="dxa"/>
          </w:tblCellMar>
        </w:tblPrEx>
        <w:trPr>
          <w:trHeight w:val="227"/>
        </w:trPr>
        <w:tc>
          <w:tcPr>
            <w:tcW w:w="3255" w:type="dxa"/>
            <w:shd w:val="clear" w:color="auto" w:fill="auto"/>
            <w:hideMark/>
          </w:tcPr>
          <w:p w:rsidR="00871EE7" w:rsidRPr="007C51D6" w:rsidRDefault="00871EE7" w:rsidP="00871EE7">
            <w:pPr>
              <w:autoSpaceDE/>
              <w:autoSpaceDN/>
              <w:adjustRightInd/>
              <w:rPr>
                <w:color w:val="000000"/>
                <w:sz w:val="20"/>
                <w:szCs w:val="20"/>
              </w:rPr>
            </w:pPr>
            <w:r w:rsidRPr="007C51D6">
              <w:rPr>
                <w:color w:val="000000"/>
                <w:sz w:val="20"/>
                <w:szCs w:val="20"/>
              </w:rPr>
              <w:t>Тетюшский</w:t>
            </w:r>
          </w:p>
        </w:tc>
        <w:tc>
          <w:tcPr>
            <w:tcW w:w="1062" w:type="dxa"/>
            <w:shd w:val="clear" w:color="auto" w:fill="auto"/>
            <w:hideMark/>
          </w:tcPr>
          <w:p w:rsidR="00871EE7" w:rsidRPr="007C51D6" w:rsidRDefault="00871EE7" w:rsidP="00871EE7">
            <w:pPr>
              <w:autoSpaceDE/>
              <w:autoSpaceDN/>
              <w:adjustRightInd/>
              <w:jc w:val="center"/>
              <w:rPr>
                <w:color w:val="000000"/>
                <w:sz w:val="20"/>
                <w:szCs w:val="20"/>
              </w:rPr>
            </w:pPr>
            <w:r w:rsidRPr="007C51D6">
              <w:rPr>
                <w:color w:val="000000"/>
                <w:sz w:val="20"/>
                <w:szCs w:val="20"/>
              </w:rPr>
              <w:t>384,60</w:t>
            </w:r>
          </w:p>
        </w:tc>
        <w:tc>
          <w:tcPr>
            <w:tcW w:w="1225" w:type="dxa"/>
            <w:shd w:val="clear" w:color="auto" w:fill="auto"/>
            <w:hideMark/>
          </w:tcPr>
          <w:p w:rsidR="00871EE7" w:rsidRPr="007C51D6" w:rsidRDefault="00871EE7" w:rsidP="00871EE7">
            <w:pPr>
              <w:autoSpaceDE/>
              <w:autoSpaceDN/>
              <w:adjustRightInd/>
              <w:jc w:val="center"/>
              <w:rPr>
                <w:color w:val="000000"/>
                <w:sz w:val="20"/>
                <w:szCs w:val="20"/>
              </w:rPr>
            </w:pPr>
            <w:r w:rsidRPr="007C51D6">
              <w:rPr>
                <w:color w:val="000000"/>
                <w:sz w:val="20"/>
                <w:szCs w:val="20"/>
              </w:rPr>
              <w:t>433,68</w:t>
            </w:r>
          </w:p>
        </w:tc>
        <w:tc>
          <w:tcPr>
            <w:tcW w:w="992" w:type="dxa"/>
            <w:shd w:val="clear" w:color="auto" w:fill="auto"/>
            <w:hideMark/>
          </w:tcPr>
          <w:p w:rsidR="00871EE7" w:rsidRPr="007C51D6" w:rsidRDefault="00871EE7" w:rsidP="00871EE7">
            <w:pPr>
              <w:autoSpaceDE/>
              <w:autoSpaceDN/>
              <w:adjustRightInd/>
              <w:jc w:val="center"/>
              <w:rPr>
                <w:color w:val="000000"/>
                <w:sz w:val="20"/>
                <w:szCs w:val="20"/>
              </w:rPr>
            </w:pPr>
            <w:r w:rsidRPr="007C51D6">
              <w:rPr>
                <w:color w:val="000000"/>
                <w:sz w:val="20"/>
                <w:szCs w:val="20"/>
              </w:rPr>
              <w:t>503,77</w:t>
            </w:r>
          </w:p>
        </w:tc>
        <w:tc>
          <w:tcPr>
            <w:tcW w:w="1134" w:type="dxa"/>
            <w:shd w:val="clear" w:color="auto" w:fill="auto"/>
            <w:hideMark/>
          </w:tcPr>
          <w:p w:rsidR="00871EE7" w:rsidRPr="007C51D6" w:rsidRDefault="00871EE7" w:rsidP="00871EE7">
            <w:pPr>
              <w:autoSpaceDE/>
              <w:autoSpaceDN/>
              <w:adjustRightInd/>
              <w:jc w:val="center"/>
              <w:rPr>
                <w:color w:val="000000"/>
                <w:sz w:val="20"/>
                <w:szCs w:val="20"/>
              </w:rPr>
            </w:pPr>
            <w:r w:rsidRPr="007C51D6">
              <w:rPr>
                <w:color w:val="000000"/>
                <w:sz w:val="20"/>
                <w:szCs w:val="20"/>
              </w:rPr>
              <w:t>490,55</w:t>
            </w:r>
          </w:p>
        </w:tc>
        <w:tc>
          <w:tcPr>
            <w:tcW w:w="1134" w:type="dxa"/>
            <w:shd w:val="clear" w:color="auto" w:fill="auto"/>
            <w:hideMark/>
          </w:tcPr>
          <w:p w:rsidR="00871EE7" w:rsidRPr="007C51D6" w:rsidRDefault="00871EE7" w:rsidP="00871EE7">
            <w:pPr>
              <w:autoSpaceDE/>
              <w:autoSpaceDN/>
              <w:adjustRightInd/>
              <w:jc w:val="center"/>
              <w:rPr>
                <w:color w:val="000000"/>
                <w:sz w:val="20"/>
                <w:szCs w:val="20"/>
              </w:rPr>
            </w:pPr>
            <w:r w:rsidRPr="007C51D6">
              <w:rPr>
                <w:color w:val="000000"/>
                <w:sz w:val="20"/>
                <w:szCs w:val="20"/>
              </w:rPr>
              <w:t>347,48</w:t>
            </w:r>
          </w:p>
        </w:tc>
        <w:tc>
          <w:tcPr>
            <w:tcW w:w="1276" w:type="dxa"/>
          </w:tcPr>
          <w:p w:rsidR="00871EE7" w:rsidRPr="007C51D6" w:rsidRDefault="00871EE7" w:rsidP="00871EE7">
            <w:pPr>
              <w:autoSpaceDE/>
              <w:autoSpaceDN/>
              <w:adjustRightInd/>
              <w:jc w:val="center"/>
              <w:rPr>
                <w:color w:val="000000"/>
                <w:sz w:val="20"/>
                <w:szCs w:val="20"/>
              </w:rPr>
            </w:pPr>
            <w:r w:rsidRPr="007C51D6">
              <w:rPr>
                <w:color w:val="000000"/>
                <w:sz w:val="20"/>
                <w:szCs w:val="20"/>
              </w:rPr>
              <w:t>375,28</w:t>
            </w:r>
          </w:p>
        </w:tc>
        <w:tc>
          <w:tcPr>
            <w:tcW w:w="1134" w:type="dxa"/>
          </w:tcPr>
          <w:p w:rsidR="00871EE7" w:rsidRPr="007C51D6" w:rsidRDefault="00871EE7" w:rsidP="00871EE7">
            <w:pPr>
              <w:autoSpaceDE/>
              <w:autoSpaceDN/>
              <w:adjustRightInd/>
              <w:jc w:val="center"/>
              <w:rPr>
                <w:color w:val="000000"/>
                <w:sz w:val="20"/>
                <w:szCs w:val="20"/>
              </w:rPr>
            </w:pPr>
            <w:r w:rsidRPr="007C51D6">
              <w:rPr>
                <w:color w:val="000000"/>
                <w:sz w:val="20"/>
                <w:szCs w:val="20"/>
              </w:rPr>
              <w:t>531,81</w:t>
            </w:r>
          </w:p>
        </w:tc>
        <w:tc>
          <w:tcPr>
            <w:tcW w:w="1399" w:type="dxa"/>
            <w:vAlign w:val="center"/>
          </w:tcPr>
          <w:p w:rsidR="00871EE7" w:rsidRPr="007C51D6" w:rsidRDefault="00871EE7" w:rsidP="00871EE7">
            <w:pPr>
              <w:jc w:val="center"/>
              <w:rPr>
                <w:color w:val="000000"/>
                <w:sz w:val="20"/>
                <w:szCs w:val="20"/>
              </w:rPr>
            </w:pPr>
            <w:r w:rsidRPr="007C51D6">
              <w:rPr>
                <w:color w:val="000000"/>
                <w:sz w:val="20"/>
                <w:szCs w:val="20"/>
              </w:rPr>
              <w:t>513,31</w:t>
            </w:r>
          </w:p>
        </w:tc>
        <w:tc>
          <w:tcPr>
            <w:tcW w:w="1276" w:type="dxa"/>
            <w:vAlign w:val="center"/>
          </w:tcPr>
          <w:p w:rsidR="00871EE7" w:rsidRPr="007C51D6" w:rsidRDefault="00871EE7" w:rsidP="00871EE7">
            <w:pPr>
              <w:jc w:val="center"/>
              <w:rPr>
                <w:color w:val="000000"/>
                <w:sz w:val="20"/>
                <w:szCs w:val="20"/>
              </w:rPr>
            </w:pPr>
            <w:r w:rsidRPr="007C51D6">
              <w:rPr>
                <w:color w:val="000000"/>
                <w:sz w:val="20"/>
                <w:szCs w:val="20"/>
              </w:rPr>
              <w:t>500.05</w:t>
            </w:r>
          </w:p>
        </w:tc>
        <w:tc>
          <w:tcPr>
            <w:tcW w:w="1276" w:type="dxa"/>
            <w:vAlign w:val="center"/>
          </w:tcPr>
          <w:p w:rsidR="00871EE7" w:rsidRPr="007C51D6" w:rsidRDefault="00871EE7" w:rsidP="00871EE7">
            <w:pPr>
              <w:jc w:val="center"/>
              <w:rPr>
                <w:sz w:val="20"/>
                <w:szCs w:val="20"/>
              </w:rPr>
            </w:pPr>
            <w:r w:rsidRPr="007C51D6">
              <w:rPr>
                <w:sz w:val="20"/>
                <w:szCs w:val="20"/>
              </w:rPr>
              <w:t>545.51</w:t>
            </w:r>
          </w:p>
        </w:tc>
      </w:tr>
      <w:tr w:rsidR="00871EE7" w:rsidRPr="007C51D6" w:rsidTr="0038114E">
        <w:tblPrEx>
          <w:tblBorders>
            <w:bottom w:val="single" w:sz="4" w:space="0" w:color="auto"/>
          </w:tblBorders>
          <w:tblCellMar>
            <w:top w:w="28" w:type="dxa"/>
            <w:bottom w:w="28" w:type="dxa"/>
          </w:tblCellMar>
        </w:tblPrEx>
        <w:trPr>
          <w:trHeight w:val="227"/>
        </w:trPr>
        <w:tc>
          <w:tcPr>
            <w:tcW w:w="3255" w:type="dxa"/>
            <w:shd w:val="clear" w:color="auto" w:fill="auto"/>
            <w:hideMark/>
          </w:tcPr>
          <w:p w:rsidR="00871EE7" w:rsidRPr="007C51D6" w:rsidRDefault="00871EE7" w:rsidP="00871EE7">
            <w:pPr>
              <w:autoSpaceDE/>
              <w:autoSpaceDN/>
              <w:adjustRightInd/>
              <w:rPr>
                <w:color w:val="000000"/>
                <w:sz w:val="20"/>
                <w:szCs w:val="20"/>
              </w:rPr>
            </w:pPr>
            <w:r w:rsidRPr="007C51D6">
              <w:rPr>
                <w:color w:val="000000"/>
                <w:sz w:val="20"/>
                <w:szCs w:val="20"/>
              </w:rPr>
              <w:t>Тукаевский</w:t>
            </w:r>
          </w:p>
        </w:tc>
        <w:tc>
          <w:tcPr>
            <w:tcW w:w="1062" w:type="dxa"/>
            <w:shd w:val="clear" w:color="auto" w:fill="auto"/>
            <w:hideMark/>
          </w:tcPr>
          <w:p w:rsidR="00871EE7" w:rsidRPr="007C51D6" w:rsidRDefault="00871EE7" w:rsidP="00871EE7">
            <w:pPr>
              <w:autoSpaceDE/>
              <w:autoSpaceDN/>
              <w:adjustRightInd/>
              <w:jc w:val="center"/>
              <w:rPr>
                <w:color w:val="000000"/>
                <w:sz w:val="20"/>
                <w:szCs w:val="20"/>
              </w:rPr>
            </w:pPr>
            <w:r w:rsidRPr="007C51D6">
              <w:rPr>
                <w:color w:val="000000"/>
                <w:sz w:val="20"/>
                <w:szCs w:val="20"/>
              </w:rPr>
              <w:t>417,81</w:t>
            </w:r>
          </w:p>
        </w:tc>
        <w:tc>
          <w:tcPr>
            <w:tcW w:w="1225" w:type="dxa"/>
            <w:shd w:val="clear" w:color="auto" w:fill="auto"/>
            <w:hideMark/>
          </w:tcPr>
          <w:p w:rsidR="00871EE7" w:rsidRPr="007C51D6" w:rsidRDefault="00871EE7" w:rsidP="00871EE7">
            <w:pPr>
              <w:autoSpaceDE/>
              <w:autoSpaceDN/>
              <w:adjustRightInd/>
              <w:jc w:val="center"/>
              <w:rPr>
                <w:color w:val="000000"/>
                <w:sz w:val="20"/>
                <w:szCs w:val="20"/>
              </w:rPr>
            </w:pPr>
            <w:r w:rsidRPr="007C51D6">
              <w:rPr>
                <w:color w:val="000000"/>
                <w:sz w:val="20"/>
                <w:szCs w:val="20"/>
              </w:rPr>
              <w:t>382,51</w:t>
            </w:r>
          </w:p>
        </w:tc>
        <w:tc>
          <w:tcPr>
            <w:tcW w:w="992" w:type="dxa"/>
            <w:shd w:val="clear" w:color="auto" w:fill="auto"/>
            <w:hideMark/>
          </w:tcPr>
          <w:p w:rsidR="00871EE7" w:rsidRPr="007C51D6" w:rsidRDefault="00871EE7" w:rsidP="00871EE7">
            <w:pPr>
              <w:autoSpaceDE/>
              <w:autoSpaceDN/>
              <w:adjustRightInd/>
              <w:jc w:val="center"/>
              <w:rPr>
                <w:color w:val="000000"/>
                <w:sz w:val="20"/>
                <w:szCs w:val="20"/>
              </w:rPr>
            </w:pPr>
            <w:r w:rsidRPr="007C51D6">
              <w:rPr>
                <w:color w:val="000000"/>
                <w:sz w:val="20"/>
                <w:szCs w:val="20"/>
              </w:rPr>
              <w:t>335,62</w:t>
            </w:r>
          </w:p>
        </w:tc>
        <w:tc>
          <w:tcPr>
            <w:tcW w:w="1134" w:type="dxa"/>
            <w:shd w:val="clear" w:color="auto" w:fill="auto"/>
            <w:hideMark/>
          </w:tcPr>
          <w:p w:rsidR="00871EE7" w:rsidRPr="007C51D6" w:rsidRDefault="00871EE7" w:rsidP="00871EE7">
            <w:pPr>
              <w:autoSpaceDE/>
              <w:autoSpaceDN/>
              <w:adjustRightInd/>
              <w:jc w:val="center"/>
              <w:rPr>
                <w:color w:val="000000"/>
                <w:sz w:val="20"/>
                <w:szCs w:val="20"/>
              </w:rPr>
            </w:pPr>
            <w:r w:rsidRPr="007C51D6">
              <w:rPr>
                <w:color w:val="000000"/>
                <w:sz w:val="20"/>
                <w:szCs w:val="20"/>
              </w:rPr>
              <w:t>351,93</w:t>
            </w:r>
          </w:p>
        </w:tc>
        <w:tc>
          <w:tcPr>
            <w:tcW w:w="1134" w:type="dxa"/>
            <w:shd w:val="clear" w:color="auto" w:fill="auto"/>
            <w:hideMark/>
          </w:tcPr>
          <w:p w:rsidR="00871EE7" w:rsidRPr="007C51D6" w:rsidRDefault="00871EE7" w:rsidP="00871EE7">
            <w:pPr>
              <w:autoSpaceDE/>
              <w:autoSpaceDN/>
              <w:adjustRightInd/>
              <w:jc w:val="center"/>
              <w:rPr>
                <w:color w:val="000000"/>
                <w:sz w:val="20"/>
                <w:szCs w:val="20"/>
              </w:rPr>
            </w:pPr>
            <w:r w:rsidRPr="007C51D6">
              <w:rPr>
                <w:color w:val="000000"/>
                <w:sz w:val="20"/>
                <w:szCs w:val="20"/>
              </w:rPr>
              <w:t>336,38</w:t>
            </w:r>
          </w:p>
        </w:tc>
        <w:tc>
          <w:tcPr>
            <w:tcW w:w="1276" w:type="dxa"/>
          </w:tcPr>
          <w:p w:rsidR="00871EE7" w:rsidRPr="007C51D6" w:rsidRDefault="00871EE7" w:rsidP="00871EE7">
            <w:pPr>
              <w:autoSpaceDE/>
              <w:autoSpaceDN/>
              <w:adjustRightInd/>
              <w:jc w:val="center"/>
              <w:rPr>
                <w:color w:val="000000"/>
                <w:sz w:val="20"/>
                <w:szCs w:val="20"/>
              </w:rPr>
            </w:pPr>
            <w:r w:rsidRPr="007C51D6">
              <w:rPr>
                <w:color w:val="000000"/>
                <w:sz w:val="20"/>
                <w:szCs w:val="20"/>
              </w:rPr>
              <w:t>468,11</w:t>
            </w:r>
          </w:p>
        </w:tc>
        <w:tc>
          <w:tcPr>
            <w:tcW w:w="1134" w:type="dxa"/>
          </w:tcPr>
          <w:p w:rsidR="00871EE7" w:rsidRPr="007C51D6" w:rsidRDefault="00871EE7" w:rsidP="00871EE7">
            <w:pPr>
              <w:autoSpaceDE/>
              <w:autoSpaceDN/>
              <w:adjustRightInd/>
              <w:jc w:val="center"/>
              <w:rPr>
                <w:color w:val="000000"/>
                <w:sz w:val="20"/>
                <w:szCs w:val="20"/>
              </w:rPr>
            </w:pPr>
            <w:r w:rsidRPr="007C51D6">
              <w:rPr>
                <w:color w:val="000000"/>
                <w:sz w:val="20"/>
                <w:szCs w:val="20"/>
              </w:rPr>
              <w:t>538,34</w:t>
            </w:r>
          </w:p>
        </w:tc>
        <w:tc>
          <w:tcPr>
            <w:tcW w:w="1399" w:type="dxa"/>
            <w:vAlign w:val="center"/>
          </w:tcPr>
          <w:p w:rsidR="00871EE7" w:rsidRPr="007C51D6" w:rsidRDefault="00871EE7" w:rsidP="00871EE7">
            <w:pPr>
              <w:jc w:val="center"/>
              <w:rPr>
                <w:color w:val="000000"/>
                <w:sz w:val="20"/>
                <w:szCs w:val="20"/>
              </w:rPr>
            </w:pPr>
            <w:r w:rsidRPr="007C51D6">
              <w:rPr>
                <w:color w:val="000000"/>
                <w:sz w:val="20"/>
                <w:szCs w:val="20"/>
              </w:rPr>
              <w:t>441,19</w:t>
            </w:r>
          </w:p>
        </w:tc>
        <w:tc>
          <w:tcPr>
            <w:tcW w:w="1276" w:type="dxa"/>
            <w:vAlign w:val="center"/>
          </w:tcPr>
          <w:p w:rsidR="00871EE7" w:rsidRPr="007C51D6" w:rsidRDefault="00871EE7" w:rsidP="00871EE7">
            <w:pPr>
              <w:jc w:val="center"/>
              <w:rPr>
                <w:color w:val="000000"/>
                <w:sz w:val="20"/>
                <w:szCs w:val="20"/>
              </w:rPr>
            </w:pPr>
            <w:r w:rsidRPr="007C51D6">
              <w:rPr>
                <w:color w:val="000000"/>
                <w:sz w:val="20"/>
                <w:szCs w:val="20"/>
              </w:rPr>
              <w:t>457.57</w:t>
            </w:r>
          </w:p>
        </w:tc>
        <w:tc>
          <w:tcPr>
            <w:tcW w:w="1276" w:type="dxa"/>
            <w:vAlign w:val="center"/>
          </w:tcPr>
          <w:p w:rsidR="00871EE7" w:rsidRPr="007C51D6" w:rsidRDefault="00871EE7" w:rsidP="00871EE7">
            <w:pPr>
              <w:jc w:val="center"/>
              <w:rPr>
                <w:sz w:val="20"/>
                <w:szCs w:val="20"/>
              </w:rPr>
            </w:pPr>
            <w:r w:rsidRPr="007C51D6">
              <w:rPr>
                <w:sz w:val="20"/>
                <w:szCs w:val="20"/>
              </w:rPr>
              <w:t>531.87</w:t>
            </w:r>
          </w:p>
        </w:tc>
      </w:tr>
      <w:tr w:rsidR="00871EE7" w:rsidRPr="007C51D6" w:rsidTr="0038114E">
        <w:tblPrEx>
          <w:tblBorders>
            <w:bottom w:val="single" w:sz="4" w:space="0" w:color="auto"/>
          </w:tblBorders>
          <w:tblCellMar>
            <w:top w:w="28" w:type="dxa"/>
            <w:bottom w:w="28" w:type="dxa"/>
          </w:tblCellMar>
        </w:tblPrEx>
        <w:trPr>
          <w:trHeight w:val="227"/>
        </w:trPr>
        <w:tc>
          <w:tcPr>
            <w:tcW w:w="3255" w:type="dxa"/>
            <w:shd w:val="clear" w:color="auto" w:fill="auto"/>
            <w:hideMark/>
          </w:tcPr>
          <w:p w:rsidR="00871EE7" w:rsidRPr="007C51D6" w:rsidRDefault="00871EE7" w:rsidP="00871EE7">
            <w:pPr>
              <w:autoSpaceDE/>
              <w:autoSpaceDN/>
              <w:adjustRightInd/>
              <w:rPr>
                <w:color w:val="000000"/>
                <w:sz w:val="20"/>
                <w:szCs w:val="20"/>
              </w:rPr>
            </w:pPr>
            <w:r w:rsidRPr="007C51D6">
              <w:rPr>
                <w:color w:val="000000"/>
                <w:sz w:val="20"/>
                <w:szCs w:val="20"/>
              </w:rPr>
              <w:t>Тюлячинский</w:t>
            </w:r>
          </w:p>
        </w:tc>
        <w:tc>
          <w:tcPr>
            <w:tcW w:w="1062" w:type="dxa"/>
            <w:shd w:val="clear" w:color="auto" w:fill="auto"/>
            <w:hideMark/>
          </w:tcPr>
          <w:p w:rsidR="00871EE7" w:rsidRPr="007C51D6" w:rsidRDefault="00871EE7" w:rsidP="00871EE7">
            <w:pPr>
              <w:autoSpaceDE/>
              <w:autoSpaceDN/>
              <w:adjustRightInd/>
              <w:jc w:val="center"/>
              <w:rPr>
                <w:color w:val="000000"/>
                <w:sz w:val="20"/>
                <w:szCs w:val="20"/>
              </w:rPr>
            </w:pPr>
            <w:r w:rsidRPr="007C51D6">
              <w:rPr>
                <w:color w:val="000000"/>
                <w:sz w:val="20"/>
                <w:szCs w:val="20"/>
              </w:rPr>
              <w:t>413,75</w:t>
            </w:r>
          </w:p>
        </w:tc>
        <w:tc>
          <w:tcPr>
            <w:tcW w:w="1225" w:type="dxa"/>
            <w:shd w:val="clear" w:color="auto" w:fill="auto"/>
            <w:hideMark/>
          </w:tcPr>
          <w:p w:rsidR="00871EE7" w:rsidRPr="007C51D6" w:rsidRDefault="00871EE7" w:rsidP="00871EE7">
            <w:pPr>
              <w:autoSpaceDE/>
              <w:autoSpaceDN/>
              <w:adjustRightInd/>
              <w:jc w:val="center"/>
              <w:rPr>
                <w:color w:val="000000"/>
                <w:sz w:val="20"/>
                <w:szCs w:val="20"/>
              </w:rPr>
            </w:pPr>
            <w:r w:rsidRPr="007C51D6">
              <w:rPr>
                <w:color w:val="000000"/>
                <w:sz w:val="20"/>
                <w:szCs w:val="20"/>
              </w:rPr>
              <w:t>401,46</w:t>
            </w:r>
          </w:p>
        </w:tc>
        <w:tc>
          <w:tcPr>
            <w:tcW w:w="992" w:type="dxa"/>
            <w:shd w:val="clear" w:color="auto" w:fill="auto"/>
            <w:hideMark/>
          </w:tcPr>
          <w:p w:rsidR="00871EE7" w:rsidRPr="007C51D6" w:rsidRDefault="00871EE7" w:rsidP="00871EE7">
            <w:pPr>
              <w:autoSpaceDE/>
              <w:autoSpaceDN/>
              <w:adjustRightInd/>
              <w:jc w:val="center"/>
              <w:rPr>
                <w:color w:val="000000"/>
                <w:sz w:val="20"/>
                <w:szCs w:val="20"/>
              </w:rPr>
            </w:pPr>
            <w:r w:rsidRPr="007C51D6">
              <w:rPr>
                <w:color w:val="000000"/>
                <w:sz w:val="20"/>
                <w:szCs w:val="20"/>
              </w:rPr>
              <w:t>473,15</w:t>
            </w:r>
          </w:p>
        </w:tc>
        <w:tc>
          <w:tcPr>
            <w:tcW w:w="1134" w:type="dxa"/>
            <w:shd w:val="clear" w:color="auto" w:fill="auto"/>
            <w:hideMark/>
          </w:tcPr>
          <w:p w:rsidR="00871EE7" w:rsidRPr="007C51D6" w:rsidRDefault="00871EE7" w:rsidP="00871EE7">
            <w:pPr>
              <w:autoSpaceDE/>
              <w:autoSpaceDN/>
              <w:adjustRightInd/>
              <w:jc w:val="center"/>
              <w:rPr>
                <w:color w:val="000000"/>
                <w:sz w:val="20"/>
                <w:szCs w:val="20"/>
              </w:rPr>
            </w:pPr>
            <w:r w:rsidRPr="007C51D6">
              <w:rPr>
                <w:color w:val="000000"/>
                <w:sz w:val="20"/>
                <w:szCs w:val="20"/>
              </w:rPr>
              <w:t>410,01</w:t>
            </w:r>
          </w:p>
        </w:tc>
        <w:tc>
          <w:tcPr>
            <w:tcW w:w="1134" w:type="dxa"/>
            <w:shd w:val="clear" w:color="auto" w:fill="auto"/>
            <w:hideMark/>
          </w:tcPr>
          <w:p w:rsidR="00871EE7" w:rsidRPr="007C51D6" w:rsidRDefault="00871EE7" w:rsidP="00871EE7">
            <w:pPr>
              <w:autoSpaceDE/>
              <w:autoSpaceDN/>
              <w:adjustRightInd/>
              <w:jc w:val="center"/>
              <w:rPr>
                <w:color w:val="000000"/>
                <w:sz w:val="20"/>
                <w:szCs w:val="20"/>
              </w:rPr>
            </w:pPr>
            <w:r w:rsidRPr="007C51D6">
              <w:rPr>
                <w:color w:val="000000"/>
                <w:sz w:val="20"/>
                <w:szCs w:val="20"/>
              </w:rPr>
              <w:t>333,87</w:t>
            </w:r>
          </w:p>
        </w:tc>
        <w:tc>
          <w:tcPr>
            <w:tcW w:w="1276" w:type="dxa"/>
          </w:tcPr>
          <w:p w:rsidR="00871EE7" w:rsidRPr="007C51D6" w:rsidRDefault="00871EE7" w:rsidP="00871EE7">
            <w:pPr>
              <w:autoSpaceDE/>
              <w:autoSpaceDN/>
              <w:adjustRightInd/>
              <w:jc w:val="center"/>
              <w:rPr>
                <w:color w:val="000000"/>
                <w:sz w:val="20"/>
                <w:szCs w:val="20"/>
              </w:rPr>
            </w:pPr>
            <w:r w:rsidRPr="007C51D6">
              <w:rPr>
                <w:color w:val="000000"/>
                <w:sz w:val="20"/>
                <w:szCs w:val="20"/>
              </w:rPr>
              <w:t>319,35</w:t>
            </w:r>
          </w:p>
        </w:tc>
        <w:tc>
          <w:tcPr>
            <w:tcW w:w="1134" w:type="dxa"/>
          </w:tcPr>
          <w:p w:rsidR="00871EE7" w:rsidRPr="007C51D6" w:rsidRDefault="00871EE7" w:rsidP="00871EE7">
            <w:pPr>
              <w:autoSpaceDE/>
              <w:autoSpaceDN/>
              <w:adjustRightInd/>
              <w:jc w:val="center"/>
              <w:rPr>
                <w:color w:val="000000"/>
                <w:sz w:val="20"/>
                <w:szCs w:val="20"/>
              </w:rPr>
            </w:pPr>
            <w:r w:rsidRPr="007C51D6">
              <w:rPr>
                <w:color w:val="000000"/>
                <w:sz w:val="20"/>
                <w:szCs w:val="20"/>
              </w:rPr>
              <w:t>378,59</w:t>
            </w:r>
          </w:p>
        </w:tc>
        <w:tc>
          <w:tcPr>
            <w:tcW w:w="1399" w:type="dxa"/>
            <w:vAlign w:val="center"/>
          </w:tcPr>
          <w:p w:rsidR="00871EE7" w:rsidRPr="007C51D6" w:rsidRDefault="00871EE7" w:rsidP="00871EE7">
            <w:pPr>
              <w:jc w:val="center"/>
              <w:rPr>
                <w:color w:val="000000"/>
                <w:sz w:val="20"/>
                <w:szCs w:val="20"/>
              </w:rPr>
            </w:pPr>
            <w:r w:rsidRPr="007C51D6">
              <w:rPr>
                <w:color w:val="000000"/>
                <w:sz w:val="20"/>
                <w:szCs w:val="20"/>
              </w:rPr>
              <w:t>420,29</w:t>
            </w:r>
          </w:p>
        </w:tc>
        <w:tc>
          <w:tcPr>
            <w:tcW w:w="1276" w:type="dxa"/>
            <w:vAlign w:val="center"/>
          </w:tcPr>
          <w:p w:rsidR="00871EE7" w:rsidRPr="007C51D6" w:rsidRDefault="00871EE7" w:rsidP="00871EE7">
            <w:pPr>
              <w:jc w:val="center"/>
              <w:rPr>
                <w:color w:val="000000"/>
                <w:sz w:val="20"/>
                <w:szCs w:val="20"/>
              </w:rPr>
            </w:pPr>
            <w:r w:rsidRPr="007C51D6">
              <w:rPr>
                <w:color w:val="000000"/>
                <w:sz w:val="20"/>
                <w:szCs w:val="20"/>
              </w:rPr>
              <w:t>489.29</w:t>
            </w:r>
          </w:p>
        </w:tc>
        <w:tc>
          <w:tcPr>
            <w:tcW w:w="1276" w:type="dxa"/>
            <w:vAlign w:val="center"/>
          </w:tcPr>
          <w:p w:rsidR="00871EE7" w:rsidRPr="007C51D6" w:rsidRDefault="00871EE7" w:rsidP="00871EE7">
            <w:pPr>
              <w:jc w:val="center"/>
              <w:rPr>
                <w:sz w:val="20"/>
                <w:szCs w:val="20"/>
              </w:rPr>
            </w:pPr>
            <w:r w:rsidRPr="007C51D6">
              <w:rPr>
                <w:sz w:val="20"/>
                <w:szCs w:val="20"/>
              </w:rPr>
              <w:t>548.60</w:t>
            </w:r>
          </w:p>
        </w:tc>
      </w:tr>
      <w:tr w:rsidR="00871EE7" w:rsidRPr="007C51D6" w:rsidTr="0038114E">
        <w:tblPrEx>
          <w:tblBorders>
            <w:bottom w:val="single" w:sz="4" w:space="0" w:color="auto"/>
          </w:tblBorders>
          <w:tblCellMar>
            <w:top w:w="28" w:type="dxa"/>
            <w:bottom w:w="28" w:type="dxa"/>
          </w:tblCellMar>
        </w:tblPrEx>
        <w:trPr>
          <w:trHeight w:val="227"/>
        </w:trPr>
        <w:tc>
          <w:tcPr>
            <w:tcW w:w="3255" w:type="dxa"/>
            <w:shd w:val="clear" w:color="auto" w:fill="auto"/>
            <w:hideMark/>
          </w:tcPr>
          <w:p w:rsidR="00871EE7" w:rsidRPr="007C51D6" w:rsidRDefault="00871EE7" w:rsidP="00871EE7">
            <w:pPr>
              <w:autoSpaceDE/>
              <w:autoSpaceDN/>
              <w:adjustRightInd/>
              <w:rPr>
                <w:color w:val="000000"/>
                <w:sz w:val="20"/>
                <w:szCs w:val="20"/>
              </w:rPr>
            </w:pPr>
            <w:r w:rsidRPr="007C51D6">
              <w:rPr>
                <w:color w:val="000000"/>
                <w:sz w:val="20"/>
                <w:szCs w:val="20"/>
              </w:rPr>
              <w:t>Черемшанский</w:t>
            </w:r>
          </w:p>
        </w:tc>
        <w:tc>
          <w:tcPr>
            <w:tcW w:w="1062" w:type="dxa"/>
            <w:shd w:val="clear" w:color="auto" w:fill="auto"/>
            <w:hideMark/>
          </w:tcPr>
          <w:p w:rsidR="00871EE7" w:rsidRPr="007C51D6" w:rsidRDefault="00871EE7" w:rsidP="00871EE7">
            <w:pPr>
              <w:autoSpaceDE/>
              <w:autoSpaceDN/>
              <w:adjustRightInd/>
              <w:jc w:val="center"/>
              <w:rPr>
                <w:color w:val="000000"/>
                <w:sz w:val="20"/>
                <w:szCs w:val="20"/>
              </w:rPr>
            </w:pPr>
            <w:r w:rsidRPr="007C51D6">
              <w:rPr>
                <w:color w:val="000000"/>
                <w:sz w:val="20"/>
                <w:szCs w:val="20"/>
              </w:rPr>
              <w:t>433,05</w:t>
            </w:r>
          </w:p>
        </w:tc>
        <w:tc>
          <w:tcPr>
            <w:tcW w:w="1225" w:type="dxa"/>
            <w:shd w:val="clear" w:color="auto" w:fill="auto"/>
            <w:hideMark/>
          </w:tcPr>
          <w:p w:rsidR="00871EE7" w:rsidRPr="007C51D6" w:rsidRDefault="00871EE7" w:rsidP="00871EE7">
            <w:pPr>
              <w:autoSpaceDE/>
              <w:autoSpaceDN/>
              <w:adjustRightInd/>
              <w:jc w:val="center"/>
              <w:rPr>
                <w:color w:val="000000"/>
                <w:sz w:val="20"/>
                <w:szCs w:val="20"/>
              </w:rPr>
            </w:pPr>
            <w:r w:rsidRPr="007C51D6">
              <w:rPr>
                <w:color w:val="000000"/>
                <w:sz w:val="20"/>
                <w:szCs w:val="20"/>
              </w:rPr>
              <w:t>345,90</w:t>
            </w:r>
          </w:p>
        </w:tc>
        <w:tc>
          <w:tcPr>
            <w:tcW w:w="992" w:type="dxa"/>
            <w:shd w:val="clear" w:color="auto" w:fill="auto"/>
            <w:hideMark/>
          </w:tcPr>
          <w:p w:rsidR="00871EE7" w:rsidRPr="007C51D6" w:rsidRDefault="00871EE7" w:rsidP="00871EE7">
            <w:pPr>
              <w:autoSpaceDE/>
              <w:autoSpaceDN/>
              <w:adjustRightInd/>
              <w:jc w:val="center"/>
              <w:rPr>
                <w:color w:val="000000"/>
                <w:sz w:val="20"/>
                <w:szCs w:val="20"/>
              </w:rPr>
            </w:pPr>
            <w:r w:rsidRPr="007C51D6">
              <w:rPr>
                <w:color w:val="000000"/>
                <w:sz w:val="20"/>
                <w:szCs w:val="20"/>
              </w:rPr>
              <w:t>382,03</w:t>
            </w:r>
          </w:p>
        </w:tc>
        <w:tc>
          <w:tcPr>
            <w:tcW w:w="1134" w:type="dxa"/>
            <w:shd w:val="clear" w:color="auto" w:fill="auto"/>
            <w:hideMark/>
          </w:tcPr>
          <w:p w:rsidR="00871EE7" w:rsidRPr="007C51D6" w:rsidRDefault="00871EE7" w:rsidP="00871EE7">
            <w:pPr>
              <w:autoSpaceDE/>
              <w:autoSpaceDN/>
              <w:adjustRightInd/>
              <w:jc w:val="center"/>
              <w:rPr>
                <w:color w:val="000000"/>
                <w:sz w:val="20"/>
                <w:szCs w:val="20"/>
              </w:rPr>
            </w:pPr>
            <w:r w:rsidRPr="007C51D6">
              <w:rPr>
                <w:color w:val="000000"/>
                <w:sz w:val="20"/>
                <w:szCs w:val="20"/>
              </w:rPr>
              <w:t>407,31</w:t>
            </w:r>
          </w:p>
        </w:tc>
        <w:tc>
          <w:tcPr>
            <w:tcW w:w="1134" w:type="dxa"/>
            <w:shd w:val="clear" w:color="auto" w:fill="auto"/>
            <w:hideMark/>
          </w:tcPr>
          <w:p w:rsidR="00871EE7" w:rsidRPr="007C51D6" w:rsidRDefault="00871EE7" w:rsidP="00871EE7">
            <w:pPr>
              <w:autoSpaceDE/>
              <w:autoSpaceDN/>
              <w:adjustRightInd/>
              <w:jc w:val="center"/>
              <w:rPr>
                <w:color w:val="000000"/>
                <w:sz w:val="20"/>
                <w:szCs w:val="20"/>
              </w:rPr>
            </w:pPr>
            <w:r w:rsidRPr="007C51D6">
              <w:rPr>
                <w:color w:val="000000"/>
                <w:sz w:val="20"/>
                <w:szCs w:val="20"/>
              </w:rPr>
              <w:t>363,99</w:t>
            </w:r>
          </w:p>
        </w:tc>
        <w:tc>
          <w:tcPr>
            <w:tcW w:w="1276" w:type="dxa"/>
          </w:tcPr>
          <w:p w:rsidR="00871EE7" w:rsidRPr="007C51D6" w:rsidRDefault="00871EE7" w:rsidP="00871EE7">
            <w:pPr>
              <w:autoSpaceDE/>
              <w:autoSpaceDN/>
              <w:adjustRightInd/>
              <w:jc w:val="center"/>
              <w:rPr>
                <w:color w:val="000000"/>
                <w:sz w:val="20"/>
                <w:szCs w:val="20"/>
              </w:rPr>
            </w:pPr>
            <w:r w:rsidRPr="007C51D6">
              <w:rPr>
                <w:color w:val="000000"/>
                <w:sz w:val="20"/>
                <w:szCs w:val="20"/>
              </w:rPr>
              <w:t>401,46</w:t>
            </w:r>
          </w:p>
        </w:tc>
        <w:tc>
          <w:tcPr>
            <w:tcW w:w="1134" w:type="dxa"/>
          </w:tcPr>
          <w:p w:rsidR="00871EE7" w:rsidRPr="007C51D6" w:rsidRDefault="00871EE7" w:rsidP="00871EE7">
            <w:pPr>
              <w:autoSpaceDE/>
              <w:autoSpaceDN/>
              <w:adjustRightInd/>
              <w:jc w:val="center"/>
              <w:rPr>
                <w:color w:val="000000"/>
                <w:sz w:val="20"/>
                <w:szCs w:val="20"/>
              </w:rPr>
            </w:pPr>
            <w:r w:rsidRPr="007C51D6">
              <w:rPr>
                <w:color w:val="000000"/>
                <w:sz w:val="20"/>
                <w:szCs w:val="20"/>
              </w:rPr>
              <w:t>403,23</w:t>
            </w:r>
          </w:p>
        </w:tc>
        <w:tc>
          <w:tcPr>
            <w:tcW w:w="1399" w:type="dxa"/>
            <w:vAlign w:val="center"/>
          </w:tcPr>
          <w:p w:rsidR="00871EE7" w:rsidRPr="007C51D6" w:rsidRDefault="00871EE7" w:rsidP="00871EE7">
            <w:pPr>
              <w:jc w:val="center"/>
              <w:rPr>
                <w:color w:val="000000"/>
                <w:sz w:val="20"/>
                <w:szCs w:val="20"/>
              </w:rPr>
            </w:pPr>
            <w:r w:rsidRPr="007C51D6">
              <w:rPr>
                <w:color w:val="000000"/>
                <w:sz w:val="20"/>
                <w:szCs w:val="20"/>
              </w:rPr>
              <w:t>428,68</w:t>
            </w:r>
          </w:p>
        </w:tc>
        <w:tc>
          <w:tcPr>
            <w:tcW w:w="1276" w:type="dxa"/>
            <w:vAlign w:val="center"/>
          </w:tcPr>
          <w:p w:rsidR="00871EE7" w:rsidRPr="007C51D6" w:rsidRDefault="00871EE7" w:rsidP="00871EE7">
            <w:pPr>
              <w:jc w:val="center"/>
              <w:rPr>
                <w:color w:val="000000"/>
                <w:sz w:val="20"/>
                <w:szCs w:val="20"/>
              </w:rPr>
            </w:pPr>
            <w:r w:rsidRPr="007C51D6">
              <w:rPr>
                <w:color w:val="000000"/>
                <w:sz w:val="20"/>
                <w:szCs w:val="20"/>
              </w:rPr>
              <w:t>548.19</w:t>
            </w:r>
          </w:p>
        </w:tc>
        <w:tc>
          <w:tcPr>
            <w:tcW w:w="1276" w:type="dxa"/>
            <w:vAlign w:val="center"/>
          </w:tcPr>
          <w:p w:rsidR="00871EE7" w:rsidRPr="007C51D6" w:rsidRDefault="00871EE7" w:rsidP="00871EE7">
            <w:pPr>
              <w:jc w:val="center"/>
              <w:rPr>
                <w:sz w:val="20"/>
                <w:szCs w:val="20"/>
              </w:rPr>
            </w:pPr>
            <w:r w:rsidRPr="007C51D6">
              <w:rPr>
                <w:sz w:val="20"/>
                <w:szCs w:val="20"/>
              </w:rPr>
              <w:t>380.38</w:t>
            </w:r>
          </w:p>
        </w:tc>
      </w:tr>
      <w:tr w:rsidR="00871EE7" w:rsidRPr="007C51D6" w:rsidTr="0038114E">
        <w:tblPrEx>
          <w:tblBorders>
            <w:bottom w:val="single" w:sz="4" w:space="0" w:color="auto"/>
          </w:tblBorders>
          <w:tblCellMar>
            <w:top w:w="28" w:type="dxa"/>
            <w:bottom w:w="28" w:type="dxa"/>
          </w:tblCellMar>
        </w:tblPrEx>
        <w:trPr>
          <w:trHeight w:val="227"/>
        </w:trPr>
        <w:tc>
          <w:tcPr>
            <w:tcW w:w="3255" w:type="dxa"/>
            <w:shd w:val="clear" w:color="auto" w:fill="auto"/>
            <w:hideMark/>
          </w:tcPr>
          <w:p w:rsidR="00871EE7" w:rsidRPr="007C51D6" w:rsidRDefault="00871EE7" w:rsidP="00871EE7">
            <w:pPr>
              <w:autoSpaceDE/>
              <w:autoSpaceDN/>
              <w:adjustRightInd/>
              <w:rPr>
                <w:color w:val="000000"/>
                <w:sz w:val="20"/>
                <w:szCs w:val="20"/>
              </w:rPr>
            </w:pPr>
            <w:r w:rsidRPr="007C51D6">
              <w:rPr>
                <w:color w:val="000000"/>
                <w:sz w:val="20"/>
                <w:szCs w:val="20"/>
              </w:rPr>
              <w:t>Чистопольский</w:t>
            </w:r>
          </w:p>
        </w:tc>
        <w:tc>
          <w:tcPr>
            <w:tcW w:w="1062" w:type="dxa"/>
            <w:shd w:val="clear" w:color="auto" w:fill="auto"/>
            <w:hideMark/>
          </w:tcPr>
          <w:p w:rsidR="00871EE7" w:rsidRPr="007C51D6" w:rsidRDefault="00871EE7" w:rsidP="00871EE7">
            <w:pPr>
              <w:autoSpaceDE/>
              <w:autoSpaceDN/>
              <w:adjustRightInd/>
              <w:jc w:val="center"/>
              <w:rPr>
                <w:color w:val="000000"/>
                <w:sz w:val="20"/>
                <w:szCs w:val="20"/>
              </w:rPr>
            </w:pPr>
            <w:r w:rsidRPr="007C51D6">
              <w:rPr>
                <w:color w:val="000000"/>
                <w:sz w:val="20"/>
                <w:szCs w:val="20"/>
              </w:rPr>
              <w:t>472,14</w:t>
            </w:r>
          </w:p>
        </w:tc>
        <w:tc>
          <w:tcPr>
            <w:tcW w:w="1225" w:type="dxa"/>
            <w:shd w:val="clear" w:color="auto" w:fill="auto"/>
            <w:hideMark/>
          </w:tcPr>
          <w:p w:rsidR="00871EE7" w:rsidRPr="007C51D6" w:rsidRDefault="00871EE7" w:rsidP="00871EE7">
            <w:pPr>
              <w:autoSpaceDE/>
              <w:autoSpaceDN/>
              <w:adjustRightInd/>
              <w:jc w:val="center"/>
              <w:rPr>
                <w:color w:val="000000"/>
                <w:sz w:val="20"/>
                <w:szCs w:val="20"/>
              </w:rPr>
            </w:pPr>
            <w:r w:rsidRPr="007C51D6">
              <w:rPr>
                <w:color w:val="000000"/>
                <w:sz w:val="20"/>
                <w:szCs w:val="20"/>
              </w:rPr>
              <w:t>450,81</w:t>
            </w:r>
          </w:p>
        </w:tc>
        <w:tc>
          <w:tcPr>
            <w:tcW w:w="992" w:type="dxa"/>
            <w:shd w:val="clear" w:color="auto" w:fill="auto"/>
            <w:hideMark/>
          </w:tcPr>
          <w:p w:rsidR="00871EE7" w:rsidRPr="007C51D6" w:rsidRDefault="00871EE7" w:rsidP="00871EE7">
            <w:pPr>
              <w:autoSpaceDE/>
              <w:autoSpaceDN/>
              <w:adjustRightInd/>
              <w:jc w:val="center"/>
              <w:rPr>
                <w:color w:val="000000"/>
                <w:sz w:val="20"/>
                <w:szCs w:val="20"/>
              </w:rPr>
            </w:pPr>
            <w:r w:rsidRPr="007C51D6">
              <w:rPr>
                <w:color w:val="000000"/>
                <w:sz w:val="20"/>
                <w:szCs w:val="20"/>
              </w:rPr>
              <w:t>489,23</w:t>
            </w:r>
          </w:p>
        </w:tc>
        <w:tc>
          <w:tcPr>
            <w:tcW w:w="1134" w:type="dxa"/>
            <w:shd w:val="clear" w:color="auto" w:fill="auto"/>
            <w:hideMark/>
          </w:tcPr>
          <w:p w:rsidR="00871EE7" w:rsidRPr="007C51D6" w:rsidRDefault="00871EE7" w:rsidP="00871EE7">
            <w:pPr>
              <w:autoSpaceDE/>
              <w:autoSpaceDN/>
              <w:adjustRightInd/>
              <w:jc w:val="center"/>
              <w:rPr>
                <w:color w:val="000000"/>
                <w:sz w:val="20"/>
                <w:szCs w:val="20"/>
              </w:rPr>
            </w:pPr>
            <w:r w:rsidRPr="007C51D6">
              <w:rPr>
                <w:color w:val="000000"/>
                <w:sz w:val="20"/>
                <w:szCs w:val="20"/>
              </w:rPr>
              <w:t>475,13</w:t>
            </w:r>
          </w:p>
        </w:tc>
        <w:tc>
          <w:tcPr>
            <w:tcW w:w="1134" w:type="dxa"/>
            <w:shd w:val="clear" w:color="auto" w:fill="auto"/>
            <w:hideMark/>
          </w:tcPr>
          <w:p w:rsidR="00871EE7" w:rsidRPr="007C51D6" w:rsidRDefault="00871EE7" w:rsidP="00871EE7">
            <w:pPr>
              <w:autoSpaceDE/>
              <w:autoSpaceDN/>
              <w:adjustRightInd/>
              <w:jc w:val="center"/>
              <w:rPr>
                <w:color w:val="000000"/>
                <w:sz w:val="20"/>
                <w:szCs w:val="20"/>
              </w:rPr>
            </w:pPr>
            <w:r w:rsidRPr="007C51D6">
              <w:rPr>
                <w:color w:val="000000"/>
                <w:sz w:val="20"/>
                <w:szCs w:val="20"/>
              </w:rPr>
              <w:t>409,65</w:t>
            </w:r>
          </w:p>
        </w:tc>
        <w:tc>
          <w:tcPr>
            <w:tcW w:w="1276" w:type="dxa"/>
          </w:tcPr>
          <w:p w:rsidR="00871EE7" w:rsidRPr="007C51D6" w:rsidRDefault="00871EE7" w:rsidP="00871EE7">
            <w:pPr>
              <w:autoSpaceDE/>
              <w:autoSpaceDN/>
              <w:adjustRightInd/>
              <w:jc w:val="center"/>
              <w:rPr>
                <w:color w:val="000000"/>
                <w:sz w:val="20"/>
                <w:szCs w:val="20"/>
              </w:rPr>
            </w:pPr>
            <w:r w:rsidRPr="007C51D6">
              <w:rPr>
                <w:color w:val="000000"/>
                <w:sz w:val="20"/>
                <w:szCs w:val="20"/>
              </w:rPr>
              <w:t>434,75</w:t>
            </w:r>
          </w:p>
        </w:tc>
        <w:tc>
          <w:tcPr>
            <w:tcW w:w="1134" w:type="dxa"/>
          </w:tcPr>
          <w:p w:rsidR="00871EE7" w:rsidRPr="007C51D6" w:rsidRDefault="00871EE7" w:rsidP="00871EE7">
            <w:pPr>
              <w:autoSpaceDE/>
              <w:autoSpaceDN/>
              <w:adjustRightInd/>
              <w:jc w:val="center"/>
              <w:rPr>
                <w:color w:val="000000"/>
                <w:sz w:val="20"/>
                <w:szCs w:val="20"/>
              </w:rPr>
            </w:pPr>
            <w:r w:rsidRPr="007C51D6">
              <w:rPr>
                <w:color w:val="000000"/>
                <w:sz w:val="20"/>
                <w:szCs w:val="20"/>
              </w:rPr>
              <w:t>507,42</w:t>
            </w:r>
          </w:p>
        </w:tc>
        <w:tc>
          <w:tcPr>
            <w:tcW w:w="1399" w:type="dxa"/>
            <w:vAlign w:val="center"/>
          </w:tcPr>
          <w:p w:rsidR="00871EE7" w:rsidRPr="007C51D6" w:rsidRDefault="00871EE7" w:rsidP="00871EE7">
            <w:pPr>
              <w:jc w:val="center"/>
              <w:rPr>
                <w:color w:val="000000"/>
                <w:sz w:val="20"/>
                <w:szCs w:val="20"/>
              </w:rPr>
            </w:pPr>
            <w:r w:rsidRPr="007C51D6">
              <w:rPr>
                <w:color w:val="000000"/>
                <w:sz w:val="20"/>
                <w:szCs w:val="20"/>
              </w:rPr>
              <w:t>505,08</w:t>
            </w:r>
          </w:p>
        </w:tc>
        <w:tc>
          <w:tcPr>
            <w:tcW w:w="1276" w:type="dxa"/>
            <w:vAlign w:val="center"/>
          </w:tcPr>
          <w:p w:rsidR="00871EE7" w:rsidRPr="007C51D6" w:rsidRDefault="00871EE7" w:rsidP="00871EE7">
            <w:pPr>
              <w:jc w:val="center"/>
              <w:rPr>
                <w:color w:val="000000"/>
                <w:sz w:val="20"/>
                <w:szCs w:val="20"/>
              </w:rPr>
            </w:pPr>
            <w:r w:rsidRPr="007C51D6">
              <w:rPr>
                <w:color w:val="000000"/>
                <w:sz w:val="20"/>
                <w:szCs w:val="20"/>
              </w:rPr>
              <w:t>499.77</w:t>
            </w:r>
          </w:p>
        </w:tc>
        <w:tc>
          <w:tcPr>
            <w:tcW w:w="1276" w:type="dxa"/>
            <w:vAlign w:val="center"/>
          </w:tcPr>
          <w:p w:rsidR="00871EE7" w:rsidRPr="007C51D6" w:rsidRDefault="00871EE7" w:rsidP="00871EE7">
            <w:pPr>
              <w:jc w:val="center"/>
              <w:rPr>
                <w:sz w:val="20"/>
                <w:szCs w:val="20"/>
              </w:rPr>
            </w:pPr>
            <w:r w:rsidRPr="007C51D6">
              <w:rPr>
                <w:sz w:val="20"/>
                <w:szCs w:val="20"/>
              </w:rPr>
              <w:t>547.56</w:t>
            </w:r>
          </w:p>
        </w:tc>
      </w:tr>
      <w:tr w:rsidR="00871EE7" w:rsidRPr="007C51D6" w:rsidTr="0038114E">
        <w:tblPrEx>
          <w:tblBorders>
            <w:bottom w:val="single" w:sz="4" w:space="0" w:color="auto"/>
          </w:tblBorders>
          <w:tblCellMar>
            <w:top w:w="28" w:type="dxa"/>
            <w:bottom w:w="28" w:type="dxa"/>
          </w:tblCellMar>
        </w:tblPrEx>
        <w:trPr>
          <w:trHeight w:val="227"/>
        </w:trPr>
        <w:tc>
          <w:tcPr>
            <w:tcW w:w="3255" w:type="dxa"/>
            <w:shd w:val="clear" w:color="auto" w:fill="auto"/>
            <w:hideMark/>
          </w:tcPr>
          <w:p w:rsidR="00871EE7" w:rsidRPr="007C51D6" w:rsidRDefault="00871EE7" w:rsidP="00871EE7">
            <w:pPr>
              <w:autoSpaceDE/>
              <w:autoSpaceDN/>
              <w:adjustRightInd/>
              <w:rPr>
                <w:color w:val="000000"/>
                <w:sz w:val="20"/>
                <w:szCs w:val="20"/>
              </w:rPr>
            </w:pPr>
            <w:r w:rsidRPr="007C51D6">
              <w:rPr>
                <w:color w:val="000000"/>
                <w:sz w:val="20"/>
                <w:szCs w:val="20"/>
              </w:rPr>
              <w:t>Ютазинский</w:t>
            </w:r>
          </w:p>
        </w:tc>
        <w:tc>
          <w:tcPr>
            <w:tcW w:w="1062" w:type="dxa"/>
            <w:shd w:val="clear" w:color="auto" w:fill="auto"/>
            <w:hideMark/>
          </w:tcPr>
          <w:p w:rsidR="00871EE7" w:rsidRPr="007C51D6" w:rsidRDefault="00871EE7" w:rsidP="00871EE7">
            <w:pPr>
              <w:autoSpaceDE/>
              <w:autoSpaceDN/>
              <w:adjustRightInd/>
              <w:jc w:val="center"/>
              <w:rPr>
                <w:color w:val="000000"/>
                <w:sz w:val="20"/>
                <w:szCs w:val="20"/>
              </w:rPr>
            </w:pPr>
            <w:r w:rsidRPr="007C51D6">
              <w:rPr>
                <w:color w:val="000000"/>
                <w:sz w:val="20"/>
                <w:szCs w:val="20"/>
              </w:rPr>
              <w:t>500,83</w:t>
            </w:r>
          </w:p>
        </w:tc>
        <w:tc>
          <w:tcPr>
            <w:tcW w:w="1225" w:type="dxa"/>
            <w:shd w:val="clear" w:color="auto" w:fill="auto"/>
            <w:hideMark/>
          </w:tcPr>
          <w:p w:rsidR="00871EE7" w:rsidRPr="007C51D6" w:rsidRDefault="00871EE7" w:rsidP="00871EE7">
            <w:pPr>
              <w:autoSpaceDE/>
              <w:autoSpaceDN/>
              <w:adjustRightInd/>
              <w:jc w:val="center"/>
              <w:rPr>
                <w:color w:val="000000"/>
                <w:sz w:val="20"/>
                <w:szCs w:val="20"/>
              </w:rPr>
            </w:pPr>
            <w:r w:rsidRPr="007C51D6">
              <w:rPr>
                <w:color w:val="000000"/>
                <w:sz w:val="20"/>
                <w:szCs w:val="20"/>
              </w:rPr>
              <w:t>400,29</w:t>
            </w:r>
          </w:p>
        </w:tc>
        <w:tc>
          <w:tcPr>
            <w:tcW w:w="992" w:type="dxa"/>
            <w:shd w:val="clear" w:color="auto" w:fill="auto"/>
            <w:hideMark/>
          </w:tcPr>
          <w:p w:rsidR="00871EE7" w:rsidRPr="007C51D6" w:rsidRDefault="00871EE7" w:rsidP="00871EE7">
            <w:pPr>
              <w:autoSpaceDE/>
              <w:autoSpaceDN/>
              <w:adjustRightInd/>
              <w:jc w:val="center"/>
              <w:rPr>
                <w:color w:val="000000"/>
                <w:sz w:val="20"/>
                <w:szCs w:val="20"/>
              </w:rPr>
            </w:pPr>
            <w:r w:rsidRPr="007C51D6">
              <w:rPr>
                <w:color w:val="000000"/>
                <w:sz w:val="20"/>
                <w:szCs w:val="20"/>
              </w:rPr>
              <w:t>462,99</w:t>
            </w:r>
          </w:p>
        </w:tc>
        <w:tc>
          <w:tcPr>
            <w:tcW w:w="1134" w:type="dxa"/>
            <w:shd w:val="clear" w:color="auto" w:fill="auto"/>
            <w:hideMark/>
          </w:tcPr>
          <w:p w:rsidR="00871EE7" w:rsidRPr="007C51D6" w:rsidRDefault="00871EE7" w:rsidP="00871EE7">
            <w:pPr>
              <w:autoSpaceDE/>
              <w:autoSpaceDN/>
              <w:adjustRightInd/>
              <w:jc w:val="center"/>
              <w:rPr>
                <w:color w:val="000000"/>
                <w:sz w:val="20"/>
                <w:szCs w:val="20"/>
              </w:rPr>
            </w:pPr>
            <w:r w:rsidRPr="007C51D6">
              <w:rPr>
                <w:color w:val="000000"/>
                <w:sz w:val="20"/>
                <w:szCs w:val="20"/>
              </w:rPr>
              <w:t>477,14</w:t>
            </w:r>
          </w:p>
        </w:tc>
        <w:tc>
          <w:tcPr>
            <w:tcW w:w="1134" w:type="dxa"/>
            <w:shd w:val="clear" w:color="auto" w:fill="auto"/>
            <w:hideMark/>
          </w:tcPr>
          <w:p w:rsidR="00871EE7" w:rsidRPr="007C51D6" w:rsidRDefault="00871EE7" w:rsidP="00871EE7">
            <w:pPr>
              <w:autoSpaceDE/>
              <w:autoSpaceDN/>
              <w:adjustRightInd/>
              <w:jc w:val="center"/>
              <w:rPr>
                <w:color w:val="000000"/>
                <w:sz w:val="20"/>
                <w:szCs w:val="20"/>
              </w:rPr>
            </w:pPr>
            <w:r w:rsidRPr="007C51D6">
              <w:rPr>
                <w:color w:val="000000"/>
                <w:sz w:val="20"/>
                <w:szCs w:val="20"/>
              </w:rPr>
              <w:t>350,65</w:t>
            </w:r>
          </w:p>
        </w:tc>
        <w:tc>
          <w:tcPr>
            <w:tcW w:w="1276" w:type="dxa"/>
          </w:tcPr>
          <w:p w:rsidR="00871EE7" w:rsidRPr="007C51D6" w:rsidRDefault="00871EE7" w:rsidP="00871EE7">
            <w:pPr>
              <w:autoSpaceDE/>
              <w:autoSpaceDN/>
              <w:adjustRightInd/>
              <w:jc w:val="center"/>
              <w:rPr>
                <w:color w:val="000000"/>
                <w:sz w:val="20"/>
                <w:szCs w:val="20"/>
              </w:rPr>
            </w:pPr>
            <w:r w:rsidRPr="007C51D6">
              <w:rPr>
                <w:color w:val="000000"/>
                <w:sz w:val="20"/>
                <w:szCs w:val="20"/>
              </w:rPr>
              <w:t>424,73</w:t>
            </w:r>
          </w:p>
        </w:tc>
        <w:tc>
          <w:tcPr>
            <w:tcW w:w="1134" w:type="dxa"/>
          </w:tcPr>
          <w:p w:rsidR="00871EE7" w:rsidRPr="007C51D6" w:rsidRDefault="00871EE7" w:rsidP="00871EE7">
            <w:pPr>
              <w:autoSpaceDE/>
              <w:autoSpaceDN/>
              <w:adjustRightInd/>
              <w:jc w:val="center"/>
              <w:rPr>
                <w:color w:val="000000"/>
                <w:sz w:val="20"/>
                <w:szCs w:val="20"/>
              </w:rPr>
            </w:pPr>
            <w:r w:rsidRPr="007C51D6">
              <w:rPr>
                <w:color w:val="000000"/>
                <w:sz w:val="20"/>
                <w:szCs w:val="20"/>
              </w:rPr>
              <w:t>450,36</w:t>
            </w:r>
          </w:p>
        </w:tc>
        <w:tc>
          <w:tcPr>
            <w:tcW w:w="1399" w:type="dxa"/>
            <w:vAlign w:val="center"/>
          </w:tcPr>
          <w:p w:rsidR="00871EE7" w:rsidRPr="007C51D6" w:rsidRDefault="00871EE7" w:rsidP="00871EE7">
            <w:pPr>
              <w:jc w:val="center"/>
              <w:rPr>
                <w:color w:val="000000"/>
                <w:sz w:val="20"/>
                <w:szCs w:val="20"/>
              </w:rPr>
            </w:pPr>
            <w:r w:rsidRPr="007C51D6">
              <w:rPr>
                <w:color w:val="000000"/>
                <w:sz w:val="20"/>
                <w:szCs w:val="20"/>
              </w:rPr>
              <w:t>466,72</w:t>
            </w:r>
          </w:p>
        </w:tc>
        <w:tc>
          <w:tcPr>
            <w:tcW w:w="1276" w:type="dxa"/>
            <w:vAlign w:val="center"/>
          </w:tcPr>
          <w:p w:rsidR="00871EE7" w:rsidRPr="007C51D6" w:rsidRDefault="00871EE7" w:rsidP="00871EE7">
            <w:pPr>
              <w:jc w:val="center"/>
              <w:rPr>
                <w:color w:val="000000"/>
                <w:sz w:val="20"/>
                <w:szCs w:val="20"/>
              </w:rPr>
            </w:pPr>
            <w:r w:rsidRPr="007C51D6">
              <w:rPr>
                <w:color w:val="000000"/>
                <w:sz w:val="20"/>
                <w:szCs w:val="20"/>
              </w:rPr>
              <w:t>529.51</w:t>
            </w:r>
          </w:p>
        </w:tc>
        <w:tc>
          <w:tcPr>
            <w:tcW w:w="1276" w:type="dxa"/>
            <w:vAlign w:val="center"/>
          </w:tcPr>
          <w:p w:rsidR="00871EE7" w:rsidRPr="007C51D6" w:rsidRDefault="00871EE7" w:rsidP="00871EE7">
            <w:pPr>
              <w:jc w:val="center"/>
              <w:rPr>
                <w:sz w:val="20"/>
                <w:szCs w:val="20"/>
              </w:rPr>
            </w:pPr>
            <w:r w:rsidRPr="007C51D6">
              <w:rPr>
                <w:sz w:val="20"/>
                <w:szCs w:val="20"/>
              </w:rPr>
              <w:t>508.95</w:t>
            </w:r>
          </w:p>
        </w:tc>
      </w:tr>
      <w:tr w:rsidR="00871EE7" w:rsidRPr="007C51D6" w:rsidTr="0038114E">
        <w:tblPrEx>
          <w:tblBorders>
            <w:bottom w:val="single" w:sz="4" w:space="0" w:color="auto"/>
          </w:tblBorders>
          <w:tblCellMar>
            <w:top w:w="28" w:type="dxa"/>
            <w:bottom w:w="28" w:type="dxa"/>
          </w:tblCellMar>
        </w:tblPrEx>
        <w:trPr>
          <w:trHeight w:val="227"/>
        </w:trPr>
        <w:tc>
          <w:tcPr>
            <w:tcW w:w="3255" w:type="dxa"/>
            <w:shd w:val="clear" w:color="auto" w:fill="auto"/>
            <w:hideMark/>
          </w:tcPr>
          <w:p w:rsidR="00871EE7" w:rsidRPr="007C51D6" w:rsidRDefault="00871EE7" w:rsidP="00871EE7">
            <w:pPr>
              <w:autoSpaceDE/>
              <w:autoSpaceDN/>
              <w:adjustRightInd/>
              <w:rPr>
                <w:color w:val="000000"/>
                <w:sz w:val="20"/>
                <w:szCs w:val="20"/>
              </w:rPr>
            </w:pPr>
            <w:r w:rsidRPr="007C51D6">
              <w:rPr>
                <w:color w:val="000000"/>
                <w:sz w:val="20"/>
                <w:szCs w:val="20"/>
              </w:rPr>
              <w:t>г.Набережные Челны</w:t>
            </w:r>
          </w:p>
        </w:tc>
        <w:tc>
          <w:tcPr>
            <w:tcW w:w="1062" w:type="dxa"/>
            <w:shd w:val="clear" w:color="auto" w:fill="auto"/>
            <w:hideMark/>
          </w:tcPr>
          <w:p w:rsidR="00871EE7" w:rsidRPr="007C51D6" w:rsidRDefault="00871EE7" w:rsidP="00871EE7">
            <w:pPr>
              <w:autoSpaceDE/>
              <w:autoSpaceDN/>
              <w:adjustRightInd/>
              <w:jc w:val="center"/>
              <w:rPr>
                <w:color w:val="000000"/>
                <w:sz w:val="20"/>
                <w:szCs w:val="20"/>
              </w:rPr>
            </w:pPr>
            <w:r w:rsidRPr="007C51D6">
              <w:rPr>
                <w:color w:val="000000"/>
                <w:sz w:val="20"/>
                <w:szCs w:val="20"/>
              </w:rPr>
              <w:t>381,21</w:t>
            </w:r>
          </w:p>
        </w:tc>
        <w:tc>
          <w:tcPr>
            <w:tcW w:w="1225" w:type="dxa"/>
            <w:shd w:val="clear" w:color="auto" w:fill="auto"/>
            <w:hideMark/>
          </w:tcPr>
          <w:p w:rsidR="00871EE7" w:rsidRPr="007C51D6" w:rsidRDefault="00871EE7" w:rsidP="00871EE7">
            <w:pPr>
              <w:autoSpaceDE/>
              <w:autoSpaceDN/>
              <w:adjustRightInd/>
              <w:jc w:val="center"/>
              <w:rPr>
                <w:color w:val="000000"/>
                <w:sz w:val="20"/>
                <w:szCs w:val="20"/>
              </w:rPr>
            </w:pPr>
            <w:r w:rsidRPr="007C51D6">
              <w:rPr>
                <w:color w:val="000000"/>
                <w:sz w:val="20"/>
                <w:szCs w:val="20"/>
              </w:rPr>
              <w:t>412,80</w:t>
            </w:r>
          </w:p>
        </w:tc>
        <w:tc>
          <w:tcPr>
            <w:tcW w:w="992" w:type="dxa"/>
            <w:shd w:val="clear" w:color="auto" w:fill="auto"/>
            <w:hideMark/>
          </w:tcPr>
          <w:p w:rsidR="00871EE7" w:rsidRPr="007C51D6" w:rsidRDefault="00871EE7" w:rsidP="00871EE7">
            <w:pPr>
              <w:autoSpaceDE/>
              <w:autoSpaceDN/>
              <w:adjustRightInd/>
              <w:jc w:val="center"/>
              <w:rPr>
                <w:color w:val="000000"/>
                <w:sz w:val="20"/>
                <w:szCs w:val="20"/>
              </w:rPr>
            </w:pPr>
            <w:r w:rsidRPr="007C51D6">
              <w:rPr>
                <w:color w:val="000000"/>
                <w:sz w:val="20"/>
                <w:szCs w:val="20"/>
              </w:rPr>
              <w:t>394,87</w:t>
            </w:r>
          </w:p>
        </w:tc>
        <w:tc>
          <w:tcPr>
            <w:tcW w:w="1134" w:type="dxa"/>
            <w:shd w:val="clear" w:color="auto" w:fill="auto"/>
            <w:hideMark/>
          </w:tcPr>
          <w:p w:rsidR="00871EE7" w:rsidRPr="007C51D6" w:rsidRDefault="00871EE7" w:rsidP="00871EE7">
            <w:pPr>
              <w:autoSpaceDE/>
              <w:autoSpaceDN/>
              <w:adjustRightInd/>
              <w:jc w:val="center"/>
              <w:rPr>
                <w:color w:val="000000"/>
                <w:sz w:val="20"/>
                <w:szCs w:val="20"/>
              </w:rPr>
            </w:pPr>
            <w:r w:rsidRPr="007C51D6">
              <w:rPr>
                <w:color w:val="000000"/>
                <w:sz w:val="20"/>
                <w:szCs w:val="20"/>
              </w:rPr>
              <w:t>433,64</w:t>
            </w:r>
          </w:p>
        </w:tc>
        <w:tc>
          <w:tcPr>
            <w:tcW w:w="1134" w:type="dxa"/>
            <w:shd w:val="clear" w:color="auto" w:fill="auto"/>
            <w:hideMark/>
          </w:tcPr>
          <w:p w:rsidR="00871EE7" w:rsidRPr="007C51D6" w:rsidRDefault="00871EE7" w:rsidP="00871EE7">
            <w:pPr>
              <w:autoSpaceDE/>
              <w:autoSpaceDN/>
              <w:adjustRightInd/>
              <w:jc w:val="center"/>
              <w:rPr>
                <w:color w:val="000000"/>
                <w:sz w:val="20"/>
                <w:szCs w:val="20"/>
              </w:rPr>
            </w:pPr>
            <w:r w:rsidRPr="007C51D6">
              <w:rPr>
                <w:color w:val="000000"/>
                <w:sz w:val="20"/>
                <w:szCs w:val="20"/>
              </w:rPr>
              <w:t>359,28</w:t>
            </w:r>
          </w:p>
        </w:tc>
        <w:tc>
          <w:tcPr>
            <w:tcW w:w="1276" w:type="dxa"/>
          </w:tcPr>
          <w:p w:rsidR="00871EE7" w:rsidRPr="007C51D6" w:rsidRDefault="00871EE7" w:rsidP="00871EE7">
            <w:pPr>
              <w:autoSpaceDE/>
              <w:autoSpaceDN/>
              <w:adjustRightInd/>
              <w:jc w:val="center"/>
              <w:rPr>
                <w:color w:val="000000"/>
                <w:sz w:val="20"/>
                <w:szCs w:val="20"/>
              </w:rPr>
            </w:pPr>
            <w:r w:rsidRPr="007C51D6">
              <w:rPr>
                <w:color w:val="000000"/>
                <w:sz w:val="20"/>
                <w:szCs w:val="20"/>
              </w:rPr>
              <w:t>428,03</w:t>
            </w:r>
          </w:p>
        </w:tc>
        <w:tc>
          <w:tcPr>
            <w:tcW w:w="1134" w:type="dxa"/>
          </w:tcPr>
          <w:p w:rsidR="00871EE7" w:rsidRPr="007C51D6" w:rsidRDefault="00871EE7" w:rsidP="00871EE7">
            <w:pPr>
              <w:autoSpaceDE/>
              <w:autoSpaceDN/>
              <w:adjustRightInd/>
              <w:jc w:val="center"/>
              <w:rPr>
                <w:color w:val="000000"/>
                <w:sz w:val="20"/>
                <w:szCs w:val="20"/>
              </w:rPr>
            </w:pPr>
            <w:r w:rsidRPr="007C51D6">
              <w:rPr>
                <w:color w:val="000000"/>
                <w:sz w:val="20"/>
                <w:szCs w:val="20"/>
              </w:rPr>
              <w:t>427,38</w:t>
            </w:r>
          </w:p>
        </w:tc>
        <w:tc>
          <w:tcPr>
            <w:tcW w:w="1399" w:type="dxa"/>
            <w:vAlign w:val="center"/>
          </w:tcPr>
          <w:p w:rsidR="00871EE7" w:rsidRPr="007C51D6" w:rsidRDefault="00871EE7" w:rsidP="00871EE7">
            <w:pPr>
              <w:jc w:val="center"/>
              <w:rPr>
                <w:color w:val="000000"/>
                <w:sz w:val="20"/>
                <w:szCs w:val="20"/>
              </w:rPr>
            </w:pPr>
            <w:r w:rsidRPr="007C51D6">
              <w:rPr>
                <w:color w:val="000000"/>
                <w:sz w:val="20"/>
                <w:szCs w:val="20"/>
              </w:rPr>
              <w:t>463,03</w:t>
            </w:r>
          </w:p>
        </w:tc>
        <w:tc>
          <w:tcPr>
            <w:tcW w:w="1276" w:type="dxa"/>
            <w:vAlign w:val="center"/>
          </w:tcPr>
          <w:p w:rsidR="00871EE7" w:rsidRPr="007C51D6" w:rsidRDefault="00871EE7" w:rsidP="00871EE7">
            <w:pPr>
              <w:jc w:val="center"/>
              <w:rPr>
                <w:color w:val="000000"/>
                <w:sz w:val="20"/>
                <w:szCs w:val="20"/>
              </w:rPr>
            </w:pPr>
            <w:r w:rsidRPr="007C51D6">
              <w:rPr>
                <w:color w:val="000000"/>
                <w:sz w:val="20"/>
                <w:szCs w:val="20"/>
              </w:rPr>
              <w:t>504.98</w:t>
            </w:r>
          </w:p>
        </w:tc>
        <w:tc>
          <w:tcPr>
            <w:tcW w:w="1276" w:type="dxa"/>
            <w:vAlign w:val="center"/>
          </w:tcPr>
          <w:p w:rsidR="00871EE7" w:rsidRPr="007C51D6" w:rsidRDefault="00871EE7" w:rsidP="00871EE7">
            <w:pPr>
              <w:jc w:val="center"/>
              <w:rPr>
                <w:sz w:val="20"/>
                <w:szCs w:val="20"/>
              </w:rPr>
            </w:pPr>
            <w:r w:rsidRPr="007C51D6">
              <w:rPr>
                <w:sz w:val="20"/>
                <w:szCs w:val="20"/>
              </w:rPr>
              <w:t>537.31</w:t>
            </w:r>
          </w:p>
        </w:tc>
      </w:tr>
      <w:tr w:rsidR="00871EE7" w:rsidRPr="007C51D6" w:rsidTr="0038114E">
        <w:tblPrEx>
          <w:tblBorders>
            <w:bottom w:val="single" w:sz="4" w:space="0" w:color="auto"/>
          </w:tblBorders>
          <w:tblCellMar>
            <w:top w:w="28" w:type="dxa"/>
            <w:bottom w:w="28" w:type="dxa"/>
          </w:tblCellMar>
        </w:tblPrEx>
        <w:trPr>
          <w:trHeight w:val="227"/>
        </w:trPr>
        <w:tc>
          <w:tcPr>
            <w:tcW w:w="3255" w:type="dxa"/>
            <w:shd w:val="clear" w:color="auto" w:fill="auto"/>
            <w:vAlign w:val="center"/>
            <w:hideMark/>
          </w:tcPr>
          <w:p w:rsidR="00871EE7" w:rsidRPr="007C51D6" w:rsidRDefault="00871EE7" w:rsidP="00871EE7">
            <w:pPr>
              <w:autoSpaceDE/>
              <w:autoSpaceDN/>
              <w:adjustRightInd/>
              <w:rPr>
                <w:color w:val="000000"/>
                <w:sz w:val="20"/>
                <w:szCs w:val="20"/>
              </w:rPr>
            </w:pPr>
            <w:r w:rsidRPr="007C51D6">
              <w:rPr>
                <w:color w:val="000000"/>
                <w:sz w:val="20"/>
                <w:szCs w:val="20"/>
              </w:rPr>
              <w:t>г.Казань</w:t>
            </w:r>
          </w:p>
        </w:tc>
        <w:tc>
          <w:tcPr>
            <w:tcW w:w="1062" w:type="dxa"/>
            <w:shd w:val="clear" w:color="auto" w:fill="auto"/>
            <w:noWrap/>
            <w:hideMark/>
          </w:tcPr>
          <w:p w:rsidR="00871EE7" w:rsidRPr="007C51D6" w:rsidRDefault="00871EE7" w:rsidP="00871EE7">
            <w:pPr>
              <w:autoSpaceDE/>
              <w:autoSpaceDN/>
              <w:adjustRightInd/>
              <w:jc w:val="center"/>
              <w:rPr>
                <w:color w:val="000000"/>
                <w:sz w:val="20"/>
                <w:szCs w:val="20"/>
              </w:rPr>
            </w:pPr>
            <w:r w:rsidRPr="007C51D6">
              <w:rPr>
                <w:color w:val="000000"/>
                <w:sz w:val="20"/>
                <w:szCs w:val="20"/>
              </w:rPr>
              <w:t>425,65</w:t>
            </w:r>
          </w:p>
        </w:tc>
        <w:tc>
          <w:tcPr>
            <w:tcW w:w="1225" w:type="dxa"/>
            <w:shd w:val="clear" w:color="auto" w:fill="auto"/>
            <w:noWrap/>
            <w:hideMark/>
          </w:tcPr>
          <w:p w:rsidR="00871EE7" w:rsidRPr="007C51D6" w:rsidRDefault="00871EE7" w:rsidP="00871EE7">
            <w:pPr>
              <w:autoSpaceDE/>
              <w:autoSpaceDN/>
              <w:adjustRightInd/>
              <w:jc w:val="center"/>
              <w:rPr>
                <w:color w:val="000000"/>
                <w:sz w:val="20"/>
                <w:szCs w:val="20"/>
              </w:rPr>
            </w:pPr>
            <w:r w:rsidRPr="007C51D6">
              <w:rPr>
                <w:color w:val="000000"/>
                <w:sz w:val="20"/>
                <w:szCs w:val="20"/>
              </w:rPr>
              <w:t>429,10</w:t>
            </w:r>
          </w:p>
        </w:tc>
        <w:tc>
          <w:tcPr>
            <w:tcW w:w="992" w:type="dxa"/>
            <w:shd w:val="clear" w:color="auto" w:fill="auto"/>
            <w:noWrap/>
            <w:hideMark/>
          </w:tcPr>
          <w:p w:rsidR="00871EE7" w:rsidRPr="007C51D6" w:rsidRDefault="00871EE7" w:rsidP="00871EE7">
            <w:pPr>
              <w:autoSpaceDE/>
              <w:autoSpaceDN/>
              <w:adjustRightInd/>
              <w:jc w:val="center"/>
              <w:rPr>
                <w:color w:val="000000"/>
                <w:sz w:val="20"/>
                <w:szCs w:val="20"/>
              </w:rPr>
            </w:pPr>
            <w:r w:rsidRPr="007C51D6">
              <w:rPr>
                <w:color w:val="000000"/>
                <w:sz w:val="20"/>
                <w:szCs w:val="20"/>
              </w:rPr>
              <w:t>442,17</w:t>
            </w:r>
          </w:p>
        </w:tc>
        <w:tc>
          <w:tcPr>
            <w:tcW w:w="1134" w:type="dxa"/>
            <w:shd w:val="clear" w:color="auto" w:fill="auto"/>
            <w:noWrap/>
            <w:hideMark/>
          </w:tcPr>
          <w:p w:rsidR="00871EE7" w:rsidRPr="007C51D6" w:rsidRDefault="00871EE7" w:rsidP="00871EE7">
            <w:pPr>
              <w:autoSpaceDE/>
              <w:autoSpaceDN/>
              <w:adjustRightInd/>
              <w:jc w:val="center"/>
              <w:rPr>
                <w:color w:val="000000"/>
                <w:sz w:val="20"/>
                <w:szCs w:val="20"/>
              </w:rPr>
            </w:pPr>
            <w:r w:rsidRPr="007C51D6">
              <w:rPr>
                <w:color w:val="000000"/>
                <w:sz w:val="20"/>
                <w:szCs w:val="20"/>
              </w:rPr>
              <w:t>472,14</w:t>
            </w:r>
          </w:p>
        </w:tc>
        <w:tc>
          <w:tcPr>
            <w:tcW w:w="1134" w:type="dxa"/>
            <w:shd w:val="clear" w:color="auto" w:fill="auto"/>
            <w:noWrap/>
            <w:hideMark/>
          </w:tcPr>
          <w:p w:rsidR="00871EE7" w:rsidRPr="007C51D6" w:rsidRDefault="00871EE7" w:rsidP="00871EE7">
            <w:pPr>
              <w:autoSpaceDE/>
              <w:autoSpaceDN/>
              <w:adjustRightInd/>
              <w:jc w:val="center"/>
              <w:rPr>
                <w:color w:val="000000"/>
                <w:sz w:val="20"/>
                <w:szCs w:val="20"/>
              </w:rPr>
            </w:pPr>
            <w:r w:rsidRPr="007C51D6">
              <w:rPr>
                <w:color w:val="000000"/>
                <w:sz w:val="20"/>
                <w:szCs w:val="20"/>
              </w:rPr>
              <w:t>419,44</w:t>
            </w:r>
          </w:p>
        </w:tc>
        <w:tc>
          <w:tcPr>
            <w:tcW w:w="1276" w:type="dxa"/>
          </w:tcPr>
          <w:p w:rsidR="00871EE7" w:rsidRPr="007C51D6" w:rsidRDefault="00871EE7" w:rsidP="00871EE7">
            <w:pPr>
              <w:autoSpaceDE/>
              <w:autoSpaceDN/>
              <w:adjustRightInd/>
              <w:jc w:val="center"/>
              <w:rPr>
                <w:color w:val="000000"/>
                <w:sz w:val="20"/>
                <w:szCs w:val="20"/>
              </w:rPr>
            </w:pPr>
            <w:r w:rsidRPr="007C51D6">
              <w:rPr>
                <w:color w:val="000000"/>
                <w:sz w:val="20"/>
                <w:szCs w:val="20"/>
              </w:rPr>
              <w:t>469,62</w:t>
            </w:r>
          </w:p>
        </w:tc>
        <w:tc>
          <w:tcPr>
            <w:tcW w:w="1134" w:type="dxa"/>
          </w:tcPr>
          <w:p w:rsidR="00871EE7" w:rsidRPr="007C51D6" w:rsidRDefault="00871EE7" w:rsidP="00871EE7">
            <w:pPr>
              <w:autoSpaceDE/>
              <w:autoSpaceDN/>
              <w:adjustRightInd/>
              <w:jc w:val="center"/>
              <w:rPr>
                <w:color w:val="000000"/>
                <w:sz w:val="20"/>
                <w:szCs w:val="20"/>
              </w:rPr>
            </w:pPr>
            <w:r w:rsidRPr="007C51D6">
              <w:rPr>
                <w:color w:val="000000"/>
                <w:sz w:val="20"/>
                <w:szCs w:val="20"/>
              </w:rPr>
              <w:t>477,52</w:t>
            </w:r>
          </w:p>
        </w:tc>
        <w:tc>
          <w:tcPr>
            <w:tcW w:w="1399" w:type="dxa"/>
            <w:vAlign w:val="center"/>
          </w:tcPr>
          <w:p w:rsidR="00871EE7" w:rsidRPr="007C51D6" w:rsidRDefault="00871EE7" w:rsidP="00871EE7">
            <w:pPr>
              <w:jc w:val="center"/>
              <w:rPr>
                <w:color w:val="000000"/>
                <w:sz w:val="20"/>
                <w:szCs w:val="20"/>
              </w:rPr>
            </w:pPr>
            <w:r w:rsidRPr="007C51D6">
              <w:rPr>
                <w:color w:val="000000"/>
                <w:sz w:val="20"/>
                <w:szCs w:val="20"/>
              </w:rPr>
              <w:t>489,39</w:t>
            </w:r>
          </w:p>
        </w:tc>
        <w:tc>
          <w:tcPr>
            <w:tcW w:w="1276" w:type="dxa"/>
            <w:vAlign w:val="center"/>
          </w:tcPr>
          <w:p w:rsidR="00871EE7" w:rsidRPr="007C51D6" w:rsidRDefault="00871EE7" w:rsidP="00871EE7">
            <w:pPr>
              <w:jc w:val="center"/>
              <w:rPr>
                <w:color w:val="000000"/>
                <w:sz w:val="20"/>
                <w:szCs w:val="20"/>
              </w:rPr>
            </w:pPr>
            <w:r w:rsidRPr="007C51D6">
              <w:rPr>
                <w:color w:val="000000"/>
                <w:sz w:val="20"/>
                <w:szCs w:val="20"/>
              </w:rPr>
              <w:t>530.86</w:t>
            </w:r>
          </w:p>
        </w:tc>
        <w:tc>
          <w:tcPr>
            <w:tcW w:w="1276" w:type="dxa"/>
            <w:vAlign w:val="center"/>
          </w:tcPr>
          <w:p w:rsidR="00871EE7" w:rsidRPr="007C51D6" w:rsidRDefault="00871EE7" w:rsidP="00871EE7">
            <w:pPr>
              <w:jc w:val="center"/>
              <w:rPr>
                <w:sz w:val="20"/>
                <w:szCs w:val="20"/>
              </w:rPr>
            </w:pPr>
            <w:r w:rsidRPr="007C51D6">
              <w:rPr>
                <w:sz w:val="20"/>
                <w:szCs w:val="20"/>
              </w:rPr>
              <w:t>516.38</w:t>
            </w:r>
          </w:p>
        </w:tc>
      </w:tr>
    </w:tbl>
    <w:p w:rsidR="005267C6" w:rsidRPr="007C51D6" w:rsidRDefault="005267C6">
      <w:pPr>
        <w:rPr>
          <w:sz w:val="2"/>
          <w:szCs w:val="2"/>
        </w:rPr>
      </w:pPr>
    </w:p>
    <w:p w:rsidR="005267C6" w:rsidRPr="007C51D6" w:rsidRDefault="005267C6" w:rsidP="00D811D4">
      <w:pPr>
        <w:autoSpaceDE/>
        <w:autoSpaceDN/>
        <w:adjustRightInd/>
        <w:rPr>
          <w:rFonts w:eastAsia="Arial"/>
          <w:sz w:val="22"/>
          <w:szCs w:val="20"/>
        </w:rPr>
      </w:pPr>
    </w:p>
    <w:p w:rsidR="00D811D4" w:rsidRPr="007C51D6" w:rsidRDefault="00D811D4" w:rsidP="00CA5B2D">
      <w:pPr>
        <w:autoSpaceDE/>
        <w:autoSpaceDN/>
        <w:adjustRightInd/>
        <w:ind w:firstLine="709"/>
        <w:rPr>
          <w:rFonts w:eastAsia="Arial"/>
          <w:sz w:val="28"/>
          <w:szCs w:val="28"/>
        </w:rPr>
      </w:pPr>
      <w:r w:rsidRPr="007C51D6">
        <w:rPr>
          <w:rFonts w:eastAsia="Arial"/>
          <w:sz w:val="20"/>
          <w:szCs w:val="20"/>
        </w:rPr>
        <w:t>*Представлены оперативные данные</w:t>
      </w:r>
      <w:r w:rsidR="001F1DAA" w:rsidRPr="007C51D6">
        <w:rPr>
          <w:rFonts w:eastAsia="Arial"/>
          <w:sz w:val="20"/>
          <w:szCs w:val="20"/>
        </w:rPr>
        <w:t>.</w:t>
      </w:r>
    </w:p>
    <w:p w:rsidR="005076FD" w:rsidRPr="007C51D6" w:rsidRDefault="005076FD" w:rsidP="005076FD">
      <w:pPr>
        <w:autoSpaceDE/>
        <w:autoSpaceDN/>
        <w:adjustRightInd/>
        <w:ind w:firstLine="709"/>
        <w:jc w:val="both"/>
        <w:rPr>
          <w:rFonts w:eastAsia="Arial"/>
          <w:sz w:val="28"/>
          <w:szCs w:val="28"/>
        </w:rPr>
      </w:pPr>
    </w:p>
    <w:p w:rsidR="005076FD" w:rsidRPr="007C51D6" w:rsidRDefault="005076FD" w:rsidP="005076FD">
      <w:pPr>
        <w:autoSpaceDE/>
        <w:autoSpaceDN/>
        <w:adjustRightInd/>
        <w:ind w:firstLine="709"/>
        <w:jc w:val="both"/>
        <w:rPr>
          <w:rFonts w:eastAsia="Arial"/>
          <w:spacing w:val="-2"/>
          <w:szCs w:val="28"/>
        </w:rPr>
      </w:pPr>
      <w:r w:rsidRPr="007C51D6">
        <w:rPr>
          <w:rFonts w:eastAsia="Arial"/>
          <w:sz w:val="28"/>
          <w:szCs w:val="28"/>
        </w:rPr>
        <w:t>В 202</w:t>
      </w:r>
      <w:r w:rsidR="005C716C" w:rsidRPr="007C51D6">
        <w:rPr>
          <w:rFonts w:eastAsia="Arial"/>
          <w:sz w:val="28"/>
          <w:szCs w:val="28"/>
        </w:rPr>
        <w:t>5</w:t>
      </w:r>
      <w:r w:rsidRPr="007C51D6">
        <w:rPr>
          <w:rFonts w:eastAsia="Arial"/>
          <w:sz w:val="28"/>
          <w:szCs w:val="28"/>
        </w:rPr>
        <w:t xml:space="preserve"> году наиболее высокий уровень </w:t>
      </w:r>
      <w:r w:rsidR="002F7358" w:rsidRPr="007C51D6">
        <w:rPr>
          <w:rFonts w:eastAsia="Arial"/>
          <w:sz w:val="28"/>
          <w:szCs w:val="28"/>
        </w:rPr>
        <w:t>«</w:t>
      </w:r>
      <w:r w:rsidRPr="007C51D6">
        <w:rPr>
          <w:rFonts w:eastAsia="Arial"/>
          <w:sz w:val="28"/>
          <w:szCs w:val="28"/>
        </w:rPr>
        <w:t>грубого</w:t>
      </w:r>
      <w:r w:rsidR="002F7358" w:rsidRPr="007C51D6">
        <w:rPr>
          <w:rFonts w:eastAsia="Arial"/>
          <w:sz w:val="28"/>
          <w:szCs w:val="28"/>
        </w:rPr>
        <w:t>»</w:t>
      </w:r>
      <w:r w:rsidRPr="007C51D6">
        <w:rPr>
          <w:rFonts w:eastAsia="Arial"/>
          <w:sz w:val="28"/>
          <w:szCs w:val="28"/>
        </w:rPr>
        <w:t xml:space="preserve"> показателя заболеваемости населения зарегистрирован в </w:t>
      </w:r>
      <w:r w:rsidR="001C3412" w:rsidRPr="007C51D6">
        <w:rPr>
          <w:rFonts w:eastAsia="Arial"/>
          <w:sz w:val="28"/>
          <w:szCs w:val="28"/>
        </w:rPr>
        <w:t>Верхнеуслон</w:t>
      </w:r>
      <w:r w:rsidR="001C3412" w:rsidRPr="007C51D6">
        <w:rPr>
          <w:rFonts w:eastAsia="Arial"/>
          <w:sz w:val="28"/>
          <w:szCs w:val="28"/>
        </w:rPr>
        <w:lastRenderedPageBreak/>
        <w:t>ском</w:t>
      </w:r>
      <w:r w:rsidRPr="007C51D6">
        <w:rPr>
          <w:color w:val="000000"/>
          <w:sz w:val="28"/>
          <w:szCs w:val="28"/>
        </w:rPr>
        <w:t xml:space="preserve"> (</w:t>
      </w:r>
      <w:r w:rsidR="001C3412" w:rsidRPr="007C51D6">
        <w:rPr>
          <w:color w:val="000000"/>
          <w:sz w:val="28"/>
          <w:szCs w:val="28"/>
        </w:rPr>
        <w:t>617</w:t>
      </w:r>
      <w:r w:rsidRPr="007C51D6">
        <w:rPr>
          <w:color w:val="000000"/>
          <w:sz w:val="28"/>
          <w:szCs w:val="28"/>
        </w:rPr>
        <w:t>,</w:t>
      </w:r>
      <w:r w:rsidR="001C3412" w:rsidRPr="007C51D6">
        <w:rPr>
          <w:color w:val="000000"/>
          <w:sz w:val="28"/>
          <w:szCs w:val="28"/>
        </w:rPr>
        <w:t>88</w:t>
      </w:r>
      <w:r w:rsidRPr="007C51D6">
        <w:rPr>
          <w:color w:val="000000"/>
          <w:sz w:val="28"/>
          <w:szCs w:val="28"/>
        </w:rPr>
        <w:t xml:space="preserve">), </w:t>
      </w:r>
      <w:r w:rsidR="001C3412" w:rsidRPr="007C51D6">
        <w:rPr>
          <w:color w:val="000000"/>
          <w:sz w:val="28"/>
          <w:szCs w:val="28"/>
        </w:rPr>
        <w:t xml:space="preserve">Апастовском (610,41), </w:t>
      </w:r>
      <w:r w:rsidRPr="007C51D6">
        <w:rPr>
          <w:color w:val="000000"/>
          <w:sz w:val="28"/>
          <w:szCs w:val="28"/>
        </w:rPr>
        <w:t>Спасском (5</w:t>
      </w:r>
      <w:r w:rsidR="001C3412" w:rsidRPr="007C51D6">
        <w:rPr>
          <w:color w:val="000000"/>
          <w:sz w:val="28"/>
          <w:szCs w:val="28"/>
        </w:rPr>
        <w:t>99</w:t>
      </w:r>
      <w:r w:rsidRPr="007C51D6">
        <w:rPr>
          <w:color w:val="000000"/>
          <w:sz w:val="28"/>
          <w:szCs w:val="28"/>
        </w:rPr>
        <w:t>,</w:t>
      </w:r>
      <w:r w:rsidR="001C3412" w:rsidRPr="007C51D6">
        <w:rPr>
          <w:color w:val="000000"/>
          <w:sz w:val="28"/>
          <w:szCs w:val="28"/>
        </w:rPr>
        <w:t>53</w:t>
      </w:r>
      <w:r w:rsidRPr="007C51D6">
        <w:rPr>
          <w:color w:val="000000"/>
          <w:sz w:val="28"/>
          <w:szCs w:val="28"/>
        </w:rPr>
        <w:t xml:space="preserve">), </w:t>
      </w:r>
      <w:r w:rsidR="001C3412" w:rsidRPr="007C51D6">
        <w:rPr>
          <w:color w:val="000000"/>
          <w:sz w:val="28"/>
          <w:szCs w:val="28"/>
        </w:rPr>
        <w:t xml:space="preserve">Рыбно-Слободском (577,60) </w:t>
      </w:r>
      <w:r w:rsidRPr="007C51D6">
        <w:rPr>
          <w:color w:val="000000"/>
          <w:sz w:val="28"/>
          <w:szCs w:val="28"/>
        </w:rPr>
        <w:t>Буинском (5</w:t>
      </w:r>
      <w:r w:rsidR="001C3412" w:rsidRPr="007C51D6">
        <w:rPr>
          <w:color w:val="000000"/>
          <w:sz w:val="28"/>
          <w:szCs w:val="28"/>
        </w:rPr>
        <w:t>6</w:t>
      </w:r>
      <w:r w:rsidRPr="007C51D6">
        <w:rPr>
          <w:color w:val="000000"/>
          <w:sz w:val="28"/>
          <w:szCs w:val="28"/>
        </w:rPr>
        <w:t>7,</w:t>
      </w:r>
      <w:r w:rsidR="001C3412" w:rsidRPr="007C51D6">
        <w:rPr>
          <w:color w:val="000000"/>
          <w:sz w:val="28"/>
          <w:szCs w:val="28"/>
        </w:rPr>
        <w:t>27</w:t>
      </w:r>
      <w:r w:rsidR="00435463">
        <w:rPr>
          <w:color w:val="000000"/>
          <w:sz w:val="28"/>
          <w:szCs w:val="28"/>
        </w:rPr>
        <w:t>)</w:t>
      </w:r>
      <w:r w:rsidRPr="007C51D6">
        <w:rPr>
          <w:color w:val="000000"/>
          <w:sz w:val="28"/>
          <w:szCs w:val="28"/>
        </w:rPr>
        <w:t xml:space="preserve"> муниципальных районах</w:t>
      </w:r>
      <w:r w:rsidR="00CF6545" w:rsidRPr="007C51D6">
        <w:rPr>
          <w:rFonts w:eastAsia="Arial"/>
          <w:spacing w:val="4"/>
          <w:sz w:val="28"/>
          <w:szCs w:val="28"/>
        </w:rPr>
        <w:t xml:space="preserve"> (таблица 2</w:t>
      </w:r>
      <w:r w:rsidR="00CF6545" w:rsidRPr="007C51D6">
        <w:rPr>
          <w:rFonts w:eastAsia="Arial"/>
          <w:spacing w:val="4"/>
          <w:szCs w:val="28"/>
        </w:rPr>
        <w:t>).</w:t>
      </w:r>
    </w:p>
    <w:p w:rsidR="002F20A6" w:rsidRPr="007C51D6" w:rsidRDefault="002F20A6" w:rsidP="00FA56F7">
      <w:pPr>
        <w:autoSpaceDE/>
        <w:autoSpaceDN/>
        <w:adjustRightInd/>
        <w:jc w:val="right"/>
        <w:rPr>
          <w:rFonts w:eastAsia="Arial"/>
          <w:sz w:val="28"/>
          <w:szCs w:val="28"/>
        </w:rPr>
      </w:pPr>
    </w:p>
    <w:p w:rsidR="00D83A47" w:rsidRPr="007C51D6" w:rsidRDefault="00D83A47" w:rsidP="00FA56F7">
      <w:pPr>
        <w:autoSpaceDE/>
        <w:autoSpaceDN/>
        <w:adjustRightInd/>
        <w:jc w:val="right"/>
        <w:rPr>
          <w:rFonts w:eastAsia="Arial"/>
          <w:sz w:val="28"/>
          <w:szCs w:val="28"/>
        </w:rPr>
      </w:pPr>
    </w:p>
    <w:p w:rsidR="003D2F39" w:rsidRPr="007C51D6" w:rsidRDefault="003D2F39" w:rsidP="00FA56F7">
      <w:pPr>
        <w:autoSpaceDE/>
        <w:autoSpaceDN/>
        <w:adjustRightInd/>
        <w:jc w:val="right"/>
        <w:rPr>
          <w:rFonts w:eastAsia="Arial"/>
          <w:sz w:val="28"/>
          <w:szCs w:val="28"/>
        </w:rPr>
      </w:pPr>
      <w:r w:rsidRPr="007C51D6">
        <w:rPr>
          <w:rFonts w:eastAsia="Arial"/>
          <w:sz w:val="28"/>
          <w:szCs w:val="28"/>
        </w:rPr>
        <w:t xml:space="preserve">Таблица </w:t>
      </w:r>
      <w:r w:rsidR="00381A83" w:rsidRPr="007C51D6">
        <w:rPr>
          <w:rFonts w:eastAsia="Arial"/>
          <w:sz w:val="28"/>
          <w:szCs w:val="28"/>
        </w:rPr>
        <w:t>3</w:t>
      </w:r>
    </w:p>
    <w:p w:rsidR="003D2F39" w:rsidRPr="007C51D6" w:rsidRDefault="003D2F39" w:rsidP="00FA56F7">
      <w:pPr>
        <w:autoSpaceDE/>
        <w:autoSpaceDN/>
        <w:adjustRightInd/>
        <w:ind w:firstLine="13608"/>
        <w:rPr>
          <w:rFonts w:eastAsia="Arial"/>
          <w:sz w:val="28"/>
          <w:szCs w:val="28"/>
        </w:rPr>
      </w:pPr>
    </w:p>
    <w:p w:rsidR="00D83A47" w:rsidRPr="007C51D6" w:rsidRDefault="00D83A47" w:rsidP="00D83A47">
      <w:pPr>
        <w:autoSpaceDE/>
        <w:autoSpaceDN/>
        <w:adjustRightInd/>
        <w:jc w:val="center"/>
        <w:rPr>
          <w:rFonts w:eastAsia="Arial"/>
          <w:sz w:val="28"/>
          <w:szCs w:val="28"/>
        </w:rPr>
      </w:pPr>
      <w:r w:rsidRPr="007C51D6">
        <w:rPr>
          <w:rFonts w:eastAsia="Arial"/>
          <w:sz w:val="28"/>
          <w:szCs w:val="28"/>
        </w:rPr>
        <w:t xml:space="preserve">Динамика показателя заболеваемости ЗНО основных локализаций </w:t>
      </w:r>
    </w:p>
    <w:p w:rsidR="00D83A47" w:rsidRPr="007C51D6" w:rsidRDefault="00D83A47" w:rsidP="00D83A47">
      <w:pPr>
        <w:autoSpaceDE/>
        <w:autoSpaceDN/>
        <w:adjustRightInd/>
        <w:jc w:val="center"/>
        <w:rPr>
          <w:rFonts w:eastAsia="Arial"/>
          <w:sz w:val="28"/>
          <w:szCs w:val="28"/>
        </w:rPr>
      </w:pPr>
      <w:r w:rsidRPr="007C51D6">
        <w:rPr>
          <w:rFonts w:eastAsia="Arial"/>
          <w:sz w:val="28"/>
          <w:szCs w:val="28"/>
        </w:rPr>
        <w:t xml:space="preserve">(имеющих наибольший удельный вес в структуре заболеваемости) в Республике Татарстан в 2016 – 2025 годах </w:t>
      </w:r>
    </w:p>
    <w:p w:rsidR="00D83A47" w:rsidRPr="007C51D6" w:rsidRDefault="00D83A47" w:rsidP="00D83A47">
      <w:pPr>
        <w:autoSpaceDE/>
        <w:autoSpaceDN/>
        <w:adjustRightInd/>
        <w:jc w:val="center"/>
        <w:rPr>
          <w:rFonts w:eastAsia="Arial"/>
          <w:sz w:val="28"/>
          <w:szCs w:val="28"/>
        </w:rPr>
      </w:pPr>
      <w:r w:rsidRPr="007C51D6">
        <w:rPr>
          <w:rFonts w:eastAsia="Arial"/>
          <w:sz w:val="28"/>
          <w:szCs w:val="28"/>
        </w:rPr>
        <w:t>(на 100 тыс.населения) («грубый» показатель)</w:t>
      </w:r>
    </w:p>
    <w:p w:rsidR="006325CC" w:rsidRPr="007C51D6" w:rsidRDefault="006325CC" w:rsidP="006325CC">
      <w:pPr>
        <w:autoSpaceDE/>
        <w:autoSpaceDN/>
        <w:adjustRightInd/>
        <w:jc w:val="center"/>
        <w:rPr>
          <w:rFonts w:eastAsia="Arial"/>
          <w:sz w:val="28"/>
          <w:szCs w:val="28"/>
        </w:rPr>
      </w:pPr>
    </w:p>
    <w:tbl>
      <w:tblPr>
        <w:tblW w:w="15165"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top w:w="11" w:type="dxa"/>
          <w:bottom w:w="11" w:type="dxa"/>
        </w:tblCellMar>
        <w:tblLook w:val="04A0" w:firstRow="1" w:lastRow="0" w:firstColumn="1" w:lastColumn="0" w:noHBand="0" w:noVBand="1"/>
      </w:tblPr>
      <w:tblGrid>
        <w:gridCol w:w="4372"/>
        <w:gridCol w:w="8"/>
        <w:gridCol w:w="989"/>
        <w:gridCol w:w="971"/>
        <w:gridCol w:w="1036"/>
        <w:gridCol w:w="6"/>
        <w:gridCol w:w="1046"/>
        <w:gridCol w:w="969"/>
        <w:gridCol w:w="1020"/>
        <w:gridCol w:w="1071"/>
        <w:gridCol w:w="1120"/>
        <w:gridCol w:w="995"/>
        <w:gridCol w:w="1531"/>
        <w:gridCol w:w="18"/>
        <w:gridCol w:w="13"/>
      </w:tblGrid>
      <w:tr w:rsidR="00D83A47" w:rsidRPr="007C51D6" w:rsidTr="00360A0B">
        <w:trPr>
          <w:trHeight w:val="20"/>
        </w:trPr>
        <w:tc>
          <w:tcPr>
            <w:tcW w:w="4380" w:type="dxa"/>
            <w:gridSpan w:val="2"/>
            <w:shd w:val="clear" w:color="auto" w:fill="auto"/>
          </w:tcPr>
          <w:p w:rsidR="00D83A47" w:rsidRPr="007C51D6" w:rsidRDefault="00D83A47" w:rsidP="00D83A47">
            <w:pPr>
              <w:autoSpaceDE/>
              <w:autoSpaceDN/>
              <w:adjustRightInd/>
              <w:jc w:val="center"/>
              <w:rPr>
                <w:rFonts w:eastAsia="Arial"/>
                <w:sz w:val="20"/>
                <w:szCs w:val="20"/>
              </w:rPr>
            </w:pPr>
            <w:r w:rsidRPr="007C51D6">
              <w:rPr>
                <w:rFonts w:eastAsia="Arial"/>
                <w:sz w:val="20"/>
                <w:szCs w:val="20"/>
              </w:rPr>
              <w:t>Локализация ЗНО</w:t>
            </w:r>
          </w:p>
        </w:tc>
        <w:tc>
          <w:tcPr>
            <w:tcW w:w="989" w:type="dxa"/>
            <w:shd w:val="clear" w:color="auto" w:fill="auto"/>
          </w:tcPr>
          <w:p w:rsidR="00D83A47" w:rsidRPr="007C51D6" w:rsidRDefault="00D83A47" w:rsidP="00D83A47">
            <w:pPr>
              <w:autoSpaceDE/>
              <w:autoSpaceDN/>
              <w:adjustRightInd/>
              <w:jc w:val="center"/>
              <w:rPr>
                <w:rFonts w:eastAsia="Arial"/>
                <w:sz w:val="20"/>
                <w:szCs w:val="22"/>
              </w:rPr>
            </w:pPr>
            <w:r w:rsidRPr="007C51D6">
              <w:rPr>
                <w:rFonts w:eastAsia="Arial"/>
                <w:sz w:val="20"/>
                <w:szCs w:val="22"/>
              </w:rPr>
              <w:t>2016 г.</w:t>
            </w:r>
          </w:p>
        </w:tc>
        <w:tc>
          <w:tcPr>
            <w:tcW w:w="971" w:type="dxa"/>
            <w:shd w:val="clear" w:color="auto" w:fill="auto"/>
          </w:tcPr>
          <w:p w:rsidR="00D83A47" w:rsidRPr="007C51D6" w:rsidRDefault="00D83A47" w:rsidP="00D83A47">
            <w:pPr>
              <w:autoSpaceDE/>
              <w:autoSpaceDN/>
              <w:adjustRightInd/>
              <w:jc w:val="center"/>
              <w:rPr>
                <w:rFonts w:eastAsia="Arial"/>
                <w:sz w:val="20"/>
                <w:szCs w:val="22"/>
              </w:rPr>
            </w:pPr>
            <w:r w:rsidRPr="007C51D6">
              <w:rPr>
                <w:rFonts w:eastAsia="Arial"/>
                <w:sz w:val="20"/>
                <w:szCs w:val="22"/>
              </w:rPr>
              <w:t>2017 г.</w:t>
            </w:r>
          </w:p>
        </w:tc>
        <w:tc>
          <w:tcPr>
            <w:tcW w:w="1036" w:type="dxa"/>
            <w:shd w:val="clear" w:color="auto" w:fill="auto"/>
          </w:tcPr>
          <w:p w:rsidR="00D83A47" w:rsidRPr="007C51D6" w:rsidRDefault="00D83A47" w:rsidP="00D83A47">
            <w:pPr>
              <w:autoSpaceDE/>
              <w:autoSpaceDN/>
              <w:adjustRightInd/>
              <w:jc w:val="center"/>
              <w:rPr>
                <w:rFonts w:eastAsia="Arial"/>
                <w:sz w:val="20"/>
                <w:szCs w:val="22"/>
              </w:rPr>
            </w:pPr>
            <w:r w:rsidRPr="007C51D6">
              <w:rPr>
                <w:rFonts w:eastAsia="Arial"/>
                <w:sz w:val="20"/>
                <w:szCs w:val="22"/>
              </w:rPr>
              <w:t>2018 г.</w:t>
            </w:r>
          </w:p>
        </w:tc>
        <w:tc>
          <w:tcPr>
            <w:tcW w:w="1052" w:type="dxa"/>
            <w:gridSpan w:val="2"/>
            <w:shd w:val="clear" w:color="auto" w:fill="auto"/>
          </w:tcPr>
          <w:p w:rsidR="00D83A47" w:rsidRPr="007C51D6" w:rsidRDefault="00D83A47" w:rsidP="00D83A47">
            <w:pPr>
              <w:autoSpaceDE/>
              <w:autoSpaceDN/>
              <w:adjustRightInd/>
              <w:jc w:val="center"/>
              <w:rPr>
                <w:rFonts w:eastAsia="Arial"/>
                <w:sz w:val="20"/>
                <w:szCs w:val="22"/>
              </w:rPr>
            </w:pPr>
            <w:r w:rsidRPr="007C51D6">
              <w:rPr>
                <w:rFonts w:eastAsia="Arial"/>
                <w:sz w:val="20"/>
                <w:szCs w:val="22"/>
              </w:rPr>
              <w:t>2019 г.</w:t>
            </w:r>
          </w:p>
        </w:tc>
        <w:tc>
          <w:tcPr>
            <w:tcW w:w="969" w:type="dxa"/>
            <w:shd w:val="clear" w:color="auto" w:fill="auto"/>
          </w:tcPr>
          <w:p w:rsidR="00D83A47" w:rsidRPr="007C51D6" w:rsidRDefault="00D83A47" w:rsidP="00D83A47">
            <w:pPr>
              <w:autoSpaceDE/>
              <w:autoSpaceDN/>
              <w:adjustRightInd/>
              <w:jc w:val="center"/>
              <w:rPr>
                <w:rFonts w:eastAsia="Arial"/>
                <w:sz w:val="20"/>
                <w:szCs w:val="22"/>
              </w:rPr>
            </w:pPr>
            <w:r w:rsidRPr="007C51D6">
              <w:rPr>
                <w:rFonts w:eastAsia="Arial"/>
                <w:sz w:val="20"/>
                <w:szCs w:val="22"/>
              </w:rPr>
              <w:t>2020 г.</w:t>
            </w:r>
          </w:p>
        </w:tc>
        <w:tc>
          <w:tcPr>
            <w:tcW w:w="1020" w:type="dxa"/>
          </w:tcPr>
          <w:p w:rsidR="00D83A47" w:rsidRPr="007C51D6" w:rsidRDefault="00D83A47" w:rsidP="00D83A47">
            <w:pPr>
              <w:autoSpaceDE/>
              <w:autoSpaceDN/>
              <w:adjustRightInd/>
              <w:jc w:val="center"/>
              <w:rPr>
                <w:rFonts w:eastAsia="Arial"/>
                <w:sz w:val="20"/>
                <w:szCs w:val="22"/>
              </w:rPr>
            </w:pPr>
            <w:r w:rsidRPr="007C51D6">
              <w:rPr>
                <w:rFonts w:eastAsia="Arial"/>
                <w:sz w:val="20"/>
                <w:szCs w:val="22"/>
              </w:rPr>
              <w:t>2021 г.</w:t>
            </w:r>
          </w:p>
        </w:tc>
        <w:tc>
          <w:tcPr>
            <w:tcW w:w="1071" w:type="dxa"/>
          </w:tcPr>
          <w:p w:rsidR="00D83A47" w:rsidRPr="007C51D6" w:rsidRDefault="00D83A47" w:rsidP="00D83A47">
            <w:pPr>
              <w:autoSpaceDE/>
              <w:autoSpaceDN/>
              <w:adjustRightInd/>
              <w:jc w:val="center"/>
              <w:rPr>
                <w:rFonts w:eastAsia="Arial"/>
                <w:sz w:val="20"/>
                <w:szCs w:val="22"/>
              </w:rPr>
            </w:pPr>
            <w:r w:rsidRPr="007C51D6">
              <w:rPr>
                <w:rFonts w:eastAsia="Arial"/>
                <w:sz w:val="20"/>
                <w:szCs w:val="22"/>
              </w:rPr>
              <w:t>2022 г.</w:t>
            </w:r>
          </w:p>
        </w:tc>
        <w:tc>
          <w:tcPr>
            <w:tcW w:w="1120" w:type="dxa"/>
          </w:tcPr>
          <w:p w:rsidR="00D83A47" w:rsidRPr="007C51D6" w:rsidRDefault="00D83A47" w:rsidP="00D83A47">
            <w:pPr>
              <w:autoSpaceDE/>
              <w:autoSpaceDN/>
              <w:adjustRightInd/>
              <w:jc w:val="center"/>
              <w:rPr>
                <w:rFonts w:eastAsia="Arial"/>
                <w:sz w:val="20"/>
                <w:szCs w:val="22"/>
              </w:rPr>
            </w:pPr>
            <w:r w:rsidRPr="007C51D6">
              <w:rPr>
                <w:rFonts w:eastAsia="Arial"/>
                <w:sz w:val="20"/>
                <w:szCs w:val="22"/>
              </w:rPr>
              <w:t>2023 г.</w:t>
            </w:r>
          </w:p>
        </w:tc>
        <w:tc>
          <w:tcPr>
            <w:tcW w:w="995" w:type="dxa"/>
          </w:tcPr>
          <w:p w:rsidR="00D83A47" w:rsidRPr="007C51D6" w:rsidRDefault="00D83A47" w:rsidP="00D83A47">
            <w:pPr>
              <w:autoSpaceDE/>
              <w:autoSpaceDN/>
              <w:adjustRightInd/>
              <w:jc w:val="center"/>
              <w:rPr>
                <w:rFonts w:eastAsia="Arial"/>
                <w:sz w:val="20"/>
                <w:szCs w:val="22"/>
              </w:rPr>
            </w:pPr>
            <w:r w:rsidRPr="007C51D6">
              <w:rPr>
                <w:rFonts w:eastAsia="Arial"/>
                <w:sz w:val="20"/>
                <w:szCs w:val="22"/>
              </w:rPr>
              <w:t>2024 г.</w:t>
            </w:r>
          </w:p>
        </w:tc>
        <w:tc>
          <w:tcPr>
            <w:tcW w:w="1562" w:type="dxa"/>
            <w:gridSpan w:val="3"/>
          </w:tcPr>
          <w:p w:rsidR="00D83A47" w:rsidRPr="007C51D6" w:rsidRDefault="00D83A47" w:rsidP="00D83A47">
            <w:pPr>
              <w:autoSpaceDE/>
              <w:autoSpaceDN/>
              <w:adjustRightInd/>
              <w:jc w:val="center"/>
              <w:rPr>
                <w:rFonts w:eastAsia="Arial"/>
                <w:sz w:val="20"/>
                <w:szCs w:val="22"/>
              </w:rPr>
            </w:pPr>
            <w:r w:rsidRPr="007C51D6">
              <w:rPr>
                <w:rFonts w:eastAsia="Arial"/>
                <w:sz w:val="20"/>
                <w:szCs w:val="22"/>
              </w:rPr>
              <w:t>2025 г.*</w:t>
            </w:r>
          </w:p>
        </w:tc>
      </w:tr>
      <w:tr w:rsidR="00D83A47" w:rsidRPr="007C51D6" w:rsidTr="00360A0B">
        <w:tblPrEx>
          <w:tblBorders>
            <w:bottom w:val="single" w:sz="4" w:space="0" w:color="auto"/>
          </w:tblBorders>
          <w:tblCellMar>
            <w:top w:w="0" w:type="dxa"/>
            <w:bottom w:w="0" w:type="dxa"/>
          </w:tblCellMar>
        </w:tblPrEx>
        <w:trPr>
          <w:gridAfter w:val="1"/>
          <w:wAfter w:w="13" w:type="dxa"/>
          <w:trHeight w:val="20"/>
          <w:tblHeader/>
        </w:trPr>
        <w:tc>
          <w:tcPr>
            <w:tcW w:w="4372" w:type="dxa"/>
            <w:tcBorders>
              <w:top w:val="single" w:sz="4" w:space="0" w:color="auto"/>
            </w:tcBorders>
            <w:shd w:val="clear" w:color="auto" w:fill="auto"/>
          </w:tcPr>
          <w:p w:rsidR="00D83A47" w:rsidRPr="007C51D6" w:rsidRDefault="00D83A47" w:rsidP="00D83A47">
            <w:pPr>
              <w:autoSpaceDE/>
              <w:autoSpaceDN/>
              <w:adjustRightInd/>
              <w:jc w:val="center"/>
              <w:rPr>
                <w:rFonts w:eastAsia="Arial"/>
                <w:sz w:val="20"/>
                <w:szCs w:val="20"/>
              </w:rPr>
            </w:pPr>
            <w:r w:rsidRPr="007C51D6">
              <w:rPr>
                <w:rFonts w:eastAsia="Arial"/>
                <w:sz w:val="20"/>
                <w:szCs w:val="20"/>
              </w:rPr>
              <w:t>1</w:t>
            </w:r>
          </w:p>
        </w:tc>
        <w:tc>
          <w:tcPr>
            <w:tcW w:w="997" w:type="dxa"/>
            <w:gridSpan w:val="2"/>
            <w:tcBorders>
              <w:top w:val="single" w:sz="4" w:space="0" w:color="auto"/>
            </w:tcBorders>
            <w:shd w:val="clear" w:color="auto" w:fill="auto"/>
          </w:tcPr>
          <w:p w:rsidR="00D83A47" w:rsidRPr="007C51D6" w:rsidRDefault="00D83A47" w:rsidP="00D83A47">
            <w:pPr>
              <w:autoSpaceDE/>
              <w:autoSpaceDN/>
              <w:adjustRightInd/>
              <w:jc w:val="center"/>
              <w:rPr>
                <w:rFonts w:eastAsia="Arial"/>
                <w:sz w:val="20"/>
                <w:szCs w:val="22"/>
              </w:rPr>
            </w:pPr>
            <w:r w:rsidRPr="007C51D6">
              <w:rPr>
                <w:rFonts w:eastAsia="Arial"/>
                <w:sz w:val="20"/>
                <w:szCs w:val="22"/>
              </w:rPr>
              <w:t>2</w:t>
            </w:r>
          </w:p>
        </w:tc>
        <w:tc>
          <w:tcPr>
            <w:tcW w:w="971" w:type="dxa"/>
            <w:tcBorders>
              <w:top w:val="single" w:sz="4" w:space="0" w:color="auto"/>
            </w:tcBorders>
            <w:shd w:val="clear" w:color="auto" w:fill="auto"/>
          </w:tcPr>
          <w:p w:rsidR="00D83A47" w:rsidRPr="007C51D6" w:rsidRDefault="00D83A47" w:rsidP="00D83A47">
            <w:pPr>
              <w:autoSpaceDE/>
              <w:autoSpaceDN/>
              <w:adjustRightInd/>
              <w:jc w:val="center"/>
              <w:rPr>
                <w:rFonts w:eastAsia="Arial"/>
                <w:sz w:val="20"/>
                <w:szCs w:val="22"/>
              </w:rPr>
            </w:pPr>
            <w:r w:rsidRPr="007C51D6">
              <w:rPr>
                <w:rFonts w:eastAsia="Arial"/>
                <w:sz w:val="20"/>
                <w:szCs w:val="22"/>
              </w:rPr>
              <w:t>3</w:t>
            </w:r>
          </w:p>
        </w:tc>
        <w:tc>
          <w:tcPr>
            <w:tcW w:w="1036" w:type="dxa"/>
            <w:tcBorders>
              <w:top w:val="single" w:sz="4" w:space="0" w:color="auto"/>
            </w:tcBorders>
            <w:shd w:val="clear" w:color="auto" w:fill="auto"/>
          </w:tcPr>
          <w:p w:rsidR="00D83A47" w:rsidRPr="007C51D6" w:rsidRDefault="00D83A47" w:rsidP="00D83A47">
            <w:pPr>
              <w:autoSpaceDE/>
              <w:autoSpaceDN/>
              <w:adjustRightInd/>
              <w:jc w:val="center"/>
              <w:rPr>
                <w:rFonts w:eastAsia="Arial"/>
                <w:sz w:val="20"/>
                <w:szCs w:val="22"/>
              </w:rPr>
            </w:pPr>
            <w:r w:rsidRPr="007C51D6">
              <w:rPr>
                <w:rFonts w:eastAsia="Arial"/>
                <w:sz w:val="20"/>
                <w:szCs w:val="22"/>
              </w:rPr>
              <w:t>4</w:t>
            </w:r>
          </w:p>
        </w:tc>
        <w:tc>
          <w:tcPr>
            <w:tcW w:w="1052" w:type="dxa"/>
            <w:gridSpan w:val="2"/>
            <w:tcBorders>
              <w:top w:val="single" w:sz="4" w:space="0" w:color="auto"/>
            </w:tcBorders>
            <w:shd w:val="clear" w:color="auto" w:fill="auto"/>
          </w:tcPr>
          <w:p w:rsidR="00D83A47" w:rsidRPr="007C51D6" w:rsidRDefault="00D83A47" w:rsidP="00D83A47">
            <w:pPr>
              <w:autoSpaceDE/>
              <w:autoSpaceDN/>
              <w:adjustRightInd/>
              <w:jc w:val="center"/>
              <w:rPr>
                <w:rFonts w:eastAsia="Arial"/>
                <w:sz w:val="20"/>
                <w:szCs w:val="22"/>
              </w:rPr>
            </w:pPr>
            <w:r w:rsidRPr="007C51D6">
              <w:rPr>
                <w:rFonts w:eastAsia="Arial"/>
                <w:sz w:val="20"/>
                <w:szCs w:val="22"/>
              </w:rPr>
              <w:t>5</w:t>
            </w:r>
          </w:p>
        </w:tc>
        <w:tc>
          <w:tcPr>
            <w:tcW w:w="969" w:type="dxa"/>
            <w:tcBorders>
              <w:top w:val="single" w:sz="4" w:space="0" w:color="auto"/>
            </w:tcBorders>
            <w:shd w:val="clear" w:color="auto" w:fill="auto"/>
          </w:tcPr>
          <w:p w:rsidR="00D83A47" w:rsidRPr="007C51D6" w:rsidRDefault="00D83A47" w:rsidP="00D83A47">
            <w:pPr>
              <w:autoSpaceDE/>
              <w:autoSpaceDN/>
              <w:adjustRightInd/>
              <w:jc w:val="center"/>
              <w:rPr>
                <w:rFonts w:eastAsia="Arial"/>
                <w:sz w:val="20"/>
                <w:szCs w:val="22"/>
              </w:rPr>
            </w:pPr>
            <w:r w:rsidRPr="007C51D6">
              <w:rPr>
                <w:rFonts w:eastAsia="Arial"/>
                <w:sz w:val="20"/>
                <w:szCs w:val="22"/>
              </w:rPr>
              <w:t>6</w:t>
            </w:r>
          </w:p>
        </w:tc>
        <w:tc>
          <w:tcPr>
            <w:tcW w:w="1020" w:type="dxa"/>
            <w:tcBorders>
              <w:top w:val="single" w:sz="4" w:space="0" w:color="auto"/>
            </w:tcBorders>
          </w:tcPr>
          <w:p w:rsidR="00D83A47" w:rsidRPr="007C51D6" w:rsidRDefault="00D83A47" w:rsidP="00D83A47">
            <w:pPr>
              <w:autoSpaceDE/>
              <w:autoSpaceDN/>
              <w:adjustRightInd/>
              <w:jc w:val="center"/>
              <w:rPr>
                <w:rFonts w:eastAsia="Arial"/>
                <w:sz w:val="20"/>
                <w:szCs w:val="22"/>
              </w:rPr>
            </w:pPr>
            <w:r w:rsidRPr="007C51D6">
              <w:rPr>
                <w:rFonts w:eastAsia="Arial"/>
                <w:sz w:val="20"/>
                <w:szCs w:val="22"/>
              </w:rPr>
              <w:t>7</w:t>
            </w:r>
          </w:p>
        </w:tc>
        <w:tc>
          <w:tcPr>
            <w:tcW w:w="1071" w:type="dxa"/>
            <w:tcBorders>
              <w:top w:val="single" w:sz="4" w:space="0" w:color="auto"/>
            </w:tcBorders>
          </w:tcPr>
          <w:p w:rsidR="00D83A47" w:rsidRPr="007C51D6" w:rsidRDefault="00D83A47" w:rsidP="00D83A47">
            <w:pPr>
              <w:autoSpaceDE/>
              <w:autoSpaceDN/>
              <w:adjustRightInd/>
              <w:jc w:val="center"/>
              <w:rPr>
                <w:rFonts w:eastAsia="Arial"/>
                <w:sz w:val="20"/>
                <w:szCs w:val="22"/>
              </w:rPr>
            </w:pPr>
            <w:r w:rsidRPr="007C51D6">
              <w:rPr>
                <w:rFonts w:eastAsia="Arial"/>
                <w:sz w:val="20"/>
                <w:szCs w:val="22"/>
              </w:rPr>
              <w:t>8</w:t>
            </w:r>
          </w:p>
        </w:tc>
        <w:tc>
          <w:tcPr>
            <w:tcW w:w="1120" w:type="dxa"/>
            <w:tcBorders>
              <w:top w:val="single" w:sz="4" w:space="0" w:color="auto"/>
            </w:tcBorders>
          </w:tcPr>
          <w:p w:rsidR="00D83A47" w:rsidRPr="007C51D6" w:rsidRDefault="00D83A47" w:rsidP="00D83A47">
            <w:pPr>
              <w:autoSpaceDE/>
              <w:autoSpaceDN/>
              <w:adjustRightInd/>
              <w:jc w:val="center"/>
              <w:rPr>
                <w:rFonts w:eastAsia="Arial"/>
                <w:sz w:val="20"/>
                <w:szCs w:val="22"/>
              </w:rPr>
            </w:pPr>
            <w:r w:rsidRPr="007C51D6">
              <w:rPr>
                <w:rFonts w:eastAsia="Arial"/>
                <w:sz w:val="20"/>
                <w:szCs w:val="22"/>
              </w:rPr>
              <w:t>9</w:t>
            </w:r>
          </w:p>
        </w:tc>
        <w:tc>
          <w:tcPr>
            <w:tcW w:w="995" w:type="dxa"/>
            <w:tcBorders>
              <w:top w:val="single" w:sz="4" w:space="0" w:color="auto"/>
            </w:tcBorders>
          </w:tcPr>
          <w:p w:rsidR="00D83A47" w:rsidRPr="007C51D6" w:rsidRDefault="00D83A47" w:rsidP="00D83A47">
            <w:pPr>
              <w:autoSpaceDE/>
              <w:autoSpaceDN/>
              <w:adjustRightInd/>
              <w:jc w:val="center"/>
              <w:rPr>
                <w:rFonts w:eastAsia="Arial"/>
                <w:sz w:val="20"/>
                <w:szCs w:val="22"/>
              </w:rPr>
            </w:pPr>
            <w:r w:rsidRPr="007C51D6">
              <w:rPr>
                <w:rFonts w:eastAsia="Arial"/>
                <w:sz w:val="20"/>
                <w:szCs w:val="22"/>
              </w:rPr>
              <w:t>10</w:t>
            </w:r>
          </w:p>
        </w:tc>
        <w:tc>
          <w:tcPr>
            <w:tcW w:w="1549" w:type="dxa"/>
            <w:gridSpan w:val="2"/>
            <w:tcBorders>
              <w:top w:val="single" w:sz="4" w:space="0" w:color="auto"/>
            </w:tcBorders>
          </w:tcPr>
          <w:p w:rsidR="00D83A47" w:rsidRPr="007C51D6" w:rsidRDefault="00D83A47" w:rsidP="00D83A47">
            <w:pPr>
              <w:autoSpaceDE/>
              <w:autoSpaceDN/>
              <w:adjustRightInd/>
              <w:jc w:val="center"/>
              <w:rPr>
                <w:rFonts w:eastAsia="Arial"/>
                <w:sz w:val="20"/>
                <w:szCs w:val="22"/>
              </w:rPr>
            </w:pPr>
            <w:r w:rsidRPr="007C51D6">
              <w:rPr>
                <w:rFonts w:eastAsia="Arial"/>
                <w:sz w:val="20"/>
                <w:szCs w:val="22"/>
              </w:rPr>
              <w:t>11</w:t>
            </w:r>
          </w:p>
        </w:tc>
      </w:tr>
      <w:tr w:rsidR="00D83A47" w:rsidRPr="007C51D6" w:rsidTr="00360A0B">
        <w:tblPrEx>
          <w:tblBorders>
            <w:bottom w:val="single" w:sz="4" w:space="0" w:color="auto"/>
          </w:tblBorders>
          <w:tblCellMar>
            <w:top w:w="0" w:type="dxa"/>
            <w:bottom w:w="0" w:type="dxa"/>
          </w:tblCellMar>
        </w:tblPrEx>
        <w:trPr>
          <w:gridAfter w:val="2"/>
          <w:wAfter w:w="31" w:type="dxa"/>
          <w:trHeight w:val="20"/>
        </w:trPr>
        <w:tc>
          <w:tcPr>
            <w:tcW w:w="15134" w:type="dxa"/>
            <w:gridSpan w:val="13"/>
            <w:shd w:val="clear" w:color="auto" w:fill="auto"/>
          </w:tcPr>
          <w:p w:rsidR="00D83A47" w:rsidRPr="007C51D6" w:rsidRDefault="00D83A47" w:rsidP="00D83A47">
            <w:pPr>
              <w:jc w:val="center"/>
              <w:rPr>
                <w:rFonts w:eastAsia="Arial"/>
                <w:sz w:val="20"/>
                <w:szCs w:val="22"/>
              </w:rPr>
            </w:pPr>
            <w:r w:rsidRPr="007C51D6">
              <w:rPr>
                <w:rFonts w:eastAsia="Arial"/>
                <w:sz w:val="20"/>
                <w:szCs w:val="22"/>
              </w:rPr>
              <w:t>Мужчины</w:t>
            </w:r>
          </w:p>
        </w:tc>
      </w:tr>
      <w:tr w:rsidR="00D83A47" w:rsidRPr="007C51D6" w:rsidTr="00360A0B">
        <w:tblPrEx>
          <w:tblBorders>
            <w:bottom w:val="single" w:sz="4" w:space="0" w:color="auto"/>
          </w:tblBorders>
          <w:tblCellMar>
            <w:top w:w="0" w:type="dxa"/>
            <w:bottom w:w="0" w:type="dxa"/>
          </w:tblCellMar>
        </w:tblPrEx>
        <w:trPr>
          <w:gridAfter w:val="1"/>
          <w:wAfter w:w="13" w:type="dxa"/>
          <w:trHeight w:val="20"/>
        </w:trPr>
        <w:tc>
          <w:tcPr>
            <w:tcW w:w="4372" w:type="dxa"/>
            <w:shd w:val="clear" w:color="auto" w:fill="auto"/>
          </w:tcPr>
          <w:p w:rsidR="00D83A47" w:rsidRPr="007C51D6" w:rsidRDefault="00D83A47" w:rsidP="00D83A47">
            <w:pPr>
              <w:autoSpaceDE/>
              <w:autoSpaceDN/>
              <w:adjustRightInd/>
              <w:jc w:val="both"/>
              <w:rPr>
                <w:rFonts w:eastAsia="Arial"/>
                <w:sz w:val="20"/>
                <w:szCs w:val="22"/>
              </w:rPr>
            </w:pPr>
            <w:r w:rsidRPr="007C51D6">
              <w:rPr>
                <w:rFonts w:eastAsia="Arial"/>
                <w:sz w:val="20"/>
                <w:szCs w:val="22"/>
              </w:rPr>
              <w:t>Всего, в том числе:</w:t>
            </w:r>
          </w:p>
        </w:tc>
        <w:tc>
          <w:tcPr>
            <w:tcW w:w="997" w:type="dxa"/>
            <w:gridSpan w:val="2"/>
            <w:shd w:val="clear" w:color="auto" w:fill="auto"/>
          </w:tcPr>
          <w:p w:rsidR="00D83A47" w:rsidRPr="007C51D6" w:rsidRDefault="00D83A47" w:rsidP="00D83A47">
            <w:pPr>
              <w:autoSpaceDE/>
              <w:autoSpaceDN/>
              <w:adjustRightInd/>
              <w:jc w:val="center"/>
              <w:rPr>
                <w:rFonts w:eastAsia="Arial"/>
                <w:sz w:val="20"/>
                <w:szCs w:val="22"/>
              </w:rPr>
            </w:pPr>
            <w:r w:rsidRPr="007C51D6">
              <w:rPr>
                <w:rFonts w:eastAsia="Arial"/>
                <w:sz w:val="20"/>
                <w:szCs w:val="22"/>
              </w:rPr>
              <w:t>419,79</w:t>
            </w:r>
          </w:p>
        </w:tc>
        <w:tc>
          <w:tcPr>
            <w:tcW w:w="971" w:type="dxa"/>
            <w:shd w:val="clear" w:color="auto" w:fill="auto"/>
          </w:tcPr>
          <w:p w:rsidR="00D83A47" w:rsidRPr="007C51D6" w:rsidRDefault="00D83A47" w:rsidP="00D83A47">
            <w:pPr>
              <w:autoSpaceDE/>
              <w:autoSpaceDN/>
              <w:adjustRightInd/>
              <w:jc w:val="center"/>
              <w:rPr>
                <w:rFonts w:eastAsia="Arial"/>
                <w:sz w:val="20"/>
                <w:szCs w:val="22"/>
              </w:rPr>
            </w:pPr>
            <w:r w:rsidRPr="007C51D6">
              <w:rPr>
                <w:rFonts w:eastAsia="Arial"/>
                <w:sz w:val="20"/>
                <w:szCs w:val="22"/>
              </w:rPr>
              <w:t>428,79</w:t>
            </w:r>
          </w:p>
        </w:tc>
        <w:tc>
          <w:tcPr>
            <w:tcW w:w="1036" w:type="dxa"/>
            <w:shd w:val="clear" w:color="auto" w:fill="auto"/>
          </w:tcPr>
          <w:p w:rsidR="00D83A47" w:rsidRPr="007C51D6" w:rsidRDefault="00D83A47" w:rsidP="00D83A47">
            <w:pPr>
              <w:autoSpaceDE/>
              <w:autoSpaceDN/>
              <w:adjustRightInd/>
              <w:jc w:val="center"/>
              <w:rPr>
                <w:rFonts w:eastAsia="Arial"/>
                <w:sz w:val="20"/>
                <w:szCs w:val="22"/>
              </w:rPr>
            </w:pPr>
            <w:r w:rsidRPr="007C51D6">
              <w:rPr>
                <w:rFonts w:eastAsia="Arial"/>
                <w:sz w:val="20"/>
                <w:szCs w:val="22"/>
              </w:rPr>
              <w:t>427,20</w:t>
            </w:r>
          </w:p>
        </w:tc>
        <w:tc>
          <w:tcPr>
            <w:tcW w:w="1052" w:type="dxa"/>
            <w:gridSpan w:val="2"/>
            <w:shd w:val="clear" w:color="auto" w:fill="auto"/>
          </w:tcPr>
          <w:p w:rsidR="00D83A47" w:rsidRPr="007C51D6" w:rsidRDefault="00D83A47" w:rsidP="00D83A47">
            <w:pPr>
              <w:autoSpaceDE/>
              <w:autoSpaceDN/>
              <w:adjustRightInd/>
              <w:jc w:val="center"/>
              <w:rPr>
                <w:rFonts w:eastAsia="Arial"/>
                <w:sz w:val="20"/>
                <w:szCs w:val="22"/>
              </w:rPr>
            </w:pPr>
            <w:r w:rsidRPr="007C51D6">
              <w:rPr>
                <w:rFonts w:eastAsia="Arial"/>
                <w:sz w:val="20"/>
                <w:szCs w:val="22"/>
              </w:rPr>
              <w:t>418,56</w:t>
            </w:r>
          </w:p>
        </w:tc>
        <w:tc>
          <w:tcPr>
            <w:tcW w:w="969" w:type="dxa"/>
            <w:shd w:val="clear" w:color="auto" w:fill="auto"/>
          </w:tcPr>
          <w:p w:rsidR="00D83A47" w:rsidRPr="007C51D6" w:rsidRDefault="00D83A47" w:rsidP="00D83A47">
            <w:pPr>
              <w:autoSpaceDE/>
              <w:autoSpaceDN/>
              <w:adjustRightInd/>
              <w:jc w:val="center"/>
              <w:rPr>
                <w:rFonts w:eastAsia="Arial"/>
                <w:sz w:val="20"/>
                <w:szCs w:val="22"/>
              </w:rPr>
            </w:pPr>
            <w:r w:rsidRPr="007C51D6">
              <w:rPr>
                <w:rFonts w:eastAsia="Arial"/>
                <w:sz w:val="20"/>
                <w:szCs w:val="22"/>
              </w:rPr>
              <w:t>372,66</w:t>
            </w:r>
          </w:p>
        </w:tc>
        <w:tc>
          <w:tcPr>
            <w:tcW w:w="1020" w:type="dxa"/>
          </w:tcPr>
          <w:p w:rsidR="00D83A47" w:rsidRPr="007C51D6" w:rsidRDefault="00D83A47" w:rsidP="00D83A47">
            <w:pPr>
              <w:autoSpaceDE/>
              <w:autoSpaceDN/>
              <w:adjustRightInd/>
              <w:jc w:val="center"/>
              <w:rPr>
                <w:rFonts w:eastAsia="Arial"/>
                <w:sz w:val="20"/>
                <w:szCs w:val="22"/>
              </w:rPr>
            </w:pPr>
            <w:r w:rsidRPr="007C51D6">
              <w:rPr>
                <w:rFonts w:eastAsia="Arial"/>
                <w:sz w:val="20"/>
                <w:szCs w:val="22"/>
              </w:rPr>
              <w:t>417,28</w:t>
            </w:r>
          </w:p>
        </w:tc>
        <w:tc>
          <w:tcPr>
            <w:tcW w:w="1071" w:type="dxa"/>
          </w:tcPr>
          <w:p w:rsidR="00D83A47" w:rsidRPr="007C51D6" w:rsidRDefault="00D83A47" w:rsidP="00D83A47">
            <w:pPr>
              <w:autoSpaceDE/>
              <w:autoSpaceDN/>
              <w:adjustRightInd/>
              <w:jc w:val="center"/>
              <w:rPr>
                <w:color w:val="000000"/>
                <w:sz w:val="20"/>
                <w:szCs w:val="20"/>
              </w:rPr>
            </w:pPr>
            <w:r w:rsidRPr="007C51D6">
              <w:rPr>
                <w:color w:val="000000"/>
                <w:sz w:val="20"/>
                <w:szCs w:val="20"/>
              </w:rPr>
              <w:t>436,98</w:t>
            </w:r>
          </w:p>
        </w:tc>
        <w:tc>
          <w:tcPr>
            <w:tcW w:w="1120" w:type="dxa"/>
          </w:tcPr>
          <w:p w:rsidR="00D83A47" w:rsidRPr="007C51D6" w:rsidRDefault="00D83A47" w:rsidP="00D83A47">
            <w:pPr>
              <w:autoSpaceDE/>
              <w:autoSpaceDN/>
              <w:adjustRightInd/>
              <w:jc w:val="center"/>
              <w:rPr>
                <w:color w:val="000000"/>
                <w:sz w:val="20"/>
                <w:szCs w:val="20"/>
              </w:rPr>
            </w:pPr>
            <w:r w:rsidRPr="007C51D6">
              <w:rPr>
                <w:color w:val="000000"/>
                <w:sz w:val="20"/>
                <w:szCs w:val="20"/>
              </w:rPr>
              <w:t>443,49</w:t>
            </w:r>
          </w:p>
        </w:tc>
        <w:tc>
          <w:tcPr>
            <w:tcW w:w="995" w:type="dxa"/>
          </w:tcPr>
          <w:p w:rsidR="00D83A47" w:rsidRPr="007C51D6" w:rsidRDefault="00D83A47" w:rsidP="00D83A47">
            <w:pPr>
              <w:jc w:val="center"/>
              <w:rPr>
                <w:color w:val="000000"/>
                <w:sz w:val="20"/>
                <w:szCs w:val="20"/>
              </w:rPr>
            </w:pPr>
            <w:r w:rsidRPr="007C51D6">
              <w:rPr>
                <w:color w:val="000000"/>
                <w:sz w:val="20"/>
                <w:szCs w:val="20"/>
              </w:rPr>
              <w:t>479,88</w:t>
            </w:r>
          </w:p>
        </w:tc>
        <w:tc>
          <w:tcPr>
            <w:tcW w:w="1549" w:type="dxa"/>
            <w:gridSpan w:val="2"/>
          </w:tcPr>
          <w:p w:rsidR="00D83A47" w:rsidRPr="007C51D6" w:rsidRDefault="00D83A47" w:rsidP="00D83A47">
            <w:pPr>
              <w:jc w:val="center"/>
            </w:pPr>
            <w:r w:rsidRPr="007C51D6">
              <w:rPr>
                <w:color w:val="000000"/>
                <w:sz w:val="20"/>
                <w:szCs w:val="20"/>
              </w:rPr>
              <w:t>нет данных</w:t>
            </w:r>
          </w:p>
        </w:tc>
      </w:tr>
      <w:tr w:rsidR="00D83A47" w:rsidRPr="007C51D6" w:rsidTr="00360A0B">
        <w:tblPrEx>
          <w:tblBorders>
            <w:bottom w:val="single" w:sz="4" w:space="0" w:color="auto"/>
          </w:tblBorders>
          <w:tblCellMar>
            <w:top w:w="0" w:type="dxa"/>
            <w:bottom w:w="0" w:type="dxa"/>
          </w:tblCellMar>
        </w:tblPrEx>
        <w:trPr>
          <w:gridAfter w:val="1"/>
          <w:wAfter w:w="13" w:type="dxa"/>
          <w:trHeight w:val="20"/>
        </w:trPr>
        <w:tc>
          <w:tcPr>
            <w:tcW w:w="4372" w:type="dxa"/>
            <w:shd w:val="clear" w:color="auto" w:fill="auto"/>
          </w:tcPr>
          <w:p w:rsidR="00D83A47" w:rsidRPr="007C51D6" w:rsidRDefault="00D83A47" w:rsidP="00D83A47">
            <w:pPr>
              <w:autoSpaceDE/>
              <w:autoSpaceDN/>
              <w:adjustRightInd/>
              <w:jc w:val="both"/>
              <w:rPr>
                <w:rFonts w:eastAsia="Arial"/>
                <w:sz w:val="20"/>
                <w:szCs w:val="22"/>
              </w:rPr>
            </w:pPr>
            <w:r w:rsidRPr="007C51D6">
              <w:rPr>
                <w:rFonts w:eastAsia="Arial"/>
                <w:sz w:val="20"/>
                <w:szCs w:val="22"/>
              </w:rPr>
              <w:t>трахеи, бронхов, легких</w:t>
            </w:r>
          </w:p>
        </w:tc>
        <w:tc>
          <w:tcPr>
            <w:tcW w:w="997" w:type="dxa"/>
            <w:gridSpan w:val="2"/>
            <w:shd w:val="clear" w:color="auto" w:fill="auto"/>
          </w:tcPr>
          <w:p w:rsidR="00D83A47" w:rsidRPr="007C51D6" w:rsidRDefault="00D83A47" w:rsidP="00D83A47">
            <w:pPr>
              <w:autoSpaceDE/>
              <w:autoSpaceDN/>
              <w:adjustRightInd/>
              <w:jc w:val="center"/>
              <w:rPr>
                <w:rFonts w:eastAsia="Arial"/>
                <w:sz w:val="20"/>
                <w:szCs w:val="22"/>
              </w:rPr>
            </w:pPr>
            <w:r w:rsidRPr="007C51D6">
              <w:rPr>
                <w:rFonts w:eastAsia="Arial"/>
                <w:sz w:val="20"/>
                <w:szCs w:val="22"/>
              </w:rPr>
              <w:t>69,51</w:t>
            </w:r>
          </w:p>
        </w:tc>
        <w:tc>
          <w:tcPr>
            <w:tcW w:w="971" w:type="dxa"/>
            <w:shd w:val="clear" w:color="auto" w:fill="auto"/>
          </w:tcPr>
          <w:p w:rsidR="00D83A47" w:rsidRPr="007C51D6" w:rsidRDefault="00D83A47" w:rsidP="00D83A47">
            <w:pPr>
              <w:autoSpaceDE/>
              <w:autoSpaceDN/>
              <w:adjustRightInd/>
              <w:jc w:val="center"/>
              <w:rPr>
                <w:rFonts w:eastAsia="Arial"/>
                <w:sz w:val="20"/>
                <w:szCs w:val="22"/>
              </w:rPr>
            </w:pPr>
            <w:r w:rsidRPr="007C51D6">
              <w:rPr>
                <w:rFonts w:eastAsia="Arial"/>
                <w:sz w:val="20"/>
                <w:szCs w:val="22"/>
              </w:rPr>
              <w:t>72,07</w:t>
            </w:r>
          </w:p>
        </w:tc>
        <w:tc>
          <w:tcPr>
            <w:tcW w:w="1036" w:type="dxa"/>
            <w:shd w:val="clear" w:color="auto" w:fill="auto"/>
          </w:tcPr>
          <w:p w:rsidR="00D83A47" w:rsidRPr="007C51D6" w:rsidRDefault="00D83A47" w:rsidP="00D83A47">
            <w:pPr>
              <w:autoSpaceDE/>
              <w:autoSpaceDN/>
              <w:adjustRightInd/>
              <w:jc w:val="center"/>
              <w:rPr>
                <w:rFonts w:eastAsia="Arial"/>
                <w:sz w:val="20"/>
                <w:szCs w:val="22"/>
              </w:rPr>
            </w:pPr>
            <w:r w:rsidRPr="007C51D6">
              <w:rPr>
                <w:rFonts w:eastAsia="Arial"/>
                <w:sz w:val="20"/>
                <w:szCs w:val="22"/>
              </w:rPr>
              <w:t>74,84</w:t>
            </w:r>
          </w:p>
        </w:tc>
        <w:tc>
          <w:tcPr>
            <w:tcW w:w="1052" w:type="dxa"/>
            <w:gridSpan w:val="2"/>
            <w:shd w:val="clear" w:color="auto" w:fill="auto"/>
          </w:tcPr>
          <w:p w:rsidR="00D83A47" w:rsidRPr="007C51D6" w:rsidRDefault="00D83A47" w:rsidP="00D83A47">
            <w:pPr>
              <w:autoSpaceDE/>
              <w:autoSpaceDN/>
              <w:adjustRightInd/>
              <w:jc w:val="center"/>
              <w:rPr>
                <w:rFonts w:eastAsia="Arial"/>
                <w:sz w:val="20"/>
                <w:szCs w:val="22"/>
              </w:rPr>
            </w:pPr>
            <w:r w:rsidRPr="007C51D6">
              <w:rPr>
                <w:rFonts w:eastAsia="Arial"/>
                <w:sz w:val="20"/>
                <w:szCs w:val="22"/>
              </w:rPr>
              <w:t>71,75</w:t>
            </w:r>
          </w:p>
        </w:tc>
        <w:tc>
          <w:tcPr>
            <w:tcW w:w="969" w:type="dxa"/>
            <w:shd w:val="clear" w:color="auto" w:fill="auto"/>
          </w:tcPr>
          <w:p w:rsidR="00D83A47" w:rsidRPr="007C51D6" w:rsidRDefault="00D83A47" w:rsidP="00D83A47">
            <w:pPr>
              <w:autoSpaceDE/>
              <w:autoSpaceDN/>
              <w:adjustRightInd/>
              <w:jc w:val="center"/>
              <w:rPr>
                <w:rFonts w:eastAsia="Arial"/>
                <w:sz w:val="20"/>
                <w:szCs w:val="22"/>
              </w:rPr>
            </w:pPr>
            <w:r w:rsidRPr="007C51D6">
              <w:rPr>
                <w:rFonts w:eastAsia="Arial"/>
                <w:sz w:val="20"/>
                <w:szCs w:val="22"/>
              </w:rPr>
              <w:t>63,42</w:t>
            </w:r>
          </w:p>
        </w:tc>
        <w:tc>
          <w:tcPr>
            <w:tcW w:w="1020" w:type="dxa"/>
          </w:tcPr>
          <w:p w:rsidR="00D83A47" w:rsidRPr="007C51D6" w:rsidRDefault="00D83A47" w:rsidP="00D83A47">
            <w:pPr>
              <w:autoSpaceDE/>
              <w:autoSpaceDN/>
              <w:adjustRightInd/>
              <w:jc w:val="center"/>
              <w:rPr>
                <w:rFonts w:eastAsia="Arial"/>
                <w:sz w:val="20"/>
                <w:szCs w:val="22"/>
              </w:rPr>
            </w:pPr>
            <w:r w:rsidRPr="007C51D6">
              <w:rPr>
                <w:rFonts w:eastAsia="Arial"/>
                <w:sz w:val="20"/>
                <w:szCs w:val="22"/>
              </w:rPr>
              <w:t>67,94</w:t>
            </w:r>
          </w:p>
        </w:tc>
        <w:tc>
          <w:tcPr>
            <w:tcW w:w="1071" w:type="dxa"/>
          </w:tcPr>
          <w:p w:rsidR="00D83A47" w:rsidRPr="007C51D6" w:rsidRDefault="00D83A47" w:rsidP="00D83A47">
            <w:pPr>
              <w:jc w:val="center"/>
              <w:rPr>
                <w:color w:val="000000"/>
                <w:sz w:val="20"/>
                <w:szCs w:val="20"/>
              </w:rPr>
            </w:pPr>
            <w:r w:rsidRPr="007C51D6">
              <w:rPr>
                <w:color w:val="000000"/>
                <w:sz w:val="20"/>
                <w:szCs w:val="20"/>
              </w:rPr>
              <w:t>71,28</w:t>
            </w:r>
          </w:p>
        </w:tc>
        <w:tc>
          <w:tcPr>
            <w:tcW w:w="1120" w:type="dxa"/>
          </w:tcPr>
          <w:p w:rsidR="00D83A47" w:rsidRPr="007C51D6" w:rsidRDefault="00D83A47" w:rsidP="00D83A47">
            <w:pPr>
              <w:jc w:val="center"/>
              <w:rPr>
                <w:color w:val="000000"/>
                <w:sz w:val="20"/>
                <w:szCs w:val="20"/>
              </w:rPr>
            </w:pPr>
            <w:r w:rsidRPr="007C51D6">
              <w:rPr>
                <w:color w:val="000000"/>
                <w:sz w:val="20"/>
                <w:szCs w:val="20"/>
              </w:rPr>
              <w:t>70,58</w:t>
            </w:r>
          </w:p>
        </w:tc>
        <w:tc>
          <w:tcPr>
            <w:tcW w:w="995" w:type="dxa"/>
          </w:tcPr>
          <w:p w:rsidR="00D83A47" w:rsidRPr="007C51D6" w:rsidRDefault="00D83A47" w:rsidP="00D83A47">
            <w:pPr>
              <w:jc w:val="center"/>
              <w:rPr>
                <w:color w:val="000000"/>
                <w:sz w:val="20"/>
                <w:szCs w:val="20"/>
              </w:rPr>
            </w:pPr>
            <w:r w:rsidRPr="007C51D6">
              <w:rPr>
                <w:color w:val="000000"/>
                <w:sz w:val="20"/>
                <w:szCs w:val="20"/>
              </w:rPr>
              <w:t>70,54</w:t>
            </w:r>
          </w:p>
        </w:tc>
        <w:tc>
          <w:tcPr>
            <w:tcW w:w="1549" w:type="dxa"/>
            <w:gridSpan w:val="2"/>
          </w:tcPr>
          <w:p w:rsidR="00D83A47" w:rsidRPr="007C51D6" w:rsidRDefault="00D83A47" w:rsidP="00D83A47">
            <w:pPr>
              <w:jc w:val="center"/>
            </w:pPr>
            <w:r w:rsidRPr="007C51D6">
              <w:rPr>
                <w:color w:val="000000"/>
                <w:sz w:val="20"/>
                <w:szCs w:val="20"/>
              </w:rPr>
              <w:t>нет данных</w:t>
            </w:r>
          </w:p>
        </w:tc>
      </w:tr>
      <w:tr w:rsidR="00D83A47" w:rsidRPr="007C51D6" w:rsidTr="00360A0B">
        <w:tblPrEx>
          <w:tblBorders>
            <w:bottom w:val="single" w:sz="4" w:space="0" w:color="auto"/>
          </w:tblBorders>
          <w:tblCellMar>
            <w:top w:w="0" w:type="dxa"/>
            <w:bottom w:w="0" w:type="dxa"/>
          </w:tblCellMar>
        </w:tblPrEx>
        <w:trPr>
          <w:gridAfter w:val="1"/>
          <w:wAfter w:w="13" w:type="dxa"/>
          <w:trHeight w:val="20"/>
        </w:trPr>
        <w:tc>
          <w:tcPr>
            <w:tcW w:w="4372" w:type="dxa"/>
            <w:shd w:val="clear" w:color="auto" w:fill="auto"/>
          </w:tcPr>
          <w:p w:rsidR="00D83A47" w:rsidRPr="007C51D6" w:rsidRDefault="00D83A47" w:rsidP="00D83A47">
            <w:pPr>
              <w:autoSpaceDE/>
              <w:autoSpaceDN/>
              <w:adjustRightInd/>
              <w:jc w:val="both"/>
              <w:rPr>
                <w:rFonts w:eastAsia="Arial"/>
                <w:sz w:val="20"/>
                <w:szCs w:val="22"/>
              </w:rPr>
            </w:pPr>
            <w:r w:rsidRPr="007C51D6">
              <w:rPr>
                <w:rFonts w:eastAsia="Arial"/>
                <w:sz w:val="20"/>
                <w:szCs w:val="22"/>
              </w:rPr>
              <w:t>предстательной железы</w:t>
            </w:r>
          </w:p>
        </w:tc>
        <w:tc>
          <w:tcPr>
            <w:tcW w:w="997" w:type="dxa"/>
            <w:gridSpan w:val="2"/>
            <w:shd w:val="clear" w:color="auto" w:fill="auto"/>
          </w:tcPr>
          <w:p w:rsidR="00D83A47" w:rsidRPr="007C51D6" w:rsidRDefault="00D83A47" w:rsidP="00D83A47">
            <w:pPr>
              <w:autoSpaceDE/>
              <w:autoSpaceDN/>
              <w:adjustRightInd/>
              <w:jc w:val="center"/>
              <w:rPr>
                <w:rFonts w:eastAsia="Arial"/>
                <w:sz w:val="20"/>
                <w:szCs w:val="22"/>
              </w:rPr>
            </w:pPr>
            <w:r w:rsidRPr="007C51D6">
              <w:rPr>
                <w:rFonts w:eastAsia="Arial"/>
                <w:sz w:val="20"/>
                <w:szCs w:val="22"/>
              </w:rPr>
              <w:t>77,98</w:t>
            </w:r>
          </w:p>
        </w:tc>
        <w:tc>
          <w:tcPr>
            <w:tcW w:w="971" w:type="dxa"/>
            <w:shd w:val="clear" w:color="auto" w:fill="auto"/>
          </w:tcPr>
          <w:p w:rsidR="00D83A47" w:rsidRPr="007C51D6" w:rsidRDefault="00D83A47" w:rsidP="00D83A47">
            <w:pPr>
              <w:autoSpaceDE/>
              <w:autoSpaceDN/>
              <w:adjustRightInd/>
              <w:jc w:val="center"/>
              <w:rPr>
                <w:rFonts w:eastAsia="Arial"/>
                <w:sz w:val="20"/>
                <w:szCs w:val="22"/>
              </w:rPr>
            </w:pPr>
            <w:r w:rsidRPr="007C51D6">
              <w:rPr>
                <w:rFonts w:eastAsia="Arial"/>
                <w:sz w:val="20"/>
                <w:szCs w:val="22"/>
              </w:rPr>
              <w:t>80,62</w:t>
            </w:r>
          </w:p>
        </w:tc>
        <w:tc>
          <w:tcPr>
            <w:tcW w:w="1036" w:type="dxa"/>
            <w:shd w:val="clear" w:color="auto" w:fill="auto"/>
          </w:tcPr>
          <w:p w:rsidR="00D83A47" w:rsidRPr="007C51D6" w:rsidRDefault="00D83A47" w:rsidP="00D83A47">
            <w:pPr>
              <w:autoSpaceDE/>
              <w:autoSpaceDN/>
              <w:adjustRightInd/>
              <w:jc w:val="center"/>
              <w:rPr>
                <w:rFonts w:eastAsia="Arial"/>
                <w:sz w:val="20"/>
                <w:szCs w:val="22"/>
              </w:rPr>
            </w:pPr>
            <w:r w:rsidRPr="007C51D6">
              <w:rPr>
                <w:rFonts w:eastAsia="Arial"/>
                <w:sz w:val="20"/>
                <w:szCs w:val="22"/>
              </w:rPr>
              <w:t>58,22</w:t>
            </w:r>
          </w:p>
        </w:tc>
        <w:tc>
          <w:tcPr>
            <w:tcW w:w="1052" w:type="dxa"/>
            <w:gridSpan w:val="2"/>
            <w:shd w:val="clear" w:color="auto" w:fill="auto"/>
          </w:tcPr>
          <w:p w:rsidR="00D83A47" w:rsidRPr="007C51D6" w:rsidRDefault="00D83A47" w:rsidP="00D83A47">
            <w:pPr>
              <w:autoSpaceDE/>
              <w:autoSpaceDN/>
              <w:adjustRightInd/>
              <w:jc w:val="center"/>
              <w:rPr>
                <w:rFonts w:eastAsia="Arial"/>
                <w:sz w:val="20"/>
                <w:szCs w:val="22"/>
              </w:rPr>
            </w:pPr>
            <w:r w:rsidRPr="007C51D6">
              <w:rPr>
                <w:rFonts w:eastAsia="Arial"/>
                <w:sz w:val="20"/>
                <w:szCs w:val="22"/>
              </w:rPr>
              <w:t>51,28</w:t>
            </w:r>
          </w:p>
        </w:tc>
        <w:tc>
          <w:tcPr>
            <w:tcW w:w="969" w:type="dxa"/>
            <w:shd w:val="clear" w:color="auto" w:fill="auto"/>
          </w:tcPr>
          <w:p w:rsidR="00D83A47" w:rsidRPr="007C51D6" w:rsidRDefault="00D83A47" w:rsidP="00D83A47">
            <w:pPr>
              <w:autoSpaceDE/>
              <w:autoSpaceDN/>
              <w:adjustRightInd/>
              <w:jc w:val="center"/>
              <w:rPr>
                <w:rFonts w:eastAsia="Arial"/>
                <w:sz w:val="20"/>
                <w:szCs w:val="22"/>
              </w:rPr>
            </w:pPr>
            <w:r w:rsidRPr="007C51D6">
              <w:rPr>
                <w:rFonts w:eastAsia="Arial"/>
                <w:sz w:val="20"/>
                <w:szCs w:val="22"/>
              </w:rPr>
              <w:t>47,27</w:t>
            </w:r>
          </w:p>
        </w:tc>
        <w:tc>
          <w:tcPr>
            <w:tcW w:w="1020" w:type="dxa"/>
          </w:tcPr>
          <w:p w:rsidR="00D83A47" w:rsidRPr="007C51D6" w:rsidRDefault="00D83A47" w:rsidP="00D83A47">
            <w:pPr>
              <w:autoSpaceDE/>
              <w:autoSpaceDN/>
              <w:adjustRightInd/>
              <w:jc w:val="center"/>
              <w:rPr>
                <w:rFonts w:eastAsia="Arial"/>
                <w:sz w:val="20"/>
                <w:szCs w:val="22"/>
              </w:rPr>
            </w:pPr>
            <w:r w:rsidRPr="007C51D6">
              <w:rPr>
                <w:rFonts w:eastAsia="Arial"/>
                <w:sz w:val="20"/>
                <w:szCs w:val="22"/>
              </w:rPr>
              <w:t>51,41</w:t>
            </w:r>
          </w:p>
        </w:tc>
        <w:tc>
          <w:tcPr>
            <w:tcW w:w="1071" w:type="dxa"/>
          </w:tcPr>
          <w:p w:rsidR="00D83A47" w:rsidRPr="007C51D6" w:rsidRDefault="00D83A47" w:rsidP="00D83A47">
            <w:pPr>
              <w:jc w:val="center"/>
              <w:rPr>
                <w:color w:val="000000"/>
                <w:sz w:val="20"/>
                <w:szCs w:val="20"/>
              </w:rPr>
            </w:pPr>
            <w:r w:rsidRPr="007C51D6">
              <w:rPr>
                <w:color w:val="000000"/>
                <w:sz w:val="20"/>
                <w:szCs w:val="20"/>
              </w:rPr>
              <w:t>64,13</w:t>
            </w:r>
          </w:p>
        </w:tc>
        <w:tc>
          <w:tcPr>
            <w:tcW w:w="1120" w:type="dxa"/>
          </w:tcPr>
          <w:p w:rsidR="00D83A47" w:rsidRPr="007C51D6" w:rsidRDefault="00D83A47" w:rsidP="00D83A47">
            <w:pPr>
              <w:jc w:val="center"/>
              <w:rPr>
                <w:color w:val="000000"/>
                <w:sz w:val="20"/>
                <w:szCs w:val="20"/>
              </w:rPr>
            </w:pPr>
            <w:r w:rsidRPr="007C51D6">
              <w:rPr>
                <w:color w:val="000000"/>
                <w:sz w:val="20"/>
                <w:szCs w:val="20"/>
              </w:rPr>
              <w:t>66,62</w:t>
            </w:r>
          </w:p>
        </w:tc>
        <w:tc>
          <w:tcPr>
            <w:tcW w:w="995" w:type="dxa"/>
          </w:tcPr>
          <w:p w:rsidR="00D83A47" w:rsidRPr="007C51D6" w:rsidRDefault="00D83A47" w:rsidP="00D83A47">
            <w:pPr>
              <w:jc w:val="center"/>
              <w:rPr>
                <w:color w:val="000000"/>
                <w:sz w:val="20"/>
                <w:szCs w:val="20"/>
              </w:rPr>
            </w:pPr>
            <w:r w:rsidRPr="007C51D6">
              <w:rPr>
                <w:color w:val="000000"/>
                <w:sz w:val="20"/>
                <w:szCs w:val="20"/>
              </w:rPr>
              <w:t>81,69</w:t>
            </w:r>
          </w:p>
        </w:tc>
        <w:tc>
          <w:tcPr>
            <w:tcW w:w="1549" w:type="dxa"/>
            <w:gridSpan w:val="2"/>
          </w:tcPr>
          <w:p w:rsidR="00D83A47" w:rsidRPr="007C51D6" w:rsidRDefault="00D83A47" w:rsidP="00D83A47">
            <w:pPr>
              <w:jc w:val="center"/>
            </w:pPr>
            <w:r w:rsidRPr="007C51D6">
              <w:rPr>
                <w:color w:val="000000"/>
                <w:sz w:val="20"/>
                <w:szCs w:val="20"/>
              </w:rPr>
              <w:t>нет данных</w:t>
            </w:r>
          </w:p>
        </w:tc>
      </w:tr>
      <w:tr w:rsidR="00D83A47" w:rsidRPr="007C51D6" w:rsidTr="00360A0B">
        <w:tblPrEx>
          <w:tblBorders>
            <w:bottom w:val="single" w:sz="4" w:space="0" w:color="auto"/>
          </w:tblBorders>
          <w:tblCellMar>
            <w:top w:w="0" w:type="dxa"/>
            <w:bottom w:w="0" w:type="dxa"/>
          </w:tblCellMar>
        </w:tblPrEx>
        <w:trPr>
          <w:gridAfter w:val="1"/>
          <w:wAfter w:w="13" w:type="dxa"/>
          <w:trHeight w:val="20"/>
        </w:trPr>
        <w:tc>
          <w:tcPr>
            <w:tcW w:w="4372" w:type="dxa"/>
            <w:shd w:val="clear" w:color="auto" w:fill="auto"/>
          </w:tcPr>
          <w:p w:rsidR="00D83A47" w:rsidRPr="007C51D6" w:rsidRDefault="00D83A47" w:rsidP="00D83A47">
            <w:pPr>
              <w:autoSpaceDE/>
              <w:autoSpaceDN/>
              <w:adjustRightInd/>
              <w:jc w:val="both"/>
              <w:rPr>
                <w:rFonts w:eastAsia="Arial"/>
                <w:sz w:val="20"/>
                <w:szCs w:val="22"/>
              </w:rPr>
            </w:pPr>
            <w:r w:rsidRPr="007C51D6">
              <w:rPr>
                <w:rFonts w:eastAsia="Arial"/>
                <w:sz w:val="20"/>
                <w:szCs w:val="22"/>
              </w:rPr>
              <w:t>желудка</w:t>
            </w:r>
          </w:p>
        </w:tc>
        <w:tc>
          <w:tcPr>
            <w:tcW w:w="997" w:type="dxa"/>
            <w:gridSpan w:val="2"/>
            <w:shd w:val="clear" w:color="auto" w:fill="auto"/>
          </w:tcPr>
          <w:p w:rsidR="00D83A47" w:rsidRPr="007C51D6" w:rsidRDefault="00D83A47" w:rsidP="00D83A47">
            <w:pPr>
              <w:autoSpaceDE/>
              <w:autoSpaceDN/>
              <w:adjustRightInd/>
              <w:jc w:val="center"/>
              <w:rPr>
                <w:rFonts w:eastAsia="Arial"/>
                <w:sz w:val="20"/>
                <w:szCs w:val="22"/>
              </w:rPr>
            </w:pPr>
            <w:r w:rsidRPr="007C51D6">
              <w:rPr>
                <w:rFonts w:eastAsia="Arial"/>
                <w:sz w:val="20"/>
                <w:szCs w:val="22"/>
              </w:rPr>
              <w:t>36,23</w:t>
            </w:r>
          </w:p>
        </w:tc>
        <w:tc>
          <w:tcPr>
            <w:tcW w:w="971" w:type="dxa"/>
            <w:shd w:val="clear" w:color="auto" w:fill="auto"/>
          </w:tcPr>
          <w:p w:rsidR="00D83A47" w:rsidRPr="007C51D6" w:rsidRDefault="00D83A47" w:rsidP="00D83A47">
            <w:pPr>
              <w:autoSpaceDE/>
              <w:autoSpaceDN/>
              <w:adjustRightInd/>
              <w:jc w:val="center"/>
              <w:rPr>
                <w:rFonts w:eastAsia="Arial"/>
                <w:sz w:val="20"/>
                <w:szCs w:val="22"/>
              </w:rPr>
            </w:pPr>
            <w:r w:rsidRPr="007C51D6">
              <w:rPr>
                <w:rFonts w:eastAsia="Arial"/>
                <w:sz w:val="20"/>
                <w:szCs w:val="22"/>
              </w:rPr>
              <w:t>32,98</w:t>
            </w:r>
          </w:p>
        </w:tc>
        <w:tc>
          <w:tcPr>
            <w:tcW w:w="1036" w:type="dxa"/>
            <w:shd w:val="clear" w:color="auto" w:fill="auto"/>
          </w:tcPr>
          <w:p w:rsidR="00D83A47" w:rsidRPr="007C51D6" w:rsidRDefault="00D83A47" w:rsidP="00D83A47">
            <w:pPr>
              <w:autoSpaceDE/>
              <w:autoSpaceDN/>
              <w:adjustRightInd/>
              <w:jc w:val="center"/>
              <w:rPr>
                <w:rFonts w:eastAsia="Arial"/>
                <w:sz w:val="20"/>
                <w:szCs w:val="22"/>
              </w:rPr>
            </w:pPr>
            <w:r w:rsidRPr="007C51D6">
              <w:rPr>
                <w:rFonts w:eastAsia="Arial"/>
                <w:sz w:val="20"/>
                <w:szCs w:val="22"/>
              </w:rPr>
              <w:t>36,95</w:t>
            </w:r>
          </w:p>
        </w:tc>
        <w:tc>
          <w:tcPr>
            <w:tcW w:w="1052" w:type="dxa"/>
            <w:gridSpan w:val="2"/>
            <w:shd w:val="clear" w:color="auto" w:fill="auto"/>
          </w:tcPr>
          <w:p w:rsidR="00D83A47" w:rsidRPr="007C51D6" w:rsidRDefault="00D83A47" w:rsidP="00D83A47">
            <w:pPr>
              <w:autoSpaceDE/>
              <w:autoSpaceDN/>
              <w:adjustRightInd/>
              <w:jc w:val="center"/>
              <w:rPr>
                <w:rFonts w:eastAsia="Arial"/>
                <w:sz w:val="20"/>
                <w:szCs w:val="22"/>
              </w:rPr>
            </w:pPr>
            <w:r w:rsidRPr="007C51D6">
              <w:rPr>
                <w:rFonts w:eastAsia="Arial"/>
                <w:sz w:val="20"/>
                <w:szCs w:val="22"/>
              </w:rPr>
              <w:t>33,64</w:t>
            </w:r>
          </w:p>
        </w:tc>
        <w:tc>
          <w:tcPr>
            <w:tcW w:w="969" w:type="dxa"/>
            <w:shd w:val="clear" w:color="auto" w:fill="auto"/>
          </w:tcPr>
          <w:p w:rsidR="00D83A47" w:rsidRPr="007C51D6" w:rsidRDefault="00D83A47" w:rsidP="00D83A47">
            <w:pPr>
              <w:autoSpaceDE/>
              <w:autoSpaceDN/>
              <w:adjustRightInd/>
              <w:jc w:val="center"/>
              <w:rPr>
                <w:rFonts w:eastAsia="Arial"/>
                <w:sz w:val="20"/>
                <w:szCs w:val="22"/>
              </w:rPr>
            </w:pPr>
            <w:r w:rsidRPr="007C51D6">
              <w:rPr>
                <w:rFonts w:eastAsia="Arial"/>
                <w:sz w:val="20"/>
                <w:szCs w:val="22"/>
              </w:rPr>
              <w:t>32,40</w:t>
            </w:r>
          </w:p>
        </w:tc>
        <w:tc>
          <w:tcPr>
            <w:tcW w:w="1020" w:type="dxa"/>
          </w:tcPr>
          <w:p w:rsidR="00D83A47" w:rsidRPr="007C51D6" w:rsidRDefault="00D83A47" w:rsidP="00D83A47">
            <w:pPr>
              <w:autoSpaceDE/>
              <w:autoSpaceDN/>
              <w:adjustRightInd/>
              <w:jc w:val="center"/>
              <w:rPr>
                <w:rFonts w:eastAsia="Arial"/>
                <w:sz w:val="20"/>
                <w:szCs w:val="22"/>
              </w:rPr>
            </w:pPr>
            <w:r w:rsidRPr="007C51D6">
              <w:rPr>
                <w:rFonts w:eastAsia="Arial"/>
                <w:sz w:val="20"/>
                <w:szCs w:val="22"/>
              </w:rPr>
              <w:t>32,78</w:t>
            </w:r>
          </w:p>
        </w:tc>
        <w:tc>
          <w:tcPr>
            <w:tcW w:w="1071" w:type="dxa"/>
          </w:tcPr>
          <w:p w:rsidR="00D83A47" w:rsidRPr="007C51D6" w:rsidRDefault="00D83A47" w:rsidP="00D83A47">
            <w:pPr>
              <w:jc w:val="center"/>
              <w:rPr>
                <w:color w:val="000000"/>
                <w:sz w:val="20"/>
                <w:szCs w:val="20"/>
              </w:rPr>
            </w:pPr>
            <w:r w:rsidRPr="007C51D6">
              <w:rPr>
                <w:color w:val="000000"/>
                <w:sz w:val="20"/>
                <w:szCs w:val="20"/>
              </w:rPr>
              <w:t>33,37</w:t>
            </w:r>
          </w:p>
        </w:tc>
        <w:tc>
          <w:tcPr>
            <w:tcW w:w="1120" w:type="dxa"/>
          </w:tcPr>
          <w:p w:rsidR="00D83A47" w:rsidRPr="007C51D6" w:rsidRDefault="00D83A47" w:rsidP="00D83A47">
            <w:pPr>
              <w:jc w:val="center"/>
              <w:rPr>
                <w:color w:val="000000"/>
                <w:sz w:val="20"/>
                <w:szCs w:val="20"/>
              </w:rPr>
            </w:pPr>
            <w:r w:rsidRPr="007C51D6">
              <w:rPr>
                <w:color w:val="000000"/>
                <w:sz w:val="20"/>
                <w:szCs w:val="20"/>
              </w:rPr>
              <w:t>32,86</w:t>
            </w:r>
          </w:p>
        </w:tc>
        <w:tc>
          <w:tcPr>
            <w:tcW w:w="995" w:type="dxa"/>
          </w:tcPr>
          <w:p w:rsidR="00D83A47" w:rsidRPr="007C51D6" w:rsidRDefault="00D83A47" w:rsidP="00D83A47">
            <w:pPr>
              <w:jc w:val="center"/>
              <w:rPr>
                <w:color w:val="000000"/>
                <w:sz w:val="20"/>
                <w:szCs w:val="20"/>
              </w:rPr>
            </w:pPr>
            <w:r w:rsidRPr="007C51D6">
              <w:rPr>
                <w:color w:val="000000"/>
                <w:sz w:val="20"/>
                <w:szCs w:val="20"/>
              </w:rPr>
              <w:t>31,43</w:t>
            </w:r>
          </w:p>
        </w:tc>
        <w:tc>
          <w:tcPr>
            <w:tcW w:w="1549" w:type="dxa"/>
            <w:gridSpan w:val="2"/>
          </w:tcPr>
          <w:p w:rsidR="00D83A47" w:rsidRPr="007C51D6" w:rsidRDefault="00D83A47" w:rsidP="00D83A47">
            <w:pPr>
              <w:jc w:val="center"/>
            </w:pPr>
            <w:r w:rsidRPr="007C51D6">
              <w:rPr>
                <w:color w:val="000000"/>
                <w:sz w:val="20"/>
                <w:szCs w:val="20"/>
              </w:rPr>
              <w:t>нет данных</w:t>
            </w:r>
          </w:p>
        </w:tc>
      </w:tr>
      <w:tr w:rsidR="00D83A47" w:rsidRPr="007C51D6" w:rsidTr="00360A0B">
        <w:tblPrEx>
          <w:tblBorders>
            <w:bottom w:val="single" w:sz="4" w:space="0" w:color="auto"/>
          </w:tblBorders>
          <w:tblCellMar>
            <w:top w:w="0" w:type="dxa"/>
            <w:bottom w:w="0" w:type="dxa"/>
          </w:tblCellMar>
        </w:tblPrEx>
        <w:trPr>
          <w:gridAfter w:val="1"/>
          <w:wAfter w:w="13" w:type="dxa"/>
          <w:trHeight w:val="20"/>
        </w:trPr>
        <w:tc>
          <w:tcPr>
            <w:tcW w:w="4372" w:type="dxa"/>
            <w:shd w:val="clear" w:color="auto" w:fill="auto"/>
          </w:tcPr>
          <w:p w:rsidR="00D83A47" w:rsidRPr="007C51D6" w:rsidRDefault="00D83A47" w:rsidP="00D83A47">
            <w:pPr>
              <w:autoSpaceDE/>
              <w:autoSpaceDN/>
              <w:adjustRightInd/>
              <w:jc w:val="both"/>
              <w:rPr>
                <w:rFonts w:eastAsia="Arial"/>
                <w:sz w:val="20"/>
                <w:szCs w:val="22"/>
              </w:rPr>
            </w:pPr>
            <w:r w:rsidRPr="007C51D6">
              <w:rPr>
                <w:rFonts w:eastAsia="Arial"/>
                <w:sz w:val="20"/>
                <w:szCs w:val="22"/>
              </w:rPr>
              <w:t>рак кожи</w:t>
            </w:r>
          </w:p>
        </w:tc>
        <w:tc>
          <w:tcPr>
            <w:tcW w:w="997" w:type="dxa"/>
            <w:gridSpan w:val="2"/>
            <w:shd w:val="clear" w:color="auto" w:fill="auto"/>
          </w:tcPr>
          <w:p w:rsidR="00D83A47" w:rsidRPr="007C51D6" w:rsidRDefault="00D83A47" w:rsidP="00D83A47">
            <w:pPr>
              <w:autoSpaceDE/>
              <w:autoSpaceDN/>
              <w:adjustRightInd/>
              <w:jc w:val="center"/>
              <w:rPr>
                <w:rFonts w:eastAsia="Arial"/>
                <w:sz w:val="20"/>
                <w:szCs w:val="22"/>
              </w:rPr>
            </w:pPr>
            <w:r w:rsidRPr="007C51D6">
              <w:rPr>
                <w:rFonts w:eastAsia="Arial"/>
                <w:sz w:val="20"/>
                <w:szCs w:val="22"/>
              </w:rPr>
              <w:t>34,89</w:t>
            </w:r>
          </w:p>
        </w:tc>
        <w:tc>
          <w:tcPr>
            <w:tcW w:w="971" w:type="dxa"/>
            <w:shd w:val="clear" w:color="auto" w:fill="auto"/>
          </w:tcPr>
          <w:p w:rsidR="00D83A47" w:rsidRPr="007C51D6" w:rsidRDefault="00D83A47" w:rsidP="00D83A47">
            <w:pPr>
              <w:autoSpaceDE/>
              <w:autoSpaceDN/>
              <w:adjustRightInd/>
              <w:jc w:val="center"/>
              <w:rPr>
                <w:rFonts w:eastAsia="Arial"/>
                <w:sz w:val="20"/>
                <w:szCs w:val="22"/>
              </w:rPr>
            </w:pPr>
            <w:r w:rsidRPr="007C51D6">
              <w:rPr>
                <w:rFonts w:eastAsia="Arial"/>
                <w:sz w:val="20"/>
                <w:szCs w:val="22"/>
              </w:rPr>
              <w:t>36,98</w:t>
            </w:r>
          </w:p>
        </w:tc>
        <w:tc>
          <w:tcPr>
            <w:tcW w:w="1036" w:type="dxa"/>
            <w:shd w:val="clear" w:color="auto" w:fill="auto"/>
          </w:tcPr>
          <w:p w:rsidR="00D83A47" w:rsidRPr="007C51D6" w:rsidRDefault="00D83A47" w:rsidP="00D83A47">
            <w:pPr>
              <w:autoSpaceDE/>
              <w:autoSpaceDN/>
              <w:adjustRightInd/>
              <w:jc w:val="center"/>
              <w:rPr>
                <w:rFonts w:eastAsia="Arial"/>
                <w:sz w:val="20"/>
                <w:szCs w:val="22"/>
              </w:rPr>
            </w:pPr>
            <w:r w:rsidRPr="007C51D6">
              <w:rPr>
                <w:rFonts w:eastAsia="Arial"/>
                <w:sz w:val="20"/>
                <w:szCs w:val="22"/>
              </w:rPr>
              <w:t>37,39</w:t>
            </w:r>
          </w:p>
        </w:tc>
        <w:tc>
          <w:tcPr>
            <w:tcW w:w="1052" w:type="dxa"/>
            <w:gridSpan w:val="2"/>
            <w:shd w:val="clear" w:color="auto" w:fill="auto"/>
          </w:tcPr>
          <w:p w:rsidR="00D83A47" w:rsidRPr="007C51D6" w:rsidRDefault="00D83A47" w:rsidP="00D83A47">
            <w:pPr>
              <w:autoSpaceDE/>
              <w:autoSpaceDN/>
              <w:adjustRightInd/>
              <w:jc w:val="center"/>
              <w:rPr>
                <w:rFonts w:eastAsia="Arial"/>
                <w:sz w:val="20"/>
                <w:szCs w:val="22"/>
              </w:rPr>
            </w:pPr>
            <w:r w:rsidRPr="007C51D6">
              <w:rPr>
                <w:rFonts w:eastAsia="Arial"/>
                <w:sz w:val="20"/>
                <w:szCs w:val="22"/>
              </w:rPr>
              <w:t>37,34</w:t>
            </w:r>
          </w:p>
        </w:tc>
        <w:tc>
          <w:tcPr>
            <w:tcW w:w="969" w:type="dxa"/>
            <w:shd w:val="clear" w:color="auto" w:fill="auto"/>
          </w:tcPr>
          <w:p w:rsidR="00D83A47" w:rsidRPr="007C51D6" w:rsidRDefault="00D83A47" w:rsidP="00D83A47">
            <w:pPr>
              <w:autoSpaceDE/>
              <w:autoSpaceDN/>
              <w:adjustRightInd/>
              <w:jc w:val="center"/>
              <w:rPr>
                <w:rFonts w:eastAsia="Arial"/>
                <w:sz w:val="20"/>
                <w:szCs w:val="22"/>
              </w:rPr>
            </w:pPr>
            <w:r w:rsidRPr="007C51D6">
              <w:rPr>
                <w:rFonts w:eastAsia="Arial"/>
                <w:sz w:val="20"/>
                <w:szCs w:val="22"/>
              </w:rPr>
              <w:t>31,52</w:t>
            </w:r>
          </w:p>
        </w:tc>
        <w:tc>
          <w:tcPr>
            <w:tcW w:w="1020" w:type="dxa"/>
          </w:tcPr>
          <w:p w:rsidR="00D83A47" w:rsidRPr="007C51D6" w:rsidRDefault="00D83A47" w:rsidP="00D83A47">
            <w:pPr>
              <w:autoSpaceDE/>
              <w:autoSpaceDN/>
              <w:adjustRightInd/>
              <w:jc w:val="center"/>
              <w:rPr>
                <w:rFonts w:eastAsia="Arial"/>
                <w:sz w:val="20"/>
                <w:szCs w:val="22"/>
              </w:rPr>
            </w:pPr>
            <w:r w:rsidRPr="007C51D6">
              <w:rPr>
                <w:rFonts w:eastAsia="Arial"/>
                <w:sz w:val="20"/>
                <w:szCs w:val="22"/>
              </w:rPr>
              <w:t>40,71</w:t>
            </w:r>
          </w:p>
        </w:tc>
        <w:tc>
          <w:tcPr>
            <w:tcW w:w="1071" w:type="dxa"/>
          </w:tcPr>
          <w:p w:rsidR="00D83A47" w:rsidRPr="007C51D6" w:rsidRDefault="00D83A47" w:rsidP="00D83A47">
            <w:pPr>
              <w:jc w:val="center"/>
              <w:rPr>
                <w:color w:val="000000"/>
                <w:sz w:val="20"/>
                <w:szCs w:val="20"/>
              </w:rPr>
            </w:pPr>
            <w:r w:rsidRPr="007C51D6">
              <w:rPr>
                <w:color w:val="000000"/>
                <w:sz w:val="20"/>
                <w:szCs w:val="20"/>
              </w:rPr>
              <w:t>42,84</w:t>
            </w:r>
          </w:p>
        </w:tc>
        <w:tc>
          <w:tcPr>
            <w:tcW w:w="1120" w:type="dxa"/>
          </w:tcPr>
          <w:p w:rsidR="00D83A47" w:rsidRPr="007C51D6" w:rsidRDefault="00D83A47" w:rsidP="00D83A47">
            <w:pPr>
              <w:jc w:val="center"/>
              <w:rPr>
                <w:color w:val="000000"/>
                <w:sz w:val="20"/>
                <w:szCs w:val="20"/>
              </w:rPr>
            </w:pPr>
            <w:r w:rsidRPr="007C51D6">
              <w:rPr>
                <w:color w:val="000000"/>
                <w:sz w:val="20"/>
                <w:szCs w:val="20"/>
              </w:rPr>
              <w:t>41,15</w:t>
            </w:r>
          </w:p>
        </w:tc>
        <w:tc>
          <w:tcPr>
            <w:tcW w:w="995" w:type="dxa"/>
          </w:tcPr>
          <w:p w:rsidR="00D83A47" w:rsidRPr="007C51D6" w:rsidRDefault="00D83A47" w:rsidP="00D83A47">
            <w:pPr>
              <w:jc w:val="center"/>
              <w:rPr>
                <w:color w:val="000000"/>
                <w:sz w:val="20"/>
                <w:szCs w:val="20"/>
              </w:rPr>
            </w:pPr>
            <w:r w:rsidRPr="007C51D6">
              <w:rPr>
                <w:color w:val="000000"/>
                <w:sz w:val="20"/>
                <w:szCs w:val="20"/>
              </w:rPr>
              <w:t>42,95</w:t>
            </w:r>
          </w:p>
        </w:tc>
        <w:tc>
          <w:tcPr>
            <w:tcW w:w="1549" w:type="dxa"/>
            <w:gridSpan w:val="2"/>
          </w:tcPr>
          <w:p w:rsidR="00D83A47" w:rsidRPr="007C51D6" w:rsidRDefault="00D83A47" w:rsidP="00D83A47">
            <w:pPr>
              <w:jc w:val="center"/>
            </w:pPr>
            <w:r w:rsidRPr="007C51D6">
              <w:rPr>
                <w:color w:val="000000"/>
                <w:sz w:val="20"/>
                <w:szCs w:val="20"/>
              </w:rPr>
              <w:t>нет данных</w:t>
            </w:r>
          </w:p>
        </w:tc>
      </w:tr>
      <w:tr w:rsidR="00D83A47" w:rsidRPr="007C51D6" w:rsidTr="00360A0B">
        <w:tblPrEx>
          <w:tblBorders>
            <w:bottom w:val="single" w:sz="4" w:space="0" w:color="auto"/>
          </w:tblBorders>
          <w:tblCellMar>
            <w:top w:w="0" w:type="dxa"/>
            <w:bottom w:w="0" w:type="dxa"/>
          </w:tblCellMar>
        </w:tblPrEx>
        <w:trPr>
          <w:gridAfter w:val="1"/>
          <w:wAfter w:w="13" w:type="dxa"/>
          <w:trHeight w:val="20"/>
        </w:trPr>
        <w:tc>
          <w:tcPr>
            <w:tcW w:w="4372" w:type="dxa"/>
            <w:shd w:val="clear" w:color="auto" w:fill="auto"/>
          </w:tcPr>
          <w:p w:rsidR="00D83A47" w:rsidRPr="007C51D6" w:rsidRDefault="00D83A47" w:rsidP="00D83A47">
            <w:pPr>
              <w:autoSpaceDE/>
              <w:autoSpaceDN/>
              <w:adjustRightInd/>
              <w:jc w:val="both"/>
              <w:rPr>
                <w:rFonts w:eastAsia="Arial"/>
                <w:sz w:val="20"/>
                <w:szCs w:val="22"/>
              </w:rPr>
            </w:pPr>
            <w:r w:rsidRPr="007C51D6">
              <w:rPr>
                <w:rFonts w:eastAsia="Arial"/>
                <w:sz w:val="20"/>
                <w:szCs w:val="22"/>
              </w:rPr>
              <w:t>ободочной кишки</w:t>
            </w:r>
          </w:p>
        </w:tc>
        <w:tc>
          <w:tcPr>
            <w:tcW w:w="997" w:type="dxa"/>
            <w:gridSpan w:val="2"/>
            <w:shd w:val="clear" w:color="auto" w:fill="auto"/>
          </w:tcPr>
          <w:p w:rsidR="00D83A47" w:rsidRPr="007C51D6" w:rsidRDefault="00D83A47" w:rsidP="00D83A47">
            <w:pPr>
              <w:autoSpaceDE/>
              <w:autoSpaceDN/>
              <w:adjustRightInd/>
              <w:jc w:val="center"/>
              <w:rPr>
                <w:rFonts w:eastAsia="Arial"/>
                <w:sz w:val="20"/>
                <w:szCs w:val="22"/>
              </w:rPr>
            </w:pPr>
            <w:r w:rsidRPr="007C51D6">
              <w:rPr>
                <w:rFonts w:eastAsia="Arial"/>
                <w:sz w:val="20"/>
                <w:szCs w:val="22"/>
              </w:rPr>
              <w:t>24,53</w:t>
            </w:r>
          </w:p>
        </w:tc>
        <w:tc>
          <w:tcPr>
            <w:tcW w:w="971" w:type="dxa"/>
            <w:shd w:val="clear" w:color="auto" w:fill="auto"/>
          </w:tcPr>
          <w:p w:rsidR="00D83A47" w:rsidRPr="007C51D6" w:rsidRDefault="00D83A47" w:rsidP="00D83A47">
            <w:pPr>
              <w:autoSpaceDE/>
              <w:autoSpaceDN/>
              <w:adjustRightInd/>
              <w:jc w:val="center"/>
              <w:rPr>
                <w:rFonts w:eastAsia="Arial"/>
                <w:sz w:val="20"/>
                <w:szCs w:val="22"/>
              </w:rPr>
            </w:pPr>
            <w:r w:rsidRPr="007C51D6">
              <w:rPr>
                <w:rFonts w:eastAsia="Arial"/>
                <w:sz w:val="20"/>
                <w:szCs w:val="22"/>
              </w:rPr>
              <w:t>26,54</w:t>
            </w:r>
          </w:p>
        </w:tc>
        <w:tc>
          <w:tcPr>
            <w:tcW w:w="1036" w:type="dxa"/>
            <w:shd w:val="clear" w:color="auto" w:fill="auto"/>
          </w:tcPr>
          <w:p w:rsidR="00D83A47" w:rsidRPr="007C51D6" w:rsidRDefault="00D83A47" w:rsidP="00D83A47">
            <w:pPr>
              <w:autoSpaceDE/>
              <w:autoSpaceDN/>
              <w:adjustRightInd/>
              <w:jc w:val="center"/>
              <w:rPr>
                <w:rFonts w:eastAsia="Arial"/>
                <w:sz w:val="20"/>
                <w:szCs w:val="22"/>
              </w:rPr>
            </w:pPr>
            <w:r w:rsidRPr="007C51D6">
              <w:rPr>
                <w:rFonts w:eastAsia="Arial"/>
                <w:sz w:val="20"/>
                <w:szCs w:val="22"/>
              </w:rPr>
              <w:t>27,14</w:t>
            </w:r>
          </w:p>
        </w:tc>
        <w:tc>
          <w:tcPr>
            <w:tcW w:w="1052" w:type="dxa"/>
            <w:gridSpan w:val="2"/>
            <w:shd w:val="clear" w:color="auto" w:fill="auto"/>
          </w:tcPr>
          <w:p w:rsidR="00D83A47" w:rsidRPr="007C51D6" w:rsidRDefault="00D83A47" w:rsidP="00D83A47">
            <w:pPr>
              <w:autoSpaceDE/>
              <w:autoSpaceDN/>
              <w:adjustRightInd/>
              <w:jc w:val="center"/>
              <w:rPr>
                <w:rFonts w:eastAsia="Arial"/>
                <w:sz w:val="20"/>
                <w:szCs w:val="22"/>
              </w:rPr>
            </w:pPr>
            <w:r w:rsidRPr="007C51D6">
              <w:rPr>
                <w:rFonts w:eastAsia="Arial"/>
                <w:sz w:val="20"/>
                <w:szCs w:val="22"/>
              </w:rPr>
              <w:t>29,04</w:t>
            </w:r>
          </w:p>
        </w:tc>
        <w:tc>
          <w:tcPr>
            <w:tcW w:w="969" w:type="dxa"/>
            <w:shd w:val="clear" w:color="auto" w:fill="auto"/>
          </w:tcPr>
          <w:p w:rsidR="00D83A47" w:rsidRPr="007C51D6" w:rsidRDefault="00D83A47" w:rsidP="00D83A47">
            <w:pPr>
              <w:autoSpaceDE/>
              <w:autoSpaceDN/>
              <w:adjustRightInd/>
              <w:jc w:val="center"/>
              <w:rPr>
                <w:rFonts w:eastAsia="Arial"/>
                <w:sz w:val="20"/>
                <w:szCs w:val="22"/>
              </w:rPr>
            </w:pPr>
            <w:r w:rsidRPr="007C51D6">
              <w:rPr>
                <w:rFonts w:eastAsia="Arial"/>
                <w:sz w:val="20"/>
                <w:szCs w:val="22"/>
              </w:rPr>
              <w:t>27,04</w:t>
            </w:r>
          </w:p>
        </w:tc>
        <w:tc>
          <w:tcPr>
            <w:tcW w:w="1020" w:type="dxa"/>
          </w:tcPr>
          <w:p w:rsidR="00D83A47" w:rsidRPr="007C51D6" w:rsidRDefault="00D83A47" w:rsidP="00D83A47">
            <w:pPr>
              <w:autoSpaceDE/>
              <w:autoSpaceDN/>
              <w:adjustRightInd/>
              <w:jc w:val="center"/>
              <w:rPr>
                <w:rFonts w:eastAsia="Arial"/>
                <w:sz w:val="20"/>
                <w:szCs w:val="22"/>
              </w:rPr>
            </w:pPr>
            <w:r w:rsidRPr="007C51D6">
              <w:rPr>
                <w:rFonts w:eastAsia="Arial"/>
                <w:sz w:val="20"/>
                <w:szCs w:val="22"/>
              </w:rPr>
              <w:t>31,34</w:t>
            </w:r>
          </w:p>
        </w:tc>
        <w:tc>
          <w:tcPr>
            <w:tcW w:w="1071" w:type="dxa"/>
          </w:tcPr>
          <w:p w:rsidR="00D83A47" w:rsidRPr="007C51D6" w:rsidRDefault="00D83A47" w:rsidP="00D83A47">
            <w:pPr>
              <w:jc w:val="center"/>
              <w:rPr>
                <w:color w:val="000000"/>
                <w:sz w:val="20"/>
                <w:szCs w:val="20"/>
              </w:rPr>
            </w:pPr>
            <w:r w:rsidRPr="007C51D6">
              <w:rPr>
                <w:color w:val="000000"/>
                <w:sz w:val="20"/>
                <w:szCs w:val="20"/>
              </w:rPr>
              <w:t>31,81</w:t>
            </w:r>
          </w:p>
        </w:tc>
        <w:tc>
          <w:tcPr>
            <w:tcW w:w="1120" w:type="dxa"/>
          </w:tcPr>
          <w:p w:rsidR="00D83A47" w:rsidRPr="007C51D6" w:rsidRDefault="00D83A47" w:rsidP="00D83A47">
            <w:pPr>
              <w:jc w:val="center"/>
              <w:rPr>
                <w:color w:val="000000"/>
                <w:sz w:val="20"/>
                <w:szCs w:val="20"/>
              </w:rPr>
            </w:pPr>
            <w:r w:rsidRPr="007C51D6">
              <w:rPr>
                <w:color w:val="000000"/>
                <w:sz w:val="20"/>
                <w:szCs w:val="20"/>
              </w:rPr>
              <w:t>35,26</w:t>
            </w:r>
          </w:p>
        </w:tc>
        <w:tc>
          <w:tcPr>
            <w:tcW w:w="995" w:type="dxa"/>
          </w:tcPr>
          <w:p w:rsidR="00D83A47" w:rsidRPr="007C51D6" w:rsidRDefault="00D83A47" w:rsidP="00D83A47">
            <w:pPr>
              <w:jc w:val="center"/>
              <w:rPr>
                <w:color w:val="000000"/>
                <w:sz w:val="20"/>
                <w:szCs w:val="20"/>
              </w:rPr>
            </w:pPr>
            <w:r w:rsidRPr="007C51D6">
              <w:rPr>
                <w:color w:val="000000"/>
                <w:sz w:val="20"/>
                <w:szCs w:val="20"/>
              </w:rPr>
              <w:t>41,19</w:t>
            </w:r>
          </w:p>
        </w:tc>
        <w:tc>
          <w:tcPr>
            <w:tcW w:w="1549" w:type="dxa"/>
            <w:gridSpan w:val="2"/>
          </w:tcPr>
          <w:p w:rsidR="00D83A47" w:rsidRPr="007C51D6" w:rsidRDefault="00D83A47" w:rsidP="00D83A47">
            <w:pPr>
              <w:jc w:val="center"/>
            </w:pPr>
            <w:r w:rsidRPr="007C51D6">
              <w:rPr>
                <w:color w:val="000000"/>
                <w:sz w:val="20"/>
                <w:szCs w:val="20"/>
              </w:rPr>
              <w:t>нет данных</w:t>
            </w:r>
          </w:p>
        </w:tc>
      </w:tr>
      <w:tr w:rsidR="00D83A47" w:rsidRPr="007C51D6" w:rsidTr="00360A0B">
        <w:tblPrEx>
          <w:tblBorders>
            <w:bottom w:val="single" w:sz="4" w:space="0" w:color="auto"/>
          </w:tblBorders>
          <w:tblCellMar>
            <w:top w:w="0" w:type="dxa"/>
            <w:bottom w:w="0" w:type="dxa"/>
          </w:tblCellMar>
        </w:tblPrEx>
        <w:trPr>
          <w:gridAfter w:val="1"/>
          <w:wAfter w:w="13" w:type="dxa"/>
          <w:trHeight w:val="20"/>
        </w:trPr>
        <w:tc>
          <w:tcPr>
            <w:tcW w:w="4372" w:type="dxa"/>
            <w:shd w:val="clear" w:color="auto" w:fill="auto"/>
          </w:tcPr>
          <w:p w:rsidR="00D83A47" w:rsidRPr="007C51D6" w:rsidRDefault="00D83A47" w:rsidP="00D83A47">
            <w:pPr>
              <w:autoSpaceDE/>
              <w:autoSpaceDN/>
              <w:adjustRightInd/>
              <w:jc w:val="both"/>
              <w:rPr>
                <w:rFonts w:eastAsia="Arial"/>
                <w:sz w:val="20"/>
                <w:szCs w:val="22"/>
              </w:rPr>
            </w:pPr>
            <w:r w:rsidRPr="007C51D6">
              <w:rPr>
                <w:rFonts w:eastAsia="Arial"/>
                <w:sz w:val="20"/>
                <w:szCs w:val="22"/>
              </w:rPr>
              <w:t>прямой кишки, ректосигмоидного соединения, ануса</w:t>
            </w:r>
          </w:p>
        </w:tc>
        <w:tc>
          <w:tcPr>
            <w:tcW w:w="997" w:type="dxa"/>
            <w:gridSpan w:val="2"/>
            <w:shd w:val="clear" w:color="auto" w:fill="auto"/>
          </w:tcPr>
          <w:p w:rsidR="00D83A47" w:rsidRPr="007C51D6" w:rsidRDefault="00D83A47" w:rsidP="00D83A47">
            <w:pPr>
              <w:autoSpaceDE/>
              <w:autoSpaceDN/>
              <w:adjustRightInd/>
              <w:jc w:val="center"/>
              <w:rPr>
                <w:rFonts w:eastAsia="Arial"/>
                <w:sz w:val="20"/>
                <w:szCs w:val="22"/>
              </w:rPr>
            </w:pPr>
            <w:r w:rsidRPr="007C51D6">
              <w:rPr>
                <w:rFonts w:eastAsia="Arial"/>
                <w:sz w:val="20"/>
                <w:szCs w:val="22"/>
              </w:rPr>
              <w:t>27,03</w:t>
            </w:r>
          </w:p>
        </w:tc>
        <w:tc>
          <w:tcPr>
            <w:tcW w:w="971" w:type="dxa"/>
            <w:shd w:val="clear" w:color="auto" w:fill="auto"/>
          </w:tcPr>
          <w:p w:rsidR="00D83A47" w:rsidRPr="007C51D6" w:rsidRDefault="00D83A47" w:rsidP="00D83A47">
            <w:pPr>
              <w:autoSpaceDE/>
              <w:autoSpaceDN/>
              <w:adjustRightInd/>
              <w:jc w:val="center"/>
              <w:rPr>
                <w:rFonts w:eastAsia="Arial"/>
                <w:sz w:val="20"/>
                <w:szCs w:val="22"/>
              </w:rPr>
            </w:pPr>
            <w:r w:rsidRPr="007C51D6">
              <w:rPr>
                <w:rFonts w:eastAsia="Arial"/>
                <w:sz w:val="20"/>
                <w:szCs w:val="22"/>
              </w:rPr>
              <w:t>27,59</w:t>
            </w:r>
          </w:p>
        </w:tc>
        <w:tc>
          <w:tcPr>
            <w:tcW w:w="1036" w:type="dxa"/>
            <w:shd w:val="clear" w:color="auto" w:fill="auto"/>
          </w:tcPr>
          <w:p w:rsidR="00D83A47" w:rsidRPr="007C51D6" w:rsidRDefault="00D83A47" w:rsidP="00D83A47">
            <w:pPr>
              <w:autoSpaceDE/>
              <w:autoSpaceDN/>
              <w:adjustRightInd/>
              <w:jc w:val="center"/>
              <w:rPr>
                <w:rFonts w:eastAsia="Arial"/>
                <w:sz w:val="20"/>
                <w:szCs w:val="22"/>
              </w:rPr>
            </w:pPr>
            <w:r w:rsidRPr="007C51D6">
              <w:rPr>
                <w:rFonts w:eastAsia="Arial"/>
                <w:sz w:val="20"/>
                <w:szCs w:val="22"/>
              </w:rPr>
              <w:t>32,90</w:t>
            </w:r>
          </w:p>
        </w:tc>
        <w:tc>
          <w:tcPr>
            <w:tcW w:w="1052" w:type="dxa"/>
            <w:gridSpan w:val="2"/>
            <w:shd w:val="clear" w:color="auto" w:fill="auto"/>
          </w:tcPr>
          <w:p w:rsidR="00D83A47" w:rsidRPr="007C51D6" w:rsidRDefault="00D83A47" w:rsidP="00D83A47">
            <w:pPr>
              <w:autoSpaceDE/>
              <w:autoSpaceDN/>
              <w:adjustRightInd/>
              <w:jc w:val="center"/>
              <w:rPr>
                <w:rFonts w:eastAsia="Arial"/>
                <w:sz w:val="20"/>
                <w:szCs w:val="22"/>
              </w:rPr>
            </w:pPr>
            <w:r w:rsidRPr="007C51D6">
              <w:rPr>
                <w:rFonts w:eastAsia="Arial"/>
                <w:sz w:val="20"/>
                <w:szCs w:val="22"/>
              </w:rPr>
              <w:t>32,14</w:t>
            </w:r>
          </w:p>
        </w:tc>
        <w:tc>
          <w:tcPr>
            <w:tcW w:w="969" w:type="dxa"/>
            <w:shd w:val="clear" w:color="auto" w:fill="auto"/>
          </w:tcPr>
          <w:p w:rsidR="00D83A47" w:rsidRPr="007C51D6" w:rsidRDefault="00D83A47" w:rsidP="00D83A47">
            <w:pPr>
              <w:autoSpaceDE/>
              <w:autoSpaceDN/>
              <w:adjustRightInd/>
              <w:jc w:val="center"/>
              <w:rPr>
                <w:rFonts w:eastAsia="Arial"/>
                <w:sz w:val="20"/>
                <w:szCs w:val="22"/>
              </w:rPr>
            </w:pPr>
            <w:r w:rsidRPr="007C51D6">
              <w:rPr>
                <w:rFonts w:eastAsia="Arial"/>
                <w:sz w:val="20"/>
                <w:szCs w:val="22"/>
              </w:rPr>
              <w:t>24,77</w:t>
            </w:r>
          </w:p>
        </w:tc>
        <w:tc>
          <w:tcPr>
            <w:tcW w:w="1020" w:type="dxa"/>
          </w:tcPr>
          <w:p w:rsidR="00D83A47" w:rsidRPr="007C51D6" w:rsidRDefault="00D83A47" w:rsidP="00D83A47">
            <w:pPr>
              <w:autoSpaceDE/>
              <w:autoSpaceDN/>
              <w:adjustRightInd/>
              <w:jc w:val="center"/>
              <w:rPr>
                <w:rFonts w:eastAsia="Arial"/>
                <w:sz w:val="20"/>
                <w:szCs w:val="22"/>
              </w:rPr>
            </w:pPr>
            <w:r w:rsidRPr="007C51D6">
              <w:rPr>
                <w:rFonts w:eastAsia="Arial"/>
                <w:sz w:val="20"/>
                <w:szCs w:val="22"/>
              </w:rPr>
              <w:t>32,17</w:t>
            </w:r>
          </w:p>
        </w:tc>
        <w:tc>
          <w:tcPr>
            <w:tcW w:w="1071" w:type="dxa"/>
          </w:tcPr>
          <w:p w:rsidR="00D83A47" w:rsidRPr="007C51D6" w:rsidRDefault="00D83A47" w:rsidP="00D83A47">
            <w:pPr>
              <w:jc w:val="center"/>
              <w:rPr>
                <w:color w:val="000000"/>
                <w:sz w:val="20"/>
                <w:szCs w:val="20"/>
              </w:rPr>
            </w:pPr>
            <w:r w:rsidRPr="007C51D6">
              <w:rPr>
                <w:color w:val="000000"/>
                <w:sz w:val="20"/>
                <w:szCs w:val="20"/>
              </w:rPr>
              <w:t>30,87</w:t>
            </w:r>
          </w:p>
        </w:tc>
        <w:tc>
          <w:tcPr>
            <w:tcW w:w="1120" w:type="dxa"/>
          </w:tcPr>
          <w:p w:rsidR="00D83A47" w:rsidRPr="007C51D6" w:rsidRDefault="00D83A47" w:rsidP="00D83A47">
            <w:pPr>
              <w:jc w:val="center"/>
              <w:rPr>
                <w:color w:val="000000"/>
                <w:sz w:val="20"/>
                <w:szCs w:val="20"/>
              </w:rPr>
            </w:pPr>
            <w:r w:rsidRPr="007C51D6">
              <w:rPr>
                <w:color w:val="000000"/>
                <w:sz w:val="20"/>
                <w:szCs w:val="20"/>
              </w:rPr>
              <w:t>32,27</w:t>
            </w:r>
          </w:p>
        </w:tc>
        <w:tc>
          <w:tcPr>
            <w:tcW w:w="995" w:type="dxa"/>
          </w:tcPr>
          <w:p w:rsidR="00D83A47" w:rsidRPr="007C51D6" w:rsidRDefault="00D83A47" w:rsidP="00D83A47">
            <w:pPr>
              <w:jc w:val="center"/>
              <w:rPr>
                <w:color w:val="000000"/>
                <w:sz w:val="20"/>
                <w:szCs w:val="20"/>
              </w:rPr>
            </w:pPr>
            <w:r w:rsidRPr="007C51D6">
              <w:rPr>
                <w:color w:val="000000"/>
                <w:sz w:val="20"/>
                <w:szCs w:val="20"/>
              </w:rPr>
              <w:t>34,36</w:t>
            </w:r>
          </w:p>
        </w:tc>
        <w:tc>
          <w:tcPr>
            <w:tcW w:w="1549" w:type="dxa"/>
            <w:gridSpan w:val="2"/>
          </w:tcPr>
          <w:p w:rsidR="00D83A47" w:rsidRPr="007C51D6" w:rsidRDefault="00D83A47" w:rsidP="00D83A47">
            <w:pPr>
              <w:jc w:val="center"/>
            </w:pPr>
            <w:r w:rsidRPr="007C51D6">
              <w:rPr>
                <w:color w:val="000000"/>
                <w:sz w:val="20"/>
                <w:szCs w:val="20"/>
              </w:rPr>
              <w:t>нет данных</w:t>
            </w:r>
          </w:p>
        </w:tc>
      </w:tr>
      <w:tr w:rsidR="00D83A47" w:rsidRPr="007C51D6" w:rsidTr="00360A0B">
        <w:tblPrEx>
          <w:tblBorders>
            <w:bottom w:val="single" w:sz="4" w:space="0" w:color="auto"/>
          </w:tblBorders>
          <w:tblCellMar>
            <w:top w:w="0" w:type="dxa"/>
            <w:bottom w:w="0" w:type="dxa"/>
          </w:tblCellMar>
        </w:tblPrEx>
        <w:trPr>
          <w:gridAfter w:val="1"/>
          <w:wAfter w:w="13" w:type="dxa"/>
          <w:trHeight w:val="20"/>
        </w:trPr>
        <w:tc>
          <w:tcPr>
            <w:tcW w:w="4372" w:type="dxa"/>
            <w:shd w:val="clear" w:color="auto" w:fill="auto"/>
          </w:tcPr>
          <w:p w:rsidR="00D83A47" w:rsidRPr="007C51D6" w:rsidRDefault="00D83A47" w:rsidP="00D83A47">
            <w:pPr>
              <w:autoSpaceDE/>
              <w:autoSpaceDN/>
              <w:adjustRightInd/>
              <w:jc w:val="both"/>
              <w:rPr>
                <w:rFonts w:eastAsia="Arial"/>
                <w:sz w:val="20"/>
                <w:szCs w:val="22"/>
              </w:rPr>
            </w:pPr>
            <w:r w:rsidRPr="007C51D6">
              <w:rPr>
                <w:rFonts w:eastAsia="Arial"/>
                <w:sz w:val="20"/>
                <w:szCs w:val="22"/>
              </w:rPr>
              <w:t>лимфатической и кроветворной ткани</w:t>
            </w:r>
          </w:p>
        </w:tc>
        <w:tc>
          <w:tcPr>
            <w:tcW w:w="997" w:type="dxa"/>
            <w:gridSpan w:val="2"/>
            <w:shd w:val="clear" w:color="auto" w:fill="auto"/>
          </w:tcPr>
          <w:p w:rsidR="00D83A47" w:rsidRPr="007C51D6" w:rsidRDefault="00D83A47" w:rsidP="00D83A47">
            <w:pPr>
              <w:autoSpaceDE/>
              <w:autoSpaceDN/>
              <w:adjustRightInd/>
              <w:jc w:val="center"/>
              <w:rPr>
                <w:rFonts w:eastAsia="Arial"/>
                <w:sz w:val="20"/>
                <w:szCs w:val="22"/>
              </w:rPr>
            </w:pPr>
            <w:r w:rsidRPr="007C51D6">
              <w:rPr>
                <w:rFonts w:eastAsia="Arial"/>
                <w:sz w:val="20"/>
                <w:szCs w:val="22"/>
              </w:rPr>
              <w:t>20,57</w:t>
            </w:r>
          </w:p>
        </w:tc>
        <w:tc>
          <w:tcPr>
            <w:tcW w:w="971" w:type="dxa"/>
            <w:shd w:val="clear" w:color="auto" w:fill="auto"/>
          </w:tcPr>
          <w:p w:rsidR="00D83A47" w:rsidRPr="007C51D6" w:rsidRDefault="00D83A47" w:rsidP="00D83A47">
            <w:pPr>
              <w:autoSpaceDE/>
              <w:autoSpaceDN/>
              <w:adjustRightInd/>
              <w:jc w:val="center"/>
              <w:rPr>
                <w:rFonts w:eastAsia="Arial"/>
                <w:sz w:val="20"/>
                <w:szCs w:val="22"/>
              </w:rPr>
            </w:pPr>
            <w:r w:rsidRPr="007C51D6">
              <w:rPr>
                <w:rFonts w:eastAsia="Arial"/>
                <w:sz w:val="20"/>
                <w:szCs w:val="22"/>
              </w:rPr>
              <w:t>19,49</w:t>
            </w:r>
          </w:p>
        </w:tc>
        <w:tc>
          <w:tcPr>
            <w:tcW w:w="1036" w:type="dxa"/>
            <w:shd w:val="clear" w:color="auto" w:fill="auto"/>
          </w:tcPr>
          <w:p w:rsidR="00D83A47" w:rsidRPr="007C51D6" w:rsidRDefault="00D83A47" w:rsidP="00D83A47">
            <w:pPr>
              <w:autoSpaceDE/>
              <w:autoSpaceDN/>
              <w:adjustRightInd/>
              <w:jc w:val="center"/>
              <w:rPr>
                <w:rFonts w:eastAsia="Arial"/>
                <w:sz w:val="20"/>
                <w:szCs w:val="22"/>
              </w:rPr>
            </w:pPr>
            <w:r w:rsidRPr="007C51D6">
              <w:rPr>
                <w:rFonts w:eastAsia="Arial"/>
                <w:sz w:val="20"/>
                <w:szCs w:val="22"/>
              </w:rPr>
              <w:t>18,39</w:t>
            </w:r>
          </w:p>
        </w:tc>
        <w:tc>
          <w:tcPr>
            <w:tcW w:w="1052" w:type="dxa"/>
            <w:gridSpan w:val="2"/>
            <w:shd w:val="clear" w:color="auto" w:fill="auto"/>
          </w:tcPr>
          <w:p w:rsidR="00D83A47" w:rsidRPr="007C51D6" w:rsidRDefault="00D83A47" w:rsidP="00D83A47">
            <w:pPr>
              <w:autoSpaceDE/>
              <w:autoSpaceDN/>
              <w:adjustRightInd/>
              <w:jc w:val="center"/>
              <w:rPr>
                <w:rFonts w:eastAsia="Arial"/>
                <w:sz w:val="20"/>
                <w:szCs w:val="22"/>
              </w:rPr>
            </w:pPr>
            <w:r w:rsidRPr="007C51D6">
              <w:rPr>
                <w:rFonts w:eastAsia="Arial"/>
                <w:sz w:val="20"/>
                <w:szCs w:val="22"/>
              </w:rPr>
              <w:t>27,55</w:t>
            </w:r>
          </w:p>
        </w:tc>
        <w:tc>
          <w:tcPr>
            <w:tcW w:w="969" w:type="dxa"/>
            <w:shd w:val="clear" w:color="auto" w:fill="auto"/>
          </w:tcPr>
          <w:p w:rsidR="00D83A47" w:rsidRPr="007C51D6" w:rsidRDefault="00D83A47" w:rsidP="00D83A47">
            <w:pPr>
              <w:autoSpaceDE/>
              <w:autoSpaceDN/>
              <w:adjustRightInd/>
              <w:jc w:val="center"/>
              <w:rPr>
                <w:rFonts w:eastAsia="Arial"/>
                <w:sz w:val="20"/>
                <w:szCs w:val="22"/>
              </w:rPr>
            </w:pPr>
            <w:r w:rsidRPr="007C51D6">
              <w:rPr>
                <w:rFonts w:eastAsia="Arial"/>
                <w:sz w:val="20"/>
                <w:szCs w:val="22"/>
              </w:rPr>
              <w:t>21,84</w:t>
            </w:r>
          </w:p>
        </w:tc>
        <w:tc>
          <w:tcPr>
            <w:tcW w:w="1020" w:type="dxa"/>
          </w:tcPr>
          <w:p w:rsidR="00D83A47" w:rsidRPr="007C51D6" w:rsidRDefault="00D83A47" w:rsidP="00D83A47">
            <w:pPr>
              <w:autoSpaceDE/>
              <w:autoSpaceDN/>
              <w:adjustRightInd/>
              <w:jc w:val="center"/>
              <w:rPr>
                <w:rFonts w:eastAsia="Arial"/>
                <w:sz w:val="20"/>
                <w:szCs w:val="22"/>
              </w:rPr>
            </w:pPr>
            <w:r w:rsidRPr="007C51D6">
              <w:rPr>
                <w:rFonts w:eastAsia="Arial"/>
                <w:sz w:val="20"/>
                <w:szCs w:val="22"/>
              </w:rPr>
              <w:t>20,85</w:t>
            </w:r>
          </w:p>
        </w:tc>
        <w:tc>
          <w:tcPr>
            <w:tcW w:w="1071" w:type="dxa"/>
          </w:tcPr>
          <w:p w:rsidR="00D83A47" w:rsidRPr="007C51D6" w:rsidRDefault="00D83A47" w:rsidP="00D83A47">
            <w:pPr>
              <w:jc w:val="center"/>
              <w:rPr>
                <w:color w:val="000000"/>
                <w:sz w:val="20"/>
                <w:szCs w:val="20"/>
              </w:rPr>
            </w:pPr>
            <w:r w:rsidRPr="007C51D6">
              <w:rPr>
                <w:color w:val="000000"/>
                <w:sz w:val="20"/>
                <w:szCs w:val="20"/>
              </w:rPr>
              <w:t>21,40</w:t>
            </w:r>
          </w:p>
        </w:tc>
        <w:tc>
          <w:tcPr>
            <w:tcW w:w="1120" w:type="dxa"/>
          </w:tcPr>
          <w:p w:rsidR="00D83A47" w:rsidRPr="007C51D6" w:rsidRDefault="00D83A47" w:rsidP="00D83A47">
            <w:pPr>
              <w:jc w:val="center"/>
              <w:rPr>
                <w:color w:val="000000"/>
                <w:sz w:val="20"/>
                <w:szCs w:val="20"/>
              </w:rPr>
            </w:pPr>
            <w:r w:rsidRPr="007C51D6">
              <w:rPr>
                <w:color w:val="000000"/>
                <w:sz w:val="20"/>
                <w:szCs w:val="20"/>
              </w:rPr>
              <w:t>22,63</w:t>
            </w:r>
          </w:p>
        </w:tc>
        <w:tc>
          <w:tcPr>
            <w:tcW w:w="995" w:type="dxa"/>
          </w:tcPr>
          <w:p w:rsidR="00D83A47" w:rsidRPr="007C51D6" w:rsidRDefault="00D83A47" w:rsidP="00D83A47">
            <w:pPr>
              <w:jc w:val="center"/>
              <w:rPr>
                <w:color w:val="000000"/>
                <w:sz w:val="20"/>
                <w:szCs w:val="20"/>
              </w:rPr>
            </w:pPr>
            <w:r w:rsidRPr="007C51D6">
              <w:rPr>
                <w:color w:val="000000"/>
                <w:sz w:val="20"/>
                <w:szCs w:val="20"/>
              </w:rPr>
              <w:t>26,20</w:t>
            </w:r>
          </w:p>
        </w:tc>
        <w:tc>
          <w:tcPr>
            <w:tcW w:w="1549" w:type="dxa"/>
            <w:gridSpan w:val="2"/>
          </w:tcPr>
          <w:p w:rsidR="00D83A47" w:rsidRPr="007C51D6" w:rsidRDefault="00D83A47" w:rsidP="00D83A47">
            <w:pPr>
              <w:jc w:val="center"/>
            </w:pPr>
            <w:r w:rsidRPr="007C51D6">
              <w:rPr>
                <w:color w:val="000000"/>
                <w:sz w:val="20"/>
                <w:szCs w:val="20"/>
              </w:rPr>
              <w:t>нет данных</w:t>
            </w:r>
          </w:p>
        </w:tc>
      </w:tr>
      <w:tr w:rsidR="00D83A47" w:rsidRPr="007C51D6" w:rsidTr="00360A0B">
        <w:tblPrEx>
          <w:tblBorders>
            <w:bottom w:val="single" w:sz="4" w:space="0" w:color="auto"/>
          </w:tblBorders>
          <w:tblCellMar>
            <w:top w:w="0" w:type="dxa"/>
            <w:bottom w:w="0" w:type="dxa"/>
          </w:tblCellMar>
        </w:tblPrEx>
        <w:trPr>
          <w:gridAfter w:val="1"/>
          <w:wAfter w:w="13" w:type="dxa"/>
          <w:trHeight w:val="20"/>
        </w:trPr>
        <w:tc>
          <w:tcPr>
            <w:tcW w:w="4372" w:type="dxa"/>
            <w:shd w:val="clear" w:color="auto" w:fill="auto"/>
          </w:tcPr>
          <w:p w:rsidR="00D83A47" w:rsidRPr="007C51D6" w:rsidRDefault="00D83A47" w:rsidP="00D83A47">
            <w:pPr>
              <w:autoSpaceDE/>
              <w:autoSpaceDN/>
              <w:adjustRightInd/>
              <w:jc w:val="both"/>
              <w:rPr>
                <w:rFonts w:eastAsia="Arial"/>
                <w:sz w:val="20"/>
                <w:szCs w:val="22"/>
              </w:rPr>
            </w:pPr>
            <w:r w:rsidRPr="007C51D6">
              <w:rPr>
                <w:rFonts w:eastAsia="Arial"/>
                <w:sz w:val="20"/>
                <w:szCs w:val="22"/>
              </w:rPr>
              <w:t>почки</w:t>
            </w:r>
          </w:p>
        </w:tc>
        <w:tc>
          <w:tcPr>
            <w:tcW w:w="997" w:type="dxa"/>
            <w:gridSpan w:val="2"/>
            <w:shd w:val="clear" w:color="auto" w:fill="auto"/>
          </w:tcPr>
          <w:p w:rsidR="00D83A47" w:rsidRPr="007C51D6" w:rsidRDefault="00D83A47" w:rsidP="00D83A47">
            <w:pPr>
              <w:autoSpaceDE/>
              <w:autoSpaceDN/>
              <w:adjustRightInd/>
              <w:jc w:val="center"/>
              <w:rPr>
                <w:rFonts w:eastAsia="Arial"/>
                <w:sz w:val="20"/>
                <w:szCs w:val="22"/>
              </w:rPr>
            </w:pPr>
            <w:r w:rsidRPr="007C51D6">
              <w:rPr>
                <w:rFonts w:eastAsia="Arial"/>
                <w:sz w:val="20"/>
                <w:szCs w:val="22"/>
              </w:rPr>
              <w:t>18,84</w:t>
            </w:r>
          </w:p>
        </w:tc>
        <w:tc>
          <w:tcPr>
            <w:tcW w:w="971" w:type="dxa"/>
            <w:shd w:val="clear" w:color="auto" w:fill="auto"/>
          </w:tcPr>
          <w:p w:rsidR="00D83A47" w:rsidRPr="007C51D6" w:rsidRDefault="00D83A47" w:rsidP="00D83A47">
            <w:pPr>
              <w:autoSpaceDE/>
              <w:autoSpaceDN/>
              <w:adjustRightInd/>
              <w:jc w:val="center"/>
              <w:rPr>
                <w:rFonts w:eastAsia="Arial"/>
                <w:sz w:val="20"/>
                <w:szCs w:val="22"/>
              </w:rPr>
            </w:pPr>
            <w:r w:rsidRPr="007C51D6">
              <w:rPr>
                <w:rFonts w:eastAsia="Arial"/>
                <w:sz w:val="20"/>
                <w:szCs w:val="22"/>
              </w:rPr>
              <w:t>20,04</w:t>
            </w:r>
          </w:p>
        </w:tc>
        <w:tc>
          <w:tcPr>
            <w:tcW w:w="1036" w:type="dxa"/>
            <w:shd w:val="clear" w:color="auto" w:fill="auto"/>
          </w:tcPr>
          <w:p w:rsidR="00D83A47" w:rsidRPr="007C51D6" w:rsidRDefault="00D83A47" w:rsidP="00D83A47">
            <w:pPr>
              <w:autoSpaceDE/>
              <w:autoSpaceDN/>
              <w:adjustRightInd/>
              <w:jc w:val="center"/>
              <w:rPr>
                <w:rFonts w:eastAsia="Arial"/>
                <w:sz w:val="20"/>
                <w:szCs w:val="22"/>
              </w:rPr>
            </w:pPr>
            <w:r w:rsidRPr="007C51D6">
              <w:rPr>
                <w:rFonts w:eastAsia="Arial"/>
                <w:sz w:val="20"/>
                <w:szCs w:val="22"/>
              </w:rPr>
              <w:t>20,40</w:t>
            </w:r>
          </w:p>
        </w:tc>
        <w:tc>
          <w:tcPr>
            <w:tcW w:w="1052" w:type="dxa"/>
            <w:gridSpan w:val="2"/>
            <w:shd w:val="clear" w:color="auto" w:fill="auto"/>
          </w:tcPr>
          <w:p w:rsidR="00D83A47" w:rsidRPr="007C51D6" w:rsidRDefault="00D83A47" w:rsidP="00D83A47">
            <w:pPr>
              <w:autoSpaceDE/>
              <w:autoSpaceDN/>
              <w:adjustRightInd/>
              <w:jc w:val="center"/>
              <w:rPr>
                <w:rFonts w:eastAsia="Arial"/>
                <w:sz w:val="20"/>
                <w:szCs w:val="22"/>
              </w:rPr>
            </w:pPr>
            <w:r w:rsidRPr="007C51D6">
              <w:rPr>
                <w:rFonts w:eastAsia="Arial"/>
                <w:sz w:val="20"/>
                <w:szCs w:val="22"/>
              </w:rPr>
              <w:t>20,19</w:t>
            </w:r>
          </w:p>
        </w:tc>
        <w:tc>
          <w:tcPr>
            <w:tcW w:w="969" w:type="dxa"/>
            <w:shd w:val="clear" w:color="auto" w:fill="auto"/>
          </w:tcPr>
          <w:p w:rsidR="00D83A47" w:rsidRPr="007C51D6" w:rsidRDefault="00D83A47" w:rsidP="00D83A47">
            <w:pPr>
              <w:autoSpaceDE/>
              <w:autoSpaceDN/>
              <w:adjustRightInd/>
              <w:jc w:val="center"/>
              <w:rPr>
                <w:rFonts w:eastAsia="Arial"/>
                <w:sz w:val="20"/>
                <w:szCs w:val="22"/>
              </w:rPr>
            </w:pPr>
            <w:r w:rsidRPr="007C51D6">
              <w:rPr>
                <w:rFonts w:eastAsia="Arial"/>
                <w:sz w:val="20"/>
                <w:szCs w:val="22"/>
              </w:rPr>
              <w:t>16,26</w:t>
            </w:r>
          </w:p>
        </w:tc>
        <w:tc>
          <w:tcPr>
            <w:tcW w:w="1020" w:type="dxa"/>
          </w:tcPr>
          <w:p w:rsidR="00D83A47" w:rsidRPr="007C51D6" w:rsidRDefault="00D83A47" w:rsidP="00D83A47">
            <w:pPr>
              <w:autoSpaceDE/>
              <w:autoSpaceDN/>
              <w:adjustRightInd/>
              <w:jc w:val="center"/>
              <w:rPr>
                <w:rFonts w:eastAsia="Arial"/>
                <w:sz w:val="20"/>
                <w:szCs w:val="22"/>
              </w:rPr>
            </w:pPr>
            <w:r w:rsidRPr="007C51D6">
              <w:rPr>
                <w:rFonts w:eastAsia="Arial"/>
                <w:sz w:val="20"/>
                <w:szCs w:val="22"/>
              </w:rPr>
              <w:t>20,02</w:t>
            </w:r>
          </w:p>
        </w:tc>
        <w:tc>
          <w:tcPr>
            <w:tcW w:w="1071" w:type="dxa"/>
          </w:tcPr>
          <w:p w:rsidR="00D83A47" w:rsidRPr="007C51D6" w:rsidRDefault="00D83A47" w:rsidP="00D83A47">
            <w:pPr>
              <w:jc w:val="center"/>
              <w:rPr>
                <w:color w:val="000000"/>
                <w:sz w:val="20"/>
                <w:szCs w:val="20"/>
              </w:rPr>
            </w:pPr>
            <w:r w:rsidRPr="007C51D6">
              <w:rPr>
                <w:color w:val="000000"/>
                <w:sz w:val="20"/>
                <w:szCs w:val="20"/>
              </w:rPr>
              <w:t>21,45</w:t>
            </w:r>
          </w:p>
        </w:tc>
        <w:tc>
          <w:tcPr>
            <w:tcW w:w="1120" w:type="dxa"/>
          </w:tcPr>
          <w:p w:rsidR="00D83A47" w:rsidRPr="007C51D6" w:rsidRDefault="00D83A47" w:rsidP="00D83A47">
            <w:pPr>
              <w:jc w:val="center"/>
              <w:rPr>
                <w:color w:val="000000"/>
                <w:sz w:val="20"/>
                <w:szCs w:val="20"/>
              </w:rPr>
            </w:pPr>
            <w:r w:rsidRPr="007C51D6">
              <w:rPr>
                <w:color w:val="000000"/>
                <w:sz w:val="20"/>
                <w:szCs w:val="20"/>
              </w:rPr>
              <w:t>18,57</w:t>
            </w:r>
          </w:p>
        </w:tc>
        <w:tc>
          <w:tcPr>
            <w:tcW w:w="995" w:type="dxa"/>
          </w:tcPr>
          <w:p w:rsidR="00D83A47" w:rsidRPr="007C51D6" w:rsidRDefault="00D83A47" w:rsidP="00D83A47">
            <w:pPr>
              <w:jc w:val="center"/>
              <w:rPr>
                <w:color w:val="000000"/>
                <w:sz w:val="20"/>
                <w:szCs w:val="20"/>
              </w:rPr>
            </w:pPr>
            <w:r w:rsidRPr="007C51D6">
              <w:rPr>
                <w:color w:val="000000"/>
                <w:sz w:val="20"/>
                <w:szCs w:val="20"/>
              </w:rPr>
              <w:t>22,68</w:t>
            </w:r>
          </w:p>
        </w:tc>
        <w:tc>
          <w:tcPr>
            <w:tcW w:w="1549" w:type="dxa"/>
            <w:gridSpan w:val="2"/>
          </w:tcPr>
          <w:p w:rsidR="00D83A47" w:rsidRPr="007C51D6" w:rsidRDefault="00D83A47" w:rsidP="00D83A47">
            <w:pPr>
              <w:jc w:val="center"/>
            </w:pPr>
            <w:r w:rsidRPr="007C51D6">
              <w:rPr>
                <w:color w:val="000000"/>
                <w:sz w:val="20"/>
                <w:szCs w:val="20"/>
              </w:rPr>
              <w:t>нет данных</w:t>
            </w:r>
          </w:p>
        </w:tc>
      </w:tr>
      <w:tr w:rsidR="00D83A47" w:rsidRPr="007C51D6" w:rsidTr="00360A0B">
        <w:tblPrEx>
          <w:tblBorders>
            <w:bottom w:val="single" w:sz="4" w:space="0" w:color="auto"/>
          </w:tblBorders>
          <w:tblCellMar>
            <w:top w:w="0" w:type="dxa"/>
            <w:bottom w:w="0" w:type="dxa"/>
          </w:tblCellMar>
        </w:tblPrEx>
        <w:trPr>
          <w:gridAfter w:val="1"/>
          <w:wAfter w:w="13" w:type="dxa"/>
          <w:trHeight w:val="20"/>
        </w:trPr>
        <w:tc>
          <w:tcPr>
            <w:tcW w:w="4372" w:type="dxa"/>
            <w:shd w:val="clear" w:color="auto" w:fill="auto"/>
          </w:tcPr>
          <w:p w:rsidR="00D83A47" w:rsidRPr="007C51D6" w:rsidRDefault="00D83A47" w:rsidP="00D83A47">
            <w:pPr>
              <w:autoSpaceDE/>
              <w:autoSpaceDN/>
              <w:adjustRightInd/>
              <w:jc w:val="both"/>
              <w:rPr>
                <w:rFonts w:eastAsia="Arial"/>
                <w:sz w:val="20"/>
                <w:szCs w:val="22"/>
              </w:rPr>
            </w:pPr>
            <w:r w:rsidRPr="007C51D6">
              <w:rPr>
                <w:rFonts w:eastAsia="Arial"/>
                <w:sz w:val="20"/>
                <w:szCs w:val="22"/>
              </w:rPr>
              <w:t>мочевого пузыря</w:t>
            </w:r>
          </w:p>
        </w:tc>
        <w:tc>
          <w:tcPr>
            <w:tcW w:w="997" w:type="dxa"/>
            <w:gridSpan w:val="2"/>
            <w:shd w:val="clear" w:color="auto" w:fill="auto"/>
          </w:tcPr>
          <w:p w:rsidR="00D83A47" w:rsidRPr="007C51D6" w:rsidRDefault="00D83A47" w:rsidP="00D83A47">
            <w:pPr>
              <w:autoSpaceDE/>
              <w:autoSpaceDN/>
              <w:adjustRightInd/>
              <w:jc w:val="center"/>
              <w:rPr>
                <w:rFonts w:eastAsia="Arial"/>
                <w:sz w:val="20"/>
                <w:szCs w:val="22"/>
              </w:rPr>
            </w:pPr>
            <w:r w:rsidRPr="007C51D6">
              <w:rPr>
                <w:rFonts w:eastAsia="Arial"/>
                <w:sz w:val="20"/>
                <w:szCs w:val="22"/>
              </w:rPr>
              <w:t>16,33</w:t>
            </w:r>
          </w:p>
        </w:tc>
        <w:tc>
          <w:tcPr>
            <w:tcW w:w="971" w:type="dxa"/>
            <w:shd w:val="clear" w:color="auto" w:fill="auto"/>
          </w:tcPr>
          <w:p w:rsidR="00D83A47" w:rsidRPr="007C51D6" w:rsidRDefault="00D83A47" w:rsidP="00D83A47">
            <w:pPr>
              <w:autoSpaceDE/>
              <w:autoSpaceDN/>
              <w:adjustRightInd/>
              <w:jc w:val="center"/>
              <w:rPr>
                <w:rFonts w:eastAsia="Arial"/>
                <w:sz w:val="20"/>
                <w:szCs w:val="22"/>
              </w:rPr>
            </w:pPr>
            <w:r w:rsidRPr="007C51D6">
              <w:rPr>
                <w:rFonts w:eastAsia="Arial"/>
                <w:sz w:val="20"/>
                <w:szCs w:val="22"/>
              </w:rPr>
              <w:t>15,77</w:t>
            </w:r>
          </w:p>
        </w:tc>
        <w:tc>
          <w:tcPr>
            <w:tcW w:w="1036" w:type="dxa"/>
            <w:shd w:val="clear" w:color="auto" w:fill="auto"/>
          </w:tcPr>
          <w:p w:rsidR="00D83A47" w:rsidRPr="007C51D6" w:rsidRDefault="00D83A47" w:rsidP="00D83A47">
            <w:pPr>
              <w:autoSpaceDE/>
              <w:autoSpaceDN/>
              <w:adjustRightInd/>
              <w:jc w:val="center"/>
              <w:rPr>
                <w:rFonts w:eastAsia="Arial"/>
                <w:sz w:val="20"/>
                <w:szCs w:val="22"/>
              </w:rPr>
            </w:pPr>
            <w:r w:rsidRPr="007C51D6">
              <w:rPr>
                <w:rFonts w:eastAsia="Arial"/>
                <w:sz w:val="20"/>
                <w:szCs w:val="22"/>
              </w:rPr>
              <w:t>17,89</w:t>
            </w:r>
          </w:p>
        </w:tc>
        <w:tc>
          <w:tcPr>
            <w:tcW w:w="1052" w:type="dxa"/>
            <w:gridSpan w:val="2"/>
            <w:shd w:val="clear" w:color="auto" w:fill="auto"/>
          </w:tcPr>
          <w:p w:rsidR="00D83A47" w:rsidRPr="007C51D6" w:rsidRDefault="00D83A47" w:rsidP="00D83A47">
            <w:pPr>
              <w:autoSpaceDE/>
              <w:autoSpaceDN/>
              <w:adjustRightInd/>
              <w:jc w:val="center"/>
              <w:rPr>
                <w:rFonts w:eastAsia="Arial"/>
                <w:sz w:val="20"/>
                <w:szCs w:val="22"/>
              </w:rPr>
            </w:pPr>
            <w:r w:rsidRPr="007C51D6">
              <w:rPr>
                <w:rFonts w:eastAsia="Arial"/>
                <w:sz w:val="20"/>
                <w:szCs w:val="22"/>
              </w:rPr>
              <w:t>15,71</w:t>
            </w:r>
          </w:p>
        </w:tc>
        <w:tc>
          <w:tcPr>
            <w:tcW w:w="969" w:type="dxa"/>
            <w:shd w:val="clear" w:color="auto" w:fill="auto"/>
          </w:tcPr>
          <w:p w:rsidR="00D83A47" w:rsidRPr="007C51D6" w:rsidRDefault="00D83A47" w:rsidP="00D83A47">
            <w:pPr>
              <w:autoSpaceDE/>
              <w:autoSpaceDN/>
              <w:adjustRightInd/>
              <w:jc w:val="center"/>
              <w:rPr>
                <w:rFonts w:eastAsia="Arial"/>
                <w:sz w:val="20"/>
                <w:szCs w:val="22"/>
              </w:rPr>
            </w:pPr>
            <w:r w:rsidRPr="007C51D6">
              <w:rPr>
                <w:rFonts w:eastAsia="Arial"/>
                <w:sz w:val="20"/>
                <w:szCs w:val="22"/>
              </w:rPr>
              <w:t>15,76</w:t>
            </w:r>
          </w:p>
        </w:tc>
        <w:tc>
          <w:tcPr>
            <w:tcW w:w="1020" w:type="dxa"/>
          </w:tcPr>
          <w:p w:rsidR="00D83A47" w:rsidRPr="007C51D6" w:rsidRDefault="00D83A47" w:rsidP="00D83A47">
            <w:pPr>
              <w:autoSpaceDE/>
              <w:autoSpaceDN/>
              <w:adjustRightInd/>
              <w:jc w:val="center"/>
              <w:rPr>
                <w:rFonts w:eastAsia="Arial"/>
                <w:sz w:val="20"/>
                <w:szCs w:val="22"/>
              </w:rPr>
            </w:pPr>
            <w:r w:rsidRPr="007C51D6">
              <w:rPr>
                <w:rFonts w:eastAsia="Arial"/>
                <w:sz w:val="20"/>
                <w:szCs w:val="22"/>
              </w:rPr>
              <w:t>17,30</w:t>
            </w:r>
          </w:p>
        </w:tc>
        <w:tc>
          <w:tcPr>
            <w:tcW w:w="1071" w:type="dxa"/>
          </w:tcPr>
          <w:p w:rsidR="00D83A47" w:rsidRPr="007C51D6" w:rsidRDefault="00D83A47" w:rsidP="00D83A47">
            <w:pPr>
              <w:jc w:val="center"/>
              <w:rPr>
                <w:color w:val="000000"/>
                <w:sz w:val="20"/>
                <w:szCs w:val="20"/>
              </w:rPr>
            </w:pPr>
            <w:r w:rsidRPr="007C51D6">
              <w:rPr>
                <w:color w:val="000000"/>
                <w:sz w:val="20"/>
                <w:szCs w:val="20"/>
              </w:rPr>
              <w:t>18,79</w:t>
            </w:r>
          </w:p>
        </w:tc>
        <w:tc>
          <w:tcPr>
            <w:tcW w:w="1120" w:type="dxa"/>
          </w:tcPr>
          <w:p w:rsidR="00D83A47" w:rsidRPr="007C51D6" w:rsidRDefault="00D83A47" w:rsidP="00D83A47">
            <w:pPr>
              <w:jc w:val="center"/>
              <w:rPr>
                <w:color w:val="000000"/>
                <w:sz w:val="20"/>
                <w:szCs w:val="20"/>
              </w:rPr>
            </w:pPr>
            <w:r w:rsidRPr="007C51D6">
              <w:rPr>
                <w:color w:val="000000"/>
                <w:sz w:val="20"/>
                <w:szCs w:val="20"/>
              </w:rPr>
              <w:t>17,82</w:t>
            </w:r>
          </w:p>
        </w:tc>
        <w:tc>
          <w:tcPr>
            <w:tcW w:w="995" w:type="dxa"/>
          </w:tcPr>
          <w:p w:rsidR="00D83A47" w:rsidRPr="007C51D6" w:rsidRDefault="00D83A47" w:rsidP="00D83A47">
            <w:pPr>
              <w:jc w:val="center"/>
              <w:rPr>
                <w:color w:val="000000"/>
                <w:sz w:val="20"/>
                <w:szCs w:val="20"/>
              </w:rPr>
            </w:pPr>
            <w:r w:rsidRPr="007C51D6">
              <w:rPr>
                <w:color w:val="000000"/>
                <w:sz w:val="20"/>
                <w:szCs w:val="20"/>
              </w:rPr>
              <w:t>17,82</w:t>
            </w:r>
          </w:p>
        </w:tc>
        <w:tc>
          <w:tcPr>
            <w:tcW w:w="1549" w:type="dxa"/>
            <w:gridSpan w:val="2"/>
          </w:tcPr>
          <w:p w:rsidR="00D83A47" w:rsidRPr="007C51D6" w:rsidRDefault="00D83A47" w:rsidP="00D83A47">
            <w:pPr>
              <w:jc w:val="center"/>
            </w:pPr>
            <w:r w:rsidRPr="007C51D6">
              <w:rPr>
                <w:color w:val="000000"/>
                <w:sz w:val="20"/>
                <w:szCs w:val="20"/>
              </w:rPr>
              <w:t>нет данных</w:t>
            </w:r>
          </w:p>
        </w:tc>
      </w:tr>
      <w:tr w:rsidR="00D83A47" w:rsidRPr="007C51D6" w:rsidTr="00360A0B">
        <w:tblPrEx>
          <w:tblBorders>
            <w:bottom w:val="single" w:sz="4" w:space="0" w:color="auto"/>
          </w:tblBorders>
          <w:tblCellMar>
            <w:top w:w="0" w:type="dxa"/>
            <w:bottom w:w="0" w:type="dxa"/>
          </w:tblCellMar>
        </w:tblPrEx>
        <w:trPr>
          <w:gridAfter w:val="1"/>
          <w:wAfter w:w="13" w:type="dxa"/>
          <w:trHeight w:val="20"/>
        </w:trPr>
        <w:tc>
          <w:tcPr>
            <w:tcW w:w="4372" w:type="dxa"/>
            <w:shd w:val="clear" w:color="auto" w:fill="auto"/>
          </w:tcPr>
          <w:p w:rsidR="00D83A47" w:rsidRPr="007C51D6" w:rsidRDefault="00D83A47" w:rsidP="00D83A47">
            <w:pPr>
              <w:autoSpaceDE/>
              <w:autoSpaceDN/>
              <w:adjustRightInd/>
              <w:jc w:val="both"/>
              <w:rPr>
                <w:rFonts w:eastAsia="Arial"/>
                <w:sz w:val="20"/>
                <w:szCs w:val="22"/>
              </w:rPr>
            </w:pPr>
            <w:r w:rsidRPr="007C51D6">
              <w:rPr>
                <w:rFonts w:eastAsia="Arial"/>
                <w:sz w:val="20"/>
                <w:szCs w:val="22"/>
              </w:rPr>
              <w:t>поджелудочной железы</w:t>
            </w:r>
          </w:p>
        </w:tc>
        <w:tc>
          <w:tcPr>
            <w:tcW w:w="997" w:type="dxa"/>
            <w:gridSpan w:val="2"/>
            <w:shd w:val="clear" w:color="auto" w:fill="auto"/>
          </w:tcPr>
          <w:p w:rsidR="00D83A47" w:rsidRPr="007C51D6" w:rsidRDefault="00D83A47" w:rsidP="00D83A47">
            <w:pPr>
              <w:autoSpaceDE/>
              <w:autoSpaceDN/>
              <w:adjustRightInd/>
              <w:jc w:val="center"/>
              <w:rPr>
                <w:rFonts w:eastAsia="Arial"/>
                <w:sz w:val="20"/>
                <w:szCs w:val="22"/>
              </w:rPr>
            </w:pPr>
            <w:r w:rsidRPr="007C51D6">
              <w:rPr>
                <w:rFonts w:eastAsia="Arial"/>
                <w:sz w:val="20"/>
                <w:szCs w:val="22"/>
              </w:rPr>
              <w:t>11,93</w:t>
            </w:r>
          </w:p>
        </w:tc>
        <w:tc>
          <w:tcPr>
            <w:tcW w:w="971" w:type="dxa"/>
            <w:shd w:val="clear" w:color="auto" w:fill="auto"/>
          </w:tcPr>
          <w:p w:rsidR="00D83A47" w:rsidRPr="007C51D6" w:rsidRDefault="00D83A47" w:rsidP="00D83A47">
            <w:pPr>
              <w:autoSpaceDE/>
              <w:autoSpaceDN/>
              <w:adjustRightInd/>
              <w:jc w:val="center"/>
              <w:rPr>
                <w:rFonts w:eastAsia="Arial"/>
                <w:sz w:val="20"/>
                <w:szCs w:val="22"/>
              </w:rPr>
            </w:pPr>
            <w:r w:rsidRPr="007C51D6">
              <w:rPr>
                <w:rFonts w:eastAsia="Arial"/>
                <w:sz w:val="20"/>
                <w:szCs w:val="22"/>
              </w:rPr>
              <w:t>13,55</w:t>
            </w:r>
          </w:p>
        </w:tc>
        <w:tc>
          <w:tcPr>
            <w:tcW w:w="1036" w:type="dxa"/>
            <w:shd w:val="clear" w:color="auto" w:fill="auto"/>
          </w:tcPr>
          <w:p w:rsidR="00D83A47" w:rsidRPr="007C51D6" w:rsidRDefault="00D83A47" w:rsidP="00D83A47">
            <w:pPr>
              <w:autoSpaceDE/>
              <w:autoSpaceDN/>
              <w:adjustRightInd/>
              <w:jc w:val="center"/>
              <w:rPr>
                <w:rFonts w:eastAsia="Arial"/>
                <w:sz w:val="20"/>
                <w:szCs w:val="22"/>
              </w:rPr>
            </w:pPr>
            <w:r w:rsidRPr="007C51D6">
              <w:rPr>
                <w:rFonts w:eastAsia="Arial"/>
                <w:sz w:val="20"/>
                <w:szCs w:val="22"/>
              </w:rPr>
              <w:t>15,23</w:t>
            </w:r>
          </w:p>
        </w:tc>
        <w:tc>
          <w:tcPr>
            <w:tcW w:w="1052" w:type="dxa"/>
            <w:gridSpan w:val="2"/>
            <w:shd w:val="clear" w:color="auto" w:fill="auto"/>
          </w:tcPr>
          <w:p w:rsidR="00D83A47" w:rsidRPr="007C51D6" w:rsidRDefault="00D83A47" w:rsidP="00D83A47">
            <w:pPr>
              <w:autoSpaceDE/>
              <w:autoSpaceDN/>
              <w:adjustRightInd/>
              <w:jc w:val="center"/>
              <w:rPr>
                <w:rFonts w:eastAsia="Arial"/>
                <w:sz w:val="20"/>
                <w:szCs w:val="22"/>
              </w:rPr>
            </w:pPr>
            <w:r w:rsidRPr="007C51D6">
              <w:rPr>
                <w:rFonts w:eastAsia="Arial"/>
                <w:sz w:val="20"/>
                <w:szCs w:val="22"/>
              </w:rPr>
              <w:t>15,21</w:t>
            </w:r>
          </w:p>
        </w:tc>
        <w:tc>
          <w:tcPr>
            <w:tcW w:w="969" w:type="dxa"/>
            <w:shd w:val="clear" w:color="auto" w:fill="auto"/>
          </w:tcPr>
          <w:p w:rsidR="00D83A47" w:rsidRPr="007C51D6" w:rsidRDefault="00D83A47" w:rsidP="00D83A47">
            <w:pPr>
              <w:autoSpaceDE/>
              <w:autoSpaceDN/>
              <w:adjustRightInd/>
              <w:jc w:val="center"/>
              <w:rPr>
                <w:rFonts w:eastAsia="Arial"/>
                <w:sz w:val="20"/>
                <w:szCs w:val="22"/>
              </w:rPr>
            </w:pPr>
            <w:r w:rsidRPr="007C51D6">
              <w:rPr>
                <w:rFonts w:eastAsia="Arial"/>
                <w:sz w:val="20"/>
                <w:szCs w:val="22"/>
              </w:rPr>
              <w:t>13,93</w:t>
            </w:r>
          </w:p>
        </w:tc>
        <w:tc>
          <w:tcPr>
            <w:tcW w:w="1020" w:type="dxa"/>
          </w:tcPr>
          <w:p w:rsidR="00D83A47" w:rsidRPr="007C51D6" w:rsidRDefault="00D83A47" w:rsidP="00D83A47">
            <w:pPr>
              <w:autoSpaceDE/>
              <w:autoSpaceDN/>
              <w:adjustRightInd/>
              <w:jc w:val="center"/>
              <w:rPr>
                <w:rFonts w:eastAsia="Arial"/>
                <w:sz w:val="20"/>
                <w:szCs w:val="22"/>
              </w:rPr>
            </w:pPr>
            <w:r w:rsidRPr="007C51D6">
              <w:rPr>
                <w:rFonts w:eastAsia="Arial"/>
                <w:sz w:val="20"/>
                <w:szCs w:val="22"/>
              </w:rPr>
              <w:t>13,59</w:t>
            </w:r>
          </w:p>
        </w:tc>
        <w:tc>
          <w:tcPr>
            <w:tcW w:w="1071" w:type="dxa"/>
          </w:tcPr>
          <w:p w:rsidR="00D83A47" w:rsidRPr="007C51D6" w:rsidRDefault="00D83A47" w:rsidP="00D83A47">
            <w:pPr>
              <w:jc w:val="center"/>
              <w:rPr>
                <w:color w:val="000000"/>
                <w:sz w:val="20"/>
                <w:szCs w:val="20"/>
              </w:rPr>
            </w:pPr>
            <w:r w:rsidRPr="007C51D6">
              <w:rPr>
                <w:color w:val="000000"/>
                <w:sz w:val="20"/>
                <w:szCs w:val="20"/>
              </w:rPr>
              <w:t>14,13</w:t>
            </w:r>
          </w:p>
        </w:tc>
        <w:tc>
          <w:tcPr>
            <w:tcW w:w="1120" w:type="dxa"/>
          </w:tcPr>
          <w:p w:rsidR="00D83A47" w:rsidRPr="007C51D6" w:rsidRDefault="00D83A47" w:rsidP="00D83A47">
            <w:pPr>
              <w:jc w:val="center"/>
              <w:rPr>
                <w:color w:val="000000"/>
                <w:sz w:val="20"/>
                <w:szCs w:val="20"/>
              </w:rPr>
            </w:pPr>
            <w:r w:rsidRPr="007C51D6">
              <w:rPr>
                <w:color w:val="000000"/>
                <w:sz w:val="20"/>
                <w:szCs w:val="20"/>
              </w:rPr>
              <w:t>13,97</w:t>
            </w:r>
          </w:p>
        </w:tc>
        <w:tc>
          <w:tcPr>
            <w:tcW w:w="995" w:type="dxa"/>
          </w:tcPr>
          <w:p w:rsidR="00D83A47" w:rsidRPr="007C51D6" w:rsidRDefault="00D83A47" w:rsidP="00D83A47">
            <w:pPr>
              <w:jc w:val="center"/>
              <w:rPr>
                <w:color w:val="000000"/>
                <w:sz w:val="20"/>
                <w:szCs w:val="20"/>
              </w:rPr>
            </w:pPr>
            <w:r w:rsidRPr="007C51D6">
              <w:rPr>
                <w:color w:val="000000"/>
                <w:sz w:val="20"/>
                <w:szCs w:val="20"/>
              </w:rPr>
              <w:t>15,10</w:t>
            </w:r>
          </w:p>
        </w:tc>
        <w:tc>
          <w:tcPr>
            <w:tcW w:w="1549" w:type="dxa"/>
            <w:gridSpan w:val="2"/>
          </w:tcPr>
          <w:p w:rsidR="00D83A47" w:rsidRPr="007C51D6" w:rsidRDefault="00D83A47" w:rsidP="00D83A47">
            <w:pPr>
              <w:jc w:val="center"/>
            </w:pPr>
            <w:r w:rsidRPr="007C51D6">
              <w:rPr>
                <w:color w:val="000000"/>
                <w:sz w:val="20"/>
                <w:szCs w:val="20"/>
              </w:rPr>
              <w:t>нет данных</w:t>
            </w:r>
          </w:p>
        </w:tc>
      </w:tr>
      <w:tr w:rsidR="00D83A47" w:rsidRPr="007C51D6" w:rsidTr="00360A0B">
        <w:tblPrEx>
          <w:tblBorders>
            <w:bottom w:val="single" w:sz="4" w:space="0" w:color="auto"/>
          </w:tblBorders>
          <w:tblCellMar>
            <w:top w:w="0" w:type="dxa"/>
            <w:bottom w:w="0" w:type="dxa"/>
          </w:tblCellMar>
        </w:tblPrEx>
        <w:trPr>
          <w:gridAfter w:val="2"/>
          <w:wAfter w:w="31" w:type="dxa"/>
          <w:trHeight w:val="20"/>
        </w:trPr>
        <w:tc>
          <w:tcPr>
            <w:tcW w:w="15134" w:type="dxa"/>
            <w:gridSpan w:val="13"/>
            <w:shd w:val="clear" w:color="auto" w:fill="auto"/>
          </w:tcPr>
          <w:p w:rsidR="00D83A47" w:rsidRPr="007C51D6" w:rsidRDefault="00D83A47" w:rsidP="00D83A47">
            <w:pPr>
              <w:jc w:val="center"/>
              <w:rPr>
                <w:rFonts w:eastAsia="Arial"/>
                <w:sz w:val="20"/>
                <w:szCs w:val="22"/>
              </w:rPr>
            </w:pPr>
            <w:r w:rsidRPr="007C51D6">
              <w:rPr>
                <w:rFonts w:eastAsia="Arial"/>
                <w:sz w:val="20"/>
                <w:szCs w:val="22"/>
              </w:rPr>
              <w:t>Женщины</w:t>
            </w:r>
          </w:p>
        </w:tc>
      </w:tr>
      <w:tr w:rsidR="00D83A47" w:rsidRPr="007C51D6" w:rsidTr="00177819">
        <w:tblPrEx>
          <w:tblBorders>
            <w:bottom w:val="single" w:sz="4" w:space="0" w:color="auto"/>
          </w:tblBorders>
          <w:tblCellMar>
            <w:top w:w="0" w:type="dxa"/>
            <w:bottom w:w="0" w:type="dxa"/>
          </w:tblCellMar>
        </w:tblPrEx>
        <w:trPr>
          <w:trHeight w:val="20"/>
        </w:trPr>
        <w:tc>
          <w:tcPr>
            <w:tcW w:w="4372" w:type="dxa"/>
            <w:shd w:val="clear" w:color="auto" w:fill="auto"/>
          </w:tcPr>
          <w:p w:rsidR="00D83A47" w:rsidRPr="007C51D6" w:rsidRDefault="00D83A47" w:rsidP="00D83A47">
            <w:pPr>
              <w:autoSpaceDE/>
              <w:autoSpaceDN/>
              <w:adjustRightInd/>
              <w:jc w:val="both"/>
              <w:rPr>
                <w:rFonts w:eastAsia="Arial"/>
                <w:sz w:val="20"/>
                <w:szCs w:val="22"/>
              </w:rPr>
            </w:pPr>
            <w:r w:rsidRPr="007C51D6">
              <w:rPr>
                <w:rFonts w:eastAsia="Arial"/>
                <w:sz w:val="20"/>
                <w:szCs w:val="22"/>
              </w:rPr>
              <w:t>Всего, в том числе:</w:t>
            </w:r>
          </w:p>
        </w:tc>
        <w:tc>
          <w:tcPr>
            <w:tcW w:w="997" w:type="dxa"/>
            <w:gridSpan w:val="2"/>
            <w:shd w:val="clear" w:color="auto" w:fill="auto"/>
          </w:tcPr>
          <w:p w:rsidR="00D83A47" w:rsidRPr="007C51D6" w:rsidRDefault="00D83A47" w:rsidP="00D83A47">
            <w:pPr>
              <w:autoSpaceDE/>
              <w:autoSpaceDN/>
              <w:adjustRightInd/>
              <w:jc w:val="center"/>
              <w:rPr>
                <w:rFonts w:eastAsia="Arial"/>
                <w:sz w:val="20"/>
                <w:szCs w:val="22"/>
              </w:rPr>
            </w:pPr>
            <w:r w:rsidRPr="007C51D6">
              <w:rPr>
                <w:rFonts w:eastAsia="Arial"/>
                <w:sz w:val="20"/>
                <w:szCs w:val="22"/>
              </w:rPr>
              <w:t>384,74</w:t>
            </w:r>
          </w:p>
        </w:tc>
        <w:tc>
          <w:tcPr>
            <w:tcW w:w="971" w:type="dxa"/>
            <w:shd w:val="clear" w:color="auto" w:fill="auto"/>
          </w:tcPr>
          <w:p w:rsidR="00D83A47" w:rsidRPr="007C51D6" w:rsidRDefault="00D83A47" w:rsidP="00D83A47">
            <w:pPr>
              <w:autoSpaceDE/>
              <w:autoSpaceDN/>
              <w:adjustRightInd/>
              <w:jc w:val="center"/>
              <w:rPr>
                <w:rFonts w:eastAsia="Arial"/>
                <w:sz w:val="20"/>
                <w:szCs w:val="22"/>
              </w:rPr>
            </w:pPr>
            <w:r w:rsidRPr="007C51D6">
              <w:rPr>
                <w:rFonts w:eastAsia="Arial"/>
                <w:sz w:val="20"/>
                <w:szCs w:val="22"/>
              </w:rPr>
              <w:t>398,39</w:t>
            </w:r>
          </w:p>
        </w:tc>
        <w:tc>
          <w:tcPr>
            <w:tcW w:w="1042" w:type="dxa"/>
            <w:gridSpan w:val="2"/>
            <w:shd w:val="clear" w:color="auto" w:fill="auto"/>
          </w:tcPr>
          <w:p w:rsidR="00D83A47" w:rsidRPr="007C51D6" w:rsidRDefault="00D83A47" w:rsidP="00D83A47">
            <w:pPr>
              <w:autoSpaceDE/>
              <w:autoSpaceDN/>
              <w:adjustRightInd/>
              <w:jc w:val="center"/>
              <w:rPr>
                <w:rFonts w:eastAsia="Arial"/>
                <w:sz w:val="20"/>
                <w:szCs w:val="22"/>
              </w:rPr>
            </w:pPr>
            <w:r w:rsidRPr="007C51D6">
              <w:rPr>
                <w:rFonts w:eastAsia="Arial"/>
                <w:sz w:val="20"/>
                <w:szCs w:val="22"/>
              </w:rPr>
              <w:t>410,91</w:t>
            </w:r>
          </w:p>
        </w:tc>
        <w:tc>
          <w:tcPr>
            <w:tcW w:w="1046" w:type="dxa"/>
            <w:shd w:val="clear" w:color="auto" w:fill="auto"/>
          </w:tcPr>
          <w:p w:rsidR="00D83A47" w:rsidRPr="007C51D6" w:rsidRDefault="00D83A47" w:rsidP="00D83A47">
            <w:pPr>
              <w:autoSpaceDE/>
              <w:autoSpaceDN/>
              <w:adjustRightInd/>
              <w:jc w:val="center"/>
              <w:rPr>
                <w:rFonts w:eastAsia="Arial"/>
                <w:sz w:val="20"/>
                <w:szCs w:val="22"/>
              </w:rPr>
            </w:pPr>
            <w:r w:rsidRPr="007C51D6">
              <w:rPr>
                <w:rFonts w:eastAsia="Arial"/>
                <w:sz w:val="20"/>
                <w:szCs w:val="22"/>
              </w:rPr>
              <w:t>427,16</w:t>
            </w:r>
          </w:p>
        </w:tc>
        <w:tc>
          <w:tcPr>
            <w:tcW w:w="969" w:type="dxa"/>
            <w:shd w:val="clear" w:color="auto" w:fill="auto"/>
          </w:tcPr>
          <w:p w:rsidR="00D83A47" w:rsidRPr="007C51D6" w:rsidRDefault="00D83A47" w:rsidP="00D83A47">
            <w:pPr>
              <w:autoSpaceDE/>
              <w:autoSpaceDN/>
              <w:adjustRightInd/>
              <w:jc w:val="center"/>
              <w:rPr>
                <w:rFonts w:eastAsia="Arial"/>
                <w:sz w:val="20"/>
                <w:szCs w:val="22"/>
              </w:rPr>
            </w:pPr>
            <w:r w:rsidRPr="007C51D6">
              <w:rPr>
                <w:rFonts w:eastAsia="Arial"/>
                <w:sz w:val="20"/>
                <w:szCs w:val="22"/>
              </w:rPr>
              <w:t>371,88</w:t>
            </w:r>
          </w:p>
        </w:tc>
        <w:tc>
          <w:tcPr>
            <w:tcW w:w="1020" w:type="dxa"/>
          </w:tcPr>
          <w:p w:rsidR="00D83A47" w:rsidRPr="007C51D6" w:rsidRDefault="00D83A47" w:rsidP="00D83A47">
            <w:pPr>
              <w:autoSpaceDE/>
              <w:autoSpaceDN/>
              <w:adjustRightInd/>
              <w:jc w:val="center"/>
              <w:rPr>
                <w:rFonts w:eastAsia="Arial"/>
                <w:sz w:val="20"/>
                <w:szCs w:val="22"/>
              </w:rPr>
            </w:pPr>
            <w:r w:rsidRPr="007C51D6">
              <w:rPr>
                <w:rFonts w:eastAsia="Arial"/>
                <w:sz w:val="20"/>
                <w:szCs w:val="22"/>
              </w:rPr>
              <w:t>440,02</w:t>
            </w:r>
          </w:p>
        </w:tc>
        <w:tc>
          <w:tcPr>
            <w:tcW w:w="1071" w:type="dxa"/>
          </w:tcPr>
          <w:p w:rsidR="00D83A47" w:rsidRPr="007C51D6" w:rsidRDefault="00D83A47" w:rsidP="00D83A47">
            <w:pPr>
              <w:autoSpaceDE/>
              <w:autoSpaceDN/>
              <w:adjustRightInd/>
              <w:jc w:val="center"/>
              <w:rPr>
                <w:color w:val="000000"/>
                <w:sz w:val="20"/>
                <w:szCs w:val="20"/>
              </w:rPr>
            </w:pPr>
            <w:r w:rsidRPr="007C51D6">
              <w:rPr>
                <w:color w:val="000000"/>
                <w:sz w:val="20"/>
                <w:szCs w:val="20"/>
              </w:rPr>
              <w:t>438,53</w:t>
            </w:r>
          </w:p>
        </w:tc>
        <w:tc>
          <w:tcPr>
            <w:tcW w:w="1120" w:type="dxa"/>
          </w:tcPr>
          <w:p w:rsidR="00D83A47" w:rsidRPr="007C51D6" w:rsidRDefault="00D83A47" w:rsidP="00D83A47">
            <w:pPr>
              <w:autoSpaceDE/>
              <w:autoSpaceDN/>
              <w:adjustRightInd/>
              <w:jc w:val="center"/>
              <w:rPr>
                <w:color w:val="000000"/>
                <w:sz w:val="20"/>
                <w:szCs w:val="20"/>
              </w:rPr>
            </w:pPr>
            <w:r w:rsidRPr="007C51D6">
              <w:rPr>
                <w:color w:val="000000"/>
                <w:sz w:val="20"/>
                <w:szCs w:val="20"/>
              </w:rPr>
              <w:t>462,34</w:t>
            </w:r>
          </w:p>
        </w:tc>
        <w:tc>
          <w:tcPr>
            <w:tcW w:w="995" w:type="dxa"/>
          </w:tcPr>
          <w:p w:rsidR="00D83A47" w:rsidRPr="007C51D6" w:rsidRDefault="00D83A47" w:rsidP="00D83A47">
            <w:pPr>
              <w:jc w:val="center"/>
              <w:rPr>
                <w:color w:val="000000"/>
                <w:sz w:val="20"/>
                <w:szCs w:val="20"/>
              </w:rPr>
            </w:pPr>
            <w:r w:rsidRPr="007C51D6">
              <w:rPr>
                <w:color w:val="000000"/>
                <w:sz w:val="20"/>
                <w:szCs w:val="20"/>
              </w:rPr>
              <w:t>490,30</w:t>
            </w:r>
          </w:p>
        </w:tc>
        <w:tc>
          <w:tcPr>
            <w:tcW w:w="1562" w:type="dxa"/>
            <w:gridSpan w:val="3"/>
          </w:tcPr>
          <w:p w:rsidR="00D83A47" w:rsidRPr="007C51D6" w:rsidRDefault="00D83A47" w:rsidP="00D83A47">
            <w:pPr>
              <w:jc w:val="center"/>
            </w:pPr>
            <w:r w:rsidRPr="007C51D6">
              <w:rPr>
                <w:color w:val="000000"/>
                <w:sz w:val="20"/>
                <w:szCs w:val="20"/>
              </w:rPr>
              <w:t>нет данных</w:t>
            </w:r>
          </w:p>
        </w:tc>
      </w:tr>
      <w:tr w:rsidR="00D83A47" w:rsidRPr="007C51D6" w:rsidTr="00177819">
        <w:tblPrEx>
          <w:tblBorders>
            <w:bottom w:val="single" w:sz="4" w:space="0" w:color="auto"/>
          </w:tblBorders>
          <w:tblCellMar>
            <w:top w:w="0" w:type="dxa"/>
            <w:bottom w:w="0" w:type="dxa"/>
          </w:tblCellMar>
        </w:tblPrEx>
        <w:trPr>
          <w:trHeight w:val="20"/>
        </w:trPr>
        <w:tc>
          <w:tcPr>
            <w:tcW w:w="4372" w:type="dxa"/>
            <w:shd w:val="clear" w:color="auto" w:fill="auto"/>
          </w:tcPr>
          <w:p w:rsidR="00D83A47" w:rsidRPr="007C51D6" w:rsidRDefault="00D83A47" w:rsidP="00D83A47">
            <w:pPr>
              <w:autoSpaceDE/>
              <w:autoSpaceDN/>
              <w:adjustRightInd/>
              <w:jc w:val="both"/>
              <w:rPr>
                <w:rFonts w:eastAsia="Arial"/>
                <w:sz w:val="20"/>
                <w:szCs w:val="22"/>
              </w:rPr>
            </w:pPr>
            <w:r w:rsidRPr="007C51D6">
              <w:rPr>
                <w:rFonts w:eastAsia="Arial"/>
                <w:sz w:val="20"/>
                <w:szCs w:val="22"/>
              </w:rPr>
              <w:t>молочной железы</w:t>
            </w:r>
          </w:p>
        </w:tc>
        <w:tc>
          <w:tcPr>
            <w:tcW w:w="997" w:type="dxa"/>
            <w:gridSpan w:val="2"/>
            <w:shd w:val="clear" w:color="auto" w:fill="auto"/>
          </w:tcPr>
          <w:p w:rsidR="00D83A47" w:rsidRPr="007C51D6" w:rsidRDefault="00D83A47" w:rsidP="00D83A47">
            <w:pPr>
              <w:autoSpaceDE/>
              <w:autoSpaceDN/>
              <w:adjustRightInd/>
              <w:jc w:val="center"/>
              <w:rPr>
                <w:rFonts w:eastAsia="Arial"/>
                <w:sz w:val="20"/>
                <w:szCs w:val="22"/>
              </w:rPr>
            </w:pPr>
            <w:r w:rsidRPr="007C51D6">
              <w:rPr>
                <w:rFonts w:eastAsia="Arial"/>
                <w:sz w:val="20"/>
                <w:szCs w:val="22"/>
              </w:rPr>
              <w:t>76,72</w:t>
            </w:r>
          </w:p>
        </w:tc>
        <w:tc>
          <w:tcPr>
            <w:tcW w:w="971" w:type="dxa"/>
            <w:shd w:val="clear" w:color="auto" w:fill="auto"/>
          </w:tcPr>
          <w:p w:rsidR="00D83A47" w:rsidRPr="007C51D6" w:rsidRDefault="00D83A47" w:rsidP="00D83A47">
            <w:pPr>
              <w:autoSpaceDE/>
              <w:autoSpaceDN/>
              <w:adjustRightInd/>
              <w:jc w:val="center"/>
              <w:rPr>
                <w:rFonts w:eastAsia="Arial"/>
                <w:sz w:val="20"/>
                <w:szCs w:val="22"/>
              </w:rPr>
            </w:pPr>
            <w:r w:rsidRPr="007C51D6">
              <w:rPr>
                <w:rFonts w:eastAsia="Arial"/>
                <w:sz w:val="20"/>
                <w:szCs w:val="22"/>
              </w:rPr>
              <w:t>82,16</w:t>
            </w:r>
          </w:p>
        </w:tc>
        <w:tc>
          <w:tcPr>
            <w:tcW w:w="1042" w:type="dxa"/>
            <w:gridSpan w:val="2"/>
            <w:shd w:val="clear" w:color="auto" w:fill="auto"/>
          </w:tcPr>
          <w:p w:rsidR="00D83A47" w:rsidRPr="007C51D6" w:rsidRDefault="00D83A47" w:rsidP="00D83A47">
            <w:pPr>
              <w:autoSpaceDE/>
              <w:autoSpaceDN/>
              <w:adjustRightInd/>
              <w:jc w:val="center"/>
              <w:rPr>
                <w:rFonts w:eastAsia="Arial"/>
                <w:sz w:val="20"/>
                <w:szCs w:val="22"/>
              </w:rPr>
            </w:pPr>
            <w:r w:rsidRPr="007C51D6">
              <w:rPr>
                <w:rFonts w:eastAsia="Arial"/>
                <w:sz w:val="20"/>
                <w:szCs w:val="22"/>
              </w:rPr>
              <w:t>83,49</w:t>
            </w:r>
          </w:p>
        </w:tc>
        <w:tc>
          <w:tcPr>
            <w:tcW w:w="1046" w:type="dxa"/>
            <w:shd w:val="clear" w:color="auto" w:fill="auto"/>
          </w:tcPr>
          <w:p w:rsidR="00D83A47" w:rsidRPr="007C51D6" w:rsidRDefault="00D83A47" w:rsidP="00D83A47">
            <w:pPr>
              <w:autoSpaceDE/>
              <w:autoSpaceDN/>
              <w:adjustRightInd/>
              <w:jc w:val="center"/>
              <w:rPr>
                <w:rFonts w:eastAsia="Arial"/>
                <w:sz w:val="20"/>
                <w:szCs w:val="22"/>
              </w:rPr>
            </w:pPr>
            <w:r w:rsidRPr="007C51D6">
              <w:rPr>
                <w:rFonts w:eastAsia="Arial"/>
                <w:sz w:val="20"/>
                <w:szCs w:val="22"/>
              </w:rPr>
              <w:t>90,15</w:t>
            </w:r>
          </w:p>
        </w:tc>
        <w:tc>
          <w:tcPr>
            <w:tcW w:w="969" w:type="dxa"/>
            <w:shd w:val="clear" w:color="auto" w:fill="auto"/>
          </w:tcPr>
          <w:p w:rsidR="00D83A47" w:rsidRPr="007C51D6" w:rsidRDefault="00D83A47" w:rsidP="00D83A47">
            <w:pPr>
              <w:autoSpaceDE/>
              <w:autoSpaceDN/>
              <w:adjustRightInd/>
              <w:jc w:val="center"/>
              <w:rPr>
                <w:rFonts w:eastAsia="Arial"/>
                <w:sz w:val="20"/>
                <w:szCs w:val="22"/>
              </w:rPr>
            </w:pPr>
            <w:r w:rsidRPr="007C51D6">
              <w:rPr>
                <w:rFonts w:eastAsia="Arial"/>
                <w:sz w:val="20"/>
                <w:szCs w:val="22"/>
              </w:rPr>
              <w:t>80,84</w:t>
            </w:r>
          </w:p>
        </w:tc>
        <w:tc>
          <w:tcPr>
            <w:tcW w:w="1020" w:type="dxa"/>
          </w:tcPr>
          <w:p w:rsidR="00D83A47" w:rsidRPr="007C51D6" w:rsidRDefault="00D83A47" w:rsidP="00D83A47">
            <w:pPr>
              <w:autoSpaceDE/>
              <w:autoSpaceDN/>
              <w:adjustRightInd/>
              <w:jc w:val="center"/>
              <w:rPr>
                <w:rFonts w:eastAsia="Arial"/>
                <w:sz w:val="20"/>
                <w:szCs w:val="22"/>
              </w:rPr>
            </w:pPr>
            <w:r w:rsidRPr="007C51D6">
              <w:rPr>
                <w:rFonts w:eastAsia="Arial"/>
                <w:sz w:val="20"/>
                <w:szCs w:val="22"/>
              </w:rPr>
              <w:t>101,43</w:t>
            </w:r>
          </w:p>
        </w:tc>
        <w:tc>
          <w:tcPr>
            <w:tcW w:w="1071" w:type="dxa"/>
          </w:tcPr>
          <w:p w:rsidR="00D83A47" w:rsidRPr="007C51D6" w:rsidRDefault="00D83A47" w:rsidP="00D83A47">
            <w:pPr>
              <w:jc w:val="center"/>
              <w:rPr>
                <w:color w:val="000000"/>
                <w:sz w:val="20"/>
                <w:szCs w:val="20"/>
              </w:rPr>
            </w:pPr>
            <w:r w:rsidRPr="007C51D6">
              <w:rPr>
                <w:color w:val="000000"/>
                <w:sz w:val="20"/>
                <w:szCs w:val="20"/>
              </w:rPr>
              <w:t>102,35</w:t>
            </w:r>
          </w:p>
        </w:tc>
        <w:tc>
          <w:tcPr>
            <w:tcW w:w="1120" w:type="dxa"/>
          </w:tcPr>
          <w:p w:rsidR="00D83A47" w:rsidRPr="007C51D6" w:rsidRDefault="00D83A47" w:rsidP="00D83A47">
            <w:pPr>
              <w:jc w:val="center"/>
              <w:rPr>
                <w:color w:val="000000"/>
                <w:sz w:val="20"/>
                <w:szCs w:val="20"/>
              </w:rPr>
            </w:pPr>
            <w:r w:rsidRPr="007C51D6">
              <w:rPr>
                <w:color w:val="000000"/>
                <w:sz w:val="20"/>
                <w:szCs w:val="20"/>
              </w:rPr>
              <w:t>102,32</w:t>
            </w:r>
          </w:p>
        </w:tc>
        <w:tc>
          <w:tcPr>
            <w:tcW w:w="995" w:type="dxa"/>
          </w:tcPr>
          <w:p w:rsidR="00D83A47" w:rsidRPr="007C51D6" w:rsidRDefault="00D83A47" w:rsidP="00D83A47">
            <w:pPr>
              <w:jc w:val="center"/>
              <w:rPr>
                <w:color w:val="000000"/>
                <w:sz w:val="20"/>
                <w:szCs w:val="20"/>
              </w:rPr>
            </w:pPr>
            <w:r w:rsidRPr="007C51D6">
              <w:rPr>
                <w:color w:val="000000"/>
                <w:sz w:val="20"/>
                <w:szCs w:val="20"/>
              </w:rPr>
              <w:t>105,89</w:t>
            </w:r>
          </w:p>
        </w:tc>
        <w:tc>
          <w:tcPr>
            <w:tcW w:w="1562" w:type="dxa"/>
            <w:gridSpan w:val="3"/>
          </w:tcPr>
          <w:p w:rsidR="00D83A47" w:rsidRPr="007C51D6" w:rsidRDefault="00D83A47" w:rsidP="00D83A47">
            <w:pPr>
              <w:jc w:val="center"/>
            </w:pPr>
            <w:r w:rsidRPr="007C51D6">
              <w:rPr>
                <w:color w:val="000000"/>
                <w:sz w:val="20"/>
                <w:szCs w:val="20"/>
              </w:rPr>
              <w:t>нет данных</w:t>
            </w:r>
          </w:p>
        </w:tc>
      </w:tr>
      <w:tr w:rsidR="00D83A47" w:rsidRPr="007C51D6" w:rsidTr="00177819">
        <w:tblPrEx>
          <w:tblBorders>
            <w:bottom w:val="single" w:sz="4" w:space="0" w:color="auto"/>
          </w:tblBorders>
          <w:tblCellMar>
            <w:top w:w="0" w:type="dxa"/>
            <w:bottom w:w="0" w:type="dxa"/>
          </w:tblCellMar>
        </w:tblPrEx>
        <w:trPr>
          <w:trHeight w:val="20"/>
        </w:trPr>
        <w:tc>
          <w:tcPr>
            <w:tcW w:w="4372" w:type="dxa"/>
            <w:shd w:val="clear" w:color="auto" w:fill="auto"/>
          </w:tcPr>
          <w:p w:rsidR="00D83A47" w:rsidRPr="007C51D6" w:rsidRDefault="00D83A47" w:rsidP="00D83A47">
            <w:pPr>
              <w:autoSpaceDE/>
              <w:autoSpaceDN/>
              <w:adjustRightInd/>
              <w:jc w:val="both"/>
              <w:rPr>
                <w:rFonts w:eastAsia="Arial"/>
                <w:sz w:val="20"/>
                <w:szCs w:val="22"/>
              </w:rPr>
            </w:pPr>
            <w:r w:rsidRPr="007C51D6">
              <w:rPr>
                <w:rFonts w:eastAsia="Arial"/>
                <w:sz w:val="20"/>
                <w:szCs w:val="22"/>
              </w:rPr>
              <w:t xml:space="preserve">рак кожи </w:t>
            </w:r>
          </w:p>
        </w:tc>
        <w:tc>
          <w:tcPr>
            <w:tcW w:w="997" w:type="dxa"/>
            <w:gridSpan w:val="2"/>
            <w:shd w:val="clear" w:color="auto" w:fill="auto"/>
          </w:tcPr>
          <w:p w:rsidR="00D83A47" w:rsidRPr="007C51D6" w:rsidRDefault="00D83A47" w:rsidP="00D83A47">
            <w:pPr>
              <w:autoSpaceDE/>
              <w:autoSpaceDN/>
              <w:adjustRightInd/>
              <w:jc w:val="center"/>
              <w:rPr>
                <w:rFonts w:eastAsia="Arial"/>
                <w:sz w:val="20"/>
                <w:szCs w:val="22"/>
              </w:rPr>
            </w:pPr>
            <w:r w:rsidRPr="007C51D6">
              <w:rPr>
                <w:rFonts w:eastAsia="Arial"/>
                <w:sz w:val="20"/>
                <w:szCs w:val="22"/>
              </w:rPr>
              <w:t>53,53</w:t>
            </w:r>
          </w:p>
        </w:tc>
        <w:tc>
          <w:tcPr>
            <w:tcW w:w="971" w:type="dxa"/>
            <w:shd w:val="clear" w:color="auto" w:fill="auto"/>
          </w:tcPr>
          <w:p w:rsidR="00D83A47" w:rsidRPr="007C51D6" w:rsidRDefault="00D83A47" w:rsidP="00D83A47">
            <w:pPr>
              <w:autoSpaceDE/>
              <w:autoSpaceDN/>
              <w:adjustRightInd/>
              <w:jc w:val="center"/>
              <w:rPr>
                <w:rFonts w:eastAsia="Arial"/>
                <w:sz w:val="20"/>
                <w:szCs w:val="22"/>
              </w:rPr>
            </w:pPr>
            <w:r w:rsidRPr="007C51D6">
              <w:rPr>
                <w:rFonts w:eastAsia="Arial"/>
                <w:sz w:val="20"/>
                <w:szCs w:val="22"/>
              </w:rPr>
              <w:t>52,04</w:t>
            </w:r>
          </w:p>
        </w:tc>
        <w:tc>
          <w:tcPr>
            <w:tcW w:w="1042" w:type="dxa"/>
            <w:gridSpan w:val="2"/>
            <w:shd w:val="clear" w:color="auto" w:fill="auto"/>
          </w:tcPr>
          <w:p w:rsidR="00D83A47" w:rsidRPr="007C51D6" w:rsidRDefault="00D83A47" w:rsidP="00D83A47">
            <w:pPr>
              <w:autoSpaceDE/>
              <w:autoSpaceDN/>
              <w:adjustRightInd/>
              <w:jc w:val="center"/>
              <w:rPr>
                <w:rFonts w:eastAsia="Arial"/>
                <w:sz w:val="20"/>
                <w:szCs w:val="22"/>
              </w:rPr>
            </w:pPr>
            <w:r w:rsidRPr="007C51D6">
              <w:rPr>
                <w:rFonts w:eastAsia="Arial"/>
                <w:sz w:val="20"/>
                <w:szCs w:val="22"/>
              </w:rPr>
              <w:t>55,80</w:t>
            </w:r>
          </w:p>
        </w:tc>
        <w:tc>
          <w:tcPr>
            <w:tcW w:w="1046" w:type="dxa"/>
            <w:shd w:val="clear" w:color="auto" w:fill="auto"/>
          </w:tcPr>
          <w:p w:rsidR="00D83A47" w:rsidRPr="007C51D6" w:rsidRDefault="00D83A47" w:rsidP="00D83A47">
            <w:pPr>
              <w:autoSpaceDE/>
              <w:autoSpaceDN/>
              <w:adjustRightInd/>
              <w:jc w:val="center"/>
              <w:rPr>
                <w:rFonts w:eastAsia="Arial"/>
                <w:sz w:val="20"/>
                <w:szCs w:val="22"/>
              </w:rPr>
            </w:pPr>
            <w:r w:rsidRPr="007C51D6">
              <w:rPr>
                <w:rFonts w:eastAsia="Arial"/>
                <w:sz w:val="20"/>
                <w:szCs w:val="22"/>
              </w:rPr>
              <w:t>59,29</w:t>
            </w:r>
          </w:p>
        </w:tc>
        <w:tc>
          <w:tcPr>
            <w:tcW w:w="969" w:type="dxa"/>
            <w:shd w:val="clear" w:color="auto" w:fill="auto"/>
          </w:tcPr>
          <w:p w:rsidR="00D83A47" w:rsidRPr="007C51D6" w:rsidRDefault="00D83A47" w:rsidP="00D83A47">
            <w:pPr>
              <w:autoSpaceDE/>
              <w:autoSpaceDN/>
              <w:adjustRightInd/>
              <w:jc w:val="center"/>
              <w:rPr>
                <w:rFonts w:eastAsia="Arial"/>
                <w:sz w:val="20"/>
                <w:szCs w:val="22"/>
              </w:rPr>
            </w:pPr>
            <w:r w:rsidRPr="007C51D6">
              <w:rPr>
                <w:rFonts w:eastAsia="Arial"/>
                <w:sz w:val="20"/>
                <w:szCs w:val="22"/>
              </w:rPr>
              <w:t>44,46</w:t>
            </w:r>
          </w:p>
        </w:tc>
        <w:tc>
          <w:tcPr>
            <w:tcW w:w="1020" w:type="dxa"/>
          </w:tcPr>
          <w:p w:rsidR="00D83A47" w:rsidRPr="007C51D6" w:rsidRDefault="00D83A47" w:rsidP="00D83A47">
            <w:pPr>
              <w:autoSpaceDE/>
              <w:autoSpaceDN/>
              <w:adjustRightInd/>
              <w:jc w:val="center"/>
              <w:rPr>
                <w:rFonts w:eastAsia="Arial"/>
                <w:sz w:val="20"/>
                <w:szCs w:val="22"/>
              </w:rPr>
            </w:pPr>
            <w:r w:rsidRPr="007C51D6">
              <w:rPr>
                <w:rFonts w:eastAsia="Arial"/>
                <w:sz w:val="20"/>
                <w:szCs w:val="22"/>
              </w:rPr>
              <w:t>60,42</w:t>
            </w:r>
          </w:p>
        </w:tc>
        <w:tc>
          <w:tcPr>
            <w:tcW w:w="1071" w:type="dxa"/>
          </w:tcPr>
          <w:p w:rsidR="00D83A47" w:rsidRPr="007C51D6" w:rsidRDefault="00D83A47" w:rsidP="00D83A47">
            <w:pPr>
              <w:jc w:val="center"/>
              <w:rPr>
                <w:color w:val="000000"/>
                <w:sz w:val="20"/>
                <w:szCs w:val="20"/>
              </w:rPr>
            </w:pPr>
            <w:r w:rsidRPr="007C51D6">
              <w:rPr>
                <w:color w:val="000000"/>
                <w:sz w:val="20"/>
                <w:szCs w:val="20"/>
              </w:rPr>
              <w:t>64,21</w:t>
            </w:r>
          </w:p>
        </w:tc>
        <w:tc>
          <w:tcPr>
            <w:tcW w:w="1120" w:type="dxa"/>
          </w:tcPr>
          <w:p w:rsidR="00D83A47" w:rsidRPr="007C51D6" w:rsidRDefault="00D83A47" w:rsidP="00D83A47">
            <w:pPr>
              <w:jc w:val="center"/>
              <w:rPr>
                <w:color w:val="000000"/>
                <w:sz w:val="20"/>
                <w:szCs w:val="20"/>
              </w:rPr>
            </w:pPr>
            <w:r w:rsidRPr="007C51D6">
              <w:rPr>
                <w:color w:val="000000"/>
                <w:sz w:val="20"/>
                <w:szCs w:val="20"/>
              </w:rPr>
              <w:t>63,60</w:t>
            </w:r>
          </w:p>
        </w:tc>
        <w:tc>
          <w:tcPr>
            <w:tcW w:w="995" w:type="dxa"/>
          </w:tcPr>
          <w:p w:rsidR="00D83A47" w:rsidRPr="007C51D6" w:rsidRDefault="00D83A47" w:rsidP="00D83A47">
            <w:pPr>
              <w:jc w:val="center"/>
              <w:rPr>
                <w:color w:val="000000"/>
                <w:sz w:val="20"/>
                <w:szCs w:val="20"/>
              </w:rPr>
            </w:pPr>
            <w:r w:rsidRPr="007C51D6">
              <w:rPr>
                <w:color w:val="000000"/>
                <w:sz w:val="20"/>
                <w:szCs w:val="20"/>
              </w:rPr>
              <w:t>68,41</w:t>
            </w:r>
          </w:p>
        </w:tc>
        <w:tc>
          <w:tcPr>
            <w:tcW w:w="1562" w:type="dxa"/>
            <w:gridSpan w:val="3"/>
          </w:tcPr>
          <w:p w:rsidR="00D83A47" w:rsidRPr="007C51D6" w:rsidRDefault="00D83A47" w:rsidP="00D83A47">
            <w:pPr>
              <w:jc w:val="center"/>
            </w:pPr>
            <w:r w:rsidRPr="007C51D6">
              <w:rPr>
                <w:color w:val="000000"/>
                <w:sz w:val="20"/>
                <w:szCs w:val="20"/>
              </w:rPr>
              <w:t>нет данных</w:t>
            </w:r>
          </w:p>
        </w:tc>
      </w:tr>
      <w:tr w:rsidR="00D83A47" w:rsidRPr="007C51D6" w:rsidTr="00177819">
        <w:tblPrEx>
          <w:tblBorders>
            <w:bottom w:val="single" w:sz="4" w:space="0" w:color="auto"/>
          </w:tblBorders>
          <w:tblCellMar>
            <w:top w:w="0" w:type="dxa"/>
            <w:bottom w:w="0" w:type="dxa"/>
          </w:tblCellMar>
        </w:tblPrEx>
        <w:trPr>
          <w:trHeight w:val="20"/>
        </w:trPr>
        <w:tc>
          <w:tcPr>
            <w:tcW w:w="4372" w:type="dxa"/>
            <w:tcBorders>
              <w:bottom w:val="single" w:sz="4" w:space="0" w:color="auto"/>
            </w:tcBorders>
            <w:shd w:val="clear" w:color="auto" w:fill="auto"/>
          </w:tcPr>
          <w:p w:rsidR="00D83A47" w:rsidRPr="007C51D6" w:rsidRDefault="00D83A47" w:rsidP="00D83A47">
            <w:pPr>
              <w:autoSpaceDE/>
              <w:autoSpaceDN/>
              <w:adjustRightInd/>
              <w:jc w:val="both"/>
              <w:rPr>
                <w:rFonts w:eastAsia="Arial"/>
                <w:sz w:val="20"/>
                <w:szCs w:val="22"/>
              </w:rPr>
            </w:pPr>
            <w:r w:rsidRPr="007C51D6">
              <w:rPr>
                <w:rFonts w:eastAsia="Arial"/>
                <w:sz w:val="20"/>
                <w:szCs w:val="22"/>
              </w:rPr>
              <w:t>ободочной кишки</w:t>
            </w:r>
          </w:p>
        </w:tc>
        <w:tc>
          <w:tcPr>
            <w:tcW w:w="997" w:type="dxa"/>
            <w:gridSpan w:val="2"/>
            <w:tcBorders>
              <w:bottom w:val="single" w:sz="4" w:space="0" w:color="auto"/>
            </w:tcBorders>
            <w:shd w:val="clear" w:color="auto" w:fill="auto"/>
          </w:tcPr>
          <w:p w:rsidR="00D83A47" w:rsidRPr="007C51D6" w:rsidRDefault="00D83A47" w:rsidP="00D83A47">
            <w:pPr>
              <w:autoSpaceDE/>
              <w:autoSpaceDN/>
              <w:adjustRightInd/>
              <w:jc w:val="center"/>
              <w:rPr>
                <w:rFonts w:eastAsia="Arial"/>
                <w:sz w:val="20"/>
                <w:szCs w:val="22"/>
              </w:rPr>
            </w:pPr>
            <w:r w:rsidRPr="007C51D6">
              <w:rPr>
                <w:rFonts w:eastAsia="Arial"/>
                <w:sz w:val="20"/>
                <w:szCs w:val="22"/>
              </w:rPr>
              <w:t>27,51</w:t>
            </w:r>
          </w:p>
        </w:tc>
        <w:tc>
          <w:tcPr>
            <w:tcW w:w="971" w:type="dxa"/>
            <w:tcBorders>
              <w:bottom w:val="single" w:sz="4" w:space="0" w:color="auto"/>
            </w:tcBorders>
            <w:shd w:val="clear" w:color="auto" w:fill="auto"/>
          </w:tcPr>
          <w:p w:rsidR="00D83A47" w:rsidRPr="007C51D6" w:rsidRDefault="00D83A47" w:rsidP="00D83A47">
            <w:pPr>
              <w:autoSpaceDE/>
              <w:autoSpaceDN/>
              <w:adjustRightInd/>
              <w:jc w:val="center"/>
              <w:rPr>
                <w:rFonts w:eastAsia="Arial"/>
                <w:sz w:val="20"/>
                <w:szCs w:val="22"/>
              </w:rPr>
            </w:pPr>
            <w:r w:rsidRPr="007C51D6">
              <w:rPr>
                <w:rFonts w:eastAsia="Arial"/>
                <w:sz w:val="20"/>
                <w:szCs w:val="22"/>
              </w:rPr>
              <w:t>29,30</w:t>
            </w:r>
          </w:p>
        </w:tc>
        <w:tc>
          <w:tcPr>
            <w:tcW w:w="1042" w:type="dxa"/>
            <w:gridSpan w:val="2"/>
            <w:tcBorders>
              <w:bottom w:val="single" w:sz="4" w:space="0" w:color="auto"/>
            </w:tcBorders>
            <w:shd w:val="clear" w:color="auto" w:fill="auto"/>
          </w:tcPr>
          <w:p w:rsidR="00D83A47" w:rsidRPr="007C51D6" w:rsidRDefault="00D83A47" w:rsidP="00D83A47">
            <w:pPr>
              <w:autoSpaceDE/>
              <w:autoSpaceDN/>
              <w:adjustRightInd/>
              <w:jc w:val="center"/>
              <w:rPr>
                <w:rFonts w:eastAsia="Arial"/>
                <w:sz w:val="20"/>
                <w:szCs w:val="22"/>
              </w:rPr>
            </w:pPr>
            <w:r w:rsidRPr="007C51D6">
              <w:rPr>
                <w:rFonts w:eastAsia="Arial"/>
                <w:sz w:val="20"/>
                <w:szCs w:val="22"/>
              </w:rPr>
              <w:t>30,08</w:t>
            </w:r>
          </w:p>
        </w:tc>
        <w:tc>
          <w:tcPr>
            <w:tcW w:w="1046" w:type="dxa"/>
            <w:tcBorders>
              <w:bottom w:val="single" w:sz="4" w:space="0" w:color="auto"/>
            </w:tcBorders>
            <w:shd w:val="clear" w:color="auto" w:fill="auto"/>
          </w:tcPr>
          <w:p w:rsidR="00D83A47" w:rsidRPr="007C51D6" w:rsidRDefault="00D83A47" w:rsidP="00D83A47">
            <w:pPr>
              <w:autoSpaceDE/>
              <w:autoSpaceDN/>
              <w:adjustRightInd/>
              <w:jc w:val="center"/>
              <w:rPr>
                <w:rFonts w:eastAsia="Arial"/>
                <w:sz w:val="20"/>
                <w:szCs w:val="22"/>
              </w:rPr>
            </w:pPr>
            <w:r w:rsidRPr="007C51D6">
              <w:rPr>
                <w:rFonts w:eastAsia="Arial"/>
                <w:sz w:val="20"/>
                <w:szCs w:val="22"/>
              </w:rPr>
              <w:t>29,62</w:t>
            </w:r>
          </w:p>
        </w:tc>
        <w:tc>
          <w:tcPr>
            <w:tcW w:w="969" w:type="dxa"/>
            <w:tcBorders>
              <w:bottom w:val="single" w:sz="4" w:space="0" w:color="auto"/>
            </w:tcBorders>
            <w:shd w:val="clear" w:color="auto" w:fill="auto"/>
          </w:tcPr>
          <w:p w:rsidR="00D83A47" w:rsidRPr="007C51D6" w:rsidRDefault="00D83A47" w:rsidP="00D83A47">
            <w:pPr>
              <w:autoSpaceDE/>
              <w:autoSpaceDN/>
              <w:adjustRightInd/>
              <w:jc w:val="center"/>
              <w:rPr>
                <w:rFonts w:eastAsia="Arial"/>
                <w:sz w:val="20"/>
                <w:szCs w:val="22"/>
              </w:rPr>
            </w:pPr>
            <w:r w:rsidRPr="007C51D6">
              <w:rPr>
                <w:rFonts w:eastAsia="Arial"/>
                <w:sz w:val="20"/>
                <w:szCs w:val="22"/>
              </w:rPr>
              <w:t>27,17</w:t>
            </w:r>
          </w:p>
        </w:tc>
        <w:tc>
          <w:tcPr>
            <w:tcW w:w="1020" w:type="dxa"/>
            <w:tcBorders>
              <w:bottom w:val="single" w:sz="4" w:space="0" w:color="auto"/>
            </w:tcBorders>
          </w:tcPr>
          <w:p w:rsidR="00D83A47" w:rsidRPr="007C51D6" w:rsidRDefault="00D83A47" w:rsidP="00D83A47">
            <w:pPr>
              <w:autoSpaceDE/>
              <w:autoSpaceDN/>
              <w:adjustRightInd/>
              <w:jc w:val="center"/>
              <w:rPr>
                <w:rFonts w:eastAsia="Arial"/>
                <w:sz w:val="20"/>
                <w:szCs w:val="22"/>
              </w:rPr>
            </w:pPr>
            <w:r w:rsidRPr="007C51D6">
              <w:rPr>
                <w:rFonts w:eastAsia="Arial"/>
                <w:sz w:val="20"/>
                <w:szCs w:val="22"/>
              </w:rPr>
              <w:t>30,33</w:t>
            </w:r>
          </w:p>
        </w:tc>
        <w:tc>
          <w:tcPr>
            <w:tcW w:w="1071" w:type="dxa"/>
            <w:tcBorders>
              <w:bottom w:val="single" w:sz="4" w:space="0" w:color="auto"/>
            </w:tcBorders>
          </w:tcPr>
          <w:p w:rsidR="00D83A47" w:rsidRPr="007C51D6" w:rsidRDefault="00D83A47" w:rsidP="00D83A47">
            <w:pPr>
              <w:jc w:val="center"/>
              <w:rPr>
                <w:color w:val="000000"/>
                <w:sz w:val="20"/>
                <w:szCs w:val="20"/>
              </w:rPr>
            </w:pPr>
            <w:r w:rsidRPr="007C51D6">
              <w:rPr>
                <w:color w:val="000000"/>
                <w:sz w:val="20"/>
                <w:szCs w:val="20"/>
              </w:rPr>
              <w:t>29,33</w:t>
            </w:r>
          </w:p>
        </w:tc>
        <w:tc>
          <w:tcPr>
            <w:tcW w:w="1120" w:type="dxa"/>
            <w:tcBorders>
              <w:bottom w:val="single" w:sz="4" w:space="0" w:color="auto"/>
            </w:tcBorders>
          </w:tcPr>
          <w:p w:rsidR="00D83A47" w:rsidRPr="007C51D6" w:rsidRDefault="00D83A47" w:rsidP="00D83A47">
            <w:pPr>
              <w:jc w:val="center"/>
              <w:rPr>
                <w:color w:val="000000"/>
                <w:sz w:val="20"/>
                <w:szCs w:val="20"/>
              </w:rPr>
            </w:pPr>
            <w:r w:rsidRPr="007C51D6">
              <w:rPr>
                <w:color w:val="000000"/>
                <w:sz w:val="20"/>
                <w:szCs w:val="20"/>
              </w:rPr>
              <w:t>33,61</w:t>
            </w:r>
          </w:p>
        </w:tc>
        <w:tc>
          <w:tcPr>
            <w:tcW w:w="995" w:type="dxa"/>
            <w:tcBorders>
              <w:bottom w:val="single" w:sz="4" w:space="0" w:color="auto"/>
            </w:tcBorders>
          </w:tcPr>
          <w:p w:rsidR="00D83A47" w:rsidRPr="007C51D6" w:rsidRDefault="00D83A47" w:rsidP="00D83A47">
            <w:pPr>
              <w:jc w:val="center"/>
              <w:rPr>
                <w:color w:val="000000"/>
                <w:sz w:val="20"/>
                <w:szCs w:val="20"/>
              </w:rPr>
            </w:pPr>
            <w:r w:rsidRPr="007C51D6">
              <w:rPr>
                <w:color w:val="000000"/>
                <w:sz w:val="20"/>
                <w:szCs w:val="20"/>
              </w:rPr>
              <w:t>33,60</w:t>
            </w:r>
          </w:p>
        </w:tc>
        <w:tc>
          <w:tcPr>
            <w:tcW w:w="1562" w:type="dxa"/>
            <w:gridSpan w:val="3"/>
            <w:tcBorders>
              <w:bottom w:val="single" w:sz="4" w:space="0" w:color="auto"/>
            </w:tcBorders>
          </w:tcPr>
          <w:p w:rsidR="00D83A47" w:rsidRPr="007C51D6" w:rsidRDefault="00D83A47" w:rsidP="00D83A47">
            <w:pPr>
              <w:jc w:val="center"/>
            </w:pPr>
            <w:r w:rsidRPr="007C51D6">
              <w:rPr>
                <w:color w:val="000000"/>
                <w:sz w:val="20"/>
                <w:szCs w:val="20"/>
              </w:rPr>
              <w:t>нет данных</w:t>
            </w:r>
          </w:p>
        </w:tc>
      </w:tr>
      <w:tr w:rsidR="00D83A47" w:rsidRPr="007C51D6" w:rsidTr="00177819">
        <w:tblPrEx>
          <w:tblBorders>
            <w:bottom w:val="single" w:sz="4" w:space="0" w:color="auto"/>
          </w:tblBorders>
          <w:tblCellMar>
            <w:top w:w="0" w:type="dxa"/>
            <w:bottom w:w="0" w:type="dxa"/>
          </w:tblCellMar>
        </w:tblPrEx>
        <w:trPr>
          <w:trHeight w:val="20"/>
        </w:trPr>
        <w:tc>
          <w:tcPr>
            <w:tcW w:w="4372" w:type="dxa"/>
            <w:tcBorders>
              <w:bottom w:val="single" w:sz="4" w:space="0" w:color="auto"/>
            </w:tcBorders>
            <w:shd w:val="clear" w:color="auto" w:fill="auto"/>
          </w:tcPr>
          <w:p w:rsidR="00D83A47" w:rsidRPr="007C51D6" w:rsidRDefault="00D83A47" w:rsidP="00D83A47">
            <w:pPr>
              <w:autoSpaceDE/>
              <w:autoSpaceDN/>
              <w:adjustRightInd/>
              <w:jc w:val="both"/>
              <w:rPr>
                <w:rFonts w:eastAsia="Arial"/>
                <w:sz w:val="20"/>
                <w:szCs w:val="22"/>
              </w:rPr>
            </w:pPr>
            <w:r w:rsidRPr="007C51D6">
              <w:rPr>
                <w:rFonts w:eastAsia="Arial"/>
                <w:sz w:val="20"/>
                <w:szCs w:val="22"/>
              </w:rPr>
              <w:t>тела матки</w:t>
            </w:r>
          </w:p>
        </w:tc>
        <w:tc>
          <w:tcPr>
            <w:tcW w:w="997" w:type="dxa"/>
            <w:gridSpan w:val="2"/>
            <w:tcBorders>
              <w:bottom w:val="single" w:sz="4" w:space="0" w:color="auto"/>
            </w:tcBorders>
            <w:shd w:val="clear" w:color="auto" w:fill="auto"/>
          </w:tcPr>
          <w:p w:rsidR="00D83A47" w:rsidRPr="007C51D6" w:rsidRDefault="00D83A47" w:rsidP="00D83A47">
            <w:pPr>
              <w:autoSpaceDE/>
              <w:autoSpaceDN/>
              <w:adjustRightInd/>
              <w:jc w:val="center"/>
              <w:rPr>
                <w:rFonts w:eastAsia="Arial"/>
                <w:sz w:val="20"/>
                <w:szCs w:val="22"/>
              </w:rPr>
            </w:pPr>
            <w:r w:rsidRPr="007C51D6">
              <w:rPr>
                <w:rFonts w:eastAsia="Arial"/>
                <w:sz w:val="20"/>
                <w:szCs w:val="22"/>
              </w:rPr>
              <w:t>24,72</w:t>
            </w:r>
          </w:p>
        </w:tc>
        <w:tc>
          <w:tcPr>
            <w:tcW w:w="971" w:type="dxa"/>
            <w:tcBorders>
              <w:bottom w:val="single" w:sz="4" w:space="0" w:color="auto"/>
            </w:tcBorders>
            <w:shd w:val="clear" w:color="auto" w:fill="auto"/>
          </w:tcPr>
          <w:p w:rsidR="00D83A47" w:rsidRPr="007C51D6" w:rsidRDefault="00D83A47" w:rsidP="00D83A47">
            <w:pPr>
              <w:autoSpaceDE/>
              <w:autoSpaceDN/>
              <w:adjustRightInd/>
              <w:jc w:val="center"/>
              <w:rPr>
                <w:rFonts w:eastAsia="Arial"/>
                <w:sz w:val="20"/>
                <w:szCs w:val="22"/>
              </w:rPr>
            </w:pPr>
            <w:r w:rsidRPr="007C51D6">
              <w:rPr>
                <w:rFonts w:eastAsia="Arial"/>
                <w:sz w:val="20"/>
                <w:szCs w:val="22"/>
              </w:rPr>
              <w:t>26,72</w:t>
            </w:r>
          </w:p>
        </w:tc>
        <w:tc>
          <w:tcPr>
            <w:tcW w:w="1042" w:type="dxa"/>
            <w:gridSpan w:val="2"/>
            <w:tcBorders>
              <w:bottom w:val="single" w:sz="4" w:space="0" w:color="auto"/>
            </w:tcBorders>
            <w:shd w:val="clear" w:color="auto" w:fill="auto"/>
          </w:tcPr>
          <w:p w:rsidR="00D83A47" w:rsidRPr="007C51D6" w:rsidRDefault="00D83A47" w:rsidP="00D83A47">
            <w:pPr>
              <w:autoSpaceDE/>
              <w:autoSpaceDN/>
              <w:adjustRightInd/>
              <w:jc w:val="center"/>
              <w:rPr>
                <w:rFonts w:eastAsia="Arial"/>
                <w:sz w:val="20"/>
                <w:szCs w:val="22"/>
              </w:rPr>
            </w:pPr>
            <w:r w:rsidRPr="007C51D6">
              <w:rPr>
                <w:rFonts w:eastAsia="Arial"/>
                <w:sz w:val="20"/>
                <w:szCs w:val="22"/>
              </w:rPr>
              <w:t>26,92</w:t>
            </w:r>
          </w:p>
        </w:tc>
        <w:tc>
          <w:tcPr>
            <w:tcW w:w="1046" w:type="dxa"/>
            <w:tcBorders>
              <w:bottom w:val="single" w:sz="4" w:space="0" w:color="auto"/>
            </w:tcBorders>
            <w:shd w:val="clear" w:color="auto" w:fill="auto"/>
          </w:tcPr>
          <w:p w:rsidR="00D83A47" w:rsidRPr="007C51D6" w:rsidRDefault="00D83A47" w:rsidP="00D83A47">
            <w:pPr>
              <w:autoSpaceDE/>
              <w:autoSpaceDN/>
              <w:adjustRightInd/>
              <w:jc w:val="center"/>
              <w:rPr>
                <w:rFonts w:eastAsia="Arial"/>
                <w:sz w:val="20"/>
                <w:szCs w:val="22"/>
              </w:rPr>
            </w:pPr>
            <w:r w:rsidRPr="007C51D6">
              <w:rPr>
                <w:rFonts w:eastAsia="Arial"/>
                <w:sz w:val="20"/>
                <w:szCs w:val="22"/>
              </w:rPr>
              <w:t>24,89</w:t>
            </w:r>
          </w:p>
        </w:tc>
        <w:tc>
          <w:tcPr>
            <w:tcW w:w="969" w:type="dxa"/>
            <w:tcBorders>
              <w:bottom w:val="single" w:sz="4" w:space="0" w:color="auto"/>
            </w:tcBorders>
            <w:shd w:val="clear" w:color="auto" w:fill="auto"/>
          </w:tcPr>
          <w:p w:rsidR="00D83A47" w:rsidRPr="007C51D6" w:rsidRDefault="00D83A47" w:rsidP="00D83A47">
            <w:pPr>
              <w:autoSpaceDE/>
              <w:autoSpaceDN/>
              <w:adjustRightInd/>
              <w:jc w:val="center"/>
              <w:rPr>
                <w:rFonts w:eastAsia="Arial"/>
                <w:sz w:val="20"/>
                <w:szCs w:val="22"/>
              </w:rPr>
            </w:pPr>
            <w:r w:rsidRPr="007C51D6">
              <w:rPr>
                <w:rFonts w:eastAsia="Arial"/>
                <w:sz w:val="20"/>
                <w:szCs w:val="22"/>
              </w:rPr>
              <w:t>26,50</w:t>
            </w:r>
          </w:p>
        </w:tc>
        <w:tc>
          <w:tcPr>
            <w:tcW w:w="1020" w:type="dxa"/>
            <w:tcBorders>
              <w:bottom w:val="single" w:sz="4" w:space="0" w:color="auto"/>
            </w:tcBorders>
          </w:tcPr>
          <w:p w:rsidR="00D83A47" w:rsidRPr="007C51D6" w:rsidRDefault="00D83A47" w:rsidP="00D83A47">
            <w:pPr>
              <w:autoSpaceDE/>
              <w:autoSpaceDN/>
              <w:adjustRightInd/>
              <w:jc w:val="center"/>
              <w:rPr>
                <w:rFonts w:eastAsia="Arial"/>
                <w:sz w:val="20"/>
                <w:szCs w:val="22"/>
              </w:rPr>
            </w:pPr>
            <w:r w:rsidRPr="007C51D6">
              <w:rPr>
                <w:rFonts w:eastAsia="Arial"/>
                <w:sz w:val="20"/>
                <w:szCs w:val="22"/>
              </w:rPr>
              <w:t>28,46</w:t>
            </w:r>
          </w:p>
        </w:tc>
        <w:tc>
          <w:tcPr>
            <w:tcW w:w="1071" w:type="dxa"/>
            <w:tcBorders>
              <w:bottom w:val="single" w:sz="4" w:space="0" w:color="auto"/>
            </w:tcBorders>
          </w:tcPr>
          <w:p w:rsidR="00D83A47" w:rsidRPr="007C51D6" w:rsidRDefault="00D83A47" w:rsidP="00D83A47">
            <w:pPr>
              <w:jc w:val="center"/>
              <w:rPr>
                <w:color w:val="000000"/>
                <w:sz w:val="20"/>
                <w:szCs w:val="20"/>
              </w:rPr>
            </w:pPr>
            <w:r w:rsidRPr="007C51D6">
              <w:rPr>
                <w:color w:val="000000"/>
                <w:sz w:val="20"/>
                <w:szCs w:val="20"/>
              </w:rPr>
              <w:t>27,42</w:t>
            </w:r>
          </w:p>
        </w:tc>
        <w:tc>
          <w:tcPr>
            <w:tcW w:w="1120" w:type="dxa"/>
            <w:tcBorders>
              <w:bottom w:val="single" w:sz="4" w:space="0" w:color="auto"/>
            </w:tcBorders>
          </w:tcPr>
          <w:p w:rsidR="00D83A47" w:rsidRPr="007C51D6" w:rsidRDefault="00D83A47" w:rsidP="00D83A47">
            <w:pPr>
              <w:jc w:val="center"/>
              <w:rPr>
                <w:color w:val="000000"/>
                <w:sz w:val="20"/>
                <w:szCs w:val="20"/>
              </w:rPr>
            </w:pPr>
            <w:r w:rsidRPr="007C51D6">
              <w:rPr>
                <w:color w:val="000000"/>
                <w:sz w:val="20"/>
                <w:szCs w:val="20"/>
              </w:rPr>
              <w:t>30,33</w:t>
            </w:r>
          </w:p>
        </w:tc>
        <w:tc>
          <w:tcPr>
            <w:tcW w:w="995" w:type="dxa"/>
            <w:tcBorders>
              <w:bottom w:val="single" w:sz="4" w:space="0" w:color="auto"/>
            </w:tcBorders>
          </w:tcPr>
          <w:p w:rsidR="00D83A47" w:rsidRPr="007C51D6" w:rsidRDefault="00D83A47" w:rsidP="00D83A47">
            <w:pPr>
              <w:jc w:val="center"/>
              <w:rPr>
                <w:color w:val="000000"/>
                <w:sz w:val="20"/>
                <w:szCs w:val="20"/>
              </w:rPr>
            </w:pPr>
            <w:r w:rsidRPr="007C51D6">
              <w:rPr>
                <w:color w:val="000000"/>
                <w:sz w:val="20"/>
                <w:szCs w:val="20"/>
              </w:rPr>
              <w:t>31,91</w:t>
            </w:r>
          </w:p>
        </w:tc>
        <w:tc>
          <w:tcPr>
            <w:tcW w:w="1562" w:type="dxa"/>
            <w:gridSpan w:val="3"/>
            <w:tcBorders>
              <w:bottom w:val="single" w:sz="4" w:space="0" w:color="auto"/>
            </w:tcBorders>
          </w:tcPr>
          <w:p w:rsidR="00D83A47" w:rsidRPr="007C51D6" w:rsidRDefault="00D83A47" w:rsidP="00D83A47">
            <w:pPr>
              <w:jc w:val="center"/>
            </w:pPr>
            <w:r w:rsidRPr="007C51D6">
              <w:rPr>
                <w:color w:val="000000"/>
                <w:sz w:val="20"/>
                <w:szCs w:val="20"/>
              </w:rPr>
              <w:t>нет данных</w:t>
            </w:r>
          </w:p>
        </w:tc>
      </w:tr>
      <w:tr w:rsidR="00D83A47" w:rsidRPr="007C51D6" w:rsidTr="00177819">
        <w:tblPrEx>
          <w:tblBorders>
            <w:bottom w:val="single" w:sz="4" w:space="0" w:color="auto"/>
          </w:tblBorders>
          <w:tblCellMar>
            <w:top w:w="0" w:type="dxa"/>
            <w:bottom w:w="0" w:type="dxa"/>
          </w:tblCellMar>
        </w:tblPrEx>
        <w:trPr>
          <w:trHeight w:val="20"/>
        </w:trPr>
        <w:tc>
          <w:tcPr>
            <w:tcW w:w="4372" w:type="dxa"/>
            <w:tcBorders>
              <w:top w:val="single" w:sz="4" w:space="0" w:color="auto"/>
              <w:left w:val="single" w:sz="4" w:space="0" w:color="auto"/>
              <w:bottom w:val="single" w:sz="4" w:space="0" w:color="auto"/>
              <w:right w:val="single" w:sz="4" w:space="0" w:color="auto"/>
            </w:tcBorders>
            <w:shd w:val="clear" w:color="auto" w:fill="auto"/>
          </w:tcPr>
          <w:p w:rsidR="00D83A47" w:rsidRPr="007C51D6" w:rsidRDefault="00D83A47" w:rsidP="00D83A47">
            <w:pPr>
              <w:autoSpaceDE/>
              <w:autoSpaceDN/>
              <w:adjustRightInd/>
              <w:jc w:val="both"/>
              <w:rPr>
                <w:rFonts w:eastAsia="Arial"/>
                <w:sz w:val="20"/>
                <w:szCs w:val="22"/>
              </w:rPr>
            </w:pPr>
            <w:r w:rsidRPr="007C51D6">
              <w:rPr>
                <w:rFonts w:eastAsia="Arial"/>
                <w:sz w:val="20"/>
                <w:szCs w:val="22"/>
              </w:rPr>
              <w:t>лимфатической и кроветворной ткани</w:t>
            </w:r>
          </w:p>
        </w:tc>
        <w:tc>
          <w:tcPr>
            <w:tcW w:w="997" w:type="dxa"/>
            <w:gridSpan w:val="2"/>
            <w:tcBorders>
              <w:top w:val="single" w:sz="4" w:space="0" w:color="auto"/>
              <w:left w:val="single" w:sz="4" w:space="0" w:color="auto"/>
              <w:bottom w:val="single" w:sz="4" w:space="0" w:color="auto"/>
              <w:right w:val="single" w:sz="4" w:space="0" w:color="auto"/>
            </w:tcBorders>
            <w:shd w:val="clear" w:color="auto" w:fill="auto"/>
          </w:tcPr>
          <w:p w:rsidR="00D83A47" w:rsidRPr="007C51D6" w:rsidRDefault="00D83A47" w:rsidP="00D83A47">
            <w:pPr>
              <w:autoSpaceDE/>
              <w:autoSpaceDN/>
              <w:adjustRightInd/>
              <w:jc w:val="center"/>
              <w:rPr>
                <w:rFonts w:eastAsia="Arial"/>
                <w:sz w:val="20"/>
                <w:szCs w:val="22"/>
              </w:rPr>
            </w:pPr>
            <w:r w:rsidRPr="007C51D6">
              <w:rPr>
                <w:rFonts w:eastAsia="Arial"/>
                <w:sz w:val="20"/>
                <w:szCs w:val="22"/>
              </w:rPr>
              <w:t>19,78</w:t>
            </w:r>
          </w:p>
        </w:tc>
        <w:tc>
          <w:tcPr>
            <w:tcW w:w="971" w:type="dxa"/>
            <w:tcBorders>
              <w:top w:val="single" w:sz="4" w:space="0" w:color="auto"/>
              <w:left w:val="single" w:sz="4" w:space="0" w:color="auto"/>
              <w:bottom w:val="single" w:sz="4" w:space="0" w:color="auto"/>
              <w:right w:val="single" w:sz="4" w:space="0" w:color="auto"/>
            </w:tcBorders>
            <w:shd w:val="clear" w:color="auto" w:fill="auto"/>
          </w:tcPr>
          <w:p w:rsidR="00D83A47" w:rsidRPr="007C51D6" w:rsidRDefault="00D83A47" w:rsidP="00D83A47">
            <w:pPr>
              <w:autoSpaceDE/>
              <w:autoSpaceDN/>
              <w:adjustRightInd/>
              <w:jc w:val="center"/>
              <w:rPr>
                <w:rFonts w:eastAsia="Arial"/>
                <w:sz w:val="20"/>
                <w:szCs w:val="22"/>
              </w:rPr>
            </w:pPr>
            <w:r w:rsidRPr="007C51D6">
              <w:rPr>
                <w:rFonts w:eastAsia="Arial"/>
                <w:sz w:val="20"/>
                <w:szCs w:val="22"/>
              </w:rPr>
              <w:t>17,38</w:t>
            </w:r>
          </w:p>
        </w:tc>
        <w:tc>
          <w:tcPr>
            <w:tcW w:w="1042" w:type="dxa"/>
            <w:gridSpan w:val="2"/>
            <w:tcBorders>
              <w:top w:val="single" w:sz="4" w:space="0" w:color="auto"/>
              <w:left w:val="single" w:sz="4" w:space="0" w:color="auto"/>
              <w:bottom w:val="single" w:sz="4" w:space="0" w:color="auto"/>
              <w:right w:val="single" w:sz="4" w:space="0" w:color="auto"/>
            </w:tcBorders>
            <w:shd w:val="clear" w:color="auto" w:fill="auto"/>
          </w:tcPr>
          <w:p w:rsidR="00D83A47" w:rsidRPr="007C51D6" w:rsidRDefault="00D83A47" w:rsidP="00D83A47">
            <w:pPr>
              <w:autoSpaceDE/>
              <w:autoSpaceDN/>
              <w:adjustRightInd/>
              <w:jc w:val="center"/>
              <w:rPr>
                <w:rFonts w:eastAsia="Arial"/>
                <w:sz w:val="20"/>
                <w:szCs w:val="22"/>
              </w:rPr>
            </w:pPr>
            <w:r w:rsidRPr="007C51D6">
              <w:rPr>
                <w:rFonts w:eastAsia="Arial"/>
                <w:sz w:val="20"/>
                <w:szCs w:val="22"/>
              </w:rPr>
              <w:t>17,93</w:t>
            </w:r>
          </w:p>
        </w:tc>
        <w:tc>
          <w:tcPr>
            <w:tcW w:w="1046" w:type="dxa"/>
            <w:tcBorders>
              <w:top w:val="single" w:sz="4" w:space="0" w:color="auto"/>
              <w:left w:val="single" w:sz="4" w:space="0" w:color="auto"/>
              <w:bottom w:val="single" w:sz="4" w:space="0" w:color="auto"/>
              <w:right w:val="single" w:sz="4" w:space="0" w:color="auto"/>
            </w:tcBorders>
            <w:shd w:val="clear" w:color="auto" w:fill="auto"/>
          </w:tcPr>
          <w:p w:rsidR="00D83A47" w:rsidRPr="007C51D6" w:rsidRDefault="00D83A47" w:rsidP="00D83A47">
            <w:pPr>
              <w:autoSpaceDE/>
              <w:autoSpaceDN/>
              <w:adjustRightInd/>
              <w:jc w:val="center"/>
              <w:rPr>
                <w:rFonts w:eastAsia="Arial"/>
                <w:sz w:val="20"/>
                <w:szCs w:val="22"/>
              </w:rPr>
            </w:pPr>
            <w:r w:rsidRPr="007C51D6">
              <w:rPr>
                <w:rFonts w:eastAsia="Arial"/>
                <w:sz w:val="20"/>
                <w:szCs w:val="22"/>
              </w:rPr>
              <w:t>28,71</w:t>
            </w:r>
          </w:p>
        </w:tc>
        <w:tc>
          <w:tcPr>
            <w:tcW w:w="969" w:type="dxa"/>
            <w:tcBorders>
              <w:top w:val="single" w:sz="4" w:space="0" w:color="auto"/>
              <w:left w:val="single" w:sz="4" w:space="0" w:color="auto"/>
              <w:bottom w:val="single" w:sz="4" w:space="0" w:color="auto"/>
              <w:right w:val="single" w:sz="4" w:space="0" w:color="auto"/>
            </w:tcBorders>
            <w:shd w:val="clear" w:color="auto" w:fill="auto"/>
          </w:tcPr>
          <w:p w:rsidR="00D83A47" w:rsidRPr="007C51D6" w:rsidRDefault="00D83A47" w:rsidP="00D83A47">
            <w:pPr>
              <w:autoSpaceDE/>
              <w:autoSpaceDN/>
              <w:adjustRightInd/>
              <w:jc w:val="center"/>
              <w:rPr>
                <w:rFonts w:eastAsia="Arial"/>
                <w:sz w:val="20"/>
                <w:szCs w:val="22"/>
              </w:rPr>
            </w:pPr>
            <w:r w:rsidRPr="007C51D6">
              <w:rPr>
                <w:rFonts w:eastAsia="Arial"/>
                <w:sz w:val="20"/>
                <w:szCs w:val="22"/>
              </w:rPr>
              <w:t>21,53</w:t>
            </w:r>
          </w:p>
        </w:tc>
        <w:tc>
          <w:tcPr>
            <w:tcW w:w="1020" w:type="dxa"/>
            <w:tcBorders>
              <w:top w:val="single" w:sz="4" w:space="0" w:color="auto"/>
              <w:left w:val="single" w:sz="4" w:space="0" w:color="auto"/>
              <w:bottom w:val="single" w:sz="4" w:space="0" w:color="auto"/>
              <w:right w:val="single" w:sz="4" w:space="0" w:color="auto"/>
            </w:tcBorders>
          </w:tcPr>
          <w:p w:rsidR="00D83A47" w:rsidRPr="007C51D6" w:rsidRDefault="00D83A47" w:rsidP="00D83A47">
            <w:pPr>
              <w:autoSpaceDE/>
              <w:autoSpaceDN/>
              <w:adjustRightInd/>
              <w:jc w:val="center"/>
              <w:rPr>
                <w:rFonts w:eastAsia="Arial"/>
                <w:sz w:val="20"/>
                <w:szCs w:val="22"/>
              </w:rPr>
            </w:pPr>
            <w:r w:rsidRPr="007C51D6">
              <w:rPr>
                <w:rFonts w:eastAsia="Arial"/>
                <w:sz w:val="20"/>
                <w:szCs w:val="22"/>
              </w:rPr>
              <w:t>22,66</w:t>
            </w:r>
          </w:p>
        </w:tc>
        <w:tc>
          <w:tcPr>
            <w:tcW w:w="1071" w:type="dxa"/>
            <w:tcBorders>
              <w:top w:val="single" w:sz="4" w:space="0" w:color="auto"/>
              <w:left w:val="single" w:sz="4" w:space="0" w:color="auto"/>
              <w:bottom w:val="single" w:sz="4" w:space="0" w:color="auto"/>
              <w:right w:val="single" w:sz="4" w:space="0" w:color="auto"/>
            </w:tcBorders>
          </w:tcPr>
          <w:p w:rsidR="00D83A47" w:rsidRPr="007C51D6" w:rsidRDefault="00D83A47" w:rsidP="00D83A47">
            <w:pPr>
              <w:jc w:val="center"/>
              <w:rPr>
                <w:color w:val="000000"/>
                <w:sz w:val="20"/>
                <w:szCs w:val="20"/>
              </w:rPr>
            </w:pPr>
            <w:r w:rsidRPr="007C51D6">
              <w:rPr>
                <w:color w:val="000000"/>
                <w:sz w:val="20"/>
                <w:szCs w:val="20"/>
              </w:rPr>
              <w:t>21,73</w:t>
            </w:r>
          </w:p>
        </w:tc>
        <w:tc>
          <w:tcPr>
            <w:tcW w:w="1120" w:type="dxa"/>
            <w:tcBorders>
              <w:top w:val="single" w:sz="4" w:space="0" w:color="auto"/>
              <w:left w:val="single" w:sz="4" w:space="0" w:color="auto"/>
              <w:bottom w:val="single" w:sz="4" w:space="0" w:color="auto"/>
              <w:right w:val="single" w:sz="4" w:space="0" w:color="auto"/>
            </w:tcBorders>
          </w:tcPr>
          <w:p w:rsidR="00D83A47" w:rsidRPr="007C51D6" w:rsidRDefault="00D83A47" w:rsidP="00D83A47">
            <w:pPr>
              <w:jc w:val="center"/>
              <w:rPr>
                <w:color w:val="000000"/>
                <w:sz w:val="20"/>
                <w:szCs w:val="20"/>
              </w:rPr>
            </w:pPr>
            <w:r w:rsidRPr="007C51D6">
              <w:rPr>
                <w:color w:val="000000"/>
                <w:sz w:val="20"/>
                <w:szCs w:val="20"/>
              </w:rPr>
              <w:t>23,53</w:t>
            </w:r>
          </w:p>
        </w:tc>
        <w:tc>
          <w:tcPr>
            <w:tcW w:w="995" w:type="dxa"/>
            <w:tcBorders>
              <w:top w:val="single" w:sz="4" w:space="0" w:color="auto"/>
              <w:left w:val="single" w:sz="4" w:space="0" w:color="auto"/>
              <w:bottom w:val="single" w:sz="4" w:space="0" w:color="auto"/>
              <w:right w:val="single" w:sz="4" w:space="0" w:color="auto"/>
            </w:tcBorders>
          </w:tcPr>
          <w:p w:rsidR="00D83A47" w:rsidRPr="007C51D6" w:rsidRDefault="00D83A47" w:rsidP="00D83A47">
            <w:pPr>
              <w:jc w:val="center"/>
              <w:rPr>
                <w:color w:val="000000"/>
                <w:sz w:val="20"/>
                <w:szCs w:val="20"/>
              </w:rPr>
            </w:pPr>
            <w:r w:rsidRPr="007C51D6">
              <w:rPr>
                <w:color w:val="000000"/>
                <w:sz w:val="20"/>
                <w:szCs w:val="20"/>
              </w:rPr>
              <w:t>24,85</w:t>
            </w:r>
          </w:p>
        </w:tc>
        <w:tc>
          <w:tcPr>
            <w:tcW w:w="1562" w:type="dxa"/>
            <w:gridSpan w:val="3"/>
            <w:tcBorders>
              <w:top w:val="single" w:sz="4" w:space="0" w:color="auto"/>
              <w:left w:val="single" w:sz="4" w:space="0" w:color="auto"/>
              <w:bottom w:val="single" w:sz="4" w:space="0" w:color="auto"/>
              <w:right w:val="single" w:sz="4" w:space="0" w:color="auto"/>
            </w:tcBorders>
          </w:tcPr>
          <w:p w:rsidR="00D83A47" w:rsidRPr="007C51D6" w:rsidRDefault="00D83A47" w:rsidP="00D83A47">
            <w:pPr>
              <w:jc w:val="center"/>
            </w:pPr>
            <w:r w:rsidRPr="007C51D6">
              <w:rPr>
                <w:color w:val="000000"/>
                <w:sz w:val="20"/>
                <w:szCs w:val="20"/>
              </w:rPr>
              <w:t>нет данных</w:t>
            </w:r>
          </w:p>
        </w:tc>
      </w:tr>
      <w:tr w:rsidR="00D83A47" w:rsidRPr="007C51D6" w:rsidTr="00177819">
        <w:tblPrEx>
          <w:tblBorders>
            <w:bottom w:val="single" w:sz="4" w:space="0" w:color="auto"/>
          </w:tblBorders>
          <w:tblCellMar>
            <w:top w:w="0" w:type="dxa"/>
            <w:bottom w:w="0" w:type="dxa"/>
          </w:tblCellMar>
        </w:tblPrEx>
        <w:trPr>
          <w:trHeight w:val="20"/>
        </w:trPr>
        <w:tc>
          <w:tcPr>
            <w:tcW w:w="4372" w:type="dxa"/>
            <w:tcBorders>
              <w:top w:val="single" w:sz="4" w:space="0" w:color="auto"/>
              <w:left w:val="single" w:sz="4" w:space="0" w:color="auto"/>
              <w:bottom w:val="single" w:sz="4" w:space="0" w:color="auto"/>
              <w:right w:val="single" w:sz="4" w:space="0" w:color="auto"/>
            </w:tcBorders>
            <w:shd w:val="clear" w:color="auto" w:fill="auto"/>
          </w:tcPr>
          <w:p w:rsidR="00D83A47" w:rsidRPr="007C51D6" w:rsidRDefault="00D83A47" w:rsidP="00D83A47">
            <w:pPr>
              <w:autoSpaceDE/>
              <w:autoSpaceDN/>
              <w:adjustRightInd/>
              <w:jc w:val="both"/>
              <w:rPr>
                <w:rFonts w:eastAsia="Arial"/>
                <w:sz w:val="20"/>
                <w:szCs w:val="22"/>
              </w:rPr>
            </w:pPr>
            <w:r w:rsidRPr="007C51D6">
              <w:rPr>
                <w:rFonts w:eastAsia="Arial"/>
                <w:sz w:val="20"/>
                <w:szCs w:val="22"/>
              </w:rPr>
              <w:t>шейки матки</w:t>
            </w:r>
          </w:p>
        </w:tc>
        <w:tc>
          <w:tcPr>
            <w:tcW w:w="997" w:type="dxa"/>
            <w:gridSpan w:val="2"/>
            <w:tcBorders>
              <w:top w:val="single" w:sz="4" w:space="0" w:color="auto"/>
              <w:left w:val="single" w:sz="4" w:space="0" w:color="auto"/>
              <w:bottom w:val="single" w:sz="4" w:space="0" w:color="auto"/>
              <w:right w:val="single" w:sz="4" w:space="0" w:color="auto"/>
            </w:tcBorders>
            <w:shd w:val="clear" w:color="auto" w:fill="auto"/>
          </w:tcPr>
          <w:p w:rsidR="00D83A47" w:rsidRPr="007C51D6" w:rsidRDefault="00D83A47" w:rsidP="00D83A47">
            <w:pPr>
              <w:autoSpaceDE/>
              <w:autoSpaceDN/>
              <w:adjustRightInd/>
              <w:jc w:val="center"/>
              <w:rPr>
                <w:rFonts w:eastAsia="Arial"/>
                <w:sz w:val="20"/>
                <w:szCs w:val="22"/>
              </w:rPr>
            </w:pPr>
            <w:r w:rsidRPr="007C51D6">
              <w:rPr>
                <w:rFonts w:eastAsia="Arial"/>
                <w:sz w:val="20"/>
                <w:szCs w:val="22"/>
              </w:rPr>
              <w:t>23,00</w:t>
            </w:r>
          </w:p>
        </w:tc>
        <w:tc>
          <w:tcPr>
            <w:tcW w:w="971" w:type="dxa"/>
            <w:tcBorders>
              <w:top w:val="single" w:sz="4" w:space="0" w:color="auto"/>
              <w:left w:val="single" w:sz="4" w:space="0" w:color="auto"/>
              <w:bottom w:val="single" w:sz="4" w:space="0" w:color="auto"/>
              <w:right w:val="single" w:sz="4" w:space="0" w:color="auto"/>
            </w:tcBorders>
            <w:shd w:val="clear" w:color="auto" w:fill="auto"/>
          </w:tcPr>
          <w:p w:rsidR="00D83A47" w:rsidRPr="007C51D6" w:rsidRDefault="00D83A47" w:rsidP="00D83A47">
            <w:pPr>
              <w:autoSpaceDE/>
              <w:autoSpaceDN/>
              <w:adjustRightInd/>
              <w:jc w:val="center"/>
              <w:rPr>
                <w:rFonts w:eastAsia="Arial"/>
                <w:sz w:val="20"/>
                <w:szCs w:val="22"/>
              </w:rPr>
            </w:pPr>
            <w:r w:rsidRPr="007C51D6">
              <w:rPr>
                <w:rFonts w:eastAsia="Arial"/>
                <w:sz w:val="20"/>
                <w:szCs w:val="22"/>
              </w:rPr>
              <w:t>23,51</w:t>
            </w:r>
          </w:p>
        </w:tc>
        <w:tc>
          <w:tcPr>
            <w:tcW w:w="1042" w:type="dxa"/>
            <w:gridSpan w:val="2"/>
            <w:tcBorders>
              <w:top w:val="single" w:sz="4" w:space="0" w:color="auto"/>
              <w:left w:val="single" w:sz="4" w:space="0" w:color="auto"/>
              <w:bottom w:val="single" w:sz="4" w:space="0" w:color="auto"/>
              <w:right w:val="single" w:sz="4" w:space="0" w:color="auto"/>
            </w:tcBorders>
            <w:shd w:val="clear" w:color="auto" w:fill="auto"/>
          </w:tcPr>
          <w:p w:rsidR="00D83A47" w:rsidRPr="007C51D6" w:rsidRDefault="00D83A47" w:rsidP="00D83A47">
            <w:pPr>
              <w:autoSpaceDE/>
              <w:autoSpaceDN/>
              <w:adjustRightInd/>
              <w:jc w:val="center"/>
              <w:rPr>
                <w:rFonts w:eastAsia="Arial"/>
                <w:sz w:val="20"/>
                <w:szCs w:val="22"/>
              </w:rPr>
            </w:pPr>
            <w:r w:rsidRPr="007C51D6">
              <w:rPr>
                <w:rFonts w:eastAsia="Arial"/>
                <w:sz w:val="20"/>
                <w:szCs w:val="22"/>
              </w:rPr>
              <w:t>24,63</w:t>
            </w:r>
          </w:p>
        </w:tc>
        <w:tc>
          <w:tcPr>
            <w:tcW w:w="1046" w:type="dxa"/>
            <w:tcBorders>
              <w:top w:val="single" w:sz="4" w:space="0" w:color="auto"/>
              <w:left w:val="single" w:sz="4" w:space="0" w:color="auto"/>
              <w:bottom w:val="single" w:sz="4" w:space="0" w:color="auto"/>
              <w:right w:val="single" w:sz="4" w:space="0" w:color="auto"/>
            </w:tcBorders>
            <w:shd w:val="clear" w:color="auto" w:fill="auto"/>
          </w:tcPr>
          <w:p w:rsidR="00D83A47" w:rsidRPr="007C51D6" w:rsidRDefault="00D83A47" w:rsidP="00D83A47">
            <w:pPr>
              <w:autoSpaceDE/>
              <w:autoSpaceDN/>
              <w:adjustRightInd/>
              <w:jc w:val="center"/>
              <w:rPr>
                <w:rFonts w:eastAsia="Arial"/>
                <w:sz w:val="20"/>
                <w:szCs w:val="22"/>
              </w:rPr>
            </w:pPr>
            <w:r w:rsidRPr="007C51D6">
              <w:rPr>
                <w:rFonts w:eastAsia="Arial"/>
                <w:sz w:val="20"/>
                <w:szCs w:val="22"/>
              </w:rPr>
              <w:t>24,65</w:t>
            </w:r>
          </w:p>
        </w:tc>
        <w:tc>
          <w:tcPr>
            <w:tcW w:w="969" w:type="dxa"/>
            <w:tcBorders>
              <w:top w:val="single" w:sz="4" w:space="0" w:color="auto"/>
              <w:left w:val="single" w:sz="4" w:space="0" w:color="auto"/>
              <w:bottom w:val="single" w:sz="4" w:space="0" w:color="auto"/>
              <w:right w:val="single" w:sz="4" w:space="0" w:color="auto"/>
            </w:tcBorders>
            <w:shd w:val="clear" w:color="auto" w:fill="auto"/>
          </w:tcPr>
          <w:p w:rsidR="00D83A47" w:rsidRPr="007C51D6" w:rsidRDefault="00D83A47" w:rsidP="00D83A47">
            <w:pPr>
              <w:autoSpaceDE/>
              <w:autoSpaceDN/>
              <w:adjustRightInd/>
              <w:jc w:val="center"/>
              <w:rPr>
                <w:rFonts w:eastAsia="Arial"/>
                <w:sz w:val="20"/>
                <w:szCs w:val="22"/>
              </w:rPr>
            </w:pPr>
            <w:r w:rsidRPr="007C51D6">
              <w:rPr>
                <w:rFonts w:eastAsia="Arial"/>
                <w:sz w:val="20"/>
                <w:szCs w:val="22"/>
              </w:rPr>
              <w:t>20,87</w:t>
            </w:r>
          </w:p>
        </w:tc>
        <w:tc>
          <w:tcPr>
            <w:tcW w:w="1020" w:type="dxa"/>
            <w:tcBorders>
              <w:top w:val="single" w:sz="4" w:space="0" w:color="auto"/>
              <w:left w:val="single" w:sz="4" w:space="0" w:color="auto"/>
              <w:bottom w:val="single" w:sz="4" w:space="0" w:color="auto"/>
              <w:right w:val="single" w:sz="4" w:space="0" w:color="auto"/>
            </w:tcBorders>
          </w:tcPr>
          <w:p w:rsidR="00D83A47" w:rsidRPr="007C51D6" w:rsidRDefault="00D83A47" w:rsidP="00D83A47">
            <w:pPr>
              <w:autoSpaceDE/>
              <w:autoSpaceDN/>
              <w:adjustRightInd/>
              <w:jc w:val="center"/>
              <w:rPr>
                <w:rFonts w:eastAsia="Arial"/>
                <w:sz w:val="20"/>
                <w:szCs w:val="22"/>
              </w:rPr>
            </w:pPr>
            <w:r w:rsidRPr="007C51D6">
              <w:rPr>
                <w:rFonts w:eastAsia="Arial"/>
                <w:sz w:val="20"/>
                <w:szCs w:val="22"/>
              </w:rPr>
              <w:t>27,21</w:t>
            </w:r>
          </w:p>
        </w:tc>
        <w:tc>
          <w:tcPr>
            <w:tcW w:w="1071" w:type="dxa"/>
            <w:tcBorders>
              <w:top w:val="single" w:sz="4" w:space="0" w:color="auto"/>
              <w:left w:val="single" w:sz="4" w:space="0" w:color="auto"/>
              <w:bottom w:val="single" w:sz="4" w:space="0" w:color="auto"/>
              <w:right w:val="single" w:sz="4" w:space="0" w:color="auto"/>
            </w:tcBorders>
          </w:tcPr>
          <w:p w:rsidR="00D83A47" w:rsidRPr="007C51D6" w:rsidRDefault="00D83A47" w:rsidP="00D83A47">
            <w:pPr>
              <w:jc w:val="center"/>
              <w:rPr>
                <w:color w:val="000000"/>
                <w:sz w:val="20"/>
                <w:szCs w:val="20"/>
              </w:rPr>
            </w:pPr>
            <w:r w:rsidRPr="007C51D6">
              <w:rPr>
                <w:color w:val="000000"/>
                <w:sz w:val="20"/>
                <w:szCs w:val="20"/>
              </w:rPr>
              <w:t>24,93</w:t>
            </w:r>
          </w:p>
        </w:tc>
        <w:tc>
          <w:tcPr>
            <w:tcW w:w="1120" w:type="dxa"/>
            <w:tcBorders>
              <w:top w:val="single" w:sz="4" w:space="0" w:color="auto"/>
              <w:left w:val="single" w:sz="4" w:space="0" w:color="auto"/>
              <w:bottom w:val="single" w:sz="4" w:space="0" w:color="auto"/>
              <w:right w:val="single" w:sz="4" w:space="0" w:color="auto"/>
            </w:tcBorders>
          </w:tcPr>
          <w:p w:rsidR="00D83A47" w:rsidRPr="007C51D6" w:rsidRDefault="00D83A47" w:rsidP="00D83A47">
            <w:pPr>
              <w:jc w:val="center"/>
              <w:rPr>
                <w:color w:val="000000"/>
                <w:sz w:val="20"/>
                <w:szCs w:val="20"/>
              </w:rPr>
            </w:pPr>
            <w:r w:rsidRPr="007C51D6">
              <w:rPr>
                <w:color w:val="000000"/>
                <w:sz w:val="20"/>
                <w:szCs w:val="20"/>
              </w:rPr>
              <w:t>24,23</w:t>
            </w:r>
          </w:p>
        </w:tc>
        <w:tc>
          <w:tcPr>
            <w:tcW w:w="995" w:type="dxa"/>
            <w:tcBorders>
              <w:top w:val="single" w:sz="4" w:space="0" w:color="auto"/>
              <w:left w:val="single" w:sz="4" w:space="0" w:color="auto"/>
              <w:bottom w:val="single" w:sz="4" w:space="0" w:color="auto"/>
              <w:right w:val="single" w:sz="4" w:space="0" w:color="auto"/>
            </w:tcBorders>
          </w:tcPr>
          <w:p w:rsidR="00D83A47" w:rsidRPr="007C51D6" w:rsidRDefault="00D83A47" w:rsidP="00D83A47">
            <w:pPr>
              <w:jc w:val="center"/>
              <w:rPr>
                <w:color w:val="000000"/>
                <w:sz w:val="20"/>
                <w:szCs w:val="20"/>
              </w:rPr>
            </w:pPr>
            <w:r w:rsidRPr="007C51D6">
              <w:rPr>
                <w:color w:val="000000"/>
                <w:sz w:val="20"/>
                <w:szCs w:val="20"/>
              </w:rPr>
              <w:t>28,45</w:t>
            </w:r>
          </w:p>
        </w:tc>
        <w:tc>
          <w:tcPr>
            <w:tcW w:w="1562" w:type="dxa"/>
            <w:gridSpan w:val="3"/>
            <w:tcBorders>
              <w:top w:val="single" w:sz="4" w:space="0" w:color="auto"/>
              <w:left w:val="single" w:sz="4" w:space="0" w:color="auto"/>
              <w:bottom w:val="single" w:sz="4" w:space="0" w:color="auto"/>
              <w:right w:val="single" w:sz="4" w:space="0" w:color="auto"/>
            </w:tcBorders>
          </w:tcPr>
          <w:p w:rsidR="00D83A47" w:rsidRPr="007C51D6" w:rsidRDefault="00D83A47" w:rsidP="00D83A47">
            <w:pPr>
              <w:jc w:val="center"/>
            </w:pPr>
            <w:r w:rsidRPr="007C51D6">
              <w:rPr>
                <w:color w:val="000000"/>
                <w:sz w:val="20"/>
                <w:szCs w:val="20"/>
              </w:rPr>
              <w:t>нет данных</w:t>
            </w:r>
          </w:p>
        </w:tc>
      </w:tr>
      <w:tr w:rsidR="00D83A47" w:rsidRPr="007C51D6" w:rsidTr="00177819">
        <w:tblPrEx>
          <w:tblBorders>
            <w:bottom w:val="single" w:sz="4" w:space="0" w:color="auto"/>
          </w:tblBorders>
          <w:tblCellMar>
            <w:top w:w="0" w:type="dxa"/>
            <w:bottom w:w="0" w:type="dxa"/>
          </w:tblCellMar>
        </w:tblPrEx>
        <w:trPr>
          <w:trHeight w:val="20"/>
        </w:trPr>
        <w:tc>
          <w:tcPr>
            <w:tcW w:w="4372" w:type="dxa"/>
            <w:tcBorders>
              <w:top w:val="single" w:sz="4" w:space="0" w:color="auto"/>
            </w:tcBorders>
            <w:shd w:val="clear" w:color="auto" w:fill="auto"/>
          </w:tcPr>
          <w:p w:rsidR="00D83A47" w:rsidRPr="007C51D6" w:rsidRDefault="00D83A47" w:rsidP="00D83A47">
            <w:pPr>
              <w:autoSpaceDE/>
              <w:autoSpaceDN/>
              <w:adjustRightInd/>
              <w:jc w:val="both"/>
              <w:rPr>
                <w:rFonts w:eastAsia="Arial"/>
                <w:sz w:val="20"/>
                <w:szCs w:val="22"/>
              </w:rPr>
            </w:pPr>
            <w:r w:rsidRPr="007C51D6">
              <w:rPr>
                <w:rFonts w:eastAsia="Arial"/>
                <w:sz w:val="20"/>
                <w:szCs w:val="22"/>
              </w:rPr>
              <w:t>яичника</w:t>
            </w:r>
          </w:p>
        </w:tc>
        <w:tc>
          <w:tcPr>
            <w:tcW w:w="997" w:type="dxa"/>
            <w:gridSpan w:val="2"/>
            <w:tcBorders>
              <w:top w:val="single" w:sz="4" w:space="0" w:color="auto"/>
            </w:tcBorders>
            <w:shd w:val="clear" w:color="auto" w:fill="auto"/>
          </w:tcPr>
          <w:p w:rsidR="00D83A47" w:rsidRPr="007C51D6" w:rsidRDefault="00D83A47" w:rsidP="00D83A47">
            <w:pPr>
              <w:autoSpaceDE/>
              <w:autoSpaceDN/>
              <w:adjustRightInd/>
              <w:jc w:val="center"/>
              <w:rPr>
                <w:rFonts w:eastAsia="Arial"/>
                <w:sz w:val="20"/>
                <w:szCs w:val="22"/>
              </w:rPr>
            </w:pPr>
            <w:r w:rsidRPr="007C51D6">
              <w:rPr>
                <w:rFonts w:eastAsia="Arial"/>
                <w:sz w:val="20"/>
                <w:szCs w:val="22"/>
              </w:rPr>
              <w:t>17,96</w:t>
            </w:r>
          </w:p>
        </w:tc>
        <w:tc>
          <w:tcPr>
            <w:tcW w:w="971" w:type="dxa"/>
            <w:tcBorders>
              <w:top w:val="single" w:sz="4" w:space="0" w:color="auto"/>
            </w:tcBorders>
            <w:shd w:val="clear" w:color="auto" w:fill="auto"/>
          </w:tcPr>
          <w:p w:rsidR="00D83A47" w:rsidRPr="007C51D6" w:rsidRDefault="00D83A47" w:rsidP="00D83A47">
            <w:pPr>
              <w:autoSpaceDE/>
              <w:autoSpaceDN/>
              <w:adjustRightInd/>
              <w:jc w:val="center"/>
              <w:rPr>
                <w:rFonts w:eastAsia="Arial"/>
                <w:sz w:val="20"/>
                <w:szCs w:val="22"/>
              </w:rPr>
            </w:pPr>
            <w:r w:rsidRPr="007C51D6">
              <w:rPr>
                <w:rFonts w:eastAsia="Arial"/>
                <w:sz w:val="20"/>
                <w:szCs w:val="22"/>
              </w:rPr>
              <w:t>16,52</w:t>
            </w:r>
          </w:p>
        </w:tc>
        <w:tc>
          <w:tcPr>
            <w:tcW w:w="1042" w:type="dxa"/>
            <w:gridSpan w:val="2"/>
            <w:tcBorders>
              <w:top w:val="single" w:sz="4" w:space="0" w:color="auto"/>
            </w:tcBorders>
            <w:shd w:val="clear" w:color="auto" w:fill="auto"/>
          </w:tcPr>
          <w:p w:rsidR="00D83A47" w:rsidRPr="007C51D6" w:rsidRDefault="00D83A47" w:rsidP="00D83A47">
            <w:pPr>
              <w:autoSpaceDE/>
              <w:autoSpaceDN/>
              <w:adjustRightInd/>
              <w:jc w:val="center"/>
              <w:rPr>
                <w:rFonts w:eastAsia="Arial"/>
                <w:sz w:val="20"/>
                <w:szCs w:val="22"/>
              </w:rPr>
            </w:pPr>
            <w:r w:rsidRPr="007C51D6">
              <w:rPr>
                <w:rFonts w:eastAsia="Arial"/>
                <w:sz w:val="20"/>
                <w:szCs w:val="22"/>
              </w:rPr>
              <w:t>18,03</w:t>
            </w:r>
          </w:p>
        </w:tc>
        <w:tc>
          <w:tcPr>
            <w:tcW w:w="1046" w:type="dxa"/>
            <w:tcBorders>
              <w:top w:val="single" w:sz="4" w:space="0" w:color="auto"/>
            </w:tcBorders>
            <w:shd w:val="clear" w:color="auto" w:fill="auto"/>
          </w:tcPr>
          <w:p w:rsidR="00D83A47" w:rsidRPr="007C51D6" w:rsidRDefault="00D83A47" w:rsidP="00D83A47">
            <w:pPr>
              <w:autoSpaceDE/>
              <w:autoSpaceDN/>
              <w:adjustRightInd/>
              <w:jc w:val="center"/>
              <w:rPr>
                <w:rFonts w:eastAsia="Arial"/>
                <w:sz w:val="20"/>
                <w:szCs w:val="22"/>
              </w:rPr>
            </w:pPr>
            <w:r w:rsidRPr="007C51D6">
              <w:rPr>
                <w:rFonts w:eastAsia="Arial"/>
                <w:sz w:val="20"/>
                <w:szCs w:val="22"/>
              </w:rPr>
              <w:t>18,82</w:t>
            </w:r>
          </w:p>
        </w:tc>
        <w:tc>
          <w:tcPr>
            <w:tcW w:w="969" w:type="dxa"/>
            <w:tcBorders>
              <w:top w:val="single" w:sz="4" w:space="0" w:color="auto"/>
            </w:tcBorders>
            <w:shd w:val="clear" w:color="auto" w:fill="auto"/>
          </w:tcPr>
          <w:p w:rsidR="00D83A47" w:rsidRPr="007C51D6" w:rsidRDefault="00D83A47" w:rsidP="00D83A47">
            <w:pPr>
              <w:autoSpaceDE/>
              <w:autoSpaceDN/>
              <w:adjustRightInd/>
              <w:jc w:val="center"/>
              <w:rPr>
                <w:rFonts w:eastAsia="Arial"/>
                <w:sz w:val="20"/>
                <w:szCs w:val="22"/>
              </w:rPr>
            </w:pPr>
            <w:r w:rsidRPr="007C51D6">
              <w:rPr>
                <w:rFonts w:eastAsia="Arial"/>
                <w:sz w:val="20"/>
                <w:szCs w:val="22"/>
              </w:rPr>
              <w:t>18,10</w:t>
            </w:r>
          </w:p>
        </w:tc>
        <w:tc>
          <w:tcPr>
            <w:tcW w:w="1020" w:type="dxa"/>
            <w:tcBorders>
              <w:top w:val="single" w:sz="4" w:space="0" w:color="auto"/>
            </w:tcBorders>
          </w:tcPr>
          <w:p w:rsidR="00D83A47" w:rsidRPr="007C51D6" w:rsidRDefault="00D83A47" w:rsidP="00D83A47">
            <w:pPr>
              <w:autoSpaceDE/>
              <w:autoSpaceDN/>
              <w:adjustRightInd/>
              <w:jc w:val="center"/>
              <w:rPr>
                <w:rFonts w:eastAsia="Arial"/>
                <w:sz w:val="20"/>
                <w:szCs w:val="22"/>
              </w:rPr>
            </w:pPr>
            <w:r w:rsidRPr="007C51D6">
              <w:rPr>
                <w:rFonts w:eastAsia="Arial"/>
                <w:sz w:val="20"/>
                <w:szCs w:val="22"/>
              </w:rPr>
              <w:t>18,69</w:t>
            </w:r>
          </w:p>
        </w:tc>
        <w:tc>
          <w:tcPr>
            <w:tcW w:w="1071" w:type="dxa"/>
            <w:tcBorders>
              <w:top w:val="single" w:sz="4" w:space="0" w:color="auto"/>
            </w:tcBorders>
          </w:tcPr>
          <w:p w:rsidR="00D83A47" w:rsidRPr="007C51D6" w:rsidRDefault="00D83A47" w:rsidP="00D83A47">
            <w:pPr>
              <w:jc w:val="center"/>
              <w:rPr>
                <w:color w:val="000000"/>
                <w:sz w:val="20"/>
                <w:szCs w:val="20"/>
              </w:rPr>
            </w:pPr>
            <w:r w:rsidRPr="007C51D6">
              <w:rPr>
                <w:color w:val="000000"/>
                <w:sz w:val="20"/>
                <w:szCs w:val="20"/>
              </w:rPr>
              <w:t>19,52</w:t>
            </w:r>
          </w:p>
        </w:tc>
        <w:tc>
          <w:tcPr>
            <w:tcW w:w="1120" w:type="dxa"/>
            <w:tcBorders>
              <w:top w:val="single" w:sz="4" w:space="0" w:color="auto"/>
            </w:tcBorders>
          </w:tcPr>
          <w:p w:rsidR="00D83A47" w:rsidRPr="007C51D6" w:rsidRDefault="00D83A47" w:rsidP="00D83A47">
            <w:pPr>
              <w:jc w:val="center"/>
              <w:rPr>
                <w:color w:val="000000"/>
                <w:sz w:val="20"/>
                <w:szCs w:val="20"/>
              </w:rPr>
            </w:pPr>
            <w:r w:rsidRPr="007C51D6">
              <w:rPr>
                <w:color w:val="000000"/>
                <w:sz w:val="20"/>
                <w:szCs w:val="20"/>
              </w:rPr>
              <w:t>20,15</w:t>
            </w:r>
          </w:p>
        </w:tc>
        <w:tc>
          <w:tcPr>
            <w:tcW w:w="995" w:type="dxa"/>
            <w:tcBorders>
              <w:top w:val="single" w:sz="4" w:space="0" w:color="auto"/>
            </w:tcBorders>
          </w:tcPr>
          <w:p w:rsidR="00D83A47" w:rsidRPr="007C51D6" w:rsidRDefault="00D83A47" w:rsidP="00D83A47">
            <w:pPr>
              <w:jc w:val="center"/>
              <w:rPr>
                <w:color w:val="000000"/>
                <w:sz w:val="20"/>
                <w:szCs w:val="20"/>
              </w:rPr>
            </w:pPr>
            <w:r w:rsidRPr="007C51D6">
              <w:rPr>
                <w:color w:val="000000"/>
                <w:sz w:val="20"/>
                <w:szCs w:val="20"/>
              </w:rPr>
              <w:t>20,31</w:t>
            </w:r>
          </w:p>
        </w:tc>
        <w:tc>
          <w:tcPr>
            <w:tcW w:w="1562" w:type="dxa"/>
            <w:gridSpan w:val="3"/>
            <w:tcBorders>
              <w:top w:val="single" w:sz="4" w:space="0" w:color="auto"/>
            </w:tcBorders>
          </w:tcPr>
          <w:p w:rsidR="00D83A47" w:rsidRPr="007C51D6" w:rsidRDefault="00D83A47" w:rsidP="00D83A47">
            <w:pPr>
              <w:jc w:val="center"/>
            </w:pPr>
            <w:r w:rsidRPr="007C51D6">
              <w:rPr>
                <w:color w:val="000000"/>
                <w:sz w:val="20"/>
                <w:szCs w:val="20"/>
              </w:rPr>
              <w:t>нет данных</w:t>
            </w:r>
          </w:p>
        </w:tc>
      </w:tr>
    </w:tbl>
    <w:p w:rsidR="00871EE7" w:rsidRDefault="00871EE7" w:rsidP="00D83A47">
      <w:pPr>
        <w:autoSpaceDE/>
        <w:autoSpaceDN/>
        <w:adjustRightInd/>
        <w:jc w:val="both"/>
        <w:rPr>
          <w:rFonts w:eastAsia="Arial"/>
          <w:sz w:val="20"/>
          <w:szCs w:val="22"/>
        </w:rPr>
        <w:sectPr w:rsidR="00871EE7" w:rsidSect="007B1867">
          <w:type w:val="continuous"/>
          <w:pgSz w:w="16838" w:h="11906" w:orient="landscape"/>
          <w:pgMar w:top="1134" w:right="567" w:bottom="1134" w:left="1134" w:header="709" w:footer="709" w:gutter="0"/>
          <w:cols w:space="708"/>
          <w:docGrid w:linePitch="360"/>
        </w:sectPr>
      </w:pPr>
    </w:p>
    <w:tbl>
      <w:tblPr>
        <w:tblW w:w="15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72"/>
        <w:gridCol w:w="997"/>
        <w:gridCol w:w="971"/>
        <w:gridCol w:w="1042"/>
        <w:gridCol w:w="1046"/>
        <w:gridCol w:w="969"/>
        <w:gridCol w:w="1020"/>
        <w:gridCol w:w="1071"/>
        <w:gridCol w:w="1120"/>
        <w:gridCol w:w="995"/>
        <w:gridCol w:w="1531"/>
        <w:gridCol w:w="31"/>
      </w:tblGrid>
      <w:tr w:rsidR="00871EE7" w:rsidRPr="007C51D6" w:rsidTr="00177819">
        <w:trPr>
          <w:trHeight w:val="20"/>
        </w:trPr>
        <w:tc>
          <w:tcPr>
            <w:tcW w:w="4372" w:type="dxa"/>
            <w:shd w:val="clear" w:color="auto" w:fill="auto"/>
          </w:tcPr>
          <w:p w:rsidR="00871EE7" w:rsidRPr="007C51D6" w:rsidRDefault="00871EE7" w:rsidP="00871EE7">
            <w:pPr>
              <w:autoSpaceDE/>
              <w:autoSpaceDN/>
              <w:adjustRightInd/>
              <w:jc w:val="center"/>
              <w:rPr>
                <w:rFonts w:eastAsia="Arial"/>
                <w:sz w:val="20"/>
                <w:szCs w:val="20"/>
              </w:rPr>
            </w:pPr>
            <w:r w:rsidRPr="007C51D6">
              <w:rPr>
                <w:rFonts w:eastAsia="Arial"/>
                <w:sz w:val="20"/>
                <w:szCs w:val="20"/>
              </w:rPr>
              <w:lastRenderedPageBreak/>
              <w:t>1</w:t>
            </w:r>
          </w:p>
        </w:tc>
        <w:tc>
          <w:tcPr>
            <w:tcW w:w="997" w:type="dxa"/>
            <w:shd w:val="clear" w:color="auto" w:fill="auto"/>
          </w:tcPr>
          <w:p w:rsidR="00871EE7" w:rsidRPr="007C51D6" w:rsidRDefault="00871EE7" w:rsidP="00871EE7">
            <w:pPr>
              <w:autoSpaceDE/>
              <w:autoSpaceDN/>
              <w:adjustRightInd/>
              <w:jc w:val="center"/>
              <w:rPr>
                <w:rFonts w:eastAsia="Arial"/>
                <w:sz w:val="20"/>
                <w:szCs w:val="22"/>
              </w:rPr>
            </w:pPr>
            <w:r w:rsidRPr="007C51D6">
              <w:rPr>
                <w:rFonts w:eastAsia="Arial"/>
                <w:sz w:val="20"/>
                <w:szCs w:val="22"/>
              </w:rPr>
              <w:t>2</w:t>
            </w:r>
          </w:p>
        </w:tc>
        <w:tc>
          <w:tcPr>
            <w:tcW w:w="971" w:type="dxa"/>
            <w:shd w:val="clear" w:color="auto" w:fill="auto"/>
          </w:tcPr>
          <w:p w:rsidR="00871EE7" w:rsidRPr="007C51D6" w:rsidRDefault="00871EE7" w:rsidP="00871EE7">
            <w:pPr>
              <w:autoSpaceDE/>
              <w:autoSpaceDN/>
              <w:adjustRightInd/>
              <w:jc w:val="center"/>
              <w:rPr>
                <w:rFonts w:eastAsia="Arial"/>
                <w:sz w:val="20"/>
                <w:szCs w:val="22"/>
              </w:rPr>
            </w:pPr>
            <w:r w:rsidRPr="007C51D6">
              <w:rPr>
                <w:rFonts w:eastAsia="Arial"/>
                <w:sz w:val="20"/>
                <w:szCs w:val="22"/>
              </w:rPr>
              <w:t>3</w:t>
            </w:r>
          </w:p>
        </w:tc>
        <w:tc>
          <w:tcPr>
            <w:tcW w:w="1042" w:type="dxa"/>
            <w:shd w:val="clear" w:color="auto" w:fill="auto"/>
          </w:tcPr>
          <w:p w:rsidR="00871EE7" w:rsidRPr="007C51D6" w:rsidRDefault="00871EE7" w:rsidP="00871EE7">
            <w:pPr>
              <w:autoSpaceDE/>
              <w:autoSpaceDN/>
              <w:adjustRightInd/>
              <w:jc w:val="center"/>
              <w:rPr>
                <w:rFonts w:eastAsia="Arial"/>
                <w:sz w:val="20"/>
                <w:szCs w:val="22"/>
              </w:rPr>
            </w:pPr>
            <w:r w:rsidRPr="007C51D6">
              <w:rPr>
                <w:rFonts w:eastAsia="Arial"/>
                <w:sz w:val="20"/>
                <w:szCs w:val="22"/>
              </w:rPr>
              <w:t>4</w:t>
            </w:r>
          </w:p>
        </w:tc>
        <w:tc>
          <w:tcPr>
            <w:tcW w:w="1046" w:type="dxa"/>
            <w:shd w:val="clear" w:color="auto" w:fill="auto"/>
          </w:tcPr>
          <w:p w:rsidR="00871EE7" w:rsidRPr="007C51D6" w:rsidRDefault="00871EE7" w:rsidP="00871EE7">
            <w:pPr>
              <w:autoSpaceDE/>
              <w:autoSpaceDN/>
              <w:adjustRightInd/>
              <w:jc w:val="center"/>
              <w:rPr>
                <w:rFonts w:eastAsia="Arial"/>
                <w:sz w:val="20"/>
                <w:szCs w:val="22"/>
              </w:rPr>
            </w:pPr>
            <w:r w:rsidRPr="007C51D6">
              <w:rPr>
                <w:rFonts w:eastAsia="Arial"/>
                <w:sz w:val="20"/>
                <w:szCs w:val="22"/>
              </w:rPr>
              <w:t>5</w:t>
            </w:r>
          </w:p>
        </w:tc>
        <w:tc>
          <w:tcPr>
            <w:tcW w:w="969" w:type="dxa"/>
            <w:shd w:val="clear" w:color="auto" w:fill="auto"/>
          </w:tcPr>
          <w:p w:rsidR="00871EE7" w:rsidRPr="007C51D6" w:rsidRDefault="00871EE7" w:rsidP="00871EE7">
            <w:pPr>
              <w:autoSpaceDE/>
              <w:autoSpaceDN/>
              <w:adjustRightInd/>
              <w:jc w:val="center"/>
              <w:rPr>
                <w:rFonts w:eastAsia="Arial"/>
                <w:sz w:val="20"/>
                <w:szCs w:val="22"/>
              </w:rPr>
            </w:pPr>
            <w:r w:rsidRPr="007C51D6">
              <w:rPr>
                <w:rFonts w:eastAsia="Arial"/>
                <w:sz w:val="20"/>
                <w:szCs w:val="22"/>
              </w:rPr>
              <w:t>6</w:t>
            </w:r>
          </w:p>
        </w:tc>
        <w:tc>
          <w:tcPr>
            <w:tcW w:w="1020" w:type="dxa"/>
          </w:tcPr>
          <w:p w:rsidR="00871EE7" w:rsidRPr="007C51D6" w:rsidRDefault="00871EE7" w:rsidP="00871EE7">
            <w:pPr>
              <w:autoSpaceDE/>
              <w:autoSpaceDN/>
              <w:adjustRightInd/>
              <w:jc w:val="center"/>
              <w:rPr>
                <w:rFonts w:eastAsia="Arial"/>
                <w:sz w:val="20"/>
                <w:szCs w:val="22"/>
              </w:rPr>
            </w:pPr>
            <w:r w:rsidRPr="007C51D6">
              <w:rPr>
                <w:rFonts w:eastAsia="Arial"/>
                <w:sz w:val="20"/>
                <w:szCs w:val="22"/>
              </w:rPr>
              <w:t>7</w:t>
            </w:r>
          </w:p>
        </w:tc>
        <w:tc>
          <w:tcPr>
            <w:tcW w:w="1071" w:type="dxa"/>
          </w:tcPr>
          <w:p w:rsidR="00871EE7" w:rsidRPr="007C51D6" w:rsidRDefault="00871EE7" w:rsidP="00871EE7">
            <w:pPr>
              <w:autoSpaceDE/>
              <w:autoSpaceDN/>
              <w:adjustRightInd/>
              <w:jc w:val="center"/>
              <w:rPr>
                <w:rFonts w:eastAsia="Arial"/>
                <w:sz w:val="20"/>
                <w:szCs w:val="22"/>
              </w:rPr>
            </w:pPr>
            <w:r w:rsidRPr="007C51D6">
              <w:rPr>
                <w:rFonts w:eastAsia="Arial"/>
                <w:sz w:val="20"/>
                <w:szCs w:val="22"/>
              </w:rPr>
              <w:t>8</w:t>
            </w:r>
          </w:p>
        </w:tc>
        <w:tc>
          <w:tcPr>
            <w:tcW w:w="1120" w:type="dxa"/>
          </w:tcPr>
          <w:p w:rsidR="00871EE7" w:rsidRPr="007C51D6" w:rsidRDefault="00871EE7" w:rsidP="00871EE7">
            <w:pPr>
              <w:autoSpaceDE/>
              <w:autoSpaceDN/>
              <w:adjustRightInd/>
              <w:jc w:val="center"/>
              <w:rPr>
                <w:rFonts w:eastAsia="Arial"/>
                <w:sz w:val="20"/>
                <w:szCs w:val="22"/>
              </w:rPr>
            </w:pPr>
            <w:r w:rsidRPr="007C51D6">
              <w:rPr>
                <w:rFonts w:eastAsia="Arial"/>
                <w:sz w:val="20"/>
                <w:szCs w:val="22"/>
              </w:rPr>
              <w:t>9</w:t>
            </w:r>
          </w:p>
        </w:tc>
        <w:tc>
          <w:tcPr>
            <w:tcW w:w="995" w:type="dxa"/>
          </w:tcPr>
          <w:p w:rsidR="00871EE7" w:rsidRPr="007C51D6" w:rsidRDefault="00871EE7" w:rsidP="00871EE7">
            <w:pPr>
              <w:autoSpaceDE/>
              <w:autoSpaceDN/>
              <w:adjustRightInd/>
              <w:jc w:val="center"/>
              <w:rPr>
                <w:rFonts w:eastAsia="Arial"/>
                <w:sz w:val="20"/>
                <w:szCs w:val="22"/>
              </w:rPr>
            </w:pPr>
            <w:r w:rsidRPr="007C51D6">
              <w:rPr>
                <w:rFonts w:eastAsia="Arial"/>
                <w:sz w:val="20"/>
                <w:szCs w:val="22"/>
              </w:rPr>
              <w:t>10</w:t>
            </w:r>
          </w:p>
        </w:tc>
        <w:tc>
          <w:tcPr>
            <w:tcW w:w="1562" w:type="dxa"/>
            <w:gridSpan w:val="2"/>
          </w:tcPr>
          <w:p w:rsidR="00871EE7" w:rsidRPr="007C51D6" w:rsidRDefault="00871EE7" w:rsidP="00871EE7">
            <w:pPr>
              <w:autoSpaceDE/>
              <w:autoSpaceDN/>
              <w:adjustRightInd/>
              <w:jc w:val="center"/>
              <w:rPr>
                <w:rFonts w:eastAsia="Arial"/>
                <w:sz w:val="20"/>
                <w:szCs w:val="22"/>
              </w:rPr>
            </w:pPr>
            <w:r w:rsidRPr="007C51D6">
              <w:rPr>
                <w:rFonts w:eastAsia="Arial"/>
                <w:sz w:val="20"/>
                <w:szCs w:val="22"/>
              </w:rPr>
              <w:t>11</w:t>
            </w:r>
          </w:p>
        </w:tc>
      </w:tr>
      <w:tr w:rsidR="00871EE7" w:rsidRPr="007C51D6" w:rsidTr="00177819">
        <w:trPr>
          <w:trHeight w:val="20"/>
        </w:trPr>
        <w:tc>
          <w:tcPr>
            <w:tcW w:w="4372" w:type="dxa"/>
            <w:shd w:val="clear" w:color="auto" w:fill="auto"/>
          </w:tcPr>
          <w:p w:rsidR="00871EE7" w:rsidRPr="007C51D6" w:rsidRDefault="00871EE7" w:rsidP="00871EE7">
            <w:pPr>
              <w:autoSpaceDE/>
              <w:autoSpaceDN/>
              <w:adjustRightInd/>
              <w:jc w:val="both"/>
              <w:rPr>
                <w:rFonts w:eastAsia="Arial"/>
                <w:sz w:val="20"/>
                <w:szCs w:val="22"/>
              </w:rPr>
            </w:pPr>
            <w:r w:rsidRPr="007C51D6">
              <w:rPr>
                <w:rFonts w:eastAsia="Arial"/>
                <w:sz w:val="20"/>
                <w:szCs w:val="22"/>
              </w:rPr>
              <w:t>прямой кишки, ректосигмоидного соединения, ануса</w:t>
            </w:r>
          </w:p>
        </w:tc>
        <w:tc>
          <w:tcPr>
            <w:tcW w:w="997" w:type="dxa"/>
            <w:shd w:val="clear" w:color="auto" w:fill="auto"/>
          </w:tcPr>
          <w:p w:rsidR="00871EE7" w:rsidRPr="007C51D6" w:rsidRDefault="00871EE7" w:rsidP="00871EE7">
            <w:pPr>
              <w:autoSpaceDE/>
              <w:autoSpaceDN/>
              <w:adjustRightInd/>
              <w:jc w:val="center"/>
              <w:rPr>
                <w:rFonts w:eastAsia="Arial"/>
                <w:sz w:val="20"/>
                <w:szCs w:val="22"/>
              </w:rPr>
            </w:pPr>
            <w:r w:rsidRPr="007C51D6">
              <w:rPr>
                <w:rFonts w:eastAsia="Arial"/>
                <w:sz w:val="20"/>
                <w:szCs w:val="22"/>
              </w:rPr>
              <w:t>20,16</w:t>
            </w:r>
          </w:p>
        </w:tc>
        <w:tc>
          <w:tcPr>
            <w:tcW w:w="971" w:type="dxa"/>
            <w:shd w:val="clear" w:color="auto" w:fill="auto"/>
          </w:tcPr>
          <w:p w:rsidR="00871EE7" w:rsidRPr="007C51D6" w:rsidRDefault="00871EE7" w:rsidP="00871EE7">
            <w:pPr>
              <w:autoSpaceDE/>
              <w:autoSpaceDN/>
              <w:adjustRightInd/>
              <w:jc w:val="center"/>
              <w:rPr>
                <w:rFonts w:eastAsia="Arial"/>
                <w:sz w:val="20"/>
                <w:szCs w:val="22"/>
              </w:rPr>
            </w:pPr>
            <w:r w:rsidRPr="007C51D6">
              <w:rPr>
                <w:rFonts w:eastAsia="Arial"/>
                <w:sz w:val="20"/>
                <w:szCs w:val="22"/>
              </w:rPr>
              <w:t>22,98</w:t>
            </w:r>
          </w:p>
        </w:tc>
        <w:tc>
          <w:tcPr>
            <w:tcW w:w="1042" w:type="dxa"/>
            <w:shd w:val="clear" w:color="auto" w:fill="auto"/>
          </w:tcPr>
          <w:p w:rsidR="00871EE7" w:rsidRPr="007C51D6" w:rsidRDefault="00871EE7" w:rsidP="00871EE7">
            <w:pPr>
              <w:autoSpaceDE/>
              <w:autoSpaceDN/>
              <w:adjustRightInd/>
              <w:jc w:val="center"/>
              <w:rPr>
                <w:rFonts w:eastAsia="Arial"/>
                <w:sz w:val="20"/>
                <w:szCs w:val="22"/>
              </w:rPr>
            </w:pPr>
            <w:r w:rsidRPr="007C51D6">
              <w:rPr>
                <w:rFonts w:eastAsia="Arial"/>
                <w:sz w:val="20"/>
                <w:szCs w:val="22"/>
              </w:rPr>
              <w:t>22,62</w:t>
            </w:r>
          </w:p>
        </w:tc>
        <w:tc>
          <w:tcPr>
            <w:tcW w:w="1046" w:type="dxa"/>
            <w:shd w:val="clear" w:color="auto" w:fill="auto"/>
          </w:tcPr>
          <w:p w:rsidR="00871EE7" w:rsidRPr="007C51D6" w:rsidRDefault="00871EE7" w:rsidP="00871EE7">
            <w:pPr>
              <w:autoSpaceDE/>
              <w:autoSpaceDN/>
              <w:adjustRightInd/>
              <w:jc w:val="center"/>
              <w:rPr>
                <w:rFonts w:eastAsia="Arial"/>
                <w:sz w:val="20"/>
                <w:szCs w:val="22"/>
              </w:rPr>
            </w:pPr>
            <w:r w:rsidRPr="007C51D6">
              <w:rPr>
                <w:rFonts w:eastAsia="Arial"/>
                <w:sz w:val="20"/>
                <w:szCs w:val="22"/>
              </w:rPr>
              <w:t>21,59</w:t>
            </w:r>
          </w:p>
        </w:tc>
        <w:tc>
          <w:tcPr>
            <w:tcW w:w="969" w:type="dxa"/>
            <w:shd w:val="clear" w:color="auto" w:fill="auto"/>
          </w:tcPr>
          <w:p w:rsidR="00871EE7" w:rsidRPr="007C51D6" w:rsidRDefault="00871EE7" w:rsidP="00871EE7">
            <w:pPr>
              <w:autoSpaceDE/>
              <w:autoSpaceDN/>
              <w:adjustRightInd/>
              <w:jc w:val="center"/>
              <w:rPr>
                <w:rFonts w:eastAsia="Arial"/>
                <w:sz w:val="20"/>
                <w:szCs w:val="22"/>
              </w:rPr>
            </w:pPr>
            <w:r w:rsidRPr="007C51D6">
              <w:rPr>
                <w:rFonts w:eastAsia="Arial"/>
                <w:sz w:val="20"/>
                <w:szCs w:val="22"/>
              </w:rPr>
              <w:t>17,91</w:t>
            </w:r>
          </w:p>
        </w:tc>
        <w:tc>
          <w:tcPr>
            <w:tcW w:w="1020" w:type="dxa"/>
          </w:tcPr>
          <w:p w:rsidR="00871EE7" w:rsidRPr="007C51D6" w:rsidRDefault="00871EE7" w:rsidP="00871EE7">
            <w:pPr>
              <w:autoSpaceDE/>
              <w:autoSpaceDN/>
              <w:adjustRightInd/>
              <w:jc w:val="center"/>
              <w:rPr>
                <w:rFonts w:eastAsia="Arial"/>
                <w:sz w:val="20"/>
                <w:szCs w:val="22"/>
              </w:rPr>
            </w:pPr>
            <w:r w:rsidRPr="007C51D6">
              <w:rPr>
                <w:rFonts w:eastAsia="Arial"/>
                <w:sz w:val="20"/>
                <w:szCs w:val="22"/>
              </w:rPr>
              <w:t>24,67</w:t>
            </w:r>
          </w:p>
        </w:tc>
        <w:tc>
          <w:tcPr>
            <w:tcW w:w="1071" w:type="dxa"/>
          </w:tcPr>
          <w:p w:rsidR="00871EE7" w:rsidRPr="007C51D6" w:rsidRDefault="00871EE7" w:rsidP="00871EE7">
            <w:pPr>
              <w:jc w:val="center"/>
              <w:rPr>
                <w:color w:val="000000"/>
                <w:sz w:val="20"/>
                <w:szCs w:val="20"/>
              </w:rPr>
            </w:pPr>
            <w:r w:rsidRPr="007C51D6">
              <w:rPr>
                <w:color w:val="000000"/>
                <w:sz w:val="20"/>
                <w:szCs w:val="20"/>
              </w:rPr>
              <w:t>20,05</w:t>
            </w:r>
          </w:p>
        </w:tc>
        <w:tc>
          <w:tcPr>
            <w:tcW w:w="1120" w:type="dxa"/>
          </w:tcPr>
          <w:p w:rsidR="00871EE7" w:rsidRPr="007C51D6" w:rsidRDefault="00871EE7" w:rsidP="00871EE7">
            <w:pPr>
              <w:jc w:val="center"/>
              <w:rPr>
                <w:color w:val="000000"/>
                <w:sz w:val="20"/>
                <w:szCs w:val="20"/>
              </w:rPr>
            </w:pPr>
            <w:r w:rsidRPr="007C51D6">
              <w:rPr>
                <w:color w:val="000000"/>
                <w:sz w:val="20"/>
                <w:szCs w:val="20"/>
              </w:rPr>
              <w:t>24,23</w:t>
            </w:r>
          </w:p>
        </w:tc>
        <w:tc>
          <w:tcPr>
            <w:tcW w:w="995" w:type="dxa"/>
          </w:tcPr>
          <w:p w:rsidR="00871EE7" w:rsidRPr="007C51D6" w:rsidRDefault="00871EE7" w:rsidP="00871EE7">
            <w:pPr>
              <w:jc w:val="center"/>
              <w:rPr>
                <w:color w:val="000000"/>
                <w:sz w:val="20"/>
                <w:szCs w:val="20"/>
              </w:rPr>
            </w:pPr>
            <w:r w:rsidRPr="007C51D6">
              <w:rPr>
                <w:color w:val="000000"/>
                <w:sz w:val="20"/>
                <w:szCs w:val="20"/>
              </w:rPr>
              <w:t>19,56</w:t>
            </w:r>
          </w:p>
        </w:tc>
        <w:tc>
          <w:tcPr>
            <w:tcW w:w="1562" w:type="dxa"/>
            <w:gridSpan w:val="2"/>
          </w:tcPr>
          <w:p w:rsidR="00871EE7" w:rsidRPr="007C51D6" w:rsidRDefault="00871EE7" w:rsidP="00871EE7">
            <w:pPr>
              <w:jc w:val="center"/>
            </w:pPr>
            <w:r w:rsidRPr="007C51D6">
              <w:rPr>
                <w:color w:val="000000"/>
                <w:sz w:val="20"/>
                <w:szCs w:val="20"/>
              </w:rPr>
              <w:t>нет данных</w:t>
            </w:r>
          </w:p>
        </w:tc>
      </w:tr>
      <w:tr w:rsidR="00871EE7" w:rsidRPr="007C51D6" w:rsidTr="00177819">
        <w:trPr>
          <w:trHeight w:val="20"/>
        </w:trPr>
        <w:tc>
          <w:tcPr>
            <w:tcW w:w="4372" w:type="dxa"/>
            <w:shd w:val="clear" w:color="auto" w:fill="auto"/>
          </w:tcPr>
          <w:p w:rsidR="00871EE7" w:rsidRPr="007C51D6" w:rsidRDefault="00871EE7" w:rsidP="00871EE7">
            <w:pPr>
              <w:autoSpaceDE/>
              <w:autoSpaceDN/>
              <w:adjustRightInd/>
              <w:jc w:val="both"/>
              <w:rPr>
                <w:rFonts w:eastAsia="Arial"/>
                <w:sz w:val="20"/>
                <w:szCs w:val="22"/>
              </w:rPr>
            </w:pPr>
            <w:r w:rsidRPr="007C51D6">
              <w:rPr>
                <w:rFonts w:eastAsia="Arial"/>
                <w:sz w:val="20"/>
                <w:szCs w:val="22"/>
              </w:rPr>
              <w:t>желудка</w:t>
            </w:r>
          </w:p>
        </w:tc>
        <w:tc>
          <w:tcPr>
            <w:tcW w:w="997" w:type="dxa"/>
            <w:shd w:val="clear" w:color="auto" w:fill="auto"/>
          </w:tcPr>
          <w:p w:rsidR="00871EE7" w:rsidRPr="007C51D6" w:rsidRDefault="00871EE7" w:rsidP="00871EE7">
            <w:pPr>
              <w:autoSpaceDE/>
              <w:autoSpaceDN/>
              <w:adjustRightInd/>
              <w:jc w:val="center"/>
              <w:rPr>
                <w:rFonts w:eastAsia="Arial"/>
                <w:sz w:val="20"/>
                <w:szCs w:val="22"/>
              </w:rPr>
            </w:pPr>
            <w:r w:rsidRPr="007C51D6">
              <w:rPr>
                <w:rFonts w:eastAsia="Arial"/>
                <w:sz w:val="20"/>
                <w:szCs w:val="22"/>
              </w:rPr>
              <w:t>20,55</w:t>
            </w:r>
          </w:p>
        </w:tc>
        <w:tc>
          <w:tcPr>
            <w:tcW w:w="971" w:type="dxa"/>
            <w:shd w:val="clear" w:color="auto" w:fill="auto"/>
          </w:tcPr>
          <w:p w:rsidR="00871EE7" w:rsidRPr="007C51D6" w:rsidRDefault="00871EE7" w:rsidP="00871EE7">
            <w:pPr>
              <w:autoSpaceDE/>
              <w:autoSpaceDN/>
              <w:adjustRightInd/>
              <w:jc w:val="center"/>
              <w:rPr>
                <w:rFonts w:eastAsia="Arial"/>
                <w:sz w:val="20"/>
                <w:szCs w:val="22"/>
              </w:rPr>
            </w:pPr>
            <w:r w:rsidRPr="007C51D6">
              <w:rPr>
                <w:rFonts w:eastAsia="Arial"/>
                <w:sz w:val="20"/>
                <w:szCs w:val="22"/>
              </w:rPr>
              <w:t>19,87</w:t>
            </w:r>
          </w:p>
        </w:tc>
        <w:tc>
          <w:tcPr>
            <w:tcW w:w="1042" w:type="dxa"/>
            <w:shd w:val="clear" w:color="auto" w:fill="auto"/>
          </w:tcPr>
          <w:p w:rsidR="00871EE7" w:rsidRPr="007C51D6" w:rsidRDefault="00871EE7" w:rsidP="00871EE7">
            <w:pPr>
              <w:autoSpaceDE/>
              <w:autoSpaceDN/>
              <w:adjustRightInd/>
              <w:jc w:val="center"/>
              <w:rPr>
                <w:rFonts w:eastAsia="Arial"/>
                <w:sz w:val="20"/>
                <w:szCs w:val="22"/>
              </w:rPr>
            </w:pPr>
            <w:r w:rsidRPr="007C51D6">
              <w:rPr>
                <w:rFonts w:eastAsia="Arial"/>
                <w:sz w:val="20"/>
                <w:szCs w:val="22"/>
              </w:rPr>
              <w:t>23,43</w:t>
            </w:r>
          </w:p>
        </w:tc>
        <w:tc>
          <w:tcPr>
            <w:tcW w:w="1046" w:type="dxa"/>
            <w:shd w:val="clear" w:color="auto" w:fill="auto"/>
          </w:tcPr>
          <w:p w:rsidR="00871EE7" w:rsidRPr="007C51D6" w:rsidRDefault="00871EE7" w:rsidP="00871EE7">
            <w:pPr>
              <w:autoSpaceDE/>
              <w:autoSpaceDN/>
              <w:adjustRightInd/>
              <w:jc w:val="center"/>
              <w:rPr>
                <w:rFonts w:eastAsia="Arial"/>
                <w:sz w:val="20"/>
                <w:szCs w:val="22"/>
              </w:rPr>
            </w:pPr>
            <w:r w:rsidRPr="007C51D6">
              <w:rPr>
                <w:rFonts w:eastAsia="Arial"/>
                <w:sz w:val="20"/>
                <w:szCs w:val="22"/>
              </w:rPr>
              <w:t>21,55</w:t>
            </w:r>
          </w:p>
        </w:tc>
        <w:tc>
          <w:tcPr>
            <w:tcW w:w="969" w:type="dxa"/>
            <w:shd w:val="clear" w:color="auto" w:fill="auto"/>
          </w:tcPr>
          <w:p w:rsidR="00871EE7" w:rsidRPr="007C51D6" w:rsidRDefault="00871EE7" w:rsidP="00871EE7">
            <w:pPr>
              <w:autoSpaceDE/>
              <w:autoSpaceDN/>
              <w:adjustRightInd/>
              <w:jc w:val="center"/>
              <w:rPr>
                <w:rFonts w:eastAsia="Arial"/>
                <w:sz w:val="20"/>
                <w:szCs w:val="22"/>
              </w:rPr>
            </w:pPr>
            <w:r w:rsidRPr="007C51D6">
              <w:rPr>
                <w:rFonts w:eastAsia="Arial"/>
                <w:sz w:val="20"/>
                <w:szCs w:val="22"/>
              </w:rPr>
              <w:t>17,52</w:t>
            </w:r>
          </w:p>
        </w:tc>
        <w:tc>
          <w:tcPr>
            <w:tcW w:w="1020" w:type="dxa"/>
          </w:tcPr>
          <w:p w:rsidR="00871EE7" w:rsidRPr="007C51D6" w:rsidRDefault="00871EE7" w:rsidP="00871EE7">
            <w:pPr>
              <w:autoSpaceDE/>
              <w:autoSpaceDN/>
              <w:adjustRightInd/>
              <w:jc w:val="center"/>
              <w:rPr>
                <w:rFonts w:eastAsia="Arial"/>
                <w:sz w:val="20"/>
                <w:szCs w:val="22"/>
              </w:rPr>
            </w:pPr>
            <w:r w:rsidRPr="007C51D6">
              <w:rPr>
                <w:rFonts w:eastAsia="Arial"/>
                <w:sz w:val="20"/>
                <w:szCs w:val="22"/>
              </w:rPr>
              <w:t>19,12</w:t>
            </w:r>
          </w:p>
        </w:tc>
        <w:tc>
          <w:tcPr>
            <w:tcW w:w="1071" w:type="dxa"/>
          </w:tcPr>
          <w:p w:rsidR="00871EE7" w:rsidRPr="007C51D6" w:rsidRDefault="00871EE7" w:rsidP="00871EE7">
            <w:pPr>
              <w:jc w:val="center"/>
              <w:rPr>
                <w:color w:val="000000"/>
                <w:sz w:val="20"/>
                <w:szCs w:val="20"/>
              </w:rPr>
            </w:pPr>
            <w:r w:rsidRPr="007C51D6">
              <w:rPr>
                <w:color w:val="000000"/>
                <w:sz w:val="20"/>
                <w:szCs w:val="20"/>
              </w:rPr>
              <w:t>19,62</w:t>
            </w:r>
          </w:p>
        </w:tc>
        <w:tc>
          <w:tcPr>
            <w:tcW w:w="1120" w:type="dxa"/>
          </w:tcPr>
          <w:p w:rsidR="00871EE7" w:rsidRPr="007C51D6" w:rsidRDefault="00871EE7" w:rsidP="00871EE7">
            <w:pPr>
              <w:jc w:val="center"/>
              <w:rPr>
                <w:color w:val="000000"/>
                <w:sz w:val="20"/>
                <w:szCs w:val="20"/>
              </w:rPr>
            </w:pPr>
            <w:r w:rsidRPr="007C51D6">
              <w:rPr>
                <w:color w:val="000000"/>
                <w:sz w:val="20"/>
                <w:szCs w:val="20"/>
              </w:rPr>
              <w:t>20,95</w:t>
            </w:r>
          </w:p>
        </w:tc>
        <w:tc>
          <w:tcPr>
            <w:tcW w:w="995" w:type="dxa"/>
          </w:tcPr>
          <w:p w:rsidR="00871EE7" w:rsidRPr="007C51D6" w:rsidRDefault="00871EE7" w:rsidP="00871EE7">
            <w:pPr>
              <w:jc w:val="center"/>
              <w:rPr>
                <w:color w:val="000000"/>
                <w:sz w:val="20"/>
                <w:szCs w:val="20"/>
              </w:rPr>
            </w:pPr>
            <w:r w:rsidRPr="007C51D6">
              <w:rPr>
                <w:color w:val="000000"/>
                <w:sz w:val="20"/>
                <w:szCs w:val="20"/>
              </w:rPr>
              <w:t>21,34</w:t>
            </w:r>
          </w:p>
        </w:tc>
        <w:tc>
          <w:tcPr>
            <w:tcW w:w="1562" w:type="dxa"/>
            <w:gridSpan w:val="2"/>
          </w:tcPr>
          <w:p w:rsidR="00871EE7" w:rsidRPr="007C51D6" w:rsidRDefault="00871EE7" w:rsidP="00871EE7">
            <w:pPr>
              <w:jc w:val="center"/>
            </w:pPr>
            <w:r w:rsidRPr="007C51D6">
              <w:rPr>
                <w:color w:val="000000"/>
                <w:sz w:val="20"/>
                <w:szCs w:val="20"/>
              </w:rPr>
              <w:t>нет данных</w:t>
            </w:r>
          </w:p>
        </w:tc>
      </w:tr>
      <w:tr w:rsidR="00871EE7" w:rsidRPr="007C51D6" w:rsidTr="00177819">
        <w:trPr>
          <w:trHeight w:val="20"/>
        </w:trPr>
        <w:tc>
          <w:tcPr>
            <w:tcW w:w="4372" w:type="dxa"/>
            <w:shd w:val="clear" w:color="auto" w:fill="auto"/>
          </w:tcPr>
          <w:p w:rsidR="00871EE7" w:rsidRPr="007C51D6" w:rsidRDefault="00871EE7" w:rsidP="00871EE7">
            <w:pPr>
              <w:autoSpaceDE/>
              <w:autoSpaceDN/>
              <w:adjustRightInd/>
              <w:jc w:val="both"/>
              <w:rPr>
                <w:rFonts w:eastAsia="Arial"/>
                <w:sz w:val="20"/>
                <w:szCs w:val="22"/>
              </w:rPr>
            </w:pPr>
            <w:r w:rsidRPr="007C51D6">
              <w:rPr>
                <w:rFonts w:eastAsia="Arial"/>
                <w:sz w:val="20"/>
                <w:szCs w:val="22"/>
              </w:rPr>
              <w:t>трахеи, бронхов, легких</w:t>
            </w:r>
          </w:p>
        </w:tc>
        <w:tc>
          <w:tcPr>
            <w:tcW w:w="997" w:type="dxa"/>
            <w:shd w:val="clear" w:color="auto" w:fill="auto"/>
          </w:tcPr>
          <w:p w:rsidR="00871EE7" w:rsidRPr="007C51D6" w:rsidRDefault="00871EE7" w:rsidP="00871EE7">
            <w:pPr>
              <w:autoSpaceDE/>
              <w:autoSpaceDN/>
              <w:adjustRightInd/>
              <w:jc w:val="center"/>
              <w:rPr>
                <w:rFonts w:eastAsia="Arial"/>
                <w:sz w:val="20"/>
                <w:szCs w:val="22"/>
              </w:rPr>
            </w:pPr>
            <w:r w:rsidRPr="007C51D6">
              <w:rPr>
                <w:rFonts w:eastAsia="Arial"/>
                <w:sz w:val="20"/>
                <w:szCs w:val="22"/>
              </w:rPr>
              <w:t>15,79</w:t>
            </w:r>
          </w:p>
        </w:tc>
        <w:tc>
          <w:tcPr>
            <w:tcW w:w="971" w:type="dxa"/>
            <w:shd w:val="clear" w:color="auto" w:fill="auto"/>
          </w:tcPr>
          <w:p w:rsidR="00871EE7" w:rsidRPr="007C51D6" w:rsidRDefault="00871EE7" w:rsidP="00871EE7">
            <w:pPr>
              <w:autoSpaceDE/>
              <w:autoSpaceDN/>
              <w:adjustRightInd/>
              <w:jc w:val="center"/>
              <w:rPr>
                <w:rFonts w:eastAsia="Arial"/>
                <w:sz w:val="20"/>
                <w:szCs w:val="22"/>
              </w:rPr>
            </w:pPr>
            <w:r w:rsidRPr="007C51D6">
              <w:rPr>
                <w:rFonts w:eastAsia="Arial"/>
                <w:sz w:val="20"/>
                <w:szCs w:val="22"/>
              </w:rPr>
              <w:t>15,94</w:t>
            </w:r>
          </w:p>
        </w:tc>
        <w:tc>
          <w:tcPr>
            <w:tcW w:w="1042" w:type="dxa"/>
            <w:shd w:val="clear" w:color="auto" w:fill="auto"/>
          </w:tcPr>
          <w:p w:rsidR="00871EE7" w:rsidRPr="007C51D6" w:rsidRDefault="00871EE7" w:rsidP="00871EE7">
            <w:pPr>
              <w:autoSpaceDE/>
              <w:autoSpaceDN/>
              <w:adjustRightInd/>
              <w:jc w:val="center"/>
              <w:rPr>
                <w:rFonts w:eastAsia="Arial"/>
                <w:sz w:val="20"/>
                <w:szCs w:val="22"/>
              </w:rPr>
            </w:pPr>
            <w:r w:rsidRPr="007C51D6">
              <w:rPr>
                <w:rFonts w:eastAsia="Arial"/>
                <w:sz w:val="20"/>
                <w:szCs w:val="22"/>
              </w:rPr>
              <w:t>15,06</w:t>
            </w:r>
          </w:p>
        </w:tc>
        <w:tc>
          <w:tcPr>
            <w:tcW w:w="1046" w:type="dxa"/>
            <w:shd w:val="clear" w:color="auto" w:fill="auto"/>
          </w:tcPr>
          <w:p w:rsidR="00871EE7" w:rsidRPr="007C51D6" w:rsidRDefault="00871EE7" w:rsidP="00871EE7">
            <w:pPr>
              <w:autoSpaceDE/>
              <w:autoSpaceDN/>
              <w:adjustRightInd/>
              <w:jc w:val="center"/>
              <w:rPr>
                <w:rFonts w:eastAsia="Arial"/>
                <w:sz w:val="20"/>
                <w:szCs w:val="22"/>
              </w:rPr>
            </w:pPr>
            <w:r w:rsidRPr="007C51D6">
              <w:rPr>
                <w:rFonts w:eastAsia="Arial"/>
                <w:sz w:val="20"/>
                <w:szCs w:val="22"/>
              </w:rPr>
              <w:t>14,71</w:t>
            </w:r>
          </w:p>
        </w:tc>
        <w:tc>
          <w:tcPr>
            <w:tcW w:w="969" w:type="dxa"/>
            <w:shd w:val="clear" w:color="auto" w:fill="auto"/>
          </w:tcPr>
          <w:p w:rsidR="00871EE7" w:rsidRPr="007C51D6" w:rsidRDefault="00871EE7" w:rsidP="00871EE7">
            <w:pPr>
              <w:autoSpaceDE/>
              <w:autoSpaceDN/>
              <w:adjustRightInd/>
              <w:jc w:val="center"/>
              <w:rPr>
                <w:rFonts w:eastAsia="Arial"/>
                <w:sz w:val="20"/>
                <w:szCs w:val="22"/>
              </w:rPr>
            </w:pPr>
            <w:r w:rsidRPr="007C51D6">
              <w:rPr>
                <w:rFonts w:eastAsia="Arial"/>
                <w:sz w:val="20"/>
                <w:szCs w:val="22"/>
              </w:rPr>
              <w:t>13,13</w:t>
            </w:r>
          </w:p>
        </w:tc>
        <w:tc>
          <w:tcPr>
            <w:tcW w:w="1020" w:type="dxa"/>
          </w:tcPr>
          <w:p w:rsidR="00871EE7" w:rsidRPr="007C51D6" w:rsidRDefault="00871EE7" w:rsidP="00871EE7">
            <w:pPr>
              <w:autoSpaceDE/>
              <w:autoSpaceDN/>
              <w:adjustRightInd/>
              <w:jc w:val="center"/>
              <w:rPr>
                <w:rFonts w:eastAsia="Arial"/>
                <w:sz w:val="20"/>
                <w:szCs w:val="22"/>
              </w:rPr>
            </w:pPr>
            <w:r w:rsidRPr="007C51D6">
              <w:rPr>
                <w:rFonts w:eastAsia="Arial"/>
                <w:sz w:val="20"/>
                <w:szCs w:val="22"/>
              </w:rPr>
              <w:t>16,72</w:t>
            </w:r>
          </w:p>
        </w:tc>
        <w:tc>
          <w:tcPr>
            <w:tcW w:w="1071" w:type="dxa"/>
          </w:tcPr>
          <w:p w:rsidR="00871EE7" w:rsidRPr="007C51D6" w:rsidRDefault="00871EE7" w:rsidP="00871EE7">
            <w:pPr>
              <w:jc w:val="center"/>
              <w:rPr>
                <w:color w:val="000000"/>
                <w:sz w:val="20"/>
                <w:szCs w:val="20"/>
              </w:rPr>
            </w:pPr>
            <w:r w:rsidRPr="007C51D6">
              <w:rPr>
                <w:color w:val="000000"/>
                <w:sz w:val="20"/>
                <w:szCs w:val="20"/>
              </w:rPr>
              <w:t>15,98</w:t>
            </w:r>
          </w:p>
        </w:tc>
        <w:tc>
          <w:tcPr>
            <w:tcW w:w="1120" w:type="dxa"/>
          </w:tcPr>
          <w:p w:rsidR="00871EE7" w:rsidRPr="007C51D6" w:rsidRDefault="00871EE7" w:rsidP="00871EE7">
            <w:pPr>
              <w:jc w:val="center"/>
              <w:rPr>
                <w:color w:val="000000"/>
                <w:sz w:val="20"/>
                <w:szCs w:val="20"/>
              </w:rPr>
            </w:pPr>
            <w:r w:rsidRPr="007C51D6">
              <w:rPr>
                <w:color w:val="000000"/>
                <w:sz w:val="20"/>
                <w:szCs w:val="20"/>
              </w:rPr>
              <w:t>16,36</w:t>
            </w:r>
          </w:p>
        </w:tc>
        <w:tc>
          <w:tcPr>
            <w:tcW w:w="995" w:type="dxa"/>
          </w:tcPr>
          <w:p w:rsidR="00871EE7" w:rsidRPr="007C51D6" w:rsidRDefault="00871EE7" w:rsidP="00871EE7">
            <w:pPr>
              <w:jc w:val="center"/>
              <w:rPr>
                <w:color w:val="000000"/>
                <w:sz w:val="20"/>
                <w:szCs w:val="20"/>
              </w:rPr>
            </w:pPr>
            <w:r w:rsidRPr="007C51D6">
              <w:rPr>
                <w:color w:val="000000"/>
                <w:sz w:val="20"/>
                <w:szCs w:val="20"/>
              </w:rPr>
              <w:t>20,07</w:t>
            </w:r>
          </w:p>
        </w:tc>
        <w:tc>
          <w:tcPr>
            <w:tcW w:w="1562" w:type="dxa"/>
            <w:gridSpan w:val="2"/>
          </w:tcPr>
          <w:p w:rsidR="00871EE7" w:rsidRPr="007C51D6" w:rsidRDefault="00871EE7" w:rsidP="00871EE7">
            <w:pPr>
              <w:jc w:val="center"/>
            </w:pPr>
            <w:r w:rsidRPr="007C51D6">
              <w:rPr>
                <w:color w:val="000000"/>
                <w:sz w:val="20"/>
                <w:szCs w:val="20"/>
              </w:rPr>
              <w:t>нет данных</w:t>
            </w:r>
          </w:p>
        </w:tc>
      </w:tr>
      <w:tr w:rsidR="00871EE7" w:rsidRPr="007C51D6" w:rsidTr="00360A0B">
        <w:trPr>
          <w:gridAfter w:val="1"/>
          <w:wAfter w:w="31" w:type="dxa"/>
          <w:trHeight w:val="20"/>
        </w:trPr>
        <w:tc>
          <w:tcPr>
            <w:tcW w:w="15134" w:type="dxa"/>
            <w:gridSpan w:val="11"/>
            <w:shd w:val="clear" w:color="auto" w:fill="auto"/>
          </w:tcPr>
          <w:p w:rsidR="00871EE7" w:rsidRPr="007C51D6" w:rsidRDefault="00871EE7" w:rsidP="00871EE7">
            <w:pPr>
              <w:jc w:val="center"/>
              <w:rPr>
                <w:rFonts w:eastAsia="Arial"/>
                <w:sz w:val="20"/>
                <w:szCs w:val="22"/>
              </w:rPr>
            </w:pPr>
            <w:r w:rsidRPr="007C51D6">
              <w:rPr>
                <w:rFonts w:eastAsia="Arial"/>
                <w:sz w:val="20"/>
                <w:szCs w:val="22"/>
              </w:rPr>
              <w:t>Оба пола</w:t>
            </w:r>
          </w:p>
        </w:tc>
      </w:tr>
      <w:tr w:rsidR="00871EE7" w:rsidRPr="007C51D6" w:rsidTr="00177819">
        <w:trPr>
          <w:trHeight w:val="20"/>
        </w:trPr>
        <w:tc>
          <w:tcPr>
            <w:tcW w:w="4372" w:type="dxa"/>
            <w:shd w:val="clear" w:color="auto" w:fill="auto"/>
          </w:tcPr>
          <w:p w:rsidR="00871EE7" w:rsidRPr="007C51D6" w:rsidRDefault="00871EE7" w:rsidP="00871EE7">
            <w:pPr>
              <w:autoSpaceDE/>
              <w:autoSpaceDN/>
              <w:adjustRightInd/>
              <w:jc w:val="both"/>
              <w:rPr>
                <w:rFonts w:eastAsia="Arial"/>
                <w:sz w:val="20"/>
                <w:szCs w:val="22"/>
              </w:rPr>
            </w:pPr>
            <w:r w:rsidRPr="007C51D6">
              <w:rPr>
                <w:rFonts w:eastAsia="Arial"/>
                <w:sz w:val="20"/>
                <w:szCs w:val="22"/>
              </w:rPr>
              <w:t>Всего, в том числе:</w:t>
            </w:r>
          </w:p>
        </w:tc>
        <w:tc>
          <w:tcPr>
            <w:tcW w:w="997" w:type="dxa"/>
            <w:shd w:val="clear" w:color="auto" w:fill="auto"/>
          </w:tcPr>
          <w:p w:rsidR="00871EE7" w:rsidRPr="007C51D6" w:rsidRDefault="00871EE7" w:rsidP="00871EE7">
            <w:pPr>
              <w:autoSpaceDE/>
              <w:autoSpaceDN/>
              <w:adjustRightInd/>
              <w:jc w:val="center"/>
              <w:rPr>
                <w:rFonts w:eastAsia="Arial"/>
                <w:sz w:val="20"/>
                <w:szCs w:val="22"/>
              </w:rPr>
            </w:pPr>
            <w:r w:rsidRPr="007C51D6">
              <w:rPr>
                <w:rFonts w:eastAsia="Arial"/>
                <w:sz w:val="20"/>
                <w:szCs w:val="22"/>
              </w:rPr>
              <w:t>400,96</w:t>
            </w:r>
          </w:p>
        </w:tc>
        <w:tc>
          <w:tcPr>
            <w:tcW w:w="971" w:type="dxa"/>
            <w:shd w:val="clear" w:color="auto" w:fill="auto"/>
          </w:tcPr>
          <w:p w:rsidR="00871EE7" w:rsidRPr="007C51D6" w:rsidRDefault="00871EE7" w:rsidP="00871EE7">
            <w:pPr>
              <w:autoSpaceDE/>
              <w:autoSpaceDN/>
              <w:adjustRightInd/>
              <w:jc w:val="center"/>
              <w:rPr>
                <w:rFonts w:eastAsia="Arial"/>
                <w:sz w:val="20"/>
                <w:szCs w:val="22"/>
              </w:rPr>
            </w:pPr>
            <w:r w:rsidRPr="007C51D6">
              <w:rPr>
                <w:rFonts w:eastAsia="Arial"/>
                <w:sz w:val="20"/>
                <w:szCs w:val="22"/>
              </w:rPr>
              <w:t>412,47</w:t>
            </w:r>
          </w:p>
        </w:tc>
        <w:tc>
          <w:tcPr>
            <w:tcW w:w="1042" w:type="dxa"/>
            <w:shd w:val="clear" w:color="auto" w:fill="auto"/>
          </w:tcPr>
          <w:p w:rsidR="00871EE7" w:rsidRPr="007C51D6" w:rsidRDefault="00871EE7" w:rsidP="00871EE7">
            <w:pPr>
              <w:autoSpaceDE/>
              <w:autoSpaceDN/>
              <w:adjustRightInd/>
              <w:jc w:val="center"/>
              <w:rPr>
                <w:rFonts w:eastAsia="Arial"/>
                <w:sz w:val="20"/>
                <w:szCs w:val="22"/>
              </w:rPr>
            </w:pPr>
            <w:r w:rsidRPr="007C51D6">
              <w:rPr>
                <w:rFonts w:eastAsia="Arial"/>
                <w:sz w:val="20"/>
                <w:szCs w:val="22"/>
              </w:rPr>
              <w:t>418,46</w:t>
            </w:r>
          </w:p>
        </w:tc>
        <w:tc>
          <w:tcPr>
            <w:tcW w:w="1046" w:type="dxa"/>
            <w:shd w:val="clear" w:color="auto" w:fill="auto"/>
          </w:tcPr>
          <w:p w:rsidR="00871EE7" w:rsidRPr="007C51D6" w:rsidRDefault="00871EE7" w:rsidP="00871EE7">
            <w:pPr>
              <w:autoSpaceDE/>
              <w:autoSpaceDN/>
              <w:adjustRightInd/>
              <w:jc w:val="center"/>
              <w:rPr>
                <w:rFonts w:eastAsia="Arial"/>
                <w:sz w:val="20"/>
                <w:szCs w:val="22"/>
              </w:rPr>
            </w:pPr>
            <w:r w:rsidRPr="007C51D6">
              <w:rPr>
                <w:rFonts w:eastAsia="Arial"/>
                <w:sz w:val="20"/>
                <w:szCs w:val="22"/>
              </w:rPr>
              <w:t>423,17</w:t>
            </w:r>
          </w:p>
        </w:tc>
        <w:tc>
          <w:tcPr>
            <w:tcW w:w="969" w:type="dxa"/>
            <w:shd w:val="clear" w:color="auto" w:fill="auto"/>
          </w:tcPr>
          <w:p w:rsidR="00871EE7" w:rsidRPr="007C51D6" w:rsidRDefault="00871EE7" w:rsidP="00871EE7">
            <w:pPr>
              <w:autoSpaceDE/>
              <w:autoSpaceDN/>
              <w:adjustRightInd/>
              <w:jc w:val="center"/>
              <w:rPr>
                <w:rFonts w:eastAsia="Arial"/>
                <w:sz w:val="20"/>
                <w:szCs w:val="22"/>
              </w:rPr>
            </w:pPr>
            <w:r w:rsidRPr="007C51D6">
              <w:rPr>
                <w:rFonts w:eastAsia="Arial"/>
                <w:sz w:val="20"/>
                <w:szCs w:val="22"/>
              </w:rPr>
              <w:t>372,24</w:t>
            </w:r>
          </w:p>
        </w:tc>
        <w:tc>
          <w:tcPr>
            <w:tcW w:w="1020" w:type="dxa"/>
          </w:tcPr>
          <w:p w:rsidR="00871EE7" w:rsidRPr="007C51D6" w:rsidRDefault="00871EE7" w:rsidP="00871EE7">
            <w:pPr>
              <w:autoSpaceDE/>
              <w:autoSpaceDN/>
              <w:adjustRightInd/>
              <w:jc w:val="center"/>
              <w:rPr>
                <w:rFonts w:eastAsia="Arial"/>
                <w:sz w:val="20"/>
                <w:szCs w:val="22"/>
              </w:rPr>
            </w:pPr>
            <w:r w:rsidRPr="007C51D6">
              <w:rPr>
                <w:rFonts w:eastAsia="Arial"/>
                <w:sz w:val="20"/>
                <w:szCs w:val="22"/>
              </w:rPr>
              <w:t>429,48</w:t>
            </w:r>
          </w:p>
        </w:tc>
        <w:tc>
          <w:tcPr>
            <w:tcW w:w="1071" w:type="dxa"/>
          </w:tcPr>
          <w:p w:rsidR="00871EE7" w:rsidRPr="007C51D6" w:rsidRDefault="00871EE7" w:rsidP="00871EE7">
            <w:pPr>
              <w:autoSpaceDE/>
              <w:autoSpaceDN/>
              <w:adjustRightInd/>
              <w:jc w:val="center"/>
              <w:rPr>
                <w:color w:val="000000"/>
                <w:sz w:val="20"/>
                <w:szCs w:val="20"/>
              </w:rPr>
            </w:pPr>
            <w:r w:rsidRPr="007C51D6">
              <w:rPr>
                <w:color w:val="000000"/>
                <w:sz w:val="20"/>
                <w:szCs w:val="20"/>
              </w:rPr>
              <w:t>437,81</w:t>
            </w:r>
          </w:p>
        </w:tc>
        <w:tc>
          <w:tcPr>
            <w:tcW w:w="1120" w:type="dxa"/>
          </w:tcPr>
          <w:p w:rsidR="00871EE7" w:rsidRPr="007C51D6" w:rsidRDefault="00871EE7" w:rsidP="00871EE7">
            <w:pPr>
              <w:autoSpaceDE/>
              <w:autoSpaceDN/>
              <w:adjustRightInd/>
              <w:jc w:val="center"/>
              <w:rPr>
                <w:color w:val="000000"/>
                <w:sz w:val="20"/>
                <w:szCs w:val="20"/>
              </w:rPr>
            </w:pPr>
            <w:r w:rsidRPr="007C51D6">
              <w:rPr>
                <w:color w:val="000000"/>
                <w:sz w:val="20"/>
                <w:szCs w:val="20"/>
              </w:rPr>
              <w:t>453,54</w:t>
            </w:r>
          </w:p>
        </w:tc>
        <w:tc>
          <w:tcPr>
            <w:tcW w:w="995" w:type="dxa"/>
            <w:vAlign w:val="center"/>
          </w:tcPr>
          <w:p w:rsidR="00871EE7" w:rsidRPr="007C51D6" w:rsidRDefault="00871EE7" w:rsidP="00871EE7">
            <w:pPr>
              <w:autoSpaceDE/>
              <w:autoSpaceDN/>
              <w:adjustRightInd/>
              <w:jc w:val="center"/>
              <w:rPr>
                <w:color w:val="000000"/>
                <w:sz w:val="20"/>
                <w:szCs w:val="20"/>
              </w:rPr>
            </w:pPr>
            <w:r w:rsidRPr="007C51D6">
              <w:rPr>
                <w:color w:val="000000"/>
                <w:sz w:val="20"/>
                <w:szCs w:val="20"/>
              </w:rPr>
              <w:t>485,43</w:t>
            </w:r>
          </w:p>
        </w:tc>
        <w:tc>
          <w:tcPr>
            <w:tcW w:w="1562" w:type="dxa"/>
            <w:gridSpan w:val="2"/>
            <w:vAlign w:val="center"/>
          </w:tcPr>
          <w:p w:rsidR="00871EE7" w:rsidRPr="007C51D6" w:rsidRDefault="00871EE7" w:rsidP="00871EE7">
            <w:pPr>
              <w:widowControl/>
              <w:autoSpaceDE/>
              <w:autoSpaceDN/>
              <w:adjustRightInd/>
              <w:jc w:val="center"/>
              <w:rPr>
                <w:bCs/>
                <w:sz w:val="20"/>
                <w:szCs w:val="20"/>
              </w:rPr>
            </w:pPr>
            <w:r w:rsidRPr="007C51D6">
              <w:rPr>
                <w:bCs/>
                <w:sz w:val="20"/>
                <w:szCs w:val="20"/>
              </w:rPr>
              <w:t>508.34</w:t>
            </w:r>
          </w:p>
        </w:tc>
      </w:tr>
      <w:tr w:rsidR="00871EE7" w:rsidRPr="007C51D6" w:rsidTr="00177819">
        <w:trPr>
          <w:trHeight w:val="20"/>
        </w:trPr>
        <w:tc>
          <w:tcPr>
            <w:tcW w:w="4372" w:type="dxa"/>
            <w:shd w:val="clear" w:color="auto" w:fill="auto"/>
          </w:tcPr>
          <w:p w:rsidR="00871EE7" w:rsidRPr="007C51D6" w:rsidRDefault="00871EE7" w:rsidP="00871EE7">
            <w:pPr>
              <w:autoSpaceDE/>
              <w:autoSpaceDN/>
              <w:adjustRightInd/>
              <w:jc w:val="both"/>
              <w:rPr>
                <w:rFonts w:eastAsia="Arial"/>
                <w:sz w:val="20"/>
                <w:szCs w:val="22"/>
              </w:rPr>
            </w:pPr>
            <w:r w:rsidRPr="007C51D6">
              <w:rPr>
                <w:rFonts w:eastAsia="Arial"/>
                <w:sz w:val="20"/>
                <w:szCs w:val="22"/>
              </w:rPr>
              <w:t>молочной железы</w:t>
            </w:r>
          </w:p>
        </w:tc>
        <w:tc>
          <w:tcPr>
            <w:tcW w:w="997" w:type="dxa"/>
            <w:shd w:val="clear" w:color="auto" w:fill="auto"/>
          </w:tcPr>
          <w:p w:rsidR="00871EE7" w:rsidRPr="007C51D6" w:rsidRDefault="00871EE7" w:rsidP="00871EE7">
            <w:pPr>
              <w:autoSpaceDE/>
              <w:autoSpaceDN/>
              <w:adjustRightInd/>
              <w:jc w:val="center"/>
              <w:rPr>
                <w:rFonts w:eastAsia="Arial"/>
                <w:sz w:val="20"/>
                <w:szCs w:val="22"/>
              </w:rPr>
            </w:pPr>
            <w:r w:rsidRPr="007C51D6">
              <w:rPr>
                <w:rFonts w:eastAsia="Arial"/>
                <w:sz w:val="20"/>
                <w:szCs w:val="22"/>
              </w:rPr>
              <w:t>41,37</w:t>
            </w:r>
          </w:p>
        </w:tc>
        <w:tc>
          <w:tcPr>
            <w:tcW w:w="971" w:type="dxa"/>
            <w:shd w:val="clear" w:color="auto" w:fill="auto"/>
          </w:tcPr>
          <w:p w:rsidR="00871EE7" w:rsidRPr="007C51D6" w:rsidRDefault="00871EE7" w:rsidP="00871EE7">
            <w:pPr>
              <w:autoSpaceDE/>
              <w:autoSpaceDN/>
              <w:adjustRightInd/>
              <w:jc w:val="center"/>
              <w:rPr>
                <w:rFonts w:eastAsia="Arial"/>
                <w:sz w:val="20"/>
                <w:szCs w:val="22"/>
              </w:rPr>
            </w:pPr>
            <w:r w:rsidRPr="007C51D6">
              <w:rPr>
                <w:rFonts w:eastAsia="Arial"/>
                <w:sz w:val="20"/>
                <w:szCs w:val="22"/>
              </w:rPr>
              <w:t>44,35</w:t>
            </w:r>
          </w:p>
        </w:tc>
        <w:tc>
          <w:tcPr>
            <w:tcW w:w="1042" w:type="dxa"/>
            <w:shd w:val="clear" w:color="auto" w:fill="auto"/>
          </w:tcPr>
          <w:p w:rsidR="00871EE7" w:rsidRPr="007C51D6" w:rsidRDefault="00871EE7" w:rsidP="00871EE7">
            <w:pPr>
              <w:autoSpaceDE/>
              <w:autoSpaceDN/>
              <w:adjustRightInd/>
              <w:jc w:val="center"/>
              <w:rPr>
                <w:rFonts w:eastAsia="Arial"/>
                <w:sz w:val="20"/>
                <w:szCs w:val="22"/>
              </w:rPr>
            </w:pPr>
            <w:r w:rsidRPr="007C51D6">
              <w:rPr>
                <w:rFonts w:eastAsia="Arial"/>
                <w:sz w:val="20"/>
                <w:szCs w:val="22"/>
              </w:rPr>
              <w:t>45,04</w:t>
            </w:r>
          </w:p>
        </w:tc>
        <w:tc>
          <w:tcPr>
            <w:tcW w:w="1046" w:type="dxa"/>
            <w:shd w:val="clear" w:color="auto" w:fill="auto"/>
          </w:tcPr>
          <w:p w:rsidR="00871EE7" w:rsidRPr="007C51D6" w:rsidRDefault="00871EE7" w:rsidP="00871EE7">
            <w:pPr>
              <w:autoSpaceDE/>
              <w:autoSpaceDN/>
              <w:adjustRightInd/>
              <w:jc w:val="center"/>
              <w:rPr>
                <w:rFonts w:eastAsia="Arial"/>
                <w:sz w:val="20"/>
                <w:szCs w:val="22"/>
              </w:rPr>
            </w:pPr>
            <w:r w:rsidRPr="007C51D6">
              <w:rPr>
                <w:rFonts w:eastAsia="Arial"/>
                <w:sz w:val="20"/>
                <w:szCs w:val="22"/>
              </w:rPr>
              <w:t>48,61</w:t>
            </w:r>
          </w:p>
        </w:tc>
        <w:tc>
          <w:tcPr>
            <w:tcW w:w="969" w:type="dxa"/>
            <w:shd w:val="clear" w:color="auto" w:fill="auto"/>
          </w:tcPr>
          <w:p w:rsidR="00871EE7" w:rsidRPr="007C51D6" w:rsidRDefault="00871EE7" w:rsidP="00871EE7">
            <w:pPr>
              <w:autoSpaceDE/>
              <w:autoSpaceDN/>
              <w:adjustRightInd/>
              <w:jc w:val="center"/>
              <w:rPr>
                <w:rFonts w:eastAsia="Arial"/>
                <w:sz w:val="20"/>
                <w:szCs w:val="22"/>
              </w:rPr>
            </w:pPr>
            <w:r w:rsidRPr="007C51D6">
              <w:rPr>
                <w:rFonts w:eastAsia="Arial"/>
                <w:sz w:val="20"/>
                <w:szCs w:val="22"/>
              </w:rPr>
              <w:t>43,74</w:t>
            </w:r>
          </w:p>
        </w:tc>
        <w:tc>
          <w:tcPr>
            <w:tcW w:w="1020" w:type="dxa"/>
          </w:tcPr>
          <w:p w:rsidR="00871EE7" w:rsidRPr="007C51D6" w:rsidRDefault="00871EE7" w:rsidP="00871EE7">
            <w:pPr>
              <w:autoSpaceDE/>
              <w:autoSpaceDN/>
              <w:adjustRightInd/>
              <w:jc w:val="center"/>
              <w:rPr>
                <w:rFonts w:eastAsia="Arial"/>
                <w:sz w:val="20"/>
                <w:szCs w:val="22"/>
              </w:rPr>
            </w:pPr>
            <w:r w:rsidRPr="007C51D6">
              <w:rPr>
                <w:rFonts w:eastAsia="Arial"/>
                <w:sz w:val="20"/>
                <w:szCs w:val="22"/>
              </w:rPr>
              <w:t>54,57</w:t>
            </w:r>
          </w:p>
        </w:tc>
        <w:tc>
          <w:tcPr>
            <w:tcW w:w="1071" w:type="dxa"/>
          </w:tcPr>
          <w:p w:rsidR="00871EE7" w:rsidRPr="007C51D6" w:rsidRDefault="00871EE7" w:rsidP="00871EE7">
            <w:pPr>
              <w:jc w:val="center"/>
              <w:rPr>
                <w:color w:val="000000"/>
                <w:sz w:val="20"/>
                <w:szCs w:val="20"/>
              </w:rPr>
            </w:pPr>
            <w:r w:rsidRPr="007C51D6">
              <w:rPr>
                <w:color w:val="000000"/>
                <w:sz w:val="20"/>
                <w:szCs w:val="20"/>
              </w:rPr>
              <w:t>55,13</w:t>
            </w:r>
          </w:p>
        </w:tc>
        <w:tc>
          <w:tcPr>
            <w:tcW w:w="1120" w:type="dxa"/>
          </w:tcPr>
          <w:p w:rsidR="00871EE7" w:rsidRPr="007C51D6" w:rsidRDefault="00871EE7" w:rsidP="00871EE7">
            <w:pPr>
              <w:jc w:val="center"/>
              <w:rPr>
                <w:color w:val="000000"/>
                <w:sz w:val="20"/>
                <w:szCs w:val="20"/>
              </w:rPr>
            </w:pPr>
            <w:r w:rsidRPr="007C51D6">
              <w:rPr>
                <w:color w:val="000000"/>
                <w:sz w:val="20"/>
                <w:szCs w:val="20"/>
              </w:rPr>
              <w:t>54,79</w:t>
            </w:r>
          </w:p>
        </w:tc>
        <w:tc>
          <w:tcPr>
            <w:tcW w:w="995" w:type="dxa"/>
            <w:vAlign w:val="center"/>
          </w:tcPr>
          <w:p w:rsidR="00871EE7" w:rsidRPr="007C51D6" w:rsidRDefault="00871EE7" w:rsidP="00871EE7">
            <w:pPr>
              <w:jc w:val="center"/>
              <w:rPr>
                <w:color w:val="000000"/>
                <w:sz w:val="20"/>
                <w:szCs w:val="20"/>
              </w:rPr>
            </w:pPr>
            <w:r w:rsidRPr="007C51D6">
              <w:rPr>
                <w:color w:val="000000"/>
                <w:sz w:val="20"/>
                <w:szCs w:val="20"/>
              </w:rPr>
              <w:t>56,81</w:t>
            </w:r>
          </w:p>
        </w:tc>
        <w:tc>
          <w:tcPr>
            <w:tcW w:w="1562" w:type="dxa"/>
            <w:gridSpan w:val="2"/>
            <w:vAlign w:val="center"/>
          </w:tcPr>
          <w:p w:rsidR="00871EE7" w:rsidRPr="007C51D6" w:rsidRDefault="00871EE7" w:rsidP="00871EE7">
            <w:pPr>
              <w:jc w:val="center"/>
              <w:rPr>
                <w:sz w:val="20"/>
                <w:szCs w:val="20"/>
              </w:rPr>
            </w:pPr>
            <w:r w:rsidRPr="007C51D6">
              <w:rPr>
                <w:sz w:val="20"/>
                <w:szCs w:val="20"/>
              </w:rPr>
              <w:t>63.03</w:t>
            </w:r>
          </w:p>
        </w:tc>
      </w:tr>
      <w:tr w:rsidR="00871EE7" w:rsidRPr="007C51D6" w:rsidTr="00177819">
        <w:trPr>
          <w:trHeight w:val="20"/>
        </w:trPr>
        <w:tc>
          <w:tcPr>
            <w:tcW w:w="4372" w:type="dxa"/>
            <w:shd w:val="clear" w:color="auto" w:fill="auto"/>
          </w:tcPr>
          <w:p w:rsidR="00871EE7" w:rsidRPr="007C51D6" w:rsidRDefault="00871EE7" w:rsidP="00871EE7">
            <w:pPr>
              <w:autoSpaceDE/>
              <w:autoSpaceDN/>
              <w:adjustRightInd/>
              <w:jc w:val="both"/>
              <w:rPr>
                <w:rFonts w:eastAsia="Arial"/>
                <w:sz w:val="20"/>
                <w:szCs w:val="22"/>
              </w:rPr>
            </w:pPr>
            <w:r w:rsidRPr="007C51D6">
              <w:rPr>
                <w:rFonts w:eastAsia="Arial"/>
                <w:sz w:val="20"/>
                <w:szCs w:val="22"/>
              </w:rPr>
              <w:t>рак кожи</w:t>
            </w:r>
          </w:p>
        </w:tc>
        <w:tc>
          <w:tcPr>
            <w:tcW w:w="997" w:type="dxa"/>
            <w:shd w:val="clear" w:color="auto" w:fill="auto"/>
          </w:tcPr>
          <w:p w:rsidR="00871EE7" w:rsidRPr="007C51D6" w:rsidRDefault="00871EE7" w:rsidP="00871EE7">
            <w:pPr>
              <w:autoSpaceDE/>
              <w:autoSpaceDN/>
              <w:adjustRightInd/>
              <w:jc w:val="center"/>
              <w:rPr>
                <w:rFonts w:eastAsia="Arial"/>
                <w:sz w:val="20"/>
                <w:szCs w:val="22"/>
              </w:rPr>
            </w:pPr>
            <w:r w:rsidRPr="007C51D6">
              <w:rPr>
                <w:rFonts w:eastAsia="Arial"/>
                <w:sz w:val="20"/>
                <w:szCs w:val="22"/>
              </w:rPr>
              <w:t>44,91</w:t>
            </w:r>
          </w:p>
        </w:tc>
        <w:tc>
          <w:tcPr>
            <w:tcW w:w="971" w:type="dxa"/>
            <w:shd w:val="clear" w:color="auto" w:fill="auto"/>
          </w:tcPr>
          <w:p w:rsidR="00871EE7" w:rsidRPr="007C51D6" w:rsidRDefault="00871EE7" w:rsidP="00871EE7">
            <w:pPr>
              <w:autoSpaceDE/>
              <w:autoSpaceDN/>
              <w:adjustRightInd/>
              <w:jc w:val="center"/>
              <w:rPr>
                <w:rFonts w:eastAsia="Arial"/>
                <w:sz w:val="20"/>
                <w:szCs w:val="22"/>
              </w:rPr>
            </w:pPr>
            <w:r w:rsidRPr="007C51D6">
              <w:rPr>
                <w:rFonts w:eastAsia="Arial"/>
                <w:sz w:val="20"/>
                <w:szCs w:val="22"/>
              </w:rPr>
              <w:t>45,07</w:t>
            </w:r>
          </w:p>
        </w:tc>
        <w:tc>
          <w:tcPr>
            <w:tcW w:w="1042" w:type="dxa"/>
            <w:shd w:val="clear" w:color="auto" w:fill="auto"/>
          </w:tcPr>
          <w:p w:rsidR="00871EE7" w:rsidRPr="007C51D6" w:rsidRDefault="00871EE7" w:rsidP="00871EE7">
            <w:pPr>
              <w:autoSpaceDE/>
              <w:autoSpaceDN/>
              <w:adjustRightInd/>
              <w:jc w:val="center"/>
              <w:rPr>
                <w:rFonts w:eastAsia="Arial"/>
                <w:sz w:val="20"/>
                <w:szCs w:val="22"/>
              </w:rPr>
            </w:pPr>
            <w:r w:rsidRPr="007C51D6">
              <w:rPr>
                <w:rFonts w:eastAsia="Arial"/>
                <w:sz w:val="20"/>
                <w:szCs w:val="22"/>
              </w:rPr>
              <w:t>47,27</w:t>
            </w:r>
          </w:p>
        </w:tc>
        <w:tc>
          <w:tcPr>
            <w:tcW w:w="1046" w:type="dxa"/>
            <w:shd w:val="clear" w:color="auto" w:fill="auto"/>
          </w:tcPr>
          <w:p w:rsidR="00871EE7" w:rsidRPr="007C51D6" w:rsidRDefault="00871EE7" w:rsidP="00871EE7">
            <w:pPr>
              <w:autoSpaceDE/>
              <w:autoSpaceDN/>
              <w:adjustRightInd/>
              <w:jc w:val="center"/>
              <w:rPr>
                <w:rFonts w:eastAsia="Arial"/>
                <w:sz w:val="20"/>
                <w:szCs w:val="22"/>
              </w:rPr>
            </w:pPr>
            <w:r w:rsidRPr="007C51D6">
              <w:rPr>
                <w:rFonts w:eastAsia="Arial"/>
                <w:sz w:val="20"/>
                <w:szCs w:val="22"/>
              </w:rPr>
              <w:t>49,12</w:t>
            </w:r>
          </w:p>
        </w:tc>
        <w:tc>
          <w:tcPr>
            <w:tcW w:w="969" w:type="dxa"/>
            <w:shd w:val="clear" w:color="auto" w:fill="auto"/>
          </w:tcPr>
          <w:p w:rsidR="00871EE7" w:rsidRPr="007C51D6" w:rsidRDefault="00871EE7" w:rsidP="00871EE7">
            <w:pPr>
              <w:autoSpaceDE/>
              <w:autoSpaceDN/>
              <w:adjustRightInd/>
              <w:jc w:val="center"/>
              <w:rPr>
                <w:rFonts w:eastAsia="Arial"/>
                <w:sz w:val="20"/>
                <w:szCs w:val="22"/>
              </w:rPr>
            </w:pPr>
            <w:r w:rsidRPr="007C51D6">
              <w:rPr>
                <w:rFonts w:eastAsia="Arial"/>
                <w:sz w:val="20"/>
                <w:szCs w:val="22"/>
              </w:rPr>
              <w:t>38,46</w:t>
            </w:r>
          </w:p>
        </w:tc>
        <w:tc>
          <w:tcPr>
            <w:tcW w:w="1020" w:type="dxa"/>
          </w:tcPr>
          <w:p w:rsidR="00871EE7" w:rsidRPr="007C51D6" w:rsidRDefault="00871EE7" w:rsidP="00871EE7">
            <w:pPr>
              <w:autoSpaceDE/>
              <w:autoSpaceDN/>
              <w:adjustRightInd/>
              <w:jc w:val="center"/>
              <w:rPr>
                <w:rFonts w:eastAsia="Arial"/>
                <w:sz w:val="20"/>
                <w:szCs w:val="22"/>
              </w:rPr>
            </w:pPr>
            <w:r w:rsidRPr="007C51D6">
              <w:rPr>
                <w:rFonts w:eastAsia="Arial"/>
                <w:sz w:val="20"/>
                <w:szCs w:val="22"/>
              </w:rPr>
              <w:t>51,28</w:t>
            </w:r>
          </w:p>
        </w:tc>
        <w:tc>
          <w:tcPr>
            <w:tcW w:w="1071" w:type="dxa"/>
          </w:tcPr>
          <w:p w:rsidR="00871EE7" w:rsidRPr="007C51D6" w:rsidRDefault="00871EE7" w:rsidP="00871EE7">
            <w:pPr>
              <w:jc w:val="center"/>
              <w:rPr>
                <w:color w:val="000000"/>
                <w:sz w:val="20"/>
                <w:szCs w:val="20"/>
              </w:rPr>
            </w:pPr>
            <w:r w:rsidRPr="007C51D6">
              <w:rPr>
                <w:color w:val="000000"/>
                <w:sz w:val="20"/>
                <w:szCs w:val="20"/>
              </w:rPr>
              <w:t>54,31</w:t>
            </w:r>
          </w:p>
        </w:tc>
        <w:tc>
          <w:tcPr>
            <w:tcW w:w="1120" w:type="dxa"/>
          </w:tcPr>
          <w:p w:rsidR="00871EE7" w:rsidRPr="007C51D6" w:rsidRDefault="00871EE7" w:rsidP="00871EE7">
            <w:pPr>
              <w:jc w:val="center"/>
              <w:rPr>
                <w:color w:val="000000"/>
                <w:sz w:val="20"/>
                <w:szCs w:val="20"/>
              </w:rPr>
            </w:pPr>
            <w:r w:rsidRPr="007C51D6">
              <w:rPr>
                <w:color w:val="000000"/>
                <w:sz w:val="20"/>
                <w:szCs w:val="20"/>
              </w:rPr>
              <w:t>53,12</w:t>
            </w:r>
          </w:p>
        </w:tc>
        <w:tc>
          <w:tcPr>
            <w:tcW w:w="995" w:type="dxa"/>
            <w:vAlign w:val="center"/>
          </w:tcPr>
          <w:p w:rsidR="00871EE7" w:rsidRPr="007C51D6" w:rsidRDefault="00871EE7" w:rsidP="00871EE7">
            <w:pPr>
              <w:jc w:val="center"/>
              <w:rPr>
                <w:color w:val="000000"/>
                <w:sz w:val="20"/>
                <w:szCs w:val="20"/>
              </w:rPr>
            </w:pPr>
            <w:r w:rsidRPr="007C51D6">
              <w:rPr>
                <w:color w:val="000000"/>
                <w:sz w:val="20"/>
                <w:szCs w:val="20"/>
              </w:rPr>
              <w:t>56,52</w:t>
            </w:r>
          </w:p>
        </w:tc>
        <w:tc>
          <w:tcPr>
            <w:tcW w:w="1562" w:type="dxa"/>
            <w:gridSpan w:val="2"/>
            <w:vAlign w:val="center"/>
          </w:tcPr>
          <w:p w:rsidR="00871EE7" w:rsidRPr="007C51D6" w:rsidRDefault="00871EE7" w:rsidP="00871EE7">
            <w:pPr>
              <w:jc w:val="center"/>
              <w:rPr>
                <w:sz w:val="20"/>
                <w:szCs w:val="20"/>
              </w:rPr>
            </w:pPr>
            <w:r w:rsidRPr="007C51D6">
              <w:rPr>
                <w:sz w:val="20"/>
                <w:szCs w:val="20"/>
              </w:rPr>
              <w:t>62.05</w:t>
            </w:r>
          </w:p>
        </w:tc>
      </w:tr>
      <w:tr w:rsidR="00871EE7" w:rsidRPr="007C51D6" w:rsidTr="00177819">
        <w:trPr>
          <w:trHeight w:val="20"/>
        </w:trPr>
        <w:tc>
          <w:tcPr>
            <w:tcW w:w="4372" w:type="dxa"/>
            <w:shd w:val="clear" w:color="auto" w:fill="auto"/>
          </w:tcPr>
          <w:p w:rsidR="00871EE7" w:rsidRPr="007C51D6" w:rsidRDefault="00871EE7" w:rsidP="00871EE7">
            <w:pPr>
              <w:autoSpaceDE/>
              <w:autoSpaceDN/>
              <w:adjustRightInd/>
              <w:jc w:val="both"/>
              <w:rPr>
                <w:rFonts w:eastAsia="Arial"/>
                <w:sz w:val="20"/>
                <w:szCs w:val="22"/>
              </w:rPr>
            </w:pPr>
            <w:r w:rsidRPr="007C51D6">
              <w:rPr>
                <w:rFonts w:eastAsia="Arial"/>
                <w:sz w:val="20"/>
                <w:szCs w:val="22"/>
              </w:rPr>
              <w:t>трахеи, бронхов, легких</w:t>
            </w:r>
          </w:p>
        </w:tc>
        <w:tc>
          <w:tcPr>
            <w:tcW w:w="997" w:type="dxa"/>
            <w:shd w:val="clear" w:color="auto" w:fill="auto"/>
          </w:tcPr>
          <w:p w:rsidR="00871EE7" w:rsidRPr="007C51D6" w:rsidRDefault="00871EE7" w:rsidP="00871EE7">
            <w:pPr>
              <w:autoSpaceDE/>
              <w:autoSpaceDN/>
              <w:adjustRightInd/>
              <w:jc w:val="center"/>
              <w:rPr>
                <w:rFonts w:eastAsia="Arial"/>
                <w:sz w:val="20"/>
                <w:szCs w:val="22"/>
              </w:rPr>
            </w:pPr>
            <w:r w:rsidRPr="007C51D6">
              <w:rPr>
                <w:rFonts w:eastAsia="Arial"/>
                <w:sz w:val="20"/>
                <w:szCs w:val="22"/>
              </w:rPr>
              <w:t>40,65</w:t>
            </w:r>
          </w:p>
        </w:tc>
        <w:tc>
          <w:tcPr>
            <w:tcW w:w="971" w:type="dxa"/>
            <w:shd w:val="clear" w:color="auto" w:fill="auto"/>
          </w:tcPr>
          <w:p w:rsidR="00871EE7" w:rsidRPr="007C51D6" w:rsidRDefault="00871EE7" w:rsidP="00871EE7">
            <w:pPr>
              <w:autoSpaceDE/>
              <w:autoSpaceDN/>
              <w:adjustRightInd/>
              <w:jc w:val="center"/>
              <w:rPr>
                <w:rFonts w:eastAsia="Arial"/>
                <w:sz w:val="20"/>
                <w:szCs w:val="22"/>
              </w:rPr>
            </w:pPr>
            <w:r w:rsidRPr="007C51D6">
              <w:rPr>
                <w:rFonts w:eastAsia="Arial"/>
                <w:sz w:val="20"/>
                <w:szCs w:val="22"/>
              </w:rPr>
              <w:t>41,93</w:t>
            </w:r>
          </w:p>
        </w:tc>
        <w:tc>
          <w:tcPr>
            <w:tcW w:w="1042" w:type="dxa"/>
            <w:shd w:val="clear" w:color="auto" w:fill="auto"/>
          </w:tcPr>
          <w:p w:rsidR="00871EE7" w:rsidRPr="007C51D6" w:rsidRDefault="00871EE7" w:rsidP="00871EE7">
            <w:pPr>
              <w:autoSpaceDE/>
              <w:autoSpaceDN/>
              <w:adjustRightInd/>
              <w:jc w:val="center"/>
              <w:rPr>
                <w:rFonts w:eastAsia="Arial"/>
                <w:sz w:val="20"/>
                <w:szCs w:val="22"/>
              </w:rPr>
            </w:pPr>
            <w:r w:rsidRPr="007C51D6">
              <w:rPr>
                <w:rFonts w:eastAsia="Arial"/>
                <w:sz w:val="20"/>
                <w:szCs w:val="22"/>
              </w:rPr>
              <w:t>42,76</w:t>
            </w:r>
          </w:p>
        </w:tc>
        <w:tc>
          <w:tcPr>
            <w:tcW w:w="1046" w:type="dxa"/>
            <w:shd w:val="clear" w:color="auto" w:fill="auto"/>
          </w:tcPr>
          <w:p w:rsidR="00871EE7" w:rsidRPr="007C51D6" w:rsidRDefault="00871EE7" w:rsidP="00871EE7">
            <w:pPr>
              <w:autoSpaceDE/>
              <w:autoSpaceDN/>
              <w:adjustRightInd/>
              <w:jc w:val="center"/>
              <w:rPr>
                <w:rFonts w:eastAsia="Arial"/>
                <w:sz w:val="20"/>
                <w:szCs w:val="22"/>
              </w:rPr>
            </w:pPr>
            <w:r w:rsidRPr="007C51D6">
              <w:rPr>
                <w:rFonts w:eastAsia="Arial"/>
                <w:sz w:val="20"/>
                <w:szCs w:val="22"/>
              </w:rPr>
              <w:t>41,15</w:t>
            </w:r>
          </w:p>
        </w:tc>
        <w:tc>
          <w:tcPr>
            <w:tcW w:w="969" w:type="dxa"/>
            <w:shd w:val="clear" w:color="auto" w:fill="auto"/>
          </w:tcPr>
          <w:p w:rsidR="00871EE7" w:rsidRPr="007C51D6" w:rsidRDefault="00871EE7" w:rsidP="00871EE7">
            <w:pPr>
              <w:autoSpaceDE/>
              <w:autoSpaceDN/>
              <w:adjustRightInd/>
              <w:jc w:val="center"/>
              <w:rPr>
                <w:rFonts w:eastAsia="Arial"/>
                <w:sz w:val="20"/>
                <w:szCs w:val="22"/>
              </w:rPr>
            </w:pPr>
            <w:r w:rsidRPr="007C51D6">
              <w:rPr>
                <w:rFonts w:eastAsia="Arial"/>
                <w:sz w:val="20"/>
                <w:szCs w:val="22"/>
              </w:rPr>
              <w:t>36,43</w:t>
            </w:r>
          </w:p>
        </w:tc>
        <w:tc>
          <w:tcPr>
            <w:tcW w:w="1020" w:type="dxa"/>
          </w:tcPr>
          <w:p w:rsidR="00871EE7" w:rsidRPr="007C51D6" w:rsidRDefault="00871EE7" w:rsidP="00871EE7">
            <w:pPr>
              <w:autoSpaceDE/>
              <w:autoSpaceDN/>
              <w:adjustRightInd/>
              <w:jc w:val="center"/>
              <w:rPr>
                <w:rFonts w:eastAsia="Arial"/>
                <w:sz w:val="20"/>
                <w:szCs w:val="22"/>
              </w:rPr>
            </w:pPr>
            <w:r w:rsidRPr="007C51D6">
              <w:rPr>
                <w:rFonts w:eastAsia="Arial"/>
                <w:sz w:val="20"/>
                <w:szCs w:val="22"/>
              </w:rPr>
              <w:t>40,46</w:t>
            </w:r>
          </w:p>
        </w:tc>
        <w:tc>
          <w:tcPr>
            <w:tcW w:w="1071" w:type="dxa"/>
          </w:tcPr>
          <w:p w:rsidR="00871EE7" w:rsidRPr="007C51D6" w:rsidRDefault="00871EE7" w:rsidP="00871EE7">
            <w:pPr>
              <w:jc w:val="center"/>
              <w:rPr>
                <w:color w:val="000000"/>
                <w:sz w:val="20"/>
                <w:szCs w:val="20"/>
              </w:rPr>
            </w:pPr>
            <w:r w:rsidRPr="007C51D6">
              <w:rPr>
                <w:color w:val="000000"/>
                <w:sz w:val="20"/>
                <w:szCs w:val="20"/>
              </w:rPr>
              <w:t>41,6</w:t>
            </w:r>
          </w:p>
        </w:tc>
        <w:tc>
          <w:tcPr>
            <w:tcW w:w="1120" w:type="dxa"/>
          </w:tcPr>
          <w:p w:rsidR="00871EE7" w:rsidRPr="007C51D6" w:rsidRDefault="00871EE7" w:rsidP="00871EE7">
            <w:pPr>
              <w:jc w:val="center"/>
              <w:rPr>
                <w:color w:val="000000"/>
                <w:sz w:val="20"/>
                <w:szCs w:val="20"/>
              </w:rPr>
            </w:pPr>
            <w:r w:rsidRPr="007C51D6">
              <w:rPr>
                <w:color w:val="000000"/>
                <w:sz w:val="20"/>
                <w:szCs w:val="20"/>
              </w:rPr>
              <w:t>41,68</w:t>
            </w:r>
          </w:p>
        </w:tc>
        <w:tc>
          <w:tcPr>
            <w:tcW w:w="995" w:type="dxa"/>
            <w:vAlign w:val="center"/>
          </w:tcPr>
          <w:p w:rsidR="00871EE7" w:rsidRPr="007C51D6" w:rsidRDefault="00871EE7" w:rsidP="00871EE7">
            <w:pPr>
              <w:jc w:val="center"/>
              <w:rPr>
                <w:color w:val="000000"/>
                <w:sz w:val="20"/>
                <w:szCs w:val="20"/>
              </w:rPr>
            </w:pPr>
            <w:r w:rsidRPr="007C51D6">
              <w:rPr>
                <w:color w:val="000000"/>
                <w:sz w:val="20"/>
                <w:szCs w:val="20"/>
              </w:rPr>
              <w:t>43,65</w:t>
            </w:r>
          </w:p>
        </w:tc>
        <w:tc>
          <w:tcPr>
            <w:tcW w:w="1562" w:type="dxa"/>
            <w:gridSpan w:val="2"/>
            <w:vAlign w:val="center"/>
          </w:tcPr>
          <w:p w:rsidR="00871EE7" w:rsidRPr="007C51D6" w:rsidRDefault="00871EE7" w:rsidP="00871EE7">
            <w:pPr>
              <w:jc w:val="center"/>
              <w:rPr>
                <w:sz w:val="20"/>
                <w:szCs w:val="20"/>
              </w:rPr>
            </w:pPr>
            <w:r w:rsidRPr="007C51D6">
              <w:rPr>
                <w:sz w:val="20"/>
                <w:szCs w:val="20"/>
              </w:rPr>
              <w:t>44.34</w:t>
            </w:r>
          </w:p>
        </w:tc>
      </w:tr>
      <w:tr w:rsidR="00871EE7" w:rsidRPr="007C51D6" w:rsidTr="00177819">
        <w:trPr>
          <w:trHeight w:val="20"/>
        </w:trPr>
        <w:tc>
          <w:tcPr>
            <w:tcW w:w="4372" w:type="dxa"/>
            <w:shd w:val="clear" w:color="auto" w:fill="auto"/>
          </w:tcPr>
          <w:p w:rsidR="00871EE7" w:rsidRPr="007C51D6" w:rsidRDefault="00871EE7" w:rsidP="00871EE7">
            <w:pPr>
              <w:autoSpaceDE/>
              <w:autoSpaceDN/>
              <w:adjustRightInd/>
              <w:jc w:val="both"/>
              <w:rPr>
                <w:rFonts w:eastAsia="Arial"/>
                <w:sz w:val="20"/>
                <w:szCs w:val="22"/>
              </w:rPr>
            </w:pPr>
            <w:r w:rsidRPr="007C51D6">
              <w:rPr>
                <w:rFonts w:eastAsia="Arial"/>
                <w:sz w:val="20"/>
                <w:szCs w:val="22"/>
              </w:rPr>
              <w:t>предстательной железы</w:t>
            </w:r>
          </w:p>
        </w:tc>
        <w:tc>
          <w:tcPr>
            <w:tcW w:w="997" w:type="dxa"/>
            <w:shd w:val="clear" w:color="auto" w:fill="auto"/>
          </w:tcPr>
          <w:p w:rsidR="00871EE7" w:rsidRPr="007C51D6" w:rsidRDefault="00871EE7" w:rsidP="00871EE7">
            <w:pPr>
              <w:autoSpaceDE/>
              <w:autoSpaceDN/>
              <w:adjustRightInd/>
              <w:jc w:val="center"/>
              <w:rPr>
                <w:rFonts w:eastAsia="Arial"/>
                <w:sz w:val="20"/>
                <w:szCs w:val="22"/>
              </w:rPr>
            </w:pPr>
            <w:r w:rsidRPr="007C51D6">
              <w:rPr>
                <w:rFonts w:eastAsia="Arial"/>
                <w:sz w:val="20"/>
                <w:szCs w:val="22"/>
              </w:rPr>
              <w:t>36,16</w:t>
            </w:r>
          </w:p>
        </w:tc>
        <w:tc>
          <w:tcPr>
            <w:tcW w:w="971" w:type="dxa"/>
            <w:shd w:val="clear" w:color="auto" w:fill="auto"/>
          </w:tcPr>
          <w:p w:rsidR="00871EE7" w:rsidRPr="007C51D6" w:rsidRDefault="00871EE7" w:rsidP="00871EE7">
            <w:pPr>
              <w:autoSpaceDE/>
              <w:autoSpaceDN/>
              <w:adjustRightInd/>
              <w:jc w:val="center"/>
              <w:rPr>
                <w:rFonts w:eastAsia="Arial"/>
                <w:sz w:val="20"/>
                <w:szCs w:val="22"/>
              </w:rPr>
            </w:pPr>
            <w:r w:rsidRPr="007C51D6">
              <w:rPr>
                <w:rFonts w:eastAsia="Arial"/>
                <w:sz w:val="20"/>
                <w:szCs w:val="22"/>
              </w:rPr>
              <w:t>37,37</w:t>
            </w:r>
          </w:p>
        </w:tc>
        <w:tc>
          <w:tcPr>
            <w:tcW w:w="1042" w:type="dxa"/>
            <w:shd w:val="clear" w:color="auto" w:fill="auto"/>
          </w:tcPr>
          <w:p w:rsidR="00871EE7" w:rsidRPr="007C51D6" w:rsidRDefault="00871EE7" w:rsidP="00871EE7">
            <w:pPr>
              <w:autoSpaceDE/>
              <w:autoSpaceDN/>
              <w:adjustRightInd/>
              <w:jc w:val="center"/>
              <w:rPr>
                <w:rFonts w:eastAsia="Arial"/>
                <w:sz w:val="20"/>
                <w:szCs w:val="22"/>
              </w:rPr>
            </w:pPr>
            <w:r w:rsidRPr="007C51D6">
              <w:rPr>
                <w:rFonts w:eastAsia="Arial"/>
                <w:sz w:val="20"/>
                <w:szCs w:val="22"/>
              </w:rPr>
              <w:t>26,99</w:t>
            </w:r>
          </w:p>
        </w:tc>
        <w:tc>
          <w:tcPr>
            <w:tcW w:w="1046" w:type="dxa"/>
            <w:shd w:val="clear" w:color="auto" w:fill="auto"/>
          </w:tcPr>
          <w:p w:rsidR="00871EE7" w:rsidRPr="007C51D6" w:rsidRDefault="00871EE7" w:rsidP="00871EE7">
            <w:pPr>
              <w:autoSpaceDE/>
              <w:autoSpaceDN/>
              <w:adjustRightInd/>
              <w:jc w:val="center"/>
              <w:rPr>
                <w:rFonts w:eastAsia="Arial"/>
                <w:sz w:val="20"/>
                <w:szCs w:val="22"/>
              </w:rPr>
            </w:pPr>
            <w:r w:rsidRPr="007C51D6">
              <w:rPr>
                <w:rFonts w:eastAsia="Arial"/>
                <w:sz w:val="20"/>
                <w:szCs w:val="22"/>
              </w:rPr>
              <w:t>23,76</w:t>
            </w:r>
          </w:p>
        </w:tc>
        <w:tc>
          <w:tcPr>
            <w:tcW w:w="969" w:type="dxa"/>
            <w:shd w:val="clear" w:color="auto" w:fill="auto"/>
          </w:tcPr>
          <w:p w:rsidR="00871EE7" w:rsidRPr="007C51D6" w:rsidRDefault="00871EE7" w:rsidP="00871EE7">
            <w:pPr>
              <w:autoSpaceDE/>
              <w:autoSpaceDN/>
              <w:adjustRightInd/>
              <w:jc w:val="center"/>
              <w:rPr>
                <w:rFonts w:eastAsia="Arial"/>
                <w:sz w:val="20"/>
                <w:szCs w:val="22"/>
              </w:rPr>
            </w:pPr>
            <w:r w:rsidRPr="007C51D6">
              <w:rPr>
                <w:rFonts w:eastAsia="Arial"/>
                <w:sz w:val="20"/>
                <w:szCs w:val="22"/>
              </w:rPr>
              <w:t>21,91</w:t>
            </w:r>
          </w:p>
        </w:tc>
        <w:tc>
          <w:tcPr>
            <w:tcW w:w="1020" w:type="dxa"/>
          </w:tcPr>
          <w:p w:rsidR="00871EE7" w:rsidRPr="007C51D6" w:rsidRDefault="00871EE7" w:rsidP="00871EE7">
            <w:pPr>
              <w:autoSpaceDE/>
              <w:autoSpaceDN/>
              <w:adjustRightInd/>
              <w:jc w:val="center"/>
              <w:rPr>
                <w:rFonts w:eastAsia="Arial"/>
                <w:sz w:val="20"/>
                <w:szCs w:val="22"/>
              </w:rPr>
            </w:pPr>
            <w:r w:rsidRPr="007C51D6">
              <w:rPr>
                <w:rFonts w:eastAsia="Arial"/>
                <w:sz w:val="20"/>
                <w:szCs w:val="22"/>
              </w:rPr>
              <w:t>23,81</w:t>
            </w:r>
          </w:p>
        </w:tc>
        <w:tc>
          <w:tcPr>
            <w:tcW w:w="1071" w:type="dxa"/>
          </w:tcPr>
          <w:p w:rsidR="00871EE7" w:rsidRPr="007C51D6" w:rsidRDefault="00871EE7" w:rsidP="00871EE7">
            <w:pPr>
              <w:jc w:val="center"/>
              <w:rPr>
                <w:color w:val="000000"/>
                <w:sz w:val="20"/>
                <w:szCs w:val="20"/>
              </w:rPr>
            </w:pPr>
            <w:r w:rsidRPr="007C51D6">
              <w:rPr>
                <w:color w:val="000000"/>
                <w:sz w:val="20"/>
                <w:szCs w:val="20"/>
              </w:rPr>
              <w:t>29,71</w:t>
            </w:r>
          </w:p>
        </w:tc>
        <w:tc>
          <w:tcPr>
            <w:tcW w:w="1120" w:type="dxa"/>
          </w:tcPr>
          <w:p w:rsidR="00871EE7" w:rsidRPr="007C51D6" w:rsidRDefault="00871EE7" w:rsidP="00871EE7">
            <w:pPr>
              <w:jc w:val="center"/>
              <w:rPr>
                <w:color w:val="000000"/>
                <w:sz w:val="20"/>
                <w:szCs w:val="20"/>
              </w:rPr>
            </w:pPr>
            <w:r w:rsidRPr="007C51D6">
              <w:rPr>
                <w:color w:val="000000"/>
                <w:sz w:val="20"/>
                <w:szCs w:val="20"/>
              </w:rPr>
              <w:t>31,14</w:t>
            </w:r>
          </w:p>
        </w:tc>
        <w:tc>
          <w:tcPr>
            <w:tcW w:w="995" w:type="dxa"/>
            <w:vAlign w:val="center"/>
          </w:tcPr>
          <w:p w:rsidR="00871EE7" w:rsidRPr="007C51D6" w:rsidRDefault="00871EE7" w:rsidP="00871EE7">
            <w:pPr>
              <w:jc w:val="center"/>
              <w:rPr>
                <w:color w:val="000000"/>
                <w:sz w:val="20"/>
                <w:szCs w:val="20"/>
              </w:rPr>
            </w:pPr>
            <w:r w:rsidRPr="007C51D6">
              <w:rPr>
                <w:color w:val="000000"/>
                <w:sz w:val="20"/>
                <w:szCs w:val="20"/>
              </w:rPr>
              <w:t>38,29</w:t>
            </w:r>
          </w:p>
        </w:tc>
        <w:tc>
          <w:tcPr>
            <w:tcW w:w="1562" w:type="dxa"/>
            <w:gridSpan w:val="2"/>
            <w:vAlign w:val="center"/>
          </w:tcPr>
          <w:p w:rsidR="00871EE7" w:rsidRPr="007C51D6" w:rsidRDefault="00871EE7" w:rsidP="00871EE7">
            <w:pPr>
              <w:jc w:val="center"/>
              <w:rPr>
                <w:sz w:val="20"/>
                <w:szCs w:val="20"/>
              </w:rPr>
            </w:pPr>
            <w:r w:rsidRPr="007C51D6">
              <w:rPr>
                <w:sz w:val="20"/>
                <w:szCs w:val="20"/>
              </w:rPr>
              <w:t>43.07</w:t>
            </w:r>
          </w:p>
        </w:tc>
      </w:tr>
      <w:tr w:rsidR="00871EE7" w:rsidRPr="007C51D6" w:rsidTr="00177819">
        <w:trPr>
          <w:trHeight w:val="20"/>
          <w:tblHeader/>
        </w:trPr>
        <w:tc>
          <w:tcPr>
            <w:tcW w:w="4372" w:type="dxa"/>
            <w:shd w:val="clear" w:color="auto" w:fill="auto"/>
          </w:tcPr>
          <w:p w:rsidR="00871EE7" w:rsidRPr="007C51D6" w:rsidRDefault="00871EE7" w:rsidP="00871EE7">
            <w:pPr>
              <w:autoSpaceDE/>
              <w:autoSpaceDN/>
              <w:adjustRightInd/>
              <w:jc w:val="both"/>
              <w:rPr>
                <w:rFonts w:eastAsia="Arial"/>
                <w:sz w:val="20"/>
                <w:szCs w:val="22"/>
              </w:rPr>
            </w:pPr>
            <w:r w:rsidRPr="007C51D6">
              <w:rPr>
                <w:rFonts w:eastAsia="Arial"/>
                <w:sz w:val="20"/>
                <w:szCs w:val="22"/>
              </w:rPr>
              <w:t>ободочной кишки</w:t>
            </w:r>
          </w:p>
        </w:tc>
        <w:tc>
          <w:tcPr>
            <w:tcW w:w="997" w:type="dxa"/>
            <w:shd w:val="clear" w:color="auto" w:fill="auto"/>
          </w:tcPr>
          <w:p w:rsidR="00871EE7" w:rsidRPr="007C51D6" w:rsidRDefault="00871EE7" w:rsidP="00871EE7">
            <w:pPr>
              <w:autoSpaceDE/>
              <w:autoSpaceDN/>
              <w:adjustRightInd/>
              <w:jc w:val="center"/>
              <w:rPr>
                <w:rFonts w:eastAsia="Arial"/>
                <w:sz w:val="20"/>
                <w:szCs w:val="22"/>
              </w:rPr>
            </w:pPr>
            <w:r w:rsidRPr="007C51D6">
              <w:rPr>
                <w:rFonts w:eastAsia="Arial"/>
                <w:sz w:val="20"/>
                <w:szCs w:val="22"/>
              </w:rPr>
              <w:t>26,13</w:t>
            </w:r>
          </w:p>
        </w:tc>
        <w:tc>
          <w:tcPr>
            <w:tcW w:w="971" w:type="dxa"/>
            <w:shd w:val="clear" w:color="auto" w:fill="auto"/>
          </w:tcPr>
          <w:p w:rsidR="00871EE7" w:rsidRPr="007C51D6" w:rsidRDefault="00871EE7" w:rsidP="00871EE7">
            <w:pPr>
              <w:autoSpaceDE/>
              <w:autoSpaceDN/>
              <w:adjustRightInd/>
              <w:jc w:val="center"/>
              <w:rPr>
                <w:rFonts w:eastAsia="Arial"/>
                <w:sz w:val="20"/>
                <w:szCs w:val="22"/>
              </w:rPr>
            </w:pPr>
            <w:r w:rsidRPr="007C51D6">
              <w:rPr>
                <w:rFonts w:eastAsia="Arial"/>
                <w:sz w:val="20"/>
                <w:szCs w:val="22"/>
              </w:rPr>
              <w:t>28,02</w:t>
            </w:r>
          </w:p>
        </w:tc>
        <w:tc>
          <w:tcPr>
            <w:tcW w:w="1042" w:type="dxa"/>
            <w:shd w:val="clear" w:color="auto" w:fill="auto"/>
          </w:tcPr>
          <w:p w:rsidR="00871EE7" w:rsidRPr="007C51D6" w:rsidRDefault="00871EE7" w:rsidP="00871EE7">
            <w:pPr>
              <w:autoSpaceDE/>
              <w:autoSpaceDN/>
              <w:adjustRightInd/>
              <w:jc w:val="center"/>
              <w:rPr>
                <w:rFonts w:eastAsia="Arial"/>
                <w:sz w:val="20"/>
                <w:szCs w:val="22"/>
              </w:rPr>
            </w:pPr>
            <w:r w:rsidRPr="007C51D6">
              <w:rPr>
                <w:rFonts w:eastAsia="Arial"/>
                <w:sz w:val="20"/>
                <w:szCs w:val="22"/>
              </w:rPr>
              <w:t>28,72</w:t>
            </w:r>
          </w:p>
        </w:tc>
        <w:tc>
          <w:tcPr>
            <w:tcW w:w="1046" w:type="dxa"/>
            <w:shd w:val="clear" w:color="auto" w:fill="auto"/>
          </w:tcPr>
          <w:p w:rsidR="00871EE7" w:rsidRPr="007C51D6" w:rsidRDefault="00871EE7" w:rsidP="00871EE7">
            <w:pPr>
              <w:autoSpaceDE/>
              <w:autoSpaceDN/>
              <w:adjustRightInd/>
              <w:jc w:val="center"/>
              <w:rPr>
                <w:rFonts w:eastAsia="Arial"/>
                <w:sz w:val="20"/>
                <w:szCs w:val="22"/>
              </w:rPr>
            </w:pPr>
            <w:r w:rsidRPr="007C51D6">
              <w:rPr>
                <w:rFonts w:eastAsia="Arial"/>
                <w:sz w:val="20"/>
                <w:szCs w:val="22"/>
              </w:rPr>
              <w:t>29,35</w:t>
            </w:r>
          </w:p>
        </w:tc>
        <w:tc>
          <w:tcPr>
            <w:tcW w:w="969" w:type="dxa"/>
            <w:shd w:val="clear" w:color="auto" w:fill="auto"/>
          </w:tcPr>
          <w:p w:rsidR="00871EE7" w:rsidRPr="007C51D6" w:rsidRDefault="00871EE7" w:rsidP="00871EE7">
            <w:pPr>
              <w:autoSpaceDE/>
              <w:autoSpaceDN/>
              <w:adjustRightInd/>
              <w:jc w:val="center"/>
              <w:rPr>
                <w:rFonts w:eastAsia="Arial"/>
                <w:sz w:val="20"/>
                <w:szCs w:val="22"/>
              </w:rPr>
            </w:pPr>
            <w:r w:rsidRPr="007C51D6">
              <w:rPr>
                <w:rFonts w:eastAsia="Arial"/>
                <w:sz w:val="20"/>
                <w:szCs w:val="22"/>
              </w:rPr>
              <w:t>27,11</w:t>
            </w:r>
          </w:p>
        </w:tc>
        <w:tc>
          <w:tcPr>
            <w:tcW w:w="1020" w:type="dxa"/>
          </w:tcPr>
          <w:p w:rsidR="00871EE7" w:rsidRPr="007C51D6" w:rsidRDefault="00871EE7" w:rsidP="00871EE7">
            <w:pPr>
              <w:autoSpaceDE/>
              <w:autoSpaceDN/>
              <w:adjustRightInd/>
              <w:jc w:val="center"/>
              <w:rPr>
                <w:rFonts w:eastAsia="Arial"/>
                <w:sz w:val="20"/>
                <w:szCs w:val="22"/>
              </w:rPr>
            </w:pPr>
            <w:r w:rsidRPr="007C51D6">
              <w:rPr>
                <w:rFonts w:eastAsia="Arial"/>
                <w:sz w:val="20"/>
                <w:szCs w:val="22"/>
              </w:rPr>
              <w:t>30,79</w:t>
            </w:r>
          </w:p>
        </w:tc>
        <w:tc>
          <w:tcPr>
            <w:tcW w:w="1071" w:type="dxa"/>
          </w:tcPr>
          <w:p w:rsidR="00871EE7" w:rsidRPr="007C51D6" w:rsidRDefault="00871EE7" w:rsidP="00871EE7">
            <w:pPr>
              <w:jc w:val="center"/>
              <w:rPr>
                <w:color w:val="000000"/>
                <w:sz w:val="20"/>
                <w:szCs w:val="20"/>
              </w:rPr>
            </w:pPr>
            <w:r w:rsidRPr="007C51D6">
              <w:rPr>
                <w:color w:val="000000"/>
                <w:sz w:val="20"/>
                <w:szCs w:val="20"/>
              </w:rPr>
              <w:t>30,48</w:t>
            </w:r>
          </w:p>
        </w:tc>
        <w:tc>
          <w:tcPr>
            <w:tcW w:w="1120" w:type="dxa"/>
          </w:tcPr>
          <w:p w:rsidR="00871EE7" w:rsidRPr="007C51D6" w:rsidRDefault="00871EE7" w:rsidP="00871EE7">
            <w:pPr>
              <w:jc w:val="center"/>
              <w:rPr>
                <w:color w:val="000000"/>
                <w:sz w:val="20"/>
                <w:szCs w:val="20"/>
              </w:rPr>
            </w:pPr>
            <w:r w:rsidRPr="007C51D6">
              <w:rPr>
                <w:color w:val="000000"/>
                <w:sz w:val="20"/>
                <w:szCs w:val="20"/>
              </w:rPr>
              <w:t>34,38</w:t>
            </w:r>
          </w:p>
        </w:tc>
        <w:tc>
          <w:tcPr>
            <w:tcW w:w="995" w:type="dxa"/>
            <w:vAlign w:val="center"/>
          </w:tcPr>
          <w:p w:rsidR="00871EE7" w:rsidRPr="007C51D6" w:rsidRDefault="00871EE7" w:rsidP="00871EE7">
            <w:pPr>
              <w:jc w:val="center"/>
              <w:rPr>
                <w:color w:val="000000"/>
                <w:sz w:val="20"/>
                <w:szCs w:val="20"/>
              </w:rPr>
            </w:pPr>
            <w:r w:rsidRPr="007C51D6">
              <w:rPr>
                <w:color w:val="000000"/>
                <w:sz w:val="20"/>
                <w:szCs w:val="20"/>
              </w:rPr>
              <w:t>37,14</w:t>
            </w:r>
          </w:p>
        </w:tc>
        <w:tc>
          <w:tcPr>
            <w:tcW w:w="1562" w:type="dxa"/>
            <w:gridSpan w:val="2"/>
            <w:vAlign w:val="center"/>
          </w:tcPr>
          <w:p w:rsidR="00871EE7" w:rsidRPr="007C51D6" w:rsidRDefault="00871EE7" w:rsidP="00871EE7">
            <w:pPr>
              <w:jc w:val="center"/>
              <w:rPr>
                <w:sz w:val="20"/>
                <w:szCs w:val="20"/>
              </w:rPr>
            </w:pPr>
            <w:r w:rsidRPr="007C51D6">
              <w:rPr>
                <w:sz w:val="20"/>
                <w:szCs w:val="20"/>
              </w:rPr>
              <w:t>40.12</w:t>
            </w:r>
          </w:p>
        </w:tc>
      </w:tr>
      <w:tr w:rsidR="00871EE7" w:rsidRPr="007C51D6" w:rsidTr="0061380E">
        <w:trPr>
          <w:trHeight w:val="20"/>
          <w:tblHeader/>
        </w:trPr>
        <w:tc>
          <w:tcPr>
            <w:tcW w:w="4372" w:type="dxa"/>
            <w:shd w:val="clear" w:color="auto" w:fill="auto"/>
          </w:tcPr>
          <w:p w:rsidR="00871EE7" w:rsidRPr="007C51D6" w:rsidRDefault="00871EE7" w:rsidP="00871EE7">
            <w:pPr>
              <w:autoSpaceDE/>
              <w:autoSpaceDN/>
              <w:adjustRightInd/>
              <w:rPr>
                <w:rFonts w:eastAsia="Arial"/>
                <w:sz w:val="20"/>
                <w:szCs w:val="22"/>
              </w:rPr>
            </w:pPr>
            <w:r w:rsidRPr="007C51D6">
              <w:rPr>
                <w:rFonts w:eastAsia="Arial"/>
                <w:sz w:val="20"/>
                <w:szCs w:val="22"/>
              </w:rPr>
              <w:t>прямой кишки, ректосигмоидного соединения, ануса</w:t>
            </w:r>
          </w:p>
        </w:tc>
        <w:tc>
          <w:tcPr>
            <w:tcW w:w="997" w:type="dxa"/>
            <w:shd w:val="clear" w:color="auto" w:fill="auto"/>
          </w:tcPr>
          <w:p w:rsidR="00871EE7" w:rsidRPr="007C51D6" w:rsidRDefault="00871EE7" w:rsidP="00871EE7">
            <w:pPr>
              <w:autoSpaceDE/>
              <w:autoSpaceDN/>
              <w:adjustRightInd/>
              <w:jc w:val="center"/>
              <w:rPr>
                <w:rFonts w:eastAsia="Arial"/>
                <w:sz w:val="20"/>
                <w:szCs w:val="22"/>
              </w:rPr>
            </w:pPr>
            <w:r w:rsidRPr="007C51D6">
              <w:rPr>
                <w:rFonts w:eastAsia="Arial"/>
                <w:sz w:val="20"/>
                <w:szCs w:val="22"/>
              </w:rPr>
              <w:t>23,34</w:t>
            </w:r>
          </w:p>
        </w:tc>
        <w:tc>
          <w:tcPr>
            <w:tcW w:w="971" w:type="dxa"/>
            <w:shd w:val="clear" w:color="auto" w:fill="auto"/>
          </w:tcPr>
          <w:p w:rsidR="00871EE7" w:rsidRPr="007C51D6" w:rsidRDefault="00871EE7" w:rsidP="00871EE7">
            <w:pPr>
              <w:autoSpaceDE/>
              <w:autoSpaceDN/>
              <w:adjustRightInd/>
              <w:jc w:val="center"/>
              <w:rPr>
                <w:rFonts w:eastAsia="Arial"/>
                <w:sz w:val="20"/>
                <w:szCs w:val="22"/>
              </w:rPr>
            </w:pPr>
            <w:r w:rsidRPr="007C51D6">
              <w:rPr>
                <w:rFonts w:eastAsia="Arial"/>
                <w:sz w:val="20"/>
                <w:szCs w:val="22"/>
              </w:rPr>
              <w:t>25,12</w:t>
            </w:r>
          </w:p>
        </w:tc>
        <w:tc>
          <w:tcPr>
            <w:tcW w:w="1042" w:type="dxa"/>
            <w:shd w:val="clear" w:color="auto" w:fill="auto"/>
          </w:tcPr>
          <w:p w:rsidR="00871EE7" w:rsidRPr="007C51D6" w:rsidRDefault="00871EE7" w:rsidP="00871EE7">
            <w:pPr>
              <w:autoSpaceDE/>
              <w:autoSpaceDN/>
              <w:adjustRightInd/>
              <w:jc w:val="center"/>
              <w:rPr>
                <w:rFonts w:eastAsia="Arial"/>
                <w:sz w:val="20"/>
                <w:szCs w:val="22"/>
              </w:rPr>
            </w:pPr>
            <w:r w:rsidRPr="007C51D6">
              <w:rPr>
                <w:rFonts w:eastAsia="Arial"/>
                <w:sz w:val="20"/>
                <w:szCs w:val="22"/>
              </w:rPr>
              <w:t>27,38</w:t>
            </w:r>
          </w:p>
        </w:tc>
        <w:tc>
          <w:tcPr>
            <w:tcW w:w="1046" w:type="dxa"/>
            <w:shd w:val="clear" w:color="auto" w:fill="auto"/>
          </w:tcPr>
          <w:p w:rsidR="00871EE7" w:rsidRPr="007C51D6" w:rsidRDefault="00871EE7" w:rsidP="00871EE7">
            <w:pPr>
              <w:autoSpaceDE/>
              <w:autoSpaceDN/>
              <w:adjustRightInd/>
              <w:jc w:val="center"/>
              <w:rPr>
                <w:rFonts w:eastAsia="Arial"/>
                <w:sz w:val="20"/>
                <w:szCs w:val="22"/>
              </w:rPr>
            </w:pPr>
            <w:r w:rsidRPr="007C51D6">
              <w:rPr>
                <w:rFonts w:eastAsia="Arial"/>
                <w:sz w:val="20"/>
                <w:szCs w:val="22"/>
              </w:rPr>
              <w:t>26,48</w:t>
            </w:r>
          </w:p>
        </w:tc>
        <w:tc>
          <w:tcPr>
            <w:tcW w:w="969" w:type="dxa"/>
            <w:shd w:val="clear" w:color="auto" w:fill="auto"/>
          </w:tcPr>
          <w:p w:rsidR="00871EE7" w:rsidRPr="007C51D6" w:rsidRDefault="00871EE7" w:rsidP="00871EE7">
            <w:pPr>
              <w:autoSpaceDE/>
              <w:autoSpaceDN/>
              <w:adjustRightInd/>
              <w:jc w:val="center"/>
              <w:rPr>
                <w:rFonts w:eastAsia="Arial"/>
                <w:sz w:val="20"/>
                <w:szCs w:val="22"/>
              </w:rPr>
            </w:pPr>
            <w:r w:rsidRPr="007C51D6">
              <w:rPr>
                <w:rFonts w:eastAsia="Arial"/>
                <w:sz w:val="20"/>
                <w:szCs w:val="22"/>
              </w:rPr>
              <w:t>21,09</w:t>
            </w:r>
          </w:p>
        </w:tc>
        <w:tc>
          <w:tcPr>
            <w:tcW w:w="1020" w:type="dxa"/>
          </w:tcPr>
          <w:p w:rsidR="00871EE7" w:rsidRPr="007C51D6" w:rsidRDefault="00871EE7" w:rsidP="00871EE7">
            <w:pPr>
              <w:autoSpaceDE/>
              <w:autoSpaceDN/>
              <w:adjustRightInd/>
              <w:jc w:val="center"/>
              <w:rPr>
                <w:rFonts w:eastAsia="Arial"/>
                <w:sz w:val="20"/>
                <w:szCs w:val="22"/>
              </w:rPr>
            </w:pPr>
            <w:r w:rsidRPr="007C51D6">
              <w:rPr>
                <w:rFonts w:eastAsia="Arial"/>
                <w:sz w:val="20"/>
                <w:szCs w:val="22"/>
              </w:rPr>
              <w:t>28,15</w:t>
            </w:r>
          </w:p>
        </w:tc>
        <w:tc>
          <w:tcPr>
            <w:tcW w:w="1071" w:type="dxa"/>
          </w:tcPr>
          <w:p w:rsidR="00871EE7" w:rsidRPr="007C51D6" w:rsidRDefault="00871EE7" w:rsidP="00871EE7">
            <w:pPr>
              <w:jc w:val="center"/>
              <w:rPr>
                <w:color w:val="000000"/>
                <w:sz w:val="20"/>
                <w:szCs w:val="20"/>
              </w:rPr>
            </w:pPr>
            <w:r w:rsidRPr="007C51D6">
              <w:rPr>
                <w:color w:val="000000"/>
                <w:sz w:val="20"/>
                <w:szCs w:val="20"/>
              </w:rPr>
              <w:t>25,06</w:t>
            </w:r>
          </w:p>
        </w:tc>
        <w:tc>
          <w:tcPr>
            <w:tcW w:w="1120" w:type="dxa"/>
          </w:tcPr>
          <w:p w:rsidR="00871EE7" w:rsidRPr="007C51D6" w:rsidRDefault="00871EE7" w:rsidP="00871EE7">
            <w:pPr>
              <w:jc w:val="center"/>
              <w:rPr>
                <w:color w:val="000000"/>
                <w:sz w:val="20"/>
                <w:szCs w:val="20"/>
              </w:rPr>
            </w:pPr>
            <w:r w:rsidRPr="007C51D6">
              <w:rPr>
                <w:color w:val="000000"/>
                <w:sz w:val="20"/>
                <w:szCs w:val="20"/>
              </w:rPr>
              <w:t>27,98</w:t>
            </w:r>
          </w:p>
        </w:tc>
        <w:tc>
          <w:tcPr>
            <w:tcW w:w="995" w:type="dxa"/>
          </w:tcPr>
          <w:p w:rsidR="00871EE7" w:rsidRPr="007C51D6" w:rsidRDefault="00871EE7" w:rsidP="00871EE7">
            <w:pPr>
              <w:jc w:val="center"/>
              <w:rPr>
                <w:color w:val="000000"/>
                <w:sz w:val="20"/>
                <w:szCs w:val="20"/>
              </w:rPr>
            </w:pPr>
            <w:r w:rsidRPr="007C51D6">
              <w:rPr>
                <w:color w:val="000000"/>
                <w:sz w:val="20"/>
                <w:szCs w:val="20"/>
              </w:rPr>
              <w:t>26,48</w:t>
            </w:r>
          </w:p>
        </w:tc>
        <w:tc>
          <w:tcPr>
            <w:tcW w:w="1562" w:type="dxa"/>
            <w:gridSpan w:val="2"/>
          </w:tcPr>
          <w:p w:rsidR="00871EE7" w:rsidRPr="007C51D6" w:rsidRDefault="00871EE7" w:rsidP="00871EE7">
            <w:pPr>
              <w:jc w:val="center"/>
              <w:rPr>
                <w:sz w:val="20"/>
                <w:szCs w:val="20"/>
              </w:rPr>
            </w:pPr>
            <w:r w:rsidRPr="007C51D6">
              <w:rPr>
                <w:sz w:val="20"/>
                <w:szCs w:val="20"/>
              </w:rPr>
              <w:t>33.57</w:t>
            </w:r>
          </w:p>
        </w:tc>
      </w:tr>
      <w:tr w:rsidR="00871EE7" w:rsidRPr="007C51D6" w:rsidTr="00177819">
        <w:trPr>
          <w:trHeight w:val="20"/>
          <w:tblHeader/>
        </w:trPr>
        <w:tc>
          <w:tcPr>
            <w:tcW w:w="4372" w:type="dxa"/>
            <w:shd w:val="clear" w:color="auto" w:fill="auto"/>
          </w:tcPr>
          <w:p w:rsidR="00871EE7" w:rsidRPr="007C51D6" w:rsidRDefault="00871EE7" w:rsidP="00871EE7">
            <w:pPr>
              <w:autoSpaceDE/>
              <w:autoSpaceDN/>
              <w:adjustRightInd/>
              <w:jc w:val="both"/>
              <w:rPr>
                <w:rFonts w:eastAsia="Arial"/>
                <w:sz w:val="20"/>
                <w:szCs w:val="22"/>
              </w:rPr>
            </w:pPr>
            <w:r w:rsidRPr="007C51D6">
              <w:rPr>
                <w:rFonts w:eastAsia="Arial"/>
                <w:sz w:val="20"/>
                <w:szCs w:val="22"/>
              </w:rPr>
              <w:t>желудка</w:t>
            </w:r>
          </w:p>
        </w:tc>
        <w:tc>
          <w:tcPr>
            <w:tcW w:w="997" w:type="dxa"/>
            <w:shd w:val="clear" w:color="auto" w:fill="auto"/>
          </w:tcPr>
          <w:p w:rsidR="00871EE7" w:rsidRPr="007C51D6" w:rsidRDefault="00871EE7" w:rsidP="00871EE7">
            <w:pPr>
              <w:autoSpaceDE/>
              <w:autoSpaceDN/>
              <w:adjustRightInd/>
              <w:jc w:val="center"/>
              <w:rPr>
                <w:rFonts w:eastAsia="Arial"/>
                <w:sz w:val="20"/>
                <w:szCs w:val="22"/>
              </w:rPr>
            </w:pPr>
            <w:r w:rsidRPr="007C51D6">
              <w:rPr>
                <w:rFonts w:eastAsia="Arial"/>
                <w:sz w:val="20"/>
                <w:szCs w:val="22"/>
              </w:rPr>
              <w:t>27,81</w:t>
            </w:r>
          </w:p>
        </w:tc>
        <w:tc>
          <w:tcPr>
            <w:tcW w:w="971" w:type="dxa"/>
            <w:shd w:val="clear" w:color="auto" w:fill="auto"/>
          </w:tcPr>
          <w:p w:rsidR="00871EE7" w:rsidRPr="007C51D6" w:rsidRDefault="00871EE7" w:rsidP="00871EE7">
            <w:pPr>
              <w:autoSpaceDE/>
              <w:autoSpaceDN/>
              <w:adjustRightInd/>
              <w:jc w:val="center"/>
              <w:rPr>
                <w:rFonts w:eastAsia="Arial"/>
                <w:sz w:val="20"/>
                <w:szCs w:val="22"/>
              </w:rPr>
            </w:pPr>
            <w:r w:rsidRPr="007C51D6">
              <w:rPr>
                <w:rFonts w:eastAsia="Arial"/>
                <w:sz w:val="20"/>
                <w:szCs w:val="22"/>
              </w:rPr>
              <w:t>25,94</w:t>
            </w:r>
          </w:p>
        </w:tc>
        <w:tc>
          <w:tcPr>
            <w:tcW w:w="1042" w:type="dxa"/>
            <w:shd w:val="clear" w:color="auto" w:fill="auto"/>
          </w:tcPr>
          <w:p w:rsidR="00871EE7" w:rsidRPr="007C51D6" w:rsidRDefault="00871EE7" w:rsidP="00871EE7">
            <w:pPr>
              <w:autoSpaceDE/>
              <w:autoSpaceDN/>
              <w:adjustRightInd/>
              <w:jc w:val="center"/>
              <w:rPr>
                <w:rFonts w:eastAsia="Arial"/>
                <w:sz w:val="20"/>
                <w:szCs w:val="22"/>
              </w:rPr>
            </w:pPr>
            <w:r w:rsidRPr="007C51D6">
              <w:rPr>
                <w:rFonts w:eastAsia="Arial"/>
                <w:sz w:val="20"/>
                <w:szCs w:val="22"/>
              </w:rPr>
              <w:t>29,69</w:t>
            </w:r>
          </w:p>
        </w:tc>
        <w:tc>
          <w:tcPr>
            <w:tcW w:w="1046" w:type="dxa"/>
            <w:shd w:val="clear" w:color="auto" w:fill="auto"/>
          </w:tcPr>
          <w:p w:rsidR="00871EE7" w:rsidRPr="007C51D6" w:rsidRDefault="00871EE7" w:rsidP="00871EE7">
            <w:pPr>
              <w:autoSpaceDE/>
              <w:autoSpaceDN/>
              <w:adjustRightInd/>
              <w:jc w:val="center"/>
              <w:rPr>
                <w:rFonts w:eastAsia="Arial"/>
                <w:sz w:val="20"/>
                <w:szCs w:val="22"/>
              </w:rPr>
            </w:pPr>
            <w:r w:rsidRPr="007C51D6">
              <w:rPr>
                <w:rFonts w:eastAsia="Arial"/>
                <w:sz w:val="20"/>
                <w:szCs w:val="22"/>
              </w:rPr>
              <w:t>27,15</w:t>
            </w:r>
          </w:p>
        </w:tc>
        <w:tc>
          <w:tcPr>
            <w:tcW w:w="969" w:type="dxa"/>
            <w:shd w:val="clear" w:color="auto" w:fill="auto"/>
          </w:tcPr>
          <w:p w:rsidR="00871EE7" w:rsidRPr="007C51D6" w:rsidRDefault="00871EE7" w:rsidP="00871EE7">
            <w:pPr>
              <w:autoSpaceDE/>
              <w:autoSpaceDN/>
              <w:adjustRightInd/>
              <w:jc w:val="center"/>
              <w:rPr>
                <w:rFonts w:eastAsia="Arial"/>
                <w:sz w:val="20"/>
                <w:szCs w:val="22"/>
              </w:rPr>
            </w:pPr>
            <w:r w:rsidRPr="007C51D6">
              <w:rPr>
                <w:rFonts w:eastAsia="Arial"/>
                <w:sz w:val="20"/>
                <w:szCs w:val="22"/>
              </w:rPr>
              <w:t>24,42</w:t>
            </w:r>
          </w:p>
        </w:tc>
        <w:tc>
          <w:tcPr>
            <w:tcW w:w="1020" w:type="dxa"/>
          </w:tcPr>
          <w:p w:rsidR="00871EE7" w:rsidRPr="007C51D6" w:rsidRDefault="00871EE7" w:rsidP="00871EE7">
            <w:pPr>
              <w:autoSpaceDE/>
              <w:autoSpaceDN/>
              <w:adjustRightInd/>
              <w:jc w:val="center"/>
              <w:rPr>
                <w:rFonts w:eastAsia="Arial"/>
                <w:sz w:val="20"/>
                <w:szCs w:val="22"/>
              </w:rPr>
            </w:pPr>
            <w:r w:rsidRPr="007C51D6">
              <w:rPr>
                <w:rFonts w:eastAsia="Arial"/>
                <w:sz w:val="20"/>
                <w:szCs w:val="22"/>
              </w:rPr>
              <w:t>25,45</w:t>
            </w:r>
          </w:p>
        </w:tc>
        <w:tc>
          <w:tcPr>
            <w:tcW w:w="1071" w:type="dxa"/>
          </w:tcPr>
          <w:p w:rsidR="00871EE7" w:rsidRPr="007C51D6" w:rsidRDefault="00871EE7" w:rsidP="00871EE7">
            <w:pPr>
              <w:jc w:val="center"/>
              <w:rPr>
                <w:color w:val="000000"/>
                <w:sz w:val="20"/>
                <w:szCs w:val="20"/>
              </w:rPr>
            </w:pPr>
            <w:r w:rsidRPr="007C51D6">
              <w:rPr>
                <w:color w:val="000000"/>
                <w:sz w:val="20"/>
                <w:szCs w:val="20"/>
              </w:rPr>
              <w:t>25,99</w:t>
            </w:r>
          </w:p>
        </w:tc>
        <w:tc>
          <w:tcPr>
            <w:tcW w:w="1120" w:type="dxa"/>
          </w:tcPr>
          <w:p w:rsidR="00871EE7" w:rsidRPr="007C51D6" w:rsidRDefault="00871EE7" w:rsidP="00871EE7">
            <w:pPr>
              <w:jc w:val="center"/>
              <w:rPr>
                <w:color w:val="000000"/>
                <w:sz w:val="20"/>
                <w:szCs w:val="20"/>
              </w:rPr>
            </w:pPr>
            <w:r w:rsidRPr="007C51D6">
              <w:rPr>
                <w:color w:val="000000"/>
                <w:sz w:val="20"/>
                <w:szCs w:val="20"/>
              </w:rPr>
              <w:t>26,51</w:t>
            </w:r>
          </w:p>
        </w:tc>
        <w:tc>
          <w:tcPr>
            <w:tcW w:w="995" w:type="dxa"/>
            <w:vAlign w:val="center"/>
          </w:tcPr>
          <w:p w:rsidR="00871EE7" w:rsidRPr="007C51D6" w:rsidRDefault="00871EE7" w:rsidP="00871EE7">
            <w:pPr>
              <w:jc w:val="center"/>
              <w:rPr>
                <w:color w:val="000000"/>
                <w:sz w:val="20"/>
                <w:szCs w:val="20"/>
              </w:rPr>
            </w:pPr>
            <w:r w:rsidRPr="007C51D6">
              <w:rPr>
                <w:color w:val="000000"/>
                <w:sz w:val="20"/>
                <w:szCs w:val="20"/>
              </w:rPr>
              <w:t>26,05</w:t>
            </w:r>
          </w:p>
        </w:tc>
        <w:tc>
          <w:tcPr>
            <w:tcW w:w="1562" w:type="dxa"/>
            <w:gridSpan w:val="2"/>
            <w:vAlign w:val="center"/>
          </w:tcPr>
          <w:p w:rsidR="00871EE7" w:rsidRPr="007C51D6" w:rsidRDefault="00871EE7" w:rsidP="00871EE7">
            <w:pPr>
              <w:jc w:val="center"/>
              <w:rPr>
                <w:sz w:val="20"/>
                <w:szCs w:val="20"/>
              </w:rPr>
            </w:pPr>
            <w:r w:rsidRPr="007C51D6">
              <w:rPr>
                <w:sz w:val="20"/>
                <w:szCs w:val="20"/>
              </w:rPr>
              <w:t>26.41</w:t>
            </w:r>
          </w:p>
        </w:tc>
      </w:tr>
      <w:tr w:rsidR="00871EE7" w:rsidRPr="007C51D6" w:rsidTr="00177819">
        <w:trPr>
          <w:trHeight w:val="20"/>
          <w:tblHeader/>
        </w:trPr>
        <w:tc>
          <w:tcPr>
            <w:tcW w:w="4372" w:type="dxa"/>
            <w:shd w:val="clear" w:color="auto" w:fill="auto"/>
          </w:tcPr>
          <w:p w:rsidR="00871EE7" w:rsidRPr="007C51D6" w:rsidRDefault="00871EE7" w:rsidP="00871EE7">
            <w:pPr>
              <w:autoSpaceDE/>
              <w:autoSpaceDN/>
              <w:adjustRightInd/>
              <w:jc w:val="both"/>
              <w:rPr>
                <w:rFonts w:eastAsia="Arial"/>
                <w:sz w:val="20"/>
                <w:szCs w:val="22"/>
              </w:rPr>
            </w:pPr>
            <w:r w:rsidRPr="007C51D6">
              <w:rPr>
                <w:rFonts w:eastAsia="Arial"/>
                <w:sz w:val="20"/>
                <w:szCs w:val="22"/>
              </w:rPr>
              <w:t>лимфатической и кроветворной ткани</w:t>
            </w:r>
          </w:p>
        </w:tc>
        <w:tc>
          <w:tcPr>
            <w:tcW w:w="997" w:type="dxa"/>
            <w:shd w:val="clear" w:color="auto" w:fill="auto"/>
          </w:tcPr>
          <w:p w:rsidR="00871EE7" w:rsidRPr="007C51D6" w:rsidRDefault="00871EE7" w:rsidP="00871EE7">
            <w:pPr>
              <w:autoSpaceDE/>
              <w:autoSpaceDN/>
              <w:adjustRightInd/>
              <w:jc w:val="center"/>
              <w:rPr>
                <w:rFonts w:eastAsia="Arial"/>
                <w:sz w:val="20"/>
                <w:szCs w:val="22"/>
              </w:rPr>
            </w:pPr>
            <w:r w:rsidRPr="007C51D6">
              <w:rPr>
                <w:rFonts w:eastAsia="Arial"/>
                <w:sz w:val="20"/>
                <w:szCs w:val="22"/>
              </w:rPr>
              <w:t>20,14</w:t>
            </w:r>
          </w:p>
        </w:tc>
        <w:tc>
          <w:tcPr>
            <w:tcW w:w="971" w:type="dxa"/>
            <w:shd w:val="clear" w:color="auto" w:fill="auto"/>
          </w:tcPr>
          <w:p w:rsidR="00871EE7" w:rsidRPr="007C51D6" w:rsidRDefault="00871EE7" w:rsidP="00871EE7">
            <w:pPr>
              <w:autoSpaceDE/>
              <w:autoSpaceDN/>
              <w:adjustRightInd/>
              <w:jc w:val="center"/>
              <w:rPr>
                <w:rFonts w:eastAsia="Arial"/>
                <w:sz w:val="20"/>
                <w:szCs w:val="22"/>
              </w:rPr>
            </w:pPr>
            <w:r w:rsidRPr="007C51D6">
              <w:rPr>
                <w:rFonts w:eastAsia="Arial"/>
                <w:sz w:val="20"/>
                <w:szCs w:val="22"/>
              </w:rPr>
              <w:t>18,36</w:t>
            </w:r>
          </w:p>
        </w:tc>
        <w:tc>
          <w:tcPr>
            <w:tcW w:w="1042" w:type="dxa"/>
            <w:shd w:val="clear" w:color="auto" w:fill="auto"/>
          </w:tcPr>
          <w:p w:rsidR="00871EE7" w:rsidRPr="007C51D6" w:rsidRDefault="00871EE7" w:rsidP="00871EE7">
            <w:pPr>
              <w:autoSpaceDE/>
              <w:autoSpaceDN/>
              <w:adjustRightInd/>
              <w:jc w:val="center"/>
              <w:rPr>
                <w:rFonts w:eastAsia="Arial"/>
                <w:sz w:val="20"/>
                <w:szCs w:val="22"/>
              </w:rPr>
            </w:pPr>
            <w:r w:rsidRPr="007C51D6">
              <w:rPr>
                <w:rFonts w:eastAsia="Arial"/>
                <w:sz w:val="20"/>
                <w:szCs w:val="22"/>
              </w:rPr>
              <w:t>18,14</w:t>
            </w:r>
          </w:p>
        </w:tc>
        <w:tc>
          <w:tcPr>
            <w:tcW w:w="1046" w:type="dxa"/>
            <w:shd w:val="clear" w:color="auto" w:fill="auto"/>
          </w:tcPr>
          <w:p w:rsidR="00871EE7" w:rsidRPr="007C51D6" w:rsidRDefault="00871EE7" w:rsidP="00871EE7">
            <w:pPr>
              <w:autoSpaceDE/>
              <w:autoSpaceDN/>
              <w:adjustRightInd/>
              <w:jc w:val="center"/>
              <w:rPr>
                <w:rFonts w:eastAsia="Arial"/>
                <w:sz w:val="20"/>
                <w:szCs w:val="22"/>
              </w:rPr>
            </w:pPr>
            <w:r w:rsidRPr="007C51D6">
              <w:rPr>
                <w:rFonts w:eastAsia="Arial"/>
                <w:sz w:val="20"/>
                <w:szCs w:val="22"/>
              </w:rPr>
              <w:t>28,17</w:t>
            </w:r>
          </w:p>
        </w:tc>
        <w:tc>
          <w:tcPr>
            <w:tcW w:w="969" w:type="dxa"/>
            <w:shd w:val="clear" w:color="auto" w:fill="auto"/>
          </w:tcPr>
          <w:p w:rsidR="00871EE7" w:rsidRPr="007C51D6" w:rsidRDefault="00871EE7" w:rsidP="00871EE7">
            <w:pPr>
              <w:autoSpaceDE/>
              <w:autoSpaceDN/>
              <w:adjustRightInd/>
              <w:jc w:val="center"/>
              <w:rPr>
                <w:rFonts w:eastAsia="Arial"/>
                <w:sz w:val="20"/>
                <w:szCs w:val="22"/>
              </w:rPr>
            </w:pPr>
            <w:r w:rsidRPr="007C51D6">
              <w:rPr>
                <w:rFonts w:eastAsia="Arial"/>
                <w:sz w:val="20"/>
                <w:szCs w:val="22"/>
              </w:rPr>
              <w:t>21,68</w:t>
            </w:r>
          </w:p>
        </w:tc>
        <w:tc>
          <w:tcPr>
            <w:tcW w:w="1020" w:type="dxa"/>
          </w:tcPr>
          <w:p w:rsidR="00871EE7" w:rsidRPr="007C51D6" w:rsidRDefault="00871EE7" w:rsidP="00871EE7">
            <w:pPr>
              <w:autoSpaceDE/>
              <w:autoSpaceDN/>
              <w:adjustRightInd/>
              <w:jc w:val="center"/>
              <w:rPr>
                <w:rFonts w:eastAsia="Arial"/>
                <w:sz w:val="20"/>
                <w:szCs w:val="22"/>
              </w:rPr>
            </w:pPr>
            <w:r w:rsidRPr="007C51D6">
              <w:rPr>
                <w:rFonts w:eastAsia="Arial"/>
                <w:sz w:val="20"/>
                <w:szCs w:val="22"/>
              </w:rPr>
              <w:t>21,82</w:t>
            </w:r>
          </w:p>
        </w:tc>
        <w:tc>
          <w:tcPr>
            <w:tcW w:w="1071" w:type="dxa"/>
          </w:tcPr>
          <w:p w:rsidR="00871EE7" w:rsidRPr="007C51D6" w:rsidRDefault="00871EE7" w:rsidP="00871EE7">
            <w:pPr>
              <w:jc w:val="center"/>
              <w:rPr>
                <w:color w:val="000000"/>
                <w:sz w:val="20"/>
                <w:szCs w:val="20"/>
              </w:rPr>
            </w:pPr>
            <w:r w:rsidRPr="007C51D6">
              <w:rPr>
                <w:color w:val="000000"/>
                <w:sz w:val="20"/>
                <w:szCs w:val="20"/>
              </w:rPr>
              <w:t>21,57</w:t>
            </w:r>
          </w:p>
        </w:tc>
        <w:tc>
          <w:tcPr>
            <w:tcW w:w="1120" w:type="dxa"/>
          </w:tcPr>
          <w:p w:rsidR="00871EE7" w:rsidRPr="007C51D6" w:rsidRDefault="00871EE7" w:rsidP="00871EE7">
            <w:pPr>
              <w:jc w:val="center"/>
              <w:rPr>
                <w:color w:val="000000"/>
                <w:sz w:val="20"/>
                <w:szCs w:val="20"/>
              </w:rPr>
            </w:pPr>
            <w:r w:rsidRPr="007C51D6">
              <w:rPr>
                <w:color w:val="000000"/>
                <w:sz w:val="20"/>
                <w:szCs w:val="20"/>
              </w:rPr>
              <w:t>23,11</w:t>
            </w:r>
          </w:p>
        </w:tc>
        <w:tc>
          <w:tcPr>
            <w:tcW w:w="995" w:type="dxa"/>
            <w:vAlign w:val="center"/>
          </w:tcPr>
          <w:p w:rsidR="00871EE7" w:rsidRPr="007C51D6" w:rsidRDefault="00871EE7" w:rsidP="00871EE7">
            <w:pPr>
              <w:jc w:val="center"/>
              <w:rPr>
                <w:color w:val="000000"/>
                <w:sz w:val="20"/>
                <w:szCs w:val="20"/>
              </w:rPr>
            </w:pPr>
            <w:r w:rsidRPr="007C51D6">
              <w:rPr>
                <w:color w:val="000000"/>
                <w:sz w:val="20"/>
                <w:szCs w:val="20"/>
              </w:rPr>
              <w:t>25,48</w:t>
            </w:r>
          </w:p>
        </w:tc>
        <w:tc>
          <w:tcPr>
            <w:tcW w:w="1562" w:type="dxa"/>
            <w:gridSpan w:val="2"/>
            <w:vAlign w:val="center"/>
          </w:tcPr>
          <w:p w:rsidR="00871EE7" w:rsidRPr="007C51D6" w:rsidRDefault="00871EE7" w:rsidP="00871EE7">
            <w:pPr>
              <w:jc w:val="center"/>
              <w:rPr>
                <w:sz w:val="20"/>
                <w:szCs w:val="20"/>
              </w:rPr>
            </w:pPr>
            <w:r w:rsidRPr="007C51D6">
              <w:rPr>
                <w:sz w:val="20"/>
                <w:szCs w:val="20"/>
              </w:rPr>
              <w:t>25.58</w:t>
            </w:r>
          </w:p>
        </w:tc>
      </w:tr>
      <w:tr w:rsidR="00871EE7" w:rsidRPr="007C51D6" w:rsidTr="00177819">
        <w:trPr>
          <w:trHeight w:val="20"/>
          <w:tblHeader/>
        </w:trPr>
        <w:tc>
          <w:tcPr>
            <w:tcW w:w="4372" w:type="dxa"/>
            <w:shd w:val="clear" w:color="auto" w:fill="auto"/>
          </w:tcPr>
          <w:p w:rsidR="00871EE7" w:rsidRPr="007C51D6" w:rsidRDefault="00871EE7" w:rsidP="00871EE7">
            <w:pPr>
              <w:autoSpaceDE/>
              <w:autoSpaceDN/>
              <w:adjustRightInd/>
              <w:jc w:val="both"/>
              <w:rPr>
                <w:rFonts w:eastAsia="Arial"/>
                <w:sz w:val="20"/>
                <w:szCs w:val="22"/>
              </w:rPr>
            </w:pPr>
            <w:r w:rsidRPr="007C51D6">
              <w:rPr>
                <w:rFonts w:eastAsia="Arial"/>
                <w:sz w:val="20"/>
                <w:szCs w:val="22"/>
              </w:rPr>
              <w:t>почки</w:t>
            </w:r>
          </w:p>
        </w:tc>
        <w:tc>
          <w:tcPr>
            <w:tcW w:w="997" w:type="dxa"/>
            <w:shd w:val="clear" w:color="auto" w:fill="auto"/>
          </w:tcPr>
          <w:p w:rsidR="00871EE7" w:rsidRPr="007C51D6" w:rsidRDefault="00871EE7" w:rsidP="00871EE7">
            <w:pPr>
              <w:autoSpaceDE/>
              <w:autoSpaceDN/>
              <w:adjustRightInd/>
              <w:jc w:val="center"/>
              <w:rPr>
                <w:rFonts w:eastAsia="Arial"/>
                <w:sz w:val="20"/>
                <w:szCs w:val="22"/>
              </w:rPr>
            </w:pPr>
            <w:r w:rsidRPr="007C51D6">
              <w:rPr>
                <w:rFonts w:eastAsia="Arial"/>
                <w:sz w:val="20"/>
                <w:szCs w:val="22"/>
              </w:rPr>
              <w:t>15,84</w:t>
            </w:r>
          </w:p>
        </w:tc>
        <w:tc>
          <w:tcPr>
            <w:tcW w:w="971" w:type="dxa"/>
            <w:shd w:val="clear" w:color="auto" w:fill="auto"/>
          </w:tcPr>
          <w:p w:rsidR="00871EE7" w:rsidRPr="007C51D6" w:rsidRDefault="00871EE7" w:rsidP="00871EE7">
            <w:pPr>
              <w:autoSpaceDE/>
              <w:autoSpaceDN/>
              <w:adjustRightInd/>
              <w:jc w:val="center"/>
              <w:rPr>
                <w:rFonts w:eastAsia="Arial"/>
                <w:sz w:val="20"/>
                <w:szCs w:val="22"/>
              </w:rPr>
            </w:pPr>
            <w:r w:rsidRPr="007C51D6">
              <w:rPr>
                <w:rFonts w:eastAsia="Arial"/>
                <w:sz w:val="20"/>
                <w:szCs w:val="22"/>
              </w:rPr>
              <w:t>16,56</w:t>
            </w:r>
          </w:p>
        </w:tc>
        <w:tc>
          <w:tcPr>
            <w:tcW w:w="1042" w:type="dxa"/>
            <w:shd w:val="clear" w:color="auto" w:fill="auto"/>
          </w:tcPr>
          <w:p w:rsidR="00871EE7" w:rsidRPr="007C51D6" w:rsidRDefault="00871EE7" w:rsidP="00871EE7">
            <w:pPr>
              <w:autoSpaceDE/>
              <w:autoSpaceDN/>
              <w:adjustRightInd/>
              <w:jc w:val="center"/>
              <w:rPr>
                <w:rFonts w:eastAsia="Arial"/>
                <w:sz w:val="20"/>
                <w:szCs w:val="22"/>
              </w:rPr>
            </w:pPr>
            <w:r w:rsidRPr="007C51D6">
              <w:rPr>
                <w:rFonts w:eastAsia="Arial"/>
                <w:sz w:val="20"/>
                <w:szCs w:val="22"/>
              </w:rPr>
              <w:t>16,32</w:t>
            </w:r>
          </w:p>
        </w:tc>
        <w:tc>
          <w:tcPr>
            <w:tcW w:w="1046" w:type="dxa"/>
            <w:shd w:val="clear" w:color="auto" w:fill="auto"/>
          </w:tcPr>
          <w:p w:rsidR="00871EE7" w:rsidRPr="007C51D6" w:rsidRDefault="00871EE7" w:rsidP="00871EE7">
            <w:pPr>
              <w:autoSpaceDE/>
              <w:autoSpaceDN/>
              <w:adjustRightInd/>
              <w:jc w:val="center"/>
              <w:rPr>
                <w:rFonts w:eastAsia="Arial"/>
                <w:sz w:val="20"/>
                <w:szCs w:val="22"/>
              </w:rPr>
            </w:pPr>
            <w:r w:rsidRPr="007C51D6">
              <w:rPr>
                <w:rFonts w:eastAsia="Arial"/>
                <w:sz w:val="20"/>
                <w:szCs w:val="22"/>
              </w:rPr>
              <w:t>16,41</w:t>
            </w:r>
          </w:p>
        </w:tc>
        <w:tc>
          <w:tcPr>
            <w:tcW w:w="969" w:type="dxa"/>
            <w:shd w:val="clear" w:color="auto" w:fill="auto"/>
          </w:tcPr>
          <w:p w:rsidR="00871EE7" w:rsidRPr="007C51D6" w:rsidRDefault="00871EE7" w:rsidP="00871EE7">
            <w:pPr>
              <w:autoSpaceDE/>
              <w:autoSpaceDN/>
              <w:adjustRightInd/>
              <w:jc w:val="center"/>
              <w:rPr>
                <w:rFonts w:eastAsia="Arial"/>
                <w:sz w:val="20"/>
                <w:szCs w:val="22"/>
              </w:rPr>
            </w:pPr>
            <w:r w:rsidRPr="007C51D6">
              <w:rPr>
                <w:rFonts w:eastAsia="Arial"/>
                <w:sz w:val="20"/>
                <w:szCs w:val="22"/>
              </w:rPr>
              <w:t>13,73</w:t>
            </w:r>
          </w:p>
        </w:tc>
        <w:tc>
          <w:tcPr>
            <w:tcW w:w="1020" w:type="dxa"/>
          </w:tcPr>
          <w:p w:rsidR="00871EE7" w:rsidRPr="007C51D6" w:rsidRDefault="00871EE7" w:rsidP="00871EE7">
            <w:pPr>
              <w:autoSpaceDE/>
              <w:autoSpaceDN/>
              <w:adjustRightInd/>
              <w:jc w:val="center"/>
              <w:rPr>
                <w:rFonts w:eastAsia="Arial"/>
                <w:sz w:val="20"/>
                <w:szCs w:val="22"/>
              </w:rPr>
            </w:pPr>
            <w:r w:rsidRPr="007C51D6">
              <w:rPr>
                <w:rFonts w:eastAsia="Arial"/>
                <w:sz w:val="20"/>
                <w:szCs w:val="22"/>
              </w:rPr>
              <w:t>15,55</w:t>
            </w:r>
          </w:p>
        </w:tc>
        <w:tc>
          <w:tcPr>
            <w:tcW w:w="1071" w:type="dxa"/>
          </w:tcPr>
          <w:p w:rsidR="00871EE7" w:rsidRPr="007C51D6" w:rsidRDefault="00871EE7" w:rsidP="00871EE7">
            <w:pPr>
              <w:jc w:val="center"/>
              <w:rPr>
                <w:color w:val="000000"/>
                <w:sz w:val="20"/>
                <w:szCs w:val="20"/>
              </w:rPr>
            </w:pPr>
            <w:r w:rsidRPr="007C51D6">
              <w:rPr>
                <w:color w:val="000000"/>
                <w:sz w:val="20"/>
                <w:szCs w:val="20"/>
              </w:rPr>
              <w:t>16,59</w:t>
            </w:r>
          </w:p>
        </w:tc>
        <w:tc>
          <w:tcPr>
            <w:tcW w:w="1120" w:type="dxa"/>
          </w:tcPr>
          <w:p w:rsidR="00871EE7" w:rsidRPr="007C51D6" w:rsidRDefault="00871EE7" w:rsidP="00871EE7">
            <w:pPr>
              <w:jc w:val="center"/>
              <w:rPr>
                <w:color w:val="000000"/>
                <w:sz w:val="20"/>
                <w:szCs w:val="20"/>
              </w:rPr>
            </w:pPr>
            <w:r w:rsidRPr="007C51D6">
              <w:rPr>
                <w:color w:val="000000"/>
                <w:sz w:val="20"/>
                <w:szCs w:val="20"/>
              </w:rPr>
              <w:t>16,17</w:t>
            </w:r>
          </w:p>
        </w:tc>
        <w:tc>
          <w:tcPr>
            <w:tcW w:w="995" w:type="dxa"/>
            <w:vAlign w:val="center"/>
          </w:tcPr>
          <w:p w:rsidR="00871EE7" w:rsidRPr="007C51D6" w:rsidRDefault="00871EE7" w:rsidP="00871EE7">
            <w:pPr>
              <w:jc w:val="center"/>
              <w:rPr>
                <w:color w:val="000000"/>
                <w:sz w:val="20"/>
                <w:szCs w:val="20"/>
              </w:rPr>
            </w:pPr>
            <w:r w:rsidRPr="007C51D6">
              <w:rPr>
                <w:color w:val="000000"/>
                <w:sz w:val="20"/>
                <w:szCs w:val="20"/>
              </w:rPr>
              <w:t>18,62</w:t>
            </w:r>
          </w:p>
        </w:tc>
        <w:tc>
          <w:tcPr>
            <w:tcW w:w="1562" w:type="dxa"/>
            <w:gridSpan w:val="2"/>
            <w:vAlign w:val="center"/>
          </w:tcPr>
          <w:p w:rsidR="00871EE7" w:rsidRPr="007C51D6" w:rsidRDefault="00871EE7" w:rsidP="00871EE7">
            <w:pPr>
              <w:jc w:val="center"/>
              <w:rPr>
                <w:sz w:val="20"/>
                <w:szCs w:val="20"/>
              </w:rPr>
            </w:pPr>
            <w:r w:rsidRPr="007C51D6">
              <w:rPr>
                <w:sz w:val="20"/>
                <w:szCs w:val="20"/>
              </w:rPr>
              <w:t>18.66</w:t>
            </w:r>
          </w:p>
        </w:tc>
      </w:tr>
      <w:tr w:rsidR="00871EE7" w:rsidRPr="007C51D6" w:rsidTr="00177819">
        <w:trPr>
          <w:trHeight w:val="20"/>
          <w:tblHeader/>
        </w:trPr>
        <w:tc>
          <w:tcPr>
            <w:tcW w:w="4372" w:type="dxa"/>
            <w:shd w:val="clear" w:color="auto" w:fill="auto"/>
          </w:tcPr>
          <w:p w:rsidR="00871EE7" w:rsidRPr="007C51D6" w:rsidRDefault="00871EE7" w:rsidP="00871EE7">
            <w:pPr>
              <w:autoSpaceDE/>
              <w:autoSpaceDN/>
              <w:adjustRightInd/>
              <w:jc w:val="both"/>
              <w:rPr>
                <w:rFonts w:eastAsia="Arial"/>
                <w:sz w:val="20"/>
                <w:szCs w:val="22"/>
              </w:rPr>
            </w:pPr>
            <w:r w:rsidRPr="007C51D6">
              <w:rPr>
                <w:rFonts w:eastAsia="Arial"/>
                <w:sz w:val="20"/>
                <w:szCs w:val="22"/>
              </w:rPr>
              <w:t>тела матки</w:t>
            </w:r>
          </w:p>
        </w:tc>
        <w:tc>
          <w:tcPr>
            <w:tcW w:w="997" w:type="dxa"/>
            <w:shd w:val="clear" w:color="auto" w:fill="auto"/>
          </w:tcPr>
          <w:p w:rsidR="00871EE7" w:rsidRPr="007C51D6" w:rsidRDefault="00871EE7" w:rsidP="00871EE7">
            <w:pPr>
              <w:autoSpaceDE/>
              <w:autoSpaceDN/>
              <w:adjustRightInd/>
              <w:jc w:val="center"/>
              <w:rPr>
                <w:rFonts w:eastAsia="Arial"/>
                <w:sz w:val="20"/>
                <w:szCs w:val="22"/>
              </w:rPr>
            </w:pPr>
            <w:r w:rsidRPr="007C51D6">
              <w:rPr>
                <w:rFonts w:eastAsia="Arial"/>
                <w:sz w:val="20"/>
                <w:szCs w:val="22"/>
              </w:rPr>
              <w:t>24,77</w:t>
            </w:r>
          </w:p>
        </w:tc>
        <w:tc>
          <w:tcPr>
            <w:tcW w:w="971" w:type="dxa"/>
            <w:shd w:val="clear" w:color="auto" w:fill="auto"/>
          </w:tcPr>
          <w:p w:rsidR="00871EE7" w:rsidRPr="007C51D6" w:rsidRDefault="00871EE7" w:rsidP="00871EE7">
            <w:pPr>
              <w:autoSpaceDE/>
              <w:autoSpaceDN/>
              <w:adjustRightInd/>
              <w:jc w:val="center"/>
              <w:rPr>
                <w:rFonts w:eastAsia="Arial"/>
                <w:sz w:val="20"/>
                <w:szCs w:val="22"/>
              </w:rPr>
            </w:pPr>
            <w:r w:rsidRPr="007C51D6">
              <w:rPr>
                <w:rFonts w:eastAsia="Arial"/>
                <w:sz w:val="20"/>
                <w:szCs w:val="22"/>
              </w:rPr>
              <w:t>26,74</w:t>
            </w:r>
          </w:p>
        </w:tc>
        <w:tc>
          <w:tcPr>
            <w:tcW w:w="1042" w:type="dxa"/>
            <w:shd w:val="clear" w:color="auto" w:fill="auto"/>
          </w:tcPr>
          <w:p w:rsidR="00871EE7" w:rsidRPr="007C51D6" w:rsidRDefault="00871EE7" w:rsidP="00871EE7">
            <w:pPr>
              <w:autoSpaceDE/>
              <w:autoSpaceDN/>
              <w:adjustRightInd/>
              <w:jc w:val="center"/>
              <w:rPr>
                <w:rFonts w:eastAsia="Arial"/>
                <w:sz w:val="20"/>
                <w:szCs w:val="22"/>
              </w:rPr>
            </w:pPr>
            <w:r w:rsidRPr="007C51D6">
              <w:rPr>
                <w:rFonts w:eastAsia="Arial"/>
                <w:sz w:val="20"/>
                <w:szCs w:val="22"/>
              </w:rPr>
              <w:t>26,98</w:t>
            </w:r>
          </w:p>
        </w:tc>
        <w:tc>
          <w:tcPr>
            <w:tcW w:w="1046" w:type="dxa"/>
            <w:shd w:val="clear" w:color="auto" w:fill="auto"/>
          </w:tcPr>
          <w:p w:rsidR="00871EE7" w:rsidRPr="007C51D6" w:rsidRDefault="00871EE7" w:rsidP="00871EE7">
            <w:pPr>
              <w:autoSpaceDE/>
              <w:autoSpaceDN/>
              <w:adjustRightInd/>
              <w:jc w:val="center"/>
              <w:rPr>
                <w:rFonts w:eastAsia="Arial"/>
                <w:sz w:val="20"/>
                <w:szCs w:val="22"/>
              </w:rPr>
            </w:pPr>
            <w:r w:rsidRPr="007C51D6">
              <w:rPr>
                <w:rFonts w:eastAsia="Arial"/>
                <w:sz w:val="20"/>
                <w:szCs w:val="22"/>
              </w:rPr>
              <w:t>24,92</w:t>
            </w:r>
          </w:p>
        </w:tc>
        <w:tc>
          <w:tcPr>
            <w:tcW w:w="969" w:type="dxa"/>
            <w:shd w:val="clear" w:color="auto" w:fill="auto"/>
          </w:tcPr>
          <w:p w:rsidR="00871EE7" w:rsidRPr="007C51D6" w:rsidRDefault="00871EE7" w:rsidP="00871EE7">
            <w:pPr>
              <w:autoSpaceDE/>
              <w:autoSpaceDN/>
              <w:adjustRightInd/>
              <w:jc w:val="center"/>
              <w:rPr>
                <w:rFonts w:eastAsia="Arial"/>
                <w:sz w:val="20"/>
                <w:szCs w:val="22"/>
              </w:rPr>
            </w:pPr>
            <w:r w:rsidRPr="007C51D6">
              <w:rPr>
                <w:rFonts w:eastAsia="Arial"/>
                <w:sz w:val="20"/>
                <w:szCs w:val="22"/>
              </w:rPr>
              <w:t>26,50</w:t>
            </w:r>
          </w:p>
        </w:tc>
        <w:tc>
          <w:tcPr>
            <w:tcW w:w="1020" w:type="dxa"/>
          </w:tcPr>
          <w:p w:rsidR="00871EE7" w:rsidRPr="007C51D6" w:rsidRDefault="00871EE7" w:rsidP="00871EE7">
            <w:pPr>
              <w:autoSpaceDE/>
              <w:autoSpaceDN/>
              <w:adjustRightInd/>
              <w:jc w:val="center"/>
              <w:rPr>
                <w:rFonts w:eastAsia="Arial"/>
                <w:sz w:val="20"/>
                <w:szCs w:val="22"/>
              </w:rPr>
            </w:pPr>
            <w:r w:rsidRPr="007C51D6">
              <w:rPr>
                <w:rFonts w:eastAsia="Arial"/>
                <w:sz w:val="20"/>
                <w:szCs w:val="22"/>
              </w:rPr>
              <w:t>28,46</w:t>
            </w:r>
          </w:p>
        </w:tc>
        <w:tc>
          <w:tcPr>
            <w:tcW w:w="1071" w:type="dxa"/>
          </w:tcPr>
          <w:p w:rsidR="00871EE7" w:rsidRPr="007C51D6" w:rsidRDefault="00871EE7" w:rsidP="00871EE7">
            <w:pPr>
              <w:jc w:val="center"/>
              <w:rPr>
                <w:color w:val="000000"/>
                <w:sz w:val="20"/>
                <w:szCs w:val="20"/>
              </w:rPr>
            </w:pPr>
            <w:r w:rsidRPr="007C51D6">
              <w:rPr>
                <w:color w:val="000000"/>
                <w:sz w:val="20"/>
                <w:szCs w:val="20"/>
              </w:rPr>
              <w:t>27,42</w:t>
            </w:r>
          </w:p>
        </w:tc>
        <w:tc>
          <w:tcPr>
            <w:tcW w:w="1120" w:type="dxa"/>
          </w:tcPr>
          <w:p w:rsidR="00871EE7" w:rsidRPr="007C51D6" w:rsidRDefault="00871EE7" w:rsidP="00871EE7">
            <w:pPr>
              <w:jc w:val="center"/>
              <w:rPr>
                <w:color w:val="000000"/>
                <w:sz w:val="20"/>
                <w:szCs w:val="20"/>
              </w:rPr>
            </w:pPr>
            <w:r w:rsidRPr="007C51D6">
              <w:rPr>
                <w:color w:val="000000"/>
                <w:sz w:val="20"/>
                <w:szCs w:val="20"/>
              </w:rPr>
              <w:t>16,18</w:t>
            </w:r>
          </w:p>
        </w:tc>
        <w:tc>
          <w:tcPr>
            <w:tcW w:w="995" w:type="dxa"/>
            <w:vAlign w:val="center"/>
          </w:tcPr>
          <w:p w:rsidR="00871EE7" w:rsidRPr="007C51D6" w:rsidRDefault="00871EE7" w:rsidP="00871EE7">
            <w:pPr>
              <w:jc w:val="center"/>
              <w:rPr>
                <w:color w:val="000000"/>
                <w:sz w:val="20"/>
                <w:szCs w:val="20"/>
              </w:rPr>
            </w:pPr>
            <w:r w:rsidRPr="007C51D6">
              <w:rPr>
                <w:color w:val="000000"/>
                <w:sz w:val="20"/>
                <w:szCs w:val="20"/>
              </w:rPr>
              <w:t>17,06</w:t>
            </w:r>
          </w:p>
        </w:tc>
        <w:tc>
          <w:tcPr>
            <w:tcW w:w="1562" w:type="dxa"/>
            <w:gridSpan w:val="2"/>
            <w:vAlign w:val="center"/>
          </w:tcPr>
          <w:p w:rsidR="00871EE7" w:rsidRPr="007C51D6" w:rsidRDefault="00871EE7" w:rsidP="00871EE7">
            <w:pPr>
              <w:jc w:val="center"/>
              <w:rPr>
                <w:sz w:val="20"/>
                <w:szCs w:val="20"/>
              </w:rPr>
            </w:pPr>
            <w:r w:rsidRPr="007C51D6">
              <w:rPr>
                <w:sz w:val="20"/>
                <w:szCs w:val="20"/>
              </w:rPr>
              <w:t>30.41</w:t>
            </w:r>
          </w:p>
        </w:tc>
      </w:tr>
    </w:tbl>
    <w:p w:rsidR="004716E1" w:rsidRPr="007C51D6" w:rsidRDefault="004716E1">
      <w:pPr>
        <w:rPr>
          <w:sz w:val="2"/>
          <w:szCs w:val="2"/>
        </w:rPr>
      </w:pPr>
    </w:p>
    <w:p w:rsidR="005267C6" w:rsidRPr="007C51D6" w:rsidRDefault="005267C6">
      <w:pPr>
        <w:rPr>
          <w:sz w:val="2"/>
          <w:szCs w:val="2"/>
        </w:rPr>
      </w:pPr>
    </w:p>
    <w:p w:rsidR="005267C6" w:rsidRPr="007C51D6" w:rsidRDefault="005267C6" w:rsidP="005267C6">
      <w:pPr>
        <w:autoSpaceDE/>
        <w:autoSpaceDN/>
        <w:adjustRightInd/>
        <w:rPr>
          <w:rFonts w:eastAsia="Arial"/>
          <w:sz w:val="20"/>
          <w:szCs w:val="20"/>
        </w:rPr>
      </w:pPr>
    </w:p>
    <w:p w:rsidR="00CF0129" w:rsidRPr="007C51D6" w:rsidRDefault="00CF0129" w:rsidP="00CA5B2D">
      <w:pPr>
        <w:autoSpaceDE/>
        <w:autoSpaceDN/>
        <w:adjustRightInd/>
        <w:ind w:firstLine="709"/>
        <w:rPr>
          <w:rFonts w:eastAsia="Arial"/>
          <w:sz w:val="28"/>
          <w:szCs w:val="28"/>
        </w:rPr>
      </w:pPr>
      <w:r w:rsidRPr="007C51D6">
        <w:rPr>
          <w:rFonts w:eastAsia="Arial"/>
          <w:sz w:val="20"/>
          <w:szCs w:val="20"/>
        </w:rPr>
        <w:t>*Представлены оперативные данные</w:t>
      </w:r>
      <w:r w:rsidR="001F1DAA" w:rsidRPr="007C51D6">
        <w:rPr>
          <w:rFonts w:eastAsia="Arial"/>
          <w:sz w:val="20"/>
          <w:szCs w:val="20"/>
        </w:rPr>
        <w:t>.</w:t>
      </w:r>
    </w:p>
    <w:p w:rsidR="005076FD" w:rsidRPr="007C51D6" w:rsidRDefault="005076FD" w:rsidP="005267C6">
      <w:pPr>
        <w:autoSpaceDE/>
        <w:autoSpaceDN/>
        <w:adjustRightInd/>
        <w:ind w:firstLine="709"/>
        <w:jc w:val="both"/>
        <w:rPr>
          <w:rFonts w:eastAsia="Arial"/>
          <w:spacing w:val="4"/>
          <w:sz w:val="28"/>
          <w:szCs w:val="28"/>
        </w:rPr>
      </w:pPr>
    </w:p>
    <w:p w:rsidR="005076FD" w:rsidRPr="007C51D6" w:rsidRDefault="005076FD" w:rsidP="005267C6">
      <w:pPr>
        <w:autoSpaceDE/>
        <w:autoSpaceDN/>
        <w:adjustRightInd/>
        <w:ind w:firstLine="709"/>
        <w:jc w:val="both"/>
        <w:rPr>
          <w:rFonts w:eastAsia="Arial"/>
          <w:spacing w:val="4"/>
          <w:sz w:val="28"/>
          <w:szCs w:val="28"/>
        </w:rPr>
      </w:pPr>
      <w:r w:rsidRPr="007C51D6">
        <w:rPr>
          <w:rFonts w:eastAsia="Arial"/>
          <w:spacing w:val="4"/>
          <w:sz w:val="28"/>
          <w:szCs w:val="28"/>
        </w:rPr>
        <w:t>В 202</w:t>
      </w:r>
      <w:r w:rsidR="0061380E" w:rsidRPr="007C51D6">
        <w:rPr>
          <w:rFonts w:eastAsia="Arial"/>
          <w:spacing w:val="4"/>
          <w:sz w:val="28"/>
          <w:szCs w:val="28"/>
        </w:rPr>
        <w:t>5</w:t>
      </w:r>
      <w:r w:rsidRPr="007C51D6">
        <w:rPr>
          <w:rFonts w:eastAsia="Arial"/>
          <w:spacing w:val="4"/>
          <w:sz w:val="28"/>
          <w:szCs w:val="28"/>
        </w:rPr>
        <w:t xml:space="preserve"> году в структуре заболеваемости населения Республики Татарстан наибольший удельный вес имеют ЗНО молочной железы (1</w:t>
      </w:r>
      <w:r w:rsidR="0061380E" w:rsidRPr="007C51D6">
        <w:rPr>
          <w:rFonts w:eastAsia="Arial"/>
          <w:spacing w:val="4"/>
          <w:sz w:val="28"/>
          <w:szCs w:val="28"/>
        </w:rPr>
        <w:t>2</w:t>
      </w:r>
      <w:r w:rsidRPr="007C51D6">
        <w:rPr>
          <w:rFonts w:eastAsia="Arial"/>
          <w:spacing w:val="4"/>
          <w:sz w:val="28"/>
          <w:szCs w:val="28"/>
        </w:rPr>
        <w:t>,</w:t>
      </w:r>
      <w:r w:rsidR="0061380E" w:rsidRPr="007C51D6">
        <w:rPr>
          <w:rFonts w:eastAsia="Arial"/>
          <w:spacing w:val="4"/>
          <w:sz w:val="28"/>
          <w:szCs w:val="28"/>
        </w:rPr>
        <w:t>4</w:t>
      </w:r>
      <w:r w:rsidRPr="007C51D6">
        <w:rPr>
          <w:rFonts w:eastAsia="Arial"/>
          <w:spacing w:val="4"/>
          <w:sz w:val="28"/>
          <w:szCs w:val="28"/>
        </w:rPr>
        <w:t xml:space="preserve"> процента), рак кожи (1</w:t>
      </w:r>
      <w:r w:rsidR="0061380E" w:rsidRPr="007C51D6">
        <w:rPr>
          <w:rFonts w:eastAsia="Arial"/>
          <w:spacing w:val="4"/>
          <w:sz w:val="28"/>
          <w:szCs w:val="28"/>
        </w:rPr>
        <w:t>2</w:t>
      </w:r>
      <w:r w:rsidRPr="007C51D6">
        <w:rPr>
          <w:rFonts w:eastAsia="Arial"/>
          <w:spacing w:val="4"/>
          <w:sz w:val="28"/>
          <w:szCs w:val="28"/>
        </w:rPr>
        <w:t>,</w:t>
      </w:r>
      <w:r w:rsidR="0061380E" w:rsidRPr="007C51D6">
        <w:rPr>
          <w:rFonts w:eastAsia="Arial"/>
          <w:spacing w:val="4"/>
          <w:sz w:val="28"/>
          <w:szCs w:val="28"/>
        </w:rPr>
        <w:t>2</w:t>
      </w:r>
      <w:r w:rsidRPr="007C51D6">
        <w:rPr>
          <w:rFonts w:eastAsia="Arial"/>
          <w:spacing w:val="4"/>
          <w:sz w:val="28"/>
          <w:szCs w:val="28"/>
        </w:rPr>
        <w:t xml:space="preserve"> процента), ЗНО трахеи, бронхов, легких (</w:t>
      </w:r>
      <w:r w:rsidR="0061380E" w:rsidRPr="007C51D6">
        <w:rPr>
          <w:rFonts w:eastAsia="Arial"/>
          <w:spacing w:val="4"/>
          <w:sz w:val="28"/>
          <w:szCs w:val="28"/>
        </w:rPr>
        <w:t>8</w:t>
      </w:r>
      <w:r w:rsidRPr="007C51D6">
        <w:rPr>
          <w:rFonts w:eastAsia="Arial"/>
          <w:spacing w:val="4"/>
          <w:sz w:val="28"/>
          <w:szCs w:val="28"/>
        </w:rPr>
        <w:t>,</w:t>
      </w:r>
      <w:r w:rsidR="0061380E" w:rsidRPr="007C51D6">
        <w:rPr>
          <w:rFonts w:eastAsia="Arial"/>
          <w:spacing w:val="4"/>
          <w:sz w:val="28"/>
          <w:szCs w:val="28"/>
        </w:rPr>
        <w:t>7</w:t>
      </w:r>
      <w:r w:rsidRPr="007C51D6">
        <w:rPr>
          <w:rFonts w:eastAsia="Arial"/>
          <w:spacing w:val="4"/>
          <w:sz w:val="28"/>
          <w:szCs w:val="28"/>
        </w:rPr>
        <w:t xml:space="preserve"> процента), предстательной железы (</w:t>
      </w:r>
      <w:r w:rsidR="0061380E" w:rsidRPr="007C51D6">
        <w:rPr>
          <w:rFonts w:eastAsia="Arial"/>
          <w:spacing w:val="4"/>
          <w:sz w:val="28"/>
          <w:szCs w:val="28"/>
        </w:rPr>
        <w:t>8</w:t>
      </w:r>
      <w:r w:rsidRPr="007C51D6">
        <w:rPr>
          <w:rFonts w:eastAsia="Arial"/>
          <w:spacing w:val="4"/>
          <w:sz w:val="28"/>
          <w:szCs w:val="28"/>
        </w:rPr>
        <w:t>,</w:t>
      </w:r>
      <w:r w:rsidR="0061380E" w:rsidRPr="007C51D6">
        <w:rPr>
          <w:rFonts w:eastAsia="Arial"/>
          <w:spacing w:val="4"/>
          <w:sz w:val="28"/>
          <w:szCs w:val="28"/>
        </w:rPr>
        <w:t>5</w:t>
      </w:r>
      <w:r w:rsidRPr="007C51D6">
        <w:rPr>
          <w:rFonts w:eastAsia="Arial"/>
          <w:spacing w:val="4"/>
          <w:sz w:val="28"/>
          <w:szCs w:val="28"/>
        </w:rPr>
        <w:t xml:space="preserve"> процента), ободочной кишки (</w:t>
      </w:r>
      <w:r w:rsidR="0061380E" w:rsidRPr="007C51D6">
        <w:rPr>
          <w:rFonts w:eastAsia="Arial"/>
          <w:spacing w:val="4"/>
          <w:sz w:val="28"/>
          <w:szCs w:val="28"/>
        </w:rPr>
        <w:t>8</w:t>
      </w:r>
      <w:r w:rsidRPr="007C51D6">
        <w:rPr>
          <w:rFonts w:eastAsia="Arial"/>
          <w:spacing w:val="4"/>
          <w:sz w:val="28"/>
          <w:szCs w:val="28"/>
        </w:rPr>
        <w:t>,</w:t>
      </w:r>
      <w:r w:rsidR="0061380E" w:rsidRPr="007C51D6">
        <w:rPr>
          <w:rFonts w:eastAsia="Arial"/>
          <w:spacing w:val="4"/>
          <w:sz w:val="28"/>
          <w:szCs w:val="28"/>
        </w:rPr>
        <w:t>0</w:t>
      </w:r>
      <w:r w:rsidRPr="007C51D6">
        <w:rPr>
          <w:rFonts w:eastAsia="Arial"/>
          <w:spacing w:val="4"/>
          <w:sz w:val="28"/>
          <w:szCs w:val="28"/>
        </w:rPr>
        <w:t xml:space="preserve"> процента), прямой кишки, ректосигмоидного соединения, ануса (</w:t>
      </w:r>
      <w:r w:rsidR="0061380E" w:rsidRPr="007C51D6">
        <w:rPr>
          <w:rFonts w:eastAsia="Arial"/>
          <w:spacing w:val="4"/>
          <w:sz w:val="28"/>
          <w:szCs w:val="28"/>
        </w:rPr>
        <w:t>6</w:t>
      </w:r>
      <w:r w:rsidRPr="007C51D6">
        <w:rPr>
          <w:rFonts w:eastAsia="Arial"/>
          <w:spacing w:val="4"/>
          <w:sz w:val="28"/>
          <w:szCs w:val="28"/>
        </w:rPr>
        <w:t>,</w:t>
      </w:r>
      <w:r w:rsidR="0061380E" w:rsidRPr="007C51D6">
        <w:rPr>
          <w:rFonts w:eastAsia="Arial"/>
          <w:spacing w:val="4"/>
          <w:sz w:val="28"/>
          <w:szCs w:val="28"/>
        </w:rPr>
        <w:t>6</w:t>
      </w:r>
      <w:r w:rsidRPr="007C51D6">
        <w:rPr>
          <w:rFonts w:eastAsia="Arial"/>
          <w:spacing w:val="4"/>
          <w:sz w:val="28"/>
          <w:szCs w:val="28"/>
        </w:rPr>
        <w:t xml:space="preserve"> процента), желудка (5,</w:t>
      </w:r>
      <w:r w:rsidR="0061380E" w:rsidRPr="007C51D6">
        <w:rPr>
          <w:rFonts w:eastAsia="Arial"/>
          <w:spacing w:val="4"/>
          <w:sz w:val="28"/>
          <w:szCs w:val="28"/>
        </w:rPr>
        <w:t>2</w:t>
      </w:r>
      <w:r w:rsidRPr="007C51D6">
        <w:rPr>
          <w:rFonts w:eastAsia="Arial"/>
          <w:spacing w:val="4"/>
          <w:sz w:val="28"/>
          <w:szCs w:val="28"/>
        </w:rPr>
        <w:t xml:space="preserve"> процента), лимфатической и кроветворной ткани (</w:t>
      </w:r>
      <w:r w:rsidR="0061380E" w:rsidRPr="007C51D6">
        <w:rPr>
          <w:rFonts w:eastAsia="Arial"/>
          <w:spacing w:val="4"/>
          <w:sz w:val="28"/>
          <w:szCs w:val="28"/>
        </w:rPr>
        <w:t>4</w:t>
      </w:r>
      <w:r w:rsidRPr="007C51D6">
        <w:rPr>
          <w:rFonts w:eastAsia="Arial"/>
          <w:spacing w:val="4"/>
          <w:sz w:val="28"/>
          <w:szCs w:val="28"/>
        </w:rPr>
        <w:t>,</w:t>
      </w:r>
      <w:r w:rsidR="0061380E" w:rsidRPr="007C51D6">
        <w:rPr>
          <w:rFonts w:eastAsia="Arial"/>
          <w:spacing w:val="4"/>
          <w:sz w:val="28"/>
          <w:szCs w:val="28"/>
        </w:rPr>
        <w:t>8</w:t>
      </w:r>
      <w:r w:rsidRPr="007C51D6">
        <w:rPr>
          <w:rFonts w:eastAsia="Arial"/>
          <w:spacing w:val="4"/>
          <w:sz w:val="28"/>
          <w:szCs w:val="28"/>
        </w:rPr>
        <w:t xml:space="preserve"> процента), почки (3,</w:t>
      </w:r>
      <w:r w:rsidR="0061380E" w:rsidRPr="007C51D6">
        <w:rPr>
          <w:rFonts w:eastAsia="Arial"/>
          <w:spacing w:val="4"/>
          <w:sz w:val="28"/>
          <w:szCs w:val="28"/>
        </w:rPr>
        <w:t>7</w:t>
      </w:r>
      <w:r w:rsidRPr="007C51D6">
        <w:rPr>
          <w:rFonts w:eastAsia="Arial"/>
          <w:spacing w:val="4"/>
          <w:sz w:val="28"/>
          <w:szCs w:val="28"/>
        </w:rPr>
        <w:t xml:space="preserve"> процента), тела матки </w:t>
      </w:r>
      <w:r w:rsidR="00D11AEE" w:rsidRPr="007C51D6">
        <w:rPr>
          <w:rFonts w:eastAsia="Arial"/>
          <w:spacing w:val="4"/>
          <w:sz w:val="28"/>
          <w:szCs w:val="28"/>
        </w:rPr>
        <w:br/>
      </w:r>
      <w:r w:rsidRPr="007C51D6">
        <w:rPr>
          <w:rFonts w:eastAsia="Arial"/>
          <w:spacing w:val="4"/>
          <w:sz w:val="28"/>
          <w:szCs w:val="28"/>
        </w:rPr>
        <w:t>(3,</w:t>
      </w:r>
      <w:r w:rsidR="0061380E" w:rsidRPr="007C51D6">
        <w:rPr>
          <w:rFonts w:eastAsia="Arial"/>
          <w:spacing w:val="4"/>
          <w:sz w:val="28"/>
          <w:szCs w:val="28"/>
        </w:rPr>
        <w:t>2</w:t>
      </w:r>
      <w:r w:rsidRPr="007C51D6">
        <w:rPr>
          <w:rFonts w:eastAsia="Arial"/>
          <w:spacing w:val="4"/>
          <w:sz w:val="28"/>
          <w:szCs w:val="28"/>
        </w:rPr>
        <w:t xml:space="preserve"> процента). </w:t>
      </w:r>
    </w:p>
    <w:p w:rsidR="005076FD" w:rsidRPr="007C51D6" w:rsidRDefault="005076FD" w:rsidP="005267C6">
      <w:pPr>
        <w:autoSpaceDE/>
        <w:autoSpaceDN/>
        <w:adjustRightInd/>
        <w:ind w:firstLine="709"/>
        <w:jc w:val="both"/>
        <w:rPr>
          <w:rFonts w:eastAsia="Arial"/>
          <w:spacing w:val="4"/>
          <w:sz w:val="28"/>
          <w:szCs w:val="28"/>
        </w:rPr>
      </w:pPr>
      <w:r w:rsidRPr="007C51D6">
        <w:rPr>
          <w:rFonts w:eastAsia="Arial"/>
          <w:spacing w:val="4"/>
          <w:sz w:val="28"/>
          <w:szCs w:val="28"/>
        </w:rPr>
        <w:t xml:space="preserve">За </w:t>
      </w:r>
      <w:r w:rsidR="00CA5B2D" w:rsidRPr="007C51D6">
        <w:rPr>
          <w:rFonts w:eastAsia="Arial"/>
          <w:spacing w:val="4"/>
          <w:sz w:val="28"/>
          <w:szCs w:val="28"/>
        </w:rPr>
        <w:t>10-</w:t>
      </w:r>
      <w:r w:rsidRPr="007C51D6">
        <w:rPr>
          <w:rFonts w:eastAsia="Arial"/>
          <w:spacing w:val="4"/>
          <w:sz w:val="28"/>
          <w:szCs w:val="28"/>
        </w:rPr>
        <w:t>летний период (201</w:t>
      </w:r>
      <w:r w:rsidR="0061380E" w:rsidRPr="007C51D6">
        <w:rPr>
          <w:rFonts w:eastAsia="Arial"/>
          <w:spacing w:val="4"/>
          <w:sz w:val="28"/>
          <w:szCs w:val="28"/>
        </w:rPr>
        <w:t>6</w:t>
      </w:r>
      <w:r w:rsidRPr="007C51D6">
        <w:rPr>
          <w:rFonts w:eastAsia="Arial"/>
          <w:spacing w:val="4"/>
          <w:sz w:val="28"/>
          <w:szCs w:val="28"/>
        </w:rPr>
        <w:t xml:space="preserve"> – 202</w:t>
      </w:r>
      <w:r w:rsidR="0061380E" w:rsidRPr="007C51D6">
        <w:rPr>
          <w:rFonts w:eastAsia="Arial"/>
          <w:spacing w:val="4"/>
          <w:sz w:val="28"/>
          <w:szCs w:val="28"/>
        </w:rPr>
        <w:t>5</w:t>
      </w:r>
      <w:r w:rsidRPr="007C51D6">
        <w:rPr>
          <w:rFonts w:eastAsia="Arial"/>
          <w:spacing w:val="4"/>
          <w:sz w:val="28"/>
          <w:szCs w:val="28"/>
        </w:rPr>
        <w:t xml:space="preserve"> годы) из числа заболеваний, имеющих наибольший удельный вес в структуре заболеваемости ЗНО, регистрируется рост заболеваемости ЗНО молочной железы, раком кожи, ЗНО трахеи, бронхов, легких, предстательной железы, ободочной кишки, прямой кишки, ректосигмоидного соединения, ануса, лимфатичес</w:t>
      </w:r>
      <w:r w:rsidR="00CF6545" w:rsidRPr="007C51D6">
        <w:rPr>
          <w:rFonts w:eastAsia="Arial"/>
          <w:spacing w:val="4"/>
          <w:sz w:val="28"/>
          <w:szCs w:val="28"/>
        </w:rPr>
        <w:t>кой и кроветворной ткани, почки</w:t>
      </w:r>
      <w:r w:rsidR="0061380E" w:rsidRPr="007C51D6">
        <w:rPr>
          <w:rFonts w:eastAsia="Arial"/>
          <w:spacing w:val="4"/>
          <w:sz w:val="28"/>
          <w:szCs w:val="28"/>
        </w:rPr>
        <w:t>, тела матки</w:t>
      </w:r>
      <w:r w:rsidR="00CF6545" w:rsidRPr="007C51D6">
        <w:rPr>
          <w:rFonts w:eastAsia="Arial"/>
          <w:spacing w:val="4"/>
          <w:sz w:val="28"/>
          <w:szCs w:val="28"/>
        </w:rPr>
        <w:t xml:space="preserve"> (таблица</w:t>
      </w:r>
      <w:r w:rsidR="009F2AA8" w:rsidRPr="007C51D6">
        <w:rPr>
          <w:rFonts w:eastAsia="Arial"/>
          <w:spacing w:val="4"/>
          <w:sz w:val="28"/>
          <w:szCs w:val="28"/>
        </w:rPr>
        <w:t xml:space="preserve"> </w:t>
      </w:r>
      <w:r w:rsidR="00CF6545" w:rsidRPr="007C51D6">
        <w:rPr>
          <w:rFonts w:eastAsia="Arial"/>
          <w:spacing w:val="4"/>
          <w:sz w:val="28"/>
          <w:szCs w:val="28"/>
        </w:rPr>
        <w:t>3).</w:t>
      </w:r>
      <w:r w:rsidRPr="007C51D6">
        <w:rPr>
          <w:rFonts w:eastAsia="Arial"/>
          <w:spacing w:val="4"/>
          <w:sz w:val="28"/>
          <w:szCs w:val="28"/>
        </w:rPr>
        <w:t xml:space="preserve"> </w:t>
      </w:r>
    </w:p>
    <w:p w:rsidR="005267C6" w:rsidRPr="007C51D6" w:rsidRDefault="005267C6" w:rsidP="005267C6">
      <w:pPr>
        <w:autoSpaceDE/>
        <w:autoSpaceDN/>
        <w:adjustRightInd/>
        <w:ind w:firstLine="709"/>
        <w:jc w:val="both"/>
        <w:rPr>
          <w:rFonts w:eastAsia="Arial"/>
          <w:spacing w:val="4"/>
          <w:sz w:val="28"/>
          <w:szCs w:val="28"/>
        </w:rPr>
      </w:pPr>
    </w:p>
    <w:p w:rsidR="00871EE7" w:rsidRDefault="00871EE7" w:rsidP="005267C6">
      <w:pPr>
        <w:autoSpaceDE/>
        <w:autoSpaceDN/>
        <w:adjustRightInd/>
        <w:ind w:left="11346" w:firstLine="709"/>
        <w:jc w:val="right"/>
        <w:rPr>
          <w:rFonts w:eastAsia="Arial"/>
          <w:sz w:val="28"/>
          <w:szCs w:val="28"/>
        </w:rPr>
      </w:pPr>
    </w:p>
    <w:p w:rsidR="00871EE7" w:rsidRDefault="00871EE7" w:rsidP="005267C6">
      <w:pPr>
        <w:autoSpaceDE/>
        <w:autoSpaceDN/>
        <w:adjustRightInd/>
        <w:ind w:left="11346" w:firstLine="709"/>
        <w:jc w:val="right"/>
        <w:rPr>
          <w:rFonts w:eastAsia="Arial"/>
          <w:sz w:val="28"/>
          <w:szCs w:val="28"/>
        </w:rPr>
      </w:pPr>
    </w:p>
    <w:p w:rsidR="00871EE7" w:rsidRDefault="00871EE7" w:rsidP="005267C6">
      <w:pPr>
        <w:autoSpaceDE/>
        <w:autoSpaceDN/>
        <w:adjustRightInd/>
        <w:ind w:left="11346" w:firstLine="709"/>
        <w:jc w:val="right"/>
        <w:rPr>
          <w:rFonts w:eastAsia="Arial"/>
          <w:sz w:val="28"/>
          <w:szCs w:val="28"/>
        </w:rPr>
      </w:pPr>
    </w:p>
    <w:p w:rsidR="0035598F" w:rsidRPr="007C51D6" w:rsidRDefault="0035598F" w:rsidP="005267C6">
      <w:pPr>
        <w:autoSpaceDE/>
        <w:autoSpaceDN/>
        <w:adjustRightInd/>
        <w:ind w:left="11346" w:firstLine="709"/>
        <w:jc w:val="right"/>
        <w:rPr>
          <w:rFonts w:eastAsia="Arial"/>
          <w:sz w:val="28"/>
          <w:szCs w:val="28"/>
        </w:rPr>
      </w:pPr>
      <w:r w:rsidRPr="007C51D6">
        <w:rPr>
          <w:rFonts w:eastAsia="Arial"/>
          <w:sz w:val="28"/>
          <w:szCs w:val="28"/>
        </w:rPr>
        <w:lastRenderedPageBreak/>
        <w:t xml:space="preserve">Таблица </w:t>
      </w:r>
      <w:r w:rsidR="00381A83" w:rsidRPr="007C51D6">
        <w:rPr>
          <w:rFonts w:eastAsia="Arial"/>
          <w:sz w:val="28"/>
          <w:szCs w:val="28"/>
        </w:rPr>
        <w:t>4</w:t>
      </w:r>
    </w:p>
    <w:p w:rsidR="005267C6" w:rsidRPr="007C51D6" w:rsidRDefault="005267C6" w:rsidP="005267C6">
      <w:pPr>
        <w:autoSpaceDE/>
        <w:autoSpaceDN/>
        <w:adjustRightInd/>
        <w:ind w:left="11346" w:firstLine="709"/>
        <w:jc w:val="right"/>
        <w:rPr>
          <w:rFonts w:eastAsia="Arial"/>
          <w:sz w:val="28"/>
          <w:szCs w:val="28"/>
        </w:rPr>
      </w:pPr>
    </w:p>
    <w:p w:rsidR="00D83A47" w:rsidRPr="007C51D6" w:rsidRDefault="00D83A47" w:rsidP="00D83A47">
      <w:pPr>
        <w:autoSpaceDE/>
        <w:autoSpaceDN/>
        <w:adjustRightInd/>
        <w:jc w:val="center"/>
        <w:rPr>
          <w:rFonts w:eastAsia="Arial"/>
          <w:sz w:val="28"/>
          <w:szCs w:val="28"/>
        </w:rPr>
      </w:pPr>
      <w:r w:rsidRPr="007C51D6">
        <w:rPr>
          <w:rFonts w:eastAsia="Arial"/>
          <w:sz w:val="28"/>
          <w:szCs w:val="28"/>
        </w:rPr>
        <w:t>Динамика структуры впервые выявленных ЗНО в Республике Татарстан</w:t>
      </w:r>
    </w:p>
    <w:p w:rsidR="00D83A47" w:rsidRPr="007C51D6" w:rsidRDefault="00D83A47" w:rsidP="00D83A47">
      <w:pPr>
        <w:autoSpaceDE/>
        <w:autoSpaceDN/>
        <w:adjustRightInd/>
        <w:jc w:val="center"/>
        <w:rPr>
          <w:rFonts w:eastAsia="Arial"/>
          <w:sz w:val="28"/>
          <w:szCs w:val="28"/>
        </w:rPr>
      </w:pPr>
      <w:r w:rsidRPr="007C51D6">
        <w:rPr>
          <w:rFonts w:eastAsia="Arial"/>
          <w:sz w:val="28"/>
          <w:szCs w:val="28"/>
        </w:rPr>
        <w:t xml:space="preserve">в 2016 – 2025 годах </w:t>
      </w:r>
    </w:p>
    <w:p w:rsidR="00CA5B2D" w:rsidRPr="007C51D6" w:rsidRDefault="00CA5B2D" w:rsidP="00CA5B2D">
      <w:pPr>
        <w:autoSpaceDE/>
        <w:autoSpaceDN/>
        <w:adjustRightInd/>
        <w:jc w:val="right"/>
        <w:rPr>
          <w:rFonts w:eastAsia="Arial"/>
          <w:sz w:val="20"/>
          <w:szCs w:val="20"/>
        </w:rPr>
      </w:pPr>
    </w:p>
    <w:p w:rsidR="0035598F" w:rsidRPr="007C51D6" w:rsidRDefault="00CA5B2D" w:rsidP="00CA5B2D">
      <w:pPr>
        <w:autoSpaceDE/>
        <w:autoSpaceDN/>
        <w:adjustRightInd/>
        <w:jc w:val="right"/>
        <w:rPr>
          <w:rFonts w:eastAsia="Arial"/>
          <w:sz w:val="20"/>
          <w:szCs w:val="20"/>
        </w:rPr>
      </w:pPr>
      <w:r w:rsidRPr="007C51D6">
        <w:rPr>
          <w:rFonts w:eastAsia="Arial"/>
          <w:sz w:val="20"/>
          <w:szCs w:val="20"/>
        </w:rPr>
        <w:t>(процентов)</w:t>
      </w:r>
    </w:p>
    <w:tbl>
      <w:tblPr>
        <w:tblStyle w:val="af1"/>
        <w:tblW w:w="15039" w:type="dxa"/>
        <w:tblBorders>
          <w:bottom w:val="none" w:sz="0" w:space="0" w:color="auto"/>
        </w:tblBorders>
        <w:tblLook w:val="04A0" w:firstRow="1" w:lastRow="0" w:firstColumn="1" w:lastColumn="0" w:noHBand="0" w:noVBand="1"/>
      </w:tblPr>
      <w:tblGrid>
        <w:gridCol w:w="1838"/>
        <w:gridCol w:w="1182"/>
        <w:gridCol w:w="1372"/>
        <w:gridCol w:w="1179"/>
        <w:gridCol w:w="1372"/>
        <w:gridCol w:w="1372"/>
        <w:gridCol w:w="1372"/>
        <w:gridCol w:w="1372"/>
        <w:gridCol w:w="1372"/>
        <w:gridCol w:w="1304"/>
        <w:gridCol w:w="1304"/>
      </w:tblGrid>
      <w:tr w:rsidR="00D83A47" w:rsidRPr="007C51D6" w:rsidTr="00D83A47">
        <w:tc>
          <w:tcPr>
            <w:tcW w:w="1838" w:type="dxa"/>
          </w:tcPr>
          <w:p w:rsidR="00D83A47" w:rsidRPr="007C51D6" w:rsidRDefault="00D83A47" w:rsidP="00D83A47">
            <w:pPr>
              <w:autoSpaceDE/>
              <w:autoSpaceDN/>
              <w:adjustRightInd/>
              <w:jc w:val="center"/>
              <w:rPr>
                <w:rFonts w:eastAsia="Arial"/>
                <w:sz w:val="20"/>
                <w:szCs w:val="20"/>
              </w:rPr>
            </w:pPr>
            <w:r w:rsidRPr="007C51D6">
              <w:rPr>
                <w:rFonts w:eastAsia="Arial"/>
                <w:sz w:val="20"/>
                <w:szCs w:val="20"/>
              </w:rPr>
              <w:t>Стадия</w:t>
            </w:r>
          </w:p>
        </w:tc>
        <w:tc>
          <w:tcPr>
            <w:tcW w:w="1182" w:type="dxa"/>
          </w:tcPr>
          <w:p w:rsidR="00D83A47" w:rsidRPr="007C51D6" w:rsidRDefault="00D83A47" w:rsidP="00D83A47">
            <w:pPr>
              <w:autoSpaceDE/>
              <w:autoSpaceDN/>
              <w:adjustRightInd/>
              <w:jc w:val="center"/>
              <w:rPr>
                <w:color w:val="000000"/>
                <w:sz w:val="20"/>
                <w:szCs w:val="20"/>
              </w:rPr>
            </w:pPr>
            <w:r w:rsidRPr="007C51D6">
              <w:rPr>
                <w:rFonts w:eastAsia="Arial"/>
                <w:sz w:val="20"/>
                <w:szCs w:val="22"/>
              </w:rPr>
              <w:t>2016 г.</w:t>
            </w:r>
          </w:p>
        </w:tc>
        <w:tc>
          <w:tcPr>
            <w:tcW w:w="1372" w:type="dxa"/>
          </w:tcPr>
          <w:p w:rsidR="00D83A47" w:rsidRPr="007C51D6" w:rsidRDefault="00D83A47" w:rsidP="00D83A47">
            <w:pPr>
              <w:autoSpaceDE/>
              <w:autoSpaceDN/>
              <w:adjustRightInd/>
              <w:jc w:val="center"/>
              <w:rPr>
                <w:color w:val="000000"/>
                <w:sz w:val="20"/>
                <w:szCs w:val="20"/>
              </w:rPr>
            </w:pPr>
            <w:r w:rsidRPr="007C51D6">
              <w:rPr>
                <w:rFonts w:eastAsia="Arial"/>
                <w:sz w:val="20"/>
                <w:szCs w:val="22"/>
              </w:rPr>
              <w:t>2017 г.</w:t>
            </w:r>
          </w:p>
        </w:tc>
        <w:tc>
          <w:tcPr>
            <w:tcW w:w="1179" w:type="dxa"/>
          </w:tcPr>
          <w:p w:rsidR="00D83A47" w:rsidRPr="007C51D6" w:rsidRDefault="00D83A47" w:rsidP="00D83A47">
            <w:pPr>
              <w:autoSpaceDE/>
              <w:autoSpaceDN/>
              <w:adjustRightInd/>
              <w:jc w:val="center"/>
              <w:rPr>
                <w:color w:val="000000"/>
                <w:sz w:val="20"/>
                <w:szCs w:val="20"/>
              </w:rPr>
            </w:pPr>
            <w:r w:rsidRPr="007C51D6">
              <w:rPr>
                <w:rFonts w:eastAsia="Arial"/>
                <w:sz w:val="20"/>
                <w:szCs w:val="22"/>
              </w:rPr>
              <w:t>2018 г.</w:t>
            </w:r>
          </w:p>
        </w:tc>
        <w:tc>
          <w:tcPr>
            <w:tcW w:w="1372" w:type="dxa"/>
          </w:tcPr>
          <w:p w:rsidR="00D83A47" w:rsidRPr="007C51D6" w:rsidRDefault="00D83A47" w:rsidP="00D83A47">
            <w:pPr>
              <w:autoSpaceDE/>
              <w:autoSpaceDN/>
              <w:adjustRightInd/>
              <w:jc w:val="center"/>
              <w:rPr>
                <w:color w:val="000000"/>
                <w:sz w:val="20"/>
                <w:szCs w:val="20"/>
              </w:rPr>
            </w:pPr>
            <w:r w:rsidRPr="007C51D6">
              <w:rPr>
                <w:rFonts w:eastAsia="Arial"/>
                <w:sz w:val="20"/>
                <w:szCs w:val="22"/>
              </w:rPr>
              <w:t>2019 г.</w:t>
            </w:r>
          </w:p>
        </w:tc>
        <w:tc>
          <w:tcPr>
            <w:tcW w:w="1372" w:type="dxa"/>
          </w:tcPr>
          <w:p w:rsidR="00D83A47" w:rsidRPr="007C51D6" w:rsidRDefault="00D83A47" w:rsidP="00D83A47">
            <w:pPr>
              <w:autoSpaceDE/>
              <w:autoSpaceDN/>
              <w:adjustRightInd/>
              <w:jc w:val="center"/>
              <w:rPr>
                <w:color w:val="000000"/>
                <w:sz w:val="20"/>
                <w:szCs w:val="20"/>
              </w:rPr>
            </w:pPr>
            <w:r w:rsidRPr="007C51D6">
              <w:rPr>
                <w:rFonts w:eastAsia="Arial"/>
                <w:sz w:val="20"/>
                <w:szCs w:val="22"/>
              </w:rPr>
              <w:t>2020 г.</w:t>
            </w:r>
          </w:p>
        </w:tc>
        <w:tc>
          <w:tcPr>
            <w:tcW w:w="1372" w:type="dxa"/>
          </w:tcPr>
          <w:p w:rsidR="00D83A47" w:rsidRPr="007C51D6" w:rsidRDefault="00D83A47" w:rsidP="00D83A47">
            <w:pPr>
              <w:autoSpaceDE/>
              <w:autoSpaceDN/>
              <w:adjustRightInd/>
              <w:jc w:val="center"/>
              <w:rPr>
                <w:color w:val="000000"/>
                <w:sz w:val="20"/>
                <w:szCs w:val="20"/>
              </w:rPr>
            </w:pPr>
            <w:r w:rsidRPr="007C51D6">
              <w:rPr>
                <w:rFonts w:eastAsia="Arial"/>
                <w:sz w:val="20"/>
                <w:szCs w:val="22"/>
              </w:rPr>
              <w:t>2021 г.</w:t>
            </w:r>
          </w:p>
        </w:tc>
        <w:tc>
          <w:tcPr>
            <w:tcW w:w="1372" w:type="dxa"/>
          </w:tcPr>
          <w:p w:rsidR="00D83A47" w:rsidRPr="007C51D6" w:rsidRDefault="00D83A47" w:rsidP="00D83A47">
            <w:pPr>
              <w:autoSpaceDE/>
              <w:autoSpaceDN/>
              <w:adjustRightInd/>
              <w:jc w:val="center"/>
              <w:rPr>
                <w:color w:val="000000"/>
                <w:sz w:val="20"/>
                <w:szCs w:val="20"/>
              </w:rPr>
            </w:pPr>
            <w:r w:rsidRPr="007C51D6">
              <w:rPr>
                <w:rFonts w:eastAsia="Arial"/>
                <w:sz w:val="20"/>
                <w:szCs w:val="22"/>
              </w:rPr>
              <w:t>2022 г.</w:t>
            </w:r>
          </w:p>
        </w:tc>
        <w:tc>
          <w:tcPr>
            <w:tcW w:w="1372" w:type="dxa"/>
          </w:tcPr>
          <w:p w:rsidR="00D83A47" w:rsidRPr="007C51D6" w:rsidRDefault="00D83A47" w:rsidP="00D83A47">
            <w:pPr>
              <w:autoSpaceDE/>
              <w:autoSpaceDN/>
              <w:adjustRightInd/>
              <w:jc w:val="center"/>
              <w:rPr>
                <w:rFonts w:eastAsia="Arial"/>
                <w:sz w:val="20"/>
                <w:szCs w:val="22"/>
              </w:rPr>
            </w:pPr>
            <w:r w:rsidRPr="007C51D6">
              <w:rPr>
                <w:rFonts w:eastAsia="Arial"/>
                <w:sz w:val="20"/>
                <w:szCs w:val="22"/>
              </w:rPr>
              <w:t>2023 г.</w:t>
            </w:r>
          </w:p>
        </w:tc>
        <w:tc>
          <w:tcPr>
            <w:tcW w:w="1304" w:type="dxa"/>
          </w:tcPr>
          <w:p w:rsidR="00D83A47" w:rsidRPr="007C51D6" w:rsidRDefault="00D83A47" w:rsidP="00D83A47">
            <w:pPr>
              <w:autoSpaceDE/>
              <w:autoSpaceDN/>
              <w:adjustRightInd/>
              <w:jc w:val="center"/>
              <w:rPr>
                <w:rFonts w:eastAsia="Arial"/>
                <w:sz w:val="20"/>
                <w:szCs w:val="22"/>
              </w:rPr>
            </w:pPr>
            <w:r w:rsidRPr="007C51D6">
              <w:rPr>
                <w:rFonts w:eastAsia="Arial"/>
                <w:sz w:val="20"/>
                <w:szCs w:val="22"/>
              </w:rPr>
              <w:t>2024 г.</w:t>
            </w:r>
          </w:p>
        </w:tc>
        <w:tc>
          <w:tcPr>
            <w:tcW w:w="1304" w:type="dxa"/>
          </w:tcPr>
          <w:p w:rsidR="00D83A47" w:rsidRPr="007C51D6" w:rsidRDefault="00D83A47" w:rsidP="00D83A47">
            <w:pPr>
              <w:autoSpaceDE/>
              <w:autoSpaceDN/>
              <w:adjustRightInd/>
              <w:jc w:val="center"/>
              <w:rPr>
                <w:rFonts w:eastAsia="Arial"/>
                <w:sz w:val="20"/>
                <w:szCs w:val="22"/>
              </w:rPr>
            </w:pPr>
            <w:r w:rsidRPr="007C51D6">
              <w:rPr>
                <w:rFonts w:eastAsia="Arial"/>
                <w:sz w:val="20"/>
                <w:szCs w:val="22"/>
              </w:rPr>
              <w:t>2025 г.*</w:t>
            </w:r>
          </w:p>
        </w:tc>
      </w:tr>
      <w:tr w:rsidR="00D83A47" w:rsidRPr="007C51D6" w:rsidTr="00D83A47">
        <w:tblPrEx>
          <w:tblBorders>
            <w:bottom w:val="single" w:sz="4" w:space="0" w:color="auto"/>
          </w:tblBorders>
          <w:tblCellMar>
            <w:top w:w="17" w:type="dxa"/>
            <w:bottom w:w="17" w:type="dxa"/>
          </w:tblCellMar>
        </w:tblPrEx>
        <w:trPr>
          <w:tblHeader/>
        </w:trPr>
        <w:tc>
          <w:tcPr>
            <w:tcW w:w="1838" w:type="dxa"/>
          </w:tcPr>
          <w:p w:rsidR="00D83A47" w:rsidRPr="007C51D6" w:rsidRDefault="00D83A47" w:rsidP="00D83A47">
            <w:pPr>
              <w:autoSpaceDE/>
              <w:autoSpaceDN/>
              <w:adjustRightInd/>
              <w:jc w:val="center"/>
              <w:rPr>
                <w:rFonts w:eastAsia="Arial"/>
                <w:sz w:val="20"/>
                <w:szCs w:val="20"/>
              </w:rPr>
            </w:pPr>
            <w:r w:rsidRPr="007C51D6">
              <w:rPr>
                <w:rFonts w:eastAsia="Arial"/>
                <w:sz w:val="20"/>
                <w:szCs w:val="20"/>
              </w:rPr>
              <w:t>1</w:t>
            </w:r>
          </w:p>
        </w:tc>
        <w:tc>
          <w:tcPr>
            <w:tcW w:w="1182" w:type="dxa"/>
          </w:tcPr>
          <w:p w:rsidR="00D83A47" w:rsidRPr="007C51D6" w:rsidRDefault="00D83A47" w:rsidP="00D83A47">
            <w:pPr>
              <w:autoSpaceDE/>
              <w:autoSpaceDN/>
              <w:adjustRightInd/>
              <w:jc w:val="center"/>
              <w:rPr>
                <w:rFonts w:eastAsia="Arial"/>
                <w:sz w:val="20"/>
                <w:szCs w:val="20"/>
              </w:rPr>
            </w:pPr>
            <w:r w:rsidRPr="007C51D6">
              <w:rPr>
                <w:rFonts w:eastAsia="Arial"/>
                <w:sz w:val="20"/>
                <w:szCs w:val="20"/>
              </w:rPr>
              <w:t>2</w:t>
            </w:r>
          </w:p>
        </w:tc>
        <w:tc>
          <w:tcPr>
            <w:tcW w:w="1372" w:type="dxa"/>
          </w:tcPr>
          <w:p w:rsidR="00D83A47" w:rsidRPr="007C51D6" w:rsidRDefault="00D83A47" w:rsidP="00D83A47">
            <w:pPr>
              <w:autoSpaceDE/>
              <w:autoSpaceDN/>
              <w:adjustRightInd/>
              <w:jc w:val="center"/>
              <w:rPr>
                <w:rFonts w:eastAsia="Arial"/>
                <w:sz w:val="20"/>
                <w:szCs w:val="20"/>
              </w:rPr>
            </w:pPr>
            <w:r w:rsidRPr="007C51D6">
              <w:rPr>
                <w:rFonts w:eastAsia="Arial"/>
                <w:sz w:val="20"/>
                <w:szCs w:val="20"/>
              </w:rPr>
              <w:t>3</w:t>
            </w:r>
          </w:p>
        </w:tc>
        <w:tc>
          <w:tcPr>
            <w:tcW w:w="1179" w:type="dxa"/>
          </w:tcPr>
          <w:p w:rsidR="00D83A47" w:rsidRPr="007C51D6" w:rsidRDefault="00D83A47" w:rsidP="00D83A47">
            <w:pPr>
              <w:autoSpaceDE/>
              <w:autoSpaceDN/>
              <w:adjustRightInd/>
              <w:jc w:val="center"/>
              <w:rPr>
                <w:rFonts w:eastAsia="Arial"/>
                <w:sz w:val="20"/>
                <w:szCs w:val="20"/>
              </w:rPr>
            </w:pPr>
            <w:r w:rsidRPr="007C51D6">
              <w:rPr>
                <w:rFonts w:eastAsia="Arial"/>
                <w:sz w:val="20"/>
                <w:szCs w:val="20"/>
              </w:rPr>
              <w:t>4</w:t>
            </w:r>
          </w:p>
        </w:tc>
        <w:tc>
          <w:tcPr>
            <w:tcW w:w="1372" w:type="dxa"/>
          </w:tcPr>
          <w:p w:rsidR="00D83A47" w:rsidRPr="007C51D6" w:rsidRDefault="00D83A47" w:rsidP="00D83A47">
            <w:pPr>
              <w:autoSpaceDE/>
              <w:autoSpaceDN/>
              <w:adjustRightInd/>
              <w:jc w:val="center"/>
              <w:rPr>
                <w:rFonts w:eastAsia="Arial"/>
                <w:sz w:val="20"/>
                <w:szCs w:val="20"/>
              </w:rPr>
            </w:pPr>
            <w:r w:rsidRPr="007C51D6">
              <w:rPr>
                <w:rFonts w:eastAsia="Arial"/>
                <w:sz w:val="20"/>
                <w:szCs w:val="20"/>
              </w:rPr>
              <w:t>5</w:t>
            </w:r>
          </w:p>
        </w:tc>
        <w:tc>
          <w:tcPr>
            <w:tcW w:w="1372" w:type="dxa"/>
          </w:tcPr>
          <w:p w:rsidR="00D83A47" w:rsidRPr="007C51D6" w:rsidRDefault="00D83A47" w:rsidP="00D83A47">
            <w:pPr>
              <w:autoSpaceDE/>
              <w:autoSpaceDN/>
              <w:adjustRightInd/>
              <w:jc w:val="center"/>
              <w:rPr>
                <w:rFonts w:eastAsia="Arial"/>
                <w:sz w:val="20"/>
                <w:szCs w:val="20"/>
              </w:rPr>
            </w:pPr>
            <w:r w:rsidRPr="007C51D6">
              <w:rPr>
                <w:rFonts w:eastAsia="Arial"/>
                <w:sz w:val="20"/>
                <w:szCs w:val="20"/>
              </w:rPr>
              <w:t>6</w:t>
            </w:r>
          </w:p>
        </w:tc>
        <w:tc>
          <w:tcPr>
            <w:tcW w:w="1372" w:type="dxa"/>
          </w:tcPr>
          <w:p w:rsidR="00D83A47" w:rsidRPr="007C51D6" w:rsidRDefault="00D83A47" w:rsidP="00D83A47">
            <w:pPr>
              <w:autoSpaceDE/>
              <w:autoSpaceDN/>
              <w:adjustRightInd/>
              <w:jc w:val="center"/>
              <w:rPr>
                <w:rFonts w:eastAsia="Arial"/>
                <w:sz w:val="20"/>
                <w:szCs w:val="20"/>
              </w:rPr>
            </w:pPr>
            <w:r w:rsidRPr="007C51D6">
              <w:rPr>
                <w:rFonts w:eastAsia="Arial"/>
                <w:sz w:val="20"/>
                <w:szCs w:val="20"/>
              </w:rPr>
              <w:t>7</w:t>
            </w:r>
          </w:p>
        </w:tc>
        <w:tc>
          <w:tcPr>
            <w:tcW w:w="1372" w:type="dxa"/>
          </w:tcPr>
          <w:p w:rsidR="00D83A47" w:rsidRPr="007C51D6" w:rsidRDefault="00D83A47" w:rsidP="00D83A47">
            <w:pPr>
              <w:autoSpaceDE/>
              <w:autoSpaceDN/>
              <w:adjustRightInd/>
              <w:jc w:val="center"/>
              <w:rPr>
                <w:rFonts w:eastAsia="Arial"/>
                <w:sz w:val="20"/>
                <w:szCs w:val="20"/>
              </w:rPr>
            </w:pPr>
            <w:r w:rsidRPr="007C51D6">
              <w:rPr>
                <w:rFonts w:eastAsia="Arial"/>
                <w:sz w:val="20"/>
                <w:szCs w:val="20"/>
              </w:rPr>
              <w:t>8</w:t>
            </w:r>
          </w:p>
        </w:tc>
        <w:tc>
          <w:tcPr>
            <w:tcW w:w="1372" w:type="dxa"/>
          </w:tcPr>
          <w:p w:rsidR="00D83A47" w:rsidRPr="007C51D6" w:rsidRDefault="00D83A47" w:rsidP="00D83A47">
            <w:pPr>
              <w:autoSpaceDE/>
              <w:autoSpaceDN/>
              <w:adjustRightInd/>
              <w:jc w:val="center"/>
              <w:rPr>
                <w:rFonts w:eastAsia="Arial"/>
                <w:sz w:val="20"/>
                <w:szCs w:val="20"/>
              </w:rPr>
            </w:pPr>
            <w:r w:rsidRPr="007C51D6">
              <w:rPr>
                <w:rFonts w:eastAsia="Arial"/>
                <w:sz w:val="20"/>
                <w:szCs w:val="20"/>
              </w:rPr>
              <w:t>9</w:t>
            </w:r>
          </w:p>
        </w:tc>
        <w:tc>
          <w:tcPr>
            <w:tcW w:w="1304" w:type="dxa"/>
          </w:tcPr>
          <w:p w:rsidR="00D83A47" w:rsidRPr="007C51D6" w:rsidRDefault="00D83A47" w:rsidP="00D83A47">
            <w:pPr>
              <w:autoSpaceDE/>
              <w:autoSpaceDN/>
              <w:adjustRightInd/>
              <w:jc w:val="center"/>
              <w:rPr>
                <w:rFonts w:eastAsia="Arial"/>
                <w:sz w:val="20"/>
                <w:szCs w:val="20"/>
              </w:rPr>
            </w:pPr>
            <w:r w:rsidRPr="007C51D6">
              <w:rPr>
                <w:rFonts w:eastAsia="Arial"/>
                <w:sz w:val="20"/>
                <w:szCs w:val="20"/>
              </w:rPr>
              <w:t>10</w:t>
            </w:r>
          </w:p>
        </w:tc>
        <w:tc>
          <w:tcPr>
            <w:tcW w:w="1304" w:type="dxa"/>
          </w:tcPr>
          <w:p w:rsidR="00D83A47" w:rsidRPr="007C51D6" w:rsidRDefault="00D83A47" w:rsidP="00D83A47">
            <w:pPr>
              <w:autoSpaceDE/>
              <w:autoSpaceDN/>
              <w:adjustRightInd/>
              <w:jc w:val="center"/>
              <w:rPr>
                <w:rFonts w:eastAsia="Arial"/>
                <w:sz w:val="20"/>
                <w:szCs w:val="20"/>
              </w:rPr>
            </w:pPr>
            <w:r w:rsidRPr="007C51D6">
              <w:rPr>
                <w:rFonts w:eastAsia="Arial"/>
                <w:sz w:val="20"/>
                <w:szCs w:val="20"/>
              </w:rPr>
              <w:t>11</w:t>
            </w:r>
          </w:p>
        </w:tc>
      </w:tr>
      <w:tr w:rsidR="0061380E" w:rsidRPr="007C51D6" w:rsidTr="0038114E">
        <w:tblPrEx>
          <w:tblBorders>
            <w:bottom w:val="single" w:sz="4" w:space="0" w:color="auto"/>
          </w:tblBorders>
          <w:tblCellMar>
            <w:top w:w="17" w:type="dxa"/>
            <w:bottom w:w="17" w:type="dxa"/>
          </w:tblCellMar>
        </w:tblPrEx>
        <w:tc>
          <w:tcPr>
            <w:tcW w:w="1838" w:type="dxa"/>
          </w:tcPr>
          <w:p w:rsidR="0061380E" w:rsidRPr="007C51D6" w:rsidRDefault="0061380E" w:rsidP="0061380E">
            <w:pPr>
              <w:autoSpaceDE/>
              <w:autoSpaceDN/>
              <w:adjustRightInd/>
              <w:jc w:val="both"/>
              <w:rPr>
                <w:rFonts w:eastAsia="Arial"/>
                <w:sz w:val="20"/>
                <w:szCs w:val="20"/>
              </w:rPr>
            </w:pPr>
            <w:r w:rsidRPr="007C51D6">
              <w:rPr>
                <w:rFonts w:eastAsia="Arial"/>
                <w:sz w:val="20"/>
                <w:szCs w:val="20"/>
                <w:lang w:val="en-US"/>
              </w:rPr>
              <w:t>I</w:t>
            </w:r>
            <w:r w:rsidRPr="007C51D6">
              <w:rPr>
                <w:rFonts w:eastAsia="Arial"/>
                <w:sz w:val="20"/>
                <w:szCs w:val="20"/>
              </w:rPr>
              <w:t xml:space="preserve"> стадия</w:t>
            </w:r>
          </w:p>
        </w:tc>
        <w:tc>
          <w:tcPr>
            <w:tcW w:w="1182" w:type="dxa"/>
          </w:tcPr>
          <w:p w:rsidR="0061380E" w:rsidRPr="007C51D6" w:rsidRDefault="0061380E" w:rsidP="0061380E">
            <w:pPr>
              <w:autoSpaceDE/>
              <w:autoSpaceDN/>
              <w:adjustRightInd/>
              <w:jc w:val="center"/>
              <w:rPr>
                <w:rFonts w:eastAsia="Arial"/>
                <w:sz w:val="20"/>
                <w:szCs w:val="20"/>
              </w:rPr>
            </w:pPr>
            <w:r w:rsidRPr="007C51D6">
              <w:rPr>
                <w:rFonts w:eastAsia="Arial"/>
                <w:sz w:val="20"/>
                <w:szCs w:val="20"/>
              </w:rPr>
              <w:t>29,5</w:t>
            </w:r>
          </w:p>
        </w:tc>
        <w:tc>
          <w:tcPr>
            <w:tcW w:w="1372" w:type="dxa"/>
          </w:tcPr>
          <w:p w:rsidR="0061380E" w:rsidRPr="007C51D6" w:rsidRDefault="0061380E" w:rsidP="0061380E">
            <w:pPr>
              <w:autoSpaceDE/>
              <w:autoSpaceDN/>
              <w:adjustRightInd/>
              <w:jc w:val="center"/>
              <w:rPr>
                <w:rFonts w:eastAsia="Arial"/>
                <w:sz w:val="20"/>
                <w:szCs w:val="20"/>
              </w:rPr>
            </w:pPr>
            <w:r w:rsidRPr="007C51D6">
              <w:rPr>
                <w:rFonts w:eastAsia="Arial"/>
                <w:sz w:val="20"/>
                <w:szCs w:val="20"/>
              </w:rPr>
              <w:t>30,1</w:t>
            </w:r>
          </w:p>
        </w:tc>
        <w:tc>
          <w:tcPr>
            <w:tcW w:w="1179" w:type="dxa"/>
          </w:tcPr>
          <w:p w:rsidR="0061380E" w:rsidRPr="007C51D6" w:rsidRDefault="0061380E" w:rsidP="0061380E">
            <w:pPr>
              <w:autoSpaceDE/>
              <w:autoSpaceDN/>
              <w:adjustRightInd/>
              <w:jc w:val="center"/>
              <w:rPr>
                <w:rFonts w:eastAsia="Arial"/>
                <w:sz w:val="20"/>
                <w:szCs w:val="20"/>
              </w:rPr>
            </w:pPr>
            <w:r w:rsidRPr="007C51D6">
              <w:rPr>
                <w:rFonts w:eastAsia="Arial"/>
                <w:sz w:val="20"/>
                <w:szCs w:val="20"/>
              </w:rPr>
              <w:t>30,8</w:t>
            </w:r>
          </w:p>
        </w:tc>
        <w:tc>
          <w:tcPr>
            <w:tcW w:w="1372" w:type="dxa"/>
          </w:tcPr>
          <w:p w:rsidR="0061380E" w:rsidRPr="007C51D6" w:rsidRDefault="0061380E" w:rsidP="0061380E">
            <w:pPr>
              <w:autoSpaceDE/>
              <w:autoSpaceDN/>
              <w:adjustRightInd/>
              <w:jc w:val="center"/>
              <w:rPr>
                <w:rFonts w:eastAsia="Arial"/>
                <w:sz w:val="20"/>
                <w:szCs w:val="20"/>
              </w:rPr>
            </w:pPr>
            <w:r w:rsidRPr="007C51D6">
              <w:rPr>
                <w:rFonts w:eastAsia="Arial"/>
                <w:sz w:val="20"/>
                <w:szCs w:val="20"/>
              </w:rPr>
              <w:t>32,3</w:t>
            </w:r>
          </w:p>
        </w:tc>
        <w:tc>
          <w:tcPr>
            <w:tcW w:w="1372" w:type="dxa"/>
          </w:tcPr>
          <w:p w:rsidR="0061380E" w:rsidRPr="007C51D6" w:rsidRDefault="0061380E" w:rsidP="0061380E">
            <w:pPr>
              <w:autoSpaceDE/>
              <w:autoSpaceDN/>
              <w:adjustRightInd/>
              <w:jc w:val="center"/>
              <w:rPr>
                <w:rFonts w:eastAsia="Arial"/>
                <w:sz w:val="20"/>
                <w:szCs w:val="20"/>
              </w:rPr>
            </w:pPr>
            <w:r w:rsidRPr="007C51D6">
              <w:rPr>
                <w:rFonts w:eastAsia="Arial"/>
                <w:sz w:val="20"/>
                <w:szCs w:val="20"/>
              </w:rPr>
              <w:t>31,4</w:t>
            </w:r>
          </w:p>
        </w:tc>
        <w:tc>
          <w:tcPr>
            <w:tcW w:w="1372" w:type="dxa"/>
          </w:tcPr>
          <w:p w:rsidR="0061380E" w:rsidRPr="007C51D6" w:rsidRDefault="0061380E" w:rsidP="0061380E">
            <w:pPr>
              <w:autoSpaceDE/>
              <w:autoSpaceDN/>
              <w:adjustRightInd/>
              <w:jc w:val="center"/>
              <w:rPr>
                <w:rFonts w:eastAsia="Arial"/>
                <w:sz w:val="20"/>
                <w:szCs w:val="20"/>
              </w:rPr>
            </w:pPr>
            <w:r w:rsidRPr="007C51D6">
              <w:rPr>
                <w:rFonts w:eastAsia="Arial"/>
                <w:sz w:val="20"/>
                <w:szCs w:val="20"/>
              </w:rPr>
              <w:t>35,0</w:t>
            </w:r>
          </w:p>
        </w:tc>
        <w:tc>
          <w:tcPr>
            <w:tcW w:w="1372" w:type="dxa"/>
          </w:tcPr>
          <w:p w:rsidR="0061380E" w:rsidRPr="007C51D6" w:rsidRDefault="0061380E" w:rsidP="0061380E">
            <w:pPr>
              <w:autoSpaceDE/>
              <w:autoSpaceDN/>
              <w:adjustRightInd/>
              <w:jc w:val="center"/>
              <w:rPr>
                <w:rFonts w:eastAsia="Arial"/>
                <w:sz w:val="20"/>
                <w:szCs w:val="20"/>
              </w:rPr>
            </w:pPr>
            <w:r w:rsidRPr="007C51D6">
              <w:rPr>
                <w:rFonts w:eastAsia="Arial"/>
                <w:sz w:val="20"/>
                <w:szCs w:val="20"/>
              </w:rPr>
              <w:t>35,3</w:t>
            </w:r>
          </w:p>
        </w:tc>
        <w:tc>
          <w:tcPr>
            <w:tcW w:w="1372" w:type="dxa"/>
          </w:tcPr>
          <w:p w:rsidR="0061380E" w:rsidRPr="007C51D6" w:rsidRDefault="0061380E" w:rsidP="0061380E">
            <w:pPr>
              <w:autoSpaceDE/>
              <w:autoSpaceDN/>
              <w:adjustRightInd/>
              <w:jc w:val="center"/>
              <w:rPr>
                <w:rFonts w:eastAsia="Arial"/>
                <w:sz w:val="20"/>
                <w:szCs w:val="20"/>
              </w:rPr>
            </w:pPr>
            <w:r w:rsidRPr="007C51D6">
              <w:rPr>
                <w:rFonts w:eastAsia="Arial"/>
                <w:sz w:val="20"/>
                <w:szCs w:val="20"/>
              </w:rPr>
              <w:t>36,9</w:t>
            </w:r>
          </w:p>
        </w:tc>
        <w:tc>
          <w:tcPr>
            <w:tcW w:w="1304" w:type="dxa"/>
          </w:tcPr>
          <w:p w:rsidR="0061380E" w:rsidRPr="007C51D6" w:rsidRDefault="0061380E" w:rsidP="0061380E">
            <w:pPr>
              <w:autoSpaceDE/>
              <w:autoSpaceDN/>
              <w:adjustRightInd/>
              <w:jc w:val="center"/>
              <w:rPr>
                <w:rFonts w:eastAsia="Arial"/>
                <w:sz w:val="20"/>
                <w:szCs w:val="20"/>
              </w:rPr>
            </w:pPr>
            <w:r w:rsidRPr="007C51D6">
              <w:rPr>
                <w:rFonts w:eastAsia="Arial"/>
                <w:sz w:val="20"/>
                <w:szCs w:val="20"/>
              </w:rPr>
              <w:t>36,8</w:t>
            </w:r>
          </w:p>
        </w:tc>
        <w:tc>
          <w:tcPr>
            <w:tcW w:w="1304" w:type="dxa"/>
            <w:vAlign w:val="center"/>
          </w:tcPr>
          <w:p w:rsidR="0061380E" w:rsidRPr="007C51D6" w:rsidRDefault="0061380E" w:rsidP="0061380E">
            <w:pPr>
              <w:widowControl/>
              <w:autoSpaceDE/>
              <w:autoSpaceDN/>
              <w:adjustRightInd/>
              <w:jc w:val="center"/>
              <w:rPr>
                <w:color w:val="000000"/>
                <w:sz w:val="20"/>
                <w:szCs w:val="20"/>
              </w:rPr>
            </w:pPr>
            <w:r w:rsidRPr="007C51D6">
              <w:rPr>
                <w:color w:val="000000"/>
                <w:sz w:val="20"/>
                <w:szCs w:val="20"/>
              </w:rPr>
              <w:t>38.8</w:t>
            </w:r>
          </w:p>
        </w:tc>
      </w:tr>
      <w:tr w:rsidR="0061380E" w:rsidRPr="007C51D6" w:rsidTr="0038114E">
        <w:tblPrEx>
          <w:tblBorders>
            <w:bottom w:val="single" w:sz="4" w:space="0" w:color="auto"/>
          </w:tblBorders>
          <w:tblCellMar>
            <w:top w:w="17" w:type="dxa"/>
            <w:bottom w:w="17" w:type="dxa"/>
          </w:tblCellMar>
        </w:tblPrEx>
        <w:tc>
          <w:tcPr>
            <w:tcW w:w="1838" w:type="dxa"/>
          </w:tcPr>
          <w:p w:rsidR="0061380E" w:rsidRPr="007C51D6" w:rsidRDefault="0061380E" w:rsidP="0061380E">
            <w:pPr>
              <w:jc w:val="both"/>
            </w:pPr>
            <w:r w:rsidRPr="007C51D6">
              <w:rPr>
                <w:rFonts w:eastAsia="Arial"/>
                <w:sz w:val="20"/>
                <w:szCs w:val="20"/>
                <w:lang w:val="en-US"/>
              </w:rPr>
              <w:t>I</w:t>
            </w:r>
            <w:r w:rsidRPr="007C51D6">
              <w:rPr>
                <w:rFonts w:eastAsia="Arial"/>
                <w:sz w:val="20"/>
                <w:szCs w:val="20"/>
              </w:rPr>
              <w:t xml:space="preserve"> стадия (без </w:t>
            </w:r>
            <w:r w:rsidRPr="007C51D6">
              <w:rPr>
                <w:rFonts w:eastAsia="Arial"/>
                <w:sz w:val="20"/>
                <w:szCs w:val="20"/>
                <w:lang w:val="en-US"/>
              </w:rPr>
              <w:t>C</w:t>
            </w:r>
            <w:r w:rsidRPr="007C51D6">
              <w:rPr>
                <w:rFonts w:eastAsia="Arial"/>
                <w:sz w:val="20"/>
                <w:szCs w:val="20"/>
              </w:rPr>
              <w:t>44)</w:t>
            </w:r>
          </w:p>
        </w:tc>
        <w:tc>
          <w:tcPr>
            <w:tcW w:w="1182" w:type="dxa"/>
          </w:tcPr>
          <w:p w:rsidR="0061380E" w:rsidRPr="007C51D6" w:rsidRDefault="0061380E" w:rsidP="0061380E">
            <w:pPr>
              <w:autoSpaceDE/>
              <w:autoSpaceDN/>
              <w:adjustRightInd/>
              <w:jc w:val="center"/>
              <w:rPr>
                <w:rFonts w:eastAsia="Arial"/>
                <w:sz w:val="20"/>
                <w:szCs w:val="20"/>
              </w:rPr>
            </w:pPr>
            <w:r w:rsidRPr="007C51D6">
              <w:rPr>
                <w:rFonts w:eastAsia="Arial"/>
                <w:sz w:val="20"/>
                <w:szCs w:val="20"/>
              </w:rPr>
              <w:t>22,8</w:t>
            </w:r>
          </w:p>
        </w:tc>
        <w:tc>
          <w:tcPr>
            <w:tcW w:w="1372" w:type="dxa"/>
          </w:tcPr>
          <w:p w:rsidR="0061380E" w:rsidRPr="007C51D6" w:rsidRDefault="0061380E" w:rsidP="0061380E">
            <w:pPr>
              <w:autoSpaceDE/>
              <w:autoSpaceDN/>
              <w:adjustRightInd/>
              <w:jc w:val="center"/>
              <w:rPr>
                <w:rFonts w:eastAsia="Arial"/>
                <w:sz w:val="20"/>
                <w:szCs w:val="20"/>
              </w:rPr>
            </w:pPr>
            <w:r w:rsidRPr="007C51D6">
              <w:rPr>
                <w:rFonts w:eastAsia="Arial"/>
                <w:sz w:val="20"/>
                <w:szCs w:val="20"/>
              </w:rPr>
              <w:t>23,0</w:t>
            </w:r>
          </w:p>
        </w:tc>
        <w:tc>
          <w:tcPr>
            <w:tcW w:w="1179" w:type="dxa"/>
          </w:tcPr>
          <w:p w:rsidR="0061380E" w:rsidRPr="007C51D6" w:rsidRDefault="0061380E" w:rsidP="0061380E">
            <w:pPr>
              <w:autoSpaceDE/>
              <w:autoSpaceDN/>
              <w:adjustRightInd/>
              <w:jc w:val="center"/>
              <w:rPr>
                <w:rFonts w:eastAsia="Arial"/>
                <w:sz w:val="20"/>
                <w:szCs w:val="20"/>
              </w:rPr>
            </w:pPr>
            <w:r w:rsidRPr="007C51D6">
              <w:rPr>
                <w:rFonts w:eastAsia="Arial"/>
                <w:sz w:val="20"/>
                <w:szCs w:val="20"/>
              </w:rPr>
              <w:t>23,4</w:t>
            </w:r>
          </w:p>
        </w:tc>
        <w:tc>
          <w:tcPr>
            <w:tcW w:w="1372" w:type="dxa"/>
          </w:tcPr>
          <w:p w:rsidR="0061380E" w:rsidRPr="007C51D6" w:rsidRDefault="0061380E" w:rsidP="0061380E">
            <w:pPr>
              <w:autoSpaceDE/>
              <w:autoSpaceDN/>
              <w:adjustRightInd/>
              <w:jc w:val="center"/>
              <w:rPr>
                <w:rFonts w:eastAsia="Arial"/>
                <w:sz w:val="20"/>
                <w:szCs w:val="20"/>
              </w:rPr>
            </w:pPr>
            <w:r w:rsidRPr="007C51D6">
              <w:rPr>
                <w:rFonts w:eastAsia="Arial"/>
                <w:sz w:val="20"/>
                <w:szCs w:val="20"/>
              </w:rPr>
              <w:t>25,0</w:t>
            </w:r>
          </w:p>
        </w:tc>
        <w:tc>
          <w:tcPr>
            <w:tcW w:w="1372" w:type="dxa"/>
          </w:tcPr>
          <w:p w:rsidR="0061380E" w:rsidRPr="007C51D6" w:rsidRDefault="0061380E" w:rsidP="0061380E">
            <w:pPr>
              <w:autoSpaceDE/>
              <w:autoSpaceDN/>
              <w:adjustRightInd/>
              <w:jc w:val="center"/>
              <w:rPr>
                <w:rFonts w:eastAsia="Arial"/>
                <w:sz w:val="20"/>
                <w:szCs w:val="20"/>
              </w:rPr>
            </w:pPr>
            <w:r w:rsidRPr="007C51D6">
              <w:rPr>
                <w:rFonts w:eastAsia="Arial"/>
                <w:sz w:val="20"/>
                <w:szCs w:val="20"/>
              </w:rPr>
              <w:t>25,2</w:t>
            </w:r>
          </w:p>
        </w:tc>
        <w:tc>
          <w:tcPr>
            <w:tcW w:w="1372" w:type="dxa"/>
          </w:tcPr>
          <w:p w:rsidR="0061380E" w:rsidRPr="007C51D6" w:rsidRDefault="0061380E" w:rsidP="0061380E">
            <w:pPr>
              <w:autoSpaceDE/>
              <w:autoSpaceDN/>
              <w:adjustRightInd/>
              <w:jc w:val="center"/>
              <w:rPr>
                <w:rFonts w:eastAsia="Arial"/>
                <w:sz w:val="20"/>
                <w:szCs w:val="20"/>
              </w:rPr>
            </w:pPr>
            <w:r w:rsidRPr="007C51D6">
              <w:rPr>
                <w:rFonts w:eastAsia="Arial"/>
                <w:sz w:val="20"/>
                <w:szCs w:val="20"/>
              </w:rPr>
              <w:t>28,3</w:t>
            </w:r>
          </w:p>
        </w:tc>
        <w:tc>
          <w:tcPr>
            <w:tcW w:w="1372" w:type="dxa"/>
          </w:tcPr>
          <w:p w:rsidR="0061380E" w:rsidRPr="007C51D6" w:rsidRDefault="0061380E" w:rsidP="0061380E">
            <w:pPr>
              <w:autoSpaceDE/>
              <w:autoSpaceDN/>
              <w:adjustRightInd/>
              <w:jc w:val="center"/>
              <w:rPr>
                <w:rFonts w:eastAsia="Arial"/>
                <w:sz w:val="20"/>
                <w:szCs w:val="20"/>
              </w:rPr>
            </w:pPr>
            <w:r w:rsidRPr="007C51D6">
              <w:rPr>
                <w:rFonts w:eastAsia="Arial"/>
                <w:sz w:val="20"/>
                <w:szCs w:val="20"/>
              </w:rPr>
              <w:t>28,5</w:t>
            </w:r>
          </w:p>
        </w:tc>
        <w:tc>
          <w:tcPr>
            <w:tcW w:w="1372" w:type="dxa"/>
          </w:tcPr>
          <w:p w:rsidR="0061380E" w:rsidRPr="007C51D6" w:rsidRDefault="0061380E" w:rsidP="0061380E">
            <w:pPr>
              <w:autoSpaceDE/>
              <w:autoSpaceDN/>
              <w:adjustRightInd/>
              <w:jc w:val="center"/>
              <w:rPr>
                <w:rFonts w:eastAsia="Arial"/>
                <w:sz w:val="20"/>
                <w:szCs w:val="20"/>
              </w:rPr>
            </w:pPr>
            <w:r w:rsidRPr="007C51D6">
              <w:rPr>
                <w:rFonts w:eastAsia="Arial"/>
                <w:sz w:val="20"/>
                <w:szCs w:val="20"/>
              </w:rPr>
              <w:t>30,3</w:t>
            </w:r>
          </w:p>
        </w:tc>
        <w:tc>
          <w:tcPr>
            <w:tcW w:w="1304" w:type="dxa"/>
          </w:tcPr>
          <w:p w:rsidR="0061380E" w:rsidRPr="007C51D6" w:rsidRDefault="0061380E" w:rsidP="0061380E">
            <w:pPr>
              <w:autoSpaceDE/>
              <w:autoSpaceDN/>
              <w:adjustRightInd/>
              <w:jc w:val="center"/>
              <w:rPr>
                <w:rFonts w:eastAsia="Arial"/>
                <w:sz w:val="20"/>
                <w:szCs w:val="20"/>
              </w:rPr>
            </w:pPr>
            <w:r w:rsidRPr="007C51D6">
              <w:rPr>
                <w:rFonts w:eastAsia="Arial"/>
                <w:sz w:val="20"/>
                <w:szCs w:val="20"/>
              </w:rPr>
              <w:t>30,2</w:t>
            </w:r>
          </w:p>
        </w:tc>
        <w:tc>
          <w:tcPr>
            <w:tcW w:w="1304" w:type="dxa"/>
            <w:vAlign w:val="center"/>
          </w:tcPr>
          <w:p w:rsidR="0061380E" w:rsidRPr="007C51D6" w:rsidRDefault="0061380E" w:rsidP="0061380E">
            <w:pPr>
              <w:jc w:val="center"/>
              <w:rPr>
                <w:color w:val="000000"/>
                <w:sz w:val="20"/>
                <w:szCs w:val="20"/>
              </w:rPr>
            </w:pPr>
            <w:r w:rsidRPr="007C51D6">
              <w:rPr>
                <w:color w:val="000000"/>
                <w:sz w:val="20"/>
                <w:szCs w:val="20"/>
              </w:rPr>
              <w:t>27.9</w:t>
            </w:r>
          </w:p>
        </w:tc>
      </w:tr>
      <w:tr w:rsidR="0061380E" w:rsidRPr="007C51D6" w:rsidTr="0038114E">
        <w:tblPrEx>
          <w:tblBorders>
            <w:bottom w:val="single" w:sz="4" w:space="0" w:color="auto"/>
          </w:tblBorders>
          <w:tblCellMar>
            <w:top w:w="17" w:type="dxa"/>
            <w:bottom w:w="17" w:type="dxa"/>
          </w:tblCellMar>
        </w:tblPrEx>
        <w:tc>
          <w:tcPr>
            <w:tcW w:w="1838" w:type="dxa"/>
          </w:tcPr>
          <w:p w:rsidR="0061380E" w:rsidRPr="007C51D6" w:rsidRDefault="0061380E" w:rsidP="0061380E">
            <w:pPr>
              <w:jc w:val="both"/>
              <w:rPr>
                <w:lang w:val="en-US"/>
              </w:rPr>
            </w:pPr>
            <w:r w:rsidRPr="007C51D6">
              <w:rPr>
                <w:rFonts w:eastAsia="Arial"/>
                <w:sz w:val="20"/>
                <w:szCs w:val="20"/>
                <w:lang w:val="en-US"/>
              </w:rPr>
              <w:t>II</w:t>
            </w:r>
            <w:r w:rsidRPr="007C51D6">
              <w:rPr>
                <w:rFonts w:eastAsia="Arial"/>
                <w:sz w:val="20"/>
                <w:szCs w:val="20"/>
              </w:rPr>
              <w:t xml:space="preserve"> стадия</w:t>
            </w:r>
            <w:r w:rsidRPr="007C51D6">
              <w:rPr>
                <w:rFonts w:eastAsia="Arial"/>
                <w:sz w:val="20"/>
                <w:szCs w:val="20"/>
                <w:lang w:val="en-US"/>
              </w:rPr>
              <w:t xml:space="preserve"> </w:t>
            </w:r>
          </w:p>
        </w:tc>
        <w:tc>
          <w:tcPr>
            <w:tcW w:w="1182" w:type="dxa"/>
          </w:tcPr>
          <w:p w:rsidR="0061380E" w:rsidRPr="007C51D6" w:rsidRDefault="0061380E" w:rsidP="0061380E">
            <w:pPr>
              <w:autoSpaceDE/>
              <w:autoSpaceDN/>
              <w:adjustRightInd/>
              <w:jc w:val="center"/>
              <w:rPr>
                <w:rFonts w:eastAsia="Arial"/>
                <w:sz w:val="20"/>
                <w:szCs w:val="20"/>
              </w:rPr>
            </w:pPr>
            <w:r w:rsidRPr="007C51D6">
              <w:rPr>
                <w:rFonts w:eastAsia="Arial"/>
                <w:sz w:val="20"/>
                <w:szCs w:val="20"/>
              </w:rPr>
              <w:t>26,9</w:t>
            </w:r>
          </w:p>
        </w:tc>
        <w:tc>
          <w:tcPr>
            <w:tcW w:w="1372" w:type="dxa"/>
          </w:tcPr>
          <w:p w:rsidR="0061380E" w:rsidRPr="007C51D6" w:rsidRDefault="0061380E" w:rsidP="0061380E">
            <w:pPr>
              <w:autoSpaceDE/>
              <w:autoSpaceDN/>
              <w:adjustRightInd/>
              <w:jc w:val="center"/>
              <w:rPr>
                <w:rFonts w:eastAsia="Arial"/>
                <w:sz w:val="20"/>
                <w:szCs w:val="20"/>
              </w:rPr>
            </w:pPr>
            <w:r w:rsidRPr="007C51D6">
              <w:rPr>
                <w:rFonts w:eastAsia="Arial"/>
                <w:sz w:val="20"/>
                <w:szCs w:val="20"/>
              </w:rPr>
              <w:t>28,7</w:t>
            </w:r>
          </w:p>
        </w:tc>
        <w:tc>
          <w:tcPr>
            <w:tcW w:w="1179" w:type="dxa"/>
          </w:tcPr>
          <w:p w:rsidR="0061380E" w:rsidRPr="007C51D6" w:rsidRDefault="0061380E" w:rsidP="0061380E">
            <w:pPr>
              <w:autoSpaceDE/>
              <w:autoSpaceDN/>
              <w:adjustRightInd/>
              <w:jc w:val="center"/>
              <w:rPr>
                <w:rFonts w:eastAsia="Arial"/>
                <w:sz w:val="20"/>
                <w:szCs w:val="20"/>
              </w:rPr>
            </w:pPr>
            <w:r w:rsidRPr="007C51D6">
              <w:rPr>
                <w:rFonts w:eastAsia="Arial"/>
                <w:sz w:val="20"/>
                <w:szCs w:val="20"/>
              </w:rPr>
              <w:t>28,8</w:t>
            </w:r>
          </w:p>
        </w:tc>
        <w:tc>
          <w:tcPr>
            <w:tcW w:w="1372" w:type="dxa"/>
          </w:tcPr>
          <w:p w:rsidR="0061380E" w:rsidRPr="007C51D6" w:rsidRDefault="0061380E" w:rsidP="0061380E">
            <w:pPr>
              <w:autoSpaceDE/>
              <w:autoSpaceDN/>
              <w:adjustRightInd/>
              <w:jc w:val="center"/>
              <w:rPr>
                <w:rFonts w:eastAsia="Arial"/>
                <w:sz w:val="20"/>
                <w:szCs w:val="20"/>
              </w:rPr>
            </w:pPr>
            <w:r w:rsidRPr="007C51D6">
              <w:rPr>
                <w:rFonts w:eastAsia="Arial"/>
                <w:sz w:val="20"/>
                <w:szCs w:val="20"/>
              </w:rPr>
              <w:t>28,0</w:t>
            </w:r>
          </w:p>
        </w:tc>
        <w:tc>
          <w:tcPr>
            <w:tcW w:w="1372" w:type="dxa"/>
          </w:tcPr>
          <w:p w:rsidR="0061380E" w:rsidRPr="007C51D6" w:rsidRDefault="0061380E" w:rsidP="0061380E">
            <w:pPr>
              <w:autoSpaceDE/>
              <w:autoSpaceDN/>
              <w:adjustRightInd/>
              <w:jc w:val="center"/>
              <w:rPr>
                <w:rFonts w:eastAsia="Arial"/>
                <w:sz w:val="20"/>
                <w:szCs w:val="20"/>
              </w:rPr>
            </w:pPr>
            <w:r w:rsidRPr="007C51D6">
              <w:rPr>
                <w:rFonts w:eastAsia="Arial"/>
                <w:sz w:val="20"/>
                <w:szCs w:val="20"/>
              </w:rPr>
              <w:t>29,8</w:t>
            </w:r>
          </w:p>
        </w:tc>
        <w:tc>
          <w:tcPr>
            <w:tcW w:w="1372" w:type="dxa"/>
          </w:tcPr>
          <w:p w:rsidR="0061380E" w:rsidRPr="007C51D6" w:rsidRDefault="0061380E" w:rsidP="0061380E">
            <w:pPr>
              <w:autoSpaceDE/>
              <w:autoSpaceDN/>
              <w:adjustRightInd/>
              <w:jc w:val="center"/>
              <w:rPr>
                <w:rFonts w:eastAsia="Arial"/>
                <w:sz w:val="20"/>
                <w:szCs w:val="20"/>
              </w:rPr>
            </w:pPr>
            <w:r w:rsidRPr="007C51D6">
              <w:rPr>
                <w:rFonts w:eastAsia="Arial"/>
                <w:sz w:val="20"/>
                <w:szCs w:val="20"/>
              </w:rPr>
              <w:t>26,7</w:t>
            </w:r>
          </w:p>
        </w:tc>
        <w:tc>
          <w:tcPr>
            <w:tcW w:w="1372" w:type="dxa"/>
          </w:tcPr>
          <w:p w:rsidR="0061380E" w:rsidRPr="007C51D6" w:rsidRDefault="0061380E" w:rsidP="0061380E">
            <w:pPr>
              <w:autoSpaceDE/>
              <w:autoSpaceDN/>
              <w:adjustRightInd/>
              <w:jc w:val="center"/>
              <w:rPr>
                <w:rFonts w:eastAsia="Arial"/>
                <w:sz w:val="20"/>
                <w:szCs w:val="20"/>
              </w:rPr>
            </w:pPr>
            <w:r w:rsidRPr="007C51D6">
              <w:rPr>
                <w:rFonts w:eastAsia="Arial"/>
                <w:sz w:val="20"/>
                <w:szCs w:val="20"/>
              </w:rPr>
              <w:t>27,2</w:t>
            </w:r>
          </w:p>
        </w:tc>
        <w:tc>
          <w:tcPr>
            <w:tcW w:w="1372" w:type="dxa"/>
          </w:tcPr>
          <w:p w:rsidR="0061380E" w:rsidRPr="007C51D6" w:rsidRDefault="0061380E" w:rsidP="0061380E">
            <w:pPr>
              <w:autoSpaceDE/>
              <w:autoSpaceDN/>
              <w:adjustRightInd/>
              <w:jc w:val="center"/>
              <w:rPr>
                <w:rFonts w:eastAsia="Arial"/>
                <w:sz w:val="20"/>
                <w:szCs w:val="20"/>
              </w:rPr>
            </w:pPr>
            <w:r w:rsidRPr="007C51D6">
              <w:rPr>
                <w:rFonts w:eastAsia="Arial"/>
                <w:sz w:val="20"/>
                <w:szCs w:val="20"/>
              </w:rPr>
              <w:t>26,4</w:t>
            </w:r>
          </w:p>
        </w:tc>
        <w:tc>
          <w:tcPr>
            <w:tcW w:w="1304" w:type="dxa"/>
          </w:tcPr>
          <w:p w:rsidR="0061380E" w:rsidRPr="007C51D6" w:rsidRDefault="0061380E" w:rsidP="0061380E">
            <w:pPr>
              <w:autoSpaceDE/>
              <w:autoSpaceDN/>
              <w:adjustRightInd/>
              <w:jc w:val="center"/>
              <w:rPr>
                <w:rFonts w:eastAsia="Arial"/>
                <w:sz w:val="20"/>
                <w:szCs w:val="20"/>
              </w:rPr>
            </w:pPr>
            <w:r w:rsidRPr="007C51D6">
              <w:rPr>
                <w:rFonts w:eastAsia="Arial"/>
                <w:sz w:val="20"/>
                <w:szCs w:val="20"/>
              </w:rPr>
              <w:t>27,2</w:t>
            </w:r>
          </w:p>
        </w:tc>
        <w:tc>
          <w:tcPr>
            <w:tcW w:w="1304" w:type="dxa"/>
            <w:vAlign w:val="center"/>
          </w:tcPr>
          <w:p w:rsidR="0061380E" w:rsidRPr="007C51D6" w:rsidRDefault="0061380E" w:rsidP="0061380E">
            <w:pPr>
              <w:jc w:val="center"/>
              <w:rPr>
                <w:color w:val="000000"/>
                <w:sz w:val="20"/>
                <w:szCs w:val="20"/>
              </w:rPr>
            </w:pPr>
            <w:r w:rsidRPr="007C51D6">
              <w:rPr>
                <w:color w:val="000000"/>
                <w:sz w:val="20"/>
                <w:szCs w:val="20"/>
              </w:rPr>
              <w:t>26.0</w:t>
            </w:r>
          </w:p>
        </w:tc>
      </w:tr>
      <w:tr w:rsidR="0061380E" w:rsidRPr="007C51D6" w:rsidTr="0038114E">
        <w:tblPrEx>
          <w:tblBorders>
            <w:bottom w:val="single" w:sz="4" w:space="0" w:color="auto"/>
          </w:tblBorders>
          <w:tblCellMar>
            <w:top w:w="17" w:type="dxa"/>
            <w:bottom w:w="17" w:type="dxa"/>
          </w:tblCellMar>
        </w:tblPrEx>
        <w:tc>
          <w:tcPr>
            <w:tcW w:w="1838" w:type="dxa"/>
          </w:tcPr>
          <w:p w:rsidR="0061380E" w:rsidRPr="007C51D6" w:rsidRDefault="0061380E" w:rsidP="0061380E">
            <w:pPr>
              <w:jc w:val="both"/>
            </w:pPr>
            <w:r w:rsidRPr="007C51D6">
              <w:rPr>
                <w:rFonts w:eastAsia="Arial"/>
                <w:sz w:val="20"/>
                <w:szCs w:val="20"/>
                <w:lang w:val="en-US"/>
              </w:rPr>
              <w:t>II</w:t>
            </w:r>
            <w:r w:rsidRPr="007C51D6">
              <w:rPr>
                <w:rFonts w:eastAsia="Arial"/>
                <w:sz w:val="20"/>
                <w:szCs w:val="20"/>
              </w:rPr>
              <w:t xml:space="preserve"> стадия </w:t>
            </w:r>
            <w:r w:rsidRPr="007C51D6">
              <w:rPr>
                <w:rFonts w:eastAsia="Arial"/>
                <w:sz w:val="20"/>
                <w:szCs w:val="20"/>
                <w:lang w:val="en-US"/>
              </w:rPr>
              <w:t>(</w:t>
            </w:r>
            <w:r w:rsidRPr="007C51D6">
              <w:rPr>
                <w:rFonts w:eastAsia="Arial"/>
                <w:sz w:val="20"/>
                <w:szCs w:val="20"/>
              </w:rPr>
              <w:t>без</w:t>
            </w:r>
            <w:r w:rsidRPr="007C51D6">
              <w:rPr>
                <w:rFonts w:eastAsia="Arial"/>
                <w:sz w:val="20"/>
                <w:szCs w:val="20"/>
                <w:lang w:val="en-US"/>
              </w:rPr>
              <w:t xml:space="preserve"> C44)</w:t>
            </w:r>
          </w:p>
        </w:tc>
        <w:tc>
          <w:tcPr>
            <w:tcW w:w="1182" w:type="dxa"/>
          </w:tcPr>
          <w:p w:rsidR="0061380E" w:rsidRPr="007C51D6" w:rsidRDefault="0061380E" w:rsidP="0061380E">
            <w:pPr>
              <w:autoSpaceDE/>
              <w:autoSpaceDN/>
              <w:adjustRightInd/>
              <w:jc w:val="center"/>
              <w:rPr>
                <w:rFonts w:eastAsia="Arial"/>
                <w:sz w:val="20"/>
                <w:szCs w:val="20"/>
              </w:rPr>
            </w:pPr>
            <w:r w:rsidRPr="007C51D6">
              <w:rPr>
                <w:rFonts w:eastAsia="Arial"/>
                <w:sz w:val="20"/>
                <w:szCs w:val="20"/>
              </w:rPr>
              <w:t>28,1</w:t>
            </w:r>
          </w:p>
        </w:tc>
        <w:tc>
          <w:tcPr>
            <w:tcW w:w="1372" w:type="dxa"/>
          </w:tcPr>
          <w:p w:rsidR="0061380E" w:rsidRPr="007C51D6" w:rsidRDefault="0061380E" w:rsidP="0061380E">
            <w:pPr>
              <w:autoSpaceDE/>
              <w:autoSpaceDN/>
              <w:adjustRightInd/>
              <w:jc w:val="center"/>
              <w:rPr>
                <w:rFonts w:eastAsia="Arial"/>
                <w:sz w:val="20"/>
                <w:szCs w:val="20"/>
              </w:rPr>
            </w:pPr>
            <w:r w:rsidRPr="007C51D6">
              <w:rPr>
                <w:rFonts w:eastAsia="Arial"/>
                <w:sz w:val="20"/>
                <w:szCs w:val="20"/>
              </w:rPr>
              <w:t>30,7</w:t>
            </w:r>
          </w:p>
        </w:tc>
        <w:tc>
          <w:tcPr>
            <w:tcW w:w="1179" w:type="dxa"/>
          </w:tcPr>
          <w:p w:rsidR="0061380E" w:rsidRPr="007C51D6" w:rsidRDefault="0061380E" w:rsidP="0061380E">
            <w:pPr>
              <w:autoSpaceDE/>
              <w:autoSpaceDN/>
              <w:adjustRightInd/>
              <w:jc w:val="center"/>
              <w:rPr>
                <w:rFonts w:eastAsia="Arial"/>
                <w:sz w:val="20"/>
                <w:szCs w:val="20"/>
              </w:rPr>
            </w:pPr>
            <w:r w:rsidRPr="007C51D6">
              <w:rPr>
                <w:rFonts w:eastAsia="Arial"/>
                <w:sz w:val="20"/>
                <w:szCs w:val="20"/>
              </w:rPr>
              <w:t>30,9</w:t>
            </w:r>
          </w:p>
        </w:tc>
        <w:tc>
          <w:tcPr>
            <w:tcW w:w="1372" w:type="dxa"/>
          </w:tcPr>
          <w:p w:rsidR="0061380E" w:rsidRPr="007C51D6" w:rsidRDefault="0061380E" w:rsidP="0061380E">
            <w:pPr>
              <w:autoSpaceDE/>
              <w:autoSpaceDN/>
              <w:adjustRightInd/>
              <w:jc w:val="center"/>
              <w:rPr>
                <w:rFonts w:eastAsia="Arial"/>
                <w:sz w:val="20"/>
                <w:szCs w:val="20"/>
              </w:rPr>
            </w:pPr>
            <w:r w:rsidRPr="007C51D6">
              <w:rPr>
                <w:rFonts w:eastAsia="Arial"/>
                <w:sz w:val="20"/>
                <w:szCs w:val="20"/>
              </w:rPr>
              <w:t>30,0</w:t>
            </w:r>
          </w:p>
        </w:tc>
        <w:tc>
          <w:tcPr>
            <w:tcW w:w="1372" w:type="dxa"/>
          </w:tcPr>
          <w:p w:rsidR="0061380E" w:rsidRPr="007C51D6" w:rsidRDefault="0061380E" w:rsidP="0061380E">
            <w:pPr>
              <w:autoSpaceDE/>
              <w:autoSpaceDN/>
              <w:adjustRightInd/>
              <w:jc w:val="center"/>
              <w:rPr>
                <w:rFonts w:eastAsia="Arial"/>
                <w:sz w:val="20"/>
                <w:szCs w:val="20"/>
              </w:rPr>
            </w:pPr>
            <w:r w:rsidRPr="007C51D6">
              <w:rPr>
                <w:rFonts w:eastAsia="Arial"/>
                <w:sz w:val="20"/>
                <w:szCs w:val="20"/>
              </w:rPr>
              <w:t>31,4</w:t>
            </w:r>
          </w:p>
        </w:tc>
        <w:tc>
          <w:tcPr>
            <w:tcW w:w="1372" w:type="dxa"/>
          </w:tcPr>
          <w:p w:rsidR="0061380E" w:rsidRPr="007C51D6" w:rsidRDefault="0061380E" w:rsidP="0061380E">
            <w:pPr>
              <w:autoSpaceDE/>
              <w:autoSpaceDN/>
              <w:adjustRightInd/>
              <w:jc w:val="center"/>
              <w:rPr>
                <w:rFonts w:eastAsia="Arial"/>
                <w:sz w:val="20"/>
                <w:szCs w:val="20"/>
              </w:rPr>
            </w:pPr>
            <w:r w:rsidRPr="007C51D6">
              <w:rPr>
                <w:rFonts w:eastAsia="Arial"/>
                <w:sz w:val="20"/>
                <w:szCs w:val="20"/>
              </w:rPr>
              <w:t>28,2</w:t>
            </w:r>
          </w:p>
        </w:tc>
        <w:tc>
          <w:tcPr>
            <w:tcW w:w="1372" w:type="dxa"/>
          </w:tcPr>
          <w:p w:rsidR="0061380E" w:rsidRPr="007C51D6" w:rsidRDefault="0061380E" w:rsidP="0061380E">
            <w:pPr>
              <w:autoSpaceDE/>
              <w:autoSpaceDN/>
              <w:adjustRightInd/>
              <w:jc w:val="center"/>
              <w:rPr>
                <w:rFonts w:eastAsia="Arial"/>
                <w:sz w:val="20"/>
                <w:szCs w:val="20"/>
              </w:rPr>
            </w:pPr>
            <w:r w:rsidRPr="007C51D6">
              <w:rPr>
                <w:rFonts w:eastAsia="Arial"/>
                <w:sz w:val="20"/>
                <w:szCs w:val="20"/>
              </w:rPr>
              <w:t>28,9</w:t>
            </w:r>
          </w:p>
        </w:tc>
        <w:tc>
          <w:tcPr>
            <w:tcW w:w="1372" w:type="dxa"/>
          </w:tcPr>
          <w:p w:rsidR="0061380E" w:rsidRPr="007C51D6" w:rsidRDefault="0061380E" w:rsidP="0061380E">
            <w:pPr>
              <w:autoSpaceDE/>
              <w:autoSpaceDN/>
              <w:adjustRightInd/>
              <w:jc w:val="center"/>
              <w:rPr>
                <w:rFonts w:eastAsia="Arial"/>
                <w:sz w:val="20"/>
                <w:szCs w:val="20"/>
              </w:rPr>
            </w:pPr>
            <w:r w:rsidRPr="007C51D6">
              <w:rPr>
                <w:rFonts w:eastAsia="Arial"/>
                <w:sz w:val="20"/>
                <w:szCs w:val="20"/>
              </w:rPr>
              <w:t>28,1</w:t>
            </w:r>
          </w:p>
        </w:tc>
        <w:tc>
          <w:tcPr>
            <w:tcW w:w="1304" w:type="dxa"/>
          </w:tcPr>
          <w:p w:rsidR="0061380E" w:rsidRPr="007C51D6" w:rsidRDefault="0061380E" w:rsidP="0061380E">
            <w:pPr>
              <w:autoSpaceDE/>
              <w:autoSpaceDN/>
              <w:adjustRightInd/>
              <w:jc w:val="center"/>
              <w:rPr>
                <w:rFonts w:eastAsia="Arial"/>
                <w:sz w:val="20"/>
                <w:szCs w:val="20"/>
              </w:rPr>
            </w:pPr>
            <w:r w:rsidRPr="007C51D6">
              <w:rPr>
                <w:rFonts w:eastAsia="Arial"/>
                <w:sz w:val="20"/>
                <w:szCs w:val="20"/>
              </w:rPr>
              <w:t>29,1</w:t>
            </w:r>
          </w:p>
        </w:tc>
        <w:tc>
          <w:tcPr>
            <w:tcW w:w="1304" w:type="dxa"/>
            <w:vAlign w:val="center"/>
          </w:tcPr>
          <w:p w:rsidR="0061380E" w:rsidRPr="007C51D6" w:rsidRDefault="0061380E" w:rsidP="0061380E">
            <w:pPr>
              <w:jc w:val="center"/>
              <w:rPr>
                <w:color w:val="000000"/>
                <w:sz w:val="20"/>
                <w:szCs w:val="20"/>
              </w:rPr>
            </w:pPr>
            <w:r w:rsidRPr="007C51D6">
              <w:rPr>
                <w:color w:val="000000"/>
                <w:sz w:val="20"/>
                <w:szCs w:val="20"/>
              </w:rPr>
              <w:t>24.3</w:t>
            </w:r>
          </w:p>
        </w:tc>
      </w:tr>
      <w:tr w:rsidR="0061380E" w:rsidRPr="007C51D6" w:rsidTr="0038114E">
        <w:tblPrEx>
          <w:tblBorders>
            <w:bottom w:val="single" w:sz="4" w:space="0" w:color="auto"/>
          </w:tblBorders>
          <w:tblCellMar>
            <w:top w:w="17" w:type="dxa"/>
            <w:bottom w:w="17" w:type="dxa"/>
          </w:tblCellMar>
        </w:tblPrEx>
        <w:tc>
          <w:tcPr>
            <w:tcW w:w="1838" w:type="dxa"/>
          </w:tcPr>
          <w:p w:rsidR="0061380E" w:rsidRPr="007C51D6" w:rsidRDefault="0061380E" w:rsidP="0061380E">
            <w:pPr>
              <w:jc w:val="both"/>
            </w:pPr>
            <w:r w:rsidRPr="007C51D6">
              <w:rPr>
                <w:rFonts w:eastAsia="Arial"/>
                <w:sz w:val="20"/>
                <w:szCs w:val="20"/>
                <w:lang w:val="en-US"/>
              </w:rPr>
              <w:t>III</w:t>
            </w:r>
            <w:r w:rsidRPr="007C51D6">
              <w:rPr>
                <w:rFonts w:eastAsia="Arial"/>
                <w:sz w:val="20"/>
                <w:szCs w:val="20"/>
              </w:rPr>
              <w:t xml:space="preserve"> стадия</w:t>
            </w:r>
          </w:p>
        </w:tc>
        <w:tc>
          <w:tcPr>
            <w:tcW w:w="1182" w:type="dxa"/>
          </w:tcPr>
          <w:p w:rsidR="0061380E" w:rsidRPr="007C51D6" w:rsidRDefault="0061380E" w:rsidP="0061380E">
            <w:pPr>
              <w:autoSpaceDE/>
              <w:autoSpaceDN/>
              <w:adjustRightInd/>
              <w:jc w:val="center"/>
              <w:rPr>
                <w:rFonts w:eastAsia="Arial"/>
                <w:sz w:val="20"/>
                <w:szCs w:val="20"/>
              </w:rPr>
            </w:pPr>
            <w:r w:rsidRPr="007C51D6">
              <w:rPr>
                <w:rFonts w:eastAsia="Arial"/>
                <w:sz w:val="20"/>
                <w:szCs w:val="20"/>
              </w:rPr>
              <w:t>18,9</w:t>
            </w:r>
          </w:p>
        </w:tc>
        <w:tc>
          <w:tcPr>
            <w:tcW w:w="1372" w:type="dxa"/>
          </w:tcPr>
          <w:p w:rsidR="0061380E" w:rsidRPr="007C51D6" w:rsidRDefault="0061380E" w:rsidP="0061380E">
            <w:pPr>
              <w:autoSpaceDE/>
              <w:autoSpaceDN/>
              <w:adjustRightInd/>
              <w:jc w:val="center"/>
              <w:rPr>
                <w:rFonts w:eastAsia="Arial"/>
                <w:sz w:val="20"/>
                <w:szCs w:val="20"/>
              </w:rPr>
            </w:pPr>
            <w:r w:rsidRPr="007C51D6">
              <w:rPr>
                <w:rFonts w:eastAsia="Arial"/>
                <w:sz w:val="20"/>
                <w:szCs w:val="20"/>
              </w:rPr>
              <w:t>17,6</w:t>
            </w:r>
          </w:p>
        </w:tc>
        <w:tc>
          <w:tcPr>
            <w:tcW w:w="1179" w:type="dxa"/>
          </w:tcPr>
          <w:p w:rsidR="0061380E" w:rsidRPr="007C51D6" w:rsidRDefault="0061380E" w:rsidP="0061380E">
            <w:pPr>
              <w:autoSpaceDE/>
              <w:autoSpaceDN/>
              <w:adjustRightInd/>
              <w:jc w:val="center"/>
              <w:rPr>
                <w:rFonts w:eastAsia="Arial"/>
                <w:sz w:val="20"/>
                <w:szCs w:val="20"/>
              </w:rPr>
            </w:pPr>
            <w:r w:rsidRPr="007C51D6">
              <w:rPr>
                <w:rFonts w:eastAsia="Arial"/>
                <w:sz w:val="20"/>
                <w:szCs w:val="20"/>
              </w:rPr>
              <w:t>16,3</w:t>
            </w:r>
          </w:p>
        </w:tc>
        <w:tc>
          <w:tcPr>
            <w:tcW w:w="1372" w:type="dxa"/>
          </w:tcPr>
          <w:p w:rsidR="0061380E" w:rsidRPr="007C51D6" w:rsidRDefault="0061380E" w:rsidP="0061380E">
            <w:pPr>
              <w:autoSpaceDE/>
              <w:autoSpaceDN/>
              <w:adjustRightInd/>
              <w:jc w:val="center"/>
              <w:rPr>
                <w:rFonts w:eastAsia="Arial"/>
                <w:sz w:val="20"/>
                <w:szCs w:val="20"/>
              </w:rPr>
            </w:pPr>
            <w:r w:rsidRPr="007C51D6">
              <w:rPr>
                <w:rFonts w:eastAsia="Arial"/>
                <w:sz w:val="20"/>
                <w:szCs w:val="20"/>
              </w:rPr>
              <w:t>16,1</w:t>
            </w:r>
          </w:p>
        </w:tc>
        <w:tc>
          <w:tcPr>
            <w:tcW w:w="1372" w:type="dxa"/>
          </w:tcPr>
          <w:p w:rsidR="0061380E" w:rsidRPr="007C51D6" w:rsidRDefault="0061380E" w:rsidP="0061380E">
            <w:pPr>
              <w:autoSpaceDE/>
              <w:autoSpaceDN/>
              <w:adjustRightInd/>
              <w:jc w:val="center"/>
              <w:rPr>
                <w:rFonts w:eastAsia="Arial"/>
                <w:sz w:val="20"/>
                <w:szCs w:val="20"/>
              </w:rPr>
            </w:pPr>
            <w:r w:rsidRPr="007C51D6">
              <w:rPr>
                <w:rFonts w:eastAsia="Arial"/>
                <w:sz w:val="20"/>
                <w:szCs w:val="20"/>
              </w:rPr>
              <w:t>14,7</w:t>
            </w:r>
          </w:p>
        </w:tc>
        <w:tc>
          <w:tcPr>
            <w:tcW w:w="1372" w:type="dxa"/>
          </w:tcPr>
          <w:p w:rsidR="0061380E" w:rsidRPr="007C51D6" w:rsidRDefault="0061380E" w:rsidP="0061380E">
            <w:pPr>
              <w:autoSpaceDE/>
              <w:autoSpaceDN/>
              <w:adjustRightInd/>
              <w:jc w:val="center"/>
              <w:rPr>
                <w:rFonts w:eastAsia="Arial"/>
                <w:sz w:val="20"/>
                <w:szCs w:val="20"/>
              </w:rPr>
            </w:pPr>
            <w:r w:rsidRPr="007C51D6">
              <w:rPr>
                <w:rFonts w:eastAsia="Arial"/>
                <w:sz w:val="20"/>
                <w:szCs w:val="20"/>
              </w:rPr>
              <w:t>16,7</w:t>
            </w:r>
          </w:p>
        </w:tc>
        <w:tc>
          <w:tcPr>
            <w:tcW w:w="1372" w:type="dxa"/>
          </w:tcPr>
          <w:p w:rsidR="0061380E" w:rsidRPr="007C51D6" w:rsidRDefault="0061380E" w:rsidP="0061380E">
            <w:pPr>
              <w:autoSpaceDE/>
              <w:autoSpaceDN/>
              <w:adjustRightInd/>
              <w:jc w:val="center"/>
              <w:rPr>
                <w:rFonts w:eastAsia="Arial"/>
                <w:sz w:val="20"/>
                <w:szCs w:val="20"/>
              </w:rPr>
            </w:pPr>
            <w:r w:rsidRPr="007C51D6">
              <w:rPr>
                <w:rFonts w:eastAsia="Arial"/>
                <w:sz w:val="20"/>
                <w:szCs w:val="20"/>
              </w:rPr>
              <w:t>16,4</w:t>
            </w:r>
          </w:p>
        </w:tc>
        <w:tc>
          <w:tcPr>
            <w:tcW w:w="1372" w:type="dxa"/>
          </w:tcPr>
          <w:p w:rsidR="0061380E" w:rsidRPr="007C51D6" w:rsidRDefault="0061380E" w:rsidP="0061380E">
            <w:pPr>
              <w:autoSpaceDE/>
              <w:autoSpaceDN/>
              <w:adjustRightInd/>
              <w:jc w:val="center"/>
              <w:rPr>
                <w:rFonts w:eastAsia="Arial"/>
                <w:sz w:val="20"/>
                <w:szCs w:val="20"/>
              </w:rPr>
            </w:pPr>
            <w:r w:rsidRPr="007C51D6">
              <w:rPr>
                <w:rFonts w:eastAsia="Arial"/>
                <w:sz w:val="20"/>
                <w:szCs w:val="20"/>
              </w:rPr>
              <w:t>15,7</w:t>
            </w:r>
          </w:p>
        </w:tc>
        <w:tc>
          <w:tcPr>
            <w:tcW w:w="1304" w:type="dxa"/>
          </w:tcPr>
          <w:p w:rsidR="0061380E" w:rsidRPr="007C51D6" w:rsidRDefault="0061380E" w:rsidP="0061380E">
            <w:pPr>
              <w:autoSpaceDE/>
              <w:autoSpaceDN/>
              <w:adjustRightInd/>
              <w:jc w:val="center"/>
              <w:rPr>
                <w:rFonts w:eastAsia="Arial"/>
                <w:sz w:val="20"/>
                <w:szCs w:val="20"/>
              </w:rPr>
            </w:pPr>
            <w:r w:rsidRPr="007C51D6">
              <w:rPr>
                <w:rFonts w:eastAsia="Arial"/>
                <w:sz w:val="20"/>
                <w:szCs w:val="20"/>
              </w:rPr>
              <w:t>15,9</w:t>
            </w:r>
          </w:p>
        </w:tc>
        <w:tc>
          <w:tcPr>
            <w:tcW w:w="1304" w:type="dxa"/>
            <w:vAlign w:val="center"/>
          </w:tcPr>
          <w:p w:rsidR="0061380E" w:rsidRPr="007C51D6" w:rsidRDefault="0061380E" w:rsidP="0061380E">
            <w:pPr>
              <w:jc w:val="center"/>
              <w:rPr>
                <w:color w:val="000000"/>
                <w:sz w:val="20"/>
                <w:szCs w:val="20"/>
              </w:rPr>
            </w:pPr>
            <w:r w:rsidRPr="007C51D6">
              <w:rPr>
                <w:color w:val="000000"/>
                <w:sz w:val="20"/>
                <w:szCs w:val="20"/>
              </w:rPr>
              <w:t>14.8</w:t>
            </w:r>
          </w:p>
        </w:tc>
      </w:tr>
      <w:tr w:rsidR="0061380E" w:rsidRPr="007C51D6" w:rsidTr="0038114E">
        <w:tblPrEx>
          <w:tblBorders>
            <w:bottom w:val="single" w:sz="4" w:space="0" w:color="auto"/>
          </w:tblBorders>
          <w:tblCellMar>
            <w:top w:w="17" w:type="dxa"/>
            <w:bottom w:w="17" w:type="dxa"/>
          </w:tblCellMar>
        </w:tblPrEx>
        <w:tc>
          <w:tcPr>
            <w:tcW w:w="1838" w:type="dxa"/>
          </w:tcPr>
          <w:p w:rsidR="0061380E" w:rsidRPr="007C51D6" w:rsidRDefault="0061380E" w:rsidP="0061380E">
            <w:pPr>
              <w:jc w:val="both"/>
            </w:pPr>
            <w:r w:rsidRPr="007C51D6">
              <w:rPr>
                <w:rFonts w:eastAsia="Arial"/>
                <w:sz w:val="20"/>
                <w:szCs w:val="20"/>
                <w:lang w:val="en-US"/>
              </w:rPr>
              <w:t>IV</w:t>
            </w:r>
            <w:r w:rsidRPr="007C51D6">
              <w:rPr>
                <w:rFonts w:eastAsia="Arial"/>
                <w:sz w:val="20"/>
                <w:szCs w:val="20"/>
              </w:rPr>
              <w:t xml:space="preserve"> стадия</w:t>
            </w:r>
          </w:p>
        </w:tc>
        <w:tc>
          <w:tcPr>
            <w:tcW w:w="1182" w:type="dxa"/>
          </w:tcPr>
          <w:p w:rsidR="0061380E" w:rsidRPr="007C51D6" w:rsidRDefault="0061380E" w:rsidP="0061380E">
            <w:pPr>
              <w:autoSpaceDE/>
              <w:autoSpaceDN/>
              <w:adjustRightInd/>
              <w:jc w:val="center"/>
              <w:rPr>
                <w:rFonts w:eastAsia="Arial"/>
                <w:sz w:val="20"/>
                <w:szCs w:val="20"/>
              </w:rPr>
            </w:pPr>
            <w:r w:rsidRPr="007C51D6">
              <w:rPr>
                <w:rFonts w:eastAsia="Arial"/>
                <w:sz w:val="20"/>
                <w:szCs w:val="20"/>
              </w:rPr>
              <w:t>22,5</w:t>
            </w:r>
          </w:p>
        </w:tc>
        <w:tc>
          <w:tcPr>
            <w:tcW w:w="1372" w:type="dxa"/>
          </w:tcPr>
          <w:p w:rsidR="0061380E" w:rsidRPr="007C51D6" w:rsidRDefault="0061380E" w:rsidP="0061380E">
            <w:pPr>
              <w:autoSpaceDE/>
              <w:autoSpaceDN/>
              <w:adjustRightInd/>
              <w:jc w:val="center"/>
              <w:rPr>
                <w:rFonts w:eastAsia="Arial"/>
                <w:sz w:val="20"/>
                <w:szCs w:val="20"/>
              </w:rPr>
            </w:pPr>
            <w:r w:rsidRPr="007C51D6">
              <w:rPr>
                <w:rFonts w:eastAsia="Arial"/>
                <w:sz w:val="20"/>
                <w:szCs w:val="20"/>
              </w:rPr>
              <w:t>21,9</w:t>
            </w:r>
          </w:p>
        </w:tc>
        <w:tc>
          <w:tcPr>
            <w:tcW w:w="1179" w:type="dxa"/>
          </w:tcPr>
          <w:p w:rsidR="0061380E" w:rsidRPr="007C51D6" w:rsidRDefault="0061380E" w:rsidP="0061380E">
            <w:pPr>
              <w:autoSpaceDE/>
              <w:autoSpaceDN/>
              <w:adjustRightInd/>
              <w:jc w:val="center"/>
              <w:rPr>
                <w:rFonts w:eastAsia="Arial"/>
                <w:sz w:val="20"/>
                <w:szCs w:val="20"/>
              </w:rPr>
            </w:pPr>
            <w:r w:rsidRPr="007C51D6">
              <w:rPr>
                <w:rFonts w:eastAsia="Arial"/>
                <w:sz w:val="20"/>
                <w:szCs w:val="20"/>
              </w:rPr>
              <w:t>22,9</w:t>
            </w:r>
          </w:p>
        </w:tc>
        <w:tc>
          <w:tcPr>
            <w:tcW w:w="1372" w:type="dxa"/>
          </w:tcPr>
          <w:p w:rsidR="0061380E" w:rsidRPr="007C51D6" w:rsidRDefault="0061380E" w:rsidP="0061380E">
            <w:pPr>
              <w:autoSpaceDE/>
              <w:autoSpaceDN/>
              <w:adjustRightInd/>
              <w:jc w:val="center"/>
              <w:rPr>
                <w:rFonts w:eastAsia="Arial"/>
                <w:sz w:val="20"/>
                <w:szCs w:val="20"/>
              </w:rPr>
            </w:pPr>
            <w:r w:rsidRPr="007C51D6">
              <w:rPr>
                <w:rFonts w:eastAsia="Arial"/>
                <w:sz w:val="20"/>
                <w:szCs w:val="20"/>
              </w:rPr>
              <w:t>20,3</w:t>
            </w:r>
          </w:p>
        </w:tc>
        <w:tc>
          <w:tcPr>
            <w:tcW w:w="1372" w:type="dxa"/>
          </w:tcPr>
          <w:p w:rsidR="0061380E" w:rsidRPr="007C51D6" w:rsidRDefault="0061380E" w:rsidP="0061380E">
            <w:pPr>
              <w:autoSpaceDE/>
              <w:autoSpaceDN/>
              <w:adjustRightInd/>
              <w:jc w:val="center"/>
              <w:rPr>
                <w:rFonts w:eastAsia="Arial"/>
                <w:sz w:val="20"/>
                <w:szCs w:val="20"/>
              </w:rPr>
            </w:pPr>
            <w:r w:rsidRPr="007C51D6">
              <w:rPr>
                <w:rFonts w:eastAsia="Arial"/>
                <w:sz w:val="20"/>
                <w:szCs w:val="20"/>
              </w:rPr>
              <w:t>21,4</w:t>
            </w:r>
          </w:p>
        </w:tc>
        <w:tc>
          <w:tcPr>
            <w:tcW w:w="1372" w:type="dxa"/>
          </w:tcPr>
          <w:p w:rsidR="0061380E" w:rsidRPr="007C51D6" w:rsidRDefault="0061380E" w:rsidP="0061380E">
            <w:pPr>
              <w:autoSpaceDE/>
              <w:autoSpaceDN/>
              <w:adjustRightInd/>
              <w:jc w:val="center"/>
              <w:rPr>
                <w:rFonts w:eastAsia="Arial"/>
                <w:sz w:val="20"/>
                <w:szCs w:val="20"/>
              </w:rPr>
            </w:pPr>
            <w:r w:rsidRPr="007C51D6">
              <w:rPr>
                <w:rFonts w:eastAsia="Arial"/>
                <w:sz w:val="20"/>
                <w:szCs w:val="20"/>
              </w:rPr>
              <w:t>19,2</w:t>
            </w:r>
          </w:p>
        </w:tc>
        <w:tc>
          <w:tcPr>
            <w:tcW w:w="1372" w:type="dxa"/>
          </w:tcPr>
          <w:p w:rsidR="0061380E" w:rsidRPr="007C51D6" w:rsidRDefault="0061380E" w:rsidP="0061380E">
            <w:pPr>
              <w:autoSpaceDE/>
              <w:autoSpaceDN/>
              <w:adjustRightInd/>
              <w:jc w:val="center"/>
              <w:rPr>
                <w:rFonts w:eastAsia="Arial"/>
                <w:sz w:val="20"/>
                <w:szCs w:val="20"/>
              </w:rPr>
            </w:pPr>
            <w:r w:rsidRPr="007C51D6">
              <w:rPr>
                <w:rFonts w:eastAsia="Arial"/>
                <w:sz w:val="20"/>
                <w:szCs w:val="20"/>
              </w:rPr>
              <w:t>19,2</w:t>
            </w:r>
          </w:p>
        </w:tc>
        <w:tc>
          <w:tcPr>
            <w:tcW w:w="1372" w:type="dxa"/>
          </w:tcPr>
          <w:p w:rsidR="0061380E" w:rsidRPr="007C51D6" w:rsidRDefault="0061380E" w:rsidP="0061380E">
            <w:pPr>
              <w:autoSpaceDE/>
              <w:autoSpaceDN/>
              <w:adjustRightInd/>
              <w:jc w:val="center"/>
              <w:rPr>
                <w:rFonts w:eastAsia="Arial"/>
                <w:sz w:val="20"/>
                <w:szCs w:val="20"/>
              </w:rPr>
            </w:pPr>
            <w:r w:rsidRPr="007C51D6">
              <w:rPr>
                <w:rFonts w:eastAsia="Arial"/>
                <w:sz w:val="20"/>
                <w:szCs w:val="20"/>
              </w:rPr>
              <w:t>19,0</w:t>
            </w:r>
          </w:p>
        </w:tc>
        <w:tc>
          <w:tcPr>
            <w:tcW w:w="1304" w:type="dxa"/>
          </w:tcPr>
          <w:p w:rsidR="0061380E" w:rsidRPr="007C51D6" w:rsidRDefault="0061380E" w:rsidP="0061380E">
            <w:pPr>
              <w:autoSpaceDE/>
              <w:autoSpaceDN/>
              <w:adjustRightInd/>
              <w:jc w:val="center"/>
              <w:rPr>
                <w:rFonts w:eastAsia="Arial"/>
                <w:sz w:val="20"/>
                <w:szCs w:val="20"/>
              </w:rPr>
            </w:pPr>
            <w:r w:rsidRPr="007C51D6">
              <w:rPr>
                <w:rFonts w:eastAsia="Arial"/>
                <w:sz w:val="20"/>
                <w:szCs w:val="20"/>
              </w:rPr>
              <w:t>18,0</w:t>
            </w:r>
          </w:p>
        </w:tc>
        <w:tc>
          <w:tcPr>
            <w:tcW w:w="1304" w:type="dxa"/>
            <w:vAlign w:val="center"/>
          </w:tcPr>
          <w:p w:rsidR="0061380E" w:rsidRPr="007C51D6" w:rsidRDefault="0061380E" w:rsidP="0061380E">
            <w:pPr>
              <w:jc w:val="center"/>
              <w:rPr>
                <w:color w:val="000000"/>
                <w:sz w:val="20"/>
                <w:szCs w:val="20"/>
              </w:rPr>
            </w:pPr>
            <w:r w:rsidRPr="007C51D6">
              <w:rPr>
                <w:color w:val="000000"/>
                <w:sz w:val="20"/>
                <w:szCs w:val="20"/>
              </w:rPr>
              <w:t>18.0</w:t>
            </w:r>
          </w:p>
        </w:tc>
      </w:tr>
      <w:tr w:rsidR="0061380E" w:rsidRPr="007C51D6" w:rsidTr="0038114E">
        <w:tblPrEx>
          <w:tblBorders>
            <w:bottom w:val="single" w:sz="4" w:space="0" w:color="auto"/>
          </w:tblBorders>
          <w:tblCellMar>
            <w:top w:w="17" w:type="dxa"/>
            <w:bottom w:w="17" w:type="dxa"/>
          </w:tblCellMar>
        </w:tblPrEx>
        <w:tc>
          <w:tcPr>
            <w:tcW w:w="1838" w:type="dxa"/>
          </w:tcPr>
          <w:p w:rsidR="0061380E" w:rsidRPr="007C51D6" w:rsidRDefault="0061380E" w:rsidP="0061380E">
            <w:pPr>
              <w:autoSpaceDE/>
              <w:autoSpaceDN/>
              <w:adjustRightInd/>
              <w:jc w:val="both"/>
              <w:rPr>
                <w:rFonts w:eastAsia="Arial"/>
                <w:sz w:val="20"/>
                <w:szCs w:val="20"/>
              </w:rPr>
            </w:pPr>
            <w:r w:rsidRPr="007C51D6">
              <w:rPr>
                <w:rFonts w:eastAsia="Arial"/>
                <w:sz w:val="20"/>
                <w:szCs w:val="20"/>
              </w:rPr>
              <w:t>Без стадии</w:t>
            </w:r>
          </w:p>
        </w:tc>
        <w:tc>
          <w:tcPr>
            <w:tcW w:w="1182" w:type="dxa"/>
          </w:tcPr>
          <w:p w:rsidR="0061380E" w:rsidRPr="007C51D6" w:rsidRDefault="0061380E" w:rsidP="0061380E">
            <w:pPr>
              <w:autoSpaceDE/>
              <w:autoSpaceDN/>
              <w:adjustRightInd/>
              <w:jc w:val="center"/>
              <w:rPr>
                <w:rFonts w:eastAsia="Arial"/>
                <w:sz w:val="20"/>
                <w:szCs w:val="20"/>
              </w:rPr>
            </w:pPr>
            <w:r w:rsidRPr="007C51D6">
              <w:rPr>
                <w:rFonts w:eastAsia="Arial"/>
                <w:sz w:val="20"/>
                <w:szCs w:val="20"/>
              </w:rPr>
              <w:t>2,2</w:t>
            </w:r>
          </w:p>
        </w:tc>
        <w:tc>
          <w:tcPr>
            <w:tcW w:w="1372" w:type="dxa"/>
          </w:tcPr>
          <w:p w:rsidR="0061380E" w:rsidRPr="007C51D6" w:rsidRDefault="0061380E" w:rsidP="0061380E">
            <w:pPr>
              <w:autoSpaceDE/>
              <w:autoSpaceDN/>
              <w:adjustRightInd/>
              <w:jc w:val="center"/>
              <w:rPr>
                <w:rFonts w:eastAsia="Arial"/>
                <w:sz w:val="20"/>
                <w:szCs w:val="20"/>
              </w:rPr>
            </w:pPr>
            <w:r w:rsidRPr="007C51D6">
              <w:rPr>
                <w:rFonts w:eastAsia="Arial"/>
                <w:sz w:val="20"/>
                <w:szCs w:val="20"/>
              </w:rPr>
              <w:t>1,7</w:t>
            </w:r>
          </w:p>
        </w:tc>
        <w:tc>
          <w:tcPr>
            <w:tcW w:w="1179" w:type="dxa"/>
          </w:tcPr>
          <w:p w:rsidR="0061380E" w:rsidRPr="007C51D6" w:rsidRDefault="0061380E" w:rsidP="0061380E">
            <w:pPr>
              <w:autoSpaceDE/>
              <w:autoSpaceDN/>
              <w:adjustRightInd/>
              <w:jc w:val="center"/>
              <w:rPr>
                <w:rFonts w:eastAsia="Arial"/>
                <w:sz w:val="20"/>
                <w:szCs w:val="20"/>
              </w:rPr>
            </w:pPr>
            <w:r w:rsidRPr="007C51D6">
              <w:rPr>
                <w:rFonts w:eastAsia="Arial"/>
                <w:sz w:val="20"/>
                <w:szCs w:val="20"/>
              </w:rPr>
              <w:t>1,2</w:t>
            </w:r>
          </w:p>
        </w:tc>
        <w:tc>
          <w:tcPr>
            <w:tcW w:w="1372" w:type="dxa"/>
          </w:tcPr>
          <w:p w:rsidR="0061380E" w:rsidRPr="007C51D6" w:rsidRDefault="0061380E" w:rsidP="0061380E">
            <w:pPr>
              <w:autoSpaceDE/>
              <w:autoSpaceDN/>
              <w:adjustRightInd/>
              <w:jc w:val="center"/>
              <w:rPr>
                <w:rFonts w:eastAsia="Arial"/>
                <w:sz w:val="20"/>
                <w:szCs w:val="20"/>
              </w:rPr>
            </w:pPr>
            <w:r w:rsidRPr="007C51D6">
              <w:rPr>
                <w:rFonts w:eastAsia="Arial"/>
                <w:sz w:val="20"/>
                <w:szCs w:val="20"/>
              </w:rPr>
              <w:t>3,3</w:t>
            </w:r>
          </w:p>
        </w:tc>
        <w:tc>
          <w:tcPr>
            <w:tcW w:w="1372" w:type="dxa"/>
          </w:tcPr>
          <w:p w:rsidR="0061380E" w:rsidRPr="007C51D6" w:rsidRDefault="0061380E" w:rsidP="0061380E">
            <w:pPr>
              <w:autoSpaceDE/>
              <w:autoSpaceDN/>
              <w:adjustRightInd/>
              <w:jc w:val="center"/>
              <w:rPr>
                <w:rFonts w:eastAsia="Arial"/>
                <w:sz w:val="20"/>
                <w:szCs w:val="20"/>
              </w:rPr>
            </w:pPr>
            <w:r w:rsidRPr="007C51D6">
              <w:rPr>
                <w:rFonts w:eastAsia="Arial"/>
                <w:sz w:val="20"/>
                <w:szCs w:val="20"/>
              </w:rPr>
              <w:t>2,7</w:t>
            </w:r>
          </w:p>
        </w:tc>
        <w:tc>
          <w:tcPr>
            <w:tcW w:w="1372" w:type="dxa"/>
          </w:tcPr>
          <w:p w:rsidR="0061380E" w:rsidRPr="007C51D6" w:rsidRDefault="0061380E" w:rsidP="0061380E">
            <w:pPr>
              <w:autoSpaceDE/>
              <w:autoSpaceDN/>
              <w:adjustRightInd/>
              <w:jc w:val="center"/>
              <w:rPr>
                <w:rFonts w:eastAsia="Arial"/>
                <w:sz w:val="20"/>
                <w:szCs w:val="20"/>
              </w:rPr>
            </w:pPr>
            <w:r w:rsidRPr="007C51D6">
              <w:rPr>
                <w:rFonts w:eastAsia="Arial"/>
                <w:sz w:val="20"/>
                <w:szCs w:val="20"/>
              </w:rPr>
              <w:t>2,4</w:t>
            </w:r>
          </w:p>
        </w:tc>
        <w:tc>
          <w:tcPr>
            <w:tcW w:w="1372" w:type="dxa"/>
          </w:tcPr>
          <w:p w:rsidR="0061380E" w:rsidRPr="007C51D6" w:rsidRDefault="0061380E" w:rsidP="0061380E">
            <w:pPr>
              <w:autoSpaceDE/>
              <w:autoSpaceDN/>
              <w:adjustRightInd/>
              <w:jc w:val="center"/>
              <w:rPr>
                <w:rFonts w:eastAsia="Arial"/>
                <w:sz w:val="20"/>
                <w:szCs w:val="20"/>
              </w:rPr>
            </w:pPr>
            <w:r w:rsidRPr="007C51D6">
              <w:rPr>
                <w:rFonts w:eastAsia="Arial"/>
                <w:sz w:val="20"/>
                <w:szCs w:val="20"/>
              </w:rPr>
              <w:t>1,8</w:t>
            </w:r>
          </w:p>
        </w:tc>
        <w:tc>
          <w:tcPr>
            <w:tcW w:w="1372" w:type="dxa"/>
          </w:tcPr>
          <w:p w:rsidR="0061380E" w:rsidRPr="007C51D6" w:rsidRDefault="0061380E" w:rsidP="0061380E">
            <w:pPr>
              <w:autoSpaceDE/>
              <w:autoSpaceDN/>
              <w:adjustRightInd/>
              <w:jc w:val="center"/>
              <w:rPr>
                <w:rFonts w:eastAsia="Arial"/>
                <w:sz w:val="20"/>
                <w:szCs w:val="20"/>
              </w:rPr>
            </w:pPr>
            <w:r w:rsidRPr="007C51D6">
              <w:rPr>
                <w:rFonts w:eastAsia="Arial"/>
                <w:sz w:val="20"/>
                <w:szCs w:val="20"/>
              </w:rPr>
              <w:t>2,0</w:t>
            </w:r>
          </w:p>
        </w:tc>
        <w:tc>
          <w:tcPr>
            <w:tcW w:w="1304" w:type="dxa"/>
          </w:tcPr>
          <w:p w:rsidR="0061380E" w:rsidRPr="007C51D6" w:rsidRDefault="0061380E" w:rsidP="0061380E">
            <w:pPr>
              <w:autoSpaceDE/>
              <w:autoSpaceDN/>
              <w:adjustRightInd/>
              <w:jc w:val="center"/>
              <w:rPr>
                <w:rFonts w:eastAsia="Arial"/>
                <w:sz w:val="20"/>
                <w:szCs w:val="20"/>
              </w:rPr>
            </w:pPr>
            <w:r w:rsidRPr="007C51D6">
              <w:rPr>
                <w:rFonts w:eastAsia="Arial"/>
                <w:sz w:val="20"/>
                <w:szCs w:val="20"/>
              </w:rPr>
              <w:t>0,2</w:t>
            </w:r>
          </w:p>
        </w:tc>
        <w:tc>
          <w:tcPr>
            <w:tcW w:w="1304" w:type="dxa"/>
            <w:vAlign w:val="center"/>
          </w:tcPr>
          <w:p w:rsidR="0061380E" w:rsidRPr="007C51D6" w:rsidRDefault="0061380E" w:rsidP="0061380E">
            <w:pPr>
              <w:jc w:val="center"/>
              <w:rPr>
                <w:color w:val="000000"/>
                <w:sz w:val="20"/>
                <w:szCs w:val="20"/>
              </w:rPr>
            </w:pPr>
            <w:r w:rsidRPr="007C51D6">
              <w:rPr>
                <w:color w:val="000000"/>
                <w:sz w:val="20"/>
                <w:szCs w:val="20"/>
              </w:rPr>
              <w:t>2.4</w:t>
            </w:r>
          </w:p>
        </w:tc>
      </w:tr>
    </w:tbl>
    <w:p w:rsidR="005267C6" w:rsidRPr="007C51D6" w:rsidRDefault="005267C6">
      <w:pPr>
        <w:rPr>
          <w:sz w:val="2"/>
          <w:szCs w:val="2"/>
        </w:rPr>
      </w:pPr>
    </w:p>
    <w:p w:rsidR="009A4538" w:rsidRPr="007C51D6" w:rsidRDefault="009A4538" w:rsidP="009A4538">
      <w:pPr>
        <w:autoSpaceDE/>
        <w:autoSpaceDN/>
        <w:adjustRightInd/>
        <w:rPr>
          <w:rFonts w:eastAsia="Arial"/>
          <w:sz w:val="20"/>
          <w:szCs w:val="20"/>
        </w:rPr>
      </w:pPr>
    </w:p>
    <w:p w:rsidR="00651FC4" w:rsidRPr="007C51D6" w:rsidRDefault="009A4538" w:rsidP="00CA5B2D">
      <w:pPr>
        <w:autoSpaceDE/>
        <w:autoSpaceDN/>
        <w:adjustRightInd/>
        <w:ind w:firstLine="709"/>
        <w:rPr>
          <w:rFonts w:eastAsia="Arial"/>
          <w:sz w:val="28"/>
          <w:szCs w:val="28"/>
        </w:rPr>
      </w:pPr>
      <w:r w:rsidRPr="007C51D6">
        <w:rPr>
          <w:rFonts w:eastAsia="Arial"/>
          <w:sz w:val="20"/>
          <w:szCs w:val="20"/>
        </w:rPr>
        <w:t>*</w:t>
      </w:r>
      <w:r w:rsidR="00651FC4" w:rsidRPr="007C51D6">
        <w:rPr>
          <w:rFonts w:eastAsia="Arial"/>
          <w:sz w:val="20"/>
          <w:szCs w:val="20"/>
        </w:rPr>
        <w:t>Представлены оперативные данные</w:t>
      </w:r>
      <w:r w:rsidR="001F1DAA" w:rsidRPr="007C51D6">
        <w:rPr>
          <w:rFonts w:eastAsia="Arial"/>
          <w:sz w:val="20"/>
          <w:szCs w:val="20"/>
        </w:rPr>
        <w:t>.</w:t>
      </w:r>
    </w:p>
    <w:p w:rsidR="0035598F" w:rsidRPr="007C51D6" w:rsidRDefault="0035598F" w:rsidP="00D3490B">
      <w:pPr>
        <w:autoSpaceDE/>
        <w:autoSpaceDN/>
        <w:adjustRightInd/>
        <w:spacing w:line="233" w:lineRule="auto"/>
        <w:rPr>
          <w:rFonts w:eastAsia="Arial"/>
          <w:sz w:val="28"/>
          <w:szCs w:val="28"/>
        </w:rPr>
      </w:pPr>
    </w:p>
    <w:p w:rsidR="005076FD" w:rsidRPr="007C51D6" w:rsidRDefault="005076FD" w:rsidP="00D3490B">
      <w:pPr>
        <w:autoSpaceDE/>
        <w:autoSpaceDN/>
        <w:adjustRightInd/>
        <w:spacing w:line="233" w:lineRule="auto"/>
        <w:ind w:firstLine="709"/>
        <w:jc w:val="both"/>
        <w:rPr>
          <w:rFonts w:eastAsia="Arial"/>
          <w:spacing w:val="4"/>
          <w:sz w:val="28"/>
          <w:szCs w:val="28"/>
        </w:rPr>
      </w:pPr>
      <w:r w:rsidRPr="007C51D6">
        <w:rPr>
          <w:rFonts w:eastAsia="Arial"/>
          <w:sz w:val="28"/>
          <w:szCs w:val="28"/>
        </w:rPr>
        <w:t xml:space="preserve">За </w:t>
      </w:r>
      <w:r w:rsidR="000B47B4" w:rsidRPr="007C51D6">
        <w:rPr>
          <w:rFonts w:eastAsia="Arial"/>
          <w:sz w:val="28"/>
          <w:szCs w:val="28"/>
        </w:rPr>
        <w:t>10-</w:t>
      </w:r>
      <w:r w:rsidRPr="007C51D6">
        <w:rPr>
          <w:rFonts w:eastAsia="Arial"/>
          <w:sz w:val="28"/>
          <w:szCs w:val="28"/>
        </w:rPr>
        <w:t>летний период (201</w:t>
      </w:r>
      <w:r w:rsidR="0061380E" w:rsidRPr="007C51D6">
        <w:rPr>
          <w:rFonts w:eastAsia="Arial"/>
          <w:sz w:val="28"/>
          <w:szCs w:val="28"/>
        </w:rPr>
        <w:t>6</w:t>
      </w:r>
      <w:r w:rsidRPr="007C51D6">
        <w:rPr>
          <w:rFonts w:eastAsia="Arial"/>
          <w:sz w:val="28"/>
          <w:szCs w:val="28"/>
        </w:rPr>
        <w:t xml:space="preserve"> – 202</w:t>
      </w:r>
      <w:r w:rsidR="0061380E" w:rsidRPr="007C51D6">
        <w:rPr>
          <w:rFonts w:eastAsia="Arial"/>
          <w:sz w:val="28"/>
          <w:szCs w:val="28"/>
        </w:rPr>
        <w:t>5</w:t>
      </w:r>
      <w:r w:rsidRPr="007C51D6">
        <w:rPr>
          <w:rFonts w:eastAsia="Arial"/>
          <w:sz w:val="28"/>
          <w:szCs w:val="28"/>
        </w:rPr>
        <w:t xml:space="preserve"> годы) среди всех впервые выявленных случаев ЗНО темп прироста показателя доли</w:t>
      </w:r>
      <w:r w:rsidR="00D11AEE" w:rsidRPr="007C51D6">
        <w:rPr>
          <w:rFonts w:eastAsia="Arial"/>
          <w:sz w:val="28"/>
          <w:szCs w:val="28"/>
        </w:rPr>
        <w:br/>
      </w:r>
      <w:r w:rsidRPr="007C51D6">
        <w:rPr>
          <w:rFonts w:eastAsia="Arial"/>
          <w:sz w:val="28"/>
          <w:szCs w:val="28"/>
        </w:rPr>
        <w:t xml:space="preserve"> </w:t>
      </w:r>
      <w:r w:rsidRPr="007C51D6">
        <w:rPr>
          <w:rFonts w:eastAsia="Arial"/>
          <w:sz w:val="28"/>
          <w:szCs w:val="28"/>
          <w:lang w:val="en-US"/>
        </w:rPr>
        <w:t>I</w:t>
      </w:r>
      <w:r w:rsidRPr="007C51D6">
        <w:rPr>
          <w:rFonts w:eastAsia="Arial"/>
          <w:sz w:val="28"/>
          <w:szCs w:val="28"/>
        </w:rPr>
        <w:t xml:space="preserve"> стадии ЗНО составил </w:t>
      </w:r>
      <w:r w:rsidR="00EB4B2C" w:rsidRPr="007C51D6">
        <w:rPr>
          <w:rFonts w:eastAsia="Arial"/>
          <w:sz w:val="28"/>
          <w:szCs w:val="28"/>
        </w:rPr>
        <w:t>31</w:t>
      </w:r>
      <w:r w:rsidRPr="007C51D6">
        <w:rPr>
          <w:rFonts w:eastAsia="Arial"/>
          <w:sz w:val="28"/>
          <w:szCs w:val="28"/>
        </w:rPr>
        <w:t>,5 процента (</w:t>
      </w:r>
      <w:r w:rsidR="0061380E" w:rsidRPr="007C51D6">
        <w:rPr>
          <w:rFonts w:eastAsia="Arial"/>
          <w:sz w:val="28"/>
          <w:szCs w:val="28"/>
        </w:rPr>
        <w:t xml:space="preserve">в 2025 году – </w:t>
      </w:r>
      <w:r w:rsidR="00EB4B2C" w:rsidRPr="007C51D6">
        <w:rPr>
          <w:rFonts w:eastAsia="Arial"/>
          <w:sz w:val="28"/>
          <w:szCs w:val="28"/>
        </w:rPr>
        <w:t>38</w:t>
      </w:r>
      <w:r w:rsidR="0061380E" w:rsidRPr="007C51D6">
        <w:rPr>
          <w:rFonts w:eastAsia="Arial"/>
          <w:sz w:val="28"/>
          <w:szCs w:val="28"/>
        </w:rPr>
        <w:t xml:space="preserve">,8 процента </w:t>
      </w:r>
      <w:r w:rsidRPr="007C51D6">
        <w:rPr>
          <w:rFonts w:eastAsia="Arial"/>
          <w:sz w:val="28"/>
          <w:szCs w:val="28"/>
        </w:rPr>
        <w:t>в 20</w:t>
      </w:r>
      <w:r w:rsidR="00EB4B2C" w:rsidRPr="007C51D6">
        <w:rPr>
          <w:rFonts w:eastAsia="Arial"/>
          <w:sz w:val="28"/>
          <w:szCs w:val="28"/>
        </w:rPr>
        <w:t>16</w:t>
      </w:r>
      <w:r w:rsidRPr="007C51D6">
        <w:rPr>
          <w:rFonts w:eastAsia="Arial"/>
          <w:sz w:val="28"/>
          <w:szCs w:val="28"/>
        </w:rPr>
        <w:t xml:space="preserve"> году – </w:t>
      </w:r>
      <w:r w:rsidR="00EB4B2C" w:rsidRPr="007C51D6">
        <w:rPr>
          <w:rFonts w:eastAsia="Arial"/>
          <w:sz w:val="28"/>
          <w:szCs w:val="28"/>
        </w:rPr>
        <w:t>29</w:t>
      </w:r>
      <w:r w:rsidRPr="007C51D6">
        <w:rPr>
          <w:rFonts w:eastAsia="Arial"/>
          <w:sz w:val="28"/>
          <w:szCs w:val="28"/>
        </w:rPr>
        <w:t>,</w:t>
      </w:r>
      <w:r w:rsidR="00EB4B2C" w:rsidRPr="007C51D6">
        <w:rPr>
          <w:rFonts w:eastAsia="Arial"/>
          <w:sz w:val="28"/>
          <w:szCs w:val="28"/>
        </w:rPr>
        <w:t>5</w:t>
      </w:r>
      <w:r w:rsidRPr="007C51D6">
        <w:rPr>
          <w:rFonts w:eastAsia="Arial"/>
          <w:sz w:val="28"/>
          <w:szCs w:val="28"/>
        </w:rPr>
        <w:t xml:space="preserve"> процента), темп прироста показателя доли </w:t>
      </w:r>
      <w:r w:rsidRPr="007C51D6">
        <w:rPr>
          <w:rFonts w:eastAsia="Arial"/>
          <w:sz w:val="28"/>
          <w:szCs w:val="28"/>
          <w:lang w:val="en-US"/>
        </w:rPr>
        <w:t>I</w:t>
      </w:r>
      <w:r w:rsidRPr="007C51D6">
        <w:rPr>
          <w:rFonts w:eastAsia="Arial"/>
          <w:sz w:val="28"/>
          <w:szCs w:val="28"/>
        </w:rPr>
        <w:t xml:space="preserve"> стадии без учета случаев рака кожи – </w:t>
      </w:r>
      <w:r w:rsidR="00EB4B2C" w:rsidRPr="007C51D6">
        <w:rPr>
          <w:rFonts w:eastAsia="Arial"/>
          <w:sz w:val="28"/>
          <w:szCs w:val="28"/>
        </w:rPr>
        <w:t>22</w:t>
      </w:r>
      <w:r w:rsidRPr="007C51D6">
        <w:rPr>
          <w:rFonts w:eastAsia="Arial"/>
          <w:sz w:val="28"/>
          <w:szCs w:val="28"/>
        </w:rPr>
        <w:t>,</w:t>
      </w:r>
      <w:r w:rsidR="00EB4B2C" w:rsidRPr="007C51D6">
        <w:rPr>
          <w:rFonts w:eastAsia="Arial"/>
          <w:sz w:val="28"/>
          <w:szCs w:val="28"/>
        </w:rPr>
        <w:t>4</w:t>
      </w:r>
      <w:r w:rsidRPr="007C51D6">
        <w:rPr>
          <w:rFonts w:eastAsia="Arial"/>
          <w:sz w:val="28"/>
          <w:szCs w:val="28"/>
        </w:rPr>
        <w:t xml:space="preserve"> процента (в 202</w:t>
      </w:r>
      <w:r w:rsidR="00EB4B2C" w:rsidRPr="007C51D6">
        <w:rPr>
          <w:rFonts w:eastAsia="Arial"/>
          <w:sz w:val="28"/>
          <w:szCs w:val="28"/>
        </w:rPr>
        <w:t>5</w:t>
      </w:r>
      <w:r w:rsidRPr="007C51D6">
        <w:rPr>
          <w:rFonts w:eastAsia="Arial"/>
          <w:sz w:val="28"/>
          <w:szCs w:val="28"/>
        </w:rPr>
        <w:t xml:space="preserve"> году – </w:t>
      </w:r>
      <w:r w:rsidR="00EB4B2C" w:rsidRPr="007C51D6">
        <w:rPr>
          <w:rFonts w:eastAsia="Arial"/>
          <w:sz w:val="28"/>
          <w:szCs w:val="28"/>
        </w:rPr>
        <w:t>27</w:t>
      </w:r>
      <w:r w:rsidRPr="007C51D6">
        <w:rPr>
          <w:rFonts w:eastAsia="Arial"/>
          <w:sz w:val="28"/>
          <w:szCs w:val="28"/>
        </w:rPr>
        <w:t>,</w:t>
      </w:r>
      <w:r w:rsidR="00EB4B2C" w:rsidRPr="007C51D6">
        <w:rPr>
          <w:rFonts w:eastAsia="Arial"/>
          <w:sz w:val="28"/>
          <w:szCs w:val="28"/>
        </w:rPr>
        <w:t>9</w:t>
      </w:r>
      <w:r w:rsidRPr="007C51D6">
        <w:rPr>
          <w:rFonts w:eastAsia="Arial"/>
          <w:sz w:val="28"/>
          <w:szCs w:val="28"/>
        </w:rPr>
        <w:t xml:space="preserve"> процента, в 201</w:t>
      </w:r>
      <w:r w:rsidR="00EB4B2C" w:rsidRPr="007C51D6">
        <w:rPr>
          <w:rFonts w:eastAsia="Arial"/>
          <w:sz w:val="28"/>
          <w:szCs w:val="28"/>
        </w:rPr>
        <w:t>6</w:t>
      </w:r>
      <w:r w:rsidRPr="007C51D6">
        <w:rPr>
          <w:rFonts w:eastAsia="Arial"/>
          <w:sz w:val="28"/>
          <w:szCs w:val="28"/>
        </w:rPr>
        <w:t xml:space="preserve"> году – 2</w:t>
      </w:r>
      <w:r w:rsidR="00EB4B2C" w:rsidRPr="007C51D6">
        <w:rPr>
          <w:rFonts w:eastAsia="Arial"/>
          <w:sz w:val="28"/>
          <w:szCs w:val="28"/>
        </w:rPr>
        <w:t>2</w:t>
      </w:r>
      <w:r w:rsidRPr="007C51D6">
        <w:rPr>
          <w:rFonts w:eastAsia="Arial"/>
          <w:sz w:val="28"/>
          <w:szCs w:val="28"/>
        </w:rPr>
        <w:t>,</w:t>
      </w:r>
      <w:r w:rsidR="00EB4B2C" w:rsidRPr="007C51D6">
        <w:rPr>
          <w:rFonts w:eastAsia="Arial"/>
          <w:sz w:val="28"/>
          <w:szCs w:val="28"/>
        </w:rPr>
        <w:t>8</w:t>
      </w:r>
      <w:r w:rsidRPr="007C51D6">
        <w:rPr>
          <w:rFonts w:eastAsia="Arial"/>
          <w:sz w:val="28"/>
          <w:szCs w:val="28"/>
        </w:rPr>
        <w:t xml:space="preserve"> процента). </w:t>
      </w:r>
    </w:p>
    <w:p w:rsidR="00B52BB0" w:rsidRPr="007C51D6" w:rsidRDefault="00B52BB0" w:rsidP="00B52BB0">
      <w:pPr>
        <w:autoSpaceDE/>
        <w:autoSpaceDN/>
        <w:adjustRightInd/>
        <w:spacing w:line="233" w:lineRule="auto"/>
        <w:ind w:firstLine="709"/>
        <w:jc w:val="both"/>
        <w:rPr>
          <w:rFonts w:eastAsia="Arial"/>
          <w:sz w:val="28"/>
          <w:szCs w:val="28"/>
        </w:rPr>
      </w:pPr>
      <w:r w:rsidRPr="007C51D6">
        <w:rPr>
          <w:rFonts w:eastAsia="Arial"/>
          <w:sz w:val="28"/>
          <w:szCs w:val="28"/>
        </w:rPr>
        <w:t>Одновременно среди всех впервые выявленных случаев ЗНО регистрируется снижение показателя доли</w:t>
      </w:r>
      <w:r w:rsidRPr="007C51D6">
        <w:rPr>
          <w:rFonts w:eastAsia="Arial"/>
          <w:sz w:val="28"/>
          <w:szCs w:val="28"/>
        </w:rPr>
        <w:br/>
        <w:t xml:space="preserve"> </w:t>
      </w:r>
      <w:r w:rsidRPr="007C51D6">
        <w:rPr>
          <w:rFonts w:eastAsia="Arial"/>
          <w:sz w:val="28"/>
          <w:szCs w:val="28"/>
          <w:lang w:val="en-US"/>
        </w:rPr>
        <w:t>II</w:t>
      </w:r>
      <w:r w:rsidRPr="007C51D6">
        <w:rPr>
          <w:rFonts w:eastAsia="Arial"/>
          <w:sz w:val="28"/>
          <w:szCs w:val="28"/>
        </w:rPr>
        <w:t xml:space="preserve"> стадии ЗНО (в 2025 году – 26,0 процента, в 2016 году – 26,9 процента), в том числе доли </w:t>
      </w:r>
      <w:r w:rsidRPr="007C51D6">
        <w:rPr>
          <w:rFonts w:eastAsia="Arial"/>
          <w:sz w:val="28"/>
          <w:szCs w:val="28"/>
          <w:lang w:val="en-US"/>
        </w:rPr>
        <w:t>II</w:t>
      </w:r>
      <w:r w:rsidRPr="007C51D6">
        <w:rPr>
          <w:rFonts w:eastAsia="Arial"/>
          <w:sz w:val="28"/>
          <w:szCs w:val="28"/>
        </w:rPr>
        <w:t xml:space="preserve"> стадии без учета случаев рака кожи (в 2025 году – 24,3 процента, в 2016 году – 28,1 процента), а также </w:t>
      </w:r>
      <w:r w:rsidRPr="007C51D6">
        <w:rPr>
          <w:rFonts w:eastAsia="Arial"/>
          <w:sz w:val="28"/>
          <w:szCs w:val="28"/>
          <w:lang w:val="en-US"/>
        </w:rPr>
        <w:t>III</w:t>
      </w:r>
      <w:r w:rsidRPr="007C51D6">
        <w:rPr>
          <w:rFonts w:eastAsia="Arial"/>
          <w:sz w:val="28"/>
          <w:szCs w:val="28"/>
        </w:rPr>
        <w:t xml:space="preserve"> стадии ЗНО (в 2025 году – 14,8 процента, в 2016 году – 18,9 процента) и </w:t>
      </w:r>
      <w:r w:rsidRPr="007C51D6">
        <w:rPr>
          <w:rFonts w:eastAsia="Arial"/>
          <w:sz w:val="28"/>
          <w:szCs w:val="28"/>
          <w:lang w:val="en-US"/>
        </w:rPr>
        <w:t>IV</w:t>
      </w:r>
      <w:r w:rsidRPr="007C51D6">
        <w:rPr>
          <w:rFonts w:eastAsia="Arial"/>
          <w:sz w:val="28"/>
          <w:szCs w:val="28"/>
        </w:rPr>
        <w:t xml:space="preserve"> стадии ЗНО (в 2025 году – 18,0 процента, в 2016 году – 22,5 процента) (таблица 4).</w:t>
      </w:r>
    </w:p>
    <w:p w:rsidR="009A4538" w:rsidRPr="007C51D6" w:rsidRDefault="009A4538" w:rsidP="00D3490B">
      <w:pPr>
        <w:autoSpaceDE/>
        <w:autoSpaceDN/>
        <w:adjustRightInd/>
        <w:spacing w:line="233" w:lineRule="auto"/>
        <w:ind w:firstLine="709"/>
        <w:jc w:val="both"/>
        <w:rPr>
          <w:rFonts w:eastAsia="Arial"/>
          <w:spacing w:val="4"/>
          <w:sz w:val="28"/>
          <w:szCs w:val="28"/>
        </w:rPr>
      </w:pPr>
    </w:p>
    <w:p w:rsidR="005939DB" w:rsidRDefault="005939DB" w:rsidP="00D3490B">
      <w:pPr>
        <w:autoSpaceDE/>
        <w:autoSpaceDN/>
        <w:adjustRightInd/>
        <w:spacing w:line="233" w:lineRule="auto"/>
        <w:ind w:left="11346" w:firstLine="709"/>
        <w:jc w:val="right"/>
        <w:rPr>
          <w:rFonts w:eastAsia="Arial"/>
          <w:sz w:val="28"/>
          <w:szCs w:val="28"/>
        </w:rPr>
      </w:pPr>
      <w:r w:rsidRPr="007C51D6">
        <w:rPr>
          <w:rFonts w:eastAsia="Arial"/>
          <w:sz w:val="28"/>
          <w:szCs w:val="28"/>
        </w:rPr>
        <w:t xml:space="preserve">Таблица </w:t>
      </w:r>
      <w:r w:rsidR="00381A83" w:rsidRPr="007C51D6">
        <w:rPr>
          <w:rFonts w:eastAsia="Arial"/>
          <w:sz w:val="28"/>
          <w:szCs w:val="28"/>
        </w:rPr>
        <w:t>4.1</w:t>
      </w:r>
    </w:p>
    <w:p w:rsidR="00871EE7" w:rsidRPr="007C51D6" w:rsidRDefault="00871EE7" w:rsidP="00D3490B">
      <w:pPr>
        <w:autoSpaceDE/>
        <w:autoSpaceDN/>
        <w:adjustRightInd/>
        <w:spacing w:line="233" w:lineRule="auto"/>
        <w:ind w:left="11346" w:firstLine="709"/>
        <w:jc w:val="right"/>
        <w:rPr>
          <w:rFonts w:eastAsia="Arial"/>
          <w:sz w:val="28"/>
          <w:szCs w:val="28"/>
        </w:rPr>
      </w:pPr>
    </w:p>
    <w:p w:rsidR="00A85F2F" w:rsidRPr="007C51D6" w:rsidRDefault="00A85F2F" w:rsidP="00A85F2F">
      <w:pPr>
        <w:autoSpaceDE/>
        <w:autoSpaceDN/>
        <w:adjustRightInd/>
        <w:spacing w:line="233" w:lineRule="auto"/>
        <w:jc w:val="center"/>
        <w:rPr>
          <w:rFonts w:eastAsia="Arial"/>
          <w:sz w:val="28"/>
          <w:szCs w:val="28"/>
        </w:rPr>
      </w:pPr>
      <w:r w:rsidRPr="007C51D6">
        <w:rPr>
          <w:rFonts w:eastAsia="Arial"/>
          <w:sz w:val="28"/>
          <w:szCs w:val="28"/>
        </w:rPr>
        <w:t xml:space="preserve">Динамика структуры впервые выявленных ЗНО основных локализаций </w:t>
      </w:r>
    </w:p>
    <w:p w:rsidR="00A85F2F" w:rsidRPr="007C51D6" w:rsidRDefault="00A85F2F" w:rsidP="00A85F2F">
      <w:pPr>
        <w:autoSpaceDE/>
        <w:autoSpaceDN/>
        <w:adjustRightInd/>
        <w:spacing w:line="233" w:lineRule="auto"/>
        <w:jc w:val="center"/>
        <w:rPr>
          <w:rFonts w:eastAsia="Arial"/>
          <w:sz w:val="28"/>
          <w:szCs w:val="28"/>
        </w:rPr>
      </w:pPr>
      <w:r w:rsidRPr="007C51D6">
        <w:rPr>
          <w:rFonts w:eastAsia="Arial"/>
          <w:sz w:val="28"/>
          <w:szCs w:val="28"/>
        </w:rPr>
        <w:t>(имеющих наибольший удельный вес в структуре заболеваемости всего населения) в Республике Татарстан</w:t>
      </w:r>
    </w:p>
    <w:p w:rsidR="00A85F2F" w:rsidRPr="007C51D6" w:rsidRDefault="00A85F2F" w:rsidP="00A85F2F">
      <w:pPr>
        <w:autoSpaceDE/>
        <w:autoSpaceDN/>
        <w:adjustRightInd/>
        <w:spacing w:line="233" w:lineRule="auto"/>
        <w:jc w:val="center"/>
        <w:rPr>
          <w:rFonts w:eastAsia="Arial"/>
          <w:sz w:val="28"/>
          <w:szCs w:val="28"/>
        </w:rPr>
      </w:pPr>
      <w:r w:rsidRPr="007C51D6">
        <w:rPr>
          <w:rFonts w:eastAsia="Arial"/>
          <w:sz w:val="28"/>
          <w:szCs w:val="28"/>
        </w:rPr>
        <w:t xml:space="preserve">в 2016 – 2025 годах </w:t>
      </w:r>
    </w:p>
    <w:p w:rsidR="00CD6C6D" w:rsidRPr="007C51D6" w:rsidRDefault="00A85F2F" w:rsidP="00A85F2F">
      <w:pPr>
        <w:autoSpaceDE/>
        <w:autoSpaceDN/>
        <w:adjustRightInd/>
        <w:spacing w:line="233" w:lineRule="auto"/>
        <w:jc w:val="right"/>
        <w:rPr>
          <w:rFonts w:eastAsia="Arial"/>
          <w:sz w:val="20"/>
          <w:szCs w:val="20"/>
        </w:rPr>
      </w:pPr>
      <w:r w:rsidRPr="007C51D6">
        <w:rPr>
          <w:rFonts w:eastAsia="Arial"/>
          <w:sz w:val="20"/>
          <w:szCs w:val="20"/>
        </w:rPr>
        <w:t xml:space="preserve"> </w:t>
      </w:r>
      <w:r w:rsidR="000B47B4" w:rsidRPr="007C51D6">
        <w:rPr>
          <w:rFonts w:eastAsia="Arial"/>
          <w:sz w:val="20"/>
          <w:szCs w:val="20"/>
        </w:rPr>
        <w:t>(процентов)</w:t>
      </w:r>
    </w:p>
    <w:tbl>
      <w:tblPr>
        <w:tblStyle w:val="af1"/>
        <w:tblW w:w="15231" w:type="dxa"/>
        <w:tblBorders>
          <w:bottom w:val="none" w:sz="0" w:space="0" w:color="auto"/>
        </w:tblBorders>
        <w:tblLayout w:type="fixed"/>
        <w:tblCellMar>
          <w:top w:w="17" w:type="dxa"/>
          <w:bottom w:w="17" w:type="dxa"/>
        </w:tblCellMar>
        <w:tblLook w:val="04A0" w:firstRow="1" w:lastRow="0" w:firstColumn="1" w:lastColumn="0" w:noHBand="0" w:noVBand="1"/>
      </w:tblPr>
      <w:tblGrid>
        <w:gridCol w:w="1838"/>
        <w:gridCol w:w="1276"/>
        <w:gridCol w:w="1210"/>
        <w:gridCol w:w="1211"/>
        <w:gridCol w:w="1212"/>
        <w:gridCol w:w="1212"/>
        <w:gridCol w:w="1212"/>
        <w:gridCol w:w="1212"/>
        <w:gridCol w:w="1212"/>
        <w:gridCol w:w="1212"/>
        <w:gridCol w:w="1212"/>
        <w:gridCol w:w="1212"/>
      </w:tblGrid>
      <w:tr w:rsidR="00A85F2F" w:rsidRPr="007C51D6" w:rsidTr="00A85F2F">
        <w:trPr>
          <w:trHeight w:val="20"/>
        </w:trPr>
        <w:tc>
          <w:tcPr>
            <w:tcW w:w="1838" w:type="dxa"/>
          </w:tcPr>
          <w:p w:rsidR="00A85F2F" w:rsidRPr="007C51D6" w:rsidRDefault="00A85F2F" w:rsidP="00A85F2F">
            <w:pPr>
              <w:autoSpaceDE/>
              <w:autoSpaceDN/>
              <w:adjustRightInd/>
              <w:jc w:val="center"/>
              <w:rPr>
                <w:rFonts w:eastAsia="Arial"/>
                <w:sz w:val="20"/>
                <w:szCs w:val="20"/>
              </w:rPr>
            </w:pPr>
            <w:r w:rsidRPr="007C51D6">
              <w:rPr>
                <w:color w:val="000000"/>
                <w:sz w:val="20"/>
                <w:szCs w:val="20"/>
              </w:rPr>
              <w:lastRenderedPageBreak/>
              <w:t xml:space="preserve">Локализация </w:t>
            </w:r>
            <w:r w:rsidRPr="007C51D6">
              <w:rPr>
                <w:rFonts w:eastAsia="Arial"/>
                <w:sz w:val="20"/>
                <w:szCs w:val="20"/>
              </w:rPr>
              <w:t>ЗНО</w:t>
            </w:r>
          </w:p>
        </w:tc>
        <w:tc>
          <w:tcPr>
            <w:tcW w:w="1276" w:type="dxa"/>
          </w:tcPr>
          <w:p w:rsidR="00A85F2F" w:rsidRPr="007C51D6" w:rsidRDefault="00A85F2F" w:rsidP="00A85F2F">
            <w:pPr>
              <w:autoSpaceDE/>
              <w:autoSpaceDN/>
              <w:adjustRightInd/>
              <w:jc w:val="center"/>
              <w:rPr>
                <w:rFonts w:eastAsia="Arial"/>
                <w:sz w:val="20"/>
                <w:szCs w:val="20"/>
              </w:rPr>
            </w:pPr>
            <w:r w:rsidRPr="007C51D6">
              <w:rPr>
                <w:rFonts w:eastAsia="Arial"/>
                <w:sz w:val="20"/>
                <w:szCs w:val="20"/>
              </w:rPr>
              <w:t>Стадия</w:t>
            </w:r>
          </w:p>
        </w:tc>
        <w:tc>
          <w:tcPr>
            <w:tcW w:w="1210" w:type="dxa"/>
          </w:tcPr>
          <w:p w:rsidR="00A85F2F" w:rsidRPr="007C51D6" w:rsidRDefault="00A85F2F" w:rsidP="00A85F2F">
            <w:pPr>
              <w:autoSpaceDE/>
              <w:autoSpaceDN/>
              <w:adjustRightInd/>
              <w:jc w:val="center"/>
              <w:rPr>
                <w:color w:val="000000"/>
                <w:sz w:val="20"/>
                <w:szCs w:val="20"/>
              </w:rPr>
            </w:pPr>
            <w:r w:rsidRPr="007C51D6">
              <w:rPr>
                <w:rFonts w:eastAsia="Arial"/>
                <w:sz w:val="20"/>
                <w:szCs w:val="22"/>
              </w:rPr>
              <w:t>2016 г.</w:t>
            </w:r>
          </w:p>
        </w:tc>
        <w:tc>
          <w:tcPr>
            <w:tcW w:w="1211" w:type="dxa"/>
          </w:tcPr>
          <w:p w:rsidR="00A85F2F" w:rsidRPr="007C51D6" w:rsidRDefault="00A85F2F" w:rsidP="00A85F2F">
            <w:pPr>
              <w:autoSpaceDE/>
              <w:autoSpaceDN/>
              <w:adjustRightInd/>
              <w:jc w:val="center"/>
              <w:rPr>
                <w:color w:val="000000"/>
                <w:sz w:val="20"/>
                <w:szCs w:val="20"/>
              </w:rPr>
            </w:pPr>
            <w:r w:rsidRPr="007C51D6">
              <w:rPr>
                <w:rFonts w:eastAsia="Arial"/>
                <w:sz w:val="20"/>
                <w:szCs w:val="22"/>
              </w:rPr>
              <w:t>2017 г.</w:t>
            </w:r>
          </w:p>
        </w:tc>
        <w:tc>
          <w:tcPr>
            <w:tcW w:w="1212" w:type="dxa"/>
          </w:tcPr>
          <w:p w:rsidR="00A85F2F" w:rsidRPr="007C51D6" w:rsidRDefault="00A85F2F" w:rsidP="00A85F2F">
            <w:pPr>
              <w:autoSpaceDE/>
              <w:autoSpaceDN/>
              <w:adjustRightInd/>
              <w:jc w:val="center"/>
              <w:rPr>
                <w:color w:val="000000"/>
                <w:sz w:val="20"/>
                <w:szCs w:val="20"/>
              </w:rPr>
            </w:pPr>
            <w:r w:rsidRPr="007C51D6">
              <w:rPr>
                <w:rFonts w:eastAsia="Arial"/>
                <w:sz w:val="20"/>
                <w:szCs w:val="22"/>
              </w:rPr>
              <w:t>2018 г.</w:t>
            </w:r>
          </w:p>
        </w:tc>
        <w:tc>
          <w:tcPr>
            <w:tcW w:w="1212" w:type="dxa"/>
          </w:tcPr>
          <w:p w:rsidR="00A85F2F" w:rsidRPr="007C51D6" w:rsidRDefault="00A85F2F" w:rsidP="00A85F2F">
            <w:pPr>
              <w:autoSpaceDE/>
              <w:autoSpaceDN/>
              <w:adjustRightInd/>
              <w:jc w:val="center"/>
              <w:rPr>
                <w:color w:val="000000"/>
                <w:sz w:val="20"/>
                <w:szCs w:val="20"/>
              </w:rPr>
            </w:pPr>
            <w:r w:rsidRPr="007C51D6">
              <w:rPr>
                <w:rFonts w:eastAsia="Arial"/>
                <w:sz w:val="20"/>
                <w:szCs w:val="22"/>
              </w:rPr>
              <w:t>2019 г.</w:t>
            </w:r>
          </w:p>
        </w:tc>
        <w:tc>
          <w:tcPr>
            <w:tcW w:w="1212" w:type="dxa"/>
          </w:tcPr>
          <w:p w:rsidR="00A85F2F" w:rsidRPr="007C51D6" w:rsidRDefault="00A85F2F" w:rsidP="00A85F2F">
            <w:pPr>
              <w:autoSpaceDE/>
              <w:autoSpaceDN/>
              <w:adjustRightInd/>
              <w:jc w:val="center"/>
              <w:rPr>
                <w:color w:val="000000"/>
                <w:sz w:val="20"/>
                <w:szCs w:val="20"/>
              </w:rPr>
            </w:pPr>
            <w:r w:rsidRPr="007C51D6">
              <w:rPr>
                <w:rFonts w:eastAsia="Arial"/>
                <w:sz w:val="20"/>
                <w:szCs w:val="22"/>
              </w:rPr>
              <w:t>2020 г.</w:t>
            </w:r>
          </w:p>
        </w:tc>
        <w:tc>
          <w:tcPr>
            <w:tcW w:w="1212" w:type="dxa"/>
          </w:tcPr>
          <w:p w:rsidR="00A85F2F" w:rsidRPr="007C51D6" w:rsidRDefault="00A85F2F" w:rsidP="00A85F2F">
            <w:pPr>
              <w:autoSpaceDE/>
              <w:autoSpaceDN/>
              <w:adjustRightInd/>
              <w:jc w:val="center"/>
              <w:rPr>
                <w:color w:val="000000"/>
                <w:sz w:val="20"/>
                <w:szCs w:val="20"/>
              </w:rPr>
            </w:pPr>
            <w:r w:rsidRPr="007C51D6">
              <w:rPr>
                <w:rFonts w:eastAsia="Arial"/>
                <w:sz w:val="20"/>
                <w:szCs w:val="22"/>
              </w:rPr>
              <w:t>2021 г.</w:t>
            </w:r>
          </w:p>
        </w:tc>
        <w:tc>
          <w:tcPr>
            <w:tcW w:w="1212" w:type="dxa"/>
          </w:tcPr>
          <w:p w:rsidR="00A85F2F" w:rsidRPr="007C51D6" w:rsidRDefault="00A85F2F" w:rsidP="00A85F2F">
            <w:pPr>
              <w:autoSpaceDE/>
              <w:autoSpaceDN/>
              <w:adjustRightInd/>
              <w:jc w:val="center"/>
              <w:rPr>
                <w:color w:val="000000"/>
                <w:sz w:val="20"/>
                <w:szCs w:val="20"/>
              </w:rPr>
            </w:pPr>
            <w:r w:rsidRPr="007C51D6">
              <w:rPr>
                <w:rFonts w:eastAsia="Arial"/>
                <w:sz w:val="20"/>
                <w:szCs w:val="22"/>
              </w:rPr>
              <w:t>2022 г.</w:t>
            </w:r>
          </w:p>
        </w:tc>
        <w:tc>
          <w:tcPr>
            <w:tcW w:w="1212" w:type="dxa"/>
          </w:tcPr>
          <w:p w:rsidR="00A85F2F" w:rsidRPr="007C51D6" w:rsidRDefault="00A85F2F" w:rsidP="00A85F2F">
            <w:pPr>
              <w:autoSpaceDE/>
              <w:autoSpaceDN/>
              <w:adjustRightInd/>
              <w:jc w:val="center"/>
              <w:rPr>
                <w:rFonts w:eastAsia="Arial"/>
                <w:sz w:val="20"/>
                <w:szCs w:val="22"/>
              </w:rPr>
            </w:pPr>
            <w:r w:rsidRPr="007C51D6">
              <w:rPr>
                <w:rFonts w:eastAsia="Arial"/>
                <w:sz w:val="20"/>
                <w:szCs w:val="22"/>
              </w:rPr>
              <w:t>2023 г.</w:t>
            </w:r>
          </w:p>
        </w:tc>
        <w:tc>
          <w:tcPr>
            <w:tcW w:w="1212" w:type="dxa"/>
          </w:tcPr>
          <w:p w:rsidR="00A85F2F" w:rsidRPr="007C51D6" w:rsidRDefault="00A85F2F" w:rsidP="00A85F2F">
            <w:pPr>
              <w:autoSpaceDE/>
              <w:autoSpaceDN/>
              <w:adjustRightInd/>
              <w:jc w:val="center"/>
              <w:rPr>
                <w:rFonts w:eastAsia="Arial"/>
                <w:sz w:val="20"/>
                <w:szCs w:val="22"/>
              </w:rPr>
            </w:pPr>
            <w:r w:rsidRPr="007C51D6">
              <w:rPr>
                <w:rFonts w:eastAsia="Arial"/>
                <w:sz w:val="20"/>
                <w:szCs w:val="22"/>
              </w:rPr>
              <w:t>2024 г.</w:t>
            </w:r>
          </w:p>
        </w:tc>
        <w:tc>
          <w:tcPr>
            <w:tcW w:w="1212" w:type="dxa"/>
          </w:tcPr>
          <w:p w:rsidR="00A85F2F" w:rsidRPr="007C51D6" w:rsidRDefault="00A85F2F" w:rsidP="00A85F2F">
            <w:pPr>
              <w:autoSpaceDE/>
              <w:autoSpaceDN/>
              <w:adjustRightInd/>
              <w:jc w:val="center"/>
              <w:rPr>
                <w:rFonts w:eastAsia="Arial"/>
                <w:sz w:val="20"/>
                <w:szCs w:val="22"/>
              </w:rPr>
            </w:pPr>
            <w:r w:rsidRPr="007C51D6">
              <w:rPr>
                <w:rFonts w:eastAsia="Arial"/>
                <w:sz w:val="20"/>
                <w:szCs w:val="22"/>
              </w:rPr>
              <w:t>2025 г.*</w:t>
            </w:r>
          </w:p>
        </w:tc>
      </w:tr>
      <w:tr w:rsidR="00A85F2F" w:rsidRPr="007C51D6" w:rsidTr="00A85F2F">
        <w:tblPrEx>
          <w:tblBorders>
            <w:bottom w:val="single" w:sz="4" w:space="0" w:color="auto"/>
          </w:tblBorders>
          <w:tblCellMar>
            <w:top w:w="11" w:type="dxa"/>
            <w:bottom w:w="11" w:type="dxa"/>
          </w:tblCellMar>
        </w:tblPrEx>
        <w:trPr>
          <w:trHeight w:val="20"/>
          <w:tblHeader/>
        </w:trPr>
        <w:tc>
          <w:tcPr>
            <w:tcW w:w="1838" w:type="dxa"/>
          </w:tcPr>
          <w:p w:rsidR="00A85F2F" w:rsidRPr="007C51D6" w:rsidRDefault="00A85F2F" w:rsidP="00A85F2F">
            <w:pPr>
              <w:autoSpaceDE/>
              <w:autoSpaceDN/>
              <w:adjustRightInd/>
              <w:jc w:val="center"/>
              <w:rPr>
                <w:color w:val="000000"/>
                <w:sz w:val="20"/>
                <w:szCs w:val="20"/>
              </w:rPr>
            </w:pPr>
            <w:r w:rsidRPr="007C51D6">
              <w:rPr>
                <w:color w:val="000000"/>
                <w:sz w:val="20"/>
                <w:szCs w:val="20"/>
              </w:rPr>
              <w:t>1</w:t>
            </w:r>
          </w:p>
        </w:tc>
        <w:tc>
          <w:tcPr>
            <w:tcW w:w="1276" w:type="dxa"/>
          </w:tcPr>
          <w:p w:rsidR="00A85F2F" w:rsidRPr="007C51D6" w:rsidRDefault="00A85F2F" w:rsidP="00A85F2F">
            <w:pPr>
              <w:autoSpaceDE/>
              <w:autoSpaceDN/>
              <w:adjustRightInd/>
              <w:jc w:val="center"/>
              <w:rPr>
                <w:rFonts w:eastAsia="Arial"/>
                <w:sz w:val="20"/>
                <w:szCs w:val="20"/>
              </w:rPr>
            </w:pPr>
            <w:r w:rsidRPr="007C51D6">
              <w:rPr>
                <w:rFonts w:eastAsia="Arial"/>
                <w:sz w:val="20"/>
                <w:szCs w:val="20"/>
              </w:rPr>
              <w:t>2</w:t>
            </w:r>
          </w:p>
        </w:tc>
        <w:tc>
          <w:tcPr>
            <w:tcW w:w="1210" w:type="dxa"/>
          </w:tcPr>
          <w:p w:rsidR="00A85F2F" w:rsidRPr="007C51D6" w:rsidRDefault="00A85F2F" w:rsidP="00A85F2F">
            <w:pPr>
              <w:autoSpaceDE/>
              <w:autoSpaceDN/>
              <w:adjustRightInd/>
              <w:jc w:val="center"/>
              <w:rPr>
                <w:rFonts w:eastAsia="Arial"/>
                <w:sz w:val="20"/>
                <w:szCs w:val="22"/>
              </w:rPr>
            </w:pPr>
            <w:r w:rsidRPr="007C51D6">
              <w:rPr>
                <w:rFonts w:eastAsia="Arial"/>
                <w:sz w:val="20"/>
                <w:szCs w:val="22"/>
              </w:rPr>
              <w:t>3</w:t>
            </w:r>
          </w:p>
        </w:tc>
        <w:tc>
          <w:tcPr>
            <w:tcW w:w="1211" w:type="dxa"/>
          </w:tcPr>
          <w:p w:rsidR="00A85F2F" w:rsidRPr="007C51D6" w:rsidRDefault="00A85F2F" w:rsidP="00A85F2F">
            <w:pPr>
              <w:autoSpaceDE/>
              <w:autoSpaceDN/>
              <w:adjustRightInd/>
              <w:jc w:val="center"/>
              <w:rPr>
                <w:rFonts w:eastAsia="Arial"/>
                <w:sz w:val="20"/>
                <w:szCs w:val="22"/>
              </w:rPr>
            </w:pPr>
            <w:r w:rsidRPr="007C51D6">
              <w:rPr>
                <w:rFonts w:eastAsia="Arial"/>
                <w:sz w:val="20"/>
                <w:szCs w:val="22"/>
              </w:rPr>
              <w:t>4</w:t>
            </w:r>
          </w:p>
        </w:tc>
        <w:tc>
          <w:tcPr>
            <w:tcW w:w="1212" w:type="dxa"/>
          </w:tcPr>
          <w:p w:rsidR="00A85F2F" w:rsidRPr="007C51D6" w:rsidRDefault="00A85F2F" w:rsidP="00A85F2F">
            <w:pPr>
              <w:autoSpaceDE/>
              <w:autoSpaceDN/>
              <w:adjustRightInd/>
              <w:jc w:val="center"/>
              <w:rPr>
                <w:rFonts w:eastAsia="Arial"/>
                <w:sz w:val="20"/>
                <w:szCs w:val="22"/>
              </w:rPr>
            </w:pPr>
            <w:r w:rsidRPr="007C51D6">
              <w:rPr>
                <w:rFonts w:eastAsia="Arial"/>
                <w:sz w:val="20"/>
                <w:szCs w:val="22"/>
              </w:rPr>
              <w:t>5</w:t>
            </w:r>
          </w:p>
        </w:tc>
        <w:tc>
          <w:tcPr>
            <w:tcW w:w="1212" w:type="dxa"/>
          </w:tcPr>
          <w:p w:rsidR="00A85F2F" w:rsidRPr="007C51D6" w:rsidRDefault="00A85F2F" w:rsidP="00A85F2F">
            <w:pPr>
              <w:autoSpaceDE/>
              <w:autoSpaceDN/>
              <w:adjustRightInd/>
              <w:jc w:val="center"/>
              <w:rPr>
                <w:rFonts w:eastAsia="Arial"/>
                <w:sz w:val="20"/>
                <w:szCs w:val="22"/>
              </w:rPr>
            </w:pPr>
            <w:r w:rsidRPr="007C51D6">
              <w:rPr>
                <w:rFonts w:eastAsia="Arial"/>
                <w:sz w:val="20"/>
                <w:szCs w:val="22"/>
              </w:rPr>
              <w:t>6</w:t>
            </w:r>
          </w:p>
        </w:tc>
        <w:tc>
          <w:tcPr>
            <w:tcW w:w="1212" w:type="dxa"/>
          </w:tcPr>
          <w:p w:rsidR="00A85F2F" w:rsidRPr="007C51D6" w:rsidRDefault="00A85F2F" w:rsidP="00A85F2F">
            <w:pPr>
              <w:autoSpaceDE/>
              <w:autoSpaceDN/>
              <w:adjustRightInd/>
              <w:jc w:val="center"/>
              <w:rPr>
                <w:rFonts w:eastAsia="Arial"/>
                <w:sz w:val="20"/>
                <w:szCs w:val="22"/>
              </w:rPr>
            </w:pPr>
            <w:r w:rsidRPr="007C51D6">
              <w:rPr>
                <w:rFonts w:eastAsia="Arial"/>
                <w:sz w:val="20"/>
                <w:szCs w:val="22"/>
              </w:rPr>
              <w:t>7</w:t>
            </w:r>
          </w:p>
        </w:tc>
        <w:tc>
          <w:tcPr>
            <w:tcW w:w="1212" w:type="dxa"/>
          </w:tcPr>
          <w:p w:rsidR="00A85F2F" w:rsidRPr="007C51D6" w:rsidRDefault="00A85F2F" w:rsidP="00A85F2F">
            <w:pPr>
              <w:autoSpaceDE/>
              <w:autoSpaceDN/>
              <w:adjustRightInd/>
              <w:jc w:val="center"/>
              <w:rPr>
                <w:rFonts w:eastAsia="Arial"/>
                <w:sz w:val="20"/>
                <w:szCs w:val="22"/>
              </w:rPr>
            </w:pPr>
            <w:r w:rsidRPr="007C51D6">
              <w:rPr>
                <w:rFonts w:eastAsia="Arial"/>
                <w:sz w:val="20"/>
                <w:szCs w:val="22"/>
              </w:rPr>
              <w:t>8</w:t>
            </w:r>
          </w:p>
        </w:tc>
        <w:tc>
          <w:tcPr>
            <w:tcW w:w="1212" w:type="dxa"/>
          </w:tcPr>
          <w:p w:rsidR="00A85F2F" w:rsidRPr="007C51D6" w:rsidRDefault="00A85F2F" w:rsidP="00A85F2F">
            <w:pPr>
              <w:autoSpaceDE/>
              <w:autoSpaceDN/>
              <w:adjustRightInd/>
              <w:jc w:val="center"/>
              <w:rPr>
                <w:rFonts w:eastAsia="Arial"/>
                <w:sz w:val="20"/>
                <w:szCs w:val="22"/>
              </w:rPr>
            </w:pPr>
            <w:r w:rsidRPr="007C51D6">
              <w:rPr>
                <w:rFonts w:eastAsia="Arial"/>
                <w:sz w:val="20"/>
                <w:szCs w:val="22"/>
              </w:rPr>
              <w:t>9</w:t>
            </w:r>
          </w:p>
        </w:tc>
        <w:tc>
          <w:tcPr>
            <w:tcW w:w="1212" w:type="dxa"/>
          </w:tcPr>
          <w:p w:rsidR="00A85F2F" w:rsidRPr="007C51D6" w:rsidRDefault="00A85F2F" w:rsidP="00A85F2F">
            <w:pPr>
              <w:autoSpaceDE/>
              <w:autoSpaceDN/>
              <w:adjustRightInd/>
              <w:jc w:val="center"/>
              <w:rPr>
                <w:rFonts w:eastAsia="Arial"/>
                <w:sz w:val="20"/>
                <w:szCs w:val="22"/>
              </w:rPr>
            </w:pPr>
            <w:r w:rsidRPr="007C51D6">
              <w:rPr>
                <w:rFonts w:eastAsia="Arial"/>
                <w:sz w:val="20"/>
                <w:szCs w:val="22"/>
              </w:rPr>
              <w:t>10</w:t>
            </w:r>
          </w:p>
        </w:tc>
        <w:tc>
          <w:tcPr>
            <w:tcW w:w="1212" w:type="dxa"/>
          </w:tcPr>
          <w:p w:rsidR="00A85F2F" w:rsidRPr="007C51D6" w:rsidRDefault="00A85F2F" w:rsidP="00A85F2F">
            <w:pPr>
              <w:autoSpaceDE/>
              <w:autoSpaceDN/>
              <w:adjustRightInd/>
              <w:jc w:val="center"/>
              <w:rPr>
                <w:rFonts w:eastAsia="Arial"/>
                <w:sz w:val="20"/>
                <w:szCs w:val="22"/>
              </w:rPr>
            </w:pPr>
            <w:r w:rsidRPr="007C51D6">
              <w:rPr>
                <w:rFonts w:eastAsia="Arial"/>
                <w:sz w:val="20"/>
                <w:szCs w:val="22"/>
              </w:rPr>
              <w:t>11</w:t>
            </w:r>
          </w:p>
        </w:tc>
        <w:tc>
          <w:tcPr>
            <w:tcW w:w="1212" w:type="dxa"/>
          </w:tcPr>
          <w:p w:rsidR="00A85F2F" w:rsidRPr="007C51D6" w:rsidRDefault="005556E3" w:rsidP="00A85F2F">
            <w:pPr>
              <w:autoSpaceDE/>
              <w:autoSpaceDN/>
              <w:adjustRightInd/>
              <w:jc w:val="center"/>
              <w:rPr>
                <w:rFonts w:eastAsia="Arial"/>
                <w:sz w:val="20"/>
                <w:szCs w:val="22"/>
              </w:rPr>
            </w:pPr>
            <w:r w:rsidRPr="007C51D6">
              <w:rPr>
                <w:rFonts w:eastAsia="Arial"/>
                <w:sz w:val="20"/>
                <w:szCs w:val="22"/>
              </w:rPr>
              <w:t>12</w:t>
            </w:r>
          </w:p>
        </w:tc>
      </w:tr>
      <w:tr w:rsidR="005556E3" w:rsidRPr="007C51D6" w:rsidTr="0038114E">
        <w:tblPrEx>
          <w:tblBorders>
            <w:bottom w:val="single" w:sz="4" w:space="0" w:color="auto"/>
          </w:tblBorders>
          <w:tblCellMar>
            <w:top w:w="11" w:type="dxa"/>
            <w:bottom w:w="11" w:type="dxa"/>
          </w:tblCellMar>
        </w:tblPrEx>
        <w:trPr>
          <w:trHeight w:val="20"/>
        </w:trPr>
        <w:tc>
          <w:tcPr>
            <w:tcW w:w="1838" w:type="dxa"/>
            <w:vMerge w:val="restart"/>
          </w:tcPr>
          <w:p w:rsidR="005556E3" w:rsidRPr="007C51D6" w:rsidRDefault="005556E3" w:rsidP="005556E3">
            <w:pPr>
              <w:autoSpaceDE/>
              <w:autoSpaceDN/>
              <w:adjustRightInd/>
              <w:spacing w:line="230" w:lineRule="auto"/>
              <w:jc w:val="both"/>
              <w:rPr>
                <w:rFonts w:eastAsia="Arial"/>
                <w:sz w:val="20"/>
                <w:szCs w:val="20"/>
              </w:rPr>
            </w:pPr>
            <w:r w:rsidRPr="007C51D6">
              <w:rPr>
                <w:rFonts w:eastAsia="Arial"/>
                <w:sz w:val="20"/>
                <w:szCs w:val="20"/>
              </w:rPr>
              <w:t>ЗНО молочной железы (С50)</w:t>
            </w:r>
          </w:p>
        </w:tc>
        <w:tc>
          <w:tcPr>
            <w:tcW w:w="1276" w:type="dxa"/>
          </w:tcPr>
          <w:p w:rsidR="005556E3" w:rsidRPr="007C51D6" w:rsidRDefault="005556E3" w:rsidP="005556E3">
            <w:pPr>
              <w:autoSpaceDE/>
              <w:autoSpaceDN/>
              <w:adjustRightInd/>
              <w:spacing w:line="230" w:lineRule="auto"/>
              <w:jc w:val="both"/>
              <w:rPr>
                <w:rFonts w:eastAsia="Arial"/>
                <w:sz w:val="20"/>
                <w:szCs w:val="20"/>
              </w:rPr>
            </w:pPr>
            <w:r w:rsidRPr="007C51D6">
              <w:rPr>
                <w:rFonts w:eastAsia="Arial"/>
                <w:sz w:val="20"/>
                <w:szCs w:val="20"/>
                <w:lang w:val="en-US"/>
              </w:rPr>
              <w:t>I</w:t>
            </w:r>
            <w:r w:rsidRPr="007C51D6">
              <w:rPr>
                <w:rFonts w:eastAsia="Arial"/>
                <w:sz w:val="20"/>
                <w:szCs w:val="20"/>
              </w:rPr>
              <w:t xml:space="preserve"> стадия</w:t>
            </w:r>
          </w:p>
        </w:tc>
        <w:tc>
          <w:tcPr>
            <w:tcW w:w="1210" w:type="dxa"/>
          </w:tcPr>
          <w:p w:rsidR="005556E3" w:rsidRPr="007C51D6" w:rsidRDefault="005556E3" w:rsidP="005556E3">
            <w:pPr>
              <w:autoSpaceDE/>
              <w:autoSpaceDN/>
              <w:adjustRightInd/>
              <w:spacing w:line="230" w:lineRule="auto"/>
              <w:jc w:val="center"/>
              <w:rPr>
                <w:rFonts w:eastAsia="Arial"/>
                <w:sz w:val="20"/>
                <w:szCs w:val="20"/>
              </w:rPr>
            </w:pPr>
            <w:r w:rsidRPr="007C51D6">
              <w:rPr>
                <w:rFonts w:eastAsia="Arial"/>
                <w:sz w:val="20"/>
                <w:szCs w:val="20"/>
              </w:rPr>
              <w:t>25,9</w:t>
            </w:r>
          </w:p>
        </w:tc>
        <w:tc>
          <w:tcPr>
            <w:tcW w:w="1211" w:type="dxa"/>
          </w:tcPr>
          <w:p w:rsidR="005556E3" w:rsidRPr="007C51D6" w:rsidRDefault="005556E3" w:rsidP="005556E3">
            <w:pPr>
              <w:autoSpaceDE/>
              <w:autoSpaceDN/>
              <w:adjustRightInd/>
              <w:spacing w:line="230" w:lineRule="auto"/>
              <w:jc w:val="center"/>
              <w:rPr>
                <w:rFonts w:eastAsia="Arial"/>
                <w:sz w:val="20"/>
                <w:szCs w:val="20"/>
              </w:rPr>
            </w:pPr>
            <w:r w:rsidRPr="007C51D6">
              <w:rPr>
                <w:rFonts w:eastAsia="Arial"/>
                <w:sz w:val="20"/>
                <w:szCs w:val="20"/>
              </w:rPr>
              <w:t>29,0</w:t>
            </w:r>
          </w:p>
        </w:tc>
        <w:tc>
          <w:tcPr>
            <w:tcW w:w="1212" w:type="dxa"/>
          </w:tcPr>
          <w:p w:rsidR="005556E3" w:rsidRPr="007C51D6" w:rsidRDefault="005556E3" w:rsidP="005556E3">
            <w:pPr>
              <w:autoSpaceDE/>
              <w:autoSpaceDN/>
              <w:adjustRightInd/>
              <w:spacing w:line="230" w:lineRule="auto"/>
              <w:jc w:val="center"/>
              <w:rPr>
                <w:rFonts w:eastAsia="Arial"/>
                <w:sz w:val="20"/>
                <w:szCs w:val="20"/>
              </w:rPr>
            </w:pPr>
            <w:r w:rsidRPr="007C51D6">
              <w:rPr>
                <w:rFonts w:eastAsia="Arial"/>
                <w:sz w:val="20"/>
                <w:szCs w:val="20"/>
              </w:rPr>
              <w:t>28,9</w:t>
            </w:r>
          </w:p>
        </w:tc>
        <w:tc>
          <w:tcPr>
            <w:tcW w:w="1212" w:type="dxa"/>
          </w:tcPr>
          <w:p w:rsidR="005556E3" w:rsidRPr="007C51D6" w:rsidRDefault="005556E3" w:rsidP="005556E3">
            <w:pPr>
              <w:autoSpaceDE/>
              <w:autoSpaceDN/>
              <w:adjustRightInd/>
              <w:spacing w:line="230" w:lineRule="auto"/>
              <w:jc w:val="center"/>
              <w:rPr>
                <w:rFonts w:eastAsia="Arial"/>
                <w:sz w:val="20"/>
                <w:szCs w:val="20"/>
              </w:rPr>
            </w:pPr>
            <w:r w:rsidRPr="007C51D6">
              <w:rPr>
                <w:rFonts w:eastAsia="Arial"/>
                <w:sz w:val="20"/>
                <w:szCs w:val="20"/>
              </w:rPr>
              <w:t>34,0</w:t>
            </w:r>
          </w:p>
        </w:tc>
        <w:tc>
          <w:tcPr>
            <w:tcW w:w="1212" w:type="dxa"/>
          </w:tcPr>
          <w:p w:rsidR="005556E3" w:rsidRPr="007C51D6" w:rsidRDefault="005556E3" w:rsidP="005556E3">
            <w:pPr>
              <w:autoSpaceDE/>
              <w:autoSpaceDN/>
              <w:adjustRightInd/>
              <w:spacing w:line="230" w:lineRule="auto"/>
              <w:jc w:val="center"/>
              <w:rPr>
                <w:rFonts w:eastAsia="Arial"/>
                <w:sz w:val="20"/>
                <w:szCs w:val="20"/>
              </w:rPr>
            </w:pPr>
            <w:r w:rsidRPr="007C51D6">
              <w:rPr>
                <w:rFonts w:eastAsia="Arial"/>
                <w:sz w:val="20"/>
                <w:szCs w:val="20"/>
              </w:rPr>
              <w:t>33,9</w:t>
            </w:r>
          </w:p>
        </w:tc>
        <w:tc>
          <w:tcPr>
            <w:tcW w:w="1212" w:type="dxa"/>
          </w:tcPr>
          <w:p w:rsidR="005556E3" w:rsidRPr="007C51D6" w:rsidRDefault="005556E3" w:rsidP="005556E3">
            <w:pPr>
              <w:autoSpaceDE/>
              <w:autoSpaceDN/>
              <w:adjustRightInd/>
              <w:spacing w:line="230" w:lineRule="auto"/>
              <w:jc w:val="center"/>
              <w:rPr>
                <w:rFonts w:eastAsia="Arial"/>
                <w:sz w:val="20"/>
                <w:szCs w:val="20"/>
              </w:rPr>
            </w:pPr>
            <w:r w:rsidRPr="007C51D6">
              <w:rPr>
                <w:rFonts w:eastAsia="Arial"/>
                <w:sz w:val="20"/>
                <w:szCs w:val="20"/>
              </w:rPr>
              <w:t>35,2</w:t>
            </w:r>
          </w:p>
        </w:tc>
        <w:tc>
          <w:tcPr>
            <w:tcW w:w="1212" w:type="dxa"/>
          </w:tcPr>
          <w:p w:rsidR="005556E3" w:rsidRPr="007C51D6" w:rsidRDefault="005556E3" w:rsidP="005556E3">
            <w:pPr>
              <w:autoSpaceDE/>
              <w:autoSpaceDN/>
              <w:adjustRightInd/>
              <w:spacing w:line="230" w:lineRule="auto"/>
              <w:jc w:val="center"/>
              <w:rPr>
                <w:rFonts w:eastAsia="Arial"/>
                <w:sz w:val="20"/>
                <w:szCs w:val="20"/>
              </w:rPr>
            </w:pPr>
            <w:r w:rsidRPr="007C51D6">
              <w:rPr>
                <w:rFonts w:eastAsia="Arial"/>
                <w:sz w:val="20"/>
                <w:szCs w:val="20"/>
              </w:rPr>
              <w:t>36,5</w:t>
            </w:r>
          </w:p>
        </w:tc>
        <w:tc>
          <w:tcPr>
            <w:tcW w:w="1212" w:type="dxa"/>
          </w:tcPr>
          <w:p w:rsidR="005556E3" w:rsidRPr="007C51D6" w:rsidRDefault="005556E3" w:rsidP="005556E3">
            <w:pPr>
              <w:autoSpaceDE/>
              <w:autoSpaceDN/>
              <w:adjustRightInd/>
              <w:spacing w:line="230" w:lineRule="auto"/>
              <w:jc w:val="center"/>
              <w:rPr>
                <w:rFonts w:eastAsia="Arial"/>
                <w:sz w:val="20"/>
                <w:szCs w:val="20"/>
              </w:rPr>
            </w:pPr>
            <w:r w:rsidRPr="007C51D6">
              <w:rPr>
                <w:rFonts w:eastAsia="Arial"/>
                <w:sz w:val="20"/>
                <w:szCs w:val="20"/>
              </w:rPr>
              <w:t>40,3</w:t>
            </w:r>
          </w:p>
        </w:tc>
        <w:tc>
          <w:tcPr>
            <w:tcW w:w="1212" w:type="dxa"/>
          </w:tcPr>
          <w:p w:rsidR="005556E3" w:rsidRPr="007C51D6" w:rsidRDefault="005556E3" w:rsidP="005556E3">
            <w:pPr>
              <w:autoSpaceDE/>
              <w:autoSpaceDN/>
              <w:adjustRightInd/>
              <w:spacing w:line="230" w:lineRule="auto"/>
              <w:jc w:val="center"/>
              <w:rPr>
                <w:rFonts w:eastAsia="Arial"/>
                <w:sz w:val="20"/>
                <w:szCs w:val="20"/>
              </w:rPr>
            </w:pPr>
            <w:r w:rsidRPr="007C51D6">
              <w:rPr>
                <w:rFonts w:eastAsia="Arial"/>
                <w:sz w:val="20"/>
                <w:szCs w:val="20"/>
              </w:rPr>
              <w:t>40,0</w:t>
            </w:r>
          </w:p>
        </w:tc>
        <w:tc>
          <w:tcPr>
            <w:tcW w:w="1212" w:type="dxa"/>
            <w:vAlign w:val="bottom"/>
          </w:tcPr>
          <w:p w:rsidR="005556E3" w:rsidRPr="007C51D6" w:rsidRDefault="005556E3" w:rsidP="005556E3">
            <w:pPr>
              <w:widowControl/>
              <w:autoSpaceDE/>
              <w:autoSpaceDN/>
              <w:adjustRightInd/>
              <w:jc w:val="center"/>
              <w:rPr>
                <w:color w:val="000000"/>
                <w:sz w:val="20"/>
                <w:szCs w:val="20"/>
              </w:rPr>
            </w:pPr>
            <w:r w:rsidRPr="007C51D6">
              <w:rPr>
                <w:color w:val="000000"/>
                <w:sz w:val="20"/>
                <w:szCs w:val="20"/>
              </w:rPr>
              <w:t>40,6</w:t>
            </w:r>
          </w:p>
        </w:tc>
      </w:tr>
      <w:tr w:rsidR="005556E3" w:rsidRPr="007C51D6" w:rsidTr="0038114E">
        <w:tblPrEx>
          <w:tblBorders>
            <w:bottom w:val="single" w:sz="4" w:space="0" w:color="auto"/>
          </w:tblBorders>
          <w:tblCellMar>
            <w:top w:w="11" w:type="dxa"/>
            <w:bottom w:w="11" w:type="dxa"/>
          </w:tblCellMar>
        </w:tblPrEx>
        <w:trPr>
          <w:trHeight w:val="20"/>
        </w:trPr>
        <w:tc>
          <w:tcPr>
            <w:tcW w:w="1838" w:type="dxa"/>
            <w:vMerge/>
          </w:tcPr>
          <w:p w:rsidR="005556E3" w:rsidRPr="007C51D6" w:rsidRDefault="005556E3" w:rsidP="005556E3">
            <w:pPr>
              <w:autoSpaceDE/>
              <w:autoSpaceDN/>
              <w:adjustRightInd/>
              <w:spacing w:line="230" w:lineRule="auto"/>
              <w:jc w:val="both"/>
              <w:rPr>
                <w:color w:val="000000"/>
                <w:sz w:val="20"/>
                <w:szCs w:val="20"/>
              </w:rPr>
            </w:pPr>
          </w:p>
        </w:tc>
        <w:tc>
          <w:tcPr>
            <w:tcW w:w="1276" w:type="dxa"/>
          </w:tcPr>
          <w:p w:rsidR="005556E3" w:rsidRPr="007C51D6" w:rsidRDefault="005556E3" w:rsidP="005556E3">
            <w:pPr>
              <w:autoSpaceDE/>
              <w:autoSpaceDN/>
              <w:adjustRightInd/>
              <w:spacing w:line="230" w:lineRule="auto"/>
              <w:jc w:val="both"/>
              <w:rPr>
                <w:rFonts w:eastAsia="Arial"/>
                <w:sz w:val="20"/>
                <w:szCs w:val="20"/>
              </w:rPr>
            </w:pPr>
            <w:r w:rsidRPr="007C51D6">
              <w:rPr>
                <w:rFonts w:eastAsia="Arial"/>
                <w:sz w:val="20"/>
                <w:szCs w:val="20"/>
                <w:lang w:val="en-US"/>
              </w:rPr>
              <w:t>II</w:t>
            </w:r>
            <w:r w:rsidRPr="007C51D6">
              <w:rPr>
                <w:rFonts w:eastAsia="Arial"/>
                <w:sz w:val="20"/>
                <w:szCs w:val="20"/>
              </w:rPr>
              <w:t xml:space="preserve"> стадия</w:t>
            </w:r>
          </w:p>
        </w:tc>
        <w:tc>
          <w:tcPr>
            <w:tcW w:w="1210" w:type="dxa"/>
          </w:tcPr>
          <w:p w:rsidR="005556E3" w:rsidRPr="007C51D6" w:rsidRDefault="005556E3" w:rsidP="005556E3">
            <w:pPr>
              <w:autoSpaceDE/>
              <w:autoSpaceDN/>
              <w:adjustRightInd/>
              <w:spacing w:line="230" w:lineRule="auto"/>
              <w:jc w:val="center"/>
              <w:rPr>
                <w:rFonts w:eastAsia="Arial"/>
                <w:sz w:val="20"/>
                <w:szCs w:val="22"/>
              </w:rPr>
            </w:pPr>
            <w:r w:rsidRPr="007C51D6">
              <w:rPr>
                <w:rFonts w:eastAsia="Arial"/>
                <w:sz w:val="20"/>
                <w:szCs w:val="20"/>
              </w:rPr>
              <w:t>41,1</w:t>
            </w:r>
          </w:p>
        </w:tc>
        <w:tc>
          <w:tcPr>
            <w:tcW w:w="1211" w:type="dxa"/>
          </w:tcPr>
          <w:p w:rsidR="005556E3" w:rsidRPr="007C51D6" w:rsidRDefault="005556E3" w:rsidP="005556E3">
            <w:pPr>
              <w:autoSpaceDE/>
              <w:autoSpaceDN/>
              <w:adjustRightInd/>
              <w:spacing w:line="230" w:lineRule="auto"/>
              <w:jc w:val="center"/>
              <w:rPr>
                <w:rFonts w:eastAsia="Arial"/>
                <w:sz w:val="20"/>
                <w:szCs w:val="22"/>
              </w:rPr>
            </w:pPr>
            <w:r w:rsidRPr="007C51D6">
              <w:rPr>
                <w:rFonts w:eastAsia="Arial"/>
                <w:sz w:val="20"/>
                <w:szCs w:val="20"/>
              </w:rPr>
              <w:t>40,0</w:t>
            </w:r>
          </w:p>
        </w:tc>
        <w:tc>
          <w:tcPr>
            <w:tcW w:w="1212" w:type="dxa"/>
          </w:tcPr>
          <w:p w:rsidR="005556E3" w:rsidRPr="007C51D6" w:rsidRDefault="005556E3" w:rsidP="005556E3">
            <w:pPr>
              <w:autoSpaceDE/>
              <w:autoSpaceDN/>
              <w:adjustRightInd/>
              <w:spacing w:line="230" w:lineRule="auto"/>
              <w:jc w:val="center"/>
              <w:rPr>
                <w:rFonts w:eastAsia="Arial"/>
                <w:sz w:val="20"/>
                <w:szCs w:val="22"/>
              </w:rPr>
            </w:pPr>
            <w:r w:rsidRPr="007C51D6">
              <w:rPr>
                <w:rFonts w:eastAsia="Arial"/>
                <w:sz w:val="20"/>
                <w:szCs w:val="20"/>
              </w:rPr>
              <w:t>41,8</w:t>
            </w:r>
          </w:p>
        </w:tc>
        <w:tc>
          <w:tcPr>
            <w:tcW w:w="1212" w:type="dxa"/>
          </w:tcPr>
          <w:p w:rsidR="005556E3" w:rsidRPr="007C51D6" w:rsidRDefault="005556E3" w:rsidP="005556E3">
            <w:pPr>
              <w:autoSpaceDE/>
              <w:autoSpaceDN/>
              <w:adjustRightInd/>
              <w:spacing w:line="230" w:lineRule="auto"/>
              <w:jc w:val="center"/>
              <w:rPr>
                <w:rFonts w:eastAsia="Arial"/>
                <w:sz w:val="20"/>
                <w:szCs w:val="22"/>
              </w:rPr>
            </w:pPr>
            <w:r w:rsidRPr="007C51D6">
              <w:rPr>
                <w:rFonts w:eastAsia="Arial"/>
                <w:sz w:val="20"/>
                <w:szCs w:val="20"/>
              </w:rPr>
              <w:t>38,3</w:t>
            </w:r>
          </w:p>
        </w:tc>
        <w:tc>
          <w:tcPr>
            <w:tcW w:w="1212" w:type="dxa"/>
          </w:tcPr>
          <w:p w:rsidR="005556E3" w:rsidRPr="007C51D6" w:rsidRDefault="005556E3" w:rsidP="005556E3">
            <w:pPr>
              <w:autoSpaceDE/>
              <w:autoSpaceDN/>
              <w:adjustRightInd/>
              <w:spacing w:line="230" w:lineRule="auto"/>
              <w:jc w:val="center"/>
              <w:rPr>
                <w:rFonts w:eastAsia="Arial"/>
                <w:sz w:val="20"/>
                <w:szCs w:val="22"/>
              </w:rPr>
            </w:pPr>
            <w:r w:rsidRPr="007C51D6">
              <w:rPr>
                <w:rFonts w:eastAsia="Arial"/>
                <w:sz w:val="20"/>
                <w:szCs w:val="20"/>
              </w:rPr>
              <w:t>44,1</w:t>
            </w:r>
          </w:p>
        </w:tc>
        <w:tc>
          <w:tcPr>
            <w:tcW w:w="1212" w:type="dxa"/>
          </w:tcPr>
          <w:p w:rsidR="005556E3" w:rsidRPr="007C51D6" w:rsidRDefault="005556E3" w:rsidP="005556E3">
            <w:pPr>
              <w:autoSpaceDE/>
              <w:autoSpaceDN/>
              <w:adjustRightInd/>
              <w:spacing w:line="230" w:lineRule="auto"/>
              <w:jc w:val="center"/>
              <w:rPr>
                <w:rFonts w:eastAsia="Arial"/>
                <w:sz w:val="20"/>
                <w:szCs w:val="22"/>
              </w:rPr>
            </w:pPr>
            <w:r w:rsidRPr="007C51D6">
              <w:rPr>
                <w:rFonts w:eastAsia="Arial"/>
                <w:sz w:val="20"/>
                <w:szCs w:val="20"/>
              </w:rPr>
              <w:t>42,9</w:t>
            </w:r>
          </w:p>
        </w:tc>
        <w:tc>
          <w:tcPr>
            <w:tcW w:w="1212" w:type="dxa"/>
          </w:tcPr>
          <w:p w:rsidR="005556E3" w:rsidRPr="007C51D6" w:rsidRDefault="005556E3" w:rsidP="005556E3">
            <w:pPr>
              <w:autoSpaceDE/>
              <w:autoSpaceDN/>
              <w:adjustRightInd/>
              <w:spacing w:line="230" w:lineRule="auto"/>
              <w:jc w:val="center"/>
              <w:rPr>
                <w:rFonts w:eastAsia="Arial"/>
                <w:sz w:val="20"/>
                <w:szCs w:val="22"/>
              </w:rPr>
            </w:pPr>
            <w:r w:rsidRPr="007C51D6">
              <w:rPr>
                <w:rFonts w:eastAsia="Arial"/>
                <w:sz w:val="20"/>
                <w:szCs w:val="20"/>
              </w:rPr>
              <w:t>40,4</w:t>
            </w:r>
          </w:p>
        </w:tc>
        <w:tc>
          <w:tcPr>
            <w:tcW w:w="1212" w:type="dxa"/>
          </w:tcPr>
          <w:p w:rsidR="005556E3" w:rsidRPr="007C51D6" w:rsidRDefault="005556E3" w:rsidP="005556E3">
            <w:pPr>
              <w:autoSpaceDE/>
              <w:autoSpaceDN/>
              <w:adjustRightInd/>
              <w:spacing w:line="230" w:lineRule="auto"/>
              <w:jc w:val="center"/>
              <w:rPr>
                <w:rFonts w:eastAsia="Arial"/>
                <w:sz w:val="20"/>
                <w:szCs w:val="22"/>
              </w:rPr>
            </w:pPr>
            <w:r w:rsidRPr="007C51D6">
              <w:rPr>
                <w:rFonts w:eastAsia="Arial"/>
                <w:sz w:val="20"/>
                <w:szCs w:val="20"/>
              </w:rPr>
              <w:t>39,5</w:t>
            </w:r>
          </w:p>
        </w:tc>
        <w:tc>
          <w:tcPr>
            <w:tcW w:w="1212" w:type="dxa"/>
          </w:tcPr>
          <w:p w:rsidR="005556E3" w:rsidRPr="007C51D6" w:rsidRDefault="005556E3" w:rsidP="005556E3">
            <w:pPr>
              <w:autoSpaceDE/>
              <w:autoSpaceDN/>
              <w:adjustRightInd/>
              <w:spacing w:line="230" w:lineRule="auto"/>
              <w:jc w:val="center"/>
              <w:rPr>
                <w:rFonts w:eastAsia="Arial"/>
                <w:sz w:val="20"/>
                <w:szCs w:val="22"/>
              </w:rPr>
            </w:pPr>
            <w:r w:rsidRPr="007C51D6">
              <w:rPr>
                <w:rFonts w:eastAsia="Arial"/>
                <w:sz w:val="20"/>
                <w:szCs w:val="20"/>
              </w:rPr>
              <w:t>38,0</w:t>
            </w:r>
          </w:p>
        </w:tc>
        <w:tc>
          <w:tcPr>
            <w:tcW w:w="1212" w:type="dxa"/>
            <w:vAlign w:val="bottom"/>
          </w:tcPr>
          <w:p w:rsidR="005556E3" w:rsidRPr="007C51D6" w:rsidRDefault="005556E3" w:rsidP="005556E3">
            <w:pPr>
              <w:jc w:val="center"/>
              <w:rPr>
                <w:color w:val="000000"/>
                <w:sz w:val="20"/>
                <w:szCs w:val="20"/>
              </w:rPr>
            </w:pPr>
            <w:r w:rsidRPr="007C51D6">
              <w:rPr>
                <w:color w:val="000000"/>
                <w:sz w:val="20"/>
                <w:szCs w:val="20"/>
              </w:rPr>
              <w:t>38,6</w:t>
            </w:r>
          </w:p>
        </w:tc>
      </w:tr>
      <w:tr w:rsidR="005556E3" w:rsidRPr="007C51D6" w:rsidTr="0038114E">
        <w:tblPrEx>
          <w:tblBorders>
            <w:bottom w:val="single" w:sz="4" w:space="0" w:color="auto"/>
          </w:tblBorders>
          <w:tblCellMar>
            <w:top w:w="11" w:type="dxa"/>
            <w:bottom w:w="11" w:type="dxa"/>
          </w:tblCellMar>
        </w:tblPrEx>
        <w:trPr>
          <w:trHeight w:val="20"/>
        </w:trPr>
        <w:tc>
          <w:tcPr>
            <w:tcW w:w="1838" w:type="dxa"/>
            <w:vMerge/>
          </w:tcPr>
          <w:p w:rsidR="005556E3" w:rsidRPr="007C51D6" w:rsidRDefault="005556E3" w:rsidP="005556E3">
            <w:pPr>
              <w:autoSpaceDE/>
              <w:autoSpaceDN/>
              <w:adjustRightInd/>
              <w:spacing w:line="230" w:lineRule="auto"/>
              <w:jc w:val="both"/>
              <w:rPr>
                <w:color w:val="000000"/>
                <w:sz w:val="20"/>
                <w:szCs w:val="20"/>
              </w:rPr>
            </w:pPr>
          </w:p>
        </w:tc>
        <w:tc>
          <w:tcPr>
            <w:tcW w:w="1276" w:type="dxa"/>
          </w:tcPr>
          <w:p w:rsidR="005556E3" w:rsidRPr="007C51D6" w:rsidRDefault="005556E3" w:rsidP="005556E3">
            <w:pPr>
              <w:autoSpaceDE/>
              <w:autoSpaceDN/>
              <w:adjustRightInd/>
              <w:spacing w:line="230" w:lineRule="auto"/>
              <w:jc w:val="both"/>
              <w:rPr>
                <w:rFonts w:eastAsia="Arial"/>
                <w:sz w:val="20"/>
                <w:szCs w:val="20"/>
              </w:rPr>
            </w:pPr>
            <w:r w:rsidRPr="007C51D6">
              <w:rPr>
                <w:rFonts w:eastAsia="Arial"/>
                <w:sz w:val="20"/>
                <w:szCs w:val="20"/>
                <w:lang w:val="en-US"/>
              </w:rPr>
              <w:t>III</w:t>
            </w:r>
            <w:r w:rsidRPr="007C51D6">
              <w:rPr>
                <w:rFonts w:eastAsia="Arial"/>
                <w:sz w:val="20"/>
                <w:szCs w:val="20"/>
              </w:rPr>
              <w:t xml:space="preserve"> стадия</w:t>
            </w:r>
          </w:p>
        </w:tc>
        <w:tc>
          <w:tcPr>
            <w:tcW w:w="1210" w:type="dxa"/>
          </w:tcPr>
          <w:p w:rsidR="005556E3" w:rsidRPr="007C51D6" w:rsidRDefault="005556E3" w:rsidP="005556E3">
            <w:pPr>
              <w:autoSpaceDE/>
              <w:autoSpaceDN/>
              <w:adjustRightInd/>
              <w:spacing w:line="230" w:lineRule="auto"/>
              <w:jc w:val="center"/>
              <w:rPr>
                <w:rFonts w:eastAsia="Arial"/>
                <w:sz w:val="20"/>
                <w:szCs w:val="22"/>
              </w:rPr>
            </w:pPr>
            <w:r w:rsidRPr="007C51D6">
              <w:rPr>
                <w:rFonts w:eastAsia="Arial"/>
                <w:sz w:val="20"/>
                <w:szCs w:val="20"/>
              </w:rPr>
              <w:t>25,8</w:t>
            </w:r>
          </w:p>
        </w:tc>
        <w:tc>
          <w:tcPr>
            <w:tcW w:w="1211" w:type="dxa"/>
          </w:tcPr>
          <w:p w:rsidR="005556E3" w:rsidRPr="007C51D6" w:rsidRDefault="005556E3" w:rsidP="005556E3">
            <w:pPr>
              <w:autoSpaceDE/>
              <w:autoSpaceDN/>
              <w:adjustRightInd/>
              <w:spacing w:line="230" w:lineRule="auto"/>
              <w:jc w:val="center"/>
              <w:rPr>
                <w:rFonts w:eastAsia="Arial"/>
                <w:sz w:val="20"/>
                <w:szCs w:val="22"/>
              </w:rPr>
            </w:pPr>
            <w:r w:rsidRPr="007C51D6">
              <w:rPr>
                <w:rFonts w:eastAsia="Arial"/>
                <w:sz w:val="20"/>
                <w:szCs w:val="20"/>
              </w:rPr>
              <w:t>24,7</w:t>
            </w:r>
          </w:p>
        </w:tc>
        <w:tc>
          <w:tcPr>
            <w:tcW w:w="1212" w:type="dxa"/>
          </w:tcPr>
          <w:p w:rsidR="005556E3" w:rsidRPr="007C51D6" w:rsidRDefault="005556E3" w:rsidP="005556E3">
            <w:pPr>
              <w:autoSpaceDE/>
              <w:autoSpaceDN/>
              <w:adjustRightInd/>
              <w:spacing w:line="230" w:lineRule="auto"/>
              <w:jc w:val="center"/>
              <w:rPr>
                <w:rFonts w:eastAsia="Arial"/>
                <w:sz w:val="20"/>
                <w:szCs w:val="22"/>
              </w:rPr>
            </w:pPr>
            <w:r w:rsidRPr="007C51D6">
              <w:rPr>
                <w:rFonts w:eastAsia="Arial"/>
                <w:sz w:val="20"/>
                <w:szCs w:val="20"/>
              </w:rPr>
              <w:t>22,1</w:t>
            </w:r>
          </w:p>
        </w:tc>
        <w:tc>
          <w:tcPr>
            <w:tcW w:w="1212" w:type="dxa"/>
          </w:tcPr>
          <w:p w:rsidR="005556E3" w:rsidRPr="007C51D6" w:rsidRDefault="005556E3" w:rsidP="005556E3">
            <w:pPr>
              <w:autoSpaceDE/>
              <w:autoSpaceDN/>
              <w:adjustRightInd/>
              <w:spacing w:line="230" w:lineRule="auto"/>
              <w:jc w:val="center"/>
              <w:rPr>
                <w:rFonts w:eastAsia="Arial"/>
                <w:sz w:val="20"/>
                <w:szCs w:val="22"/>
              </w:rPr>
            </w:pPr>
            <w:r w:rsidRPr="007C51D6">
              <w:rPr>
                <w:rFonts w:eastAsia="Arial"/>
                <w:sz w:val="20"/>
                <w:szCs w:val="20"/>
              </w:rPr>
              <w:t>20,9</w:t>
            </w:r>
          </w:p>
        </w:tc>
        <w:tc>
          <w:tcPr>
            <w:tcW w:w="1212" w:type="dxa"/>
          </w:tcPr>
          <w:p w:rsidR="005556E3" w:rsidRPr="007C51D6" w:rsidRDefault="005556E3" w:rsidP="005556E3">
            <w:pPr>
              <w:autoSpaceDE/>
              <w:autoSpaceDN/>
              <w:adjustRightInd/>
              <w:spacing w:line="230" w:lineRule="auto"/>
              <w:jc w:val="center"/>
              <w:rPr>
                <w:rFonts w:eastAsia="Arial"/>
                <w:sz w:val="20"/>
                <w:szCs w:val="22"/>
              </w:rPr>
            </w:pPr>
            <w:r w:rsidRPr="007C51D6">
              <w:rPr>
                <w:rFonts w:eastAsia="Arial"/>
                <w:sz w:val="20"/>
                <w:szCs w:val="20"/>
              </w:rPr>
              <w:t>15,6</w:t>
            </w:r>
          </w:p>
        </w:tc>
        <w:tc>
          <w:tcPr>
            <w:tcW w:w="1212" w:type="dxa"/>
          </w:tcPr>
          <w:p w:rsidR="005556E3" w:rsidRPr="007C51D6" w:rsidRDefault="005556E3" w:rsidP="005556E3">
            <w:pPr>
              <w:autoSpaceDE/>
              <w:autoSpaceDN/>
              <w:adjustRightInd/>
              <w:spacing w:line="230" w:lineRule="auto"/>
              <w:jc w:val="center"/>
              <w:rPr>
                <w:rFonts w:eastAsia="Arial"/>
                <w:sz w:val="20"/>
                <w:szCs w:val="22"/>
              </w:rPr>
            </w:pPr>
            <w:r w:rsidRPr="007C51D6">
              <w:rPr>
                <w:rFonts w:eastAsia="Arial"/>
                <w:sz w:val="20"/>
                <w:szCs w:val="20"/>
              </w:rPr>
              <w:t>17,1</w:t>
            </w:r>
          </w:p>
        </w:tc>
        <w:tc>
          <w:tcPr>
            <w:tcW w:w="1212" w:type="dxa"/>
          </w:tcPr>
          <w:p w:rsidR="005556E3" w:rsidRPr="007C51D6" w:rsidRDefault="005556E3" w:rsidP="005556E3">
            <w:pPr>
              <w:autoSpaceDE/>
              <w:autoSpaceDN/>
              <w:adjustRightInd/>
              <w:spacing w:line="230" w:lineRule="auto"/>
              <w:jc w:val="center"/>
              <w:rPr>
                <w:rFonts w:eastAsia="Arial"/>
                <w:sz w:val="20"/>
                <w:szCs w:val="22"/>
              </w:rPr>
            </w:pPr>
            <w:r w:rsidRPr="007C51D6">
              <w:rPr>
                <w:rFonts w:eastAsia="Arial"/>
                <w:sz w:val="20"/>
                <w:szCs w:val="20"/>
              </w:rPr>
              <w:t>18,5</w:t>
            </w:r>
          </w:p>
        </w:tc>
        <w:tc>
          <w:tcPr>
            <w:tcW w:w="1212" w:type="dxa"/>
          </w:tcPr>
          <w:p w:rsidR="005556E3" w:rsidRPr="007C51D6" w:rsidRDefault="005556E3" w:rsidP="005556E3">
            <w:pPr>
              <w:autoSpaceDE/>
              <w:autoSpaceDN/>
              <w:adjustRightInd/>
              <w:spacing w:line="230" w:lineRule="auto"/>
              <w:jc w:val="center"/>
              <w:rPr>
                <w:rFonts w:eastAsia="Arial"/>
                <w:sz w:val="20"/>
                <w:szCs w:val="22"/>
              </w:rPr>
            </w:pPr>
            <w:r w:rsidRPr="007C51D6">
              <w:rPr>
                <w:rFonts w:eastAsia="Arial"/>
                <w:sz w:val="20"/>
                <w:szCs w:val="20"/>
              </w:rPr>
              <w:t>15,8</w:t>
            </w:r>
          </w:p>
        </w:tc>
        <w:tc>
          <w:tcPr>
            <w:tcW w:w="1212" w:type="dxa"/>
          </w:tcPr>
          <w:p w:rsidR="005556E3" w:rsidRPr="007C51D6" w:rsidRDefault="005556E3" w:rsidP="005556E3">
            <w:pPr>
              <w:autoSpaceDE/>
              <w:autoSpaceDN/>
              <w:adjustRightInd/>
              <w:spacing w:line="230" w:lineRule="auto"/>
              <w:jc w:val="center"/>
              <w:rPr>
                <w:rFonts w:eastAsia="Arial"/>
                <w:sz w:val="20"/>
                <w:szCs w:val="22"/>
              </w:rPr>
            </w:pPr>
            <w:r w:rsidRPr="007C51D6">
              <w:rPr>
                <w:rFonts w:eastAsia="Arial"/>
                <w:sz w:val="20"/>
                <w:szCs w:val="20"/>
              </w:rPr>
              <w:t>16,6</w:t>
            </w:r>
          </w:p>
        </w:tc>
        <w:tc>
          <w:tcPr>
            <w:tcW w:w="1212" w:type="dxa"/>
            <w:vAlign w:val="bottom"/>
          </w:tcPr>
          <w:p w:rsidR="005556E3" w:rsidRPr="007C51D6" w:rsidRDefault="005556E3" w:rsidP="005556E3">
            <w:pPr>
              <w:jc w:val="center"/>
              <w:rPr>
                <w:color w:val="000000"/>
                <w:sz w:val="20"/>
                <w:szCs w:val="20"/>
              </w:rPr>
            </w:pPr>
            <w:r w:rsidRPr="007C51D6">
              <w:rPr>
                <w:color w:val="000000"/>
                <w:sz w:val="20"/>
                <w:szCs w:val="20"/>
              </w:rPr>
              <w:t>15,0</w:t>
            </w:r>
          </w:p>
        </w:tc>
      </w:tr>
      <w:tr w:rsidR="005556E3" w:rsidRPr="007C51D6" w:rsidTr="0038114E">
        <w:tblPrEx>
          <w:tblBorders>
            <w:bottom w:val="single" w:sz="4" w:space="0" w:color="auto"/>
          </w:tblBorders>
          <w:tblCellMar>
            <w:top w:w="11" w:type="dxa"/>
            <w:bottom w:w="11" w:type="dxa"/>
          </w:tblCellMar>
        </w:tblPrEx>
        <w:trPr>
          <w:trHeight w:val="20"/>
        </w:trPr>
        <w:tc>
          <w:tcPr>
            <w:tcW w:w="1838" w:type="dxa"/>
            <w:vMerge/>
          </w:tcPr>
          <w:p w:rsidR="005556E3" w:rsidRPr="007C51D6" w:rsidRDefault="005556E3" w:rsidP="005556E3">
            <w:pPr>
              <w:autoSpaceDE/>
              <w:autoSpaceDN/>
              <w:adjustRightInd/>
              <w:spacing w:line="230" w:lineRule="auto"/>
              <w:jc w:val="both"/>
              <w:rPr>
                <w:color w:val="000000"/>
                <w:sz w:val="20"/>
                <w:szCs w:val="20"/>
              </w:rPr>
            </w:pPr>
          </w:p>
        </w:tc>
        <w:tc>
          <w:tcPr>
            <w:tcW w:w="1276" w:type="dxa"/>
          </w:tcPr>
          <w:p w:rsidR="005556E3" w:rsidRPr="007C51D6" w:rsidRDefault="005556E3" w:rsidP="005556E3">
            <w:pPr>
              <w:autoSpaceDE/>
              <w:autoSpaceDN/>
              <w:adjustRightInd/>
              <w:spacing w:line="230" w:lineRule="auto"/>
              <w:jc w:val="both"/>
              <w:rPr>
                <w:rFonts w:eastAsia="Arial"/>
                <w:sz w:val="20"/>
                <w:szCs w:val="20"/>
              </w:rPr>
            </w:pPr>
            <w:r w:rsidRPr="007C51D6">
              <w:rPr>
                <w:rFonts w:eastAsia="Arial"/>
                <w:sz w:val="20"/>
                <w:szCs w:val="20"/>
                <w:lang w:val="en-US"/>
              </w:rPr>
              <w:t>IV</w:t>
            </w:r>
            <w:r w:rsidRPr="007C51D6">
              <w:rPr>
                <w:rFonts w:eastAsia="Arial"/>
                <w:sz w:val="20"/>
                <w:szCs w:val="20"/>
              </w:rPr>
              <w:t xml:space="preserve"> стадия</w:t>
            </w:r>
          </w:p>
        </w:tc>
        <w:tc>
          <w:tcPr>
            <w:tcW w:w="1210" w:type="dxa"/>
          </w:tcPr>
          <w:p w:rsidR="005556E3" w:rsidRPr="007C51D6" w:rsidRDefault="005556E3" w:rsidP="005556E3">
            <w:pPr>
              <w:autoSpaceDE/>
              <w:autoSpaceDN/>
              <w:adjustRightInd/>
              <w:spacing w:line="230" w:lineRule="auto"/>
              <w:jc w:val="center"/>
              <w:rPr>
                <w:rFonts w:eastAsia="Arial"/>
                <w:sz w:val="20"/>
                <w:szCs w:val="22"/>
              </w:rPr>
            </w:pPr>
            <w:r w:rsidRPr="007C51D6">
              <w:rPr>
                <w:rFonts w:eastAsia="Arial"/>
                <w:sz w:val="20"/>
                <w:szCs w:val="20"/>
              </w:rPr>
              <w:t>7,1</w:t>
            </w:r>
          </w:p>
        </w:tc>
        <w:tc>
          <w:tcPr>
            <w:tcW w:w="1211" w:type="dxa"/>
          </w:tcPr>
          <w:p w:rsidR="005556E3" w:rsidRPr="007C51D6" w:rsidRDefault="005556E3" w:rsidP="005556E3">
            <w:pPr>
              <w:autoSpaceDE/>
              <w:autoSpaceDN/>
              <w:adjustRightInd/>
              <w:spacing w:line="230" w:lineRule="auto"/>
              <w:jc w:val="center"/>
              <w:rPr>
                <w:rFonts w:eastAsia="Arial"/>
                <w:sz w:val="20"/>
                <w:szCs w:val="22"/>
              </w:rPr>
            </w:pPr>
            <w:r w:rsidRPr="007C51D6">
              <w:rPr>
                <w:rFonts w:eastAsia="Arial"/>
                <w:sz w:val="20"/>
                <w:szCs w:val="20"/>
              </w:rPr>
              <w:t>5,9</w:t>
            </w:r>
          </w:p>
        </w:tc>
        <w:tc>
          <w:tcPr>
            <w:tcW w:w="1212" w:type="dxa"/>
          </w:tcPr>
          <w:p w:rsidR="005556E3" w:rsidRPr="007C51D6" w:rsidRDefault="005556E3" w:rsidP="005556E3">
            <w:pPr>
              <w:autoSpaceDE/>
              <w:autoSpaceDN/>
              <w:adjustRightInd/>
              <w:spacing w:line="230" w:lineRule="auto"/>
              <w:jc w:val="center"/>
              <w:rPr>
                <w:rFonts w:eastAsia="Arial"/>
                <w:sz w:val="20"/>
                <w:szCs w:val="22"/>
              </w:rPr>
            </w:pPr>
            <w:r w:rsidRPr="007C51D6">
              <w:rPr>
                <w:rFonts w:eastAsia="Arial"/>
                <w:sz w:val="20"/>
                <w:szCs w:val="20"/>
              </w:rPr>
              <w:t>7,2</w:t>
            </w:r>
          </w:p>
        </w:tc>
        <w:tc>
          <w:tcPr>
            <w:tcW w:w="1212" w:type="dxa"/>
          </w:tcPr>
          <w:p w:rsidR="005556E3" w:rsidRPr="007C51D6" w:rsidRDefault="005556E3" w:rsidP="005556E3">
            <w:pPr>
              <w:autoSpaceDE/>
              <w:autoSpaceDN/>
              <w:adjustRightInd/>
              <w:spacing w:line="230" w:lineRule="auto"/>
              <w:jc w:val="center"/>
              <w:rPr>
                <w:rFonts w:eastAsia="Arial"/>
                <w:sz w:val="20"/>
                <w:szCs w:val="22"/>
              </w:rPr>
            </w:pPr>
            <w:r w:rsidRPr="007C51D6">
              <w:rPr>
                <w:rFonts w:eastAsia="Arial"/>
                <w:sz w:val="20"/>
                <w:szCs w:val="20"/>
              </w:rPr>
              <w:t>6,9</w:t>
            </w:r>
          </w:p>
        </w:tc>
        <w:tc>
          <w:tcPr>
            <w:tcW w:w="1212" w:type="dxa"/>
          </w:tcPr>
          <w:p w:rsidR="005556E3" w:rsidRPr="007C51D6" w:rsidRDefault="005556E3" w:rsidP="005556E3">
            <w:pPr>
              <w:autoSpaceDE/>
              <w:autoSpaceDN/>
              <w:adjustRightInd/>
              <w:spacing w:line="230" w:lineRule="auto"/>
              <w:jc w:val="center"/>
              <w:rPr>
                <w:rFonts w:eastAsia="Arial"/>
                <w:sz w:val="20"/>
                <w:szCs w:val="22"/>
              </w:rPr>
            </w:pPr>
            <w:r w:rsidRPr="007C51D6">
              <w:rPr>
                <w:rFonts w:eastAsia="Arial"/>
                <w:sz w:val="20"/>
                <w:szCs w:val="20"/>
              </w:rPr>
              <w:t>6,4</w:t>
            </w:r>
          </w:p>
        </w:tc>
        <w:tc>
          <w:tcPr>
            <w:tcW w:w="1212" w:type="dxa"/>
          </w:tcPr>
          <w:p w:rsidR="005556E3" w:rsidRPr="007C51D6" w:rsidRDefault="005556E3" w:rsidP="005556E3">
            <w:pPr>
              <w:autoSpaceDE/>
              <w:autoSpaceDN/>
              <w:adjustRightInd/>
              <w:spacing w:line="230" w:lineRule="auto"/>
              <w:jc w:val="center"/>
              <w:rPr>
                <w:rFonts w:eastAsia="Arial"/>
                <w:sz w:val="20"/>
                <w:szCs w:val="22"/>
              </w:rPr>
            </w:pPr>
            <w:r w:rsidRPr="007C51D6">
              <w:rPr>
                <w:rFonts w:eastAsia="Arial"/>
                <w:sz w:val="20"/>
                <w:szCs w:val="20"/>
              </w:rPr>
              <w:t>4,7</w:t>
            </w:r>
          </w:p>
        </w:tc>
        <w:tc>
          <w:tcPr>
            <w:tcW w:w="1212" w:type="dxa"/>
          </w:tcPr>
          <w:p w:rsidR="005556E3" w:rsidRPr="007C51D6" w:rsidRDefault="005556E3" w:rsidP="005556E3">
            <w:pPr>
              <w:autoSpaceDE/>
              <w:autoSpaceDN/>
              <w:adjustRightInd/>
              <w:spacing w:line="230" w:lineRule="auto"/>
              <w:jc w:val="center"/>
              <w:rPr>
                <w:rFonts w:eastAsia="Arial"/>
                <w:sz w:val="20"/>
                <w:szCs w:val="22"/>
              </w:rPr>
            </w:pPr>
            <w:r w:rsidRPr="007C51D6">
              <w:rPr>
                <w:rFonts w:eastAsia="Arial"/>
                <w:sz w:val="20"/>
                <w:szCs w:val="20"/>
              </w:rPr>
              <w:t>4,6</w:t>
            </w:r>
          </w:p>
        </w:tc>
        <w:tc>
          <w:tcPr>
            <w:tcW w:w="1212" w:type="dxa"/>
          </w:tcPr>
          <w:p w:rsidR="005556E3" w:rsidRPr="007C51D6" w:rsidRDefault="005556E3" w:rsidP="005556E3">
            <w:pPr>
              <w:autoSpaceDE/>
              <w:autoSpaceDN/>
              <w:adjustRightInd/>
              <w:spacing w:line="230" w:lineRule="auto"/>
              <w:jc w:val="center"/>
              <w:rPr>
                <w:rFonts w:eastAsia="Arial"/>
                <w:sz w:val="20"/>
                <w:szCs w:val="22"/>
              </w:rPr>
            </w:pPr>
            <w:r w:rsidRPr="007C51D6">
              <w:rPr>
                <w:rFonts w:eastAsia="Arial"/>
                <w:sz w:val="20"/>
                <w:szCs w:val="20"/>
              </w:rPr>
              <w:t>4,4</w:t>
            </w:r>
          </w:p>
        </w:tc>
        <w:tc>
          <w:tcPr>
            <w:tcW w:w="1212" w:type="dxa"/>
          </w:tcPr>
          <w:p w:rsidR="005556E3" w:rsidRPr="007C51D6" w:rsidRDefault="005556E3" w:rsidP="005556E3">
            <w:pPr>
              <w:autoSpaceDE/>
              <w:autoSpaceDN/>
              <w:adjustRightInd/>
              <w:spacing w:line="230" w:lineRule="auto"/>
              <w:jc w:val="center"/>
              <w:rPr>
                <w:rFonts w:eastAsia="Arial"/>
                <w:sz w:val="20"/>
                <w:szCs w:val="22"/>
              </w:rPr>
            </w:pPr>
            <w:r w:rsidRPr="007C51D6">
              <w:rPr>
                <w:rFonts w:eastAsia="Arial"/>
                <w:sz w:val="20"/>
                <w:szCs w:val="20"/>
              </w:rPr>
              <w:t>5,2</w:t>
            </w:r>
          </w:p>
        </w:tc>
        <w:tc>
          <w:tcPr>
            <w:tcW w:w="1212" w:type="dxa"/>
            <w:vAlign w:val="bottom"/>
          </w:tcPr>
          <w:p w:rsidR="005556E3" w:rsidRPr="007C51D6" w:rsidRDefault="005556E3" w:rsidP="005556E3">
            <w:pPr>
              <w:jc w:val="center"/>
              <w:rPr>
                <w:color w:val="000000"/>
                <w:sz w:val="20"/>
                <w:szCs w:val="20"/>
              </w:rPr>
            </w:pPr>
            <w:r w:rsidRPr="007C51D6">
              <w:rPr>
                <w:color w:val="000000"/>
                <w:sz w:val="20"/>
                <w:szCs w:val="20"/>
              </w:rPr>
              <w:t>5,4</w:t>
            </w:r>
          </w:p>
        </w:tc>
      </w:tr>
      <w:tr w:rsidR="005556E3" w:rsidRPr="007C51D6" w:rsidTr="0038114E">
        <w:tblPrEx>
          <w:tblBorders>
            <w:bottom w:val="single" w:sz="4" w:space="0" w:color="auto"/>
          </w:tblBorders>
          <w:tblCellMar>
            <w:top w:w="11" w:type="dxa"/>
            <w:bottom w:w="11" w:type="dxa"/>
          </w:tblCellMar>
        </w:tblPrEx>
        <w:trPr>
          <w:trHeight w:val="20"/>
        </w:trPr>
        <w:tc>
          <w:tcPr>
            <w:tcW w:w="1838" w:type="dxa"/>
            <w:vMerge/>
          </w:tcPr>
          <w:p w:rsidR="005556E3" w:rsidRPr="007C51D6" w:rsidRDefault="005556E3" w:rsidP="005556E3">
            <w:pPr>
              <w:autoSpaceDE/>
              <w:autoSpaceDN/>
              <w:adjustRightInd/>
              <w:spacing w:line="230" w:lineRule="auto"/>
              <w:jc w:val="both"/>
              <w:rPr>
                <w:color w:val="000000"/>
                <w:sz w:val="20"/>
                <w:szCs w:val="20"/>
              </w:rPr>
            </w:pPr>
          </w:p>
        </w:tc>
        <w:tc>
          <w:tcPr>
            <w:tcW w:w="1276" w:type="dxa"/>
          </w:tcPr>
          <w:p w:rsidR="005556E3" w:rsidRPr="007C51D6" w:rsidRDefault="005556E3" w:rsidP="005556E3">
            <w:pPr>
              <w:autoSpaceDE/>
              <w:autoSpaceDN/>
              <w:adjustRightInd/>
              <w:spacing w:line="230" w:lineRule="auto"/>
              <w:jc w:val="both"/>
              <w:rPr>
                <w:rFonts w:eastAsia="Arial"/>
                <w:sz w:val="20"/>
                <w:szCs w:val="20"/>
                <w:lang w:val="en-US"/>
              </w:rPr>
            </w:pPr>
            <w:r w:rsidRPr="007C51D6">
              <w:rPr>
                <w:rFonts w:eastAsia="Arial"/>
                <w:sz w:val="20"/>
                <w:szCs w:val="20"/>
              </w:rPr>
              <w:t>без стадии</w:t>
            </w:r>
          </w:p>
        </w:tc>
        <w:tc>
          <w:tcPr>
            <w:tcW w:w="1210" w:type="dxa"/>
          </w:tcPr>
          <w:p w:rsidR="005556E3" w:rsidRPr="007C51D6" w:rsidRDefault="005556E3" w:rsidP="005556E3">
            <w:pPr>
              <w:autoSpaceDE/>
              <w:autoSpaceDN/>
              <w:adjustRightInd/>
              <w:spacing w:line="230" w:lineRule="auto"/>
              <w:jc w:val="center"/>
              <w:rPr>
                <w:rFonts w:eastAsia="Arial"/>
                <w:sz w:val="20"/>
                <w:szCs w:val="20"/>
              </w:rPr>
            </w:pPr>
            <w:r w:rsidRPr="007C51D6">
              <w:rPr>
                <w:rFonts w:eastAsia="Arial"/>
                <w:sz w:val="20"/>
                <w:szCs w:val="20"/>
              </w:rPr>
              <w:t>0,1</w:t>
            </w:r>
          </w:p>
        </w:tc>
        <w:tc>
          <w:tcPr>
            <w:tcW w:w="1211" w:type="dxa"/>
          </w:tcPr>
          <w:p w:rsidR="005556E3" w:rsidRPr="007C51D6" w:rsidRDefault="005556E3" w:rsidP="005556E3">
            <w:pPr>
              <w:autoSpaceDE/>
              <w:autoSpaceDN/>
              <w:adjustRightInd/>
              <w:spacing w:line="230" w:lineRule="auto"/>
              <w:jc w:val="center"/>
              <w:rPr>
                <w:rFonts w:eastAsia="Arial"/>
                <w:sz w:val="20"/>
                <w:szCs w:val="20"/>
              </w:rPr>
            </w:pPr>
            <w:r w:rsidRPr="007C51D6">
              <w:rPr>
                <w:rFonts w:eastAsia="Arial"/>
                <w:sz w:val="20"/>
                <w:szCs w:val="20"/>
              </w:rPr>
              <w:t>0,4</w:t>
            </w:r>
          </w:p>
        </w:tc>
        <w:tc>
          <w:tcPr>
            <w:tcW w:w="1212" w:type="dxa"/>
          </w:tcPr>
          <w:p w:rsidR="005556E3" w:rsidRPr="007C51D6" w:rsidRDefault="005556E3" w:rsidP="005556E3">
            <w:pPr>
              <w:autoSpaceDE/>
              <w:autoSpaceDN/>
              <w:adjustRightInd/>
              <w:spacing w:line="230" w:lineRule="auto"/>
              <w:jc w:val="center"/>
              <w:rPr>
                <w:rFonts w:eastAsia="Arial"/>
                <w:sz w:val="20"/>
                <w:szCs w:val="20"/>
              </w:rPr>
            </w:pPr>
            <w:r w:rsidRPr="007C51D6">
              <w:rPr>
                <w:rFonts w:eastAsia="Arial"/>
                <w:sz w:val="20"/>
                <w:szCs w:val="20"/>
              </w:rPr>
              <w:t>0</w:t>
            </w:r>
          </w:p>
        </w:tc>
        <w:tc>
          <w:tcPr>
            <w:tcW w:w="1212" w:type="dxa"/>
          </w:tcPr>
          <w:p w:rsidR="005556E3" w:rsidRPr="007C51D6" w:rsidRDefault="005556E3" w:rsidP="005556E3">
            <w:pPr>
              <w:autoSpaceDE/>
              <w:autoSpaceDN/>
              <w:adjustRightInd/>
              <w:spacing w:line="230" w:lineRule="auto"/>
              <w:jc w:val="center"/>
              <w:rPr>
                <w:rFonts w:eastAsia="Arial"/>
                <w:sz w:val="20"/>
                <w:szCs w:val="20"/>
              </w:rPr>
            </w:pPr>
            <w:r w:rsidRPr="007C51D6">
              <w:rPr>
                <w:rFonts w:eastAsia="Arial"/>
                <w:sz w:val="20"/>
                <w:szCs w:val="20"/>
              </w:rPr>
              <w:t>0</w:t>
            </w:r>
          </w:p>
        </w:tc>
        <w:tc>
          <w:tcPr>
            <w:tcW w:w="1212" w:type="dxa"/>
          </w:tcPr>
          <w:p w:rsidR="005556E3" w:rsidRPr="007C51D6" w:rsidRDefault="005556E3" w:rsidP="005556E3">
            <w:pPr>
              <w:autoSpaceDE/>
              <w:autoSpaceDN/>
              <w:adjustRightInd/>
              <w:spacing w:line="230" w:lineRule="auto"/>
              <w:jc w:val="center"/>
              <w:rPr>
                <w:rFonts w:eastAsia="Arial"/>
                <w:sz w:val="20"/>
                <w:szCs w:val="20"/>
              </w:rPr>
            </w:pPr>
            <w:r w:rsidRPr="007C51D6">
              <w:rPr>
                <w:rFonts w:eastAsia="Arial"/>
                <w:sz w:val="20"/>
                <w:szCs w:val="20"/>
              </w:rPr>
              <w:t>0,1</w:t>
            </w:r>
          </w:p>
        </w:tc>
        <w:tc>
          <w:tcPr>
            <w:tcW w:w="1212" w:type="dxa"/>
          </w:tcPr>
          <w:p w:rsidR="005556E3" w:rsidRPr="007C51D6" w:rsidRDefault="005556E3" w:rsidP="005556E3">
            <w:pPr>
              <w:autoSpaceDE/>
              <w:autoSpaceDN/>
              <w:adjustRightInd/>
              <w:spacing w:line="230" w:lineRule="auto"/>
              <w:jc w:val="center"/>
              <w:rPr>
                <w:rFonts w:eastAsia="Arial"/>
                <w:sz w:val="20"/>
                <w:szCs w:val="20"/>
              </w:rPr>
            </w:pPr>
            <w:r w:rsidRPr="007C51D6">
              <w:rPr>
                <w:rFonts w:eastAsia="Arial"/>
                <w:sz w:val="20"/>
                <w:szCs w:val="20"/>
              </w:rPr>
              <w:t>0,1</w:t>
            </w:r>
          </w:p>
        </w:tc>
        <w:tc>
          <w:tcPr>
            <w:tcW w:w="1212" w:type="dxa"/>
          </w:tcPr>
          <w:p w:rsidR="005556E3" w:rsidRPr="007C51D6" w:rsidRDefault="005556E3" w:rsidP="005556E3">
            <w:pPr>
              <w:autoSpaceDE/>
              <w:autoSpaceDN/>
              <w:adjustRightInd/>
              <w:spacing w:line="230" w:lineRule="auto"/>
              <w:jc w:val="center"/>
              <w:rPr>
                <w:rFonts w:eastAsia="Arial"/>
                <w:sz w:val="20"/>
                <w:szCs w:val="20"/>
              </w:rPr>
            </w:pPr>
            <w:r w:rsidRPr="007C51D6">
              <w:rPr>
                <w:rFonts w:eastAsia="Arial"/>
                <w:sz w:val="20"/>
                <w:szCs w:val="20"/>
              </w:rPr>
              <w:t>0</w:t>
            </w:r>
          </w:p>
        </w:tc>
        <w:tc>
          <w:tcPr>
            <w:tcW w:w="1212" w:type="dxa"/>
          </w:tcPr>
          <w:p w:rsidR="005556E3" w:rsidRPr="007C51D6" w:rsidRDefault="005556E3" w:rsidP="005556E3">
            <w:pPr>
              <w:autoSpaceDE/>
              <w:autoSpaceDN/>
              <w:adjustRightInd/>
              <w:spacing w:line="230" w:lineRule="auto"/>
              <w:jc w:val="center"/>
              <w:rPr>
                <w:rFonts w:eastAsia="Arial"/>
                <w:sz w:val="20"/>
                <w:szCs w:val="20"/>
              </w:rPr>
            </w:pPr>
            <w:r w:rsidRPr="007C51D6">
              <w:rPr>
                <w:rFonts w:eastAsia="Arial"/>
                <w:sz w:val="20"/>
                <w:szCs w:val="20"/>
              </w:rPr>
              <w:t>0</w:t>
            </w:r>
          </w:p>
        </w:tc>
        <w:tc>
          <w:tcPr>
            <w:tcW w:w="1212" w:type="dxa"/>
          </w:tcPr>
          <w:p w:rsidR="005556E3" w:rsidRPr="007C51D6" w:rsidRDefault="005556E3" w:rsidP="005556E3">
            <w:pPr>
              <w:autoSpaceDE/>
              <w:autoSpaceDN/>
              <w:adjustRightInd/>
              <w:spacing w:line="230" w:lineRule="auto"/>
              <w:jc w:val="center"/>
              <w:rPr>
                <w:rFonts w:eastAsia="Arial"/>
                <w:sz w:val="20"/>
                <w:szCs w:val="20"/>
              </w:rPr>
            </w:pPr>
            <w:r w:rsidRPr="007C51D6">
              <w:rPr>
                <w:rFonts w:eastAsia="Arial"/>
                <w:sz w:val="20"/>
                <w:szCs w:val="20"/>
              </w:rPr>
              <w:t>0,1</w:t>
            </w:r>
          </w:p>
        </w:tc>
        <w:tc>
          <w:tcPr>
            <w:tcW w:w="1212" w:type="dxa"/>
            <w:vAlign w:val="bottom"/>
          </w:tcPr>
          <w:p w:rsidR="005556E3" w:rsidRPr="007C51D6" w:rsidRDefault="005556E3" w:rsidP="005556E3">
            <w:pPr>
              <w:jc w:val="center"/>
              <w:rPr>
                <w:color w:val="000000"/>
                <w:sz w:val="20"/>
                <w:szCs w:val="20"/>
              </w:rPr>
            </w:pPr>
            <w:r w:rsidRPr="007C51D6">
              <w:rPr>
                <w:color w:val="000000"/>
                <w:sz w:val="20"/>
                <w:szCs w:val="20"/>
              </w:rPr>
              <w:t>0,3</w:t>
            </w:r>
          </w:p>
        </w:tc>
      </w:tr>
      <w:tr w:rsidR="005556E3" w:rsidRPr="007C51D6" w:rsidTr="0038114E">
        <w:tblPrEx>
          <w:tblBorders>
            <w:bottom w:val="single" w:sz="4" w:space="0" w:color="auto"/>
          </w:tblBorders>
          <w:tblCellMar>
            <w:top w:w="11" w:type="dxa"/>
            <w:bottom w:w="11" w:type="dxa"/>
          </w:tblCellMar>
        </w:tblPrEx>
        <w:trPr>
          <w:trHeight w:val="20"/>
        </w:trPr>
        <w:tc>
          <w:tcPr>
            <w:tcW w:w="1838" w:type="dxa"/>
            <w:vMerge w:val="restart"/>
          </w:tcPr>
          <w:p w:rsidR="005556E3" w:rsidRPr="007C51D6" w:rsidRDefault="005556E3" w:rsidP="005556E3">
            <w:pPr>
              <w:spacing w:line="230" w:lineRule="auto"/>
              <w:jc w:val="both"/>
              <w:rPr>
                <w:rFonts w:eastAsia="Arial"/>
                <w:sz w:val="20"/>
                <w:szCs w:val="20"/>
              </w:rPr>
            </w:pPr>
            <w:r w:rsidRPr="007C51D6">
              <w:rPr>
                <w:rFonts w:eastAsia="Arial"/>
                <w:sz w:val="20"/>
                <w:szCs w:val="22"/>
              </w:rPr>
              <w:t>ЗНО трахеи, бронхов, легких</w:t>
            </w:r>
            <w:r w:rsidRPr="007C51D6">
              <w:rPr>
                <w:rFonts w:eastAsia="Arial"/>
                <w:sz w:val="20"/>
                <w:szCs w:val="20"/>
              </w:rPr>
              <w:t xml:space="preserve"> (С33 –С34)</w:t>
            </w:r>
          </w:p>
        </w:tc>
        <w:tc>
          <w:tcPr>
            <w:tcW w:w="1276" w:type="dxa"/>
          </w:tcPr>
          <w:p w:rsidR="005556E3" w:rsidRPr="007C51D6" w:rsidRDefault="005556E3" w:rsidP="005556E3">
            <w:pPr>
              <w:spacing w:line="230" w:lineRule="auto"/>
              <w:jc w:val="both"/>
              <w:rPr>
                <w:rFonts w:eastAsia="Arial"/>
                <w:sz w:val="20"/>
                <w:szCs w:val="20"/>
                <w:lang w:val="en-US"/>
              </w:rPr>
            </w:pPr>
            <w:r w:rsidRPr="007C51D6">
              <w:rPr>
                <w:rFonts w:eastAsia="Arial"/>
                <w:sz w:val="20"/>
                <w:szCs w:val="20"/>
                <w:lang w:val="en-US"/>
              </w:rPr>
              <w:t>I</w:t>
            </w:r>
            <w:r w:rsidRPr="007C51D6">
              <w:rPr>
                <w:rFonts w:eastAsia="Arial"/>
                <w:sz w:val="20"/>
                <w:szCs w:val="20"/>
              </w:rPr>
              <w:t xml:space="preserve"> стадия</w:t>
            </w:r>
          </w:p>
        </w:tc>
        <w:tc>
          <w:tcPr>
            <w:tcW w:w="1210" w:type="dxa"/>
          </w:tcPr>
          <w:p w:rsidR="005556E3" w:rsidRPr="007C51D6" w:rsidRDefault="005556E3" w:rsidP="005556E3">
            <w:pPr>
              <w:autoSpaceDE/>
              <w:autoSpaceDN/>
              <w:adjustRightInd/>
              <w:spacing w:line="230" w:lineRule="auto"/>
              <w:jc w:val="center"/>
              <w:rPr>
                <w:rFonts w:eastAsia="Arial"/>
                <w:sz w:val="20"/>
                <w:szCs w:val="20"/>
              </w:rPr>
            </w:pPr>
            <w:r w:rsidRPr="007C51D6">
              <w:rPr>
                <w:rFonts w:eastAsia="Arial"/>
                <w:sz w:val="20"/>
                <w:szCs w:val="20"/>
              </w:rPr>
              <w:t>14,9</w:t>
            </w:r>
          </w:p>
        </w:tc>
        <w:tc>
          <w:tcPr>
            <w:tcW w:w="1211" w:type="dxa"/>
          </w:tcPr>
          <w:p w:rsidR="005556E3" w:rsidRPr="007C51D6" w:rsidRDefault="005556E3" w:rsidP="005556E3">
            <w:pPr>
              <w:autoSpaceDE/>
              <w:autoSpaceDN/>
              <w:adjustRightInd/>
              <w:spacing w:line="230" w:lineRule="auto"/>
              <w:jc w:val="center"/>
              <w:rPr>
                <w:rFonts w:eastAsia="Arial"/>
                <w:sz w:val="20"/>
                <w:szCs w:val="20"/>
              </w:rPr>
            </w:pPr>
            <w:r w:rsidRPr="007C51D6">
              <w:rPr>
                <w:rFonts w:eastAsia="Arial"/>
                <w:sz w:val="20"/>
                <w:szCs w:val="20"/>
              </w:rPr>
              <w:t>14,6</w:t>
            </w:r>
          </w:p>
        </w:tc>
        <w:tc>
          <w:tcPr>
            <w:tcW w:w="1212" w:type="dxa"/>
          </w:tcPr>
          <w:p w:rsidR="005556E3" w:rsidRPr="007C51D6" w:rsidRDefault="005556E3" w:rsidP="005556E3">
            <w:pPr>
              <w:autoSpaceDE/>
              <w:autoSpaceDN/>
              <w:adjustRightInd/>
              <w:spacing w:line="230" w:lineRule="auto"/>
              <w:jc w:val="center"/>
              <w:rPr>
                <w:rFonts w:eastAsia="Arial"/>
                <w:sz w:val="20"/>
                <w:szCs w:val="20"/>
              </w:rPr>
            </w:pPr>
            <w:r w:rsidRPr="007C51D6">
              <w:rPr>
                <w:rFonts w:eastAsia="Arial"/>
                <w:sz w:val="20"/>
                <w:szCs w:val="20"/>
              </w:rPr>
              <w:t>16,4</w:t>
            </w:r>
          </w:p>
        </w:tc>
        <w:tc>
          <w:tcPr>
            <w:tcW w:w="1212" w:type="dxa"/>
          </w:tcPr>
          <w:p w:rsidR="005556E3" w:rsidRPr="007C51D6" w:rsidRDefault="005556E3" w:rsidP="005556E3">
            <w:pPr>
              <w:autoSpaceDE/>
              <w:autoSpaceDN/>
              <w:adjustRightInd/>
              <w:spacing w:line="230" w:lineRule="auto"/>
              <w:jc w:val="center"/>
              <w:rPr>
                <w:rFonts w:eastAsia="Arial"/>
                <w:sz w:val="20"/>
                <w:szCs w:val="20"/>
              </w:rPr>
            </w:pPr>
            <w:r w:rsidRPr="007C51D6">
              <w:rPr>
                <w:rFonts w:eastAsia="Arial"/>
                <w:sz w:val="20"/>
                <w:szCs w:val="20"/>
              </w:rPr>
              <w:t>18,2</w:t>
            </w:r>
          </w:p>
        </w:tc>
        <w:tc>
          <w:tcPr>
            <w:tcW w:w="1212" w:type="dxa"/>
          </w:tcPr>
          <w:p w:rsidR="005556E3" w:rsidRPr="007C51D6" w:rsidRDefault="005556E3" w:rsidP="005556E3">
            <w:pPr>
              <w:autoSpaceDE/>
              <w:autoSpaceDN/>
              <w:adjustRightInd/>
              <w:spacing w:line="230" w:lineRule="auto"/>
              <w:jc w:val="center"/>
              <w:rPr>
                <w:rFonts w:eastAsia="Arial"/>
                <w:sz w:val="20"/>
                <w:szCs w:val="20"/>
              </w:rPr>
            </w:pPr>
            <w:r w:rsidRPr="007C51D6">
              <w:rPr>
                <w:rFonts w:eastAsia="Arial"/>
                <w:sz w:val="20"/>
                <w:szCs w:val="20"/>
              </w:rPr>
              <w:t>16,4</w:t>
            </w:r>
          </w:p>
        </w:tc>
        <w:tc>
          <w:tcPr>
            <w:tcW w:w="1212" w:type="dxa"/>
          </w:tcPr>
          <w:p w:rsidR="005556E3" w:rsidRPr="007C51D6" w:rsidRDefault="005556E3" w:rsidP="005556E3">
            <w:pPr>
              <w:autoSpaceDE/>
              <w:autoSpaceDN/>
              <w:adjustRightInd/>
              <w:spacing w:line="230" w:lineRule="auto"/>
              <w:jc w:val="center"/>
              <w:rPr>
                <w:rFonts w:eastAsia="Arial"/>
                <w:sz w:val="20"/>
                <w:szCs w:val="20"/>
              </w:rPr>
            </w:pPr>
            <w:r w:rsidRPr="007C51D6">
              <w:rPr>
                <w:rFonts w:eastAsia="Arial"/>
                <w:sz w:val="20"/>
                <w:szCs w:val="20"/>
              </w:rPr>
              <w:t>19,3</w:t>
            </w:r>
          </w:p>
        </w:tc>
        <w:tc>
          <w:tcPr>
            <w:tcW w:w="1212" w:type="dxa"/>
          </w:tcPr>
          <w:p w:rsidR="005556E3" w:rsidRPr="007C51D6" w:rsidRDefault="005556E3" w:rsidP="005556E3">
            <w:pPr>
              <w:autoSpaceDE/>
              <w:autoSpaceDN/>
              <w:adjustRightInd/>
              <w:spacing w:line="230" w:lineRule="auto"/>
              <w:jc w:val="center"/>
              <w:rPr>
                <w:rFonts w:eastAsia="Arial"/>
                <w:sz w:val="20"/>
                <w:szCs w:val="20"/>
              </w:rPr>
            </w:pPr>
            <w:r w:rsidRPr="007C51D6">
              <w:rPr>
                <w:rFonts w:eastAsia="Arial"/>
                <w:sz w:val="20"/>
                <w:szCs w:val="20"/>
              </w:rPr>
              <w:t>20,1</w:t>
            </w:r>
          </w:p>
        </w:tc>
        <w:tc>
          <w:tcPr>
            <w:tcW w:w="1212" w:type="dxa"/>
          </w:tcPr>
          <w:p w:rsidR="005556E3" w:rsidRPr="007C51D6" w:rsidRDefault="005556E3" w:rsidP="005556E3">
            <w:pPr>
              <w:autoSpaceDE/>
              <w:autoSpaceDN/>
              <w:adjustRightInd/>
              <w:spacing w:line="230" w:lineRule="auto"/>
              <w:jc w:val="center"/>
              <w:rPr>
                <w:rFonts w:eastAsia="Arial"/>
                <w:sz w:val="20"/>
                <w:szCs w:val="20"/>
              </w:rPr>
            </w:pPr>
            <w:r w:rsidRPr="007C51D6">
              <w:rPr>
                <w:rFonts w:eastAsia="Arial"/>
                <w:sz w:val="20"/>
                <w:szCs w:val="20"/>
              </w:rPr>
              <w:t>18,6</w:t>
            </w:r>
          </w:p>
        </w:tc>
        <w:tc>
          <w:tcPr>
            <w:tcW w:w="1212" w:type="dxa"/>
          </w:tcPr>
          <w:p w:rsidR="005556E3" w:rsidRPr="007C51D6" w:rsidRDefault="005556E3" w:rsidP="005556E3">
            <w:pPr>
              <w:autoSpaceDE/>
              <w:autoSpaceDN/>
              <w:adjustRightInd/>
              <w:spacing w:line="230" w:lineRule="auto"/>
              <w:jc w:val="center"/>
              <w:rPr>
                <w:rFonts w:eastAsia="Arial"/>
                <w:sz w:val="20"/>
                <w:szCs w:val="20"/>
              </w:rPr>
            </w:pPr>
            <w:r w:rsidRPr="007C51D6">
              <w:rPr>
                <w:rFonts w:eastAsia="Arial"/>
                <w:sz w:val="20"/>
                <w:szCs w:val="20"/>
              </w:rPr>
              <w:t>20,5</w:t>
            </w:r>
          </w:p>
        </w:tc>
        <w:tc>
          <w:tcPr>
            <w:tcW w:w="1212" w:type="dxa"/>
            <w:vAlign w:val="bottom"/>
          </w:tcPr>
          <w:p w:rsidR="005556E3" w:rsidRPr="007C51D6" w:rsidRDefault="005556E3" w:rsidP="005556E3">
            <w:pPr>
              <w:widowControl/>
              <w:autoSpaceDE/>
              <w:autoSpaceDN/>
              <w:adjustRightInd/>
              <w:jc w:val="center"/>
              <w:rPr>
                <w:color w:val="000000"/>
                <w:sz w:val="20"/>
                <w:szCs w:val="20"/>
              </w:rPr>
            </w:pPr>
            <w:r w:rsidRPr="007C51D6">
              <w:rPr>
                <w:color w:val="000000"/>
                <w:sz w:val="20"/>
                <w:szCs w:val="20"/>
              </w:rPr>
              <w:t>25,0</w:t>
            </w:r>
          </w:p>
        </w:tc>
      </w:tr>
      <w:tr w:rsidR="005556E3" w:rsidRPr="007C51D6" w:rsidTr="0038114E">
        <w:tblPrEx>
          <w:tblBorders>
            <w:bottom w:val="single" w:sz="4" w:space="0" w:color="auto"/>
          </w:tblBorders>
          <w:tblCellMar>
            <w:top w:w="11" w:type="dxa"/>
            <w:bottom w:w="11" w:type="dxa"/>
          </w:tblCellMar>
        </w:tblPrEx>
        <w:trPr>
          <w:trHeight w:val="20"/>
        </w:trPr>
        <w:tc>
          <w:tcPr>
            <w:tcW w:w="1838" w:type="dxa"/>
            <w:vMerge/>
          </w:tcPr>
          <w:p w:rsidR="005556E3" w:rsidRPr="007C51D6" w:rsidRDefault="005556E3" w:rsidP="005556E3">
            <w:pPr>
              <w:spacing w:line="230" w:lineRule="auto"/>
              <w:jc w:val="both"/>
              <w:rPr>
                <w:rFonts w:eastAsia="Arial"/>
                <w:sz w:val="20"/>
                <w:szCs w:val="20"/>
              </w:rPr>
            </w:pPr>
          </w:p>
        </w:tc>
        <w:tc>
          <w:tcPr>
            <w:tcW w:w="1276" w:type="dxa"/>
          </w:tcPr>
          <w:p w:rsidR="005556E3" w:rsidRPr="007C51D6" w:rsidRDefault="005556E3" w:rsidP="005556E3">
            <w:pPr>
              <w:spacing w:line="230" w:lineRule="auto"/>
              <w:jc w:val="both"/>
              <w:rPr>
                <w:lang w:val="en-US"/>
              </w:rPr>
            </w:pPr>
            <w:r w:rsidRPr="007C51D6">
              <w:rPr>
                <w:rFonts w:eastAsia="Arial"/>
                <w:sz w:val="20"/>
                <w:szCs w:val="20"/>
                <w:lang w:val="en-US"/>
              </w:rPr>
              <w:t>II</w:t>
            </w:r>
            <w:r w:rsidRPr="007C51D6">
              <w:rPr>
                <w:rFonts w:eastAsia="Arial"/>
                <w:sz w:val="20"/>
                <w:szCs w:val="20"/>
              </w:rPr>
              <w:t xml:space="preserve"> стадия</w:t>
            </w:r>
            <w:r w:rsidRPr="007C51D6">
              <w:rPr>
                <w:rFonts w:eastAsia="Arial"/>
                <w:sz w:val="20"/>
                <w:szCs w:val="20"/>
                <w:lang w:val="en-US"/>
              </w:rPr>
              <w:t xml:space="preserve"> </w:t>
            </w:r>
          </w:p>
        </w:tc>
        <w:tc>
          <w:tcPr>
            <w:tcW w:w="1210" w:type="dxa"/>
          </w:tcPr>
          <w:p w:rsidR="005556E3" w:rsidRPr="007C51D6" w:rsidRDefault="005556E3" w:rsidP="005556E3">
            <w:pPr>
              <w:autoSpaceDE/>
              <w:autoSpaceDN/>
              <w:adjustRightInd/>
              <w:spacing w:line="230" w:lineRule="auto"/>
              <w:jc w:val="center"/>
              <w:rPr>
                <w:rFonts w:eastAsia="Arial"/>
                <w:sz w:val="20"/>
                <w:szCs w:val="20"/>
              </w:rPr>
            </w:pPr>
            <w:r w:rsidRPr="007C51D6">
              <w:rPr>
                <w:rFonts w:eastAsia="Arial"/>
                <w:sz w:val="20"/>
                <w:szCs w:val="20"/>
              </w:rPr>
              <w:t>17,1</w:t>
            </w:r>
          </w:p>
        </w:tc>
        <w:tc>
          <w:tcPr>
            <w:tcW w:w="1211" w:type="dxa"/>
          </w:tcPr>
          <w:p w:rsidR="005556E3" w:rsidRPr="007C51D6" w:rsidRDefault="005556E3" w:rsidP="005556E3">
            <w:pPr>
              <w:autoSpaceDE/>
              <w:autoSpaceDN/>
              <w:adjustRightInd/>
              <w:spacing w:line="230" w:lineRule="auto"/>
              <w:jc w:val="center"/>
              <w:rPr>
                <w:rFonts w:eastAsia="Arial"/>
                <w:sz w:val="20"/>
                <w:szCs w:val="20"/>
              </w:rPr>
            </w:pPr>
            <w:r w:rsidRPr="007C51D6">
              <w:rPr>
                <w:rFonts w:eastAsia="Arial"/>
                <w:sz w:val="20"/>
                <w:szCs w:val="20"/>
              </w:rPr>
              <w:t>19,7</w:t>
            </w:r>
          </w:p>
        </w:tc>
        <w:tc>
          <w:tcPr>
            <w:tcW w:w="1212" w:type="dxa"/>
          </w:tcPr>
          <w:p w:rsidR="005556E3" w:rsidRPr="007C51D6" w:rsidRDefault="005556E3" w:rsidP="005556E3">
            <w:pPr>
              <w:autoSpaceDE/>
              <w:autoSpaceDN/>
              <w:adjustRightInd/>
              <w:spacing w:line="230" w:lineRule="auto"/>
              <w:jc w:val="center"/>
              <w:rPr>
                <w:rFonts w:eastAsia="Arial"/>
                <w:sz w:val="20"/>
                <w:szCs w:val="20"/>
              </w:rPr>
            </w:pPr>
            <w:r w:rsidRPr="007C51D6">
              <w:rPr>
                <w:rFonts w:eastAsia="Arial"/>
                <w:sz w:val="20"/>
                <w:szCs w:val="20"/>
              </w:rPr>
              <w:t>22,7</w:t>
            </w:r>
          </w:p>
        </w:tc>
        <w:tc>
          <w:tcPr>
            <w:tcW w:w="1212" w:type="dxa"/>
          </w:tcPr>
          <w:p w:rsidR="005556E3" w:rsidRPr="007C51D6" w:rsidRDefault="005556E3" w:rsidP="005556E3">
            <w:pPr>
              <w:autoSpaceDE/>
              <w:autoSpaceDN/>
              <w:adjustRightInd/>
              <w:spacing w:line="230" w:lineRule="auto"/>
              <w:jc w:val="center"/>
              <w:rPr>
                <w:rFonts w:eastAsia="Arial"/>
                <w:sz w:val="20"/>
                <w:szCs w:val="20"/>
              </w:rPr>
            </w:pPr>
            <w:r w:rsidRPr="007C51D6">
              <w:rPr>
                <w:rFonts w:eastAsia="Arial"/>
                <w:sz w:val="20"/>
                <w:szCs w:val="20"/>
              </w:rPr>
              <w:t>20,8</w:t>
            </w:r>
          </w:p>
        </w:tc>
        <w:tc>
          <w:tcPr>
            <w:tcW w:w="1212" w:type="dxa"/>
          </w:tcPr>
          <w:p w:rsidR="005556E3" w:rsidRPr="007C51D6" w:rsidRDefault="005556E3" w:rsidP="005556E3">
            <w:pPr>
              <w:autoSpaceDE/>
              <w:autoSpaceDN/>
              <w:adjustRightInd/>
              <w:spacing w:line="230" w:lineRule="auto"/>
              <w:jc w:val="center"/>
              <w:rPr>
                <w:rFonts w:eastAsia="Arial"/>
                <w:sz w:val="20"/>
                <w:szCs w:val="20"/>
              </w:rPr>
            </w:pPr>
            <w:r w:rsidRPr="007C51D6">
              <w:rPr>
                <w:rFonts w:eastAsia="Arial"/>
                <w:sz w:val="20"/>
                <w:szCs w:val="20"/>
              </w:rPr>
              <w:t>19,4</w:t>
            </w:r>
          </w:p>
        </w:tc>
        <w:tc>
          <w:tcPr>
            <w:tcW w:w="1212" w:type="dxa"/>
          </w:tcPr>
          <w:p w:rsidR="005556E3" w:rsidRPr="007C51D6" w:rsidRDefault="005556E3" w:rsidP="005556E3">
            <w:pPr>
              <w:autoSpaceDE/>
              <w:autoSpaceDN/>
              <w:adjustRightInd/>
              <w:spacing w:line="230" w:lineRule="auto"/>
              <w:jc w:val="center"/>
              <w:rPr>
                <w:rFonts w:eastAsia="Arial"/>
                <w:sz w:val="20"/>
                <w:szCs w:val="20"/>
              </w:rPr>
            </w:pPr>
            <w:r w:rsidRPr="007C51D6">
              <w:rPr>
                <w:rFonts w:eastAsia="Arial"/>
                <w:sz w:val="20"/>
                <w:szCs w:val="20"/>
              </w:rPr>
              <w:t>11,9</w:t>
            </w:r>
          </w:p>
        </w:tc>
        <w:tc>
          <w:tcPr>
            <w:tcW w:w="1212" w:type="dxa"/>
          </w:tcPr>
          <w:p w:rsidR="005556E3" w:rsidRPr="007C51D6" w:rsidRDefault="005556E3" w:rsidP="005556E3">
            <w:pPr>
              <w:autoSpaceDE/>
              <w:autoSpaceDN/>
              <w:adjustRightInd/>
              <w:spacing w:line="230" w:lineRule="auto"/>
              <w:jc w:val="center"/>
              <w:rPr>
                <w:rFonts w:eastAsia="Arial"/>
                <w:sz w:val="20"/>
                <w:szCs w:val="20"/>
              </w:rPr>
            </w:pPr>
            <w:r w:rsidRPr="007C51D6">
              <w:rPr>
                <w:rFonts w:eastAsia="Arial"/>
                <w:sz w:val="20"/>
                <w:szCs w:val="20"/>
              </w:rPr>
              <w:t>13,4</w:t>
            </w:r>
          </w:p>
        </w:tc>
        <w:tc>
          <w:tcPr>
            <w:tcW w:w="1212" w:type="dxa"/>
          </w:tcPr>
          <w:p w:rsidR="005556E3" w:rsidRPr="007C51D6" w:rsidRDefault="005556E3" w:rsidP="005556E3">
            <w:pPr>
              <w:autoSpaceDE/>
              <w:autoSpaceDN/>
              <w:adjustRightInd/>
              <w:spacing w:line="230" w:lineRule="auto"/>
              <w:jc w:val="center"/>
              <w:rPr>
                <w:rFonts w:eastAsia="Arial"/>
                <w:sz w:val="20"/>
                <w:szCs w:val="20"/>
              </w:rPr>
            </w:pPr>
            <w:r w:rsidRPr="007C51D6">
              <w:rPr>
                <w:rFonts w:eastAsia="Arial"/>
                <w:sz w:val="20"/>
                <w:szCs w:val="20"/>
              </w:rPr>
              <w:t>13,0</w:t>
            </w:r>
          </w:p>
        </w:tc>
        <w:tc>
          <w:tcPr>
            <w:tcW w:w="1212" w:type="dxa"/>
          </w:tcPr>
          <w:p w:rsidR="005556E3" w:rsidRPr="007C51D6" w:rsidRDefault="005556E3" w:rsidP="005556E3">
            <w:pPr>
              <w:autoSpaceDE/>
              <w:autoSpaceDN/>
              <w:adjustRightInd/>
              <w:spacing w:line="230" w:lineRule="auto"/>
              <w:jc w:val="center"/>
              <w:rPr>
                <w:rFonts w:eastAsia="Arial"/>
                <w:sz w:val="20"/>
                <w:szCs w:val="20"/>
              </w:rPr>
            </w:pPr>
            <w:r w:rsidRPr="007C51D6">
              <w:rPr>
                <w:rFonts w:eastAsia="Arial"/>
                <w:sz w:val="20"/>
                <w:szCs w:val="20"/>
              </w:rPr>
              <w:t>11,7</w:t>
            </w:r>
          </w:p>
        </w:tc>
        <w:tc>
          <w:tcPr>
            <w:tcW w:w="1212" w:type="dxa"/>
            <w:vAlign w:val="bottom"/>
          </w:tcPr>
          <w:p w:rsidR="005556E3" w:rsidRPr="007C51D6" w:rsidRDefault="005556E3" w:rsidP="005556E3">
            <w:pPr>
              <w:jc w:val="center"/>
              <w:rPr>
                <w:color w:val="000000"/>
                <w:sz w:val="20"/>
                <w:szCs w:val="20"/>
              </w:rPr>
            </w:pPr>
            <w:r w:rsidRPr="007C51D6">
              <w:rPr>
                <w:color w:val="000000"/>
                <w:sz w:val="20"/>
                <w:szCs w:val="20"/>
              </w:rPr>
              <w:t>10,1</w:t>
            </w:r>
          </w:p>
        </w:tc>
      </w:tr>
      <w:tr w:rsidR="005556E3" w:rsidRPr="007C51D6" w:rsidTr="0038114E">
        <w:tblPrEx>
          <w:tblBorders>
            <w:bottom w:val="single" w:sz="4" w:space="0" w:color="auto"/>
          </w:tblBorders>
          <w:tblCellMar>
            <w:top w:w="11" w:type="dxa"/>
            <w:bottom w:w="11" w:type="dxa"/>
          </w:tblCellMar>
        </w:tblPrEx>
        <w:trPr>
          <w:trHeight w:val="20"/>
        </w:trPr>
        <w:tc>
          <w:tcPr>
            <w:tcW w:w="1838" w:type="dxa"/>
            <w:vMerge/>
          </w:tcPr>
          <w:p w:rsidR="005556E3" w:rsidRPr="007C51D6" w:rsidRDefault="005556E3" w:rsidP="005556E3">
            <w:pPr>
              <w:spacing w:line="230" w:lineRule="auto"/>
              <w:jc w:val="both"/>
              <w:rPr>
                <w:rFonts w:eastAsia="Arial"/>
                <w:sz w:val="20"/>
                <w:szCs w:val="20"/>
              </w:rPr>
            </w:pPr>
          </w:p>
        </w:tc>
        <w:tc>
          <w:tcPr>
            <w:tcW w:w="1276" w:type="dxa"/>
          </w:tcPr>
          <w:p w:rsidR="005556E3" w:rsidRPr="007C51D6" w:rsidRDefault="005556E3" w:rsidP="005556E3">
            <w:pPr>
              <w:spacing w:line="230" w:lineRule="auto"/>
              <w:jc w:val="both"/>
              <w:rPr>
                <w:rFonts w:eastAsia="Arial"/>
                <w:sz w:val="20"/>
                <w:szCs w:val="20"/>
                <w:lang w:val="en-US"/>
              </w:rPr>
            </w:pPr>
            <w:r w:rsidRPr="007C51D6">
              <w:rPr>
                <w:rFonts w:eastAsia="Arial"/>
                <w:sz w:val="20"/>
                <w:szCs w:val="20"/>
                <w:lang w:val="en-US"/>
              </w:rPr>
              <w:t>III</w:t>
            </w:r>
            <w:r w:rsidRPr="007C51D6">
              <w:rPr>
                <w:rFonts w:eastAsia="Arial"/>
                <w:sz w:val="20"/>
                <w:szCs w:val="20"/>
              </w:rPr>
              <w:t xml:space="preserve"> стадия</w:t>
            </w:r>
          </w:p>
        </w:tc>
        <w:tc>
          <w:tcPr>
            <w:tcW w:w="1210" w:type="dxa"/>
          </w:tcPr>
          <w:p w:rsidR="005556E3" w:rsidRPr="007C51D6" w:rsidRDefault="005556E3" w:rsidP="005556E3">
            <w:pPr>
              <w:autoSpaceDE/>
              <w:autoSpaceDN/>
              <w:adjustRightInd/>
              <w:spacing w:line="230" w:lineRule="auto"/>
              <w:jc w:val="center"/>
              <w:rPr>
                <w:rFonts w:eastAsia="Arial"/>
                <w:sz w:val="20"/>
                <w:szCs w:val="20"/>
              </w:rPr>
            </w:pPr>
            <w:r w:rsidRPr="007C51D6">
              <w:rPr>
                <w:rFonts w:eastAsia="Arial"/>
                <w:sz w:val="20"/>
                <w:szCs w:val="20"/>
              </w:rPr>
              <w:t>24,6</w:t>
            </w:r>
          </w:p>
        </w:tc>
        <w:tc>
          <w:tcPr>
            <w:tcW w:w="1211" w:type="dxa"/>
          </w:tcPr>
          <w:p w:rsidR="005556E3" w:rsidRPr="007C51D6" w:rsidRDefault="005556E3" w:rsidP="005556E3">
            <w:pPr>
              <w:autoSpaceDE/>
              <w:autoSpaceDN/>
              <w:adjustRightInd/>
              <w:spacing w:line="230" w:lineRule="auto"/>
              <w:jc w:val="center"/>
              <w:rPr>
                <w:rFonts w:eastAsia="Arial"/>
                <w:sz w:val="20"/>
                <w:szCs w:val="20"/>
              </w:rPr>
            </w:pPr>
            <w:r w:rsidRPr="007C51D6">
              <w:rPr>
                <w:rFonts w:eastAsia="Arial"/>
                <w:sz w:val="20"/>
                <w:szCs w:val="20"/>
              </w:rPr>
              <w:t>23,7</w:t>
            </w:r>
          </w:p>
        </w:tc>
        <w:tc>
          <w:tcPr>
            <w:tcW w:w="1212" w:type="dxa"/>
          </w:tcPr>
          <w:p w:rsidR="005556E3" w:rsidRPr="007C51D6" w:rsidRDefault="005556E3" w:rsidP="005556E3">
            <w:pPr>
              <w:autoSpaceDE/>
              <w:autoSpaceDN/>
              <w:adjustRightInd/>
              <w:spacing w:line="230" w:lineRule="auto"/>
              <w:jc w:val="center"/>
              <w:rPr>
                <w:rFonts w:eastAsia="Arial"/>
                <w:sz w:val="20"/>
                <w:szCs w:val="20"/>
              </w:rPr>
            </w:pPr>
            <w:r w:rsidRPr="007C51D6">
              <w:rPr>
                <w:rFonts w:eastAsia="Arial"/>
                <w:sz w:val="20"/>
                <w:szCs w:val="20"/>
              </w:rPr>
              <w:t>20,0</w:t>
            </w:r>
          </w:p>
        </w:tc>
        <w:tc>
          <w:tcPr>
            <w:tcW w:w="1212" w:type="dxa"/>
          </w:tcPr>
          <w:p w:rsidR="005556E3" w:rsidRPr="007C51D6" w:rsidRDefault="005556E3" w:rsidP="005556E3">
            <w:pPr>
              <w:autoSpaceDE/>
              <w:autoSpaceDN/>
              <w:adjustRightInd/>
              <w:spacing w:line="230" w:lineRule="auto"/>
              <w:jc w:val="center"/>
              <w:rPr>
                <w:rFonts w:eastAsia="Arial"/>
                <w:sz w:val="20"/>
                <w:szCs w:val="20"/>
              </w:rPr>
            </w:pPr>
            <w:r w:rsidRPr="007C51D6">
              <w:rPr>
                <w:rFonts w:eastAsia="Arial"/>
                <w:sz w:val="20"/>
                <w:szCs w:val="20"/>
              </w:rPr>
              <w:t>22,7</w:t>
            </w:r>
          </w:p>
        </w:tc>
        <w:tc>
          <w:tcPr>
            <w:tcW w:w="1212" w:type="dxa"/>
          </w:tcPr>
          <w:p w:rsidR="005556E3" w:rsidRPr="007C51D6" w:rsidRDefault="005556E3" w:rsidP="005556E3">
            <w:pPr>
              <w:autoSpaceDE/>
              <w:autoSpaceDN/>
              <w:adjustRightInd/>
              <w:spacing w:line="230" w:lineRule="auto"/>
              <w:jc w:val="center"/>
              <w:rPr>
                <w:rFonts w:eastAsia="Arial"/>
                <w:sz w:val="20"/>
                <w:szCs w:val="20"/>
              </w:rPr>
            </w:pPr>
            <w:r w:rsidRPr="007C51D6">
              <w:rPr>
                <w:rFonts w:eastAsia="Arial"/>
                <w:sz w:val="20"/>
                <w:szCs w:val="20"/>
              </w:rPr>
              <w:t>20,3</w:t>
            </w:r>
          </w:p>
        </w:tc>
        <w:tc>
          <w:tcPr>
            <w:tcW w:w="1212" w:type="dxa"/>
          </w:tcPr>
          <w:p w:rsidR="005556E3" w:rsidRPr="007C51D6" w:rsidRDefault="005556E3" w:rsidP="005556E3">
            <w:pPr>
              <w:autoSpaceDE/>
              <w:autoSpaceDN/>
              <w:adjustRightInd/>
              <w:spacing w:line="230" w:lineRule="auto"/>
              <w:jc w:val="center"/>
              <w:rPr>
                <w:rFonts w:eastAsia="Arial"/>
                <w:sz w:val="20"/>
                <w:szCs w:val="20"/>
              </w:rPr>
            </w:pPr>
            <w:r w:rsidRPr="007C51D6">
              <w:rPr>
                <w:rFonts w:eastAsia="Arial"/>
                <w:sz w:val="20"/>
                <w:szCs w:val="20"/>
              </w:rPr>
              <w:t>26,0</w:t>
            </w:r>
          </w:p>
        </w:tc>
        <w:tc>
          <w:tcPr>
            <w:tcW w:w="1212" w:type="dxa"/>
          </w:tcPr>
          <w:p w:rsidR="005556E3" w:rsidRPr="007C51D6" w:rsidRDefault="005556E3" w:rsidP="005556E3">
            <w:pPr>
              <w:autoSpaceDE/>
              <w:autoSpaceDN/>
              <w:adjustRightInd/>
              <w:spacing w:line="230" w:lineRule="auto"/>
              <w:jc w:val="center"/>
              <w:rPr>
                <w:rFonts w:eastAsia="Arial"/>
                <w:sz w:val="20"/>
                <w:szCs w:val="20"/>
              </w:rPr>
            </w:pPr>
            <w:r w:rsidRPr="007C51D6">
              <w:rPr>
                <w:rFonts w:eastAsia="Arial"/>
                <w:sz w:val="20"/>
                <w:szCs w:val="20"/>
              </w:rPr>
              <w:t>25,5</w:t>
            </w:r>
          </w:p>
        </w:tc>
        <w:tc>
          <w:tcPr>
            <w:tcW w:w="1212" w:type="dxa"/>
          </w:tcPr>
          <w:p w:rsidR="005556E3" w:rsidRPr="007C51D6" w:rsidRDefault="005556E3" w:rsidP="005556E3">
            <w:pPr>
              <w:autoSpaceDE/>
              <w:autoSpaceDN/>
              <w:adjustRightInd/>
              <w:spacing w:line="230" w:lineRule="auto"/>
              <w:jc w:val="center"/>
              <w:rPr>
                <w:rFonts w:eastAsia="Arial"/>
                <w:sz w:val="20"/>
                <w:szCs w:val="20"/>
              </w:rPr>
            </w:pPr>
            <w:r w:rsidRPr="007C51D6">
              <w:rPr>
                <w:rFonts w:eastAsia="Arial"/>
                <w:sz w:val="20"/>
                <w:szCs w:val="20"/>
              </w:rPr>
              <w:t>24,1</w:t>
            </w:r>
          </w:p>
        </w:tc>
        <w:tc>
          <w:tcPr>
            <w:tcW w:w="1212" w:type="dxa"/>
          </w:tcPr>
          <w:p w:rsidR="005556E3" w:rsidRPr="007C51D6" w:rsidRDefault="005556E3" w:rsidP="005556E3">
            <w:pPr>
              <w:autoSpaceDE/>
              <w:autoSpaceDN/>
              <w:adjustRightInd/>
              <w:spacing w:line="230" w:lineRule="auto"/>
              <w:jc w:val="center"/>
              <w:rPr>
                <w:rFonts w:eastAsia="Arial"/>
                <w:sz w:val="20"/>
                <w:szCs w:val="20"/>
              </w:rPr>
            </w:pPr>
            <w:r w:rsidRPr="007C51D6">
              <w:rPr>
                <w:rFonts w:eastAsia="Arial"/>
                <w:sz w:val="20"/>
                <w:szCs w:val="20"/>
              </w:rPr>
              <w:t>25,7</w:t>
            </w:r>
          </w:p>
        </w:tc>
        <w:tc>
          <w:tcPr>
            <w:tcW w:w="1212" w:type="dxa"/>
            <w:vAlign w:val="bottom"/>
          </w:tcPr>
          <w:p w:rsidR="005556E3" w:rsidRPr="007C51D6" w:rsidRDefault="005556E3" w:rsidP="005556E3">
            <w:pPr>
              <w:jc w:val="center"/>
              <w:rPr>
                <w:color w:val="000000"/>
                <w:sz w:val="20"/>
                <w:szCs w:val="20"/>
              </w:rPr>
            </w:pPr>
            <w:r w:rsidRPr="007C51D6">
              <w:rPr>
                <w:color w:val="000000"/>
                <w:sz w:val="20"/>
                <w:szCs w:val="20"/>
              </w:rPr>
              <w:t>20,4</w:t>
            </w:r>
          </w:p>
        </w:tc>
      </w:tr>
      <w:tr w:rsidR="005556E3" w:rsidRPr="007C51D6" w:rsidTr="0038114E">
        <w:tblPrEx>
          <w:tblBorders>
            <w:bottom w:val="single" w:sz="4" w:space="0" w:color="auto"/>
          </w:tblBorders>
          <w:tblCellMar>
            <w:top w:w="11" w:type="dxa"/>
            <w:bottom w:w="11" w:type="dxa"/>
          </w:tblCellMar>
        </w:tblPrEx>
        <w:trPr>
          <w:trHeight w:val="20"/>
        </w:trPr>
        <w:tc>
          <w:tcPr>
            <w:tcW w:w="1838" w:type="dxa"/>
            <w:vMerge/>
          </w:tcPr>
          <w:p w:rsidR="005556E3" w:rsidRPr="007C51D6" w:rsidRDefault="005556E3" w:rsidP="005556E3">
            <w:pPr>
              <w:spacing w:line="230" w:lineRule="auto"/>
              <w:jc w:val="both"/>
              <w:rPr>
                <w:rFonts w:eastAsia="Arial"/>
                <w:sz w:val="20"/>
                <w:szCs w:val="20"/>
              </w:rPr>
            </w:pPr>
          </w:p>
        </w:tc>
        <w:tc>
          <w:tcPr>
            <w:tcW w:w="1276" w:type="dxa"/>
          </w:tcPr>
          <w:p w:rsidR="005556E3" w:rsidRPr="007C51D6" w:rsidRDefault="005556E3" w:rsidP="005556E3">
            <w:pPr>
              <w:spacing w:line="230" w:lineRule="auto"/>
              <w:jc w:val="both"/>
              <w:rPr>
                <w:rFonts w:eastAsia="Arial"/>
                <w:sz w:val="20"/>
                <w:szCs w:val="20"/>
                <w:lang w:val="en-US"/>
              </w:rPr>
            </w:pPr>
            <w:r w:rsidRPr="007C51D6">
              <w:rPr>
                <w:rFonts w:eastAsia="Arial"/>
                <w:sz w:val="20"/>
                <w:szCs w:val="20"/>
                <w:lang w:val="en-US"/>
              </w:rPr>
              <w:t>IV</w:t>
            </w:r>
            <w:r w:rsidRPr="007C51D6">
              <w:rPr>
                <w:rFonts w:eastAsia="Arial"/>
                <w:sz w:val="20"/>
                <w:szCs w:val="20"/>
              </w:rPr>
              <w:t xml:space="preserve"> стадия</w:t>
            </w:r>
          </w:p>
        </w:tc>
        <w:tc>
          <w:tcPr>
            <w:tcW w:w="1210" w:type="dxa"/>
          </w:tcPr>
          <w:p w:rsidR="005556E3" w:rsidRPr="007C51D6" w:rsidRDefault="005556E3" w:rsidP="005556E3">
            <w:pPr>
              <w:autoSpaceDE/>
              <w:autoSpaceDN/>
              <w:adjustRightInd/>
              <w:spacing w:line="230" w:lineRule="auto"/>
              <w:jc w:val="center"/>
              <w:rPr>
                <w:rFonts w:eastAsia="Arial"/>
                <w:sz w:val="20"/>
                <w:szCs w:val="20"/>
              </w:rPr>
            </w:pPr>
            <w:r w:rsidRPr="007C51D6">
              <w:rPr>
                <w:rFonts w:eastAsia="Arial"/>
                <w:sz w:val="20"/>
                <w:szCs w:val="20"/>
              </w:rPr>
              <w:t>43,2</w:t>
            </w:r>
          </w:p>
        </w:tc>
        <w:tc>
          <w:tcPr>
            <w:tcW w:w="1211" w:type="dxa"/>
          </w:tcPr>
          <w:p w:rsidR="005556E3" w:rsidRPr="007C51D6" w:rsidRDefault="005556E3" w:rsidP="005556E3">
            <w:pPr>
              <w:autoSpaceDE/>
              <w:autoSpaceDN/>
              <w:adjustRightInd/>
              <w:spacing w:line="230" w:lineRule="auto"/>
              <w:jc w:val="center"/>
              <w:rPr>
                <w:rFonts w:eastAsia="Arial"/>
                <w:sz w:val="20"/>
                <w:szCs w:val="20"/>
              </w:rPr>
            </w:pPr>
            <w:r w:rsidRPr="007C51D6">
              <w:rPr>
                <w:rFonts w:eastAsia="Arial"/>
                <w:sz w:val="20"/>
                <w:szCs w:val="20"/>
              </w:rPr>
              <w:t>42,0</w:t>
            </w:r>
          </w:p>
        </w:tc>
        <w:tc>
          <w:tcPr>
            <w:tcW w:w="1212" w:type="dxa"/>
          </w:tcPr>
          <w:p w:rsidR="005556E3" w:rsidRPr="007C51D6" w:rsidRDefault="005556E3" w:rsidP="005556E3">
            <w:pPr>
              <w:autoSpaceDE/>
              <w:autoSpaceDN/>
              <w:adjustRightInd/>
              <w:spacing w:line="230" w:lineRule="auto"/>
              <w:jc w:val="center"/>
              <w:rPr>
                <w:rFonts w:eastAsia="Arial"/>
                <w:sz w:val="20"/>
                <w:szCs w:val="20"/>
              </w:rPr>
            </w:pPr>
            <w:r w:rsidRPr="007C51D6">
              <w:rPr>
                <w:rFonts w:eastAsia="Arial"/>
                <w:sz w:val="20"/>
                <w:szCs w:val="20"/>
              </w:rPr>
              <w:t>40,9</w:t>
            </w:r>
          </w:p>
        </w:tc>
        <w:tc>
          <w:tcPr>
            <w:tcW w:w="1212" w:type="dxa"/>
          </w:tcPr>
          <w:p w:rsidR="005556E3" w:rsidRPr="007C51D6" w:rsidRDefault="005556E3" w:rsidP="005556E3">
            <w:pPr>
              <w:autoSpaceDE/>
              <w:autoSpaceDN/>
              <w:adjustRightInd/>
              <w:spacing w:line="230" w:lineRule="auto"/>
              <w:jc w:val="center"/>
              <w:rPr>
                <w:rFonts w:eastAsia="Arial"/>
                <w:sz w:val="20"/>
                <w:szCs w:val="20"/>
              </w:rPr>
            </w:pPr>
            <w:r w:rsidRPr="007C51D6">
              <w:rPr>
                <w:rFonts w:eastAsia="Arial"/>
                <w:sz w:val="20"/>
                <w:szCs w:val="20"/>
              </w:rPr>
              <w:t>38,2</w:t>
            </w:r>
          </w:p>
        </w:tc>
        <w:tc>
          <w:tcPr>
            <w:tcW w:w="1212" w:type="dxa"/>
          </w:tcPr>
          <w:p w:rsidR="005556E3" w:rsidRPr="007C51D6" w:rsidRDefault="005556E3" w:rsidP="005556E3">
            <w:pPr>
              <w:autoSpaceDE/>
              <w:autoSpaceDN/>
              <w:adjustRightInd/>
              <w:spacing w:line="230" w:lineRule="auto"/>
              <w:jc w:val="center"/>
              <w:rPr>
                <w:rFonts w:eastAsia="Arial"/>
                <w:sz w:val="20"/>
                <w:szCs w:val="20"/>
              </w:rPr>
            </w:pPr>
            <w:r w:rsidRPr="007C51D6">
              <w:rPr>
                <w:rFonts w:eastAsia="Arial"/>
                <w:sz w:val="20"/>
                <w:szCs w:val="20"/>
              </w:rPr>
              <w:t>46,9</w:t>
            </w:r>
          </w:p>
        </w:tc>
        <w:tc>
          <w:tcPr>
            <w:tcW w:w="1212" w:type="dxa"/>
          </w:tcPr>
          <w:p w:rsidR="005556E3" w:rsidRPr="007C51D6" w:rsidRDefault="005556E3" w:rsidP="005556E3">
            <w:pPr>
              <w:autoSpaceDE/>
              <w:autoSpaceDN/>
              <w:adjustRightInd/>
              <w:spacing w:line="230" w:lineRule="auto"/>
              <w:jc w:val="center"/>
              <w:rPr>
                <w:rFonts w:eastAsia="Arial"/>
                <w:sz w:val="20"/>
                <w:szCs w:val="20"/>
              </w:rPr>
            </w:pPr>
            <w:r w:rsidRPr="007C51D6">
              <w:rPr>
                <w:rFonts w:eastAsia="Arial"/>
                <w:sz w:val="20"/>
                <w:szCs w:val="20"/>
              </w:rPr>
              <w:t>42,6</w:t>
            </w:r>
          </w:p>
        </w:tc>
        <w:tc>
          <w:tcPr>
            <w:tcW w:w="1212" w:type="dxa"/>
          </w:tcPr>
          <w:p w:rsidR="005556E3" w:rsidRPr="007C51D6" w:rsidRDefault="005556E3" w:rsidP="005556E3">
            <w:pPr>
              <w:autoSpaceDE/>
              <w:autoSpaceDN/>
              <w:adjustRightInd/>
              <w:spacing w:line="230" w:lineRule="auto"/>
              <w:jc w:val="center"/>
              <w:rPr>
                <w:rFonts w:eastAsia="Arial"/>
                <w:sz w:val="20"/>
                <w:szCs w:val="20"/>
              </w:rPr>
            </w:pPr>
            <w:r w:rsidRPr="007C51D6">
              <w:rPr>
                <w:rFonts w:eastAsia="Arial"/>
                <w:sz w:val="20"/>
                <w:szCs w:val="20"/>
              </w:rPr>
              <w:t>41,1</w:t>
            </w:r>
          </w:p>
        </w:tc>
        <w:tc>
          <w:tcPr>
            <w:tcW w:w="1212" w:type="dxa"/>
          </w:tcPr>
          <w:p w:rsidR="005556E3" w:rsidRPr="007C51D6" w:rsidRDefault="005556E3" w:rsidP="005556E3">
            <w:pPr>
              <w:autoSpaceDE/>
              <w:autoSpaceDN/>
              <w:adjustRightInd/>
              <w:spacing w:line="230" w:lineRule="auto"/>
              <w:jc w:val="center"/>
              <w:rPr>
                <w:rFonts w:eastAsia="Arial"/>
                <w:sz w:val="20"/>
                <w:szCs w:val="20"/>
              </w:rPr>
            </w:pPr>
            <w:r w:rsidRPr="007C51D6">
              <w:rPr>
                <w:rFonts w:eastAsia="Arial"/>
                <w:sz w:val="20"/>
                <w:szCs w:val="20"/>
              </w:rPr>
              <w:t>44,3</w:t>
            </w:r>
          </w:p>
        </w:tc>
        <w:tc>
          <w:tcPr>
            <w:tcW w:w="1212" w:type="dxa"/>
          </w:tcPr>
          <w:p w:rsidR="005556E3" w:rsidRPr="007C51D6" w:rsidRDefault="005556E3" w:rsidP="005556E3">
            <w:pPr>
              <w:autoSpaceDE/>
              <w:autoSpaceDN/>
              <w:adjustRightInd/>
              <w:spacing w:line="230" w:lineRule="auto"/>
              <w:jc w:val="center"/>
              <w:rPr>
                <w:rFonts w:eastAsia="Arial"/>
                <w:sz w:val="20"/>
                <w:szCs w:val="20"/>
              </w:rPr>
            </w:pPr>
            <w:r w:rsidRPr="007C51D6">
              <w:rPr>
                <w:rFonts w:eastAsia="Arial"/>
                <w:sz w:val="20"/>
                <w:szCs w:val="20"/>
              </w:rPr>
              <w:t>41,9</w:t>
            </w:r>
          </w:p>
        </w:tc>
        <w:tc>
          <w:tcPr>
            <w:tcW w:w="1212" w:type="dxa"/>
            <w:vAlign w:val="bottom"/>
          </w:tcPr>
          <w:p w:rsidR="005556E3" w:rsidRPr="007C51D6" w:rsidRDefault="005556E3" w:rsidP="005556E3">
            <w:pPr>
              <w:jc w:val="center"/>
              <w:rPr>
                <w:color w:val="000000"/>
                <w:sz w:val="20"/>
                <w:szCs w:val="20"/>
              </w:rPr>
            </w:pPr>
            <w:r w:rsidRPr="007C51D6">
              <w:rPr>
                <w:color w:val="000000"/>
                <w:sz w:val="20"/>
                <w:szCs w:val="20"/>
              </w:rPr>
              <w:t>44,4</w:t>
            </w:r>
          </w:p>
        </w:tc>
      </w:tr>
      <w:tr w:rsidR="005556E3" w:rsidRPr="007C51D6" w:rsidTr="0038114E">
        <w:tblPrEx>
          <w:tblBorders>
            <w:bottom w:val="single" w:sz="4" w:space="0" w:color="auto"/>
          </w:tblBorders>
          <w:tblCellMar>
            <w:top w:w="11" w:type="dxa"/>
            <w:bottom w:w="11" w:type="dxa"/>
          </w:tblCellMar>
        </w:tblPrEx>
        <w:trPr>
          <w:trHeight w:val="20"/>
        </w:trPr>
        <w:tc>
          <w:tcPr>
            <w:tcW w:w="1838" w:type="dxa"/>
            <w:vMerge/>
          </w:tcPr>
          <w:p w:rsidR="005556E3" w:rsidRPr="007C51D6" w:rsidRDefault="005556E3" w:rsidP="005556E3">
            <w:pPr>
              <w:jc w:val="both"/>
              <w:rPr>
                <w:rFonts w:eastAsia="Arial"/>
                <w:sz w:val="20"/>
                <w:szCs w:val="20"/>
              </w:rPr>
            </w:pPr>
          </w:p>
        </w:tc>
        <w:tc>
          <w:tcPr>
            <w:tcW w:w="1276" w:type="dxa"/>
          </w:tcPr>
          <w:p w:rsidR="005556E3" w:rsidRPr="007C51D6" w:rsidRDefault="005556E3" w:rsidP="005556E3">
            <w:pPr>
              <w:jc w:val="both"/>
              <w:rPr>
                <w:rFonts w:eastAsia="Arial"/>
                <w:sz w:val="20"/>
                <w:szCs w:val="20"/>
                <w:lang w:val="en-US"/>
              </w:rPr>
            </w:pPr>
            <w:r w:rsidRPr="007C51D6">
              <w:rPr>
                <w:rFonts w:eastAsia="Arial"/>
                <w:sz w:val="20"/>
                <w:szCs w:val="20"/>
              </w:rPr>
              <w:t>без стадии</w:t>
            </w:r>
          </w:p>
        </w:tc>
        <w:tc>
          <w:tcPr>
            <w:tcW w:w="1210" w:type="dxa"/>
          </w:tcPr>
          <w:p w:rsidR="005556E3" w:rsidRPr="007C51D6" w:rsidRDefault="005556E3" w:rsidP="005556E3">
            <w:pPr>
              <w:autoSpaceDE/>
              <w:autoSpaceDN/>
              <w:adjustRightInd/>
              <w:jc w:val="center"/>
              <w:rPr>
                <w:rFonts w:eastAsia="Arial"/>
                <w:sz w:val="20"/>
                <w:szCs w:val="20"/>
              </w:rPr>
            </w:pPr>
            <w:r w:rsidRPr="007C51D6">
              <w:rPr>
                <w:rFonts w:eastAsia="Arial"/>
                <w:sz w:val="20"/>
                <w:szCs w:val="20"/>
              </w:rPr>
              <w:t>0,1</w:t>
            </w:r>
          </w:p>
        </w:tc>
        <w:tc>
          <w:tcPr>
            <w:tcW w:w="1211" w:type="dxa"/>
          </w:tcPr>
          <w:p w:rsidR="005556E3" w:rsidRPr="007C51D6" w:rsidRDefault="005556E3" w:rsidP="005556E3">
            <w:pPr>
              <w:autoSpaceDE/>
              <w:autoSpaceDN/>
              <w:adjustRightInd/>
              <w:jc w:val="center"/>
              <w:rPr>
                <w:rFonts w:eastAsia="Arial"/>
                <w:sz w:val="20"/>
                <w:szCs w:val="20"/>
              </w:rPr>
            </w:pPr>
            <w:r w:rsidRPr="007C51D6">
              <w:rPr>
                <w:rFonts w:eastAsia="Arial"/>
                <w:sz w:val="20"/>
                <w:szCs w:val="20"/>
              </w:rPr>
              <w:t>0</w:t>
            </w:r>
          </w:p>
        </w:tc>
        <w:tc>
          <w:tcPr>
            <w:tcW w:w="1212" w:type="dxa"/>
          </w:tcPr>
          <w:p w:rsidR="005556E3" w:rsidRPr="007C51D6" w:rsidRDefault="005556E3" w:rsidP="005556E3">
            <w:pPr>
              <w:autoSpaceDE/>
              <w:autoSpaceDN/>
              <w:adjustRightInd/>
              <w:jc w:val="center"/>
              <w:rPr>
                <w:rFonts w:eastAsia="Arial"/>
                <w:sz w:val="20"/>
                <w:szCs w:val="20"/>
              </w:rPr>
            </w:pPr>
            <w:r w:rsidRPr="007C51D6">
              <w:rPr>
                <w:rFonts w:eastAsia="Arial"/>
                <w:sz w:val="20"/>
                <w:szCs w:val="20"/>
              </w:rPr>
              <w:t>0</w:t>
            </w:r>
          </w:p>
        </w:tc>
        <w:tc>
          <w:tcPr>
            <w:tcW w:w="1212" w:type="dxa"/>
          </w:tcPr>
          <w:p w:rsidR="005556E3" w:rsidRPr="007C51D6" w:rsidRDefault="005556E3" w:rsidP="005556E3">
            <w:pPr>
              <w:autoSpaceDE/>
              <w:autoSpaceDN/>
              <w:adjustRightInd/>
              <w:jc w:val="center"/>
              <w:rPr>
                <w:rFonts w:eastAsia="Arial"/>
                <w:sz w:val="20"/>
                <w:szCs w:val="20"/>
              </w:rPr>
            </w:pPr>
            <w:r w:rsidRPr="007C51D6">
              <w:rPr>
                <w:rFonts w:eastAsia="Arial"/>
                <w:sz w:val="20"/>
                <w:szCs w:val="20"/>
              </w:rPr>
              <w:t>0</w:t>
            </w:r>
          </w:p>
        </w:tc>
        <w:tc>
          <w:tcPr>
            <w:tcW w:w="1212" w:type="dxa"/>
          </w:tcPr>
          <w:p w:rsidR="005556E3" w:rsidRPr="007C51D6" w:rsidRDefault="005556E3" w:rsidP="005556E3">
            <w:pPr>
              <w:autoSpaceDE/>
              <w:autoSpaceDN/>
              <w:adjustRightInd/>
              <w:jc w:val="center"/>
              <w:rPr>
                <w:rFonts w:eastAsia="Arial"/>
                <w:sz w:val="20"/>
                <w:szCs w:val="20"/>
              </w:rPr>
            </w:pPr>
            <w:r w:rsidRPr="007C51D6">
              <w:rPr>
                <w:rFonts w:eastAsia="Arial"/>
                <w:sz w:val="20"/>
                <w:szCs w:val="20"/>
              </w:rPr>
              <w:t>0,1</w:t>
            </w:r>
          </w:p>
        </w:tc>
        <w:tc>
          <w:tcPr>
            <w:tcW w:w="1212" w:type="dxa"/>
          </w:tcPr>
          <w:p w:rsidR="005556E3" w:rsidRPr="007C51D6" w:rsidRDefault="005556E3" w:rsidP="005556E3">
            <w:pPr>
              <w:autoSpaceDE/>
              <w:autoSpaceDN/>
              <w:adjustRightInd/>
              <w:jc w:val="center"/>
              <w:rPr>
                <w:rFonts w:eastAsia="Arial"/>
                <w:sz w:val="20"/>
                <w:szCs w:val="20"/>
              </w:rPr>
            </w:pPr>
            <w:r w:rsidRPr="007C51D6">
              <w:rPr>
                <w:rFonts w:eastAsia="Arial"/>
                <w:sz w:val="20"/>
                <w:szCs w:val="20"/>
              </w:rPr>
              <w:t>0,1</w:t>
            </w:r>
          </w:p>
        </w:tc>
        <w:tc>
          <w:tcPr>
            <w:tcW w:w="1212" w:type="dxa"/>
          </w:tcPr>
          <w:p w:rsidR="005556E3" w:rsidRPr="007C51D6" w:rsidRDefault="005556E3" w:rsidP="005556E3">
            <w:pPr>
              <w:autoSpaceDE/>
              <w:autoSpaceDN/>
              <w:adjustRightInd/>
              <w:jc w:val="center"/>
              <w:rPr>
                <w:rFonts w:eastAsia="Arial"/>
                <w:sz w:val="20"/>
                <w:szCs w:val="20"/>
              </w:rPr>
            </w:pPr>
            <w:r w:rsidRPr="007C51D6">
              <w:rPr>
                <w:rFonts w:eastAsia="Arial"/>
                <w:sz w:val="20"/>
                <w:szCs w:val="20"/>
              </w:rPr>
              <w:t>0</w:t>
            </w:r>
          </w:p>
        </w:tc>
        <w:tc>
          <w:tcPr>
            <w:tcW w:w="1212" w:type="dxa"/>
          </w:tcPr>
          <w:p w:rsidR="005556E3" w:rsidRPr="007C51D6" w:rsidRDefault="005556E3" w:rsidP="005556E3">
            <w:pPr>
              <w:autoSpaceDE/>
              <w:autoSpaceDN/>
              <w:adjustRightInd/>
              <w:jc w:val="center"/>
              <w:rPr>
                <w:rFonts w:eastAsia="Arial"/>
                <w:sz w:val="20"/>
                <w:szCs w:val="20"/>
              </w:rPr>
            </w:pPr>
            <w:r w:rsidRPr="007C51D6">
              <w:rPr>
                <w:rFonts w:eastAsia="Arial"/>
                <w:sz w:val="20"/>
                <w:szCs w:val="20"/>
              </w:rPr>
              <w:t>0</w:t>
            </w:r>
          </w:p>
        </w:tc>
        <w:tc>
          <w:tcPr>
            <w:tcW w:w="1212" w:type="dxa"/>
          </w:tcPr>
          <w:p w:rsidR="005556E3" w:rsidRPr="007C51D6" w:rsidRDefault="005556E3" w:rsidP="005556E3">
            <w:pPr>
              <w:autoSpaceDE/>
              <w:autoSpaceDN/>
              <w:adjustRightInd/>
              <w:jc w:val="center"/>
              <w:rPr>
                <w:rFonts w:eastAsia="Arial"/>
                <w:sz w:val="20"/>
                <w:szCs w:val="20"/>
              </w:rPr>
            </w:pPr>
            <w:r w:rsidRPr="007C51D6">
              <w:rPr>
                <w:rFonts w:eastAsia="Arial"/>
                <w:sz w:val="20"/>
                <w:szCs w:val="20"/>
              </w:rPr>
              <w:t>0,1</w:t>
            </w:r>
          </w:p>
        </w:tc>
        <w:tc>
          <w:tcPr>
            <w:tcW w:w="1212" w:type="dxa"/>
            <w:vAlign w:val="bottom"/>
          </w:tcPr>
          <w:p w:rsidR="005556E3" w:rsidRPr="007C51D6" w:rsidRDefault="005556E3" w:rsidP="005556E3">
            <w:pPr>
              <w:jc w:val="center"/>
              <w:rPr>
                <w:color w:val="000000"/>
                <w:sz w:val="20"/>
                <w:szCs w:val="20"/>
              </w:rPr>
            </w:pPr>
            <w:r w:rsidRPr="007C51D6">
              <w:rPr>
                <w:color w:val="000000"/>
                <w:sz w:val="20"/>
                <w:szCs w:val="20"/>
              </w:rPr>
              <w:t>0,1</w:t>
            </w:r>
          </w:p>
        </w:tc>
      </w:tr>
      <w:tr w:rsidR="000A28A9" w:rsidRPr="007C51D6" w:rsidTr="0038114E">
        <w:tblPrEx>
          <w:tblBorders>
            <w:bottom w:val="single" w:sz="4" w:space="0" w:color="auto"/>
          </w:tblBorders>
          <w:tblCellMar>
            <w:top w:w="11" w:type="dxa"/>
            <w:bottom w:w="11" w:type="dxa"/>
          </w:tblCellMar>
        </w:tblPrEx>
        <w:trPr>
          <w:trHeight w:val="20"/>
        </w:trPr>
        <w:tc>
          <w:tcPr>
            <w:tcW w:w="1838" w:type="dxa"/>
            <w:vMerge w:val="restart"/>
          </w:tcPr>
          <w:p w:rsidR="000A28A9" w:rsidRPr="007C51D6" w:rsidRDefault="000A28A9" w:rsidP="000A28A9">
            <w:pPr>
              <w:spacing w:line="230" w:lineRule="auto"/>
              <w:jc w:val="both"/>
              <w:rPr>
                <w:rFonts w:eastAsia="Arial"/>
                <w:sz w:val="20"/>
                <w:szCs w:val="20"/>
              </w:rPr>
            </w:pPr>
            <w:r w:rsidRPr="007C51D6">
              <w:rPr>
                <w:rFonts w:eastAsia="Arial"/>
                <w:sz w:val="20"/>
                <w:szCs w:val="20"/>
              </w:rPr>
              <w:t>ЗНО ободочной кишки (С18)</w:t>
            </w:r>
          </w:p>
        </w:tc>
        <w:tc>
          <w:tcPr>
            <w:tcW w:w="1276" w:type="dxa"/>
          </w:tcPr>
          <w:p w:rsidR="000A28A9" w:rsidRPr="007C51D6" w:rsidRDefault="000A28A9" w:rsidP="000A28A9">
            <w:pPr>
              <w:autoSpaceDE/>
              <w:autoSpaceDN/>
              <w:adjustRightInd/>
              <w:spacing w:line="230" w:lineRule="auto"/>
              <w:jc w:val="both"/>
              <w:rPr>
                <w:rFonts w:eastAsia="Arial"/>
                <w:sz w:val="20"/>
                <w:szCs w:val="20"/>
              </w:rPr>
            </w:pPr>
            <w:r w:rsidRPr="007C51D6">
              <w:rPr>
                <w:rFonts w:eastAsia="Arial"/>
                <w:sz w:val="20"/>
                <w:szCs w:val="20"/>
                <w:lang w:val="en-US"/>
              </w:rPr>
              <w:t>I</w:t>
            </w:r>
            <w:r w:rsidRPr="007C51D6">
              <w:rPr>
                <w:rFonts w:eastAsia="Arial"/>
                <w:sz w:val="20"/>
                <w:szCs w:val="20"/>
              </w:rPr>
              <w:t xml:space="preserve"> стадия</w:t>
            </w:r>
          </w:p>
        </w:tc>
        <w:tc>
          <w:tcPr>
            <w:tcW w:w="1210" w:type="dxa"/>
          </w:tcPr>
          <w:p w:rsidR="000A28A9" w:rsidRPr="007C51D6" w:rsidRDefault="000A28A9" w:rsidP="000A28A9">
            <w:pPr>
              <w:autoSpaceDE/>
              <w:autoSpaceDN/>
              <w:adjustRightInd/>
              <w:spacing w:line="230" w:lineRule="auto"/>
              <w:jc w:val="center"/>
              <w:rPr>
                <w:rFonts w:eastAsia="Arial"/>
                <w:sz w:val="20"/>
                <w:szCs w:val="20"/>
              </w:rPr>
            </w:pPr>
            <w:r w:rsidRPr="007C51D6">
              <w:rPr>
                <w:rFonts w:eastAsia="Arial"/>
                <w:sz w:val="20"/>
                <w:szCs w:val="20"/>
              </w:rPr>
              <w:t>13,3</w:t>
            </w:r>
          </w:p>
        </w:tc>
        <w:tc>
          <w:tcPr>
            <w:tcW w:w="1211" w:type="dxa"/>
          </w:tcPr>
          <w:p w:rsidR="000A28A9" w:rsidRPr="007C51D6" w:rsidRDefault="000A28A9" w:rsidP="000A28A9">
            <w:pPr>
              <w:autoSpaceDE/>
              <w:autoSpaceDN/>
              <w:adjustRightInd/>
              <w:spacing w:line="230" w:lineRule="auto"/>
              <w:jc w:val="center"/>
              <w:rPr>
                <w:rFonts w:eastAsia="Arial"/>
                <w:sz w:val="20"/>
                <w:szCs w:val="20"/>
              </w:rPr>
            </w:pPr>
            <w:r w:rsidRPr="007C51D6">
              <w:rPr>
                <w:rFonts w:eastAsia="Arial"/>
                <w:sz w:val="20"/>
                <w:szCs w:val="20"/>
              </w:rPr>
              <w:t>15,5</w:t>
            </w:r>
          </w:p>
        </w:tc>
        <w:tc>
          <w:tcPr>
            <w:tcW w:w="1212" w:type="dxa"/>
          </w:tcPr>
          <w:p w:rsidR="000A28A9" w:rsidRPr="007C51D6" w:rsidRDefault="000A28A9" w:rsidP="000A28A9">
            <w:pPr>
              <w:autoSpaceDE/>
              <w:autoSpaceDN/>
              <w:adjustRightInd/>
              <w:spacing w:line="230" w:lineRule="auto"/>
              <w:jc w:val="center"/>
              <w:rPr>
                <w:rFonts w:eastAsia="Arial"/>
                <w:sz w:val="20"/>
                <w:szCs w:val="20"/>
              </w:rPr>
            </w:pPr>
            <w:r w:rsidRPr="007C51D6">
              <w:rPr>
                <w:rFonts w:eastAsia="Arial"/>
                <w:sz w:val="20"/>
                <w:szCs w:val="20"/>
              </w:rPr>
              <w:t>17,2</w:t>
            </w:r>
          </w:p>
        </w:tc>
        <w:tc>
          <w:tcPr>
            <w:tcW w:w="1212" w:type="dxa"/>
          </w:tcPr>
          <w:p w:rsidR="000A28A9" w:rsidRPr="007C51D6" w:rsidRDefault="000A28A9" w:rsidP="000A28A9">
            <w:pPr>
              <w:autoSpaceDE/>
              <w:autoSpaceDN/>
              <w:adjustRightInd/>
              <w:spacing w:line="230" w:lineRule="auto"/>
              <w:jc w:val="center"/>
              <w:rPr>
                <w:rFonts w:eastAsia="Arial"/>
                <w:sz w:val="20"/>
                <w:szCs w:val="20"/>
              </w:rPr>
            </w:pPr>
            <w:r w:rsidRPr="007C51D6">
              <w:rPr>
                <w:rFonts w:eastAsia="Arial"/>
                <w:sz w:val="20"/>
                <w:szCs w:val="20"/>
              </w:rPr>
              <w:t>18,6</w:t>
            </w:r>
          </w:p>
        </w:tc>
        <w:tc>
          <w:tcPr>
            <w:tcW w:w="1212" w:type="dxa"/>
          </w:tcPr>
          <w:p w:rsidR="000A28A9" w:rsidRPr="007C51D6" w:rsidRDefault="000A28A9" w:rsidP="000A28A9">
            <w:pPr>
              <w:autoSpaceDE/>
              <w:autoSpaceDN/>
              <w:adjustRightInd/>
              <w:spacing w:line="230" w:lineRule="auto"/>
              <w:jc w:val="center"/>
              <w:rPr>
                <w:rFonts w:eastAsia="Arial"/>
                <w:sz w:val="20"/>
                <w:szCs w:val="20"/>
              </w:rPr>
            </w:pPr>
            <w:r w:rsidRPr="007C51D6">
              <w:rPr>
                <w:rFonts w:eastAsia="Arial"/>
                <w:sz w:val="20"/>
                <w:szCs w:val="20"/>
              </w:rPr>
              <w:t>19,0</w:t>
            </w:r>
          </w:p>
        </w:tc>
        <w:tc>
          <w:tcPr>
            <w:tcW w:w="1212" w:type="dxa"/>
          </w:tcPr>
          <w:p w:rsidR="000A28A9" w:rsidRPr="007C51D6" w:rsidRDefault="000A28A9" w:rsidP="000A28A9">
            <w:pPr>
              <w:autoSpaceDE/>
              <w:autoSpaceDN/>
              <w:adjustRightInd/>
              <w:spacing w:line="230" w:lineRule="auto"/>
              <w:jc w:val="center"/>
              <w:rPr>
                <w:rFonts w:eastAsia="Arial"/>
                <w:sz w:val="20"/>
                <w:szCs w:val="20"/>
              </w:rPr>
            </w:pPr>
            <w:r w:rsidRPr="007C51D6">
              <w:rPr>
                <w:rFonts w:eastAsia="Arial"/>
                <w:sz w:val="20"/>
                <w:szCs w:val="20"/>
              </w:rPr>
              <w:t>22,3</w:t>
            </w:r>
          </w:p>
        </w:tc>
        <w:tc>
          <w:tcPr>
            <w:tcW w:w="1212" w:type="dxa"/>
          </w:tcPr>
          <w:p w:rsidR="000A28A9" w:rsidRPr="007C51D6" w:rsidRDefault="000A28A9" w:rsidP="000A28A9">
            <w:pPr>
              <w:autoSpaceDE/>
              <w:autoSpaceDN/>
              <w:adjustRightInd/>
              <w:spacing w:line="230" w:lineRule="auto"/>
              <w:jc w:val="center"/>
              <w:rPr>
                <w:rFonts w:eastAsia="Arial"/>
                <w:sz w:val="20"/>
                <w:szCs w:val="20"/>
              </w:rPr>
            </w:pPr>
            <w:r w:rsidRPr="007C51D6">
              <w:rPr>
                <w:rFonts w:eastAsia="Arial"/>
                <w:sz w:val="20"/>
                <w:szCs w:val="20"/>
              </w:rPr>
              <w:t>20,2</w:t>
            </w:r>
          </w:p>
        </w:tc>
        <w:tc>
          <w:tcPr>
            <w:tcW w:w="1212" w:type="dxa"/>
          </w:tcPr>
          <w:p w:rsidR="000A28A9" w:rsidRPr="007C51D6" w:rsidRDefault="000A28A9" w:rsidP="000A28A9">
            <w:pPr>
              <w:autoSpaceDE/>
              <w:autoSpaceDN/>
              <w:adjustRightInd/>
              <w:spacing w:line="230" w:lineRule="auto"/>
              <w:jc w:val="center"/>
              <w:rPr>
                <w:rFonts w:eastAsia="Arial"/>
                <w:sz w:val="20"/>
                <w:szCs w:val="20"/>
              </w:rPr>
            </w:pPr>
            <w:r w:rsidRPr="007C51D6">
              <w:rPr>
                <w:rFonts w:eastAsia="Arial"/>
                <w:sz w:val="20"/>
                <w:szCs w:val="20"/>
              </w:rPr>
              <w:t>25,0</w:t>
            </w:r>
          </w:p>
        </w:tc>
        <w:tc>
          <w:tcPr>
            <w:tcW w:w="1212" w:type="dxa"/>
          </w:tcPr>
          <w:p w:rsidR="000A28A9" w:rsidRPr="007C51D6" w:rsidRDefault="000A28A9" w:rsidP="000A28A9">
            <w:pPr>
              <w:autoSpaceDE/>
              <w:autoSpaceDN/>
              <w:adjustRightInd/>
              <w:spacing w:line="230" w:lineRule="auto"/>
              <w:jc w:val="center"/>
              <w:rPr>
                <w:rFonts w:eastAsia="Arial"/>
                <w:sz w:val="20"/>
                <w:szCs w:val="20"/>
              </w:rPr>
            </w:pPr>
            <w:r w:rsidRPr="007C51D6">
              <w:rPr>
                <w:rFonts w:eastAsia="Arial"/>
                <w:sz w:val="20"/>
                <w:szCs w:val="20"/>
              </w:rPr>
              <w:t>25,4</w:t>
            </w:r>
          </w:p>
        </w:tc>
        <w:tc>
          <w:tcPr>
            <w:tcW w:w="1212" w:type="dxa"/>
            <w:vAlign w:val="bottom"/>
          </w:tcPr>
          <w:p w:rsidR="000A28A9" w:rsidRPr="007C51D6" w:rsidRDefault="000A28A9" w:rsidP="000A28A9">
            <w:pPr>
              <w:widowControl/>
              <w:autoSpaceDE/>
              <w:autoSpaceDN/>
              <w:adjustRightInd/>
              <w:jc w:val="center"/>
              <w:rPr>
                <w:color w:val="000000"/>
                <w:sz w:val="20"/>
                <w:szCs w:val="20"/>
              </w:rPr>
            </w:pPr>
            <w:r w:rsidRPr="007C51D6">
              <w:rPr>
                <w:color w:val="000000"/>
                <w:sz w:val="20"/>
                <w:szCs w:val="20"/>
              </w:rPr>
              <w:t>31,6</w:t>
            </w:r>
          </w:p>
        </w:tc>
      </w:tr>
      <w:tr w:rsidR="000A28A9" w:rsidRPr="007C51D6" w:rsidTr="0038114E">
        <w:tblPrEx>
          <w:tblBorders>
            <w:bottom w:val="single" w:sz="4" w:space="0" w:color="auto"/>
          </w:tblBorders>
          <w:tblCellMar>
            <w:top w:w="11" w:type="dxa"/>
            <w:bottom w:w="11" w:type="dxa"/>
          </w:tblCellMar>
        </w:tblPrEx>
        <w:trPr>
          <w:trHeight w:val="20"/>
        </w:trPr>
        <w:tc>
          <w:tcPr>
            <w:tcW w:w="1838" w:type="dxa"/>
            <w:vMerge/>
          </w:tcPr>
          <w:p w:rsidR="000A28A9" w:rsidRPr="007C51D6" w:rsidRDefault="000A28A9" w:rsidP="000A28A9">
            <w:pPr>
              <w:spacing w:line="230" w:lineRule="auto"/>
              <w:jc w:val="both"/>
              <w:rPr>
                <w:rFonts w:eastAsia="Arial"/>
                <w:sz w:val="20"/>
                <w:szCs w:val="20"/>
                <w:lang w:val="en-US"/>
              </w:rPr>
            </w:pPr>
          </w:p>
        </w:tc>
        <w:tc>
          <w:tcPr>
            <w:tcW w:w="1276" w:type="dxa"/>
          </w:tcPr>
          <w:p w:rsidR="000A28A9" w:rsidRPr="007C51D6" w:rsidRDefault="000A28A9" w:rsidP="000A28A9">
            <w:pPr>
              <w:spacing w:line="230" w:lineRule="auto"/>
              <w:jc w:val="both"/>
              <w:rPr>
                <w:rFonts w:eastAsia="Arial"/>
                <w:sz w:val="20"/>
                <w:szCs w:val="20"/>
                <w:lang w:val="en-US"/>
              </w:rPr>
            </w:pPr>
            <w:r w:rsidRPr="007C51D6">
              <w:rPr>
                <w:rFonts w:eastAsia="Arial"/>
                <w:sz w:val="20"/>
                <w:szCs w:val="20"/>
                <w:lang w:val="en-US"/>
              </w:rPr>
              <w:t>II</w:t>
            </w:r>
            <w:r w:rsidRPr="007C51D6">
              <w:rPr>
                <w:rFonts w:eastAsia="Arial"/>
                <w:sz w:val="20"/>
                <w:szCs w:val="20"/>
              </w:rPr>
              <w:t xml:space="preserve"> стадия</w:t>
            </w:r>
          </w:p>
        </w:tc>
        <w:tc>
          <w:tcPr>
            <w:tcW w:w="1210" w:type="dxa"/>
          </w:tcPr>
          <w:p w:rsidR="000A28A9" w:rsidRPr="007C51D6" w:rsidRDefault="000A28A9" w:rsidP="000A28A9">
            <w:pPr>
              <w:autoSpaceDE/>
              <w:autoSpaceDN/>
              <w:adjustRightInd/>
              <w:spacing w:line="230" w:lineRule="auto"/>
              <w:jc w:val="center"/>
              <w:rPr>
                <w:rFonts w:eastAsia="Arial"/>
                <w:sz w:val="20"/>
                <w:szCs w:val="20"/>
              </w:rPr>
            </w:pPr>
            <w:r w:rsidRPr="007C51D6">
              <w:rPr>
                <w:rFonts w:eastAsia="Arial"/>
                <w:sz w:val="20"/>
                <w:szCs w:val="20"/>
              </w:rPr>
              <w:t>34,9</w:t>
            </w:r>
          </w:p>
        </w:tc>
        <w:tc>
          <w:tcPr>
            <w:tcW w:w="1211" w:type="dxa"/>
          </w:tcPr>
          <w:p w:rsidR="000A28A9" w:rsidRPr="007C51D6" w:rsidRDefault="000A28A9" w:rsidP="000A28A9">
            <w:pPr>
              <w:autoSpaceDE/>
              <w:autoSpaceDN/>
              <w:adjustRightInd/>
              <w:spacing w:line="230" w:lineRule="auto"/>
              <w:jc w:val="center"/>
              <w:rPr>
                <w:rFonts w:eastAsia="Arial"/>
                <w:sz w:val="20"/>
                <w:szCs w:val="20"/>
              </w:rPr>
            </w:pPr>
            <w:r w:rsidRPr="007C51D6">
              <w:rPr>
                <w:rFonts w:eastAsia="Arial"/>
                <w:sz w:val="20"/>
                <w:szCs w:val="20"/>
              </w:rPr>
              <w:t>39,0</w:t>
            </w:r>
          </w:p>
        </w:tc>
        <w:tc>
          <w:tcPr>
            <w:tcW w:w="1212" w:type="dxa"/>
          </w:tcPr>
          <w:p w:rsidR="000A28A9" w:rsidRPr="007C51D6" w:rsidRDefault="000A28A9" w:rsidP="000A28A9">
            <w:pPr>
              <w:autoSpaceDE/>
              <w:autoSpaceDN/>
              <w:adjustRightInd/>
              <w:spacing w:line="230" w:lineRule="auto"/>
              <w:jc w:val="center"/>
              <w:rPr>
                <w:rFonts w:eastAsia="Arial"/>
                <w:sz w:val="20"/>
                <w:szCs w:val="20"/>
              </w:rPr>
            </w:pPr>
            <w:r w:rsidRPr="007C51D6">
              <w:rPr>
                <w:rFonts w:eastAsia="Arial"/>
                <w:sz w:val="20"/>
                <w:szCs w:val="20"/>
              </w:rPr>
              <w:t>37,6</w:t>
            </w:r>
          </w:p>
        </w:tc>
        <w:tc>
          <w:tcPr>
            <w:tcW w:w="1212" w:type="dxa"/>
          </w:tcPr>
          <w:p w:rsidR="000A28A9" w:rsidRPr="007C51D6" w:rsidRDefault="000A28A9" w:rsidP="000A28A9">
            <w:pPr>
              <w:autoSpaceDE/>
              <w:autoSpaceDN/>
              <w:adjustRightInd/>
              <w:spacing w:line="230" w:lineRule="auto"/>
              <w:jc w:val="center"/>
              <w:rPr>
                <w:rFonts w:eastAsia="Arial"/>
                <w:sz w:val="20"/>
                <w:szCs w:val="20"/>
              </w:rPr>
            </w:pPr>
            <w:r w:rsidRPr="007C51D6">
              <w:rPr>
                <w:rFonts w:eastAsia="Arial"/>
                <w:sz w:val="20"/>
                <w:szCs w:val="20"/>
              </w:rPr>
              <w:t>40,2</w:t>
            </w:r>
          </w:p>
        </w:tc>
        <w:tc>
          <w:tcPr>
            <w:tcW w:w="1212" w:type="dxa"/>
          </w:tcPr>
          <w:p w:rsidR="000A28A9" w:rsidRPr="007C51D6" w:rsidRDefault="000A28A9" w:rsidP="000A28A9">
            <w:pPr>
              <w:autoSpaceDE/>
              <w:autoSpaceDN/>
              <w:adjustRightInd/>
              <w:spacing w:line="230" w:lineRule="auto"/>
              <w:jc w:val="center"/>
              <w:rPr>
                <w:rFonts w:eastAsia="Arial"/>
                <w:sz w:val="20"/>
                <w:szCs w:val="20"/>
              </w:rPr>
            </w:pPr>
            <w:r w:rsidRPr="007C51D6">
              <w:rPr>
                <w:rFonts w:eastAsia="Arial"/>
                <w:sz w:val="20"/>
                <w:szCs w:val="20"/>
              </w:rPr>
              <w:t>36,0</w:t>
            </w:r>
          </w:p>
        </w:tc>
        <w:tc>
          <w:tcPr>
            <w:tcW w:w="1212" w:type="dxa"/>
          </w:tcPr>
          <w:p w:rsidR="000A28A9" w:rsidRPr="007C51D6" w:rsidRDefault="000A28A9" w:rsidP="000A28A9">
            <w:pPr>
              <w:autoSpaceDE/>
              <w:autoSpaceDN/>
              <w:adjustRightInd/>
              <w:spacing w:line="230" w:lineRule="auto"/>
              <w:jc w:val="center"/>
              <w:rPr>
                <w:rFonts w:eastAsia="Arial"/>
                <w:sz w:val="20"/>
                <w:szCs w:val="20"/>
              </w:rPr>
            </w:pPr>
            <w:r w:rsidRPr="007C51D6">
              <w:rPr>
                <w:rFonts w:eastAsia="Arial"/>
                <w:sz w:val="20"/>
                <w:szCs w:val="20"/>
              </w:rPr>
              <w:t>33,2</w:t>
            </w:r>
          </w:p>
        </w:tc>
        <w:tc>
          <w:tcPr>
            <w:tcW w:w="1212" w:type="dxa"/>
          </w:tcPr>
          <w:p w:rsidR="000A28A9" w:rsidRPr="007C51D6" w:rsidRDefault="000A28A9" w:rsidP="000A28A9">
            <w:pPr>
              <w:autoSpaceDE/>
              <w:autoSpaceDN/>
              <w:adjustRightInd/>
              <w:spacing w:line="230" w:lineRule="auto"/>
              <w:jc w:val="center"/>
              <w:rPr>
                <w:rFonts w:eastAsia="Arial"/>
                <w:sz w:val="20"/>
                <w:szCs w:val="20"/>
              </w:rPr>
            </w:pPr>
            <w:r w:rsidRPr="007C51D6">
              <w:rPr>
                <w:rFonts w:eastAsia="Arial"/>
                <w:sz w:val="20"/>
                <w:szCs w:val="20"/>
              </w:rPr>
              <w:t>35,5</w:t>
            </w:r>
          </w:p>
        </w:tc>
        <w:tc>
          <w:tcPr>
            <w:tcW w:w="1212" w:type="dxa"/>
          </w:tcPr>
          <w:p w:rsidR="000A28A9" w:rsidRPr="007C51D6" w:rsidRDefault="000A28A9" w:rsidP="000A28A9">
            <w:pPr>
              <w:autoSpaceDE/>
              <w:autoSpaceDN/>
              <w:adjustRightInd/>
              <w:spacing w:line="230" w:lineRule="auto"/>
              <w:jc w:val="center"/>
              <w:rPr>
                <w:rFonts w:eastAsia="Arial"/>
                <w:sz w:val="20"/>
                <w:szCs w:val="20"/>
              </w:rPr>
            </w:pPr>
            <w:r w:rsidRPr="007C51D6">
              <w:rPr>
                <w:rFonts w:eastAsia="Arial"/>
                <w:sz w:val="20"/>
                <w:szCs w:val="20"/>
              </w:rPr>
              <w:t>33,1</w:t>
            </w:r>
          </w:p>
        </w:tc>
        <w:tc>
          <w:tcPr>
            <w:tcW w:w="1212" w:type="dxa"/>
          </w:tcPr>
          <w:p w:rsidR="000A28A9" w:rsidRPr="007C51D6" w:rsidRDefault="000A28A9" w:rsidP="000A28A9">
            <w:pPr>
              <w:autoSpaceDE/>
              <w:autoSpaceDN/>
              <w:adjustRightInd/>
              <w:spacing w:line="230" w:lineRule="auto"/>
              <w:jc w:val="center"/>
              <w:rPr>
                <w:rFonts w:eastAsia="Arial"/>
                <w:sz w:val="20"/>
                <w:szCs w:val="20"/>
              </w:rPr>
            </w:pPr>
            <w:r w:rsidRPr="007C51D6">
              <w:rPr>
                <w:rFonts w:eastAsia="Arial"/>
                <w:sz w:val="20"/>
                <w:szCs w:val="20"/>
              </w:rPr>
              <w:t>35,0</w:t>
            </w:r>
          </w:p>
        </w:tc>
        <w:tc>
          <w:tcPr>
            <w:tcW w:w="1212" w:type="dxa"/>
            <w:vAlign w:val="bottom"/>
          </w:tcPr>
          <w:p w:rsidR="000A28A9" w:rsidRPr="007C51D6" w:rsidRDefault="000A28A9" w:rsidP="000A28A9">
            <w:pPr>
              <w:jc w:val="center"/>
              <w:rPr>
                <w:color w:val="000000"/>
                <w:sz w:val="20"/>
                <w:szCs w:val="20"/>
              </w:rPr>
            </w:pPr>
            <w:r w:rsidRPr="007C51D6">
              <w:rPr>
                <w:color w:val="000000"/>
                <w:sz w:val="20"/>
                <w:szCs w:val="20"/>
              </w:rPr>
              <w:t>31,2</w:t>
            </w:r>
          </w:p>
        </w:tc>
      </w:tr>
      <w:tr w:rsidR="000A28A9" w:rsidRPr="007C51D6" w:rsidTr="0038114E">
        <w:tblPrEx>
          <w:tblBorders>
            <w:bottom w:val="single" w:sz="4" w:space="0" w:color="auto"/>
          </w:tblBorders>
          <w:tblCellMar>
            <w:top w:w="11" w:type="dxa"/>
            <w:bottom w:w="11" w:type="dxa"/>
          </w:tblCellMar>
        </w:tblPrEx>
        <w:trPr>
          <w:trHeight w:val="20"/>
        </w:trPr>
        <w:tc>
          <w:tcPr>
            <w:tcW w:w="1838" w:type="dxa"/>
            <w:vMerge/>
          </w:tcPr>
          <w:p w:rsidR="000A28A9" w:rsidRPr="007C51D6" w:rsidRDefault="000A28A9" w:rsidP="000A28A9">
            <w:pPr>
              <w:spacing w:line="230" w:lineRule="auto"/>
              <w:jc w:val="both"/>
              <w:rPr>
                <w:rFonts w:eastAsia="Arial"/>
                <w:sz w:val="20"/>
                <w:szCs w:val="20"/>
                <w:lang w:val="en-US"/>
              </w:rPr>
            </w:pPr>
          </w:p>
        </w:tc>
        <w:tc>
          <w:tcPr>
            <w:tcW w:w="1276" w:type="dxa"/>
          </w:tcPr>
          <w:p w:rsidR="000A28A9" w:rsidRPr="007C51D6" w:rsidRDefault="000A28A9" w:rsidP="000A28A9">
            <w:pPr>
              <w:spacing w:line="230" w:lineRule="auto"/>
              <w:jc w:val="both"/>
              <w:rPr>
                <w:rFonts w:eastAsia="Arial"/>
                <w:sz w:val="20"/>
                <w:szCs w:val="20"/>
                <w:lang w:val="en-US"/>
              </w:rPr>
            </w:pPr>
            <w:r w:rsidRPr="007C51D6">
              <w:rPr>
                <w:rFonts w:eastAsia="Arial"/>
                <w:sz w:val="20"/>
                <w:szCs w:val="20"/>
                <w:lang w:val="en-US"/>
              </w:rPr>
              <w:t>III</w:t>
            </w:r>
            <w:r w:rsidRPr="007C51D6">
              <w:rPr>
                <w:rFonts w:eastAsia="Arial"/>
                <w:sz w:val="20"/>
                <w:szCs w:val="20"/>
              </w:rPr>
              <w:t xml:space="preserve"> стадия</w:t>
            </w:r>
          </w:p>
        </w:tc>
        <w:tc>
          <w:tcPr>
            <w:tcW w:w="1210" w:type="dxa"/>
          </w:tcPr>
          <w:p w:rsidR="000A28A9" w:rsidRPr="007C51D6" w:rsidRDefault="000A28A9" w:rsidP="000A28A9">
            <w:pPr>
              <w:autoSpaceDE/>
              <w:autoSpaceDN/>
              <w:adjustRightInd/>
              <w:spacing w:line="230" w:lineRule="auto"/>
              <w:jc w:val="center"/>
              <w:rPr>
                <w:rFonts w:eastAsia="Arial"/>
                <w:sz w:val="20"/>
                <w:szCs w:val="20"/>
              </w:rPr>
            </w:pPr>
            <w:r w:rsidRPr="007C51D6">
              <w:rPr>
                <w:rFonts w:eastAsia="Arial"/>
                <w:sz w:val="20"/>
                <w:szCs w:val="20"/>
              </w:rPr>
              <w:t>24,9</w:t>
            </w:r>
          </w:p>
        </w:tc>
        <w:tc>
          <w:tcPr>
            <w:tcW w:w="1211" w:type="dxa"/>
          </w:tcPr>
          <w:p w:rsidR="000A28A9" w:rsidRPr="007C51D6" w:rsidRDefault="000A28A9" w:rsidP="000A28A9">
            <w:pPr>
              <w:autoSpaceDE/>
              <w:autoSpaceDN/>
              <w:adjustRightInd/>
              <w:spacing w:line="230" w:lineRule="auto"/>
              <w:jc w:val="center"/>
              <w:rPr>
                <w:rFonts w:eastAsia="Arial"/>
                <w:sz w:val="20"/>
                <w:szCs w:val="20"/>
              </w:rPr>
            </w:pPr>
            <w:r w:rsidRPr="007C51D6">
              <w:rPr>
                <w:rFonts w:eastAsia="Arial"/>
                <w:sz w:val="20"/>
                <w:szCs w:val="20"/>
              </w:rPr>
              <w:t>19,4</w:t>
            </w:r>
          </w:p>
        </w:tc>
        <w:tc>
          <w:tcPr>
            <w:tcW w:w="1212" w:type="dxa"/>
          </w:tcPr>
          <w:p w:rsidR="000A28A9" w:rsidRPr="007C51D6" w:rsidRDefault="000A28A9" w:rsidP="000A28A9">
            <w:pPr>
              <w:autoSpaceDE/>
              <w:autoSpaceDN/>
              <w:adjustRightInd/>
              <w:spacing w:line="230" w:lineRule="auto"/>
              <w:jc w:val="center"/>
              <w:rPr>
                <w:rFonts w:eastAsia="Arial"/>
                <w:sz w:val="20"/>
                <w:szCs w:val="20"/>
              </w:rPr>
            </w:pPr>
            <w:r w:rsidRPr="007C51D6">
              <w:rPr>
                <w:rFonts w:eastAsia="Arial"/>
                <w:sz w:val="20"/>
                <w:szCs w:val="20"/>
              </w:rPr>
              <w:t>19,7</w:t>
            </w:r>
          </w:p>
        </w:tc>
        <w:tc>
          <w:tcPr>
            <w:tcW w:w="1212" w:type="dxa"/>
          </w:tcPr>
          <w:p w:rsidR="000A28A9" w:rsidRPr="007C51D6" w:rsidRDefault="000A28A9" w:rsidP="000A28A9">
            <w:pPr>
              <w:autoSpaceDE/>
              <w:autoSpaceDN/>
              <w:adjustRightInd/>
              <w:spacing w:line="230" w:lineRule="auto"/>
              <w:jc w:val="center"/>
              <w:rPr>
                <w:rFonts w:eastAsia="Arial"/>
                <w:sz w:val="20"/>
                <w:szCs w:val="20"/>
              </w:rPr>
            </w:pPr>
            <w:r w:rsidRPr="007C51D6">
              <w:rPr>
                <w:rFonts w:eastAsia="Arial"/>
                <w:sz w:val="20"/>
                <w:szCs w:val="20"/>
              </w:rPr>
              <w:t>17,3</w:t>
            </w:r>
          </w:p>
        </w:tc>
        <w:tc>
          <w:tcPr>
            <w:tcW w:w="1212" w:type="dxa"/>
          </w:tcPr>
          <w:p w:rsidR="000A28A9" w:rsidRPr="007C51D6" w:rsidRDefault="000A28A9" w:rsidP="000A28A9">
            <w:pPr>
              <w:autoSpaceDE/>
              <w:autoSpaceDN/>
              <w:adjustRightInd/>
              <w:spacing w:line="230" w:lineRule="auto"/>
              <w:jc w:val="center"/>
              <w:rPr>
                <w:rFonts w:eastAsia="Arial"/>
                <w:sz w:val="20"/>
                <w:szCs w:val="20"/>
              </w:rPr>
            </w:pPr>
            <w:r w:rsidRPr="007C51D6">
              <w:rPr>
                <w:rFonts w:eastAsia="Arial"/>
                <w:sz w:val="20"/>
                <w:szCs w:val="20"/>
              </w:rPr>
              <w:t>22,9</w:t>
            </w:r>
          </w:p>
        </w:tc>
        <w:tc>
          <w:tcPr>
            <w:tcW w:w="1212" w:type="dxa"/>
          </w:tcPr>
          <w:p w:rsidR="000A28A9" w:rsidRPr="007C51D6" w:rsidRDefault="000A28A9" w:rsidP="000A28A9">
            <w:pPr>
              <w:autoSpaceDE/>
              <w:autoSpaceDN/>
              <w:adjustRightInd/>
              <w:spacing w:line="230" w:lineRule="auto"/>
              <w:jc w:val="center"/>
              <w:rPr>
                <w:rFonts w:eastAsia="Arial"/>
                <w:sz w:val="20"/>
                <w:szCs w:val="20"/>
              </w:rPr>
            </w:pPr>
            <w:r w:rsidRPr="007C51D6">
              <w:rPr>
                <w:rFonts w:eastAsia="Arial"/>
                <w:sz w:val="20"/>
                <w:szCs w:val="20"/>
              </w:rPr>
              <w:t>23,8</w:t>
            </w:r>
          </w:p>
        </w:tc>
        <w:tc>
          <w:tcPr>
            <w:tcW w:w="1212" w:type="dxa"/>
          </w:tcPr>
          <w:p w:rsidR="000A28A9" w:rsidRPr="007C51D6" w:rsidRDefault="000A28A9" w:rsidP="000A28A9">
            <w:pPr>
              <w:autoSpaceDE/>
              <w:autoSpaceDN/>
              <w:adjustRightInd/>
              <w:spacing w:line="230" w:lineRule="auto"/>
              <w:jc w:val="center"/>
              <w:rPr>
                <w:rFonts w:eastAsia="Arial"/>
                <w:sz w:val="20"/>
                <w:szCs w:val="20"/>
              </w:rPr>
            </w:pPr>
            <w:r w:rsidRPr="007C51D6">
              <w:rPr>
                <w:rFonts w:eastAsia="Arial"/>
                <w:sz w:val="20"/>
                <w:szCs w:val="20"/>
              </w:rPr>
              <w:t>23,0</w:t>
            </w:r>
          </w:p>
        </w:tc>
        <w:tc>
          <w:tcPr>
            <w:tcW w:w="1212" w:type="dxa"/>
          </w:tcPr>
          <w:p w:rsidR="000A28A9" w:rsidRPr="007C51D6" w:rsidRDefault="000A28A9" w:rsidP="000A28A9">
            <w:pPr>
              <w:autoSpaceDE/>
              <w:autoSpaceDN/>
              <w:adjustRightInd/>
              <w:spacing w:line="230" w:lineRule="auto"/>
              <w:jc w:val="center"/>
              <w:rPr>
                <w:rFonts w:eastAsia="Arial"/>
                <w:sz w:val="20"/>
                <w:szCs w:val="20"/>
              </w:rPr>
            </w:pPr>
            <w:r w:rsidRPr="007C51D6">
              <w:rPr>
                <w:rFonts w:eastAsia="Arial"/>
                <w:sz w:val="20"/>
                <w:szCs w:val="20"/>
              </w:rPr>
              <w:t>21,6</w:t>
            </w:r>
          </w:p>
        </w:tc>
        <w:tc>
          <w:tcPr>
            <w:tcW w:w="1212" w:type="dxa"/>
          </w:tcPr>
          <w:p w:rsidR="000A28A9" w:rsidRPr="007C51D6" w:rsidRDefault="000A28A9" w:rsidP="000A28A9">
            <w:pPr>
              <w:autoSpaceDE/>
              <w:autoSpaceDN/>
              <w:adjustRightInd/>
              <w:spacing w:line="230" w:lineRule="auto"/>
              <w:jc w:val="center"/>
              <w:rPr>
                <w:rFonts w:eastAsia="Arial"/>
                <w:sz w:val="20"/>
                <w:szCs w:val="20"/>
              </w:rPr>
            </w:pPr>
            <w:r w:rsidRPr="007C51D6">
              <w:rPr>
                <w:rFonts w:eastAsia="Arial"/>
                <w:sz w:val="20"/>
                <w:szCs w:val="20"/>
              </w:rPr>
              <w:t>21,6</w:t>
            </w:r>
          </w:p>
        </w:tc>
        <w:tc>
          <w:tcPr>
            <w:tcW w:w="1212" w:type="dxa"/>
            <w:vAlign w:val="bottom"/>
          </w:tcPr>
          <w:p w:rsidR="000A28A9" w:rsidRPr="007C51D6" w:rsidRDefault="000A28A9" w:rsidP="000A28A9">
            <w:pPr>
              <w:jc w:val="center"/>
              <w:rPr>
                <w:color w:val="000000"/>
                <w:sz w:val="20"/>
                <w:szCs w:val="20"/>
              </w:rPr>
            </w:pPr>
            <w:r w:rsidRPr="007C51D6">
              <w:rPr>
                <w:color w:val="000000"/>
                <w:sz w:val="20"/>
                <w:szCs w:val="20"/>
              </w:rPr>
              <w:t>18,7</w:t>
            </w:r>
          </w:p>
        </w:tc>
      </w:tr>
      <w:tr w:rsidR="000A28A9" w:rsidRPr="007C51D6" w:rsidTr="0038114E">
        <w:tblPrEx>
          <w:tblBorders>
            <w:bottom w:val="single" w:sz="4" w:space="0" w:color="auto"/>
          </w:tblBorders>
          <w:tblCellMar>
            <w:top w:w="11" w:type="dxa"/>
            <w:bottom w:w="11" w:type="dxa"/>
          </w:tblCellMar>
        </w:tblPrEx>
        <w:trPr>
          <w:trHeight w:val="20"/>
        </w:trPr>
        <w:tc>
          <w:tcPr>
            <w:tcW w:w="1838" w:type="dxa"/>
            <w:vMerge/>
          </w:tcPr>
          <w:p w:rsidR="000A28A9" w:rsidRPr="007C51D6" w:rsidRDefault="000A28A9" w:rsidP="000A28A9">
            <w:pPr>
              <w:spacing w:line="230" w:lineRule="auto"/>
              <w:jc w:val="both"/>
              <w:rPr>
                <w:rFonts w:eastAsia="Arial"/>
                <w:sz w:val="20"/>
                <w:szCs w:val="20"/>
                <w:lang w:val="en-US"/>
              </w:rPr>
            </w:pPr>
          </w:p>
        </w:tc>
        <w:tc>
          <w:tcPr>
            <w:tcW w:w="1276" w:type="dxa"/>
          </w:tcPr>
          <w:p w:rsidR="000A28A9" w:rsidRPr="007C51D6" w:rsidRDefault="000A28A9" w:rsidP="000A28A9">
            <w:pPr>
              <w:spacing w:line="230" w:lineRule="auto"/>
              <w:jc w:val="both"/>
            </w:pPr>
            <w:r w:rsidRPr="007C51D6">
              <w:rPr>
                <w:rFonts w:eastAsia="Arial"/>
                <w:sz w:val="20"/>
                <w:szCs w:val="20"/>
                <w:lang w:val="en-US"/>
              </w:rPr>
              <w:t>IV</w:t>
            </w:r>
            <w:r w:rsidRPr="007C51D6">
              <w:rPr>
                <w:rFonts w:eastAsia="Arial"/>
                <w:sz w:val="20"/>
                <w:szCs w:val="20"/>
              </w:rPr>
              <w:t xml:space="preserve"> стадия</w:t>
            </w:r>
          </w:p>
        </w:tc>
        <w:tc>
          <w:tcPr>
            <w:tcW w:w="1210" w:type="dxa"/>
          </w:tcPr>
          <w:p w:rsidR="000A28A9" w:rsidRPr="007C51D6" w:rsidRDefault="000A28A9" w:rsidP="000A28A9">
            <w:pPr>
              <w:autoSpaceDE/>
              <w:autoSpaceDN/>
              <w:adjustRightInd/>
              <w:spacing w:line="230" w:lineRule="auto"/>
              <w:jc w:val="center"/>
              <w:rPr>
                <w:rFonts w:eastAsia="Arial"/>
                <w:sz w:val="20"/>
                <w:szCs w:val="20"/>
              </w:rPr>
            </w:pPr>
            <w:r w:rsidRPr="007C51D6">
              <w:rPr>
                <w:rFonts w:eastAsia="Arial"/>
                <w:sz w:val="20"/>
                <w:szCs w:val="20"/>
              </w:rPr>
              <w:t>26,7</w:t>
            </w:r>
          </w:p>
        </w:tc>
        <w:tc>
          <w:tcPr>
            <w:tcW w:w="1211" w:type="dxa"/>
          </w:tcPr>
          <w:p w:rsidR="000A28A9" w:rsidRPr="007C51D6" w:rsidRDefault="000A28A9" w:rsidP="000A28A9">
            <w:pPr>
              <w:autoSpaceDE/>
              <w:autoSpaceDN/>
              <w:adjustRightInd/>
              <w:spacing w:line="230" w:lineRule="auto"/>
              <w:jc w:val="center"/>
              <w:rPr>
                <w:rFonts w:eastAsia="Arial"/>
                <w:sz w:val="20"/>
                <w:szCs w:val="20"/>
              </w:rPr>
            </w:pPr>
            <w:r w:rsidRPr="007C51D6">
              <w:rPr>
                <w:rFonts w:eastAsia="Arial"/>
                <w:sz w:val="20"/>
                <w:szCs w:val="20"/>
              </w:rPr>
              <w:t>25,8</w:t>
            </w:r>
          </w:p>
        </w:tc>
        <w:tc>
          <w:tcPr>
            <w:tcW w:w="1212" w:type="dxa"/>
          </w:tcPr>
          <w:p w:rsidR="000A28A9" w:rsidRPr="007C51D6" w:rsidRDefault="000A28A9" w:rsidP="000A28A9">
            <w:pPr>
              <w:autoSpaceDE/>
              <w:autoSpaceDN/>
              <w:adjustRightInd/>
              <w:spacing w:line="230" w:lineRule="auto"/>
              <w:jc w:val="center"/>
              <w:rPr>
                <w:rFonts w:eastAsia="Arial"/>
                <w:sz w:val="20"/>
                <w:szCs w:val="20"/>
              </w:rPr>
            </w:pPr>
            <w:r w:rsidRPr="007C51D6">
              <w:rPr>
                <w:rFonts w:eastAsia="Arial"/>
                <w:sz w:val="20"/>
                <w:szCs w:val="20"/>
              </w:rPr>
              <w:t>25,5</w:t>
            </w:r>
          </w:p>
        </w:tc>
        <w:tc>
          <w:tcPr>
            <w:tcW w:w="1212" w:type="dxa"/>
          </w:tcPr>
          <w:p w:rsidR="000A28A9" w:rsidRPr="007C51D6" w:rsidRDefault="000A28A9" w:rsidP="000A28A9">
            <w:pPr>
              <w:autoSpaceDE/>
              <w:autoSpaceDN/>
              <w:adjustRightInd/>
              <w:spacing w:line="230" w:lineRule="auto"/>
              <w:jc w:val="center"/>
              <w:rPr>
                <w:rFonts w:eastAsia="Arial"/>
                <w:sz w:val="20"/>
                <w:szCs w:val="20"/>
              </w:rPr>
            </w:pPr>
            <w:r w:rsidRPr="007C51D6">
              <w:rPr>
                <w:rFonts w:eastAsia="Arial"/>
                <w:sz w:val="20"/>
                <w:szCs w:val="20"/>
              </w:rPr>
              <w:t>23,9</w:t>
            </w:r>
          </w:p>
        </w:tc>
        <w:tc>
          <w:tcPr>
            <w:tcW w:w="1212" w:type="dxa"/>
          </w:tcPr>
          <w:p w:rsidR="000A28A9" w:rsidRPr="007C51D6" w:rsidRDefault="000A28A9" w:rsidP="000A28A9">
            <w:pPr>
              <w:autoSpaceDE/>
              <w:autoSpaceDN/>
              <w:adjustRightInd/>
              <w:spacing w:line="230" w:lineRule="auto"/>
              <w:jc w:val="center"/>
              <w:rPr>
                <w:rFonts w:eastAsia="Arial"/>
                <w:sz w:val="20"/>
                <w:szCs w:val="20"/>
              </w:rPr>
            </w:pPr>
            <w:r w:rsidRPr="007C51D6">
              <w:rPr>
                <w:rFonts w:eastAsia="Arial"/>
                <w:sz w:val="20"/>
                <w:szCs w:val="20"/>
              </w:rPr>
              <w:t>22,2</w:t>
            </w:r>
          </w:p>
        </w:tc>
        <w:tc>
          <w:tcPr>
            <w:tcW w:w="1212" w:type="dxa"/>
          </w:tcPr>
          <w:p w:rsidR="000A28A9" w:rsidRPr="007C51D6" w:rsidRDefault="000A28A9" w:rsidP="000A28A9">
            <w:pPr>
              <w:autoSpaceDE/>
              <w:autoSpaceDN/>
              <w:adjustRightInd/>
              <w:spacing w:line="230" w:lineRule="auto"/>
              <w:jc w:val="center"/>
              <w:rPr>
                <w:rFonts w:eastAsia="Arial"/>
                <w:sz w:val="20"/>
                <w:szCs w:val="20"/>
              </w:rPr>
            </w:pPr>
            <w:r w:rsidRPr="007C51D6">
              <w:rPr>
                <w:rFonts w:eastAsia="Arial"/>
                <w:sz w:val="20"/>
                <w:szCs w:val="20"/>
              </w:rPr>
              <w:t>20,4</w:t>
            </w:r>
          </w:p>
        </w:tc>
        <w:tc>
          <w:tcPr>
            <w:tcW w:w="1212" w:type="dxa"/>
          </w:tcPr>
          <w:p w:rsidR="000A28A9" w:rsidRPr="007C51D6" w:rsidRDefault="000A28A9" w:rsidP="000A28A9">
            <w:pPr>
              <w:autoSpaceDE/>
              <w:autoSpaceDN/>
              <w:adjustRightInd/>
              <w:spacing w:line="230" w:lineRule="auto"/>
              <w:jc w:val="center"/>
              <w:rPr>
                <w:rFonts w:eastAsia="Arial"/>
                <w:sz w:val="20"/>
                <w:szCs w:val="20"/>
              </w:rPr>
            </w:pPr>
            <w:r w:rsidRPr="007C51D6">
              <w:rPr>
                <w:rFonts w:eastAsia="Arial"/>
                <w:sz w:val="20"/>
                <w:szCs w:val="20"/>
              </w:rPr>
              <w:t>21,4</w:t>
            </w:r>
          </w:p>
        </w:tc>
        <w:tc>
          <w:tcPr>
            <w:tcW w:w="1212" w:type="dxa"/>
          </w:tcPr>
          <w:p w:rsidR="000A28A9" w:rsidRPr="007C51D6" w:rsidRDefault="000A28A9" w:rsidP="000A28A9">
            <w:pPr>
              <w:autoSpaceDE/>
              <w:autoSpaceDN/>
              <w:adjustRightInd/>
              <w:spacing w:line="230" w:lineRule="auto"/>
              <w:jc w:val="center"/>
              <w:rPr>
                <w:rFonts w:eastAsia="Arial"/>
                <w:sz w:val="20"/>
                <w:szCs w:val="20"/>
              </w:rPr>
            </w:pPr>
            <w:r w:rsidRPr="007C51D6">
              <w:rPr>
                <w:rFonts w:eastAsia="Arial"/>
                <w:sz w:val="20"/>
                <w:szCs w:val="20"/>
              </w:rPr>
              <w:t>20,3</w:t>
            </w:r>
          </w:p>
        </w:tc>
        <w:tc>
          <w:tcPr>
            <w:tcW w:w="1212" w:type="dxa"/>
          </w:tcPr>
          <w:p w:rsidR="000A28A9" w:rsidRPr="007C51D6" w:rsidRDefault="000A28A9" w:rsidP="000A28A9">
            <w:pPr>
              <w:autoSpaceDE/>
              <w:autoSpaceDN/>
              <w:adjustRightInd/>
              <w:spacing w:line="230" w:lineRule="auto"/>
              <w:jc w:val="center"/>
              <w:rPr>
                <w:rFonts w:eastAsia="Arial"/>
                <w:sz w:val="20"/>
                <w:szCs w:val="20"/>
              </w:rPr>
            </w:pPr>
            <w:r w:rsidRPr="007C51D6">
              <w:rPr>
                <w:rFonts w:eastAsia="Arial"/>
                <w:sz w:val="20"/>
                <w:szCs w:val="20"/>
              </w:rPr>
              <w:t>18,0</w:t>
            </w:r>
          </w:p>
        </w:tc>
        <w:tc>
          <w:tcPr>
            <w:tcW w:w="1212" w:type="dxa"/>
            <w:vAlign w:val="bottom"/>
          </w:tcPr>
          <w:p w:rsidR="000A28A9" w:rsidRPr="007C51D6" w:rsidRDefault="000A28A9" w:rsidP="000A28A9">
            <w:pPr>
              <w:jc w:val="center"/>
              <w:rPr>
                <w:color w:val="000000"/>
                <w:sz w:val="20"/>
                <w:szCs w:val="20"/>
              </w:rPr>
            </w:pPr>
            <w:r w:rsidRPr="007C51D6">
              <w:rPr>
                <w:color w:val="000000"/>
                <w:sz w:val="20"/>
                <w:szCs w:val="20"/>
              </w:rPr>
              <w:t>18,2</w:t>
            </w:r>
          </w:p>
        </w:tc>
      </w:tr>
      <w:tr w:rsidR="000A28A9" w:rsidRPr="007C51D6" w:rsidTr="0038114E">
        <w:tblPrEx>
          <w:tblBorders>
            <w:bottom w:val="single" w:sz="4" w:space="0" w:color="auto"/>
          </w:tblBorders>
          <w:tblCellMar>
            <w:top w:w="11" w:type="dxa"/>
            <w:bottom w:w="11" w:type="dxa"/>
          </w:tblCellMar>
        </w:tblPrEx>
        <w:trPr>
          <w:trHeight w:val="20"/>
        </w:trPr>
        <w:tc>
          <w:tcPr>
            <w:tcW w:w="1838" w:type="dxa"/>
            <w:vMerge/>
          </w:tcPr>
          <w:p w:rsidR="000A28A9" w:rsidRPr="007C51D6" w:rsidRDefault="000A28A9" w:rsidP="000A28A9">
            <w:pPr>
              <w:autoSpaceDE/>
              <w:autoSpaceDN/>
              <w:adjustRightInd/>
              <w:spacing w:line="230" w:lineRule="auto"/>
              <w:jc w:val="both"/>
              <w:rPr>
                <w:rFonts w:eastAsia="Arial"/>
                <w:sz w:val="20"/>
                <w:szCs w:val="20"/>
              </w:rPr>
            </w:pPr>
          </w:p>
        </w:tc>
        <w:tc>
          <w:tcPr>
            <w:tcW w:w="1276" w:type="dxa"/>
          </w:tcPr>
          <w:p w:rsidR="000A28A9" w:rsidRPr="007C51D6" w:rsidRDefault="000A28A9" w:rsidP="000A28A9">
            <w:pPr>
              <w:autoSpaceDE/>
              <w:autoSpaceDN/>
              <w:adjustRightInd/>
              <w:spacing w:line="230" w:lineRule="auto"/>
              <w:jc w:val="both"/>
              <w:rPr>
                <w:rFonts w:eastAsia="Arial"/>
                <w:sz w:val="20"/>
                <w:szCs w:val="20"/>
              </w:rPr>
            </w:pPr>
            <w:r w:rsidRPr="007C51D6">
              <w:rPr>
                <w:rFonts w:eastAsia="Arial"/>
                <w:sz w:val="20"/>
                <w:szCs w:val="20"/>
              </w:rPr>
              <w:t>без стадии</w:t>
            </w:r>
          </w:p>
        </w:tc>
        <w:tc>
          <w:tcPr>
            <w:tcW w:w="1210" w:type="dxa"/>
          </w:tcPr>
          <w:p w:rsidR="000A28A9" w:rsidRPr="007C51D6" w:rsidRDefault="000A28A9" w:rsidP="000A28A9">
            <w:pPr>
              <w:autoSpaceDE/>
              <w:autoSpaceDN/>
              <w:adjustRightInd/>
              <w:spacing w:line="230" w:lineRule="auto"/>
              <w:jc w:val="center"/>
              <w:rPr>
                <w:rFonts w:eastAsia="Arial"/>
                <w:sz w:val="20"/>
                <w:szCs w:val="20"/>
              </w:rPr>
            </w:pPr>
            <w:r w:rsidRPr="007C51D6">
              <w:rPr>
                <w:rFonts w:eastAsia="Arial"/>
                <w:sz w:val="20"/>
                <w:szCs w:val="20"/>
              </w:rPr>
              <w:t>0,2</w:t>
            </w:r>
          </w:p>
        </w:tc>
        <w:tc>
          <w:tcPr>
            <w:tcW w:w="1211" w:type="dxa"/>
          </w:tcPr>
          <w:p w:rsidR="000A28A9" w:rsidRPr="007C51D6" w:rsidRDefault="000A28A9" w:rsidP="000A28A9">
            <w:pPr>
              <w:autoSpaceDE/>
              <w:autoSpaceDN/>
              <w:adjustRightInd/>
              <w:spacing w:line="230" w:lineRule="auto"/>
              <w:jc w:val="center"/>
              <w:rPr>
                <w:rFonts w:eastAsia="Arial"/>
                <w:sz w:val="20"/>
                <w:szCs w:val="20"/>
              </w:rPr>
            </w:pPr>
            <w:r w:rsidRPr="007C51D6">
              <w:rPr>
                <w:rFonts w:eastAsia="Arial"/>
                <w:sz w:val="20"/>
                <w:szCs w:val="20"/>
              </w:rPr>
              <w:t>0,3</w:t>
            </w:r>
          </w:p>
        </w:tc>
        <w:tc>
          <w:tcPr>
            <w:tcW w:w="1212" w:type="dxa"/>
          </w:tcPr>
          <w:p w:rsidR="000A28A9" w:rsidRPr="007C51D6" w:rsidRDefault="000A28A9" w:rsidP="000A28A9">
            <w:pPr>
              <w:autoSpaceDE/>
              <w:autoSpaceDN/>
              <w:adjustRightInd/>
              <w:spacing w:line="230" w:lineRule="auto"/>
              <w:jc w:val="center"/>
              <w:rPr>
                <w:rFonts w:eastAsia="Arial"/>
                <w:sz w:val="20"/>
                <w:szCs w:val="20"/>
              </w:rPr>
            </w:pPr>
            <w:r w:rsidRPr="007C51D6">
              <w:rPr>
                <w:rFonts w:eastAsia="Arial"/>
                <w:sz w:val="20"/>
                <w:szCs w:val="20"/>
              </w:rPr>
              <w:t>0</w:t>
            </w:r>
          </w:p>
        </w:tc>
        <w:tc>
          <w:tcPr>
            <w:tcW w:w="1212" w:type="dxa"/>
          </w:tcPr>
          <w:p w:rsidR="000A28A9" w:rsidRPr="007C51D6" w:rsidRDefault="000A28A9" w:rsidP="000A28A9">
            <w:pPr>
              <w:autoSpaceDE/>
              <w:autoSpaceDN/>
              <w:adjustRightInd/>
              <w:spacing w:line="230" w:lineRule="auto"/>
              <w:jc w:val="center"/>
              <w:rPr>
                <w:rFonts w:eastAsia="Arial"/>
                <w:sz w:val="20"/>
                <w:szCs w:val="20"/>
              </w:rPr>
            </w:pPr>
            <w:r w:rsidRPr="007C51D6">
              <w:rPr>
                <w:rFonts w:eastAsia="Arial"/>
                <w:sz w:val="20"/>
                <w:szCs w:val="20"/>
              </w:rPr>
              <w:t>0</w:t>
            </w:r>
          </w:p>
        </w:tc>
        <w:tc>
          <w:tcPr>
            <w:tcW w:w="1212" w:type="dxa"/>
          </w:tcPr>
          <w:p w:rsidR="000A28A9" w:rsidRPr="007C51D6" w:rsidRDefault="000A28A9" w:rsidP="000A28A9">
            <w:pPr>
              <w:autoSpaceDE/>
              <w:autoSpaceDN/>
              <w:adjustRightInd/>
              <w:spacing w:line="230" w:lineRule="auto"/>
              <w:jc w:val="center"/>
              <w:rPr>
                <w:rFonts w:eastAsia="Arial"/>
                <w:sz w:val="20"/>
                <w:szCs w:val="20"/>
              </w:rPr>
            </w:pPr>
            <w:r w:rsidRPr="007C51D6">
              <w:rPr>
                <w:rFonts w:eastAsia="Arial"/>
                <w:sz w:val="20"/>
                <w:szCs w:val="20"/>
              </w:rPr>
              <w:t>0</w:t>
            </w:r>
          </w:p>
        </w:tc>
        <w:tc>
          <w:tcPr>
            <w:tcW w:w="1212" w:type="dxa"/>
          </w:tcPr>
          <w:p w:rsidR="000A28A9" w:rsidRPr="007C51D6" w:rsidRDefault="000A28A9" w:rsidP="000A28A9">
            <w:pPr>
              <w:autoSpaceDE/>
              <w:autoSpaceDN/>
              <w:adjustRightInd/>
              <w:spacing w:line="230" w:lineRule="auto"/>
              <w:jc w:val="center"/>
              <w:rPr>
                <w:rFonts w:eastAsia="Arial"/>
                <w:sz w:val="20"/>
                <w:szCs w:val="20"/>
              </w:rPr>
            </w:pPr>
            <w:r w:rsidRPr="007C51D6">
              <w:rPr>
                <w:rFonts w:eastAsia="Arial"/>
                <w:sz w:val="20"/>
                <w:szCs w:val="20"/>
              </w:rPr>
              <w:t>0,3</w:t>
            </w:r>
          </w:p>
        </w:tc>
        <w:tc>
          <w:tcPr>
            <w:tcW w:w="1212" w:type="dxa"/>
          </w:tcPr>
          <w:p w:rsidR="000A28A9" w:rsidRPr="007C51D6" w:rsidRDefault="000A28A9" w:rsidP="000A28A9">
            <w:pPr>
              <w:autoSpaceDE/>
              <w:autoSpaceDN/>
              <w:adjustRightInd/>
              <w:spacing w:line="230" w:lineRule="auto"/>
              <w:jc w:val="center"/>
              <w:rPr>
                <w:rFonts w:eastAsia="Arial"/>
                <w:sz w:val="20"/>
                <w:szCs w:val="20"/>
              </w:rPr>
            </w:pPr>
            <w:r w:rsidRPr="007C51D6">
              <w:rPr>
                <w:rFonts w:eastAsia="Arial"/>
                <w:sz w:val="20"/>
                <w:szCs w:val="20"/>
              </w:rPr>
              <w:t>0</w:t>
            </w:r>
          </w:p>
        </w:tc>
        <w:tc>
          <w:tcPr>
            <w:tcW w:w="1212" w:type="dxa"/>
          </w:tcPr>
          <w:p w:rsidR="000A28A9" w:rsidRPr="007C51D6" w:rsidRDefault="000A28A9" w:rsidP="000A28A9">
            <w:pPr>
              <w:autoSpaceDE/>
              <w:autoSpaceDN/>
              <w:adjustRightInd/>
              <w:spacing w:line="230" w:lineRule="auto"/>
              <w:jc w:val="center"/>
              <w:rPr>
                <w:rFonts w:eastAsia="Arial"/>
                <w:sz w:val="20"/>
                <w:szCs w:val="20"/>
              </w:rPr>
            </w:pPr>
            <w:r w:rsidRPr="007C51D6">
              <w:rPr>
                <w:rFonts w:eastAsia="Arial"/>
                <w:sz w:val="20"/>
                <w:szCs w:val="20"/>
              </w:rPr>
              <w:t>0</w:t>
            </w:r>
          </w:p>
        </w:tc>
        <w:tc>
          <w:tcPr>
            <w:tcW w:w="1212" w:type="dxa"/>
          </w:tcPr>
          <w:p w:rsidR="000A28A9" w:rsidRPr="007C51D6" w:rsidRDefault="000A28A9" w:rsidP="000A28A9">
            <w:pPr>
              <w:autoSpaceDE/>
              <w:autoSpaceDN/>
              <w:adjustRightInd/>
              <w:spacing w:line="230" w:lineRule="auto"/>
              <w:jc w:val="center"/>
              <w:rPr>
                <w:rFonts w:eastAsia="Arial"/>
                <w:sz w:val="20"/>
                <w:szCs w:val="20"/>
              </w:rPr>
            </w:pPr>
            <w:r w:rsidRPr="007C51D6">
              <w:rPr>
                <w:rFonts w:eastAsia="Arial"/>
                <w:sz w:val="20"/>
                <w:szCs w:val="20"/>
              </w:rPr>
              <w:t>0,1</w:t>
            </w:r>
          </w:p>
        </w:tc>
        <w:tc>
          <w:tcPr>
            <w:tcW w:w="1212" w:type="dxa"/>
            <w:vAlign w:val="bottom"/>
          </w:tcPr>
          <w:p w:rsidR="000A28A9" w:rsidRPr="007C51D6" w:rsidRDefault="000A28A9" w:rsidP="000A28A9">
            <w:pPr>
              <w:jc w:val="center"/>
              <w:rPr>
                <w:color w:val="000000"/>
                <w:sz w:val="20"/>
                <w:szCs w:val="20"/>
              </w:rPr>
            </w:pPr>
            <w:r w:rsidRPr="007C51D6">
              <w:rPr>
                <w:color w:val="000000"/>
                <w:sz w:val="20"/>
                <w:szCs w:val="20"/>
              </w:rPr>
              <w:t>0,3</w:t>
            </w:r>
          </w:p>
        </w:tc>
      </w:tr>
      <w:tr w:rsidR="00522D4A" w:rsidRPr="007C51D6" w:rsidTr="0038114E">
        <w:tblPrEx>
          <w:tblBorders>
            <w:bottom w:val="single" w:sz="4" w:space="0" w:color="auto"/>
          </w:tblBorders>
          <w:tblCellMar>
            <w:top w:w="11" w:type="dxa"/>
            <w:bottom w:w="11" w:type="dxa"/>
          </w:tblCellMar>
        </w:tblPrEx>
        <w:trPr>
          <w:trHeight w:val="20"/>
        </w:trPr>
        <w:tc>
          <w:tcPr>
            <w:tcW w:w="1838" w:type="dxa"/>
            <w:vMerge w:val="restart"/>
          </w:tcPr>
          <w:p w:rsidR="00522D4A" w:rsidRPr="007C51D6" w:rsidRDefault="00522D4A" w:rsidP="00522D4A">
            <w:pPr>
              <w:spacing w:line="230" w:lineRule="auto"/>
              <w:jc w:val="both"/>
              <w:rPr>
                <w:rFonts w:eastAsia="Arial"/>
                <w:sz w:val="20"/>
                <w:szCs w:val="20"/>
              </w:rPr>
            </w:pPr>
            <w:r w:rsidRPr="007C51D6">
              <w:rPr>
                <w:rFonts w:eastAsia="Arial"/>
                <w:sz w:val="20"/>
                <w:szCs w:val="20"/>
              </w:rPr>
              <w:t>ЗНО желудка (С16)</w:t>
            </w:r>
          </w:p>
        </w:tc>
        <w:tc>
          <w:tcPr>
            <w:tcW w:w="1276" w:type="dxa"/>
          </w:tcPr>
          <w:p w:rsidR="00522D4A" w:rsidRPr="007C51D6" w:rsidRDefault="00522D4A" w:rsidP="00522D4A">
            <w:pPr>
              <w:autoSpaceDE/>
              <w:autoSpaceDN/>
              <w:adjustRightInd/>
              <w:spacing w:line="230" w:lineRule="auto"/>
              <w:jc w:val="both"/>
              <w:rPr>
                <w:rFonts w:eastAsia="Arial"/>
                <w:sz w:val="20"/>
                <w:szCs w:val="20"/>
              </w:rPr>
            </w:pPr>
            <w:r w:rsidRPr="007C51D6">
              <w:rPr>
                <w:rFonts w:eastAsia="Arial"/>
                <w:sz w:val="20"/>
                <w:szCs w:val="20"/>
                <w:lang w:val="en-US"/>
              </w:rPr>
              <w:t>I</w:t>
            </w:r>
            <w:r w:rsidRPr="007C51D6">
              <w:rPr>
                <w:rFonts w:eastAsia="Arial"/>
                <w:sz w:val="20"/>
                <w:szCs w:val="20"/>
              </w:rPr>
              <w:t xml:space="preserve"> стадия</w:t>
            </w:r>
          </w:p>
        </w:tc>
        <w:tc>
          <w:tcPr>
            <w:tcW w:w="1210" w:type="dxa"/>
          </w:tcPr>
          <w:p w:rsidR="00522D4A" w:rsidRPr="007C51D6" w:rsidRDefault="00522D4A" w:rsidP="00522D4A">
            <w:pPr>
              <w:autoSpaceDE/>
              <w:autoSpaceDN/>
              <w:adjustRightInd/>
              <w:spacing w:line="230" w:lineRule="auto"/>
              <w:jc w:val="center"/>
              <w:rPr>
                <w:rFonts w:eastAsia="Arial"/>
                <w:sz w:val="20"/>
                <w:szCs w:val="20"/>
              </w:rPr>
            </w:pPr>
            <w:r w:rsidRPr="007C51D6">
              <w:rPr>
                <w:rFonts w:eastAsia="Arial"/>
                <w:sz w:val="20"/>
                <w:szCs w:val="20"/>
              </w:rPr>
              <w:t>12,1</w:t>
            </w:r>
          </w:p>
        </w:tc>
        <w:tc>
          <w:tcPr>
            <w:tcW w:w="1211" w:type="dxa"/>
          </w:tcPr>
          <w:p w:rsidR="00522D4A" w:rsidRPr="007C51D6" w:rsidRDefault="00522D4A" w:rsidP="00522D4A">
            <w:pPr>
              <w:autoSpaceDE/>
              <w:autoSpaceDN/>
              <w:adjustRightInd/>
              <w:spacing w:line="230" w:lineRule="auto"/>
              <w:jc w:val="center"/>
              <w:rPr>
                <w:rFonts w:eastAsia="Arial"/>
                <w:sz w:val="20"/>
                <w:szCs w:val="20"/>
              </w:rPr>
            </w:pPr>
            <w:r w:rsidRPr="007C51D6">
              <w:rPr>
                <w:rFonts w:eastAsia="Arial"/>
                <w:sz w:val="20"/>
                <w:szCs w:val="20"/>
              </w:rPr>
              <w:t>13,0</w:t>
            </w:r>
          </w:p>
        </w:tc>
        <w:tc>
          <w:tcPr>
            <w:tcW w:w="1212" w:type="dxa"/>
          </w:tcPr>
          <w:p w:rsidR="00522D4A" w:rsidRPr="007C51D6" w:rsidRDefault="00522D4A" w:rsidP="00522D4A">
            <w:pPr>
              <w:autoSpaceDE/>
              <w:autoSpaceDN/>
              <w:adjustRightInd/>
              <w:spacing w:line="230" w:lineRule="auto"/>
              <w:jc w:val="center"/>
              <w:rPr>
                <w:rFonts w:eastAsia="Arial"/>
                <w:sz w:val="20"/>
                <w:szCs w:val="20"/>
              </w:rPr>
            </w:pPr>
            <w:r w:rsidRPr="007C51D6">
              <w:rPr>
                <w:rFonts w:eastAsia="Arial"/>
                <w:sz w:val="20"/>
                <w:szCs w:val="20"/>
              </w:rPr>
              <w:t>11,9</w:t>
            </w:r>
          </w:p>
        </w:tc>
        <w:tc>
          <w:tcPr>
            <w:tcW w:w="1212" w:type="dxa"/>
          </w:tcPr>
          <w:p w:rsidR="00522D4A" w:rsidRPr="007C51D6" w:rsidRDefault="00522D4A" w:rsidP="00522D4A">
            <w:pPr>
              <w:autoSpaceDE/>
              <w:autoSpaceDN/>
              <w:adjustRightInd/>
              <w:spacing w:line="230" w:lineRule="auto"/>
              <w:jc w:val="center"/>
              <w:rPr>
                <w:rFonts w:eastAsia="Arial"/>
                <w:sz w:val="20"/>
                <w:szCs w:val="20"/>
              </w:rPr>
            </w:pPr>
            <w:r w:rsidRPr="007C51D6">
              <w:rPr>
                <w:rFonts w:eastAsia="Arial"/>
                <w:sz w:val="20"/>
                <w:szCs w:val="20"/>
              </w:rPr>
              <w:t>15,6</w:t>
            </w:r>
          </w:p>
        </w:tc>
        <w:tc>
          <w:tcPr>
            <w:tcW w:w="1212" w:type="dxa"/>
          </w:tcPr>
          <w:p w:rsidR="00522D4A" w:rsidRPr="007C51D6" w:rsidRDefault="00522D4A" w:rsidP="00522D4A">
            <w:pPr>
              <w:autoSpaceDE/>
              <w:autoSpaceDN/>
              <w:adjustRightInd/>
              <w:spacing w:line="230" w:lineRule="auto"/>
              <w:jc w:val="center"/>
              <w:rPr>
                <w:rFonts w:eastAsia="Arial"/>
                <w:sz w:val="20"/>
                <w:szCs w:val="20"/>
              </w:rPr>
            </w:pPr>
            <w:r w:rsidRPr="007C51D6">
              <w:rPr>
                <w:rFonts w:eastAsia="Arial"/>
                <w:sz w:val="20"/>
                <w:szCs w:val="20"/>
              </w:rPr>
              <w:t>14,9</w:t>
            </w:r>
          </w:p>
        </w:tc>
        <w:tc>
          <w:tcPr>
            <w:tcW w:w="1212" w:type="dxa"/>
          </w:tcPr>
          <w:p w:rsidR="00522D4A" w:rsidRPr="007C51D6" w:rsidRDefault="00522D4A" w:rsidP="00522D4A">
            <w:pPr>
              <w:autoSpaceDE/>
              <w:autoSpaceDN/>
              <w:adjustRightInd/>
              <w:spacing w:line="230" w:lineRule="auto"/>
              <w:jc w:val="center"/>
              <w:rPr>
                <w:rFonts w:eastAsia="Arial"/>
                <w:sz w:val="20"/>
                <w:szCs w:val="20"/>
              </w:rPr>
            </w:pPr>
            <w:r w:rsidRPr="007C51D6">
              <w:rPr>
                <w:rFonts w:eastAsia="Arial"/>
                <w:sz w:val="20"/>
                <w:szCs w:val="20"/>
              </w:rPr>
              <w:t>19,6</w:t>
            </w:r>
          </w:p>
        </w:tc>
        <w:tc>
          <w:tcPr>
            <w:tcW w:w="1212" w:type="dxa"/>
          </w:tcPr>
          <w:p w:rsidR="00522D4A" w:rsidRPr="007C51D6" w:rsidRDefault="00522D4A" w:rsidP="00522D4A">
            <w:pPr>
              <w:autoSpaceDE/>
              <w:autoSpaceDN/>
              <w:adjustRightInd/>
              <w:spacing w:line="230" w:lineRule="auto"/>
              <w:jc w:val="center"/>
              <w:rPr>
                <w:rFonts w:eastAsia="Arial"/>
                <w:sz w:val="20"/>
                <w:szCs w:val="20"/>
              </w:rPr>
            </w:pPr>
            <w:r w:rsidRPr="007C51D6">
              <w:rPr>
                <w:rFonts w:eastAsia="Arial"/>
                <w:sz w:val="20"/>
                <w:szCs w:val="20"/>
              </w:rPr>
              <w:t>18,7</w:t>
            </w:r>
          </w:p>
        </w:tc>
        <w:tc>
          <w:tcPr>
            <w:tcW w:w="1212" w:type="dxa"/>
          </w:tcPr>
          <w:p w:rsidR="00522D4A" w:rsidRPr="007C51D6" w:rsidRDefault="00522D4A" w:rsidP="00522D4A">
            <w:pPr>
              <w:autoSpaceDE/>
              <w:autoSpaceDN/>
              <w:adjustRightInd/>
              <w:spacing w:line="230" w:lineRule="auto"/>
              <w:jc w:val="center"/>
              <w:rPr>
                <w:rFonts w:eastAsia="Arial"/>
                <w:sz w:val="20"/>
                <w:szCs w:val="20"/>
              </w:rPr>
            </w:pPr>
            <w:r w:rsidRPr="007C51D6">
              <w:rPr>
                <w:rFonts w:eastAsia="Arial"/>
                <w:sz w:val="20"/>
                <w:szCs w:val="20"/>
              </w:rPr>
              <w:t>21,0</w:t>
            </w:r>
          </w:p>
        </w:tc>
        <w:tc>
          <w:tcPr>
            <w:tcW w:w="1212" w:type="dxa"/>
          </w:tcPr>
          <w:p w:rsidR="00522D4A" w:rsidRPr="007C51D6" w:rsidRDefault="00522D4A" w:rsidP="00522D4A">
            <w:pPr>
              <w:autoSpaceDE/>
              <w:autoSpaceDN/>
              <w:adjustRightInd/>
              <w:spacing w:line="230" w:lineRule="auto"/>
              <w:jc w:val="center"/>
              <w:rPr>
                <w:rFonts w:eastAsia="Arial"/>
                <w:sz w:val="20"/>
                <w:szCs w:val="20"/>
              </w:rPr>
            </w:pPr>
            <w:r w:rsidRPr="007C51D6">
              <w:rPr>
                <w:rFonts w:eastAsia="Arial"/>
                <w:sz w:val="20"/>
                <w:szCs w:val="20"/>
              </w:rPr>
              <w:t>18,3</w:t>
            </w:r>
          </w:p>
        </w:tc>
        <w:tc>
          <w:tcPr>
            <w:tcW w:w="1212" w:type="dxa"/>
            <w:vAlign w:val="bottom"/>
          </w:tcPr>
          <w:p w:rsidR="00522D4A" w:rsidRPr="007C51D6" w:rsidRDefault="00522D4A" w:rsidP="00522D4A">
            <w:pPr>
              <w:widowControl/>
              <w:autoSpaceDE/>
              <w:autoSpaceDN/>
              <w:adjustRightInd/>
              <w:jc w:val="center"/>
              <w:rPr>
                <w:color w:val="000000"/>
                <w:sz w:val="20"/>
                <w:szCs w:val="20"/>
              </w:rPr>
            </w:pPr>
            <w:r w:rsidRPr="007C51D6">
              <w:rPr>
                <w:color w:val="000000"/>
                <w:sz w:val="20"/>
                <w:szCs w:val="20"/>
              </w:rPr>
              <w:t>20,0</w:t>
            </w:r>
          </w:p>
        </w:tc>
      </w:tr>
      <w:tr w:rsidR="00522D4A" w:rsidRPr="007C51D6" w:rsidTr="0038114E">
        <w:tblPrEx>
          <w:tblBorders>
            <w:bottom w:val="single" w:sz="4" w:space="0" w:color="auto"/>
          </w:tblBorders>
          <w:tblCellMar>
            <w:top w:w="11" w:type="dxa"/>
            <w:bottom w:w="11" w:type="dxa"/>
          </w:tblCellMar>
        </w:tblPrEx>
        <w:trPr>
          <w:trHeight w:val="20"/>
        </w:trPr>
        <w:tc>
          <w:tcPr>
            <w:tcW w:w="1838" w:type="dxa"/>
            <w:vMerge/>
          </w:tcPr>
          <w:p w:rsidR="00522D4A" w:rsidRPr="007C51D6" w:rsidRDefault="00522D4A" w:rsidP="00522D4A">
            <w:pPr>
              <w:spacing w:line="230" w:lineRule="auto"/>
              <w:jc w:val="both"/>
              <w:rPr>
                <w:rFonts w:eastAsia="Arial"/>
                <w:sz w:val="20"/>
                <w:szCs w:val="20"/>
                <w:lang w:val="en-US"/>
              </w:rPr>
            </w:pPr>
          </w:p>
        </w:tc>
        <w:tc>
          <w:tcPr>
            <w:tcW w:w="1276" w:type="dxa"/>
          </w:tcPr>
          <w:p w:rsidR="00522D4A" w:rsidRPr="007C51D6" w:rsidRDefault="00522D4A" w:rsidP="00522D4A">
            <w:pPr>
              <w:spacing w:line="230" w:lineRule="auto"/>
              <w:jc w:val="both"/>
              <w:rPr>
                <w:rFonts w:eastAsia="Arial"/>
                <w:sz w:val="20"/>
                <w:szCs w:val="20"/>
                <w:lang w:val="en-US"/>
              </w:rPr>
            </w:pPr>
            <w:r w:rsidRPr="007C51D6">
              <w:rPr>
                <w:rFonts w:eastAsia="Arial"/>
                <w:sz w:val="20"/>
                <w:szCs w:val="20"/>
                <w:lang w:val="en-US"/>
              </w:rPr>
              <w:t>II</w:t>
            </w:r>
            <w:r w:rsidRPr="007C51D6">
              <w:rPr>
                <w:rFonts w:eastAsia="Arial"/>
                <w:sz w:val="20"/>
                <w:szCs w:val="20"/>
              </w:rPr>
              <w:t xml:space="preserve"> стадия</w:t>
            </w:r>
          </w:p>
        </w:tc>
        <w:tc>
          <w:tcPr>
            <w:tcW w:w="1210" w:type="dxa"/>
          </w:tcPr>
          <w:p w:rsidR="00522D4A" w:rsidRPr="007C51D6" w:rsidRDefault="00522D4A" w:rsidP="00522D4A">
            <w:pPr>
              <w:autoSpaceDE/>
              <w:autoSpaceDN/>
              <w:adjustRightInd/>
              <w:spacing w:line="230" w:lineRule="auto"/>
              <w:jc w:val="center"/>
              <w:rPr>
                <w:rFonts w:eastAsia="Arial"/>
                <w:sz w:val="20"/>
                <w:szCs w:val="20"/>
              </w:rPr>
            </w:pPr>
            <w:r w:rsidRPr="007C51D6">
              <w:rPr>
                <w:rFonts w:eastAsia="Arial"/>
                <w:sz w:val="20"/>
                <w:szCs w:val="20"/>
              </w:rPr>
              <w:t>18,8</w:t>
            </w:r>
          </w:p>
        </w:tc>
        <w:tc>
          <w:tcPr>
            <w:tcW w:w="1211" w:type="dxa"/>
          </w:tcPr>
          <w:p w:rsidR="00522D4A" w:rsidRPr="007C51D6" w:rsidRDefault="00522D4A" w:rsidP="00522D4A">
            <w:pPr>
              <w:autoSpaceDE/>
              <w:autoSpaceDN/>
              <w:adjustRightInd/>
              <w:spacing w:line="230" w:lineRule="auto"/>
              <w:jc w:val="center"/>
              <w:rPr>
                <w:rFonts w:eastAsia="Arial"/>
                <w:sz w:val="20"/>
                <w:szCs w:val="20"/>
              </w:rPr>
            </w:pPr>
            <w:r w:rsidRPr="007C51D6">
              <w:rPr>
                <w:rFonts w:eastAsia="Arial"/>
                <w:sz w:val="20"/>
                <w:szCs w:val="20"/>
              </w:rPr>
              <w:t>17,7</w:t>
            </w:r>
          </w:p>
        </w:tc>
        <w:tc>
          <w:tcPr>
            <w:tcW w:w="1212" w:type="dxa"/>
          </w:tcPr>
          <w:p w:rsidR="00522D4A" w:rsidRPr="007C51D6" w:rsidRDefault="00522D4A" w:rsidP="00522D4A">
            <w:pPr>
              <w:autoSpaceDE/>
              <w:autoSpaceDN/>
              <w:adjustRightInd/>
              <w:spacing w:line="230" w:lineRule="auto"/>
              <w:jc w:val="center"/>
              <w:rPr>
                <w:rFonts w:eastAsia="Arial"/>
                <w:sz w:val="20"/>
                <w:szCs w:val="20"/>
              </w:rPr>
            </w:pPr>
            <w:r w:rsidRPr="007C51D6">
              <w:rPr>
                <w:rFonts w:eastAsia="Arial"/>
                <w:sz w:val="20"/>
                <w:szCs w:val="20"/>
              </w:rPr>
              <w:t>23,3</w:t>
            </w:r>
          </w:p>
        </w:tc>
        <w:tc>
          <w:tcPr>
            <w:tcW w:w="1212" w:type="dxa"/>
          </w:tcPr>
          <w:p w:rsidR="00522D4A" w:rsidRPr="007C51D6" w:rsidRDefault="00522D4A" w:rsidP="00522D4A">
            <w:pPr>
              <w:autoSpaceDE/>
              <w:autoSpaceDN/>
              <w:adjustRightInd/>
              <w:spacing w:line="230" w:lineRule="auto"/>
              <w:jc w:val="center"/>
              <w:rPr>
                <w:rFonts w:eastAsia="Arial"/>
                <w:sz w:val="20"/>
                <w:szCs w:val="20"/>
              </w:rPr>
            </w:pPr>
            <w:r w:rsidRPr="007C51D6">
              <w:rPr>
                <w:rFonts w:eastAsia="Arial"/>
                <w:sz w:val="20"/>
                <w:szCs w:val="20"/>
              </w:rPr>
              <w:t>26,5</w:t>
            </w:r>
          </w:p>
        </w:tc>
        <w:tc>
          <w:tcPr>
            <w:tcW w:w="1212" w:type="dxa"/>
          </w:tcPr>
          <w:p w:rsidR="00522D4A" w:rsidRPr="007C51D6" w:rsidRDefault="00522D4A" w:rsidP="00522D4A">
            <w:pPr>
              <w:autoSpaceDE/>
              <w:autoSpaceDN/>
              <w:adjustRightInd/>
              <w:spacing w:line="230" w:lineRule="auto"/>
              <w:jc w:val="center"/>
              <w:rPr>
                <w:rFonts w:eastAsia="Arial"/>
                <w:sz w:val="20"/>
                <w:szCs w:val="20"/>
              </w:rPr>
            </w:pPr>
            <w:r w:rsidRPr="007C51D6">
              <w:rPr>
                <w:rFonts w:eastAsia="Arial"/>
                <w:sz w:val="20"/>
                <w:szCs w:val="20"/>
              </w:rPr>
              <w:t>24,3</w:t>
            </w:r>
          </w:p>
        </w:tc>
        <w:tc>
          <w:tcPr>
            <w:tcW w:w="1212" w:type="dxa"/>
          </w:tcPr>
          <w:p w:rsidR="00522D4A" w:rsidRPr="007C51D6" w:rsidRDefault="00522D4A" w:rsidP="00522D4A">
            <w:pPr>
              <w:autoSpaceDE/>
              <w:autoSpaceDN/>
              <w:adjustRightInd/>
              <w:spacing w:line="230" w:lineRule="auto"/>
              <w:jc w:val="center"/>
              <w:rPr>
                <w:rFonts w:eastAsia="Arial"/>
                <w:sz w:val="20"/>
                <w:szCs w:val="20"/>
              </w:rPr>
            </w:pPr>
            <w:r w:rsidRPr="007C51D6">
              <w:rPr>
                <w:rFonts w:eastAsia="Arial"/>
                <w:sz w:val="20"/>
                <w:szCs w:val="20"/>
              </w:rPr>
              <w:t>24,9</w:t>
            </w:r>
          </w:p>
        </w:tc>
        <w:tc>
          <w:tcPr>
            <w:tcW w:w="1212" w:type="dxa"/>
          </w:tcPr>
          <w:p w:rsidR="00522D4A" w:rsidRPr="007C51D6" w:rsidRDefault="00522D4A" w:rsidP="00522D4A">
            <w:pPr>
              <w:autoSpaceDE/>
              <w:autoSpaceDN/>
              <w:adjustRightInd/>
              <w:spacing w:line="230" w:lineRule="auto"/>
              <w:jc w:val="center"/>
              <w:rPr>
                <w:rFonts w:eastAsia="Arial"/>
                <w:sz w:val="20"/>
                <w:szCs w:val="20"/>
              </w:rPr>
            </w:pPr>
            <w:r w:rsidRPr="007C51D6">
              <w:rPr>
                <w:rFonts w:eastAsia="Arial"/>
                <w:sz w:val="20"/>
                <w:szCs w:val="20"/>
              </w:rPr>
              <w:t>24,5</w:t>
            </w:r>
          </w:p>
        </w:tc>
        <w:tc>
          <w:tcPr>
            <w:tcW w:w="1212" w:type="dxa"/>
          </w:tcPr>
          <w:p w:rsidR="00522D4A" w:rsidRPr="007C51D6" w:rsidRDefault="00522D4A" w:rsidP="00522D4A">
            <w:pPr>
              <w:autoSpaceDE/>
              <w:autoSpaceDN/>
              <w:adjustRightInd/>
              <w:spacing w:line="230" w:lineRule="auto"/>
              <w:jc w:val="center"/>
              <w:rPr>
                <w:rFonts w:eastAsia="Arial"/>
                <w:sz w:val="20"/>
                <w:szCs w:val="20"/>
              </w:rPr>
            </w:pPr>
            <w:r w:rsidRPr="007C51D6">
              <w:rPr>
                <w:rFonts w:eastAsia="Arial"/>
                <w:sz w:val="20"/>
                <w:szCs w:val="20"/>
              </w:rPr>
              <w:t>26,5</w:t>
            </w:r>
          </w:p>
        </w:tc>
        <w:tc>
          <w:tcPr>
            <w:tcW w:w="1212" w:type="dxa"/>
          </w:tcPr>
          <w:p w:rsidR="00522D4A" w:rsidRPr="007C51D6" w:rsidRDefault="00522D4A" w:rsidP="00522D4A">
            <w:pPr>
              <w:autoSpaceDE/>
              <w:autoSpaceDN/>
              <w:adjustRightInd/>
              <w:spacing w:line="230" w:lineRule="auto"/>
              <w:jc w:val="center"/>
              <w:rPr>
                <w:rFonts w:eastAsia="Arial"/>
                <w:sz w:val="20"/>
                <w:szCs w:val="20"/>
              </w:rPr>
            </w:pPr>
            <w:r w:rsidRPr="007C51D6">
              <w:rPr>
                <w:rFonts w:eastAsia="Arial"/>
                <w:sz w:val="20"/>
                <w:szCs w:val="20"/>
              </w:rPr>
              <w:t>28,4</w:t>
            </w:r>
          </w:p>
        </w:tc>
        <w:tc>
          <w:tcPr>
            <w:tcW w:w="1212" w:type="dxa"/>
            <w:vAlign w:val="bottom"/>
          </w:tcPr>
          <w:p w:rsidR="00522D4A" w:rsidRPr="007C51D6" w:rsidRDefault="00522D4A" w:rsidP="00522D4A">
            <w:pPr>
              <w:jc w:val="center"/>
              <w:rPr>
                <w:color w:val="000000"/>
                <w:sz w:val="20"/>
                <w:szCs w:val="20"/>
              </w:rPr>
            </w:pPr>
            <w:r w:rsidRPr="007C51D6">
              <w:rPr>
                <w:color w:val="000000"/>
                <w:sz w:val="20"/>
                <w:szCs w:val="20"/>
              </w:rPr>
              <w:t>27,9</w:t>
            </w:r>
          </w:p>
        </w:tc>
      </w:tr>
      <w:tr w:rsidR="00522D4A" w:rsidRPr="007C51D6" w:rsidTr="0038114E">
        <w:tblPrEx>
          <w:tblBorders>
            <w:bottom w:val="single" w:sz="4" w:space="0" w:color="auto"/>
          </w:tblBorders>
          <w:tblCellMar>
            <w:top w:w="11" w:type="dxa"/>
            <w:bottom w:w="11" w:type="dxa"/>
          </w:tblCellMar>
        </w:tblPrEx>
        <w:trPr>
          <w:trHeight w:val="20"/>
        </w:trPr>
        <w:tc>
          <w:tcPr>
            <w:tcW w:w="1838" w:type="dxa"/>
            <w:vMerge/>
          </w:tcPr>
          <w:p w:rsidR="00522D4A" w:rsidRPr="007C51D6" w:rsidRDefault="00522D4A" w:rsidP="00522D4A">
            <w:pPr>
              <w:spacing w:line="230" w:lineRule="auto"/>
              <w:jc w:val="both"/>
              <w:rPr>
                <w:rFonts w:eastAsia="Arial"/>
                <w:sz w:val="20"/>
                <w:szCs w:val="20"/>
                <w:lang w:val="en-US"/>
              </w:rPr>
            </w:pPr>
          </w:p>
        </w:tc>
        <w:tc>
          <w:tcPr>
            <w:tcW w:w="1276" w:type="dxa"/>
          </w:tcPr>
          <w:p w:rsidR="00522D4A" w:rsidRPr="007C51D6" w:rsidRDefault="00522D4A" w:rsidP="00522D4A">
            <w:pPr>
              <w:spacing w:line="230" w:lineRule="auto"/>
              <w:jc w:val="both"/>
              <w:rPr>
                <w:rFonts w:eastAsia="Arial"/>
                <w:sz w:val="20"/>
                <w:szCs w:val="20"/>
                <w:lang w:val="en-US"/>
              </w:rPr>
            </w:pPr>
            <w:r w:rsidRPr="007C51D6">
              <w:rPr>
                <w:rFonts w:eastAsia="Arial"/>
                <w:sz w:val="20"/>
                <w:szCs w:val="20"/>
                <w:lang w:val="en-US"/>
              </w:rPr>
              <w:t>III</w:t>
            </w:r>
            <w:r w:rsidRPr="007C51D6">
              <w:rPr>
                <w:rFonts w:eastAsia="Arial"/>
                <w:sz w:val="20"/>
                <w:szCs w:val="20"/>
              </w:rPr>
              <w:t xml:space="preserve"> стадия</w:t>
            </w:r>
          </w:p>
        </w:tc>
        <w:tc>
          <w:tcPr>
            <w:tcW w:w="1210" w:type="dxa"/>
          </w:tcPr>
          <w:p w:rsidR="00522D4A" w:rsidRPr="007C51D6" w:rsidRDefault="00522D4A" w:rsidP="00522D4A">
            <w:pPr>
              <w:autoSpaceDE/>
              <w:autoSpaceDN/>
              <w:adjustRightInd/>
              <w:spacing w:line="230" w:lineRule="auto"/>
              <w:jc w:val="center"/>
              <w:rPr>
                <w:rFonts w:eastAsia="Arial"/>
                <w:sz w:val="20"/>
                <w:szCs w:val="20"/>
              </w:rPr>
            </w:pPr>
            <w:r w:rsidRPr="007C51D6">
              <w:rPr>
                <w:rFonts w:eastAsia="Arial"/>
                <w:sz w:val="20"/>
                <w:szCs w:val="20"/>
              </w:rPr>
              <w:t>17,4</w:t>
            </w:r>
          </w:p>
        </w:tc>
        <w:tc>
          <w:tcPr>
            <w:tcW w:w="1211" w:type="dxa"/>
          </w:tcPr>
          <w:p w:rsidR="00522D4A" w:rsidRPr="007C51D6" w:rsidRDefault="00522D4A" w:rsidP="00522D4A">
            <w:pPr>
              <w:autoSpaceDE/>
              <w:autoSpaceDN/>
              <w:adjustRightInd/>
              <w:spacing w:line="230" w:lineRule="auto"/>
              <w:jc w:val="center"/>
              <w:rPr>
                <w:rFonts w:eastAsia="Arial"/>
                <w:sz w:val="20"/>
                <w:szCs w:val="20"/>
              </w:rPr>
            </w:pPr>
            <w:r w:rsidRPr="007C51D6">
              <w:rPr>
                <w:rFonts w:eastAsia="Arial"/>
                <w:sz w:val="20"/>
                <w:szCs w:val="20"/>
              </w:rPr>
              <w:t>15,5</w:t>
            </w:r>
          </w:p>
        </w:tc>
        <w:tc>
          <w:tcPr>
            <w:tcW w:w="1212" w:type="dxa"/>
          </w:tcPr>
          <w:p w:rsidR="00522D4A" w:rsidRPr="007C51D6" w:rsidRDefault="00522D4A" w:rsidP="00522D4A">
            <w:pPr>
              <w:autoSpaceDE/>
              <w:autoSpaceDN/>
              <w:adjustRightInd/>
              <w:spacing w:line="230" w:lineRule="auto"/>
              <w:jc w:val="center"/>
              <w:rPr>
                <w:rFonts w:eastAsia="Arial"/>
                <w:sz w:val="20"/>
                <w:szCs w:val="20"/>
              </w:rPr>
            </w:pPr>
            <w:r w:rsidRPr="007C51D6">
              <w:rPr>
                <w:rFonts w:eastAsia="Arial"/>
                <w:sz w:val="20"/>
                <w:szCs w:val="20"/>
              </w:rPr>
              <w:t>14,3</w:t>
            </w:r>
          </w:p>
        </w:tc>
        <w:tc>
          <w:tcPr>
            <w:tcW w:w="1212" w:type="dxa"/>
          </w:tcPr>
          <w:p w:rsidR="00522D4A" w:rsidRPr="007C51D6" w:rsidRDefault="00522D4A" w:rsidP="00522D4A">
            <w:pPr>
              <w:autoSpaceDE/>
              <w:autoSpaceDN/>
              <w:adjustRightInd/>
              <w:spacing w:line="230" w:lineRule="auto"/>
              <w:jc w:val="center"/>
              <w:rPr>
                <w:rFonts w:eastAsia="Arial"/>
                <w:sz w:val="20"/>
                <w:szCs w:val="20"/>
              </w:rPr>
            </w:pPr>
            <w:r w:rsidRPr="007C51D6">
              <w:rPr>
                <w:rFonts w:eastAsia="Arial"/>
                <w:sz w:val="20"/>
                <w:szCs w:val="20"/>
              </w:rPr>
              <w:t>15,5</w:t>
            </w:r>
          </w:p>
        </w:tc>
        <w:tc>
          <w:tcPr>
            <w:tcW w:w="1212" w:type="dxa"/>
          </w:tcPr>
          <w:p w:rsidR="00522D4A" w:rsidRPr="007C51D6" w:rsidRDefault="00522D4A" w:rsidP="00522D4A">
            <w:pPr>
              <w:autoSpaceDE/>
              <w:autoSpaceDN/>
              <w:adjustRightInd/>
              <w:spacing w:line="230" w:lineRule="auto"/>
              <w:jc w:val="center"/>
              <w:rPr>
                <w:rFonts w:eastAsia="Arial"/>
                <w:sz w:val="20"/>
                <w:szCs w:val="20"/>
              </w:rPr>
            </w:pPr>
            <w:r w:rsidRPr="007C51D6">
              <w:rPr>
                <w:rFonts w:eastAsia="Arial"/>
                <w:sz w:val="20"/>
                <w:szCs w:val="20"/>
              </w:rPr>
              <w:t>19,0</w:t>
            </w:r>
          </w:p>
        </w:tc>
        <w:tc>
          <w:tcPr>
            <w:tcW w:w="1212" w:type="dxa"/>
          </w:tcPr>
          <w:p w:rsidR="00522D4A" w:rsidRPr="007C51D6" w:rsidRDefault="00522D4A" w:rsidP="00522D4A">
            <w:pPr>
              <w:autoSpaceDE/>
              <w:autoSpaceDN/>
              <w:adjustRightInd/>
              <w:spacing w:line="230" w:lineRule="auto"/>
              <w:jc w:val="center"/>
              <w:rPr>
                <w:rFonts w:eastAsia="Arial"/>
                <w:sz w:val="20"/>
                <w:szCs w:val="20"/>
              </w:rPr>
            </w:pPr>
            <w:r w:rsidRPr="007C51D6">
              <w:rPr>
                <w:rFonts w:eastAsia="Arial"/>
                <w:sz w:val="20"/>
                <w:szCs w:val="20"/>
              </w:rPr>
              <w:t>19,1</w:t>
            </w:r>
          </w:p>
        </w:tc>
        <w:tc>
          <w:tcPr>
            <w:tcW w:w="1212" w:type="dxa"/>
          </w:tcPr>
          <w:p w:rsidR="00522D4A" w:rsidRPr="007C51D6" w:rsidRDefault="00522D4A" w:rsidP="00522D4A">
            <w:pPr>
              <w:autoSpaceDE/>
              <w:autoSpaceDN/>
              <w:adjustRightInd/>
              <w:spacing w:line="230" w:lineRule="auto"/>
              <w:jc w:val="center"/>
              <w:rPr>
                <w:rFonts w:eastAsia="Arial"/>
                <w:sz w:val="20"/>
                <w:szCs w:val="20"/>
              </w:rPr>
            </w:pPr>
            <w:r w:rsidRPr="007C51D6">
              <w:rPr>
                <w:rFonts w:eastAsia="Arial"/>
                <w:sz w:val="20"/>
                <w:szCs w:val="20"/>
              </w:rPr>
              <w:t>20,6</w:t>
            </w:r>
          </w:p>
        </w:tc>
        <w:tc>
          <w:tcPr>
            <w:tcW w:w="1212" w:type="dxa"/>
          </w:tcPr>
          <w:p w:rsidR="00522D4A" w:rsidRPr="007C51D6" w:rsidRDefault="00522D4A" w:rsidP="00522D4A">
            <w:pPr>
              <w:autoSpaceDE/>
              <w:autoSpaceDN/>
              <w:adjustRightInd/>
              <w:spacing w:line="230" w:lineRule="auto"/>
              <w:jc w:val="center"/>
              <w:rPr>
                <w:rFonts w:eastAsia="Arial"/>
                <w:sz w:val="20"/>
                <w:szCs w:val="20"/>
              </w:rPr>
            </w:pPr>
            <w:r w:rsidRPr="007C51D6">
              <w:rPr>
                <w:rFonts w:eastAsia="Arial"/>
                <w:sz w:val="20"/>
                <w:szCs w:val="20"/>
              </w:rPr>
              <w:t>18,2</w:t>
            </w:r>
          </w:p>
        </w:tc>
        <w:tc>
          <w:tcPr>
            <w:tcW w:w="1212" w:type="dxa"/>
          </w:tcPr>
          <w:p w:rsidR="00522D4A" w:rsidRPr="007C51D6" w:rsidRDefault="00522D4A" w:rsidP="00522D4A">
            <w:pPr>
              <w:autoSpaceDE/>
              <w:autoSpaceDN/>
              <w:adjustRightInd/>
              <w:spacing w:line="230" w:lineRule="auto"/>
              <w:jc w:val="center"/>
              <w:rPr>
                <w:rFonts w:eastAsia="Arial"/>
                <w:sz w:val="20"/>
                <w:szCs w:val="20"/>
              </w:rPr>
            </w:pPr>
            <w:r w:rsidRPr="007C51D6">
              <w:rPr>
                <w:rFonts w:eastAsia="Arial"/>
                <w:sz w:val="20"/>
                <w:szCs w:val="20"/>
              </w:rPr>
              <w:t>19,1</w:t>
            </w:r>
          </w:p>
        </w:tc>
        <w:tc>
          <w:tcPr>
            <w:tcW w:w="1212" w:type="dxa"/>
            <w:vAlign w:val="bottom"/>
          </w:tcPr>
          <w:p w:rsidR="00522D4A" w:rsidRPr="007C51D6" w:rsidRDefault="00522D4A" w:rsidP="00522D4A">
            <w:pPr>
              <w:jc w:val="center"/>
              <w:rPr>
                <w:color w:val="000000"/>
                <w:sz w:val="20"/>
                <w:szCs w:val="20"/>
              </w:rPr>
            </w:pPr>
            <w:r w:rsidRPr="007C51D6">
              <w:rPr>
                <w:color w:val="000000"/>
                <w:sz w:val="20"/>
                <w:szCs w:val="20"/>
              </w:rPr>
              <w:t>17,3</w:t>
            </w:r>
          </w:p>
        </w:tc>
      </w:tr>
      <w:tr w:rsidR="00522D4A" w:rsidRPr="007C51D6" w:rsidTr="0038114E">
        <w:tblPrEx>
          <w:tblBorders>
            <w:bottom w:val="single" w:sz="4" w:space="0" w:color="auto"/>
          </w:tblBorders>
          <w:tblCellMar>
            <w:top w:w="11" w:type="dxa"/>
            <w:bottom w:w="11" w:type="dxa"/>
          </w:tblCellMar>
        </w:tblPrEx>
        <w:trPr>
          <w:trHeight w:val="20"/>
        </w:trPr>
        <w:tc>
          <w:tcPr>
            <w:tcW w:w="1838" w:type="dxa"/>
            <w:vMerge/>
          </w:tcPr>
          <w:p w:rsidR="00522D4A" w:rsidRPr="007C51D6" w:rsidRDefault="00522D4A" w:rsidP="00522D4A">
            <w:pPr>
              <w:spacing w:line="230" w:lineRule="auto"/>
              <w:jc w:val="both"/>
              <w:rPr>
                <w:rFonts w:eastAsia="Arial"/>
                <w:sz w:val="20"/>
                <w:szCs w:val="20"/>
                <w:lang w:val="en-US"/>
              </w:rPr>
            </w:pPr>
          </w:p>
        </w:tc>
        <w:tc>
          <w:tcPr>
            <w:tcW w:w="1276" w:type="dxa"/>
          </w:tcPr>
          <w:p w:rsidR="00522D4A" w:rsidRPr="007C51D6" w:rsidRDefault="00522D4A" w:rsidP="00522D4A">
            <w:pPr>
              <w:spacing w:line="230" w:lineRule="auto"/>
              <w:jc w:val="both"/>
            </w:pPr>
            <w:r w:rsidRPr="007C51D6">
              <w:rPr>
                <w:rFonts w:eastAsia="Arial"/>
                <w:sz w:val="20"/>
                <w:szCs w:val="20"/>
                <w:lang w:val="en-US"/>
              </w:rPr>
              <w:t>IV</w:t>
            </w:r>
            <w:r w:rsidRPr="007C51D6">
              <w:rPr>
                <w:rFonts w:eastAsia="Arial"/>
                <w:sz w:val="20"/>
                <w:szCs w:val="20"/>
              </w:rPr>
              <w:t xml:space="preserve"> стадия</w:t>
            </w:r>
          </w:p>
        </w:tc>
        <w:tc>
          <w:tcPr>
            <w:tcW w:w="1210" w:type="dxa"/>
          </w:tcPr>
          <w:p w:rsidR="00522D4A" w:rsidRPr="007C51D6" w:rsidRDefault="00522D4A" w:rsidP="00522D4A">
            <w:pPr>
              <w:autoSpaceDE/>
              <w:autoSpaceDN/>
              <w:adjustRightInd/>
              <w:spacing w:line="230" w:lineRule="auto"/>
              <w:jc w:val="center"/>
              <w:rPr>
                <w:rFonts w:eastAsia="Arial"/>
                <w:sz w:val="20"/>
                <w:szCs w:val="20"/>
              </w:rPr>
            </w:pPr>
            <w:r w:rsidRPr="007C51D6">
              <w:rPr>
                <w:rFonts w:eastAsia="Arial"/>
                <w:sz w:val="20"/>
                <w:szCs w:val="20"/>
              </w:rPr>
              <w:t>51,5</w:t>
            </w:r>
          </w:p>
        </w:tc>
        <w:tc>
          <w:tcPr>
            <w:tcW w:w="1211" w:type="dxa"/>
          </w:tcPr>
          <w:p w:rsidR="00522D4A" w:rsidRPr="007C51D6" w:rsidRDefault="00522D4A" w:rsidP="00522D4A">
            <w:pPr>
              <w:autoSpaceDE/>
              <w:autoSpaceDN/>
              <w:adjustRightInd/>
              <w:spacing w:line="230" w:lineRule="auto"/>
              <w:jc w:val="center"/>
              <w:rPr>
                <w:rFonts w:eastAsia="Arial"/>
                <w:sz w:val="20"/>
                <w:szCs w:val="20"/>
              </w:rPr>
            </w:pPr>
            <w:r w:rsidRPr="007C51D6">
              <w:rPr>
                <w:rFonts w:eastAsia="Arial"/>
                <w:sz w:val="20"/>
                <w:szCs w:val="20"/>
              </w:rPr>
              <w:t>53,8</w:t>
            </w:r>
          </w:p>
        </w:tc>
        <w:tc>
          <w:tcPr>
            <w:tcW w:w="1212" w:type="dxa"/>
          </w:tcPr>
          <w:p w:rsidR="00522D4A" w:rsidRPr="007C51D6" w:rsidRDefault="00522D4A" w:rsidP="00522D4A">
            <w:pPr>
              <w:autoSpaceDE/>
              <w:autoSpaceDN/>
              <w:adjustRightInd/>
              <w:spacing w:line="230" w:lineRule="auto"/>
              <w:jc w:val="center"/>
              <w:rPr>
                <w:rFonts w:eastAsia="Arial"/>
                <w:sz w:val="20"/>
                <w:szCs w:val="20"/>
              </w:rPr>
            </w:pPr>
            <w:r w:rsidRPr="007C51D6">
              <w:rPr>
                <w:rFonts w:eastAsia="Arial"/>
                <w:sz w:val="20"/>
                <w:szCs w:val="20"/>
              </w:rPr>
              <w:t>50,6</w:t>
            </w:r>
          </w:p>
        </w:tc>
        <w:tc>
          <w:tcPr>
            <w:tcW w:w="1212" w:type="dxa"/>
          </w:tcPr>
          <w:p w:rsidR="00522D4A" w:rsidRPr="007C51D6" w:rsidRDefault="00522D4A" w:rsidP="00522D4A">
            <w:pPr>
              <w:autoSpaceDE/>
              <w:autoSpaceDN/>
              <w:adjustRightInd/>
              <w:spacing w:line="230" w:lineRule="auto"/>
              <w:jc w:val="center"/>
              <w:rPr>
                <w:rFonts w:eastAsia="Arial"/>
                <w:sz w:val="20"/>
                <w:szCs w:val="20"/>
              </w:rPr>
            </w:pPr>
            <w:r w:rsidRPr="007C51D6">
              <w:rPr>
                <w:rFonts w:eastAsia="Arial"/>
                <w:sz w:val="20"/>
                <w:szCs w:val="20"/>
              </w:rPr>
              <w:t>42,4</w:t>
            </w:r>
          </w:p>
        </w:tc>
        <w:tc>
          <w:tcPr>
            <w:tcW w:w="1212" w:type="dxa"/>
          </w:tcPr>
          <w:p w:rsidR="00522D4A" w:rsidRPr="007C51D6" w:rsidRDefault="00522D4A" w:rsidP="00522D4A">
            <w:pPr>
              <w:autoSpaceDE/>
              <w:autoSpaceDN/>
              <w:adjustRightInd/>
              <w:spacing w:line="230" w:lineRule="auto"/>
              <w:jc w:val="center"/>
              <w:rPr>
                <w:rFonts w:eastAsia="Arial"/>
                <w:sz w:val="20"/>
                <w:szCs w:val="20"/>
              </w:rPr>
            </w:pPr>
            <w:r w:rsidRPr="007C51D6">
              <w:rPr>
                <w:rFonts w:eastAsia="Arial"/>
                <w:sz w:val="20"/>
                <w:szCs w:val="20"/>
              </w:rPr>
              <w:t>41,3</w:t>
            </w:r>
          </w:p>
        </w:tc>
        <w:tc>
          <w:tcPr>
            <w:tcW w:w="1212" w:type="dxa"/>
          </w:tcPr>
          <w:p w:rsidR="00522D4A" w:rsidRPr="007C51D6" w:rsidRDefault="00522D4A" w:rsidP="00522D4A">
            <w:pPr>
              <w:autoSpaceDE/>
              <w:autoSpaceDN/>
              <w:adjustRightInd/>
              <w:spacing w:line="230" w:lineRule="auto"/>
              <w:jc w:val="center"/>
              <w:rPr>
                <w:rFonts w:eastAsia="Arial"/>
                <w:sz w:val="20"/>
                <w:szCs w:val="20"/>
              </w:rPr>
            </w:pPr>
            <w:r w:rsidRPr="007C51D6">
              <w:rPr>
                <w:rFonts w:eastAsia="Arial"/>
                <w:sz w:val="20"/>
                <w:szCs w:val="20"/>
              </w:rPr>
              <w:t>36,2</w:t>
            </w:r>
          </w:p>
        </w:tc>
        <w:tc>
          <w:tcPr>
            <w:tcW w:w="1212" w:type="dxa"/>
          </w:tcPr>
          <w:p w:rsidR="00522D4A" w:rsidRPr="007C51D6" w:rsidRDefault="00522D4A" w:rsidP="00522D4A">
            <w:pPr>
              <w:autoSpaceDE/>
              <w:autoSpaceDN/>
              <w:adjustRightInd/>
              <w:spacing w:line="230" w:lineRule="auto"/>
              <w:jc w:val="center"/>
              <w:rPr>
                <w:rFonts w:eastAsia="Arial"/>
                <w:sz w:val="20"/>
                <w:szCs w:val="20"/>
              </w:rPr>
            </w:pPr>
            <w:r w:rsidRPr="007C51D6">
              <w:rPr>
                <w:rFonts w:eastAsia="Arial"/>
                <w:sz w:val="20"/>
                <w:szCs w:val="20"/>
              </w:rPr>
              <w:t>36,2</w:t>
            </w:r>
          </w:p>
        </w:tc>
        <w:tc>
          <w:tcPr>
            <w:tcW w:w="1212" w:type="dxa"/>
          </w:tcPr>
          <w:p w:rsidR="00522D4A" w:rsidRPr="007C51D6" w:rsidRDefault="00522D4A" w:rsidP="00522D4A">
            <w:pPr>
              <w:autoSpaceDE/>
              <w:autoSpaceDN/>
              <w:adjustRightInd/>
              <w:spacing w:line="230" w:lineRule="auto"/>
              <w:jc w:val="center"/>
              <w:rPr>
                <w:rFonts w:eastAsia="Arial"/>
                <w:sz w:val="20"/>
                <w:szCs w:val="20"/>
              </w:rPr>
            </w:pPr>
            <w:r w:rsidRPr="007C51D6">
              <w:rPr>
                <w:rFonts w:eastAsia="Arial"/>
                <w:sz w:val="20"/>
                <w:szCs w:val="20"/>
              </w:rPr>
              <w:t>34,3</w:t>
            </w:r>
          </w:p>
        </w:tc>
        <w:tc>
          <w:tcPr>
            <w:tcW w:w="1212" w:type="dxa"/>
          </w:tcPr>
          <w:p w:rsidR="00522D4A" w:rsidRPr="007C51D6" w:rsidRDefault="00522D4A" w:rsidP="00522D4A">
            <w:pPr>
              <w:autoSpaceDE/>
              <w:autoSpaceDN/>
              <w:adjustRightInd/>
              <w:spacing w:line="230" w:lineRule="auto"/>
              <w:jc w:val="center"/>
              <w:rPr>
                <w:rFonts w:eastAsia="Arial"/>
                <w:sz w:val="20"/>
                <w:szCs w:val="20"/>
              </w:rPr>
            </w:pPr>
            <w:r w:rsidRPr="007C51D6">
              <w:rPr>
                <w:rFonts w:eastAsia="Arial"/>
                <w:sz w:val="20"/>
                <w:szCs w:val="20"/>
              </w:rPr>
              <w:t>34,2</w:t>
            </w:r>
          </w:p>
        </w:tc>
        <w:tc>
          <w:tcPr>
            <w:tcW w:w="1212" w:type="dxa"/>
            <w:vAlign w:val="bottom"/>
          </w:tcPr>
          <w:p w:rsidR="00522D4A" w:rsidRPr="007C51D6" w:rsidRDefault="00522D4A" w:rsidP="00522D4A">
            <w:pPr>
              <w:jc w:val="center"/>
              <w:rPr>
                <w:color w:val="000000"/>
                <w:sz w:val="20"/>
                <w:szCs w:val="20"/>
              </w:rPr>
            </w:pPr>
            <w:r w:rsidRPr="007C51D6">
              <w:rPr>
                <w:color w:val="000000"/>
                <w:sz w:val="20"/>
                <w:szCs w:val="20"/>
              </w:rPr>
              <w:t>34,8</w:t>
            </w:r>
          </w:p>
        </w:tc>
      </w:tr>
      <w:tr w:rsidR="00522D4A" w:rsidRPr="007C51D6" w:rsidTr="0038114E">
        <w:tblPrEx>
          <w:tblBorders>
            <w:bottom w:val="single" w:sz="4" w:space="0" w:color="auto"/>
          </w:tblBorders>
          <w:tblCellMar>
            <w:top w:w="11" w:type="dxa"/>
            <w:bottom w:w="11" w:type="dxa"/>
          </w:tblCellMar>
        </w:tblPrEx>
        <w:trPr>
          <w:trHeight w:val="20"/>
        </w:trPr>
        <w:tc>
          <w:tcPr>
            <w:tcW w:w="1838" w:type="dxa"/>
            <w:vMerge/>
          </w:tcPr>
          <w:p w:rsidR="00522D4A" w:rsidRPr="007C51D6" w:rsidRDefault="00522D4A" w:rsidP="00522D4A">
            <w:pPr>
              <w:autoSpaceDE/>
              <w:autoSpaceDN/>
              <w:adjustRightInd/>
              <w:spacing w:line="230" w:lineRule="auto"/>
              <w:jc w:val="both"/>
              <w:rPr>
                <w:rFonts w:eastAsia="Arial"/>
                <w:sz w:val="20"/>
                <w:szCs w:val="20"/>
              </w:rPr>
            </w:pPr>
          </w:p>
        </w:tc>
        <w:tc>
          <w:tcPr>
            <w:tcW w:w="1276" w:type="dxa"/>
          </w:tcPr>
          <w:p w:rsidR="00522D4A" w:rsidRPr="007C51D6" w:rsidRDefault="00522D4A" w:rsidP="00522D4A">
            <w:pPr>
              <w:autoSpaceDE/>
              <w:autoSpaceDN/>
              <w:adjustRightInd/>
              <w:spacing w:line="230" w:lineRule="auto"/>
              <w:jc w:val="both"/>
              <w:rPr>
                <w:rFonts w:eastAsia="Arial"/>
                <w:sz w:val="20"/>
                <w:szCs w:val="20"/>
              </w:rPr>
            </w:pPr>
            <w:r w:rsidRPr="007C51D6">
              <w:rPr>
                <w:rFonts w:eastAsia="Arial"/>
                <w:sz w:val="20"/>
                <w:szCs w:val="20"/>
              </w:rPr>
              <w:t>без стадии</w:t>
            </w:r>
          </w:p>
        </w:tc>
        <w:tc>
          <w:tcPr>
            <w:tcW w:w="1210" w:type="dxa"/>
          </w:tcPr>
          <w:p w:rsidR="00522D4A" w:rsidRPr="007C51D6" w:rsidRDefault="00522D4A" w:rsidP="00522D4A">
            <w:pPr>
              <w:autoSpaceDE/>
              <w:autoSpaceDN/>
              <w:adjustRightInd/>
              <w:spacing w:line="230" w:lineRule="auto"/>
              <w:jc w:val="center"/>
              <w:rPr>
                <w:rFonts w:eastAsia="Arial"/>
                <w:sz w:val="20"/>
                <w:szCs w:val="20"/>
              </w:rPr>
            </w:pPr>
            <w:r w:rsidRPr="007C51D6">
              <w:rPr>
                <w:rFonts w:eastAsia="Arial"/>
                <w:sz w:val="20"/>
                <w:szCs w:val="20"/>
              </w:rPr>
              <w:t>0,2</w:t>
            </w:r>
          </w:p>
        </w:tc>
        <w:tc>
          <w:tcPr>
            <w:tcW w:w="1211" w:type="dxa"/>
          </w:tcPr>
          <w:p w:rsidR="00522D4A" w:rsidRPr="007C51D6" w:rsidRDefault="00522D4A" w:rsidP="00522D4A">
            <w:pPr>
              <w:autoSpaceDE/>
              <w:autoSpaceDN/>
              <w:adjustRightInd/>
              <w:spacing w:line="230" w:lineRule="auto"/>
              <w:jc w:val="center"/>
              <w:rPr>
                <w:rFonts w:eastAsia="Arial"/>
                <w:sz w:val="20"/>
                <w:szCs w:val="20"/>
              </w:rPr>
            </w:pPr>
            <w:r w:rsidRPr="007C51D6">
              <w:rPr>
                <w:rFonts w:eastAsia="Arial"/>
                <w:sz w:val="20"/>
                <w:szCs w:val="20"/>
              </w:rPr>
              <w:t>0,1</w:t>
            </w:r>
          </w:p>
        </w:tc>
        <w:tc>
          <w:tcPr>
            <w:tcW w:w="1212" w:type="dxa"/>
          </w:tcPr>
          <w:p w:rsidR="00522D4A" w:rsidRPr="007C51D6" w:rsidRDefault="00522D4A" w:rsidP="00522D4A">
            <w:pPr>
              <w:autoSpaceDE/>
              <w:autoSpaceDN/>
              <w:adjustRightInd/>
              <w:spacing w:line="230" w:lineRule="auto"/>
              <w:jc w:val="center"/>
              <w:rPr>
                <w:rFonts w:eastAsia="Arial"/>
                <w:sz w:val="20"/>
                <w:szCs w:val="20"/>
              </w:rPr>
            </w:pPr>
            <w:r w:rsidRPr="007C51D6">
              <w:rPr>
                <w:rFonts w:eastAsia="Arial"/>
                <w:sz w:val="20"/>
                <w:szCs w:val="20"/>
              </w:rPr>
              <w:t>0</w:t>
            </w:r>
          </w:p>
        </w:tc>
        <w:tc>
          <w:tcPr>
            <w:tcW w:w="1212" w:type="dxa"/>
          </w:tcPr>
          <w:p w:rsidR="00522D4A" w:rsidRPr="007C51D6" w:rsidRDefault="00522D4A" w:rsidP="00522D4A">
            <w:pPr>
              <w:autoSpaceDE/>
              <w:autoSpaceDN/>
              <w:adjustRightInd/>
              <w:spacing w:line="230" w:lineRule="auto"/>
              <w:jc w:val="center"/>
              <w:rPr>
                <w:rFonts w:eastAsia="Arial"/>
                <w:sz w:val="20"/>
                <w:szCs w:val="20"/>
              </w:rPr>
            </w:pPr>
            <w:r w:rsidRPr="007C51D6">
              <w:rPr>
                <w:rFonts w:eastAsia="Arial"/>
                <w:sz w:val="20"/>
                <w:szCs w:val="20"/>
              </w:rPr>
              <w:t>0</w:t>
            </w:r>
          </w:p>
        </w:tc>
        <w:tc>
          <w:tcPr>
            <w:tcW w:w="1212" w:type="dxa"/>
          </w:tcPr>
          <w:p w:rsidR="00522D4A" w:rsidRPr="007C51D6" w:rsidRDefault="00522D4A" w:rsidP="00522D4A">
            <w:pPr>
              <w:autoSpaceDE/>
              <w:autoSpaceDN/>
              <w:adjustRightInd/>
              <w:spacing w:line="230" w:lineRule="auto"/>
              <w:jc w:val="center"/>
              <w:rPr>
                <w:rFonts w:eastAsia="Arial"/>
                <w:sz w:val="20"/>
                <w:szCs w:val="20"/>
              </w:rPr>
            </w:pPr>
            <w:r w:rsidRPr="007C51D6">
              <w:rPr>
                <w:rFonts w:eastAsia="Arial"/>
                <w:sz w:val="20"/>
                <w:szCs w:val="20"/>
              </w:rPr>
              <w:t>0,4</w:t>
            </w:r>
          </w:p>
        </w:tc>
        <w:tc>
          <w:tcPr>
            <w:tcW w:w="1212" w:type="dxa"/>
          </w:tcPr>
          <w:p w:rsidR="00522D4A" w:rsidRPr="007C51D6" w:rsidRDefault="00522D4A" w:rsidP="00522D4A">
            <w:pPr>
              <w:autoSpaceDE/>
              <w:autoSpaceDN/>
              <w:adjustRightInd/>
              <w:spacing w:line="230" w:lineRule="auto"/>
              <w:jc w:val="center"/>
              <w:rPr>
                <w:rFonts w:eastAsia="Arial"/>
                <w:sz w:val="20"/>
                <w:szCs w:val="20"/>
              </w:rPr>
            </w:pPr>
            <w:r w:rsidRPr="007C51D6">
              <w:rPr>
                <w:rFonts w:eastAsia="Arial"/>
                <w:sz w:val="20"/>
                <w:szCs w:val="20"/>
              </w:rPr>
              <w:t>0,1</w:t>
            </w:r>
          </w:p>
        </w:tc>
        <w:tc>
          <w:tcPr>
            <w:tcW w:w="1212" w:type="dxa"/>
          </w:tcPr>
          <w:p w:rsidR="00522D4A" w:rsidRPr="007C51D6" w:rsidRDefault="00522D4A" w:rsidP="00522D4A">
            <w:pPr>
              <w:autoSpaceDE/>
              <w:autoSpaceDN/>
              <w:adjustRightInd/>
              <w:spacing w:line="230" w:lineRule="auto"/>
              <w:jc w:val="center"/>
              <w:rPr>
                <w:rFonts w:eastAsia="Arial"/>
                <w:sz w:val="20"/>
                <w:szCs w:val="20"/>
              </w:rPr>
            </w:pPr>
            <w:r w:rsidRPr="007C51D6">
              <w:rPr>
                <w:rFonts w:eastAsia="Arial"/>
                <w:sz w:val="20"/>
                <w:szCs w:val="20"/>
              </w:rPr>
              <w:t>0</w:t>
            </w:r>
          </w:p>
        </w:tc>
        <w:tc>
          <w:tcPr>
            <w:tcW w:w="1212" w:type="dxa"/>
          </w:tcPr>
          <w:p w:rsidR="00522D4A" w:rsidRPr="007C51D6" w:rsidRDefault="00522D4A" w:rsidP="00522D4A">
            <w:pPr>
              <w:autoSpaceDE/>
              <w:autoSpaceDN/>
              <w:adjustRightInd/>
              <w:spacing w:line="230" w:lineRule="auto"/>
              <w:jc w:val="center"/>
              <w:rPr>
                <w:rFonts w:eastAsia="Arial"/>
                <w:sz w:val="20"/>
                <w:szCs w:val="20"/>
              </w:rPr>
            </w:pPr>
            <w:r w:rsidRPr="007C51D6">
              <w:rPr>
                <w:rFonts w:eastAsia="Arial"/>
                <w:sz w:val="20"/>
                <w:szCs w:val="20"/>
              </w:rPr>
              <w:t>0</w:t>
            </w:r>
          </w:p>
        </w:tc>
        <w:tc>
          <w:tcPr>
            <w:tcW w:w="1212" w:type="dxa"/>
          </w:tcPr>
          <w:p w:rsidR="00522D4A" w:rsidRPr="007C51D6" w:rsidRDefault="00522D4A" w:rsidP="00522D4A">
            <w:pPr>
              <w:autoSpaceDE/>
              <w:autoSpaceDN/>
              <w:adjustRightInd/>
              <w:spacing w:line="230" w:lineRule="auto"/>
              <w:jc w:val="center"/>
              <w:rPr>
                <w:rFonts w:eastAsia="Arial"/>
                <w:sz w:val="20"/>
                <w:szCs w:val="20"/>
              </w:rPr>
            </w:pPr>
            <w:r w:rsidRPr="007C51D6">
              <w:rPr>
                <w:rFonts w:eastAsia="Arial"/>
                <w:sz w:val="20"/>
                <w:szCs w:val="20"/>
              </w:rPr>
              <w:t>0</w:t>
            </w:r>
          </w:p>
        </w:tc>
        <w:tc>
          <w:tcPr>
            <w:tcW w:w="1212" w:type="dxa"/>
            <w:vAlign w:val="bottom"/>
          </w:tcPr>
          <w:p w:rsidR="00522D4A" w:rsidRPr="007C51D6" w:rsidRDefault="00522D4A" w:rsidP="00522D4A">
            <w:pPr>
              <w:jc w:val="center"/>
              <w:rPr>
                <w:color w:val="000000"/>
                <w:sz w:val="20"/>
                <w:szCs w:val="20"/>
              </w:rPr>
            </w:pPr>
            <w:r w:rsidRPr="007C51D6">
              <w:rPr>
                <w:color w:val="000000"/>
                <w:sz w:val="20"/>
                <w:szCs w:val="20"/>
              </w:rPr>
              <w:t>0,1</w:t>
            </w:r>
          </w:p>
        </w:tc>
      </w:tr>
      <w:tr w:rsidR="00624464" w:rsidRPr="007C51D6" w:rsidTr="0038114E">
        <w:tblPrEx>
          <w:tblBorders>
            <w:bottom w:val="single" w:sz="4" w:space="0" w:color="auto"/>
          </w:tblBorders>
          <w:tblCellMar>
            <w:top w:w="11" w:type="dxa"/>
            <w:bottom w:w="11" w:type="dxa"/>
          </w:tblCellMar>
        </w:tblPrEx>
        <w:trPr>
          <w:trHeight w:val="20"/>
        </w:trPr>
        <w:tc>
          <w:tcPr>
            <w:tcW w:w="1838" w:type="dxa"/>
            <w:vMerge w:val="restart"/>
          </w:tcPr>
          <w:p w:rsidR="00624464" w:rsidRPr="007C51D6" w:rsidRDefault="00624464" w:rsidP="00624464">
            <w:pPr>
              <w:spacing w:line="230" w:lineRule="auto"/>
              <w:jc w:val="both"/>
              <w:rPr>
                <w:rFonts w:eastAsia="Arial"/>
                <w:sz w:val="20"/>
                <w:szCs w:val="20"/>
              </w:rPr>
            </w:pPr>
            <w:r w:rsidRPr="007C51D6">
              <w:rPr>
                <w:rFonts w:eastAsia="Arial"/>
                <w:sz w:val="20"/>
                <w:szCs w:val="22"/>
              </w:rPr>
              <w:t>ЗНО предстательной железы</w:t>
            </w:r>
            <w:r w:rsidRPr="007C51D6">
              <w:rPr>
                <w:rFonts w:eastAsia="Arial"/>
                <w:sz w:val="20"/>
                <w:szCs w:val="20"/>
              </w:rPr>
              <w:t xml:space="preserve"> (С61)</w:t>
            </w:r>
          </w:p>
        </w:tc>
        <w:tc>
          <w:tcPr>
            <w:tcW w:w="1276" w:type="dxa"/>
          </w:tcPr>
          <w:p w:rsidR="00624464" w:rsidRPr="007C51D6" w:rsidRDefault="00624464" w:rsidP="00624464">
            <w:pPr>
              <w:autoSpaceDE/>
              <w:autoSpaceDN/>
              <w:adjustRightInd/>
              <w:spacing w:line="230" w:lineRule="auto"/>
              <w:jc w:val="both"/>
              <w:rPr>
                <w:rFonts w:eastAsia="Arial"/>
                <w:sz w:val="20"/>
                <w:szCs w:val="20"/>
              </w:rPr>
            </w:pPr>
            <w:r w:rsidRPr="007C51D6">
              <w:rPr>
                <w:rFonts w:eastAsia="Arial"/>
                <w:sz w:val="20"/>
                <w:szCs w:val="20"/>
                <w:lang w:val="en-US"/>
              </w:rPr>
              <w:t>I</w:t>
            </w:r>
            <w:r w:rsidRPr="007C51D6">
              <w:rPr>
                <w:rFonts w:eastAsia="Arial"/>
                <w:sz w:val="20"/>
                <w:szCs w:val="20"/>
              </w:rPr>
              <w:t xml:space="preserve"> стадия</w:t>
            </w:r>
          </w:p>
        </w:tc>
        <w:tc>
          <w:tcPr>
            <w:tcW w:w="1210" w:type="dxa"/>
          </w:tcPr>
          <w:p w:rsidR="00624464" w:rsidRPr="007C51D6" w:rsidRDefault="00624464" w:rsidP="00624464">
            <w:pPr>
              <w:autoSpaceDE/>
              <w:autoSpaceDN/>
              <w:adjustRightInd/>
              <w:spacing w:line="230" w:lineRule="auto"/>
              <w:jc w:val="center"/>
              <w:rPr>
                <w:rFonts w:eastAsia="Arial"/>
                <w:sz w:val="20"/>
                <w:szCs w:val="20"/>
              </w:rPr>
            </w:pPr>
            <w:r w:rsidRPr="007C51D6">
              <w:rPr>
                <w:rFonts w:eastAsia="Arial"/>
                <w:sz w:val="20"/>
                <w:szCs w:val="20"/>
              </w:rPr>
              <w:t>24,7</w:t>
            </w:r>
          </w:p>
        </w:tc>
        <w:tc>
          <w:tcPr>
            <w:tcW w:w="1211" w:type="dxa"/>
          </w:tcPr>
          <w:p w:rsidR="00624464" w:rsidRPr="007C51D6" w:rsidRDefault="00624464" w:rsidP="00624464">
            <w:pPr>
              <w:autoSpaceDE/>
              <w:autoSpaceDN/>
              <w:adjustRightInd/>
              <w:spacing w:line="230" w:lineRule="auto"/>
              <w:jc w:val="center"/>
              <w:rPr>
                <w:rFonts w:eastAsia="Arial"/>
                <w:sz w:val="20"/>
                <w:szCs w:val="20"/>
              </w:rPr>
            </w:pPr>
            <w:r w:rsidRPr="007C51D6">
              <w:rPr>
                <w:rFonts w:eastAsia="Arial"/>
                <w:sz w:val="20"/>
                <w:szCs w:val="20"/>
              </w:rPr>
              <w:t>22,7</w:t>
            </w:r>
          </w:p>
        </w:tc>
        <w:tc>
          <w:tcPr>
            <w:tcW w:w="1212" w:type="dxa"/>
          </w:tcPr>
          <w:p w:rsidR="00624464" w:rsidRPr="007C51D6" w:rsidRDefault="00624464" w:rsidP="00624464">
            <w:pPr>
              <w:autoSpaceDE/>
              <w:autoSpaceDN/>
              <w:adjustRightInd/>
              <w:spacing w:line="230" w:lineRule="auto"/>
              <w:jc w:val="center"/>
              <w:rPr>
                <w:rFonts w:eastAsia="Arial"/>
                <w:sz w:val="20"/>
                <w:szCs w:val="20"/>
              </w:rPr>
            </w:pPr>
            <w:r w:rsidRPr="007C51D6">
              <w:rPr>
                <w:rFonts w:eastAsia="Arial"/>
                <w:sz w:val="20"/>
                <w:szCs w:val="20"/>
              </w:rPr>
              <w:t>16,5</w:t>
            </w:r>
          </w:p>
        </w:tc>
        <w:tc>
          <w:tcPr>
            <w:tcW w:w="1212" w:type="dxa"/>
          </w:tcPr>
          <w:p w:rsidR="00624464" w:rsidRPr="007C51D6" w:rsidRDefault="00624464" w:rsidP="00624464">
            <w:pPr>
              <w:autoSpaceDE/>
              <w:autoSpaceDN/>
              <w:adjustRightInd/>
              <w:spacing w:line="230" w:lineRule="auto"/>
              <w:jc w:val="center"/>
              <w:rPr>
                <w:rFonts w:eastAsia="Arial"/>
                <w:sz w:val="20"/>
                <w:szCs w:val="20"/>
              </w:rPr>
            </w:pPr>
            <w:r w:rsidRPr="007C51D6">
              <w:rPr>
                <w:rFonts w:eastAsia="Arial"/>
                <w:sz w:val="20"/>
                <w:szCs w:val="20"/>
              </w:rPr>
              <w:t>5,8</w:t>
            </w:r>
          </w:p>
        </w:tc>
        <w:tc>
          <w:tcPr>
            <w:tcW w:w="1212" w:type="dxa"/>
          </w:tcPr>
          <w:p w:rsidR="00624464" w:rsidRPr="007C51D6" w:rsidRDefault="00624464" w:rsidP="00624464">
            <w:pPr>
              <w:autoSpaceDE/>
              <w:autoSpaceDN/>
              <w:adjustRightInd/>
              <w:spacing w:line="230" w:lineRule="auto"/>
              <w:jc w:val="center"/>
              <w:rPr>
                <w:rFonts w:eastAsia="Arial"/>
                <w:sz w:val="20"/>
                <w:szCs w:val="20"/>
              </w:rPr>
            </w:pPr>
            <w:r w:rsidRPr="007C51D6">
              <w:rPr>
                <w:rFonts w:eastAsia="Arial"/>
                <w:sz w:val="20"/>
                <w:szCs w:val="20"/>
              </w:rPr>
              <w:t>9,8</w:t>
            </w:r>
          </w:p>
        </w:tc>
        <w:tc>
          <w:tcPr>
            <w:tcW w:w="1212" w:type="dxa"/>
          </w:tcPr>
          <w:p w:rsidR="00624464" w:rsidRPr="007C51D6" w:rsidRDefault="00624464" w:rsidP="00624464">
            <w:pPr>
              <w:autoSpaceDE/>
              <w:autoSpaceDN/>
              <w:adjustRightInd/>
              <w:spacing w:line="230" w:lineRule="auto"/>
              <w:jc w:val="center"/>
              <w:rPr>
                <w:rFonts w:eastAsia="Arial"/>
                <w:sz w:val="20"/>
                <w:szCs w:val="20"/>
              </w:rPr>
            </w:pPr>
            <w:r w:rsidRPr="007C51D6">
              <w:rPr>
                <w:rFonts w:eastAsia="Arial"/>
                <w:sz w:val="20"/>
                <w:szCs w:val="20"/>
              </w:rPr>
              <w:t>9,5</w:t>
            </w:r>
          </w:p>
        </w:tc>
        <w:tc>
          <w:tcPr>
            <w:tcW w:w="1212" w:type="dxa"/>
          </w:tcPr>
          <w:p w:rsidR="00624464" w:rsidRPr="007C51D6" w:rsidRDefault="00624464" w:rsidP="00624464">
            <w:pPr>
              <w:autoSpaceDE/>
              <w:autoSpaceDN/>
              <w:adjustRightInd/>
              <w:spacing w:line="230" w:lineRule="auto"/>
              <w:jc w:val="center"/>
              <w:rPr>
                <w:rFonts w:eastAsia="Arial"/>
                <w:sz w:val="20"/>
                <w:szCs w:val="20"/>
              </w:rPr>
            </w:pPr>
            <w:r w:rsidRPr="007C51D6">
              <w:rPr>
                <w:rFonts w:eastAsia="Arial"/>
                <w:sz w:val="20"/>
                <w:szCs w:val="20"/>
              </w:rPr>
              <w:t>9,7</w:t>
            </w:r>
          </w:p>
        </w:tc>
        <w:tc>
          <w:tcPr>
            <w:tcW w:w="1212" w:type="dxa"/>
          </w:tcPr>
          <w:p w:rsidR="00624464" w:rsidRPr="007C51D6" w:rsidRDefault="00624464" w:rsidP="00624464">
            <w:pPr>
              <w:autoSpaceDE/>
              <w:autoSpaceDN/>
              <w:adjustRightInd/>
              <w:spacing w:line="230" w:lineRule="auto"/>
              <w:jc w:val="center"/>
              <w:rPr>
                <w:rFonts w:eastAsia="Arial"/>
                <w:sz w:val="20"/>
                <w:szCs w:val="20"/>
              </w:rPr>
            </w:pPr>
            <w:r w:rsidRPr="007C51D6">
              <w:rPr>
                <w:rFonts w:eastAsia="Arial"/>
                <w:sz w:val="20"/>
                <w:szCs w:val="20"/>
              </w:rPr>
              <w:t>6,1</w:t>
            </w:r>
          </w:p>
        </w:tc>
        <w:tc>
          <w:tcPr>
            <w:tcW w:w="1212" w:type="dxa"/>
          </w:tcPr>
          <w:p w:rsidR="00624464" w:rsidRPr="007C51D6" w:rsidRDefault="00624464" w:rsidP="00624464">
            <w:pPr>
              <w:autoSpaceDE/>
              <w:autoSpaceDN/>
              <w:adjustRightInd/>
              <w:spacing w:line="230" w:lineRule="auto"/>
              <w:jc w:val="center"/>
              <w:rPr>
                <w:rFonts w:eastAsia="Arial"/>
                <w:sz w:val="20"/>
                <w:szCs w:val="20"/>
              </w:rPr>
            </w:pPr>
            <w:r w:rsidRPr="007C51D6">
              <w:rPr>
                <w:rFonts w:eastAsia="Arial"/>
                <w:sz w:val="20"/>
                <w:szCs w:val="20"/>
              </w:rPr>
              <w:t>5,3</w:t>
            </w:r>
          </w:p>
        </w:tc>
        <w:tc>
          <w:tcPr>
            <w:tcW w:w="1212" w:type="dxa"/>
            <w:vAlign w:val="bottom"/>
          </w:tcPr>
          <w:p w:rsidR="00624464" w:rsidRPr="007C51D6" w:rsidRDefault="00624464" w:rsidP="00624464">
            <w:pPr>
              <w:widowControl/>
              <w:autoSpaceDE/>
              <w:autoSpaceDN/>
              <w:adjustRightInd/>
              <w:jc w:val="center"/>
              <w:rPr>
                <w:color w:val="000000"/>
                <w:sz w:val="20"/>
                <w:szCs w:val="20"/>
              </w:rPr>
            </w:pPr>
            <w:r w:rsidRPr="007C51D6">
              <w:rPr>
                <w:color w:val="000000"/>
                <w:sz w:val="20"/>
                <w:szCs w:val="20"/>
              </w:rPr>
              <w:t>6,1</w:t>
            </w:r>
          </w:p>
        </w:tc>
      </w:tr>
      <w:tr w:rsidR="00624464" w:rsidRPr="007C51D6" w:rsidTr="0038114E">
        <w:tblPrEx>
          <w:tblBorders>
            <w:bottom w:val="single" w:sz="4" w:space="0" w:color="auto"/>
          </w:tblBorders>
          <w:tblCellMar>
            <w:top w:w="11" w:type="dxa"/>
            <w:bottom w:w="11" w:type="dxa"/>
          </w:tblCellMar>
        </w:tblPrEx>
        <w:trPr>
          <w:trHeight w:val="20"/>
        </w:trPr>
        <w:tc>
          <w:tcPr>
            <w:tcW w:w="1838" w:type="dxa"/>
            <w:vMerge/>
          </w:tcPr>
          <w:p w:rsidR="00624464" w:rsidRPr="007C51D6" w:rsidRDefault="00624464" w:rsidP="00624464">
            <w:pPr>
              <w:spacing w:line="230" w:lineRule="auto"/>
              <w:jc w:val="both"/>
              <w:rPr>
                <w:rFonts w:eastAsia="Arial"/>
                <w:sz w:val="20"/>
                <w:szCs w:val="20"/>
                <w:lang w:val="en-US"/>
              </w:rPr>
            </w:pPr>
          </w:p>
        </w:tc>
        <w:tc>
          <w:tcPr>
            <w:tcW w:w="1276" w:type="dxa"/>
          </w:tcPr>
          <w:p w:rsidR="00624464" w:rsidRPr="007C51D6" w:rsidRDefault="00624464" w:rsidP="00624464">
            <w:pPr>
              <w:spacing w:line="230" w:lineRule="auto"/>
              <w:jc w:val="both"/>
              <w:rPr>
                <w:rFonts w:eastAsia="Arial"/>
                <w:sz w:val="20"/>
                <w:szCs w:val="20"/>
                <w:lang w:val="en-US"/>
              </w:rPr>
            </w:pPr>
            <w:r w:rsidRPr="007C51D6">
              <w:rPr>
                <w:rFonts w:eastAsia="Arial"/>
                <w:sz w:val="20"/>
                <w:szCs w:val="20"/>
                <w:lang w:val="en-US"/>
              </w:rPr>
              <w:t>II</w:t>
            </w:r>
            <w:r w:rsidRPr="007C51D6">
              <w:rPr>
                <w:rFonts w:eastAsia="Arial"/>
                <w:sz w:val="20"/>
                <w:szCs w:val="20"/>
              </w:rPr>
              <w:t xml:space="preserve"> стадия</w:t>
            </w:r>
          </w:p>
        </w:tc>
        <w:tc>
          <w:tcPr>
            <w:tcW w:w="1210" w:type="dxa"/>
          </w:tcPr>
          <w:p w:rsidR="00624464" w:rsidRPr="007C51D6" w:rsidRDefault="00624464" w:rsidP="00624464">
            <w:pPr>
              <w:autoSpaceDE/>
              <w:autoSpaceDN/>
              <w:adjustRightInd/>
              <w:spacing w:line="230" w:lineRule="auto"/>
              <w:jc w:val="center"/>
              <w:rPr>
                <w:rFonts w:eastAsia="Arial"/>
                <w:sz w:val="20"/>
                <w:szCs w:val="20"/>
              </w:rPr>
            </w:pPr>
            <w:r w:rsidRPr="007C51D6">
              <w:rPr>
                <w:rFonts w:eastAsia="Arial"/>
                <w:sz w:val="20"/>
                <w:szCs w:val="20"/>
              </w:rPr>
              <w:t>30,4</w:t>
            </w:r>
          </w:p>
        </w:tc>
        <w:tc>
          <w:tcPr>
            <w:tcW w:w="1211" w:type="dxa"/>
          </w:tcPr>
          <w:p w:rsidR="00624464" w:rsidRPr="007C51D6" w:rsidRDefault="00624464" w:rsidP="00624464">
            <w:pPr>
              <w:autoSpaceDE/>
              <w:autoSpaceDN/>
              <w:adjustRightInd/>
              <w:spacing w:line="230" w:lineRule="auto"/>
              <w:jc w:val="center"/>
              <w:rPr>
                <w:rFonts w:eastAsia="Arial"/>
                <w:sz w:val="20"/>
                <w:szCs w:val="20"/>
              </w:rPr>
            </w:pPr>
            <w:r w:rsidRPr="007C51D6">
              <w:rPr>
                <w:rFonts w:eastAsia="Arial"/>
                <w:sz w:val="20"/>
                <w:szCs w:val="20"/>
              </w:rPr>
              <w:t>38,4</w:t>
            </w:r>
          </w:p>
        </w:tc>
        <w:tc>
          <w:tcPr>
            <w:tcW w:w="1212" w:type="dxa"/>
          </w:tcPr>
          <w:p w:rsidR="00624464" w:rsidRPr="007C51D6" w:rsidRDefault="00624464" w:rsidP="00624464">
            <w:pPr>
              <w:autoSpaceDE/>
              <w:autoSpaceDN/>
              <w:adjustRightInd/>
              <w:spacing w:line="230" w:lineRule="auto"/>
              <w:jc w:val="center"/>
              <w:rPr>
                <w:rFonts w:eastAsia="Arial"/>
                <w:sz w:val="20"/>
                <w:szCs w:val="20"/>
              </w:rPr>
            </w:pPr>
            <w:r w:rsidRPr="007C51D6">
              <w:rPr>
                <w:rFonts w:eastAsia="Arial"/>
                <w:sz w:val="20"/>
                <w:szCs w:val="20"/>
              </w:rPr>
              <w:t>45,2</w:t>
            </w:r>
          </w:p>
        </w:tc>
        <w:tc>
          <w:tcPr>
            <w:tcW w:w="1212" w:type="dxa"/>
          </w:tcPr>
          <w:p w:rsidR="00624464" w:rsidRPr="007C51D6" w:rsidRDefault="00624464" w:rsidP="00624464">
            <w:pPr>
              <w:autoSpaceDE/>
              <w:autoSpaceDN/>
              <w:adjustRightInd/>
              <w:spacing w:line="230" w:lineRule="auto"/>
              <w:jc w:val="center"/>
              <w:rPr>
                <w:rFonts w:eastAsia="Arial"/>
                <w:sz w:val="20"/>
                <w:szCs w:val="20"/>
              </w:rPr>
            </w:pPr>
            <w:r w:rsidRPr="007C51D6">
              <w:rPr>
                <w:rFonts w:eastAsia="Arial"/>
                <w:sz w:val="20"/>
                <w:szCs w:val="20"/>
              </w:rPr>
              <w:t>52,8</w:t>
            </w:r>
          </w:p>
        </w:tc>
        <w:tc>
          <w:tcPr>
            <w:tcW w:w="1212" w:type="dxa"/>
          </w:tcPr>
          <w:p w:rsidR="00624464" w:rsidRPr="007C51D6" w:rsidRDefault="00624464" w:rsidP="00624464">
            <w:pPr>
              <w:autoSpaceDE/>
              <w:autoSpaceDN/>
              <w:adjustRightInd/>
              <w:spacing w:line="230" w:lineRule="auto"/>
              <w:jc w:val="center"/>
              <w:rPr>
                <w:rFonts w:eastAsia="Arial"/>
                <w:sz w:val="20"/>
                <w:szCs w:val="20"/>
              </w:rPr>
            </w:pPr>
            <w:r w:rsidRPr="007C51D6">
              <w:rPr>
                <w:rFonts w:eastAsia="Arial"/>
                <w:sz w:val="20"/>
                <w:szCs w:val="20"/>
              </w:rPr>
              <w:t>56,2</w:t>
            </w:r>
          </w:p>
        </w:tc>
        <w:tc>
          <w:tcPr>
            <w:tcW w:w="1212" w:type="dxa"/>
          </w:tcPr>
          <w:p w:rsidR="00624464" w:rsidRPr="007C51D6" w:rsidRDefault="00624464" w:rsidP="00624464">
            <w:pPr>
              <w:autoSpaceDE/>
              <w:autoSpaceDN/>
              <w:adjustRightInd/>
              <w:spacing w:line="230" w:lineRule="auto"/>
              <w:jc w:val="center"/>
              <w:rPr>
                <w:rFonts w:eastAsia="Arial"/>
                <w:sz w:val="20"/>
                <w:szCs w:val="20"/>
              </w:rPr>
            </w:pPr>
            <w:r w:rsidRPr="007C51D6">
              <w:rPr>
                <w:rFonts w:eastAsia="Arial"/>
                <w:sz w:val="20"/>
                <w:szCs w:val="20"/>
              </w:rPr>
              <w:t>53,0</w:t>
            </w:r>
          </w:p>
        </w:tc>
        <w:tc>
          <w:tcPr>
            <w:tcW w:w="1212" w:type="dxa"/>
          </w:tcPr>
          <w:p w:rsidR="00624464" w:rsidRPr="007C51D6" w:rsidRDefault="00624464" w:rsidP="00624464">
            <w:pPr>
              <w:autoSpaceDE/>
              <w:autoSpaceDN/>
              <w:adjustRightInd/>
              <w:spacing w:line="230" w:lineRule="auto"/>
              <w:jc w:val="center"/>
              <w:rPr>
                <w:rFonts w:eastAsia="Arial"/>
                <w:sz w:val="20"/>
                <w:szCs w:val="20"/>
              </w:rPr>
            </w:pPr>
            <w:r w:rsidRPr="007C51D6">
              <w:rPr>
                <w:rFonts w:eastAsia="Arial"/>
                <w:sz w:val="20"/>
                <w:szCs w:val="20"/>
              </w:rPr>
              <w:t>57,7</w:t>
            </w:r>
          </w:p>
        </w:tc>
        <w:tc>
          <w:tcPr>
            <w:tcW w:w="1212" w:type="dxa"/>
          </w:tcPr>
          <w:p w:rsidR="00624464" w:rsidRPr="007C51D6" w:rsidRDefault="00624464" w:rsidP="00624464">
            <w:pPr>
              <w:autoSpaceDE/>
              <w:autoSpaceDN/>
              <w:adjustRightInd/>
              <w:spacing w:line="230" w:lineRule="auto"/>
              <w:jc w:val="center"/>
              <w:rPr>
                <w:rFonts w:eastAsia="Arial"/>
                <w:sz w:val="20"/>
                <w:szCs w:val="20"/>
              </w:rPr>
            </w:pPr>
            <w:r w:rsidRPr="007C51D6">
              <w:rPr>
                <w:rFonts w:eastAsia="Arial"/>
                <w:sz w:val="20"/>
                <w:szCs w:val="20"/>
              </w:rPr>
              <w:t>59,5</w:t>
            </w:r>
          </w:p>
        </w:tc>
        <w:tc>
          <w:tcPr>
            <w:tcW w:w="1212" w:type="dxa"/>
          </w:tcPr>
          <w:p w:rsidR="00624464" w:rsidRPr="007C51D6" w:rsidRDefault="00624464" w:rsidP="00624464">
            <w:pPr>
              <w:autoSpaceDE/>
              <w:autoSpaceDN/>
              <w:adjustRightInd/>
              <w:spacing w:line="230" w:lineRule="auto"/>
              <w:jc w:val="center"/>
              <w:rPr>
                <w:rFonts w:eastAsia="Arial"/>
                <w:sz w:val="20"/>
                <w:szCs w:val="20"/>
              </w:rPr>
            </w:pPr>
            <w:r w:rsidRPr="007C51D6">
              <w:rPr>
                <w:rFonts w:eastAsia="Arial"/>
                <w:sz w:val="20"/>
                <w:szCs w:val="20"/>
              </w:rPr>
              <w:t>64,0</w:t>
            </w:r>
          </w:p>
        </w:tc>
        <w:tc>
          <w:tcPr>
            <w:tcW w:w="1212" w:type="dxa"/>
            <w:vAlign w:val="bottom"/>
          </w:tcPr>
          <w:p w:rsidR="00624464" w:rsidRPr="007C51D6" w:rsidRDefault="00624464" w:rsidP="00624464">
            <w:pPr>
              <w:jc w:val="center"/>
              <w:rPr>
                <w:color w:val="000000"/>
                <w:sz w:val="20"/>
                <w:szCs w:val="20"/>
              </w:rPr>
            </w:pPr>
            <w:r w:rsidRPr="007C51D6">
              <w:rPr>
                <w:color w:val="000000"/>
                <w:sz w:val="20"/>
                <w:szCs w:val="20"/>
              </w:rPr>
              <w:t>61,8</w:t>
            </w:r>
          </w:p>
        </w:tc>
      </w:tr>
      <w:tr w:rsidR="00624464" w:rsidRPr="007C51D6" w:rsidTr="0038114E">
        <w:tblPrEx>
          <w:tblBorders>
            <w:bottom w:val="single" w:sz="4" w:space="0" w:color="auto"/>
          </w:tblBorders>
          <w:tblCellMar>
            <w:top w:w="11" w:type="dxa"/>
            <w:bottom w:w="11" w:type="dxa"/>
          </w:tblCellMar>
        </w:tblPrEx>
        <w:trPr>
          <w:trHeight w:val="20"/>
        </w:trPr>
        <w:tc>
          <w:tcPr>
            <w:tcW w:w="1838" w:type="dxa"/>
            <w:vMerge/>
          </w:tcPr>
          <w:p w:rsidR="00624464" w:rsidRPr="007C51D6" w:rsidRDefault="00624464" w:rsidP="00624464">
            <w:pPr>
              <w:spacing w:line="230" w:lineRule="auto"/>
              <w:jc w:val="both"/>
              <w:rPr>
                <w:rFonts w:eastAsia="Arial"/>
                <w:sz w:val="20"/>
                <w:szCs w:val="20"/>
                <w:lang w:val="en-US"/>
              </w:rPr>
            </w:pPr>
          </w:p>
        </w:tc>
        <w:tc>
          <w:tcPr>
            <w:tcW w:w="1276" w:type="dxa"/>
          </w:tcPr>
          <w:p w:rsidR="00624464" w:rsidRPr="007C51D6" w:rsidRDefault="00624464" w:rsidP="00624464">
            <w:pPr>
              <w:spacing w:line="230" w:lineRule="auto"/>
              <w:jc w:val="both"/>
              <w:rPr>
                <w:rFonts w:eastAsia="Arial"/>
                <w:sz w:val="20"/>
                <w:szCs w:val="20"/>
                <w:lang w:val="en-US"/>
              </w:rPr>
            </w:pPr>
            <w:r w:rsidRPr="007C51D6">
              <w:rPr>
                <w:rFonts w:eastAsia="Arial"/>
                <w:sz w:val="20"/>
                <w:szCs w:val="20"/>
                <w:lang w:val="en-US"/>
              </w:rPr>
              <w:t>III</w:t>
            </w:r>
            <w:r w:rsidRPr="007C51D6">
              <w:rPr>
                <w:rFonts w:eastAsia="Arial"/>
                <w:sz w:val="20"/>
                <w:szCs w:val="20"/>
              </w:rPr>
              <w:t xml:space="preserve"> стадия</w:t>
            </w:r>
          </w:p>
        </w:tc>
        <w:tc>
          <w:tcPr>
            <w:tcW w:w="1210" w:type="dxa"/>
          </w:tcPr>
          <w:p w:rsidR="00624464" w:rsidRPr="007C51D6" w:rsidRDefault="00624464" w:rsidP="00624464">
            <w:pPr>
              <w:autoSpaceDE/>
              <w:autoSpaceDN/>
              <w:adjustRightInd/>
              <w:spacing w:line="230" w:lineRule="auto"/>
              <w:jc w:val="center"/>
              <w:rPr>
                <w:rFonts w:eastAsia="Arial"/>
                <w:sz w:val="20"/>
                <w:szCs w:val="20"/>
              </w:rPr>
            </w:pPr>
            <w:r w:rsidRPr="007C51D6">
              <w:rPr>
                <w:rFonts w:eastAsia="Arial"/>
                <w:sz w:val="20"/>
                <w:szCs w:val="20"/>
              </w:rPr>
              <w:t>31,8</w:t>
            </w:r>
          </w:p>
        </w:tc>
        <w:tc>
          <w:tcPr>
            <w:tcW w:w="1211" w:type="dxa"/>
          </w:tcPr>
          <w:p w:rsidR="00624464" w:rsidRPr="007C51D6" w:rsidRDefault="00624464" w:rsidP="00624464">
            <w:pPr>
              <w:autoSpaceDE/>
              <w:autoSpaceDN/>
              <w:adjustRightInd/>
              <w:spacing w:line="230" w:lineRule="auto"/>
              <w:jc w:val="center"/>
              <w:rPr>
                <w:rFonts w:eastAsia="Arial"/>
                <w:sz w:val="20"/>
                <w:szCs w:val="20"/>
              </w:rPr>
            </w:pPr>
            <w:r w:rsidRPr="007C51D6">
              <w:rPr>
                <w:rFonts w:eastAsia="Arial"/>
                <w:sz w:val="20"/>
                <w:szCs w:val="20"/>
              </w:rPr>
              <w:t>26,8</w:t>
            </w:r>
          </w:p>
        </w:tc>
        <w:tc>
          <w:tcPr>
            <w:tcW w:w="1212" w:type="dxa"/>
          </w:tcPr>
          <w:p w:rsidR="00624464" w:rsidRPr="007C51D6" w:rsidRDefault="00624464" w:rsidP="00624464">
            <w:pPr>
              <w:autoSpaceDE/>
              <w:autoSpaceDN/>
              <w:adjustRightInd/>
              <w:spacing w:line="230" w:lineRule="auto"/>
              <w:jc w:val="center"/>
              <w:rPr>
                <w:rFonts w:eastAsia="Arial"/>
                <w:sz w:val="20"/>
                <w:szCs w:val="20"/>
              </w:rPr>
            </w:pPr>
            <w:r w:rsidRPr="007C51D6">
              <w:rPr>
                <w:rFonts w:eastAsia="Arial"/>
                <w:sz w:val="20"/>
                <w:szCs w:val="20"/>
              </w:rPr>
              <w:t>22,2</w:t>
            </w:r>
          </w:p>
        </w:tc>
        <w:tc>
          <w:tcPr>
            <w:tcW w:w="1212" w:type="dxa"/>
          </w:tcPr>
          <w:p w:rsidR="00624464" w:rsidRPr="007C51D6" w:rsidRDefault="00624464" w:rsidP="00624464">
            <w:pPr>
              <w:autoSpaceDE/>
              <w:autoSpaceDN/>
              <w:adjustRightInd/>
              <w:spacing w:line="230" w:lineRule="auto"/>
              <w:jc w:val="center"/>
              <w:rPr>
                <w:rFonts w:eastAsia="Arial"/>
                <w:sz w:val="20"/>
                <w:szCs w:val="20"/>
              </w:rPr>
            </w:pPr>
            <w:r w:rsidRPr="007C51D6">
              <w:rPr>
                <w:rFonts w:eastAsia="Arial"/>
                <w:sz w:val="20"/>
                <w:szCs w:val="20"/>
              </w:rPr>
              <w:t>25,9</w:t>
            </w:r>
          </w:p>
        </w:tc>
        <w:tc>
          <w:tcPr>
            <w:tcW w:w="1212" w:type="dxa"/>
          </w:tcPr>
          <w:p w:rsidR="00624464" w:rsidRPr="007C51D6" w:rsidRDefault="00624464" w:rsidP="00624464">
            <w:pPr>
              <w:autoSpaceDE/>
              <w:autoSpaceDN/>
              <w:adjustRightInd/>
              <w:spacing w:line="230" w:lineRule="auto"/>
              <w:jc w:val="center"/>
              <w:rPr>
                <w:rFonts w:eastAsia="Arial"/>
                <w:sz w:val="20"/>
                <w:szCs w:val="20"/>
              </w:rPr>
            </w:pPr>
            <w:r w:rsidRPr="007C51D6">
              <w:rPr>
                <w:rFonts w:eastAsia="Arial"/>
                <w:sz w:val="20"/>
                <w:szCs w:val="20"/>
              </w:rPr>
              <w:t>16,3</w:t>
            </w:r>
          </w:p>
        </w:tc>
        <w:tc>
          <w:tcPr>
            <w:tcW w:w="1212" w:type="dxa"/>
          </w:tcPr>
          <w:p w:rsidR="00624464" w:rsidRPr="007C51D6" w:rsidRDefault="00624464" w:rsidP="00624464">
            <w:pPr>
              <w:autoSpaceDE/>
              <w:autoSpaceDN/>
              <w:adjustRightInd/>
              <w:spacing w:line="230" w:lineRule="auto"/>
              <w:jc w:val="center"/>
              <w:rPr>
                <w:rFonts w:eastAsia="Arial"/>
                <w:sz w:val="20"/>
                <w:szCs w:val="20"/>
              </w:rPr>
            </w:pPr>
            <w:r w:rsidRPr="007C51D6">
              <w:rPr>
                <w:rFonts w:eastAsia="Arial"/>
                <w:sz w:val="20"/>
                <w:szCs w:val="20"/>
              </w:rPr>
              <w:t>19,4</w:t>
            </w:r>
          </w:p>
        </w:tc>
        <w:tc>
          <w:tcPr>
            <w:tcW w:w="1212" w:type="dxa"/>
          </w:tcPr>
          <w:p w:rsidR="00624464" w:rsidRPr="007C51D6" w:rsidRDefault="00624464" w:rsidP="00624464">
            <w:pPr>
              <w:autoSpaceDE/>
              <w:autoSpaceDN/>
              <w:adjustRightInd/>
              <w:spacing w:line="230" w:lineRule="auto"/>
              <w:jc w:val="center"/>
              <w:rPr>
                <w:rFonts w:eastAsia="Arial"/>
                <w:sz w:val="20"/>
                <w:szCs w:val="20"/>
              </w:rPr>
            </w:pPr>
            <w:r w:rsidRPr="007C51D6">
              <w:rPr>
                <w:rFonts w:eastAsia="Arial"/>
                <w:sz w:val="20"/>
                <w:szCs w:val="20"/>
              </w:rPr>
              <w:t>13,5</w:t>
            </w:r>
          </w:p>
        </w:tc>
        <w:tc>
          <w:tcPr>
            <w:tcW w:w="1212" w:type="dxa"/>
          </w:tcPr>
          <w:p w:rsidR="00624464" w:rsidRPr="007C51D6" w:rsidRDefault="00624464" w:rsidP="00624464">
            <w:pPr>
              <w:autoSpaceDE/>
              <w:autoSpaceDN/>
              <w:adjustRightInd/>
              <w:spacing w:line="230" w:lineRule="auto"/>
              <w:jc w:val="center"/>
              <w:rPr>
                <w:rFonts w:eastAsia="Arial"/>
                <w:sz w:val="20"/>
                <w:szCs w:val="20"/>
              </w:rPr>
            </w:pPr>
            <w:r w:rsidRPr="007C51D6">
              <w:rPr>
                <w:rFonts w:eastAsia="Arial"/>
                <w:sz w:val="20"/>
                <w:szCs w:val="20"/>
              </w:rPr>
              <w:t>14,7</w:t>
            </w:r>
          </w:p>
        </w:tc>
        <w:tc>
          <w:tcPr>
            <w:tcW w:w="1212" w:type="dxa"/>
          </w:tcPr>
          <w:p w:rsidR="00624464" w:rsidRPr="007C51D6" w:rsidRDefault="00624464" w:rsidP="00624464">
            <w:pPr>
              <w:autoSpaceDE/>
              <w:autoSpaceDN/>
              <w:adjustRightInd/>
              <w:spacing w:line="230" w:lineRule="auto"/>
              <w:jc w:val="center"/>
              <w:rPr>
                <w:rFonts w:eastAsia="Arial"/>
                <w:sz w:val="20"/>
                <w:szCs w:val="20"/>
              </w:rPr>
            </w:pPr>
            <w:r w:rsidRPr="007C51D6">
              <w:rPr>
                <w:rFonts w:eastAsia="Arial"/>
                <w:sz w:val="20"/>
                <w:szCs w:val="20"/>
              </w:rPr>
              <w:t>13,9</w:t>
            </w:r>
          </w:p>
        </w:tc>
        <w:tc>
          <w:tcPr>
            <w:tcW w:w="1212" w:type="dxa"/>
            <w:vAlign w:val="bottom"/>
          </w:tcPr>
          <w:p w:rsidR="00624464" w:rsidRPr="007C51D6" w:rsidRDefault="00624464" w:rsidP="00624464">
            <w:pPr>
              <w:jc w:val="center"/>
              <w:rPr>
                <w:color w:val="000000"/>
                <w:sz w:val="20"/>
                <w:szCs w:val="20"/>
              </w:rPr>
            </w:pPr>
            <w:r w:rsidRPr="007C51D6">
              <w:rPr>
                <w:color w:val="000000"/>
                <w:sz w:val="20"/>
                <w:szCs w:val="20"/>
              </w:rPr>
              <w:t>11,7</w:t>
            </w:r>
          </w:p>
        </w:tc>
      </w:tr>
      <w:tr w:rsidR="00624464" w:rsidRPr="007C51D6" w:rsidTr="0038114E">
        <w:tblPrEx>
          <w:tblBorders>
            <w:bottom w:val="single" w:sz="4" w:space="0" w:color="auto"/>
          </w:tblBorders>
          <w:tblCellMar>
            <w:top w:w="11" w:type="dxa"/>
            <w:bottom w:w="11" w:type="dxa"/>
          </w:tblCellMar>
        </w:tblPrEx>
        <w:trPr>
          <w:trHeight w:val="20"/>
        </w:trPr>
        <w:tc>
          <w:tcPr>
            <w:tcW w:w="1838" w:type="dxa"/>
            <w:vMerge/>
          </w:tcPr>
          <w:p w:rsidR="00624464" w:rsidRPr="007C51D6" w:rsidRDefault="00624464" w:rsidP="00624464">
            <w:pPr>
              <w:spacing w:line="230" w:lineRule="auto"/>
              <w:jc w:val="both"/>
              <w:rPr>
                <w:rFonts w:eastAsia="Arial"/>
                <w:sz w:val="20"/>
                <w:szCs w:val="20"/>
                <w:lang w:val="en-US"/>
              </w:rPr>
            </w:pPr>
          </w:p>
        </w:tc>
        <w:tc>
          <w:tcPr>
            <w:tcW w:w="1276" w:type="dxa"/>
          </w:tcPr>
          <w:p w:rsidR="00624464" w:rsidRPr="007C51D6" w:rsidRDefault="00624464" w:rsidP="00624464">
            <w:pPr>
              <w:spacing w:line="230" w:lineRule="auto"/>
              <w:jc w:val="both"/>
            </w:pPr>
            <w:r w:rsidRPr="007C51D6">
              <w:rPr>
                <w:rFonts w:eastAsia="Arial"/>
                <w:sz w:val="20"/>
                <w:szCs w:val="20"/>
                <w:lang w:val="en-US"/>
              </w:rPr>
              <w:t>IV</w:t>
            </w:r>
            <w:r w:rsidRPr="007C51D6">
              <w:rPr>
                <w:rFonts w:eastAsia="Arial"/>
                <w:sz w:val="20"/>
                <w:szCs w:val="20"/>
              </w:rPr>
              <w:t xml:space="preserve"> стадия</w:t>
            </w:r>
          </w:p>
        </w:tc>
        <w:tc>
          <w:tcPr>
            <w:tcW w:w="1210" w:type="dxa"/>
          </w:tcPr>
          <w:p w:rsidR="00624464" w:rsidRPr="007C51D6" w:rsidRDefault="00624464" w:rsidP="00624464">
            <w:pPr>
              <w:autoSpaceDE/>
              <w:autoSpaceDN/>
              <w:adjustRightInd/>
              <w:spacing w:line="230" w:lineRule="auto"/>
              <w:jc w:val="center"/>
              <w:rPr>
                <w:rFonts w:eastAsia="Arial"/>
                <w:sz w:val="20"/>
                <w:szCs w:val="20"/>
              </w:rPr>
            </w:pPr>
            <w:r w:rsidRPr="007C51D6">
              <w:rPr>
                <w:rFonts w:eastAsia="Arial"/>
                <w:sz w:val="20"/>
                <w:szCs w:val="20"/>
              </w:rPr>
              <w:t>13,1</w:t>
            </w:r>
          </w:p>
        </w:tc>
        <w:tc>
          <w:tcPr>
            <w:tcW w:w="1211" w:type="dxa"/>
          </w:tcPr>
          <w:p w:rsidR="00624464" w:rsidRPr="007C51D6" w:rsidRDefault="00624464" w:rsidP="00624464">
            <w:pPr>
              <w:autoSpaceDE/>
              <w:autoSpaceDN/>
              <w:adjustRightInd/>
              <w:spacing w:line="230" w:lineRule="auto"/>
              <w:jc w:val="center"/>
              <w:rPr>
                <w:rFonts w:eastAsia="Arial"/>
                <w:sz w:val="20"/>
                <w:szCs w:val="20"/>
              </w:rPr>
            </w:pPr>
            <w:r w:rsidRPr="007C51D6">
              <w:rPr>
                <w:rFonts w:eastAsia="Arial"/>
                <w:sz w:val="20"/>
                <w:szCs w:val="20"/>
              </w:rPr>
              <w:t>12,0</w:t>
            </w:r>
          </w:p>
        </w:tc>
        <w:tc>
          <w:tcPr>
            <w:tcW w:w="1212" w:type="dxa"/>
          </w:tcPr>
          <w:p w:rsidR="00624464" w:rsidRPr="007C51D6" w:rsidRDefault="00624464" w:rsidP="00624464">
            <w:pPr>
              <w:autoSpaceDE/>
              <w:autoSpaceDN/>
              <w:adjustRightInd/>
              <w:spacing w:line="230" w:lineRule="auto"/>
              <w:jc w:val="center"/>
              <w:rPr>
                <w:rFonts w:eastAsia="Arial"/>
                <w:sz w:val="20"/>
                <w:szCs w:val="20"/>
              </w:rPr>
            </w:pPr>
            <w:r w:rsidRPr="007C51D6">
              <w:rPr>
                <w:rFonts w:eastAsia="Arial"/>
                <w:sz w:val="20"/>
                <w:szCs w:val="20"/>
              </w:rPr>
              <w:t>16,2</w:t>
            </w:r>
          </w:p>
        </w:tc>
        <w:tc>
          <w:tcPr>
            <w:tcW w:w="1212" w:type="dxa"/>
          </w:tcPr>
          <w:p w:rsidR="00624464" w:rsidRPr="007C51D6" w:rsidRDefault="00624464" w:rsidP="00624464">
            <w:pPr>
              <w:autoSpaceDE/>
              <w:autoSpaceDN/>
              <w:adjustRightInd/>
              <w:spacing w:line="230" w:lineRule="auto"/>
              <w:jc w:val="center"/>
              <w:rPr>
                <w:rFonts w:eastAsia="Arial"/>
                <w:sz w:val="20"/>
                <w:szCs w:val="20"/>
              </w:rPr>
            </w:pPr>
            <w:r w:rsidRPr="007C51D6">
              <w:rPr>
                <w:rFonts w:eastAsia="Arial"/>
                <w:sz w:val="20"/>
                <w:szCs w:val="20"/>
              </w:rPr>
              <w:t>15,5</w:t>
            </w:r>
          </w:p>
        </w:tc>
        <w:tc>
          <w:tcPr>
            <w:tcW w:w="1212" w:type="dxa"/>
          </w:tcPr>
          <w:p w:rsidR="00624464" w:rsidRPr="007C51D6" w:rsidRDefault="00624464" w:rsidP="00624464">
            <w:pPr>
              <w:autoSpaceDE/>
              <w:autoSpaceDN/>
              <w:adjustRightInd/>
              <w:spacing w:line="230" w:lineRule="auto"/>
              <w:jc w:val="center"/>
              <w:rPr>
                <w:rFonts w:eastAsia="Arial"/>
                <w:sz w:val="20"/>
                <w:szCs w:val="20"/>
              </w:rPr>
            </w:pPr>
            <w:r w:rsidRPr="007C51D6">
              <w:rPr>
                <w:rFonts w:eastAsia="Arial"/>
                <w:sz w:val="20"/>
                <w:szCs w:val="20"/>
              </w:rPr>
              <w:t>17,7</w:t>
            </w:r>
          </w:p>
        </w:tc>
        <w:tc>
          <w:tcPr>
            <w:tcW w:w="1212" w:type="dxa"/>
          </w:tcPr>
          <w:p w:rsidR="00624464" w:rsidRPr="007C51D6" w:rsidRDefault="00624464" w:rsidP="00624464">
            <w:pPr>
              <w:autoSpaceDE/>
              <w:autoSpaceDN/>
              <w:adjustRightInd/>
              <w:spacing w:line="230" w:lineRule="auto"/>
              <w:jc w:val="center"/>
              <w:rPr>
                <w:rFonts w:eastAsia="Arial"/>
                <w:sz w:val="20"/>
                <w:szCs w:val="20"/>
              </w:rPr>
            </w:pPr>
            <w:r w:rsidRPr="007C51D6">
              <w:rPr>
                <w:rFonts w:eastAsia="Arial"/>
                <w:sz w:val="20"/>
                <w:szCs w:val="20"/>
              </w:rPr>
              <w:t>17,9</w:t>
            </w:r>
          </w:p>
        </w:tc>
        <w:tc>
          <w:tcPr>
            <w:tcW w:w="1212" w:type="dxa"/>
          </w:tcPr>
          <w:p w:rsidR="00624464" w:rsidRPr="007C51D6" w:rsidRDefault="00624464" w:rsidP="00624464">
            <w:pPr>
              <w:autoSpaceDE/>
              <w:autoSpaceDN/>
              <w:adjustRightInd/>
              <w:spacing w:line="230" w:lineRule="auto"/>
              <w:jc w:val="center"/>
              <w:rPr>
                <w:rFonts w:eastAsia="Arial"/>
                <w:sz w:val="20"/>
                <w:szCs w:val="20"/>
              </w:rPr>
            </w:pPr>
            <w:r w:rsidRPr="007C51D6">
              <w:rPr>
                <w:rFonts w:eastAsia="Arial"/>
                <w:sz w:val="20"/>
                <w:szCs w:val="20"/>
              </w:rPr>
              <w:t>19,1</w:t>
            </w:r>
          </w:p>
        </w:tc>
        <w:tc>
          <w:tcPr>
            <w:tcW w:w="1212" w:type="dxa"/>
          </w:tcPr>
          <w:p w:rsidR="00624464" w:rsidRPr="007C51D6" w:rsidRDefault="00624464" w:rsidP="00624464">
            <w:pPr>
              <w:autoSpaceDE/>
              <w:autoSpaceDN/>
              <w:adjustRightInd/>
              <w:spacing w:line="230" w:lineRule="auto"/>
              <w:jc w:val="center"/>
              <w:rPr>
                <w:rFonts w:eastAsia="Arial"/>
                <w:sz w:val="20"/>
                <w:szCs w:val="20"/>
              </w:rPr>
            </w:pPr>
            <w:r w:rsidRPr="007C51D6">
              <w:rPr>
                <w:rFonts w:eastAsia="Arial"/>
                <w:sz w:val="20"/>
                <w:szCs w:val="20"/>
              </w:rPr>
              <w:t>19,6</w:t>
            </w:r>
          </w:p>
        </w:tc>
        <w:tc>
          <w:tcPr>
            <w:tcW w:w="1212" w:type="dxa"/>
          </w:tcPr>
          <w:p w:rsidR="00624464" w:rsidRPr="007C51D6" w:rsidRDefault="00624464" w:rsidP="00624464">
            <w:pPr>
              <w:autoSpaceDE/>
              <w:autoSpaceDN/>
              <w:adjustRightInd/>
              <w:spacing w:line="230" w:lineRule="auto"/>
              <w:jc w:val="center"/>
              <w:rPr>
                <w:rFonts w:eastAsia="Arial"/>
                <w:sz w:val="20"/>
                <w:szCs w:val="20"/>
              </w:rPr>
            </w:pPr>
            <w:r w:rsidRPr="007C51D6">
              <w:rPr>
                <w:rFonts w:eastAsia="Arial"/>
                <w:sz w:val="20"/>
                <w:szCs w:val="20"/>
              </w:rPr>
              <w:t>16,8</w:t>
            </w:r>
          </w:p>
        </w:tc>
        <w:tc>
          <w:tcPr>
            <w:tcW w:w="1212" w:type="dxa"/>
            <w:vAlign w:val="bottom"/>
          </w:tcPr>
          <w:p w:rsidR="00624464" w:rsidRPr="007C51D6" w:rsidRDefault="00624464" w:rsidP="00624464">
            <w:pPr>
              <w:jc w:val="center"/>
              <w:rPr>
                <w:color w:val="000000"/>
                <w:sz w:val="20"/>
                <w:szCs w:val="20"/>
              </w:rPr>
            </w:pPr>
            <w:r w:rsidRPr="007C51D6">
              <w:rPr>
                <w:color w:val="000000"/>
                <w:sz w:val="20"/>
                <w:szCs w:val="20"/>
              </w:rPr>
              <w:t>20,5</w:t>
            </w:r>
          </w:p>
        </w:tc>
      </w:tr>
      <w:tr w:rsidR="00624464" w:rsidRPr="007C51D6" w:rsidTr="0038114E">
        <w:tblPrEx>
          <w:tblBorders>
            <w:bottom w:val="single" w:sz="4" w:space="0" w:color="auto"/>
          </w:tblBorders>
          <w:tblCellMar>
            <w:top w:w="11" w:type="dxa"/>
            <w:bottom w:w="11" w:type="dxa"/>
          </w:tblCellMar>
        </w:tblPrEx>
        <w:trPr>
          <w:trHeight w:val="20"/>
        </w:trPr>
        <w:tc>
          <w:tcPr>
            <w:tcW w:w="1838" w:type="dxa"/>
            <w:vMerge/>
          </w:tcPr>
          <w:p w:rsidR="00624464" w:rsidRPr="007C51D6" w:rsidRDefault="00624464" w:rsidP="00624464">
            <w:pPr>
              <w:autoSpaceDE/>
              <w:autoSpaceDN/>
              <w:adjustRightInd/>
              <w:spacing w:line="230" w:lineRule="auto"/>
              <w:jc w:val="both"/>
              <w:rPr>
                <w:rFonts w:eastAsia="Arial"/>
                <w:sz w:val="20"/>
                <w:szCs w:val="20"/>
              </w:rPr>
            </w:pPr>
          </w:p>
        </w:tc>
        <w:tc>
          <w:tcPr>
            <w:tcW w:w="1276" w:type="dxa"/>
          </w:tcPr>
          <w:p w:rsidR="00624464" w:rsidRPr="007C51D6" w:rsidRDefault="00624464" w:rsidP="00624464">
            <w:pPr>
              <w:autoSpaceDE/>
              <w:autoSpaceDN/>
              <w:adjustRightInd/>
              <w:spacing w:line="230" w:lineRule="auto"/>
              <w:jc w:val="both"/>
              <w:rPr>
                <w:rFonts w:eastAsia="Arial"/>
                <w:sz w:val="20"/>
                <w:szCs w:val="20"/>
              </w:rPr>
            </w:pPr>
            <w:r w:rsidRPr="007C51D6">
              <w:rPr>
                <w:rFonts w:eastAsia="Arial"/>
                <w:sz w:val="20"/>
                <w:szCs w:val="20"/>
              </w:rPr>
              <w:t>без стадии</w:t>
            </w:r>
          </w:p>
        </w:tc>
        <w:tc>
          <w:tcPr>
            <w:tcW w:w="1210" w:type="dxa"/>
          </w:tcPr>
          <w:p w:rsidR="00624464" w:rsidRPr="007C51D6" w:rsidRDefault="00624464" w:rsidP="00624464">
            <w:pPr>
              <w:autoSpaceDE/>
              <w:autoSpaceDN/>
              <w:adjustRightInd/>
              <w:spacing w:line="230" w:lineRule="auto"/>
              <w:jc w:val="center"/>
              <w:rPr>
                <w:rFonts w:eastAsia="Arial"/>
                <w:sz w:val="20"/>
                <w:szCs w:val="20"/>
              </w:rPr>
            </w:pPr>
            <w:r w:rsidRPr="007C51D6">
              <w:rPr>
                <w:rFonts w:eastAsia="Arial"/>
                <w:sz w:val="20"/>
                <w:szCs w:val="20"/>
              </w:rPr>
              <w:t>0</w:t>
            </w:r>
          </w:p>
        </w:tc>
        <w:tc>
          <w:tcPr>
            <w:tcW w:w="1211" w:type="dxa"/>
          </w:tcPr>
          <w:p w:rsidR="00624464" w:rsidRPr="007C51D6" w:rsidRDefault="00624464" w:rsidP="00624464">
            <w:pPr>
              <w:autoSpaceDE/>
              <w:autoSpaceDN/>
              <w:adjustRightInd/>
              <w:spacing w:line="230" w:lineRule="auto"/>
              <w:jc w:val="center"/>
              <w:rPr>
                <w:rFonts w:eastAsia="Arial"/>
                <w:sz w:val="20"/>
                <w:szCs w:val="20"/>
              </w:rPr>
            </w:pPr>
            <w:r w:rsidRPr="007C51D6">
              <w:rPr>
                <w:rFonts w:eastAsia="Arial"/>
                <w:sz w:val="20"/>
                <w:szCs w:val="20"/>
              </w:rPr>
              <w:t>0,1</w:t>
            </w:r>
          </w:p>
        </w:tc>
        <w:tc>
          <w:tcPr>
            <w:tcW w:w="1212" w:type="dxa"/>
          </w:tcPr>
          <w:p w:rsidR="00624464" w:rsidRPr="007C51D6" w:rsidRDefault="00624464" w:rsidP="00624464">
            <w:pPr>
              <w:autoSpaceDE/>
              <w:autoSpaceDN/>
              <w:adjustRightInd/>
              <w:spacing w:line="230" w:lineRule="auto"/>
              <w:jc w:val="center"/>
              <w:rPr>
                <w:rFonts w:eastAsia="Arial"/>
                <w:sz w:val="20"/>
                <w:szCs w:val="20"/>
              </w:rPr>
            </w:pPr>
            <w:r w:rsidRPr="007C51D6">
              <w:rPr>
                <w:rFonts w:eastAsia="Arial"/>
                <w:sz w:val="20"/>
                <w:szCs w:val="20"/>
              </w:rPr>
              <w:t>0</w:t>
            </w:r>
          </w:p>
        </w:tc>
        <w:tc>
          <w:tcPr>
            <w:tcW w:w="1212" w:type="dxa"/>
          </w:tcPr>
          <w:p w:rsidR="00624464" w:rsidRPr="007C51D6" w:rsidRDefault="00624464" w:rsidP="00624464">
            <w:pPr>
              <w:autoSpaceDE/>
              <w:autoSpaceDN/>
              <w:adjustRightInd/>
              <w:spacing w:line="230" w:lineRule="auto"/>
              <w:jc w:val="center"/>
              <w:rPr>
                <w:rFonts w:eastAsia="Arial"/>
                <w:sz w:val="20"/>
                <w:szCs w:val="20"/>
              </w:rPr>
            </w:pPr>
            <w:r w:rsidRPr="007C51D6">
              <w:rPr>
                <w:rFonts w:eastAsia="Arial"/>
                <w:sz w:val="20"/>
                <w:szCs w:val="20"/>
              </w:rPr>
              <w:t>0</w:t>
            </w:r>
          </w:p>
        </w:tc>
        <w:tc>
          <w:tcPr>
            <w:tcW w:w="1212" w:type="dxa"/>
          </w:tcPr>
          <w:p w:rsidR="00624464" w:rsidRPr="007C51D6" w:rsidRDefault="00624464" w:rsidP="00624464">
            <w:pPr>
              <w:autoSpaceDE/>
              <w:autoSpaceDN/>
              <w:adjustRightInd/>
              <w:spacing w:line="230" w:lineRule="auto"/>
              <w:jc w:val="center"/>
              <w:rPr>
                <w:rFonts w:eastAsia="Arial"/>
                <w:sz w:val="20"/>
                <w:szCs w:val="20"/>
              </w:rPr>
            </w:pPr>
            <w:r w:rsidRPr="007C51D6">
              <w:rPr>
                <w:rFonts w:eastAsia="Arial"/>
                <w:sz w:val="20"/>
                <w:szCs w:val="20"/>
              </w:rPr>
              <w:t>0</w:t>
            </w:r>
          </w:p>
        </w:tc>
        <w:tc>
          <w:tcPr>
            <w:tcW w:w="1212" w:type="dxa"/>
          </w:tcPr>
          <w:p w:rsidR="00624464" w:rsidRPr="007C51D6" w:rsidRDefault="00624464" w:rsidP="00624464">
            <w:pPr>
              <w:autoSpaceDE/>
              <w:autoSpaceDN/>
              <w:adjustRightInd/>
              <w:spacing w:line="230" w:lineRule="auto"/>
              <w:jc w:val="center"/>
              <w:rPr>
                <w:rFonts w:eastAsia="Arial"/>
                <w:sz w:val="20"/>
                <w:szCs w:val="20"/>
              </w:rPr>
            </w:pPr>
            <w:r w:rsidRPr="007C51D6">
              <w:rPr>
                <w:rFonts w:eastAsia="Arial"/>
                <w:sz w:val="20"/>
                <w:szCs w:val="20"/>
              </w:rPr>
              <w:t>0,2</w:t>
            </w:r>
          </w:p>
        </w:tc>
        <w:tc>
          <w:tcPr>
            <w:tcW w:w="1212" w:type="dxa"/>
          </w:tcPr>
          <w:p w:rsidR="00624464" w:rsidRPr="007C51D6" w:rsidRDefault="00624464" w:rsidP="00624464">
            <w:pPr>
              <w:autoSpaceDE/>
              <w:autoSpaceDN/>
              <w:adjustRightInd/>
              <w:spacing w:line="230" w:lineRule="auto"/>
              <w:jc w:val="center"/>
              <w:rPr>
                <w:rFonts w:eastAsia="Arial"/>
                <w:sz w:val="20"/>
                <w:szCs w:val="20"/>
              </w:rPr>
            </w:pPr>
            <w:r w:rsidRPr="007C51D6">
              <w:rPr>
                <w:rFonts w:eastAsia="Arial"/>
                <w:sz w:val="20"/>
                <w:szCs w:val="20"/>
              </w:rPr>
              <w:t>0</w:t>
            </w:r>
          </w:p>
        </w:tc>
        <w:tc>
          <w:tcPr>
            <w:tcW w:w="1212" w:type="dxa"/>
          </w:tcPr>
          <w:p w:rsidR="00624464" w:rsidRPr="007C51D6" w:rsidRDefault="00624464" w:rsidP="00624464">
            <w:pPr>
              <w:autoSpaceDE/>
              <w:autoSpaceDN/>
              <w:adjustRightInd/>
              <w:spacing w:line="230" w:lineRule="auto"/>
              <w:jc w:val="center"/>
              <w:rPr>
                <w:rFonts w:eastAsia="Arial"/>
                <w:sz w:val="20"/>
                <w:szCs w:val="20"/>
              </w:rPr>
            </w:pPr>
            <w:r w:rsidRPr="007C51D6">
              <w:rPr>
                <w:rFonts w:eastAsia="Arial"/>
                <w:sz w:val="20"/>
                <w:szCs w:val="20"/>
              </w:rPr>
              <w:t>0</w:t>
            </w:r>
          </w:p>
        </w:tc>
        <w:tc>
          <w:tcPr>
            <w:tcW w:w="1212" w:type="dxa"/>
          </w:tcPr>
          <w:p w:rsidR="00624464" w:rsidRPr="007C51D6" w:rsidRDefault="00624464" w:rsidP="00624464">
            <w:pPr>
              <w:autoSpaceDE/>
              <w:autoSpaceDN/>
              <w:adjustRightInd/>
              <w:spacing w:line="230" w:lineRule="auto"/>
              <w:jc w:val="center"/>
              <w:rPr>
                <w:rFonts w:eastAsia="Arial"/>
                <w:sz w:val="20"/>
                <w:szCs w:val="20"/>
              </w:rPr>
            </w:pPr>
            <w:r w:rsidRPr="007C51D6">
              <w:rPr>
                <w:rFonts w:eastAsia="Arial"/>
                <w:sz w:val="20"/>
                <w:szCs w:val="20"/>
              </w:rPr>
              <w:t>0</w:t>
            </w:r>
          </w:p>
        </w:tc>
        <w:tc>
          <w:tcPr>
            <w:tcW w:w="1212" w:type="dxa"/>
            <w:vAlign w:val="bottom"/>
          </w:tcPr>
          <w:p w:rsidR="00624464" w:rsidRPr="007C51D6" w:rsidRDefault="00624464" w:rsidP="00624464">
            <w:pPr>
              <w:jc w:val="center"/>
              <w:rPr>
                <w:color w:val="000000"/>
                <w:sz w:val="20"/>
                <w:szCs w:val="20"/>
              </w:rPr>
            </w:pPr>
            <w:r w:rsidRPr="007C51D6">
              <w:rPr>
                <w:color w:val="000000"/>
                <w:sz w:val="20"/>
                <w:szCs w:val="20"/>
              </w:rPr>
              <w:t>0</w:t>
            </w:r>
          </w:p>
        </w:tc>
      </w:tr>
      <w:tr w:rsidR="002341A0" w:rsidRPr="007C51D6" w:rsidTr="00A85F2F">
        <w:tblPrEx>
          <w:tblBorders>
            <w:bottom w:val="single" w:sz="4" w:space="0" w:color="auto"/>
          </w:tblBorders>
          <w:tblCellMar>
            <w:top w:w="11" w:type="dxa"/>
            <w:bottom w:w="11" w:type="dxa"/>
          </w:tblCellMar>
        </w:tblPrEx>
        <w:trPr>
          <w:trHeight w:val="20"/>
        </w:trPr>
        <w:tc>
          <w:tcPr>
            <w:tcW w:w="1838" w:type="dxa"/>
            <w:vMerge w:val="restart"/>
          </w:tcPr>
          <w:p w:rsidR="002341A0" w:rsidRPr="007C51D6" w:rsidRDefault="002341A0" w:rsidP="00871EE7">
            <w:pPr>
              <w:spacing w:line="230" w:lineRule="auto"/>
              <w:jc w:val="both"/>
              <w:rPr>
                <w:rFonts w:eastAsia="Arial"/>
                <w:sz w:val="20"/>
                <w:szCs w:val="20"/>
              </w:rPr>
            </w:pPr>
            <w:r w:rsidRPr="007C51D6">
              <w:rPr>
                <w:rFonts w:eastAsia="Arial"/>
                <w:sz w:val="20"/>
                <w:szCs w:val="22"/>
              </w:rPr>
              <w:t>ЗНО лимфатической и кроветворной ткани</w:t>
            </w:r>
            <w:r w:rsidRPr="007C51D6">
              <w:rPr>
                <w:rFonts w:eastAsia="Arial"/>
                <w:sz w:val="20"/>
                <w:szCs w:val="20"/>
              </w:rPr>
              <w:t xml:space="preserve"> (С81 –С96)</w:t>
            </w:r>
          </w:p>
        </w:tc>
        <w:tc>
          <w:tcPr>
            <w:tcW w:w="1276" w:type="dxa"/>
          </w:tcPr>
          <w:p w:rsidR="002341A0" w:rsidRPr="007C51D6" w:rsidRDefault="002341A0" w:rsidP="00871EE7">
            <w:pPr>
              <w:autoSpaceDE/>
              <w:autoSpaceDN/>
              <w:adjustRightInd/>
              <w:spacing w:line="230" w:lineRule="auto"/>
              <w:jc w:val="both"/>
              <w:rPr>
                <w:rFonts w:eastAsia="Arial"/>
                <w:sz w:val="20"/>
                <w:szCs w:val="20"/>
              </w:rPr>
            </w:pPr>
            <w:r w:rsidRPr="007C51D6">
              <w:rPr>
                <w:rFonts w:eastAsia="Arial"/>
                <w:sz w:val="20"/>
                <w:szCs w:val="20"/>
                <w:lang w:val="en-US"/>
              </w:rPr>
              <w:t>I</w:t>
            </w:r>
            <w:r w:rsidRPr="007C51D6">
              <w:rPr>
                <w:rFonts w:eastAsia="Arial"/>
                <w:sz w:val="20"/>
                <w:szCs w:val="20"/>
              </w:rPr>
              <w:t xml:space="preserve"> стадия</w:t>
            </w:r>
          </w:p>
        </w:tc>
        <w:tc>
          <w:tcPr>
            <w:tcW w:w="1210" w:type="dxa"/>
          </w:tcPr>
          <w:p w:rsidR="002341A0" w:rsidRPr="007C51D6" w:rsidRDefault="002341A0" w:rsidP="00871EE7">
            <w:pPr>
              <w:spacing w:line="230" w:lineRule="auto"/>
              <w:jc w:val="center"/>
            </w:pPr>
            <w:r w:rsidRPr="007C51D6">
              <w:rPr>
                <w:rFonts w:eastAsia="Arial"/>
                <w:sz w:val="20"/>
                <w:szCs w:val="20"/>
              </w:rPr>
              <w:t>-</w:t>
            </w:r>
          </w:p>
        </w:tc>
        <w:tc>
          <w:tcPr>
            <w:tcW w:w="1211" w:type="dxa"/>
          </w:tcPr>
          <w:p w:rsidR="002341A0" w:rsidRPr="007C51D6" w:rsidRDefault="002341A0" w:rsidP="00871EE7">
            <w:pPr>
              <w:spacing w:line="230" w:lineRule="auto"/>
              <w:jc w:val="center"/>
            </w:pPr>
            <w:r w:rsidRPr="007C51D6">
              <w:rPr>
                <w:rFonts w:eastAsia="Arial"/>
                <w:sz w:val="20"/>
                <w:szCs w:val="20"/>
              </w:rPr>
              <w:t>-</w:t>
            </w:r>
          </w:p>
        </w:tc>
        <w:tc>
          <w:tcPr>
            <w:tcW w:w="1212" w:type="dxa"/>
          </w:tcPr>
          <w:p w:rsidR="002341A0" w:rsidRPr="007C51D6" w:rsidRDefault="002341A0" w:rsidP="00871EE7">
            <w:pPr>
              <w:spacing w:line="230" w:lineRule="auto"/>
              <w:jc w:val="center"/>
            </w:pPr>
            <w:r w:rsidRPr="007C51D6">
              <w:rPr>
                <w:rFonts w:eastAsia="Arial"/>
                <w:sz w:val="20"/>
                <w:szCs w:val="20"/>
              </w:rPr>
              <w:t>-</w:t>
            </w:r>
          </w:p>
        </w:tc>
        <w:tc>
          <w:tcPr>
            <w:tcW w:w="1212" w:type="dxa"/>
          </w:tcPr>
          <w:p w:rsidR="002341A0" w:rsidRPr="007C51D6" w:rsidRDefault="002341A0" w:rsidP="00871EE7">
            <w:pPr>
              <w:spacing w:line="230" w:lineRule="auto"/>
              <w:jc w:val="center"/>
            </w:pPr>
            <w:r w:rsidRPr="007C51D6">
              <w:rPr>
                <w:rFonts w:eastAsia="Arial"/>
                <w:sz w:val="20"/>
                <w:szCs w:val="20"/>
              </w:rPr>
              <w:t>-</w:t>
            </w:r>
          </w:p>
        </w:tc>
        <w:tc>
          <w:tcPr>
            <w:tcW w:w="1212" w:type="dxa"/>
          </w:tcPr>
          <w:p w:rsidR="002341A0" w:rsidRPr="007C51D6" w:rsidRDefault="002341A0" w:rsidP="00871EE7">
            <w:pPr>
              <w:spacing w:line="230" w:lineRule="auto"/>
              <w:jc w:val="center"/>
            </w:pPr>
            <w:r w:rsidRPr="007C51D6">
              <w:rPr>
                <w:rFonts w:eastAsia="Arial"/>
                <w:sz w:val="20"/>
                <w:szCs w:val="20"/>
              </w:rPr>
              <w:t>-</w:t>
            </w:r>
          </w:p>
        </w:tc>
        <w:tc>
          <w:tcPr>
            <w:tcW w:w="1212" w:type="dxa"/>
          </w:tcPr>
          <w:p w:rsidR="002341A0" w:rsidRPr="007C51D6" w:rsidRDefault="002341A0" w:rsidP="00871EE7">
            <w:pPr>
              <w:spacing w:line="230" w:lineRule="auto"/>
              <w:jc w:val="center"/>
            </w:pPr>
            <w:r w:rsidRPr="007C51D6">
              <w:rPr>
                <w:rFonts w:eastAsia="Arial"/>
                <w:sz w:val="20"/>
                <w:szCs w:val="20"/>
              </w:rPr>
              <w:t>-</w:t>
            </w:r>
          </w:p>
        </w:tc>
        <w:tc>
          <w:tcPr>
            <w:tcW w:w="1212" w:type="dxa"/>
          </w:tcPr>
          <w:p w:rsidR="002341A0" w:rsidRPr="007C51D6" w:rsidRDefault="002341A0" w:rsidP="00871EE7">
            <w:pPr>
              <w:spacing w:line="230" w:lineRule="auto"/>
              <w:jc w:val="center"/>
            </w:pPr>
            <w:r w:rsidRPr="007C51D6">
              <w:rPr>
                <w:rFonts w:eastAsia="Arial"/>
                <w:sz w:val="20"/>
                <w:szCs w:val="20"/>
              </w:rPr>
              <w:t>-</w:t>
            </w:r>
          </w:p>
        </w:tc>
        <w:tc>
          <w:tcPr>
            <w:tcW w:w="1212" w:type="dxa"/>
          </w:tcPr>
          <w:p w:rsidR="002341A0" w:rsidRPr="007C51D6" w:rsidRDefault="002341A0" w:rsidP="00871EE7">
            <w:pPr>
              <w:spacing w:line="230" w:lineRule="auto"/>
              <w:jc w:val="center"/>
            </w:pPr>
            <w:r w:rsidRPr="007C51D6">
              <w:rPr>
                <w:rFonts w:eastAsia="Arial"/>
                <w:sz w:val="20"/>
                <w:szCs w:val="20"/>
              </w:rPr>
              <w:t>-</w:t>
            </w:r>
          </w:p>
        </w:tc>
        <w:tc>
          <w:tcPr>
            <w:tcW w:w="1212" w:type="dxa"/>
          </w:tcPr>
          <w:p w:rsidR="002341A0" w:rsidRPr="007C51D6" w:rsidRDefault="002341A0" w:rsidP="00871EE7">
            <w:pPr>
              <w:spacing w:line="230" w:lineRule="auto"/>
              <w:jc w:val="center"/>
            </w:pPr>
            <w:r w:rsidRPr="007C51D6">
              <w:rPr>
                <w:rFonts w:eastAsia="Arial"/>
                <w:sz w:val="20"/>
                <w:szCs w:val="20"/>
              </w:rPr>
              <w:t>-</w:t>
            </w:r>
          </w:p>
        </w:tc>
        <w:tc>
          <w:tcPr>
            <w:tcW w:w="1212" w:type="dxa"/>
          </w:tcPr>
          <w:p w:rsidR="002341A0" w:rsidRPr="007C51D6" w:rsidRDefault="002341A0" w:rsidP="00871EE7">
            <w:pPr>
              <w:spacing w:line="230" w:lineRule="auto"/>
              <w:jc w:val="center"/>
              <w:rPr>
                <w:rFonts w:eastAsia="Arial"/>
                <w:sz w:val="20"/>
                <w:szCs w:val="20"/>
              </w:rPr>
            </w:pPr>
            <w:r w:rsidRPr="007C51D6">
              <w:rPr>
                <w:rFonts w:eastAsia="Arial"/>
                <w:sz w:val="20"/>
                <w:szCs w:val="20"/>
              </w:rPr>
              <w:t>-</w:t>
            </w:r>
          </w:p>
        </w:tc>
      </w:tr>
      <w:tr w:rsidR="002341A0" w:rsidRPr="007C51D6" w:rsidTr="00A85F2F">
        <w:tblPrEx>
          <w:tblBorders>
            <w:bottom w:val="single" w:sz="4" w:space="0" w:color="auto"/>
          </w:tblBorders>
          <w:tblCellMar>
            <w:top w:w="11" w:type="dxa"/>
            <w:bottom w:w="11" w:type="dxa"/>
          </w:tblCellMar>
        </w:tblPrEx>
        <w:trPr>
          <w:trHeight w:val="20"/>
        </w:trPr>
        <w:tc>
          <w:tcPr>
            <w:tcW w:w="1838" w:type="dxa"/>
            <w:vMerge/>
          </w:tcPr>
          <w:p w:rsidR="002341A0" w:rsidRPr="007C51D6" w:rsidRDefault="002341A0" w:rsidP="00871EE7">
            <w:pPr>
              <w:spacing w:line="230" w:lineRule="auto"/>
              <w:jc w:val="both"/>
              <w:rPr>
                <w:rFonts w:eastAsia="Arial"/>
                <w:sz w:val="20"/>
                <w:szCs w:val="20"/>
                <w:lang w:val="en-US"/>
              </w:rPr>
            </w:pPr>
          </w:p>
        </w:tc>
        <w:tc>
          <w:tcPr>
            <w:tcW w:w="1276" w:type="dxa"/>
          </w:tcPr>
          <w:p w:rsidR="002341A0" w:rsidRPr="007C51D6" w:rsidRDefault="002341A0" w:rsidP="00871EE7">
            <w:pPr>
              <w:spacing w:line="230" w:lineRule="auto"/>
              <w:jc w:val="both"/>
              <w:rPr>
                <w:rFonts w:eastAsia="Arial"/>
                <w:sz w:val="20"/>
                <w:szCs w:val="20"/>
                <w:lang w:val="en-US"/>
              </w:rPr>
            </w:pPr>
            <w:r w:rsidRPr="007C51D6">
              <w:rPr>
                <w:rFonts w:eastAsia="Arial"/>
                <w:sz w:val="20"/>
                <w:szCs w:val="20"/>
                <w:lang w:val="en-US"/>
              </w:rPr>
              <w:t>II</w:t>
            </w:r>
            <w:r w:rsidRPr="007C51D6">
              <w:rPr>
                <w:rFonts w:eastAsia="Arial"/>
                <w:sz w:val="20"/>
                <w:szCs w:val="20"/>
              </w:rPr>
              <w:t xml:space="preserve"> стадия</w:t>
            </w:r>
          </w:p>
        </w:tc>
        <w:tc>
          <w:tcPr>
            <w:tcW w:w="1210" w:type="dxa"/>
          </w:tcPr>
          <w:p w:rsidR="002341A0" w:rsidRPr="007C51D6" w:rsidRDefault="002341A0" w:rsidP="00871EE7">
            <w:pPr>
              <w:spacing w:line="230" w:lineRule="auto"/>
              <w:jc w:val="center"/>
            </w:pPr>
            <w:r w:rsidRPr="007C51D6">
              <w:rPr>
                <w:rFonts w:eastAsia="Arial"/>
                <w:sz w:val="20"/>
                <w:szCs w:val="20"/>
              </w:rPr>
              <w:t>-</w:t>
            </w:r>
          </w:p>
        </w:tc>
        <w:tc>
          <w:tcPr>
            <w:tcW w:w="1211" w:type="dxa"/>
          </w:tcPr>
          <w:p w:rsidR="002341A0" w:rsidRPr="007C51D6" w:rsidRDefault="002341A0" w:rsidP="00871EE7">
            <w:pPr>
              <w:spacing w:line="230" w:lineRule="auto"/>
              <w:jc w:val="center"/>
            </w:pPr>
            <w:r w:rsidRPr="007C51D6">
              <w:rPr>
                <w:rFonts w:eastAsia="Arial"/>
                <w:sz w:val="20"/>
                <w:szCs w:val="20"/>
              </w:rPr>
              <w:t>-</w:t>
            </w:r>
          </w:p>
        </w:tc>
        <w:tc>
          <w:tcPr>
            <w:tcW w:w="1212" w:type="dxa"/>
          </w:tcPr>
          <w:p w:rsidR="002341A0" w:rsidRPr="007C51D6" w:rsidRDefault="002341A0" w:rsidP="00871EE7">
            <w:pPr>
              <w:spacing w:line="230" w:lineRule="auto"/>
              <w:jc w:val="center"/>
            </w:pPr>
            <w:r w:rsidRPr="007C51D6">
              <w:rPr>
                <w:rFonts w:eastAsia="Arial"/>
                <w:sz w:val="20"/>
                <w:szCs w:val="20"/>
              </w:rPr>
              <w:t>-</w:t>
            </w:r>
          </w:p>
        </w:tc>
        <w:tc>
          <w:tcPr>
            <w:tcW w:w="1212" w:type="dxa"/>
          </w:tcPr>
          <w:p w:rsidR="002341A0" w:rsidRPr="007C51D6" w:rsidRDefault="002341A0" w:rsidP="00871EE7">
            <w:pPr>
              <w:spacing w:line="230" w:lineRule="auto"/>
              <w:jc w:val="center"/>
            </w:pPr>
            <w:r w:rsidRPr="007C51D6">
              <w:rPr>
                <w:rFonts w:eastAsia="Arial"/>
                <w:sz w:val="20"/>
                <w:szCs w:val="20"/>
              </w:rPr>
              <w:t>-</w:t>
            </w:r>
          </w:p>
        </w:tc>
        <w:tc>
          <w:tcPr>
            <w:tcW w:w="1212" w:type="dxa"/>
          </w:tcPr>
          <w:p w:rsidR="002341A0" w:rsidRPr="007C51D6" w:rsidRDefault="002341A0" w:rsidP="00871EE7">
            <w:pPr>
              <w:spacing w:line="230" w:lineRule="auto"/>
              <w:jc w:val="center"/>
            </w:pPr>
            <w:r w:rsidRPr="007C51D6">
              <w:rPr>
                <w:rFonts w:eastAsia="Arial"/>
                <w:sz w:val="20"/>
                <w:szCs w:val="20"/>
              </w:rPr>
              <w:t>-</w:t>
            </w:r>
          </w:p>
        </w:tc>
        <w:tc>
          <w:tcPr>
            <w:tcW w:w="1212" w:type="dxa"/>
          </w:tcPr>
          <w:p w:rsidR="002341A0" w:rsidRPr="007C51D6" w:rsidRDefault="002341A0" w:rsidP="00871EE7">
            <w:pPr>
              <w:spacing w:line="230" w:lineRule="auto"/>
              <w:jc w:val="center"/>
            </w:pPr>
            <w:r w:rsidRPr="007C51D6">
              <w:rPr>
                <w:rFonts w:eastAsia="Arial"/>
                <w:sz w:val="20"/>
                <w:szCs w:val="20"/>
              </w:rPr>
              <w:t>-</w:t>
            </w:r>
          </w:p>
        </w:tc>
        <w:tc>
          <w:tcPr>
            <w:tcW w:w="1212" w:type="dxa"/>
          </w:tcPr>
          <w:p w:rsidR="002341A0" w:rsidRPr="007C51D6" w:rsidRDefault="002341A0" w:rsidP="00871EE7">
            <w:pPr>
              <w:spacing w:line="230" w:lineRule="auto"/>
              <w:jc w:val="center"/>
            </w:pPr>
            <w:r w:rsidRPr="007C51D6">
              <w:rPr>
                <w:rFonts w:eastAsia="Arial"/>
                <w:sz w:val="20"/>
                <w:szCs w:val="20"/>
              </w:rPr>
              <w:t>-</w:t>
            </w:r>
          </w:p>
        </w:tc>
        <w:tc>
          <w:tcPr>
            <w:tcW w:w="1212" w:type="dxa"/>
          </w:tcPr>
          <w:p w:rsidR="002341A0" w:rsidRPr="007C51D6" w:rsidRDefault="002341A0" w:rsidP="00871EE7">
            <w:pPr>
              <w:spacing w:line="230" w:lineRule="auto"/>
              <w:jc w:val="center"/>
            </w:pPr>
            <w:r w:rsidRPr="007C51D6">
              <w:rPr>
                <w:rFonts w:eastAsia="Arial"/>
                <w:sz w:val="20"/>
                <w:szCs w:val="20"/>
              </w:rPr>
              <w:t>-</w:t>
            </w:r>
          </w:p>
        </w:tc>
        <w:tc>
          <w:tcPr>
            <w:tcW w:w="1212" w:type="dxa"/>
          </w:tcPr>
          <w:p w:rsidR="002341A0" w:rsidRPr="007C51D6" w:rsidRDefault="002341A0" w:rsidP="00871EE7">
            <w:pPr>
              <w:spacing w:line="230" w:lineRule="auto"/>
              <w:jc w:val="center"/>
            </w:pPr>
            <w:r w:rsidRPr="007C51D6">
              <w:rPr>
                <w:rFonts w:eastAsia="Arial"/>
                <w:sz w:val="20"/>
                <w:szCs w:val="20"/>
              </w:rPr>
              <w:t>-</w:t>
            </w:r>
          </w:p>
        </w:tc>
        <w:tc>
          <w:tcPr>
            <w:tcW w:w="1212" w:type="dxa"/>
          </w:tcPr>
          <w:p w:rsidR="002341A0" w:rsidRPr="007C51D6" w:rsidRDefault="002341A0" w:rsidP="00871EE7">
            <w:pPr>
              <w:spacing w:line="230" w:lineRule="auto"/>
              <w:jc w:val="center"/>
              <w:rPr>
                <w:rFonts w:eastAsia="Arial"/>
                <w:sz w:val="20"/>
                <w:szCs w:val="20"/>
              </w:rPr>
            </w:pPr>
            <w:r w:rsidRPr="007C51D6">
              <w:rPr>
                <w:rFonts w:eastAsia="Arial"/>
                <w:sz w:val="20"/>
                <w:szCs w:val="20"/>
              </w:rPr>
              <w:t>-</w:t>
            </w:r>
          </w:p>
        </w:tc>
      </w:tr>
      <w:tr w:rsidR="002341A0" w:rsidRPr="007C51D6" w:rsidTr="00A85F2F">
        <w:tblPrEx>
          <w:tblBorders>
            <w:bottom w:val="single" w:sz="4" w:space="0" w:color="auto"/>
          </w:tblBorders>
          <w:tblCellMar>
            <w:top w:w="11" w:type="dxa"/>
            <w:bottom w:w="11" w:type="dxa"/>
          </w:tblCellMar>
        </w:tblPrEx>
        <w:trPr>
          <w:trHeight w:val="20"/>
        </w:trPr>
        <w:tc>
          <w:tcPr>
            <w:tcW w:w="1838" w:type="dxa"/>
            <w:vMerge/>
          </w:tcPr>
          <w:p w:rsidR="002341A0" w:rsidRPr="007C51D6" w:rsidRDefault="002341A0" w:rsidP="00871EE7">
            <w:pPr>
              <w:spacing w:line="230" w:lineRule="auto"/>
              <w:jc w:val="both"/>
              <w:rPr>
                <w:rFonts w:eastAsia="Arial"/>
                <w:sz w:val="20"/>
                <w:szCs w:val="20"/>
                <w:lang w:val="en-US"/>
              </w:rPr>
            </w:pPr>
          </w:p>
        </w:tc>
        <w:tc>
          <w:tcPr>
            <w:tcW w:w="1276" w:type="dxa"/>
          </w:tcPr>
          <w:p w:rsidR="002341A0" w:rsidRPr="007C51D6" w:rsidRDefault="002341A0" w:rsidP="00871EE7">
            <w:pPr>
              <w:spacing w:line="230" w:lineRule="auto"/>
              <w:jc w:val="both"/>
              <w:rPr>
                <w:rFonts w:eastAsia="Arial"/>
                <w:sz w:val="20"/>
                <w:szCs w:val="20"/>
                <w:lang w:val="en-US"/>
              </w:rPr>
            </w:pPr>
            <w:r w:rsidRPr="007C51D6">
              <w:rPr>
                <w:rFonts w:eastAsia="Arial"/>
                <w:sz w:val="20"/>
                <w:szCs w:val="20"/>
                <w:lang w:val="en-US"/>
              </w:rPr>
              <w:t>III</w:t>
            </w:r>
            <w:r w:rsidRPr="007C51D6">
              <w:rPr>
                <w:rFonts w:eastAsia="Arial"/>
                <w:sz w:val="20"/>
                <w:szCs w:val="20"/>
              </w:rPr>
              <w:t xml:space="preserve"> стадия</w:t>
            </w:r>
          </w:p>
        </w:tc>
        <w:tc>
          <w:tcPr>
            <w:tcW w:w="1210" w:type="dxa"/>
          </w:tcPr>
          <w:p w:rsidR="002341A0" w:rsidRPr="007C51D6" w:rsidRDefault="002341A0" w:rsidP="00871EE7">
            <w:pPr>
              <w:spacing w:line="230" w:lineRule="auto"/>
              <w:jc w:val="center"/>
            </w:pPr>
            <w:r w:rsidRPr="007C51D6">
              <w:rPr>
                <w:rFonts w:eastAsia="Arial"/>
                <w:sz w:val="20"/>
                <w:szCs w:val="20"/>
              </w:rPr>
              <w:t>-</w:t>
            </w:r>
          </w:p>
        </w:tc>
        <w:tc>
          <w:tcPr>
            <w:tcW w:w="1211" w:type="dxa"/>
          </w:tcPr>
          <w:p w:rsidR="002341A0" w:rsidRPr="007C51D6" w:rsidRDefault="002341A0" w:rsidP="00871EE7">
            <w:pPr>
              <w:spacing w:line="230" w:lineRule="auto"/>
              <w:jc w:val="center"/>
            </w:pPr>
            <w:r w:rsidRPr="007C51D6">
              <w:rPr>
                <w:rFonts w:eastAsia="Arial"/>
                <w:sz w:val="20"/>
                <w:szCs w:val="20"/>
              </w:rPr>
              <w:t>-</w:t>
            </w:r>
          </w:p>
        </w:tc>
        <w:tc>
          <w:tcPr>
            <w:tcW w:w="1212" w:type="dxa"/>
          </w:tcPr>
          <w:p w:rsidR="002341A0" w:rsidRPr="007C51D6" w:rsidRDefault="002341A0" w:rsidP="00871EE7">
            <w:pPr>
              <w:spacing w:line="230" w:lineRule="auto"/>
              <w:jc w:val="center"/>
            </w:pPr>
            <w:r w:rsidRPr="007C51D6">
              <w:rPr>
                <w:rFonts w:eastAsia="Arial"/>
                <w:sz w:val="20"/>
                <w:szCs w:val="20"/>
              </w:rPr>
              <w:t>-</w:t>
            </w:r>
          </w:p>
        </w:tc>
        <w:tc>
          <w:tcPr>
            <w:tcW w:w="1212" w:type="dxa"/>
          </w:tcPr>
          <w:p w:rsidR="002341A0" w:rsidRPr="007C51D6" w:rsidRDefault="002341A0" w:rsidP="00871EE7">
            <w:pPr>
              <w:spacing w:line="230" w:lineRule="auto"/>
              <w:jc w:val="center"/>
            </w:pPr>
            <w:r w:rsidRPr="007C51D6">
              <w:rPr>
                <w:rFonts w:eastAsia="Arial"/>
                <w:sz w:val="20"/>
                <w:szCs w:val="20"/>
              </w:rPr>
              <w:t>-</w:t>
            </w:r>
          </w:p>
        </w:tc>
        <w:tc>
          <w:tcPr>
            <w:tcW w:w="1212" w:type="dxa"/>
          </w:tcPr>
          <w:p w:rsidR="002341A0" w:rsidRPr="007C51D6" w:rsidRDefault="002341A0" w:rsidP="00871EE7">
            <w:pPr>
              <w:spacing w:line="230" w:lineRule="auto"/>
              <w:jc w:val="center"/>
            </w:pPr>
            <w:r w:rsidRPr="007C51D6">
              <w:rPr>
                <w:rFonts w:eastAsia="Arial"/>
                <w:sz w:val="20"/>
                <w:szCs w:val="20"/>
              </w:rPr>
              <w:t>-</w:t>
            </w:r>
          </w:p>
        </w:tc>
        <w:tc>
          <w:tcPr>
            <w:tcW w:w="1212" w:type="dxa"/>
          </w:tcPr>
          <w:p w:rsidR="002341A0" w:rsidRPr="007C51D6" w:rsidRDefault="002341A0" w:rsidP="00871EE7">
            <w:pPr>
              <w:spacing w:line="230" w:lineRule="auto"/>
              <w:jc w:val="center"/>
            </w:pPr>
            <w:r w:rsidRPr="007C51D6">
              <w:rPr>
                <w:rFonts w:eastAsia="Arial"/>
                <w:sz w:val="20"/>
                <w:szCs w:val="20"/>
              </w:rPr>
              <w:t>-</w:t>
            </w:r>
          </w:p>
        </w:tc>
        <w:tc>
          <w:tcPr>
            <w:tcW w:w="1212" w:type="dxa"/>
          </w:tcPr>
          <w:p w:rsidR="002341A0" w:rsidRPr="007C51D6" w:rsidRDefault="002341A0" w:rsidP="00871EE7">
            <w:pPr>
              <w:spacing w:line="230" w:lineRule="auto"/>
              <w:jc w:val="center"/>
            </w:pPr>
            <w:r w:rsidRPr="007C51D6">
              <w:rPr>
                <w:rFonts w:eastAsia="Arial"/>
                <w:sz w:val="20"/>
                <w:szCs w:val="20"/>
              </w:rPr>
              <w:t>-</w:t>
            </w:r>
          </w:p>
        </w:tc>
        <w:tc>
          <w:tcPr>
            <w:tcW w:w="1212" w:type="dxa"/>
          </w:tcPr>
          <w:p w:rsidR="002341A0" w:rsidRPr="007C51D6" w:rsidRDefault="002341A0" w:rsidP="00871EE7">
            <w:pPr>
              <w:spacing w:line="230" w:lineRule="auto"/>
              <w:jc w:val="center"/>
            </w:pPr>
            <w:r w:rsidRPr="007C51D6">
              <w:rPr>
                <w:rFonts w:eastAsia="Arial"/>
                <w:sz w:val="20"/>
                <w:szCs w:val="20"/>
              </w:rPr>
              <w:t>-</w:t>
            </w:r>
          </w:p>
        </w:tc>
        <w:tc>
          <w:tcPr>
            <w:tcW w:w="1212" w:type="dxa"/>
          </w:tcPr>
          <w:p w:rsidR="002341A0" w:rsidRPr="007C51D6" w:rsidRDefault="002341A0" w:rsidP="00871EE7">
            <w:pPr>
              <w:spacing w:line="230" w:lineRule="auto"/>
              <w:jc w:val="center"/>
            </w:pPr>
            <w:r w:rsidRPr="007C51D6">
              <w:rPr>
                <w:rFonts w:eastAsia="Arial"/>
                <w:sz w:val="20"/>
                <w:szCs w:val="20"/>
              </w:rPr>
              <w:t>-</w:t>
            </w:r>
          </w:p>
        </w:tc>
        <w:tc>
          <w:tcPr>
            <w:tcW w:w="1212" w:type="dxa"/>
          </w:tcPr>
          <w:p w:rsidR="002341A0" w:rsidRPr="007C51D6" w:rsidRDefault="002341A0" w:rsidP="00871EE7">
            <w:pPr>
              <w:spacing w:line="230" w:lineRule="auto"/>
              <w:jc w:val="center"/>
              <w:rPr>
                <w:rFonts w:eastAsia="Arial"/>
                <w:sz w:val="20"/>
                <w:szCs w:val="20"/>
              </w:rPr>
            </w:pPr>
            <w:r w:rsidRPr="007C51D6">
              <w:rPr>
                <w:rFonts w:eastAsia="Arial"/>
                <w:sz w:val="20"/>
                <w:szCs w:val="20"/>
              </w:rPr>
              <w:t>-</w:t>
            </w:r>
          </w:p>
        </w:tc>
      </w:tr>
      <w:tr w:rsidR="002341A0" w:rsidRPr="007C51D6" w:rsidTr="00A85F2F">
        <w:tblPrEx>
          <w:tblBorders>
            <w:bottom w:val="single" w:sz="4" w:space="0" w:color="auto"/>
          </w:tblBorders>
          <w:tblCellMar>
            <w:top w:w="11" w:type="dxa"/>
            <w:bottom w:w="11" w:type="dxa"/>
          </w:tblCellMar>
        </w:tblPrEx>
        <w:trPr>
          <w:trHeight w:val="20"/>
        </w:trPr>
        <w:tc>
          <w:tcPr>
            <w:tcW w:w="1838" w:type="dxa"/>
            <w:vMerge/>
          </w:tcPr>
          <w:p w:rsidR="002341A0" w:rsidRPr="007C51D6" w:rsidRDefault="002341A0" w:rsidP="00871EE7">
            <w:pPr>
              <w:spacing w:line="230" w:lineRule="auto"/>
              <w:jc w:val="both"/>
              <w:rPr>
                <w:rFonts w:eastAsia="Arial"/>
                <w:sz w:val="20"/>
                <w:szCs w:val="20"/>
                <w:lang w:val="en-US"/>
              </w:rPr>
            </w:pPr>
          </w:p>
        </w:tc>
        <w:tc>
          <w:tcPr>
            <w:tcW w:w="1276" w:type="dxa"/>
          </w:tcPr>
          <w:p w:rsidR="002341A0" w:rsidRPr="007C51D6" w:rsidRDefault="002341A0" w:rsidP="00871EE7">
            <w:pPr>
              <w:spacing w:line="230" w:lineRule="auto"/>
              <w:jc w:val="both"/>
            </w:pPr>
            <w:r w:rsidRPr="007C51D6">
              <w:rPr>
                <w:rFonts w:eastAsia="Arial"/>
                <w:sz w:val="20"/>
                <w:szCs w:val="20"/>
                <w:lang w:val="en-US"/>
              </w:rPr>
              <w:t>IV</w:t>
            </w:r>
            <w:r w:rsidRPr="007C51D6">
              <w:rPr>
                <w:rFonts w:eastAsia="Arial"/>
                <w:sz w:val="20"/>
                <w:szCs w:val="20"/>
              </w:rPr>
              <w:t xml:space="preserve"> стадия</w:t>
            </w:r>
          </w:p>
        </w:tc>
        <w:tc>
          <w:tcPr>
            <w:tcW w:w="1210" w:type="dxa"/>
          </w:tcPr>
          <w:p w:rsidR="002341A0" w:rsidRPr="007C51D6" w:rsidRDefault="002341A0" w:rsidP="00871EE7">
            <w:pPr>
              <w:spacing w:line="230" w:lineRule="auto"/>
              <w:jc w:val="center"/>
            </w:pPr>
            <w:r w:rsidRPr="007C51D6">
              <w:rPr>
                <w:rFonts w:eastAsia="Arial"/>
                <w:sz w:val="20"/>
                <w:szCs w:val="20"/>
              </w:rPr>
              <w:t>-</w:t>
            </w:r>
          </w:p>
        </w:tc>
        <w:tc>
          <w:tcPr>
            <w:tcW w:w="1211" w:type="dxa"/>
          </w:tcPr>
          <w:p w:rsidR="002341A0" w:rsidRPr="007C51D6" w:rsidRDefault="002341A0" w:rsidP="00871EE7">
            <w:pPr>
              <w:spacing w:line="230" w:lineRule="auto"/>
              <w:jc w:val="center"/>
            </w:pPr>
            <w:r w:rsidRPr="007C51D6">
              <w:rPr>
                <w:rFonts w:eastAsia="Arial"/>
                <w:sz w:val="20"/>
                <w:szCs w:val="20"/>
              </w:rPr>
              <w:t>-</w:t>
            </w:r>
          </w:p>
        </w:tc>
        <w:tc>
          <w:tcPr>
            <w:tcW w:w="1212" w:type="dxa"/>
          </w:tcPr>
          <w:p w:rsidR="002341A0" w:rsidRPr="007C51D6" w:rsidRDefault="002341A0" w:rsidP="00871EE7">
            <w:pPr>
              <w:spacing w:line="230" w:lineRule="auto"/>
              <w:jc w:val="center"/>
            </w:pPr>
            <w:r w:rsidRPr="007C51D6">
              <w:rPr>
                <w:rFonts w:eastAsia="Arial"/>
                <w:sz w:val="20"/>
                <w:szCs w:val="20"/>
              </w:rPr>
              <w:t>-</w:t>
            </w:r>
          </w:p>
        </w:tc>
        <w:tc>
          <w:tcPr>
            <w:tcW w:w="1212" w:type="dxa"/>
          </w:tcPr>
          <w:p w:rsidR="002341A0" w:rsidRPr="007C51D6" w:rsidRDefault="002341A0" w:rsidP="00871EE7">
            <w:pPr>
              <w:spacing w:line="230" w:lineRule="auto"/>
              <w:jc w:val="center"/>
            </w:pPr>
            <w:r w:rsidRPr="007C51D6">
              <w:rPr>
                <w:rFonts w:eastAsia="Arial"/>
                <w:sz w:val="20"/>
                <w:szCs w:val="20"/>
              </w:rPr>
              <w:t>-</w:t>
            </w:r>
          </w:p>
        </w:tc>
        <w:tc>
          <w:tcPr>
            <w:tcW w:w="1212" w:type="dxa"/>
          </w:tcPr>
          <w:p w:rsidR="002341A0" w:rsidRPr="007C51D6" w:rsidRDefault="002341A0" w:rsidP="00871EE7">
            <w:pPr>
              <w:spacing w:line="230" w:lineRule="auto"/>
              <w:jc w:val="center"/>
            </w:pPr>
            <w:r w:rsidRPr="007C51D6">
              <w:rPr>
                <w:rFonts w:eastAsia="Arial"/>
                <w:sz w:val="20"/>
                <w:szCs w:val="20"/>
              </w:rPr>
              <w:t>-</w:t>
            </w:r>
          </w:p>
        </w:tc>
        <w:tc>
          <w:tcPr>
            <w:tcW w:w="1212" w:type="dxa"/>
          </w:tcPr>
          <w:p w:rsidR="002341A0" w:rsidRPr="007C51D6" w:rsidRDefault="002341A0" w:rsidP="00871EE7">
            <w:pPr>
              <w:spacing w:line="230" w:lineRule="auto"/>
              <w:jc w:val="center"/>
            </w:pPr>
            <w:r w:rsidRPr="007C51D6">
              <w:rPr>
                <w:rFonts w:eastAsia="Arial"/>
                <w:sz w:val="20"/>
                <w:szCs w:val="20"/>
              </w:rPr>
              <w:t>-</w:t>
            </w:r>
          </w:p>
        </w:tc>
        <w:tc>
          <w:tcPr>
            <w:tcW w:w="1212" w:type="dxa"/>
          </w:tcPr>
          <w:p w:rsidR="002341A0" w:rsidRPr="007C51D6" w:rsidRDefault="002341A0" w:rsidP="00871EE7">
            <w:pPr>
              <w:spacing w:line="230" w:lineRule="auto"/>
              <w:jc w:val="center"/>
            </w:pPr>
            <w:r w:rsidRPr="007C51D6">
              <w:rPr>
                <w:rFonts w:eastAsia="Arial"/>
                <w:sz w:val="20"/>
                <w:szCs w:val="20"/>
              </w:rPr>
              <w:t>-</w:t>
            </w:r>
          </w:p>
        </w:tc>
        <w:tc>
          <w:tcPr>
            <w:tcW w:w="1212" w:type="dxa"/>
          </w:tcPr>
          <w:p w:rsidR="002341A0" w:rsidRPr="007C51D6" w:rsidRDefault="002341A0" w:rsidP="00871EE7">
            <w:pPr>
              <w:spacing w:line="230" w:lineRule="auto"/>
              <w:jc w:val="center"/>
            </w:pPr>
            <w:r w:rsidRPr="007C51D6">
              <w:rPr>
                <w:rFonts w:eastAsia="Arial"/>
                <w:sz w:val="20"/>
                <w:szCs w:val="20"/>
              </w:rPr>
              <w:t>-</w:t>
            </w:r>
          </w:p>
        </w:tc>
        <w:tc>
          <w:tcPr>
            <w:tcW w:w="1212" w:type="dxa"/>
          </w:tcPr>
          <w:p w:rsidR="002341A0" w:rsidRPr="007C51D6" w:rsidRDefault="002341A0" w:rsidP="00871EE7">
            <w:pPr>
              <w:spacing w:line="230" w:lineRule="auto"/>
              <w:jc w:val="center"/>
            </w:pPr>
            <w:r w:rsidRPr="007C51D6">
              <w:rPr>
                <w:rFonts w:eastAsia="Arial"/>
                <w:sz w:val="20"/>
                <w:szCs w:val="20"/>
              </w:rPr>
              <w:t>-</w:t>
            </w:r>
          </w:p>
        </w:tc>
        <w:tc>
          <w:tcPr>
            <w:tcW w:w="1212" w:type="dxa"/>
          </w:tcPr>
          <w:p w:rsidR="002341A0" w:rsidRPr="007C51D6" w:rsidRDefault="002341A0" w:rsidP="00871EE7">
            <w:pPr>
              <w:spacing w:line="230" w:lineRule="auto"/>
              <w:jc w:val="center"/>
              <w:rPr>
                <w:rFonts w:eastAsia="Arial"/>
                <w:sz w:val="20"/>
                <w:szCs w:val="20"/>
              </w:rPr>
            </w:pPr>
            <w:r w:rsidRPr="007C51D6">
              <w:rPr>
                <w:rFonts w:eastAsia="Arial"/>
                <w:sz w:val="20"/>
                <w:szCs w:val="20"/>
              </w:rPr>
              <w:t>-</w:t>
            </w:r>
          </w:p>
        </w:tc>
      </w:tr>
      <w:tr w:rsidR="002341A0" w:rsidRPr="007C51D6" w:rsidTr="00A85F2F">
        <w:tblPrEx>
          <w:tblBorders>
            <w:bottom w:val="single" w:sz="4" w:space="0" w:color="auto"/>
          </w:tblBorders>
          <w:tblCellMar>
            <w:top w:w="11" w:type="dxa"/>
            <w:bottom w:w="11" w:type="dxa"/>
          </w:tblCellMar>
        </w:tblPrEx>
        <w:trPr>
          <w:trHeight w:val="20"/>
        </w:trPr>
        <w:tc>
          <w:tcPr>
            <w:tcW w:w="1838" w:type="dxa"/>
            <w:vMerge/>
          </w:tcPr>
          <w:p w:rsidR="002341A0" w:rsidRPr="007C51D6" w:rsidRDefault="002341A0" w:rsidP="002341A0">
            <w:pPr>
              <w:spacing w:line="230" w:lineRule="auto"/>
              <w:jc w:val="both"/>
              <w:rPr>
                <w:rFonts w:eastAsia="Arial"/>
                <w:sz w:val="20"/>
                <w:szCs w:val="20"/>
                <w:lang w:val="en-US"/>
              </w:rPr>
            </w:pPr>
          </w:p>
        </w:tc>
        <w:tc>
          <w:tcPr>
            <w:tcW w:w="1276" w:type="dxa"/>
          </w:tcPr>
          <w:p w:rsidR="002341A0" w:rsidRPr="007C51D6" w:rsidRDefault="002341A0" w:rsidP="002341A0">
            <w:pPr>
              <w:autoSpaceDE/>
              <w:autoSpaceDN/>
              <w:adjustRightInd/>
              <w:spacing w:line="230" w:lineRule="auto"/>
              <w:jc w:val="both"/>
              <w:rPr>
                <w:rFonts w:eastAsia="Arial"/>
                <w:sz w:val="20"/>
                <w:szCs w:val="20"/>
              </w:rPr>
            </w:pPr>
            <w:r w:rsidRPr="007C51D6">
              <w:rPr>
                <w:rFonts w:eastAsia="Arial"/>
                <w:sz w:val="20"/>
                <w:szCs w:val="20"/>
              </w:rPr>
              <w:t>без стадии</w:t>
            </w:r>
          </w:p>
        </w:tc>
        <w:tc>
          <w:tcPr>
            <w:tcW w:w="1210" w:type="dxa"/>
          </w:tcPr>
          <w:p w:rsidR="002341A0" w:rsidRPr="007C51D6" w:rsidRDefault="002341A0" w:rsidP="002341A0">
            <w:pPr>
              <w:spacing w:line="230" w:lineRule="auto"/>
              <w:jc w:val="center"/>
            </w:pPr>
            <w:r w:rsidRPr="007C51D6">
              <w:rPr>
                <w:rFonts w:eastAsia="Arial"/>
                <w:sz w:val="20"/>
                <w:szCs w:val="20"/>
              </w:rPr>
              <w:t>-</w:t>
            </w:r>
          </w:p>
        </w:tc>
        <w:tc>
          <w:tcPr>
            <w:tcW w:w="1211" w:type="dxa"/>
          </w:tcPr>
          <w:p w:rsidR="002341A0" w:rsidRPr="007C51D6" w:rsidRDefault="002341A0" w:rsidP="002341A0">
            <w:pPr>
              <w:spacing w:line="230" w:lineRule="auto"/>
              <w:jc w:val="center"/>
            </w:pPr>
            <w:r w:rsidRPr="007C51D6">
              <w:rPr>
                <w:rFonts w:eastAsia="Arial"/>
                <w:sz w:val="20"/>
                <w:szCs w:val="20"/>
              </w:rPr>
              <w:t>-</w:t>
            </w:r>
          </w:p>
        </w:tc>
        <w:tc>
          <w:tcPr>
            <w:tcW w:w="1212" w:type="dxa"/>
          </w:tcPr>
          <w:p w:rsidR="002341A0" w:rsidRPr="007C51D6" w:rsidRDefault="002341A0" w:rsidP="002341A0">
            <w:pPr>
              <w:spacing w:line="230" w:lineRule="auto"/>
              <w:jc w:val="center"/>
            </w:pPr>
            <w:r w:rsidRPr="007C51D6">
              <w:rPr>
                <w:rFonts w:eastAsia="Arial"/>
                <w:sz w:val="20"/>
                <w:szCs w:val="20"/>
              </w:rPr>
              <w:t>-</w:t>
            </w:r>
          </w:p>
        </w:tc>
        <w:tc>
          <w:tcPr>
            <w:tcW w:w="1212" w:type="dxa"/>
          </w:tcPr>
          <w:p w:rsidR="002341A0" w:rsidRPr="007C51D6" w:rsidRDefault="002341A0" w:rsidP="002341A0">
            <w:pPr>
              <w:spacing w:line="230" w:lineRule="auto"/>
              <w:jc w:val="center"/>
            </w:pPr>
            <w:r w:rsidRPr="007C51D6">
              <w:rPr>
                <w:rFonts w:eastAsia="Arial"/>
                <w:sz w:val="20"/>
                <w:szCs w:val="20"/>
              </w:rPr>
              <w:t>-</w:t>
            </w:r>
          </w:p>
        </w:tc>
        <w:tc>
          <w:tcPr>
            <w:tcW w:w="1212" w:type="dxa"/>
          </w:tcPr>
          <w:p w:rsidR="002341A0" w:rsidRPr="007C51D6" w:rsidRDefault="002341A0" w:rsidP="002341A0">
            <w:pPr>
              <w:spacing w:line="230" w:lineRule="auto"/>
              <w:jc w:val="center"/>
            </w:pPr>
            <w:r w:rsidRPr="007C51D6">
              <w:rPr>
                <w:rFonts w:eastAsia="Arial"/>
                <w:sz w:val="20"/>
                <w:szCs w:val="20"/>
              </w:rPr>
              <w:t>-</w:t>
            </w:r>
          </w:p>
        </w:tc>
        <w:tc>
          <w:tcPr>
            <w:tcW w:w="1212" w:type="dxa"/>
          </w:tcPr>
          <w:p w:rsidR="002341A0" w:rsidRPr="007C51D6" w:rsidRDefault="002341A0" w:rsidP="002341A0">
            <w:pPr>
              <w:spacing w:line="230" w:lineRule="auto"/>
              <w:jc w:val="center"/>
            </w:pPr>
            <w:r w:rsidRPr="007C51D6">
              <w:rPr>
                <w:rFonts w:eastAsia="Arial"/>
                <w:sz w:val="20"/>
                <w:szCs w:val="20"/>
              </w:rPr>
              <w:t>-</w:t>
            </w:r>
          </w:p>
        </w:tc>
        <w:tc>
          <w:tcPr>
            <w:tcW w:w="1212" w:type="dxa"/>
          </w:tcPr>
          <w:p w:rsidR="002341A0" w:rsidRPr="007C51D6" w:rsidRDefault="002341A0" w:rsidP="002341A0">
            <w:pPr>
              <w:spacing w:line="230" w:lineRule="auto"/>
              <w:jc w:val="center"/>
            </w:pPr>
            <w:r w:rsidRPr="007C51D6">
              <w:rPr>
                <w:rFonts w:eastAsia="Arial"/>
                <w:sz w:val="20"/>
                <w:szCs w:val="20"/>
              </w:rPr>
              <w:t>-</w:t>
            </w:r>
          </w:p>
        </w:tc>
        <w:tc>
          <w:tcPr>
            <w:tcW w:w="1212" w:type="dxa"/>
          </w:tcPr>
          <w:p w:rsidR="002341A0" w:rsidRPr="007C51D6" w:rsidRDefault="002341A0" w:rsidP="002341A0">
            <w:pPr>
              <w:spacing w:line="230" w:lineRule="auto"/>
              <w:jc w:val="center"/>
            </w:pPr>
            <w:r w:rsidRPr="007C51D6">
              <w:rPr>
                <w:rFonts w:eastAsia="Arial"/>
                <w:sz w:val="20"/>
                <w:szCs w:val="20"/>
              </w:rPr>
              <w:t>-</w:t>
            </w:r>
          </w:p>
        </w:tc>
        <w:tc>
          <w:tcPr>
            <w:tcW w:w="1212" w:type="dxa"/>
          </w:tcPr>
          <w:p w:rsidR="002341A0" w:rsidRPr="007C51D6" w:rsidRDefault="002341A0" w:rsidP="002341A0">
            <w:pPr>
              <w:spacing w:line="230" w:lineRule="auto"/>
              <w:jc w:val="center"/>
            </w:pPr>
            <w:r w:rsidRPr="007C51D6">
              <w:rPr>
                <w:rFonts w:eastAsia="Arial"/>
                <w:sz w:val="20"/>
                <w:szCs w:val="20"/>
              </w:rPr>
              <w:t>-</w:t>
            </w:r>
          </w:p>
        </w:tc>
        <w:tc>
          <w:tcPr>
            <w:tcW w:w="1212" w:type="dxa"/>
          </w:tcPr>
          <w:p w:rsidR="002341A0" w:rsidRPr="007C51D6" w:rsidRDefault="002341A0" w:rsidP="002341A0">
            <w:pPr>
              <w:spacing w:line="230" w:lineRule="auto"/>
              <w:jc w:val="center"/>
              <w:rPr>
                <w:rFonts w:eastAsia="Arial"/>
                <w:sz w:val="20"/>
                <w:szCs w:val="20"/>
              </w:rPr>
            </w:pPr>
            <w:r w:rsidRPr="007C51D6">
              <w:rPr>
                <w:rFonts w:eastAsia="Arial"/>
                <w:sz w:val="20"/>
                <w:szCs w:val="20"/>
              </w:rPr>
              <w:t>-</w:t>
            </w:r>
          </w:p>
        </w:tc>
      </w:tr>
    </w:tbl>
    <w:p w:rsidR="002341A0" w:rsidRDefault="002341A0">
      <w:r>
        <w:br w:type="page"/>
      </w:r>
    </w:p>
    <w:tbl>
      <w:tblPr>
        <w:tblStyle w:val="af1"/>
        <w:tblW w:w="15231" w:type="dxa"/>
        <w:tblLayout w:type="fixed"/>
        <w:tblCellMar>
          <w:top w:w="11" w:type="dxa"/>
          <w:bottom w:w="11" w:type="dxa"/>
        </w:tblCellMar>
        <w:tblLook w:val="04A0" w:firstRow="1" w:lastRow="0" w:firstColumn="1" w:lastColumn="0" w:noHBand="0" w:noVBand="1"/>
      </w:tblPr>
      <w:tblGrid>
        <w:gridCol w:w="1838"/>
        <w:gridCol w:w="1276"/>
        <w:gridCol w:w="1210"/>
        <w:gridCol w:w="1211"/>
        <w:gridCol w:w="1212"/>
        <w:gridCol w:w="1212"/>
        <w:gridCol w:w="1212"/>
        <w:gridCol w:w="1212"/>
        <w:gridCol w:w="1212"/>
        <w:gridCol w:w="1212"/>
        <w:gridCol w:w="1212"/>
        <w:gridCol w:w="1212"/>
      </w:tblGrid>
      <w:tr w:rsidR="002341A0" w:rsidRPr="007C51D6" w:rsidTr="002341A0">
        <w:trPr>
          <w:trHeight w:val="20"/>
          <w:tblHeader/>
        </w:trPr>
        <w:tc>
          <w:tcPr>
            <w:tcW w:w="1838" w:type="dxa"/>
          </w:tcPr>
          <w:p w:rsidR="002341A0" w:rsidRPr="007C51D6" w:rsidRDefault="002341A0" w:rsidP="002341A0">
            <w:pPr>
              <w:autoSpaceDE/>
              <w:autoSpaceDN/>
              <w:adjustRightInd/>
              <w:jc w:val="center"/>
              <w:rPr>
                <w:color w:val="000000"/>
                <w:sz w:val="20"/>
                <w:szCs w:val="20"/>
              </w:rPr>
            </w:pPr>
            <w:r w:rsidRPr="007C51D6">
              <w:rPr>
                <w:color w:val="000000"/>
                <w:sz w:val="20"/>
                <w:szCs w:val="20"/>
              </w:rPr>
              <w:lastRenderedPageBreak/>
              <w:t>1</w:t>
            </w:r>
          </w:p>
        </w:tc>
        <w:tc>
          <w:tcPr>
            <w:tcW w:w="1276" w:type="dxa"/>
          </w:tcPr>
          <w:p w:rsidR="002341A0" w:rsidRPr="007C51D6" w:rsidRDefault="002341A0" w:rsidP="002341A0">
            <w:pPr>
              <w:autoSpaceDE/>
              <w:autoSpaceDN/>
              <w:adjustRightInd/>
              <w:jc w:val="center"/>
              <w:rPr>
                <w:rFonts w:eastAsia="Arial"/>
                <w:sz w:val="20"/>
                <w:szCs w:val="20"/>
              </w:rPr>
            </w:pPr>
            <w:r w:rsidRPr="007C51D6">
              <w:rPr>
                <w:rFonts w:eastAsia="Arial"/>
                <w:sz w:val="20"/>
                <w:szCs w:val="20"/>
              </w:rPr>
              <w:t>2</w:t>
            </w:r>
          </w:p>
        </w:tc>
        <w:tc>
          <w:tcPr>
            <w:tcW w:w="1210" w:type="dxa"/>
          </w:tcPr>
          <w:p w:rsidR="002341A0" w:rsidRPr="007C51D6" w:rsidRDefault="002341A0" w:rsidP="002341A0">
            <w:pPr>
              <w:autoSpaceDE/>
              <w:autoSpaceDN/>
              <w:adjustRightInd/>
              <w:jc w:val="center"/>
              <w:rPr>
                <w:rFonts w:eastAsia="Arial"/>
                <w:sz w:val="20"/>
                <w:szCs w:val="22"/>
              </w:rPr>
            </w:pPr>
            <w:r w:rsidRPr="007C51D6">
              <w:rPr>
                <w:rFonts w:eastAsia="Arial"/>
                <w:sz w:val="20"/>
                <w:szCs w:val="22"/>
              </w:rPr>
              <w:t>3</w:t>
            </w:r>
          </w:p>
        </w:tc>
        <w:tc>
          <w:tcPr>
            <w:tcW w:w="1211" w:type="dxa"/>
          </w:tcPr>
          <w:p w:rsidR="002341A0" w:rsidRPr="007C51D6" w:rsidRDefault="002341A0" w:rsidP="002341A0">
            <w:pPr>
              <w:autoSpaceDE/>
              <w:autoSpaceDN/>
              <w:adjustRightInd/>
              <w:jc w:val="center"/>
              <w:rPr>
                <w:rFonts w:eastAsia="Arial"/>
                <w:sz w:val="20"/>
                <w:szCs w:val="22"/>
              </w:rPr>
            </w:pPr>
            <w:r w:rsidRPr="007C51D6">
              <w:rPr>
                <w:rFonts w:eastAsia="Arial"/>
                <w:sz w:val="20"/>
                <w:szCs w:val="22"/>
              </w:rPr>
              <w:t>4</w:t>
            </w:r>
          </w:p>
        </w:tc>
        <w:tc>
          <w:tcPr>
            <w:tcW w:w="1212" w:type="dxa"/>
          </w:tcPr>
          <w:p w:rsidR="002341A0" w:rsidRPr="007C51D6" w:rsidRDefault="002341A0" w:rsidP="002341A0">
            <w:pPr>
              <w:autoSpaceDE/>
              <w:autoSpaceDN/>
              <w:adjustRightInd/>
              <w:jc w:val="center"/>
              <w:rPr>
                <w:rFonts w:eastAsia="Arial"/>
                <w:sz w:val="20"/>
                <w:szCs w:val="22"/>
              </w:rPr>
            </w:pPr>
            <w:r w:rsidRPr="007C51D6">
              <w:rPr>
                <w:rFonts w:eastAsia="Arial"/>
                <w:sz w:val="20"/>
                <w:szCs w:val="22"/>
              </w:rPr>
              <w:t>5</w:t>
            </w:r>
          </w:p>
        </w:tc>
        <w:tc>
          <w:tcPr>
            <w:tcW w:w="1212" w:type="dxa"/>
          </w:tcPr>
          <w:p w:rsidR="002341A0" w:rsidRPr="007C51D6" w:rsidRDefault="002341A0" w:rsidP="002341A0">
            <w:pPr>
              <w:autoSpaceDE/>
              <w:autoSpaceDN/>
              <w:adjustRightInd/>
              <w:jc w:val="center"/>
              <w:rPr>
                <w:rFonts w:eastAsia="Arial"/>
                <w:sz w:val="20"/>
                <w:szCs w:val="22"/>
              </w:rPr>
            </w:pPr>
            <w:r w:rsidRPr="007C51D6">
              <w:rPr>
                <w:rFonts w:eastAsia="Arial"/>
                <w:sz w:val="20"/>
                <w:szCs w:val="22"/>
              </w:rPr>
              <w:t>6</w:t>
            </w:r>
          </w:p>
        </w:tc>
        <w:tc>
          <w:tcPr>
            <w:tcW w:w="1212" w:type="dxa"/>
          </w:tcPr>
          <w:p w:rsidR="002341A0" w:rsidRPr="007C51D6" w:rsidRDefault="002341A0" w:rsidP="002341A0">
            <w:pPr>
              <w:autoSpaceDE/>
              <w:autoSpaceDN/>
              <w:adjustRightInd/>
              <w:jc w:val="center"/>
              <w:rPr>
                <w:rFonts w:eastAsia="Arial"/>
                <w:sz w:val="20"/>
                <w:szCs w:val="22"/>
              </w:rPr>
            </w:pPr>
            <w:r w:rsidRPr="007C51D6">
              <w:rPr>
                <w:rFonts w:eastAsia="Arial"/>
                <w:sz w:val="20"/>
                <w:szCs w:val="22"/>
              </w:rPr>
              <w:t>7</w:t>
            </w:r>
          </w:p>
        </w:tc>
        <w:tc>
          <w:tcPr>
            <w:tcW w:w="1212" w:type="dxa"/>
          </w:tcPr>
          <w:p w:rsidR="002341A0" w:rsidRPr="007C51D6" w:rsidRDefault="002341A0" w:rsidP="002341A0">
            <w:pPr>
              <w:autoSpaceDE/>
              <w:autoSpaceDN/>
              <w:adjustRightInd/>
              <w:jc w:val="center"/>
              <w:rPr>
                <w:rFonts w:eastAsia="Arial"/>
                <w:sz w:val="20"/>
                <w:szCs w:val="22"/>
              </w:rPr>
            </w:pPr>
            <w:r w:rsidRPr="007C51D6">
              <w:rPr>
                <w:rFonts w:eastAsia="Arial"/>
                <w:sz w:val="20"/>
                <w:szCs w:val="22"/>
              </w:rPr>
              <w:t>8</w:t>
            </w:r>
          </w:p>
        </w:tc>
        <w:tc>
          <w:tcPr>
            <w:tcW w:w="1212" w:type="dxa"/>
          </w:tcPr>
          <w:p w:rsidR="002341A0" w:rsidRPr="007C51D6" w:rsidRDefault="002341A0" w:rsidP="002341A0">
            <w:pPr>
              <w:autoSpaceDE/>
              <w:autoSpaceDN/>
              <w:adjustRightInd/>
              <w:jc w:val="center"/>
              <w:rPr>
                <w:rFonts w:eastAsia="Arial"/>
                <w:sz w:val="20"/>
                <w:szCs w:val="22"/>
              </w:rPr>
            </w:pPr>
            <w:r w:rsidRPr="007C51D6">
              <w:rPr>
                <w:rFonts w:eastAsia="Arial"/>
                <w:sz w:val="20"/>
                <w:szCs w:val="22"/>
              </w:rPr>
              <w:t>9</w:t>
            </w:r>
          </w:p>
        </w:tc>
        <w:tc>
          <w:tcPr>
            <w:tcW w:w="1212" w:type="dxa"/>
          </w:tcPr>
          <w:p w:rsidR="002341A0" w:rsidRPr="007C51D6" w:rsidRDefault="002341A0" w:rsidP="002341A0">
            <w:pPr>
              <w:autoSpaceDE/>
              <w:autoSpaceDN/>
              <w:adjustRightInd/>
              <w:jc w:val="center"/>
              <w:rPr>
                <w:rFonts w:eastAsia="Arial"/>
                <w:sz w:val="20"/>
                <w:szCs w:val="22"/>
              </w:rPr>
            </w:pPr>
            <w:r w:rsidRPr="007C51D6">
              <w:rPr>
                <w:rFonts w:eastAsia="Arial"/>
                <w:sz w:val="20"/>
                <w:szCs w:val="22"/>
              </w:rPr>
              <w:t>10</w:t>
            </w:r>
          </w:p>
        </w:tc>
        <w:tc>
          <w:tcPr>
            <w:tcW w:w="1212" w:type="dxa"/>
          </w:tcPr>
          <w:p w:rsidR="002341A0" w:rsidRPr="007C51D6" w:rsidRDefault="002341A0" w:rsidP="002341A0">
            <w:pPr>
              <w:autoSpaceDE/>
              <w:autoSpaceDN/>
              <w:adjustRightInd/>
              <w:jc w:val="center"/>
              <w:rPr>
                <w:rFonts w:eastAsia="Arial"/>
                <w:sz w:val="20"/>
                <w:szCs w:val="22"/>
              </w:rPr>
            </w:pPr>
            <w:r w:rsidRPr="007C51D6">
              <w:rPr>
                <w:rFonts w:eastAsia="Arial"/>
                <w:sz w:val="20"/>
                <w:szCs w:val="22"/>
              </w:rPr>
              <w:t>11</w:t>
            </w:r>
          </w:p>
        </w:tc>
        <w:tc>
          <w:tcPr>
            <w:tcW w:w="1212" w:type="dxa"/>
          </w:tcPr>
          <w:p w:rsidR="002341A0" w:rsidRPr="007C51D6" w:rsidRDefault="002341A0" w:rsidP="002341A0">
            <w:pPr>
              <w:autoSpaceDE/>
              <w:autoSpaceDN/>
              <w:adjustRightInd/>
              <w:jc w:val="center"/>
              <w:rPr>
                <w:rFonts w:eastAsia="Arial"/>
                <w:sz w:val="20"/>
                <w:szCs w:val="22"/>
              </w:rPr>
            </w:pPr>
            <w:r w:rsidRPr="007C51D6">
              <w:rPr>
                <w:rFonts w:eastAsia="Arial"/>
                <w:sz w:val="20"/>
                <w:szCs w:val="22"/>
              </w:rPr>
              <w:t>12</w:t>
            </w:r>
          </w:p>
        </w:tc>
      </w:tr>
      <w:tr w:rsidR="002341A0" w:rsidRPr="007C51D6" w:rsidTr="0038114E">
        <w:trPr>
          <w:trHeight w:val="20"/>
        </w:trPr>
        <w:tc>
          <w:tcPr>
            <w:tcW w:w="1838" w:type="dxa"/>
            <w:vMerge w:val="restart"/>
          </w:tcPr>
          <w:p w:rsidR="002341A0" w:rsidRPr="007C51D6" w:rsidRDefault="002341A0" w:rsidP="002341A0">
            <w:pPr>
              <w:spacing w:line="230" w:lineRule="auto"/>
              <w:jc w:val="both"/>
              <w:rPr>
                <w:rFonts w:eastAsia="Arial"/>
                <w:sz w:val="20"/>
                <w:szCs w:val="20"/>
              </w:rPr>
            </w:pPr>
            <w:r w:rsidRPr="007C51D6">
              <w:rPr>
                <w:rFonts w:eastAsia="Arial"/>
                <w:sz w:val="20"/>
                <w:szCs w:val="22"/>
              </w:rPr>
              <w:t xml:space="preserve">ЗНО прямой кишки, ректосигмоидного соединения, ануса </w:t>
            </w:r>
            <w:r w:rsidRPr="007C51D6">
              <w:rPr>
                <w:rFonts w:eastAsia="Arial"/>
                <w:sz w:val="20"/>
                <w:szCs w:val="20"/>
              </w:rPr>
              <w:t>(С19 –С21)</w:t>
            </w:r>
          </w:p>
        </w:tc>
        <w:tc>
          <w:tcPr>
            <w:tcW w:w="1276" w:type="dxa"/>
          </w:tcPr>
          <w:p w:rsidR="002341A0" w:rsidRPr="007C51D6" w:rsidRDefault="002341A0" w:rsidP="002341A0">
            <w:pPr>
              <w:autoSpaceDE/>
              <w:autoSpaceDN/>
              <w:adjustRightInd/>
              <w:spacing w:line="230" w:lineRule="auto"/>
              <w:jc w:val="both"/>
              <w:rPr>
                <w:rFonts w:eastAsia="Arial"/>
                <w:sz w:val="20"/>
                <w:szCs w:val="20"/>
              </w:rPr>
            </w:pPr>
            <w:r w:rsidRPr="007C51D6">
              <w:rPr>
                <w:rFonts w:eastAsia="Arial"/>
                <w:sz w:val="20"/>
                <w:szCs w:val="20"/>
                <w:lang w:val="en-US"/>
              </w:rPr>
              <w:t>I</w:t>
            </w:r>
            <w:r w:rsidRPr="007C51D6">
              <w:rPr>
                <w:rFonts w:eastAsia="Arial"/>
                <w:sz w:val="20"/>
                <w:szCs w:val="20"/>
              </w:rPr>
              <w:t xml:space="preserve"> стадия</w:t>
            </w:r>
          </w:p>
        </w:tc>
        <w:tc>
          <w:tcPr>
            <w:tcW w:w="1210" w:type="dxa"/>
          </w:tcPr>
          <w:p w:rsidR="002341A0" w:rsidRPr="007C51D6" w:rsidRDefault="002341A0" w:rsidP="002341A0">
            <w:pPr>
              <w:autoSpaceDE/>
              <w:autoSpaceDN/>
              <w:adjustRightInd/>
              <w:spacing w:line="230" w:lineRule="auto"/>
              <w:jc w:val="center"/>
              <w:rPr>
                <w:rFonts w:eastAsia="Arial"/>
                <w:sz w:val="20"/>
                <w:szCs w:val="20"/>
              </w:rPr>
            </w:pPr>
            <w:r w:rsidRPr="007C51D6">
              <w:rPr>
                <w:rFonts w:eastAsia="Arial"/>
                <w:sz w:val="20"/>
                <w:szCs w:val="20"/>
              </w:rPr>
              <w:t>18,1</w:t>
            </w:r>
          </w:p>
        </w:tc>
        <w:tc>
          <w:tcPr>
            <w:tcW w:w="1211" w:type="dxa"/>
          </w:tcPr>
          <w:p w:rsidR="002341A0" w:rsidRPr="007C51D6" w:rsidRDefault="002341A0" w:rsidP="002341A0">
            <w:pPr>
              <w:autoSpaceDE/>
              <w:autoSpaceDN/>
              <w:adjustRightInd/>
              <w:spacing w:line="230" w:lineRule="auto"/>
              <w:jc w:val="center"/>
              <w:rPr>
                <w:rFonts w:eastAsia="Arial"/>
                <w:sz w:val="20"/>
                <w:szCs w:val="20"/>
              </w:rPr>
            </w:pPr>
            <w:r w:rsidRPr="007C51D6">
              <w:rPr>
                <w:rFonts w:eastAsia="Arial"/>
                <w:sz w:val="20"/>
                <w:szCs w:val="20"/>
              </w:rPr>
              <w:t>22,6</w:t>
            </w:r>
          </w:p>
        </w:tc>
        <w:tc>
          <w:tcPr>
            <w:tcW w:w="1212" w:type="dxa"/>
          </w:tcPr>
          <w:p w:rsidR="002341A0" w:rsidRPr="007C51D6" w:rsidRDefault="002341A0" w:rsidP="002341A0">
            <w:pPr>
              <w:autoSpaceDE/>
              <w:autoSpaceDN/>
              <w:adjustRightInd/>
              <w:spacing w:line="230" w:lineRule="auto"/>
              <w:jc w:val="center"/>
              <w:rPr>
                <w:rFonts w:eastAsia="Arial"/>
                <w:sz w:val="20"/>
                <w:szCs w:val="20"/>
              </w:rPr>
            </w:pPr>
            <w:r w:rsidRPr="007C51D6">
              <w:rPr>
                <w:rFonts w:eastAsia="Arial"/>
                <w:sz w:val="20"/>
                <w:szCs w:val="20"/>
              </w:rPr>
              <w:t>20,6</w:t>
            </w:r>
          </w:p>
        </w:tc>
        <w:tc>
          <w:tcPr>
            <w:tcW w:w="1212" w:type="dxa"/>
          </w:tcPr>
          <w:p w:rsidR="002341A0" w:rsidRPr="007C51D6" w:rsidRDefault="002341A0" w:rsidP="002341A0">
            <w:pPr>
              <w:autoSpaceDE/>
              <w:autoSpaceDN/>
              <w:adjustRightInd/>
              <w:spacing w:line="230" w:lineRule="auto"/>
              <w:jc w:val="center"/>
              <w:rPr>
                <w:rFonts w:eastAsia="Arial"/>
                <w:sz w:val="20"/>
                <w:szCs w:val="20"/>
              </w:rPr>
            </w:pPr>
            <w:r w:rsidRPr="007C51D6">
              <w:rPr>
                <w:rFonts w:eastAsia="Arial"/>
                <w:sz w:val="20"/>
                <w:szCs w:val="20"/>
              </w:rPr>
              <w:t>23,1</w:t>
            </w:r>
          </w:p>
        </w:tc>
        <w:tc>
          <w:tcPr>
            <w:tcW w:w="1212" w:type="dxa"/>
          </w:tcPr>
          <w:p w:rsidR="002341A0" w:rsidRPr="007C51D6" w:rsidRDefault="002341A0" w:rsidP="002341A0">
            <w:pPr>
              <w:autoSpaceDE/>
              <w:autoSpaceDN/>
              <w:adjustRightInd/>
              <w:spacing w:line="230" w:lineRule="auto"/>
              <w:jc w:val="center"/>
              <w:rPr>
                <w:rFonts w:eastAsia="Arial"/>
                <w:sz w:val="20"/>
                <w:szCs w:val="20"/>
              </w:rPr>
            </w:pPr>
            <w:r w:rsidRPr="007C51D6">
              <w:rPr>
                <w:rFonts w:eastAsia="Arial"/>
                <w:sz w:val="20"/>
                <w:szCs w:val="20"/>
              </w:rPr>
              <w:t>23,1</w:t>
            </w:r>
          </w:p>
        </w:tc>
        <w:tc>
          <w:tcPr>
            <w:tcW w:w="1212" w:type="dxa"/>
          </w:tcPr>
          <w:p w:rsidR="002341A0" w:rsidRPr="007C51D6" w:rsidRDefault="002341A0" w:rsidP="002341A0">
            <w:pPr>
              <w:autoSpaceDE/>
              <w:autoSpaceDN/>
              <w:adjustRightInd/>
              <w:spacing w:line="230" w:lineRule="auto"/>
              <w:jc w:val="center"/>
              <w:rPr>
                <w:rFonts w:eastAsia="Arial"/>
                <w:sz w:val="20"/>
                <w:szCs w:val="20"/>
              </w:rPr>
            </w:pPr>
            <w:r w:rsidRPr="007C51D6">
              <w:rPr>
                <w:rFonts w:eastAsia="Arial"/>
                <w:sz w:val="20"/>
                <w:szCs w:val="20"/>
              </w:rPr>
              <w:t>24,2</w:t>
            </w:r>
          </w:p>
        </w:tc>
        <w:tc>
          <w:tcPr>
            <w:tcW w:w="1212" w:type="dxa"/>
          </w:tcPr>
          <w:p w:rsidR="002341A0" w:rsidRPr="007C51D6" w:rsidRDefault="002341A0" w:rsidP="002341A0">
            <w:pPr>
              <w:autoSpaceDE/>
              <w:autoSpaceDN/>
              <w:adjustRightInd/>
              <w:spacing w:line="230" w:lineRule="auto"/>
              <w:jc w:val="center"/>
              <w:rPr>
                <w:rFonts w:eastAsia="Arial"/>
                <w:sz w:val="20"/>
                <w:szCs w:val="20"/>
              </w:rPr>
            </w:pPr>
            <w:r w:rsidRPr="007C51D6">
              <w:rPr>
                <w:rFonts w:eastAsia="Arial"/>
                <w:sz w:val="20"/>
                <w:szCs w:val="20"/>
              </w:rPr>
              <w:t>23,3</w:t>
            </w:r>
          </w:p>
        </w:tc>
        <w:tc>
          <w:tcPr>
            <w:tcW w:w="1212" w:type="dxa"/>
          </w:tcPr>
          <w:p w:rsidR="002341A0" w:rsidRPr="007C51D6" w:rsidRDefault="002341A0" w:rsidP="002341A0">
            <w:pPr>
              <w:autoSpaceDE/>
              <w:autoSpaceDN/>
              <w:adjustRightInd/>
              <w:spacing w:line="230" w:lineRule="auto"/>
              <w:jc w:val="center"/>
              <w:rPr>
                <w:rFonts w:eastAsia="Arial"/>
                <w:sz w:val="20"/>
                <w:szCs w:val="20"/>
              </w:rPr>
            </w:pPr>
            <w:r w:rsidRPr="007C51D6">
              <w:rPr>
                <w:rFonts w:eastAsia="Arial"/>
                <w:sz w:val="20"/>
                <w:szCs w:val="20"/>
              </w:rPr>
              <w:t>24,4</w:t>
            </w:r>
          </w:p>
        </w:tc>
        <w:tc>
          <w:tcPr>
            <w:tcW w:w="1212" w:type="dxa"/>
          </w:tcPr>
          <w:p w:rsidR="002341A0" w:rsidRPr="007C51D6" w:rsidRDefault="002341A0" w:rsidP="002341A0">
            <w:pPr>
              <w:autoSpaceDE/>
              <w:autoSpaceDN/>
              <w:adjustRightInd/>
              <w:spacing w:line="230" w:lineRule="auto"/>
              <w:jc w:val="center"/>
              <w:rPr>
                <w:rFonts w:eastAsia="Arial"/>
                <w:sz w:val="20"/>
                <w:szCs w:val="20"/>
              </w:rPr>
            </w:pPr>
            <w:r w:rsidRPr="007C51D6">
              <w:rPr>
                <w:rFonts w:eastAsia="Arial"/>
                <w:sz w:val="20"/>
                <w:szCs w:val="20"/>
              </w:rPr>
              <w:t>22,9</w:t>
            </w:r>
          </w:p>
        </w:tc>
        <w:tc>
          <w:tcPr>
            <w:tcW w:w="1212" w:type="dxa"/>
            <w:vAlign w:val="bottom"/>
          </w:tcPr>
          <w:p w:rsidR="002341A0" w:rsidRPr="007C51D6" w:rsidRDefault="002341A0" w:rsidP="002341A0">
            <w:pPr>
              <w:widowControl/>
              <w:autoSpaceDE/>
              <w:autoSpaceDN/>
              <w:adjustRightInd/>
              <w:jc w:val="center"/>
              <w:rPr>
                <w:color w:val="000000"/>
                <w:sz w:val="20"/>
                <w:szCs w:val="20"/>
              </w:rPr>
            </w:pPr>
            <w:r w:rsidRPr="007C51D6">
              <w:rPr>
                <w:color w:val="000000"/>
                <w:sz w:val="20"/>
                <w:szCs w:val="20"/>
              </w:rPr>
              <w:t>28,4</w:t>
            </w:r>
          </w:p>
        </w:tc>
      </w:tr>
      <w:tr w:rsidR="002341A0" w:rsidRPr="007C51D6" w:rsidTr="0038114E">
        <w:trPr>
          <w:trHeight w:val="20"/>
        </w:trPr>
        <w:tc>
          <w:tcPr>
            <w:tcW w:w="1838" w:type="dxa"/>
            <w:vMerge/>
          </w:tcPr>
          <w:p w:rsidR="002341A0" w:rsidRPr="007C51D6" w:rsidRDefault="002341A0" w:rsidP="002341A0">
            <w:pPr>
              <w:spacing w:line="230" w:lineRule="auto"/>
              <w:jc w:val="both"/>
              <w:rPr>
                <w:rFonts w:eastAsia="Arial"/>
                <w:sz w:val="20"/>
                <w:szCs w:val="20"/>
                <w:lang w:val="en-US"/>
              </w:rPr>
            </w:pPr>
          </w:p>
        </w:tc>
        <w:tc>
          <w:tcPr>
            <w:tcW w:w="1276" w:type="dxa"/>
          </w:tcPr>
          <w:p w:rsidR="002341A0" w:rsidRPr="007C51D6" w:rsidRDefault="002341A0" w:rsidP="002341A0">
            <w:pPr>
              <w:spacing w:line="230" w:lineRule="auto"/>
              <w:jc w:val="both"/>
              <w:rPr>
                <w:rFonts w:eastAsia="Arial"/>
                <w:sz w:val="20"/>
                <w:szCs w:val="20"/>
                <w:lang w:val="en-US"/>
              </w:rPr>
            </w:pPr>
            <w:r w:rsidRPr="007C51D6">
              <w:rPr>
                <w:rFonts w:eastAsia="Arial"/>
                <w:sz w:val="20"/>
                <w:szCs w:val="20"/>
                <w:lang w:val="en-US"/>
              </w:rPr>
              <w:t>II</w:t>
            </w:r>
            <w:r w:rsidRPr="007C51D6">
              <w:rPr>
                <w:rFonts w:eastAsia="Arial"/>
                <w:sz w:val="20"/>
                <w:szCs w:val="20"/>
              </w:rPr>
              <w:t xml:space="preserve"> стадия</w:t>
            </w:r>
          </w:p>
        </w:tc>
        <w:tc>
          <w:tcPr>
            <w:tcW w:w="1210" w:type="dxa"/>
          </w:tcPr>
          <w:p w:rsidR="002341A0" w:rsidRPr="007C51D6" w:rsidRDefault="002341A0" w:rsidP="002341A0">
            <w:pPr>
              <w:autoSpaceDE/>
              <w:autoSpaceDN/>
              <w:adjustRightInd/>
              <w:spacing w:line="230" w:lineRule="auto"/>
              <w:jc w:val="center"/>
              <w:rPr>
                <w:rFonts w:eastAsia="Arial"/>
                <w:sz w:val="20"/>
                <w:szCs w:val="20"/>
              </w:rPr>
            </w:pPr>
            <w:r w:rsidRPr="007C51D6">
              <w:rPr>
                <w:rFonts w:eastAsia="Arial"/>
                <w:sz w:val="20"/>
                <w:szCs w:val="20"/>
              </w:rPr>
              <w:t>34,3</w:t>
            </w:r>
          </w:p>
        </w:tc>
        <w:tc>
          <w:tcPr>
            <w:tcW w:w="1211" w:type="dxa"/>
          </w:tcPr>
          <w:p w:rsidR="002341A0" w:rsidRPr="007C51D6" w:rsidRDefault="002341A0" w:rsidP="002341A0">
            <w:pPr>
              <w:autoSpaceDE/>
              <w:autoSpaceDN/>
              <w:adjustRightInd/>
              <w:spacing w:line="230" w:lineRule="auto"/>
              <w:jc w:val="center"/>
              <w:rPr>
                <w:rFonts w:eastAsia="Arial"/>
                <w:sz w:val="20"/>
                <w:szCs w:val="20"/>
              </w:rPr>
            </w:pPr>
            <w:r w:rsidRPr="007C51D6">
              <w:rPr>
                <w:rFonts w:eastAsia="Arial"/>
                <w:sz w:val="20"/>
                <w:szCs w:val="20"/>
              </w:rPr>
              <w:t>38,5</w:t>
            </w:r>
          </w:p>
        </w:tc>
        <w:tc>
          <w:tcPr>
            <w:tcW w:w="1212" w:type="dxa"/>
          </w:tcPr>
          <w:p w:rsidR="002341A0" w:rsidRPr="007C51D6" w:rsidRDefault="002341A0" w:rsidP="002341A0">
            <w:pPr>
              <w:autoSpaceDE/>
              <w:autoSpaceDN/>
              <w:adjustRightInd/>
              <w:spacing w:line="230" w:lineRule="auto"/>
              <w:jc w:val="center"/>
              <w:rPr>
                <w:rFonts w:eastAsia="Arial"/>
                <w:sz w:val="20"/>
                <w:szCs w:val="20"/>
              </w:rPr>
            </w:pPr>
            <w:r w:rsidRPr="007C51D6">
              <w:rPr>
                <w:rFonts w:eastAsia="Arial"/>
                <w:sz w:val="20"/>
                <w:szCs w:val="20"/>
              </w:rPr>
              <w:t>39,7</w:t>
            </w:r>
          </w:p>
        </w:tc>
        <w:tc>
          <w:tcPr>
            <w:tcW w:w="1212" w:type="dxa"/>
          </w:tcPr>
          <w:p w:rsidR="002341A0" w:rsidRPr="007C51D6" w:rsidRDefault="002341A0" w:rsidP="002341A0">
            <w:pPr>
              <w:autoSpaceDE/>
              <w:autoSpaceDN/>
              <w:adjustRightInd/>
              <w:spacing w:line="230" w:lineRule="auto"/>
              <w:jc w:val="center"/>
              <w:rPr>
                <w:rFonts w:eastAsia="Arial"/>
                <w:sz w:val="20"/>
                <w:szCs w:val="20"/>
              </w:rPr>
            </w:pPr>
            <w:r w:rsidRPr="007C51D6">
              <w:rPr>
                <w:rFonts w:eastAsia="Arial"/>
                <w:sz w:val="20"/>
                <w:szCs w:val="20"/>
              </w:rPr>
              <w:t>38,2</w:t>
            </w:r>
          </w:p>
        </w:tc>
        <w:tc>
          <w:tcPr>
            <w:tcW w:w="1212" w:type="dxa"/>
          </w:tcPr>
          <w:p w:rsidR="002341A0" w:rsidRPr="007C51D6" w:rsidRDefault="002341A0" w:rsidP="002341A0">
            <w:pPr>
              <w:autoSpaceDE/>
              <w:autoSpaceDN/>
              <w:adjustRightInd/>
              <w:spacing w:line="230" w:lineRule="auto"/>
              <w:jc w:val="center"/>
              <w:rPr>
                <w:rFonts w:eastAsia="Arial"/>
                <w:sz w:val="20"/>
                <w:szCs w:val="20"/>
              </w:rPr>
            </w:pPr>
            <w:r w:rsidRPr="007C51D6">
              <w:rPr>
                <w:rFonts w:eastAsia="Arial"/>
                <w:sz w:val="20"/>
                <w:szCs w:val="20"/>
              </w:rPr>
              <w:t>36,9</w:t>
            </w:r>
          </w:p>
        </w:tc>
        <w:tc>
          <w:tcPr>
            <w:tcW w:w="1212" w:type="dxa"/>
          </w:tcPr>
          <w:p w:rsidR="002341A0" w:rsidRPr="007C51D6" w:rsidRDefault="002341A0" w:rsidP="002341A0">
            <w:pPr>
              <w:autoSpaceDE/>
              <w:autoSpaceDN/>
              <w:adjustRightInd/>
              <w:spacing w:line="230" w:lineRule="auto"/>
              <w:jc w:val="center"/>
              <w:rPr>
                <w:rFonts w:eastAsia="Arial"/>
                <w:sz w:val="20"/>
                <w:szCs w:val="20"/>
              </w:rPr>
            </w:pPr>
            <w:r w:rsidRPr="007C51D6">
              <w:rPr>
                <w:rFonts w:eastAsia="Arial"/>
                <w:sz w:val="20"/>
                <w:szCs w:val="20"/>
              </w:rPr>
              <w:t>32,1</w:t>
            </w:r>
          </w:p>
        </w:tc>
        <w:tc>
          <w:tcPr>
            <w:tcW w:w="1212" w:type="dxa"/>
          </w:tcPr>
          <w:p w:rsidR="002341A0" w:rsidRPr="007C51D6" w:rsidRDefault="002341A0" w:rsidP="002341A0">
            <w:pPr>
              <w:autoSpaceDE/>
              <w:autoSpaceDN/>
              <w:adjustRightInd/>
              <w:spacing w:line="230" w:lineRule="auto"/>
              <w:jc w:val="center"/>
              <w:rPr>
                <w:rFonts w:eastAsia="Arial"/>
                <w:sz w:val="20"/>
                <w:szCs w:val="20"/>
              </w:rPr>
            </w:pPr>
            <w:r w:rsidRPr="007C51D6">
              <w:rPr>
                <w:rFonts w:eastAsia="Arial"/>
                <w:sz w:val="20"/>
                <w:szCs w:val="20"/>
              </w:rPr>
              <w:t>33,2</w:t>
            </w:r>
          </w:p>
        </w:tc>
        <w:tc>
          <w:tcPr>
            <w:tcW w:w="1212" w:type="dxa"/>
          </w:tcPr>
          <w:p w:rsidR="002341A0" w:rsidRPr="007C51D6" w:rsidRDefault="002341A0" w:rsidP="002341A0">
            <w:pPr>
              <w:autoSpaceDE/>
              <w:autoSpaceDN/>
              <w:adjustRightInd/>
              <w:spacing w:line="230" w:lineRule="auto"/>
              <w:jc w:val="center"/>
              <w:rPr>
                <w:rFonts w:eastAsia="Arial"/>
                <w:sz w:val="20"/>
                <w:szCs w:val="20"/>
              </w:rPr>
            </w:pPr>
            <w:r w:rsidRPr="007C51D6">
              <w:rPr>
                <w:rFonts w:eastAsia="Arial"/>
                <w:sz w:val="20"/>
                <w:szCs w:val="20"/>
              </w:rPr>
              <w:t>30,0</w:t>
            </w:r>
          </w:p>
        </w:tc>
        <w:tc>
          <w:tcPr>
            <w:tcW w:w="1212" w:type="dxa"/>
          </w:tcPr>
          <w:p w:rsidR="002341A0" w:rsidRPr="007C51D6" w:rsidRDefault="002341A0" w:rsidP="002341A0">
            <w:pPr>
              <w:autoSpaceDE/>
              <w:autoSpaceDN/>
              <w:adjustRightInd/>
              <w:spacing w:line="230" w:lineRule="auto"/>
              <w:jc w:val="center"/>
              <w:rPr>
                <w:rFonts w:eastAsia="Arial"/>
                <w:sz w:val="20"/>
                <w:szCs w:val="20"/>
              </w:rPr>
            </w:pPr>
            <w:r w:rsidRPr="007C51D6">
              <w:rPr>
                <w:rFonts w:eastAsia="Arial"/>
                <w:sz w:val="20"/>
                <w:szCs w:val="20"/>
              </w:rPr>
              <w:t>34,1</w:t>
            </w:r>
          </w:p>
        </w:tc>
        <w:tc>
          <w:tcPr>
            <w:tcW w:w="1212" w:type="dxa"/>
            <w:vAlign w:val="bottom"/>
          </w:tcPr>
          <w:p w:rsidR="002341A0" w:rsidRPr="007C51D6" w:rsidRDefault="002341A0" w:rsidP="002341A0">
            <w:pPr>
              <w:jc w:val="center"/>
              <w:rPr>
                <w:color w:val="000000"/>
                <w:sz w:val="20"/>
                <w:szCs w:val="20"/>
              </w:rPr>
            </w:pPr>
            <w:r w:rsidRPr="007C51D6">
              <w:rPr>
                <w:color w:val="000000"/>
                <w:sz w:val="20"/>
                <w:szCs w:val="20"/>
              </w:rPr>
              <w:t>30,1</w:t>
            </w:r>
          </w:p>
        </w:tc>
      </w:tr>
      <w:tr w:rsidR="002341A0" w:rsidRPr="007C51D6" w:rsidTr="0038114E">
        <w:trPr>
          <w:trHeight w:val="20"/>
        </w:trPr>
        <w:tc>
          <w:tcPr>
            <w:tcW w:w="1838" w:type="dxa"/>
            <w:vMerge/>
          </w:tcPr>
          <w:p w:rsidR="002341A0" w:rsidRPr="007C51D6" w:rsidRDefault="002341A0" w:rsidP="002341A0">
            <w:pPr>
              <w:spacing w:line="230" w:lineRule="auto"/>
              <w:jc w:val="both"/>
              <w:rPr>
                <w:rFonts w:eastAsia="Arial"/>
                <w:sz w:val="20"/>
                <w:szCs w:val="20"/>
                <w:lang w:val="en-US"/>
              </w:rPr>
            </w:pPr>
          </w:p>
        </w:tc>
        <w:tc>
          <w:tcPr>
            <w:tcW w:w="1276" w:type="dxa"/>
          </w:tcPr>
          <w:p w:rsidR="002341A0" w:rsidRPr="007C51D6" w:rsidRDefault="002341A0" w:rsidP="002341A0">
            <w:pPr>
              <w:spacing w:line="230" w:lineRule="auto"/>
              <w:jc w:val="both"/>
              <w:rPr>
                <w:rFonts w:eastAsia="Arial"/>
                <w:sz w:val="20"/>
                <w:szCs w:val="20"/>
                <w:lang w:val="en-US"/>
              </w:rPr>
            </w:pPr>
            <w:r w:rsidRPr="007C51D6">
              <w:rPr>
                <w:rFonts w:eastAsia="Arial"/>
                <w:sz w:val="20"/>
                <w:szCs w:val="20"/>
                <w:lang w:val="en-US"/>
              </w:rPr>
              <w:t>III</w:t>
            </w:r>
            <w:r w:rsidRPr="007C51D6">
              <w:rPr>
                <w:rFonts w:eastAsia="Arial"/>
                <w:sz w:val="20"/>
                <w:szCs w:val="20"/>
              </w:rPr>
              <w:t xml:space="preserve"> стадия</w:t>
            </w:r>
          </w:p>
        </w:tc>
        <w:tc>
          <w:tcPr>
            <w:tcW w:w="1210" w:type="dxa"/>
          </w:tcPr>
          <w:p w:rsidR="002341A0" w:rsidRPr="007C51D6" w:rsidRDefault="002341A0" w:rsidP="002341A0">
            <w:pPr>
              <w:autoSpaceDE/>
              <w:autoSpaceDN/>
              <w:adjustRightInd/>
              <w:spacing w:line="230" w:lineRule="auto"/>
              <w:jc w:val="center"/>
              <w:rPr>
                <w:rFonts w:eastAsia="Arial"/>
                <w:sz w:val="20"/>
                <w:szCs w:val="20"/>
              </w:rPr>
            </w:pPr>
            <w:r w:rsidRPr="007C51D6">
              <w:rPr>
                <w:rFonts w:eastAsia="Arial"/>
                <w:sz w:val="20"/>
                <w:szCs w:val="20"/>
              </w:rPr>
              <w:t>26,3</w:t>
            </w:r>
          </w:p>
        </w:tc>
        <w:tc>
          <w:tcPr>
            <w:tcW w:w="1211" w:type="dxa"/>
          </w:tcPr>
          <w:p w:rsidR="002341A0" w:rsidRPr="007C51D6" w:rsidRDefault="002341A0" w:rsidP="002341A0">
            <w:pPr>
              <w:autoSpaceDE/>
              <w:autoSpaceDN/>
              <w:adjustRightInd/>
              <w:spacing w:line="230" w:lineRule="auto"/>
              <w:jc w:val="center"/>
              <w:rPr>
                <w:rFonts w:eastAsia="Arial"/>
                <w:sz w:val="20"/>
                <w:szCs w:val="20"/>
              </w:rPr>
            </w:pPr>
            <w:r w:rsidRPr="007C51D6">
              <w:rPr>
                <w:rFonts w:eastAsia="Arial"/>
                <w:sz w:val="20"/>
                <w:szCs w:val="20"/>
              </w:rPr>
              <w:t>20,3</w:t>
            </w:r>
          </w:p>
        </w:tc>
        <w:tc>
          <w:tcPr>
            <w:tcW w:w="1212" w:type="dxa"/>
          </w:tcPr>
          <w:p w:rsidR="002341A0" w:rsidRPr="007C51D6" w:rsidRDefault="002341A0" w:rsidP="002341A0">
            <w:pPr>
              <w:autoSpaceDE/>
              <w:autoSpaceDN/>
              <w:adjustRightInd/>
              <w:spacing w:line="230" w:lineRule="auto"/>
              <w:jc w:val="center"/>
              <w:rPr>
                <w:rFonts w:eastAsia="Arial"/>
                <w:sz w:val="20"/>
                <w:szCs w:val="20"/>
              </w:rPr>
            </w:pPr>
            <w:r w:rsidRPr="007C51D6">
              <w:rPr>
                <w:rFonts w:eastAsia="Arial"/>
                <w:sz w:val="20"/>
                <w:szCs w:val="20"/>
              </w:rPr>
              <w:t>20,5</w:t>
            </w:r>
          </w:p>
        </w:tc>
        <w:tc>
          <w:tcPr>
            <w:tcW w:w="1212" w:type="dxa"/>
          </w:tcPr>
          <w:p w:rsidR="002341A0" w:rsidRPr="007C51D6" w:rsidRDefault="002341A0" w:rsidP="002341A0">
            <w:pPr>
              <w:autoSpaceDE/>
              <w:autoSpaceDN/>
              <w:adjustRightInd/>
              <w:spacing w:line="230" w:lineRule="auto"/>
              <w:jc w:val="center"/>
              <w:rPr>
                <w:rFonts w:eastAsia="Arial"/>
                <w:sz w:val="20"/>
                <w:szCs w:val="20"/>
              </w:rPr>
            </w:pPr>
            <w:r w:rsidRPr="007C51D6">
              <w:rPr>
                <w:rFonts w:eastAsia="Arial"/>
                <w:sz w:val="20"/>
                <w:szCs w:val="20"/>
              </w:rPr>
              <w:t>22,1</w:t>
            </w:r>
          </w:p>
        </w:tc>
        <w:tc>
          <w:tcPr>
            <w:tcW w:w="1212" w:type="dxa"/>
          </w:tcPr>
          <w:p w:rsidR="002341A0" w:rsidRPr="007C51D6" w:rsidRDefault="002341A0" w:rsidP="002341A0">
            <w:pPr>
              <w:autoSpaceDE/>
              <w:autoSpaceDN/>
              <w:adjustRightInd/>
              <w:spacing w:line="230" w:lineRule="auto"/>
              <w:jc w:val="center"/>
              <w:rPr>
                <w:rFonts w:eastAsia="Arial"/>
                <w:sz w:val="20"/>
                <w:szCs w:val="20"/>
              </w:rPr>
            </w:pPr>
            <w:r w:rsidRPr="007C51D6">
              <w:rPr>
                <w:rFonts w:eastAsia="Arial"/>
                <w:sz w:val="20"/>
                <w:szCs w:val="20"/>
              </w:rPr>
              <w:t>21,6</w:t>
            </w:r>
          </w:p>
        </w:tc>
        <w:tc>
          <w:tcPr>
            <w:tcW w:w="1212" w:type="dxa"/>
          </w:tcPr>
          <w:p w:rsidR="002341A0" w:rsidRPr="007C51D6" w:rsidRDefault="002341A0" w:rsidP="002341A0">
            <w:pPr>
              <w:autoSpaceDE/>
              <w:autoSpaceDN/>
              <w:adjustRightInd/>
              <w:spacing w:line="230" w:lineRule="auto"/>
              <w:jc w:val="center"/>
              <w:rPr>
                <w:rFonts w:eastAsia="Arial"/>
                <w:sz w:val="20"/>
                <w:szCs w:val="20"/>
              </w:rPr>
            </w:pPr>
            <w:r w:rsidRPr="007C51D6">
              <w:rPr>
                <w:rFonts w:eastAsia="Arial"/>
                <w:sz w:val="20"/>
                <w:szCs w:val="20"/>
              </w:rPr>
              <w:t>25,4</w:t>
            </w:r>
          </w:p>
        </w:tc>
        <w:tc>
          <w:tcPr>
            <w:tcW w:w="1212" w:type="dxa"/>
          </w:tcPr>
          <w:p w:rsidR="002341A0" w:rsidRPr="007C51D6" w:rsidRDefault="002341A0" w:rsidP="002341A0">
            <w:pPr>
              <w:autoSpaceDE/>
              <w:autoSpaceDN/>
              <w:adjustRightInd/>
              <w:spacing w:line="230" w:lineRule="auto"/>
              <w:jc w:val="center"/>
              <w:rPr>
                <w:rFonts w:eastAsia="Arial"/>
                <w:sz w:val="20"/>
                <w:szCs w:val="20"/>
              </w:rPr>
            </w:pPr>
            <w:r w:rsidRPr="007C51D6">
              <w:rPr>
                <w:rFonts w:eastAsia="Arial"/>
                <w:sz w:val="20"/>
                <w:szCs w:val="20"/>
              </w:rPr>
              <w:t>26,3</w:t>
            </w:r>
          </w:p>
        </w:tc>
        <w:tc>
          <w:tcPr>
            <w:tcW w:w="1212" w:type="dxa"/>
          </w:tcPr>
          <w:p w:rsidR="002341A0" w:rsidRPr="007C51D6" w:rsidRDefault="002341A0" w:rsidP="002341A0">
            <w:pPr>
              <w:autoSpaceDE/>
              <w:autoSpaceDN/>
              <w:adjustRightInd/>
              <w:spacing w:line="230" w:lineRule="auto"/>
              <w:jc w:val="center"/>
              <w:rPr>
                <w:rFonts w:eastAsia="Arial"/>
                <w:sz w:val="20"/>
                <w:szCs w:val="20"/>
              </w:rPr>
            </w:pPr>
            <w:r w:rsidRPr="007C51D6">
              <w:rPr>
                <w:rFonts w:eastAsia="Arial"/>
                <w:sz w:val="20"/>
                <w:szCs w:val="20"/>
              </w:rPr>
              <w:t>28,7</w:t>
            </w:r>
          </w:p>
        </w:tc>
        <w:tc>
          <w:tcPr>
            <w:tcW w:w="1212" w:type="dxa"/>
          </w:tcPr>
          <w:p w:rsidR="002341A0" w:rsidRPr="007C51D6" w:rsidRDefault="002341A0" w:rsidP="002341A0">
            <w:pPr>
              <w:autoSpaceDE/>
              <w:autoSpaceDN/>
              <w:adjustRightInd/>
              <w:spacing w:line="230" w:lineRule="auto"/>
              <w:jc w:val="center"/>
              <w:rPr>
                <w:rFonts w:eastAsia="Arial"/>
                <w:sz w:val="20"/>
                <w:szCs w:val="20"/>
              </w:rPr>
            </w:pPr>
            <w:r w:rsidRPr="007C51D6">
              <w:rPr>
                <w:rFonts w:eastAsia="Arial"/>
                <w:sz w:val="20"/>
                <w:szCs w:val="20"/>
              </w:rPr>
              <w:t>28,4</w:t>
            </w:r>
          </w:p>
        </w:tc>
        <w:tc>
          <w:tcPr>
            <w:tcW w:w="1212" w:type="dxa"/>
            <w:vAlign w:val="bottom"/>
          </w:tcPr>
          <w:p w:rsidR="002341A0" w:rsidRPr="007C51D6" w:rsidRDefault="002341A0" w:rsidP="002341A0">
            <w:pPr>
              <w:jc w:val="center"/>
              <w:rPr>
                <w:color w:val="000000"/>
                <w:sz w:val="20"/>
                <w:szCs w:val="20"/>
              </w:rPr>
            </w:pPr>
            <w:r w:rsidRPr="007C51D6">
              <w:rPr>
                <w:color w:val="000000"/>
                <w:sz w:val="20"/>
                <w:szCs w:val="20"/>
              </w:rPr>
              <w:t>28,1</w:t>
            </w:r>
          </w:p>
        </w:tc>
      </w:tr>
      <w:tr w:rsidR="002341A0" w:rsidRPr="007C51D6" w:rsidTr="0038114E">
        <w:trPr>
          <w:trHeight w:val="20"/>
        </w:trPr>
        <w:tc>
          <w:tcPr>
            <w:tcW w:w="1838" w:type="dxa"/>
            <w:vMerge/>
          </w:tcPr>
          <w:p w:rsidR="002341A0" w:rsidRPr="007C51D6" w:rsidRDefault="002341A0" w:rsidP="002341A0">
            <w:pPr>
              <w:spacing w:line="230" w:lineRule="auto"/>
              <w:jc w:val="both"/>
              <w:rPr>
                <w:rFonts w:eastAsia="Arial"/>
                <w:sz w:val="20"/>
                <w:szCs w:val="20"/>
                <w:lang w:val="en-US"/>
              </w:rPr>
            </w:pPr>
          </w:p>
        </w:tc>
        <w:tc>
          <w:tcPr>
            <w:tcW w:w="1276" w:type="dxa"/>
          </w:tcPr>
          <w:p w:rsidR="002341A0" w:rsidRPr="007C51D6" w:rsidRDefault="002341A0" w:rsidP="002341A0">
            <w:pPr>
              <w:spacing w:line="230" w:lineRule="auto"/>
              <w:jc w:val="both"/>
            </w:pPr>
            <w:r w:rsidRPr="007C51D6">
              <w:rPr>
                <w:rFonts w:eastAsia="Arial"/>
                <w:sz w:val="20"/>
                <w:szCs w:val="20"/>
                <w:lang w:val="en-US"/>
              </w:rPr>
              <w:t>IV</w:t>
            </w:r>
            <w:r w:rsidRPr="007C51D6">
              <w:rPr>
                <w:rFonts w:eastAsia="Arial"/>
                <w:sz w:val="20"/>
                <w:szCs w:val="20"/>
              </w:rPr>
              <w:t xml:space="preserve"> стадия</w:t>
            </w:r>
          </w:p>
        </w:tc>
        <w:tc>
          <w:tcPr>
            <w:tcW w:w="1210" w:type="dxa"/>
          </w:tcPr>
          <w:p w:rsidR="002341A0" w:rsidRPr="007C51D6" w:rsidRDefault="002341A0" w:rsidP="002341A0">
            <w:pPr>
              <w:autoSpaceDE/>
              <w:autoSpaceDN/>
              <w:adjustRightInd/>
              <w:spacing w:line="230" w:lineRule="auto"/>
              <w:jc w:val="center"/>
              <w:rPr>
                <w:rFonts w:eastAsia="Arial"/>
                <w:sz w:val="20"/>
                <w:szCs w:val="20"/>
              </w:rPr>
            </w:pPr>
            <w:r w:rsidRPr="007C51D6">
              <w:rPr>
                <w:rFonts w:eastAsia="Arial"/>
                <w:sz w:val="20"/>
                <w:szCs w:val="20"/>
              </w:rPr>
              <w:t>21,3</w:t>
            </w:r>
          </w:p>
        </w:tc>
        <w:tc>
          <w:tcPr>
            <w:tcW w:w="1211" w:type="dxa"/>
          </w:tcPr>
          <w:p w:rsidR="002341A0" w:rsidRPr="007C51D6" w:rsidRDefault="002341A0" w:rsidP="002341A0">
            <w:pPr>
              <w:autoSpaceDE/>
              <w:autoSpaceDN/>
              <w:adjustRightInd/>
              <w:spacing w:line="230" w:lineRule="auto"/>
              <w:jc w:val="center"/>
              <w:rPr>
                <w:rFonts w:eastAsia="Arial"/>
                <w:sz w:val="20"/>
                <w:szCs w:val="20"/>
              </w:rPr>
            </w:pPr>
            <w:r w:rsidRPr="007C51D6">
              <w:rPr>
                <w:rFonts w:eastAsia="Arial"/>
                <w:sz w:val="20"/>
                <w:szCs w:val="20"/>
              </w:rPr>
              <w:t>18,1</w:t>
            </w:r>
          </w:p>
        </w:tc>
        <w:tc>
          <w:tcPr>
            <w:tcW w:w="1212" w:type="dxa"/>
          </w:tcPr>
          <w:p w:rsidR="002341A0" w:rsidRPr="007C51D6" w:rsidRDefault="002341A0" w:rsidP="002341A0">
            <w:pPr>
              <w:autoSpaceDE/>
              <w:autoSpaceDN/>
              <w:adjustRightInd/>
              <w:spacing w:line="230" w:lineRule="auto"/>
              <w:jc w:val="center"/>
              <w:rPr>
                <w:rFonts w:eastAsia="Arial"/>
                <w:sz w:val="20"/>
                <w:szCs w:val="20"/>
              </w:rPr>
            </w:pPr>
            <w:r w:rsidRPr="007C51D6">
              <w:rPr>
                <w:rFonts w:eastAsia="Arial"/>
                <w:sz w:val="20"/>
                <w:szCs w:val="20"/>
              </w:rPr>
              <w:t>19,1</w:t>
            </w:r>
          </w:p>
        </w:tc>
        <w:tc>
          <w:tcPr>
            <w:tcW w:w="1212" w:type="dxa"/>
          </w:tcPr>
          <w:p w:rsidR="002341A0" w:rsidRPr="007C51D6" w:rsidRDefault="002341A0" w:rsidP="002341A0">
            <w:pPr>
              <w:autoSpaceDE/>
              <w:autoSpaceDN/>
              <w:adjustRightInd/>
              <w:spacing w:line="230" w:lineRule="auto"/>
              <w:jc w:val="center"/>
              <w:rPr>
                <w:rFonts w:eastAsia="Arial"/>
                <w:sz w:val="20"/>
                <w:szCs w:val="20"/>
              </w:rPr>
            </w:pPr>
            <w:r w:rsidRPr="007C51D6">
              <w:rPr>
                <w:rFonts w:eastAsia="Arial"/>
                <w:sz w:val="20"/>
                <w:szCs w:val="20"/>
              </w:rPr>
              <w:t>16,7</w:t>
            </w:r>
          </w:p>
        </w:tc>
        <w:tc>
          <w:tcPr>
            <w:tcW w:w="1212" w:type="dxa"/>
          </w:tcPr>
          <w:p w:rsidR="002341A0" w:rsidRPr="007C51D6" w:rsidRDefault="002341A0" w:rsidP="002341A0">
            <w:pPr>
              <w:autoSpaceDE/>
              <w:autoSpaceDN/>
              <w:adjustRightInd/>
              <w:spacing w:line="230" w:lineRule="auto"/>
              <w:jc w:val="center"/>
              <w:rPr>
                <w:rFonts w:eastAsia="Arial"/>
                <w:sz w:val="20"/>
                <w:szCs w:val="20"/>
              </w:rPr>
            </w:pPr>
            <w:r w:rsidRPr="007C51D6">
              <w:rPr>
                <w:rFonts w:eastAsia="Arial"/>
                <w:sz w:val="20"/>
                <w:szCs w:val="20"/>
              </w:rPr>
              <w:t>18,4</w:t>
            </w:r>
          </w:p>
        </w:tc>
        <w:tc>
          <w:tcPr>
            <w:tcW w:w="1212" w:type="dxa"/>
          </w:tcPr>
          <w:p w:rsidR="002341A0" w:rsidRPr="007C51D6" w:rsidRDefault="002341A0" w:rsidP="002341A0">
            <w:pPr>
              <w:autoSpaceDE/>
              <w:autoSpaceDN/>
              <w:adjustRightInd/>
              <w:spacing w:line="230" w:lineRule="auto"/>
              <w:jc w:val="center"/>
              <w:rPr>
                <w:rFonts w:eastAsia="Arial"/>
                <w:sz w:val="20"/>
                <w:szCs w:val="20"/>
              </w:rPr>
            </w:pPr>
            <w:r w:rsidRPr="007C51D6">
              <w:rPr>
                <w:rFonts w:eastAsia="Arial"/>
                <w:sz w:val="20"/>
                <w:szCs w:val="20"/>
              </w:rPr>
              <w:t>18,0</w:t>
            </w:r>
          </w:p>
        </w:tc>
        <w:tc>
          <w:tcPr>
            <w:tcW w:w="1212" w:type="dxa"/>
          </w:tcPr>
          <w:p w:rsidR="002341A0" w:rsidRPr="007C51D6" w:rsidRDefault="002341A0" w:rsidP="002341A0">
            <w:pPr>
              <w:autoSpaceDE/>
              <w:autoSpaceDN/>
              <w:adjustRightInd/>
              <w:spacing w:line="230" w:lineRule="auto"/>
              <w:jc w:val="center"/>
              <w:rPr>
                <w:rFonts w:eastAsia="Arial"/>
                <w:sz w:val="20"/>
                <w:szCs w:val="20"/>
              </w:rPr>
            </w:pPr>
            <w:r w:rsidRPr="007C51D6">
              <w:rPr>
                <w:rFonts w:eastAsia="Arial"/>
                <w:sz w:val="20"/>
                <w:szCs w:val="20"/>
              </w:rPr>
              <w:t>17,3</w:t>
            </w:r>
          </w:p>
        </w:tc>
        <w:tc>
          <w:tcPr>
            <w:tcW w:w="1212" w:type="dxa"/>
          </w:tcPr>
          <w:p w:rsidR="002341A0" w:rsidRPr="007C51D6" w:rsidRDefault="002341A0" w:rsidP="002341A0">
            <w:pPr>
              <w:autoSpaceDE/>
              <w:autoSpaceDN/>
              <w:adjustRightInd/>
              <w:spacing w:line="230" w:lineRule="auto"/>
              <w:jc w:val="center"/>
              <w:rPr>
                <w:rFonts w:eastAsia="Arial"/>
                <w:sz w:val="20"/>
                <w:szCs w:val="20"/>
              </w:rPr>
            </w:pPr>
            <w:r w:rsidRPr="007C51D6">
              <w:rPr>
                <w:rFonts w:eastAsia="Arial"/>
                <w:sz w:val="20"/>
                <w:szCs w:val="20"/>
              </w:rPr>
              <w:t>16,9</w:t>
            </w:r>
          </w:p>
        </w:tc>
        <w:tc>
          <w:tcPr>
            <w:tcW w:w="1212" w:type="dxa"/>
          </w:tcPr>
          <w:p w:rsidR="002341A0" w:rsidRPr="007C51D6" w:rsidRDefault="002341A0" w:rsidP="002341A0">
            <w:pPr>
              <w:autoSpaceDE/>
              <w:autoSpaceDN/>
              <w:adjustRightInd/>
              <w:spacing w:line="230" w:lineRule="auto"/>
              <w:jc w:val="center"/>
              <w:rPr>
                <w:rFonts w:eastAsia="Arial"/>
                <w:sz w:val="20"/>
                <w:szCs w:val="20"/>
              </w:rPr>
            </w:pPr>
            <w:r w:rsidRPr="007C51D6">
              <w:rPr>
                <w:rFonts w:eastAsia="Arial"/>
                <w:sz w:val="20"/>
                <w:szCs w:val="20"/>
              </w:rPr>
              <w:t>14,6</w:t>
            </w:r>
          </w:p>
        </w:tc>
        <w:tc>
          <w:tcPr>
            <w:tcW w:w="1212" w:type="dxa"/>
            <w:vAlign w:val="bottom"/>
          </w:tcPr>
          <w:p w:rsidR="002341A0" w:rsidRPr="007C51D6" w:rsidRDefault="002341A0" w:rsidP="002341A0">
            <w:pPr>
              <w:jc w:val="center"/>
              <w:rPr>
                <w:color w:val="000000"/>
                <w:sz w:val="20"/>
                <w:szCs w:val="20"/>
              </w:rPr>
            </w:pPr>
            <w:r w:rsidRPr="007C51D6">
              <w:rPr>
                <w:color w:val="000000"/>
                <w:sz w:val="20"/>
                <w:szCs w:val="20"/>
              </w:rPr>
              <w:t>13,1</w:t>
            </w:r>
          </w:p>
        </w:tc>
      </w:tr>
      <w:tr w:rsidR="002341A0" w:rsidRPr="007C51D6" w:rsidTr="0038114E">
        <w:trPr>
          <w:trHeight w:val="20"/>
        </w:trPr>
        <w:tc>
          <w:tcPr>
            <w:tcW w:w="1838" w:type="dxa"/>
            <w:vMerge/>
          </w:tcPr>
          <w:p w:rsidR="002341A0" w:rsidRPr="007C51D6" w:rsidRDefault="002341A0" w:rsidP="002341A0">
            <w:pPr>
              <w:autoSpaceDE/>
              <w:autoSpaceDN/>
              <w:adjustRightInd/>
              <w:spacing w:line="230" w:lineRule="auto"/>
              <w:jc w:val="both"/>
              <w:rPr>
                <w:rFonts w:eastAsia="Arial"/>
                <w:sz w:val="20"/>
                <w:szCs w:val="20"/>
              </w:rPr>
            </w:pPr>
          </w:p>
        </w:tc>
        <w:tc>
          <w:tcPr>
            <w:tcW w:w="1276" w:type="dxa"/>
          </w:tcPr>
          <w:p w:rsidR="002341A0" w:rsidRPr="007C51D6" w:rsidRDefault="002341A0" w:rsidP="002341A0">
            <w:pPr>
              <w:autoSpaceDE/>
              <w:autoSpaceDN/>
              <w:adjustRightInd/>
              <w:spacing w:line="230" w:lineRule="auto"/>
              <w:jc w:val="both"/>
              <w:rPr>
                <w:rFonts w:eastAsia="Arial"/>
                <w:sz w:val="20"/>
                <w:szCs w:val="20"/>
              </w:rPr>
            </w:pPr>
            <w:r w:rsidRPr="007C51D6">
              <w:rPr>
                <w:rFonts w:eastAsia="Arial"/>
                <w:sz w:val="20"/>
                <w:szCs w:val="20"/>
              </w:rPr>
              <w:t>без стадии</w:t>
            </w:r>
          </w:p>
        </w:tc>
        <w:tc>
          <w:tcPr>
            <w:tcW w:w="1210" w:type="dxa"/>
          </w:tcPr>
          <w:p w:rsidR="002341A0" w:rsidRPr="007C51D6" w:rsidRDefault="002341A0" w:rsidP="002341A0">
            <w:pPr>
              <w:autoSpaceDE/>
              <w:autoSpaceDN/>
              <w:adjustRightInd/>
              <w:spacing w:line="230" w:lineRule="auto"/>
              <w:jc w:val="center"/>
              <w:rPr>
                <w:rFonts w:eastAsia="Arial"/>
                <w:sz w:val="20"/>
                <w:szCs w:val="20"/>
              </w:rPr>
            </w:pPr>
            <w:r w:rsidRPr="007C51D6">
              <w:rPr>
                <w:rFonts w:eastAsia="Arial"/>
                <w:sz w:val="20"/>
                <w:szCs w:val="20"/>
              </w:rPr>
              <w:t>0,1</w:t>
            </w:r>
          </w:p>
        </w:tc>
        <w:tc>
          <w:tcPr>
            <w:tcW w:w="1211" w:type="dxa"/>
          </w:tcPr>
          <w:p w:rsidR="002341A0" w:rsidRPr="007C51D6" w:rsidRDefault="002341A0" w:rsidP="002341A0">
            <w:pPr>
              <w:autoSpaceDE/>
              <w:autoSpaceDN/>
              <w:adjustRightInd/>
              <w:spacing w:line="230" w:lineRule="auto"/>
              <w:jc w:val="center"/>
              <w:rPr>
                <w:rFonts w:eastAsia="Arial"/>
                <w:sz w:val="20"/>
                <w:szCs w:val="20"/>
              </w:rPr>
            </w:pPr>
            <w:r w:rsidRPr="007C51D6">
              <w:rPr>
                <w:rFonts w:eastAsia="Arial"/>
                <w:sz w:val="20"/>
                <w:szCs w:val="20"/>
              </w:rPr>
              <w:t>0,5</w:t>
            </w:r>
          </w:p>
        </w:tc>
        <w:tc>
          <w:tcPr>
            <w:tcW w:w="1212" w:type="dxa"/>
          </w:tcPr>
          <w:p w:rsidR="002341A0" w:rsidRPr="007C51D6" w:rsidRDefault="002341A0" w:rsidP="002341A0">
            <w:pPr>
              <w:autoSpaceDE/>
              <w:autoSpaceDN/>
              <w:adjustRightInd/>
              <w:spacing w:line="230" w:lineRule="auto"/>
              <w:jc w:val="center"/>
              <w:rPr>
                <w:rFonts w:eastAsia="Arial"/>
                <w:sz w:val="20"/>
                <w:szCs w:val="20"/>
              </w:rPr>
            </w:pPr>
            <w:r w:rsidRPr="007C51D6">
              <w:rPr>
                <w:rFonts w:eastAsia="Arial"/>
                <w:sz w:val="20"/>
                <w:szCs w:val="20"/>
              </w:rPr>
              <w:t>0</w:t>
            </w:r>
          </w:p>
        </w:tc>
        <w:tc>
          <w:tcPr>
            <w:tcW w:w="1212" w:type="dxa"/>
          </w:tcPr>
          <w:p w:rsidR="002341A0" w:rsidRPr="007C51D6" w:rsidRDefault="002341A0" w:rsidP="002341A0">
            <w:pPr>
              <w:autoSpaceDE/>
              <w:autoSpaceDN/>
              <w:adjustRightInd/>
              <w:spacing w:line="230" w:lineRule="auto"/>
              <w:jc w:val="center"/>
              <w:rPr>
                <w:rFonts w:eastAsia="Arial"/>
                <w:sz w:val="20"/>
                <w:szCs w:val="20"/>
              </w:rPr>
            </w:pPr>
            <w:r w:rsidRPr="007C51D6">
              <w:rPr>
                <w:rFonts w:eastAsia="Arial"/>
                <w:sz w:val="20"/>
                <w:szCs w:val="20"/>
              </w:rPr>
              <w:t>0</w:t>
            </w:r>
          </w:p>
        </w:tc>
        <w:tc>
          <w:tcPr>
            <w:tcW w:w="1212" w:type="dxa"/>
          </w:tcPr>
          <w:p w:rsidR="002341A0" w:rsidRPr="007C51D6" w:rsidRDefault="002341A0" w:rsidP="002341A0">
            <w:pPr>
              <w:autoSpaceDE/>
              <w:autoSpaceDN/>
              <w:adjustRightInd/>
              <w:spacing w:line="230" w:lineRule="auto"/>
              <w:jc w:val="center"/>
              <w:rPr>
                <w:rFonts w:eastAsia="Arial"/>
                <w:sz w:val="20"/>
                <w:szCs w:val="20"/>
              </w:rPr>
            </w:pPr>
            <w:r w:rsidRPr="007C51D6">
              <w:rPr>
                <w:rFonts w:eastAsia="Arial"/>
                <w:sz w:val="20"/>
                <w:szCs w:val="20"/>
              </w:rPr>
              <w:t>0</w:t>
            </w:r>
          </w:p>
        </w:tc>
        <w:tc>
          <w:tcPr>
            <w:tcW w:w="1212" w:type="dxa"/>
          </w:tcPr>
          <w:p w:rsidR="002341A0" w:rsidRPr="007C51D6" w:rsidRDefault="002341A0" w:rsidP="002341A0">
            <w:pPr>
              <w:autoSpaceDE/>
              <w:autoSpaceDN/>
              <w:adjustRightInd/>
              <w:spacing w:line="230" w:lineRule="auto"/>
              <w:jc w:val="center"/>
              <w:rPr>
                <w:rFonts w:eastAsia="Arial"/>
                <w:sz w:val="20"/>
                <w:szCs w:val="20"/>
              </w:rPr>
            </w:pPr>
            <w:r w:rsidRPr="007C51D6">
              <w:rPr>
                <w:rFonts w:eastAsia="Arial"/>
                <w:sz w:val="20"/>
                <w:szCs w:val="20"/>
              </w:rPr>
              <w:t>0,3</w:t>
            </w:r>
          </w:p>
        </w:tc>
        <w:tc>
          <w:tcPr>
            <w:tcW w:w="1212" w:type="dxa"/>
          </w:tcPr>
          <w:p w:rsidR="002341A0" w:rsidRPr="007C51D6" w:rsidRDefault="002341A0" w:rsidP="002341A0">
            <w:pPr>
              <w:autoSpaceDE/>
              <w:autoSpaceDN/>
              <w:adjustRightInd/>
              <w:spacing w:line="230" w:lineRule="auto"/>
              <w:jc w:val="center"/>
              <w:rPr>
                <w:rFonts w:eastAsia="Arial"/>
                <w:sz w:val="20"/>
                <w:szCs w:val="20"/>
              </w:rPr>
            </w:pPr>
            <w:r w:rsidRPr="007C51D6">
              <w:rPr>
                <w:rFonts w:eastAsia="Arial"/>
                <w:sz w:val="20"/>
                <w:szCs w:val="20"/>
              </w:rPr>
              <w:t>0</w:t>
            </w:r>
          </w:p>
        </w:tc>
        <w:tc>
          <w:tcPr>
            <w:tcW w:w="1212" w:type="dxa"/>
          </w:tcPr>
          <w:p w:rsidR="002341A0" w:rsidRPr="007C51D6" w:rsidRDefault="002341A0" w:rsidP="002341A0">
            <w:pPr>
              <w:autoSpaceDE/>
              <w:autoSpaceDN/>
              <w:adjustRightInd/>
              <w:spacing w:line="230" w:lineRule="auto"/>
              <w:jc w:val="center"/>
              <w:rPr>
                <w:rFonts w:eastAsia="Arial"/>
                <w:sz w:val="20"/>
                <w:szCs w:val="20"/>
              </w:rPr>
            </w:pPr>
            <w:r w:rsidRPr="007C51D6">
              <w:rPr>
                <w:rFonts w:eastAsia="Arial"/>
                <w:sz w:val="20"/>
                <w:szCs w:val="20"/>
              </w:rPr>
              <w:t>0</w:t>
            </w:r>
          </w:p>
        </w:tc>
        <w:tc>
          <w:tcPr>
            <w:tcW w:w="1212" w:type="dxa"/>
          </w:tcPr>
          <w:p w:rsidR="002341A0" w:rsidRPr="007C51D6" w:rsidRDefault="002341A0" w:rsidP="002341A0">
            <w:pPr>
              <w:autoSpaceDE/>
              <w:autoSpaceDN/>
              <w:adjustRightInd/>
              <w:spacing w:line="230" w:lineRule="auto"/>
              <w:jc w:val="center"/>
              <w:rPr>
                <w:rFonts w:eastAsia="Arial"/>
                <w:sz w:val="20"/>
                <w:szCs w:val="20"/>
              </w:rPr>
            </w:pPr>
            <w:r w:rsidRPr="007C51D6">
              <w:rPr>
                <w:rFonts w:eastAsia="Arial"/>
                <w:sz w:val="20"/>
                <w:szCs w:val="20"/>
              </w:rPr>
              <w:t>0</w:t>
            </w:r>
          </w:p>
        </w:tc>
        <w:tc>
          <w:tcPr>
            <w:tcW w:w="1212" w:type="dxa"/>
            <w:vAlign w:val="bottom"/>
          </w:tcPr>
          <w:p w:rsidR="002341A0" w:rsidRPr="007C51D6" w:rsidRDefault="002341A0" w:rsidP="002341A0">
            <w:pPr>
              <w:jc w:val="center"/>
              <w:rPr>
                <w:color w:val="000000"/>
                <w:sz w:val="20"/>
                <w:szCs w:val="20"/>
              </w:rPr>
            </w:pPr>
            <w:r w:rsidRPr="007C51D6">
              <w:rPr>
                <w:color w:val="000000"/>
                <w:sz w:val="20"/>
                <w:szCs w:val="20"/>
              </w:rPr>
              <w:t>0,2</w:t>
            </w:r>
          </w:p>
        </w:tc>
      </w:tr>
      <w:tr w:rsidR="002341A0" w:rsidRPr="007C51D6" w:rsidTr="0038114E">
        <w:trPr>
          <w:trHeight w:val="20"/>
        </w:trPr>
        <w:tc>
          <w:tcPr>
            <w:tcW w:w="1838" w:type="dxa"/>
            <w:vMerge w:val="restart"/>
          </w:tcPr>
          <w:p w:rsidR="002341A0" w:rsidRPr="007C51D6" w:rsidRDefault="002341A0" w:rsidP="002341A0">
            <w:pPr>
              <w:spacing w:line="230" w:lineRule="auto"/>
              <w:jc w:val="both"/>
              <w:rPr>
                <w:rFonts w:eastAsia="Arial"/>
                <w:sz w:val="20"/>
                <w:szCs w:val="20"/>
              </w:rPr>
            </w:pPr>
            <w:r w:rsidRPr="007C51D6">
              <w:rPr>
                <w:rFonts w:eastAsia="Arial"/>
                <w:sz w:val="20"/>
                <w:szCs w:val="22"/>
              </w:rPr>
              <w:t>ЗНО тела матки</w:t>
            </w:r>
            <w:r w:rsidRPr="007C51D6">
              <w:rPr>
                <w:rFonts w:eastAsia="Arial"/>
                <w:sz w:val="20"/>
                <w:szCs w:val="20"/>
              </w:rPr>
              <w:t xml:space="preserve"> (С54)</w:t>
            </w:r>
          </w:p>
        </w:tc>
        <w:tc>
          <w:tcPr>
            <w:tcW w:w="1276" w:type="dxa"/>
          </w:tcPr>
          <w:p w:rsidR="002341A0" w:rsidRPr="007C51D6" w:rsidRDefault="002341A0" w:rsidP="002341A0">
            <w:pPr>
              <w:autoSpaceDE/>
              <w:autoSpaceDN/>
              <w:adjustRightInd/>
              <w:spacing w:line="230" w:lineRule="auto"/>
              <w:jc w:val="both"/>
              <w:rPr>
                <w:rFonts w:eastAsia="Arial"/>
                <w:sz w:val="20"/>
                <w:szCs w:val="20"/>
              </w:rPr>
            </w:pPr>
            <w:r w:rsidRPr="007C51D6">
              <w:rPr>
                <w:rFonts w:eastAsia="Arial"/>
                <w:sz w:val="20"/>
                <w:szCs w:val="20"/>
                <w:lang w:val="en-US"/>
              </w:rPr>
              <w:t>I</w:t>
            </w:r>
            <w:r w:rsidRPr="007C51D6">
              <w:rPr>
                <w:rFonts w:eastAsia="Arial"/>
                <w:sz w:val="20"/>
                <w:szCs w:val="20"/>
              </w:rPr>
              <w:t xml:space="preserve"> стадия</w:t>
            </w:r>
          </w:p>
        </w:tc>
        <w:tc>
          <w:tcPr>
            <w:tcW w:w="1210" w:type="dxa"/>
          </w:tcPr>
          <w:p w:rsidR="002341A0" w:rsidRPr="007C51D6" w:rsidRDefault="002341A0" w:rsidP="002341A0">
            <w:pPr>
              <w:autoSpaceDE/>
              <w:autoSpaceDN/>
              <w:adjustRightInd/>
              <w:spacing w:line="230" w:lineRule="auto"/>
              <w:jc w:val="center"/>
              <w:rPr>
                <w:rFonts w:eastAsia="Arial"/>
                <w:sz w:val="20"/>
                <w:szCs w:val="20"/>
              </w:rPr>
            </w:pPr>
            <w:r w:rsidRPr="007C51D6">
              <w:rPr>
                <w:rFonts w:eastAsia="Arial"/>
                <w:sz w:val="20"/>
                <w:szCs w:val="20"/>
              </w:rPr>
              <w:t>68,9</w:t>
            </w:r>
          </w:p>
        </w:tc>
        <w:tc>
          <w:tcPr>
            <w:tcW w:w="1211" w:type="dxa"/>
          </w:tcPr>
          <w:p w:rsidR="002341A0" w:rsidRPr="007C51D6" w:rsidRDefault="002341A0" w:rsidP="002341A0">
            <w:pPr>
              <w:autoSpaceDE/>
              <w:autoSpaceDN/>
              <w:adjustRightInd/>
              <w:spacing w:line="230" w:lineRule="auto"/>
              <w:jc w:val="center"/>
              <w:rPr>
                <w:rFonts w:eastAsia="Arial"/>
                <w:sz w:val="20"/>
                <w:szCs w:val="20"/>
              </w:rPr>
            </w:pPr>
            <w:r w:rsidRPr="007C51D6">
              <w:rPr>
                <w:rFonts w:eastAsia="Arial"/>
                <w:sz w:val="20"/>
                <w:szCs w:val="20"/>
              </w:rPr>
              <w:t>66,0</w:t>
            </w:r>
          </w:p>
        </w:tc>
        <w:tc>
          <w:tcPr>
            <w:tcW w:w="1212" w:type="dxa"/>
          </w:tcPr>
          <w:p w:rsidR="002341A0" w:rsidRPr="007C51D6" w:rsidRDefault="002341A0" w:rsidP="002341A0">
            <w:pPr>
              <w:autoSpaceDE/>
              <w:autoSpaceDN/>
              <w:adjustRightInd/>
              <w:spacing w:line="230" w:lineRule="auto"/>
              <w:jc w:val="center"/>
              <w:rPr>
                <w:rFonts w:eastAsia="Arial"/>
                <w:sz w:val="20"/>
                <w:szCs w:val="20"/>
              </w:rPr>
            </w:pPr>
            <w:r w:rsidRPr="007C51D6">
              <w:rPr>
                <w:rFonts w:eastAsia="Arial"/>
                <w:sz w:val="20"/>
                <w:szCs w:val="20"/>
              </w:rPr>
              <w:t>67,0</w:t>
            </w:r>
          </w:p>
        </w:tc>
        <w:tc>
          <w:tcPr>
            <w:tcW w:w="1212" w:type="dxa"/>
          </w:tcPr>
          <w:p w:rsidR="002341A0" w:rsidRPr="007C51D6" w:rsidRDefault="002341A0" w:rsidP="002341A0">
            <w:pPr>
              <w:autoSpaceDE/>
              <w:autoSpaceDN/>
              <w:adjustRightInd/>
              <w:spacing w:line="230" w:lineRule="auto"/>
              <w:jc w:val="center"/>
              <w:rPr>
                <w:rFonts w:eastAsia="Arial"/>
                <w:sz w:val="20"/>
                <w:szCs w:val="20"/>
              </w:rPr>
            </w:pPr>
            <w:r w:rsidRPr="007C51D6">
              <w:rPr>
                <w:rFonts w:eastAsia="Arial"/>
                <w:sz w:val="20"/>
                <w:szCs w:val="20"/>
              </w:rPr>
              <w:t>67,8</w:t>
            </w:r>
          </w:p>
        </w:tc>
        <w:tc>
          <w:tcPr>
            <w:tcW w:w="1212" w:type="dxa"/>
          </w:tcPr>
          <w:p w:rsidR="002341A0" w:rsidRPr="007C51D6" w:rsidRDefault="002341A0" w:rsidP="002341A0">
            <w:pPr>
              <w:autoSpaceDE/>
              <w:autoSpaceDN/>
              <w:adjustRightInd/>
              <w:spacing w:line="230" w:lineRule="auto"/>
              <w:jc w:val="center"/>
              <w:rPr>
                <w:rFonts w:eastAsia="Arial"/>
                <w:sz w:val="20"/>
                <w:szCs w:val="20"/>
              </w:rPr>
            </w:pPr>
            <w:r w:rsidRPr="007C51D6">
              <w:rPr>
                <w:rFonts w:eastAsia="Arial"/>
                <w:sz w:val="20"/>
                <w:szCs w:val="20"/>
              </w:rPr>
              <w:t>70,3</w:t>
            </w:r>
          </w:p>
        </w:tc>
        <w:tc>
          <w:tcPr>
            <w:tcW w:w="1212" w:type="dxa"/>
          </w:tcPr>
          <w:p w:rsidR="002341A0" w:rsidRPr="007C51D6" w:rsidRDefault="002341A0" w:rsidP="002341A0">
            <w:pPr>
              <w:autoSpaceDE/>
              <w:autoSpaceDN/>
              <w:adjustRightInd/>
              <w:spacing w:line="230" w:lineRule="auto"/>
              <w:jc w:val="center"/>
              <w:rPr>
                <w:rFonts w:eastAsia="Arial"/>
                <w:sz w:val="20"/>
                <w:szCs w:val="20"/>
              </w:rPr>
            </w:pPr>
            <w:r w:rsidRPr="007C51D6">
              <w:rPr>
                <w:rFonts w:eastAsia="Arial"/>
                <w:sz w:val="20"/>
                <w:szCs w:val="20"/>
              </w:rPr>
              <w:t>70,8</w:t>
            </w:r>
          </w:p>
        </w:tc>
        <w:tc>
          <w:tcPr>
            <w:tcW w:w="1212" w:type="dxa"/>
          </w:tcPr>
          <w:p w:rsidR="002341A0" w:rsidRPr="007C51D6" w:rsidRDefault="002341A0" w:rsidP="002341A0">
            <w:pPr>
              <w:autoSpaceDE/>
              <w:autoSpaceDN/>
              <w:adjustRightInd/>
              <w:spacing w:line="230" w:lineRule="auto"/>
              <w:jc w:val="center"/>
              <w:rPr>
                <w:rFonts w:eastAsia="Arial"/>
                <w:sz w:val="20"/>
                <w:szCs w:val="20"/>
              </w:rPr>
            </w:pPr>
            <w:r w:rsidRPr="007C51D6">
              <w:rPr>
                <w:rFonts w:eastAsia="Arial"/>
                <w:sz w:val="20"/>
                <w:szCs w:val="20"/>
              </w:rPr>
              <w:t>75,0</w:t>
            </w:r>
          </w:p>
        </w:tc>
        <w:tc>
          <w:tcPr>
            <w:tcW w:w="1212" w:type="dxa"/>
          </w:tcPr>
          <w:p w:rsidR="002341A0" w:rsidRPr="007C51D6" w:rsidRDefault="002341A0" w:rsidP="002341A0">
            <w:pPr>
              <w:autoSpaceDE/>
              <w:autoSpaceDN/>
              <w:adjustRightInd/>
              <w:spacing w:line="230" w:lineRule="auto"/>
              <w:jc w:val="center"/>
              <w:rPr>
                <w:rFonts w:eastAsia="Arial"/>
                <w:sz w:val="20"/>
                <w:szCs w:val="20"/>
              </w:rPr>
            </w:pPr>
            <w:r w:rsidRPr="007C51D6">
              <w:rPr>
                <w:rFonts w:eastAsia="Arial"/>
                <w:sz w:val="20"/>
                <w:szCs w:val="20"/>
              </w:rPr>
              <w:t>78,7</w:t>
            </w:r>
          </w:p>
        </w:tc>
        <w:tc>
          <w:tcPr>
            <w:tcW w:w="1212" w:type="dxa"/>
          </w:tcPr>
          <w:p w:rsidR="002341A0" w:rsidRPr="007C51D6" w:rsidRDefault="002341A0" w:rsidP="002341A0">
            <w:pPr>
              <w:autoSpaceDE/>
              <w:autoSpaceDN/>
              <w:adjustRightInd/>
              <w:spacing w:line="230" w:lineRule="auto"/>
              <w:jc w:val="center"/>
              <w:rPr>
                <w:rFonts w:eastAsia="Arial"/>
                <w:sz w:val="20"/>
                <w:szCs w:val="20"/>
              </w:rPr>
            </w:pPr>
            <w:r w:rsidRPr="007C51D6">
              <w:rPr>
                <w:rFonts w:eastAsia="Arial"/>
                <w:sz w:val="20"/>
                <w:szCs w:val="20"/>
              </w:rPr>
              <w:t>76,8</w:t>
            </w:r>
          </w:p>
        </w:tc>
        <w:tc>
          <w:tcPr>
            <w:tcW w:w="1212" w:type="dxa"/>
            <w:vAlign w:val="bottom"/>
          </w:tcPr>
          <w:p w:rsidR="002341A0" w:rsidRPr="007C51D6" w:rsidRDefault="002341A0" w:rsidP="002341A0">
            <w:pPr>
              <w:widowControl/>
              <w:autoSpaceDE/>
              <w:autoSpaceDN/>
              <w:adjustRightInd/>
              <w:jc w:val="center"/>
              <w:rPr>
                <w:color w:val="000000"/>
                <w:sz w:val="20"/>
                <w:szCs w:val="20"/>
              </w:rPr>
            </w:pPr>
            <w:r w:rsidRPr="007C51D6">
              <w:rPr>
                <w:color w:val="000000"/>
                <w:sz w:val="20"/>
                <w:szCs w:val="20"/>
              </w:rPr>
              <w:t>70,9</w:t>
            </w:r>
          </w:p>
        </w:tc>
      </w:tr>
      <w:tr w:rsidR="002341A0" w:rsidRPr="007C51D6" w:rsidTr="0038114E">
        <w:trPr>
          <w:trHeight w:val="20"/>
        </w:trPr>
        <w:tc>
          <w:tcPr>
            <w:tcW w:w="1838" w:type="dxa"/>
            <w:vMerge/>
          </w:tcPr>
          <w:p w:rsidR="002341A0" w:rsidRPr="007C51D6" w:rsidRDefault="002341A0" w:rsidP="002341A0">
            <w:pPr>
              <w:spacing w:line="230" w:lineRule="auto"/>
              <w:jc w:val="both"/>
              <w:rPr>
                <w:rFonts w:eastAsia="Arial"/>
                <w:sz w:val="20"/>
                <w:szCs w:val="20"/>
                <w:lang w:val="en-US"/>
              </w:rPr>
            </w:pPr>
          </w:p>
        </w:tc>
        <w:tc>
          <w:tcPr>
            <w:tcW w:w="1276" w:type="dxa"/>
          </w:tcPr>
          <w:p w:rsidR="002341A0" w:rsidRPr="007C51D6" w:rsidRDefault="002341A0" w:rsidP="002341A0">
            <w:pPr>
              <w:spacing w:line="230" w:lineRule="auto"/>
              <w:jc w:val="both"/>
              <w:rPr>
                <w:rFonts w:eastAsia="Arial"/>
                <w:sz w:val="20"/>
                <w:szCs w:val="20"/>
                <w:lang w:val="en-US"/>
              </w:rPr>
            </w:pPr>
            <w:r w:rsidRPr="007C51D6">
              <w:rPr>
                <w:rFonts w:eastAsia="Arial"/>
                <w:sz w:val="20"/>
                <w:szCs w:val="20"/>
                <w:lang w:val="en-US"/>
              </w:rPr>
              <w:t>II</w:t>
            </w:r>
            <w:r w:rsidRPr="007C51D6">
              <w:rPr>
                <w:rFonts w:eastAsia="Arial"/>
                <w:sz w:val="20"/>
                <w:szCs w:val="20"/>
              </w:rPr>
              <w:t xml:space="preserve"> стадия</w:t>
            </w:r>
          </w:p>
        </w:tc>
        <w:tc>
          <w:tcPr>
            <w:tcW w:w="1210" w:type="dxa"/>
          </w:tcPr>
          <w:p w:rsidR="002341A0" w:rsidRPr="007C51D6" w:rsidRDefault="002341A0" w:rsidP="002341A0">
            <w:pPr>
              <w:autoSpaceDE/>
              <w:autoSpaceDN/>
              <w:adjustRightInd/>
              <w:spacing w:line="230" w:lineRule="auto"/>
              <w:jc w:val="center"/>
              <w:rPr>
                <w:rFonts w:eastAsia="Arial"/>
                <w:sz w:val="20"/>
                <w:szCs w:val="20"/>
              </w:rPr>
            </w:pPr>
            <w:r w:rsidRPr="007C51D6">
              <w:rPr>
                <w:rFonts w:eastAsia="Arial"/>
                <w:sz w:val="20"/>
                <w:szCs w:val="20"/>
              </w:rPr>
              <w:t>16,6</w:t>
            </w:r>
          </w:p>
        </w:tc>
        <w:tc>
          <w:tcPr>
            <w:tcW w:w="1211" w:type="dxa"/>
          </w:tcPr>
          <w:p w:rsidR="002341A0" w:rsidRPr="007C51D6" w:rsidRDefault="002341A0" w:rsidP="002341A0">
            <w:pPr>
              <w:autoSpaceDE/>
              <w:autoSpaceDN/>
              <w:adjustRightInd/>
              <w:spacing w:line="230" w:lineRule="auto"/>
              <w:jc w:val="center"/>
              <w:rPr>
                <w:rFonts w:eastAsia="Arial"/>
                <w:sz w:val="20"/>
                <w:szCs w:val="20"/>
              </w:rPr>
            </w:pPr>
            <w:r w:rsidRPr="007C51D6">
              <w:rPr>
                <w:rFonts w:eastAsia="Arial"/>
                <w:sz w:val="20"/>
                <w:szCs w:val="20"/>
              </w:rPr>
              <w:t>18,7</w:t>
            </w:r>
          </w:p>
        </w:tc>
        <w:tc>
          <w:tcPr>
            <w:tcW w:w="1212" w:type="dxa"/>
          </w:tcPr>
          <w:p w:rsidR="002341A0" w:rsidRPr="007C51D6" w:rsidRDefault="002341A0" w:rsidP="002341A0">
            <w:pPr>
              <w:autoSpaceDE/>
              <w:autoSpaceDN/>
              <w:adjustRightInd/>
              <w:spacing w:line="230" w:lineRule="auto"/>
              <w:jc w:val="center"/>
              <w:rPr>
                <w:rFonts w:eastAsia="Arial"/>
                <w:sz w:val="20"/>
                <w:szCs w:val="20"/>
              </w:rPr>
            </w:pPr>
            <w:r w:rsidRPr="007C51D6">
              <w:rPr>
                <w:rFonts w:eastAsia="Arial"/>
                <w:sz w:val="20"/>
                <w:szCs w:val="20"/>
              </w:rPr>
              <w:t>17,5</w:t>
            </w:r>
          </w:p>
        </w:tc>
        <w:tc>
          <w:tcPr>
            <w:tcW w:w="1212" w:type="dxa"/>
          </w:tcPr>
          <w:p w:rsidR="002341A0" w:rsidRPr="007C51D6" w:rsidRDefault="002341A0" w:rsidP="002341A0">
            <w:pPr>
              <w:autoSpaceDE/>
              <w:autoSpaceDN/>
              <w:adjustRightInd/>
              <w:spacing w:line="230" w:lineRule="auto"/>
              <w:jc w:val="center"/>
              <w:rPr>
                <w:rFonts w:eastAsia="Arial"/>
                <w:sz w:val="20"/>
                <w:szCs w:val="20"/>
              </w:rPr>
            </w:pPr>
            <w:r w:rsidRPr="007C51D6">
              <w:rPr>
                <w:rFonts w:eastAsia="Arial"/>
                <w:sz w:val="20"/>
                <w:szCs w:val="20"/>
              </w:rPr>
              <w:t>14,6</w:t>
            </w:r>
          </w:p>
        </w:tc>
        <w:tc>
          <w:tcPr>
            <w:tcW w:w="1212" w:type="dxa"/>
          </w:tcPr>
          <w:p w:rsidR="002341A0" w:rsidRPr="007C51D6" w:rsidRDefault="002341A0" w:rsidP="002341A0">
            <w:pPr>
              <w:autoSpaceDE/>
              <w:autoSpaceDN/>
              <w:adjustRightInd/>
              <w:spacing w:line="230" w:lineRule="auto"/>
              <w:jc w:val="center"/>
              <w:rPr>
                <w:rFonts w:eastAsia="Arial"/>
                <w:sz w:val="20"/>
                <w:szCs w:val="20"/>
              </w:rPr>
            </w:pPr>
            <w:r w:rsidRPr="007C51D6">
              <w:rPr>
                <w:rFonts w:eastAsia="Arial"/>
                <w:sz w:val="20"/>
                <w:szCs w:val="20"/>
              </w:rPr>
              <w:t>16,0</w:t>
            </w:r>
          </w:p>
        </w:tc>
        <w:tc>
          <w:tcPr>
            <w:tcW w:w="1212" w:type="dxa"/>
          </w:tcPr>
          <w:p w:rsidR="002341A0" w:rsidRPr="007C51D6" w:rsidRDefault="002341A0" w:rsidP="002341A0">
            <w:pPr>
              <w:autoSpaceDE/>
              <w:autoSpaceDN/>
              <w:adjustRightInd/>
              <w:spacing w:line="230" w:lineRule="auto"/>
              <w:jc w:val="center"/>
              <w:rPr>
                <w:rFonts w:eastAsia="Arial"/>
                <w:sz w:val="20"/>
                <w:szCs w:val="20"/>
              </w:rPr>
            </w:pPr>
            <w:r w:rsidRPr="007C51D6">
              <w:rPr>
                <w:rFonts w:eastAsia="Arial"/>
                <w:sz w:val="20"/>
                <w:szCs w:val="20"/>
              </w:rPr>
              <w:t>12,9</w:t>
            </w:r>
          </w:p>
        </w:tc>
        <w:tc>
          <w:tcPr>
            <w:tcW w:w="1212" w:type="dxa"/>
          </w:tcPr>
          <w:p w:rsidR="002341A0" w:rsidRPr="007C51D6" w:rsidRDefault="002341A0" w:rsidP="002341A0">
            <w:pPr>
              <w:autoSpaceDE/>
              <w:autoSpaceDN/>
              <w:adjustRightInd/>
              <w:spacing w:line="230" w:lineRule="auto"/>
              <w:jc w:val="center"/>
              <w:rPr>
                <w:rFonts w:eastAsia="Arial"/>
                <w:sz w:val="20"/>
                <w:szCs w:val="20"/>
              </w:rPr>
            </w:pPr>
            <w:r w:rsidRPr="007C51D6">
              <w:rPr>
                <w:rFonts w:eastAsia="Arial"/>
                <w:sz w:val="20"/>
                <w:szCs w:val="20"/>
              </w:rPr>
              <w:t>12,3</w:t>
            </w:r>
          </w:p>
        </w:tc>
        <w:tc>
          <w:tcPr>
            <w:tcW w:w="1212" w:type="dxa"/>
          </w:tcPr>
          <w:p w:rsidR="002341A0" w:rsidRPr="007C51D6" w:rsidRDefault="002341A0" w:rsidP="002341A0">
            <w:pPr>
              <w:autoSpaceDE/>
              <w:autoSpaceDN/>
              <w:adjustRightInd/>
              <w:spacing w:line="230" w:lineRule="auto"/>
              <w:jc w:val="center"/>
              <w:rPr>
                <w:rFonts w:eastAsia="Arial"/>
                <w:sz w:val="20"/>
                <w:szCs w:val="20"/>
              </w:rPr>
            </w:pPr>
            <w:r w:rsidRPr="007C51D6">
              <w:rPr>
                <w:rFonts w:eastAsia="Arial"/>
                <w:sz w:val="20"/>
                <w:szCs w:val="20"/>
              </w:rPr>
              <w:t>10,2</w:t>
            </w:r>
          </w:p>
        </w:tc>
        <w:tc>
          <w:tcPr>
            <w:tcW w:w="1212" w:type="dxa"/>
          </w:tcPr>
          <w:p w:rsidR="002341A0" w:rsidRPr="007C51D6" w:rsidRDefault="002341A0" w:rsidP="002341A0">
            <w:pPr>
              <w:autoSpaceDE/>
              <w:autoSpaceDN/>
              <w:adjustRightInd/>
              <w:spacing w:line="230" w:lineRule="auto"/>
              <w:jc w:val="center"/>
              <w:rPr>
                <w:rFonts w:eastAsia="Arial"/>
                <w:sz w:val="20"/>
                <w:szCs w:val="20"/>
              </w:rPr>
            </w:pPr>
            <w:r w:rsidRPr="007C51D6">
              <w:rPr>
                <w:rFonts w:eastAsia="Arial"/>
                <w:sz w:val="20"/>
                <w:szCs w:val="20"/>
              </w:rPr>
              <w:t>10,1</w:t>
            </w:r>
          </w:p>
        </w:tc>
        <w:tc>
          <w:tcPr>
            <w:tcW w:w="1212" w:type="dxa"/>
            <w:vAlign w:val="bottom"/>
          </w:tcPr>
          <w:p w:rsidR="002341A0" w:rsidRPr="007C51D6" w:rsidRDefault="002341A0" w:rsidP="002341A0">
            <w:pPr>
              <w:jc w:val="center"/>
              <w:rPr>
                <w:color w:val="000000"/>
                <w:sz w:val="20"/>
                <w:szCs w:val="20"/>
              </w:rPr>
            </w:pPr>
            <w:r w:rsidRPr="007C51D6">
              <w:rPr>
                <w:color w:val="000000"/>
                <w:sz w:val="20"/>
                <w:szCs w:val="20"/>
              </w:rPr>
              <w:t>10,3</w:t>
            </w:r>
          </w:p>
        </w:tc>
      </w:tr>
      <w:tr w:rsidR="002341A0" w:rsidRPr="007C51D6" w:rsidTr="0038114E">
        <w:trPr>
          <w:trHeight w:val="20"/>
        </w:trPr>
        <w:tc>
          <w:tcPr>
            <w:tcW w:w="1838" w:type="dxa"/>
            <w:vMerge/>
          </w:tcPr>
          <w:p w:rsidR="002341A0" w:rsidRPr="007C51D6" w:rsidRDefault="002341A0" w:rsidP="002341A0">
            <w:pPr>
              <w:spacing w:line="230" w:lineRule="auto"/>
              <w:jc w:val="both"/>
              <w:rPr>
                <w:rFonts w:eastAsia="Arial"/>
                <w:sz w:val="20"/>
                <w:szCs w:val="20"/>
                <w:lang w:val="en-US"/>
              </w:rPr>
            </w:pPr>
          </w:p>
        </w:tc>
        <w:tc>
          <w:tcPr>
            <w:tcW w:w="1276" w:type="dxa"/>
          </w:tcPr>
          <w:p w:rsidR="002341A0" w:rsidRPr="007C51D6" w:rsidRDefault="002341A0" w:rsidP="002341A0">
            <w:pPr>
              <w:spacing w:line="230" w:lineRule="auto"/>
              <w:jc w:val="both"/>
              <w:rPr>
                <w:rFonts w:eastAsia="Arial"/>
                <w:sz w:val="20"/>
                <w:szCs w:val="20"/>
                <w:lang w:val="en-US"/>
              </w:rPr>
            </w:pPr>
            <w:r w:rsidRPr="007C51D6">
              <w:rPr>
                <w:rFonts w:eastAsia="Arial"/>
                <w:sz w:val="20"/>
                <w:szCs w:val="20"/>
                <w:lang w:val="en-US"/>
              </w:rPr>
              <w:t>III</w:t>
            </w:r>
            <w:r w:rsidRPr="007C51D6">
              <w:rPr>
                <w:rFonts w:eastAsia="Arial"/>
                <w:sz w:val="20"/>
                <w:szCs w:val="20"/>
              </w:rPr>
              <w:t xml:space="preserve"> стадия</w:t>
            </w:r>
          </w:p>
        </w:tc>
        <w:tc>
          <w:tcPr>
            <w:tcW w:w="1210" w:type="dxa"/>
          </w:tcPr>
          <w:p w:rsidR="002341A0" w:rsidRPr="007C51D6" w:rsidRDefault="002341A0" w:rsidP="002341A0">
            <w:pPr>
              <w:autoSpaceDE/>
              <w:autoSpaceDN/>
              <w:adjustRightInd/>
              <w:spacing w:line="230" w:lineRule="auto"/>
              <w:jc w:val="center"/>
              <w:rPr>
                <w:rFonts w:eastAsia="Arial"/>
                <w:sz w:val="20"/>
                <w:szCs w:val="20"/>
              </w:rPr>
            </w:pPr>
            <w:r w:rsidRPr="007C51D6">
              <w:rPr>
                <w:rFonts w:eastAsia="Arial"/>
                <w:sz w:val="20"/>
                <w:szCs w:val="20"/>
              </w:rPr>
              <w:t>9,4</w:t>
            </w:r>
          </w:p>
        </w:tc>
        <w:tc>
          <w:tcPr>
            <w:tcW w:w="1211" w:type="dxa"/>
          </w:tcPr>
          <w:p w:rsidR="002341A0" w:rsidRPr="007C51D6" w:rsidRDefault="002341A0" w:rsidP="002341A0">
            <w:pPr>
              <w:autoSpaceDE/>
              <w:autoSpaceDN/>
              <w:adjustRightInd/>
              <w:spacing w:line="230" w:lineRule="auto"/>
              <w:jc w:val="center"/>
              <w:rPr>
                <w:rFonts w:eastAsia="Arial"/>
                <w:sz w:val="20"/>
                <w:szCs w:val="20"/>
              </w:rPr>
            </w:pPr>
            <w:r w:rsidRPr="007C51D6">
              <w:rPr>
                <w:rFonts w:eastAsia="Arial"/>
                <w:sz w:val="20"/>
                <w:szCs w:val="20"/>
              </w:rPr>
              <w:t>9,5</w:t>
            </w:r>
          </w:p>
        </w:tc>
        <w:tc>
          <w:tcPr>
            <w:tcW w:w="1212" w:type="dxa"/>
          </w:tcPr>
          <w:p w:rsidR="002341A0" w:rsidRPr="007C51D6" w:rsidRDefault="002341A0" w:rsidP="002341A0">
            <w:pPr>
              <w:autoSpaceDE/>
              <w:autoSpaceDN/>
              <w:adjustRightInd/>
              <w:spacing w:line="230" w:lineRule="auto"/>
              <w:jc w:val="center"/>
              <w:rPr>
                <w:rFonts w:eastAsia="Arial"/>
                <w:sz w:val="20"/>
                <w:szCs w:val="20"/>
              </w:rPr>
            </w:pPr>
            <w:r w:rsidRPr="007C51D6">
              <w:rPr>
                <w:rFonts w:eastAsia="Arial"/>
                <w:sz w:val="20"/>
                <w:szCs w:val="20"/>
              </w:rPr>
              <w:t>9,3</w:t>
            </w:r>
          </w:p>
        </w:tc>
        <w:tc>
          <w:tcPr>
            <w:tcW w:w="1212" w:type="dxa"/>
          </w:tcPr>
          <w:p w:rsidR="002341A0" w:rsidRPr="007C51D6" w:rsidRDefault="002341A0" w:rsidP="002341A0">
            <w:pPr>
              <w:autoSpaceDE/>
              <w:autoSpaceDN/>
              <w:adjustRightInd/>
              <w:spacing w:line="230" w:lineRule="auto"/>
              <w:jc w:val="center"/>
              <w:rPr>
                <w:rFonts w:eastAsia="Arial"/>
                <w:sz w:val="20"/>
                <w:szCs w:val="20"/>
              </w:rPr>
            </w:pPr>
            <w:r w:rsidRPr="007C51D6">
              <w:rPr>
                <w:rFonts w:eastAsia="Arial"/>
                <w:sz w:val="20"/>
                <w:szCs w:val="20"/>
              </w:rPr>
              <w:t>10,7</w:t>
            </w:r>
          </w:p>
        </w:tc>
        <w:tc>
          <w:tcPr>
            <w:tcW w:w="1212" w:type="dxa"/>
          </w:tcPr>
          <w:p w:rsidR="002341A0" w:rsidRPr="007C51D6" w:rsidRDefault="002341A0" w:rsidP="002341A0">
            <w:pPr>
              <w:autoSpaceDE/>
              <w:autoSpaceDN/>
              <w:adjustRightInd/>
              <w:spacing w:line="230" w:lineRule="auto"/>
              <w:jc w:val="center"/>
              <w:rPr>
                <w:rFonts w:eastAsia="Arial"/>
                <w:sz w:val="20"/>
                <w:szCs w:val="20"/>
              </w:rPr>
            </w:pPr>
            <w:r w:rsidRPr="007C51D6">
              <w:rPr>
                <w:rFonts w:eastAsia="Arial"/>
                <w:sz w:val="20"/>
                <w:szCs w:val="20"/>
              </w:rPr>
              <w:t>7,8</w:t>
            </w:r>
          </w:p>
        </w:tc>
        <w:tc>
          <w:tcPr>
            <w:tcW w:w="1212" w:type="dxa"/>
          </w:tcPr>
          <w:p w:rsidR="002341A0" w:rsidRPr="007C51D6" w:rsidRDefault="002341A0" w:rsidP="002341A0">
            <w:pPr>
              <w:autoSpaceDE/>
              <w:autoSpaceDN/>
              <w:adjustRightInd/>
              <w:spacing w:line="230" w:lineRule="auto"/>
              <w:jc w:val="center"/>
              <w:rPr>
                <w:rFonts w:eastAsia="Arial"/>
                <w:sz w:val="20"/>
                <w:szCs w:val="20"/>
              </w:rPr>
            </w:pPr>
            <w:r w:rsidRPr="007C51D6">
              <w:rPr>
                <w:rFonts w:eastAsia="Arial"/>
                <w:sz w:val="20"/>
                <w:szCs w:val="20"/>
              </w:rPr>
              <w:t>9,3</w:t>
            </w:r>
          </w:p>
        </w:tc>
        <w:tc>
          <w:tcPr>
            <w:tcW w:w="1212" w:type="dxa"/>
          </w:tcPr>
          <w:p w:rsidR="002341A0" w:rsidRPr="007C51D6" w:rsidRDefault="002341A0" w:rsidP="002341A0">
            <w:pPr>
              <w:autoSpaceDE/>
              <w:autoSpaceDN/>
              <w:adjustRightInd/>
              <w:spacing w:line="230" w:lineRule="auto"/>
              <w:jc w:val="center"/>
              <w:rPr>
                <w:rFonts w:eastAsia="Arial"/>
                <w:sz w:val="20"/>
                <w:szCs w:val="20"/>
              </w:rPr>
            </w:pPr>
            <w:r w:rsidRPr="007C51D6">
              <w:rPr>
                <w:rFonts w:eastAsia="Arial"/>
                <w:sz w:val="20"/>
                <w:szCs w:val="20"/>
              </w:rPr>
              <w:t>6,6</w:t>
            </w:r>
          </w:p>
        </w:tc>
        <w:tc>
          <w:tcPr>
            <w:tcW w:w="1212" w:type="dxa"/>
          </w:tcPr>
          <w:p w:rsidR="002341A0" w:rsidRPr="007C51D6" w:rsidRDefault="002341A0" w:rsidP="002341A0">
            <w:pPr>
              <w:autoSpaceDE/>
              <w:autoSpaceDN/>
              <w:adjustRightInd/>
              <w:spacing w:line="230" w:lineRule="auto"/>
              <w:jc w:val="center"/>
              <w:rPr>
                <w:rFonts w:eastAsia="Arial"/>
                <w:sz w:val="20"/>
                <w:szCs w:val="20"/>
              </w:rPr>
            </w:pPr>
            <w:r w:rsidRPr="007C51D6">
              <w:rPr>
                <w:rFonts w:eastAsia="Arial"/>
                <w:sz w:val="20"/>
                <w:szCs w:val="20"/>
              </w:rPr>
              <w:t>6,7</w:t>
            </w:r>
          </w:p>
        </w:tc>
        <w:tc>
          <w:tcPr>
            <w:tcW w:w="1212" w:type="dxa"/>
          </w:tcPr>
          <w:p w:rsidR="002341A0" w:rsidRPr="007C51D6" w:rsidRDefault="002341A0" w:rsidP="002341A0">
            <w:pPr>
              <w:autoSpaceDE/>
              <w:autoSpaceDN/>
              <w:adjustRightInd/>
              <w:spacing w:line="230" w:lineRule="auto"/>
              <w:jc w:val="center"/>
              <w:rPr>
                <w:rFonts w:eastAsia="Arial"/>
                <w:sz w:val="20"/>
                <w:szCs w:val="20"/>
              </w:rPr>
            </w:pPr>
            <w:r w:rsidRPr="007C51D6">
              <w:rPr>
                <w:rFonts w:eastAsia="Arial"/>
                <w:sz w:val="20"/>
                <w:szCs w:val="20"/>
              </w:rPr>
              <w:t>7,9</w:t>
            </w:r>
          </w:p>
        </w:tc>
        <w:tc>
          <w:tcPr>
            <w:tcW w:w="1212" w:type="dxa"/>
            <w:vAlign w:val="bottom"/>
          </w:tcPr>
          <w:p w:rsidR="002341A0" w:rsidRPr="007C51D6" w:rsidRDefault="002341A0" w:rsidP="002341A0">
            <w:pPr>
              <w:jc w:val="center"/>
              <w:rPr>
                <w:color w:val="000000"/>
                <w:sz w:val="20"/>
                <w:szCs w:val="20"/>
              </w:rPr>
            </w:pPr>
            <w:r w:rsidRPr="007C51D6">
              <w:rPr>
                <w:color w:val="000000"/>
                <w:sz w:val="20"/>
                <w:szCs w:val="20"/>
              </w:rPr>
              <w:t>11,3</w:t>
            </w:r>
          </w:p>
        </w:tc>
      </w:tr>
      <w:tr w:rsidR="002341A0" w:rsidRPr="007C51D6" w:rsidTr="0038114E">
        <w:trPr>
          <w:trHeight w:val="20"/>
        </w:trPr>
        <w:tc>
          <w:tcPr>
            <w:tcW w:w="1838" w:type="dxa"/>
            <w:vMerge/>
          </w:tcPr>
          <w:p w:rsidR="002341A0" w:rsidRPr="007C51D6" w:rsidRDefault="002341A0" w:rsidP="002341A0">
            <w:pPr>
              <w:spacing w:line="230" w:lineRule="auto"/>
              <w:jc w:val="both"/>
              <w:rPr>
                <w:rFonts w:eastAsia="Arial"/>
                <w:sz w:val="20"/>
                <w:szCs w:val="20"/>
                <w:lang w:val="en-US"/>
              </w:rPr>
            </w:pPr>
          </w:p>
        </w:tc>
        <w:tc>
          <w:tcPr>
            <w:tcW w:w="1276" w:type="dxa"/>
          </w:tcPr>
          <w:p w:rsidR="002341A0" w:rsidRPr="007C51D6" w:rsidRDefault="002341A0" w:rsidP="002341A0">
            <w:pPr>
              <w:spacing w:line="230" w:lineRule="auto"/>
              <w:jc w:val="both"/>
            </w:pPr>
            <w:r w:rsidRPr="007C51D6">
              <w:rPr>
                <w:rFonts w:eastAsia="Arial"/>
                <w:sz w:val="20"/>
                <w:szCs w:val="20"/>
                <w:lang w:val="en-US"/>
              </w:rPr>
              <w:t>IV</w:t>
            </w:r>
            <w:r w:rsidRPr="007C51D6">
              <w:rPr>
                <w:rFonts w:eastAsia="Arial"/>
                <w:sz w:val="20"/>
                <w:szCs w:val="20"/>
              </w:rPr>
              <w:t xml:space="preserve"> стадия</w:t>
            </w:r>
          </w:p>
        </w:tc>
        <w:tc>
          <w:tcPr>
            <w:tcW w:w="1210" w:type="dxa"/>
          </w:tcPr>
          <w:p w:rsidR="002341A0" w:rsidRPr="007C51D6" w:rsidRDefault="002341A0" w:rsidP="002341A0">
            <w:pPr>
              <w:autoSpaceDE/>
              <w:autoSpaceDN/>
              <w:adjustRightInd/>
              <w:spacing w:line="230" w:lineRule="auto"/>
              <w:jc w:val="center"/>
              <w:rPr>
                <w:rFonts w:eastAsia="Arial"/>
                <w:sz w:val="20"/>
                <w:szCs w:val="20"/>
              </w:rPr>
            </w:pPr>
            <w:r w:rsidRPr="007C51D6">
              <w:rPr>
                <w:rFonts w:eastAsia="Arial"/>
                <w:sz w:val="20"/>
                <w:szCs w:val="20"/>
              </w:rPr>
              <w:t>4,9</w:t>
            </w:r>
          </w:p>
        </w:tc>
        <w:tc>
          <w:tcPr>
            <w:tcW w:w="1211" w:type="dxa"/>
          </w:tcPr>
          <w:p w:rsidR="002341A0" w:rsidRPr="007C51D6" w:rsidRDefault="002341A0" w:rsidP="002341A0">
            <w:pPr>
              <w:autoSpaceDE/>
              <w:autoSpaceDN/>
              <w:adjustRightInd/>
              <w:spacing w:line="230" w:lineRule="auto"/>
              <w:jc w:val="center"/>
              <w:rPr>
                <w:rFonts w:eastAsia="Arial"/>
                <w:sz w:val="20"/>
                <w:szCs w:val="20"/>
              </w:rPr>
            </w:pPr>
            <w:r w:rsidRPr="007C51D6">
              <w:rPr>
                <w:rFonts w:eastAsia="Arial"/>
                <w:sz w:val="20"/>
                <w:szCs w:val="20"/>
              </w:rPr>
              <w:t>5,6</w:t>
            </w:r>
          </w:p>
        </w:tc>
        <w:tc>
          <w:tcPr>
            <w:tcW w:w="1212" w:type="dxa"/>
          </w:tcPr>
          <w:p w:rsidR="002341A0" w:rsidRPr="007C51D6" w:rsidRDefault="002341A0" w:rsidP="002341A0">
            <w:pPr>
              <w:autoSpaceDE/>
              <w:autoSpaceDN/>
              <w:adjustRightInd/>
              <w:spacing w:line="230" w:lineRule="auto"/>
              <w:jc w:val="center"/>
              <w:rPr>
                <w:rFonts w:eastAsia="Arial"/>
                <w:sz w:val="20"/>
                <w:szCs w:val="20"/>
              </w:rPr>
            </w:pPr>
            <w:r w:rsidRPr="007C51D6">
              <w:rPr>
                <w:rFonts w:eastAsia="Arial"/>
                <w:sz w:val="20"/>
                <w:szCs w:val="20"/>
              </w:rPr>
              <w:t>6,2</w:t>
            </w:r>
          </w:p>
        </w:tc>
        <w:tc>
          <w:tcPr>
            <w:tcW w:w="1212" w:type="dxa"/>
          </w:tcPr>
          <w:p w:rsidR="002341A0" w:rsidRPr="007C51D6" w:rsidRDefault="002341A0" w:rsidP="002341A0">
            <w:pPr>
              <w:autoSpaceDE/>
              <w:autoSpaceDN/>
              <w:adjustRightInd/>
              <w:spacing w:line="230" w:lineRule="auto"/>
              <w:jc w:val="center"/>
              <w:rPr>
                <w:rFonts w:eastAsia="Arial"/>
                <w:sz w:val="20"/>
                <w:szCs w:val="20"/>
              </w:rPr>
            </w:pPr>
            <w:r w:rsidRPr="007C51D6">
              <w:rPr>
                <w:rFonts w:eastAsia="Arial"/>
                <w:sz w:val="20"/>
                <w:szCs w:val="20"/>
              </w:rPr>
              <w:t>6,8</w:t>
            </w:r>
          </w:p>
        </w:tc>
        <w:tc>
          <w:tcPr>
            <w:tcW w:w="1212" w:type="dxa"/>
          </w:tcPr>
          <w:p w:rsidR="002341A0" w:rsidRPr="007C51D6" w:rsidRDefault="002341A0" w:rsidP="002341A0">
            <w:pPr>
              <w:autoSpaceDE/>
              <w:autoSpaceDN/>
              <w:adjustRightInd/>
              <w:spacing w:line="230" w:lineRule="auto"/>
              <w:jc w:val="center"/>
              <w:rPr>
                <w:rFonts w:eastAsia="Arial"/>
                <w:sz w:val="20"/>
                <w:szCs w:val="20"/>
              </w:rPr>
            </w:pPr>
            <w:r w:rsidRPr="007C51D6">
              <w:rPr>
                <w:rFonts w:eastAsia="Arial"/>
                <w:sz w:val="20"/>
                <w:szCs w:val="20"/>
              </w:rPr>
              <w:t>5,3</w:t>
            </w:r>
          </w:p>
        </w:tc>
        <w:tc>
          <w:tcPr>
            <w:tcW w:w="1212" w:type="dxa"/>
          </w:tcPr>
          <w:p w:rsidR="002341A0" w:rsidRPr="007C51D6" w:rsidRDefault="002341A0" w:rsidP="002341A0">
            <w:pPr>
              <w:autoSpaceDE/>
              <w:autoSpaceDN/>
              <w:adjustRightInd/>
              <w:spacing w:line="230" w:lineRule="auto"/>
              <w:jc w:val="center"/>
              <w:rPr>
                <w:rFonts w:eastAsia="Arial"/>
                <w:sz w:val="20"/>
                <w:szCs w:val="20"/>
              </w:rPr>
            </w:pPr>
            <w:r w:rsidRPr="007C51D6">
              <w:rPr>
                <w:rFonts w:eastAsia="Arial"/>
                <w:sz w:val="20"/>
                <w:szCs w:val="20"/>
              </w:rPr>
              <w:t>6,8</w:t>
            </w:r>
          </w:p>
        </w:tc>
        <w:tc>
          <w:tcPr>
            <w:tcW w:w="1212" w:type="dxa"/>
          </w:tcPr>
          <w:p w:rsidR="002341A0" w:rsidRPr="007C51D6" w:rsidRDefault="002341A0" w:rsidP="002341A0">
            <w:pPr>
              <w:autoSpaceDE/>
              <w:autoSpaceDN/>
              <w:adjustRightInd/>
              <w:spacing w:line="230" w:lineRule="auto"/>
              <w:jc w:val="center"/>
              <w:rPr>
                <w:rFonts w:eastAsia="Arial"/>
                <w:sz w:val="20"/>
                <w:szCs w:val="20"/>
              </w:rPr>
            </w:pPr>
            <w:r w:rsidRPr="007C51D6">
              <w:rPr>
                <w:rFonts w:eastAsia="Arial"/>
                <w:sz w:val="20"/>
                <w:szCs w:val="20"/>
              </w:rPr>
              <w:t>6,1</w:t>
            </w:r>
          </w:p>
        </w:tc>
        <w:tc>
          <w:tcPr>
            <w:tcW w:w="1212" w:type="dxa"/>
          </w:tcPr>
          <w:p w:rsidR="002341A0" w:rsidRPr="007C51D6" w:rsidRDefault="002341A0" w:rsidP="002341A0">
            <w:pPr>
              <w:autoSpaceDE/>
              <w:autoSpaceDN/>
              <w:adjustRightInd/>
              <w:spacing w:line="230" w:lineRule="auto"/>
              <w:jc w:val="center"/>
              <w:rPr>
                <w:rFonts w:eastAsia="Arial"/>
                <w:sz w:val="20"/>
                <w:szCs w:val="20"/>
              </w:rPr>
            </w:pPr>
            <w:r w:rsidRPr="007C51D6">
              <w:rPr>
                <w:rFonts w:eastAsia="Arial"/>
                <w:sz w:val="20"/>
                <w:szCs w:val="20"/>
              </w:rPr>
              <w:t>4,4</w:t>
            </w:r>
          </w:p>
        </w:tc>
        <w:tc>
          <w:tcPr>
            <w:tcW w:w="1212" w:type="dxa"/>
          </w:tcPr>
          <w:p w:rsidR="002341A0" w:rsidRPr="007C51D6" w:rsidRDefault="002341A0" w:rsidP="002341A0">
            <w:pPr>
              <w:autoSpaceDE/>
              <w:autoSpaceDN/>
              <w:adjustRightInd/>
              <w:spacing w:line="230" w:lineRule="auto"/>
              <w:jc w:val="center"/>
              <w:rPr>
                <w:rFonts w:eastAsia="Arial"/>
                <w:sz w:val="20"/>
                <w:szCs w:val="20"/>
              </w:rPr>
            </w:pPr>
            <w:r w:rsidRPr="007C51D6">
              <w:rPr>
                <w:rFonts w:eastAsia="Arial"/>
                <w:sz w:val="20"/>
                <w:szCs w:val="20"/>
              </w:rPr>
              <w:t>5,2</w:t>
            </w:r>
          </w:p>
        </w:tc>
        <w:tc>
          <w:tcPr>
            <w:tcW w:w="1212" w:type="dxa"/>
            <w:vAlign w:val="bottom"/>
          </w:tcPr>
          <w:p w:rsidR="002341A0" w:rsidRPr="007C51D6" w:rsidRDefault="002341A0" w:rsidP="002341A0">
            <w:pPr>
              <w:jc w:val="center"/>
              <w:rPr>
                <w:color w:val="000000"/>
                <w:sz w:val="20"/>
                <w:szCs w:val="20"/>
              </w:rPr>
            </w:pPr>
            <w:r w:rsidRPr="007C51D6">
              <w:rPr>
                <w:color w:val="000000"/>
                <w:sz w:val="20"/>
                <w:szCs w:val="20"/>
              </w:rPr>
              <w:t>7,5</w:t>
            </w:r>
          </w:p>
        </w:tc>
      </w:tr>
      <w:tr w:rsidR="002341A0" w:rsidRPr="007C51D6" w:rsidTr="0038114E">
        <w:trPr>
          <w:trHeight w:val="20"/>
        </w:trPr>
        <w:tc>
          <w:tcPr>
            <w:tcW w:w="1838" w:type="dxa"/>
            <w:vMerge/>
          </w:tcPr>
          <w:p w:rsidR="002341A0" w:rsidRPr="007C51D6" w:rsidRDefault="002341A0" w:rsidP="002341A0">
            <w:pPr>
              <w:autoSpaceDE/>
              <w:autoSpaceDN/>
              <w:adjustRightInd/>
              <w:spacing w:line="230" w:lineRule="auto"/>
              <w:jc w:val="both"/>
              <w:rPr>
                <w:rFonts w:eastAsia="Arial"/>
                <w:sz w:val="20"/>
                <w:szCs w:val="20"/>
              </w:rPr>
            </w:pPr>
          </w:p>
        </w:tc>
        <w:tc>
          <w:tcPr>
            <w:tcW w:w="1276" w:type="dxa"/>
          </w:tcPr>
          <w:p w:rsidR="002341A0" w:rsidRPr="007C51D6" w:rsidRDefault="002341A0" w:rsidP="002341A0">
            <w:pPr>
              <w:autoSpaceDE/>
              <w:autoSpaceDN/>
              <w:adjustRightInd/>
              <w:spacing w:line="230" w:lineRule="auto"/>
              <w:jc w:val="both"/>
              <w:rPr>
                <w:rFonts w:eastAsia="Arial"/>
                <w:sz w:val="20"/>
                <w:szCs w:val="20"/>
              </w:rPr>
            </w:pPr>
            <w:r w:rsidRPr="007C51D6">
              <w:rPr>
                <w:rFonts w:eastAsia="Arial"/>
                <w:sz w:val="20"/>
                <w:szCs w:val="20"/>
              </w:rPr>
              <w:t>без стадии</w:t>
            </w:r>
          </w:p>
        </w:tc>
        <w:tc>
          <w:tcPr>
            <w:tcW w:w="1210" w:type="dxa"/>
          </w:tcPr>
          <w:p w:rsidR="002341A0" w:rsidRPr="007C51D6" w:rsidRDefault="002341A0" w:rsidP="002341A0">
            <w:pPr>
              <w:autoSpaceDE/>
              <w:autoSpaceDN/>
              <w:adjustRightInd/>
              <w:spacing w:line="230" w:lineRule="auto"/>
              <w:jc w:val="center"/>
              <w:rPr>
                <w:rFonts w:eastAsia="Arial"/>
                <w:sz w:val="20"/>
                <w:szCs w:val="20"/>
              </w:rPr>
            </w:pPr>
            <w:r w:rsidRPr="007C51D6">
              <w:rPr>
                <w:rFonts w:eastAsia="Arial"/>
                <w:sz w:val="20"/>
                <w:szCs w:val="20"/>
              </w:rPr>
              <w:t>0,2</w:t>
            </w:r>
          </w:p>
        </w:tc>
        <w:tc>
          <w:tcPr>
            <w:tcW w:w="1211" w:type="dxa"/>
          </w:tcPr>
          <w:p w:rsidR="002341A0" w:rsidRPr="007C51D6" w:rsidRDefault="002341A0" w:rsidP="002341A0">
            <w:pPr>
              <w:autoSpaceDE/>
              <w:autoSpaceDN/>
              <w:adjustRightInd/>
              <w:spacing w:line="230" w:lineRule="auto"/>
              <w:jc w:val="center"/>
              <w:rPr>
                <w:rFonts w:eastAsia="Arial"/>
                <w:sz w:val="20"/>
                <w:szCs w:val="20"/>
              </w:rPr>
            </w:pPr>
            <w:r w:rsidRPr="007C51D6">
              <w:rPr>
                <w:rFonts w:eastAsia="Arial"/>
                <w:sz w:val="20"/>
                <w:szCs w:val="20"/>
              </w:rPr>
              <w:t>0,2</w:t>
            </w:r>
          </w:p>
        </w:tc>
        <w:tc>
          <w:tcPr>
            <w:tcW w:w="1212" w:type="dxa"/>
          </w:tcPr>
          <w:p w:rsidR="002341A0" w:rsidRPr="007C51D6" w:rsidRDefault="002341A0" w:rsidP="002341A0">
            <w:pPr>
              <w:autoSpaceDE/>
              <w:autoSpaceDN/>
              <w:adjustRightInd/>
              <w:spacing w:line="230" w:lineRule="auto"/>
              <w:jc w:val="center"/>
              <w:rPr>
                <w:rFonts w:eastAsia="Arial"/>
                <w:sz w:val="20"/>
                <w:szCs w:val="20"/>
              </w:rPr>
            </w:pPr>
            <w:r w:rsidRPr="007C51D6">
              <w:rPr>
                <w:rFonts w:eastAsia="Arial"/>
                <w:sz w:val="20"/>
                <w:szCs w:val="20"/>
              </w:rPr>
              <w:t>0</w:t>
            </w:r>
          </w:p>
        </w:tc>
        <w:tc>
          <w:tcPr>
            <w:tcW w:w="1212" w:type="dxa"/>
          </w:tcPr>
          <w:p w:rsidR="002341A0" w:rsidRPr="007C51D6" w:rsidRDefault="002341A0" w:rsidP="002341A0">
            <w:pPr>
              <w:autoSpaceDE/>
              <w:autoSpaceDN/>
              <w:adjustRightInd/>
              <w:spacing w:line="230" w:lineRule="auto"/>
              <w:jc w:val="center"/>
              <w:rPr>
                <w:rFonts w:eastAsia="Arial"/>
                <w:sz w:val="20"/>
                <w:szCs w:val="20"/>
              </w:rPr>
            </w:pPr>
            <w:r w:rsidRPr="007C51D6">
              <w:rPr>
                <w:rFonts w:eastAsia="Arial"/>
                <w:sz w:val="20"/>
                <w:szCs w:val="20"/>
              </w:rPr>
              <w:t>0</w:t>
            </w:r>
          </w:p>
        </w:tc>
        <w:tc>
          <w:tcPr>
            <w:tcW w:w="1212" w:type="dxa"/>
          </w:tcPr>
          <w:p w:rsidR="002341A0" w:rsidRPr="007C51D6" w:rsidRDefault="002341A0" w:rsidP="002341A0">
            <w:pPr>
              <w:autoSpaceDE/>
              <w:autoSpaceDN/>
              <w:adjustRightInd/>
              <w:spacing w:line="230" w:lineRule="auto"/>
              <w:jc w:val="center"/>
              <w:rPr>
                <w:rFonts w:eastAsia="Arial"/>
                <w:sz w:val="20"/>
                <w:szCs w:val="20"/>
              </w:rPr>
            </w:pPr>
            <w:r w:rsidRPr="007C51D6">
              <w:rPr>
                <w:rFonts w:eastAsia="Arial"/>
                <w:sz w:val="20"/>
                <w:szCs w:val="20"/>
              </w:rPr>
              <w:t>0,5</w:t>
            </w:r>
          </w:p>
        </w:tc>
        <w:tc>
          <w:tcPr>
            <w:tcW w:w="1212" w:type="dxa"/>
          </w:tcPr>
          <w:p w:rsidR="002341A0" w:rsidRPr="007C51D6" w:rsidRDefault="002341A0" w:rsidP="002341A0">
            <w:pPr>
              <w:autoSpaceDE/>
              <w:autoSpaceDN/>
              <w:adjustRightInd/>
              <w:spacing w:line="230" w:lineRule="auto"/>
              <w:jc w:val="center"/>
              <w:rPr>
                <w:rFonts w:eastAsia="Arial"/>
                <w:sz w:val="20"/>
                <w:szCs w:val="20"/>
              </w:rPr>
            </w:pPr>
            <w:r w:rsidRPr="007C51D6">
              <w:rPr>
                <w:rFonts w:eastAsia="Arial"/>
                <w:sz w:val="20"/>
                <w:szCs w:val="20"/>
              </w:rPr>
              <w:t>0,2</w:t>
            </w:r>
          </w:p>
        </w:tc>
        <w:tc>
          <w:tcPr>
            <w:tcW w:w="1212" w:type="dxa"/>
          </w:tcPr>
          <w:p w:rsidR="002341A0" w:rsidRPr="007C51D6" w:rsidRDefault="002341A0" w:rsidP="002341A0">
            <w:pPr>
              <w:autoSpaceDE/>
              <w:autoSpaceDN/>
              <w:adjustRightInd/>
              <w:spacing w:line="230" w:lineRule="auto"/>
              <w:jc w:val="center"/>
              <w:rPr>
                <w:rFonts w:eastAsia="Arial"/>
                <w:sz w:val="20"/>
                <w:szCs w:val="20"/>
              </w:rPr>
            </w:pPr>
            <w:r w:rsidRPr="007C51D6">
              <w:rPr>
                <w:rFonts w:eastAsia="Arial"/>
                <w:sz w:val="20"/>
                <w:szCs w:val="20"/>
              </w:rPr>
              <w:t>0</w:t>
            </w:r>
          </w:p>
        </w:tc>
        <w:tc>
          <w:tcPr>
            <w:tcW w:w="1212" w:type="dxa"/>
          </w:tcPr>
          <w:p w:rsidR="002341A0" w:rsidRPr="007C51D6" w:rsidRDefault="002341A0" w:rsidP="002341A0">
            <w:pPr>
              <w:autoSpaceDE/>
              <w:autoSpaceDN/>
              <w:adjustRightInd/>
              <w:spacing w:line="230" w:lineRule="auto"/>
              <w:jc w:val="center"/>
              <w:rPr>
                <w:rFonts w:eastAsia="Arial"/>
                <w:sz w:val="20"/>
                <w:szCs w:val="20"/>
              </w:rPr>
            </w:pPr>
            <w:r w:rsidRPr="007C51D6">
              <w:rPr>
                <w:rFonts w:eastAsia="Arial"/>
                <w:sz w:val="20"/>
                <w:szCs w:val="20"/>
              </w:rPr>
              <w:t>0</w:t>
            </w:r>
          </w:p>
        </w:tc>
        <w:tc>
          <w:tcPr>
            <w:tcW w:w="1212" w:type="dxa"/>
          </w:tcPr>
          <w:p w:rsidR="002341A0" w:rsidRPr="007C51D6" w:rsidRDefault="002341A0" w:rsidP="002341A0">
            <w:pPr>
              <w:autoSpaceDE/>
              <w:autoSpaceDN/>
              <w:adjustRightInd/>
              <w:spacing w:line="230" w:lineRule="auto"/>
              <w:jc w:val="center"/>
              <w:rPr>
                <w:rFonts w:eastAsia="Arial"/>
                <w:sz w:val="20"/>
                <w:szCs w:val="20"/>
              </w:rPr>
            </w:pPr>
            <w:r w:rsidRPr="007C51D6">
              <w:rPr>
                <w:rFonts w:eastAsia="Arial"/>
                <w:sz w:val="20"/>
                <w:szCs w:val="20"/>
              </w:rPr>
              <w:t>0</w:t>
            </w:r>
          </w:p>
        </w:tc>
        <w:tc>
          <w:tcPr>
            <w:tcW w:w="1212" w:type="dxa"/>
            <w:vAlign w:val="bottom"/>
          </w:tcPr>
          <w:p w:rsidR="002341A0" w:rsidRPr="007C51D6" w:rsidRDefault="002341A0" w:rsidP="002341A0">
            <w:pPr>
              <w:jc w:val="center"/>
              <w:rPr>
                <w:color w:val="000000"/>
                <w:sz w:val="20"/>
                <w:szCs w:val="20"/>
              </w:rPr>
            </w:pPr>
            <w:r w:rsidRPr="007C51D6">
              <w:rPr>
                <w:color w:val="000000"/>
                <w:sz w:val="20"/>
                <w:szCs w:val="20"/>
              </w:rPr>
              <w:t>0</w:t>
            </w:r>
          </w:p>
        </w:tc>
      </w:tr>
      <w:tr w:rsidR="002341A0" w:rsidRPr="007C51D6" w:rsidTr="0038114E">
        <w:trPr>
          <w:trHeight w:val="20"/>
        </w:trPr>
        <w:tc>
          <w:tcPr>
            <w:tcW w:w="1838" w:type="dxa"/>
            <w:vMerge w:val="restart"/>
          </w:tcPr>
          <w:p w:rsidR="002341A0" w:rsidRPr="007C51D6" w:rsidRDefault="002341A0" w:rsidP="002341A0">
            <w:pPr>
              <w:spacing w:line="230" w:lineRule="auto"/>
              <w:jc w:val="both"/>
              <w:rPr>
                <w:rFonts w:eastAsia="Arial"/>
                <w:sz w:val="20"/>
                <w:szCs w:val="20"/>
              </w:rPr>
            </w:pPr>
            <w:r w:rsidRPr="007C51D6">
              <w:rPr>
                <w:rFonts w:eastAsia="Arial"/>
                <w:sz w:val="20"/>
                <w:szCs w:val="22"/>
              </w:rPr>
              <w:t>ЗНО почки</w:t>
            </w:r>
            <w:r w:rsidRPr="007C51D6">
              <w:rPr>
                <w:rFonts w:eastAsia="Arial"/>
                <w:sz w:val="20"/>
                <w:szCs w:val="20"/>
              </w:rPr>
              <w:t xml:space="preserve"> (С64)</w:t>
            </w:r>
          </w:p>
        </w:tc>
        <w:tc>
          <w:tcPr>
            <w:tcW w:w="1276" w:type="dxa"/>
          </w:tcPr>
          <w:p w:rsidR="002341A0" w:rsidRPr="007C51D6" w:rsidRDefault="002341A0" w:rsidP="002341A0">
            <w:pPr>
              <w:autoSpaceDE/>
              <w:autoSpaceDN/>
              <w:adjustRightInd/>
              <w:spacing w:line="230" w:lineRule="auto"/>
              <w:jc w:val="both"/>
              <w:rPr>
                <w:rFonts w:eastAsia="Arial"/>
                <w:sz w:val="20"/>
                <w:szCs w:val="20"/>
              </w:rPr>
            </w:pPr>
            <w:r w:rsidRPr="007C51D6">
              <w:rPr>
                <w:rFonts w:eastAsia="Arial"/>
                <w:sz w:val="20"/>
                <w:szCs w:val="20"/>
                <w:lang w:val="en-US"/>
              </w:rPr>
              <w:t>I</w:t>
            </w:r>
            <w:r w:rsidRPr="007C51D6">
              <w:rPr>
                <w:rFonts w:eastAsia="Arial"/>
                <w:sz w:val="20"/>
                <w:szCs w:val="20"/>
              </w:rPr>
              <w:t xml:space="preserve"> стадия</w:t>
            </w:r>
          </w:p>
        </w:tc>
        <w:tc>
          <w:tcPr>
            <w:tcW w:w="1210" w:type="dxa"/>
          </w:tcPr>
          <w:p w:rsidR="002341A0" w:rsidRPr="007C51D6" w:rsidRDefault="002341A0" w:rsidP="002341A0">
            <w:pPr>
              <w:autoSpaceDE/>
              <w:autoSpaceDN/>
              <w:adjustRightInd/>
              <w:spacing w:line="230" w:lineRule="auto"/>
              <w:jc w:val="center"/>
              <w:rPr>
                <w:rFonts w:eastAsia="Arial"/>
                <w:sz w:val="20"/>
                <w:szCs w:val="20"/>
              </w:rPr>
            </w:pPr>
            <w:r w:rsidRPr="007C51D6">
              <w:rPr>
                <w:rFonts w:eastAsia="Arial"/>
                <w:sz w:val="20"/>
                <w:szCs w:val="20"/>
              </w:rPr>
              <w:t>45,3</w:t>
            </w:r>
          </w:p>
        </w:tc>
        <w:tc>
          <w:tcPr>
            <w:tcW w:w="1211" w:type="dxa"/>
          </w:tcPr>
          <w:p w:rsidR="002341A0" w:rsidRPr="007C51D6" w:rsidRDefault="002341A0" w:rsidP="002341A0">
            <w:pPr>
              <w:autoSpaceDE/>
              <w:autoSpaceDN/>
              <w:adjustRightInd/>
              <w:spacing w:line="230" w:lineRule="auto"/>
              <w:jc w:val="center"/>
              <w:rPr>
                <w:rFonts w:eastAsia="Arial"/>
                <w:sz w:val="20"/>
                <w:szCs w:val="20"/>
              </w:rPr>
            </w:pPr>
            <w:r w:rsidRPr="007C51D6">
              <w:rPr>
                <w:rFonts w:eastAsia="Arial"/>
                <w:sz w:val="20"/>
                <w:szCs w:val="20"/>
              </w:rPr>
              <w:t>45,5</w:t>
            </w:r>
          </w:p>
        </w:tc>
        <w:tc>
          <w:tcPr>
            <w:tcW w:w="1212" w:type="dxa"/>
          </w:tcPr>
          <w:p w:rsidR="002341A0" w:rsidRPr="007C51D6" w:rsidRDefault="002341A0" w:rsidP="002341A0">
            <w:pPr>
              <w:autoSpaceDE/>
              <w:autoSpaceDN/>
              <w:adjustRightInd/>
              <w:spacing w:line="230" w:lineRule="auto"/>
              <w:jc w:val="center"/>
              <w:rPr>
                <w:rFonts w:eastAsia="Arial"/>
                <w:sz w:val="20"/>
                <w:szCs w:val="20"/>
              </w:rPr>
            </w:pPr>
            <w:r w:rsidRPr="007C51D6">
              <w:rPr>
                <w:rFonts w:eastAsia="Arial"/>
                <w:sz w:val="20"/>
                <w:szCs w:val="20"/>
              </w:rPr>
              <w:t>44,9</w:t>
            </w:r>
          </w:p>
        </w:tc>
        <w:tc>
          <w:tcPr>
            <w:tcW w:w="1212" w:type="dxa"/>
          </w:tcPr>
          <w:p w:rsidR="002341A0" w:rsidRPr="007C51D6" w:rsidRDefault="002341A0" w:rsidP="002341A0">
            <w:pPr>
              <w:autoSpaceDE/>
              <w:autoSpaceDN/>
              <w:adjustRightInd/>
              <w:spacing w:line="230" w:lineRule="auto"/>
              <w:jc w:val="center"/>
              <w:rPr>
                <w:rFonts w:eastAsia="Arial"/>
                <w:sz w:val="20"/>
                <w:szCs w:val="20"/>
              </w:rPr>
            </w:pPr>
            <w:r w:rsidRPr="007C51D6">
              <w:rPr>
                <w:rFonts w:eastAsia="Arial"/>
                <w:sz w:val="20"/>
                <w:szCs w:val="20"/>
              </w:rPr>
              <w:t>49,8</w:t>
            </w:r>
          </w:p>
        </w:tc>
        <w:tc>
          <w:tcPr>
            <w:tcW w:w="1212" w:type="dxa"/>
          </w:tcPr>
          <w:p w:rsidR="002341A0" w:rsidRPr="007C51D6" w:rsidRDefault="002341A0" w:rsidP="002341A0">
            <w:pPr>
              <w:autoSpaceDE/>
              <w:autoSpaceDN/>
              <w:adjustRightInd/>
              <w:spacing w:line="230" w:lineRule="auto"/>
              <w:jc w:val="center"/>
              <w:rPr>
                <w:rFonts w:eastAsia="Arial"/>
                <w:sz w:val="20"/>
                <w:szCs w:val="20"/>
              </w:rPr>
            </w:pPr>
            <w:r w:rsidRPr="007C51D6">
              <w:rPr>
                <w:rFonts w:eastAsia="Arial"/>
                <w:sz w:val="20"/>
                <w:szCs w:val="20"/>
              </w:rPr>
              <w:t>54,3</w:t>
            </w:r>
          </w:p>
        </w:tc>
        <w:tc>
          <w:tcPr>
            <w:tcW w:w="1212" w:type="dxa"/>
          </w:tcPr>
          <w:p w:rsidR="002341A0" w:rsidRPr="007C51D6" w:rsidRDefault="002341A0" w:rsidP="002341A0">
            <w:pPr>
              <w:autoSpaceDE/>
              <w:autoSpaceDN/>
              <w:adjustRightInd/>
              <w:spacing w:line="230" w:lineRule="auto"/>
              <w:jc w:val="center"/>
              <w:rPr>
                <w:rFonts w:eastAsia="Arial"/>
                <w:sz w:val="20"/>
                <w:szCs w:val="20"/>
              </w:rPr>
            </w:pPr>
            <w:r w:rsidRPr="007C51D6">
              <w:rPr>
                <w:rFonts w:eastAsia="Arial"/>
                <w:sz w:val="20"/>
                <w:szCs w:val="20"/>
              </w:rPr>
              <w:t>50,5</w:t>
            </w:r>
          </w:p>
        </w:tc>
        <w:tc>
          <w:tcPr>
            <w:tcW w:w="1212" w:type="dxa"/>
          </w:tcPr>
          <w:p w:rsidR="002341A0" w:rsidRPr="007C51D6" w:rsidRDefault="002341A0" w:rsidP="002341A0">
            <w:pPr>
              <w:autoSpaceDE/>
              <w:autoSpaceDN/>
              <w:adjustRightInd/>
              <w:spacing w:line="230" w:lineRule="auto"/>
              <w:jc w:val="center"/>
              <w:rPr>
                <w:rFonts w:eastAsia="Arial"/>
                <w:sz w:val="20"/>
                <w:szCs w:val="20"/>
              </w:rPr>
            </w:pPr>
            <w:r w:rsidRPr="007C51D6">
              <w:rPr>
                <w:rFonts w:eastAsia="Arial"/>
                <w:sz w:val="20"/>
                <w:szCs w:val="20"/>
              </w:rPr>
              <w:t>56,5</w:t>
            </w:r>
          </w:p>
        </w:tc>
        <w:tc>
          <w:tcPr>
            <w:tcW w:w="1212" w:type="dxa"/>
          </w:tcPr>
          <w:p w:rsidR="002341A0" w:rsidRPr="007C51D6" w:rsidRDefault="002341A0" w:rsidP="002341A0">
            <w:pPr>
              <w:autoSpaceDE/>
              <w:autoSpaceDN/>
              <w:adjustRightInd/>
              <w:spacing w:line="230" w:lineRule="auto"/>
              <w:jc w:val="center"/>
              <w:rPr>
                <w:rFonts w:eastAsia="Arial"/>
                <w:sz w:val="20"/>
                <w:szCs w:val="20"/>
              </w:rPr>
            </w:pPr>
            <w:r w:rsidRPr="007C51D6">
              <w:rPr>
                <w:rFonts w:eastAsia="Arial"/>
                <w:sz w:val="20"/>
                <w:szCs w:val="20"/>
              </w:rPr>
              <w:t>60,5</w:t>
            </w:r>
          </w:p>
        </w:tc>
        <w:tc>
          <w:tcPr>
            <w:tcW w:w="1212" w:type="dxa"/>
          </w:tcPr>
          <w:p w:rsidR="002341A0" w:rsidRPr="007C51D6" w:rsidRDefault="002341A0" w:rsidP="002341A0">
            <w:pPr>
              <w:autoSpaceDE/>
              <w:autoSpaceDN/>
              <w:adjustRightInd/>
              <w:spacing w:line="230" w:lineRule="auto"/>
              <w:jc w:val="center"/>
              <w:rPr>
                <w:rFonts w:eastAsia="Arial"/>
                <w:sz w:val="20"/>
                <w:szCs w:val="20"/>
              </w:rPr>
            </w:pPr>
            <w:r w:rsidRPr="007C51D6">
              <w:rPr>
                <w:rFonts w:eastAsia="Arial"/>
                <w:sz w:val="20"/>
                <w:szCs w:val="20"/>
              </w:rPr>
              <w:t>57,0</w:t>
            </w:r>
          </w:p>
        </w:tc>
        <w:tc>
          <w:tcPr>
            <w:tcW w:w="1212" w:type="dxa"/>
            <w:vAlign w:val="bottom"/>
          </w:tcPr>
          <w:p w:rsidR="002341A0" w:rsidRPr="007C51D6" w:rsidRDefault="002341A0" w:rsidP="002341A0">
            <w:pPr>
              <w:widowControl/>
              <w:autoSpaceDE/>
              <w:autoSpaceDN/>
              <w:adjustRightInd/>
              <w:jc w:val="center"/>
              <w:rPr>
                <w:color w:val="000000"/>
                <w:sz w:val="20"/>
                <w:szCs w:val="20"/>
              </w:rPr>
            </w:pPr>
            <w:r w:rsidRPr="007C51D6">
              <w:rPr>
                <w:color w:val="000000"/>
                <w:sz w:val="20"/>
                <w:szCs w:val="20"/>
              </w:rPr>
              <w:t>59,7</w:t>
            </w:r>
          </w:p>
        </w:tc>
      </w:tr>
      <w:tr w:rsidR="002341A0" w:rsidRPr="007C51D6" w:rsidTr="0038114E">
        <w:trPr>
          <w:trHeight w:val="20"/>
        </w:trPr>
        <w:tc>
          <w:tcPr>
            <w:tcW w:w="1838" w:type="dxa"/>
            <w:vMerge/>
          </w:tcPr>
          <w:p w:rsidR="002341A0" w:rsidRPr="007C51D6" w:rsidRDefault="002341A0" w:rsidP="002341A0">
            <w:pPr>
              <w:spacing w:line="230" w:lineRule="auto"/>
              <w:rPr>
                <w:rFonts w:eastAsia="Arial"/>
                <w:sz w:val="20"/>
                <w:szCs w:val="20"/>
                <w:lang w:val="en-US"/>
              </w:rPr>
            </w:pPr>
          </w:p>
        </w:tc>
        <w:tc>
          <w:tcPr>
            <w:tcW w:w="1276" w:type="dxa"/>
          </w:tcPr>
          <w:p w:rsidR="002341A0" w:rsidRPr="007C51D6" w:rsidRDefault="002341A0" w:rsidP="002341A0">
            <w:pPr>
              <w:spacing w:line="230" w:lineRule="auto"/>
              <w:jc w:val="both"/>
              <w:rPr>
                <w:rFonts w:eastAsia="Arial"/>
                <w:sz w:val="20"/>
                <w:szCs w:val="20"/>
                <w:lang w:val="en-US"/>
              </w:rPr>
            </w:pPr>
            <w:r w:rsidRPr="007C51D6">
              <w:rPr>
                <w:rFonts w:eastAsia="Arial"/>
                <w:sz w:val="20"/>
                <w:szCs w:val="20"/>
                <w:lang w:val="en-US"/>
              </w:rPr>
              <w:t>II</w:t>
            </w:r>
            <w:r w:rsidRPr="007C51D6">
              <w:rPr>
                <w:rFonts w:eastAsia="Arial"/>
                <w:sz w:val="20"/>
                <w:szCs w:val="20"/>
              </w:rPr>
              <w:t xml:space="preserve"> стадия</w:t>
            </w:r>
          </w:p>
        </w:tc>
        <w:tc>
          <w:tcPr>
            <w:tcW w:w="1210" w:type="dxa"/>
          </w:tcPr>
          <w:p w:rsidR="002341A0" w:rsidRPr="007C51D6" w:rsidRDefault="002341A0" w:rsidP="002341A0">
            <w:pPr>
              <w:autoSpaceDE/>
              <w:autoSpaceDN/>
              <w:adjustRightInd/>
              <w:spacing w:line="230" w:lineRule="auto"/>
              <w:jc w:val="center"/>
              <w:rPr>
                <w:rFonts w:eastAsia="Arial"/>
                <w:sz w:val="20"/>
                <w:szCs w:val="20"/>
              </w:rPr>
            </w:pPr>
            <w:r w:rsidRPr="007C51D6">
              <w:rPr>
                <w:rFonts w:eastAsia="Arial"/>
                <w:sz w:val="20"/>
                <w:szCs w:val="20"/>
              </w:rPr>
              <w:t>23,2</w:t>
            </w:r>
          </w:p>
        </w:tc>
        <w:tc>
          <w:tcPr>
            <w:tcW w:w="1211" w:type="dxa"/>
          </w:tcPr>
          <w:p w:rsidR="002341A0" w:rsidRPr="007C51D6" w:rsidRDefault="002341A0" w:rsidP="002341A0">
            <w:pPr>
              <w:autoSpaceDE/>
              <w:autoSpaceDN/>
              <w:adjustRightInd/>
              <w:spacing w:line="230" w:lineRule="auto"/>
              <w:jc w:val="center"/>
              <w:rPr>
                <w:rFonts w:eastAsia="Arial"/>
                <w:sz w:val="20"/>
                <w:szCs w:val="20"/>
              </w:rPr>
            </w:pPr>
            <w:r w:rsidRPr="007C51D6">
              <w:rPr>
                <w:rFonts w:eastAsia="Arial"/>
                <w:sz w:val="20"/>
                <w:szCs w:val="20"/>
              </w:rPr>
              <w:t>24,0</w:t>
            </w:r>
          </w:p>
        </w:tc>
        <w:tc>
          <w:tcPr>
            <w:tcW w:w="1212" w:type="dxa"/>
          </w:tcPr>
          <w:p w:rsidR="002341A0" w:rsidRPr="007C51D6" w:rsidRDefault="002341A0" w:rsidP="002341A0">
            <w:pPr>
              <w:autoSpaceDE/>
              <w:autoSpaceDN/>
              <w:adjustRightInd/>
              <w:spacing w:line="230" w:lineRule="auto"/>
              <w:jc w:val="center"/>
              <w:rPr>
                <w:rFonts w:eastAsia="Arial"/>
                <w:sz w:val="20"/>
                <w:szCs w:val="20"/>
              </w:rPr>
            </w:pPr>
            <w:r w:rsidRPr="007C51D6">
              <w:rPr>
                <w:rFonts w:eastAsia="Arial"/>
                <w:sz w:val="20"/>
                <w:szCs w:val="20"/>
              </w:rPr>
              <w:t>21,6</w:t>
            </w:r>
          </w:p>
        </w:tc>
        <w:tc>
          <w:tcPr>
            <w:tcW w:w="1212" w:type="dxa"/>
          </w:tcPr>
          <w:p w:rsidR="002341A0" w:rsidRPr="007C51D6" w:rsidRDefault="002341A0" w:rsidP="002341A0">
            <w:pPr>
              <w:autoSpaceDE/>
              <w:autoSpaceDN/>
              <w:adjustRightInd/>
              <w:spacing w:line="230" w:lineRule="auto"/>
              <w:jc w:val="center"/>
              <w:rPr>
                <w:rFonts w:eastAsia="Arial"/>
                <w:sz w:val="20"/>
                <w:szCs w:val="20"/>
              </w:rPr>
            </w:pPr>
            <w:r w:rsidRPr="007C51D6">
              <w:rPr>
                <w:rFonts w:eastAsia="Arial"/>
                <w:sz w:val="20"/>
                <w:szCs w:val="20"/>
              </w:rPr>
              <w:t>18,8</w:t>
            </w:r>
          </w:p>
        </w:tc>
        <w:tc>
          <w:tcPr>
            <w:tcW w:w="1212" w:type="dxa"/>
          </w:tcPr>
          <w:p w:rsidR="002341A0" w:rsidRPr="007C51D6" w:rsidRDefault="002341A0" w:rsidP="002341A0">
            <w:pPr>
              <w:autoSpaceDE/>
              <w:autoSpaceDN/>
              <w:adjustRightInd/>
              <w:spacing w:line="230" w:lineRule="auto"/>
              <w:jc w:val="center"/>
              <w:rPr>
                <w:rFonts w:eastAsia="Arial"/>
                <w:sz w:val="20"/>
                <w:szCs w:val="20"/>
              </w:rPr>
            </w:pPr>
            <w:r w:rsidRPr="007C51D6">
              <w:rPr>
                <w:rFonts w:eastAsia="Arial"/>
                <w:sz w:val="20"/>
                <w:szCs w:val="20"/>
              </w:rPr>
              <w:t>16,6</w:t>
            </w:r>
          </w:p>
        </w:tc>
        <w:tc>
          <w:tcPr>
            <w:tcW w:w="1212" w:type="dxa"/>
          </w:tcPr>
          <w:p w:rsidR="002341A0" w:rsidRPr="007C51D6" w:rsidRDefault="002341A0" w:rsidP="002341A0">
            <w:pPr>
              <w:autoSpaceDE/>
              <w:autoSpaceDN/>
              <w:adjustRightInd/>
              <w:spacing w:line="230" w:lineRule="auto"/>
              <w:jc w:val="center"/>
              <w:rPr>
                <w:rFonts w:eastAsia="Arial"/>
                <w:sz w:val="20"/>
                <w:szCs w:val="20"/>
              </w:rPr>
            </w:pPr>
            <w:r w:rsidRPr="007C51D6">
              <w:rPr>
                <w:rFonts w:eastAsia="Arial"/>
                <w:sz w:val="20"/>
                <w:szCs w:val="20"/>
              </w:rPr>
              <w:t>18,5</w:t>
            </w:r>
          </w:p>
        </w:tc>
        <w:tc>
          <w:tcPr>
            <w:tcW w:w="1212" w:type="dxa"/>
          </w:tcPr>
          <w:p w:rsidR="002341A0" w:rsidRPr="007C51D6" w:rsidRDefault="002341A0" w:rsidP="002341A0">
            <w:pPr>
              <w:autoSpaceDE/>
              <w:autoSpaceDN/>
              <w:adjustRightInd/>
              <w:spacing w:line="230" w:lineRule="auto"/>
              <w:jc w:val="center"/>
              <w:rPr>
                <w:rFonts w:eastAsia="Arial"/>
                <w:sz w:val="20"/>
                <w:szCs w:val="20"/>
              </w:rPr>
            </w:pPr>
            <w:r w:rsidRPr="007C51D6">
              <w:rPr>
                <w:rFonts w:eastAsia="Arial"/>
                <w:sz w:val="20"/>
                <w:szCs w:val="20"/>
              </w:rPr>
              <w:t>14,2</w:t>
            </w:r>
          </w:p>
        </w:tc>
        <w:tc>
          <w:tcPr>
            <w:tcW w:w="1212" w:type="dxa"/>
          </w:tcPr>
          <w:p w:rsidR="002341A0" w:rsidRPr="007C51D6" w:rsidRDefault="002341A0" w:rsidP="002341A0">
            <w:pPr>
              <w:autoSpaceDE/>
              <w:autoSpaceDN/>
              <w:adjustRightInd/>
              <w:spacing w:line="230" w:lineRule="auto"/>
              <w:jc w:val="center"/>
              <w:rPr>
                <w:rFonts w:eastAsia="Arial"/>
                <w:sz w:val="20"/>
                <w:szCs w:val="20"/>
              </w:rPr>
            </w:pPr>
            <w:r w:rsidRPr="007C51D6">
              <w:rPr>
                <w:rFonts w:eastAsia="Arial"/>
                <w:sz w:val="20"/>
                <w:szCs w:val="20"/>
              </w:rPr>
              <w:t>11,4</w:t>
            </w:r>
          </w:p>
        </w:tc>
        <w:tc>
          <w:tcPr>
            <w:tcW w:w="1212" w:type="dxa"/>
          </w:tcPr>
          <w:p w:rsidR="002341A0" w:rsidRPr="007C51D6" w:rsidRDefault="002341A0" w:rsidP="002341A0">
            <w:pPr>
              <w:autoSpaceDE/>
              <w:autoSpaceDN/>
              <w:adjustRightInd/>
              <w:spacing w:line="230" w:lineRule="auto"/>
              <w:jc w:val="center"/>
              <w:rPr>
                <w:rFonts w:eastAsia="Arial"/>
                <w:sz w:val="20"/>
                <w:szCs w:val="20"/>
              </w:rPr>
            </w:pPr>
            <w:r w:rsidRPr="007C51D6">
              <w:rPr>
                <w:rFonts w:eastAsia="Arial"/>
                <w:sz w:val="20"/>
                <w:szCs w:val="20"/>
              </w:rPr>
              <w:t>14,7</w:t>
            </w:r>
          </w:p>
        </w:tc>
        <w:tc>
          <w:tcPr>
            <w:tcW w:w="1212" w:type="dxa"/>
            <w:vAlign w:val="bottom"/>
          </w:tcPr>
          <w:p w:rsidR="002341A0" w:rsidRPr="007C51D6" w:rsidRDefault="002341A0" w:rsidP="002341A0">
            <w:pPr>
              <w:jc w:val="center"/>
              <w:rPr>
                <w:color w:val="000000"/>
                <w:sz w:val="20"/>
                <w:szCs w:val="20"/>
              </w:rPr>
            </w:pPr>
            <w:r w:rsidRPr="007C51D6">
              <w:rPr>
                <w:color w:val="000000"/>
                <w:sz w:val="20"/>
                <w:szCs w:val="20"/>
              </w:rPr>
              <w:t>11,5</w:t>
            </w:r>
          </w:p>
        </w:tc>
      </w:tr>
      <w:tr w:rsidR="002341A0" w:rsidRPr="007C51D6" w:rsidTr="0038114E">
        <w:trPr>
          <w:trHeight w:val="20"/>
        </w:trPr>
        <w:tc>
          <w:tcPr>
            <w:tcW w:w="1838" w:type="dxa"/>
            <w:vMerge/>
          </w:tcPr>
          <w:p w:rsidR="002341A0" w:rsidRPr="007C51D6" w:rsidRDefault="002341A0" w:rsidP="002341A0">
            <w:pPr>
              <w:spacing w:line="230" w:lineRule="auto"/>
              <w:rPr>
                <w:rFonts w:eastAsia="Arial"/>
                <w:sz w:val="20"/>
                <w:szCs w:val="20"/>
                <w:lang w:val="en-US"/>
              </w:rPr>
            </w:pPr>
          </w:p>
        </w:tc>
        <w:tc>
          <w:tcPr>
            <w:tcW w:w="1276" w:type="dxa"/>
          </w:tcPr>
          <w:p w:rsidR="002341A0" w:rsidRPr="007C51D6" w:rsidRDefault="002341A0" w:rsidP="002341A0">
            <w:pPr>
              <w:spacing w:line="230" w:lineRule="auto"/>
              <w:jc w:val="both"/>
              <w:rPr>
                <w:rFonts w:eastAsia="Arial"/>
                <w:sz w:val="20"/>
                <w:szCs w:val="20"/>
                <w:lang w:val="en-US"/>
              </w:rPr>
            </w:pPr>
            <w:r w:rsidRPr="007C51D6">
              <w:rPr>
                <w:rFonts w:eastAsia="Arial"/>
                <w:sz w:val="20"/>
                <w:szCs w:val="20"/>
                <w:lang w:val="en-US"/>
              </w:rPr>
              <w:t>III</w:t>
            </w:r>
            <w:r w:rsidRPr="007C51D6">
              <w:rPr>
                <w:rFonts w:eastAsia="Arial"/>
                <w:sz w:val="20"/>
                <w:szCs w:val="20"/>
              </w:rPr>
              <w:t xml:space="preserve"> стадия</w:t>
            </w:r>
          </w:p>
        </w:tc>
        <w:tc>
          <w:tcPr>
            <w:tcW w:w="1210" w:type="dxa"/>
          </w:tcPr>
          <w:p w:rsidR="002341A0" w:rsidRPr="007C51D6" w:rsidRDefault="002341A0" w:rsidP="002341A0">
            <w:pPr>
              <w:autoSpaceDE/>
              <w:autoSpaceDN/>
              <w:adjustRightInd/>
              <w:spacing w:line="230" w:lineRule="auto"/>
              <w:jc w:val="center"/>
              <w:rPr>
                <w:rFonts w:eastAsia="Arial"/>
                <w:sz w:val="20"/>
                <w:szCs w:val="20"/>
              </w:rPr>
            </w:pPr>
            <w:r w:rsidRPr="007C51D6">
              <w:rPr>
                <w:rFonts w:eastAsia="Arial"/>
                <w:sz w:val="20"/>
                <w:szCs w:val="20"/>
              </w:rPr>
              <w:t>10,3</w:t>
            </w:r>
          </w:p>
        </w:tc>
        <w:tc>
          <w:tcPr>
            <w:tcW w:w="1211" w:type="dxa"/>
          </w:tcPr>
          <w:p w:rsidR="002341A0" w:rsidRPr="007C51D6" w:rsidRDefault="002341A0" w:rsidP="002341A0">
            <w:pPr>
              <w:autoSpaceDE/>
              <w:autoSpaceDN/>
              <w:adjustRightInd/>
              <w:spacing w:line="230" w:lineRule="auto"/>
              <w:jc w:val="center"/>
              <w:rPr>
                <w:rFonts w:eastAsia="Arial"/>
                <w:sz w:val="20"/>
                <w:szCs w:val="20"/>
              </w:rPr>
            </w:pPr>
            <w:r w:rsidRPr="007C51D6">
              <w:rPr>
                <w:rFonts w:eastAsia="Arial"/>
                <w:sz w:val="20"/>
                <w:szCs w:val="20"/>
              </w:rPr>
              <w:t>10,2</w:t>
            </w:r>
          </w:p>
        </w:tc>
        <w:tc>
          <w:tcPr>
            <w:tcW w:w="1212" w:type="dxa"/>
          </w:tcPr>
          <w:p w:rsidR="002341A0" w:rsidRPr="007C51D6" w:rsidRDefault="002341A0" w:rsidP="002341A0">
            <w:pPr>
              <w:autoSpaceDE/>
              <w:autoSpaceDN/>
              <w:adjustRightInd/>
              <w:spacing w:line="230" w:lineRule="auto"/>
              <w:jc w:val="center"/>
              <w:rPr>
                <w:rFonts w:eastAsia="Arial"/>
                <w:sz w:val="20"/>
                <w:szCs w:val="20"/>
              </w:rPr>
            </w:pPr>
            <w:r w:rsidRPr="007C51D6">
              <w:rPr>
                <w:rFonts w:eastAsia="Arial"/>
                <w:sz w:val="20"/>
                <w:szCs w:val="20"/>
              </w:rPr>
              <w:t>10,8</w:t>
            </w:r>
          </w:p>
        </w:tc>
        <w:tc>
          <w:tcPr>
            <w:tcW w:w="1212" w:type="dxa"/>
          </w:tcPr>
          <w:p w:rsidR="002341A0" w:rsidRPr="007C51D6" w:rsidRDefault="002341A0" w:rsidP="002341A0">
            <w:pPr>
              <w:autoSpaceDE/>
              <w:autoSpaceDN/>
              <w:adjustRightInd/>
              <w:spacing w:line="230" w:lineRule="auto"/>
              <w:jc w:val="center"/>
              <w:rPr>
                <w:rFonts w:eastAsia="Arial"/>
                <w:sz w:val="20"/>
                <w:szCs w:val="20"/>
              </w:rPr>
            </w:pPr>
            <w:r w:rsidRPr="007C51D6">
              <w:rPr>
                <w:rFonts w:eastAsia="Arial"/>
                <w:sz w:val="20"/>
                <w:szCs w:val="20"/>
              </w:rPr>
              <w:t>8,8</w:t>
            </w:r>
          </w:p>
        </w:tc>
        <w:tc>
          <w:tcPr>
            <w:tcW w:w="1212" w:type="dxa"/>
          </w:tcPr>
          <w:p w:rsidR="002341A0" w:rsidRPr="007C51D6" w:rsidRDefault="002341A0" w:rsidP="002341A0">
            <w:pPr>
              <w:autoSpaceDE/>
              <w:autoSpaceDN/>
              <w:adjustRightInd/>
              <w:spacing w:line="230" w:lineRule="auto"/>
              <w:jc w:val="center"/>
              <w:rPr>
                <w:rFonts w:eastAsia="Arial"/>
                <w:sz w:val="20"/>
                <w:szCs w:val="20"/>
              </w:rPr>
            </w:pPr>
            <w:r w:rsidRPr="007C51D6">
              <w:rPr>
                <w:rFonts w:eastAsia="Arial"/>
                <w:sz w:val="20"/>
                <w:szCs w:val="20"/>
              </w:rPr>
              <w:t>9,6</w:t>
            </w:r>
          </w:p>
        </w:tc>
        <w:tc>
          <w:tcPr>
            <w:tcW w:w="1212" w:type="dxa"/>
          </w:tcPr>
          <w:p w:rsidR="002341A0" w:rsidRPr="007C51D6" w:rsidRDefault="002341A0" w:rsidP="002341A0">
            <w:pPr>
              <w:autoSpaceDE/>
              <w:autoSpaceDN/>
              <w:adjustRightInd/>
              <w:spacing w:line="230" w:lineRule="auto"/>
              <w:jc w:val="center"/>
              <w:rPr>
                <w:rFonts w:eastAsia="Arial"/>
                <w:sz w:val="20"/>
                <w:szCs w:val="20"/>
              </w:rPr>
            </w:pPr>
            <w:r w:rsidRPr="007C51D6">
              <w:rPr>
                <w:rFonts w:eastAsia="Arial"/>
                <w:sz w:val="20"/>
                <w:szCs w:val="20"/>
              </w:rPr>
              <w:t>11,5</w:t>
            </w:r>
          </w:p>
        </w:tc>
        <w:tc>
          <w:tcPr>
            <w:tcW w:w="1212" w:type="dxa"/>
          </w:tcPr>
          <w:p w:rsidR="002341A0" w:rsidRPr="007C51D6" w:rsidRDefault="002341A0" w:rsidP="002341A0">
            <w:pPr>
              <w:autoSpaceDE/>
              <w:autoSpaceDN/>
              <w:adjustRightInd/>
              <w:spacing w:line="230" w:lineRule="auto"/>
              <w:jc w:val="center"/>
              <w:rPr>
                <w:rFonts w:eastAsia="Arial"/>
                <w:sz w:val="20"/>
                <w:szCs w:val="20"/>
              </w:rPr>
            </w:pPr>
            <w:r w:rsidRPr="007C51D6">
              <w:rPr>
                <w:rFonts w:eastAsia="Arial"/>
                <w:sz w:val="20"/>
                <w:szCs w:val="20"/>
              </w:rPr>
              <w:t>9,4</w:t>
            </w:r>
          </w:p>
        </w:tc>
        <w:tc>
          <w:tcPr>
            <w:tcW w:w="1212" w:type="dxa"/>
          </w:tcPr>
          <w:p w:rsidR="002341A0" w:rsidRPr="007C51D6" w:rsidRDefault="002341A0" w:rsidP="002341A0">
            <w:pPr>
              <w:autoSpaceDE/>
              <w:autoSpaceDN/>
              <w:adjustRightInd/>
              <w:spacing w:line="230" w:lineRule="auto"/>
              <w:jc w:val="center"/>
              <w:rPr>
                <w:rFonts w:eastAsia="Arial"/>
                <w:sz w:val="20"/>
                <w:szCs w:val="20"/>
              </w:rPr>
            </w:pPr>
            <w:r w:rsidRPr="007C51D6">
              <w:rPr>
                <w:rFonts w:eastAsia="Arial"/>
                <w:sz w:val="20"/>
                <w:szCs w:val="20"/>
              </w:rPr>
              <w:t>8,7</w:t>
            </w:r>
          </w:p>
        </w:tc>
        <w:tc>
          <w:tcPr>
            <w:tcW w:w="1212" w:type="dxa"/>
          </w:tcPr>
          <w:p w:rsidR="002341A0" w:rsidRPr="007C51D6" w:rsidRDefault="002341A0" w:rsidP="002341A0">
            <w:pPr>
              <w:autoSpaceDE/>
              <w:autoSpaceDN/>
              <w:adjustRightInd/>
              <w:spacing w:line="230" w:lineRule="auto"/>
              <w:jc w:val="center"/>
              <w:rPr>
                <w:rFonts w:eastAsia="Arial"/>
                <w:sz w:val="20"/>
                <w:szCs w:val="20"/>
              </w:rPr>
            </w:pPr>
            <w:r w:rsidRPr="007C51D6">
              <w:rPr>
                <w:rFonts w:eastAsia="Arial"/>
                <w:sz w:val="20"/>
                <w:szCs w:val="20"/>
              </w:rPr>
              <w:t>10,0</w:t>
            </w:r>
          </w:p>
        </w:tc>
        <w:tc>
          <w:tcPr>
            <w:tcW w:w="1212" w:type="dxa"/>
            <w:vAlign w:val="bottom"/>
          </w:tcPr>
          <w:p w:rsidR="002341A0" w:rsidRPr="007C51D6" w:rsidRDefault="002341A0" w:rsidP="002341A0">
            <w:pPr>
              <w:jc w:val="center"/>
              <w:rPr>
                <w:color w:val="000000"/>
                <w:sz w:val="20"/>
                <w:szCs w:val="20"/>
              </w:rPr>
            </w:pPr>
            <w:r w:rsidRPr="007C51D6">
              <w:rPr>
                <w:color w:val="000000"/>
                <w:sz w:val="20"/>
                <w:szCs w:val="20"/>
              </w:rPr>
              <w:t>9,3</w:t>
            </w:r>
          </w:p>
        </w:tc>
      </w:tr>
      <w:tr w:rsidR="002341A0" w:rsidRPr="007C51D6" w:rsidTr="0038114E">
        <w:trPr>
          <w:trHeight w:val="20"/>
        </w:trPr>
        <w:tc>
          <w:tcPr>
            <w:tcW w:w="1838" w:type="dxa"/>
            <w:vMerge/>
          </w:tcPr>
          <w:p w:rsidR="002341A0" w:rsidRPr="007C51D6" w:rsidRDefault="002341A0" w:rsidP="002341A0">
            <w:pPr>
              <w:spacing w:line="230" w:lineRule="auto"/>
              <w:rPr>
                <w:rFonts w:eastAsia="Arial"/>
                <w:sz w:val="20"/>
                <w:szCs w:val="20"/>
                <w:lang w:val="en-US"/>
              </w:rPr>
            </w:pPr>
          </w:p>
        </w:tc>
        <w:tc>
          <w:tcPr>
            <w:tcW w:w="1276" w:type="dxa"/>
          </w:tcPr>
          <w:p w:rsidR="002341A0" w:rsidRPr="007C51D6" w:rsidRDefault="002341A0" w:rsidP="002341A0">
            <w:pPr>
              <w:spacing w:line="230" w:lineRule="auto"/>
              <w:jc w:val="both"/>
            </w:pPr>
            <w:r w:rsidRPr="007C51D6">
              <w:rPr>
                <w:rFonts w:eastAsia="Arial"/>
                <w:sz w:val="20"/>
                <w:szCs w:val="20"/>
                <w:lang w:val="en-US"/>
              </w:rPr>
              <w:t>IV</w:t>
            </w:r>
            <w:r w:rsidRPr="007C51D6">
              <w:rPr>
                <w:rFonts w:eastAsia="Arial"/>
                <w:sz w:val="20"/>
                <w:szCs w:val="20"/>
              </w:rPr>
              <w:t xml:space="preserve"> стадия</w:t>
            </w:r>
          </w:p>
        </w:tc>
        <w:tc>
          <w:tcPr>
            <w:tcW w:w="1210" w:type="dxa"/>
          </w:tcPr>
          <w:p w:rsidR="002341A0" w:rsidRPr="007C51D6" w:rsidRDefault="002341A0" w:rsidP="002341A0">
            <w:pPr>
              <w:autoSpaceDE/>
              <w:autoSpaceDN/>
              <w:adjustRightInd/>
              <w:spacing w:line="230" w:lineRule="auto"/>
              <w:jc w:val="center"/>
              <w:rPr>
                <w:rFonts w:eastAsia="Arial"/>
                <w:sz w:val="20"/>
                <w:szCs w:val="20"/>
              </w:rPr>
            </w:pPr>
            <w:r w:rsidRPr="007C51D6">
              <w:rPr>
                <w:rFonts w:eastAsia="Arial"/>
                <w:sz w:val="20"/>
                <w:szCs w:val="20"/>
              </w:rPr>
              <w:t>21,0</w:t>
            </w:r>
          </w:p>
        </w:tc>
        <w:tc>
          <w:tcPr>
            <w:tcW w:w="1211" w:type="dxa"/>
          </w:tcPr>
          <w:p w:rsidR="002341A0" w:rsidRPr="007C51D6" w:rsidRDefault="002341A0" w:rsidP="002341A0">
            <w:pPr>
              <w:autoSpaceDE/>
              <w:autoSpaceDN/>
              <w:adjustRightInd/>
              <w:spacing w:line="230" w:lineRule="auto"/>
              <w:jc w:val="center"/>
              <w:rPr>
                <w:rFonts w:eastAsia="Arial"/>
                <w:sz w:val="20"/>
                <w:szCs w:val="20"/>
              </w:rPr>
            </w:pPr>
            <w:r w:rsidRPr="007C51D6">
              <w:rPr>
                <w:rFonts w:eastAsia="Arial"/>
                <w:sz w:val="20"/>
                <w:szCs w:val="20"/>
              </w:rPr>
              <w:t>20,3</w:t>
            </w:r>
          </w:p>
        </w:tc>
        <w:tc>
          <w:tcPr>
            <w:tcW w:w="1212" w:type="dxa"/>
          </w:tcPr>
          <w:p w:rsidR="002341A0" w:rsidRPr="007C51D6" w:rsidRDefault="002341A0" w:rsidP="002341A0">
            <w:pPr>
              <w:autoSpaceDE/>
              <w:autoSpaceDN/>
              <w:adjustRightInd/>
              <w:spacing w:line="230" w:lineRule="auto"/>
              <w:jc w:val="center"/>
              <w:rPr>
                <w:rFonts w:eastAsia="Arial"/>
                <w:sz w:val="20"/>
                <w:szCs w:val="20"/>
              </w:rPr>
            </w:pPr>
            <w:r w:rsidRPr="007C51D6">
              <w:rPr>
                <w:rFonts w:eastAsia="Arial"/>
                <w:sz w:val="20"/>
                <w:szCs w:val="20"/>
              </w:rPr>
              <w:t>22,6</w:t>
            </w:r>
          </w:p>
        </w:tc>
        <w:tc>
          <w:tcPr>
            <w:tcW w:w="1212" w:type="dxa"/>
          </w:tcPr>
          <w:p w:rsidR="002341A0" w:rsidRPr="007C51D6" w:rsidRDefault="002341A0" w:rsidP="002341A0">
            <w:pPr>
              <w:autoSpaceDE/>
              <w:autoSpaceDN/>
              <w:adjustRightInd/>
              <w:spacing w:line="230" w:lineRule="auto"/>
              <w:jc w:val="center"/>
              <w:rPr>
                <w:rFonts w:eastAsia="Arial"/>
                <w:sz w:val="20"/>
                <w:szCs w:val="20"/>
              </w:rPr>
            </w:pPr>
            <w:r w:rsidRPr="007C51D6">
              <w:rPr>
                <w:rFonts w:eastAsia="Arial"/>
                <w:sz w:val="20"/>
                <w:szCs w:val="20"/>
              </w:rPr>
              <w:t>22,5</w:t>
            </w:r>
          </w:p>
        </w:tc>
        <w:tc>
          <w:tcPr>
            <w:tcW w:w="1212" w:type="dxa"/>
          </w:tcPr>
          <w:p w:rsidR="002341A0" w:rsidRPr="007C51D6" w:rsidRDefault="002341A0" w:rsidP="002341A0">
            <w:pPr>
              <w:autoSpaceDE/>
              <w:autoSpaceDN/>
              <w:adjustRightInd/>
              <w:spacing w:line="230" w:lineRule="auto"/>
              <w:jc w:val="center"/>
              <w:rPr>
                <w:rFonts w:eastAsia="Arial"/>
                <w:sz w:val="20"/>
                <w:szCs w:val="20"/>
              </w:rPr>
            </w:pPr>
            <w:r w:rsidRPr="007C51D6">
              <w:rPr>
                <w:rFonts w:eastAsia="Arial"/>
                <w:sz w:val="20"/>
                <w:szCs w:val="20"/>
              </w:rPr>
              <w:t>19,3</w:t>
            </w:r>
          </w:p>
        </w:tc>
        <w:tc>
          <w:tcPr>
            <w:tcW w:w="1212" w:type="dxa"/>
          </w:tcPr>
          <w:p w:rsidR="002341A0" w:rsidRPr="007C51D6" w:rsidRDefault="002341A0" w:rsidP="002341A0">
            <w:pPr>
              <w:autoSpaceDE/>
              <w:autoSpaceDN/>
              <w:adjustRightInd/>
              <w:spacing w:line="230" w:lineRule="auto"/>
              <w:jc w:val="center"/>
              <w:rPr>
                <w:rFonts w:eastAsia="Arial"/>
                <w:sz w:val="20"/>
                <w:szCs w:val="20"/>
              </w:rPr>
            </w:pPr>
            <w:r w:rsidRPr="007C51D6">
              <w:rPr>
                <w:rFonts w:eastAsia="Arial"/>
                <w:sz w:val="20"/>
                <w:szCs w:val="20"/>
              </w:rPr>
              <w:t>19,2</w:t>
            </w:r>
          </w:p>
        </w:tc>
        <w:tc>
          <w:tcPr>
            <w:tcW w:w="1212" w:type="dxa"/>
          </w:tcPr>
          <w:p w:rsidR="002341A0" w:rsidRPr="007C51D6" w:rsidRDefault="002341A0" w:rsidP="002341A0">
            <w:pPr>
              <w:autoSpaceDE/>
              <w:autoSpaceDN/>
              <w:adjustRightInd/>
              <w:spacing w:line="230" w:lineRule="auto"/>
              <w:jc w:val="center"/>
              <w:rPr>
                <w:rFonts w:eastAsia="Arial"/>
                <w:sz w:val="20"/>
                <w:szCs w:val="20"/>
              </w:rPr>
            </w:pPr>
            <w:r w:rsidRPr="007C51D6">
              <w:rPr>
                <w:rFonts w:eastAsia="Arial"/>
                <w:sz w:val="20"/>
                <w:szCs w:val="20"/>
              </w:rPr>
              <w:t>19,9</w:t>
            </w:r>
          </w:p>
        </w:tc>
        <w:tc>
          <w:tcPr>
            <w:tcW w:w="1212" w:type="dxa"/>
          </w:tcPr>
          <w:p w:rsidR="002341A0" w:rsidRPr="007C51D6" w:rsidRDefault="002341A0" w:rsidP="002341A0">
            <w:pPr>
              <w:autoSpaceDE/>
              <w:autoSpaceDN/>
              <w:adjustRightInd/>
              <w:spacing w:line="230" w:lineRule="auto"/>
              <w:jc w:val="center"/>
              <w:rPr>
                <w:rFonts w:eastAsia="Arial"/>
                <w:sz w:val="20"/>
                <w:szCs w:val="20"/>
              </w:rPr>
            </w:pPr>
            <w:r w:rsidRPr="007C51D6">
              <w:rPr>
                <w:rFonts w:eastAsia="Arial"/>
                <w:sz w:val="20"/>
                <w:szCs w:val="20"/>
              </w:rPr>
              <w:t>19,4</w:t>
            </w:r>
          </w:p>
        </w:tc>
        <w:tc>
          <w:tcPr>
            <w:tcW w:w="1212" w:type="dxa"/>
          </w:tcPr>
          <w:p w:rsidR="002341A0" w:rsidRPr="007C51D6" w:rsidRDefault="002341A0" w:rsidP="002341A0">
            <w:pPr>
              <w:autoSpaceDE/>
              <w:autoSpaceDN/>
              <w:adjustRightInd/>
              <w:spacing w:line="230" w:lineRule="auto"/>
              <w:jc w:val="center"/>
              <w:rPr>
                <w:rFonts w:eastAsia="Arial"/>
                <w:sz w:val="20"/>
                <w:szCs w:val="20"/>
              </w:rPr>
            </w:pPr>
            <w:r w:rsidRPr="007C51D6">
              <w:rPr>
                <w:rFonts w:eastAsia="Arial"/>
                <w:sz w:val="20"/>
                <w:szCs w:val="20"/>
              </w:rPr>
              <w:t>18,1</w:t>
            </w:r>
          </w:p>
        </w:tc>
        <w:tc>
          <w:tcPr>
            <w:tcW w:w="1212" w:type="dxa"/>
            <w:vAlign w:val="bottom"/>
          </w:tcPr>
          <w:p w:rsidR="002341A0" w:rsidRPr="007C51D6" w:rsidRDefault="002341A0" w:rsidP="002341A0">
            <w:pPr>
              <w:jc w:val="center"/>
              <w:rPr>
                <w:color w:val="000000"/>
                <w:sz w:val="20"/>
                <w:szCs w:val="20"/>
              </w:rPr>
            </w:pPr>
            <w:r w:rsidRPr="007C51D6">
              <w:rPr>
                <w:color w:val="000000"/>
                <w:sz w:val="20"/>
                <w:szCs w:val="20"/>
              </w:rPr>
              <w:t>19,2</w:t>
            </w:r>
          </w:p>
        </w:tc>
      </w:tr>
      <w:tr w:rsidR="002341A0" w:rsidRPr="007C51D6" w:rsidTr="0038114E">
        <w:trPr>
          <w:trHeight w:val="20"/>
        </w:trPr>
        <w:tc>
          <w:tcPr>
            <w:tcW w:w="1838" w:type="dxa"/>
            <w:vMerge/>
          </w:tcPr>
          <w:p w:rsidR="002341A0" w:rsidRPr="007C51D6" w:rsidRDefault="002341A0" w:rsidP="002341A0">
            <w:pPr>
              <w:autoSpaceDE/>
              <w:autoSpaceDN/>
              <w:adjustRightInd/>
              <w:spacing w:line="230" w:lineRule="auto"/>
              <w:rPr>
                <w:rFonts w:eastAsia="Arial"/>
                <w:sz w:val="20"/>
                <w:szCs w:val="20"/>
              </w:rPr>
            </w:pPr>
          </w:p>
        </w:tc>
        <w:tc>
          <w:tcPr>
            <w:tcW w:w="1276" w:type="dxa"/>
          </w:tcPr>
          <w:p w:rsidR="002341A0" w:rsidRPr="007C51D6" w:rsidRDefault="002341A0" w:rsidP="002341A0">
            <w:pPr>
              <w:autoSpaceDE/>
              <w:autoSpaceDN/>
              <w:adjustRightInd/>
              <w:spacing w:line="230" w:lineRule="auto"/>
              <w:jc w:val="both"/>
              <w:rPr>
                <w:rFonts w:eastAsia="Arial"/>
                <w:sz w:val="20"/>
                <w:szCs w:val="20"/>
              </w:rPr>
            </w:pPr>
            <w:r w:rsidRPr="007C51D6">
              <w:rPr>
                <w:rFonts w:eastAsia="Arial"/>
                <w:sz w:val="20"/>
                <w:szCs w:val="20"/>
              </w:rPr>
              <w:t>без стадии</w:t>
            </w:r>
          </w:p>
        </w:tc>
        <w:tc>
          <w:tcPr>
            <w:tcW w:w="1210" w:type="dxa"/>
          </w:tcPr>
          <w:p w:rsidR="002341A0" w:rsidRPr="007C51D6" w:rsidRDefault="002341A0" w:rsidP="002341A0">
            <w:pPr>
              <w:autoSpaceDE/>
              <w:autoSpaceDN/>
              <w:adjustRightInd/>
              <w:spacing w:line="230" w:lineRule="auto"/>
              <w:jc w:val="center"/>
              <w:rPr>
                <w:rFonts w:eastAsia="Arial"/>
                <w:sz w:val="20"/>
                <w:szCs w:val="20"/>
              </w:rPr>
            </w:pPr>
            <w:r w:rsidRPr="007C51D6">
              <w:rPr>
                <w:rFonts w:eastAsia="Arial"/>
                <w:sz w:val="20"/>
                <w:szCs w:val="20"/>
              </w:rPr>
              <w:t>0,2</w:t>
            </w:r>
          </w:p>
        </w:tc>
        <w:tc>
          <w:tcPr>
            <w:tcW w:w="1211" w:type="dxa"/>
          </w:tcPr>
          <w:p w:rsidR="002341A0" w:rsidRPr="007C51D6" w:rsidRDefault="002341A0" w:rsidP="002341A0">
            <w:pPr>
              <w:autoSpaceDE/>
              <w:autoSpaceDN/>
              <w:adjustRightInd/>
              <w:spacing w:line="230" w:lineRule="auto"/>
              <w:jc w:val="center"/>
              <w:rPr>
                <w:rFonts w:eastAsia="Arial"/>
                <w:sz w:val="20"/>
                <w:szCs w:val="20"/>
              </w:rPr>
            </w:pPr>
            <w:r w:rsidRPr="007C51D6">
              <w:rPr>
                <w:rFonts w:eastAsia="Arial"/>
                <w:sz w:val="20"/>
                <w:szCs w:val="20"/>
              </w:rPr>
              <w:t>0</w:t>
            </w:r>
          </w:p>
        </w:tc>
        <w:tc>
          <w:tcPr>
            <w:tcW w:w="1212" w:type="dxa"/>
          </w:tcPr>
          <w:p w:rsidR="002341A0" w:rsidRPr="007C51D6" w:rsidRDefault="002341A0" w:rsidP="002341A0">
            <w:pPr>
              <w:autoSpaceDE/>
              <w:autoSpaceDN/>
              <w:adjustRightInd/>
              <w:spacing w:line="230" w:lineRule="auto"/>
              <w:jc w:val="center"/>
              <w:rPr>
                <w:rFonts w:eastAsia="Arial"/>
                <w:sz w:val="20"/>
                <w:szCs w:val="20"/>
              </w:rPr>
            </w:pPr>
            <w:r w:rsidRPr="007C51D6">
              <w:rPr>
                <w:rFonts w:eastAsia="Arial"/>
                <w:sz w:val="20"/>
                <w:szCs w:val="20"/>
              </w:rPr>
              <w:t>0</w:t>
            </w:r>
          </w:p>
        </w:tc>
        <w:tc>
          <w:tcPr>
            <w:tcW w:w="1212" w:type="dxa"/>
          </w:tcPr>
          <w:p w:rsidR="002341A0" w:rsidRPr="007C51D6" w:rsidRDefault="002341A0" w:rsidP="002341A0">
            <w:pPr>
              <w:autoSpaceDE/>
              <w:autoSpaceDN/>
              <w:adjustRightInd/>
              <w:spacing w:line="230" w:lineRule="auto"/>
              <w:jc w:val="center"/>
              <w:rPr>
                <w:rFonts w:eastAsia="Arial"/>
                <w:sz w:val="20"/>
                <w:szCs w:val="20"/>
              </w:rPr>
            </w:pPr>
            <w:r w:rsidRPr="007C51D6">
              <w:rPr>
                <w:rFonts w:eastAsia="Arial"/>
                <w:sz w:val="20"/>
                <w:szCs w:val="20"/>
              </w:rPr>
              <w:t>0</w:t>
            </w:r>
          </w:p>
        </w:tc>
        <w:tc>
          <w:tcPr>
            <w:tcW w:w="1212" w:type="dxa"/>
          </w:tcPr>
          <w:p w:rsidR="002341A0" w:rsidRPr="007C51D6" w:rsidRDefault="002341A0" w:rsidP="002341A0">
            <w:pPr>
              <w:autoSpaceDE/>
              <w:autoSpaceDN/>
              <w:adjustRightInd/>
              <w:spacing w:line="230" w:lineRule="auto"/>
              <w:jc w:val="center"/>
              <w:rPr>
                <w:rFonts w:eastAsia="Arial"/>
                <w:sz w:val="20"/>
                <w:szCs w:val="20"/>
              </w:rPr>
            </w:pPr>
            <w:r w:rsidRPr="007C51D6">
              <w:rPr>
                <w:rFonts w:eastAsia="Arial"/>
                <w:sz w:val="20"/>
                <w:szCs w:val="20"/>
              </w:rPr>
              <w:t>0,2</w:t>
            </w:r>
          </w:p>
        </w:tc>
        <w:tc>
          <w:tcPr>
            <w:tcW w:w="1212" w:type="dxa"/>
          </w:tcPr>
          <w:p w:rsidR="002341A0" w:rsidRPr="007C51D6" w:rsidRDefault="002341A0" w:rsidP="002341A0">
            <w:pPr>
              <w:autoSpaceDE/>
              <w:autoSpaceDN/>
              <w:adjustRightInd/>
              <w:spacing w:line="230" w:lineRule="auto"/>
              <w:jc w:val="center"/>
              <w:rPr>
                <w:rFonts w:eastAsia="Arial"/>
                <w:sz w:val="20"/>
                <w:szCs w:val="20"/>
              </w:rPr>
            </w:pPr>
            <w:r w:rsidRPr="007C51D6">
              <w:rPr>
                <w:rFonts w:eastAsia="Arial"/>
                <w:sz w:val="20"/>
                <w:szCs w:val="20"/>
              </w:rPr>
              <w:t>0,3</w:t>
            </w:r>
          </w:p>
        </w:tc>
        <w:tc>
          <w:tcPr>
            <w:tcW w:w="1212" w:type="dxa"/>
          </w:tcPr>
          <w:p w:rsidR="002341A0" w:rsidRPr="007C51D6" w:rsidRDefault="002341A0" w:rsidP="002341A0">
            <w:pPr>
              <w:autoSpaceDE/>
              <w:autoSpaceDN/>
              <w:adjustRightInd/>
              <w:spacing w:line="230" w:lineRule="auto"/>
              <w:jc w:val="center"/>
              <w:rPr>
                <w:rFonts w:eastAsia="Arial"/>
                <w:sz w:val="20"/>
                <w:szCs w:val="20"/>
              </w:rPr>
            </w:pPr>
            <w:r w:rsidRPr="007C51D6">
              <w:rPr>
                <w:rFonts w:eastAsia="Arial"/>
                <w:sz w:val="20"/>
                <w:szCs w:val="20"/>
              </w:rPr>
              <w:t>0</w:t>
            </w:r>
          </w:p>
        </w:tc>
        <w:tc>
          <w:tcPr>
            <w:tcW w:w="1212" w:type="dxa"/>
          </w:tcPr>
          <w:p w:rsidR="002341A0" w:rsidRPr="007C51D6" w:rsidRDefault="002341A0" w:rsidP="002341A0">
            <w:pPr>
              <w:autoSpaceDE/>
              <w:autoSpaceDN/>
              <w:adjustRightInd/>
              <w:spacing w:line="230" w:lineRule="auto"/>
              <w:jc w:val="center"/>
              <w:rPr>
                <w:rFonts w:eastAsia="Arial"/>
                <w:sz w:val="20"/>
                <w:szCs w:val="20"/>
              </w:rPr>
            </w:pPr>
            <w:r w:rsidRPr="007C51D6">
              <w:rPr>
                <w:rFonts w:eastAsia="Arial"/>
                <w:sz w:val="20"/>
                <w:szCs w:val="20"/>
              </w:rPr>
              <w:t>0</w:t>
            </w:r>
          </w:p>
        </w:tc>
        <w:tc>
          <w:tcPr>
            <w:tcW w:w="1212" w:type="dxa"/>
          </w:tcPr>
          <w:p w:rsidR="002341A0" w:rsidRPr="007C51D6" w:rsidRDefault="002341A0" w:rsidP="002341A0">
            <w:pPr>
              <w:autoSpaceDE/>
              <w:autoSpaceDN/>
              <w:adjustRightInd/>
              <w:spacing w:line="230" w:lineRule="auto"/>
              <w:jc w:val="center"/>
              <w:rPr>
                <w:rFonts w:eastAsia="Arial"/>
                <w:sz w:val="20"/>
                <w:szCs w:val="20"/>
              </w:rPr>
            </w:pPr>
            <w:r w:rsidRPr="007C51D6">
              <w:rPr>
                <w:rFonts w:eastAsia="Arial"/>
                <w:sz w:val="20"/>
                <w:szCs w:val="20"/>
              </w:rPr>
              <w:t>0</w:t>
            </w:r>
          </w:p>
        </w:tc>
        <w:tc>
          <w:tcPr>
            <w:tcW w:w="1212" w:type="dxa"/>
            <w:vAlign w:val="bottom"/>
          </w:tcPr>
          <w:p w:rsidR="002341A0" w:rsidRPr="007C51D6" w:rsidRDefault="002341A0" w:rsidP="002341A0">
            <w:pPr>
              <w:jc w:val="center"/>
              <w:rPr>
                <w:color w:val="000000"/>
                <w:sz w:val="20"/>
                <w:szCs w:val="20"/>
              </w:rPr>
            </w:pPr>
            <w:r w:rsidRPr="007C51D6">
              <w:rPr>
                <w:color w:val="000000"/>
                <w:sz w:val="20"/>
                <w:szCs w:val="20"/>
              </w:rPr>
              <w:t>0,3</w:t>
            </w:r>
          </w:p>
        </w:tc>
      </w:tr>
    </w:tbl>
    <w:p w:rsidR="009A4538" w:rsidRPr="007C51D6" w:rsidRDefault="009A4538">
      <w:pPr>
        <w:rPr>
          <w:sz w:val="2"/>
          <w:szCs w:val="2"/>
        </w:rPr>
      </w:pPr>
    </w:p>
    <w:p w:rsidR="001E413C" w:rsidRPr="007C51D6" w:rsidRDefault="001E413C" w:rsidP="001E413C">
      <w:pPr>
        <w:autoSpaceDE/>
        <w:autoSpaceDN/>
        <w:adjustRightInd/>
        <w:spacing w:before="120"/>
        <w:ind w:firstLine="709"/>
        <w:rPr>
          <w:rFonts w:eastAsia="Arial"/>
          <w:sz w:val="28"/>
          <w:szCs w:val="28"/>
        </w:rPr>
      </w:pPr>
      <w:r w:rsidRPr="007C51D6">
        <w:rPr>
          <w:rFonts w:eastAsia="Arial"/>
          <w:sz w:val="20"/>
          <w:szCs w:val="20"/>
        </w:rPr>
        <w:t>*Представлены оперативные данные.</w:t>
      </w:r>
    </w:p>
    <w:p w:rsidR="00A85F2F" w:rsidRPr="007C51D6" w:rsidRDefault="00A85F2F" w:rsidP="00724466">
      <w:pPr>
        <w:autoSpaceDE/>
        <w:autoSpaceDN/>
        <w:adjustRightInd/>
        <w:ind w:firstLine="709"/>
        <w:jc w:val="both"/>
        <w:rPr>
          <w:rFonts w:eastAsia="Arial"/>
          <w:sz w:val="28"/>
          <w:szCs w:val="28"/>
        </w:rPr>
      </w:pPr>
    </w:p>
    <w:p w:rsidR="00724466" w:rsidRPr="007C51D6" w:rsidRDefault="00724466" w:rsidP="00417BDB">
      <w:pPr>
        <w:autoSpaceDE/>
        <w:autoSpaceDN/>
        <w:adjustRightInd/>
        <w:spacing w:line="233" w:lineRule="auto"/>
        <w:ind w:firstLine="709"/>
        <w:jc w:val="both"/>
        <w:rPr>
          <w:rFonts w:eastAsia="Arial"/>
          <w:sz w:val="28"/>
          <w:szCs w:val="28"/>
        </w:rPr>
      </w:pPr>
      <w:r w:rsidRPr="007C51D6">
        <w:rPr>
          <w:rFonts w:eastAsia="Arial"/>
          <w:sz w:val="28"/>
          <w:szCs w:val="28"/>
        </w:rPr>
        <w:t>За период с 201</w:t>
      </w:r>
      <w:r w:rsidR="0038114E" w:rsidRPr="007C51D6">
        <w:rPr>
          <w:rFonts w:eastAsia="Arial"/>
          <w:sz w:val="28"/>
          <w:szCs w:val="28"/>
        </w:rPr>
        <w:t>6</w:t>
      </w:r>
      <w:r w:rsidRPr="007C51D6">
        <w:rPr>
          <w:rFonts w:eastAsia="Arial"/>
          <w:sz w:val="28"/>
          <w:szCs w:val="28"/>
        </w:rPr>
        <w:t xml:space="preserve"> по 202</w:t>
      </w:r>
      <w:r w:rsidR="0038114E" w:rsidRPr="007C51D6">
        <w:rPr>
          <w:rFonts w:eastAsia="Arial"/>
          <w:sz w:val="28"/>
          <w:szCs w:val="28"/>
        </w:rPr>
        <w:t>5</w:t>
      </w:r>
      <w:r w:rsidRPr="007C51D6">
        <w:rPr>
          <w:rFonts w:eastAsia="Arial"/>
          <w:sz w:val="28"/>
          <w:szCs w:val="28"/>
        </w:rPr>
        <w:t xml:space="preserve"> год из числа основных локализаций ЗНО рост показателя доли I стадии при одновременном снижении доли </w:t>
      </w:r>
      <w:r w:rsidRPr="007C51D6">
        <w:rPr>
          <w:rFonts w:eastAsia="Arial"/>
          <w:sz w:val="28"/>
          <w:szCs w:val="28"/>
          <w:lang w:val="en-US"/>
        </w:rPr>
        <w:t>IV</w:t>
      </w:r>
      <w:r w:rsidRPr="007C51D6">
        <w:rPr>
          <w:rFonts w:eastAsia="Arial"/>
          <w:sz w:val="28"/>
          <w:szCs w:val="28"/>
        </w:rPr>
        <w:t xml:space="preserve"> стадии зарегистрирован при ЗНО молочной железы, трахеи, бронхов, легких, ободочной кишки, желудка, прямой кишки, ректосигмоидного соединения, ануса, почки. </w:t>
      </w:r>
    </w:p>
    <w:p w:rsidR="00724466" w:rsidRPr="007C51D6" w:rsidRDefault="00724466" w:rsidP="00417BDB">
      <w:pPr>
        <w:autoSpaceDE/>
        <w:autoSpaceDN/>
        <w:adjustRightInd/>
        <w:spacing w:line="233" w:lineRule="auto"/>
        <w:ind w:firstLine="709"/>
        <w:jc w:val="both"/>
        <w:rPr>
          <w:rFonts w:eastAsia="Arial"/>
          <w:sz w:val="28"/>
          <w:szCs w:val="28"/>
        </w:rPr>
      </w:pPr>
      <w:r w:rsidRPr="007C51D6">
        <w:rPr>
          <w:rFonts w:eastAsia="Arial"/>
          <w:sz w:val="28"/>
          <w:szCs w:val="28"/>
        </w:rPr>
        <w:t xml:space="preserve">При этом зарегистрировано снижение показателя доли I стадии при одновременном росте доли </w:t>
      </w:r>
      <w:r w:rsidRPr="007C51D6">
        <w:rPr>
          <w:rFonts w:eastAsia="Arial"/>
          <w:sz w:val="28"/>
          <w:szCs w:val="28"/>
          <w:lang w:val="en-US"/>
        </w:rPr>
        <w:t>IV</w:t>
      </w:r>
      <w:r w:rsidRPr="007C51D6">
        <w:rPr>
          <w:rFonts w:eastAsia="Arial"/>
          <w:sz w:val="28"/>
          <w:szCs w:val="28"/>
        </w:rPr>
        <w:t xml:space="preserve"> стадии при ЗНО предстательной железы. </w:t>
      </w:r>
    </w:p>
    <w:p w:rsidR="00724466" w:rsidRPr="007C51D6" w:rsidRDefault="00724466" w:rsidP="00417BDB">
      <w:pPr>
        <w:autoSpaceDE/>
        <w:autoSpaceDN/>
        <w:adjustRightInd/>
        <w:spacing w:line="233" w:lineRule="auto"/>
        <w:ind w:firstLine="709"/>
        <w:jc w:val="both"/>
        <w:rPr>
          <w:sz w:val="28"/>
          <w:szCs w:val="28"/>
        </w:rPr>
      </w:pPr>
      <w:r w:rsidRPr="007C51D6">
        <w:rPr>
          <w:rFonts w:eastAsia="Arial"/>
          <w:spacing w:val="4"/>
          <w:sz w:val="28"/>
          <w:szCs w:val="28"/>
        </w:rPr>
        <w:t xml:space="preserve">Негативная динамика в структуре впервые выявленных случаев </w:t>
      </w:r>
      <w:r w:rsidRPr="007C51D6">
        <w:rPr>
          <w:rFonts w:eastAsia="Arial"/>
          <w:sz w:val="28"/>
          <w:szCs w:val="28"/>
        </w:rPr>
        <w:t xml:space="preserve">ЗНО предстательной железы обусловлена </w:t>
      </w:r>
      <w:r w:rsidRPr="007C51D6">
        <w:rPr>
          <w:sz w:val="28"/>
          <w:szCs w:val="28"/>
        </w:rPr>
        <w:t xml:space="preserve">снижением числа выявленных случаев рака предстательной железы при диспансеризации определенных групп взрослого </w:t>
      </w:r>
      <w:r w:rsidR="00504899" w:rsidRPr="007C51D6">
        <w:rPr>
          <w:sz w:val="28"/>
          <w:szCs w:val="28"/>
        </w:rPr>
        <w:br/>
      </w:r>
      <w:r w:rsidRPr="007C51D6">
        <w:rPr>
          <w:sz w:val="28"/>
          <w:szCs w:val="28"/>
        </w:rPr>
        <w:t>населения (</w:t>
      </w:r>
      <w:r w:rsidR="00BC0CA3" w:rsidRPr="007C51D6">
        <w:rPr>
          <w:sz w:val="28"/>
          <w:szCs w:val="28"/>
        </w:rPr>
        <w:t xml:space="preserve">в 2025 году - 185, </w:t>
      </w:r>
      <w:r w:rsidRPr="007C51D6">
        <w:rPr>
          <w:sz w:val="28"/>
          <w:szCs w:val="28"/>
        </w:rPr>
        <w:t>в 2024 году – 270, в 2023 году – 223, в 2022 году – 238, в 2021 году – 51, в 2020 году – 46, в</w:t>
      </w:r>
      <w:r w:rsidR="00504899" w:rsidRPr="007C51D6">
        <w:rPr>
          <w:sz w:val="28"/>
          <w:szCs w:val="28"/>
        </w:rPr>
        <w:t xml:space="preserve"> </w:t>
      </w:r>
      <w:r w:rsidRPr="007C51D6">
        <w:rPr>
          <w:sz w:val="28"/>
          <w:szCs w:val="28"/>
        </w:rPr>
        <w:t xml:space="preserve">2019 году – 82, в 2018 году – 185, в 2017 году – 466 случаев). </w:t>
      </w:r>
    </w:p>
    <w:p w:rsidR="00724466" w:rsidRPr="007C51D6" w:rsidRDefault="00724466" w:rsidP="00417BDB">
      <w:pPr>
        <w:autoSpaceDE/>
        <w:autoSpaceDN/>
        <w:adjustRightInd/>
        <w:spacing w:line="233" w:lineRule="auto"/>
        <w:ind w:firstLine="709"/>
        <w:jc w:val="both"/>
        <w:rPr>
          <w:sz w:val="28"/>
          <w:szCs w:val="28"/>
        </w:rPr>
      </w:pPr>
      <w:r w:rsidRPr="007C51D6">
        <w:rPr>
          <w:sz w:val="28"/>
          <w:szCs w:val="28"/>
        </w:rPr>
        <w:t xml:space="preserve">В свою очередь, снижение числа выявленных случаев рака предстательной железы при </w:t>
      </w:r>
      <w:r w:rsidR="00185811">
        <w:rPr>
          <w:sz w:val="28"/>
          <w:szCs w:val="28"/>
        </w:rPr>
        <w:t>диспансеризации определенных групп взрослого населения</w:t>
      </w:r>
      <w:r w:rsidR="00185811" w:rsidRPr="007C51D6">
        <w:rPr>
          <w:sz w:val="28"/>
          <w:szCs w:val="28"/>
        </w:rPr>
        <w:t xml:space="preserve"> </w:t>
      </w:r>
      <w:r w:rsidRPr="007C51D6">
        <w:rPr>
          <w:sz w:val="28"/>
          <w:szCs w:val="28"/>
        </w:rPr>
        <w:t xml:space="preserve">вызвано периодами приостановки </w:t>
      </w:r>
      <w:r w:rsidR="00185811">
        <w:rPr>
          <w:sz w:val="28"/>
          <w:szCs w:val="28"/>
        </w:rPr>
        <w:t>диспансеризации определенных групп взрослого населения</w:t>
      </w:r>
      <w:r w:rsidR="00185811" w:rsidRPr="007C51D6">
        <w:rPr>
          <w:sz w:val="28"/>
          <w:szCs w:val="28"/>
        </w:rPr>
        <w:t xml:space="preserve"> </w:t>
      </w:r>
      <w:r w:rsidRPr="007C51D6">
        <w:rPr>
          <w:sz w:val="28"/>
          <w:szCs w:val="28"/>
        </w:rPr>
        <w:t xml:space="preserve">в 2020 – 2021 годах в связи с пандемией новой коронавирусной инфекции </w:t>
      </w:r>
      <w:r w:rsidR="00D73B6E" w:rsidRPr="007C51D6">
        <w:rPr>
          <w:sz w:val="28"/>
          <w:szCs w:val="28"/>
        </w:rPr>
        <w:t>(</w:t>
      </w:r>
      <w:r w:rsidRPr="007C51D6">
        <w:rPr>
          <w:sz w:val="28"/>
          <w:szCs w:val="28"/>
          <w:lang w:val="en-US"/>
        </w:rPr>
        <w:t>C</w:t>
      </w:r>
      <w:r w:rsidR="00D73B6E" w:rsidRPr="007C51D6">
        <w:rPr>
          <w:sz w:val="28"/>
          <w:szCs w:val="28"/>
          <w:lang w:val="en-US"/>
        </w:rPr>
        <w:t>OVID</w:t>
      </w:r>
      <w:r w:rsidRPr="007C51D6">
        <w:rPr>
          <w:sz w:val="28"/>
          <w:szCs w:val="28"/>
        </w:rPr>
        <w:t>-19</w:t>
      </w:r>
      <w:r w:rsidR="00D73B6E" w:rsidRPr="007C51D6">
        <w:rPr>
          <w:sz w:val="28"/>
          <w:szCs w:val="28"/>
        </w:rPr>
        <w:t>)</w:t>
      </w:r>
      <w:r w:rsidRPr="007C51D6">
        <w:rPr>
          <w:sz w:val="28"/>
          <w:szCs w:val="28"/>
        </w:rPr>
        <w:t xml:space="preserve">, а также изменениями в нормативных правовых актах, регламентирующих частоту проведения скрининга на рак предстательной железы (частоту проведения исследований простатспецифического антигена) в рамках </w:t>
      </w:r>
      <w:r w:rsidR="00185811">
        <w:rPr>
          <w:sz w:val="28"/>
          <w:szCs w:val="28"/>
        </w:rPr>
        <w:t>диспансеризации определенных групп взрослого населения</w:t>
      </w:r>
      <w:r w:rsidRPr="007C51D6">
        <w:rPr>
          <w:sz w:val="28"/>
          <w:szCs w:val="28"/>
        </w:rPr>
        <w:t xml:space="preserve">. </w:t>
      </w:r>
    </w:p>
    <w:p w:rsidR="00724466" w:rsidRPr="007C51D6" w:rsidRDefault="00724466" w:rsidP="002341A0">
      <w:pPr>
        <w:spacing w:line="233" w:lineRule="auto"/>
        <w:ind w:firstLine="709"/>
        <w:jc w:val="both"/>
        <w:rPr>
          <w:sz w:val="28"/>
          <w:szCs w:val="28"/>
        </w:rPr>
      </w:pPr>
      <w:r w:rsidRPr="007C51D6">
        <w:rPr>
          <w:sz w:val="28"/>
          <w:szCs w:val="28"/>
        </w:rPr>
        <w:lastRenderedPageBreak/>
        <w:t>Так, в 2015 – 2017 годах в Республике Татарстан предусматривалось проведение исследования простатспецифического антигена 1 раз в год всем мужчинам в возрасте от 51 до 81 года за счет средств бюджета Республики Татарстан в рамках приказа Министерства здравоохранения Республики Татарстан от 13.05.2015 № 877</w:t>
      </w:r>
      <w:r w:rsidR="00D3490B" w:rsidRPr="007C51D6">
        <w:rPr>
          <w:sz w:val="28"/>
          <w:szCs w:val="28"/>
        </w:rPr>
        <w:t xml:space="preserve"> «О проведении дополнительных исследований»</w:t>
      </w:r>
      <w:r w:rsidRPr="007C51D6">
        <w:rPr>
          <w:sz w:val="28"/>
          <w:szCs w:val="28"/>
        </w:rPr>
        <w:t xml:space="preserve">; </w:t>
      </w:r>
      <w:r w:rsidR="00D3490B" w:rsidRPr="007C51D6">
        <w:rPr>
          <w:sz w:val="28"/>
          <w:szCs w:val="28"/>
        </w:rPr>
        <w:br/>
      </w:r>
      <w:r w:rsidRPr="007C51D6">
        <w:rPr>
          <w:sz w:val="28"/>
          <w:szCs w:val="28"/>
        </w:rPr>
        <w:t xml:space="preserve">с 2018 года по март 2019 года </w:t>
      </w:r>
      <w:r w:rsidR="007B5856" w:rsidRPr="007C51D6">
        <w:rPr>
          <w:bCs/>
          <w:iCs/>
          <w:sz w:val="28"/>
          <w:szCs w:val="28"/>
        </w:rPr>
        <w:t>–</w:t>
      </w:r>
      <w:r w:rsidR="007B5856" w:rsidRPr="007C51D6">
        <w:rPr>
          <w:sz w:val="28"/>
          <w:szCs w:val="28"/>
        </w:rPr>
        <w:t xml:space="preserve"> </w:t>
      </w:r>
      <w:r w:rsidRPr="007C51D6">
        <w:rPr>
          <w:sz w:val="28"/>
          <w:szCs w:val="28"/>
        </w:rPr>
        <w:t xml:space="preserve">мужчинам в возрасте 45 и 51 год за счет средств обязательного медицинского страхования </w:t>
      </w:r>
      <w:r w:rsidR="00D3490B" w:rsidRPr="007C51D6">
        <w:rPr>
          <w:sz w:val="28"/>
          <w:szCs w:val="28"/>
        </w:rPr>
        <w:br/>
      </w:r>
      <w:r w:rsidRPr="007C51D6">
        <w:rPr>
          <w:sz w:val="28"/>
          <w:szCs w:val="28"/>
        </w:rPr>
        <w:t>в рамках приказа Министерства здравоохранения Российской Федерации от 26</w:t>
      </w:r>
      <w:r w:rsidR="00645797" w:rsidRPr="007C51D6">
        <w:rPr>
          <w:sz w:val="28"/>
          <w:szCs w:val="28"/>
        </w:rPr>
        <w:t xml:space="preserve"> октября </w:t>
      </w:r>
      <w:r w:rsidRPr="007C51D6">
        <w:rPr>
          <w:sz w:val="28"/>
          <w:szCs w:val="28"/>
        </w:rPr>
        <w:t>2017</w:t>
      </w:r>
      <w:r w:rsidR="00645797" w:rsidRPr="007C51D6">
        <w:rPr>
          <w:sz w:val="28"/>
          <w:szCs w:val="28"/>
        </w:rPr>
        <w:t xml:space="preserve"> г.</w:t>
      </w:r>
      <w:r w:rsidRPr="007C51D6">
        <w:rPr>
          <w:sz w:val="28"/>
          <w:szCs w:val="28"/>
        </w:rPr>
        <w:t xml:space="preserve"> № 869н</w:t>
      </w:r>
      <w:r w:rsidR="00645797" w:rsidRPr="007C51D6">
        <w:rPr>
          <w:sz w:val="28"/>
          <w:szCs w:val="28"/>
        </w:rPr>
        <w:t xml:space="preserve"> </w:t>
      </w:r>
      <w:r w:rsidR="002F7358" w:rsidRPr="007C51D6">
        <w:rPr>
          <w:sz w:val="28"/>
          <w:szCs w:val="28"/>
        </w:rPr>
        <w:t>«</w:t>
      </w:r>
      <w:r w:rsidR="00645797" w:rsidRPr="007C51D6">
        <w:rPr>
          <w:color w:val="22272F"/>
          <w:sz w:val="28"/>
          <w:szCs w:val="28"/>
          <w:shd w:val="clear" w:color="auto" w:fill="FFFFFF"/>
        </w:rPr>
        <w:t>Об утверждении порядка проведения диспансеризации определенных групп взрослого населения</w:t>
      </w:r>
      <w:r w:rsidR="002F7358" w:rsidRPr="007C51D6">
        <w:rPr>
          <w:color w:val="22272F"/>
          <w:sz w:val="28"/>
          <w:szCs w:val="28"/>
          <w:shd w:val="clear" w:color="auto" w:fill="FFFFFF"/>
        </w:rPr>
        <w:t>»</w:t>
      </w:r>
      <w:r w:rsidRPr="007C51D6">
        <w:rPr>
          <w:sz w:val="28"/>
          <w:szCs w:val="28"/>
        </w:rPr>
        <w:t>; с март</w:t>
      </w:r>
      <w:r w:rsidR="00645797" w:rsidRPr="007C51D6">
        <w:rPr>
          <w:sz w:val="28"/>
          <w:szCs w:val="28"/>
        </w:rPr>
        <w:t xml:space="preserve">а 2019 года по настоящее время </w:t>
      </w:r>
      <w:r w:rsidR="00645797" w:rsidRPr="007C51D6">
        <w:rPr>
          <w:bCs/>
          <w:iCs/>
          <w:sz w:val="28"/>
          <w:szCs w:val="28"/>
        </w:rPr>
        <w:t>–</w:t>
      </w:r>
      <w:r w:rsidRPr="007C51D6">
        <w:rPr>
          <w:sz w:val="28"/>
          <w:szCs w:val="28"/>
        </w:rPr>
        <w:t xml:space="preserve"> </w:t>
      </w:r>
      <w:r w:rsidRPr="00D918C5">
        <w:rPr>
          <w:sz w:val="28"/>
          <w:szCs w:val="28"/>
        </w:rPr>
        <w:t>мужчинам в возрасте 45, 50, 55, 60, 64 года за счет средств обязательного медицинского страхования в рамках приказ</w:t>
      </w:r>
      <w:r w:rsidR="0069012C" w:rsidRPr="00D918C5">
        <w:rPr>
          <w:sz w:val="28"/>
          <w:szCs w:val="28"/>
        </w:rPr>
        <w:t>а</w:t>
      </w:r>
      <w:r w:rsidRPr="00D918C5">
        <w:rPr>
          <w:sz w:val="28"/>
          <w:szCs w:val="28"/>
        </w:rPr>
        <w:t xml:space="preserve"> Министерства здравоохранения Российской Федерации от 27</w:t>
      </w:r>
      <w:r w:rsidR="00645797" w:rsidRPr="00D918C5">
        <w:rPr>
          <w:sz w:val="28"/>
          <w:szCs w:val="28"/>
        </w:rPr>
        <w:t xml:space="preserve"> апреля </w:t>
      </w:r>
      <w:r w:rsidRPr="00D918C5">
        <w:rPr>
          <w:sz w:val="28"/>
          <w:szCs w:val="28"/>
        </w:rPr>
        <w:t>2021</w:t>
      </w:r>
      <w:r w:rsidR="00645797" w:rsidRPr="00D918C5">
        <w:rPr>
          <w:sz w:val="28"/>
          <w:szCs w:val="28"/>
        </w:rPr>
        <w:t xml:space="preserve"> г.</w:t>
      </w:r>
      <w:r w:rsidRPr="00D918C5">
        <w:rPr>
          <w:sz w:val="28"/>
          <w:szCs w:val="28"/>
        </w:rPr>
        <w:t xml:space="preserve"> № 404н</w:t>
      </w:r>
      <w:r w:rsidR="00645797" w:rsidRPr="00D918C5">
        <w:rPr>
          <w:sz w:val="28"/>
          <w:szCs w:val="28"/>
        </w:rPr>
        <w:t xml:space="preserve"> </w:t>
      </w:r>
      <w:r w:rsidR="002F7358" w:rsidRPr="00D918C5">
        <w:rPr>
          <w:sz w:val="28"/>
          <w:szCs w:val="28"/>
        </w:rPr>
        <w:t>«</w:t>
      </w:r>
      <w:r w:rsidR="00645797" w:rsidRPr="00D918C5">
        <w:rPr>
          <w:color w:val="22272F"/>
          <w:sz w:val="28"/>
          <w:szCs w:val="28"/>
          <w:shd w:val="clear" w:color="auto" w:fill="FFFFFF"/>
        </w:rPr>
        <w:t>Об утверждении Порядка проведения профилактического медицинского осмотра и диспансеризации определенных групп взрослого населения</w:t>
      </w:r>
      <w:r w:rsidR="002F7358" w:rsidRPr="00D918C5">
        <w:rPr>
          <w:color w:val="22272F"/>
          <w:sz w:val="28"/>
          <w:szCs w:val="28"/>
          <w:shd w:val="clear" w:color="auto" w:fill="FFFFFF"/>
        </w:rPr>
        <w:t>»</w:t>
      </w:r>
      <w:r w:rsidR="00CF6545" w:rsidRPr="00D918C5">
        <w:rPr>
          <w:sz w:val="28"/>
          <w:szCs w:val="28"/>
        </w:rPr>
        <w:t xml:space="preserve"> (таблица 4.1).</w:t>
      </w:r>
      <w:r w:rsidRPr="007C51D6">
        <w:rPr>
          <w:sz w:val="28"/>
          <w:szCs w:val="28"/>
        </w:rPr>
        <w:t xml:space="preserve"> </w:t>
      </w:r>
    </w:p>
    <w:p w:rsidR="002022A0" w:rsidRPr="007C51D6" w:rsidRDefault="002022A0" w:rsidP="00504899">
      <w:pPr>
        <w:autoSpaceDE/>
        <w:autoSpaceDN/>
        <w:adjustRightInd/>
        <w:ind w:left="11346" w:firstLine="709"/>
        <w:jc w:val="right"/>
        <w:rPr>
          <w:rFonts w:eastAsia="Arial"/>
          <w:sz w:val="28"/>
          <w:szCs w:val="28"/>
        </w:rPr>
      </w:pPr>
      <w:r w:rsidRPr="007C51D6">
        <w:rPr>
          <w:rFonts w:eastAsia="Arial"/>
          <w:sz w:val="28"/>
          <w:szCs w:val="28"/>
        </w:rPr>
        <w:t xml:space="preserve">Таблица </w:t>
      </w:r>
      <w:r w:rsidR="00381A83" w:rsidRPr="007C51D6">
        <w:rPr>
          <w:rFonts w:eastAsia="Arial"/>
          <w:sz w:val="28"/>
          <w:szCs w:val="28"/>
        </w:rPr>
        <w:t>4.2</w:t>
      </w:r>
    </w:p>
    <w:p w:rsidR="002022A0" w:rsidRPr="007C51D6" w:rsidRDefault="002022A0" w:rsidP="00504899">
      <w:pPr>
        <w:autoSpaceDE/>
        <w:autoSpaceDN/>
        <w:adjustRightInd/>
        <w:rPr>
          <w:rFonts w:eastAsia="Arial"/>
          <w:sz w:val="28"/>
          <w:szCs w:val="28"/>
        </w:rPr>
      </w:pPr>
    </w:p>
    <w:p w:rsidR="00A85F2F" w:rsidRPr="007C51D6" w:rsidRDefault="00A85F2F" w:rsidP="00A85F2F">
      <w:pPr>
        <w:autoSpaceDE/>
        <w:autoSpaceDN/>
        <w:adjustRightInd/>
        <w:jc w:val="center"/>
        <w:rPr>
          <w:rFonts w:eastAsia="Arial"/>
          <w:sz w:val="28"/>
          <w:szCs w:val="28"/>
        </w:rPr>
      </w:pPr>
      <w:r w:rsidRPr="007C51D6">
        <w:rPr>
          <w:rFonts w:eastAsia="Arial"/>
          <w:sz w:val="28"/>
          <w:szCs w:val="28"/>
        </w:rPr>
        <w:t xml:space="preserve">Количество выявленных новообразований </w:t>
      </w:r>
      <w:r w:rsidRPr="007C51D6">
        <w:rPr>
          <w:rFonts w:eastAsia="Arial"/>
          <w:sz w:val="28"/>
          <w:szCs w:val="28"/>
          <w:lang w:val="en-US"/>
        </w:rPr>
        <w:t>in</w:t>
      </w:r>
      <w:r w:rsidRPr="007C51D6">
        <w:rPr>
          <w:rFonts w:eastAsia="Arial"/>
          <w:sz w:val="28"/>
          <w:szCs w:val="28"/>
        </w:rPr>
        <w:t xml:space="preserve"> </w:t>
      </w:r>
      <w:r w:rsidRPr="007C51D6">
        <w:rPr>
          <w:rFonts w:eastAsia="Arial"/>
          <w:sz w:val="28"/>
          <w:szCs w:val="28"/>
          <w:lang w:val="en-US"/>
        </w:rPr>
        <w:t>situ</w:t>
      </w:r>
      <w:r w:rsidRPr="007C51D6">
        <w:rPr>
          <w:rFonts w:eastAsia="Arial"/>
          <w:sz w:val="28"/>
          <w:szCs w:val="28"/>
        </w:rPr>
        <w:t xml:space="preserve"> на 100 вновь выявленных ЗНО в отчетном году </w:t>
      </w:r>
    </w:p>
    <w:p w:rsidR="00A85F2F" w:rsidRPr="007C51D6" w:rsidRDefault="00A85F2F" w:rsidP="00A85F2F">
      <w:pPr>
        <w:autoSpaceDE/>
        <w:autoSpaceDN/>
        <w:adjustRightInd/>
        <w:jc w:val="center"/>
        <w:rPr>
          <w:rFonts w:eastAsia="Arial"/>
          <w:sz w:val="28"/>
          <w:szCs w:val="28"/>
        </w:rPr>
      </w:pPr>
      <w:r w:rsidRPr="007C51D6">
        <w:rPr>
          <w:rFonts w:eastAsia="Arial"/>
          <w:sz w:val="28"/>
          <w:szCs w:val="28"/>
        </w:rPr>
        <w:t xml:space="preserve">в Республике Татарстан в 2016 – 2025 годах </w:t>
      </w:r>
    </w:p>
    <w:p w:rsidR="002022A0" w:rsidRPr="007C51D6" w:rsidRDefault="002022A0" w:rsidP="00504899">
      <w:pPr>
        <w:autoSpaceDE/>
        <w:autoSpaceDN/>
        <w:adjustRightInd/>
        <w:jc w:val="center"/>
        <w:rPr>
          <w:rFonts w:eastAsia="Arial"/>
          <w:sz w:val="28"/>
          <w:szCs w:val="28"/>
        </w:rPr>
      </w:pPr>
    </w:p>
    <w:tbl>
      <w:tblPr>
        <w:tblW w:w="15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5" w:type="dxa"/>
          <w:bottom w:w="45" w:type="dxa"/>
        </w:tblCellMar>
        <w:tblLook w:val="04A0" w:firstRow="1" w:lastRow="0" w:firstColumn="1" w:lastColumn="0" w:noHBand="0" w:noVBand="1"/>
      </w:tblPr>
      <w:tblGrid>
        <w:gridCol w:w="4815"/>
        <w:gridCol w:w="2201"/>
        <w:gridCol w:w="851"/>
        <w:gridCol w:w="850"/>
        <w:gridCol w:w="851"/>
        <w:gridCol w:w="755"/>
        <w:gridCol w:w="763"/>
        <w:gridCol w:w="766"/>
        <w:gridCol w:w="839"/>
        <w:gridCol w:w="704"/>
        <w:gridCol w:w="872"/>
        <w:gridCol w:w="860"/>
      </w:tblGrid>
      <w:tr w:rsidR="00A85F2F" w:rsidRPr="007C51D6" w:rsidTr="00417BDB">
        <w:trPr>
          <w:trHeight w:val="20"/>
        </w:trPr>
        <w:tc>
          <w:tcPr>
            <w:tcW w:w="4815" w:type="dxa"/>
            <w:vMerge w:val="restart"/>
            <w:tcBorders>
              <w:bottom w:val="nil"/>
            </w:tcBorders>
            <w:shd w:val="clear" w:color="auto" w:fill="auto"/>
          </w:tcPr>
          <w:p w:rsidR="00A85F2F" w:rsidRPr="007C51D6" w:rsidRDefault="00A85F2F" w:rsidP="00A85F2F">
            <w:pPr>
              <w:autoSpaceDE/>
              <w:autoSpaceDN/>
              <w:adjustRightInd/>
              <w:jc w:val="center"/>
              <w:rPr>
                <w:rFonts w:eastAsia="Arial"/>
                <w:bCs/>
                <w:sz w:val="20"/>
                <w:szCs w:val="20"/>
              </w:rPr>
            </w:pPr>
            <w:r w:rsidRPr="007C51D6">
              <w:rPr>
                <w:rFonts w:eastAsia="Arial"/>
                <w:bCs/>
                <w:sz w:val="20"/>
                <w:szCs w:val="20"/>
              </w:rPr>
              <w:t xml:space="preserve">Локализация </w:t>
            </w:r>
            <w:r w:rsidRPr="007C51D6">
              <w:rPr>
                <w:rFonts w:eastAsia="Arial"/>
                <w:sz w:val="20"/>
                <w:szCs w:val="20"/>
              </w:rPr>
              <w:t>ЗНО</w:t>
            </w:r>
          </w:p>
        </w:tc>
        <w:tc>
          <w:tcPr>
            <w:tcW w:w="2201" w:type="dxa"/>
            <w:vMerge w:val="restart"/>
            <w:tcBorders>
              <w:bottom w:val="nil"/>
            </w:tcBorders>
            <w:shd w:val="clear" w:color="auto" w:fill="auto"/>
          </w:tcPr>
          <w:p w:rsidR="00A85F2F" w:rsidRPr="007C51D6" w:rsidRDefault="00A85F2F" w:rsidP="00A85F2F">
            <w:pPr>
              <w:autoSpaceDE/>
              <w:autoSpaceDN/>
              <w:adjustRightInd/>
              <w:jc w:val="center"/>
              <w:rPr>
                <w:rFonts w:eastAsia="Arial"/>
                <w:bCs/>
                <w:sz w:val="20"/>
                <w:szCs w:val="22"/>
              </w:rPr>
            </w:pPr>
            <w:r w:rsidRPr="007C51D6">
              <w:rPr>
                <w:bCs/>
                <w:sz w:val="20"/>
                <w:szCs w:val="22"/>
              </w:rPr>
              <w:t>Коды по МКБ-10</w:t>
            </w:r>
          </w:p>
        </w:tc>
        <w:tc>
          <w:tcPr>
            <w:tcW w:w="8111" w:type="dxa"/>
            <w:gridSpan w:val="10"/>
            <w:tcBorders>
              <w:bottom w:val="single" w:sz="4" w:space="0" w:color="auto"/>
            </w:tcBorders>
            <w:shd w:val="clear" w:color="auto" w:fill="auto"/>
          </w:tcPr>
          <w:p w:rsidR="00A85F2F" w:rsidRPr="007C51D6" w:rsidRDefault="00A85F2F" w:rsidP="00A85F2F">
            <w:pPr>
              <w:jc w:val="center"/>
              <w:rPr>
                <w:rFonts w:eastAsia="Arial"/>
                <w:bCs/>
                <w:sz w:val="20"/>
                <w:szCs w:val="22"/>
              </w:rPr>
            </w:pPr>
            <w:r w:rsidRPr="007C51D6">
              <w:rPr>
                <w:bCs/>
                <w:sz w:val="20"/>
                <w:szCs w:val="22"/>
              </w:rPr>
              <w:t>Число выявленных случаев рака in situ на 100 случаев ЗНО</w:t>
            </w:r>
          </w:p>
        </w:tc>
      </w:tr>
      <w:tr w:rsidR="00A85F2F" w:rsidRPr="007C51D6" w:rsidTr="00417BDB">
        <w:trPr>
          <w:trHeight w:val="20"/>
        </w:trPr>
        <w:tc>
          <w:tcPr>
            <w:tcW w:w="4815" w:type="dxa"/>
            <w:vMerge/>
            <w:tcBorders>
              <w:bottom w:val="nil"/>
            </w:tcBorders>
            <w:shd w:val="clear" w:color="auto" w:fill="auto"/>
            <w:hideMark/>
          </w:tcPr>
          <w:p w:rsidR="00A85F2F" w:rsidRPr="007C51D6" w:rsidRDefault="00A85F2F" w:rsidP="00A85F2F">
            <w:pPr>
              <w:autoSpaceDE/>
              <w:autoSpaceDN/>
              <w:adjustRightInd/>
              <w:rPr>
                <w:rFonts w:eastAsia="Arial"/>
                <w:bCs/>
                <w:sz w:val="20"/>
                <w:szCs w:val="22"/>
              </w:rPr>
            </w:pPr>
          </w:p>
        </w:tc>
        <w:tc>
          <w:tcPr>
            <w:tcW w:w="2201" w:type="dxa"/>
            <w:vMerge/>
            <w:tcBorders>
              <w:bottom w:val="nil"/>
            </w:tcBorders>
            <w:shd w:val="clear" w:color="auto" w:fill="auto"/>
          </w:tcPr>
          <w:p w:rsidR="00A85F2F" w:rsidRPr="007C51D6" w:rsidRDefault="00A85F2F" w:rsidP="00A85F2F">
            <w:pPr>
              <w:autoSpaceDE/>
              <w:autoSpaceDN/>
              <w:adjustRightInd/>
              <w:rPr>
                <w:rFonts w:eastAsia="Arial"/>
                <w:bCs/>
                <w:sz w:val="20"/>
                <w:szCs w:val="22"/>
              </w:rPr>
            </w:pPr>
          </w:p>
        </w:tc>
        <w:tc>
          <w:tcPr>
            <w:tcW w:w="851" w:type="dxa"/>
            <w:tcBorders>
              <w:bottom w:val="nil"/>
            </w:tcBorders>
            <w:shd w:val="clear" w:color="auto" w:fill="auto"/>
            <w:hideMark/>
          </w:tcPr>
          <w:p w:rsidR="00A85F2F" w:rsidRPr="007C51D6" w:rsidRDefault="00A85F2F" w:rsidP="00A85F2F">
            <w:pPr>
              <w:autoSpaceDE/>
              <w:autoSpaceDN/>
              <w:adjustRightInd/>
              <w:ind w:left="-57" w:right="-57"/>
              <w:jc w:val="center"/>
              <w:rPr>
                <w:bCs/>
                <w:color w:val="000000"/>
                <w:sz w:val="20"/>
                <w:szCs w:val="20"/>
              </w:rPr>
            </w:pPr>
            <w:r w:rsidRPr="007C51D6">
              <w:rPr>
                <w:bCs/>
                <w:color w:val="000000"/>
                <w:sz w:val="20"/>
                <w:szCs w:val="20"/>
              </w:rPr>
              <w:t>2016 г.</w:t>
            </w:r>
          </w:p>
        </w:tc>
        <w:tc>
          <w:tcPr>
            <w:tcW w:w="850" w:type="dxa"/>
            <w:tcBorders>
              <w:bottom w:val="nil"/>
            </w:tcBorders>
            <w:shd w:val="clear" w:color="auto" w:fill="auto"/>
            <w:hideMark/>
          </w:tcPr>
          <w:p w:rsidR="00A85F2F" w:rsidRPr="007C51D6" w:rsidRDefault="00A85F2F" w:rsidP="00A85F2F">
            <w:pPr>
              <w:autoSpaceDE/>
              <w:autoSpaceDN/>
              <w:adjustRightInd/>
              <w:ind w:left="-57" w:right="-57"/>
              <w:jc w:val="center"/>
              <w:rPr>
                <w:bCs/>
                <w:color w:val="000000"/>
                <w:sz w:val="20"/>
                <w:szCs w:val="20"/>
              </w:rPr>
            </w:pPr>
            <w:r w:rsidRPr="007C51D6">
              <w:rPr>
                <w:bCs/>
                <w:color w:val="000000"/>
                <w:sz w:val="20"/>
                <w:szCs w:val="20"/>
              </w:rPr>
              <w:t>2017 г.</w:t>
            </w:r>
          </w:p>
        </w:tc>
        <w:tc>
          <w:tcPr>
            <w:tcW w:w="851" w:type="dxa"/>
            <w:tcBorders>
              <w:bottom w:val="nil"/>
            </w:tcBorders>
            <w:shd w:val="clear" w:color="auto" w:fill="auto"/>
            <w:hideMark/>
          </w:tcPr>
          <w:p w:rsidR="00A85F2F" w:rsidRPr="007C51D6" w:rsidRDefault="00A85F2F" w:rsidP="00A85F2F">
            <w:pPr>
              <w:autoSpaceDE/>
              <w:autoSpaceDN/>
              <w:adjustRightInd/>
              <w:ind w:left="-57" w:right="-57"/>
              <w:jc w:val="center"/>
              <w:rPr>
                <w:bCs/>
                <w:color w:val="000000"/>
                <w:sz w:val="20"/>
                <w:szCs w:val="20"/>
              </w:rPr>
            </w:pPr>
            <w:r w:rsidRPr="007C51D6">
              <w:rPr>
                <w:bCs/>
                <w:color w:val="000000"/>
                <w:sz w:val="20"/>
                <w:szCs w:val="20"/>
              </w:rPr>
              <w:t>2018 г.</w:t>
            </w:r>
          </w:p>
        </w:tc>
        <w:tc>
          <w:tcPr>
            <w:tcW w:w="755" w:type="dxa"/>
            <w:tcBorders>
              <w:bottom w:val="nil"/>
            </w:tcBorders>
            <w:shd w:val="clear" w:color="auto" w:fill="auto"/>
            <w:hideMark/>
          </w:tcPr>
          <w:p w:rsidR="00A85F2F" w:rsidRPr="007C51D6" w:rsidRDefault="00A85F2F" w:rsidP="00A85F2F">
            <w:pPr>
              <w:autoSpaceDE/>
              <w:autoSpaceDN/>
              <w:adjustRightInd/>
              <w:ind w:left="-57" w:right="-57"/>
              <w:jc w:val="center"/>
              <w:rPr>
                <w:rFonts w:eastAsia="Arial"/>
                <w:sz w:val="20"/>
                <w:szCs w:val="20"/>
              </w:rPr>
            </w:pPr>
            <w:r w:rsidRPr="007C51D6">
              <w:rPr>
                <w:rFonts w:eastAsia="Arial"/>
                <w:sz w:val="20"/>
                <w:szCs w:val="20"/>
              </w:rPr>
              <w:t>2019 г.</w:t>
            </w:r>
          </w:p>
        </w:tc>
        <w:tc>
          <w:tcPr>
            <w:tcW w:w="763" w:type="dxa"/>
            <w:tcBorders>
              <w:bottom w:val="nil"/>
            </w:tcBorders>
            <w:shd w:val="clear" w:color="auto" w:fill="auto"/>
            <w:hideMark/>
          </w:tcPr>
          <w:p w:rsidR="00A85F2F" w:rsidRPr="007C51D6" w:rsidRDefault="00A85F2F" w:rsidP="00A85F2F">
            <w:pPr>
              <w:autoSpaceDE/>
              <w:autoSpaceDN/>
              <w:adjustRightInd/>
              <w:ind w:left="-57" w:right="-57"/>
              <w:jc w:val="center"/>
              <w:rPr>
                <w:rFonts w:eastAsia="Arial"/>
                <w:sz w:val="20"/>
                <w:szCs w:val="20"/>
              </w:rPr>
            </w:pPr>
            <w:r w:rsidRPr="007C51D6">
              <w:rPr>
                <w:rFonts w:eastAsia="Arial"/>
                <w:sz w:val="20"/>
                <w:szCs w:val="20"/>
              </w:rPr>
              <w:t>2020 г.</w:t>
            </w:r>
          </w:p>
        </w:tc>
        <w:tc>
          <w:tcPr>
            <w:tcW w:w="766" w:type="dxa"/>
            <w:tcBorders>
              <w:bottom w:val="nil"/>
            </w:tcBorders>
          </w:tcPr>
          <w:p w:rsidR="00A85F2F" w:rsidRPr="007C51D6" w:rsidRDefault="00A85F2F" w:rsidP="00A85F2F">
            <w:pPr>
              <w:autoSpaceDE/>
              <w:autoSpaceDN/>
              <w:adjustRightInd/>
              <w:ind w:left="-57" w:right="-57"/>
              <w:jc w:val="center"/>
              <w:rPr>
                <w:rFonts w:eastAsia="Arial"/>
                <w:sz w:val="20"/>
                <w:szCs w:val="20"/>
              </w:rPr>
            </w:pPr>
            <w:r w:rsidRPr="007C51D6">
              <w:rPr>
                <w:rFonts w:eastAsia="Arial"/>
                <w:sz w:val="20"/>
                <w:szCs w:val="20"/>
              </w:rPr>
              <w:t>2021 г.</w:t>
            </w:r>
          </w:p>
        </w:tc>
        <w:tc>
          <w:tcPr>
            <w:tcW w:w="839" w:type="dxa"/>
            <w:tcBorders>
              <w:bottom w:val="nil"/>
            </w:tcBorders>
          </w:tcPr>
          <w:p w:rsidR="00A85F2F" w:rsidRPr="007C51D6" w:rsidRDefault="00A85F2F" w:rsidP="00A85F2F">
            <w:pPr>
              <w:autoSpaceDE/>
              <w:autoSpaceDN/>
              <w:adjustRightInd/>
              <w:ind w:left="-57" w:right="-57"/>
              <w:jc w:val="center"/>
              <w:rPr>
                <w:rFonts w:eastAsia="Arial"/>
                <w:sz w:val="20"/>
                <w:szCs w:val="20"/>
              </w:rPr>
            </w:pPr>
            <w:r w:rsidRPr="007C51D6">
              <w:rPr>
                <w:rFonts w:eastAsia="Arial"/>
                <w:sz w:val="20"/>
                <w:szCs w:val="20"/>
              </w:rPr>
              <w:t>2022 г.</w:t>
            </w:r>
          </w:p>
        </w:tc>
        <w:tc>
          <w:tcPr>
            <w:tcW w:w="704" w:type="dxa"/>
            <w:tcBorders>
              <w:bottom w:val="nil"/>
            </w:tcBorders>
          </w:tcPr>
          <w:p w:rsidR="00A85F2F" w:rsidRPr="007C51D6" w:rsidRDefault="00A85F2F" w:rsidP="00A85F2F">
            <w:pPr>
              <w:autoSpaceDE/>
              <w:autoSpaceDN/>
              <w:adjustRightInd/>
              <w:ind w:left="-57" w:right="-57"/>
              <w:jc w:val="center"/>
              <w:rPr>
                <w:rFonts w:eastAsia="Arial"/>
                <w:sz w:val="20"/>
                <w:szCs w:val="20"/>
              </w:rPr>
            </w:pPr>
            <w:r w:rsidRPr="007C51D6">
              <w:rPr>
                <w:rFonts w:eastAsia="Arial"/>
                <w:sz w:val="20"/>
                <w:szCs w:val="20"/>
              </w:rPr>
              <w:t>2023 г.</w:t>
            </w:r>
          </w:p>
        </w:tc>
        <w:tc>
          <w:tcPr>
            <w:tcW w:w="872" w:type="dxa"/>
            <w:tcBorders>
              <w:bottom w:val="nil"/>
            </w:tcBorders>
          </w:tcPr>
          <w:p w:rsidR="00A85F2F" w:rsidRPr="007C51D6" w:rsidRDefault="00A85F2F" w:rsidP="00A85F2F">
            <w:pPr>
              <w:autoSpaceDE/>
              <w:autoSpaceDN/>
              <w:adjustRightInd/>
              <w:ind w:left="-57" w:right="-57"/>
              <w:jc w:val="center"/>
              <w:rPr>
                <w:rFonts w:eastAsia="Arial"/>
                <w:sz w:val="20"/>
                <w:szCs w:val="20"/>
              </w:rPr>
            </w:pPr>
            <w:r w:rsidRPr="007C51D6">
              <w:rPr>
                <w:rFonts w:eastAsia="Arial"/>
                <w:sz w:val="20"/>
                <w:szCs w:val="20"/>
              </w:rPr>
              <w:t>2024 г.</w:t>
            </w:r>
          </w:p>
        </w:tc>
        <w:tc>
          <w:tcPr>
            <w:tcW w:w="860" w:type="dxa"/>
            <w:tcBorders>
              <w:bottom w:val="nil"/>
            </w:tcBorders>
          </w:tcPr>
          <w:p w:rsidR="00A85F2F" w:rsidRPr="007C51D6" w:rsidRDefault="00A85F2F" w:rsidP="00A85F2F">
            <w:pPr>
              <w:autoSpaceDE/>
              <w:autoSpaceDN/>
              <w:adjustRightInd/>
              <w:ind w:left="-57" w:right="-57"/>
              <w:jc w:val="center"/>
              <w:rPr>
                <w:rFonts w:eastAsia="Arial"/>
                <w:sz w:val="20"/>
                <w:szCs w:val="20"/>
              </w:rPr>
            </w:pPr>
            <w:r w:rsidRPr="007C51D6">
              <w:rPr>
                <w:rFonts w:eastAsia="Arial"/>
                <w:sz w:val="20"/>
                <w:szCs w:val="20"/>
              </w:rPr>
              <w:t>2025 г.*</w:t>
            </w:r>
          </w:p>
        </w:tc>
      </w:tr>
      <w:tr w:rsidR="00FA70EC" w:rsidRPr="007C51D6" w:rsidTr="00417BDB">
        <w:trPr>
          <w:trHeight w:val="20"/>
        </w:trPr>
        <w:tc>
          <w:tcPr>
            <w:tcW w:w="4815" w:type="dxa"/>
            <w:shd w:val="clear" w:color="auto" w:fill="auto"/>
            <w:noWrap/>
          </w:tcPr>
          <w:p w:rsidR="00FA70EC" w:rsidRPr="007C51D6" w:rsidRDefault="00FA70EC" w:rsidP="00FA70EC">
            <w:pPr>
              <w:autoSpaceDE/>
              <w:autoSpaceDN/>
              <w:adjustRightInd/>
              <w:jc w:val="center"/>
              <w:rPr>
                <w:rFonts w:eastAsia="Arial"/>
                <w:sz w:val="20"/>
                <w:szCs w:val="22"/>
              </w:rPr>
            </w:pPr>
            <w:r w:rsidRPr="007C51D6">
              <w:rPr>
                <w:rFonts w:eastAsia="Arial"/>
                <w:sz w:val="20"/>
                <w:szCs w:val="22"/>
              </w:rPr>
              <w:t>1</w:t>
            </w:r>
          </w:p>
        </w:tc>
        <w:tc>
          <w:tcPr>
            <w:tcW w:w="2201" w:type="dxa"/>
            <w:shd w:val="clear" w:color="auto" w:fill="auto"/>
            <w:noWrap/>
          </w:tcPr>
          <w:p w:rsidR="00FA70EC" w:rsidRPr="007C51D6" w:rsidRDefault="00FA70EC" w:rsidP="00FA70EC">
            <w:pPr>
              <w:autoSpaceDE/>
              <w:autoSpaceDN/>
              <w:adjustRightInd/>
              <w:jc w:val="center"/>
              <w:rPr>
                <w:rFonts w:eastAsia="Arial"/>
                <w:sz w:val="20"/>
                <w:szCs w:val="22"/>
              </w:rPr>
            </w:pPr>
            <w:r w:rsidRPr="007C51D6">
              <w:rPr>
                <w:rFonts w:eastAsia="Arial"/>
                <w:sz w:val="20"/>
                <w:szCs w:val="22"/>
              </w:rPr>
              <w:t>2</w:t>
            </w:r>
          </w:p>
        </w:tc>
        <w:tc>
          <w:tcPr>
            <w:tcW w:w="851" w:type="dxa"/>
            <w:shd w:val="clear" w:color="auto" w:fill="auto"/>
            <w:noWrap/>
          </w:tcPr>
          <w:p w:rsidR="00FA70EC" w:rsidRPr="007C51D6" w:rsidRDefault="00FA70EC" w:rsidP="00FA70EC">
            <w:pPr>
              <w:autoSpaceDE/>
              <w:autoSpaceDN/>
              <w:adjustRightInd/>
              <w:jc w:val="center"/>
              <w:rPr>
                <w:rFonts w:eastAsia="Arial"/>
                <w:sz w:val="20"/>
                <w:szCs w:val="22"/>
              </w:rPr>
            </w:pPr>
            <w:r w:rsidRPr="007C51D6">
              <w:rPr>
                <w:rFonts w:eastAsia="Arial"/>
                <w:sz w:val="20"/>
                <w:szCs w:val="22"/>
              </w:rPr>
              <w:t>3</w:t>
            </w:r>
          </w:p>
        </w:tc>
        <w:tc>
          <w:tcPr>
            <w:tcW w:w="850" w:type="dxa"/>
            <w:shd w:val="clear" w:color="auto" w:fill="auto"/>
            <w:noWrap/>
          </w:tcPr>
          <w:p w:rsidR="00FA70EC" w:rsidRPr="007C51D6" w:rsidRDefault="00FA70EC" w:rsidP="00FA70EC">
            <w:pPr>
              <w:autoSpaceDE/>
              <w:autoSpaceDN/>
              <w:adjustRightInd/>
              <w:jc w:val="center"/>
              <w:rPr>
                <w:rFonts w:eastAsia="Arial"/>
                <w:sz w:val="20"/>
                <w:szCs w:val="22"/>
              </w:rPr>
            </w:pPr>
            <w:r w:rsidRPr="007C51D6">
              <w:rPr>
                <w:rFonts w:eastAsia="Arial"/>
                <w:sz w:val="20"/>
                <w:szCs w:val="22"/>
              </w:rPr>
              <w:t>4</w:t>
            </w:r>
          </w:p>
        </w:tc>
        <w:tc>
          <w:tcPr>
            <w:tcW w:w="851" w:type="dxa"/>
            <w:shd w:val="clear" w:color="auto" w:fill="auto"/>
            <w:noWrap/>
          </w:tcPr>
          <w:p w:rsidR="00FA70EC" w:rsidRPr="007C51D6" w:rsidRDefault="00FA70EC" w:rsidP="00FA70EC">
            <w:pPr>
              <w:autoSpaceDE/>
              <w:autoSpaceDN/>
              <w:adjustRightInd/>
              <w:jc w:val="center"/>
              <w:rPr>
                <w:rFonts w:eastAsia="Arial"/>
                <w:sz w:val="20"/>
                <w:szCs w:val="22"/>
              </w:rPr>
            </w:pPr>
            <w:r w:rsidRPr="007C51D6">
              <w:rPr>
                <w:rFonts w:eastAsia="Arial"/>
                <w:sz w:val="20"/>
                <w:szCs w:val="22"/>
              </w:rPr>
              <w:t>5</w:t>
            </w:r>
          </w:p>
        </w:tc>
        <w:tc>
          <w:tcPr>
            <w:tcW w:w="755" w:type="dxa"/>
            <w:shd w:val="clear" w:color="auto" w:fill="auto"/>
            <w:noWrap/>
          </w:tcPr>
          <w:p w:rsidR="00FA70EC" w:rsidRPr="007C51D6" w:rsidRDefault="00FA70EC" w:rsidP="00FA70EC">
            <w:pPr>
              <w:autoSpaceDE/>
              <w:autoSpaceDN/>
              <w:adjustRightInd/>
              <w:jc w:val="center"/>
              <w:rPr>
                <w:rFonts w:eastAsia="Arial"/>
                <w:sz w:val="20"/>
                <w:szCs w:val="22"/>
              </w:rPr>
            </w:pPr>
            <w:r w:rsidRPr="007C51D6">
              <w:rPr>
                <w:rFonts w:eastAsia="Arial"/>
                <w:sz w:val="20"/>
                <w:szCs w:val="22"/>
              </w:rPr>
              <w:t>6</w:t>
            </w:r>
          </w:p>
        </w:tc>
        <w:tc>
          <w:tcPr>
            <w:tcW w:w="763" w:type="dxa"/>
            <w:shd w:val="clear" w:color="auto" w:fill="auto"/>
            <w:noWrap/>
          </w:tcPr>
          <w:p w:rsidR="00FA70EC" w:rsidRPr="007C51D6" w:rsidRDefault="00FA70EC" w:rsidP="00FA70EC">
            <w:pPr>
              <w:autoSpaceDE/>
              <w:autoSpaceDN/>
              <w:adjustRightInd/>
              <w:jc w:val="center"/>
              <w:rPr>
                <w:rFonts w:eastAsia="Arial"/>
                <w:sz w:val="20"/>
                <w:szCs w:val="22"/>
              </w:rPr>
            </w:pPr>
            <w:r w:rsidRPr="007C51D6">
              <w:rPr>
                <w:rFonts w:eastAsia="Arial"/>
                <w:sz w:val="20"/>
                <w:szCs w:val="22"/>
              </w:rPr>
              <w:t>7</w:t>
            </w:r>
          </w:p>
        </w:tc>
        <w:tc>
          <w:tcPr>
            <w:tcW w:w="766" w:type="dxa"/>
          </w:tcPr>
          <w:p w:rsidR="00FA70EC" w:rsidRPr="007C51D6" w:rsidRDefault="00FA70EC" w:rsidP="00FA70EC">
            <w:pPr>
              <w:autoSpaceDE/>
              <w:autoSpaceDN/>
              <w:adjustRightInd/>
              <w:jc w:val="center"/>
              <w:rPr>
                <w:color w:val="000000"/>
                <w:sz w:val="20"/>
                <w:szCs w:val="20"/>
              </w:rPr>
            </w:pPr>
            <w:r w:rsidRPr="007C51D6">
              <w:rPr>
                <w:color w:val="000000"/>
                <w:sz w:val="20"/>
                <w:szCs w:val="20"/>
              </w:rPr>
              <w:t>8</w:t>
            </w:r>
          </w:p>
        </w:tc>
        <w:tc>
          <w:tcPr>
            <w:tcW w:w="839" w:type="dxa"/>
          </w:tcPr>
          <w:p w:rsidR="00FA70EC" w:rsidRPr="007C51D6" w:rsidRDefault="00FA70EC" w:rsidP="00FA70EC">
            <w:pPr>
              <w:autoSpaceDE/>
              <w:autoSpaceDN/>
              <w:adjustRightInd/>
              <w:jc w:val="center"/>
              <w:rPr>
                <w:color w:val="000000"/>
                <w:sz w:val="20"/>
                <w:szCs w:val="20"/>
              </w:rPr>
            </w:pPr>
            <w:r w:rsidRPr="007C51D6">
              <w:rPr>
                <w:color w:val="000000"/>
                <w:sz w:val="20"/>
                <w:szCs w:val="20"/>
              </w:rPr>
              <w:t>9</w:t>
            </w:r>
          </w:p>
        </w:tc>
        <w:tc>
          <w:tcPr>
            <w:tcW w:w="704" w:type="dxa"/>
          </w:tcPr>
          <w:p w:rsidR="00FA70EC" w:rsidRPr="007C51D6" w:rsidRDefault="00FA70EC" w:rsidP="00FA70EC">
            <w:pPr>
              <w:autoSpaceDE/>
              <w:autoSpaceDN/>
              <w:adjustRightInd/>
              <w:jc w:val="center"/>
              <w:rPr>
                <w:color w:val="000000"/>
                <w:sz w:val="20"/>
                <w:szCs w:val="20"/>
              </w:rPr>
            </w:pPr>
            <w:r w:rsidRPr="007C51D6">
              <w:rPr>
                <w:color w:val="000000"/>
                <w:sz w:val="20"/>
                <w:szCs w:val="20"/>
              </w:rPr>
              <w:t>10</w:t>
            </w:r>
          </w:p>
        </w:tc>
        <w:tc>
          <w:tcPr>
            <w:tcW w:w="872" w:type="dxa"/>
          </w:tcPr>
          <w:p w:rsidR="00FA70EC" w:rsidRPr="007C51D6" w:rsidRDefault="00FA70EC" w:rsidP="00FA70EC">
            <w:pPr>
              <w:autoSpaceDE/>
              <w:autoSpaceDN/>
              <w:adjustRightInd/>
              <w:jc w:val="center"/>
              <w:rPr>
                <w:color w:val="000000"/>
                <w:sz w:val="20"/>
                <w:szCs w:val="20"/>
              </w:rPr>
            </w:pPr>
            <w:r w:rsidRPr="007C51D6">
              <w:rPr>
                <w:color w:val="000000"/>
                <w:sz w:val="20"/>
                <w:szCs w:val="20"/>
              </w:rPr>
              <w:t>11</w:t>
            </w:r>
          </w:p>
        </w:tc>
        <w:tc>
          <w:tcPr>
            <w:tcW w:w="860" w:type="dxa"/>
          </w:tcPr>
          <w:p w:rsidR="00FA70EC" w:rsidRPr="007C51D6" w:rsidRDefault="00FA70EC" w:rsidP="00FA70EC">
            <w:pPr>
              <w:widowControl/>
              <w:autoSpaceDE/>
              <w:autoSpaceDN/>
              <w:adjustRightInd/>
              <w:jc w:val="center"/>
              <w:rPr>
                <w:color w:val="000000"/>
                <w:sz w:val="20"/>
                <w:szCs w:val="20"/>
              </w:rPr>
            </w:pPr>
            <w:r w:rsidRPr="007C51D6">
              <w:rPr>
                <w:color w:val="000000"/>
                <w:sz w:val="20"/>
                <w:szCs w:val="20"/>
              </w:rPr>
              <w:t>12</w:t>
            </w:r>
          </w:p>
        </w:tc>
      </w:tr>
      <w:tr w:rsidR="00AA2150" w:rsidRPr="007C51D6" w:rsidTr="00417BDB">
        <w:trPr>
          <w:trHeight w:val="20"/>
        </w:trPr>
        <w:tc>
          <w:tcPr>
            <w:tcW w:w="4815" w:type="dxa"/>
            <w:shd w:val="clear" w:color="auto" w:fill="auto"/>
            <w:noWrap/>
            <w:hideMark/>
          </w:tcPr>
          <w:p w:rsidR="00AA2150" w:rsidRPr="007C51D6" w:rsidRDefault="00AA2150" w:rsidP="002341A0">
            <w:pPr>
              <w:autoSpaceDE/>
              <w:autoSpaceDN/>
              <w:adjustRightInd/>
              <w:spacing w:line="233" w:lineRule="auto"/>
              <w:jc w:val="both"/>
              <w:rPr>
                <w:rFonts w:eastAsia="Arial"/>
                <w:sz w:val="20"/>
                <w:szCs w:val="22"/>
              </w:rPr>
            </w:pPr>
            <w:r w:rsidRPr="007C51D6">
              <w:rPr>
                <w:rFonts w:eastAsia="Arial"/>
                <w:sz w:val="20"/>
                <w:szCs w:val="22"/>
              </w:rPr>
              <w:t xml:space="preserve">Карцинома in situ полости рта, пищевода и желудка </w:t>
            </w:r>
          </w:p>
        </w:tc>
        <w:tc>
          <w:tcPr>
            <w:tcW w:w="2201" w:type="dxa"/>
            <w:shd w:val="clear" w:color="auto" w:fill="auto"/>
            <w:noWrap/>
            <w:hideMark/>
          </w:tcPr>
          <w:p w:rsidR="00AA2150" w:rsidRPr="007C51D6" w:rsidRDefault="00AA2150" w:rsidP="002341A0">
            <w:pPr>
              <w:autoSpaceDE/>
              <w:autoSpaceDN/>
              <w:adjustRightInd/>
              <w:spacing w:line="233" w:lineRule="auto"/>
              <w:jc w:val="both"/>
              <w:rPr>
                <w:rFonts w:eastAsia="Arial"/>
                <w:sz w:val="20"/>
                <w:szCs w:val="22"/>
              </w:rPr>
            </w:pPr>
            <w:r w:rsidRPr="007C51D6">
              <w:rPr>
                <w:rFonts w:eastAsia="Arial"/>
                <w:sz w:val="20"/>
                <w:szCs w:val="22"/>
              </w:rPr>
              <w:t>D00: C00 – C16</w:t>
            </w:r>
          </w:p>
        </w:tc>
        <w:tc>
          <w:tcPr>
            <w:tcW w:w="851" w:type="dxa"/>
            <w:shd w:val="clear" w:color="auto" w:fill="auto"/>
            <w:noWrap/>
            <w:hideMark/>
          </w:tcPr>
          <w:p w:rsidR="00AA2150" w:rsidRPr="007C51D6" w:rsidRDefault="00AA2150" w:rsidP="002341A0">
            <w:pPr>
              <w:autoSpaceDE/>
              <w:autoSpaceDN/>
              <w:adjustRightInd/>
              <w:spacing w:line="233" w:lineRule="auto"/>
              <w:jc w:val="center"/>
              <w:rPr>
                <w:rFonts w:eastAsia="Arial"/>
                <w:sz w:val="20"/>
                <w:szCs w:val="22"/>
              </w:rPr>
            </w:pPr>
            <w:r w:rsidRPr="007C51D6">
              <w:rPr>
                <w:rFonts w:eastAsia="Arial"/>
                <w:sz w:val="20"/>
                <w:szCs w:val="22"/>
              </w:rPr>
              <w:t>1,9</w:t>
            </w:r>
          </w:p>
        </w:tc>
        <w:tc>
          <w:tcPr>
            <w:tcW w:w="850" w:type="dxa"/>
            <w:shd w:val="clear" w:color="auto" w:fill="auto"/>
            <w:noWrap/>
            <w:hideMark/>
          </w:tcPr>
          <w:p w:rsidR="00AA2150" w:rsidRPr="007C51D6" w:rsidRDefault="00AA2150" w:rsidP="002341A0">
            <w:pPr>
              <w:autoSpaceDE/>
              <w:autoSpaceDN/>
              <w:adjustRightInd/>
              <w:spacing w:line="233" w:lineRule="auto"/>
              <w:jc w:val="center"/>
              <w:rPr>
                <w:rFonts w:eastAsia="Arial"/>
                <w:sz w:val="20"/>
                <w:szCs w:val="22"/>
              </w:rPr>
            </w:pPr>
            <w:r w:rsidRPr="007C51D6">
              <w:rPr>
                <w:rFonts w:eastAsia="Arial"/>
                <w:sz w:val="20"/>
                <w:szCs w:val="22"/>
              </w:rPr>
              <w:t>1,9</w:t>
            </w:r>
          </w:p>
        </w:tc>
        <w:tc>
          <w:tcPr>
            <w:tcW w:w="851" w:type="dxa"/>
            <w:shd w:val="clear" w:color="auto" w:fill="auto"/>
            <w:noWrap/>
            <w:hideMark/>
          </w:tcPr>
          <w:p w:rsidR="00AA2150" w:rsidRPr="007C51D6" w:rsidRDefault="00AA2150" w:rsidP="002341A0">
            <w:pPr>
              <w:autoSpaceDE/>
              <w:autoSpaceDN/>
              <w:adjustRightInd/>
              <w:spacing w:line="233" w:lineRule="auto"/>
              <w:jc w:val="center"/>
              <w:rPr>
                <w:rFonts w:eastAsia="Arial"/>
                <w:sz w:val="20"/>
                <w:szCs w:val="22"/>
              </w:rPr>
            </w:pPr>
            <w:r w:rsidRPr="007C51D6">
              <w:rPr>
                <w:rFonts w:eastAsia="Arial"/>
                <w:sz w:val="20"/>
                <w:szCs w:val="22"/>
              </w:rPr>
              <w:t>1,1</w:t>
            </w:r>
          </w:p>
        </w:tc>
        <w:tc>
          <w:tcPr>
            <w:tcW w:w="755" w:type="dxa"/>
            <w:shd w:val="clear" w:color="auto" w:fill="auto"/>
            <w:noWrap/>
            <w:hideMark/>
          </w:tcPr>
          <w:p w:rsidR="00AA2150" w:rsidRPr="007C51D6" w:rsidRDefault="00AA2150" w:rsidP="002341A0">
            <w:pPr>
              <w:autoSpaceDE/>
              <w:autoSpaceDN/>
              <w:adjustRightInd/>
              <w:spacing w:line="233" w:lineRule="auto"/>
              <w:jc w:val="center"/>
              <w:rPr>
                <w:rFonts w:eastAsia="Arial"/>
                <w:sz w:val="20"/>
                <w:szCs w:val="22"/>
              </w:rPr>
            </w:pPr>
            <w:r w:rsidRPr="007C51D6">
              <w:rPr>
                <w:rFonts w:eastAsia="Arial"/>
                <w:sz w:val="20"/>
                <w:szCs w:val="22"/>
              </w:rPr>
              <w:t>1,6</w:t>
            </w:r>
          </w:p>
        </w:tc>
        <w:tc>
          <w:tcPr>
            <w:tcW w:w="763" w:type="dxa"/>
            <w:shd w:val="clear" w:color="auto" w:fill="auto"/>
            <w:noWrap/>
            <w:hideMark/>
          </w:tcPr>
          <w:p w:rsidR="00AA2150" w:rsidRPr="007C51D6" w:rsidRDefault="00AA2150" w:rsidP="002341A0">
            <w:pPr>
              <w:autoSpaceDE/>
              <w:autoSpaceDN/>
              <w:adjustRightInd/>
              <w:spacing w:line="233" w:lineRule="auto"/>
              <w:jc w:val="center"/>
              <w:rPr>
                <w:rFonts w:eastAsia="Arial"/>
                <w:sz w:val="20"/>
                <w:szCs w:val="22"/>
              </w:rPr>
            </w:pPr>
            <w:r w:rsidRPr="007C51D6">
              <w:rPr>
                <w:rFonts w:eastAsia="Arial"/>
                <w:sz w:val="20"/>
                <w:szCs w:val="22"/>
              </w:rPr>
              <w:t>2,2</w:t>
            </w:r>
          </w:p>
        </w:tc>
        <w:tc>
          <w:tcPr>
            <w:tcW w:w="766" w:type="dxa"/>
          </w:tcPr>
          <w:p w:rsidR="00AA2150" w:rsidRPr="007C51D6" w:rsidRDefault="00AA2150" w:rsidP="002341A0">
            <w:pPr>
              <w:autoSpaceDE/>
              <w:autoSpaceDN/>
              <w:adjustRightInd/>
              <w:spacing w:line="233" w:lineRule="auto"/>
              <w:jc w:val="center"/>
              <w:rPr>
                <w:color w:val="000000"/>
                <w:sz w:val="20"/>
                <w:szCs w:val="20"/>
              </w:rPr>
            </w:pPr>
            <w:r w:rsidRPr="007C51D6">
              <w:rPr>
                <w:color w:val="000000"/>
                <w:sz w:val="20"/>
                <w:szCs w:val="20"/>
              </w:rPr>
              <w:t>1,8</w:t>
            </w:r>
          </w:p>
        </w:tc>
        <w:tc>
          <w:tcPr>
            <w:tcW w:w="839" w:type="dxa"/>
          </w:tcPr>
          <w:p w:rsidR="00AA2150" w:rsidRPr="007C51D6" w:rsidRDefault="00AA2150" w:rsidP="002341A0">
            <w:pPr>
              <w:autoSpaceDE/>
              <w:autoSpaceDN/>
              <w:adjustRightInd/>
              <w:spacing w:line="233" w:lineRule="auto"/>
              <w:jc w:val="center"/>
              <w:rPr>
                <w:color w:val="000000"/>
                <w:sz w:val="20"/>
                <w:szCs w:val="20"/>
              </w:rPr>
            </w:pPr>
            <w:r w:rsidRPr="007C51D6">
              <w:rPr>
                <w:color w:val="000000"/>
                <w:sz w:val="20"/>
                <w:szCs w:val="20"/>
              </w:rPr>
              <w:t>2,0</w:t>
            </w:r>
          </w:p>
        </w:tc>
        <w:tc>
          <w:tcPr>
            <w:tcW w:w="704" w:type="dxa"/>
          </w:tcPr>
          <w:p w:rsidR="00AA2150" w:rsidRPr="007C51D6" w:rsidRDefault="00AA2150" w:rsidP="002341A0">
            <w:pPr>
              <w:autoSpaceDE/>
              <w:autoSpaceDN/>
              <w:adjustRightInd/>
              <w:spacing w:line="233" w:lineRule="auto"/>
              <w:jc w:val="center"/>
              <w:rPr>
                <w:color w:val="000000"/>
                <w:sz w:val="20"/>
                <w:szCs w:val="20"/>
              </w:rPr>
            </w:pPr>
            <w:r w:rsidRPr="007C51D6">
              <w:rPr>
                <w:color w:val="000000"/>
                <w:sz w:val="20"/>
                <w:szCs w:val="20"/>
              </w:rPr>
              <w:t>2,0</w:t>
            </w:r>
          </w:p>
        </w:tc>
        <w:tc>
          <w:tcPr>
            <w:tcW w:w="872" w:type="dxa"/>
          </w:tcPr>
          <w:p w:rsidR="00AA2150" w:rsidRPr="007C51D6" w:rsidRDefault="00AA2150" w:rsidP="002341A0">
            <w:pPr>
              <w:autoSpaceDE/>
              <w:autoSpaceDN/>
              <w:adjustRightInd/>
              <w:spacing w:line="233" w:lineRule="auto"/>
              <w:jc w:val="center"/>
              <w:rPr>
                <w:color w:val="000000"/>
                <w:sz w:val="20"/>
                <w:szCs w:val="20"/>
              </w:rPr>
            </w:pPr>
            <w:r w:rsidRPr="007C51D6">
              <w:rPr>
                <w:color w:val="000000"/>
                <w:sz w:val="20"/>
                <w:szCs w:val="20"/>
              </w:rPr>
              <w:t>1.7</w:t>
            </w:r>
          </w:p>
        </w:tc>
        <w:tc>
          <w:tcPr>
            <w:tcW w:w="860" w:type="dxa"/>
          </w:tcPr>
          <w:p w:rsidR="00AA2150" w:rsidRPr="007C51D6" w:rsidRDefault="00AA2150" w:rsidP="002341A0">
            <w:pPr>
              <w:widowControl/>
              <w:autoSpaceDE/>
              <w:autoSpaceDN/>
              <w:adjustRightInd/>
              <w:spacing w:line="233" w:lineRule="auto"/>
              <w:jc w:val="center"/>
              <w:rPr>
                <w:color w:val="000000"/>
                <w:sz w:val="20"/>
                <w:szCs w:val="20"/>
              </w:rPr>
            </w:pPr>
            <w:r w:rsidRPr="007C51D6">
              <w:rPr>
                <w:color w:val="000000"/>
                <w:sz w:val="20"/>
                <w:szCs w:val="20"/>
              </w:rPr>
              <w:t>2.1</w:t>
            </w:r>
          </w:p>
        </w:tc>
      </w:tr>
      <w:tr w:rsidR="00AA2150" w:rsidRPr="007C51D6" w:rsidTr="00417BDB">
        <w:trPr>
          <w:trHeight w:val="20"/>
        </w:trPr>
        <w:tc>
          <w:tcPr>
            <w:tcW w:w="4815" w:type="dxa"/>
            <w:shd w:val="clear" w:color="auto" w:fill="auto"/>
            <w:noWrap/>
            <w:hideMark/>
          </w:tcPr>
          <w:p w:rsidR="00AA2150" w:rsidRPr="007C51D6" w:rsidRDefault="00AA2150" w:rsidP="002341A0">
            <w:pPr>
              <w:autoSpaceDE/>
              <w:autoSpaceDN/>
              <w:adjustRightInd/>
              <w:spacing w:line="233" w:lineRule="auto"/>
              <w:jc w:val="both"/>
              <w:rPr>
                <w:rFonts w:eastAsia="Arial"/>
                <w:sz w:val="20"/>
                <w:szCs w:val="22"/>
              </w:rPr>
            </w:pPr>
            <w:r w:rsidRPr="007C51D6">
              <w:rPr>
                <w:rFonts w:eastAsia="Arial"/>
                <w:sz w:val="20"/>
                <w:szCs w:val="22"/>
              </w:rPr>
              <w:t>Карцинома in situ других и неуточненных органов пищеварения</w:t>
            </w:r>
          </w:p>
        </w:tc>
        <w:tc>
          <w:tcPr>
            <w:tcW w:w="2201" w:type="dxa"/>
            <w:shd w:val="clear" w:color="auto" w:fill="auto"/>
            <w:noWrap/>
            <w:hideMark/>
          </w:tcPr>
          <w:p w:rsidR="00AA2150" w:rsidRPr="007C51D6" w:rsidRDefault="00AA2150" w:rsidP="002341A0">
            <w:pPr>
              <w:autoSpaceDE/>
              <w:autoSpaceDN/>
              <w:adjustRightInd/>
              <w:spacing w:line="233" w:lineRule="auto"/>
              <w:jc w:val="both"/>
              <w:rPr>
                <w:rFonts w:eastAsia="Arial"/>
                <w:sz w:val="20"/>
                <w:szCs w:val="22"/>
              </w:rPr>
            </w:pPr>
            <w:r w:rsidRPr="007C51D6">
              <w:rPr>
                <w:rFonts w:eastAsia="Arial"/>
                <w:sz w:val="20"/>
                <w:szCs w:val="22"/>
              </w:rPr>
              <w:t>D01: C17 – C26</w:t>
            </w:r>
          </w:p>
        </w:tc>
        <w:tc>
          <w:tcPr>
            <w:tcW w:w="851" w:type="dxa"/>
            <w:shd w:val="clear" w:color="auto" w:fill="auto"/>
            <w:noWrap/>
            <w:hideMark/>
          </w:tcPr>
          <w:p w:rsidR="00AA2150" w:rsidRPr="007C51D6" w:rsidRDefault="00AA2150" w:rsidP="002341A0">
            <w:pPr>
              <w:autoSpaceDE/>
              <w:autoSpaceDN/>
              <w:adjustRightInd/>
              <w:spacing w:line="233" w:lineRule="auto"/>
              <w:jc w:val="center"/>
              <w:rPr>
                <w:rFonts w:eastAsia="Arial"/>
                <w:sz w:val="20"/>
                <w:szCs w:val="22"/>
              </w:rPr>
            </w:pPr>
            <w:r w:rsidRPr="007C51D6">
              <w:rPr>
                <w:rFonts w:eastAsia="Arial"/>
                <w:sz w:val="20"/>
                <w:szCs w:val="22"/>
              </w:rPr>
              <w:t>1,3</w:t>
            </w:r>
          </w:p>
        </w:tc>
        <w:tc>
          <w:tcPr>
            <w:tcW w:w="850" w:type="dxa"/>
            <w:shd w:val="clear" w:color="auto" w:fill="auto"/>
            <w:noWrap/>
            <w:hideMark/>
          </w:tcPr>
          <w:p w:rsidR="00AA2150" w:rsidRPr="007C51D6" w:rsidRDefault="00AA2150" w:rsidP="002341A0">
            <w:pPr>
              <w:autoSpaceDE/>
              <w:autoSpaceDN/>
              <w:adjustRightInd/>
              <w:spacing w:line="233" w:lineRule="auto"/>
              <w:jc w:val="center"/>
              <w:rPr>
                <w:rFonts w:eastAsia="Arial"/>
                <w:sz w:val="20"/>
                <w:szCs w:val="22"/>
              </w:rPr>
            </w:pPr>
            <w:r w:rsidRPr="007C51D6">
              <w:rPr>
                <w:rFonts w:eastAsia="Arial"/>
                <w:sz w:val="20"/>
                <w:szCs w:val="22"/>
              </w:rPr>
              <w:t>2,5</w:t>
            </w:r>
          </w:p>
        </w:tc>
        <w:tc>
          <w:tcPr>
            <w:tcW w:w="851" w:type="dxa"/>
            <w:shd w:val="clear" w:color="auto" w:fill="auto"/>
            <w:noWrap/>
            <w:hideMark/>
          </w:tcPr>
          <w:p w:rsidR="00AA2150" w:rsidRPr="007C51D6" w:rsidRDefault="00AA2150" w:rsidP="002341A0">
            <w:pPr>
              <w:autoSpaceDE/>
              <w:autoSpaceDN/>
              <w:adjustRightInd/>
              <w:spacing w:line="233" w:lineRule="auto"/>
              <w:jc w:val="center"/>
              <w:rPr>
                <w:rFonts w:eastAsia="Arial"/>
                <w:sz w:val="20"/>
                <w:szCs w:val="22"/>
              </w:rPr>
            </w:pPr>
            <w:r w:rsidRPr="007C51D6">
              <w:rPr>
                <w:rFonts w:eastAsia="Arial"/>
                <w:sz w:val="20"/>
                <w:szCs w:val="22"/>
              </w:rPr>
              <w:t>2,7</w:t>
            </w:r>
          </w:p>
        </w:tc>
        <w:tc>
          <w:tcPr>
            <w:tcW w:w="755" w:type="dxa"/>
            <w:shd w:val="clear" w:color="auto" w:fill="auto"/>
            <w:noWrap/>
            <w:hideMark/>
          </w:tcPr>
          <w:p w:rsidR="00AA2150" w:rsidRPr="007C51D6" w:rsidRDefault="00AA2150" w:rsidP="002341A0">
            <w:pPr>
              <w:autoSpaceDE/>
              <w:autoSpaceDN/>
              <w:adjustRightInd/>
              <w:spacing w:line="233" w:lineRule="auto"/>
              <w:jc w:val="center"/>
              <w:rPr>
                <w:rFonts w:eastAsia="Arial"/>
                <w:sz w:val="20"/>
                <w:szCs w:val="22"/>
              </w:rPr>
            </w:pPr>
            <w:r w:rsidRPr="007C51D6">
              <w:rPr>
                <w:rFonts w:eastAsia="Arial"/>
                <w:sz w:val="20"/>
                <w:szCs w:val="22"/>
              </w:rPr>
              <w:t>2,9</w:t>
            </w:r>
          </w:p>
        </w:tc>
        <w:tc>
          <w:tcPr>
            <w:tcW w:w="763" w:type="dxa"/>
            <w:shd w:val="clear" w:color="auto" w:fill="auto"/>
            <w:noWrap/>
            <w:hideMark/>
          </w:tcPr>
          <w:p w:rsidR="00AA2150" w:rsidRPr="007C51D6" w:rsidRDefault="00AA2150" w:rsidP="002341A0">
            <w:pPr>
              <w:autoSpaceDE/>
              <w:autoSpaceDN/>
              <w:adjustRightInd/>
              <w:spacing w:line="233" w:lineRule="auto"/>
              <w:jc w:val="center"/>
              <w:rPr>
                <w:rFonts w:eastAsia="Arial"/>
                <w:sz w:val="20"/>
                <w:szCs w:val="22"/>
              </w:rPr>
            </w:pPr>
            <w:r w:rsidRPr="007C51D6">
              <w:rPr>
                <w:rFonts w:eastAsia="Arial"/>
                <w:sz w:val="20"/>
                <w:szCs w:val="22"/>
              </w:rPr>
              <w:t>3,3</w:t>
            </w:r>
          </w:p>
        </w:tc>
        <w:tc>
          <w:tcPr>
            <w:tcW w:w="766" w:type="dxa"/>
          </w:tcPr>
          <w:p w:rsidR="00AA2150" w:rsidRPr="007C51D6" w:rsidRDefault="00AA2150" w:rsidP="002341A0">
            <w:pPr>
              <w:spacing w:line="233" w:lineRule="auto"/>
              <w:jc w:val="center"/>
              <w:rPr>
                <w:color w:val="000000"/>
                <w:sz w:val="20"/>
                <w:szCs w:val="20"/>
              </w:rPr>
            </w:pPr>
            <w:r w:rsidRPr="007C51D6">
              <w:rPr>
                <w:color w:val="000000"/>
                <w:sz w:val="20"/>
                <w:szCs w:val="20"/>
              </w:rPr>
              <w:t>4,0</w:t>
            </w:r>
          </w:p>
        </w:tc>
        <w:tc>
          <w:tcPr>
            <w:tcW w:w="839" w:type="dxa"/>
          </w:tcPr>
          <w:p w:rsidR="00AA2150" w:rsidRPr="007C51D6" w:rsidRDefault="00AA2150" w:rsidP="002341A0">
            <w:pPr>
              <w:spacing w:line="233" w:lineRule="auto"/>
              <w:jc w:val="center"/>
              <w:rPr>
                <w:color w:val="000000"/>
                <w:sz w:val="20"/>
                <w:szCs w:val="20"/>
              </w:rPr>
            </w:pPr>
            <w:r w:rsidRPr="007C51D6">
              <w:rPr>
                <w:color w:val="000000"/>
                <w:sz w:val="20"/>
                <w:szCs w:val="20"/>
              </w:rPr>
              <w:t>3,8</w:t>
            </w:r>
          </w:p>
        </w:tc>
        <w:tc>
          <w:tcPr>
            <w:tcW w:w="704" w:type="dxa"/>
          </w:tcPr>
          <w:p w:rsidR="00AA2150" w:rsidRPr="007C51D6" w:rsidRDefault="00AA2150" w:rsidP="002341A0">
            <w:pPr>
              <w:spacing w:line="233" w:lineRule="auto"/>
              <w:jc w:val="center"/>
              <w:rPr>
                <w:color w:val="000000"/>
                <w:sz w:val="20"/>
                <w:szCs w:val="20"/>
              </w:rPr>
            </w:pPr>
            <w:r w:rsidRPr="007C51D6">
              <w:rPr>
                <w:color w:val="000000"/>
                <w:sz w:val="20"/>
                <w:szCs w:val="20"/>
              </w:rPr>
              <w:t>3,4</w:t>
            </w:r>
          </w:p>
        </w:tc>
        <w:tc>
          <w:tcPr>
            <w:tcW w:w="872" w:type="dxa"/>
          </w:tcPr>
          <w:p w:rsidR="00AA2150" w:rsidRPr="007C51D6" w:rsidRDefault="00AA2150" w:rsidP="002341A0">
            <w:pPr>
              <w:spacing w:line="233" w:lineRule="auto"/>
              <w:jc w:val="center"/>
              <w:rPr>
                <w:color w:val="000000"/>
                <w:sz w:val="20"/>
                <w:szCs w:val="20"/>
              </w:rPr>
            </w:pPr>
            <w:r w:rsidRPr="007C51D6">
              <w:rPr>
                <w:color w:val="000000"/>
                <w:sz w:val="20"/>
                <w:szCs w:val="20"/>
              </w:rPr>
              <w:t>4.3</w:t>
            </w:r>
          </w:p>
        </w:tc>
        <w:tc>
          <w:tcPr>
            <w:tcW w:w="860" w:type="dxa"/>
          </w:tcPr>
          <w:p w:rsidR="00AA2150" w:rsidRPr="007C51D6" w:rsidRDefault="00AA2150" w:rsidP="002341A0">
            <w:pPr>
              <w:spacing w:line="233" w:lineRule="auto"/>
              <w:jc w:val="center"/>
              <w:rPr>
                <w:color w:val="000000"/>
                <w:sz w:val="20"/>
                <w:szCs w:val="20"/>
              </w:rPr>
            </w:pPr>
            <w:r w:rsidRPr="007C51D6">
              <w:rPr>
                <w:color w:val="000000"/>
                <w:sz w:val="20"/>
                <w:szCs w:val="20"/>
              </w:rPr>
              <w:t>4.3</w:t>
            </w:r>
          </w:p>
        </w:tc>
      </w:tr>
      <w:tr w:rsidR="00435463" w:rsidRPr="007C51D6" w:rsidTr="00417BDB">
        <w:trPr>
          <w:trHeight w:val="20"/>
        </w:trPr>
        <w:tc>
          <w:tcPr>
            <w:tcW w:w="4815" w:type="dxa"/>
            <w:shd w:val="clear" w:color="auto" w:fill="auto"/>
            <w:noWrap/>
          </w:tcPr>
          <w:p w:rsidR="00435463" w:rsidRPr="007C51D6" w:rsidRDefault="00435463" w:rsidP="002341A0">
            <w:pPr>
              <w:autoSpaceDE/>
              <w:autoSpaceDN/>
              <w:adjustRightInd/>
              <w:spacing w:line="233" w:lineRule="auto"/>
              <w:jc w:val="both"/>
              <w:rPr>
                <w:rFonts w:eastAsia="Arial"/>
                <w:sz w:val="20"/>
                <w:szCs w:val="22"/>
              </w:rPr>
            </w:pPr>
            <w:r w:rsidRPr="007C51D6">
              <w:rPr>
                <w:rFonts w:eastAsia="Arial"/>
                <w:sz w:val="20"/>
                <w:szCs w:val="22"/>
              </w:rPr>
              <w:t xml:space="preserve">Карцинома in situ среднего уха и органов дыхания </w:t>
            </w:r>
          </w:p>
        </w:tc>
        <w:tc>
          <w:tcPr>
            <w:tcW w:w="2201" w:type="dxa"/>
            <w:shd w:val="clear" w:color="auto" w:fill="auto"/>
            <w:noWrap/>
          </w:tcPr>
          <w:p w:rsidR="00435463" w:rsidRPr="007C51D6" w:rsidRDefault="00435463" w:rsidP="002341A0">
            <w:pPr>
              <w:autoSpaceDE/>
              <w:autoSpaceDN/>
              <w:adjustRightInd/>
              <w:spacing w:line="233" w:lineRule="auto"/>
              <w:jc w:val="both"/>
              <w:rPr>
                <w:rFonts w:eastAsia="Arial"/>
                <w:sz w:val="20"/>
                <w:szCs w:val="22"/>
              </w:rPr>
            </w:pPr>
            <w:r w:rsidRPr="007C51D6">
              <w:rPr>
                <w:rFonts w:eastAsia="Arial"/>
                <w:sz w:val="20"/>
                <w:szCs w:val="22"/>
              </w:rPr>
              <w:t>D02: C30 – C34</w:t>
            </w:r>
          </w:p>
        </w:tc>
        <w:tc>
          <w:tcPr>
            <w:tcW w:w="851" w:type="dxa"/>
            <w:shd w:val="clear" w:color="auto" w:fill="auto"/>
            <w:noWrap/>
          </w:tcPr>
          <w:p w:rsidR="00435463" w:rsidRPr="007C51D6" w:rsidRDefault="00435463" w:rsidP="002341A0">
            <w:pPr>
              <w:autoSpaceDE/>
              <w:autoSpaceDN/>
              <w:adjustRightInd/>
              <w:spacing w:line="233" w:lineRule="auto"/>
              <w:jc w:val="center"/>
              <w:rPr>
                <w:rFonts w:eastAsia="Arial"/>
                <w:sz w:val="20"/>
                <w:szCs w:val="22"/>
              </w:rPr>
            </w:pPr>
            <w:r w:rsidRPr="007C51D6">
              <w:rPr>
                <w:rFonts w:eastAsia="Arial"/>
                <w:sz w:val="20"/>
                <w:szCs w:val="22"/>
              </w:rPr>
              <w:t>1,7</w:t>
            </w:r>
          </w:p>
        </w:tc>
        <w:tc>
          <w:tcPr>
            <w:tcW w:w="850" w:type="dxa"/>
            <w:shd w:val="clear" w:color="auto" w:fill="auto"/>
            <w:noWrap/>
          </w:tcPr>
          <w:p w:rsidR="00435463" w:rsidRPr="007C51D6" w:rsidRDefault="00435463" w:rsidP="002341A0">
            <w:pPr>
              <w:autoSpaceDE/>
              <w:autoSpaceDN/>
              <w:adjustRightInd/>
              <w:spacing w:line="233" w:lineRule="auto"/>
              <w:jc w:val="center"/>
              <w:rPr>
                <w:rFonts w:eastAsia="Arial"/>
                <w:sz w:val="20"/>
                <w:szCs w:val="22"/>
              </w:rPr>
            </w:pPr>
            <w:r w:rsidRPr="007C51D6">
              <w:rPr>
                <w:rFonts w:eastAsia="Arial"/>
                <w:sz w:val="20"/>
                <w:szCs w:val="22"/>
              </w:rPr>
              <w:t>1,1</w:t>
            </w:r>
          </w:p>
        </w:tc>
        <w:tc>
          <w:tcPr>
            <w:tcW w:w="851" w:type="dxa"/>
            <w:shd w:val="clear" w:color="auto" w:fill="auto"/>
            <w:noWrap/>
          </w:tcPr>
          <w:p w:rsidR="00435463" w:rsidRPr="007C51D6" w:rsidRDefault="00435463" w:rsidP="002341A0">
            <w:pPr>
              <w:autoSpaceDE/>
              <w:autoSpaceDN/>
              <w:adjustRightInd/>
              <w:spacing w:line="233" w:lineRule="auto"/>
              <w:jc w:val="center"/>
              <w:rPr>
                <w:rFonts w:eastAsia="Arial"/>
                <w:sz w:val="20"/>
                <w:szCs w:val="22"/>
              </w:rPr>
            </w:pPr>
            <w:r w:rsidRPr="007C51D6">
              <w:rPr>
                <w:rFonts w:eastAsia="Arial"/>
                <w:sz w:val="20"/>
                <w:szCs w:val="22"/>
              </w:rPr>
              <w:t>1,0</w:t>
            </w:r>
          </w:p>
        </w:tc>
        <w:tc>
          <w:tcPr>
            <w:tcW w:w="755" w:type="dxa"/>
            <w:shd w:val="clear" w:color="auto" w:fill="auto"/>
            <w:noWrap/>
          </w:tcPr>
          <w:p w:rsidR="00435463" w:rsidRPr="007C51D6" w:rsidRDefault="00435463" w:rsidP="002341A0">
            <w:pPr>
              <w:autoSpaceDE/>
              <w:autoSpaceDN/>
              <w:adjustRightInd/>
              <w:spacing w:line="233" w:lineRule="auto"/>
              <w:jc w:val="center"/>
              <w:rPr>
                <w:rFonts w:eastAsia="Arial"/>
                <w:sz w:val="20"/>
                <w:szCs w:val="22"/>
              </w:rPr>
            </w:pPr>
            <w:r w:rsidRPr="007C51D6">
              <w:rPr>
                <w:rFonts w:eastAsia="Arial"/>
                <w:sz w:val="20"/>
                <w:szCs w:val="22"/>
              </w:rPr>
              <w:t>1,4</w:t>
            </w:r>
          </w:p>
        </w:tc>
        <w:tc>
          <w:tcPr>
            <w:tcW w:w="763" w:type="dxa"/>
            <w:shd w:val="clear" w:color="auto" w:fill="auto"/>
            <w:noWrap/>
          </w:tcPr>
          <w:p w:rsidR="00435463" w:rsidRPr="007C51D6" w:rsidRDefault="00435463" w:rsidP="002341A0">
            <w:pPr>
              <w:autoSpaceDE/>
              <w:autoSpaceDN/>
              <w:adjustRightInd/>
              <w:spacing w:line="233" w:lineRule="auto"/>
              <w:jc w:val="center"/>
              <w:rPr>
                <w:rFonts w:eastAsia="Arial"/>
                <w:sz w:val="20"/>
                <w:szCs w:val="22"/>
              </w:rPr>
            </w:pPr>
            <w:r w:rsidRPr="007C51D6">
              <w:rPr>
                <w:rFonts w:eastAsia="Arial"/>
                <w:sz w:val="20"/>
                <w:szCs w:val="22"/>
              </w:rPr>
              <w:t>1,2</w:t>
            </w:r>
          </w:p>
        </w:tc>
        <w:tc>
          <w:tcPr>
            <w:tcW w:w="766" w:type="dxa"/>
          </w:tcPr>
          <w:p w:rsidR="00435463" w:rsidRPr="007C51D6" w:rsidRDefault="00435463" w:rsidP="002341A0">
            <w:pPr>
              <w:spacing w:line="233" w:lineRule="auto"/>
              <w:jc w:val="center"/>
              <w:rPr>
                <w:color w:val="000000"/>
                <w:sz w:val="20"/>
                <w:szCs w:val="20"/>
              </w:rPr>
            </w:pPr>
            <w:r w:rsidRPr="007C51D6">
              <w:rPr>
                <w:color w:val="000000"/>
                <w:sz w:val="20"/>
                <w:szCs w:val="20"/>
              </w:rPr>
              <w:t>1,4</w:t>
            </w:r>
          </w:p>
        </w:tc>
        <w:tc>
          <w:tcPr>
            <w:tcW w:w="839" w:type="dxa"/>
          </w:tcPr>
          <w:p w:rsidR="00435463" w:rsidRPr="007C51D6" w:rsidRDefault="00435463" w:rsidP="002341A0">
            <w:pPr>
              <w:spacing w:line="233" w:lineRule="auto"/>
              <w:jc w:val="center"/>
              <w:rPr>
                <w:color w:val="000000"/>
                <w:sz w:val="20"/>
                <w:szCs w:val="20"/>
              </w:rPr>
            </w:pPr>
            <w:r w:rsidRPr="007C51D6">
              <w:rPr>
                <w:color w:val="000000"/>
                <w:sz w:val="20"/>
                <w:szCs w:val="20"/>
              </w:rPr>
              <w:t>1,4</w:t>
            </w:r>
          </w:p>
        </w:tc>
        <w:tc>
          <w:tcPr>
            <w:tcW w:w="704" w:type="dxa"/>
          </w:tcPr>
          <w:p w:rsidR="00435463" w:rsidRPr="007C51D6" w:rsidRDefault="00435463" w:rsidP="002341A0">
            <w:pPr>
              <w:spacing w:line="233" w:lineRule="auto"/>
              <w:jc w:val="center"/>
              <w:rPr>
                <w:color w:val="000000"/>
                <w:sz w:val="20"/>
                <w:szCs w:val="20"/>
              </w:rPr>
            </w:pPr>
            <w:r w:rsidRPr="007C51D6">
              <w:rPr>
                <w:color w:val="000000"/>
                <w:sz w:val="20"/>
                <w:szCs w:val="20"/>
              </w:rPr>
              <w:t>1,3</w:t>
            </w:r>
          </w:p>
        </w:tc>
        <w:tc>
          <w:tcPr>
            <w:tcW w:w="872" w:type="dxa"/>
          </w:tcPr>
          <w:p w:rsidR="00435463" w:rsidRPr="007C51D6" w:rsidRDefault="00435463" w:rsidP="002341A0">
            <w:pPr>
              <w:spacing w:line="233" w:lineRule="auto"/>
              <w:jc w:val="center"/>
              <w:rPr>
                <w:color w:val="000000"/>
                <w:sz w:val="20"/>
                <w:szCs w:val="20"/>
              </w:rPr>
            </w:pPr>
            <w:r w:rsidRPr="007C51D6">
              <w:rPr>
                <w:color w:val="000000"/>
                <w:sz w:val="20"/>
                <w:szCs w:val="20"/>
              </w:rPr>
              <w:t>1.7</w:t>
            </w:r>
          </w:p>
        </w:tc>
        <w:tc>
          <w:tcPr>
            <w:tcW w:w="860" w:type="dxa"/>
          </w:tcPr>
          <w:p w:rsidR="00435463" w:rsidRPr="007C51D6" w:rsidRDefault="00435463" w:rsidP="002341A0">
            <w:pPr>
              <w:spacing w:line="233" w:lineRule="auto"/>
              <w:jc w:val="center"/>
              <w:rPr>
                <w:color w:val="000000"/>
                <w:sz w:val="20"/>
                <w:szCs w:val="20"/>
              </w:rPr>
            </w:pPr>
            <w:r w:rsidRPr="007C51D6">
              <w:rPr>
                <w:color w:val="000000"/>
                <w:sz w:val="20"/>
                <w:szCs w:val="20"/>
              </w:rPr>
              <w:t>1.9</w:t>
            </w:r>
          </w:p>
        </w:tc>
      </w:tr>
      <w:tr w:rsidR="00435463" w:rsidRPr="007C51D6" w:rsidTr="00417BDB">
        <w:trPr>
          <w:trHeight w:val="20"/>
        </w:trPr>
        <w:tc>
          <w:tcPr>
            <w:tcW w:w="4815" w:type="dxa"/>
            <w:shd w:val="clear" w:color="auto" w:fill="auto"/>
            <w:noWrap/>
          </w:tcPr>
          <w:p w:rsidR="00435463" w:rsidRPr="007C51D6" w:rsidRDefault="00435463" w:rsidP="002341A0">
            <w:pPr>
              <w:autoSpaceDE/>
              <w:autoSpaceDN/>
              <w:adjustRightInd/>
              <w:spacing w:line="233" w:lineRule="auto"/>
              <w:jc w:val="both"/>
              <w:rPr>
                <w:rFonts w:eastAsia="Arial"/>
                <w:sz w:val="20"/>
                <w:szCs w:val="22"/>
              </w:rPr>
            </w:pPr>
            <w:r w:rsidRPr="007C51D6">
              <w:rPr>
                <w:rFonts w:eastAsia="Arial"/>
                <w:sz w:val="20"/>
                <w:szCs w:val="22"/>
              </w:rPr>
              <w:t>Меланома in situ</w:t>
            </w:r>
          </w:p>
        </w:tc>
        <w:tc>
          <w:tcPr>
            <w:tcW w:w="2201" w:type="dxa"/>
            <w:shd w:val="clear" w:color="auto" w:fill="auto"/>
            <w:noWrap/>
          </w:tcPr>
          <w:p w:rsidR="00435463" w:rsidRPr="007C51D6" w:rsidRDefault="00435463" w:rsidP="002341A0">
            <w:pPr>
              <w:autoSpaceDE/>
              <w:autoSpaceDN/>
              <w:adjustRightInd/>
              <w:spacing w:line="233" w:lineRule="auto"/>
              <w:jc w:val="both"/>
              <w:rPr>
                <w:rFonts w:eastAsia="Arial"/>
                <w:sz w:val="20"/>
                <w:szCs w:val="22"/>
              </w:rPr>
            </w:pPr>
            <w:r w:rsidRPr="007C51D6">
              <w:rPr>
                <w:rFonts w:eastAsia="Arial"/>
                <w:sz w:val="20"/>
                <w:szCs w:val="22"/>
              </w:rPr>
              <w:t>D03: C43</w:t>
            </w:r>
          </w:p>
        </w:tc>
        <w:tc>
          <w:tcPr>
            <w:tcW w:w="851" w:type="dxa"/>
            <w:shd w:val="clear" w:color="auto" w:fill="auto"/>
            <w:noWrap/>
          </w:tcPr>
          <w:p w:rsidR="00435463" w:rsidRPr="007C51D6" w:rsidRDefault="00435463" w:rsidP="002341A0">
            <w:pPr>
              <w:autoSpaceDE/>
              <w:autoSpaceDN/>
              <w:adjustRightInd/>
              <w:spacing w:line="233" w:lineRule="auto"/>
              <w:jc w:val="center"/>
              <w:rPr>
                <w:rFonts w:eastAsia="Arial"/>
                <w:sz w:val="20"/>
                <w:szCs w:val="22"/>
              </w:rPr>
            </w:pPr>
            <w:r w:rsidRPr="007C51D6">
              <w:rPr>
                <w:rFonts w:eastAsia="Arial"/>
                <w:sz w:val="20"/>
                <w:szCs w:val="22"/>
              </w:rPr>
              <w:t>1,8</w:t>
            </w:r>
          </w:p>
        </w:tc>
        <w:tc>
          <w:tcPr>
            <w:tcW w:w="850" w:type="dxa"/>
            <w:shd w:val="clear" w:color="auto" w:fill="auto"/>
            <w:noWrap/>
          </w:tcPr>
          <w:p w:rsidR="00435463" w:rsidRPr="007C51D6" w:rsidRDefault="00435463" w:rsidP="002341A0">
            <w:pPr>
              <w:autoSpaceDE/>
              <w:autoSpaceDN/>
              <w:adjustRightInd/>
              <w:spacing w:line="233" w:lineRule="auto"/>
              <w:jc w:val="center"/>
              <w:rPr>
                <w:rFonts w:eastAsia="Arial"/>
                <w:sz w:val="20"/>
                <w:szCs w:val="22"/>
              </w:rPr>
            </w:pPr>
            <w:r w:rsidRPr="007C51D6">
              <w:rPr>
                <w:rFonts w:eastAsia="Arial"/>
                <w:sz w:val="20"/>
                <w:szCs w:val="22"/>
              </w:rPr>
              <w:t>3,6</w:t>
            </w:r>
          </w:p>
        </w:tc>
        <w:tc>
          <w:tcPr>
            <w:tcW w:w="851" w:type="dxa"/>
            <w:shd w:val="clear" w:color="auto" w:fill="auto"/>
            <w:noWrap/>
          </w:tcPr>
          <w:p w:rsidR="00435463" w:rsidRPr="007C51D6" w:rsidRDefault="00435463" w:rsidP="002341A0">
            <w:pPr>
              <w:autoSpaceDE/>
              <w:autoSpaceDN/>
              <w:adjustRightInd/>
              <w:spacing w:line="233" w:lineRule="auto"/>
              <w:jc w:val="center"/>
              <w:rPr>
                <w:rFonts w:eastAsia="Arial"/>
                <w:sz w:val="20"/>
                <w:szCs w:val="22"/>
              </w:rPr>
            </w:pPr>
            <w:r w:rsidRPr="007C51D6">
              <w:rPr>
                <w:rFonts w:eastAsia="Arial"/>
                <w:sz w:val="20"/>
                <w:szCs w:val="22"/>
              </w:rPr>
              <w:t>4,2</w:t>
            </w:r>
          </w:p>
        </w:tc>
        <w:tc>
          <w:tcPr>
            <w:tcW w:w="755" w:type="dxa"/>
            <w:shd w:val="clear" w:color="auto" w:fill="auto"/>
            <w:noWrap/>
          </w:tcPr>
          <w:p w:rsidR="00435463" w:rsidRPr="007C51D6" w:rsidRDefault="00435463" w:rsidP="002341A0">
            <w:pPr>
              <w:autoSpaceDE/>
              <w:autoSpaceDN/>
              <w:adjustRightInd/>
              <w:spacing w:line="233" w:lineRule="auto"/>
              <w:jc w:val="center"/>
              <w:rPr>
                <w:rFonts w:eastAsia="Arial"/>
                <w:sz w:val="20"/>
                <w:szCs w:val="22"/>
              </w:rPr>
            </w:pPr>
            <w:r w:rsidRPr="007C51D6">
              <w:rPr>
                <w:rFonts w:eastAsia="Arial"/>
                <w:sz w:val="20"/>
                <w:szCs w:val="22"/>
              </w:rPr>
              <w:t>4,0</w:t>
            </w:r>
          </w:p>
        </w:tc>
        <w:tc>
          <w:tcPr>
            <w:tcW w:w="763" w:type="dxa"/>
            <w:shd w:val="clear" w:color="auto" w:fill="auto"/>
            <w:noWrap/>
          </w:tcPr>
          <w:p w:rsidR="00435463" w:rsidRPr="007C51D6" w:rsidRDefault="00435463" w:rsidP="002341A0">
            <w:pPr>
              <w:autoSpaceDE/>
              <w:autoSpaceDN/>
              <w:adjustRightInd/>
              <w:spacing w:line="233" w:lineRule="auto"/>
              <w:jc w:val="center"/>
              <w:rPr>
                <w:rFonts w:eastAsia="Arial"/>
                <w:sz w:val="20"/>
                <w:szCs w:val="22"/>
              </w:rPr>
            </w:pPr>
            <w:r w:rsidRPr="007C51D6">
              <w:rPr>
                <w:rFonts w:eastAsia="Arial"/>
                <w:sz w:val="20"/>
                <w:szCs w:val="22"/>
              </w:rPr>
              <w:t>2,2</w:t>
            </w:r>
          </w:p>
        </w:tc>
        <w:tc>
          <w:tcPr>
            <w:tcW w:w="766" w:type="dxa"/>
          </w:tcPr>
          <w:p w:rsidR="00435463" w:rsidRPr="007C51D6" w:rsidRDefault="00435463" w:rsidP="002341A0">
            <w:pPr>
              <w:spacing w:line="233" w:lineRule="auto"/>
              <w:jc w:val="center"/>
              <w:rPr>
                <w:color w:val="000000"/>
                <w:sz w:val="20"/>
                <w:szCs w:val="20"/>
              </w:rPr>
            </w:pPr>
            <w:r w:rsidRPr="007C51D6">
              <w:rPr>
                <w:color w:val="000000"/>
                <w:sz w:val="20"/>
                <w:szCs w:val="20"/>
              </w:rPr>
              <w:t>2,5</w:t>
            </w:r>
          </w:p>
        </w:tc>
        <w:tc>
          <w:tcPr>
            <w:tcW w:w="839" w:type="dxa"/>
          </w:tcPr>
          <w:p w:rsidR="00435463" w:rsidRPr="007C51D6" w:rsidRDefault="00435463" w:rsidP="002341A0">
            <w:pPr>
              <w:spacing w:line="233" w:lineRule="auto"/>
              <w:jc w:val="center"/>
              <w:rPr>
                <w:color w:val="000000"/>
                <w:sz w:val="20"/>
                <w:szCs w:val="20"/>
              </w:rPr>
            </w:pPr>
            <w:r w:rsidRPr="007C51D6">
              <w:rPr>
                <w:color w:val="000000"/>
                <w:sz w:val="20"/>
                <w:szCs w:val="20"/>
              </w:rPr>
              <w:t>3,2</w:t>
            </w:r>
          </w:p>
        </w:tc>
        <w:tc>
          <w:tcPr>
            <w:tcW w:w="704" w:type="dxa"/>
          </w:tcPr>
          <w:p w:rsidR="00435463" w:rsidRPr="007C51D6" w:rsidRDefault="00435463" w:rsidP="002341A0">
            <w:pPr>
              <w:spacing w:line="233" w:lineRule="auto"/>
              <w:jc w:val="center"/>
              <w:rPr>
                <w:color w:val="000000"/>
                <w:sz w:val="20"/>
                <w:szCs w:val="20"/>
              </w:rPr>
            </w:pPr>
            <w:r w:rsidRPr="007C51D6">
              <w:rPr>
                <w:color w:val="000000"/>
                <w:sz w:val="20"/>
                <w:szCs w:val="20"/>
              </w:rPr>
              <w:t>5,5</w:t>
            </w:r>
          </w:p>
        </w:tc>
        <w:tc>
          <w:tcPr>
            <w:tcW w:w="872" w:type="dxa"/>
          </w:tcPr>
          <w:p w:rsidR="00435463" w:rsidRPr="007C51D6" w:rsidRDefault="00435463" w:rsidP="002341A0">
            <w:pPr>
              <w:spacing w:line="233" w:lineRule="auto"/>
              <w:jc w:val="center"/>
              <w:rPr>
                <w:color w:val="000000"/>
                <w:sz w:val="20"/>
                <w:szCs w:val="20"/>
              </w:rPr>
            </w:pPr>
            <w:r w:rsidRPr="007C51D6">
              <w:rPr>
                <w:color w:val="000000"/>
                <w:sz w:val="20"/>
                <w:szCs w:val="20"/>
              </w:rPr>
              <w:t>2.7</w:t>
            </w:r>
          </w:p>
        </w:tc>
        <w:tc>
          <w:tcPr>
            <w:tcW w:w="860" w:type="dxa"/>
          </w:tcPr>
          <w:p w:rsidR="00435463" w:rsidRPr="007C51D6" w:rsidRDefault="00435463" w:rsidP="002341A0">
            <w:pPr>
              <w:spacing w:line="233" w:lineRule="auto"/>
              <w:jc w:val="center"/>
              <w:rPr>
                <w:color w:val="000000"/>
                <w:sz w:val="20"/>
                <w:szCs w:val="20"/>
              </w:rPr>
            </w:pPr>
            <w:r w:rsidRPr="007C51D6">
              <w:rPr>
                <w:color w:val="000000"/>
                <w:sz w:val="20"/>
                <w:szCs w:val="20"/>
              </w:rPr>
              <w:t>7.2</w:t>
            </w:r>
          </w:p>
        </w:tc>
      </w:tr>
      <w:tr w:rsidR="00435463" w:rsidRPr="007C51D6" w:rsidTr="00417BDB">
        <w:trPr>
          <w:trHeight w:val="20"/>
        </w:trPr>
        <w:tc>
          <w:tcPr>
            <w:tcW w:w="4815" w:type="dxa"/>
            <w:shd w:val="clear" w:color="auto" w:fill="auto"/>
            <w:noWrap/>
          </w:tcPr>
          <w:p w:rsidR="00435463" w:rsidRPr="007C51D6" w:rsidRDefault="00435463" w:rsidP="002341A0">
            <w:pPr>
              <w:autoSpaceDE/>
              <w:autoSpaceDN/>
              <w:adjustRightInd/>
              <w:spacing w:line="233" w:lineRule="auto"/>
              <w:jc w:val="both"/>
              <w:rPr>
                <w:rFonts w:eastAsia="Arial"/>
                <w:sz w:val="20"/>
                <w:szCs w:val="22"/>
              </w:rPr>
            </w:pPr>
            <w:r w:rsidRPr="007C51D6">
              <w:rPr>
                <w:rFonts w:eastAsia="Arial"/>
                <w:sz w:val="20"/>
                <w:szCs w:val="22"/>
              </w:rPr>
              <w:t>Карцинома in situ кожи</w:t>
            </w:r>
          </w:p>
        </w:tc>
        <w:tc>
          <w:tcPr>
            <w:tcW w:w="2201" w:type="dxa"/>
            <w:shd w:val="clear" w:color="auto" w:fill="auto"/>
            <w:noWrap/>
          </w:tcPr>
          <w:p w:rsidR="00435463" w:rsidRPr="007C51D6" w:rsidRDefault="00435463" w:rsidP="002341A0">
            <w:pPr>
              <w:autoSpaceDE/>
              <w:autoSpaceDN/>
              <w:adjustRightInd/>
              <w:spacing w:line="233" w:lineRule="auto"/>
              <w:jc w:val="both"/>
              <w:rPr>
                <w:rFonts w:eastAsia="Arial"/>
                <w:sz w:val="20"/>
                <w:szCs w:val="22"/>
              </w:rPr>
            </w:pPr>
            <w:r w:rsidRPr="007C51D6">
              <w:rPr>
                <w:rFonts w:eastAsia="Arial"/>
                <w:sz w:val="20"/>
                <w:szCs w:val="22"/>
              </w:rPr>
              <w:t>D04: C44</w:t>
            </w:r>
          </w:p>
        </w:tc>
        <w:tc>
          <w:tcPr>
            <w:tcW w:w="851" w:type="dxa"/>
            <w:shd w:val="clear" w:color="auto" w:fill="auto"/>
            <w:noWrap/>
          </w:tcPr>
          <w:p w:rsidR="00435463" w:rsidRPr="007C51D6" w:rsidRDefault="00435463" w:rsidP="002341A0">
            <w:pPr>
              <w:autoSpaceDE/>
              <w:autoSpaceDN/>
              <w:adjustRightInd/>
              <w:spacing w:line="233" w:lineRule="auto"/>
              <w:jc w:val="center"/>
              <w:rPr>
                <w:rFonts w:eastAsia="Arial"/>
                <w:sz w:val="20"/>
                <w:szCs w:val="22"/>
              </w:rPr>
            </w:pPr>
            <w:r w:rsidRPr="007C51D6">
              <w:rPr>
                <w:rFonts w:eastAsia="Arial"/>
                <w:sz w:val="20"/>
                <w:szCs w:val="22"/>
              </w:rPr>
              <w:t>1,7</w:t>
            </w:r>
          </w:p>
        </w:tc>
        <w:tc>
          <w:tcPr>
            <w:tcW w:w="850" w:type="dxa"/>
            <w:shd w:val="clear" w:color="auto" w:fill="auto"/>
            <w:noWrap/>
          </w:tcPr>
          <w:p w:rsidR="00435463" w:rsidRPr="007C51D6" w:rsidRDefault="00435463" w:rsidP="002341A0">
            <w:pPr>
              <w:autoSpaceDE/>
              <w:autoSpaceDN/>
              <w:adjustRightInd/>
              <w:spacing w:line="233" w:lineRule="auto"/>
              <w:jc w:val="center"/>
              <w:rPr>
                <w:rFonts w:eastAsia="Arial"/>
                <w:sz w:val="20"/>
                <w:szCs w:val="22"/>
              </w:rPr>
            </w:pPr>
            <w:r w:rsidRPr="007C51D6">
              <w:rPr>
                <w:rFonts w:eastAsia="Arial"/>
                <w:sz w:val="20"/>
                <w:szCs w:val="22"/>
              </w:rPr>
              <w:t>1,7</w:t>
            </w:r>
          </w:p>
        </w:tc>
        <w:tc>
          <w:tcPr>
            <w:tcW w:w="851" w:type="dxa"/>
            <w:shd w:val="clear" w:color="auto" w:fill="auto"/>
            <w:noWrap/>
          </w:tcPr>
          <w:p w:rsidR="00435463" w:rsidRPr="007C51D6" w:rsidRDefault="00435463" w:rsidP="002341A0">
            <w:pPr>
              <w:autoSpaceDE/>
              <w:autoSpaceDN/>
              <w:adjustRightInd/>
              <w:spacing w:line="233" w:lineRule="auto"/>
              <w:jc w:val="center"/>
              <w:rPr>
                <w:rFonts w:eastAsia="Arial"/>
                <w:sz w:val="20"/>
                <w:szCs w:val="22"/>
              </w:rPr>
            </w:pPr>
            <w:r w:rsidRPr="007C51D6">
              <w:rPr>
                <w:rFonts w:eastAsia="Arial"/>
                <w:sz w:val="20"/>
                <w:szCs w:val="22"/>
              </w:rPr>
              <w:t>1,5</w:t>
            </w:r>
          </w:p>
        </w:tc>
        <w:tc>
          <w:tcPr>
            <w:tcW w:w="755" w:type="dxa"/>
            <w:shd w:val="clear" w:color="auto" w:fill="auto"/>
            <w:noWrap/>
          </w:tcPr>
          <w:p w:rsidR="00435463" w:rsidRPr="007C51D6" w:rsidRDefault="00435463" w:rsidP="002341A0">
            <w:pPr>
              <w:autoSpaceDE/>
              <w:autoSpaceDN/>
              <w:adjustRightInd/>
              <w:spacing w:line="233" w:lineRule="auto"/>
              <w:jc w:val="center"/>
              <w:rPr>
                <w:rFonts w:eastAsia="Arial"/>
                <w:sz w:val="20"/>
                <w:szCs w:val="22"/>
              </w:rPr>
            </w:pPr>
            <w:r w:rsidRPr="007C51D6">
              <w:rPr>
                <w:rFonts w:eastAsia="Arial"/>
                <w:sz w:val="20"/>
                <w:szCs w:val="22"/>
              </w:rPr>
              <w:t>1,5</w:t>
            </w:r>
          </w:p>
        </w:tc>
        <w:tc>
          <w:tcPr>
            <w:tcW w:w="763" w:type="dxa"/>
            <w:shd w:val="clear" w:color="auto" w:fill="auto"/>
            <w:noWrap/>
          </w:tcPr>
          <w:p w:rsidR="00435463" w:rsidRPr="007C51D6" w:rsidRDefault="00435463" w:rsidP="002341A0">
            <w:pPr>
              <w:autoSpaceDE/>
              <w:autoSpaceDN/>
              <w:adjustRightInd/>
              <w:spacing w:line="233" w:lineRule="auto"/>
              <w:jc w:val="center"/>
              <w:rPr>
                <w:rFonts w:eastAsia="Arial"/>
                <w:sz w:val="20"/>
                <w:szCs w:val="22"/>
              </w:rPr>
            </w:pPr>
            <w:r w:rsidRPr="007C51D6">
              <w:rPr>
                <w:rFonts w:eastAsia="Arial"/>
                <w:sz w:val="20"/>
                <w:szCs w:val="22"/>
              </w:rPr>
              <w:t>1,3</w:t>
            </w:r>
          </w:p>
        </w:tc>
        <w:tc>
          <w:tcPr>
            <w:tcW w:w="766" w:type="dxa"/>
          </w:tcPr>
          <w:p w:rsidR="00435463" w:rsidRPr="007C51D6" w:rsidRDefault="00435463" w:rsidP="002341A0">
            <w:pPr>
              <w:spacing w:line="233" w:lineRule="auto"/>
              <w:jc w:val="center"/>
              <w:rPr>
                <w:color w:val="000000"/>
                <w:sz w:val="20"/>
                <w:szCs w:val="20"/>
              </w:rPr>
            </w:pPr>
            <w:r w:rsidRPr="007C51D6">
              <w:rPr>
                <w:color w:val="000000"/>
                <w:sz w:val="20"/>
                <w:szCs w:val="20"/>
              </w:rPr>
              <w:t>1,5</w:t>
            </w:r>
          </w:p>
        </w:tc>
        <w:tc>
          <w:tcPr>
            <w:tcW w:w="839" w:type="dxa"/>
          </w:tcPr>
          <w:p w:rsidR="00435463" w:rsidRPr="007C51D6" w:rsidRDefault="00435463" w:rsidP="002341A0">
            <w:pPr>
              <w:spacing w:line="233" w:lineRule="auto"/>
              <w:jc w:val="center"/>
              <w:rPr>
                <w:color w:val="000000"/>
                <w:sz w:val="20"/>
                <w:szCs w:val="20"/>
              </w:rPr>
            </w:pPr>
            <w:r w:rsidRPr="007C51D6">
              <w:rPr>
                <w:color w:val="000000"/>
                <w:sz w:val="20"/>
                <w:szCs w:val="20"/>
              </w:rPr>
              <w:t>1,5</w:t>
            </w:r>
          </w:p>
        </w:tc>
        <w:tc>
          <w:tcPr>
            <w:tcW w:w="704" w:type="dxa"/>
          </w:tcPr>
          <w:p w:rsidR="00435463" w:rsidRPr="007C51D6" w:rsidRDefault="00435463" w:rsidP="002341A0">
            <w:pPr>
              <w:spacing w:line="233" w:lineRule="auto"/>
              <w:jc w:val="center"/>
              <w:rPr>
                <w:color w:val="000000"/>
                <w:sz w:val="20"/>
                <w:szCs w:val="20"/>
              </w:rPr>
            </w:pPr>
            <w:r w:rsidRPr="007C51D6">
              <w:rPr>
                <w:color w:val="000000"/>
                <w:sz w:val="20"/>
                <w:szCs w:val="20"/>
              </w:rPr>
              <w:t>2,4</w:t>
            </w:r>
          </w:p>
        </w:tc>
        <w:tc>
          <w:tcPr>
            <w:tcW w:w="872" w:type="dxa"/>
          </w:tcPr>
          <w:p w:rsidR="00435463" w:rsidRPr="007C51D6" w:rsidRDefault="00435463" w:rsidP="002341A0">
            <w:pPr>
              <w:spacing w:line="233" w:lineRule="auto"/>
              <w:jc w:val="center"/>
              <w:rPr>
                <w:color w:val="000000"/>
                <w:sz w:val="20"/>
                <w:szCs w:val="20"/>
              </w:rPr>
            </w:pPr>
            <w:r w:rsidRPr="007C51D6">
              <w:rPr>
                <w:color w:val="000000"/>
                <w:sz w:val="20"/>
                <w:szCs w:val="20"/>
              </w:rPr>
              <w:t>2.2</w:t>
            </w:r>
          </w:p>
        </w:tc>
        <w:tc>
          <w:tcPr>
            <w:tcW w:w="860" w:type="dxa"/>
          </w:tcPr>
          <w:p w:rsidR="00435463" w:rsidRPr="007C51D6" w:rsidRDefault="00435463" w:rsidP="002341A0">
            <w:pPr>
              <w:spacing w:line="233" w:lineRule="auto"/>
              <w:jc w:val="center"/>
              <w:rPr>
                <w:color w:val="000000"/>
                <w:sz w:val="20"/>
                <w:szCs w:val="20"/>
              </w:rPr>
            </w:pPr>
            <w:r w:rsidRPr="007C51D6">
              <w:rPr>
                <w:color w:val="000000"/>
                <w:sz w:val="20"/>
                <w:szCs w:val="20"/>
              </w:rPr>
              <w:t>1.7</w:t>
            </w:r>
          </w:p>
        </w:tc>
      </w:tr>
      <w:tr w:rsidR="00435463" w:rsidRPr="007C51D6" w:rsidTr="00417BDB">
        <w:trPr>
          <w:trHeight w:val="20"/>
        </w:trPr>
        <w:tc>
          <w:tcPr>
            <w:tcW w:w="4815" w:type="dxa"/>
            <w:shd w:val="clear" w:color="auto" w:fill="auto"/>
            <w:noWrap/>
            <w:hideMark/>
          </w:tcPr>
          <w:p w:rsidR="00435463" w:rsidRPr="007C51D6" w:rsidRDefault="00435463" w:rsidP="002341A0">
            <w:pPr>
              <w:autoSpaceDE/>
              <w:autoSpaceDN/>
              <w:adjustRightInd/>
              <w:spacing w:line="233" w:lineRule="auto"/>
              <w:jc w:val="both"/>
              <w:rPr>
                <w:rFonts w:eastAsia="Arial"/>
                <w:sz w:val="20"/>
                <w:szCs w:val="22"/>
              </w:rPr>
            </w:pPr>
            <w:r w:rsidRPr="007C51D6">
              <w:rPr>
                <w:rFonts w:eastAsia="Arial"/>
                <w:sz w:val="20"/>
                <w:szCs w:val="22"/>
              </w:rPr>
              <w:t>Карцинома in situ молочной железы</w:t>
            </w:r>
          </w:p>
        </w:tc>
        <w:tc>
          <w:tcPr>
            <w:tcW w:w="2201" w:type="dxa"/>
            <w:shd w:val="clear" w:color="auto" w:fill="auto"/>
            <w:noWrap/>
            <w:hideMark/>
          </w:tcPr>
          <w:p w:rsidR="00435463" w:rsidRPr="007C51D6" w:rsidRDefault="00435463" w:rsidP="002341A0">
            <w:pPr>
              <w:autoSpaceDE/>
              <w:autoSpaceDN/>
              <w:adjustRightInd/>
              <w:spacing w:line="233" w:lineRule="auto"/>
              <w:jc w:val="both"/>
              <w:rPr>
                <w:rFonts w:eastAsia="Arial"/>
                <w:sz w:val="20"/>
                <w:szCs w:val="22"/>
              </w:rPr>
            </w:pPr>
            <w:r w:rsidRPr="007C51D6">
              <w:rPr>
                <w:rFonts w:eastAsia="Arial"/>
                <w:sz w:val="20"/>
                <w:szCs w:val="22"/>
              </w:rPr>
              <w:t>D05: C50</w:t>
            </w:r>
          </w:p>
        </w:tc>
        <w:tc>
          <w:tcPr>
            <w:tcW w:w="851" w:type="dxa"/>
            <w:shd w:val="clear" w:color="auto" w:fill="auto"/>
            <w:noWrap/>
            <w:hideMark/>
          </w:tcPr>
          <w:p w:rsidR="00435463" w:rsidRPr="007C51D6" w:rsidRDefault="00435463" w:rsidP="002341A0">
            <w:pPr>
              <w:autoSpaceDE/>
              <w:autoSpaceDN/>
              <w:adjustRightInd/>
              <w:spacing w:line="233" w:lineRule="auto"/>
              <w:jc w:val="center"/>
              <w:rPr>
                <w:rFonts w:eastAsia="Arial"/>
                <w:sz w:val="20"/>
                <w:szCs w:val="22"/>
              </w:rPr>
            </w:pPr>
            <w:r w:rsidRPr="007C51D6">
              <w:rPr>
                <w:rFonts w:eastAsia="Arial"/>
                <w:sz w:val="20"/>
                <w:szCs w:val="22"/>
              </w:rPr>
              <w:t>3,9</w:t>
            </w:r>
          </w:p>
        </w:tc>
        <w:tc>
          <w:tcPr>
            <w:tcW w:w="850" w:type="dxa"/>
            <w:shd w:val="clear" w:color="auto" w:fill="auto"/>
            <w:noWrap/>
            <w:hideMark/>
          </w:tcPr>
          <w:p w:rsidR="00435463" w:rsidRPr="007C51D6" w:rsidRDefault="00435463" w:rsidP="002341A0">
            <w:pPr>
              <w:autoSpaceDE/>
              <w:autoSpaceDN/>
              <w:adjustRightInd/>
              <w:spacing w:line="233" w:lineRule="auto"/>
              <w:jc w:val="center"/>
              <w:rPr>
                <w:rFonts w:eastAsia="Arial"/>
                <w:sz w:val="20"/>
                <w:szCs w:val="22"/>
              </w:rPr>
            </w:pPr>
            <w:r w:rsidRPr="007C51D6">
              <w:rPr>
                <w:rFonts w:eastAsia="Arial"/>
                <w:sz w:val="20"/>
                <w:szCs w:val="22"/>
              </w:rPr>
              <w:t>3,1</w:t>
            </w:r>
          </w:p>
        </w:tc>
        <w:tc>
          <w:tcPr>
            <w:tcW w:w="851" w:type="dxa"/>
            <w:shd w:val="clear" w:color="auto" w:fill="auto"/>
            <w:noWrap/>
            <w:hideMark/>
          </w:tcPr>
          <w:p w:rsidR="00435463" w:rsidRPr="007C51D6" w:rsidRDefault="00435463" w:rsidP="002341A0">
            <w:pPr>
              <w:autoSpaceDE/>
              <w:autoSpaceDN/>
              <w:adjustRightInd/>
              <w:spacing w:line="233" w:lineRule="auto"/>
              <w:jc w:val="center"/>
              <w:rPr>
                <w:rFonts w:eastAsia="Arial"/>
                <w:sz w:val="20"/>
                <w:szCs w:val="22"/>
              </w:rPr>
            </w:pPr>
            <w:r w:rsidRPr="007C51D6">
              <w:rPr>
                <w:rFonts w:eastAsia="Arial"/>
                <w:sz w:val="20"/>
                <w:szCs w:val="22"/>
              </w:rPr>
              <w:t>2,2</w:t>
            </w:r>
          </w:p>
        </w:tc>
        <w:tc>
          <w:tcPr>
            <w:tcW w:w="755" w:type="dxa"/>
            <w:shd w:val="clear" w:color="auto" w:fill="auto"/>
            <w:noWrap/>
            <w:hideMark/>
          </w:tcPr>
          <w:p w:rsidR="00435463" w:rsidRPr="007C51D6" w:rsidRDefault="00435463" w:rsidP="002341A0">
            <w:pPr>
              <w:autoSpaceDE/>
              <w:autoSpaceDN/>
              <w:adjustRightInd/>
              <w:spacing w:line="233" w:lineRule="auto"/>
              <w:jc w:val="center"/>
              <w:rPr>
                <w:rFonts w:eastAsia="Arial"/>
                <w:sz w:val="20"/>
                <w:szCs w:val="22"/>
              </w:rPr>
            </w:pPr>
            <w:r w:rsidRPr="007C51D6">
              <w:rPr>
                <w:rFonts w:eastAsia="Arial"/>
                <w:sz w:val="20"/>
                <w:szCs w:val="22"/>
              </w:rPr>
              <w:t>4,6</w:t>
            </w:r>
          </w:p>
        </w:tc>
        <w:tc>
          <w:tcPr>
            <w:tcW w:w="763" w:type="dxa"/>
            <w:shd w:val="clear" w:color="auto" w:fill="auto"/>
            <w:noWrap/>
            <w:hideMark/>
          </w:tcPr>
          <w:p w:rsidR="00435463" w:rsidRPr="007C51D6" w:rsidRDefault="00435463" w:rsidP="002341A0">
            <w:pPr>
              <w:autoSpaceDE/>
              <w:autoSpaceDN/>
              <w:adjustRightInd/>
              <w:spacing w:line="233" w:lineRule="auto"/>
              <w:jc w:val="center"/>
              <w:rPr>
                <w:rFonts w:eastAsia="Arial"/>
                <w:sz w:val="20"/>
                <w:szCs w:val="22"/>
              </w:rPr>
            </w:pPr>
            <w:r w:rsidRPr="007C51D6">
              <w:rPr>
                <w:rFonts w:eastAsia="Arial"/>
                <w:sz w:val="20"/>
                <w:szCs w:val="22"/>
              </w:rPr>
              <w:t>3,7</w:t>
            </w:r>
          </w:p>
        </w:tc>
        <w:tc>
          <w:tcPr>
            <w:tcW w:w="766" w:type="dxa"/>
          </w:tcPr>
          <w:p w:rsidR="00435463" w:rsidRPr="007C51D6" w:rsidRDefault="00435463" w:rsidP="002341A0">
            <w:pPr>
              <w:spacing w:line="233" w:lineRule="auto"/>
              <w:jc w:val="center"/>
              <w:rPr>
                <w:color w:val="000000"/>
                <w:sz w:val="20"/>
                <w:szCs w:val="20"/>
              </w:rPr>
            </w:pPr>
            <w:r w:rsidRPr="007C51D6">
              <w:rPr>
                <w:color w:val="000000"/>
                <w:sz w:val="20"/>
                <w:szCs w:val="20"/>
              </w:rPr>
              <w:t>3,0</w:t>
            </w:r>
          </w:p>
        </w:tc>
        <w:tc>
          <w:tcPr>
            <w:tcW w:w="839" w:type="dxa"/>
          </w:tcPr>
          <w:p w:rsidR="00435463" w:rsidRPr="007C51D6" w:rsidRDefault="00435463" w:rsidP="002341A0">
            <w:pPr>
              <w:spacing w:line="233" w:lineRule="auto"/>
              <w:jc w:val="center"/>
              <w:rPr>
                <w:color w:val="000000"/>
                <w:sz w:val="20"/>
                <w:szCs w:val="20"/>
              </w:rPr>
            </w:pPr>
            <w:r w:rsidRPr="007C51D6">
              <w:rPr>
                <w:color w:val="000000"/>
                <w:sz w:val="20"/>
                <w:szCs w:val="20"/>
              </w:rPr>
              <w:t>3,2</w:t>
            </w:r>
          </w:p>
        </w:tc>
        <w:tc>
          <w:tcPr>
            <w:tcW w:w="704" w:type="dxa"/>
          </w:tcPr>
          <w:p w:rsidR="00435463" w:rsidRPr="007C51D6" w:rsidRDefault="00435463" w:rsidP="002341A0">
            <w:pPr>
              <w:spacing w:line="233" w:lineRule="auto"/>
              <w:jc w:val="center"/>
              <w:rPr>
                <w:color w:val="000000"/>
                <w:sz w:val="20"/>
                <w:szCs w:val="20"/>
              </w:rPr>
            </w:pPr>
            <w:r w:rsidRPr="007C51D6">
              <w:rPr>
                <w:color w:val="000000"/>
                <w:sz w:val="20"/>
                <w:szCs w:val="20"/>
              </w:rPr>
              <w:t>4,1</w:t>
            </w:r>
          </w:p>
        </w:tc>
        <w:tc>
          <w:tcPr>
            <w:tcW w:w="872" w:type="dxa"/>
          </w:tcPr>
          <w:p w:rsidR="00435463" w:rsidRPr="007C51D6" w:rsidRDefault="00435463" w:rsidP="002341A0">
            <w:pPr>
              <w:spacing w:line="233" w:lineRule="auto"/>
              <w:jc w:val="center"/>
              <w:rPr>
                <w:color w:val="000000"/>
                <w:sz w:val="20"/>
                <w:szCs w:val="20"/>
              </w:rPr>
            </w:pPr>
            <w:r w:rsidRPr="007C51D6">
              <w:rPr>
                <w:color w:val="000000"/>
                <w:sz w:val="20"/>
                <w:szCs w:val="20"/>
              </w:rPr>
              <w:t>4.9</w:t>
            </w:r>
          </w:p>
        </w:tc>
        <w:tc>
          <w:tcPr>
            <w:tcW w:w="860" w:type="dxa"/>
          </w:tcPr>
          <w:p w:rsidR="00435463" w:rsidRPr="007C51D6" w:rsidRDefault="00435463" w:rsidP="002341A0">
            <w:pPr>
              <w:spacing w:line="233" w:lineRule="auto"/>
              <w:jc w:val="center"/>
              <w:rPr>
                <w:color w:val="000000"/>
                <w:sz w:val="20"/>
                <w:szCs w:val="20"/>
              </w:rPr>
            </w:pPr>
            <w:r w:rsidRPr="007C51D6">
              <w:rPr>
                <w:color w:val="000000"/>
                <w:sz w:val="20"/>
                <w:szCs w:val="20"/>
              </w:rPr>
              <w:t>3.0</w:t>
            </w:r>
          </w:p>
        </w:tc>
      </w:tr>
      <w:tr w:rsidR="00435463" w:rsidRPr="007C51D6" w:rsidTr="00417BDB">
        <w:trPr>
          <w:trHeight w:val="20"/>
        </w:trPr>
        <w:tc>
          <w:tcPr>
            <w:tcW w:w="4815" w:type="dxa"/>
            <w:shd w:val="clear" w:color="auto" w:fill="auto"/>
            <w:noWrap/>
            <w:hideMark/>
          </w:tcPr>
          <w:p w:rsidR="00435463" w:rsidRPr="007C51D6" w:rsidRDefault="00435463" w:rsidP="002341A0">
            <w:pPr>
              <w:autoSpaceDE/>
              <w:autoSpaceDN/>
              <w:adjustRightInd/>
              <w:spacing w:line="233" w:lineRule="auto"/>
              <w:jc w:val="both"/>
              <w:rPr>
                <w:rFonts w:eastAsia="Arial"/>
                <w:sz w:val="20"/>
                <w:szCs w:val="22"/>
              </w:rPr>
            </w:pPr>
            <w:r w:rsidRPr="007C51D6">
              <w:rPr>
                <w:rFonts w:eastAsia="Arial"/>
                <w:sz w:val="20"/>
                <w:szCs w:val="22"/>
              </w:rPr>
              <w:t>Карцинома in situ шейки матки</w:t>
            </w:r>
          </w:p>
        </w:tc>
        <w:tc>
          <w:tcPr>
            <w:tcW w:w="2201" w:type="dxa"/>
            <w:shd w:val="clear" w:color="auto" w:fill="auto"/>
            <w:noWrap/>
            <w:hideMark/>
          </w:tcPr>
          <w:p w:rsidR="00435463" w:rsidRPr="007C51D6" w:rsidRDefault="00435463" w:rsidP="002341A0">
            <w:pPr>
              <w:autoSpaceDE/>
              <w:autoSpaceDN/>
              <w:adjustRightInd/>
              <w:spacing w:line="233" w:lineRule="auto"/>
              <w:jc w:val="both"/>
              <w:rPr>
                <w:rFonts w:eastAsia="Arial"/>
                <w:sz w:val="20"/>
                <w:szCs w:val="22"/>
              </w:rPr>
            </w:pPr>
            <w:r w:rsidRPr="007C51D6">
              <w:rPr>
                <w:rFonts w:eastAsia="Arial"/>
                <w:sz w:val="20"/>
                <w:szCs w:val="22"/>
              </w:rPr>
              <w:t>D06: C53</w:t>
            </w:r>
          </w:p>
        </w:tc>
        <w:tc>
          <w:tcPr>
            <w:tcW w:w="851" w:type="dxa"/>
            <w:shd w:val="clear" w:color="auto" w:fill="auto"/>
            <w:noWrap/>
            <w:hideMark/>
          </w:tcPr>
          <w:p w:rsidR="00435463" w:rsidRPr="007C51D6" w:rsidRDefault="00435463" w:rsidP="002341A0">
            <w:pPr>
              <w:autoSpaceDE/>
              <w:autoSpaceDN/>
              <w:adjustRightInd/>
              <w:spacing w:line="233" w:lineRule="auto"/>
              <w:jc w:val="center"/>
              <w:rPr>
                <w:rFonts w:eastAsia="Arial"/>
                <w:sz w:val="20"/>
                <w:szCs w:val="22"/>
              </w:rPr>
            </w:pPr>
            <w:r w:rsidRPr="007C51D6">
              <w:rPr>
                <w:rFonts w:eastAsia="Arial"/>
                <w:sz w:val="20"/>
                <w:szCs w:val="22"/>
              </w:rPr>
              <w:t>31,7</w:t>
            </w:r>
          </w:p>
        </w:tc>
        <w:tc>
          <w:tcPr>
            <w:tcW w:w="850" w:type="dxa"/>
            <w:shd w:val="clear" w:color="auto" w:fill="auto"/>
            <w:noWrap/>
            <w:hideMark/>
          </w:tcPr>
          <w:p w:rsidR="00435463" w:rsidRPr="007C51D6" w:rsidRDefault="00435463" w:rsidP="002341A0">
            <w:pPr>
              <w:autoSpaceDE/>
              <w:autoSpaceDN/>
              <w:adjustRightInd/>
              <w:spacing w:line="233" w:lineRule="auto"/>
              <w:jc w:val="center"/>
              <w:rPr>
                <w:rFonts w:eastAsia="Arial"/>
                <w:sz w:val="20"/>
                <w:szCs w:val="22"/>
              </w:rPr>
            </w:pPr>
            <w:r w:rsidRPr="007C51D6">
              <w:rPr>
                <w:rFonts w:eastAsia="Arial"/>
                <w:sz w:val="20"/>
                <w:szCs w:val="22"/>
              </w:rPr>
              <w:t>36,3</w:t>
            </w:r>
          </w:p>
        </w:tc>
        <w:tc>
          <w:tcPr>
            <w:tcW w:w="851" w:type="dxa"/>
            <w:shd w:val="clear" w:color="auto" w:fill="auto"/>
            <w:noWrap/>
            <w:hideMark/>
          </w:tcPr>
          <w:p w:rsidR="00435463" w:rsidRPr="007C51D6" w:rsidRDefault="00435463" w:rsidP="002341A0">
            <w:pPr>
              <w:autoSpaceDE/>
              <w:autoSpaceDN/>
              <w:adjustRightInd/>
              <w:spacing w:line="233" w:lineRule="auto"/>
              <w:jc w:val="center"/>
              <w:rPr>
                <w:rFonts w:eastAsia="Arial"/>
                <w:sz w:val="20"/>
                <w:szCs w:val="22"/>
              </w:rPr>
            </w:pPr>
            <w:r w:rsidRPr="007C51D6">
              <w:rPr>
                <w:rFonts w:eastAsia="Arial"/>
                <w:sz w:val="20"/>
                <w:szCs w:val="22"/>
              </w:rPr>
              <w:t>28,7</w:t>
            </w:r>
          </w:p>
        </w:tc>
        <w:tc>
          <w:tcPr>
            <w:tcW w:w="755" w:type="dxa"/>
            <w:shd w:val="clear" w:color="auto" w:fill="auto"/>
            <w:noWrap/>
            <w:hideMark/>
          </w:tcPr>
          <w:p w:rsidR="00435463" w:rsidRPr="007C51D6" w:rsidRDefault="00435463" w:rsidP="002341A0">
            <w:pPr>
              <w:autoSpaceDE/>
              <w:autoSpaceDN/>
              <w:adjustRightInd/>
              <w:spacing w:line="233" w:lineRule="auto"/>
              <w:jc w:val="center"/>
              <w:rPr>
                <w:rFonts w:eastAsia="Arial"/>
                <w:sz w:val="20"/>
                <w:szCs w:val="22"/>
              </w:rPr>
            </w:pPr>
            <w:r w:rsidRPr="007C51D6">
              <w:rPr>
                <w:rFonts w:eastAsia="Arial"/>
                <w:sz w:val="20"/>
                <w:szCs w:val="22"/>
              </w:rPr>
              <w:t>31,8</w:t>
            </w:r>
          </w:p>
        </w:tc>
        <w:tc>
          <w:tcPr>
            <w:tcW w:w="763" w:type="dxa"/>
            <w:shd w:val="clear" w:color="auto" w:fill="auto"/>
            <w:noWrap/>
            <w:hideMark/>
          </w:tcPr>
          <w:p w:rsidR="00435463" w:rsidRPr="007C51D6" w:rsidRDefault="00435463" w:rsidP="002341A0">
            <w:pPr>
              <w:autoSpaceDE/>
              <w:autoSpaceDN/>
              <w:adjustRightInd/>
              <w:spacing w:line="233" w:lineRule="auto"/>
              <w:jc w:val="center"/>
              <w:rPr>
                <w:rFonts w:eastAsia="Arial"/>
                <w:sz w:val="20"/>
                <w:szCs w:val="22"/>
              </w:rPr>
            </w:pPr>
            <w:r w:rsidRPr="007C51D6">
              <w:rPr>
                <w:rFonts w:eastAsia="Arial"/>
                <w:sz w:val="20"/>
                <w:szCs w:val="22"/>
              </w:rPr>
              <w:t>32,0</w:t>
            </w:r>
          </w:p>
        </w:tc>
        <w:tc>
          <w:tcPr>
            <w:tcW w:w="766" w:type="dxa"/>
          </w:tcPr>
          <w:p w:rsidR="00435463" w:rsidRPr="007C51D6" w:rsidRDefault="00435463" w:rsidP="002341A0">
            <w:pPr>
              <w:spacing w:line="233" w:lineRule="auto"/>
              <w:jc w:val="center"/>
              <w:rPr>
                <w:color w:val="000000"/>
                <w:sz w:val="20"/>
                <w:szCs w:val="20"/>
              </w:rPr>
            </w:pPr>
            <w:r w:rsidRPr="007C51D6">
              <w:rPr>
                <w:color w:val="000000"/>
                <w:sz w:val="20"/>
                <w:szCs w:val="20"/>
              </w:rPr>
              <w:t>41,0</w:t>
            </w:r>
          </w:p>
        </w:tc>
        <w:tc>
          <w:tcPr>
            <w:tcW w:w="839" w:type="dxa"/>
          </w:tcPr>
          <w:p w:rsidR="00435463" w:rsidRPr="007C51D6" w:rsidRDefault="00435463" w:rsidP="002341A0">
            <w:pPr>
              <w:spacing w:line="233" w:lineRule="auto"/>
              <w:jc w:val="center"/>
              <w:rPr>
                <w:color w:val="000000"/>
                <w:sz w:val="20"/>
                <w:szCs w:val="20"/>
              </w:rPr>
            </w:pPr>
            <w:r w:rsidRPr="007C51D6">
              <w:rPr>
                <w:color w:val="000000"/>
                <w:sz w:val="20"/>
                <w:szCs w:val="20"/>
              </w:rPr>
              <w:t>31,9</w:t>
            </w:r>
          </w:p>
        </w:tc>
        <w:tc>
          <w:tcPr>
            <w:tcW w:w="704" w:type="dxa"/>
          </w:tcPr>
          <w:p w:rsidR="00435463" w:rsidRPr="007C51D6" w:rsidRDefault="00435463" w:rsidP="002341A0">
            <w:pPr>
              <w:spacing w:line="233" w:lineRule="auto"/>
              <w:jc w:val="center"/>
              <w:rPr>
                <w:color w:val="000000"/>
                <w:sz w:val="20"/>
                <w:szCs w:val="20"/>
              </w:rPr>
            </w:pPr>
            <w:r w:rsidRPr="007C51D6">
              <w:rPr>
                <w:color w:val="000000"/>
                <w:sz w:val="20"/>
                <w:szCs w:val="20"/>
              </w:rPr>
              <w:t>33,3</w:t>
            </w:r>
          </w:p>
        </w:tc>
        <w:tc>
          <w:tcPr>
            <w:tcW w:w="872" w:type="dxa"/>
          </w:tcPr>
          <w:p w:rsidR="00435463" w:rsidRPr="007C51D6" w:rsidRDefault="00435463" w:rsidP="002341A0">
            <w:pPr>
              <w:spacing w:line="233" w:lineRule="auto"/>
              <w:jc w:val="center"/>
              <w:rPr>
                <w:color w:val="000000"/>
                <w:sz w:val="20"/>
                <w:szCs w:val="20"/>
              </w:rPr>
            </w:pPr>
            <w:r w:rsidRPr="007C51D6">
              <w:rPr>
                <w:color w:val="000000"/>
                <w:sz w:val="20"/>
                <w:szCs w:val="20"/>
              </w:rPr>
              <w:t>38.2</w:t>
            </w:r>
          </w:p>
        </w:tc>
        <w:tc>
          <w:tcPr>
            <w:tcW w:w="860" w:type="dxa"/>
          </w:tcPr>
          <w:p w:rsidR="00435463" w:rsidRPr="007C51D6" w:rsidRDefault="00435463" w:rsidP="002341A0">
            <w:pPr>
              <w:spacing w:line="233" w:lineRule="auto"/>
              <w:jc w:val="center"/>
              <w:rPr>
                <w:color w:val="000000"/>
                <w:sz w:val="20"/>
                <w:szCs w:val="20"/>
              </w:rPr>
            </w:pPr>
            <w:r w:rsidRPr="007C51D6">
              <w:rPr>
                <w:color w:val="000000"/>
                <w:sz w:val="20"/>
                <w:szCs w:val="20"/>
              </w:rPr>
              <w:t>39.9</w:t>
            </w:r>
          </w:p>
        </w:tc>
      </w:tr>
      <w:tr w:rsidR="00435463" w:rsidRPr="007C51D6" w:rsidTr="00417BDB">
        <w:trPr>
          <w:trHeight w:val="20"/>
        </w:trPr>
        <w:tc>
          <w:tcPr>
            <w:tcW w:w="4815" w:type="dxa"/>
            <w:shd w:val="clear" w:color="auto" w:fill="auto"/>
            <w:noWrap/>
            <w:hideMark/>
          </w:tcPr>
          <w:p w:rsidR="00435463" w:rsidRPr="007C51D6" w:rsidRDefault="00435463" w:rsidP="002341A0">
            <w:pPr>
              <w:autoSpaceDE/>
              <w:autoSpaceDN/>
              <w:adjustRightInd/>
              <w:spacing w:line="233" w:lineRule="auto"/>
              <w:jc w:val="both"/>
              <w:rPr>
                <w:rFonts w:eastAsia="Arial"/>
                <w:sz w:val="20"/>
                <w:szCs w:val="22"/>
              </w:rPr>
            </w:pPr>
            <w:r w:rsidRPr="007C51D6">
              <w:rPr>
                <w:rFonts w:eastAsia="Arial"/>
                <w:sz w:val="20"/>
                <w:szCs w:val="22"/>
              </w:rPr>
              <w:t>Карцинома in situ других и неуточненных половых органов</w:t>
            </w:r>
          </w:p>
        </w:tc>
        <w:tc>
          <w:tcPr>
            <w:tcW w:w="2201" w:type="dxa"/>
            <w:shd w:val="clear" w:color="auto" w:fill="auto"/>
            <w:noWrap/>
            <w:hideMark/>
          </w:tcPr>
          <w:p w:rsidR="00435463" w:rsidRPr="007C51D6" w:rsidRDefault="00435463" w:rsidP="002341A0">
            <w:pPr>
              <w:autoSpaceDE/>
              <w:autoSpaceDN/>
              <w:adjustRightInd/>
              <w:spacing w:line="233" w:lineRule="auto"/>
              <w:jc w:val="both"/>
              <w:rPr>
                <w:rFonts w:eastAsia="Arial"/>
                <w:sz w:val="20"/>
                <w:szCs w:val="22"/>
              </w:rPr>
            </w:pPr>
            <w:r w:rsidRPr="007C51D6">
              <w:rPr>
                <w:rFonts w:eastAsia="Arial"/>
                <w:sz w:val="20"/>
                <w:szCs w:val="22"/>
              </w:rPr>
              <w:t>D07: C51 – C52, C54 – C63</w:t>
            </w:r>
          </w:p>
        </w:tc>
        <w:tc>
          <w:tcPr>
            <w:tcW w:w="851" w:type="dxa"/>
            <w:shd w:val="clear" w:color="auto" w:fill="auto"/>
            <w:noWrap/>
            <w:hideMark/>
          </w:tcPr>
          <w:p w:rsidR="00435463" w:rsidRPr="007C51D6" w:rsidRDefault="00435463" w:rsidP="002341A0">
            <w:pPr>
              <w:autoSpaceDE/>
              <w:autoSpaceDN/>
              <w:adjustRightInd/>
              <w:spacing w:line="233" w:lineRule="auto"/>
              <w:jc w:val="center"/>
              <w:rPr>
                <w:rFonts w:eastAsia="Arial"/>
                <w:sz w:val="20"/>
                <w:szCs w:val="22"/>
              </w:rPr>
            </w:pPr>
            <w:r w:rsidRPr="007C51D6">
              <w:rPr>
                <w:rFonts w:eastAsia="Arial"/>
                <w:sz w:val="20"/>
                <w:szCs w:val="22"/>
              </w:rPr>
              <w:t>0,8</w:t>
            </w:r>
          </w:p>
        </w:tc>
        <w:tc>
          <w:tcPr>
            <w:tcW w:w="850" w:type="dxa"/>
            <w:shd w:val="clear" w:color="auto" w:fill="auto"/>
            <w:noWrap/>
            <w:hideMark/>
          </w:tcPr>
          <w:p w:rsidR="00435463" w:rsidRPr="007C51D6" w:rsidRDefault="00435463" w:rsidP="002341A0">
            <w:pPr>
              <w:autoSpaceDE/>
              <w:autoSpaceDN/>
              <w:adjustRightInd/>
              <w:spacing w:line="233" w:lineRule="auto"/>
              <w:jc w:val="center"/>
              <w:rPr>
                <w:rFonts w:eastAsia="Arial"/>
                <w:sz w:val="20"/>
                <w:szCs w:val="22"/>
              </w:rPr>
            </w:pPr>
            <w:r w:rsidRPr="007C51D6">
              <w:rPr>
                <w:rFonts w:eastAsia="Arial"/>
                <w:sz w:val="20"/>
                <w:szCs w:val="22"/>
              </w:rPr>
              <w:t>0,7</w:t>
            </w:r>
          </w:p>
        </w:tc>
        <w:tc>
          <w:tcPr>
            <w:tcW w:w="851" w:type="dxa"/>
            <w:shd w:val="clear" w:color="auto" w:fill="auto"/>
            <w:noWrap/>
            <w:hideMark/>
          </w:tcPr>
          <w:p w:rsidR="00435463" w:rsidRPr="007C51D6" w:rsidRDefault="00435463" w:rsidP="002341A0">
            <w:pPr>
              <w:autoSpaceDE/>
              <w:autoSpaceDN/>
              <w:adjustRightInd/>
              <w:spacing w:line="233" w:lineRule="auto"/>
              <w:jc w:val="center"/>
              <w:rPr>
                <w:rFonts w:eastAsia="Arial"/>
                <w:sz w:val="20"/>
                <w:szCs w:val="22"/>
              </w:rPr>
            </w:pPr>
            <w:r w:rsidRPr="007C51D6">
              <w:rPr>
                <w:rFonts w:eastAsia="Arial"/>
                <w:sz w:val="20"/>
                <w:szCs w:val="22"/>
              </w:rPr>
              <w:t>1,0</w:t>
            </w:r>
          </w:p>
        </w:tc>
        <w:tc>
          <w:tcPr>
            <w:tcW w:w="755" w:type="dxa"/>
            <w:shd w:val="clear" w:color="auto" w:fill="auto"/>
            <w:noWrap/>
            <w:hideMark/>
          </w:tcPr>
          <w:p w:rsidR="00435463" w:rsidRPr="007C51D6" w:rsidRDefault="00435463" w:rsidP="002341A0">
            <w:pPr>
              <w:autoSpaceDE/>
              <w:autoSpaceDN/>
              <w:adjustRightInd/>
              <w:spacing w:line="233" w:lineRule="auto"/>
              <w:jc w:val="center"/>
              <w:rPr>
                <w:rFonts w:eastAsia="Arial"/>
                <w:sz w:val="20"/>
                <w:szCs w:val="22"/>
              </w:rPr>
            </w:pPr>
            <w:r w:rsidRPr="007C51D6">
              <w:rPr>
                <w:rFonts w:eastAsia="Arial"/>
                <w:sz w:val="20"/>
                <w:szCs w:val="22"/>
              </w:rPr>
              <w:t>0,5</w:t>
            </w:r>
          </w:p>
        </w:tc>
        <w:tc>
          <w:tcPr>
            <w:tcW w:w="763" w:type="dxa"/>
            <w:shd w:val="clear" w:color="auto" w:fill="auto"/>
            <w:noWrap/>
            <w:hideMark/>
          </w:tcPr>
          <w:p w:rsidR="00435463" w:rsidRPr="007C51D6" w:rsidRDefault="00435463" w:rsidP="002341A0">
            <w:pPr>
              <w:autoSpaceDE/>
              <w:autoSpaceDN/>
              <w:adjustRightInd/>
              <w:spacing w:line="233" w:lineRule="auto"/>
              <w:jc w:val="center"/>
              <w:rPr>
                <w:rFonts w:eastAsia="Arial"/>
                <w:sz w:val="20"/>
                <w:szCs w:val="22"/>
              </w:rPr>
            </w:pPr>
            <w:r w:rsidRPr="007C51D6">
              <w:rPr>
                <w:rFonts w:eastAsia="Arial"/>
                <w:sz w:val="20"/>
                <w:szCs w:val="22"/>
              </w:rPr>
              <w:t>1,0</w:t>
            </w:r>
          </w:p>
        </w:tc>
        <w:tc>
          <w:tcPr>
            <w:tcW w:w="766" w:type="dxa"/>
          </w:tcPr>
          <w:p w:rsidR="00435463" w:rsidRPr="007C51D6" w:rsidRDefault="00435463" w:rsidP="002341A0">
            <w:pPr>
              <w:spacing w:line="233" w:lineRule="auto"/>
              <w:jc w:val="center"/>
              <w:rPr>
                <w:color w:val="000000"/>
                <w:sz w:val="20"/>
                <w:szCs w:val="20"/>
              </w:rPr>
            </w:pPr>
            <w:r w:rsidRPr="007C51D6">
              <w:rPr>
                <w:color w:val="000000"/>
                <w:sz w:val="20"/>
                <w:szCs w:val="20"/>
              </w:rPr>
              <w:t>1,7</w:t>
            </w:r>
          </w:p>
        </w:tc>
        <w:tc>
          <w:tcPr>
            <w:tcW w:w="839" w:type="dxa"/>
          </w:tcPr>
          <w:p w:rsidR="00435463" w:rsidRPr="007C51D6" w:rsidRDefault="00435463" w:rsidP="002341A0">
            <w:pPr>
              <w:spacing w:line="233" w:lineRule="auto"/>
              <w:jc w:val="center"/>
              <w:rPr>
                <w:color w:val="000000"/>
                <w:sz w:val="20"/>
                <w:szCs w:val="20"/>
              </w:rPr>
            </w:pPr>
            <w:r w:rsidRPr="007C51D6">
              <w:rPr>
                <w:color w:val="000000"/>
                <w:sz w:val="20"/>
                <w:szCs w:val="20"/>
              </w:rPr>
              <w:t>2,1</w:t>
            </w:r>
          </w:p>
        </w:tc>
        <w:tc>
          <w:tcPr>
            <w:tcW w:w="704" w:type="dxa"/>
          </w:tcPr>
          <w:p w:rsidR="00435463" w:rsidRPr="007C51D6" w:rsidRDefault="00435463" w:rsidP="002341A0">
            <w:pPr>
              <w:spacing w:line="233" w:lineRule="auto"/>
              <w:jc w:val="center"/>
              <w:rPr>
                <w:color w:val="000000"/>
                <w:sz w:val="20"/>
                <w:szCs w:val="20"/>
              </w:rPr>
            </w:pPr>
            <w:r w:rsidRPr="007C51D6">
              <w:rPr>
                <w:color w:val="000000"/>
                <w:sz w:val="20"/>
                <w:szCs w:val="20"/>
              </w:rPr>
              <w:t>1,4</w:t>
            </w:r>
          </w:p>
        </w:tc>
        <w:tc>
          <w:tcPr>
            <w:tcW w:w="872" w:type="dxa"/>
          </w:tcPr>
          <w:p w:rsidR="00435463" w:rsidRPr="007C51D6" w:rsidRDefault="00435463" w:rsidP="002341A0">
            <w:pPr>
              <w:spacing w:line="233" w:lineRule="auto"/>
              <w:jc w:val="center"/>
              <w:rPr>
                <w:color w:val="000000"/>
                <w:sz w:val="20"/>
                <w:szCs w:val="20"/>
              </w:rPr>
            </w:pPr>
            <w:r w:rsidRPr="007C51D6">
              <w:rPr>
                <w:color w:val="000000"/>
                <w:sz w:val="20"/>
                <w:szCs w:val="20"/>
              </w:rPr>
              <w:t>2.1</w:t>
            </w:r>
          </w:p>
        </w:tc>
        <w:tc>
          <w:tcPr>
            <w:tcW w:w="860" w:type="dxa"/>
          </w:tcPr>
          <w:p w:rsidR="00435463" w:rsidRPr="007C51D6" w:rsidRDefault="00435463" w:rsidP="002341A0">
            <w:pPr>
              <w:spacing w:line="233" w:lineRule="auto"/>
              <w:jc w:val="center"/>
              <w:rPr>
                <w:color w:val="000000"/>
                <w:sz w:val="20"/>
                <w:szCs w:val="20"/>
              </w:rPr>
            </w:pPr>
            <w:r w:rsidRPr="007C51D6">
              <w:rPr>
                <w:color w:val="000000"/>
                <w:sz w:val="20"/>
                <w:szCs w:val="20"/>
              </w:rPr>
              <w:t>2.0</w:t>
            </w:r>
          </w:p>
        </w:tc>
      </w:tr>
      <w:tr w:rsidR="00435463" w:rsidRPr="007C51D6" w:rsidTr="00417BDB">
        <w:trPr>
          <w:trHeight w:val="20"/>
        </w:trPr>
        <w:tc>
          <w:tcPr>
            <w:tcW w:w="4815" w:type="dxa"/>
            <w:shd w:val="clear" w:color="auto" w:fill="auto"/>
            <w:noWrap/>
            <w:hideMark/>
          </w:tcPr>
          <w:p w:rsidR="00435463" w:rsidRPr="007C51D6" w:rsidRDefault="00435463" w:rsidP="002341A0">
            <w:pPr>
              <w:autoSpaceDE/>
              <w:autoSpaceDN/>
              <w:adjustRightInd/>
              <w:spacing w:line="233" w:lineRule="auto"/>
              <w:jc w:val="both"/>
              <w:rPr>
                <w:rFonts w:eastAsia="Arial"/>
                <w:sz w:val="20"/>
                <w:szCs w:val="22"/>
              </w:rPr>
            </w:pPr>
            <w:r w:rsidRPr="007C51D6">
              <w:rPr>
                <w:rFonts w:eastAsia="Arial"/>
                <w:sz w:val="20"/>
                <w:szCs w:val="22"/>
              </w:rPr>
              <w:t>Карцинома in situ других и неуточненных локализаций</w:t>
            </w:r>
          </w:p>
        </w:tc>
        <w:tc>
          <w:tcPr>
            <w:tcW w:w="2201" w:type="dxa"/>
            <w:shd w:val="clear" w:color="auto" w:fill="auto"/>
            <w:noWrap/>
            <w:hideMark/>
          </w:tcPr>
          <w:p w:rsidR="00435463" w:rsidRPr="007C51D6" w:rsidRDefault="00435463" w:rsidP="002341A0">
            <w:pPr>
              <w:autoSpaceDE/>
              <w:autoSpaceDN/>
              <w:adjustRightInd/>
              <w:spacing w:line="233" w:lineRule="auto"/>
              <w:jc w:val="both"/>
              <w:rPr>
                <w:rFonts w:eastAsia="Arial"/>
                <w:sz w:val="20"/>
                <w:szCs w:val="22"/>
              </w:rPr>
            </w:pPr>
            <w:r w:rsidRPr="007C51D6">
              <w:rPr>
                <w:rFonts w:eastAsia="Arial"/>
                <w:sz w:val="20"/>
                <w:szCs w:val="22"/>
              </w:rPr>
              <w:t>D09: прочие</w:t>
            </w:r>
          </w:p>
        </w:tc>
        <w:tc>
          <w:tcPr>
            <w:tcW w:w="851" w:type="dxa"/>
            <w:shd w:val="clear" w:color="auto" w:fill="auto"/>
            <w:noWrap/>
            <w:hideMark/>
          </w:tcPr>
          <w:p w:rsidR="00435463" w:rsidRPr="007C51D6" w:rsidRDefault="00435463" w:rsidP="002341A0">
            <w:pPr>
              <w:autoSpaceDE/>
              <w:autoSpaceDN/>
              <w:adjustRightInd/>
              <w:spacing w:line="233" w:lineRule="auto"/>
              <w:jc w:val="center"/>
              <w:rPr>
                <w:rFonts w:eastAsia="Arial"/>
                <w:sz w:val="20"/>
                <w:szCs w:val="22"/>
              </w:rPr>
            </w:pPr>
            <w:r w:rsidRPr="007C51D6">
              <w:rPr>
                <w:rFonts w:eastAsia="Arial"/>
                <w:sz w:val="20"/>
                <w:szCs w:val="22"/>
              </w:rPr>
              <w:t>0,7</w:t>
            </w:r>
          </w:p>
        </w:tc>
        <w:tc>
          <w:tcPr>
            <w:tcW w:w="850" w:type="dxa"/>
            <w:shd w:val="clear" w:color="auto" w:fill="auto"/>
            <w:noWrap/>
            <w:hideMark/>
          </w:tcPr>
          <w:p w:rsidR="00435463" w:rsidRPr="007C51D6" w:rsidRDefault="00435463" w:rsidP="002341A0">
            <w:pPr>
              <w:autoSpaceDE/>
              <w:autoSpaceDN/>
              <w:adjustRightInd/>
              <w:spacing w:line="233" w:lineRule="auto"/>
              <w:jc w:val="center"/>
              <w:rPr>
                <w:rFonts w:eastAsia="Arial"/>
                <w:sz w:val="20"/>
                <w:szCs w:val="22"/>
              </w:rPr>
            </w:pPr>
            <w:r w:rsidRPr="007C51D6">
              <w:rPr>
                <w:rFonts w:eastAsia="Arial"/>
                <w:sz w:val="20"/>
                <w:szCs w:val="22"/>
              </w:rPr>
              <w:t>0,8</w:t>
            </w:r>
          </w:p>
        </w:tc>
        <w:tc>
          <w:tcPr>
            <w:tcW w:w="851" w:type="dxa"/>
            <w:shd w:val="clear" w:color="auto" w:fill="auto"/>
            <w:noWrap/>
            <w:hideMark/>
          </w:tcPr>
          <w:p w:rsidR="00435463" w:rsidRPr="007C51D6" w:rsidRDefault="00435463" w:rsidP="002341A0">
            <w:pPr>
              <w:autoSpaceDE/>
              <w:autoSpaceDN/>
              <w:adjustRightInd/>
              <w:spacing w:line="233" w:lineRule="auto"/>
              <w:jc w:val="center"/>
              <w:rPr>
                <w:rFonts w:eastAsia="Arial"/>
                <w:sz w:val="20"/>
                <w:szCs w:val="22"/>
              </w:rPr>
            </w:pPr>
            <w:r w:rsidRPr="007C51D6">
              <w:rPr>
                <w:rFonts w:eastAsia="Arial"/>
                <w:sz w:val="20"/>
                <w:szCs w:val="22"/>
              </w:rPr>
              <w:t>0,7</w:t>
            </w:r>
          </w:p>
        </w:tc>
        <w:tc>
          <w:tcPr>
            <w:tcW w:w="755" w:type="dxa"/>
            <w:shd w:val="clear" w:color="auto" w:fill="auto"/>
            <w:noWrap/>
            <w:hideMark/>
          </w:tcPr>
          <w:p w:rsidR="00435463" w:rsidRPr="007C51D6" w:rsidRDefault="00435463" w:rsidP="002341A0">
            <w:pPr>
              <w:autoSpaceDE/>
              <w:autoSpaceDN/>
              <w:adjustRightInd/>
              <w:spacing w:line="233" w:lineRule="auto"/>
              <w:jc w:val="center"/>
              <w:rPr>
                <w:rFonts w:eastAsia="Arial"/>
                <w:sz w:val="20"/>
                <w:szCs w:val="22"/>
              </w:rPr>
            </w:pPr>
            <w:r w:rsidRPr="007C51D6">
              <w:rPr>
                <w:rFonts w:eastAsia="Arial"/>
                <w:sz w:val="20"/>
                <w:szCs w:val="22"/>
              </w:rPr>
              <w:t>0,2</w:t>
            </w:r>
          </w:p>
        </w:tc>
        <w:tc>
          <w:tcPr>
            <w:tcW w:w="763" w:type="dxa"/>
            <w:shd w:val="clear" w:color="auto" w:fill="auto"/>
            <w:noWrap/>
            <w:hideMark/>
          </w:tcPr>
          <w:p w:rsidR="00435463" w:rsidRPr="007C51D6" w:rsidRDefault="00435463" w:rsidP="002341A0">
            <w:pPr>
              <w:autoSpaceDE/>
              <w:autoSpaceDN/>
              <w:adjustRightInd/>
              <w:spacing w:line="233" w:lineRule="auto"/>
              <w:jc w:val="center"/>
              <w:rPr>
                <w:rFonts w:eastAsia="Arial"/>
                <w:sz w:val="20"/>
                <w:szCs w:val="22"/>
              </w:rPr>
            </w:pPr>
            <w:r w:rsidRPr="007C51D6">
              <w:rPr>
                <w:rFonts w:eastAsia="Arial"/>
                <w:sz w:val="20"/>
                <w:szCs w:val="22"/>
              </w:rPr>
              <w:t>0,4</w:t>
            </w:r>
          </w:p>
        </w:tc>
        <w:tc>
          <w:tcPr>
            <w:tcW w:w="766" w:type="dxa"/>
          </w:tcPr>
          <w:p w:rsidR="00435463" w:rsidRPr="007C51D6" w:rsidRDefault="00435463" w:rsidP="002341A0">
            <w:pPr>
              <w:spacing w:line="233" w:lineRule="auto"/>
              <w:jc w:val="center"/>
              <w:rPr>
                <w:color w:val="000000"/>
                <w:sz w:val="20"/>
                <w:szCs w:val="20"/>
              </w:rPr>
            </w:pPr>
            <w:r w:rsidRPr="007C51D6">
              <w:rPr>
                <w:color w:val="000000"/>
                <w:sz w:val="20"/>
                <w:szCs w:val="20"/>
              </w:rPr>
              <w:t>0,7</w:t>
            </w:r>
          </w:p>
        </w:tc>
        <w:tc>
          <w:tcPr>
            <w:tcW w:w="839" w:type="dxa"/>
          </w:tcPr>
          <w:p w:rsidR="00435463" w:rsidRPr="007C51D6" w:rsidRDefault="00435463" w:rsidP="002341A0">
            <w:pPr>
              <w:spacing w:line="233" w:lineRule="auto"/>
              <w:jc w:val="center"/>
              <w:rPr>
                <w:color w:val="000000"/>
                <w:sz w:val="20"/>
                <w:szCs w:val="20"/>
              </w:rPr>
            </w:pPr>
            <w:r w:rsidRPr="007C51D6">
              <w:rPr>
                <w:color w:val="000000"/>
                <w:sz w:val="20"/>
                <w:szCs w:val="20"/>
              </w:rPr>
              <w:t>0,2</w:t>
            </w:r>
          </w:p>
        </w:tc>
        <w:tc>
          <w:tcPr>
            <w:tcW w:w="704" w:type="dxa"/>
          </w:tcPr>
          <w:p w:rsidR="00435463" w:rsidRPr="007C51D6" w:rsidRDefault="00435463" w:rsidP="002341A0">
            <w:pPr>
              <w:spacing w:line="233" w:lineRule="auto"/>
              <w:jc w:val="center"/>
              <w:rPr>
                <w:color w:val="000000"/>
                <w:sz w:val="20"/>
                <w:szCs w:val="20"/>
              </w:rPr>
            </w:pPr>
            <w:r w:rsidRPr="007C51D6">
              <w:rPr>
                <w:color w:val="000000"/>
                <w:sz w:val="20"/>
                <w:szCs w:val="20"/>
              </w:rPr>
              <w:t>0,5</w:t>
            </w:r>
          </w:p>
        </w:tc>
        <w:tc>
          <w:tcPr>
            <w:tcW w:w="872" w:type="dxa"/>
          </w:tcPr>
          <w:p w:rsidR="00435463" w:rsidRPr="007C51D6" w:rsidRDefault="00435463" w:rsidP="002341A0">
            <w:pPr>
              <w:spacing w:line="233" w:lineRule="auto"/>
              <w:jc w:val="center"/>
              <w:rPr>
                <w:color w:val="000000"/>
                <w:sz w:val="20"/>
                <w:szCs w:val="20"/>
              </w:rPr>
            </w:pPr>
            <w:r w:rsidRPr="007C51D6">
              <w:rPr>
                <w:color w:val="000000"/>
                <w:sz w:val="20"/>
                <w:szCs w:val="20"/>
              </w:rPr>
              <w:t>0.5</w:t>
            </w:r>
          </w:p>
        </w:tc>
        <w:tc>
          <w:tcPr>
            <w:tcW w:w="860" w:type="dxa"/>
          </w:tcPr>
          <w:p w:rsidR="00435463" w:rsidRPr="007C51D6" w:rsidRDefault="00435463" w:rsidP="002341A0">
            <w:pPr>
              <w:spacing w:line="233" w:lineRule="auto"/>
              <w:jc w:val="center"/>
              <w:rPr>
                <w:color w:val="000000"/>
                <w:sz w:val="20"/>
                <w:szCs w:val="20"/>
              </w:rPr>
            </w:pPr>
            <w:r w:rsidRPr="007C51D6">
              <w:rPr>
                <w:color w:val="000000"/>
                <w:sz w:val="20"/>
                <w:szCs w:val="20"/>
              </w:rPr>
              <w:t>0.3</w:t>
            </w:r>
          </w:p>
        </w:tc>
      </w:tr>
      <w:tr w:rsidR="00435463" w:rsidRPr="007C51D6" w:rsidTr="00417BDB">
        <w:trPr>
          <w:trHeight w:val="20"/>
        </w:trPr>
        <w:tc>
          <w:tcPr>
            <w:tcW w:w="4815" w:type="dxa"/>
            <w:shd w:val="clear" w:color="auto" w:fill="auto"/>
            <w:noWrap/>
            <w:hideMark/>
          </w:tcPr>
          <w:p w:rsidR="00435463" w:rsidRPr="007C51D6" w:rsidRDefault="00435463" w:rsidP="00435463">
            <w:pPr>
              <w:autoSpaceDE/>
              <w:autoSpaceDN/>
              <w:adjustRightInd/>
              <w:jc w:val="both"/>
              <w:rPr>
                <w:rFonts w:eastAsia="Arial"/>
                <w:bCs/>
                <w:sz w:val="20"/>
                <w:szCs w:val="22"/>
              </w:rPr>
            </w:pPr>
            <w:r w:rsidRPr="007C51D6">
              <w:rPr>
                <w:rFonts w:eastAsia="Arial"/>
                <w:bCs/>
                <w:sz w:val="20"/>
                <w:szCs w:val="22"/>
              </w:rPr>
              <w:t xml:space="preserve">Всего </w:t>
            </w:r>
          </w:p>
        </w:tc>
        <w:tc>
          <w:tcPr>
            <w:tcW w:w="2201" w:type="dxa"/>
            <w:shd w:val="clear" w:color="auto" w:fill="auto"/>
            <w:noWrap/>
            <w:hideMark/>
          </w:tcPr>
          <w:p w:rsidR="00435463" w:rsidRPr="007C51D6" w:rsidRDefault="00435463" w:rsidP="00435463">
            <w:pPr>
              <w:autoSpaceDE/>
              <w:autoSpaceDN/>
              <w:adjustRightInd/>
              <w:jc w:val="both"/>
              <w:rPr>
                <w:rFonts w:eastAsia="Arial"/>
                <w:bCs/>
                <w:sz w:val="20"/>
                <w:szCs w:val="22"/>
              </w:rPr>
            </w:pPr>
            <w:r w:rsidRPr="007C51D6">
              <w:rPr>
                <w:rFonts w:eastAsia="Arial"/>
                <w:bCs/>
                <w:sz w:val="20"/>
                <w:szCs w:val="22"/>
              </w:rPr>
              <w:t> </w:t>
            </w:r>
          </w:p>
        </w:tc>
        <w:tc>
          <w:tcPr>
            <w:tcW w:w="851" w:type="dxa"/>
            <w:shd w:val="clear" w:color="auto" w:fill="auto"/>
            <w:noWrap/>
            <w:hideMark/>
          </w:tcPr>
          <w:p w:rsidR="00435463" w:rsidRPr="007C51D6" w:rsidRDefault="00435463" w:rsidP="00435463">
            <w:pPr>
              <w:autoSpaceDE/>
              <w:autoSpaceDN/>
              <w:adjustRightInd/>
              <w:jc w:val="center"/>
              <w:rPr>
                <w:rFonts w:eastAsia="Arial"/>
                <w:sz w:val="20"/>
                <w:szCs w:val="22"/>
              </w:rPr>
            </w:pPr>
            <w:r w:rsidRPr="007C51D6">
              <w:rPr>
                <w:rFonts w:eastAsia="Arial"/>
                <w:sz w:val="20"/>
                <w:szCs w:val="22"/>
              </w:rPr>
              <w:t>2,4</w:t>
            </w:r>
          </w:p>
        </w:tc>
        <w:tc>
          <w:tcPr>
            <w:tcW w:w="850" w:type="dxa"/>
            <w:shd w:val="clear" w:color="auto" w:fill="auto"/>
            <w:noWrap/>
            <w:hideMark/>
          </w:tcPr>
          <w:p w:rsidR="00435463" w:rsidRPr="007C51D6" w:rsidRDefault="00435463" w:rsidP="00435463">
            <w:pPr>
              <w:autoSpaceDE/>
              <w:autoSpaceDN/>
              <w:adjustRightInd/>
              <w:jc w:val="center"/>
              <w:rPr>
                <w:rFonts w:eastAsia="Arial"/>
                <w:sz w:val="20"/>
                <w:szCs w:val="22"/>
              </w:rPr>
            </w:pPr>
            <w:r w:rsidRPr="007C51D6">
              <w:rPr>
                <w:rFonts w:eastAsia="Arial"/>
                <w:sz w:val="20"/>
                <w:szCs w:val="22"/>
              </w:rPr>
              <w:t>2,6</w:t>
            </w:r>
          </w:p>
        </w:tc>
        <w:tc>
          <w:tcPr>
            <w:tcW w:w="851" w:type="dxa"/>
            <w:shd w:val="clear" w:color="auto" w:fill="auto"/>
            <w:noWrap/>
            <w:hideMark/>
          </w:tcPr>
          <w:p w:rsidR="00435463" w:rsidRPr="007C51D6" w:rsidRDefault="00435463" w:rsidP="00435463">
            <w:pPr>
              <w:autoSpaceDE/>
              <w:autoSpaceDN/>
              <w:adjustRightInd/>
              <w:jc w:val="center"/>
              <w:rPr>
                <w:rFonts w:eastAsia="Arial"/>
                <w:sz w:val="20"/>
                <w:szCs w:val="22"/>
              </w:rPr>
            </w:pPr>
            <w:r w:rsidRPr="007C51D6">
              <w:rPr>
                <w:rFonts w:eastAsia="Arial"/>
                <w:sz w:val="20"/>
                <w:szCs w:val="22"/>
              </w:rPr>
              <w:t>2,3</w:t>
            </w:r>
          </w:p>
        </w:tc>
        <w:tc>
          <w:tcPr>
            <w:tcW w:w="755" w:type="dxa"/>
            <w:shd w:val="clear" w:color="auto" w:fill="auto"/>
            <w:noWrap/>
            <w:hideMark/>
          </w:tcPr>
          <w:p w:rsidR="00435463" w:rsidRPr="007C51D6" w:rsidRDefault="00435463" w:rsidP="00435463">
            <w:pPr>
              <w:autoSpaceDE/>
              <w:autoSpaceDN/>
              <w:adjustRightInd/>
              <w:jc w:val="center"/>
              <w:rPr>
                <w:rFonts w:eastAsia="Arial"/>
                <w:sz w:val="20"/>
                <w:szCs w:val="22"/>
              </w:rPr>
            </w:pPr>
            <w:r w:rsidRPr="007C51D6">
              <w:rPr>
                <w:rFonts w:eastAsia="Arial"/>
                <w:sz w:val="20"/>
                <w:szCs w:val="22"/>
              </w:rPr>
              <w:t>2,6</w:t>
            </w:r>
          </w:p>
        </w:tc>
        <w:tc>
          <w:tcPr>
            <w:tcW w:w="763" w:type="dxa"/>
            <w:shd w:val="clear" w:color="auto" w:fill="auto"/>
            <w:noWrap/>
            <w:hideMark/>
          </w:tcPr>
          <w:p w:rsidR="00435463" w:rsidRPr="007C51D6" w:rsidRDefault="00435463" w:rsidP="00435463">
            <w:pPr>
              <w:autoSpaceDE/>
              <w:autoSpaceDN/>
              <w:adjustRightInd/>
              <w:jc w:val="center"/>
              <w:rPr>
                <w:rFonts w:eastAsia="Arial"/>
                <w:sz w:val="20"/>
                <w:szCs w:val="22"/>
              </w:rPr>
            </w:pPr>
            <w:r w:rsidRPr="007C51D6">
              <w:rPr>
                <w:rFonts w:eastAsia="Arial"/>
                <w:sz w:val="20"/>
                <w:szCs w:val="22"/>
              </w:rPr>
              <w:t>2,7</w:t>
            </w:r>
          </w:p>
        </w:tc>
        <w:tc>
          <w:tcPr>
            <w:tcW w:w="766" w:type="dxa"/>
          </w:tcPr>
          <w:p w:rsidR="00435463" w:rsidRPr="007C51D6" w:rsidRDefault="00435463" w:rsidP="00435463">
            <w:pPr>
              <w:jc w:val="center"/>
              <w:rPr>
                <w:color w:val="000000"/>
                <w:sz w:val="20"/>
                <w:szCs w:val="20"/>
              </w:rPr>
            </w:pPr>
            <w:r w:rsidRPr="007C51D6">
              <w:rPr>
                <w:color w:val="000000"/>
                <w:sz w:val="20"/>
                <w:szCs w:val="20"/>
              </w:rPr>
              <w:t>3,3</w:t>
            </w:r>
          </w:p>
        </w:tc>
        <w:tc>
          <w:tcPr>
            <w:tcW w:w="839" w:type="dxa"/>
          </w:tcPr>
          <w:p w:rsidR="00435463" w:rsidRPr="007C51D6" w:rsidRDefault="00435463" w:rsidP="00435463">
            <w:pPr>
              <w:jc w:val="center"/>
              <w:rPr>
                <w:color w:val="000000"/>
                <w:sz w:val="20"/>
                <w:szCs w:val="20"/>
              </w:rPr>
            </w:pPr>
            <w:r w:rsidRPr="007C51D6">
              <w:rPr>
                <w:color w:val="000000"/>
                <w:sz w:val="20"/>
                <w:szCs w:val="20"/>
              </w:rPr>
              <w:t>2,9</w:t>
            </w:r>
          </w:p>
        </w:tc>
        <w:tc>
          <w:tcPr>
            <w:tcW w:w="704" w:type="dxa"/>
          </w:tcPr>
          <w:p w:rsidR="00435463" w:rsidRPr="007C51D6" w:rsidRDefault="00435463" w:rsidP="00435463">
            <w:pPr>
              <w:jc w:val="center"/>
              <w:rPr>
                <w:color w:val="000000"/>
                <w:sz w:val="20"/>
                <w:szCs w:val="20"/>
              </w:rPr>
            </w:pPr>
            <w:r w:rsidRPr="007C51D6">
              <w:rPr>
                <w:color w:val="000000"/>
                <w:sz w:val="20"/>
                <w:szCs w:val="20"/>
              </w:rPr>
              <w:t>3,1</w:t>
            </w:r>
          </w:p>
        </w:tc>
        <w:tc>
          <w:tcPr>
            <w:tcW w:w="872" w:type="dxa"/>
          </w:tcPr>
          <w:p w:rsidR="00435463" w:rsidRPr="007C51D6" w:rsidRDefault="00435463" w:rsidP="00435463">
            <w:pPr>
              <w:jc w:val="center"/>
              <w:rPr>
                <w:color w:val="000000"/>
                <w:sz w:val="20"/>
                <w:szCs w:val="20"/>
              </w:rPr>
            </w:pPr>
            <w:r w:rsidRPr="007C51D6">
              <w:rPr>
                <w:color w:val="000000"/>
                <w:sz w:val="20"/>
                <w:szCs w:val="20"/>
              </w:rPr>
              <w:t>3.7</w:t>
            </w:r>
          </w:p>
        </w:tc>
        <w:tc>
          <w:tcPr>
            <w:tcW w:w="860" w:type="dxa"/>
          </w:tcPr>
          <w:p w:rsidR="00435463" w:rsidRPr="007C51D6" w:rsidRDefault="00435463" w:rsidP="00435463">
            <w:pPr>
              <w:jc w:val="center"/>
              <w:rPr>
                <w:color w:val="000000"/>
                <w:sz w:val="20"/>
                <w:szCs w:val="20"/>
              </w:rPr>
            </w:pPr>
            <w:r w:rsidRPr="007C51D6">
              <w:rPr>
                <w:color w:val="000000"/>
                <w:sz w:val="20"/>
                <w:szCs w:val="20"/>
              </w:rPr>
              <w:t>3.4</w:t>
            </w:r>
          </w:p>
        </w:tc>
      </w:tr>
    </w:tbl>
    <w:p w:rsidR="00504899" w:rsidRPr="007C51D6" w:rsidRDefault="00504899" w:rsidP="00504899">
      <w:pPr>
        <w:autoSpaceDE/>
        <w:autoSpaceDN/>
        <w:adjustRightInd/>
        <w:rPr>
          <w:rFonts w:eastAsia="Arial"/>
          <w:sz w:val="20"/>
          <w:szCs w:val="20"/>
        </w:rPr>
      </w:pPr>
    </w:p>
    <w:p w:rsidR="002022A0" w:rsidRPr="007C51D6" w:rsidRDefault="002022A0" w:rsidP="00D96F53">
      <w:pPr>
        <w:autoSpaceDE/>
        <w:autoSpaceDN/>
        <w:adjustRightInd/>
        <w:ind w:firstLine="709"/>
        <w:rPr>
          <w:rFonts w:eastAsia="Arial"/>
          <w:sz w:val="28"/>
          <w:szCs w:val="28"/>
        </w:rPr>
      </w:pPr>
      <w:r w:rsidRPr="007C51D6">
        <w:rPr>
          <w:rFonts w:eastAsia="Arial"/>
          <w:sz w:val="20"/>
          <w:szCs w:val="20"/>
        </w:rPr>
        <w:t>*Представлены оперативные данные</w:t>
      </w:r>
      <w:r w:rsidR="001F1DAA" w:rsidRPr="007C51D6">
        <w:rPr>
          <w:rFonts w:eastAsia="Arial"/>
          <w:sz w:val="20"/>
          <w:szCs w:val="20"/>
        </w:rPr>
        <w:t>.</w:t>
      </w:r>
    </w:p>
    <w:p w:rsidR="0035598F" w:rsidRPr="007C51D6" w:rsidRDefault="0035598F" w:rsidP="00504899">
      <w:pPr>
        <w:autoSpaceDE/>
        <w:autoSpaceDN/>
        <w:adjustRightInd/>
        <w:rPr>
          <w:rFonts w:eastAsia="Arial"/>
          <w:sz w:val="28"/>
          <w:szCs w:val="28"/>
        </w:rPr>
      </w:pPr>
    </w:p>
    <w:p w:rsidR="00D3490B" w:rsidRPr="007C51D6" w:rsidRDefault="00724466" w:rsidP="00504899">
      <w:pPr>
        <w:ind w:firstLine="709"/>
        <w:jc w:val="both"/>
        <w:rPr>
          <w:sz w:val="28"/>
          <w:szCs w:val="28"/>
        </w:rPr>
      </w:pPr>
      <w:r w:rsidRPr="007C51D6">
        <w:rPr>
          <w:sz w:val="28"/>
          <w:szCs w:val="28"/>
        </w:rPr>
        <w:t xml:space="preserve">Темп прироста показателя </w:t>
      </w:r>
      <w:r w:rsidR="002F7358" w:rsidRPr="007C51D6">
        <w:rPr>
          <w:sz w:val="28"/>
          <w:szCs w:val="28"/>
        </w:rPr>
        <w:t>«</w:t>
      </w:r>
      <w:r w:rsidR="00D96F53" w:rsidRPr="007C51D6">
        <w:rPr>
          <w:sz w:val="28"/>
          <w:szCs w:val="28"/>
        </w:rPr>
        <w:t>К</w:t>
      </w:r>
      <w:r w:rsidRPr="007C51D6">
        <w:rPr>
          <w:sz w:val="28"/>
          <w:szCs w:val="28"/>
        </w:rPr>
        <w:t xml:space="preserve">оличество </w:t>
      </w:r>
      <w:r w:rsidRPr="007C51D6">
        <w:rPr>
          <w:rFonts w:eastAsia="Arial"/>
          <w:sz w:val="28"/>
          <w:szCs w:val="28"/>
        </w:rPr>
        <w:t xml:space="preserve">выявленных новообразований </w:t>
      </w:r>
      <w:r w:rsidRPr="007C51D6">
        <w:rPr>
          <w:rFonts w:eastAsia="Arial"/>
          <w:sz w:val="28"/>
          <w:szCs w:val="28"/>
          <w:lang w:val="en-US"/>
        </w:rPr>
        <w:t>in</w:t>
      </w:r>
      <w:r w:rsidRPr="007C51D6">
        <w:rPr>
          <w:rFonts w:eastAsia="Arial"/>
          <w:sz w:val="28"/>
          <w:szCs w:val="28"/>
        </w:rPr>
        <w:t xml:space="preserve"> </w:t>
      </w:r>
      <w:r w:rsidRPr="007C51D6">
        <w:rPr>
          <w:rFonts w:eastAsia="Arial"/>
          <w:sz w:val="28"/>
          <w:szCs w:val="28"/>
          <w:lang w:val="en-US"/>
        </w:rPr>
        <w:t>situ</w:t>
      </w:r>
      <w:r w:rsidRPr="007C51D6">
        <w:rPr>
          <w:rFonts w:eastAsia="Arial"/>
          <w:sz w:val="28"/>
          <w:szCs w:val="28"/>
        </w:rPr>
        <w:t xml:space="preserve"> на 100 вновь выявленных ЗНО в отчетном году</w:t>
      </w:r>
      <w:r w:rsidR="002F7358" w:rsidRPr="007C51D6">
        <w:rPr>
          <w:rFonts w:eastAsia="Arial"/>
          <w:sz w:val="28"/>
          <w:szCs w:val="28"/>
        </w:rPr>
        <w:t>»</w:t>
      </w:r>
      <w:r w:rsidRPr="007C51D6">
        <w:rPr>
          <w:rFonts w:eastAsia="Arial"/>
          <w:sz w:val="28"/>
          <w:szCs w:val="28"/>
        </w:rPr>
        <w:t xml:space="preserve"> </w:t>
      </w:r>
      <w:r w:rsidRPr="007C51D6">
        <w:rPr>
          <w:sz w:val="28"/>
          <w:szCs w:val="28"/>
        </w:rPr>
        <w:t xml:space="preserve">за </w:t>
      </w:r>
      <w:r w:rsidR="00D11AEE" w:rsidRPr="007C51D6">
        <w:rPr>
          <w:sz w:val="28"/>
          <w:szCs w:val="28"/>
        </w:rPr>
        <w:t>10-</w:t>
      </w:r>
      <w:r w:rsidRPr="007C51D6">
        <w:rPr>
          <w:sz w:val="28"/>
          <w:szCs w:val="28"/>
        </w:rPr>
        <w:t xml:space="preserve">летний период составил </w:t>
      </w:r>
      <w:r w:rsidR="00AA2150" w:rsidRPr="007C51D6">
        <w:rPr>
          <w:sz w:val="28"/>
          <w:szCs w:val="28"/>
        </w:rPr>
        <w:t>41</w:t>
      </w:r>
      <w:r w:rsidRPr="007C51D6">
        <w:rPr>
          <w:sz w:val="28"/>
          <w:szCs w:val="28"/>
        </w:rPr>
        <w:t>,</w:t>
      </w:r>
      <w:r w:rsidR="00AA2150" w:rsidRPr="007C51D6">
        <w:rPr>
          <w:sz w:val="28"/>
          <w:szCs w:val="28"/>
        </w:rPr>
        <w:t>7</w:t>
      </w:r>
      <w:r w:rsidRPr="007C51D6">
        <w:rPr>
          <w:sz w:val="28"/>
          <w:szCs w:val="28"/>
        </w:rPr>
        <w:t xml:space="preserve"> процента (202</w:t>
      </w:r>
      <w:r w:rsidR="00AA2150" w:rsidRPr="007C51D6">
        <w:rPr>
          <w:sz w:val="28"/>
          <w:szCs w:val="28"/>
        </w:rPr>
        <w:t>5</w:t>
      </w:r>
      <w:r w:rsidRPr="007C51D6">
        <w:rPr>
          <w:sz w:val="28"/>
          <w:szCs w:val="28"/>
        </w:rPr>
        <w:t xml:space="preserve"> год – 3,</w:t>
      </w:r>
      <w:r w:rsidR="00AA2150" w:rsidRPr="007C51D6">
        <w:rPr>
          <w:sz w:val="28"/>
          <w:szCs w:val="28"/>
        </w:rPr>
        <w:t>4</w:t>
      </w:r>
      <w:r w:rsidRPr="007C51D6">
        <w:rPr>
          <w:sz w:val="28"/>
          <w:szCs w:val="28"/>
        </w:rPr>
        <w:t>, 201</w:t>
      </w:r>
      <w:r w:rsidR="00AA2150" w:rsidRPr="007C51D6">
        <w:rPr>
          <w:sz w:val="28"/>
          <w:szCs w:val="28"/>
        </w:rPr>
        <w:t>6</w:t>
      </w:r>
      <w:r w:rsidRPr="007C51D6">
        <w:rPr>
          <w:sz w:val="28"/>
          <w:szCs w:val="28"/>
        </w:rPr>
        <w:t xml:space="preserve"> год – 2,</w:t>
      </w:r>
      <w:r w:rsidR="00AA2150" w:rsidRPr="007C51D6">
        <w:rPr>
          <w:sz w:val="28"/>
          <w:szCs w:val="28"/>
        </w:rPr>
        <w:t>4</w:t>
      </w:r>
      <w:r w:rsidRPr="007C51D6">
        <w:rPr>
          <w:sz w:val="28"/>
          <w:szCs w:val="28"/>
        </w:rPr>
        <w:t xml:space="preserve">). </w:t>
      </w:r>
      <w:r w:rsidR="005F0B38" w:rsidRPr="007C51D6">
        <w:rPr>
          <w:sz w:val="28"/>
          <w:szCs w:val="28"/>
        </w:rPr>
        <w:t>Увеличение этого показателя зарегистрировано при к</w:t>
      </w:r>
      <w:r w:rsidR="005F0B38" w:rsidRPr="007C51D6">
        <w:rPr>
          <w:rFonts w:eastAsia="Arial"/>
          <w:sz w:val="28"/>
          <w:szCs w:val="28"/>
        </w:rPr>
        <w:t xml:space="preserve">арциноме среднего уха и органов дыхания, меланоме, </w:t>
      </w:r>
      <w:r w:rsidR="006A06C2" w:rsidRPr="007C51D6">
        <w:rPr>
          <w:rFonts w:eastAsia="Arial"/>
          <w:sz w:val="28"/>
          <w:szCs w:val="28"/>
        </w:rPr>
        <w:t xml:space="preserve">карциноме шейки матки, карциноме других и неуточненных органов пищеварения, карциноме других и неуточненных половых органов </w:t>
      </w:r>
      <w:r w:rsidR="00CC04B7" w:rsidRPr="007C51D6">
        <w:rPr>
          <w:rFonts w:eastAsia="Arial"/>
          <w:sz w:val="28"/>
          <w:szCs w:val="28"/>
        </w:rPr>
        <w:t>(таблица 4.2)</w:t>
      </w:r>
      <w:r w:rsidR="006A06C2" w:rsidRPr="007C51D6">
        <w:rPr>
          <w:rFonts w:eastAsia="Arial"/>
          <w:sz w:val="28"/>
          <w:szCs w:val="28"/>
        </w:rPr>
        <w:t xml:space="preserve">. </w:t>
      </w:r>
    </w:p>
    <w:p w:rsidR="00A51DEB" w:rsidRPr="007C51D6" w:rsidRDefault="00A51DEB" w:rsidP="00E27362">
      <w:pPr>
        <w:autoSpaceDE/>
        <w:autoSpaceDN/>
        <w:adjustRightInd/>
        <w:ind w:left="11346" w:firstLine="709"/>
        <w:jc w:val="right"/>
        <w:rPr>
          <w:rFonts w:eastAsia="Arial"/>
          <w:sz w:val="28"/>
          <w:szCs w:val="28"/>
        </w:rPr>
      </w:pPr>
      <w:r w:rsidRPr="007C51D6">
        <w:rPr>
          <w:rFonts w:eastAsia="Arial"/>
          <w:sz w:val="28"/>
          <w:szCs w:val="28"/>
        </w:rPr>
        <w:t xml:space="preserve">Таблица </w:t>
      </w:r>
      <w:r w:rsidR="00381A83" w:rsidRPr="007C51D6">
        <w:rPr>
          <w:rFonts w:eastAsia="Arial"/>
          <w:sz w:val="28"/>
          <w:szCs w:val="28"/>
        </w:rPr>
        <w:t>5</w:t>
      </w:r>
    </w:p>
    <w:p w:rsidR="00A85F2F" w:rsidRPr="007C51D6" w:rsidRDefault="00A85F2F" w:rsidP="00A85F2F">
      <w:pPr>
        <w:autoSpaceDE/>
        <w:autoSpaceDN/>
        <w:adjustRightInd/>
        <w:jc w:val="center"/>
        <w:rPr>
          <w:rFonts w:eastAsia="Arial"/>
          <w:sz w:val="28"/>
          <w:szCs w:val="28"/>
        </w:rPr>
      </w:pPr>
      <w:r w:rsidRPr="007C51D6">
        <w:rPr>
          <w:rFonts w:eastAsia="Arial"/>
          <w:sz w:val="28"/>
          <w:szCs w:val="28"/>
        </w:rPr>
        <w:t>Динамика структуры ЗНО визуальных локализаций в Республике Татарстан</w:t>
      </w:r>
    </w:p>
    <w:p w:rsidR="00A85F2F" w:rsidRPr="007C51D6" w:rsidRDefault="00A85F2F" w:rsidP="00A85F2F">
      <w:pPr>
        <w:autoSpaceDE/>
        <w:autoSpaceDN/>
        <w:adjustRightInd/>
        <w:jc w:val="center"/>
        <w:rPr>
          <w:rFonts w:eastAsia="Arial"/>
          <w:sz w:val="28"/>
          <w:szCs w:val="28"/>
        </w:rPr>
      </w:pPr>
      <w:r w:rsidRPr="007C51D6">
        <w:rPr>
          <w:rFonts w:eastAsia="Arial"/>
          <w:sz w:val="28"/>
          <w:szCs w:val="28"/>
        </w:rPr>
        <w:t xml:space="preserve">в 2016 – 2025 годах </w:t>
      </w:r>
    </w:p>
    <w:p w:rsidR="00D96F53" w:rsidRPr="007C51D6" w:rsidRDefault="00D96F53" w:rsidP="00E27362">
      <w:pPr>
        <w:autoSpaceDE/>
        <w:autoSpaceDN/>
        <w:adjustRightInd/>
        <w:jc w:val="center"/>
        <w:rPr>
          <w:rFonts w:eastAsia="Arial"/>
          <w:sz w:val="28"/>
          <w:szCs w:val="28"/>
        </w:rPr>
      </w:pPr>
    </w:p>
    <w:p w:rsidR="0035598F" w:rsidRPr="007C51D6" w:rsidRDefault="00D96F53" w:rsidP="00D96F53">
      <w:pPr>
        <w:autoSpaceDE/>
        <w:autoSpaceDN/>
        <w:adjustRightInd/>
        <w:jc w:val="right"/>
        <w:rPr>
          <w:rFonts w:eastAsia="Arial"/>
          <w:sz w:val="20"/>
          <w:szCs w:val="20"/>
        </w:rPr>
      </w:pPr>
      <w:r w:rsidRPr="007C51D6">
        <w:rPr>
          <w:rFonts w:eastAsia="Arial"/>
          <w:sz w:val="20"/>
          <w:szCs w:val="20"/>
        </w:rPr>
        <w:t>(процентов)</w:t>
      </w:r>
    </w:p>
    <w:tbl>
      <w:tblPr>
        <w:tblStyle w:val="af1"/>
        <w:tblW w:w="0" w:type="auto"/>
        <w:tblBorders>
          <w:bottom w:val="none" w:sz="0" w:space="0" w:color="auto"/>
        </w:tblBorders>
        <w:tblLayout w:type="fixed"/>
        <w:tblLook w:val="04A0" w:firstRow="1" w:lastRow="0" w:firstColumn="1" w:lastColumn="0" w:noHBand="0" w:noVBand="1"/>
      </w:tblPr>
      <w:tblGrid>
        <w:gridCol w:w="1696"/>
        <w:gridCol w:w="1304"/>
        <w:gridCol w:w="1210"/>
        <w:gridCol w:w="1211"/>
        <w:gridCol w:w="1213"/>
        <w:gridCol w:w="1213"/>
        <w:gridCol w:w="1213"/>
        <w:gridCol w:w="1213"/>
        <w:gridCol w:w="1213"/>
        <w:gridCol w:w="1213"/>
        <w:gridCol w:w="1213"/>
        <w:gridCol w:w="1213"/>
      </w:tblGrid>
      <w:tr w:rsidR="00A85F2F" w:rsidRPr="007C51D6" w:rsidTr="00A85F2F">
        <w:trPr>
          <w:trHeight w:val="20"/>
        </w:trPr>
        <w:tc>
          <w:tcPr>
            <w:tcW w:w="1696" w:type="dxa"/>
          </w:tcPr>
          <w:p w:rsidR="00A85F2F" w:rsidRPr="007C51D6" w:rsidRDefault="00A85F2F" w:rsidP="00A85F2F">
            <w:pPr>
              <w:autoSpaceDE/>
              <w:autoSpaceDN/>
              <w:adjustRightInd/>
              <w:jc w:val="center"/>
              <w:rPr>
                <w:rFonts w:eastAsia="Arial"/>
                <w:sz w:val="20"/>
                <w:szCs w:val="20"/>
              </w:rPr>
            </w:pPr>
            <w:r w:rsidRPr="007C51D6">
              <w:rPr>
                <w:color w:val="000000"/>
                <w:sz w:val="20"/>
                <w:szCs w:val="20"/>
              </w:rPr>
              <w:t xml:space="preserve">Локализация </w:t>
            </w:r>
            <w:r w:rsidRPr="007C51D6">
              <w:rPr>
                <w:rFonts w:eastAsia="Arial"/>
                <w:sz w:val="20"/>
                <w:szCs w:val="20"/>
              </w:rPr>
              <w:t>ЗНО</w:t>
            </w:r>
          </w:p>
        </w:tc>
        <w:tc>
          <w:tcPr>
            <w:tcW w:w="1304" w:type="dxa"/>
          </w:tcPr>
          <w:p w:rsidR="00A85F2F" w:rsidRPr="007C51D6" w:rsidRDefault="00A85F2F" w:rsidP="00A85F2F">
            <w:pPr>
              <w:autoSpaceDE/>
              <w:autoSpaceDN/>
              <w:adjustRightInd/>
              <w:jc w:val="center"/>
              <w:rPr>
                <w:rFonts w:eastAsia="Arial"/>
                <w:sz w:val="20"/>
                <w:szCs w:val="20"/>
              </w:rPr>
            </w:pPr>
            <w:r w:rsidRPr="007C51D6">
              <w:rPr>
                <w:rFonts w:eastAsia="Arial"/>
                <w:sz w:val="20"/>
                <w:szCs w:val="20"/>
              </w:rPr>
              <w:t>Стадия</w:t>
            </w:r>
          </w:p>
        </w:tc>
        <w:tc>
          <w:tcPr>
            <w:tcW w:w="1210" w:type="dxa"/>
          </w:tcPr>
          <w:p w:rsidR="00A85F2F" w:rsidRPr="007C51D6" w:rsidRDefault="00A85F2F" w:rsidP="00A85F2F">
            <w:pPr>
              <w:autoSpaceDE/>
              <w:autoSpaceDN/>
              <w:adjustRightInd/>
              <w:jc w:val="center"/>
              <w:rPr>
                <w:color w:val="000000"/>
                <w:sz w:val="20"/>
                <w:szCs w:val="20"/>
              </w:rPr>
            </w:pPr>
            <w:r w:rsidRPr="007C51D6">
              <w:rPr>
                <w:rFonts w:eastAsia="Arial"/>
                <w:sz w:val="20"/>
                <w:szCs w:val="22"/>
              </w:rPr>
              <w:t>2016 г.</w:t>
            </w:r>
          </w:p>
        </w:tc>
        <w:tc>
          <w:tcPr>
            <w:tcW w:w="1211" w:type="dxa"/>
          </w:tcPr>
          <w:p w:rsidR="00A85F2F" w:rsidRPr="007C51D6" w:rsidRDefault="00A85F2F" w:rsidP="00A85F2F">
            <w:pPr>
              <w:autoSpaceDE/>
              <w:autoSpaceDN/>
              <w:adjustRightInd/>
              <w:jc w:val="center"/>
              <w:rPr>
                <w:color w:val="000000"/>
                <w:sz w:val="20"/>
                <w:szCs w:val="20"/>
              </w:rPr>
            </w:pPr>
            <w:r w:rsidRPr="007C51D6">
              <w:rPr>
                <w:rFonts w:eastAsia="Arial"/>
                <w:sz w:val="20"/>
                <w:szCs w:val="22"/>
              </w:rPr>
              <w:t>2017 г.</w:t>
            </w:r>
          </w:p>
        </w:tc>
        <w:tc>
          <w:tcPr>
            <w:tcW w:w="1213" w:type="dxa"/>
          </w:tcPr>
          <w:p w:rsidR="00A85F2F" w:rsidRPr="007C51D6" w:rsidRDefault="00A85F2F" w:rsidP="00A85F2F">
            <w:pPr>
              <w:autoSpaceDE/>
              <w:autoSpaceDN/>
              <w:adjustRightInd/>
              <w:jc w:val="center"/>
              <w:rPr>
                <w:color w:val="000000"/>
                <w:sz w:val="20"/>
                <w:szCs w:val="20"/>
              </w:rPr>
            </w:pPr>
            <w:r w:rsidRPr="007C51D6">
              <w:rPr>
                <w:rFonts w:eastAsia="Arial"/>
                <w:sz w:val="20"/>
                <w:szCs w:val="22"/>
              </w:rPr>
              <w:t>2018 г.</w:t>
            </w:r>
          </w:p>
        </w:tc>
        <w:tc>
          <w:tcPr>
            <w:tcW w:w="1213" w:type="dxa"/>
          </w:tcPr>
          <w:p w:rsidR="00A85F2F" w:rsidRPr="007C51D6" w:rsidRDefault="00A85F2F" w:rsidP="00A85F2F">
            <w:pPr>
              <w:autoSpaceDE/>
              <w:autoSpaceDN/>
              <w:adjustRightInd/>
              <w:jc w:val="center"/>
              <w:rPr>
                <w:color w:val="000000"/>
                <w:sz w:val="20"/>
                <w:szCs w:val="20"/>
              </w:rPr>
            </w:pPr>
            <w:r w:rsidRPr="007C51D6">
              <w:rPr>
                <w:rFonts w:eastAsia="Arial"/>
                <w:sz w:val="20"/>
                <w:szCs w:val="22"/>
              </w:rPr>
              <w:t>2019 г.</w:t>
            </w:r>
          </w:p>
        </w:tc>
        <w:tc>
          <w:tcPr>
            <w:tcW w:w="1213" w:type="dxa"/>
          </w:tcPr>
          <w:p w:rsidR="00A85F2F" w:rsidRPr="007C51D6" w:rsidRDefault="00A85F2F" w:rsidP="00A85F2F">
            <w:pPr>
              <w:autoSpaceDE/>
              <w:autoSpaceDN/>
              <w:adjustRightInd/>
              <w:jc w:val="center"/>
              <w:rPr>
                <w:color w:val="000000"/>
                <w:sz w:val="20"/>
                <w:szCs w:val="20"/>
              </w:rPr>
            </w:pPr>
            <w:r w:rsidRPr="007C51D6">
              <w:rPr>
                <w:rFonts w:eastAsia="Arial"/>
                <w:sz w:val="20"/>
                <w:szCs w:val="22"/>
              </w:rPr>
              <w:t>2020 г.</w:t>
            </w:r>
          </w:p>
        </w:tc>
        <w:tc>
          <w:tcPr>
            <w:tcW w:w="1213" w:type="dxa"/>
          </w:tcPr>
          <w:p w:rsidR="00A85F2F" w:rsidRPr="007C51D6" w:rsidRDefault="00A85F2F" w:rsidP="00A85F2F">
            <w:pPr>
              <w:autoSpaceDE/>
              <w:autoSpaceDN/>
              <w:adjustRightInd/>
              <w:jc w:val="center"/>
              <w:rPr>
                <w:color w:val="000000"/>
                <w:sz w:val="20"/>
                <w:szCs w:val="20"/>
              </w:rPr>
            </w:pPr>
            <w:r w:rsidRPr="007C51D6">
              <w:rPr>
                <w:rFonts w:eastAsia="Arial"/>
                <w:sz w:val="20"/>
                <w:szCs w:val="22"/>
              </w:rPr>
              <w:t>2021 г.</w:t>
            </w:r>
          </w:p>
        </w:tc>
        <w:tc>
          <w:tcPr>
            <w:tcW w:w="1213" w:type="dxa"/>
          </w:tcPr>
          <w:p w:rsidR="00A85F2F" w:rsidRPr="007C51D6" w:rsidRDefault="00A85F2F" w:rsidP="00A85F2F">
            <w:pPr>
              <w:autoSpaceDE/>
              <w:autoSpaceDN/>
              <w:adjustRightInd/>
              <w:jc w:val="center"/>
              <w:rPr>
                <w:color w:val="000000"/>
                <w:sz w:val="20"/>
                <w:szCs w:val="20"/>
              </w:rPr>
            </w:pPr>
            <w:r w:rsidRPr="007C51D6">
              <w:rPr>
                <w:rFonts w:eastAsia="Arial"/>
                <w:sz w:val="20"/>
                <w:szCs w:val="22"/>
              </w:rPr>
              <w:t>2022 г.</w:t>
            </w:r>
          </w:p>
        </w:tc>
        <w:tc>
          <w:tcPr>
            <w:tcW w:w="1213" w:type="dxa"/>
          </w:tcPr>
          <w:p w:rsidR="00A85F2F" w:rsidRPr="007C51D6" w:rsidRDefault="00A85F2F" w:rsidP="00A85F2F">
            <w:pPr>
              <w:autoSpaceDE/>
              <w:autoSpaceDN/>
              <w:adjustRightInd/>
              <w:jc w:val="center"/>
              <w:rPr>
                <w:rFonts w:eastAsia="Arial"/>
                <w:sz w:val="20"/>
                <w:szCs w:val="22"/>
              </w:rPr>
            </w:pPr>
            <w:r w:rsidRPr="007C51D6">
              <w:rPr>
                <w:rFonts w:eastAsia="Arial"/>
                <w:sz w:val="20"/>
                <w:szCs w:val="22"/>
              </w:rPr>
              <w:t>2023 г.</w:t>
            </w:r>
          </w:p>
        </w:tc>
        <w:tc>
          <w:tcPr>
            <w:tcW w:w="1213" w:type="dxa"/>
          </w:tcPr>
          <w:p w:rsidR="00A85F2F" w:rsidRPr="007C51D6" w:rsidRDefault="00A85F2F" w:rsidP="00A85F2F">
            <w:pPr>
              <w:autoSpaceDE/>
              <w:autoSpaceDN/>
              <w:adjustRightInd/>
              <w:jc w:val="center"/>
              <w:rPr>
                <w:rFonts w:eastAsia="Arial"/>
                <w:sz w:val="20"/>
                <w:szCs w:val="22"/>
              </w:rPr>
            </w:pPr>
            <w:r w:rsidRPr="007C51D6">
              <w:rPr>
                <w:rFonts w:eastAsia="Arial"/>
                <w:sz w:val="20"/>
                <w:szCs w:val="22"/>
              </w:rPr>
              <w:t>2024 г.</w:t>
            </w:r>
          </w:p>
        </w:tc>
        <w:tc>
          <w:tcPr>
            <w:tcW w:w="1213" w:type="dxa"/>
          </w:tcPr>
          <w:p w:rsidR="00A85F2F" w:rsidRPr="007C51D6" w:rsidRDefault="00A85F2F" w:rsidP="00A85F2F">
            <w:pPr>
              <w:autoSpaceDE/>
              <w:autoSpaceDN/>
              <w:adjustRightInd/>
              <w:jc w:val="center"/>
              <w:rPr>
                <w:rFonts w:eastAsia="Arial"/>
                <w:sz w:val="20"/>
                <w:szCs w:val="22"/>
              </w:rPr>
            </w:pPr>
            <w:r w:rsidRPr="007C51D6">
              <w:rPr>
                <w:rFonts w:eastAsia="Arial"/>
                <w:sz w:val="20"/>
                <w:szCs w:val="22"/>
              </w:rPr>
              <w:t>2025 г.*</w:t>
            </w:r>
          </w:p>
        </w:tc>
      </w:tr>
      <w:tr w:rsidR="00A85F2F" w:rsidRPr="007C51D6" w:rsidTr="00A85F2F">
        <w:tblPrEx>
          <w:tblBorders>
            <w:bottom w:val="single" w:sz="4" w:space="0" w:color="auto"/>
          </w:tblBorders>
        </w:tblPrEx>
        <w:trPr>
          <w:trHeight w:val="20"/>
          <w:tblHeader/>
        </w:trPr>
        <w:tc>
          <w:tcPr>
            <w:tcW w:w="1696" w:type="dxa"/>
          </w:tcPr>
          <w:p w:rsidR="00A85F2F" w:rsidRPr="007C51D6" w:rsidRDefault="00A85F2F" w:rsidP="00A85F2F">
            <w:pPr>
              <w:autoSpaceDE/>
              <w:autoSpaceDN/>
              <w:adjustRightInd/>
              <w:jc w:val="center"/>
              <w:rPr>
                <w:rFonts w:eastAsia="Arial"/>
                <w:sz w:val="20"/>
                <w:szCs w:val="20"/>
              </w:rPr>
            </w:pPr>
            <w:r w:rsidRPr="007C51D6">
              <w:rPr>
                <w:rFonts w:eastAsia="Arial"/>
                <w:sz w:val="20"/>
                <w:szCs w:val="20"/>
              </w:rPr>
              <w:t>1</w:t>
            </w:r>
          </w:p>
        </w:tc>
        <w:tc>
          <w:tcPr>
            <w:tcW w:w="1304" w:type="dxa"/>
          </w:tcPr>
          <w:p w:rsidR="00A85F2F" w:rsidRPr="007C51D6" w:rsidRDefault="00A85F2F" w:rsidP="00A85F2F">
            <w:pPr>
              <w:autoSpaceDE/>
              <w:autoSpaceDN/>
              <w:adjustRightInd/>
              <w:jc w:val="center"/>
              <w:rPr>
                <w:rFonts w:eastAsia="Arial"/>
                <w:sz w:val="20"/>
                <w:szCs w:val="20"/>
              </w:rPr>
            </w:pPr>
            <w:r w:rsidRPr="007C51D6">
              <w:rPr>
                <w:rFonts w:eastAsia="Arial"/>
                <w:sz w:val="20"/>
                <w:szCs w:val="20"/>
              </w:rPr>
              <w:t>2</w:t>
            </w:r>
          </w:p>
        </w:tc>
        <w:tc>
          <w:tcPr>
            <w:tcW w:w="1210" w:type="dxa"/>
          </w:tcPr>
          <w:p w:rsidR="00A85F2F" w:rsidRPr="007C51D6" w:rsidRDefault="00A85F2F" w:rsidP="00A85F2F">
            <w:pPr>
              <w:autoSpaceDE/>
              <w:autoSpaceDN/>
              <w:adjustRightInd/>
              <w:jc w:val="center"/>
              <w:rPr>
                <w:rFonts w:eastAsia="Arial"/>
                <w:sz w:val="20"/>
                <w:szCs w:val="20"/>
              </w:rPr>
            </w:pPr>
            <w:r w:rsidRPr="007C51D6">
              <w:rPr>
                <w:rFonts w:eastAsia="Arial"/>
                <w:sz w:val="20"/>
                <w:szCs w:val="20"/>
              </w:rPr>
              <w:t>3</w:t>
            </w:r>
          </w:p>
        </w:tc>
        <w:tc>
          <w:tcPr>
            <w:tcW w:w="1211" w:type="dxa"/>
          </w:tcPr>
          <w:p w:rsidR="00A85F2F" w:rsidRPr="007C51D6" w:rsidRDefault="00A85F2F" w:rsidP="00A85F2F">
            <w:pPr>
              <w:autoSpaceDE/>
              <w:autoSpaceDN/>
              <w:adjustRightInd/>
              <w:jc w:val="center"/>
              <w:rPr>
                <w:rFonts w:eastAsia="Arial"/>
                <w:sz w:val="20"/>
                <w:szCs w:val="20"/>
              </w:rPr>
            </w:pPr>
            <w:r w:rsidRPr="007C51D6">
              <w:rPr>
                <w:rFonts w:eastAsia="Arial"/>
                <w:sz w:val="20"/>
                <w:szCs w:val="20"/>
              </w:rPr>
              <w:t>4</w:t>
            </w:r>
          </w:p>
        </w:tc>
        <w:tc>
          <w:tcPr>
            <w:tcW w:w="1213" w:type="dxa"/>
          </w:tcPr>
          <w:p w:rsidR="00A85F2F" w:rsidRPr="007C51D6" w:rsidRDefault="00A85F2F" w:rsidP="00A85F2F">
            <w:pPr>
              <w:autoSpaceDE/>
              <w:autoSpaceDN/>
              <w:adjustRightInd/>
              <w:jc w:val="center"/>
              <w:rPr>
                <w:rFonts w:eastAsia="Arial"/>
                <w:sz w:val="20"/>
                <w:szCs w:val="20"/>
              </w:rPr>
            </w:pPr>
            <w:r w:rsidRPr="007C51D6">
              <w:rPr>
                <w:rFonts w:eastAsia="Arial"/>
                <w:sz w:val="20"/>
                <w:szCs w:val="20"/>
              </w:rPr>
              <w:t>5</w:t>
            </w:r>
          </w:p>
        </w:tc>
        <w:tc>
          <w:tcPr>
            <w:tcW w:w="1213" w:type="dxa"/>
          </w:tcPr>
          <w:p w:rsidR="00A85F2F" w:rsidRPr="007C51D6" w:rsidRDefault="00A85F2F" w:rsidP="00A85F2F">
            <w:pPr>
              <w:autoSpaceDE/>
              <w:autoSpaceDN/>
              <w:adjustRightInd/>
              <w:jc w:val="center"/>
              <w:rPr>
                <w:rFonts w:eastAsia="Arial"/>
                <w:sz w:val="20"/>
                <w:szCs w:val="20"/>
              </w:rPr>
            </w:pPr>
            <w:r w:rsidRPr="007C51D6">
              <w:rPr>
                <w:rFonts w:eastAsia="Arial"/>
                <w:sz w:val="20"/>
                <w:szCs w:val="20"/>
              </w:rPr>
              <w:t>6</w:t>
            </w:r>
          </w:p>
        </w:tc>
        <w:tc>
          <w:tcPr>
            <w:tcW w:w="1213" w:type="dxa"/>
          </w:tcPr>
          <w:p w:rsidR="00A85F2F" w:rsidRPr="007C51D6" w:rsidRDefault="00A85F2F" w:rsidP="00A85F2F">
            <w:pPr>
              <w:autoSpaceDE/>
              <w:autoSpaceDN/>
              <w:adjustRightInd/>
              <w:jc w:val="center"/>
              <w:rPr>
                <w:rFonts w:eastAsia="Arial"/>
                <w:sz w:val="20"/>
                <w:szCs w:val="20"/>
              </w:rPr>
            </w:pPr>
            <w:r w:rsidRPr="007C51D6">
              <w:rPr>
                <w:rFonts w:eastAsia="Arial"/>
                <w:sz w:val="20"/>
                <w:szCs w:val="20"/>
              </w:rPr>
              <w:t>7</w:t>
            </w:r>
          </w:p>
        </w:tc>
        <w:tc>
          <w:tcPr>
            <w:tcW w:w="1213" w:type="dxa"/>
          </w:tcPr>
          <w:p w:rsidR="00A85F2F" w:rsidRPr="007C51D6" w:rsidRDefault="00A85F2F" w:rsidP="00A85F2F">
            <w:pPr>
              <w:autoSpaceDE/>
              <w:autoSpaceDN/>
              <w:adjustRightInd/>
              <w:jc w:val="center"/>
              <w:rPr>
                <w:rFonts w:eastAsia="Arial"/>
                <w:sz w:val="20"/>
                <w:szCs w:val="20"/>
              </w:rPr>
            </w:pPr>
            <w:r w:rsidRPr="007C51D6">
              <w:rPr>
                <w:rFonts w:eastAsia="Arial"/>
                <w:sz w:val="20"/>
                <w:szCs w:val="20"/>
              </w:rPr>
              <w:t>8</w:t>
            </w:r>
          </w:p>
        </w:tc>
        <w:tc>
          <w:tcPr>
            <w:tcW w:w="1213" w:type="dxa"/>
          </w:tcPr>
          <w:p w:rsidR="00A85F2F" w:rsidRPr="007C51D6" w:rsidRDefault="00A85F2F" w:rsidP="00A85F2F">
            <w:pPr>
              <w:autoSpaceDE/>
              <w:autoSpaceDN/>
              <w:adjustRightInd/>
              <w:jc w:val="center"/>
              <w:rPr>
                <w:rFonts w:eastAsia="Arial"/>
                <w:sz w:val="20"/>
                <w:szCs w:val="20"/>
              </w:rPr>
            </w:pPr>
            <w:r w:rsidRPr="007C51D6">
              <w:rPr>
                <w:rFonts w:eastAsia="Arial"/>
                <w:sz w:val="20"/>
                <w:szCs w:val="20"/>
              </w:rPr>
              <w:t>9</w:t>
            </w:r>
          </w:p>
        </w:tc>
        <w:tc>
          <w:tcPr>
            <w:tcW w:w="1213" w:type="dxa"/>
          </w:tcPr>
          <w:p w:rsidR="00A85F2F" w:rsidRPr="007C51D6" w:rsidRDefault="00A85F2F" w:rsidP="00A85F2F">
            <w:pPr>
              <w:autoSpaceDE/>
              <w:autoSpaceDN/>
              <w:adjustRightInd/>
              <w:jc w:val="center"/>
              <w:rPr>
                <w:rFonts w:eastAsia="Arial"/>
                <w:sz w:val="20"/>
                <w:szCs w:val="20"/>
              </w:rPr>
            </w:pPr>
            <w:r w:rsidRPr="007C51D6">
              <w:rPr>
                <w:rFonts w:eastAsia="Arial"/>
                <w:sz w:val="20"/>
                <w:szCs w:val="20"/>
              </w:rPr>
              <w:t>10</w:t>
            </w:r>
          </w:p>
        </w:tc>
        <w:tc>
          <w:tcPr>
            <w:tcW w:w="1213" w:type="dxa"/>
          </w:tcPr>
          <w:p w:rsidR="00A85F2F" w:rsidRPr="007C51D6" w:rsidRDefault="00A85F2F" w:rsidP="00A85F2F">
            <w:pPr>
              <w:autoSpaceDE/>
              <w:autoSpaceDN/>
              <w:adjustRightInd/>
              <w:jc w:val="center"/>
              <w:rPr>
                <w:rFonts w:eastAsia="Arial"/>
                <w:sz w:val="20"/>
                <w:szCs w:val="20"/>
              </w:rPr>
            </w:pPr>
            <w:r w:rsidRPr="007C51D6">
              <w:rPr>
                <w:rFonts w:eastAsia="Arial"/>
                <w:sz w:val="20"/>
                <w:szCs w:val="20"/>
              </w:rPr>
              <w:t>11</w:t>
            </w:r>
          </w:p>
        </w:tc>
        <w:tc>
          <w:tcPr>
            <w:tcW w:w="1213" w:type="dxa"/>
          </w:tcPr>
          <w:p w:rsidR="00A85F2F" w:rsidRPr="007C51D6" w:rsidRDefault="00A85F2F" w:rsidP="00A85F2F">
            <w:pPr>
              <w:autoSpaceDE/>
              <w:autoSpaceDN/>
              <w:adjustRightInd/>
              <w:jc w:val="center"/>
              <w:rPr>
                <w:rFonts w:eastAsia="Arial"/>
                <w:sz w:val="20"/>
                <w:szCs w:val="20"/>
              </w:rPr>
            </w:pPr>
            <w:r w:rsidRPr="007C51D6">
              <w:rPr>
                <w:rFonts w:eastAsia="Arial"/>
                <w:sz w:val="20"/>
                <w:szCs w:val="20"/>
              </w:rPr>
              <w:t>12</w:t>
            </w:r>
          </w:p>
        </w:tc>
      </w:tr>
      <w:tr w:rsidR="00A85F2F" w:rsidRPr="007C51D6" w:rsidTr="00A85F2F">
        <w:tblPrEx>
          <w:tblBorders>
            <w:bottom w:val="single" w:sz="4" w:space="0" w:color="auto"/>
          </w:tblBorders>
        </w:tblPrEx>
        <w:trPr>
          <w:trHeight w:val="20"/>
        </w:trPr>
        <w:tc>
          <w:tcPr>
            <w:tcW w:w="1696" w:type="dxa"/>
            <w:vMerge w:val="restart"/>
          </w:tcPr>
          <w:p w:rsidR="00A85F2F" w:rsidRPr="007C51D6" w:rsidRDefault="00A85F2F" w:rsidP="00A85F2F">
            <w:pPr>
              <w:autoSpaceDE/>
              <w:autoSpaceDN/>
              <w:adjustRightInd/>
              <w:jc w:val="both"/>
              <w:rPr>
                <w:rFonts w:eastAsia="Arial"/>
                <w:sz w:val="20"/>
                <w:szCs w:val="20"/>
              </w:rPr>
            </w:pPr>
            <w:r w:rsidRPr="007C51D6">
              <w:rPr>
                <w:rFonts w:eastAsia="Arial"/>
                <w:sz w:val="20"/>
                <w:szCs w:val="20"/>
              </w:rPr>
              <w:t>ЗНО губы (С00)</w:t>
            </w:r>
          </w:p>
        </w:tc>
        <w:tc>
          <w:tcPr>
            <w:tcW w:w="1304" w:type="dxa"/>
          </w:tcPr>
          <w:p w:rsidR="00A85F2F" w:rsidRPr="007C51D6" w:rsidRDefault="00A85F2F" w:rsidP="00A85F2F">
            <w:pPr>
              <w:autoSpaceDE/>
              <w:autoSpaceDN/>
              <w:adjustRightInd/>
              <w:jc w:val="both"/>
              <w:rPr>
                <w:rFonts w:eastAsia="Arial"/>
                <w:sz w:val="20"/>
                <w:szCs w:val="20"/>
              </w:rPr>
            </w:pPr>
            <w:r w:rsidRPr="007C51D6">
              <w:rPr>
                <w:rFonts w:eastAsia="Arial"/>
                <w:sz w:val="20"/>
                <w:szCs w:val="20"/>
                <w:lang w:val="en-US"/>
              </w:rPr>
              <w:t>I</w:t>
            </w:r>
            <w:r w:rsidRPr="007C51D6">
              <w:rPr>
                <w:rFonts w:eastAsia="Arial"/>
                <w:sz w:val="20"/>
                <w:szCs w:val="20"/>
              </w:rPr>
              <w:t xml:space="preserve"> стадия</w:t>
            </w:r>
          </w:p>
        </w:tc>
        <w:tc>
          <w:tcPr>
            <w:tcW w:w="1210" w:type="dxa"/>
          </w:tcPr>
          <w:p w:rsidR="00A85F2F" w:rsidRPr="007C51D6" w:rsidRDefault="00A85F2F" w:rsidP="00A85F2F">
            <w:pPr>
              <w:autoSpaceDE/>
              <w:autoSpaceDN/>
              <w:adjustRightInd/>
              <w:jc w:val="center"/>
              <w:rPr>
                <w:rFonts w:eastAsia="Arial"/>
                <w:sz w:val="20"/>
                <w:szCs w:val="20"/>
              </w:rPr>
            </w:pPr>
            <w:r w:rsidRPr="007C51D6">
              <w:rPr>
                <w:rFonts w:eastAsia="Arial"/>
                <w:sz w:val="20"/>
                <w:szCs w:val="20"/>
              </w:rPr>
              <w:t>45,7</w:t>
            </w:r>
          </w:p>
        </w:tc>
        <w:tc>
          <w:tcPr>
            <w:tcW w:w="1211" w:type="dxa"/>
          </w:tcPr>
          <w:p w:rsidR="00A85F2F" w:rsidRPr="007C51D6" w:rsidRDefault="00A85F2F" w:rsidP="00A85F2F">
            <w:pPr>
              <w:autoSpaceDE/>
              <w:autoSpaceDN/>
              <w:adjustRightInd/>
              <w:jc w:val="center"/>
              <w:rPr>
                <w:rFonts w:eastAsia="Arial"/>
                <w:sz w:val="20"/>
                <w:szCs w:val="20"/>
              </w:rPr>
            </w:pPr>
            <w:r w:rsidRPr="007C51D6">
              <w:rPr>
                <w:rFonts w:eastAsia="Arial"/>
                <w:sz w:val="20"/>
                <w:szCs w:val="20"/>
              </w:rPr>
              <w:t>36,4</w:t>
            </w:r>
          </w:p>
        </w:tc>
        <w:tc>
          <w:tcPr>
            <w:tcW w:w="1213" w:type="dxa"/>
          </w:tcPr>
          <w:p w:rsidR="00A85F2F" w:rsidRPr="007C51D6" w:rsidRDefault="00A85F2F" w:rsidP="00A85F2F">
            <w:pPr>
              <w:autoSpaceDE/>
              <w:autoSpaceDN/>
              <w:adjustRightInd/>
              <w:jc w:val="center"/>
              <w:rPr>
                <w:rFonts w:eastAsia="Arial"/>
                <w:sz w:val="20"/>
                <w:szCs w:val="20"/>
              </w:rPr>
            </w:pPr>
            <w:r w:rsidRPr="007C51D6">
              <w:rPr>
                <w:rFonts w:eastAsia="Arial"/>
                <w:sz w:val="20"/>
                <w:szCs w:val="20"/>
              </w:rPr>
              <w:t>52,4</w:t>
            </w:r>
          </w:p>
        </w:tc>
        <w:tc>
          <w:tcPr>
            <w:tcW w:w="1213" w:type="dxa"/>
          </w:tcPr>
          <w:p w:rsidR="00A85F2F" w:rsidRPr="007C51D6" w:rsidRDefault="00A85F2F" w:rsidP="00A85F2F">
            <w:pPr>
              <w:autoSpaceDE/>
              <w:autoSpaceDN/>
              <w:adjustRightInd/>
              <w:jc w:val="center"/>
              <w:rPr>
                <w:rFonts w:eastAsia="Arial"/>
                <w:sz w:val="20"/>
                <w:szCs w:val="20"/>
              </w:rPr>
            </w:pPr>
            <w:r w:rsidRPr="007C51D6">
              <w:rPr>
                <w:rFonts w:eastAsia="Arial"/>
                <w:sz w:val="20"/>
                <w:szCs w:val="20"/>
              </w:rPr>
              <w:t>70,1</w:t>
            </w:r>
          </w:p>
        </w:tc>
        <w:tc>
          <w:tcPr>
            <w:tcW w:w="1213" w:type="dxa"/>
          </w:tcPr>
          <w:p w:rsidR="00A85F2F" w:rsidRPr="007C51D6" w:rsidRDefault="00A85F2F" w:rsidP="00A85F2F">
            <w:pPr>
              <w:autoSpaceDE/>
              <w:autoSpaceDN/>
              <w:adjustRightInd/>
              <w:jc w:val="center"/>
              <w:rPr>
                <w:rFonts w:eastAsia="Arial"/>
                <w:sz w:val="20"/>
                <w:szCs w:val="20"/>
              </w:rPr>
            </w:pPr>
            <w:r w:rsidRPr="007C51D6">
              <w:rPr>
                <w:rFonts w:eastAsia="Arial"/>
                <w:sz w:val="20"/>
                <w:szCs w:val="20"/>
              </w:rPr>
              <w:t>42,2</w:t>
            </w:r>
          </w:p>
        </w:tc>
        <w:tc>
          <w:tcPr>
            <w:tcW w:w="1213" w:type="dxa"/>
          </w:tcPr>
          <w:p w:rsidR="00A85F2F" w:rsidRPr="007C51D6" w:rsidRDefault="00A85F2F" w:rsidP="00A85F2F">
            <w:pPr>
              <w:autoSpaceDE/>
              <w:autoSpaceDN/>
              <w:adjustRightInd/>
              <w:jc w:val="center"/>
              <w:rPr>
                <w:rFonts w:eastAsia="Arial"/>
                <w:sz w:val="20"/>
                <w:szCs w:val="20"/>
              </w:rPr>
            </w:pPr>
            <w:r w:rsidRPr="007C51D6">
              <w:rPr>
                <w:rFonts w:eastAsia="Arial"/>
                <w:sz w:val="20"/>
                <w:szCs w:val="20"/>
              </w:rPr>
              <w:t>58,8</w:t>
            </w:r>
          </w:p>
        </w:tc>
        <w:tc>
          <w:tcPr>
            <w:tcW w:w="1213" w:type="dxa"/>
          </w:tcPr>
          <w:p w:rsidR="00A85F2F" w:rsidRPr="007C51D6" w:rsidRDefault="00A85F2F" w:rsidP="00A85F2F">
            <w:pPr>
              <w:autoSpaceDE/>
              <w:autoSpaceDN/>
              <w:adjustRightInd/>
              <w:jc w:val="center"/>
              <w:rPr>
                <w:rFonts w:eastAsia="Arial"/>
                <w:sz w:val="20"/>
                <w:szCs w:val="20"/>
              </w:rPr>
            </w:pPr>
            <w:r w:rsidRPr="007C51D6">
              <w:rPr>
                <w:rFonts w:eastAsia="Arial"/>
                <w:sz w:val="20"/>
                <w:szCs w:val="20"/>
              </w:rPr>
              <w:t>53,5</w:t>
            </w:r>
          </w:p>
        </w:tc>
        <w:tc>
          <w:tcPr>
            <w:tcW w:w="1213" w:type="dxa"/>
          </w:tcPr>
          <w:p w:rsidR="00A85F2F" w:rsidRPr="007C51D6" w:rsidRDefault="00A85F2F" w:rsidP="00A85F2F">
            <w:pPr>
              <w:autoSpaceDE/>
              <w:autoSpaceDN/>
              <w:adjustRightInd/>
              <w:jc w:val="center"/>
              <w:rPr>
                <w:rFonts w:eastAsia="Arial"/>
                <w:sz w:val="20"/>
                <w:szCs w:val="20"/>
              </w:rPr>
            </w:pPr>
            <w:r w:rsidRPr="007C51D6">
              <w:rPr>
                <w:rFonts w:eastAsia="Arial"/>
                <w:sz w:val="20"/>
                <w:szCs w:val="20"/>
              </w:rPr>
              <w:t>58,1</w:t>
            </w:r>
          </w:p>
        </w:tc>
        <w:tc>
          <w:tcPr>
            <w:tcW w:w="1213" w:type="dxa"/>
          </w:tcPr>
          <w:p w:rsidR="00A85F2F" w:rsidRPr="007C51D6" w:rsidRDefault="00A85F2F" w:rsidP="00A85F2F">
            <w:pPr>
              <w:autoSpaceDE/>
              <w:autoSpaceDN/>
              <w:adjustRightInd/>
              <w:jc w:val="center"/>
              <w:rPr>
                <w:rFonts w:eastAsia="Arial"/>
                <w:sz w:val="20"/>
                <w:szCs w:val="20"/>
              </w:rPr>
            </w:pPr>
            <w:r w:rsidRPr="007C51D6">
              <w:rPr>
                <w:rFonts w:eastAsia="Arial"/>
                <w:sz w:val="20"/>
                <w:szCs w:val="20"/>
              </w:rPr>
              <w:t>69,6</w:t>
            </w:r>
          </w:p>
        </w:tc>
        <w:tc>
          <w:tcPr>
            <w:tcW w:w="1213" w:type="dxa"/>
          </w:tcPr>
          <w:p w:rsidR="00A85F2F" w:rsidRPr="007C51D6" w:rsidRDefault="00DA6985" w:rsidP="00A85F2F">
            <w:pPr>
              <w:autoSpaceDE/>
              <w:autoSpaceDN/>
              <w:adjustRightInd/>
              <w:jc w:val="center"/>
              <w:rPr>
                <w:rFonts w:eastAsia="Arial"/>
                <w:sz w:val="20"/>
                <w:szCs w:val="20"/>
              </w:rPr>
            </w:pPr>
            <w:r w:rsidRPr="007C51D6">
              <w:rPr>
                <w:rFonts w:eastAsia="Arial"/>
                <w:sz w:val="20"/>
                <w:szCs w:val="20"/>
              </w:rPr>
              <w:t>56,7</w:t>
            </w:r>
          </w:p>
        </w:tc>
      </w:tr>
      <w:tr w:rsidR="00A85F2F" w:rsidRPr="007C51D6" w:rsidTr="00A85F2F">
        <w:tblPrEx>
          <w:tblBorders>
            <w:bottom w:val="single" w:sz="4" w:space="0" w:color="auto"/>
          </w:tblBorders>
        </w:tblPrEx>
        <w:trPr>
          <w:trHeight w:val="20"/>
        </w:trPr>
        <w:tc>
          <w:tcPr>
            <w:tcW w:w="1696" w:type="dxa"/>
            <w:vMerge/>
          </w:tcPr>
          <w:p w:rsidR="00A85F2F" w:rsidRPr="007C51D6" w:rsidRDefault="00A85F2F" w:rsidP="00A85F2F">
            <w:pPr>
              <w:autoSpaceDE/>
              <w:autoSpaceDN/>
              <w:adjustRightInd/>
              <w:jc w:val="both"/>
              <w:rPr>
                <w:rFonts w:eastAsia="Arial"/>
                <w:sz w:val="20"/>
                <w:szCs w:val="20"/>
              </w:rPr>
            </w:pPr>
          </w:p>
        </w:tc>
        <w:tc>
          <w:tcPr>
            <w:tcW w:w="1304" w:type="dxa"/>
          </w:tcPr>
          <w:p w:rsidR="00A85F2F" w:rsidRPr="007C51D6" w:rsidRDefault="00A85F2F" w:rsidP="00A85F2F">
            <w:pPr>
              <w:autoSpaceDE/>
              <w:autoSpaceDN/>
              <w:adjustRightInd/>
              <w:jc w:val="both"/>
              <w:rPr>
                <w:rFonts w:eastAsia="Arial"/>
                <w:sz w:val="20"/>
                <w:szCs w:val="20"/>
              </w:rPr>
            </w:pPr>
            <w:r w:rsidRPr="007C51D6">
              <w:rPr>
                <w:rFonts w:eastAsia="Arial"/>
                <w:sz w:val="20"/>
                <w:szCs w:val="20"/>
                <w:lang w:val="en-US"/>
              </w:rPr>
              <w:t>II</w:t>
            </w:r>
            <w:r w:rsidRPr="007C51D6">
              <w:rPr>
                <w:rFonts w:eastAsia="Arial"/>
                <w:sz w:val="20"/>
                <w:szCs w:val="20"/>
              </w:rPr>
              <w:t xml:space="preserve"> стадия</w:t>
            </w:r>
          </w:p>
        </w:tc>
        <w:tc>
          <w:tcPr>
            <w:tcW w:w="1210" w:type="dxa"/>
          </w:tcPr>
          <w:p w:rsidR="00A85F2F" w:rsidRPr="007C51D6" w:rsidRDefault="00A85F2F" w:rsidP="00A85F2F">
            <w:pPr>
              <w:autoSpaceDE/>
              <w:autoSpaceDN/>
              <w:adjustRightInd/>
              <w:jc w:val="center"/>
              <w:rPr>
                <w:rFonts w:eastAsia="Arial"/>
                <w:sz w:val="20"/>
                <w:szCs w:val="20"/>
              </w:rPr>
            </w:pPr>
            <w:r w:rsidRPr="007C51D6">
              <w:rPr>
                <w:rFonts w:eastAsia="Arial"/>
                <w:sz w:val="20"/>
                <w:szCs w:val="20"/>
              </w:rPr>
              <w:t>42,4</w:t>
            </w:r>
          </w:p>
        </w:tc>
        <w:tc>
          <w:tcPr>
            <w:tcW w:w="1211" w:type="dxa"/>
          </w:tcPr>
          <w:p w:rsidR="00A85F2F" w:rsidRPr="007C51D6" w:rsidRDefault="00A85F2F" w:rsidP="00A85F2F">
            <w:pPr>
              <w:autoSpaceDE/>
              <w:autoSpaceDN/>
              <w:adjustRightInd/>
              <w:jc w:val="center"/>
              <w:rPr>
                <w:rFonts w:eastAsia="Arial"/>
                <w:sz w:val="20"/>
                <w:szCs w:val="20"/>
              </w:rPr>
            </w:pPr>
            <w:r w:rsidRPr="007C51D6">
              <w:rPr>
                <w:rFonts w:eastAsia="Arial"/>
                <w:sz w:val="20"/>
                <w:szCs w:val="20"/>
              </w:rPr>
              <w:t>54,5</w:t>
            </w:r>
          </w:p>
        </w:tc>
        <w:tc>
          <w:tcPr>
            <w:tcW w:w="1213" w:type="dxa"/>
          </w:tcPr>
          <w:p w:rsidR="00A85F2F" w:rsidRPr="007C51D6" w:rsidRDefault="00A85F2F" w:rsidP="00A85F2F">
            <w:pPr>
              <w:autoSpaceDE/>
              <w:autoSpaceDN/>
              <w:adjustRightInd/>
              <w:jc w:val="center"/>
              <w:rPr>
                <w:rFonts w:eastAsia="Arial"/>
                <w:sz w:val="20"/>
                <w:szCs w:val="20"/>
              </w:rPr>
            </w:pPr>
            <w:r w:rsidRPr="007C51D6">
              <w:rPr>
                <w:rFonts w:eastAsia="Arial"/>
                <w:sz w:val="20"/>
                <w:szCs w:val="20"/>
              </w:rPr>
              <w:t>35,7</w:t>
            </w:r>
          </w:p>
        </w:tc>
        <w:tc>
          <w:tcPr>
            <w:tcW w:w="1213" w:type="dxa"/>
          </w:tcPr>
          <w:p w:rsidR="00A85F2F" w:rsidRPr="007C51D6" w:rsidRDefault="00A85F2F" w:rsidP="00A85F2F">
            <w:pPr>
              <w:autoSpaceDE/>
              <w:autoSpaceDN/>
              <w:adjustRightInd/>
              <w:jc w:val="center"/>
              <w:rPr>
                <w:rFonts w:eastAsia="Arial"/>
                <w:sz w:val="20"/>
                <w:szCs w:val="20"/>
              </w:rPr>
            </w:pPr>
            <w:r w:rsidRPr="007C51D6">
              <w:rPr>
                <w:rFonts w:eastAsia="Arial"/>
                <w:sz w:val="20"/>
                <w:szCs w:val="20"/>
              </w:rPr>
              <w:t>23,4</w:t>
            </w:r>
          </w:p>
        </w:tc>
        <w:tc>
          <w:tcPr>
            <w:tcW w:w="1213" w:type="dxa"/>
          </w:tcPr>
          <w:p w:rsidR="00A85F2F" w:rsidRPr="007C51D6" w:rsidRDefault="00A85F2F" w:rsidP="00A85F2F">
            <w:pPr>
              <w:autoSpaceDE/>
              <w:autoSpaceDN/>
              <w:adjustRightInd/>
              <w:jc w:val="center"/>
              <w:rPr>
                <w:rFonts w:eastAsia="Arial"/>
                <w:sz w:val="20"/>
                <w:szCs w:val="20"/>
              </w:rPr>
            </w:pPr>
            <w:r w:rsidRPr="007C51D6">
              <w:rPr>
                <w:rFonts w:eastAsia="Arial"/>
                <w:sz w:val="20"/>
                <w:szCs w:val="20"/>
              </w:rPr>
              <w:t>48,4</w:t>
            </w:r>
          </w:p>
        </w:tc>
        <w:tc>
          <w:tcPr>
            <w:tcW w:w="1213" w:type="dxa"/>
          </w:tcPr>
          <w:p w:rsidR="00A85F2F" w:rsidRPr="007C51D6" w:rsidRDefault="00A85F2F" w:rsidP="00A85F2F">
            <w:pPr>
              <w:autoSpaceDE/>
              <w:autoSpaceDN/>
              <w:adjustRightInd/>
              <w:jc w:val="center"/>
              <w:rPr>
                <w:rFonts w:eastAsia="Arial"/>
                <w:sz w:val="20"/>
                <w:szCs w:val="20"/>
              </w:rPr>
            </w:pPr>
            <w:r w:rsidRPr="007C51D6">
              <w:rPr>
                <w:rFonts w:eastAsia="Arial"/>
                <w:sz w:val="20"/>
                <w:szCs w:val="20"/>
              </w:rPr>
              <w:t>27,1</w:t>
            </w:r>
          </w:p>
        </w:tc>
        <w:tc>
          <w:tcPr>
            <w:tcW w:w="1213" w:type="dxa"/>
          </w:tcPr>
          <w:p w:rsidR="00A85F2F" w:rsidRPr="007C51D6" w:rsidRDefault="00A85F2F" w:rsidP="00A85F2F">
            <w:pPr>
              <w:autoSpaceDE/>
              <w:autoSpaceDN/>
              <w:adjustRightInd/>
              <w:jc w:val="center"/>
              <w:rPr>
                <w:rFonts w:eastAsia="Arial"/>
                <w:sz w:val="20"/>
                <w:szCs w:val="20"/>
              </w:rPr>
            </w:pPr>
            <w:r w:rsidRPr="007C51D6">
              <w:rPr>
                <w:rFonts w:eastAsia="Arial"/>
                <w:sz w:val="20"/>
                <w:szCs w:val="20"/>
              </w:rPr>
              <w:t>25,4</w:t>
            </w:r>
          </w:p>
        </w:tc>
        <w:tc>
          <w:tcPr>
            <w:tcW w:w="1213" w:type="dxa"/>
          </w:tcPr>
          <w:p w:rsidR="00A85F2F" w:rsidRPr="007C51D6" w:rsidRDefault="00A85F2F" w:rsidP="00A85F2F">
            <w:pPr>
              <w:autoSpaceDE/>
              <w:autoSpaceDN/>
              <w:adjustRightInd/>
              <w:jc w:val="center"/>
              <w:rPr>
                <w:rFonts w:eastAsia="Arial"/>
                <w:sz w:val="20"/>
                <w:szCs w:val="20"/>
              </w:rPr>
            </w:pPr>
            <w:r w:rsidRPr="007C51D6">
              <w:rPr>
                <w:rFonts w:eastAsia="Arial"/>
                <w:sz w:val="20"/>
                <w:szCs w:val="20"/>
              </w:rPr>
              <w:t>28,4</w:t>
            </w:r>
          </w:p>
        </w:tc>
        <w:tc>
          <w:tcPr>
            <w:tcW w:w="1213" w:type="dxa"/>
          </w:tcPr>
          <w:p w:rsidR="00A85F2F" w:rsidRPr="007C51D6" w:rsidRDefault="00A85F2F" w:rsidP="00A85F2F">
            <w:pPr>
              <w:autoSpaceDE/>
              <w:autoSpaceDN/>
              <w:adjustRightInd/>
              <w:jc w:val="center"/>
              <w:rPr>
                <w:rFonts w:eastAsia="Arial"/>
                <w:sz w:val="20"/>
                <w:szCs w:val="20"/>
              </w:rPr>
            </w:pPr>
            <w:r w:rsidRPr="007C51D6">
              <w:rPr>
                <w:rFonts w:eastAsia="Arial"/>
                <w:sz w:val="20"/>
                <w:szCs w:val="20"/>
              </w:rPr>
              <w:t>19,6</w:t>
            </w:r>
          </w:p>
        </w:tc>
        <w:tc>
          <w:tcPr>
            <w:tcW w:w="1213" w:type="dxa"/>
          </w:tcPr>
          <w:p w:rsidR="00A85F2F" w:rsidRPr="007C51D6" w:rsidRDefault="00DA6985" w:rsidP="00A85F2F">
            <w:pPr>
              <w:autoSpaceDE/>
              <w:autoSpaceDN/>
              <w:adjustRightInd/>
              <w:jc w:val="center"/>
              <w:rPr>
                <w:rFonts w:eastAsia="Arial"/>
                <w:sz w:val="20"/>
                <w:szCs w:val="20"/>
              </w:rPr>
            </w:pPr>
            <w:r w:rsidRPr="007C51D6">
              <w:rPr>
                <w:rFonts w:eastAsia="Arial"/>
                <w:sz w:val="20"/>
                <w:szCs w:val="20"/>
              </w:rPr>
              <w:t>30,0</w:t>
            </w:r>
          </w:p>
        </w:tc>
      </w:tr>
      <w:tr w:rsidR="00A85F2F" w:rsidRPr="007C51D6" w:rsidTr="00A85F2F">
        <w:tblPrEx>
          <w:tblBorders>
            <w:bottom w:val="single" w:sz="4" w:space="0" w:color="auto"/>
          </w:tblBorders>
        </w:tblPrEx>
        <w:trPr>
          <w:trHeight w:val="20"/>
        </w:trPr>
        <w:tc>
          <w:tcPr>
            <w:tcW w:w="1696" w:type="dxa"/>
            <w:vMerge/>
          </w:tcPr>
          <w:p w:rsidR="00A85F2F" w:rsidRPr="007C51D6" w:rsidRDefault="00A85F2F" w:rsidP="00A85F2F">
            <w:pPr>
              <w:autoSpaceDE/>
              <w:autoSpaceDN/>
              <w:adjustRightInd/>
              <w:jc w:val="both"/>
              <w:rPr>
                <w:rFonts w:eastAsia="Arial"/>
                <w:sz w:val="20"/>
                <w:szCs w:val="20"/>
              </w:rPr>
            </w:pPr>
          </w:p>
        </w:tc>
        <w:tc>
          <w:tcPr>
            <w:tcW w:w="1304" w:type="dxa"/>
          </w:tcPr>
          <w:p w:rsidR="00A85F2F" w:rsidRPr="007C51D6" w:rsidRDefault="00A85F2F" w:rsidP="00A85F2F">
            <w:pPr>
              <w:autoSpaceDE/>
              <w:autoSpaceDN/>
              <w:adjustRightInd/>
              <w:jc w:val="both"/>
              <w:rPr>
                <w:rFonts w:eastAsia="Arial"/>
                <w:sz w:val="20"/>
                <w:szCs w:val="20"/>
                <w:lang w:val="en-US"/>
              </w:rPr>
            </w:pPr>
            <w:r w:rsidRPr="007C51D6">
              <w:rPr>
                <w:rFonts w:eastAsia="Arial"/>
                <w:sz w:val="20"/>
                <w:szCs w:val="20"/>
                <w:lang w:val="en-US"/>
              </w:rPr>
              <w:t>III</w:t>
            </w:r>
            <w:r w:rsidRPr="007C51D6">
              <w:rPr>
                <w:rFonts w:eastAsia="Arial"/>
                <w:sz w:val="20"/>
                <w:szCs w:val="20"/>
              </w:rPr>
              <w:t xml:space="preserve"> стадия</w:t>
            </w:r>
          </w:p>
        </w:tc>
        <w:tc>
          <w:tcPr>
            <w:tcW w:w="1210" w:type="dxa"/>
          </w:tcPr>
          <w:p w:rsidR="00A85F2F" w:rsidRPr="007C51D6" w:rsidRDefault="00A85F2F" w:rsidP="00A85F2F">
            <w:pPr>
              <w:autoSpaceDE/>
              <w:autoSpaceDN/>
              <w:adjustRightInd/>
              <w:jc w:val="center"/>
              <w:rPr>
                <w:rFonts w:eastAsia="Arial"/>
                <w:sz w:val="20"/>
                <w:szCs w:val="20"/>
              </w:rPr>
            </w:pPr>
            <w:r w:rsidRPr="007C51D6">
              <w:rPr>
                <w:rFonts w:eastAsia="Arial"/>
                <w:sz w:val="20"/>
                <w:szCs w:val="20"/>
              </w:rPr>
              <w:t>6,5</w:t>
            </w:r>
          </w:p>
        </w:tc>
        <w:tc>
          <w:tcPr>
            <w:tcW w:w="1211" w:type="dxa"/>
          </w:tcPr>
          <w:p w:rsidR="00A85F2F" w:rsidRPr="007C51D6" w:rsidRDefault="00A85F2F" w:rsidP="00A85F2F">
            <w:pPr>
              <w:autoSpaceDE/>
              <w:autoSpaceDN/>
              <w:adjustRightInd/>
              <w:jc w:val="center"/>
              <w:rPr>
                <w:rFonts w:eastAsia="Arial"/>
                <w:sz w:val="20"/>
                <w:szCs w:val="20"/>
              </w:rPr>
            </w:pPr>
            <w:r w:rsidRPr="007C51D6">
              <w:rPr>
                <w:rFonts w:eastAsia="Arial"/>
                <w:sz w:val="20"/>
                <w:szCs w:val="20"/>
              </w:rPr>
              <w:t>7,3</w:t>
            </w:r>
          </w:p>
        </w:tc>
        <w:tc>
          <w:tcPr>
            <w:tcW w:w="1213" w:type="dxa"/>
          </w:tcPr>
          <w:p w:rsidR="00A85F2F" w:rsidRPr="007C51D6" w:rsidRDefault="00A85F2F" w:rsidP="00A85F2F">
            <w:pPr>
              <w:autoSpaceDE/>
              <w:autoSpaceDN/>
              <w:adjustRightInd/>
              <w:jc w:val="center"/>
              <w:rPr>
                <w:rFonts w:eastAsia="Arial"/>
                <w:sz w:val="20"/>
                <w:szCs w:val="20"/>
              </w:rPr>
            </w:pPr>
            <w:r w:rsidRPr="007C51D6">
              <w:rPr>
                <w:rFonts w:eastAsia="Arial"/>
                <w:sz w:val="20"/>
                <w:szCs w:val="20"/>
              </w:rPr>
              <w:t>7,1</w:t>
            </w:r>
          </w:p>
        </w:tc>
        <w:tc>
          <w:tcPr>
            <w:tcW w:w="1213" w:type="dxa"/>
          </w:tcPr>
          <w:p w:rsidR="00A85F2F" w:rsidRPr="007C51D6" w:rsidRDefault="00A85F2F" w:rsidP="00A85F2F">
            <w:pPr>
              <w:autoSpaceDE/>
              <w:autoSpaceDN/>
              <w:adjustRightInd/>
              <w:jc w:val="center"/>
              <w:rPr>
                <w:rFonts w:eastAsia="Arial"/>
                <w:sz w:val="20"/>
                <w:szCs w:val="20"/>
              </w:rPr>
            </w:pPr>
            <w:r w:rsidRPr="007C51D6">
              <w:rPr>
                <w:rFonts w:eastAsia="Arial"/>
                <w:sz w:val="20"/>
                <w:szCs w:val="20"/>
              </w:rPr>
              <w:t>3,9</w:t>
            </w:r>
          </w:p>
        </w:tc>
        <w:tc>
          <w:tcPr>
            <w:tcW w:w="1213" w:type="dxa"/>
          </w:tcPr>
          <w:p w:rsidR="00A85F2F" w:rsidRPr="007C51D6" w:rsidRDefault="00A85F2F" w:rsidP="00A85F2F">
            <w:pPr>
              <w:autoSpaceDE/>
              <w:autoSpaceDN/>
              <w:adjustRightInd/>
              <w:jc w:val="center"/>
              <w:rPr>
                <w:rFonts w:eastAsia="Arial"/>
                <w:sz w:val="20"/>
                <w:szCs w:val="20"/>
              </w:rPr>
            </w:pPr>
            <w:r w:rsidRPr="007C51D6">
              <w:rPr>
                <w:rFonts w:eastAsia="Arial"/>
                <w:sz w:val="20"/>
                <w:szCs w:val="20"/>
              </w:rPr>
              <w:t>3,1</w:t>
            </w:r>
          </w:p>
        </w:tc>
        <w:tc>
          <w:tcPr>
            <w:tcW w:w="1213" w:type="dxa"/>
          </w:tcPr>
          <w:p w:rsidR="00A85F2F" w:rsidRPr="007C51D6" w:rsidRDefault="00A85F2F" w:rsidP="00A85F2F">
            <w:pPr>
              <w:autoSpaceDE/>
              <w:autoSpaceDN/>
              <w:adjustRightInd/>
              <w:jc w:val="center"/>
              <w:rPr>
                <w:rFonts w:eastAsia="Arial"/>
                <w:sz w:val="20"/>
                <w:szCs w:val="20"/>
              </w:rPr>
            </w:pPr>
            <w:r w:rsidRPr="007C51D6">
              <w:rPr>
                <w:rFonts w:eastAsia="Arial"/>
                <w:sz w:val="20"/>
                <w:szCs w:val="20"/>
              </w:rPr>
              <w:t>12,9</w:t>
            </w:r>
          </w:p>
        </w:tc>
        <w:tc>
          <w:tcPr>
            <w:tcW w:w="1213" w:type="dxa"/>
          </w:tcPr>
          <w:p w:rsidR="00A85F2F" w:rsidRPr="007C51D6" w:rsidRDefault="00A85F2F" w:rsidP="00A85F2F">
            <w:pPr>
              <w:autoSpaceDE/>
              <w:autoSpaceDN/>
              <w:adjustRightInd/>
              <w:jc w:val="center"/>
              <w:rPr>
                <w:rFonts w:eastAsia="Arial"/>
                <w:sz w:val="20"/>
                <w:szCs w:val="20"/>
              </w:rPr>
            </w:pPr>
            <w:r w:rsidRPr="007C51D6">
              <w:rPr>
                <w:rFonts w:eastAsia="Arial"/>
                <w:sz w:val="20"/>
                <w:szCs w:val="20"/>
              </w:rPr>
              <w:t>16,9</w:t>
            </w:r>
          </w:p>
        </w:tc>
        <w:tc>
          <w:tcPr>
            <w:tcW w:w="1213" w:type="dxa"/>
          </w:tcPr>
          <w:p w:rsidR="00A85F2F" w:rsidRPr="007C51D6" w:rsidRDefault="00A85F2F" w:rsidP="00A85F2F">
            <w:pPr>
              <w:autoSpaceDE/>
              <w:autoSpaceDN/>
              <w:adjustRightInd/>
              <w:jc w:val="center"/>
              <w:rPr>
                <w:rFonts w:eastAsia="Arial"/>
                <w:sz w:val="20"/>
                <w:szCs w:val="20"/>
              </w:rPr>
            </w:pPr>
            <w:r w:rsidRPr="007C51D6">
              <w:rPr>
                <w:rFonts w:eastAsia="Arial"/>
                <w:sz w:val="20"/>
                <w:szCs w:val="20"/>
              </w:rPr>
              <w:t>4,1</w:t>
            </w:r>
          </w:p>
        </w:tc>
        <w:tc>
          <w:tcPr>
            <w:tcW w:w="1213" w:type="dxa"/>
          </w:tcPr>
          <w:p w:rsidR="00A85F2F" w:rsidRPr="007C51D6" w:rsidRDefault="00A85F2F" w:rsidP="00A85F2F">
            <w:pPr>
              <w:autoSpaceDE/>
              <w:autoSpaceDN/>
              <w:adjustRightInd/>
              <w:jc w:val="center"/>
              <w:rPr>
                <w:rFonts w:eastAsia="Arial"/>
                <w:sz w:val="20"/>
                <w:szCs w:val="20"/>
              </w:rPr>
            </w:pPr>
            <w:r w:rsidRPr="007C51D6">
              <w:rPr>
                <w:rFonts w:eastAsia="Arial"/>
                <w:sz w:val="20"/>
                <w:szCs w:val="20"/>
              </w:rPr>
              <w:t>7,1</w:t>
            </w:r>
          </w:p>
        </w:tc>
        <w:tc>
          <w:tcPr>
            <w:tcW w:w="1213" w:type="dxa"/>
          </w:tcPr>
          <w:p w:rsidR="00A85F2F" w:rsidRPr="007C51D6" w:rsidRDefault="00DA6985" w:rsidP="00A85F2F">
            <w:pPr>
              <w:autoSpaceDE/>
              <w:autoSpaceDN/>
              <w:adjustRightInd/>
              <w:jc w:val="center"/>
              <w:rPr>
                <w:rFonts w:eastAsia="Arial"/>
                <w:sz w:val="20"/>
                <w:szCs w:val="20"/>
              </w:rPr>
            </w:pPr>
            <w:r w:rsidRPr="007C51D6">
              <w:rPr>
                <w:rFonts w:eastAsia="Arial"/>
                <w:sz w:val="20"/>
                <w:szCs w:val="20"/>
              </w:rPr>
              <w:t>13,3</w:t>
            </w:r>
          </w:p>
        </w:tc>
      </w:tr>
      <w:tr w:rsidR="00A85F2F" w:rsidRPr="007C51D6" w:rsidTr="00A85F2F">
        <w:tblPrEx>
          <w:tblBorders>
            <w:bottom w:val="single" w:sz="4" w:space="0" w:color="auto"/>
          </w:tblBorders>
        </w:tblPrEx>
        <w:trPr>
          <w:trHeight w:val="20"/>
        </w:trPr>
        <w:tc>
          <w:tcPr>
            <w:tcW w:w="1696" w:type="dxa"/>
            <w:vMerge/>
          </w:tcPr>
          <w:p w:rsidR="00A85F2F" w:rsidRPr="007C51D6" w:rsidRDefault="00A85F2F" w:rsidP="00A85F2F">
            <w:pPr>
              <w:autoSpaceDE/>
              <w:autoSpaceDN/>
              <w:adjustRightInd/>
              <w:jc w:val="both"/>
              <w:rPr>
                <w:rFonts w:eastAsia="Arial"/>
                <w:sz w:val="20"/>
                <w:szCs w:val="20"/>
              </w:rPr>
            </w:pPr>
          </w:p>
        </w:tc>
        <w:tc>
          <w:tcPr>
            <w:tcW w:w="1304" w:type="dxa"/>
          </w:tcPr>
          <w:p w:rsidR="00A85F2F" w:rsidRPr="007C51D6" w:rsidRDefault="00A85F2F" w:rsidP="00A85F2F">
            <w:pPr>
              <w:autoSpaceDE/>
              <w:autoSpaceDN/>
              <w:adjustRightInd/>
              <w:jc w:val="both"/>
              <w:rPr>
                <w:rFonts w:eastAsia="Arial"/>
                <w:sz w:val="20"/>
                <w:szCs w:val="20"/>
                <w:lang w:val="en-US"/>
              </w:rPr>
            </w:pPr>
            <w:r w:rsidRPr="007C51D6">
              <w:rPr>
                <w:rFonts w:eastAsia="Arial"/>
                <w:sz w:val="20"/>
                <w:szCs w:val="20"/>
                <w:lang w:val="en-US"/>
              </w:rPr>
              <w:t>IV</w:t>
            </w:r>
            <w:r w:rsidRPr="007C51D6">
              <w:rPr>
                <w:rFonts w:eastAsia="Arial"/>
                <w:sz w:val="20"/>
                <w:szCs w:val="20"/>
              </w:rPr>
              <w:t xml:space="preserve"> стадия</w:t>
            </w:r>
          </w:p>
        </w:tc>
        <w:tc>
          <w:tcPr>
            <w:tcW w:w="1210" w:type="dxa"/>
          </w:tcPr>
          <w:p w:rsidR="00A85F2F" w:rsidRPr="007C51D6" w:rsidRDefault="00A85F2F" w:rsidP="00A85F2F">
            <w:pPr>
              <w:autoSpaceDE/>
              <w:autoSpaceDN/>
              <w:adjustRightInd/>
              <w:jc w:val="center"/>
              <w:rPr>
                <w:rFonts w:eastAsia="Arial"/>
                <w:sz w:val="20"/>
                <w:szCs w:val="20"/>
              </w:rPr>
            </w:pPr>
            <w:r w:rsidRPr="007C51D6">
              <w:rPr>
                <w:rFonts w:eastAsia="Arial"/>
                <w:sz w:val="20"/>
                <w:szCs w:val="20"/>
              </w:rPr>
              <w:t>5,4</w:t>
            </w:r>
          </w:p>
        </w:tc>
        <w:tc>
          <w:tcPr>
            <w:tcW w:w="1211" w:type="dxa"/>
          </w:tcPr>
          <w:p w:rsidR="00A85F2F" w:rsidRPr="007C51D6" w:rsidRDefault="00A85F2F" w:rsidP="00A85F2F">
            <w:pPr>
              <w:autoSpaceDE/>
              <w:autoSpaceDN/>
              <w:adjustRightInd/>
              <w:jc w:val="center"/>
              <w:rPr>
                <w:rFonts w:eastAsia="Arial"/>
                <w:sz w:val="20"/>
                <w:szCs w:val="20"/>
              </w:rPr>
            </w:pPr>
            <w:r w:rsidRPr="007C51D6">
              <w:rPr>
                <w:rFonts w:eastAsia="Arial"/>
                <w:sz w:val="20"/>
                <w:szCs w:val="20"/>
              </w:rPr>
              <w:t>1,8</w:t>
            </w:r>
          </w:p>
        </w:tc>
        <w:tc>
          <w:tcPr>
            <w:tcW w:w="1213" w:type="dxa"/>
          </w:tcPr>
          <w:p w:rsidR="00A85F2F" w:rsidRPr="007C51D6" w:rsidRDefault="00A85F2F" w:rsidP="00A85F2F">
            <w:pPr>
              <w:autoSpaceDE/>
              <w:autoSpaceDN/>
              <w:adjustRightInd/>
              <w:jc w:val="center"/>
              <w:rPr>
                <w:rFonts w:eastAsia="Arial"/>
                <w:sz w:val="20"/>
                <w:szCs w:val="20"/>
              </w:rPr>
            </w:pPr>
            <w:r w:rsidRPr="007C51D6">
              <w:rPr>
                <w:rFonts w:eastAsia="Arial"/>
                <w:sz w:val="20"/>
                <w:szCs w:val="20"/>
              </w:rPr>
              <w:t>4,8</w:t>
            </w:r>
          </w:p>
        </w:tc>
        <w:tc>
          <w:tcPr>
            <w:tcW w:w="1213" w:type="dxa"/>
          </w:tcPr>
          <w:p w:rsidR="00A85F2F" w:rsidRPr="007C51D6" w:rsidRDefault="00A85F2F" w:rsidP="00A85F2F">
            <w:pPr>
              <w:autoSpaceDE/>
              <w:autoSpaceDN/>
              <w:adjustRightInd/>
              <w:jc w:val="center"/>
              <w:rPr>
                <w:rFonts w:eastAsia="Arial"/>
                <w:sz w:val="20"/>
                <w:szCs w:val="20"/>
              </w:rPr>
            </w:pPr>
            <w:r w:rsidRPr="007C51D6">
              <w:rPr>
                <w:rFonts w:eastAsia="Arial"/>
                <w:sz w:val="20"/>
                <w:szCs w:val="20"/>
              </w:rPr>
              <w:t>2,6</w:t>
            </w:r>
          </w:p>
        </w:tc>
        <w:tc>
          <w:tcPr>
            <w:tcW w:w="1213" w:type="dxa"/>
          </w:tcPr>
          <w:p w:rsidR="00A85F2F" w:rsidRPr="007C51D6" w:rsidRDefault="00A85F2F" w:rsidP="00A85F2F">
            <w:pPr>
              <w:autoSpaceDE/>
              <w:autoSpaceDN/>
              <w:adjustRightInd/>
              <w:jc w:val="center"/>
              <w:rPr>
                <w:rFonts w:eastAsia="Arial"/>
                <w:sz w:val="20"/>
                <w:szCs w:val="20"/>
              </w:rPr>
            </w:pPr>
            <w:r w:rsidRPr="007C51D6">
              <w:rPr>
                <w:rFonts w:eastAsia="Arial"/>
                <w:sz w:val="20"/>
                <w:szCs w:val="20"/>
              </w:rPr>
              <w:t>6,3</w:t>
            </w:r>
          </w:p>
        </w:tc>
        <w:tc>
          <w:tcPr>
            <w:tcW w:w="1213" w:type="dxa"/>
          </w:tcPr>
          <w:p w:rsidR="00A85F2F" w:rsidRPr="007C51D6" w:rsidRDefault="00A85F2F" w:rsidP="00A85F2F">
            <w:pPr>
              <w:autoSpaceDE/>
              <w:autoSpaceDN/>
              <w:adjustRightInd/>
              <w:jc w:val="center"/>
              <w:rPr>
                <w:rFonts w:eastAsia="Arial"/>
                <w:sz w:val="20"/>
                <w:szCs w:val="20"/>
              </w:rPr>
            </w:pPr>
            <w:r w:rsidRPr="007C51D6">
              <w:rPr>
                <w:rFonts w:eastAsia="Arial"/>
                <w:sz w:val="20"/>
                <w:szCs w:val="20"/>
              </w:rPr>
              <w:t>1,2</w:t>
            </w:r>
          </w:p>
        </w:tc>
        <w:tc>
          <w:tcPr>
            <w:tcW w:w="1213" w:type="dxa"/>
          </w:tcPr>
          <w:p w:rsidR="00A85F2F" w:rsidRPr="007C51D6" w:rsidRDefault="00A85F2F" w:rsidP="00A85F2F">
            <w:pPr>
              <w:autoSpaceDE/>
              <w:autoSpaceDN/>
              <w:adjustRightInd/>
              <w:jc w:val="center"/>
              <w:rPr>
                <w:rFonts w:eastAsia="Arial"/>
                <w:sz w:val="20"/>
                <w:szCs w:val="20"/>
              </w:rPr>
            </w:pPr>
            <w:r w:rsidRPr="007C51D6">
              <w:rPr>
                <w:rFonts w:eastAsia="Arial"/>
                <w:sz w:val="20"/>
                <w:szCs w:val="20"/>
              </w:rPr>
              <w:t>4,2</w:t>
            </w:r>
          </w:p>
        </w:tc>
        <w:tc>
          <w:tcPr>
            <w:tcW w:w="1213" w:type="dxa"/>
          </w:tcPr>
          <w:p w:rsidR="00A85F2F" w:rsidRPr="007C51D6" w:rsidRDefault="00A85F2F" w:rsidP="00A85F2F">
            <w:pPr>
              <w:autoSpaceDE/>
              <w:autoSpaceDN/>
              <w:adjustRightInd/>
              <w:jc w:val="center"/>
              <w:rPr>
                <w:rFonts w:eastAsia="Arial"/>
                <w:sz w:val="20"/>
                <w:szCs w:val="20"/>
              </w:rPr>
            </w:pPr>
            <w:r w:rsidRPr="007C51D6">
              <w:rPr>
                <w:rFonts w:eastAsia="Arial"/>
                <w:sz w:val="20"/>
                <w:szCs w:val="20"/>
              </w:rPr>
              <w:t>9,5</w:t>
            </w:r>
          </w:p>
        </w:tc>
        <w:tc>
          <w:tcPr>
            <w:tcW w:w="1213" w:type="dxa"/>
          </w:tcPr>
          <w:p w:rsidR="00A85F2F" w:rsidRPr="007C51D6" w:rsidRDefault="00A85F2F" w:rsidP="00A85F2F">
            <w:pPr>
              <w:autoSpaceDE/>
              <w:autoSpaceDN/>
              <w:adjustRightInd/>
              <w:jc w:val="center"/>
              <w:rPr>
                <w:rFonts w:eastAsia="Arial"/>
                <w:sz w:val="20"/>
                <w:szCs w:val="20"/>
              </w:rPr>
            </w:pPr>
            <w:r w:rsidRPr="007C51D6">
              <w:rPr>
                <w:rFonts w:eastAsia="Arial"/>
                <w:sz w:val="20"/>
                <w:szCs w:val="20"/>
              </w:rPr>
              <w:t>3,6</w:t>
            </w:r>
          </w:p>
        </w:tc>
        <w:tc>
          <w:tcPr>
            <w:tcW w:w="1213" w:type="dxa"/>
          </w:tcPr>
          <w:p w:rsidR="00A85F2F" w:rsidRPr="007C51D6" w:rsidRDefault="00DA6985" w:rsidP="00A85F2F">
            <w:pPr>
              <w:autoSpaceDE/>
              <w:autoSpaceDN/>
              <w:adjustRightInd/>
              <w:jc w:val="center"/>
              <w:rPr>
                <w:rFonts w:eastAsia="Arial"/>
                <w:sz w:val="20"/>
                <w:szCs w:val="20"/>
              </w:rPr>
            </w:pPr>
            <w:r w:rsidRPr="007C51D6">
              <w:rPr>
                <w:rFonts w:eastAsia="Arial"/>
                <w:sz w:val="20"/>
                <w:szCs w:val="20"/>
              </w:rPr>
              <w:t>0</w:t>
            </w:r>
          </w:p>
        </w:tc>
      </w:tr>
      <w:tr w:rsidR="00A85F2F" w:rsidRPr="007C51D6" w:rsidTr="00A85F2F">
        <w:tblPrEx>
          <w:tblBorders>
            <w:bottom w:val="single" w:sz="4" w:space="0" w:color="auto"/>
          </w:tblBorders>
        </w:tblPrEx>
        <w:trPr>
          <w:trHeight w:val="20"/>
        </w:trPr>
        <w:tc>
          <w:tcPr>
            <w:tcW w:w="1696" w:type="dxa"/>
            <w:vMerge/>
          </w:tcPr>
          <w:p w:rsidR="00A85F2F" w:rsidRPr="007C51D6" w:rsidRDefault="00A85F2F" w:rsidP="00A85F2F">
            <w:pPr>
              <w:autoSpaceDE/>
              <w:autoSpaceDN/>
              <w:adjustRightInd/>
              <w:jc w:val="both"/>
              <w:rPr>
                <w:rFonts w:eastAsia="Arial"/>
                <w:sz w:val="20"/>
                <w:szCs w:val="20"/>
              </w:rPr>
            </w:pPr>
          </w:p>
        </w:tc>
        <w:tc>
          <w:tcPr>
            <w:tcW w:w="1304" w:type="dxa"/>
          </w:tcPr>
          <w:p w:rsidR="00A85F2F" w:rsidRPr="007C51D6" w:rsidRDefault="00A85F2F" w:rsidP="00A85F2F">
            <w:pPr>
              <w:autoSpaceDE/>
              <w:autoSpaceDN/>
              <w:adjustRightInd/>
              <w:jc w:val="both"/>
              <w:rPr>
                <w:rFonts w:eastAsia="Arial"/>
                <w:sz w:val="20"/>
                <w:szCs w:val="20"/>
                <w:lang w:val="en-US"/>
              </w:rPr>
            </w:pPr>
            <w:r w:rsidRPr="007C51D6">
              <w:rPr>
                <w:rFonts w:eastAsia="Arial"/>
                <w:sz w:val="20"/>
                <w:szCs w:val="20"/>
              </w:rPr>
              <w:t>без стадии</w:t>
            </w:r>
          </w:p>
        </w:tc>
        <w:tc>
          <w:tcPr>
            <w:tcW w:w="1210" w:type="dxa"/>
          </w:tcPr>
          <w:p w:rsidR="00A85F2F" w:rsidRPr="007C51D6" w:rsidRDefault="00A85F2F" w:rsidP="00A85F2F">
            <w:pPr>
              <w:autoSpaceDE/>
              <w:autoSpaceDN/>
              <w:adjustRightInd/>
              <w:jc w:val="center"/>
              <w:rPr>
                <w:rFonts w:eastAsia="Arial"/>
                <w:sz w:val="20"/>
                <w:szCs w:val="20"/>
              </w:rPr>
            </w:pPr>
            <w:r w:rsidRPr="007C51D6">
              <w:rPr>
                <w:rFonts w:eastAsia="Arial"/>
                <w:sz w:val="20"/>
                <w:szCs w:val="20"/>
              </w:rPr>
              <w:t>0</w:t>
            </w:r>
          </w:p>
        </w:tc>
        <w:tc>
          <w:tcPr>
            <w:tcW w:w="1211" w:type="dxa"/>
          </w:tcPr>
          <w:p w:rsidR="00A85F2F" w:rsidRPr="007C51D6" w:rsidRDefault="00A85F2F" w:rsidP="00A85F2F">
            <w:pPr>
              <w:autoSpaceDE/>
              <w:autoSpaceDN/>
              <w:adjustRightInd/>
              <w:jc w:val="center"/>
              <w:rPr>
                <w:rFonts w:eastAsia="Arial"/>
                <w:sz w:val="20"/>
                <w:szCs w:val="20"/>
              </w:rPr>
            </w:pPr>
            <w:r w:rsidRPr="007C51D6">
              <w:rPr>
                <w:rFonts w:eastAsia="Arial"/>
                <w:sz w:val="20"/>
                <w:szCs w:val="20"/>
              </w:rPr>
              <w:t>0</w:t>
            </w:r>
          </w:p>
        </w:tc>
        <w:tc>
          <w:tcPr>
            <w:tcW w:w="1213" w:type="dxa"/>
          </w:tcPr>
          <w:p w:rsidR="00A85F2F" w:rsidRPr="007C51D6" w:rsidRDefault="00A85F2F" w:rsidP="00A85F2F">
            <w:pPr>
              <w:autoSpaceDE/>
              <w:autoSpaceDN/>
              <w:adjustRightInd/>
              <w:jc w:val="center"/>
              <w:rPr>
                <w:rFonts w:eastAsia="Arial"/>
                <w:sz w:val="20"/>
                <w:szCs w:val="20"/>
              </w:rPr>
            </w:pPr>
            <w:r w:rsidRPr="007C51D6">
              <w:rPr>
                <w:rFonts w:eastAsia="Arial"/>
                <w:sz w:val="20"/>
                <w:szCs w:val="20"/>
              </w:rPr>
              <w:t>0</w:t>
            </w:r>
          </w:p>
        </w:tc>
        <w:tc>
          <w:tcPr>
            <w:tcW w:w="1213" w:type="dxa"/>
          </w:tcPr>
          <w:p w:rsidR="00A85F2F" w:rsidRPr="007C51D6" w:rsidRDefault="00A85F2F" w:rsidP="00A85F2F">
            <w:pPr>
              <w:autoSpaceDE/>
              <w:autoSpaceDN/>
              <w:adjustRightInd/>
              <w:jc w:val="center"/>
              <w:rPr>
                <w:rFonts w:eastAsia="Arial"/>
                <w:sz w:val="20"/>
                <w:szCs w:val="20"/>
              </w:rPr>
            </w:pPr>
            <w:r w:rsidRPr="007C51D6">
              <w:rPr>
                <w:rFonts w:eastAsia="Arial"/>
                <w:sz w:val="20"/>
                <w:szCs w:val="20"/>
              </w:rPr>
              <w:t>0</w:t>
            </w:r>
          </w:p>
        </w:tc>
        <w:tc>
          <w:tcPr>
            <w:tcW w:w="1213" w:type="dxa"/>
          </w:tcPr>
          <w:p w:rsidR="00A85F2F" w:rsidRPr="007C51D6" w:rsidRDefault="00A85F2F" w:rsidP="00A85F2F">
            <w:pPr>
              <w:autoSpaceDE/>
              <w:autoSpaceDN/>
              <w:adjustRightInd/>
              <w:jc w:val="center"/>
              <w:rPr>
                <w:rFonts w:eastAsia="Arial"/>
                <w:sz w:val="20"/>
                <w:szCs w:val="20"/>
              </w:rPr>
            </w:pPr>
            <w:r w:rsidRPr="007C51D6">
              <w:rPr>
                <w:rFonts w:eastAsia="Arial"/>
                <w:sz w:val="20"/>
                <w:szCs w:val="20"/>
              </w:rPr>
              <w:t>0</w:t>
            </w:r>
          </w:p>
        </w:tc>
        <w:tc>
          <w:tcPr>
            <w:tcW w:w="1213" w:type="dxa"/>
          </w:tcPr>
          <w:p w:rsidR="00A85F2F" w:rsidRPr="007C51D6" w:rsidRDefault="00A85F2F" w:rsidP="00A85F2F">
            <w:pPr>
              <w:autoSpaceDE/>
              <w:autoSpaceDN/>
              <w:adjustRightInd/>
              <w:jc w:val="center"/>
              <w:rPr>
                <w:rFonts w:eastAsia="Arial"/>
                <w:sz w:val="20"/>
                <w:szCs w:val="20"/>
              </w:rPr>
            </w:pPr>
            <w:r w:rsidRPr="007C51D6">
              <w:rPr>
                <w:rFonts w:eastAsia="Arial"/>
                <w:sz w:val="20"/>
                <w:szCs w:val="20"/>
              </w:rPr>
              <w:t>0</w:t>
            </w:r>
          </w:p>
        </w:tc>
        <w:tc>
          <w:tcPr>
            <w:tcW w:w="1213" w:type="dxa"/>
          </w:tcPr>
          <w:p w:rsidR="00A85F2F" w:rsidRPr="007C51D6" w:rsidRDefault="00A85F2F" w:rsidP="00A85F2F">
            <w:pPr>
              <w:autoSpaceDE/>
              <w:autoSpaceDN/>
              <w:adjustRightInd/>
              <w:jc w:val="center"/>
              <w:rPr>
                <w:rFonts w:eastAsia="Arial"/>
                <w:sz w:val="20"/>
                <w:szCs w:val="20"/>
              </w:rPr>
            </w:pPr>
            <w:r w:rsidRPr="007C51D6">
              <w:rPr>
                <w:rFonts w:eastAsia="Arial"/>
                <w:sz w:val="20"/>
                <w:szCs w:val="20"/>
              </w:rPr>
              <w:t>0</w:t>
            </w:r>
          </w:p>
        </w:tc>
        <w:tc>
          <w:tcPr>
            <w:tcW w:w="1213" w:type="dxa"/>
          </w:tcPr>
          <w:p w:rsidR="00A85F2F" w:rsidRPr="007C51D6" w:rsidRDefault="00A85F2F" w:rsidP="00A85F2F">
            <w:pPr>
              <w:autoSpaceDE/>
              <w:autoSpaceDN/>
              <w:adjustRightInd/>
              <w:jc w:val="center"/>
              <w:rPr>
                <w:rFonts w:eastAsia="Arial"/>
                <w:sz w:val="20"/>
                <w:szCs w:val="20"/>
              </w:rPr>
            </w:pPr>
            <w:r w:rsidRPr="007C51D6">
              <w:rPr>
                <w:rFonts w:eastAsia="Arial"/>
                <w:sz w:val="20"/>
                <w:szCs w:val="20"/>
              </w:rPr>
              <w:t>0</w:t>
            </w:r>
          </w:p>
        </w:tc>
        <w:tc>
          <w:tcPr>
            <w:tcW w:w="1213" w:type="dxa"/>
          </w:tcPr>
          <w:p w:rsidR="00A85F2F" w:rsidRPr="007C51D6" w:rsidRDefault="00A85F2F" w:rsidP="00A85F2F">
            <w:pPr>
              <w:autoSpaceDE/>
              <w:autoSpaceDN/>
              <w:adjustRightInd/>
              <w:jc w:val="center"/>
              <w:rPr>
                <w:rFonts w:eastAsia="Arial"/>
                <w:sz w:val="20"/>
                <w:szCs w:val="20"/>
              </w:rPr>
            </w:pPr>
            <w:r w:rsidRPr="007C51D6">
              <w:rPr>
                <w:rFonts w:eastAsia="Arial"/>
                <w:sz w:val="20"/>
                <w:szCs w:val="20"/>
              </w:rPr>
              <w:t>0</w:t>
            </w:r>
          </w:p>
        </w:tc>
        <w:tc>
          <w:tcPr>
            <w:tcW w:w="1213" w:type="dxa"/>
          </w:tcPr>
          <w:p w:rsidR="00A85F2F" w:rsidRPr="007C51D6" w:rsidRDefault="00DA6985" w:rsidP="00A85F2F">
            <w:pPr>
              <w:autoSpaceDE/>
              <w:autoSpaceDN/>
              <w:adjustRightInd/>
              <w:jc w:val="center"/>
              <w:rPr>
                <w:rFonts w:eastAsia="Arial"/>
                <w:sz w:val="20"/>
                <w:szCs w:val="20"/>
              </w:rPr>
            </w:pPr>
            <w:r w:rsidRPr="007C51D6">
              <w:rPr>
                <w:rFonts w:eastAsia="Arial"/>
                <w:sz w:val="20"/>
                <w:szCs w:val="20"/>
              </w:rPr>
              <w:t>0</w:t>
            </w:r>
          </w:p>
        </w:tc>
      </w:tr>
      <w:tr w:rsidR="00417BDB" w:rsidRPr="007C51D6" w:rsidTr="00A85F2F">
        <w:tblPrEx>
          <w:tblBorders>
            <w:bottom w:val="single" w:sz="4" w:space="0" w:color="auto"/>
          </w:tblBorders>
        </w:tblPrEx>
        <w:trPr>
          <w:trHeight w:val="20"/>
        </w:trPr>
        <w:tc>
          <w:tcPr>
            <w:tcW w:w="1696" w:type="dxa"/>
            <w:vMerge w:val="restart"/>
          </w:tcPr>
          <w:p w:rsidR="00417BDB" w:rsidRPr="007C51D6" w:rsidRDefault="00417BDB" w:rsidP="0059597F">
            <w:pPr>
              <w:jc w:val="both"/>
              <w:rPr>
                <w:rFonts w:eastAsia="Arial"/>
                <w:sz w:val="20"/>
                <w:szCs w:val="20"/>
              </w:rPr>
            </w:pPr>
            <w:r w:rsidRPr="007C51D6">
              <w:rPr>
                <w:rFonts w:eastAsia="Arial"/>
                <w:sz w:val="20"/>
                <w:szCs w:val="20"/>
              </w:rPr>
              <w:t>ЗНО основания языка (С01)</w:t>
            </w:r>
          </w:p>
        </w:tc>
        <w:tc>
          <w:tcPr>
            <w:tcW w:w="1304" w:type="dxa"/>
          </w:tcPr>
          <w:p w:rsidR="00417BDB" w:rsidRPr="007C51D6" w:rsidRDefault="00417BDB" w:rsidP="0059597F">
            <w:pPr>
              <w:jc w:val="both"/>
              <w:rPr>
                <w:rFonts w:eastAsia="Arial"/>
                <w:sz w:val="20"/>
                <w:szCs w:val="20"/>
                <w:lang w:val="en-US"/>
              </w:rPr>
            </w:pPr>
            <w:r w:rsidRPr="007C51D6">
              <w:rPr>
                <w:rFonts w:eastAsia="Arial"/>
                <w:sz w:val="20"/>
                <w:szCs w:val="20"/>
                <w:lang w:val="en-US"/>
              </w:rPr>
              <w:t>I</w:t>
            </w:r>
            <w:r w:rsidRPr="007C51D6">
              <w:rPr>
                <w:rFonts w:eastAsia="Arial"/>
                <w:sz w:val="20"/>
                <w:szCs w:val="20"/>
              </w:rPr>
              <w:t xml:space="preserve"> стадия</w:t>
            </w:r>
          </w:p>
        </w:tc>
        <w:tc>
          <w:tcPr>
            <w:tcW w:w="1210" w:type="dxa"/>
          </w:tcPr>
          <w:p w:rsidR="00417BDB" w:rsidRPr="007C51D6" w:rsidRDefault="00417BDB" w:rsidP="0059597F">
            <w:pPr>
              <w:autoSpaceDE/>
              <w:autoSpaceDN/>
              <w:adjustRightInd/>
              <w:jc w:val="center"/>
              <w:rPr>
                <w:rFonts w:eastAsia="Arial"/>
                <w:sz w:val="20"/>
                <w:szCs w:val="20"/>
              </w:rPr>
            </w:pPr>
            <w:r w:rsidRPr="007C51D6">
              <w:rPr>
                <w:rFonts w:eastAsia="Arial"/>
                <w:sz w:val="20"/>
                <w:szCs w:val="20"/>
              </w:rPr>
              <w:t>0</w:t>
            </w:r>
          </w:p>
        </w:tc>
        <w:tc>
          <w:tcPr>
            <w:tcW w:w="1211" w:type="dxa"/>
          </w:tcPr>
          <w:p w:rsidR="00417BDB" w:rsidRPr="007C51D6" w:rsidRDefault="00417BDB" w:rsidP="0059597F">
            <w:pPr>
              <w:autoSpaceDE/>
              <w:autoSpaceDN/>
              <w:adjustRightInd/>
              <w:jc w:val="center"/>
              <w:rPr>
                <w:rFonts w:eastAsia="Arial"/>
                <w:sz w:val="20"/>
                <w:szCs w:val="20"/>
              </w:rPr>
            </w:pPr>
            <w:r w:rsidRPr="007C51D6">
              <w:rPr>
                <w:rFonts w:eastAsia="Arial"/>
                <w:sz w:val="20"/>
                <w:szCs w:val="20"/>
              </w:rPr>
              <w:t>0</w:t>
            </w:r>
          </w:p>
        </w:tc>
        <w:tc>
          <w:tcPr>
            <w:tcW w:w="1213" w:type="dxa"/>
          </w:tcPr>
          <w:p w:rsidR="00417BDB" w:rsidRPr="007C51D6" w:rsidRDefault="00417BDB" w:rsidP="0059597F">
            <w:pPr>
              <w:autoSpaceDE/>
              <w:autoSpaceDN/>
              <w:adjustRightInd/>
              <w:jc w:val="center"/>
              <w:rPr>
                <w:rFonts w:eastAsia="Arial"/>
                <w:sz w:val="20"/>
                <w:szCs w:val="20"/>
              </w:rPr>
            </w:pPr>
            <w:r w:rsidRPr="007C51D6">
              <w:rPr>
                <w:rFonts w:eastAsia="Arial"/>
                <w:sz w:val="20"/>
                <w:szCs w:val="20"/>
              </w:rPr>
              <w:t>0</w:t>
            </w:r>
          </w:p>
        </w:tc>
        <w:tc>
          <w:tcPr>
            <w:tcW w:w="1213" w:type="dxa"/>
          </w:tcPr>
          <w:p w:rsidR="00417BDB" w:rsidRPr="007C51D6" w:rsidRDefault="00417BDB" w:rsidP="0059597F">
            <w:pPr>
              <w:autoSpaceDE/>
              <w:autoSpaceDN/>
              <w:adjustRightInd/>
              <w:jc w:val="center"/>
              <w:rPr>
                <w:rFonts w:eastAsia="Arial"/>
                <w:sz w:val="20"/>
                <w:szCs w:val="20"/>
              </w:rPr>
            </w:pPr>
            <w:r w:rsidRPr="007C51D6">
              <w:rPr>
                <w:rFonts w:eastAsia="Arial"/>
                <w:sz w:val="20"/>
                <w:szCs w:val="20"/>
              </w:rPr>
              <w:t>0</w:t>
            </w:r>
          </w:p>
        </w:tc>
        <w:tc>
          <w:tcPr>
            <w:tcW w:w="1213" w:type="dxa"/>
          </w:tcPr>
          <w:p w:rsidR="00417BDB" w:rsidRPr="007C51D6" w:rsidRDefault="00417BDB" w:rsidP="0059597F">
            <w:pPr>
              <w:autoSpaceDE/>
              <w:autoSpaceDN/>
              <w:adjustRightInd/>
              <w:jc w:val="center"/>
              <w:rPr>
                <w:rFonts w:eastAsia="Arial"/>
                <w:sz w:val="20"/>
                <w:szCs w:val="20"/>
              </w:rPr>
            </w:pPr>
            <w:r w:rsidRPr="007C51D6">
              <w:rPr>
                <w:rFonts w:eastAsia="Arial"/>
                <w:sz w:val="20"/>
                <w:szCs w:val="20"/>
              </w:rPr>
              <w:t>100</w:t>
            </w:r>
          </w:p>
        </w:tc>
        <w:tc>
          <w:tcPr>
            <w:tcW w:w="1213" w:type="dxa"/>
          </w:tcPr>
          <w:p w:rsidR="00417BDB" w:rsidRPr="007C51D6" w:rsidRDefault="00417BDB" w:rsidP="0059597F">
            <w:pPr>
              <w:autoSpaceDE/>
              <w:autoSpaceDN/>
              <w:adjustRightInd/>
              <w:jc w:val="center"/>
              <w:rPr>
                <w:rFonts w:eastAsia="Arial"/>
                <w:sz w:val="20"/>
                <w:szCs w:val="20"/>
              </w:rPr>
            </w:pPr>
            <w:r w:rsidRPr="007C51D6">
              <w:rPr>
                <w:rFonts w:eastAsia="Arial"/>
                <w:sz w:val="20"/>
                <w:szCs w:val="20"/>
              </w:rPr>
              <w:t>25</w:t>
            </w:r>
          </w:p>
        </w:tc>
        <w:tc>
          <w:tcPr>
            <w:tcW w:w="1213" w:type="dxa"/>
          </w:tcPr>
          <w:p w:rsidR="00417BDB" w:rsidRPr="007C51D6" w:rsidRDefault="00417BDB" w:rsidP="0059597F">
            <w:pPr>
              <w:autoSpaceDE/>
              <w:autoSpaceDN/>
              <w:adjustRightInd/>
              <w:jc w:val="center"/>
              <w:rPr>
                <w:rFonts w:eastAsia="Arial"/>
                <w:sz w:val="20"/>
                <w:szCs w:val="20"/>
              </w:rPr>
            </w:pPr>
            <w:r w:rsidRPr="007C51D6">
              <w:rPr>
                <w:rFonts w:eastAsia="Arial"/>
                <w:sz w:val="20"/>
                <w:szCs w:val="20"/>
              </w:rPr>
              <w:t>0</w:t>
            </w:r>
          </w:p>
        </w:tc>
        <w:tc>
          <w:tcPr>
            <w:tcW w:w="1213" w:type="dxa"/>
          </w:tcPr>
          <w:p w:rsidR="00417BDB" w:rsidRPr="007C51D6" w:rsidRDefault="00417BDB" w:rsidP="0059597F">
            <w:pPr>
              <w:autoSpaceDE/>
              <w:autoSpaceDN/>
              <w:adjustRightInd/>
              <w:jc w:val="center"/>
              <w:rPr>
                <w:rFonts w:eastAsia="Arial"/>
                <w:sz w:val="20"/>
                <w:szCs w:val="20"/>
              </w:rPr>
            </w:pPr>
            <w:r w:rsidRPr="007C51D6">
              <w:rPr>
                <w:rFonts w:eastAsia="Arial"/>
                <w:sz w:val="20"/>
                <w:szCs w:val="20"/>
              </w:rPr>
              <w:t>0</w:t>
            </w:r>
          </w:p>
        </w:tc>
        <w:tc>
          <w:tcPr>
            <w:tcW w:w="1213" w:type="dxa"/>
          </w:tcPr>
          <w:p w:rsidR="00417BDB" w:rsidRPr="007C51D6" w:rsidRDefault="00417BDB" w:rsidP="0059597F">
            <w:pPr>
              <w:autoSpaceDE/>
              <w:autoSpaceDN/>
              <w:adjustRightInd/>
              <w:jc w:val="center"/>
              <w:rPr>
                <w:rFonts w:eastAsia="Arial"/>
                <w:sz w:val="20"/>
                <w:szCs w:val="20"/>
              </w:rPr>
            </w:pPr>
            <w:r w:rsidRPr="007C51D6">
              <w:rPr>
                <w:rFonts w:eastAsia="Arial"/>
                <w:sz w:val="20"/>
                <w:szCs w:val="20"/>
              </w:rPr>
              <w:t>0</w:t>
            </w:r>
          </w:p>
        </w:tc>
        <w:tc>
          <w:tcPr>
            <w:tcW w:w="1213" w:type="dxa"/>
          </w:tcPr>
          <w:p w:rsidR="00417BDB" w:rsidRPr="007C51D6" w:rsidRDefault="00417BDB" w:rsidP="0059597F">
            <w:pPr>
              <w:autoSpaceDE/>
              <w:autoSpaceDN/>
              <w:adjustRightInd/>
              <w:jc w:val="center"/>
              <w:rPr>
                <w:rFonts w:eastAsia="Arial"/>
                <w:sz w:val="20"/>
                <w:szCs w:val="20"/>
              </w:rPr>
            </w:pPr>
            <w:r w:rsidRPr="007C51D6">
              <w:rPr>
                <w:rFonts w:eastAsia="Arial"/>
                <w:sz w:val="20"/>
                <w:szCs w:val="20"/>
              </w:rPr>
              <w:t>0</w:t>
            </w:r>
          </w:p>
        </w:tc>
      </w:tr>
      <w:tr w:rsidR="00417BDB" w:rsidRPr="007C51D6" w:rsidTr="00A85F2F">
        <w:tblPrEx>
          <w:tblBorders>
            <w:bottom w:val="single" w:sz="4" w:space="0" w:color="auto"/>
          </w:tblBorders>
        </w:tblPrEx>
        <w:trPr>
          <w:trHeight w:val="20"/>
        </w:trPr>
        <w:tc>
          <w:tcPr>
            <w:tcW w:w="1696" w:type="dxa"/>
            <w:vMerge/>
          </w:tcPr>
          <w:p w:rsidR="00417BDB" w:rsidRPr="007C51D6" w:rsidRDefault="00417BDB" w:rsidP="0059597F">
            <w:pPr>
              <w:jc w:val="both"/>
              <w:rPr>
                <w:rFonts w:eastAsia="Arial"/>
                <w:sz w:val="20"/>
                <w:szCs w:val="20"/>
              </w:rPr>
            </w:pPr>
          </w:p>
        </w:tc>
        <w:tc>
          <w:tcPr>
            <w:tcW w:w="1304" w:type="dxa"/>
          </w:tcPr>
          <w:p w:rsidR="00417BDB" w:rsidRPr="007C51D6" w:rsidRDefault="00417BDB" w:rsidP="0059597F">
            <w:pPr>
              <w:jc w:val="both"/>
              <w:rPr>
                <w:lang w:val="en-US"/>
              </w:rPr>
            </w:pPr>
            <w:r w:rsidRPr="007C51D6">
              <w:rPr>
                <w:rFonts w:eastAsia="Arial"/>
                <w:sz w:val="20"/>
                <w:szCs w:val="20"/>
                <w:lang w:val="en-US"/>
              </w:rPr>
              <w:t>II</w:t>
            </w:r>
            <w:r w:rsidRPr="007C51D6">
              <w:rPr>
                <w:rFonts w:eastAsia="Arial"/>
                <w:sz w:val="20"/>
                <w:szCs w:val="20"/>
              </w:rPr>
              <w:t xml:space="preserve"> стадия</w:t>
            </w:r>
            <w:r w:rsidRPr="007C51D6">
              <w:rPr>
                <w:rFonts w:eastAsia="Arial"/>
                <w:sz w:val="20"/>
                <w:szCs w:val="20"/>
                <w:lang w:val="en-US"/>
              </w:rPr>
              <w:t xml:space="preserve"> </w:t>
            </w:r>
          </w:p>
        </w:tc>
        <w:tc>
          <w:tcPr>
            <w:tcW w:w="1210" w:type="dxa"/>
          </w:tcPr>
          <w:p w:rsidR="00417BDB" w:rsidRPr="007C51D6" w:rsidRDefault="00417BDB" w:rsidP="0059597F">
            <w:pPr>
              <w:autoSpaceDE/>
              <w:autoSpaceDN/>
              <w:adjustRightInd/>
              <w:jc w:val="center"/>
              <w:rPr>
                <w:rFonts w:eastAsia="Arial"/>
                <w:sz w:val="20"/>
                <w:szCs w:val="20"/>
              </w:rPr>
            </w:pPr>
            <w:r w:rsidRPr="007C51D6">
              <w:rPr>
                <w:rFonts w:eastAsia="Arial"/>
                <w:sz w:val="20"/>
                <w:szCs w:val="20"/>
              </w:rPr>
              <w:t>0</w:t>
            </w:r>
          </w:p>
        </w:tc>
        <w:tc>
          <w:tcPr>
            <w:tcW w:w="1211" w:type="dxa"/>
          </w:tcPr>
          <w:p w:rsidR="00417BDB" w:rsidRPr="007C51D6" w:rsidRDefault="00417BDB" w:rsidP="0059597F">
            <w:pPr>
              <w:autoSpaceDE/>
              <w:autoSpaceDN/>
              <w:adjustRightInd/>
              <w:jc w:val="center"/>
              <w:rPr>
                <w:rFonts w:eastAsia="Arial"/>
                <w:sz w:val="20"/>
                <w:szCs w:val="20"/>
              </w:rPr>
            </w:pPr>
            <w:r w:rsidRPr="007C51D6">
              <w:rPr>
                <w:rFonts w:eastAsia="Arial"/>
                <w:sz w:val="20"/>
                <w:szCs w:val="20"/>
              </w:rPr>
              <w:t>0</w:t>
            </w:r>
          </w:p>
        </w:tc>
        <w:tc>
          <w:tcPr>
            <w:tcW w:w="1213" w:type="dxa"/>
          </w:tcPr>
          <w:p w:rsidR="00417BDB" w:rsidRPr="007C51D6" w:rsidRDefault="00417BDB" w:rsidP="0059597F">
            <w:pPr>
              <w:autoSpaceDE/>
              <w:autoSpaceDN/>
              <w:adjustRightInd/>
              <w:jc w:val="center"/>
              <w:rPr>
                <w:rFonts w:eastAsia="Arial"/>
                <w:sz w:val="20"/>
                <w:szCs w:val="20"/>
              </w:rPr>
            </w:pPr>
            <w:r w:rsidRPr="007C51D6">
              <w:rPr>
                <w:rFonts w:eastAsia="Arial"/>
                <w:sz w:val="20"/>
                <w:szCs w:val="20"/>
              </w:rPr>
              <w:t>0</w:t>
            </w:r>
          </w:p>
        </w:tc>
        <w:tc>
          <w:tcPr>
            <w:tcW w:w="1213" w:type="dxa"/>
          </w:tcPr>
          <w:p w:rsidR="00417BDB" w:rsidRPr="007C51D6" w:rsidRDefault="00417BDB" w:rsidP="0059597F">
            <w:pPr>
              <w:autoSpaceDE/>
              <w:autoSpaceDN/>
              <w:adjustRightInd/>
              <w:jc w:val="center"/>
              <w:rPr>
                <w:rFonts w:eastAsia="Arial"/>
                <w:sz w:val="20"/>
                <w:szCs w:val="20"/>
              </w:rPr>
            </w:pPr>
            <w:r w:rsidRPr="007C51D6">
              <w:rPr>
                <w:rFonts w:eastAsia="Arial"/>
                <w:sz w:val="20"/>
                <w:szCs w:val="20"/>
              </w:rPr>
              <w:t>66,3</w:t>
            </w:r>
          </w:p>
        </w:tc>
        <w:tc>
          <w:tcPr>
            <w:tcW w:w="1213" w:type="dxa"/>
          </w:tcPr>
          <w:p w:rsidR="00417BDB" w:rsidRPr="007C51D6" w:rsidRDefault="00417BDB" w:rsidP="0059597F">
            <w:pPr>
              <w:autoSpaceDE/>
              <w:autoSpaceDN/>
              <w:adjustRightInd/>
              <w:jc w:val="center"/>
              <w:rPr>
                <w:rFonts w:eastAsia="Arial"/>
                <w:sz w:val="20"/>
                <w:szCs w:val="20"/>
              </w:rPr>
            </w:pPr>
            <w:r w:rsidRPr="007C51D6">
              <w:rPr>
                <w:rFonts w:eastAsia="Arial"/>
                <w:sz w:val="20"/>
                <w:szCs w:val="20"/>
              </w:rPr>
              <w:t>0</w:t>
            </w:r>
          </w:p>
        </w:tc>
        <w:tc>
          <w:tcPr>
            <w:tcW w:w="1213" w:type="dxa"/>
          </w:tcPr>
          <w:p w:rsidR="00417BDB" w:rsidRPr="007C51D6" w:rsidRDefault="00417BDB" w:rsidP="0059597F">
            <w:pPr>
              <w:autoSpaceDE/>
              <w:autoSpaceDN/>
              <w:adjustRightInd/>
              <w:jc w:val="center"/>
              <w:rPr>
                <w:rFonts w:eastAsia="Arial"/>
                <w:sz w:val="20"/>
                <w:szCs w:val="20"/>
              </w:rPr>
            </w:pPr>
            <w:r w:rsidRPr="007C51D6">
              <w:rPr>
                <w:rFonts w:eastAsia="Arial"/>
                <w:sz w:val="20"/>
                <w:szCs w:val="20"/>
              </w:rPr>
              <w:t>25</w:t>
            </w:r>
          </w:p>
        </w:tc>
        <w:tc>
          <w:tcPr>
            <w:tcW w:w="1213" w:type="dxa"/>
          </w:tcPr>
          <w:p w:rsidR="00417BDB" w:rsidRPr="007C51D6" w:rsidRDefault="00417BDB" w:rsidP="0059597F">
            <w:pPr>
              <w:autoSpaceDE/>
              <w:autoSpaceDN/>
              <w:adjustRightInd/>
              <w:jc w:val="center"/>
              <w:rPr>
                <w:rFonts w:eastAsia="Arial"/>
                <w:sz w:val="20"/>
                <w:szCs w:val="20"/>
              </w:rPr>
            </w:pPr>
            <w:r w:rsidRPr="007C51D6">
              <w:rPr>
                <w:rFonts w:eastAsia="Arial"/>
                <w:sz w:val="20"/>
                <w:szCs w:val="20"/>
              </w:rPr>
              <w:t>0</w:t>
            </w:r>
          </w:p>
        </w:tc>
        <w:tc>
          <w:tcPr>
            <w:tcW w:w="1213" w:type="dxa"/>
          </w:tcPr>
          <w:p w:rsidR="00417BDB" w:rsidRPr="007C51D6" w:rsidRDefault="00417BDB" w:rsidP="0059597F">
            <w:pPr>
              <w:autoSpaceDE/>
              <w:autoSpaceDN/>
              <w:adjustRightInd/>
              <w:jc w:val="center"/>
              <w:rPr>
                <w:rFonts w:eastAsia="Arial"/>
                <w:sz w:val="20"/>
                <w:szCs w:val="20"/>
              </w:rPr>
            </w:pPr>
            <w:r w:rsidRPr="007C51D6">
              <w:rPr>
                <w:rFonts w:eastAsia="Arial"/>
                <w:sz w:val="20"/>
                <w:szCs w:val="20"/>
              </w:rPr>
              <w:t>100</w:t>
            </w:r>
          </w:p>
        </w:tc>
        <w:tc>
          <w:tcPr>
            <w:tcW w:w="1213" w:type="dxa"/>
          </w:tcPr>
          <w:p w:rsidR="00417BDB" w:rsidRPr="007C51D6" w:rsidRDefault="00417BDB" w:rsidP="0059597F">
            <w:pPr>
              <w:autoSpaceDE/>
              <w:autoSpaceDN/>
              <w:adjustRightInd/>
              <w:jc w:val="center"/>
              <w:rPr>
                <w:rFonts w:eastAsia="Arial"/>
                <w:sz w:val="20"/>
                <w:szCs w:val="20"/>
              </w:rPr>
            </w:pPr>
            <w:r w:rsidRPr="007C51D6">
              <w:rPr>
                <w:rFonts w:eastAsia="Arial"/>
                <w:sz w:val="20"/>
                <w:szCs w:val="20"/>
              </w:rPr>
              <w:t>0</w:t>
            </w:r>
          </w:p>
        </w:tc>
        <w:tc>
          <w:tcPr>
            <w:tcW w:w="1213" w:type="dxa"/>
          </w:tcPr>
          <w:p w:rsidR="00417BDB" w:rsidRPr="007C51D6" w:rsidRDefault="00417BDB" w:rsidP="0059597F">
            <w:pPr>
              <w:autoSpaceDE/>
              <w:autoSpaceDN/>
              <w:adjustRightInd/>
              <w:jc w:val="center"/>
              <w:rPr>
                <w:rFonts w:eastAsia="Arial"/>
                <w:sz w:val="20"/>
                <w:szCs w:val="20"/>
              </w:rPr>
            </w:pPr>
            <w:r w:rsidRPr="007C51D6">
              <w:rPr>
                <w:rFonts w:eastAsia="Arial"/>
                <w:sz w:val="20"/>
                <w:szCs w:val="20"/>
              </w:rPr>
              <w:t>0</w:t>
            </w:r>
          </w:p>
        </w:tc>
      </w:tr>
      <w:tr w:rsidR="00417BDB" w:rsidRPr="007C51D6" w:rsidTr="00A85F2F">
        <w:tblPrEx>
          <w:tblBorders>
            <w:bottom w:val="single" w:sz="4" w:space="0" w:color="auto"/>
          </w:tblBorders>
        </w:tblPrEx>
        <w:trPr>
          <w:trHeight w:val="20"/>
        </w:trPr>
        <w:tc>
          <w:tcPr>
            <w:tcW w:w="1696" w:type="dxa"/>
            <w:vMerge/>
          </w:tcPr>
          <w:p w:rsidR="00417BDB" w:rsidRPr="007C51D6" w:rsidRDefault="00417BDB" w:rsidP="00D918C5">
            <w:pPr>
              <w:jc w:val="both"/>
              <w:rPr>
                <w:rFonts w:eastAsia="Arial"/>
                <w:sz w:val="20"/>
                <w:szCs w:val="20"/>
              </w:rPr>
            </w:pPr>
          </w:p>
        </w:tc>
        <w:tc>
          <w:tcPr>
            <w:tcW w:w="1304" w:type="dxa"/>
          </w:tcPr>
          <w:p w:rsidR="00417BDB" w:rsidRPr="007C51D6" w:rsidRDefault="00417BDB" w:rsidP="00D918C5">
            <w:pPr>
              <w:jc w:val="both"/>
              <w:rPr>
                <w:rFonts w:eastAsia="Arial"/>
                <w:sz w:val="20"/>
                <w:szCs w:val="20"/>
                <w:lang w:val="en-US"/>
              </w:rPr>
            </w:pPr>
            <w:r w:rsidRPr="007C51D6">
              <w:rPr>
                <w:rFonts w:eastAsia="Arial"/>
                <w:sz w:val="20"/>
                <w:szCs w:val="20"/>
                <w:lang w:val="en-US"/>
              </w:rPr>
              <w:t>III</w:t>
            </w:r>
            <w:r w:rsidRPr="007C51D6">
              <w:rPr>
                <w:rFonts w:eastAsia="Arial"/>
                <w:sz w:val="20"/>
                <w:szCs w:val="20"/>
              </w:rPr>
              <w:t xml:space="preserve"> стадия</w:t>
            </w:r>
          </w:p>
        </w:tc>
        <w:tc>
          <w:tcPr>
            <w:tcW w:w="1210" w:type="dxa"/>
          </w:tcPr>
          <w:p w:rsidR="00417BDB" w:rsidRPr="007C51D6" w:rsidRDefault="00417BDB" w:rsidP="00D918C5">
            <w:pPr>
              <w:autoSpaceDE/>
              <w:autoSpaceDN/>
              <w:adjustRightInd/>
              <w:jc w:val="center"/>
              <w:rPr>
                <w:rFonts w:eastAsia="Arial"/>
                <w:sz w:val="20"/>
                <w:szCs w:val="20"/>
              </w:rPr>
            </w:pPr>
            <w:r w:rsidRPr="007C51D6">
              <w:rPr>
                <w:rFonts w:eastAsia="Arial"/>
                <w:sz w:val="20"/>
                <w:szCs w:val="20"/>
              </w:rPr>
              <w:t>0</w:t>
            </w:r>
          </w:p>
        </w:tc>
        <w:tc>
          <w:tcPr>
            <w:tcW w:w="1211" w:type="dxa"/>
          </w:tcPr>
          <w:p w:rsidR="00417BDB" w:rsidRPr="007C51D6" w:rsidRDefault="00417BDB" w:rsidP="00D918C5">
            <w:pPr>
              <w:autoSpaceDE/>
              <w:autoSpaceDN/>
              <w:adjustRightInd/>
              <w:jc w:val="center"/>
              <w:rPr>
                <w:rFonts w:eastAsia="Arial"/>
                <w:sz w:val="20"/>
                <w:szCs w:val="20"/>
              </w:rPr>
            </w:pPr>
            <w:r w:rsidRPr="007C51D6">
              <w:rPr>
                <w:rFonts w:eastAsia="Arial"/>
                <w:sz w:val="20"/>
                <w:szCs w:val="20"/>
              </w:rPr>
              <w:t>0</w:t>
            </w:r>
          </w:p>
        </w:tc>
        <w:tc>
          <w:tcPr>
            <w:tcW w:w="1213" w:type="dxa"/>
          </w:tcPr>
          <w:p w:rsidR="00417BDB" w:rsidRPr="007C51D6" w:rsidRDefault="00417BDB" w:rsidP="00D918C5">
            <w:pPr>
              <w:autoSpaceDE/>
              <w:autoSpaceDN/>
              <w:adjustRightInd/>
              <w:jc w:val="center"/>
              <w:rPr>
                <w:rFonts w:eastAsia="Arial"/>
                <w:sz w:val="20"/>
                <w:szCs w:val="20"/>
              </w:rPr>
            </w:pPr>
            <w:r w:rsidRPr="007C51D6">
              <w:rPr>
                <w:rFonts w:eastAsia="Arial"/>
                <w:sz w:val="20"/>
                <w:szCs w:val="20"/>
              </w:rPr>
              <w:t>0</w:t>
            </w:r>
          </w:p>
        </w:tc>
        <w:tc>
          <w:tcPr>
            <w:tcW w:w="1213" w:type="dxa"/>
          </w:tcPr>
          <w:p w:rsidR="00417BDB" w:rsidRPr="007C51D6" w:rsidRDefault="00417BDB" w:rsidP="00D918C5">
            <w:pPr>
              <w:autoSpaceDE/>
              <w:autoSpaceDN/>
              <w:adjustRightInd/>
              <w:jc w:val="center"/>
              <w:rPr>
                <w:rFonts w:eastAsia="Arial"/>
                <w:sz w:val="20"/>
                <w:szCs w:val="20"/>
              </w:rPr>
            </w:pPr>
            <w:r w:rsidRPr="007C51D6">
              <w:rPr>
                <w:rFonts w:eastAsia="Arial"/>
                <w:sz w:val="20"/>
                <w:szCs w:val="20"/>
              </w:rPr>
              <w:t>33,3</w:t>
            </w:r>
          </w:p>
        </w:tc>
        <w:tc>
          <w:tcPr>
            <w:tcW w:w="1213" w:type="dxa"/>
          </w:tcPr>
          <w:p w:rsidR="00417BDB" w:rsidRPr="007C51D6" w:rsidRDefault="00417BDB" w:rsidP="00D918C5">
            <w:pPr>
              <w:autoSpaceDE/>
              <w:autoSpaceDN/>
              <w:adjustRightInd/>
              <w:jc w:val="center"/>
              <w:rPr>
                <w:rFonts w:eastAsia="Arial"/>
                <w:sz w:val="20"/>
                <w:szCs w:val="20"/>
              </w:rPr>
            </w:pPr>
            <w:r w:rsidRPr="007C51D6">
              <w:rPr>
                <w:rFonts w:eastAsia="Arial"/>
                <w:sz w:val="20"/>
                <w:szCs w:val="20"/>
              </w:rPr>
              <w:t>0</w:t>
            </w:r>
          </w:p>
        </w:tc>
        <w:tc>
          <w:tcPr>
            <w:tcW w:w="1213" w:type="dxa"/>
          </w:tcPr>
          <w:p w:rsidR="00417BDB" w:rsidRPr="007C51D6" w:rsidRDefault="00417BDB" w:rsidP="00D918C5">
            <w:pPr>
              <w:autoSpaceDE/>
              <w:autoSpaceDN/>
              <w:adjustRightInd/>
              <w:jc w:val="center"/>
              <w:rPr>
                <w:rFonts w:eastAsia="Arial"/>
                <w:sz w:val="20"/>
                <w:szCs w:val="20"/>
              </w:rPr>
            </w:pPr>
            <w:r w:rsidRPr="007C51D6">
              <w:rPr>
                <w:rFonts w:eastAsia="Arial"/>
                <w:sz w:val="20"/>
                <w:szCs w:val="20"/>
              </w:rPr>
              <w:t>50</w:t>
            </w:r>
          </w:p>
        </w:tc>
        <w:tc>
          <w:tcPr>
            <w:tcW w:w="1213" w:type="dxa"/>
          </w:tcPr>
          <w:p w:rsidR="00417BDB" w:rsidRPr="007C51D6" w:rsidRDefault="00417BDB" w:rsidP="00D918C5">
            <w:pPr>
              <w:autoSpaceDE/>
              <w:autoSpaceDN/>
              <w:adjustRightInd/>
              <w:jc w:val="center"/>
              <w:rPr>
                <w:rFonts w:eastAsia="Arial"/>
                <w:sz w:val="20"/>
                <w:szCs w:val="20"/>
              </w:rPr>
            </w:pPr>
            <w:r w:rsidRPr="007C51D6">
              <w:rPr>
                <w:rFonts w:eastAsia="Arial"/>
                <w:sz w:val="20"/>
                <w:szCs w:val="20"/>
              </w:rPr>
              <w:t>50</w:t>
            </w:r>
          </w:p>
        </w:tc>
        <w:tc>
          <w:tcPr>
            <w:tcW w:w="1213" w:type="dxa"/>
          </w:tcPr>
          <w:p w:rsidR="00417BDB" w:rsidRPr="007C51D6" w:rsidRDefault="00417BDB" w:rsidP="00D918C5">
            <w:pPr>
              <w:autoSpaceDE/>
              <w:autoSpaceDN/>
              <w:adjustRightInd/>
              <w:jc w:val="center"/>
              <w:rPr>
                <w:rFonts w:eastAsia="Arial"/>
                <w:sz w:val="20"/>
                <w:szCs w:val="20"/>
              </w:rPr>
            </w:pPr>
            <w:r w:rsidRPr="007C51D6">
              <w:rPr>
                <w:rFonts w:eastAsia="Arial"/>
                <w:sz w:val="20"/>
                <w:szCs w:val="20"/>
              </w:rPr>
              <w:t>0</w:t>
            </w:r>
          </w:p>
        </w:tc>
        <w:tc>
          <w:tcPr>
            <w:tcW w:w="1213" w:type="dxa"/>
          </w:tcPr>
          <w:p w:rsidR="00417BDB" w:rsidRPr="007C51D6" w:rsidRDefault="00417BDB" w:rsidP="00D918C5">
            <w:pPr>
              <w:autoSpaceDE/>
              <w:autoSpaceDN/>
              <w:adjustRightInd/>
              <w:jc w:val="center"/>
              <w:rPr>
                <w:rFonts w:eastAsia="Arial"/>
                <w:sz w:val="20"/>
                <w:szCs w:val="20"/>
              </w:rPr>
            </w:pPr>
            <w:r w:rsidRPr="007C51D6">
              <w:rPr>
                <w:rFonts w:eastAsia="Arial"/>
                <w:sz w:val="20"/>
                <w:szCs w:val="20"/>
              </w:rPr>
              <w:t>0</w:t>
            </w:r>
          </w:p>
        </w:tc>
        <w:tc>
          <w:tcPr>
            <w:tcW w:w="1213" w:type="dxa"/>
          </w:tcPr>
          <w:p w:rsidR="00417BDB" w:rsidRPr="007C51D6" w:rsidRDefault="00417BDB" w:rsidP="00D918C5">
            <w:pPr>
              <w:autoSpaceDE/>
              <w:autoSpaceDN/>
              <w:adjustRightInd/>
              <w:jc w:val="center"/>
              <w:rPr>
                <w:rFonts w:eastAsia="Arial"/>
                <w:sz w:val="20"/>
                <w:szCs w:val="20"/>
              </w:rPr>
            </w:pPr>
            <w:r w:rsidRPr="007C51D6">
              <w:rPr>
                <w:rFonts w:eastAsia="Arial"/>
                <w:sz w:val="20"/>
                <w:szCs w:val="20"/>
              </w:rPr>
              <w:t>0</w:t>
            </w:r>
          </w:p>
        </w:tc>
      </w:tr>
      <w:tr w:rsidR="00417BDB" w:rsidRPr="007C51D6" w:rsidTr="00A85F2F">
        <w:tblPrEx>
          <w:tblBorders>
            <w:bottom w:val="single" w:sz="4" w:space="0" w:color="auto"/>
          </w:tblBorders>
        </w:tblPrEx>
        <w:trPr>
          <w:trHeight w:val="20"/>
        </w:trPr>
        <w:tc>
          <w:tcPr>
            <w:tcW w:w="1696" w:type="dxa"/>
            <w:vMerge/>
          </w:tcPr>
          <w:p w:rsidR="00417BDB" w:rsidRPr="007C51D6" w:rsidRDefault="00417BDB" w:rsidP="003B113F">
            <w:pPr>
              <w:jc w:val="both"/>
              <w:rPr>
                <w:rFonts w:eastAsia="Arial"/>
                <w:sz w:val="20"/>
                <w:szCs w:val="20"/>
              </w:rPr>
            </w:pPr>
          </w:p>
        </w:tc>
        <w:tc>
          <w:tcPr>
            <w:tcW w:w="1304" w:type="dxa"/>
          </w:tcPr>
          <w:p w:rsidR="00417BDB" w:rsidRPr="007C51D6" w:rsidRDefault="00417BDB" w:rsidP="003B113F">
            <w:pPr>
              <w:jc w:val="both"/>
              <w:rPr>
                <w:rFonts w:eastAsia="Arial"/>
                <w:sz w:val="20"/>
                <w:szCs w:val="20"/>
                <w:lang w:val="en-US"/>
              </w:rPr>
            </w:pPr>
            <w:r w:rsidRPr="007C51D6">
              <w:rPr>
                <w:rFonts w:eastAsia="Arial"/>
                <w:sz w:val="20"/>
                <w:szCs w:val="20"/>
                <w:lang w:val="en-US"/>
              </w:rPr>
              <w:t>IV</w:t>
            </w:r>
            <w:r w:rsidRPr="007C51D6">
              <w:rPr>
                <w:rFonts w:eastAsia="Arial"/>
                <w:sz w:val="20"/>
                <w:szCs w:val="20"/>
              </w:rPr>
              <w:t xml:space="preserve"> стадия</w:t>
            </w:r>
          </w:p>
        </w:tc>
        <w:tc>
          <w:tcPr>
            <w:tcW w:w="1210" w:type="dxa"/>
          </w:tcPr>
          <w:p w:rsidR="00417BDB" w:rsidRPr="007C51D6" w:rsidRDefault="00417BDB" w:rsidP="003B113F">
            <w:pPr>
              <w:autoSpaceDE/>
              <w:autoSpaceDN/>
              <w:adjustRightInd/>
              <w:jc w:val="center"/>
              <w:rPr>
                <w:rFonts w:eastAsia="Arial"/>
                <w:sz w:val="20"/>
                <w:szCs w:val="20"/>
              </w:rPr>
            </w:pPr>
            <w:r w:rsidRPr="007C51D6">
              <w:rPr>
                <w:rFonts w:eastAsia="Arial"/>
                <w:sz w:val="20"/>
                <w:szCs w:val="20"/>
              </w:rPr>
              <w:t>0</w:t>
            </w:r>
          </w:p>
        </w:tc>
        <w:tc>
          <w:tcPr>
            <w:tcW w:w="1211" w:type="dxa"/>
          </w:tcPr>
          <w:p w:rsidR="00417BDB" w:rsidRPr="007C51D6" w:rsidRDefault="00417BDB" w:rsidP="003B113F">
            <w:pPr>
              <w:autoSpaceDE/>
              <w:autoSpaceDN/>
              <w:adjustRightInd/>
              <w:jc w:val="center"/>
              <w:rPr>
                <w:rFonts w:eastAsia="Arial"/>
                <w:sz w:val="20"/>
                <w:szCs w:val="20"/>
              </w:rPr>
            </w:pPr>
            <w:r w:rsidRPr="007C51D6">
              <w:rPr>
                <w:rFonts w:eastAsia="Arial"/>
                <w:sz w:val="20"/>
                <w:szCs w:val="20"/>
              </w:rPr>
              <w:t>100</w:t>
            </w:r>
          </w:p>
        </w:tc>
        <w:tc>
          <w:tcPr>
            <w:tcW w:w="1213" w:type="dxa"/>
          </w:tcPr>
          <w:p w:rsidR="00417BDB" w:rsidRPr="007C51D6" w:rsidRDefault="00417BDB" w:rsidP="003B113F">
            <w:pPr>
              <w:autoSpaceDE/>
              <w:autoSpaceDN/>
              <w:adjustRightInd/>
              <w:jc w:val="center"/>
              <w:rPr>
                <w:rFonts w:eastAsia="Arial"/>
                <w:sz w:val="20"/>
                <w:szCs w:val="20"/>
              </w:rPr>
            </w:pPr>
            <w:r w:rsidRPr="007C51D6">
              <w:rPr>
                <w:rFonts w:eastAsia="Arial"/>
                <w:sz w:val="20"/>
                <w:szCs w:val="20"/>
              </w:rPr>
              <w:t>100</w:t>
            </w:r>
          </w:p>
        </w:tc>
        <w:tc>
          <w:tcPr>
            <w:tcW w:w="1213" w:type="dxa"/>
          </w:tcPr>
          <w:p w:rsidR="00417BDB" w:rsidRPr="007C51D6" w:rsidRDefault="00417BDB" w:rsidP="003B113F">
            <w:pPr>
              <w:autoSpaceDE/>
              <w:autoSpaceDN/>
              <w:adjustRightInd/>
              <w:jc w:val="center"/>
              <w:rPr>
                <w:rFonts w:eastAsia="Arial"/>
                <w:sz w:val="20"/>
                <w:szCs w:val="20"/>
              </w:rPr>
            </w:pPr>
            <w:r w:rsidRPr="007C51D6">
              <w:rPr>
                <w:rFonts w:eastAsia="Arial"/>
                <w:sz w:val="20"/>
                <w:szCs w:val="20"/>
              </w:rPr>
              <w:t>0</w:t>
            </w:r>
          </w:p>
        </w:tc>
        <w:tc>
          <w:tcPr>
            <w:tcW w:w="1213" w:type="dxa"/>
          </w:tcPr>
          <w:p w:rsidR="00417BDB" w:rsidRPr="007C51D6" w:rsidRDefault="00417BDB" w:rsidP="003B113F">
            <w:pPr>
              <w:autoSpaceDE/>
              <w:autoSpaceDN/>
              <w:adjustRightInd/>
              <w:jc w:val="center"/>
              <w:rPr>
                <w:rFonts w:eastAsia="Arial"/>
                <w:sz w:val="20"/>
                <w:szCs w:val="20"/>
              </w:rPr>
            </w:pPr>
            <w:r w:rsidRPr="007C51D6">
              <w:rPr>
                <w:rFonts w:eastAsia="Arial"/>
                <w:sz w:val="20"/>
                <w:szCs w:val="20"/>
              </w:rPr>
              <w:t>0</w:t>
            </w:r>
          </w:p>
        </w:tc>
        <w:tc>
          <w:tcPr>
            <w:tcW w:w="1213" w:type="dxa"/>
          </w:tcPr>
          <w:p w:rsidR="00417BDB" w:rsidRPr="007C51D6" w:rsidRDefault="00417BDB" w:rsidP="003B113F">
            <w:pPr>
              <w:autoSpaceDE/>
              <w:autoSpaceDN/>
              <w:adjustRightInd/>
              <w:jc w:val="center"/>
              <w:rPr>
                <w:rFonts w:eastAsia="Arial"/>
                <w:sz w:val="20"/>
                <w:szCs w:val="20"/>
              </w:rPr>
            </w:pPr>
            <w:r w:rsidRPr="007C51D6">
              <w:rPr>
                <w:rFonts w:eastAsia="Arial"/>
                <w:sz w:val="20"/>
                <w:szCs w:val="20"/>
              </w:rPr>
              <w:t>0</w:t>
            </w:r>
          </w:p>
        </w:tc>
        <w:tc>
          <w:tcPr>
            <w:tcW w:w="1213" w:type="dxa"/>
          </w:tcPr>
          <w:p w:rsidR="00417BDB" w:rsidRPr="007C51D6" w:rsidRDefault="00417BDB" w:rsidP="003B113F">
            <w:pPr>
              <w:autoSpaceDE/>
              <w:autoSpaceDN/>
              <w:adjustRightInd/>
              <w:jc w:val="center"/>
              <w:rPr>
                <w:rFonts w:eastAsia="Arial"/>
                <w:sz w:val="20"/>
                <w:szCs w:val="20"/>
              </w:rPr>
            </w:pPr>
            <w:r w:rsidRPr="007C51D6">
              <w:rPr>
                <w:rFonts w:eastAsia="Arial"/>
                <w:sz w:val="20"/>
                <w:szCs w:val="20"/>
              </w:rPr>
              <w:t>50</w:t>
            </w:r>
          </w:p>
        </w:tc>
        <w:tc>
          <w:tcPr>
            <w:tcW w:w="1213" w:type="dxa"/>
          </w:tcPr>
          <w:p w:rsidR="00417BDB" w:rsidRPr="007C51D6" w:rsidRDefault="00417BDB" w:rsidP="003B113F">
            <w:pPr>
              <w:autoSpaceDE/>
              <w:autoSpaceDN/>
              <w:adjustRightInd/>
              <w:jc w:val="center"/>
              <w:rPr>
                <w:rFonts w:eastAsia="Arial"/>
                <w:sz w:val="20"/>
                <w:szCs w:val="20"/>
              </w:rPr>
            </w:pPr>
            <w:r w:rsidRPr="007C51D6">
              <w:rPr>
                <w:rFonts w:eastAsia="Arial"/>
                <w:sz w:val="20"/>
                <w:szCs w:val="20"/>
              </w:rPr>
              <w:t>0</w:t>
            </w:r>
          </w:p>
        </w:tc>
        <w:tc>
          <w:tcPr>
            <w:tcW w:w="1213" w:type="dxa"/>
          </w:tcPr>
          <w:p w:rsidR="00417BDB" w:rsidRPr="007C51D6" w:rsidRDefault="00417BDB" w:rsidP="003B113F">
            <w:pPr>
              <w:autoSpaceDE/>
              <w:autoSpaceDN/>
              <w:adjustRightInd/>
              <w:jc w:val="center"/>
              <w:rPr>
                <w:rFonts w:eastAsia="Arial"/>
                <w:sz w:val="20"/>
                <w:szCs w:val="20"/>
              </w:rPr>
            </w:pPr>
            <w:r w:rsidRPr="007C51D6">
              <w:rPr>
                <w:rFonts w:eastAsia="Arial"/>
                <w:sz w:val="20"/>
                <w:szCs w:val="20"/>
              </w:rPr>
              <w:t>100</w:t>
            </w:r>
          </w:p>
        </w:tc>
        <w:tc>
          <w:tcPr>
            <w:tcW w:w="1213" w:type="dxa"/>
          </w:tcPr>
          <w:p w:rsidR="00417BDB" w:rsidRPr="007C51D6" w:rsidRDefault="00417BDB" w:rsidP="003B113F">
            <w:pPr>
              <w:autoSpaceDE/>
              <w:autoSpaceDN/>
              <w:adjustRightInd/>
              <w:jc w:val="center"/>
              <w:rPr>
                <w:rFonts w:eastAsia="Arial"/>
                <w:sz w:val="20"/>
                <w:szCs w:val="20"/>
              </w:rPr>
            </w:pPr>
            <w:r w:rsidRPr="007C51D6">
              <w:rPr>
                <w:rFonts w:eastAsia="Arial"/>
                <w:sz w:val="20"/>
                <w:szCs w:val="20"/>
              </w:rPr>
              <w:t>100</w:t>
            </w:r>
          </w:p>
        </w:tc>
      </w:tr>
      <w:tr w:rsidR="00417BDB" w:rsidRPr="007C51D6" w:rsidTr="00A85F2F">
        <w:tblPrEx>
          <w:tblBorders>
            <w:bottom w:val="single" w:sz="4" w:space="0" w:color="auto"/>
          </w:tblBorders>
        </w:tblPrEx>
        <w:trPr>
          <w:trHeight w:val="20"/>
        </w:trPr>
        <w:tc>
          <w:tcPr>
            <w:tcW w:w="1696" w:type="dxa"/>
            <w:vMerge/>
          </w:tcPr>
          <w:p w:rsidR="00417BDB" w:rsidRPr="007C51D6" w:rsidRDefault="00417BDB" w:rsidP="003B113F">
            <w:pPr>
              <w:jc w:val="both"/>
              <w:rPr>
                <w:rFonts w:eastAsia="Arial"/>
                <w:sz w:val="20"/>
                <w:szCs w:val="20"/>
              </w:rPr>
            </w:pPr>
          </w:p>
        </w:tc>
        <w:tc>
          <w:tcPr>
            <w:tcW w:w="1304" w:type="dxa"/>
          </w:tcPr>
          <w:p w:rsidR="00417BDB" w:rsidRPr="007C51D6" w:rsidRDefault="00417BDB" w:rsidP="003B113F">
            <w:pPr>
              <w:jc w:val="both"/>
              <w:rPr>
                <w:rFonts w:eastAsia="Arial"/>
                <w:sz w:val="20"/>
                <w:szCs w:val="20"/>
                <w:lang w:val="en-US"/>
              </w:rPr>
            </w:pPr>
            <w:r w:rsidRPr="007C51D6">
              <w:rPr>
                <w:rFonts w:eastAsia="Arial"/>
                <w:sz w:val="20"/>
                <w:szCs w:val="20"/>
              </w:rPr>
              <w:t>без стадии</w:t>
            </w:r>
          </w:p>
        </w:tc>
        <w:tc>
          <w:tcPr>
            <w:tcW w:w="1210" w:type="dxa"/>
          </w:tcPr>
          <w:p w:rsidR="00417BDB" w:rsidRPr="007C51D6" w:rsidRDefault="00417BDB" w:rsidP="003B113F">
            <w:pPr>
              <w:autoSpaceDE/>
              <w:autoSpaceDN/>
              <w:adjustRightInd/>
              <w:jc w:val="center"/>
              <w:rPr>
                <w:rFonts w:eastAsia="Arial"/>
                <w:sz w:val="20"/>
                <w:szCs w:val="20"/>
              </w:rPr>
            </w:pPr>
            <w:r w:rsidRPr="007C51D6">
              <w:rPr>
                <w:rFonts w:eastAsia="Arial"/>
                <w:sz w:val="20"/>
                <w:szCs w:val="20"/>
              </w:rPr>
              <w:t>0</w:t>
            </w:r>
          </w:p>
        </w:tc>
        <w:tc>
          <w:tcPr>
            <w:tcW w:w="1211" w:type="dxa"/>
          </w:tcPr>
          <w:p w:rsidR="00417BDB" w:rsidRPr="007C51D6" w:rsidRDefault="00417BDB" w:rsidP="003B113F">
            <w:pPr>
              <w:autoSpaceDE/>
              <w:autoSpaceDN/>
              <w:adjustRightInd/>
              <w:jc w:val="center"/>
              <w:rPr>
                <w:rFonts w:eastAsia="Arial"/>
                <w:sz w:val="20"/>
                <w:szCs w:val="20"/>
              </w:rPr>
            </w:pPr>
            <w:r w:rsidRPr="007C51D6">
              <w:rPr>
                <w:rFonts w:eastAsia="Arial"/>
                <w:sz w:val="20"/>
                <w:szCs w:val="20"/>
              </w:rPr>
              <w:t>0</w:t>
            </w:r>
          </w:p>
        </w:tc>
        <w:tc>
          <w:tcPr>
            <w:tcW w:w="1213" w:type="dxa"/>
          </w:tcPr>
          <w:p w:rsidR="00417BDB" w:rsidRPr="007C51D6" w:rsidRDefault="00417BDB" w:rsidP="003B113F">
            <w:pPr>
              <w:autoSpaceDE/>
              <w:autoSpaceDN/>
              <w:adjustRightInd/>
              <w:jc w:val="center"/>
              <w:rPr>
                <w:rFonts w:eastAsia="Arial"/>
                <w:sz w:val="20"/>
                <w:szCs w:val="20"/>
              </w:rPr>
            </w:pPr>
            <w:r w:rsidRPr="007C51D6">
              <w:rPr>
                <w:rFonts w:eastAsia="Arial"/>
                <w:sz w:val="20"/>
                <w:szCs w:val="20"/>
              </w:rPr>
              <w:t>0</w:t>
            </w:r>
          </w:p>
        </w:tc>
        <w:tc>
          <w:tcPr>
            <w:tcW w:w="1213" w:type="dxa"/>
          </w:tcPr>
          <w:p w:rsidR="00417BDB" w:rsidRPr="007C51D6" w:rsidRDefault="00417BDB" w:rsidP="003B113F">
            <w:pPr>
              <w:autoSpaceDE/>
              <w:autoSpaceDN/>
              <w:adjustRightInd/>
              <w:jc w:val="center"/>
              <w:rPr>
                <w:rFonts w:eastAsia="Arial"/>
                <w:sz w:val="20"/>
                <w:szCs w:val="20"/>
              </w:rPr>
            </w:pPr>
            <w:r w:rsidRPr="007C51D6">
              <w:rPr>
                <w:rFonts w:eastAsia="Arial"/>
                <w:sz w:val="20"/>
                <w:szCs w:val="20"/>
              </w:rPr>
              <w:t>0</w:t>
            </w:r>
          </w:p>
        </w:tc>
        <w:tc>
          <w:tcPr>
            <w:tcW w:w="1213" w:type="dxa"/>
          </w:tcPr>
          <w:p w:rsidR="00417BDB" w:rsidRPr="007C51D6" w:rsidRDefault="00417BDB" w:rsidP="003B113F">
            <w:pPr>
              <w:autoSpaceDE/>
              <w:autoSpaceDN/>
              <w:adjustRightInd/>
              <w:jc w:val="center"/>
              <w:rPr>
                <w:rFonts w:eastAsia="Arial"/>
                <w:sz w:val="20"/>
                <w:szCs w:val="20"/>
              </w:rPr>
            </w:pPr>
            <w:r w:rsidRPr="007C51D6">
              <w:rPr>
                <w:rFonts w:eastAsia="Arial"/>
                <w:sz w:val="20"/>
                <w:szCs w:val="20"/>
              </w:rPr>
              <w:t>0</w:t>
            </w:r>
          </w:p>
        </w:tc>
        <w:tc>
          <w:tcPr>
            <w:tcW w:w="1213" w:type="dxa"/>
          </w:tcPr>
          <w:p w:rsidR="00417BDB" w:rsidRPr="007C51D6" w:rsidRDefault="00417BDB" w:rsidP="003B113F">
            <w:pPr>
              <w:autoSpaceDE/>
              <w:autoSpaceDN/>
              <w:adjustRightInd/>
              <w:jc w:val="center"/>
              <w:rPr>
                <w:rFonts w:eastAsia="Arial"/>
                <w:sz w:val="20"/>
                <w:szCs w:val="20"/>
              </w:rPr>
            </w:pPr>
            <w:r w:rsidRPr="007C51D6">
              <w:rPr>
                <w:rFonts w:eastAsia="Arial"/>
                <w:sz w:val="20"/>
                <w:szCs w:val="20"/>
              </w:rPr>
              <w:t>0</w:t>
            </w:r>
          </w:p>
        </w:tc>
        <w:tc>
          <w:tcPr>
            <w:tcW w:w="1213" w:type="dxa"/>
          </w:tcPr>
          <w:p w:rsidR="00417BDB" w:rsidRPr="007C51D6" w:rsidRDefault="00417BDB" w:rsidP="003B113F">
            <w:pPr>
              <w:autoSpaceDE/>
              <w:autoSpaceDN/>
              <w:adjustRightInd/>
              <w:jc w:val="center"/>
              <w:rPr>
                <w:rFonts w:eastAsia="Arial"/>
                <w:sz w:val="20"/>
                <w:szCs w:val="20"/>
              </w:rPr>
            </w:pPr>
            <w:r w:rsidRPr="007C51D6">
              <w:rPr>
                <w:rFonts w:eastAsia="Arial"/>
                <w:sz w:val="20"/>
                <w:szCs w:val="20"/>
              </w:rPr>
              <w:t>0</w:t>
            </w:r>
          </w:p>
        </w:tc>
        <w:tc>
          <w:tcPr>
            <w:tcW w:w="1213" w:type="dxa"/>
          </w:tcPr>
          <w:p w:rsidR="00417BDB" w:rsidRPr="007C51D6" w:rsidRDefault="00417BDB" w:rsidP="003B113F">
            <w:pPr>
              <w:autoSpaceDE/>
              <w:autoSpaceDN/>
              <w:adjustRightInd/>
              <w:jc w:val="center"/>
              <w:rPr>
                <w:rFonts w:eastAsia="Arial"/>
                <w:sz w:val="20"/>
                <w:szCs w:val="20"/>
              </w:rPr>
            </w:pPr>
            <w:r w:rsidRPr="007C51D6">
              <w:rPr>
                <w:rFonts w:eastAsia="Arial"/>
                <w:sz w:val="20"/>
                <w:szCs w:val="20"/>
              </w:rPr>
              <w:t>0</w:t>
            </w:r>
          </w:p>
        </w:tc>
        <w:tc>
          <w:tcPr>
            <w:tcW w:w="1213" w:type="dxa"/>
          </w:tcPr>
          <w:p w:rsidR="00417BDB" w:rsidRPr="007C51D6" w:rsidRDefault="00417BDB" w:rsidP="003B113F">
            <w:pPr>
              <w:autoSpaceDE/>
              <w:autoSpaceDN/>
              <w:adjustRightInd/>
              <w:jc w:val="center"/>
              <w:rPr>
                <w:rFonts w:eastAsia="Arial"/>
                <w:sz w:val="20"/>
                <w:szCs w:val="20"/>
              </w:rPr>
            </w:pPr>
            <w:r w:rsidRPr="007C51D6">
              <w:rPr>
                <w:rFonts w:eastAsia="Arial"/>
                <w:sz w:val="20"/>
                <w:szCs w:val="20"/>
              </w:rPr>
              <w:t>0</w:t>
            </w:r>
          </w:p>
        </w:tc>
        <w:tc>
          <w:tcPr>
            <w:tcW w:w="1213" w:type="dxa"/>
          </w:tcPr>
          <w:p w:rsidR="00417BDB" w:rsidRPr="007C51D6" w:rsidRDefault="00417BDB" w:rsidP="003B113F">
            <w:pPr>
              <w:autoSpaceDE/>
              <w:autoSpaceDN/>
              <w:adjustRightInd/>
              <w:jc w:val="center"/>
              <w:rPr>
                <w:rFonts w:eastAsia="Arial"/>
                <w:sz w:val="20"/>
                <w:szCs w:val="20"/>
              </w:rPr>
            </w:pPr>
            <w:r w:rsidRPr="007C51D6">
              <w:rPr>
                <w:rFonts w:eastAsia="Arial"/>
                <w:sz w:val="20"/>
                <w:szCs w:val="20"/>
              </w:rPr>
              <w:t>0</w:t>
            </w:r>
          </w:p>
        </w:tc>
      </w:tr>
      <w:tr w:rsidR="003B113F" w:rsidRPr="007C51D6" w:rsidTr="00742D16">
        <w:tblPrEx>
          <w:tblBorders>
            <w:bottom w:val="single" w:sz="4" w:space="0" w:color="auto"/>
          </w:tblBorders>
        </w:tblPrEx>
        <w:trPr>
          <w:trHeight w:val="20"/>
        </w:trPr>
        <w:tc>
          <w:tcPr>
            <w:tcW w:w="1696" w:type="dxa"/>
            <w:vMerge w:val="restart"/>
          </w:tcPr>
          <w:p w:rsidR="003B113F" w:rsidRPr="007C51D6" w:rsidRDefault="003B113F" w:rsidP="003B113F">
            <w:pPr>
              <w:jc w:val="both"/>
              <w:rPr>
                <w:rFonts w:eastAsia="Arial"/>
                <w:sz w:val="20"/>
                <w:szCs w:val="20"/>
              </w:rPr>
            </w:pPr>
            <w:r w:rsidRPr="007C51D6">
              <w:rPr>
                <w:rFonts w:eastAsia="Arial"/>
                <w:sz w:val="20"/>
                <w:szCs w:val="20"/>
              </w:rPr>
              <w:t>ЗНО других и неуточненных отделов языка (С02)</w:t>
            </w:r>
          </w:p>
        </w:tc>
        <w:tc>
          <w:tcPr>
            <w:tcW w:w="1304" w:type="dxa"/>
          </w:tcPr>
          <w:p w:rsidR="003B113F" w:rsidRPr="007C51D6" w:rsidRDefault="003B113F" w:rsidP="003B113F">
            <w:pPr>
              <w:autoSpaceDE/>
              <w:autoSpaceDN/>
              <w:adjustRightInd/>
              <w:jc w:val="both"/>
              <w:rPr>
                <w:rFonts w:eastAsia="Arial"/>
                <w:sz w:val="20"/>
                <w:szCs w:val="20"/>
              </w:rPr>
            </w:pPr>
            <w:r w:rsidRPr="007C51D6">
              <w:rPr>
                <w:rFonts w:eastAsia="Arial"/>
                <w:sz w:val="20"/>
                <w:szCs w:val="20"/>
                <w:lang w:val="en-US"/>
              </w:rPr>
              <w:t>I</w:t>
            </w:r>
            <w:r w:rsidRPr="007C51D6">
              <w:rPr>
                <w:rFonts w:eastAsia="Arial"/>
                <w:sz w:val="20"/>
                <w:szCs w:val="20"/>
              </w:rPr>
              <w:t xml:space="preserve"> стадия</w:t>
            </w:r>
          </w:p>
        </w:tc>
        <w:tc>
          <w:tcPr>
            <w:tcW w:w="1210" w:type="dxa"/>
          </w:tcPr>
          <w:p w:rsidR="003B113F" w:rsidRPr="007C51D6" w:rsidRDefault="003B113F" w:rsidP="003B113F">
            <w:pPr>
              <w:autoSpaceDE/>
              <w:autoSpaceDN/>
              <w:adjustRightInd/>
              <w:jc w:val="center"/>
              <w:rPr>
                <w:rFonts w:eastAsia="Arial"/>
                <w:sz w:val="20"/>
                <w:szCs w:val="20"/>
              </w:rPr>
            </w:pPr>
            <w:r w:rsidRPr="007C51D6">
              <w:rPr>
                <w:rFonts w:eastAsia="Arial"/>
                <w:sz w:val="20"/>
                <w:szCs w:val="20"/>
              </w:rPr>
              <w:t>16,9</w:t>
            </w:r>
          </w:p>
        </w:tc>
        <w:tc>
          <w:tcPr>
            <w:tcW w:w="1211" w:type="dxa"/>
          </w:tcPr>
          <w:p w:rsidR="003B113F" w:rsidRPr="007C51D6" w:rsidRDefault="003B113F" w:rsidP="003B113F">
            <w:pPr>
              <w:autoSpaceDE/>
              <w:autoSpaceDN/>
              <w:adjustRightInd/>
              <w:jc w:val="center"/>
              <w:rPr>
                <w:rFonts w:eastAsia="Arial"/>
                <w:sz w:val="20"/>
                <w:szCs w:val="20"/>
              </w:rPr>
            </w:pPr>
            <w:r w:rsidRPr="007C51D6">
              <w:rPr>
                <w:rFonts w:eastAsia="Arial"/>
                <w:sz w:val="20"/>
                <w:szCs w:val="20"/>
              </w:rPr>
              <w:t>8,1</w:t>
            </w:r>
          </w:p>
        </w:tc>
        <w:tc>
          <w:tcPr>
            <w:tcW w:w="1213" w:type="dxa"/>
          </w:tcPr>
          <w:p w:rsidR="003B113F" w:rsidRPr="007C51D6" w:rsidRDefault="003B113F" w:rsidP="003B113F">
            <w:pPr>
              <w:autoSpaceDE/>
              <w:autoSpaceDN/>
              <w:adjustRightInd/>
              <w:jc w:val="center"/>
              <w:rPr>
                <w:rFonts w:eastAsia="Arial"/>
                <w:sz w:val="20"/>
                <w:szCs w:val="20"/>
              </w:rPr>
            </w:pPr>
            <w:r w:rsidRPr="007C51D6">
              <w:rPr>
                <w:rFonts w:eastAsia="Arial"/>
                <w:sz w:val="20"/>
                <w:szCs w:val="20"/>
              </w:rPr>
              <w:t>16,1</w:t>
            </w:r>
          </w:p>
        </w:tc>
        <w:tc>
          <w:tcPr>
            <w:tcW w:w="1213" w:type="dxa"/>
          </w:tcPr>
          <w:p w:rsidR="003B113F" w:rsidRPr="007C51D6" w:rsidRDefault="003B113F" w:rsidP="003B113F">
            <w:pPr>
              <w:autoSpaceDE/>
              <w:autoSpaceDN/>
              <w:adjustRightInd/>
              <w:jc w:val="center"/>
              <w:rPr>
                <w:rFonts w:eastAsia="Arial"/>
                <w:sz w:val="20"/>
                <w:szCs w:val="20"/>
              </w:rPr>
            </w:pPr>
            <w:r w:rsidRPr="007C51D6">
              <w:rPr>
                <w:rFonts w:eastAsia="Arial"/>
                <w:sz w:val="20"/>
                <w:szCs w:val="20"/>
              </w:rPr>
              <w:t>20,9</w:t>
            </w:r>
          </w:p>
        </w:tc>
        <w:tc>
          <w:tcPr>
            <w:tcW w:w="1213" w:type="dxa"/>
          </w:tcPr>
          <w:p w:rsidR="003B113F" w:rsidRPr="007C51D6" w:rsidRDefault="003B113F" w:rsidP="003B113F">
            <w:pPr>
              <w:autoSpaceDE/>
              <w:autoSpaceDN/>
              <w:adjustRightInd/>
              <w:jc w:val="center"/>
              <w:rPr>
                <w:rFonts w:eastAsia="Arial"/>
                <w:sz w:val="20"/>
                <w:szCs w:val="20"/>
              </w:rPr>
            </w:pPr>
            <w:r w:rsidRPr="007C51D6">
              <w:rPr>
                <w:rFonts w:eastAsia="Arial"/>
                <w:sz w:val="20"/>
                <w:szCs w:val="20"/>
              </w:rPr>
              <w:t>10,1</w:t>
            </w:r>
          </w:p>
        </w:tc>
        <w:tc>
          <w:tcPr>
            <w:tcW w:w="1213" w:type="dxa"/>
          </w:tcPr>
          <w:p w:rsidR="003B113F" w:rsidRPr="007C51D6" w:rsidRDefault="003B113F" w:rsidP="003B113F">
            <w:pPr>
              <w:autoSpaceDE/>
              <w:autoSpaceDN/>
              <w:adjustRightInd/>
              <w:jc w:val="center"/>
              <w:rPr>
                <w:rFonts w:eastAsia="Arial"/>
                <w:sz w:val="20"/>
                <w:szCs w:val="20"/>
              </w:rPr>
            </w:pPr>
            <w:r w:rsidRPr="007C51D6">
              <w:rPr>
                <w:rFonts w:eastAsia="Arial"/>
                <w:sz w:val="20"/>
                <w:szCs w:val="20"/>
              </w:rPr>
              <w:t>9,6</w:t>
            </w:r>
          </w:p>
        </w:tc>
        <w:tc>
          <w:tcPr>
            <w:tcW w:w="1213" w:type="dxa"/>
          </w:tcPr>
          <w:p w:rsidR="003B113F" w:rsidRPr="007C51D6" w:rsidRDefault="003B113F" w:rsidP="003B113F">
            <w:pPr>
              <w:autoSpaceDE/>
              <w:autoSpaceDN/>
              <w:adjustRightInd/>
              <w:jc w:val="center"/>
              <w:rPr>
                <w:rFonts w:eastAsia="Arial"/>
                <w:sz w:val="20"/>
                <w:szCs w:val="20"/>
              </w:rPr>
            </w:pPr>
            <w:r w:rsidRPr="007C51D6">
              <w:rPr>
                <w:rFonts w:eastAsia="Arial"/>
                <w:sz w:val="20"/>
                <w:szCs w:val="20"/>
              </w:rPr>
              <w:t>13,8</w:t>
            </w:r>
          </w:p>
        </w:tc>
        <w:tc>
          <w:tcPr>
            <w:tcW w:w="1213" w:type="dxa"/>
          </w:tcPr>
          <w:p w:rsidR="003B113F" w:rsidRPr="007C51D6" w:rsidRDefault="003B113F" w:rsidP="003B113F">
            <w:pPr>
              <w:autoSpaceDE/>
              <w:autoSpaceDN/>
              <w:adjustRightInd/>
              <w:jc w:val="center"/>
              <w:rPr>
                <w:rFonts w:eastAsia="Arial"/>
                <w:sz w:val="20"/>
                <w:szCs w:val="20"/>
              </w:rPr>
            </w:pPr>
            <w:r w:rsidRPr="007C51D6">
              <w:rPr>
                <w:rFonts w:eastAsia="Arial"/>
                <w:sz w:val="20"/>
                <w:szCs w:val="20"/>
              </w:rPr>
              <w:t>10.8</w:t>
            </w:r>
          </w:p>
        </w:tc>
        <w:tc>
          <w:tcPr>
            <w:tcW w:w="1213" w:type="dxa"/>
          </w:tcPr>
          <w:p w:rsidR="003B113F" w:rsidRPr="007C51D6" w:rsidRDefault="003B113F" w:rsidP="003B113F">
            <w:pPr>
              <w:autoSpaceDE/>
              <w:autoSpaceDN/>
              <w:adjustRightInd/>
              <w:jc w:val="center"/>
              <w:rPr>
                <w:rFonts w:eastAsia="Arial"/>
                <w:sz w:val="20"/>
                <w:szCs w:val="20"/>
              </w:rPr>
            </w:pPr>
            <w:r w:rsidRPr="007C51D6">
              <w:rPr>
                <w:rFonts w:eastAsia="Arial"/>
                <w:sz w:val="20"/>
                <w:szCs w:val="20"/>
              </w:rPr>
              <w:t>20,0</w:t>
            </w:r>
          </w:p>
        </w:tc>
        <w:tc>
          <w:tcPr>
            <w:tcW w:w="1213" w:type="dxa"/>
            <w:vAlign w:val="bottom"/>
          </w:tcPr>
          <w:p w:rsidR="003B113F" w:rsidRPr="007C51D6" w:rsidRDefault="003B113F" w:rsidP="003B113F">
            <w:pPr>
              <w:widowControl/>
              <w:autoSpaceDE/>
              <w:autoSpaceDN/>
              <w:adjustRightInd/>
              <w:jc w:val="center"/>
              <w:rPr>
                <w:color w:val="000000"/>
                <w:sz w:val="20"/>
                <w:szCs w:val="20"/>
              </w:rPr>
            </w:pPr>
            <w:r w:rsidRPr="007C51D6">
              <w:rPr>
                <w:color w:val="000000"/>
                <w:sz w:val="20"/>
                <w:szCs w:val="20"/>
              </w:rPr>
              <w:t>13,4</w:t>
            </w:r>
          </w:p>
        </w:tc>
      </w:tr>
      <w:tr w:rsidR="003B113F" w:rsidRPr="007C51D6" w:rsidTr="00742D16">
        <w:tblPrEx>
          <w:tblBorders>
            <w:bottom w:val="single" w:sz="4" w:space="0" w:color="auto"/>
          </w:tblBorders>
        </w:tblPrEx>
        <w:trPr>
          <w:trHeight w:val="20"/>
        </w:trPr>
        <w:tc>
          <w:tcPr>
            <w:tcW w:w="1696" w:type="dxa"/>
            <w:vMerge/>
          </w:tcPr>
          <w:p w:rsidR="003B113F" w:rsidRPr="007C51D6" w:rsidRDefault="003B113F" w:rsidP="003B113F">
            <w:pPr>
              <w:jc w:val="both"/>
              <w:rPr>
                <w:rFonts w:eastAsia="Arial"/>
                <w:sz w:val="20"/>
                <w:szCs w:val="20"/>
                <w:lang w:val="en-US"/>
              </w:rPr>
            </w:pPr>
          </w:p>
        </w:tc>
        <w:tc>
          <w:tcPr>
            <w:tcW w:w="1304" w:type="dxa"/>
          </w:tcPr>
          <w:p w:rsidR="003B113F" w:rsidRPr="007C51D6" w:rsidRDefault="003B113F" w:rsidP="003B113F">
            <w:pPr>
              <w:jc w:val="both"/>
              <w:rPr>
                <w:rFonts w:eastAsia="Arial"/>
                <w:sz w:val="20"/>
                <w:szCs w:val="20"/>
                <w:lang w:val="en-US"/>
              </w:rPr>
            </w:pPr>
            <w:r w:rsidRPr="007C51D6">
              <w:rPr>
                <w:rFonts w:eastAsia="Arial"/>
                <w:sz w:val="20"/>
                <w:szCs w:val="20"/>
                <w:lang w:val="en-US"/>
              </w:rPr>
              <w:t>II</w:t>
            </w:r>
            <w:r w:rsidRPr="007C51D6">
              <w:rPr>
                <w:rFonts w:eastAsia="Arial"/>
                <w:sz w:val="20"/>
                <w:szCs w:val="20"/>
              </w:rPr>
              <w:t xml:space="preserve"> стадия</w:t>
            </w:r>
          </w:p>
        </w:tc>
        <w:tc>
          <w:tcPr>
            <w:tcW w:w="1210" w:type="dxa"/>
          </w:tcPr>
          <w:p w:rsidR="003B113F" w:rsidRPr="007C51D6" w:rsidRDefault="003B113F" w:rsidP="003B113F">
            <w:pPr>
              <w:autoSpaceDE/>
              <w:autoSpaceDN/>
              <w:adjustRightInd/>
              <w:jc w:val="center"/>
              <w:rPr>
                <w:rFonts w:eastAsia="Arial"/>
                <w:sz w:val="20"/>
                <w:szCs w:val="20"/>
              </w:rPr>
            </w:pPr>
            <w:r w:rsidRPr="007C51D6">
              <w:rPr>
                <w:rFonts w:eastAsia="Arial"/>
                <w:sz w:val="20"/>
                <w:szCs w:val="20"/>
              </w:rPr>
              <w:t>27,0</w:t>
            </w:r>
          </w:p>
        </w:tc>
        <w:tc>
          <w:tcPr>
            <w:tcW w:w="1211" w:type="dxa"/>
          </w:tcPr>
          <w:p w:rsidR="003B113F" w:rsidRPr="007C51D6" w:rsidRDefault="003B113F" w:rsidP="003B113F">
            <w:pPr>
              <w:autoSpaceDE/>
              <w:autoSpaceDN/>
              <w:adjustRightInd/>
              <w:jc w:val="center"/>
              <w:rPr>
                <w:rFonts w:eastAsia="Arial"/>
                <w:sz w:val="20"/>
                <w:szCs w:val="20"/>
              </w:rPr>
            </w:pPr>
            <w:r w:rsidRPr="007C51D6">
              <w:rPr>
                <w:rFonts w:eastAsia="Arial"/>
                <w:sz w:val="20"/>
                <w:szCs w:val="20"/>
              </w:rPr>
              <w:t>41,9</w:t>
            </w:r>
          </w:p>
        </w:tc>
        <w:tc>
          <w:tcPr>
            <w:tcW w:w="1213" w:type="dxa"/>
          </w:tcPr>
          <w:p w:rsidR="003B113F" w:rsidRPr="007C51D6" w:rsidRDefault="003B113F" w:rsidP="003B113F">
            <w:pPr>
              <w:autoSpaceDE/>
              <w:autoSpaceDN/>
              <w:adjustRightInd/>
              <w:jc w:val="center"/>
              <w:rPr>
                <w:rFonts w:eastAsia="Arial"/>
                <w:sz w:val="20"/>
                <w:szCs w:val="20"/>
              </w:rPr>
            </w:pPr>
            <w:r w:rsidRPr="007C51D6">
              <w:rPr>
                <w:rFonts w:eastAsia="Arial"/>
                <w:sz w:val="20"/>
                <w:szCs w:val="20"/>
              </w:rPr>
              <w:t>35,6</w:t>
            </w:r>
          </w:p>
        </w:tc>
        <w:tc>
          <w:tcPr>
            <w:tcW w:w="1213" w:type="dxa"/>
          </w:tcPr>
          <w:p w:rsidR="003B113F" w:rsidRPr="007C51D6" w:rsidRDefault="003B113F" w:rsidP="003B113F">
            <w:pPr>
              <w:autoSpaceDE/>
              <w:autoSpaceDN/>
              <w:adjustRightInd/>
              <w:jc w:val="center"/>
              <w:rPr>
                <w:rFonts w:eastAsia="Arial"/>
                <w:sz w:val="20"/>
                <w:szCs w:val="20"/>
              </w:rPr>
            </w:pPr>
            <w:r w:rsidRPr="007C51D6">
              <w:rPr>
                <w:rFonts w:eastAsia="Arial"/>
                <w:sz w:val="20"/>
                <w:szCs w:val="20"/>
              </w:rPr>
              <w:t>29,9</w:t>
            </w:r>
          </w:p>
        </w:tc>
        <w:tc>
          <w:tcPr>
            <w:tcW w:w="1213" w:type="dxa"/>
          </w:tcPr>
          <w:p w:rsidR="003B113F" w:rsidRPr="007C51D6" w:rsidRDefault="003B113F" w:rsidP="003B113F">
            <w:pPr>
              <w:autoSpaceDE/>
              <w:autoSpaceDN/>
              <w:adjustRightInd/>
              <w:jc w:val="center"/>
              <w:rPr>
                <w:rFonts w:eastAsia="Arial"/>
                <w:sz w:val="20"/>
                <w:szCs w:val="20"/>
              </w:rPr>
            </w:pPr>
            <w:r w:rsidRPr="007C51D6">
              <w:rPr>
                <w:rFonts w:eastAsia="Arial"/>
                <w:sz w:val="20"/>
                <w:szCs w:val="20"/>
              </w:rPr>
              <w:t>36,2</w:t>
            </w:r>
          </w:p>
        </w:tc>
        <w:tc>
          <w:tcPr>
            <w:tcW w:w="1213" w:type="dxa"/>
          </w:tcPr>
          <w:p w:rsidR="003B113F" w:rsidRPr="007C51D6" w:rsidRDefault="003B113F" w:rsidP="003B113F">
            <w:pPr>
              <w:autoSpaceDE/>
              <w:autoSpaceDN/>
              <w:adjustRightInd/>
              <w:jc w:val="center"/>
              <w:rPr>
                <w:rFonts w:eastAsia="Arial"/>
                <w:sz w:val="20"/>
                <w:szCs w:val="20"/>
              </w:rPr>
            </w:pPr>
            <w:r w:rsidRPr="007C51D6">
              <w:rPr>
                <w:rFonts w:eastAsia="Arial"/>
                <w:sz w:val="20"/>
                <w:szCs w:val="20"/>
              </w:rPr>
              <w:t>31,5</w:t>
            </w:r>
          </w:p>
        </w:tc>
        <w:tc>
          <w:tcPr>
            <w:tcW w:w="1213" w:type="dxa"/>
          </w:tcPr>
          <w:p w:rsidR="003B113F" w:rsidRPr="007C51D6" w:rsidRDefault="003B113F" w:rsidP="003B113F">
            <w:pPr>
              <w:autoSpaceDE/>
              <w:autoSpaceDN/>
              <w:adjustRightInd/>
              <w:jc w:val="center"/>
              <w:rPr>
                <w:rFonts w:eastAsia="Arial"/>
                <w:sz w:val="20"/>
                <w:szCs w:val="20"/>
              </w:rPr>
            </w:pPr>
            <w:r w:rsidRPr="007C51D6">
              <w:rPr>
                <w:rFonts w:eastAsia="Arial"/>
                <w:sz w:val="20"/>
                <w:szCs w:val="20"/>
              </w:rPr>
              <w:t>24,1</w:t>
            </w:r>
          </w:p>
        </w:tc>
        <w:tc>
          <w:tcPr>
            <w:tcW w:w="1213" w:type="dxa"/>
          </w:tcPr>
          <w:p w:rsidR="003B113F" w:rsidRPr="007C51D6" w:rsidRDefault="003B113F" w:rsidP="003B113F">
            <w:pPr>
              <w:autoSpaceDE/>
              <w:autoSpaceDN/>
              <w:adjustRightInd/>
              <w:jc w:val="center"/>
              <w:rPr>
                <w:rFonts w:eastAsia="Arial"/>
                <w:sz w:val="20"/>
                <w:szCs w:val="20"/>
              </w:rPr>
            </w:pPr>
            <w:r w:rsidRPr="007C51D6">
              <w:rPr>
                <w:rFonts w:eastAsia="Arial"/>
                <w:sz w:val="20"/>
                <w:szCs w:val="20"/>
              </w:rPr>
              <w:t>22,0</w:t>
            </w:r>
          </w:p>
        </w:tc>
        <w:tc>
          <w:tcPr>
            <w:tcW w:w="1213" w:type="dxa"/>
          </w:tcPr>
          <w:p w:rsidR="003B113F" w:rsidRPr="007C51D6" w:rsidRDefault="003B113F" w:rsidP="003B113F">
            <w:pPr>
              <w:autoSpaceDE/>
              <w:autoSpaceDN/>
              <w:adjustRightInd/>
              <w:jc w:val="center"/>
              <w:rPr>
                <w:rFonts w:eastAsia="Arial"/>
                <w:sz w:val="20"/>
                <w:szCs w:val="20"/>
              </w:rPr>
            </w:pPr>
            <w:r w:rsidRPr="007C51D6">
              <w:rPr>
                <w:rFonts w:eastAsia="Arial"/>
                <w:sz w:val="20"/>
                <w:szCs w:val="20"/>
              </w:rPr>
              <w:t>25,0</w:t>
            </w:r>
          </w:p>
        </w:tc>
        <w:tc>
          <w:tcPr>
            <w:tcW w:w="1213" w:type="dxa"/>
            <w:vAlign w:val="bottom"/>
          </w:tcPr>
          <w:p w:rsidR="003B113F" w:rsidRPr="007C51D6" w:rsidRDefault="003B113F" w:rsidP="003B113F">
            <w:pPr>
              <w:jc w:val="center"/>
              <w:rPr>
                <w:color w:val="000000"/>
                <w:sz w:val="20"/>
                <w:szCs w:val="20"/>
              </w:rPr>
            </w:pPr>
            <w:r w:rsidRPr="007C51D6">
              <w:rPr>
                <w:color w:val="000000"/>
                <w:sz w:val="20"/>
                <w:szCs w:val="20"/>
              </w:rPr>
              <w:t>28,6</w:t>
            </w:r>
          </w:p>
        </w:tc>
      </w:tr>
      <w:tr w:rsidR="003B113F" w:rsidRPr="007C51D6" w:rsidTr="00742D16">
        <w:tblPrEx>
          <w:tblBorders>
            <w:bottom w:val="single" w:sz="4" w:space="0" w:color="auto"/>
          </w:tblBorders>
        </w:tblPrEx>
        <w:trPr>
          <w:trHeight w:val="20"/>
        </w:trPr>
        <w:tc>
          <w:tcPr>
            <w:tcW w:w="1696" w:type="dxa"/>
            <w:vMerge/>
          </w:tcPr>
          <w:p w:rsidR="003B113F" w:rsidRPr="007C51D6" w:rsidRDefault="003B113F" w:rsidP="003B113F">
            <w:pPr>
              <w:jc w:val="both"/>
              <w:rPr>
                <w:rFonts w:eastAsia="Arial"/>
                <w:sz w:val="20"/>
                <w:szCs w:val="20"/>
                <w:lang w:val="en-US"/>
              </w:rPr>
            </w:pPr>
          </w:p>
        </w:tc>
        <w:tc>
          <w:tcPr>
            <w:tcW w:w="1304" w:type="dxa"/>
          </w:tcPr>
          <w:p w:rsidR="003B113F" w:rsidRPr="007C51D6" w:rsidRDefault="003B113F" w:rsidP="003B113F">
            <w:pPr>
              <w:jc w:val="both"/>
              <w:rPr>
                <w:rFonts w:eastAsia="Arial"/>
                <w:sz w:val="20"/>
                <w:szCs w:val="20"/>
                <w:lang w:val="en-US"/>
              </w:rPr>
            </w:pPr>
            <w:r w:rsidRPr="007C51D6">
              <w:rPr>
                <w:rFonts w:eastAsia="Arial"/>
                <w:sz w:val="20"/>
                <w:szCs w:val="20"/>
                <w:lang w:val="en-US"/>
              </w:rPr>
              <w:t>III</w:t>
            </w:r>
            <w:r w:rsidRPr="007C51D6">
              <w:rPr>
                <w:rFonts w:eastAsia="Arial"/>
                <w:sz w:val="20"/>
                <w:szCs w:val="20"/>
              </w:rPr>
              <w:t xml:space="preserve"> стадия</w:t>
            </w:r>
          </w:p>
        </w:tc>
        <w:tc>
          <w:tcPr>
            <w:tcW w:w="1210" w:type="dxa"/>
          </w:tcPr>
          <w:p w:rsidR="003B113F" w:rsidRPr="007C51D6" w:rsidRDefault="003B113F" w:rsidP="003B113F">
            <w:pPr>
              <w:autoSpaceDE/>
              <w:autoSpaceDN/>
              <w:adjustRightInd/>
              <w:jc w:val="center"/>
              <w:rPr>
                <w:rFonts w:eastAsia="Arial"/>
                <w:sz w:val="20"/>
                <w:szCs w:val="20"/>
              </w:rPr>
            </w:pPr>
            <w:r w:rsidRPr="007C51D6">
              <w:rPr>
                <w:rFonts w:eastAsia="Arial"/>
                <w:sz w:val="20"/>
                <w:szCs w:val="20"/>
              </w:rPr>
              <w:t>30,3</w:t>
            </w:r>
          </w:p>
        </w:tc>
        <w:tc>
          <w:tcPr>
            <w:tcW w:w="1211" w:type="dxa"/>
          </w:tcPr>
          <w:p w:rsidR="003B113F" w:rsidRPr="007C51D6" w:rsidRDefault="003B113F" w:rsidP="003B113F">
            <w:pPr>
              <w:autoSpaceDE/>
              <w:autoSpaceDN/>
              <w:adjustRightInd/>
              <w:jc w:val="center"/>
              <w:rPr>
                <w:rFonts w:eastAsia="Arial"/>
                <w:sz w:val="20"/>
                <w:szCs w:val="20"/>
              </w:rPr>
            </w:pPr>
            <w:r w:rsidRPr="007C51D6">
              <w:rPr>
                <w:rFonts w:eastAsia="Arial"/>
                <w:sz w:val="20"/>
                <w:szCs w:val="20"/>
              </w:rPr>
              <w:t>29,7</w:t>
            </w:r>
          </w:p>
        </w:tc>
        <w:tc>
          <w:tcPr>
            <w:tcW w:w="1213" w:type="dxa"/>
          </w:tcPr>
          <w:p w:rsidR="003B113F" w:rsidRPr="007C51D6" w:rsidRDefault="003B113F" w:rsidP="003B113F">
            <w:pPr>
              <w:autoSpaceDE/>
              <w:autoSpaceDN/>
              <w:adjustRightInd/>
              <w:jc w:val="center"/>
              <w:rPr>
                <w:rFonts w:eastAsia="Arial"/>
                <w:sz w:val="20"/>
                <w:szCs w:val="20"/>
              </w:rPr>
            </w:pPr>
            <w:r w:rsidRPr="007C51D6">
              <w:rPr>
                <w:rFonts w:eastAsia="Arial"/>
                <w:sz w:val="20"/>
                <w:szCs w:val="20"/>
              </w:rPr>
              <w:t>27,6</w:t>
            </w:r>
          </w:p>
        </w:tc>
        <w:tc>
          <w:tcPr>
            <w:tcW w:w="1213" w:type="dxa"/>
          </w:tcPr>
          <w:p w:rsidR="003B113F" w:rsidRPr="007C51D6" w:rsidRDefault="003B113F" w:rsidP="003B113F">
            <w:pPr>
              <w:autoSpaceDE/>
              <w:autoSpaceDN/>
              <w:adjustRightInd/>
              <w:jc w:val="center"/>
              <w:rPr>
                <w:rFonts w:eastAsia="Arial"/>
                <w:sz w:val="20"/>
                <w:szCs w:val="20"/>
              </w:rPr>
            </w:pPr>
            <w:r w:rsidRPr="007C51D6">
              <w:rPr>
                <w:rFonts w:eastAsia="Arial"/>
                <w:sz w:val="20"/>
                <w:szCs w:val="20"/>
              </w:rPr>
              <w:t>25,4</w:t>
            </w:r>
          </w:p>
        </w:tc>
        <w:tc>
          <w:tcPr>
            <w:tcW w:w="1213" w:type="dxa"/>
          </w:tcPr>
          <w:p w:rsidR="003B113F" w:rsidRPr="007C51D6" w:rsidRDefault="003B113F" w:rsidP="003B113F">
            <w:pPr>
              <w:autoSpaceDE/>
              <w:autoSpaceDN/>
              <w:adjustRightInd/>
              <w:jc w:val="center"/>
              <w:rPr>
                <w:rFonts w:eastAsia="Arial"/>
                <w:sz w:val="20"/>
                <w:szCs w:val="20"/>
              </w:rPr>
            </w:pPr>
            <w:r w:rsidRPr="007C51D6">
              <w:rPr>
                <w:rFonts w:eastAsia="Arial"/>
                <w:sz w:val="20"/>
                <w:szCs w:val="20"/>
              </w:rPr>
              <w:t>29,0</w:t>
            </w:r>
          </w:p>
        </w:tc>
        <w:tc>
          <w:tcPr>
            <w:tcW w:w="1213" w:type="dxa"/>
          </w:tcPr>
          <w:p w:rsidR="003B113F" w:rsidRPr="007C51D6" w:rsidRDefault="003B113F" w:rsidP="003B113F">
            <w:pPr>
              <w:autoSpaceDE/>
              <w:autoSpaceDN/>
              <w:adjustRightInd/>
              <w:jc w:val="center"/>
              <w:rPr>
                <w:rFonts w:eastAsia="Arial"/>
                <w:sz w:val="20"/>
                <w:szCs w:val="20"/>
              </w:rPr>
            </w:pPr>
            <w:r w:rsidRPr="007C51D6">
              <w:rPr>
                <w:rFonts w:eastAsia="Arial"/>
                <w:sz w:val="20"/>
                <w:szCs w:val="20"/>
              </w:rPr>
              <w:t>31,5</w:t>
            </w:r>
          </w:p>
        </w:tc>
        <w:tc>
          <w:tcPr>
            <w:tcW w:w="1213" w:type="dxa"/>
          </w:tcPr>
          <w:p w:rsidR="003B113F" w:rsidRPr="007C51D6" w:rsidRDefault="003B113F" w:rsidP="003B113F">
            <w:pPr>
              <w:autoSpaceDE/>
              <w:autoSpaceDN/>
              <w:adjustRightInd/>
              <w:jc w:val="center"/>
              <w:rPr>
                <w:rFonts w:eastAsia="Arial"/>
                <w:sz w:val="20"/>
                <w:szCs w:val="20"/>
              </w:rPr>
            </w:pPr>
            <w:r w:rsidRPr="007C51D6">
              <w:rPr>
                <w:rFonts w:eastAsia="Arial"/>
                <w:sz w:val="20"/>
                <w:szCs w:val="20"/>
              </w:rPr>
              <w:t>35,6</w:t>
            </w:r>
          </w:p>
        </w:tc>
        <w:tc>
          <w:tcPr>
            <w:tcW w:w="1213" w:type="dxa"/>
          </w:tcPr>
          <w:p w:rsidR="003B113F" w:rsidRPr="007C51D6" w:rsidRDefault="003B113F" w:rsidP="003B113F">
            <w:pPr>
              <w:autoSpaceDE/>
              <w:autoSpaceDN/>
              <w:adjustRightInd/>
              <w:jc w:val="center"/>
              <w:rPr>
                <w:rFonts w:eastAsia="Arial"/>
                <w:sz w:val="20"/>
                <w:szCs w:val="20"/>
              </w:rPr>
            </w:pPr>
            <w:r w:rsidRPr="007C51D6">
              <w:rPr>
                <w:rFonts w:eastAsia="Arial"/>
                <w:sz w:val="20"/>
                <w:szCs w:val="20"/>
              </w:rPr>
              <w:t>31,7</w:t>
            </w:r>
          </w:p>
        </w:tc>
        <w:tc>
          <w:tcPr>
            <w:tcW w:w="1213" w:type="dxa"/>
          </w:tcPr>
          <w:p w:rsidR="003B113F" w:rsidRPr="007C51D6" w:rsidRDefault="003B113F" w:rsidP="003B113F">
            <w:pPr>
              <w:autoSpaceDE/>
              <w:autoSpaceDN/>
              <w:adjustRightInd/>
              <w:jc w:val="center"/>
              <w:rPr>
                <w:rFonts w:eastAsia="Arial"/>
                <w:sz w:val="20"/>
                <w:szCs w:val="20"/>
              </w:rPr>
            </w:pPr>
            <w:r w:rsidRPr="007C51D6">
              <w:rPr>
                <w:rFonts w:eastAsia="Arial"/>
                <w:sz w:val="20"/>
                <w:szCs w:val="20"/>
              </w:rPr>
              <w:t>22,5</w:t>
            </w:r>
          </w:p>
        </w:tc>
        <w:tc>
          <w:tcPr>
            <w:tcW w:w="1213" w:type="dxa"/>
            <w:vAlign w:val="bottom"/>
          </w:tcPr>
          <w:p w:rsidR="003B113F" w:rsidRPr="007C51D6" w:rsidRDefault="003B113F" w:rsidP="003B113F">
            <w:pPr>
              <w:jc w:val="center"/>
              <w:rPr>
                <w:color w:val="000000"/>
                <w:sz w:val="20"/>
                <w:szCs w:val="20"/>
              </w:rPr>
            </w:pPr>
            <w:r w:rsidRPr="007C51D6">
              <w:rPr>
                <w:color w:val="000000"/>
                <w:sz w:val="20"/>
                <w:szCs w:val="20"/>
              </w:rPr>
              <w:t>33,9</w:t>
            </w:r>
          </w:p>
        </w:tc>
      </w:tr>
      <w:tr w:rsidR="003B113F" w:rsidRPr="007C51D6" w:rsidTr="00742D16">
        <w:tblPrEx>
          <w:tblBorders>
            <w:bottom w:val="single" w:sz="4" w:space="0" w:color="auto"/>
          </w:tblBorders>
        </w:tblPrEx>
        <w:trPr>
          <w:trHeight w:val="20"/>
        </w:trPr>
        <w:tc>
          <w:tcPr>
            <w:tcW w:w="1696" w:type="dxa"/>
            <w:vMerge/>
          </w:tcPr>
          <w:p w:rsidR="003B113F" w:rsidRPr="007C51D6" w:rsidRDefault="003B113F" w:rsidP="003B113F">
            <w:pPr>
              <w:jc w:val="both"/>
              <w:rPr>
                <w:rFonts w:eastAsia="Arial"/>
                <w:sz w:val="20"/>
                <w:szCs w:val="20"/>
                <w:lang w:val="en-US"/>
              </w:rPr>
            </w:pPr>
          </w:p>
        </w:tc>
        <w:tc>
          <w:tcPr>
            <w:tcW w:w="1304" w:type="dxa"/>
          </w:tcPr>
          <w:p w:rsidR="003B113F" w:rsidRPr="007C51D6" w:rsidRDefault="003B113F" w:rsidP="003B113F">
            <w:pPr>
              <w:jc w:val="both"/>
            </w:pPr>
            <w:r w:rsidRPr="007C51D6">
              <w:rPr>
                <w:rFonts w:eastAsia="Arial"/>
                <w:sz w:val="20"/>
                <w:szCs w:val="20"/>
                <w:lang w:val="en-US"/>
              </w:rPr>
              <w:t>IV</w:t>
            </w:r>
            <w:r w:rsidRPr="007C51D6">
              <w:rPr>
                <w:rFonts w:eastAsia="Arial"/>
                <w:sz w:val="20"/>
                <w:szCs w:val="20"/>
              </w:rPr>
              <w:t xml:space="preserve"> стадия</w:t>
            </w:r>
          </w:p>
        </w:tc>
        <w:tc>
          <w:tcPr>
            <w:tcW w:w="1210" w:type="dxa"/>
          </w:tcPr>
          <w:p w:rsidR="003B113F" w:rsidRPr="007C51D6" w:rsidRDefault="003B113F" w:rsidP="003B113F">
            <w:pPr>
              <w:autoSpaceDE/>
              <w:autoSpaceDN/>
              <w:adjustRightInd/>
              <w:jc w:val="center"/>
              <w:rPr>
                <w:rFonts w:eastAsia="Arial"/>
                <w:sz w:val="20"/>
                <w:szCs w:val="20"/>
              </w:rPr>
            </w:pPr>
            <w:r w:rsidRPr="007C51D6">
              <w:rPr>
                <w:rFonts w:eastAsia="Arial"/>
                <w:sz w:val="20"/>
                <w:szCs w:val="20"/>
              </w:rPr>
              <w:t>25,8</w:t>
            </w:r>
          </w:p>
        </w:tc>
        <w:tc>
          <w:tcPr>
            <w:tcW w:w="1211" w:type="dxa"/>
          </w:tcPr>
          <w:p w:rsidR="003B113F" w:rsidRPr="007C51D6" w:rsidRDefault="003B113F" w:rsidP="003B113F">
            <w:pPr>
              <w:autoSpaceDE/>
              <w:autoSpaceDN/>
              <w:adjustRightInd/>
              <w:jc w:val="center"/>
              <w:rPr>
                <w:rFonts w:eastAsia="Arial"/>
                <w:sz w:val="20"/>
                <w:szCs w:val="20"/>
              </w:rPr>
            </w:pPr>
            <w:r w:rsidRPr="007C51D6">
              <w:rPr>
                <w:rFonts w:eastAsia="Arial"/>
                <w:sz w:val="20"/>
                <w:szCs w:val="20"/>
              </w:rPr>
              <w:t>20,3</w:t>
            </w:r>
          </w:p>
        </w:tc>
        <w:tc>
          <w:tcPr>
            <w:tcW w:w="1213" w:type="dxa"/>
          </w:tcPr>
          <w:p w:rsidR="003B113F" w:rsidRPr="007C51D6" w:rsidRDefault="003B113F" w:rsidP="003B113F">
            <w:pPr>
              <w:autoSpaceDE/>
              <w:autoSpaceDN/>
              <w:adjustRightInd/>
              <w:jc w:val="center"/>
              <w:rPr>
                <w:rFonts w:eastAsia="Arial"/>
                <w:sz w:val="20"/>
                <w:szCs w:val="20"/>
              </w:rPr>
            </w:pPr>
            <w:r w:rsidRPr="007C51D6">
              <w:rPr>
                <w:rFonts w:eastAsia="Arial"/>
                <w:sz w:val="20"/>
                <w:szCs w:val="20"/>
              </w:rPr>
              <w:t>20,7</w:t>
            </w:r>
          </w:p>
        </w:tc>
        <w:tc>
          <w:tcPr>
            <w:tcW w:w="1213" w:type="dxa"/>
          </w:tcPr>
          <w:p w:rsidR="003B113F" w:rsidRPr="007C51D6" w:rsidRDefault="003B113F" w:rsidP="003B113F">
            <w:pPr>
              <w:autoSpaceDE/>
              <w:autoSpaceDN/>
              <w:adjustRightInd/>
              <w:jc w:val="center"/>
              <w:rPr>
                <w:rFonts w:eastAsia="Arial"/>
                <w:sz w:val="20"/>
                <w:szCs w:val="20"/>
              </w:rPr>
            </w:pPr>
            <w:r w:rsidRPr="007C51D6">
              <w:rPr>
                <w:rFonts w:eastAsia="Arial"/>
                <w:sz w:val="20"/>
                <w:szCs w:val="20"/>
              </w:rPr>
              <w:t>23,9</w:t>
            </w:r>
          </w:p>
        </w:tc>
        <w:tc>
          <w:tcPr>
            <w:tcW w:w="1213" w:type="dxa"/>
          </w:tcPr>
          <w:p w:rsidR="003B113F" w:rsidRPr="007C51D6" w:rsidRDefault="003B113F" w:rsidP="003B113F">
            <w:pPr>
              <w:autoSpaceDE/>
              <w:autoSpaceDN/>
              <w:adjustRightInd/>
              <w:jc w:val="center"/>
              <w:rPr>
                <w:rFonts w:eastAsia="Arial"/>
                <w:sz w:val="20"/>
                <w:szCs w:val="20"/>
              </w:rPr>
            </w:pPr>
            <w:r w:rsidRPr="007C51D6">
              <w:rPr>
                <w:rFonts w:eastAsia="Arial"/>
                <w:sz w:val="20"/>
                <w:szCs w:val="20"/>
              </w:rPr>
              <w:t>24,6</w:t>
            </w:r>
          </w:p>
        </w:tc>
        <w:tc>
          <w:tcPr>
            <w:tcW w:w="1213" w:type="dxa"/>
          </w:tcPr>
          <w:p w:rsidR="003B113F" w:rsidRPr="007C51D6" w:rsidRDefault="003B113F" w:rsidP="003B113F">
            <w:pPr>
              <w:autoSpaceDE/>
              <w:autoSpaceDN/>
              <w:adjustRightInd/>
              <w:jc w:val="center"/>
              <w:rPr>
                <w:rFonts w:eastAsia="Arial"/>
                <w:sz w:val="20"/>
                <w:szCs w:val="20"/>
              </w:rPr>
            </w:pPr>
            <w:r w:rsidRPr="007C51D6">
              <w:rPr>
                <w:rFonts w:eastAsia="Arial"/>
                <w:sz w:val="20"/>
                <w:szCs w:val="20"/>
              </w:rPr>
              <w:t>27,4</w:t>
            </w:r>
          </w:p>
        </w:tc>
        <w:tc>
          <w:tcPr>
            <w:tcW w:w="1213" w:type="dxa"/>
          </w:tcPr>
          <w:p w:rsidR="003B113F" w:rsidRPr="007C51D6" w:rsidRDefault="003B113F" w:rsidP="003B113F">
            <w:pPr>
              <w:autoSpaceDE/>
              <w:autoSpaceDN/>
              <w:adjustRightInd/>
              <w:jc w:val="center"/>
              <w:rPr>
                <w:rFonts w:eastAsia="Arial"/>
                <w:sz w:val="20"/>
                <w:szCs w:val="20"/>
              </w:rPr>
            </w:pPr>
            <w:r w:rsidRPr="007C51D6">
              <w:rPr>
                <w:rFonts w:eastAsia="Arial"/>
                <w:sz w:val="20"/>
                <w:szCs w:val="20"/>
              </w:rPr>
              <w:t>26,4</w:t>
            </w:r>
          </w:p>
        </w:tc>
        <w:tc>
          <w:tcPr>
            <w:tcW w:w="1213" w:type="dxa"/>
          </w:tcPr>
          <w:p w:rsidR="003B113F" w:rsidRPr="007C51D6" w:rsidRDefault="003B113F" w:rsidP="003B113F">
            <w:pPr>
              <w:autoSpaceDE/>
              <w:autoSpaceDN/>
              <w:adjustRightInd/>
              <w:jc w:val="center"/>
              <w:rPr>
                <w:rFonts w:eastAsia="Arial"/>
                <w:sz w:val="20"/>
                <w:szCs w:val="20"/>
              </w:rPr>
            </w:pPr>
            <w:r w:rsidRPr="007C51D6">
              <w:rPr>
                <w:rFonts w:eastAsia="Arial"/>
                <w:sz w:val="20"/>
                <w:szCs w:val="20"/>
              </w:rPr>
              <w:t>35,4</w:t>
            </w:r>
          </w:p>
        </w:tc>
        <w:tc>
          <w:tcPr>
            <w:tcW w:w="1213" w:type="dxa"/>
          </w:tcPr>
          <w:p w:rsidR="003B113F" w:rsidRPr="007C51D6" w:rsidRDefault="003B113F" w:rsidP="003B113F">
            <w:pPr>
              <w:autoSpaceDE/>
              <w:autoSpaceDN/>
              <w:adjustRightInd/>
              <w:jc w:val="center"/>
              <w:rPr>
                <w:rFonts w:eastAsia="Arial"/>
                <w:sz w:val="20"/>
                <w:szCs w:val="20"/>
              </w:rPr>
            </w:pPr>
            <w:r w:rsidRPr="007C51D6">
              <w:rPr>
                <w:rFonts w:eastAsia="Arial"/>
                <w:sz w:val="20"/>
                <w:szCs w:val="20"/>
              </w:rPr>
              <w:t>32,5</w:t>
            </w:r>
          </w:p>
        </w:tc>
        <w:tc>
          <w:tcPr>
            <w:tcW w:w="1213" w:type="dxa"/>
            <w:vAlign w:val="bottom"/>
          </w:tcPr>
          <w:p w:rsidR="003B113F" w:rsidRPr="007C51D6" w:rsidRDefault="003B113F" w:rsidP="003B113F">
            <w:pPr>
              <w:jc w:val="center"/>
              <w:rPr>
                <w:color w:val="000000"/>
                <w:sz w:val="20"/>
                <w:szCs w:val="20"/>
              </w:rPr>
            </w:pPr>
            <w:r w:rsidRPr="007C51D6">
              <w:rPr>
                <w:color w:val="000000"/>
                <w:sz w:val="20"/>
                <w:szCs w:val="20"/>
              </w:rPr>
              <w:t>23,9</w:t>
            </w:r>
          </w:p>
        </w:tc>
      </w:tr>
      <w:tr w:rsidR="003B113F" w:rsidRPr="007C51D6" w:rsidTr="00742D16">
        <w:tblPrEx>
          <w:tblBorders>
            <w:bottom w:val="single" w:sz="4" w:space="0" w:color="auto"/>
          </w:tblBorders>
        </w:tblPrEx>
        <w:trPr>
          <w:trHeight w:val="20"/>
        </w:trPr>
        <w:tc>
          <w:tcPr>
            <w:tcW w:w="1696" w:type="dxa"/>
            <w:vMerge/>
          </w:tcPr>
          <w:p w:rsidR="003B113F" w:rsidRPr="007C51D6" w:rsidRDefault="003B113F" w:rsidP="003B113F">
            <w:pPr>
              <w:autoSpaceDE/>
              <w:autoSpaceDN/>
              <w:adjustRightInd/>
              <w:jc w:val="both"/>
              <w:rPr>
                <w:rFonts w:eastAsia="Arial"/>
                <w:sz w:val="20"/>
                <w:szCs w:val="20"/>
              </w:rPr>
            </w:pPr>
          </w:p>
        </w:tc>
        <w:tc>
          <w:tcPr>
            <w:tcW w:w="1304" w:type="dxa"/>
          </w:tcPr>
          <w:p w:rsidR="003B113F" w:rsidRPr="007C51D6" w:rsidRDefault="003B113F" w:rsidP="003B113F">
            <w:pPr>
              <w:autoSpaceDE/>
              <w:autoSpaceDN/>
              <w:adjustRightInd/>
              <w:jc w:val="both"/>
              <w:rPr>
                <w:rFonts w:eastAsia="Arial"/>
                <w:sz w:val="20"/>
                <w:szCs w:val="20"/>
              </w:rPr>
            </w:pPr>
            <w:r w:rsidRPr="007C51D6">
              <w:rPr>
                <w:rFonts w:eastAsia="Arial"/>
                <w:sz w:val="20"/>
                <w:szCs w:val="20"/>
              </w:rPr>
              <w:t>без стадии</w:t>
            </w:r>
          </w:p>
        </w:tc>
        <w:tc>
          <w:tcPr>
            <w:tcW w:w="1210" w:type="dxa"/>
          </w:tcPr>
          <w:p w:rsidR="003B113F" w:rsidRPr="007C51D6" w:rsidRDefault="003B113F" w:rsidP="003B113F">
            <w:pPr>
              <w:autoSpaceDE/>
              <w:autoSpaceDN/>
              <w:adjustRightInd/>
              <w:jc w:val="center"/>
              <w:rPr>
                <w:rFonts w:eastAsia="Arial"/>
                <w:sz w:val="20"/>
                <w:szCs w:val="20"/>
              </w:rPr>
            </w:pPr>
            <w:r w:rsidRPr="007C51D6">
              <w:rPr>
                <w:rFonts w:eastAsia="Arial"/>
                <w:sz w:val="20"/>
                <w:szCs w:val="20"/>
              </w:rPr>
              <w:t>0</w:t>
            </w:r>
          </w:p>
        </w:tc>
        <w:tc>
          <w:tcPr>
            <w:tcW w:w="1211" w:type="dxa"/>
          </w:tcPr>
          <w:p w:rsidR="003B113F" w:rsidRPr="007C51D6" w:rsidRDefault="003B113F" w:rsidP="003B113F">
            <w:pPr>
              <w:autoSpaceDE/>
              <w:autoSpaceDN/>
              <w:adjustRightInd/>
              <w:jc w:val="center"/>
              <w:rPr>
                <w:rFonts w:eastAsia="Arial"/>
                <w:sz w:val="20"/>
                <w:szCs w:val="20"/>
              </w:rPr>
            </w:pPr>
            <w:r w:rsidRPr="007C51D6">
              <w:rPr>
                <w:rFonts w:eastAsia="Arial"/>
                <w:sz w:val="20"/>
                <w:szCs w:val="20"/>
              </w:rPr>
              <w:t>0</w:t>
            </w:r>
          </w:p>
        </w:tc>
        <w:tc>
          <w:tcPr>
            <w:tcW w:w="1213" w:type="dxa"/>
          </w:tcPr>
          <w:p w:rsidR="003B113F" w:rsidRPr="007C51D6" w:rsidRDefault="003B113F" w:rsidP="003B113F">
            <w:pPr>
              <w:autoSpaceDE/>
              <w:autoSpaceDN/>
              <w:adjustRightInd/>
              <w:jc w:val="center"/>
              <w:rPr>
                <w:rFonts w:eastAsia="Arial"/>
                <w:sz w:val="20"/>
                <w:szCs w:val="20"/>
              </w:rPr>
            </w:pPr>
            <w:r w:rsidRPr="007C51D6">
              <w:rPr>
                <w:rFonts w:eastAsia="Arial"/>
                <w:sz w:val="20"/>
                <w:szCs w:val="20"/>
              </w:rPr>
              <w:t>0</w:t>
            </w:r>
          </w:p>
        </w:tc>
        <w:tc>
          <w:tcPr>
            <w:tcW w:w="1213" w:type="dxa"/>
          </w:tcPr>
          <w:p w:rsidR="003B113F" w:rsidRPr="007C51D6" w:rsidRDefault="003B113F" w:rsidP="003B113F">
            <w:pPr>
              <w:autoSpaceDE/>
              <w:autoSpaceDN/>
              <w:adjustRightInd/>
              <w:jc w:val="center"/>
              <w:rPr>
                <w:rFonts w:eastAsia="Arial"/>
                <w:sz w:val="20"/>
                <w:szCs w:val="20"/>
              </w:rPr>
            </w:pPr>
            <w:r w:rsidRPr="007C51D6">
              <w:rPr>
                <w:rFonts w:eastAsia="Arial"/>
                <w:sz w:val="20"/>
                <w:szCs w:val="20"/>
              </w:rPr>
              <w:t>0</w:t>
            </w:r>
          </w:p>
        </w:tc>
        <w:tc>
          <w:tcPr>
            <w:tcW w:w="1213" w:type="dxa"/>
          </w:tcPr>
          <w:p w:rsidR="003B113F" w:rsidRPr="007C51D6" w:rsidRDefault="003B113F" w:rsidP="003B113F">
            <w:pPr>
              <w:autoSpaceDE/>
              <w:autoSpaceDN/>
              <w:adjustRightInd/>
              <w:jc w:val="center"/>
              <w:rPr>
                <w:rFonts w:eastAsia="Arial"/>
                <w:sz w:val="20"/>
                <w:szCs w:val="20"/>
              </w:rPr>
            </w:pPr>
            <w:r w:rsidRPr="007C51D6">
              <w:rPr>
                <w:rFonts w:eastAsia="Arial"/>
                <w:sz w:val="20"/>
                <w:szCs w:val="20"/>
              </w:rPr>
              <w:t>0</w:t>
            </w:r>
          </w:p>
        </w:tc>
        <w:tc>
          <w:tcPr>
            <w:tcW w:w="1213" w:type="dxa"/>
          </w:tcPr>
          <w:p w:rsidR="003B113F" w:rsidRPr="007C51D6" w:rsidRDefault="003B113F" w:rsidP="003B113F">
            <w:pPr>
              <w:autoSpaceDE/>
              <w:autoSpaceDN/>
              <w:adjustRightInd/>
              <w:jc w:val="center"/>
              <w:rPr>
                <w:rFonts w:eastAsia="Arial"/>
                <w:sz w:val="20"/>
                <w:szCs w:val="20"/>
              </w:rPr>
            </w:pPr>
            <w:r w:rsidRPr="007C51D6">
              <w:rPr>
                <w:rFonts w:eastAsia="Arial"/>
                <w:sz w:val="20"/>
                <w:szCs w:val="20"/>
              </w:rPr>
              <w:t>0</w:t>
            </w:r>
          </w:p>
        </w:tc>
        <w:tc>
          <w:tcPr>
            <w:tcW w:w="1213" w:type="dxa"/>
          </w:tcPr>
          <w:p w:rsidR="003B113F" w:rsidRPr="007C51D6" w:rsidRDefault="003B113F" w:rsidP="003B113F">
            <w:pPr>
              <w:autoSpaceDE/>
              <w:autoSpaceDN/>
              <w:adjustRightInd/>
              <w:jc w:val="center"/>
              <w:rPr>
                <w:rFonts w:eastAsia="Arial"/>
                <w:sz w:val="20"/>
                <w:szCs w:val="20"/>
              </w:rPr>
            </w:pPr>
            <w:r w:rsidRPr="007C51D6">
              <w:rPr>
                <w:rFonts w:eastAsia="Arial"/>
                <w:sz w:val="20"/>
                <w:szCs w:val="20"/>
              </w:rPr>
              <w:t>0</w:t>
            </w:r>
          </w:p>
        </w:tc>
        <w:tc>
          <w:tcPr>
            <w:tcW w:w="1213" w:type="dxa"/>
          </w:tcPr>
          <w:p w:rsidR="003B113F" w:rsidRPr="007C51D6" w:rsidRDefault="003B113F" w:rsidP="003B113F">
            <w:pPr>
              <w:autoSpaceDE/>
              <w:autoSpaceDN/>
              <w:adjustRightInd/>
              <w:jc w:val="center"/>
              <w:rPr>
                <w:rFonts w:eastAsia="Arial"/>
                <w:sz w:val="20"/>
                <w:szCs w:val="20"/>
              </w:rPr>
            </w:pPr>
            <w:r w:rsidRPr="007C51D6">
              <w:rPr>
                <w:rFonts w:eastAsia="Arial"/>
                <w:sz w:val="20"/>
                <w:szCs w:val="20"/>
              </w:rPr>
              <w:t>0</w:t>
            </w:r>
          </w:p>
        </w:tc>
        <w:tc>
          <w:tcPr>
            <w:tcW w:w="1213" w:type="dxa"/>
          </w:tcPr>
          <w:p w:rsidR="003B113F" w:rsidRPr="007C51D6" w:rsidRDefault="003B113F" w:rsidP="003B113F">
            <w:pPr>
              <w:autoSpaceDE/>
              <w:autoSpaceDN/>
              <w:adjustRightInd/>
              <w:jc w:val="center"/>
              <w:rPr>
                <w:rFonts w:eastAsia="Arial"/>
                <w:sz w:val="20"/>
                <w:szCs w:val="20"/>
              </w:rPr>
            </w:pPr>
            <w:r w:rsidRPr="007C51D6">
              <w:rPr>
                <w:rFonts w:eastAsia="Arial"/>
                <w:sz w:val="20"/>
                <w:szCs w:val="20"/>
              </w:rPr>
              <w:t>0</w:t>
            </w:r>
          </w:p>
        </w:tc>
        <w:tc>
          <w:tcPr>
            <w:tcW w:w="1213" w:type="dxa"/>
            <w:vAlign w:val="center"/>
          </w:tcPr>
          <w:p w:rsidR="003B113F" w:rsidRPr="007C51D6" w:rsidRDefault="003B113F" w:rsidP="003B113F">
            <w:pPr>
              <w:jc w:val="center"/>
              <w:rPr>
                <w:color w:val="000000"/>
                <w:sz w:val="20"/>
                <w:szCs w:val="20"/>
              </w:rPr>
            </w:pPr>
            <w:r w:rsidRPr="007C51D6">
              <w:rPr>
                <w:color w:val="000000"/>
                <w:sz w:val="20"/>
                <w:szCs w:val="20"/>
              </w:rPr>
              <w:t>0</w:t>
            </w:r>
          </w:p>
        </w:tc>
      </w:tr>
      <w:tr w:rsidR="00417BDB" w:rsidRPr="007C51D6" w:rsidTr="00742D16">
        <w:tblPrEx>
          <w:tblBorders>
            <w:bottom w:val="single" w:sz="4" w:space="0" w:color="auto"/>
          </w:tblBorders>
        </w:tblPrEx>
        <w:trPr>
          <w:trHeight w:val="20"/>
        </w:trPr>
        <w:tc>
          <w:tcPr>
            <w:tcW w:w="1696" w:type="dxa"/>
            <w:vMerge w:val="restart"/>
          </w:tcPr>
          <w:p w:rsidR="00417BDB" w:rsidRPr="007C51D6" w:rsidRDefault="00417BDB" w:rsidP="003B113F">
            <w:pPr>
              <w:jc w:val="both"/>
              <w:rPr>
                <w:rFonts w:eastAsia="Arial"/>
                <w:sz w:val="20"/>
                <w:szCs w:val="20"/>
              </w:rPr>
            </w:pPr>
            <w:r w:rsidRPr="007C51D6">
              <w:rPr>
                <w:rFonts w:eastAsia="Arial"/>
                <w:sz w:val="20"/>
                <w:szCs w:val="20"/>
              </w:rPr>
              <w:t>ЗНО десны (С03)</w:t>
            </w:r>
          </w:p>
        </w:tc>
        <w:tc>
          <w:tcPr>
            <w:tcW w:w="1304" w:type="dxa"/>
          </w:tcPr>
          <w:p w:rsidR="00417BDB" w:rsidRPr="007C51D6" w:rsidRDefault="00417BDB" w:rsidP="003B113F">
            <w:pPr>
              <w:autoSpaceDE/>
              <w:autoSpaceDN/>
              <w:adjustRightInd/>
              <w:jc w:val="both"/>
              <w:rPr>
                <w:rFonts w:eastAsia="Arial"/>
                <w:sz w:val="20"/>
                <w:szCs w:val="20"/>
              </w:rPr>
            </w:pPr>
            <w:r w:rsidRPr="007C51D6">
              <w:rPr>
                <w:rFonts w:eastAsia="Arial"/>
                <w:sz w:val="20"/>
                <w:szCs w:val="20"/>
                <w:lang w:val="en-US"/>
              </w:rPr>
              <w:t>I</w:t>
            </w:r>
            <w:r w:rsidRPr="007C51D6">
              <w:rPr>
                <w:rFonts w:eastAsia="Arial"/>
                <w:sz w:val="20"/>
                <w:szCs w:val="20"/>
              </w:rPr>
              <w:t xml:space="preserve"> стадия</w:t>
            </w:r>
          </w:p>
        </w:tc>
        <w:tc>
          <w:tcPr>
            <w:tcW w:w="1210" w:type="dxa"/>
          </w:tcPr>
          <w:p w:rsidR="00417BDB" w:rsidRPr="007C51D6" w:rsidRDefault="00417BDB" w:rsidP="003B113F">
            <w:pPr>
              <w:autoSpaceDE/>
              <w:autoSpaceDN/>
              <w:adjustRightInd/>
              <w:jc w:val="center"/>
              <w:rPr>
                <w:rFonts w:eastAsia="Arial"/>
                <w:sz w:val="20"/>
                <w:szCs w:val="20"/>
              </w:rPr>
            </w:pPr>
            <w:r w:rsidRPr="007C51D6">
              <w:rPr>
                <w:rFonts w:eastAsia="Arial"/>
                <w:sz w:val="20"/>
                <w:szCs w:val="20"/>
              </w:rPr>
              <w:t>0</w:t>
            </w:r>
          </w:p>
        </w:tc>
        <w:tc>
          <w:tcPr>
            <w:tcW w:w="1211" w:type="dxa"/>
          </w:tcPr>
          <w:p w:rsidR="00417BDB" w:rsidRPr="007C51D6" w:rsidRDefault="00417BDB" w:rsidP="003B113F">
            <w:pPr>
              <w:autoSpaceDE/>
              <w:autoSpaceDN/>
              <w:adjustRightInd/>
              <w:jc w:val="center"/>
              <w:rPr>
                <w:rFonts w:eastAsia="Arial"/>
                <w:sz w:val="20"/>
                <w:szCs w:val="20"/>
              </w:rPr>
            </w:pPr>
            <w:r w:rsidRPr="007C51D6">
              <w:rPr>
                <w:rFonts w:eastAsia="Arial"/>
                <w:sz w:val="20"/>
                <w:szCs w:val="20"/>
              </w:rPr>
              <w:t>4,3</w:t>
            </w:r>
          </w:p>
        </w:tc>
        <w:tc>
          <w:tcPr>
            <w:tcW w:w="1213" w:type="dxa"/>
          </w:tcPr>
          <w:p w:rsidR="00417BDB" w:rsidRPr="007C51D6" w:rsidRDefault="00417BDB" w:rsidP="003B113F">
            <w:pPr>
              <w:autoSpaceDE/>
              <w:autoSpaceDN/>
              <w:adjustRightInd/>
              <w:jc w:val="center"/>
              <w:rPr>
                <w:rFonts w:eastAsia="Arial"/>
                <w:sz w:val="20"/>
                <w:szCs w:val="20"/>
              </w:rPr>
            </w:pPr>
            <w:r w:rsidRPr="007C51D6">
              <w:rPr>
                <w:rFonts w:eastAsia="Arial"/>
                <w:sz w:val="20"/>
                <w:szCs w:val="20"/>
              </w:rPr>
              <w:t>7,7</w:t>
            </w:r>
          </w:p>
        </w:tc>
        <w:tc>
          <w:tcPr>
            <w:tcW w:w="1213" w:type="dxa"/>
          </w:tcPr>
          <w:p w:rsidR="00417BDB" w:rsidRPr="007C51D6" w:rsidRDefault="00417BDB" w:rsidP="003B113F">
            <w:pPr>
              <w:autoSpaceDE/>
              <w:autoSpaceDN/>
              <w:adjustRightInd/>
              <w:jc w:val="center"/>
              <w:rPr>
                <w:rFonts w:eastAsia="Arial"/>
                <w:sz w:val="20"/>
                <w:szCs w:val="20"/>
              </w:rPr>
            </w:pPr>
            <w:r w:rsidRPr="007C51D6">
              <w:rPr>
                <w:rFonts w:eastAsia="Arial"/>
                <w:sz w:val="20"/>
                <w:szCs w:val="20"/>
              </w:rPr>
              <w:t>5,0</w:t>
            </w:r>
          </w:p>
        </w:tc>
        <w:tc>
          <w:tcPr>
            <w:tcW w:w="1213" w:type="dxa"/>
          </w:tcPr>
          <w:p w:rsidR="00417BDB" w:rsidRPr="007C51D6" w:rsidRDefault="00417BDB" w:rsidP="003B113F">
            <w:pPr>
              <w:autoSpaceDE/>
              <w:autoSpaceDN/>
              <w:adjustRightInd/>
              <w:jc w:val="center"/>
              <w:rPr>
                <w:rFonts w:eastAsia="Arial"/>
                <w:sz w:val="20"/>
                <w:szCs w:val="20"/>
              </w:rPr>
            </w:pPr>
            <w:r w:rsidRPr="007C51D6">
              <w:rPr>
                <w:rFonts w:eastAsia="Arial"/>
                <w:sz w:val="20"/>
                <w:szCs w:val="20"/>
              </w:rPr>
              <w:t>12,5</w:t>
            </w:r>
          </w:p>
        </w:tc>
        <w:tc>
          <w:tcPr>
            <w:tcW w:w="1213" w:type="dxa"/>
          </w:tcPr>
          <w:p w:rsidR="00417BDB" w:rsidRPr="007C51D6" w:rsidRDefault="00417BDB" w:rsidP="003B113F">
            <w:pPr>
              <w:autoSpaceDE/>
              <w:autoSpaceDN/>
              <w:adjustRightInd/>
              <w:jc w:val="center"/>
              <w:rPr>
                <w:rFonts w:eastAsia="Arial"/>
                <w:sz w:val="20"/>
                <w:szCs w:val="20"/>
              </w:rPr>
            </w:pPr>
            <w:r w:rsidRPr="007C51D6">
              <w:rPr>
                <w:rFonts w:eastAsia="Arial"/>
                <w:sz w:val="20"/>
                <w:szCs w:val="20"/>
              </w:rPr>
              <w:t>5,6</w:t>
            </w:r>
          </w:p>
        </w:tc>
        <w:tc>
          <w:tcPr>
            <w:tcW w:w="1213" w:type="dxa"/>
          </w:tcPr>
          <w:p w:rsidR="00417BDB" w:rsidRPr="007C51D6" w:rsidRDefault="00417BDB" w:rsidP="003B113F">
            <w:pPr>
              <w:autoSpaceDE/>
              <w:autoSpaceDN/>
              <w:adjustRightInd/>
              <w:jc w:val="center"/>
              <w:rPr>
                <w:rFonts w:eastAsia="Arial"/>
                <w:sz w:val="20"/>
                <w:szCs w:val="20"/>
              </w:rPr>
            </w:pPr>
            <w:r w:rsidRPr="007C51D6">
              <w:rPr>
                <w:rFonts w:eastAsia="Arial"/>
                <w:sz w:val="20"/>
                <w:szCs w:val="20"/>
              </w:rPr>
              <w:t>0</w:t>
            </w:r>
          </w:p>
        </w:tc>
        <w:tc>
          <w:tcPr>
            <w:tcW w:w="1213" w:type="dxa"/>
          </w:tcPr>
          <w:p w:rsidR="00417BDB" w:rsidRPr="007C51D6" w:rsidRDefault="00417BDB" w:rsidP="003B113F">
            <w:pPr>
              <w:autoSpaceDE/>
              <w:autoSpaceDN/>
              <w:adjustRightInd/>
              <w:jc w:val="center"/>
              <w:rPr>
                <w:rFonts w:eastAsia="Arial"/>
                <w:sz w:val="20"/>
                <w:szCs w:val="20"/>
              </w:rPr>
            </w:pPr>
            <w:r w:rsidRPr="007C51D6">
              <w:rPr>
                <w:rFonts w:eastAsia="Arial"/>
                <w:sz w:val="20"/>
                <w:szCs w:val="20"/>
              </w:rPr>
              <w:t>0</w:t>
            </w:r>
          </w:p>
        </w:tc>
        <w:tc>
          <w:tcPr>
            <w:tcW w:w="1213" w:type="dxa"/>
          </w:tcPr>
          <w:p w:rsidR="00417BDB" w:rsidRPr="007C51D6" w:rsidRDefault="00417BDB" w:rsidP="003B113F">
            <w:pPr>
              <w:autoSpaceDE/>
              <w:autoSpaceDN/>
              <w:adjustRightInd/>
              <w:jc w:val="center"/>
              <w:rPr>
                <w:rFonts w:eastAsia="Arial"/>
                <w:sz w:val="20"/>
                <w:szCs w:val="20"/>
              </w:rPr>
            </w:pPr>
            <w:r w:rsidRPr="007C51D6">
              <w:rPr>
                <w:rFonts w:eastAsia="Arial"/>
                <w:sz w:val="20"/>
                <w:szCs w:val="20"/>
              </w:rPr>
              <w:t>6,7</w:t>
            </w:r>
          </w:p>
        </w:tc>
        <w:tc>
          <w:tcPr>
            <w:tcW w:w="1213" w:type="dxa"/>
            <w:vAlign w:val="bottom"/>
          </w:tcPr>
          <w:p w:rsidR="00417BDB" w:rsidRPr="007C51D6" w:rsidRDefault="00417BDB" w:rsidP="003B113F">
            <w:pPr>
              <w:widowControl/>
              <w:autoSpaceDE/>
              <w:autoSpaceDN/>
              <w:adjustRightInd/>
              <w:jc w:val="center"/>
              <w:rPr>
                <w:color w:val="000000"/>
                <w:sz w:val="20"/>
                <w:szCs w:val="20"/>
              </w:rPr>
            </w:pPr>
            <w:r w:rsidRPr="007C51D6">
              <w:rPr>
                <w:color w:val="000000"/>
                <w:sz w:val="20"/>
                <w:szCs w:val="20"/>
              </w:rPr>
              <w:t>6,9</w:t>
            </w:r>
          </w:p>
        </w:tc>
      </w:tr>
      <w:tr w:rsidR="00417BDB" w:rsidRPr="007C51D6" w:rsidTr="00742D16">
        <w:tblPrEx>
          <w:tblBorders>
            <w:bottom w:val="single" w:sz="4" w:space="0" w:color="auto"/>
          </w:tblBorders>
        </w:tblPrEx>
        <w:trPr>
          <w:trHeight w:val="20"/>
        </w:trPr>
        <w:tc>
          <w:tcPr>
            <w:tcW w:w="1696" w:type="dxa"/>
            <w:vMerge/>
          </w:tcPr>
          <w:p w:rsidR="00417BDB" w:rsidRPr="007C51D6" w:rsidRDefault="00417BDB" w:rsidP="003B113F">
            <w:pPr>
              <w:jc w:val="both"/>
              <w:rPr>
                <w:rFonts w:eastAsia="Arial"/>
                <w:sz w:val="20"/>
                <w:szCs w:val="20"/>
                <w:lang w:val="en-US"/>
              </w:rPr>
            </w:pPr>
          </w:p>
        </w:tc>
        <w:tc>
          <w:tcPr>
            <w:tcW w:w="1304" w:type="dxa"/>
          </w:tcPr>
          <w:p w:rsidR="00417BDB" w:rsidRPr="007C51D6" w:rsidRDefault="00417BDB" w:rsidP="003B113F">
            <w:pPr>
              <w:jc w:val="both"/>
              <w:rPr>
                <w:rFonts w:eastAsia="Arial"/>
                <w:sz w:val="20"/>
                <w:szCs w:val="20"/>
                <w:lang w:val="en-US"/>
              </w:rPr>
            </w:pPr>
            <w:r w:rsidRPr="007C51D6">
              <w:rPr>
                <w:rFonts w:eastAsia="Arial"/>
                <w:sz w:val="20"/>
                <w:szCs w:val="20"/>
                <w:lang w:val="en-US"/>
              </w:rPr>
              <w:t>II</w:t>
            </w:r>
            <w:r w:rsidRPr="007C51D6">
              <w:rPr>
                <w:rFonts w:eastAsia="Arial"/>
                <w:sz w:val="20"/>
                <w:szCs w:val="20"/>
              </w:rPr>
              <w:t xml:space="preserve"> стадия</w:t>
            </w:r>
          </w:p>
        </w:tc>
        <w:tc>
          <w:tcPr>
            <w:tcW w:w="1210" w:type="dxa"/>
          </w:tcPr>
          <w:p w:rsidR="00417BDB" w:rsidRPr="007C51D6" w:rsidRDefault="00417BDB" w:rsidP="003B113F">
            <w:pPr>
              <w:autoSpaceDE/>
              <w:autoSpaceDN/>
              <w:adjustRightInd/>
              <w:jc w:val="center"/>
              <w:rPr>
                <w:rFonts w:eastAsia="Arial"/>
                <w:sz w:val="20"/>
                <w:szCs w:val="20"/>
              </w:rPr>
            </w:pPr>
            <w:r w:rsidRPr="007C51D6">
              <w:rPr>
                <w:rFonts w:eastAsia="Arial"/>
                <w:sz w:val="20"/>
                <w:szCs w:val="20"/>
              </w:rPr>
              <w:t>20,0</w:t>
            </w:r>
          </w:p>
        </w:tc>
        <w:tc>
          <w:tcPr>
            <w:tcW w:w="1211" w:type="dxa"/>
          </w:tcPr>
          <w:p w:rsidR="00417BDB" w:rsidRPr="007C51D6" w:rsidRDefault="00417BDB" w:rsidP="003B113F">
            <w:pPr>
              <w:autoSpaceDE/>
              <w:autoSpaceDN/>
              <w:adjustRightInd/>
              <w:jc w:val="center"/>
              <w:rPr>
                <w:rFonts w:eastAsia="Arial"/>
                <w:sz w:val="20"/>
                <w:szCs w:val="20"/>
              </w:rPr>
            </w:pPr>
            <w:r w:rsidRPr="007C51D6">
              <w:rPr>
                <w:rFonts w:eastAsia="Arial"/>
                <w:sz w:val="20"/>
                <w:szCs w:val="20"/>
              </w:rPr>
              <w:t>17,4</w:t>
            </w:r>
          </w:p>
        </w:tc>
        <w:tc>
          <w:tcPr>
            <w:tcW w:w="1213" w:type="dxa"/>
          </w:tcPr>
          <w:p w:rsidR="00417BDB" w:rsidRPr="007C51D6" w:rsidRDefault="00417BDB" w:rsidP="003B113F">
            <w:pPr>
              <w:autoSpaceDE/>
              <w:autoSpaceDN/>
              <w:adjustRightInd/>
              <w:jc w:val="center"/>
              <w:rPr>
                <w:rFonts w:eastAsia="Arial"/>
                <w:sz w:val="20"/>
                <w:szCs w:val="20"/>
              </w:rPr>
            </w:pPr>
            <w:r w:rsidRPr="007C51D6">
              <w:rPr>
                <w:rFonts w:eastAsia="Arial"/>
                <w:sz w:val="20"/>
                <w:szCs w:val="20"/>
              </w:rPr>
              <w:t>23,1</w:t>
            </w:r>
          </w:p>
        </w:tc>
        <w:tc>
          <w:tcPr>
            <w:tcW w:w="1213" w:type="dxa"/>
          </w:tcPr>
          <w:p w:rsidR="00417BDB" w:rsidRPr="007C51D6" w:rsidRDefault="00417BDB" w:rsidP="003B113F">
            <w:pPr>
              <w:autoSpaceDE/>
              <w:autoSpaceDN/>
              <w:adjustRightInd/>
              <w:jc w:val="center"/>
              <w:rPr>
                <w:rFonts w:eastAsia="Arial"/>
                <w:sz w:val="20"/>
                <w:szCs w:val="20"/>
              </w:rPr>
            </w:pPr>
            <w:r w:rsidRPr="007C51D6">
              <w:rPr>
                <w:rFonts w:eastAsia="Arial"/>
                <w:sz w:val="20"/>
                <w:szCs w:val="20"/>
              </w:rPr>
              <w:t>0</w:t>
            </w:r>
          </w:p>
        </w:tc>
        <w:tc>
          <w:tcPr>
            <w:tcW w:w="1213" w:type="dxa"/>
          </w:tcPr>
          <w:p w:rsidR="00417BDB" w:rsidRPr="007C51D6" w:rsidRDefault="00417BDB" w:rsidP="003B113F">
            <w:pPr>
              <w:autoSpaceDE/>
              <w:autoSpaceDN/>
              <w:adjustRightInd/>
              <w:jc w:val="center"/>
              <w:rPr>
                <w:rFonts w:eastAsia="Arial"/>
                <w:sz w:val="20"/>
                <w:szCs w:val="20"/>
              </w:rPr>
            </w:pPr>
            <w:r w:rsidRPr="007C51D6">
              <w:rPr>
                <w:rFonts w:eastAsia="Arial"/>
                <w:sz w:val="20"/>
                <w:szCs w:val="20"/>
              </w:rPr>
              <w:t>18,8</w:t>
            </w:r>
          </w:p>
        </w:tc>
        <w:tc>
          <w:tcPr>
            <w:tcW w:w="1213" w:type="dxa"/>
          </w:tcPr>
          <w:p w:rsidR="00417BDB" w:rsidRPr="007C51D6" w:rsidRDefault="00417BDB" w:rsidP="003B113F">
            <w:pPr>
              <w:autoSpaceDE/>
              <w:autoSpaceDN/>
              <w:adjustRightInd/>
              <w:jc w:val="center"/>
              <w:rPr>
                <w:rFonts w:eastAsia="Arial"/>
                <w:sz w:val="20"/>
                <w:szCs w:val="20"/>
              </w:rPr>
            </w:pPr>
            <w:r w:rsidRPr="007C51D6">
              <w:rPr>
                <w:rFonts w:eastAsia="Arial"/>
                <w:sz w:val="20"/>
                <w:szCs w:val="20"/>
              </w:rPr>
              <w:t>22,2</w:t>
            </w:r>
          </w:p>
        </w:tc>
        <w:tc>
          <w:tcPr>
            <w:tcW w:w="1213" w:type="dxa"/>
          </w:tcPr>
          <w:p w:rsidR="00417BDB" w:rsidRPr="007C51D6" w:rsidRDefault="00417BDB" w:rsidP="003B113F">
            <w:pPr>
              <w:autoSpaceDE/>
              <w:autoSpaceDN/>
              <w:adjustRightInd/>
              <w:jc w:val="center"/>
              <w:rPr>
                <w:rFonts w:eastAsia="Arial"/>
                <w:sz w:val="20"/>
                <w:szCs w:val="20"/>
              </w:rPr>
            </w:pPr>
            <w:r w:rsidRPr="007C51D6">
              <w:rPr>
                <w:rFonts w:eastAsia="Arial"/>
                <w:sz w:val="20"/>
                <w:szCs w:val="20"/>
              </w:rPr>
              <w:t>13,3</w:t>
            </w:r>
          </w:p>
        </w:tc>
        <w:tc>
          <w:tcPr>
            <w:tcW w:w="1213" w:type="dxa"/>
          </w:tcPr>
          <w:p w:rsidR="00417BDB" w:rsidRPr="007C51D6" w:rsidRDefault="00417BDB" w:rsidP="003B113F">
            <w:pPr>
              <w:autoSpaceDE/>
              <w:autoSpaceDN/>
              <w:adjustRightInd/>
              <w:jc w:val="center"/>
              <w:rPr>
                <w:rFonts w:eastAsia="Arial"/>
                <w:sz w:val="20"/>
                <w:szCs w:val="20"/>
              </w:rPr>
            </w:pPr>
            <w:r w:rsidRPr="007C51D6">
              <w:rPr>
                <w:rFonts w:eastAsia="Arial"/>
                <w:sz w:val="20"/>
                <w:szCs w:val="20"/>
              </w:rPr>
              <w:t>30,0</w:t>
            </w:r>
          </w:p>
        </w:tc>
        <w:tc>
          <w:tcPr>
            <w:tcW w:w="1213" w:type="dxa"/>
          </w:tcPr>
          <w:p w:rsidR="00417BDB" w:rsidRPr="007C51D6" w:rsidRDefault="00417BDB" w:rsidP="003B113F">
            <w:pPr>
              <w:autoSpaceDE/>
              <w:autoSpaceDN/>
              <w:adjustRightInd/>
              <w:jc w:val="center"/>
              <w:rPr>
                <w:rFonts w:eastAsia="Arial"/>
                <w:sz w:val="20"/>
                <w:szCs w:val="20"/>
              </w:rPr>
            </w:pPr>
            <w:r w:rsidRPr="007C51D6">
              <w:rPr>
                <w:rFonts w:eastAsia="Arial"/>
                <w:sz w:val="20"/>
                <w:szCs w:val="20"/>
              </w:rPr>
              <w:t>20,0</w:t>
            </w:r>
          </w:p>
        </w:tc>
        <w:tc>
          <w:tcPr>
            <w:tcW w:w="1213" w:type="dxa"/>
            <w:vAlign w:val="bottom"/>
          </w:tcPr>
          <w:p w:rsidR="00417BDB" w:rsidRPr="007C51D6" w:rsidRDefault="00417BDB" w:rsidP="003B113F">
            <w:pPr>
              <w:jc w:val="center"/>
              <w:rPr>
                <w:color w:val="000000"/>
                <w:sz w:val="20"/>
                <w:szCs w:val="20"/>
              </w:rPr>
            </w:pPr>
            <w:r w:rsidRPr="007C51D6">
              <w:rPr>
                <w:color w:val="000000"/>
                <w:sz w:val="20"/>
                <w:szCs w:val="20"/>
              </w:rPr>
              <w:t>10,3</w:t>
            </w:r>
          </w:p>
        </w:tc>
      </w:tr>
      <w:tr w:rsidR="00417BDB" w:rsidRPr="007C51D6" w:rsidTr="00742D16">
        <w:tblPrEx>
          <w:tblBorders>
            <w:bottom w:val="single" w:sz="4" w:space="0" w:color="auto"/>
          </w:tblBorders>
        </w:tblPrEx>
        <w:trPr>
          <w:trHeight w:val="20"/>
        </w:trPr>
        <w:tc>
          <w:tcPr>
            <w:tcW w:w="1696" w:type="dxa"/>
            <w:vMerge/>
          </w:tcPr>
          <w:p w:rsidR="00417BDB" w:rsidRPr="007C51D6" w:rsidRDefault="00417BDB" w:rsidP="003B113F">
            <w:pPr>
              <w:jc w:val="both"/>
              <w:rPr>
                <w:rFonts w:eastAsia="Arial"/>
                <w:sz w:val="20"/>
                <w:szCs w:val="20"/>
                <w:lang w:val="en-US"/>
              </w:rPr>
            </w:pPr>
          </w:p>
        </w:tc>
        <w:tc>
          <w:tcPr>
            <w:tcW w:w="1304" w:type="dxa"/>
          </w:tcPr>
          <w:p w:rsidR="00417BDB" w:rsidRPr="007C51D6" w:rsidRDefault="00417BDB" w:rsidP="003B113F">
            <w:pPr>
              <w:jc w:val="both"/>
              <w:rPr>
                <w:rFonts w:eastAsia="Arial"/>
                <w:sz w:val="20"/>
                <w:szCs w:val="20"/>
                <w:lang w:val="en-US"/>
              </w:rPr>
            </w:pPr>
            <w:r w:rsidRPr="007C51D6">
              <w:rPr>
                <w:rFonts w:eastAsia="Arial"/>
                <w:sz w:val="20"/>
                <w:szCs w:val="20"/>
                <w:lang w:val="en-US"/>
              </w:rPr>
              <w:t>III</w:t>
            </w:r>
            <w:r w:rsidRPr="007C51D6">
              <w:rPr>
                <w:rFonts w:eastAsia="Arial"/>
                <w:sz w:val="20"/>
                <w:szCs w:val="20"/>
              </w:rPr>
              <w:t xml:space="preserve"> стадия</w:t>
            </w:r>
          </w:p>
        </w:tc>
        <w:tc>
          <w:tcPr>
            <w:tcW w:w="1210" w:type="dxa"/>
          </w:tcPr>
          <w:p w:rsidR="00417BDB" w:rsidRPr="007C51D6" w:rsidRDefault="00417BDB" w:rsidP="003B113F">
            <w:pPr>
              <w:autoSpaceDE/>
              <w:autoSpaceDN/>
              <w:adjustRightInd/>
              <w:jc w:val="center"/>
              <w:rPr>
                <w:rFonts w:eastAsia="Arial"/>
                <w:sz w:val="20"/>
                <w:szCs w:val="20"/>
              </w:rPr>
            </w:pPr>
            <w:r w:rsidRPr="007C51D6">
              <w:rPr>
                <w:rFonts w:eastAsia="Arial"/>
                <w:sz w:val="20"/>
                <w:szCs w:val="20"/>
              </w:rPr>
              <w:t>10,0</w:t>
            </w:r>
          </w:p>
        </w:tc>
        <w:tc>
          <w:tcPr>
            <w:tcW w:w="1211" w:type="dxa"/>
          </w:tcPr>
          <w:p w:rsidR="00417BDB" w:rsidRPr="007C51D6" w:rsidRDefault="00417BDB" w:rsidP="003B113F">
            <w:pPr>
              <w:autoSpaceDE/>
              <w:autoSpaceDN/>
              <w:adjustRightInd/>
              <w:jc w:val="center"/>
              <w:rPr>
                <w:rFonts w:eastAsia="Arial"/>
                <w:sz w:val="20"/>
                <w:szCs w:val="20"/>
              </w:rPr>
            </w:pPr>
            <w:r w:rsidRPr="007C51D6">
              <w:rPr>
                <w:rFonts w:eastAsia="Arial"/>
                <w:sz w:val="20"/>
                <w:szCs w:val="20"/>
              </w:rPr>
              <w:t>47,8</w:t>
            </w:r>
          </w:p>
        </w:tc>
        <w:tc>
          <w:tcPr>
            <w:tcW w:w="1213" w:type="dxa"/>
          </w:tcPr>
          <w:p w:rsidR="00417BDB" w:rsidRPr="007C51D6" w:rsidRDefault="00417BDB" w:rsidP="003B113F">
            <w:pPr>
              <w:autoSpaceDE/>
              <w:autoSpaceDN/>
              <w:adjustRightInd/>
              <w:jc w:val="center"/>
              <w:rPr>
                <w:rFonts w:eastAsia="Arial"/>
                <w:sz w:val="20"/>
                <w:szCs w:val="20"/>
              </w:rPr>
            </w:pPr>
            <w:r w:rsidRPr="007C51D6">
              <w:rPr>
                <w:rFonts w:eastAsia="Arial"/>
                <w:sz w:val="20"/>
                <w:szCs w:val="20"/>
              </w:rPr>
              <w:t>38,5</w:t>
            </w:r>
          </w:p>
        </w:tc>
        <w:tc>
          <w:tcPr>
            <w:tcW w:w="1213" w:type="dxa"/>
          </w:tcPr>
          <w:p w:rsidR="00417BDB" w:rsidRPr="007C51D6" w:rsidRDefault="00417BDB" w:rsidP="003B113F">
            <w:pPr>
              <w:autoSpaceDE/>
              <w:autoSpaceDN/>
              <w:adjustRightInd/>
              <w:jc w:val="center"/>
              <w:rPr>
                <w:rFonts w:eastAsia="Arial"/>
                <w:sz w:val="20"/>
                <w:szCs w:val="20"/>
              </w:rPr>
            </w:pPr>
            <w:r w:rsidRPr="007C51D6">
              <w:rPr>
                <w:rFonts w:eastAsia="Arial"/>
                <w:sz w:val="20"/>
                <w:szCs w:val="20"/>
              </w:rPr>
              <w:t>25,0</w:t>
            </w:r>
          </w:p>
        </w:tc>
        <w:tc>
          <w:tcPr>
            <w:tcW w:w="1213" w:type="dxa"/>
          </w:tcPr>
          <w:p w:rsidR="00417BDB" w:rsidRPr="007C51D6" w:rsidRDefault="00417BDB" w:rsidP="003B113F">
            <w:pPr>
              <w:autoSpaceDE/>
              <w:autoSpaceDN/>
              <w:adjustRightInd/>
              <w:jc w:val="center"/>
              <w:rPr>
                <w:rFonts w:eastAsia="Arial"/>
                <w:sz w:val="20"/>
                <w:szCs w:val="20"/>
              </w:rPr>
            </w:pPr>
            <w:r w:rsidRPr="007C51D6">
              <w:rPr>
                <w:rFonts w:eastAsia="Arial"/>
                <w:sz w:val="20"/>
                <w:szCs w:val="20"/>
              </w:rPr>
              <w:t>12,5</w:t>
            </w:r>
          </w:p>
        </w:tc>
        <w:tc>
          <w:tcPr>
            <w:tcW w:w="1213" w:type="dxa"/>
          </w:tcPr>
          <w:p w:rsidR="00417BDB" w:rsidRPr="007C51D6" w:rsidRDefault="00417BDB" w:rsidP="003B113F">
            <w:pPr>
              <w:autoSpaceDE/>
              <w:autoSpaceDN/>
              <w:adjustRightInd/>
              <w:jc w:val="center"/>
              <w:rPr>
                <w:rFonts w:eastAsia="Arial"/>
                <w:sz w:val="20"/>
                <w:szCs w:val="20"/>
              </w:rPr>
            </w:pPr>
            <w:r w:rsidRPr="007C51D6">
              <w:rPr>
                <w:rFonts w:eastAsia="Arial"/>
                <w:sz w:val="20"/>
                <w:szCs w:val="20"/>
              </w:rPr>
              <w:t>0</w:t>
            </w:r>
          </w:p>
        </w:tc>
        <w:tc>
          <w:tcPr>
            <w:tcW w:w="1213" w:type="dxa"/>
          </w:tcPr>
          <w:p w:rsidR="00417BDB" w:rsidRPr="007C51D6" w:rsidRDefault="00417BDB" w:rsidP="003B113F">
            <w:pPr>
              <w:autoSpaceDE/>
              <w:autoSpaceDN/>
              <w:adjustRightInd/>
              <w:jc w:val="center"/>
              <w:rPr>
                <w:rFonts w:eastAsia="Arial"/>
                <w:sz w:val="20"/>
                <w:szCs w:val="20"/>
              </w:rPr>
            </w:pPr>
            <w:r w:rsidRPr="007C51D6">
              <w:rPr>
                <w:rFonts w:eastAsia="Arial"/>
                <w:sz w:val="20"/>
                <w:szCs w:val="20"/>
              </w:rPr>
              <w:t>26,7</w:t>
            </w:r>
          </w:p>
        </w:tc>
        <w:tc>
          <w:tcPr>
            <w:tcW w:w="1213" w:type="dxa"/>
          </w:tcPr>
          <w:p w:rsidR="00417BDB" w:rsidRPr="007C51D6" w:rsidRDefault="00417BDB" w:rsidP="003B113F">
            <w:pPr>
              <w:autoSpaceDE/>
              <w:autoSpaceDN/>
              <w:adjustRightInd/>
              <w:jc w:val="center"/>
              <w:rPr>
                <w:rFonts w:eastAsia="Arial"/>
                <w:sz w:val="20"/>
                <w:szCs w:val="20"/>
              </w:rPr>
            </w:pPr>
            <w:r w:rsidRPr="007C51D6">
              <w:rPr>
                <w:rFonts w:eastAsia="Arial"/>
                <w:sz w:val="20"/>
                <w:szCs w:val="20"/>
              </w:rPr>
              <w:t>30,0</w:t>
            </w:r>
          </w:p>
        </w:tc>
        <w:tc>
          <w:tcPr>
            <w:tcW w:w="1213" w:type="dxa"/>
          </w:tcPr>
          <w:p w:rsidR="00417BDB" w:rsidRPr="007C51D6" w:rsidRDefault="00417BDB" w:rsidP="003B113F">
            <w:pPr>
              <w:autoSpaceDE/>
              <w:autoSpaceDN/>
              <w:adjustRightInd/>
              <w:jc w:val="center"/>
              <w:rPr>
                <w:rFonts w:eastAsia="Arial"/>
                <w:sz w:val="20"/>
                <w:szCs w:val="20"/>
              </w:rPr>
            </w:pPr>
            <w:r w:rsidRPr="007C51D6">
              <w:rPr>
                <w:rFonts w:eastAsia="Arial"/>
                <w:sz w:val="20"/>
                <w:szCs w:val="20"/>
              </w:rPr>
              <w:t>33,3</w:t>
            </w:r>
          </w:p>
        </w:tc>
        <w:tc>
          <w:tcPr>
            <w:tcW w:w="1213" w:type="dxa"/>
            <w:vAlign w:val="bottom"/>
          </w:tcPr>
          <w:p w:rsidR="00417BDB" w:rsidRPr="007C51D6" w:rsidRDefault="00417BDB" w:rsidP="003B113F">
            <w:pPr>
              <w:jc w:val="center"/>
              <w:rPr>
                <w:color w:val="000000"/>
                <w:sz w:val="20"/>
                <w:szCs w:val="20"/>
              </w:rPr>
            </w:pPr>
            <w:r w:rsidRPr="007C51D6">
              <w:rPr>
                <w:color w:val="000000"/>
                <w:sz w:val="20"/>
                <w:szCs w:val="20"/>
              </w:rPr>
              <w:t>27,6</w:t>
            </w:r>
          </w:p>
        </w:tc>
      </w:tr>
      <w:tr w:rsidR="00417BDB" w:rsidRPr="007C51D6" w:rsidTr="00742D16">
        <w:tblPrEx>
          <w:tblBorders>
            <w:bottom w:val="single" w:sz="4" w:space="0" w:color="auto"/>
          </w:tblBorders>
        </w:tblPrEx>
        <w:trPr>
          <w:trHeight w:val="20"/>
        </w:trPr>
        <w:tc>
          <w:tcPr>
            <w:tcW w:w="1696" w:type="dxa"/>
            <w:vMerge/>
          </w:tcPr>
          <w:p w:rsidR="00417BDB" w:rsidRPr="007C51D6" w:rsidRDefault="00417BDB" w:rsidP="003B113F">
            <w:pPr>
              <w:jc w:val="both"/>
              <w:rPr>
                <w:rFonts w:eastAsia="Arial"/>
                <w:sz w:val="20"/>
                <w:szCs w:val="20"/>
                <w:lang w:val="en-US"/>
              </w:rPr>
            </w:pPr>
          </w:p>
        </w:tc>
        <w:tc>
          <w:tcPr>
            <w:tcW w:w="1304" w:type="dxa"/>
          </w:tcPr>
          <w:p w:rsidR="00417BDB" w:rsidRPr="007C51D6" w:rsidRDefault="00417BDB" w:rsidP="003B113F">
            <w:pPr>
              <w:jc w:val="both"/>
            </w:pPr>
            <w:r w:rsidRPr="007C51D6">
              <w:rPr>
                <w:rFonts w:eastAsia="Arial"/>
                <w:sz w:val="20"/>
                <w:szCs w:val="20"/>
                <w:lang w:val="en-US"/>
              </w:rPr>
              <w:t>IV</w:t>
            </w:r>
            <w:r w:rsidRPr="007C51D6">
              <w:rPr>
                <w:rFonts w:eastAsia="Arial"/>
                <w:sz w:val="20"/>
                <w:szCs w:val="20"/>
              </w:rPr>
              <w:t xml:space="preserve"> стадия</w:t>
            </w:r>
          </w:p>
        </w:tc>
        <w:tc>
          <w:tcPr>
            <w:tcW w:w="1210" w:type="dxa"/>
          </w:tcPr>
          <w:p w:rsidR="00417BDB" w:rsidRPr="007C51D6" w:rsidRDefault="00417BDB" w:rsidP="003B113F">
            <w:pPr>
              <w:autoSpaceDE/>
              <w:autoSpaceDN/>
              <w:adjustRightInd/>
              <w:jc w:val="center"/>
              <w:rPr>
                <w:rFonts w:eastAsia="Arial"/>
                <w:sz w:val="20"/>
                <w:szCs w:val="20"/>
              </w:rPr>
            </w:pPr>
            <w:r w:rsidRPr="007C51D6">
              <w:rPr>
                <w:rFonts w:eastAsia="Arial"/>
                <w:sz w:val="20"/>
                <w:szCs w:val="20"/>
              </w:rPr>
              <w:t>70,0</w:t>
            </w:r>
          </w:p>
        </w:tc>
        <w:tc>
          <w:tcPr>
            <w:tcW w:w="1211" w:type="dxa"/>
          </w:tcPr>
          <w:p w:rsidR="00417BDB" w:rsidRPr="007C51D6" w:rsidRDefault="00417BDB" w:rsidP="003B113F">
            <w:pPr>
              <w:autoSpaceDE/>
              <w:autoSpaceDN/>
              <w:adjustRightInd/>
              <w:jc w:val="center"/>
              <w:rPr>
                <w:rFonts w:eastAsia="Arial"/>
                <w:sz w:val="20"/>
                <w:szCs w:val="20"/>
              </w:rPr>
            </w:pPr>
            <w:r w:rsidRPr="007C51D6">
              <w:rPr>
                <w:rFonts w:eastAsia="Arial"/>
                <w:sz w:val="20"/>
                <w:szCs w:val="20"/>
              </w:rPr>
              <w:t>30,4</w:t>
            </w:r>
          </w:p>
        </w:tc>
        <w:tc>
          <w:tcPr>
            <w:tcW w:w="1213" w:type="dxa"/>
          </w:tcPr>
          <w:p w:rsidR="00417BDB" w:rsidRPr="007C51D6" w:rsidRDefault="00417BDB" w:rsidP="003B113F">
            <w:pPr>
              <w:autoSpaceDE/>
              <w:autoSpaceDN/>
              <w:adjustRightInd/>
              <w:jc w:val="center"/>
              <w:rPr>
                <w:rFonts w:eastAsia="Arial"/>
                <w:sz w:val="20"/>
                <w:szCs w:val="20"/>
              </w:rPr>
            </w:pPr>
            <w:r w:rsidRPr="007C51D6">
              <w:rPr>
                <w:rFonts w:eastAsia="Arial"/>
                <w:sz w:val="20"/>
                <w:szCs w:val="20"/>
              </w:rPr>
              <w:t>30,8</w:t>
            </w:r>
          </w:p>
        </w:tc>
        <w:tc>
          <w:tcPr>
            <w:tcW w:w="1213" w:type="dxa"/>
          </w:tcPr>
          <w:p w:rsidR="00417BDB" w:rsidRPr="007C51D6" w:rsidRDefault="00417BDB" w:rsidP="003B113F">
            <w:pPr>
              <w:autoSpaceDE/>
              <w:autoSpaceDN/>
              <w:adjustRightInd/>
              <w:jc w:val="center"/>
              <w:rPr>
                <w:rFonts w:eastAsia="Arial"/>
                <w:sz w:val="20"/>
                <w:szCs w:val="20"/>
              </w:rPr>
            </w:pPr>
            <w:r w:rsidRPr="007C51D6">
              <w:rPr>
                <w:rFonts w:eastAsia="Arial"/>
                <w:sz w:val="20"/>
                <w:szCs w:val="20"/>
              </w:rPr>
              <w:t>70</w:t>
            </w:r>
          </w:p>
        </w:tc>
        <w:tc>
          <w:tcPr>
            <w:tcW w:w="1213" w:type="dxa"/>
          </w:tcPr>
          <w:p w:rsidR="00417BDB" w:rsidRPr="007C51D6" w:rsidRDefault="00417BDB" w:rsidP="003B113F">
            <w:pPr>
              <w:autoSpaceDE/>
              <w:autoSpaceDN/>
              <w:adjustRightInd/>
              <w:jc w:val="center"/>
              <w:rPr>
                <w:rFonts w:eastAsia="Arial"/>
                <w:sz w:val="20"/>
                <w:szCs w:val="20"/>
              </w:rPr>
            </w:pPr>
            <w:r w:rsidRPr="007C51D6">
              <w:rPr>
                <w:rFonts w:eastAsia="Arial"/>
                <w:sz w:val="20"/>
                <w:szCs w:val="20"/>
              </w:rPr>
              <w:t>56,3</w:t>
            </w:r>
          </w:p>
        </w:tc>
        <w:tc>
          <w:tcPr>
            <w:tcW w:w="1213" w:type="dxa"/>
          </w:tcPr>
          <w:p w:rsidR="00417BDB" w:rsidRPr="007C51D6" w:rsidRDefault="00417BDB" w:rsidP="003B113F">
            <w:pPr>
              <w:autoSpaceDE/>
              <w:autoSpaceDN/>
              <w:adjustRightInd/>
              <w:jc w:val="center"/>
              <w:rPr>
                <w:rFonts w:eastAsia="Arial"/>
                <w:sz w:val="20"/>
                <w:szCs w:val="20"/>
              </w:rPr>
            </w:pPr>
            <w:r w:rsidRPr="007C51D6">
              <w:rPr>
                <w:rFonts w:eastAsia="Arial"/>
                <w:sz w:val="20"/>
                <w:szCs w:val="20"/>
              </w:rPr>
              <w:t>72,2</w:t>
            </w:r>
          </w:p>
        </w:tc>
        <w:tc>
          <w:tcPr>
            <w:tcW w:w="1213" w:type="dxa"/>
          </w:tcPr>
          <w:p w:rsidR="00417BDB" w:rsidRPr="007C51D6" w:rsidRDefault="00417BDB" w:rsidP="003B113F">
            <w:pPr>
              <w:autoSpaceDE/>
              <w:autoSpaceDN/>
              <w:adjustRightInd/>
              <w:jc w:val="center"/>
              <w:rPr>
                <w:rFonts w:eastAsia="Arial"/>
                <w:sz w:val="20"/>
                <w:szCs w:val="20"/>
              </w:rPr>
            </w:pPr>
            <w:r w:rsidRPr="007C51D6">
              <w:rPr>
                <w:rFonts w:eastAsia="Arial"/>
                <w:sz w:val="20"/>
                <w:szCs w:val="20"/>
              </w:rPr>
              <w:t>60,0</w:t>
            </w:r>
          </w:p>
        </w:tc>
        <w:tc>
          <w:tcPr>
            <w:tcW w:w="1213" w:type="dxa"/>
          </w:tcPr>
          <w:p w:rsidR="00417BDB" w:rsidRPr="007C51D6" w:rsidRDefault="00417BDB" w:rsidP="003B113F">
            <w:pPr>
              <w:autoSpaceDE/>
              <w:autoSpaceDN/>
              <w:adjustRightInd/>
              <w:jc w:val="center"/>
              <w:rPr>
                <w:rFonts w:eastAsia="Arial"/>
                <w:sz w:val="20"/>
                <w:szCs w:val="20"/>
              </w:rPr>
            </w:pPr>
            <w:r w:rsidRPr="007C51D6">
              <w:rPr>
                <w:rFonts w:eastAsia="Arial"/>
                <w:sz w:val="20"/>
                <w:szCs w:val="20"/>
              </w:rPr>
              <w:t>40,0</w:t>
            </w:r>
          </w:p>
        </w:tc>
        <w:tc>
          <w:tcPr>
            <w:tcW w:w="1213" w:type="dxa"/>
          </w:tcPr>
          <w:p w:rsidR="00417BDB" w:rsidRPr="007C51D6" w:rsidRDefault="00417BDB" w:rsidP="003B113F">
            <w:pPr>
              <w:autoSpaceDE/>
              <w:autoSpaceDN/>
              <w:adjustRightInd/>
              <w:jc w:val="center"/>
              <w:rPr>
                <w:rFonts w:eastAsia="Arial"/>
                <w:sz w:val="20"/>
                <w:szCs w:val="20"/>
              </w:rPr>
            </w:pPr>
            <w:r w:rsidRPr="007C51D6">
              <w:rPr>
                <w:rFonts w:eastAsia="Arial"/>
                <w:sz w:val="20"/>
                <w:szCs w:val="20"/>
              </w:rPr>
              <w:t>40,0</w:t>
            </w:r>
          </w:p>
        </w:tc>
        <w:tc>
          <w:tcPr>
            <w:tcW w:w="1213" w:type="dxa"/>
            <w:vAlign w:val="bottom"/>
          </w:tcPr>
          <w:p w:rsidR="00417BDB" w:rsidRPr="007C51D6" w:rsidRDefault="00417BDB" w:rsidP="003B113F">
            <w:pPr>
              <w:jc w:val="center"/>
              <w:rPr>
                <w:color w:val="000000"/>
                <w:sz w:val="20"/>
                <w:szCs w:val="20"/>
              </w:rPr>
            </w:pPr>
            <w:r w:rsidRPr="007C51D6">
              <w:rPr>
                <w:color w:val="000000"/>
                <w:sz w:val="20"/>
                <w:szCs w:val="20"/>
              </w:rPr>
              <w:t>55,2</w:t>
            </w:r>
          </w:p>
        </w:tc>
      </w:tr>
      <w:tr w:rsidR="00417BDB" w:rsidRPr="007C51D6" w:rsidTr="004C1F06">
        <w:tblPrEx>
          <w:tblBorders>
            <w:bottom w:val="single" w:sz="4" w:space="0" w:color="auto"/>
          </w:tblBorders>
        </w:tblPrEx>
        <w:trPr>
          <w:trHeight w:val="20"/>
        </w:trPr>
        <w:tc>
          <w:tcPr>
            <w:tcW w:w="1696" w:type="dxa"/>
            <w:vMerge/>
          </w:tcPr>
          <w:p w:rsidR="00417BDB" w:rsidRPr="007C51D6" w:rsidRDefault="00417BDB" w:rsidP="00417BDB">
            <w:pPr>
              <w:jc w:val="both"/>
              <w:rPr>
                <w:rFonts w:eastAsia="Arial"/>
                <w:sz w:val="20"/>
                <w:szCs w:val="20"/>
                <w:lang w:val="en-US"/>
              </w:rPr>
            </w:pPr>
          </w:p>
        </w:tc>
        <w:tc>
          <w:tcPr>
            <w:tcW w:w="1304" w:type="dxa"/>
          </w:tcPr>
          <w:p w:rsidR="00417BDB" w:rsidRPr="007C51D6" w:rsidRDefault="00417BDB" w:rsidP="00417BDB">
            <w:pPr>
              <w:autoSpaceDE/>
              <w:autoSpaceDN/>
              <w:adjustRightInd/>
              <w:jc w:val="both"/>
              <w:rPr>
                <w:rFonts w:eastAsia="Arial"/>
                <w:sz w:val="20"/>
                <w:szCs w:val="20"/>
              </w:rPr>
            </w:pPr>
            <w:r w:rsidRPr="007C51D6">
              <w:rPr>
                <w:rFonts w:eastAsia="Arial"/>
                <w:sz w:val="20"/>
                <w:szCs w:val="20"/>
              </w:rPr>
              <w:t>без стадии</w:t>
            </w:r>
          </w:p>
        </w:tc>
        <w:tc>
          <w:tcPr>
            <w:tcW w:w="1210"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0</w:t>
            </w:r>
          </w:p>
        </w:tc>
        <w:tc>
          <w:tcPr>
            <w:tcW w:w="1211"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0</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0</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0</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0</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0</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0</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0</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0</w:t>
            </w:r>
          </w:p>
        </w:tc>
        <w:tc>
          <w:tcPr>
            <w:tcW w:w="1213" w:type="dxa"/>
            <w:vAlign w:val="center"/>
          </w:tcPr>
          <w:p w:rsidR="00417BDB" w:rsidRPr="007C51D6" w:rsidRDefault="00417BDB" w:rsidP="00417BDB">
            <w:pPr>
              <w:jc w:val="center"/>
              <w:rPr>
                <w:color w:val="000000"/>
                <w:sz w:val="20"/>
                <w:szCs w:val="20"/>
              </w:rPr>
            </w:pPr>
            <w:r w:rsidRPr="007C51D6">
              <w:rPr>
                <w:color w:val="000000"/>
                <w:sz w:val="20"/>
                <w:szCs w:val="20"/>
              </w:rPr>
              <w:t>0</w:t>
            </w:r>
          </w:p>
        </w:tc>
      </w:tr>
    </w:tbl>
    <w:p w:rsidR="00417BDB" w:rsidRDefault="00417BDB">
      <w:r>
        <w:br w:type="page"/>
      </w:r>
    </w:p>
    <w:tbl>
      <w:tblPr>
        <w:tblStyle w:val="af1"/>
        <w:tblW w:w="0" w:type="auto"/>
        <w:tblLayout w:type="fixed"/>
        <w:tblLook w:val="04A0" w:firstRow="1" w:lastRow="0" w:firstColumn="1" w:lastColumn="0" w:noHBand="0" w:noVBand="1"/>
      </w:tblPr>
      <w:tblGrid>
        <w:gridCol w:w="1696"/>
        <w:gridCol w:w="1304"/>
        <w:gridCol w:w="1210"/>
        <w:gridCol w:w="1211"/>
        <w:gridCol w:w="1213"/>
        <w:gridCol w:w="1213"/>
        <w:gridCol w:w="1213"/>
        <w:gridCol w:w="1213"/>
        <w:gridCol w:w="1213"/>
        <w:gridCol w:w="1213"/>
        <w:gridCol w:w="1213"/>
        <w:gridCol w:w="1213"/>
      </w:tblGrid>
      <w:tr w:rsidR="00417BDB" w:rsidRPr="007C51D6" w:rsidTr="00417BDB">
        <w:trPr>
          <w:trHeight w:val="20"/>
          <w:tblHeader/>
        </w:trPr>
        <w:tc>
          <w:tcPr>
            <w:tcW w:w="1696"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lastRenderedPageBreak/>
              <w:t>1</w:t>
            </w:r>
          </w:p>
        </w:tc>
        <w:tc>
          <w:tcPr>
            <w:tcW w:w="1304"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2</w:t>
            </w:r>
          </w:p>
        </w:tc>
        <w:tc>
          <w:tcPr>
            <w:tcW w:w="1210"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3</w:t>
            </w:r>
          </w:p>
        </w:tc>
        <w:tc>
          <w:tcPr>
            <w:tcW w:w="1211"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4</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5</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6</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7</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8</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9</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10</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11</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12</w:t>
            </w:r>
          </w:p>
        </w:tc>
      </w:tr>
      <w:tr w:rsidR="00417BDB" w:rsidRPr="007C51D6" w:rsidTr="00742D16">
        <w:trPr>
          <w:trHeight w:val="20"/>
        </w:trPr>
        <w:tc>
          <w:tcPr>
            <w:tcW w:w="1696" w:type="dxa"/>
            <w:vMerge w:val="restart"/>
          </w:tcPr>
          <w:p w:rsidR="00417BDB" w:rsidRPr="007C51D6" w:rsidRDefault="00417BDB" w:rsidP="00417BDB">
            <w:pPr>
              <w:jc w:val="both"/>
              <w:rPr>
                <w:rFonts w:eastAsia="Arial"/>
                <w:sz w:val="20"/>
                <w:szCs w:val="20"/>
              </w:rPr>
            </w:pPr>
            <w:r w:rsidRPr="007C51D6">
              <w:rPr>
                <w:rFonts w:eastAsia="Arial"/>
                <w:sz w:val="20"/>
                <w:szCs w:val="20"/>
              </w:rPr>
              <w:t>ЗНО дна полости рта (С04)</w:t>
            </w:r>
          </w:p>
        </w:tc>
        <w:tc>
          <w:tcPr>
            <w:tcW w:w="1304" w:type="dxa"/>
          </w:tcPr>
          <w:p w:rsidR="00417BDB" w:rsidRPr="007C51D6" w:rsidRDefault="00417BDB" w:rsidP="00417BDB">
            <w:pPr>
              <w:autoSpaceDE/>
              <w:autoSpaceDN/>
              <w:adjustRightInd/>
              <w:jc w:val="both"/>
              <w:rPr>
                <w:rFonts w:eastAsia="Arial"/>
                <w:sz w:val="20"/>
                <w:szCs w:val="20"/>
              </w:rPr>
            </w:pPr>
            <w:r w:rsidRPr="007C51D6">
              <w:rPr>
                <w:rFonts w:eastAsia="Arial"/>
                <w:sz w:val="20"/>
                <w:szCs w:val="20"/>
                <w:lang w:val="en-US"/>
              </w:rPr>
              <w:t>I</w:t>
            </w:r>
            <w:r w:rsidRPr="007C51D6">
              <w:rPr>
                <w:rFonts w:eastAsia="Arial"/>
                <w:sz w:val="20"/>
                <w:szCs w:val="20"/>
              </w:rPr>
              <w:t xml:space="preserve"> стадия</w:t>
            </w:r>
          </w:p>
        </w:tc>
        <w:tc>
          <w:tcPr>
            <w:tcW w:w="1210"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4,0</w:t>
            </w:r>
          </w:p>
        </w:tc>
        <w:tc>
          <w:tcPr>
            <w:tcW w:w="1211"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2,2</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14,1</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7,0</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5,5</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3,3</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8,1</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12,1</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8,1</w:t>
            </w:r>
          </w:p>
        </w:tc>
        <w:tc>
          <w:tcPr>
            <w:tcW w:w="1213" w:type="dxa"/>
            <w:vAlign w:val="bottom"/>
          </w:tcPr>
          <w:p w:rsidR="00417BDB" w:rsidRPr="007C51D6" w:rsidRDefault="00417BDB" w:rsidP="00417BDB">
            <w:pPr>
              <w:widowControl/>
              <w:autoSpaceDE/>
              <w:autoSpaceDN/>
              <w:adjustRightInd/>
              <w:jc w:val="center"/>
              <w:rPr>
                <w:color w:val="000000"/>
                <w:sz w:val="20"/>
                <w:szCs w:val="20"/>
              </w:rPr>
            </w:pPr>
            <w:r w:rsidRPr="007C51D6">
              <w:rPr>
                <w:color w:val="000000"/>
                <w:sz w:val="20"/>
                <w:szCs w:val="20"/>
              </w:rPr>
              <w:t>17,6</w:t>
            </w:r>
          </w:p>
        </w:tc>
      </w:tr>
      <w:tr w:rsidR="00417BDB" w:rsidRPr="007C51D6" w:rsidTr="00742D16">
        <w:trPr>
          <w:trHeight w:val="20"/>
        </w:trPr>
        <w:tc>
          <w:tcPr>
            <w:tcW w:w="1696" w:type="dxa"/>
            <w:vMerge/>
          </w:tcPr>
          <w:p w:rsidR="00417BDB" w:rsidRPr="007C51D6" w:rsidRDefault="00417BDB" w:rsidP="00417BDB">
            <w:pPr>
              <w:jc w:val="both"/>
              <w:rPr>
                <w:rFonts w:eastAsia="Arial"/>
                <w:sz w:val="20"/>
                <w:szCs w:val="20"/>
                <w:lang w:val="en-US"/>
              </w:rPr>
            </w:pPr>
          </w:p>
        </w:tc>
        <w:tc>
          <w:tcPr>
            <w:tcW w:w="1304" w:type="dxa"/>
          </w:tcPr>
          <w:p w:rsidR="00417BDB" w:rsidRPr="007C51D6" w:rsidRDefault="00417BDB" w:rsidP="00417BDB">
            <w:pPr>
              <w:jc w:val="both"/>
              <w:rPr>
                <w:rFonts w:eastAsia="Arial"/>
                <w:sz w:val="20"/>
                <w:szCs w:val="20"/>
                <w:lang w:val="en-US"/>
              </w:rPr>
            </w:pPr>
            <w:r w:rsidRPr="007C51D6">
              <w:rPr>
                <w:rFonts w:eastAsia="Arial"/>
                <w:sz w:val="20"/>
                <w:szCs w:val="20"/>
                <w:lang w:val="en-US"/>
              </w:rPr>
              <w:t>II</w:t>
            </w:r>
            <w:r w:rsidRPr="007C51D6">
              <w:rPr>
                <w:rFonts w:eastAsia="Arial"/>
                <w:sz w:val="20"/>
                <w:szCs w:val="20"/>
              </w:rPr>
              <w:t xml:space="preserve"> стадия</w:t>
            </w:r>
          </w:p>
        </w:tc>
        <w:tc>
          <w:tcPr>
            <w:tcW w:w="1210"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22,0</w:t>
            </w:r>
          </w:p>
        </w:tc>
        <w:tc>
          <w:tcPr>
            <w:tcW w:w="1211"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19,6</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28,1</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25,6</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20,0</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18,0</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30,6</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27,6</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27,4</w:t>
            </w:r>
          </w:p>
        </w:tc>
        <w:tc>
          <w:tcPr>
            <w:tcW w:w="1213" w:type="dxa"/>
            <w:vAlign w:val="bottom"/>
          </w:tcPr>
          <w:p w:rsidR="00417BDB" w:rsidRPr="007C51D6" w:rsidRDefault="00417BDB" w:rsidP="00417BDB">
            <w:pPr>
              <w:jc w:val="center"/>
              <w:rPr>
                <w:color w:val="000000"/>
                <w:sz w:val="20"/>
                <w:szCs w:val="20"/>
              </w:rPr>
            </w:pPr>
            <w:r w:rsidRPr="007C51D6">
              <w:rPr>
                <w:color w:val="000000"/>
                <w:sz w:val="20"/>
                <w:szCs w:val="20"/>
              </w:rPr>
              <w:t>20,6</w:t>
            </w:r>
          </w:p>
        </w:tc>
      </w:tr>
      <w:tr w:rsidR="00417BDB" w:rsidRPr="007C51D6" w:rsidTr="00742D16">
        <w:trPr>
          <w:trHeight w:val="20"/>
        </w:trPr>
        <w:tc>
          <w:tcPr>
            <w:tcW w:w="1696" w:type="dxa"/>
            <w:vMerge/>
          </w:tcPr>
          <w:p w:rsidR="00417BDB" w:rsidRPr="007C51D6" w:rsidRDefault="00417BDB" w:rsidP="00417BDB">
            <w:pPr>
              <w:jc w:val="both"/>
              <w:rPr>
                <w:rFonts w:eastAsia="Arial"/>
                <w:sz w:val="20"/>
                <w:szCs w:val="20"/>
                <w:lang w:val="en-US"/>
              </w:rPr>
            </w:pPr>
          </w:p>
        </w:tc>
        <w:tc>
          <w:tcPr>
            <w:tcW w:w="1304" w:type="dxa"/>
          </w:tcPr>
          <w:p w:rsidR="00417BDB" w:rsidRPr="007C51D6" w:rsidRDefault="00417BDB" w:rsidP="00417BDB">
            <w:pPr>
              <w:jc w:val="both"/>
              <w:rPr>
                <w:rFonts w:eastAsia="Arial"/>
                <w:sz w:val="20"/>
                <w:szCs w:val="20"/>
                <w:lang w:val="en-US"/>
              </w:rPr>
            </w:pPr>
            <w:r w:rsidRPr="007C51D6">
              <w:rPr>
                <w:rFonts w:eastAsia="Arial"/>
                <w:sz w:val="20"/>
                <w:szCs w:val="20"/>
                <w:lang w:val="en-US"/>
              </w:rPr>
              <w:t>III</w:t>
            </w:r>
            <w:r w:rsidRPr="007C51D6">
              <w:rPr>
                <w:rFonts w:eastAsia="Arial"/>
                <w:sz w:val="20"/>
                <w:szCs w:val="20"/>
              </w:rPr>
              <w:t xml:space="preserve"> стадия</w:t>
            </w:r>
          </w:p>
        </w:tc>
        <w:tc>
          <w:tcPr>
            <w:tcW w:w="1210"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36,0</w:t>
            </w:r>
          </w:p>
        </w:tc>
        <w:tc>
          <w:tcPr>
            <w:tcW w:w="1211"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45,7</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37,5</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34,9</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27,3</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27,9</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21,0</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19,0</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17,7</w:t>
            </w:r>
          </w:p>
        </w:tc>
        <w:tc>
          <w:tcPr>
            <w:tcW w:w="1213" w:type="dxa"/>
            <w:vAlign w:val="bottom"/>
          </w:tcPr>
          <w:p w:rsidR="00417BDB" w:rsidRPr="007C51D6" w:rsidRDefault="00417BDB" w:rsidP="00417BDB">
            <w:pPr>
              <w:jc w:val="center"/>
              <w:rPr>
                <w:color w:val="000000"/>
                <w:sz w:val="20"/>
                <w:szCs w:val="20"/>
              </w:rPr>
            </w:pPr>
            <w:r w:rsidRPr="007C51D6">
              <w:rPr>
                <w:color w:val="000000"/>
                <w:sz w:val="20"/>
                <w:szCs w:val="20"/>
              </w:rPr>
              <w:t>20,6</w:t>
            </w:r>
          </w:p>
        </w:tc>
      </w:tr>
      <w:tr w:rsidR="00417BDB" w:rsidRPr="007C51D6" w:rsidTr="00742D16">
        <w:trPr>
          <w:trHeight w:val="20"/>
        </w:trPr>
        <w:tc>
          <w:tcPr>
            <w:tcW w:w="1696" w:type="dxa"/>
            <w:vMerge/>
          </w:tcPr>
          <w:p w:rsidR="00417BDB" w:rsidRPr="007C51D6" w:rsidRDefault="00417BDB" w:rsidP="00417BDB">
            <w:pPr>
              <w:jc w:val="both"/>
              <w:rPr>
                <w:rFonts w:eastAsia="Arial"/>
                <w:sz w:val="20"/>
                <w:szCs w:val="20"/>
                <w:lang w:val="en-US"/>
              </w:rPr>
            </w:pPr>
          </w:p>
        </w:tc>
        <w:tc>
          <w:tcPr>
            <w:tcW w:w="1304" w:type="dxa"/>
          </w:tcPr>
          <w:p w:rsidR="00417BDB" w:rsidRPr="007C51D6" w:rsidRDefault="00417BDB" w:rsidP="00417BDB">
            <w:pPr>
              <w:jc w:val="both"/>
            </w:pPr>
            <w:r w:rsidRPr="007C51D6">
              <w:rPr>
                <w:rFonts w:eastAsia="Arial"/>
                <w:sz w:val="20"/>
                <w:szCs w:val="20"/>
                <w:lang w:val="en-US"/>
              </w:rPr>
              <w:t>IV</w:t>
            </w:r>
            <w:r w:rsidRPr="007C51D6">
              <w:rPr>
                <w:rFonts w:eastAsia="Arial"/>
                <w:sz w:val="20"/>
                <w:szCs w:val="20"/>
              </w:rPr>
              <w:t xml:space="preserve"> стадия</w:t>
            </w:r>
          </w:p>
        </w:tc>
        <w:tc>
          <w:tcPr>
            <w:tcW w:w="1210"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38,0</w:t>
            </w:r>
          </w:p>
        </w:tc>
        <w:tc>
          <w:tcPr>
            <w:tcW w:w="1211"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32,6</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20,3</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32,6</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47,3</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50,8</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40,3</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41,4</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46,8</w:t>
            </w:r>
          </w:p>
        </w:tc>
        <w:tc>
          <w:tcPr>
            <w:tcW w:w="1213" w:type="dxa"/>
            <w:vAlign w:val="bottom"/>
          </w:tcPr>
          <w:p w:rsidR="00417BDB" w:rsidRPr="007C51D6" w:rsidRDefault="00417BDB" w:rsidP="00417BDB">
            <w:pPr>
              <w:jc w:val="center"/>
              <w:rPr>
                <w:color w:val="000000"/>
                <w:sz w:val="20"/>
                <w:szCs w:val="20"/>
              </w:rPr>
            </w:pPr>
            <w:r w:rsidRPr="007C51D6">
              <w:rPr>
                <w:color w:val="000000"/>
                <w:sz w:val="20"/>
                <w:szCs w:val="20"/>
              </w:rPr>
              <w:t>41,2</w:t>
            </w:r>
          </w:p>
        </w:tc>
      </w:tr>
      <w:tr w:rsidR="00417BDB" w:rsidRPr="007C51D6" w:rsidTr="00742D16">
        <w:trPr>
          <w:trHeight w:val="20"/>
        </w:trPr>
        <w:tc>
          <w:tcPr>
            <w:tcW w:w="1696" w:type="dxa"/>
            <w:vMerge/>
          </w:tcPr>
          <w:p w:rsidR="00417BDB" w:rsidRPr="007C51D6" w:rsidRDefault="00417BDB" w:rsidP="00417BDB">
            <w:pPr>
              <w:autoSpaceDE/>
              <w:autoSpaceDN/>
              <w:adjustRightInd/>
              <w:jc w:val="both"/>
              <w:rPr>
                <w:rFonts w:eastAsia="Arial"/>
                <w:sz w:val="20"/>
                <w:szCs w:val="20"/>
              </w:rPr>
            </w:pPr>
          </w:p>
        </w:tc>
        <w:tc>
          <w:tcPr>
            <w:tcW w:w="1304" w:type="dxa"/>
          </w:tcPr>
          <w:p w:rsidR="00417BDB" w:rsidRPr="007C51D6" w:rsidRDefault="00417BDB" w:rsidP="00417BDB">
            <w:pPr>
              <w:autoSpaceDE/>
              <w:autoSpaceDN/>
              <w:adjustRightInd/>
              <w:jc w:val="both"/>
              <w:rPr>
                <w:rFonts w:eastAsia="Arial"/>
                <w:sz w:val="20"/>
                <w:szCs w:val="20"/>
              </w:rPr>
            </w:pPr>
            <w:r w:rsidRPr="007C51D6">
              <w:rPr>
                <w:rFonts w:eastAsia="Arial"/>
                <w:sz w:val="20"/>
                <w:szCs w:val="20"/>
              </w:rPr>
              <w:t>без стадии</w:t>
            </w:r>
          </w:p>
        </w:tc>
        <w:tc>
          <w:tcPr>
            <w:tcW w:w="1210"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0</w:t>
            </w:r>
          </w:p>
        </w:tc>
        <w:tc>
          <w:tcPr>
            <w:tcW w:w="1211"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0</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0</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0</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0</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0</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0</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0</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0</w:t>
            </w:r>
          </w:p>
        </w:tc>
        <w:tc>
          <w:tcPr>
            <w:tcW w:w="1213" w:type="dxa"/>
            <w:vAlign w:val="center"/>
          </w:tcPr>
          <w:p w:rsidR="00417BDB" w:rsidRPr="007C51D6" w:rsidRDefault="00417BDB" w:rsidP="00417BDB">
            <w:pPr>
              <w:jc w:val="center"/>
              <w:rPr>
                <w:color w:val="000000"/>
                <w:sz w:val="20"/>
                <w:szCs w:val="20"/>
              </w:rPr>
            </w:pPr>
            <w:r w:rsidRPr="007C51D6">
              <w:rPr>
                <w:color w:val="000000"/>
                <w:sz w:val="20"/>
                <w:szCs w:val="20"/>
              </w:rPr>
              <w:t>0</w:t>
            </w:r>
          </w:p>
        </w:tc>
      </w:tr>
      <w:tr w:rsidR="00417BDB" w:rsidRPr="007C51D6" w:rsidTr="00742D16">
        <w:trPr>
          <w:trHeight w:val="20"/>
        </w:trPr>
        <w:tc>
          <w:tcPr>
            <w:tcW w:w="1696" w:type="dxa"/>
            <w:vMerge w:val="restart"/>
          </w:tcPr>
          <w:p w:rsidR="00417BDB" w:rsidRPr="007C51D6" w:rsidRDefault="00417BDB" w:rsidP="00417BDB">
            <w:pPr>
              <w:jc w:val="both"/>
              <w:rPr>
                <w:rFonts w:eastAsia="Arial"/>
                <w:sz w:val="20"/>
                <w:szCs w:val="20"/>
              </w:rPr>
            </w:pPr>
            <w:r w:rsidRPr="007C51D6">
              <w:rPr>
                <w:rFonts w:eastAsia="Arial"/>
                <w:sz w:val="20"/>
                <w:szCs w:val="20"/>
              </w:rPr>
              <w:t>ЗНО неба (С05)</w:t>
            </w:r>
          </w:p>
        </w:tc>
        <w:tc>
          <w:tcPr>
            <w:tcW w:w="1304" w:type="dxa"/>
          </w:tcPr>
          <w:p w:rsidR="00417BDB" w:rsidRPr="007C51D6" w:rsidRDefault="00417BDB" w:rsidP="00417BDB">
            <w:pPr>
              <w:autoSpaceDE/>
              <w:autoSpaceDN/>
              <w:adjustRightInd/>
              <w:jc w:val="both"/>
              <w:rPr>
                <w:rFonts w:eastAsia="Arial"/>
                <w:sz w:val="20"/>
                <w:szCs w:val="20"/>
              </w:rPr>
            </w:pPr>
            <w:r w:rsidRPr="007C51D6">
              <w:rPr>
                <w:rFonts w:eastAsia="Arial"/>
                <w:sz w:val="20"/>
                <w:szCs w:val="20"/>
                <w:lang w:val="en-US"/>
              </w:rPr>
              <w:t>I</w:t>
            </w:r>
            <w:r w:rsidRPr="007C51D6">
              <w:rPr>
                <w:rFonts w:eastAsia="Arial"/>
                <w:sz w:val="20"/>
                <w:szCs w:val="20"/>
              </w:rPr>
              <w:t xml:space="preserve"> стадия</w:t>
            </w:r>
          </w:p>
        </w:tc>
        <w:tc>
          <w:tcPr>
            <w:tcW w:w="1210"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15,8</w:t>
            </w:r>
          </w:p>
        </w:tc>
        <w:tc>
          <w:tcPr>
            <w:tcW w:w="1211"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10,0</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0</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18,8</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14,3</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25,0</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20,0</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10,0</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17,6</w:t>
            </w:r>
          </w:p>
        </w:tc>
        <w:tc>
          <w:tcPr>
            <w:tcW w:w="1213" w:type="dxa"/>
            <w:vAlign w:val="bottom"/>
          </w:tcPr>
          <w:p w:rsidR="00417BDB" w:rsidRPr="007C51D6" w:rsidRDefault="00417BDB" w:rsidP="00417BDB">
            <w:pPr>
              <w:widowControl/>
              <w:autoSpaceDE/>
              <w:autoSpaceDN/>
              <w:adjustRightInd/>
              <w:jc w:val="center"/>
              <w:rPr>
                <w:color w:val="000000"/>
                <w:sz w:val="20"/>
                <w:szCs w:val="20"/>
              </w:rPr>
            </w:pPr>
            <w:r w:rsidRPr="007C51D6">
              <w:rPr>
                <w:color w:val="000000"/>
                <w:sz w:val="20"/>
                <w:szCs w:val="20"/>
              </w:rPr>
              <w:t>20,0</w:t>
            </w:r>
          </w:p>
        </w:tc>
      </w:tr>
      <w:tr w:rsidR="00417BDB" w:rsidRPr="007C51D6" w:rsidTr="00742D16">
        <w:trPr>
          <w:trHeight w:val="20"/>
        </w:trPr>
        <w:tc>
          <w:tcPr>
            <w:tcW w:w="1696" w:type="dxa"/>
            <w:vMerge/>
          </w:tcPr>
          <w:p w:rsidR="00417BDB" w:rsidRPr="007C51D6" w:rsidRDefault="00417BDB" w:rsidP="00417BDB">
            <w:pPr>
              <w:jc w:val="both"/>
              <w:rPr>
                <w:rFonts w:eastAsia="Arial"/>
                <w:sz w:val="20"/>
                <w:szCs w:val="20"/>
                <w:lang w:val="en-US"/>
              </w:rPr>
            </w:pPr>
          </w:p>
        </w:tc>
        <w:tc>
          <w:tcPr>
            <w:tcW w:w="1304" w:type="dxa"/>
          </w:tcPr>
          <w:p w:rsidR="00417BDB" w:rsidRPr="007C51D6" w:rsidRDefault="00417BDB" w:rsidP="00417BDB">
            <w:pPr>
              <w:jc w:val="both"/>
              <w:rPr>
                <w:rFonts w:eastAsia="Arial"/>
                <w:sz w:val="20"/>
                <w:szCs w:val="20"/>
                <w:lang w:val="en-US"/>
              </w:rPr>
            </w:pPr>
            <w:r w:rsidRPr="007C51D6">
              <w:rPr>
                <w:rFonts w:eastAsia="Arial"/>
                <w:sz w:val="20"/>
                <w:szCs w:val="20"/>
                <w:lang w:val="en-US"/>
              </w:rPr>
              <w:t>II</w:t>
            </w:r>
            <w:r w:rsidRPr="007C51D6">
              <w:rPr>
                <w:rFonts w:eastAsia="Arial"/>
                <w:sz w:val="20"/>
                <w:szCs w:val="20"/>
              </w:rPr>
              <w:t xml:space="preserve"> стадия</w:t>
            </w:r>
          </w:p>
        </w:tc>
        <w:tc>
          <w:tcPr>
            <w:tcW w:w="1210"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26,3</w:t>
            </w:r>
          </w:p>
        </w:tc>
        <w:tc>
          <w:tcPr>
            <w:tcW w:w="1211"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40,0</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23,5</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37,5</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35,7</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41,7</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0</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20,0</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23,5</w:t>
            </w:r>
          </w:p>
        </w:tc>
        <w:tc>
          <w:tcPr>
            <w:tcW w:w="1213" w:type="dxa"/>
            <w:vAlign w:val="bottom"/>
          </w:tcPr>
          <w:p w:rsidR="00417BDB" w:rsidRPr="007C51D6" w:rsidRDefault="00417BDB" w:rsidP="00417BDB">
            <w:pPr>
              <w:jc w:val="center"/>
              <w:rPr>
                <w:color w:val="000000"/>
                <w:sz w:val="20"/>
                <w:szCs w:val="20"/>
              </w:rPr>
            </w:pPr>
            <w:r w:rsidRPr="007C51D6">
              <w:rPr>
                <w:color w:val="000000"/>
                <w:sz w:val="20"/>
                <w:szCs w:val="20"/>
              </w:rPr>
              <w:t>30,0</w:t>
            </w:r>
          </w:p>
        </w:tc>
      </w:tr>
      <w:tr w:rsidR="00417BDB" w:rsidRPr="007C51D6" w:rsidTr="00742D16">
        <w:trPr>
          <w:trHeight w:val="20"/>
        </w:trPr>
        <w:tc>
          <w:tcPr>
            <w:tcW w:w="1696" w:type="dxa"/>
            <w:vMerge/>
          </w:tcPr>
          <w:p w:rsidR="00417BDB" w:rsidRPr="007C51D6" w:rsidRDefault="00417BDB" w:rsidP="00417BDB">
            <w:pPr>
              <w:jc w:val="both"/>
              <w:rPr>
                <w:rFonts w:eastAsia="Arial"/>
                <w:sz w:val="20"/>
                <w:szCs w:val="20"/>
                <w:lang w:val="en-US"/>
              </w:rPr>
            </w:pPr>
          </w:p>
        </w:tc>
        <w:tc>
          <w:tcPr>
            <w:tcW w:w="1304" w:type="dxa"/>
          </w:tcPr>
          <w:p w:rsidR="00417BDB" w:rsidRPr="007C51D6" w:rsidRDefault="00417BDB" w:rsidP="00417BDB">
            <w:pPr>
              <w:jc w:val="both"/>
              <w:rPr>
                <w:rFonts w:eastAsia="Arial"/>
                <w:sz w:val="20"/>
                <w:szCs w:val="20"/>
                <w:lang w:val="en-US"/>
              </w:rPr>
            </w:pPr>
            <w:r w:rsidRPr="007C51D6">
              <w:rPr>
                <w:rFonts w:eastAsia="Arial"/>
                <w:sz w:val="20"/>
                <w:szCs w:val="20"/>
                <w:lang w:val="en-US"/>
              </w:rPr>
              <w:t>III</w:t>
            </w:r>
            <w:r w:rsidRPr="007C51D6">
              <w:rPr>
                <w:rFonts w:eastAsia="Arial"/>
                <w:sz w:val="20"/>
                <w:szCs w:val="20"/>
              </w:rPr>
              <w:t xml:space="preserve"> стадия</w:t>
            </w:r>
          </w:p>
        </w:tc>
        <w:tc>
          <w:tcPr>
            <w:tcW w:w="1210"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21,1</w:t>
            </w:r>
          </w:p>
        </w:tc>
        <w:tc>
          <w:tcPr>
            <w:tcW w:w="1211"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30,0</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35,3</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25,0</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21,4</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8,3</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30,0</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20,0</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17,6</w:t>
            </w:r>
          </w:p>
        </w:tc>
        <w:tc>
          <w:tcPr>
            <w:tcW w:w="1213" w:type="dxa"/>
            <w:vAlign w:val="bottom"/>
          </w:tcPr>
          <w:p w:rsidR="00417BDB" w:rsidRPr="007C51D6" w:rsidRDefault="00417BDB" w:rsidP="00417BDB">
            <w:pPr>
              <w:jc w:val="center"/>
              <w:rPr>
                <w:color w:val="000000"/>
                <w:sz w:val="20"/>
                <w:szCs w:val="20"/>
              </w:rPr>
            </w:pPr>
            <w:r w:rsidRPr="007C51D6">
              <w:rPr>
                <w:color w:val="000000"/>
                <w:sz w:val="20"/>
                <w:szCs w:val="20"/>
              </w:rPr>
              <w:t>30,0</w:t>
            </w:r>
          </w:p>
        </w:tc>
      </w:tr>
      <w:tr w:rsidR="00417BDB" w:rsidRPr="007C51D6" w:rsidTr="00742D16">
        <w:trPr>
          <w:trHeight w:val="20"/>
        </w:trPr>
        <w:tc>
          <w:tcPr>
            <w:tcW w:w="1696" w:type="dxa"/>
            <w:vMerge/>
          </w:tcPr>
          <w:p w:rsidR="00417BDB" w:rsidRPr="007C51D6" w:rsidRDefault="00417BDB" w:rsidP="00417BDB">
            <w:pPr>
              <w:jc w:val="both"/>
              <w:rPr>
                <w:rFonts w:eastAsia="Arial"/>
                <w:sz w:val="20"/>
                <w:szCs w:val="20"/>
                <w:lang w:val="en-US"/>
              </w:rPr>
            </w:pPr>
          </w:p>
        </w:tc>
        <w:tc>
          <w:tcPr>
            <w:tcW w:w="1304" w:type="dxa"/>
          </w:tcPr>
          <w:p w:rsidR="00417BDB" w:rsidRPr="007C51D6" w:rsidRDefault="00417BDB" w:rsidP="00417BDB">
            <w:pPr>
              <w:jc w:val="both"/>
            </w:pPr>
            <w:r w:rsidRPr="007C51D6">
              <w:rPr>
                <w:rFonts w:eastAsia="Arial"/>
                <w:sz w:val="20"/>
                <w:szCs w:val="20"/>
                <w:lang w:val="en-US"/>
              </w:rPr>
              <w:t>IV</w:t>
            </w:r>
            <w:r w:rsidRPr="007C51D6">
              <w:rPr>
                <w:rFonts w:eastAsia="Arial"/>
                <w:sz w:val="20"/>
                <w:szCs w:val="20"/>
              </w:rPr>
              <w:t xml:space="preserve"> стадия</w:t>
            </w:r>
          </w:p>
        </w:tc>
        <w:tc>
          <w:tcPr>
            <w:tcW w:w="1210"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36,8</w:t>
            </w:r>
          </w:p>
        </w:tc>
        <w:tc>
          <w:tcPr>
            <w:tcW w:w="1211"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20,0</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41,2</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18,8</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28,6</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25,0</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50,0</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50,0</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41,2</w:t>
            </w:r>
          </w:p>
        </w:tc>
        <w:tc>
          <w:tcPr>
            <w:tcW w:w="1213" w:type="dxa"/>
            <w:vAlign w:val="bottom"/>
          </w:tcPr>
          <w:p w:rsidR="00417BDB" w:rsidRPr="007C51D6" w:rsidRDefault="00417BDB" w:rsidP="00417BDB">
            <w:pPr>
              <w:jc w:val="center"/>
              <w:rPr>
                <w:color w:val="000000"/>
                <w:sz w:val="20"/>
                <w:szCs w:val="20"/>
              </w:rPr>
            </w:pPr>
            <w:r w:rsidRPr="007C51D6">
              <w:rPr>
                <w:color w:val="000000"/>
                <w:sz w:val="20"/>
                <w:szCs w:val="20"/>
              </w:rPr>
              <w:t>20,0</w:t>
            </w:r>
          </w:p>
        </w:tc>
      </w:tr>
      <w:tr w:rsidR="00417BDB" w:rsidRPr="007C51D6" w:rsidTr="00742D16">
        <w:trPr>
          <w:trHeight w:val="20"/>
        </w:trPr>
        <w:tc>
          <w:tcPr>
            <w:tcW w:w="1696" w:type="dxa"/>
            <w:vMerge/>
          </w:tcPr>
          <w:p w:rsidR="00417BDB" w:rsidRPr="007C51D6" w:rsidRDefault="00417BDB" w:rsidP="00417BDB">
            <w:pPr>
              <w:autoSpaceDE/>
              <w:autoSpaceDN/>
              <w:adjustRightInd/>
              <w:jc w:val="both"/>
              <w:rPr>
                <w:rFonts w:eastAsia="Arial"/>
                <w:sz w:val="20"/>
                <w:szCs w:val="20"/>
              </w:rPr>
            </w:pPr>
          </w:p>
        </w:tc>
        <w:tc>
          <w:tcPr>
            <w:tcW w:w="1304" w:type="dxa"/>
          </w:tcPr>
          <w:p w:rsidR="00417BDB" w:rsidRPr="007C51D6" w:rsidRDefault="00417BDB" w:rsidP="00417BDB">
            <w:pPr>
              <w:autoSpaceDE/>
              <w:autoSpaceDN/>
              <w:adjustRightInd/>
              <w:jc w:val="both"/>
              <w:rPr>
                <w:rFonts w:eastAsia="Arial"/>
                <w:sz w:val="20"/>
                <w:szCs w:val="20"/>
              </w:rPr>
            </w:pPr>
            <w:r w:rsidRPr="007C51D6">
              <w:rPr>
                <w:rFonts w:eastAsia="Arial"/>
                <w:sz w:val="20"/>
                <w:szCs w:val="20"/>
              </w:rPr>
              <w:t>без стадии</w:t>
            </w:r>
          </w:p>
        </w:tc>
        <w:tc>
          <w:tcPr>
            <w:tcW w:w="1210"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0</w:t>
            </w:r>
          </w:p>
        </w:tc>
        <w:tc>
          <w:tcPr>
            <w:tcW w:w="1211"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0</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0</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0</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0</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0</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0</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0</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0</w:t>
            </w:r>
          </w:p>
        </w:tc>
        <w:tc>
          <w:tcPr>
            <w:tcW w:w="1213" w:type="dxa"/>
            <w:vAlign w:val="center"/>
          </w:tcPr>
          <w:p w:rsidR="00417BDB" w:rsidRPr="007C51D6" w:rsidRDefault="00417BDB" w:rsidP="00417BDB">
            <w:pPr>
              <w:jc w:val="center"/>
              <w:rPr>
                <w:color w:val="000000"/>
                <w:sz w:val="20"/>
                <w:szCs w:val="20"/>
              </w:rPr>
            </w:pPr>
            <w:r w:rsidRPr="007C51D6">
              <w:rPr>
                <w:color w:val="000000"/>
                <w:sz w:val="20"/>
                <w:szCs w:val="20"/>
              </w:rPr>
              <w:t>0</w:t>
            </w:r>
          </w:p>
        </w:tc>
      </w:tr>
      <w:tr w:rsidR="00417BDB" w:rsidRPr="007C51D6" w:rsidTr="00742D16">
        <w:trPr>
          <w:trHeight w:val="20"/>
        </w:trPr>
        <w:tc>
          <w:tcPr>
            <w:tcW w:w="1696" w:type="dxa"/>
            <w:vMerge w:val="restart"/>
          </w:tcPr>
          <w:p w:rsidR="00417BDB" w:rsidRPr="007C51D6" w:rsidRDefault="00417BDB" w:rsidP="00417BDB">
            <w:pPr>
              <w:jc w:val="both"/>
              <w:rPr>
                <w:rFonts w:eastAsia="Arial"/>
                <w:sz w:val="20"/>
                <w:szCs w:val="20"/>
              </w:rPr>
            </w:pPr>
            <w:r w:rsidRPr="007C51D6">
              <w:rPr>
                <w:rFonts w:eastAsia="Arial"/>
                <w:sz w:val="20"/>
                <w:szCs w:val="20"/>
              </w:rPr>
              <w:t>ЗНО других и неуточненных частей рта (С06)</w:t>
            </w:r>
          </w:p>
        </w:tc>
        <w:tc>
          <w:tcPr>
            <w:tcW w:w="1304" w:type="dxa"/>
          </w:tcPr>
          <w:p w:rsidR="00417BDB" w:rsidRPr="007C51D6" w:rsidRDefault="00417BDB" w:rsidP="00417BDB">
            <w:pPr>
              <w:autoSpaceDE/>
              <w:autoSpaceDN/>
              <w:adjustRightInd/>
              <w:jc w:val="both"/>
              <w:rPr>
                <w:rFonts w:eastAsia="Arial"/>
                <w:sz w:val="20"/>
                <w:szCs w:val="20"/>
              </w:rPr>
            </w:pPr>
            <w:r w:rsidRPr="007C51D6">
              <w:rPr>
                <w:rFonts w:eastAsia="Arial"/>
                <w:sz w:val="20"/>
                <w:szCs w:val="20"/>
                <w:lang w:val="en-US"/>
              </w:rPr>
              <w:t>I</w:t>
            </w:r>
            <w:r w:rsidRPr="007C51D6">
              <w:rPr>
                <w:rFonts w:eastAsia="Arial"/>
                <w:sz w:val="20"/>
                <w:szCs w:val="20"/>
              </w:rPr>
              <w:t xml:space="preserve"> стадия</w:t>
            </w:r>
          </w:p>
        </w:tc>
        <w:tc>
          <w:tcPr>
            <w:tcW w:w="1210"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0</w:t>
            </w:r>
          </w:p>
        </w:tc>
        <w:tc>
          <w:tcPr>
            <w:tcW w:w="1211"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10,0</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4,5</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8,7</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11,5</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15,0</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3,3</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12,5</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13,0</w:t>
            </w:r>
          </w:p>
        </w:tc>
        <w:tc>
          <w:tcPr>
            <w:tcW w:w="1213" w:type="dxa"/>
            <w:vAlign w:val="bottom"/>
          </w:tcPr>
          <w:p w:rsidR="00417BDB" w:rsidRPr="007C51D6" w:rsidRDefault="00417BDB" w:rsidP="00417BDB">
            <w:pPr>
              <w:widowControl/>
              <w:autoSpaceDE/>
              <w:autoSpaceDN/>
              <w:adjustRightInd/>
              <w:jc w:val="center"/>
              <w:rPr>
                <w:color w:val="000000"/>
                <w:sz w:val="20"/>
                <w:szCs w:val="20"/>
              </w:rPr>
            </w:pPr>
            <w:r w:rsidRPr="007C51D6">
              <w:rPr>
                <w:color w:val="000000"/>
                <w:sz w:val="20"/>
                <w:szCs w:val="20"/>
              </w:rPr>
              <w:t>4,8</w:t>
            </w:r>
          </w:p>
        </w:tc>
      </w:tr>
      <w:tr w:rsidR="00417BDB" w:rsidRPr="007C51D6" w:rsidTr="00742D16">
        <w:trPr>
          <w:trHeight w:val="20"/>
        </w:trPr>
        <w:tc>
          <w:tcPr>
            <w:tcW w:w="1696" w:type="dxa"/>
            <w:vMerge/>
          </w:tcPr>
          <w:p w:rsidR="00417BDB" w:rsidRPr="007C51D6" w:rsidRDefault="00417BDB" w:rsidP="00417BDB">
            <w:pPr>
              <w:jc w:val="both"/>
              <w:rPr>
                <w:rFonts w:eastAsia="Arial"/>
                <w:sz w:val="20"/>
                <w:szCs w:val="20"/>
                <w:lang w:val="en-US"/>
              </w:rPr>
            </w:pPr>
          </w:p>
        </w:tc>
        <w:tc>
          <w:tcPr>
            <w:tcW w:w="1304" w:type="dxa"/>
          </w:tcPr>
          <w:p w:rsidR="00417BDB" w:rsidRPr="007C51D6" w:rsidRDefault="00417BDB" w:rsidP="00417BDB">
            <w:pPr>
              <w:jc w:val="both"/>
              <w:rPr>
                <w:rFonts w:eastAsia="Arial"/>
                <w:sz w:val="20"/>
                <w:szCs w:val="20"/>
                <w:lang w:val="en-US"/>
              </w:rPr>
            </w:pPr>
            <w:r w:rsidRPr="007C51D6">
              <w:rPr>
                <w:rFonts w:eastAsia="Arial"/>
                <w:sz w:val="20"/>
                <w:szCs w:val="20"/>
                <w:lang w:val="en-US"/>
              </w:rPr>
              <w:t>II</w:t>
            </w:r>
            <w:r w:rsidRPr="007C51D6">
              <w:rPr>
                <w:rFonts w:eastAsia="Arial"/>
                <w:sz w:val="20"/>
                <w:szCs w:val="20"/>
              </w:rPr>
              <w:t xml:space="preserve"> стадия</w:t>
            </w:r>
          </w:p>
        </w:tc>
        <w:tc>
          <w:tcPr>
            <w:tcW w:w="1210"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23,5</w:t>
            </w:r>
          </w:p>
        </w:tc>
        <w:tc>
          <w:tcPr>
            <w:tcW w:w="1211"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20,0</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36,4</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31,8</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19,2</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20,0</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13,3</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0</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17,4</w:t>
            </w:r>
          </w:p>
        </w:tc>
        <w:tc>
          <w:tcPr>
            <w:tcW w:w="1213" w:type="dxa"/>
            <w:vAlign w:val="bottom"/>
          </w:tcPr>
          <w:p w:rsidR="00417BDB" w:rsidRPr="007C51D6" w:rsidRDefault="00417BDB" w:rsidP="00417BDB">
            <w:pPr>
              <w:jc w:val="center"/>
              <w:rPr>
                <w:color w:val="000000"/>
                <w:sz w:val="20"/>
                <w:szCs w:val="20"/>
              </w:rPr>
            </w:pPr>
            <w:r w:rsidRPr="007C51D6">
              <w:rPr>
                <w:color w:val="000000"/>
                <w:sz w:val="20"/>
                <w:szCs w:val="20"/>
              </w:rPr>
              <w:t>28,6</w:t>
            </w:r>
          </w:p>
        </w:tc>
      </w:tr>
      <w:tr w:rsidR="00417BDB" w:rsidRPr="007C51D6" w:rsidTr="00742D16">
        <w:trPr>
          <w:trHeight w:val="20"/>
        </w:trPr>
        <w:tc>
          <w:tcPr>
            <w:tcW w:w="1696" w:type="dxa"/>
            <w:vMerge/>
          </w:tcPr>
          <w:p w:rsidR="00417BDB" w:rsidRPr="007C51D6" w:rsidRDefault="00417BDB" w:rsidP="00417BDB">
            <w:pPr>
              <w:jc w:val="both"/>
              <w:rPr>
                <w:rFonts w:eastAsia="Arial"/>
                <w:sz w:val="20"/>
                <w:szCs w:val="20"/>
                <w:lang w:val="en-US"/>
              </w:rPr>
            </w:pPr>
          </w:p>
        </w:tc>
        <w:tc>
          <w:tcPr>
            <w:tcW w:w="1304" w:type="dxa"/>
          </w:tcPr>
          <w:p w:rsidR="00417BDB" w:rsidRPr="007C51D6" w:rsidRDefault="00417BDB" w:rsidP="00417BDB">
            <w:pPr>
              <w:jc w:val="both"/>
              <w:rPr>
                <w:rFonts w:eastAsia="Arial"/>
                <w:sz w:val="20"/>
                <w:szCs w:val="20"/>
                <w:lang w:val="en-US"/>
              </w:rPr>
            </w:pPr>
            <w:r w:rsidRPr="007C51D6">
              <w:rPr>
                <w:rFonts w:eastAsia="Arial"/>
                <w:sz w:val="20"/>
                <w:szCs w:val="20"/>
                <w:lang w:val="en-US"/>
              </w:rPr>
              <w:t>III</w:t>
            </w:r>
            <w:r w:rsidRPr="007C51D6">
              <w:rPr>
                <w:rFonts w:eastAsia="Arial"/>
                <w:sz w:val="20"/>
                <w:szCs w:val="20"/>
              </w:rPr>
              <w:t xml:space="preserve"> стадия</w:t>
            </w:r>
          </w:p>
        </w:tc>
        <w:tc>
          <w:tcPr>
            <w:tcW w:w="1210"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52,9</w:t>
            </w:r>
          </w:p>
        </w:tc>
        <w:tc>
          <w:tcPr>
            <w:tcW w:w="1211"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45,0</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31,8</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43,5</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30,8</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25,0</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40,0</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31,3</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26,1</w:t>
            </w:r>
          </w:p>
        </w:tc>
        <w:tc>
          <w:tcPr>
            <w:tcW w:w="1213" w:type="dxa"/>
            <w:vAlign w:val="bottom"/>
          </w:tcPr>
          <w:p w:rsidR="00417BDB" w:rsidRPr="007C51D6" w:rsidRDefault="00417BDB" w:rsidP="00417BDB">
            <w:pPr>
              <w:jc w:val="center"/>
              <w:rPr>
                <w:color w:val="000000"/>
                <w:sz w:val="20"/>
                <w:szCs w:val="20"/>
              </w:rPr>
            </w:pPr>
            <w:r w:rsidRPr="007C51D6">
              <w:rPr>
                <w:color w:val="000000"/>
                <w:sz w:val="20"/>
                <w:szCs w:val="20"/>
              </w:rPr>
              <w:t>19,0</w:t>
            </w:r>
          </w:p>
        </w:tc>
      </w:tr>
      <w:tr w:rsidR="00417BDB" w:rsidRPr="007C51D6" w:rsidTr="00742D16">
        <w:trPr>
          <w:trHeight w:val="20"/>
        </w:trPr>
        <w:tc>
          <w:tcPr>
            <w:tcW w:w="1696" w:type="dxa"/>
            <w:vMerge/>
          </w:tcPr>
          <w:p w:rsidR="00417BDB" w:rsidRPr="007C51D6" w:rsidRDefault="00417BDB" w:rsidP="00417BDB">
            <w:pPr>
              <w:jc w:val="both"/>
              <w:rPr>
                <w:rFonts w:eastAsia="Arial"/>
                <w:sz w:val="20"/>
                <w:szCs w:val="20"/>
                <w:lang w:val="en-US"/>
              </w:rPr>
            </w:pPr>
          </w:p>
        </w:tc>
        <w:tc>
          <w:tcPr>
            <w:tcW w:w="1304" w:type="dxa"/>
          </w:tcPr>
          <w:p w:rsidR="00417BDB" w:rsidRPr="007C51D6" w:rsidRDefault="00417BDB" w:rsidP="00417BDB">
            <w:pPr>
              <w:jc w:val="both"/>
            </w:pPr>
            <w:r w:rsidRPr="007C51D6">
              <w:rPr>
                <w:rFonts w:eastAsia="Arial"/>
                <w:sz w:val="20"/>
                <w:szCs w:val="20"/>
                <w:lang w:val="en-US"/>
              </w:rPr>
              <w:t>IV</w:t>
            </w:r>
            <w:r w:rsidRPr="007C51D6">
              <w:rPr>
                <w:rFonts w:eastAsia="Arial"/>
                <w:sz w:val="20"/>
                <w:szCs w:val="20"/>
              </w:rPr>
              <w:t xml:space="preserve"> стадия</w:t>
            </w:r>
          </w:p>
        </w:tc>
        <w:tc>
          <w:tcPr>
            <w:tcW w:w="1210"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23,5</w:t>
            </w:r>
          </w:p>
        </w:tc>
        <w:tc>
          <w:tcPr>
            <w:tcW w:w="1211"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25,0</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27,3</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17,4</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38,5</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40,0</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43,3</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56,3</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43,5</w:t>
            </w:r>
          </w:p>
        </w:tc>
        <w:tc>
          <w:tcPr>
            <w:tcW w:w="1213" w:type="dxa"/>
            <w:vAlign w:val="bottom"/>
          </w:tcPr>
          <w:p w:rsidR="00417BDB" w:rsidRPr="007C51D6" w:rsidRDefault="00417BDB" w:rsidP="00417BDB">
            <w:pPr>
              <w:jc w:val="center"/>
              <w:rPr>
                <w:color w:val="000000"/>
                <w:sz w:val="20"/>
                <w:szCs w:val="20"/>
              </w:rPr>
            </w:pPr>
            <w:r w:rsidRPr="007C51D6">
              <w:rPr>
                <w:color w:val="000000"/>
                <w:sz w:val="20"/>
                <w:szCs w:val="20"/>
              </w:rPr>
              <w:t>47,6</w:t>
            </w:r>
          </w:p>
        </w:tc>
      </w:tr>
      <w:tr w:rsidR="00417BDB" w:rsidRPr="007C51D6" w:rsidTr="00742D16">
        <w:trPr>
          <w:trHeight w:val="20"/>
        </w:trPr>
        <w:tc>
          <w:tcPr>
            <w:tcW w:w="1696" w:type="dxa"/>
            <w:vMerge/>
          </w:tcPr>
          <w:p w:rsidR="00417BDB" w:rsidRPr="007C51D6" w:rsidRDefault="00417BDB" w:rsidP="00417BDB">
            <w:pPr>
              <w:autoSpaceDE/>
              <w:autoSpaceDN/>
              <w:adjustRightInd/>
              <w:jc w:val="both"/>
              <w:rPr>
                <w:rFonts w:eastAsia="Arial"/>
                <w:sz w:val="20"/>
                <w:szCs w:val="20"/>
              </w:rPr>
            </w:pPr>
          </w:p>
        </w:tc>
        <w:tc>
          <w:tcPr>
            <w:tcW w:w="1304" w:type="dxa"/>
          </w:tcPr>
          <w:p w:rsidR="00417BDB" w:rsidRPr="007C51D6" w:rsidRDefault="00417BDB" w:rsidP="00417BDB">
            <w:pPr>
              <w:autoSpaceDE/>
              <w:autoSpaceDN/>
              <w:adjustRightInd/>
              <w:jc w:val="both"/>
              <w:rPr>
                <w:rFonts w:eastAsia="Arial"/>
                <w:sz w:val="20"/>
                <w:szCs w:val="20"/>
              </w:rPr>
            </w:pPr>
            <w:r w:rsidRPr="007C51D6">
              <w:rPr>
                <w:rFonts w:eastAsia="Arial"/>
                <w:sz w:val="20"/>
                <w:szCs w:val="20"/>
              </w:rPr>
              <w:t>Без стадии</w:t>
            </w:r>
          </w:p>
        </w:tc>
        <w:tc>
          <w:tcPr>
            <w:tcW w:w="1210"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0</w:t>
            </w:r>
          </w:p>
        </w:tc>
        <w:tc>
          <w:tcPr>
            <w:tcW w:w="1211"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0</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0</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0</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0</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0</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0</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0</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0</w:t>
            </w:r>
          </w:p>
        </w:tc>
        <w:tc>
          <w:tcPr>
            <w:tcW w:w="1213" w:type="dxa"/>
            <w:vAlign w:val="center"/>
          </w:tcPr>
          <w:p w:rsidR="00417BDB" w:rsidRPr="007C51D6" w:rsidRDefault="00417BDB" w:rsidP="00417BDB">
            <w:pPr>
              <w:jc w:val="center"/>
              <w:rPr>
                <w:color w:val="000000"/>
                <w:sz w:val="20"/>
                <w:szCs w:val="20"/>
              </w:rPr>
            </w:pPr>
            <w:r w:rsidRPr="007C51D6">
              <w:rPr>
                <w:color w:val="000000"/>
                <w:sz w:val="20"/>
                <w:szCs w:val="20"/>
              </w:rPr>
              <w:t>0</w:t>
            </w:r>
          </w:p>
        </w:tc>
      </w:tr>
      <w:tr w:rsidR="00417BDB" w:rsidRPr="007C51D6" w:rsidTr="00742D16">
        <w:trPr>
          <w:trHeight w:val="20"/>
        </w:trPr>
        <w:tc>
          <w:tcPr>
            <w:tcW w:w="1696" w:type="dxa"/>
            <w:vMerge w:val="restart"/>
          </w:tcPr>
          <w:p w:rsidR="00417BDB" w:rsidRPr="007C51D6" w:rsidRDefault="00417BDB" w:rsidP="00417BDB">
            <w:pPr>
              <w:jc w:val="both"/>
              <w:rPr>
                <w:rFonts w:eastAsia="Arial"/>
                <w:sz w:val="20"/>
                <w:szCs w:val="20"/>
              </w:rPr>
            </w:pPr>
            <w:r w:rsidRPr="007C51D6">
              <w:rPr>
                <w:rFonts w:eastAsia="Arial"/>
                <w:sz w:val="20"/>
                <w:szCs w:val="20"/>
              </w:rPr>
              <w:t>ЗНО ротоглотки (С10)</w:t>
            </w:r>
          </w:p>
        </w:tc>
        <w:tc>
          <w:tcPr>
            <w:tcW w:w="1304" w:type="dxa"/>
          </w:tcPr>
          <w:p w:rsidR="00417BDB" w:rsidRPr="007C51D6" w:rsidRDefault="00417BDB" w:rsidP="00417BDB">
            <w:pPr>
              <w:autoSpaceDE/>
              <w:autoSpaceDN/>
              <w:adjustRightInd/>
              <w:jc w:val="both"/>
              <w:rPr>
                <w:rFonts w:eastAsia="Arial"/>
                <w:sz w:val="20"/>
                <w:szCs w:val="20"/>
              </w:rPr>
            </w:pPr>
            <w:r w:rsidRPr="007C51D6">
              <w:rPr>
                <w:rFonts w:eastAsia="Arial"/>
                <w:sz w:val="20"/>
                <w:szCs w:val="20"/>
                <w:lang w:val="en-US"/>
              </w:rPr>
              <w:t>I</w:t>
            </w:r>
            <w:r w:rsidRPr="007C51D6">
              <w:rPr>
                <w:rFonts w:eastAsia="Arial"/>
                <w:sz w:val="20"/>
                <w:szCs w:val="20"/>
              </w:rPr>
              <w:t xml:space="preserve"> стадия</w:t>
            </w:r>
          </w:p>
        </w:tc>
        <w:tc>
          <w:tcPr>
            <w:tcW w:w="1210"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3,9</w:t>
            </w:r>
          </w:p>
        </w:tc>
        <w:tc>
          <w:tcPr>
            <w:tcW w:w="1211"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0</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2,0</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1,7</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2,1</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1,4</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0</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0</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1,5</w:t>
            </w:r>
          </w:p>
        </w:tc>
        <w:tc>
          <w:tcPr>
            <w:tcW w:w="1213" w:type="dxa"/>
            <w:vAlign w:val="center"/>
          </w:tcPr>
          <w:p w:rsidR="00417BDB" w:rsidRPr="007C51D6" w:rsidRDefault="00417BDB" w:rsidP="00417BDB">
            <w:pPr>
              <w:widowControl/>
              <w:autoSpaceDE/>
              <w:autoSpaceDN/>
              <w:adjustRightInd/>
              <w:jc w:val="center"/>
              <w:rPr>
                <w:color w:val="000000"/>
                <w:sz w:val="20"/>
                <w:szCs w:val="20"/>
              </w:rPr>
            </w:pPr>
            <w:r w:rsidRPr="007C51D6">
              <w:rPr>
                <w:color w:val="000000"/>
                <w:sz w:val="20"/>
                <w:szCs w:val="20"/>
              </w:rPr>
              <w:t>0</w:t>
            </w:r>
          </w:p>
        </w:tc>
      </w:tr>
      <w:tr w:rsidR="00417BDB" w:rsidRPr="007C51D6" w:rsidTr="00742D16">
        <w:trPr>
          <w:trHeight w:val="20"/>
        </w:trPr>
        <w:tc>
          <w:tcPr>
            <w:tcW w:w="1696" w:type="dxa"/>
            <w:vMerge/>
          </w:tcPr>
          <w:p w:rsidR="00417BDB" w:rsidRPr="007C51D6" w:rsidRDefault="00417BDB" w:rsidP="00417BDB">
            <w:pPr>
              <w:jc w:val="both"/>
              <w:rPr>
                <w:rFonts w:eastAsia="Arial"/>
                <w:sz w:val="20"/>
                <w:szCs w:val="20"/>
                <w:lang w:val="en-US"/>
              </w:rPr>
            </w:pPr>
          </w:p>
        </w:tc>
        <w:tc>
          <w:tcPr>
            <w:tcW w:w="1304" w:type="dxa"/>
          </w:tcPr>
          <w:p w:rsidR="00417BDB" w:rsidRPr="007C51D6" w:rsidRDefault="00417BDB" w:rsidP="00417BDB">
            <w:pPr>
              <w:jc w:val="both"/>
              <w:rPr>
                <w:rFonts w:eastAsia="Arial"/>
                <w:sz w:val="20"/>
                <w:szCs w:val="20"/>
                <w:lang w:val="en-US"/>
              </w:rPr>
            </w:pPr>
            <w:r w:rsidRPr="007C51D6">
              <w:rPr>
                <w:rFonts w:eastAsia="Arial"/>
                <w:sz w:val="20"/>
                <w:szCs w:val="20"/>
                <w:lang w:val="en-US"/>
              </w:rPr>
              <w:t>II</w:t>
            </w:r>
            <w:r w:rsidRPr="007C51D6">
              <w:rPr>
                <w:rFonts w:eastAsia="Arial"/>
                <w:sz w:val="20"/>
                <w:szCs w:val="20"/>
              </w:rPr>
              <w:t xml:space="preserve"> стадия</w:t>
            </w:r>
          </w:p>
        </w:tc>
        <w:tc>
          <w:tcPr>
            <w:tcW w:w="1210"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9,8</w:t>
            </w:r>
          </w:p>
        </w:tc>
        <w:tc>
          <w:tcPr>
            <w:tcW w:w="1211"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15,4</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10,0</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13,6</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21,3</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11,6</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15,7</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15,0</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1,5</w:t>
            </w:r>
          </w:p>
        </w:tc>
        <w:tc>
          <w:tcPr>
            <w:tcW w:w="1213" w:type="dxa"/>
            <w:vAlign w:val="bottom"/>
          </w:tcPr>
          <w:p w:rsidR="00417BDB" w:rsidRPr="007C51D6" w:rsidRDefault="00417BDB" w:rsidP="00417BDB">
            <w:pPr>
              <w:jc w:val="center"/>
              <w:rPr>
                <w:color w:val="000000"/>
                <w:sz w:val="20"/>
                <w:szCs w:val="20"/>
              </w:rPr>
            </w:pPr>
            <w:r w:rsidRPr="007C51D6">
              <w:rPr>
                <w:color w:val="000000"/>
                <w:sz w:val="20"/>
                <w:szCs w:val="20"/>
              </w:rPr>
              <w:t>10,2</w:t>
            </w:r>
          </w:p>
        </w:tc>
      </w:tr>
      <w:tr w:rsidR="00417BDB" w:rsidRPr="007C51D6" w:rsidTr="00742D16">
        <w:trPr>
          <w:trHeight w:val="20"/>
        </w:trPr>
        <w:tc>
          <w:tcPr>
            <w:tcW w:w="1696" w:type="dxa"/>
            <w:vMerge/>
          </w:tcPr>
          <w:p w:rsidR="00417BDB" w:rsidRPr="007C51D6" w:rsidRDefault="00417BDB" w:rsidP="00417BDB">
            <w:pPr>
              <w:jc w:val="both"/>
              <w:rPr>
                <w:rFonts w:eastAsia="Arial"/>
                <w:sz w:val="20"/>
                <w:szCs w:val="20"/>
                <w:lang w:val="en-US"/>
              </w:rPr>
            </w:pPr>
          </w:p>
        </w:tc>
        <w:tc>
          <w:tcPr>
            <w:tcW w:w="1304" w:type="dxa"/>
          </w:tcPr>
          <w:p w:rsidR="00417BDB" w:rsidRPr="007C51D6" w:rsidRDefault="00417BDB" w:rsidP="00417BDB">
            <w:pPr>
              <w:jc w:val="both"/>
              <w:rPr>
                <w:rFonts w:eastAsia="Arial"/>
                <w:sz w:val="20"/>
                <w:szCs w:val="20"/>
                <w:lang w:val="en-US"/>
              </w:rPr>
            </w:pPr>
            <w:r w:rsidRPr="007C51D6">
              <w:rPr>
                <w:rFonts w:eastAsia="Arial"/>
                <w:sz w:val="20"/>
                <w:szCs w:val="20"/>
                <w:lang w:val="en-US"/>
              </w:rPr>
              <w:t>III</w:t>
            </w:r>
            <w:r w:rsidRPr="007C51D6">
              <w:rPr>
                <w:rFonts w:eastAsia="Arial"/>
                <w:sz w:val="20"/>
                <w:szCs w:val="20"/>
              </w:rPr>
              <w:t xml:space="preserve"> стадия</w:t>
            </w:r>
          </w:p>
        </w:tc>
        <w:tc>
          <w:tcPr>
            <w:tcW w:w="1210"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37,3</w:t>
            </w:r>
          </w:p>
        </w:tc>
        <w:tc>
          <w:tcPr>
            <w:tcW w:w="1211"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26,6</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46,0</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42,4</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27,7</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33,3</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37,1</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25,0</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31,3</w:t>
            </w:r>
          </w:p>
        </w:tc>
        <w:tc>
          <w:tcPr>
            <w:tcW w:w="1213" w:type="dxa"/>
            <w:vAlign w:val="bottom"/>
          </w:tcPr>
          <w:p w:rsidR="00417BDB" w:rsidRPr="007C51D6" w:rsidRDefault="00417BDB" w:rsidP="00417BDB">
            <w:pPr>
              <w:jc w:val="center"/>
              <w:rPr>
                <w:color w:val="000000"/>
                <w:sz w:val="20"/>
                <w:szCs w:val="20"/>
              </w:rPr>
            </w:pPr>
            <w:r w:rsidRPr="007C51D6">
              <w:rPr>
                <w:color w:val="000000"/>
                <w:sz w:val="20"/>
                <w:szCs w:val="20"/>
              </w:rPr>
              <w:t>28,8</w:t>
            </w:r>
          </w:p>
        </w:tc>
      </w:tr>
      <w:tr w:rsidR="00417BDB" w:rsidRPr="007C51D6" w:rsidTr="00742D16">
        <w:trPr>
          <w:trHeight w:val="20"/>
        </w:trPr>
        <w:tc>
          <w:tcPr>
            <w:tcW w:w="1696" w:type="dxa"/>
            <w:vMerge/>
          </w:tcPr>
          <w:p w:rsidR="00417BDB" w:rsidRPr="007C51D6" w:rsidRDefault="00417BDB" w:rsidP="00417BDB">
            <w:pPr>
              <w:jc w:val="both"/>
              <w:rPr>
                <w:rFonts w:eastAsia="Arial"/>
                <w:sz w:val="20"/>
                <w:szCs w:val="20"/>
                <w:lang w:val="en-US"/>
              </w:rPr>
            </w:pPr>
          </w:p>
        </w:tc>
        <w:tc>
          <w:tcPr>
            <w:tcW w:w="1304" w:type="dxa"/>
          </w:tcPr>
          <w:p w:rsidR="00417BDB" w:rsidRPr="007C51D6" w:rsidRDefault="00417BDB" w:rsidP="00417BDB">
            <w:pPr>
              <w:jc w:val="both"/>
            </w:pPr>
            <w:r w:rsidRPr="007C51D6">
              <w:rPr>
                <w:rFonts w:eastAsia="Arial"/>
                <w:sz w:val="20"/>
                <w:szCs w:val="20"/>
                <w:lang w:val="en-US"/>
              </w:rPr>
              <w:t>IV</w:t>
            </w:r>
            <w:r w:rsidRPr="007C51D6">
              <w:rPr>
                <w:rFonts w:eastAsia="Arial"/>
                <w:sz w:val="20"/>
                <w:szCs w:val="20"/>
              </w:rPr>
              <w:t xml:space="preserve"> стадия</w:t>
            </w:r>
          </w:p>
        </w:tc>
        <w:tc>
          <w:tcPr>
            <w:tcW w:w="1210"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49,0</w:t>
            </w:r>
          </w:p>
        </w:tc>
        <w:tc>
          <w:tcPr>
            <w:tcW w:w="1211"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56,4</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42,0</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42,4</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48,9</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53,6</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47,1</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60,0</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65,7</w:t>
            </w:r>
          </w:p>
        </w:tc>
        <w:tc>
          <w:tcPr>
            <w:tcW w:w="1213" w:type="dxa"/>
            <w:vAlign w:val="bottom"/>
          </w:tcPr>
          <w:p w:rsidR="00417BDB" w:rsidRPr="007C51D6" w:rsidRDefault="00417BDB" w:rsidP="00417BDB">
            <w:pPr>
              <w:jc w:val="center"/>
              <w:rPr>
                <w:color w:val="000000"/>
                <w:sz w:val="20"/>
                <w:szCs w:val="20"/>
              </w:rPr>
            </w:pPr>
            <w:r w:rsidRPr="007C51D6">
              <w:rPr>
                <w:color w:val="000000"/>
                <w:sz w:val="20"/>
                <w:szCs w:val="20"/>
              </w:rPr>
              <w:t>59,3</w:t>
            </w:r>
          </w:p>
        </w:tc>
      </w:tr>
      <w:tr w:rsidR="00417BDB" w:rsidRPr="007C51D6" w:rsidTr="00742D16">
        <w:trPr>
          <w:trHeight w:val="20"/>
        </w:trPr>
        <w:tc>
          <w:tcPr>
            <w:tcW w:w="1696" w:type="dxa"/>
            <w:vMerge/>
          </w:tcPr>
          <w:p w:rsidR="00417BDB" w:rsidRPr="007C51D6" w:rsidRDefault="00417BDB" w:rsidP="00417BDB">
            <w:pPr>
              <w:autoSpaceDE/>
              <w:autoSpaceDN/>
              <w:adjustRightInd/>
              <w:jc w:val="both"/>
              <w:rPr>
                <w:rFonts w:eastAsia="Arial"/>
                <w:sz w:val="20"/>
                <w:szCs w:val="20"/>
              </w:rPr>
            </w:pPr>
          </w:p>
        </w:tc>
        <w:tc>
          <w:tcPr>
            <w:tcW w:w="1304" w:type="dxa"/>
          </w:tcPr>
          <w:p w:rsidR="00417BDB" w:rsidRPr="007C51D6" w:rsidRDefault="00417BDB" w:rsidP="00417BDB">
            <w:pPr>
              <w:autoSpaceDE/>
              <w:autoSpaceDN/>
              <w:adjustRightInd/>
              <w:jc w:val="both"/>
              <w:rPr>
                <w:rFonts w:eastAsia="Arial"/>
                <w:sz w:val="20"/>
                <w:szCs w:val="20"/>
              </w:rPr>
            </w:pPr>
            <w:r w:rsidRPr="007C51D6">
              <w:rPr>
                <w:rFonts w:eastAsia="Arial"/>
                <w:sz w:val="20"/>
                <w:szCs w:val="20"/>
              </w:rPr>
              <w:t>без стадии</w:t>
            </w:r>
          </w:p>
        </w:tc>
        <w:tc>
          <w:tcPr>
            <w:tcW w:w="1210"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0</w:t>
            </w:r>
          </w:p>
        </w:tc>
        <w:tc>
          <w:tcPr>
            <w:tcW w:w="1211"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2,6</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0</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0</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0</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0</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0</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0</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1</w:t>
            </w:r>
          </w:p>
        </w:tc>
        <w:tc>
          <w:tcPr>
            <w:tcW w:w="1213" w:type="dxa"/>
            <w:vAlign w:val="bottom"/>
          </w:tcPr>
          <w:p w:rsidR="00417BDB" w:rsidRPr="007C51D6" w:rsidRDefault="00417BDB" w:rsidP="00417BDB">
            <w:pPr>
              <w:jc w:val="center"/>
              <w:rPr>
                <w:color w:val="000000"/>
                <w:sz w:val="20"/>
                <w:szCs w:val="20"/>
              </w:rPr>
            </w:pPr>
            <w:r w:rsidRPr="007C51D6">
              <w:rPr>
                <w:color w:val="000000"/>
                <w:sz w:val="20"/>
                <w:szCs w:val="20"/>
              </w:rPr>
              <w:t>1,7</w:t>
            </w:r>
          </w:p>
        </w:tc>
      </w:tr>
      <w:tr w:rsidR="00417BDB" w:rsidRPr="007C51D6" w:rsidTr="00742D16">
        <w:trPr>
          <w:trHeight w:val="20"/>
        </w:trPr>
        <w:tc>
          <w:tcPr>
            <w:tcW w:w="1696" w:type="dxa"/>
            <w:vMerge w:val="restart"/>
          </w:tcPr>
          <w:p w:rsidR="00417BDB" w:rsidRPr="007C51D6" w:rsidRDefault="00417BDB" w:rsidP="00417BDB">
            <w:pPr>
              <w:jc w:val="both"/>
              <w:rPr>
                <w:rFonts w:eastAsia="Arial"/>
                <w:sz w:val="20"/>
                <w:szCs w:val="20"/>
              </w:rPr>
            </w:pPr>
            <w:r w:rsidRPr="007C51D6">
              <w:rPr>
                <w:rFonts w:eastAsia="Arial"/>
                <w:sz w:val="20"/>
                <w:szCs w:val="20"/>
              </w:rPr>
              <w:t>ЗНО прямой кишки (С20)</w:t>
            </w:r>
          </w:p>
        </w:tc>
        <w:tc>
          <w:tcPr>
            <w:tcW w:w="1304" w:type="dxa"/>
          </w:tcPr>
          <w:p w:rsidR="00417BDB" w:rsidRPr="007C51D6" w:rsidRDefault="00417BDB" w:rsidP="00417BDB">
            <w:pPr>
              <w:autoSpaceDE/>
              <w:autoSpaceDN/>
              <w:adjustRightInd/>
              <w:jc w:val="both"/>
              <w:rPr>
                <w:rFonts w:eastAsia="Arial"/>
                <w:sz w:val="20"/>
                <w:szCs w:val="20"/>
              </w:rPr>
            </w:pPr>
            <w:r w:rsidRPr="007C51D6">
              <w:rPr>
                <w:rFonts w:eastAsia="Arial"/>
                <w:sz w:val="20"/>
                <w:szCs w:val="20"/>
                <w:lang w:val="en-US"/>
              </w:rPr>
              <w:t>I</w:t>
            </w:r>
            <w:r w:rsidRPr="007C51D6">
              <w:rPr>
                <w:rFonts w:eastAsia="Arial"/>
                <w:sz w:val="20"/>
                <w:szCs w:val="20"/>
              </w:rPr>
              <w:t xml:space="preserve"> стадия</w:t>
            </w:r>
          </w:p>
        </w:tc>
        <w:tc>
          <w:tcPr>
            <w:tcW w:w="1210"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18,3</w:t>
            </w:r>
          </w:p>
        </w:tc>
        <w:tc>
          <w:tcPr>
            <w:tcW w:w="1211"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23,5</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21,5</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23,8</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23,7</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25,7</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23,2</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25,6</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23,3</w:t>
            </w:r>
          </w:p>
        </w:tc>
        <w:tc>
          <w:tcPr>
            <w:tcW w:w="1213" w:type="dxa"/>
            <w:vAlign w:val="bottom"/>
          </w:tcPr>
          <w:p w:rsidR="00417BDB" w:rsidRPr="007C51D6" w:rsidRDefault="00417BDB" w:rsidP="00417BDB">
            <w:pPr>
              <w:widowControl/>
              <w:autoSpaceDE/>
              <w:autoSpaceDN/>
              <w:adjustRightInd/>
              <w:jc w:val="center"/>
              <w:rPr>
                <w:color w:val="000000"/>
                <w:sz w:val="20"/>
                <w:szCs w:val="20"/>
              </w:rPr>
            </w:pPr>
            <w:r w:rsidRPr="007C51D6">
              <w:rPr>
                <w:color w:val="000000"/>
                <w:sz w:val="20"/>
                <w:szCs w:val="20"/>
              </w:rPr>
              <w:t>28,2</w:t>
            </w:r>
          </w:p>
        </w:tc>
      </w:tr>
      <w:tr w:rsidR="00417BDB" w:rsidRPr="007C51D6" w:rsidTr="00742D16">
        <w:trPr>
          <w:trHeight w:val="20"/>
        </w:trPr>
        <w:tc>
          <w:tcPr>
            <w:tcW w:w="1696" w:type="dxa"/>
            <w:vMerge/>
          </w:tcPr>
          <w:p w:rsidR="00417BDB" w:rsidRPr="007C51D6" w:rsidRDefault="00417BDB" w:rsidP="00417BDB">
            <w:pPr>
              <w:jc w:val="both"/>
              <w:rPr>
                <w:rFonts w:eastAsia="Arial"/>
                <w:sz w:val="20"/>
                <w:szCs w:val="20"/>
                <w:lang w:val="en-US"/>
              </w:rPr>
            </w:pPr>
          </w:p>
        </w:tc>
        <w:tc>
          <w:tcPr>
            <w:tcW w:w="1304" w:type="dxa"/>
          </w:tcPr>
          <w:p w:rsidR="00417BDB" w:rsidRPr="007C51D6" w:rsidRDefault="00417BDB" w:rsidP="00417BDB">
            <w:pPr>
              <w:jc w:val="both"/>
              <w:rPr>
                <w:rFonts w:eastAsia="Arial"/>
                <w:sz w:val="20"/>
                <w:szCs w:val="20"/>
                <w:lang w:val="en-US"/>
              </w:rPr>
            </w:pPr>
            <w:r w:rsidRPr="007C51D6">
              <w:rPr>
                <w:rFonts w:eastAsia="Arial"/>
                <w:sz w:val="20"/>
                <w:szCs w:val="20"/>
                <w:lang w:val="en-US"/>
              </w:rPr>
              <w:t>II</w:t>
            </w:r>
            <w:r w:rsidRPr="007C51D6">
              <w:rPr>
                <w:rFonts w:eastAsia="Arial"/>
                <w:sz w:val="20"/>
                <w:szCs w:val="20"/>
              </w:rPr>
              <w:t xml:space="preserve"> стадия</w:t>
            </w:r>
          </w:p>
        </w:tc>
        <w:tc>
          <w:tcPr>
            <w:tcW w:w="1210"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34,2</w:t>
            </w:r>
          </w:p>
        </w:tc>
        <w:tc>
          <w:tcPr>
            <w:tcW w:w="1211"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39,0</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39,0</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37,1</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37,2</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30,6</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33,0</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29,8</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33,8</w:t>
            </w:r>
          </w:p>
        </w:tc>
        <w:tc>
          <w:tcPr>
            <w:tcW w:w="1213" w:type="dxa"/>
            <w:vAlign w:val="bottom"/>
          </w:tcPr>
          <w:p w:rsidR="00417BDB" w:rsidRPr="007C51D6" w:rsidRDefault="00417BDB" w:rsidP="00417BDB">
            <w:pPr>
              <w:jc w:val="center"/>
              <w:rPr>
                <w:color w:val="000000"/>
                <w:sz w:val="20"/>
                <w:szCs w:val="20"/>
              </w:rPr>
            </w:pPr>
            <w:r w:rsidRPr="007C51D6">
              <w:rPr>
                <w:color w:val="000000"/>
                <w:sz w:val="20"/>
                <w:szCs w:val="20"/>
              </w:rPr>
              <w:t>29,7</w:t>
            </w:r>
          </w:p>
        </w:tc>
      </w:tr>
      <w:tr w:rsidR="00417BDB" w:rsidRPr="007C51D6" w:rsidTr="00742D16">
        <w:trPr>
          <w:trHeight w:val="20"/>
        </w:trPr>
        <w:tc>
          <w:tcPr>
            <w:tcW w:w="1696" w:type="dxa"/>
            <w:vMerge/>
          </w:tcPr>
          <w:p w:rsidR="00417BDB" w:rsidRPr="007C51D6" w:rsidRDefault="00417BDB" w:rsidP="00417BDB">
            <w:pPr>
              <w:jc w:val="both"/>
              <w:rPr>
                <w:rFonts w:eastAsia="Arial"/>
                <w:sz w:val="20"/>
                <w:szCs w:val="20"/>
                <w:lang w:val="en-US"/>
              </w:rPr>
            </w:pPr>
          </w:p>
        </w:tc>
        <w:tc>
          <w:tcPr>
            <w:tcW w:w="1304" w:type="dxa"/>
          </w:tcPr>
          <w:p w:rsidR="00417BDB" w:rsidRPr="007C51D6" w:rsidRDefault="00417BDB" w:rsidP="00417BDB">
            <w:pPr>
              <w:jc w:val="both"/>
              <w:rPr>
                <w:rFonts w:eastAsia="Arial"/>
                <w:sz w:val="20"/>
                <w:szCs w:val="20"/>
                <w:lang w:val="en-US"/>
              </w:rPr>
            </w:pPr>
            <w:r w:rsidRPr="007C51D6">
              <w:rPr>
                <w:rFonts w:eastAsia="Arial"/>
                <w:sz w:val="20"/>
                <w:szCs w:val="20"/>
                <w:lang w:val="en-US"/>
              </w:rPr>
              <w:t>III</w:t>
            </w:r>
            <w:r w:rsidRPr="007C51D6">
              <w:rPr>
                <w:rFonts w:eastAsia="Arial"/>
                <w:sz w:val="20"/>
                <w:szCs w:val="20"/>
              </w:rPr>
              <w:t xml:space="preserve"> стадия</w:t>
            </w:r>
          </w:p>
        </w:tc>
        <w:tc>
          <w:tcPr>
            <w:tcW w:w="1210"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27,5</w:t>
            </w:r>
          </w:p>
        </w:tc>
        <w:tc>
          <w:tcPr>
            <w:tcW w:w="1211"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19,9</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21,2</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22,2</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22,0</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25,4</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26,8</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29,4</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28,1</w:t>
            </w:r>
          </w:p>
        </w:tc>
        <w:tc>
          <w:tcPr>
            <w:tcW w:w="1213" w:type="dxa"/>
            <w:vAlign w:val="bottom"/>
          </w:tcPr>
          <w:p w:rsidR="00417BDB" w:rsidRPr="007C51D6" w:rsidRDefault="00417BDB" w:rsidP="00417BDB">
            <w:pPr>
              <w:jc w:val="center"/>
              <w:rPr>
                <w:color w:val="000000"/>
                <w:sz w:val="20"/>
                <w:szCs w:val="20"/>
              </w:rPr>
            </w:pPr>
            <w:r w:rsidRPr="007C51D6">
              <w:rPr>
                <w:color w:val="000000"/>
                <w:sz w:val="20"/>
                <w:szCs w:val="20"/>
              </w:rPr>
              <w:t>28,9</w:t>
            </w:r>
          </w:p>
        </w:tc>
      </w:tr>
      <w:tr w:rsidR="00417BDB" w:rsidRPr="007C51D6" w:rsidTr="00742D16">
        <w:trPr>
          <w:trHeight w:val="20"/>
        </w:trPr>
        <w:tc>
          <w:tcPr>
            <w:tcW w:w="1696" w:type="dxa"/>
            <w:vMerge/>
          </w:tcPr>
          <w:p w:rsidR="00417BDB" w:rsidRPr="007C51D6" w:rsidRDefault="00417BDB" w:rsidP="00417BDB">
            <w:pPr>
              <w:jc w:val="both"/>
              <w:rPr>
                <w:rFonts w:eastAsia="Arial"/>
                <w:sz w:val="20"/>
                <w:szCs w:val="20"/>
                <w:lang w:val="en-US"/>
              </w:rPr>
            </w:pPr>
          </w:p>
        </w:tc>
        <w:tc>
          <w:tcPr>
            <w:tcW w:w="1304" w:type="dxa"/>
          </w:tcPr>
          <w:p w:rsidR="00417BDB" w:rsidRPr="007C51D6" w:rsidRDefault="00417BDB" w:rsidP="00417BDB">
            <w:pPr>
              <w:jc w:val="both"/>
            </w:pPr>
            <w:r w:rsidRPr="007C51D6">
              <w:rPr>
                <w:rFonts w:eastAsia="Arial"/>
                <w:sz w:val="20"/>
                <w:szCs w:val="20"/>
                <w:lang w:val="en-US"/>
              </w:rPr>
              <w:t>IV</w:t>
            </w:r>
            <w:r w:rsidRPr="007C51D6">
              <w:rPr>
                <w:rFonts w:eastAsia="Arial"/>
                <w:sz w:val="20"/>
                <w:szCs w:val="20"/>
              </w:rPr>
              <w:t xml:space="preserve"> стадия</w:t>
            </w:r>
          </w:p>
        </w:tc>
        <w:tc>
          <w:tcPr>
            <w:tcW w:w="1210"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19,9</w:t>
            </w:r>
          </w:p>
        </w:tc>
        <w:tc>
          <w:tcPr>
            <w:tcW w:w="1211"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17,6</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18,3</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16,7</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17,1</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17,9</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17,0</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15,2</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14,8</w:t>
            </w:r>
          </w:p>
        </w:tc>
        <w:tc>
          <w:tcPr>
            <w:tcW w:w="1213" w:type="dxa"/>
            <w:vAlign w:val="bottom"/>
          </w:tcPr>
          <w:p w:rsidR="00417BDB" w:rsidRPr="007C51D6" w:rsidRDefault="00417BDB" w:rsidP="00417BDB">
            <w:pPr>
              <w:jc w:val="center"/>
              <w:rPr>
                <w:color w:val="000000"/>
                <w:sz w:val="20"/>
                <w:szCs w:val="20"/>
              </w:rPr>
            </w:pPr>
            <w:r w:rsidRPr="007C51D6">
              <w:rPr>
                <w:color w:val="000000"/>
                <w:sz w:val="20"/>
                <w:szCs w:val="20"/>
              </w:rPr>
              <w:t>12,5</w:t>
            </w:r>
          </w:p>
        </w:tc>
      </w:tr>
      <w:tr w:rsidR="00417BDB" w:rsidRPr="007C51D6" w:rsidTr="00742D16">
        <w:trPr>
          <w:trHeight w:val="20"/>
        </w:trPr>
        <w:tc>
          <w:tcPr>
            <w:tcW w:w="1696" w:type="dxa"/>
            <w:vMerge/>
          </w:tcPr>
          <w:p w:rsidR="00417BDB" w:rsidRPr="007C51D6" w:rsidRDefault="00417BDB" w:rsidP="00417BDB">
            <w:pPr>
              <w:autoSpaceDE/>
              <w:autoSpaceDN/>
              <w:adjustRightInd/>
              <w:jc w:val="both"/>
              <w:rPr>
                <w:rFonts w:eastAsia="Arial"/>
                <w:sz w:val="20"/>
                <w:szCs w:val="20"/>
              </w:rPr>
            </w:pPr>
          </w:p>
        </w:tc>
        <w:tc>
          <w:tcPr>
            <w:tcW w:w="1304" w:type="dxa"/>
          </w:tcPr>
          <w:p w:rsidR="00417BDB" w:rsidRPr="007C51D6" w:rsidRDefault="00417BDB" w:rsidP="00417BDB">
            <w:pPr>
              <w:autoSpaceDE/>
              <w:autoSpaceDN/>
              <w:adjustRightInd/>
              <w:jc w:val="both"/>
              <w:rPr>
                <w:rFonts w:eastAsia="Arial"/>
                <w:sz w:val="20"/>
                <w:szCs w:val="20"/>
              </w:rPr>
            </w:pPr>
            <w:r w:rsidRPr="007C51D6">
              <w:rPr>
                <w:rFonts w:eastAsia="Arial"/>
                <w:sz w:val="20"/>
                <w:szCs w:val="20"/>
              </w:rPr>
              <w:t>без стадии</w:t>
            </w:r>
          </w:p>
        </w:tc>
        <w:tc>
          <w:tcPr>
            <w:tcW w:w="1210"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0,1</w:t>
            </w:r>
          </w:p>
        </w:tc>
        <w:tc>
          <w:tcPr>
            <w:tcW w:w="1211"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0</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0</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0</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0</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0,3</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0</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0</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0</w:t>
            </w:r>
          </w:p>
        </w:tc>
        <w:tc>
          <w:tcPr>
            <w:tcW w:w="1213" w:type="dxa"/>
            <w:vAlign w:val="bottom"/>
          </w:tcPr>
          <w:p w:rsidR="00417BDB" w:rsidRPr="007C51D6" w:rsidRDefault="00417BDB" w:rsidP="00417BDB">
            <w:pPr>
              <w:jc w:val="center"/>
              <w:rPr>
                <w:color w:val="000000"/>
                <w:sz w:val="20"/>
                <w:szCs w:val="20"/>
              </w:rPr>
            </w:pPr>
            <w:r w:rsidRPr="007C51D6">
              <w:rPr>
                <w:color w:val="000000"/>
                <w:sz w:val="20"/>
                <w:szCs w:val="20"/>
              </w:rPr>
              <w:t>0,2</w:t>
            </w:r>
          </w:p>
        </w:tc>
      </w:tr>
      <w:tr w:rsidR="00417BDB" w:rsidRPr="007C51D6" w:rsidTr="00742D16">
        <w:trPr>
          <w:trHeight w:val="20"/>
        </w:trPr>
        <w:tc>
          <w:tcPr>
            <w:tcW w:w="1696" w:type="dxa"/>
            <w:vMerge w:val="restart"/>
          </w:tcPr>
          <w:p w:rsidR="00417BDB" w:rsidRPr="007C51D6" w:rsidRDefault="00417BDB" w:rsidP="00417BDB">
            <w:pPr>
              <w:jc w:val="both"/>
              <w:rPr>
                <w:rFonts w:eastAsia="Arial"/>
                <w:sz w:val="20"/>
                <w:szCs w:val="20"/>
              </w:rPr>
            </w:pPr>
            <w:r w:rsidRPr="007C51D6">
              <w:rPr>
                <w:rFonts w:eastAsia="Arial"/>
                <w:sz w:val="20"/>
                <w:szCs w:val="20"/>
              </w:rPr>
              <w:t>ЗНО заднего прохода и анального канала (С21)</w:t>
            </w:r>
          </w:p>
        </w:tc>
        <w:tc>
          <w:tcPr>
            <w:tcW w:w="1304" w:type="dxa"/>
          </w:tcPr>
          <w:p w:rsidR="00417BDB" w:rsidRPr="007C51D6" w:rsidRDefault="00417BDB" w:rsidP="00417BDB">
            <w:pPr>
              <w:autoSpaceDE/>
              <w:autoSpaceDN/>
              <w:adjustRightInd/>
              <w:jc w:val="both"/>
              <w:rPr>
                <w:rFonts w:eastAsia="Arial"/>
                <w:sz w:val="20"/>
                <w:szCs w:val="20"/>
              </w:rPr>
            </w:pPr>
            <w:r w:rsidRPr="007C51D6">
              <w:rPr>
                <w:rFonts w:eastAsia="Arial"/>
                <w:sz w:val="20"/>
                <w:szCs w:val="20"/>
                <w:lang w:val="en-US"/>
              </w:rPr>
              <w:t>I</w:t>
            </w:r>
            <w:r w:rsidRPr="007C51D6">
              <w:rPr>
                <w:rFonts w:eastAsia="Arial"/>
                <w:sz w:val="20"/>
                <w:szCs w:val="20"/>
              </w:rPr>
              <w:t xml:space="preserve"> стадия</w:t>
            </w:r>
          </w:p>
        </w:tc>
        <w:tc>
          <w:tcPr>
            <w:tcW w:w="1210"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14,3</w:t>
            </w:r>
          </w:p>
        </w:tc>
        <w:tc>
          <w:tcPr>
            <w:tcW w:w="1211"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9,5</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10,0</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23,1</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9,5</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10,5</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22,7</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12,1</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13,6</w:t>
            </w:r>
          </w:p>
        </w:tc>
        <w:tc>
          <w:tcPr>
            <w:tcW w:w="1213" w:type="dxa"/>
            <w:vAlign w:val="bottom"/>
          </w:tcPr>
          <w:p w:rsidR="00417BDB" w:rsidRPr="007C51D6" w:rsidRDefault="00417BDB" w:rsidP="00417BDB">
            <w:pPr>
              <w:widowControl/>
              <w:autoSpaceDE/>
              <w:autoSpaceDN/>
              <w:adjustRightInd/>
              <w:jc w:val="center"/>
              <w:rPr>
                <w:color w:val="000000"/>
                <w:sz w:val="20"/>
                <w:szCs w:val="20"/>
              </w:rPr>
            </w:pPr>
            <w:r w:rsidRPr="007C51D6">
              <w:rPr>
                <w:color w:val="000000"/>
                <w:sz w:val="20"/>
                <w:szCs w:val="20"/>
              </w:rPr>
              <w:t>18,2</w:t>
            </w:r>
          </w:p>
        </w:tc>
      </w:tr>
      <w:tr w:rsidR="00417BDB" w:rsidRPr="007C51D6" w:rsidTr="00742D16">
        <w:trPr>
          <w:trHeight w:val="20"/>
        </w:trPr>
        <w:tc>
          <w:tcPr>
            <w:tcW w:w="1696" w:type="dxa"/>
            <w:vMerge/>
          </w:tcPr>
          <w:p w:rsidR="00417BDB" w:rsidRPr="007C51D6" w:rsidRDefault="00417BDB" w:rsidP="00417BDB">
            <w:pPr>
              <w:jc w:val="both"/>
              <w:rPr>
                <w:rFonts w:eastAsia="Arial"/>
                <w:sz w:val="20"/>
                <w:szCs w:val="20"/>
                <w:lang w:val="en-US"/>
              </w:rPr>
            </w:pPr>
          </w:p>
        </w:tc>
        <w:tc>
          <w:tcPr>
            <w:tcW w:w="1304" w:type="dxa"/>
          </w:tcPr>
          <w:p w:rsidR="00417BDB" w:rsidRPr="007C51D6" w:rsidRDefault="00417BDB" w:rsidP="00417BDB">
            <w:pPr>
              <w:jc w:val="both"/>
              <w:rPr>
                <w:rFonts w:eastAsia="Arial"/>
                <w:sz w:val="20"/>
                <w:szCs w:val="20"/>
                <w:lang w:val="en-US"/>
              </w:rPr>
            </w:pPr>
            <w:r w:rsidRPr="007C51D6">
              <w:rPr>
                <w:rFonts w:eastAsia="Arial"/>
                <w:sz w:val="20"/>
                <w:szCs w:val="20"/>
                <w:lang w:val="en-US"/>
              </w:rPr>
              <w:t>II</w:t>
            </w:r>
            <w:r w:rsidRPr="007C51D6">
              <w:rPr>
                <w:rFonts w:eastAsia="Arial"/>
                <w:sz w:val="20"/>
                <w:szCs w:val="20"/>
              </w:rPr>
              <w:t xml:space="preserve"> стадия</w:t>
            </w:r>
          </w:p>
        </w:tc>
        <w:tc>
          <w:tcPr>
            <w:tcW w:w="1210"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47,6</w:t>
            </w:r>
          </w:p>
        </w:tc>
        <w:tc>
          <w:tcPr>
            <w:tcW w:w="1211"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52,9</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60,0</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38,5</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42,9</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39,5</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36,4</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27,3</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40,9</w:t>
            </w:r>
          </w:p>
        </w:tc>
        <w:tc>
          <w:tcPr>
            <w:tcW w:w="1213" w:type="dxa"/>
            <w:vAlign w:val="bottom"/>
          </w:tcPr>
          <w:p w:rsidR="00417BDB" w:rsidRPr="007C51D6" w:rsidRDefault="00417BDB" w:rsidP="00417BDB">
            <w:pPr>
              <w:jc w:val="center"/>
              <w:rPr>
                <w:color w:val="000000"/>
                <w:sz w:val="20"/>
                <w:szCs w:val="20"/>
              </w:rPr>
            </w:pPr>
            <w:r w:rsidRPr="007C51D6">
              <w:rPr>
                <w:color w:val="000000"/>
                <w:sz w:val="20"/>
                <w:szCs w:val="20"/>
              </w:rPr>
              <w:t>43,2</w:t>
            </w:r>
          </w:p>
        </w:tc>
      </w:tr>
      <w:tr w:rsidR="00417BDB" w:rsidRPr="007C51D6" w:rsidTr="00742D16">
        <w:trPr>
          <w:trHeight w:val="20"/>
        </w:trPr>
        <w:tc>
          <w:tcPr>
            <w:tcW w:w="1696" w:type="dxa"/>
            <w:vMerge/>
          </w:tcPr>
          <w:p w:rsidR="00417BDB" w:rsidRPr="007C51D6" w:rsidRDefault="00417BDB" w:rsidP="00417BDB">
            <w:pPr>
              <w:jc w:val="both"/>
              <w:rPr>
                <w:rFonts w:eastAsia="Arial"/>
                <w:sz w:val="20"/>
                <w:szCs w:val="20"/>
                <w:lang w:val="en-US"/>
              </w:rPr>
            </w:pPr>
          </w:p>
        </w:tc>
        <w:tc>
          <w:tcPr>
            <w:tcW w:w="1304" w:type="dxa"/>
          </w:tcPr>
          <w:p w:rsidR="00417BDB" w:rsidRPr="007C51D6" w:rsidRDefault="00417BDB" w:rsidP="00417BDB">
            <w:pPr>
              <w:jc w:val="both"/>
              <w:rPr>
                <w:rFonts w:eastAsia="Arial"/>
                <w:sz w:val="20"/>
                <w:szCs w:val="20"/>
                <w:lang w:val="en-US"/>
              </w:rPr>
            </w:pPr>
            <w:r w:rsidRPr="007C51D6">
              <w:rPr>
                <w:rFonts w:eastAsia="Arial"/>
                <w:sz w:val="20"/>
                <w:szCs w:val="20"/>
                <w:lang w:val="en-US"/>
              </w:rPr>
              <w:t>III</w:t>
            </w:r>
            <w:r w:rsidRPr="007C51D6">
              <w:rPr>
                <w:rFonts w:eastAsia="Arial"/>
                <w:sz w:val="20"/>
                <w:szCs w:val="20"/>
              </w:rPr>
              <w:t xml:space="preserve"> стадия</w:t>
            </w:r>
          </w:p>
        </w:tc>
        <w:tc>
          <w:tcPr>
            <w:tcW w:w="1210"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19,0</w:t>
            </w:r>
          </w:p>
        </w:tc>
        <w:tc>
          <w:tcPr>
            <w:tcW w:w="1211"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23,8</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20,0</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26,9</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28,6</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39,5</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36,4</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54,5</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36,4</w:t>
            </w:r>
          </w:p>
        </w:tc>
        <w:tc>
          <w:tcPr>
            <w:tcW w:w="1213" w:type="dxa"/>
            <w:vAlign w:val="bottom"/>
          </w:tcPr>
          <w:p w:rsidR="00417BDB" w:rsidRPr="007C51D6" w:rsidRDefault="00417BDB" w:rsidP="00417BDB">
            <w:pPr>
              <w:jc w:val="center"/>
              <w:rPr>
                <w:color w:val="000000"/>
                <w:sz w:val="20"/>
                <w:szCs w:val="20"/>
              </w:rPr>
            </w:pPr>
            <w:r w:rsidRPr="007C51D6">
              <w:rPr>
                <w:color w:val="000000"/>
                <w:sz w:val="20"/>
                <w:szCs w:val="20"/>
              </w:rPr>
              <w:t>36,4</w:t>
            </w:r>
          </w:p>
        </w:tc>
      </w:tr>
      <w:tr w:rsidR="00417BDB" w:rsidRPr="007C51D6" w:rsidTr="00742D16">
        <w:trPr>
          <w:trHeight w:val="20"/>
        </w:trPr>
        <w:tc>
          <w:tcPr>
            <w:tcW w:w="1696" w:type="dxa"/>
            <w:vMerge/>
          </w:tcPr>
          <w:p w:rsidR="00417BDB" w:rsidRPr="007C51D6" w:rsidRDefault="00417BDB" w:rsidP="00417BDB">
            <w:pPr>
              <w:jc w:val="both"/>
              <w:rPr>
                <w:rFonts w:eastAsia="Arial"/>
                <w:sz w:val="20"/>
                <w:szCs w:val="20"/>
                <w:lang w:val="en-US"/>
              </w:rPr>
            </w:pPr>
          </w:p>
        </w:tc>
        <w:tc>
          <w:tcPr>
            <w:tcW w:w="1304" w:type="dxa"/>
          </w:tcPr>
          <w:p w:rsidR="00417BDB" w:rsidRPr="007C51D6" w:rsidRDefault="00417BDB" w:rsidP="00417BDB">
            <w:pPr>
              <w:jc w:val="both"/>
            </w:pPr>
            <w:r w:rsidRPr="007C51D6">
              <w:rPr>
                <w:rFonts w:eastAsia="Arial"/>
                <w:sz w:val="20"/>
                <w:szCs w:val="20"/>
                <w:lang w:val="en-US"/>
              </w:rPr>
              <w:t>IV</w:t>
            </w:r>
            <w:r w:rsidRPr="007C51D6">
              <w:rPr>
                <w:rFonts w:eastAsia="Arial"/>
                <w:sz w:val="20"/>
                <w:szCs w:val="20"/>
              </w:rPr>
              <w:t xml:space="preserve"> стадия</w:t>
            </w:r>
          </w:p>
        </w:tc>
        <w:tc>
          <w:tcPr>
            <w:tcW w:w="1210"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19,0</w:t>
            </w:r>
          </w:p>
        </w:tc>
        <w:tc>
          <w:tcPr>
            <w:tcW w:w="1211"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9,5</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10,0</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11,5</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19,0</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10,5</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4,5</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6,1</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9,1</w:t>
            </w:r>
          </w:p>
        </w:tc>
        <w:tc>
          <w:tcPr>
            <w:tcW w:w="1213" w:type="dxa"/>
            <w:vAlign w:val="bottom"/>
          </w:tcPr>
          <w:p w:rsidR="00417BDB" w:rsidRPr="007C51D6" w:rsidRDefault="00417BDB" w:rsidP="00417BDB">
            <w:pPr>
              <w:jc w:val="center"/>
              <w:rPr>
                <w:color w:val="000000"/>
                <w:sz w:val="20"/>
                <w:szCs w:val="20"/>
              </w:rPr>
            </w:pPr>
            <w:r w:rsidRPr="007C51D6">
              <w:rPr>
                <w:color w:val="000000"/>
                <w:sz w:val="20"/>
                <w:szCs w:val="20"/>
              </w:rPr>
              <w:t>2,3</w:t>
            </w:r>
          </w:p>
        </w:tc>
      </w:tr>
      <w:tr w:rsidR="00417BDB" w:rsidRPr="007C51D6" w:rsidTr="00742D16">
        <w:trPr>
          <w:trHeight w:val="20"/>
        </w:trPr>
        <w:tc>
          <w:tcPr>
            <w:tcW w:w="1696" w:type="dxa"/>
            <w:vMerge/>
          </w:tcPr>
          <w:p w:rsidR="00417BDB" w:rsidRPr="007C51D6" w:rsidRDefault="00417BDB" w:rsidP="00417BDB">
            <w:pPr>
              <w:autoSpaceDE/>
              <w:autoSpaceDN/>
              <w:adjustRightInd/>
              <w:jc w:val="both"/>
              <w:rPr>
                <w:rFonts w:eastAsia="Arial"/>
                <w:sz w:val="20"/>
                <w:szCs w:val="20"/>
              </w:rPr>
            </w:pPr>
          </w:p>
        </w:tc>
        <w:tc>
          <w:tcPr>
            <w:tcW w:w="1304" w:type="dxa"/>
          </w:tcPr>
          <w:p w:rsidR="00417BDB" w:rsidRPr="007C51D6" w:rsidRDefault="00417BDB" w:rsidP="00417BDB">
            <w:pPr>
              <w:autoSpaceDE/>
              <w:autoSpaceDN/>
              <w:adjustRightInd/>
              <w:jc w:val="both"/>
              <w:rPr>
                <w:rFonts w:eastAsia="Arial"/>
                <w:sz w:val="20"/>
                <w:szCs w:val="20"/>
              </w:rPr>
            </w:pPr>
            <w:r w:rsidRPr="007C51D6">
              <w:rPr>
                <w:rFonts w:eastAsia="Arial"/>
                <w:sz w:val="20"/>
                <w:szCs w:val="20"/>
              </w:rPr>
              <w:t>без стадии</w:t>
            </w:r>
          </w:p>
        </w:tc>
        <w:tc>
          <w:tcPr>
            <w:tcW w:w="1210"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0</w:t>
            </w:r>
          </w:p>
        </w:tc>
        <w:tc>
          <w:tcPr>
            <w:tcW w:w="1211"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4,8</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0</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0</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0</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0</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0</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0</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0</w:t>
            </w:r>
          </w:p>
        </w:tc>
        <w:tc>
          <w:tcPr>
            <w:tcW w:w="1213" w:type="dxa"/>
            <w:vAlign w:val="center"/>
          </w:tcPr>
          <w:p w:rsidR="00417BDB" w:rsidRPr="007C51D6" w:rsidRDefault="00417BDB" w:rsidP="00417BDB">
            <w:pPr>
              <w:jc w:val="center"/>
              <w:rPr>
                <w:color w:val="000000"/>
                <w:sz w:val="20"/>
                <w:szCs w:val="20"/>
              </w:rPr>
            </w:pPr>
            <w:r w:rsidRPr="007C51D6">
              <w:rPr>
                <w:color w:val="000000"/>
                <w:sz w:val="20"/>
                <w:szCs w:val="20"/>
              </w:rPr>
              <w:t>0</w:t>
            </w:r>
          </w:p>
        </w:tc>
      </w:tr>
      <w:tr w:rsidR="00417BDB" w:rsidRPr="007C51D6" w:rsidTr="00742D16">
        <w:trPr>
          <w:trHeight w:val="20"/>
        </w:trPr>
        <w:tc>
          <w:tcPr>
            <w:tcW w:w="1696" w:type="dxa"/>
            <w:vMerge w:val="restart"/>
          </w:tcPr>
          <w:p w:rsidR="00417BDB" w:rsidRPr="007C51D6" w:rsidRDefault="00417BDB" w:rsidP="00417BDB">
            <w:pPr>
              <w:jc w:val="both"/>
              <w:rPr>
                <w:rFonts w:eastAsia="Arial"/>
                <w:sz w:val="20"/>
                <w:szCs w:val="20"/>
              </w:rPr>
            </w:pPr>
            <w:r w:rsidRPr="007C51D6">
              <w:rPr>
                <w:rFonts w:eastAsia="Arial"/>
                <w:sz w:val="20"/>
                <w:szCs w:val="20"/>
              </w:rPr>
              <w:t>ЗНО кожи (С44)</w:t>
            </w:r>
          </w:p>
        </w:tc>
        <w:tc>
          <w:tcPr>
            <w:tcW w:w="1304" w:type="dxa"/>
          </w:tcPr>
          <w:p w:rsidR="00417BDB" w:rsidRPr="007C51D6" w:rsidRDefault="00417BDB" w:rsidP="00417BDB">
            <w:pPr>
              <w:autoSpaceDE/>
              <w:autoSpaceDN/>
              <w:adjustRightInd/>
              <w:jc w:val="both"/>
              <w:rPr>
                <w:rFonts w:eastAsia="Arial"/>
                <w:sz w:val="20"/>
                <w:szCs w:val="20"/>
              </w:rPr>
            </w:pPr>
            <w:r w:rsidRPr="007C51D6">
              <w:rPr>
                <w:rFonts w:eastAsia="Arial"/>
                <w:sz w:val="20"/>
                <w:szCs w:val="20"/>
                <w:lang w:val="en-US"/>
              </w:rPr>
              <w:t>I</w:t>
            </w:r>
            <w:r w:rsidRPr="007C51D6">
              <w:rPr>
                <w:rFonts w:eastAsia="Arial"/>
                <w:sz w:val="20"/>
                <w:szCs w:val="20"/>
              </w:rPr>
              <w:t xml:space="preserve"> стадия</w:t>
            </w:r>
          </w:p>
        </w:tc>
        <w:tc>
          <w:tcPr>
            <w:tcW w:w="1210"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79,9</w:t>
            </w:r>
          </w:p>
        </w:tc>
        <w:tc>
          <w:tcPr>
            <w:tcW w:w="1211"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84,4</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85,6</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84,9</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82,3</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82,2</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81,8</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83,6</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84,4</w:t>
            </w:r>
          </w:p>
        </w:tc>
        <w:tc>
          <w:tcPr>
            <w:tcW w:w="1213" w:type="dxa"/>
            <w:vAlign w:val="bottom"/>
          </w:tcPr>
          <w:p w:rsidR="00417BDB" w:rsidRPr="007C51D6" w:rsidRDefault="00417BDB" w:rsidP="00417BDB">
            <w:pPr>
              <w:widowControl/>
              <w:autoSpaceDE/>
              <w:autoSpaceDN/>
              <w:adjustRightInd/>
              <w:jc w:val="center"/>
              <w:rPr>
                <w:color w:val="000000"/>
                <w:sz w:val="20"/>
                <w:szCs w:val="20"/>
              </w:rPr>
            </w:pPr>
            <w:r w:rsidRPr="007C51D6">
              <w:rPr>
                <w:color w:val="000000"/>
                <w:sz w:val="20"/>
                <w:szCs w:val="20"/>
              </w:rPr>
              <w:t>85,1</w:t>
            </w:r>
          </w:p>
        </w:tc>
      </w:tr>
      <w:tr w:rsidR="00417BDB" w:rsidRPr="007C51D6" w:rsidTr="00742D16">
        <w:trPr>
          <w:trHeight w:val="20"/>
        </w:trPr>
        <w:tc>
          <w:tcPr>
            <w:tcW w:w="1696" w:type="dxa"/>
            <w:vMerge/>
          </w:tcPr>
          <w:p w:rsidR="00417BDB" w:rsidRPr="007C51D6" w:rsidRDefault="00417BDB" w:rsidP="00417BDB">
            <w:pPr>
              <w:jc w:val="both"/>
              <w:rPr>
                <w:rFonts w:eastAsia="Arial"/>
                <w:sz w:val="20"/>
                <w:szCs w:val="20"/>
                <w:lang w:val="en-US"/>
              </w:rPr>
            </w:pPr>
          </w:p>
        </w:tc>
        <w:tc>
          <w:tcPr>
            <w:tcW w:w="1304" w:type="dxa"/>
          </w:tcPr>
          <w:p w:rsidR="00417BDB" w:rsidRPr="007C51D6" w:rsidRDefault="00417BDB" w:rsidP="00417BDB">
            <w:pPr>
              <w:jc w:val="both"/>
              <w:rPr>
                <w:rFonts w:eastAsia="Arial"/>
                <w:sz w:val="20"/>
                <w:szCs w:val="20"/>
                <w:lang w:val="en-US"/>
              </w:rPr>
            </w:pPr>
            <w:r w:rsidRPr="007C51D6">
              <w:rPr>
                <w:rFonts w:eastAsia="Arial"/>
                <w:sz w:val="20"/>
                <w:szCs w:val="20"/>
                <w:lang w:val="en-US"/>
              </w:rPr>
              <w:t>II</w:t>
            </w:r>
            <w:r w:rsidRPr="007C51D6">
              <w:rPr>
                <w:rFonts w:eastAsia="Arial"/>
                <w:sz w:val="20"/>
                <w:szCs w:val="20"/>
              </w:rPr>
              <w:t xml:space="preserve"> стадия</w:t>
            </w:r>
          </w:p>
        </w:tc>
        <w:tc>
          <w:tcPr>
            <w:tcW w:w="1210"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17,5</w:t>
            </w:r>
          </w:p>
        </w:tc>
        <w:tc>
          <w:tcPr>
            <w:tcW w:w="1211"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13,4</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12,6</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14,3</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16,5</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16,3</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15,8</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14,4</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13,5</w:t>
            </w:r>
          </w:p>
        </w:tc>
        <w:tc>
          <w:tcPr>
            <w:tcW w:w="1213" w:type="dxa"/>
            <w:vAlign w:val="bottom"/>
          </w:tcPr>
          <w:p w:rsidR="00417BDB" w:rsidRPr="007C51D6" w:rsidRDefault="00417BDB" w:rsidP="00417BDB">
            <w:pPr>
              <w:jc w:val="center"/>
              <w:rPr>
                <w:color w:val="000000"/>
                <w:sz w:val="20"/>
                <w:szCs w:val="20"/>
              </w:rPr>
            </w:pPr>
            <w:r w:rsidRPr="007C51D6">
              <w:rPr>
                <w:color w:val="000000"/>
                <w:sz w:val="20"/>
                <w:szCs w:val="20"/>
              </w:rPr>
              <w:t>12,6</w:t>
            </w:r>
          </w:p>
        </w:tc>
      </w:tr>
      <w:tr w:rsidR="00417BDB" w:rsidRPr="007C51D6" w:rsidTr="00742D16">
        <w:trPr>
          <w:trHeight w:val="20"/>
        </w:trPr>
        <w:tc>
          <w:tcPr>
            <w:tcW w:w="1696" w:type="dxa"/>
            <w:vMerge/>
          </w:tcPr>
          <w:p w:rsidR="00417BDB" w:rsidRPr="007C51D6" w:rsidRDefault="00417BDB" w:rsidP="00417BDB">
            <w:pPr>
              <w:jc w:val="both"/>
              <w:rPr>
                <w:rFonts w:eastAsia="Arial"/>
                <w:sz w:val="20"/>
                <w:szCs w:val="20"/>
                <w:lang w:val="en-US"/>
              </w:rPr>
            </w:pPr>
          </w:p>
        </w:tc>
        <w:tc>
          <w:tcPr>
            <w:tcW w:w="1304" w:type="dxa"/>
          </w:tcPr>
          <w:p w:rsidR="00417BDB" w:rsidRPr="007C51D6" w:rsidRDefault="00417BDB" w:rsidP="00417BDB">
            <w:pPr>
              <w:jc w:val="both"/>
              <w:rPr>
                <w:rFonts w:eastAsia="Arial"/>
                <w:sz w:val="20"/>
                <w:szCs w:val="20"/>
                <w:lang w:val="en-US"/>
              </w:rPr>
            </w:pPr>
            <w:r w:rsidRPr="007C51D6">
              <w:rPr>
                <w:rFonts w:eastAsia="Arial"/>
                <w:sz w:val="20"/>
                <w:szCs w:val="20"/>
                <w:lang w:val="en-US"/>
              </w:rPr>
              <w:t>III</w:t>
            </w:r>
            <w:r w:rsidRPr="007C51D6">
              <w:rPr>
                <w:rFonts w:eastAsia="Arial"/>
                <w:sz w:val="20"/>
                <w:szCs w:val="20"/>
              </w:rPr>
              <w:t xml:space="preserve"> стадия</w:t>
            </w:r>
          </w:p>
        </w:tc>
        <w:tc>
          <w:tcPr>
            <w:tcW w:w="1210"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1,7</w:t>
            </w:r>
          </w:p>
        </w:tc>
        <w:tc>
          <w:tcPr>
            <w:tcW w:w="1211"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1,4</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1,2</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0,6</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0,6</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1,2</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2,0</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1,4</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1,7</w:t>
            </w:r>
          </w:p>
        </w:tc>
        <w:tc>
          <w:tcPr>
            <w:tcW w:w="1213" w:type="dxa"/>
            <w:vAlign w:val="bottom"/>
          </w:tcPr>
          <w:p w:rsidR="00417BDB" w:rsidRPr="007C51D6" w:rsidRDefault="00417BDB" w:rsidP="00417BDB">
            <w:pPr>
              <w:jc w:val="center"/>
              <w:rPr>
                <w:color w:val="000000"/>
                <w:sz w:val="20"/>
                <w:szCs w:val="20"/>
              </w:rPr>
            </w:pPr>
            <w:r w:rsidRPr="007C51D6">
              <w:rPr>
                <w:color w:val="000000"/>
                <w:sz w:val="20"/>
                <w:szCs w:val="20"/>
              </w:rPr>
              <w:t>1,7</w:t>
            </w:r>
          </w:p>
        </w:tc>
      </w:tr>
      <w:tr w:rsidR="00417BDB" w:rsidRPr="007C51D6" w:rsidTr="00742D16">
        <w:trPr>
          <w:trHeight w:val="20"/>
        </w:trPr>
        <w:tc>
          <w:tcPr>
            <w:tcW w:w="1696" w:type="dxa"/>
            <w:vMerge/>
          </w:tcPr>
          <w:p w:rsidR="00417BDB" w:rsidRPr="007C51D6" w:rsidRDefault="00417BDB" w:rsidP="00417BDB">
            <w:pPr>
              <w:jc w:val="both"/>
              <w:rPr>
                <w:rFonts w:eastAsia="Arial"/>
                <w:sz w:val="20"/>
                <w:szCs w:val="20"/>
                <w:lang w:val="en-US"/>
              </w:rPr>
            </w:pPr>
          </w:p>
        </w:tc>
        <w:tc>
          <w:tcPr>
            <w:tcW w:w="1304" w:type="dxa"/>
          </w:tcPr>
          <w:p w:rsidR="00417BDB" w:rsidRPr="007C51D6" w:rsidRDefault="00417BDB" w:rsidP="00417BDB">
            <w:pPr>
              <w:jc w:val="both"/>
            </w:pPr>
            <w:r w:rsidRPr="007C51D6">
              <w:rPr>
                <w:rFonts w:eastAsia="Arial"/>
                <w:sz w:val="20"/>
                <w:szCs w:val="20"/>
                <w:lang w:val="en-US"/>
              </w:rPr>
              <w:t>IV</w:t>
            </w:r>
            <w:r w:rsidRPr="007C51D6">
              <w:rPr>
                <w:rFonts w:eastAsia="Arial"/>
                <w:sz w:val="20"/>
                <w:szCs w:val="20"/>
              </w:rPr>
              <w:t xml:space="preserve"> стадия</w:t>
            </w:r>
          </w:p>
        </w:tc>
        <w:tc>
          <w:tcPr>
            <w:tcW w:w="1210"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0,6</w:t>
            </w:r>
          </w:p>
        </w:tc>
        <w:tc>
          <w:tcPr>
            <w:tcW w:w="1211"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0,6</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0,5</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0,3</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0,5</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0,4</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0,4</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0,7</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0,4</w:t>
            </w:r>
          </w:p>
        </w:tc>
        <w:tc>
          <w:tcPr>
            <w:tcW w:w="1213" w:type="dxa"/>
            <w:vAlign w:val="bottom"/>
          </w:tcPr>
          <w:p w:rsidR="00417BDB" w:rsidRPr="007C51D6" w:rsidRDefault="00417BDB" w:rsidP="00417BDB">
            <w:pPr>
              <w:jc w:val="center"/>
              <w:rPr>
                <w:color w:val="000000"/>
                <w:sz w:val="20"/>
                <w:szCs w:val="20"/>
              </w:rPr>
            </w:pPr>
            <w:r w:rsidRPr="007C51D6">
              <w:rPr>
                <w:color w:val="000000"/>
                <w:sz w:val="20"/>
                <w:szCs w:val="20"/>
              </w:rPr>
              <w:t>0,4</w:t>
            </w:r>
          </w:p>
        </w:tc>
      </w:tr>
      <w:tr w:rsidR="00417BDB" w:rsidRPr="007C51D6" w:rsidTr="00742D16">
        <w:trPr>
          <w:trHeight w:val="20"/>
        </w:trPr>
        <w:tc>
          <w:tcPr>
            <w:tcW w:w="1696" w:type="dxa"/>
            <w:vMerge/>
          </w:tcPr>
          <w:p w:rsidR="00417BDB" w:rsidRPr="007C51D6" w:rsidRDefault="00417BDB" w:rsidP="00417BDB">
            <w:pPr>
              <w:autoSpaceDE/>
              <w:autoSpaceDN/>
              <w:adjustRightInd/>
              <w:jc w:val="both"/>
              <w:rPr>
                <w:rFonts w:eastAsia="Arial"/>
                <w:sz w:val="20"/>
                <w:szCs w:val="20"/>
              </w:rPr>
            </w:pPr>
          </w:p>
        </w:tc>
        <w:tc>
          <w:tcPr>
            <w:tcW w:w="1304" w:type="dxa"/>
          </w:tcPr>
          <w:p w:rsidR="00417BDB" w:rsidRPr="007C51D6" w:rsidRDefault="00417BDB" w:rsidP="00417BDB">
            <w:pPr>
              <w:autoSpaceDE/>
              <w:autoSpaceDN/>
              <w:adjustRightInd/>
              <w:jc w:val="both"/>
              <w:rPr>
                <w:rFonts w:eastAsia="Arial"/>
                <w:sz w:val="20"/>
                <w:szCs w:val="20"/>
              </w:rPr>
            </w:pPr>
            <w:r w:rsidRPr="007C51D6">
              <w:rPr>
                <w:rFonts w:eastAsia="Arial"/>
                <w:sz w:val="20"/>
                <w:szCs w:val="20"/>
              </w:rPr>
              <w:t>без стадии</w:t>
            </w:r>
          </w:p>
        </w:tc>
        <w:tc>
          <w:tcPr>
            <w:tcW w:w="1210"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0,2</w:t>
            </w:r>
          </w:p>
        </w:tc>
        <w:tc>
          <w:tcPr>
            <w:tcW w:w="1211"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0,3</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0</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0</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0,1</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0,1</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0</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0</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0</w:t>
            </w:r>
          </w:p>
        </w:tc>
        <w:tc>
          <w:tcPr>
            <w:tcW w:w="1213" w:type="dxa"/>
            <w:vAlign w:val="bottom"/>
          </w:tcPr>
          <w:p w:rsidR="00417BDB" w:rsidRPr="007C51D6" w:rsidRDefault="00417BDB" w:rsidP="00417BDB">
            <w:pPr>
              <w:jc w:val="center"/>
              <w:rPr>
                <w:color w:val="000000"/>
                <w:sz w:val="20"/>
                <w:szCs w:val="20"/>
              </w:rPr>
            </w:pPr>
            <w:r w:rsidRPr="007C51D6">
              <w:rPr>
                <w:color w:val="000000"/>
                <w:sz w:val="20"/>
                <w:szCs w:val="20"/>
              </w:rPr>
              <w:t>0,2</w:t>
            </w:r>
          </w:p>
        </w:tc>
      </w:tr>
      <w:tr w:rsidR="00417BDB" w:rsidRPr="007C51D6" w:rsidTr="00742D16">
        <w:trPr>
          <w:trHeight w:val="20"/>
        </w:trPr>
        <w:tc>
          <w:tcPr>
            <w:tcW w:w="1696" w:type="dxa"/>
            <w:vMerge w:val="restart"/>
          </w:tcPr>
          <w:p w:rsidR="00417BDB" w:rsidRPr="007C51D6" w:rsidRDefault="00417BDB" w:rsidP="00417BDB">
            <w:pPr>
              <w:jc w:val="both"/>
              <w:rPr>
                <w:rFonts w:eastAsia="Arial"/>
                <w:sz w:val="20"/>
                <w:szCs w:val="20"/>
              </w:rPr>
            </w:pPr>
            <w:r w:rsidRPr="007C51D6">
              <w:rPr>
                <w:rFonts w:eastAsia="Arial"/>
                <w:sz w:val="20"/>
                <w:szCs w:val="20"/>
              </w:rPr>
              <w:t>ЗНО молочной железы (С50)</w:t>
            </w:r>
          </w:p>
        </w:tc>
        <w:tc>
          <w:tcPr>
            <w:tcW w:w="1304" w:type="dxa"/>
          </w:tcPr>
          <w:p w:rsidR="00417BDB" w:rsidRPr="007C51D6" w:rsidRDefault="00417BDB" w:rsidP="00417BDB">
            <w:pPr>
              <w:autoSpaceDE/>
              <w:autoSpaceDN/>
              <w:adjustRightInd/>
              <w:jc w:val="both"/>
              <w:rPr>
                <w:rFonts w:eastAsia="Arial"/>
                <w:sz w:val="20"/>
                <w:szCs w:val="20"/>
              </w:rPr>
            </w:pPr>
            <w:r w:rsidRPr="007C51D6">
              <w:rPr>
                <w:rFonts w:eastAsia="Arial"/>
                <w:sz w:val="20"/>
                <w:szCs w:val="20"/>
                <w:lang w:val="en-US"/>
              </w:rPr>
              <w:t>I</w:t>
            </w:r>
            <w:r w:rsidRPr="007C51D6">
              <w:rPr>
                <w:rFonts w:eastAsia="Arial"/>
                <w:sz w:val="20"/>
                <w:szCs w:val="20"/>
              </w:rPr>
              <w:t xml:space="preserve"> стадия</w:t>
            </w:r>
          </w:p>
        </w:tc>
        <w:tc>
          <w:tcPr>
            <w:tcW w:w="1210"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25,9</w:t>
            </w:r>
          </w:p>
        </w:tc>
        <w:tc>
          <w:tcPr>
            <w:tcW w:w="1211"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29,0</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28,9</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34,0</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33,9</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35,2</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36,5</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40,3</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40,0</w:t>
            </w:r>
          </w:p>
        </w:tc>
        <w:tc>
          <w:tcPr>
            <w:tcW w:w="1213" w:type="dxa"/>
            <w:vAlign w:val="bottom"/>
          </w:tcPr>
          <w:p w:rsidR="00417BDB" w:rsidRPr="007C51D6" w:rsidRDefault="00417BDB" w:rsidP="00417BDB">
            <w:pPr>
              <w:widowControl/>
              <w:autoSpaceDE/>
              <w:autoSpaceDN/>
              <w:adjustRightInd/>
              <w:jc w:val="center"/>
              <w:rPr>
                <w:color w:val="000000"/>
                <w:sz w:val="20"/>
                <w:szCs w:val="20"/>
              </w:rPr>
            </w:pPr>
            <w:r w:rsidRPr="007C51D6">
              <w:rPr>
                <w:color w:val="000000"/>
                <w:sz w:val="20"/>
                <w:szCs w:val="20"/>
              </w:rPr>
              <w:t>40,6</w:t>
            </w:r>
          </w:p>
        </w:tc>
      </w:tr>
      <w:tr w:rsidR="00417BDB" w:rsidRPr="007C51D6" w:rsidTr="00742D16">
        <w:trPr>
          <w:trHeight w:val="20"/>
        </w:trPr>
        <w:tc>
          <w:tcPr>
            <w:tcW w:w="1696" w:type="dxa"/>
            <w:vMerge/>
          </w:tcPr>
          <w:p w:rsidR="00417BDB" w:rsidRPr="007C51D6" w:rsidRDefault="00417BDB" w:rsidP="00417BDB">
            <w:pPr>
              <w:jc w:val="both"/>
              <w:rPr>
                <w:rFonts w:eastAsia="Arial"/>
                <w:sz w:val="20"/>
                <w:szCs w:val="20"/>
                <w:lang w:val="en-US"/>
              </w:rPr>
            </w:pPr>
          </w:p>
        </w:tc>
        <w:tc>
          <w:tcPr>
            <w:tcW w:w="1304" w:type="dxa"/>
          </w:tcPr>
          <w:p w:rsidR="00417BDB" w:rsidRPr="007C51D6" w:rsidRDefault="00417BDB" w:rsidP="00417BDB">
            <w:pPr>
              <w:jc w:val="both"/>
              <w:rPr>
                <w:rFonts w:eastAsia="Arial"/>
                <w:sz w:val="20"/>
                <w:szCs w:val="20"/>
                <w:lang w:val="en-US"/>
              </w:rPr>
            </w:pPr>
            <w:r w:rsidRPr="007C51D6">
              <w:rPr>
                <w:rFonts w:eastAsia="Arial"/>
                <w:sz w:val="20"/>
                <w:szCs w:val="20"/>
                <w:lang w:val="en-US"/>
              </w:rPr>
              <w:t>II</w:t>
            </w:r>
            <w:r w:rsidRPr="007C51D6">
              <w:rPr>
                <w:rFonts w:eastAsia="Arial"/>
                <w:sz w:val="20"/>
                <w:szCs w:val="20"/>
              </w:rPr>
              <w:t xml:space="preserve"> стадия</w:t>
            </w:r>
          </w:p>
        </w:tc>
        <w:tc>
          <w:tcPr>
            <w:tcW w:w="1210"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41,1</w:t>
            </w:r>
          </w:p>
        </w:tc>
        <w:tc>
          <w:tcPr>
            <w:tcW w:w="1211"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40,0</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41,8</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38,3</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44,1</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42,9</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40,4</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39,5</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38,0</w:t>
            </w:r>
          </w:p>
        </w:tc>
        <w:tc>
          <w:tcPr>
            <w:tcW w:w="1213" w:type="dxa"/>
            <w:vAlign w:val="bottom"/>
          </w:tcPr>
          <w:p w:rsidR="00417BDB" w:rsidRPr="007C51D6" w:rsidRDefault="00417BDB" w:rsidP="00417BDB">
            <w:pPr>
              <w:jc w:val="center"/>
              <w:rPr>
                <w:color w:val="000000"/>
                <w:sz w:val="20"/>
                <w:szCs w:val="20"/>
              </w:rPr>
            </w:pPr>
            <w:r w:rsidRPr="007C51D6">
              <w:rPr>
                <w:color w:val="000000"/>
                <w:sz w:val="20"/>
                <w:szCs w:val="20"/>
              </w:rPr>
              <w:t>38,6</w:t>
            </w:r>
          </w:p>
        </w:tc>
      </w:tr>
      <w:tr w:rsidR="00417BDB" w:rsidRPr="007C51D6" w:rsidTr="00742D16">
        <w:trPr>
          <w:trHeight w:val="20"/>
        </w:trPr>
        <w:tc>
          <w:tcPr>
            <w:tcW w:w="1696" w:type="dxa"/>
            <w:vMerge/>
          </w:tcPr>
          <w:p w:rsidR="00417BDB" w:rsidRPr="007C51D6" w:rsidRDefault="00417BDB" w:rsidP="00417BDB">
            <w:pPr>
              <w:jc w:val="both"/>
              <w:rPr>
                <w:rFonts w:eastAsia="Arial"/>
                <w:sz w:val="20"/>
                <w:szCs w:val="20"/>
                <w:lang w:val="en-US"/>
              </w:rPr>
            </w:pPr>
          </w:p>
        </w:tc>
        <w:tc>
          <w:tcPr>
            <w:tcW w:w="1304" w:type="dxa"/>
          </w:tcPr>
          <w:p w:rsidR="00417BDB" w:rsidRPr="007C51D6" w:rsidRDefault="00417BDB" w:rsidP="00417BDB">
            <w:pPr>
              <w:jc w:val="both"/>
              <w:rPr>
                <w:rFonts w:eastAsia="Arial"/>
                <w:sz w:val="20"/>
                <w:szCs w:val="20"/>
                <w:lang w:val="en-US"/>
              </w:rPr>
            </w:pPr>
            <w:r w:rsidRPr="007C51D6">
              <w:rPr>
                <w:rFonts w:eastAsia="Arial"/>
                <w:sz w:val="20"/>
                <w:szCs w:val="20"/>
                <w:lang w:val="en-US"/>
              </w:rPr>
              <w:t>III</w:t>
            </w:r>
            <w:r w:rsidRPr="007C51D6">
              <w:rPr>
                <w:rFonts w:eastAsia="Arial"/>
                <w:sz w:val="20"/>
                <w:szCs w:val="20"/>
              </w:rPr>
              <w:t xml:space="preserve"> стадия</w:t>
            </w:r>
          </w:p>
        </w:tc>
        <w:tc>
          <w:tcPr>
            <w:tcW w:w="1210"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25,8</w:t>
            </w:r>
          </w:p>
        </w:tc>
        <w:tc>
          <w:tcPr>
            <w:tcW w:w="1211"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24,7</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22,1</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20,9</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15,6</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17,1</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18,5</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15,8</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16,6</w:t>
            </w:r>
          </w:p>
        </w:tc>
        <w:tc>
          <w:tcPr>
            <w:tcW w:w="1213" w:type="dxa"/>
            <w:vAlign w:val="bottom"/>
          </w:tcPr>
          <w:p w:rsidR="00417BDB" w:rsidRPr="007C51D6" w:rsidRDefault="00417BDB" w:rsidP="00417BDB">
            <w:pPr>
              <w:jc w:val="center"/>
              <w:rPr>
                <w:color w:val="000000"/>
                <w:sz w:val="20"/>
                <w:szCs w:val="20"/>
              </w:rPr>
            </w:pPr>
            <w:r w:rsidRPr="007C51D6">
              <w:rPr>
                <w:color w:val="000000"/>
                <w:sz w:val="20"/>
                <w:szCs w:val="20"/>
              </w:rPr>
              <w:t>15,0</w:t>
            </w:r>
          </w:p>
        </w:tc>
      </w:tr>
      <w:tr w:rsidR="00417BDB" w:rsidRPr="007C51D6" w:rsidTr="00742D16">
        <w:trPr>
          <w:trHeight w:val="20"/>
        </w:trPr>
        <w:tc>
          <w:tcPr>
            <w:tcW w:w="1696" w:type="dxa"/>
            <w:vMerge/>
          </w:tcPr>
          <w:p w:rsidR="00417BDB" w:rsidRPr="007C51D6" w:rsidRDefault="00417BDB" w:rsidP="00417BDB">
            <w:pPr>
              <w:jc w:val="both"/>
              <w:rPr>
                <w:rFonts w:eastAsia="Arial"/>
                <w:sz w:val="20"/>
                <w:szCs w:val="20"/>
                <w:lang w:val="en-US"/>
              </w:rPr>
            </w:pPr>
          </w:p>
        </w:tc>
        <w:tc>
          <w:tcPr>
            <w:tcW w:w="1304" w:type="dxa"/>
          </w:tcPr>
          <w:p w:rsidR="00417BDB" w:rsidRPr="007C51D6" w:rsidRDefault="00417BDB" w:rsidP="00417BDB">
            <w:pPr>
              <w:jc w:val="both"/>
            </w:pPr>
            <w:r w:rsidRPr="007C51D6">
              <w:rPr>
                <w:rFonts w:eastAsia="Arial"/>
                <w:sz w:val="20"/>
                <w:szCs w:val="20"/>
                <w:lang w:val="en-US"/>
              </w:rPr>
              <w:t>IV</w:t>
            </w:r>
            <w:r w:rsidRPr="007C51D6">
              <w:rPr>
                <w:rFonts w:eastAsia="Arial"/>
                <w:sz w:val="20"/>
                <w:szCs w:val="20"/>
              </w:rPr>
              <w:t xml:space="preserve"> стадия</w:t>
            </w:r>
          </w:p>
        </w:tc>
        <w:tc>
          <w:tcPr>
            <w:tcW w:w="1210"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7,1</w:t>
            </w:r>
          </w:p>
        </w:tc>
        <w:tc>
          <w:tcPr>
            <w:tcW w:w="1211"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5,9</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7,2</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6,9</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6,4</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4,7</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4,6</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4,4</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5,2</w:t>
            </w:r>
          </w:p>
        </w:tc>
        <w:tc>
          <w:tcPr>
            <w:tcW w:w="1213" w:type="dxa"/>
            <w:vAlign w:val="bottom"/>
          </w:tcPr>
          <w:p w:rsidR="00417BDB" w:rsidRPr="007C51D6" w:rsidRDefault="00417BDB" w:rsidP="00417BDB">
            <w:pPr>
              <w:jc w:val="center"/>
              <w:rPr>
                <w:color w:val="000000"/>
                <w:sz w:val="20"/>
                <w:szCs w:val="20"/>
              </w:rPr>
            </w:pPr>
            <w:r w:rsidRPr="007C51D6">
              <w:rPr>
                <w:color w:val="000000"/>
                <w:sz w:val="20"/>
                <w:szCs w:val="20"/>
              </w:rPr>
              <w:t>5,4</w:t>
            </w:r>
          </w:p>
        </w:tc>
      </w:tr>
      <w:tr w:rsidR="00417BDB" w:rsidRPr="007C51D6" w:rsidTr="00742D16">
        <w:trPr>
          <w:trHeight w:val="20"/>
        </w:trPr>
        <w:tc>
          <w:tcPr>
            <w:tcW w:w="1696" w:type="dxa"/>
            <w:vMerge/>
          </w:tcPr>
          <w:p w:rsidR="00417BDB" w:rsidRPr="007C51D6" w:rsidRDefault="00417BDB" w:rsidP="00417BDB">
            <w:pPr>
              <w:autoSpaceDE/>
              <w:autoSpaceDN/>
              <w:adjustRightInd/>
              <w:jc w:val="both"/>
              <w:rPr>
                <w:rFonts w:eastAsia="Arial"/>
                <w:sz w:val="20"/>
                <w:szCs w:val="20"/>
              </w:rPr>
            </w:pPr>
          </w:p>
        </w:tc>
        <w:tc>
          <w:tcPr>
            <w:tcW w:w="1304" w:type="dxa"/>
          </w:tcPr>
          <w:p w:rsidR="00417BDB" w:rsidRPr="007C51D6" w:rsidRDefault="00417BDB" w:rsidP="00417BDB">
            <w:pPr>
              <w:autoSpaceDE/>
              <w:autoSpaceDN/>
              <w:adjustRightInd/>
              <w:jc w:val="both"/>
              <w:rPr>
                <w:rFonts w:eastAsia="Arial"/>
                <w:sz w:val="20"/>
                <w:szCs w:val="20"/>
              </w:rPr>
            </w:pPr>
            <w:r w:rsidRPr="007C51D6">
              <w:rPr>
                <w:rFonts w:eastAsia="Arial"/>
                <w:sz w:val="20"/>
                <w:szCs w:val="20"/>
              </w:rPr>
              <w:t>без стадии</w:t>
            </w:r>
          </w:p>
        </w:tc>
        <w:tc>
          <w:tcPr>
            <w:tcW w:w="1210"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0,1</w:t>
            </w:r>
          </w:p>
        </w:tc>
        <w:tc>
          <w:tcPr>
            <w:tcW w:w="1211"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0,4</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0</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0</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0,1</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0,1</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0</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0</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0,1</w:t>
            </w:r>
          </w:p>
        </w:tc>
        <w:tc>
          <w:tcPr>
            <w:tcW w:w="1213" w:type="dxa"/>
            <w:vAlign w:val="bottom"/>
          </w:tcPr>
          <w:p w:rsidR="00417BDB" w:rsidRPr="007C51D6" w:rsidRDefault="00417BDB" w:rsidP="00417BDB">
            <w:pPr>
              <w:jc w:val="center"/>
              <w:rPr>
                <w:color w:val="000000"/>
                <w:sz w:val="20"/>
                <w:szCs w:val="20"/>
              </w:rPr>
            </w:pPr>
            <w:r w:rsidRPr="007C51D6">
              <w:rPr>
                <w:color w:val="000000"/>
                <w:sz w:val="20"/>
                <w:szCs w:val="20"/>
              </w:rPr>
              <w:t>0,4</w:t>
            </w:r>
          </w:p>
        </w:tc>
      </w:tr>
      <w:tr w:rsidR="00417BDB" w:rsidRPr="007C51D6" w:rsidTr="00742D16">
        <w:trPr>
          <w:trHeight w:val="20"/>
        </w:trPr>
        <w:tc>
          <w:tcPr>
            <w:tcW w:w="1696" w:type="dxa"/>
            <w:vMerge w:val="restart"/>
          </w:tcPr>
          <w:p w:rsidR="00417BDB" w:rsidRPr="007C51D6" w:rsidRDefault="00417BDB" w:rsidP="00417BDB">
            <w:pPr>
              <w:jc w:val="both"/>
              <w:rPr>
                <w:rFonts w:eastAsia="Arial"/>
                <w:sz w:val="20"/>
                <w:szCs w:val="20"/>
              </w:rPr>
            </w:pPr>
            <w:r w:rsidRPr="007C51D6">
              <w:rPr>
                <w:rFonts w:eastAsia="Arial"/>
                <w:sz w:val="20"/>
                <w:szCs w:val="20"/>
              </w:rPr>
              <w:t>ЗНО вульвы (С51)</w:t>
            </w:r>
          </w:p>
        </w:tc>
        <w:tc>
          <w:tcPr>
            <w:tcW w:w="1304" w:type="dxa"/>
          </w:tcPr>
          <w:p w:rsidR="00417BDB" w:rsidRPr="007C51D6" w:rsidRDefault="00417BDB" w:rsidP="00417BDB">
            <w:pPr>
              <w:autoSpaceDE/>
              <w:autoSpaceDN/>
              <w:adjustRightInd/>
              <w:jc w:val="both"/>
              <w:rPr>
                <w:rFonts w:eastAsia="Arial"/>
                <w:sz w:val="20"/>
                <w:szCs w:val="20"/>
              </w:rPr>
            </w:pPr>
            <w:r w:rsidRPr="007C51D6">
              <w:rPr>
                <w:rFonts w:eastAsia="Arial"/>
                <w:sz w:val="20"/>
                <w:szCs w:val="20"/>
                <w:lang w:val="en-US"/>
              </w:rPr>
              <w:t>I</w:t>
            </w:r>
            <w:r w:rsidRPr="007C51D6">
              <w:rPr>
                <w:rFonts w:eastAsia="Arial"/>
                <w:sz w:val="20"/>
                <w:szCs w:val="20"/>
              </w:rPr>
              <w:t xml:space="preserve"> стадия</w:t>
            </w:r>
          </w:p>
        </w:tc>
        <w:tc>
          <w:tcPr>
            <w:tcW w:w="1210"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29,3</w:t>
            </w:r>
          </w:p>
        </w:tc>
        <w:tc>
          <w:tcPr>
            <w:tcW w:w="1211"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22,8</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29,8</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40,8</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37,7</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49,3</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68,2</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56,0</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52,5</w:t>
            </w:r>
          </w:p>
        </w:tc>
        <w:tc>
          <w:tcPr>
            <w:tcW w:w="1213" w:type="dxa"/>
            <w:vAlign w:val="bottom"/>
          </w:tcPr>
          <w:p w:rsidR="00417BDB" w:rsidRPr="007C51D6" w:rsidRDefault="00417BDB" w:rsidP="00417BDB">
            <w:pPr>
              <w:widowControl/>
              <w:autoSpaceDE/>
              <w:autoSpaceDN/>
              <w:adjustRightInd/>
              <w:jc w:val="center"/>
              <w:rPr>
                <w:color w:val="000000"/>
                <w:sz w:val="20"/>
                <w:szCs w:val="20"/>
              </w:rPr>
            </w:pPr>
            <w:r w:rsidRPr="007C51D6">
              <w:rPr>
                <w:color w:val="000000"/>
                <w:sz w:val="20"/>
                <w:szCs w:val="20"/>
              </w:rPr>
              <w:t>53,2</w:t>
            </w:r>
          </w:p>
        </w:tc>
      </w:tr>
      <w:tr w:rsidR="00417BDB" w:rsidRPr="007C51D6" w:rsidTr="00742D16">
        <w:trPr>
          <w:trHeight w:val="20"/>
        </w:trPr>
        <w:tc>
          <w:tcPr>
            <w:tcW w:w="1696" w:type="dxa"/>
            <w:vMerge/>
          </w:tcPr>
          <w:p w:rsidR="00417BDB" w:rsidRPr="007C51D6" w:rsidRDefault="00417BDB" w:rsidP="00417BDB">
            <w:pPr>
              <w:jc w:val="both"/>
              <w:rPr>
                <w:rFonts w:eastAsia="Arial"/>
                <w:sz w:val="20"/>
                <w:szCs w:val="20"/>
                <w:lang w:val="en-US"/>
              </w:rPr>
            </w:pPr>
          </w:p>
        </w:tc>
        <w:tc>
          <w:tcPr>
            <w:tcW w:w="1304" w:type="dxa"/>
          </w:tcPr>
          <w:p w:rsidR="00417BDB" w:rsidRPr="007C51D6" w:rsidRDefault="00417BDB" w:rsidP="00417BDB">
            <w:pPr>
              <w:jc w:val="both"/>
              <w:rPr>
                <w:rFonts w:eastAsia="Arial"/>
                <w:sz w:val="20"/>
                <w:szCs w:val="20"/>
                <w:lang w:val="en-US"/>
              </w:rPr>
            </w:pPr>
            <w:r w:rsidRPr="007C51D6">
              <w:rPr>
                <w:rFonts w:eastAsia="Arial"/>
                <w:sz w:val="20"/>
                <w:szCs w:val="20"/>
                <w:lang w:val="en-US"/>
              </w:rPr>
              <w:t>II</w:t>
            </w:r>
            <w:r w:rsidRPr="007C51D6">
              <w:rPr>
                <w:rFonts w:eastAsia="Arial"/>
                <w:sz w:val="20"/>
                <w:szCs w:val="20"/>
              </w:rPr>
              <w:t xml:space="preserve"> стадия</w:t>
            </w:r>
          </w:p>
        </w:tc>
        <w:tc>
          <w:tcPr>
            <w:tcW w:w="1210"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43,9</w:t>
            </w:r>
          </w:p>
        </w:tc>
        <w:tc>
          <w:tcPr>
            <w:tcW w:w="1211"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38,6</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42,1</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32,9</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32,1</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23,9</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12,1</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21,4</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18,6</w:t>
            </w:r>
          </w:p>
        </w:tc>
        <w:tc>
          <w:tcPr>
            <w:tcW w:w="1213" w:type="dxa"/>
            <w:vAlign w:val="bottom"/>
          </w:tcPr>
          <w:p w:rsidR="00417BDB" w:rsidRPr="007C51D6" w:rsidRDefault="00417BDB" w:rsidP="00417BDB">
            <w:pPr>
              <w:jc w:val="center"/>
              <w:rPr>
                <w:color w:val="000000"/>
                <w:sz w:val="20"/>
                <w:szCs w:val="20"/>
              </w:rPr>
            </w:pPr>
            <w:r w:rsidRPr="007C51D6">
              <w:rPr>
                <w:color w:val="000000"/>
                <w:sz w:val="20"/>
                <w:szCs w:val="20"/>
              </w:rPr>
              <w:t>16,1</w:t>
            </w:r>
          </w:p>
        </w:tc>
      </w:tr>
      <w:tr w:rsidR="00417BDB" w:rsidRPr="007C51D6" w:rsidTr="00742D16">
        <w:trPr>
          <w:trHeight w:val="20"/>
        </w:trPr>
        <w:tc>
          <w:tcPr>
            <w:tcW w:w="1696" w:type="dxa"/>
            <w:vMerge/>
          </w:tcPr>
          <w:p w:rsidR="00417BDB" w:rsidRPr="007C51D6" w:rsidRDefault="00417BDB" w:rsidP="00417BDB">
            <w:pPr>
              <w:jc w:val="both"/>
              <w:rPr>
                <w:rFonts w:eastAsia="Arial"/>
                <w:sz w:val="20"/>
                <w:szCs w:val="20"/>
                <w:lang w:val="en-US"/>
              </w:rPr>
            </w:pPr>
          </w:p>
        </w:tc>
        <w:tc>
          <w:tcPr>
            <w:tcW w:w="1304" w:type="dxa"/>
          </w:tcPr>
          <w:p w:rsidR="00417BDB" w:rsidRPr="007C51D6" w:rsidRDefault="00417BDB" w:rsidP="00417BDB">
            <w:pPr>
              <w:jc w:val="both"/>
              <w:rPr>
                <w:rFonts w:eastAsia="Arial"/>
                <w:sz w:val="20"/>
                <w:szCs w:val="20"/>
                <w:lang w:val="en-US"/>
              </w:rPr>
            </w:pPr>
            <w:r w:rsidRPr="007C51D6">
              <w:rPr>
                <w:rFonts w:eastAsia="Arial"/>
                <w:sz w:val="20"/>
                <w:szCs w:val="20"/>
                <w:lang w:val="en-US"/>
              </w:rPr>
              <w:t>III</w:t>
            </w:r>
            <w:r w:rsidRPr="007C51D6">
              <w:rPr>
                <w:rFonts w:eastAsia="Arial"/>
                <w:sz w:val="20"/>
                <w:szCs w:val="20"/>
              </w:rPr>
              <w:t xml:space="preserve"> стадия</w:t>
            </w:r>
          </w:p>
        </w:tc>
        <w:tc>
          <w:tcPr>
            <w:tcW w:w="1210"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19,5</w:t>
            </w:r>
          </w:p>
        </w:tc>
        <w:tc>
          <w:tcPr>
            <w:tcW w:w="1211"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29,8</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22,8</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17,1</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22,6</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21,1</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12,1</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19,0</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16,9</w:t>
            </w:r>
          </w:p>
        </w:tc>
        <w:tc>
          <w:tcPr>
            <w:tcW w:w="1213" w:type="dxa"/>
            <w:vAlign w:val="bottom"/>
          </w:tcPr>
          <w:p w:rsidR="00417BDB" w:rsidRPr="007C51D6" w:rsidRDefault="00417BDB" w:rsidP="00417BDB">
            <w:pPr>
              <w:jc w:val="center"/>
              <w:rPr>
                <w:color w:val="000000"/>
                <w:sz w:val="20"/>
                <w:szCs w:val="20"/>
              </w:rPr>
            </w:pPr>
            <w:r w:rsidRPr="007C51D6">
              <w:rPr>
                <w:color w:val="000000"/>
                <w:sz w:val="20"/>
                <w:szCs w:val="20"/>
              </w:rPr>
              <w:t>27,4</w:t>
            </w:r>
          </w:p>
        </w:tc>
      </w:tr>
      <w:tr w:rsidR="00417BDB" w:rsidRPr="007C51D6" w:rsidTr="00742D16">
        <w:trPr>
          <w:trHeight w:val="20"/>
        </w:trPr>
        <w:tc>
          <w:tcPr>
            <w:tcW w:w="1696" w:type="dxa"/>
            <w:vMerge/>
          </w:tcPr>
          <w:p w:rsidR="00417BDB" w:rsidRPr="007C51D6" w:rsidRDefault="00417BDB" w:rsidP="00417BDB">
            <w:pPr>
              <w:jc w:val="both"/>
              <w:rPr>
                <w:rFonts w:eastAsia="Arial"/>
                <w:sz w:val="20"/>
                <w:szCs w:val="20"/>
                <w:lang w:val="en-US"/>
              </w:rPr>
            </w:pPr>
          </w:p>
        </w:tc>
        <w:tc>
          <w:tcPr>
            <w:tcW w:w="1304" w:type="dxa"/>
          </w:tcPr>
          <w:p w:rsidR="00417BDB" w:rsidRPr="007C51D6" w:rsidRDefault="00417BDB" w:rsidP="00417BDB">
            <w:pPr>
              <w:jc w:val="both"/>
            </w:pPr>
            <w:r w:rsidRPr="007C51D6">
              <w:rPr>
                <w:rFonts w:eastAsia="Arial"/>
                <w:sz w:val="20"/>
                <w:szCs w:val="20"/>
                <w:lang w:val="en-US"/>
              </w:rPr>
              <w:t>IV</w:t>
            </w:r>
            <w:r w:rsidRPr="007C51D6">
              <w:rPr>
                <w:rFonts w:eastAsia="Arial"/>
                <w:sz w:val="20"/>
                <w:szCs w:val="20"/>
              </w:rPr>
              <w:t xml:space="preserve"> стадия</w:t>
            </w:r>
          </w:p>
        </w:tc>
        <w:tc>
          <w:tcPr>
            <w:tcW w:w="1210"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4,9</w:t>
            </w:r>
          </w:p>
        </w:tc>
        <w:tc>
          <w:tcPr>
            <w:tcW w:w="1211"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7,0</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5,3</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9,2</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5,7</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5,6</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7,6</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3,6</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11,9</w:t>
            </w:r>
          </w:p>
        </w:tc>
        <w:tc>
          <w:tcPr>
            <w:tcW w:w="1213" w:type="dxa"/>
            <w:vAlign w:val="bottom"/>
          </w:tcPr>
          <w:p w:rsidR="00417BDB" w:rsidRPr="007C51D6" w:rsidRDefault="00417BDB" w:rsidP="00417BDB">
            <w:pPr>
              <w:jc w:val="center"/>
              <w:rPr>
                <w:color w:val="000000"/>
                <w:sz w:val="20"/>
                <w:szCs w:val="20"/>
              </w:rPr>
            </w:pPr>
            <w:r w:rsidRPr="007C51D6">
              <w:rPr>
                <w:color w:val="000000"/>
                <w:sz w:val="20"/>
                <w:szCs w:val="20"/>
              </w:rPr>
              <w:t>3,2</w:t>
            </w:r>
          </w:p>
        </w:tc>
      </w:tr>
      <w:tr w:rsidR="00417BDB" w:rsidRPr="007C51D6" w:rsidTr="00742D16">
        <w:trPr>
          <w:trHeight w:val="20"/>
        </w:trPr>
        <w:tc>
          <w:tcPr>
            <w:tcW w:w="1696" w:type="dxa"/>
            <w:vMerge/>
          </w:tcPr>
          <w:p w:rsidR="00417BDB" w:rsidRPr="007C51D6" w:rsidRDefault="00417BDB" w:rsidP="00417BDB">
            <w:pPr>
              <w:autoSpaceDE/>
              <w:autoSpaceDN/>
              <w:adjustRightInd/>
              <w:jc w:val="both"/>
              <w:rPr>
                <w:rFonts w:eastAsia="Arial"/>
                <w:sz w:val="20"/>
                <w:szCs w:val="20"/>
              </w:rPr>
            </w:pPr>
          </w:p>
        </w:tc>
        <w:tc>
          <w:tcPr>
            <w:tcW w:w="1304" w:type="dxa"/>
          </w:tcPr>
          <w:p w:rsidR="00417BDB" w:rsidRPr="007C51D6" w:rsidRDefault="00417BDB" w:rsidP="00417BDB">
            <w:pPr>
              <w:autoSpaceDE/>
              <w:autoSpaceDN/>
              <w:adjustRightInd/>
              <w:jc w:val="both"/>
              <w:rPr>
                <w:rFonts w:eastAsia="Arial"/>
                <w:sz w:val="20"/>
                <w:szCs w:val="20"/>
              </w:rPr>
            </w:pPr>
            <w:r w:rsidRPr="007C51D6">
              <w:rPr>
                <w:rFonts w:eastAsia="Arial"/>
                <w:sz w:val="20"/>
                <w:szCs w:val="20"/>
              </w:rPr>
              <w:t>без стадии</w:t>
            </w:r>
          </w:p>
        </w:tc>
        <w:tc>
          <w:tcPr>
            <w:tcW w:w="1210"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2,4</w:t>
            </w:r>
          </w:p>
        </w:tc>
        <w:tc>
          <w:tcPr>
            <w:tcW w:w="1211"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1,8</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0</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0</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1,9</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0</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0</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0</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0</w:t>
            </w:r>
          </w:p>
        </w:tc>
        <w:tc>
          <w:tcPr>
            <w:tcW w:w="1213" w:type="dxa"/>
            <w:vAlign w:val="center"/>
          </w:tcPr>
          <w:p w:rsidR="00417BDB" w:rsidRPr="007C51D6" w:rsidRDefault="00417BDB" w:rsidP="00417BDB">
            <w:pPr>
              <w:jc w:val="center"/>
              <w:rPr>
                <w:color w:val="000000"/>
                <w:sz w:val="20"/>
                <w:szCs w:val="20"/>
              </w:rPr>
            </w:pPr>
            <w:r w:rsidRPr="007C51D6">
              <w:rPr>
                <w:color w:val="000000"/>
                <w:sz w:val="20"/>
                <w:szCs w:val="20"/>
              </w:rPr>
              <w:t>0</w:t>
            </w:r>
          </w:p>
        </w:tc>
      </w:tr>
      <w:tr w:rsidR="00417BDB" w:rsidRPr="007C51D6" w:rsidTr="00742D16">
        <w:trPr>
          <w:trHeight w:val="20"/>
        </w:trPr>
        <w:tc>
          <w:tcPr>
            <w:tcW w:w="1696" w:type="dxa"/>
            <w:vMerge w:val="restart"/>
          </w:tcPr>
          <w:p w:rsidR="00417BDB" w:rsidRPr="007C51D6" w:rsidRDefault="00417BDB" w:rsidP="00417BDB">
            <w:pPr>
              <w:jc w:val="both"/>
              <w:rPr>
                <w:rFonts w:eastAsia="Arial"/>
                <w:sz w:val="20"/>
                <w:szCs w:val="20"/>
              </w:rPr>
            </w:pPr>
            <w:r w:rsidRPr="007C51D6">
              <w:rPr>
                <w:rFonts w:eastAsia="Arial"/>
                <w:sz w:val="20"/>
                <w:szCs w:val="20"/>
              </w:rPr>
              <w:t>ЗНО влагалища (С52)</w:t>
            </w:r>
          </w:p>
        </w:tc>
        <w:tc>
          <w:tcPr>
            <w:tcW w:w="1304" w:type="dxa"/>
          </w:tcPr>
          <w:p w:rsidR="00417BDB" w:rsidRPr="007C51D6" w:rsidRDefault="00417BDB" w:rsidP="00417BDB">
            <w:pPr>
              <w:autoSpaceDE/>
              <w:autoSpaceDN/>
              <w:adjustRightInd/>
              <w:jc w:val="both"/>
              <w:rPr>
                <w:rFonts w:eastAsia="Arial"/>
                <w:sz w:val="20"/>
                <w:szCs w:val="20"/>
              </w:rPr>
            </w:pPr>
            <w:r w:rsidRPr="007C51D6">
              <w:rPr>
                <w:rFonts w:eastAsia="Arial"/>
                <w:sz w:val="20"/>
                <w:szCs w:val="20"/>
                <w:lang w:val="en-US"/>
              </w:rPr>
              <w:t>I</w:t>
            </w:r>
            <w:r w:rsidRPr="007C51D6">
              <w:rPr>
                <w:rFonts w:eastAsia="Arial"/>
                <w:sz w:val="20"/>
                <w:szCs w:val="20"/>
              </w:rPr>
              <w:t xml:space="preserve"> стадия</w:t>
            </w:r>
          </w:p>
        </w:tc>
        <w:tc>
          <w:tcPr>
            <w:tcW w:w="1210"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16,7</w:t>
            </w:r>
          </w:p>
        </w:tc>
        <w:tc>
          <w:tcPr>
            <w:tcW w:w="1211"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0</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44,4</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11,1</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53,3</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55,6</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40,0</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45,5</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37,5</w:t>
            </w:r>
          </w:p>
        </w:tc>
        <w:tc>
          <w:tcPr>
            <w:tcW w:w="1213" w:type="dxa"/>
            <w:vAlign w:val="bottom"/>
          </w:tcPr>
          <w:p w:rsidR="00417BDB" w:rsidRPr="007C51D6" w:rsidRDefault="00417BDB" w:rsidP="00417BDB">
            <w:pPr>
              <w:widowControl/>
              <w:autoSpaceDE/>
              <w:autoSpaceDN/>
              <w:adjustRightInd/>
              <w:jc w:val="center"/>
              <w:rPr>
                <w:color w:val="000000"/>
                <w:sz w:val="20"/>
                <w:szCs w:val="20"/>
              </w:rPr>
            </w:pPr>
            <w:r w:rsidRPr="007C51D6">
              <w:rPr>
                <w:color w:val="000000"/>
                <w:sz w:val="20"/>
                <w:szCs w:val="20"/>
              </w:rPr>
              <w:t>25,0</w:t>
            </w:r>
          </w:p>
        </w:tc>
      </w:tr>
      <w:tr w:rsidR="00417BDB" w:rsidRPr="007C51D6" w:rsidTr="00742D16">
        <w:trPr>
          <w:trHeight w:val="20"/>
        </w:trPr>
        <w:tc>
          <w:tcPr>
            <w:tcW w:w="1696" w:type="dxa"/>
            <w:vMerge/>
          </w:tcPr>
          <w:p w:rsidR="00417BDB" w:rsidRPr="007C51D6" w:rsidRDefault="00417BDB" w:rsidP="00417BDB">
            <w:pPr>
              <w:jc w:val="both"/>
              <w:rPr>
                <w:rFonts w:eastAsia="Arial"/>
                <w:sz w:val="20"/>
                <w:szCs w:val="20"/>
                <w:lang w:val="en-US"/>
              </w:rPr>
            </w:pPr>
          </w:p>
        </w:tc>
        <w:tc>
          <w:tcPr>
            <w:tcW w:w="1304" w:type="dxa"/>
          </w:tcPr>
          <w:p w:rsidR="00417BDB" w:rsidRPr="007C51D6" w:rsidRDefault="00417BDB" w:rsidP="00417BDB">
            <w:pPr>
              <w:jc w:val="both"/>
              <w:rPr>
                <w:rFonts w:eastAsia="Arial"/>
                <w:sz w:val="20"/>
                <w:szCs w:val="20"/>
                <w:lang w:val="en-US"/>
              </w:rPr>
            </w:pPr>
            <w:r w:rsidRPr="007C51D6">
              <w:rPr>
                <w:rFonts w:eastAsia="Arial"/>
                <w:sz w:val="20"/>
                <w:szCs w:val="20"/>
                <w:lang w:val="en-US"/>
              </w:rPr>
              <w:t>II</w:t>
            </w:r>
            <w:r w:rsidRPr="007C51D6">
              <w:rPr>
                <w:rFonts w:eastAsia="Arial"/>
                <w:sz w:val="20"/>
                <w:szCs w:val="20"/>
              </w:rPr>
              <w:t xml:space="preserve"> стадия</w:t>
            </w:r>
          </w:p>
        </w:tc>
        <w:tc>
          <w:tcPr>
            <w:tcW w:w="1210"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33,3</w:t>
            </w:r>
          </w:p>
        </w:tc>
        <w:tc>
          <w:tcPr>
            <w:tcW w:w="1211"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55,6</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44,4</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55,6</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26,7</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0</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60,0</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36,4</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31,3</w:t>
            </w:r>
          </w:p>
        </w:tc>
        <w:tc>
          <w:tcPr>
            <w:tcW w:w="1213" w:type="dxa"/>
            <w:vAlign w:val="bottom"/>
          </w:tcPr>
          <w:p w:rsidR="00417BDB" w:rsidRPr="007C51D6" w:rsidRDefault="00417BDB" w:rsidP="00417BDB">
            <w:pPr>
              <w:jc w:val="center"/>
              <w:rPr>
                <w:color w:val="000000"/>
                <w:sz w:val="20"/>
                <w:szCs w:val="20"/>
              </w:rPr>
            </w:pPr>
            <w:r w:rsidRPr="007C51D6">
              <w:rPr>
                <w:color w:val="000000"/>
                <w:sz w:val="20"/>
                <w:szCs w:val="20"/>
              </w:rPr>
              <w:t>25,0</w:t>
            </w:r>
          </w:p>
        </w:tc>
      </w:tr>
      <w:tr w:rsidR="00417BDB" w:rsidRPr="007C51D6" w:rsidTr="00742D16">
        <w:trPr>
          <w:trHeight w:val="20"/>
        </w:trPr>
        <w:tc>
          <w:tcPr>
            <w:tcW w:w="1696" w:type="dxa"/>
            <w:vMerge/>
          </w:tcPr>
          <w:p w:rsidR="00417BDB" w:rsidRPr="007C51D6" w:rsidRDefault="00417BDB" w:rsidP="00417BDB">
            <w:pPr>
              <w:jc w:val="both"/>
              <w:rPr>
                <w:rFonts w:eastAsia="Arial"/>
                <w:sz w:val="20"/>
                <w:szCs w:val="20"/>
                <w:lang w:val="en-US"/>
              </w:rPr>
            </w:pPr>
          </w:p>
        </w:tc>
        <w:tc>
          <w:tcPr>
            <w:tcW w:w="1304" w:type="dxa"/>
          </w:tcPr>
          <w:p w:rsidR="00417BDB" w:rsidRPr="007C51D6" w:rsidRDefault="00417BDB" w:rsidP="00417BDB">
            <w:pPr>
              <w:jc w:val="both"/>
              <w:rPr>
                <w:rFonts w:eastAsia="Arial"/>
                <w:sz w:val="20"/>
                <w:szCs w:val="20"/>
                <w:lang w:val="en-US"/>
              </w:rPr>
            </w:pPr>
            <w:r w:rsidRPr="007C51D6">
              <w:rPr>
                <w:rFonts w:eastAsia="Arial"/>
                <w:sz w:val="20"/>
                <w:szCs w:val="20"/>
                <w:lang w:val="en-US"/>
              </w:rPr>
              <w:t>III</w:t>
            </w:r>
            <w:r w:rsidRPr="007C51D6">
              <w:rPr>
                <w:rFonts w:eastAsia="Arial"/>
                <w:sz w:val="20"/>
                <w:szCs w:val="20"/>
              </w:rPr>
              <w:t xml:space="preserve"> стадия</w:t>
            </w:r>
          </w:p>
        </w:tc>
        <w:tc>
          <w:tcPr>
            <w:tcW w:w="1210"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16,7</w:t>
            </w:r>
          </w:p>
        </w:tc>
        <w:tc>
          <w:tcPr>
            <w:tcW w:w="1211"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33,3</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11,1</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0</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6,7</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22,2</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0</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18,2</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6,3</w:t>
            </w:r>
          </w:p>
        </w:tc>
        <w:tc>
          <w:tcPr>
            <w:tcW w:w="1213" w:type="dxa"/>
            <w:vAlign w:val="bottom"/>
          </w:tcPr>
          <w:p w:rsidR="00417BDB" w:rsidRPr="007C51D6" w:rsidRDefault="00417BDB" w:rsidP="00417BDB">
            <w:pPr>
              <w:jc w:val="center"/>
              <w:rPr>
                <w:color w:val="000000"/>
                <w:sz w:val="20"/>
                <w:szCs w:val="20"/>
              </w:rPr>
            </w:pPr>
            <w:r w:rsidRPr="007C51D6">
              <w:rPr>
                <w:color w:val="000000"/>
                <w:sz w:val="20"/>
                <w:szCs w:val="20"/>
              </w:rPr>
              <w:t>37,5</w:t>
            </w:r>
          </w:p>
        </w:tc>
      </w:tr>
      <w:tr w:rsidR="00417BDB" w:rsidRPr="007C51D6" w:rsidTr="00742D16">
        <w:trPr>
          <w:trHeight w:val="20"/>
        </w:trPr>
        <w:tc>
          <w:tcPr>
            <w:tcW w:w="1696" w:type="dxa"/>
            <w:vMerge/>
          </w:tcPr>
          <w:p w:rsidR="00417BDB" w:rsidRPr="007C51D6" w:rsidRDefault="00417BDB" w:rsidP="00417BDB">
            <w:pPr>
              <w:jc w:val="both"/>
              <w:rPr>
                <w:rFonts w:eastAsia="Arial"/>
                <w:sz w:val="20"/>
                <w:szCs w:val="20"/>
                <w:lang w:val="en-US"/>
              </w:rPr>
            </w:pPr>
          </w:p>
        </w:tc>
        <w:tc>
          <w:tcPr>
            <w:tcW w:w="1304" w:type="dxa"/>
          </w:tcPr>
          <w:p w:rsidR="00417BDB" w:rsidRPr="007C51D6" w:rsidRDefault="00417BDB" w:rsidP="00417BDB">
            <w:pPr>
              <w:jc w:val="both"/>
            </w:pPr>
            <w:r w:rsidRPr="007C51D6">
              <w:rPr>
                <w:rFonts w:eastAsia="Arial"/>
                <w:sz w:val="20"/>
                <w:szCs w:val="20"/>
                <w:lang w:val="en-US"/>
              </w:rPr>
              <w:t>IV</w:t>
            </w:r>
            <w:r w:rsidRPr="007C51D6">
              <w:rPr>
                <w:rFonts w:eastAsia="Arial"/>
                <w:sz w:val="20"/>
                <w:szCs w:val="20"/>
              </w:rPr>
              <w:t xml:space="preserve"> стадия</w:t>
            </w:r>
          </w:p>
        </w:tc>
        <w:tc>
          <w:tcPr>
            <w:tcW w:w="1210"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33,3</w:t>
            </w:r>
          </w:p>
        </w:tc>
        <w:tc>
          <w:tcPr>
            <w:tcW w:w="1211"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11,1</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0</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33,3</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13,3</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22,2</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0</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0</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25,0</w:t>
            </w:r>
          </w:p>
        </w:tc>
        <w:tc>
          <w:tcPr>
            <w:tcW w:w="1213" w:type="dxa"/>
            <w:vAlign w:val="bottom"/>
          </w:tcPr>
          <w:p w:rsidR="00417BDB" w:rsidRPr="007C51D6" w:rsidRDefault="00417BDB" w:rsidP="00417BDB">
            <w:pPr>
              <w:jc w:val="center"/>
              <w:rPr>
                <w:color w:val="000000"/>
                <w:sz w:val="20"/>
                <w:szCs w:val="20"/>
              </w:rPr>
            </w:pPr>
            <w:r w:rsidRPr="007C51D6">
              <w:rPr>
                <w:color w:val="000000"/>
                <w:sz w:val="20"/>
                <w:szCs w:val="20"/>
              </w:rPr>
              <w:t>12,3</w:t>
            </w:r>
          </w:p>
        </w:tc>
      </w:tr>
      <w:tr w:rsidR="00417BDB" w:rsidRPr="007C51D6" w:rsidTr="00742D16">
        <w:trPr>
          <w:trHeight w:val="20"/>
        </w:trPr>
        <w:tc>
          <w:tcPr>
            <w:tcW w:w="1696" w:type="dxa"/>
            <w:vMerge/>
          </w:tcPr>
          <w:p w:rsidR="00417BDB" w:rsidRPr="007C51D6" w:rsidRDefault="00417BDB" w:rsidP="00417BDB">
            <w:pPr>
              <w:autoSpaceDE/>
              <w:autoSpaceDN/>
              <w:adjustRightInd/>
              <w:jc w:val="both"/>
              <w:rPr>
                <w:rFonts w:eastAsia="Arial"/>
                <w:sz w:val="20"/>
                <w:szCs w:val="20"/>
              </w:rPr>
            </w:pPr>
          </w:p>
        </w:tc>
        <w:tc>
          <w:tcPr>
            <w:tcW w:w="1304" w:type="dxa"/>
          </w:tcPr>
          <w:p w:rsidR="00417BDB" w:rsidRPr="007C51D6" w:rsidRDefault="00417BDB" w:rsidP="00417BDB">
            <w:pPr>
              <w:autoSpaceDE/>
              <w:autoSpaceDN/>
              <w:adjustRightInd/>
              <w:jc w:val="both"/>
              <w:rPr>
                <w:rFonts w:eastAsia="Arial"/>
                <w:sz w:val="20"/>
                <w:szCs w:val="20"/>
              </w:rPr>
            </w:pPr>
            <w:r w:rsidRPr="007C51D6">
              <w:rPr>
                <w:rFonts w:eastAsia="Arial"/>
                <w:sz w:val="20"/>
                <w:szCs w:val="20"/>
              </w:rPr>
              <w:t>без стадии</w:t>
            </w:r>
          </w:p>
        </w:tc>
        <w:tc>
          <w:tcPr>
            <w:tcW w:w="1210"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0</w:t>
            </w:r>
          </w:p>
        </w:tc>
        <w:tc>
          <w:tcPr>
            <w:tcW w:w="1211"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0</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0</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0</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0</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0</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0</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0</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0</w:t>
            </w:r>
          </w:p>
        </w:tc>
        <w:tc>
          <w:tcPr>
            <w:tcW w:w="1213" w:type="dxa"/>
            <w:vAlign w:val="center"/>
          </w:tcPr>
          <w:p w:rsidR="00417BDB" w:rsidRPr="007C51D6" w:rsidRDefault="00417BDB" w:rsidP="00417BDB">
            <w:pPr>
              <w:jc w:val="center"/>
              <w:rPr>
                <w:color w:val="000000"/>
                <w:sz w:val="20"/>
                <w:szCs w:val="20"/>
              </w:rPr>
            </w:pPr>
            <w:r w:rsidRPr="007C51D6">
              <w:rPr>
                <w:color w:val="000000"/>
                <w:sz w:val="20"/>
                <w:szCs w:val="20"/>
              </w:rPr>
              <w:t>0</w:t>
            </w:r>
          </w:p>
        </w:tc>
      </w:tr>
      <w:tr w:rsidR="00417BDB" w:rsidRPr="007C51D6" w:rsidTr="00742D16">
        <w:trPr>
          <w:trHeight w:val="20"/>
        </w:trPr>
        <w:tc>
          <w:tcPr>
            <w:tcW w:w="1696" w:type="dxa"/>
            <w:vMerge w:val="restart"/>
          </w:tcPr>
          <w:p w:rsidR="00417BDB" w:rsidRPr="007C51D6" w:rsidRDefault="00417BDB" w:rsidP="00417BDB">
            <w:pPr>
              <w:jc w:val="both"/>
              <w:rPr>
                <w:rFonts w:eastAsia="Arial"/>
                <w:sz w:val="20"/>
                <w:szCs w:val="20"/>
              </w:rPr>
            </w:pPr>
            <w:r w:rsidRPr="007C51D6">
              <w:rPr>
                <w:rFonts w:eastAsia="Arial"/>
                <w:sz w:val="20"/>
                <w:szCs w:val="20"/>
              </w:rPr>
              <w:t>ЗНО шейки матки (С53)</w:t>
            </w:r>
          </w:p>
        </w:tc>
        <w:tc>
          <w:tcPr>
            <w:tcW w:w="1304" w:type="dxa"/>
          </w:tcPr>
          <w:p w:rsidR="00417BDB" w:rsidRPr="007C51D6" w:rsidRDefault="00417BDB" w:rsidP="00417BDB">
            <w:pPr>
              <w:autoSpaceDE/>
              <w:autoSpaceDN/>
              <w:adjustRightInd/>
              <w:jc w:val="both"/>
              <w:rPr>
                <w:rFonts w:eastAsia="Arial"/>
                <w:sz w:val="20"/>
                <w:szCs w:val="20"/>
              </w:rPr>
            </w:pPr>
            <w:r w:rsidRPr="007C51D6">
              <w:rPr>
                <w:rFonts w:eastAsia="Arial"/>
                <w:sz w:val="20"/>
                <w:szCs w:val="20"/>
                <w:lang w:val="en-US"/>
              </w:rPr>
              <w:t>I</w:t>
            </w:r>
            <w:r w:rsidRPr="007C51D6">
              <w:rPr>
                <w:rFonts w:eastAsia="Arial"/>
                <w:sz w:val="20"/>
                <w:szCs w:val="20"/>
              </w:rPr>
              <w:t xml:space="preserve"> стадия</w:t>
            </w:r>
          </w:p>
        </w:tc>
        <w:tc>
          <w:tcPr>
            <w:tcW w:w="1210"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50,7</w:t>
            </w:r>
          </w:p>
        </w:tc>
        <w:tc>
          <w:tcPr>
            <w:tcW w:w="1211"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54,6</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52,1</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55,5</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53,7</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56,3</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52,1</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54,7</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59,5</w:t>
            </w:r>
          </w:p>
        </w:tc>
        <w:tc>
          <w:tcPr>
            <w:tcW w:w="1213" w:type="dxa"/>
            <w:vAlign w:val="bottom"/>
          </w:tcPr>
          <w:p w:rsidR="00417BDB" w:rsidRPr="007C51D6" w:rsidRDefault="00417BDB" w:rsidP="00417BDB">
            <w:pPr>
              <w:widowControl/>
              <w:autoSpaceDE/>
              <w:autoSpaceDN/>
              <w:adjustRightInd/>
              <w:jc w:val="center"/>
              <w:rPr>
                <w:color w:val="000000"/>
                <w:sz w:val="20"/>
                <w:szCs w:val="20"/>
              </w:rPr>
            </w:pPr>
            <w:r w:rsidRPr="007C51D6">
              <w:rPr>
                <w:color w:val="000000"/>
                <w:sz w:val="20"/>
                <w:szCs w:val="20"/>
              </w:rPr>
              <w:t>57,1</w:t>
            </w:r>
          </w:p>
        </w:tc>
      </w:tr>
      <w:tr w:rsidR="00417BDB" w:rsidRPr="007C51D6" w:rsidTr="00742D16">
        <w:trPr>
          <w:trHeight w:val="20"/>
        </w:trPr>
        <w:tc>
          <w:tcPr>
            <w:tcW w:w="1696" w:type="dxa"/>
            <w:vMerge/>
          </w:tcPr>
          <w:p w:rsidR="00417BDB" w:rsidRPr="007C51D6" w:rsidRDefault="00417BDB" w:rsidP="00417BDB">
            <w:pPr>
              <w:jc w:val="both"/>
              <w:rPr>
                <w:rFonts w:eastAsia="Arial"/>
                <w:sz w:val="20"/>
                <w:szCs w:val="20"/>
                <w:lang w:val="en-US"/>
              </w:rPr>
            </w:pPr>
          </w:p>
        </w:tc>
        <w:tc>
          <w:tcPr>
            <w:tcW w:w="1304" w:type="dxa"/>
          </w:tcPr>
          <w:p w:rsidR="00417BDB" w:rsidRPr="007C51D6" w:rsidRDefault="00417BDB" w:rsidP="00417BDB">
            <w:pPr>
              <w:jc w:val="both"/>
              <w:rPr>
                <w:rFonts w:eastAsia="Arial"/>
                <w:sz w:val="20"/>
                <w:szCs w:val="20"/>
                <w:lang w:val="en-US"/>
              </w:rPr>
            </w:pPr>
            <w:r w:rsidRPr="007C51D6">
              <w:rPr>
                <w:rFonts w:eastAsia="Arial"/>
                <w:sz w:val="20"/>
                <w:szCs w:val="20"/>
                <w:lang w:val="en-US"/>
              </w:rPr>
              <w:t>II</w:t>
            </w:r>
            <w:r w:rsidRPr="007C51D6">
              <w:rPr>
                <w:rFonts w:eastAsia="Arial"/>
                <w:sz w:val="20"/>
                <w:szCs w:val="20"/>
              </w:rPr>
              <w:t xml:space="preserve"> стадия</w:t>
            </w:r>
          </w:p>
        </w:tc>
        <w:tc>
          <w:tcPr>
            <w:tcW w:w="1210"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26,1</w:t>
            </w:r>
          </w:p>
        </w:tc>
        <w:tc>
          <w:tcPr>
            <w:tcW w:w="1211"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24,4</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25,0</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24,4</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29,8</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26,9</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27,3</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29,8</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26,5</w:t>
            </w:r>
          </w:p>
        </w:tc>
        <w:tc>
          <w:tcPr>
            <w:tcW w:w="1213" w:type="dxa"/>
            <w:vAlign w:val="bottom"/>
          </w:tcPr>
          <w:p w:rsidR="00417BDB" w:rsidRPr="007C51D6" w:rsidRDefault="00417BDB" w:rsidP="00417BDB">
            <w:pPr>
              <w:jc w:val="center"/>
              <w:rPr>
                <w:color w:val="000000"/>
                <w:sz w:val="20"/>
                <w:szCs w:val="20"/>
              </w:rPr>
            </w:pPr>
            <w:r w:rsidRPr="007C51D6">
              <w:rPr>
                <w:color w:val="000000"/>
                <w:sz w:val="20"/>
                <w:szCs w:val="20"/>
              </w:rPr>
              <w:t>21,6</w:t>
            </w:r>
          </w:p>
        </w:tc>
      </w:tr>
      <w:tr w:rsidR="00417BDB" w:rsidRPr="007C51D6" w:rsidTr="00742D16">
        <w:trPr>
          <w:trHeight w:val="20"/>
        </w:trPr>
        <w:tc>
          <w:tcPr>
            <w:tcW w:w="1696" w:type="dxa"/>
            <w:vMerge/>
          </w:tcPr>
          <w:p w:rsidR="00417BDB" w:rsidRPr="007C51D6" w:rsidRDefault="00417BDB" w:rsidP="00417BDB">
            <w:pPr>
              <w:jc w:val="both"/>
              <w:rPr>
                <w:rFonts w:eastAsia="Arial"/>
                <w:sz w:val="20"/>
                <w:szCs w:val="20"/>
                <w:lang w:val="en-US"/>
              </w:rPr>
            </w:pPr>
          </w:p>
        </w:tc>
        <w:tc>
          <w:tcPr>
            <w:tcW w:w="1304" w:type="dxa"/>
          </w:tcPr>
          <w:p w:rsidR="00417BDB" w:rsidRPr="007C51D6" w:rsidRDefault="00417BDB" w:rsidP="00417BDB">
            <w:pPr>
              <w:jc w:val="both"/>
              <w:rPr>
                <w:rFonts w:eastAsia="Arial"/>
                <w:sz w:val="20"/>
                <w:szCs w:val="20"/>
                <w:lang w:val="en-US"/>
              </w:rPr>
            </w:pPr>
            <w:r w:rsidRPr="007C51D6">
              <w:rPr>
                <w:rFonts w:eastAsia="Arial"/>
                <w:sz w:val="20"/>
                <w:szCs w:val="20"/>
                <w:lang w:val="en-US"/>
              </w:rPr>
              <w:t>III</w:t>
            </w:r>
            <w:r w:rsidRPr="007C51D6">
              <w:rPr>
                <w:rFonts w:eastAsia="Arial"/>
                <w:sz w:val="20"/>
                <w:szCs w:val="20"/>
              </w:rPr>
              <w:t xml:space="preserve"> стадия</w:t>
            </w:r>
          </w:p>
        </w:tc>
        <w:tc>
          <w:tcPr>
            <w:tcW w:w="1210"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14,5</w:t>
            </w:r>
          </w:p>
        </w:tc>
        <w:tc>
          <w:tcPr>
            <w:tcW w:w="1211"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11,3</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16,1</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14,1</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11,9</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9,9</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11,2</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10,5</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9,1</w:t>
            </w:r>
          </w:p>
        </w:tc>
        <w:tc>
          <w:tcPr>
            <w:tcW w:w="1213" w:type="dxa"/>
            <w:vAlign w:val="bottom"/>
          </w:tcPr>
          <w:p w:rsidR="00417BDB" w:rsidRPr="007C51D6" w:rsidRDefault="00417BDB" w:rsidP="00417BDB">
            <w:pPr>
              <w:jc w:val="center"/>
              <w:rPr>
                <w:color w:val="000000"/>
                <w:sz w:val="20"/>
                <w:szCs w:val="20"/>
              </w:rPr>
            </w:pPr>
            <w:r w:rsidRPr="007C51D6">
              <w:rPr>
                <w:color w:val="000000"/>
                <w:sz w:val="20"/>
                <w:szCs w:val="20"/>
              </w:rPr>
              <w:t>13,4</w:t>
            </w:r>
          </w:p>
        </w:tc>
      </w:tr>
      <w:tr w:rsidR="00417BDB" w:rsidRPr="007C51D6" w:rsidTr="00742D16">
        <w:trPr>
          <w:trHeight w:val="20"/>
        </w:trPr>
        <w:tc>
          <w:tcPr>
            <w:tcW w:w="1696" w:type="dxa"/>
            <w:vMerge/>
          </w:tcPr>
          <w:p w:rsidR="00417BDB" w:rsidRPr="007C51D6" w:rsidRDefault="00417BDB" w:rsidP="00417BDB">
            <w:pPr>
              <w:jc w:val="both"/>
              <w:rPr>
                <w:rFonts w:eastAsia="Arial"/>
                <w:sz w:val="20"/>
                <w:szCs w:val="20"/>
                <w:lang w:val="en-US"/>
              </w:rPr>
            </w:pPr>
          </w:p>
        </w:tc>
        <w:tc>
          <w:tcPr>
            <w:tcW w:w="1304" w:type="dxa"/>
          </w:tcPr>
          <w:p w:rsidR="00417BDB" w:rsidRPr="007C51D6" w:rsidRDefault="00417BDB" w:rsidP="00417BDB">
            <w:pPr>
              <w:jc w:val="both"/>
            </w:pPr>
            <w:r w:rsidRPr="007C51D6">
              <w:rPr>
                <w:rFonts w:eastAsia="Arial"/>
                <w:sz w:val="20"/>
                <w:szCs w:val="20"/>
                <w:lang w:val="en-US"/>
              </w:rPr>
              <w:t>IV</w:t>
            </w:r>
            <w:r w:rsidRPr="007C51D6">
              <w:rPr>
                <w:rFonts w:eastAsia="Arial"/>
                <w:sz w:val="20"/>
                <w:szCs w:val="20"/>
              </w:rPr>
              <w:t xml:space="preserve"> стадия</w:t>
            </w:r>
          </w:p>
        </w:tc>
        <w:tc>
          <w:tcPr>
            <w:tcW w:w="1210"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6,5</w:t>
            </w:r>
          </w:p>
        </w:tc>
        <w:tc>
          <w:tcPr>
            <w:tcW w:w="1211"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6,5</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6,9</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6,1</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4,6</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5,3</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9,3</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5,1</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4,6</w:t>
            </w:r>
          </w:p>
        </w:tc>
        <w:tc>
          <w:tcPr>
            <w:tcW w:w="1213" w:type="dxa"/>
            <w:vAlign w:val="bottom"/>
          </w:tcPr>
          <w:p w:rsidR="00417BDB" w:rsidRPr="007C51D6" w:rsidRDefault="00417BDB" w:rsidP="00417BDB">
            <w:pPr>
              <w:jc w:val="center"/>
              <w:rPr>
                <w:color w:val="000000"/>
                <w:sz w:val="20"/>
                <w:szCs w:val="20"/>
              </w:rPr>
            </w:pPr>
            <w:r w:rsidRPr="007C51D6">
              <w:rPr>
                <w:color w:val="000000"/>
                <w:sz w:val="20"/>
                <w:szCs w:val="20"/>
              </w:rPr>
              <w:t>7,3</w:t>
            </w:r>
          </w:p>
        </w:tc>
      </w:tr>
      <w:tr w:rsidR="00417BDB" w:rsidRPr="007C51D6" w:rsidTr="00742D16">
        <w:trPr>
          <w:trHeight w:val="20"/>
        </w:trPr>
        <w:tc>
          <w:tcPr>
            <w:tcW w:w="1696" w:type="dxa"/>
            <w:vMerge/>
          </w:tcPr>
          <w:p w:rsidR="00417BDB" w:rsidRPr="007C51D6" w:rsidRDefault="00417BDB" w:rsidP="00417BDB">
            <w:pPr>
              <w:autoSpaceDE/>
              <w:autoSpaceDN/>
              <w:adjustRightInd/>
              <w:jc w:val="both"/>
              <w:rPr>
                <w:rFonts w:eastAsia="Arial"/>
                <w:sz w:val="20"/>
                <w:szCs w:val="20"/>
              </w:rPr>
            </w:pPr>
          </w:p>
        </w:tc>
        <w:tc>
          <w:tcPr>
            <w:tcW w:w="1304" w:type="dxa"/>
          </w:tcPr>
          <w:p w:rsidR="00417BDB" w:rsidRPr="007C51D6" w:rsidRDefault="00417BDB" w:rsidP="00417BDB">
            <w:pPr>
              <w:autoSpaceDE/>
              <w:autoSpaceDN/>
              <w:adjustRightInd/>
              <w:jc w:val="both"/>
              <w:rPr>
                <w:rFonts w:eastAsia="Arial"/>
                <w:sz w:val="20"/>
                <w:szCs w:val="20"/>
              </w:rPr>
            </w:pPr>
            <w:r w:rsidRPr="007C51D6">
              <w:rPr>
                <w:rFonts w:eastAsia="Arial"/>
                <w:sz w:val="20"/>
                <w:szCs w:val="20"/>
              </w:rPr>
              <w:t>без стадии</w:t>
            </w:r>
          </w:p>
        </w:tc>
        <w:tc>
          <w:tcPr>
            <w:tcW w:w="1210"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2,1</w:t>
            </w:r>
          </w:p>
        </w:tc>
        <w:tc>
          <w:tcPr>
            <w:tcW w:w="1211"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3,3</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0</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0</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0</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1,6</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0</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0</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0,3</w:t>
            </w:r>
          </w:p>
        </w:tc>
        <w:tc>
          <w:tcPr>
            <w:tcW w:w="1213" w:type="dxa"/>
            <w:vAlign w:val="bottom"/>
          </w:tcPr>
          <w:p w:rsidR="00417BDB" w:rsidRPr="007C51D6" w:rsidRDefault="00417BDB" w:rsidP="00417BDB">
            <w:pPr>
              <w:jc w:val="center"/>
              <w:rPr>
                <w:color w:val="000000"/>
                <w:sz w:val="20"/>
                <w:szCs w:val="20"/>
              </w:rPr>
            </w:pPr>
            <w:r w:rsidRPr="007C51D6">
              <w:rPr>
                <w:color w:val="000000"/>
                <w:sz w:val="20"/>
                <w:szCs w:val="20"/>
              </w:rPr>
              <w:t>0,5</w:t>
            </w:r>
          </w:p>
        </w:tc>
      </w:tr>
      <w:tr w:rsidR="00417BDB" w:rsidRPr="007C51D6" w:rsidTr="00742D16">
        <w:trPr>
          <w:trHeight w:val="20"/>
        </w:trPr>
        <w:tc>
          <w:tcPr>
            <w:tcW w:w="1696" w:type="dxa"/>
            <w:vMerge w:val="restart"/>
          </w:tcPr>
          <w:p w:rsidR="00417BDB" w:rsidRPr="007C51D6" w:rsidRDefault="00417BDB" w:rsidP="00417BDB">
            <w:pPr>
              <w:jc w:val="both"/>
              <w:rPr>
                <w:rFonts w:eastAsia="Arial"/>
                <w:sz w:val="20"/>
                <w:szCs w:val="20"/>
              </w:rPr>
            </w:pPr>
            <w:r w:rsidRPr="007C51D6">
              <w:rPr>
                <w:rFonts w:eastAsia="Arial"/>
                <w:sz w:val="20"/>
                <w:szCs w:val="20"/>
              </w:rPr>
              <w:t>ЗНО полового члена (С60)</w:t>
            </w:r>
          </w:p>
        </w:tc>
        <w:tc>
          <w:tcPr>
            <w:tcW w:w="1304" w:type="dxa"/>
          </w:tcPr>
          <w:p w:rsidR="00417BDB" w:rsidRPr="007C51D6" w:rsidRDefault="00417BDB" w:rsidP="00417BDB">
            <w:pPr>
              <w:autoSpaceDE/>
              <w:autoSpaceDN/>
              <w:adjustRightInd/>
              <w:jc w:val="both"/>
              <w:rPr>
                <w:rFonts w:eastAsia="Arial"/>
                <w:sz w:val="20"/>
                <w:szCs w:val="20"/>
              </w:rPr>
            </w:pPr>
            <w:r w:rsidRPr="007C51D6">
              <w:rPr>
                <w:rFonts w:eastAsia="Arial"/>
                <w:sz w:val="20"/>
                <w:szCs w:val="20"/>
                <w:lang w:val="en-US"/>
              </w:rPr>
              <w:t>I</w:t>
            </w:r>
            <w:r w:rsidRPr="007C51D6">
              <w:rPr>
                <w:rFonts w:eastAsia="Arial"/>
                <w:sz w:val="20"/>
                <w:szCs w:val="20"/>
              </w:rPr>
              <w:t xml:space="preserve"> стадия</w:t>
            </w:r>
          </w:p>
        </w:tc>
        <w:tc>
          <w:tcPr>
            <w:tcW w:w="1210"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41,7</w:t>
            </w:r>
          </w:p>
        </w:tc>
        <w:tc>
          <w:tcPr>
            <w:tcW w:w="1211"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29,4</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18,2</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60,0</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66,7</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61,5</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55,6</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35,3</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64,7</w:t>
            </w:r>
          </w:p>
        </w:tc>
        <w:tc>
          <w:tcPr>
            <w:tcW w:w="1213" w:type="dxa"/>
            <w:vAlign w:val="bottom"/>
          </w:tcPr>
          <w:p w:rsidR="00417BDB" w:rsidRPr="007C51D6" w:rsidRDefault="00417BDB" w:rsidP="00417BDB">
            <w:pPr>
              <w:widowControl/>
              <w:autoSpaceDE/>
              <w:autoSpaceDN/>
              <w:adjustRightInd/>
              <w:jc w:val="center"/>
              <w:rPr>
                <w:color w:val="000000"/>
                <w:sz w:val="20"/>
                <w:szCs w:val="20"/>
              </w:rPr>
            </w:pPr>
            <w:r w:rsidRPr="007C51D6">
              <w:rPr>
                <w:color w:val="000000"/>
                <w:sz w:val="20"/>
                <w:szCs w:val="20"/>
              </w:rPr>
              <w:t>11,1</w:t>
            </w:r>
          </w:p>
        </w:tc>
      </w:tr>
      <w:tr w:rsidR="00417BDB" w:rsidRPr="007C51D6" w:rsidTr="00742D16">
        <w:trPr>
          <w:trHeight w:val="20"/>
        </w:trPr>
        <w:tc>
          <w:tcPr>
            <w:tcW w:w="1696" w:type="dxa"/>
            <w:vMerge/>
          </w:tcPr>
          <w:p w:rsidR="00417BDB" w:rsidRPr="007C51D6" w:rsidRDefault="00417BDB" w:rsidP="00417BDB">
            <w:pPr>
              <w:jc w:val="both"/>
              <w:rPr>
                <w:rFonts w:eastAsia="Arial"/>
                <w:sz w:val="20"/>
                <w:szCs w:val="20"/>
                <w:lang w:val="en-US"/>
              </w:rPr>
            </w:pPr>
          </w:p>
        </w:tc>
        <w:tc>
          <w:tcPr>
            <w:tcW w:w="1304" w:type="dxa"/>
          </w:tcPr>
          <w:p w:rsidR="00417BDB" w:rsidRPr="007C51D6" w:rsidRDefault="00417BDB" w:rsidP="00417BDB">
            <w:pPr>
              <w:jc w:val="both"/>
              <w:rPr>
                <w:rFonts w:eastAsia="Arial"/>
                <w:sz w:val="20"/>
                <w:szCs w:val="20"/>
                <w:lang w:val="en-US"/>
              </w:rPr>
            </w:pPr>
            <w:r w:rsidRPr="007C51D6">
              <w:rPr>
                <w:rFonts w:eastAsia="Arial"/>
                <w:sz w:val="20"/>
                <w:szCs w:val="20"/>
                <w:lang w:val="en-US"/>
              </w:rPr>
              <w:t>II</w:t>
            </w:r>
            <w:r w:rsidRPr="007C51D6">
              <w:rPr>
                <w:rFonts w:eastAsia="Arial"/>
                <w:sz w:val="20"/>
                <w:szCs w:val="20"/>
              </w:rPr>
              <w:t xml:space="preserve"> стадия</w:t>
            </w:r>
          </w:p>
        </w:tc>
        <w:tc>
          <w:tcPr>
            <w:tcW w:w="1210"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58,3</w:t>
            </w:r>
          </w:p>
        </w:tc>
        <w:tc>
          <w:tcPr>
            <w:tcW w:w="1211"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58,8</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36,4</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40,0</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33,3</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23,1</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33,3</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23,5</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11,8</w:t>
            </w:r>
          </w:p>
        </w:tc>
        <w:tc>
          <w:tcPr>
            <w:tcW w:w="1213" w:type="dxa"/>
            <w:vAlign w:val="bottom"/>
          </w:tcPr>
          <w:p w:rsidR="00417BDB" w:rsidRPr="007C51D6" w:rsidRDefault="00417BDB" w:rsidP="00417BDB">
            <w:pPr>
              <w:jc w:val="center"/>
              <w:rPr>
                <w:color w:val="000000"/>
                <w:sz w:val="20"/>
                <w:szCs w:val="20"/>
              </w:rPr>
            </w:pPr>
            <w:r w:rsidRPr="007C51D6">
              <w:rPr>
                <w:color w:val="000000"/>
                <w:sz w:val="20"/>
                <w:szCs w:val="20"/>
              </w:rPr>
              <w:t>11,1</w:t>
            </w:r>
          </w:p>
        </w:tc>
      </w:tr>
      <w:tr w:rsidR="00417BDB" w:rsidRPr="007C51D6" w:rsidTr="00742D16">
        <w:trPr>
          <w:trHeight w:val="20"/>
        </w:trPr>
        <w:tc>
          <w:tcPr>
            <w:tcW w:w="1696" w:type="dxa"/>
            <w:vMerge/>
          </w:tcPr>
          <w:p w:rsidR="00417BDB" w:rsidRPr="007C51D6" w:rsidRDefault="00417BDB" w:rsidP="00417BDB">
            <w:pPr>
              <w:jc w:val="both"/>
              <w:rPr>
                <w:rFonts w:eastAsia="Arial"/>
                <w:sz w:val="20"/>
                <w:szCs w:val="20"/>
                <w:lang w:val="en-US"/>
              </w:rPr>
            </w:pPr>
          </w:p>
        </w:tc>
        <w:tc>
          <w:tcPr>
            <w:tcW w:w="1304" w:type="dxa"/>
          </w:tcPr>
          <w:p w:rsidR="00417BDB" w:rsidRPr="007C51D6" w:rsidRDefault="00417BDB" w:rsidP="00417BDB">
            <w:pPr>
              <w:jc w:val="both"/>
              <w:rPr>
                <w:rFonts w:eastAsia="Arial"/>
                <w:sz w:val="20"/>
                <w:szCs w:val="20"/>
                <w:lang w:val="en-US"/>
              </w:rPr>
            </w:pPr>
            <w:r w:rsidRPr="007C51D6">
              <w:rPr>
                <w:rFonts w:eastAsia="Arial"/>
                <w:sz w:val="20"/>
                <w:szCs w:val="20"/>
                <w:lang w:val="en-US"/>
              </w:rPr>
              <w:t>III</w:t>
            </w:r>
            <w:r w:rsidRPr="007C51D6">
              <w:rPr>
                <w:rFonts w:eastAsia="Arial"/>
                <w:sz w:val="20"/>
                <w:szCs w:val="20"/>
              </w:rPr>
              <w:t xml:space="preserve"> стадия</w:t>
            </w:r>
          </w:p>
        </w:tc>
        <w:tc>
          <w:tcPr>
            <w:tcW w:w="1210"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0</w:t>
            </w:r>
          </w:p>
        </w:tc>
        <w:tc>
          <w:tcPr>
            <w:tcW w:w="1211"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11,8</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27,3</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0</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0</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15,4</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11,1</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35,3</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5,9</w:t>
            </w:r>
          </w:p>
        </w:tc>
        <w:tc>
          <w:tcPr>
            <w:tcW w:w="1213" w:type="dxa"/>
            <w:vAlign w:val="bottom"/>
          </w:tcPr>
          <w:p w:rsidR="00417BDB" w:rsidRPr="007C51D6" w:rsidRDefault="00417BDB" w:rsidP="00417BDB">
            <w:pPr>
              <w:jc w:val="center"/>
              <w:rPr>
                <w:color w:val="000000"/>
                <w:sz w:val="20"/>
                <w:szCs w:val="20"/>
              </w:rPr>
            </w:pPr>
            <w:r w:rsidRPr="007C51D6">
              <w:rPr>
                <w:color w:val="000000"/>
                <w:sz w:val="20"/>
                <w:szCs w:val="20"/>
              </w:rPr>
              <w:t>22,2</w:t>
            </w:r>
          </w:p>
        </w:tc>
      </w:tr>
      <w:tr w:rsidR="00417BDB" w:rsidRPr="007C51D6" w:rsidTr="00742D16">
        <w:trPr>
          <w:trHeight w:val="20"/>
        </w:trPr>
        <w:tc>
          <w:tcPr>
            <w:tcW w:w="1696" w:type="dxa"/>
            <w:vMerge/>
          </w:tcPr>
          <w:p w:rsidR="00417BDB" w:rsidRPr="007C51D6" w:rsidRDefault="00417BDB" w:rsidP="00417BDB">
            <w:pPr>
              <w:jc w:val="both"/>
              <w:rPr>
                <w:rFonts w:eastAsia="Arial"/>
                <w:sz w:val="20"/>
                <w:szCs w:val="20"/>
                <w:lang w:val="en-US"/>
              </w:rPr>
            </w:pPr>
          </w:p>
        </w:tc>
        <w:tc>
          <w:tcPr>
            <w:tcW w:w="1304" w:type="dxa"/>
          </w:tcPr>
          <w:p w:rsidR="00417BDB" w:rsidRPr="007C51D6" w:rsidRDefault="00417BDB" w:rsidP="00417BDB">
            <w:pPr>
              <w:jc w:val="both"/>
            </w:pPr>
            <w:r w:rsidRPr="007C51D6">
              <w:rPr>
                <w:rFonts w:eastAsia="Arial"/>
                <w:sz w:val="20"/>
                <w:szCs w:val="20"/>
                <w:lang w:val="en-US"/>
              </w:rPr>
              <w:t>IV</w:t>
            </w:r>
            <w:r w:rsidRPr="007C51D6">
              <w:rPr>
                <w:rFonts w:eastAsia="Arial"/>
                <w:sz w:val="20"/>
                <w:szCs w:val="20"/>
              </w:rPr>
              <w:t xml:space="preserve"> стадия</w:t>
            </w:r>
          </w:p>
        </w:tc>
        <w:tc>
          <w:tcPr>
            <w:tcW w:w="1210"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0</w:t>
            </w:r>
          </w:p>
        </w:tc>
        <w:tc>
          <w:tcPr>
            <w:tcW w:w="1211"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0</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18,2</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0</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0</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0</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0</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5,9</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17,6</w:t>
            </w:r>
          </w:p>
        </w:tc>
        <w:tc>
          <w:tcPr>
            <w:tcW w:w="1213" w:type="dxa"/>
            <w:vAlign w:val="bottom"/>
          </w:tcPr>
          <w:p w:rsidR="00417BDB" w:rsidRPr="007C51D6" w:rsidRDefault="00417BDB" w:rsidP="00417BDB">
            <w:pPr>
              <w:jc w:val="center"/>
              <w:rPr>
                <w:color w:val="000000"/>
                <w:sz w:val="20"/>
                <w:szCs w:val="20"/>
              </w:rPr>
            </w:pPr>
            <w:r w:rsidRPr="007C51D6">
              <w:rPr>
                <w:color w:val="000000"/>
                <w:sz w:val="20"/>
                <w:szCs w:val="20"/>
              </w:rPr>
              <w:t>55,6</w:t>
            </w:r>
          </w:p>
        </w:tc>
      </w:tr>
      <w:tr w:rsidR="00417BDB" w:rsidRPr="007C51D6" w:rsidTr="00742D16">
        <w:trPr>
          <w:trHeight w:val="20"/>
        </w:trPr>
        <w:tc>
          <w:tcPr>
            <w:tcW w:w="1696" w:type="dxa"/>
            <w:vMerge/>
          </w:tcPr>
          <w:p w:rsidR="00417BDB" w:rsidRPr="007C51D6" w:rsidRDefault="00417BDB" w:rsidP="00417BDB">
            <w:pPr>
              <w:autoSpaceDE/>
              <w:autoSpaceDN/>
              <w:adjustRightInd/>
              <w:jc w:val="both"/>
              <w:rPr>
                <w:rFonts w:eastAsia="Arial"/>
                <w:sz w:val="20"/>
                <w:szCs w:val="20"/>
              </w:rPr>
            </w:pPr>
          </w:p>
        </w:tc>
        <w:tc>
          <w:tcPr>
            <w:tcW w:w="1304" w:type="dxa"/>
          </w:tcPr>
          <w:p w:rsidR="00417BDB" w:rsidRPr="007C51D6" w:rsidRDefault="00417BDB" w:rsidP="00417BDB">
            <w:pPr>
              <w:autoSpaceDE/>
              <w:autoSpaceDN/>
              <w:adjustRightInd/>
              <w:jc w:val="both"/>
              <w:rPr>
                <w:rFonts w:eastAsia="Arial"/>
                <w:sz w:val="20"/>
                <w:szCs w:val="20"/>
              </w:rPr>
            </w:pPr>
            <w:r w:rsidRPr="007C51D6">
              <w:rPr>
                <w:rFonts w:eastAsia="Arial"/>
                <w:sz w:val="20"/>
                <w:szCs w:val="20"/>
              </w:rPr>
              <w:t>без стадии</w:t>
            </w:r>
          </w:p>
        </w:tc>
        <w:tc>
          <w:tcPr>
            <w:tcW w:w="1210"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0</w:t>
            </w:r>
          </w:p>
        </w:tc>
        <w:tc>
          <w:tcPr>
            <w:tcW w:w="1211"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0</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0</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0</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0</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0</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0</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0</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0</w:t>
            </w:r>
          </w:p>
        </w:tc>
        <w:tc>
          <w:tcPr>
            <w:tcW w:w="1213" w:type="dxa"/>
            <w:vAlign w:val="center"/>
          </w:tcPr>
          <w:p w:rsidR="00417BDB" w:rsidRPr="007C51D6" w:rsidRDefault="00417BDB" w:rsidP="00417BDB">
            <w:pPr>
              <w:jc w:val="center"/>
              <w:rPr>
                <w:color w:val="000000"/>
                <w:sz w:val="20"/>
                <w:szCs w:val="20"/>
              </w:rPr>
            </w:pPr>
            <w:r w:rsidRPr="007C51D6">
              <w:rPr>
                <w:color w:val="000000"/>
                <w:sz w:val="20"/>
                <w:szCs w:val="20"/>
              </w:rPr>
              <w:t>0</w:t>
            </w:r>
          </w:p>
        </w:tc>
      </w:tr>
      <w:tr w:rsidR="00417BDB" w:rsidRPr="007C51D6" w:rsidTr="00742D16">
        <w:trPr>
          <w:trHeight w:val="20"/>
        </w:trPr>
        <w:tc>
          <w:tcPr>
            <w:tcW w:w="1696" w:type="dxa"/>
            <w:vMerge w:val="restart"/>
          </w:tcPr>
          <w:p w:rsidR="00417BDB" w:rsidRPr="007C51D6" w:rsidRDefault="00417BDB" w:rsidP="00417BDB">
            <w:pPr>
              <w:jc w:val="both"/>
              <w:rPr>
                <w:rFonts w:eastAsia="Arial"/>
                <w:sz w:val="20"/>
                <w:szCs w:val="20"/>
              </w:rPr>
            </w:pPr>
            <w:r w:rsidRPr="007C51D6">
              <w:rPr>
                <w:rFonts w:eastAsia="Arial"/>
                <w:sz w:val="20"/>
                <w:szCs w:val="20"/>
              </w:rPr>
              <w:t>ЗНО яичка (С62)</w:t>
            </w:r>
          </w:p>
        </w:tc>
        <w:tc>
          <w:tcPr>
            <w:tcW w:w="1304" w:type="dxa"/>
          </w:tcPr>
          <w:p w:rsidR="00417BDB" w:rsidRPr="007C51D6" w:rsidRDefault="00417BDB" w:rsidP="00417BDB">
            <w:pPr>
              <w:autoSpaceDE/>
              <w:autoSpaceDN/>
              <w:adjustRightInd/>
              <w:jc w:val="both"/>
              <w:rPr>
                <w:rFonts w:eastAsia="Arial"/>
                <w:sz w:val="20"/>
                <w:szCs w:val="20"/>
              </w:rPr>
            </w:pPr>
            <w:r w:rsidRPr="007C51D6">
              <w:rPr>
                <w:rFonts w:eastAsia="Arial"/>
                <w:sz w:val="20"/>
                <w:szCs w:val="20"/>
                <w:lang w:val="en-US"/>
              </w:rPr>
              <w:t>I</w:t>
            </w:r>
            <w:r w:rsidRPr="007C51D6">
              <w:rPr>
                <w:rFonts w:eastAsia="Arial"/>
                <w:sz w:val="20"/>
                <w:szCs w:val="20"/>
              </w:rPr>
              <w:t xml:space="preserve"> стадия</w:t>
            </w:r>
          </w:p>
        </w:tc>
        <w:tc>
          <w:tcPr>
            <w:tcW w:w="1210"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57,5</w:t>
            </w:r>
          </w:p>
        </w:tc>
        <w:tc>
          <w:tcPr>
            <w:tcW w:w="1211"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46,5</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61,5</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60,0</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64,3</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75,0</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73,7</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0</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69,6</w:t>
            </w:r>
          </w:p>
        </w:tc>
        <w:tc>
          <w:tcPr>
            <w:tcW w:w="1213" w:type="dxa"/>
            <w:vAlign w:val="bottom"/>
          </w:tcPr>
          <w:p w:rsidR="00417BDB" w:rsidRPr="007C51D6" w:rsidRDefault="00417BDB" w:rsidP="00417BDB">
            <w:pPr>
              <w:widowControl/>
              <w:autoSpaceDE/>
              <w:autoSpaceDN/>
              <w:adjustRightInd/>
              <w:jc w:val="center"/>
              <w:rPr>
                <w:color w:val="000000"/>
                <w:sz w:val="20"/>
                <w:szCs w:val="20"/>
              </w:rPr>
            </w:pPr>
            <w:r w:rsidRPr="007C51D6">
              <w:rPr>
                <w:color w:val="000000"/>
                <w:sz w:val="20"/>
                <w:szCs w:val="20"/>
              </w:rPr>
              <w:t>75,8</w:t>
            </w:r>
          </w:p>
        </w:tc>
      </w:tr>
      <w:tr w:rsidR="00417BDB" w:rsidRPr="007C51D6" w:rsidTr="00742D16">
        <w:trPr>
          <w:trHeight w:val="20"/>
        </w:trPr>
        <w:tc>
          <w:tcPr>
            <w:tcW w:w="1696" w:type="dxa"/>
            <w:vMerge/>
          </w:tcPr>
          <w:p w:rsidR="00417BDB" w:rsidRPr="007C51D6" w:rsidRDefault="00417BDB" w:rsidP="00417BDB">
            <w:pPr>
              <w:jc w:val="both"/>
              <w:rPr>
                <w:rFonts w:eastAsia="Arial"/>
                <w:sz w:val="20"/>
                <w:szCs w:val="20"/>
                <w:lang w:val="en-US"/>
              </w:rPr>
            </w:pPr>
          </w:p>
        </w:tc>
        <w:tc>
          <w:tcPr>
            <w:tcW w:w="1304" w:type="dxa"/>
          </w:tcPr>
          <w:p w:rsidR="00417BDB" w:rsidRPr="007C51D6" w:rsidRDefault="00417BDB" w:rsidP="00417BDB">
            <w:pPr>
              <w:jc w:val="both"/>
              <w:rPr>
                <w:rFonts w:eastAsia="Arial"/>
                <w:sz w:val="20"/>
                <w:szCs w:val="20"/>
                <w:lang w:val="en-US"/>
              </w:rPr>
            </w:pPr>
            <w:r w:rsidRPr="007C51D6">
              <w:rPr>
                <w:rFonts w:eastAsia="Arial"/>
                <w:sz w:val="20"/>
                <w:szCs w:val="20"/>
                <w:lang w:val="en-US"/>
              </w:rPr>
              <w:t>II</w:t>
            </w:r>
            <w:r w:rsidRPr="007C51D6">
              <w:rPr>
                <w:rFonts w:eastAsia="Arial"/>
                <w:sz w:val="20"/>
                <w:szCs w:val="20"/>
              </w:rPr>
              <w:t xml:space="preserve"> стадия</w:t>
            </w:r>
          </w:p>
        </w:tc>
        <w:tc>
          <w:tcPr>
            <w:tcW w:w="1210"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20,0</w:t>
            </w:r>
          </w:p>
        </w:tc>
        <w:tc>
          <w:tcPr>
            <w:tcW w:w="1211"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23,3</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12,8</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20,0</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14,3</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15,0</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13,2</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31,6</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17,4</w:t>
            </w:r>
          </w:p>
        </w:tc>
        <w:tc>
          <w:tcPr>
            <w:tcW w:w="1213" w:type="dxa"/>
            <w:vAlign w:val="bottom"/>
          </w:tcPr>
          <w:p w:rsidR="00417BDB" w:rsidRPr="007C51D6" w:rsidRDefault="00417BDB" w:rsidP="00417BDB">
            <w:pPr>
              <w:jc w:val="center"/>
              <w:rPr>
                <w:color w:val="000000"/>
                <w:sz w:val="20"/>
                <w:szCs w:val="20"/>
              </w:rPr>
            </w:pPr>
            <w:r w:rsidRPr="007C51D6">
              <w:rPr>
                <w:color w:val="000000"/>
                <w:sz w:val="20"/>
                <w:szCs w:val="20"/>
              </w:rPr>
              <w:t>6,1</w:t>
            </w:r>
          </w:p>
        </w:tc>
      </w:tr>
      <w:tr w:rsidR="00417BDB" w:rsidRPr="007C51D6" w:rsidTr="00742D16">
        <w:trPr>
          <w:trHeight w:val="20"/>
        </w:trPr>
        <w:tc>
          <w:tcPr>
            <w:tcW w:w="1696" w:type="dxa"/>
            <w:vMerge/>
          </w:tcPr>
          <w:p w:rsidR="00417BDB" w:rsidRPr="007C51D6" w:rsidRDefault="00417BDB" w:rsidP="00417BDB">
            <w:pPr>
              <w:jc w:val="both"/>
              <w:rPr>
                <w:rFonts w:eastAsia="Arial"/>
                <w:sz w:val="20"/>
                <w:szCs w:val="20"/>
                <w:lang w:val="en-US"/>
              </w:rPr>
            </w:pPr>
          </w:p>
        </w:tc>
        <w:tc>
          <w:tcPr>
            <w:tcW w:w="1304" w:type="dxa"/>
          </w:tcPr>
          <w:p w:rsidR="00417BDB" w:rsidRPr="007C51D6" w:rsidRDefault="00417BDB" w:rsidP="00417BDB">
            <w:pPr>
              <w:jc w:val="both"/>
              <w:rPr>
                <w:rFonts w:eastAsia="Arial"/>
                <w:sz w:val="20"/>
                <w:szCs w:val="20"/>
                <w:lang w:val="en-US"/>
              </w:rPr>
            </w:pPr>
            <w:r w:rsidRPr="007C51D6">
              <w:rPr>
                <w:rFonts w:eastAsia="Arial"/>
                <w:sz w:val="20"/>
                <w:szCs w:val="20"/>
                <w:lang w:val="en-US"/>
              </w:rPr>
              <w:t>III</w:t>
            </w:r>
            <w:r w:rsidRPr="007C51D6">
              <w:rPr>
                <w:rFonts w:eastAsia="Arial"/>
                <w:sz w:val="20"/>
                <w:szCs w:val="20"/>
              </w:rPr>
              <w:t xml:space="preserve"> стадия</w:t>
            </w:r>
          </w:p>
        </w:tc>
        <w:tc>
          <w:tcPr>
            <w:tcW w:w="1210"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7,5</w:t>
            </w:r>
          </w:p>
        </w:tc>
        <w:tc>
          <w:tcPr>
            <w:tcW w:w="1211"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11,6</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2,6</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2,9</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7,1</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7,5</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2,6</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36,8</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2,2</w:t>
            </w:r>
          </w:p>
        </w:tc>
        <w:tc>
          <w:tcPr>
            <w:tcW w:w="1213" w:type="dxa"/>
            <w:vAlign w:val="bottom"/>
          </w:tcPr>
          <w:p w:rsidR="00417BDB" w:rsidRPr="007C51D6" w:rsidRDefault="00417BDB" w:rsidP="00417BDB">
            <w:pPr>
              <w:jc w:val="center"/>
              <w:rPr>
                <w:color w:val="000000"/>
                <w:sz w:val="20"/>
                <w:szCs w:val="20"/>
              </w:rPr>
            </w:pPr>
            <w:r w:rsidRPr="007C51D6">
              <w:rPr>
                <w:color w:val="000000"/>
                <w:sz w:val="20"/>
                <w:szCs w:val="20"/>
              </w:rPr>
              <w:t>6,1</w:t>
            </w:r>
          </w:p>
        </w:tc>
      </w:tr>
      <w:tr w:rsidR="00417BDB" w:rsidRPr="007C51D6" w:rsidTr="00742D16">
        <w:trPr>
          <w:trHeight w:val="20"/>
        </w:trPr>
        <w:tc>
          <w:tcPr>
            <w:tcW w:w="1696" w:type="dxa"/>
            <w:vMerge/>
          </w:tcPr>
          <w:p w:rsidR="00417BDB" w:rsidRPr="007C51D6" w:rsidRDefault="00417BDB" w:rsidP="00417BDB">
            <w:pPr>
              <w:jc w:val="both"/>
              <w:rPr>
                <w:rFonts w:eastAsia="Arial"/>
                <w:sz w:val="20"/>
                <w:szCs w:val="20"/>
                <w:lang w:val="en-US"/>
              </w:rPr>
            </w:pPr>
          </w:p>
        </w:tc>
        <w:tc>
          <w:tcPr>
            <w:tcW w:w="1304" w:type="dxa"/>
          </w:tcPr>
          <w:p w:rsidR="00417BDB" w:rsidRPr="007C51D6" w:rsidRDefault="00417BDB" w:rsidP="00417BDB">
            <w:pPr>
              <w:jc w:val="both"/>
            </w:pPr>
            <w:r w:rsidRPr="007C51D6">
              <w:rPr>
                <w:rFonts w:eastAsia="Arial"/>
                <w:sz w:val="20"/>
                <w:szCs w:val="20"/>
                <w:lang w:val="en-US"/>
              </w:rPr>
              <w:t>IV</w:t>
            </w:r>
            <w:r w:rsidRPr="007C51D6">
              <w:rPr>
                <w:rFonts w:eastAsia="Arial"/>
                <w:sz w:val="20"/>
                <w:szCs w:val="20"/>
              </w:rPr>
              <w:t xml:space="preserve"> стадия</w:t>
            </w:r>
          </w:p>
        </w:tc>
        <w:tc>
          <w:tcPr>
            <w:tcW w:w="1210"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15,0</w:t>
            </w:r>
          </w:p>
        </w:tc>
        <w:tc>
          <w:tcPr>
            <w:tcW w:w="1211"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18,6</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23,1</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17,1</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14,3</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2,5</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10,5</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31,6</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10,9</w:t>
            </w:r>
          </w:p>
        </w:tc>
        <w:tc>
          <w:tcPr>
            <w:tcW w:w="1213" w:type="dxa"/>
            <w:vAlign w:val="bottom"/>
          </w:tcPr>
          <w:p w:rsidR="00417BDB" w:rsidRPr="007C51D6" w:rsidRDefault="00417BDB" w:rsidP="00417BDB">
            <w:pPr>
              <w:jc w:val="center"/>
              <w:rPr>
                <w:color w:val="000000"/>
                <w:sz w:val="20"/>
                <w:szCs w:val="20"/>
              </w:rPr>
            </w:pPr>
            <w:r w:rsidRPr="007C51D6">
              <w:rPr>
                <w:color w:val="000000"/>
                <w:sz w:val="20"/>
                <w:szCs w:val="20"/>
              </w:rPr>
              <w:t>12,1</w:t>
            </w:r>
          </w:p>
        </w:tc>
      </w:tr>
      <w:tr w:rsidR="00417BDB" w:rsidRPr="007C51D6" w:rsidTr="00742D16">
        <w:trPr>
          <w:trHeight w:val="20"/>
        </w:trPr>
        <w:tc>
          <w:tcPr>
            <w:tcW w:w="1696" w:type="dxa"/>
            <w:vMerge/>
          </w:tcPr>
          <w:p w:rsidR="00417BDB" w:rsidRPr="007C51D6" w:rsidRDefault="00417BDB" w:rsidP="00417BDB">
            <w:pPr>
              <w:autoSpaceDE/>
              <w:autoSpaceDN/>
              <w:adjustRightInd/>
              <w:jc w:val="both"/>
              <w:rPr>
                <w:rFonts w:eastAsia="Arial"/>
                <w:sz w:val="20"/>
                <w:szCs w:val="20"/>
              </w:rPr>
            </w:pPr>
          </w:p>
        </w:tc>
        <w:tc>
          <w:tcPr>
            <w:tcW w:w="1304" w:type="dxa"/>
          </w:tcPr>
          <w:p w:rsidR="00417BDB" w:rsidRPr="007C51D6" w:rsidRDefault="00417BDB" w:rsidP="00417BDB">
            <w:pPr>
              <w:autoSpaceDE/>
              <w:autoSpaceDN/>
              <w:adjustRightInd/>
              <w:jc w:val="both"/>
              <w:rPr>
                <w:rFonts w:eastAsia="Arial"/>
                <w:sz w:val="20"/>
                <w:szCs w:val="20"/>
              </w:rPr>
            </w:pPr>
            <w:r w:rsidRPr="007C51D6">
              <w:rPr>
                <w:rFonts w:eastAsia="Arial"/>
                <w:sz w:val="20"/>
                <w:szCs w:val="20"/>
              </w:rPr>
              <w:t>без стадии</w:t>
            </w:r>
          </w:p>
        </w:tc>
        <w:tc>
          <w:tcPr>
            <w:tcW w:w="1210"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0</w:t>
            </w:r>
          </w:p>
        </w:tc>
        <w:tc>
          <w:tcPr>
            <w:tcW w:w="1211"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0</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0</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0</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0</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0</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0</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0</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0</w:t>
            </w:r>
          </w:p>
        </w:tc>
        <w:tc>
          <w:tcPr>
            <w:tcW w:w="1213" w:type="dxa"/>
            <w:vAlign w:val="center"/>
          </w:tcPr>
          <w:p w:rsidR="00417BDB" w:rsidRPr="007C51D6" w:rsidRDefault="00417BDB" w:rsidP="00417BDB">
            <w:pPr>
              <w:jc w:val="center"/>
              <w:rPr>
                <w:color w:val="000000"/>
                <w:sz w:val="20"/>
                <w:szCs w:val="20"/>
              </w:rPr>
            </w:pPr>
            <w:r w:rsidRPr="007C51D6">
              <w:rPr>
                <w:color w:val="000000"/>
                <w:sz w:val="20"/>
                <w:szCs w:val="20"/>
              </w:rPr>
              <w:t>0</w:t>
            </w:r>
          </w:p>
        </w:tc>
      </w:tr>
      <w:tr w:rsidR="00417BDB" w:rsidRPr="007C51D6" w:rsidTr="00A85F2F">
        <w:trPr>
          <w:trHeight w:val="20"/>
        </w:trPr>
        <w:tc>
          <w:tcPr>
            <w:tcW w:w="1696" w:type="dxa"/>
            <w:vMerge w:val="restart"/>
          </w:tcPr>
          <w:p w:rsidR="00417BDB" w:rsidRPr="007C51D6" w:rsidRDefault="00417BDB" w:rsidP="00417BDB">
            <w:pPr>
              <w:jc w:val="both"/>
              <w:rPr>
                <w:rFonts w:eastAsia="Arial"/>
                <w:sz w:val="20"/>
                <w:szCs w:val="20"/>
              </w:rPr>
            </w:pPr>
            <w:r w:rsidRPr="007C51D6">
              <w:rPr>
                <w:rFonts w:eastAsia="Arial"/>
                <w:sz w:val="20"/>
                <w:szCs w:val="20"/>
              </w:rPr>
              <w:t>ЗНО кожи мошонки (С63.2)</w:t>
            </w:r>
          </w:p>
        </w:tc>
        <w:tc>
          <w:tcPr>
            <w:tcW w:w="1304" w:type="dxa"/>
          </w:tcPr>
          <w:p w:rsidR="00417BDB" w:rsidRPr="007C51D6" w:rsidRDefault="00417BDB" w:rsidP="00417BDB">
            <w:pPr>
              <w:autoSpaceDE/>
              <w:autoSpaceDN/>
              <w:adjustRightInd/>
              <w:jc w:val="both"/>
              <w:rPr>
                <w:rFonts w:eastAsia="Arial"/>
                <w:sz w:val="20"/>
                <w:szCs w:val="20"/>
              </w:rPr>
            </w:pPr>
            <w:r w:rsidRPr="007C51D6">
              <w:rPr>
                <w:rFonts w:eastAsia="Arial"/>
                <w:sz w:val="20"/>
                <w:szCs w:val="20"/>
                <w:lang w:val="en-US"/>
              </w:rPr>
              <w:t>I</w:t>
            </w:r>
            <w:r w:rsidRPr="007C51D6">
              <w:rPr>
                <w:rFonts w:eastAsia="Arial"/>
                <w:sz w:val="20"/>
                <w:szCs w:val="20"/>
              </w:rPr>
              <w:t xml:space="preserve"> стадия</w:t>
            </w:r>
          </w:p>
        </w:tc>
        <w:tc>
          <w:tcPr>
            <w:tcW w:w="1210"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0</w:t>
            </w:r>
          </w:p>
        </w:tc>
        <w:tc>
          <w:tcPr>
            <w:tcW w:w="1211"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0</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0</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66,7</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0</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0</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100</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0</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0</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0</w:t>
            </w:r>
          </w:p>
        </w:tc>
      </w:tr>
      <w:tr w:rsidR="00417BDB" w:rsidRPr="007C51D6" w:rsidTr="00A85F2F">
        <w:trPr>
          <w:trHeight w:val="20"/>
        </w:trPr>
        <w:tc>
          <w:tcPr>
            <w:tcW w:w="1696" w:type="dxa"/>
            <w:vMerge/>
          </w:tcPr>
          <w:p w:rsidR="00417BDB" w:rsidRPr="007C51D6" w:rsidRDefault="00417BDB" w:rsidP="00417BDB">
            <w:pPr>
              <w:jc w:val="both"/>
              <w:rPr>
                <w:rFonts w:eastAsia="Arial"/>
                <w:sz w:val="20"/>
                <w:szCs w:val="20"/>
                <w:lang w:val="en-US"/>
              </w:rPr>
            </w:pPr>
          </w:p>
        </w:tc>
        <w:tc>
          <w:tcPr>
            <w:tcW w:w="1304" w:type="dxa"/>
          </w:tcPr>
          <w:p w:rsidR="00417BDB" w:rsidRPr="007C51D6" w:rsidRDefault="00417BDB" w:rsidP="00417BDB">
            <w:pPr>
              <w:jc w:val="both"/>
              <w:rPr>
                <w:rFonts w:eastAsia="Arial"/>
                <w:sz w:val="20"/>
                <w:szCs w:val="20"/>
                <w:lang w:val="en-US"/>
              </w:rPr>
            </w:pPr>
            <w:r w:rsidRPr="007C51D6">
              <w:rPr>
                <w:rFonts w:eastAsia="Arial"/>
                <w:sz w:val="20"/>
                <w:szCs w:val="20"/>
                <w:lang w:val="en-US"/>
              </w:rPr>
              <w:t>II</w:t>
            </w:r>
            <w:r w:rsidRPr="007C51D6">
              <w:rPr>
                <w:rFonts w:eastAsia="Arial"/>
                <w:sz w:val="20"/>
                <w:szCs w:val="20"/>
              </w:rPr>
              <w:t xml:space="preserve"> стадия</w:t>
            </w:r>
          </w:p>
        </w:tc>
        <w:tc>
          <w:tcPr>
            <w:tcW w:w="1210"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100</w:t>
            </w:r>
          </w:p>
        </w:tc>
        <w:tc>
          <w:tcPr>
            <w:tcW w:w="1211"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0</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0</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33,3</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0</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0</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0</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0</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0</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0</w:t>
            </w:r>
          </w:p>
        </w:tc>
      </w:tr>
      <w:tr w:rsidR="00417BDB" w:rsidRPr="007C51D6" w:rsidTr="00A85F2F">
        <w:trPr>
          <w:trHeight w:val="20"/>
        </w:trPr>
        <w:tc>
          <w:tcPr>
            <w:tcW w:w="1696" w:type="dxa"/>
            <w:vMerge/>
          </w:tcPr>
          <w:p w:rsidR="00417BDB" w:rsidRPr="007C51D6" w:rsidRDefault="00417BDB" w:rsidP="00417BDB">
            <w:pPr>
              <w:jc w:val="both"/>
              <w:rPr>
                <w:rFonts w:eastAsia="Arial"/>
                <w:sz w:val="20"/>
                <w:szCs w:val="20"/>
                <w:lang w:val="en-US"/>
              </w:rPr>
            </w:pPr>
          </w:p>
        </w:tc>
        <w:tc>
          <w:tcPr>
            <w:tcW w:w="1304" w:type="dxa"/>
          </w:tcPr>
          <w:p w:rsidR="00417BDB" w:rsidRPr="007C51D6" w:rsidRDefault="00417BDB" w:rsidP="00417BDB">
            <w:pPr>
              <w:jc w:val="both"/>
              <w:rPr>
                <w:rFonts w:eastAsia="Arial"/>
                <w:sz w:val="20"/>
                <w:szCs w:val="20"/>
                <w:lang w:val="en-US"/>
              </w:rPr>
            </w:pPr>
            <w:r w:rsidRPr="007C51D6">
              <w:rPr>
                <w:rFonts w:eastAsia="Arial"/>
                <w:sz w:val="20"/>
                <w:szCs w:val="20"/>
                <w:lang w:val="en-US"/>
              </w:rPr>
              <w:t>III</w:t>
            </w:r>
            <w:r w:rsidRPr="007C51D6">
              <w:rPr>
                <w:rFonts w:eastAsia="Arial"/>
                <w:sz w:val="20"/>
                <w:szCs w:val="20"/>
              </w:rPr>
              <w:t xml:space="preserve"> стадия</w:t>
            </w:r>
          </w:p>
        </w:tc>
        <w:tc>
          <w:tcPr>
            <w:tcW w:w="1210"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0</w:t>
            </w:r>
          </w:p>
        </w:tc>
        <w:tc>
          <w:tcPr>
            <w:tcW w:w="1211"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0</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0</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0</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0</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0</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0</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0</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0</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0</w:t>
            </w:r>
          </w:p>
        </w:tc>
      </w:tr>
      <w:tr w:rsidR="00417BDB" w:rsidRPr="007C51D6" w:rsidTr="00A85F2F">
        <w:trPr>
          <w:trHeight w:val="20"/>
        </w:trPr>
        <w:tc>
          <w:tcPr>
            <w:tcW w:w="1696" w:type="dxa"/>
            <w:vMerge/>
          </w:tcPr>
          <w:p w:rsidR="00417BDB" w:rsidRPr="007C51D6" w:rsidRDefault="00417BDB" w:rsidP="00417BDB">
            <w:pPr>
              <w:jc w:val="both"/>
              <w:rPr>
                <w:rFonts w:eastAsia="Arial"/>
                <w:sz w:val="20"/>
                <w:szCs w:val="20"/>
                <w:lang w:val="en-US"/>
              </w:rPr>
            </w:pPr>
          </w:p>
        </w:tc>
        <w:tc>
          <w:tcPr>
            <w:tcW w:w="1304" w:type="dxa"/>
          </w:tcPr>
          <w:p w:rsidR="00417BDB" w:rsidRPr="007C51D6" w:rsidRDefault="00417BDB" w:rsidP="00417BDB">
            <w:pPr>
              <w:jc w:val="both"/>
            </w:pPr>
            <w:r w:rsidRPr="007C51D6">
              <w:rPr>
                <w:rFonts w:eastAsia="Arial"/>
                <w:sz w:val="20"/>
                <w:szCs w:val="20"/>
                <w:lang w:val="en-US"/>
              </w:rPr>
              <w:t>IV</w:t>
            </w:r>
            <w:r w:rsidRPr="007C51D6">
              <w:rPr>
                <w:rFonts w:eastAsia="Arial"/>
                <w:sz w:val="20"/>
                <w:szCs w:val="20"/>
              </w:rPr>
              <w:t xml:space="preserve"> стадия</w:t>
            </w:r>
          </w:p>
        </w:tc>
        <w:tc>
          <w:tcPr>
            <w:tcW w:w="1210"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0</w:t>
            </w:r>
          </w:p>
        </w:tc>
        <w:tc>
          <w:tcPr>
            <w:tcW w:w="1211"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0</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0</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0</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0</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0</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0</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0</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0</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0</w:t>
            </w:r>
          </w:p>
        </w:tc>
      </w:tr>
      <w:tr w:rsidR="00417BDB" w:rsidRPr="007C51D6" w:rsidTr="00A85F2F">
        <w:trPr>
          <w:trHeight w:val="20"/>
        </w:trPr>
        <w:tc>
          <w:tcPr>
            <w:tcW w:w="1696" w:type="dxa"/>
            <w:vMerge/>
          </w:tcPr>
          <w:p w:rsidR="00417BDB" w:rsidRPr="007C51D6" w:rsidRDefault="00417BDB" w:rsidP="00417BDB">
            <w:pPr>
              <w:autoSpaceDE/>
              <w:autoSpaceDN/>
              <w:adjustRightInd/>
              <w:jc w:val="both"/>
              <w:rPr>
                <w:rFonts w:eastAsia="Arial"/>
                <w:sz w:val="20"/>
                <w:szCs w:val="20"/>
              </w:rPr>
            </w:pPr>
          </w:p>
        </w:tc>
        <w:tc>
          <w:tcPr>
            <w:tcW w:w="1304" w:type="dxa"/>
          </w:tcPr>
          <w:p w:rsidR="00417BDB" w:rsidRPr="007C51D6" w:rsidRDefault="00417BDB" w:rsidP="00417BDB">
            <w:pPr>
              <w:autoSpaceDE/>
              <w:autoSpaceDN/>
              <w:adjustRightInd/>
              <w:jc w:val="both"/>
              <w:rPr>
                <w:rFonts w:eastAsia="Arial"/>
                <w:sz w:val="20"/>
                <w:szCs w:val="20"/>
              </w:rPr>
            </w:pPr>
            <w:r w:rsidRPr="007C51D6">
              <w:rPr>
                <w:rFonts w:eastAsia="Arial"/>
                <w:sz w:val="20"/>
                <w:szCs w:val="20"/>
              </w:rPr>
              <w:t>без стадии</w:t>
            </w:r>
          </w:p>
        </w:tc>
        <w:tc>
          <w:tcPr>
            <w:tcW w:w="1210"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0</w:t>
            </w:r>
          </w:p>
        </w:tc>
        <w:tc>
          <w:tcPr>
            <w:tcW w:w="1211"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0</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0</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0</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0</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0</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0</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0</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0</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0</w:t>
            </w:r>
          </w:p>
        </w:tc>
      </w:tr>
      <w:tr w:rsidR="00417BDB" w:rsidRPr="007C51D6" w:rsidTr="00742D16">
        <w:trPr>
          <w:trHeight w:val="20"/>
        </w:trPr>
        <w:tc>
          <w:tcPr>
            <w:tcW w:w="1696" w:type="dxa"/>
            <w:vMerge w:val="restart"/>
          </w:tcPr>
          <w:p w:rsidR="00417BDB" w:rsidRPr="007C51D6" w:rsidRDefault="00417BDB" w:rsidP="00417BDB">
            <w:pPr>
              <w:jc w:val="both"/>
              <w:rPr>
                <w:rFonts w:eastAsia="Arial"/>
                <w:sz w:val="20"/>
                <w:szCs w:val="20"/>
              </w:rPr>
            </w:pPr>
            <w:r w:rsidRPr="007C51D6">
              <w:rPr>
                <w:rFonts w:eastAsia="Arial"/>
                <w:sz w:val="20"/>
                <w:szCs w:val="20"/>
              </w:rPr>
              <w:t>ЗНО глаза (С69)</w:t>
            </w:r>
          </w:p>
        </w:tc>
        <w:tc>
          <w:tcPr>
            <w:tcW w:w="1304" w:type="dxa"/>
          </w:tcPr>
          <w:p w:rsidR="00417BDB" w:rsidRPr="007C51D6" w:rsidRDefault="00417BDB" w:rsidP="00417BDB">
            <w:pPr>
              <w:autoSpaceDE/>
              <w:autoSpaceDN/>
              <w:adjustRightInd/>
              <w:jc w:val="both"/>
              <w:rPr>
                <w:rFonts w:eastAsia="Arial"/>
                <w:sz w:val="20"/>
                <w:szCs w:val="20"/>
              </w:rPr>
            </w:pPr>
            <w:r w:rsidRPr="007C51D6">
              <w:rPr>
                <w:rFonts w:eastAsia="Arial"/>
                <w:sz w:val="20"/>
                <w:szCs w:val="20"/>
                <w:lang w:val="en-US"/>
              </w:rPr>
              <w:t>I</w:t>
            </w:r>
            <w:r w:rsidRPr="007C51D6">
              <w:rPr>
                <w:rFonts w:eastAsia="Arial"/>
                <w:sz w:val="20"/>
                <w:szCs w:val="20"/>
              </w:rPr>
              <w:t xml:space="preserve"> стадия</w:t>
            </w:r>
          </w:p>
        </w:tc>
        <w:tc>
          <w:tcPr>
            <w:tcW w:w="1210"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26,3</w:t>
            </w:r>
          </w:p>
        </w:tc>
        <w:tc>
          <w:tcPr>
            <w:tcW w:w="1211"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4,5</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25,0</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43,8</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11,1</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29,2</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39,3</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32,1</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14,3</w:t>
            </w:r>
          </w:p>
        </w:tc>
        <w:tc>
          <w:tcPr>
            <w:tcW w:w="1213" w:type="dxa"/>
            <w:vAlign w:val="bottom"/>
          </w:tcPr>
          <w:p w:rsidR="00417BDB" w:rsidRPr="007C51D6" w:rsidRDefault="00417BDB" w:rsidP="00417BDB">
            <w:pPr>
              <w:widowControl/>
              <w:autoSpaceDE/>
              <w:autoSpaceDN/>
              <w:adjustRightInd/>
              <w:jc w:val="center"/>
              <w:rPr>
                <w:color w:val="000000"/>
                <w:sz w:val="20"/>
                <w:szCs w:val="20"/>
              </w:rPr>
            </w:pPr>
            <w:r w:rsidRPr="007C51D6">
              <w:rPr>
                <w:color w:val="000000"/>
                <w:sz w:val="20"/>
                <w:szCs w:val="20"/>
              </w:rPr>
              <w:t>36,0</w:t>
            </w:r>
          </w:p>
        </w:tc>
      </w:tr>
      <w:tr w:rsidR="00417BDB" w:rsidRPr="007C51D6" w:rsidTr="00742D16">
        <w:trPr>
          <w:trHeight w:val="20"/>
        </w:trPr>
        <w:tc>
          <w:tcPr>
            <w:tcW w:w="1696" w:type="dxa"/>
            <w:vMerge/>
          </w:tcPr>
          <w:p w:rsidR="00417BDB" w:rsidRPr="007C51D6" w:rsidRDefault="00417BDB" w:rsidP="00417BDB">
            <w:pPr>
              <w:jc w:val="both"/>
              <w:rPr>
                <w:rFonts w:eastAsia="Arial"/>
                <w:sz w:val="20"/>
                <w:szCs w:val="20"/>
                <w:lang w:val="en-US"/>
              </w:rPr>
            </w:pPr>
          </w:p>
        </w:tc>
        <w:tc>
          <w:tcPr>
            <w:tcW w:w="1304" w:type="dxa"/>
          </w:tcPr>
          <w:p w:rsidR="00417BDB" w:rsidRPr="007C51D6" w:rsidRDefault="00417BDB" w:rsidP="00417BDB">
            <w:pPr>
              <w:jc w:val="both"/>
              <w:rPr>
                <w:rFonts w:eastAsia="Arial"/>
                <w:sz w:val="20"/>
                <w:szCs w:val="20"/>
                <w:lang w:val="en-US"/>
              </w:rPr>
            </w:pPr>
            <w:r w:rsidRPr="007C51D6">
              <w:rPr>
                <w:rFonts w:eastAsia="Arial"/>
                <w:sz w:val="20"/>
                <w:szCs w:val="20"/>
                <w:lang w:val="en-US"/>
              </w:rPr>
              <w:t>II</w:t>
            </w:r>
            <w:r w:rsidRPr="007C51D6">
              <w:rPr>
                <w:rFonts w:eastAsia="Arial"/>
                <w:sz w:val="20"/>
                <w:szCs w:val="20"/>
              </w:rPr>
              <w:t xml:space="preserve"> стадия</w:t>
            </w:r>
          </w:p>
        </w:tc>
        <w:tc>
          <w:tcPr>
            <w:tcW w:w="1210"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63,2</w:t>
            </w:r>
          </w:p>
        </w:tc>
        <w:tc>
          <w:tcPr>
            <w:tcW w:w="1211"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81,8</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63,9</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34,4</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77,8</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54,2</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39,3</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46,4</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67,9</w:t>
            </w:r>
          </w:p>
        </w:tc>
        <w:tc>
          <w:tcPr>
            <w:tcW w:w="1213" w:type="dxa"/>
            <w:vAlign w:val="bottom"/>
          </w:tcPr>
          <w:p w:rsidR="00417BDB" w:rsidRPr="007C51D6" w:rsidRDefault="00417BDB" w:rsidP="00417BDB">
            <w:pPr>
              <w:jc w:val="center"/>
              <w:rPr>
                <w:color w:val="000000"/>
                <w:sz w:val="20"/>
                <w:szCs w:val="20"/>
              </w:rPr>
            </w:pPr>
            <w:r w:rsidRPr="007C51D6">
              <w:rPr>
                <w:color w:val="000000"/>
                <w:sz w:val="20"/>
                <w:szCs w:val="20"/>
              </w:rPr>
              <w:t>36,0</w:t>
            </w:r>
          </w:p>
        </w:tc>
      </w:tr>
      <w:tr w:rsidR="00417BDB" w:rsidRPr="007C51D6" w:rsidTr="00742D16">
        <w:trPr>
          <w:trHeight w:val="20"/>
        </w:trPr>
        <w:tc>
          <w:tcPr>
            <w:tcW w:w="1696" w:type="dxa"/>
            <w:vMerge/>
          </w:tcPr>
          <w:p w:rsidR="00417BDB" w:rsidRPr="007C51D6" w:rsidRDefault="00417BDB" w:rsidP="00417BDB">
            <w:pPr>
              <w:jc w:val="both"/>
              <w:rPr>
                <w:rFonts w:eastAsia="Arial"/>
                <w:sz w:val="20"/>
                <w:szCs w:val="20"/>
                <w:lang w:val="en-US"/>
              </w:rPr>
            </w:pPr>
          </w:p>
        </w:tc>
        <w:tc>
          <w:tcPr>
            <w:tcW w:w="1304" w:type="dxa"/>
          </w:tcPr>
          <w:p w:rsidR="00417BDB" w:rsidRPr="007C51D6" w:rsidRDefault="00417BDB" w:rsidP="00417BDB">
            <w:pPr>
              <w:jc w:val="both"/>
              <w:rPr>
                <w:rFonts w:eastAsia="Arial"/>
                <w:sz w:val="20"/>
                <w:szCs w:val="20"/>
                <w:lang w:val="en-US"/>
              </w:rPr>
            </w:pPr>
            <w:r w:rsidRPr="007C51D6">
              <w:rPr>
                <w:rFonts w:eastAsia="Arial"/>
                <w:sz w:val="20"/>
                <w:szCs w:val="20"/>
                <w:lang w:val="en-US"/>
              </w:rPr>
              <w:t>III</w:t>
            </w:r>
            <w:r w:rsidRPr="007C51D6">
              <w:rPr>
                <w:rFonts w:eastAsia="Arial"/>
                <w:sz w:val="20"/>
                <w:szCs w:val="20"/>
              </w:rPr>
              <w:t xml:space="preserve"> стадия</w:t>
            </w:r>
          </w:p>
        </w:tc>
        <w:tc>
          <w:tcPr>
            <w:tcW w:w="1210"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5,3</w:t>
            </w:r>
          </w:p>
        </w:tc>
        <w:tc>
          <w:tcPr>
            <w:tcW w:w="1211"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9,1</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8,3</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15,6</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0</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8,3</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10,7</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21,4</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14,3</w:t>
            </w:r>
          </w:p>
        </w:tc>
        <w:tc>
          <w:tcPr>
            <w:tcW w:w="1213" w:type="dxa"/>
            <w:vAlign w:val="bottom"/>
          </w:tcPr>
          <w:p w:rsidR="00417BDB" w:rsidRPr="007C51D6" w:rsidRDefault="00417BDB" w:rsidP="00417BDB">
            <w:pPr>
              <w:jc w:val="center"/>
              <w:rPr>
                <w:color w:val="000000"/>
                <w:sz w:val="20"/>
                <w:szCs w:val="20"/>
              </w:rPr>
            </w:pPr>
            <w:r w:rsidRPr="007C51D6">
              <w:rPr>
                <w:color w:val="000000"/>
                <w:sz w:val="20"/>
                <w:szCs w:val="20"/>
              </w:rPr>
              <w:t>16,0</w:t>
            </w:r>
          </w:p>
        </w:tc>
      </w:tr>
      <w:tr w:rsidR="00417BDB" w:rsidRPr="007C51D6" w:rsidTr="00742D16">
        <w:trPr>
          <w:trHeight w:val="20"/>
        </w:trPr>
        <w:tc>
          <w:tcPr>
            <w:tcW w:w="1696" w:type="dxa"/>
            <w:vMerge/>
          </w:tcPr>
          <w:p w:rsidR="00417BDB" w:rsidRPr="007C51D6" w:rsidRDefault="00417BDB" w:rsidP="00417BDB">
            <w:pPr>
              <w:jc w:val="both"/>
              <w:rPr>
                <w:rFonts w:eastAsia="Arial"/>
                <w:sz w:val="20"/>
                <w:szCs w:val="20"/>
                <w:lang w:val="en-US"/>
              </w:rPr>
            </w:pPr>
          </w:p>
        </w:tc>
        <w:tc>
          <w:tcPr>
            <w:tcW w:w="1304" w:type="dxa"/>
          </w:tcPr>
          <w:p w:rsidR="00417BDB" w:rsidRPr="007C51D6" w:rsidRDefault="00417BDB" w:rsidP="00417BDB">
            <w:pPr>
              <w:jc w:val="both"/>
            </w:pPr>
            <w:r w:rsidRPr="007C51D6">
              <w:rPr>
                <w:rFonts w:eastAsia="Arial"/>
                <w:sz w:val="20"/>
                <w:szCs w:val="20"/>
                <w:lang w:val="en-US"/>
              </w:rPr>
              <w:t>IV</w:t>
            </w:r>
            <w:r w:rsidRPr="007C51D6">
              <w:rPr>
                <w:rFonts w:eastAsia="Arial"/>
                <w:sz w:val="20"/>
                <w:szCs w:val="20"/>
              </w:rPr>
              <w:t xml:space="preserve"> стадия</w:t>
            </w:r>
          </w:p>
        </w:tc>
        <w:tc>
          <w:tcPr>
            <w:tcW w:w="1210"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5,3</w:t>
            </w:r>
          </w:p>
        </w:tc>
        <w:tc>
          <w:tcPr>
            <w:tcW w:w="1211"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0</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2,8</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6,3</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11,1</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8,3</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10,7</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0</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3,6</w:t>
            </w:r>
          </w:p>
        </w:tc>
        <w:tc>
          <w:tcPr>
            <w:tcW w:w="1213" w:type="dxa"/>
            <w:vAlign w:val="bottom"/>
          </w:tcPr>
          <w:p w:rsidR="00417BDB" w:rsidRPr="007C51D6" w:rsidRDefault="00417BDB" w:rsidP="00417BDB">
            <w:pPr>
              <w:jc w:val="center"/>
              <w:rPr>
                <w:color w:val="000000"/>
                <w:sz w:val="20"/>
                <w:szCs w:val="20"/>
              </w:rPr>
            </w:pPr>
            <w:r w:rsidRPr="007C51D6">
              <w:rPr>
                <w:color w:val="000000"/>
                <w:sz w:val="20"/>
                <w:szCs w:val="20"/>
              </w:rPr>
              <w:t>12,0</w:t>
            </w:r>
          </w:p>
        </w:tc>
      </w:tr>
      <w:tr w:rsidR="00417BDB" w:rsidRPr="007C51D6" w:rsidTr="00742D16">
        <w:trPr>
          <w:trHeight w:val="20"/>
        </w:trPr>
        <w:tc>
          <w:tcPr>
            <w:tcW w:w="1696" w:type="dxa"/>
            <w:vMerge/>
          </w:tcPr>
          <w:p w:rsidR="00417BDB" w:rsidRPr="007C51D6" w:rsidRDefault="00417BDB" w:rsidP="00417BDB">
            <w:pPr>
              <w:autoSpaceDE/>
              <w:autoSpaceDN/>
              <w:adjustRightInd/>
              <w:jc w:val="both"/>
              <w:rPr>
                <w:rFonts w:eastAsia="Arial"/>
                <w:sz w:val="20"/>
                <w:szCs w:val="20"/>
              </w:rPr>
            </w:pPr>
          </w:p>
        </w:tc>
        <w:tc>
          <w:tcPr>
            <w:tcW w:w="1304" w:type="dxa"/>
          </w:tcPr>
          <w:p w:rsidR="00417BDB" w:rsidRPr="007C51D6" w:rsidRDefault="00417BDB" w:rsidP="00417BDB">
            <w:pPr>
              <w:autoSpaceDE/>
              <w:autoSpaceDN/>
              <w:adjustRightInd/>
              <w:jc w:val="both"/>
              <w:rPr>
                <w:rFonts w:eastAsia="Arial"/>
                <w:sz w:val="20"/>
                <w:szCs w:val="20"/>
              </w:rPr>
            </w:pPr>
            <w:r w:rsidRPr="007C51D6">
              <w:rPr>
                <w:rFonts w:eastAsia="Arial"/>
                <w:sz w:val="20"/>
                <w:szCs w:val="20"/>
              </w:rPr>
              <w:t>без стадии</w:t>
            </w:r>
          </w:p>
        </w:tc>
        <w:tc>
          <w:tcPr>
            <w:tcW w:w="1210"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0</w:t>
            </w:r>
          </w:p>
        </w:tc>
        <w:tc>
          <w:tcPr>
            <w:tcW w:w="1211"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0</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0</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0</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0</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0</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0</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0</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0</w:t>
            </w:r>
          </w:p>
        </w:tc>
        <w:tc>
          <w:tcPr>
            <w:tcW w:w="1213" w:type="dxa"/>
            <w:vAlign w:val="center"/>
          </w:tcPr>
          <w:p w:rsidR="00417BDB" w:rsidRPr="007C51D6" w:rsidRDefault="00417BDB" w:rsidP="00417BDB">
            <w:pPr>
              <w:jc w:val="center"/>
              <w:rPr>
                <w:color w:val="000000"/>
                <w:sz w:val="20"/>
                <w:szCs w:val="20"/>
              </w:rPr>
            </w:pPr>
            <w:r w:rsidRPr="007C51D6">
              <w:rPr>
                <w:color w:val="000000"/>
                <w:sz w:val="20"/>
                <w:szCs w:val="20"/>
              </w:rPr>
              <w:t>0</w:t>
            </w:r>
          </w:p>
        </w:tc>
      </w:tr>
      <w:tr w:rsidR="00417BDB" w:rsidRPr="007C51D6" w:rsidTr="00742D16">
        <w:trPr>
          <w:trHeight w:val="20"/>
        </w:trPr>
        <w:tc>
          <w:tcPr>
            <w:tcW w:w="1696" w:type="dxa"/>
            <w:vMerge w:val="restart"/>
          </w:tcPr>
          <w:p w:rsidR="00417BDB" w:rsidRPr="007C51D6" w:rsidRDefault="00417BDB" w:rsidP="00417BDB">
            <w:pPr>
              <w:jc w:val="both"/>
              <w:rPr>
                <w:rFonts w:eastAsia="Arial"/>
                <w:sz w:val="20"/>
                <w:szCs w:val="20"/>
              </w:rPr>
            </w:pPr>
            <w:r w:rsidRPr="007C51D6">
              <w:rPr>
                <w:rFonts w:eastAsia="Arial"/>
                <w:sz w:val="20"/>
                <w:szCs w:val="20"/>
              </w:rPr>
              <w:t>ЗНО щитовидной железы (С73)</w:t>
            </w:r>
          </w:p>
        </w:tc>
        <w:tc>
          <w:tcPr>
            <w:tcW w:w="1304" w:type="dxa"/>
          </w:tcPr>
          <w:p w:rsidR="00417BDB" w:rsidRPr="007C51D6" w:rsidRDefault="00417BDB" w:rsidP="00417BDB">
            <w:pPr>
              <w:autoSpaceDE/>
              <w:autoSpaceDN/>
              <w:adjustRightInd/>
              <w:jc w:val="both"/>
              <w:rPr>
                <w:rFonts w:eastAsia="Arial"/>
                <w:sz w:val="20"/>
                <w:szCs w:val="20"/>
              </w:rPr>
            </w:pPr>
            <w:r w:rsidRPr="007C51D6">
              <w:rPr>
                <w:rFonts w:eastAsia="Arial"/>
                <w:sz w:val="20"/>
                <w:szCs w:val="20"/>
                <w:lang w:val="en-US"/>
              </w:rPr>
              <w:t>I</w:t>
            </w:r>
            <w:r w:rsidRPr="007C51D6">
              <w:rPr>
                <w:rFonts w:eastAsia="Arial"/>
                <w:sz w:val="20"/>
                <w:szCs w:val="20"/>
              </w:rPr>
              <w:t xml:space="preserve"> стадия</w:t>
            </w:r>
          </w:p>
        </w:tc>
        <w:tc>
          <w:tcPr>
            <w:tcW w:w="1210"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48,5</w:t>
            </w:r>
          </w:p>
        </w:tc>
        <w:tc>
          <w:tcPr>
            <w:tcW w:w="1211"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49,2</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57,0</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63,9</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60,1</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73,4</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73,0</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82,5</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84,1</w:t>
            </w:r>
          </w:p>
        </w:tc>
        <w:tc>
          <w:tcPr>
            <w:tcW w:w="1213" w:type="dxa"/>
            <w:vAlign w:val="bottom"/>
          </w:tcPr>
          <w:p w:rsidR="00417BDB" w:rsidRPr="007C51D6" w:rsidRDefault="00417BDB" w:rsidP="00417BDB">
            <w:pPr>
              <w:widowControl/>
              <w:autoSpaceDE/>
              <w:autoSpaceDN/>
              <w:adjustRightInd/>
              <w:jc w:val="center"/>
              <w:rPr>
                <w:color w:val="000000"/>
                <w:sz w:val="20"/>
                <w:szCs w:val="20"/>
              </w:rPr>
            </w:pPr>
            <w:r w:rsidRPr="007C51D6">
              <w:rPr>
                <w:color w:val="000000"/>
                <w:sz w:val="20"/>
                <w:szCs w:val="20"/>
              </w:rPr>
              <w:t>83,4</w:t>
            </w:r>
          </w:p>
        </w:tc>
      </w:tr>
      <w:tr w:rsidR="00417BDB" w:rsidRPr="007C51D6" w:rsidTr="00742D16">
        <w:trPr>
          <w:trHeight w:val="20"/>
        </w:trPr>
        <w:tc>
          <w:tcPr>
            <w:tcW w:w="1696" w:type="dxa"/>
            <w:vMerge/>
          </w:tcPr>
          <w:p w:rsidR="00417BDB" w:rsidRPr="007C51D6" w:rsidRDefault="00417BDB" w:rsidP="00417BDB">
            <w:pPr>
              <w:jc w:val="both"/>
              <w:rPr>
                <w:rFonts w:eastAsia="Arial"/>
                <w:sz w:val="20"/>
                <w:szCs w:val="20"/>
                <w:lang w:val="en-US"/>
              </w:rPr>
            </w:pPr>
          </w:p>
        </w:tc>
        <w:tc>
          <w:tcPr>
            <w:tcW w:w="1304" w:type="dxa"/>
          </w:tcPr>
          <w:p w:rsidR="00417BDB" w:rsidRPr="007C51D6" w:rsidRDefault="00417BDB" w:rsidP="00417BDB">
            <w:pPr>
              <w:jc w:val="both"/>
              <w:rPr>
                <w:rFonts w:eastAsia="Arial"/>
                <w:sz w:val="20"/>
                <w:szCs w:val="20"/>
                <w:lang w:val="en-US"/>
              </w:rPr>
            </w:pPr>
            <w:r w:rsidRPr="007C51D6">
              <w:rPr>
                <w:rFonts w:eastAsia="Arial"/>
                <w:sz w:val="20"/>
                <w:szCs w:val="20"/>
                <w:lang w:val="en-US"/>
              </w:rPr>
              <w:t>II</w:t>
            </w:r>
            <w:r w:rsidRPr="007C51D6">
              <w:rPr>
                <w:rFonts w:eastAsia="Arial"/>
                <w:sz w:val="20"/>
                <w:szCs w:val="20"/>
              </w:rPr>
              <w:t xml:space="preserve"> стадия</w:t>
            </w:r>
          </w:p>
        </w:tc>
        <w:tc>
          <w:tcPr>
            <w:tcW w:w="1210"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28,6</w:t>
            </w:r>
          </w:p>
        </w:tc>
        <w:tc>
          <w:tcPr>
            <w:tcW w:w="1211"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30,7</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22,5</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20,6</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27,0</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16,7</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16,1</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10,9</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8,4</w:t>
            </w:r>
          </w:p>
        </w:tc>
        <w:tc>
          <w:tcPr>
            <w:tcW w:w="1213" w:type="dxa"/>
            <w:vAlign w:val="bottom"/>
          </w:tcPr>
          <w:p w:rsidR="00417BDB" w:rsidRPr="007C51D6" w:rsidRDefault="00417BDB" w:rsidP="00417BDB">
            <w:pPr>
              <w:jc w:val="center"/>
              <w:rPr>
                <w:color w:val="000000"/>
                <w:sz w:val="20"/>
                <w:szCs w:val="20"/>
              </w:rPr>
            </w:pPr>
            <w:r w:rsidRPr="007C51D6">
              <w:rPr>
                <w:color w:val="000000"/>
                <w:sz w:val="20"/>
                <w:szCs w:val="20"/>
              </w:rPr>
              <w:t>9,9</w:t>
            </w:r>
          </w:p>
        </w:tc>
      </w:tr>
      <w:tr w:rsidR="00417BDB" w:rsidRPr="007C51D6" w:rsidTr="00742D16">
        <w:trPr>
          <w:trHeight w:val="20"/>
        </w:trPr>
        <w:tc>
          <w:tcPr>
            <w:tcW w:w="1696" w:type="dxa"/>
            <w:vMerge/>
          </w:tcPr>
          <w:p w:rsidR="00417BDB" w:rsidRPr="007C51D6" w:rsidRDefault="00417BDB" w:rsidP="00417BDB">
            <w:pPr>
              <w:jc w:val="both"/>
              <w:rPr>
                <w:rFonts w:eastAsia="Arial"/>
                <w:sz w:val="20"/>
                <w:szCs w:val="20"/>
                <w:lang w:val="en-US"/>
              </w:rPr>
            </w:pPr>
          </w:p>
        </w:tc>
        <w:tc>
          <w:tcPr>
            <w:tcW w:w="1304" w:type="dxa"/>
          </w:tcPr>
          <w:p w:rsidR="00417BDB" w:rsidRPr="007C51D6" w:rsidRDefault="00417BDB" w:rsidP="00417BDB">
            <w:pPr>
              <w:jc w:val="both"/>
              <w:rPr>
                <w:rFonts w:eastAsia="Arial"/>
                <w:sz w:val="20"/>
                <w:szCs w:val="20"/>
                <w:lang w:val="en-US"/>
              </w:rPr>
            </w:pPr>
            <w:r w:rsidRPr="007C51D6">
              <w:rPr>
                <w:rFonts w:eastAsia="Arial"/>
                <w:sz w:val="20"/>
                <w:szCs w:val="20"/>
                <w:lang w:val="en-US"/>
              </w:rPr>
              <w:t>III</w:t>
            </w:r>
            <w:r w:rsidRPr="007C51D6">
              <w:rPr>
                <w:rFonts w:eastAsia="Arial"/>
                <w:sz w:val="20"/>
                <w:szCs w:val="20"/>
              </w:rPr>
              <w:t xml:space="preserve"> стадия</w:t>
            </w:r>
          </w:p>
        </w:tc>
        <w:tc>
          <w:tcPr>
            <w:tcW w:w="1210"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15,0</w:t>
            </w:r>
          </w:p>
        </w:tc>
        <w:tc>
          <w:tcPr>
            <w:tcW w:w="1211"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16,3</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17,9</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11,5</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10,1</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7,2</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6,1</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3,9</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5,6</w:t>
            </w:r>
          </w:p>
        </w:tc>
        <w:tc>
          <w:tcPr>
            <w:tcW w:w="1213" w:type="dxa"/>
            <w:vAlign w:val="bottom"/>
          </w:tcPr>
          <w:p w:rsidR="00417BDB" w:rsidRPr="007C51D6" w:rsidRDefault="00417BDB" w:rsidP="00417BDB">
            <w:pPr>
              <w:jc w:val="center"/>
              <w:rPr>
                <w:color w:val="000000"/>
                <w:sz w:val="20"/>
                <w:szCs w:val="20"/>
              </w:rPr>
            </w:pPr>
            <w:r w:rsidRPr="007C51D6">
              <w:rPr>
                <w:color w:val="000000"/>
                <w:sz w:val="20"/>
                <w:szCs w:val="20"/>
              </w:rPr>
              <w:t>3,9</w:t>
            </w:r>
          </w:p>
        </w:tc>
      </w:tr>
      <w:tr w:rsidR="00417BDB" w:rsidRPr="007C51D6" w:rsidTr="00742D16">
        <w:trPr>
          <w:trHeight w:val="20"/>
        </w:trPr>
        <w:tc>
          <w:tcPr>
            <w:tcW w:w="1696" w:type="dxa"/>
            <w:vMerge/>
          </w:tcPr>
          <w:p w:rsidR="00417BDB" w:rsidRPr="007C51D6" w:rsidRDefault="00417BDB" w:rsidP="00417BDB">
            <w:pPr>
              <w:jc w:val="both"/>
              <w:rPr>
                <w:rFonts w:eastAsia="Arial"/>
                <w:sz w:val="20"/>
                <w:szCs w:val="20"/>
                <w:lang w:val="en-US"/>
              </w:rPr>
            </w:pPr>
          </w:p>
        </w:tc>
        <w:tc>
          <w:tcPr>
            <w:tcW w:w="1304" w:type="dxa"/>
          </w:tcPr>
          <w:p w:rsidR="00417BDB" w:rsidRPr="007C51D6" w:rsidRDefault="00417BDB" w:rsidP="00417BDB">
            <w:pPr>
              <w:jc w:val="both"/>
            </w:pPr>
            <w:r w:rsidRPr="007C51D6">
              <w:rPr>
                <w:rFonts w:eastAsia="Arial"/>
                <w:sz w:val="20"/>
                <w:szCs w:val="20"/>
                <w:lang w:val="en-US"/>
              </w:rPr>
              <w:t>IV</w:t>
            </w:r>
            <w:r w:rsidRPr="007C51D6">
              <w:rPr>
                <w:rFonts w:eastAsia="Arial"/>
                <w:sz w:val="20"/>
                <w:szCs w:val="20"/>
              </w:rPr>
              <w:t xml:space="preserve"> стадия</w:t>
            </w:r>
          </w:p>
        </w:tc>
        <w:tc>
          <w:tcPr>
            <w:tcW w:w="1210"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7,9</w:t>
            </w:r>
          </w:p>
        </w:tc>
        <w:tc>
          <w:tcPr>
            <w:tcW w:w="1211"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3,8</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2,6</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3,9</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2,8</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2,6</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4,8</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2,7</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1,8</w:t>
            </w:r>
          </w:p>
        </w:tc>
        <w:tc>
          <w:tcPr>
            <w:tcW w:w="1213" w:type="dxa"/>
            <w:vAlign w:val="bottom"/>
          </w:tcPr>
          <w:p w:rsidR="00417BDB" w:rsidRPr="007C51D6" w:rsidRDefault="00417BDB" w:rsidP="00417BDB">
            <w:pPr>
              <w:jc w:val="center"/>
              <w:rPr>
                <w:color w:val="000000"/>
                <w:sz w:val="20"/>
                <w:szCs w:val="20"/>
              </w:rPr>
            </w:pPr>
            <w:r w:rsidRPr="007C51D6">
              <w:rPr>
                <w:color w:val="000000"/>
                <w:sz w:val="20"/>
                <w:szCs w:val="20"/>
              </w:rPr>
              <w:t>2,8</w:t>
            </w:r>
          </w:p>
        </w:tc>
      </w:tr>
      <w:tr w:rsidR="00417BDB" w:rsidRPr="007C51D6" w:rsidTr="00742D16">
        <w:trPr>
          <w:trHeight w:val="20"/>
        </w:trPr>
        <w:tc>
          <w:tcPr>
            <w:tcW w:w="1696" w:type="dxa"/>
            <w:vMerge/>
          </w:tcPr>
          <w:p w:rsidR="00417BDB" w:rsidRPr="007C51D6" w:rsidRDefault="00417BDB" w:rsidP="00417BDB">
            <w:pPr>
              <w:autoSpaceDE/>
              <w:autoSpaceDN/>
              <w:adjustRightInd/>
              <w:jc w:val="both"/>
              <w:rPr>
                <w:rFonts w:eastAsia="Arial"/>
                <w:sz w:val="20"/>
                <w:szCs w:val="20"/>
              </w:rPr>
            </w:pPr>
          </w:p>
        </w:tc>
        <w:tc>
          <w:tcPr>
            <w:tcW w:w="1304" w:type="dxa"/>
          </w:tcPr>
          <w:p w:rsidR="00417BDB" w:rsidRPr="007C51D6" w:rsidRDefault="00417BDB" w:rsidP="00417BDB">
            <w:pPr>
              <w:autoSpaceDE/>
              <w:autoSpaceDN/>
              <w:adjustRightInd/>
              <w:jc w:val="both"/>
              <w:rPr>
                <w:rFonts w:eastAsia="Arial"/>
                <w:sz w:val="20"/>
                <w:szCs w:val="20"/>
              </w:rPr>
            </w:pPr>
            <w:r w:rsidRPr="007C51D6">
              <w:rPr>
                <w:rFonts w:eastAsia="Arial"/>
                <w:sz w:val="20"/>
                <w:szCs w:val="20"/>
              </w:rPr>
              <w:t>без стадии</w:t>
            </w:r>
          </w:p>
        </w:tc>
        <w:tc>
          <w:tcPr>
            <w:tcW w:w="1210"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0</w:t>
            </w:r>
          </w:p>
        </w:tc>
        <w:tc>
          <w:tcPr>
            <w:tcW w:w="1211"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0</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0</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0</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0</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0</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0</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0</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0,2</w:t>
            </w:r>
          </w:p>
        </w:tc>
        <w:tc>
          <w:tcPr>
            <w:tcW w:w="1213" w:type="dxa"/>
            <w:vAlign w:val="center"/>
          </w:tcPr>
          <w:p w:rsidR="00417BDB" w:rsidRPr="007C51D6" w:rsidRDefault="00417BDB" w:rsidP="00417BDB">
            <w:pPr>
              <w:jc w:val="center"/>
              <w:rPr>
                <w:color w:val="000000"/>
                <w:sz w:val="20"/>
                <w:szCs w:val="20"/>
              </w:rPr>
            </w:pPr>
            <w:r w:rsidRPr="007C51D6">
              <w:rPr>
                <w:color w:val="000000"/>
                <w:sz w:val="20"/>
                <w:szCs w:val="20"/>
              </w:rPr>
              <w:t>0</w:t>
            </w:r>
          </w:p>
        </w:tc>
      </w:tr>
      <w:tr w:rsidR="00417BDB" w:rsidRPr="007C51D6" w:rsidTr="00742D16">
        <w:trPr>
          <w:trHeight w:val="20"/>
        </w:trPr>
        <w:tc>
          <w:tcPr>
            <w:tcW w:w="1696" w:type="dxa"/>
            <w:vMerge w:val="restart"/>
          </w:tcPr>
          <w:p w:rsidR="00417BDB" w:rsidRPr="007C51D6" w:rsidRDefault="00417BDB" w:rsidP="00417BDB">
            <w:pPr>
              <w:jc w:val="both"/>
              <w:rPr>
                <w:rFonts w:eastAsia="Arial"/>
                <w:sz w:val="20"/>
                <w:szCs w:val="20"/>
              </w:rPr>
            </w:pPr>
            <w:r w:rsidRPr="007C51D6">
              <w:rPr>
                <w:rFonts w:eastAsia="Arial"/>
                <w:sz w:val="20"/>
                <w:szCs w:val="20"/>
              </w:rPr>
              <w:t>Меланома кожи (С43)</w:t>
            </w:r>
          </w:p>
        </w:tc>
        <w:tc>
          <w:tcPr>
            <w:tcW w:w="1304" w:type="dxa"/>
          </w:tcPr>
          <w:p w:rsidR="00417BDB" w:rsidRPr="007C51D6" w:rsidRDefault="00417BDB" w:rsidP="00417BDB">
            <w:pPr>
              <w:autoSpaceDE/>
              <w:autoSpaceDN/>
              <w:adjustRightInd/>
              <w:jc w:val="both"/>
              <w:rPr>
                <w:rFonts w:eastAsia="Arial"/>
                <w:sz w:val="20"/>
                <w:szCs w:val="20"/>
              </w:rPr>
            </w:pPr>
            <w:r w:rsidRPr="007C51D6">
              <w:rPr>
                <w:rFonts w:eastAsia="Arial"/>
                <w:sz w:val="20"/>
                <w:szCs w:val="20"/>
                <w:lang w:val="en-US"/>
              </w:rPr>
              <w:t>I</w:t>
            </w:r>
            <w:r w:rsidRPr="007C51D6">
              <w:rPr>
                <w:rFonts w:eastAsia="Arial"/>
                <w:sz w:val="20"/>
                <w:szCs w:val="20"/>
              </w:rPr>
              <w:t xml:space="preserve"> стадия</w:t>
            </w:r>
          </w:p>
        </w:tc>
        <w:tc>
          <w:tcPr>
            <w:tcW w:w="1210"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27,5</w:t>
            </w:r>
          </w:p>
        </w:tc>
        <w:tc>
          <w:tcPr>
            <w:tcW w:w="1211"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23,0</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28,6</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32,6</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32,6</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37,2</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39,3</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44,9</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46,4</w:t>
            </w:r>
          </w:p>
        </w:tc>
        <w:tc>
          <w:tcPr>
            <w:tcW w:w="1213" w:type="dxa"/>
            <w:vAlign w:val="bottom"/>
          </w:tcPr>
          <w:p w:rsidR="00417BDB" w:rsidRPr="007C51D6" w:rsidRDefault="00417BDB" w:rsidP="00417BDB">
            <w:pPr>
              <w:widowControl/>
              <w:autoSpaceDE/>
              <w:autoSpaceDN/>
              <w:adjustRightInd/>
              <w:jc w:val="center"/>
              <w:rPr>
                <w:color w:val="000000"/>
                <w:sz w:val="20"/>
                <w:szCs w:val="20"/>
              </w:rPr>
            </w:pPr>
            <w:r w:rsidRPr="007C51D6">
              <w:rPr>
                <w:color w:val="000000"/>
                <w:sz w:val="20"/>
                <w:szCs w:val="20"/>
              </w:rPr>
              <w:t>54,5</w:t>
            </w:r>
          </w:p>
        </w:tc>
      </w:tr>
      <w:tr w:rsidR="00417BDB" w:rsidRPr="007C51D6" w:rsidTr="00742D16">
        <w:trPr>
          <w:trHeight w:val="20"/>
        </w:trPr>
        <w:tc>
          <w:tcPr>
            <w:tcW w:w="1696" w:type="dxa"/>
            <w:vMerge/>
          </w:tcPr>
          <w:p w:rsidR="00417BDB" w:rsidRPr="007C51D6" w:rsidRDefault="00417BDB" w:rsidP="00417BDB">
            <w:pPr>
              <w:jc w:val="both"/>
              <w:rPr>
                <w:rFonts w:eastAsia="Arial"/>
                <w:sz w:val="20"/>
                <w:szCs w:val="20"/>
                <w:lang w:val="en-US"/>
              </w:rPr>
            </w:pPr>
          </w:p>
        </w:tc>
        <w:tc>
          <w:tcPr>
            <w:tcW w:w="1304" w:type="dxa"/>
          </w:tcPr>
          <w:p w:rsidR="00417BDB" w:rsidRPr="007C51D6" w:rsidRDefault="00417BDB" w:rsidP="00417BDB">
            <w:pPr>
              <w:jc w:val="both"/>
              <w:rPr>
                <w:rFonts w:eastAsia="Arial"/>
                <w:sz w:val="20"/>
                <w:szCs w:val="20"/>
                <w:lang w:val="en-US"/>
              </w:rPr>
            </w:pPr>
            <w:r w:rsidRPr="007C51D6">
              <w:rPr>
                <w:rFonts w:eastAsia="Arial"/>
                <w:sz w:val="20"/>
                <w:szCs w:val="20"/>
                <w:lang w:val="en-US"/>
              </w:rPr>
              <w:t>II</w:t>
            </w:r>
            <w:r w:rsidRPr="007C51D6">
              <w:rPr>
                <w:rFonts w:eastAsia="Arial"/>
                <w:sz w:val="20"/>
                <w:szCs w:val="20"/>
              </w:rPr>
              <w:t xml:space="preserve"> стадия</w:t>
            </w:r>
          </w:p>
        </w:tc>
        <w:tc>
          <w:tcPr>
            <w:tcW w:w="1210"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36,8</w:t>
            </w:r>
          </w:p>
        </w:tc>
        <w:tc>
          <w:tcPr>
            <w:tcW w:w="1211"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41,0</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40,4</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34,8</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39,3</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36,5</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40,7</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29,7</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31,6</w:t>
            </w:r>
          </w:p>
        </w:tc>
        <w:tc>
          <w:tcPr>
            <w:tcW w:w="1213" w:type="dxa"/>
            <w:vAlign w:val="bottom"/>
          </w:tcPr>
          <w:p w:rsidR="00417BDB" w:rsidRPr="007C51D6" w:rsidRDefault="00417BDB" w:rsidP="00417BDB">
            <w:pPr>
              <w:jc w:val="center"/>
              <w:rPr>
                <w:color w:val="000000"/>
                <w:sz w:val="20"/>
                <w:szCs w:val="20"/>
              </w:rPr>
            </w:pPr>
            <w:r w:rsidRPr="007C51D6">
              <w:rPr>
                <w:color w:val="000000"/>
                <w:sz w:val="20"/>
                <w:szCs w:val="20"/>
              </w:rPr>
              <w:t>29,9</w:t>
            </w:r>
          </w:p>
        </w:tc>
      </w:tr>
      <w:tr w:rsidR="00417BDB" w:rsidRPr="007C51D6" w:rsidTr="00742D16">
        <w:trPr>
          <w:trHeight w:val="20"/>
        </w:trPr>
        <w:tc>
          <w:tcPr>
            <w:tcW w:w="1696" w:type="dxa"/>
            <w:vMerge/>
          </w:tcPr>
          <w:p w:rsidR="00417BDB" w:rsidRPr="007C51D6" w:rsidRDefault="00417BDB" w:rsidP="00417BDB">
            <w:pPr>
              <w:jc w:val="both"/>
              <w:rPr>
                <w:rFonts w:eastAsia="Arial"/>
                <w:sz w:val="20"/>
                <w:szCs w:val="20"/>
                <w:lang w:val="en-US"/>
              </w:rPr>
            </w:pPr>
          </w:p>
        </w:tc>
        <w:tc>
          <w:tcPr>
            <w:tcW w:w="1304" w:type="dxa"/>
          </w:tcPr>
          <w:p w:rsidR="00417BDB" w:rsidRPr="007C51D6" w:rsidRDefault="00417BDB" w:rsidP="00417BDB">
            <w:pPr>
              <w:jc w:val="both"/>
              <w:rPr>
                <w:rFonts w:eastAsia="Arial"/>
                <w:sz w:val="20"/>
                <w:szCs w:val="20"/>
                <w:lang w:val="en-US"/>
              </w:rPr>
            </w:pPr>
            <w:r w:rsidRPr="007C51D6">
              <w:rPr>
                <w:rFonts w:eastAsia="Arial"/>
                <w:sz w:val="20"/>
                <w:szCs w:val="20"/>
                <w:lang w:val="en-US"/>
              </w:rPr>
              <w:t>III</w:t>
            </w:r>
            <w:r w:rsidRPr="007C51D6">
              <w:rPr>
                <w:rFonts w:eastAsia="Arial"/>
                <w:sz w:val="20"/>
                <w:szCs w:val="20"/>
              </w:rPr>
              <w:t xml:space="preserve"> стадия</w:t>
            </w:r>
          </w:p>
        </w:tc>
        <w:tc>
          <w:tcPr>
            <w:tcW w:w="1210"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22,8</w:t>
            </w:r>
          </w:p>
        </w:tc>
        <w:tc>
          <w:tcPr>
            <w:tcW w:w="1211"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24,8</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18,8</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21,1</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14,3</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18,8</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13,3</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17,6</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13,6</w:t>
            </w:r>
          </w:p>
        </w:tc>
        <w:tc>
          <w:tcPr>
            <w:tcW w:w="1213" w:type="dxa"/>
            <w:vAlign w:val="bottom"/>
          </w:tcPr>
          <w:p w:rsidR="00417BDB" w:rsidRPr="007C51D6" w:rsidRDefault="00417BDB" w:rsidP="00417BDB">
            <w:pPr>
              <w:jc w:val="center"/>
              <w:rPr>
                <w:color w:val="000000"/>
                <w:sz w:val="20"/>
                <w:szCs w:val="20"/>
              </w:rPr>
            </w:pPr>
            <w:r w:rsidRPr="007C51D6">
              <w:rPr>
                <w:color w:val="000000"/>
                <w:sz w:val="20"/>
                <w:szCs w:val="20"/>
              </w:rPr>
              <w:t>9,0</w:t>
            </w:r>
          </w:p>
        </w:tc>
      </w:tr>
      <w:tr w:rsidR="00417BDB" w:rsidRPr="007C51D6" w:rsidTr="00742D16">
        <w:trPr>
          <w:trHeight w:val="20"/>
        </w:trPr>
        <w:tc>
          <w:tcPr>
            <w:tcW w:w="1696" w:type="dxa"/>
            <w:vMerge/>
          </w:tcPr>
          <w:p w:rsidR="00417BDB" w:rsidRPr="007C51D6" w:rsidRDefault="00417BDB" w:rsidP="00417BDB">
            <w:pPr>
              <w:jc w:val="both"/>
              <w:rPr>
                <w:rFonts w:eastAsia="Arial"/>
                <w:sz w:val="20"/>
                <w:szCs w:val="20"/>
                <w:lang w:val="en-US"/>
              </w:rPr>
            </w:pPr>
          </w:p>
        </w:tc>
        <w:tc>
          <w:tcPr>
            <w:tcW w:w="1304" w:type="dxa"/>
          </w:tcPr>
          <w:p w:rsidR="00417BDB" w:rsidRPr="007C51D6" w:rsidRDefault="00417BDB" w:rsidP="00417BDB">
            <w:pPr>
              <w:jc w:val="both"/>
            </w:pPr>
            <w:r w:rsidRPr="007C51D6">
              <w:rPr>
                <w:rFonts w:eastAsia="Arial"/>
                <w:sz w:val="20"/>
                <w:szCs w:val="20"/>
                <w:lang w:val="en-US"/>
              </w:rPr>
              <w:t>IV</w:t>
            </w:r>
            <w:r w:rsidRPr="007C51D6">
              <w:rPr>
                <w:rFonts w:eastAsia="Arial"/>
                <w:sz w:val="20"/>
                <w:szCs w:val="20"/>
              </w:rPr>
              <w:t xml:space="preserve"> стадия</w:t>
            </w:r>
          </w:p>
        </w:tc>
        <w:tc>
          <w:tcPr>
            <w:tcW w:w="1210"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12,9</w:t>
            </w:r>
          </w:p>
        </w:tc>
        <w:tc>
          <w:tcPr>
            <w:tcW w:w="1211"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9,9</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12,2</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11,5</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13,8</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7,6</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6,7</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7,7</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8,4</w:t>
            </w:r>
          </w:p>
        </w:tc>
        <w:tc>
          <w:tcPr>
            <w:tcW w:w="1213" w:type="dxa"/>
            <w:vAlign w:val="bottom"/>
          </w:tcPr>
          <w:p w:rsidR="00417BDB" w:rsidRPr="007C51D6" w:rsidRDefault="00417BDB" w:rsidP="00417BDB">
            <w:pPr>
              <w:jc w:val="center"/>
              <w:rPr>
                <w:color w:val="000000"/>
                <w:sz w:val="20"/>
                <w:szCs w:val="20"/>
              </w:rPr>
            </w:pPr>
            <w:r w:rsidRPr="007C51D6">
              <w:rPr>
                <w:color w:val="000000"/>
                <w:sz w:val="20"/>
                <w:szCs w:val="20"/>
              </w:rPr>
              <w:t>5,5</w:t>
            </w:r>
          </w:p>
        </w:tc>
      </w:tr>
      <w:tr w:rsidR="00417BDB" w:rsidRPr="007C51D6" w:rsidTr="00742D16">
        <w:trPr>
          <w:trHeight w:val="20"/>
        </w:trPr>
        <w:tc>
          <w:tcPr>
            <w:tcW w:w="1696" w:type="dxa"/>
            <w:vMerge/>
          </w:tcPr>
          <w:p w:rsidR="00417BDB" w:rsidRPr="007C51D6" w:rsidRDefault="00417BDB" w:rsidP="00417BDB">
            <w:pPr>
              <w:autoSpaceDE/>
              <w:autoSpaceDN/>
              <w:adjustRightInd/>
              <w:jc w:val="both"/>
              <w:rPr>
                <w:rFonts w:eastAsia="Arial"/>
                <w:sz w:val="20"/>
                <w:szCs w:val="20"/>
              </w:rPr>
            </w:pPr>
          </w:p>
        </w:tc>
        <w:tc>
          <w:tcPr>
            <w:tcW w:w="1304" w:type="dxa"/>
          </w:tcPr>
          <w:p w:rsidR="00417BDB" w:rsidRPr="007C51D6" w:rsidRDefault="00417BDB" w:rsidP="00417BDB">
            <w:pPr>
              <w:autoSpaceDE/>
              <w:autoSpaceDN/>
              <w:adjustRightInd/>
              <w:jc w:val="both"/>
              <w:rPr>
                <w:rFonts w:eastAsia="Arial"/>
                <w:sz w:val="20"/>
                <w:szCs w:val="20"/>
              </w:rPr>
            </w:pPr>
            <w:r w:rsidRPr="007C51D6">
              <w:rPr>
                <w:rFonts w:eastAsia="Arial"/>
                <w:sz w:val="20"/>
                <w:szCs w:val="20"/>
              </w:rPr>
              <w:t>без стадии</w:t>
            </w:r>
          </w:p>
        </w:tc>
        <w:tc>
          <w:tcPr>
            <w:tcW w:w="1210"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0</w:t>
            </w:r>
          </w:p>
        </w:tc>
        <w:tc>
          <w:tcPr>
            <w:tcW w:w="1211"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1,4</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0</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0</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0</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0</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0</w:t>
            </w:r>
          </w:p>
        </w:tc>
        <w:tc>
          <w:tcPr>
            <w:tcW w:w="1213" w:type="dxa"/>
          </w:tcPr>
          <w:p w:rsidR="00417BDB" w:rsidRPr="007C51D6" w:rsidRDefault="00417BDB" w:rsidP="00417BDB">
            <w:pPr>
              <w:autoSpaceDE/>
              <w:autoSpaceDN/>
              <w:adjustRightInd/>
              <w:jc w:val="center"/>
              <w:rPr>
                <w:rFonts w:eastAsia="Arial"/>
                <w:sz w:val="20"/>
                <w:szCs w:val="20"/>
              </w:rPr>
            </w:pPr>
            <w:r w:rsidRPr="007C51D6">
              <w:rPr>
                <w:rFonts w:eastAsia="Arial"/>
                <w:sz w:val="20"/>
                <w:szCs w:val="20"/>
              </w:rPr>
              <w:t>0</w:t>
            </w:r>
          </w:p>
        </w:tc>
        <w:tc>
          <w:tcPr>
            <w:tcW w:w="1213" w:type="dxa"/>
          </w:tcPr>
          <w:p w:rsidR="00417BDB" w:rsidRPr="007C51D6" w:rsidRDefault="00417BDB" w:rsidP="00417BDB">
            <w:pPr>
              <w:autoSpaceDE/>
              <w:autoSpaceDN/>
              <w:adjustRightInd/>
              <w:jc w:val="center"/>
              <w:rPr>
                <w:rFonts w:eastAsia="Arial"/>
                <w:sz w:val="20"/>
                <w:szCs w:val="20"/>
                <w:lang w:val="en-US"/>
              </w:rPr>
            </w:pPr>
            <w:r w:rsidRPr="007C51D6">
              <w:rPr>
                <w:rFonts w:eastAsia="Arial"/>
                <w:sz w:val="20"/>
                <w:szCs w:val="20"/>
                <w:lang w:val="en-US"/>
              </w:rPr>
              <w:t>0</w:t>
            </w:r>
          </w:p>
        </w:tc>
        <w:tc>
          <w:tcPr>
            <w:tcW w:w="1213" w:type="dxa"/>
            <w:vAlign w:val="bottom"/>
          </w:tcPr>
          <w:p w:rsidR="00417BDB" w:rsidRPr="007C51D6" w:rsidRDefault="00417BDB" w:rsidP="00417BDB">
            <w:pPr>
              <w:jc w:val="center"/>
              <w:rPr>
                <w:color w:val="000000"/>
                <w:sz w:val="20"/>
                <w:szCs w:val="20"/>
              </w:rPr>
            </w:pPr>
            <w:r w:rsidRPr="007C51D6">
              <w:rPr>
                <w:color w:val="000000"/>
                <w:sz w:val="20"/>
                <w:szCs w:val="20"/>
              </w:rPr>
              <w:t>1,2</w:t>
            </w:r>
          </w:p>
        </w:tc>
      </w:tr>
    </w:tbl>
    <w:p w:rsidR="00E27362" w:rsidRPr="007C51D6" w:rsidRDefault="00E27362">
      <w:pPr>
        <w:rPr>
          <w:sz w:val="2"/>
          <w:szCs w:val="2"/>
        </w:rPr>
      </w:pPr>
    </w:p>
    <w:p w:rsidR="0035598F" w:rsidRPr="007C51D6" w:rsidRDefault="0035598F" w:rsidP="00E27362">
      <w:pPr>
        <w:autoSpaceDE/>
        <w:autoSpaceDN/>
        <w:adjustRightInd/>
        <w:rPr>
          <w:rFonts w:eastAsia="Arial"/>
          <w:sz w:val="28"/>
          <w:szCs w:val="28"/>
        </w:rPr>
      </w:pPr>
    </w:p>
    <w:p w:rsidR="007F3AFB" w:rsidRPr="007C51D6" w:rsidRDefault="00D96F53" w:rsidP="007F3AFB">
      <w:pPr>
        <w:ind w:firstLine="709"/>
        <w:jc w:val="both"/>
        <w:rPr>
          <w:rFonts w:eastAsia="Arial"/>
          <w:spacing w:val="4"/>
          <w:sz w:val="28"/>
          <w:szCs w:val="28"/>
          <w:vertAlign w:val="superscript"/>
        </w:rPr>
      </w:pPr>
      <w:r w:rsidRPr="007C51D6">
        <w:rPr>
          <w:rFonts w:eastAsia="Arial"/>
          <w:spacing w:val="4"/>
          <w:sz w:val="28"/>
          <w:szCs w:val="28"/>
          <w:vertAlign w:val="superscript"/>
        </w:rPr>
        <w:t>*</w:t>
      </w:r>
      <w:r w:rsidR="007F3AFB" w:rsidRPr="007C51D6">
        <w:rPr>
          <w:rFonts w:eastAsia="Arial"/>
          <w:spacing w:val="4"/>
          <w:sz w:val="28"/>
          <w:szCs w:val="28"/>
          <w:vertAlign w:val="superscript"/>
        </w:rPr>
        <w:t>Представлены оперативные данные.</w:t>
      </w:r>
    </w:p>
    <w:p w:rsidR="00724466" w:rsidRPr="007C51D6" w:rsidRDefault="00724466" w:rsidP="00E27362">
      <w:pPr>
        <w:ind w:firstLine="709"/>
        <w:jc w:val="both"/>
        <w:rPr>
          <w:sz w:val="28"/>
          <w:szCs w:val="28"/>
        </w:rPr>
      </w:pPr>
      <w:r w:rsidRPr="007C51D6">
        <w:rPr>
          <w:rFonts w:eastAsia="Arial"/>
          <w:spacing w:val="4"/>
          <w:sz w:val="28"/>
          <w:szCs w:val="28"/>
        </w:rPr>
        <w:t xml:space="preserve">За </w:t>
      </w:r>
      <w:r w:rsidR="007F3AFB" w:rsidRPr="007C51D6">
        <w:rPr>
          <w:rFonts w:eastAsia="Arial"/>
          <w:spacing w:val="4"/>
          <w:sz w:val="28"/>
          <w:szCs w:val="28"/>
        </w:rPr>
        <w:t>10-</w:t>
      </w:r>
      <w:r w:rsidRPr="007C51D6">
        <w:rPr>
          <w:rFonts w:eastAsia="Arial"/>
          <w:spacing w:val="4"/>
          <w:sz w:val="28"/>
          <w:szCs w:val="28"/>
        </w:rPr>
        <w:t>летний период (201</w:t>
      </w:r>
      <w:r w:rsidR="00742D16" w:rsidRPr="007C51D6">
        <w:rPr>
          <w:rFonts w:eastAsia="Arial"/>
          <w:spacing w:val="4"/>
          <w:sz w:val="28"/>
          <w:szCs w:val="28"/>
        </w:rPr>
        <w:t>6</w:t>
      </w:r>
      <w:r w:rsidRPr="007C51D6">
        <w:rPr>
          <w:rFonts w:eastAsia="Arial"/>
          <w:spacing w:val="4"/>
          <w:sz w:val="28"/>
          <w:szCs w:val="28"/>
        </w:rPr>
        <w:t xml:space="preserve"> – 202</w:t>
      </w:r>
      <w:r w:rsidR="00742D16" w:rsidRPr="007C51D6">
        <w:rPr>
          <w:rFonts w:eastAsia="Arial"/>
          <w:spacing w:val="4"/>
          <w:sz w:val="28"/>
          <w:szCs w:val="28"/>
        </w:rPr>
        <w:t>5</w:t>
      </w:r>
      <w:r w:rsidRPr="007C51D6">
        <w:rPr>
          <w:rFonts w:eastAsia="Arial"/>
          <w:spacing w:val="4"/>
          <w:sz w:val="28"/>
          <w:szCs w:val="28"/>
        </w:rPr>
        <w:t xml:space="preserve"> годы) регистрируется положительная динамика роста </w:t>
      </w:r>
      <w:r w:rsidRPr="007C51D6">
        <w:rPr>
          <w:rFonts w:eastAsia="Arial"/>
          <w:sz w:val="28"/>
          <w:szCs w:val="28"/>
        </w:rPr>
        <w:t xml:space="preserve">доли I стадии и снижение доли </w:t>
      </w:r>
      <w:r w:rsidRPr="007C51D6">
        <w:rPr>
          <w:rFonts w:eastAsia="Arial"/>
          <w:sz w:val="28"/>
          <w:szCs w:val="28"/>
          <w:lang w:val="en-US"/>
        </w:rPr>
        <w:t>IV</w:t>
      </w:r>
      <w:r w:rsidRPr="007C51D6">
        <w:rPr>
          <w:rFonts w:eastAsia="Arial"/>
          <w:sz w:val="28"/>
          <w:szCs w:val="28"/>
        </w:rPr>
        <w:t xml:space="preserve"> стадии при основных визуальных локализациях: ЗНО </w:t>
      </w:r>
      <w:r w:rsidR="00742D16" w:rsidRPr="007C51D6">
        <w:rPr>
          <w:rFonts w:eastAsia="Arial"/>
          <w:sz w:val="28"/>
          <w:szCs w:val="28"/>
        </w:rPr>
        <w:t xml:space="preserve">молочной железы, рака кожи, прямой кишки, щитовидной железы, </w:t>
      </w:r>
      <w:r w:rsidRPr="007C51D6">
        <w:rPr>
          <w:rFonts w:eastAsia="Arial"/>
          <w:sz w:val="28"/>
          <w:szCs w:val="28"/>
        </w:rPr>
        <w:t>меланом</w:t>
      </w:r>
      <w:r w:rsidR="007F3AFB" w:rsidRPr="007C51D6">
        <w:rPr>
          <w:rFonts w:eastAsia="Arial"/>
          <w:sz w:val="28"/>
          <w:szCs w:val="28"/>
        </w:rPr>
        <w:t>а</w:t>
      </w:r>
      <w:r w:rsidRPr="007C51D6">
        <w:rPr>
          <w:rFonts w:eastAsia="Arial"/>
          <w:sz w:val="28"/>
          <w:szCs w:val="28"/>
        </w:rPr>
        <w:t xml:space="preserve"> кожи</w:t>
      </w:r>
      <w:r w:rsidR="00CC04B7" w:rsidRPr="007C51D6">
        <w:rPr>
          <w:rFonts w:eastAsia="Arial"/>
          <w:sz w:val="28"/>
          <w:szCs w:val="28"/>
        </w:rPr>
        <w:t xml:space="preserve"> (таблица 5)</w:t>
      </w:r>
      <w:r w:rsidRPr="007C51D6">
        <w:rPr>
          <w:sz w:val="28"/>
          <w:szCs w:val="28"/>
        </w:rPr>
        <w:t>.</w:t>
      </w:r>
    </w:p>
    <w:p w:rsidR="008E5259" w:rsidRPr="007C51D6" w:rsidRDefault="008E5259" w:rsidP="00E27362">
      <w:pPr>
        <w:ind w:firstLine="709"/>
        <w:jc w:val="both"/>
        <w:rPr>
          <w:sz w:val="28"/>
          <w:szCs w:val="28"/>
        </w:rPr>
      </w:pPr>
    </w:p>
    <w:p w:rsidR="000F30FE" w:rsidRPr="007C51D6" w:rsidRDefault="000F30FE" w:rsidP="00E27362">
      <w:pPr>
        <w:autoSpaceDE/>
        <w:autoSpaceDN/>
        <w:adjustRightInd/>
        <w:ind w:left="11346" w:firstLine="709"/>
        <w:jc w:val="right"/>
        <w:rPr>
          <w:rFonts w:eastAsia="Arial"/>
          <w:sz w:val="28"/>
          <w:szCs w:val="28"/>
        </w:rPr>
      </w:pPr>
      <w:r w:rsidRPr="007C51D6">
        <w:rPr>
          <w:rFonts w:eastAsia="Arial"/>
          <w:sz w:val="28"/>
          <w:szCs w:val="28"/>
        </w:rPr>
        <w:t xml:space="preserve">Таблица </w:t>
      </w:r>
      <w:r w:rsidR="00381A83" w:rsidRPr="007C51D6">
        <w:rPr>
          <w:rFonts w:eastAsia="Arial"/>
          <w:sz w:val="28"/>
          <w:szCs w:val="28"/>
        </w:rPr>
        <w:t>6</w:t>
      </w:r>
    </w:p>
    <w:p w:rsidR="00E50C5F" w:rsidRPr="007C51D6" w:rsidRDefault="00E50C5F" w:rsidP="00E27362">
      <w:pPr>
        <w:autoSpaceDE/>
        <w:autoSpaceDN/>
        <w:adjustRightInd/>
        <w:ind w:left="11346" w:firstLine="709"/>
        <w:jc w:val="right"/>
        <w:rPr>
          <w:rFonts w:eastAsia="Arial"/>
          <w:sz w:val="28"/>
          <w:szCs w:val="28"/>
        </w:rPr>
      </w:pPr>
    </w:p>
    <w:p w:rsidR="003B175E" w:rsidRPr="007C51D6" w:rsidRDefault="003B175E" w:rsidP="003B175E">
      <w:pPr>
        <w:autoSpaceDE/>
        <w:autoSpaceDN/>
        <w:adjustRightInd/>
        <w:jc w:val="center"/>
        <w:rPr>
          <w:color w:val="000000"/>
          <w:sz w:val="28"/>
          <w:szCs w:val="28"/>
        </w:rPr>
      </w:pPr>
      <w:r w:rsidRPr="007C51D6">
        <w:rPr>
          <w:color w:val="000000"/>
          <w:sz w:val="28"/>
          <w:szCs w:val="28"/>
        </w:rPr>
        <w:t xml:space="preserve">Динамика показателя «Доля больных </w:t>
      </w:r>
      <w:r w:rsidRPr="007C51D6">
        <w:rPr>
          <w:rFonts w:eastAsia="Arial"/>
          <w:sz w:val="28"/>
          <w:szCs w:val="28"/>
        </w:rPr>
        <w:t>злокачественными новообразованиями</w:t>
      </w:r>
      <w:r w:rsidRPr="007C51D6">
        <w:rPr>
          <w:color w:val="000000"/>
          <w:sz w:val="28"/>
          <w:szCs w:val="28"/>
        </w:rPr>
        <w:t xml:space="preserve">, состоящих под диспансерным наблюдением </w:t>
      </w:r>
    </w:p>
    <w:p w:rsidR="003B175E" w:rsidRPr="007C51D6" w:rsidRDefault="003B175E" w:rsidP="003B175E">
      <w:pPr>
        <w:autoSpaceDE/>
        <w:autoSpaceDN/>
        <w:adjustRightInd/>
        <w:jc w:val="center"/>
        <w:rPr>
          <w:rFonts w:eastAsia="Arial"/>
          <w:sz w:val="28"/>
          <w:szCs w:val="28"/>
        </w:rPr>
      </w:pPr>
      <w:r w:rsidRPr="007C51D6">
        <w:rPr>
          <w:color w:val="000000"/>
          <w:sz w:val="28"/>
          <w:szCs w:val="28"/>
        </w:rPr>
        <w:t>5 лет и более</w:t>
      </w:r>
      <w:r w:rsidRPr="007C51D6">
        <w:rPr>
          <w:rFonts w:eastAsia="Arial"/>
          <w:sz w:val="28"/>
          <w:szCs w:val="28"/>
        </w:rPr>
        <w:t xml:space="preserve"> с момента установления диагноза</w:t>
      </w:r>
      <w:r w:rsidRPr="007C51D6">
        <w:rPr>
          <w:color w:val="000000"/>
          <w:sz w:val="28"/>
          <w:szCs w:val="28"/>
        </w:rPr>
        <w:t>» в муниципальных образованиях Республики Татарстан</w:t>
      </w:r>
      <w:r w:rsidRPr="007C51D6">
        <w:rPr>
          <w:rFonts w:eastAsia="Arial"/>
          <w:sz w:val="28"/>
          <w:szCs w:val="28"/>
        </w:rPr>
        <w:t xml:space="preserve"> в 2016 – 2025 годах</w:t>
      </w:r>
    </w:p>
    <w:p w:rsidR="00C04A3B" w:rsidRPr="007C51D6" w:rsidRDefault="00C04A3B" w:rsidP="00E27362">
      <w:pPr>
        <w:autoSpaceDE/>
        <w:autoSpaceDN/>
        <w:adjustRightInd/>
        <w:jc w:val="center"/>
        <w:rPr>
          <w:color w:val="000000"/>
          <w:sz w:val="28"/>
          <w:szCs w:val="28"/>
        </w:rPr>
      </w:pPr>
      <w:r w:rsidRPr="007C51D6">
        <w:rPr>
          <w:color w:val="000000"/>
          <w:sz w:val="28"/>
          <w:szCs w:val="28"/>
        </w:rPr>
        <w:t xml:space="preserve"> </w:t>
      </w:r>
    </w:p>
    <w:p w:rsidR="00C04A3B" w:rsidRPr="007C51D6" w:rsidRDefault="00D96F53" w:rsidP="00D96F53">
      <w:pPr>
        <w:autoSpaceDE/>
        <w:autoSpaceDN/>
        <w:adjustRightInd/>
        <w:jc w:val="right"/>
        <w:rPr>
          <w:color w:val="000000"/>
          <w:sz w:val="20"/>
          <w:szCs w:val="20"/>
        </w:rPr>
      </w:pPr>
      <w:r w:rsidRPr="007C51D6">
        <w:rPr>
          <w:color w:val="000000"/>
          <w:sz w:val="20"/>
          <w:szCs w:val="20"/>
        </w:rPr>
        <w:t>(</w:t>
      </w:r>
      <w:r w:rsidR="00C04A3B" w:rsidRPr="007C51D6">
        <w:rPr>
          <w:color w:val="000000"/>
          <w:sz w:val="20"/>
          <w:szCs w:val="20"/>
        </w:rPr>
        <w:t>процентов</w:t>
      </w:r>
      <w:r w:rsidRPr="007C51D6">
        <w:rPr>
          <w:color w:val="000000"/>
          <w:sz w:val="20"/>
          <w:szCs w:val="20"/>
        </w:rPr>
        <w:t>)</w:t>
      </w:r>
    </w:p>
    <w:tbl>
      <w:tblPr>
        <w:tblW w:w="15111" w:type="dxa"/>
        <w:tblBorders>
          <w:top w:val="single" w:sz="4" w:space="0" w:color="auto"/>
          <w:left w:val="single" w:sz="4" w:space="0" w:color="auto"/>
          <w:right w:val="single" w:sz="4" w:space="0" w:color="auto"/>
          <w:insideH w:val="single" w:sz="4" w:space="0" w:color="auto"/>
          <w:insideV w:val="single" w:sz="4" w:space="0" w:color="auto"/>
        </w:tblBorders>
        <w:tblCellMar>
          <w:top w:w="11" w:type="dxa"/>
          <w:bottom w:w="11" w:type="dxa"/>
        </w:tblCellMar>
        <w:tblLook w:val="04A0" w:firstRow="1" w:lastRow="0" w:firstColumn="1" w:lastColumn="0" w:noHBand="0" w:noVBand="1"/>
      </w:tblPr>
      <w:tblGrid>
        <w:gridCol w:w="2991"/>
        <w:gridCol w:w="1183"/>
        <w:gridCol w:w="1184"/>
        <w:gridCol w:w="1183"/>
        <w:gridCol w:w="1343"/>
        <w:gridCol w:w="1183"/>
        <w:gridCol w:w="1183"/>
        <w:gridCol w:w="1184"/>
        <w:gridCol w:w="1183"/>
        <w:gridCol w:w="1247"/>
        <w:gridCol w:w="1247"/>
      </w:tblGrid>
      <w:tr w:rsidR="003B175E" w:rsidRPr="007C51D6" w:rsidTr="003B175E">
        <w:trPr>
          <w:trHeight w:val="20"/>
        </w:trPr>
        <w:tc>
          <w:tcPr>
            <w:tcW w:w="2991" w:type="dxa"/>
            <w:shd w:val="clear" w:color="auto" w:fill="auto"/>
          </w:tcPr>
          <w:p w:rsidR="003B175E" w:rsidRPr="007C51D6" w:rsidRDefault="003B175E" w:rsidP="003B175E">
            <w:pPr>
              <w:autoSpaceDE/>
              <w:autoSpaceDN/>
              <w:adjustRightInd/>
              <w:jc w:val="center"/>
              <w:rPr>
                <w:color w:val="000000"/>
                <w:sz w:val="20"/>
                <w:szCs w:val="20"/>
              </w:rPr>
            </w:pPr>
            <w:r w:rsidRPr="007C51D6">
              <w:rPr>
                <w:color w:val="000000"/>
                <w:sz w:val="20"/>
                <w:szCs w:val="20"/>
              </w:rPr>
              <w:t xml:space="preserve">Наименование </w:t>
            </w:r>
          </w:p>
          <w:p w:rsidR="003B175E" w:rsidRPr="007C51D6" w:rsidRDefault="003B175E" w:rsidP="003B175E">
            <w:pPr>
              <w:autoSpaceDE/>
              <w:autoSpaceDN/>
              <w:adjustRightInd/>
              <w:jc w:val="center"/>
              <w:rPr>
                <w:color w:val="000000"/>
                <w:sz w:val="20"/>
                <w:szCs w:val="20"/>
              </w:rPr>
            </w:pPr>
            <w:r w:rsidRPr="007C51D6">
              <w:rPr>
                <w:color w:val="000000"/>
                <w:sz w:val="20"/>
                <w:szCs w:val="20"/>
              </w:rPr>
              <w:t>муниципальных районов</w:t>
            </w:r>
          </w:p>
          <w:p w:rsidR="003B175E" w:rsidRPr="007C51D6" w:rsidRDefault="003B175E" w:rsidP="003B175E">
            <w:pPr>
              <w:autoSpaceDE/>
              <w:autoSpaceDN/>
              <w:adjustRightInd/>
              <w:jc w:val="center"/>
              <w:rPr>
                <w:color w:val="000000"/>
                <w:sz w:val="20"/>
                <w:szCs w:val="20"/>
              </w:rPr>
            </w:pPr>
            <w:r w:rsidRPr="007C51D6">
              <w:rPr>
                <w:color w:val="000000"/>
                <w:sz w:val="20"/>
                <w:szCs w:val="20"/>
              </w:rPr>
              <w:t xml:space="preserve"> и городских округов</w:t>
            </w:r>
          </w:p>
        </w:tc>
        <w:tc>
          <w:tcPr>
            <w:tcW w:w="1183" w:type="dxa"/>
            <w:shd w:val="clear" w:color="auto" w:fill="auto"/>
          </w:tcPr>
          <w:p w:rsidR="003B175E" w:rsidRPr="007C51D6" w:rsidRDefault="003B175E" w:rsidP="003B175E">
            <w:pPr>
              <w:autoSpaceDE/>
              <w:autoSpaceDN/>
              <w:adjustRightInd/>
              <w:jc w:val="center"/>
              <w:rPr>
                <w:bCs/>
                <w:color w:val="000000"/>
                <w:sz w:val="20"/>
                <w:szCs w:val="20"/>
              </w:rPr>
            </w:pPr>
            <w:r w:rsidRPr="007C51D6">
              <w:rPr>
                <w:bCs/>
                <w:color w:val="000000"/>
                <w:sz w:val="20"/>
                <w:szCs w:val="20"/>
              </w:rPr>
              <w:t>2016 г.</w:t>
            </w:r>
          </w:p>
        </w:tc>
        <w:tc>
          <w:tcPr>
            <w:tcW w:w="1184" w:type="dxa"/>
            <w:shd w:val="clear" w:color="auto" w:fill="auto"/>
          </w:tcPr>
          <w:p w:rsidR="003B175E" w:rsidRPr="007C51D6" w:rsidRDefault="003B175E" w:rsidP="003B175E">
            <w:pPr>
              <w:autoSpaceDE/>
              <w:autoSpaceDN/>
              <w:adjustRightInd/>
              <w:jc w:val="center"/>
              <w:rPr>
                <w:bCs/>
                <w:color w:val="000000"/>
                <w:sz w:val="20"/>
                <w:szCs w:val="20"/>
              </w:rPr>
            </w:pPr>
            <w:r w:rsidRPr="007C51D6">
              <w:rPr>
                <w:bCs/>
                <w:color w:val="000000"/>
                <w:sz w:val="20"/>
                <w:szCs w:val="20"/>
              </w:rPr>
              <w:t>2017 г.</w:t>
            </w:r>
          </w:p>
        </w:tc>
        <w:tc>
          <w:tcPr>
            <w:tcW w:w="1183" w:type="dxa"/>
            <w:shd w:val="clear" w:color="auto" w:fill="auto"/>
          </w:tcPr>
          <w:p w:rsidR="003B175E" w:rsidRPr="007C51D6" w:rsidRDefault="003B175E" w:rsidP="003B175E">
            <w:pPr>
              <w:autoSpaceDE/>
              <w:autoSpaceDN/>
              <w:adjustRightInd/>
              <w:jc w:val="center"/>
              <w:rPr>
                <w:bCs/>
                <w:color w:val="000000"/>
                <w:sz w:val="20"/>
                <w:szCs w:val="20"/>
              </w:rPr>
            </w:pPr>
            <w:r w:rsidRPr="007C51D6">
              <w:rPr>
                <w:bCs/>
                <w:color w:val="000000"/>
                <w:sz w:val="20"/>
                <w:szCs w:val="20"/>
              </w:rPr>
              <w:t>2018 г.</w:t>
            </w:r>
          </w:p>
        </w:tc>
        <w:tc>
          <w:tcPr>
            <w:tcW w:w="1343" w:type="dxa"/>
            <w:shd w:val="clear" w:color="auto" w:fill="auto"/>
          </w:tcPr>
          <w:p w:rsidR="003B175E" w:rsidRPr="007C51D6" w:rsidRDefault="003B175E" w:rsidP="003B175E">
            <w:pPr>
              <w:autoSpaceDE/>
              <w:autoSpaceDN/>
              <w:adjustRightInd/>
              <w:jc w:val="center"/>
              <w:rPr>
                <w:rFonts w:eastAsia="Arial"/>
                <w:sz w:val="20"/>
                <w:szCs w:val="20"/>
              </w:rPr>
            </w:pPr>
            <w:r w:rsidRPr="007C51D6">
              <w:rPr>
                <w:rFonts w:eastAsia="Arial"/>
                <w:sz w:val="20"/>
                <w:szCs w:val="20"/>
              </w:rPr>
              <w:t>2019 г.</w:t>
            </w:r>
          </w:p>
        </w:tc>
        <w:tc>
          <w:tcPr>
            <w:tcW w:w="1183" w:type="dxa"/>
            <w:shd w:val="clear" w:color="auto" w:fill="auto"/>
          </w:tcPr>
          <w:p w:rsidR="003B175E" w:rsidRPr="007C51D6" w:rsidRDefault="003B175E" w:rsidP="003B175E">
            <w:pPr>
              <w:autoSpaceDE/>
              <w:autoSpaceDN/>
              <w:adjustRightInd/>
              <w:jc w:val="center"/>
              <w:rPr>
                <w:rFonts w:eastAsia="Arial"/>
                <w:sz w:val="20"/>
                <w:szCs w:val="20"/>
              </w:rPr>
            </w:pPr>
            <w:r w:rsidRPr="007C51D6">
              <w:rPr>
                <w:rFonts w:eastAsia="Arial"/>
                <w:sz w:val="20"/>
                <w:szCs w:val="20"/>
              </w:rPr>
              <w:t>2020 г.</w:t>
            </w:r>
          </w:p>
        </w:tc>
        <w:tc>
          <w:tcPr>
            <w:tcW w:w="1183" w:type="dxa"/>
          </w:tcPr>
          <w:p w:rsidR="003B175E" w:rsidRPr="007C51D6" w:rsidRDefault="003B175E" w:rsidP="003B175E">
            <w:pPr>
              <w:autoSpaceDE/>
              <w:autoSpaceDN/>
              <w:adjustRightInd/>
              <w:jc w:val="center"/>
              <w:rPr>
                <w:rFonts w:eastAsia="Arial"/>
                <w:sz w:val="20"/>
                <w:szCs w:val="20"/>
              </w:rPr>
            </w:pPr>
            <w:r w:rsidRPr="007C51D6">
              <w:rPr>
                <w:rFonts w:eastAsia="Arial"/>
                <w:sz w:val="20"/>
                <w:szCs w:val="20"/>
              </w:rPr>
              <w:t>2021 г.</w:t>
            </w:r>
          </w:p>
        </w:tc>
        <w:tc>
          <w:tcPr>
            <w:tcW w:w="1184" w:type="dxa"/>
          </w:tcPr>
          <w:p w:rsidR="003B175E" w:rsidRPr="007C51D6" w:rsidRDefault="003B175E" w:rsidP="003B175E">
            <w:pPr>
              <w:autoSpaceDE/>
              <w:autoSpaceDN/>
              <w:adjustRightInd/>
              <w:jc w:val="center"/>
              <w:rPr>
                <w:rFonts w:eastAsia="Arial"/>
                <w:sz w:val="20"/>
                <w:szCs w:val="20"/>
              </w:rPr>
            </w:pPr>
            <w:r w:rsidRPr="007C51D6">
              <w:rPr>
                <w:rFonts w:eastAsia="Arial"/>
                <w:sz w:val="20"/>
                <w:szCs w:val="20"/>
              </w:rPr>
              <w:t>2022 г.</w:t>
            </w:r>
          </w:p>
        </w:tc>
        <w:tc>
          <w:tcPr>
            <w:tcW w:w="1183" w:type="dxa"/>
          </w:tcPr>
          <w:p w:rsidR="003B175E" w:rsidRPr="007C51D6" w:rsidRDefault="003B175E" w:rsidP="003B175E">
            <w:pPr>
              <w:autoSpaceDE/>
              <w:autoSpaceDN/>
              <w:adjustRightInd/>
              <w:jc w:val="center"/>
              <w:rPr>
                <w:rFonts w:eastAsia="Arial"/>
                <w:sz w:val="20"/>
                <w:szCs w:val="20"/>
              </w:rPr>
            </w:pPr>
            <w:r w:rsidRPr="007C51D6">
              <w:rPr>
                <w:rFonts w:eastAsia="Arial"/>
                <w:sz w:val="20"/>
                <w:szCs w:val="20"/>
              </w:rPr>
              <w:t>2023 г.</w:t>
            </w:r>
          </w:p>
        </w:tc>
        <w:tc>
          <w:tcPr>
            <w:tcW w:w="1247" w:type="dxa"/>
          </w:tcPr>
          <w:p w:rsidR="003B175E" w:rsidRPr="007C51D6" w:rsidRDefault="003B175E" w:rsidP="003B175E">
            <w:pPr>
              <w:autoSpaceDE/>
              <w:autoSpaceDN/>
              <w:adjustRightInd/>
              <w:jc w:val="center"/>
              <w:rPr>
                <w:rFonts w:eastAsia="Arial"/>
                <w:sz w:val="20"/>
                <w:szCs w:val="20"/>
              </w:rPr>
            </w:pPr>
            <w:r w:rsidRPr="007C51D6">
              <w:rPr>
                <w:rFonts w:eastAsia="Arial"/>
                <w:sz w:val="20"/>
                <w:szCs w:val="20"/>
              </w:rPr>
              <w:t>2024 г.</w:t>
            </w:r>
          </w:p>
        </w:tc>
        <w:tc>
          <w:tcPr>
            <w:tcW w:w="1247" w:type="dxa"/>
          </w:tcPr>
          <w:p w:rsidR="003B175E" w:rsidRPr="007C51D6" w:rsidRDefault="003B175E" w:rsidP="003B175E">
            <w:pPr>
              <w:autoSpaceDE/>
              <w:autoSpaceDN/>
              <w:adjustRightInd/>
              <w:jc w:val="center"/>
              <w:rPr>
                <w:rFonts w:eastAsia="Arial"/>
                <w:sz w:val="20"/>
                <w:szCs w:val="20"/>
              </w:rPr>
            </w:pPr>
            <w:r w:rsidRPr="007C51D6">
              <w:rPr>
                <w:rFonts w:eastAsia="Arial"/>
                <w:sz w:val="20"/>
                <w:szCs w:val="20"/>
              </w:rPr>
              <w:t>2025 г.*</w:t>
            </w:r>
          </w:p>
        </w:tc>
      </w:tr>
      <w:tr w:rsidR="003B175E" w:rsidRPr="007C51D6" w:rsidTr="003B175E">
        <w:tblPrEx>
          <w:tblBorders>
            <w:bottom w:val="single" w:sz="4" w:space="0" w:color="auto"/>
          </w:tblBorders>
          <w:tblCellMar>
            <w:top w:w="0" w:type="dxa"/>
            <w:bottom w:w="0" w:type="dxa"/>
          </w:tblCellMar>
        </w:tblPrEx>
        <w:trPr>
          <w:trHeight w:val="20"/>
          <w:tblHeader/>
        </w:trPr>
        <w:tc>
          <w:tcPr>
            <w:tcW w:w="2991" w:type="dxa"/>
            <w:shd w:val="clear" w:color="auto" w:fill="auto"/>
          </w:tcPr>
          <w:p w:rsidR="003B175E" w:rsidRPr="007C51D6" w:rsidRDefault="003B175E" w:rsidP="003B175E">
            <w:pPr>
              <w:autoSpaceDE/>
              <w:autoSpaceDN/>
              <w:adjustRightInd/>
              <w:jc w:val="center"/>
              <w:rPr>
                <w:color w:val="000000"/>
                <w:sz w:val="20"/>
                <w:szCs w:val="20"/>
              </w:rPr>
            </w:pPr>
            <w:r w:rsidRPr="007C51D6">
              <w:rPr>
                <w:color w:val="000000"/>
                <w:sz w:val="20"/>
                <w:szCs w:val="20"/>
              </w:rPr>
              <w:t>1</w:t>
            </w:r>
          </w:p>
        </w:tc>
        <w:tc>
          <w:tcPr>
            <w:tcW w:w="1183" w:type="dxa"/>
            <w:shd w:val="clear" w:color="auto" w:fill="auto"/>
          </w:tcPr>
          <w:p w:rsidR="003B175E" w:rsidRPr="007C51D6" w:rsidRDefault="003B175E" w:rsidP="003B175E">
            <w:pPr>
              <w:autoSpaceDE/>
              <w:autoSpaceDN/>
              <w:adjustRightInd/>
              <w:jc w:val="center"/>
              <w:rPr>
                <w:color w:val="000000"/>
                <w:sz w:val="20"/>
                <w:szCs w:val="20"/>
              </w:rPr>
            </w:pPr>
            <w:r w:rsidRPr="007C51D6">
              <w:rPr>
                <w:color w:val="000000"/>
                <w:sz w:val="20"/>
                <w:szCs w:val="20"/>
              </w:rPr>
              <w:t>2</w:t>
            </w:r>
          </w:p>
        </w:tc>
        <w:tc>
          <w:tcPr>
            <w:tcW w:w="1184" w:type="dxa"/>
            <w:shd w:val="clear" w:color="auto" w:fill="auto"/>
          </w:tcPr>
          <w:p w:rsidR="003B175E" w:rsidRPr="007C51D6" w:rsidRDefault="003B175E" w:rsidP="003B175E">
            <w:pPr>
              <w:autoSpaceDE/>
              <w:autoSpaceDN/>
              <w:adjustRightInd/>
              <w:jc w:val="center"/>
              <w:rPr>
                <w:color w:val="000000"/>
                <w:sz w:val="20"/>
                <w:szCs w:val="20"/>
              </w:rPr>
            </w:pPr>
            <w:r w:rsidRPr="007C51D6">
              <w:rPr>
                <w:color w:val="000000"/>
                <w:sz w:val="20"/>
                <w:szCs w:val="20"/>
              </w:rPr>
              <w:t>3</w:t>
            </w:r>
          </w:p>
        </w:tc>
        <w:tc>
          <w:tcPr>
            <w:tcW w:w="1183" w:type="dxa"/>
            <w:shd w:val="clear" w:color="auto" w:fill="auto"/>
          </w:tcPr>
          <w:p w:rsidR="003B175E" w:rsidRPr="007C51D6" w:rsidRDefault="003B175E" w:rsidP="003B175E">
            <w:pPr>
              <w:autoSpaceDE/>
              <w:autoSpaceDN/>
              <w:adjustRightInd/>
              <w:jc w:val="center"/>
              <w:rPr>
                <w:color w:val="000000"/>
                <w:sz w:val="20"/>
                <w:szCs w:val="20"/>
              </w:rPr>
            </w:pPr>
            <w:r w:rsidRPr="007C51D6">
              <w:rPr>
                <w:color w:val="000000"/>
                <w:sz w:val="20"/>
                <w:szCs w:val="20"/>
              </w:rPr>
              <w:t>4</w:t>
            </w:r>
          </w:p>
        </w:tc>
        <w:tc>
          <w:tcPr>
            <w:tcW w:w="1343" w:type="dxa"/>
            <w:shd w:val="clear" w:color="auto" w:fill="auto"/>
          </w:tcPr>
          <w:p w:rsidR="003B175E" w:rsidRPr="007C51D6" w:rsidRDefault="003B175E" w:rsidP="003B175E">
            <w:pPr>
              <w:autoSpaceDE/>
              <w:autoSpaceDN/>
              <w:adjustRightInd/>
              <w:jc w:val="center"/>
              <w:rPr>
                <w:color w:val="000000"/>
                <w:sz w:val="20"/>
                <w:szCs w:val="20"/>
              </w:rPr>
            </w:pPr>
            <w:r w:rsidRPr="007C51D6">
              <w:rPr>
                <w:color w:val="000000"/>
                <w:sz w:val="20"/>
                <w:szCs w:val="20"/>
              </w:rPr>
              <w:t>5</w:t>
            </w:r>
          </w:p>
        </w:tc>
        <w:tc>
          <w:tcPr>
            <w:tcW w:w="1183" w:type="dxa"/>
            <w:shd w:val="clear" w:color="auto" w:fill="auto"/>
          </w:tcPr>
          <w:p w:rsidR="003B175E" w:rsidRPr="007C51D6" w:rsidRDefault="003B175E" w:rsidP="003B175E">
            <w:pPr>
              <w:autoSpaceDE/>
              <w:autoSpaceDN/>
              <w:adjustRightInd/>
              <w:jc w:val="center"/>
              <w:rPr>
                <w:color w:val="000000"/>
                <w:sz w:val="20"/>
                <w:szCs w:val="20"/>
              </w:rPr>
            </w:pPr>
            <w:r w:rsidRPr="007C51D6">
              <w:rPr>
                <w:color w:val="000000"/>
                <w:sz w:val="20"/>
                <w:szCs w:val="20"/>
              </w:rPr>
              <w:t>6</w:t>
            </w:r>
          </w:p>
        </w:tc>
        <w:tc>
          <w:tcPr>
            <w:tcW w:w="1183" w:type="dxa"/>
          </w:tcPr>
          <w:p w:rsidR="003B175E" w:rsidRPr="007C51D6" w:rsidRDefault="003B175E" w:rsidP="003B175E">
            <w:pPr>
              <w:autoSpaceDE/>
              <w:autoSpaceDN/>
              <w:adjustRightInd/>
              <w:jc w:val="center"/>
              <w:rPr>
                <w:color w:val="000000"/>
                <w:sz w:val="20"/>
                <w:szCs w:val="20"/>
              </w:rPr>
            </w:pPr>
            <w:r w:rsidRPr="007C51D6">
              <w:rPr>
                <w:color w:val="000000"/>
                <w:sz w:val="20"/>
                <w:szCs w:val="20"/>
              </w:rPr>
              <w:t>7</w:t>
            </w:r>
          </w:p>
        </w:tc>
        <w:tc>
          <w:tcPr>
            <w:tcW w:w="1184" w:type="dxa"/>
          </w:tcPr>
          <w:p w:rsidR="003B175E" w:rsidRPr="007C51D6" w:rsidRDefault="003B175E" w:rsidP="003B175E">
            <w:pPr>
              <w:autoSpaceDE/>
              <w:autoSpaceDN/>
              <w:adjustRightInd/>
              <w:jc w:val="center"/>
              <w:rPr>
                <w:color w:val="000000"/>
                <w:sz w:val="20"/>
                <w:szCs w:val="20"/>
              </w:rPr>
            </w:pPr>
            <w:r w:rsidRPr="007C51D6">
              <w:rPr>
                <w:color w:val="000000"/>
                <w:sz w:val="20"/>
                <w:szCs w:val="20"/>
              </w:rPr>
              <w:t>8</w:t>
            </w:r>
          </w:p>
        </w:tc>
        <w:tc>
          <w:tcPr>
            <w:tcW w:w="1183" w:type="dxa"/>
          </w:tcPr>
          <w:p w:rsidR="003B175E" w:rsidRPr="007C51D6" w:rsidRDefault="003B175E" w:rsidP="003B175E">
            <w:pPr>
              <w:autoSpaceDE/>
              <w:autoSpaceDN/>
              <w:adjustRightInd/>
              <w:jc w:val="center"/>
              <w:rPr>
                <w:color w:val="000000"/>
                <w:sz w:val="20"/>
                <w:szCs w:val="20"/>
              </w:rPr>
            </w:pPr>
            <w:r w:rsidRPr="007C51D6">
              <w:rPr>
                <w:color w:val="000000"/>
                <w:sz w:val="20"/>
                <w:szCs w:val="20"/>
              </w:rPr>
              <w:t>9</w:t>
            </w:r>
          </w:p>
        </w:tc>
        <w:tc>
          <w:tcPr>
            <w:tcW w:w="1247" w:type="dxa"/>
          </w:tcPr>
          <w:p w:rsidR="003B175E" w:rsidRPr="007C51D6" w:rsidRDefault="003B175E" w:rsidP="003B175E">
            <w:pPr>
              <w:autoSpaceDE/>
              <w:autoSpaceDN/>
              <w:adjustRightInd/>
              <w:jc w:val="center"/>
              <w:rPr>
                <w:color w:val="000000"/>
                <w:sz w:val="20"/>
                <w:szCs w:val="20"/>
              </w:rPr>
            </w:pPr>
            <w:r w:rsidRPr="007C51D6">
              <w:rPr>
                <w:color w:val="000000"/>
                <w:sz w:val="20"/>
                <w:szCs w:val="20"/>
              </w:rPr>
              <w:t>10</w:t>
            </w:r>
          </w:p>
        </w:tc>
        <w:tc>
          <w:tcPr>
            <w:tcW w:w="1247" w:type="dxa"/>
          </w:tcPr>
          <w:p w:rsidR="003B175E" w:rsidRPr="007C51D6" w:rsidRDefault="003B175E" w:rsidP="003B175E">
            <w:pPr>
              <w:autoSpaceDE/>
              <w:autoSpaceDN/>
              <w:adjustRightInd/>
              <w:jc w:val="center"/>
              <w:rPr>
                <w:color w:val="000000"/>
                <w:sz w:val="20"/>
                <w:szCs w:val="20"/>
              </w:rPr>
            </w:pPr>
            <w:r w:rsidRPr="007C51D6">
              <w:rPr>
                <w:color w:val="000000"/>
                <w:sz w:val="20"/>
                <w:szCs w:val="20"/>
              </w:rPr>
              <w:t>11</w:t>
            </w:r>
          </w:p>
        </w:tc>
      </w:tr>
      <w:tr w:rsidR="00742D16" w:rsidRPr="007C51D6" w:rsidTr="00742D16">
        <w:tblPrEx>
          <w:tblBorders>
            <w:bottom w:val="single" w:sz="4" w:space="0" w:color="auto"/>
          </w:tblBorders>
          <w:tblCellMar>
            <w:top w:w="0" w:type="dxa"/>
            <w:bottom w:w="0" w:type="dxa"/>
          </w:tblCellMar>
        </w:tblPrEx>
        <w:trPr>
          <w:trHeight w:val="20"/>
        </w:trPr>
        <w:tc>
          <w:tcPr>
            <w:tcW w:w="2991" w:type="dxa"/>
            <w:shd w:val="clear" w:color="auto" w:fill="auto"/>
            <w:hideMark/>
          </w:tcPr>
          <w:p w:rsidR="00742D16" w:rsidRPr="007C51D6" w:rsidRDefault="00742D16" w:rsidP="00742D16">
            <w:pPr>
              <w:autoSpaceDE/>
              <w:autoSpaceDN/>
              <w:adjustRightInd/>
              <w:rPr>
                <w:color w:val="000000"/>
                <w:sz w:val="20"/>
                <w:szCs w:val="20"/>
              </w:rPr>
            </w:pPr>
            <w:r w:rsidRPr="007C51D6">
              <w:rPr>
                <w:color w:val="000000"/>
                <w:sz w:val="20"/>
                <w:szCs w:val="20"/>
              </w:rPr>
              <w:t>Республика Татарстан</w:t>
            </w:r>
          </w:p>
        </w:tc>
        <w:tc>
          <w:tcPr>
            <w:tcW w:w="1183" w:type="dxa"/>
            <w:shd w:val="clear" w:color="auto" w:fill="auto"/>
            <w:hideMark/>
          </w:tcPr>
          <w:p w:rsidR="00742D16" w:rsidRPr="007C51D6" w:rsidRDefault="00742D16" w:rsidP="00742D16">
            <w:pPr>
              <w:autoSpaceDE/>
              <w:autoSpaceDN/>
              <w:adjustRightInd/>
              <w:jc w:val="center"/>
              <w:rPr>
                <w:color w:val="000000"/>
                <w:sz w:val="20"/>
                <w:szCs w:val="20"/>
              </w:rPr>
            </w:pPr>
            <w:r w:rsidRPr="007C51D6">
              <w:rPr>
                <w:color w:val="000000"/>
                <w:sz w:val="20"/>
                <w:szCs w:val="20"/>
              </w:rPr>
              <w:t>56,82</w:t>
            </w:r>
          </w:p>
        </w:tc>
        <w:tc>
          <w:tcPr>
            <w:tcW w:w="1184" w:type="dxa"/>
            <w:shd w:val="clear" w:color="auto" w:fill="auto"/>
            <w:hideMark/>
          </w:tcPr>
          <w:p w:rsidR="00742D16" w:rsidRPr="007C51D6" w:rsidRDefault="00742D16" w:rsidP="00742D16">
            <w:pPr>
              <w:autoSpaceDE/>
              <w:autoSpaceDN/>
              <w:adjustRightInd/>
              <w:jc w:val="center"/>
              <w:rPr>
                <w:color w:val="000000"/>
                <w:sz w:val="20"/>
                <w:szCs w:val="20"/>
              </w:rPr>
            </w:pPr>
            <w:r w:rsidRPr="007C51D6">
              <w:rPr>
                <w:color w:val="000000"/>
                <w:sz w:val="20"/>
                <w:szCs w:val="20"/>
              </w:rPr>
              <w:t>57,60</w:t>
            </w:r>
          </w:p>
        </w:tc>
        <w:tc>
          <w:tcPr>
            <w:tcW w:w="1183" w:type="dxa"/>
            <w:shd w:val="clear" w:color="auto" w:fill="auto"/>
            <w:hideMark/>
          </w:tcPr>
          <w:p w:rsidR="00742D16" w:rsidRPr="007C51D6" w:rsidRDefault="00742D16" w:rsidP="00742D16">
            <w:pPr>
              <w:autoSpaceDE/>
              <w:autoSpaceDN/>
              <w:adjustRightInd/>
              <w:jc w:val="center"/>
              <w:rPr>
                <w:color w:val="000000"/>
                <w:sz w:val="20"/>
                <w:szCs w:val="20"/>
              </w:rPr>
            </w:pPr>
            <w:r w:rsidRPr="007C51D6">
              <w:rPr>
                <w:color w:val="000000"/>
                <w:sz w:val="20"/>
                <w:szCs w:val="20"/>
              </w:rPr>
              <w:t>58,25</w:t>
            </w:r>
          </w:p>
        </w:tc>
        <w:tc>
          <w:tcPr>
            <w:tcW w:w="1343" w:type="dxa"/>
            <w:shd w:val="clear" w:color="auto" w:fill="auto"/>
            <w:hideMark/>
          </w:tcPr>
          <w:p w:rsidR="00742D16" w:rsidRPr="007C51D6" w:rsidRDefault="00742D16" w:rsidP="00742D16">
            <w:pPr>
              <w:autoSpaceDE/>
              <w:autoSpaceDN/>
              <w:adjustRightInd/>
              <w:jc w:val="center"/>
              <w:rPr>
                <w:color w:val="000000"/>
                <w:sz w:val="20"/>
                <w:szCs w:val="20"/>
              </w:rPr>
            </w:pPr>
            <w:r w:rsidRPr="007C51D6">
              <w:rPr>
                <w:color w:val="000000"/>
                <w:sz w:val="20"/>
                <w:szCs w:val="20"/>
              </w:rPr>
              <w:t>58,72</w:t>
            </w:r>
          </w:p>
        </w:tc>
        <w:tc>
          <w:tcPr>
            <w:tcW w:w="1183" w:type="dxa"/>
            <w:shd w:val="clear" w:color="auto" w:fill="auto"/>
            <w:hideMark/>
          </w:tcPr>
          <w:p w:rsidR="00742D16" w:rsidRPr="007C51D6" w:rsidRDefault="00742D16" w:rsidP="00742D16">
            <w:pPr>
              <w:autoSpaceDE/>
              <w:autoSpaceDN/>
              <w:adjustRightInd/>
              <w:jc w:val="center"/>
              <w:rPr>
                <w:color w:val="000000"/>
                <w:sz w:val="20"/>
                <w:szCs w:val="20"/>
              </w:rPr>
            </w:pPr>
            <w:r w:rsidRPr="007C51D6">
              <w:rPr>
                <w:color w:val="000000"/>
                <w:sz w:val="20"/>
                <w:szCs w:val="20"/>
              </w:rPr>
              <w:t>59,14</w:t>
            </w:r>
          </w:p>
        </w:tc>
        <w:tc>
          <w:tcPr>
            <w:tcW w:w="1183" w:type="dxa"/>
          </w:tcPr>
          <w:p w:rsidR="00742D16" w:rsidRPr="007C51D6" w:rsidRDefault="00742D16" w:rsidP="00742D16">
            <w:pPr>
              <w:autoSpaceDE/>
              <w:autoSpaceDN/>
              <w:adjustRightInd/>
              <w:jc w:val="center"/>
              <w:rPr>
                <w:color w:val="000000"/>
                <w:sz w:val="20"/>
                <w:szCs w:val="20"/>
              </w:rPr>
            </w:pPr>
            <w:r w:rsidRPr="007C51D6">
              <w:rPr>
                <w:color w:val="000000"/>
                <w:sz w:val="20"/>
                <w:szCs w:val="20"/>
              </w:rPr>
              <w:t>59,31</w:t>
            </w:r>
          </w:p>
        </w:tc>
        <w:tc>
          <w:tcPr>
            <w:tcW w:w="1184" w:type="dxa"/>
          </w:tcPr>
          <w:p w:rsidR="00742D16" w:rsidRPr="007C51D6" w:rsidRDefault="00742D16" w:rsidP="00742D16">
            <w:pPr>
              <w:autoSpaceDE/>
              <w:autoSpaceDN/>
              <w:adjustRightInd/>
              <w:jc w:val="center"/>
              <w:rPr>
                <w:color w:val="000000"/>
                <w:sz w:val="20"/>
                <w:szCs w:val="20"/>
              </w:rPr>
            </w:pPr>
            <w:r w:rsidRPr="007C51D6">
              <w:rPr>
                <w:color w:val="000000"/>
                <w:sz w:val="20"/>
                <w:szCs w:val="20"/>
              </w:rPr>
              <w:t>59,60</w:t>
            </w:r>
          </w:p>
        </w:tc>
        <w:tc>
          <w:tcPr>
            <w:tcW w:w="1183" w:type="dxa"/>
          </w:tcPr>
          <w:p w:rsidR="00742D16" w:rsidRPr="007C51D6" w:rsidRDefault="00742D16" w:rsidP="00742D16">
            <w:pPr>
              <w:autoSpaceDE/>
              <w:autoSpaceDN/>
              <w:adjustRightInd/>
              <w:jc w:val="center"/>
              <w:rPr>
                <w:color w:val="000000"/>
                <w:sz w:val="20"/>
                <w:szCs w:val="20"/>
              </w:rPr>
            </w:pPr>
            <w:r w:rsidRPr="007C51D6">
              <w:rPr>
                <w:color w:val="000000"/>
                <w:sz w:val="20"/>
                <w:szCs w:val="20"/>
              </w:rPr>
              <w:t>60,1</w:t>
            </w:r>
          </w:p>
        </w:tc>
        <w:tc>
          <w:tcPr>
            <w:tcW w:w="1247" w:type="dxa"/>
          </w:tcPr>
          <w:p w:rsidR="00742D16" w:rsidRPr="007C51D6" w:rsidRDefault="00742D16" w:rsidP="00742D16">
            <w:pPr>
              <w:autoSpaceDE/>
              <w:autoSpaceDN/>
              <w:adjustRightInd/>
              <w:jc w:val="center"/>
              <w:rPr>
                <w:color w:val="000000"/>
                <w:sz w:val="20"/>
                <w:szCs w:val="20"/>
              </w:rPr>
            </w:pPr>
            <w:r w:rsidRPr="007C51D6">
              <w:rPr>
                <w:color w:val="000000"/>
                <w:sz w:val="20"/>
                <w:szCs w:val="20"/>
              </w:rPr>
              <w:t>60,40</w:t>
            </w:r>
          </w:p>
        </w:tc>
        <w:tc>
          <w:tcPr>
            <w:tcW w:w="1247" w:type="dxa"/>
            <w:vAlign w:val="center"/>
          </w:tcPr>
          <w:p w:rsidR="00742D16" w:rsidRPr="007C51D6" w:rsidRDefault="00D1588E" w:rsidP="00742D16">
            <w:pPr>
              <w:widowControl/>
              <w:autoSpaceDE/>
              <w:autoSpaceDN/>
              <w:adjustRightInd/>
              <w:jc w:val="center"/>
              <w:rPr>
                <w:color w:val="000000"/>
                <w:sz w:val="20"/>
                <w:szCs w:val="20"/>
              </w:rPr>
            </w:pPr>
            <w:r>
              <w:rPr>
                <w:color w:val="000000"/>
                <w:sz w:val="20"/>
                <w:szCs w:val="20"/>
              </w:rPr>
              <w:t>55,</w:t>
            </w:r>
            <w:r w:rsidR="00742D16" w:rsidRPr="007C51D6">
              <w:rPr>
                <w:color w:val="000000"/>
                <w:sz w:val="20"/>
                <w:szCs w:val="20"/>
              </w:rPr>
              <w:t>24</w:t>
            </w:r>
          </w:p>
        </w:tc>
      </w:tr>
      <w:tr w:rsidR="00742D16" w:rsidRPr="007C51D6" w:rsidTr="00742D16">
        <w:tblPrEx>
          <w:tblBorders>
            <w:bottom w:val="single" w:sz="4" w:space="0" w:color="auto"/>
          </w:tblBorders>
          <w:tblCellMar>
            <w:top w:w="0" w:type="dxa"/>
            <w:bottom w:w="0" w:type="dxa"/>
          </w:tblCellMar>
        </w:tblPrEx>
        <w:trPr>
          <w:trHeight w:val="20"/>
        </w:trPr>
        <w:tc>
          <w:tcPr>
            <w:tcW w:w="2991" w:type="dxa"/>
            <w:shd w:val="clear" w:color="auto" w:fill="auto"/>
            <w:hideMark/>
          </w:tcPr>
          <w:p w:rsidR="00742D16" w:rsidRPr="007C51D6" w:rsidRDefault="00742D16" w:rsidP="00742D16">
            <w:pPr>
              <w:autoSpaceDE/>
              <w:autoSpaceDN/>
              <w:adjustRightInd/>
              <w:rPr>
                <w:color w:val="000000"/>
                <w:sz w:val="20"/>
                <w:szCs w:val="20"/>
              </w:rPr>
            </w:pPr>
            <w:r w:rsidRPr="007C51D6">
              <w:rPr>
                <w:color w:val="000000"/>
                <w:sz w:val="20"/>
                <w:szCs w:val="20"/>
              </w:rPr>
              <w:t>Агрызский</w:t>
            </w:r>
          </w:p>
        </w:tc>
        <w:tc>
          <w:tcPr>
            <w:tcW w:w="1183" w:type="dxa"/>
            <w:shd w:val="clear" w:color="auto" w:fill="auto"/>
            <w:hideMark/>
          </w:tcPr>
          <w:p w:rsidR="00742D16" w:rsidRPr="007C51D6" w:rsidRDefault="00742D16" w:rsidP="00742D16">
            <w:pPr>
              <w:autoSpaceDE/>
              <w:autoSpaceDN/>
              <w:adjustRightInd/>
              <w:jc w:val="center"/>
              <w:rPr>
                <w:color w:val="000000"/>
                <w:sz w:val="20"/>
                <w:szCs w:val="20"/>
              </w:rPr>
            </w:pPr>
            <w:r w:rsidRPr="007C51D6">
              <w:rPr>
                <w:color w:val="000000"/>
                <w:sz w:val="20"/>
                <w:szCs w:val="20"/>
              </w:rPr>
              <w:t>51,89</w:t>
            </w:r>
          </w:p>
        </w:tc>
        <w:tc>
          <w:tcPr>
            <w:tcW w:w="1184" w:type="dxa"/>
            <w:shd w:val="clear" w:color="auto" w:fill="auto"/>
            <w:hideMark/>
          </w:tcPr>
          <w:p w:rsidR="00742D16" w:rsidRPr="007C51D6" w:rsidRDefault="00742D16" w:rsidP="00742D16">
            <w:pPr>
              <w:autoSpaceDE/>
              <w:autoSpaceDN/>
              <w:adjustRightInd/>
              <w:jc w:val="center"/>
              <w:rPr>
                <w:color w:val="000000"/>
                <w:sz w:val="20"/>
                <w:szCs w:val="20"/>
              </w:rPr>
            </w:pPr>
            <w:r w:rsidRPr="007C51D6">
              <w:rPr>
                <w:color w:val="000000"/>
                <w:sz w:val="20"/>
                <w:szCs w:val="20"/>
              </w:rPr>
              <w:t>53,08</w:t>
            </w:r>
          </w:p>
        </w:tc>
        <w:tc>
          <w:tcPr>
            <w:tcW w:w="1183" w:type="dxa"/>
            <w:shd w:val="clear" w:color="auto" w:fill="auto"/>
            <w:hideMark/>
          </w:tcPr>
          <w:p w:rsidR="00742D16" w:rsidRPr="007C51D6" w:rsidRDefault="00742D16" w:rsidP="00742D16">
            <w:pPr>
              <w:autoSpaceDE/>
              <w:autoSpaceDN/>
              <w:adjustRightInd/>
              <w:jc w:val="center"/>
              <w:rPr>
                <w:color w:val="000000"/>
                <w:sz w:val="20"/>
                <w:szCs w:val="20"/>
              </w:rPr>
            </w:pPr>
            <w:r w:rsidRPr="007C51D6">
              <w:rPr>
                <w:color w:val="000000"/>
                <w:sz w:val="20"/>
                <w:szCs w:val="20"/>
              </w:rPr>
              <w:t>50,93</w:t>
            </w:r>
          </w:p>
        </w:tc>
        <w:tc>
          <w:tcPr>
            <w:tcW w:w="1343" w:type="dxa"/>
            <w:shd w:val="clear" w:color="auto" w:fill="auto"/>
            <w:hideMark/>
          </w:tcPr>
          <w:p w:rsidR="00742D16" w:rsidRPr="007C51D6" w:rsidRDefault="00742D16" w:rsidP="00742D16">
            <w:pPr>
              <w:autoSpaceDE/>
              <w:autoSpaceDN/>
              <w:adjustRightInd/>
              <w:jc w:val="center"/>
              <w:rPr>
                <w:color w:val="000000"/>
                <w:sz w:val="20"/>
                <w:szCs w:val="20"/>
              </w:rPr>
            </w:pPr>
            <w:r w:rsidRPr="007C51D6">
              <w:rPr>
                <w:color w:val="000000"/>
                <w:sz w:val="20"/>
                <w:szCs w:val="20"/>
              </w:rPr>
              <w:t>51,71</w:t>
            </w:r>
          </w:p>
        </w:tc>
        <w:tc>
          <w:tcPr>
            <w:tcW w:w="1183" w:type="dxa"/>
            <w:shd w:val="clear" w:color="auto" w:fill="auto"/>
            <w:hideMark/>
          </w:tcPr>
          <w:p w:rsidR="00742D16" w:rsidRPr="007C51D6" w:rsidRDefault="00742D16" w:rsidP="00742D16">
            <w:pPr>
              <w:autoSpaceDE/>
              <w:autoSpaceDN/>
              <w:adjustRightInd/>
              <w:jc w:val="center"/>
              <w:rPr>
                <w:color w:val="000000"/>
                <w:sz w:val="20"/>
                <w:szCs w:val="20"/>
              </w:rPr>
            </w:pPr>
            <w:r w:rsidRPr="007C51D6">
              <w:rPr>
                <w:color w:val="000000"/>
                <w:sz w:val="20"/>
                <w:szCs w:val="20"/>
              </w:rPr>
              <w:t>53,31</w:t>
            </w:r>
          </w:p>
        </w:tc>
        <w:tc>
          <w:tcPr>
            <w:tcW w:w="1183" w:type="dxa"/>
          </w:tcPr>
          <w:p w:rsidR="00742D16" w:rsidRPr="007C51D6" w:rsidRDefault="00742D16" w:rsidP="00742D16">
            <w:pPr>
              <w:autoSpaceDE/>
              <w:autoSpaceDN/>
              <w:adjustRightInd/>
              <w:jc w:val="center"/>
              <w:rPr>
                <w:color w:val="000000"/>
                <w:sz w:val="20"/>
                <w:szCs w:val="20"/>
              </w:rPr>
            </w:pPr>
            <w:r w:rsidRPr="007C51D6">
              <w:rPr>
                <w:color w:val="000000"/>
                <w:sz w:val="20"/>
                <w:szCs w:val="20"/>
              </w:rPr>
              <w:t>55,52</w:t>
            </w:r>
          </w:p>
        </w:tc>
        <w:tc>
          <w:tcPr>
            <w:tcW w:w="1184" w:type="dxa"/>
          </w:tcPr>
          <w:p w:rsidR="00742D16" w:rsidRPr="007C51D6" w:rsidRDefault="00742D16" w:rsidP="00742D16">
            <w:pPr>
              <w:jc w:val="center"/>
              <w:rPr>
                <w:color w:val="000000"/>
                <w:sz w:val="20"/>
                <w:szCs w:val="20"/>
              </w:rPr>
            </w:pPr>
            <w:r w:rsidRPr="007C51D6">
              <w:rPr>
                <w:color w:val="000000"/>
                <w:sz w:val="20"/>
                <w:szCs w:val="20"/>
              </w:rPr>
              <w:t>57,21</w:t>
            </w:r>
          </w:p>
        </w:tc>
        <w:tc>
          <w:tcPr>
            <w:tcW w:w="1183" w:type="dxa"/>
          </w:tcPr>
          <w:p w:rsidR="00742D16" w:rsidRPr="007C51D6" w:rsidRDefault="00742D16" w:rsidP="00742D16">
            <w:pPr>
              <w:autoSpaceDE/>
              <w:autoSpaceDN/>
              <w:adjustRightInd/>
              <w:jc w:val="center"/>
              <w:rPr>
                <w:color w:val="000000"/>
                <w:sz w:val="20"/>
                <w:szCs w:val="20"/>
              </w:rPr>
            </w:pPr>
            <w:r w:rsidRPr="007C51D6">
              <w:rPr>
                <w:color w:val="000000"/>
                <w:sz w:val="20"/>
                <w:szCs w:val="20"/>
              </w:rPr>
              <w:t>58,0</w:t>
            </w:r>
          </w:p>
        </w:tc>
        <w:tc>
          <w:tcPr>
            <w:tcW w:w="1247" w:type="dxa"/>
            <w:vAlign w:val="center"/>
          </w:tcPr>
          <w:p w:rsidR="00742D16" w:rsidRPr="007C51D6" w:rsidRDefault="00D1588E" w:rsidP="00742D16">
            <w:pPr>
              <w:autoSpaceDE/>
              <w:autoSpaceDN/>
              <w:adjustRightInd/>
              <w:jc w:val="center"/>
              <w:rPr>
                <w:color w:val="000000"/>
                <w:sz w:val="20"/>
                <w:szCs w:val="20"/>
              </w:rPr>
            </w:pPr>
            <w:r>
              <w:rPr>
                <w:color w:val="000000"/>
                <w:sz w:val="20"/>
                <w:szCs w:val="20"/>
              </w:rPr>
              <w:t>62,</w:t>
            </w:r>
            <w:r w:rsidR="00742D16" w:rsidRPr="007C51D6">
              <w:rPr>
                <w:color w:val="000000"/>
                <w:sz w:val="20"/>
                <w:szCs w:val="20"/>
              </w:rPr>
              <w:t>97</w:t>
            </w:r>
          </w:p>
        </w:tc>
        <w:tc>
          <w:tcPr>
            <w:tcW w:w="1247" w:type="dxa"/>
            <w:vAlign w:val="center"/>
          </w:tcPr>
          <w:p w:rsidR="00742D16" w:rsidRPr="007C51D6" w:rsidRDefault="00D1588E" w:rsidP="00742D16">
            <w:pPr>
              <w:jc w:val="center"/>
              <w:rPr>
                <w:color w:val="000000"/>
                <w:sz w:val="20"/>
                <w:szCs w:val="20"/>
              </w:rPr>
            </w:pPr>
            <w:r>
              <w:rPr>
                <w:color w:val="000000"/>
                <w:sz w:val="20"/>
                <w:szCs w:val="20"/>
              </w:rPr>
              <w:t>61,</w:t>
            </w:r>
            <w:r w:rsidR="00742D16" w:rsidRPr="007C51D6">
              <w:rPr>
                <w:color w:val="000000"/>
                <w:sz w:val="20"/>
                <w:szCs w:val="20"/>
              </w:rPr>
              <w:t>94</w:t>
            </w:r>
          </w:p>
        </w:tc>
      </w:tr>
      <w:tr w:rsidR="00742D16" w:rsidRPr="007C51D6" w:rsidTr="00742D16">
        <w:tblPrEx>
          <w:tblBorders>
            <w:bottom w:val="single" w:sz="4" w:space="0" w:color="auto"/>
          </w:tblBorders>
          <w:tblCellMar>
            <w:top w:w="0" w:type="dxa"/>
            <w:bottom w:w="0" w:type="dxa"/>
          </w:tblCellMar>
        </w:tblPrEx>
        <w:trPr>
          <w:trHeight w:val="20"/>
        </w:trPr>
        <w:tc>
          <w:tcPr>
            <w:tcW w:w="2991" w:type="dxa"/>
            <w:shd w:val="clear" w:color="auto" w:fill="auto"/>
            <w:hideMark/>
          </w:tcPr>
          <w:p w:rsidR="00742D16" w:rsidRPr="007C51D6" w:rsidRDefault="00742D16" w:rsidP="00742D16">
            <w:pPr>
              <w:autoSpaceDE/>
              <w:autoSpaceDN/>
              <w:adjustRightInd/>
              <w:rPr>
                <w:color w:val="000000"/>
                <w:sz w:val="20"/>
                <w:szCs w:val="20"/>
              </w:rPr>
            </w:pPr>
            <w:r w:rsidRPr="007C51D6">
              <w:rPr>
                <w:color w:val="000000"/>
                <w:sz w:val="20"/>
                <w:szCs w:val="20"/>
              </w:rPr>
              <w:t>Азнакаевский</w:t>
            </w:r>
          </w:p>
        </w:tc>
        <w:tc>
          <w:tcPr>
            <w:tcW w:w="1183" w:type="dxa"/>
            <w:shd w:val="clear" w:color="auto" w:fill="auto"/>
            <w:hideMark/>
          </w:tcPr>
          <w:p w:rsidR="00742D16" w:rsidRPr="007C51D6" w:rsidRDefault="00742D16" w:rsidP="00742D16">
            <w:pPr>
              <w:autoSpaceDE/>
              <w:autoSpaceDN/>
              <w:adjustRightInd/>
              <w:jc w:val="center"/>
              <w:rPr>
                <w:color w:val="000000"/>
                <w:sz w:val="20"/>
                <w:szCs w:val="20"/>
              </w:rPr>
            </w:pPr>
            <w:r w:rsidRPr="007C51D6">
              <w:rPr>
                <w:color w:val="000000"/>
                <w:sz w:val="20"/>
                <w:szCs w:val="20"/>
              </w:rPr>
              <w:t>49,58</w:t>
            </w:r>
          </w:p>
        </w:tc>
        <w:tc>
          <w:tcPr>
            <w:tcW w:w="1184" w:type="dxa"/>
            <w:shd w:val="clear" w:color="auto" w:fill="auto"/>
            <w:hideMark/>
          </w:tcPr>
          <w:p w:rsidR="00742D16" w:rsidRPr="007C51D6" w:rsidRDefault="00742D16" w:rsidP="00742D16">
            <w:pPr>
              <w:autoSpaceDE/>
              <w:autoSpaceDN/>
              <w:adjustRightInd/>
              <w:jc w:val="center"/>
              <w:rPr>
                <w:color w:val="000000"/>
                <w:sz w:val="20"/>
                <w:szCs w:val="20"/>
              </w:rPr>
            </w:pPr>
            <w:r w:rsidRPr="007C51D6">
              <w:rPr>
                <w:color w:val="000000"/>
                <w:sz w:val="20"/>
                <w:szCs w:val="20"/>
              </w:rPr>
              <w:t>49,05</w:t>
            </w:r>
          </w:p>
        </w:tc>
        <w:tc>
          <w:tcPr>
            <w:tcW w:w="1183" w:type="dxa"/>
            <w:shd w:val="clear" w:color="auto" w:fill="auto"/>
            <w:hideMark/>
          </w:tcPr>
          <w:p w:rsidR="00742D16" w:rsidRPr="007C51D6" w:rsidRDefault="00742D16" w:rsidP="00742D16">
            <w:pPr>
              <w:autoSpaceDE/>
              <w:autoSpaceDN/>
              <w:adjustRightInd/>
              <w:jc w:val="center"/>
              <w:rPr>
                <w:color w:val="000000"/>
                <w:sz w:val="20"/>
                <w:szCs w:val="20"/>
              </w:rPr>
            </w:pPr>
            <w:r w:rsidRPr="007C51D6">
              <w:rPr>
                <w:color w:val="000000"/>
                <w:sz w:val="20"/>
                <w:szCs w:val="20"/>
              </w:rPr>
              <w:t>49,42</w:t>
            </w:r>
          </w:p>
        </w:tc>
        <w:tc>
          <w:tcPr>
            <w:tcW w:w="1343" w:type="dxa"/>
            <w:shd w:val="clear" w:color="auto" w:fill="auto"/>
            <w:hideMark/>
          </w:tcPr>
          <w:p w:rsidR="00742D16" w:rsidRPr="007C51D6" w:rsidRDefault="00742D16" w:rsidP="00742D16">
            <w:pPr>
              <w:autoSpaceDE/>
              <w:autoSpaceDN/>
              <w:adjustRightInd/>
              <w:jc w:val="center"/>
              <w:rPr>
                <w:color w:val="000000"/>
                <w:sz w:val="20"/>
                <w:szCs w:val="20"/>
              </w:rPr>
            </w:pPr>
            <w:r w:rsidRPr="007C51D6">
              <w:rPr>
                <w:color w:val="000000"/>
                <w:sz w:val="20"/>
                <w:szCs w:val="20"/>
              </w:rPr>
              <w:t>50,17</w:t>
            </w:r>
          </w:p>
        </w:tc>
        <w:tc>
          <w:tcPr>
            <w:tcW w:w="1183" w:type="dxa"/>
            <w:shd w:val="clear" w:color="auto" w:fill="auto"/>
            <w:hideMark/>
          </w:tcPr>
          <w:p w:rsidR="00742D16" w:rsidRPr="007C51D6" w:rsidRDefault="00742D16" w:rsidP="00742D16">
            <w:pPr>
              <w:autoSpaceDE/>
              <w:autoSpaceDN/>
              <w:adjustRightInd/>
              <w:jc w:val="center"/>
              <w:rPr>
                <w:color w:val="000000"/>
                <w:sz w:val="20"/>
                <w:szCs w:val="20"/>
              </w:rPr>
            </w:pPr>
            <w:r w:rsidRPr="007C51D6">
              <w:rPr>
                <w:color w:val="000000"/>
                <w:sz w:val="20"/>
                <w:szCs w:val="20"/>
              </w:rPr>
              <w:t>53,44</w:t>
            </w:r>
          </w:p>
        </w:tc>
        <w:tc>
          <w:tcPr>
            <w:tcW w:w="1183" w:type="dxa"/>
          </w:tcPr>
          <w:p w:rsidR="00742D16" w:rsidRPr="007C51D6" w:rsidRDefault="00742D16" w:rsidP="00742D16">
            <w:pPr>
              <w:autoSpaceDE/>
              <w:autoSpaceDN/>
              <w:adjustRightInd/>
              <w:jc w:val="center"/>
              <w:rPr>
                <w:color w:val="000000"/>
                <w:sz w:val="20"/>
                <w:szCs w:val="20"/>
              </w:rPr>
            </w:pPr>
            <w:r w:rsidRPr="007C51D6">
              <w:rPr>
                <w:color w:val="000000"/>
                <w:sz w:val="20"/>
                <w:szCs w:val="20"/>
              </w:rPr>
              <w:t>56,92</w:t>
            </w:r>
          </w:p>
        </w:tc>
        <w:tc>
          <w:tcPr>
            <w:tcW w:w="1184" w:type="dxa"/>
          </w:tcPr>
          <w:p w:rsidR="00742D16" w:rsidRPr="007C51D6" w:rsidRDefault="00742D16" w:rsidP="00742D16">
            <w:pPr>
              <w:jc w:val="center"/>
              <w:rPr>
                <w:color w:val="000000"/>
                <w:sz w:val="20"/>
                <w:szCs w:val="20"/>
              </w:rPr>
            </w:pPr>
            <w:r w:rsidRPr="007C51D6">
              <w:rPr>
                <w:color w:val="000000"/>
                <w:sz w:val="20"/>
                <w:szCs w:val="20"/>
              </w:rPr>
              <w:t>57,90</w:t>
            </w:r>
          </w:p>
        </w:tc>
        <w:tc>
          <w:tcPr>
            <w:tcW w:w="1183" w:type="dxa"/>
          </w:tcPr>
          <w:p w:rsidR="00742D16" w:rsidRPr="007C51D6" w:rsidRDefault="00742D16" w:rsidP="00742D16">
            <w:pPr>
              <w:jc w:val="center"/>
              <w:rPr>
                <w:color w:val="000000"/>
                <w:sz w:val="20"/>
                <w:szCs w:val="20"/>
              </w:rPr>
            </w:pPr>
            <w:r w:rsidRPr="007C51D6">
              <w:rPr>
                <w:color w:val="000000"/>
                <w:sz w:val="20"/>
                <w:szCs w:val="20"/>
              </w:rPr>
              <w:t>59,9</w:t>
            </w:r>
          </w:p>
        </w:tc>
        <w:tc>
          <w:tcPr>
            <w:tcW w:w="1247" w:type="dxa"/>
            <w:vAlign w:val="center"/>
          </w:tcPr>
          <w:p w:rsidR="00742D16" w:rsidRPr="007C51D6" w:rsidRDefault="00D1588E" w:rsidP="00742D16">
            <w:pPr>
              <w:jc w:val="center"/>
              <w:rPr>
                <w:color w:val="000000"/>
                <w:sz w:val="20"/>
                <w:szCs w:val="20"/>
              </w:rPr>
            </w:pPr>
            <w:r>
              <w:rPr>
                <w:color w:val="000000"/>
                <w:sz w:val="20"/>
                <w:szCs w:val="20"/>
              </w:rPr>
              <w:t>61,</w:t>
            </w:r>
            <w:r w:rsidR="00742D16" w:rsidRPr="007C51D6">
              <w:rPr>
                <w:color w:val="000000"/>
                <w:sz w:val="20"/>
                <w:szCs w:val="20"/>
              </w:rPr>
              <w:t>28</w:t>
            </w:r>
          </w:p>
        </w:tc>
        <w:tc>
          <w:tcPr>
            <w:tcW w:w="1247" w:type="dxa"/>
            <w:vAlign w:val="center"/>
          </w:tcPr>
          <w:p w:rsidR="00742D16" w:rsidRPr="007C51D6" w:rsidRDefault="00D1588E" w:rsidP="00742D16">
            <w:pPr>
              <w:jc w:val="center"/>
              <w:rPr>
                <w:color w:val="000000"/>
                <w:sz w:val="20"/>
                <w:szCs w:val="20"/>
              </w:rPr>
            </w:pPr>
            <w:r>
              <w:rPr>
                <w:color w:val="000000"/>
                <w:sz w:val="20"/>
                <w:szCs w:val="20"/>
              </w:rPr>
              <w:t>58,</w:t>
            </w:r>
            <w:r w:rsidR="00742D16" w:rsidRPr="007C51D6">
              <w:rPr>
                <w:color w:val="000000"/>
                <w:sz w:val="20"/>
                <w:szCs w:val="20"/>
              </w:rPr>
              <w:t>64</w:t>
            </w:r>
          </w:p>
        </w:tc>
      </w:tr>
      <w:tr w:rsidR="00742D16" w:rsidRPr="007C51D6" w:rsidTr="00742D16">
        <w:tblPrEx>
          <w:tblBorders>
            <w:bottom w:val="single" w:sz="4" w:space="0" w:color="auto"/>
          </w:tblBorders>
          <w:tblCellMar>
            <w:top w:w="0" w:type="dxa"/>
            <w:bottom w:w="0" w:type="dxa"/>
          </w:tblCellMar>
        </w:tblPrEx>
        <w:trPr>
          <w:trHeight w:val="20"/>
        </w:trPr>
        <w:tc>
          <w:tcPr>
            <w:tcW w:w="2991" w:type="dxa"/>
            <w:shd w:val="clear" w:color="auto" w:fill="auto"/>
            <w:hideMark/>
          </w:tcPr>
          <w:p w:rsidR="00742D16" w:rsidRPr="007C51D6" w:rsidRDefault="00742D16" w:rsidP="00742D16">
            <w:pPr>
              <w:autoSpaceDE/>
              <w:autoSpaceDN/>
              <w:adjustRightInd/>
              <w:rPr>
                <w:color w:val="000000"/>
                <w:sz w:val="20"/>
                <w:szCs w:val="20"/>
              </w:rPr>
            </w:pPr>
            <w:r w:rsidRPr="007C51D6">
              <w:rPr>
                <w:color w:val="000000"/>
                <w:sz w:val="20"/>
                <w:szCs w:val="20"/>
              </w:rPr>
              <w:t>Аксубаевский</w:t>
            </w:r>
          </w:p>
        </w:tc>
        <w:tc>
          <w:tcPr>
            <w:tcW w:w="1183" w:type="dxa"/>
            <w:shd w:val="clear" w:color="auto" w:fill="auto"/>
            <w:hideMark/>
          </w:tcPr>
          <w:p w:rsidR="00742D16" w:rsidRPr="007C51D6" w:rsidRDefault="00742D16" w:rsidP="00742D16">
            <w:pPr>
              <w:autoSpaceDE/>
              <w:autoSpaceDN/>
              <w:adjustRightInd/>
              <w:jc w:val="center"/>
              <w:rPr>
                <w:color w:val="000000"/>
                <w:sz w:val="20"/>
                <w:szCs w:val="20"/>
              </w:rPr>
            </w:pPr>
            <w:r w:rsidRPr="007C51D6">
              <w:rPr>
                <w:color w:val="000000"/>
                <w:sz w:val="20"/>
                <w:szCs w:val="20"/>
              </w:rPr>
              <w:t>55,23</w:t>
            </w:r>
          </w:p>
        </w:tc>
        <w:tc>
          <w:tcPr>
            <w:tcW w:w="1184" w:type="dxa"/>
            <w:shd w:val="clear" w:color="auto" w:fill="auto"/>
            <w:hideMark/>
          </w:tcPr>
          <w:p w:rsidR="00742D16" w:rsidRPr="007C51D6" w:rsidRDefault="00742D16" w:rsidP="00742D16">
            <w:pPr>
              <w:autoSpaceDE/>
              <w:autoSpaceDN/>
              <w:adjustRightInd/>
              <w:jc w:val="center"/>
              <w:rPr>
                <w:color w:val="000000"/>
                <w:sz w:val="20"/>
                <w:szCs w:val="20"/>
              </w:rPr>
            </w:pPr>
            <w:r w:rsidRPr="007C51D6">
              <w:rPr>
                <w:color w:val="000000"/>
                <w:sz w:val="20"/>
                <w:szCs w:val="20"/>
              </w:rPr>
              <w:t>56,05</w:t>
            </w:r>
          </w:p>
        </w:tc>
        <w:tc>
          <w:tcPr>
            <w:tcW w:w="1183" w:type="dxa"/>
            <w:shd w:val="clear" w:color="auto" w:fill="auto"/>
            <w:hideMark/>
          </w:tcPr>
          <w:p w:rsidR="00742D16" w:rsidRPr="007C51D6" w:rsidRDefault="00742D16" w:rsidP="00742D16">
            <w:pPr>
              <w:autoSpaceDE/>
              <w:autoSpaceDN/>
              <w:adjustRightInd/>
              <w:jc w:val="center"/>
              <w:rPr>
                <w:color w:val="000000"/>
                <w:sz w:val="20"/>
                <w:szCs w:val="20"/>
              </w:rPr>
            </w:pPr>
            <w:r w:rsidRPr="007C51D6">
              <w:rPr>
                <w:color w:val="000000"/>
                <w:sz w:val="20"/>
                <w:szCs w:val="20"/>
              </w:rPr>
              <w:t>56,06</w:t>
            </w:r>
          </w:p>
        </w:tc>
        <w:tc>
          <w:tcPr>
            <w:tcW w:w="1343" w:type="dxa"/>
            <w:shd w:val="clear" w:color="auto" w:fill="auto"/>
            <w:hideMark/>
          </w:tcPr>
          <w:p w:rsidR="00742D16" w:rsidRPr="007C51D6" w:rsidRDefault="00742D16" w:rsidP="00742D16">
            <w:pPr>
              <w:autoSpaceDE/>
              <w:autoSpaceDN/>
              <w:adjustRightInd/>
              <w:jc w:val="center"/>
              <w:rPr>
                <w:color w:val="000000"/>
                <w:sz w:val="20"/>
                <w:szCs w:val="20"/>
              </w:rPr>
            </w:pPr>
            <w:r w:rsidRPr="007C51D6">
              <w:rPr>
                <w:color w:val="000000"/>
                <w:sz w:val="20"/>
                <w:szCs w:val="20"/>
              </w:rPr>
              <w:t>59,11</w:t>
            </w:r>
          </w:p>
        </w:tc>
        <w:tc>
          <w:tcPr>
            <w:tcW w:w="1183" w:type="dxa"/>
            <w:shd w:val="clear" w:color="auto" w:fill="auto"/>
            <w:hideMark/>
          </w:tcPr>
          <w:p w:rsidR="00742D16" w:rsidRPr="007C51D6" w:rsidRDefault="00742D16" w:rsidP="00742D16">
            <w:pPr>
              <w:autoSpaceDE/>
              <w:autoSpaceDN/>
              <w:adjustRightInd/>
              <w:jc w:val="center"/>
              <w:rPr>
                <w:color w:val="000000"/>
                <w:sz w:val="20"/>
                <w:szCs w:val="20"/>
              </w:rPr>
            </w:pPr>
            <w:r w:rsidRPr="007C51D6">
              <w:rPr>
                <w:color w:val="000000"/>
                <w:sz w:val="20"/>
                <w:szCs w:val="20"/>
              </w:rPr>
              <w:t>59,90</w:t>
            </w:r>
          </w:p>
        </w:tc>
        <w:tc>
          <w:tcPr>
            <w:tcW w:w="1183" w:type="dxa"/>
          </w:tcPr>
          <w:p w:rsidR="00742D16" w:rsidRPr="007C51D6" w:rsidRDefault="00742D16" w:rsidP="00742D16">
            <w:pPr>
              <w:autoSpaceDE/>
              <w:autoSpaceDN/>
              <w:adjustRightInd/>
              <w:jc w:val="center"/>
              <w:rPr>
                <w:color w:val="000000"/>
                <w:sz w:val="20"/>
                <w:szCs w:val="20"/>
              </w:rPr>
            </w:pPr>
            <w:r w:rsidRPr="007C51D6">
              <w:rPr>
                <w:color w:val="000000"/>
                <w:sz w:val="20"/>
                <w:szCs w:val="20"/>
              </w:rPr>
              <w:t>58,57</w:t>
            </w:r>
          </w:p>
        </w:tc>
        <w:tc>
          <w:tcPr>
            <w:tcW w:w="1184" w:type="dxa"/>
          </w:tcPr>
          <w:p w:rsidR="00742D16" w:rsidRPr="007C51D6" w:rsidRDefault="00742D16" w:rsidP="00742D16">
            <w:pPr>
              <w:jc w:val="center"/>
              <w:rPr>
                <w:color w:val="000000"/>
                <w:sz w:val="20"/>
                <w:szCs w:val="20"/>
              </w:rPr>
            </w:pPr>
            <w:r w:rsidRPr="007C51D6">
              <w:rPr>
                <w:color w:val="000000"/>
                <w:sz w:val="20"/>
                <w:szCs w:val="20"/>
              </w:rPr>
              <w:t>57,53</w:t>
            </w:r>
          </w:p>
        </w:tc>
        <w:tc>
          <w:tcPr>
            <w:tcW w:w="1183" w:type="dxa"/>
          </w:tcPr>
          <w:p w:rsidR="00742D16" w:rsidRPr="007C51D6" w:rsidRDefault="00742D16" w:rsidP="00742D16">
            <w:pPr>
              <w:jc w:val="center"/>
              <w:rPr>
                <w:color w:val="000000"/>
                <w:sz w:val="20"/>
                <w:szCs w:val="20"/>
              </w:rPr>
            </w:pPr>
            <w:r w:rsidRPr="007C51D6">
              <w:rPr>
                <w:color w:val="000000"/>
                <w:sz w:val="20"/>
                <w:szCs w:val="20"/>
              </w:rPr>
              <w:t>58,0</w:t>
            </w:r>
          </w:p>
        </w:tc>
        <w:tc>
          <w:tcPr>
            <w:tcW w:w="1247" w:type="dxa"/>
            <w:vAlign w:val="center"/>
          </w:tcPr>
          <w:p w:rsidR="00742D16" w:rsidRPr="007C51D6" w:rsidRDefault="00D1588E" w:rsidP="00742D16">
            <w:pPr>
              <w:jc w:val="center"/>
              <w:rPr>
                <w:color w:val="000000"/>
                <w:sz w:val="20"/>
                <w:szCs w:val="20"/>
              </w:rPr>
            </w:pPr>
            <w:r>
              <w:rPr>
                <w:color w:val="000000"/>
                <w:sz w:val="20"/>
                <w:szCs w:val="20"/>
              </w:rPr>
              <w:t>59,</w:t>
            </w:r>
            <w:r w:rsidR="00742D16" w:rsidRPr="007C51D6">
              <w:rPr>
                <w:color w:val="000000"/>
                <w:sz w:val="20"/>
                <w:szCs w:val="20"/>
              </w:rPr>
              <w:t>82</w:t>
            </w:r>
          </w:p>
        </w:tc>
        <w:tc>
          <w:tcPr>
            <w:tcW w:w="1247" w:type="dxa"/>
            <w:vAlign w:val="center"/>
          </w:tcPr>
          <w:p w:rsidR="00742D16" w:rsidRPr="007C51D6" w:rsidRDefault="00742D16" w:rsidP="00742D16">
            <w:pPr>
              <w:jc w:val="center"/>
              <w:rPr>
                <w:color w:val="000000"/>
                <w:sz w:val="20"/>
                <w:szCs w:val="20"/>
              </w:rPr>
            </w:pPr>
            <w:r w:rsidRPr="007C51D6">
              <w:rPr>
                <w:color w:val="000000"/>
                <w:sz w:val="20"/>
                <w:szCs w:val="20"/>
              </w:rPr>
              <w:t>56</w:t>
            </w:r>
            <w:r w:rsidR="00D1588E">
              <w:rPr>
                <w:color w:val="000000"/>
                <w:sz w:val="20"/>
                <w:szCs w:val="20"/>
                <w:lang w:val="en-US"/>
              </w:rPr>
              <w:t>,</w:t>
            </w:r>
            <w:r w:rsidRPr="007C51D6">
              <w:rPr>
                <w:color w:val="000000"/>
                <w:sz w:val="20"/>
                <w:szCs w:val="20"/>
              </w:rPr>
              <w:t>87</w:t>
            </w:r>
          </w:p>
        </w:tc>
      </w:tr>
      <w:tr w:rsidR="00742D16" w:rsidRPr="007C51D6" w:rsidTr="00742D16">
        <w:tblPrEx>
          <w:tblBorders>
            <w:bottom w:val="single" w:sz="4" w:space="0" w:color="auto"/>
          </w:tblBorders>
          <w:tblCellMar>
            <w:top w:w="0" w:type="dxa"/>
            <w:bottom w:w="0" w:type="dxa"/>
          </w:tblCellMar>
        </w:tblPrEx>
        <w:trPr>
          <w:trHeight w:val="20"/>
        </w:trPr>
        <w:tc>
          <w:tcPr>
            <w:tcW w:w="2991" w:type="dxa"/>
            <w:shd w:val="clear" w:color="auto" w:fill="auto"/>
            <w:hideMark/>
          </w:tcPr>
          <w:p w:rsidR="00742D16" w:rsidRPr="007C51D6" w:rsidRDefault="00742D16" w:rsidP="00742D16">
            <w:pPr>
              <w:autoSpaceDE/>
              <w:autoSpaceDN/>
              <w:adjustRightInd/>
              <w:rPr>
                <w:color w:val="000000"/>
                <w:sz w:val="20"/>
                <w:szCs w:val="20"/>
              </w:rPr>
            </w:pPr>
            <w:r w:rsidRPr="007C51D6">
              <w:rPr>
                <w:color w:val="000000"/>
                <w:sz w:val="20"/>
                <w:szCs w:val="20"/>
              </w:rPr>
              <w:t>Актанышский</w:t>
            </w:r>
          </w:p>
        </w:tc>
        <w:tc>
          <w:tcPr>
            <w:tcW w:w="1183" w:type="dxa"/>
            <w:shd w:val="clear" w:color="auto" w:fill="auto"/>
            <w:hideMark/>
          </w:tcPr>
          <w:p w:rsidR="00742D16" w:rsidRPr="007C51D6" w:rsidRDefault="00742D16" w:rsidP="00742D16">
            <w:pPr>
              <w:autoSpaceDE/>
              <w:autoSpaceDN/>
              <w:adjustRightInd/>
              <w:jc w:val="center"/>
              <w:rPr>
                <w:color w:val="000000"/>
                <w:sz w:val="20"/>
                <w:szCs w:val="20"/>
              </w:rPr>
            </w:pPr>
            <w:r w:rsidRPr="007C51D6">
              <w:rPr>
                <w:color w:val="000000"/>
                <w:sz w:val="20"/>
                <w:szCs w:val="20"/>
              </w:rPr>
              <w:t>51,69</w:t>
            </w:r>
          </w:p>
        </w:tc>
        <w:tc>
          <w:tcPr>
            <w:tcW w:w="1184" w:type="dxa"/>
            <w:shd w:val="clear" w:color="auto" w:fill="auto"/>
            <w:hideMark/>
          </w:tcPr>
          <w:p w:rsidR="00742D16" w:rsidRPr="007C51D6" w:rsidRDefault="00742D16" w:rsidP="00742D16">
            <w:pPr>
              <w:autoSpaceDE/>
              <w:autoSpaceDN/>
              <w:adjustRightInd/>
              <w:jc w:val="center"/>
              <w:rPr>
                <w:color w:val="000000"/>
                <w:sz w:val="20"/>
                <w:szCs w:val="20"/>
              </w:rPr>
            </w:pPr>
            <w:r w:rsidRPr="007C51D6">
              <w:rPr>
                <w:color w:val="000000"/>
                <w:sz w:val="20"/>
                <w:szCs w:val="20"/>
              </w:rPr>
              <w:t>54,19</w:t>
            </w:r>
          </w:p>
        </w:tc>
        <w:tc>
          <w:tcPr>
            <w:tcW w:w="1183" w:type="dxa"/>
            <w:shd w:val="clear" w:color="auto" w:fill="auto"/>
            <w:hideMark/>
          </w:tcPr>
          <w:p w:rsidR="00742D16" w:rsidRPr="007C51D6" w:rsidRDefault="00742D16" w:rsidP="00742D16">
            <w:pPr>
              <w:autoSpaceDE/>
              <w:autoSpaceDN/>
              <w:adjustRightInd/>
              <w:jc w:val="center"/>
              <w:rPr>
                <w:color w:val="000000"/>
                <w:sz w:val="20"/>
                <w:szCs w:val="20"/>
              </w:rPr>
            </w:pPr>
            <w:r w:rsidRPr="007C51D6">
              <w:rPr>
                <w:color w:val="000000"/>
                <w:sz w:val="20"/>
                <w:szCs w:val="20"/>
              </w:rPr>
              <w:t>54,07</w:t>
            </w:r>
          </w:p>
        </w:tc>
        <w:tc>
          <w:tcPr>
            <w:tcW w:w="1343" w:type="dxa"/>
            <w:shd w:val="clear" w:color="auto" w:fill="auto"/>
            <w:hideMark/>
          </w:tcPr>
          <w:p w:rsidR="00742D16" w:rsidRPr="007C51D6" w:rsidRDefault="00742D16" w:rsidP="00742D16">
            <w:pPr>
              <w:autoSpaceDE/>
              <w:autoSpaceDN/>
              <w:adjustRightInd/>
              <w:jc w:val="center"/>
              <w:rPr>
                <w:color w:val="000000"/>
                <w:sz w:val="20"/>
                <w:szCs w:val="20"/>
              </w:rPr>
            </w:pPr>
            <w:r w:rsidRPr="007C51D6">
              <w:rPr>
                <w:color w:val="000000"/>
                <w:sz w:val="20"/>
                <w:szCs w:val="20"/>
              </w:rPr>
              <w:t>54,06</w:t>
            </w:r>
          </w:p>
        </w:tc>
        <w:tc>
          <w:tcPr>
            <w:tcW w:w="1183" w:type="dxa"/>
            <w:shd w:val="clear" w:color="auto" w:fill="auto"/>
            <w:hideMark/>
          </w:tcPr>
          <w:p w:rsidR="00742D16" w:rsidRPr="007C51D6" w:rsidRDefault="00742D16" w:rsidP="00742D16">
            <w:pPr>
              <w:autoSpaceDE/>
              <w:autoSpaceDN/>
              <w:adjustRightInd/>
              <w:jc w:val="center"/>
              <w:rPr>
                <w:color w:val="000000"/>
                <w:sz w:val="20"/>
                <w:szCs w:val="20"/>
              </w:rPr>
            </w:pPr>
            <w:r w:rsidRPr="007C51D6">
              <w:rPr>
                <w:color w:val="000000"/>
                <w:sz w:val="20"/>
                <w:szCs w:val="20"/>
              </w:rPr>
              <w:t>56,12</w:t>
            </w:r>
          </w:p>
        </w:tc>
        <w:tc>
          <w:tcPr>
            <w:tcW w:w="1183" w:type="dxa"/>
          </w:tcPr>
          <w:p w:rsidR="00742D16" w:rsidRPr="007C51D6" w:rsidRDefault="00742D16" w:rsidP="00742D16">
            <w:pPr>
              <w:autoSpaceDE/>
              <w:autoSpaceDN/>
              <w:adjustRightInd/>
              <w:jc w:val="center"/>
              <w:rPr>
                <w:color w:val="000000"/>
                <w:sz w:val="20"/>
                <w:szCs w:val="20"/>
              </w:rPr>
            </w:pPr>
            <w:r w:rsidRPr="007C51D6">
              <w:rPr>
                <w:color w:val="000000"/>
                <w:sz w:val="20"/>
                <w:szCs w:val="20"/>
              </w:rPr>
              <w:t>56,81</w:t>
            </w:r>
          </w:p>
        </w:tc>
        <w:tc>
          <w:tcPr>
            <w:tcW w:w="1184" w:type="dxa"/>
          </w:tcPr>
          <w:p w:rsidR="00742D16" w:rsidRPr="007C51D6" w:rsidRDefault="00742D16" w:rsidP="00742D16">
            <w:pPr>
              <w:jc w:val="center"/>
              <w:rPr>
                <w:color w:val="000000"/>
                <w:sz w:val="20"/>
                <w:szCs w:val="20"/>
              </w:rPr>
            </w:pPr>
            <w:r w:rsidRPr="007C51D6">
              <w:rPr>
                <w:color w:val="000000"/>
                <w:sz w:val="20"/>
                <w:szCs w:val="20"/>
              </w:rPr>
              <w:t>57,03</w:t>
            </w:r>
          </w:p>
        </w:tc>
        <w:tc>
          <w:tcPr>
            <w:tcW w:w="1183" w:type="dxa"/>
          </w:tcPr>
          <w:p w:rsidR="00742D16" w:rsidRPr="007C51D6" w:rsidRDefault="00742D16" w:rsidP="00742D16">
            <w:pPr>
              <w:jc w:val="center"/>
              <w:rPr>
                <w:color w:val="000000"/>
                <w:sz w:val="20"/>
                <w:szCs w:val="20"/>
              </w:rPr>
            </w:pPr>
            <w:r w:rsidRPr="007C51D6">
              <w:rPr>
                <w:color w:val="000000"/>
                <w:sz w:val="20"/>
                <w:szCs w:val="20"/>
              </w:rPr>
              <w:t>56,1</w:t>
            </w:r>
          </w:p>
        </w:tc>
        <w:tc>
          <w:tcPr>
            <w:tcW w:w="1247" w:type="dxa"/>
            <w:vAlign w:val="center"/>
          </w:tcPr>
          <w:p w:rsidR="00742D16" w:rsidRPr="007C51D6" w:rsidRDefault="00D1588E" w:rsidP="00742D16">
            <w:pPr>
              <w:jc w:val="center"/>
              <w:rPr>
                <w:color w:val="000000"/>
                <w:sz w:val="20"/>
                <w:szCs w:val="20"/>
              </w:rPr>
            </w:pPr>
            <w:r>
              <w:rPr>
                <w:color w:val="000000"/>
                <w:sz w:val="20"/>
                <w:szCs w:val="20"/>
              </w:rPr>
              <w:t>57,</w:t>
            </w:r>
            <w:r w:rsidR="00742D16" w:rsidRPr="007C51D6">
              <w:rPr>
                <w:color w:val="000000"/>
                <w:sz w:val="20"/>
                <w:szCs w:val="20"/>
              </w:rPr>
              <w:t>55</w:t>
            </w:r>
          </w:p>
        </w:tc>
        <w:tc>
          <w:tcPr>
            <w:tcW w:w="1247" w:type="dxa"/>
            <w:vAlign w:val="center"/>
          </w:tcPr>
          <w:p w:rsidR="00742D16" w:rsidRPr="007C51D6" w:rsidRDefault="00D1588E" w:rsidP="00742D16">
            <w:pPr>
              <w:jc w:val="center"/>
              <w:rPr>
                <w:color w:val="000000"/>
                <w:sz w:val="20"/>
                <w:szCs w:val="20"/>
              </w:rPr>
            </w:pPr>
            <w:r>
              <w:rPr>
                <w:color w:val="000000"/>
                <w:sz w:val="20"/>
                <w:szCs w:val="20"/>
              </w:rPr>
              <w:t>53,</w:t>
            </w:r>
            <w:r w:rsidR="00742D16" w:rsidRPr="007C51D6">
              <w:rPr>
                <w:color w:val="000000"/>
                <w:sz w:val="20"/>
                <w:szCs w:val="20"/>
              </w:rPr>
              <w:t>94</w:t>
            </w:r>
          </w:p>
        </w:tc>
      </w:tr>
      <w:tr w:rsidR="00742D16" w:rsidRPr="007C51D6" w:rsidTr="00742D16">
        <w:tblPrEx>
          <w:tblBorders>
            <w:bottom w:val="single" w:sz="4" w:space="0" w:color="auto"/>
          </w:tblBorders>
          <w:tblCellMar>
            <w:top w:w="0" w:type="dxa"/>
            <w:bottom w:w="0" w:type="dxa"/>
          </w:tblCellMar>
        </w:tblPrEx>
        <w:trPr>
          <w:trHeight w:val="20"/>
        </w:trPr>
        <w:tc>
          <w:tcPr>
            <w:tcW w:w="2991" w:type="dxa"/>
            <w:shd w:val="clear" w:color="auto" w:fill="auto"/>
            <w:hideMark/>
          </w:tcPr>
          <w:p w:rsidR="00742D16" w:rsidRPr="007C51D6" w:rsidRDefault="00742D16" w:rsidP="00742D16">
            <w:pPr>
              <w:autoSpaceDE/>
              <w:autoSpaceDN/>
              <w:adjustRightInd/>
              <w:rPr>
                <w:color w:val="000000"/>
                <w:sz w:val="20"/>
                <w:szCs w:val="20"/>
              </w:rPr>
            </w:pPr>
            <w:r w:rsidRPr="007C51D6">
              <w:rPr>
                <w:color w:val="000000"/>
                <w:sz w:val="20"/>
                <w:szCs w:val="20"/>
              </w:rPr>
              <w:t>Алексеевский</w:t>
            </w:r>
          </w:p>
        </w:tc>
        <w:tc>
          <w:tcPr>
            <w:tcW w:w="1183" w:type="dxa"/>
            <w:shd w:val="clear" w:color="auto" w:fill="auto"/>
            <w:hideMark/>
          </w:tcPr>
          <w:p w:rsidR="00742D16" w:rsidRPr="007C51D6" w:rsidRDefault="00742D16" w:rsidP="00742D16">
            <w:pPr>
              <w:autoSpaceDE/>
              <w:autoSpaceDN/>
              <w:adjustRightInd/>
              <w:jc w:val="center"/>
              <w:rPr>
                <w:color w:val="000000"/>
                <w:sz w:val="20"/>
                <w:szCs w:val="20"/>
              </w:rPr>
            </w:pPr>
            <w:r w:rsidRPr="007C51D6">
              <w:rPr>
                <w:color w:val="000000"/>
                <w:sz w:val="20"/>
                <w:szCs w:val="20"/>
              </w:rPr>
              <w:t>54,03</w:t>
            </w:r>
          </w:p>
        </w:tc>
        <w:tc>
          <w:tcPr>
            <w:tcW w:w="1184" w:type="dxa"/>
            <w:shd w:val="clear" w:color="auto" w:fill="auto"/>
            <w:hideMark/>
          </w:tcPr>
          <w:p w:rsidR="00742D16" w:rsidRPr="007C51D6" w:rsidRDefault="00742D16" w:rsidP="00742D16">
            <w:pPr>
              <w:autoSpaceDE/>
              <w:autoSpaceDN/>
              <w:adjustRightInd/>
              <w:jc w:val="center"/>
              <w:rPr>
                <w:color w:val="000000"/>
                <w:sz w:val="20"/>
                <w:szCs w:val="20"/>
              </w:rPr>
            </w:pPr>
            <w:r w:rsidRPr="007C51D6">
              <w:rPr>
                <w:color w:val="000000"/>
                <w:sz w:val="20"/>
                <w:szCs w:val="20"/>
              </w:rPr>
              <w:t>55,56</w:t>
            </w:r>
          </w:p>
        </w:tc>
        <w:tc>
          <w:tcPr>
            <w:tcW w:w="1183" w:type="dxa"/>
            <w:shd w:val="clear" w:color="auto" w:fill="auto"/>
            <w:hideMark/>
          </w:tcPr>
          <w:p w:rsidR="00742D16" w:rsidRPr="007C51D6" w:rsidRDefault="00742D16" w:rsidP="00742D16">
            <w:pPr>
              <w:autoSpaceDE/>
              <w:autoSpaceDN/>
              <w:adjustRightInd/>
              <w:jc w:val="center"/>
              <w:rPr>
                <w:color w:val="000000"/>
                <w:sz w:val="20"/>
                <w:szCs w:val="20"/>
              </w:rPr>
            </w:pPr>
            <w:r w:rsidRPr="007C51D6">
              <w:rPr>
                <w:color w:val="000000"/>
                <w:sz w:val="20"/>
                <w:szCs w:val="20"/>
              </w:rPr>
              <w:t>53,22</w:t>
            </w:r>
          </w:p>
        </w:tc>
        <w:tc>
          <w:tcPr>
            <w:tcW w:w="1343" w:type="dxa"/>
            <w:shd w:val="clear" w:color="auto" w:fill="auto"/>
            <w:hideMark/>
          </w:tcPr>
          <w:p w:rsidR="00742D16" w:rsidRPr="007C51D6" w:rsidRDefault="00742D16" w:rsidP="00742D16">
            <w:pPr>
              <w:autoSpaceDE/>
              <w:autoSpaceDN/>
              <w:adjustRightInd/>
              <w:jc w:val="center"/>
              <w:rPr>
                <w:color w:val="000000"/>
                <w:sz w:val="20"/>
                <w:szCs w:val="20"/>
              </w:rPr>
            </w:pPr>
            <w:r w:rsidRPr="007C51D6">
              <w:rPr>
                <w:color w:val="000000"/>
                <w:sz w:val="20"/>
                <w:szCs w:val="20"/>
              </w:rPr>
              <w:t>54,01</w:t>
            </w:r>
          </w:p>
        </w:tc>
        <w:tc>
          <w:tcPr>
            <w:tcW w:w="1183" w:type="dxa"/>
            <w:shd w:val="clear" w:color="auto" w:fill="auto"/>
            <w:hideMark/>
          </w:tcPr>
          <w:p w:rsidR="00742D16" w:rsidRPr="007C51D6" w:rsidRDefault="00742D16" w:rsidP="00742D16">
            <w:pPr>
              <w:autoSpaceDE/>
              <w:autoSpaceDN/>
              <w:adjustRightInd/>
              <w:jc w:val="center"/>
              <w:rPr>
                <w:color w:val="000000"/>
                <w:sz w:val="20"/>
                <w:szCs w:val="20"/>
              </w:rPr>
            </w:pPr>
            <w:r w:rsidRPr="007C51D6">
              <w:rPr>
                <w:color w:val="000000"/>
                <w:sz w:val="20"/>
                <w:szCs w:val="20"/>
              </w:rPr>
              <w:t>56,74</w:t>
            </w:r>
          </w:p>
        </w:tc>
        <w:tc>
          <w:tcPr>
            <w:tcW w:w="1183" w:type="dxa"/>
          </w:tcPr>
          <w:p w:rsidR="00742D16" w:rsidRPr="007C51D6" w:rsidRDefault="00742D16" w:rsidP="00742D16">
            <w:pPr>
              <w:autoSpaceDE/>
              <w:autoSpaceDN/>
              <w:adjustRightInd/>
              <w:jc w:val="center"/>
              <w:rPr>
                <w:color w:val="000000"/>
                <w:sz w:val="20"/>
                <w:szCs w:val="20"/>
              </w:rPr>
            </w:pPr>
            <w:r w:rsidRPr="007C51D6">
              <w:rPr>
                <w:color w:val="000000"/>
                <w:sz w:val="20"/>
                <w:szCs w:val="20"/>
              </w:rPr>
              <w:t>58,12</w:t>
            </w:r>
          </w:p>
        </w:tc>
        <w:tc>
          <w:tcPr>
            <w:tcW w:w="1184" w:type="dxa"/>
          </w:tcPr>
          <w:p w:rsidR="00742D16" w:rsidRPr="007C51D6" w:rsidRDefault="00742D16" w:rsidP="00742D16">
            <w:pPr>
              <w:jc w:val="center"/>
              <w:rPr>
                <w:color w:val="000000"/>
                <w:sz w:val="20"/>
                <w:szCs w:val="20"/>
              </w:rPr>
            </w:pPr>
            <w:r w:rsidRPr="007C51D6">
              <w:rPr>
                <w:color w:val="000000"/>
                <w:sz w:val="20"/>
                <w:szCs w:val="20"/>
              </w:rPr>
              <w:t>59,49</w:t>
            </w:r>
          </w:p>
        </w:tc>
        <w:tc>
          <w:tcPr>
            <w:tcW w:w="1183" w:type="dxa"/>
          </w:tcPr>
          <w:p w:rsidR="00742D16" w:rsidRPr="007C51D6" w:rsidRDefault="00742D16" w:rsidP="00742D16">
            <w:pPr>
              <w:jc w:val="center"/>
              <w:rPr>
                <w:color w:val="000000"/>
                <w:sz w:val="20"/>
                <w:szCs w:val="20"/>
              </w:rPr>
            </w:pPr>
            <w:r w:rsidRPr="007C51D6">
              <w:rPr>
                <w:color w:val="000000"/>
                <w:sz w:val="20"/>
                <w:szCs w:val="20"/>
              </w:rPr>
              <w:t>61,1</w:t>
            </w:r>
          </w:p>
        </w:tc>
        <w:tc>
          <w:tcPr>
            <w:tcW w:w="1247" w:type="dxa"/>
            <w:vAlign w:val="center"/>
          </w:tcPr>
          <w:p w:rsidR="00742D16" w:rsidRPr="007C51D6" w:rsidRDefault="00D1588E" w:rsidP="00742D16">
            <w:pPr>
              <w:jc w:val="center"/>
              <w:rPr>
                <w:color w:val="000000"/>
                <w:sz w:val="20"/>
                <w:szCs w:val="20"/>
              </w:rPr>
            </w:pPr>
            <w:r>
              <w:rPr>
                <w:color w:val="000000"/>
                <w:sz w:val="20"/>
                <w:szCs w:val="20"/>
              </w:rPr>
              <w:t>62,</w:t>
            </w:r>
            <w:r w:rsidR="00742D16" w:rsidRPr="007C51D6">
              <w:rPr>
                <w:color w:val="000000"/>
                <w:sz w:val="20"/>
                <w:szCs w:val="20"/>
              </w:rPr>
              <w:t>66</w:t>
            </w:r>
          </w:p>
        </w:tc>
        <w:tc>
          <w:tcPr>
            <w:tcW w:w="1247" w:type="dxa"/>
            <w:vAlign w:val="center"/>
          </w:tcPr>
          <w:p w:rsidR="00742D16" w:rsidRPr="007C51D6" w:rsidRDefault="00D1588E" w:rsidP="00742D16">
            <w:pPr>
              <w:jc w:val="center"/>
              <w:rPr>
                <w:color w:val="000000"/>
                <w:sz w:val="20"/>
                <w:szCs w:val="20"/>
              </w:rPr>
            </w:pPr>
            <w:r>
              <w:rPr>
                <w:color w:val="000000"/>
                <w:sz w:val="20"/>
                <w:szCs w:val="20"/>
              </w:rPr>
              <w:t>58,</w:t>
            </w:r>
            <w:r w:rsidR="00742D16" w:rsidRPr="007C51D6">
              <w:rPr>
                <w:color w:val="000000"/>
                <w:sz w:val="20"/>
                <w:szCs w:val="20"/>
              </w:rPr>
              <w:t>49</w:t>
            </w:r>
          </w:p>
        </w:tc>
      </w:tr>
      <w:tr w:rsidR="00742D16" w:rsidRPr="007C51D6" w:rsidTr="00742D16">
        <w:tblPrEx>
          <w:tblBorders>
            <w:bottom w:val="single" w:sz="4" w:space="0" w:color="auto"/>
          </w:tblBorders>
          <w:tblCellMar>
            <w:top w:w="0" w:type="dxa"/>
            <w:bottom w:w="0" w:type="dxa"/>
          </w:tblCellMar>
        </w:tblPrEx>
        <w:trPr>
          <w:trHeight w:val="20"/>
        </w:trPr>
        <w:tc>
          <w:tcPr>
            <w:tcW w:w="2991" w:type="dxa"/>
            <w:shd w:val="clear" w:color="auto" w:fill="auto"/>
            <w:hideMark/>
          </w:tcPr>
          <w:p w:rsidR="00742D16" w:rsidRPr="007C51D6" w:rsidRDefault="00742D16" w:rsidP="00742D16">
            <w:pPr>
              <w:autoSpaceDE/>
              <w:autoSpaceDN/>
              <w:adjustRightInd/>
              <w:rPr>
                <w:color w:val="000000"/>
                <w:sz w:val="20"/>
                <w:szCs w:val="20"/>
              </w:rPr>
            </w:pPr>
            <w:r w:rsidRPr="007C51D6">
              <w:rPr>
                <w:color w:val="000000"/>
                <w:sz w:val="20"/>
                <w:szCs w:val="20"/>
              </w:rPr>
              <w:t>Алькеевский</w:t>
            </w:r>
          </w:p>
        </w:tc>
        <w:tc>
          <w:tcPr>
            <w:tcW w:w="1183" w:type="dxa"/>
            <w:shd w:val="clear" w:color="auto" w:fill="auto"/>
            <w:hideMark/>
          </w:tcPr>
          <w:p w:rsidR="00742D16" w:rsidRPr="007C51D6" w:rsidRDefault="00742D16" w:rsidP="00742D16">
            <w:pPr>
              <w:autoSpaceDE/>
              <w:autoSpaceDN/>
              <w:adjustRightInd/>
              <w:jc w:val="center"/>
              <w:rPr>
                <w:color w:val="000000"/>
                <w:sz w:val="20"/>
                <w:szCs w:val="20"/>
              </w:rPr>
            </w:pPr>
            <w:r w:rsidRPr="007C51D6">
              <w:rPr>
                <w:color w:val="000000"/>
                <w:sz w:val="20"/>
                <w:szCs w:val="20"/>
              </w:rPr>
              <w:t>50,28</w:t>
            </w:r>
          </w:p>
        </w:tc>
        <w:tc>
          <w:tcPr>
            <w:tcW w:w="1184" w:type="dxa"/>
            <w:shd w:val="clear" w:color="auto" w:fill="auto"/>
            <w:hideMark/>
          </w:tcPr>
          <w:p w:rsidR="00742D16" w:rsidRPr="007C51D6" w:rsidRDefault="00742D16" w:rsidP="00742D16">
            <w:pPr>
              <w:autoSpaceDE/>
              <w:autoSpaceDN/>
              <w:adjustRightInd/>
              <w:jc w:val="center"/>
              <w:rPr>
                <w:color w:val="000000"/>
                <w:sz w:val="20"/>
                <w:szCs w:val="20"/>
              </w:rPr>
            </w:pPr>
            <w:r w:rsidRPr="007C51D6">
              <w:rPr>
                <w:color w:val="000000"/>
                <w:sz w:val="20"/>
                <w:szCs w:val="20"/>
              </w:rPr>
              <w:t>48,10</w:t>
            </w:r>
          </w:p>
        </w:tc>
        <w:tc>
          <w:tcPr>
            <w:tcW w:w="1183" w:type="dxa"/>
            <w:shd w:val="clear" w:color="auto" w:fill="auto"/>
            <w:hideMark/>
          </w:tcPr>
          <w:p w:rsidR="00742D16" w:rsidRPr="007C51D6" w:rsidRDefault="00742D16" w:rsidP="00742D16">
            <w:pPr>
              <w:autoSpaceDE/>
              <w:autoSpaceDN/>
              <w:adjustRightInd/>
              <w:jc w:val="center"/>
              <w:rPr>
                <w:color w:val="000000"/>
                <w:sz w:val="20"/>
                <w:szCs w:val="20"/>
              </w:rPr>
            </w:pPr>
            <w:r w:rsidRPr="007C51D6">
              <w:rPr>
                <w:color w:val="000000"/>
                <w:sz w:val="20"/>
                <w:szCs w:val="20"/>
              </w:rPr>
              <w:t>49,04</w:t>
            </w:r>
          </w:p>
        </w:tc>
        <w:tc>
          <w:tcPr>
            <w:tcW w:w="1343" w:type="dxa"/>
            <w:shd w:val="clear" w:color="auto" w:fill="auto"/>
            <w:hideMark/>
          </w:tcPr>
          <w:p w:rsidR="00742D16" w:rsidRPr="007C51D6" w:rsidRDefault="00742D16" w:rsidP="00742D16">
            <w:pPr>
              <w:autoSpaceDE/>
              <w:autoSpaceDN/>
              <w:adjustRightInd/>
              <w:jc w:val="center"/>
              <w:rPr>
                <w:color w:val="000000"/>
                <w:sz w:val="20"/>
                <w:szCs w:val="20"/>
              </w:rPr>
            </w:pPr>
            <w:r w:rsidRPr="007C51D6">
              <w:rPr>
                <w:color w:val="000000"/>
                <w:sz w:val="20"/>
                <w:szCs w:val="20"/>
              </w:rPr>
              <w:t>50,58</w:t>
            </w:r>
          </w:p>
        </w:tc>
        <w:tc>
          <w:tcPr>
            <w:tcW w:w="1183" w:type="dxa"/>
            <w:shd w:val="clear" w:color="auto" w:fill="auto"/>
            <w:hideMark/>
          </w:tcPr>
          <w:p w:rsidR="00742D16" w:rsidRPr="007C51D6" w:rsidRDefault="00742D16" w:rsidP="00742D16">
            <w:pPr>
              <w:autoSpaceDE/>
              <w:autoSpaceDN/>
              <w:adjustRightInd/>
              <w:jc w:val="center"/>
              <w:rPr>
                <w:color w:val="000000"/>
                <w:sz w:val="20"/>
                <w:szCs w:val="20"/>
              </w:rPr>
            </w:pPr>
            <w:r w:rsidRPr="007C51D6">
              <w:rPr>
                <w:color w:val="000000"/>
                <w:sz w:val="20"/>
                <w:szCs w:val="20"/>
              </w:rPr>
              <w:t>50,45</w:t>
            </w:r>
          </w:p>
        </w:tc>
        <w:tc>
          <w:tcPr>
            <w:tcW w:w="1183" w:type="dxa"/>
          </w:tcPr>
          <w:p w:rsidR="00742D16" w:rsidRPr="007C51D6" w:rsidRDefault="00742D16" w:rsidP="00742D16">
            <w:pPr>
              <w:autoSpaceDE/>
              <w:autoSpaceDN/>
              <w:adjustRightInd/>
              <w:jc w:val="center"/>
              <w:rPr>
                <w:color w:val="000000"/>
                <w:sz w:val="20"/>
                <w:szCs w:val="20"/>
              </w:rPr>
            </w:pPr>
            <w:r w:rsidRPr="007C51D6">
              <w:rPr>
                <w:color w:val="000000"/>
                <w:sz w:val="20"/>
                <w:szCs w:val="20"/>
              </w:rPr>
              <w:t>51,17</w:t>
            </w:r>
          </w:p>
        </w:tc>
        <w:tc>
          <w:tcPr>
            <w:tcW w:w="1184" w:type="dxa"/>
          </w:tcPr>
          <w:p w:rsidR="00742D16" w:rsidRPr="007C51D6" w:rsidRDefault="00742D16" w:rsidP="00742D16">
            <w:pPr>
              <w:jc w:val="center"/>
              <w:rPr>
                <w:color w:val="000000"/>
                <w:sz w:val="20"/>
                <w:szCs w:val="20"/>
              </w:rPr>
            </w:pPr>
            <w:r w:rsidRPr="007C51D6">
              <w:rPr>
                <w:color w:val="000000"/>
                <w:sz w:val="20"/>
                <w:szCs w:val="20"/>
              </w:rPr>
              <w:t>56,02</w:t>
            </w:r>
          </w:p>
        </w:tc>
        <w:tc>
          <w:tcPr>
            <w:tcW w:w="1183" w:type="dxa"/>
          </w:tcPr>
          <w:p w:rsidR="00742D16" w:rsidRPr="007C51D6" w:rsidRDefault="00742D16" w:rsidP="00742D16">
            <w:pPr>
              <w:jc w:val="center"/>
              <w:rPr>
                <w:color w:val="000000"/>
                <w:sz w:val="20"/>
                <w:szCs w:val="20"/>
              </w:rPr>
            </w:pPr>
            <w:r w:rsidRPr="007C51D6">
              <w:rPr>
                <w:color w:val="000000"/>
                <w:sz w:val="20"/>
                <w:szCs w:val="20"/>
              </w:rPr>
              <w:t>57,5</w:t>
            </w:r>
          </w:p>
        </w:tc>
        <w:tc>
          <w:tcPr>
            <w:tcW w:w="1247" w:type="dxa"/>
            <w:vAlign w:val="center"/>
          </w:tcPr>
          <w:p w:rsidR="00742D16" w:rsidRPr="007C51D6" w:rsidRDefault="00D1588E" w:rsidP="00742D16">
            <w:pPr>
              <w:jc w:val="center"/>
              <w:rPr>
                <w:color w:val="000000"/>
                <w:sz w:val="20"/>
                <w:szCs w:val="20"/>
              </w:rPr>
            </w:pPr>
            <w:r>
              <w:rPr>
                <w:color w:val="000000"/>
                <w:sz w:val="20"/>
                <w:szCs w:val="20"/>
              </w:rPr>
              <w:t>60,</w:t>
            </w:r>
            <w:r w:rsidR="00742D16" w:rsidRPr="007C51D6">
              <w:rPr>
                <w:color w:val="000000"/>
                <w:sz w:val="20"/>
                <w:szCs w:val="20"/>
              </w:rPr>
              <w:t>37</w:t>
            </w:r>
          </w:p>
        </w:tc>
        <w:tc>
          <w:tcPr>
            <w:tcW w:w="1247" w:type="dxa"/>
            <w:vAlign w:val="center"/>
          </w:tcPr>
          <w:p w:rsidR="00742D16" w:rsidRPr="007C51D6" w:rsidRDefault="00D1588E" w:rsidP="00742D16">
            <w:pPr>
              <w:jc w:val="center"/>
              <w:rPr>
                <w:color w:val="000000"/>
                <w:sz w:val="20"/>
                <w:szCs w:val="20"/>
              </w:rPr>
            </w:pPr>
            <w:r>
              <w:rPr>
                <w:color w:val="000000"/>
                <w:sz w:val="20"/>
                <w:szCs w:val="20"/>
              </w:rPr>
              <w:t>60,</w:t>
            </w:r>
            <w:r w:rsidR="00742D16" w:rsidRPr="007C51D6">
              <w:rPr>
                <w:color w:val="000000"/>
                <w:sz w:val="20"/>
                <w:szCs w:val="20"/>
              </w:rPr>
              <w:t>33</w:t>
            </w:r>
          </w:p>
        </w:tc>
      </w:tr>
      <w:tr w:rsidR="00D1588E" w:rsidRPr="007C51D6" w:rsidTr="004C1F06">
        <w:tblPrEx>
          <w:tblBorders>
            <w:bottom w:val="single" w:sz="4" w:space="0" w:color="auto"/>
          </w:tblBorders>
          <w:tblCellMar>
            <w:top w:w="0" w:type="dxa"/>
            <w:bottom w:w="0" w:type="dxa"/>
          </w:tblCellMar>
        </w:tblPrEx>
        <w:trPr>
          <w:trHeight w:val="20"/>
        </w:trPr>
        <w:tc>
          <w:tcPr>
            <w:tcW w:w="2991" w:type="dxa"/>
            <w:shd w:val="clear" w:color="auto" w:fill="auto"/>
            <w:hideMark/>
          </w:tcPr>
          <w:p w:rsidR="00D1588E" w:rsidRPr="007C51D6" w:rsidRDefault="00D1588E" w:rsidP="004C1F06">
            <w:pPr>
              <w:autoSpaceDE/>
              <w:autoSpaceDN/>
              <w:adjustRightInd/>
              <w:rPr>
                <w:color w:val="000000"/>
                <w:sz w:val="20"/>
                <w:szCs w:val="20"/>
              </w:rPr>
            </w:pPr>
            <w:r w:rsidRPr="007C51D6">
              <w:rPr>
                <w:color w:val="000000"/>
                <w:sz w:val="20"/>
                <w:szCs w:val="20"/>
              </w:rPr>
              <w:t>Альметьевский</w:t>
            </w:r>
          </w:p>
        </w:tc>
        <w:tc>
          <w:tcPr>
            <w:tcW w:w="1183" w:type="dxa"/>
            <w:shd w:val="clear" w:color="auto" w:fill="auto"/>
            <w:hideMark/>
          </w:tcPr>
          <w:p w:rsidR="00D1588E" w:rsidRPr="007C51D6" w:rsidRDefault="00D1588E" w:rsidP="004C1F06">
            <w:pPr>
              <w:autoSpaceDE/>
              <w:autoSpaceDN/>
              <w:adjustRightInd/>
              <w:jc w:val="center"/>
              <w:rPr>
                <w:color w:val="000000"/>
                <w:sz w:val="20"/>
                <w:szCs w:val="20"/>
              </w:rPr>
            </w:pPr>
            <w:r w:rsidRPr="007C51D6">
              <w:rPr>
                <w:color w:val="000000"/>
                <w:sz w:val="20"/>
                <w:szCs w:val="20"/>
              </w:rPr>
              <w:t>52,28</w:t>
            </w:r>
          </w:p>
        </w:tc>
        <w:tc>
          <w:tcPr>
            <w:tcW w:w="1184" w:type="dxa"/>
            <w:shd w:val="clear" w:color="auto" w:fill="auto"/>
            <w:hideMark/>
          </w:tcPr>
          <w:p w:rsidR="00D1588E" w:rsidRPr="007C51D6" w:rsidRDefault="00D1588E" w:rsidP="004C1F06">
            <w:pPr>
              <w:autoSpaceDE/>
              <w:autoSpaceDN/>
              <w:adjustRightInd/>
              <w:jc w:val="center"/>
              <w:rPr>
                <w:color w:val="000000"/>
                <w:sz w:val="20"/>
                <w:szCs w:val="20"/>
              </w:rPr>
            </w:pPr>
            <w:r w:rsidRPr="007C51D6">
              <w:rPr>
                <w:color w:val="000000"/>
                <w:sz w:val="20"/>
                <w:szCs w:val="20"/>
              </w:rPr>
              <w:t>54,66</w:t>
            </w:r>
          </w:p>
        </w:tc>
        <w:tc>
          <w:tcPr>
            <w:tcW w:w="1183" w:type="dxa"/>
            <w:shd w:val="clear" w:color="auto" w:fill="auto"/>
            <w:hideMark/>
          </w:tcPr>
          <w:p w:rsidR="00D1588E" w:rsidRPr="007C51D6" w:rsidRDefault="00D1588E" w:rsidP="004C1F06">
            <w:pPr>
              <w:autoSpaceDE/>
              <w:autoSpaceDN/>
              <w:adjustRightInd/>
              <w:jc w:val="center"/>
              <w:rPr>
                <w:color w:val="000000"/>
                <w:sz w:val="20"/>
                <w:szCs w:val="20"/>
              </w:rPr>
            </w:pPr>
            <w:r w:rsidRPr="007C51D6">
              <w:rPr>
                <w:color w:val="000000"/>
                <w:sz w:val="20"/>
                <w:szCs w:val="20"/>
              </w:rPr>
              <w:t>55,51</w:t>
            </w:r>
          </w:p>
        </w:tc>
        <w:tc>
          <w:tcPr>
            <w:tcW w:w="1343" w:type="dxa"/>
            <w:shd w:val="clear" w:color="auto" w:fill="auto"/>
            <w:hideMark/>
          </w:tcPr>
          <w:p w:rsidR="00D1588E" w:rsidRPr="007C51D6" w:rsidRDefault="00D1588E" w:rsidP="004C1F06">
            <w:pPr>
              <w:autoSpaceDE/>
              <w:autoSpaceDN/>
              <w:adjustRightInd/>
              <w:jc w:val="center"/>
              <w:rPr>
                <w:color w:val="000000"/>
                <w:sz w:val="20"/>
                <w:szCs w:val="20"/>
              </w:rPr>
            </w:pPr>
            <w:r w:rsidRPr="007C51D6">
              <w:rPr>
                <w:color w:val="000000"/>
                <w:sz w:val="20"/>
                <w:szCs w:val="20"/>
              </w:rPr>
              <w:t>56,78</w:t>
            </w:r>
          </w:p>
        </w:tc>
        <w:tc>
          <w:tcPr>
            <w:tcW w:w="1183" w:type="dxa"/>
            <w:shd w:val="clear" w:color="auto" w:fill="auto"/>
            <w:hideMark/>
          </w:tcPr>
          <w:p w:rsidR="00D1588E" w:rsidRPr="007C51D6" w:rsidRDefault="00D1588E" w:rsidP="004C1F06">
            <w:pPr>
              <w:autoSpaceDE/>
              <w:autoSpaceDN/>
              <w:adjustRightInd/>
              <w:jc w:val="center"/>
              <w:rPr>
                <w:color w:val="000000"/>
                <w:sz w:val="20"/>
                <w:szCs w:val="20"/>
              </w:rPr>
            </w:pPr>
            <w:r w:rsidRPr="007C51D6">
              <w:rPr>
                <w:color w:val="000000"/>
                <w:sz w:val="20"/>
                <w:szCs w:val="20"/>
              </w:rPr>
              <w:t>59,02</w:t>
            </w:r>
          </w:p>
        </w:tc>
        <w:tc>
          <w:tcPr>
            <w:tcW w:w="1183" w:type="dxa"/>
          </w:tcPr>
          <w:p w:rsidR="00D1588E" w:rsidRPr="007C51D6" w:rsidRDefault="00D1588E" w:rsidP="004C1F06">
            <w:pPr>
              <w:autoSpaceDE/>
              <w:autoSpaceDN/>
              <w:adjustRightInd/>
              <w:jc w:val="center"/>
              <w:rPr>
                <w:color w:val="000000"/>
                <w:sz w:val="20"/>
                <w:szCs w:val="20"/>
              </w:rPr>
            </w:pPr>
            <w:r w:rsidRPr="007C51D6">
              <w:rPr>
                <w:color w:val="000000"/>
                <w:sz w:val="20"/>
                <w:szCs w:val="20"/>
              </w:rPr>
              <w:t>59,42</w:t>
            </w:r>
          </w:p>
        </w:tc>
        <w:tc>
          <w:tcPr>
            <w:tcW w:w="1184" w:type="dxa"/>
          </w:tcPr>
          <w:p w:rsidR="00D1588E" w:rsidRPr="007C51D6" w:rsidRDefault="00D1588E" w:rsidP="004C1F06">
            <w:pPr>
              <w:jc w:val="center"/>
              <w:rPr>
                <w:color w:val="000000"/>
                <w:sz w:val="20"/>
                <w:szCs w:val="20"/>
              </w:rPr>
            </w:pPr>
            <w:r w:rsidRPr="007C51D6">
              <w:rPr>
                <w:color w:val="000000"/>
                <w:sz w:val="20"/>
                <w:szCs w:val="20"/>
              </w:rPr>
              <w:t>60,19</w:t>
            </w:r>
          </w:p>
        </w:tc>
        <w:tc>
          <w:tcPr>
            <w:tcW w:w="1183" w:type="dxa"/>
          </w:tcPr>
          <w:p w:rsidR="00D1588E" w:rsidRPr="007C51D6" w:rsidRDefault="00D1588E" w:rsidP="004C1F06">
            <w:pPr>
              <w:jc w:val="center"/>
              <w:rPr>
                <w:color w:val="000000"/>
                <w:sz w:val="20"/>
                <w:szCs w:val="20"/>
              </w:rPr>
            </w:pPr>
            <w:r w:rsidRPr="007C51D6">
              <w:rPr>
                <w:color w:val="000000"/>
                <w:sz w:val="20"/>
                <w:szCs w:val="20"/>
              </w:rPr>
              <w:t>60,9</w:t>
            </w:r>
          </w:p>
        </w:tc>
        <w:tc>
          <w:tcPr>
            <w:tcW w:w="1247" w:type="dxa"/>
            <w:vAlign w:val="center"/>
          </w:tcPr>
          <w:p w:rsidR="00D1588E" w:rsidRPr="007C51D6" w:rsidRDefault="00D1588E" w:rsidP="004C1F06">
            <w:pPr>
              <w:jc w:val="center"/>
              <w:rPr>
                <w:color w:val="000000"/>
                <w:sz w:val="20"/>
                <w:szCs w:val="20"/>
              </w:rPr>
            </w:pPr>
            <w:r>
              <w:rPr>
                <w:color w:val="000000"/>
                <w:sz w:val="20"/>
                <w:szCs w:val="20"/>
              </w:rPr>
              <w:t>61,</w:t>
            </w:r>
            <w:r w:rsidRPr="007C51D6">
              <w:rPr>
                <w:color w:val="000000"/>
                <w:sz w:val="20"/>
                <w:szCs w:val="20"/>
              </w:rPr>
              <w:t>04</w:t>
            </w:r>
          </w:p>
        </w:tc>
        <w:tc>
          <w:tcPr>
            <w:tcW w:w="1247" w:type="dxa"/>
            <w:vAlign w:val="center"/>
          </w:tcPr>
          <w:p w:rsidR="00D1588E" w:rsidRPr="007C51D6" w:rsidRDefault="00D1588E" w:rsidP="004C1F06">
            <w:pPr>
              <w:jc w:val="center"/>
              <w:rPr>
                <w:color w:val="000000"/>
                <w:sz w:val="20"/>
                <w:szCs w:val="20"/>
              </w:rPr>
            </w:pPr>
            <w:r>
              <w:rPr>
                <w:color w:val="000000"/>
                <w:sz w:val="20"/>
                <w:szCs w:val="20"/>
              </w:rPr>
              <w:t>56,</w:t>
            </w:r>
            <w:r w:rsidRPr="007C51D6">
              <w:rPr>
                <w:color w:val="000000"/>
                <w:sz w:val="20"/>
                <w:szCs w:val="20"/>
              </w:rPr>
              <w:t>74</w:t>
            </w:r>
          </w:p>
        </w:tc>
      </w:tr>
    </w:tbl>
    <w:p w:rsidR="00D1588E" w:rsidRDefault="00D1588E">
      <w:r>
        <w:br w:type="page"/>
      </w:r>
    </w:p>
    <w:tbl>
      <w:tblPr>
        <w:tblW w:w="15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1"/>
        <w:gridCol w:w="1183"/>
        <w:gridCol w:w="1184"/>
        <w:gridCol w:w="1183"/>
        <w:gridCol w:w="1343"/>
        <w:gridCol w:w="1183"/>
        <w:gridCol w:w="1183"/>
        <w:gridCol w:w="1184"/>
        <w:gridCol w:w="1183"/>
        <w:gridCol w:w="1247"/>
        <w:gridCol w:w="1247"/>
      </w:tblGrid>
      <w:tr w:rsidR="00D1588E" w:rsidRPr="007C51D6" w:rsidTr="00D1588E">
        <w:trPr>
          <w:trHeight w:val="20"/>
          <w:tblHeader/>
        </w:trPr>
        <w:tc>
          <w:tcPr>
            <w:tcW w:w="2991" w:type="dxa"/>
            <w:shd w:val="clear" w:color="auto" w:fill="auto"/>
          </w:tcPr>
          <w:p w:rsidR="00D1588E" w:rsidRPr="007C51D6" w:rsidRDefault="00D1588E" w:rsidP="00D1588E">
            <w:pPr>
              <w:autoSpaceDE/>
              <w:autoSpaceDN/>
              <w:adjustRightInd/>
              <w:jc w:val="center"/>
              <w:rPr>
                <w:color w:val="000000"/>
                <w:sz w:val="20"/>
                <w:szCs w:val="20"/>
              </w:rPr>
            </w:pPr>
            <w:r w:rsidRPr="007C51D6">
              <w:rPr>
                <w:color w:val="000000"/>
                <w:sz w:val="20"/>
                <w:szCs w:val="20"/>
              </w:rPr>
              <w:lastRenderedPageBreak/>
              <w:t>1</w:t>
            </w:r>
          </w:p>
        </w:tc>
        <w:tc>
          <w:tcPr>
            <w:tcW w:w="1183" w:type="dxa"/>
            <w:shd w:val="clear" w:color="auto" w:fill="auto"/>
          </w:tcPr>
          <w:p w:rsidR="00D1588E" w:rsidRPr="007C51D6" w:rsidRDefault="00D1588E" w:rsidP="00D1588E">
            <w:pPr>
              <w:autoSpaceDE/>
              <w:autoSpaceDN/>
              <w:adjustRightInd/>
              <w:jc w:val="center"/>
              <w:rPr>
                <w:color w:val="000000"/>
                <w:sz w:val="20"/>
                <w:szCs w:val="20"/>
              </w:rPr>
            </w:pPr>
            <w:r w:rsidRPr="007C51D6">
              <w:rPr>
                <w:color w:val="000000"/>
                <w:sz w:val="20"/>
                <w:szCs w:val="20"/>
              </w:rPr>
              <w:t>2</w:t>
            </w:r>
          </w:p>
        </w:tc>
        <w:tc>
          <w:tcPr>
            <w:tcW w:w="1184" w:type="dxa"/>
            <w:shd w:val="clear" w:color="auto" w:fill="auto"/>
          </w:tcPr>
          <w:p w:rsidR="00D1588E" w:rsidRPr="007C51D6" w:rsidRDefault="00D1588E" w:rsidP="00D1588E">
            <w:pPr>
              <w:autoSpaceDE/>
              <w:autoSpaceDN/>
              <w:adjustRightInd/>
              <w:jc w:val="center"/>
              <w:rPr>
                <w:color w:val="000000"/>
                <w:sz w:val="20"/>
                <w:szCs w:val="20"/>
              </w:rPr>
            </w:pPr>
            <w:r w:rsidRPr="007C51D6">
              <w:rPr>
                <w:color w:val="000000"/>
                <w:sz w:val="20"/>
                <w:szCs w:val="20"/>
              </w:rPr>
              <w:t>3</w:t>
            </w:r>
          </w:p>
        </w:tc>
        <w:tc>
          <w:tcPr>
            <w:tcW w:w="1183" w:type="dxa"/>
            <w:shd w:val="clear" w:color="auto" w:fill="auto"/>
          </w:tcPr>
          <w:p w:rsidR="00D1588E" w:rsidRPr="007C51D6" w:rsidRDefault="00D1588E" w:rsidP="00D1588E">
            <w:pPr>
              <w:autoSpaceDE/>
              <w:autoSpaceDN/>
              <w:adjustRightInd/>
              <w:jc w:val="center"/>
              <w:rPr>
                <w:color w:val="000000"/>
                <w:sz w:val="20"/>
                <w:szCs w:val="20"/>
              </w:rPr>
            </w:pPr>
            <w:r w:rsidRPr="007C51D6">
              <w:rPr>
                <w:color w:val="000000"/>
                <w:sz w:val="20"/>
                <w:szCs w:val="20"/>
              </w:rPr>
              <w:t>4</w:t>
            </w:r>
          </w:p>
        </w:tc>
        <w:tc>
          <w:tcPr>
            <w:tcW w:w="1343" w:type="dxa"/>
            <w:shd w:val="clear" w:color="auto" w:fill="auto"/>
          </w:tcPr>
          <w:p w:rsidR="00D1588E" w:rsidRPr="007C51D6" w:rsidRDefault="00D1588E" w:rsidP="00D1588E">
            <w:pPr>
              <w:autoSpaceDE/>
              <w:autoSpaceDN/>
              <w:adjustRightInd/>
              <w:jc w:val="center"/>
              <w:rPr>
                <w:color w:val="000000"/>
                <w:sz w:val="20"/>
                <w:szCs w:val="20"/>
              </w:rPr>
            </w:pPr>
            <w:r w:rsidRPr="007C51D6">
              <w:rPr>
                <w:color w:val="000000"/>
                <w:sz w:val="20"/>
                <w:szCs w:val="20"/>
              </w:rPr>
              <w:t>5</w:t>
            </w:r>
          </w:p>
        </w:tc>
        <w:tc>
          <w:tcPr>
            <w:tcW w:w="1183" w:type="dxa"/>
            <w:shd w:val="clear" w:color="auto" w:fill="auto"/>
          </w:tcPr>
          <w:p w:rsidR="00D1588E" w:rsidRPr="007C51D6" w:rsidRDefault="00D1588E" w:rsidP="00D1588E">
            <w:pPr>
              <w:autoSpaceDE/>
              <w:autoSpaceDN/>
              <w:adjustRightInd/>
              <w:jc w:val="center"/>
              <w:rPr>
                <w:color w:val="000000"/>
                <w:sz w:val="20"/>
                <w:szCs w:val="20"/>
              </w:rPr>
            </w:pPr>
            <w:r w:rsidRPr="007C51D6">
              <w:rPr>
                <w:color w:val="000000"/>
                <w:sz w:val="20"/>
                <w:szCs w:val="20"/>
              </w:rPr>
              <w:t>6</w:t>
            </w:r>
          </w:p>
        </w:tc>
        <w:tc>
          <w:tcPr>
            <w:tcW w:w="1183" w:type="dxa"/>
          </w:tcPr>
          <w:p w:rsidR="00D1588E" w:rsidRPr="007C51D6" w:rsidRDefault="00D1588E" w:rsidP="00D1588E">
            <w:pPr>
              <w:autoSpaceDE/>
              <w:autoSpaceDN/>
              <w:adjustRightInd/>
              <w:jc w:val="center"/>
              <w:rPr>
                <w:color w:val="000000"/>
                <w:sz w:val="20"/>
                <w:szCs w:val="20"/>
              </w:rPr>
            </w:pPr>
            <w:r w:rsidRPr="007C51D6">
              <w:rPr>
                <w:color w:val="000000"/>
                <w:sz w:val="20"/>
                <w:szCs w:val="20"/>
              </w:rPr>
              <w:t>7</w:t>
            </w:r>
          </w:p>
        </w:tc>
        <w:tc>
          <w:tcPr>
            <w:tcW w:w="1184" w:type="dxa"/>
          </w:tcPr>
          <w:p w:rsidR="00D1588E" w:rsidRPr="007C51D6" w:rsidRDefault="00D1588E" w:rsidP="00D1588E">
            <w:pPr>
              <w:autoSpaceDE/>
              <w:autoSpaceDN/>
              <w:adjustRightInd/>
              <w:jc w:val="center"/>
              <w:rPr>
                <w:color w:val="000000"/>
                <w:sz w:val="20"/>
                <w:szCs w:val="20"/>
              </w:rPr>
            </w:pPr>
            <w:r w:rsidRPr="007C51D6">
              <w:rPr>
                <w:color w:val="000000"/>
                <w:sz w:val="20"/>
                <w:szCs w:val="20"/>
              </w:rPr>
              <w:t>8</w:t>
            </w:r>
          </w:p>
        </w:tc>
        <w:tc>
          <w:tcPr>
            <w:tcW w:w="1183" w:type="dxa"/>
          </w:tcPr>
          <w:p w:rsidR="00D1588E" w:rsidRPr="007C51D6" w:rsidRDefault="00D1588E" w:rsidP="00D1588E">
            <w:pPr>
              <w:autoSpaceDE/>
              <w:autoSpaceDN/>
              <w:adjustRightInd/>
              <w:jc w:val="center"/>
              <w:rPr>
                <w:color w:val="000000"/>
                <w:sz w:val="20"/>
                <w:szCs w:val="20"/>
              </w:rPr>
            </w:pPr>
            <w:r w:rsidRPr="007C51D6">
              <w:rPr>
                <w:color w:val="000000"/>
                <w:sz w:val="20"/>
                <w:szCs w:val="20"/>
              </w:rPr>
              <w:t>9</w:t>
            </w:r>
          </w:p>
        </w:tc>
        <w:tc>
          <w:tcPr>
            <w:tcW w:w="1247" w:type="dxa"/>
          </w:tcPr>
          <w:p w:rsidR="00D1588E" w:rsidRPr="007C51D6" w:rsidRDefault="00D1588E" w:rsidP="00D1588E">
            <w:pPr>
              <w:autoSpaceDE/>
              <w:autoSpaceDN/>
              <w:adjustRightInd/>
              <w:jc w:val="center"/>
              <w:rPr>
                <w:color w:val="000000"/>
                <w:sz w:val="20"/>
                <w:szCs w:val="20"/>
              </w:rPr>
            </w:pPr>
            <w:r w:rsidRPr="007C51D6">
              <w:rPr>
                <w:color w:val="000000"/>
                <w:sz w:val="20"/>
                <w:szCs w:val="20"/>
              </w:rPr>
              <w:t>10</w:t>
            </w:r>
          </w:p>
        </w:tc>
        <w:tc>
          <w:tcPr>
            <w:tcW w:w="1247" w:type="dxa"/>
          </w:tcPr>
          <w:p w:rsidR="00D1588E" w:rsidRPr="007C51D6" w:rsidRDefault="00D1588E" w:rsidP="00D1588E">
            <w:pPr>
              <w:autoSpaceDE/>
              <w:autoSpaceDN/>
              <w:adjustRightInd/>
              <w:jc w:val="center"/>
              <w:rPr>
                <w:color w:val="000000"/>
                <w:sz w:val="20"/>
                <w:szCs w:val="20"/>
              </w:rPr>
            </w:pPr>
            <w:r w:rsidRPr="007C51D6">
              <w:rPr>
                <w:color w:val="000000"/>
                <w:sz w:val="20"/>
                <w:szCs w:val="20"/>
              </w:rPr>
              <w:t>11</w:t>
            </w:r>
          </w:p>
        </w:tc>
      </w:tr>
      <w:tr w:rsidR="00D1588E" w:rsidRPr="007C51D6" w:rsidTr="00742D16">
        <w:trPr>
          <w:trHeight w:val="20"/>
        </w:trPr>
        <w:tc>
          <w:tcPr>
            <w:tcW w:w="2991" w:type="dxa"/>
            <w:shd w:val="clear" w:color="auto" w:fill="auto"/>
            <w:hideMark/>
          </w:tcPr>
          <w:p w:rsidR="00D1588E" w:rsidRPr="007C51D6" w:rsidRDefault="00D1588E" w:rsidP="00D1588E">
            <w:pPr>
              <w:autoSpaceDE/>
              <w:autoSpaceDN/>
              <w:adjustRightInd/>
              <w:rPr>
                <w:color w:val="000000"/>
                <w:sz w:val="20"/>
                <w:szCs w:val="20"/>
              </w:rPr>
            </w:pPr>
            <w:r w:rsidRPr="007C51D6">
              <w:rPr>
                <w:color w:val="000000"/>
                <w:sz w:val="20"/>
                <w:szCs w:val="20"/>
              </w:rPr>
              <w:t>Апастовский</w:t>
            </w:r>
          </w:p>
        </w:tc>
        <w:tc>
          <w:tcPr>
            <w:tcW w:w="1183" w:type="dxa"/>
            <w:shd w:val="clear" w:color="auto" w:fill="auto"/>
            <w:hideMark/>
          </w:tcPr>
          <w:p w:rsidR="00D1588E" w:rsidRPr="007C51D6" w:rsidRDefault="00D1588E" w:rsidP="00D1588E">
            <w:pPr>
              <w:autoSpaceDE/>
              <w:autoSpaceDN/>
              <w:adjustRightInd/>
              <w:jc w:val="center"/>
              <w:rPr>
                <w:color w:val="000000"/>
                <w:sz w:val="20"/>
                <w:szCs w:val="20"/>
              </w:rPr>
            </w:pPr>
            <w:r w:rsidRPr="007C51D6">
              <w:rPr>
                <w:color w:val="000000"/>
                <w:sz w:val="20"/>
                <w:szCs w:val="20"/>
              </w:rPr>
              <w:t>47,56</w:t>
            </w:r>
          </w:p>
        </w:tc>
        <w:tc>
          <w:tcPr>
            <w:tcW w:w="1184" w:type="dxa"/>
            <w:shd w:val="clear" w:color="auto" w:fill="auto"/>
            <w:hideMark/>
          </w:tcPr>
          <w:p w:rsidR="00D1588E" w:rsidRPr="007C51D6" w:rsidRDefault="00D1588E" w:rsidP="00D1588E">
            <w:pPr>
              <w:autoSpaceDE/>
              <w:autoSpaceDN/>
              <w:adjustRightInd/>
              <w:jc w:val="center"/>
              <w:rPr>
                <w:color w:val="000000"/>
                <w:sz w:val="20"/>
                <w:szCs w:val="20"/>
              </w:rPr>
            </w:pPr>
            <w:r w:rsidRPr="007C51D6">
              <w:rPr>
                <w:color w:val="000000"/>
                <w:sz w:val="20"/>
                <w:szCs w:val="20"/>
              </w:rPr>
              <w:t>45,88</w:t>
            </w:r>
          </w:p>
        </w:tc>
        <w:tc>
          <w:tcPr>
            <w:tcW w:w="1183" w:type="dxa"/>
            <w:shd w:val="clear" w:color="auto" w:fill="auto"/>
            <w:hideMark/>
          </w:tcPr>
          <w:p w:rsidR="00D1588E" w:rsidRPr="007C51D6" w:rsidRDefault="00D1588E" w:rsidP="00D1588E">
            <w:pPr>
              <w:autoSpaceDE/>
              <w:autoSpaceDN/>
              <w:adjustRightInd/>
              <w:jc w:val="center"/>
              <w:rPr>
                <w:color w:val="000000"/>
                <w:sz w:val="20"/>
                <w:szCs w:val="20"/>
              </w:rPr>
            </w:pPr>
            <w:r w:rsidRPr="007C51D6">
              <w:rPr>
                <w:color w:val="000000"/>
                <w:sz w:val="20"/>
                <w:szCs w:val="20"/>
              </w:rPr>
              <w:t>44,13</w:t>
            </w:r>
          </w:p>
        </w:tc>
        <w:tc>
          <w:tcPr>
            <w:tcW w:w="1343" w:type="dxa"/>
            <w:shd w:val="clear" w:color="auto" w:fill="auto"/>
            <w:hideMark/>
          </w:tcPr>
          <w:p w:rsidR="00D1588E" w:rsidRPr="007C51D6" w:rsidRDefault="00D1588E" w:rsidP="00D1588E">
            <w:pPr>
              <w:autoSpaceDE/>
              <w:autoSpaceDN/>
              <w:adjustRightInd/>
              <w:jc w:val="center"/>
              <w:rPr>
                <w:color w:val="000000"/>
                <w:sz w:val="20"/>
                <w:szCs w:val="20"/>
              </w:rPr>
            </w:pPr>
            <w:r w:rsidRPr="007C51D6">
              <w:rPr>
                <w:color w:val="000000"/>
                <w:sz w:val="20"/>
                <w:szCs w:val="20"/>
              </w:rPr>
              <w:t>45,45</w:t>
            </w:r>
          </w:p>
        </w:tc>
        <w:tc>
          <w:tcPr>
            <w:tcW w:w="1183" w:type="dxa"/>
            <w:shd w:val="clear" w:color="auto" w:fill="auto"/>
            <w:hideMark/>
          </w:tcPr>
          <w:p w:rsidR="00D1588E" w:rsidRPr="007C51D6" w:rsidRDefault="00D1588E" w:rsidP="00D1588E">
            <w:pPr>
              <w:autoSpaceDE/>
              <w:autoSpaceDN/>
              <w:adjustRightInd/>
              <w:jc w:val="center"/>
              <w:rPr>
                <w:color w:val="000000"/>
                <w:sz w:val="20"/>
                <w:szCs w:val="20"/>
              </w:rPr>
            </w:pPr>
            <w:r w:rsidRPr="007C51D6">
              <w:rPr>
                <w:color w:val="000000"/>
                <w:sz w:val="20"/>
                <w:szCs w:val="20"/>
              </w:rPr>
              <w:t>51,15</w:t>
            </w:r>
          </w:p>
        </w:tc>
        <w:tc>
          <w:tcPr>
            <w:tcW w:w="1183" w:type="dxa"/>
          </w:tcPr>
          <w:p w:rsidR="00D1588E" w:rsidRPr="007C51D6" w:rsidRDefault="00D1588E" w:rsidP="00D1588E">
            <w:pPr>
              <w:autoSpaceDE/>
              <w:autoSpaceDN/>
              <w:adjustRightInd/>
              <w:jc w:val="center"/>
              <w:rPr>
                <w:color w:val="000000"/>
                <w:sz w:val="20"/>
                <w:szCs w:val="20"/>
              </w:rPr>
            </w:pPr>
            <w:r w:rsidRPr="007C51D6">
              <w:rPr>
                <w:color w:val="000000"/>
                <w:sz w:val="20"/>
                <w:szCs w:val="20"/>
              </w:rPr>
              <w:t>55,36</w:t>
            </w:r>
          </w:p>
        </w:tc>
        <w:tc>
          <w:tcPr>
            <w:tcW w:w="1184" w:type="dxa"/>
          </w:tcPr>
          <w:p w:rsidR="00D1588E" w:rsidRPr="007C51D6" w:rsidRDefault="00D1588E" w:rsidP="00D1588E">
            <w:pPr>
              <w:jc w:val="center"/>
              <w:rPr>
                <w:color w:val="000000"/>
                <w:sz w:val="20"/>
                <w:szCs w:val="20"/>
              </w:rPr>
            </w:pPr>
            <w:r w:rsidRPr="007C51D6">
              <w:rPr>
                <w:color w:val="000000"/>
                <w:sz w:val="20"/>
                <w:szCs w:val="20"/>
              </w:rPr>
              <w:t>55,51</w:t>
            </w:r>
          </w:p>
        </w:tc>
        <w:tc>
          <w:tcPr>
            <w:tcW w:w="1183" w:type="dxa"/>
          </w:tcPr>
          <w:p w:rsidR="00D1588E" w:rsidRPr="007C51D6" w:rsidRDefault="00D1588E" w:rsidP="00D1588E">
            <w:pPr>
              <w:jc w:val="center"/>
              <w:rPr>
                <w:color w:val="000000"/>
                <w:sz w:val="20"/>
                <w:szCs w:val="20"/>
              </w:rPr>
            </w:pPr>
            <w:r w:rsidRPr="007C51D6">
              <w:rPr>
                <w:color w:val="000000"/>
                <w:sz w:val="20"/>
                <w:szCs w:val="20"/>
              </w:rPr>
              <w:t>54,8</w:t>
            </w:r>
          </w:p>
        </w:tc>
        <w:tc>
          <w:tcPr>
            <w:tcW w:w="1247" w:type="dxa"/>
            <w:vAlign w:val="center"/>
          </w:tcPr>
          <w:p w:rsidR="00D1588E" w:rsidRPr="007C51D6" w:rsidRDefault="00D1588E" w:rsidP="00D1588E">
            <w:pPr>
              <w:jc w:val="center"/>
              <w:rPr>
                <w:color w:val="000000"/>
                <w:sz w:val="20"/>
                <w:szCs w:val="20"/>
              </w:rPr>
            </w:pPr>
            <w:r w:rsidRPr="007C51D6">
              <w:rPr>
                <w:color w:val="000000"/>
                <w:sz w:val="20"/>
                <w:szCs w:val="20"/>
              </w:rPr>
              <w:t>57.85</w:t>
            </w:r>
          </w:p>
        </w:tc>
        <w:tc>
          <w:tcPr>
            <w:tcW w:w="1247" w:type="dxa"/>
            <w:vAlign w:val="center"/>
          </w:tcPr>
          <w:p w:rsidR="00D1588E" w:rsidRPr="007C51D6" w:rsidRDefault="00D1588E" w:rsidP="00D1588E">
            <w:pPr>
              <w:jc w:val="center"/>
              <w:rPr>
                <w:color w:val="000000"/>
                <w:sz w:val="20"/>
                <w:szCs w:val="20"/>
              </w:rPr>
            </w:pPr>
            <w:r w:rsidRPr="007C51D6">
              <w:rPr>
                <w:color w:val="000000"/>
                <w:sz w:val="20"/>
                <w:szCs w:val="20"/>
              </w:rPr>
              <w:t>53.04</w:t>
            </w:r>
          </w:p>
        </w:tc>
      </w:tr>
      <w:tr w:rsidR="00D1588E" w:rsidRPr="007C51D6" w:rsidTr="00742D16">
        <w:trPr>
          <w:trHeight w:val="20"/>
        </w:trPr>
        <w:tc>
          <w:tcPr>
            <w:tcW w:w="2991" w:type="dxa"/>
            <w:shd w:val="clear" w:color="auto" w:fill="auto"/>
            <w:hideMark/>
          </w:tcPr>
          <w:p w:rsidR="00D1588E" w:rsidRPr="007C51D6" w:rsidRDefault="00D1588E" w:rsidP="00D1588E">
            <w:pPr>
              <w:autoSpaceDE/>
              <w:autoSpaceDN/>
              <w:adjustRightInd/>
              <w:rPr>
                <w:color w:val="000000"/>
                <w:sz w:val="20"/>
                <w:szCs w:val="20"/>
              </w:rPr>
            </w:pPr>
            <w:r w:rsidRPr="007C51D6">
              <w:rPr>
                <w:color w:val="000000"/>
                <w:sz w:val="20"/>
                <w:szCs w:val="20"/>
              </w:rPr>
              <w:t>Арский</w:t>
            </w:r>
          </w:p>
        </w:tc>
        <w:tc>
          <w:tcPr>
            <w:tcW w:w="1183" w:type="dxa"/>
            <w:shd w:val="clear" w:color="auto" w:fill="auto"/>
            <w:hideMark/>
          </w:tcPr>
          <w:p w:rsidR="00D1588E" w:rsidRPr="007C51D6" w:rsidRDefault="00D1588E" w:rsidP="00D1588E">
            <w:pPr>
              <w:autoSpaceDE/>
              <w:autoSpaceDN/>
              <w:adjustRightInd/>
              <w:jc w:val="center"/>
              <w:rPr>
                <w:color w:val="000000"/>
                <w:sz w:val="20"/>
                <w:szCs w:val="20"/>
              </w:rPr>
            </w:pPr>
            <w:r w:rsidRPr="007C51D6">
              <w:rPr>
                <w:color w:val="000000"/>
                <w:sz w:val="20"/>
                <w:szCs w:val="20"/>
              </w:rPr>
              <w:t>54,54</w:t>
            </w:r>
          </w:p>
        </w:tc>
        <w:tc>
          <w:tcPr>
            <w:tcW w:w="1184" w:type="dxa"/>
            <w:shd w:val="clear" w:color="auto" w:fill="auto"/>
            <w:hideMark/>
          </w:tcPr>
          <w:p w:rsidR="00D1588E" w:rsidRPr="007C51D6" w:rsidRDefault="00D1588E" w:rsidP="00D1588E">
            <w:pPr>
              <w:autoSpaceDE/>
              <w:autoSpaceDN/>
              <w:adjustRightInd/>
              <w:jc w:val="center"/>
              <w:rPr>
                <w:color w:val="000000"/>
                <w:sz w:val="20"/>
                <w:szCs w:val="20"/>
              </w:rPr>
            </w:pPr>
            <w:r w:rsidRPr="007C51D6">
              <w:rPr>
                <w:color w:val="000000"/>
                <w:sz w:val="20"/>
                <w:szCs w:val="20"/>
              </w:rPr>
              <w:t>55,33</w:t>
            </w:r>
          </w:p>
        </w:tc>
        <w:tc>
          <w:tcPr>
            <w:tcW w:w="1183" w:type="dxa"/>
            <w:shd w:val="clear" w:color="auto" w:fill="auto"/>
            <w:hideMark/>
          </w:tcPr>
          <w:p w:rsidR="00D1588E" w:rsidRPr="007C51D6" w:rsidRDefault="00D1588E" w:rsidP="00D1588E">
            <w:pPr>
              <w:autoSpaceDE/>
              <w:autoSpaceDN/>
              <w:adjustRightInd/>
              <w:jc w:val="center"/>
              <w:rPr>
                <w:color w:val="000000"/>
                <w:sz w:val="20"/>
                <w:szCs w:val="20"/>
              </w:rPr>
            </w:pPr>
            <w:r w:rsidRPr="007C51D6">
              <w:rPr>
                <w:color w:val="000000"/>
                <w:sz w:val="20"/>
                <w:szCs w:val="20"/>
              </w:rPr>
              <w:t>56,56</w:t>
            </w:r>
          </w:p>
        </w:tc>
        <w:tc>
          <w:tcPr>
            <w:tcW w:w="1343" w:type="dxa"/>
            <w:shd w:val="clear" w:color="auto" w:fill="auto"/>
            <w:hideMark/>
          </w:tcPr>
          <w:p w:rsidR="00D1588E" w:rsidRPr="007C51D6" w:rsidRDefault="00D1588E" w:rsidP="00D1588E">
            <w:pPr>
              <w:autoSpaceDE/>
              <w:autoSpaceDN/>
              <w:adjustRightInd/>
              <w:jc w:val="center"/>
              <w:rPr>
                <w:color w:val="000000"/>
                <w:sz w:val="20"/>
                <w:szCs w:val="20"/>
              </w:rPr>
            </w:pPr>
            <w:r w:rsidRPr="007C51D6">
              <w:rPr>
                <w:color w:val="000000"/>
                <w:sz w:val="20"/>
                <w:szCs w:val="20"/>
              </w:rPr>
              <w:t>57,09</w:t>
            </w:r>
          </w:p>
        </w:tc>
        <w:tc>
          <w:tcPr>
            <w:tcW w:w="1183" w:type="dxa"/>
            <w:shd w:val="clear" w:color="auto" w:fill="auto"/>
            <w:hideMark/>
          </w:tcPr>
          <w:p w:rsidR="00D1588E" w:rsidRPr="007C51D6" w:rsidRDefault="00D1588E" w:rsidP="00D1588E">
            <w:pPr>
              <w:autoSpaceDE/>
              <w:autoSpaceDN/>
              <w:adjustRightInd/>
              <w:jc w:val="center"/>
              <w:rPr>
                <w:color w:val="000000"/>
                <w:sz w:val="20"/>
                <w:szCs w:val="20"/>
              </w:rPr>
            </w:pPr>
            <w:r w:rsidRPr="007C51D6">
              <w:rPr>
                <w:color w:val="000000"/>
                <w:sz w:val="20"/>
                <w:szCs w:val="20"/>
              </w:rPr>
              <w:t>59,48</w:t>
            </w:r>
          </w:p>
        </w:tc>
        <w:tc>
          <w:tcPr>
            <w:tcW w:w="1183" w:type="dxa"/>
          </w:tcPr>
          <w:p w:rsidR="00D1588E" w:rsidRPr="007C51D6" w:rsidRDefault="00D1588E" w:rsidP="00D1588E">
            <w:pPr>
              <w:autoSpaceDE/>
              <w:autoSpaceDN/>
              <w:adjustRightInd/>
              <w:jc w:val="center"/>
              <w:rPr>
                <w:color w:val="000000"/>
                <w:sz w:val="20"/>
                <w:szCs w:val="20"/>
              </w:rPr>
            </w:pPr>
            <w:r w:rsidRPr="007C51D6">
              <w:rPr>
                <w:color w:val="000000"/>
                <w:sz w:val="20"/>
                <w:szCs w:val="20"/>
              </w:rPr>
              <w:t>60,76</w:t>
            </w:r>
          </w:p>
        </w:tc>
        <w:tc>
          <w:tcPr>
            <w:tcW w:w="1184" w:type="dxa"/>
          </w:tcPr>
          <w:p w:rsidR="00D1588E" w:rsidRPr="007C51D6" w:rsidRDefault="00D1588E" w:rsidP="00D1588E">
            <w:pPr>
              <w:jc w:val="center"/>
              <w:rPr>
                <w:color w:val="000000"/>
                <w:sz w:val="20"/>
                <w:szCs w:val="20"/>
              </w:rPr>
            </w:pPr>
            <w:r w:rsidRPr="007C51D6">
              <w:rPr>
                <w:color w:val="000000"/>
                <w:sz w:val="20"/>
                <w:szCs w:val="20"/>
              </w:rPr>
              <w:t>60,61</w:t>
            </w:r>
          </w:p>
        </w:tc>
        <w:tc>
          <w:tcPr>
            <w:tcW w:w="1183" w:type="dxa"/>
          </w:tcPr>
          <w:p w:rsidR="00D1588E" w:rsidRPr="007C51D6" w:rsidRDefault="00D1588E" w:rsidP="00D1588E">
            <w:pPr>
              <w:jc w:val="center"/>
              <w:rPr>
                <w:color w:val="000000"/>
                <w:sz w:val="20"/>
                <w:szCs w:val="20"/>
              </w:rPr>
            </w:pPr>
            <w:r w:rsidRPr="007C51D6">
              <w:rPr>
                <w:color w:val="000000"/>
                <w:sz w:val="20"/>
                <w:szCs w:val="20"/>
              </w:rPr>
              <w:t>60,7</w:t>
            </w:r>
          </w:p>
        </w:tc>
        <w:tc>
          <w:tcPr>
            <w:tcW w:w="1247" w:type="dxa"/>
            <w:vAlign w:val="center"/>
          </w:tcPr>
          <w:p w:rsidR="00D1588E" w:rsidRPr="007C51D6" w:rsidRDefault="00D1588E" w:rsidP="00D1588E">
            <w:pPr>
              <w:jc w:val="center"/>
              <w:rPr>
                <w:color w:val="000000"/>
                <w:sz w:val="20"/>
                <w:szCs w:val="20"/>
              </w:rPr>
            </w:pPr>
            <w:r w:rsidRPr="007C51D6">
              <w:rPr>
                <w:color w:val="000000"/>
                <w:sz w:val="20"/>
                <w:szCs w:val="20"/>
              </w:rPr>
              <w:t>59.50</w:t>
            </w:r>
          </w:p>
        </w:tc>
        <w:tc>
          <w:tcPr>
            <w:tcW w:w="1247" w:type="dxa"/>
            <w:vAlign w:val="center"/>
          </w:tcPr>
          <w:p w:rsidR="00D1588E" w:rsidRPr="007C51D6" w:rsidRDefault="00D1588E" w:rsidP="00D1588E">
            <w:pPr>
              <w:jc w:val="center"/>
              <w:rPr>
                <w:color w:val="000000"/>
                <w:sz w:val="20"/>
                <w:szCs w:val="20"/>
              </w:rPr>
            </w:pPr>
            <w:r w:rsidRPr="007C51D6">
              <w:rPr>
                <w:color w:val="000000"/>
                <w:sz w:val="20"/>
                <w:szCs w:val="20"/>
              </w:rPr>
              <w:t>55.04</w:t>
            </w:r>
          </w:p>
        </w:tc>
      </w:tr>
      <w:tr w:rsidR="00D1588E" w:rsidRPr="007C51D6" w:rsidTr="00742D16">
        <w:trPr>
          <w:trHeight w:val="20"/>
        </w:trPr>
        <w:tc>
          <w:tcPr>
            <w:tcW w:w="2991" w:type="dxa"/>
            <w:shd w:val="clear" w:color="auto" w:fill="auto"/>
            <w:hideMark/>
          </w:tcPr>
          <w:p w:rsidR="00D1588E" w:rsidRPr="007C51D6" w:rsidRDefault="00D1588E" w:rsidP="00D1588E">
            <w:pPr>
              <w:autoSpaceDE/>
              <w:autoSpaceDN/>
              <w:adjustRightInd/>
              <w:rPr>
                <w:color w:val="000000"/>
                <w:sz w:val="20"/>
                <w:szCs w:val="20"/>
              </w:rPr>
            </w:pPr>
            <w:r w:rsidRPr="007C51D6">
              <w:rPr>
                <w:color w:val="000000"/>
                <w:sz w:val="20"/>
                <w:szCs w:val="20"/>
              </w:rPr>
              <w:t>Атнинский</w:t>
            </w:r>
          </w:p>
        </w:tc>
        <w:tc>
          <w:tcPr>
            <w:tcW w:w="1183" w:type="dxa"/>
            <w:shd w:val="clear" w:color="auto" w:fill="auto"/>
            <w:hideMark/>
          </w:tcPr>
          <w:p w:rsidR="00D1588E" w:rsidRPr="007C51D6" w:rsidRDefault="00D1588E" w:rsidP="00D1588E">
            <w:pPr>
              <w:autoSpaceDE/>
              <w:autoSpaceDN/>
              <w:adjustRightInd/>
              <w:jc w:val="center"/>
              <w:rPr>
                <w:color w:val="000000"/>
                <w:sz w:val="20"/>
                <w:szCs w:val="20"/>
              </w:rPr>
            </w:pPr>
            <w:r w:rsidRPr="007C51D6">
              <w:rPr>
                <w:color w:val="000000"/>
                <w:sz w:val="20"/>
                <w:szCs w:val="20"/>
              </w:rPr>
              <w:t>55,47</w:t>
            </w:r>
          </w:p>
        </w:tc>
        <w:tc>
          <w:tcPr>
            <w:tcW w:w="1184" w:type="dxa"/>
            <w:shd w:val="clear" w:color="auto" w:fill="auto"/>
            <w:hideMark/>
          </w:tcPr>
          <w:p w:rsidR="00D1588E" w:rsidRPr="007C51D6" w:rsidRDefault="00D1588E" w:rsidP="00D1588E">
            <w:pPr>
              <w:autoSpaceDE/>
              <w:autoSpaceDN/>
              <w:adjustRightInd/>
              <w:jc w:val="center"/>
              <w:rPr>
                <w:color w:val="000000"/>
                <w:sz w:val="20"/>
                <w:szCs w:val="20"/>
              </w:rPr>
            </w:pPr>
            <w:r w:rsidRPr="007C51D6">
              <w:rPr>
                <w:color w:val="000000"/>
                <w:sz w:val="20"/>
                <w:szCs w:val="20"/>
              </w:rPr>
              <w:t>56,34</w:t>
            </w:r>
          </w:p>
        </w:tc>
        <w:tc>
          <w:tcPr>
            <w:tcW w:w="1183" w:type="dxa"/>
            <w:shd w:val="clear" w:color="auto" w:fill="auto"/>
            <w:hideMark/>
          </w:tcPr>
          <w:p w:rsidR="00D1588E" w:rsidRPr="007C51D6" w:rsidRDefault="00D1588E" w:rsidP="00D1588E">
            <w:pPr>
              <w:autoSpaceDE/>
              <w:autoSpaceDN/>
              <w:adjustRightInd/>
              <w:jc w:val="center"/>
              <w:rPr>
                <w:color w:val="000000"/>
                <w:sz w:val="20"/>
                <w:szCs w:val="20"/>
              </w:rPr>
            </w:pPr>
            <w:r w:rsidRPr="007C51D6">
              <w:rPr>
                <w:color w:val="000000"/>
                <w:sz w:val="20"/>
                <w:szCs w:val="20"/>
              </w:rPr>
              <w:t>55,36</w:t>
            </w:r>
          </w:p>
        </w:tc>
        <w:tc>
          <w:tcPr>
            <w:tcW w:w="1343" w:type="dxa"/>
            <w:shd w:val="clear" w:color="auto" w:fill="auto"/>
            <w:hideMark/>
          </w:tcPr>
          <w:p w:rsidR="00D1588E" w:rsidRPr="007C51D6" w:rsidRDefault="00D1588E" w:rsidP="00D1588E">
            <w:pPr>
              <w:autoSpaceDE/>
              <w:autoSpaceDN/>
              <w:adjustRightInd/>
              <w:jc w:val="center"/>
              <w:rPr>
                <w:color w:val="000000"/>
                <w:sz w:val="20"/>
                <w:szCs w:val="20"/>
              </w:rPr>
            </w:pPr>
            <w:r w:rsidRPr="007C51D6">
              <w:rPr>
                <w:color w:val="000000"/>
                <w:sz w:val="20"/>
                <w:szCs w:val="20"/>
              </w:rPr>
              <w:t>54,74</w:t>
            </w:r>
          </w:p>
        </w:tc>
        <w:tc>
          <w:tcPr>
            <w:tcW w:w="1183" w:type="dxa"/>
            <w:shd w:val="clear" w:color="auto" w:fill="auto"/>
            <w:hideMark/>
          </w:tcPr>
          <w:p w:rsidR="00D1588E" w:rsidRPr="007C51D6" w:rsidRDefault="00D1588E" w:rsidP="00D1588E">
            <w:pPr>
              <w:autoSpaceDE/>
              <w:autoSpaceDN/>
              <w:adjustRightInd/>
              <w:jc w:val="center"/>
              <w:rPr>
                <w:color w:val="000000"/>
                <w:sz w:val="20"/>
                <w:szCs w:val="20"/>
              </w:rPr>
            </w:pPr>
            <w:r w:rsidRPr="007C51D6">
              <w:rPr>
                <w:color w:val="000000"/>
                <w:sz w:val="20"/>
                <w:szCs w:val="20"/>
              </w:rPr>
              <w:t>55,17</w:t>
            </w:r>
          </w:p>
        </w:tc>
        <w:tc>
          <w:tcPr>
            <w:tcW w:w="1183" w:type="dxa"/>
          </w:tcPr>
          <w:p w:rsidR="00D1588E" w:rsidRPr="007C51D6" w:rsidRDefault="00D1588E" w:rsidP="00D1588E">
            <w:pPr>
              <w:autoSpaceDE/>
              <w:autoSpaceDN/>
              <w:adjustRightInd/>
              <w:jc w:val="center"/>
              <w:rPr>
                <w:color w:val="000000"/>
                <w:sz w:val="20"/>
                <w:szCs w:val="20"/>
              </w:rPr>
            </w:pPr>
            <w:r w:rsidRPr="007C51D6">
              <w:rPr>
                <w:color w:val="000000"/>
                <w:sz w:val="20"/>
                <w:szCs w:val="20"/>
              </w:rPr>
              <w:t>56,25</w:t>
            </w:r>
          </w:p>
        </w:tc>
        <w:tc>
          <w:tcPr>
            <w:tcW w:w="1184" w:type="dxa"/>
          </w:tcPr>
          <w:p w:rsidR="00D1588E" w:rsidRPr="007C51D6" w:rsidRDefault="00D1588E" w:rsidP="00D1588E">
            <w:pPr>
              <w:jc w:val="center"/>
              <w:rPr>
                <w:color w:val="000000"/>
                <w:sz w:val="20"/>
                <w:szCs w:val="20"/>
              </w:rPr>
            </w:pPr>
            <w:r w:rsidRPr="007C51D6">
              <w:rPr>
                <w:color w:val="000000"/>
                <w:sz w:val="20"/>
                <w:szCs w:val="20"/>
              </w:rPr>
              <w:t>57,89</w:t>
            </w:r>
          </w:p>
        </w:tc>
        <w:tc>
          <w:tcPr>
            <w:tcW w:w="1183" w:type="dxa"/>
          </w:tcPr>
          <w:p w:rsidR="00D1588E" w:rsidRPr="007C51D6" w:rsidRDefault="00D1588E" w:rsidP="00D1588E">
            <w:pPr>
              <w:jc w:val="center"/>
              <w:rPr>
                <w:color w:val="000000"/>
                <w:sz w:val="20"/>
                <w:szCs w:val="20"/>
              </w:rPr>
            </w:pPr>
            <w:r w:rsidRPr="007C51D6">
              <w:rPr>
                <w:color w:val="000000"/>
                <w:sz w:val="20"/>
                <w:szCs w:val="20"/>
              </w:rPr>
              <w:t>57,2</w:t>
            </w:r>
          </w:p>
        </w:tc>
        <w:tc>
          <w:tcPr>
            <w:tcW w:w="1247" w:type="dxa"/>
            <w:vAlign w:val="center"/>
          </w:tcPr>
          <w:p w:rsidR="00D1588E" w:rsidRPr="007C51D6" w:rsidRDefault="00D1588E" w:rsidP="00D1588E">
            <w:pPr>
              <w:jc w:val="center"/>
              <w:rPr>
                <w:color w:val="000000"/>
                <w:sz w:val="20"/>
                <w:szCs w:val="20"/>
              </w:rPr>
            </w:pPr>
            <w:r w:rsidRPr="007C51D6">
              <w:rPr>
                <w:color w:val="000000"/>
                <w:sz w:val="20"/>
                <w:szCs w:val="20"/>
              </w:rPr>
              <w:t>58.07</w:t>
            </w:r>
          </w:p>
        </w:tc>
        <w:tc>
          <w:tcPr>
            <w:tcW w:w="1247" w:type="dxa"/>
            <w:vAlign w:val="center"/>
          </w:tcPr>
          <w:p w:rsidR="00D1588E" w:rsidRPr="007C51D6" w:rsidRDefault="00D1588E" w:rsidP="00D1588E">
            <w:pPr>
              <w:jc w:val="center"/>
              <w:rPr>
                <w:color w:val="000000"/>
                <w:sz w:val="20"/>
                <w:szCs w:val="20"/>
              </w:rPr>
            </w:pPr>
            <w:r w:rsidRPr="007C51D6">
              <w:rPr>
                <w:color w:val="000000"/>
                <w:sz w:val="20"/>
                <w:szCs w:val="20"/>
              </w:rPr>
              <w:t>56.4</w:t>
            </w:r>
          </w:p>
        </w:tc>
      </w:tr>
      <w:tr w:rsidR="00D1588E" w:rsidRPr="007C51D6" w:rsidTr="00742D16">
        <w:trPr>
          <w:trHeight w:val="20"/>
        </w:trPr>
        <w:tc>
          <w:tcPr>
            <w:tcW w:w="2991" w:type="dxa"/>
            <w:shd w:val="clear" w:color="auto" w:fill="auto"/>
            <w:hideMark/>
          </w:tcPr>
          <w:p w:rsidR="00D1588E" w:rsidRPr="007C51D6" w:rsidRDefault="00D1588E" w:rsidP="00D1588E">
            <w:pPr>
              <w:autoSpaceDE/>
              <w:autoSpaceDN/>
              <w:adjustRightInd/>
              <w:rPr>
                <w:color w:val="000000"/>
                <w:sz w:val="20"/>
                <w:szCs w:val="20"/>
              </w:rPr>
            </w:pPr>
            <w:r w:rsidRPr="007C51D6">
              <w:rPr>
                <w:color w:val="000000"/>
                <w:sz w:val="20"/>
                <w:szCs w:val="20"/>
              </w:rPr>
              <w:t>Бавлинский</w:t>
            </w:r>
          </w:p>
        </w:tc>
        <w:tc>
          <w:tcPr>
            <w:tcW w:w="1183" w:type="dxa"/>
            <w:shd w:val="clear" w:color="auto" w:fill="auto"/>
            <w:hideMark/>
          </w:tcPr>
          <w:p w:rsidR="00D1588E" w:rsidRPr="007C51D6" w:rsidRDefault="00D1588E" w:rsidP="00D1588E">
            <w:pPr>
              <w:autoSpaceDE/>
              <w:autoSpaceDN/>
              <w:adjustRightInd/>
              <w:jc w:val="center"/>
              <w:rPr>
                <w:color w:val="000000"/>
                <w:sz w:val="20"/>
                <w:szCs w:val="20"/>
              </w:rPr>
            </w:pPr>
            <w:r w:rsidRPr="007C51D6">
              <w:rPr>
                <w:color w:val="000000"/>
                <w:sz w:val="20"/>
                <w:szCs w:val="20"/>
              </w:rPr>
              <w:t>54,22</w:t>
            </w:r>
          </w:p>
        </w:tc>
        <w:tc>
          <w:tcPr>
            <w:tcW w:w="1184" w:type="dxa"/>
            <w:shd w:val="clear" w:color="auto" w:fill="auto"/>
            <w:hideMark/>
          </w:tcPr>
          <w:p w:rsidR="00D1588E" w:rsidRPr="007C51D6" w:rsidRDefault="00D1588E" w:rsidP="00D1588E">
            <w:pPr>
              <w:autoSpaceDE/>
              <w:autoSpaceDN/>
              <w:adjustRightInd/>
              <w:jc w:val="center"/>
              <w:rPr>
                <w:color w:val="000000"/>
                <w:sz w:val="20"/>
                <w:szCs w:val="20"/>
              </w:rPr>
            </w:pPr>
            <w:r w:rsidRPr="007C51D6">
              <w:rPr>
                <w:color w:val="000000"/>
                <w:sz w:val="20"/>
                <w:szCs w:val="20"/>
              </w:rPr>
              <w:t>57,71</w:t>
            </w:r>
          </w:p>
        </w:tc>
        <w:tc>
          <w:tcPr>
            <w:tcW w:w="1183" w:type="dxa"/>
            <w:shd w:val="clear" w:color="auto" w:fill="auto"/>
            <w:hideMark/>
          </w:tcPr>
          <w:p w:rsidR="00D1588E" w:rsidRPr="007C51D6" w:rsidRDefault="00D1588E" w:rsidP="00D1588E">
            <w:pPr>
              <w:autoSpaceDE/>
              <w:autoSpaceDN/>
              <w:adjustRightInd/>
              <w:jc w:val="center"/>
              <w:rPr>
                <w:color w:val="000000"/>
                <w:sz w:val="20"/>
                <w:szCs w:val="20"/>
              </w:rPr>
            </w:pPr>
            <w:r w:rsidRPr="007C51D6">
              <w:rPr>
                <w:color w:val="000000"/>
                <w:sz w:val="20"/>
                <w:szCs w:val="20"/>
              </w:rPr>
              <w:t>57,45</w:t>
            </w:r>
          </w:p>
        </w:tc>
        <w:tc>
          <w:tcPr>
            <w:tcW w:w="1343" w:type="dxa"/>
            <w:shd w:val="clear" w:color="auto" w:fill="auto"/>
            <w:hideMark/>
          </w:tcPr>
          <w:p w:rsidR="00D1588E" w:rsidRPr="007C51D6" w:rsidRDefault="00D1588E" w:rsidP="00D1588E">
            <w:pPr>
              <w:autoSpaceDE/>
              <w:autoSpaceDN/>
              <w:adjustRightInd/>
              <w:jc w:val="center"/>
              <w:rPr>
                <w:color w:val="000000"/>
                <w:sz w:val="20"/>
                <w:szCs w:val="20"/>
              </w:rPr>
            </w:pPr>
            <w:r w:rsidRPr="007C51D6">
              <w:rPr>
                <w:color w:val="000000"/>
                <w:sz w:val="20"/>
                <w:szCs w:val="20"/>
              </w:rPr>
              <w:t>58,29</w:t>
            </w:r>
          </w:p>
        </w:tc>
        <w:tc>
          <w:tcPr>
            <w:tcW w:w="1183" w:type="dxa"/>
            <w:shd w:val="clear" w:color="auto" w:fill="auto"/>
            <w:hideMark/>
          </w:tcPr>
          <w:p w:rsidR="00D1588E" w:rsidRPr="007C51D6" w:rsidRDefault="00D1588E" w:rsidP="00D1588E">
            <w:pPr>
              <w:autoSpaceDE/>
              <w:autoSpaceDN/>
              <w:adjustRightInd/>
              <w:jc w:val="center"/>
              <w:rPr>
                <w:color w:val="000000"/>
                <w:sz w:val="20"/>
                <w:szCs w:val="20"/>
              </w:rPr>
            </w:pPr>
            <w:r w:rsidRPr="007C51D6">
              <w:rPr>
                <w:color w:val="000000"/>
                <w:sz w:val="20"/>
                <w:szCs w:val="20"/>
              </w:rPr>
              <w:t>59,72</w:t>
            </w:r>
          </w:p>
        </w:tc>
        <w:tc>
          <w:tcPr>
            <w:tcW w:w="1183" w:type="dxa"/>
          </w:tcPr>
          <w:p w:rsidR="00D1588E" w:rsidRPr="007C51D6" w:rsidRDefault="00D1588E" w:rsidP="00D1588E">
            <w:pPr>
              <w:autoSpaceDE/>
              <w:autoSpaceDN/>
              <w:adjustRightInd/>
              <w:jc w:val="center"/>
              <w:rPr>
                <w:color w:val="000000"/>
                <w:sz w:val="20"/>
                <w:szCs w:val="20"/>
              </w:rPr>
            </w:pPr>
            <w:r w:rsidRPr="007C51D6">
              <w:rPr>
                <w:color w:val="000000"/>
                <w:sz w:val="20"/>
                <w:szCs w:val="20"/>
              </w:rPr>
              <w:t>62,37</w:t>
            </w:r>
          </w:p>
        </w:tc>
        <w:tc>
          <w:tcPr>
            <w:tcW w:w="1184" w:type="dxa"/>
          </w:tcPr>
          <w:p w:rsidR="00D1588E" w:rsidRPr="007C51D6" w:rsidRDefault="00D1588E" w:rsidP="00D1588E">
            <w:pPr>
              <w:jc w:val="center"/>
              <w:rPr>
                <w:color w:val="000000"/>
                <w:sz w:val="20"/>
                <w:szCs w:val="20"/>
              </w:rPr>
            </w:pPr>
            <w:r w:rsidRPr="007C51D6">
              <w:rPr>
                <w:color w:val="000000"/>
                <w:sz w:val="20"/>
                <w:szCs w:val="20"/>
              </w:rPr>
              <w:t>63,81</w:t>
            </w:r>
          </w:p>
        </w:tc>
        <w:tc>
          <w:tcPr>
            <w:tcW w:w="1183" w:type="dxa"/>
          </w:tcPr>
          <w:p w:rsidR="00D1588E" w:rsidRPr="007C51D6" w:rsidRDefault="00D1588E" w:rsidP="00D1588E">
            <w:pPr>
              <w:jc w:val="center"/>
              <w:rPr>
                <w:color w:val="000000"/>
                <w:sz w:val="20"/>
                <w:szCs w:val="20"/>
              </w:rPr>
            </w:pPr>
            <w:r w:rsidRPr="007C51D6">
              <w:rPr>
                <w:color w:val="000000"/>
                <w:sz w:val="20"/>
                <w:szCs w:val="20"/>
              </w:rPr>
              <w:t>64,4</w:t>
            </w:r>
          </w:p>
        </w:tc>
        <w:tc>
          <w:tcPr>
            <w:tcW w:w="1247" w:type="dxa"/>
            <w:vAlign w:val="center"/>
          </w:tcPr>
          <w:p w:rsidR="00D1588E" w:rsidRPr="007C51D6" w:rsidRDefault="00D1588E" w:rsidP="00D1588E">
            <w:pPr>
              <w:jc w:val="center"/>
              <w:rPr>
                <w:color w:val="000000"/>
                <w:sz w:val="20"/>
                <w:szCs w:val="20"/>
              </w:rPr>
            </w:pPr>
            <w:r w:rsidRPr="007C51D6">
              <w:rPr>
                <w:color w:val="000000"/>
                <w:sz w:val="20"/>
                <w:szCs w:val="20"/>
              </w:rPr>
              <w:t>63.57</w:t>
            </w:r>
          </w:p>
        </w:tc>
        <w:tc>
          <w:tcPr>
            <w:tcW w:w="1247" w:type="dxa"/>
            <w:vAlign w:val="center"/>
          </w:tcPr>
          <w:p w:rsidR="00D1588E" w:rsidRPr="007C51D6" w:rsidRDefault="00D1588E" w:rsidP="00D1588E">
            <w:pPr>
              <w:jc w:val="center"/>
              <w:rPr>
                <w:color w:val="000000"/>
                <w:sz w:val="20"/>
                <w:szCs w:val="20"/>
              </w:rPr>
            </w:pPr>
            <w:r w:rsidRPr="007C51D6">
              <w:rPr>
                <w:color w:val="000000"/>
                <w:sz w:val="20"/>
                <w:szCs w:val="20"/>
              </w:rPr>
              <w:t>56.2</w:t>
            </w:r>
          </w:p>
        </w:tc>
      </w:tr>
      <w:tr w:rsidR="00D1588E" w:rsidRPr="007C51D6" w:rsidTr="00742D16">
        <w:trPr>
          <w:trHeight w:val="20"/>
        </w:trPr>
        <w:tc>
          <w:tcPr>
            <w:tcW w:w="2991" w:type="dxa"/>
            <w:shd w:val="clear" w:color="auto" w:fill="auto"/>
            <w:hideMark/>
          </w:tcPr>
          <w:p w:rsidR="00D1588E" w:rsidRPr="007C51D6" w:rsidRDefault="00D1588E" w:rsidP="00D1588E">
            <w:pPr>
              <w:autoSpaceDE/>
              <w:autoSpaceDN/>
              <w:adjustRightInd/>
              <w:rPr>
                <w:color w:val="000000"/>
                <w:sz w:val="20"/>
                <w:szCs w:val="20"/>
              </w:rPr>
            </w:pPr>
            <w:r w:rsidRPr="007C51D6">
              <w:rPr>
                <w:color w:val="000000"/>
                <w:sz w:val="20"/>
                <w:szCs w:val="20"/>
              </w:rPr>
              <w:t>Балтасинский</w:t>
            </w:r>
          </w:p>
        </w:tc>
        <w:tc>
          <w:tcPr>
            <w:tcW w:w="1183" w:type="dxa"/>
            <w:shd w:val="clear" w:color="auto" w:fill="auto"/>
            <w:hideMark/>
          </w:tcPr>
          <w:p w:rsidR="00D1588E" w:rsidRPr="007C51D6" w:rsidRDefault="00D1588E" w:rsidP="00D1588E">
            <w:pPr>
              <w:autoSpaceDE/>
              <w:autoSpaceDN/>
              <w:adjustRightInd/>
              <w:jc w:val="center"/>
              <w:rPr>
                <w:color w:val="000000"/>
                <w:sz w:val="20"/>
                <w:szCs w:val="20"/>
              </w:rPr>
            </w:pPr>
            <w:r w:rsidRPr="007C51D6">
              <w:rPr>
                <w:color w:val="000000"/>
                <w:sz w:val="20"/>
                <w:szCs w:val="20"/>
              </w:rPr>
              <w:t>57,16</w:t>
            </w:r>
          </w:p>
        </w:tc>
        <w:tc>
          <w:tcPr>
            <w:tcW w:w="1184" w:type="dxa"/>
            <w:shd w:val="clear" w:color="auto" w:fill="auto"/>
            <w:hideMark/>
          </w:tcPr>
          <w:p w:rsidR="00D1588E" w:rsidRPr="007C51D6" w:rsidRDefault="00D1588E" w:rsidP="00D1588E">
            <w:pPr>
              <w:autoSpaceDE/>
              <w:autoSpaceDN/>
              <w:adjustRightInd/>
              <w:jc w:val="center"/>
              <w:rPr>
                <w:color w:val="000000"/>
                <w:sz w:val="20"/>
                <w:szCs w:val="20"/>
              </w:rPr>
            </w:pPr>
            <w:r w:rsidRPr="007C51D6">
              <w:rPr>
                <w:color w:val="000000"/>
                <w:sz w:val="20"/>
                <w:szCs w:val="20"/>
              </w:rPr>
              <w:t>58,29</w:t>
            </w:r>
          </w:p>
        </w:tc>
        <w:tc>
          <w:tcPr>
            <w:tcW w:w="1183" w:type="dxa"/>
            <w:shd w:val="clear" w:color="auto" w:fill="auto"/>
            <w:hideMark/>
          </w:tcPr>
          <w:p w:rsidR="00D1588E" w:rsidRPr="007C51D6" w:rsidRDefault="00D1588E" w:rsidP="00D1588E">
            <w:pPr>
              <w:autoSpaceDE/>
              <w:autoSpaceDN/>
              <w:adjustRightInd/>
              <w:jc w:val="center"/>
              <w:rPr>
                <w:color w:val="000000"/>
                <w:sz w:val="20"/>
                <w:szCs w:val="20"/>
              </w:rPr>
            </w:pPr>
            <w:r w:rsidRPr="007C51D6">
              <w:rPr>
                <w:color w:val="000000"/>
                <w:sz w:val="20"/>
                <w:szCs w:val="20"/>
              </w:rPr>
              <w:t>58,19</w:t>
            </w:r>
          </w:p>
        </w:tc>
        <w:tc>
          <w:tcPr>
            <w:tcW w:w="1343" w:type="dxa"/>
            <w:shd w:val="clear" w:color="auto" w:fill="auto"/>
            <w:hideMark/>
          </w:tcPr>
          <w:p w:rsidR="00D1588E" w:rsidRPr="007C51D6" w:rsidRDefault="00D1588E" w:rsidP="00D1588E">
            <w:pPr>
              <w:autoSpaceDE/>
              <w:autoSpaceDN/>
              <w:adjustRightInd/>
              <w:jc w:val="center"/>
              <w:rPr>
                <w:color w:val="000000"/>
                <w:sz w:val="20"/>
                <w:szCs w:val="20"/>
              </w:rPr>
            </w:pPr>
            <w:r w:rsidRPr="007C51D6">
              <w:rPr>
                <w:color w:val="000000"/>
                <w:sz w:val="20"/>
                <w:szCs w:val="20"/>
              </w:rPr>
              <w:t>59,48</w:t>
            </w:r>
          </w:p>
        </w:tc>
        <w:tc>
          <w:tcPr>
            <w:tcW w:w="1183" w:type="dxa"/>
            <w:shd w:val="clear" w:color="auto" w:fill="auto"/>
            <w:hideMark/>
          </w:tcPr>
          <w:p w:rsidR="00D1588E" w:rsidRPr="007C51D6" w:rsidRDefault="00D1588E" w:rsidP="00D1588E">
            <w:pPr>
              <w:autoSpaceDE/>
              <w:autoSpaceDN/>
              <w:adjustRightInd/>
              <w:jc w:val="center"/>
              <w:rPr>
                <w:color w:val="000000"/>
                <w:sz w:val="20"/>
                <w:szCs w:val="20"/>
              </w:rPr>
            </w:pPr>
            <w:r w:rsidRPr="007C51D6">
              <w:rPr>
                <w:color w:val="000000"/>
                <w:sz w:val="20"/>
                <w:szCs w:val="20"/>
              </w:rPr>
              <w:t>61,49</w:t>
            </w:r>
          </w:p>
        </w:tc>
        <w:tc>
          <w:tcPr>
            <w:tcW w:w="1183" w:type="dxa"/>
          </w:tcPr>
          <w:p w:rsidR="00D1588E" w:rsidRPr="007C51D6" w:rsidRDefault="00D1588E" w:rsidP="00D1588E">
            <w:pPr>
              <w:autoSpaceDE/>
              <w:autoSpaceDN/>
              <w:adjustRightInd/>
              <w:jc w:val="center"/>
              <w:rPr>
                <w:color w:val="000000"/>
                <w:sz w:val="20"/>
                <w:szCs w:val="20"/>
              </w:rPr>
            </w:pPr>
            <w:r w:rsidRPr="007C51D6">
              <w:rPr>
                <w:color w:val="000000"/>
                <w:sz w:val="20"/>
                <w:szCs w:val="20"/>
              </w:rPr>
              <w:t>63,21</w:t>
            </w:r>
          </w:p>
        </w:tc>
        <w:tc>
          <w:tcPr>
            <w:tcW w:w="1184" w:type="dxa"/>
          </w:tcPr>
          <w:p w:rsidR="00D1588E" w:rsidRPr="007C51D6" w:rsidRDefault="00D1588E" w:rsidP="00D1588E">
            <w:pPr>
              <w:jc w:val="center"/>
              <w:rPr>
                <w:color w:val="000000"/>
                <w:sz w:val="20"/>
                <w:szCs w:val="20"/>
              </w:rPr>
            </w:pPr>
            <w:r w:rsidRPr="007C51D6">
              <w:rPr>
                <w:color w:val="000000"/>
                <w:sz w:val="20"/>
                <w:szCs w:val="20"/>
              </w:rPr>
              <w:t>62,50</w:t>
            </w:r>
          </w:p>
        </w:tc>
        <w:tc>
          <w:tcPr>
            <w:tcW w:w="1183" w:type="dxa"/>
          </w:tcPr>
          <w:p w:rsidR="00D1588E" w:rsidRPr="007C51D6" w:rsidRDefault="00D1588E" w:rsidP="00D1588E">
            <w:pPr>
              <w:jc w:val="center"/>
              <w:rPr>
                <w:color w:val="000000"/>
                <w:sz w:val="20"/>
                <w:szCs w:val="20"/>
              </w:rPr>
            </w:pPr>
            <w:r w:rsidRPr="007C51D6">
              <w:rPr>
                <w:color w:val="000000"/>
                <w:sz w:val="20"/>
                <w:szCs w:val="20"/>
              </w:rPr>
              <w:t>61,9</w:t>
            </w:r>
          </w:p>
        </w:tc>
        <w:tc>
          <w:tcPr>
            <w:tcW w:w="1247" w:type="dxa"/>
            <w:vAlign w:val="center"/>
          </w:tcPr>
          <w:p w:rsidR="00D1588E" w:rsidRPr="007C51D6" w:rsidRDefault="00D1588E" w:rsidP="00D1588E">
            <w:pPr>
              <w:jc w:val="center"/>
              <w:rPr>
                <w:color w:val="000000"/>
                <w:sz w:val="20"/>
                <w:szCs w:val="20"/>
              </w:rPr>
            </w:pPr>
            <w:r w:rsidRPr="007C51D6">
              <w:rPr>
                <w:color w:val="000000"/>
                <w:sz w:val="20"/>
                <w:szCs w:val="20"/>
              </w:rPr>
              <w:t>62.03</w:t>
            </w:r>
          </w:p>
        </w:tc>
        <w:tc>
          <w:tcPr>
            <w:tcW w:w="1247" w:type="dxa"/>
            <w:vAlign w:val="center"/>
          </w:tcPr>
          <w:p w:rsidR="00D1588E" w:rsidRPr="007C51D6" w:rsidRDefault="00D1588E" w:rsidP="00D1588E">
            <w:pPr>
              <w:jc w:val="center"/>
              <w:rPr>
                <w:color w:val="000000"/>
                <w:sz w:val="20"/>
                <w:szCs w:val="20"/>
              </w:rPr>
            </w:pPr>
            <w:r w:rsidRPr="007C51D6">
              <w:rPr>
                <w:color w:val="000000"/>
                <w:sz w:val="20"/>
                <w:szCs w:val="20"/>
              </w:rPr>
              <w:t>55.19</w:t>
            </w:r>
          </w:p>
        </w:tc>
      </w:tr>
      <w:tr w:rsidR="00D1588E" w:rsidRPr="007C51D6" w:rsidTr="00742D16">
        <w:trPr>
          <w:trHeight w:val="20"/>
        </w:trPr>
        <w:tc>
          <w:tcPr>
            <w:tcW w:w="2991" w:type="dxa"/>
            <w:shd w:val="clear" w:color="auto" w:fill="auto"/>
            <w:hideMark/>
          </w:tcPr>
          <w:p w:rsidR="00D1588E" w:rsidRPr="007C51D6" w:rsidRDefault="00D1588E" w:rsidP="00D1588E">
            <w:pPr>
              <w:autoSpaceDE/>
              <w:autoSpaceDN/>
              <w:adjustRightInd/>
              <w:rPr>
                <w:color w:val="000000"/>
                <w:sz w:val="20"/>
                <w:szCs w:val="20"/>
              </w:rPr>
            </w:pPr>
            <w:r w:rsidRPr="007C51D6">
              <w:rPr>
                <w:color w:val="000000"/>
                <w:sz w:val="20"/>
                <w:szCs w:val="20"/>
              </w:rPr>
              <w:t>Бугульминский</w:t>
            </w:r>
          </w:p>
        </w:tc>
        <w:tc>
          <w:tcPr>
            <w:tcW w:w="1183" w:type="dxa"/>
            <w:shd w:val="clear" w:color="auto" w:fill="auto"/>
            <w:hideMark/>
          </w:tcPr>
          <w:p w:rsidR="00D1588E" w:rsidRPr="007C51D6" w:rsidRDefault="00D1588E" w:rsidP="00D1588E">
            <w:pPr>
              <w:autoSpaceDE/>
              <w:autoSpaceDN/>
              <w:adjustRightInd/>
              <w:jc w:val="center"/>
              <w:rPr>
                <w:color w:val="000000"/>
                <w:sz w:val="20"/>
                <w:szCs w:val="20"/>
              </w:rPr>
            </w:pPr>
            <w:r w:rsidRPr="007C51D6">
              <w:rPr>
                <w:color w:val="000000"/>
                <w:sz w:val="20"/>
                <w:szCs w:val="20"/>
              </w:rPr>
              <w:t>57,29</w:t>
            </w:r>
          </w:p>
        </w:tc>
        <w:tc>
          <w:tcPr>
            <w:tcW w:w="1184" w:type="dxa"/>
            <w:shd w:val="clear" w:color="auto" w:fill="auto"/>
            <w:hideMark/>
          </w:tcPr>
          <w:p w:rsidR="00D1588E" w:rsidRPr="007C51D6" w:rsidRDefault="00D1588E" w:rsidP="00D1588E">
            <w:pPr>
              <w:autoSpaceDE/>
              <w:autoSpaceDN/>
              <w:adjustRightInd/>
              <w:jc w:val="center"/>
              <w:rPr>
                <w:color w:val="000000"/>
                <w:sz w:val="20"/>
                <w:szCs w:val="20"/>
              </w:rPr>
            </w:pPr>
            <w:r w:rsidRPr="007C51D6">
              <w:rPr>
                <w:color w:val="000000"/>
                <w:sz w:val="20"/>
                <w:szCs w:val="20"/>
              </w:rPr>
              <w:t>58,20</w:t>
            </w:r>
          </w:p>
        </w:tc>
        <w:tc>
          <w:tcPr>
            <w:tcW w:w="1183" w:type="dxa"/>
            <w:shd w:val="clear" w:color="auto" w:fill="auto"/>
            <w:hideMark/>
          </w:tcPr>
          <w:p w:rsidR="00D1588E" w:rsidRPr="007C51D6" w:rsidRDefault="00D1588E" w:rsidP="00D1588E">
            <w:pPr>
              <w:autoSpaceDE/>
              <w:autoSpaceDN/>
              <w:adjustRightInd/>
              <w:jc w:val="center"/>
              <w:rPr>
                <w:color w:val="000000"/>
                <w:sz w:val="20"/>
                <w:szCs w:val="20"/>
              </w:rPr>
            </w:pPr>
            <w:r w:rsidRPr="007C51D6">
              <w:rPr>
                <w:color w:val="000000"/>
                <w:sz w:val="20"/>
                <w:szCs w:val="20"/>
              </w:rPr>
              <w:t>58,60</w:t>
            </w:r>
          </w:p>
        </w:tc>
        <w:tc>
          <w:tcPr>
            <w:tcW w:w="1343" w:type="dxa"/>
            <w:shd w:val="clear" w:color="auto" w:fill="auto"/>
            <w:hideMark/>
          </w:tcPr>
          <w:p w:rsidR="00D1588E" w:rsidRPr="007C51D6" w:rsidRDefault="00D1588E" w:rsidP="00D1588E">
            <w:pPr>
              <w:autoSpaceDE/>
              <w:autoSpaceDN/>
              <w:adjustRightInd/>
              <w:jc w:val="center"/>
              <w:rPr>
                <w:color w:val="000000"/>
                <w:sz w:val="20"/>
                <w:szCs w:val="20"/>
              </w:rPr>
            </w:pPr>
            <w:r w:rsidRPr="007C51D6">
              <w:rPr>
                <w:color w:val="000000"/>
                <w:sz w:val="20"/>
                <w:szCs w:val="20"/>
              </w:rPr>
              <w:t>59,76</w:t>
            </w:r>
          </w:p>
        </w:tc>
        <w:tc>
          <w:tcPr>
            <w:tcW w:w="1183" w:type="dxa"/>
            <w:shd w:val="clear" w:color="auto" w:fill="auto"/>
            <w:hideMark/>
          </w:tcPr>
          <w:p w:rsidR="00D1588E" w:rsidRPr="007C51D6" w:rsidRDefault="00D1588E" w:rsidP="00D1588E">
            <w:pPr>
              <w:autoSpaceDE/>
              <w:autoSpaceDN/>
              <w:adjustRightInd/>
              <w:jc w:val="center"/>
              <w:rPr>
                <w:color w:val="000000"/>
                <w:sz w:val="20"/>
                <w:szCs w:val="20"/>
              </w:rPr>
            </w:pPr>
            <w:r w:rsidRPr="007C51D6">
              <w:rPr>
                <w:color w:val="000000"/>
                <w:sz w:val="20"/>
                <w:szCs w:val="20"/>
              </w:rPr>
              <w:t>62,67</w:t>
            </w:r>
          </w:p>
        </w:tc>
        <w:tc>
          <w:tcPr>
            <w:tcW w:w="1183" w:type="dxa"/>
          </w:tcPr>
          <w:p w:rsidR="00D1588E" w:rsidRPr="007C51D6" w:rsidRDefault="00D1588E" w:rsidP="00D1588E">
            <w:pPr>
              <w:autoSpaceDE/>
              <w:autoSpaceDN/>
              <w:adjustRightInd/>
              <w:jc w:val="center"/>
              <w:rPr>
                <w:color w:val="000000"/>
                <w:sz w:val="20"/>
                <w:szCs w:val="20"/>
              </w:rPr>
            </w:pPr>
            <w:r w:rsidRPr="007C51D6">
              <w:rPr>
                <w:color w:val="000000"/>
                <w:sz w:val="20"/>
                <w:szCs w:val="20"/>
              </w:rPr>
              <w:t>64,31</w:t>
            </w:r>
          </w:p>
        </w:tc>
        <w:tc>
          <w:tcPr>
            <w:tcW w:w="1184" w:type="dxa"/>
          </w:tcPr>
          <w:p w:rsidR="00D1588E" w:rsidRPr="007C51D6" w:rsidRDefault="00D1588E" w:rsidP="00D1588E">
            <w:pPr>
              <w:jc w:val="center"/>
              <w:rPr>
                <w:color w:val="000000"/>
                <w:sz w:val="20"/>
                <w:szCs w:val="20"/>
              </w:rPr>
            </w:pPr>
            <w:r w:rsidRPr="007C51D6">
              <w:rPr>
                <w:color w:val="000000"/>
                <w:sz w:val="20"/>
                <w:szCs w:val="20"/>
              </w:rPr>
              <w:t>66,03</w:t>
            </w:r>
          </w:p>
        </w:tc>
        <w:tc>
          <w:tcPr>
            <w:tcW w:w="1183" w:type="dxa"/>
          </w:tcPr>
          <w:p w:rsidR="00D1588E" w:rsidRPr="007C51D6" w:rsidRDefault="00D1588E" w:rsidP="00D1588E">
            <w:pPr>
              <w:jc w:val="center"/>
              <w:rPr>
                <w:color w:val="000000"/>
                <w:sz w:val="20"/>
                <w:szCs w:val="20"/>
              </w:rPr>
            </w:pPr>
            <w:r w:rsidRPr="007C51D6">
              <w:rPr>
                <w:color w:val="000000"/>
                <w:sz w:val="20"/>
                <w:szCs w:val="20"/>
              </w:rPr>
              <w:t>67,7</w:t>
            </w:r>
          </w:p>
        </w:tc>
        <w:tc>
          <w:tcPr>
            <w:tcW w:w="1247" w:type="dxa"/>
            <w:vAlign w:val="center"/>
          </w:tcPr>
          <w:p w:rsidR="00D1588E" w:rsidRPr="007C51D6" w:rsidRDefault="00D1588E" w:rsidP="00D1588E">
            <w:pPr>
              <w:jc w:val="center"/>
              <w:rPr>
                <w:color w:val="000000"/>
                <w:sz w:val="20"/>
                <w:szCs w:val="20"/>
              </w:rPr>
            </w:pPr>
            <w:r w:rsidRPr="007C51D6">
              <w:rPr>
                <w:color w:val="000000"/>
                <w:sz w:val="20"/>
                <w:szCs w:val="20"/>
              </w:rPr>
              <w:t>69.72</w:t>
            </w:r>
          </w:p>
        </w:tc>
        <w:tc>
          <w:tcPr>
            <w:tcW w:w="1247" w:type="dxa"/>
            <w:vAlign w:val="center"/>
          </w:tcPr>
          <w:p w:rsidR="00D1588E" w:rsidRPr="007C51D6" w:rsidRDefault="00D1588E" w:rsidP="00D1588E">
            <w:pPr>
              <w:jc w:val="center"/>
              <w:rPr>
                <w:color w:val="000000"/>
                <w:sz w:val="20"/>
                <w:szCs w:val="20"/>
              </w:rPr>
            </w:pPr>
            <w:r w:rsidRPr="007C51D6">
              <w:rPr>
                <w:color w:val="000000"/>
                <w:sz w:val="20"/>
                <w:szCs w:val="20"/>
              </w:rPr>
              <w:t>61.1</w:t>
            </w:r>
          </w:p>
        </w:tc>
      </w:tr>
      <w:tr w:rsidR="00D1588E" w:rsidRPr="007C51D6" w:rsidTr="00742D16">
        <w:trPr>
          <w:trHeight w:val="20"/>
        </w:trPr>
        <w:tc>
          <w:tcPr>
            <w:tcW w:w="2991" w:type="dxa"/>
            <w:shd w:val="clear" w:color="auto" w:fill="auto"/>
            <w:hideMark/>
          </w:tcPr>
          <w:p w:rsidR="00D1588E" w:rsidRPr="007C51D6" w:rsidRDefault="00D1588E" w:rsidP="00D1588E">
            <w:pPr>
              <w:autoSpaceDE/>
              <w:autoSpaceDN/>
              <w:adjustRightInd/>
              <w:rPr>
                <w:color w:val="000000"/>
                <w:sz w:val="20"/>
                <w:szCs w:val="20"/>
              </w:rPr>
            </w:pPr>
            <w:r w:rsidRPr="007C51D6">
              <w:rPr>
                <w:color w:val="000000"/>
                <w:sz w:val="20"/>
                <w:szCs w:val="20"/>
              </w:rPr>
              <w:t>Буинский</w:t>
            </w:r>
          </w:p>
        </w:tc>
        <w:tc>
          <w:tcPr>
            <w:tcW w:w="1183" w:type="dxa"/>
            <w:shd w:val="clear" w:color="auto" w:fill="auto"/>
            <w:hideMark/>
          </w:tcPr>
          <w:p w:rsidR="00D1588E" w:rsidRPr="007C51D6" w:rsidRDefault="00D1588E" w:rsidP="00D1588E">
            <w:pPr>
              <w:autoSpaceDE/>
              <w:autoSpaceDN/>
              <w:adjustRightInd/>
              <w:jc w:val="center"/>
              <w:rPr>
                <w:color w:val="000000"/>
                <w:sz w:val="20"/>
                <w:szCs w:val="20"/>
              </w:rPr>
            </w:pPr>
            <w:r w:rsidRPr="007C51D6">
              <w:rPr>
                <w:color w:val="000000"/>
                <w:sz w:val="20"/>
                <w:szCs w:val="20"/>
              </w:rPr>
              <w:t>53,23</w:t>
            </w:r>
          </w:p>
        </w:tc>
        <w:tc>
          <w:tcPr>
            <w:tcW w:w="1184" w:type="dxa"/>
            <w:shd w:val="clear" w:color="auto" w:fill="auto"/>
            <w:hideMark/>
          </w:tcPr>
          <w:p w:rsidR="00D1588E" w:rsidRPr="007C51D6" w:rsidRDefault="00D1588E" w:rsidP="00D1588E">
            <w:pPr>
              <w:autoSpaceDE/>
              <w:autoSpaceDN/>
              <w:adjustRightInd/>
              <w:jc w:val="center"/>
              <w:rPr>
                <w:color w:val="000000"/>
                <w:sz w:val="20"/>
                <w:szCs w:val="20"/>
              </w:rPr>
            </w:pPr>
            <w:r w:rsidRPr="007C51D6">
              <w:rPr>
                <w:color w:val="000000"/>
                <w:sz w:val="20"/>
                <w:szCs w:val="20"/>
              </w:rPr>
              <w:t>52,45</w:t>
            </w:r>
          </w:p>
        </w:tc>
        <w:tc>
          <w:tcPr>
            <w:tcW w:w="1183" w:type="dxa"/>
            <w:shd w:val="clear" w:color="auto" w:fill="auto"/>
            <w:hideMark/>
          </w:tcPr>
          <w:p w:rsidR="00D1588E" w:rsidRPr="007C51D6" w:rsidRDefault="00D1588E" w:rsidP="00D1588E">
            <w:pPr>
              <w:autoSpaceDE/>
              <w:autoSpaceDN/>
              <w:adjustRightInd/>
              <w:jc w:val="center"/>
              <w:rPr>
                <w:color w:val="000000"/>
                <w:sz w:val="20"/>
                <w:szCs w:val="20"/>
              </w:rPr>
            </w:pPr>
            <w:r w:rsidRPr="007C51D6">
              <w:rPr>
                <w:color w:val="000000"/>
                <w:sz w:val="20"/>
                <w:szCs w:val="20"/>
              </w:rPr>
              <w:t>55,45</w:t>
            </w:r>
          </w:p>
        </w:tc>
        <w:tc>
          <w:tcPr>
            <w:tcW w:w="1343" w:type="dxa"/>
            <w:shd w:val="clear" w:color="auto" w:fill="auto"/>
            <w:hideMark/>
          </w:tcPr>
          <w:p w:rsidR="00D1588E" w:rsidRPr="007C51D6" w:rsidRDefault="00D1588E" w:rsidP="00D1588E">
            <w:pPr>
              <w:autoSpaceDE/>
              <w:autoSpaceDN/>
              <w:adjustRightInd/>
              <w:jc w:val="center"/>
              <w:rPr>
                <w:color w:val="000000"/>
                <w:sz w:val="20"/>
                <w:szCs w:val="20"/>
              </w:rPr>
            </w:pPr>
            <w:r w:rsidRPr="007C51D6">
              <w:rPr>
                <w:color w:val="000000"/>
                <w:sz w:val="20"/>
                <w:szCs w:val="20"/>
              </w:rPr>
              <w:t>56,47</w:t>
            </w:r>
          </w:p>
        </w:tc>
        <w:tc>
          <w:tcPr>
            <w:tcW w:w="1183" w:type="dxa"/>
            <w:shd w:val="clear" w:color="auto" w:fill="auto"/>
            <w:hideMark/>
          </w:tcPr>
          <w:p w:rsidR="00D1588E" w:rsidRPr="007C51D6" w:rsidRDefault="00D1588E" w:rsidP="00D1588E">
            <w:pPr>
              <w:autoSpaceDE/>
              <w:autoSpaceDN/>
              <w:adjustRightInd/>
              <w:jc w:val="center"/>
              <w:rPr>
                <w:color w:val="000000"/>
                <w:sz w:val="20"/>
                <w:szCs w:val="20"/>
              </w:rPr>
            </w:pPr>
            <w:r w:rsidRPr="007C51D6">
              <w:rPr>
                <w:color w:val="000000"/>
                <w:sz w:val="20"/>
                <w:szCs w:val="20"/>
              </w:rPr>
              <w:t>58,28</w:t>
            </w:r>
          </w:p>
        </w:tc>
        <w:tc>
          <w:tcPr>
            <w:tcW w:w="1183" w:type="dxa"/>
          </w:tcPr>
          <w:p w:rsidR="00D1588E" w:rsidRPr="007C51D6" w:rsidRDefault="00D1588E" w:rsidP="00D1588E">
            <w:pPr>
              <w:autoSpaceDE/>
              <w:autoSpaceDN/>
              <w:adjustRightInd/>
              <w:jc w:val="center"/>
              <w:rPr>
                <w:color w:val="000000"/>
                <w:sz w:val="20"/>
                <w:szCs w:val="20"/>
              </w:rPr>
            </w:pPr>
            <w:r w:rsidRPr="007C51D6">
              <w:rPr>
                <w:color w:val="000000"/>
                <w:sz w:val="20"/>
                <w:szCs w:val="20"/>
              </w:rPr>
              <w:t>58,05</w:t>
            </w:r>
          </w:p>
        </w:tc>
        <w:tc>
          <w:tcPr>
            <w:tcW w:w="1184" w:type="dxa"/>
          </w:tcPr>
          <w:p w:rsidR="00D1588E" w:rsidRPr="007C51D6" w:rsidRDefault="00D1588E" w:rsidP="00D1588E">
            <w:pPr>
              <w:jc w:val="center"/>
              <w:rPr>
                <w:color w:val="000000"/>
                <w:sz w:val="20"/>
                <w:szCs w:val="20"/>
              </w:rPr>
            </w:pPr>
            <w:r w:rsidRPr="007C51D6">
              <w:rPr>
                <w:color w:val="000000"/>
                <w:sz w:val="20"/>
                <w:szCs w:val="20"/>
              </w:rPr>
              <w:t>58,77</w:t>
            </w:r>
          </w:p>
        </w:tc>
        <w:tc>
          <w:tcPr>
            <w:tcW w:w="1183" w:type="dxa"/>
          </w:tcPr>
          <w:p w:rsidR="00D1588E" w:rsidRPr="007C51D6" w:rsidRDefault="00D1588E" w:rsidP="00D1588E">
            <w:pPr>
              <w:jc w:val="center"/>
              <w:rPr>
                <w:color w:val="000000"/>
                <w:sz w:val="20"/>
                <w:szCs w:val="20"/>
              </w:rPr>
            </w:pPr>
            <w:r w:rsidRPr="007C51D6">
              <w:rPr>
                <w:color w:val="000000"/>
                <w:sz w:val="20"/>
                <w:szCs w:val="20"/>
              </w:rPr>
              <w:t>59,8</w:t>
            </w:r>
          </w:p>
        </w:tc>
        <w:tc>
          <w:tcPr>
            <w:tcW w:w="1247" w:type="dxa"/>
            <w:vAlign w:val="center"/>
          </w:tcPr>
          <w:p w:rsidR="00D1588E" w:rsidRPr="007C51D6" w:rsidRDefault="00D1588E" w:rsidP="00D1588E">
            <w:pPr>
              <w:jc w:val="center"/>
              <w:rPr>
                <w:color w:val="000000"/>
                <w:sz w:val="20"/>
                <w:szCs w:val="20"/>
              </w:rPr>
            </w:pPr>
            <w:r w:rsidRPr="007C51D6">
              <w:rPr>
                <w:color w:val="000000"/>
                <w:sz w:val="20"/>
                <w:szCs w:val="20"/>
              </w:rPr>
              <w:t>61.00</w:t>
            </w:r>
          </w:p>
        </w:tc>
        <w:tc>
          <w:tcPr>
            <w:tcW w:w="1247" w:type="dxa"/>
            <w:vAlign w:val="center"/>
          </w:tcPr>
          <w:p w:rsidR="00D1588E" w:rsidRPr="007C51D6" w:rsidRDefault="00D1588E" w:rsidP="00D1588E">
            <w:pPr>
              <w:jc w:val="center"/>
              <w:rPr>
                <w:color w:val="000000"/>
                <w:sz w:val="20"/>
                <w:szCs w:val="20"/>
              </w:rPr>
            </w:pPr>
            <w:r w:rsidRPr="007C51D6">
              <w:rPr>
                <w:color w:val="000000"/>
                <w:sz w:val="20"/>
                <w:szCs w:val="20"/>
              </w:rPr>
              <w:t>56.89</w:t>
            </w:r>
          </w:p>
        </w:tc>
      </w:tr>
      <w:tr w:rsidR="00D1588E" w:rsidRPr="007C51D6" w:rsidTr="00742D16">
        <w:trPr>
          <w:trHeight w:val="20"/>
        </w:trPr>
        <w:tc>
          <w:tcPr>
            <w:tcW w:w="2991" w:type="dxa"/>
            <w:shd w:val="clear" w:color="auto" w:fill="auto"/>
            <w:hideMark/>
          </w:tcPr>
          <w:p w:rsidR="00D1588E" w:rsidRPr="007C51D6" w:rsidRDefault="00D1588E" w:rsidP="00D1588E">
            <w:pPr>
              <w:autoSpaceDE/>
              <w:autoSpaceDN/>
              <w:adjustRightInd/>
              <w:rPr>
                <w:color w:val="000000"/>
                <w:sz w:val="20"/>
                <w:szCs w:val="20"/>
              </w:rPr>
            </w:pPr>
            <w:r w:rsidRPr="007C51D6">
              <w:rPr>
                <w:color w:val="000000"/>
                <w:sz w:val="20"/>
                <w:szCs w:val="20"/>
              </w:rPr>
              <w:t>Верхнеуслонский</w:t>
            </w:r>
          </w:p>
        </w:tc>
        <w:tc>
          <w:tcPr>
            <w:tcW w:w="1183" w:type="dxa"/>
            <w:shd w:val="clear" w:color="auto" w:fill="auto"/>
            <w:hideMark/>
          </w:tcPr>
          <w:p w:rsidR="00D1588E" w:rsidRPr="007C51D6" w:rsidRDefault="00D1588E" w:rsidP="00D1588E">
            <w:pPr>
              <w:autoSpaceDE/>
              <w:autoSpaceDN/>
              <w:adjustRightInd/>
              <w:jc w:val="center"/>
              <w:rPr>
                <w:color w:val="000000"/>
                <w:sz w:val="20"/>
                <w:szCs w:val="20"/>
              </w:rPr>
            </w:pPr>
            <w:r w:rsidRPr="007C51D6">
              <w:rPr>
                <w:color w:val="000000"/>
                <w:sz w:val="20"/>
                <w:szCs w:val="20"/>
              </w:rPr>
              <w:t>56,86</w:t>
            </w:r>
          </w:p>
        </w:tc>
        <w:tc>
          <w:tcPr>
            <w:tcW w:w="1184" w:type="dxa"/>
            <w:shd w:val="clear" w:color="auto" w:fill="auto"/>
            <w:hideMark/>
          </w:tcPr>
          <w:p w:rsidR="00D1588E" w:rsidRPr="007C51D6" w:rsidRDefault="00D1588E" w:rsidP="00D1588E">
            <w:pPr>
              <w:autoSpaceDE/>
              <w:autoSpaceDN/>
              <w:adjustRightInd/>
              <w:jc w:val="center"/>
              <w:rPr>
                <w:color w:val="000000"/>
                <w:sz w:val="20"/>
                <w:szCs w:val="20"/>
              </w:rPr>
            </w:pPr>
            <w:r w:rsidRPr="007C51D6">
              <w:rPr>
                <w:color w:val="000000"/>
                <w:sz w:val="20"/>
                <w:szCs w:val="20"/>
              </w:rPr>
              <w:t>56,44</w:t>
            </w:r>
          </w:p>
        </w:tc>
        <w:tc>
          <w:tcPr>
            <w:tcW w:w="1183" w:type="dxa"/>
            <w:shd w:val="clear" w:color="auto" w:fill="auto"/>
            <w:hideMark/>
          </w:tcPr>
          <w:p w:rsidR="00D1588E" w:rsidRPr="007C51D6" w:rsidRDefault="00D1588E" w:rsidP="00D1588E">
            <w:pPr>
              <w:autoSpaceDE/>
              <w:autoSpaceDN/>
              <w:adjustRightInd/>
              <w:jc w:val="center"/>
              <w:rPr>
                <w:color w:val="000000"/>
                <w:sz w:val="20"/>
                <w:szCs w:val="20"/>
              </w:rPr>
            </w:pPr>
            <w:r w:rsidRPr="007C51D6">
              <w:rPr>
                <w:color w:val="000000"/>
                <w:sz w:val="20"/>
                <w:szCs w:val="20"/>
              </w:rPr>
              <w:t>55,89</w:t>
            </w:r>
          </w:p>
        </w:tc>
        <w:tc>
          <w:tcPr>
            <w:tcW w:w="1343" w:type="dxa"/>
            <w:shd w:val="clear" w:color="auto" w:fill="auto"/>
            <w:hideMark/>
          </w:tcPr>
          <w:p w:rsidR="00D1588E" w:rsidRPr="007C51D6" w:rsidRDefault="00D1588E" w:rsidP="00D1588E">
            <w:pPr>
              <w:autoSpaceDE/>
              <w:autoSpaceDN/>
              <w:adjustRightInd/>
              <w:jc w:val="center"/>
              <w:rPr>
                <w:color w:val="000000"/>
                <w:sz w:val="20"/>
                <w:szCs w:val="20"/>
              </w:rPr>
            </w:pPr>
            <w:r w:rsidRPr="007C51D6">
              <w:rPr>
                <w:color w:val="000000"/>
                <w:sz w:val="20"/>
                <w:szCs w:val="20"/>
              </w:rPr>
              <w:t>59,14</w:t>
            </w:r>
          </w:p>
        </w:tc>
        <w:tc>
          <w:tcPr>
            <w:tcW w:w="1183" w:type="dxa"/>
            <w:shd w:val="clear" w:color="auto" w:fill="auto"/>
            <w:hideMark/>
          </w:tcPr>
          <w:p w:rsidR="00D1588E" w:rsidRPr="007C51D6" w:rsidRDefault="00D1588E" w:rsidP="00D1588E">
            <w:pPr>
              <w:autoSpaceDE/>
              <w:autoSpaceDN/>
              <w:adjustRightInd/>
              <w:jc w:val="center"/>
              <w:rPr>
                <w:color w:val="000000"/>
                <w:sz w:val="20"/>
                <w:szCs w:val="20"/>
              </w:rPr>
            </w:pPr>
            <w:r w:rsidRPr="007C51D6">
              <w:rPr>
                <w:color w:val="000000"/>
                <w:sz w:val="20"/>
                <w:szCs w:val="20"/>
              </w:rPr>
              <w:t>58,51</w:t>
            </w:r>
          </w:p>
        </w:tc>
        <w:tc>
          <w:tcPr>
            <w:tcW w:w="1183" w:type="dxa"/>
          </w:tcPr>
          <w:p w:rsidR="00D1588E" w:rsidRPr="007C51D6" w:rsidRDefault="00D1588E" w:rsidP="00D1588E">
            <w:pPr>
              <w:autoSpaceDE/>
              <w:autoSpaceDN/>
              <w:adjustRightInd/>
              <w:jc w:val="center"/>
              <w:rPr>
                <w:color w:val="000000"/>
                <w:sz w:val="20"/>
                <w:szCs w:val="20"/>
              </w:rPr>
            </w:pPr>
            <w:r w:rsidRPr="007C51D6">
              <w:rPr>
                <w:color w:val="000000"/>
                <w:sz w:val="20"/>
                <w:szCs w:val="20"/>
              </w:rPr>
              <w:t>58,13</w:t>
            </w:r>
          </w:p>
        </w:tc>
        <w:tc>
          <w:tcPr>
            <w:tcW w:w="1184" w:type="dxa"/>
          </w:tcPr>
          <w:p w:rsidR="00D1588E" w:rsidRPr="007C51D6" w:rsidRDefault="00D1588E" w:rsidP="00D1588E">
            <w:pPr>
              <w:jc w:val="center"/>
              <w:rPr>
                <w:color w:val="000000"/>
                <w:sz w:val="20"/>
                <w:szCs w:val="20"/>
              </w:rPr>
            </w:pPr>
            <w:r w:rsidRPr="007C51D6">
              <w:rPr>
                <w:color w:val="000000"/>
                <w:sz w:val="20"/>
                <w:szCs w:val="20"/>
              </w:rPr>
              <w:t>58,00</w:t>
            </w:r>
          </w:p>
        </w:tc>
        <w:tc>
          <w:tcPr>
            <w:tcW w:w="1183" w:type="dxa"/>
          </w:tcPr>
          <w:p w:rsidR="00D1588E" w:rsidRPr="007C51D6" w:rsidRDefault="00D1588E" w:rsidP="00D1588E">
            <w:pPr>
              <w:jc w:val="center"/>
              <w:rPr>
                <w:color w:val="000000"/>
                <w:sz w:val="20"/>
                <w:szCs w:val="20"/>
              </w:rPr>
            </w:pPr>
            <w:r w:rsidRPr="007C51D6">
              <w:rPr>
                <w:color w:val="000000"/>
                <w:sz w:val="20"/>
                <w:szCs w:val="20"/>
              </w:rPr>
              <w:t>60,3</w:t>
            </w:r>
          </w:p>
        </w:tc>
        <w:tc>
          <w:tcPr>
            <w:tcW w:w="1247" w:type="dxa"/>
            <w:vAlign w:val="center"/>
          </w:tcPr>
          <w:p w:rsidR="00D1588E" w:rsidRPr="007C51D6" w:rsidRDefault="00D1588E" w:rsidP="00D1588E">
            <w:pPr>
              <w:jc w:val="center"/>
              <w:rPr>
                <w:color w:val="000000"/>
                <w:sz w:val="20"/>
                <w:szCs w:val="20"/>
              </w:rPr>
            </w:pPr>
            <w:r w:rsidRPr="007C51D6">
              <w:rPr>
                <w:color w:val="000000"/>
                <w:sz w:val="20"/>
                <w:szCs w:val="20"/>
              </w:rPr>
              <w:t>62.28</w:t>
            </w:r>
          </w:p>
        </w:tc>
        <w:tc>
          <w:tcPr>
            <w:tcW w:w="1247" w:type="dxa"/>
            <w:vAlign w:val="center"/>
          </w:tcPr>
          <w:p w:rsidR="00D1588E" w:rsidRPr="007C51D6" w:rsidRDefault="00D1588E" w:rsidP="00D1588E">
            <w:pPr>
              <w:jc w:val="center"/>
              <w:rPr>
                <w:color w:val="000000"/>
                <w:sz w:val="20"/>
                <w:szCs w:val="20"/>
              </w:rPr>
            </w:pPr>
            <w:r w:rsidRPr="007C51D6">
              <w:rPr>
                <w:color w:val="000000"/>
                <w:sz w:val="20"/>
                <w:szCs w:val="20"/>
              </w:rPr>
              <w:t>55.69</w:t>
            </w:r>
          </w:p>
        </w:tc>
      </w:tr>
      <w:tr w:rsidR="00D1588E" w:rsidRPr="007C51D6" w:rsidTr="00742D16">
        <w:trPr>
          <w:trHeight w:val="20"/>
        </w:trPr>
        <w:tc>
          <w:tcPr>
            <w:tcW w:w="2991" w:type="dxa"/>
            <w:shd w:val="clear" w:color="auto" w:fill="auto"/>
            <w:hideMark/>
          </w:tcPr>
          <w:p w:rsidR="00D1588E" w:rsidRPr="007C51D6" w:rsidRDefault="00D1588E" w:rsidP="00D1588E">
            <w:pPr>
              <w:autoSpaceDE/>
              <w:autoSpaceDN/>
              <w:adjustRightInd/>
              <w:rPr>
                <w:color w:val="000000"/>
                <w:sz w:val="20"/>
                <w:szCs w:val="20"/>
              </w:rPr>
            </w:pPr>
            <w:r w:rsidRPr="007C51D6">
              <w:rPr>
                <w:color w:val="000000"/>
                <w:sz w:val="20"/>
                <w:szCs w:val="20"/>
              </w:rPr>
              <w:t>Высокогорский</w:t>
            </w:r>
          </w:p>
        </w:tc>
        <w:tc>
          <w:tcPr>
            <w:tcW w:w="1183" w:type="dxa"/>
            <w:shd w:val="clear" w:color="auto" w:fill="auto"/>
            <w:hideMark/>
          </w:tcPr>
          <w:p w:rsidR="00D1588E" w:rsidRPr="007C51D6" w:rsidRDefault="00D1588E" w:rsidP="00D1588E">
            <w:pPr>
              <w:autoSpaceDE/>
              <w:autoSpaceDN/>
              <w:adjustRightInd/>
              <w:jc w:val="center"/>
              <w:rPr>
                <w:color w:val="000000"/>
                <w:sz w:val="20"/>
                <w:szCs w:val="20"/>
              </w:rPr>
            </w:pPr>
            <w:r w:rsidRPr="007C51D6">
              <w:rPr>
                <w:color w:val="000000"/>
                <w:sz w:val="20"/>
                <w:szCs w:val="20"/>
              </w:rPr>
              <w:t>55,41</w:t>
            </w:r>
          </w:p>
        </w:tc>
        <w:tc>
          <w:tcPr>
            <w:tcW w:w="1184" w:type="dxa"/>
            <w:shd w:val="clear" w:color="auto" w:fill="auto"/>
            <w:hideMark/>
          </w:tcPr>
          <w:p w:rsidR="00D1588E" w:rsidRPr="007C51D6" w:rsidRDefault="00D1588E" w:rsidP="00D1588E">
            <w:pPr>
              <w:autoSpaceDE/>
              <w:autoSpaceDN/>
              <w:adjustRightInd/>
              <w:jc w:val="center"/>
              <w:rPr>
                <w:color w:val="000000"/>
                <w:sz w:val="20"/>
                <w:szCs w:val="20"/>
              </w:rPr>
            </w:pPr>
            <w:r w:rsidRPr="007C51D6">
              <w:rPr>
                <w:color w:val="000000"/>
                <w:sz w:val="20"/>
                <w:szCs w:val="20"/>
              </w:rPr>
              <w:t>56,67</w:t>
            </w:r>
          </w:p>
        </w:tc>
        <w:tc>
          <w:tcPr>
            <w:tcW w:w="1183" w:type="dxa"/>
            <w:shd w:val="clear" w:color="auto" w:fill="auto"/>
            <w:hideMark/>
          </w:tcPr>
          <w:p w:rsidR="00D1588E" w:rsidRPr="007C51D6" w:rsidRDefault="00D1588E" w:rsidP="00D1588E">
            <w:pPr>
              <w:autoSpaceDE/>
              <w:autoSpaceDN/>
              <w:adjustRightInd/>
              <w:jc w:val="center"/>
              <w:rPr>
                <w:color w:val="000000"/>
                <w:sz w:val="20"/>
                <w:szCs w:val="20"/>
              </w:rPr>
            </w:pPr>
            <w:r w:rsidRPr="007C51D6">
              <w:rPr>
                <w:color w:val="000000"/>
                <w:sz w:val="20"/>
                <w:szCs w:val="20"/>
              </w:rPr>
              <w:t>56,39</w:t>
            </w:r>
          </w:p>
        </w:tc>
        <w:tc>
          <w:tcPr>
            <w:tcW w:w="1343" w:type="dxa"/>
            <w:shd w:val="clear" w:color="auto" w:fill="auto"/>
            <w:hideMark/>
          </w:tcPr>
          <w:p w:rsidR="00D1588E" w:rsidRPr="007C51D6" w:rsidRDefault="00D1588E" w:rsidP="00D1588E">
            <w:pPr>
              <w:autoSpaceDE/>
              <w:autoSpaceDN/>
              <w:adjustRightInd/>
              <w:jc w:val="center"/>
              <w:rPr>
                <w:color w:val="000000"/>
                <w:sz w:val="20"/>
                <w:szCs w:val="20"/>
              </w:rPr>
            </w:pPr>
            <w:r w:rsidRPr="007C51D6">
              <w:rPr>
                <w:color w:val="000000"/>
                <w:sz w:val="20"/>
                <w:szCs w:val="20"/>
              </w:rPr>
              <w:t>59,36</w:t>
            </w:r>
          </w:p>
        </w:tc>
        <w:tc>
          <w:tcPr>
            <w:tcW w:w="1183" w:type="dxa"/>
            <w:shd w:val="clear" w:color="auto" w:fill="auto"/>
            <w:hideMark/>
          </w:tcPr>
          <w:p w:rsidR="00D1588E" w:rsidRPr="007C51D6" w:rsidRDefault="00D1588E" w:rsidP="00D1588E">
            <w:pPr>
              <w:autoSpaceDE/>
              <w:autoSpaceDN/>
              <w:adjustRightInd/>
              <w:jc w:val="center"/>
              <w:rPr>
                <w:color w:val="000000"/>
                <w:sz w:val="20"/>
                <w:szCs w:val="20"/>
              </w:rPr>
            </w:pPr>
            <w:r w:rsidRPr="007C51D6">
              <w:rPr>
                <w:color w:val="000000"/>
                <w:sz w:val="20"/>
                <w:szCs w:val="20"/>
              </w:rPr>
              <w:t>59,01</w:t>
            </w:r>
          </w:p>
        </w:tc>
        <w:tc>
          <w:tcPr>
            <w:tcW w:w="1183" w:type="dxa"/>
          </w:tcPr>
          <w:p w:rsidR="00D1588E" w:rsidRPr="007C51D6" w:rsidRDefault="00D1588E" w:rsidP="00D1588E">
            <w:pPr>
              <w:autoSpaceDE/>
              <w:autoSpaceDN/>
              <w:adjustRightInd/>
              <w:jc w:val="center"/>
              <w:rPr>
                <w:color w:val="000000"/>
                <w:sz w:val="20"/>
                <w:szCs w:val="20"/>
              </w:rPr>
            </w:pPr>
            <w:r w:rsidRPr="007C51D6">
              <w:rPr>
                <w:color w:val="000000"/>
                <w:sz w:val="20"/>
                <w:szCs w:val="20"/>
              </w:rPr>
              <w:t>58,19</w:t>
            </w:r>
          </w:p>
        </w:tc>
        <w:tc>
          <w:tcPr>
            <w:tcW w:w="1184" w:type="dxa"/>
          </w:tcPr>
          <w:p w:rsidR="00D1588E" w:rsidRPr="007C51D6" w:rsidRDefault="00D1588E" w:rsidP="00D1588E">
            <w:pPr>
              <w:jc w:val="center"/>
              <w:rPr>
                <w:color w:val="000000"/>
                <w:sz w:val="20"/>
                <w:szCs w:val="20"/>
              </w:rPr>
            </w:pPr>
            <w:r w:rsidRPr="007C51D6">
              <w:rPr>
                <w:color w:val="000000"/>
                <w:sz w:val="20"/>
                <w:szCs w:val="20"/>
              </w:rPr>
              <w:t>56,36</w:t>
            </w:r>
          </w:p>
        </w:tc>
        <w:tc>
          <w:tcPr>
            <w:tcW w:w="1183" w:type="dxa"/>
          </w:tcPr>
          <w:p w:rsidR="00D1588E" w:rsidRPr="007C51D6" w:rsidRDefault="00D1588E" w:rsidP="00D1588E">
            <w:pPr>
              <w:jc w:val="center"/>
              <w:rPr>
                <w:color w:val="000000"/>
                <w:sz w:val="20"/>
                <w:szCs w:val="20"/>
              </w:rPr>
            </w:pPr>
            <w:r w:rsidRPr="007C51D6">
              <w:rPr>
                <w:color w:val="000000"/>
                <w:sz w:val="20"/>
                <w:szCs w:val="20"/>
              </w:rPr>
              <w:t>58,4</w:t>
            </w:r>
          </w:p>
        </w:tc>
        <w:tc>
          <w:tcPr>
            <w:tcW w:w="1247" w:type="dxa"/>
            <w:vAlign w:val="center"/>
          </w:tcPr>
          <w:p w:rsidR="00D1588E" w:rsidRPr="007C51D6" w:rsidRDefault="00D1588E" w:rsidP="00D1588E">
            <w:pPr>
              <w:jc w:val="center"/>
              <w:rPr>
                <w:color w:val="000000"/>
                <w:sz w:val="20"/>
                <w:szCs w:val="20"/>
              </w:rPr>
            </w:pPr>
            <w:r w:rsidRPr="007C51D6">
              <w:rPr>
                <w:color w:val="000000"/>
                <w:sz w:val="20"/>
                <w:szCs w:val="20"/>
              </w:rPr>
              <w:t>58.59</w:t>
            </w:r>
          </w:p>
        </w:tc>
        <w:tc>
          <w:tcPr>
            <w:tcW w:w="1247" w:type="dxa"/>
            <w:vAlign w:val="center"/>
          </w:tcPr>
          <w:p w:rsidR="00D1588E" w:rsidRPr="007C51D6" w:rsidRDefault="00D1588E" w:rsidP="00D1588E">
            <w:pPr>
              <w:jc w:val="center"/>
              <w:rPr>
                <w:color w:val="000000"/>
                <w:sz w:val="20"/>
                <w:szCs w:val="20"/>
              </w:rPr>
            </w:pPr>
            <w:r w:rsidRPr="007C51D6">
              <w:rPr>
                <w:color w:val="000000"/>
                <w:sz w:val="20"/>
                <w:szCs w:val="20"/>
              </w:rPr>
              <w:t>54.73</w:t>
            </w:r>
          </w:p>
        </w:tc>
      </w:tr>
      <w:tr w:rsidR="00D1588E" w:rsidRPr="007C51D6" w:rsidTr="00742D16">
        <w:trPr>
          <w:trHeight w:val="20"/>
        </w:trPr>
        <w:tc>
          <w:tcPr>
            <w:tcW w:w="2991" w:type="dxa"/>
            <w:shd w:val="clear" w:color="auto" w:fill="auto"/>
            <w:hideMark/>
          </w:tcPr>
          <w:p w:rsidR="00D1588E" w:rsidRPr="007C51D6" w:rsidRDefault="00D1588E" w:rsidP="00D1588E">
            <w:pPr>
              <w:autoSpaceDE/>
              <w:autoSpaceDN/>
              <w:adjustRightInd/>
              <w:rPr>
                <w:color w:val="000000"/>
                <w:sz w:val="20"/>
                <w:szCs w:val="20"/>
              </w:rPr>
            </w:pPr>
            <w:r w:rsidRPr="007C51D6">
              <w:rPr>
                <w:color w:val="000000"/>
                <w:sz w:val="20"/>
                <w:szCs w:val="20"/>
              </w:rPr>
              <w:t>Дрожжановский</w:t>
            </w:r>
          </w:p>
        </w:tc>
        <w:tc>
          <w:tcPr>
            <w:tcW w:w="1183" w:type="dxa"/>
            <w:shd w:val="clear" w:color="auto" w:fill="auto"/>
            <w:hideMark/>
          </w:tcPr>
          <w:p w:rsidR="00D1588E" w:rsidRPr="007C51D6" w:rsidRDefault="00D1588E" w:rsidP="00D1588E">
            <w:pPr>
              <w:autoSpaceDE/>
              <w:autoSpaceDN/>
              <w:adjustRightInd/>
              <w:jc w:val="center"/>
              <w:rPr>
                <w:color w:val="000000"/>
                <w:sz w:val="20"/>
                <w:szCs w:val="20"/>
              </w:rPr>
            </w:pPr>
            <w:r w:rsidRPr="007C51D6">
              <w:rPr>
                <w:color w:val="000000"/>
                <w:sz w:val="20"/>
                <w:szCs w:val="20"/>
              </w:rPr>
              <w:t>48,54</w:t>
            </w:r>
          </w:p>
        </w:tc>
        <w:tc>
          <w:tcPr>
            <w:tcW w:w="1184" w:type="dxa"/>
            <w:shd w:val="clear" w:color="auto" w:fill="auto"/>
            <w:hideMark/>
          </w:tcPr>
          <w:p w:rsidR="00D1588E" w:rsidRPr="007C51D6" w:rsidRDefault="00D1588E" w:rsidP="00D1588E">
            <w:pPr>
              <w:autoSpaceDE/>
              <w:autoSpaceDN/>
              <w:adjustRightInd/>
              <w:jc w:val="center"/>
              <w:rPr>
                <w:color w:val="000000"/>
                <w:sz w:val="20"/>
                <w:szCs w:val="20"/>
              </w:rPr>
            </w:pPr>
            <w:r w:rsidRPr="007C51D6">
              <w:rPr>
                <w:color w:val="000000"/>
                <w:sz w:val="20"/>
                <w:szCs w:val="20"/>
              </w:rPr>
              <w:t>50,00</w:t>
            </w:r>
          </w:p>
        </w:tc>
        <w:tc>
          <w:tcPr>
            <w:tcW w:w="1183" w:type="dxa"/>
            <w:shd w:val="clear" w:color="auto" w:fill="auto"/>
            <w:hideMark/>
          </w:tcPr>
          <w:p w:rsidR="00D1588E" w:rsidRPr="007C51D6" w:rsidRDefault="00D1588E" w:rsidP="00D1588E">
            <w:pPr>
              <w:autoSpaceDE/>
              <w:autoSpaceDN/>
              <w:adjustRightInd/>
              <w:jc w:val="center"/>
              <w:rPr>
                <w:color w:val="000000"/>
                <w:sz w:val="20"/>
                <w:szCs w:val="20"/>
              </w:rPr>
            </w:pPr>
            <w:r w:rsidRPr="007C51D6">
              <w:rPr>
                <w:color w:val="000000"/>
                <w:sz w:val="20"/>
                <w:szCs w:val="20"/>
              </w:rPr>
              <w:t>50,00</w:t>
            </w:r>
          </w:p>
        </w:tc>
        <w:tc>
          <w:tcPr>
            <w:tcW w:w="1343" w:type="dxa"/>
            <w:shd w:val="clear" w:color="auto" w:fill="auto"/>
            <w:hideMark/>
          </w:tcPr>
          <w:p w:rsidR="00D1588E" w:rsidRPr="007C51D6" w:rsidRDefault="00D1588E" w:rsidP="00D1588E">
            <w:pPr>
              <w:autoSpaceDE/>
              <w:autoSpaceDN/>
              <w:adjustRightInd/>
              <w:jc w:val="center"/>
              <w:rPr>
                <w:color w:val="000000"/>
                <w:sz w:val="20"/>
                <w:szCs w:val="20"/>
              </w:rPr>
            </w:pPr>
            <w:r w:rsidRPr="007C51D6">
              <w:rPr>
                <w:color w:val="000000"/>
                <w:sz w:val="20"/>
                <w:szCs w:val="20"/>
              </w:rPr>
              <w:t>49,02</w:t>
            </w:r>
          </w:p>
        </w:tc>
        <w:tc>
          <w:tcPr>
            <w:tcW w:w="1183" w:type="dxa"/>
            <w:shd w:val="clear" w:color="auto" w:fill="auto"/>
            <w:hideMark/>
          </w:tcPr>
          <w:p w:rsidR="00D1588E" w:rsidRPr="007C51D6" w:rsidRDefault="00D1588E" w:rsidP="00D1588E">
            <w:pPr>
              <w:autoSpaceDE/>
              <w:autoSpaceDN/>
              <w:adjustRightInd/>
              <w:jc w:val="center"/>
              <w:rPr>
                <w:color w:val="000000"/>
                <w:sz w:val="20"/>
                <w:szCs w:val="20"/>
              </w:rPr>
            </w:pPr>
            <w:r w:rsidRPr="007C51D6">
              <w:rPr>
                <w:color w:val="000000"/>
                <w:sz w:val="20"/>
                <w:szCs w:val="20"/>
              </w:rPr>
              <w:t>51,39</w:t>
            </w:r>
          </w:p>
        </w:tc>
        <w:tc>
          <w:tcPr>
            <w:tcW w:w="1183" w:type="dxa"/>
          </w:tcPr>
          <w:p w:rsidR="00D1588E" w:rsidRPr="007C51D6" w:rsidRDefault="00D1588E" w:rsidP="00D1588E">
            <w:pPr>
              <w:autoSpaceDE/>
              <w:autoSpaceDN/>
              <w:adjustRightInd/>
              <w:jc w:val="center"/>
              <w:rPr>
                <w:color w:val="000000"/>
                <w:sz w:val="20"/>
                <w:szCs w:val="20"/>
              </w:rPr>
            </w:pPr>
            <w:r w:rsidRPr="007C51D6">
              <w:rPr>
                <w:color w:val="000000"/>
                <w:sz w:val="20"/>
                <w:szCs w:val="20"/>
              </w:rPr>
              <w:t>52,94</w:t>
            </w:r>
          </w:p>
        </w:tc>
        <w:tc>
          <w:tcPr>
            <w:tcW w:w="1184" w:type="dxa"/>
          </w:tcPr>
          <w:p w:rsidR="00D1588E" w:rsidRPr="007C51D6" w:rsidRDefault="00D1588E" w:rsidP="00D1588E">
            <w:pPr>
              <w:jc w:val="center"/>
              <w:rPr>
                <w:color w:val="000000"/>
                <w:sz w:val="20"/>
                <w:szCs w:val="20"/>
              </w:rPr>
            </w:pPr>
            <w:r w:rsidRPr="007C51D6">
              <w:rPr>
                <w:color w:val="000000"/>
                <w:sz w:val="20"/>
                <w:szCs w:val="20"/>
              </w:rPr>
              <w:t>55,90</w:t>
            </w:r>
          </w:p>
        </w:tc>
        <w:tc>
          <w:tcPr>
            <w:tcW w:w="1183" w:type="dxa"/>
          </w:tcPr>
          <w:p w:rsidR="00D1588E" w:rsidRPr="007C51D6" w:rsidRDefault="00D1588E" w:rsidP="00D1588E">
            <w:pPr>
              <w:jc w:val="center"/>
              <w:rPr>
                <w:color w:val="000000"/>
                <w:sz w:val="20"/>
                <w:szCs w:val="20"/>
              </w:rPr>
            </w:pPr>
            <w:r w:rsidRPr="007C51D6">
              <w:rPr>
                <w:color w:val="000000"/>
                <w:sz w:val="20"/>
                <w:szCs w:val="20"/>
              </w:rPr>
              <w:t>57,1</w:t>
            </w:r>
          </w:p>
        </w:tc>
        <w:tc>
          <w:tcPr>
            <w:tcW w:w="1247" w:type="dxa"/>
            <w:vAlign w:val="center"/>
          </w:tcPr>
          <w:p w:rsidR="00D1588E" w:rsidRPr="007C51D6" w:rsidRDefault="00D1588E" w:rsidP="00D1588E">
            <w:pPr>
              <w:jc w:val="center"/>
              <w:rPr>
                <w:color w:val="000000"/>
                <w:sz w:val="20"/>
                <w:szCs w:val="20"/>
              </w:rPr>
            </w:pPr>
            <w:r w:rsidRPr="007C51D6">
              <w:rPr>
                <w:color w:val="000000"/>
                <w:sz w:val="20"/>
                <w:szCs w:val="20"/>
              </w:rPr>
              <w:t>59.87</w:t>
            </w:r>
          </w:p>
        </w:tc>
        <w:tc>
          <w:tcPr>
            <w:tcW w:w="1247" w:type="dxa"/>
            <w:vAlign w:val="center"/>
          </w:tcPr>
          <w:p w:rsidR="00D1588E" w:rsidRPr="007C51D6" w:rsidRDefault="00D1588E" w:rsidP="00D1588E">
            <w:pPr>
              <w:jc w:val="center"/>
              <w:rPr>
                <w:color w:val="000000"/>
                <w:sz w:val="20"/>
                <w:szCs w:val="20"/>
              </w:rPr>
            </w:pPr>
            <w:r w:rsidRPr="007C51D6">
              <w:rPr>
                <w:color w:val="000000"/>
                <w:sz w:val="20"/>
                <w:szCs w:val="20"/>
              </w:rPr>
              <w:t>53.93</w:t>
            </w:r>
          </w:p>
        </w:tc>
      </w:tr>
      <w:tr w:rsidR="00D1588E" w:rsidRPr="007C51D6" w:rsidTr="00742D16">
        <w:trPr>
          <w:trHeight w:val="20"/>
        </w:trPr>
        <w:tc>
          <w:tcPr>
            <w:tcW w:w="2991" w:type="dxa"/>
            <w:shd w:val="clear" w:color="auto" w:fill="auto"/>
            <w:hideMark/>
          </w:tcPr>
          <w:p w:rsidR="00D1588E" w:rsidRPr="007C51D6" w:rsidRDefault="00D1588E" w:rsidP="00D1588E">
            <w:pPr>
              <w:autoSpaceDE/>
              <w:autoSpaceDN/>
              <w:adjustRightInd/>
              <w:rPr>
                <w:color w:val="000000"/>
                <w:sz w:val="20"/>
                <w:szCs w:val="20"/>
              </w:rPr>
            </w:pPr>
            <w:r w:rsidRPr="007C51D6">
              <w:rPr>
                <w:color w:val="000000"/>
                <w:sz w:val="20"/>
                <w:szCs w:val="20"/>
              </w:rPr>
              <w:t>Елабужский</w:t>
            </w:r>
          </w:p>
        </w:tc>
        <w:tc>
          <w:tcPr>
            <w:tcW w:w="1183" w:type="dxa"/>
            <w:shd w:val="clear" w:color="auto" w:fill="auto"/>
            <w:hideMark/>
          </w:tcPr>
          <w:p w:rsidR="00D1588E" w:rsidRPr="007C51D6" w:rsidRDefault="00D1588E" w:rsidP="00D1588E">
            <w:pPr>
              <w:autoSpaceDE/>
              <w:autoSpaceDN/>
              <w:adjustRightInd/>
              <w:jc w:val="center"/>
              <w:rPr>
                <w:color w:val="000000"/>
                <w:sz w:val="20"/>
                <w:szCs w:val="20"/>
              </w:rPr>
            </w:pPr>
            <w:r w:rsidRPr="007C51D6">
              <w:rPr>
                <w:color w:val="000000"/>
                <w:sz w:val="20"/>
                <w:szCs w:val="20"/>
              </w:rPr>
              <w:t>55,11</w:t>
            </w:r>
          </w:p>
        </w:tc>
        <w:tc>
          <w:tcPr>
            <w:tcW w:w="1184" w:type="dxa"/>
            <w:shd w:val="clear" w:color="auto" w:fill="auto"/>
            <w:hideMark/>
          </w:tcPr>
          <w:p w:rsidR="00D1588E" w:rsidRPr="007C51D6" w:rsidRDefault="00D1588E" w:rsidP="00D1588E">
            <w:pPr>
              <w:autoSpaceDE/>
              <w:autoSpaceDN/>
              <w:adjustRightInd/>
              <w:jc w:val="center"/>
              <w:rPr>
                <w:color w:val="000000"/>
                <w:sz w:val="20"/>
                <w:szCs w:val="20"/>
              </w:rPr>
            </w:pPr>
            <w:r w:rsidRPr="007C51D6">
              <w:rPr>
                <w:color w:val="000000"/>
                <w:sz w:val="20"/>
                <w:szCs w:val="20"/>
              </w:rPr>
              <w:t>53,55</w:t>
            </w:r>
          </w:p>
        </w:tc>
        <w:tc>
          <w:tcPr>
            <w:tcW w:w="1183" w:type="dxa"/>
            <w:shd w:val="clear" w:color="auto" w:fill="auto"/>
            <w:hideMark/>
          </w:tcPr>
          <w:p w:rsidR="00D1588E" w:rsidRPr="007C51D6" w:rsidRDefault="00D1588E" w:rsidP="00D1588E">
            <w:pPr>
              <w:autoSpaceDE/>
              <w:autoSpaceDN/>
              <w:adjustRightInd/>
              <w:jc w:val="center"/>
              <w:rPr>
                <w:color w:val="000000"/>
                <w:sz w:val="20"/>
                <w:szCs w:val="20"/>
              </w:rPr>
            </w:pPr>
            <w:r w:rsidRPr="007C51D6">
              <w:rPr>
                <w:color w:val="000000"/>
                <w:sz w:val="20"/>
                <w:szCs w:val="20"/>
              </w:rPr>
              <w:t>52,66</w:t>
            </w:r>
          </w:p>
        </w:tc>
        <w:tc>
          <w:tcPr>
            <w:tcW w:w="1343" w:type="dxa"/>
            <w:shd w:val="clear" w:color="auto" w:fill="auto"/>
            <w:hideMark/>
          </w:tcPr>
          <w:p w:rsidR="00D1588E" w:rsidRPr="007C51D6" w:rsidRDefault="00D1588E" w:rsidP="00D1588E">
            <w:pPr>
              <w:autoSpaceDE/>
              <w:autoSpaceDN/>
              <w:adjustRightInd/>
              <w:jc w:val="center"/>
              <w:rPr>
                <w:color w:val="000000"/>
                <w:sz w:val="20"/>
                <w:szCs w:val="20"/>
              </w:rPr>
            </w:pPr>
            <w:r w:rsidRPr="007C51D6">
              <w:rPr>
                <w:color w:val="000000"/>
                <w:sz w:val="20"/>
                <w:szCs w:val="20"/>
              </w:rPr>
              <w:t>54,74</w:t>
            </w:r>
          </w:p>
        </w:tc>
        <w:tc>
          <w:tcPr>
            <w:tcW w:w="1183" w:type="dxa"/>
            <w:shd w:val="clear" w:color="auto" w:fill="auto"/>
            <w:hideMark/>
          </w:tcPr>
          <w:p w:rsidR="00D1588E" w:rsidRPr="007C51D6" w:rsidRDefault="00D1588E" w:rsidP="00D1588E">
            <w:pPr>
              <w:autoSpaceDE/>
              <w:autoSpaceDN/>
              <w:adjustRightInd/>
              <w:jc w:val="center"/>
              <w:rPr>
                <w:color w:val="000000"/>
                <w:sz w:val="20"/>
                <w:szCs w:val="20"/>
              </w:rPr>
            </w:pPr>
            <w:r w:rsidRPr="007C51D6">
              <w:rPr>
                <w:color w:val="000000"/>
                <w:sz w:val="20"/>
                <w:szCs w:val="20"/>
              </w:rPr>
              <w:t>55,34</w:t>
            </w:r>
          </w:p>
        </w:tc>
        <w:tc>
          <w:tcPr>
            <w:tcW w:w="1183" w:type="dxa"/>
          </w:tcPr>
          <w:p w:rsidR="00D1588E" w:rsidRPr="007C51D6" w:rsidRDefault="00D1588E" w:rsidP="00D1588E">
            <w:pPr>
              <w:autoSpaceDE/>
              <w:autoSpaceDN/>
              <w:adjustRightInd/>
              <w:jc w:val="center"/>
              <w:rPr>
                <w:color w:val="000000"/>
                <w:sz w:val="20"/>
                <w:szCs w:val="20"/>
              </w:rPr>
            </w:pPr>
            <w:r w:rsidRPr="007C51D6">
              <w:rPr>
                <w:color w:val="000000"/>
                <w:sz w:val="20"/>
                <w:szCs w:val="20"/>
              </w:rPr>
              <w:t>57,18</w:t>
            </w:r>
          </w:p>
        </w:tc>
        <w:tc>
          <w:tcPr>
            <w:tcW w:w="1184" w:type="dxa"/>
          </w:tcPr>
          <w:p w:rsidR="00D1588E" w:rsidRPr="007C51D6" w:rsidRDefault="00D1588E" w:rsidP="00D1588E">
            <w:pPr>
              <w:jc w:val="center"/>
              <w:rPr>
                <w:color w:val="000000"/>
                <w:sz w:val="20"/>
                <w:szCs w:val="20"/>
              </w:rPr>
            </w:pPr>
            <w:r w:rsidRPr="007C51D6">
              <w:rPr>
                <w:color w:val="000000"/>
                <w:sz w:val="20"/>
                <w:szCs w:val="20"/>
              </w:rPr>
              <w:t>57,65</w:t>
            </w:r>
          </w:p>
        </w:tc>
        <w:tc>
          <w:tcPr>
            <w:tcW w:w="1183" w:type="dxa"/>
          </w:tcPr>
          <w:p w:rsidR="00D1588E" w:rsidRPr="007C51D6" w:rsidRDefault="00D1588E" w:rsidP="00D1588E">
            <w:pPr>
              <w:jc w:val="center"/>
              <w:rPr>
                <w:color w:val="000000"/>
                <w:sz w:val="20"/>
                <w:szCs w:val="20"/>
              </w:rPr>
            </w:pPr>
            <w:r w:rsidRPr="007C51D6">
              <w:rPr>
                <w:color w:val="000000"/>
                <w:sz w:val="20"/>
                <w:szCs w:val="20"/>
              </w:rPr>
              <w:t>58,6</w:t>
            </w:r>
          </w:p>
        </w:tc>
        <w:tc>
          <w:tcPr>
            <w:tcW w:w="1247" w:type="dxa"/>
            <w:vAlign w:val="center"/>
          </w:tcPr>
          <w:p w:rsidR="00D1588E" w:rsidRPr="007C51D6" w:rsidRDefault="00D1588E" w:rsidP="00D1588E">
            <w:pPr>
              <w:jc w:val="center"/>
              <w:rPr>
                <w:color w:val="000000"/>
                <w:sz w:val="20"/>
                <w:szCs w:val="20"/>
              </w:rPr>
            </w:pPr>
            <w:r w:rsidRPr="007C51D6">
              <w:rPr>
                <w:color w:val="000000"/>
                <w:sz w:val="20"/>
                <w:szCs w:val="20"/>
              </w:rPr>
              <w:t>60.31</w:t>
            </w:r>
          </w:p>
        </w:tc>
        <w:tc>
          <w:tcPr>
            <w:tcW w:w="1247" w:type="dxa"/>
            <w:vAlign w:val="center"/>
          </w:tcPr>
          <w:p w:rsidR="00D1588E" w:rsidRPr="007C51D6" w:rsidRDefault="00D1588E" w:rsidP="00D1588E">
            <w:pPr>
              <w:jc w:val="center"/>
              <w:rPr>
                <w:color w:val="000000"/>
                <w:sz w:val="20"/>
                <w:szCs w:val="20"/>
              </w:rPr>
            </w:pPr>
            <w:r w:rsidRPr="007C51D6">
              <w:rPr>
                <w:color w:val="000000"/>
                <w:sz w:val="20"/>
                <w:szCs w:val="20"/>
              </w:rPr>
              <w:t>57.22</w:t>
            </w:r>
          </w:p>
        </w:tc>
      </w:tr>
      <w:tr w:rsidR="00D1588E" w:rsidRPr="007C51D6" w:rsidTr="00742D16">
        <w:trPr>
          <w:trHeight w:val="20"/>
        </w:trPr>
        <w:tc>
          <w:tcPr>
            <w:tcW w:w="2991" w:type="dxa"/>
            <w:shd w:val="clear" w:color="auto" w:fill="auto"/>
            <w:hideMark/>
          </w:tcPr>
          <w:p w:rsidR="00D1588E" w:rsidRPr="007C51D6" w:rsidRDefault="00D1588E" w:rsidP="00D1588E">
            <w:pPr>
              <w:autoSpaceDE/>
              <w:autoSpaceDN/>
              <w:adjustRightInd/>
              <w:spacing w:line="233" w:lineRule="auto"/>
              <w:rPr>
                <w:color w:val="000000"/>
                <w:sz w:val="20"/>
                <w:szCs w:val="20"/>
              </w:rPr>
            </w:pPr>
            <w:r w:rsidRPr="007C51D6">
              <w:rPr>
                <w:color w:val="000000"/>
                <w:sz w:val="20"/>
                <w:szCs w:val="20"/>
              </w:rPr>
              <w:t>Заинский</w:t>
            </w:r>
          </w:p>
        </w:tc>
        <w:tc>
          <w:tcPr>
            <w:tcW w:w="1183" w:type="dxa"/>
            <w:shd w:val="clear" w:color="auto" w:fill="auto"/>
            <w:hideMark/>
          </w:tcPr>
          <w:p w:rsidR="00D1588E" w:rsidRPr="007C51D6" w:rsidRDefault="00D1588E" w:rsidP="00D1588E">
            <w:pPr>
              <w:autoSpaceDE/>
              <w:autoSpaceDN/>
              <w:adjustRightInd/>
              <w:spacing w:line="233" w:lineRule="auto"/>
              <w:jc w:val="center"/>
              <w:rPr>
                <w:color w:val="000000"/>
                <w:sz w:val="20"/>
                <w:szCs w:val="20"/>
              </w:rPr>
            </w:pPr>
            <w:r w:rsidRPr="007C51D6">
              <w:rPr>
                <w:color w:val="000000"/>
                <w:sz w:val="20"/>
                <w:szCs w:val="20"/>
              </w:rPr>
              <w:t>49,83</w:t>
            </w:r>
          </w:p>
        </w:tc>
        <w:tc>
          <w:tcPr>
            <w:tcW w:w="1184" w:type="dxa"/>
            <w:shd w:val="clear" w:color="auto" w:fill="auto"/>
            <w:hideMark/>
          </w:tcPr>
          <w:p w:rsidR="00D1588E" w:rsidRPr="007C51D6" w:rsidRDefault="00D1588E" w:rsidP="00D1588E">
            <w:pPr>
              <w:autoSpaceDE/>
              <w:autoSpaceDN/>
              <w:adjustRightInd/>
              <w:spacing w:line="233" w:lineRule="auto"/>
              <w:jc w:val="center"/>
              <w:rPr>
                <w:color w:val="000000"/>
                <w:sz w:val="20"/>
                <w:szCs w:val="20"/>
              </w:rPr>
            </w:pPr>
            <w:r w:rsidRPr="007C51D6">
              <w:rPr>
                <w:color w:val="000000"/>
                <w:sz w:val="20"/>
                <w:szCs w:val="20"/>
              </w:rPr>
              <w:t>50,27</w:t>
            </w:r>
          </w:p>
        </w:tc>
        <w:tc>
          <w:tcPr>
            <w:tcW w:w="1183" w:type="dxa"/>
            <w:shd w:val="clear" w:color="auto" w:fill="auto"/>
            <w:hideMark/>
          </w:tcPr>
          <w:p w:rsidR="00D1588E" w:rsidRPr="007C51D6" w:rsidRDefault="00D1588E" w:rsidP="00D1588E">
            <w:pPr>
              <w:autoSpaceDE/>
              <w:autoSpaceDN/>
              <w:adjustRightInd/>
              <w:spacing w:line="233" w:lineRule="auto"/>
              <w:jc w:val="center"/>
              <w:rPr>
                <w:color w:val="000000"/>
                <w:sz w:val="20"/>
                <w:szCs w:val="20"/>
              </w:rPr>
            </w:pPr>
            <w:r w:rsidRPr="007C51D6">
              <w:rPr>
                <w:color w:val="000000"/>
                <w:sz w:val="20"/>
                <w:szCs w:val="20"/>
              </w:rPr>
              <w:t>50,79</w:t>
            </w:r>
          </w:p>
        </w:tc>
        <w:tc>
          <w:tcPr>
            <w:tcW w:w="1343" w:type="dxa"/>
            <w:shd w:val="clear" w:color="auto" w:fill="auto"/>
            <w:hideMark/>
          </w:tcPr>
          <w:p w:rsidR="00D1588E" w:rsidRPr="007C51D6" w:rsidRDefault="00D1588E" w:rsidP="00D1588E">
            <w:pPr>
              <w:autoSpaceDE/>
              <w:autoSpaceDN/>
              <w:adjustRightInd/>
              <w:spacing w:line="233" w:lineRule="auto"/>
              <w:jc w:val="center"/>
              <w:rPr>
                <w:color w:val="000000"/>
                <w:sz w:val="20"/>
                <w:szCs w:val="20"/>
              </w:rPr>
            </w:pPr>
            <w:r w:rsidRPr="007C51D6">
              <w:rPr>
                <w:color w:val="000000"/>
                <w:sz w:val="20"/>
                <w:szCs w:val="20"/>
              </w:rPr>
              <w:t>52,38</w:t>
            </w:r>
          </w:p>
        </w:tc>
        <w:tc>
          <w:tcPr>
            <w:tcW w:w="1183" w:type="dxa"/>
            <w:shd w:val="clear" w:color="auto" w:fill="auto"/>
            <w:hideMark/>
          </w:tcPr>
          <w:p w:rsidR="00D1588E" w:rsidRPr="007C51D6" w:rsidRDefault="00D1588E" w:rsidP="00D1588E">
            <w:pPr>
              <w:autoSpaceDE/>
              <w:autoSpaceDN/>
              <w:adjustRightInd/>
              <w:spacing w:line="233" w:lineRule="auto"/>
              <w:jc w:val="center"/>
              <w:rPr>
                <w:color w:val="000000"/>
                <w:sz w:val="20"/>
                <w:szCs w:val="20"/>
              </w:rPr>
            </w:pPr>
            <w:r w:rsidRPr="007C51D6">
              <w:rPr>
                <w:color w:val="000000"/>
                <w:sz w:val="20"/>
                <w:szCs w:val="20"/>
              </w:rPr>
              <w:t>55,12</w:t>
            </w:r>
          </w:p>
        </w:tc>
        <w:tc>
          <w:tcPr>
            <w:tcW w:w="1183" w:type="dxa"/>
          </w:tcPr>
          <w:p w:rsidR="00D1588E" w:rsidRPr="007C51D6" w:rsidRDefault="00D1588E" w:rsidP="00D1588E">
            <w:pPr>
              <w:autoSpaceDE/>
              <w:autoSpaceDN/>
              <w:adjustRightInd/>
              <w:spacing w:line="233" w:lineRule="auto"/>
              <w:jc w:val="center"/>
              <w:rPr>
                <w:color w:val="000000"/>
                <w:sz w:val="20"/>
                <w:szCs w:val="20"/>
              </w:rPr>
            </w:pPr>
            <w:r w:rsidRPr="007C51D6">
              <w:rPr>
                <w:color w:val="000000"/>
                <w:sz w:val="20"/>
                <w:szCs w:val="20"/>
              </w:rPr>
              <w:t>56,38</w:t>
            </w:r>
          </w:p>
        </w:tc>
        <w:tc>
          <w:tcPr>
            <w:tcW w:w="1184" w:type="dxa"/>
          </w:tcPr>
          <w:p w:rsidR="00D1588E" w:rsidRPr="007C51D6" w:rsidRDefault="00D1588E" w:rsidP="00D1588E">
            <w:pPr>
              <w:spacing w:line="233" w:lineRule="auto"/>
              <w:jc w:val="center"/>
              <w:rPr>
                <w:color w:val="000000"/>
                <w:sz w:val="20"/>
                <w:szCs w:val="20"/>
              </w:rPr>
            </w:pPr>
            <w:r w:rsidRPr="007C51D6">
              <w:rPr>
                <w:color w:val="000000"/>
                <w:sz w:val="20"/>
                <w:szCs w:val="20"/>
              </w:rPr>
              <w:t>60,15</w:t>
            </w:r>
          </w:p>
        </w:tc>
        <w:tc>
          <w:tcPr>
            <w:tcW w:w="1183" w:type="dxa"/>
          </w:tcPr>
          <w:p w:rsidR="00D1588E" w:rsidRPr="007C51D6" w:rsidRDefault="00D1588E" w:rsidP="00D1588E">
            <w:pPr>
              <w:spacing w:line="233" w:lineRule="auto"/>
              <w:jc w:val="center"/>
              <w:rPr>
                <w:color w:val="000000"/>
                <w:sz w:val="20"/>
                <w:szCs w:val="20"/>
              </w:rPr>
            </w:pPr>
            <w:r w:rsidRPr="007C51D6">
              <w:rPr>
                <w:color w:val="000000"/>
                <w:sz w:val="20"/>
                <w:szCs w:val="20"/>
              </w:rPr>
              <w:t>62,0</w:t>
            </w:r>
          </w:p>
        </w:tc>
        <w:tc>
          <w:tcPr>
            <w:tcW w:w="1247" w:type="dxa"/>
            <w:vAlign w:val="center"/>
          </w:tcPr>
          <w:p w:rsidR="00D1588E" w:rsidRPr="007C51D6" w:rsidRDefault="00D1588E" w:rsidP="00D1588E">
            <w:pPr>
              <w:spacing w:line="233" w:lineRule="auto"/>
              <w:jc w:val="center"/>
              <w:rPr>
                <w:color w:val="000000"/>
                <w:sz w:val="20"/>
                <w:szCs w:val="20"/>
              </w:rPr>
            </w:pPr>
            <w:r w:rsidRPr="007C51D6">
              <w:rPr>
                <w:color w:val="000000"/>
                <w:sz w:val="20"/>
                <w:szCs w:val="20"/>
              </w:rPr>
              <w:t>61.90</w:t>
            </w:r>
          </w:p>
        </w:tc>
        <w:tc>
          <w:tcPr>
            <w:tcW w:w="1247" w:type="dxa"/>
            <w:vAlign w:val="center"/>
          </w:tcPr>
          <w:p w:rsidR="00D1588E" w:rsidRPr="007C51D6" w:rsidRDefault="00D1588E" w:rsidP="00D1588E">
            <w:pPr>
              <w:jc w:val="center"/>
              <w:rPr>
                <w:color w:val="000000"/>
                <w:sz w:val="20"/>
                <w:szCs w:val="20"/>
              </w:rPr>
            </w:pPr>
            <w:r w:rsidRPr="007C51D6">
              <w:rPr>
                <w:color w:val="000000"/>
                <w:sz w:val="20"/>
                <w:szCs w:val="20"/>
              </w:rPr>
              <w:t>58.87</w:t>
            </w:r>
          </w:p>
        </w:tc>
      </w:tr>
      <w:tr w:rsidR="00D1588E" w:rsidRPr="007C51D6" w:rsidTr="00742D16">
        <w:trPr>
          <w:trHeight w:val="20"/>
        </w:trPr>
        <w:tc>
          <w:tcPr>
            <w:tcW w:w="2991" w:type="dxa"/>
            <w:shd w:val="clear" w:color="auto" w:fill="auto"/>
            <w:hideMark/>
          </w:tcPr>
          <w:p w:rsidR="00D1588E" w:rsidRPr="007C51D6" w:rsidRDefault="00D1588E" w:rsidP="00D1588E">
            <w:pPr>
              <w:autoSpaceDE/>
              <w:autoSpaceDN/>
              <w:adjustRightInd/>
              <w:spacing w:line="233" w:lineRule="auto"/>
              <w:rPr>
                <w:color w:val="000000"/>
                <w:sz w:val="20"/>
                <w:szCs w:val="20"/>
              </w:rPr>
            </w:pPr>
            <w:r w:rsidRPr="007C51D6">
              <w:rPr>
                <w:color w:val="000000"/>
                <w:sz w:val="20"/>
                <w:szCs w:val="20"/>
              </w:rPr>
              <w:t>Зеленодольский</w:t>
            </w:r>
          </w:p>
        </w:tc>
        <w:tc>
          <w:tcPr>
            <w:tcW w:w="1183" w:type="dxa"/>
            <w:shd w:val="clear" w:color="auto" w:fill="auto"/>
            <w:hideMark/>
          </w:tcPr>
          <w:p w:rsidR="00D1588E" w:rsidRPr="007C51D6" w:rsidRDefault="00D1588E" w:rsidP="00D1588E">
            <w:pPr>
              <w:autoSpaceDE/>
              <w:autoSpaceDN/>
              <w:adjustRightInd/>
              <w:spacing w:line="233" w:lineRule="auto"/>
              <w:jc w:val="center"/>
              <w:rPr>
                <w:color w:val="000000"/>
                <w:sz w:val="20"/>
                <w:szCs w:val="20"/>
              </w:rPr>
            </w:pPr>
            <w:r w:rsidRPr="007C51D6">
              <w:rPr>
                <w:color w:val="000000"/>
                <w:sz w:val="20"/>
                <w:szCs w:val="20"/>
              </w:rPr>
              <w:t>55,88</w:t>
            </w:r>
          </w:p>
        </w:tc>
        <w:tc>
          <w:tcPr>
            <w:tcW w:w="1184" w:type="dxa"/>
            <w:shd w:val="clear" w:color="auto" w:fill="auto"/>
            <w:hideMark/>
          </w:tcPr>
          <w:p w:rsidR="00D1588E" w:rsidRPr="007C51D6" w:rsidRDefault="00D1588E" w:rsidP="00D1588E">
            <w:pPr>
              <w:autoSpaceDE/>
              <w:autoSpaceDN/>
              <w:adjustRightInd/>
              <w:spacing w:line="233" w:lineRule="auto"/>
              <w:jc w:val="center"/>
              <w:rPr>
                <w:color w:val="000000"/>
                <w:sz w:val="20"/>
                <w:szCs w:val="20"/>
              </w:rPr>
            </w:pPr>
            <w:r w:rsidRPr="007C51D6">
              <w:rPr>
                <w:color w:val="000000"/>
                <w:sz w:val="20"/>
                <w:szCs w:val="20"/>
              </w:rPr>
              <w:t>55,46</w:t>
            </w:r>
          </w:p>
        </w:tc>
        <w:tc>
          <w:tcPr>
            <w:tcW w:w="1183" w:type="dxa"/>
            <w:shd w:val="clear" w:color="auto" w:fill="auto"/>
            <w:hideMark/>
          </w:tcPr>
          <w:p w:rsidR="00D1588E" w:rsidRPr="007C51D6" w:rsidRDefault="00D1588E" w:rsidP="00D1588E">
            <w:pPr>
              <w:autoSpaceDE/>
              <w:autoSpaceDN/>
              <w:adjustRightInd/>
              <w:spacing w:line="233" w:lineRule="auto"/>
              <w:jc w:val="center"/>
              <w:rPr>
                <w:color w:val="000000"/>
                <w:sz w:val="20"/>
                <w:szCs w:val="20"/>
              </w:rPr>
            </w:pPr>
            <w:r w:rsidRPr="007C51D6">
              <w:rPr>
                <w:color w:val="000000"/>
                <w:sz w:val="20"/>
                <w:szCs w:val="20"/>
              </w:rPr>
              <w:t>56,28</w:t>
            </w:r>
          </w:p>
        </w:tc>
        <w:tc>
          <w:tcPr>
            <w:tcW w:w="1343" w:type="dxa"/>
            <w:shd w:val="clear" w:color="auto" w:fill="auto"/>
            <w:hideMark/>
          </w:tcPr>
          <w:p w:rsidR="00D1588E" w:rsidRPr="007C51D6" w:rsidRDefault="00D1588E" w:rsidP="00D1588E">
            <w:pPr>
              <w:autoSpaceDE/>
              <w:autoSpaceDN/>
              <w:adjustRightInd/>
              <w:spacing w:line="233" w:lineRule="auto"/>
              <w:jc w:val="center"/>
              <w:rPr>
                <w:color w:val="000000"/>
                <w:sz w:val="20"/>
                <w:szCs w:val="20"/>
              </w:rPr>
            </w:pPr>
            <w:r w:rsidRPr="007C51D6">
              <w:rPr>
                <w:color w:val="000000"/>
                <w:sz w:val="20"/>
                <w:szCs w:val="20"/>
              </w:rPr>
              <w:t>56,98</w:t>
            </w:r>
          </w:p>
        </w:tc>
        <w:tc>
          <w:tcPr>
            <w:tcW w:w="1183" w:type="dxa"/>
            <w:shd w:val="clear" w:color="auto" w:fill="auto"/>
            <w:hideMark/>
          </w:tcPr>
          <w:p w:rsidR="00D1588E" w:rsidRPr="007C51D6" w:rsidRDefault="00D1588E" w:rsidP="00D1588E">
            <w:pPr>
              <w:autoSpaceDE/>
              <w:autoSpaceDN/>
              <w:adjustRightInd/>
              <w:spacing w:line="233" w:lineRule="auto"/>
              <w:jc w:val="center"/>
              <w:rPr>
                <w:color w:val="000000"/>
                <w:sz w:val="20"/>
                <w:szCs w:val="20"/>
              </w:rPr>
            </w:pPr>
            <w:r w:rsidRPr="007C51D6">
              <w:rPr>
                <w:color w:val="000000"/>
                <w:sz w:val="20"/>
                <w:szCs w:val="20"/>
              </w:rPr>
              <w:t>58,11</w:t>
            </w:r>
          </w:p>
        </w:tc>
        <w:tc>
          <w:tcPr>
            <w:tcW w:w="1183" w:type="dxa"/>
          </w:tcPr>
          <w:p w:rsidR="00D1588E" w:rsidRPr="007C51D6" w:rsidRDefault="00D1588E" w:rsidP="00D1588E">
            <w:pPr>
              <w:autoSpaceDE/>
              <w:autoSpaceDN/>
              <w:adjustRightInd/>
              <w:spacing w:line="233" w:lineRule="auto"/>
              <w:jc w:val="center"/>
              <w:rPr>
                <w:color w:val="000000"/>
                <w:sz w:val="20"/>
                <w:szCs w:val="20"/>
              </w:rPr>
            </w:pPr>
            <w:r w:rsidRPr="007C51D6">
              <w:rPr>
                <w:color w:val="000000"/>
                <w:sz w:val="20"/>
                <w:szCs w:val="20"/>
              </w:rPr>
              <w:t>56,95</w:t>
            </w:r>
          </w:p>
        </w:tc>
        <w:tc>
          <w:tcPr>
            <w:tcW w:w="1184" w:type="dxa"/>
          </w:tcPr>
          <w:p w:rsidR="00D1588E" w:rsidRPr="007C51D6" w:rsidRDefault="00D1588E" w:rsidP="00D1588E">
            <w:pPr>
              <w:spacing w:line="233" w:lineRule="auto"/>
              <w:jc w:val="center"/>
              <w:rPr>
                <w:color w:val="000000"/>
                <w:sz w:val="20"/>
                <w:szCs w:val="20"/>
              </w:rPr>
            </w:pPr>
            <w:r w:rsidRPr="007C51D6">
              <w:rPr>
                <w:color w:val="000000"/>
                <w:sz w:val="20"/>
                <w:szCs w:val="20"/>
              </w:rPr>
              <w:t>58,61</w:t>
            </w:r>
          </w:p>
        </w:tc>
        <w:tc>
          <w:tcPr>
            <w:tcW w:w="1183" w:type="dxa"/>
          </w:tcPr>
          <w:p w:rsidR="00D1588E" w:rsidRPr="007C51D6" w:rsidRDefault="00D1588E" w:rsidP="00D1588E">
            <w:pPr>
              <w:spacing w:line="233" w:lineRule="auto"/>
              <w:jc w:val="center"/>
              <w:rPr>
                <w:color w:val="000000"/>
                <w:sz w:val="20"/>
                <w:szCs w:val="20"/>
              </w:rPr>
            </w:pPr>
            <w:r w:rsidRPr="007C51D6">
              <w:rPr>
                <w:color w:val="000000"/>
                <w:sz w:val="20"/>
                <w:szCs w:val="20"/>
              </w:rPr>
              <w:t>59,0</w:t>
            </w:r>
          </w:p>
        </w:tc>
        <w:tc>
          <w:tcPr>
            <w:tcW w:w="1247" w:type="dxa"/>
            <w:vAlign w:val="center"/>
          </w:tcPr>
          <w:p w:rsidR="00D1588E" w:rsidRPr="007C51D6" w:rsidRDefault="00D1588E" w:rsidP="00D1588E">
            <w:pPr>
              <w:spacing w:line="233" w:lineRule="auto"/>
              <w:jc w:val="center"/>
              <w:rPr>
                <w:color w:val="000000"/>
                <w:sz w:val="20"/>
                <w:szCs w:val="20"/>
              </w:rPr>
            </w:pPr>
            <w:r w:rsidRPr="007C51D6">
              <w:rPr>
                <w:color w:val="000000"/>
                <w:sz w:val="20"/>
                <w:szCs w:val="20"/>
              </w:rPr>
              <w:t>61.04</w:t>
            </w:r>
          </w:p>
        </w:tc>
        <w:tc>
          <w:tcPr>
            <w:tcW w:w="1247" w:type="dxa"/>
            <w:vAlign w:val="center"/>
          </w:tcPr>
          <w:p w:rsidR="00D1588E" w:rsidRPr="007C51D6" w:rsidRDefault="00D1588E" w:rsidP="00D1588E">
            <w:pPr>
              <w:jc w:val="center"/>
              <w:rPr>
                <w:color w:val="000000"/>
                <w:sz w:val="20"/>
                <w:szCs w:val="20"/>
              </w:rPr>
            </w:pPr>
            <w:r w:rsidRPr="007C51D6">
              <w:rPr>
                <w:color w:val="000000"/>
                <w:sz w:val="20"/>
                <w:szCs w:val="20"/>
              </w:rPr>
              <w:t>56.12</w:t>
            </w:r>
          </w:p>
        </w:tc>
      </w:tr>
      <w:tr w:rsidR="00D1588E" w:rsidRPr="007C51D6" w:rsidTr="00742D16">
        <w:trPr>
          <w:trHeight w:val="20"/>
        </w:trPr>
        <w:tc>
          <w:tcPr>
            <w:tcW w:w="2991" w:type="dxa"/>
            <w:shd w:val="clear" w:color="auto" w:fill="auto"/>
            <w:hideMark/>
          </w:tcPr>
          <w:p w:rsidR="00D1588E" w:rsidRPr="007C51D6" w:rsidRDefault="00D1588E" w:rsidP="00D1588E">
            <w:pPr>
              <w:autoSpaceDE/>
              <w:autoSpaceDN/>
              <w:adjustRightInd/>
              <w:spacing w:line="233" w:lineRule="auto"/>
              <w:rPr>
                <w:color w:val="000000"/>
                <w:sz w:val="20"/>
                <w:szCs w:val="20"/>
              </w:rPr>
            </w:pPr>
            <w:r w:rsidRPr="007C51D6">
              <w:rPr>
                <w:color w:val="000000"/>
                <w:sz w:val="20"/>
                <w:szCs w:val="20"/>
              </w:rPr>
              <w:t>Кайбицкий</w:t>
            </w:r>
          </w:p>
        </w:tc>
        <w:tc>
          <w:tcPr>
            <w:tcW w:w="1183" w:type="dxa"/>
            <w:shd w:val="clear" w:color="auto" w:fill="auto"/>
            <w:hideMark/>
          </w:tcPr>
          <w:p w:rsidR="00D1588E" w:rsidRPr="007C51D6" w:rsidRDefault="00D1588E" w:rsidP="00D1588E">
            <w:pPr>
              <w:autoSpaceDE/>
              <w:autoSpaceDN/>
              <w:adjustRightInd/>
              <w:spacing w:line="233" w:lineRule="auto"/>
              <w:jc w:val="center"/>
              <w:rPr>
                <w:color w:val="000000"/>
                <w:sz w:val="20"/>
                <w:szCs w:val="20"/>
              </w:rPr>
            </w:pPr>
            <w:r w:rsidRPr="007C51D6">
              <w:rPr>
                <w:color w:val="000000"/>
                <w:sz w:val="20"/>
                <w:szCs w:val="20"/>
              </w:rPr>
              <w:t>48,61</w:t>
            </w:r>
          </w:p>
        </w:tc>
        <w:tc>
          <w:tcPr>
            <w:tcW w:w="1184" w:type="dxa"/>
            <w:shd w:val="clear" w:color="auto" w:fill="auto"/>
            <w:hideMark/>
          </w:tcPr>
          <w:p w:rsidR="00D1588E" w:rsidRPr="007C51D6" w:rsidRDefault="00D1588E" w:rsidP="00D1588E">
            <w:pPr>
              <w:autoSpaceDE/>
              <w:autoSpaceDN/>
              <w:adjustRightInd/>
              <w:spacing w:line="233" w:lineRule="auto"/>
              <w:jc w:val="center"/>
              <w:rPr>
                <w:color w:val="000000"/>
                <w:sz w:val="20"/>
                <w:szCs w:val="20"/>
              </w:rPr>
            </w:pPr>
            <w:r w:rsidRPr="007C51D6">
              <w:rPr>
                <w:color w:val="000000"/>
                <w:sz w:val="20"/>
                <w:szCs w:val="20"/>
              </w:rPr>
              <w:t>48,09</w:t>
            </w:r>
          </w:p>
        </w:tc>
        <w:tc>
          <w:tcPr>
            <w:tcW w:w="1183" w:type="dxa"/>
            <w:shd w:val="clear" w:color="auto" w:fill="auto"/>
            <w:hideMark/>
          </w:tcPr>
          <w:p w:rsidR="00D1588E" w:rsidRPr="007C51D6" w:rsidRDefault="00D1588E" w:rsidP="00D1588E">
            <w:pPr>
              <w:autoSpaceDE/>
              <w:autoSpaceDN/>
              <w:adjustRightInd/>
              <w:spacing w:line="233" w:lineRule="auto"/>
              <w:jc w:val="center"/>
              <w:rPr>
                <w:color w:val="000000"/>
                <w:sz w:val="20"/>
                <w:szCs w:val="20"/>
              </w:rPr>
            </w:pPr>
            <w:r w:rsidRPr="007C51D6">
              <w:rPr>
                <w:color w:val="000000"/>
                <w:sz w:val="20"/>
                <w:szCs w:val="20"/>
              </w:rPr>
              <w:t>47,16</w:t>
            </w:r>
          </w:p>
        </w:tc>
        <w:tc>
          <w:tcPr>
            <w:tcW w:w="1343" w:type="dxa"/>
            <w:shd w:val="clear" w:color="auto" w:fill="auto"/>
            <w:hideMark/>
          </w:tcPr>
          <w:p w:rsidR="00D1588E" w:rsidRPr="007C51D6" w:rsidRDefault="00D1588E" w:rsidP="00D1588E">
            <w:pPr>
              <w:autoSpaceDE/>
              <w:autoSpaceDN/>
              <w:adjustRightInd/>
              <w:spacing w:line="233" w:lineRule="auto"/>
              <w:jc w:val="center"/>
              <w:rPr>
                <w:color w:val="000000"/>
                <w:sz w:val="20"/>
                <w:szCs w:val="20"/>
              </w:rPr>
            </w:pPr>
            <w:r w:rsidRPr="007C51D6">
              <w:rPr>
                <w:color w:val="000000"/>
                <w:sz w:val="20"/>
                <w:szCs w:val="20"/>
              </w:rPr>
              <w:t>48,41</w:t>
            </w:r>
          </w:p>
        </w:tc>
        <w:tc>
          <w:tcPr>
            <w:tcW w:w="1183" w:type="dxa"/>
            <w:shd w:val="clear" w:color="auto" w:fill="auto"/>
            <w:hideMark/>
          </w:tcPr>
          <w:p w:rsidR="00D1588E" w:rsidRPr="007C51D6" w:rsidRDefault="00D1588E" w:rsidP="00D1588E">
            <w:pPr>
              <w:autoSpaceDE/>
              <w:autoSpaceDN/>
              <w:adjustRightInd/>
              <w:spacing w:line="233" w:lineRule="auto"/>
              <w:jc w:val="center"/>
              <w:rPr>
                <w:color w:val="000000"/>
                <w:sz w:val="20"/>
                <w:szCs w:val="20"/>
              </w:rPr>
            </w:pPr>
            <w:r w:rsidRPr="007C51D6">
              <w:rPr>
                <w:color w:val="000000"/>
                <w:sz w:val="20"/>
                <w:szCs w:val="20"/>
              </w:rPr>
              <w:t>48,70</w:t>
            </w:r>
          </w:p>
        </w:tc>
        <w:tc>
          <w:tcPr>
            <w:tcW w:w="1183" w:type="dxa"/>
          </w:tcPr>
          <w:p w:rsidR="00D1588E" w:rsidRPr="007C51D6" w:rsidRDefault="00D1588E" w:rsidP="00D1588E">
            <w:pPr>
              <w:autoSpaceDE/>
              <w:autoSpaceDN/>
              <w:adjustRightInd/>
              <w:spacing w:line="233" w:lineRule="auto"/>
              <w:jc w:val="center"/>
              <w:rPr>
                <w:color w:val="000000"/>
                <w:sz w:val="20"/>
                <w:szCs w:val="20"/>
              </w:rPr>
            </w:pPr>
            <w:r w:rsidRPr="007C51D6">
              <w:rPr>
                <w:color w:val="000000"/>
                <w:sz w:val="20"/>
                <w:szCs w:val="20"/>
              </w:rPr>
              <w:t>53,80</w:t>
            </w:r>
          </w:p>
        </w:tc>
        <w:tc>
          <w:tcPr>
            <w:tcW w:w="1184" w:type="dxa"/>
          </w:tcPr>
          <w:p w:rsidR="00D1588E" w:rsidRPr="007C51D6" w:rsidRDefault="00D1588E" w:rsidP="00D1588E">
            <w:pPr>
              <w:spacing w:line="233" w:lineRule="auto"/>
              <w:jc w:val="center"/>
              <w:rPr>
                <w:color w:val="000000"/>
                <w:sz w:val="20"/>
                <w:szCs w:val="20"/>
              </w:rPr>
            </w:pPr>
            <w:r w:rsidRPr="007C51D6">
              <w:rPr>
                <w:color w:val="000000"/>
                <w:sz w:val="20"/>
                <w:szCs w:val="20"/>
              </w:rPr>
              <w:t>56,75</w:t>
            </w:r>
          </w:p>
        </w:tc>
        <w:tc>
          <w:tcPr>
            <w:tcW w:w="1183" w:type="dxa"/>
          </w:tcPr>
          <w:p w:rsidR="00D1588E" w:rsidRPr="007C51D6" w:rsidRDefault="00D1588E" w:rsidP="00D1588E">
            <w:pPr>
              <w:spacing w:line="233" w:lineRule="auto"/>
              <w:jc w:val="center"/>
              <w:rPr>
                <w:color w:val="000000"/>
                <w:sz w:val="20"/>
                <w:szCs w:val="20"/>
              </w:rPr>
            </w:pPr>
            <w:r w:rsidRPr="007C51D6">
              <w:rPr>
                <w:color w:val="000000"/>
                <w:sz w:val="20"/>
                <w:szCs w:val="20"/>
              </w:rPr>
              <w:t>58,3</w:t>
            </w:r>
          </w:p>
        </w:tc>
        <w:tc>
          <w:tcPr>
            <w:tcW w:w="1247" w:type="dxa"/>
            <w:vAlign w:val="center"/>
          </w:tcPr>
          <w:p w:rsidR="00D1588E" w:rsidRPr="007C51D6" w:rsidRDefault="00D1588E" w:rsidP="00D1588E">
            <w:pPr>
              <w:spacing w:line="233" w:lineRule="auto"/>
              <w:jc w:val="center"/>
              <w:rPr>
                <w:color w:val="000000"/>
                <w:sz w:val="20"/>
                <w:szCs w:val="20"/>
              </w:rPr>
            </w:pPr>
            <w:r w:rsidRPr="007C51D6">
              <w:rPr>
                <w:color w:val="000000"/>
                <w:sz w:val="20"/>
                <w:szCs w:val="20"/>
              </w:rPr>
              <w:t>57.00</w:t>
            </w:r>
          </w:p>
        </w:tc>
        <w:tc>
          <w:tcPr>
            <w:tcW w:w="1247" w:type="dxa"/>
            <w:vAlign w:val="center"/>
          </w:tcPr>
          <w:p w:rsidR="00D1588E" w:rsidRPr="007C51D6" w:rsidRDefault="00D1588E" w:rsidP="00D1588E">
            <w:pPr>
              <w:jc w:val="center"/>
              <w:rPr>
                <w:color w:val="000000"/>
                <w:sz w:val="20"/>
                <w:szCs w:val="20"/>
              </w:rPr>
            </w:pPr>
            <w:r w:rsidRPr="007C51D6">
              <w:rPr>
                <w:color w:val="000000"/>
                <w:sz w:val="20"/>
                <w:szCs w:val="20"/>
              </w:rPr>
              <w:t>55.3</w:t>
            </w:r>
          </w:p>
        </w:tc>
      </w:tr>
      <w:tr w:rsidR="00D1588E" w:rsidRPr="007C51D6" w:rsidTr="00742D16">
        <w:trPr>
          <w:trHeight w:val="20"/>
        </w:trPr>
        <w:tc>
          <w:tcPr>
            <w:tcW w:w="2991" w:type="dxa"/>
            <w:shd w:val="clear" w:color="auto" w:fill="auto"/>
            <w:hideMark/>
          </w:tcPr>
          <w:p w:rsidR="00D1588E" w:rsidRPr="007C51D6" w:rsidRDefault="00D1588E" w:rsidP="00D1588E">
            <w:pPr>
              <w:autoSpaceDE/>
              <w:autoSpaceDN/>
              <w:adjustRightInd/>
              <w:rPr>
                <w:color w:val="000000"/>
                <w:sz w:val="20"/>
                <w:szCs w:val="20"/>
              </w:rPr>
            </w:pPr>
            <w:r w:rsidRPr="007C51D6">
              <w:rPr>
                <w:color w:val="000000"/>
                <w:sz w:val="20"/>
                <w:szCs w:val="20"/>
              </w:rPr>
              <w:t>Камско-Устьинский</w:t>
            </w:r>
          </w:p>
        </w:tc>
        <w:tc>
          <w:tcPr>
            <w:tcW w:w="1183" w:type="dxa"/>
            <w:shd w:val="clear" w:color="auto" w:fill="auto"/>
            <w:hideMark/>
          </w:tcPr>
          <w:p w:rsidR="00D1588E" w:rsidRPr="007C51D6" w:rsidRDefault="00D1588E" w:rsidP="00D1588E">
            <w:pPr>
              <w:autoSpaceDE/>
              <w:autoSpaceDN/>
              <w:adjustRightInd/>
              <w:jc w:val="center"/>
              <w:rPr>
                <w:color w:val="000000"/>
                <w:sz w:val="20"/>
                <w:szCs w:val="20"/>
              </w:rPr>
            </w:pPr>
            <w:r w:rsidRPr="007C51D6">
              <w:rPr>
                <w:color w:val="000000"/>
                <w:sz w:val="20"/>
                <w:szCs w:val="20"/>
              </w:rPr>
              <w:t>55,35</w:t>
            </w:r>
          </w:p>
        </w:tc>
        <w:tc>
          <w:tcPr>
            <w:tcW w:w="1184" w:type="dxa"/>
            <w:shd w:val="clear" w:color="auto" w:fill="auto"/>
            <w:hideMark/>
          </w:tcPr>
          <w:p w:rsidR="00D1588E" w:rsidRPr="007C51D6" w:rsidRDefault="00D1588E" w:rsidP="00D1588E">
            <w:pPr>
              <w:autoSpaceDE/>
              <w:autoSpaceDN/>
              <w:adjustRightInd/>
              <w:jc w:val="center"/>
              <w:rPr>
                <w:color w:val="000000"/>
                <w:sz w:val="20"/>
                <w:szCs w:val="20"/>
              </w:rPr>
            </w:pPr>
            <w:r w:rsidRPr="007C51D6">
              <w:rPr>
                <w:color w:val="000000"/>
                <w:sz w:val="20"/>
                <w:szCs w:val="20"/>
              </w:rPr>
              <w:t>56,06</w:t>
            </w:r>
          </w:p>
        </w:tc>
        <w:tc>
          <w:tcPr>
            <w:tcW w:w="1183" w:type="dxa"/>
            <w:shd w:val="clear" w:color="auto" w:fill="auto"/>
            <w:hideMark/>
          </w:tcPr>
          <w:p w:rsidR="00D1588E" w:rsidRPr="007C51D6" w:rsidRDefault="00D1588E" w:rsidP="00D1588E">
            <w:pPr>
              <w:autoSpaceDE/>
              <w:autoSpaceDN/>
              <w:adjustRightInd/>
              <w:jc w:val="center"/>
              <w:rPr>
                <w:color w:val="000000"/>
                <w:sz w:val="20"/>
                <w:szCs w:val="20"/>
              </w:rPr>
            </w:pPr>
            <w:r w:rsidRPr="007C51D6">
              <w:rPr>
                <w:color w:val="000000"/>
                <w:sz w:val="20"/>
                <w:szCs w:val="20"/>
              </w:rPr>
              <w:t>57,47</w:t>
            </w:r>
          </w:p>
        </w:tc>
        <w:tc>
          <w:tcPr>
            <w:tcW w:w="1343" w:type="dxa"/>
            <w:shd w:val="clear" w:color="auto" w:fill="auto"/>
            <w:hideMark/>
          </w:tcPr>
          <w:p w:rsidR="00D1588E" w:rsidRPr="007C51D6" w:rsidRDefault="00D1588E" w:rsidP="00D1588E">
            <w:pPr>
              <w:autoSpaceDE/>
              <w:autoSpaceDN/>
              <w:adjustRightInd/>
              <w:jc w:val="center"/>
              <w:rPr>
                <w:color w:val="000000"/>
                <w:sz w:val="20"/>
                <w:szCs w:val="20"/>
              </w:rPr>
            </w:pPr>
            <w:r w:rsidRPr="007C51D6">
              <w:rPr>
                <w:color w:val="000000"/>
                <w:sz w:val="20"/>
                <w:szCs w:val="20"/>
              </w:rPr>
              <w:t>61,06</w:t>
            </w:r>
          </w:p>
        </w:tc>
        <w:tc>
          <w:tcPr>
            <w:tcW w:w="1183" w:type="dxa"/>
            <w:shd w:val="clear" w:color="auto" w:fill="auto"/>
            <w:hideMark/>
          </w:tcPr>
          <w:p w:rsidR="00D1588E" w:rsidRPr="007C51D6" w:rsidRDefault="00D1588E" w:rsidP="00D1588E">
            <w:pPr>
              <w:autoSpaceDE/>
              <w:autoSpaceDN/>
              <w:adjustRightInd/>
              <w:jc w:val="center"/>
              <w:rPr>
                <w:color w:val="000000"/>
                <w:sz w:val="20"/>
                <w:szCs w:val="20"/>
              </w:rPr>
            </w:pPr>
            <w:r w:rsidRPr="007C51D6">
              <w:rPr>
                <w:color w:val="000000"/>
                <w:sz w:val="20"/>
                <w:szCs w:val="20"/>
              </w:rPr>
              <w:t>63,74</w:t>
            </w:r>
          </w:p>
        </w:tc>
        <w:tc>
          <w:tcPr>
            <w:tcW w:w="1183" w:type="dxa"/>
          </w:tcPr>
          <w:p w:rsidR="00D1588E" w:rsidRPr="007C51D6" w:rsidRDefault="00D1588E" w:rsidP="00D1588E">
            <w:pPr>
              <w:autoSpaceDE/>
              <w:autoSpaceDN/>
              <w:adjustRightInd/>
              <w:jc w:val="center"/>
              <w:rPr>
                <w:color w:val="000000"/>
                <w:sz w:val="20"/>
                <w:szCs w:val="20"/>
              </w:rPr>
            </w:pPr>
            <w:r w:rsidRPr="007C51D6">
              <w:rPr>
                <w:color w:val="000000"/>
                <w:sz w:val="20"/>
                <w:szCs w:val="20"/>
              </w:rPr>
              <w:t>68,36</w:t>
            </w:r>
          </w:p>
        </w:tc>
        <w:tc>
          <w:tcPr>
            <w:tcW w:w="1184" w:type="dxa"/>
          </w:tcPr>
          <w:p w:rsidR="00D1588E" w:rsidRPr="007C51D6" w:rsidRDefault="00D1588E" w:rsidP="00D1588E">
            <w:pPr>
              <w:jc w:val="center"/>
              <w:rPr>
                <w:color w:val="000000"/>
                <w:sz w:val="20"/>
                <w:szCs w:val="20"/>
              </w:rPr>
            </w:pPr>
            <w:r w:rsidRPr="007C51D6">
              <w:rPr>
                <w:color w:val="000000"/>
                <w:sz w:val="20"/>
                <w:szCs w:val="20"/>
              </w:rPr>
              <w:t>68,77</w:t>
            </w:r>
          </w:p>
        </w:tc>
        <w:tc>
          <w:tcPr>
            <w:tcW w:w="1183" w:type="dxa"/>
          </w:tcPr>
          <w:p w:rsidR="00D1588E" w:rsidRPr="007C51D6" w:rsidRDefault="00D1588E" w:rsidP="00D1588E">
            <w:pPr>
              <w:jc w:val="center"/>
              <w:rPr>
                <w:color w:val="000000"/>
                <w:sz w:val="20"/>
                <w:szCs w:val="20"/>
              </w:rPr>
            </w:pPr>
            <w:r w:rsidRPr="007C51D6">
              <w:rPr>
                <w:color w:val="000000"/>
                <w:sz w:val="20"/>
                <w:szCs w:val="20"/>
              </w:rPr>
              <w:t>69,0</w:t>
            </w:r>
          </w:p>
        </w:tc>
        <w:tc>
          <w:tcPr>
            <w:tcW w:w="1247" w:type="dxa"/>
            <w:vAlign w:val="center"/>
          </w:tcPr>
          <w:p w:rsidR="00D1588E" w:rsidRPr="007C51D6" w:rsidRDefault="00D1588E" w:rsidP="00D1588E">
            <w:pPr>
              <w:jc w:val="center"/>
              <w:rPr>
                <w:color w:val="000000"/>
                <w:sz w:val="20"/>
                <w:szCs w:val="20"/>
              </w:rPr>
            </w:pPr>
            <w:r w:rsidRPr="007C51D6">
              <w:rPr>
                <w:color w:val="000000"/>
                <w:sz w:val="20"/>
                <w:szCs w:val="20"/>
              </w:rPr>
              <w:t>68.76</w:t>
            </w:r>
          </w:p>
        </w:tc>
        <w:tc>
          <w:tcPr>
            <w:tcW w:w="1247" w:type="dxa"/>
            <w:vAlign w:val="center"/>
          </w:tcPr>
          <w:p w:rsidR="00D1588E" w:rsidRPr="007C51D6" w:rsidRDefault="00D1588E" w:rsidP="00D1588E">
            <w:pPr>
              <w:jc w:val="center"/>
              <w:rPr>
                <w:color w:val="000000"/>
                <w:sz w:val="20"/>
                <w:szCs w:val="20"/>
              </w:rPr>
            </w:pPr>
            <w:r w:rsidRPr="007C51D6">
              <w:rPr>
                <w:color w:val="000000"/>
                <w:sz w:val="20"/>
                <w:szCs w:val="20"/>
              </w:rPr>
              <w:t>61.75</w:t>
            </w:r>
          </w:p>
        </w:tc>
      </w:tr>
      <w:tr w:rsidR="00D1588E" w:rsidRPr="007C51D6" w:rsidTr="00742D16">
        <w:trPr>
          <w:trHeight w:val="20"/>
        </w:trPr>
        <w:tc>
          <w:tcPr>
            <w:tcW w:w="2991" w:type="dxa"/>
            <w:shd w:val="clear" w:color="auto" w:fill="auto"/>
            <w:hideMark/>
          </w:tcPr>
          <w:p w:rsidR="00D1588E" w:rsidRPr="007C51D6" w:rsidRDefault="00D1588E" w:rsidP="00D1588E">
            <w:pPr>
              <w:autoSpaceDE/>
              <w:autoSpaceDN/>
              <w:adjustRightInd/>
              <w:rPr>
                <w:color w:val="000000"/>
                <w:sz w:val="20"/>
                <w:szCs w:val="20"/>
              </w:rPr>
            </w:pPr>
            <w:r w:rsidRPr="007C51D6">
              <w:rPr>
                <w:color w:val="000000"/>
                <w:sz w:val="20"/>
                <w:szCs w:val="20"/>
              </w:rPr>
              <w:t>Кукморский</w:t>
            </w:r>
          </w:p>
        </w:tc>
        <w:tc>
          <w:tcPr>
            <w:tcW w:w="1183" w:type="dxa"/>
            <w:shd w:val="clear" w:color="auto" w:fill="auto"/>
            <w:hideMark/>
          </w:tcPr>
          <w:p w:rsidR="00D1588E" w:rsidRPr="007C51D6" w:rsidRDefault="00D1588E" w:rsidP="00D1588E">
            <w:pPr>
              <w:autoSpaceDE/>
              <w:autoSpaceDN/>
              <w:adjustRightInd/>
              <w:jc w:val="center"/>
              <w:rPr>
                <w:color w:val="000000"/>
                <w:sz w:val="20"/>
                <w:szCs w:val="20"/>
              </w:rPr>
            </w:pPr>
            <w:r w:rsidRPr="007C51D6">
              <w:rPr>
                <w:color w:val="000000"/>
                <w:sz w:val="20"/>
                <w:szCs w:val="20"/>
              </w:rPr>
              <w:t>47,82</w:t>
            </w:r>
          </w:p>
        </w:tc>
        <w:tc>
          <w:tcPr>
            <w:tcW w:w="1184" w:type="dxa"/>
            <w:shd w:val="clear" w:color="auto" w:fill="auto"/>
            <w:hideMark/>
          </w:tcPr>
          <w:p w:rsidR="00D1588E" w:rsidRPr="007C51D6" w:rsidRDefault="00D1588E" w:rsidP="00D1588E">
            <w:pPr>
              <w:autoSpaceDE/>
              <w:autoSpaceDN/>
              <w:adjustRightInd/>
              <w:jc w:val="center"/>
              <w:rPr>
                <w:color w:val="000000"/>
                <w:sz w:val="20"/>
                <w:szCs w:val="20"/>
              </w:rPr>
            </w:pPr>
            <w:r w:rsidRPr="007C51D6">
              <w:rPr>
                <w:color w:val="000000"/>
                <w:sz w:val="20"/>
                <w:szCs w:val="20"/>
              </w:rPr>
              <w:t>48,57</w:t>
            </w:r>
          </w:p>
        </w:tc>
        <w:tc>
          <w:tcPr>
            <w:tcW w:w="1183" w:type="dxa"/>
            <w:shd w:val="clear" w:color="auto" w:fill="auto"/>
            <w:hideMark/>
          </w:tcPr>
          <w:p w:rsidR="00D1588E" w:rsidRPr="007C51D6" w:rsidRDefault="00D1588E" w:rsidP="00D1588E">
            <w:pPr>
              <w:autoSpaceDE/>
              <w:autoSpaceDN/>
              <w:adjustRightInd/>
              <w:jc w:val="center"/>
              <w:rPr>
                <w:color w:val="000000"/>
                <w:sz w:val="20"/>
                <w:szCs w:val="20"/>
              </w:rPr>
            </w:pPr>
            <w:r w:rsidRPr="007C51D6">
              <w:rPr>
                <w:color w:val="000000"/>
                <w:sz w:val="20"/>
                <w:szCs w:val="20"/>
              </w:rPr>
              <w:t>50,71</w:t>
            </w:r>
          </w:p>
        </w:tc>
        <w:tc>
          <w:tcPr>
            <w:tcW w:w="1343" w:type="dxa"/>
            <w:shd w:val="clear" w:color="auto" w:fill="auto"/>
            <w:hideMark/>
          </w:tcPr>
          <w:p w:rsidR="00D1588E" w:rsidRPr="007C51D6" w:rsidRDefault="00D1588E" w:rsidP="00D1588E">
            <w:pPr>
              <w:autoSpaceDE/>
              <w:autoSpaceDN/>
              <w:adjustRightInd/>
              <w:jc w:val="center"/>
              <w:rPr>
                <w:color w:val="000000"/>
                <w:sz w:val="20"/>
                <w:szCs w:val="20"/>
              </w:rPr>
            </w:pPr>
            <w:r w:rsidRPr="007C51D6">
              <w:rPr>
                <w:color w:val="000000"/>
                <w:sz w:val="20"/>
                <w:szCs w:val="20"/>
              </w:rPr>
              <w:t>52,22</w:t>
            </w:r>
          </w:p>
        </w:tc>
        <w:tc>
          <w:tcPr>
            <w:tcW w:w="1183" w:type="dxa"/>
            <w:shd w:val="clear" w:color="auto" w:fill="auto"/>
            <w:hideMark/>
          </w:tcPr>
          <w:p w:rsidR="00D1588E" w:rsidRPr="007C51D6" w:rsidRDefault="00D1588E" w:rsidP="00D1588E">
            <w:pPr>
              <w:autoSpaceDE/>
              <w:autoSpaceDN/>
              <w:adjustRightInd/>
              <w:jc w:val="center"/>
              <w:rPr>
                <w:color w:val="000000"/>
                <w:sz w:val="20"/>
                <w:szCs w:val="20"/>
              </w:rPr>
            </w:pPr>
            <w:r w:rsidRPr="007C51D6">
              <w:rPr>
                <w:color w:val="000000"/>
                <w:sz w:val="20"/>
                <w:szCs w:val="20"/>
              </w:rPr>
              <w:t>54,81</w:t>
            </w:r>
          </w:p>
        </w:tc>
        <w:tc>
          <w:tcPr>
            <w:tcW w:w="1183" w:type="dxa"/>
          </w:tcPr>
          <w:p w:rsidR="00D1588E" w:rsidRPr="007C51D6" w:rsidRDefault="00D1588E" w:rsidP="00D1588E">
            <w:pPr>
              <w:autoSpaceDE/>
              <w:autoSpaceDN/>
              <w:adjustRightInd/>
              <w:jc w:val="center"/>
              <w:rPr>
                <w:color w:val="000000"/>
                <w:sz w:val="20"/>
                <w:szCs w:val="20"/>
              </w:rPr>
            </w:pPr>
            <w:r w:rsidRPr="007C51D6">
              <w:rPr>
                <w:color w:val="000000"/>
                <w:sz w:val="20"/>
                <w:szCs w:val="20"/>
              </w:rPr>
              <w:t>54,59</w:t>
            </w:r>
          </w:p>
        </w:tc>
        <w:tc>
          <w:tcPr>
            <w:tcW w:w="1184" w:type="dxa"/>
          </w:tcPr>
          <w:p w:rsidR="00D1588E" w:rsidRPr="007C51D6" w:rsidRDefault="00D1588E" w:rsidP="00D1588E">
            <w:pPr>
              <w:jc w:val="center"/>
              <w:rPr>
                <w:color w:val="000000"/>
                <w:sz w:val="20"/>
                <w:szCs w:val="20"/>
              </w:rPr>
            </w:pPr>
            <w:r w:rsidRPr="007C51D6">
              <w:rPr>
                <w:color w:val="000000"/>
                <w:sz w:val="20"/>
                <w:szCs w:val="20"/>
              </w:rPr>
              <w:t>55,63</w:t>
            </w:r>
          </w:p>
        </w:tc>
        <w:tc>
          <w:tcPr>
            <w:tcW w:w="1183" w:type="dxa"/>
          </w:tcPr>
          <w:p w:rsidR="00D1588E" w:rsidRPr="007C51D6" w:rsidRDefault="00D1588E" w:rsidP="00D1588E">
            <w:pPr>
              <w:jc w:val="center"/>
              <w:rPr>
                <w:color w:val="000000"/>
                <w:sz w:val="20"/>
                <w:szCs w:val="20"/>
              </w:rPr>
            </w:pPr>
            <w:r w:rsidRPr="007C51D6">
              <w:rPr>
                <w:color w:val="000000"/>
                <w:sz w:val="20"/>
                <w:szCs w:val="20"/>
              </w:rPr>
              <w:t>57,4</w:t>
            </w:r>
          </w:p>
        </w:tc>
        <w:tc>
          <w:tcPr>
            <w:tcW w:w="1247" w:type="dxa"/>
            <w:vAlign w:val="center"/>
          </w:tcPr>
          <w:p w:rsidR="00D1588E" w:rsidRPr="007C51D6" w:rsidRDefault="00D1588E" w:rsidP="00D1588E">
            <w:pPr>
              <w:jc w:val="center"/>
              <w:rPr>
                <w:color w:val="000000"/>
                <w:sz w:val="20"/>
                <w:szCs w:val="20"/>
              </w:rPr>
            </w:pPr>
            <w:r w:rsidRPr="007C51D6">
              <w:rPr>
                <w:color w:val="000000"/>
                <w:sz w:val="20"/>
                <w:szCs w:val="20"/>
              </w:rPr>
              <w:t>59.04</w:t>
            </w:r>
          </w:p>
        </w:tc>
        <w:tc>
          <w:tcPr>
            <w:tcW w:w="1247" w:type="dxa"/>
            <w:vAlign w:val="center"/>
          </w:tcPr>
          <w:p w:rsidR="00D1588E" w:rsidRPr="007C51D6" w:rsidRDefault="00D1588E" w:rsidP="00D1588E">
            <w:pPr>
              <w:jc w:val="center"/>
              <w:rPr>
                <w:color w:val="000000"/>
                <w:sz w:val="20"/>
                <w:szCs w:val="20"/>
              </w:rPr>
            </w:pPr>
            <w:r w:rsidRPr="007C51D6">
              <w:rPr>
                <w:color w:val="000000"/>
                <w:sz w:val="20"/>
                <w:szCs w:val="20"/>
              </w:rPr>
              <w:t>53.49</w:t>
            </w:r>
          </w:p>
        </w:tc>
      </w:tr>
      <w:tr w:rsidR="00D1588E" w:rsidRPr="007C51D6" w:rsidTr="00742D16">
        <w:trPr>
          <w:trHeight w:val="20"/>
        </w:trPr>
        <w:tc>
          <w:tcPr>
            <w:tcW w:w="2991" w:type="dxa"/>
            <w:shd w:val="clear" w:color="auto" w:fill="auto"/>
            <w:hideMark/>
          </w:tcPr>
          <w:p w:rsidR="00D1588E" w:rsidRPr="007C51D6" w:rsidRDefault="00D1588E" w:rsidP="00D1588E">
            <w:pPr>
              <w:autoSpaceDE/>
              <w:autoSpaceDN/>
              <w:adjustRightInd/>
              <w:rPr>
                <w:color w:val="000000"/>
                <w:sz w:val="20"/>
                <w:szCs w:val="20"/>
              </w:rPr>
            </w:pPr>
            <w:r w:rsidRPr="007C51D6">
              <w:rPr>
                <w:color w:val="000000"/>
                <w:sz w:val="20"/>
                <w:szCs w:val="20"/>
              </w:rPr>
              <w:t>Лаишевский</w:t>
            </w:r>
          </w:p>
        </w:tc>
        <w:tc>
          <w:tcPr>
            <w:tcW w:w="1183" w:type="dxa"/>
            <w:shd w:val="clear" w:color="auto" w:fill="auto"/>
            <w:hideMark/>
          </w:tcPr>
          <w:p w:rsidR="00D1588E" w:rsidRPr="007C51D6" w:rsidRDefault="00D1588E" w:rsidP="00D1588E">
            <w:pPr>
              <w:autoSpaceDE/>
              <w:autoSpaceDN/>
              <w:adjustRightInd/>
              <w:jc w:val="center"/>
              <w:rPr>
                <w:color w:val="000000"/>
                <w:sz w:val="20"/>
                <w:szCs w:val="20"/>
              </w:rPr>
            </w:pPr>
            <w:r w:rsidRPr="007C51D6">
              <w:rPr>
                <w:color w:val="000000"/>
                <w:sz w:val="20"/>
                <w:szCs w:val="20"/>
              </w:rPr>
              <w:t>51,94</w:t>
            </w:r>
          </w:p>
        </w:tc>
        <w:tc>
          <w:tcPr>
            <w:tcW w:w="1184" w:type="dxa"/>
            <w:shd w:val="clear" w:color="auto" w:fill="auto"/>
            <w:hideMark/>
          </w:tcPr>
          <w:p w:rsidR="00D1588E" w:rsidRPr="007C51D6" w:rsidRDefault="00D1588E" w:rsidP="00D1588E">
            <w:pPr>
              <w:autoSpaceDE/>
              <w:autoSpaceDN/>
              <w:adjustRightInd/>
              <w:jc w:val="center"/>
              <w:rPr>
                <w:color w:val="000000"/>
                <w:sz w:val="20"/>
                <w:szCs w:val="20"/>
              </w:rPr>
            </w:pPr>
            <w:r w:rsidRPr="007C51D6">
              <w:rPr>
                <w:color w:val="000000"/>
                <w:sz w:val="20"/>
                <w:szCs w:val="20"/>
              </w:rPr>
              <w:t>53,30</w:t>
            </w:r>
          </w:p>
        </w:tc>
        <w:tc>
          <w:tcPr>
            <w:tcW w:w="1183" w:type="dxa"/>
            <w:shd w:val="clear" w:color="auto" w:fill="auto"/>
            <w:hideMark/>
          </w:tcPr>
          <w:p w:rsidR="00D1588E" w:rsidRPr="007C51D6" w:rsidRDefault="00D1588E" w:rsidP="00D1588E">
            <w:pPr>
              <w:autoSpaceDE/>
              <w:autoSpaceDN/>
              <w:adjustRightInd/>
              <w:jc w:val="center"/>
              <w:rPr>
                <w:color w:val="000000"/>
                <w:sz w:val="20"/>
                <w:szCs w:val="20"/>
              </w:rPr>
            </w:pPr>
            <w:r w:rsidRPr="007C51D6">
              <w:rPr>
                <w:color w:val="000000"/>
                <w:sz w:val="20"/>
                <w:szCs w:val="20"/>
              </w:rPr>
              <w:t>54,23</w:t>
            </w:r>
          </w:p>
        </w:tc>
        <w:tc>
          <w:tcPr>
            <w:tcW w:w="1343" w:type="dxa"/>
            <w:shd w:val="clear" w:color="auto" w:fill="auto"/>
            <w:hideMark/>
          </w:tcPr>
          <w:p w:rsidR="00D1588E" w:rsidRPr="007C51D6" w:rsidRDefault="00D1588E" w:rsidP="00D1588E">
            <w:pPr>
              <w:autoSpaceDE/>
              <w:autoSpaceDN/>
              <w:adjustRightInd/>
              <w:jc w:val="center"/>
              <w:rPr>
                <w:color w:val="000000"/>
                <w:sz w:val="20"/>
                <w:szCs w:val="20"/>
              </w:rPr>
            </w:pPr>
            <w:r w:rsidRPr="007C51D6">
              <w:rPr>
                <w:color w:val="000000"/>
                <w:sz w:val="20"/>
                <w:szCs w:val="20"/>
              </w:rPr>
              <w:t>56,07</w:t>
            </w:r>
          </w:p>
        </w:tc>
        <w:tc>
          <w:tcPr>
            <w:tcW w:w="1183" w:type="dxa"/>
            <w:shd w:val="clear" w:color="auto" w:fill="auto"/>
            <w:hideMark/>
          </w:tcPr>
          <w:p w:rsidR="00D1588E" w:rsidRPr="007C51D6" w:rsidRDefault="00D1588E" w:rsidP="00D1588E">
            <w:pPr>
              <w:autoSpaceDE/>
              <w:autoSpaceDN/>
              <w:adjustRightInd/>
              <w:jc w:val="center"/>
              <w:rPr>
                <w:color w:val="000000"/>
                <w:sz w:val="20"/>
                <w:szCs w:val="20"/>
              </w:rPr>
            </w:pPr>
            <w:r w:rsidRPr="007C51D6">
              <w:rPr>
                <w:color w:val="000000"/>
                <w:sz w:val="20"/>
                <w:szCs w:val="20"/>
              </w:rPr>
              <w:t>56,99</w:t>
            </w:r>
          </w:p>
        </w:tc>
        <w:tc>
          <w:tcPr>
            <w:tcW w:w="1183" w:type="dxa"/>
          </w:tcPr>
          <w:p w:rsidR="00D1588E" w:rsidRPr="007C51D6" w:rsidRDefault="00D1588E" w:rsidP="00D1588E">
            <w:pPr>
              <w:autoSpaceDE/>
              <w:autoSpaceDN/>
              <w:adjustRightInd/>
              <w:jc w:val="center"/>
              <w:rPr>
                <w:color w:val="000000"/>
                <w:sz w:val="20"/>
                <w:szCs w:val="20"/>
              </w:rPr>
            </w:pPr>
            <w:r w:rsidRPr="007C51D6">
              <w:rPr>
                <w:color w:val="000000"/>
                <w:sz w:val="20"/>
                <w:szCs w:val="20"/>
              </w:rPr>
              <w:t>55,19</w:t>
            </w:r>
          </w:p>
        </w:tc>
        <w:tc>
          <w:tcPr>
            <w:tcW w:w="1184" w:type="dxa"/>
          </w:tcPr>
          <w:p w:rsidR="00D1588E" w:rsidRPr="007C51D6" w:rsidRDefault="00D1588E" w:rsidP="00D1588E">
            <w:pPr>
              <w:jc w:val="center"/>
              <w:rPr>
                <w:color w:val="000000"/>
                <w:sz w:val="20"/>
                <w:szCs w:val="20"/>
              </w:rPr>
            </w:pPr>
            <w:r w:rsidRPr="007C51D6">
              <w:rPr>
                <w:color w:val="000000"/>
                <w:sz w:val="20"/>
                <w:szCs w:val="20"/>
              </w:rPr>
              <w:t>55,67</w:t>
            </w:r>
          </w:p>
        </w:tc>
        <w:tc>
          <w:tcPr>
            <w:tcW w:w="1183" w:type="dxa"/>
          </w:tcPr>
          <w:p w:rsidR="00D1588E" w:rsidRPr="007C51D6" w:rsidRDefault="00D1588E" w:rsidP="00D1588E">
            <w:pPr>
              <w:jc w:val="center"/>
              <w:rPr>
                <w:color w:val="000000"/>
                <w:sz w:val="20"/>
                <w:szCs w:val="20"/>
              </w:rPr>
            </w:pPr>
            <w:r w:rsidRPr="007C51D6">
              <w:rPr>
                <w:color w:val="000000"/>
                <w:sz w:val="20"/>
                <w:szCs w:val="20"/>
              </w:rPr>
              <w:t>54,2</w:t>
            </w:r>
          </w:p>
        </w:tc>
        <w:tc>
          <w:tcPr>
            <w:tcW w:w="1247" w:type="dxa"/>
            <w:vAlign w:val="center"/>
          </w:tcPr>
          <w:p w:rsidR="00D1588E" w:rsidRPr="007C51D6" w:rsidRDefault="00D1588E" w:rsidP="00D1588E">
            <w:pPr>
              <w:jc w:val="center"/>
              <w:rPr>
                <w:color w:val="000000"/>
                <w:sz w:val="20"/>
                <w:szCs w:val="20"/>
              </w:rPr>
            </w:pPr>
            <w:r w:rsidRPr="007C51D6">
              <w:rPr>
                <w:color w:val="000000"/>
                <w:sz w:val="20"/>
                <w:szCs w:val="20"/>
              </w:rPr>
              <w:t>55.73</w:t>
            </w:r>
          </w:p>
        </w:tc>
        <w:tc>
          <w:tcPr>
            <w:tcW w:w="1247" w:type="dxa"/>
            <w:vAlign w:val="center"/>
          </w:tcPr>
          <w:p w:rsidR="00D1588E" w:rsidRPr="007C51D6" w:rsidRDefault="00D1588E" w:rsidP="00D1588E">
            <w:pPr>
              <w:jc w:val="center"/>
              <w:rPr>
                <w:color w:val="000000"/>
                <w:sz w:val="20"/>
                <w:szCs w:val="20"/>
              </w:rPr>
            </w:pPr>
            <w:r w:rsidRPr="007C51D6">
              <w:rPr>
                <w:color w:val="000000"/>
                <w:sz w:val="20"/>
                <w:szCs w:val="20"/>
              </w:rPr>
              <w:t>52.74</w:t>
            </w:r>
          </w:p>
        </w:tc>
      </w:tr>
      <w:tr w:rsidR="00D1588E" w:rsidRPr="007C51D6" w:rsidTr="00742D16">
        <w:trPr>
          <w:trHeight w:val="20"/>
        </w:trPr>
        <w:tc>
          <w:tcPr>
            <w:tcW w:w="2991" w:type="dxa"/>
            <w:shd w:val="clear" w:color="auto" w:fill="auto"/>
            <w:hideMark/>
          </w:tcPr>
          <w:p w:rsidR="00D1588E" w:rsidRPr="007C51D6" w:rsidRDefault="00D1588E" w:rsidP="00D1588E">
            <w:pPr>
              <w:autoSpaceDE/>
              <w:autoSpaceDN/>
              <w:adjustRightInd/>
              <w:rPr>
                <w:color w:val="000000"/>
                <w:sz w:val="20"/>
                <w:szCs w:val="20"/>
              </w:rPr>
            </w:pPr>
            <w:r w:rsidRPr="007C51D6">
              <w:rPr>
                <w:color w:val="000000"/>
                <w:sz w:val="20"/>
                <w:szCs w:val="20"/>
              </w:rPr>
              <w:t>Лениногорский</w:t>
            </w:r>
          </w:p>
        </w:tc>
        <w:tc>
          <w:tcPr>
            <w:tcW w:w="1183" w:type="dxa"/>
            <w:shd w:val="clear" w:color="auto" w:fill="auto"/>
            <w:hideMark/>
          </w:tcPr>
          <w:p w:rsidR="00D1588E" w:rsidRPr="007C51D6" w:rsidRDefault="00D1588E" w:rsidP="00D1588E">
            <w:pPr>
              <w:autoSpaceDE/>
              <w:autoSpaceDN/>
              <w:adjustRightInd/>
              <w:jc w:val="center"/>
              <w:rPr>
                <w:color w:val="000000"/>
                <w:sz w:val="20"/>
                <w:szCs w:val="20"/>
              </w:rPr>
            </w:pPr>
            <w:r w:rsidRPr="007C51D6">
              <w:rPr>
                <w:color w:val="000000"/>
                <w:sz w:val="20"/>
                <w:szCs w:val="20"/>
              </w:rPr>
              <w:t>52,53</w:t>
            </w:r>
          </w:p>
        </w:tc>
        <w:tc>
          <w:tcPr>
            <w:tcW w:w="1184" w:type="dxa"/>
            <w:shd w:val="clear" w:color="auto" w:fill="auto"/>
            <w:hideMark/>
          </w:tcPr>
          <w:p w:rsidR="00D1588E" w:rsidRPr="007C51D6" w:rsidRDefault="00D1588E" w:rsidP="00D1588E">
            <w:pPr>
              <w:autoSpaceDE/>
              <w:autoSpaceDN/>
              <w:adjustRightInd/>
              <w:jc w:val="center"/>
              <w:rPr>
                <w:color w:val="000000"/>
                <w:sz w:val="20"/>
                <w:szCs w:val="20"/>
              </w:rPr>
            </w:pPr>
            <w:r w:rsidRPr="007C51D6">
              <w:rPr>
                <w:color w:val="000000"/>
                <w:sz w:val="20"/>
                <w:szCs w:val="20"/>
              </w:rPr>
              <w:t>54,03</w:t>
            </w:r>
          </w:p>
        </w:tc>
        <w:tc>
          <w:tcPr>
            <w:tcW w:w="1183" w:type="dxa"/>
            <w:shd w:val="clear" w:color="auto" w:fill="auto"/>
            <w:hideMark/>
          </w:tcPr>
          <w:p w:rsidR="00D1588E" w:rsidRPr="007C51D6" w:rsidRDefault="00D1588E" w:rsidP="00D1588E">
            <w:pPr>
              <w:autoSpaceDE/>
              <w:autoSpaceDN/>
              <w:adjustRightInd/>
              <w:jc w:val="center"/>
              <w:rPr>
                <w:color w:val="000000"/>
                <w:sz w:val="20"/>
                <w:szCs w:val="20"/>
              </w:rPr>
            </w:pPr>
            <w:r w:rsidRPr="007C51D6">
              <w:rPr>
                <w:color w:val="000000"/>
                <w:sz w:val="20"/>
                <w:szCs w:val="20"/>
              </w:rPr>
              <w:t>54,86</w:t>
            </w:r>
          </w:p>
        </w:tc>
        <w:tc>
          <w:tcPr>
            <w:tcW w:w="1343" w:type="dxa"/>
            <w:shd w:val="clear" w:color="auto" w:fill="auto"/>
            <w:hideMark/>
          </w:tcPr>
          <w:p w:rsidR="00D1588E" w:rsidRPr="007C51D6" w:rsidRDefault="00D1588E" w:rsidP="00D1588E">
            <w:pPr>
              <w:autoSpaceDE/>
              <w:autoSpaceDN/>
              <w:adjustRightInd/>
              <w:jc w:val="center"/>
              <w:rPr>
                <w:color w:val="000000"/>
                <w:sz w:val="20"/>
                <w:szCs w:val="20"/>
              </w:rPr>
            </w:pPr>
            <w:r w:rsidRPr="007C51D6">
              <w:rPr>
                <w:color w:val="000000"/>
                <w:sz w:val="20"/>
                <w:szCs w:val="20"/>
              </w:rPr>
              <w:t>57,10</w:t>
            </w:r>
          </w:p>
        </w:tc>
        <w:tc>
          <w:tcPr>
            <w:tcW w:w="1183" w:type="dxa"/>
            <w:shd w:val="clear" w:color="auto" w:fill="auto"/>
            <w:hideMark/>
          </w:tcPr>
          <w:p w:rsidR="00D1588E" w:rsidRPr="007C51D6" w:rsidRDefault="00D1588E" w:rsidP="00D1588E">
            <w:pPr>
              <w:autoSpaceDE/>
              <w:autoSpaceDN/>
              <w:adjustRightInd/>
              <w:jc w:val="center"/>
              <w:rPr>
                <w:color w:val="000000"/>
                <w:sz w:val="20"/>
                <w:szCs w:val="20"/>
              </w:rPr>
            </w:pPr>
            <w:r w:rsidRPr="007C51D6">
              <w:rPr>
                <w:color w:val="000000"/>
                <w:sz w:val="20"/>
                <w:szCs w:val="20"/>
              </w:rPr>
              <w:t>61,50</w:t>
            </w:r>
          </w:p>
        </w:tc>
        <w:tc>
          <w:tcPr>
            <w:tcW w:w="1183" w:type="dxa"/>
          </w:tcPr>
          <w:p w:rsidR="00D1588E" w:rsidRPr="007C51D6" w:rsidRDefault="00D1588E" w:rsidP="00D1588E">
            <w:pPr>
              <w:autoSpaceDE/>
              <w:autoSpaceDN/>
              <w:adjustRightInd/>
              <w:jc w:val="center"/>
              <w:rPr>
                <w:color w:val="000000"/>
                <w:sz w:val="20"/>
                <w:szCs w:val="20"/>
              </w:rPr>
            </w:pPr>
            <w:r w:rsidRPr="007C51D6">
              <w:rPr>
                <w:color w:val="000000"/>
                <w:sz w:val="20"/>
                <w:szCs w:val="20"/>
              </w:rPr>
              <w:t>62,27</w:t>
            </w:r>
          </w:p>
        </w:tc>
        <w:tc>
          <w:tcPr>
            <w:tcW w:w="1184" w:type="dxa"/>
          </w:tcPr>
          <w:p w:rsidR="00D1588E" w:rsidRPr="007C51D6" w:rsidRDefault="00D1588E" w:rsidP="00D1588E">
            <w:pPr>
              <w:jc w:val="center"/>
              <w:rPr>
                <w:color w:val="000000"/>
                <w:sz w:val="20"/>
                <w:szCs w:val="20"/>
              </w:rPr>
            </w:pPr>
            <w:r w:rsidRPr="007C51D6">
              <w:rPr>
                <w:color w:val="000000"/>
                <w:sz w:val="20"/>
                <w:szCs w:val="20"/>
              </w:rPr>
              <w:t>62,88</w:t>
            </w:r>
          </w:p>
        </w:tc>
        <w:tc>
          <w:tcPr>
            <w:tcW w:w="1183" w:type="dxa"/>
          </w:tcPr>
          <w:p w:rsidR="00D1588E" w:rsidRPr="007C51D6" w:rsidRDefault="00D1588E" w:rsidP="00D1588E">
            <w:pPr>
              <w:jc w:val="center"/>
              <w:rPr>
                <w:color w:val="000000"/>
                <w:sz w:val="20"/>
                <w:szCs w:val="20"/>
              </w:rPr>
            </w:pPr>
            <w:r w:rsidRPr="007C51D6">
              <w:rPr>
                <w:color w:val="000000"/>
                <w:sz w:val="20"/>
                <w:szCs w:val="20"/>
              </w:rPr>
              <w:t>62,9</w:t>
            </w:r>
          </w:p>
        </w:tc>
        <w:tc>
          <w:tcPr>
            <w:tcW w:w="1247" w:type="dxa"/>
            <w:vAlign w:val="center"/>
          </w:tcPr>
          <w:p w:rsidR="00D1588E" w:rsidRPr="007C51D6" w:rsidRDefault="00D1588E" w:rsidP="00D1588E">
            <w:pPr>
              <w:jc w:val="center"/>
              <w:rPr>
                <w:color w:val="000000"/>
                <w:sz w:val="20"/>
                <w:szCs w:val="20"/>
              </w:rPr>
            </w:pPr>
            <w:r w:rsidRPr="007C51D6">
              <w:rPr>
                <w:color w:val="000000"/>
                <w:sz w:val="20"/>
                <w:szCs w:val="20"/>
              </w:rPr>
              <w:t>63.68</w:t>
            </w:r>
          </w:p>
        </w:tc>
        <w:tc>
          <w:tcPr>
            <w:tcW w:w="1247" w:type="dxa"/>
            <w:vAlign w:val="center"/>
          </w:tcPr>
          <w:p w:rsidR="00D1588E" w:rsidRPr="007C51D6" w:rsidRDefault="00D1588E" w:rsidP="00D1588E">
            <w:pPr>
              <w:jc w:val="center"/>
              <w:rPr>
                <w:color w:val="000000"/>
                <w:sz w:val="20"/>
                <w:szCs w:val="20"/>
              </w:rPr>
            </w:pPr>
            <w:r w:rsidRPr="007C51D6">
              <w:rPr>
                <w:color w:val="000000"/>
                <w:sz w:val="20"/>
                <w:szCs w:val="20"/>
              </w:rPr>
              <w:t>60.31</w:t>
            </w:r>
          </w:p>
        </w:tc>
      </w:tr>
      <w:tr w:rsidR="00D1588E" w:rsidRPr="007C51D6" w:rsidTr="00742D16">
        <w:trPr>
          <w:trHeight w:val="20"/>
        </w:trPr>
        <w:tc>
          <w:tcPr>
            <w:tcW w:w="2991" w:type="dxa"/>
            <w:shd w:val="clear" w:color="auto" w:fill="auto"/>
          </w:tcPr>
          <w:p w:rsidR="00D1588E" w:rsidRPr="007C51D6" w:rsidRDefault="00D1588E" w:rsidP="00D1588E">
            <w:pPr>
              <w:autoSpaceDE/>
              <w:autoSpaceDN/>
              <w:adjustRightInd/>
              <w:rPr>
                <w:color w:val="000000"/>
                <w:sz w:val="20"/>
                <w:szCs w:val="20"/>
              </w:rPr>
            </w:pPr>
            <w:r w:rsidRPr="007C51D6">
              <w:rPr>
                <w:color w:val="000000"/>
                <w:sz w:val="20"/>
                <w:szCs w:val="20"/>
              </w:rPr>
              <w:t>Мамадышский</w:t>
            </w:r>
          </w:p>
        </w:tc>
        <w:tc>
          <w:tcPr>
            <w:tcW w:w="1183" w:type="dxa"/>
            <w:shd w:val="clear" w:color="auto" w:fill="auto"/>
          </w:tcPr>
          <w:p w:rsidR="00D1588E" w:rsidRPr="007C51D6" w:rsidRDefault="00D1588E" w:rsidP="00D1588E">
            <w:pPr>
              <w:autoSpaceDE/>
              <w:autoSpaceDN/>
              <w:adjustRightInd/>
              <w:jc w:val="center"/>
              <w:rPr>
                <w:color w:val="000000"/>
                <w:sz w:val="20"/>
                <w:szCs w:val="20"/>
              </w:rPr>
            </w:pPr>
            <w:r w:rsidRPr="007C51D6">
              <w:rPr>
                <w:color w:val="000000"/>
                <w:sz w:val="20"/>
                <w:szCs w:val="20"/>
              </w:rPr>
              <w:t>49,81</w:t>
            </w:r>
          </w:p>
        </w:tc>
        <w:tc>
          <w:tcPr>
            <w:tcW w:w="1184" w:type="dxa"/>
            <w:shd w:val="clear" w:color="auto" w:fill="auto"/>
          </w:tcPr>
          <w:p w:rsidR="00D1588E" w:rsidRPr="007C51D6" w:rsidRDefault="00D1588E" w:rsidP="00D1588E">
            <w:pPr>
              <w:autoSpaceDE/>
              <w:autoSpaceDN/>
              <w:adjustRightInd/>
              <w:jc w:val="center"/>
              <w:rPr>
                <w:color w:val="000000"/>
                <w:sz w:val="20"/>
                <w:szCs w:val="20"/>
              </w:rPr>
            </w:pPr>
            <w:r w:rsidRPr="007C51D6">
              <w:rPr>
                <w:color w:val="000000"/>
                <w:sz w:val="20"/>
                <w:szCs w:val="20"/>
              </w:rPr>
              <w:t>51,06</w:t>
            </w:r>
          </w:p>
        </w:tc>
        <w:tc>
          <w:tcPr>
            <w:tcW w:w="1183" w:type="dxa"/>
            <w:shd w:val="clear" w:color="auto" w:fill="auto"/>
          </w:tcPr>
          <w:p w:rsidR="00D1588E" w:rsidRPr="007C51D6" w:rsidRDefault="00D1588E" w:rsidP="00D1588E">
            <w:pPr>
              <w:autoSpaceDE/>
              <w:autoSpaceDN/>
              <w:adjustRightInd/>
              <w:jc w:val="center"/>
              <w:rPr>
                <w:color w:val="000000"/>
                <w:sz w:val="20"/>
                <w:szCs w:val="20"/>
              </w:rPr>
            </w:pPr>
            <w:r w:rsidRPr="007C51D6">
              <w:rPr>
                <w:color w:val="000000"/>
                <w:sz w:val="20"/>
                <w:szCs w:val="20"/>
              </w:rPr>
              <w:t>53,86</w:t>
            </w:r>
          </w:p>
        </w:tc>
        <w:tc>
          <w:tcPr>
            <w:tcW w:w="1343" w:type="dxa"/>
            <w:shd w:val="clear" w:color="auto" w:fill="auto"/>
          </w:tcPr>
          <w:p w:rsidR="00D1588E" w:rsidRPr="007C51D6" w:rsidRDefault="00D1588E" w:rsidP="00D1588E">
            <w:pPr>
              <w:autoSpaceDE/>
              <w:autoSpaceDN/>
              <w:adjustRightInd/>
              <w:jc w:val="center"/>
              <w:rPr>
                <w:color w:val="000000"/>
                <w:sz w:val="20"/>
                <w:szCs w:val="20"/>
              </w:rPr>
            </w:pPr>
            <w:r w:rsidRPr="007C51D6">
              <w:rPr>
                <w:color w:val="000000"/>
                <w:sz w:val="20"/>
                <w:szCs w:val="20"/>
              </w:rPr>
              <w:t>56,03</w:t>
            </w:r>
          </w:p>
        </w:tc>
        <w:tc>
          <w:tcPr>
            <w:tcW w:w="1183" w:type="dxa"/>
            <w:shd w:val="clear" w:color="auto" w:fill="auto"/>
          </w:tcPr>
          <w:p w:rsidR="00D1588E" w:rsidRPr="007C51D6" w:rsidRDefault="00D1588E" w:rsidP="00D1588E">
            <w:pPr>
              <w:autoSpaceDE/>
              <w:autoSpaceDN/>
              <w:adjustRightInd/>
              <w:jc w:val="center"/>
              <w:rPr>
                <w:color w:val="000000"/>
                <w:sz w:val="20"/>
                <w:szCs w:val="20"/>
              </w:rPr>
            </w:pPr>
            <w:r w:rsidRPr="007C51D6">
              <w:rPr>
                <w:color w:val="000000"/>
                <w:sz w:val="20"/>
                <w:szCs w:val="20"/>
              </w:rPr>
              <w:t>56,46</w:t>
            </w:r>
          </w:p>
        </w:tc>
        <w:tc>
          <w:tcPr>
            <w:tcW w:w="1183" w:type="dxa"/>
          </w:tcPr>
          <w:p w:rsidR="00D1588E" w:rsidRPr="007C51D6" w:rsidRDefault="00D1588E" w:rsidP="00D1588E">
            <w:pPr>
              <w:autoSpaceDE/>
              <w:autoSpaceDN/>
              <w:adjustRightInd/>
              <w:jc w:val="center"/>
              <w:rPr>
                <w:color w:val="000000"/>
                <w:sz w:val="20"/>
                <w:szCs w:val="20"/>
              </w:rPr>
            </w:pPr>
            <w:r w:rsidRPr="007C51D6">
              <w:rPr>
                <w:color w:val="000000"/>
                <w:sz w:val="20"/>
                <w:szCs w:val="20"/>
              </w:rPr>
              <w:t>54,33</w:t>
            </w:r>
          </w:p>
        </w:tc>
        <w:tc>
          <w:tcPr>
            <w:tcW w:w="1184" w:type="dxa"/>
          </w:tcPr>
          <w:p w:rsidR="00D1588E" w:rsidRPr="007C51D6" w:rsidRDefault="00D1588E" w:rsidP="00D1588E">
            <w:pPr>
              <w:jc w:val="center"/>
              <w:rPr>
                <w:color w:val="000000"/>
                <w:sz w:val="20"/>
                <w:szCs w:val="20"/>
              </w:rPr>
            </w:pPr>
            <w:r w:rsidRPr="007C51D6">
              <w:rPr>
                <w:color w:val="000000"/>
                <w:sz w:val="20"/>
                <w:szCs w:val="20"/>
              </w:rPr>
              <w:t>53,73</w:t>
            </w:r>
          </w:p>
        </w:tc>
        <w:tc>
          <w:tcPr>
            <w:tcW w:w="1183" w:type="dxa"/>
          </w:tcPr>
          <w:p w:rsidR="00D1588E" w:rsidRPr="007C51D6" w:rsidRDefault="00D1588E" w:rsidP="00D1588E">
            <w:pPr>
              <w:jc w:val="center"/>
              <w:rPr>
                <w:color w:val="000000"/>
                <w:sz w:val="20"/>
                <w:szCs w:val="20"/>
              </w:rPr>
            </w:pPr>
            <w:r w:rsidRPr="007C51D6">
              <w:rPr>
                <w:color w:val="000000"/>
                <w:sz w:val="20"/>
                <w:szCs w:val="20"/>
              </w:rPr>
              <w:t>53,9</w:t>
            </w:r>
          </w:p>
        </w:tc>
        <w:tc>
          <w:tcPr>
            <w:tcW w:w="1247" w:type="dxa"/>
            <w:vAlign w:val="center"/>
          </w:tcPr>
          <w:p w:rsidR="00D1588E" w:rsidRPr="007C51D6" w:rsidRDefault="00D1588E" w:rsidP="00D1588E">
            <w:pPr>
              <w:jc w:val="center"/>
              <w:rPr>
                <w:color w:val="000000"/>
                <w:sz w:val="20"/>
                <w:szCs w:val="20"/>
              </w:rPr>
            </w:pPr>
            <w:r w:rsidRPr="007C51D6">
              <w:rPr>
                <w:color w:val="000000"/>
                <w:sz w:val="20"/>
                <w:szCs w:val="20"/>
              </w:rPr>
              <w:t>53.92</w:t>
            </w:r>
          </w:p>
        </w:tc>
        <w:tc>
          <w:tcPr>
            <w:tcW w:w="1247" w:type="dxa"/>
            <w:vAlign w:val="center"/>
          </w:tcPr>
          <w:p w:rsidR="00D1588E" w:rsidRPr="007C51D6" w:rsidRDefault="00D1588E" w:rsidP="00D1588E">
            <w:pPr>
              <w:jc w:val="center"/>
              <w:rPr>
                <w:color w:val="000000"/>
                <w:sz w:val="20"/>
                <w:szCs w:val="20"/>
              </w:rPr>
            </w:pPr>
            <w:r w:rsidRPr="007C51D6">
              <w:rPr>
                <w:color w:val="000000"/>
                <w:sz w:val="20"/>
                <w:szCs w:val="20"/>
              </w:rPr>
              <w:t>51.27</w:t>
            </w:r>
          </w:p>
        </w:tc>
      </w:tr>
      <w:tr w:rsidR="00D1588E" w:rsidRPr="007C51D6" w:rsidTr="00742D16">
        <w:trPr>
          <w:trHeight w:val="20"/>
        </w:trPr>
        <w:tc>
          <w:tcPr>
            <w:tcW w:w="2991" w:type="dxa"/>
            <w:shd w:val="clear" w:color="auto" w:fill="auto"/>
            <w:hideMark/>
          </w:tcPr>
          <w:p w:rsidR="00D1588E" w:rsidRPr="007C51D6" w:rsidRDefault="00D1588E" w:rsidP="00D1588E">
            <w:pPr>
              <w:autoSpaceDE/>
              <w:autoSpaceDN/>
              <w:adjustRightInd/>
              <w:rPr>
                <w:color w:val="000000"/>
                <w:sz w:val="20"/>
                <w:szCs w:val="20"/>
              </w:rPr>
            </w:pPr>
            <w:r w:rsidRPr="007C51D6">
              <w:rPr>
                <w:color w:val="000000"/>
                <w:sz w:val="20"/>
                <w:szCs w:val="20"/>
              </w:rPr>
              <w:t>Менделеевский</w:t>
            </w:r>
          </w:p>
        </w:tc>
        <w:tc>
          <w:tcPr>
            <w:tcW w:w="1183" w:type="dxa"/>
            <w:shd w:val="clear" w:color="auto" w:fill="auto"/>
            <w:hideMark/>
          </w:tcPr>
          <w:p w:rsidR="00D1588E" w:rsidRPr="007C51D6" w:rsidRDefault="00D1588E" w:rsidP="00D1588E">
            <w:pPr>
              <w:autoSpaceDE/>
              <w:autoSpaceDN/>
              <w:adjustRightInd/>
              <w:jc w:val="center"/>
              <w:rPr>
                <w:color w:val="000000"/>
                <w:sz w:val="20"/>
                <w:szCs w:val="20"/>
              </w:rPr>
            </w:pPr>
            <w:r w:rsidRPr="007C51D6">
              <w:rPr>
                <w:color w:val="000000"/>
                <w:sz w:val="20"/>
                <w:szCs w:val="20"/>
              </w:rPr>
              <w:t>54,13</w:t>
            </w:r>
          </w:p>
        </w:tc>
        <w:tc>
          <w:tcPr>
            <w:tcW w:w="1184" w:type="dxa"/>
            <w:shd w:val="clear" w:color="auto" w:fill="auto"/>
            <w:hideMark/>
          </w:tcPr>
          <w:p w:rsidR="00D1588E" w:rsidRPr="007C51D6" w:rsidRDefault="00D1588E" w:rsidP="00D1588E">
            <w:pPr>
              <w:autoSpaceDE/>
              <w:autoSpaceDN/>
              <w:adjustRightInd/>
              <w:jc w:val="center"/>
              <w:rPr>
                <w:color w:val="000000"/>
                <w:sz w:val="20"/>
                <w:szCs w:val="20"/>
              </w:rPr>
            </w:pPr>
            <w:r w:rsidRPr="007C51D6">
              <w:rPr>
                <w:color w:val="000000"/>
                <w:sz w:val="20"/>
                <w:szCs w:val="20"/>
              </w:rPr>
              <w:t>56,20</w:t>
            </w:r>
          </w:p>
        </w:tc>
        <w:tc>
          <w:tcPr>
            <w:tcW w:w="1183" w:type="dxa"/>
            <w:shd w:val="clear" w:color="auto" w:fill="auto"/>
            <w:hideMark/>
          </w:tcPr>
          <w:p w:rsidR="00D1588E" w:rsidRPr="007C51D6" w:rsidRDefault="00D1588E" w:rsidP="00D1588E">
            <w:pPr>
              <w:autoSpaceDE/>
              <w:autoSpaceDN/>
              <w:adjustRightInd/>
              <w:jc w:val="center"/>
              <w:rPr>
                <w:color w:val="000000"/>
                <w:sz w:val="20"/>
                <w:szCs w:val="20"/>
              </w:rPr>
            </w:pPr>
            <w:r w:rsidRPr="007C51D6">
              <w:rPr>
                <w:color w:val="000000"/>
                <w:sz w:val="20"/>
                <w:szCs w:val="20"/>
              </w:rPr>
              <w:t>57,34</w:t>
            </w:r>
          </w:p>
        </w:tc>
        <w:tc>
          <w:tcPr>
            <w:tcW w:w="1343" w:type="dxa"/>
            <w:shd w:val="clear" w:color="auto" w:fill="auto"/>
            <w:hideMark/>
          </w:tcPr>
          <w:p w:rsidR="00D1588E" w:rsidRPr="007C51D6" w:rsidRDefault="00D1588E" w:rsidP="00D1588E">
            <w:pPr>
              <w:autoSpaceDE/>
              <w:autoSpaceDN/>
              <w:adjustRightInd/>
              <w:jc w:val="center"/>
              <w:rPr>
                <w:color w:val="000000"/>
                <w:sz w:val="20"/>
                <w:szCs w:val="20"/>
              </w:rPr>
            </w:pPr>
            <w:r w:rsidRPr="007C51D6">
              <w:rPr>
                <w:color w:val="000000"/>
                <w:sz w:val="20"/>
                <w:szCs w:val="20"/>
              </w:rPr>
              <w:t>57,18</w:t>
            </w:r>
          </w:p>
        </w:tc>
        <w:tc>
          <w:tcPr>
            <w:tcW w:w="1183" w:type="dxa"/>
            <w:shd w:val="clear" w:color="auto" w:fill="auto"/>
            <w:hideMark/>
          </w:tcPr>
          <w:p w:rsidR="00D1588E" w:rsidRPr="007C51D6" w:rsidRDefault="00D1588E" w:rsidP="00D1588E">
            <w:pPr>
              <w:autoSpaceDE/>
              <w:autoSpaceDN/>
              <w:adjustRightInd/>
              <w:jc w:val="center"/>
              <w:rPr>
                <w:color w:val="000000"/>
                <w:sz w:val="20"/>
                <w:szCs w:val="20"/>
              </w:rPr>
            </w:pPr>
            <w:r w:rsidRPr="007C51D6">
              <w:rPr>
                <w:color w:val="000000"/>
                <w:sz w:val="20"/>
                <w:szCs w:val="20"/>
              </w:rPr>
              <w:t>60,00</w:t>
            </w:r>
          </w:p>
        </w:tc>
        <w:tc>
          <w:tcPr>
            <w:tcW w:w="1183" w:type="dxa"/>
          </w:tcPr>
          <w:p w:rsidR="00D1588E" w:rsidRPr="007C51D6" w:rsidRDefault="00D1588E" w:rsidP="00D1588E">
            <w:pPr>
              <w:autoSpaceDE/>
              <w:autoSpaceDN/>
              <w:adjustRightInd/>
              <w:jc w:val="center"/>
              <w:rPr>
                <w:color w:val="000000"/>
                <w:sz w:val="20"/>
                <w:szCs w:val="20"/>
              </w:rPr>
            </w:pPr>
            <w:r w:rsidRPr="007C51D6">
              <w:rPr>
                <w:color w:val="000000"/>
                <w:sz w:val="20"/>
                <w:szCs w:val="20"/>
              </w:rPr>
              <w:t>59,82</w:t>
            </w:r>
          </w:p>
        </w:tc>
        <w:tc>
          <w:tcPr>
            <w:tcW w:w="1184" w:type="dxa"/>
          </w:tcPr>
          <w:p w:rsidR="00D1588E" w:rsidRPr="007C51D6" w:rsidRDefault="00D1588E" w:rsidP="00D1588E">
            <w:pPr>
              <w:jc w:val="center"/>
              <w:rPr>
                <w:color w:val="000000"/>
                <w:sz w:val="20"/>
                <w:szCs w:val="20"/>
              </w:rPr>
            </w:pPr>
            <w:r w:rsidRPr="007C51D6">
              <w:rPr>
                <w:color w:val="000000"/>
                <w:sz w:val="20"/>
                <w:szCs w:val="20"/>
              </w:rPr>
              <w:t>58,82</w:t>
            </w:r>
          </w:p>
        </w:tc>
        <w:tc>
          <w:tcPr>
            <w:tcW w:w="1183" w:type="dxa"/>
          </w:tcPr>
          <w:p w:rsidR="00D1588E" w:rsidRPr="007C51D6" w:rsidRDefault="00D1588E" w:rsidP="00D1588E">
            <w:pPr>
              <w:jc w:val="center"/>
              <w:rPr>
                <w:color w:val="000000"/>
                <w:sz w:val="20"/>
                <w:szCs w:val="20"/>
              </w:rPr>
            </w:pPr>
            <w:r w:rsidRPr="007C51D6">
              <w:rPr>
                <w:color w:val="000000"/>
                <w:sz w:val="20"/>
                <w:szCs w:val="20"/>
              </w:rPr>
              <w:t>59,1</w:t>
            </w:r>
          </w:p>
        </w:tc>
        <w:tc>
          <w:tcPr>
            <w:tcW w:w="1247" w:type="dxa"/>
            <w:vAlign w:val="center"/>
          </w:tcPr>
          <w:p w:rsidR="00D1588E" w:rsidRPr="007C51D6" w:rsidRDefault="00D1588E" w:rsidP="00D1588E">
            <w:pPr>
              <w:jc w:val="center"/>
              <w:rPr>
                <w:color w:val="000000"/>
                <w:sz w:val="20"/>
                <w:szCs w:val="20"/>
              </w:rPr>
            </w:pPr>
            <w:r w:rsidRPr="007C51D6">
              <w:rPr>
                <w:color w:val="000000"/>
                <w:sz w:val="20"/>
                <w:szCs w:val="20"/>
              </w:rPr>
              <w:t>61.87</w:t>
            </w:r>
          </w:p>
        </w:tc>
        <w:tc>
          <w:tcPr>
            <w:tcW w:w="1247" w:type="dxa"/>
            <w:vAlign w:val="center"/>
          </w:tcPr>
          <w:p w:rsidR="00D1588E" w:rsidRPr="007C51D6" w:rsidRDefault="00D1588E" w:rsidP="00D1588E">
            <w:pPr>
              <w:jc w:val="center"/>
              <w:rPr>
                <w:color w:val="000000"/>
                <w:sz w:val="20"/>
                <w:szCs w:val="20"/>
              </w:rPr>
            </w:pPr>
            <w:r w:rsidRPr="007C51D6">
              <w:rPr>
                <w:color w:val="000000"/>
                <w:sz w:val="20"/>
                <w:szCs w:val="20"/>
              </w:rPr>
              <w:t>57.77</w:t>
            </w:r>
          </w:p>
        </w:tc>
      </w:tr>
      <w:tr w:rsidR="00D1588E" w:rsidRPr="007C51D6" w:rsidTr="00742D16">
        <w:trPr>
          <w:trHeight w:val="20"/>
        </w:trPr>
        <w:tc>
          <w:tcPr>
            <w:tcW w:w="2991" w:type="dxa"/>
            <w:shd w:val="clear" w:color="auto" w:fill="auto"/>
            <w:hideMark/>
          </w:tcPr>
          <w:p w:rsidR="00D1588E" w:rsidRPr="007C51D6" w:rsidRDefault="00D1588E" w:rsidP="00D1588E">
            <w:pPr>
              <w:autoSpaceDE/>
              <w:autoSpaceDN/>
              <w:adjustRightInd/>
              <w:rPr>
                <w:color w:val="000000"/>
                <w:sz w:val="20"/>
                <w:szCs w:val="20"/>
              </w:rPr>
            </w:pPr>
            <w:r w:rsidRPr="007C51D6">
              <w:rPr>
                <w:color w:val="000000"/>
                <w:sz w:val="20"/>
                <w:szCs w:val="20"/>
              </w:rPr>
              <w:t>Мензелинский</w:t>
            </w:r>
          </w:p>
        </w:tc>
        <w:tc>
          <w:tcPr>
            <w:tcW w:w="1183" w:type="dxa"/>
            <w:shd w:val="clear" w:color="auto" w:fill="auto"/>
            <w:hideMark/>
          </w:tcPr>
          <w:p w:rsidR="00D1588E" w:rsidRPr="007C51D6" w:rsidRDefault="00D1588E" w:rsidP="00D1588E">
            <w:pPr>
              <w:autoSpaceDE/>
              <w:autoSpaceDN/>
              <w:adjustRightInd/>
              <w:jc w:val="center"/>
              <w:rPr>
                <w:color w:val="000000"/>
                <w:sz w:val="20"/>
                <w:szCs w:val="20"/>
              </w:rPr>
            </w:pPr>
            <w:r w:rsidRPr="007C51D6">
              <w:rPr>
                <w:color w:val="000000"/>
                <w:sz w:val="20"/>
                <w:szCs w:val="20"/>
              </w:rPr>
              <w:t>56,16</w:t>
            </w:r>
          </w:p>
        </w:tc>
        <w:tc>
          <w:tcPr>
            <w:tcW w:w="1184" w:type="dxa"/>
            <w:shd w:val="clear" w:color="auto" w:fill="auto"/>
            <w:hideMark/>
          </w:tcPr>
          <w:p w:rsidR="00D1588E" w:rsidRPr="007C51D6" w:rsidRDefault="00D1588E" w:rsidP="00D1588E">
            <w:pPr>
              <w:autoSpaceDE/>
              <w:autoSpaceDN/>
              <w:adjustRightInd/>
              <w:jc w:val="center"/>
              <w:rPr>
                <w:color w:val="000000"/>
                <w:sz w:val="20"/>
                <w:szCs w:val="20"/>
              </w:rPr>
            </w:pPr>
            <w:r w:rsidRPr="007C51D6">
              <w:rPr>
                <w:color w:val="000000"/>
                <w:sz w:val="20"/>
                <w:szCs w:val="20"/>
              </w:rPr>
              <w:t>56,82</w:t>
            </w:r>
          </w:p>
        </w:tc>
        <w:tc>
          <w:tcPr>
            <w:tcW w:w="1183" w:type="dxa"/>
            <w:shd w:val="clear" w:color="auto" w:fill="auto"/>
            <w:hideMark/>
          </w:tcPr>
          <w:p w:rsidR="00D1588E" w:rsidRPr="007C51D6" w:rsidRDefault="00D1588E" w:rsidP="00D1588E">
            <w:pPr>
              <w:autoSpaceDE/>
              <w:autoSpaceDN/>
              <w:adjustRightInd/>
              <w:jc w:val="center"/>
              <w:rPr>
                <w:color w:val="000000"/>
                <w:sz w:val="20"/>
                <w:szCs w:val="20"/>
              </w:rPr>
            </w:pPr>
            <w:r w:rsidRPr="007C51D6">
              <w:rPr>
                <w:color w:val="000000"/>
                <w:sz w:val="20"/>
                <w:szCs w:val="20"/>
              </w:rPr>
              <w:t>54,70</w:t>
            </w:r>
          </w:p>
        </w:tc>
        <w:tc>
          <w:tcPr>
            <w:tcW w:w="1343" w:type="dxa"/>
            <w:shd w:val="clear" w:color="auto" w:fill="auto"/>
            <w:hideMark/>
          </w:tcPr>
          <w:p w:rsidR="00D1588E" w:rsidRPr="007C51D6" w:rsidRDefault="00D1588E" w:rsidP="00D1588E">
            <w:pPr>
              <w:autoSpaceDE/>
              <w:autoSpaceDN/>
              <w:adjustRightInd/>
              <w:jc w:val="center"/>
              <w:rPr>
                <w:color w:val="000000"/>
                <w:sz w:val="20"/>
                <w:szCs w:val="20"/>
              </w:rPr>
            </w:pPr>
            <w:r w:rsidRPr="007C51D6">
              <w:rPr>
                <w:color w:val="000000"/>
                <w:sz w:val="20"/>
                <w:szCs w:val="20"/>
              </w:rPr>
              <w:t>57,14</w:t>
            </w:r>
          </w:p>
        </w:tc>
        <w:tc>
          <w:tcPr>
            <w:tcW w:w="1183" w:type="dxa"/>
            <w:shd w:val="clear" w:color="auto" w:fill="auto"/>
            <w:hideMark/>
          </w:tcPr>
          <w:p w:rsidR="00D1588E" w:rsidRPr="007C51D6" w:rsidRDefault="00D1588E" w:rsidP="00D1588E">
            <w:pPr>
              <w:autoSpaceDE/>
              <w:autoSpaceDN/>
              <w:adjustRightInd/>
              <w:jc w:val="center"/>
              <w:rPr>
                <w:color w:val="000000"/>
                <w:sz w:val="20"/>
                <w:szCs w:val="20"/>
              </w:rPr>
            </w:pPr>
            <w:r w:rsidRPr="007C51D6">
              <w:rPr>
                <w:color w:val="000000"/>
                <w:sz w:val="20"/>
                <w:szCs w:val="20"/>
              </w:rPr>
              <w:t>57,12</w:t>
            </w:r>
          </w:p>
        </w:tc>
        <w:tc>
          <w:tcPr>
            <w:tcW w:w="1183" w:type="dxa"/>
          </w:tcPr>
          <w:p w:rsidR="00D1588E" w:rsidRPr="007C51D6" w:rsidRDefault="00D1588E" w:rsidP="00D1588E">
            <w:pPr>
              <w:autoSpaceDE/>
              <w:autoSpaceDN/>
              <w:adjustRightInd/>
              <w:jc w:val="center"/>
              <w:rPr>
                <w:color w:val="000000"/>
                <w:sz w:val="20"/>
                <w:szCs w:val="20"/>
              </w:rPr>
            </w:pPr>
            <w:r w:rsidRPr="007C51D6">
              <w:rPr>
                <w:color w:val="000000"/>
                <w:sz w:val="20"/>
                <w:szCs w:val="20"/>
              </w:rPr>
              <w:t>57,65</w:t>
            </w:r>
          </w:p>
        </w:tc>
        <w:tc>
          <w:tcPr>
            <w:tcW w:w="1184" w:type="dxa"/>
          </w:tcPr>
          <w:p w:rsidR="00D1588E" w:rsidRPr="007C51D6" w:rsidRDefault="00D1588E" w:rsidP="00D1588E">
            <w:pPr>
              <w:jc w:val="center"/>
              <w:rPr>
                <w:color w:val="000000"/>
                <w:sz w:val="20"/>
                <w:szCs w:val="20"/>
              </w:rPr>
            </w:pPr>
            <w:r w:rsidRPr="007C51D6">
              <w:rPr>
                <w:color w:val="000000"/>
                <w:sz w:val="20"/>
                <w:szCs w:val="20"/>
              </w:rPr>
              <w:t>55,98</w:t>
            </w:r>
          </w:p>
        </w:tc>
        <w:tc>
          <w:tcPr>
            <w:tcW w:w="1183" w:type="dxa"/>
          </w:tcPr>
          <w:p w:rsidR="00D1588E" w:rsidRPr="007C51D6" w:rsidRDefault="00D1588E" w:rsidP="00D1588E">
            <w:pPr>
              <w:autoSpaceDE/>
              <w:autoSpaceDN/>
              <w:adjustRightInd/>
              <w:jc w:val="center"/>
              <w:rPr>
                <w:color w:val="000000"/>
                <w:sz w:val="20"/>
                <w:szCs w:val="20"/>
              </w:rPr>
            </w:pPr>
            <w:r w:rsidRPr="007C51D6">
              <w:rPr>
                <w:color w:val="000000"/>
                <w:sz w:val="20"/>
                <w:szCs w:val="20"/>
              </w:rPr>
              <w:t>57,7</w:t>
            </w:r>
          </w:p>
        </w:tc>
        <w:tc>
          <w:tcPr>
            <w:tcW w:w="1247" w:type="dxa"/>
            <w:vAlign w:val="center"/>
          </w:tcPr>
          <w:p w:rsidR="00D1588E" w:rsidRPr="007C51D6" w:rsidRDefault="00D1588E" w:rsidP="00D1588E">
            <w:pPr>
              <w:jc w:val="center"/>
              <w:rPr>
                <w:color w:val="000000"/>
                <w:sz w:val="20"/>
                <w:szCs w:val="20"/>
              </w:rPr>
            </w:pPr>
            <w:r w:rsidRPr="007C51D6">
              <w:rPr>
                <w:color w:val="000000"/>
                <w:sz w:val="20"/>
                <w:szCs w:val="20"/>
              </w:rPr>
              <w:t>57.35</w:t>
            </w:r>
          </w:p>
        </w:tc>
        <w:tc>
          <w:tcPr>
            <w:tcW w:w="1247" w:type="dxa"/>
            <w:vAlign w:val="center"/>
          </w:tcPr>
          <w:p w:rsidR="00D1588E" w:rsidRPr="007C51D6" w:rsidRDefault="00D1588E" w:rsidP="00D1588E">
            <w:pPr>
              <w:jc w:val="center"/>
              <w:rPr>
                <w:color w:val="000000"/>
                <w:sz w:val="20"/>
                <w:szCs w:val="20"/>
              </w:rPr>
            </w:pPr>
            <w:r w:rsidRPr="007C51D6">
              <w:rPr>
                <w:color w:val="000000"/>
                <w:sz w:val="20"/>
                <w:szCs w:val="20"/>
              </w:rPr>
              <w:t>54.81</w:t>
            </w:r>
          </w:p>
        </w:tc>
      </w:tr>
      <w:tr w:rsidR="00D1588E" w:rsidRPr="007C51D6" w:rsidTr="00742D16">
        <w:trPr>
          <w:trHeight w:val="20"/>
        </w:trPr>
        <w:tc>
          <w:tcPr>
            <w:tcW w:w="2991" w:type="dxa"/>
            <w:shd w:val="clear" w:color="auto" w:fill="auto"/>
            <w:hideMark/>
          </w:tcPr>
          <w:p w:rsidR="00D1588E" w:rsidRPr="007C51D6" w:rsidRDefault="00D1588E" w:rsidP="00D1588E">
            <w:pPr>
              <w:autoSpaceDE/>
              <w:autoSpaceDN/>
              <w:adjustRightInd/>
              <w:rPr>
                <w:color w:val="000000"/>
                <w:sz w:val="20"/>
                <w:szCs w:val="20"/>
              </w:rPr>
            </w:pPr>
            <w:r w:rsidRPr="007C51D6">
              <w:rPr>
                <w:color w:val="000000"/>
                <w:sz w:val="20"/>
                <w:szCs w:val="20"/>
              </w:rPr>
              <w:t>Муслюмовский</w:t>
            </w:r>
          </w:p>
        </w:tc>
        <w:tc>
          <w:tcPr>
            <w:tcW w:w="1183" w:type="dxa"/>
            <w:shd w:val="clear" w:color="auto" w:fill="auto"/>
            <w:hideMark/>
          </w:tcPr>
          <w:p w:rsidR="00D1588E" w:rsidRPr="007C51D6" w:rsidRDefault="00D1588E" w:rsidP="00D1588E">
            <w:pPr>
              <w:autoSpaceDE/>
              <w:autoSpaceDN/>
              <w:adjustRightInd/>
              <w:jc w:val="center"/>
              <w:rPr>
                <w:color w:val="000000"/>
                <w:sz w:val="20"/>
                <w:szCs w:val="20"/>
              </w:rPr>
            </w:pPr>
            <w:r w:rsidRPr="007C51D6">
              <w:rPr>
                <w:color w:val="000000"/>
                <w:sz w:val="20"/>
                <w:szCs w:val="20"/>
              </w:rPr>
              <w:t>51,85</w:t>
            </w:r>
          </w:p>
        </w:tc>
        <w:tc>
          <w:tcPr>
            <w:tcW w:w="1184" w:type="dxa"/>
            <w:shd w:val="clear" w:color="auto" w:fill="auto"/>
            <w:hideMark/>
          </w:tcPr>
          <w:p w:rsidR="00D1588E" w:rsidRPr="007C51D6" w:rsidRDefault="00D1588E" w:rsidP="00D1588E">
            <w:pPr>
              <w:autoSpaceDE/>
              <w:autoSpaceDN/>
              <w:adjustRightInd/>
              <w:jc w:val="center"/>
              <w:rPr>
                <w:color w:val="000000"/>
                <w:sz w:val="20"/>
                <w:szCs w:val="20"/>
              </w:rPr>
            </w:pPr>
            <w:r w:rsidRPr="007C51D6">
              <w:rPr>
                <w:color w:val="000000"/>
                <w:sz w:val="20"/>
                <w:szCs w:val="20"/>
              </w:rPr>
              <w:t>53,64</w:t>
            </w:r>
          </w:p>
        </w:tc>
        <w:tc>
          <w:tcPr>
            <w:tcW w:w="1183" w:type="dxa"/>
            <w:shd w:val="clear" w:color="auto" w:fill="auto"/>
            <w:hideMark/>
          </w:tcPr>
          <w:p w:rsidR="00D1588E" w:rsidRPr="007C51D6" w:rsidRDefault="00D1588E" w:rsidP="00D1588E">
            <w:pPr>
              <w:autoSpaceDE/>
              <w:autoSpaceDN/>
              <w:adjustRightInd/>
              <w:jc w:val="center"/>
              <w:rPr>
                <w:color w:val="000000"/>
                <w:sz w:val="20"/>
                <w:szCs w:val="20"/>
              </w:rPr>
            </w:pPr>
            <w:r w:rsidRPr="007C51D6">
              <w:rPr>
                <w:color w:val="000000"/>
                <w:sz w:val="20"/>
                <w:szCs w:val="20"/>
              </w:rPr>
              <w:t>55,24</w:t>
            </w:r>
          </w:p>
        </w:tc>
        <w:tc>
          <w:tcPr>
            <w:tcW w:w="1343" w:type="dxa"/>
            <w:shd w:val="clear" w:color="auto" w:fill="auto"/>
            <w:hideMark/>
          </w:tcPr>
          <w:p w:rsidR="00D1588E" w:rsidRPr="007C51D6" w:rsidRDefault="00D1588E" w:rsidP="00D1588E">
            <w:pPr>
              <w:autoSpaceDE/>
              <w:autoSpaceDN/>
              <w:adjustRightInd/>
              <w:jc w:val="center"/>
              <w:rPr>
                <w:color w:val="000000"/>
                <w:sz w:val="20"/>
                <w:szCs w:val="20"/>
              </w:rPr>
            </w:pPr>
            <w:r w:rsidRPr="007C51D6">
              <w:rPr>
                <w:color w:val="000000"/>
                <w:sz w:val="20"/>
                <w:szCs w:val="20"/>
              </w:rPr>
              <w:t>57,25</w:t>
            </w:r>
          </w:p>
        </w:tc>
        <w:tc>
          <w:tcPr>
            <w:tcW w:w="1183" w:type="dxa"/>
            <w:shd w:val="clear" w:color="auto" w:fill="auto"/>
            <w:hideMark/>
          </w:tcPr>
          <w:p w:rsidR="00D1588E" w:rsidRPr="007C51D6" w:rsidRDefault="00D1588E" w:rsidP="00D1588E">
            <w:pPr>
              <w:autoSpaceDE/>
              <w:autoSpaceDN/>
              <w:adjustRightInd/>
              <w:jc w:val="center"/>
              <w:rPr>
                <w:color w:val="000000"/>
                <w:sz w:val="20"/>
                <w:szCs w:val="20"/>
              </w:rPr>
            </w:pPr>
            <w:r w:rsidRPr="007C51D6">
              <w:rPr>
                <w:color w:val="000000"/>
                <w:sz w:val="20"/>
                <w:szCs w:val="20"/>
              </w:rPr>
              <w:t>56,91</w:t>
            </w:r>
          </w:p>
        </w:tc>
        <w:tc>
          <w:tcPr>
            <w:tcW w:w="1183" w:type="dxa"/>
          </w:tcPr>
          <w:p w:rsidR="00D1588E" w:rsidRPr="007C51D6" w:rsidRDefault="00D1588E" w:rsidP="00D1588E">
            <w:pPr>
              <w:autoSpaceDE/>
              <w:autoSpaceDN/>
              <w:adjustRightInd/>
              <w:jc w:val="center"/>
              <w:rPr>
                <w:color w:val="000000"/>
                <w:sz w:val="20"/>
                <w:szCs w:val="20"/>
              </w:rPr>
            </w:pPr>
            <w:r w:rsidRPr="007C51D6">
              <w:rPr>
                <w:color w:val="000000"/>
                <w:sz w:val="20"/>
                <w:szCs w:val="20"/>
              </w:rPr>
              <w:t>55,19</w:t>
            </w:r>
          </w:p>
        </w:tc>
        <w:tc>
          <w:tcPr>
            <w:tcW w:w="1184" w:type="dxa"/>
          </w:tcPr>
          <w:p w:rsidR="00D1588E" w:rsidRPr="007C51D6" w:rsidRDefault="00D1588E" w:rsidP="00D1588E">
            <w:pPr>
              <w:jc w:val="center"/>
              <w:rPr>
                <w:color w:val="000000"/>
                <w:sz w:val="20"/>
                <w:szCs w:val="20"/>
              </w:rPr>
            </w:pPr>
            <w:r w:rsidRPr="007C51D6">
              <w:rPr>
                <w:color w:val="000000"/>
                <w:sz w:val="20"/>
                <w:szCs w:val="20"/>
              </w:rPr>
              <w:t>56,47</w:t>
            </w:r>
          </w:p>
        </w:tc>
        <w:tc>
          <w:tcPr>
            <w:tcW w:w="1183" w:type="dxa"/>
          </w:tcPr>
          <w:p w:rsidR="00D1588E" w:rsidRPr="007C51D6" w:rsidRDefault="00D1588E" w:rsidP="00D1588E">
            <w:pPr>
              <w:jc w:val="center"/>
              <w:rPr>
                <w:color w:val="000000"/>
                <w:sz w:val="20"/>
                <w:szCs w:val="20"/>
              </w:rPr>
            </w:pPr>
            <w:r w:rsidRPr="007C51D6">
              <w:rPr>
                <w:color w:val="000000"/>
                <w:sz w:val="20"/>
                <w:szCs w:val="20"/>
              </w:rPr>
              <w:t>60,9</w:t>
            </w:r>
          </w:p>
        </w:tc>
        <w:tc>
          <w:tcPr>
            <w:tcW w:w="1247" w:type="dxa"/>
            <w:vAlign w:val="center"/>
          </w:tcPr>
          <w:p w:rsidR="00D1588E" w:rsidRPr="007C51D6" w:rsidRDefault="00D1588E" w:rsidP="00D1588E">
            <w:pPr>
              <w:autoSpaceDE/>
              <w:autoSpaceDN/>
              <w:adjustRightInd/>
              <w:jc w:val="center"/>
              <w:rPr>
                <w:color w:val="000000"/>
                <w:sz w:val="20"/>
                <w:szCs w:val="20"/>
              </w:rPr>
            </w:pPr>
            <w:r w:rsidRPr="007C51D6">
              <w:rPr>
                <w:color w:val="000000"/>
                <w:sz w:val="20"/>
                <w:szCs w:val="20"/>
              </w:rPr>
              <w:t>58.95</w:t>
            </w:r>
          </w:p>
        </w:tc>
        <w:tc>
          <w:tcPr>
            <w:tcW w:w="1247" w:type="dxa"/>
            <w:vAlign w:val="center"/>
          </w:tcPr>
          <w:p w:rsidR="00D1588E" w:rsidRPr="007C51D6" w:rsidRDefault="00D1588E" w:rsidP="00D1588E">
            <w:pPr>
              <w:jc w:val="center"/>
              <w:rPr>
                <w:color w:val="000000"/>
                <w:sz w:val="20"/>
                <w:szCs w:val="20"/>
              </w:rPr>
            </w:pPr>
            <w:r w:rsidRPr="007C51D6">
              <w:rPr>
                <w:color w:val="000000"/>
                <w:sz w:val="20"/>
                <w:szCs w:val="20"/>
              </w:rPr>
              <w:t>54.09</w:t>
            </w:r>
          </w:p>
        </w:tc>
      </w:tr>
      <w:tr w:rsidR="00D1588E" w:rsidRPr="007C51D6" w:rsidTr="00742D16">
        <w:trPr>
          <w:trHeight w:val="20"/>
        </w:trPr>
        <w:tc>
          <w:tcPr>
            <w:tcW w:w="2991" w:type="dxa"/>
            <w:shd w:val="clear" w:color="auto" w:fill="auto"/>
            <w:hideMark/>
          </w:tcPr>
          <w:p w:rsidR="00D1588E" w:rsidRPr="007C51D6" w:rsidRDefault="00D1588E" w:rsidP="00D1588E">
            <w:pPr>
              <w:autoSpaceDE/>
              <w:autoSpaceDN/>
              <w:adjustRightInd/>
              <w:rPr>
                <w:color w:val="000000"/>
                <w:sz w:val="20"/>
                <w:szCs w:val="20"/>
              </w:rPr>
            </w:pPr>
            <w:r w:rsidRPr="007C51D6">
              <w:rPr>
                <w:color w:val="000000"/>
                <w:sz w:val="20"/>
                <w:szCs w:val="20"/>
              </w:rPr>
              <w:t>Нижнекамский</w:t>
            </w:r>
          </w:p>
        </w:tc>
        <w:tc>
          <w:tcPr>
            <w:tcW w:w="1183" w:type="dxa"/>
            <w:shd w:val="clear" w:color="auto" w:fill="auto"/>
            <w:hideMark/>
          </w:tcPr>
          <w:p w:rsidR="00D1588E" w:rsidRPr="007C51D6" w:rsidRDefault="00D1588E" w:rsidP="00D1588E">
            <w:pPr>
              <w:autoSpaceDE/>
              <w:autoSpaceDN/>
              <w:adjustRightInd/>
              <w:jc w:val="center"/>
              <w:rPr>
                <w:color w:val="000000"/>
                <w:sz w:val="20"/>
                <w:szCs w:val="20"/>
              </w:rPr>
            </w:pPr>
            <w:r w:rsidRPr="007C51D6">
              <w:rPr>
                <w:color w:val="000000"/>
                <w:sz w:val="20"/>
                <w:szCs w:val="20"/>
              </w:rPr>
              <w:t>55,97</w:t>
            </w:r>
          </w:p>
        </w:tc>
        <w:tc>
          <w:tcPr>
            <w:tcW w:w="1184" w:type="dxa"/>
            <w:shd w:val="clear" w:color="auto" w:fill="auto"/>
            <w:hideMark/>
          </w:tcPr>
          <w:p w:rsidR="00D1588E" w:rsidRPr="007C51D6" w:rsidRDefault="00D1588E" w:rsidP="00D1588E">
            <w:pPr>
              <w:autoSpaceDE/>
              <w:autoSpaceDN/>
              <w:adjustRightInd/>
              <w:jc w:val="center"/>
              <w:rPr>
                <w:color w:val="000000"/>
                <w:sz w:val="20"/>
                <w:szCs w:val="20"/>
              </w:rPr>
            </w:pPr>
            <w:r w:rsidRPr="007C51D6">
              <w:rPr>
                <w:color w:val="000000"/>
                <w:sz w:val="20"/>
                <w:szCs w:val="20"/>
              </w:rPr>
              <w:t>56,93</w:t>
            </w:r>
          </w:p>
        </w:tc>
        <w:tc>
          <w:tcPr>
            <w:tcW w:w="1183" w:type="dxa"/>
            <w:shd w:val="clear" w:color="auto" w:fill="auto"/>
            <w:hideMark/>
          </w:tcPr>
          <w:p w:rsidR="00D1588E" w:rsidRPr="007C51D6" w:rsidRDefault="00D1588E" w:rsidP="00D1588E">
            <w:pPr>
              <w:autoSpaceDE/>
              <w:autoSpaceDN/>
              <w:adjustRightInd/>
              <w:jc w:val="center"/>
              <w:rPr>
                <w:color w:val="000000"/>
                <w:sz w:val="20"/>
                <w:szCs w:val="20"/>
              </w:rPr>
            </w:pPr>
            <w:r w:rsidRPr="007C51D6">
              <w:rPr>
                <w:color w:val="000000"/>
                <w:sz w:val="20"/>
                <w:szCs w:val="20"/>
              </w:rPr>
              <w:t>57,89</w:t>
            </w:r>
          </w:p>
        </w:tc>
        <w:tc>
          <w:tcPr>
            <w:tcW w:w="1343" w:type="dxa"/>
            <w:shd w:val="clear" w:color="auto" w:fill="auto"/>
            <w:hideMark/>
          </w:tcPr>
          <w:p w:rsidR="00D1588E" w:rsidRPr="007C51D6" w:rsidRDefault="00D1588E" w:rsidP="00D1588E">
            <w:pPr>
              <w:autoSpaceDE/>
              <w:autoSpaceDN/>
              <w:adjustRightInd/>
              <w:jc w:val="center"/>
              <w:rPr>
                <w:color w:val="000000"/>
                <w:sz w:val="20"/>
                <w:szCs w:val="20"/>
              </w:rPr>
            </w:pPr>
            <w:r w:rsidRPr="007C51D6">
              <w:rPr>
                <w:color w:val="000000"/>
                <w:sz w:val="20"/>
                <w:szCs w:val="20"/>
              </w:rPr>
              <w:t>58,30</w:t>
            </w:r>
          </w:p>
        </w:tc>
        <w:tc>
          <w:tcPr>
            <w:tcW w:w="1183" w:type="dxa"/>
            <w:shd w:val="clear" w:color="auto" w:fill="auto"/>
            <w:hideMark/>
          </w:tcPr>
          <w:p w:rsidR="00D1588E" w:rsidRPr="007C51D6" w:rsidRDefault="00D1588E" w:rsidP="00D1588E">
            <w:pPr>
              <w:autoSpaceDE/>
              <w:autoSpaceDN/>
              <w:adjustRightInd/>
              <w:jc w:val="center"/>
              <w:rPr>
                <w:color w:val="000000"/>
                <w:sz w:val="20"/>
                <w:szCs w:val="20"/>
              </w:rPr>
            </w:pPr>
            <w:r w:rsidRPr="007C51D6">
              <w:rPr>
                <w:color w:val="000000"/>
                <w:sz w:val="20"/>
                <w:szCs w:val="20"/>
              </w:rPr>
              <w:t>58,69</w:t>
            </w:r>
          </w:p>
        </w:tc>
        <w:tc>
          <w:tcPr>
            <w:tcW w:w="1183" w:type="dxa"/>
          </w:tcPr>
          <w:p w:rsidR="00D1588E" w:rsidRPr="007C51D6" w:rsidRDefault="00D1588E" w:rsidP="00D1588E">
            <w:pPr>
              <w:autoSpaceDE/>
              <w:autoSpaceDN/>
              <w:adjustRightInd/>
              <w:jc w:val="center"/>
              <w:rPr>
                <w:color w:val="000000"/>
                <w:sz w:val="20"/>
                <w:szCs w:val="20"/>
              </w:rPr>
            </w:pPr>
            <w:r w:rsidRPr="007C51D6">
              <w:rPr>
                <w:color w:val="000000"/>
                <w:sz w:val="20"/>
                <w:szCs w:val="20"/>
              </w:rPr>
              <w:t>59,09</w:t>
            </w:r>
          </w:p>
        </w:tc>
        <w:tc>
          <w:tcPr>
            <w:tcW w:w="1184" w:type="dxa"/>
          </w:tcPr>
          <w:p w:rsidR="00D1588E" w:rsidRPr="007C51D6" w:rsidRDefault="00D1588E" w:rsidP="00D1588E">
            <w:pPr>
              <w:jc w:val="center"/>
              <w:rPr>
                <w:color w:val="000000"/>
                <w:sz w:val="20"/>
                <w:szCs w:val="20"/>
              </w:rPr>
            </w:pPr>
            <w:r w:rsidRPr="007C51D6">
              <w:rPr>
                <w:color w:val="000000"/>
                <w:sz w:val="20"/>
                <w:szCs w:val="20"/>
              </w:rPr>
              <w:t>60,14</w:t>
            </w:r>
          </w:p>
        </w:tc>
        <w:tc>
          <w:tcPr>
            <w:tcW w:w="1183" w:type="dxa"/>
          </w:tcPr>
          <w:p w:rsidR="00D1588E" w:rsidRPr="007C51D6" w:rsidRDefault="00D1588E" w:rsidP="00D1588E">
            <w:pPr>
              <w:jc w:val="center"/>
              <w:rPr>
                <w:color w:val="000000"/>
                <w:sz w:val="20"/>
                <w:szCs w:val="20"/>
              </w:rPr>
            </w:pPr>
            <w:r w:rsidRPr="007C51D6">
              <w:rPr>
                <w:color w:val="000000"/>
                <w:sz w:val="20"/>
                <w:szCs w:val="20"/>
              </w:rPr>
              <w:t>61,5</w:t>
            </w:r>
          </w:p>
        </w:tc>
        <w:tc>
          <w:tcPr>
            <w:tcW w:w="1247" w:type="dxa"/>
            <w:vAlign w:val="center"/>
          </w:tcPr>
          <w:p w:rsidR="00D1588E" w:rsidRPr="007C51D6" w:rsidRDefault="00D1588E" w:rsidP="00D1588E">
            <w:pPr>
              <w:jc w:val="center"/>
              <w:rPr>
                <w:color w:val="000000"/>
                <w:sz w:val="20"/>
                <w:szCs w:val="20"/>
              </w:rPr>
            </w:pPr>
            <w:r w:rsidRPr="007C51D6">
              <w:rPr>
                <w:color w:val="000000"/>
                <w:sz w:val="20"/>
                <w:szCs w:val="20"/>
              </w:rPr>
              <w:t>61.21</w:t>
            </w:r>
          </w:p>
        </w:tc>
        <w:tc>
          <w:tcPr>
            <w:tcW w:w="1247" w:type="dxa"/>
            <w:vAlign w:val="center"/>
          </w:tcPr>
          <w:p w:rsidR="00D1588E" w:rsidRPr="007C51D6" w:rsidRDefault="00D1588E" w:rsidP="00D1588E">
            <w:pPr>
              <w:jc w:val="center"/>
              <w:rPr>
                <w:color w:val="000000"/>
                <w:sz w:val="20"/>
                <w:szCs w:val="20"/>
              </w:rPr>
            </w:pPr>
            <w:r w:rsidRPr="007C51D6">
              <w:rPr>
                <w:color w:val="000000"/>
                <w:sz w:val="20"/>
                <w:szCs w:val="20"/>
              </w:rPr>
              <w:t>55.78</w:t>
            </w:r>
          </w:p>
        </w:tc>
      </w:tr>
      <w:tr w:rsidR="00D1588E" w:rsidRPr="007C51D6" w:rsidTr="00742D16">
        <w:trPr>
          <w:trHeight w:val="20"/>
        </w:trPr>
        <w:tc>
          <w:tcPr>
            <w:tcW w:w="2991" w:type="dxa"/>
            <w:shd w:val="clear" w:color="auto" w:fill="auto"/>
            <w:hideMark/>
          </w:tcPr>
          <w:p w:rsidR="00D1588E" w:rsidRPr="007C51D6" w:rsidRDefault="00D1588E" w:rsidP="00D1588E">
            <w:pPr>
              <w:autoSpaceDE/>
              <w:autoSpaceDN/>
              <w:adjustRightInd/>
              <w:rPr>
                <w:color w:val="000000"/>
                <w:sz w:val="20"/>
                <w:szCs w:val="20"/>
              </w:rPr>
            </w:pPr>
            <w:r w:rsidRPr="007C51D6">
              <w:rPr>
                <w:color w:val="000000"/>
                <w:sz w:val="20"/>
                <w:szCs w:val="20"/>
              </w:rPr>
              <w:t>Новошешминский</w:t>
            </w:r>
          </w:p>
        </w:tc>
        <w:tc>
          <w:tcPr>
            <w:tcW w:w="1183" w:type="dxa"/>
            <w:shd w:val="clear" w:color="auto" w:fill="auto"/>
            <w:hideMark/>
          </w:tcPr>
          <w:p w:rsidR="00D1588E" w:rsidRPr="007C51D6" w:rsidRDefault="00D1588E" w:rsidP="00D1588E">
            <w:pPr>
              <w:autoSpaceDE/>
              <w:autoSpaceDN/>
              <w:adjustRightInd/>
              <w:jc w:val="center"/>
              <w:rPr>
                <w:color w:val="000000"/>
                <w:sz w:val="20"/>
                <w:szCs w:val="20"/>
              </w:rPr>
            </w:pPr>
            <w:r w:rsidRPr="007C51D6">
              <w:rPr>
                <w:color w:val="000000"/>
                <w:sz w:val="20"/>
                <w:szCs w:val="20"/>
              </w:rPr>
              <w:t>54,18</w:t>
            </w:r>
          </w:p>
        </w:tc>
        <w:tc>
          <w:tcPr>
            <w:tcW w:w="1184" w:type="dxa"/>
            <w:shd w:val="clear" w:color="auto" w:fill="auto"/>
            <w:hideMark/>
          </w:tcPr>
          <w:p w:rsidR="00D1588E" w:rsidRPr="007C51D6" w:rsidRDefault="00D1588E" w:rsidP="00D1588E">
            <w:pPr>
              <w:autoSpaceDE/>
              <w:autoSpaceDN/>
              <w:adjustRightInd/>
              <w:jc w:val="center"/>
              <w:rPr>
                <w:color w:val="000000"/>
                <w:sz w:val="20"/>
                <w:szCs w:val="20"/>
              </w:rPr>
            </w:pPr>
            <w:r w:rsidRPr="007C51D6">
              <w:rPr>
                <w:color w:val="000000"/>
                <w:sz w:val="20"/>
                <w:szCs w:val="20"/>
              </w:rPr>
              <w:t>55,32</w:t>
            </w:r>
          </w:p>
        </w:tc>
        <w:tc>
          <w:tcPr>
            <w:tcW w:w="1183" w:type="dxa"/>
            <w:shd w:val="clear" w:color="auto" w:fill="auto"/>
            <w:hideMark/>
          </w:tcPr>
          <w:p w:rsidR="00D1588E" w:rsidRPr="007C51D6" w:rsidRDefault="00D1588E" w:rsidP="00D1588E">
            <w:pPr>
              <w:autoSpaceDE/>
              <w:autoSpaceDN/>
              <w:adjustRightInd/>
              <w:jc w:val="center"/>
              <w:rPr>
                <w:color w:val="000000"/>
                <w:sz w:val="20"/>
                <w:szCs w:val="20"/>
              </w:rPr>
            </w:pPr>
            <w:r w:rsidRPr="007C51D6">
              <w:rPr>
                <w:color w:val="000000"/>
                <w:sz w:val="20"/>
                <w:szCs w:val="20"/>
              </w:rPr>
              <w:t>50,16</w:t>
            </w:r>
          </w:p>
        </w:tc>
        <w:tc>
          <w:tcPr>
            <w:tcW w:w="1343" w:type="dxa"/>
            <w:shd w:val="clear" w:color="auto" w:fill="auto"/>
            <w:hideMark/>
          </w:tcPr>
          <w:p w:rsidR="00D1588E" w:rsidRPr="007C51D6" w:rsidRDefault="00D1588E" w:rsidP="00D1588E">
            <w:pPr>
              <w:autoSpaceDE/>
              <w:autoSpaceDN/>
              <w:adjustRightInd/>
              <w:jc w:val="center"/>
              <w:rPr>
                <w:color w:val="000000"/>
                <w:sz w:val="20"/>
                <w:szCs w:val="20"/>
              </w:rPr>
            </w:pPr>
            <w:r w:rsidRPr="007C51D6">
              <w:rPr>
                <w:color w:val="000000"/>
                <w:sz w:val="20"/>
                <w:szCs w:val="20"/>
              </w:rPr>
              <w:t>50,48</w:t>
            </w:r>
          </w:p>
        </w:tc>
        <w:tc>
          <w:tcPr>
            <w:tcW w:w="1183" w:type="dxa"/>
            <w:shd w:val="clear" w:color="auto" w:fill="auto"/>
            <w:hideMark/>
          </w:tcPr>
          <w:p w:rsidR="00D1588E" w:rsidRPr="007C51D6" w:rsidRDefault="00D1588E" w:rsidP="00D1588E">
            <w:pPr>
              <w:autoSpaceDE/>
              <w:autoSpaceDN/>
              <w:adjustRightInd/>
              <w:jc w:val="center"/>
              <w:rPr>
                <w:color w:val="000000"/>
                <w:sz w:val="20"/>
                <w:szCs w:val="20"/>
              </w:rPr>
            </w:pPr>
            <w:r w:rsidRPr="007C51D6">
              <w:rPr>
                <w:color w:val="000000"/>
                <w:sz w:val="20"/>
                <w:szCs w:val="20"/>
              </w:rPr>
              <w:t>55,52</w:t>
            </w:r>
          </w:p>
        </w:tc>
        <w:tc>
          <w:tcPr>
            <w:tcW w:w="1183" w:type="dxa"/>
          </w:tcPr>
          <w:p w:rsidR="00D1588E" w:rsidRPr="007C51D6" w:rsidRDefault="00D1588E" w:rsidP="00D1588E">
            <w:pPr>
              <w:autoSpaceDE/>
              <w:autoSpaceDN/>
              <w:adjustRightInd/>
              <w:jc w:val="center"/>
              <w:rPr>
                <w:color w:val="000000"/>
                <w:sz w:val="20"/>
                <w:szCs w:val="20"/>
              </w:rPr>
            </w:pPr>
            <w:r w:rsidRPr="007C51D6">
              <w:rPr>
                <w:color w:val="000000"/>
                <w:sz w:val="20"/>
                <w:szCs w:val="20"/>
              </w:rPr>
              <w:t>54,02</w:t>
            </w:r>
          </w:p>
        </w:tc>
        <w:tc>
          <w:tcPr>
            <w:tcW w:w="1184" w:type="dxa"/>
          </w:tcPr>
          <w:p w:rsidR="00D1588E" w:rsidRPr="007C51D6" w:rsidRDefault="00D1588E" w:rsidP="00D1588E">
            <w:pPr>
              <w:jc w:val="center"/>
              <w:rPr>
                <w:color w:val="000000"/>
                <w:sz w:val="20"/>
                <w:szCs w:val="20"/>
              </w:rPr>
            </w:pPr>
            <w:r w:rsidRPr="007C51D6">
              <w:rPr>
                <w:color w:val="000000"/>
                <w:sz w:val="20"/>
                <w:szCs w:val="20"/>
              </w:rPr>
              <w:t>54,74</w:t>
            </w:r>
          </w:p>
        </w:tc>
        <w:tc>
          <w:tcPr>
            <w:tcW w:w="1183" w:type="dxa"/>
          </w:tcPr>
          <w:p w:rsidR="00D1588E" w:rsidRPr="007C51D6" w:rsidRDefault="00D1588E" w:rsidP="00D1588E">
            <w:pPr>
              <w:jc w:val="center"/>
              <w:rPr>
                <w:color w:val="000000"/>
                <w:sz w:val="20"/>
                <w:szCs w:val="20"/>
              </w:rPr>
            </w:pPr>
            <w:r w:rsidRPr="007C51D6">
              <w:rPr>
                <w:color w:val="000000"/>
                <w:sz w:val="20"/>
                <w:szCs w:val="20"/>
              </w:rPr>
              <w:t>55,1</w:t>
            </w:r>
          </w:p>
        </w:tc>
        <w:tc>
          <w:tcPr>
            <w:tcW w:w="1247" w:type="dxa"/>
            <w:vAlign w:val="center"/>
          </w:tcPr>
          <w:p w:rsidR="00D1588E" w:rsidRPr="007C51D6" w:rsidRDefault="00D1588E" w:rsidP="00D1588E">
            <w:pPr>
              <w:jc w:val="center"/>
              <w:rPr>
                <w:color w:val="000000"/>
                <w:sz w:val="20"/>
                <w:szCs w:val="20"/>
              </w:rPr>
            </w:pPr>
            <w:r w:rsidRPr="007C51D6">
              <w:rPr>
                <w:color w:val="000000"/>
                <w:sz w:val="20"/>
                <w:szCs w:val="20"/>
              </w:rPr>
              <w:t>55.01</w:t>
            </w:r>
          </w:p>
        </w:tc>
        <w:tc>
          <w:tcPr>
            <w:tcW w:w="1247" w:type="dxa"/>
            <w:vAlign w:val="center"/>
          </w:tcPr>
          <w:p w:rsidR="00D1588E" w:rsidRPr="007C51D6" w:rsidRDefault="00D1588E" w:rsidP="00D1588E">
            <w:pPr>
              <w:jc w:val="center"/>
              <w:rPr>
                <w:color w:val="000000"/>
                <w:sz w:val="20"/>
                <w:szCs w:val="20"/>
              </w:rPr>
            </w:pPr>
            <w:r w:rsidRPr="007C51D6">
              <w:rPr>
                <w:color w:val="000000"/>
                <w:sz w:val="20"/>
                <w:szCs w:val="20"/>
              </w:rPr>
              <w:t>51.02</w:t>
            </w:r>
          </w:p>
        </w:tc>
      </w:tr>
      <w:tr w:rsidR="00D1588E" w:rsidRPr="007C51D6" w:rsidTr="00742D16">
        <w:trPr>
          <w:trHeight w:val="20"/>
        </w:trPr>
        <w:tc>
          <w:tcPr>
            <w:tcW w:w="2991" w:type="dxa"/>
            <w:shd w:val="clear" w:color="auto" w:fill="auto"/>
            <w:hideMark/>
          </w:tcPr>
          <w:p w:rsidR="00D1588E" w:rsidRPr="007C51D6" w:rsidRDefault="00D1588E" w:rsidP="00D1588E">
            <w:pPr>
              <w:autoSpaceDE/>
              <w:autoSpaceDN/>
              <w:adjustRightInd/>
              <w:rPr>
                <w:color w:val="000000"/>
                <w:sz w:val="20"/>
                <w:szCs w:val="20"/>
              </w:rPr>
            </w:pPr>
            <w:r w:rsidRPr="007C51D6">
              <w:rPr>
                <w:color w:val="000000"/>
                <w:sz w:val="20"/>
                <w:szCs w:val="20"/>
              </w:rPr>
              <w:t>Нурлатский</w:t>
            </w:r>
          </w:p>
        </w:tc>
        <w:tc>
          <w:tcPr>
            <w:tcW w:w="1183" w:type="dxa"/>
            <w:shd w:val="clear" w:color="auto" w:fill="auto"/>
            <w:hideMark/>
          </w:tcPr>
          <w:p w:rsidR="00D1588E" w:rsidRPr="007C51D6" w:rsidRDefault="00D1588E" w:rsidP="00D1588E">
            <w:pPr>
              <w:autoSpaceDE/>
              <w:autoSpaceDN/>
              <w:adjustRightInd/>
              <w:jc w:val="center"/>
              <w:rPr>
                <w:color w:val="000000"/>
                <w:sz w:val="20"/>
                <w:szCs w:val="20"/>
              </w:rPr>
            </w:pPr>
            <w:r w:rsidRPr="007C51D6">
              <w:rPr>
                <w:color w:val="000000"/>
                <w:sz w:val="20"/>
                <w:szCs w:val="20"/>
              </w:rPr>
              <w:t>51,53</w:t>
            </w:r>
          </w:p>
        </w:tc>
        <w:tc>
          <w:tcPr>
            <w:tcW w:w="1184" w:type="dxa"/>
            <w:shd w:val="clear" w:color="auto" w:fill="auto"/>
            <w:hideMark/>
          </w:tcPr>
          <w:p w:rsidR="00D1588E" w:rsidRPr="007C51D6" w:rsidRDefault="00D1588E" w:rsidP="00D1588E">
            <w:pPr>
              <w:autoSpaceDE/>
              <w:autoSpaceDN/>
              <w:adjustRightInd/>
              <w:jc w:val="center"/>
              <w:rPr>
                <w:color w:val="000000"/>
                <w:sz w:val="20"/>
                <w:szCs w:val="20"/>
              </w:rPr>
            </w:pPr>
            <w:r w:rsidRPr="007C51D6">
              <w:rPr>
                <w:color w:val="000000"/>
                <w:sz w:val="20"/>
                <w:szCs w:val="20"/>
              </w:rPr>
              <w:t>52,55</w:t>
            </w:r>
          </w:p>
        </w:tc>
        <w:tc>
          <w:tcPr>
            <w:tcW w:w="1183" w:type="dxa"/>
            <w:shd w:val="clear" w:color="auto" w:fill="auto"/>
            <w:hideMark/>
          </w:tcPr>
          <w:p w:rsidR="00D1588E" w:rsidRPr="007C51D6" w:rsidRDefault="00D1588E" w:rsidP="00D1588E">
            <w:pPr>
              <w:autoSpaceDE/>
              <w:autoSpaceDN/>
              <w:adjustRightInd/>
              <w:jc w:val="center"/>
              <w:rPr>
                <w:color w:val="000000"/>
                <w:sz w:val="20"/>
                <w:szCs w:val="20"/>
              </w:rPr>
            </w:pPr>
            <w:r w:rsidRPr="007C51D6">
              <w:rPr>
                <w:color w:val="000000"/>
                <w:sz w:val="20"/>
                <w:szCs w:val="20"/>
              </w:rPr>
              <w:t>52,02</w:t>
            </w:r>
          </w:p>
        </w:tc>
        <w:tc>
          <w:tcPr>
            <w:tcW w:w="1343" w:type="dxa"/>
            <w:shd w:val="clear" w:color="auto" w:fill="auto"/>
            <w:hideMark/>
          </w:tcPr>
          <w:p w:rsidR="00D1588E" w:rsidRPr="007C51D6" w:rsidRDefault="00D1588E" w:rsidP="00D1588E">
            <w:pPr>
              <w:autoSpaceDE/>
              <w:autoSpaceDN/>
              <w:adjustRightInd/>
              <w:jc w:val="center"/>
              <w:rPr>
                <w:color w:val="000000"/>
                <w:sz w:val="20"/>
                <w:szCs w:val="20"/>
              </w:rPr>
            </w:pPr>
            <w:r w:rsidRPr="007C51D6">
              <w:rPr>
                <w:color w:val="000000"/>
                <w:sz w:val="20"/>
                <w:szCs w:val="20"/>
              </w:rPr>
              <w:t>53,03</w:t>
            </w:r>
          </w:p>
        </w:tc>
        <w:tc>
          <w:tcPr>
            <w:tcW w:w="1183" w:type="dxa"/>
            <w:shd w:val="clear" w:color="auto" w:fill="auto"/>
            <w:hideMark/>
          </w:tcPr>
          <w:p w:rsidR="00D1588E" w:rsidRPr="007C51D6" w:rsidRDefault="00D1588E" w:rsidP="00D1588E">
            <w:pPr>
              <w:autoSpaceDE/>
              <w:autoSpaceDN/>
              <w:adjustRightInd/>
              <w:jc w:val="center"/>
              <w:rPr>
                <w:color w:val="000000"/>
                <w:sz w:val="20"/>
                <w:szCs w:val="20"/>
              </w:rPr>
            </w:pPr>
            <w:r w:rsidRPr="007C51D6">
              <w:rPr>
                <w:color w:val="000000"/>
                <w:sz w:val="20"/>
                <w:szCs w:val="20"/>
              </w:rPr>
              <w:t>53,56</w:t>
            </w:r>
          </w:p>
        </w:tc>
        <w:tc>
          <w:tcPr>
            <w:tcW w:w="1183" w:type="dxa"/>
          </w:tcPr>
          <w:p w:rsidR="00D1588E" w:rsidRPr="007C51D6" w:rsidRDefault="00D1588E" w:rsidP="00D1588E">
            <w:pPr>
              <w:autoSpaceDE/>
              <w:autoSpaceDN/>
              <w:adjustRightInd/>
              <w:jc w:val="center"/>
              <w:rPr>
                <w:color w:val="000000"/>
                <w:sz w:val="20"/>
                <w:szCs w:val="20"/>
              </w:rPr>
            </w:pPr>
            <w:r w:rsidRPr="007C51D6">
              <w:rPr>
                <w:color w:val="000000"/>
                <w:sz w:val="20"/>
                <w:szCs w:val="20"/>
              </w:rPr>
              <w:t>53,93</w:t>
            </w:r>
          </w:p>
        </w:tc>
        <w:tc>
          <w:tcPr>
            <w:tcW w:w="1184" w:type="dxa"/>
          </w:tcPr>
          <w:p w:rsidR="00D1588E" w:rsidRPr="007C51D6" w:rsidRDefault="00D1588E" w:rsidP="00D1588E">
            <w:pPr>
              <w:jc w:val="center"/>
              <w:rPr>
                <w:color w:val="000000"/>
                <w:sz w:val="20"/>
                <w:szCs w:val="20"/>
              </w:rPr>
            </w:pPr>
            <w:r w:rsidRPr="007C51D6">
              <w:rPr>
                <w:color w:val="000000"/>
                <w:sz w:val="20"/>
                <w:szCs w:val="20"/>
              </w:rPr>
              <w:t>55,41</w:t>
            </w:r>
          </w:p>
        </w:tc>
        <w:tc>
          <w:tcPr>
            <w:tcW w:w="1183" w:type="dxa"/>
          </w:tcPr>
          <w:p w:rsidR="00D1588E" w:rsidRPr="007C51D6" w:rsidRDefault="00D1588E" w:rsidP="00D1588E">
            <w:pPr>
              <w:jc w:val="center"/>
              <w:rPr>
                <w:color w:val="000000"/>
                <w:sz w:val="20"/>
                <w:szCs w:val="20"/>
              </w:rPr>
            </w:pPr>
            <w:r w:rsidRPr="007C51D6">
              <w:rPr>
                <w:color w:val="000000"/>
                <w:sz w:val="20"/>
                <w:szCs w:val="20"/>
              </w:rPr>
              <w:t>58,6</w:t>
            </w:r>
          </w:p>
        </w:tc>
        <w:tc>
          <w:tcPr>
            <w:tcW w:w="1247" w:type="dxa"/>
            <w:vAlign w:val="center"/>
          </w:tcPr>
          <w:p w:rsidR="00D1588E" w:rsidRPr="007C51D6" w:rsidRDefault="00D1588E" w:rsidP="00D1588E">
            <w:pPr>
              <w:jc w:val="center"/>
              <w:rPr>
                <w:color w:val="000000"/>
                <w:sz w:val="20"/>
                <w:szCs w:val="20"/>
              </w:rPr>
            </w:pPr>
            <w:r w:rsidRPr="007C51D6">
              <w:rPr>
                <w:color w:val="000000"/>
                <w:sz w:val="20"/>
                <w:szCs w:val="20"/>
              </w:rPr>
              <w:t>58.92</w:t>
            </w:r>
          </w:p>
        </w:tc>
        <w:tc>
          <w:tcPr>
            <w:tcW w:w="1247" w:type="dxa"/>
            <w:vAlign w:val="center"/>
          </w:tcPr>
          <w:p w:rsidR="00D1588E" w:rsidRPr="007C51D6" w:rsidRDefault="00D1588E" w:rsidP="00D1588E">
            <w:pPr>
              <w:jc w:val="center"/>
              <w:rPr>
                <w:color w:val="000000"/>
                <w:sz w:val="20"/>
                <w:szCs w:val="20"/>
              </w:rPr>
            </w:pPr>
            <w:r w:rsidRPr="007C51D6">
              <w:rPr>
                <w:color w:val="000000"/>
                <w:sz w:val="20"/>
                <w:szCs w:val="20"/>
              </w:rPr>
              <w:t>54.87</w:t>
            </w:r>
          </w:p>
        </w:tc>
      </w:tr>
      <w:tr w:rsidR="00D1588E" w:rsidRPr="007C51D6" w:rsidTr="00742D16">
        <w:trPr>
          <w:trHeight w:val="20"/>
        </w:trPr>
        <w:tc>
          <w:tcPr>
            <w:tcW w:w="2991" w:type="dxa"/>
            <w:shd w:val="clear" w:color="auto" w:fill="auto"/>
            <w:hideMark/>
          </w:tcPr>
          <w:p w:rsidR="00D1588E" w:rsidRPr="007C51D6" w:rsidRDefault="00D1588E" w:rsidP="00D1588E">
            <w:pPr>
              <w:autoSpaceDE/>
              <w:autoSpaceDN/>
              <w:adjustRightInd/>
              <w:rPr>
                <w:color w:val="000000"/>
                <w:sz w:val="20"/>
                <w:szCs w:val="20"/>
              </w:rPr>
            </w:pPr>
            <w:r w:rsidRPr="007C51D6">
              <w:rPr>
                <w:color w:val="000000"/>
                <w:sz w:val="20"/>
                <w:szCs w:val="20"/>
              </w:rPr>
              <w:t>Пестречинский</w:t>
            </w:r>
          </w:p>
        </w:tc>
        <w:tc>
          <w:tcPr>
            <w:tcW w:w="1183" w:type="dxa"/>
            <w:shd w:val="clear" w:color="auto" w:fill="auto"/>
            <w:hideMark/>
          </w:tcPr>
          <w:p w:rsidR="00D1588E" w:rsidRPr="007C51D6" w:rsidRDefault="00D1588E" w:rsidP="00D1588E">
            <w:pPr>
              <w:autoSpaceDE/>
              <w:autoSpaceDN/>
              <w:adjustRightInd/>
              <w:jc w:val="center"/>
              <w:rPr>
                <w:color w:val="000000"/>
                <w:sz w:val="20"/>
                <w:szCs w:val="20"/>
              </w:rPr>
            </w:pPr>
            <w:r w:rsidRPr="007C51D6">
              <w:rPr>
                <w:color w:val="000000"/>
                <w:sz w:val="20"/>
                <w:szCs w:val="20"/>
              </w:rPr>
              <w:t>52,34</w:t>
            </w:r>
          </w:p>
        </w:tc>
        <w:tc>
          <w:tcPr>
            <w:tcW w:w="1184" w:type="dxa"/>
            <w:shd w:val="clear" w:color="auto" w:fill="auto"/>
            <w:hideMark/>
          </w:tcPr>
          <w:p w:rsidR="00D1588E" w:rsidRPr="007C51D6" w:rsidRDefault="00D1588E" w:rsidP="00D1588E">
            <w:pPr>
              <w:autoSpaceDE/>
              <w:autoSpaceDN/>
              <w:adjustRightInd/>
              <w:jc w:val="center"/>
              <w:rPr>
                <w:color w:val="000000"/>
                <w:sz w:val="20"/>
                <w:szCs w:val="20"/>
              </w:rPr>
            </w:pPr>
            <w:r w:rsidRPr="007C51D6">
              <w:rPr>
                <w:color w:val="000000"/>
                <w:sz w:val="20"/>
                <w:szCs w:val="20"/>
              </w:rPr>
              <w:t>50,65</w:t>
            </w:r>
          </w:p>
        </w:tc>
        <w:tc>
          <w:tcPr>
            <w:tcW w:w="1183" w:type="dxa"/>
            <w:shd w:val="clear" w:color="auto" w:fill="auto"/>
            <w:hideMark/>
          </w:tcPr>
          <w:p w:rsidR="00D1588E" w:rsidRPr="007C51D6" w:rsidRDefault="00D1588E" w:rsidP="00D1588E">
            <w:pPr>
              <w:autoSpaceDE/>
              <w:autoSpaceDN/>
              <w:adjustRightInd/>
              <w:jc w:val="center"/>
              <w:rPr>
                <w:color w:val="000000"/>
                <w:sz w:val="20"/>
                <w:szCs w:val="20"/>
              </w:rPr>
            </w:pPr>
            <w:r w:rsidRPr="007C51D6">
              <w:rPr>
                <w:color w:val="000000"/>
                <w:sz w:val="20"/>
                <w:szCs w:val="20"/>
              </w:rPr>
              <w:t>49,85</w:t>
            </w:r>
          </w:p>
        </w:tc>
        <w:tc>
          <w:tcPr>
            <w:tcW w:w="1343" w:type="dxa"/>
            <w:shd w:val="clear" w:color="auto" w:fill="auto"/>
            <w:hideMark/>
          </w:tcPr>
          <w:p w:rsidR="00D1588E" w:rsidRPr="007C51D6" w:rsidRDefault="00D1588E" w:rsidP="00D1588E">
            <w:pPr>
              <w:autoSpaceDE/>
              <w:autoSpaceDN/>
              <w:adjustRightInd/>
              <w:jc w:val="center"/>
              <w:rPr>
                <w:color w:val="000000"/>
                <w:sz w:val="20"/>
                <w:szCs w:val="20"/>
              </w:rPr>
            </w:pPr>
            <w:r w:rsidRPr="007C51D6">
              <w:rPr>
                <w:color w:val="000000"/>
                <w:sz w:val="20"/>
                <w:szCs w:val="20"/>
              </w:rPr>
              <w:t>49,23</w:t>
            </w:r>
          </w:p>
        </w:tc>
        <w:tc>
          <w:tcPr>
            <w:tcW w:w="1183" w:type="dxa"/>
            <w:shd w:val="clear" w:color="auto" w:fill="auto"/>
            <w:hideMark/>
          </w:tcPr>
          <w:p w:rsidR="00D1588E" w:rsidRPr="007C51D6" w:rsidRDefault="00D1588E" w:rsidP="00D1588E">
            <w:pPr>
              <w:autoSpaceDE/>
              <w:autoSpaceDN/>
              <w:adjustRightInd/>
              <w:jc w:val="center"/>
              <w:rPr>
                <w:color w:val="000000"/>
                <w:sz w:val="20"/>
                <w:szCs w:val="20"/>
              </w:rPr>
            </w:pPr>
            <w:r w:rsidRPr="007C51D6">
              <w:rPr>
                <w:color w:val="000000"/>
                <w:sz w:val="20"/>
                <w:szCs w:val="20"/>
              </w:rPr>
              <w:t>48,98</w:t>
            </w:r>
          </w:p>
        </w:tc>
        <w:tc>
          <w:tcPr>
            <w:tcW w:w="1183" w:type="dxa"/>
          </w:tcPr>
          <w:p w:rsidR="00D1588E" w:rsidRPr="007C51D6" w:rsidRDefault="00D1588E" w:rsidP="00D1588E">
            <w:pPr>
              <w:autoSpaceDE/>
              <w:autoSpaceDN/>
              <w:adjustRightInd/>
              <w:jc w:val="center"/>
              <w:rPr>
                <w:color w:val="000000"/>
                <w:sz w:val="20"/>
                <w:szCs w:val="20"/>
              </w:rPr>
            </w:pPr>
            <w:r w:rsidRPr="007C51D6">
              <w:rPr>
                <w:color w:val="000000"/>
                <w:sz w:val="20"/>
                <w:szCs w:val="20"/>
              </w:rPr>
              <w:t>49,94</w:t>
            </w:r>
          </w:p>
        </w:tc>
        <w:tc>
          <w:tcPr>
            <w:tcW w:w="1184" w:type="dxa"/>
          </w:tcPr>
          <w:p w:rsidR="00D1588E" w:rsidRPr="007C51D6" w:rsidRDefault="00D1588E" w:rsidP="00D1588E">
            <w:pPr>
              <w:jc w:val="center"/>
              <w:rPr>
                <w:color w:val="000000"/>
                <w:sz w:val="20"/>
                <w:szCs w:val="20"/>
              </w:rPr>
            </w:pPr>
            <w:r w:rsidRPr="007C51D6">
              <w:rPr>
                <w:color w:val="000000"/>
                <w:sz w:val="20"/>
                <w:szCs w:val="20"/>
              </w:rPr>
              <w:t>47,32</w:t>
            </w:r>
          </w:p>
        </w:tc>
        <w:tc>
          <w:tcPr>
            <w:tcW w:w="1183" w:type="dxa"/>
          </w:tcPr>
          <w:p w:rsidR="00D1588E" w:rsidRPr="007C51D6" w:rsidRDefault="00D1588E" w:rsidP="00D1588E">
            <w:pPr>
              <w:jc w:val="center"/>
              <w:rPr>
                <w:color w:val="000000"/>
                <w:sz w:val="20"/>
                <w:szCs w:val="20"/>
              </w:rPr>
            </w:pPr>
            <w:r w:rsidRPr="007C51D6">
              <w:rPr>
                <w:color w:val="000000"/>
                <w:sz w:val="20"/>
                <w:szCs w:val="20"/>
              </w:rPr>
              <w:t>46,3</w:t>
            </w:r>
          </w:p>
        </w:tc>
        <w:tc>
          <w:tcPr>
            <w:tcW w:w="1247" w:type="dxa"/>
            <w:vAlign w:val="center"/>
          </w:tcPr>
          <w:p w:rsidR="00D1588E" w:rsidRPr="007C51D6" w:rsidRDefault="00D1588E" w:rsidP="00D1588E">
            <w:pPr>
              <w:jc w:val="center"/>
              <w:rPr>
                <w:color w:val="000000"/>
                <w:sz w:val="20"/>
                <w:szCs w:val="20"/>
              </w:rPr>
            </w:pPr>
            <w:r w:rsidRPr="007C51D6">
              <w:rPr>
                <w:color w:val="000000"/>
                <w:sz w:val="20"/>
                <w:szCs w:val="20"/>
              </w:rPr>
              <w:t>44.49</w:t>
            </w:r>
          </w:p>
        </w:tc>
        <w:tc>
          <w:tcPr>
            <w:tcW w:w="1247" w:type="dxa"/>
            <w:vAlign w:val="center"/>
          </w:tcPr>
          <w:p w:rsidR="00D1588E" w:rsidRPr="007C51D6" w:rsidRDefault="00D1588E" w:rsidP="00D1588E">
            <w:pPr>
              <w:jc w:val="center"/>
              <w:rPr>
                <w:color w:val="000000"/>
                <w:sz w:val="20"/>
                <w:szCs w:val="20"/>
              </w:rPr>
            </w:pPr>
            <w:r w:rsidRPr="007C51D6">
              <w:rPr>
                <w:color w:val="000000"/>
                <w:sz w:val="20"/>
                <w:szCs w:val="20"/>
              </w:rPr>
              <w:t>48.9</w:t>
            </w:r>
          </w:p>
        </w:tc>
      </w:tr>
      <w:tr w:rsidR="00D1588E" w:rsidRPr="007C51D6" w:rsidTr="00742D16">
        <w:trPr>
          <w:trHeight w:val="20"/>
        </w:trPr>
        <w:tc>
          <w:tcPr>
            <w:tcW w:w="2991" w:type="dxa"/>
            <w:shd w:val="clear" w:color="auto" w:fill="auto"/>
            <w:hideMark/>
          </w:tcPr>
          <w:p w:rsidR="00D1588E" w:rsidRPr="007C51D6" w:rsidRDefault="00D1588E" w:rsidP="00D1588E">
            <w:pPr>
              <w:autoSpaceDE/>
              <w:autoSpaceDN/>
              <w:adjustRightInd/>
              <w:rPr>
                <w:color w:val="000000"/>
                <w:sz w:val="20"/>
                <w:szCs w:val="20"/>
              </w:rPr>
            </w:pPr>
            <w:r w:rsidRPr="007C51D6">
              <w:rPr>
                <w:color w:val="000000"/>
                <w:sz w:val="20"/>
                <w:szCs w:val="20"/>
              </w:rPr>
              <w:t>Рыбно-Слободский</w:t>
            </w:r>
          </w:p>
        </w:tc>
        <w:tc>
          <w:tcPr>
            <w:tcW w:w="1183" w:type="dxa"/>
            <w:shd w:val="clear" w:color="auto" w:fill="auto"/>
            <w:hideMark/>
          </w:tcPr>
          <w:p w:rsidR="00D1588E" w:rsidRPr="007C51D6" w:rsidRDefault="00D1588E" w:rsidP="00D1588E">
            <w:pPr>
              <w:autoSpaceDE/>
              <w:autoSpaceDN/>
              <w:adjustRightInd/>
              <w:jc w:val="center"/>
              <w:rPr>
                <w:color w:val="000000"/>
                <w:sz w:val="20"/>
                <w:szCs w:val="20"/>
              </w:rPr>
            </w:pPr>
            <w:r w:rsidRPr="007C51D6">
              <w:rPr>
                <w:color w:val="000000"/>
                <w:sz w:val="20"/>
                <w:szCs w:val="20"/>
              </w:rPr>
              <w:t>54,42</w:t>
            </w:r>
          </w:p>
        </w:tc>
        <w:tc>
          <w:tcPr>
            <w:tcW w:w="1184" w:type="dxa"/>
            <w:shd w:val="clear" w:color="auto" w:fill="auto"/>
            <w:hideMark/>
          </w:tcPr>
          <w:p w:rsidR="00D1588E" w:rsidRPr="007C51D6" w:rsidRDefault="00D1588E" w:rsidP="00D1588E">
            <w:pPr>
              <w:autoSpaceDE/>
              <w:autoSpaceDN/>
              <w:adjustRightInd/>
              <w:jc w:val="center"/>
              <w:rPr>
                <w:color w:val="000000"/>
                <w:sz w:val="20"/>
                <w:szCs w:val="20"/>
              </w:rPr>
            </w:pPr>
            <w:r w:rsidRPr="007C51D6">
              <w:rPr>
                <w:color w:val="000000"/>
                <w:sz w:val="20"/>
                <w:szCs w:val="20"/>
              </w:rPr>
              <w:t>57,16</w:t>
            </w:r>
          </w:p>
        </w:tc>
        <w:tc>
          <w:tcPr>
            <w:tcW w:w="1183" w:type="dxa"/>
            <w:shd w:val="clear" w:color="auto" w:fill="auto"/>
            <w:hideMark/>
          </w:tcPr>
          <w:p w:rsidR="00D1588E" w:rsidRPr="007C51D6" w:rsidRDefault="00D1588E" w:rsidP="00D1588E">
            <w:pPr>
              <w:autoSpaceDE/>
              <w:autoSpaceDN/>
              <w:adjustRightInd/>
              <w:jc w:val="center"/>
              <w:rPr>
                <w:color w:val="000000"/>
                <w:sz w:val="20"/>
                <w:szCs w:val="20"/>
              </w:rPr>
            </w:pPr>
            <w:r w:rsidRPr="007C51D6">
              <w:rPr>
                <w:color w:val="000000"/>
                <w:sz w:val="20"/>
                <w:szCs w:val="20"/>
              </w:rPr>
              <w:t>58,16</w:t>
            </w:r>
          </w:p>
        </w:tc>
        <w:tc>
          <w:tcPr>
            <w:tcW w:w="1343" w:type="dxa"/>
            <w:shd w:val="clear" w:color="auto" w:fill="auto"/>
            <w:hideMark/>
          </w:tcPr>
          <w:p w:rsidR="00D1588E" w:rsidRPr="007C51D6" w:rsidRDefault="00D1588E" w:rsidP="00D1588E">
            <w:pPr>
              <w:autoSpaceDE/>
              <w:autoSpaceDN/>
              <w:adjustRightInd/>
              <w:jc w:val="center"/>
              <w:rPr>
                <w:color w:val="000000"/>
                <w:sz w:val="20"/>
                <w:szCs w:val="20"/>
              </w:rPr>
            </w:pPr>
            <w:r w:rsidRPr="007C51D6">
              <w:rPr>
                <w:color w:val="000000"/>
                <w:sz w:val="20"/>
                <w:szCs w:val="20"/>
              </w:rPr>
              <w:t>60,65</w:t>
            </w:r>
          </w:p>
        </w:tc>
        <w:tc>
          <w:tcPr>
            <w:tcW w:w="1183" w:type="dxa"/>
            <w:shd w:val="clear" w:color="auto" w:fill="auto"/>
            <w:hideMark/>
          </w:tcPr>
          <w:p w:rsidR="00D1588E" w:rsidRPr="007C51D6" w:rsidRDefault="00D1588E" w:rsidP="00D1588E">
            <w:pPr>
              <w:autoSpaceDE/>
              <w:autoSpaceDN/>
              <w:adjustRightInd/>
              <w:jc w:val="center"/>
              <w:rPr>
                <w:color w:val="000000"/>
                <w:sz w:val="20"/>
                <w:szCs w:val="20"/>
              </w:rPr>
            </w:pPr>
            <w:r w:rsidRPr="007C51D6">
              <w:rPr>
                <w:color w:val="000000"/>
                <w:sz w:val="20"/>
                <w:szCs w:val="20"/>
              </w:rPr>
              <w:t>61,48</w:t>
            </w:r>
          </w:p>
        </w:tc>
        <w:tc>
          <w:tcPr>
            <w:tcW w:w="1183" w:type="dxa"/>
          </w:tcPr>
          <w:p w:rsidR="00D1588E" w:rsidRPr="007C51D6" w:rsidRDefault="00D1588E" w:rsidP="00D1588E">
            <w:pPr>
              <w:autoSpaceDE/>
              <w:autoSpaceDN/>
              <w:adjustRightInd/>
              <w:jc w:val="center"/>
              <w:rPr>
                <w:color w:val="000000"/>
                <w:sz w:val="20"/>
                <w:szCs w:val="20"/>
              </w:rPr>
            </w:pPr>
            <w:r w:rsidRPr="007C51D6">
              <w:rPr>
                <w:color w:val="000000"/>
                <w:sz w:val="20"/>
                <w:szCs w:val="20"/>
              </w:rPr>
              <w:t>60,29</w:t>
            </w:r>
          </w:p>
        </w:tc>
        <w:tc>
          <w:tcPr>
            <w:tcW w:w="1184" w:type="dxa"/>
          </w:tcPr>
          <w:p w:rsidR="00D1588E" w:rsidRPr="007C51D6" w:rsidRDefault="00D1588E" w:rsidP="00D1588E">
            <w:pPr>
              <w:jc w:val="center"/>
              <w:rPr>
                <w:color w:val="000000"/>
                <w:sz w:val="20"/>
                <w:szCs w:val="20"/>
              </w:rPr>
            </w:pPr>
            <w:r w:rsidRPr="007C51D6">
              <w:rPr>
                <w:color w:val="000000"/>
                <w:sz w:val="20"/>
                <w:szCs w:val="20"/>
              </w:rPr>
              <w:t>59,48</w:t>
            </w:r>
          </w:p>
        </w:tc>
        <w:tc>
          <w:tcPr>
            <w:tcW w:w="1183" w:type="dxa"/>
          </w:tcPr>
          <w:p w:rsidR="00D1588E" w:rsidRPr="007C51D6" w:rsidRDefault="00D1588E" w:rsidP="00D1588E">
            <w:pPr>
              <w:jc w:val="center"/>
              <w:rPr>
                <w:color w:val="000000"/>
                <w:sz w:val="20"/>
                <w:szCs w:val="20"/>
              </w:rPr>
            </w:pPr>
            <w:r w:rsidRPr="007C51D6">
              <w:rPr>
                <w:color w:val="000000"/>
                <w:sz w:val="20"/>
                <w:szCs w:val="20"/>
              </w:rPr>
              <w:t>58,2</w:t>
            </w:r>
          </w:p>
        </w:tc>
        <w:tc>
          <w:tcPr>
            <w:tcW w:w="1247" w:type="dxa"/>
            <w:vAlign w:val="center"/>
          </w:tcPr>
          <w:p w:rsidR="00D1588E" w:rsidRPr="007C51D6" w:rsidRDefault="00D1588E" w:rsidP="00D1588E">
            <w:pPr>
              <w:jc w:val="center"/>
              <w:rPr>
                <w:color w:val="000000"/>
                <w:sz w:val="20"/>
                <w:szCs w:val="20"/>
              </w:rPr>
            </w:pPr>
            <w:r w:rsidRPr="007C51D6">
              <w:rPr>
                <w:color w:val="000000"/>
                <w:sz w:val="20"/>
                <w:szCs w:val="20"/>
              </w:rPr>
              <w:t>58.99</w:t>
            </w:r>
          </w:p>
        </w:tc>
        <w:tc>
          <w:tcPr>
            <w:tcW w:w="1247" w:type="dxa"/>
            <w:vAlign w:val="center"/>
          </w:tcPr>
          <w:p w:rsidR="00D1588E" w:rsidRPr="007C51D6" w:rsidRDefault="00D1588E" w:rsidP="00D1588E">
            <w:pPr>
              <w:jc w:val="center"/>
              <w:rPr>
                <w:color w:val="000000"/>
                <w:sz w:val="20"/>
                <w:szCs w:val="20"/>
              </w:rPr>
            </w:pPr>
            <w:r w:rsidRPr="007C51D6">
              <w:rPr>
                <w:color w:val="000000"/>
                <w:sz w:val="20"/>
                <w:szCs w:val="20"/>
              </w:rPr>
              <w:t>57.33</w:t>
            </w:r>
          </w:p>
        </w:tc>
      </w:tr>
      <w:tr w:rsidR="00D1588E" w:rsidRPr="007C51D6" w:rsidTr="00742D16">
        <w:trPr>
          <w:trHeight w:val="20"/>
        </w:trPr>
        <w:tc>
          <w:tcPr>
            <w:tcW w:w="2991" w:type="dxa"/>
            <w:shd w:val="clear" w:color="auto" w:fill="auto"/>
            <w:hideMark/>
          </w:tcPr>
          <w:p w:rsidR="00D1588E" w:rsidRPr="007C51D6" w:rsidRDefault="00D1588E" w:rsidP="00D1588E">
            <w:pPr>
              <w:autoSpaceDE/>
              <w:autoSpaceDN/>
              <w:adjustRightInd/>
              <w:rPr>
                <w:color w:val="000000"/>
                <w:sz w:val="20"/>
                <w:szCs w:val="20"/>
              </w:rPr>
            </w:pPr>
            <w:r w:rsidRPr="007C51D6">
              <w:rPr>
                <w:color w:val="000000"/>
                <w:sz w:val="20"/>
                <w:szCs w:val="20"/>
              </w:rPr>
              <w:t>Сабинский</w:t>
            </w:r>
          </w:p>
        </w:tc>
        <w:tc>
          <w:tcPr>
            <w:tcW w:w="1183" w:type="dxa"/>
            <w:shd w:val="clear" w:color="auto" w:fill="auto"/>
            <w:hideMark/>
          </w:tcPr>
          <w:p w:rsidR="00D1588E" w:rsidRPr="007C51D6" w:rsidRDefault="00D1588E" w:rsidP="00D1588E">
            <w:pPr>
              <w:autoSpaceDE/>
              <w:autoSpaceDN/>
              <w:adjustRightInd/>
              <w:jc w:val="center"/>
              <w:rPr>
                <w:color w:val="000000"/>
                <w:sz w:val="20"/>
                <w:szCs w:val="20"/>
              </w:rPr>
            </w:pPr>
            <w:r w:rsidRPr="007C51D6">
              <w:rPr>
                <w:color w:val="000000"/>
                <w:sz w:val="20"/>
                <w:szCs w:val="20"/>
              </w:rPr>
              <w:t>52,50</w:t>
            </w:r>
          </w:p>
        </w:tc>
        <w:tc>
          <w:tcPr>
            <w:tcW w:w="1184" w:type="dxa"/>
            <w:shd w:val="clear" w:color="auto" w:fill="auto"/>
            <w:hideMark/>
          </w:tcPr>
          <w:p w:rsidR="00D1588E" w:rsidRPr="007C51D6" w:rsidRDefault="00D1588E" w:rsidP="00D1588E">
            <w:pPr>
              <w:autoSpaceDE/>
              <w:autoSpaceDN/>
              <w:adjustRightInd/>
              <w:jc w:val="center"/>
              <w:rPr>
                <w:color w:val="000000"/>
                <w:sz w:val="20"/>
                <w:szCs w:val="20"/>
              </w:rPr>
            </w:pPr>
            <w:r w:rsidRPr="007C51D6">
              <w:rPr>
                <w:color w:val="000000"/>
                <w:sz w:val="20"/>
                <w:szCs w:val="20"/>
              </w:rPr>
              <w:t>52,64</w:t>
            </w:r>
          </w:p>
        </w:tc>
        <w:tc>
          <w:tcPr>
            <w:tcW w:w="1183" w:type="dxa"/>
            <w:shd w:val="clear" w:color="auto" w:fill="auto"/>
            <w:hideMark/>
          </w:tcPr>
          <w:p w:rsidR="00D1588E" w:rsidRPr="007C51D6" w:rsidRDefault="00D1588E" w:rsidP="00D1588E">
            <w:pPr>
              <w:autoSpaceDE/>
              <w:autoSpaceDN/>
              <w:adjustRightInd/>
              <w:jc w:val="center"/>
              <w:rPr>
                <w:color w:val="000000"/>
                <w:sz w:val="20"/>
                <w:szCs w:val="20"/>
              </w:rPr>
            </w:pPr>
            <w:r w:rsidRPr="007C51D6">
              <w:rPr>
                <w:color w:val="000000"/>
                <w:sz w:val="20"/>
                <w:szCs w:val="20"/>
              </w:rPr>
              <w:t>53,58</w:t>
            </w:r>
          </w:p>
        </w:tc>
        <w:tc>
          <w:tcPr>
            <w:tcW w:w="1343" w:type="dxa"/>
            <w:shd w:val="clear" w:color="auto" w:fill="auto"/>
            <w:hideMark/>
          </w:tcPr>
          <w:p w:rsidR="00D1588E" w:rsidRPr="007C51D6" w:rsidRDefault="00D1588E" w:rsidP="00D1588E">
            <w:pPr>
              <w:autoSpaceDE/>
              <w:autoSpaceDN/>
              <w:adjustRightInd/>
              <w:jc w:val="center"/>
              <w:rPr>
                <w:color w:val="000000"/>
                <w:sz w:val="20"/>
                <w:szCs w:val="20"/>
              </w:rPr>
            </w:pPr>
            <w:r w:rsidRPr="007C51D6">
              <w:rPr>
                <w:color w:val="000000"/>
                <w:sz w:val="20"/>
                <w:szCs w:val="20"/>
              </w:rPr>
              <w:t>55,61</w:t>
            </w:r>
          </w:p>
        </w:tc>
        <w:tc>
          <w:tcPr>
            <w:tcW w:w="1183" w:type="dxa"/>
            <w:shd w:val="clear" w:color="auto" w:fill="auto"/>
            <w:hideMark/>
          </w:tcPr>
          <w:p w:rsidR="00D1588E" w:rsidRPr="007C51D6" w:rsidRDefault="00D1588E" w:rsidP="00D1588E">
            <w:pPr>
              <w:autoSpaceDE/>
              <w:autoSpaceDN/>
              <w:adjustRightInd/>
              <w:jc w:val="center"/>
              <w:rPr>
                <w:color w:val="000000"/>
                <w:sz w:val="20"/>
                <w:szCs w:val="20"/>
              </w:rPr>
            </w:pPr>
            <w:r w:rsidRPr="007C51D6">
              <w:rPr>
                <w:color w:val="000000"/>
                <w:sz w:val="20"/>
                <w:szCs w:val="20"/>
              </w:rPr>
              <w:t>58,56</w:t>
            </w:r>
          </w:p>
        </w:tc>
        <w:tc>
          <w:tcPr>
            <w:tcW w:w="1183" w:type="dxa"/>
          </w:tcPr>
          <w:p w:rsidR="00D1588E" w:rsidRPr="007C51D6" w:rsidRDefault="00D1588E" w:rsidP="00D1588E">
            <w:pPr>
              <w:autoSpaceDE/>
              <w:autoSpaceDN/>
              <w:adjustRightInd/>
              <w:jc w:val="center"/>
              <w:rPr>
                <w:color w:val="000000"/>
                <w:sz w:val="20"/>
                <w:szCs w:val="20"/>
              </w:rPr>
            </w:pPr>
            <w:r w:rsidRPr="007C51D6">
              <w:rPr>
                <w:color w:val="000000"/>
                <w:sz w:val="20"/>
                <w:szCs w:val="20"/>
              </w:rPr>
              <w:t>58,72</w:t>
            </w:r>
          </w:p>
        </w:tc>
        <w:tc>
          <w:tcPr>
            <w:tcW w:w="1184" w:type="dxa"/>
          </w:tcPr>
          <w:p w:rsidR="00D1588E" w:rsidRPr="007C51D6" w:rsidRDefault="00D1588E" w:rsidP="00D1588E">
            <w:pPr>
              <w:jc w:val="center"/>
              <w:rPr>
                <w:color w:val="000000"/>
                <w:sz w:val="20"/>
                <w:szCs w:val="20"/>
              </w:rPr>
            </w:pPr>
            <w:r w:rsidRPr="007C51D6">
              <w:rPr>
                <w:color w:val="000000"/>
                <w:sz w:val="20"/>
                <w:szCs w:val="20"/>
              </w:rPr>
              <w:t>58,08</w:t>
            </w:r>
          </w:p>
        </w:tc>
        <w:tc>
          <w:tcPr>
            <w:tcW w:w="1183" w:type="dxa"/>
          </w:tcPr>
          <w:p w:rsidR="00D1588E" w:rsidRPr="007C51D6" w:rsidRDefault="00D1588E" w:rsidP="00D1588E">
            <w:pPr>
              <w:jc w:val="center"/>
              <w:rPr>
                <w:color w:val="000000"/>
                <w:sz w:val="20"/>
                <w:szCs w:val="20"/>
              </w:rPr>
            </w:pPr>
            <w:r w:rsidRPr="007C51D6">
              <w:rPr>
                <w:color w:val="000000"/>
                <w:sz w:val="20"/>
                <w:szCs w:val="20"/>
              </w:rPr>
              <w:t>56,4</w:t>
            </w:r>
          </w:p>
        </w:tc>
        <w:tc>
          <w:tcPr>
            <w:tcW w:w="1247" w:type="dxa"/>
            <w:vAlign w:val="center"/>
          </w:tcPr>
          <w:p w:rsidR="00D1588E" w:rsidRPr="007C51D6" w:rsidRDefault="00D1588E" w:rsidP="00D1588E">
            <w:pPr>
              <w:jc w:val="center"/>
              <w:rPr>
                <w:color w:val="000000"/>
                <w:sz w:val="20"/>
                <w:szCs w:val="20"/>
              </w:rPr>
            </w:pPr>
            <w:r w:rsidRPr="007C51D6">
              <w:rPr>
                <w:color w:val="000000"/>
                <w:sz w:val="20"/>
                <w:szCs w:val="20"/>
              </w:rPr>
              <w:t>54.85</w:t>
            </w:r>
          </w:p>
        </w:tc>
        <w:tc>
          <w:tcPr>
            <w:tcW w:w="1247" w:type="dxa"/>
            <w:vAlign w:val="center"/>
          </w:tcPr>
          <w:p w:rsidR="00D1588E" w:rsidRPr="007C51D6" w:rsidRDefault="00D1588E" w:rsidP="00D1588E">
            <w:pPr>
              <w:jc w:val="center"/>
              <w:rPr>
                <w:color w:val="000000"/>
                <w:sz w:val="20"/>
                <w:szCs w:val="20"/>
              </w:rPr>
            </w:pPr>
            <w:r w:rsidRPr="007C51D6">
              <w:rPr>
                <w:color w:val="000000"/>
                <w:sz w:val="20"/>
                <w:szCs w:val="20"/>
              </w:rPr>
              <w:t>52.55</w:t>
            </w:r>
          </w:p>
        </w:tc>
      </w:tr>
      <w:tr w:rsidR="00D1588E" w:rsidRPr="007C51D6" w:rsidTr="00742D16">
        <w:trPr>
          <w:trHeight w:val="20"/>
        </w:trPr>
        <w:tc>
          <w:tcPr>
            <w:tcW w:w="2991" w:type="dxa"/>
            <w:shd w:val="clear" w:color="auto" w:fill="auto"/>
            <w:hideMark/>
          </w:tcPr>
          <w:p w:rsidR="00D1588E" w:rsidRPr="007C51D6" w:rsidRDefault="00D1588E" w:rsidP="00D1588E">
            <w:pPr>
              <w:autoSpaceDE/>
              <w:autoSpaceDN/>
              <w:adjustRightInd/>
              <w:rPr>
                <w:color w:val="000000"/>
                <w:sz w:val="20"/>
                <w:szCs w:val="20"/>
              </w:rPr>
            </w:pPr>
            <w:r w:rsidRPr="007C51D6">
              <w:rPr>
                <w:color w:val="000000"/>
                <w:sz w:val="20"/>
                <w:szCs w:val="20"/>
              </w:rPr>
              <w:t>Сармановский</w:t>
            </w:r>
          </w:p>
        </w:tc>
        <w:tc>
          <w:tcPr>
            <w:tcW w:w="1183" w:type="dxa"/>
            <w:shd w:val="clear" w:color="auto" w:fill="auto"/>
            <w:hideMark/>
          </w:tcPr>
          <w:p w:rsidR="00D1588E" w:rsidRPr="007C51D6" w:rsidRDefault="00D1588E" w:rsidP="00D1588E">
            <w:pPr>
              <w:autoSpaceDE/>
              <w:autoSpaceDN/>
              <w:adjustRightInd/>
              <w:jc w:val="center"/>
              <w:rPr>
                <w:color w:val="000000"/>
                <w:sz w:val="20"/>
                <w:szCs w:val="20"/>
              </w:rPr>
            </w:pPr>
            <w:r w:rsidRPr="007C51D6">
              <w:rPr>
                <w:color w:val="000000"/>
                <w:sz w:val="20"/>
                <w:szCs w:val="20"/>
              </w:rPr>
              <w:t>51,69</w:t>
            </w:r>
          </w:p>
        </w:tc>
        <w:tc>
          <w:tcPr>
            <w:tcW w:w="1184" w:type="dxa"/>
            <w:shd w:val="clear" w:color="auto" w:fill="auto"/>
            <w:hideMark/>
          </w:tcPr>
          <w:p w:rsidR="00D1588E" w:rsidRPr="007C51D6" w:rsidRDefault="00D1588E" w:rsidP="00D1588E">
            <w:pPr>
              <w:autoSpaceDE/>
              <w:autoSpaceDN/>
              <w:adjustRightInd/>
              <w:jc w:val="center"/>
              <w:rPr>
                <w:color w:val="000000"/>
                <w:sz w:val="20"/>
                <w:szCs w:val="20"/>
              </w:rPr>
            </w:pPr>
            <w:r w:rsidRPr="007C51D6">
              <w:rPr>
                <w:color w:val="000000"/>
                <w:sz w:val="20"/>
                <w:szCs w:val="20"/>
              </w:rPr>
              <w:t>50,92</w:t>
            </w:r>
          </w:p>
        </w:tc>
        <w:tc>
          <w:tcPr>
            <w:tcW w:w="1183" w:type="dxa"/>
            <w:shd w:val="clear" w:color="auto" w:fill="auto"/>
            <w:hideMark/>
          </w:tcPr>
          <w:p w:rsidR="00D1588E" w:rsidRPr="007C51D6" w:rsidRDefault="00D1588E" w:rsidP="00D1588E">
            <w:pPr>
              <w:autoSpaceDE/>
              <w:autoSpaceDN/>
              <w:adjustRightInd/>
              <w:jc w:val="center"/>
              <w:rPr>
                <w:color w:val="000000"/>
                <w:sz w:val="20"/>
                <w:szCs w:val="20"/>
              </w:rPr>
            </w:pPr>
            <w:r w:rsidRPr="007C51D6">
              <w:rPr>
                <w:color w:val="000000"/>
                <w:sz w:val="20"/>
                <w:szCs w:val="20"/>
              </w:rPr>
              <w:t>50,99</w:t>
            </w:r>
          </w:p>
        </w:tc>
        <w:tc>
          <w:tcPr>
            <w:tcW w:w="1343" w:type="dxa"/>
            <w:shd w:val="clear" w:color="auto" w:fill="auto"/>
            <w:hideMark/>
          </w:tcPr>
          <w:p w:rsidR="00D1588E" w:rsidRPr="007C51D6" w:rsidRDefault="00D1588E" w:rsidP="00D1588E">
            <w:pPr>
              <w:autoSpaceDE/>
              <w:autoSpaceDN/>
              <w:adjustRightInd/>
              <w:jc w:val="center"/>
              <w:rPr>
                <w:color w:val="000000"/>
                <w:sz w:val="20"/>
                <w:szCs w:val="20"/>
              </w:rPr>
            </w:pPr>
            <w:r w:rsidRPr="007C51D6">
              <w:rPr>
                <w:color w:val="000000"/>
                <w:sz w:val="20"/>
                <w:szCs w:val="20"/>
              </w:rPr>
              <w:t>51,83</w:t>
            </w:r>
          </w:p>
        </w:tc>
        <w:tc>
          <w:tcPr>
            <w:tcW w:w="1183" w:type="dxa"/>
            <w:shd w:val="clear" w:color="auto" w:fill="auto"/>
            <w:hideMark/>
          </w:tcPr>
          <w:p w:rsidR="00D1588E" w:rsidRPr="007C51D6" w:rsidRDefault="00D1588E" w:rsidP="00D1588E">
            <w:pPr>
              <w:autoSpaceDE/>
              <w:autoSpaceDN/>
              <w:adjustRightInd/>
              <w:jc w:val="center"/>
              <w:rPr>
                <w:color w:val="000000"/>
                <w:sz w:val="20"/>
                <w:szCs w:val="20"/>
              </w:rPr>
            </w:pPr>
            <w:r w:rsidRPr="007C51D6">
              <w:rPr>
                <w:color w:val="000000"/>
                <w:sz w:val="20"/>
                <w:szCs w:val="20"/>
              </w:rPr>
              <w:t>53,60</w:t>
            </w:r>
          </w:p>
        </w:tc>
        <w:tc>
          <w:tcPr>
            <w:tcW w:w="1183" w:type="dxa"/>
          </w:tcPr>
          <w:p w:rsidR="00D1588E" w:rsidRPr="007C51D6" w:rsidRDefault="00D1588E" w:rsidP="00D1588E">
            <w:pPr>
              <w:autoSpaceDE/>
              <w:autoSpaceDN/>
              <w:adjustRightInd/>
              <w:jc w:val="center"/>
              <w:rPr>
                <w:color w:val="000000"/>
                <w:sz w:val="20"/>
                <w:szCs w:val="20"/>
              </w:rPr>
            </w:pPr>
            <w:r w:rsidRPr="007C51D6">
              <w:rPr>
                <w:color w:val="000000"/>
                <w:sz w:val="20"/>
                <w:szCs w:val="20"/>
              </w:rPr>
              <w:t>54,91</w:t>
            </w:r>
          </w:p>
        </w:tc>
        <w:tc>
          <w:tcPr>
            <w:tcW w:w="1184" w:type="dxa"/>
          </w:tcPr>
          <w:p w:rsidR="00D1588E" w:rsidRPr="007C51D6" w:rsidRDefault="00D1588E" w:rsidP="00D1588E">
            <w:pPr>
              <w:jc w:val="center"/>
              <w:rPr>
                <w:color w:val="000000"/>
                <w:sz w:val="20"/>
                <w:szCs w:val="20"/>
              </w:rPr>
            </w:pPr>
            <w:r w:rsidRPr="007C51D6">
              <w:rPr>
                <w:color w:val="000000"/>
                <w:sz w:val="20"/>
                <w:szCs w:val="20"/>
              </w:rPr>
              <w:t>59,64</w:t>
            </w:r>
          </w:p>
        </w:tc>
        <w:tc>
          <w:tcPr>
            <w:tcW w:w="1183" w:type="dxa"/>
          </w:tcPr>
          <w:p w:rsidR="00D1588E" w:rsidRPr="007C51D6" w:rsidRDefault="00D1588E" w:rsidP="00D1588E">
            <w:pPr>
              <w:jc w:val="center"/>
              <w:rPr>
                <w:color w:val="000000"/>
                <w:sz w:val="20"/>
                <w:szCs w:val="20"/>
              </w:rPr>
            </w:pPr>
            <w:r w:rsidRPr="007C51D6">
              <w:rPr>
                <w:color w:val="000000"/>
                <w:sz w:val="20"/>
                <w:szCs w:val="20"/>
              </w:rPr>
              <w:t>61,4</w:t>
            </w:r>
          </w:p>
        </w:tc>
        <w:tc>
          <w:tcPr>
            <w:tcW w:w="1247" w:type="dxa"/>
            <w:vAlign w:val="center"/>
          </w:tcPr>
          <w:p w:rsidR="00D1588E" w:rsidRPr="007C51D6" w:rsidRDefault="00D1588E" w:rsidP="00D1588E">
            <w:pPr>
              <w:jc w:val="center"/>
              <w:rPr>
                <w:color w:val="000000"/>
                <w:sz w:val="20"/>
                <w:szCs w:val="20"/>
              </w:rPr>
            </w:pPr>
            <w:r w:rsidRPr="007C51D6">
              <w:rPr>
                <w:color w:val="000000"/>
                <w:sz w:val="20"/>
                <w:szCs w:val="20"/>
              </w:rPr>
              <w:t>59.57</w:t>
            </w:r>
          </w:p>
        </w:tc>
        <w:tc>
          <w:tcPr>
            <w:tcW w:w="1247" w:type="dxa"/>
            <w:vAlign w:val="center"/>
          </w:tcPr>
          <w:p w:rsidR="00D1588E" w:rsidRPr="007C51D6" w:rsidRDefault="00D1588E" w:rsidP="00D1588E">
            <w:pPr>
              <w:jc w:val="center"/>
              <w:rPr>
                <w:color w:val="000000"/>
                <w:sz w:val="20"/>
                <w:szCs w:val="20"/>
              </w:rPr>
            </w:pPr>
            <w:r w:rsidRPr="007C51D6">
              <w:rPr>
                <w:color w:val="000000"/>
                <w:sz w:val="20"/>
                <w:szCs w:val="20"/>
              </w:rPr>
              <w:t>57.08</w:t>
            </w:r>
          </w:p>
        </w:tc>
      </w:tr>
      <w:tr w:rsidR="00D1588E" w:rsidRPr="007C51D6" w:rsidTr="00742D16">
        <w:trPr>
          <w:trHeight w:val="20"/>
        </w:trPr>
        <w:tc>
          <w:tcPr>
            <w:tcW w:w="2991" w:type="dxa"/>
            <w:shd w:val="clear" w:color="auto" w:fill="auto"/>
            <w:hideMark/>
          </w:tcPr>
          <w:p w:rsidR="00D1588E" w:rsidRPr="007C51D6" w:rsidRDefault="00D1588E" w:rsidP="00D1588E">
            <w:pPr>
              <w:autoSpaceDE/>
              <w:autoSpaceDN/>
              <w:adjustRightInd/>
              <w:rPr>
                <w:color w:val="000000"/>
                <w:sz w:val="20"/>
                <w:szCs w:val="20"/>
              </w:rPr>
            </w:pPr>
            <w:r w:rsidRPr="007C51D6">
              <w:rPr>
                <w:color w:val="000000"/>
                <w:sz w:val="20"/>
                <w:szCs w:val="20"/>
              </w:rPr>
              <w:t>Спасский</w:t>
            </w:r>
          </w:p>
        </w:tc>
        <w:tc>
          <w:tcPr>
            <w:tcW w:w="1183" w:type="dxa"/>
            <w:shd w:val="clear" w:color="auto" w:fill="auto"/>
            <w:hideMark/>
          </w:tcPr>
          <w:p w:rsidR="00D1588E" w:rsidRPr="007C51D6" w:rsidRDefault="00D1588E" w:rsidP="00D1588E">
            <w:pPr>
              <w:autoSpaceDE/>
              <w:autoSpaceDN/>
              <w:adjustRightInd/>
              <w:jc w:val="center"/>
              <w:rPr>
                <w:color w:val="000000"/>
                <w:sz w:val="20"/>
                <w:szCs w:val="20"/>
              </w:rPr>
            </w:pPr>
            <w:r w:rsidRPr="007C51D6">
              <w:rPr>
                <w:color w:val="000000"/>
                <w:sz w:val="20"/>
                <w:szCs w:val="20"/>
              </w:rPr>
              <w:t>49,50</w:t>
            </w:r>
          </w:p>
        </w:tc>
        <w:tc>
          <w:tcPr>
            <w:tcW w:w="1184" w:type="dxa"/>
            <w:shd w:val="clear" w:color="auto" w:fill="auto"/>
            <w:hideMark/>
          </w:tcPr>
          <w:p w:rsidR="00D1588E" w:rsidRPr="007C51D6" w:rsidRDefault="00D1588E" w:rsidP="00D1588E">
            <w:pPr>
              <w:autoSpaceDE/>
              <w:autoSpaceDN/>
              <w:adjustRightInd/>
              <w:jc w:val="center"/>
              <w:rPr>
                <w:color w:val="000000"/>
                <w:sz w:val="20"/>
                <w:szCs w:val="20"/>
              </w:rPr>
            </w:pPr>
            <w:r w:rsidRPr="007C51D6">
              <w:rPr>
                <w:color w:val="000000"/>
                <w:sz w:val="20"/>
                <w:szCs w:val="20"/>
              </w:rPr>
              <w:t>48,65</w:t>
            </w:r>
          </w:p>
        </w:tc>
        <w:tc>
          <w:tcPr>
            <w:tcW w:w="1183" w:type="dxa"/>
            <w:shd w:val="clear" w:color="auto" w:fill="auto"/>
            <w:hideMark/>
          </w:tcPr>
          <w:p w:rsidR="00D1588E" w:rsidRPr="007C51D6" w:rsidRDefault="00D1588E" w:rsidP="00D1588E">
            <w:pPr>
              <w:autoSpaceDE/>
              <w:autoSpaceDN/>
              <w:adjustRightInd/>
              <w:jc w:val="center"/>
              <w:rPr>
                <w:color w:val="000000"/>
                <w:sz w:val="20"/>
                <w:szCs w:val="20"/>
              </w:rPr>
            </w:pPr>
            <w:r w:rsidRPr="007C51D6">
              <w:rPr>
                <w:color w:val="000000"/>
                <w:sz w:val="20"/>
                <w:szCs w:val="20"/>
              </w:rPr>
              <w:t>50,68</w:t>
            </w:r>
          </w:p>
        </w:tc>
        <w:tc>
          <w:tcPr>
            <w:tcW w:w="1343" w:type="dxa"/>
            <w:shd w:val="clear" w:color="auto" w:fill="auto"/>
            <w:hideMark/>
          </w:tcPr>
          <w:p w:rsidR="00D1588E" w:rsidRPr="007C51D6" w:rsidRDefault="00D1588E" w:rsidP="00D1588E">
            <w:pPr>
              <w:autoSpaceDE/>
              <w:autoSpaceDN/>
              <w:adjustRightInd/>
              <w:jc w:val="center"/>
              <w:rPr>
                <w:color w:val="000000"/>
                <w:sz w:val="20"/>
                <w:szCs w:val="20"/>
              </w:rPr>
            </w:pPr>
            <w:r w:rsidRPr="007C51D6">
              <w:rPr>
                <w:color w:val="000000"/>
                <w:sz w:val="20"/>
                <w:szCs w:val="20"/>
              </w:rPr>
              <w:t>51,45</w:t>
            </w:r>
          </w:p>
        </w:tc>
        <w:tc>
          <w:tcPr>
            <w:tcW w:w="1183" w:type="dxa"/>
            <w:shd w:val="clear" w:color="auto" w:fill="auto"/>
            <w:hideMark/>
          </w:tcPr>
          <w:p w:rsidR="00D1588E" w:rsidRPr="007C51D6" w:rsidRDefault="00D1588E" w:rsidP="00D1588E">
            <w:pPr>
              <w:autoSpaceDE/>
              <w:autoSpaceDN/>
              <w:adjustRightInd/>
              <w:jc w:val="center"/>
              <w:rPr>
                <w:color w:val="000000"/>
                <w:sz w:val="20"/>
                <w:szCs w:val="20"/>
              </w:rPr>
            </w:pPr>
            <w:r w:rsidRPr="007C51D6">
              <w:rPr>
                <w:color w:val="000000"/>
                <w:sz w:val="20"/>
                <w:szCs w:val="20"/>
              </w:rPr>
              <w:t>54,67</w:t>
            </w:r>
          </w:p>
        </w:tc>
        <w:tc>
          <w:tcPr>
            <w:tcW w:w="1183" w:type="dxa"/>
          </w:tcPr>
          <w:p w:rsidR="00D1588E" w:rsidRPr="007C51D6" w:rsidRDefault="00D1588E" w:rsidP="00D1588E">
            <w:pPr>
              <w:autoSpaceDE/>
              <w:autoSpaceDN/>
              <w:adjustRightInd/>
              <w:jc w:val="center"/>
              <w:rPr>
                <w:color w:val="000000"/>
                <w:sz w:val="20"/>
                <w:szCs w:val="20"/>
              </w:rPr>
            </w:pPr>
            <w:r w:rsidRPr="007C51D6">
              <w:rPr>
                <w:color w:val="000000"/>
                <w:sz w:val="20"/>
                <w:szCs w:val="20"/>
              </w:rPr>
              <w:t>56,79</w:t>
            </w:r>
          </w:p>
        </w:tc>
        <w:tc>
          <w:tcPr>
            <w:tcW w:w="1184" w:type="dxa"/>
          </w:tcPr>
          <w:p w:rsidR="00D1588E" w:rsidRPr="007C51D6" w:rsidRDefault="00D1588E" w:rsidP="00D1588E">
            <w:pPr>
              <w:jc w:val="center"/>
              <w:rPr>
                <w:color w:val="000000"/>
                <w:sz w:val="20"/>
                <w:szCs w:val="20"/>
              </w:rPr>
            </w:pPr>
            <w:r w:rsidRPr="007C51D6">
              <w:rPr>
                <w:color w:val="000000"/>
                <w:sz w:val="20"/>
                <w:szCs w:val="20"/>
              </w:rPr>
              <w:t>61,88</w:t>
            </w:r>
          </w:p>
        </w:tc>
        <w:tc>
          <w:tcPr>
            <w:tcW w:w="1183" w:type="dxa"/>
          </w:tcPr>
          <w:p w:rsidR="00D1588E" w:rsidRPr="007C51D6" w:rsidRDefault="00D1588E" w:rsidP="00D1588E">
            <w:pPr>
              <w:jc w:val="center"/>
              <w:rPr>
                <w:color w:val="000000"/>
                <w:sz w:val="20"/>
                <w:szCs w:val="20"/>
              </w:rPr>
            </w:pPr>
            <w:r w:rsidRPr="007C51D6">
              <w:rPr>
                <w:color w:val="000000"/>
                <w:sz w:val="20"/>
                <w:szCs w:val="20"/>
              </w:rPr>
              <w:t>62,7</w:t>
            </w:r>
          </w:p>
        </w:tc>
        <w:tc>
          <w:tcPr>
            <w:tcW w:w="1247" w:type="dxa"/>
            <w:vAlign w:val="center"/>
          </w:tcPr>
          <w:p w:rsidR="00D1588E" w:rsidRPr="007C51D6" w:rsidRDefault="00D1588E" w:rsidP="00D1588E">
            <w:pPr>
              <w:jc w:val="center"/>
              <w:rPr>
                <w:color w:val="000000"/>
                <w:sz w:val="20"/>
                <w:szCs w:val="20"/>
              </w:rPr>
            </w:pPr>
            <w:r w:rsidRPr="007C51D6">
              <w:rPr>
                <w:color w:val="000000"/>
                <w:sz w:val="20"/>
                <w:szCs w:val="20"/>
              </w:rPr>
              <w:t>61.68</w:t>
            </w:r>
          </w:p>
        </w:tc>
        <w:tc>
          <w:tcPr>
            <w:tcW w:w="1247" w:type="dxa"/>
            <w:vAlign w:val="center"/>
          </w:tcPr>
          <w:p w:rsidR="00D1588E" w:rsidRPr="007C51D6" w:rsidRDefault="00D1588E" w:rsidP="00D1588E">
            <w:pPr>
              <w:jc w:val="center"/>
              <w:rPr>
                <w:color w:val="000000"/>
                <w:sz w:val="20"/>
                <w:szCs w:val="20"/>
              </w:rPr>
            </w:pPr>
            <w:r w:rsidRPr="007C51D6">
              <w:rPr>
                <w:color w:val="000000"/>
                <w:sz w:val="20"/>
                <w:szCs w:val="20"/>
              </w:rPr>
              <w:t>56.97</w:t>
            </w:r>
          </w:p>
        </w:tc>
      </w:tr>
      <w:tr w:rsidR="00D1588E" w:rsidRPr="007C51D6" w:rsidTr="00742D16">
        <w:trPr>
          <w:trHeight w:val="20"/>
        </w:trPr>
        <w:tc>
          <w:tcPr>
            <w:tcW w:w="2991" w:type="dxa"/>
            <w:shd w:val="clear" w:color="auto" w:fill="auto"/>
            <w:hideMark/>
          </w:tcPr>
          <w:p w:rsidR="00D1588E" w:rsidRPr="007C51D6" w:rsidRDefault="00D1588E" w:rsidP="00D1588E">
            <w:pPr>
              <w:autoSpaceDE/>
              <w:autoSpaceDN/>
              <w:adjustRightInd/>
              <w:rPr>
                <w:color w:val="000000"/>
                <w:sz w:val="20"/>
                <w:szCs w:val="20"/>
              </w:rPr>
            </w:pPr>
            <w:r w:rsidRPr="007C51D6">
              <w:rPr>
                <w:color w:val="000000"/>
                <w:sz w:val="20"/>
                <w:szCs w:val="20"/>
              </w:rPr>
              <w:t>Тетюшский</w:t>
            </w:r>
          </w:p>
        </w:tc>
        <w:tc>
          <w:tcPr>
            <w:tcW w:w="1183" w:type="dxa"/>
            <w:shd w:val="clear" w:color="auto" w:fill="auto"/>
            <w:hideMark/>
          </w:tcPr>
          <w:p w:rsidR="00D1588E" w:rsidRPr="007C51D6" w:rsidRDefault="00D1588E" w:rsidP="00D1588E">
            <w:pPr>
              <w:autoSpaceDE/>
              <w:autoSpaceDN/>
              <w:adjustRightInd/>
              <w:jc w:val="center"/>
              <w:rPr>
                <w:color w:val="000000"/>
                <w:sz w:val="20"/>
                <w:szCs w:val="20"/>
              </w:rPr>
            </w:pPr>
            <w:r w:rsidRPr="007C51D6">
              <w:rPr>
                <w:color w:val="000000"/>
                <w:sz w:val="20"/>
                <w:szCs w:val="20"/>
              </w:rPr>
              <w:t>58,69</w:t>
            </w:r>
          </w:p>
        </w:tc>
        <w:tc>
          <w:tcPr>
            <w:tcW w:w="1184" w:type="dxa"/>
            <w:shd w:val="clear" w:color="auto" w:fill="auto"/>
            <w:hideMark/>
          </w:tcPr>
          <w:p w:rsidR="00D1588E" w:rsidRPr="007C51D6" w:rsidRDefault="00D1588E" w:rsidP="00D1588E">
            <w:pPr>
              <w:autoSpaceDE/>
              <w:autoSpaceDN/>
              <w:adjustRightInd/>
              <w:jc w:val="center"/>
              <w:rPr>
                <w:color w:val="000000"/>
                <w:sz w:val="20"/>
                <w:szCs w:val="20"/>
              </w:rPr>
            </w:pPr>
            <w:r w:rsidRPr="007C51D6">
              <w:rPr>
                <w:color w:val="000000"/>
                <w:sz w:val="20"/>
                <w:szCs w:val="20"/>
              </w:rPr>
              <w:t>59,30</w:t>
            </w:r>
          </w:p>
        </w:tc>
        <w:tc>
          <w:tcPr>
            <w:tcW w:w="1183" w:type="dxa"/>
            <w:shd w:val="clear" w:color="auto" w:fill="auto"/>
            <w:hideMark/>
          </w:tcPr>
          <w:p w:rsidR="00D1588E" w:rsidRPr="007C51D6" w:rsidRDefault="00D1588E" w:rsidP="00D1588E">
            <w:pPr>
              <w:autoSpaceDE/>
              <w:autoSpaceDN/>
              <w:adjustRightInd/>
              <w:jc w:val="center"/>
              <w:rPr>
                <w:color w:val="000000"/>
                <w:sz w:val="20"/>
                <w:szCs w:val="20"/>
              </w:rPr>
            </w:pPr>
            <w:r w:rsidRPr="007C51D6">
              <w:rPr>
                <w:color w:val="000000"/>
                <w:sz w:val="20"/>
                <w:szCs w:val="20"/>
              </w:rPr>
              <w:t>59,58</w:t>
            </w:r>
          </w:p>
        </w:tc>
        <w:tc>
          <w:tcPr>
            <w:tcW w:w="1343" w:type="dxa"/>
            <w:shd w:val="clear" w:color="auto" w:fill="auto"/>
            <w:hideMark/>
          </w:tcPr>
          <w:p w:rsidR="00D1588E" w:rsidRPr="007C51D6" w:rsidRDefault="00D1588E" w:rsidP="00D1588E">
            <w:pPr>
              <w:autoSpaceDE/>
              <w:autoSpaceDN/>
              <w:adjustRightInd/>
              <w:jc w:val="center"/>
              <w:rPr>
                <w:color w:val="000000"/>
                <w:sz w:val="20"/>
                <w:szCs w:val="20"/>
              </w:rPr>
            </w:pPr>
            <w:r w:rsidRPr="007C51D6">
              <w:rPr>
                <w:color w:val="000000"/>
                <w:sz w:val="20"/>
                <w:szCs w:val="20"/>
              </w:rPr>
              <w:t>58,99</w:t>
            </w:r>
          </w:p>
        </w:tc>
        <w:tc>
          <w:tcPr>
            <w:tcW w:w="1183" w:type="dxa"/>
            <w:shd w:val="clear" w:color="auto" w:fill="auto"/>
            <w:hideMark/>
          </w:tcPr>
          <w:p w:rsidR="00D1588E" w:rsidRPr="007C51D6" w:rsidRDefault="00D1588E" w:rsidP="00D1588E">
            <w:pPr>
              <w:autoSpaceDE/>
              <w:autoSpaceDN/>
              <w:adjustRightInd/>
              <w:jc w:val="center"/>
              <w:rPr>
                <w:color w:val="000000"/>
                <w:sz w:val="20"/>
                <w:szCs w:val="20"/>
              </w:rPr>
            </w:pPr>
            <w:r w:rsidRPr="007C51D6">
              <w:rPr>
                <w:color w:val="000000"/>
                <w:sz w:val="20"/>
                <w:szCs w:val="20"/>
              </w:rPr>
              <w:t>61,49</w:t>
            </w:r>
          </w:p>
        </w:tc>
        <w:tc>
          <w:tcPr>
            <w:tcW w:w="1183" w:type="dxa"/>
          </w:tcPr>
          <w:p w:rsidR="00D1588E" w:rsidRPr="007C51D6" w:rsidRDefault="00D1588E" w:rsidP="00D1588E">
            <w:pPr>
              <w:autoSpaceDE/>
              <w:autoSpaceDN/>
              <w:adjustRightInd/>
              <w:jc w:val="center"/>
              <w:rPr>
                <w:color w:val="000000"/>
                <w:sz w:val="20"/>
                <w:szCs w:val="20"/>
              </w:rPr>
            </w:pPr>
            <w:r w:rsidRPr="007C51D6">
              <w:rPr>
                <w:color w:val="000000"/>
                <w:sz w:val="20"/>
                <w:szCs w:val="20"/>
              </w:rPr>
              <w:t>61,57</w:t>
            </w:r>
          </w:p>
        </w:tc>
        <w:tc>
          <w:tcPr>
            <w:tcW w:w="1184" w:type="dxa"/>
          </w:tcPr>
          <w:p w:rsidR="00D1588E" w:rsidRPr="007C51D6" w:rsidRDefault="00D1588E" w:rsidP="00D1588E">
            <w:pPr>
              <w:jc w:val="center"/>
              <w:rPr>
                <w:color w:val="000000"/>
                <w:sz w:val="20"/>
                <w:szCs w:val="20"/>
              </w:rPr>
            </w:pPr>
            <w:r w:rsidRPr="007C51D6">
              <w:rPr>
                <w:color w:val="000000"/>
                <w:sz w:val="20"/>
                <w:szCs w:val="20"/>
              </w:rPr>
              <w:t>59,92</w:t>
            </w:r>
          </w:p>
        </w:tc>
        <w:tc>
          <w:tcPr>
            <w:tcW w:w="1183" w:type="dxa"/>
          </w:tcPr>
          <w:p w:rsidR="00D1588E" w:rsidRPr="007C51D6" w:rsidRDefault="00D1588E" w:rsidP="00D1588E">
            <w:pPr>
              <w:jc w:val="center"/>
              <w:rPr>
                <w:color w:val="000000"/>
                <w:sz w:val="20"/>
                <w:szCs w:val="20"/>
              </w:rPr>
            </w:pPr>
            <w:r w:rsidRPr="007C51D6">
              <w:rPr>
                <w:color w:val="000000"/>
                <w:sz w:val="20"/>
                <w:szCs w:val="20"/>
              </w:rPr>
              <w:t>61,6</w:t>
            </w:r>
          </w:p>
        </w:tc>
        <w:tc>
          <w:tcPr>
            <w:tcW w:w="1247" w:type="dxa"/>
            <w:vAlign w:val="center"/>
          </w:tcPr>
          <w:p w:rsidR="00D1588E" w:rsidRPr="007C51D6" w:rsidRDefault="00D1588E" w:rsidP="00D1588E">
            <w:pPr>
              <w:jc w:val="center"/>
              <w:rPr>
                <w:color w:val="000000"/>
                <w:sz w:val="20"/>
                <w:szCs w:val="20"/>
              </w:rPr>
            </w:pPr>
            <w:r w:rsidRPr="007C51D6">
              <w:rPr>
                <w:color w:val="000000"/>
                <w:sz w:val="20"/>
                <w:szCs w:val="20"/>
              </w:rPr>
              <w:t>63.62</w:t>
            </w:r>
          </w:p>
        </w:tc>
        <w:tc>
          <w:tcPr>
            <w:tcW w:w="1247" w:type="dxa"/>
            <w:vAlign w:val="center"/>
          </w:tcPr>
          <w:p w:rsidR="00D1588E" w:rsidRPr="007C51D6" w:rsidRDefault="00D1588E" w:rsidP="00D1588E">
            <w:pPr>
              <w:jc w:val="center"/>
              <w:rPr>
                <w:color w:val="000000"/>
                <w:sz w:val="20"/>
                <w:szCs w:val="20"/>
              </w:rPr>
            </w:pPr>
            <w:r w:rsidRPr="007C51D6">
              <w:rPr>
                <w:color w:val="000000"/>
                <w:sz w:val="20"/>
                <w:szCs w:val="20"/>
              </w:rPr>
              <w:t>58.67</w:t>
            </w:r>
          </w:p>
        </w:tc>
      </w:tr>
      <w:tr w:rsidR="00D1588E" w:rsidRPr="007C51D6" w:rsidTr="00742D16">
        <w:trPr>
          <w:trHeight w:val="20"/>
        </w:trPr>
        <w:tc>
          <w:tcPr>
            <w:tcW w:w="2991" w:type="dxa"/>
            <w:shd w:val="clear" w:color="auto" w:fill="auto"/>
            <w:hideMark/>
          </w:tcPr>
          <w:p w:rsidR="00D1588E" w:rsidRPr="007C51D6" w:rsidRDefault="00D1588E" w:rsidP="00D1588E">
            <w:pPr>
              <w:autoSpaceDE/>
              <w:autoSpaceDN/>
              <w:adjustRightInd/>
              <w:rPr>
                <w:color w:val="000000"/>
                <w:sz w:val="20"/>
                <w:szCs w:val="20"/>
              </w:rPr>
            </w:pPr>
            <w:r w:rsidRPr="007C51D6">
              <w:rPr>
                <w:color w:val="000000"/>
                <w:sz w:val="20"/>
                <w:szCs w:val="20"/>
              </w:rPr>
              <w:t>Тукаевский</w:t>
            </w:r>
          </w:p>
        </w:tc>
        <w:tc>
          <w:tcPr>
            <w:tcW w:w="1183" w:type="dxa"/>
            <w:shd w:val="clear" w:color="auto" w:fill="auto"/>
            <w:hideMark/>
          </w:tcPr>
          <w:p w:rsidR="00D1588E" w:rsidRPr="007C51D6" w:rsidRDefault="00D1588E" w:rsidP="00D1588E">
            <w:pPr>
              <w:autoSpaceDE/>
              <w:autoSpaceDN/>
              <w:adjustRightInd/>
              <w:jc w:val="center"/>
              <w:rPr>
                <w:color w:val="000000"/>
                <w:sz w:val="20"/>
                <w:szCs w:val="20"/>
              </w:rPr>
            </w:pPr>
            <w:r w:rsidRPr="007C51D6">
              <w:rPr>
                <w:color w:val="000000"/>
                <w:sz w:val="20"/>
                <w:szCs w:val="20"/>
              </w:rPr>
              <w:t>50,77</w:t>
            </w:r>
          </w:p>
        </w:tc>
        <w:tc>
          <w:tcPr>
            <w:tcW w:w="1184" w:type="dxa"/>
            <w:shd w:val="clear" w:color="auto" w:fill="auto"/>
            <w:hideMark/>
          </w:tcPr>
          <w:p w:rsidR="00D1588E" w:rsidRPr="007C51D6" w:rsidRDefault="00D1588E" w:rsidP="00D1588E">
            <w:pPr>
              <w:autoSpaceDE/>
              <w:autoSpaceDN/>
              <w:adjustRightInd/>
              <w:jc w:val="center"/>
              <w:rPr>
                <w:color w:val="000000"/>
                <w:sz w:val="20"/>
                <w:szCs w:val="20"/>
              </w:rPr>
            </w:pPr>
            <w:r w:rsidRPr="007C51D6">
              <w:rPr>
                <w:color w:val="000000"/>
                <w:sz w:val="20"/>
                <w:szCs w:val="20"/>
              </w:rPr>
              <w:t>53,07</w:t>
            </w:r>
          </w:p>
        </w:tc>
        <w:tc>
          <w:tcPr>
            <w:tcW w:w="1183" w:type="dxa"/>
            <w:shd w:val="clear" w:color="auto" w:fill="auto"/>
            <w:hideMark/>
          </w:tcPr>
          <w:p w:rsidR="00D1588E" w:rsidRPr="007C51D6" w:rsidRDefault="00D1588E" w:rsidP="00D1588E">
            <w:pPr>
              <w:autoSpaceDE/>
              <w:autoSpaceDN/>
              <w:adjustRightInd/>
              <w:jc w:val="center"/>
              <w:rPr>
                <w:color w:val="000000"/>
                <w:sz w:val="20"/>
                <w:szCs w:val="20"/>
              </w:rPr>
            </w:pPr>
            <w:r w:rsidRPr="007C51D6">
              <w:rPr>
                <w:color w:val="000000"/>
                <w:sz w:val="20"/>
                <w:szCs w:val="20"/>
              </w:rPr>
              <w:t>53,70</w:t>
            </w:r>
          </w:p>
        </w:tc>
        <w:tc>
          <w:tcPr>
            <w:tcW w:w="1343" w:type="dxa"/>
            <w:shd w:val="clear" w:color="auto" w:fill="auto"/>
            <w:hideMark/>
          </w:tcPr>
          <w:p w:rsidR="00D1588E" w:rsidRPr="007C51D6" w:rsidRDefault="00D1588E" w:rsidP="00D1588E">
            <w:pPr>
              <w:autoSpaceDE/>
              <w:autoSpaceDN/>
              <w:adjustRightInd/>
              <w:jc w:val="center"/>
              <w:rPr>
                <w:color w:val="000000"/>
                <w:sz w:val="20"/>
                <w:szCs w:val="20"/>
              </w:rPr>
            </w:pPr>
            <w:r w:rsidRPr="007C51D6">
              <w:rPr>
                <w:color w:val="000000"/>
                <w:sz w:val="20"/>
                <w:szCs w:val="20"/>
              </w:rPr>
              <w:t>54,91</w:t>
            </w:r>
          </w:p>
        </w:tc>
        <w:tc>
          <w:tcPr>
            <w:tcW w:w="1183" w:type="dxa"/>
            <w:shd w:val="clear" w:color="auto" w:fill="auto"/>
            <w:hideMark/>
          </w:tcPr>
          <w:p w:rsidR="00D1588E" w:rsidRPr="007C51D6" w:rsidRDefault="00D1588E" w:rsidP="00D1588E">
            <w:pPr>
              <w:autoSpaceDE/>
              <w:autoSpaceDN/>
              <w:adjustRightInd/>
              <w:jc w:val="center"/>
              <w:rPr>
                <w:color w:val="000000"/>
                <w:sz w:val="20"/>
                <w:szCs w:val="20"/>
              </w:rPr>
            </w:pPr>
            <w:r w:rsidRPr="007C51D6">
              <w:rPr>
                <w:color w:val="000000"/>
                <w:sz w:val="20"/>
                <w:szCs w:val="20"/>
              </w:rPr>
              <w:t>53,21</w:t>
            </w:r>
          </w:p>
        </w:tc>
        <w:tc>
          <w:tcPr>
            <w:tcW w:w="1183" w:type="dxa"/>
          </w:tcPr>
          <w:p w:rsidR="00D1588E" w:rsidRPr="007C51D6" w:rsidRDefault="00D1588E" w:rsidP="00D1588E">
            <w:pPr>
              <w:autoSpaceDE/>
              <w:autoSpaceDN/>
              <w:adjustRightInd/>
              <w:jc w:val="center"/>
              <w:rPr>
                <w:color w:val="000000"/>
                <w:sz w:val="20"/>
                <w:szCs w:val="20"/>
              </w:rPr>
            </w:pPr>
            <w:r w:rsidRPr="007C51D6">
              <w:rPr>
                <w:color w:val="000000"/>
                <w:sz w:val="20"/>
                <w:szCs w:val="20"/>
              </w:rPr>
              <w:t>53,61</w:t>
            </w:r>
          </w:p>
        </w:tc>
        <w:tc>
          <w:tcPr>
            <w:tcW w:w="1184" w:type="dxa"/>
          </w:tcPr>
          <w:p w:rsidR="00D1588E" w:rsidRPr="007C51D6" w:rsidRDefault="00D1588E" w:rsidP="00D1588E">
            <w:pPr>
              <w:jc w:val="center"/>
              <w:rPr>
                <w:color w:val="000000"/>
                <w:sz w:val="20"/>
                <w:szCs w:val="20"/>
              </w:rPr>
            </w:pPr>
            <w:r w:rsidRPr="007C51D6">
              <w:rPr>
                <w:color w:val="000000"/>
                <w:sz w:val="20"/>
                <w:szCs w:val="20"/>
              </w:rPr>
              <w:t>51,77</w:t>
            </w:r>
          </w:p>
        </w:tc>
        <w:tc>
          <w:tcPr>
            <w:tcW w:w="1183" w:type="dxa"/>
          </w:tcPr>
          <w:p w:rsidR="00D1588E" w:rsidRPr="007C51D6" w:rsidRDefault="00D1588E" w:rsidP="00D1588E">
            <w:pPr>
              <w:jc w:val="center"/>
              <w:rPr>
                <w:color w:val="000000"/>
                <w:sz w:val="20"/>
                <w:szCs w:val="20"/>
              </w:rPr>
            </w:pPr>
            <w:r w:rsidRPr="007C51D6">
              <w:rPr>
                <w:color w:val="000000"/>
                <w:sz w:val="20"/>
                <w:szCs w:val="20"/>
              </w:rPr>
              <w:t>51,2</w:t>
            </w:r>
          </w:p>
        </w:tc>
        <w:tc>
          <w:tcPr>
            <w:tcW w:w="1247" w:type="dxa"/>
            <w:vAlign w:val="center"/>
          </w:tcPr>
          <w:p w:rsidR="00D1588E" w:rsidRPr="007C51D6" w:rsidRDefault="00D1588E" w:rsidP="00D1588E">
            <w:pPr>
              <w:jc w:val="center"/>
              <w:rPr>
                <w:color w:val="000000"/>
                <w:sz w:val="20"/>
                <w:szCs w:val="20"/>
              </w:rPr>
            </w:pPr>
            <w:r w:rsidRPr="007C51D6">
              <w:rPr>
                <w:color w:val="000000"/>
                <w:sz w:val="20"/>
                <w:szCs w:val="20"/>
              </w:rPr>
              <w:t>49.84</w:t>
            </w:r>
          </w:p>
        </w:tc>
        <w:tc>
          <w:tcPr>
            <w:tcW w:w="1247" w:type="dxa"/>
            <w:vAlign w:val="center"/>
          </w:tcPr>
          <w:p w:rsidR="00D1588E" w:rsidRPr="007C51D6" w:rsidRDefault="00D1588E" w:rsidP="00D1588E">
            <w:pPr>
              <w:jc w:val="center"/>
              <w:rPr>
                <w:color w:val="000000"/>
                <w:sz w:val="20"/>
                <w:szCs w:val="20"/>
              </w:rPr>
            </w:pPr>
            <w:r w:rsidRPr="007C51D6">
              <w:rPr>
                <w:color w:val="000000"/>
                <w:sz w:val="20"/>
                <w:szCs w:val="20"/>
              </w:rPr>
              <w:t>49.41</w:t>
            </w:r>
          </w:p>
        </w:tc>
      </w:tr>
      <w:tr w:rsidR="00D1588E" w:rsidRPr="007C51D6" w:rsidTr="00742D16">
        <w:trPr>
          <w:trHeight w:val="20"/>
        </w:trPr>
        <w:tc>
          <w:tcPr>
            <w:tcW w:w="2991" w:type="dxa"/>
            <w:shd w:val="clear" w:color="auto" w:fill="auto"/>
            <w:hideMark/>
          </w:tcPr>
          <w:p w:rsidR="00D1588E" w:rsidRPr="007C51D6" w:rsidRDefault="00D1588E" w:rsidP="00D1588E">
            <w:pPr>
              <w:autoSpaceDE/>
              <w:autoSpaceDN/>
              <w:adjustRightInd/>
              <w:rPr>
                <w:color w:val="000000"/>
                <w:sz w:val="20"/>
                <w:szCs w:val="20"/>
              </w:rPr>
            </w:pPr>
            <w:r w:rsidRPr="007C51D6">
              <w:rPr>
                <w:color w:val="000000"/>
                <w:sz w:val="20"/>
                <w:szCs w:val="20"/>
              </w:rPr>
              <w:t>Тюлячинский</w:t>
            </w:r>
          </w:p>
        </w:tc>
        <w:tc>
          <w:tcPr>
            <w:tcW w:w="1183" w:type="dxa"/>
            <w:shd w:val="clear" w:color="auto" w:fill="auto"/>
            <w:hideMark/>
          </w:tcPr>
          <w:p w:rsidR="00D1588E" w:rsidRPr="007C51D6" w:rsidRDefault="00D1588E" w:rsidP="00D1588E">
            <w:pPr>
              <w:autoSpaceDE/>
              <w:autoSpaceDN/>
              <w:adjustRightInd/>
              <w:jc w:val="center"/>
              <w:rPr>
                <w:color w:val="000000"/>
                <w:sz w:val="20"/>
                <w:szCs w:val="20"/>
              </w:rPr>
            </w:pPr>
            <w:r w:rsidRPr="007C51D6">
              <w:rPr>
                <w:color w:val="000000"/>
                <w:sz w:val="20"/>
                <w:szCs w:val="20"/>
              </w:rPr>
              <w:t>44,17</w:t>
            </w:r>
          </w:p>
        </w:tc>
        <w:tc>
          <w:tcPr>
            <w:tcW w:w="1184" w:type="dxa"/>
            <w:shd w:val="clear" w:color="auto" w:fill="auto"/>
            <w:hideMark/>
          </w:tcPr>
          <w:p w:rsidR="00D1588E" w:rsidRPr="007C51D6" w:rsidRDefault="00D1588E" w:rsidP="00D1588E">
            <w:pPr>
              <w:autoSpaceDE/>
              <w:autoSpaceDN/>
              <w:adjustRightInd/>
              <w:jc w:val="center"/>
              <w:rPr>
                <w:color w:val="000000"/>
                <w:sz w:val="20"/>
                <w:szCs w:val="20"/>
              </w:rPr>
            </w:pPr>
            <w:r w:rsidRPr="007C51D6">
              <w:rPr>
                <w:color w:val="000000"/>
                <w:sz w:val="20"/>
                <w:szCs w:val="20"/>
              </w:rPr>
              <w:t>42,42</w:t>
            </w:r>
          </w:p>
        </w:tc>
        <w:tc>
          <w:tcPr>
            <w:tcW w:w="1183" w:type="dxa"/>
            <w:shd w:val="clear" w:color="auto" w:fill="auto"/>
            <w:hideMark/>
          </w:tcPr>
          <w:p w:rsidR="00D1588E" w:rsidRPr="007C51D6" w:rsidRDefault="00D1588E" w:rsidP="00D1588E">
            <w:pPr>
              <w:autoSpaceDE/>
              <w:autoSpaceDN/>
              <w:adjustRightInd/>
              <w:jc w:val="center"/>
              <w:rPr>
                <w:color w:val="000000"/>
                <w:sz w:val="20"/>
                <w:szCs w:val="20"/>
              </w:rPr>
            </w:pPr>
            <w:r w:rsidRPr="007C51D6">
              <w:rPr>
                <w:color w:val="000000"/>
                <w:sz w:val="20"/>
                <w:szCs w:val="20"/>
              </w:rPr>
              <w:t>45,45</w:t>
            </w:r>
          </w:p>
        </w:tc>
        <w:tc>
          <w:tcPr>
            <w:tcW w:w="1343" w:type="dxa"/>
            <w:shd w:val="clear" w:color="auto" w:fill="auto"/>
            <w:hideMark/>
          </w:tcPr>
          <w:p w:rsidR="00D1588E" w:rsidRPr="007C51D6" w:rsidRDefault="00D1588E" w:rsidP="00D1588E">
            <w:pPr>
              <w:autoSpaceDE/>
              <w:autoSpaceDN/>
              <w:adjustRightInd/>
              <w:jc w:val="center"/>
              <w:rPr>
                <w:color w:val="000000"/>
                <w:sz w:val="20"/>
                <w:szCs w:val="20"/>
              </w:rPr>
            </w:pPr>
            <w:r w:rsidRPr="007C51D6">
              <w:rPr>
                <w:color w:val="000000"/>
                <w:sz w:val="20"/>
                <w:szCs w:val="20"/>
              </w:rPr>
              <w:t>48,90</w:t>
            </w:r>
          </w:p>
        </w:tc>
        <w:tc>
          <w:tcPr>
            <w:tcW w:w="1183" w:type="dxa"/>
            <w:shd w:val="clear" w:color="auto" w:fill="auto"/>
            <w:hideMark/>
          </w:tcPr>
          <w:p w:rsidR="00D1588E" w:rsidRPr="007C51D6" w:rsidRDefault="00D1588E" w:rsidP="00D1588E">
            <w:pPr>
              <w:autoSpaceDE/>
              <w:autoSpaceDN/>
              <w:adjustRightInd/>
              <w:jc w:val="center"/>
              <w:rPr>
                <w:color w:val="000000"/>
                <w:sz w:val="20"/>
                <w:szCs w:val="20"/>
              </w:rPr>
            </w:pPr>
            <w:r w:rsidRPr="007C51D6">
              <w:rPr>
                <w:color w:val="000000"/>
                <w:sz w:val="20"/>
                <w:szCs w:val="20"/>
              </w:rPr>
              <w:t>54,49</w:t>
            </w:r>
          </w:p>
        </w:tc>
        <w:tc>
          <w:tcPr>
            <w:tcW w:w="1183" w:type="dxa"/>
          </w:tcPr>
          <w:p w:rsidR="00D1588E" w:rsidRPr="007C51D6" w:rsidRDefault="00D1588E" w:rsidP="00D1588E">
            <w:pPr>
              <w:autoSpaceDE/>
              <w:autoSpaceDN/>
              <w:adjustRightInd/>
              <w:jc w:val="center"/>
              <w:rPr>
                <w:color w:val="000000"/>
                <w:sz w:val="20"/>
                <w:szCs w:val="20"/>
              </w:rPr>
            </w:pPr>
            <w:r w:rsidRPr="007C51D6">
              <w:rPr>
                <w:color w:val="000000"/>
                <w:sz w:val="20"/>
                <w:szCs w:val="20"/>
              </w:rPr>
              <w:t>55,85</w:t>
            </w:r>
          </w:p>
        </w:tc>
        <w:tc>
          <w:tcPr>
            <w:tcW w:w="1184" w:type="dxa"/>
          </w:tcPr>
          <w:p w:rsidR="00D1588E" w:rsidRPr="007C51D6" w:rsidRDefault="00D1588E" w:rsidP="00D1588E">
            <w:pPr>
              <w:jc w:val="center"/>
              <w:rPr>
                <w:color w:val="000000"/>
                <w:sz w:val="20"/>
                <w:szCs w:val="20"/>
              </w:rPr>
            </w:pPr>
            <w:r w:rsidRPr="007C51D6">
              <w:rPr>
                <w:color w:val="000000"/>
                <w:sz w:val="20"/>
                <w:szCs w:val="20"/>
              </w:rPr>
              <w:t>56,13</w:t>
            </w:r>
          </w:p>
        </w:tc>
        <w:tc>
          <w:tcPr>
            <w:tcW w:w="1183" w:type="dxa"/>
          </w:tcPr>
          <w:p w:rsidR="00D1588E" w:rsidRPr="007C51D6" w:rsidRDefault="00D1588E" w:rsidP="00D1588E">
            <w:pPr>
              <w:jc w:val="center"/>
              <w:rPr>
                <w:color w:val="000000"/>
                <w:sz w:val="20"/>
                <w:szCs w:val="20"/>
              </w:rPr>
            </w:pPr>
            <w:r w:rsidRPr="007C51D6">
              <w:rPr>
                <w:color w:val="000000"/>
                <w:sz w:val="20"/>
                <w:szCs w:val="20"/>
              </w:rPr>
              <w:t>57,5</w:t>
            </w:r>
          </w:p>
        </w:tc>
        <w:tc>
          <w:tcPr>
            <w:tcW w:w="1247" w:type="dxa"/>
            <w:vAlign w:val="center"/>
          </w:tcPr>
          <w:p w:rsidR="00D1588E" w:rsidRPr="007C51D6" w:rsidRDefault="00D1588E" w:rsidP="00D1588E">
            <w:pPr>
              <w:jc w:val="center"/>
              <w:rPr>
                <w:color w:val="000000"/>
                <w:sz w:val="20"/>
                <w:szCs w:val="20"/>
              </w:rPr>
            </w:pPr>
            <w:r w:rsidRPr="007C51D6">
              <w:rPr>
                <w:color w:val="000000"/>
                <w:sz w:val="20"/>
                <w:szCs w:val="20"/>
              </w:rPr>
              <w:t>55.46</w:t>
            </w:r>
          </w:p>
        </w:tc>
        <w:tc>
          <w:tcPr>
            <w:tcW w:w="1247" w:type="dxa"/>
            <w:vAlign w:val="center"/>
          </w:tcPr>
          <w:p w:rsidR="00D1588E" w:rsidRPr="007C51D6" w:rsidRDefault="00D1588E" w:rsidP="00D1588E">
            <w:pPr>
              <w:jc w:val="center"/>
              <w:rPr>
                <w:color w:val="000000"/>
                <w:sz w:val="20"/>
                <w:szCs w:val="20"/>
              </w:rPr>
            </w:pPr>
            <w:r w:rsidRPr="007C51D6">
              <w:rPr>
                <w:color w:val="000000"/>
                <w:sz w:val="20"/>
                <w:szCs w:val="20"/>
              </w:rPr>
              <w:t>52.51</w:t>
            </w:r>
          </w:p>
        </w:tc>
      </w:tr>
      <w:tr w:rsidR="00D1588E" w:rsidRPr="007C51D6" w:rsidTr="00742D16">
        <w:trPr>
          <w:trHeight w:val="20"/>
        </w:trPr>
        <w:tc>
          <w:tcPr>
            <w:tcW w:w="2991" w:type="dxa"/>
            <w:shd w:val="clear" w:color="auto" w:fill="auto"/>
            <w:hideMark/>
          </w:tcPr>
          <w:p w:rsidR="00D1588E" w:rsidRPr="007C51D6" w:rsidRDefault="00D1588E" w:rsidP="00D1588E">
            <w:pPr>
              <w:autoSpaceDE/>
              <w:autoSpaceDN/>
              <w:adjustRightInd/>
              <w:rPr>
                <w:color w:val="000000"/>
                <w:sz w:val="20"/>
                <w:szCs w:val="20"/>
              </w:rPr>
            </w:pPr>
            <w:r w:rsidRPr="007C51D6">
              <w:rPr>
                <w:color w:val="000000"/>
                <w:sz w:val="20"/>
                <w:szCs w:val="20"/>
              </w:rPr>
              <w:t>Черемшанский</w:t>
            </w:r>
          </w:p>
        </w:tc>
        <w:tc>
          <w:tcPr>
            <w:tcW w:w="1183" w:type="dxa"/>
            <w:shd w:val="clear" w:color="auto" w:fill="auto"/>
            <w:hideMark/>
          </w:tcPr>
          <w:p w:rsidR="00D1588E" w:rsidRPr="007C51D6" w:rsidRDefault="00D1588E" w:rsidP="00D1588E">
            <w:pPr>
              <w:autoSpaceDE/>
              <w:autoSpaceDN/>
              <w:adjustRightInd/>
              <w:jc w:val="center"/>
              <w:rPr>
                <w:color w:val="000000"/>
                <w:sz w:val="20"/>
                <w:szCs w:val="20"/>
              </w:rPr>
            </w:pPr>
            <w:r w:rsidRPr="007C51D6">
              <w:rPr>
                <w:color w:val="000000"/>
                <w:sz w:val="20"/>
                <w:szCs w:val="20"/>
              </w:rPr>
              <w:t>48,45</w:t>
            </w:r>
          </w:p>
        </w:tc>
        <w:tc>
          <w:tcPr>
            <w:tcW w:w="1184" w:type="dxa"/>
            <w:shd w:val="clear" w:color="auto" w:fill="auto"/>
            <w:hideMark/>
          </w:tcPr>
          <w:p w:rsidR="00D1588E" w:rsidRPr="007C51D6" w:rsidRDefault="00D1588E" w:rsidP="00D1588E">
            <w:pPr>
              <w:autoSpaceDE/>
              <w:autoSpaceDN/>
              <w:adjustRightInd/>
              <w:jc w:val="center"/>
              <w:rPr>
                <w:color w:val="000000"/>
                <w:sz w:val="20"/>
                <w:szCs w:val="20"/>
              </w:rPr>
            </w:pPr>
            <w:r w:rsidRPr="007C51D6">
              <w:rPr>
                <w:color w:val="000000"/>
                <w:sz w:val="20"/>
                <w:szCs w:val="20"/>
              </w:rPr>
              <w:t>51,18</w:t>
            </w:r>
          </w:p>
        </w:tc>
        <w:tc>
          <w:tcPr>
            <w:tcW w:w="1183" w:type="dxa"/>
            <w:shd w:val="clear" w:color="auto" w:fill="auto"/>
            <w:hideMark/>
          </w:tcPr>
          <w:p w:rsidR="00D1588E" w:rsidRPr="007C51D6" w:rsidRDefault="00D1588E" w:rsidP="00D1588E">
            <w:pPr>
              <w:autoSpaceDE/>
              <w:autoSpaceDN/>
              <w:adjustRightInd/>
              <w:jc w:val="center"/>
              <w:rPr>
                <w:color w:val="000000"/>
                <w:sz w:val="20"/>
                <w:szCs w:val="20"/>
              </w:rPr>
            </w:pPr>
            <w:r w:rsidRPr="007C51D6">
              <w:rPr>
                <w:color w:val="000000"/>
                <w:sz w:val="20"/>
                <w:szCs w:val="20"/>
              </w:rPr>
              <w:t>52,13</w:t>
            </w:r>
          </w:p>
        </w:tc>
        <w:tc>
          <w:tcPr>
            <w:tcW w:w="1343" w:type="dxa"/>
            <w:shd w:val="clear" w:color="auto" w:fill="auto"/>
            <w:hideMark/>
          </w:tcPr>
          <w:p w:rsidR="00D1588E" w:rsidRPr="007C51D6" w:rsidRDefault="00D1588E" w:rsidP="00D1588E">
            <w:pPr>
              <w:autoSpaceDE/>
              <w:autoSpaceDN/>
              <w:adjustRightInd/>
              <w:jc w:val="center"/>
              <w:rPr>
                <w:color w:val="000000"/>
                <w:sz w:val="20"/>
                <w:szCs w:val="20"/>
              </w:rPr>
            </w:pPr>
            <w:r w:rsidRPr="007C51D6">
              <w:rPr>
                <w:color w:val="000000"/>
                <w:sz w:val="20"/>
                <w:szCs w:val="20"/>
              </w:rPr>
              <w:t>54,56</w:t>
            </w:r>
          </w:p>
        </w:tc>
        <w:tc>
          <w:tcPr>
            <w:tcW w:w="1183" w:type="dxa"/>
            <w:shd w:val="clear" w:color="auto" w:fill="auto"/>
            <w:hideMark/>
          </w:tcPr>
          <w:p w:rsidR="00D1588E" w:rsidRPr="007C51D6" w:rsidRDefault="00D1588E" w:rsidP="00D1588E">
            <w:pPr>
              <w:autoSpaceDE/>
              <w:autoSpaceDN/>
              <w:adjustRightInd/>
              <w:jc w:val="center"/>
              <w:rPr>
                <w:color w:val="000000"/>
                <w:sz w:val="20"/>
                <w:szCs w:val="20"/>
              </w:rPr>
            </w:pPr>
            <w:r w:rsidRPr="007C51D6">
              <w:rPr>
                <w:color w:val="000000"/>
                <w:sz w:val="20"/>
                <w:szCs w:val="20"/>
              </w:rPr>
              <w:t>59,13</w:t>
            </w:r>
          </w:p>
        </w:tc>
        <w:tc>
          <w:tcPr>
            <w:tcW w:w="1183" w:type="dxa"/>
          </w:tcPr>
          <w:p w:rsidR="00D1588E" w:rsidRPr="007C51D6" w:rsidRDefault="00D1588E" w:rsidP="00D1588E">
            <w:pPr>
              <w:autoSpaceDE/>
              <w:autoSpaceDN/>
              <w:adjustRightInd/>
              <w:jc w:val="center"/>
              <w:rPr>
                <w:color w:val="000000"/>
                <w:sz w:val="20"/>
                <w:szCs w:val="20"/>
              </w:rPr>
            </w:pPr>
            <w:r w:rsidRPr="007C51D6">
              <w:rPr>
                <w:color w:val="000000"/>
                <w:sz w:val="20"/>
                <w:szCs w:val="20"/>
              </w:rPr>
              <w:t>60,32</w:t>
            </w:r>
          </w:p>
        </w:tc>
        <w:tc>
          <w:tcPr>
            <w:tcW w:w="1184" w:type="dxa"/>
          </w:tcPr>
          <w:p w:rsidR="00D1588E" w:rsidRPr="007C51D6" w:rsidRDefault="00D1588E" w:rsidP="00D1588E">
            <w:pPr>
              <w:jc w:val="center"/>
              <w:rPr>
                <w:color w:val="000000"/>
                <w:sz w:val="20"/>
                <w:szCs w:val="20"/>
              </w:rPr>
            </w:pPr>
            <w:r w:rsidRPr="007C51D6">
              <w:rPr>
                <w:color w:val="000000"/>
                <w:sz w:val="20"/>
                <w:szCs w:val="20"/>
              </w:rPr>
              <w:t>62,04</w:t>
            </w:r>
          </w:p>
        </w:tc>
        <w:tc>
          <w:tcPr>
            <w:tcW w:w="1183" w:type="dxa"/>
          </w:tcPr>
          <w:p w:rsidR="00D1588E" w:rsidRPr="007C51D6" w:rsidRDefault="00D1588E" w:rsidP="00D1588E">
            <w:pPr>
              <w:jc w:val="center"/>
              <w:rPr>
                <w:color w:val="000000"/>
                <w:sz w:val="20"/>
                <w:szCs w:val="20"/>
              </w:rPr>
            </w:pPr>
            <w:r w:rsidRPr="007C51D6">
              <w:rPr>
                <w:color w:val="000000"/>
                <w:sz w:val="20"/>
                <w:szCs w:val="20"/>
              </w:rPr>
              <w:t>61,5</w:t>
            </w:r>
          </w:p>
        </w:tc>
        <w:tc>
          <w:tcPr>
            <w:tcW w:w="1247" w:type="dxa"/>
            <w:vAlign w:val="center"/>
          </w:tcPr>
          <w:p w:rsidR="00D1588E" w:rsidRPr="007C51D6" w:rsidRDefault="00D1588E" w:rsidP="00D1588E">
            <w:pPr>
              <w:jc w:val="center"/>
              <w:rPr>
                <w:color w:val="000000"/>
                <w:sz w:val="20"/>
                <w:szCs w:val="20"/>
              </w:rPr>
            </w:pPr>
            <w:r w:rsidRPr="007C51D6">
              <w:rPr>
                <w:color w:val="000000"/>
                <w:sz w:val="20"/>
                <w:szCs w:val="20"/>
              </w:rPr>
              <w:t>59.86</w:t>
            </w:r>
          </w:p>
        </w:tc>
        <w:tc>
          <w:tcPr>
            <w:tcW w:w="1247" w:type="dxa"/>
            <w:vAlign w:val="center"/>
          </w:tcPr>
          <w:p w:rsidR="00D1588E" w:rsidRPr="007C51D6" w:rsidRDefault="00D1588E" w:rsidP="00D1588E">
            <w:pPr>
              <w:jc w:val="center"/>
              <w:rPr>
                <w:color w:val="000000"/>
                <w:sz w:val="20"/>
                <w:szCs w:val="20"/>
              </w:rPr>
            </w:pPr>
            <w:r w:rsidRPr="007C51D6">
              <w:rPr>
                <w:color w:val="000000"/>
                <w:sz w:val="20"/>
                <w:szCs w:val="20"/>
              </w:rPr>
              <w:t>57.22</w:t>
            </w:r>
          </w:p>
        </w:tc>
      </w:tr>
      <w:tr w:rsidR="00D1588E" w:rsidRPr="007C51D6" w:rsidTr="00742D16">
        <w:trPr>
          <w:trHeight w:val="20"/>
        </w:trPr>
        <w:tc>
          <w:tcPr>
            <w:tcW w:w="2991" w:type="dxa"/>
            <w:shd w:val="clear" w:color="auto" w:fill="auto"/>
            <w:hideMark/>
          </w:tcPr>
          <w:p w:rsidR="00D1588E" w:rsidRPr="007C51D6" w:rsidRDefault="00D1588E" w:rsidP="00D1588E">
            <w:pPr>
              <w:autoSpaceDE/>
              <w:autoSpaceDN/>
              <w:adjustRightInd/>
              <w:rPr>
                <w:color w:val="000000"/>
                <w:sz w:val="20"/>
                <w:szCs w:val="20"/>
              </w:rPr>
            </w:pPr>
            <w:r w:rsidRPr="007C51D6">
              <w:rPr>
                <w:color w:val="000000"/>
                <w:sz w:val="20"/>
                <w:szCs w:val="20"/>
              </w:rPr>
              <w:t>Чистопольский</w:t>
            </w:r>
          </w:p>
        </w:tc>
        <w:tc>
          <w:tcPr>
            <w:tcW w:w="1183" w:type="dxa"/>
            <w:shd w:val="clear" w:color="auto" w:fill="auto"/>
            <w:hideMark/>
          </w:tcPr>
          <w:p w:rsidR="00D1588E" w:rsidRPr="007C51D6" w:rsidRDefault="00D1588E" w:rsidP="00D1588E">
            <w:pPr>
              <w:autoSpaceDE/>
              <w:autoSpaceDN/>
              <w:adjustRightInd/>
              <w:jc w:val="center"/>
              <w:rPr>
                <w:color w:val="000000"/>
                <w:sz w:val="20"/>
                <w:szCs w:val="20"/>
              </w:rPr>
            </w:pPr>
            <w:r w:rsidRPr="007C51D6">
              <w:rPr>
                <w:color w:val="000000"/>
                <w:sz w:val="20"/>
                <w:szCs w:val="20"/>
              </w:rPr>
              <w:t>54,24</w:t>
            </w:r>
          </w:p>
        </w:tc>
        <w:tc>
          <w:tcPr>
            <w:tcW w:w="1184" w:type="dxa"/>
            <w:shd w:val="clear" w:color="auto" w:fill="auto"/>
            <w:hideMark/>
          </w:tcPr>
          <w:p w:rsidR="00D1588E" w:rsidRPr="007C51D6" w:rsidRDefault="00D1588E" w:rsidP="00D1588E">
            <w:pPr>
              <w:autoSpaceDE/>
              <w:autoSpaceDN/>
              <w:adjustRightInd/>
              <w:jc w:val="center"/>
              <w:rPr>
                <w:color w:val="000000"/>
                <w:sz w:val="20"/>
                <w:szCs w:val="20"/>
              </w:rPr>
            </w:pPr>
            <w:r w:rsidRPr="007C51D6">
              <w:rPr>
                <w:color w:val="000000"/>
                <w:sz w:val="20"/>
                <w:szCs w:val="20"/>
              </w:rPr>
              <w:t>53,77</w:t>
            </w:r>
          </w:p>
        </w:tc>
        <w:tc>
          <w:tcPr>
            <w:tcW w:w="1183" w:type="dxa"/>
            <w:shd w:val="clear" w:color="auto" w:fill="auto"/>
            <w:hideMark/>
          </w:tcPr>
          <w:p w:rsidR="00D1588E" w:rsidRPr="007C51D6" w:rsidRDefault="00D1588E" w:rsidP="00D1588E">
            <w:pPr>
              <w:autoSpaceDE/>
              <w:autoSpaceDN/>
              <w:adjustRightInd/>
              <w:jc w:val="center"/>
              <w:rPr>
                <w:color w:val="000000"/>
                <w:sz w:val="20"/>
                <w:szCs w:val="20"/>
              </w:rPr>
            </w:pPr>
            <w:r w:rsidRPr="007C51D6">
              <w:rPr>
                <w:color w:val="000000"/>
                <w:sz w:val="20"/>
                <w:szCs w:val="20"/>
              </w:rPr>
              <w:t>53,87</w:t>
            </w:r>
          </w:p>
        </w:tc>
        <w:tc>
          <w:tcPr>
            <w:tcW w:w="1343" w:type="dxa"/>
            <w:shd w:val="clear" w:color="auto" w:fill="auto"/>
            <w:hideMark/>
          </w:tcPr>
          <w:p w:rsidR="00D1588E" w:rsidRPr="007C51D6" w:rsidRDefault="00D1588E" w:rsidP="00D1588E">
            <w:pPr>
              <w:autoSpaceDE/>
              <w:autoSpaceDN/>
              <w:adjustRightInd/>
              <w:jc w:val="center"/>
              <w:rPr>
                <w:color w:val="000000"/>
                <w:sz w:val="20"/>
                <w:szCs w:val="20"/>
              </w:rPr>
            </w:pPr>
            <w:r w:rsidRPr="007C51D6">
              <w:rPr>
                <w:color w:val="000000"/>
                <w:sz w:val="20"/>
                <w:szCs w:val="20"/>
              </w:rPr>
              <w:t>55,55</w:t>
            </w:r>
          </w:p>
        </w:tc>
        <w:tc>
          <w:tcPr>
            <w:tcW w:w="1183" w:type="dxa"/>
            <w:shd w:val="clear" w:color="auto" w:fill="auto"/>
            <w:hideMark/>
          </w:tcPr>
          <w:p w:rsidR="00D1588E" w:rsidRPr="007C51D6" w:rsidRDefault="00D1588E" w:rsidP="00D1588E">
            <w:pPr>
              <w:autoSpaceDE/>
              <w:autoSpaceDN/>
              <w:adjustRightInd/>
              <w:jc w:val="center"/>
              <w:rPr>
                <w:color w:val="000000"/>
                <w:sz w:val="20"/>
                <w:szCs w:val="20"/>
              </w:rPr>
            </w:pPr>
            <w:r w:rsidRPr="007C51D6">
              <w:rPr>
                <w:color w:val="000000"/>
                <w:sz w:val="20"/>
                <w:szCs w:val="20"/>
              </w:rPr>
              <w:t>56,98</w:t>
            </w:r>
          </w:p>
        </w:tc>
        <w:tc>
          <w:tcPr>
            <w:tcW w:w="1183" w:type="dxa"/>
          </w:tcPr>
          <w:p w:rsidR="00D1588E" w:rsidRPr="007C51D6" w:rsidRDefault="00D1588E" w:rsidP="00D1588E">
            <w:pPr>
              <w:autoSpaceDE/>
              <w:autoSpaceDN/>
              <w:adjustRightInd/>
              <w:jc w:val="center"/>
              <w:rPr>
                <w:color w:val="000000"/>
                <w:sz w:val="20"/>
                <w:szCs w:val="20"/>
              </w:rPr>
            </w:pPr>
            <w:r w:rsidRPr="007C51D6">
              <w:rPr>
                <w:color w:val="000000"/>
                <w:sz w:val="20"/>
                <w:szCs w:val="20"/>
              </w:rPr>
              <w:t>58,22</w:t>
            </w:r>
          </w:p>
        </w:tc>
        <w:tc>
          <w:tcPr>
            <w:tcW w:w="1184" w:type="dxa"/>
          </w:tcPr>
          <w:p w:rsidR="00D1588E" w:rsidRPr="007C51D6" w:rsidRDefault="00D1588E" w:rsidP="00D1588E">
            <w:pPr>
              <w:jc w:val="center"/>
              <w:rPr>
                <w:color w:val="000000"/>
                <w:sz w:val="20"/>
                <w:szCs w:val="20"/>
              </w:rPr>
            </w:pPr>
            <w:r w:rsidRPr="007C51D6">
              <w:rPr>
                <w:color w:val="000000"/>
                <w:sz w:val="20"/>
                <w:szCs w:val="20"/>
              </w:rPr>
              <w:t>58,88</w:t>
            </w:r>
          </w:p>
        </w:tc>
        <w:tc>
          <w:tcPr>
            <w:tcW w:w="1183" w:type="dxa"/>
          </w:tcPr>
          <w:p w:rsidR="00D1588E" w:rsidRPr="007C51D6" w:rsidRDefault="00D1588E" w:rsidP="00D1588E">
            <w:pPr>
              <w:jc w:val="center"/>
              <w:rPr>
                <w:color w:val="000000"/>
                <w:sz w:val="20"/>
                <w:szCs w:val="20"/>
              </w:rPr>
            </w:pPr>
            <w:r w:rsidRPr="007C51D6">
              <w:rPr>
                <w:color w:val="000000"/>
                <w:sz w:val="20"/>
                <w:szCs w:val="20"/>
              </w:rPr>
              <w:t>60,0</w:t>
            </w:r>
          </w:p>
        </w:tc>
        <w:tc>
          <w:tcPr>
            <w:tcW w:w="1247" w:type="dxa"/>
            <w:vAlign w:val="center"/>
          </w:tcPr>
          <w:p w:rsidR="00D1588E" w:rsidRPr="007C51D6" w:rsidRDefault="00D1588E" w:rsidP="00D1588E">
            <w:pPr>
              <w:jc w:val="center"/>
              <w:rPr>
                <w:color w:val="000000"/>
                <w:sz w:val="20"/>
                <w:szCs w:val="20"/>
              </w:rPr>
            </w:pPr>
            <w:r w:rsidRPr="007C51D6">
              <w:rPr>
                <w:color w:val="000000"/>
                <w:sz w:val="20"/>
                <w:szCs w:val="20"/>
              </w:rPr>
              <w:t>60.47</w:t>
            </w:r>
          </w:p>
        </w:tc>
        <w:tc>
          <w:tcPr>
            <w:tcW w:w="1247" w:type="dxa"/>
            <w:vAlign w:val="center"/>
          </w:tcPr>
          <w:p w:rsidR="00D1588E" w:rsidRPr="007C51D6" w:rsidRDefault="00D1588E" w:rsidP="00D1588E">
            <w:pPr>
              <w:jc w:val="center"/>
              <w:rPr>
                <w:color w:val="000000"/>
                <w:sz w:val="20"/>
                <w:szCs w:val="20"/>
              </w:rPr>
            </w:pPr>
            <w:r w:rsidRPr="007C51D6">
              <w:rPr>
                <w:color w:val="000000"/>
                <w:sz w:val="20"/>
                <w:szCs w:val="20"/>
              </w:rPr>
              <w:t>56.06</w:t>
            </w:r>
          </w:p>
        </w:tc>
      </w:tr>
      <w:tr w:rsidR="00D1588E" w:rsidRPr="007C51D6" w:rsidTr="00742D16">
        <w:trPr>
          <w:trHeight w:val="20"/>
        </w:trPr>
        <w:tc>
          <w:tcPr>
            <w:tcW w:w="2991" w:type="dxa"/>
            <w:shd w:val="clear" w:color="auto" w:fill="auto"/>
            <w:hideMark/>
          </w:tcPr>
          <w:p w:rsidR="00D1588E" w:rsidRPr="007C51D6" w:rsidRDefault="00D1588E" w:rsidP="00D1588E">
            <w:pPr>
              <w:autoSpaceDE/>
              <w:autoSpaceDN/>
              <w:adjustRightInd/>
              <w:rPr>
                <w:color w:val="000000"/>
                <w:sz w:val="20"/>
                <w:szCs w:val="20"/>
              </w:rPr>
            </w:pPr>
            <w:r w:rsidRPr="007C51D6">
              <w:rPr>
                <w:color w:val="000000"/>
                <w:sz w:val="20"/>
                <w:szCs w:val="20"/>
              </w:rPr>
              <w:t>Ютазинский</w:t>
            </w:r>
          </w:p>
        </w:tc>
        <w:tc>
          <w:tcPr>
            <w:tcW w:w="1183" w:type="dxa"/>
            <w:shd w:val="clear" w:color="auto" w:fill="auto"/>
            <w:hideMark/>
          </w:tcPr>
          <w:p w:rsidR="00D1588E" w:rsidRPr="007C51D6" w:rsidRDefault="00D1588E" w:rsidP="00D1588E">
            <w:pPr>
              <w:autoSpaceDE/>
              <w:autoSpaceDN/>
              <w:adjustRightInd/>
              <w:jc w:val="center"/>
              <w:rPr>
                <w:color w:val="000000"/>
                <w:sz w:val="20"/>
                <w:szCs w:val="20"/>
              </w:rPr>
            </w:pPr>
            <w:r w:rsidRPr="007C51D6">
              <w:rPr>
                <w:color w:val="000000"/>
                <w:sz w:val="20"/>
                <w:szCs w:val="20"/>
              </w:rPr>
              <w:t>50,99</w:t>
            </w:r>
          </w:p>
        </w:tc>
        <w:tc>
          <w:tcPr>
            <w:tcW w:w="1184" w:type="dxa"/>
            <w:shd w:val="clear" w:color="auto" w:fill="auto"/>
            <w:hideMark/>
          </w:tcPr>
          <w:p w:rsidR="00D1588E" w:rsidRPr="007C51D6" w:rsidRDefault="00D1588E" w:rsidP="00D1588E">
            <w:pPr>
              <w:autoSpaceDE/>
              <w:autoSpaceDN/>
              <w:adjustRightInd/>
              <w:jc w:val="center"/>
              <w:rPr>
                <w:color w:val="000000"/>
                <w:sz w:val="20"/>
                <w:szCs w:val="20"/>
              </w:rPr>
            </w:pPr>
            <w:r w:rsidRPr="007C51D6">
              <w:rPr>
                <w:color w:val="000000"/>
                <w:sz w:val="20"/>
                <w:szCs w:val="20"/>
              </w:rPr>
              <w:t>53,45</w:t>
            </w:r>
          </w:p>
        </w:tc>
        <w:tc>
          <w:tcPr>
            <w:tcW w:w="1183" w:type="dxa"/>
            <w:shd w:val="clear" w:color="auto" w:fill="auto"/>
            <w:hideMark/>
          </w:tcPr>
          <w:p w:rsidR="00D1588E" w:rsidRPr="007C51D6" w:rsidRDefault="00D1588E" w:rsidP="00D1588E">
            <w:pPr>
              <w:autoSpaceDE/>
              <w:autoSpaceDN/>
              <w:adjustRightInd/>
              <w:jc w:val="center"/>
              <w:rPr>
                <w:color w:val="000000"/>
                <w:sz w:val="20"/>
                <w:szCs w:val="20"/>
              </w:rPr>
            </w:pPr>
            <w:r w:rsidRPr="007C51D6">
              <w:rPr>
                <w:color w:val="000000"/>
                <w:sz w:val="20"/>
                <w:szCs w:val="20"/>
              </w:rPr>
              <w:t>52,11</w:t>
            </w:r>
          </w:p>
        </w:tc>
        <w:tc>
          <w:tcPr>
            <w:tcW w:w="1343" w:type="dxa"/>
            <w:shd w:val="clear" w:color="auto" w:fill="auto"/>
            <w:hideMark/>
          </w:tcPr>
          <w:p w:rsidR="00D1588E" w:rsidRPr="007C51D6" w:rsidRDefault="00D1588E" w:rsidP="00D1588E">
            <w:pPr>
              <w:autoSpaceDE/>
              <w:autoSpaceDN/>
              <w:adjustRightInd/>
              <w:jc w:val="center"/>
              <w:rPr>
                <w:color w:val="000000"/>
                <w:sz w:val="20"/>
                <w:szCs w:val="20"/>
              </w:rPr>
            </w:pPr>
            <w:r w:rsidRPr="007C51D6">
              <w:rPr>
                <w:color w:val="000000"/>
                <w:sz w:val="20"/>
                <w:szCs w:val="20"/>
              </w:rPr>
              <w:t>54,42</w:t>
            </w:r>
          </w:p>
        </w:tc>
        <w:tc>
          <w:tcPr>
            <w:tcW w:w="1183" w:type="dxa"/>
            <w:shd w:val="clear" w:color="auto" w:fill="auto"/>
            <w:hideMark/>
          </w:tcPr>
          <w:p w:rsidR="00D1588E" w:rsidRPr="007C51D6" w:rsidRDefault="00D1588E" w:rsidP="00D1588E">
            <w:pPr>
              <w:autoSpaceDE/>
              <w:autoSpaceDN/>
              <w:adjustRightInd/>
              <w:jc w:val="center"/>
              <w:rPr>
                <w:color w:val="000000"/>
                <w:sz w:val="20"/>
                <w:szCs w:val="20"/>
              </w:rPr>
            </w:pPr>
            <w:r w:rsidRPr="007C51D6">
              <w:rPr>
                <w:color w:val="000000"/>
                <w:sz w:val="20"/>
                <w:szCs w:val="20"/>
              </w:rPr>
              <w:t>57,14</w:t>
            </w:r>
          </w:p>
        </w:tc>
        <w:tc>
          <w:tcPr>
            <w:tcW w:w="1183" w:type="dxa"/>
          </w:tcPr>
          <w:p w:rsidR="00D1588E" w:rsidRPr="007C51D6" w:rsidRDefault="00D1588E" w:rsidP="00D1588E">
            <w:pPr>
              <w:autoSpaceDE/>
              <w:autoSpaceDN/>
              <w:adjustRightInd/>
              <w:jc w:val="center"/>
              <w:rPr>
                <w:color w:val="000000"/>
                <w:sz w:val="20"/>
                <w:szCs w:val="20"/>
              </w:rPr>
            </w:pPr>
            <w:r w:rsidRPr="007C51D6">
              <w:rPr>
                <w:color w:val="000000"/>
                <w:sz w:val="20"/>
                <w:szCs w:val="20"/>
              </w:rPr>
              <w:t>58,67</w:t>
            </w:r>
          </w:p>
        </w:tc>
        <w:tc>
          <w:tcPr>
            <w:tcW w:w="1184" w:type="dxa"/>
          </w:tcPr>
          <w:p w:rsidR="00D1588E" w:rsidRPr="007C51D6" w:rsidRDefault="00D1588E" w:rsidP="00D1588E">
            <w:pPr>
              <w:jc w:val="center"/>
              <w:rPr>
                <w:color w:val="000000"/>
                <w:sz w:val="20"/>
                <w:szCs w:val="20"/>
              </w:rPr>
            </w:pPr>
            <w:r w:rsidRPr="007C51D6">
              <w:rPr>
                <w:color w:val="000000"/>
                <w:sz w:val="20"/>
                <w:szCs w:val="20"/>
              </w:rPr>
              <w:t>55,66</w:t>
            </w:r>
          </w:p>
        </w:tc>
        <w:tc>
          <w:tcPr>
            <w:tcW w:w="1183" w:type="dxa"/>
          </w:tcPr>
          <w:p w:rsidR="00D1588E" w:rsidRPr="007C51D6" w:rsidRDefault="00D1588E" w:rsidP="00D1588E">
            <w:pPr>
              <w:jc w:val="center"/>
              <w:rPr>
                <w:color w:val="000000"/>
                <w:sz w:val="20"/>
                <w:szCs w:val="20"/>
              </w:rPr>
            </w:pPr>
            <w:r w:rsidRPr="007C51D6">
              <w:rPr>
                <w:color w:val="000000"/>
                <w:sz w:val="20"/>
                <w:szCs w:val="20"/>
              </w:rPr>
              <w:t>56,1</w:t>
            </w:r>
          </w:p>
        </w:tc>
        <w:tc>
          <w:tcPr>
            <w:tcW w:w="1247" w:type="dxa"/>
            <w:vAlign w:val="center"/>
          </w:tcPr>
          <w:p w:rsidR="00D1588E" w:rsidRPr="007C51D6" w:rsidRDefault="00D1588E" w:rsidP="00D1588E">
            <w:pPr>
              <w:jc w:val="center"/>
              <w:rPr>
                <w:color w:val="000000"/>
                <w:sz w:val="20"/>
                <w:szCs w:val="20"/>
              </w:rPr>
            </w:pPr>
            <w:r w:rsidRPr="007C51D6">
              <w:rPr>
                <w:color w:val="000000"/>
                <w:sz w:val="20"/>
                <w:szCs w:val="20"/>
              </w:rPr>
              <w:t>58.50</w:t>
            </w:r>
          </w:p>
        </w:tc>
        <w:tc>
          <w:tcPr>
            <w:tcW w:w="1247" w:type="dxa"/>
            <w:vAlign w:val="center"/>
          </w:tcPr>
          <w:p w:rsidR="00D1588E" w:rsidRPr="007C51D6" w:rsidRDefault="00D1588E" w:rsidP="00D1588E">
            <w:pPr>
              <w:jc w:val="center"/>
              <w:rPr>
                <w:color w:val="000000"/>
                <w:sz w:val="20"/>
                <w:szCs w:val="20"/>
              </w:rPr>
            </w:pPr>
            <w:r w:rsidRPr="007C51D6">
              <w:rPr>
                <w:color w:val="000000"/>
                <w:sz w:val="20"/>
                <w:szCs w:val="20"/>
              </w:rPr>
              <w:t>57.31</w:t>
            </w:r>
          </w:p>
        </w:tc>
      </w:tr>
      <w:tr w:rsidR="00D1588E" w:rsidRPr="007C51D6" w:rsidTr="00742D16">
        <w:trPr>
          <w:trHeight w:val="20"/>
        </w:trPr>
        <w:tc>
          <w:tcPr>
            <w:tcW w:w="2991" w:type="dxa"/>
            <w:shd w:val="clear" w:color="auto" w:fill="auto"/>
            <w:hideMark/>
          </w:tcPr>
          <w:p w:rsidR="00D1588E" w:rsidRPr="007C51D6" w:rsidRDefault="00D1588E" w:rsidP="00D1588E">
            <w:pPr>
              <w:autoSpaceDE/>
              <w:autoSpaceDN/>
              <w:adjustRightInd/>
              <w:spacing w:line="233" w:lineRule="auto"/>
              <w:rPr>
                <w:color w:val="000000"/>
                <w:sz w:val="20"/>
                <w:szCs w:val="20"/>
              </w:rPr>
            </w:pPr>
            <w:r w:rsidRPr="007C51D6">
              <w:rPr>
                <w:color w:val="000000"/>
                <w:sz w:val="20"/>
                <w:szCs w:val="20"/>
              </w:rPr>
              <w:t>г.Набережные Челны</w:t>
            </w:r>
          </w:p>
        </w:tc>
        <w:tc>
          <w:tcPr>
            <w:tcW w:w="1183" w:type="dxa"/>
            <w:shd w:val="clear" w:color="auto" w:fill="auto"/>
            <w:hideMark/>
          </w:tcPr>
          <w:p w:rsidR="00D1588E" w:rsidRPr="007C51D6" w:rsidRDefault="00D1588E" w:rsidP="00D1588E">
            <w:pPr>
              <w:autoSpaceDE/>
              <w:autoSpaceDN/>
              <w:adjustRightInd/>
              <w:spacing w:line="233" w:lineRule="auto"/>
              <w:jc w:val="center"/>
              <w:rPr>
                <w:color w:val="000000"/>
                <w:sz w:val="20"/>
                <w:szCs w:val="20"/>
              </w:rPr>
            </w:pPr>
            <w:r w:rsidRPr="007C51D6">
              <w:rPr>
                <w:color w:val="000000"/>
                <w:sz w:val="20"/>
                <w:szCs w:val="20"/>
              </w:rPr>
              <w:t>58,07</w:t>
            </w:r>
          </w:p>
        </w:tc>
        <w:tc>
          <w:tcPr>
            <w:tcW w:w="1184" w:type="dxa"/>
            <w:shd w:val="clear" w:color="auto" w:fill="auto"/>
            <w:hideMark/>
          </w:tcPr>
          <w:p w:rsidR="00D1588E" w:rsidRPr="007C51D6" w:rsidRDefault="00D1588E" w:rsidP="00D1588E">
            <w:pPr>
              <w:autoSpaceDE/>
              <w:autoSpaceDN/>
              <w:adjustRightInd/>
              <w:spacing w:line="233" w:lineRule="auto"/>
              <w:jc w:val="center"/>
              <w:rPr>
                <w:color w:val="000000"/>
                <w:sz w:val="20"/>
                <w:szCs w:val="20"/>
              </w:rPr>
            </w:pPr>
            <w:r w:rsidRPr="007C51D6">
              <w:rPr>
                <w:color w:val="000000"/>
                <w:sz w:val="20"/>
                <w:szCs w:val="20"/>
              </w:rPr>
              <w:t>58,60</w:t>
            </w:r>
          </w:p>
        </w:tc>
        <w:tc>
          <w:tcPr>
            <w:tcW w:w="1183" w:type="dxa"/>
            <w:shd w:val="clear" w:color="auto" w:fill="auto"/>
            <w:hideMark/>
          </w:tcPr>
          <w:p w:rsidR="00D1588E" w:rsidRPr="007C51D6" w:rsidRDefault="00D1588E" w:rsidP="00D1588E">
            <w:pPr>
              <w:autoSpaceDE/>
              <w:autoSpaceDN/>
              <w:adjustRightInd/>
              <w:spacing w:line="233" w:lineRule="auto"/>
              <w:jc w:val="center"/>
              <w:rPr>
                <w:color w:val="000000"/>
                <w:sz w:val="20"/>
                <w:szCs w:val="20"/>
              </w:rPr>
            </w:pPr>
            <w:r w:rsidRPr="007C51D6">
              <w:rPr>
                <w:color w:val="000000"/>
                <w:sz w:val="20"/>
                <w:szCs w:val="20"/>
              </w:rPr>
              <w:t>59,53</w:t>
            </w:r>
          </w:p>
        </w:tc>
        <w:tc>
          <w:tcPr>
            <w:tcW w:w="1343" w:type="dxa"/>
            <w:shd w:val="clear" w:color="auto" w:fill="auto"/>
            <w:hideMark/>
          </w:tcPr>
          <w:p w:rsidR="00D1588E" w:rsidRPr="007C51D6" w:rsidRDefault="00D1588E" w:rsidP="00D1588E">
            <w:pPr>
              <w:autoSpaceDE/>
              <w:autoSpaceDN/>
              <w:adjustRightInd/>
              <w:spacing w:line="233" w:lineRule="auto"/>
              <w:jc w:val="center"/>
              <w:rPr>
                <w:color w:val="000000"/>
                <w:sz w:val="20"/>
                <w:szCs w:val="20"/>
              </w:rPr>
            </w:pPr>
            <w:r w:rsidRPr="007C51D6">
              <w:rPr>
                <w:color w:val="000000"/>
                <w:sz w:val="20"/>
                <w:szCs w:val="20"/>
              </w:rPr>
              <w:t>59,52</w:t>
            </w:r>
          </w:p>
        </w:tc>
        <w:tc>
          <w:tcPr>
            <w:tcW w:w="1183" w:type="dxa"/>
            <w:shd w:val="clear" w:color="auto" w:fill="auto"/>
            <w:hideMark/>
          </w:tcPr>
          <w:p w:rsidR="00D1588E" w:rsidRPr="007C51D6" w:rsidRDefault="00D1588E" w:rsidP="00D1588E">
            <w:pPr>
              <w:autoSpaceDE/>
              <w:autoSpaceDN/>
              <w:adjustRightInd/>
              <w:spacing w:line="233" w:lineRule="auto"/>
              <w:jc w:val="center"/>
              <w:rPr>
                <w:color w:val="000000"/>
                <w:sz w:val="20"/>
                <w:szCs w:val="20"/>
              </w:rPr>
            </w:pPr>
            <w:r w:rsidRPr="007C51D6">
              <w:rPr>
                <w:color w:val="000000"/>
                <w:sz w:val="20"/>
                <w:szCs w:val="20"/>
              </w:rPr>
              <w:t>59,71</w:t>
            </w:r>
          </w:p>
        </w:tc>
        <w:tc>
          <w:tcPr>
            <w:tcW w:w="1183" w:type="dxa"/>
          </w:tcPr>
          <w:p w:rsidR="00D1588E" w:rsidRPr="007C51D6" w:rsidRDefault="00D1588E" w:rsidP="00D1588E">
            <w:pPr>
              <w:autoSpaceDE/>
              <w:autoSpaceDN/>
              <w:adjustRightInd/>
              <w:spacing w:line="233" w:lineRule="auto"/>
              <w:jc w:val="center"/>
              <w:rPr>
                <w:color w:val="000000"/>
                <w:sz w:val="20"/>
                <w:szCs w:val="20"/>
              </w:rPr>
            </w:pPr>
            <w:r w:rsidRPr="007C51D6">
              <w:rPr>
                <w:color w:val="000000"/>
                <w:sz w:val="20"/>
                <w:szCs w:val="20"/>
              </w:rPr>
              <w:t>60,06</w:t>
            </w:r>
          </w:p>
        </w:tc>
        <w:tc>
          <w:tcPr>
            <w:tcW w:w="1184" w:type="dxa"/>
          </w:tcPr>
          <w:p w:rsidR="00D1588E" w:rsidRPr="007C51D6" w:rsidRDefault="00D1588E" w:rsidP="00D1588E">
            <w:pPr>
              <w:spacing w:line="233" w:lineRule="auto"/>
              <w:jc w:val="center"/>
              <w:rPr>
                <w:color w:val="000000"/>
                <w:sz w:val="20"/>
                <w:szCs w:val="20"/>
              </w:rPr>
            </w:pPr>
            <w:r w:rsidRPr="007C51D6">
              <w:rPr>
                <w:color w:val="000000"/>
                <w:sz w:val="20"/>
                <w:szCs w:val="20"/>
              </w:rPr>
              <w:t>60,51</w:t>
            </w:r>
          </w:p>
        </w:tc>
        <w:tc>
          <w:tcPr>
            <w:tcW w:w="1183" w:type="dxa"/>
          </w:tcPr>
          <w:p w:rsidR="00D1588E" w:rsidRPr="007C51D6" w:rsidRDefault="00D1588E" w:rsidP="00D1588E">
            <w:pPr>
              <w:spacing w:line="233" w:lineRule="auto"/>
              <w:jc w:val="center"/>
              <w:rPr>
                <w:color w:val="000000"/>
                <w:sz w:val="20"/>
                <w:szCs w:val="20"/>
              </w:rPr>
            </w:pPr>
            <w:r w:rsidRPr="007C51D6">
              <w:rPr>
                <w:color w:val="000000"/>
                <w:sz w:val="20"/>
                <w:szCs w:val="20"/>
              </w:rPr>
              <w:t>60,5</w:t>
            </w:r>
          </w:p>
        </w:tc>
        <w:tc>
          <w:tcPr>
            <w:tcW w:w="1247" w:type="dxa"/>
            <w:vAlign w:val="center"/>
          </w:tcPr>
          <w:p w:rsidR="00D1588E" w:rsidRPr="007C51D6" w:rsidRDefault="00D1588E" w:rsidP="00D1588E">
            <w:pPr>
              <w:spacing w:line="233" w:lineRule="auto"/>
              <w:jc w:val="center"/>
              <w:rPr>
                <w:color w:val="000000"/>
                <w:sz w:val="20"/>
                <w:szCs w:val="20"/>
              </w:rPr>
            </w:pPr>
            <w:r w:rsidRPr="007C51D6">
              <w:rPr>
                <w:color w:val="000000"/>
                <w:sz w:val="20"/>
                <w:szCs w:val="20"/>
              </w:rPr>
              <w:t>60.88</w:t>
            </w:r>
          </w:p>
        </w:tc>
        <w:tc>
          <w:tcPr>
            <w:tcW w:w="1247" w:type="dxa"/>
            <w:vAlign w:val="center"/>
          </w:tcPr>
          <w:p w:rsidR="00D1588E" w:rsidRPr="007C51D6" w:rsidRDefault="00D1588E" w:rsidP="00D1588E">
            <w:pPr>
              <w:jc w:val="center"/>
              <w:rPr>
                <w:color w:val="000000"/>
                <w:sz w:val="20"/>
                <w:szCs w:val="20"/>
              </w:rPr>
            </w:pPr>
            <w:r w:rsidRPr="007C51D6">
              <w:rPr>
                <w:color w:val="000000"/>
                <w:sz w:val="20"/>
                <w:szCs w:val="20"/>
              </w:rPr>
              <w:t>54.41</w:t>
            </w:r>
          </w:p>
        </w:tc>
      </w:tr>
      <w:tr w:rsidR="00D1588E" w:rsidRPr="007C51D6" w:rsidTr="00742D16">
        <w:trPr>
          <w:trHeight w:val="20"/>
        </w:trPr>
        <w:tc>
          <w:tcPr>
            <w:tcW w:w="2991" w:type="dxa"/>
            <w:shd w:val="clear" w:color="auto" w:fill="auto"/>
            <w:hideMark/>
          </w:tcPr>
          <w:p w:rsidR="00D1588E" w:rsidRPr="007C51D6" w:rsidRDefault="00D1588E" w:rsidP="00D1588E">
            <w:pPr>
              <w:autoSpaceDE/>
              <w:autoSpaceDN/>
              <w:adjustRightInd/>
              <w:spacing w:line="233" w:lineRule="auto"/>
              <w:rPr>
                <w:color w:val="000000"/>
                <w:sz w:val="20"/>
                <w:szCs w:val="20"/>
              </w:rPr>
            </w:pPr>
            <w:r w:rsidRPr="007C51D6">
              <w:rPr>
                <w:color w:val="000000"/>
                <w:sz w:val="20"/>
                <w:szCs w:val="20"/>
              </w:rPr>
              <w:t>г.Казань</w:t>
            </w:r>
          </w:p>
        </w:tc>
        <w:tc>
          <w:tcPr>
            <w:tcW w:w="1183" w:type="dxa"/>
            <w:shd w:val="clear" w:color="auto" w:fill="auto"/>
            <w:hideMark/>
          </w:tcPr>
          <w:p w:rsidR="00D1588E" w:rsidRPr="007C51D6" w:rsidRDefault="00D1588E" w:rsidP="00D1588E">
            <w:pPr>
              <w:autoSpaceDE/>
              <w:autoSpaceDN/>
              <w:adjustRightInd/>
              <w:spacing w:line="233" w:lineRule="auto"/>
              <w:jc w:val="center"/>
              <w:rPr>
                <w:color w:val="000000"/>
                <w:sz w:val="20"/>
                <w:szCs w:val="20"/>
              </w:rPr>
            </w:pPr>
            <w:r w:rsidRPr="007C51D6">
              <w:rPr>
                <w:color w:val="000000"/>
                <w:sz w:val="20"/>
                <w:szCs w:val="20"/>
              </w:rPr>
              <w:t>60,54</w:t>
            </w:r>
          </w:p>
        </w:tc>
        <w:tc>
          <w:tcPr>
            <w:tcW w:w="1184" w:type="dxa"/>
            <w:shd w:val="clear" w:color="auto" w:fill="auto"/>
            <w:hideMark/>
          </w:tcPr>
          <w:p w:rsidR="00D1588E" w:rsidRPr="007C51D6" w:rsidRDefault="00D1588E" w:rsidP="00D1588E">
            <w:pPr>
              <w:autoSpaceDE/>
              <w:autoSpaceDN/>
              <w:adjustRightInd/>
              <w:spacing w:line="233" w:lineRule="auto"/>
              <w:jc w:val="center"/>
              <w:rPr>
                <w:color w:val="000000"/>
                <w:sz w:val="20"/>
                <w:szCs w:val="20"/>
              </w:rPr>
            </w:pPr>
            <w:r w:rsidRPr="007C51D6">
              <w:rPr>
                <w:color w:val="000000"/>
                <w:sz w:val="20"/>
                <w:szCs w:val="20"/>
              </w:rPr>
              <w:t>61,46</w:t>
            </w:r>
          </w:p>
        </w:tc>
        <w:tc>
          <w:tcPr>
            <w:tcW w:w="1183" w:type="dxa"/>
            <w:shd w:val="clear" w:color="auto" w:fill="auto"/>
            <w:hideMark/>
          </w:tcPr>
          <w:p w:rsidR="00D1588E" w:rsidRPr="007C51D6" w:rsidRDefault="00D1588E" w:rsidP="00D1588E">
            <w:pPr>
              <w:autoSpaceDE/>
              <w:autoSpaceDN/>
              <w:adjustRightInd/>
              <w:spacing w:line="233" w:lineRule="auto"/>
              <w:jc w:val="center"/>
              <w:rPr>
                <w:color w:val="000000"/>
                <w:sz w:val="20"/>
                <w:szCs w:val="20"/>
              </w:rPr>
            </w:pPr>
            <w:r w:rsidRPr="007C51D6">
              <w:rPr>
                <w:color w:val="000000"/>
                <w:sz w:val="20"/>
                <w:szCs w:val="20"/>
              </w:rPr>
              <w:t>62,25</w:t>
            </w:r>
          </w:p>
        </w:tc>
        <w:tc>
          <w:tcPr>
            <w:tcW w:w="1343" w:type="dxa"/>
            <w:shd w:val="clear" w:color="auto" w:fill="auto"/>
            <w:hideMark/>
          </w:tcPr>
          <w:p w:rsidR="00D1588E" w:rsidRPr="007C51D6" w:rsidRDefault="00D1588E" w:rsidP="00D1588E">
            <w:pPr>
              <w:autoSpaceDE/>
              <w:autoSpaceDN/>
              <w:adjustRightInd/>
              <w:spacing w:line="233" w:lineRule="auto"/>
              <w:jc w:val="center"/>
              <w:rPr>
                <w:color w:val="000000"/>
                <w:sz w:val="20"/>
                <w:szCs w:val="20"/>
              </w:rPr>
            </w:pPr>
            <w:r w:rsidRPr="007C51D6">
              <w:rPr>
                <w:color w:val="000000"/>
                <w:sz w:val="20"/>
                <w:szCs w:val="20"/>
              </w:rPr>
              <w:t>61,90</w:t>
            </w:r>
          </w:p>
        </w:tc>
        <w:tc>
          <w:tcPr>
            <w:tcW w:w="1183" w:type="dxa"/>
            <w:shd w:val="clear" w:color="auto" w:fill="auto"/>
            <w:hideMark/>
          </w:tcPr>
          <w:p w:rsidR="00D1588E" w:rsidRPr="007C51D6" w:rsidRDefault="00D1588E" w:rsidP="00D1588E">
            <w:pPr>
              <w:autoSpaceDE/>
              <w:autoSpaceDN/>
              <w:adjustRightInd/>
              <w:spacing w:line="233" w:lineRule="auto"/>
              <w:jc w:val="center"/>
              <w:rPr>
                <w:color w:val="000000"/>
                <w:sz w:val="20"/>
                <w:szCs w:val="20"/>
              </w:rPr>
            </w:pPr>
            <w:r w:rsidRPr="007C51D6">
              <w:rPr>
                <w:color w:val="000000"/>
                <w:sz w:val="20"/>
                <w:szCs w:val="20"/>
              </w:rPr>
              <w:t>60,87</w:t>
            </w:r>
          </w:p>
        </w:tc>
        <w:tc>
          <w:tcPr>
            <w:tcW w:w="1183" w:type="dxa"/>
          </w:tcPr>
          <w:p w:rsidR="00D1588E" w:rsidRPr="007C51D6" w:rsidRDefault="00D1588E" w:rsidP="00D1588E">
            <w:pPr>
              <w:autoSpaceDE/>
              <w:autoSpaceDN/>
              <w:adjustRightInd/>
              <w:spacing w:line="233" w:lineRule="auto"/>
              <w:jc w:val="center"/>
              <w:rPr>
                <w:color w:val="000000"/>
                <w:sz w:val="20"/>
                <w:szCs w:val="20"/>
              </w:rPr>
            </w:pPr>
            <w:r w:rsidRPr="007C51D6">
              <w:rPr>
                <w:color w:val="000000"/>
                <w:sz w:val="20"/>
                <w:szCs w:val="20"/>
              </w:rPr>
              <w:t>60,38</w:t>
            </w:r>
          </w:p>
        </w:tc>
        <w:tc>
          <w:tcPr>
            <w:tcW w:w="1184" w:type="dxa"/>
          </w:tcPr>
          <w:p w:rsidR="00D1588E" w:rsidRPr="007C51D6" w:rsidRDefault="00D1588E" w:rsidP="00D1588E">
            <w:pPr>
              <w:spacing w:line="233" w:lineRule="auto"/>
              <w:jc w:val="center"/>
              <w:rPr>
                <w:color w:val="000000"/>
                <w:sz w:val="20"/>
                <w:szCs w:val="20"/>
              </w:rPr>
            </w:pPr>
            <w:r w:rsidRPr="007C51D6">
              <w:rPr>
                <w:color w:val="000000"/>
                <w:sz w:val="20"/>
                <w:szCs w:val="20"/>
              </w:rPr>
              <w:t>59,98</w:t>
            </w:r>
          </w:p>
        </w:tc>
        <w:tc>
          <w:tcPr>
            <w:tcW w:w="1183" w:type="dxa"/>
          </w:tcPr>
          <w:p w:rsidR="00D1588E" w:rsidRPr="007C51D6" w:rsidRDefault="00D1588E" w:rsidP="00D1588E">
            <w:pPr>
              <w:spacing w:line="233" w:lineRule="auto"/>
              <w:jc w:val="center"/>
              <w:rPr>
                <w:color w:val="000000"/>
                <w:sz w:val="20"/>
                <w:szCs w:val="20"/>
              </w:rPr>
            </w:pPr>
            <w:r w:rsidRPr="007C51D6">
              <w:rPr>
                <w:color w:val="000000"/>
                <w:sz w:val="20"/>
                <w:szCs w:val="20"/>
              </w:rPr>
              <w:t>60,2</w:t>
            </w:r>
          </w:p>
        </w:tc>
        <w:tc>
          <w:tcPr>
            <w:tcW w:w="1247" w:type="dxa"/>
            <w:vAlign w:val="center"/>
          </w:tcPr>
          <w:p w:rsidR="00D1588E" w:rsidRPr="007C51D6" w:rsidRDefault="00D1588E" w:rsidP="00D1588E">
            <w:pPr>
              <w:spacing w:line="233" w:lineRule="auto"/>
              <w:jc w:val="center"/>
              <w:rPr>
                <w:color w:val="000000"/>
                <w:sz w:val="20"/>
                <w:szCs w:val="20"/>
              </w:rPr>
            </w:pPr>
            <w:r w:rsidRPr="007C51D6">
              <w:rPr>
                <w:color w:val="000000"/>
                <w:sz w:val="20"/>
                <w:szCs w:val="20"/>
              </w:rPr>
              <w:t>60.20</w:t>
            </w:r>
          </w:p>
        </w:tc>
        <w:tc>
          <w:tcPr>
            <w:tcW w:w="1247" w:type="dxa"/>
            <w:vAlign w:val="center"/>
          </w:tcPr>
          <w:p w:rsidR="00D1588E" w:rsidRPr="007C51D6" w:rsidRDefault="00D1588E" w:rsidP="00D1588E">
            <w:pPr>
              <w:jc w:val="center"/>
              <w:rPr>
                <w:color w:val="000000"/>
                <w:sz w:val="20"/>
                <w:szCs w:val="20"/>
              </w:rPr>
            </w:pPr>
            <w:r w:rsidRPr="007C51D6">
              <w:rPr>
                <w:color w:val="000000"/>
                <w:sz w:val="20"/>
                <w:szCs w:val="20"/>
              </w:rPr>
              <w:t>55.37</w:t>
            </w:r>
          </w:p>
        </w:tc>
      </w:tr>
    </w:tbl>
    <w:p w:rsidR="00E27362" w:rsidRPr="007C51D6" w:rsidRDefault="00E27362">
      <w:pPr>
        <w:rPr>
          <w:sz w:val="2"/>
          <w:szCs w:val="2"/>
        </w:rPr>
      </w:pPr>
    </w:p>
    <w:p w:rsidR="00E27362" w:rsidRPr="007C51D6" w:rsidRDefault="00E27362" w:rsidP="008E5259">
      <w:pPr>
        <w:autoSpaceDE/>
        <w:autoSpaceDN/>
        <w:adjustRightInd/>
        <w:rPr>
          <w:rFonts w:eastAsia="Arial"/>
          <w:sz w:val="20"/>
          <w:szCs w:val="20"/>
        </w:rPr>
      </w:pPr>
    </w:p>
    <w:p w:rsidR="00C04A3B" w:rsidRPr="007C51D6" w:rsidRDefault="00C04A3B" w:rsidP="008E5259">
      <w:pPr>
        <w:autoSpaceDE/>
        <w:autoSpaceDN/>
        <w:adjustRightInd/>
        <w:ind w:firstLine="709"/>
        <w:rPr>
          <w:rFonts w:eastAsia="Arial"/>
          <w:sz w:val="28"/>
          <w:szCs w:val="28"/>
        </w:rPr>
      </w:pPr>
      <w:r w:rsidRPr="007C51D6">
        <w:rPr>
          <w:rFonts w:eastAsia="Arial"/>
          <w:sz w:val="20"/>
          <w:szCs w:val="20"/>
        </w:rPr>
        <w:t>*Представлены оперативные данные</w:t>
      </w:r>
      <w:r w:rsidR="00D11944" w:rsidRPr="007C51D6">
        <w:rPr>
          <w:rFonts w:eastAsia="Arial"/>
          <w:sz w:val="20"/>
          <w:szCs w:val="20"/>
        </w:rPr>
        <w:t>.</w:t>
      </w:r>
    </w:p>
    <w:p w:rsidR="002C593B" w:rsidRPr="007C51D6" w:rsidRDefault="002C593B" w:rsidP="008E5259">
      <w:pPr>
        <w:autoSpaceDE/>
        <w:autoSpaceDN/>
        <w:adjustRightInd/>
        <w:ind w:left="11346" w:firstLine="709"/>
        <w:jc w:val="right"/>
        <w:rPr>
          <w:rFonts w:eastAsia="Arial"/>
          <w:sz w:val="28"/>
          <w:szCs w:val="28"/>
        </w:rPr>
      </w:pPr>
    </w:p>
    <w:p w:rsidR="009F2AA8" w:rsidRPr="007C51D6" w:rsidRDefault="00E1582B" w:rsidP="008E5259">
      <w:pPr>
        <w:autoSpaceDE/>
        <w:autoSpaceDN/>
        <w:adjustRightInd/>
        <w:ind w:firstLine="709"/>
        <w:jc w:val="both"/>
        <w:rPr>
          <w:rFonts w:eastAsia="Arial"/>
          <w:spacing w:val="4"/>
          <w:sz w:val="28"/>
          <w:szCs w:val="28"/>
        </w:rPr>
      </w:pPr>
      <w:r w:rsidRPr="007C51D6">
        <w:rPr>
          <w:rFonts w:eastAsia="Arial"/>
          <w:spacing w:val="-4"/>
          <w:sz w:val="28"/>
          <w:szCs w:val="28"/>
        </w:rPr>
        <w:t>В 2025 году п</w:t>
      </w:r>
      <w:r w:rsidR="00A12136" w:rsidRPr="007C51D6">
        <w:rPr>
          <w:rFonts w:eastAsia="Arial"/>
          <w:spacing w:val="-4"/>
          <w:sz w:val="28"/>
          <w:szCs w:val="28"/>
        </w:rPr>
        <w:t xml:space="preserve">оказатель доли больных, состоящих на учете в онкологических учреждениях </w:t>
      </w:r>
      <w:r w:rsidR="00D96F53" w:rsidRPr="007C51D6">
        <w:rPr>
          <w:rFonts w:eastAsia="Arial"/>
          <w:spacing w:val="-4"/>
          <w:sz w:val="28"/>
          <w:szCs w:val="28"/>
        </w:rPr>
        <w:t>5</w:t>
      </w:r>
      <w:r w:rsidR="00A12136" w:rsidRPr="007C51D6">
        <w:rPr>
          <w:rFonts w:eastAsia="Arial"/>
          <w:spacing w:val="-4"/>
          <w:sz w:val="28"/>
          <w:szCs w:val="28"/>
        </w:rPr>
        <w:t xml:space="preserve"> лет и более с момента установления диагноза ЗНО, составил </w:t>
      </w:r>
      <w:r w:rsidR="00577AAE" w:rsidRPr="007C51D6">
        <w:rPr>
          <w:rFonts w:eastAsia="Arial"/>
          <w:spacing w:val="-4"/>
          <w:sz w:val="28"/>
          <w:szCs w:val="28"/>
        </w:rPr>
        <w:t>55</w:t>
      </w:r>
      <w:r w:rsidR="00A12136" w:rsidRPr="007C51D6">
        <w:rPr>
          <w:rFonts w:eastAsia="Arial"/>
          <w:spacing w:val="-4"/>
          <w:sz w:val="28"/>
          <w:szCs w:val="28"/>
        </w:rPr>
        <w:t>,</w:t>
      </w:r>
      <w:r w:rsidR="00577AAE" w:rsidRPr="007C51D6">
        <w:rPr>
          <w:rFonts w:eastAsia="Arial"/>
          <w:spacing w:val="-4"/>
          <w:sz w:val="28"/>
          <w:szCs w:val="28"/>
        </w:rPr>
        <w:t>2</w:t>
      </w:r>
      <w:r w:rsidR="00A12136" w:rsidRPr="007C51D6">
        <w:rPr>
          <w:rFonts w:eastAsia="Arial"/>
          <w:spacing w:val="-4"/>
          <w:sz w:val="28"/>
          <w:szCs w:val="28"/>
        </w:rPr>
        <w:t xml:space="preserve"> процента, </w:t>
      </w:r>
      <w:r w:rsidR="00577AAE" w:rsidRPr="007C51D6">
        <w:rPr>
          <w:rFonts w:eastAsia="Arial"/>
          <w:spacing w:val="-4"/>
          <w:sz w:val="28"/>
          <w:szCs w:val="28"/>
        </w:rPr>
        <w:t>н</w:t>
      </w:r>
      <w:r w:rsidR="00A12136" w:rsidRPr="007C51D6">
        <w:rPr>
          <w:rFonts w:eastAsia="Arial"/>
          <w:spacing w:val="2"/>
          <w:sz w:val="28"/>
          <w:szCs w:val="28"/>
        </w:rPr>
        <w:t xml:space="preserve">аиболее неблагоприятные показатели </w:t>
      </w:r>
      <w:r w:rsidR="00A12136" w:rsidRPr="007C51D6">
        <w:rPr>
          <w:rFonts w:eastAsia="Arial"/>
          <w:spacing w:val="-4"/>
          <w:sz w:val="28"/>
          <w:szCs w:val="28"/>
        </w:rPr>
        <w:t xml:space="preserve">доли больных, состоящих на учете в онкологических учреждениях </w:t>
      </w:r>
      <w:r w:rsidR="00D96F53" w:rsidRPr="007C51D6">
        <w:rPr>
          <w:rFonts w:eastAsia="Arial"/>
          <w:spacing w:val="-4"/>
          <w:sz w:val="28"/>
          <w:szCs w:val="28"/>
        </w:rPr>
        <w:t>5</w:t>
      </w:r>
      <w:r w:rsidR="00A12136" w:rsidRPr="007C51D6">
        <w:rPr>
          <w:rFonts w:eastAsia="Arial"/>
          <w:spacing w:val="-4"/>
          <w:sz w:val="28"/>
          <w:szCs w:val="28"/>
        </w:rPr>
        <w:t xml:space="preserve"> лет и более с момента установления диагноза ЗНО, </w:t>
      </w:r>
      <w:r w:rsidR="00A12136" w:rsidRPr="007C51D6">
        <w:rPr>
          <w:rFonts w:eastAsia="Arial"/>
          <w:sz w:val="28"/>
          <w:szCs w:val="28"/>
        </w:rPr>
        <w:t>зарегистрированы в Пестречинском (4</w:t>
      </w:r>
      <w:r w:rsidR="00577AAE" w:rsidRPr="007C51D6">
        <w:rPr>
          <w:rFonts w:eastAsia="Arial"/>
          <w:sz w:val="28"/>
          <w:szCs w:val="28"/>
        </w:rPr>
        <w:t>8</w:t>
      </w:r>
      <w:r w:rsidR="00A12136" w:rsidRPr="007C51D6">
        <w:rPr>
          <w:rFonts w:eastAsia="Arial"/>
          <w:sz w:val="28"/>
          <w:szCs w:val="28"/>
        </w:rPr>
        <w:t>,</w:t>
      </w:r>
      <w:r w:rsidR="00577AAE" w:rsidRPr="007C51D6">
        <w:rPr>
          <w:rFonts w:eastAsia="Arial"/>
          <w:sz w:val="28"/>
          <w:szCs w:val="28"/>
        </w:rPr>
        <w:t>9</w:t>
      </w:r>
      <w:r w:rsidR="00A12136" w:rsidRPr="007C51D6">
        <w:rPr>
          <w:rFonts w:eastAsia="Arial"/>
          <w:sz w:val="28"/>
          <w:szCs w:val="28"/>
        </w:rPr>
        <w:t xml:space="preserve"> процента), Тукаевском (49,</w:t>
      </w:r>
      <w:r w:rsidR="00577AAE" w:rsidRPr="007C51D6">
        <w:rPr>
          <w:rFonts w:eastAsia="Arial"/>
          <w:sz w:val="28"/>
          <w:szCs w:val="28"/>
        </w:rPr>
        <w:t>4</w:t>
      </w:r>
      <w:r w:rsidR="00A12136" w:rsidRPr="007C51D6">
        <w:rPr>
          <w:rFonts w:eastAsia="Arial"/>
          <w:sz w:val="28"/>
          <w:szCs w:val="28"/>
        </w:rPr>
        <w:t xml:space="preserve"> процента), </w:t>
      </w:r>
      <w:r w:rsidR="00577AAE" w:rsidRPr="007C51D6">
        <w:rPr>
          <w:rFonts w:eastAsia="Arial"/>
          <w:sz w:val="28"/>
          <w:szCs w:val="28"/>
        </w:rPr>
        <w:t xml:space="preserve">Новошешминском (51,0 процента), </w:t>
      </w:r>
      <w:r w:rsidR="00A12136" w:rsidRPr="007C51D6">
        <w:rPr>
          <w:rFonts w:eastAsia="Arial"/>
          <w:sz w:val="28"/>
          <w:szCs w:val="28"/>
        </w:rPr>
        <w:t>Мамадышском (5</w:t>
      </w:r>
      <w:r w:rsidR="00577AAE" w:rsidRPr="007C51D6">
        <w:rPr>
          <w:rFonts w:eastAsia="Arial"/>
          <w:sz w:val="28"/>
          <w:szCs w:val="28"/>
        </w:rPr>
        <w:t>1</w:t>
      </w:r>
      <w:r w:rsidR="00A12136" w:rsidRPr="007C51D6">
        <w:rPr>
          <w:rFonts w:eastAsia="Arial"/>
          <w:sz w:val="28"/>
          <w:szCs w:val="28"/>
        </w:rPr>
        <w:t>,</w:t>
      </w:r>
      <w:r w:rsidR="00577AAE" w:rsidRPr="007C51D6">
        <w:rPr>
          <w:rFonts w:eastAsia="Arial"/>
          <w:sz w:val="28"/>
          <w:szCs w:val="28"/>
        </w:rPr>
        <w:t>3</w:t>
      </w:r>
      <w:r w:rsidR="00A12136" w:rsidRPr="007C51D6">
        <w:rPr>
          <w:rFonts w:eastAsia="Arial"/>
          <w:sz w:val="28"/>
          <w:szCs w:val="28"/>
        </w:rPr>
        <w:t xml:space="preserve"> процента), </w:t>
      </w:r>
      <w:r w:rsidR="00577AAE" w:rsidRPr="007C51D6">
        <w:rPr>
          <w:rFonts w:eastAsia="Arial"/>
          <w:sz w:val="28"/>
          <w:szCs w:val="28"/>
        </w:rPr>
        <w:t>Тюляч</w:t>
      </w:r>
      <w:r w:rsidR="00A12136" w:rsidRPr="007C51D6">
        <w:rPr>
          <w:rFonts w:eastAsia="Arial"/>
          <w:sz w:val="28"/>
          <w:szCs w:val="28"/>
        </w:rPr>
        <w:t>инском (5</w:t>
      </w:r>
      <w:r w:rsidR="00577AAE" w:rsidRPr="007C51D6">
        <w:rPr>
          <w:rFonts w:eastAsia="Arial"/>
          <w:sz w:val="28"/>
          <w:szCs w:val="28"/>
        </w:rPr>
        <w:t>2</w:t>
      </w:r>
      <w:r w:rsidR="00A12136" w:rsidRPr="007C51D6">
        <w:rPr>
          <w:rFonts w:eastAsia="Arial"/>
          <w:sz w:val="28"/>
          <w:szCs w:val="28"/>
        </w:rPr>
        <w:t>,</w:t>
      </w:r>
      <w:r w:rsidR="00577AAE" w:rsidRPr="007C51D6">
        <w:rPr>
          <w:rFonts w:eastAsia="Arial"/>
          <w:sz w:val="28"/>
          <w:szCs w:val="28"/>
        </w:rPr>
        <w:t>5</w:t>
      </w:r>
      <w:r w:rsidR="00A12136" w:rsidRPr="007C51D6">
        <w:rPr>
          <w:rFonts w:eastAsia="Arial"/>
          <w:sz w:val="28"/>
          <w:szCs w:val="28"/>
        </w:rPr>
        <w:t xml:space="preserve"> процента) муниципальных районах</w:t>
      </w:r>
      <w:r w:rsidR="00CC04B7" w:rsidRPr="007C51D6">
        <w:rPr>
          <w:rFonts w:eastAsia="Arial"/>
          <w:sz w:val="28"/>
          <w:szCs w:val="28"/>
        </w:rPr>
        <w:t xml:space="preserve"> (таблица 6)</w:t>
      </w:r>
      <w:r w:rsidR="00A12136" w:rsidRPr="007C51D6">
        <w:rPr>
          <w:rFonts w:eastAsia="Arial"/>
          <w:spacing w:val="-4"/>
          <w:sz w:val="28"/>
          <w:szCs w:val="28"/>
        </w:rPr>
        <w:t>.</w:t>
      </w:r>
      <w:r w:rsidR="009F2AA8" w:rsidRPr="007C51D6">
        <w:rPr>
          <w:rFonts w:eastAsia="Arial"/>
          <w:spacing w:val="4"/>
          <w:sz w:val="28"/>
          <w:szCs w:val="28"/>
        </w:rPr>
        <w:t xml:space="preserve"> </w:t>
      </w:r>
    </w:p>
    <w:p w:rsidR="00E50C5F" w:rsidRPr="007C51D6" w:rsidRDefault="009F2AA8" w:rsidP="00E27362">
      <w:pPr>
        <w:tabs>
          <w:tab w:val="left" w:pos="10773"/>
        </w:tabs>
        <w:autoSpaceDE/>
        <w:autoSpaceDN/>
        <w:adjustRightInd/>
        <w:ind w:left="1843" w:firstLine="11057"/>
        <w:jc w:val="right"/>
        <w:rPr>
          <w:rFonts w:eastAsia="Arial"/>
          <w:sz w:val="28"/>
          <w:szCs w:val="28"/>
        </w:rPr>
      </w:pPr>
      <w:r w:rsidRPr="007C51D6">
        <w:rPr>
          <w:rFonts w:eastAsia="Arial"/>
          <w:sz w:val="28"/>
          <w:szCs w:val="28"/>
        </w:rPr>
        <w:t xml:space="preserve">Таблица </w:t>
      </w:r>
      <w:r w:rsidR="00E50C5F" w:rsidRPr="007C51D6">
        <w:rPr>
          <w:rFonts w:eastAsia="Arial"/>
          <w:sz w:val="28"/>
          <w:szCs w:val="28"/>
        </w:rPr>
        <w:t>7</w:t>
      </w:r>
    </w:p>
    <w:p w:rsidR="003B175E" w:rsidRPr="007C51D6" w:rsidRDefault="003B175E" w:rsidP="003B175E">
      <w:pPr>
        <w:autoSpaceDE/>
        <w:autoSpaceDN/>
        <w:adjustRightInd/>
        <w:jc w:val="center"/>
        <w:rPr>
          <w:rFonts w:eastAsia="Arial"/>
          <w:sz w:val="28"/>
          <w:szCs w:val="28"/>
        </w:rPr>
      </w:pPr>
      <w:r w:rsidRPr="007C51D6">
        <w:rPr>
          <w:rFonts w:eastAsia="Arial"/>
          <w:sz w:val="28"/>
          <w:szCs w:val="28"/>
        </w:rPr>
        <w:t xml:space="preserve">Динамика показателя «Доля больных, состоящих на учете в онкологических учреждениях 5 лет и более с момента </w:t>
      </w:r>
    </w:p>
    <w:p w:rsidR="003B175E" w:rsidRPr="007C51D6" w:rsidRDefault="003B175E" w:rsidP="003B175E">
      <w:pPr>
        <w:autoSpaceDE/>
        <w:autoSpaceDN/>
        <w:adjustRightInd/>
        <w:jc w:val="center"/>
        <w:rPr>
          <w:rFonts w:eastAsia="Arial"/>
          <w:sz w:val="28"/>
          <w:szCs w:val="28"/>
        </w:rPr>
      </w:pPr>
      <w:r w:rsidRPr="007C51D6">
        <w:rPr>
          <w:rFonts w:eastAsia="Arial"/>
          <w:sz w:val="28"/>
          <w:szCs w:val="28"/>
        </w:rPr>
        <w:t>установления диагноза» при различных локализациях ЗНО в Республике Татарстан</w:t>
      </w:r>
    </w:p>
    <w:p w:rsidR="003B175E" w:rsidRPr="007C51D6" w:rsidRDefault="003B175E" w:rsidP="003B175E">
      <w:pPr>
        <w:autoSpaceDE/>
        <w:autoSpaceDN/>
        <w:adjustRightInd/>
        <w:jc w:val="center"/>
        <w:rPr>
          <w:rFonts w:eastAsia="Arial"/>
          <w:sz w:val="28"/>
          <w:szCs w:val="28"/>
        </w:rPr>
      </w:pPr>
      <w:r w:rsidRPr="007C51D6">
        <w:rPr>
          <w:rFonts w:eastAsia="Arial"/>
          <w:sz w:val="28"/>
          <w:szCs w:val="28"/>
        </w:rPr>
        <w:t xml:space="preserve">в 2016 – 2025 годах </w:t>
      </w:r>
    </w:p>
    <w:p w:rsidR="00D96F53" w:rsidRPr="007C51D6" w:rsidRDefault="00D96F53" w:rsidP="00E27362">
      <w:pPr>
        <w:autoSpaceDE/>
        <w:autoSpaceDN/>
        <w:adjustRightInd/>
        <w:jc w:val="center"/>
        <w:rPr>
          <w:rFonts w:eastAsia="Arial"/>
          <w:sz w:val="28"/>
          <w:szCs w:val="28"/>
        </w:rPr>
      </w:pPr>
    </w:p>
    <w:p w:rsidR="00E50C5F" w:rsidRPr="007C51D6" w:rsidRDefault="00D96F53" w:rsidP="00D96F53">
      <w:pPr>
        <w:autoSpaceDE/>
        <w:autoSpaceDN/>
        <w:adjustRightInd/>
        <w:jc w:val="right"/>
        <w:rPr>
          <w:rFonts w:eastAsia="Arial"/>
          <w:sz w:val="20"/>
          <w:szCs w:val="20"/>
        </w:rPr>
      </w:pPr>
      <w:r w:rsidRPr="007C51D6">
        <w:rPr>
          <w:rFonts w:eastAsia="Arial"/>
          <w:sz w:val="20"/>
          <w:szCs w:val="20"/>
        </w:rPr>
        <w:t>(</w:t>
      </w:r>
      <w:r w:rsidR="00E50C5F" w:rsidRPr="007C51D6">
        <w:rPr>
          <w:rFonts w:eastAsia="Arial"/>
          <w:sz w:val="20"/>
          <w:szCs w:val="20"/>
        </w:rPr>
        <w:t>процентов</w:t>
      </w:r>
      <w:r w:rsidRPr="007C51D6">
        <w:rPr>
          <w:rFonts w:eastAsia="Arial"/>
          <w:sz w:val="20"/>
          <w:szCs w:val="20"/>
        </w:rPr>
        <w:t>)</w:t>
      </w:r>
    </w:p>
    <w:tbl>
      <w:tblPr>
        <w:tblW w:w="15199"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37"/>
        <w:gridCol w:w="7"/>
        <w:gridCol w:w="1125"/>
        <w:gridCol w:w="9"/>
        <w:gridCol w:w="981"/>
        <w:gridCol w:w="10"/>
        <w:gridCol w:w="840"/>
        <w:gridCol w:w="10"/>
        <w:gridCol w:w="1004"/>
        <w:gridCol w:w="11"/>
        <w:gridCol w:w="984"/>
        <w:gridCol w:w="12"/>
        <w:gridCol w:w="989"/>
        <w:gridCol w:w="13"/>
        <w:gridCol w:w="1029"/>
        <w:gridCol w:w="14"/>
        <w:gridCol w:w="1043"/>
        <w:gridCol w:w="1142"/>
        <w:gridCol w:w="1709"/>
        <w:gridCol w:w="30"/>
      </w:tblGrid>
      <w:tr w:rsidR="003B175E" w:rsidRPr="007C51D6" w:rsidTr="00B2672E">
        <w:trPr>
          <w:gridAfter w:val="1"/>
          <w:wAfter w:w="30" w:type="dxa"/>
          <w:trHeight w:val="20"/>
        </w:trPr>
        <w:tc>
          <w:tcPr>
            <w:tcW w:w="4244" w:type="dxa"/>
            <w:gridSpan w:val="2"/>
            <w:shd w:val="clear" w:color="auto" w:fill="auto"/>
          </w:tcPr>
          <w:p w:rsidR="003B175E" w:rsidRPr="007C51D6" w:rsidRDefault="003B175E" w:rsidP="003B175E">
            <w:pPr>
              <w:autoSpaceDE/>
              <w:autoSpaceDN/>
              <w:adjustRightInd/>
              <w:jc w:val="center"/>
              <w:rPr>
                <w:color w:val="000000"/>
                <w:sz w:val="20"/>
                <w:szCs w:val="20"/>
              </w:rPr>
            </w:pPr>
            <w:r w:rsidRPr="007C51D6">
              <w:rPr>
                <w:color w:val="000000"/>
                <w:sz w:val="20"/>
                <w:szCs w:val="20"/>
              </w:rPr>
              <w:t xml:space="preserve">Локализация </w:t>
            </w:r>
            <w:r w:rsidRPr="007C51D6">
              <w:rPr>
                <w:rFonts w:eastAsia="Arial"/>
                <w:sz w:val="20"/>
                <w:szCs w:val="20"/>
              </w:rPr>
              <w:t>ЗНО</w:t>
            </w:r>
          </w:p>
        </w:tc>
        <w:tc>
          <w:tcPr>
            <w:tcW w:w="1134" w:type="dxa"/>
            <w:gridSpan w:val="2"/>
            <w:shd w:val="clear" w:color="auto" w:fill="auto"/>
          </w:tcPr>
          <w:p w:rsidR="003B175E" w:rsidRPr="007C51D6" w:rsidRDefault="003B175E" w:rsidP="003B175E">
            <w:pPr>
              <w:autoSpaceDE/>
              <w:autoSpaceDN/>
              <w:adjustRightInd/>
              <w:jc w:val="center"/>
              <w:rPr>
                <w:bCs/>
                <w:color w:val="000000"/>
                <w:sz w:val="20"/>
                <w:szCs w:val="20"/>
              </w:rPr>
            </w:pPr>
            <w:r w:rsidRPr="007C51D6">
              <w:rPr>
                <w:bCs/>
                <w:color w:val="000000"/>
                <w:sz w:val="20"/>
                <w:szCs w:val="20"/>
              </w:rPr>
              <w:t>2016 г.</w:t>
            </w:r>
          </w:p>
        </w:tc>
        <w:tc>
          <w:tcPr>
            <w:tcW w:w="991" w:type="dxa"/>
            <w:gridSpan w:val="2"/>
            <w:shd w:val="clear" w:color="auto" w:fill="auto"/>
          </w:tcPr>
          <w:p w:rsidR="003B175E" w:rsidRPr="007C51D6" w:rsidRDefault="003B175E" w:rsidP="003B175E">
            <w:pPr>
              <w:autoSpaceDE/>
              <w:autoSpaceDN/>
              <w:adjustRightInd/>
              <w:jc w:val="center"/>
              <w:rPr>
                <w:bCs/>
                <w:color w:val="000000"/>
                <w:sz w:val="20"/>
                <w:szCs w:val="20"/>
              </w:rPr>
            </w:pPr>
            <w:r w:rsidRPr="007C51D6">
              <w:rPr>
                <w:bCs/>
                <w:color w:val="000000"/>
                <w:sz w:val="20"/>
                <w:szCs w:val="20"/>
              </w:rPr>
              <w:t>2017 г.</w:t>
            </w:r>
          </w:p>
        </w:tc>
        <w:tc>
          <w:tcPr>
            <w:tcW w:w="850" w:type="dxa"/>
            <w:gridSpan w:val="2"/>
            <w:shd w:val="clear" w:color="auto" w:fill="auto"/>
          </w:tcPr>
          <w:p w:rsidR="003B175E" w:rsidRPr="007C51D6" w:rsidRDefault="003B175E" w:rsidP="003B175E">
            <w:pPr>
              <w:autoSpaceDE/>
              <w:autoSpaceDN/>
              <w:adjustRightInd/>
              <w:jc w:val="center"/>
              <w:rPr>
                <w:bCs/>
                <w:color w:val="000000"/>
                <w:sz w:val="20"/>
                <w:szCs w:val="20"/>
              </w:rPr>
            </w:pPr>
            <w:r w:rsidRPr="007C51D6">
              <w:rPr>
                <w:bCs/>
                <w:color w:val="000000"/>
                <w:sz w:val="20"/>
                <w:szCs w:val="20"/>
              </w:rPr>
              <w:t>2018 г.</w:t>
            </w:r>
          </w:p>
        </w:tc>
        <w:tc>
          <w:tcPr>
            <w:tcW w:w="1015" w:type="dxa"/>
            <w:gridSpan w:val="2"/>
            <w:shd w:val="clear" w:color="auto" w:fill="auto"/>
          </w:tcPr>
          <w:p w:rsidR="003B175E" w:rsidRPr="007C51D6" w:rsidRDefault="003B175E" w:rsidP="003B175E">
            <w:pPr>
              <w:autoSpaceDE/>
              <w:autoSpaceDN/>
              <w:adjustRightInd/>
              <w:jc w:val="center"/>
              <w:rPr>
                <w:rFonts w:eastAsia="Arial"/>
                <w:sz w:val="20"/>
                <w:szCs w:val="20"/>
              </w:rPr>
            </w:pPr>
            <w:r w:rsidRPr="007C51D6">
              <w:rPr>
                <w:rFonts w:eastAsia="Arial"/>
                <w:sz w:val="20"/>
                <w:szCs w:val="20"/>
              </w:rPr>
              <w:t>2019 г.</w:t>
            </w:r>
          </w:p>
        </w:tc>
        <w:tc>
          <w:tcPr>
            <w:tcW w:w="996" w:type="dxa"/>
            <w:gridSpan w:val="2"/>
            <w:shd w:val="clear" w:color="auto" w:fill="auto"/>
          </w:tcPr>
          <w:p w:rsidR="003B175E" w:rsidRPr="007C51D6" w:rsidRDefault="003B175E" w:rsidP="003B175E">
            <w:pPr>
              <w:autoSpaceDE/>
              <w:autoSpaceDN/>
              <w:adjustRightInd/>
              <w:jc w:val="center"/>
              <w:rPr>
                <w:rFonts w:eastAsia="Arial"/>
                <w:sz w:val="20"/>
                <w:szCs w:val="20"/>
              </w:rPr>
            </w:pPr>
            <w:r w:rsidRPr="007C51D6">
              <w:rPr>
                <w:rFonts w:eastAsia="Arial"/>
                <w:sz w:val="20"/>
                <w:szCs w:val="20"/>
              </w:rPr>
              <w:t>2020 г.</w:t>
            </w:r>
          </w:p>
        </w:tc>
        <w:tc>
          <w:tcPr>
            <w:tcW w:w="1002" w:type="dxa"/>
            <w:gridSpan w:val="2"/>
          </w:tcPr>
          <w:p w:rsidR="003B175E" w:rsidRPr="007C51D6" w:rsidRDefault="003B175E" w:rsidP="003B175E">
            <w:pPr>
              <w:autoSpaceDE/>
              <w:autoSpaceDN/>
              <w:adjustRightInd/>
              <w:jc w:val="center"/>
              <w:rPr>
                <w:rFonts w:eastAsia="Arial"/>
                <w:sz w:val="20"/>
                <w:szCs w:val="20"/>
              </w:rPr>
            </w:pPr>
            <w:r w:rsidRPr="007C51D6">
              <w:rPr>
                <w:rFonts w:eastAsia="Arial"/>
                <w:sz w:val="20"/>
                <w:szCs w:val="20"/>
              </w:rPr>
              <w:t>2021 г.</w:t>
            </w:r>
          </w:p>
        </w:tc>
        <w:tc>
          <w:tcPr>
            <w:tcW w:w="1043" w:type="dxa"/>
            <w:gridSpan w:val="2"/>
          </w:tcPr>
          <w:p w:rsidR="003B175E" w:rsidRPr="007C51D6" w:rsidRDefault="003B175E" w:rsidP="003B175E">
            <w:pPr>
              <w:autoSpaceDE/>
              <w:autoSpaceDN/>
              <w:adjustRightInd/>
              <w:jc w:val="center"/>
              <w:rPr>
                <w:rFonts w:eastAsia="Arial"/>
                <w:sz w:val="20"/>
                <w:szCs w:val="20"/>
              </w:rPr>
            </w:pPr>
            <w:r w:rsidRPr="007C51D6">
              <w:rPr>
                <w:rFonts w:eastAsia="Arial"/>
                <w:sz w:val="20"/>
                <w:szCs w:val="20"/>
              </w:rPr>
              <w:t>2022 г.</w:t>
            </w:r>
          </w:p>
        </w:tc>
        <w:tc>
          <w:tcPr>
            <w:tcW w:w="1043" w:type="dxa"/>
          </w:tcPr>
          <w:p w:rsidR="003B175E" w:rsidRPr="007C51D6" w:rsidRDefault="003B175E" w:rsidP="003B175E">
            <w:pPr>
              <w:autoSpaceDE/>
              <w:autoSpaceDN/>
              <w:adjustRightInd/>
              <w:jc w:val="center"/>
              <w:rPr>
                <w:rFonts w:eastAsia="Arial"/>
                <w:sz w:val="20"/>
                <w:szCs w:val="20"/>
              </w:rPr>
            </w:pPr>
            <w:r w:rsidRPr="007C51D6">
              <w:rPr>
                <w:rFonts w:eastAsia="Arial"/>
                <w:sz w:val="20"/>
                <w:szCs w:val="20"/>
              </w:rPr>
              <w:t>2023 г.</w:t>
            </w:r>
          </w:p>
        </w:tc>
        <w:tc>
          <w:tcPr>
            <w:tcW w:w="1142" w:type="dxa"/>
          </w:tcPr>
          <w:p w:rsidR="003B175E" w:rsidRPr="007C51D6" w:rsidRDefault="003B175E" w:rsidP="003B175E">
            <w:pPr>
              <w:autoSpaceDE/>
              <w:autoSpaceDN/>
              <w:adjustRightInd/>
              <w:jc w:val="center"/>
              <w:rPr>
                <w:rFonts w:eastAsia="Arial"/>
                <w:sz w:val="20"/>
                <w:szCs w:val="20"/>
              </w:rPr>
            </w:pPr>
            <w:r w:rsidRPr="007C51D6">
              <w:rPr>
                <w:rFonts w:eastAsia="Arial"/>
                <w:sz w:val="20"/>
                <w:szCs w:val="20"/>
              </w:rPr>
              <w:t>2024 г.</w:t>
            </w:r>
          </w:p>
        </w:tc>
        <w:tc>
          <w:tcPr>
            <w:tcW w:w="1709" w:type="dxa"/>
          </w:tcPr>
          <w:p w:rsidR="003B175E" w:rsidRPr="007C51D6" w:rsidRDefault="003B175E" w:rsidP="003B175E">
            <w:pPr>
              <w:autoSpaceDE/>
              <w:autoSpaceDN/>
              <w:adjustRightInd/>
              <w:jc w:val="center"/>
              <w:rPr>
                <w:rFonts w:eastAsia="Arial"/>
                <w:sz w:val="20"/>
                <w:szCs w:val="20"/>
              </w:rPr>
            </w:pPr>
            <w:r w:rsidRPr="007C51D6">
              <w:rPr>
                <w:rFonts w:eastAsia="Arial"/>
                <w:sz w:val="20"/>
                <w:szCs w:val="20"/>
              </w:rPr>
              <w:t>2025 г.*</w:t>
            </w:r>
          </w:p>
        </w:tc>
      </w:tr>
      <w:tr w:rsidR="003B175E" w:rsidRPr="007C51D6" w:rsidTr="00B2672E">
        <w:tblPrEx>
          <w:tblBorders>
            <w:bottom w:val="single" w:sz="4" w:space="0" w:color="auto"/>
          </w:tblBorders>
          <w:tblCellMar>
            <w:top w:w="11" w:type="dxa"/>
            <w:bottom w:w="11" w:type="dxa"/>
          </w:tblCellMar>
        </w:tblPrEx>
        <w:trPr>
          <w:gridAfter w:val="1"/>
          <w:wAfter w:w="30" w:type="dxa"/>
          <w:trHeight w:val="20"/>
          <w:tblHeader/>
        </w:trPr>
        <w:tc>
          <w:tcPr>
            <w:tcW w:w="4237" w:type="dxa"/>
            <w:shd w:val="clear" w:color="auto" w:fill="auto"/>
          </w:tcPr>
          <w:p w:rsidR="003B175E" w:rsidRPr="007C51D6" w:rsidRDefault="003B175E" w:rsidP="003B175E">
            <w:pPr>
              <w:autoSpaceDE/>
              <w:autoSpaceDN/>
              <w:adjustRightInd/>
              <w:jc w:val="center"/>
              <w:rPr>
                <w:color w:val="000000"/>
                <w:sz w:val="20"/>
                <w:szCs w:val="20"/>
              </w:rPr>
            </w:pPr>
            <w:r w:rsidRPr="007C51D6">
              <w:rPr>
                <w:color w:val="000000"/>
                <w:sz w:val="20"/>
                <w:szCs w:val="20"/>
              </w:rPr>
              <w:t>1</w:t>
            </w:r>
          </w:p>
        </w:tc>
        <w:tc>
          <w:tcPr>
            <w:tcW w:w="1132" w:type="dxa"/>
            <w:gridSpan w:val="2"/>
            <w:shd w:val="clear" w:color="auto" w:fill="auto"/>
          </w:tcPr>
          <w:p w:rsidR="003B175E" w:rsidRPr="007C51D6" w:rsidRDefault="003B175E" w:rsidP="003B175E">
            <w:pPr>
              <w:autoSpaceDE/>
              <w:autoSpaceDN/>
              <w:adjustRightInd/>
              <w:jc w:val="center"/>
              <w:rPr>
                <w:bCs/>
                <w:color w:val="000000"/>
                <w:sz w:val="20"/>
                <w:szCs w:val="20"/>
              </w:rPr>
            </w:pPr>
            <w:r w:rsidRPr="007C51D6">
              <w:rPr>
                <w:bCs/>
                <w:color w:val="000000"/>
                <w:sz w:val="20"/>
                <w:szCs w:val="20"/>
              </w:rPr>
              <w:t>2</w:t>
            </w:r>
          </w:p>
        </w:tc>
        <w:tc>
          <w:tcPr>
            <w:tcW w:w="990" w:type="dxa"/>
            <w:gridSpan w:val="2"/>
            <w:shd w:val="clear" w:color="auto" w:fill="auto"/>
          </w:tcPr>
          <w:p w:rsidR="003B175E" w:rsidRPr="007C51D6" w:rsidRDefault="003B175E" w:rsidP="003B175E">
            <w:pPr>
              <w:autoSpaceDE/>
              <w:autoSpaceDN/>
              <w:adjustRightInd/>
              <w:jc w:val="center"/>
              <w:rPr>
                <w:bCs/>
                <w:color w:val="000000"/>
                <w:sz w:val="20"/>
                <w:szCs w:val="20"/>
              </w:rPr>
            </w:pPr>
            <w:r w:rsidRPr="007C51D6">
              <w:rPr>
                <w:bCs/>
                <w:color w:val="000000"/>
                <w:sz w:val="20"/>
                <w:szCs w:val="20"/>
              </w:rPr>
              <w:t>3</w:t>
            </w:r>
          </w:p>
        </w:tc>
        <w:tc>
          <w:tcPr>
            <w:tcW w:w="850" w:type="dxa"/>
            <w:gridSpan w:val="2"/>
            <w:shd w:val="clear" w:color="auto" w:fill="auto"/>
          </w:tcPr>
          <w:p w:rsidR="003B175E" w:rsidRPr="007C51D6" w:rsidRDefault="003B175E" w:rsidP="003B175E">
            <w:pPr>
              <w:autoSpaceDE/>
              <w:autoSpaceDN/>
              <w:adjustRightInd/>
              <w:jc w:val="center"/>
              <w:rPr>
                <w:bCs/>
                <w:color w:val="000000"/>
                <w:sz w:val="20"/>
                <w:szCs w:val="20"/>
              </w:rPr>
            </w:pPr>
            <w:r w:rsidRPr="007C51D6">
              <w:rPr>
                <w:bCs/>
                <w:color w:val="000000"/>
                <w:sz w:val="20"/>
                <w:szCs w:val="20"/>
              </w:rPr>
              <w:t>4</w:t>
            </w:r>
          </w:p>
        </w:tc>
        <w:tc>
          <w:tcPr>
            <w:tcW w:w="1014" w:type="dxa"/>
            <w:gridSpan w:val="2"/>
            <w:shd w:val="clear" w:color="auto" w:fill="auto"/>
          </w:tcPr>
          <w:p w:rsidR="003B175E" w:rsidRPr="007C51D6" w:rsidRDefault="003B175E" w:rsidP="003B175E">
            <w:pPr>
              <w:autoSpaceDE/>
              <w:autoSpaceDN/>
              <w:adjustRightInd/>
              <w:jc w:val="center"/>
              <w:rPr>
                <w:rFonts w:eastAsia="Arial"/>
                <w:sz w:val="20"/>
                <w:szCs w:val="20"/>
              </w:rPr>
            </w:pPr>
            <w:r w:rsidRPr="007C51D6">
              <w:rPr>
                <w:rFonts w:eastAsia="Arial"/>
                <w:sz w:val="20"/>
                <w:szCs w:val="20"/>
              </w:rPr>
              <w:t>5</w:t>
            </w:r>
          </w:p>
        </w:tc>
        <w:tc>
          <w:tcPr>
            <w:tcW w:w="995" w:type="dxa"/>
            <w:gridSpan w:val="2"/>
            <w:shd w:val="clear" w:color="auto" w:fill="auto"/>
          </w:tcPr>
          <w:p w:rsidR="003B175E" w:rsidRPr="007C51D6" w:rsidRDefault="003B175E" w:rsidP="003B175E">
            <w:pPr>
              <w:autoSpaceDE/>
              <w:autoSpaceDN/>
              <w:adjustRightInd/>
              <w:jc w:val="center"/>
              <w:rPr>
                <w:rFonts w:eastAsia="Arial"/>
                <w:sz w:val="20"/>
                <w:szCs w:val="20"/>
              </w:rPr>
            </w:pPr>
            <w:r w:rsidRPr="007C51D6">
              <w:rPr>
                <w:rFonts w:eastAsia="Arial"/>
                <w:sz w:val="20"/>
                <w:szCs w:val="20"/>
              </w:rPr>
              <w:t>6</w:t>
            </w:r>
          </w:p>
        </w:tc>
        <w:tc>
          <w:tcPr>
            <w:tcW w:w="1001" w:type="dxa"/>
            <w:gridSpan w:val="2"/>
          </w:tcPr>
          <w:p w:rsidR="003B175E" w:rsidRPr="007C51D6" w:rsidRDefault="003B175E" w:rsidP="003B175E">
            <w:pPr>
              <w:autoSpaceDE/>
              <w:autoSpaceDN/>
              <w:adjustRightInd/>
              <w:jc w:val="center"/>
              <w:rPr>
                <w:rFonts w:eastAsia="Arial"/>
                <w:sz w:val="20"/>
                <w:szCs w:val="20"/>
              </w:rPr>
            </w:pPr>
            <w:r w:rsidRPr="007C51D6">
              <w:rPr>
                <w:rFonts w:eastAsia="Arial"/>
                <w:sz w:val="20"/>
                <w:szCs w:val="20"/>
              </w:rPr>
              <w:t>7</w:t>
            </w:r>
          </w:p>
        </w:tc>
        <w:tc>
          <w:tcPr>
            <w:tcW w:w="1042" w:type="dxa"/>
            <w:gridSpan w:val="2"/>
          </w:tcPr>
          <w:p w:rsidR="003B175E" w:rsidRPr="007C51D6" w:rsidRDefault="003B175E" w:rsidP="003B175E">
            <w:pPr>
              <w:autoSpaceDE/>
              <w:autoSpaceDN/>
              <w:adjustRightInd/>
              <w:jc w:val="center"/>
              <w:rPr>
                <w:rFonts w:eastAsia="Arial"/>
                <w:sz w:val="20"/>
                <w:szCs w:val="20"/>
              </w:rPr>
            </w:pPr>
            <w:r w:rsidRPr="007C51D6">
              <w:rPr>
                <w:rFonts w:eastAsia="Arial"/>
                <w:sz w:val="20"/>
                <w:szCs w:val="20"/>
              </w:rPr>
              <w:t>8</w:t>
            </w:r>
          </w:p>
        </w:tc>
        <w:tc>
          <w:tcPr>
            <w:tcW w:w="1057" w:type="dxa"/>
            <w:gridSpan w:val="2"/>
          </w:tcPr>
          <w:p w:rsidR="003B175E" w:rsidRPr="007C51D6" w:rsidRDefault="003B175E" w:rsidP="003B175E">
            <w:pPr>
              <w:autoSpaceDE/>
              <w:autoSpaceDN/>
              <w:adjustRightInd/>
              <w:jc w:val="center"/>
              <w:rPr>
                <w:rFonts w:eastAsia="Arial"/>
                <w:sz w:val="20"/>
                <w:szCs w:val="20"/>
              </w:rPr>
            </w:pPr>
            <w:r w:rsidRPr="007C51D6">
              <w:rPr>
                <w:rFonts w:eastAsia="Arial"/>
                <w:sz w:val="20"/>
                <w:szCs w:val="20"/>
              </w:rPr>
              <w:t>9</w:t>
            </w:r>
          </w:p>
        </w:tc>
        <w:tc>
          <w:tcPr>
            <w:tcW w:w="1142" w:type="dxa"/>
          </w:tcPr>
          <w:p w:rsidR="003B175E" w:rsidRPr="007C51D6" w:rsidRDefault="003B175E" w:rsidP="003B175E">
            <w:pPr>
              <w:autoSpaceDE/>
              <w:autoSpaceDN/>
              <w:adjustRightInd/>
              <w:jc w:val="center"/>
              <w:rPr>
                <w:rFonts w:eastAsia="Arial"/>
                <w:sz w:val="20"/>
                <w:szCs w:val="20"/>
              </w:rPr>
            </w:pPr>
            <w:r w:rsidRPr="007C51D6">
              <w:rPr>
                <w:rFonts w:eastAsia="Arial"/>
                <w:sz w:val="20"/>
                <w:szCs w:val="20"/>
              </w:rPr>
              <w:t>10</w:t>
            </w:r>
          </w:p>
        </w:tc>
        <w:tc>
          <w:tcPr>
            <w:tcW w:w="1709" w:type="dxa"/>
          </w:tcPr>
          <w:p w:rsidR="003B175E" w:rsidRPr="007C51D6" w:rsidRDefault="003B175E" w:rsidP="003B175E">
            <w:pPr>
              <w:autoSpaceDE/>
              <w:autoSpaceDN/>
              <w:adjustRightInd/>
              <w:jc w:val="center"/>
              <w:rPr>
                <w:rFonts w:eastAsia="Arial"/>
                <w:sz w:val="20"/>
                <w:szCs w:val="20"/>
              </w:rPr>
            </w:pPr>
            <w:r w:rsidRPr="007C51D6">
              <w:rPr>
                <w:rFonts w:eastAsia="Arial"/>
                <w:sz w:val="20"/>
                <w:szCs w:val="20"/>
              </w:rPr>
              <w:t>11</w:t>
            </w:r>
          </w:p>
        </w:tc>
      </w:tr>
      <w:tr w:rsidR="006D22D9" w:rsidRPr="007C51D6" w:rsidTr="00080BEF">
        <w:tblPrEx>
          <w:tblBorders>
            <w:bottom w:val="single" w:sz="4" w:space="0" w:color="auto"/>
          </w:tblBorders>
          <w:tblCellMar>
            <w:top w:w="11" w:type="dxa"/>
            <w:bottom w:w="11" w:type="dxa"/>
          </w:tblCellMar>
        </w:tblPrEx>
        <w:trPr>
          <w:gridAfter w:val="1"/>
          <w:wAfter w:w="30" w:type="dxa"/>
          <w:trHeight w:val="20"/>
        </w:trPr>
        <w:tc>
          <w:tcPr>
            <w:tcW w:w="4237" w:type="dxa"/>
            <w:shd w:val="clear" w:color="auto" w:fill="auto"/>
            <w:vAlign w:val="center"/>
            <w:hideMark/>
          </w:tcPr>
          <w:p w:rsidR="006D22D9" w:rsidRPr="007C51D6" w:rsidRDefault="006D22D9" w:rsidP="003B175E">
            <w:pPr>
              <w:jc w:val="center"/>
              <w:rPr>
                <w:color w:val="000000"/>
                <w:sz w:val="20"/>
                <w:szCs w:val="20"/>
              </w:rPr>
            </w:pPr>
          </w:p>
        </w:tc>
        <w:tc>
          <w:tcPr>
            <w:tcW w:w="10932" w:type="dxa"/>
            <w:gridSpan w:val="18"/>
            <w:shd w:val="clear" w:color="auto" w:fill="auto"/>
            <w:vAlign w:val="center"/>
          </w:tcPr>
          <w:p w:rsidR="006D22D9" w:rsidRPr="007C51D6" w:rsidRDefault="006D22D9" w:rsidP="003B175E">
            <w:pPr>
              <w:jc w:val="center"/>
              <w:rPr>
                <w:color w:val="000000"/>
                <w:sz w:val="20"/>
                <w:szCs w:val="20"/>
              </w:rPr>
            </w:pPr>
            <w:r w:rsidRPr="007C51D6">
              <w:rPr>
                <w:color w:val="000000"/>
                <w:sz w:val="20"/>
                <w:szCs w:val="20"/>
              </w:rPr>
              <w:t>Мужчины</w:t>
            </w:r>
          </w:p>
        </w:tc>
      </w:tr>
      <w:tr w:rsidR="00B2672E" w:rsidRPr="007C51D6" w:rsidTr="00B2672E">
        <w:tblPrEx>
          <w:tblBorders>
            <w:bottom w:val="single" w:sz="4" w:space="0" w:color="auto"/>
          </w:tblBorders>
          <w:tblCellMar>
            <w:top w:w="11" w:type="dxa"/>
            <w:bottom w:w="11" w:type="dxa"/>
          </w:tblCellMar>
        </w:tblPrEx>
        <w:trPr>
          <w:gridAfter w:val="1"/>
          <w:wAfter w:w="30" w:type="dxa"/>
          <w:trHeight w:val="20"/>
        </w:trPr>
        <w:tc>
          <w:tcPr>
            <w:tcW w:w="4237" w:type="dxa"/>
            <w:shd w:val="clear" w:color="auto" w:fill="auto"/>
            <w:hideMark/>
          </w:tcPr>
          <w:p w:rsidR="00B2672E" w:rsidRPr="007C51D6" w:rsidRDefault="00B2672E" w:rsidP="00B2672E">
            <w:pPr>
              <w:autoSpaceDE/>
              <w:autoSpaceDN/>
              <w:adjustRightInd/>
              <w:jc w:val="both"/>
              <w:rPr>
                <w:color w:val="000000"/>
                <w:sz w:val="20"/>
                <w:szCs w:val="20"/>
              </w:rPr>
            </w:pPr>
            <w:r w:rsidRPr="007C51D6">
              <w:rPr>
                <w:color w:val="000000"/>
                <w:sz w:val="20"/>
                <w:szCs w:val="20"/>
              </w:rPr>
              <w:t>Всего, в том числе:</w:t>
            </w:r>
          </w:p>
        </w:tc>
        <w:tc>
          <w:tcPr>
            <w:tcW w:w="1132" w:type="dxa"/>
            <w:gridSpan w:val="2"/>
            <w:shd w:val="clear" w:color="auto" w:fill="auto"/>
            <w:hideMark/>
          </w:tcPr>
          <w:p w:rsidR="00B2672E" w:rsidRPr="007C51D6" w:rsidRDefault="00B2672E" w:rsidP="00B2672E">
            <w:pPr>
              <w:autoSpaceDE/>
              <w:autoSpaceDN/>
              <w:adjustRightInd/>
              <w:jc w:val="center"/>
              <w:rPr>
                <w:color w:val="000000"/>
                <w:sz w:val="20"/>
                <w:szCs w:val="20"/>
              </w:rPr>
            </w:pPr>
            <w:r w:rsidRPr="007C51D6">
              <w:rPr>
                <w:color w:val="000000"/>
                <w:sz w:val="20"/>
                <w:szCs w:val="20"/>
              </w:rPr>
              <w:t>50,91</w:t>
            </w:r>
          </w:p>
        </w:tc>
        <w:tc>
          <w:tcPr>
            <w:tcW w:w="990" w:type="dxa"/>
            <w:gridSpan w:val="2"/>
            <w:shd w:val="clear" w:color="auto" w:fill="auto"/>
            <w:hideMark/>
          </w:tcPr>
          <w:p w:rsidR="00B2672E" w:rsidRPr="007C51D6" w:rsidRDefault="00B2672E" w:rsidP="00B2672E">
            <w:pPr>
              <w:autoSpaceDE/>
              <w:autoSpaceDN/>
              <w:adjustRightInd/>
              <w:jc w:val="center"/>
              <w:rPr>
                <w:color w:val="000000"/>
                <w:sz w:val="20"/>
                <w:szCs w:val="20"/>
              </w:rPr>
            </w:pPr>
            <w:r w:rsidRPr="007C51D6">
              <w:rPr>
                <w:color w:val="000000"/>
                <w:sz w:val="20"/>
                <w:szCs w:val="20"/>
              </w:rPr>
              <w:t>51,42</w:t>
            </w:r>
          </w:p>
        </w:tc>
        <w:tc>
          <w:tcPr>
            <w:tcW w:w="850" w:type="dxa"/>
            <w:gridSpan w:val="2"/>
            <w:shd w:val="clear" w:color="auto" w:fill="auto"/>
            <w:hideMark/>
          </w:tcPr>
          <w:p w:rsidR="00B2672E" w:rsidRPr="007C51D6" w:rsidRDefault="00B2672E" w:rsidP="00B2672E">
            <w:pPr>
              <w:autoSpaceDE/>
              <w:autoSpaceDN/>
              <w:adjustRightInd/>
              <w:jc w:val="center"/>
              <w:rPr>
                <w:color w:val="000000"/>
                <w:sz w:val="20"/>
                <w:szCs w:val="20"/>
              </w:rPr>
            </w:pPr>
            <w:r w:rsidRPr="007C51D6">
              <w:rPr>
                <w:color w:val="000000"/>
                <w:sz w:val="20"/>
                <w:szCs w:val="20"/>
              </w:rPr>
              <w:t>52,31</w:t>
            </w:r>
          </w:p>
        </w:tc>
        <w:tc>
          <w:tcPr>
            <w:tcW w:w="1014" w:type="dxa"/>
            <w:gridSpan w:val="2"/>
            <w:shd w:val="clear" w:color="auto" w:fill="auto"/>
            <w:hideMark/>
          </w:tcPr>
          <w:p w:rsidR="00B2672E" w:rsidRPr="007C51D6" w:rsidRDefault="00B2672E" w:rsidP="00B2672E">
            <w:pPr>
              <w:autoSpaceDE/>
              <w:autoSpaceDN/>
              <w:adjustRightInd/>
              <w:jc w:val="center"/>
              <w:rPr>
                <w:color w:val="000000"/>
                <w:sz w:val="20"/>
                <w:szCs w:val="20"/>
              </w:rPr>
            </w:pPr>
            <w:r w:rsidRPr="007C51D6">
              <w:rPr>
                <w:color w:val="000000"/>
                <w:sz w:val="20"/>
                <w:szCs w:val="20"/>
              </w:rPr>
              <w:t>53,59</w:t>
            </w:r>
          </w:p>
        </w:tc>
        <w:tc>
          <w:tcPr>
            <w:tcW w:w="995" w:type="dxa"/>
            <w:gridSpan w:val="2"/>
            <w:shd w:val="clear" w:color="auto" w:fill="auto"/>
            <w:hideMark/>
          </w:tcPr>
          <w:p w:rsidR="00B2672E" w:rsidRPr="007C51D6" w:rsidRDefault="00B2672E" w:rsidP="00B2672E">
            <w:pPr>
              <w:autoSpaceDE/>
              <w:autoSpaceDN/>
              <w:adjustRightInd/>
              <w:jc w:val="center"/>
              <w:rPr>
                <w:color w:val="000000"/>
                <w:sz w:val="20"/>
                <w:szCs w:val="20"/>
              </w:rPr>
            </w:pPr>
            <w:r w:rsidRPr="007C51D6">
              <w:rPr>
                <w:color w:val="000000"/>
                <w:sz w:val="20"/>
                <w:szCs w:val="20"/>
              </w:rPr>
              <w:t>54,11</w:t>
            </w:r>
          </w:p>
        </w:tc>
        <w:tc>
          <w:tcPr>
            <w:tcW w:w="1001" w:type="dxa"/>
            <w:gridSpan w:val="2"/>
          </w:tcPr>
          <w:p w:rsidR="00B2672E" w:rsidRPr="007C51D6" w:rsidRDefault="00B2672E" w:rsidP="00B2672E">
            <w:pPr>
              <w:jc w:val="center"/>
              <w:rPr>
                <w:color w:val="000000"/>
                <w:sz w:val="20"/>
                <w:szCs w:val="20"/>
              </w:rPr>
            </w:pPr>
            <w:r w:rsidRPr="007C51D6">
              <w:rPr>
                <w:color w:val="000000"/>
                <w:sz w:val="20"/>
                <w:szCs w:val="20"/>
              </w:rPr>
              <w:t>54,91</w:t>
            </w:r>
          </w:p>
        </w:tc>
        <w:tc>
          <w:tcPr>
            <w:tcW w:w="1042" w:type="dxa"/>
            <w:gridSpan w:val="2"/>
          </w:tcPr>
          <w:p w:rsidR="00B2672E" w:rsidRPr="007C51D6" w:rsidRDefault="00B2672E" w:rsidP="00B2672E">
            <w:pPr>
              <w:autoSpaceDE/>
              <w:autoSpaceDN/>
              <w:adjustRightInd/>
              <w:jc w:val="center"/>
              <w:rPr>
                <w:color w:val="000000"/>
                <w:sz w:val="20"/>
                <w:szCs w:val="20"/>
              </w:rPr>
            </w:pPr>
            <w:r w:rsidRPr="007C51D6">
              <w:rPr>
                <w:color w:val="000000"/>
                <w:sz w:val="20"/>
                <w:szCs w:val="20"/>
              </w:rPr>
              <w:t>55,41</w:t>
            </w:r>
          </w:p>
        </w:tc>
        <w:tc>
          <w:tcPr>
            <w:tcW w:w="1057" w:type="dxa"/>
            <w:gridSpan w:val="2"/>
          </w:tcPr>
          <w:p w:rsidR="00B2672E" w:rsidRPr="007C51D6" w:rsidRDefault="00B2672E" w:rsidP="00B2672E">
            <w:pPr>
              <w:autoSpaceDE/>
              <w:autoSpaceDN/>
              <w:adjustRightInd/>
              <w:jc w:val="center"/>
              <w:rPr>
                <w:color w:val="000000"/>
                <w:sz w:val="20"/>
                <w:szCs w:val="20"/>
              </w:rPr>
            </w:pPr>
            <w:r w:rsidRPr="007C51D6">
              <w:rPr>
                <w:color w:val="000000"/>
                <w:sz w:val="20"/>
                <w:szCs w:val="20"/>
              </w:rPr>
              <w:t>55,83</w:t>
            </w:r>
          </w:p>
        </w:tc>
        <w:tc>
          <w:tcPr>
            <w:tcW w:w="1142" w:type="dxa"/>
            <w:vAlign w:val="center"/>
          </w:tcPr>
          <w:p w:rsidR="00B2672E" w:rsidRPr="007C51D6" w:rsidRDefault="00B2672E" w:rsidP="00B2672E">
            <w:pPr>
              <w:widowControl/>
              <w:autoSpaceDE/>
              <w:autoSpaceDN/>
              <w:adjustRightInd/>
              <w:jc w:val="center"/>
              <w:rPr>
                <w:color w:val="000000"/>
                <w:sz w:val="20"/>
                <w:szCs w:val="20"/>
              </w:rPr>
            </w:pPr>
            <w:r w:rsidRPr="007C51D6">
              <w:rPr>
                <w:color w:val="000000"/>
                <w:sz w:val="20"/>
                <w:szCs w:val="20"/>
              </w:rPr>
              <w:t>54.80</w:t>
            </w:r>
          </w:p>
        </w:tc>
        <w:tc>
          <w:tcPr>
            <w:tcW w:w="1709" w:type="dxa"/>
            <w:vAlign w:val="center"/>
          </w:tcPr>
          <w:p w:rsidR="00B2672E" w:rsidRPr="007C51D6" w:rsidRDefault="00B2672E" w:rsidP="00B2672E">
            <w:pPr>
              <w:jc w:val="center"/>
              <w:rPr>
                <w:color w:val="000000"/>
                <w:sz w:val="20"/>
                <w:szCs w:val="20"/>
              </w:rPr>
            </w:pPr>
            <w:r w:rsidRPr="007C51D6">
              <w:rPr>
                <w:color w:val="000000"/>
                <w:sz w:val="20"/>
                <w:szCs w:val="20"/>
              </w:rPr>
              <w:t>49.43</w:t>
            </w:r>
          </w:p>
        </w:tc>
      </w:tr>
      <w:tr w:rsidR="00B2672E" w:rsidRPr="007C51D6" w:rsidTr="00B2672E">
        <w:tblPrEx>
          <w:tblBorders>
            <w:bottom w:val="single" w:sz="4" w:space="0" w:color="auto"/>
          </w:tblBorders>
          <w:tblCellMar>
            <w:top w:w="11" w:type="dxa"/>
            <w:bottom w:w="11" w:type="dxa"/>
          </w:tblCellMar>
        </w:tblPrEx>
        <w:trPr>
          <w:gridAfter w:val="1"/>
          <w:wAfter w:w="30" w:type="dxa"/>
          <w:trHeight w:val="20"/>
        </w:trPr>
        <w:tc>
          <w:tcPr>
            <w:tcW w:w="4237" w:type="dxa"/>
            <w:shd w:val="clear" w:color="auto" w:fill="auto"/>
            <w:hideMark/>
          </w:tcPr>
          <w:p w:rsidR="00B2672E" w:rsidRPr="007C51D6" w:rsidRDefault="00B2672E" w:rsidP="00B2672E">
            <w:pPr>
              <w:autoSpaceDE/>
              <w:autoSpaceDN/>
              <w:adjustRightInd/>
              <w:jc w:val="both"/>
              <w:rPr>
                <w:color w:val="000000"/>
                <w:sz w:val="20"/>
                <w:szCs w:val="20"/>
              </w:rPr>
            </w:pPr>
            <w:r w:rsidRPr="007C51D6">
              <w:rPr>
                <w:color w:val="000000"/>
                <w:sz w:val="20"/>
                <w:szCs w:val="20"/>
              </w:rPr>
              <w:t>злокачественные лимфомы</w:t>
            </w:r>
          </w:p>
        </w:tc>
        <w:tc>
          <w:tcPr>
            <w:tcW w:w="1132" w:type="dxa"/>
            <w:gridSpan w:val="2"/>
            <w:shd w:val="clear" w:color="auto" w:fill="auto"/>
            <w:hideMark/>
          </w:tcPr>
          <w:p w:rsidR="00B2672E" w:rsidRPr="007C51D6" w:rsidRDefault="00B2672E" w:rsidP="00B2672E">
            <w:pPr>
              <w:autoSpaceDE/>
              <w:autoSpaceDN/>
              <w:adjustRightInd/>
              <w:jc w:val="center"/>
              <w:rPr>
                <w:color w:val="000000"/>
                <w:sz w:val="20"/>
                <w:szCs w:val="20"/>
              </w:rPr>
            </w:pPr>
            <w:r w:rsidRPr="007C51D6">
              <w:rPr>
                <w:color w:val="000000"/>
                <w:sz w:val="20"/>
                <w:szCs w:val="20"/>
              </w:rPr>
              <w:t>60,64</w:t>
            </w:r>
          </w:p>
        </w:tc>
        <w:tc>
          <w:tcPr>
            <w:tcW w:w="990" w:type="dxa"/>
            <w:gridSpan w:val="2"/>
            <w:shd w:val="clear" w:color="auto" w:fill="auto"/>
            <w:hideMark/>
          </w:tcPr>
          <w:p w:rsidR="00B2672E" w:rsidRPr="007C51D6" w:rsidRDefault="00B2672E" w:rsidP="00B2672E">
            <w:pPr>
              <w:autoSpaceDE/>
              <w:autoSpaceDN/>
              <w:adjustRightInd/>
              <w:jc w:val="center"/>
              <w:rPr>
                <w:color w:val="000000"/>
                <w:sz w:val="20"/>
                <w:szCs w:val="20"/>
              </w:rPr>
            </w:pPr>
            <w:r w:rsidRPr="007C51D6">
              <w:rPr>
                <w:color w:val="000000"/>
                <w:sz w:val="20"/>
                <w:szCs w:val="20"/>
              </w:rPr>
              <w:t>61,87</w:t>
            </w:r>
          </w:p>
        </w:tc>
        <w:tc>
          <w:tcPr>
            <w:tcW w:w="850" w:type="dxa"/>
            <w:gridSpan w:val="2"/>
            <w:shd w:val="clear" w:color="auto" w:fill="auto"/>
            <w:hideMark/>
          </w:tcPr>
          <w:p w:rsidR="00B2672E" w:rsidRPr="007C51D6" w:rsidRDefault="00B2672E" w:rsidP="00B2672E">
            <w:pPr>
              <w:autoSpaceDE/>
              <w:autoSpaceDN/>
              <w:adjustRightInd/>
              <w:jc w:val="center"/>
              <w:rPr>
                <w:color w:val="000000"/>
                <w:sz w:val="20"/>
                <w:szCs w:val="20"/>
              </w:rPr>
            </w:pPr>
            <w:r w:rsidRPr="007C51D6">
              <w:rPr>
                <w:color w:val="000000"/>
                <w:sz w:val="20"/>
                <w:szCs w:val="20"/>
              </w:rPr>
              <w:t>63,74</w:t>
            </w:r>
          </w:p>
        </w:tc>
        <w:tc>
          <w:tcPr>
            <w:tcW w:w="1014" w:type="dxa"/>
            <w:gridSpan w:val="2"/>
            <w:shd w:val="clear" w:color="auto" w:fill="auto"/>
            <w:hideMark/>
          </w:tcPr>
          <w:p w:rsidR="00B2672E" w:rsidRPr="007C51D6" w:rsidRDefault="00B2672E" w:rsidP="00B2672E">
            <w:pPr>
              <w:autoSpaceDE/>
              <w:autoSpaceDN/>
              <w:adjustRightInd/>
              <w:jc w:val="center"/>
              <w:rPr>
                <w:color w:val="000000"/>
                <w:sz w:val="20"/>
                <w:szCs w:val="20"/>
              </w:rPr>
            </w:pPr>
            <w:r w:rsidRPr="007C51D6">
              <w:rPr>
                <w:color w:val="000000"/>
                <w:sz w:val="20"/>
                <w:szCs w:val="20"/>
              </w:rPr>
              <w:t>63,25</w:t>
            </w:r>
          </w:p>
        </w:tc>
        <w:tc>
          <w:tcPr>
            <w:tcW w:w="995" w:type="dxa"/>
            <w:gridSpan w:val="2"/>
            <w:shd w:val="clear" w:color="auto" w:fill="auto"/>
            <w:hideMark/>
          </w:tcPr>
          <w:p w:rsidR="00B2672E" w:rsidRPr="007C51D6" w:rsidRDefault="00B2672E" w:rsidP="00B2672E">
            <w:pPr>
              <w:autoSpaceDE/>
              <w:autoSpaceDN/>
              <w:adjustRightInd/>
              <w:jc w:val="center"/>
              <w:rPr>
                <w:color w:val="000000"/>
                <w:sz w:val="20"/>
                <w:szCs w:val="20"/>
              </w:rPr>
            </w:pPr>
            <w:r w:rsidRPr="007C51D6">
              <w:rPr>
                <w:color w:val="000000"/>
                <w:sz w:val="20"/>
                <w:szCs w:val="20"/>
              </w:rPr>
              <w:t>63,59</w:t>
            </w:r>
          </w:p>
        </w:tc>
        <w:tc>
          <w:tcPr>
            <w:tcW w:w="1001" w:type="dxa"/>
            <w:gridSpan w:val="2"/>
          </w:tcPr>
          <w:p w:rsidR="00B2672E" w:rsidRPr="007C51D6" w:rsidRDefault="00B2672E" w:rsidP="00B2672E">
            <w:pPr>
              <w:jc w:val="center"/>
              <w:rPr>
                <w:color w:val="000000"/>
                <w:sz w:val="20"/>
                <w:szCs w:val="20"/>
              </w:rPr>
            </w:pPr>
            <w:r w:rsidRPr="007C51D6">
              <w:rPr>
                <w:color w:val="000000"/>
                <w:sz w:val="20"/>
                <w:szCs w:val="20"/>
              </w:rPr>
              <w:t>65,03</w:t>
            </w:r>
          </w:p>
        </w:tc>
        <w:tc>
          <w:tcPr>
            <w:tcW w:w="1042" w:type="dxa"/>
            <w:gridSpan w:val="2"/>
          </w:tcPr>
          <w:p w:rsidR="00B2672E" w:rsidRPr="007C51D6" w:rsidRDefault="00B2672E" w:rsidP="00B2672E">
            <w:pPr>
              <w:jc w:val="center"/>
              <w:rPr>
                <w:color w:val="000000"/>
                <w:sz w:val="20"/>
                <w:szCs w:val="20"/>
              </w:rPr>
            </w:pPr>
            <w:r w:rsidRPr="007C51D6">
              <w:rPr>
                <w:color w:val="000000"/>
                <w:sz w:val="20"/>
                <w:szCs w:val="20"/>
              </w:rPr>
              <w:t>65,36</w:t>
            </w:r>
          </w:p>
        </w:tc>
        <w:tc>
          <w:tcPr>
            <w:tcW w:w="1057" w:type="dxa"/>
            <w:gridSpan w:val="2"/>
          </w:tcPr>
          <w:p w:rsidR="00B2672E" w:rsidRPr="007C51D6" w:rsidRDefault="00B2672E" w:rsidP="00B2672E">
            <w:pPr>
              <w:jc w:val="center"/>
              <w:rPr>
                <w:color w:val="000000"/>
                <w:sz w:val="20"/>
                <w:szCs w:val="20"/>
              </w:rPr>
            </w:pPr>
            <w:r w:rsidRPr="007C51D6">
              <w:rPr>
                <w:color w:val="000000"/>
                <w:sz w:val="20"/>
                <w:szCs w:val="20"/>
              </w:rPr>
              <w:t>66,18</w:t>
            </w:r>
          </w:p>
        </w:tc>
        <w:tc>
          <w:tcPr>
            <w:tcW w:w="1142" w:type="dxa"/>
            <w:vAlign w:val="center"/>
          </w:tcPr>
          <w:p w:rsidR="00B2672E" w:rsidRPr="007C51D6" w:rsidRDefault="00B2672E" w:rsidP="00B2672E">
            <w:pPr>
              <w:jc w:val="center"/>
              <w:rPr>
                <w:color w:val="000000"/>
                <w:sz w:val="20"/>
                <w:szCs w:val="20"/>
              </w:rPr>
            </w:pPr>
            <w:r w:rsidRPr="007C51D6">
              <w:rPr>
                <w:color w:val="000000"/>
                <w:sz w:val="20"/>
                <w:szCs w:val="20"/>
              </w:rPr>
              <w:t>64.75</w:t>
            </w:r>
          </w:p>
        </w:tc>
        <w:tc>
          <w:tcPr>
            <w:tcW w:w="1709" w:type="dxa"/>
            <w:vAlign w:val="center"/>
          </w:tcPr>
          <w:p w:rsidR="00B2672E" w:rsidRPr="007C51D6" w:rsidRDefault="00B2672E" w:rsidP="00B2672E">
            <w:pPr>
              <w:jc w:val="center"/>
              <w:rPr>
                <w:color w:val="000000"/>
                <w:sz w:val="20"/>
                <w:szCs w:val="20"/>
              </w:rPr>
            </w:pPr>
            <w:r w:rsidRPr="007C51D6">
              <w:rPr>
                <w:color w:val="000000"/>
                <w:sz w:val="20"/>
                <w:szCs w:val="20"/>
              </w:rPr>
              <w:t>62.61</w:t>
            </w:r>
          </w:p>
        </w:tc>
      </w:tr>
      <w:tr w:rsidR="00B2672E" w:rsidRPr="007C51D6" w:rsidTr="00B2672E">
        <w:tblPrEx>
          <w:tblBorders>
            <w:bottom w:val="single" w:sz="4" w:space="0" w:color="auto"/>
          </w:tblBorders>
          <w:tblCellMar>
            <w:top w:w="11" w:type="dxa"/>
            <w:bottom w:w="11" w:type="dxa"/>
          </w:tblCellMar>
        </w:tblPrEx>
        <w:trPr>
          <w:gridAfter w:val="1"/>
          <w:wAfter w:w="30" w:type="dxa"/>
          <w:trHeight w:val="20"/>
        </w:trPr>
        <w:tc>
          <w:tcPr>
            <w:tcW w:w="4237" w:type="dxa"/>
            <w:shd w:val="clear" w:color="auto" w:fill="auto"/>
            <w:hideMark/>
          </w:tcPr>
          <w:p w:rsidR="00B2672E" w:rsidRPr="007C51D6" w:rsidRDefault="00B2672E" w:rsidP="00B2672E">
            <w:pPr>
              <w:autoSpaceDE/>
              <w:autoSpaceDN/>
              <w:adjustRightInd/>
              <w:jc w:val="both"/>
              <w:rPr>
                <w:color w:val="000000"/>
                <w:sz w:val="20"/>
                <w:szCs w:val="20"/>
              </w:rPr>
            </w:pPr>
            <w:r w:rsidRPr="007C51D6">
              <w:rPr>
                <w:color w:val="000000"/>
                <w:sz w:val="20"/>
                <w:szCs w:val="20"/>
              </w:rPr>
              <w:t>желудка</w:t>
            </w:r>
          </w:p>
        </w:tc>
        <w:tc>
          <w:tcPr>
            <w:tcW w:w="1132" w:type="dxa"/>
            <w:gridSpan w:val="2"/>
            <w:shd w:val="clear" w:color="auto" w:fill="auto"/>
            <w:hideMark/>
          </w:tcPr>
          <w:p w:rsidR="00B2672E" w:rsidRPr="007C51D6" w:rsidRDefault="00B2672E" w:rsidP="00B2672E">
            <w:pPr>
              <w:autoSpaceDE/>
              <w:autoSpaceDN/>
              <w:adjustRightInd/>
              <w:jc w:val="center"/>
              <w:rPr>
                <w:color w:val="000000"/>
                <w:sz w:val="20"/>
                <w:szCs w:val="20"/>
              </w:rPr>
            </w:pPr>
            <w:r w:rsidRPr="007C51D6">
              <w:rPr>
                <w:color w:val="000000"/>
                <w:sz w:val="20"/>
                <w:szCs w:val="20"/>
              </w:rPr>
              <w:t>60,49</w:t>
            </w:r>
          </w:p>
        </w:tc>
        <w:tc>
          <w:tcPr>
            <w:tcW w:w="990" w:type="dxa"/>
            <w:gridSpan w:val="2"/>
            <w:shd w:val="clear" w:color="auto" w:fill="auto"/>
            <w:hideMark/>
          </w:tcPr>
          <w:p w:rsidR="00B2672E" w:rsidRPr="007C51D6" w:rsidRDefault="00B2672E" w:rsidP="00B2672E">
            <w:pPr>
              <w:autoSpaceDE/>
              <w:autoSpaceDN/>
              <w:adjustRightInd/>
              <w:jc w:val="center"/>
              <w:rPr>
                <w:color w:val="000000"/>
                <w:sz w:val="20"/>
                <w:szCs w:val="20"/>
              </w:rPr>
            </w:pPr>
            <w:r w:rsidRPr="007C51D6">
              <w:rPr>
                <w:color w:val="000000"/>
                <w:sz w:val="20"/>
                <w:szCs w:val="20"/>
              </w:rPr>
              <w:t>61,42</w:t>
            </w:r>
          </w:p>
        </w:tc>
        <w:tc>
          <w:tcPr>
            <w:tcW w:w="850" w:type="dxa"/>
            <w:gridSpan w:val="2"/>
            <w:shd w:val="clear" w:color="auto" w:fill="auto"/>
            <w:hideMark/>
          </w:tcPr>
          <w:p w:rsidR="00B2672E" w:rsidRPr="007C51D6" w:rsidRDefault="00B2672E" w:rsidP="00B2672E">
            <w:pPr>
              <w:autoSpaceDE/>
              <w:autoSpaceDN/>
              <w:adjustRightInd/>
              <w:jc w:val="center"/>
              <w:rPr>
                <w:color w:val="000000"/>
                <w:sz w:val="20"/>
                <w:szCs w:val="20"/>
              </w:rPr>
            </w:pPr>
            <w:r w:rsidRPr="007C51D6">
              <w:rPr>
                <w:color w:val="000000"/>
                <w:sz w:val="20"/>
                <w:szCs w:val="20"/>
              </w:rPr>
              <w:t>60,55</w:t>
            </w:r>
          </w:p>
        </w:tc>
        <w:tc>
          <w:tcPr>
            <w:tcW w:w="1014" w:type="dxa"/>
            <w:gridSpan w:val="2"/>
            <w:shd w:val="clear" w:color="auto" w:fill="auto"/>
            <w:hideMark/>
          </w:tcPr>
          <w:p w:rsidR="00B2672E" w:rsidRPr="007C51D6" w:rsidRDefault="00B2672E" w:rsidP="00B2672E">
            <w:pPr>
              <w:autoSpaceDE/>
              <w:autoSpaceDN/>
              <w:adjustRightInd/>
              <w:jc w:val="center"/>
              <w:rPr>
                <w:color w:val="000000"/>
                <w:sz w:val="20"/>
                <w:szCs w:val="20"/>
              </w:rPr>
            </w:pPr>
            <w:r w:rsidRPr="007C51D6">
              <w:rPr>
                <w:color w:val="000000"/>
                <w:sz w:val="20"/>
                <w:szCs w:val="20"/>
              </w:rPr>
              <w:t>60,61</w:t>
            </w:r>
          </w:p>
        </w:tc>
        <w:tc>
          <w:tcPr>
            <w:tcW w:w="995" w:type="dxa"/>
            <w:gridSpan w:val="2"/>
            <w:shd w:val="clear" w:color="auto" w:fill="auto"/>
            <w:hideMark/>
          </w:tcPr>
          <w:p w:rsidR="00B2672E" w:rsidRPr="007C51D6" w:rsidRDefault="00B2672E" w:rsidP="00B2672E">
            <w:pPr>
              <w:autoSpaceDE/>
              <w:autoSpaceDN/>
              <w:adjustRightInd/>
              <w:jc w:val="center"/>
              <w:rPr>
                <w:color w:val="000000"/>
                <w:sz w:val="20"/>
                <w:szCs w:val="20"/>
              </w:rPr>
            </w:pPr>
            <w:r w:rsidRPr="007C51D6">
              <w:rPr>
                <w:color w:val="000000"/>
                <w:sz w:val="20"/>
                <w:szCs w:val="20"/>
              </w:rPr>
              <w:t>59,90</w:t>
            </w:r>
          </w:p>
        </w:tc>
        <w:tc>
          <w:tcPr>
            <w:tcW w:w="1001" w:type="dxa"/>
            <w:gridSpan w:val="2"/>
          </w:tcPr>
          <w:p w:rsidR="00B2672E" w:rsidRPr="007C51D6" w:rsidRDefault="00B2672E" w:rsidP="00B2672E">
            <w:pPr>
              <w:jc w:val="center"/>
              <w:rPr>
                <w:color w:val="000000"/>
                <w:sz w:val="20"/>
                <w:szCs w:val="20"/>
              </w:rPr>
            </w:pPr>
            <w:r w:rsidRPr="007C51D6">
              <w:rPr>
                <w:color w:val="000000"/>
                <w:sz w:val="20"/>
                <w:szCs w:val="20"/>
              </w:rPr>
              <w:t>60,00</w:t>
            </w:r>
          </w:p>
        </w:tc>
        <w:tc>
          <w:tcPr>
            <w:tcW w:w="1042" w:type="dxa"/>
            <w:gridSpan w:val="2"/>
          </w:tcPr>
          <w:p w:rsidR="00B2672E" w:rsidRPr="007C51D6" w:rsidRDefault="00B2672E" w:rsidP="00B2672E">
            <w:pPr>
              <w:jc w:val="center"/>
              <w:rPr>
                <w:color w:val="000000"/>
                <w:sz w:val="20"/>
                <w:szCs w:val="20"/>
              </w:rPr>
            </w:pPr>
            <w:r w:rsidRPr="007C51D6">
              <w:rPr>
                <w:color w:val="000000"/>
                <w:sz w:val="20"/>
                <w:szCs w:val="20"/>
              </w:rPr>
              <w:t>59,86</w:t>
            </w:r>
          </w:p>
        </w:tc>
        <w:tc>
          <w:tcPr>
            <w:tcW w:w="1057" w:type="dxa"/>
            <w:gridSpan w:val="2"/>
          </w:tcPr>
          <w:p w:rsidR="00B2672E" w:rsidRPr="007C51D6" w:rsidRDefault="00B2672E" w:rsidP="00B2672E">
            <w:pPr>
              <w:jc w:val="center"/>
              <w:rPr>
                <w:color w:val="000000"/>
                <w:sz w:val="20"/>
                <w:szCs w:val="20"/>
              </w:rPr>
            </w:pPr>
            <w:r w:rsidRPr="007C51D6">
              <w:rPr>
                <w:color w:val="000000"/>
                <w:sz w:val="20"/>
                <w:szCs w:val="20"/>
              </w:rPr>
              <w:t>58,38</w:t>
            </w:r>
          </w:p>
        </w:tc>
        <w:tc>
          <w:tcPr>
            <w:tcW w:w="1142" w:type="dxa"/>
            <w:vAlign w:val="center"/>
          </w:tcPr>
          <w:p w:rsidR="00B2672E" w:rsidRPr="007C51D6" w:rsidRDefault="00B2672E" w:rsidP="00B2672E">
            <w:pPr>
              <w:jc w:val="center"/>
              <w:rPr>
                <w:color w:val="000000"/>
                <w:sz w:val="20"/>
                <w:szCs w:val="20"/>
              </w:rPr>
            </w:pPr>
            <w:r w:rsidRPr="007C51D6">
              <w:rPr>
                <w:color w:val="000000"/>
                <w:sz w:val="20"/>
                <w:szCs w:val="20"/>
              </w:rPr>
              <w:t>58.59</w:t>
            </w:r>
          </w:p>
        </w:tc>
        <w:tc>
          <w:tcPr>
            <w:tcW w:w="1709" w:type="dxa"/>
            <w:vAlign w:val="center"/>
          </w:tcPr>
          <w:p w:rsidR="00B2672E" w:rsidRPr="007C51D6" w:rsidRDefault="00B2672E" w:rsidP="00B2672E">
            <w:pPr>
              <w:jc w:val="center"/>
              <w:rPr>
                <w:color w:val="000000"/>
                <w:sz w:val="20"/>
                <w:szCs w:val="20"/>
              </w:rPr>
            </w:pPr>
            <w:r w:rsidRPr="007C51D6">
              <w:rPr>
                <w:color w:val="000000"/>
                <w:sz w:val="20"/>
                <w:szCs w:val="20"/>
              </w:rPr>
              <w:t>53.27</w:t>
            </w:r>
          </w:p>
        </w:tc>
      </w:tr>
      <w:tr w:rsidR="00B2672E" w:rsidRPr="007C51D6" w:rsidTr="00B2672E">
        <w:tblPrEx>
          <w:tblBorders>
            <w:bottom w:val="single" w:sz="4" w:space="0" w:color="auto"/>
          </w:tblBorders>
          <w:tblCellMar>
            <w:top w:w="11" w:type="dxa"/>
            <w:bottom w:w="11" w:type="dxa"/>
          </w:tblCellMar>
        </w:tblPrEx>
        <w:trPr>
          <w:gridAfter w:val="1"/>
          <w:wAfter w:w="30" w:type="dxa"/>
          <w:trHeight w:val="20"/>
        </w:trPr>
        <w:tc>
          <w:tcPr>
            <w:tcW w:w="4237" w:type="dxa"/>
            <w:shd w:val="clear" w:color="auto" w:fill="auto"/>
            <w:hideMark/>
          </w:tcPr>
          <w:p w:rsidR="00B2672E" w:rsidRPr="007C51D6" w:rsidRDefault="00B2672E" w:rsidP="00B2672E">
            <w:pPr>
              <w:autoSpaceDE/>
              <w:autoSpaceDN/>
              <w:adjustRightInd/>
              <w:jc w:val="both"/>
              <w:rPr>
                <w:color w:val="000000"/>
                <w:sz w:val="20"/>
                <w:szCs w:val="20"/>
              </w:rPr>
            </w:pPr>
            <w:r w:rsidRPr="007C51D6">
              <w:rPr>
                <w:color w:val="000000"/>
                <w:sz w:val="20"/>
                <w:szCs w:val="20"/>
              </w:rPr>
              <w:t>почки</w:t>
            </w:r>
          </w:p>
        </w:tc>
        <w:tc>
          <w:tcPr>
            <w:tcW w:w="1132" w:type="dxa"/>
            <w:gridSpan w:val="2"/>
            <w:shd w:val="clear" w:color="auto" w:fill="auto"/>
            <w:hideMark/>
          </w:tcPr>
          <w:p w:rsidR="00B2672E" w:rsidRPr="007C51D6" w:rsidRDefault="00B2672E" w:rsidP="00B2672E">
            <w:pPr>
              <w:autoSpaceDE/>
              <w:autoSpaceDN/>
              <w:adjustRightInd/>
              <w:jc w:val="center"/>
              <w:rPr>
                <w:color w:val="000000"/>
                <w:sz w:val="20"/>
                <w:szCs w:val="20"/>
              </w:rPr>
            </w:pPr>
            <w:r w:rsidRPr="007C51D6">
              <w:rPr>
                <w:color w:val="000000"/>
                <w:sz w:val="20"/>
                <w:szCs w:val="20"/>
              </w:rPr>
              <w:t>55,31</w:t>
            </w:r>
          </w:p>
        </w:tc>
        <w:tc>
          <w:tcPr>
            <w:tcW w:w="990" w:type="dxa"/>
            <w:gridSpan w:val="2"/>
            <w:shd w:val="clear" w:color="auto" w:fill="auto"/>
            <w:hideMark/>
          </w:tcPr>
          <w:p w:rsidR="00B2672E" w:rsidRPr="007C51D6" w:rsidRDefault="00B2672E" w:rsidP="00B2672E">
            <w:pPr>
              <w:autoSpaceDE/>
              <w:autoSpaceDN/>
              <w:adjustRightInd/>
              <w:jc w:val="center"/>
              <w:rPr>
                <w:color w:val="000000"/>
                <w:sz w:val="20"/>
                <w:szCs w:val="20"/>
              </w:rPr>
            </w:pPr>
            <w:r w:rsidRPr="007C51D6">
              <w:rPr>
                <w:color w:val="000000"/>
                <w:sz w:val="20"/>
                <w:szCs w:val="20"/>
              </w:rPr>
              <w:t>56,59</w:t>
            </w:r>
          </w:p>
        </w:tc>
        <w:tc>
          <w:tcPr>
            <w:tcW w:w="850" w:type="dxa"/>
            <w:gridSpan w:val="2"/>
            <w:shd w:val="clear" w:color="auto" w:fill="auto"/>
            <w:hideMark/>
          </w:tcPr>
          <w:p w:rsidR="00B2672E" w:rsidRPr="007C51D6" w:rsidRDefault="00B2672E" w:rsidP="00B2672E">
            <w:pPr>
              <w:autoSpaceDE/>
              <w:autoSpaceDN/>
              <w:adjustRightInd/>
              <w:jc w:val="center"/>
              <w:rPr>
                <w:color w:val="000000"/>
                <w:sz w:val="20"/>
                <w:szCs w:val="20"/>
              </w:rPr>
            </w:pPr>
            <w:r w:rsidRPr="007C51D6">
              <w:rPr>
                <w:color w:val="000000"/>
                <w:sz w:val="20"/>
                <w:szCs w:val="20"/>
              </w:rPr>
              <w:t>56,44</w:t>
            </w:r>
          </w:p>
        </w:tc>
        <w:tc>
          <w:tcPr>
            <w:tcW w:w="1014" w:type="dxa"/>
            <w:gridSpan w:val="2"/>
            <w:shd w:val="clear" w:color="auto" w:fill="auto"/>
            <w:hideMark/>
          </w:tcPr>
          <w:p w:rsidR="00B2672E" w:rsidRPr="007C51D6" w:rsidRDefault="00B2672E" w:rsidP="00B2672E">
            <w:pPr>
              <w:autoSpaceDE/>
              <w:autoSpaceDN/>
              <w:adjustRightInd/>
              <w:jc w:val="center"/>
              <w:rPr>
                <w:color w:val="000000"/>
                <w:sz w:val="20"/>
                <w:szCs w:val="20"/>
              </w:rPr>
            </w:pPr>
            <w:r w:rsidRPr="007C51D6">
              <w:rPr>
                <w:color w:val="000000"/>
                <w:sz w:val="20"/>
                <w:szCs w:val="20"/>
              </w:rPr>
              <w:t>57,01</w:t>
            </w:r>
          </w:p>
        </w:tc>
        <w:tc>
          <w:tcPr>
            <w:tcW w:w="995" w:type="dxa"/>
            <w:gridSpan w:val="2"/>
            <w:shd w:val="clear" w:color="auto" w:fill="auto"/>
            <w:hideMark/>
          </w:tcPr>
          <w:p w:rsidR="00B2672E" w:rsidRPr="007C51D6" w:rsidRDefault="00B2672E" w:rsidP="00B2672E">
            <w:pPr>
              <w:autoSpaceDE/>
              <w:autoSpaceDN/>
              <w:adjustRightInd/>
              <w:jc w:val="center"/>
              <w:rPr>
                <w:color w:val="000000"/>
                <w:sz w:val="20"/>
                <w:szCs w:val="20"/>
              </w:rPr>
            </w:pPr>
            <w:r w:rsidRPr="007C51D6">
              <w:rPr>
                <w:color w:val="000000"/>
                <w:sz w:val="20"/>
                <w:szCs w:val="20"/>
              </w:rPr>
              <w:t>58,22</w:t>
            </w:r>
          </w:p>
        </w:tc>
        <w:tc>
          <w:tcPr>
            <w:tcW w:w="1001" w:type="dxa"/>
            <w:gridSpan w:val="2"/>
          </w:tcPr>
          <w:p w:rsidR="00B2672E" w:rsidRPr="007C51D6" w:rsidRDefault="00B2672E" w:rsidP="00B2672E">
            <w:pPr>
              <w:jc w:val="center"/>
              <w:rPr>
                <w:color w:val="000000"/>
                <w:sz w:val="20"/>
                <w:szCs w:val="20"/>
              </w:rPr>
            </w:pPr>
            <w:r w:rsidRPr="007C51D6">
              <w:rPr>
                <w:color w:val="000000"/>
                <w:sz w:val="20"/>
                <w:szCs w:val="20"/>
              </w:rPr>
              <w:t>59,51</w:t>
            </w:r>
          </w:p>
        </w:tc>
        <w:tc>
          <w:tcPr>
            <w:tcW w:w="1042" w:type="dxa"/>
            <w:gridSpan w:val="2"/>
          </w:tcPr>
          <w:p w:rsidR="00B2672E" w:rsidRPr="007C51D6" w:rsidRDefault="00B2672E" w:rsidP="00B2672E">
            <w:pPr>
              <w:jc w:val="center"/>
              <w:rPr>
                <w:color w:val="000000"/>
                <w:sz w:val="20"/>
                <w:szCs w:val="20"/>
              </w:rPr>
            </w:pPr>
            <w:r w:rsidRPr="007C51D6">
              <w:rPr>
                <w:color w:val="000000"/>
                <w:sz w:val="20"/>
                <w:szCs w:val="20"/>
              </w:rPr>
              <w:t>59,88</w:t>
            </w:r>
          </w:p>
        </w:tc>
        <w:tc>
          <w:tcPr>
            <w:tcW w:w="1057" w:type="dxa"/>
            <w:gridSpan w:val="2"/>
          </w:tcPr>
          <w:p w:rsidR="00B2672E" w:rsidRPr="007C51D6" w:rsidRDefault="00B2672E" w:rsidP="00B2672E">
            <w:pPr>
              <w:jc w:val="center"/>
              <w:rPr>
                <w:color w:val="000000"/>
                <w:sz w:val="20"/>
                <w:szCs w:val="20"/>
              </w:rPr>
            </w:pPr>
            <w:r w:rsidRPr="007C51D6">
              <w:rPr>
                <w:color w:val="000000"/>
                <w:sz w:val="20"/>
                <w:szCs w:val="20"/>
              </w:rPr>
              <w:t>62,46</w:t>
            </w:r>
          </w:p>
        </w:tc>
        <w:tc>
          <w:tcPr>
            <w:tcW w:w="1142" w:type="dxa"/>
            <w:vAlign w:val="center"/>
          </w:tcPr>
          <w:p w:rsidR="00B2672E" w:rsidRPr="007C51D6" w:rsidRDefault="00B2672E" w:rsidP="00B2672E">
            <w:pPr>
              <w:jc w:val="center"/>
              <w:rPr>
                <w:color w:val="000000"/>
                <w:sz w:val="20"/>
                <w:szCs w:val="20"/>
              </w:rPr>
            </w:pPr>
            <w:r w:rsidRPr="007C51D6">
              <w:rPr>
                <w:color w:val="000000"/>
                <w:sz w:val="20"/>
                <w:szCs w:val="20"/>
              </w:rPr>
              <w:t>62.17</w:t>
            </w:r>
          </w:p>
        </w:tc>
        <w:tc>
          <w:tcPr>
            <w:tcW w:w="1709" w:type="dxa"/>
            <w:vAlign w:val="center"/>
          </w:tcPr>
          <w:p w:rsidR="00B2672E" w:rsidRPr="007C51D6" w:rsidRDefault="00B2672E" w:rsidP="00B2672E">
            <w:pPr>
              <w:jc w:val="center"/>
              <w:rPr>
                <w:color w:val="000000"/>
                <w:sz w:val="20"/>
                <w:szCs w:val="20"/>
              </w:rPr>
            </w:pPr>
            <w:r w:rsidRPr="007C51D6">
              <w:rPr>
                <w:color w:val="000000"/>
                <w:sz w:val="20"/>
                <w:szCs w:val="20"/>
              </w:rPr>
              <w:t>59.35</w:t>
            </w:r>
          </w:p>
        </w:tc>
      </w:tr>
      <w:tr w:rsidR="00B2672E" w:rsidRPr="007C51D6" w:rsidTr="00B2672E">
        <w:tblPrEx>
          <w:tblBorders>
            <w:bottom w:val="single" w:sz="4" w:space="0" w:color="auto"/>
          </w:tblBorders>
          <w:tblCellMar>
            <w:top w:w="11" w:type="dxa"/>
            <w:bottom w:w="11" w:type="dxa"/>
          </w:tblCellMar>
        </w:tblPrEx>
        <w:trPr>
          <w:gridAfter w:val="1"/>
          <w:wAfter w:w="30" w:type="dxa"/>
          <w:trHeight w:val="20"/>
        </w:trPr>
        <w:tc>
          <w:tcPr>
            <w:tcW w:w="4237" w:type="dxa"/>
            <w:shd w:val="clear" w:color="auto" w:fill="auto"/>
            <w:hideMark/>
          </w:tcPr>
          <w:p w:rsidR="00B2672E" w:rsidRPr="007C51D6" w:rsidRDefault="00B2672E" w:rsidP="00B2672E">
            <w:pPr>
              <w:autoSpaceDE/>
              <w:autoSpaceDN/>
              <w:adjustRightInd/>
              <w:jc w:val="both"/>
              <w:rPr>
                <w:color w:val="000000"/>
                <w:sz w:val="20"/>
                <w:szCs w:val="20"/>
              </w:rPr>
            </w:pPr>
            <w:r w:rsidRPr="007C51D6">
              <w:rPr>
                <w:color w:val="000000"/>
                <w:sz w:val="20"/>
                <w:szCs w:val="20"/>
              </w:rPr>
              <w:t>мочевого пузыря</w:t>
            </w:r>
          </w:p>
        </w:tc>
        <w:tc>
          <w:tcPr>
            <w:tcW w:w="1132" w:type="dxa"/>
            <w:gridSpan w:val="2"/>
            <w:shd w:val="clear" w:color="auto" w:fill="auto"/>
            <w:hideMark/>
          </w:tcPr>
          <w:p w:rsidR="00B2672E" w:rsidRPr="007C51D6" w:rsidRDefault="00B2672E" w:rsidP="00B2672E">
            <w:pPr>
              <w:autoSpaceDE/>
              <w:autoSpaceDN/>
              <w:adjustRightInd/>
              <w:jc w:val="center"/>
              <w:rPr>
                <w:color w:val="000000"/>
                <w:sz w:val="20"/>
                <w:szCs w:val="20"/>
              </w:rPr>
            </w:pPr>
            <w:r w:rsidRPr="007C51D6">
              <w:rPr>
                <w:color w:val="000000"/>
                <w:sz w:val="20"/>
                <w:szCs w:val="20"/>
              </w:rPr>
              <w:t>55,55</w:t>
            </w:r>
          </w:p>
        </w:tc>
        <w:tc>
          <w:tcPr>
            <w:tcW w:w="990" w:type="dxa"/>
            <w:gridSpan w:val="2"/>
            <w:shd w:val="clear" w:color="auto" w:fill="auto"/>
            <w:hideMark/>
          </w:tcPr>
          <w:p w:rsidR="00B2672E" w:rsidRPr="007C51D6" w:rsidRDefault="00B2672E" w:rsidP="00B2672E">
            <w:pPr>
              <w:autoSpaceDE/>
              <w:autoSpaceDN/>
              <w:adjustRightInd/>
              <w:jc w:val="center"/>
              <w:rPr>
                <w:color w:val="000000"/>
                <w:sz w:val="20"/>
                <w:szCs w:val="20"/>
              </w:rPr>
            </w:pPr>
            <w:r w:rsidRPr="007C51D6">
              <w:rPr>
                <w:color w:val="000000"/>
                <w:sz w:val="20"/>
                <w:szCs w:val="20"/>
              </w:rPr>
              <w:t>57,93</w:t>
            </w:r>
          </w:p>
        </w:tc>
        <w:tc>
          <w:tcPr>
            <w:tcW w:w="850" w:type="dxa"/>
            <w:gridSpan w:val="2"/>
            <w:shd w:val="clear" w:color="auto" w:fill="auto"/>
            <w:hideMark/>
          </w:tcPr>
          <w:p w:rsidR="00B2672E" w:rsidRPr="007C51D6" w:rsidRDefault="00B2672E" w:rsidP="00B2672E">
            <w:pPr>
              <w:autoSpaceDE/>
              <w:autoSpaceDN/>
              <w:adjustRightInd/>
              <w:jc w:val="center"/>
              <w:rPr>
                <w:color w:val="000000"/>
                <w:sz w:val="20"/>
                <w:szCs w:val="20"/>
              </w:rPr>
            </w:pPr>
            <w:r w:rsidRPr="007C51D6">
              <w:rPr>
                <w:color w:val="000000"/>
                <w:sz w:val="20"/>
                <w:szCs w:val="20"/>
              </w:rPr>
              <w:t>57,12</w:t>
            </w:r>
          </w:p>
        </w:tc>
        <w:tc>
          <w:tcPr>
            <w:tcW w:w="1014" w:type="dxa"/>
            <w:gridSpan w:val="2"/>
            <w:shd w:val="clear" w:color="auto" w:fill="auto"/>
            <w:hideMark/>
          </w:tcPr>
          <w:p w:rsidR="00B2672E" w:rsidRPr="007C51D6" w:rsidRDefault="00B2672E" w:rsidP="00B2672E">
            <w:pPr>
              <w:autoSpaceDE/>
              <w:autoSpaceDN/>
              <w:adjustRightInd/>
              <w:jc w:val="center"/>
              <w:rPr>
                <w:color w:val="000000"/>
                <w:sz w:val="20"/>
                <w:szCs w:val="20"/>
              </w:rPr>
            </w:pPr>
            <w:r w:rsidRPr="007C51D6">
              <w:rPr>
                <w:color w:val="000000"/>
                <w:sz w:val="20"/>
                <w:szCs w:val="20"/>
              </w:rPr>
              <w:t>58,40</w:t>
            </w:r>
          </w:p>
        </w:tc>
        <w:tc>
          <w:tcPr>
            <w:tcW w:w="995" w:type="dxa"/>
            <w:gridSpan w:val="2"/>
            <w:shd w:val="clear" w:color="auto" w:fill="auto"/>
            <w:hideMark/>
          </w:tcPr>
          <w:p w:rsidR="00B2672E" w:rsidRPr="007C51D6" w:rsidRDefault="00B2672E" w:rsidP="00B2672E">
            <w:pPr>
              <w:autoSpaceDE/>
              <w:autoSpaceDN/>
              <w:adjustRightInd/>
              <w:jc w:val="center"/>
              <w:rPr>
                <w:color w:val="000000"/>
                <w:sz w:val="20"/>
                <w:szCs w:val="20"/>
              </w:rPr>
            </w:pPr>
            <w:r w:rsidRPr="007C51D6">
              <w:rPr>
                <w:color w:val="000000"/>
                <w:sz w:val="20"/>
                <w:szCs w:val="20"/>
              </w:rPr>
              <w:t>56,97</w:t>
            </w:r>
          </w:p>
        </w:tc>
        <w:tc>
          <w:tcPr>
            <w:tcW w:w="1001" w:type="dxa"/>
            <w:gridSpan w:val="2"/>
          </w:tcPr>
          <w:p w:rsidR="00B2672E" w:rsidRPr="007C51D6" w:rsidRDefault="00B2672E" w:rsidP="00B2672E">
            <w:pPr>
              <w:jc w:val="center"/>
              <w:rPr>
                <w:color w:val="000000"/>
                <w:sz w:val="20"/>
                <w:szCs w:val="20"/>
              </w:rPr>
            </w:pPr>
            <w:r w:rsidRPr="007C51D6">
              <w:rPr>
                <w:color w:val="000000"/>
                <w:sz w:val="20"/>
                <w:szCs w:val="20"/>
              </w:rPr>
              <w:t>57,80</w:t>
            </w:r>
          </w:p>
        </w:tc>
        <w:tc>
          <w:tcPr>
            <w:tcW w:w="1042" w:type="dxa"/>
            <w:gridSpan w:val="2"/>
          </w:tcPr>
          <w:p w:rsidR="00B2672E" w:rsidRPr="007C51D6" w:rsidRDefault="00B2672E" w:rsidP="00B2672E">
            <w:pPr>
              <w:jc w:val="center"/>
              <w:rPr>
                <w:color w:val="000000"/>
                <w:sz w:val="20"/>
                <w:szCs w:val="20"/>
              </w:rPr>
            </w:pPr>
            <w:r w:rsidRPr="007C51D6">
              <w:rPr>
                <w:color w:val="000000"/>
                <w:sz w:val="20"/>
                <w:szCs w:val="20"/>
              </w:rPr>
              <w:t>56,53</w:t>
            </w:r>
          </w:p>
        </w:tc>
        <w:tc>
          <w:tcPr>
            <w:tcW w:w="1057" w:type="dxa"/>
            <w:gridSpan w:val="2"/>
          </w:tcPr>
          <w:p w:rsidR="00B2672E" w:rsidRPr="007C51D6" w:rsidRDefault="00B2672E" w:rsidP="00B2672E">
            <w:pPr>
              <w:jc w:val="center"/>
              <w:rPr>
                <w:color w:val="FF0000"/>
                <w:sz w:val="20"/>
                <w:szCs w:val="20"/>
              </w:rPr>
            </w:pPr>
            <w:r w:rsidRPr="007C51D6">
              <w:rPr>
                <w:sz w:val="20"/>
                <w:szCs w:val="20"/>
              </w:rPr>
              <w:t>59,80</w:t>
            </w:r>
          </w:p>
        </w:tc>
        <w:tc>
          <w:tcPr>
            <w:tcW w:w="1142" w:type="dxa"/>
            <w:vAlign w:val="center"/>
          </w:tcPr>
          <w:p w:rsidR="00B2672E" w:rsidRPr="007C51D6" w:rsidRDefault="00B2672E" w:rsidP="00B2672E">
            <w:pPr>
              <w:jc w:val="center"/>
              <w:rPr>
                <w:color w:val="000000"/>
                <w:sz w:val="20"/>
                <w:szCs w:val="20"/>
              </w:rPr>
            </w:pPr>
            <w:r w:rsidRPr="007C51D6">
              <w:rPr>
                <w:color w:val="000000"/>
                <w:sz w:val="20"/>
                <w:szCs w:val="20"/>
              </w:rPr>
              <w:t>56.65</w:t>
            </w:r>
          </w:p>
        </w:tc>
        <w:tc>
          <w:tcPr>
            <w:tcW w:w="1709" w:type="dxa"/>
            <w:vAlign w:val="center"/>
          </w:tcPr>
          <w:p w:rsidR="00B2672E" w:rsidRPr="007C51D6" w:rsidRDefault="00B2672E" w:rsidP="00B2672E">
            <w:pPr>
              <w:jc w:val="center"/>
              <w:rPr>
                <w:color w:val="000000"/>
                <w:sz w:val="20"/>
                <w:szCs w:val="20"/>
              </w:rPr>
            </w:pPr>
            <w:r w:rsidRPr="007C51D6">
              <w:rPr>
                <w:color w:val="000000"/>
                <w:sz w:val="20"/>
                <w:szCs w:val="20"/>
              </w:rPr>
              <w:t>52.04</w:t>
            </w:r>
          </w:p>
        </w:tc>
      </w:tr>
      <w:tr w:rsidR="00B2672E" w:rsidRPr="007C51D6" w:rsidTr="00B2672E">
        <w:tblPrEx>
          <w:tblBorders>
            <w:bottom w:val="single" w:sz="4" w:space="0" w:color="auto"/>
          </w:tblBorders>
          <w:tblCellMar>
            <w:top w:w="11" w:type="dxa"/>
            <w:bottom w:w="11" w:type="dxa"/>
          </w:tblCellMar>
        </w:tblPrEx>
        <w:trPr>
          <w:gridAfter w:val="1"/>
          <w:wAfter w:w="30" w:type="dxa"/>
          <w:trHeight w:val="20"/>
        </w:trPr>
        <w:tc>
          <w:tcPr>
            <w:tcW w:w="4237" w:type="dxa"/>
            <w:shd w:val="clear" w:color="auto" w:fill="auto"/>
            <w:hideMark/>
          </w:tcPr>
          <w:p w:rsidR="00B2672E" w:rsidRPr="007C51D6" w:rsidRDefault="00B2672E" w:rsidP="00B2672E">
            <w:pPr>
              <w:autoSpaceDE/>
              <w:autoSpaceDN/>
              <w:adjustRightInd/>
              <w:jc w:val="both"/>
              <w:rPr>
                <w:color w:val="000000"/>
                <w:sz w:val="20"/>
                <w:szCs w:val="20"/>
              </w:rPr>
            </w:pPr>
            <w:r w:rsidRPr="007C51D6">
              <w:rPr>
                <w:color w:val="000000"/>
                <w:sz w:val="20"/>
                <w:szCs w:val="20"/>
              </w:rPr>
              <w:t>ободочной кишки</w:t>
            </w:r>
          </w:p>
        </w:tc>
        <w:tc>
          <w:tcPr>
            <w:tcW w:w="1132" w:type="dxa"/>
            <w:gridSpan w:val="2"/>
            <w:shd w:val="clear" w:color="auto" w:fill="auto"/>
            <w:hideMark/>
          </w:tcPr>
          <w:p w:rsidR="00B2672E" w:rsidRPr="007C51D6" w:rsidRDefault="00B2672E" w:rsidP="00B2672E">
            <w:pPr>
              <w:autoSpaceDE/>
              <w:autoSpaceDN/>
              <w:adjustRightInd/>
              <w:jc w:val="center"/>
              <w:rPr>
                <w:color w:val="000000"/>
                <w:sz w:val="20"/>
                <w:szCs w:val="20"/>
              </w:rPr>
            </w:pPr>
            <w:r w:rsidRPr="007C51D6">
              <w:rPr>
                <w:color w:val="000000"/>
                <w:sz w:val="20"/>
                <w:szCs w:val="20"/>
              </w:rPr>
              <w:t>50,70</w:t>
            </w:r>
          </w:p>
        </w:tc>
        <w:tc>
          <w:tcPr>
            <w:tcW w:w="990" w:type="dxa"/>
            <w:gridSpan w:val="2"/>
            <w:shd w:val="clear" w:color="auto" w:fill="auto"/>
            <w:hideMark/>
          </w:tcPr>
          <w:p w:rsidR="00B2672E" w:rsidRPr="007C51D6" w:rsidRDefault="00B2672E" w:rsidP="00B2672E">
            <w:pPr>
              <w:autoSpaceDE/>
              <w:autoSpaceDN/>
              <w:adjustRightInd/>
              <w:jc w:val="center"/>
              <w:rPr>
                <w:color w:val="000000"/>
                <w:sz w:val="20"/>
                <w:szCs w:val="20"/>
              </w:rPr>
            </w:pPr>
            <w:r w:rsidRPr="007C51D6">
              <w:rPr>
                <w:color w:val="000000"/>
                <w:sz w:val="20"/>
                <w:szCs w:val="20"/>
              </w:rPr>
              <w:t>50,58</w:t>
            </w:r>
          </w:p>
        </w:tc>
        <w:tc>
          <w:tcPr>
            <w:tcW w:w="850" w:type="dxa"/>
            <w:gridSpan w:val="2"/>
            <w:shd w:val="clear" w:color="auto" w:fill="auto"/>
            <w:hideMark/>
          </w:tcPr>
          <w:p w:rsidR="00B2672E" w:rsidRPr="007C51D6" w:rsidRDefault="00B2672E" w:rsidP="00B2672E">
            <w:pPr>
              <w:autoSpaceDE/>
              <w:autoSpaceDN/>
              <w:adjustRightInd/>
              <w:jc w:val="center"/>
              <w:rPr>
                <w:color w:val="000000"/>
                <w:sz w:val="20"/>
                <w:szCs w:val="20"/>
              </w:rPr>
            </w:pPr>
            <w:r w:rsidRPr="007C51D6">
              <w:rPr>
                <w:color w:val="000000"/>
                <w:sz w:val="20"/>
                <w:szCs w:val="20"/>
              </w:rPr>
              <w:t>50,93</w:t>
            </w:r>
          </w:p>
        </w:tc>
        <w:tc>
          <w:tcPr>
            <w:tcW w:w="1014" w:type="dxa"/>
            <w:gridSpan w:val="2"/>
            <w:shd w:val="clear" w:color="auto" w:fill="auto"/>
            <w:hideMark/>
          </w:tcPr>
          <w:p w:rsidR="00B2672E" w:rsidRPr="007C51D6" w:rsidRDefault="00B2672E" w:rsidP="00B2672E">
            <w:pPr>
              <w:autoSpaceDE/>
              <w:autoSpaceDN/>
              <w:adjustRightInd/>
              <w:jc w:val="center"/>
              <w:rPr>
                <w:color w:val="000000"/>
                <w:sz w:val="20"/>
                <w:szCs w:val="20"/>
              </w:rPr>
            </w:pPr>
            <w:r w:rsidRPr="007C51D6">
              <w:rPr>
                <w:color w:val="000000"/>
                <w:sz w:val="20"/>
                <w:szCs w:val="20"/>
              </w:rPr>
              <w:t>51,88</w:t>
            </w:r>
          </w:p>
        </w:tc>
        <w:tc>
          <w:tcPr>
            <w:tcW w:w="995" w:type="dxa"/>
            <w:gridSpan w:val="2"/>
            <w:shd w:val="clear" w:color="auto" w:fill="auto"/>
            <w:hideMark/>
          </w:tcPr>
          <w:p w:rsidR="00B2672E" w:rsidRPr="007C51D6" w:rsidRDefault="00B2672E" w:rsidP="00B2672E">
            <w:pPr>
              <w:autoSpaceDE/>
              <w:autoSpaceDN/>
              <w:adjustRightInd/>
              <w:jc w:val="center"/>
              <w:rPr>
                <w:color w:val="000000"/>
                <w:sz w:val="20"/>
                <w:szCs w:val="20"/>
              </w:rPr>
            </w:pPr>
            <w:r w:rsidRPr="007C51D6">
              <w:rPr>
                <w:color w:val="000000"/>
                <w:sz w:val="20"/>
                <w:szCs w:val="20"/>
              </w:rPr>
              <w:t>49,38</w:t>
            </w:r>
          </w:p>
        </w:tc>
        <w:tc>
          <w:tcPr>
            <w:tcW w:w="1001" w:type="dxa"/>
            <w:gridSpan w:val="2"/>
          </w:tcPr>
          <w:p w:rsidR="00B2672E" w:rsidRPr="007C51D6" w:rsidRDefault="00B2672E" w:rsidP="00B2672E">
            <w:pPr>
              <w:jc w:val="center"/>
              <w:rPr>
                <w:color w:val="000000"/>
                <w:sz w:val="20"/>
                <w:szCs w:val="20"/>
              </w:rPr>
            </w:pPr>
            <w:r w:rsidRPr="007C51D6">
              <w:rPr>
                <w:color w:val="000000"/>
                <w:sz w:val="20"/>
                <w:szCs w:val="20"/>
              </w:rPr>
              <w:t>47,71</w:t>
            </w:r>
          </w:p>
        </w:tc>
        <w:tc>
          <w:tcPr>
            <w:tcW w:w="1042" w:type="dxa"/>
            <w:gridSpan w:val="2"/>
          </w:tcPr>
          <w:p w:rsidR="00B2672E" w:rsidRPr="007C51D6" w:rsidRDefault="00B2672E" w:rsidP="00B2672E">
            <w:pPr>
              <w:jc w:val="center"/>
              <w:rPr>
                <w:color w:val="000000"/>
                <w:sz w:val="20"/>
                <w:szCs w:val="20"/>
              </w:rPr>
            </w:pPr>
            <w:r w:rsidRPr="007C51D6">
              <w:rPr>
                <w:color w:val="000000"/>
                <w:sz w:val="20"/>
                <w:szCs w:val="20"/>
              </w:rPr>
              <w:t>47,06</w:t>
            </w:r>
          </w:p>
        </w:tc>
        <w:tc>
          <w:tcPr>
            <w:tcW w:w="1057" w:type="dxa"/>
            <w:gridSpan w:val="2"/>
          </w:tcPr>
          <w:p w:rsidR="00B2672E" w:rsidRPr="007C51D6" w:rsidRDefault="00B2672E" w:rsidP="00B2672E">
            <w:pPr>
              <w:jc w:val="center"/>
              <w:rPr>
                <w:color w:val="000000"/>
                <w:sz w:val="20"/>
                <w:szCs w:val="20"/>
              </w:rPr>
            </w:pPr>
            <w:r w:rsidRPr="007C51D6">
              <w:rPr>
                <w:color w:val="000000"/>
                <w:sz w:val="20"/>
                <w:szCs w:val="20"/>
              </w:rPr>
              <w:t>46,44</w:t>
            </w:r>
          </w:p>
        </w:tc>
        <w:tc>
          <w:tcPr>
            <w:tcW w:w="1142" w:type="dxa"/>
            <w:vAlign w:val="center"/>
          </w:tcPr>
          <w:p w:rsidR="00B2672E" w:rsidRPr="007C51D6" w:rsidRDefault="00B2672E" w:rsidP="00B2672E">
            <w:pPr>
              <w:jc w:val="center"/>
              <w:rPr>
                <w:color w:val="000000"/>
                <w:sz w:val="20"/>
                <w:szCs w:val="20"/>
              </w:rPr>
            </w:pPr>
            <w:r w:rsidRPr="007C51D6">
              <w:rPr>
                <w:color w:val="000000"/>
                <w:sz w:val="20"/>
                <w:szCs w:val="20"/>
              </w:rPr>
              <w:t>45.64</w:t>
            </w:r>
          </w:p>
        </w:tc>
        <w:tc>
          <w:tcPr>
            <w:tcW w:w="1709" w:type="dxa"/>
            <w:vAlign w:val="center"/>
          </w:tcPr>
          <w:p w:rsidR="00B2672E" w:rsidRPr="007C51D6" w:rsidRDefault="00B2672E" w:rsidP="00B2672E">
            <w:pPr>
              <w:jc w:val="center"/>
              <w:rPr>
                <w:color w:val="000000"/>
                <w:sz w:val="20"/>
                <w:szCs w:val="20"/>
              </w:rPr>
            </w:pPr>
            <w:r w:rsidRPr="007C51D6">
              <w:rPr>
                <w:color w:val="000000"/>
                <w:sz w:val="20"/>
                <w:szCs w:val="20"/>
              </w:rPr>
              <w:t>41.15</w:t>
            </w:r>
          </w:p>
        </w:tc>
      </w:tr>
      <w:tr w:rsidR="00B2672E" w:rsidRPr="007C51D6" w:rsidTr="00B2672E">
        <w:tblPrEx>
          <w:tblBorders>
            <w:bottom w:val="single" w:sz="4" w:space="0" w:color="auto"/>
          </w:tblBorders>
          <w:tblCellMar>
            <w:top w:w="11" w:type="dxa"/>
            <w:bottom w:w="11" w:type="dxa"/>
          </w:tblCellMar>
        </w:tblPrEx>
        <w:trPr>
          <w:gridAfter w:val="1"/>
          <w:wAfter w:w="30" w:type="dxa"/>
          <w:trHeight w:val="20"/>
        </w:trPr>
        <w:tc>
          <w:tcPr>
            <w:tcW w:w="4237" w:type="dxa"/>
            <w:shd w:val="clear" w:color="auto" w:fill="auto"/>
            <w:hideMark/>
          </w:tcPr>
          <w:p w:rsidR="00B2672E" w:rsidRPr="007C51D6" w:rsidRDefault="00B2672E" w:rsidP="00B2672E">
            <w:pPr>
              <w:autoSpaceDE/>
              <w:autoSpaceDN/>
              <w:adjustRightInd/>
              <w:jc w:val="both"/>
              <w:rPr>
                <w:color w:val="000000"/>
                <w:sz w:val="20"/>
                <w:szCs w:val="20"/>
              </w:rPr>
            </w:pPr>
            <w:r w:rsidRPr="007C51D6">
              <w:rPr>
                <w:color w:val="000000"/>
                <w:sz w:val="20"/>
                <w:szCs w:val="20"/>
              </w:rPr>
              <w:t>предстательной железы</w:t>
            </w:r>
          </w:p>
        </w:tc>
        <w:tc>
          <w:tcPr>
            <w:tcW w:w="1132" w:type="dxa"/>
            <w:gridSpan w:val="2"/>
            <w:shd w:val="clear" w:color="auto" w:fill="auto"/>
            <w:hideMark/>
          </w:tcPr>
          <w:p w:rsidR="00B2672E" w:rsidRPr="007C51D6" w:rsidRDefault="00B2672E" w:rsidP="00B2672E">
            <w:pPr>
              <w:autoSpaceDE/>
              <w:autoSpaceDN/>
              <w:adjustRightInd/>
              <w:jc w:val="center"/>
              <w:rPr>
                <w:color w:val="000000"/>
                <w:sz w:val="20"/>
                <w:szCs w:val="20"/>
              </w:rPr>
            </w:pPr>
            <w:r w:rsidRPr="007C51D6">
              <w:rPr>
                <w:color w:val="000000"/>
                <w:sz w:val="20"/>
                <w:szCs w:val="20"/>
              </w:rPr>
              <w:t>29,75</w:t>
            </w:r>
          </w:p>
        </w:tc>
        <w:tc>
          <w:tcPr>
            <w:tcW w:w="990" w:type="dxa"/>
            <w:gridSpan w:val="2"/>
            <w:shd w:val="clear" w:color="auto" w:fill="auto"/>
            <w:hideMark/>
          </w:tcPr>
          <w:p w:rsidR="00B2672E" w:rsidRPr="007C51D6" w:rsidRDefault="00B2672E" w:rsidP="00B2672E">
            <w:pPr>
              <w:autoSpaceDE/>
              <w:autoSpaceDN/>
              <w:adjustRightInd/>
              <w:jc w:val="center"/>
              <w:rPr>
                <w:color w:val="000000"/>
                <w:sz w:val="20"/>
                <w:szCs w:val="20"/>
              </w:rPr>
            </w:pPr>
            <w:r w:rsidRPr="007C51D6">
              <w:rPr>
                <w:color w:val="000000"/>
                <w:sz w:val="20"/>
                <w:szCs w:val="20"/>
              </w:rPr>
              <w:t>30,23</w:t>
            </w:r>
          </w:p>
        </w:tc>
        <w:tc>
          <w:tcPr>
            <w:tcW w:w="850" w:type="dxa"/>
            <w:gridSpan w:val="2"/>
            <w:shd w:val="clear" w:color="auto" w:fill="auto"/>
            <w:hideMark/>
          </w:tcPr>
          <w:p w:rsidR="00B2672E" w:rsidRPr="007C51D6" w:rsidRDefault="00B2672E" w:rsidP="00B2672E">
            <w:pPr>
              <w:autoSpaceDE/>
              <w:autoSpaceDN/>
              <w:adjustRightInd/>
              <w:jc w:val="center"/>
              <w:rPr>
                <w:color w:val="000000"/>
                <w:sz w:val="20"/>
                <w:szCs w:val="20"/>
              </w:rPr>
            </w:pPr>
            <w:r w:rsidRPr="007C51D6">
              <w:rPr>
                <w:color w:val="000000"/>
                <w:sz w:val="20"/>
                <w:szCs w:val="20"/>
              </w:rPr>
              <w:t>35,42</w:t>
            </w:r>
          </w:p>
        </w:tc>
        <w:tc>
          <w:tcPr>
            <w:tcW w:w="1014" w:type="dxa"/>
            <w:gridSpan w:val="2"/>
            <w:shd w:val="clear" w:color="auto" w:fill="auto"/>
            <w:hideMark/>
          </w:tcPr>
          <w:p w:rsidR="00B2672E" w:rsidRPr="007C51D6" w:rsidRDefault="00B2672E" w:rsidP="00B2672E">
            <w:pPr>
              <w:autoSpaceDE/>
              <w:autoSpaceDN/>
              <w:adjustRightInd/>
              <w:jc w:val="center"/>
              <w:rPr>
                <w:color w:val="000000"/>
                <w:sz w:val="20"/>
                <w:szCs w:val="20"/>
              </w:rPr>
            </w:pPr>
            <w:r w:rsidRPr="007C51D6">
              <w:rPr>
                <w:color w:val="000000"/>
                <w:sz w:val="20"/>
                <w:szCs w:val="20"/>
              </w:rPr>
              <w:t>44,19</w:t>
            </w:r>
          </w:p>
        </w:tc>
        <w:tc>
          <w:tcPr>
            <w:tcW w:w="995" w:type="dxa"/>
            <w:gridSpan w:val="2"/>
            <w:shd w:val="clear" w:color="auto" w:fill="auto"/>
            <w:hideMark/>
          </w:tcPr>
          <w:p w:rsidR="00B2672E" w:rsidRPr="007C51D6" w:rsidRDefault="00B2672E" w:rsidP="00B2672E">
            <w:pPr>
              <w:autoSpaceDE/>
              <w:autoSpaceDN/>
              <w:adjustRightInd/>
              <w:jc w:val="center"/>
              <w:rPr>
                <w:color w:val="000000"/>
                <w:sz w:val="20"/>
                <w:szCs w:val="20"/>
              </w:rPr>
            </w:pPr>
            <w:r w:rsidRPr="007C51D6">
              <w:rPr>
                <w:color w:val="000000"/>
                <w:sz w:val="20"/>
                <w:szCs w:val="20"/>
              </w:rPr>
              <w:t>49,09</w:t>
            </w:r>
          </w:p>
        </w:tc>
        <w:tc>
          <w:tcPr>
            <w:tcW w:w="1001" w:type="dxa"/>
            <w:gridSpan w:val="2"/>
          </w:tcPr>
          <w:p w:rsidR="00B2672E" w:rsidRPr="007C51D6" w:rsidRDefault="00B2672E" w:rsidP="00B2672E">
            <w:pPr>
              <w:jc w:val="center"/>
              <w:rPr>
                <w:color w:val="000000"/>
                <w:sz w:val="20"/>
                <w:szCs w:val="20"/>
              </w:rPr>
            </w:pPr>
            <w:r w:rsidRPr="007C51D6">
              <w:rPr>
                <w:color w:val="000000"/>
                <w:sz w:val="20"/>
                <w:szCs w:val="20"/>
              </w:rPr>
              <w:t>53,25</w:t>
            </w:r>
          </w:p>
        </w:tc>
        <w:tc>
          <w:tcPr>
            <w:tcW w:w="1042" w:type="dxa"/>
            <w:gridSpan w:val="2"/>
          </w:tcPr>
          <w:p w:rsidR="00B2672E" w:rsidRPr="007C51D6" w:rsidRDefault="00B2672E" w:rsidP="00B2672E">
            <w:pPr>
              <w:jc w:val="center"/>
              <w:rPr>
                <w:color w:val="000000"/>
                <w:sz w:val="20"/>
                <w:szCs w:val="20"/>
              </w:rPr>
            </w:pPr>
            <w:r w:rsidRPr="007C51D6">
              <w:rPr>
                <w:color w:val="000000"/>
                <w:sz w:val="20"/>
                <w:szCs w:val="20"/>
              </w:rPr>
              <w:t>56,84</w:t>
            </w:r>
          </w:p>
        </w:tc>
        <w:tc>
          <w:tcPr>
            <w:tcW w:w="1057" w:type="dxa"/>
            <w:gridSpan w:val="2"/>
          </w:tcPr>
          <w:p w:rsidR="00B2672E" w:rsidRPr="007C51D6" w:rsidRDefault="00B2672E" w:rsidP="00B2672E">
            <w:pPr>
              <w:jc w:val="center"/>
              <w:rPr>
                <w:color w:val="000000"/>
                <w:sz w:val="20"/>
                <w:szCs w:val="20"/>
              </w:rPr>
            </w:pPr>
            <w:r w:rsidRPr="007C51D6">
              <w:rPr>
                <w:color w:val="000000"/>
                <w:sz w:val="20"/>
                <w:szCs w:val="20"/>
              </w:rPr>
              <w:t>57,06</w:t>
            </w:r>
          </w:p>
        </w:tc>
        <w:tc>
          <w:tcPr>
            <w:tcW w:w="1142" w:type="dxa"/>
            <w:vAlign w:val="center"/>
          </w:tcPr>
          <w:p w:rsidR="00B2672E" w:rsidRPr="007C51D6" w:rsidRDefault="00B2672E" w:rsidP="00B2672E">
            <w:pPr>
              <w:jc w:val="center"/>
              <w:rPr>
                <w:color w:val="000000"/>
                <w:sz w:val="20"/>
                <w:szCs w:val="20"/>
              </w:rPr>
            </w:pPr>
            <w:r w:rsidRPr="007C51D6">
              <w:rPr>
                <w:color w:val="000000"/>
                <w:sz w:val="20"/>
                <w:szCs w:val="20"/>
              </w:rPr>
              <w:t>55,16</w:t>
            </w:r>
          </w:p>
        </w:tc>
        <w:tc>
          <w:tcPr>
            <w:tcW w:w="1709" w:type="dxa"/>
            <w:vAlign w:val="center"/>
          </w:tcPr>
          <w:p w:rsidR="00B2672E" w:rsidRPr="007C51D6" w:rsidRDefault="00B2672E" w:rsidP="00B2672E">
            <w:pPr>
              <w:jc w:val="center"/>
              <w:rPr>
                <w:color w:val="000000"/>
                <w:sz w:val="20"/>
                <w:szCs w:val="20"/>
              </w:rPr>
            </w:pPr>
            <w:r w:rsidRPr="007C51D6">
              <w:rPr>
                <w:color w:val="000000"/>
                <w:sz w:val="20"/>
                <w:szCs w:val="20"/>
              </w:rPr>
              <w:t>47.71</w:t>
            </w:r>
          </w:p>
        </w:tc>
      </w:tr>
      <w:tr w:rsidR="00B2672E" w:rsidRPr="007C51D6" w:rsidTr="00B2672E">
        <w:tblPrEx>
          <w:tblBorders>
            <w:bottom w:val="single" w:sz="4" w:space="0" w:color="auto"/>
          </w:tblBorders>
          <w:tblCellMar>
            <w:top w:w="11" w:type="dxa"/>
            <w:bottom w:w="11" w:type="dxa"/>
          </w:tblCellMar>
        </w:tblPrEx>
        <w:trPr>
          <w:gridAfter w:val="1"/>
          <w:wAfter w:w="30" w:type="dxa"/>
          <w:trHeight w:val="20"/>
        </w:trPr>
        <w:tc>
          <w:tcPr>
            <w:tcW w:w="4237" w:type="dxa"/>
            <w:shd w:val="clear" w:color="auto" w:fill="auto"/>
            <w:hideMark/>
          </w:tcPr>
          <w:p w:rsidR="00B2672E" w:rsidRPr="007C51D6" w:rsidRDefault="00B2672E" w:rsidP="00B2672E">
            <w:pPr>
              <w:autoSpaceDE/>
              <w:autoSpaceDN/>
              <w:adjustRightInd/>
              <w:jc w:val="both"/>
              <w:rPr>
                <w:color w:val="000000"/>
                <w:sz w:val="20"/>
                <w:szCs w:val="20"/>
              </w:rPr>
            </w:pPr>
            <w:r w:rsidRPr="007C51D6">
              <w:rPr>
                <w:color w:val="000000"/>
                <w:sz w:val="20"/>
                <w:szCs w:val="20"/>
              </w:rPr>
              <w:t>трахеи, бронхов, легких</w:t>
            </w:r>
          </w:p>
        </w:tc>
        <w:tc>
          <w:tcPr>
            <w:tcW w:w="1132" w:type="dxa"/>
            <w:gridSpan w:val="2"/>
            <w:shd w:val="clear" w:color="auto" w:fill="auto"/>
            <w:hideMark/>
          </w:tcPr>
          <w:p w:rsidR="00B2672E" w:rsidRPr="007C51D6" w:rsidRDefault="00B2672E" w:rsidP="00B2672E">
            <w:pPr>
              <w:autoSpaceDE/>
              <w:autoSpaceDN/>
              <w:adjustRightInd/>
              <w:jc w:val="center"/>
              <w:rPr>
                <w:color w:val="000000"/>
                <w:sz w:val="20"/>
                <w:szCs w:val="20"/>
              </w:rPr>
            </w:pPr>
            <w:r w:rsidRPr="007C51D6">
              <w:rPr>
                <w:color w:val="000000"/>
                <w:sz w:val="20"/>
                <w:szCs w:val="20"/>
              </w:rPr>
              <w:t>49,54</w:t>
            </w:r>
          </w:p>
        </w:tc>
        <w:tc>
          <w:tcPr>
            <w:tcW w:w="990" w:type="dxa"/>
            <w:gridSpan w:val="2"/>
            <w:shd w:val="clear" w:color="auto" w:fill="auto"/>
            <w:hideMark/>
          </w:tcPr>
          <w:p w:rsidR="00B2672E" w:rsidRPr="007C51D6" w:rsidRDefault="00B2672E" w:rsidP="00B2672E">
            <w:pPr>
              <w:autoSpaceDE/>
              <w:autoSpaceDN/>
              <w:adjustRightInd/>
              <w:jc w:val="center"/>
              <w:rPr>
                <w:color w:val="000000"/>
                <w:sz w:val="20"/>
                <w:szCs w:val="20"/>
              </w:rPr>
            </w:pPr>
            <w:r w:rsidRPr="007C51D6">
              <w:rPr>
                <w:color w:val="000000"/>
                <w:sz w:val="20"/>
                <w:szCs w:val="20"/>
              </w:rPr>
              <w:t>49,69</w:t>
            </w:r>
          </w:p>
        </w:tc>
        <w:tc>
          <w:tcPr>
            <w:tcW w:w="850" w:type="dxa"/>
            <w:gridSpan w:val="2"/>
            <w:shd w:val="clear" w:color="auto" w:fill="auto"/>
            <w:hideMark/>
          </w:tcPr>
          <w:p w:rsidR="00B2672E" w:rsidRPr="007C51D6" w:rsidRDefault="00B2672E" w:rsidP="00B2672E">
            <w:pPr>
              <w:autoSpaceDE/>
              <w:autoSpaceDN/>
              <w:adjustRightInd/>
              <w:jc w:val="center"/>
              <w:rPr>
                <w:color w:val="000000"/>
                <w:sz w:val="20"/>
                <w:szCs w:val="20"/>
              </w:rPr>
            </w:pPr>
            <w:r w:rsidRPr="007C51D6">
              <w:rPr>
                <w:color w:val="000000"/>
                <w:sz w:val="20"/>
                <w:szCs w:val="20"/>
              </w:rPr>
              <w:t>49,05</w:t>
            </w:r>
          </w:p>
        </w:tc>
        <w:tc>
          <w:tcPr>
            <w:tcW w:w="1014" w:type="dxa"/>
            <w:gridSpan w:val="2"/>
            <w:shd w:val="clear" w:color="auto" w:fill="auto"/>
            <w:hideMark/>
          </w:tcPr>
          <w:p w:rsidR="00B2672E" w:rsidRPr="007C51D6" w:rsidRDefault="00B2672E" w:rsidP="00B2672E">
            <w:pPr>
              <w:autoSpaceDE/>
              <w:autoSpaceDN/>
              <w:adjustRightInd/>
              <w:jc w:val="center"/>
              <w:rPr>
                <w:color w:val="000000"/>
                <w:sz w:val="20"/>
                <w:szCs w:val="20"/>
              </w:rPr>
            </w:pPr>
            <w:r w:rsidRPr="007C51D6">
              <w:rPr>
                <w:color w:val="000000"/>
                <w:sz w:val="20"/>
                <w:szCs w:val="20"/>
              </w:rPr>
              <w:t>48,94</w:t>
            </w:r>
          </w:p>
        </w:tc>
        <w:tc>
          <w:tcPr>
            <w:tcW w:w="995" w:type="dxa"/>
            <w:gridSpan w:val="2"/>
            <w:shd w:val="clear" w:color="auto" w:fill="auto"/>
            <w:hideMark/>
          </w:tcPr>
          <w:p w:rsidR="00B2672E" w:rsidRPr="007C51D6" w:rsidRDefault="00B2672E" w:rsidP="00B2672E">
            <w:pPr>
              <w:autoSpaceDE/>
              <w:autoSpaceDN/>
              <w:adjustRightInd/>
              <w:jc w:val="center"/>
              <w:rPr>
                <w:color w:val="000000"/>
                <w:sz w:val="20"/>
                <w:szCs w:val="20"/>
              </w:rPr>
            </w:pPr>
            <w:r w:rsidRPr="007C51D6">
              <w:rPr>
                <w:color w:val="000000"/>
                <w:sz w:val="20"/>
                <w:szCs w:val="20"/>
              </w:rPr>
              <w:t>48,30</w:t>
            </w:r>
          </w:p>
        </w:tc>
        <w:tc>
          <w:tcPr>
            <w:tcW w:w="1001" w:type="dxa"/>
            <w:gridSpan w:val="2"/>
          </w:tcPr>
          <w:p w:rsidR="00B2672E" w:rsidRPr="007C51D6" w:rsidRDefault="00B2672E" w:rsidP="00B2672E">
            <w:pPr>
              <w:jc w:val="center"/>
              <w:rPr>
                <w:color w:val="000000"/>
                <w:sz w:val="20"/>
                <w:szCs w:val="20"/>
              </w:rPr>
            </w:pPr>
            <w:r w:rsidRPr="007C51D6">
              <w:rPr>
                <w:color w:val="000000"/>
                <w:sz w:val="20"/>
                <w:szCs w:val="20"/>
              </w:rPr>
              <w:t>47,63</w:t>
            </w:r>
          </w:p>
        </w:tc>
        <w:tc>
          <w:tcPr>
            <w:tcW w:w="1042" w:type="dxa"/>
            <w:gridSpan w:val="2"/>
          </w:tcPr>
          <w:p w:rsidR="00B2672E" w:rsidRPr="007C51D6" w:rsidRDefault="00B2672E" w:rsidP="00B2672E">
            <w:pPr>
              <w:jc w:val="center"/>
              <w:rPr>
                <w:color w:val="000000"/>
                <w:sz w:val="20"/>
                <w:szCs w:val="20"/>
              </w:rPr>
            </w:pPr>
            <w:r w:rsidRPr="007C51D6">
              <w:rPr>
                <w:color w:val="000000"/>
                <w:sz w:val="20"/>
                <w:szCs w:val="20"/>
              </w:rPr>
              <w:t>46,49</w:t>
            </w:r>
          </w:p>
        </w:tc>
        <w:tc>
          <w:tcPr>
            <w:tcW w:w="1057" w:type="dxa"/>
            <w:gridSpan w:val="2"/>
          </w:tcPr>
          <w:p w:rsidR="00B2672E" w:rsidRPr="007C51D6" w:rsidRDefault="00B2672E" w:rsidP="00B2672E">
            <w:pPr>
              <w:jc w:val="center"/>
              <w:rPr>
                <w:color w:val="000000"/>
                <w:sz w:val="20"/>
                <w:szCs w:val="20"/>
              </w:rPr>
            </w:pPr>
            <w:r w:rsidRPr="007C51D6">
              <w:rPr>
                <w:color w:val="000000"/>
                <w:sz w:val="20"/>
                <w:szCs w:val="20"/>
              </w:rPr>
              <w:t>46,94</w:t>
            </w:r>
          </w:p>
        </w:tc>
        <w:tc>
          <w:tcPr>
            <w:tcW w:w="1142" w:type="dxa"/>
            <w:vAlign w:val="center"/>
          </w:tcPr>
          <w:p w:rsidR="00B2672E" w:rsidRPr="007C51D6" w:rsidRDefault="00B2672E" w:rsidP="00B2672E">
            <w:pPr>
              <w:jc w:val="center"/>
              <w:rPr>
                <w:color w:val="000000"/>
                <w:sz w:val="20"/>
                <w:szCs w:val="20"/>
              </w:rPr>
            </w:pPr>
            <w:r w:rsidRPr="007C51D6">
              <w:rPr>
                <w:color w:val="000000"/>
                <w:sz w:val="20"/>
                <w:szCs w:val="20"/>
              </w:rPr>
              <w:t>47.40</w:t>
            </w:r>
          </w:p>
        </w:tc>
        <w:tc>
          <w:tcPr>
            <w:tcW w:w="1709" w:type="dxa"/>
            <w:vAlign w:val="center"/>
          </w:tcPr>
          <w:p w:rsidR="00B2672E" w:rsidRPr="007C51D6" w:rsidRDefault="00B2672E" w:rsidP="00B2672E">
            <w:pPr>
              <w:jc w:val="center"/>
              <w:rPr>
                <w:color w:val="000000"/>
                <w:sz w:val="20"/>
                <w:szCs w:val="20"/>
              </w:rPr>
            </w:pPr>
            <w:r w:rsidRPr="007C51D6">
              <w:rPr>
                <w:color w:val="000000"/>
                <w:sz w:val="20"/>
                <w:szCs w:val="20"/>
              </w:rPr>
              <w:t>37.42</w:t>
            </w:r>
          </w:p>
        </w:tc>
      </w:tr>
      <w:tr w:rsidR="00B2672E" w:rsidRPr="007C51D6" w:rsidTr="00B2672E">
        <w:tblPrEx>
          <w:tblBorders>
            <w:bottom w:val="single" w:sz="4" w:space="0" w:color="auto"/>
          </w:tblBorders>
          <w:tblCellMar>
            <w:top w:w="11" w:type="dxa"/>
            <w:bottom w:w="11" w:type="dxa"/>
          </w:tblCellMar>
        </w:tblPrEx>
        <w:trPr>
          <w:gridAfter w:val="1"/>
          <w:wAfter w:w="30" w:type="dxa"/>
          <w:trHeight w:val="20"/>
        </w:trPr>
        <w:tc>
          <w:tcPr>
            <w:tcW w:w="4237" w:type="dxa"/>
            <w:shd w:val="clear" w:color="auto" w:fill="auto"/>
            <w:hideMark/>
          </w:tcPr>
          <w:p w:rsidR="00B2672E" w:rsidRPr="007C51D6" w:rsidRDefault="00B2672E" w:rsidP="00B2672E">
            <w:pPr>
              <w:autoSpaceDE/>
              <w:autoSpaceDN/>
              <w:adjustRightInd/>
              <w:jc w:val="both"/>
              <w:rPr>
                <w:color w:val="000000"/>
                <w:sz w:val="20"/>
                <w:szCs w:val="20"/>
              </w:rPr>
            </w:pPr>
            <w:r w:rsidRPr="007C51D6">
              <w:rPr>
                <w:color w:val="000000"/>
                <w:sz w:val="20"/>
                <w:szCs w:val="20"/>
              </w:rPr>
              <w:t>прямой кишки, ректосигмоидного соединения, ануса</w:t>
            </w:r>
          </w:p>
        </w:tc>
        <w:tc>
          <w:tcPr>
            <w:tcW w:w="1132" w:type="dxa"/>
            <w:gridSpan w:val="2"/>
            <w:shd w:val="clear" w:color="auto" w:fill="auto"/>
            <w:hideMark/>
          </w:tcPr>
          <w:p w:rsidR="00B2672E" w:rsidRPr="007C51D6" w:rsidRDefault="00B2672E" w:rsidP="00B2672E">
            <w:pPr>
              <w:autoSpaceDE/>
              <w:autoSpaceDN/>
              <w:adjustRightInd/>
              <w:jc w:val="center"/>
              <w:rPr>
                <w:color w:val="000000"/>
                <w:sz w:val="20"/>
                <w:szCs w:val="20"/>
              </w:rPr>
            </w:pPr>
            <w:r w:rsidRPr="007C51D6">
              <w:rPr>
                <w:color w:val="000000"/>
                <w:sz w:val="20"/>
                <w:szCs w:val="20"/>
              </w:rPr>
              <w:t>50,83</w:t>
            </w:r>
          </w:p>
        </w:tc>
        <w:tc>
          <w:tcPr>
            <w:tcW w:w="990" w:type="dxa"/>
            <w:gridSpan w:val="2"/>
            <w:shd w:val="clear" w:color="auto" w:fill="auto"/>
            <w:hideMark/>
          </w:tcPr>
          <w:p w:rsidR="00B2672E" w:rsidRPr="007C51D6" w:rsidRDefault="00B2672E" w:rsidP="00B2672E">
            <w:pPr>
              <w:autoSpaceDE/>
              <w:autoSpaceDN/>
              <w:adjustRightInd/>
              <w:jc w:val="center"/>
              <w:rPr>
                <w:color w:val="000000"/>
                <w:sz w:val="20"/>
                <w:szCs w:val="20"/>
              </w:rPr>
            </w:pPr>
            <w:r w:rsidRPr="007C51D6">
              <w:rPr>
                <w:color w:val="000000"/>
                <w:sz w:val="20"/>
                <w:szCs w:val="20"/>
              </w:rPr>
              <w:t>50,51</w:t>
            </w:r>
          </w:p>
        </w:tc>
        <w:tc>
          <w:tcPr>
            <w:tcW w:w="850" w:type="dxa"/>
            <w:gridSpan w:val="2"/>
            <w:shd w:val="clear" w:color="auto" w:fill="auto"/>
            <w:hideMark/>
          </w:tcPr>
          <w:p w:rsidR="00B2672E" w:rsidRPr="007C51D6" w:rsidRDefault="00B2672E" w:rsidP="00B2672E">
            <w:pPr>
              <w:autoSpaceDE/>
              <w:autoSpaceDN/>
              <w:adjustRightInd/>
              <w:jc w:val="center"/>
              <w:rPr>
                <w:color w:val="000000"/>
                <w:sz w:val="20"/>
                <w:szCs w:val="20"/>
              </w:rPr>
            </w:pPr>
            <w:r w:rsidRPr="007C51D6">
              <w:rPr>
                <w:color w:val="000000"/>
                <w:sz w:val="20"/>
                <w:szCs w:val="20"/>
              </w:rPr>
              <w:t>49,97</w:t>
            </w:r>
          </w:p>
        </w:tc>
        <w:tc>
          <w:tcPr>
            <w:tcW w:w="1014" w:type="dxa"/>
            <w:gridSpan w:val="2"/>
            <w:shd w:val="clear" w:color="auto" w:fill="auto"/>
            <w:hideMark/>
          </w:tcPr>
          <w:p w:rsidR="00B2672E" w:rsidRPr="007C51D6" w:rsidRDefault="00B2672E" w:rsidP="00B2672E">
            <w:pPr>
              <w:autoSpaceDE/>
              <w:autoSpaceDN/>
              <w:adjustRightInd/>
              <w:jc w:val="center"/>
              <w:rPr>
                <w:color w:val="000000"/>
                <w:sz w:val="20"/>
                <w:szCs w:val="20"/>
              </w:rPr>
            </w:pPr>
            <w:r w:rsidRPr="007C51D6">
              <w:rPr>
                <w:color w:val="000000"/>
                <w:sz w:val="20"/>
                <w:szCs w:val="20"/>
              </w:rPr>
              <w:t>49,18</w:t>
            </w:r>
          </w:p>
        </w:tc>
        <w:tc>
          <w:tcPr>
            <w:tcW w:w="995" w:type="dxa"/>
            <w:gridSpan w:val="2"/>
            <w:shd w:val="clear" w:color="auto" w:fill="auto"/>
            <w:hideMark/>
          </w:tcPr>
          <w:p w:rsidR="00B2672E" w:rsidRPr="007C51D6" w:rsidRDefault="00B2672E" w:rsidP="00B2672E">
            <w:pPr>
              <w:autoSpaceDE/>
              <w:autoSpaceDN/>
              <w:adjustRightInd/>
              <w:jc w:val="center"/>
              <w:rPr>
                <w:color w:val="000000"/>
                <w:sz w:val="20"/>
                <w:szCs w:val="20"/>
              </w:rPr>
            </w:pPr>
            <w:r w:rsidRPr="007C51D6">
              <w:rPr>
                <w:color w:val="000000"/>
                <w:sz w:val="20"/>
                <w:szCs w:val="20"/>
              </w:rPr>
              <w:t>47,69</w:t>
            </w:r>
          </w:p>
        </w:tc>
        <w:tc>
          <w:tcPr>
            <w:tcW w:w="1001" w:type="dxa"/>
            <w:gridSpan w:val="2"/>
          </w:tcPr>
          <w:p w:rsidR="00B2672E" w:rsidRPr="007C51D6" w:rsidRDefault="00B2672E" w:rsidP="00B2672E">
            <w:pPr>
              <w:jc w:val="center"/>
              <w:rPr>
                <w:color w:val="000000"/>
                <w:sz w:val="20"/>
                <w:szCs w:val="20"/>
              </w:rPr>
            </w:pPr>
            <w:r w:rsidRPr="007C51D6">
              <w:rPr>
                <w:color w:val="000000"/>
                <w:sz w:val="20"/>
                <w:szCs w:val="20"/>
              </w:rPr>
              <w:t>48,32</w:t>
            </w:r>
          </w:p>
        </w:tc>
        <w:tc>
          <w:tcPr>
            <w:tcW w:w="1042" w:type="dxa"/>
            <w:gridSpan w:val="2"/>
          </w:tcPr>
          <w:p w:rsidR="00B2672E" w:rsidRPr="007C51D6" w:rsidRDefault="00B2672E" w:rsidP="00B2672E">
            <w:pPr>
              <w:jc w:val="center"/>
              <w:rPr>
                <w:color w:val="000000"/>
                <w:sz w:val="20"/>
                <w:szCs w:val="20"/>
              </w:rPr>
            </w:pPr>
            <w:r w:rsidRPr="007C51D6">
              <w:rPr>
                <w:color w:val="000000"/>
                <w:sz w:val="20"/>
                <w:szCs w:val="20"/>
              </w:rPr>
              <w:t>49,16</w:t>
            </w:r>
          </w:p>
        </w:tc>
        <w:tc>
          <w:tcPr>
            <w:tcW w:w="1057" w:type="dxa"/>
            <w:gridSpan w:val="2"/>
          </w:tcPr>
          <w:p w:rsidR="00B2672E" w:rsidRPr="007C51D6" w:rsidRDefault="00B2672E" w:rsidP="00B2672E">
            <w:pPr>
              <w:jc w:val="center"/>
              <w:rPr>
                <w:color w:val="000000"/>
                <w:sz w:val="20"/>
                <w:szCs w:val="20"/>
              </w:rPr>
            </w:pPr>
            <w:r w:rsidRPr="007C51D6">
              <w:rPr>
                <w:color w:val="000000"/>
                <w:sz w:val="20"/>
                <w:szCs w:val="20"/>
              </w:rPr>
              <w:t>50,86</w:t>
            </w:r>
          </w:p>
        </w:tc>
        <w:tc>
          <w:tcPr>
            <w:tcW w:w="1142" w:type="dxa"/>
            <w:vAlign w:val="center"/>
          </w:tcPr>
          <w:p w:rsidR="00B2672E" w:rsidRPr="007C51D6" w:rsidRDefault="00B2672E" w:rsidP="00B2672E">
            <w:pPr>
              <w:jc w:val="center"/>
              <w:rPr>
                <w:color w:val="000000"/>
                <w:sz w:val="20"/>
                <w:szCs w:val="20"/>
              </w:rPr>
            </w:pPr>
            <w:r w:rsidRPr="007C51D6">
              <w:rPr>
                <w:color w:val="000000"/>
                <w:sz w:val="20"/>
                <w:szCs w:val="20"/>
              </w:rPr>
              <w:t>50.64</w:t>
            </w:r>
          </w:p>
        </w:tc>
        <w:tc>
          <w:tcPr>
            <w:tcW w:w="1709" w:type="dxa"/>
            <w:vAlign w:val="center"/>
          </w:tcPr>
          <w:p w:rsidR="00B2672E" w:rsidRPr="007C51D6" w:rsidRDefault="00B2672E" w:rsidP="00B2672E">
            <w:pPr>
              <w:jc w:val="center"/>
              <w:rPr>
                <w:color w:val="000000"/>
                <w:sz w:val="20"/>
                <w:szCs w:val="20"/>
              </w:rPr>
            </w:pPr>
            <w:r w:rsidRPr="007C51D6">
              <w:rPr>
                <w:color w:val="000000"/>
                <w:sz w:val="20"/>
                <w:szCs w:val="20"/>
              </w:rPr>
              <w:t>45.26</w:t>
            </w:r>
          </w:p>
        </w:tc>
      </w:tr>
      <w:tr w:rsidR="00B2672E" w:rsidRPr="007C51D6" w:rsidTr="00B2672E">
        <w:tblPrEx>
          <w:tblBorders>
            <w:bottom w:val="single" w:sz="4" w:space="0" w:color="auto"/>
          </w:tblBorders>
          <w:tblCellMar>
            <w:top w:w="11" w:type="dxa"/>
            <w:bottom w:w="11" w:type="dxa"/>
          </w:tblCellMar>
        </w:tblPrEx>
        <w:trPr>
          <w:gridAfter w:val="1"/>
          <w:wAfter w:w="30" w:type="dxa"/>
          <w:trHeight w:val="20"/>
        </w:trPr>
        <w:tc>
          <w:tcPr>
            <w:tcW w:w="4237" w:type="dxa"/>
            <w:shd w:val="clear" w:color="auto" w:fill="auto"/>
            <w:hideMark/>
          </w:tcPr>
          <w:p w:rsidR="00B2672E" w:rsidRPr="007C51D6" w:rsidRDefault="00B2672E" w:rsidP="00B2672E">
            <w:pPr>
              <w:autoSpaceDE/>
              <w:autoSpaceDN/>
              <w:adjustRightInd/>
              <w:jc w:val="both"/>
              <w:rPr>
                <w:color w:val="000000"/>
                <w:sz w:val="20"/>
                <w:szCs w:val="20"/>
              </w:rPr>
            </w:pPr>
            <w:r w:rsidRPr="007C51D6">
              <w:rPr>
                <w:color w:val="000000"/>
                <w:sz w:val="20"/>
                <w:szCs w:val="20"/>
              </w:rPr>
              <w:t>рак кожи</w:t>
            </w:r>
          </w:p>
        </w:tc>
        <w:tc>
          <w:tcPr>
            <w:tcW w:w="1132" w:type="dxa"/>
            <w:gridSpan w:val="2"/>
            <w:shd w:val="clear" w:color="auto" w:fill="auto"/>
            <w:hideMark/>
          </w:tcPr>
          <w:p w:rsidR="00B2672E" w:rsidRPr="007C51D6" w:rsidRDefault="00B2672E" w:rsidP="00B2672E">
            <w:pPr>
              <w:autoSpaceDE/>
              <w:autoSpaceDN/>
              <w:adjustRightInd/>
              <w:jc w:val="center"/>
              <w:rPr>
                <w:color w:val="000000"/>
                <w:sz w:val="20"/>
                <w:szCs w:val="20"/>
              </w:rPr>
            </w:pPr>
            <w:r w:rsidRPr="007C51D6">
              <w:rPr>
                <w:color w:val="000000"/>
                <w:sz w:val="20"/>
                <w:szCs w:val="20"/>
              </w:rPr>
              <w:t>49,39</w:t>
            </w:r>
          </w:p>
        </w:tc>
        <w:tc>
          <w:tcPr>
            <w:tcW w:w="990" w:type="dxa"/>
            <w:gridSpan w:val="2"/>
            <w:shd w:val="clear" w:color="auto" w:fill="auto"/>
            <w:hideMark/>
          </w:tcPr>
          <w:p w:rsidR="00B2672E" w:rsidRPr="007C51D6" w:rsidRDefault="00B2672E" w:rsidP="00B2672E">
            <w:pPr>
              <w:autoSpaceDE/>
              <w:autoSpaceDN/>
              <w:adjustRightInd/>
              <w:jc w:val="center"/>
              <w:rPr>
                <w:color w:val="000000"/>
                <w:sz w:val="20"/>
                <w:szCs w:val="20"/>
              </w:rPr>
            </w:pPr>
            <w:r w:rsidRPr="007C51D6">
              <w:rPr>
                <w:color w:val="000000"/>
                <w:sz w:val="20"/>
                <w:szCs w:val="20"/>
              </w:rPr>
              <w:t>51,25</w:t>
            </w:r>
          </w:p>
        </w:tc>
        <w:tc>
          <w:tcPr>
            <w:tcW w:w="850" w:type="dxa"/>
            <w:gridSpan w:val="2"/>
            <w:shd w:val="clear" w:color="auto" w:fill="auto"/>
            <w:hideMark/>
          </w:tcPr>
          <w:p w:rsidR="00B2672E" w:rsidRPr="007C51D6" w:rsidRDefault="00B2672E" w:rsidP="00B2672E">
            <w:pPr>
              <w:autoSpaceDE/>
              <w:autoSpaceDN/>
              <w:adjustRightInd/>
              <w:jc w:val="center"/>
              <w:rPr>
                <w:color w:val="000000"/>
                <w:sz w:val="20"/>
                <w:szCs w:val="20"/>
              </w:rPr>
            </w:pPr>
            <w:r w:rsidRPr="007C51D6">
              <w:rPr>
                <w:color w:val="000000"/>
                <w:sz w:val="20"/>
                <w:szCs w:val="20"/>
              </w:rPr>
              <w:t>51,63</w:t>
            </w:r>
          </w:p>
        </w:tc>
        <w:tc>
          <w:tcPr>
            <w:tcW w:w="1014" w:type="dxa"/>
            <w:gridSpan w:val="2"/>
            <w:shd w:val="clear" w:color="auto" w:fill="auto"/>
            <w:hideMark/>
          </w:tcPr>
          <w:p w:rsidR="00B2672E" w:rsidRPr="007C51D6" w:rsidRDefault="00B2672E" w:rsidP="00B2672E">
            <w:pPr>
              <w:autoSpaceDE/>
              <w:autoSpaceDN/>
              <w:adjustRightInd/>
              <w:jc w:val="center"/>
              <w:rPr>
                <w:color w:val="000000"/>
                <w:sz w:val="20"/>
                <w:szCs w:val="20"/>
              </w:rPr>
            </w:pPr>
            <w:r w:rsidRPr="007C51D6">
              <w:rPr>
                <w:color w:val="000000"/>
                <w:sz w:val="20"/>
                <w:szCs w:val="20"/>
              </w:rPr>
              <w:t>45,80</w:t>
            </w:r>
          </w:p>
        </w:tc>
        <w:tc>
          <w:tcPr>
            <w:tcW w:w="995" w:type="dxa"/>
            <w:gridSpan w:val="2"/>
            <w:shd w:val="clear" w:color="auto" w:fill="auto"/>
            <w:hideMark/>
          </w:tcPr>
          <w:p w:rsidR="00B2672E" w:rsidRPr="007C51D6" w:rsidRDefault="00B2672E" w:rsidP="00B2672E">
            <w:pPr>
              <w:autoSpaceDE/>
              <w:autoSpaceDN/>
              <w:adjustRightInd/>
              <w:jc w:val="center"/>
              <w:rPr>
                <w:color w:val="000000"/>
                <w:sz w:val="20"/>
                <w:szCs w:val="20"/>
              </w:rPr>
            </w:pPr>
            <w:r w:rsidRPr="007C51D6">
              <w:rPr>
                <w:color w:val="000000"/>
                <w:sz w:val="20"/>
                <w:szCs w:val="20"/>
              </w:rPr>
              <w:t>46,89</w:t>
            </w:r>
          </w:p>
        </w:tc>
        <w:tc>
          <w:tcPr>
            <w:tcW w:w="1001" w:type="dxa"/>
            <w:gridSpan w:val="2"/>
          </w:tcPr>
          <w:p w:rsidR="00B2672E" w:rsidRPr="007C51D6" w:rsidRDefault="00B2672E" w:rsidP="00B2672E">
            <w:pPr>
              <w:jc w:val="center"/>
              <w:rPr>
                <w:color w:val="000000"/>
                <w:sz w:val="20"/>
                <w:szCs w:val="20"/>
              </w:rPr>
            </w:pPr>
            <w:r w:rsidRPr="007C51D6">
              <w:rPr>
                <w:color w:val="000000"/>
                <w:sz w:val="20"/>
                <w:szCs w:val="20"/>
              </w:rPr>
              <w:t>46,53</w:t>
            </w:r>
          </w:p>
        </w:tc>
        <w:tc>
          <w:tcPr>
            <w:tcW w:w="1042" w:type="dxa"/>
            <w:gridSpan w:val="2"/>
          </w:tcPr>
          <w:p w:rsidR="00B2672E" w:rsidRPr="007C51D6" w:rsidRDefault="00B2672E" w:rsidP="00B2672E">
            <w:pPr>
              <w:jc w:val="center"/>
              <w:rPr>
                <w:color w:val="000000"/>
                <w:sz w:val="20"/>
                <w:szCs w:val="20"/>
              </w:rPr>
            </w:pPr>
            <w:r w:rsidRPr="007C51D6">
              <w:rPr>
                <w:color w:val="000000"/>
                <w:sz w:val="20"/>
                <w:szCs w:val="20"/>
              </w:rPr>
              <w:t>45,98</w:t>
            </w:r>
          </w:p>
        </w:tc>
        <w:tc>
          <w:tcPr>
            <w:tcW w:w="1057" w:type="dxa"/>
            <w:gridSpan w:val="2"/>
          </w:tcPr>
          <w:p w:rsidR="00B2672E" w:rsidRPr="007C51D6" w:rsidRDefault="00B2672E" w:rsidP="00B2672E">
            <w:pPr>
              <w:jc w:val="center"/>
              <w:rPr>
                <w:color w:val="000000"/>
                <w:sz w:val="20"/>
                <w:szCs w:val="20"/>
              </w:rPr>
            </w:pPr>
            <w:r w:rsidRPr="007C51D6">
              <w:rPr>
                <w:color w:val="000000"/>
                <w:sz w:val="20"/>
                <w:szCs w:val="20"/>
              </w:rPr>
              <w:t>45,46</w:t>
            </w:r>
          </w:p>
        </w:tc>
        <w:tc>
          <w:tcPr>
            <w:tcW w:w="1142" w:type="dxa"/>
            <w:vAlign w:val="center"/>
          </w:tcPr>
          <w:p w:rsidR="00B2672E" w:rsidRPr="007C51D6" w:rsidRDefault="00B2672E" w:rsidP="00B2672E">
            <w:pPr>
              <w:jc w:val="center"/>
              <w:rPr>
                <w:color w:val="000000"/>
                <w:sz w:val="20"/>
                <w:szCs w:val="20"/>
              </w:rPr>
            </w:pPr>
            <w:r w:rsidRPr="007C51D6">
              <w:rPr>
                <w:color w:val="000000"/>
                <w:sz w:val="20"/>
                <w:szCs w:val="20"/>
              </w:rPr>
              <w:t>45.93</w:t>
            </w:r>
          </w:p>
        </w:tc>
        <w:tc>
          <w:tcPr>
            <w:tcW w:w="1709" w:type="dxa"/>
            <w:vAlign w:val="center"/>
          </w:tcPr>
          <w:p w:rsidR="00B2672E" w:rsidRPr="007C51D6" w:rsidRDefault="00B2672E" w:rsidP="00B2672E">
            <w:pPr>
              <w:jc w:val="center"/>
              <w:rPr>
                <w:color w:val="000000"/>
                <w:sz w:val="20"/>
                <w:szCs w:val="20"/>
              </w:rPr>
            </w:pPr>
            <w:r w:rsidRPr="007C51D6">
              <w:rPr>
                <w:color w:val="000000"/>
                <w:sz w:val="20"/>
                <w:szCs w:val="20"/>
              </w:rPr>
              <w:t>42.09</w:t>
            </w:r>
          </w:p>
        </w:tc>
      </w:tr>
      <w:tr w:rsidR="00B2672E" w:rsidRPr="007C51D6" w:rsidTr="00B2672E">
        <w:tblPrEx>
          <w:tblBorders>
            <w:bottom w:val="single" w:sz="4" w:space="0" w:color="auto"/>
          </w:tblBorders>
          <w:tblCellMar>
            <w:top w:w="11" w:type="dxa"/>
            <w:bottom w:w="11" w:type="dxa"/>
          </w:tblCellMar>
        </w:tblPrEx>
        <w:trPr>
          <w:gridAfter w:val="1"/>
          <w:wAfter w:w="30" w:type="dxa"/>
          <w:trHeight w:val="20"/>
        </w:trPr>
        <w:tc>
          <w:tcPr>
            <w:tcW w:w="4237" w:type="dxa"/>
            <w:shd w:val="clear" w:color="auto" w:fill="auto"/>
            <w:hideMark/>
          </w:tcPr>
          <w:p w:rsidR="00B2672E" w:rsidRPr="007C51D6" w:rsidRDefault="00B2672E" w:rsidP="00B2672E">
            <w:pPr>
              <w:autoSpaceDE/>
              <w:autoSpaceDN/>
              <w:adjustRightInd/>
              <w:jc w:val="both"/>
              <w:rPr>
                <w:color w:val="000000"/>
                <w:sz w:val="20"/>
                <w:szCs w:val="20"/>
              </w:rPr>
            </w:pPr>
            <w:r w:rsidRPr="007C51D6">
              <w:rPr>
                <w:color w:val="000000"/>
                <w:sz w:val="20"/>
                <w:szCs w:val="20"/>
              </w:rPr>
              <w:t>поджелудочной железы</w:t>
            </w:r>
          </w:p>
        </w:tc>
        <w:tc>
          <w:tcPr>
            <w:tcW w:w="1132" w:type="dxa"/>
            <w:gridSpan w:val="2"/>
            <w:shd w:val="clear" w:color="auto" w:fill="auto"/>
            <w:hideMark/>
          </w:tcPr>
          <w:p w:rsidR="00B2672E" w:rsidRPr="007C51D6" w:rsidRDefault="00B2672E" w:rsidP="00B2672E">
            <w:pPr>
              <w:autoSpaceDE/>
              <w:autoSpaceDN/>
              <w:adjustRightInd/>
              <w:jc w:val="center"/>
              <w:rPr>
                <w:color w:val="000000"/>
                <w:sz w:val="20"/>
                <w:szCs w:val="20"/>
              </w:rPr>
            </w:pPr>
            <w:r w:rsidRPr="007C51D6">
              <w:rPr>
                <w:color w:val="000000"/>
                <w:sz w:val="20"/>
                <w:szCs w:val="20"/>
              </w:rPr>
              <w:t>46,75</w:t>
            </w:r>
          </w:p>
        </w:tc>
        <w:tc>
          <w:tcPr>
            <w:tcW w:w="990" w:type="dxa"/>
            <w:gridSpan w:val="2"/>
            <w:shd w:val="clear" w:color="auto" w:fill="auto"/>
            <w:hideMark/>
          </w:tcPr>
          <w:p w:rsidR="00B2672E" w:rsidRPr="007C51D6" w:rsidRDefault="00B2672E" w:rsidP="00B2672E">
            <w:pPr>
              <w:autoSpaceDE/>
              <w:autoSpaceDN/>
              <w:adjustRightInd/>
              <w:jc w:val="center"/>
              <w:rPr>
                <w:color w:val="000000"/>
                <w:sz w:val="20"/>
                <w:szCs w:val="20"/>
              </w:rPr>
            </w:pPr>
            <w:r w:rsidRPr="007C51D6">
              <w:rPr>
                <w:color w:val="000000"/>
                <w:sz w:val="20"/>
                <w:szCs w:val="20"/>
              </w:rPr>
              <w:t>46,28</w:t>
            </w:r>
          </w:p>
        </w:tc>
        <w:tc>
          <w:tcPr>
            <w:tcW w:w="850" w:type="dxa"/>
            <w:gridSpan w:val="2"/>
            <w:shd w:val="clear" w:color="auto" w:fill="auto"/>
            <w:hideMark/>
          </w:tcPr>
          <w:p w:rsidR="00B2672E" w:rsidRPr="007C51D6" w:rsidRDefault="00B2672E" w:rsidP="00B2672E">
            <w:pPr>
              <w:autoSpaceDE/>
              <w:autoSpaceDN/>
              <w:adjustRightInd/>
              <w:jc w:val="center"/>
              <w:rPr>
                <w:color w:val="000000"/>
                <w:sz w:val="20"/>
                <w:szCs w:val="20"/>
              </w:rPr>
            </w:pPr>
            <w:r w:rsidRPr="007C51D6">
              <w:rPr>
                <w:color w:val="000000"/>
                <w:sz w:val="20"/>
                <w:szCs w:val="20"/>
              </w:rPr>
              <w:t>39,53</w:t>
            </w:r>
          </w:p>
        </w:tc>
        <w:tc>
          <w:tcPr>
            <w:tcW w:w="1014" w:type="dxa"/>
            <w:gridSpan w:val="2"/>
            <w:shd w:val="clear" w:color="auto" w:fill="auto"/>
            <w:hideMark/>
          </w:tcPr>
          <w:p w:rsidR="00B2672E" w:rsidRPr="007C51D6" w:rsidRDefault="00B2672E" w:rsidP="00B2672E">
            <w:pPr>
              <w:autoSpaceDE/>
              <w:autoSpaceDN/>
              <w:adjustRightInd/>
              <w:jc w:val="center"/>
              <w:rPr>
                <w:color w:val="000000"/>
                <w:sz w:val="20"/>
                <w:szCs w:val="20"/>
              </w:rPr>
            </w:pPr>
            <w:r w:rsidRPr="007C51D6">
              <w:rPr>
                <w:color w:val="000000"/>
                <w:sz w:val="20"/>
                <w:szCs w:val="20"/>
              </w:rPr>
              <w:t>42,53</w:t>
            </w:r>
          </w:p>
        </w:tc>
        <w:tc>
          <w:tcPr>
            <w:tcW w:w="995" w:type="dxa"/>
            <w:gridSpan w:val="2"/>
            <w:shd w:val="clear" w:color="auto" w:fill="auto"/>
            <w:hideMark/>
          </w:tcPr>
          <w:p w:rsidR="00B2672E" w:rsidRPr="007C51D6" w:rsidRDefault="00B2672E" w:rsidP="00B2672E">
            <w:pPr>
              <w:autoSpaceDE/>
              <w:autoSpaceDN/>
              <w:adjustRightInd/>
              <w:jc w:val="center"/>
              <w:rPr>
                <w:color w:val="000000"/>
                <w:sz w:val="20"/>
                <w:szCs w:val="20"/>
              </w:rPr>
            </w:pPr>
            <w:r w:rsidRPr="007C51D6">
              <w:rPr>
                <w:color w:val="000000"/>
                <w:sz w:val="20"/>
                <w:szCs w:val="20"/>
              </w:rPr>
              <w:t>42,86</w:t>
            </w:r>
          </w:p>
        </w:tc>
        <w:tc>
          <w:tcPr>
            <w:tcW w:w="1001" w:type="dxa"/>
            <w:gridSpan w:val="2"/>
          </w:tcPr>
          <w:p w:rsidR="00B2672E" w:rsidRPr="007C51D6" w:rsidRDefault="00B2672E" w:rsidP="00B2672E">
            <w:pPr>
              <w:jc w:val="center"/>
              <w:rPr>
                <w:color w:val="000000"/>
                <w:sz w:val="20"/>
                <w:szCs w:val="20"/>
              </w:rPr>
            </w:pPr>
            <w:r w:rsidRPr="007C51D6">
              <w:rPr>
                <w:color w:val="000000"/>
                <w:sz w:val="20"/>
                <w:szCs w:val="20"/>
              </w:rPr>
              <w:t>40,61</w:t>
            </w:r>
          </w:p>
        </w:tc>
        <w:tc>
          <w:tcPr>
            <w:tcW w:w="1042" w:type="dxa"/>
            <w:gridSpan w:val="2"/>
          </w:tcPr>
          <w:p w:rsidR="00B2672E" w:rsidRPr="007C51D6" w:rsidRDefault="00B2672E" w:rsidP="00B2672E">
            <w:pPr>
              <w:jc w:val="center"/>
              <w:rPr>
                <w:color w:val="000000"/>
                <w:sz w:val="20"/>
                <w:szCs w:val="20"/>
              </w:rPr>
            </w:pPr>
            <w:r w:rsidRPr="007C51D6">
              <w:rPr>
                <w:color w:val="000000"/>
                <w:sz w:val="20"/>
                <w:szCs w:val="20"/>
              </w:rPr>
              <w:t>39,45</w:t>
            </w:r>
          </w:p>
        </w:tc>
        <w:tc>
          <w:tcPr>
            <w:tcW w:w="1057" w:type="dxa"/>
            <w:gridSpan w:val="2"/>
          </w:tcPr>
          <w:p w:rsidR="00B2672E" w:rsidRPr="007C51D6" w:rsidRDefault="00B2672E" w:rsidP="00B2672E">
            <w:pPr>
              <w:jc w:val="center"/>
              <w:rPr>
                <w:color w:val="000000"/>
                <w:sz w:val="20"/>
                <w:szCs w:val="20"/>
              </w:rPr>
            </w:pPr>
            <w:r w:rsidRPr="007C51D6">
              <w:rPr>
                <w:color w:val="000000"/>
                <w:sz w:val="20"/>
                <w:szCs w:val="20"/>
              </w:rPr>
              <w:t>46,86</w:t>
            </w:r>
          </w:p>
        </w:tc>
        <w:tc>
          <w:tcPr>
            <w:tcW w:w="1142" w:type="dxa"/>
            <w:vAlign w:val="center"/>
          </w:tcPr>
          <w:p w:rsidR="00B2672E" w:rsidRPr="007C51D6" w:rsidRDefault="00B2672E" w:rsidP="00B2672E">
            <w:pPr>
              <w:jc w:val="center"/>
              <w:rPr>
                <w:color w:val="000000"/>
                <w:sz w:val="20"/>
                <w:szCs w:val="20"/>
              </w:rPr>
            </w:pPr>
            <w:r w:rsidRPr="007C51D6">
              <w:rPr>
                <w:color w:val="000000"/>
                <w:sz w:val="20"/>
                <w:szCs w:val="20"/>
              </w:rPr>
              <w:t>47.97</w:t>
            </w:r>
          </w:p>
        </w:tc>
        <w:tc>
          <w:tcPr>
            <w:tcW w:w="1709" w:type="dxa"/>
            <w:vAlign w:val="center"/>
          </w:tcPr>
          <w:p w:rsidR="00B2672E" w:rsidRPr="007C51D6" w:rsidRDefault="00B2672E" w:rsidP="00B2672E">
            <w:pPr>
              <w:jc w:val="center"/>
              <w:rPr>
                <w:color w:val="000000"/>
                <w:sz w:val="20"/>
                <w:szCs w:val="20"/>
              </w:rPr>
            </w:pPr>
            <w:r w:rsidRPr="007C51D6">
              <w:rPr>
                <w:color w:val="000000"/>
                <w:sz w:val="20"/>
                <w:szCs w:val="20"/>
              </w:rPr>
              <w:t>34.98</w:t>
            </w:r>
          </w:p>
        </w:tc>
      </w:tr>
      <w:tr w:rsidR="006D22D9" w:rsidRPr="007C51D6" w:rsidTr="00080BEF">
        <w:tblPrEx>
          <w:tblBorders>
            <w:bottom w:val="single" w:sz="4" w:space="0" w:color="auto"/>
          </w:tblBorders>
          <w:tblCellMar>
            <w:top w:w="11" w:type="dxa"/>
            <w:bottom w:w="11" w:type="dxa"/>
          </w:tblCellMar>
        </w:tblPrEx>
        <w:trPr>
          <w:trHeight w:val="20"/>
        </w:trPr>
        <w:tc>
          <w:tcPr>
            <w:tcW w:w="4237" w:type="dxa"/>
            <w:shd w:val="clear" w:color="auto" w:fill="auto"/>
            <w:vAlign w:val="center"/>
            <w:hideMark/>
          </w:tcPr>
          <w:p w:rsidR="006D22D9" w:rsidRPr="007C51D6" w:rsidRDefault="006D22D9" w:rsidP="003B175E">
            <w:pPr>
              <w:jc w:val="center"/>
              <w:rPr>
                <w:color w:val="000000"/>
                <w:sz w:val="20"/>
                <w:szCs w:val="20"/>
              </w:rPr>
            </w:pPr>
          </w:p>
        </w:tc>
        <w:tc>
          <w:tcPr>
            <w:tcW w:w="10962" w:type="dxa"/>
            <w:gridSpan w:val="19"/>
            <w:shd w:val="clear" w:color="auto" w:fill="auto"/>
            <w:vAlign w:val="center"/>
          </w:tcPr>
          <w:p w:rsidR="006D22D9" w:rsidRPr="007C51D6" w:rsidRDefault="006D22D9" w:rsidP="003B175E">
            <w:pPr>
              <w:jc w:val="center"/>
              <w:rPr>
                <w:color w:val="000000"/>
                <w:sz w:val="20"/>
                <w:szCs w:val="20"/>
              </w:rPr>
            </w:pPr>
            <w:r w:rsidRPr="007C51D6">
              <w:rPr>
                <w:color w:val="000000"/>
                <w:sz w:val="20"/>
                <w:szCs w:val="20"/>
              </w:rPr>
              <w:t>Женщины</w:t>
            </w:r>
          </w:p>
        </w:tc>
      </w:tr>
      <w:tr w:rsidR="00B2672E" w:rsidRPr="007C51D6" w:rsidTr="00B2672E">
        <w:tblPrEx>
          <w:tblBorders>
            <w:bottom w:val="single" w:sz="4" w:space="0" w:color="auto"/>
          </w:tblBorders>
          <w:tblCellMar>
            <w:top w:w="11" w:type="dxa"/>
            <w:bottom w:w="11" w:type="dxa"/>
          </w:tblCellMar>
        </w:tblPrEx>
        <w:trPr>
          <w:gridAfter w:val="1"/>
          <w:wAfter w:w="30" w:type="dxa"/>
          <w:trHeight w:val="20"/>
        </w:trPr>
        <w:tc>
          <w:tcPr>
            <w:tcW w:w="4237" w:type="dxa"/>
            <w:shd w:val="clear" w:color="auto" w:fill="auto"/>
            <w:hideMark/>
          </w:tcPr>
          <w:p w:rsidR="00B2672E" w:rsidRPr="007C51D6" w:rsidRDefault="00B2672E" w:rsidP="00B2672E">
            <w:pPr>
              <w:autoSpaceDE/>
              <w:autoSpaceDN/>
              <w:adjustRightInd/>
              <w:jc w:val="both"/>
              <w:rPr>
                <w:color w:val="000000"/>
                <w:sz w:val="20"/>
                <w:szCs w:val="20"/>
              </w:rPr>
            </w:pPr>
            <w:r w:rsidRPr="007C51D6">
              <w:rPr>
                <w:color w:val="000000"/>
                <w:sz w:val="20"/>
                <w:szCs w:val="20"/>
              </w:rPr>
              <w:t>Всего, в том числе:</w:t>
            </w:r>
          </w:p>
        </w:tc>
        <w:tc>
          <w:tcPr>
            <w:tcW w:w="1132" w:type="dxa"/>
            <w:gridSpan w:val="2"/>
            <w:shd w:val="clear" w:color="auto" w:fill="auto"/>
            <w:hideMark/>
          </w:tcPr>
          <w:p w:rsidR="00B2672E" w:rsidRPr="007C51D6" w:rsidRDefault="00B2672E" w:rsidP="00B2672E">
            <w:pPr>
              <w:autoSpaceDE/>
              <w:autoSpaceDN/>
              <w:adjustRightInd/>
              <w:jc w:val="center"/>
              <w:rPr>
                <w:color w:val="000000"/>
                <w:sz w:val="20"/>
                <w:szCs w:val="20"/>
              </w:rPr>
            </w:pPr>
            <w:r w:rsidRPr="007C51D6">
              <w:rPr>
                <w:color w:val="000000"/>
                <w:sz w:val="20"/>
                <w:szCs w:val="20"/>
              </w:rPr>
              <w:t>60,17</w:t>
            </w:r>
          </w:p>
        </w:tc>
        <w:tc>
          <w:tcPr>
            <w:tcW w:w="990" w:type="dxa"/>
            <w:gridSpan w:val="2"/>
            <w:shd w:val="clear" w:color="auto" w:fill="auto"/>
            <w:hideMark/>
          </w:tcPr>
          <w:p w:rsidR="00B2672E" w:rsidRPr="007C51D6" w:rsidRDefault="00B2672E" w:rsidP="00B2672E">
            <w:pPr>
              <w:autoSpaceDE/>
              <w:autoSpaceDN/>
              <w:adjustRightInd/>
              <w:jc w:val="center"/>
              <w:rPr>
                <w:color w:val="000000"/>
                <w:sz w:val="20"/>
                <w:szCs w:val="20"/>
              </w:rPr>
            </w:pPr>
            <w:r w:rsidRPr="007C51D6">
              <w:rPr>
                <w:color w:val="000000"/>
                <w:sz w:val="20"/>
                <w:szCs w:val="20"/>
              </w:rPr>
              <w:t>61,12</w:t>
            </w:r>
          </w:p>
        </w:tc>
        <w:tc>
          <w:tcPr>
            <w:tcW w:w="850" w:type="dxa"/>
            <w:gridSpan w:val="2"/>
            <w:shd w:val="clear" w:color="auto" w:fill="auto"/>
            <w:hideMark/>
          </w:tcPr>
          <w:p w:rsidR="00B2672E" w:rsidRPr="007C51D6" w:rsidRDefault="00B2672E" w:rsidP="00B2672E">
            <w:pPr>
              <w:autoSpaceDE/>
              <w:autoSpaceDN/>
              <w:adjustRightInd/>
              <w:jc w:val="center"/>
              <w:rPr>
                <w:color w:val="000000"/>
                <w:sz w:val="20"/>
                <w:szCs w:val="20"/>
              </w:rPr>
            </w:pPr>
            <w:r w:rsidRPr="007C51D6">
              <w:rPr>
                <w:color w:val="000000"/>
                <w:sz w:val="20"/>
                <w:szCs w:val="20"/>
              </w:rPr>
              <w:t>61,66</w:t>
            </w:r>
          </w:p>
        </w:tc>
        <w:tc>
          <w:tcPr>
            <w:tcW w:w="1014" w:type="dxa"/>
            <w:gridSpan w:val="2"/>
            <w:shd w:val="clear" w:color="auto" w:fill="auto"/>
            <w:hideMark/>
          </w:tcPr>
          <w:p w:rsidR="00B2672E" w:rsidRPr="007C51D6" w:rsidRDefault="00B2672E" w:rsidP="00B2672E">
            <w:pPr>
              <w:autoSpaceDE/>
              <w:autoSpaceDN/>
              <w:adjustRightInd/>
              <w:jc w:val="center"/>
              <w:rPr>
                <w:color w:val="000000"/>
                <w:sz w:val="20"/>
                <w:szCs w:val="20"/>
              </w:rPr>
            </w:pPr>
            <w:r w:rsidRPr="007C51D6">
              <w:rPr>
                <w:color w:val="000000"/>
                <w:sz w:val="20"/>
                <w:szCs w:val="20"/>
              </w:rPr>
              <w:t>61,67</w:t>
            </w:r>
          </w:p>
        </w:tc>
        <w:tc>
          <w:tcPr>
            <w:tcW w:w="995" w:type="dxa"/>
            <w:gridSpan w:val="2"/>
            <w:shd w:val="clear" w:color="auto" w:fill="auto"/>
            <w:hideMark/>
          </w:tcPr>
          <w:p w:rsidR="00B2672E" w:rsidRPr="007C51D6" w:rsidRDefault="00B2672E" w:rsidP="00B2672E">
            <w:pPr>
              <w:autoSpaceDE/>
              <w:autoSpaceDN/>
              <w:adjustRightInd/>
              <w:jc w:val="center"/>
              <w:rPr>
                <w:color w:val="000000"/>
                <w:sz w:val="20"/>
                <w:szCs w:val="20"/>
              </w:rPr>
            </w:pPr>
            <w:r w:rsidRPr="007C51D6">
              <w:rPr>
                <w:color w:val="000000"/>
                <w:sz w:val="20"/>
                <w:szCs w:val="20"/>
              </w:rPr>
              <w:t>61,91</w:t>
            </w:r>
          </w:p>
        </w:tc>
        <w:tc>
          <w:tcPr>
            <w:tcW w:w="1001" w:type="dxa"/>
            <w:gridSpan w:val="2"/>
          </w:tcPr>
          <w:p w:rsidR="00B2672E" w:rsidRPr="007C51D6" w:rsidRDefault="00B2672E" w:rsidP="00B2672E">
            <w:pPr>
              <w:jc w:val="center"/>
              <w:rPr>
                <w:color w:val="000000"/>
                <w:sz w:val="20"/>
                <w:szCs w:val="20"/>
              </w:rPr>
            </w:pPr>
            <w:r w:rsidRPr="007C51D6">
              <w:rPr>
                <w:color w:val="000000"/>
                <w:sz w:val="20"/>
                <w:szCs w:val="20"/>
              </w:rPr>
              <w:t>61,66</w:t>
            </w:r>
          </w:p>
        </w:tc>
        <w:tc>
          <w:tcPr>
            <w:tcW w:w="1042" w:type="dxa"/>
            <w:gridSpan w:val="2"/>
          </w:tcPr>
          <w:p w:rsidR="00B2672E" w:rsidRPr="007C51D6" w:rsidRDefault="00B2672E" w:rsidP="00B2672E">
            <w:pPr>
              <w:autoSpaceDE/>
              <w:autoSpaceDN/>
              <w:adjustRightInd/>
              <w:jc w:val="center"/>
              <w:rPr>
                <w:color w:val="000000"/>
                <w:sz w:val="20"/>
                <w:szCs w:val="20"/>
              </w:rPr>
            </w:pPr>
            <w:r w:rsidRPr="007C51D6">
              <w:rPr>
                <w:color w:val="000000"/>
                <w:sz w:val="20"/>
                <w:szCs w:val="20"/>
              </w:rPr>
              <w:t>61,84</w:t>
            </w:r>
          </w:p>
        </w:tc>
        <w:tc>
          <w:tcPr>
            <w:tcW w:w="1057" w:type="dxa"/>
            <w:gridSpan w:val="2"/>
          </w:tcPr>
          <w:p w:rsidR="00B2672E" w:rsidRPr="007C51D6" w:rsidRDefault="00B2672E" w:rsidP="00B2672E">
            <w:pPr>
              <w:autoSpaceDE/>
              <w:autoSpaceDN/>
              <w:adjustRightInd/>
              <w:jc w:val="center"/>
              <w:rPr>
                <w:color w:val="000000"/>
                <w:sz w:val="20"/>
                <w:szCs w:val="20"/>
              </w:rPr>
            </w:pPr>
            <w:r w:rsidRPr="007C51D6">
              <w:rPr>
                <w:color w:val="000000"/>
                <w:sz w:val="20"/>
                <w:szCs w:val="20"/>
              </w:rPr>
              <w:t>62,31</w:t>
            </w:r>
          </w:p>
        </w:tc>
        <w:tc>
          <w:tcPr>
            <w:tcW w:w="1142" w:type="dxa"/>
            <w:vAlign w:val="center"/>
          </w:tcPr>
          <w:p w:rsidR="00B2672E" w:rsidRPr="007C51D6" w:rsidRDefault="00B2672E" w:rsidP="00B2672E">
            <w:pPr>
              <w:widowControl/>
              <w:autoSpaceDE/>
              <w:autoSpaceDN/>
              <w:adjustRightInd/>
              <w:jc w:val="center"/>
              <w:rPr>
                <w:color w:val="000000"/>
                <w:sz w:val="20"/>
                <w:szCs w:val="20"/>
              </w:rPr>
            </w:pPr>
            <w:r w:rsidRPr="007C51D6">
              <w:rPr>
                <w:color w:val="000000"/>
                <w:sz w:val="20"/>
                <w:szCs w:val="20"/>
              </w:rPr>
              <w:t>61.99</w:t>
            </w:r>
          </w:p>
        </w:tc>
        <w:tc>
          <w:tcPr>
            <w:tcW w:w="1709" w:type="dxa"/>
            <w:vAlign w:val="center"/>
          </w:tcPr>
          <w:p w:rsidR="00B2672E" w:rsidRPr="007C51D6" w:rsidRDefault="00B2672E" w:rsidP="00B2672E">
            <w:pPr>
              <w:jc w:val="center"/>
              <w:rPr>
                <w:color w:val="000000"/>
                <w:sz w:val="20"/>
                <w:szCs w:val="20"/>
              </w:rPr>
            </w:pPr>
            <w:r w:rsidRPr="007C51D6">
              <w:rPr>
                <w:color w:val="000000"/>
                <w:sz w:val="20"/>
                <w:szCs w:val="20"/>
              </w:rPr>
              <w:t>58.90</w:t>
            </w:r>
          </w:p>
        </w:tc>
      </w:tr>
      <w:tr w:rsidR="004C1F06" w:rsidRPr="007C51D6" w:rsidTr="00B2672E">
        <w:tblPrEx>
          <w:tblBorders>
            <w:bottom w:val="single" w:sz="4" w:space="0" w:color="auto"/>
          </w:tblBorders>
          <w:tblCellMar>
            <w:top w:w="11" w:type="dxa"/>
            <w:bottom w:w="11" w:type="dxa"/>
          </w:tblCellMar>
        </w:tblPrEx>
        <w:trPr>
          <w:gridAfter w:val="1"/>
          <w:wAfter w:w="30" w:type="dxa"/>
          <w:trHeight w:val="20"/>
        </w:trPr>
        <w:tc>
          <w:tcPr>
            <w:tcW w:w="4237" w:type="dxa"/>
            <w:shd w:val="clear" w:color="auto" w:fill="auto"/>
          </w:tcPr>
          <w:p w:rsidR="004C1F06" w:rsidRPr="007C51D6" w:rsidRDefault="004C1F06" w:rsidP="004C1F06">
            <w:pPr>
              <w:autoSpaceDE/>
              <w:autoSpaceDN/>
              <w:adjustRightInd/>
              <w:jc w:val="both"/>
              <w:rPr>
                <w:color w:val="000000"/>
                <w:sz w:val="20"/>
                <w:szCs w:val="20"/>
              </w:rPr>
            </w:pPr>
            <w:r w:rsidRPr="007C51D6">
              <w:rPr>
                <w:color w:val="000000"/>
                <w:sz w:val="20"/>
                <w:szCs w:val="20"/>
              </w:rPr>
              <w:t>шейки матки</w:t>
            </w:r>
          </w:p>
        </w:tc>
        <w:tc>
          <w:tcPr>
            <w:tcW w:w="1132" w:type="dxa"/>
            <w:gridSpan w:val="2"/>
            <w:shd w:val="clear" w:color="auto" w:fill="auto"/>
          </w:tcPr>
          <w:p w:rsidR="004C1F06" w:rsidRPr="007C51D6" w:rsidRDefault="004C1F06" w:rsidP="004C1F06">
            <w:pPr>
              <w:autoSpaceDE/>
              <w:autoSpaceDN/>
              <w:adjustRightInd/>
              <w:jc w:val="center"/>
              <w:rPr>
                <w:color w:val="000000"/>
                <w:sz w:val="20"/>
                <w:szCs w:val="20"/>
              </w:rPr>
            </w:pPr>
            <w:r w:rsidRPr="007C51D6">
              <w:rPr>
                <w:color w:val="000000"/>
                <w:sz w:val="20"/>
                <w:szCs w:val="20"/>
              </w:rPr>
              <w:t>68,77</w:t>
            </w:r>
          </w:p>
        </w:tc>
        <w:tc>
          <w:tcPr>
            <w:tcW w:w="990" w:type="dxa"/>
            <w:gridSpan w:val="2"/>
            <w:shd w:val="clear" w:color="auto" w:fill="auto"/>
          </w:tcPr>
          <w:p w:rsidR="004C1F06" w:rsidRPr="007C51D6" w:rsidRDefault="004C1F06" w:rsidP="004C1F06">
            <w:pPr>
              <w:autoSpaceDE/>
              <w:autoSpaceDN/>
              <w:adjustRightInd/>
              <w:jc w:val="center"/>
              <w:rPr>
                <w:color w:val="000000"/>
                <w:sz w:val="20"/>
                <w:szCs w:val="20"/>
              </w:rPr>
            </w:pPr>
            <w:r w:rsidRPr="007C51D6">
              <w:rPr>
                <w:color w:val="000000"/>
                <w:sz w:val="20"/>
                <w:szCs w:val="20"/>
              </w:rPr>
              <w:t>69,12</w:t>
            </w:r>
          </w:p>
        </w:tc>
        <w:tc>
          <w:tcPr>
            <w:tcW w:w="850" w:type="dxa"/>
            <w:gridSpan w:val="2"/>
            <w:shd w:val="clear" w:color="auto" w:fill="auto"/>
          </w:tcPr>
          <w:p w:rsidR="004C1F06" w:rsidRPr="007C51D6" w:rsidRDefault="004C1F06" w:rsidP="004C1F06">
            <w:pPr>
              <w:autoSpaceDE/>
              <w:autoSpaceDN/>
              <w:adjustRightInd/>
              <w:jc w:val="center"/>
              <w:rPr>
                <w:color w:val="000000"/>
                <w:sz w:val="20"/>
                <w:szCs w:val="20"/>
              </w:rPr>
            </w:pPr>
            <w:r w:rsidRPr="007C51D6">
              <w:rPr>
                <w:color w:val="000000"/>
                <w:sz w:val="20"/>
                <w:szCs w:val="20"/>
              </w:rPr>
              <w:t>69,43</w:t>
            </w:r>
          </w:p>
        </w:tc>
        <w:tc>
          <w:tcPr>
            <w:tcW w:w="1014" w:type="dxa"/>
            <w:gridSpan w:val="2"/>
            <w:shd w:val="clear" w:color="auto" w:fill="auto"/>
          </w:tcPr>
          <w:p w:rsidR="004C1F06" w:rsidRPr="007C51D6" w:rsidRDefault="004C1F06" w:rsidP="004C1F06">
            <w:pPr>
              <w:autoSpaceDE/>
              <w:autoSpaceDN/>
              <w:adjustRightInd/>
              <w:jc w:val="center"/>
              <w:rPr>
                <w:color w:val="000000"/>
                <w:sz w:val="20"/>
                <w:szCs w:val="20"/>
              </w:rPr>
            </w:pPr>
            <w:r w:rsidRPr="007C51D6">
              <w:rPr>
                <w:color w:val="000000"/>
                <w:sz w:val="20"/>
                <w:szCs w:val="20"/>
              </w:rPr>
              <w:t>69,68</w:t>
            </w:r>
          </w:p>
        </w:tc>
        <w:tc>
          <w:tcPr>
            <w:tcW w:w="995" w:type="dxa"/>
            <w:gridSpan w:val="2"/>
            <w:shd w:val="clear" w:color="auto" w:fill="auto"/>
          </w:tcPr>
          <w:p w:rsidR="004C1F06" w:rsidRPr="007C51D6" w:rsidRDefault="004C1F06" w:rsidP="004C1F06">
            <w:pPr>
              <w:autoSpaceDE/>
              <w:autoSpaceDN/>
              <w:adjustRightInd/>
              <w:jc w:val="center"/>
              <w:rPr>
                <w:color w:val="000000"/>
                <w:sz w:val="20"/>
                <w:szCs w:val="20"/>
              </w:rPr>
            </w:pPr>
            <w:r w:rsidRPr="007C51D6">
              <w:rPr>
                <w:color w:val="000000"/>
                <w:sz w:val="20"/>
                <w:szCs w:val="20"/>
              </w:rPr>
              <w:t>69,98</w:t>
            </w:r>
          </w:p>
        </w:tc>
        <w:tc>
          <w:tcPr>
            <w:tcW w:w="1001" w:type="dxa"/>
            <w:gridSpan w:val="2"/>
          </w:tcPr>
          <w:p w:rsidR="004C1F06" w:rsidRPr="007C51D6" w:rsidRDefault="004C1F06" w:rsidP="004C1F06">
            <w:pPr>
              <w:jc w:val="center"/>
              <w:rPr>
                <w:color w:val="000000"/>
                <w:sz w:val="20"/>
                <w:szCs w:val="20"/>
              </w:rPr>
            </w:pPr>
            <w:r w:rsidRPr="007C51D6">
              <w:rPr>
                <w:color w:val="000000"/>
                <w:sz w:val="20"/>
                <w:szCs w:val="20"/>
              </w:rPr>
              <w:t>69,23</w:t>
            </w:r>
          </w:p>
        </w:tc>
        <w:tc>
          <w:tcPr>
            <w:tcW w:w="1042" w:type="dxa"/>
            <w:gridSpan w:val="2"/>
          </w:tcPr>
          <w:p w:rsidR="004C1F06" w:rsidRPr="007C51D6" w:rsidRDefault="004C1F06" w:rsidP="004C1F06">
            <w:pPr>
              <w:jc w:val="center"/>
              <w:rPr>
                <w:color w:val="000000"/>
                <w:sz w:val="20"/>
                <w:szCs w:val="20"/>
              </w:rPr>
            </w:pPr>
            <w:r w:rsidRPr="007C51D6">
              <w:rPr>
                <w:color w:val="000000"/>
                <w:sz w:val="20"/>
                <w:szCs w:val="20"/>
              </w:rPr>
              <w:t>70,35</w:t>
            </w:r>
          </w:p>
        </w:tc>
        <w:tc>
          <w:tcPr>
            <w:tcW w:w="1057" w:type="dxa"/>
            <w:gridSpan w:val="2"/>
          </w:tcPr>
          <w:p w:rsidR="004C1F06" w:rsidRPr="007C51D6" w:rsidRDefault="004C1F06" w:rsidP="004C1F06">
            <w:pPr>
              <w:jc w:val="center"/>
              <w:rPr>
                <w:color w:val="000000"/>
                <w:sz w:val="20"/>
                <w:szCs w:val="20"/>
              </w:rPr>
            </w:pPr>
            <w:r w:rsidRPr="007C51D6">
              <w:rPr>
                <w:color w:val="000000"/>
                <w:sz w:val="20"/>
                <w:szCs w:val="20"/>
              </w:rPr>
              <w:t>71,40</w:t>
            </w:r>
          </w:p>
        </w:tc>
        <w:tc>
          <w:tcPr>
            <w:tcW w:w="1142" w:type="dxa"/>
            <w:vAlign w:val="center"/>
          </w:tcPr>
          <w:p w:rsidR="004C1F06" w:rsidRPr="007C51D6" w:rsidRDefault="004C1F06" w:rsidP="004C1F06">
            <w:pPr>
              <w:jc w:val="center"/>
              <w:rPr>
                <w:color w:val="000000"/>
                <w:sz w:val="20"/>
                <w:szCs w:val="20"/>
              </w:rPr>
            </w:pPr>
            <w:r w:rsidRPr="007C51D6">
              <w:rPr>
                <w:color w:val="000000"/>
                <w:sz w:val="20"/>
                <w:szCs w:val="20"/>
              </w:rPr>
              <w:t>71.91</w:t>
            </w:r>
          </w:p>
        </w:tc>
        <w:tc>
          <w:tcPr>
            <w:tcW w:w="1709" w:type="dxa"/>
            <w:vAlign w:val="center"/>
          </w:tcPr>
          <w:p w:rsidR="004C1F06" w:rsidRPr="007C51D6" w:rsidRDefault="004C1F06" w:rsidP="004C1F06">
            <w:pPr>
              <w:jc w:val="center"/>
              <w:rPr>
                <w:color w:val="000000"/>
                <w:sz w:val="20"/>
                <w:szCs w:val="20"/>
              </w:rPr>
            </w:pPr>
            <w:r w:rsidRPr="007C51D6">
              <w:rPr>
                <w:color w:val="000000"/>
                <w:sz w:val="20"/>
                <w:szCs w:val="20"/>
              </w:rPr>
              <w:t>69.07</w:t>
            </w:r>
          </w:p>
        </w:tc>
      </w:tr>
    </w:tbl>
    <w:p w:rsidR="004C1F06" w:rsidRDefault="004C1F06">
      <w:r>
        <w:br w:type="page"/>
      </w:r>
    </w:p>
    <w:tbl>
      <w:tblPr>
        <w:tblW w:w="151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 w:type="dxa"/>
          <w:bottom w:w="11" w:type="dxa"/>
        </w:tblCellMar>
        <w:tblLook w:val="04A0" w:firstRow="1" w:lastRow="0" w:firstColumn="1" w:lastColumn="0" w:noHBand="0" w:noVBand="1"/>
      </w:tblPr>
      <w:tblGrid>
        <w:gridCol w:w="4237"/>
        <w:gridCol w:w="1132"/>
        <w:gridCol w:w="990"/>
        <w:gridCol w:w="850"/>
        <w:gridCol w:w="1014"/>
        <w:gridCol w:w="995"/>
        <w:gridCol w:w="1001"/>
        <w:gridCol w:w="1042"/>
        <w:gridCol w:w="1057"/>
        <w:gridCol w:w="1142"/>
        <w:gridCol w:w="1709"/>
        <w:gridCol w:w="21"/>
      </w:tblGrid>
      <w:tr w:rsidR="004C1F06" w:rsidRPr="007C51D6" w:rsidTr="004C1F06">
        <w:trPr>
          <w:gridAfter w:val="1"/>
          <w:wAfter w:w="21" w:type="dxa"/>
          <w:trHeight w:val="20"/>
          <w:tblHeader/>
        </w:trPr>
        <w:tc>
          <w:tcPr>
            <w:tcW w:w="4237" w:type="dxa"/>
            <w:shd w:val="clear" w:color="auto" w:fill="auto"/>
          </w:tcPr>
          <w:p w:rsidR="004C1F06" w:rsidRPr="007C51D6" w:rsidRDefault="004C1F06" w:rsidP="004C1F06">
            <w:pPr>
              <w:autoSpaceDE/>
              <w:autoSpaceDN/>
              <w:adjustRightInd/>
              <w:jc w:val="center"/>
              <w:rPr>
                <w:color w:val="000000"/>
                <w:sz w:val="20"/>
                <w:szCs w:val="20"/>
              </w:rPr>
            </w:pPr>
            <w:r w:rsidRPr="007C51D6">
              <w:rPr>
                <w:color w:val="000000"/>
                <w:sz w:val="20"/>
                <w:szCs w:val="20"/>
              </w:rPr>
              <w:lastRenderedPageBreak/>
              <w:t>1</w:t>
            </w:r>
          </w:p>
        </w:tc>
        <w:tc>
          <w:tcPr>
            <w:tcW w:w="1132" w:type="dxa"/>
            <w:shd w:val="clear" w:color="auto" w:fill="auto"/>
          </w:tcPr>
          <w:p w:rsidR="004C1F06" w:rsidRPr="007C51D6" w:rsidRDefault="004C1F06" w:rsidP="004C1F06">
            <w:pPr>
              <w:autoSpaceDE/>
              <w:autoSpaceDN/>
              <w:adjustRightInd/>
              <w:jc w:val="center"/>
              <w:rPr>
                <w:bCs/>
                <w:color w:val="000000"/>
                <w:sz w:val="20"/>
                <w:szCs w:val="20"/>
              </w:rPr>
            </w:pPr>
            <w:r w:rsidRPr="007C51D6">
              <w:rPr>
                <w:bCs/>
                <w:color w:val="000000"/>
                <w:sz w:val="20"/>
                <w:szCs w:val="20"/>
              </w:rPr>
              <w:t>2</w:t>
            </w:r>
          </w:p>
        </w:tc>
        <w:tc>
          <w:tcPr>
            <w:tcW w:w="990" w:type="dxa"/>
            <w:shd w:val="clear" w:color="auto" w:fill="auto"/>
          </w:tcPr>
          <w:p w:rsidR="004C1F06" w:rsidRPr="007C51D6" w:rsidRDefault="004C1F06" w:rsidP="004C1F06">
            <w:pPr>
              <w:autoSpaceDE/>
              <w:autoSpaceDN/>
              <w:adjustRightInd/>
              <w:jc w:val="center"/>
              <w:rPr>
                <w:bCs/>
                <w:color w:val="000000"/>
                <w:sz w:val="20"/>
                <w:szCs w:val="20"/>
              </w:rPr>
            </w:pPr>
            <w:r w:rsidRPr="007C51D6">
              <w:rPr>
                <w:bCs/>
                <w:color w:val="000000"/>
                <w:sz w:val="20"/>
                <w:szCs w:val="20"/>
              </w:rPr>
              <w:t>3</w:t>
            </w:r>
          </w:p>
        </w:tc>
        <w:tc>
          <w:tcPr>
            <w:tcW w:w="850" w:type="dxa"/>
            <w:shd w:val="clear" w:color="auto" w:fill="auto"/>
          </w:tcPr>
          <w:p w:rsidR="004C1F06" w:rsidRPr="007C51D6" w:rsidRDefault="004C1F06" w:rsidP="004C1F06">
            <w:pPr>
              <w:autoSpaceDE/>
              <w:autoSpaceDN/>
              <w:adjustRightInd/>
              <w:jc w:val="center"/>
              <w:rPr>
                <w:bCs/>
                <w:color w:val="000000"/>
                <w:sz w:val="20"/>
                <w:szCs w:val="20"/>
              </w:rPr>
            </w:pPr>
            <w:r w:rsidRPr="007C51D6">
              <w:rPr>
                <w:bCs/>
                <w:color w:val="000000"/>
                <w:sz w:val="20"/>
                <w:szCs w:val="20"/>
              </w:rPr>
              <w:t>4</w:t>
            </w:r>
          </w:p>
        </w:tc>
        <w:tc>
          <w:tcPr>
            <w:tcW w:w="1014" w:type="dxa"/>
            <w:shd w:val="clear" w:color="auto" w:fill="auto"/>
          </w:tcPr>
          <w:p w:rsidR="004C1F06" w:rsidRPr="007C51D6" w:rsidRDefault="004C1F06" w:rsidP="004C1F06">
            <w:pPr>
              <w:autoSpaceDE/>
              <w:autoSpaceDN/>
              <w:adjustRightInd/>
              <w:jc w:val="center"/>
              <w:rPr>
                <w:rFonts w:eastAsia="Arial"/>
                <w:sz w:val="20"/>
                <w:szCs w:val="20"/>
              </w:rPr>
            </w:pPr>
            <w:r w:rsidRPr="007C51D6">
              <w:rPr>
                <w:rFonts w:eastAsia="Arial"/>
                <w:sz w:val="20"/>
                <w:szCs w:val="20"/>
              </w:rPr>
              <w:t>5</w:t>
            </w:r>
          </w:p>
        </w:tc>
        <w:tc>
          <w:tcPr>
            <w:tcW w:w="995" w:type="dxa"/>
            <w:shd w:val="clear" w:color="auto" w:fill="auto"/>
          </w:tcPr>
          <w:p w:rsidR="004C1F06" w:rsidRPr="007C51D6" w:rsidRDefault="004C1F06" w:rsidP="004C1F06">
            <w:pPr>
              <w:autoSpaceDE/>
              <w:autoSpaceDN/>
              <w:adjustRightInd/>
              <w:jc w:val="center"/>
              <w:rPr>
                <w:rFonts w:eastAsia="Arial"/>
                <w:sz w:val="20"/>
                <w:szCs w:val="20"/>
              </w:rPr>
            </w:pPr>
            <w:r w:rsidRPr="007C51D6">
              <w:rPr>
                <w:rFonts w:eastAsia="Arial"/>
                <w:sz w:val="20"/>
                <w:szCs w:val="20"/>
              </w:rPr>
              <w:t>6</w:t>
            </w:r>
          </w:p>
        </w:tc>
        <w:tc>
          <w:tcPr>
            <w:tcW w:w="1001" w:type="dxa"/>
          </w:tcPr>
          <w:p w:rsidR="004C1F06" w:rsidRPr="007C51D6" w:rsidRDefault="004C1F06" w:rsidP="004C1F06">
            <w:pPr>
              <w:autoSpaceDE/>
              <w:autoSpaceDN/>
              <w:adjustRightInd/>
              <w:jc w:val="center"/>
              <w:rPr>
                <w:rFonts w:eastAsia="Arial"/>
                <w:sz w:val="20"/>
                <w:szCs w:val="20"/>
              </w:rPr>
            </w:pPr>
            <w:r w:rsidRPr="007C51D6">
              <w:rPr>
                <w:rFonts w:eastAsia="Arial"/>
                <w:sz w:val="20"/>
                <w:szCs w:val="20"/>
              </w:rPr>
              <w:t>7</w:t>
            </w:r>
          </w:p>
        </w:tc>
        <w:tc>
          <w:tcPr>
            <w:tcW w:w="1042" w:type="dxa"/>
          </w:tcPr>
          <w:p w:rsidR="004C1F06" w:rsidRPr="007C51D6" w:rsidRDefault="004C1F06" w:rsidP="004C1F06">
            <w:pPr>
              <w:autoSpaceDE/>
              <w:autoSpaceDN/>
              <w:adjustRightInd/>
              <w:jc w:val="center"/>
              <w:rPr>
                <w:rFonts w:eastAsia="Arial"/>
                <w:sz w:val="20"/>
                <w:szCs w:val="20"/>
              </w:rPr>
            </w:pPr>
            <w:r w:rsidRPr="007C51D6">
              <w:rPr>
                <w:rFonts w:eastAsia="Arial"/>
                <w:sz w:val="20"/>
                <w:szCs w:val="20"/>
              </w:rPr>
              <w:t>8</w:t>
            </w:r>
          </w:p>
        </w:tc>
        <w:tc>
          <w:tcPr>
            <w:tcW w:w="1057" w:type="dxa"/>
          </w:tcPr>
          <w:p w:rsidR="004C1F06" w:rsidRPr="007C51D6" w:rsidRDefault="004C1F06" w:rsidP="004C1F06">
            <w:pPr>
              <w:autoSpaceDE/>
              <w:autoSpaceDN/>
              <w:adjustRightInd/>
              <w:jc w:val="center"/>
              <w:rPr>
                <w:rFonts w:eastAsia="Arial"/>
                <w:sz w:val="20"/>
                <w:szCs w:val="20"/>
              </w:rPr>
            </w:pPr>
            <w:r w:rsidRPr="007C51D6">
              <w:rPr>
                <w:rFonts w:eastAsia="Arial"/>
                <w:sz w:val="20"/>
                <w:szCs w:val="20"/>
              </w:rPr>
              <w:t>9</w:t>
            </w:r>
          </w:p>
        </w:tc>
        <w:tc>
          <w:tcPr>
            <w:tcW w:w="1142" w:type="dxa"/>
          </w:tcPr>
          <w:p w:rsidR="004C1F06" w:rsidRPr="007C51D6" w:rsidRDefault="004C1F06" w:rsidP="004C1F06">
            <w:pPr>
              <w:autoSpaceDE/>
              <w:autoSpaceDN/>
              <w:adjustRightInd/>
              <w:jc w:val="center"/>
              <w:rPr>
                <w:rFonts w:eastAsia="Arial"/>
                <w:sz w:val="20"/>
                <w:szCs w:val="20"/>
              </w:rPr>
            </w:pPr>
            <w:r w:rsidRPr="007C51D6">
              <w:rPr>
                <w:rFonts w:eastAsia="Arial"/>
                <w:sz w:val="20"/>
                <w:szCs w:val="20"/>
              </w:rPr>
              <w:t>10</w:t>
            </w:r>
          </w:p>
        </w:tc>
        <w:tc>
          <w:tcPr>
            <w:tcW w:w="1709" w:type="dxa"/>
          </w:tcPr>
          <w:p w:rsidR="004C1F06" w:rsidRPr="007C51D6" w:rsidRDefault="004C1F06" w:rsidP="004C1F06">
            <w:pPr>
              <w:autoSpaceDE/>
              <w:autoSpaceDN/>
              <w:adjustRightInd/>
              <w:jc w:val="center"/>
              <w:rPr>
                <w:rFonts w:eastAsia="Arial"/>
                <w:sz w:val="20"/>
                <w:szCs w:val="20"/>
              </w:rPr>
            </w:pPr>
            <w:r w:rsidRPr="007C51D6">
              <w:rPr>
                <w:rFonts w:eastAsia="Arial"/>
                <w:sz w:val="20"/>
                <w:szCs w:val="20"/>
              </w:rPr>
              <w:t>11</w:t>
            </w:r>
          </w:p>
        </w:tc>
      </w:tr>
      <w:tr w:rsidR="004C1F06" w:rsidRPr="007C51D6" w:rsidTr="004C1F06">
        <w:trPr>
          <w:gridAfter w:val="1"/>
          <w:wAfter w:w="21" w:type="dxa"/>
          <w:trHeight w:val="20"/>
        </w:trPr>
        <w:tc>
          <w:tcPr>
            <w:tcW w:w="4237" w:type="dxa"/>
            <w:shd w:val="clear" w:color="auto" w:fill="auto"/>
            <w:hideMark/>
          </w:tcPr>
          <w:p w:rsidR="004C1F06" w:rsidRPr="007C51D6" w:rsidRDefault="004C1F06" w:rsidP="004C1F06">
            <w:pPr>
              <w:autoSpaceDE/>
              <w:autoSpaceDN/>
              <w:adjustRightInd/>
              <w:jc w:val="both"/>
              <w:rPr>
                <w:color w:val="000000"/>
                <w:sz w:val="20"/>
                <w:szCs w:val="20"/>
              </w:rPr>
            </w:pPr>
            <w:r w:rsidRPr="007C51D6">
              <w:rPr>
                <w:color w:val="000000"/>
                <w:sz w:val="20"/>
                <w:szCs w:val="20"/>
              </w:rPr>
              <w:t>яичника</w:t>
            </w:r>
          </w:p>
        </w:tc>
        <w:tc>
          <w:tcPr>
            <w:tcW w:w="1132" w:type="dxa"/>
            <w:shd w:val="clear" w:color="auto" w:fill="auto"/>
            <w:hideMark/>
          </w:tcPr>
          <w:p w:rsidR="004C1F06" w:rsidRPr="007C51D6" w:rsidRDefault="004C1F06" w:rsidP="004C1F06">
            <w:pPr>
              <w:autoSpaceDE/>
              <w:autoSpaceDN/>
              <w:adjustRightInd/>
              <w:jc w:val="center"/>
              <w:rPr>
                <w:color w:val="000000"/>
                <w:sz w:val="20"/>
                <w:szCs w:val="20"/>
              </w:rPr>
            </w:pPr>
            <w:r w:rsidRPr="007C51D6">
              <w:rPr>
                <w:color w:val="000000"/>
                <w:sz w:val="20"/>
                <w:szCs w:val="20"/>
              </w:rPr>
              <w:t>63,79</w:t>
            </w:r>
          </w:p>
        </w:tc>
        <w:tc>
          <w:tcPr>
            <w:tcW w:w="990" w:type="dxa"/>
            <w:shd w:val="clear" w:color="auto" w:fill="auto"/>
            <w:hideMark/>
          </w:tcPr>
          <w:p w:rsidR="004C1F06" w:rsidRPr="007C51D6" w:rsidRDefault="004C1F06" w:rsidP="004C1F06">
            <w:pPr>
              <w:autoSpaceDE/>
              <w:autoSpaceDN/>
              <w:adjustRightInd/>
              <w:jc w:val="center"/>
              <w:rPr>
                <w:color w:val="000000"/>
                <w:sz w:val="20"/>
                <w:szCs w:val="20"/>
              </w:rPr>
            </w:pPr>
            <w:r w:rsidRPr="007C51D6">
              <w:rPr>
                <w:color w:val="000000"/>
                <w:sz w:val="20"/>
                <w:szCs w:val="20"/>
              </w:rPr>
              <w:t>66,15</w:t>
            </w:r>
          </w:p>
        </w:tc>
        <w:tc>
          <w:tcPr>
            <w:tcW w:w="850" w:type="dxa"/>
            <w:shd w:val="clear" w:color="auto" w:fill="auto"/>
            <w:hideMark/>
          </w:tcPr>
          <w:p w:rsidR="004C1F06" w:rsidRPr="007C51D6" w:rsidRDefault="004C1F06" w:rsidP="004C1F06">
            <w:pPr>
              <w:autoSpaceDE/>
              <w:autoSpaceDN/>
              <w:adjustRightInd/>
              <w:jc w:val="center"/>
              <w:rPr>
                <w:color w:val="000000"/>
                <w:sz w:val="20"/>
                <w:szCs w:val="20"/>
              </w:rPr>
            </w:pPr>
            <w:r w:rsidRPr="007C51D6">
              <w:rPr>
                <w:color w:val="000000"/>
                <w:sz w:val="20"/>
                <w:szCs w:val="20"/>
              </w:rPr>
              <w:t>66,30</w:t>
            </w:r>
          </w:p>
        </w:tc>
        <w:tc>
          <w:tcPr>
            <w:tcW w:w="1014" w:type="dxa"/>
            <w:shd w:val="clear" w:color="auto" w:fill="auto"/>
            <w:hideMark/>
          </w:tcPr>
          <w:p w:rsidR="004C1F06" w:rsidRPr="007C51D6" w:rsidRDefault="004C1F06" w:rsidP="004C1F06">
            <w:pPr>
              <w:autoSpaceDE/>
              <w:autoSpaceDN/>
              <w:adjustRightInd/>
              <w:jc w:val="center"/>
              <w:rPr>
                <w:color w:val="000000"/>
                <w:sz w:val="20"/>
                <w:szCs w:val="20"/>
              </w:rPr>
            </w:pPr>
            <w:r w:rsidRPr="007C51D6">
              <w:rPr>
                <w:color w:val="000000"/>
                <w:sz w:val="20"/>
                <w:szCs w:val="20"/>
              </w:rPr>
              <w:t>66,58</w:t>
            </w:r>
          </w:p>
        </w:tc>
        <w:tc>
          <w:tcPr>
            <w:tcW w:w="995" w:type="dxa"/>
            <w:shd w:val="clear" w:color="auto" w:fill="auto"/>
            <w:hideMark/>
          </w:tcPr>
          <w:p w:rsidR="004C1F06" w:rsidRPr="007C51D6" w:rsidRDefault="004C1F06" w:rsidP="004C1F06">
            <w:pPr>
              <w:autoSpaceDE/>
              <w:autoSpaceDN/>
              <w:adjustRightInd/>
              <w:jc w:val="center"/>
              <w:rPr>
                <w:color w:val="000000"/>
                <w:sz w:val="20"/>
                <w:szCs w:val="20"/>
              </w:rPr>
            </w:pPr>
            <w:r w:rsidRPr="007C51D6">
              <w:rPr>
                <w:color w:val="000000"/>
                <w:sz w:val="20"/>
                <w:szCs w:val="20"/>
              </w:rPr>
              <w:t>66,30</w:t>
            </w:r>
          </w:p>
        </w:tc>
        <w:tc>
          <w:tcPr>
            <w:tcW w:w="1001" w:type="dxa"/>
          </w:tcPr>
          <w:p w:rsidR="004C1F06" w:rsidRPr="007C51D6" w:rsidRDefault="004C1F06" w:rsidP="004C1F06">
            <w:pPr>
              <w:jc w:val="center"/>
              <w:rPr>
                <w:color w:val="000000"/>
                <w:sz w:val="20"/>
                <w:szCs w:val="20"/>
              </w:rPr>
            </w:pPr>
            <w:r w:rsidRPr="007C51D6">
              <w:rPr>
                <w:color w:val="000000"/>
                <w:sz w:val="20"/>
                <w:szCs w:val="20"/>
              </w:rPr>
              <w:t>66,09</w:t>
            </w:r>
          </w:p>
        </w:tc>
        <w:tc>
          <w:tcPr>
            <w:tcW w:w="1042" w:type="dxa"/>
          </w:tcPr>
          <w:p w:rsidR="004C1F06" w:rsidRPr="007C51D6" w:rsidRDefault="004C1F06" w:rsidP="004C1F06">
            <w:pPr>
              <w:jc w:val="center"/>
              <w:rPr>
                <w:color w:val="000000"/>
                <w:sz w:val="20"/>
                <w:szCs w:val="20"/>
              </w:rPr>
            </w:pPr>
            <w:r w:rsidRPr="007C51D6">
              <w:rPr>
                <w:color w:val="000000"/>
                <w:sz w:val="20"/>
                <w:szCs w:val="20"/>
              </w:rPr>
              <w:t>65,76</w:t>
            </w:r>
          </w:p>
        </w:tc>
        <w:tc>
          <w:tcPr>
            <w:tcW w:w="1057" w:type="dxa"/>
          </w:tcPr>
          <w:p w:rsidR="004C1F06" w:rsidRPr="007C51D6" w:rsidRDefault="004C1F06" w:rsidP="004C1F06">
            <w:pPr>
              <w:jc w:val="center"/>
              <w:rPr>
                <w:color w:val="000000"/>
                <w:sz w:val="20"/>
                <w:szCs w:val="20"/>
              </w:rPr>
            </w:pPr>
            <w:r w:rsidRPr="007C51D6">
              <w:rPr>
                <w:color w:val="000000"/>
                <w:sz w:val="20"/>
                <w:szCs w:val="20"/>
              </w:rPr>
              <w:t>66,00</w:t>
            </w:r>
          </w:p>
        </w:tc>
        <w:tc>
          <w:tcPr>
            <w:tcW w:w="1142" w:type="dxa"/>
            <w:vAlign w:val="center"/>
          </w:tcPr>
          <w:p w:rsidR="004C1F06" w:rsidRPr="007C51D6" w:rsidRDefault="004C1F06" w:rsidP="004C1F06">
            <w:pPr>
              <w:jc w:val="center"/>
              <w:rPr>
                <w:color w:val="000000"/>
                <w:sz w:val="20"/>
                <w:szCs w:val="20"/>
              </w:rPr>
            </w:pPr>
            <w:r w:rsidRPr="007C51D6">
              <w:rPr>
                <w:color w:val="000000"/>
                <w:sz w:val="20"/>
                <w:szCs w:val="20"/>
              </w:rPr>
              <w:t>67.14</w:t>
            </w:r>
          </w:p>
        </w:tc>
        <w:tc>
          <w:tcPr>
            <w:tcW w:w="1709" w:type="dxa"/>
            <w:vAlign w:val="center"/>
          </w:tcPr>
          <w:p w:rsidR="004C1F06" w:rsidRPr="007C51D6" w:rsidRDefault="004C1F06" w:rsidP="004C1F06">
            <w:pPr>
              <w:jc w:val="center"/>
              <w:rPr>
                <w:color w:val="000000"/>
                <w:sz w:val="20"/>
                <w:szCs w:val="20"/>
              </w:rPr>
            </w:pPr>
            <w:r w:rsidRPr="007C51D6">
              <w:rPr>
                <w:color w:val="000000"/>
                <w:sz w:val="20"/>
                <w:szCs w:val="20"/>
              </w:rPr>
              <w:t>63.79</w:t>
            </w:r>
          </w:p>
        </w:tc>
      </w:tr>
      <w:tr w:rsidR="004C1F06" w:rsidRPr="007C51D6" w:rsidTr="004C1F06">
        <w:trPr>
          <w:gridAfter w:val="1"/>
          <w:wAfter w:w="21" w:type="dxa"/>
          <w:trHeight w:val="20"/>
        </w:trPr>
        <w:tc>
          <w:tcPr>
            <w:tcW w:w="4237" w:type="dxa"/>
            <w:shd w:val="clear" w:color="auto" w:fill="auto"/>
            <w:hideMark/>
          </w:tcPr>
          <w:p w:rsidR="004C1F06" w:rsidRPr="007C51D6" w:rsidRDefault="004C1F06" w:rsidP="004C1F06">
            <w:pPr>
              <w:autoSpaceDE/>
              <w:autoSpaceDN/>
              <w:adjustRightInd/>
              <w:jc w:val="both"/>
              <w:rPr>
                <w:color w:val="000000"/>
                <w:sz w:val="20"/>
                <w:szCs w:val="20"/>
              </w:rPr>
            </w:pPr>
            <w:r w:rsidRPr="007C51D6">
              <w:rPr>
                <w:color w:val="000000"/>
                <w:sz w:val="20"/>
                <w:szCs w:val="20"/>
              </w:rPr>
              <w:t>тела матки</w:t>
            </w:r>
          </w:p>
        </w:tc>
        <w:tc>
          <w:tcPr>
            <w:tcW w:w="1132" w:type="dxa"/>
            <w:shd w:val="clear" w:color="auto" w:fill="auto"/>
            <w:hideMark/>
          </w:tcPr>
          <w:p w:rsidR="004C1F06" w:rsidRPr="007C51D6" w:rsidRDefault="004C1F06" w:rsidP="004C1F06">
            <w:pPr>
              <w:autoSpaceDE/>
              <w:autoSpaceDN/>
              <w:adjustRightInd/>
              <w:jc w:val="center"/>
              <w:rPr>
                <w:color w:val="000000"/>
                <w:sz w:val="20"/>
                <w:szCs w:val="20"/>
              </w:rPr>
            </w:pPr>
            <w:r w:rsidRPr="007C51D6">
              <w:rPr>
                <w:color w:val="000000"/>
                <w:sz w:val="20"/>
                <w:szCs w:val="20"/>
              </w:rPr>
              <w:t>63,73</w:t>
            </w:r>
          </w:p>
        </w:tc>
        <w:tc>
          <w:tcPr>
            <w:tcW w:w="990" w:type="dxa"/>
            <w:shd w:val="clear" w:color="auto" w:fill="auto"/>
            <w:hideMark/>
          </w:tcPr>
          <w:p w:rsidR="004C1F06" w:rsidRPr="007C51D6" w:rsidRDefault="004C1F06" w:rsidP="004C1F06">
            <w:pPr>
              <w:autoSpaceDE/>
              <w:autoSpaceDN/>
              <w:adjustRightInd/>
              <w:jc w:val="center"/>
              <w:rPr>
                <w:color w:val="000000"/>
                <w:sz w:val="20"/>
                <w:szCs w:val="20"/>
              </w:rPr>
            </w:pPr>
            <w:r w:rsidRPr="007C51D6">
              <w:rPr>
                <w:color w:val="000000"/>
                <w:sz w:val="20"/>
                <w:szCs w:val="20"/>
              </w:rPr>
              <w:t>64,43</w:t>
            </w:r>
          </w:p>
        </w:tc>
        <w:tc>
          <w:tcPr>
            <w:tcW w:w="850" w:type="dxa"/>
            <w:shd w:val="clear" w:color="auto" w:fill="auto"/>
            <w:hideMark/>
          </w:tcPr>
          <w:p w:rsidR="004C1F06" w:rsidRPr="007C51D6" w:rsidRDefault="004C1F06" w:rsidP="004C1F06">
            <w:pPr>
              <w:autoSpaceDE/>
              <w:autoSpaceDN/>
              <w:adjustRightInd/>
              <w:jc w:val="center"/>
              <w:rPr>
                <w:color w:val="000000"/>
                <w:sz w:val="20"/>
                <w:szCs w:val="20"/>
              </w:rPr>
            </w:pPr>
            <w:r w:rsidRPr="007C51D6">
              <w:rPr>
                <w:color w:val="000000"/>
                <w:sz w:val="20"/>
                <w:szCs w:val="20"/>
              </w:rPr>
              <w:t>64,63</w:t>
            </w:r>
          </w:p>
        </w:tc>
        <w:tc>
          <w:tcPr>
            <w:tcW w:w="1014" w:type="dxa"/>
            <w:shd w:val="clear" w:color="auto" w:fill="auto"/>
            <w:hideMark/>
          </w:tcPr>
          <w:p w:rsidR="004C1F06" w:rsidRPr="007C51D6" w:rsidRDefault="004C1F06" w:rsidP="004C1F06">
            <w:pPr>
              <w:autoSpaceDE/>
              <w:autoSpaceDN/>
              <w:adjustRightInd/>
              <w:jc w:val="center"/>
              <w:rPr>
                <w:color w:val="000000"/>
                <w:sz w:val="20"/>
                <w:szCs w:val="20"/>
              </w:rPr>
            </w:pPr>
            <w:r w:rsidRPr="007C51D6">
              <w:rPr>
                <w:color w:val="000000"/>
                <w:sz w:val="20"/>
                <w:szCs w:val="20"/>
              </w:rPr>
              <w:t>66,53</w:t>
            </w:r>
          </w:p>
        </w:tc>
        <w:tc>
          <w:tcPr>
            <w:tcW w:w="995" w:type="dxa"/>
            <w:shd w:val="clear" w:color="auto" w:fill="auto"/>
            <w:hideMark/>
          </w:tcPr>
          <w:p w:rsidR="004C1F06" w:rsidRPr="007C51D6" w:rsidRDefault="004C1F06" w:rsidP="004C1F06">
            <w:pPr>
              <w:autoSpaceDE/>
              <w:autoSpaceDN/>
              <w:adjustRightInd/>
              <w:jc w:val="center"/>
              <w:rPr>
                <w:color w:val="000000"/>
                <w:sz w:val="20"/>
                <w:szCs w:val="20"/>
              </w:rPr>
            </w:pPr>
            <w:r w:rsidRPr="007C51D6">
              <w:rPr>
                <w:color w:val="000000"/>
                <w:sz w:val="20"/>
                <w:szCs w:val="20"/>
              </w:rPr>
              <w:t>66,13</w:t>
            </w:r>
          </w:p>
        </w:tc>
        <w:tc>
          <w:tcPr>
            <w:tcW w:w="1001" w:type="dxa"/>
          </w:tcPr>
          <w:p w:rsidR="004C1F06" w:rsidRPr="007C51D6" w:rsidRDefault="004C1F06" w:rsidP="004C1F06">
            <w:pPr>
              <w:jc w:val="center"/>
              <w:rPr>
                <w:color w:val="000000"/>
                <w:sz w:val="20"/>
                <w:szCs w:val="20"/>
              </w:rPr>
            </w:pPr>
            <w:r w:rsidRPr="007C51D6">
              <w:rPr>
                <w:color w:val="000000"/>
                <w:sz w:val="20"/>
                <w:szCs w:val="20"/>
              </w:rPr>
              <w:t>65,90</w:t>
            </w:r>
          </w:p>
        </w:tc>
        <w:tc>
          <w:tcPr>
            <w:tcW w:w="1042" w:type="dxa"/>
          </w:tcPr>
          <w:p w:rsidR="004C1F06" w:rsidRPr="007C51D6" w:rsidRDefault="004C1F06" w:rsidP="004C1F06">
            <w:pPr>
              <w:jc w:val="center"/>
              <w:rPr>
                <w:color w:val="000000"/>
                <w:sz w:val="20"/>
                <w:szCs w:val="20"/>
              </w:rPr>
            </w:pPr>
            <w:r w:rsidRPr="007C51D6">
              <w:rPr>
                <w:color w:val="000000"/>
                <w:sz w:val="20"/>
                <w:szCs w:val="20"/>
              </w:rPr>
              <w:t>66,31</w:t>
            </w:r>
          </w:p>
        </w:tc>
        <w:tc>
          <w:tcPr>
            <w:tcW w:w="1057" w:type="dxa"/>
          </w:tcPr>
          <w:p w:rsidR="004C1F06" w:rsidRPr="007C51D6" w:rsidRDefault="004C1F06" w:rsidP="004C1F06">
            <w:pPr>
              <w:jc w:val="center"/>
              <w:rPr>
                <w:color w:val="000000"/>
                <w:sz w:val="20"/>
                <w:szCs w:val="20"/>
              </w:rPr>
            </w:pPr>
            <w:r w:rsidRPr="007C51D6">
              <w:rPr>
                <w:color w:val="000000"/>
                <w:sz w:val="20"/>
                <w:szCs w:val="20"/>
              </w:rPr>
              <w:t>66,80</w:t>
            </w:r>
          </w:p>
        </w:tc>
        <w:tc>
          <w:tcPr>
            <w:tcW w:w="1142" w:type="dxa"/>
            <w:vAlign w:val="center"/>
          </w:tcPr>
          <w:p w:rsidR="004C1F06" w:rsidRPr="007C51D6" w:rsidRDefault="004C1F06" w:rsidP="004C1F06">
            <w:pPr>
              <w:jc w:val="center"/>
              <w:rPr>
                <w:color w:val="000000"/>
                <w:sz w:val="20"/>
                <w:szCs w:val="20"/>
              </w:rPr>
            </w:pPr>
            <w:r w:rsidRPr="007C51D6">
              <w:rPr>
                <w:color w:val="000000"/>
                <w:sz w:val="20"/>
                <w:szCs w:val="20"/>
              </w:rPr>
              <w:t>66,85</w:t>
            </w:r>
          </w:p>
        </w:tc>
        <w:tc>
          <w:tcPr>
            <w:tcW w:w="1709" w:type="dxa"/>
            <w:vAlign w:val="center"/>
          </w:tcPr>
          <w:p w:rsidR="004C1F06" w:rsidRPr="007C51D6" w:rsidRDefault="004C1F06" w:rsidP="004C1F06">
            <w:pPr>
              <w:jc w:val="center"/>
              <w:rPr>
                <w:color w:val="000000"/>
                <w:sz w:val="20"/>
                <w:szCs w:val="20"/>
              </w:rPr>
            </w:pPr>
            <w:r w:rsidRPr="007C51D6">
              <w:rPr>
                <w:color w:val="000000"/>
                <w:sz w:val="20"/>
                <w:szCs w:val="20"/>
              </w:rPr>
              <w:t>64.17</w:t>
            </w:r>
          </w:p>
        </w:tc>
      </w:tr>
      <w:tr w:rsidR="004C1F06" w:rsidRPr="007C51D6" w:rsidTr="004C1F06">
        <w:trPr>
          <w:gridAfter w:val="1"/>
          <w:wAfter w:w="21" w:type="dxa"/>
          <w:trHeight w:val="20"/>
        </w:trPr>
        <w:tc>
          <w:tcPr>
            <w:tcW w:w="4237" w:type="dxa"/>
            <w:shd w:val="clear" w:color="auto" w:fill="auto"/>
            <w:hideMark/>
          </w:tcPr>
          <w:p w:rsidR="004C1F06" w:rsidRPr="007C51D6" w:rsidRDefault="004C1F06" w:rsidP="004C1F06">
            <w:pPr>
              <w:autoSpaceDE/>
              <w:autoSpaceDN/>
              <w:adjustRightInd/>
              <w:jc w:val="both"/>
              <w:rPr>
                <w:color w:val="000000"/>
                <w:sz w:val="20"/>
                <w:szCs w:val="20"/>
              </w:rPr>
            </w:pPr>
            <w:r w:rsidRPr="007C51D6">
              <w:rPr>
                <w:color w:val="000000"/>
                <w:sz w:val="20"/>
                <w:szCs w:val="20"/>
              </w:rPr>
              <w:t>желудка</w:t>
            </w:r>
          </w:p>
        </w:tc>
        <w:tc>
          <w:tcPr>
            <w:tcW w:w="1132" w:type="dxa"/>
            <w:shd w:val="clear" w:color="auto" w:fill="auto"/>
            <w:hideMark/>
          </w:tcPr>
          <w:p w:rsidR="004C1F06" w:rsidRPr="007C51D6" w:rsidRDefault="004C1F06" w:rsidP="004C1F06">
            <w:pPr>
              <w:autoSpaceDE/>
              <w:autoSpaceDN/>
              <w:adjustRightInd/>
              <w:jc w:val="center"/>
              <w:rPr>
                <w:color w:val="000000"/>
                <w:sz w:val="20"/>
                <w:szCs w:val="20"/>
              </w:rPr>
            </w:pPr>
            <w:r w:rsidRPr="007C51D6">
              <w:rPr>
                <w:color w:val="000000"/>
                <w:sz w:val="20"/>
                <w:szCs w:val="20"/>
              </w:rPr>
              <w:t>63,75</w:t>
            </w:r>
          </w:p>
        </w:tc>
        <w:tc>
          <w:tcPr>
            <w:tcW w:w="990" w:type="dxa"/>
            <w:shd w:val="clear" w:color="auto" w:fill="auto"/>
            <w:hideMark/>
          </w:tcPr>
          <w:p w:rsidR="004C1F06" w:rsidRPr="007C51D6" w:rsidRDefault="004C1F06" w:rsidP="004C1F06">
            <w:pPr>
              <w:autoSpaceDE/>
              <w:autoSpaceDN/>
              <w:adjustRightInd/>
              <w:jc w:val="center"/>
              <w:rPr>
                <w:color w:val="000000"/>
                <w:sz w:val="20"/>
                <w:szCs w:val="20"/>
              </w:rPr>
            </w:pPr>
            <w:r w:rsidRPr="007C51D6">
              <w:rPr>
                <w:color w:val="000000"/>
                <w:sz w:val="20"/>
                <w:szCs w:val="20"/>
              </w:rPr>
              <w:t>65,90</w:t>
            </w:r>
          </w:p>
        </w:tc>
        <w:tc>
          <w:tcPr>
            <w:tcW w:w="850" w:type="dxa"/>
            <w:shd w:val="clear" w:color="auto" w:fill="auto"/>
            <w:hideMark/>
          </w:tcPr>
          <w:p w:rsidR="004C1F06" w:rsidRPr="007C51D6" w:rsidRDefault="004C1F06" w:rsidP="004C1F06">
            <w:pPr>
              <w:autoSpaceDE/>
              <w:autoSpaceDN/>
              <w:adjustRightInd/>
              <w:jc w:val="center"/>
              <w:rPr>
                <w:color w:val="000000"/>
                <w:sz w:val="20"/>
                <w:szCs w:val="20"/>
              </w:rPr>
            </w:pPr>
            <w:r w:rsidRPr="007C51D6">
              <w:rPr>
                <w:color w:val="000000"/>
                <w:sz w:val="20"/>
                <w:szCs w:val="20"/>
              </w:rPr>
              <w:t>65,07</w:t>
            </w:r>
          </w:p>
        </w:tc>
        <w:tc>
          <w:tcPr>
            <w:tcW w:w="1014" w:type="dxa"/>
            <w:shd w:val="clear" w:color="auto" w:fill="auto"/>
            <w:hideMark/>
          </w:tcPr>
          <w:p w:rsidR="004C1F06" w:rsidRPr="007C51D6" w:rsidRDefault="004C1F06" w:rsidP="004C1F06">
            <w:pPr>
              <w:autoSpaceDE/>
              <w:autoSpaceDN/>
              <w:adjustRightInd/>
              <w:jc w:val="center"/>
              <w:rPr>
                <w:color w:val="000000"/>
                <w:sz w:val="20"/>
                <w:szCs w:val="20"/>
              </w:rPr>
            </w:pPr>
            <w:r w:rsidRPr="007C51D6">
              <w:rPr>
                <w:color w:val="000000"/>
                <w:sz w:val="20"/>
                <w:szCs w:val="20"/>
              </w:rPr>
              <w:t>65,16</w:t>
            </w:r>
          </w:p>
        </w:tc>
        <w:tc>
          <w:tcPr>
            <w:tcW w:w="995" w:type="dxa"/>
            <w:shd w:val="clear" w:color="auto" w:fill="auto"/>
            <w:hideMark/>
          </w:tcPr>
          <w:p w:rsidR="004C1F06" w:rsidRPr="007C51D6" w:rsidRDefault="004C1F06" w:rsidP="004C1F06">
            <w:pPr>
              <w:autoSpaceDE/>
              <w:autoSpaceDN/>
              <w:adjustRightInd/>
              <w:jc w:val="center"/>
              <w:rPr>
                <w:color w:val="000000"/>
                <w:sz w:val="20"/>
                <w:szCs w:val="20"/>
              </w:rPr>
            </w:pPr>
            <w:r w:rsidRPr="007C51D6">
              <w:rPr>
                <w:color w:val="000000"/>
                <w:sz w:val="20"/>
                <w:szCs w:val="20"/>
              </w:rPr>
              <w:t>65,52</w:t>
            </w:r>
          </w:p>
        </w:tc>
        <w:tc>
          <w:tcPr>
            <w:tcW w:w="1001" w:type="dxa"/>
          </w:tcPr>
          <w:p w:rsidR="004C1F06" w:rsidRPr="007C51D6" w:rsidRDefault="004C1F06" w:rsidP="004C1F06">
            <w:pPr>
              <w:jc w:val="center"/>
              <w:rPr>
                <w:color w:val="000000"/>
                <w:sz w:val="20"/>
                <w:szCs w:val="20"/>
              </w:rPr>
            </w:pPr>
            <w:r w:rsidRPr="007C51D6">
              <w:rPr>
                <w:color w:val="000000"/>
                <w:sz w:val="20"/>
                <w:szCs w:val="20"/>
              </w:rPr>
              <w:t>64,94</w:t>
            </w:r>
          </w:p>
        </w:tc>
        <w:tc>
          <w:tcPr>
            <w:tcW w:w="1042" w:type="dxa"/>
          </w:tcPr>
          <w:p w:rsidR="004C1F06" w:rsidRPr="007C51D6" w:rsidRDefault="004C1F06" w:rsidP="004C1F06">
            <w:pPr>
              <w:jc w:val="center"/>
              <w:rPr>
                <w:color w:val="000000"/>
                <w:sz w:val="20"/>
                <w:szCs w:val="20"/>
              </w:rPr>
            </w:pPr>
            <w:r w:rsidRPr="007C51D6">
              <w:rPr>
                <w:color w:val="000000"/>
                <w:sz w:val="20"/>
                <w:szCs w:val="20"/>
              </w:rPr>
              <w:t>63,73</w:t>
            </w:r>
          </w:p>
        </w:tc>
        <w:tc>
          <w:tcPr>
            <w:tcW w:w="1057" w:type="dxa"/>
          </w:tcPr>
          <w:p w:rsidR="004C1F06" w:rsidRPr="007C51D6" w:rsidRDefault="004C1F06" w:rsidP="004C1F06">
            <w:pPr>
              <w:jc w:val="center"/>
              <w:rPr>
                <w:color w:val="000000"/>
                <w:sz w:val="20"/>
                <w:szCs w:val="20"/>
              </w:rPr>
            </w:pPr>
            <w:r w:rsidRPr="007C51D6">
              <w:rPr>
                <w:color w:val="000000"/>
                <w:sz w:val="20"/>
                <w:szCs w:val="20"/>
              </w:rPr>
              <w:t>64,42</w:t>
            </w:r>
          </w:p>
        </w:tc>
        <w:tc>
          <w:tcPr>
            <w:tcW w:w="1142" w:type="dxa"/>
            <w:vAlign w:val="center"/>
          </w:tcPr>
          <w:p w:rsidR="004C1F06" w:rsidRPr="007C51D6" w:rsidRDefault="004C1F06" w:rsidP="004C1F06">
            <w:pPr>
              <w:jc w:val="center"/>
              <w:rPr>
                <w:color w:val="000000"/>
                <w:sz w:val="20"/>
                <w:szCs w:val="20"/>
              </w:rPr>
            </w:pPr>
            <w:r w:rsidRPr="007C51D6">
              <w:rPr>
                <w:color w:val="000000"/>
                <w:sz w:val="20"/>
                <w:szCs w:val="20"/>
              </w:rPr>
              <w:t>63.95</w:t>
            </w:r>
          </w:p>
        </w:tc>
        <w:tc>
          <w:tcPr>
            <w:tcW w:w="1709" w:type="dxa"/>
            <w:vAlign w:val="center"/>
          </w:tcPr>
          <w:p w:rsidR="004C1F06" w:rsidRPr="007C51D6" w:rsidRDefault="004C1F06" w:rsidP="004C1F06">
            <w:pPr>
              <w:jc w:val="center"/>
              <w:rPr>
                <w:color w:val="000000"/>
                <w:sz w:val="20"/>
                <w:szCs w:val="20"/>
              </w:rPr>
            </w:pPr>
            <w:r w:rsidRPr="007C51D6">
              <w:rPr>
                <w:color w:val="000000"/>
                <w:sz w:val="20"/>
                <w:szCs w:val="20"/>
              </w:rPr>
              <w:t>58.73</w:t>
            </w:r>
          </w:p>
        </w:tc>
      </w:tr>
      <w:tr w:rsidR="004C1F06" w:rsidRPr="007C51D6" w:rsidTr="004C1F06">
        <w:trPr>
          <w:gridAfter w:val="1"/>
          <w:wAfter w:w="21" w:type="dxa"/>
          <w:trHeight w:val="20"/>
        </w:trPr>
        <w:tc>
          <w:tcPr>
            <w:tcW w:w="4237" w:type="dxa"/>
            <w:shd w:val="clear" w:color="auto" w:fill="auto"/>
            <w:hideMark/>
          </w:tcPr>
          <w:p w:rsidR="004C1F06" w:rsidRPr="007C51D6" w:rsidRDefault="004C1F06" w:rsidP="004C1F06">
            <w:pPr>
              <w:autoSpaceDE/>
              <w:autoSpaceDN/>
              <w:adjustRightInd/>
              <w:jc w:val="both"/>
              <w:rPr>
                <w:color w:val="000000"/>
                <w:sz w:val="20"/>
                <w:szCs w:val="20"/>
              </w:rPr>
            </w:pPr>
            <w:r w:rsidRPr="007C51D6">
              <w:rPr>
                <w:color w:val="000000"/>
                <w:sz w:val="20"/>
                <w:szCs w:val="20"/>
              </w:rPr>
              <w:t>молочной железы</w:t>
            </w:r>
          </w:p>
        </w:tc>
        <w:tc>
          <w:tcPr>
            <w:tcW w:w="1132" w:type="dxa"/>
            <w:shd w:val="clear" w:color="auto" w:fill="auto"/>
            <w:hideMark/>
          </w:tcPr>
          <w:p w:rsidR="004C1F06" w:rsidRPr="007C51D6" w:rsidRDefault="004C1F06" w:rsidP="004C1F06">
            <w:pPr>
              <w:autoSpaceDE/>
              <w:autoSpaceDN/>
              <w:adjustRightInd/>
              <w:jc w:val="center"/>
              <w:rPr>
                <w:color w:val="000000"/>
                <w:sz w:val="20"/>
                <w:szCs w:val="20"/>
              </w:rPr>
            </w:pPr>
            <w:r w:rsidRPr="007C51D6">
              <w:rPr>
                <w:color w:val="000000"/>
                <w:sz w:val="20"/>
                <w:szCs w:val="20"/>
              </w:rPr>
              <w:t>61,43</w:t>
            </w:r>
          </w:p>
        </w:tc>
        <w:tc>
          <w:tcPr>
            <w:tcW w:w="990" w:type="dxa"/>
            <w:shd w:val="clear" w:color="auto" w:fill="auto"/>
            <w:hideMark/>
          </w:tcPr>
          <w:p w:rsidR="004C1F06" w:rsidRPr="007C51D6" w:rsidRDefault="004C1F06" w:rsidP="004C1F06">
            <w:pPr>
              <w:autoSpaceDE/>
              <w:autoSpaceDN/>
              <w:adjustRightInd/>
              <w:jc w:val="center"/>
              <w:rPr>
                <w:color w:val="000000"/>
                <w:sz w:val="20"/>
                <w:szCs w:val="20"/>
              </w:rPr>
            </w:pPr>
            <w:r w:rsidRPr="007C51D6">
              <w:rPr>
                <w:color w:val="000000"/>
                <w:sz w:val="20"/>
                <w:szCs w:val="20"/>
              </w:rPr>
              <w:t>61,91</w:t>
            </w:r>
          </w:p>
        </w:tc>
        <w:tc>
          <w:tcPr>
            <w:tcW w:w="850" w:type="dxa"/>
            <w:shd w:val="clear" w:color="auto" w:fill="auto"/>
            <w:hideMark/>
          </w:tcPr>
          <w:p w:rsidR="004C1F06" w:rsidRPr="007C51D6" w:rsidRDefault="004C1F06" w:rsidP="004C1F06">
            <w:pPr>
              <w:autoSpaceDE/>
              <w:autoSpaceDN/>
              <w:adjustRightInd/>
              <w:jc w:val="center"/>
              <w:rPr>
                <w:color w:val="000000"/>
                <w:sz w:val="20"/>
                <w:szCs w:val="20"/>
              </w:rPr>
            </w:pPr>
            <w:r w:rsidRPr="007C51D6">
              <w:rPr>
                <w:color w:val="000000"/>
                <w:sz w:val="20"/>
                <w:szCs w:val="20"/>
              </w:rPr>
              <w:t>63,08</w:t>
            </w:r>
          </w:p>
        </w:tc>
        <w:tc>
          <w:tcPr>
            <w:tcW w:w="1014" w:type="dxa"/>
            <w:shd w:val="clear" w:color="auto" w:fill="auto"/>
            <w:hideMark/>
          </w:tcPr>
          <w:p w:rsidR="004C1F06" w:rsidRPr="007C51D6" w:rsidRDefault="004C1F06" w:rsidP="004C1F06">
            <w:pPr>
              <w:autoSpaceDE/>
              <w:autoSpaceDN/>
              <w:adjustRightInd/>
              <w:jc w:val="center"/>
              <w:rPr>
                <w:color w:val="000000"/>
                <w:sz w:val="20"/>
                <w:szCs w:val="20"/>
              </w:rPr>
            </w:pPr>
            <w:r w:rsidRPr="007C51D6">
              <w:rPr>
                <w:color w:val="000000"/>
                <w:sz w:val="20"/>
                <w:szCs w:val="20"/>
              </w:rPr>
              <w:t>64,04</w:t>
            </w:r>
          </w:p>
        </w:tc>
        <w:tc>
          <w:tcPr>
            <w:tcW w:w="995" w:type="dxa"/>
            <w:shd w:val="clear" w:color="auto" w:fill="auto"/>
            <w:hideMark/>
          </w:tcPr>
          <w:p w:rsidR="004C1F06" w:rsidRPr="007C51D6" w:rsidRDefault="004C1F06" w:rsidP="004C1F06">
            <w:pPr>
              <w:autoSpaceDE/>
              <w:autoSpaceDN/>
              <w:adjustRightInd/>
              <w:jc w:val="center"/>
              <w:rPr>
                <w:color w:val="000000"/>
                <w:sz w:val="20"/>
                <w:szCs w:val="20"/>
              </w:rPr>
            </w:pPr>
            <w:r w:rsidRPr="007C51D6">
              <w:rPr>
                <w:color w:val="000000"/>
                <w:sz w:val="20"/>
                <w:szCs w:val="20"/>
              </w:rPr>
              <w:t>64,49</w:t>
            </w:r>
          </w:p>
        </w:tc>
        <w:tc>
          <w:tcPr>
            <w:tcW w:w="1001" w:type="dxa"/>
          </w:tcPr>
          <w:p w:rsidR="004C1F06" w:rsidRPr="007C51D6" w:rsidRDefault="004C1F06" w:rsidP="004C1F06">
            <w:pPr>
              <w:jc w:val="center"/>
              <w:rPr>
                <w:color w:val="000000"/>
                <w:sz w:val="20"/>
                <w:szCs w:val="20"/>
              </w:rPr>
            </w:pPr>
            <w:r w:rsidRPr="007C51D6">
              <w:rPr>
                <w:color w:val="000000"/>
                <w:sz w:val="20"/>
                <w:szCs w:val="20"/>
              </w:rPr>
              <w:t>63,71</w:t>
            </w:r>
          </w:p>
        </w:tc>
        <w:tc>
          <w:tcPr>
            <w:tcW w:w="1042" w:type="dxa"/>
          </w:tcPr>
          <w:p w:rsidR="004C1F06" w:rsidRPr="007C51D6" w:rsidRDefault="004C1F06" w:rsidP="004C1F06">
            <w:pPr>
              <w:jc w:val="center"/>
              <w:rPr>
                <w:color w:val="000000"/>
                <w:sz w:val="20"/>
                <w:szCs w:val="20"/>
              </w:rPr>
            </w:pPr>
            <w:r w:rsidRPr="007C51D6">
              <w:rPr>
                <w:color w:val="000000"/>
                <w:sz w:val="20"/>
                <w:szCs w:val="20"/>
              </w:rPr>
              <w:t>63,44</w:t>
            </w:r>
          </w:p>
        </w:tc>
        <w:tc>
          <w:tcPr>
            <w:tcW w:w="1057" w:type="dxa"/>
          </w:tcPr>
          <w:p w:rsidR="004C1F06" w:rsidRPr="007C51D6" w:rsidRDefault="004C1F06" w:rsidP="004C1F06">
            <w:pPr>
              <w:jc w:val="center"/>
              <w:rPr>
                <w:color w:val="000000"/>
                <w:sz w:val="20"/>
                <w:szCs w:val="20"/>
              </w:rPr>
            </w:pPr>
            <w:r w:rsidRPr="007C51D6">
              <w:rPr>
                <w:color w:val="000000"/>
                <w:sz w:val="20"/>
                <w:szCs w:val="20"/>
              </w:rPr>
              <w:t>63,85</w:t>
            </w:r>
          </w:p>
        </w:tc>
        <w:tc>
          <w:tcPr>
            <w:tcW w:w="1142" w:type="dxa"/>
            <w:vAlign w:val="center"/>
          </w:tcPr>
          <w:p w:rsidR="004C1F06" w:rsidRPr="007C51D6" w:rsidRDefault="004C1F06" w:rsidP="004C1F06">
            <w:pPr>
              <w:jc w:val="center"/>
              <w:rPr>
                <w:color w:val="000000"/>
                <w:sz w:val="20"/>
                <w:szCs w:val="20"/>
              </w:rPr>
            </w:pPr>
            <w:r w:rsidRPr="007C51D6">
              <w:rPr>
                <w:color w:val="000000"/>
                <w:sz w:val="20"/>
                <w:szCs w:val="20"/>
              </w:rPr>
              <w:t>63.49</w:t>
            </w:r>
          </w:p>
        </w:tc>
        <w:tc>
          <w:tcPr>
            <w:tcW w:w="1709" w:type="dxa"/>
            <w:vAlign w:val="center"/>
          </w:tcPr>
          <w:p w:rsidR="004C1F06" w:rsidRPr="007C51D6" w:rsidRDefault="004C1F06" w:rsidP="004C1F06">
            <w:pPr>
              <w:jc w:val="center"/>
              <w:rPr>
                <w:color w:val="000000"/>
                <w:sz w:val="20"/>
                <w:szCs w:val="20"/>
              </w:rPr>
            </w:pPr>
            <w:r w:rsidRPr="007C51D6">
              <w:rPr>
                <w:color w:val="000000"/>
                <w:sz w:val="20"/>
                <w:szCs w:val="20"/>
              </w:rPr>
              <w:t>61.03</w:t>
            </w:r>
          </w:p>
        </w:tc>
      </w:tr>
      <w:tr w:rsidR="004C1F06" w:rsidRPr="007C51D6" w:rsidTr="004C1F06">
        <w:trPr>
          <w:gridAfter w:val="1"/>
          <w:wAfter w:w="21" w:type="dxa"/>
          <w:trHeight w:val="20"/>
        </w:trPr>
        <w:tc>
          <w:tcPr>
            <w:tcW w:w="4237" w:type="dxa"/>
            <w:shd w:val="clear" w:color="auto" w:fill="auto"/>
            <w:hideMark/>
          </w:tcPr>
          <w:p w:rsidR="004C1F06" w:rsidRPr="007C51D6" w:rsidRDefault="004C1F06" w:rsidP="004C1F06">
            <w:pPr>
              <w:autoSpaceDE/>
              <w:autoSpaceDN/>
              <w:adjustRightInd/>
              <w:jc w:val="both"/>
              <w:rPr>
                <w:color w:val="000000"/>
                <w:sz w:val="20"/>
                <w:szCs w:val="20"/>
              </w:rPr>
            </w:pPr>
            <w:r w:rsidRPr="007C51D6">
              <w:rPr>
                <w:color w:val="000000"/>
                <w:sz w:val="20"/>
                <w:szCs w:val="20"/>
              </w:rPr>
              <w:t>злокачественные лимфомы</w:t>
            </w:r>
          </w:p>
        </w:tc>
        <w:tc>
          <w:tcPr>
            <w:tcW w:w="1132" w:type="dxa"/>
            <w:shd w:val="clear" w:color="auto" w:fill="auto"/>
            <w:hideMark/>
          </w:tcPr>
          <w:p w:rsidR="004C1F06" w:rsidRPr="007C51D6" w:rsidRDefault="004C1F06" w:rsidP="004C1F06">
            <w:pPr>
              <w:autoSpaceDE/>
              <w:autoSpaceDN/>
              <w:adjustRightInd/>
              <w:jc w:val="center"/>
              <w:rPr>
                <w:color w:val="000000"/>
                <w:sz w:val="20"/>
                <w:szCs w:val="20"/>
              </w:rPr>
            </w:pPr>
            <w:r w:rsidRPr="007C51D6">
              <w:rPr>
                <w:color w:val="000000"/>
                <w:sz w:val="20"/>
                <w:szCs w:val="20"/>
              </w:rPr>
              <w:t>63,20</w:t>
            </w:r>
          </w:p>
        </w:tc>
        <w:tc>
          <w:tcPr>
            <w:tcW w:w="990" w:type="dxa"/>
            <w:shd w:val="clear" w:color="auto" w:fill="auto"/>
            <w:hideMark/>
          </w:tcPr>
          <w:p w:rsidR="004C1F06" w:rsidRPr="007C51D6" w:rsidRDefault="004C1F06" w:rsidP="004C1F06">
            <w:pPr>
              <w:autoSpaceDE/>
              <w:autoSpaceDN/>
              <w:adjustRightInd/>
              <w:jc w:val="center"/>
              <w:rPr>
                <w:color w:val="000000"/>
                <w:sz w:val="20"/>
                <w:szCs w:val="20"/>
              </w:rPr>
            </w:pPr>
            <w:r w:rsidRPr="007C51D6">
              <w:rPr>
                <w:color w:val="000000"/>
                <w:sz w:val="20"/>
                <w:szCs w:val="20"/>
              </w:rPr>
              <w:t>64,97</w:t>
            </w:r>
          </w:p>
        </w:tc>
        <w:tc>
          <w:tcPr>
            <w:tcW w:w="850" w:type="dxa"/>
            <w:shd w:val="clear" w:color="auto" w:fill="auto"/>
            <w:hideMark/>
          </w:tcPr>
          <w:p w:rsidR="004C1F06" w:rsidRPr="007C51D6" w:rsidRDefault="004C1F06" w:rsidP="004C1F06">
            <w:pPr>
              <w:autoSpaceDE/>
              <w:autoSpaceDN/>
              <w:adjustRightInd/>
              <w:jc w:val="center"/>
              <w:rPr>
                <w:color w:val="000000"/>
                <w:sz w:val="20"/>
                <w:szCs w:val="20"/>
              </w:rPr>
            </w:pPr>
            <w:r w:rsidRPr="007C51D6">
              <w:rPr>
                <w:color w:val="000000"/>
                <w:sz w:val="20"/>
                <w:szCs w:val="20"/>
              </w:rPr>
              <w:t>66,74</w:t>
            </w:r>
          </w:p>
        </w:tc>
        <w:tc>
          <w:tcPr>
            <w:tcW w:w="1014" w:type="dxa"/>
            <w:shd w:val="clear" w:color="auto" w:fill="auto"/>
            <w:hideMark/>
          </w:tcPr>
          <w:p w:rsidR="004C1F06" w:rsidRPr="007C51D6" w:rsidRDefault="004C1F06" w:rsidP="004C1F06">
            <w:pPr>
              <w:autoSpaceDE/>
              <w:autoSpaceDN/>
              <w:adjustRightInd/>
              <w:jc w:val="center"/>
              <w:rPr>
                <w:color w:val="000000"/>
                <w:sz w:val="20"/>
                <w:szCs w:val="20"/>
              </w:rPr>
            </w:pPr>
            <w:r w:rsidRPr="007C51D6">
              <w:rPr>
                <w:color w:val="000000"/>
                <w:sz w:val="20"/>
                <w:szCs w:val="20"/>
              </w:rPr>
              <w:t>64,69</w:t>
            </w:r>
          </w:p>
        </w:tc>
        <w:tc>
          <w:tcPr>
            <w:tcW w:w="995" w:type="dxa"/>
            <w:shd w:val="clear" w:color="auto" w:fill="auto"/>
            <w:hideMark/>
          </w:tcPr>
          <w:p w:rsidR="004C1F06" w:rsidRPr="007C51D6" w:rsidRDefault="004C1F06" w:rsidP="004C1F06">
            <w:pPr>
              <w:autoSpaceDE/>
              <w:autoSpaceDN/>
              <w:adjustRightInd/>
              <w:jc w:val="center"/>
              <w:rPr>
                <w:color w:val="000000"/>
                <w:sz w:val="20"/>
                <w:szCs w:val="20"/>
              </w:rPr>
            </w:pPr>
            <w:r w:rsidRPr="007C51D6">
              <w:rPr>
                <w:color w:val="000000"/>
                <w:sz w:val="20"/>
                <w:szCs w:val="20"/>
              </w:rPr>
              <w:t>62,27</w:t>
            </w:r>
          </w:p>
        </w:tc>
        <w:tc>
          <w:tcPr>
            <w:tcW w:w="1001" w:type="dxa"/>
          </w:tcPr>
          <w:p w:rsidR="004C1F06" w:rsidRPr="007C51D6" w:rsidRDefault="004C1F06" w:rsidP="004C1F06">
            <w:pPr>
              <w:jc w:val="center"/>
              <w:rPr>
                <w:color w:val="000000"/>
                <w:sz w:val="20"/>
                <w:szCs w:val="20"/>
              </w:rPr>
            </w:pPr>
            <w:r w:rsidRPr="007C51D6">
              <w:rPr>
                <w:color w:val="000000"/>
                <w:sz w:val="20"/>
                <w:szCs w:val="20"/>
              </w:rPr>
              <w:t>63,31</w:t>
            </w:r>
          </w:p>
        </w:tc>
        <w:tc>
          <w:tcPr>
            <w:tcW w:w="1042" w:type="dxa"/>
          </w:tcPr>
          <w:p w:rsidR="004C1F06" w:rsidRPr="007C51D6" w:rsidRDefault="004C1F06" w:rsidP="004C1F06">
            <w:pPr>
              <w:jc w:val="center"/>
              <w:rPr>
                <w:color w:val="000000"/>
                <w:sz w:val="20"/>
                <w:szCs w:val="20"/>
              </w:rPr>
            </w:pPr>
            <w:r w:rsidRPr="007C51D6">
              <w:rPr>
                <w:color w:val="000000"/>
                <w:sz w:val="20"/>
                <w:szCs w:val="20"/>
              </w:rPr>
              <w:t>64,49</w:t>
            </w:r>
          </w:p>
        </w:tc>
        <w:tc>
          <w:tcPr>
            <w:tcW w:w="1057" w:type="dxa"/>
          </w:tcPr>
          <w:p w:rsidR="004C1F06" w:rsidRPr="007C51D6" w:rsidRDefault="004C1F06" w:rsidP="004C1F06">
            <w:pPr>
              <w:jc w:val="center"/>
              <w:rPr>
                <w:color w:val="000000"/>
                <w:sz w:val="20"/>
                <w:szCs w:val="20"/>
              </w:rPr>
            </w:pPr>
            <w:r w:rsidRPr="007C51D6">
              <w:rPr>
                <w:color w:val="000000"/>
                <w:sz w:val="20"/>
                <w:szCs w:val="20"/>
              </w:rPr>
              <w:t>66,11</w:t>
            </w:r>
          </w:p>
        </w:tc>
        <w:tc>
          <w:tcPr>
            <w:tcW w:w="1142" w:type="dxa"/>
            <w:vAlign w:val="center"/>
          </w:tcPr>
          <w:p w:rsidR="004C1F06" w:rsidRPr="007C51D6" w:rsidRDefault="004C1F06" w:rsidP="004C1F06">
            <w:pPr>
              <w:jc w:val="center"/>
              <w:rPr>
                <w:color w:val="000000"/>
                <w:sz w:val="20"/>
                <w:szCs w:val="20"/>
              </w:rPr>
            </w:pPr>
            <w:r w:rsidRPr="007C51D6">
              <w:rPr>
                <w:color w:val="000000"/>
                <w:sz w:val="20"/>
                <w:szCs w:val="20"/>
              </w:rPr>
              <w:t>64.93</w:t>
            </w:r>
          </w:p>
        </w:tc>
        <w:tc>
          <w:tcPr>
            <w:tcW w:w="1709" w:type="dxa"/>
            <w:vAlign w:val="center"/>
          </w:tcPr>
          <w:p w:rsidR="004C1F06" w:rsidRPr="007C51D6" w:rsidRDefault="004C1F06" w:rsidP="004C1F06">
            <w:pPr>
              <w:jc w:val="center"/>
              <w:rPr>
                <w:color w:val="000000"/>
                <w:sz w:val="20"/>
                <w:szCs w:val="20"/>
              </w:rPr>
            </w:pPr>
            <w:r w:rsidRPr="007C51D6">
              <w:rPr>
                <w:color w:val="000000"/>
                <w:sz w:val="20"/>
                <w:szCs w:val="20"/>
              </w:rPr>
              <w:t>61.61</w:t>
            </w:r>
          </w:p>
        </w:tc>
      </w:tr>
      <w:tr w:rsidR="004C1F06" w:rsidRPr="007C51D6" w:rsidTr="004C1F06">
        <w:trPr>
          <w:gridAfter w:val="1"/>
          <w:wAfter w:w="21" w:type="dxa"/>
          <w:trHeight w:val="20"/>
        </w:trPr>
        <w:tc>
          <w:tcPr>
            <w:tcW w:w="4237" w:type="dxa"/>
            <w:shd w:val="clear" w:color="auto" w:fill="auto"/>
            <w:hideMark/>
          </w:tcPr>
          <w:p w:rsidR="004C1F06" w:rsidRPr="007C51D6" w:rsidRDefault="004C1F06" w:rsidP="004C1F06">
            <w:pPr>
              <w:autoSpaceDE/>
              <w:autoSpaceDN/>
              <w:adjustRightInd/>
              <w:jc w:val="both"/>
              <w:rPr>
                <w:color w:val="000000"/>
                <w:sz w:val="20"/>
                <w:szCs w:val="20"/>
              </w:rPr>
            </w:pPr>
            <w:r w:rsidRPr="007C51D6">
              <w:rPr>
                <w:color w:val="000000"/>
                <w:sz w:val="20"/>
                <w:szCs w:val="20"/>
              </w:rPr>
              <w:t>прямой кишки, ректосигмоидного соединения, ануса</w:t>
            </w:r>
          </w:p>
        </w:tc>
        <w:tc>
          <w:tcPr>
            <w:tcW w:w="1132" w:type="dxa"/>
            <w:shd w:val="clear" w:color="auto" w:fill="auto"/>
            <w:hideMark/>
          </w:tcPr>
          <w:p w:rsidR="004C1F06" w:rsidRPr="007C51D6" w:rsidRDefault="004C1F06" w:rsidP="004C1F06">
            <w:pPr>
              <w:autoSpaceDE/>
              <w:autoSpaceDN/>
              <w:adjustRightInd/>
              <w:jc w:val="center"/>
              <w:rPr>
                <w:color w:val="000000"/>
                <w:sz w:val="20"/>
                <w:szCs w:val="20"/>
              </w:rPr>
            </w:pPr>
            <w:r w:rsidRPr="007C51D6">
              <w:rPr>
                <w:color w:val="000000"/>
                <w:sz w:val="20"/>
                <w:szCs w:val="20"/>
              </w:rPr>
              <w:t>58,81</w:t>
            </w:r>
          </w:p>
        </w:tc>
        <w:tc>
          <w:tcPr>
            <w:tcW w:w="990" w:type="dxa"/>
            <w:shd w:val="clear" w:color="auto" w:fill="auto"/>
            <w:hideMark/>
          </w:tcPr>
          <w:p w:rsidR="004C1F06" w:rsidRPr="007C51D6" w:rsidRDefault="004C1F06" w:rsidP="004C1F06">
            <w:pPr>
              <w:autoSpaceDE/>
              <w:autoSpaceDN/>
              <w:adjustRightInd/>
              <w:jc w:val="center"/>
              <w:rPr>
                <w:color w:val="000000"/>
                <w:sz w:val="20"/>
                <w:szCs w:val="20"/>
              </w:rPr>
            </w:pPr>
            <w:r w:rsidRPr="007C51D6">
              <w:rPr>
                <w:color w:val="000000"/>
                <w:sz w:val="20"/>
                <w:szCs w:val="20"/>
              </w:rPr>
              <w:t>58,72</w:t>
            </w:r>
          </w:p>
        </w:tc>
        <w:tc>
          <w:tcPr>
            <w:tcW w:w="850" w:type="dxa"/>
            <w:shd w:val="clear" w:color="auto" w:fill="auto"/>
            <w:hideMark/>
          </w:tcPr>
          <w:p w:rsidR="004C1F06" w:rsidRPr="007C51D6" w:rsidRDefault="004C1F06" w:rsidP="004C1F06">
            <w:pPr>
              <w:autoSpaceDE/>
              <w:autoSpaceDN/>
              <w:adjustRightInd/>
              <w:jc w:val="center"/>
              <w:rPr>
                <w:color w:val="000000"/>
                <w:sz w:val="20"/>
                <w:szCs w:val="20"/>
              </w:rPr>
            </w:pPr>
            <w:r w:rsidRPr="007C51D6">
              <w:rPr>
                <w:color w:val="000000"/>
                <w:sz w:val="20"/>
                <w:szCs w:val="20"/>
              </w:rPr>
              <w:t>58,48</w:t>
            </w:r>
          </w:p>
        </w:tc>
        <w:tc>
          <w:tcPr>
            <w:tcW w:w="1014" w:type="dxa"/>
            <w:shd w:val="clear" w:color="auto" w:fill="auto"/>
            <w:hideMark/>
          </w:tcPr>
          <w:p w:rsidR="004C1F06" w:rsidRPr="007C51D6" w:rsidRDefault="004C1F06" w:rsidP="004C1F06">
            <w:pPr>
              <w:autoSpaceDE/>
              <w:autoSpaceDN/>
              <w:adjustRightInd/>
              <w:jc w:val="center"/>
              <w:rPr>
                <w:color w:val="000000"/>
                <w:sz w:val="20"/>
                <w:szCs w:val="20"/>
              </w:rPr>
            </w:pPr>
            <w:r w:rsidRPr="007C51D6">
              <w:rPr>
                <w:color w:val="000000"/>
                <w:sz w:val="20"/>
                <w:szCs w:val="20"/>
              </w:rPr>
              <w:t>58,62</w:t>
            </w:r>
          </w:p>
        </w:tc>
        <w:tc>
          <w:tcPr>
            <w:tcW w:w="995" w:type="dxa"/>
            <w:shd w:val="clear" w:color="auto" w:fill="auto"/>
            <w:hideMark/>
          </w:tcPr>
          <w:p w:rsidR="004C1F06" w:rsidRPr="007C51D6" w:rsidRDefault="004C1F06" w:rsidP="004C1F06">
            <w:pPr>
              <w:autoSpaceDE/>
              <w:autoSpaceDN/>
              <w:adjustRightInd/>
              <w:jc w:val="center"/>
              <w:rPr>
                <w:color w:val="000000"/>
                <w:sz w:val="20"/>
                <w:szCs w:val="20"/>
              </w:rPr>
            </w:pPr>
            <w:r w:rsidRPr="007C51D6">
              <w:rPr>
                <w:color w:val="000000"/>
                <w:sz w:val="20"/>
                <w:szCs w:val="20"/>
              </w:rPr>
              <w:t>57,79</w:t>
            </w:r>
          </w:p>
        </w:tc>
        <w:tc>
          <w:tcPr>
            <w:tcW w:w="1001" w:type="dxa"/>
          </w:tcPr>
          <w:p w:rsidR="004C1F06" w:rsidRPr="007C51D6" w:rsidRDefault="004C1F06" w:rsidP="004C1F06">
            <w:pPr>
              <w:jc w:val="center"/>
              <w:rPr>
                <w:color w:val="000000"/>
                <w:sz w:val="20"/>
                <w:szCs w:val="20"/>
              </w:rPr>
            </w:pPr>
            <w:r w:rsidRPr="007C51D6">
              <w:rPr>
                <w:color w:val="000000"/>
                <w:sz w:val="20"/>
                <w:szCs w:val="20"/>
              </w:rPr>
              <w:t>56,45</w:t>
            </w:r>
          </w:p>
        </w:tc>
        <w:tc>
          <w:tcPr>
            <w:tcW w:w="1042" w:type="dxa"/>
          </w:tcPr>
          <w:p w:rsidR="004C1F06" w:rsidRPr="007C51D6" w:rsidRDefault="004C1F06" w:rsidP="004C1F06">
            <w:pPr>
              <w:jc w:val="center"/>
              <w:rPr>
                <w:color w:val="000000"/>
                <w:sz w:val="20"/>
                <w:szCs w:val="20"/>
              </w:rPr>
            </w:pPr>
            <w:r w:rsidRPr="007C51D6">
              <w:rPr>
                <w:color w:val="000000"/>
                <w:sz w:val="20"/>
                <w:szCs w:val="20"/>
              </w:rPr>
              <w:t>58,95</w:t>
            </w:r>
          </w:p>
        </w:tc>
        <w:tc>
          <w:tcPr>
            <w:tcW w:w="1057" w:type="dxa"/>
          </w:tcPr>
          <w:p w:rsidR="004C1F06" w:rsidRPr="007C51D6" w:rsidRDefault="004C1F06" w:rsidP="004C1F06">
            <w:pPr>
              <w:jc w:val="center"/>
              <w:rPr>
                <w:color w:val="000000"/>
                <w:sz w:val="20"/>
                <w:szCs w:val="20"/>
              </w:rPr>
            </w:pPr>
            <w:r w:rsidRPr="007C51D6">
              <w:rPr>
                <w:color w:val="000000"/>
                <w:sz w:val="20"/>
                <w:szCs w:val="20"/>
              </w:rPr>
              <w:t>59,32</w:t>
            </w:r>
          </w:p>
        </w:tc>
        <w:tc>
          <w:tcPr>
            <w:tcW w:w="1142" w:type="dxa"/>
            <w:vAlign w:val="center"/>
          </w:tcPr>
          <w:p w:rsidR="004C1F06" w:rsidRPr="007C51D6" w:rsidRDefault="004C1F06" w:rsidP="004C1F06">
            <w:pPr>
              <w:jc w:val="center"/>
              <w:rPr>
                <w:color w:val="000000"/>
                <w:sz w:val="20"/>
                <w:szCs w:val="20"/>
              </w:rPr>
            </w:pPr>
            <w:r w:rsidRPr="007C51D6">
              <w:rPr>
                <w:color w:val="000000"/>
                <w:sz w:val="20"/>
                <w:szCs w:val="20"/>
              </w:rPr>
              <w:t>59.37</w:t>
            </w:r>
          </w:p>
        </w:tc>
        <w:tc>
          <w:tcPr>
            <w:tcW w:w="1709" w:type="dxa"/>
            <w:vAlign w:val="center"/>
          </w:tcPr>
          <w:p w:rsidR="004C1F06" w:rsidRPr="007C51D6" w:rsidRDefault="004C1F06" w:rsidP="004C1F06">
            <w:pPr>
              <w:jc w:val="center"/>
              <w:rPr>
                <w:color w:val="000000"/>
                <w:sz w:val="20"/>
                <w:szCs w:val="20"/>
              </w:rPr>
            </w:pPr>
            <w:r w:rsidRPr="007C51D6">
              <w:rPr>
                <w:color w:val="000000"/>
                <w:sz w:val="20"/>
                <w:szCs w:val="20"/>
              </w:rPr>
              <w:t>55.95</w:t>
            </w:r>
          </w:p>
        </w:tc>
      </w:tr>
      <w:tr w:rsidR="004C1F06" w:rsidRPr="007C51D6" w:rsidTr="004C1F06">
        <w:trPr>
          <w:gridAfter w:val="1"/>
          <w:wAfter w:w="21" w:type="dxa"/>
          <w:trHeight w:val="20"/>
        </w:trPr>
        <w:tc>
          <w:tcPr>
            <w:tcW w:w="4237" w:type="dxa"/>
            <w:shd w:val="clear" w:color="auto" w:fill="auto"/>
            <w:hideMark/>
          </w:tcPr>
          <w:p w:rsidR="004C1F06" w:rsidRPr="007C51D6" w:rsidRDefault="004C1F06" w:rsidP="004C1F06">
            <w:pPr>
              <w:autoSpaceDE/>
              <w:autoSpaceDN/>
              <w:adjustRightInd/>
              <w:jc w:val="both"/>
              <w:rPr>
                <w:color w:val="000000"/>
                <w:sz w:val="20"/>
                <w:szCs w:val="20"/>
              </w:rPr>
            </w:pPr>
            <w:r w:rsidRPr="007C51D6">
              <w:rPr>
                <w:color w:val="000000"/>
                <w:sz w:val="20"/>
                <w:szCs w:val="20"/>
              </w:rPr>
              <w:t>ободочной кишки</w:t>
            </w:r>
          </w:p>
        </w:tc>
        <w:tc>
          <w:tcPr>
            <w:tcW w:w="1132" w:type="dxa"/>
            <w:shd w:val="clear" w:color="auto" w:fill="auto"/>
            <w:hideMark/>
          </w:tcPr>
          <w:p w:rsidR="004C1F06" w:rsidRPr="007C51D6" w:rsidRDefault="004C1F06" w:rsidP="004C1F06">
            <w:pPr>
              <w:autoSpaceDE/>
              <w:autoSpaceDN/>
              <w:adjustRightInd/>
              <w:jc w:val="center"/>
              <w:rPr>
                <w:color w:val="000000"/>
                <w:sz w:val="20"/>
                <w:szCs w:val="20"/>
              </w:rPr>
            </w:pPr>
            <w:r w:rsidRPr="007C51D6">
              <w:rPr>
                <w:color w:val="000000"/>
                <w:sz w:val="20"/>
                <w:szCs w:val="20"/>
              </w:rPr>
              <w:t>56,54</w:t>
            </w:r>
          </w:p>
        </w:tc>
        <w:tc>
          <w:tcPr>
            <w:tcW w:w="990" w:type="dxa"/>
            <w:shd w:val="clear" w:color="auto" w:fill="auto"/>
            <w:hideMark/>
          </w:tcPr>
          <w:p w:rsidR="004C1F06" w:rsidRPr="007C51D6" w:rsidRDefault="004C1F06" w:rsidP="004C1F06">
            <w:pPr>
              <w:autoSpaceDE/>
              <w:autoSpaceDN/>
              <w:adjustRightInd/>
              <w:jc w:val="center"/>
              <w:rPr>
                <w:color w:val="000000"/>
                <w:sz w:val="20"/>
                <w:szCs w:val="20"/>
              </w:rPr>
            </w:pPr>
            <w:r w:rsidRPr="007C51D6">
              <w:rPr>
                <w:color w:val="000000"/>
                <w:sz w:val="20"/>
                <w:szCs w:val="20"/>
              </w:rPr>
              <w:t>56,86</w:t>
            </w:r>
          </w:p>
        </w:tc>
        <w:tc>
          <w:tcPr>
            <w:tcW w:w="850" w:type="dxa"/>
            <w:shd w:val="clear" w:color="auto" w:fill="auto"/>
            <w:hideMark/>
          </w:tcPr>
          <w:p w:rsidR="004C1F06" w:rsidRPr="007C51D6" w:rsidRDefault="004C1F06" w:rsidP="004C1F06">
            <w:pPr>
              <w:autoSpaceDE/>
              <w:autoSpaceDN/>
              <w:adjustRightInd/>
              <w:jc w:val="center"/>
              <w:rPr>
                <w:color w:val="000000"/>
                <w:sz w:val="20"/>
                <w:szCs w:val="20"/>
              </w:rPr>
            </w:pPr>
            <w:r w:rsidRPr="007C51D6">
              <w:rPr>
                <w:color w:val="000000"/>
                <w:sz w:val="20"/>
                <w:szCs w:val="20"/>
              </w:rPr>
              <w:t>56,75</w:t>
            </w:r>
          </w:p>
        </w:tc>
        <w:tc>
          <w:tcPr>
            <w:tcW w:w="1014" w:type="dxa"/>
            <w:shd w:val="clear" w:color="auto" w:fill="auto"/>
            <w:hideMark/>
          </w:tcPr>
          <w:p w:rsidR="004C1F06" w:rsidRPr="007C51D6" w:rsidRDefault="004C1F06" w:rsidP="004C1F06">
            <w:pPr>
              <w:autoSpaceDE/>
              <w:autoSpaceDN/>
              <w:adjustRightInd/>
              <w:jc w:val="center"/>
              <w:rPr>
                <w:color w:val="000000"/>
                <w:sz w:val="20"/>
                <w:szCs w:val="20"/>
              </w:rPr>
            </w:pPr>
            <w:r w:rsidRPr="007C51D6">
              <w:rPr>
                <w:color w:val="000000"/>
                <w:sz w:val="20"/>
                <w:szCs w:val="20"/>
              </w:rPr>
              <w:t>56,90</w:t>
            </w:r>
          </w:p>
        </w:tc>
        <w:tc>
          <w:tcPr>
            <w:tcW w:w="995" w:type="dxa"/>
            <w:shd w:val="clear" w:color="auto" w:fill="auto"/>
            <w:hideMark/>
          </w:tcPr>
          <w:p w:rsidR="004C1F06" w:rsidRPr="007C51D6" w:rsidRDefault="004C1F06" w:rsidP="004C1F06">
            <w:pPr>
              <w:autoSpaceDE/>
              <w:autoSpaceDN/>
              <w:adjustRightInd/>
              <w:jc w:val="center"/>
              <w:rPr>
                <w:color w:val="000000"/>
                <w:sz w:val="20"/>
                <w:szCs w:val="20"/>
              </w:rPr>
            </w:pPr>
            <w:r w:rsidRPr="007C51D6">
              <w:rPr>
                <w:color w:val="000000"/>
                <w:sz w:val="20"/>
                <w:szCs w:val="20"/>
              </w:rPr>
              <w:t>56,45</w:t>
            </w:r>
          </w:p>
        </w:tc>
        <w:tc>
          <w:tcPr>
            <w:tcW w:w="1001" w:type="dxa"/>
          </w:tcPr>
          <w:p w:rsidR="004C1F06" w:rsidRPr="007C51D6" w:rsidRDefault="004C1F06" w:rsidP="004C1F06">
            <w:pPr>
              <w:jc w:val="center"/>
              <w:rPr>
                <w:color w:val="000000"/>
                <w:sz w:val="20"/>
                <w:szCs w:val="20"/>
              </w:rPr>
            </w:pPr>
            <w:r w:rsidRPr="007C51D6">
              <w:rPr>
                <w:color w:val="000000"/>
                <w:sz w:val="20"/>
                <w:szCs w:val="20"/>
              </w:rPr>
              <w:t>55,77</w:t>
            </w:r>
          </w:p>
        </w:tc>
        <w:tc>
          <w:tcPr>
            <w:tcW w:w="1042" w:type="dxa"/>
          </w:tcPr>
          <w:p w:rsidR="004C1F06" w:rsidRPr="007C51D6" w:rsidRDefault="004C1F06" w:rsidP="004C1F06">
            <w:pPr>
              <w:jc w:val="center"/>
              <w:rPr>
                <w:color w:val="000000"/>
                <w:sz w:val="20"/>
                <w:szCs w:val="20"/>
              </w:rPr>
            </w:pPr>
            <w:r w:rsidRPr="007C51D6">
              <w:rPr>
                <w:color w:val="000000"/>
                <w:sz w:val="20"/>
                <w:szCs w:val="20"/>
              </w:rPr>
              <w:t>57,27</w:t>
            </w:r>
          </w:p>
        </w:tc>
        <w:tc>
          <w:tcPr>
            <w:tcW w:w="1057" w:type="dxa"/>
          </w:tcPr>
          <w:p w:rsidR="004C1F06" w:rsidRPr="007C51D6" w:rsidRDefault="004C1F06" w:rsidP="004C1F06">
            <w:pPr>
              <w:jc w:val="center"/>
              <w:rPr>
                <w:color w:val="000000"/>
                <w:sz w:val="20"/>
                <w:szCs w:val="20"/>
              </w:rPr>
            </w:pPr>
            <w:r w:rsidRPr="007C51D6">
              <w:rPr>
                <w:color w:val="000000"/>
                <w:sz w:val="20"/>
                <w:szCs w:val="20"/>
              </w:rPr>
              <w:t>57,28</w:t>
            </w:r>
          </w:p>
        </w:tc>
        <w:tc>
          <w:tcPr>
            <w:tcW w:w="1142" w:type="dxa"/>
            <w:vAlign w:val="center"/>
          </w:tcPr>
          <w:p w:rsidR="004C1F06" w:rsidRPr="007C51D6" w:rsidRDefault="004C1F06" w:rsidP="004C1F06">
            <w:pPr>
              <w:jc w:val="center"/>
              <w:rPr>
                <w:color w:val="000000"/>
                <w:sz w:val="20"/>
                <w:szCs w:val="20"/>
              </w:rPr>
            </w:pPr>
            <w:r w:rsidRPr="007C51D6">
              <w:rPr>
                <w:color w:val="000000"/>
                <w:sz w:val="20"/>
                <w:szCs w:val="20"/>
              </w:rPr>
              <w:t>57.59</w:t>
            </w:r>
          </w:p>
        </w:tc>
        <w:tc>
          <w:tcPr>
            <w:tcW w:w="1709" w:type="dxa"/>
            <w:vAlign w:val="center"/>
          </w:tcPr>
          <w:p w:rsidR="004C1F06" w:rsidRPr="007C51D6" w:rsidRDefault="004C1F06" w:rsidP="004C1F06">
            <w:pPr>
              <w:jc w:val="center"/>
              <w:rPr>
                <w:color w:val="000000"/>
                <w:sz w:val="20"/>
                <w:szCs w:val="20"/>
              </w:rPr>
            </w:pPr>
            <w:r w:rsidRPr="007C51D6">
              <w:rPr>
                <w:color w:val="000000"/>
                <w:sz w:val="20"/>
                <w:szCs w:val="20"/>
              </w:rPr>
              <w:t>53.37</w:t>
            </w:r>
          </w:p>
        </w:tc>
      </w:tr>
      <w:tr w:rsidR="004C1F06" w:rsidRPr="007C51D6" w:rsidTr="004C1F06">
        <w:trPr>
          <w:gridAfter w:val="1"/>
          <w:wAfter w:w="21" w:type="dxa"/>
          <w:trHeight w:val="20"/>
        </w:trPr>
        <w:tc>
          <w:tcPr>
            <w:tcW w:w="4237" w:type="dxa"/>
            <w:shd w:val="clear" w:color="auto" w:fill="auto"/>
            <w:hideMark/>
          </w:tcPr>
          <w:p w:rsidR="004C1F06" w:rsidRPr="007C51D6" w:rsidRDefault="004C1F06" w:rsidP="004C1F06">
            <w:pPr>
              <w:autoSpaceDE/>
              <w:autoSpaceDN/>
              <w:adjustRightInd/>
              <w:jc w:val="both"/>
              <w:rPr>
                <w:color w:val="000000"/>
                <w:sz w:val="20"/>
                <w:szCs w:val="20"/>
              </w:rPr>
            </w:pPr>
            <w:r w:rsidRPr="007C51D6">
              <w:rPr>
                <w:color w:val="000000"/>
                <w:sz w:val="20"/>
                <w:szCs w:val="20"/>
              </w:rPr>
              <w:t>трахеи, бронхов, легких</w:t>
            </w:r>
          </w:p>
        </w:tc>
        <w:tc>
          <w:tcPr>
            <w:tcW w:w="1132" w:type="dxa"/>
            <w:shd w:val="clear" w:color="auto" w:fill="auto"/>
            <w:hideMark/>
          </w:tcPr>
          <w:p w:rsidR="004C1F06" w:rsidRPr="007C51D6" w:rsidRDefault="004C1F06" w:rsidP="004C1F06">
            <w:pPr>
              <w:autoSpaceDE/>
              <w:autoSpaceDN/>
              <w:adjustRightInd/>
              <w:jc w:val="center"/>
              <w:rPr>
                <w:color w:val="000000"/>
                <w:sz w:val="20"/>
                <w:szCs w:val="20"/>
              </w:rPr>
            </w:pPr>
            <w:r w:rsidRPr="007C51D6">
              <w:rPr>
                <w:color w:val="000000"/>
                <w:sz w:val="20"/>
                <w:szCs w:val="20"/>
              </w:rPr>
              <w:t>46,79</w:t>
            </w:r>
          </w:p>
        </w:tc>
        <w:tc>
          <w:tcPr>
            <w:tcW w:w="990" w:type="dxa"/>
            <w:shd w:val="clear" w:color="auto" w:fill="auto"/>
            <w:hideMark/>
          </w:tcPr>
          <w:p w:rsidR="004C1F06" w:rsidRPr="007C51D6" w:rsidRDefault="004C1F06" w:rsidP="004C1F06">
            <w:pPr>
              <w:autoSpaceDE/>
              <w:autoSpaceDN/>
              <w:adjustRightInd/>
              <w:jc w:val="center"/>
              <w:rPr>
                <w:color w:val="000000"/>
                <w:sz w:val="20"/>
                <w:szCs w:val="20"/>
              </w:rPr>
            </w:pPr>
            <w:r w:rsidRPr="007C51D6">
              <w:rPr>
                <w:color w:val="000000"/>
                <w:sz w:val="20"/>
                <w:szCs w:val="20"/>
              </w:rPr>
              <w:t>45,88</w:t>
            </w:r>
          </w:p>
        </w:tc>
        <w:tc>
          <w:tcPr>
            <w:tcW w:w="850" w:type="dxa"/>
            <w:shd w:val="clear" w:color="auto" w:fill="auto"/>
            <w:hideMark/>
          </w:tcPr>
          <w:p w:rsidR="004C1F06" w:rsidRPr="007C51D6" w:rsidRDefault="004C1F06" w:rsidP="004C1F06">
            <w:pPr>
              <w:autoSpaceDE/>
              <w:autoSpaceDN/>
              <w:adjustRightInd/>
              <w:jc w:val="center"/>
              <w:rPr>
                <w:color w:val="000000"/>
                <w:sz w:val="20"/>
                <w:szCs w:val="20"/>
              </w:rPr>
            </w:pPr>
            <w:r w:rsidRPr="007C51D6">
              <w:rPr>
                <w:color w:val="000000"/>
                <w:sz w:val="20"/>
                <w:szCs w:val="20"/>
              </w:rPr>
              <w:t>46,47</w:t>
            </w:r>
          </w:p>
        </w:tc>
        <w:tc>
          <w:tcPr>
            <w:tcW w:w="1014" w:type="dxa"/>
            <w:shd w:val="clear" w:color="auto" w:fill="auto"/>
            <w:hideMark/>
          </w:tcPr>
          <w:p w:rsidR="004C1F06" w:rsidRPr="007C51D6" w:rsidRDefault="004C1F06" w:rsidP="004C1F06">
            <w:pPr>
              <w:autoSpaceDE/>
              <w:autoSpaceDN/>
              <w:adjustRightInd/>
              <w:jc w:val="center"/>
              <w:rPr>
                <w:color w:val="000000"/>
                <w:sz w:val="20"/>
                <w:szCs w:val="20"/>
              </w:rPr>
            </w:pPr>
            <w:r w:rsidRPr="007C51D6">
              <w:rPr>
                <w:color w:val="000000"/>
                <w:sz w:val="20"/>
                <w:szCs w:val="20"/>
              </w:rPr>
              <w:t>47,23</w:t>
            </w:r>
          </w:p>
        </w:tc>
        <w:tc>
          <w:tcPr>
            <w:tcW w:w="995" w:type="dxa"/>
            <w:shd w:val="clear" w:color="auto" w:fill="auto"/>
            <w:hideMark/>
          </w:tcPr>
          <w:p w:rsidR="004C1F06" w:rsidRPr="007C51D6" w:rsidRDefault="004C1F06" w:rsidP="004C1F06">
            <w:pPr>
              <w:autoSpaceDE/>
              <w:autoSpaceDN/>
              <w:adjustRightInd/>
              <w:jc w:val="center"/>
              <w:rPr>
                <w:color w:val="000000"/>
                <w:sz w:val="20"/>
                <w:szCs w:val="20"/>
              </w:rPr>
            </w:pPr>
            <w:r w:rsidRPr="007C51D6">
              <w:rPr>
                <w:color w:val="000000"/>
                <w:sz w:val="20"/>
                <w:szCs w:val="20"/>
              </w:rPr>
              <w:t>48,13</w:t>
            </w:r>
          </w:p>
        </w:tc>
        <w:tc>
          <w:tcPr>
            <w:tcW w:w="1001" w:type="dxa"/>
          </w:tcPr>
          <w:p w:rsidR="004C1F06" w:rsidRPr="007C51D6" w:rsidRDefault="004C1F06" w:rsidP="004C1F06">
            <w:pPr>
              <w:jc w:val="center"/>
              <w:rPr>
                <w:color w:val="000000"/>
                <w:sz w:val="20"/>
                <w:szCs w:val="20"/>
              </w:rPr>
            </w:pPr>
            <w:r w:rsidRPr="007C51D6">
              <w:rPr>
                <w:color w:val="000000"/>
                <w:sz w:val="20"/>
                <w:szCs w:val="20"/>
              </w:rPr>
              <w:t>47,63</w:t>
            </w:r>
          </w:p>
        </w:tc>
        <w:tc>
          <w:tcPr>
            <w:tcW w:w="1042" w:type="dxa"/>
          </w:tcPr>
          <w:p w:rsidR="004C1F06" w:rsidRPr="007C51D6" w:rsidRDefault="004C1F06" w:rsidP="004C1F06">
            <w:pPr>
              <w:jc w:val="center"/>
              <w:rPr>
                <w:color w:val="000000"/>
                <w:sz w:val="20"/>
                <w:szCs w:val="20"/>
              </w:rPr>
            </w:pPr>
            <w:r w:rsidRPr="007C51D6">
              <w:rPr>
                <w:color w:val="000000"/>
                <w:sz w:val="20"/>
                <w:szCs w:val="20"/>
              </w:rPr>
              <w:t>47,86</w:t>
            </w:r>
          </w:p>
        </w:tc>
        <w:tc>
          <w:tcPr>
            <w:tcW w:w="1057" w:type="dxa"/>
          </w:tcPr>
          <w:p w:rsidR="004C1F06" w:rsidRPr="007C51D6" w:rsidRDefault="004C1F06" w:rsidP="004C1F06">
            <w:pPr>
              <w:jc w:val="center"/>
              <w:rPr>
                <w:color w:val="000000"/>
                <w:sz w:val="20"/>
                <w:szCs w:val="20"/>
              </w:rPr>
            </w:pPr>
            <w:r w:rsidRPr="007C51D6">
              <w:rPr>
                <w:color w:val="000000"/>
                <w:sz w:val="20"/>
                <w:szCs w:val="20"/>
              </w:rPr>
              <w:t>47,83</w:t>
            </w:r>
          </w:p>
        </w:tc>
        <w:tc>
          <w:tcPr>
            <w:tcW w:w="1142" w:type="dxa"/>
            <w:vAlign w:val="center"/>
          </w:tcPr>
          <w:p w:rsidR="004C1F06" w:rsidRPr="007C51D6" w:rsidRDefault="004C1F06" w:rsidP="004C1F06">
            <w:pPr>
              <w:jc w:val="center"/>
              <w:rPr>
                <w:color w:val="000000"/>
                <w:sz w:val="20"/>
                <w:szCs w:val="20"/>
              </w:rPr>
            </w:pPr>
            <w:r w:rsidRPr="007C51D6">
              <w:rPr>
                <w:color w:val="000000"/>
                <w:sz w:val="20"/>
                <w:szCs w:val="20"/>
              </w:rPr>
              <w:t>47.40</w:t>
            </w:r>
          </w:p>
        </w:tc>
        <w:tc>
          <w:tcPr>
            <w:tcW w:w="1709" w:type="dxa"/>
            <w:vAlign w:val="center"/>
          </w:tcPr>
          <w:p w:rsidR="004C1F06" w:rsidRPr="007C51D6" w:rsidRDefault="004C1F06" w:rsidP="004C1F06">
            <w:pPr>
              <w:jc w:val="center"/>
              <w:rPr>
                <w:color w:val="000000"/>
                <w:sz w:val="20"/>
                <w:szCs w:val="20"/>
              </w:rPr>
            </w:pPr>
            <w:r w:rsidRPr="007C51D6">
              <w:rPr>
                <w:color w:val="000000"/>
                <w:sz w:val="20"/>
                <w:szCs w:val="20"/>
              </w:rPr>
              <w:t>42.53</w:t>
            </w:r>
          </w:p>
        </w:tc>
      </w:tr>
      <w:tr w:rsidR="004C1F06" w:rsidRPr="007C51D6" w:rsidTr="004C1F06">
        <w:trPr>
          <w:gridAfter w:val="1"/>
          <w:wAfter w:w="21" w:type="dxa"/>
          <w:trHeight w:val="20"/>
        </w:trPr>
        <w:tc>
          <w:tcPr>
            <w:tcW w:w="4237" w:type="dxa"/>
            <w:shd w:val="clear" w:color="auto" w:fill="auto"/>
          </w:tcPr>
          <w:p w:rsidR="004C1F06" w:rsidRPr="007C51D6" w:rsidRDefault="004C1F06" w:rsidP="004C1F06">
            <w:pPr>
              <w:autoSpaceDE/>
              <w:autoSpaceDN/>
              <w:adjustRightInd/>
              <w:jc w:val="both"/>
              <w:rPr>
                <w:color w:val="000000"/>
                <w:sz w:val="20"/>
                <w:szCs w:val="20"/>
              </w:rPr>
            </w:pPr>
            <w:r w:rsidRPr="007C51D6">
              <w:rPr>
                <w:color w:val="000000"/>
                <w:sz w:val="20"/>
                <w:szCs w:val="20"/>
              </w:rPr>
              <w:t>рак кожи</w:t>
            </w:r>
          </w:p>
        </w:tc>
        <w:tc>
          <w:tcPr>
            <w:tcW w:w="1132" w:type="dxa"/>
            <w:shd w:val="clear" w:color="auto" w:fill="auto"/>
          </w:tcPr>
          <w:p w:rsidR="004C1F06" w:rsidRPr="007C51D6" w:rsidRDefault="004C1F06" w:rsidP="004C1F06">
            <w:pPr>
              <w:autoSpaceDE/>
              <w:autoSpaceDN/>
              <w:adjustRightInd/>
              <w:jc w:val="center"/>
              <w:rPr>
                <w:color w:val="000000"/>
                <w:sz w:val="20"/>
                <w:szCs w:val="20"/>
              </w:rPr>
            </w:pPr>
            <w:r w:rsidRPr="007C51D6">
              <w:rPr>
                <w:color w:val="000000"/>
                <w:sz w:val="20"/>
                <w:szCs w:val="20"/>
              </w:rPr>
              <w:t>47,58</w:t>
            </w:r>
          </w:p>
        </w:tc>
        <w:tc>
          <w:tcPr>
            <w:tcW w:w="990" w:type="dxa"/>
            <w:shd w:val="clear" w:color="auto" w:fill="auto"/>
          </w:tcPr>
          <w:p w:rsidR="004C1F06" w:rsidRPr="007C51D6" w:rsidRDefault="004C1F06" w:rsidP="004C1F06">
            <w:pPr>
              <w:autoSpaceDE/>
              <w:autoSpaceDN/>
              <w:adjustRightInd/>
              <w:jc w:val="center"/>
              <w:rPr>
                <w:color w:val="000000"/>
                <w:sz w:val="20"/>
                <w:szCs w:val="20"/>
              </w:rPr>
            </w:pPr>
            <w:r w:rsidRPr="007C51D6">
              <w:rPr>
                <w:color w:val="000000"/>
                <w:sz w:val="20"/>
                <w:szCs w:val="20"/>
              </w:rPr>
              <w:t>50,80</w:t>
            </w:r>
          </w:p>
        </w:tc>
        <w:tc>
          <w:tcPr>
            <w:tcW w:w="850" w:type="dxa"/>
            <w:shd w:val="clear" w:color="auto" w:fill="auto"/>
          </w:tcPr>
          <w:p w:rsidR="004C1F06" w:rsidRPr="007C51D6" w:rsidRDefault="004C1F06" w:rsidP="004C1F06">
            <w:pPr>
              <w:autoSpaceDE/>
              <w:autoSpaceDN/>
              <w:adjustRightInd/>
              <w:jc w:val="center"/>
              <w:rPr>
                <w:color w:val="000000"/>
                <w:sz w:val="20"/>
                <w:szCs w:val="20"/>
              </w:rPr>
            </w:pPr>
            <w:r w:rsidRPr="007C51D6">
              <w:rPr>
                <w:color w:val="000000"/>
                <w:sz w:val="20"/>
                <w:szCs w:val="20"/>
              </w:rPr>
              <w:t>51,05</w:t>
            </w:r>
          </w:p>
        </w:tc>
        <w:tc>
          <w:tcPr>
            <w:tcW w:w="1014" w:type="dxa"/>
            <w:shd w:val="clear" w:color="auto" w:fill="auto"/>
          </w:tcPr>
          <w:p w:rsidR="004C1F06" w:rsidRPr="007C51D6" w:rsidRDefault="004C1F06" w:rsidP="004C1F06">
            <w:pPr>
              <w:autoSpaceDE/>
              <w:autoSpaceDN/>
              <w:adjustRightInd/>
              <w:jc w:val="center"/>
              <w:rPr>
                <w:color w:val="000000"/>
                <w:sz w:val="20"/>
                <w:szCs w:val="20"/>
              </w:rPr>
            </w:pPr>
            <w:r w:rsidRPr="007C51D6">
              <w:rPr>
                <w:color w:val="000000"/>
                <w:sz w:val="20"/>
                <w:szCs w:val="20"/>
              </w:rPr>
              <w:t>44,87</w:t>
            </w:r>
          </w:p>
        </w:tc>
        <w:tc>
          <w:tcPr>
            <w:tcW w:w="995" w:type="dxa"/>
            <w:shd w:val="clear" w:color="auto" w:fill="auto"/>
          </w:tcPr>
          <w:p w:rsidR="004C1F06" w:rsidRPr="007C51D6" w:rsidRDefault="004C1F06" w:rsidP="004C1F06">
            <w:pPr>
              <w:autoSpaceDE/>
              <w:autoSpaceDN/>
              <w:adjustRightInd/>
              <w:jc w:val="center"/>
              <w:rPr>
                <w:color w:val="000000"/>
                <w:sz w:val="20"/>
                <w:szCs w:val="20"/>
              </w:rPr>
            </w:pPr>
            <w:r w:rsidRPr="007C51D6">
              <w:rPr>
                <w:color w:val="000000"/>
                <w:sz w:val="20"/>
                <w:szCs w:val="20"/>
              </w:rPr>
              <w:t>47,32</w:t>
            </w:r>
          </w:p>
        </w:tc>
        <w:tc>
          <w:tcPr>
            <w:tcW w:w="1001" w:type="dxa"/>
          </w:tcPr>
          <w:p w:rsidR="004C1F06" w:rsidRPr="007C51D6" w:rsidRDefault="004C1F06" w:rsidP="004C1F06">
            <w:pPr>
              <w:jc w:val="center"/>
              <w:rPr>
                <w:color w:val="000000"/>
                <w:sz w:val="20"/>
                <w:szCs w:val="20"/>
              </w:rPr>
            </w:pPr>
            <w:r w:rsidRPr="007C51D6">
              <w:rPr>
                <w:color w:val="000000"/>
                <w:sz w:val="20"/>
                <w:szCs w:val="20"/>
              </w:rPr>
              <w:t>47,46</w:t>
            </w:r>
          </w:p>
        </w:tc>
        <w:tc>
          <w:tcPr>
            <w:tcW w:w="1042" w:type="dxa"/>
          </w:tcPr>
          <w:p w:rsidR="004C1F06" w:rsidRPr="007C51D6" w:rsidRDefault="004C1F06" w:rsidP="004C1F06">
            <w:pPr>
              <w:jc w:val="center"/>
              <w:rPr>
                <w:color w:val="000000"/>
                <w:sz w:val="20"/>
                <w:szCs w:val="20"/>
              </w:rPr>
            </w:pPr>
            <w:r w:rsidRPr="007C51D6">
              <w:rPr>
                <w:color w:val="000000"/>
                <w:sz w:val="20"/>
                <w:szCs w:val="20"/>
              </w:rPr>
              <w:t>46,75</w:t>
            </w:r>
          </w:p>
        </w:tc>
        <w:tc>
          <w:tcPr>
            <w:tcW w:w="1057" w:type="dxa"/>
          </w:tcPr>
          <w:p w:rsidR="004C1F06" w:rsidRPr="007C51D6" w:rsidRDefault="004C1F06" w:rsidP="004C1F06">
            <w:pPr>
              <w:jc w:val="center"/>
              <w:rPr>
                <w:color w:val="000000"/>
                <w:sz w:val="20"/>
                <w:szCs w:val="20"/>
              </w:rPr>
            </w:pPr>
            <w:r w:rsidRPr="007C51D6">
              <w:rPr>
                <w:color w:val="000000"/>
                <w:sz w:val="20"/>
                <w:szCs w:val="20"/>
              </w:rPr>
              <w:t>46,78</w:t>
            </w:r>
          </w:p>
        </w:tc>
        <w:tc>
          <w:tcPr>
            <w:tcW w:w="1142" w:type="dxa"/>
            <w:vAlign w:val="center"/>
          </w:tcPr>
          <w:p w:rsidR="004C1F06" w:rsidRPr="007C51D6" w:rsidRDefault="004C1F06" w:rsidP="004C1F06">
            <w:pPr>
              <w:jc w:val="center"/>
              <w:rPr>
                <w:color w:val="000000"/>
                <w:sz w:val="20"/>
                <w:szCs w:val="20"/>
              </w:rPr>
            </w:pPr>
            <w:r w:rsidRPr="007C51D6">
              <w:rPr>
                <w:color w:val="000000"/>
                <w:sz w:val="20"/>
                <w:szCs w:val="20"/>
              </w:rPr>
              <w:t>49.32</w:t>
            </w:r>
          </w:p>
        </w:tc>
        <w:tc>
          <w:tcPr>
            <w:tcW w:w="1709" w:type="dxa"/>
            <w:vAlign w:val="center"/>
          </w:tcPr>
          <w:p w:rsidR="004C1F06" w:rsidRPr="007C51D6" w:rsidRDefault="004C1F06" w:rsidP="004C1F06">
            <w:pPr>
              <w:jc w:val="center"/>
              <w:rPr>
                <w:color w:val="000000"/>
                <w:sz w:val="20"/>
                <w:szCs w:val="20"/>
              </w:rPr>
            </w:pPr>
            <w:r w:rsidRPr="007C51D6">
              <w:rPr>
                <w:color w:val="000000"/>
                <w:sz w:val="20"/>
                <w:szCs w:val="20"/>
              </w:rPr>
              <w:t>45.26</w:t>
            </w:r>
          </w:p>
        </w:tc>
      </w:tr>
      <w:tr w:rsidR="004C1F06" w:rsidRPr="007C51D6" w:rsidTr="004C1F06">
        <w:trPr>
          <w:trHeight w:val="20"/>
        </w:trPr>
        <w:tc>
          <w:tcPr>
            <w:tcW w:w="4237" w:type="dxa"/>
            <w:shd w:val="clear" w:color="auto" w:fill="auto"/>
            <w:hideMark/>
          </w:tcPr>
          <w:p w:rsidR="004C1F06" w:rsidRPr="007C51D6" w:rsidRDefault="004C1F06" w:rsidP="004C1F06">
            <w:pPr>
              <w:jc w:val="center"/>
              <w:rPr>
                <w:color w:val="000000"/>
                <w:sz w:val="20"/>
                <w:szCs w:val="20"/>
              </w:rPr>
            </w:pPr>
          </w:p>
        </w:tc>
        <w:tc>
          <w:tcPr>
            <w:tcW w:w="10953" w:type="dxa"/>
            <w:gridSpan w:val="11"/>
            <w:shd w:val="clear" w:color="auto" w:fill="auto"/>
          </w:tcPr>
          <w:p w:rsidR="004C1F06" w:rsidRPr="007C51D6" w:rsidRDefault="004C1F06" w:rsidP="004C1F06">
            <w:pPr>
              <w:jc w:val="center"/>
              <w:rPr>
                <w:color w:val="000000"/>
                <w:sz w:val="20"/>
                <w:szCs w:val="20"/>
              </w:rPr>
            </w:pPr>
            <w:r w:rsidRPr="007C51D6">
              <w:rPr>
                <w:color w:val="000000"/>
                <w:sz w:val="20"/>
                <w:szCs w:val="20"/>
              </w:rPr>
              <w:t>Оба пола</w:t>
            </w:r>
          </w:p>
        </w:tc>
      </w:tr>
      <w:tr w:rsidR="004C1F06" w:rsidRPr="007C51D6" w:rsidTr="004C1F06">
        <w:trPr>
          <w:gridAfter w:val="1"/>
          <w:wAfter w:w="21" w:type="dxa"/>
          <w:trHeight w:val="20"/>
        </w:trPr>
        <w:tc>
          <w:tcPr>
            <w:tcW w:w="4237" w:type="dxa"/>
            <w:shd w:val="clear" w:color="auto" w:fill="auto"/>
            <w:hideMark/>
          </w:tcPr>
          <w:p w:rsidR="004C1F06" w:rsidRPr="007C51D6" w:rsidRDefault="004C1F06" w:rsidP="004C1F06">
            <w:pPr>
              <w:autoSpaceDE/>
              <w:autoSpaceDN/>
              <w:adjustRightInd/>
              <w:jc w:val="both"/>
              <w:rPr>
                <w:color w:val="000000"/>
                <w:sz w:val="20"/>
                <w:szCs w:val="20"/>
              </w:rPr>
            </w:pPr>
            <w:r w:rsidRPr="007C51D6">
              <w:rPr>
                <w:color w:val="000000"/>
                <w:sz w:val="20"/>
                <w:szCs w:val="20"/>
              </w:rPr>
              <w:t>Всего, в том числе:</w:t>
            </w:r>
          </w:p>
        </w:tc>
        <w:tc>
          <w:tcPr>
            <w:tcW w:w="1132" w:type="dxa"/>
            <w:shd w:val="clear" w:color="auto" w:fill="auto"/>
            <w:hideMark/>
          </w:tcPr>
          <w:p w:rsidR="004C1F06" w:rsidRPr="007C51D6" w:rsidRDefault="004C1F06" w:rsidP="004C1F06">
            <w:pPr>
              <w:autoSpaceDE/>
              <w:autoSpaceDN/>
              <w:adjustRightInd/>
              <w:jc w:val="center"/>
              <w:rPr>
                <w:color w:val="000000"/>
                <w:sz w:val="20"/>
                <w:szCs w:val="20"/>
              </w:rPr>
            </w:pPr>
            <w:r w:rsidRPr="007C51D6">
              <w:rPr>
                <w:color w:val="000000"/>
                <w:sz w:val="20"/>
                <w:szCs w:val="20"/>
              </w:rPr>
              <w:t>56,82</w:t>
            </w:r>
          </w:p>
        </w:tc>
        <w:tc>
          <w:tcPr>
            <w:tcW w:w="990" w:type="dxa"/>
            <w:shd w:val="clear" w:color="auto" w:fill="auto"/>
            <w:hideMark/>
          </w:tcPr>
          <w:p w:rsidR="004C1F06" w:rsidRPr="007C51D6" w:rsidRDefault="004C1F06" w:rsidP="004C1F06">
            <w:pPr>
              <w:autoSpaceDE/>
              <w:autoSpaceDN/>
              <w:adjustRightInd/>
              <w:jc w:val="center"/>
              <w:rPr>
                <w:color w:val="000000"/>
                <w:sz w:val="20"/>
                <w:szCs w:val="20"/>
              </w:rPr>
            </w:pPr>
            <w:r w:rsidRPr="007C51D6">
              <w:rPr>
                <w:color w:val="000000"/>
                <w:sz w:val="20"/>
                <w:szCs w:val="20"/>
              </w:rPr>
              <w:t>57,60</w:t>
            </w:r>
          </w:p>
        </w:tc>
        <w:tc>
          <w:tcPr>
            <w:tcW w:w="850" w:type="dxa"/>
            <w:shd w:val="clear" w:color="auto" w:fill="auto"/>
            <w:hideMark/>
          </w:tcPr>
          <w:p w:rsidR="004C1F06" w:rsidRPr="007C51D6" w:rsidRDefault="004C1F06" w:rsidP="004C1F06">
            <w:pPr>
              <w:autoSpaceDE/>
              <w:autoSpaceDN/>
              <w:adjustRightInd/>
              <w:jc w:val="center"/>
              <w:rPr>
                <w:color w:val="000000"/>
                <w:sz w:val="20"/>
                <w:szCs w:val="20"/>
              </w:rPr>
            </w:pPr>
            <w:r w:rsidRPr="007C51D6">
              <w:rPr>
                <w:color w:val="000000"/>
                <w:sz w:val="20"/>
                <w:szCs w:val="20"/>
              </w:rPr>
              <w:t>58,25</w:t>
            </w:r>
          </w:p>
        </w:tc>
        <w:tc>
          <w:tcPr>
            <w:tcW w:w="1014" w:type="dxa"/>
            <w:shd w:val="clear" w:color="auto" w:fill="auto"/>
            <w:hideMark/>
          </w:tcPr>
          <w:p w:rsidR="004C1F06" w:rsidRPr="007C51D6" w:rsidRDefault="004C1F06" w:rsidP="004C1F06">
            <w:pPr>
              <w:autoSpaceDE/>
              <w:autoSpaceDN/>
              <w:adjustRightInd/>
              <w:jc w:val="center"/>
              <w:rPr>
                <w:color w:val="000000"/>
                <w:sz w:val="20"/>
                <w:szCs w:val="20"/>
              </w:rPr>
            </w:pPr>
            <w:r w:rsidRPr="007C51D6">
              <w:rPr>
                <w:color w:val="000000"/>
                <w:sz w:val="20"/>
                <w:szCs w:val="20"/>
              </w:rPr>
              <w:t>58,72</w:t>
            </w:r>
          </w:p>
        </w:tc>
        <w:tc>
          <w:tcPr>
            <w:tcW w:w="995" w:type="dxa"/>
            <w:shd w:val="clear" w:color="auto" w:fill="auto"/>
            <w:hideMark/>
          </w:tcPr>
          <w:p w:rsidR="004C1F06" w:rsidRPr="007C51D6" w:rsidRDefault="004C1F06" w:rsidP="004C1F06">
            <w:pPr>
              <w:autoSpaceDE/>
              <w:autoSpaceDN/>
              <w:adjustRightInd/>
              <w:jc w:val="center"/>
              <w:rPr>
                <w:color w:val="000000"/>
                <w:sz w:val="20"/>
                <w:szCs w:val="20"/>
              </w:rPr>
            </w:pPr>
            <w:r w:rsidRPr="007C51D6">
              <w:rPr>
                <w:color w:val="000000"/>
                <w:sz w:val="20"/>
                <w:szCs w:val="20"/>
              </w:rPr>
              <w:t>59,14</w:t>
            </w:r>
          </w:p>
        </w:tc>
        <w:tc>
          <w:tcPr>
            <w:tcW w:w="1001" w:type="dxa"/>
          </w:tcPr>
          <w:p w:rsidR="004C1F06" w:rsidRPr="007C51D6" w:rsidRDefault="004C1F06" w:rsidP="004C1F06">
            <w:pPr>
              <w:autoSpaceDE/>
              <w:autoSpaceDN/>
              <w:adjustRightInd/>
              <w:jc w:val="center"/>
              <w:rPr>
                <w:color w:val="000000"/>
                <w:sz w:val="20"/>
                <w:szCs w:val="20"/>
              </w:rPr>
            </w:pPr>
            <w:r w:rsidRPr="007C51D6">
              <w:rPr>
                <w:color w:val="000000"/>
                <w:sz w:val="20"/>
                <w:szCs w:val="20"/>
              </w:rPr>
              <w:t>59,31</w:t>
            </w:r>
          </w:p>
        </w:tc>
        <w:tc>
          <w:tcPr>
            <w:tcW w:w="1042" w:type="dxa"/>
          </w:tcPr>
          <w:p w:rsidR="004C1F06" w:rsidRPr="007C51D6" w:rsidRDefault="004C1F06" w:rsidP="004C1F06">
            <w:pPr>
              <w:autoSpaceDE/>
              <w:autoSpaceDN/>
              <w:adjustRightInd/>
              <w:jc w:val="center"/>
              <w:rPr>
                <w:color w:val="000000"/>
                <w:sz w:val="20"/>
                <w:szCs w:val="20"/>
              </w:rPr>
            </w:pPr>
            <w:r w:rsidRPr="007C51D6">
              <w:rPr>
                <w:color w:val="000000"/>
                <w:sz w:val="20"/>
                <w:szCs w:val="20"/>
              </w:rPr>
              <w:t>59,60</w:t>
            </w:r>
          </w:p>
        </w:tc>
        <w:tc>
          <w:tcPr>
            <w:tcW w:w="1057" w:type="dxa"/>
          </w:tcPr>
          <w:p w:rsidR="004C1F06" w:rsidRPr="007C51D6" w:rsidRDefault="004C1F06" w:rsidP="004C1F06">
            <w:pPr>
              <w:autoSpaceDE/>
              <w:autoSpaceDN/>
              <w:adjustRightInd/>
              <w:jc w:val="center"/>
              <w:rPr>
                <w:color w:val="000000"/>
                <w:sz w:val="20"/>
                <w:szCs w:val="20"/>
              </w:rPr>
            </w:pPr>
            <w:r w:rsidRPr="007C51D6">
              <w:rPr>
                <w:color w:val="000000"/>
                <w:sz w:val="20"/>
                <w:szCs w:val="20"/>
              </w:rPr>
              <w:t>60,10</w:t>
            </w:r>
          </w:p>
        </w:tc>
        <w:tc>
          <w:tcPr>
            <w:tcW w:w="1142" w:type="dxa"/>
          </w:tcPr>
          <w:p w:rsidR="004C1F06" w:rsidRPr="007C51D6" w:rsidRDefault="004C1F06" w:rsidP="004C1F06">
            <w:pPr>
              <w:autoSpaceDE/>
              <w:autoSpaceDN/>
              <w:adjustRightInd/>
              <w:jc w:val="center"/>
              <w:rPr>
                <w:color w:val="000000"/>
                <w:sz w:val="20"/>
                <w:szCs w:val="20"/>
              </w:rPr>
            </w:pPr>
            <w:r w:rsidRPr="007C51D6">
              <w:rPr>
                <w:color w:val="000000"/>
                <w:sz w:val="20"/>
                <w:szCs w:val="20"/>
              </w:rPr>
              <w:t>60,40</w:t>
            </w:r>
          </w:p>
        </w:tc>
        <w:tc>
          <w:tcPr>
            <w:tcW w:w="1709" w:type="dxa"/>
            <w:vAlign w:val="center"/>
          </w:tcPr>
          <w:p w:rsidR="004C1F06" w:rsidRPr="007C51D6" w:rsidRDefault="004C1F06" w:rsidP="004C1F06">
            <w:pPr>
              <w:widowControl/>
              <w:autoSpaceDE/>
              <w:autoSpaceDN/>
              <w:adjustRightInd/>
              <w:jc w:val="center"/>
              <w:rPr>
                <w:color w:val="000000"/>
                <w:sz w:val="20"/>
                <w:szCs w:val="20"/>
              </w:rPr>
            </w:pPr>
            <w:r w:rsidRPr="007C51D6">
              <w:rPr>
                <w:color w:val="000000"/>
                <w:sz w:val="20"/>
                <w:szCs w:val="20"/>
              </w:rPr>
              <w:t>55.24</w:t>
            </w:r>
          </w:p>
        </w:tc>
      </w:tr>
      <w:tr w:rsidR="004C1F06" w:rsidRPr="007C51D6" w:rsidTr="004C1F06">
        <w:trPr>
          <w:gridAfter w:val="1"/>
          <w:wAfter w:w="21" w:type="dxa"/>
          <w:trHeight w:val="20"/>
        </w:trPr>
        <w:tc>
          <w:tcPr>
            <w:tcW w:w="4237" w:type="dxa"/>
            <w:shd w:val="clear" w:color="auto" w:fill="auto"/>
            <w:hideMark/>
          </w:tcPr>
          <w:p w:rsidR="004C1F06" w:rsidRPr="007C51D6" w:rsidRDefault="004C1F06" w:rsidP="004C1F06">
            <w:pPr>
              <w:autoSpaceDE/>
              <w:autoSpaceDN/>
              <w:adjustRightInd/>
              <w:jc w:val="both"/>
              <w:rPr>
                <w:color w:val="000000"/>
                <w:sz w:val="20"/>
                <w:szCs w:val="20"/>
              </w:rPr>
            </w:pPr>
            <w:r w:rsidRPr="007C51D6">
              <w:rPr>
                <w:color w:val="000000"/>
                <w:sz w:val="20"/>
                <w:szCs w:val="20"/>
              </w:rPr>
              <w:t>тела матки</w:t>
            </w:r>
          </w:p>
        </w:tc>
        <w:tc>
          <w:tcPr>
            <w:tcW w:w="1132" w:type="dxa"/>
            <w:shd w:val="clear" w:color="auto" w:fill="auto"/>
            <w:hideMark/>
          </w:tcPr>
          <w:p w:rsidR="004C1F06" w:rsidRPr="007C51D6" w:rsidRDefault="004C1F06" w:rsidP="004C1F06">
            <w:pPr>
              <w:autoSpaceDE/>
              <w:autoSpaceDN/>
              <w:adjustRightInd/>
              <w:jc w:val="center"/>
              <w:rPr>
                <w:color w:val="000000"/>
                <w:sz w:val="20"/>
                <w:szCs w:val="20"/>
              </w:rPr>
            </w:pPr>
            <w:r w:rsidRPr="007C51D6">
              <w:rPr>
                <w:color w:val="000000"/>
                <w:sz w:val="20"/>
                <w:szCs w:val="20"/>
              </w:rPr>
              <w:t>63,72</w:t>
            </w:r>
          </w:p>
        </w:tc>
        <w:tc>
          <w:tcPr>
            <w:tcW w:w="990" w:type="dxa"/>
            <w:shd w:val="clear" w:color="auto" w:fill="auto"/>
            <w:hideMark/>
          </w:tcPr>
          <w:p w:rsidR="004C1F06" w:rsidRPr="007C51D6" w:rsidRDefault="004C1F06" w:rsidP="004C1F06">
            <w:pPr>
              <w:autoSpaceDE/>
              <w:autoSpaceDN/>
              <w:adjustRightInd/>
              <w:jc w:val="center"/>
              <w:rPr>
                <w:color w:val="000000"/>
                <w:sz w:val="20"/>
                <w:szCs w:val="20"/>
              </w:rPr>
            </w:pPr>
            <w:r w:rsidRPr="007C51D6">
              <w:rPr>
                <w:color w:val="000000"/>
                <w:sz w:val="20"/>
                <w:szCs w:val="20"/>
              </w:rPr>
              <w:t>64,42</w:t>
            </w:r>
          </w:p>
        </w:tc>
        <w:tc>
          <w:tcPr>
            <w:tcW w:w="850" w:type="dxa"/>
            <w:shd w:val="clear" w:color="auto" w:fill="auto"/>
            <w:hideMark/>
          </w:tcPr>
          <w:p w:rsidR="004C1F06" w:rsidRPr="007C51D6" w:rsidRDefault="004C1F06" w:rsidP="004C1F06">
            <w:pPr>
              <w:autoSpaceDE/>
              <w:autoSpaceDN/>
              <w:adjustRightInd/>
              <w:jc w:val="center"/>
              <w:rPr>
                <w:color w:val="000000"/>
                <w:sz w:val="20"/>
                <w:szCs w:val="20"/>
              </w:rPr>
            </w:pPr>
            <w:r w:rsidRPr="007C51D6">
              <w:rPr>
                <w:color w:val="000000"/>
                <w:sz w:val="20"/>
                <w:szCs w:val="20"/>
              </w:rPr>
              <w:t>64,62</w:t>
            </w:r>
          </w:p>
        </w:tc>
        <w:tc>
          <w:tcPr>
            <w:tcW w:w="1014" w:type="dxa"/>
            <w:shd w:val="clear" w:color="auto" w:fill="auto"/>
            <w:hideMark/>
          </w:tcPr>
          <w:p w:rsidR="004C1F06" w:rsidRPr="007C51D6" w:rsidRDefault="004C1F06" w:rsidP="004C1F06">
            <w:pPr>
              <w:autoSpaceDE/>
              <w:autoSpaceDN/>
              <w:adjustRightInd/>
              <w:jc w:val="center"/>
              <w:rPr>
                <w:color w:val="000000"/>
                <w:sz w:val="20"/>
                <w:szCs w:val="20"/>
              </w:rPr>
            </w:pPr>
            <w:r w:rsidRPr="007C51D6">
              <w:rPr>
                <w:color w:val="000000"/>
                <w:sz w:val="20"/>
                <w:szCs w:val="20"/>
              </w:rPr>
              <w:t>66,52</w:t>
            </w:r>
          </w:p>
        </w:tc>
        <w:tc>
          <w:tcPr>
            <w:tcW w:w="995" w:type="dxa"/>
            <w:shd w:val="clear" w:color="auto" w:fill="auto"/>
            <w:hideMark/>
          </w:tcPr>
          <w:p w:rsidR="004C1F06" w:rsidRPr="007C51D6" w:rsidRDefault="004C1F06" w:rsidP="004C1F06">
            <w:pPr>
              <w:autoSpaceDE/>
              <w:autoSpaceDN/>
              <w:adjustRightInd/>
              <w:jc w:val="center"/>
              <w:rPr>
                <w:color w:val="000000"/>
                <w:sz w:val="20"/>
                <w:szCs w:val="20"/>
              </w:rPr>
            </w:pPr>
            <w:r w:rsidRPr="007C51D6">
              <w:rPr>
                <w:color w:val="000000"/>
                <w:sz w:val="20"/>
                <w:szCs w:val="20"/>
              </w:rPr>
              <w:t>66,13</w:t>
            </w:r>
          </w:p>
        </w:tc>
        <w:tc>
          <w:tcPr>
            <w:tcW w:w="1001" w:type="dxa"/>
          </w:tcPr>
          <w:p w:rsidR="004C1F06" w:rsidRPr="007C51D6" w:rsidRDefault="004C1F06" w:rsidP="004C1F06">
            <w:pPr>
              <w:jc w:val="center"/>
              <w:rPr>
                <w:color w:val="000000"/>
                <w:sz w:val="20"/>
                <w:szCs w:val="20"/>
              </w:rPr>
            </w:pPr>
            <w:r w:rsidRPr="007C51D6">
              <w:rPr>
                <w:color w:val="000000"/>
                <w:sz w:val="20"/>
                <w:szCs w:val="20"/>
              </w:rPr>
              <w:t>65,90</w:t>
            </w:r>
          </w:p>
        </w:tc>
        <w:tc>
          <w:tcPr>
            <w:tcW w:w="1042" w:type="dxa"/>
          </w:tcPr>
          <w:p w:rsidR="004C1F06" w:rsidRPr="007C51D6" w:rsidRDefault="004C1F06" w:rsidP="004C1F06">
            <w:pPr>
              <w:jc w:val="center"/>
              <w:rPr>
                <w:color w:val="000000"/>
                <w:sz w:val="20"/>
                <w:szCs w:val="20"/>
              </w:rPr>
            </w:pPr>
            <w:r w:rsidRPr="007C51D6">
              <w:rPr>
                <w:color w:val="000000"/>
                <w:sz w:val="20"/>
                <w:szCs w:val="20"/>
              </w:rPr>
              <w:t>66,31</w:t>
            </w:r>
          </w:p>
        </w:tc>
        <w:tc>
          <w:tcPr>
            <w:tcW w:w="1057" w:type="dxa"/>
          </w:tcPr>
          <w:p w:rsidR="004C1F06" w:rsidRPr="007C51D6" w:rsidRDefault="004C1F06" w:rsidP="004C1F06">
            <w:pPr>
              <w:jc w:val="center"/>
              <w:rPr>
                <w:color w:val="000000"/>
                <w:sz w:val="20"/>
                <w:szCs w:val="20"/>
              </w:rPr>
            </w:pPr>
            <w:r w:rsidRPr="007C51D6">
              <w:rPr>
                <w:color w:val="000000"/>
                <w:sz w:val="20"/>
                <w:szCs w:val="20"/>
              </w:rPr>
              <w:t>66,80</w:t>
            </w:r>
          </w:p>
        </w:tc>
        <w:tc>
          <w:tcPr>
            <w:tcW w:w="1142" w:type="dxa"/>
            <w:vAlign w:val="center"/>
          </w:tcPr>
          <w:p w:rsidR="004C1F06" w:rsidRPr="007C51D6" w:rsidRDefault="004C1F06" w:rsidP="004C1F06">
            <w:pPr>
              <w:jc w:val="center"/>
              <w:rPr>
                <w:color w:val="000000"/>
                <w:sz w:val="20"/>
                <w:szCs w:val="20"/>
              </w:rPr>
            </w:pPr>
            <w:r w:rsidRPr="007C51D6">
              <w:rPr>
                <w:color w:val="000000"/>
                <w:sz w:val="20"/>
                <w:szCs w:val="20"/>
              </w:rPr>
              <w:t>66,85</w:t>
            </w:r>
          </w:p>
        </w:tc>
        <w:tc>
          <w:tcPr>
            <w:tcW w:w="1709" w:type="dxa"/>
            <w:vAlign w:val="center"/>
          </w:tcPr>
          <w:p w:rsidR="004C1F06" w:rsidRPr="007C51D6" w:rsidRDefault="004C1F06" w:rsidP="004C1F06">
            <w:pPr>
              <w:jc w:val="center"/>
              <w:rPr>
                <w:color w:val="000000"/>
                <w:sz w:val="20"/>
                <w:szCs w:val="20"/>
              </w:rPr>
            </w:pPr>
            <w:r w:rsidRPr="007C51D6">
              <w:rPr>
                <w:color w:val="000000"/>
                <w:sz w:val="20"/>
                <w:szCs w:val="20"/>
              </w:rPr>
              <w:t>64.17</w:t>
            </w:r>
          </w:p>
        </w:tc>
      </w:tr>
      <w:tr w:rsidR="004C1F06" w:rsidRPr="007C51D6" w:rsidTr="004C1F06">
        <w:trPr>
          <w:gridAfter w:val="1"/>
          <w:wAfter w:w="21" w:type="dxa"/>
          <w:trHeight w:val="20"/>
        </w:trPr>
        <w:tc>
          <w:tcPr>
            <w:tcW w:w="4237" w:type="dxa"/>
            <w:shd w:val="clear" w:color="auto" w:fill="auto"/>
            <w:hideMark/>
          </w:tcPr>
          <w:p w:rsidR="004C1F06" w:rsidRPr="007C51D6" w:rsidRDefault="004C1F06" w:rsidP="004C1F06">
            <w:pPr>
              <w:autoSpaceDE/>
              <w:autoSpaceDN/>
              <w:adjustRightInd/>
              <w:jc w:val="both"/>
              <w:rPr>
                <w:color w:val="000000"/>
                <w:sz w:val="20"/>
                <w:szCs w:val="20"/>
              </w:rPr>
            </w:pPr>
            <w:r w:rsidRPr="007C51D6">
              <w:rPr>
                <w:color w:val="000000"/>
                <w:sz w:val="20"/>
                <w:szCs w:val="20"/>
              </w:rPr>
              <w:t>молочной железы</w:t>
            </w:r>
          </w:p>
        </w:tc>
        <w:tc>
          <w:tcPr>
            <w:tcW w:w="1132" w:type="dxa"/>
            <w:shd w:val="clear" w:color="auto" w:fill="auto"/>
            <w:hideMark/>
          </w:tcPr>
          <w:p w:rsidR="004C1F06" w:rsidRPr="007C51D6" w:rsidRDefault="004C1F06" w:rsidP="004C1F06">
            <w:pPr>
              <w:autoSpaceDE/>
              <w:autoSpaceDN/>
              <w:adjustRightInd/>
              <w:jc w:val="center"/>
              <w:rPr>
                <w:color w:val="000000"/>
                <w:sz w:val="20"/>
                <w:szCs w:val="20"/>
              </w:rPr>
            </w:pPr>
            <w:r w:rsidRPr="007C51D6">
              <w:rPr>
                <w:color w:val="000000"/>
                <w:sz w:val="20"/>
                <w:szCs w:val="20"/>
              </w:rPr>
              <w:t>61,36</w:t>
            </w:r>
          </w:p>
        </w:tc>
        <w:tc>
          <w:tcPr>
            <w:tcW w:w="990" w:type="dxa"/>
            <w:shd w:val="clear" w:color="auto" w:fill="auto"/>
            <w:hideMark/>
          </w:tcPr>
          <w:p w:rsidR="004C1F06" w:rsidRPr="007C51D6" w:rsidRDefault="004C1F06" w:rsidP="004C1F06">
            <w:pPr>
              <w:autoSpaceDE/>
              <w:autoSpaceDN/>
              <w:adjustRightInd/>
              <w:jc w:val="center"/>
              <w:rPr>
                <w:color w:val="000000"/>
                <w:sz w:val="20"/>
                <w:szCs w:val="20"/>
              </w:rPr>
            </w:pPr>
            <w:r w:rsidRPr="007C51D6">
              <w:rPr>
                <w:color w:val="000000"/>
                <w:sz w:val="20"/>
                <w:szCs w:val="20"/>
              </w:rPr>
              <w:t>61,89</w:t>
            </w:r>
          </w:p>
        </w:tc>
        <w:tc>
          <w:tcPr>
            <w:tcW w:w="850" w:type="dxa"/>
            <w:shd w:val="clear" w:color="auto" w:fill="auto"/>
            <w:hideMark/>
          </w:tcPr>
          <w:p w:rsidR="004C1F06" w:rsidRPr="007C51D6" w:rsidRDefault="004C1F06" w:rsidP="004C1F06">
            <w:pPr>
              <w:autoSpaceDE/>
              <w:autoSpaceDN/>
              <w:adjustRightInd/>
              <w:jc w:val="center"/>
              <w:rPr>
                <w:color w:val="000000"/>
                <w:sz w:val="20"/>
                <w:szCs w:val="20"/>
              </w:rPr>
            </w:pPr>
            <w:r w:rsidRPr="007C51D6">
              <w:rPr>
                <w:color w:val="000000"/>
                <w:sz w:val="20"/>
                <w:szCs w:val="20"/>
              </w:rPr>
              <w:t>63,08</w:t>
            </w:r>
          </w:p>
        </w:tc>
        <w:tc>
          <w:tcPr>
            <w:tcW w:w="1014" w:type="dxa"/>
            <w:shd w:val="clear" w:color="auto" w:fill="auto"/>
            <w:hideMark/>
          </w:tcPr>
          <w:p w:rsidR="004C1F06" w:rsidRPr="007C51D6" w:rsidRDefault="004C1F06" w:rsidP="004C1F06">
            <w:pPr>
              <w:autoSpaceDE/>
              <w:autoSpaceDN/>
              <w:adjustRightInd/>
              <w:jc w:val="center"/>
              <w:rPr>
                <w:color w:val="000000"/>
                <w:sz w:val="20"/>
                <w:szCs w:val="20"/>
              </w:rPr>
            </w:pPr>
            <w:r w:rsidRPr="007C51D6">
              <w:rPr>
                <w:color w:val="000000"/>
                <w:sz w:val="20"/>
                <w:szCs w:val="20"/>
              </w:rPr>
              <w:t>64,02</w:t>
            </w:r>
          </w:p>
        </w:tc>
        <w:tc>
          <w:tcPr>
            <w:tcW w:w="995" w:type="dxa"/>
            <w:shd w:val="clear" w:color="auto" w:fill="auto"/>
            <w:hideMark/>
          </w:tcPr>
          <w:p w:rsidR="004C1F06" w:rsidRPr="007C51D6" w:rsidRDefault="004C1F06" w:rsidP="004C1F06">
            <w:pPr>
              <w:autoSpaceDE/>
              <w:autoSpaceDN/>
              <w:adjustRightInd/>
              <w:jc w:val="center"/>
              <w:rPr>
                <w:color w:val="000000"/>
                <w:sz w:val="20"/>
                <w:szCs w:val="20"/>
              </w:rPr>
            </w:pPr>
            <w:r w:rsidRPr="007C51D6">
              <w:rPr>
                <w:color w:val="000000"/>
                <w:sz w:val="20"/>
                <w:szCs w:val="20"/>
              </w:rPr>
              <w:t>64,46</w:t>
            </w:r>
          </w:p>
        </w:tc>
        <w:tc>
          <w:tcPr>
            <w:tcW w:w="1001" w:type="dxa"/>
          </w:tcPr>
          <w:p w:rsidR="004C1F06" w:rsidRPr="007C51D6" w:rsidRDefault="004C1F06" w:rsidP="004C1F06">
            <w:pPr>
              <w:jc w:val="center"/>
              <w:rPr>
                <w:color w:val="000000"/>
                <w:sz w:val="20"/>
                <w:szCs w:val="20"/>
              </w:rPr>
            </w:pPr>
            <w:r w:rsidRPr="007C51D6">
              <w:rPr>
                <w:color w:val="000000"/>
                <w:sz w:val="20"/>
                <w:szCs w:val="20"/>
              </w:rPr>
              <w:t>63,70</w:t>
            </w:r>
          </w:p>
        </w:tc>
        <w:tc>
          <w:tcPr>
            <w:tcW w:w="1042" w:type="dxa"/>
          </w:tcPr>
          <w:p w:rsidR="004C1F06" w:rsidRPr="007C51D6" w:rsidRDefault="004C1F06" w:rsidP="004C1F06">
            <w:pPr>
              <w:jc w:val="center"/>
              <w:rPr>
                <w:color w:val="000000"/>
                <w:sz w:val="20"/>
                <w:szCs w:val="20"/>
              </w:rPr>
            </w:pPr>
            <w:r w:rsidRPr="007C51D6">
              <w:rPr>
                <w:color w:val="000000"/>
                <w:sz w:val="20"/>
                <w:szCs w:val="20"/>
              </w:rPr>
              <w:t>63,41</w:t>
            </w:r>
          </w:p>
        </w:tc>
        <w:tc>
          <w:tcPr>
            <w:tcW w:w="1057" w:type="dxa"/>
          </w:tcPr>
          <w:p w:rsidR="004C1F06" w:rsidRPr="007C51D6" w:rsidRDefault="004C1F06" w:rsidP="004C1F06">
            <w:pPr>
              <w:jc w:val="center"/>
              <w:rPr>
                <w:color w:val="000000"/>
                <w:sz w:val="20"/>
                <w:szCs w:val="20"/>
              </w:rPr>
            </w:pPr>
            <w:r w:rsidRPr="007C51D6">
              <w:rPr>
                <w:color w:val="000000"/>
                <w:sz w:val="20"/>
                <w:szCs w:val="20"/>
              </w:rPr>
              <w:t>63,80</w:t>
            </w:r>
          </w:p>
        </w:tc>
        <w:tc>
          <w:tcPr>
            <w:tcW w:w="1142" w:type="dxa"/>
            <w:vAlign w:val="center"/>
          </w:tcPr>
          <w:p w:rsidR="004C1F06" w:rsidRPr="007C51D6" w:rsidRDefault="004C1F06" w:rsidP="004C1F06">
            <w:pPr>
              <w:jc w:val="center"/>
              <w:rPr>
                <w:color w:val="000000"/>
                <w:sz w:val="20"/>
                <w:szCs w:val="20"/>
              </w:rPr>
            </w:pPr>
            <w:r w:rsidRPr="007C51D6">
              <w:rPr>
                <w:color w:val="000000"/>
                <w:sz w:val="20"/>
                <w:szCs w:val="20"/>
              </w:rPr>
              <w:t>64,41</w:t>
            </w:r>
          </w:p>
        </w:tc>
        <w:tc>
          <w:tcPr>
            <w:tcW w:w="1709" w:type="dxa"/>
            <w:vAlign w:val="center"/>
          </w:tcPr>
          <w:p w:rsidR="004C1F06" w:rsidRPr="007C51D6" w:rsidRDefault="004C1F06" w:rsidP="004C1F06">
            <w:pPr>
              <w:jc w:val="center"/>
              <w:rPr>
                <w:color w:val="000000"/>
                <w:sz w:val="20"/>
                <w:szCs w:val="20"/>
              </w:rPr>
            </w:pPr>
            <w:r w:rsidRPr="007C51D6">
              <w:rPr>
                <w:color w:val="000000"/>
                <w:sz w:val="20"/>
                <w:szCs w:val="20"/>
              </w:rPr>
              <w:t>60.78</w:t>
            </w:r>
          </w:p>
        </w:tc>
      </w:tr>
      <w:tr w:rsidR="004C1F06" w:rsidRPr="007C51D6" w:rsidTr="004C1F06">
        <w:trPr>
          <w:gridAfter w:val="1"/>
          <w:wAfter w:w="21" w:type="dxa"/>
          <w:trHeight w:val="20"/>
        </w:trPr>
        <w:tc>
          <w:tcPr>
            <w:tcW w:w="4237" w:type="dxa"/>
            <w:shd w:val="clear" w:color="auto" w:fill="auto"/>
            <w:hideMark/>
          </w:tcPr>
          <w:p w:rsidR="004C1F06" w:rsidRPr="007C51D6" w:rsidRDefault="004C1F06" w:rsidP="004C1F06">
            <w:pPr>
              <w:autoSpaceDE/>
              <w:autoSpaceDN/>
              <w:adjustRightInd/>
              <w:jc w:val="both"/>
              <w:rPr>
                <w:color w:val="000000"/>
                <w:sz w:val="20"/>
                <w:szCs w:val="20"/>
              </w:rPr>
            </w:pPr>
            <w:r w:rsidRPr="007C51D6">
              <w:rPr>
                <w:color w:val="000000"/>
                <w:sz w:val="20"/>
                <w:szCs w:val="20"/>
              </w:rPr>
              <w:t>злокачественные лимфомы</w:t>
            </w:r>
          </w:p>
        </w:tc>
        <w:tc>
          <w:tcPr>
            <w:tcW w:w="1132" w:type="dxa"/>
            <w:shd w:val="clear" w:color="auto" w:fill="auto"/>
            <w:hideMark/>
          </w:tcPr>
          <w:p w:rsidR="004C1F06" w:rsidRPr="007C51D6" w:rsidRDefault="004C1F06" w:rsidP="004C1F06">
            <w:pPr>
              <w:autoSpaceDE/>
              <w:autoSpaceDN/>
              <w:adjustRightInd/>
              <w:jc w:val="center"/>
              <w:rPr>
                <w:color w:val="000000"/>
                <w:sz w:val="20"/>
                <w:szCs w:val="20"/>
              </w:rPr>
            </w:pPr>
            <w:r w:rsidRPr="007C51D6">
              <w:rPr>
                <w:color w:val="000000"/>
                <w:sz w:val="20"/>
                <w:szCs w:val="20"/>
              </w:rPr>
              <w:t>62,07</w:t>
            </w:r>
          </w:p>
        </w:tc>
        <w:tc>
          <w:tcPr>
            <w:tcW w:w="990" w:type="dxa"/>
            <w:shd w:val="clear" w:color="auto" w:fill="auto"/>
            <w:hideMark/>
          </w:tcPr>
          <w:p w:rsidR="004C1F06" w:rsidRPr="007C51D6" w:rsidRDefault="004C1F06" w:rsidP="004C1F06">
            <w:pPr>
              <w:autoSpaceDE/>
              <w:autoSpaceDN/>
              <w:adjustRightInd/>
              <w:jc w:val="center"/>
              <w:rPr>
                <w:color w:val="000000"/>
                <w:sz w:val="20"/>
                <w:szCs w:val="20"/>
              </w:rPr>
            </w:pPr>
            <w:r w:rsidRPr="007C51D6">
              <w:rPr>
                <w:color w:val="000000"/>
                <w:sz w:val="20"/>
                <w:szCs w:val="20"/>
              </w:rPr>
              <w:t>63,58</w:t>
            </w:r>
          </w:p>
        </w:tc>
        <w:tc>
          <w:tcPr>
            <w:tcW w:w="850" w:type="dxa"/>
            <w:shd w:val="clear" w:color="auto" w:fill="auto"/>
            <w:hideMark/>
          </w:tcPr>
          <w:p w:rsidR="004C1F06" w:rsidRPr="007C51D6" w:rsidRDefault="004C1F06" w:rsidP="004C1F06">
            <w:pPr>
              <w:autoSpaceDE/>
              <w:autoSpaceDN/>
              <w:adjustRightInd/>
              <w:jc w:val="center"/>
              <w:rPr>
                <w:color w:val="000000"/>
                <w:sz w:val="20"/>
                <w:szCs w:val="20"/>
              </w:rPr>
            </w:pPr>
            <w:r w:rsidRPr="007C51D6">
              <w:rPr>
                <w:color w:val="000000"/>
                <w:sz w:val="20"/>
                <w:szCs w:val="20"/>
              </w:rPr>
              <w:t>65,39</w:t>
            </w:r>
          </w:p>
        </w:tc>
        <w:tc>
          <w:tcPr>
            <w:tcW w:w="1014" w:type="dxa"/>
            <w:shd w:val="clear" w:color="auto" w:fill="auto"/>
            <w:hideMark/>
          </w:tcPr>
          <w:p w:rsidR="004C1F06" w:rsidRPr="007C51D6" w:rsidRDefault="004C1F06" w:rsidP="004C1F06">
            <w:pPr>
              <w:autoSpaceDE/>
              <w:autoSpaceDN/>
              <w:adjustRightInd/>
              <w:jc w:val="center"/>
              <w:rPr>
                <w:color w:val="000000"/>
                <w:sz w:val="20"/>
                <w:szCs w:val="20"/>
              </w:rPr>
            </w:pPr>
            <w:r w:rsidRPr="007C51D6">
              <w:rPr>
                <w:color w:val="000000"/>
                <w:sz w:val="20"/>
                <w:szCs w:val="20"/>
              </w:rPr>
              <w:t>64,05</w:t>
            </w:r>
          </w:p>
        </w:tc>
        <w:tc>
          <w:tcPr>
            <w:tcW w:w="995" w:type="dxa"/>
            <w:shd w:val="clear" w:color="auto" w:fill="auto"/>
            <w:hideMark/>
          </w:tcPr>
          <w:p w:rsidR="004C1F06" w:rsidRPr="007C51D6" w:rsidRDefault="004C1F06" w:rsidP="004C1F06">
            <w:pPr>
              <w:autoSpaceDE/>
              <w:autoSpaceDN/>
              <w:adjustRightInd/>
              <w:jc w:val="center"/>
              <w:rPr>
                <w:color w:val="000000"/>
                <w:sz w:val="20"/>
                <w:szCs w:val="20"/>
              </w:rPr>
            </w:pPr>
            <w:r w:rsidRPr="007C51D6">
              <w:rPr>
                <w:color w:val="000000"/>
                <w:sz w:val="20"/>
                <w:szCs w:val="20"/>
              </w:rPr>
              <w:t>62,85</w:t>
            </w:r>
          </w:p>
        </w:tc>
        <w:tc>
          <w:tcPr>
            <w:tcW w:w="1001" w:type="dxa"/>
          </w:tcPr>
          <w:p w:rsidR="004C1F06" w:rsidRPr="007C51D6" w:rsidRDefault="004C1F06" w:rsidP="004C1F06">
            <w:pPr>
              <w:jc w:val="center"/>
              <w:rPr>
                <w:color w:val="000000"/>
                <w:sz w:val="20"/>
                <w:szCs w:val="20"/>
              </w:rPr>
            </w:pPr>
            <w:r w:rsidRPr="007C51D6">
              <w:rPr>
                <w:color w:val="000000"/>
                <w:sz w:val="20"/>
                <w:szCs w:val="20"/>
              </w:rPr>
              <w:t>64,06</w:t>
            </w:r>
          </w:p>
        </w:tc>
        <w:tc>
          <w:tcPr>
            <w:tcW w:w="1042" w:type="dxa"/>
          </w:tcPr>
          <w:p w:rsidR="004C1F06" w:rsidRPr="007C51D6" w:rsidRDefault="004C1F06" w:rsidP="004C1F06">
            <w:pPr>
              <w:jc w:val="center"/>
              <w:rPr>
                <w:color w:val="000000"/>
                <w:sz w:val="20"/>
                <w:szCs w:val="20"/>
              </w:rPr>
            </w:pPr>
            <w:r w:rsidRPr="007C51D6">
              <w:rPr>
                <w:color w:val="000000"/>
                <w:sz w:val="20"/>
                <w:szCs w:val="20"/>
              </w:rPr>
              <w:t>64,87</w:t>
            </w:r>
          </w:p>
        </w:tc>
        <w:tc>
          <w:tcPr>
            <w:tcW w:w="1057" w:type="dxa"/>
          </w:tcPr>
          <w:p w:rsidR="004C1F06" w:rsidRPr="007C51D6" w:rsidRDefault="004C1F06" w:rsidP="004C1F06">
            <w:pPr>
              <w:jc w:val="center"/>
              <w:rPr>
                <w:color w:val="000000"/>
                <w:sz w:val="20"/>
                <w:szCs w:val="20"/>
              </w:rPr>
            </w:pPr>
            <w:r w:rsidRPr="007C51D6">
              <w:rPr>
                <w:color w:val="000000"/>
                <w:sz w:val="20"/>
                <w:szCs w:val="20"/>
              </w:rPr>
              <w:t>66,10</w:t>
            </w:r>
          </w:p>
        </w:tc>
        <w:tc>
          <w:tcPr>
            <w:tcW w:w="1142" w:type="dxa"/>
            <w:vAlign w:val="center"/>
          </w:tcPr>
          <w:p w:rsidR="004C1F06" w:rsidRPr="007C51D6" w:rsidRDefault="004C1F06" w:rsidP="004C1F06">
            <w:pPr>
              <w:jc w:val="center"/>
              <w:rPr>
                <w:color w:val="000000"/>
                <w:sz w:val="20"/>
                <w:szCs w:val="20"/>
              </w:rPr>
            </w:pPr>
            <w:r w:rsidRPr="007C51D6">
              <w:rPr>
                <w:color w:val="000000"/>
                <w:sz w:val="20"/>
                <w:szCs w:val="20"/>
              </w:rPr>
              <w:t>65,59</w:t>
            </w:r>
          </w:p>
        </w:tc>
        <w:tc>
          <w:tcPr>
            <w:tcW w:w="1709" w:type="dxa"/>
            <w:vAlign w:val="center"/>
          </w:tcPr>
          <w:p w:rsidR="004C1F06" w:rsidRPr="007C51D6" w:rsidRDefault="004C1F06" w:rsidP="004C1F06">
            <w:pPr>
              <w:jc w:val="center"/>
              <w:rPr>
                <w:color w:val="000000"/>
                <w:sz w:val="20"/>
                <w:szCs w:val="20"/>
              </w:rPr>
            </w:pPr>
            <w:r w:rsidRPr="007C51D6">
              <w:rPr>
                <w:color w:val="000000"/>
                <w:sz w:val="20"/>
                <w:szCs w:val="20"/>
              </w:rPr>
              <w:t>61.77</w:t>
            </w:r>
          </w:p>
        </w:tc>
      </w:tr>
      <w:tr w:rsidR="004C1F06" w:rsidRPr="007C51D6" w:rsidTr="004C1F06">
        <w:trPr>
          <w:gridAfter w:val="1"/>
          <w:wAfter w:w="21" w:type="dxa"/>
          <w:trHeight w:val="20"/>
        </w:trPr>
        <w:tc>
          <w:tcPr>
            <w:tcW w:w="4237" w:type="dxa"/>
            <w:shd w:val="clear" w:color="auto" w:fill="auto"/>
          </w:tcPr>
          <w:p w:rsidR="004C1F06" w:rsidRPr="007C51D6" w:rsidRDefault="004C1F06" w:rsidP="004C1F06">
            <w:pPr>
              <w:autoSpaceDE/>
              <w:autoSpaceDN/>
              <w:adjustRightInd/>
              <w:jc w:val="center"/>
              <w:rPr>
                <w:color w:val="000000"/>
                <w:sz w:val="20"/>
                <w:szCs w:val="20"/>
              </w:rPr>
            </w:pPr>
            <w:r w:rsidRPr="007C51D6">
              <w:rPr>
                <w:color w:val="000000"/>
                <w:sz w:val="20"/>
                <w:szCs w:val="20"/>
              </w:rPr>
              <w:t>1</w:t>
            </w:r>
          </w:p>
        </w:tc>
        <w:tc>
          <w:tcPr>
            <w:tcW w:w="1132" w:type="dxa"/>
            <w:shd w:val="clear" w:color="auto" w:fill="auto"/>
          </w:tcPr>
          <w:p w:rsidR="004C1F06" w:rsidRPr="007C51D6" w:rsidRDefault="004C1F06" w:rsidP="004C1F06">
            <w:pPr>
              <w:autoSpaceDE/>
              <w:autoSpaceDN/>
              <w:adjustRightInd/>
              <w:jc w:val="center"/>
              <w:rPr>
                <w:bCs/>
                <w:color w:val="000000"/>
                <w:sz w:val="20"/>
                <w:szCs w:val="20"/>
              </w:rPr>
            </w:pPr>
            <w:r w:rsidRPr="007C51D6">
              <w:rPr>
                <w:bCs/>
                <w:color w:val="000000"/>
                <w:sz w:val="20"/>
                <w:szCs w:val="20"/>
              </w:rPr>
              <w:t>2</w:t>
            </w:r>
          </w:p>
        </w:tc>
        <w:tc>
          <w:tcPr>
            <w:tcW w:w="990" w:type="dxa"/>
            <w:shd w:val="clear" w:color="auto" w:fill="auto"/>
          </w:tcPr>
          <w:p w:rsidR="004C1F06" w:rsidRPr="007C51D6" w:rsidRDefault="004C1F06" w:rsidP="004C1F06">
            <w:pPr>
              <w:autoSpaceDE/>
              <w:autoSpaceDN/>
              <w:adjustRightInd/>
              <w:jc w:val="center"/>
              <w:rPr>
                <w:bCs/>
                <w:color w:val="000000"/>
                <w:sz w:val="20"/>
                <w:szCs w:val="20"/>
              </w:rPr>
            </w:pPr>
            <w:r w:rsidRPr="007C51D6">
              <w:rPr>
                <w:bCs/>
                <w:color w:val="000000"/>
                <w:sz w:val="20"/>
                <w:szCs w:val="20"/>
              </w:rPr>
              <w:t>3</w:t>
            </w:r>
          </w:p>
        </w:tc>
        <w:tc>
          <w:tcPr>
            <w:tcW w:w="850" w:type="dxa"/>
            <w:shd w:val="clear" w:color="auto" w:fill="auto"/>
          </w:tcPr>
          <w:p w:rsidR="004C1F06" w:rsidRPr="007C51D6" w:rsidRDefault="004C1F06" w:rsidP="004C1F06">
            <w:pPr>
              <w:autoSpaceDE/>
              <w:autoSpaceDN/>
              <w:adjustRightInd/>
              <w:jc w:val="center"/>
              <w:rPr>
                <w:bCs/>
                <w:color w:val="000000"/>
                <w:sz w:val="20"/>
                <w:szCs w:val="20"/>
              </w:rPr>
            </w:pPr>
            <w:r w:rsidRPr="007C51D6">
              <w:rPr>
                <w:bCs/>
                <w:color w:val="000000"/>
                <w:sz w:val="20"/>
                <w:szCs w:val="20"/>
              </w:rPr>
              <w:t>4</w:t>
            </w:r>
          </w:p>
        </w:tc>
        <w:tc>
          <w:tcPr>
            <w:tcW w:w="1014" w:type="dxa"/>
            <w:shd w:val="clear" w:color="auto" w:fill="auto"/>
          </w:tcPr>
          <w:p w:rsidR="004C1F06" w:rsidRPr="007C51D6" w:rsidRDefault="004C1F06" w:rsidP="004C1F06">
            <w:pPr>
              <w:autoSpaceDE/>
              <w:autoSpaceDN/>
              <w:adjustRightInd/>
              <w:jc w:val="center"/>
              <w:rPr>
                <w:rFonts w:eastAsia="Arial"/>
                <w:sz w:val="20"/>
                <w:szCs w:val="20"/>
              </w:rPr>
            </w:pPr>
            <w:r w:rsidRPr="007C51D6">
              <w:rPr>
                <w:rFonts w:eastAsia="Arial"/>
                <w:sz w:val="20"/>
                <w:szCs w:val="20"/>
              </w:rPr>
              <w:t>5</w:t>
            </w:r>
          </w:p>
        </w:tc>
        <w:tc>
          <w:tcPr>
            <w:tcW w:w="995" w:type="dxa"/>
            <w:shd w:val="clear" w:color="auto" w:fill="auto"/>
          </w:tcPr>
          <w:p w:rsidR="004C1F06" w:rsidRPr="007C51D6" w:rsidRDefault="004C1F06" w:rsidP="004C1F06">
            <w:pPr>
              <w:autoSpaceDE/>
              <w:autoSpaceDN/>
              <w:adjustRightInd/>
              <w:jc w:val="center"/>
              <w:rPr>
                <w:rFonts w:eastAsia="Arial"/>
                <w:sz w:val="20"/>
                <w:szCs w:val="20"/>
              </w:rPr>
            </w:pPr>
            <w:r w:rsidRPr="007C51D6">
              <w:rPr>
                <w:rFonts w:eastAsia="Arial"/>
                <w:sz w:val="20"/>
                <w:szCs w:val="20"/>
              </w:rPr>
              <w:t>6</w:t>
            </w:r>
          </w:p>
        </w:tc>
        <w:tc>
          <w:tcPr>
            <w:tcW w:w="1001" w:type="dxa"/>
          </w:tcPr>
          <w:p w:rsidR="004C1F06" w:rsidRPr="007C51D6" w:rsidRDefault="004C1F06" w:rsidP="004C1F06">
            <w:pPr>
              <w:autoSpaceDE/>
              <w:autoSpaceDN/>
              <w:adjustRightInd/>
              <w:jc w:val="center"/>
              <w:rPr>
                <w:rFonts w:eastAsia="Arial"/>
                <w:sz w:val="20"/>
                <w:szCs w:val="20"/>
              </w:rPr>
            </w:pPr>
            <w:r w:rsidRPr="007C51D6">
              <w:rPr>
                <w:rFonts w:eastAsia="Arial"/>
                <w:sz w:val="20"/>
                <w:szCs w:val="20"/>
              </w:rPr>
              <w:t>7</w:t>
            </w:r>
          </w:p>
        </w:tc>
        <w:tc>
          <w:tcPr>
            <w:tcW w:w="1042" w:type="dxa"/>
          </w:tcPr>
          <w:p w:rsidR="004C1F06" w:rsidRPr="007C51D6" w:rsidRDefault="004C1F06" w:rsidP="004C1F06">
            <w:pPr>
              <w:autoSpaceDE/>
              <w:autoSpaceDN/>
              <w:adjustRightInd/>
              <w:jc w:val="center"/>
              <w:rPr>
                <w:rFonts w:eastAsia="Arial"/>
                <w:sz w:val="20"/>
                <w:szCs w:val="20"/>
              </w:rPr>
            </w:pPr>
            <w:r w:rsidRPr="007C51D6">
              <w:rPr>
                <w:rFonts w:eastAsia="Arial"/>
                <w:sz w:val="20"/>
                <w:szCs w:val="20"/>
              </w:rPr>
              <w:t>8</w:t>
            </w:r>
          </w:p>
        </w:tc>
        <w:tc>
          <w:tcPr>
            <w:tcW w:w="1057" w:type="dxa"/>
          </w:tcPr>
          <w:p w:rsidR="004C1F06" w:rsidRPr="007C51D6" w:rsidRDefault="004C1F06" w:rsidP="004C1F06">
            <w:pPr>
              <w:autoSpaceDE/>
              <w:autoSpaceDN/>
              <w:adjustRightInd/>
              <w:jc w:val="center"/>
              <w:rPr>
                <w:rFonts w:eastAsia="Arial"/>
                <w:sz w:val="20"/>
                <w:szCs w:val="20"/>
              </w:rPr>
            </w:pPr>
            <w:r w:rsidRPr="007C51D6">
              <w:rPr>
                <w:rFonts w:eastAsia="Arial"/>
                <w:sz w:val="20"/>
                <w:szCs w:val="20"/>
              </w:rPr>
              <w:t>9</w:t>
            </w:r>
          </w:p>
        </w:tc>
        <w:tc>
          <w:tcPr>
            <w:tcW w:w="1142" w:type="dxa"/>
          </w:tcPr>
          <w:p w:rsidR="004C1F06" w:rsidRPr="007C51D6" w:rsidRDefault="004C1F06" w:rsidP="004C1F06">
            <w:pPr>
              <w:autoSpaceDE/>
              <w:autoSpaceDN/>
              <w:adjustRightInd/>
              <w:jc w:val="center"/>
              <w:rPr>
                <w:rFonts w:eastAsia="Arial"/>
                <w:sz w:val="20"/>
                <w:szCs w:val="20"/>
              </w:rPr>
            </w:pPr>
            <w:r w:rsidRPr="007C51D6">
              <w:rPr>
                <w:rFonts w:eastAsia="Arial"/>
                <w:sz w:val="20"/>
                <w:szCs w:val="20"/>
              </w:rPr>
              <w:t>10</w:t>
            </w:r>
          </w:p>
        </w:tc>
        <w:tc>
          <w:tcPr>
            <w:tcW w:w="1709" w:type="dxa"/>
          </w:tcPr>
          <w:p w:rsidR="004C1F06" w:rsidRPr="007C51D6" w:rsidRDefault="004C1F06" w:rsidP="004C1F06">
            <w:pPr>
              <w:autoSpaceDE/>
              <w:autoSpaceDN/>
              <w:adjustRightInd/>
              <w:jc w:val="center"/>
              <w:rPr>
                <w:rFonts w:eastAsia="Arial"/>
                <w:sz w:val="20"/>
                <w:szCs w:val="20"/>
              </w:rPr>
            </w:pPr>
            <w:r w:rsidRPr="007C51D6">
              <w:rPr>
                <w:rFonts w:eastAsia="Arial"/>
                <w:sz w:val="20"/>
                <w:szCs w:val="20"/>
              </w:rPr>
              <w:t>11</w:t>
            </w:r>
          </w:p>
        </w:tc>
      </w:tr>
      <w:tr w:rsidR="004C1F06" w:rsidRPr="007C51D6" w:rsidTr="004C1F06">
        <w:trPr>
          <w:gridAfter w:val="1"/>
          <w:wAfter w:w="21" w:type="dxa"/>
          <w:trHeight w:val="20"/>
        </w:trPr>
        <w:tc>
          <w:tcPr>
            <w:tcW w:w="4237" w:type="dxa"/>
            <w:shd w:val="clear" w:color="auto" w:fill="auto"/>
            <w:hideMark/>
          </w:tcPr>
          <w:p w:rsidR="004C1F06" w:rsidRPr="007C51D6" w:rsidRDefault="004C1F06" w:rsidP="004C1F06">
            <w:pPr>
              <w:autoSpaceDE/>
              <w:autoSpaceDN/>
              <w:adjustRightInd/>
              <w:jc w:val="both"/>
              <w:rPr>
                <w:color w:val="000000"/>
                <w:sz w:val="20"/>
                <w:szCs w:val="20"/>
              </w:rPr>
            </w:pPr>
            <w:r w:rsidRPr="007C51D6">
              <w:rPr>
                <w:color w:val="000000"/>
                <w:sz w:val="20"/>
                <w:szCs w:val="20"/>
              </w:rPr>
              <w:t>желудка</w:t>
            </w:r>
          </w:p>
        </w:tc>
        <w:tc>
          <w:tcPr>
            <w:tcW w:w="1132" w:type="dxa"/>
            <w:shd w:val="clear" w:color="auto" w:fill="auto"/>
            <w:hideMark/>
          </w:tcPr>
          <w:p w:rsidR="004C1F06" w:rsidRPr="007C51D6" w:rsidRDefault="004C1F06" w:rsidP="004C1F06">
            <w:pPr>
              <w:autoSpaceDE/>
              <w:autoSpaceDN/>
              <w:adjustRightInd/>
              <w:jc w:val="center"/>
              <w:rPr>
                <w:color w:val="000000"/>
                <w:sz w:val="20"/>
                <w:szCs w:val="20"/>
              </w:rPr>
            </w:pPr>
            <w:r w:rsidRPr="007C51D6">
              <w:rPr>
                <w:color w:val="000000"/>
                <w:sz w:val="20"/>
                <w:szCs w:val="20"/>
              </w:rPr>
              <w:t>61,98</w:t>
            </w:r>
          </w:p>
        </w:tc>
        <w:tc>
          <w:tcPr>
            <w:tcW w:w="990" w:type="dxa"/>
            <w:shd w:val="clear" w:color="auto" w:fill="auto"/>
            <w:hideMark/>
          </w:tcPr>
          <w:p w:rsidR="004C1F06" w:rsidRPr="007C51D6" w:rsidRDefault="004C1F06" w:rsidP="004C1F06">
            <w:pPr>
              <w:autoSpaceDE/>
              <w:autoSpaceDN/>
              <w:adjustRightInd/>
              <w:jc w:val="center"/>
              <w:rPr>
                <w:color w:val="000000"/>
                <w:sz w:val="20"/>
                <w:szCs w:val="20"/>
              </w:rPr>
            </w:pPr>
            <w:r w:rsidRPr="007C51D6">
              <w:rPr>
                <w:color w:val="000000"/>
                <w:sz w:val="20"/>
                <w:szCs w:val="20"/>
              </w:rPr>
              <w:t>63,46</w:t>
            </w:r>
          </w:p>
        </w:tc>
        <w:tc>
          <w:tcPr>
            <w:tcW w:w="850" w:type="dxa"/>
            <w:shd w:val="clear" w:color="auto" w:fill="auto"/>
            <w:hideMark/>
          </w:tcPr>
          <w:p w:rsidR="004C1F06" w:rsidRPr="007C51D6" w:rsidRDefault="004C1F06" w:rsidP="004C1F06">
            <w:pPr>
              <w:autoSpaceDE/>
              <w:autoSpaceDN/>
              <w:adjustRightInd/>
              <w:jc w:val="center"/>
              <w:rPr>
                <w:color w:val="000000"/>
                <w:sz w:val="20"/>
                <w:szCs w:val="20"/>
              </w:rPr>
            </w:pPr>
            <w:r w:rsidRPr="007C51D6">
              <w:rPr>
                <w:color w:val="000000"/>
                <w:sz w:val="20"/>
                <w:szCs w:val="20"/>
              </w:rPr>
              <w:t>62,63</w:t>
            </w:r>
          </w:p>
        </w:tc>
        <w:tc>
          <w:tcPr>
            <w:tcW w:w="1014" w:type="dxa"/>
            <w:shd w:val="clear" w:color="auto" w:fill="auto"/>
            <w:hideMark/>
          </w:tcPr>
          <w:p w:rsidR="004C1F06" w:rsidRPr="007C51D6" w:rsidRDefault="004C1F06" w:rsidP="004C1F06">
            <w:pPr>
              <w:autoSpaceDE/>
              <w:autoSpaceDN/>
              <w:adjustRightInd/>
              <w:jc w:val="center"/>
              <w:rPr>
                <w:color w:val="000000"/>
                <w:sz w:val="20"/>
                <w:szCs w:val="20"/>
              </w:rPr>
            </w:pPr>
            <w:r w:rsidRPr="007C51D6">
              <w:rPr>
                <w:color w:val="000000"/>
                <w:sz w:val="20"/>
                <w:szCs w:val="20"/>
              </w:rPr>
              <w:t>62,70</w:t>
            </w:r>
          </w:p>
        </w:tc>
        <w:tc>
          <w:tcPr>
            <w:tcW w:w="995" w:type="dxa"/>
            <w:shd w:val="clear" w:color="auto" w:fill="auto"/>
            <w:hideMark/>
          </w:tcPr>
          <w:p w:rsidR="004C1F06" w:rsidRPr="007C51D6" w:rsidRDefault="004C1F06" w:rsidP="004C1F06">
            <w:pPr>
              <w:autoSpaceDE/>
              <w:autoSpaceDN/>
              <w:adjustRightInd/>
              <w:jc w:val="center"/>
              <w:rPr>
                <w:color w:val="000000"/>
                <w:sz w:val="20"/>
                <w:szCs w:val="20"/>
              </w:rPr>
            </w:pPr>
            <w:r w:rsidRPr="007C51D6">
              <w:rPr>
                <w:color w:val="000000"/>
                <w:sz w:val="20"/>
                <w:szCs w:val="20"/>
              </w:rPr>
              <w:t>62,54</w:t>
            </w:r>
          </w:p>
        </w:tc>
        <w:tc>
          <w:tcPr>
            <w:tcW w:w="1001" w:type="dxa"/>
          </w:tcPr>
          <w:p w:rsidR="004C1F06" w:rsidRPr="007C51D6" w:rsidRDefault="004C1F06" w:rsidP="004C1F06">
            <w:pPr>
              <w:jc w:val="center"/>
              <w:rPr>
                <w:color w:val="000000"/>
                <w:sz w:val="20"/>
                <w:szCs w:val="20"/>
              </w:rPr>
            </w:pPr>
            <w:r w:rsidRPr="007C51D6">
              <w:rPr>
                <w:color w:val="000000"/>
                <w:sz w:val="20"/>
                <w:szCs w:val="20"/>
              </w:rPr>
              <w:t>62,33</w:t>
            </w:r>
          </w:p>
        </w:tc>
        <w:tc>
          <w:tcPr>
            <w:tcW w:w="1042" w:type="dxa"/>
          </w:tcPr>
          <w:p w:rsidR="004C1F06" w:rsidRPr="007C51D6" w:rsidRDefault="004C1F06" w:rsidP="004C1F06">
            <w:pPr>
              <w:jc w:val="center"/>
              <w:rPr>
                <w:color w:val="000000"/>
                <w:sz w:val="20"/>
                <w:szCs w:val="20"/>
              </w:rPr>
            </w:pPr>
            <w:r w:rsidRPr="007C51D6">
              <w:rPr>
                <w:color w:val="000000"/>
                <w:sz w:val="20"/>
                <w:szCs w:val="20"/>
              </w:rPr>
              <w:t>61,68</w:t>
            </w:r>
          </w:p>
        </w:tc>
        <w:tc>
          <w:tcPr>
            <w:tcW w:w="1057" w:type="dxa"/>
          </w:tcPr>
          <w:p w:rsidR="004C1F06" w:rsidRPr="007C51D6" w:rsidRDefault="004C1F06" w:rsidP="004C1F06">
            <w:pPr>
              <w:jc w:val="center"/>
              <w:rPr>
                <w:color w:val="000000"/>
                <w:sz w:val="20"/>
                <w:szCs w:val="20"/>
              </w:rPr>
            </w:pPr>
            <w:r w:rsidRPr="007C51D6">
              <w:rPr>
                <w:color w:val="000000"/>
                <w:sz w:val="20"/>
                <w:szCs w:val="20"/>
              </w:rPr>
              <w:t>61,20</w:t>
            </w:r>
          </w:p>
        </w:tc>
        <w:tc>
          <w:tcPr>
            <w:tcW w:w="1142" w:type="dxa"/>
            <w:vAlign w:val="center"/>
          </w:tcPr>
          <w:p w:rsidR="004C1F06" w:rsidRPr="007C51D6" w:rsidRDefault="004C1F06" w:rsidP="004C1F06">
            <w:pPr>
              <w:jc w:val="center"/>
              <w:rPr>
                <w:color w:val="000000"/>
                <w:sz w:val="20"/>
                <w:szCs w:val="20"/>
              </w:rPr>
            </w:pPr>
            <w:r w:rsidRPr="007C51D6">
              <w:rPr>
                <w:color w:val="000000"/>
                <w:sz w:val="20"/>
                <w:szCs w:val="20"/>
              </w:rPr>
              <w:t>62,01</w:t>
            </w:r>
          </w:p>
        </w:tc>
        <w:tc>
          <w:tcPr>
            <w:tcW w:w="1709" w:type="dxa"/>
            <w:vAlign w:val="center"/>
          </w:tcPr>
          <w:p w:rsidR="004C1F06" w:rsidRPr="007C51D6" w:rsidRDefault="004C1F06" w:rsidP="004C1F06">
            <w:pPr>
              <w:jc w:val="center"/>
              <w:rPr>
                <w:color w:val="000000"/>
                <w:sz w:val="20"/>
                <w:szCs w:val="20"/>
              </w:rPr>
            </w:pPr>
            <w:r w:rsidRPr="007C51D6">
              <w:rPr>
                <w:color w:val="000000"/>
                <w:sz w:val="20"/>
                <w:szCs w:val="20"/>
              </w:rPr>
              <w:t>55.27</w:t>
            </w:r>
          </w:p>
        </w:tc>
      </w:tr>
      <w:tr w:rsidR="004C1F06" w:rsidRPr="007C51D6" w:rsidTr="004C1F06">
        <w:trPr>
          <w:gridAfter w:val="1"/>
          <w:wAfter w:w="21" w:type="dxa"/>
          <w:trHeight w:val="20"/>
        </w:trPr>
        <w:tc>
          <w:tcPr>
            <w:tcW w:w="4237" w:type="dxa"/>
            <w:shd w:val="clear" w:color="auto" w:fill="auto"/>
            <w:hideMark/>
          </w:tcPr>
          <w:p w:rsidR="004C1F06" w:rsidRPr="007C51D6" w:rsidRDefault="004C1F06" w:rsidP="004C1F06">
            <w:pPr>
              <w:autoSpaceDE/>
              <w:autoSpaceDN/>
              <w:adjustRightInd/>
              <w:jc w:val="both"/>
              <w:rPr>
                <w:color w:val="000000"/>
                <w:sz w:val="20"/>
                <w:szCs w:val="20"/>
              </w:rPr>
            </w:pPr>
            <w:r w:rsidRPr="007C51D6">
              <w:rPr>
                <w:color w:val="000000"/>
                <w:sz w:val="20"/>
                <w:szCs w:val="20"/>
              </w:rPr>
              <w:t>почки</w:t>
            </w:r>
          </w:p>
        </w:tc>
        <w:tc>
          <w:tcPr>
            <w:tcW w:w="1132" w:type="dxa"/>
            <w:shd w:val="clear" w:color="auto" w:fill="auto"/>
            <w:hideMark/>
          </w:tcPr>
          <w:p w:rsidR="004C1F06" w:rsidRPr="007C51D6" w:rsidRDefault="004C1F06" w:rsidP="004C1F06">
            <w:pPr>
              <w:autoSpaceDE/>
              <w:autoSpaceDN/>
              <w:adjustRightInd/>
              <w:jc w:val="center"/>
              <w:rPr>
                <w:color w:val="000000"/>
                <w:sz w:val="20"/>
                <w:szCs w:val="20"/>
              </w:rPr>
            </w:pPr>
            <w:r w:rsidRPr="007C51D6">
              <w:rPr>
                <w:color w:val="000000"/>
                <w:sz w:val="20"/>
                <w:szCs w:val="20"/>
              </w:rPr>
              <w:t>56,78</w:t>
            </w:r>
          </w:p>
        </w:tc>
        <w:tc>
          <w:tcPr>
            <w:tcW w:w="990" w:type="dxa"/>
            <w:shd w:val="clear" w:color="auto" w:fill="auto"/>
            <w:hideMark/>
          </w:tcPr>
          <w:p w:rsidR="004C1F06" w:rsidRPr="007C51D6" w:rsidRDefault="004C1F06" w:rsidP="004C1F06">
            <w:pPr>
              <w:autoSpaceDE/>
              <w:autoSpaceDN/>
              <w:adjustRightInd/>
              <w:jc w:val="center"/>
              <w:rPr>
                <w:color w:val="000000"/>
                <w:sz w:val="20"/>
                <w:szCs w:val="20"/>
              </w:rPr>
            </w:pPr>
            <w:r w:rsidRPr="007C51D6">
              <w:rPr>
                <w:color w:val="000000"/>
                <w:sz w:val="20"/>
                <w:szCs w:val="20"/>
              </w:rPr>
              <w:t>57,76</w:t>
            </w:r>
          </w:p>
        </w:tc>
        <w:tc>
          <w:tcPr>
            <w:tcW w:w="850" w:type="dxa"/>
            <w:shd w:val="clear" w:color="auto" w:fill="auto"/>
            <w:hideMark/>
          </w:tcPr>
          <w:p w:rsidR="004C1F06" w:rsidRPr="007C51D6" w:rsidRDefault="004C1F06" w:rsidP="004C1F06">
            <w:pPr>
              <w:autoSpaceDE/>
              <w:autoSpaceDN/>
              <w:adjustRightInd/>
              <w:jc w:val="center"/>
              <w:rPr>
                <w:color w:val="000000"/>
                <w:sz w:val="20"/>
                <w:szCs w:val="20"/>
              </w:rPr>
            </w:pPr>
            <w:r w:rsidRPr="007C51D6">
              <w:rPr>
                <w:color w:val="000000"/>
                <w:sz w:val="20"/>
                <w:szCs w:val="20"/>
              </w:rPr>
              <w:t>58,30</w:t>
            </w:r>
          </w:p>
        </w:tc>
        <w:tc>
          <w:tcPr>
            <w:tcW w:w="1014" w:type="dxa"/>
            <w:shd w:val="clear" w:color="auto" w:fill="auto"/>
            <w:hideMark/>
          </w:tcPr>
          <w:p w:rsidR="004C1F06" w:rsidRPr="007C51D6" w:rsidRDefault="004C1F06" w:rsidP="004C1F06">
            <w:pPr>
              <w:autoSpaceDE/>
              <w:autoSpaceDN/>
              <w:adjustRightInd/>
              <w:jc w:val="center"/>
              <w:rPr>
                <w:color w:val="000000"/>
                <w:sz w:val="20"/>
                <w:szCs w:val="20"/>
              </w:rPr>
            </w:pPr>
            <w:r w:rsidRPr="007C51D6">
              <w:rPr>
                <w:color w:val="000000"/>
                <w:sz w:val="20"/>
                <w:szCs w:val="20"/>
              </w:rPr>
              <w:t>59,70</w:t>
            </w:r>
          </w:p>
        </w:tc>
        <w:tc>
          <w:tcPr>
            <w:tcW w:w="995" w:type="dxa"/>
            <w:shd w:val="clear" w:color="auto" w:fill="auto"/>
            <w:hideMark/>
          </w:tcPr>
          <w:p w:rsidR="004C1F06" w:rsidRPr="007C51D6" w:rsidRDefault="004C1F06" w:rsidP="004C1F06">
            <w:pPr>
              <w:autoSpaceDE/>
              <w:autoSpaceDN/>
              <w:adjustRightInd/>
              <w:jc w:val="center"/>
              <w:rPr>
                <w:color w:val="000000"/>
                <w:sz w:val="20"/>
                <w:szCs w:val="20"/>
              </w:rPr>
            </w:pPr>
            <w:r w:rsidRPr="007C51D6">
              <w:rPr>
                <w:color w:val="000000"/>
                <w:sz w:val="20"/>
                <w:szCs w:val="20"/>
              </w:rPr>
              <w:t>60,53</w:t>
            </w:r>
          </w:p>
        </w:tc>
        <w:tc>
          <w:tcPr>
            <w:tcW w:w="1001" w:type="dxa"/>
          </w:tcPr>
          <w:p w:rsidR="004C1F06" w:rsidRPr="007C51D6" w:rsidRDefault="004C1F06" w:rsidP="004C1F06">
            <w:pPr>
              <w:jc w:val="center"/>
              <w:rPr>
                <w:color w:val="000000"/>
                <w:sz w:val="20"/>
                <w:szCs w:val="20"/>
              </w:rPr>
            </w:pPr>
            <w:r w:rsidRPr="007C51D6">
              <w:rPr>
                <w:color w:val="000000"/>
                <w:sz w:val="20"/>
                <w:szCs w:val="20"/>
              </w:rPr>
              <w:t>62,13</w:t>
            </w:r>
          </w:p>
        </w:tc>
        <w:tc>
          <w:tcPr>
            <w:tcW w:w="1042" w:type="dxa"/>
          </w:tcPr>
          <w:p w:rsidR="004C1F06" w:rsidRPr="007C51D6" w:rsidRDefault="004C1F06" w:rsidP="004C1F06">
            <w:pPr>
              <w:jc w:val="center"/>
              <w:rPr>
                <w:color w:val="000000"/>
                <w:sz w:val="20"/>
                <w:szCs w:val="20"/>
              </w:rPr>
            </w:pPr>
            <w:r w:rsidRPr="007C51D6">
              <w:rPr>
                <w:color w:val="000000"/>
                <w:sz w:val="20"/>
                <w:szCs w:val="20"/>
              </w:rPr>
              <w:t>62,91</w:t>
            </w:r>
          </w:p>
        </w:tc>
        <w:tc>
          <w:tcPr>
            <w:tcW w:w="1057" w:type="dxa"/>
          </w:tcPr>
          <w:p w:rsidR="004C1F06" w:rsidRPr="007C51D6" w:rsidRDefault="004C1F06" w:rsidP="004C1F06">
            <w:pPr>
              <w:jc w:val="center"/>
              <w:rPr>
                <w:color w:val="000000"/>
                <w:sz w:val="20"/>
                <w:szCs w:val="20"/>
              </w:rPr>
            </w:pPr>
            <w:r w:rsidRPr="007C51D6">
              <w:rPr>
                <w:color w:val="000000"/>
                <w:sz w:val="20"/>
                <w:szCs w:val="20"/>
              </w:rPr>
              <w:t>64,90</w:t>
            </w:r>
          </w:p>
        </w:tc>
        <w:tc>
          <w:tcPr>
            <w:tcW w:w="1142" w:type="dxa"/>
            <w:vAlign w:val="center"/>
          </w:tcPr>
          <w:p w:rsidR="004C1F06" w:rsidRPr="007C51D6" w:rsidRDefault="004C1F06" w:rsidP="004C1F06">
            <w:pPr>
              <w:jc w:val="center"/>
              <w:rPr>
                <w:color w:val="000000"/>
                <w:sz w:val="20"/>
                <w:szCs w:val="20"/>
              </w:rPr>
            </w:pPr>
            <w:r w:rsidRPr="007C51D6">
              <w:rPr>
                <w:color w:val="000000"/>
                <w:sz w:val="20"/>
                <w:szCs w:val="20"/>
              </w:rPr>
              <w:t>65,53</w:t>
            </w:r>
          </w:p>
        </w:tc>
        <w:tc>
          <w:tcPr>
            <w:tcW w:w="1709" w:type="dxa"/>
            <w:vAlign w:val="center"/>
          </w:tcPr>
          <w:p w:rsidR="004C1F06" w:rsidRPr="007C51D6" w:rsidRDefault="004C1F06" w:rsidP="004C1F06">
            <w:pPr>
              <w:jc w:val="center"/>
              <w:rPr>
                <w:color w:val="000000"/>
                <w:sz w:val="20"/>
                <w:szCs w:val="20"/>
              </w:rPr>
            </w:pPr>
            <w:r w:rsidRPr="007C51D6">
              <w:rPr>
                <w:color w:val="000000"/>
                <w:sz w:val="20"/>
                <w:szCs w:val="20"/>
              </w:rPr>
              <w:t>62.22</w:t>
            </w:r>
          </w:p>
        </w:tc>
      </w:tr>
      <w:tr w:rsidR="004C1F06" w:rsidRPr="007C51D6" w:rsidTr="004C1F06">
        <w:trPr>
          <w:gridAfter w:val="1"/>
          <w:wAfter w:w="21" w:type="dxa"/>
          <w:trHeight w:val="20"/>
        </w:trPr>
        <w:tc>
          <w:tcPr>
            <w:tcW w:w="4237" w:type="dxa"/>
            <w:shd w:val="clear" w:color="auto" w:fill="auto"/>
            <w:hideMark/>
          </w:tcPr>
          <w:p w:rsidR="004C1F06" w:rsidRPr="007C51D6" w:rsidRDefault="004C1F06" w:rsidP="004C1F06">
            <w:pPr>
              <w:autoSpaceDE/>
              <w:autoSpaceDN/>
              <w:adjustRightInd/>
              <w:jc w:val="both"/>
              <w:rPr>
                <w:color w:val="000000"/>
                <w:sz w:val="20"/>
                <w:szCs w:val="20"/>
              </w:rPr>
            </w:pPr>
            <w:r w:rsidRPr="007C51D6">
              <w:rPr>
                <w:color w:val="000000"/>
                <w:sz w:val="20"/>
                <w:szCs w:val="20"/>
              </w:rPr>
              <w:t>ободочной кишки</w:t>
            </w:r>
          </w:p>
        </w:tc>
        <w:tc>
          <w:tcPr>
            <w:tcW w:w="1132" w:type="dxa"/>
            <w:shd w:val="clear" w:color="auto" w:fill="auto"/>
            <w:hideMark/>
          </w:tcPr>
          <w:p w:rsidR="004C1F06" w:rsidRPr="007C51D6" w:rsidRDefault="004C1F06" w:rsidP="004C1F06">
            <w:pPr>
              <w:autoSpaceDE/>
              <w:autoSpaceDN/>
              <w:adjustRightInd/>
              <w:jc w:val="center"/>
              <w:rPr>
                <w:color w:val="000000"/>
                <w:sz w:val="20"/>
                <w:szCs w:val="20"/>
              </w:rPr>
            </w:pPr>
            <w:r w:rsidRPr="007C51D6">
              <w:rPr>
                <w:color w:val="000000"/>
                <w:sz w:val="20"/>
                <w:szCs w:val="20"/>
              </w:rPr>
              <w:t>54,20</w:t>
            </w:r>
          </w:p>
        </w:tc>
        <w:tc>
          <w:tcPr>
            <w:tcW w:w="990" w:type="dxa"/>
            <w:shd w:val="clear" w:color="auto" w:fill="auto"/>
            <w:hideMark/>
          </w:tcPr>
          <w:p w:rsidR="004C1F06" w:rsidRPr="007C51D6" w:rsidRDefault="004C1F06" w:rsidP="004C1F06">
            <w:pPr>
              <w:autoSpaceDE/>
              <w:autoSpaceDN/>
              <w:adjustRightInd/>
              <w:jc w:val="center"/>
              <w:rPr>
                <w:color w:val="000000"/>
                <w:sz w:val="20"/>
                <w:szCs w:val="20"/>
              </w:rPr>
            </w:pPr>
            <w:r w:rsidRPr="007C51D6">
              <w:rPr>
                <w:color w:val="000000"/>
                <w:sz w:val="20"/>
                <w:szCs w:val="20"/>
              </w:rPr>
              <w:t>54,35</w:t>
            </w:r>
          </w:p>
        </w:tc>
        <w:tc>
          <w:tcPr>
            <w:tcW w:w="850" w:type="dxa"/>
            <w:shd w:val="clear" w:color="auto" w:fill="auto"/>
            <w:hideMark/>
          </w:tcPr>
          <w:p w:rsidR="004C1F06" w:rsidRPr="007C51D6" w:rsidRDefault="004C1F06" w:rsidP="004C1F06">
            <w:pPr>
              <w:autoSpaceDE/>
              <w:autoSpaceDN/>
              <w:adjustRightInd/>
              <w:jc w:val="center"/>
              <w:rPr>
                <w:color w:val="000000"/>
                <w:sz w:val="20"/>
                <w:szCs w:val="20"/>
              </w:rPr>
            </w:pPr>
            <w:r w:rsidRPr="007C51D6">
              <w:rPr>
                <w:color w:val="000000"/>
                <w:sz w:val="20"/>
                <w:szCs w:val="20"/>
              </w:rPr>
              <w:t>54,42</w:t>
            </w:r>
          </w:p>
        </w:tc>
        <w:tc>
          <w:tcPr>
            <w:tcW w:w="1014" w:type="dxa"/>
            <w:shd w:val="clear" w:color="auto" w:fill="auto"/>
            <w:hideMark/>
          </w:tcPr>
          <w:p w:rsidR="004C1F06" w:rsidRPr="007C51D6" w:rsidRDefault="004C1F06" w:rsidP="004C1F06">
            <w:pPr>
              <w:autoSpaceDE/>
              <w:autoSpaceDN/>
              <w:adjustRightInd/>
              <w:jc w:val="center"/>
              <w:rPr>
                <w:color w:val="000000"/>
                <w:sz w:val="20"/>
                <w:szCs w:val="20"/>
              </w:rPr>
            </w:pPr>
            <w:r w:rsidRPr="007C51D6">
              <w:rPr>
                <w:color w:val="000000"/>
                <w:sz w:val="20"/>
                <w:szCs w:val="20"/>
              </w:rPr>
              <w:t>54,88</w:t>
            </w:r>
          </w:p>
        </w:tc>
        <w:tc>
          <w:tcPr>
            <w:tcW w:w="995" w:type="dxa"/>
            <w:shd w:val="clear" w:color="auto" w:fill="auto"/>
            <w:hideMark/>
          </w:tcPr>
          <w:p w:rsidR="004C1F06" w:rsidRPr="007C51D6" w:rsidRDefault="004C1F06" w:rsidP="004C1F06">
            <w:pPr>
              <w:autoSpaceDE/>
              <w:autoSpaceDN/>
              <w:adjustRightInd/>
              <w:jc w:val="center"/>
              <w:rPr>
                <w:color w:val="000000"/>
                <w:sz w:val="20"/>
                <w:szCs w:val="20"/>
              </w:rPr>
            </w:pPr>
            <w:r w:rsidRPr="007C51D6">
              <w:rPr>
                <w:color w:val="000000"/>
                <w:sz w:val="20"/>
                <w:szCs w:val="20"/>
              </w:rPr>
              <w:t>53,61</w:t>
            </w:r>
          </w:p>
        </w:tc>
        <w:tc>
          <w:tcPr>
            <w:tcW w:w="1001" w:type="dxa"/>
          </w:tcPr>
          <w:p w:rsidR="004C1F06" w:rsidRPr="007C51D6" w:rsidRDefault="004C1F06" w:rsidP="004C1F06">
            <w:pPr>
              <w:jc w:val="center"/>
              <w:rPr>
                <w:color w:val="000000"/>
                <w:sz w:val="20"/>
                <w:szCs w:val="20"/>
              </w:rPr>
            </w:pPr>
            <w:r w:rsidRPr="007C51D6">
              <w:rPr>
                <w:color w:val="000000"/>
                <w:sz w:val="20"/>
                <w:szCs w:val="20"/>
              </w:rPr>
              <w:t>52,52</w:t>
            </w:r>
          </w:p>
        </w:tc>
        <w:tc>
          <w:tcPr>
            <w:tcW w:w="1042" w:type="dxa"/>
          </w:tcPr>
          <w:p w:rsidR="004C1F06" w:rsidRPr="007C51D6" w:rsidRDefault="004C1F06" w:rsidP="004C1F06">
            <w:pPr>
              <w:jc w:val="center"/>
              <w:rPr>
                <w:color w:val="000000"/>
                <w:sz w:val="20"/>
                <w:szCs w:val="20"/>
              </w:rPr>
            </w:pPr>
            <w:r w:rsidRPr="007C51D6">
              <w:rPr>
                <w:color w:val="000000"/>
                <w:sz w:val="20"/>
                <w:szCs w:val="20"/>
              </w:rPr>
              <w:t>53,07</w:t>
            </w:r>
          </w:p>
        </w:tc>
        <w:tc>
          <w:tcPr>
            <w:tcW w:w="1057" w:type="dxa"/>
          </w:tcPr>
          <w:p w:rsidR="004C1F06" w:rsidRPr="007C51D6" w:rsidRDefault="004C1F06" w:rsidP="004C1F06">
            <w:pPr>
              <w:jc w:val="center"/>
              <w:rPr>
                <w:color w:val="000000"/>
                <w:sz w:val="20"/>
                <w:szCs w:val="20"/>
              </w:rPr>
            </w:pPr>
            <w:r w:rsidRPr="007C51D6">
              <w:rPr>
                <w:color w:val="000000"/>
                <w:sz w:val="20"/>
                <w:szCs w:val="20"/>
              </w:rPr>
              <w:t>52,80</w:t>
            </w:r>
          </w:p>
        </w:tc>
        <w:tc>
          <w:tcPr>
            <w:tcW w:w="1142" w:type="dxa"/>
            <w:vAlign w:val="center"/>
          </w:tcPr>
          <w:p w:rsidR="004C1F06" w:rsidRPr="007C51D6" w:rsidRDefault="004C1F06" w:rsidP="004C1F06">
            <w:pPr>
              <w:jc w:val="center"/>
              <w:rPr>
                <w:color w:val="000000"/>
                <w:sz w:val="20"/>
                <w:szCs w:val="20"/>
              </w:rPr>
            </w:pPr>
            <w:r w:rsidRPr="007C51D6">
              <w:rPr>
                <w:color w:val="000000"/>
                <w:sz w:val="20"/>
                <w:szCs w:val="20"/>
              </w:rPr>
              <w:t>53,55</w:t>
            </w:r>
          </w:p>
        </w:tc>
        <w:tc>
          <w:tcPr>
            <w:tcW w:w="1709" w:type="dxa"/>
            <w:vAlign w:val="center"/>
          </w:tcPr>
          <w:p w:rsidR="004C1F06" w:rsidRPr="007C51D6" w:rsidRDefault="004C1F06" w:rsidP="004C1F06">
            <w:pPr>
              <w:jc w:val="center"/>
              <w:rPr>
                <w:color w:val="000000"/>
                <w:sz w:val="20"/>
                <w:szCs w:val="20"/>
              </w:rPr>
            </w:pPr>
            <w:r w:rsidRPr="007C51D6">
              <w:rPr>
                <w:color w:val="000000"/>
                <w:sz w:val="20"/>
                <w:szCs w:val="20"/>
              </w:rPr>
              <w:t>47.79</w:t>
            </w:r>
          </w:p>
        </w:tc>
      </w:tr>
      <w:tr w:rsidR="004C1F06" w:rsidRPr="007C51D6" w:rsidTr="004C1F06">
        <w:trPr>
          <w:gridAfter w:val="1"/>
          <w:wAfter w:w="21" w:type="dxa"/>
          <w:trHeight w:val="20"/>
        </w:trPr>
        <w:tc>
          <w:tcPr>
            <w:tcW w:w="4237" w:type="dxa"/>
            <w:shd w:val="clear" w:color="auto" w:fill="auto"/>
            <w:hideMark/>
          </w:tcPr>
          <w:p w:rsidR="004C1F06" w:rsidRPr="007C51D6" w:rsidRDefault="004C1F06" w:rsidP="004C1F06">
            <w:pPr>
              <w:autoSpaceDE/>
              <w:autoSpaceDN/>
              <w:adjustRightInd/>
              <w:jc w:val="both"/>
              <w:rPr>
                <w:color w:val="000000"/>
                <w:sz w:val="20"/>
                <w:szCs w:val="20"/>
              </w:rPr>
            </w:pPr>
            <w:r w:rsidRPr="007C51D6">
              <w:rPr>
                <w:color w:val="000000"/>
                <w:sz w:val="20"/>
                <w:szCs w:val="20"/>
              </w:rPr>
              <w:t>прямой кишки, ректосигмоидного соединения, ануса</w:t>
            </w:r>
          </w:p>
        </w:tc>
        <w:tc>
          <w:tcPr>
            <w:tcW w:w="1132" w:type="dxa"/>
            <w:shd w:val="clear" w:color="auto" w:fill="auto"/>
            <w:hideMark/>
          </w:tcPr>
          <w:p w:rsidR="004C1F06" w:rsidRPr="007C51D6" w:rsidRDefault="004C1F06" w:rsidP="004C1F06">
            <w:pPr>
              <w:autoSpaceDE/>
              <w:autoSpaceDN/>
              <w:adjustRightInd/>
              <w:jc w:val="center"/>
              <w:rPr>
                <w:color w:val="000000"/>
                <w:sz w:val="20"/>
                <w:szCs w:val="20"/>
              </w:rPr>
            </w:pPr>
            <w:r w:rsidRPr="007C51D6">
              <w:rPr>
                <w:color w:val="000000"/>
                <w:sz w:val="20"/>
                <w:szCs w:val="20"/>
              </w:rPr>
              <w:t>55,11</w:t>
            </w:r>
          </w:p>
        </w:tc>
        <w:tc>
          <w:tcPr>
            <w:tcW w:w="990" w:type="dxa"/>
            <w:shd w:val="clear" w:color="auto" w:fill="auto"/>
            <w:hideMark/>
          </w:tcPr>
          <w:p w:rsidR="004C1F06" w:rsidRPr="007C51D6" w:rsidRDefault="004C1F06" w:rsidP="004C1F06">
            <w:pPr>
              <w:autoSpaceDE/>
              <w:autoSpaceDN/>
              <w:adjustRightInd/>
              <w:jc w:val="center"/>
              <w:rPr>
                <w:color w:val="000000"/>
                <w:sz w:val="20"/>
                <w:szCs w:val="20"/>
              </w:rPr>
            </w:pPr>
            <w:r w:rsidRPr="007C51D6">
              <w:rPr>
                <w:color w:val="000000"/>
                <w:sz w:val="20"/>
                <w:szCs w:val="20"/>
              </w:rPr>
              <w:t>54,91</w:t>
            </w:r>
          </w:p>
        </w:tc>
        <w:tc>
          <w:tcPr>
            <w:tcW w:w="850" w:type="dxa"/>
            <w:shd w:val="clear" w:color="auto" w:fill="auto"/>
            <w:hideMark/>
          </w:tcPr>
          <w:p w:rsidR="004C1F06" w:rsidRPr="007C51D6" w:rsidRDefault="004C1F06" w:rsidP="004C1F06">
            <w:pPr>
              <w:autoSpaceDE/>
              <w:autoSpaceDN/>
              <w:adjustRightInd/>
              <w:jc w:val="center"/>
              <w:rPr>
                <w:color w:val="000000"/>
                <w:sz w:val="20"/>
                <w:szCs w:val="20"/>
              </w:rPr>
            </w:pPr>
            <w:r w:rsidRPr="007C51D6">
              <w:rPr>
                <w:color w:val="000000"/>
                <w:sz w:val="20"/>
                <w:szCs w:val="20"/>
              </w:rPr>
              <w:t>54,45</w:t>
            </w:r>
          </w:p>
        </w:tc>
        <w:tc>
          <w:tcPr>
            <w:tcW w:w="1014" w:type="dxa"/>
            <w:shd w:val="clear" w:color="auto" w:fill="auto"/>
            <w:hideMark/>
          </w:tcPr>
          <w:p w:rsidR="004C1F06" w:rsidRPr="007C51D6" w:rsidRDefault="004C1F06" w:rsidP="004C1F06">
            <w:pPr>
              <w:autoSpaceDE/>
              <w:autoSpaceDN/>
              <w:adjustRightInd/>
              <w:jc w:val="center"/>
              <w:rPr>
                <w:color w:val="000000"/>
                <w:sz w:val="20"/>
                <w:szCs w:val="20"/>
              </w:rPr>
            </w:pPr>
            <w:r w:rsidRPr="007C51D6">
              <w:rPr>
                <w:color w:val="000000"/>
                <w:sz w:val="20"/>
                <w:szCs w:val="20"/>
              </w:rPr>
              <w:t>54,09</w:t>
            </w:r>
          </w:p>
        </w:tc>
        <w:tc>
          <w:tcPr>
            <w:tcW w:w="995" w:type="dxa"/>
            <w:shd w:val="clear" w:color="auto" w:fill="auto"/>
            <w:hideMark/>
          </w:tcPr>
          <w:p w:rsidR="004C1F06" w:rsidRPr="007C51D6" w:rsidRDefault="004C1F06" w:rsidP="004C1F06">
            <w:pPr>
              <w:autoSpaceDE/>
              <w:autoSpaceDN/>
              <w:adjustRightInd/>
              <w:jc w:val="center"/>
              <w:rPr>
                <w:color w:val="000000"/>
                <w:sz w:val="20"/>
                <w:szCs w:val="20"/>
              </w:rPr>
            </w:pPr>
            <w:r w:rsidRPr="007C51D6">
              <w:rPr>
                <w:color w:val="000000"/>
                <w:sz w:val="20"/>
                <w:szCs w:val="20"/>
              </w:rPr>
              <w:t>52,96</w:t>
            </w:r>
          </w:p>
        </w:tc>
        <w:tc>
          <w:tcPr>
            <w:tcW w:w="1001" w:type="dxa"/>
          </w:tcPr>
          <w:p w:rsidR="004C1F06" w:rsidRPr="007C51D6" w:rsidRDefault="004C1F06" w:rsidP="004C1F06">
            <w:pPr>
              <w:jc w:val="center"/>
              <w:rPr>
                <w:color w:val="000000"/>
                <w:sz w:val="20"/>
                <w:szCs w:val="20"/>
              </w:rPr>
            </w:pPr>
            <w:r w:rsidRPr="007C51D6">
              <w:rPr>
                <w:color w:val="000000"/>
                <w:sz w:val="20"/>
                <w:szCs w:val="20"/>
              </w:rPr>
              <w:t>52,59</w:t>
            </w:r>
          </w:p>
        </w:tc>
        <w:tc>
          <w:tcPr>
            <w:tcW w:w="1042" w:type="dxa"/>
          </w:tcPr>
          <w:p w:rsidR="004C1F06" w:rsidRPr="007C51D6" w:rsidRDefault="004C1F06" w:rsidP="004C1F06">
            <w:pPr>
              <w:jc w:val="center"/>
              <w:rPr>
                <w:color w:val="000000"/>
                <w:sz w:val="20"/>
                <w:szCs w:val="20"/>
              </w:rPr>
            </w:pPr>
            <w:r w:rsidRPr="007C51D6">
              <w:rPr>
                <w:color w:val="000000"/>
                <w:sz w:val="20"/>
                <w:szCs w:val="20"/>
              </w:rPr>
              <w:t>54,26</w:t>
            </w:r>
          </w:p>
        </w:tc>
        <w:tc>
          <w:tcPr>
            <w:tcW w:w="1057" w:type="dxa"/>
          </w:tcPr>
          <w:p w:rsidR="004C1F06" w:rsidRPr="007C51D6" w:rsidRDefault="004C1F06" w:rsidP="004C1F06">
            <w:pPr>
              <w:jc w:val="center"/>
              <w:rPr>
                <w:color w:val="000000"/>
                <w:sz w:val="20"/>
                <w:szCs w:val="20"/>
              </w:rPr>
            </w:pPr>
            <w:r w:rsidRPr="007C51D6">
              <w:rPr>
                <w:color w:val="000000"/>
                <w:sz w:val="20"/>
                <w:szCs w:val="20"/>
              </w:rPr>
              <w:t>55,30</w:t>
            </w:r>
          </w:p>
        </w:tc>
        <w:tc>
          <w:tcPr>
            <w:tcW w:w="1142" w:type="dxa"/>
          </w:tcPr>
          <w:p w:rsidR="004C1F06" w:rsidRPr="007C51D6" w:rsidRDefault="004C1F06" w:rsidP="004C1F06">
            <w:pPr>
              <w:jc w:val="center"/>
              <w:rPr>
                <w:color w:val="000000"/>
                <w:sz w:val="20"/>
                <w:szCs w:val="20"/>
              </w:rPr>
            </w:pPr>
            <w:r w:rsidRPr="007C51D6">
              <w:rPr>
                <w:color w:val="000000"/>
                <w:sz w:val="20"/>
                <w:szCs w:val="20"/>
              </w:rPr>
              <w:t>55,99</w:t>
            </w:r>
          </w:p>
        </w:tc>
        <w:tc>
          <w:tcPr>
            <w:tcW w:w="1709" w:type="dxa"/>
            <w:vAlign w:val="center"/>
          </w:tcPr>
          <w:p w:rsidR="004C1F06" w:rsidRPr="007C51D6" w:rsidRDefault="004C1F06" w:rsidP="004C1F06">
            <w:pPr>
              <w:jc w:val="center"/>
              <w:rPr>
                <w:color w:val="000000"/>
                <w:sz w:val="20"/>
                <w:szCs w:val="20"/>
              </w:rPr>
            </w:pPr>
            <w:r w:rsidRPr="007C51D6">
              <w:rPr>
                <w:color w:val="000000"/>
                <w:sz w:val="20"/>
                <w:szCs w:val="20"/>
              </w:rPr>
              <w:t>50.27</w:t>
            </w:r>
          </w:p>
        </w:tc>
      </w:tr>
      <w:tr w:rsidR="004C1F06" w:rsidRPr="007C51D6" w:rsidTr="004C1F06">
        <w:trPr>
          <w:gridAfter w:val="1"/>
          <w:wAfter w:w="21" w:type="dxa"/>
          <w:trHeight w:val="20"/>
        </w:trPr>
        <w:tc>
          <w:tcPr>
            <w:tcW w:w="4237" w:type="dxa"/>
            <w:shd w:val="clear" w:color="auto" w:fill="auto"/>
            <w:hideMark/>
          </w:tcPr>
          <w:p w:rsidR="004C1F06" w:rsidRPr="007C51D6" w:rsidRDefault="004C1F06" w:rsidP="004C1F06">
            <w:pPr>
              <w:autoSpaceDE/>
              <w:autoSpaceDN/>
              <w:adjustRightInd/>
              <w:jc w:val="both"/>
              <w:rPr>
                <w:color w:val="000000"/>
                <w:sz w:val="20"/>
                <w:szCs w:val="20"/>
              </w:rPr>
            </w:pPr>
            <w:r w:rsidRPr="007C51D6">
              <w:rPr>
                <w:color w:val="000000"/>
                <w:sz w:val="20"/>
                <w:szCs w:val="20"/>
              </w:rPr>
              <w:t>предстательной железы</w:t>
            </w:r>
          </w:p>
        </w:tc>
        <w:tc>
          <w:tcPr>
            <w:tcW w:w="1132" w:type="dxa"/>
            <w:shd w:val="clear" w:color="auto" w:fill="auto"/>
            <w:hideMark/>
          </w:tcPr>
          <w:p w:rsidR="004C1F06" w:rsidRPr="007C51D6" w:rsidRDefault="004C1F06" w:rsidP="004C1F06">
            <w:pPr>
              <w:autoSpaceDE/>
              <w:autoSpaceDN/>
              <w:adjustRightInd/>
              <w:jc w:val="center"/>
              <w:rPr>
                <w:color w:val="000000"/>
                <w:sz w:val="20"/>
                <w:szCs w:val="20"/>
              </w:rPr>
            </w:pPr>
            <w:r w:rsidRPr="007C51D6">
              <w:rPr>
                <w:color w:val="000000"/>
                <w:sz w:val="20"/>
                <w:szCs w:val="20"/>
              </w:rPr>
              <w:t>29,75</w:t>
            </w:r>
          </w:p>
        </w:tc>
        <w:tc>
          <w:tcPr>
            <w:tcW w:w="990" w:type="dxa"/>
            <w:shd w:val="clear" w:color="auto" w:fill="auto"/>
            <w:hideMark/>
          </w:tcPr>
          <w:p w:rsidR="004C1F06" w:rsidRPr="007C51D6" w:rsidRDefault="004C1F06" w:rsidP="004C1F06">
            <w:pPr>
              <w:autoSpaceDE/>
              <w:autoSpaceDN/>
              <w:adjustRightInd/>
              <w:jc w:val="center"/>
              <w:rPr>
                <w:color w:val="000000"/>
                <w:sz w:val="20"/>
                <w:szCs w:val="20"/>
              </w:rPr>
            </w:pPr>
            <w:r w:rsidRPr="007C51D6">
              <w:rPr>
                <w:color w:val="000000"/>
                <w:sz w:val="20"/>
                <w:szCs w:val="20"/>
              </w:rPr>
              <w:t>30,23</w:t>
            </w:r>
          </w:p>
        </w:tc>
        <w:tc>
          <w:tcPr>
            <w:tcW w:w="850" w:type="dxa"/>
            <w:shd w:val="clear" w:color="auto" w:fill="auto"/>
            <w:hideMark/>
          </w:tcPr>
          <w:p w:rsidR="004C1F06" w:rsidRPr="007C51D6" w:rsidRDefault="004C1F06" w:rsidP="004C1F06">
            <w:pPr>
              <w:autoSpaceDE/>
              <w:autoSpaceDN/>
              <w:adjustRightInd/>
              <w:jc w:val="center"/>
              <w:rPr>
                <w:color w:val="000000"/>
                <w:sz w:val="20"/>
                <w:szCs w:val="20"/>
              </w:rPr>
            </w:pPr>
            <w:r w:rsidRPr="007C51D6">
              <w:rPr>
                <w:color w:val="000000"/>
                <w:sz w:val="20"/>
                <w:szCs w:val="20"/>
              </w:rPr>
              <w:t>35,42</w:t>
            </w:r>
          </w:p>
        </w:tc>
        <w:tc>
          <w:tcPr>
            <w:tcW w:w="1014" w:type="dxa"/>
            <w:shd w:val="clear" w:color="auto" w:fill="auto"/>
            <w:hideMark/>
          </w:tcPr>
          <w:p w:rsidR="004C1F06" w:rsidRPr="007C51D6" w:rsidRDefault="004C1F06" w:rsidP="004C1F06">
            <w:pPr>
              <w:autoSpaceDE/>
              <w:autoSpaceDN/>
              <w:adjustRightInd/>
              <w:jc w:val="center"/>
              <w:rPr>
                <w:color w:val="000000"/>
                <w:sz w:val="20"/>
                <w:szCs w:val="20"/>
              </w:rPr>
            </w:pPr>
            <w:r w:rsidRPr="007C51D6">
              <w:rPr>
                <w:color w:val="000000"/>
                <w:sz w:val="20"/>
                <w:szCs w:val="20"/>
              </w:rPr>
              <w:t>44,19</w:t>
            </w:r>
          </w:p>
        </w:tc>
        <w:tc>
          <w:tcPr>
            <w:tcW w:w="995" w:type="dxa"/>
            <w:shd w:val="clear" w:color="auto" w:fill="auto"/>
            <w:hideMark/>
          </w:tcPr>
          <w:p w:rsidR="004C1F06" w:rsidRPr="007C51D6" w:rsidRDefault="004C1F06" w:rsidP="004C1F06">
            <w:pPr>
              <w:autoSpaceDE/>
              <w:autoSpaceDN/>
              <w:adjustRightInd/>
              <w:jc w:val="center"/>
              <w:rPr>
                <w:color w:val="000000"/>
                <w:sz w:val="20"/>
                <w:szCs w:val="20"/>
              </w:rPr>
            </w:pPr>
            <w:r w:rsidRPr="007C51D6">
              <w:rPr>
                <w:color w:val="000000"/>
                <w:sz w:val="20"/>
                <w:szCs w:val="20"/>
              </w:rPr>
              <w:t>49,09</w:t>
            </w:r>
          </w:p>
        </w:tc>
        <w:tc>
          <w:tcPr>
            <w:tcW w:w="1001" w:type="dxa"/>
          </w:tcPr>
          <w:p w:rsidR="004C1F06" w:rsidRPr="007C51D6" w:rsidRDefault="004C1F06" w:rsidP="004C1F06">
            <w:pPr>
              <w:jc w:val="center"/>
              <w:rPr>
                <w:color w:val="000000"/>
                <w:sz w:val="20"/>
                <w:szCs w:val="20"/>
              </w:rPr>
            </w:pPr>
            <w:r w:rsidRPr="007C51D6">
              <w:rPr>
                <w:color w:val="000000"/>
                <w:sz w:val="20"/>
                <w:szCs w:val="20"/>
              </w:rPr>
              <w:t>53,25</w:t>
            </w:r>
          </w:p>
        </w:tc>
        <w:tc>
          <w:tcPr>
            <w:tcW w:w="1042" w:type="dxa"/>
          </w:tcPr>
          <w:p w:rsidR="004C1F06" w:rsidRPr="007C51D6" w:rsidRDefault="004C1F06" w:rsidP="004C1F06">
            <w:pPr>
              <w:jc w:val="center"/>
              <w:rPr>
                <w:color w:val="000000"/>
                <w:sz w:val="20"/>
                <w:szCs w:val="20"/>
              </w:rPr>
            </w:pPr>
            <w:r w:rsidRPr="007C51D6">
              <w:rPr>
                <w:color w:val="000000"/>
                <w:sz w:val="20"/>
                <w:szCs w:val="20"/>
              </w:rPr>
              <w:t>56,84</w:t>
            </w:r>
          </w:p>
        </w:tc>
        <w:tc>
          <w:tcPr>
            <w:tcW w:w="1057" w:type="dxa"/>
          </w:tcPr>
          <w:p w:rsidR="004C1F06" w:rsidRPr="007C51D6" w:rsidRDefault="004C1F06" w:rsidP="004C1F06">
            <w:pPr>
              <w:jc w:val="center"/>
              <w:rPr>
                <w:color w:val="000000"/>
                <w:sz w:val="20"/>
                <w:szCs w:val="20"/>
              </w:rPr>
            </w:pPr>
            <w:r w:rsidRPr="007C51D6">
              <w:rPr>
                <w:color w:val="000000"/>
                <w:sz w:val="20"/>
                <w:szCs w:val="20"/>
              </w:rPr>
              <w:t>57,10</w:t>
            </w:r>
          </w:p>
        </w:tc>
        <w:tc>
          <w:tcPr>
            <w:tcW w:w="1142" w:type="dxa"/>
            <w:vAlign w:val="center"/>
          </w:tcPr>
          <w:p w:rsidR="004C1F06" w:rsidRPr="007C51D6" w:rsidRDefault="004C1F06" w:rsidP="004C1F06">
            <w:pPr>
              <w:jc w:val="center"/>
              <w:rPr>
                <w:color w:val="000000"/>
                <w:sz w:val="20"/>
                <w:szCs w:val="20"/>
              </w:rPr>
            </w:pPr>
            <w:r w:rsidRPr="007C51D6">
              <w:rPr>
                <w:color w:val="000000"/>
                <w:sz w:val="20"/>
                <w:szCs w:val="20"/>
              </w:rPr>
              <w:t>55,16</w:t>
            </w:r>
          </w:p>
        </w:tc>
        <w:tc>
          <w:tcPr>
            <w:tcW w:w="1709" w:type="dxa"/>
            <w:vAlign w:val="center"/>
          </w:tcPr>
          <w:p w:rsidR="004C1F06" w:rsidRPr="007C51D6" w:rsidRDefault="004C1F06" w:rsidP="004C1F06">
            <w:pPr>
              <w:jc w:val="center"/>
              <w:rPr>
                <w:color w:val="000000"/>
                <w:sz w:val="20"/>
                <w:szCs w:val="20"/>
              </w:rPr>
            </w:pPr>
            <w:r w:rsidRPr="007C51D6">
              <w:rPr>
                <w:color w:val="000000"/>
                <w:sz w:val="20"/>
                <w:szCs w:val="20"/>
              </w:rPr>
              <w:t>47.71</w:t>
            </w:r>
          </w:p>
        </w:tc>
      </w:tr>
      <w:tr w:rsidR="004C1F06" w:rsidRPr="007C51D6" w:rsidTr="004C1F06">
        <w:trPr>
          <w:gridAfter w:val="1"/>
          <w:wAfter w:w="21" w:type="dxa"/>
          <w:trHeight w:val="20"/>
        </w:trPr>
        <w:tc>
          <w:tcPr>
            <w:tcW w:w="4237" w:type="dxa"/>
            <w:shd w:val="clear" w:color="auto" w:fill="auto"/>
            <w:hideMark/>
          </w:tcPr>
          <w:p w:rsidR="004C1F06" w:rsidRPr="007C51D6" w:rsidRDefault="004C1F06" w:rsidP="004C1F06">
            <w:pPr>
              <w:autoSpaceDE/>
              <w:autoSpaceDN/>
              <w:adjustRightInd/>
              <w:jc w:val="both"/>
              <w:rPr>
                <w:color w:val="000000"/>
                <w:sz w:val="20"/>
                <w:szCs w:val="20"/>
              </w:rPr>
            </w:pPr>
            <w:r w:rsidRPr="007C51D6">
              <w:rPr>
                <w:color w:val="000000"/>
                <w:sz w:val="20"/>
                <w:szCs w:val="20"/>
              </w:rPr>
              <w:t>трахеи, бронхов, легких</w:t>
            </w:r>
          </w:p>
        </w:tc>
        <w:tc>
          <w:tcPr>
            <w:tcW w:w="1132" w:type="dxa"/>
            <w:shd w:val="clear" w:color="auto" w:fill="auto"/>
            <w:hideMark/>
          </w:tcPr>
          <w:p w:rsidR="004C1F06" w:rsidRPr="007C51D6" w:rsidRDefault="004C1F06" w:rsidP="004C1F06">
            <w:pPr>
              <w:autoSpaceDE/>
              <w:autoSpaceDN/>
              <w:adjustRightInd/>
              <w:jc w:val="center"/>
              <w:rPr>
                <w:color w:val="000000"/>
                <w:sz w:val="20"/>
                <w:szCs w:val="20"/>
              </w:rPr>
            </w:pPr>
            <w:r w:rsidRPr="007C51D6">
              <w:rPr>
                <w:color w:val="000000"/>
                <w:sz w:val="20"/>
                <w:szCs w:val="20"/>
              </w:rPr>
              <w:t>48,77</w:t>
            </w:r>
          </w:p>
        </w:tc>
        <w:tc>
          <w:tcPr>
            <w:tcW w:w="990" w:type="dxa"/>
            <w:shd w:val="clear" w:color="auto" w:fill="auto"/>
            <w:hideMark/>
          </w:tcPr>
          <w:p w:rsidR="004C1F06" w:rsidRPr="007C51D6" w:rsidRDefault="004C1F06" w:rsidP="004C1F06">
            <w:pPr>
              <w:autoSpaceDE/>
              <w:autoSpaceDN/>
              <w:adjustRightInd/>
              <w:jc w:val="center"/>
              <w:rPr>
                <w:color w:val="000000"/>
                <w:sz w:val="20"/>
                <w:szCs w:val="20"/>
              </w:rPr>
            </w:pPr>
            <w:r w:rsidRPr="007C51D6">
              <w:rPr>
                <w:color w:val="000000"/>
                <w:sz w:val="20"/>
                <w:szCs w:val="20"/>
              </w:rPr>
              <w:t>48,63</w:t>
            </w:r>
          </w:p>
        </w:tc>
        <w:tc>
          <w:tcPr>
            <w:tcW w:w="850" w:type="dxa"/>
            <w:shd w:val="clear" w:color="auto" w:fill="auto"/>
            <w:hideMark/>
          </w:tcPr>
          <w:p w:rsidR="004C1F06" w:rsidRPr="007C51D6" w:rsidRDefault="004C1F06" w:rsidP="004C1F06">
            <w:pPr>
              <w:autoSpaceDE/>
              <w:autoSpaceDN/>
              <w:adjustRightInd/>
              <w:jc w:val="center"/>
              <w:rPr>
                <w:color w:val="000000"/>
                <w:sz w:val="20"/>
                <w:szCs w:val="20"/>
              </w:rPr>
            </w:pPr>
            <w:r w:rsidRPr="007C51D6">
              <w:rPr>
                <w:color w:val="000000"/>
                <w:sz w:val="20"/>
                <w:szCs w:val="20"/>
              </w:rPr>
              <w:t>48,33</w:t>
            </w:r>
          </w:p>
        </w:tc>
        <w:tc>
          <w:tcPr>
            <w:tcW w:w="1014" w:type="dxa"/>
            <w:shd w:val="clear" w:color="auto" w:fill="auto"/>
            <w:hideMark/>
          </w:tcPr>
          <w:p w:rsidR="004C1F06" w:rsidRPr="007C51D6" w:rsidRDefault="004C1F06" w:rsidP="004C1F06">
            <w:pPr>
              <w:autoSpaceDE/>
              <w:autoSpaceDN/>
              <w:adjustRightInd/>
              <w:jc w:val="center"/>
              <w:rPr>
                <w:color w:val="000000"/>
                <w:sz w:val="20"/>
                <w:szCs w:val="20"/>
              </w:rPr>
            </w:pPr>
            <w:r w:rsidRPr="007C51D6">
              <w:rPr>
                <w:color w:val="000000"/>
                <w:sz w:val="20"/>
                <w:szCs w:val="20"/>
              </w:rPr>
              <w:t>48,45</w:t>
            </w:r>
          </w:p>
        </w:tc>
        <w:tc>
          <w:tcPr>
            <w:tcW w:w="995" w:type="dxa"/>
            <w:shd w:val="clear" w:color="auto" w:fill="auto"/>
            <w:hideMark/>
          </w:tcPr>
          <w:p w:rsidR="004C1F06" w:rsidRPr="007C51D6" w:rsidRDefault="004C1F06" w:rsidP="004C1F06">
            <w:pPr>
              <w:autoSpaceDE/>
              <w:autoSpaceDN/>
              <w:adjustRightInd/>
              <w:jc w:val="center"/>
              <w:rPr>
                <w:color w:val="000000"/>
                <w:sz w:val="20"/>
                <w:szCs w:val="20"/>
              </w:rPr>
            </w:pPr>
            <w:r w:rsidRPr="007C51D6">
              <w:rPr>
                <w:color w:val="000000"/>
                <w:sz w:val="20"/>
                <w:szCs w:val="20"/>
              </w:rPr>
              <w:t>48,25</w:t>
            </w:r>
          </w:p>
        </w:tc>
        <w:tc>
          <w:tcPr>
            <w:tcW w:w="1001" w:type="dxa"/>
          </w:tcPr>
          <w:p w:rsidR="004C1F06" w:rsidRPr="007C51D6" w:rsidRDefault="004C1F06" w:rsidP="004C1F06">
            <w:pPr>
              <w:jc w:val="center"/>
              <w:rPr>
                <w:color w:val="000000"/>
                <w:sz w:val="20"/>
                <w:szCs w:val="20"/>
              </w:rPr>
            </w:pPr>
            <w:r w:rsidRPr="007C51D6">
              <w:rPr>
                <w:color w:val="000000"/>
                <w:sz w:val="20"/>
                <w:szCs w:val="20"/>
              </w:rPr>
              <w:t>47,63</w:t>
            </w:r>
          </w:p>
        </w:tc>
        <w:tc>
          <w:tcPr>
            <w:tcW w:w="1042" w:type="dxa"/>
          </w:tcPr>
          <w:p w:rsidR="004C1F06" w:rsidRPr="007C51D6" w:rsidRDefault="004C1F06" w:rsidP="004C1F06">
            <w:pPr>
              <w:jc w:val="center"/>
              <w:rPr>
                <w:color w:val="000000"/>
                <w:sz w:val="20"/>
                <w:szCs w:val="20"/>
              </w:rPr>
            </w:pPr>
            <w:r w:rsidRPr="007C51D6">
              <w:rPr>
                <w:color w:val="000000"/>
                <w:sz w:val="20"/>
                <w:szCs w:val="20"/>
              </w:rPr>
              <w:t>46,91</w:t>
            </w:r>
          </w:p>
        </w:tc>
        <w:tc>
          <w:tcPr>
            <w:tcW w:w="1057" w:type="dxa"/>
          </w:tcPr>
          <w:p w:rsidR="004C1F06" w:rsidRPr="007C51D6" w:rsidRDefault="004C1F06" w:rsidP="004C1F06">
            <w:pPr>
              <w:jc w:val="center"/>
              <w:rPr>
                <w:color w:val="000000"/>
                <w:sz w:val="20"/>
                <w:szCs w:val="20"/>
              </w:rPr>
            </w:pPr>
            <w:r w:rsidRPr="007C51D6">
              <w:rPr>
                <w:color w:val="000000"/>
                <w:sz w:val="20"/>
                <w:szCs w:val="20"/>
              </w:rPr>
              <w:t>47,20</w:t>
            </w:r>
          </w:p>
        </w:tc>
        <w:tc>
          <w:tcPr>
            <w:tcW w:w="1142" w:type="dxa"/>
            <w:vAlign w:val="center"/>
          </w:tcPr>
          <w:p w:rsidR="004C1F06" w:rsidRPr="007C51D6" w:rsidRDefault="004C1F06" w:rsidP="004C1F06">
            <w:pPr>
              <w:jc w:val="center"/>
              <w:rPr>
                <w:color w:val="000000"/>
                <w:sz w:val="20"/>
                <w:szCs w:val="20"/>
              </w:rPr>
            </w:pPr>
            <w:r w:rsidRPr="007C51D6">
              <w:rPr>
                <w:color w:val="000000"/>
                <w:sz w:val="20"/>
                <w:szCs w:val="20"/>
              </w:rPr>
              <w:t>48,09</w:t>
            </w:r>
          </w:p>
        </w:tc>
        <w:tc>
          <w:tcPr>
            <w:tcW w:w="1709" w:type="dxa"/>
            <w:vAlign w:val="center"/>
          </w:tcPr>
          <w:p w:rsidR="004C1F06" w:rsidRPr="007C51D6" w:rsidRDefault="004C1F06" w:rsidP="004C1F06">
            <w:pPr>
              <w:jc w:val="center"/>
              <w:rPr>
                <w:color w:val="000000"/>
                <w:sz w:val="20"/>
                <w:szCs w:val="20"/>
              </w:rPr>
            </w:pPr>
            <w:r w:rsidRPr="007C51D6">
              <w:rPr>
                <w:color w:val="000000"/>
                <w:sz w:val="20"/>
                <w:szCs w:val="20"/>
              </w:rPr>
              <w:t>38.53</w:t>
            </w:r>
          </w:p>
        </w:tc>
      </w:tr>
      <w:tr w:rsidR="004C1F06" w:rsidRPr="007C51D6" w:rsidTr="004C1F06">
        <w:trPr>
          <w:gridAfter w:val="1"/>
          <w:wAfter w:w="21" w:type="dxa"/>
          <w:trHeight w:val="20"/>
        </w:trPr>
        <w:tc>
          <w:tcPr>
            <w:tcW w:w="4237" w:type="dxa"/>
            <w:shd w:val="clear" w:color="auto" w:fill="auto"/>
            <w:hideMark/>
          </w:tcPr>
          <w:p w:rsidR="004C1F06" w:rsidRPr="007C51D6" w:rsidRDefault="004C1F06" w:rsidP="004C1F06">
            <w:pPr>
              <w:autoSpaceDE/>
              <w:autoSpaceDN/>
              <w:adjustRightInd/>
              <w:jc w:val="both"/>
              <w:rPr>
                <w:color w:val="000000"/>
                <w:sz w:val="20"/>
                <w:szCs w:val="20"/>
              </w:rPr>
            </w:pPr>
            <w:r w:rsidRPr="007C51D6">
              <w:rPr>
                <w:color w:val="000000"/>
                <w:sz w:val="20"/>
                <w:szCs w:val="20"/>
              </w:rPr>
              <w:t>рак кожи</w:t>
            </w:r>
          </w:p>
        </w:tc>
        <w:tc>
          <w:tcPr>
            <w:tcW w:w="1132" w:type="dxa"/>
            <w:shd w:val="clear" w:color="auto" w:fill="auto"/>
            <w:hideMark/>
          </w:tcPr>
          <w:p w:rsidR="004C1F06" w:rsidRPr="007C51D6" w:rsidRDefault="004C1F06" w:rsidP="004C1F06">
            <w:pPr>
              <w:autoSpaceDE/>
              <w:autoSpaceDN/>
              <w:adjustRightInd/>
              <w:jc w:val="center"/>
              <w:rPr>
                <w:color w:val="000000"/>
                <w:sz w:val="20"/>
                <w:szCs w:val="20"/>
              </w:rPr>
            </w:pPr>
            <w:r w:rsidRPr="007C51D6">
              <w:rPr>
                <w:color w:val="000000"/>
                <w:sz w:val="20"/>
                <w:szCs w:val="20"/>
              </w:rPr>
              <w:t>48,27</w:t>
            </w:r>
          </w:p>
        </w:tc>
        <w:tc>
          <w:tcPr>
            <w:tcW w:w="990" w:type="dxa"/>
            <w:shd w:val="clear" w:color="auto" w:fill="auto"/>
            <w:hideMark/>
          </w:tcPr>
          <w:p w:rsidR="004C1F06" w:rsidRPr="007C51D6" w:rsidRDefault="004C1F06" w:rsidP="004C1F06">
            <w:pPr>
              <w:autoSpaceDE/>
              <w:autoSpaceDN/>
              <w:adjustRightInd/>
              <w:jc w:val="center"/>
              <w:rPr>
                <w:color w:val="000000"/>
                <w:sz w:val="20"/>
                <w:szCs w:val="20"/>
              </w:rPr>
            </w:pPr>
            <w:r w:rsidRPr="007C51D6">
              <w:rPr>
                <w:color w:val="000000"/>
                <w:sz w:val="20"/>
                <w:szCs w:val="20"/>
              </w:rPr>
              <w:t>50,99</w:t>
            </w:r>
          </w:p>
        </w:tc>
        <w:tc>
          <w:tcPr>
            <w:tcW w:w="850" w:type="dxa"/>
            <w:shd w:val="clear" w:color="auto" w:fill="auto"/>
            <w:hideMark/>
          </w:tcPr>
          <w:p w:rsidR="004C1F06" w:rsidRPr="007C51D6" w:rsidRDefault="004C1F06" w:rsidP="004C1F06">
            <w:pPr>
              <w:autoSpaceDE/>
              <w:autoSpaceDN/>
              <w:adjustRightInd/>
              <w:jc w:val="center"/>
              <w:rPr>
                <w:color w:val="000000"/>
                <w:sz w:val="20"/>
                <w:szCs w:val="20"/>
              </w:rPr>
            </w:pPr>
            <w:r w:rsidRPr="007C51D6">
              <w:rPr>
                <w:color w:val="000000"/>
                <w:sz w:val="20"/>
                <w:szCs w:val="20"/>
              </w:rPr>
              <w:t>51,28</w:t>
            </w:r>
          </w:p>
        </w:tc>
        <w:tc>
          <w:tcPr>
            <w:tcW w:w="1014" w:type="dxa"/>
            <w:shd w:val="clear" w:color="auto" w:fill="auto"/>
            <w:hideMark/>
          </w:tcPr>
          <w:p w:rsidR="004C1F06" w:rsidRPr="007C51D6" w:rsidRDefault="004C1F06" w:rsidP="004C1F06">
            <w:pPr>
              <w:autoSpaceDE/>
              <w:autoSpaceDN/>
              <w:adjustRightInd/>
              <w:jc w:val="center"/>
              <w:rPr>
                <w:color w:val="000000"/>
                <w:sz w:val="20"/>
                <w:szCs w:val="20"/>
              </w:rPr>
            </w:pPr>
            <w:r w:rsidRPr="007C51D6">
              <w:rPr>
                <w:color w:val="000000"/>
                <w:sz w:val="20"/>
                <w:szCs w:val="20"/>
              </w:rPr>
              <w:t>45,28</w:t>
            </w:r>
          </w:p>
        </w:tc>
        <w:tc>
          <w:tcPr>
            <w:tcW w:w="995" w:type="dxa"/>
            <w:shd w:val="clear" w:color="auto" w:fill="auto"/>
            <w:hideMark/>
          </w:tcPr>
          <w:p w:rsidR="004C1F06" w:rsidRPr="007C51D6" w:rsidRDefault="004C1F06" w:rsidP="004C1F06">
            <w:pPr>
              <w:autoSpaceDE/>
              <w:autoSpaceDN/>
              <w:adjustRightInd/>
              <w:jc w:val="center"/>
              <w:rPr>
                <w:color w:val="000000"/>
                <w:sz w:val="20"/>
                <w:szCs w:val="20"/>
              </w:rPr>
            </w:pPr>
            <w:r w:rsidRPr="007C51D6">
              <w:rPr>
                <w:color w:val="000000"/>
                <w:sz w:val="20"/>
                <w:szCs w:val="20"/>
              </w:rPr>
              <w:t>47,22</w:t>
            </w:r>
          </w:p>
        </w:tc>
        <w:tc>
          <w:tcPr>
            <w:tcW w:w="1001" w:type="dxa"/>
          </w:tcPr>
          <w:p w:rsidR="004C1F06" w:rsidRPr="007C51D6" w:rsidRDefault="004C1F06" w:rsidP="004C1F06">
            <w:pPr>
              <w:jc w:val="center"/>
              <w:rPr>
                <w:color w:val="000000"/>
                <w:sz w:val="20"/>
                <w:szCs w:val="20"/>
              </w:rPr>
            </w:pPr>
            <w:r w:rsidRPr="007C51D6">
              <w:rPr>
                <w:color w:val="000000"/>
                <w:sz w:val="20"/>
                <w:szCs w:val="20"/>
              </w:rPr>
              <w:t>47,14</w:t>
            </w:r>
          </w:p>
        </w:tc>
        <w:tc>
          <w:tcPr>
            <w:tcW w:w="1042" w:type="dxa"/>
          </w:tcPr>
          <w:p w:rsidR="004C1F06" w:rsidRPr="007C51D6" w:rsidRDefault="004C1F06" w:rsidP="004C1F06">
            <w:pPr>
              <w:jc w:val="center"/>
              <w:rPr>
                <w:color w:val="000000"/>
                <w:sz w:val="20"/>
                <w:szCs w:val="20"/>
              </w:rPr>
            </w:pPr>
            <w:r w:rsidRPr="007C51D6">
              <w:rPr>
                <w:color w:val="000000"/>
                <w:sz w:val="20"/>
                <w:szCs w:val="20"/>
              </w:rPr>
              <w:t>46,49</w:t>
            </w:r>
          </w:p>
        </w:tc>
        <w:tc>
          <w:tcPr>
            <w:tcW w:w="1057" w:type="dxa"/>
          </w:tcPr>
          <w:p w:rsidR="004C1F06" w:rsidRPr="007C51D6" w:rsidRDefault="004C1F06" w:rsidP="004C1F06">
            <w:pPr>
              <w:jc w:val="center"/>
              <w:rPr>
                <w:color w:val="000000"/>
                <w:sz w:val="20"/>
                <w:szCs w:val="20"/>
              </w:rPr>
            </w:pPr>
            <w:r w:rsidRPr="007C51D6">
              <w:rPr>
                <w:color w:val="000000"/>
                <w:sz w:val="20"/>
                <w:szCs w:val="20"/>
              </w:rPr>
              <w:t>46,30</w:t>
            </w:r>
          </w:p>
        </w:tc>
        <w:tc>
          <w:tcPr>
            <w:tcW w:w="1142" w:type="dxa"/>
            <w:vAlign w:val="center"/>
          </w:tcPr>
          <w:p w:rsidR="004C1F06" w:rsidRPr="007C51D6" w:rsidRDefault="004C1F06" w:rsidP="004C1F06">
            <w:pPr>
              <w:jc w:val="center"/>
              <w:rPr>
                <w:color w:val="000000"/>
                <w:sz w:val="20"/>
                <w:szCs w:val="20"/>
              </w:rPr>
            </w:pPr>
            <w:r w:rsidRPr="007C51D6">
              <w:rPr>
                <w:color w:val="000000"/>
                <w:sz w:val="20"/>
                <w:szCs w:val="20"/>
              </w:rPr>
              <w:t>47,89</w:t>
            </w:r>
          </w:p>
        </w:tc>
        <w:tc>
          <w:tcPr>
            <w:tcW w:w="1709" w:type="dxa"/>
            <w:vAlign w:val="center"/>
          </w:tcPr>
          <w:p w:rsidR="004C1F06" w:rsidRPr="007C51D6" w:rsidRDefault="004C1F06" w:rsidP="004C1F06">
            <w:pPr>
              <w:jc w:val="center"/>
              <w:rPr>
                <w:color w:val="000000"/>
                <w:sz w:val="20"/>
                <w:szCs w:val="20"/>
              </w:rPr>
            </w:pPr>
            <w:r w:rsidRPr="007C51D6">
              <w:rPr>
                <w:color w:val="000000"/>
                <w:sz w:val="20"/>
                <w:szCs w:val="20"/>
              </w:rPr>
              <w:t>43.78</w:t>
            </w:r>
          </w:p>
        </w:tc>
      </w:tr>
    </w:tbl>
    <w:p w:rsidR="00E27362" w:rsidRPr="007C51D6" w:rsidRDefault="00E27362">
      <w:pPr>
        <w:rPr>
          <w:sz w:val="2"/>
          <w:szCs w:val="2"/>
        </w:rPr>
      </w:pPr>
    </w:p>
    <w:p w:rsidR="009F2AA8" w:rsidRPr="007C51D6" w:rsidRDefault="009F2AA8" w:rsidP="00E50C5F">
      <w:pPr>
        <w:autoSpaceDE/>
        <w:autoSpaceDN/>
        <w:adjustRightInd/>
        <w:rPr>
          <w:rFonts w:eastAsia="Arial"/>
          <w:sz w:val="20"/>
          <w:szCs w:val="20"/>
        </w:rPr>
      </w:pPr>
    </w:p>
    <w:p w:rsidR="00E50C5F" w:rsidRPr="007C51D6" w:rsidRDefault="00E27362" w:rsidP="007F3AFB">
      <w:pPr>
        <w:autoSpaceDE/>
        <w:autoSpaceDN/>
        <w:adjustRightInd/>
        <w:ind w:firstLine="709"/>
        <w:rPr>
          <w:rFonts w:eastAsia="Arial"/>
          <w:sz w:val="20"/>
          <w:szCs w:val="20"/>
        </w:rPr>
      </w:pPr>
      <w:r w:rsidRPr="007C51D6">
        <w:rPr>
          <w:rFonts w:eastAsia="Arial"/>
          <w:sz w:val="20"/>
          <w:szCs w:val="20"/>
        </w:rPr>
        <w:t>*</w:t>
      </w:r>
      <w:r w:rsidR="00E50C5F" w:rsidRPr="007C51D6">
        <w:rPr>
          <w:rFonts w:eastAsia="Arial"/>
          <w:sz w:val="20"/>
          <w:szCs w:val="20"/>
        </w:rPr>
        <w:t>Представлены оперативные данные</w:t>
      </w:r>
      <w:r w:rsidR="00D11944" w:rsidRPr="007C51D6">
        <w:rPr>
          <w:rFonts w:eastAsia="Arial"/>
          <w:sz w:val="20"/>
          <w:szCs w:val="20"/>
        </w:rPr>
        <w:t>.</w:t>
      </w:r>
    </w:p>
    <w:p w:rsidR="008103A6" w:rsidRPr="007C51D6" w:rsidRDefault="008103A6" w:rsidP="00E50C5F">
      <w:pPr>
        <w:autoSpaceDE/>
        <w:autoSpaceDN/>
        <w:adjustRightInd/>
        <w:rPr>
          <w:rFonts w:eastAsia="Arial"/>
          <w:sz w:val="28"/>
          <w:szCs w:val="28"/>
        </w:rPr>
      </w:pPr>
    </w:p>
    <w:p w:rsidR="006D22D9" w:rsidRPr="007C51D6" w:rsidRDefault="006D22D9" w:rsidP="006D22D9">
      <w:pPr>
        <w:autoSpaceDE/>
        <w:autoSpaceDN/>
        <w:adjustRightInd/>
        <w:ind w:firstLine="709"/>
        <w:jc w:val="both"/>
        <w:rPr>
          <w:rFonts w:eastAsia="Arial"/>
          <w:spacing w:val="-4"/>
          <w:sz w:val="28"/>
          <w:szCs w:val="28"/>
        </w:rPr>
      </w:pPr>
      <w:r w:rsidRPr="007C51D6">
        <w:rPr>
          <w:rFonts w:eastAsia="Arial"/>
          <w:spacing w:val="4"/>
          <w:sz w:val="28"/>
          <w:szCs w:val="28"/>
        </w:rPr>
        <w:t xml:space="preserve">За 10-летний период (2015 – 2024 годы) из числа заболеваний, имеющих наибольший удельный вес в структуре заболеваемости ЗНО, регистрируется рост </w:t>
      </w:r>
      <w:r w:rsidRPr="007C51D6">
        <w:rPr>
          <w:rFonts w:eastAsia="Arial"/>
          <w:spacing w:val="-4"/>
          <w:sz w:val="28"/>
          <w:szCs w:val="28"/>
        </w:rPr>
        <w:t>доли больных, состоящих на учете в онкологических учреждениях 5 лет и более с момента установления диагноза ЗНО, при</w:t>
      </w:r>
      <w:r w:rsidRPr="007C51D6">
        <w:rPr>
          <w:rFonts w:eastAsia="Arial"/>
          <w:spacing w:val="4"/>
          <w:sz w:val="28"/>
          <w:szCs w:val="28"/>
        </w:rPr>
        <w:t xml:space="preserve"> ЗНО предстательной железы, почки, тела матки, молочной железы, злокачественных лимфомах, прямой кишки, ректосигмоидного соединения, ануса. При ЗНО трахеи, бронхов, легких, ободочной кишки и раке кожи </w:t>
      </w:r>
      <w:r w:rsidRPr="007C51D6">
        <w:rPr>
          <w:rFonts w:eastAsia="Arial"/>
          <w:sz w:val="28"/>
          <w:szCs w:val="28"/>
        </w:rPr>
        <w:t>зарегистрирована тенденция к стабилизации данного показателя (таблица 7)</w:t>
      </w:r>
      <w:r w:rsidRPr="007C51D6">
        <w:rPr>
          <w:rFonts w:eastAsia="Arial"/>
          <w:spacing w:val="-4"/>
          <w:sz w:val="28"/>
          <w:szCs w:val="28"/>
        </w:rPr>
        <w:t>.</w:t>
      </w:r>
    </w:p>
    <w:p w:rsidR="006D22D9" w:rsidRPr="007C51D6" w:rsidRDefault="006D22D9" w:rsidP="00E50C5F">
      <w:pPr>
        <w:autoSpaceDE/>
        <w:autoSpaceDN/>
        <w:adjustRightInd/>
        <w:rPr>
          <w:rFonts w:eastAsia="Arial"/>
          <w:sz w:val="28"/>
          <w:szCs w:val="28"/>
        </w:rPr>
      </w:pPr>
    </w:p>
    <w:p w:rsidR="00BF30C9" w:rsidRPr="007C51D6" w:rsidRDefault="00BF30C9" w:rsidP="00BF30C9">
      <w:pPr>
        <w:autoSpaceDE/>
        <w:autoSpaceDN/>
        <w:adjustRightInd/>
        <w:ind w:left="11346" w:firstLine="709"/>
        <w:jc w:val="right"/>
        <w:rPr>
          <w:rFonts w:eastAsia="Arial"/>
          <w:sz w:val="28"/>
          <w:szCs w:val="28"/>
        </w:rPr>
      </w:pPr>
      <w:r w:rsidRPr="007C51D6">
        <w:rPr>
          <w:rFonts w:eastAsia="Arial"/>
          <w:sz w:val="28"/>
          <w:szCs w:val="28"/>
        </w:rPr>
        <w:lastRenderedPageBreak/>
        <w:t>Таблица 7.</w:t>
      </w:r>
      <w:r w:rsidR="001421DF" w:rsidRPr="007C51D6">
        <w:rPr>
          <w:rFonts w:eastAsia="Arial"/>
          <w:sz w:val="28"/>
          <w:szCs w:val="28"/>
        </w:rPr>
        <w:t>1</w:t>
      </w:r>
    </w:p>
    <w:p w:rsidR="00A05467" w:rsidRPr="007C51D6" w:rsidRDefault="00A05467" w:rsidP="003B175E">
      <w:pPr>
        <w:autoSpaceDE/>
        <w:autoSpaceDN/>
        <w:adjustRightInd/>
        <w:jc w:val="center"/>
        <w:rPr>
          <w:color w:val="000000"/>
          <w:sz w:val="28"/>
          <w:szCs w:val="28"/>
        </w:rPr>
      </w:pPr>
    </w:p>
    <w:p w:rsidR="003B175E" w:rsidRPr="007C51D6" w:rsidRDefault="003B175E" w:rsidP="003B175E">
      <w:pPr>
        <w:autoSpaceDE/>
        <w:autoSpaceDN/>
        <w:adjustRightInd/>
        <w:jc w:val="center"/>
        <w:rPr>
          <w:color w:val="000000"/>
          <w:sz w:val="28"/>
          <w:szCs w:val="28"/>
        </w:rPr>
      </w:pPr>
      <w:r w:rsidRPr="007C51D6">
        <w:rPr>
          <w:color w:val="000000"/>
          <w:sz w:val="28"/>
          <w:szCs w:val="28"/>
        </w:rPr>
        <w:t xml:space="preserve">Число пациентов, состоящих на диспансерном учете по поводу онкологических заболеваний </w:t>
      </w:r>
    </w:p>
    <w:p w:rsidR="003B175E" w:rsidRPr="007C51D6" w:rsidRDefault="003B175E" w:rsidP="003B175E">
      <w:pPr>
        <w:autoSpaceDE/>
        <w:autoSpaceDN/>
        <w:adjustRightInd/>
        <w:jc w:val="center"/>
        <w:rPr>
          <w:color w:val="000000"/>
          <w:sz w:val="28"/>
          <w:szCs w:val="28"/>
        </w:rPr>
      </w:pPr>
      <w:r w:rsidRPr="007C51D6">
        <w:rPr>
          <w:color w:val="000000"/>
          <w:sz w:val="28"/>
          <w:szCs w:val="28"/>
        </w:rPr>
        <w:t>в Республике Татарстан</w:t>
      </w:r>
      <w:r w:rsidRPr="007C51D6">
        <w:rPr>
          <w:rFonts w:eastAsia="Arial"/>
          <w:sz w:val="28"/>
          <w:szCs w:val="28"/>
        </w:rPr>
        <w:t xml:space="preserve"> в 2016 – 2025 годах</w:t>
      </w:r>
      <w:r w:rsidRPr="007C51D6">
        <w:rPr>
          <w:color w:val="000000"/>
          <w:sz w:val="28"/>
          <w:szCs w:val="28"/>
        </w:rPr>
        <w:t xml:space="preserve"> </w:t>
      </w:r>
    </w:p>
    <w:p w:rsidR="00D96F53" w:rsidRPr="007C51D6" w:rsidRDefault="00D96F53" w:rsidP="00BF30C9">
      <w:pPr>
        <w:autoSpaceDE/>
        <w:autoSpaceDN/>
        <w:adjustRightInd/>
        <w:jc w:val="center"/>
        <w:rPr>
          <w:color w:val="000000"/>
          <w:sz w:val="28"/>
          <w:szCs w:val="28"/>
        </w:rPr>
      </w:pPr>
    </w:p>
    <w:p w:rsidR="00BF30C9" w:rsidRDefault="00D96F53" w:rsidP="00D96F53">
      <w:pPr>
        <w:autoSpaceDE/>
        <w:autoSpaceDN/>
        <w:adjustRightInd/>
        <w:jc w:val="right"/>
        <w:rPr>
          <w:color w:val="000000"/>
          <w:sz w:val="20"/>
          <w:szCs w:val="20"/>
        </w:rPr>
      </w:pPr>
      <w:r w:rsidRPr="007C51D6">
        <w:rPr>
          <w:color w:val="000000"/>
          <w:sz w:val="20"/>
          <w:szCs w:val="20"/>
        </w:rPr>
        <w:t>(</w:t>
      </w:r>
      <w:r w:rsidR="00BF30C9" w:rsidRPr="007C51D6">
        <w:rPr>
          <w:color w:val="000000"/>
          <w:sz w:val="20"/>
          <w:szCs w:val="20"/>
        </w:rPr>
        <w:t>человек</w:t>
      </w:r>
      <w:r w:rsidRPr="007C51D6">
        <w:rPr>
          <w:color w:val="000000"/>
          <w:sz w:val="20"/>
          <w:szCs w:val="20"/>
        </w:rPr>
        <w:t>)</w:t>
      </w:r>
    </w:p>
    <w:p w:rsidR="0060233B" w:rsidRPr="007C51D6" w:rsidRDefault="0060233B" w:rsidP="00D96F53">
      <w:pPr>
        <w:autoSpaceDE/>
        <w:autoSpaceDN/>
        <w:adjustRightInd/>
        <w:jc w:val="right"/>
        <w:rPr>
          <w:color w:val="000000"/>
          <w:sz w:val="20"/>
          <w:szCs w:val="20"/>
        </w:rPr>
      </w:pPr>
    </w:p>
    <w:tbl>
      <w:tblPr>
        <w:tblW w:w="15192"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4"/>
        <w:gridCol w:w="1275"/>
        <w:gridCol w:w="1162"/>
        <w:gridCol w:w="1163"/>
        <w:gridCol w:w="1162"/>
        <w:gridCol w:w="1162"/>
        <w:gridCol w:w="1163"/>
        <w:gridCol w:w="1162"/>
        <w:gridCol w:w="1219"/>
        <w:gridCol w:w="1305"/>
        <w:gridCol w:w="1305"/>
      </w:tblGrid>
      <w:tr w:rsidR="00A05467" w:rsidRPr="007C51D6" w:rsidTr="00A05467">
        <w:trPr>
          <w:trHeight w:val="20"/>
        </w:trPr>
        <w:tc>
          <w:tcPr>
            <w:tcW w:w="3114" w:type="dxa"/>
            <w:shd w:val="clear" w:color="auto" w:fill="auto"/>
          </w:tcPr>
          <w:p w:rsidR="00A05467" w:rsidRPr="007C51D6" w:rsidRDefault="00A05467" w:rsidP="00A05467">
            <w:pPr>
              <w:autoSpaceDE/>
              <w:autoSpaceDN/>
              <w:adjustRightInd/>
              <w:jc w:val="center"/>
              <w:rPr>
                <w:color w:val="000000"/>
                <w:sz w:val="20"/>
                <w:szCs w:val="20"/>
              </w:rPr>
            </w:pPr>
            <w:r w:rsidRPr="007C51D6">
              <w:rPr>
                <w:color w:val="000000"/>
                <w:sz w:val="20"/>
                <w:szCs w:val="20"/>
              </w:rPr>
              <w:t>Наименование муниципальных районов и городских округов</w:t>
            </w:r>
          </w:p>
        </w:tc>
        <w:tc>
          <w:tcPr>
            <w:tcW w:w="1275" w:type="dxa"/>
            <w:shd w:val="clear" w:color="auto" w:fill="auto"/>
          </w:tcPr>
          <w:p w:rsidR="00A05467" w:rsidRPr="007C51D6" w:rsidRDefault="00A05467" w:rsidP="00A05467">
            <w:pPr>
              <w:autoSpaceDE/>
              <w:autoSpaceDN/>
              <w:adjustRightInd/>
              <w:jc w:val="center"/>
              <w:rPr>
                <w:bCs/>
                <w:color w:val="000000"/>
                <w:sz w:val="20"/>
                <w:szCs w:val="20"/>
              </w:rPr>
            </w:pPr>
            <w:r w:rsidRPr="007C51D6">
              <w:rPr>
                <w:bCs/>
                <w:color w:val="000000"/>
                <w:sz w:val="20"/>
                <w:szCs w:val="20"/>
              </w:rPr>
              <w:t>2016 г.</w:t>
            </w:r>
          </w:p>
        </w:tc>
        <w:tc>
          <w:tcPr>
            <w:tcW w:w="1162" w:type="dxa"/>
            <w:shd w:val="clear" w:color="auto" w:fill="auto"/>
          </w:tcPr>
          <w:p w:rsidR="00A05467" w:rsidRPr="007C51D6" w:rsidRDefault="00A05467" w:rsidP="00A05467">
            <w:pPr>
              <w:autoSpaceDE/>
              <w:autoSpaceDN/>
              <w:adjustRightInd/>
              <w:jc w:val="center"/>
              <w:rPr>
                <w:bCs/>
                <w:color w:val="000000"/>
                <w:sz w:val="20"/>
                <w:szCs w:val="20"/>
              </w:rPr>
            </w:pPr>
            <w:r w:rsidRPr="007C51D6">
              <w:rPr>
                <w:bCs/>
                <w:color w:val="000000"/>
                <w:sz w:val="20"/>
                <w:szCs w:val="20"/>
              </w:rPr>
              <w:t>2017 г.</w:t>
            </w:r>
          </w:p>
        </w:tc>
        <w:tc>
          <w:tcPr>
            <w:tcW w:w="1163" w:type="dxa"/>
            <w:shd w:val="clear" w:color="auto" w:fill="auto"/>
          </w:tcPr>
          <w:p w:rsidR="00A05467" w:rsidRPr="007C51D6" w:rsidRDefault="00A05467" w:rsidP="00A05467">
            <w:pPr>
              <w:autoSpaceDE/>
              <w:autoSpaceDN/>
              <w:adjustRightInd/>
              <w:jc w:val="center"/>
              <w:rPr>
                <w:bCs/>
                <w:color w:val="000000"/>
                <w:sz w:val="20"/>
                <w:szCs w:val="20"/>
              </w:rPr>
            </w:pPr>
            <w:r w:rsidRPr="007C51D6">
              <w:rPr>
                <w:bCs/>
                <w:color w:val="000000"/>
                <w:sz w:val="20"/>
                <w:szCs w:val="20"/>
              </w:rPr>
              <w:t>2018 г.</w:t>
            </w:r>
          </w:p>
        </w:tc>
        <w:tc>
          <w:tcPr>
            <w:tcW w:w="1162" w:type="dxa"/>
            <w:shd w:val="clear" w:color="auto" w:fill="auto"/>
          </w:tcPr>
          <w:p w:rsidR="00A05467" w:rsidRPr="007C51D6" w:rsidRDefault="00A05467" w:rsidP="00A05467">
            <w:pPr>
              <w:autoSpaceDE/>
              <w:autoSpaceDN/>
              <w:adjustRightInd/>
              <w:jc w:val="center"/>
              <w:rPr>
                <w:rFonts w:eastAsia="Arial"/>
                <w:sz w:val="20"/>
                <w:szCs w:val="20"/>
              </w:rPr>
            </w:pPr>
            <w:r w:rsidRPr="007C51D6">
              <w:rPr>
                <w:rFonts w:eastAsia="Arial"/>
                <w:sz w:val="20"/>
                <w:szCs w:val="20"/>
              </w:rPr>
              <w:t>2019 г.</w:t>
            </w:r>
          </w:p>
        </w:tc>
        <w:tc>
          <w:tcPr>
            <w:tcW w:w="1162" w:type="dxa"/>
            <w:shd w:val="clear" w:color="auto" w:fill="auto"/>
          </w:tcPr>
          <w:p w:rsidR="00A05467" w:rsidRPr="007C51D6" w:rsidRDefault="00A05467" w:rsidP="00A05467">
            <w:pPr>
              <w:autoSpaceDE/>
              <w:autoSpaceDN/>
              <w:adjustRightInd/>
              <w:jc w:val="center"/>
              <w:rPr>
                <w:rFonts w:eastAsia="Arial"/>
                <w:sz w:val="20"/>
                <w:szCs w:val="20"/>
              </w:rPr>
            </w:pPr>
            <w:r w:rsidRPr="007C51D6">
              <w:rPr>
                <w:rFonts w:eastAsia="Arial"/>
                <w:sz w:val="20"/>
                <w:szCs w:val="20"/>
              </w:rPr>
              <w:t>2020 г.</w:t>
            </w:r>
          </w:p>
        </w:tc>
        <w:tc>
          <w:tcPr>
            <w:tcW w:w="1163" w:type="dxa"/>
          </w:tcPr>
          <w:p w:rsidR="00A05467" w:rsidRPr="007C51D6" w:rsidRDefault="00A05467" w:rsidP="00A05467">
            <w:pPr>
              <w:autoSpaceDE/>
              <w:autoSpaceDN/>
              <w:adjustRightInd/>
              <w:jc w:val="center"/>
              <w:rPr>
                <w:rFonts w:eastAsia="Arial"/>
                <w:sz w:val="20"/>
                <w:szCs w:val="20"/>
              </w:rPr>
            </w:pPr>
            <w:r w:rsidRPr="007C51D6">
              <w:rPr>
                <w:rFonts w:eastAsia="Arial"/>
                <w:sz w:val="20"/>
                <w:szCs w:val="20"/>
              </w:rPr>
              <w:t>2021 г.</w:t>
            </w:r>
          </w:p>
        </w:tc>
        <w:tc>
          <w:tcPr>
            <w:tcW w:w="1162" w:type="dxa"/>
          </w:tcPr>
          <w:p w:rsidR="00A05467" w:rsidRPr="007C51D6" w:rsidRDefault="00A05467" w:rsidP="00A05467">
            <w:pPr>
              <w:autoSpaceDE/>
              <w:autoSpaceDN/>
              <w:adjustRightInd/>
              <w:jc w:val="center"/>
              <w:rPr>
                <w:rFonts w:eastAsia="Arial"/>
                <w:sz w:val="20"/>
                <w:szCs w:val="20"/>
              </w:rPr>
            </w:pPr>
            <w:r w:rsidRPr="007C51D6">
              <w:rPr>
                <w:rFonts w:eastAsia="Arial"/>
                <w:sz w:val="20"/>
                <w:szCs w:val="20"/>
              </w:rPr>
              <w:t>2022 г.</w:t>
            </w:r>
          </w:p>
        </w:tc>
        <w:tc>
          <w:tcPr>
            <w:tcW w:w="1219" w:type="dxa"/>
          </w:tcPr>
          <w:p w:rsidR="00A05467" w:rsidRPr="007C51D6" w:rsidRDefault="00A05467" w:rsidP="00A05467">
            <w:pPr>
              <w:autoSpaceDE/>
              <w:autoSpaceDN/>
              <w:adjustRightInd/>
              <w:jc w:val="center"/>
              <w:rPr>
                <w:rFonts w:eastAsia="Arial"/>
                <w:sz w:val="20"/>
                <w:szCs w:val="20"/>
              </w:rPr>
            </w:pPr>
            <w:r w:rsidRPr="007C51D6">
              <w:rPr>
                <w:rFonts w:eastAsia="Arial"/>
                <w:sz w:val="20"/>
                <w:szCs w:val="20"/>
              </w:rPr>
              <w:t>2023 г.</w:t>
            </w:r>
          </w:p>
        </w:tc>
        <w:tc>
          <w:tcPr>
            <w:tcW w:w="1305" w:type="dxa"/>
          </w:tcPr>
          <w:p w:rsidR="00A05467" w:rsidRPr="007C51D6" w:rsidRDefault="00A05467" w:rsidP="00A05467">
            <w:pPr>
              <w:autoSpaceDE/>
              <w:autoSpaceDN/>
              <w:adjustRightInd/>
              <w:jc w:val="center"/>
              <w:rPr>
                <w:rFonts w:eastAsia="Arial"/>
                <w:sz w:val="20"/>
                <w:szCs w:val="20"/>
              </w:rPr>
            </w:pPr>
            <w:r w:rsidRPr="007C51D6">
              <w:rPr>
                <w:rFonts w:eastAsia="Arial"/>
                <w:sz w:val="20"/>
                <w:szCs w:val="20"/>
              </w:rPr>
              <w:t>2024 г.</w:t>
            </w:r>
          </w:p>
        </w:tc>
        <w:tc>
          <w:tcPr>
            <w:tcW w:w="1305" w:type="dxa"/>
          </w:tcPr>
          <w:p w:rsidR="00A05467" w:rsidRPr="007C51D6" w:rsidRDefault="00A05467" w:rsidP="00A05467">
            <w:pPr>
              <w:autoSpaceDE/>
              <w:autoSpaceDN/>
              <w:adjustRightInd/>
              <w:jc w:val="center"/>
              <w:rPr>
                <w:rFonts w:eastAsia="Arial"/>
                <w:sz w:val="20"/>
                <w:szCs w:val="20"/>
              </w:rPr>
            </w:pPr>
            <w:r w:rsidRPr="007C51D6">
              <w:rPr>
                <w:rFonts w:eastAsia="Arial"/>
                <w:sz w:val="20"/>
                <w:szCs w:val="20"/>
              </w:rPr>
              <w:t>2025 г.*</w:t>
            </w:r>
          </w:p>
        </w:tc>
      </w:tr>
      <w:tr w:rsidR="00A05467" w:rsidRPr="007C51D6" w:rsidTr="00A05467">
        <w:tblPrEx>
          <w:tblBorders>
            <w:bottom w:val="single" w:sz="4" w:space="0" w:color="auto"/>
          </w:tblBorders>
        </w:tblPrEx>
        <w:trPr>
          <w:trHeight w:val="20"/>
          <w:tblHeader/>
        </w:trPr>
        <w:tc>
          <w:tcPr>
            <w:tcW w:w="3114" w:type="dxa"/>
            <w:shd w:val="clear" w:color="auto" w:fill="auto"/>
          </w:tcPr>
          <w:p w:rsidR="00A05467" w:rsidRPr="007C51D6" w:rsidRDefault="00A05467" w:rsidP="00A05467">
            <w:pPr>
              <w:autoSpaceDE/>
              <w:autoSpaceDN/>
              <w:adjustRightInd/>
              <w:jc w:val="center"/>
              <w:rPr>
                <w:color w:val="000000"/>
                <w:sz w:val="20"/>
                <w:szCs w:val="20"/>
              </w:rPr>
            </w:pPr>
            <w:r w:rsidRPr="007C51D6">
              <w:rPr>
                <w:color w:val="000000"/>
                <w:sz w:val="20"/>
                <w:szCs w:val="20"/>
              </w:rPr>
              <w:t>1</w:t>
            </w:r>
          </w:p>
        </w:tc>
        <w:tc>
          <w:tcPr>
            <w:tcW w:w="1275" w:type="dxa"/>
            <w:shd w:val="clear" w:color="auto" w:fill="auto"/>
          </w:tcPr>
          <w:p w:rsidR="00A05467" w:rsidRPr="007C51D6" w:rsidRDefault="00A05467" w:rsidP="00A05467">
            <w:pPr>
              <w:autoSpaceDE/>
              <w:autoSpaceDN/>
              <w:adjustRightInd/>
              <w:jc w:val="center"/>
              <w:rPr>
                <w:color w:val="000000"/>
                <w:sz w:val="20"/>
                <w:szCs w:val="20"/>
              </w:rPr>
            </w:pPr>
            <w:r w:rsidRPr="007C51D6">
              <w:rPr>
                <w:color w:val="000000"/>
                <w:sz w:val="20"/>
                <w:szCs w:val="20"/>
              </w:rPr>
              <w:t>2</w:t>
            </w:r>
          </w:p>
        </w:tc>
        <w:tc>
          <w:tcPr>
            <w:tcW w:w="1162" w:type="dxa"/>
            <w:shd w:val="clear" w:color="auto" w:fill="auto"/>
          </w:tcPr>
          <w:p w:rsidR="00A05467" w:rsidRPr="007C51D6" w:rsidRDefault="00A05467" w:rsidP="00A05467">
            <w:pPr>
              <w:autoSpaceDE/>
              <w:autoSpaceDN/>
              <w:adjustRightInd/>
              <w:jc w:val="center"/>
              <w:rPr>
                <w:color w:val="000000"/>
                <w:sz w:val="20"/>
                <w:szCs w:val="20"/>
              </w:rPr>
            </w:pPr>
            <w:r w:rsidRPr="007C51D6">
              <w:rPr>
                <w:color w:val="000000"/>
                <w:sz w:val="20"/>
                <w:szCs w:val="20"/>
              </w:rPr>
              <w:t>3</w:t>
            </w:r>
          </w:p>
        </w:tc>
        <w:tc>
          <w:tcPr>
            <w:tcW w:w="1163" w:type="dxa"/>
            <w:shd w:val="clear" w:color="auto" w:fill="auto"/>
          </w:tcPr>
          <w:p w:rsidR="00A05467" w:rsidRPr="007C51D6" w:rsidRDefault="00A05467" w:rsidP="00A05467">
            <w:pPr>
              <w:autoSpaceDE/>
              <w:autoSpaceDN/>
              <w:adjustRightInd/>
              <w:jc w:val="center"/>
              <w:rPr>
                <w:color w:val="000000"/>
                <w:sz w:val="20"/>
                <w:szCs w:val="20"/>
              </w:rPr>
            </w:pPr>
            <w:r w:rsidRPr="007C51D6">
              <w:rPr>
                <w:color w:val="000000"/>
                <w:sz w:val="20"/>
                <w:szCs w:val="20"/>
              </w:rPr>
              <w:t>4</w:t>
            </w:r>
          </w:p>
        </w:tc>
        <w:tc>
          <w:tcPr>
            <w:tcW w:w="1162" w:type="dxa"/>
            <w:shd w:val="clear" w:color="auto" w:fill="auto"/>
          </w:tcPr>
          <w:p w:rsidR="00A05467" w:rsidRPr="007C51D6" w:rsidRDefault="00A05467" w:rsidP="00A05467">
            <w:pPr>
              <w:autoSpaceDE/>
              <w:autoSpaceDN/>
              <w:adjustRightInd/>
              <w:jc w:val="center"/>
              <w:rPr>
                <w:color w:val="000000"/>
                <w:sz w:val="20"/>
                <w:szCs w:val="20"/>
              </w:rPr>
            </w:pPr>
            <w:r w:rsidRPr="007C51D6">
              <w:rPr>
                <w:color w:val="000000"/>
                <w:sz w:val="20"/>
                <w:szCs w:val="20"/>
              </w:rPr>
              <w:t>5</w:t>
            </w:r>
          </w:p>
        </w:tc>
        <w:tc>
          <w:tcPr>
            <w:tcW w:w="1162" w:type="dxa"/>
            <w:shd w:val="clear" w:color="auto" w:fill="auto"/>
          </w:tcPr>
          <w:p w:rsidR="00A05467" w:rsidRPr="007C51D6" w:rsidRDefault="00A05467" w:rsidP="00A05467">
            <w:pPr>
              <w:autoSpaceDE/>
              <w:autoSpaceDN/>
              <w:adjustRightInd/>
              <w:jc w:val="center"/>
              <w:rPr>
                <w:color w:val="000000"/>
                <w:sz w:val="20"/>
                <w:szCs w:val="20"/>
              </w:rPr>
            </w:pPr>
            <w:r w:rsidRPr="007C51D6">
              <w:rPr>
                <w:color w:val="000000"/>
                <w:sz w:val="20"/>
                <w:szCs w:val="20"/>
              </w:rPr>
              <w:t>6</w:t>
            </w:r>
          </w:p>
        </w:tc>
        <w:tc>
          <w:tcPr>
            <w:tcW w:w="1163" w:type="dxa"/>
          </w:tcPr>
          <w:p w:rsidR="00A05467" w:rsidRPr="007C51D6" w:rsidRDefault="00A05467" w:rsidP="00A05467">
            <w:pPr>
              <w:autoSpaceDE/>
              <w:autoSpaceDN/>
              <w:adjustRightInd/>
              <w:jc w:val="center"/>
              <w:rPr>
                <w:color w:val="000000"/>
                <w:sz w:val="20"/>
                <w:szCs w:val="20"/>
              </w:rPr>
            </w:pPr>
            <w:r w:rsidRPr="007C51D6">
              <w:rPr>
                <w:color w:val="000000"/>
                <w:sz w:val="20"/>
                <w:szCs w:val="20"/>
              </w:rPr>
              <w:t>7</w:t>
            </w:r>
          </w:p>
        </w:tc>
        <w:tc>
          <w:tcPr>
            <w:tcW w:w="1162" w:type="dxa"/>
          </w:tcPr>
          <w:p w:rsidR="00A05467" w:rsidRPr="007C51D6" w:rsidRDefault="00A05467" w:rsidP="00A05467">
            <w:pPr>
              <w:autoSpaceDE/>
              <w:autoSpaceDN/>
              <w:adjustRightInd/>
              <w:jc w:val="center"/>
              <w:rPr>
                <w:color w:val="000000"/>
                <w:sz w:val="20"/>
                <w:szCs w:val="20"/>
              </w:rPr>
            </w:pPr>
            <w:r w:rsidRPr="007C51D6">
              <w:rPr>
                <w:color w:val="000000"/>
                <w:sz w:val="20"/>
                <w:szCs w:val="20"/>
              </w:rPr>
              <w:t>8</w:t>
            </w:r>
          </w:p>
        </w:tc>
        <w:tc>
          <w:tcPr>
            <w:tcW w:w="1219" w:type="dxa"/>
          </w:tcPr>
          <w:p w:rsidR="00A05467" w:rsidRPr="007C51D6" w:rsidRDefault="00A05467" w:rsidP="00A05467">
            <w:pPr>
              <w:autoSpaceDE/>
              <w:autoSpaceDN/>
              <w:adjustRightInd/>
              <w:jc w:val="center"/>
              <w:rPr>
                <w:color w:val="000000"/>
                <w:sz w:val="20"/>
                <w:szCs w:val="20"/>
              </w:rPr>
            </w:pPr>
            <w:r w:rsidRPr="007C51D6">
              <w:rPr>
                <w:color w:val="000000"/>
                <w:sz w:val="20"/>
                <w:szCs w:val="20"/>
              </w:rPr>
              <w:t>9</w:t>
            </w:r>
          </w:p>
        </w:tc>
        <w:tc>
          <w:tcPr>
            <w:tcW w:w="1305" w:type="dxa"/>
          </w:tcPr>
          <w:p w:rsidR="00A05467" w:rsidRPr="007C51D6" w:rsidRDefault="00A05467" w:rsidP="00A05467">
            <w:pPr>
              <w:autoSpaceDE/>
              <w:autoSpaceDN/>
              <w:adjustRightInd/>
              <w:jc w:val="center"/>
              <w:rPr>
                <w:color w:val="000000"/>
                <w:sz w:val="20"/>
                <w:szCs w:val="20"/>
              </w:rPr>
            </w:pPr>
            <w:r w:rsidRPr="007C51D6">
              <w:rPr>
                <w:color w:val="000000"/>
                <w:sz w:val="20"/>
                <w:szCs w:val="20"/>
              </w:rPr>
              <w:t>10</w:t>
            </w:r>
          </w:p>
        </w:tc>
        <w:tc>
          <w:tcPr>
            <w:tcW w:w="1305" w:type="dxa"/>
          </w:tcPr>
          <w:p w:rsidR="00A05467" w:rsidRPr="007C51D6" w:rsidRDefault="00A05467" w:rsidP="00A05467">
            <w:pPr>
              <w:autoSpaceDE/>
              <w:autoSpaceDN/>
              <w:adjustRightInd/>
              <w:jc w:val="center"/>
              <w:rPr>
                <w:color w:val="000000"/>
                <w:sz w:val="20"/>
                <w:szCs w:val="20"/>
              </w:rPr>
            </w:pPr>
            <w:r w:rsidRPr="007C51D6">
              <w:rPr>
                <w:color w:val="000000"/>
                <w:sz w:val="20"/>
                <w:szCs w:val="20"/>
              </w:rPr>
              <w:t>11</w:t>
            </w:r>
          </w:p>
        </w:tc>
      </w:tr>
      <w:tr w:rsidR="00FD53AC" w:rsidRPr="007C51D6" w:rsidTr="00080BEF">
        <w:tblPrEx>
          <w:tblBorders>
            <w:bottom w:val="single" w:sz="4" w:space="0" w:color="auto"/>
          </w:tblBorders>
        </w:tblPrEx>
        <w:trPr>
          <w:trHeight w:val="20"/>
        </w:trPr>
        <w:tc>
          <w:tcPr>
            <w:tcW w:w="3114" w:type="dxa"/>
            <w:shd w:val="clear" w:color="auto" w:fill="auto"/>
            <w:hideMark/>
          </w:tcPr>
          <w:p w:rsidR="00FD53AC" w:rsidRPr="007C51D6" w:rsidRDefault="00FD53AC" w:rsidP="00FD53AC">
            <w:pPr>
              <w:autoSpaceDE/>
              <w:autoSpaceDN/>
              <w:adjustRightInd/>
              <w:rPr>
                <w:color w:val="000000"/>
                <w:sz w:val="20"/>
                <w:szCs w:val="20"/>
              </w:rPr>
            </w:pPr>
            <w:r w:rsidRPr="007C51D6">
              <w:rPr>
                <w:color w:val="000000"/>
                <w:sz w:val="20"/>
                <w:szCs w:val="20"/>
              </w:rPr>
              <w:t>Республика Татарстан</w:t>
            </w:r>
          </w:p>
        </w:tc>
        <w:tc>
          <w:tcPr>
            <w:tcW w:w="1275" w:type="dxa"/>
            <w:shd w:val="clear" w:color="auto" w:fill="auto"/>
          </w:tcPr>
          <w:p w:rsidR="00FD53AC" w:rsidRPr="007C51D6" w:rsidRDefault="00FD53AC" w:rsidP="00FD53AC">
            <w:pPr>
              <w:autoSpaceDE/>
              <w:autoSpaceDN/>
              <w:adjustRightInd/>
              <w:jc w:val="center"/>
              <w:rPr>
                <w:color w:val="000000"/>
                <w:sz w:val="20"/>
                <w:szCs w:val="20"/>
              </w:rPr>
            </w:pPr>
            <w:r w:rsidRPr="007C51D6">
              <w:rPr>
                <w:color w:val="000000"/>
                <w:sz w:val="20"/>
                <w:szCs w:val="20"/>
              </w:rPr>
              <w:t>97626</w:t>
            </w:r>
          </w:p>
        </w:tc>
        <w:tc>
          <w:tcPr>
            <w:tcW w:w="1162" w:type="dxa"/>
            <w:shd w:val="clear" w:color="auto" w:fill="auto"/>
          </w:tcPr>
          <w:p w:rsidR="00FD53AC" w:rsidRPr="007C51D6" w:rsidRDefault="00FD53AC" w:rsidP="00FD53AC">
            <w:pPr>
              <w:autoSpaceDE/>
              <w:autoSpaceDN/>
              <w:adjustRightInd/>
              <w:jc w:val="center"/>
              <w:rPr>
                <w:color w:val="000000"/>
                <w:sz w:val="20"/>
                <w:szCs w:val="20"/>
              </w:rPr>
            </w:pPr>
            <w:r w:rsidRPr="007C51D6">
              <w:rPr>
                <w:color w:val="000000"/>
                <w:sz w:val="20"/>
                <w:szCs w:val="20"/>
              </w:rPr>
              <w:t>104038</w:t>
            </w:r>
          </w:p>
        </w:tc>
        <w:tc>
          <w:tcPr>
            <w:tcW w:w="1163" w:type="dxa"/>
            <w:shd w:val="clear" w:color="auto" w:fill="auto"/>
          </w:tcPr>
          <w:p w:rsidR="00FD53AC" w:rsidRPr="007C51D6" w:rsidRDefault="00FD53AC" w:rsidP="00FD53AC">
            <w:pPr>
              <w:autoSpaceDE/>
              <w:autoSpaceDN/>
              <w:adjustRightInd/>
              <w:jc w:val="center"/>
              <w:rPr>
                <w:color w:val="000000"/>
                <w:sz w:val="20"/>
                <w:szCs w:val="20"/>
              </w:rPr>
            </w:pPr>
            <w:r w:rsidRPr="007C51D6">
              <w:rPr>
                <w:color w:val="000000"/>
                <w:sz w:val="20"/>
                <w:szCs w:val="20"/>
              </w:rPr>
              <w:t>110306</w:t>
            </w:r>
          </w:p>
        </w:tc>
        <w:tc>
          <w:tcPr>
            <w:tcW w:w="1162" w:type="dxa"/>
            <w:shd w:val="clear" w:color="auto" w:fill="auto"/>
          </w:tcPr>
          <w:p w:rsidR="00FD53AC" w:rsidRPr="007C51D6" w:rsidRDefault="00FD53AC" w:rsidP="00FD53AC">
            <w:pPr>
              <w:autoSpaceDE/>
              <w:autoSpaceDN/>
              <w:adjustRightInd/>
              <w:jc w:val="center"/>
              <w:rPr>
                <w:color w:val="000000"/>
                <w:sz w:val="20"/>
                <w:szCs w:val="20"/>
              </w:rPr>
            </w:pPr>
            <w:r w:rsidRPr="007C51D6">
              <w:rPr>
                <w:color w:val="000000"/>
                <w:sz w:val="20"/>
                <w:szCs w:val="20"/>
              </w:rPr>
              <w:t>114600</w:t>
            </w:r>
          </w:p>
        </w:tc>
        <w:tc>
          <w:tcPr>
            <w:tcW w:w="1162" w:type="dxa"/>
            <w:shd w:val="clear" w:color="auto" w:fill="auto"/>
          </w:tcPr>
          <w:p w:rsidR="00FD53AC" w:rsidRPr="007C51D6" w:rsidRDefault="00FD53AC" w:rsidP="00FD53AC">
            <w:pPr>
              <w:autoSpaceDE/>
              <w:autoSpaceDN/>
              <w:adjustRightInd/>
              <w:jc w:val="center"/>
              <w:rPr>
                <w:color w:val="000000"/>
                <w:sz w:val="20"/>
                <w:szCs w:val="20"/>
              </w:rPr>
            </w:pPr>
            <w:r w:rsidRPr="007C51D6">
              <w:rPr>
                <w:color w:val="000000"/>
                <w:sz w:val="20"/>
                <w:szCs w:val="20"/>
              </w:rPr>
              <w:t>110578</w:t>
            </w:r>
          </w:p>
        </w:tc>
        <w:tc>
          <w:tcPr>
            <w:tcW w:w="1163" w:type="dxa"/>
          </w:tcPr>
          <w:p w:rsidR="00FD53AC" w:rsidRPr="007C51D6" w:rsidRDefault="00FD53AC" w:rsidP="00FD53AC">
            <w:pPr>
              <w:autoSpaceDE/>
              <w:autoSpaceDN/>
              <w:adjustRightInd/>
              <w:jc w:val="center"/>
              <w:rPr>
                <w:color w:val="000000"/>
                <w:sz w:val="20"/>
                <w:szCs w:val="20"/>
              </w:rPr>
            </w:pPr>
            <w:r w:rsidRPr="007C51D6">
              <w:rPr>
                <w:color w:val="000000"/>
                <w:sz w:val="20"/>
                <w:szCs w:val="20"/>
              </w:rPr>
              <w:t>111507</w:t>
            </w:r>
          </w:p>
        </w:tc>
        <w:tc>
          <w:tcPr>
            <w:tcW w:w="1162" w:type="dxa"/>
          </w:tcPr>
          <w:p w:rsidR="00FD53AC" w:rsidRPr="007C51D6" w:rsidRDefault="00FD53AC" w:rsidP="00FD53AC">
            <w:pPr>
              <w:autoSpaceDE/>
              <w:autoSpaceDN/>
              <w:adjustRightInd/>
              <w:jc w:val="center"/>
              <w:rPr>
                <w:color w:val="000000"/>
                <w:sz w:val="20"/>
                <w:szCs w:val="20"/>
              </w:rPr>
            </w:pPr>
            <w:r w:rsidRPr="007C51D6">
              <w:rPr>
                <w:color w:val="000000"/>
                <w:sz w:val="20"/>
                <w:szCs w:val="20"/>
              </w:rPr>
              <w:t>115094</w:t>
            </w:r>
          </w:p>
        </w:tc>
        <w:tc>
          <w:tcPr>
            <w:tcW w:w="1219" w:type="dxa"/>
          </w:tcPr>
          <w:p w:rsidR="00FD53AC" w:rsidRPr="007C51D6" w:rsidRDefault="00FD53AC" w:rsidP="00FD53AC">
            <w:pPr>
              <w:autoSpaceDE/>
              <w:autoSpaceDN/>
              <w:adjustRightInd/>
              <w:jc w:val="center"/>
              <w:rPr>
                <w:color w:val="000000"/>
                <w:sz w:val="20"/>
                <w:szCs w:val="20"/>
              </w:rPr>
            </w:pPr>
            <w:r w:rsidRPr="007C51D6">
              <w:rPr>
                <w:color w:val="000000"/>
                <w:sz w:val="20"/>
                <w:szCs w:val="20"/>
              </w:rPr>
              <w:t>120356</w:t>
            </w:r>
          </w:p>
        </w:tc>
        <w:tc>
          <w:tcPr>
            <w:tcW w:w="1305" w:type="dxa"/>
          </w:tcPr>
          <w:p w:rsidR="00FD53AC" w:rsidRPr="007C51D6" w:rsidRDefault="00FD53AC" w:rsidP="00FD53AC">
            <w:pPr>
              <w:autoSpaceDE/>
              <w:autoSpaceDN/>
              <w:adjustRightInd/>
              <w:jc w:val="center"/>
              <w:rPr>
                <w:color w:val="000000"/>
                <w:sz w:val="20"/>
                <w:szCs w:val="20"/>
              </w:rPr>
            </w:pPr>
            <w:r w:rsidRPr="007C51D6">
              <w:rPr>
                <w:color w:val="000000"/>
                <w:sz w:val="20"/>
                <w:szCs w:val="20"/>
              </w:rPr>
              <w:t>127287</w:t>
            </w:r>
          </w:p>
        </w:tc>
        <w:tc>
          <w:tcPr>
            <w:tcW w:w="1305" w:type="dxa"/>
            <w:vAlign w:val="center"/>
          </w:tcPr>
          <w:p w:rsidR="00FD53AC" w:rsidRPr="007C51D6" w:rsidRDefault="00FD53AC" w:rsidP="00A201DE">
            <w:pPr>
              <w:widowControl/>
              <w:autoSpaceDE/>
              <w:autoSpaceDN/>
              <w:adjustRightInd/>
              <w:jc w:val="center"/>
              <w:rPr>
                <w:color w:val="000000"/>
                <w:sz w:val="20"/>
                <w:szCs w:val="20"/>
              </w:rPr>
            </w:pPr>
            <w:r w:rsidRPr="007C51D6">
              <w:rPr>
                <w:color w:val="000000"/>
                <w:sz w:val="20"/>
                <w:szCs w:val="20"/>
              </w:rPr>
              <w:t>12</w:t>
            </w:r>
            <w:r w:rsidR="00A201DE" w:rsidRPr="007C51D6">
              <w:rPr>
                <w:color w:val="000000"/>
                <w:sz w:val="20"/>
                <w:szCs w:val="20"/>
              </w:rPr>
              <w:t>8093</w:t>
            </w:r>
          </w:p>
        </w:tc>
      </w:tr>
      <w:tr w:rsidR="007E52FD" w:rsidRPr="007C51D6" w:rsidTr="00080BEF">
        <w:tblPrEx>
          <w:tblBorders>
            <w:bottom w:val="single" w:sz="4" w:space="0" w:color="auto"/>
          </w:tblBorders>
        </w:tblPrEx>
        <w:trPr>
          <w:trHeight w:val="20"/>
        </w:trPr>
        <w:tc>
          <w:tcPr>
            <w:tcW w:w="3114" w:type="dxa"/>
            <w:shd w:val="clear" w:color="auto" w:fill="auto"/>
            <w:hideMark/>
          </w:tcPr>
          <w:p w:rsidR="007E52FD" w:rsidRPr="007C51D6" w:rsidRDefault="007E52FD" w:rsidP="007E52FD">
            <w:pPr>
              <w:autoSpaceDE/>
              <w:autoSpaceDN/>
              <w:adjustRightInd/>
              <w:rPr>
                <w:color w:val="000000"/>
                <w:sz w:val="20"/>
                <w:szCs w:val="20"/>
              </w:rPr>
            </w:pPr>
            <w:r w:rsidRPr="007C51D6">
              <w:rPr>
                <w:color w:val="000000"/>
                <w:sz w:val="20"/>
                <w:szCs w:val="20"/>
              </w:rPr>
              <w:t>Агрызский</w:t>
            </w:r>
          </w:p>
        </w:tc>
        <w:tc>
          <w:tcPr>
            <w:tcW w:w="1275" w:type="dxa"/>
            <w:shd w:val="clear" w:color="auto" w:fill="auto"/>
            <w:vAlign w:val="center"/>
          </w:tcPr>
          <w:p w:rsidR="007E52FD" w:rsidRPr="007C51D6" w:rsidRDefault="007E52FD" w:rsidP="007E52FD">
            <w:pPr>
              <w:jc w:val="center"/>
              <w:rPr>
                <w:color w:val="000000"/>
                <w:sz w:val="20"/>
                <w:szCs w:val="20"/>
              </w:rPr>
            </w:pPr>
            <w:r w:rsidRPr="007C51D6">
              <w:rPr>
                <w:color w:val="000000"/>
                <w:sz w:val="20"/>
                <w:szCs w:val="20"/>
              </w:rPr>
              <w:t>557</w:t>
            </w:r>
          </w:p>
        </w:tc>
        <w:tc>
          <w:tcPr>
            <w:tcW w:w="1162" w:type="dxa"/>
            <w:shd w:val="clear" w:color="auto" w:fill="auto"/>
            <w:vAlign w:val="center"/>
          </w:tcPr>
          <w:p w:rsidR="007E52FD" w:rsidRPr="007C51D6" w:rsidRDefault="007E52FD" w:rsidP="007E52FD">
            <w:pPr>
              <w:jc w:val="center"/>
              <w:rPr>
                <w:color w:val="000000"/>
                <w:sz w:val="20"/>
                <w:szCs w:val="20"/>
              </w:rPr>
            </w:pPr>
            <w:r w:rsidRPr="007C51D6">
              <w:rPr>
                <w:color w:val="000000"/>
                <w:sz w:val="20"/>
                <w:szCs w:val="20"/>
              </w:rPr>
              <w:t>584</w:t>
            </w:r>
          </w:p>
        </w:tc>
        <w:tc>
          <w:tcPr>
            <w:tcW w:w="1163" w:type="dxa"/>
            <w:shd w:val="clear" w:color="auto" w:fill="auto"/>
            <w:vAlign w:val="center"/>
          </w:tcPr>
          <w:p w:rsidR="007E52FD" w:rsidRPr="007C51D6" w:rsidRDefault="007E52FD" w:rsidP="007E52FD">
            <w:pPr>
              <w:jc w:val="center"/>
              <w:rPr>
                <w:color w:val="000000"/>
                <w:sz w:val="20"/>
                <w:szCs w:val="20"/>
              </w:rPr>
            </w:pPr>
            <w:r w:rsidRPr="007C51D6">
              <w:rPr>
                <w:color w:val="000000"/>
                <w:sz w:val="20"/>
                <w:szCs w:val="20"/>
              </w:rPr>
              <w:t>644</w:t>
            </w:r>
          </w:p>
        </w:tc>
        <w:tc>
          <w:tcPr>
            <w:tcW w:w="1162" w:type="dxa"/>
            <w:shd w:val="clear" w:color="auto" w:fill="auto"/>
            <w:vAlign w:val="center"/>
          </w:tcPr>
          <w:p w:rsidR="007E52FD" w:rsidRPr="007C51D6" w:rsidRDefault="007E52FD" w:rsidP="007E52FD">
            <w:pPr>
              <w:jc w:val="center"/>
              <w:rPr>
                <w:color w:val="000000"/>
                <w:sz w:val="20"/>
                <w:szCs w:val="20"/>
              </w:rPr>
            </w:pPr>
            <w:r w:rsidRPr="007C51D6">
              <w:rPr>
                <w:color w:val="000000"/>
                <w:sz w:val="20"/>
                <w:szCs w:val="20"/>
              </w:rPr>
              <w:t>671</w:t>
            </w:r>
          </w:p>
        </w:tc>
        <w:tc>
          <w:tcPr>
            <w:tcW w:w="1162" w:type="dxa"/>
            <w:shd w:val="clear" w:color="auto" w:fill="auto"/>
            <w:vAlign w:val="center"/>
          </w:tcPr>
          <w:p w:rsidR="007E52FD" w:rsidRPr="007C51D6" w:rsidRDefault="007E52FD" w:rsidP="007E52FD">
            <w:pPr>
              <w:jc w:val="center"/>
              <w:rPr>
                <w:color w:val="000000"/>
                <w:sz w:val="20"/>
                <w:szCs w:val="20"/>
              </w:rPr>
            </w:pPr>
            <w:r w:rsidRPr="007C51D6">
              <w:rPr>
                <w:color w:val="000000"/>
                <w:sz w:val="20"/>
                <w:szCs w:val="20"/>
              </w:rPr>
              <w:t>709</w:t>
            </w:r>
          </w:p>
        </w:tc>
        <w:tc>
          <w:tcPr>
            <w:tcW w:w="1163" w:type="dxa"/>
            <w:vAlign w:val="center"/>
          </w:tcPr>
          <w:p w:rsidR="007E52FD" w:rsidRPr="007C51D6" w:rsidRDefault="007E52FD" w:rsidP="007E52FD">
            <w:pPr>
              <w:jc w:val="center"/>
              <w:rPr>
                <w:color w:val="000000"/>
                <w:sz w:val="20"/>
                <w:szCs w:val="20"/>
              </w:rPr>
            </w:pPr>
            <w:r w:rsidRPr="007C51D6">
              <w:rPr>
                <w:color w:val="000000"/>
                <w:sz w:val="20"/>
                <w:szCs w:val="20"/>
              </w:rPr>
              <w:t>715</w:t>
            </w:r>
          </w:p>
        </w:tc>
        <w:tc>
          <w:tcPr>
            <w:tcW w:w="1162" w:type="dxa"/>
            <w:vAlign w:val="center"/>
          </w:tcPr>
          <w:p w:rsidR="007E52FD" w:rsidRPr="007C51D6" w:rsidRDefault="007E52FD" w:rsidP="007E52FD">
            <w:pPr>
              <w:jc w:val="center"/>
              <w:rPr>
                <w:color w:val="000000"/>
                <w:sz w:val="20"/>
                <w:szCs w:val="20"/>
              </w:rPr>
            </w:pPr>
            <w:r w:rsidRPr="007C51D6">
              <w:rPr>
                <w:color w:val="000000"/>
                <w:sz w:val="20"/>
                <w:szCs w:val="20"/>
              </w:rPr>
              <w:t>687</w:t>
            </w:r>
          </w:p>
        </w:tc>
        <w:tc>
          <w:tcPr>
            <w:tcW w:w="1219" w:type="dxa"/>
            <w:vAlign w:val="center"/>
          </w:tcPr>
          <w:p w:rsidR="007E52FD" w:rsidRPr="007C51D6" w:rsidRDefault="007E52FD" w:rsidP="007E52FD">
            <w:pPr>
              <w:jc w:val="center"/>
              <w:rPr>
                <w:color w:val="000000"/>
                <w:sz w:val="20"/>
                <w:szCs w:val="20"/>
              </w:rPr>
            </w:pPr>
            <w:r w:rsidRPr="007C51D6">
              <w:rPr>
                <w:color w:val="000000"/>
                <w:sz w:val="20"/>
                <w:szCs w:val="20"/>
              </w:rPr>
              <w:t>721</w:t>
            </w:r>
          </w:p>
        </w:tc>
        <w:tc>
          <w:tcPr>
            <w:tcW w:w="1305" w:type="dxa"/>
            <w:vAlign w:val="center"/>
          </w:tcPr>
          <w:p w:rsidR="007E52FD" w:rsidRPr="007C51D6" w:rsidRDefault="007E52FD" w:rsidP="007E52FD">
            <w:pPr>
              <w:jc w:val="center"/>
              <w:rPr>
                <w:color w:val="000000"/>
                <w:sz w:val="20"/>
                <w:szCs w:val="20"/>
              </w:rPr>
            </w:pPr>
            <w:r w:rsidRPr="007C51D6">
              <w:rPr>
                <w:color w:val="000000"/>
                <w:sz w:val="20"/>
                <w:szCs w:val="20"/>
              </w:rPr>
              <w:t>748</w:t>
            </w:r>
          </w:p>
        </w:tc>
        <w:tc>
          <w:tcPr>
            <w:tcW w:w="1305" w:type="dxa"/>
            <w:vAlign w:val="center"/>
          </w:tcPr>
          <w:p w:rsidR="007E52FD" w:rsidRPr="007C51D6" w:rsidRDefault="007E52FD" w:rsidP="007E52FD">
            <w:pPr>
              <w:widowControl/>
              <w:autoSpaceDE/>
              <w:autoSpaceDN/>
              <w:adjustRightInd/>
              <w:jc w:val="center"/>
              <w:rPr>
                <w:color w:val="000000"/>
                <w:sz w:val="20"/>
                <w:szCs w:val="20"/>
              </w:rPr>
            </w:pPr>
            <w:r w:rsidRPr="007C51D6">
              <w:rPr>
                <w:color w:val="000000"/>
                <w:sz w:val="20"/>
                <w:szCs w:val="20"/>
              </w:rPr>
              <w:t>741</w:t>
            </w:r>
          </w:p>
        </w:tc>
      </w:tr>
      <w:tr w:rsidR="007E52FD" w:rsidRPr="007C51D6" w:rsidTr="00080BEF">
        <w:tblPrEx>
          <w:tblBorders>
            <w:bottom w:val="single" w:sz="4" w:space="0" w:color="auto"/>
          </w:tblBorders>
        </w:tblPrEx>
        <w:trPr>
          <w:trHeight w:val="20"/>
        </w:trPr>
        <w:tc>
          <w:tcPr>
            <w:tcW w:w="3114" w:type="dxa"/>
            <w:shd w:val="clear" w:color="auto" w:fill="auto"/>
            <w:hideMark/>
          </w:tcPr>
          <w:p w:rsidR="007E52FD" w:rsidRPr="007C51D6" w:rsidRDefault="007E52FD" w:rsidP="007E52FD">
            <w:pPr>
              <w:autoSpaceDE/>
              <w:autoSpaceDN/>
              <w:adjustRightInd/>
              <w:rPr>
                <w:color w:val="000000"/>
                <w:sz w:val="20"/>
                <w:szCs w:val="20"/>
              </w:rPr>
            </w:pPr>
            <w:r w:rsidRPr="007C51D6">
              <w:rPr>
                <w:color w:val="000000"/>
                <w:sz w:val="20"/>
                <w:szCs w:val="20"/>
              </w:rPr>
              <w:t>Азнакаевский</w:t>
            </w:r>
          </w:p>
        </w:tc>
        <w:tc>
          <w:tcPr>
            <w:tcW w:w="1275" w:type="dxa"/>
            <w:shd w:val="clear" w:color="auto" w:fill="auto"/>
            <w:vAlign w:val="center"/>
          </w:tcPr>
          <w:p w:rsidR="007E52FD" w:rsidRPr="007C51D6" w:rsidRDefault="007E52FD" w:rsidP="007E52FD">
            <w:pPr>
              <w:jc w:val="center"/>
              <w:rPr>
                <w:color w:val="000000"/>
                <w:sz w:val="20"/>
                <w:szCs w:val="20"/>
              </w:rPr>
            </w:pPr>
            <w:r w:rsidRPr="007C51D6">
              <w:rPr>
                <w:color w:val="000000"/>
                <w:sz w:val="20"/>
                <w:szCs w:val="20"/>
              </w:rPr>
              <w:t>1543</w:t>
            </w:r>
          </w:p>
        </w:tc>
        <w:tc>
          <w:tcPr>
            <w:tcW w:w="1162" w:type="dxa"/>
            <w:shd w:val="clear" w:color="auto" w:fill="auto"/>
            <w:vAlign w:val="center"/>
          </w:tcPr>
          <w:p w:rsidR="007E52FD" w:rsidRPr="007C51D6" w:rsidRDefault="007E52FD" w:rsidP="007E52FD">
            <w:pPr>
              <w:jc w:val="center"/>
              <w:rPr>
                <w:color w:val="000000"/>
                <w:sz w:val="20"/>
                <w:szCs w:val="20"/>
              </w:rPr>
            </w:pPr>
            <w:r w:rsidRPr="007C51D6">
              <w:rPr>
                <w:color w:val="000000"/>
                <w:sz w:val="20"/>
                <w:szCs w:val="20"/>
              </w:rPr>
              <w:t>1676</w:t>
            </w:r>
          </w:p>
        </w:tc>
        <w:tc>
          <w:tcPr>
            <w:tcW w:w="1163" w:type="dxa"/>
            <w:shd w:val="clear" w:color="auto" w:fill="auto"/>
            <w:vAlign w:val="center"/>
          </w:tcPr>
          <w:p w:rsidR="007E52FD" w:rsidRPr="007C51D6" w:rsidRDefault="007E52FD" w:rsidP="007E52FD">
            <w:pPr>
              <w:jc w:val="center"/>
              <w:rPr>
                <w:color w:val="000000"/>
                <w:sz w:val="20"/>
                <w:szCs w:val="20"/>
              </w:rPr>
            </w:pPr>
            <w:r w:rsidRPr="007C51D6">
              <w:rPr>
                <w:color w:val="000000"/>
                <w:sz w:val="20"/>
                <w:szCs w:val="20"/>
              </w:rPr>
              <w:t>1734</w:t>
            </w:r>
          </w:p>
        </w:tc>
        <w:tc>
          <w:tcPr>
            <w:tcW w:w="1162" w:type="dxa"/>
            <w:shd w:val="clear" w:color="auto" w:fill="auto"/>
            <w:vAlign w:val="center"/>
          </w:tcPr>
          <w:p w:rsidR="007E52FD" w:rsidRPr="007C51D6" w:rsidRDefault="007E52FD" w:rsidP="007E52FD">
            <w:pPr>
              <w:jc w:val="center"/>
              <w:rPr>
                <w:color w:val="000000"/>
                <w:sz w:val="20"/>
                <w:szCs w:val="20"/>
              </w:rPr>
            </w:pPr>
            <w:r w:rsidRPr="007C51D6">
              <w:rPr>
                <w:color w:val="000000"/>
                <w:sz w:val="20"/>
                <w:szCs w:val="20"/>
              </w:rPr>
              <w:t>1790</w:t>
            </w:r>
          </w:p>
        </w:tc>
        <w:tc>
          <w:tcPr>
            <w:tcW w:w="1162" w:type="dxa"/>
            <w:shd w:val="clear" w:color="auto" w:fill="auto"/>
            <w:vAlign w:val="center"/>
          </w:tcPr>
          <w:p w:rsidR="007E52FD" w:rsidRPr="007C51D6" w:rsidRDefault="007E52FD" w:rsidP="007E52FD">
            <w:pPr>
              <w:jc w:val="center"/>
              <w:rPr>
                <w:color w:val="000000"/>
                <w:sz w:val="20"/>
                <w:szCs w:val="20"/>
              </w:rPr>
            </w:pPr>
            <w:r w:rsidRPr="007C51D6">
              <w:rPr>
                <w:color w:val="000000"/>
                <w:sz w:val="20"/>
                <w:szCs w:val="20"/>
              </w:rPr>
              <w:t>1804</w:t>
            </w:r>
          </w:p>
        </w:tc>
        <w:tc>
          <w:tcPr>
            <w:tcW w:w="1163" w:type="dxa"/>
            <w:vAlign w:val="center"/>
          </w:tcPr>
          <w:p w:rsidR="007E52FD" w:rsidRPr="007C51D6" w:rsidRDefault="007E52FD" w:rsidP="007E52FD">
            <w:pPr>
              <w:jc w:val="center"/>
              <w:rPr>
                <w:color w:val="000000"/>
                <w:sz w:val="20"/>
                <w:szCs w:val="20"/>
              </w:rPr>
            </w:pPr>
            <w:r w:rsidRPr="007C51D6">
              <w:rPr>
                <w:color w:val="000000"/>
                <w:sz w:val="20"/>
                <w:szCs w:val="20"/>
              </w:rPr>
              <w:t>1764</w:t>
            </w:r>
          </w:p>
        </w:tc>
        <w:tc>
          <w:tcPr>
            <w:tcW w:w="1162" w:type="dxa"/>
            <w:vAlign w:val="center"/>
          </w:tcPr>
          <w:p w:rsidR="007E52FD" w:rsidRPr="007C51D6" w:rsidRDefault="007E52FD" w:rsidP="007E52FD">
            <w:pPr>
              <w:jc w:val="center"/>
              <w:rPr>
                <w:color w:val="000000"/>
                <w:sz w:val="20"/>
                <w:szCs w:val="20"/>
              </w:rPr>
            </w:pPr>
            <w:r w:rsidRPr="007C51D6">
              <w:rPr>
                <w:color w:val="000000"/>
                <w:sz w:val="20"/>
                <w:szCs w:val="20"/>
              </w:rPr>
              <w:t>1841</w:t>
            </w:r>
          </w:p>
        </w:tc>
        <w:tc>
          <w:tcPr>
            <w:tcW w:w="1219" w:type="dxa"/>
            <w:vAlign w:val="center"/>
          </w:tcPr>
          <w:p w:rsidR="007E52FD" w:rsidRPr="007C51D6" w:rsidRDefault="007E52FD" w:rsidP="007E52FD">
            <w:pPr>
              <w:jc w:val="center"/>
              <w:rPr>
                <w:color w:val="000000"/>
                <w:sz w:val="20"/>
                <w:szCs w:val="20"/>
              </w:rPr>
            </w:pPr>
            <w:r w:rsidRPr="007C51D6">
              <w:rPr>
                <w:color w:val="000000"/>
                <w:sz w:val="20"/>
                <w:szCs w:val="20"/>
              </w:rPr>
              <w:t>1907</w:t>
            </w:r>
          </w:p>
        </w:tc>
        <w:tc>
          <w:tcPr>
            <w:tcW w:w="1305" w:type="dxa"/>
            <w:vAlign w:val="center"/>
          </w:tcPr>
          <w:p w:rsidR="007E52FD" w:rsidRPr="007C51D6" w:rsidRDefault="007E52FD" w:rsidP="007E52FD">
            <w:pPr>
              <w:jc w:val="center"/>
              <w:rPr>
                <w:color w:val="000000"/>
                <w:sz w:val="20"/>
                <w:szCs w:val="20"/>
              </w:rPr>
            </w:pPr>
            <w:r w:rsidRPr="007C51D6">
              <w:rPr>
                <w:color w:val="000000"/>
                <w:sz w:val="20"/>
                <w:szCs w:val="20"/>
              </w:rPr>
              <w:t>1963</w:t>
            </w:r>
          </w:p>
        </w:tc>
        <w:tc>
          <w:tcPr>
            <w:tcW w:w="1305" w:type="dxa"/>
            <w:vAlign w:val="center"/>
          </w:tcPr>
          <w:p w:rsidR="007E52FD" w:rsidRPr="007C51D6" w:rsidRDefault="007E52FD" w:rsidP="007E52FD">
            <w:pPr>
              <w:jc w:val="center"/>
              <w:rPr>
                <w:color w:val="000000"/>
                <w:sz w:val="20"/>
                <w:szCs w:val="20"/>
              </w:rPr>
            </w:pPr>
            <w:r w:rsidRPr="007C51D6">
              <w:rPr>
                <w:color w:val="000000"/>
                <w:sz w:val="20"/>
                <w:szCs w:val="20"/>
              </w:rPr>
              <w:t>1874</w:t>
            </w:r>
          </w:p>
        </w:tc>
      </w:tr>
      <w:tr w:rsidR="007E52FD" w:rsidRPr="007C51D6" w:rsidTr="00080BEF">
        <w:tblPrEx>
          <w:tblBorders>
            <w:bottom w:val="single" w:sz="4" w:space="0" w:color="auto"/>
          </w:tblBorders>
        </w:tblPrEx>
        <w:trPr>
          <w:trHeight w:val="20"/>
        </w:trPr>
        <w:tc>
          <w:tcPr>
            <w:tcW w:w="3114" w:type="dxa"/>
            <w:shd w:val="clear" w:color="auto" w:fill="auto"/>
            <w:hideMark/>
          </w:tcPr>
          <w:p w:rsidR="007E52FD" w:rsidRPr="007C51D6" w:rsidRDefault="007E52FD" w:rsidP="007E52FD">
            <w:pPr>
              <w:autoSpaceDE/>
              <w:autoSpaceDN/>
              <w:adjustRightInd/>
              <w:rPr>
                <w:color w:val="000000"/>
                <w:sz w:val="20"/>
                <w:szCs w:val="20"/>
              </w:rPr>
            </w:pPr>
            <w:r w:rsidRPr="007C51D6">
              <w:rPr>
                <w:color w:val="000000"/>
                <w:sz w:val="20"/>
                <w:szCs w:val="20"/>
              </w:rPr>
              <w:t>Аксубаевский</w:t>
            </w:r>
          </w:p>
        </w:tc>
        <w:tc>
          <w:tcPr>
            <w:tcW w:w="1275" w:type="dxa"/>
            <w:shd w:val="clear" w:color="auto" w:fill="auto"/>
            <w:vAlign w:val="center"/>
          </w:tcPr>
          <w:p w:rsidR="007E52FD" w:rsidRPr="007C51D6" w:rsidRDefault="007E52FD" w:rsidP="007E52FD">
            <w:pPr>
              <w:jc w:val="center"/>
              <w:rPr>
                <w:color w:val="000000"/>
                <w:sz w:val="20"/>
                <w:szCs w:val="20"/>
              </w:rPr>
            </w:pPr>
            <w:r w:rsidRPr="007C51D6">
              <w:rPr>
                <w:color w:val="000000"/>
                <w:sz w:val="20"/>
                <w:szCs w:val="20"/>
              </w:rPr>
              <w:t>507</w:t>
            </w:r>
          </w:p>
        </w:tc>
        <w:tc>
          <w:tcPr>
            <w:tcW w:w="1162" w:type="dxa"/>
            <w:shd w:val="clear" w:color="auto" w:fill="auto"/>
            <w:vAlign w:val="center"/>
          </w:tcPr>
          <w:p w:rsidR="007E52FD" w:rsidRPr="007C51D6" w:rsidRDefault="007E52FD" w:rsidP="007E52FD">
            <w:pPr>
              <w:jc w:val="center"/>
              <w:rPr>
                <w:color w:val="000000"/>
                <w:sz w:val="20"/>
                <w:szCs w:val="20"/>
              </w:rPr>
            </w:pPr>
            <w:r w:rsidRPr="007C51D6">
              <w:rPr>
                <w:color w:val="000000"/>
                <w:sz w:val="20"/>
                <w:szCs w:val="20"/>
              </w:rPr>
              <w:t>537</w:t>
            </w:r>
          </w:p>
        </w:tc>
        <w:tc>
          <w:tcPr>
            <w:tcW w:w="1163" w:type="dxa"/>
            <w:shd w:val="clear" w:color="auto" w:fill="auto"/>
            <w:vAlign w:val="center"/>
          </w:tcPr>
          <w:p w:rsidR="007E52FD" w:rsidRPr="007C51D6" w:rsidRDefault="007E52FD" w:rsidP="007E52FD">
            <w:pPr>
              <w:jc w:val="center"/>
              <w:rPr>
                <w:color w:val="000000"/>
                <w:sz w:val="20"/>
                <w:szCs w:val="20"/>
              </w:rPr>
            </w:pPr>
            <w:r w:rsidRPr="007C51D6">
              <w:rPr>
                <w:color w:val="000000"/>
                <w:sz w:val="20"/>
                <w:szCs w:val="20"/>
              </w:rPr>
              <w:t>569</w:t>
            </w:r>
          </w:p>
        </w:tc>
        <w:tc>
          <w:tcPr>
            <w:tcW w:w="1162" w:type="dxa"/>
            <w:shd w:val="clear" w:color="auto" w:fill="auto"/>
            <w:vAlign w:val="center"/>
          </w:tcPr>
          <w:p w:rsidR="007E52FD" w:rsidRPr="007C51D6" w:rsidRDefault="007E52FD" w:rsidP="007E52FD">
            <w:pPr>
              <w:jc w:val="center"/>
              <w:rPr>
                <w:color w:val="000000"/>
                <w:sz w:val="20"/>
                <w:szCs w:val="20"/>
              </w:rPr>
            </w:pPr>
            <w:r w:rsidRPr="007C51D6">
              <w:rPr>
                <w:color w:val="000000"/>
                <w:sz w:val="20"/>
                <w:szCs w:val="20"/>
              </w:rPr>
              <w:t>582</w:t>
            </w:r>
          </w:p>
        </w:tc>
        <w:tc>
          <w:tcPr>
            <w:tcW w:w="1162" w:type="dxa"/>
            <w:shd w:val="clear" w:color="auto" w:fill="auto"/>
            <w:vAlign w:val="center"/>
          </w:tcPr>
          <w:p w:rsidR="007E52FD" w:rsidRPr="007C51D6" w:rsidRDefault="007E52FD" w:rsidP="007E52FD">
            <w:pPr>
              <w:jc w:val="center"/>
              <w:rPr>
                <w:color w:val="000000"/>
                <w:sz w:val="20"/>
                <w:szCs w:val="20"/>
              </w:rPr>
            </w:pPr>
            <w:r w:rsidRPr="007C51D6">
              <w:rPr>
                <w:color w:val="000000"/>
                <w:sz w:val="20"/>
                <w:szCs w:val="20"/>
              </w:rPr>
              <w:t>591</w:t>
            </w:r>
          </w:p>
        </w:tc>
        <w:tc>
          <w:tcPr>
            <w:tcW w:w="1163" w:type="dxa"/>
            <w:vAlign w:val="center"/>
          </w:tcPr>
          <w:p w:rsidR="007E52FD" w:rsidRPr="007C51D6" w:rsidRDefault="007E52FD" w:rsidP="007E52FD">
            <w:pPr>
              <w:jc w:val="center"/>
              <w:rPr>
                <w:color w:val="000000"/>
                <w:sz w:val="20"/>
                <w:szCs w:val="20"/>
              </w:rPr>
            </w:pPr>
            <w:r w:rsidRPr="007C51D6">
              <w:rPr>
                <w:color w:val="000000"/>
                <w:sz w:val="20"/>
                <w:szCs w:val="20"/>
              </w:rPr>
              <w:t>601</w:t>
            </w:r>
          </w:p>
        </w:tc>
        <w:tc>
          <w:tcPr>
            <w:tcW w:w="1162" w:type="dxa"/>
            <w:vAlign w:val="center"/>
          </w:tcPr>
          <w:p w:rsidR="007E52FD" w:rsidRPr="007C51D6" w:rsidRDefault="007E52FD" w:rsidP="007E52FD">
            <w:pPr>
              <w:jc w:val="center"/>
              <w:rPr>
                <w:color w:val="000000"/>
                <w:sz w:val="20"/>
                <w:szCs w:val="20"/>
              </w:rPr>
            </w:pPr>
            <w:r w:rsidRPr="007C51D6">
              <w:rPr>
                <w:color w:val="000000"/>
                <w:sz w:val="20"/>
                <w:szCs w:val="20"/>
              </w:rPr>
              <w:t>624</w:t>
            </w:r>
          </w:p>
        </w:tc>
        <w:tc>
          <w:tcPr>
            <w:tcW w:w="1219" w:type="dxa"/>
            <w:vAlign w:val="center"/>
          </w:tcPr>
          <w:p w:rsidR="007E52FD" w:rsidRPr="007C51D6" w:rsidRDefault="007E52FD" w:rsidP="007E52FD">
            <w:pPr>
              <w:jc w:val="center"/>
              <w:rPr>
                <w:color w:val="000000"/>
                <w:sz w:val="20"/>
                <w:szCs w:val="20"/>
              </w:rPr>
            </w:pPr>
            <w:r w:rsidRPr="007C51D6">
              <w:rPr>
                <w:color w:val="000000"/>
                <w:sz w:val="20"/>
                <w:szCs w:val="20"/>
              </w:rPr>
              <w:t>646</w:t>
            </w:r>
          </w:p>
        </w:tc>
        <w:tc>
          <w:tcPr>
            <w:tcW w:w="1305" w:type="dxa"/>
            <w:vAlign w:val="center"/>
          </w:tcPr>
          <w:p w:rsidR="007E52FD" w:rsidRPr="007C51D6" w:rsidRDefault="007E52FD" w:rsidP="007E52FD">
            <w:pPr>
              <w:jc w:val="center"/>
              <w:rPr>
                <w:color w:val="000000"/>
                <w:sz w:val="20"/>
                <w:szCs w:val="20"/>
              </w:rPr>
            </w:pPr>
            <w:r w:rsidRPr="007C51D6">
              <w:rPr>
                <w:color w:val="000000"/>
                <w:sz w:val="20"/>
                <w:szCs w:val="20"/>
              </w:rPr>
              <w:t>672</w:t>
            </w:r>
          </w:p>
        </w:tc>
        <w:tc>
          <w:tcPr>
            <w:tcW w:w="1305" w:type="dxa"/>
            <w:vAlign w:val="center"/>
          </w:tcPr>
          <w:p w:rsidR="007E52FD" w:rsidRPr="007C51D6" w:rsidRDefault="007E52FD" w:rsidP="007E52FD">
            <w:pPr>
              <w:jc w:val="center"/>
              <w:rPr>
                <w:color w:val="000000"/>
                <w:sz w:val="20"/>
                <w:szCs w:val="20"/>
              </w:rPr>
            </w:pPr>
            <w:r w:rsidRPr="007C51D6">
              <w:rPr>
                <w:color w:val="000000"/>
                <w:sz w:val="20"/>
                <w:szCs w:val="20"/>
              </w:rPr>
              <w:t>670</w:t>
            </w:r>
          </w:p>
        </w:tc>
      </w:tr>
      <w:tr w:rsidR="007E52FD" w:rsidRPr="007C51D6" w:rsidTr="00080BEF">
        <w:tblPrEx>
          <w:tblBorders>
            <w:bottom w:val="single" w:sz="4" w:space="0" w:color="auto"/>
          </w:tblBorders>
        </w:tblPrEx>
        <w:trPr>
          <w:trHeight w:val="20"/>
        </w:trPr>
        <w:tc>
          <w:tcPr>
            <w:tcW w:w="3114" w:type="dxa"/>
            <w:shd w:val="clear" w:color="auto" w:fill="auto"/>
            <w:hideMark/>
          </w:tcPr>
          <w:p w:rsidR="007E52FD" w:rsidRPr="007C51D6" w:rsidRDefault="007E52FD" w:rsidP="007E52FD">
            <w:pPr>
              <w:autoSpaceDE/>
              <w:autoSpaceDN/>
              <w:adjustRightInd/>
              <w:rPr>
                <w:color w:val="000000"/>
                <w:sz w:val="20"/>
                <w:szCs w:val="20"/>
              </w:rPr>
            </w:pPr>
            <w:r w:rsidRPr="007C51D6">
              <w:rPr>
                <w:color w:val="000000"/>
                <w:sz w:val="20"/>
                <w:szCs w:val="20"/>
              </w:rPr>
              <w:t>Актанышский</w:t>
            </w:r>
          </w:p>
        </w:tc>
        <w:tc>
          <w:tcPr>
            <w:tcW w:w="1275" w:type="dxa"/>
            <w:shd w:val="clear" w:color="auto" w:fill="auto"/>
            <w:vAlign w:val="center"/>
          </w:tcPr>
          <w:p w:rsidR="007E52FD" w:rsidRPr="007C51D6" w:rsidRDefault="007E52FD" w:rsidP="007E52FD">
            <w:pPr>
              <w:jc w:val="center"/>
              <w:rPr>
                <w:color w:val="000000"/>
                <w:sz w:val="20"/>
                <w:szCs w:val="20"/>
              </w:rPr>
            </w:pPr>
            <w:r w:rsidRPr="007C51D6">
              <w:rPr>
                <w:color w:val="000000"/>
                <w:sz w:val="20"/>
                <w:szCs w:val="20"/>
              </w:rPr>
              <w:t>592</w:t>
            </w:r>
          </w:p>
        </w:tc>
        <w:tc>
          <w:tcPr>
            <w:tcW w:w="1162" w:type="dxa"/>
            <w:shd w:val="clear" w:color="auto" w:fill="auto"/>
            <w:vAlign w:val="center"/>
          </w:tcPr>
          <w:p w:rsidR="007E52FD" w:rsidRPr="007C51D6" w:rsidRDefault="007E52FD" w:rsidP="007E52FD">
            <w:pPr>
              <w:jc w:val="center"/>
              <w:rPr>
                <w:color w:val="000000"/>
                <w:sz w:val="20"/>
                <w:szCs w:val="20"/>
              </w:rPr>
            </w:pPr>
            <w:r w:rsidRPr="007C51D6">
              <w:rPr>
                <w:color w:val="000000"/>
                <w:sz w:val="20"/>
                <w:szCs w:val="20"/>
              </w:rPr>
              <w:t>596</w:t>
            </w:r>
          </w:p>
        </w:tc>
        <w:tc>
          <w:tcPr>
            <w:tcW w:w="1163" w:type="dxa"/>
            <w:shd w:val="clear" w:color="auto" w:fill="auto"/>
            <w:vAlign w:val="center"/>
          </w:tcPr>
          <w:p w:rsidR="007E52FD" w:rsidRPr="007C51D6" w:rsidRDefault="007E52FD" w:rsidP="007E52FD">
            <w:pPr>
              <w:jc w:val="center"/>
              <w:rPr>
                <w:color w:val="000000"/>
                <w:sz w:val="20"/>
                <w:szCs w:val="20"/>
              </w:rPr>
            </w:pPr>
            <w:r w:rsidRPr="007C51D6">
              <w:rPr>
                <w:color w:val="000000"/>
                <w:sz w:val="20"/>
                <w:szCs w:val="20"/>
              </w:rPr>
              <w:t>627</w:t>
            </w:r>
          </w:p>
        </w:tc>
        <w:tc>
          <w:tcPr>
            <w:tcW w:w="1162" w:type="dxa"/>
            <w:shd w:val="clear" w:color="auto" w:fill="auto"/>
            <w:vAlign w:val="center"/>
          </w:tcPr>
          <w:p w:rsidR="007E52FD" w:rsidRPr="007C51D6" w:rsidRDefault="007E52FD" w:rsidP="007E52FD">
            <w:pPr>
              <w:jc w:val="center"/>
              <w:rPr>
                <w:color w:val="000000"/>
                <w:sz w:val="20"/>
                <w:szCs w:val="20"/>
              </w:rPr>
            </w:pPr>
            <w:r w:rsidRPr="007C51D6">
              <w:rPr>
                <w:color w:val="000000"/>
                <w:sz w:val="20"/>
                <w:szCs w:val="20"/>
              </w:rPr>
              <w:t>640</w:t>
            </w:r>
          </w:p>
        </w:tc>
        <w:tc>
          <w:tcPr>
            <w:tcW w:w="1162" w:type="dxa"/>
            <w:shd w:val="clear" w:color="auto" w:fill="auto"/>
            <w:vAlign w:val="center"/>
          </w:tcPr>
          <w:p w:rsidR="007E52FD" w:rsidRPr="007C51D6" w:rsidRDefault="007E52FD" w:rsidP="007E52FD">
            <w:pPr>
              <w:jc w:val="center"/>
              <w:rPr>
                <w:color w:val="000000"/>
                <w:sz w:val="20"/>
                <w:szCs w:val="20"/>
              </w:rPr>
            </w:pPr>
            <w:r w:rsidRPr="007C51D6">
              <w:rPr>
                <w:color w:val="000000"/>
                <w:sz w:val="20"/>
                <w:szCs w:val="20"/>
              </w:rPr>
              <w:t>645</w:t>
            </w:r>
          </w:p>
        </w:tc>
        <w:tc>
          <w:tcPr>
            <w:tcW w:w="1163" w:type="dxa"/>
            <w:vAlign w:val="center"/>
          </w:tcPr>
          <w:p w:rsidR="007E52FD" w:rsidRPr="007C51D6" w:rsidRDefault="007E52FD" w:rsidP="007E52FD">
            <w:pPr>
              <w:jc w:val="center"/>
              <w:rPr>
                <w:color w:val="000000"/>
                <w:sz w:val="20"/>
                <w:szCs w:val="20"/>
              </w:rPr>
            </w:pPr>
            <w:r w:rsidRPr="007C51D6">
              <w:rPr>
                <w:color w:val="000000"/>
                <w:sz w:val="20"/>
                <w:szCs w:val="20"/>
              </w:rPr>
              <w:t>595</w:t>
            </w:r>
          </w:p>
        </w:tc>
        <w:tc>
          <w:tcPr>
            <w:tcW w:w="1162" w:type="dxa"/>
            <w:vAlign w:val="center"/>
          </w:tcPr>
          <w:p w:rsidR="007E52FD" w:rsidRPr="007C51D6" w:rsidRDefault="007E52FD" w:rsidP="007E52FD">
            <w:pPr>
              <w:jc w:val="center"/>
              <w:rPr>
                <w:color w:val="000000"/>
                <w:sz w:val="20"/>
                <w:szCs w:val="20"/>
              </w:rPr>
            </w:pPr>
            <w:r w:rsidRPr="007C51D6">
              <w:rPr>
                <w:color w:val="000000"/>
                <w:sz w:val="20"/>
                <w:szCs w:val="20"/>
              </w:rPr>
              <w:t>612</w:t>
            </w:r>
          </w:p>
        </w:tc>
        <w:tc>
          <w:tcPr>
            <w:tcW w:w="1219" w:type="dxa"/>
            <w:vAlign w:val="center"/>
          </w:tcPr>
          <w:p w:rsidR="007E52FD" w:rsidRPr="007C51D6" w:rsidRDefault="007E52FD" w:rsidP="007E52FD">
            <w:pPr>
              <w:jc w:val="center"/>
              <w:rPr>
                <w:color w:val="000000"/>
                <w:sz w:val="20"/>
                <w:szCs w:val="20"/>
              </w:rPr>
            </w:pPr>
            <w:r w:rsidRPr="007C51D6">
              <w:rPr>
                <w:color w:val="000000"/>
                <w:sz w:val="20"/>
                <w:szCs w:val="20"/>
              </w:rPr>
              <w:t>652</w:t>
            </w:r>
          </w:p>
        </w:tc>
        <w:tc>
          <w:tcPr>
            <w:tcW w:w="1305" w:type="dxa"/>
            <w:vAlign w:val="center"/>
          </w:tcPr>
          <w:p w:rsidR="007E52FD" w:rsidRPr="007C51D6" w:rsidRDefault="007E52FD" w:rsidP="007E52FD">
            <w:pPr>
              <w:jc w:val="center"/>
              <w:rPr>
                <w:color w:val="000000"/>
                <w:sz w:val="20"/>
                <w:szCs w:val="20"/>
              </w:rPr>
            </w:pPr>
            <w:r w:rsidRPr="007C51D6">
              <w:rPr>
                <w:color w:val="000000"/>
                <w:sz w:val="20"/>
                <w:szCs w:val="20"/>
              </w:rPr>
              <w:t>669</w:t>
            </w:r>
          </w:p>
        </w:tc>
        <w:tc>
          <w:tcPr>
            <w:tcW w:w="1305" w:type="dxa"/>
            <w:vAlign w:val="center"/>
          </w:tcPr>
          <w:p w:rsidR="007E52FD" w:rsidRPr="007C51D6" w:rsidRDefault="007E52FD" w:rsidP="007E52FD">
            <w:pPr>
              <w:jc w:val="center"/>
              <w:rPr>
                <w:color w:val="000000"/>
                <w:sz w:val="20"/>
                <w:szCs w:val="20"/>
              </w:rPr>
            </w:pPr>
            <w:r w:rsidRPr="007C51D6">
              <w:rPr>
                <w:color w:val="000000"/>
                <w:sz w:val="20"/>
                <w:szCs w:val="20"/>
              </w:rPr>
              <w:t>710</w:t>
            </w:r>
          </w:p>
        </w:tc>
      </w:tr>
      <w:tr w:rsidR="007E52FD" w:rsidRPr="007C51D6" w:rsidTr="00080BEF">
        <w:tblPrEx>
          <w:tblBorders>
            <w:bottom w:val="single" w:sz="4" w:space="0" w:color="auto"/>
          </w:tblBorders>
        </w:tblPrEx>
        <w:trPr>
          <w:trHeight w:val="20"/>
        </w:trPr>
        <w:tc>
          <w:tcPr>
            <w:tcW w:w="3114" w:type="dxa"/>
            <w:shd w:val="clear" w:color="auto" w:fill="auto"/>
            <w:hideMark/>
          </w:tcPr>
          <w:p w:rsidR="007E52FD" w:rsidRPr="007C51D6" w:rsidRDefault="007E52FD" w:rsidP="007E52FD">
            <w:pPr>
              <w:autoSpaceDE/>
              <w:autoSpaceDN/>
              <w:adjustRightInd/>
              <w:rPr>
                <w:color w:val="000000"/>
                <w:sz w:val="20"/>
                <w:szCs w:val="20"/>
              </w:rPr>
            </w:pPr>
            <w:r w:rsidRPr="007C51D6">
              <w:rPr>
                <w:color w:val="000000"/>
                <w:sz w:val="20"/>
                <w:szCs w:val="20"/>
              </w:rPr>
              <w:t>Алексеевский</w:t>
            </w:r>
          </w:p>
        </w:tc>
        <w:tc>
          <w:tcPr>
            <w:tcW w:w="1275" w:type="dxa"/>
            <w:shd w:val="clear" w:color="auto" w:fill="auto"/>
            <w:vAlign w:val="center"/>
          </w:tcPr>
          <w:p w:rsidR="007E52FD" w:rsidRPr="007C51D6" w:rsidRDefault="007E52FD" w:rsidP="007E52FD">
            <w:pPr>
              <w:jc w:val="center"/>
              <w:rPr>
                <w:color w:val="000000"/>
                <w:sz w:val="20"/>
                <w:szCs w:val="20"/>
              </w:rPr>
            </w:pPr>
            <w:r w:rsidRPr="007C51D6">
              <w:rPr>
                <w:color w:val="000000"/>
                <w:sz w:val="20"/>
                <w:szCs w:val="20"/>
              </w:rPr>
              <w:t>533</w:t>
            </w:r>
          </w:p>
        </w:tc>
        <w:tc>
          <w:tcPr>
            <w:tcW w:w="1162" w:type="dxa"/>
            <w:shd w:val="clear" w:color="auto" w:fill="auto"/>
            <w:vAlign w:val="center"/>
          </w:tcPr>
          <w:p w:rsidR="007E52FD" w:rsidRPr="007C51D6" w:rsidRDefault="007E52FD" w:rsidP="007E52FD">
            <w:pPr>
              <w:jc w:val="center"/>
              <w:rPr>
                <w:color w:val="000000"/>
                <w:sz w:val="20"/>
                <w:szCs w:val="20"/>
              </w:rPr>
            </w:pPr>
            <w:r w:rsidRPr="007C51D6">
              <w:rPr>
                <w:color w:val="000000"/>
                <w:sz w:val="20"/>
                <w:szCs w:val="20"/>
              </w:rPr>
              <w:t>558</w:t>
            </w:r>
          </w:p>
        </w:tc>
        <w:tc>
          <w:tcPr>
            <w:tcW w:w="1163" w:type="dxa"/>
            <w:shd w:val="clear" w:color="auto" w:fill="auto"/>
            <w:vAlign w:val="center"/>
          </w:tcPr>
          <w:p w:rsidR="007E52FD" w:rsidRPr="007C51D6" w:rsidRDefault="007E52FD" w:rsidP="007E52FD">
            <w:pPr>
              <w:jc w:val="center"/>
              <w:rPr>
                <w:color w:val="000000"/>
                <w:sz w:val="20"/>
                <w:szCs w:val="20"/>
              </w:rPr>
            </w:pPr>
            <w:r w:rsidRPr="007C51D6">
              <w:rPr>
                <w:color w:val="000000"/>
                <w:sz w:val="20"/>
                <w:szCs w:val="20"/>
              </w:rPr>
              <w:t>605</w:t>
            </w:r>
          </w:p>
        </w:tc>
        <w:tc>
          <w:tcPr>
            <w:tcW w:w="1162" w:type="dxa"/>
            <w:shd w:val="clear" w:color="auto" w:fill="auto"/>
            <w:vAlign w:val="center"/>
          </w:tcPr>
          <w:p w:rsidR="007E52FD" w:rsidRPr="007C51D6" w:rsidRDefault="007E52FD" w:rsidP="007E52FD">
            <w:pPr>
              <w:jc w:val="center"/>
              <w:rPr>
                <w:color w:val="000000"/>
                <w:sz w:val="20"/>
                <w:szCs w:val="20"/>
              </w:rPr>
            </w:pPr>
            <w:r w:rsidRPr="007C51D6">
              <w:rPr>
                <w:color w:val="000000"/>
                <w:sz w:val="20"/>
                <w:szCs w:val="20"/>
              </w:rPr>
              <w:t>648</w:t>
            </w:r>
          </w:p>
        </w:tc>
        <w:tc>
          <w:tcPr>
            <w:tcW w:w="1162" w:type="dxa"/>
            <w:shd w:val="clear" w:color="auto" w:fill="auto"/>
            <w:vAlign w:val="center"/>
          </w:tcPr>
          <w:p w:rsidR="007E52FD" w:rsidRPr="007C51D6" w:rsidRDefault="007E52FD" w:rsidP="007E52FD">
            <w:pPr>
              <w:jc w:val="center"/>
              <w:rPr>
                <w:color w:val="000000"/>
                <w:sz w:val="20"/>
                <w:szCs w:val="20"/>
              </w:rPr>
            </w:pPr>
            <w:r w:rsidRPr="007C51D6">
              <w:rPr>
                <w:color w:val="000000"/>
                <w:sz w:val="20"/>
                <w:szCs w:val="20"/>
              </w:rPr>
              <w:t>638</w:t>
            </w:r>
          </w:p>
        </w:tc>
        <w:tc>
          <w:tcPr>
            <w:tcW w:w="1163" w:type="dxa"/>
            <w:vAlign w:val="center"/>
          </w:tcPr>
          <w:p w:rsidR="007E52FD" w:rsidRPr="007C51D6" w:rsidRDefault="007E52FD" w:rsidP="007E52FD">
            <w:pPr>
              <w:jc w:val="center"/>
              <w:rPr>
                <w:color w:val="000000"/>
                <w:sz w:val="20"/>
                <w:szCs w:val="20"/>
              </w:rPr>
            </w:pPr>
            <w:r w:rsidRPr="007C51D6">
              <w:rPr>
                <w:color w:val="000000"/>
                <w:sz w:val="20"/>
                <w:szCs w:val="20"/>
              </w:rPr>
              <w:t>616</w:t>
            </w:r>
          </w:p>
        </w:tc>
        <w:tc>
          <w:tcPr>
            <w:tcW w:w="1162" w:type="dxa"/>
            <w:vAlign w:val="center"/>
          </w:tcPr>
          <w:p w:rsidR="007E52FD" w:rsidRPr="007C51D6" w:rsidRDefault="007E52FD" w:rsidP="007E52FD">
            <w:pPr>
              <w:jc w:val="center"/>
              <w:rPr>
                <w:color w:val="000000"/>
                <w:sz w:val="20"/>
                <w:szCs w:val="20"/>
              </w:rPr>
            </w:pPr>
            <w:r w:rsidRPr="007C51D6">
              <w:rPr>
                <w:color w:val="000000"/>
                <w:sz w:val="20"/>
                <w:szCs w:val="20"/>
              </w:rPr>
              <w:t>632</w:t>
            </w:r>
          </w:p>
        </w:tc>
        <w:tc>
          <w:tcPr>
            <w:tcW w:w="1219" w:type="dxa"/>
            <w:vAlign w:val="center"/>
          </w:tcPr>
          <w:p w:rsidR="007E52FD" w:rsidRPr="007C51D6" w:rsidRDefault="007E52FD" w:rsidP="007E52FD">
            <w:pPr>
              <w:jc w:val="center"/>
              <w:rPr>
                <w:color w:val="000000"/>
                <w:sz w:val="20"/>
                <w:szCs w:val="20"/>
              </w:rPr>
            </w:pPr>
            <w:r w:rsidRPr="007C51D6">
              <w:rPr>
                <w:color w:val="000000"/>
                <w:sz w:val="20"/>
                <w:szCs w:val="20"/>
              </w:rPr>
              <w:t>665</w:t>
            </w:r>
          </w:p>
        </w:tc>
        <w:tc>
          <w:tcPr>
            <w:tcW w:w="1305" w:type="dxa"/>
            <w:vAlign w:val="center"/>
          </w:tcPr>
          <w:p w:rsidR="007E52FD" w:rsidRPr="007C51D6" w:rsidRDefault="007E52FD" w:rsidP="007E52FD">
            <w:pPr>
              <w:jc w:val="center"/>
              <w:rPr>
                <w:color w:val="000000"/>
                <w:sz w:val="20"/>
                <w:szCs w:val="20"/>
              </w:rPr>
            </w:pPr>
            <w:r w:rsidRPr="007C51D6">
              <w:rPr>
                <w:color w:val="000000"/>
                <w:sz w:val="20"/>
                <w:szCs w:val="20"/>
              </w:rPr>
              <w:t>691</w:t>
            </w:r>
          </w:p>
        </w:tc>
        <w:tc>
          <w:tcPr>
            <w:tcW w:w="1305" w:type="dxa"/>
            <w:vAlign w:val="center"/>
          </w:tcPr>
          <w:p w:rsidR="007E52FD" w:rsidRPr="007C51D6" w:rsidRDefault="007E52FD" w:rsidP="007E52FD">
            <w:pPr>
              <w:jc w:val="center"/>
              <w:rPr>
                <w:color w:val="000000"/>
                <w:sz w:val="20"/>
                <w:szCs w:val="20"/>
              </w:rPr>
            </w:pPr>
            <w:r w:rsidRPr="007C51D6">
              <w:rPr>
                <w:color w:val="000000"/>
                <w:sz w:val="20"/>
                <w:szCs w:val="20"/>
              </w:rPr>
              <w:t>742</w:t>
            </w:r>
          </w:p>
        </w:tc>
      </w:tr>
      <w:tr w:rsidR="007E52FD" w:rsidRPr="007C51D6" w:rsidTr="00080BEF">
        <w:tblPrEx>
          <w:tblBorders>
            <w:bottom w:val="single" w:sz="4" w:space="0" w:color="auto"/>
          </w:tblBorders>
        </w:tblPrEx>
        <w:trPr>
          <w:trHeight w:val="20"/>
        </w:trPr>
        <w:tc>
          <w:tcPr>
            <w:tcW w:w="3114" w:type="dxa"/>
            <w:shd w:val="clear" w:color="auto" w:fill="auto"/>
            <w:hideMark/>
          </w:tcPr>
          <w:p w:rsidR="007E52FD" w:rsidRPr="007C51D6" w:rsidRDefault="007E52FD" w:rsidP="007E52FD">
            <w:pPr>
              <w:autoSpaceDE/>
              <w:autoSpaceDN/>
              <w:adjustRightInd/>
              <w:rPr>
                <w:color w:val="000000"/>
                <w:sz w:val="20"/>
                <w:szCs w:val="20"/>
              </w:rPr>
            </w:pPr>
            <w:r w:rsidRPr="007C51D6">
              <w:rPr>
                <w:color w:val="000000"/>
                <w:sz w:val="20"/>
                <w:szCs w:val="20"/>
              </w:rPr>
              <w:t>Алькеевский</w:t>
            </w:r>
          </w:p>
        </w:tc>
        <w:tc>
          <w:tcPr>
            <w:tcW w:w="1275" w:type="dxa"/>
            <w:shd w:val="clear" w:color="auto" w:fill="auto"/>
            <w:vAlign w:val="center"/>
          </w:tcPr>
          <w:p w:rsidR="007E52FD" w:rsidRPr="007C51D6" w:rsidRDefault="007E52FD" w:rsidP="007E52FD">
            <w:pPr>
              <w:jc w:val="center"/>
              <w:rPr>
                <w:color w:val="000000"/>
                <w:sz w:val="20"/>
                <w:szCs w:val="20"/>
              </w:rPr>
            </w:pPr>
            <w:r w:rsidRPr="007C51D6">
              <w:rPr>
                <w:color w:val="000000"/>
                <w:sz w:val="20"/>
                <w:szCs w:val="20"/>
              </w:rPr>
              <w:t>360</w:t>
            </w:r>
          </w:p>
        </w:tc>
        <w:tc>
          <w:tcPr>
            <w:tcW w:w="1162" w:type="dxa"/>
            <w:shd w:val="clear" w:color="auto" w:fill="auto"/>
            <w:vAlign w:val="center"/>
          </w:tcPr>
          <w:p w:rsidR="007E52FD" w:rsidRPr="007C51D6" w:rsidRDefault="007E52FD" w:rsidP="007E52FD">
            <w:pPr>
              <w:jc w:val="center"/>
              <w:rPr>
                <w:color w:val="000000"/>
                <w:sz w:val="20"/>
                <w:szCs w:val="20"/>
              </w:rPr>
            </w:pPr>
            <w:r w:rsidRPr="007C51D6">
              <w:rPr>
                <w:color w:val="000000"/>
                <w:sz w:val="20"/>
                <w:szCs w:val="20"/>
              </w:rPr>
              <w:t>395</w:t>
            </w:r>
          </w:p>
        </w:tc>
        <w:tc>
          <w:tcPr>
            <w:tcW w:w="1163" w:type="dxa"/>
            <w:shd w:val="clear" w:color="auto" w:fill="auto"/>
            <w:vAlign w:val="center"/>
          </w:tcPr>
          <w:p w:rsidR="007E52FD" w:rsidRPr="007C51D6" w:rsidRDefault="007E52FD" w:rsidP="007E52FD">
            <w:pPr>
              <w:jc w:val="center"/>
              <w:rPr>
                <w:color w:val="000000"/>
                <w:sz w:val="20"/>
                <w:szCs w:val="20"/>
              </w:rPr>
            </w:pPr>
            <w:r w:rsidRPr="007C51D6">
              <w:rPr>
                <w:color w:val="000000"/>
                <w:sz w:val="20"/>
                <w:szCs w:val="20"/>
              </w:rPr>
              <w:t>418</w:t>
            </w:r>
          </w:p>
        </w:tc>
        <w:tc>
          <w:tcPr>
            <w:tcW w:w="1162" w:type="dxa"/>
            <w:shd w:val="clear" w:color="auto" w:fill="auto"/>
            <w:vAlign w:val="center"/>
          </w:tcPr>
          <w:p w:rsidR="007E52FD" w:rsidRPr="007C51D6" w:rsidRDefault="007E52FD" w:rsidP="007E52FD">
            <w:pPr>
              <w:jc w:val="center"/>
              <w:rPr>
                <w:color w:val="000000"/>
                <w:sz w:val="20"/>
                <w:szCs w:val="20"/>
              </w:rPr>
            </w:pPr>
            <w:r w:rsidRPr="007C51D6">
              <w:rPr>
                <w:color w:val="000000"/>
                <w:sz w:val="20"/>
                <w:szCs w:val="20"/>
              </w:rPr>
              <w:t>433</w:t>
            </w:r>
          </w:p>
        </w:tc>
        <w:tc>
          <w:tcPr>
            <w:tcW w:w="1162" w:type="dxa"/>
            <w:shd w:val="clear" w:color="auto" w:fill="auto"/>
            <w:vAlign w:val="center"/>
          </w:tcPr>
          <w:p w:rsidR="007E52FD" w:rsidRPr="007C51D6" w:rsidRDefault="007E52FD" w:rsidP="007E52FD">
            <w:pPr>
              <w:jc w:val="center"/>
              <w:rPr>
                <w:color w:val="000000"/>
                <w:sz w:val="20"/>
                <w:szCs w:val="20"/>
              </w:rPr>
            </w:pPr>
            <w:r w:rsidRPr="007C51D6">
              <w:rPr>
                <w:color w:val="000000"/>
                <w:sz w:val="20"/>
                <w:szCs w:val="20"/>
              </w:rPr>
              <w:t>442</w:t>
            </w:r>
          </w:p>
        </w:tc>
        <w:tc>
          <w:tcPr>
            <w:tcW w:w="1163" w:type="dxa"/>
            <w:vAlign w:val="center"/>
          </w:tcPr>
          <w:p w:rsidR="007E52FD" w:rsidRPr="007C51D6" w:rsidRDefault="007E52FD" w:rsidP="007E52FD">
            <w:pPr>
              <w:jc w:val="center"/>
              <w:rPr>
                <w:color w:val="000000"/>
                <w:sz w:val="20"/>
                <w:szCs w:val="20"/>
              </w:rPr>
            </w:pPr>
            <w:r w:rsidRPr="007C51D6">
              <w:rPr>
                <w:color w:val="000000"/>
                <w:sz w:val="20"/>
                <w:szCs w:val="20"/>
              </w:rPr>
              <w:t>471</w:t>
            </w:r>
          </w:p>
        </w:tc>
        <w:tc>
          <w:tcPr>
            <w:tcW w:w="1162" w:type="dxa"/>
            <w:vAlign w:val="center"/>
          </w:tcPr>
          <w:p w:rsidR="007E52FD" w:rsidRPr="007C51D6" w:rsidRDefault="007E52FD" w:rsidP="007E52FD">
            <w:pPr>
              <w:jc w:val="center"/>
              <w:rPr>
                <w:color w:val="000000"/>
                <w:sz w:val="20"/>
                <w:szCs w:val="20"/>
              </w:rPr>
            </w:pPr>
            <w:r w:rsidRPr="007C51D6">
              <w:rPr>
                <w:color w:val="000000"/>
                <w:sz w:val="20"/>
                <w:szCs w:val="20"/>
              </w:rPr>
              <w:t>482</w:t>
            </w:r>
          </w:p>
        </w:tc>
        <w:tc>
          <w:tcPr>
            <w:tcW w:w="1219" w:type="dxa"/>
            <w:vAlign w:val="center"/>
          </w:tcPr>
          <w:p w:rsidR="007E52FD" w:rsidRPr="007C51D6" w:rsidRDefault="007E52FD" w:rsidP="007E52FD">
            <w:pPr>
              <w:jc w:val="center"/>
              <w:rPr>
                <w:color w:val="000000"/>
                <w:sz w:val="20"/>
                <w:szCs w:val="20"/>
              </w:rPr>
            </w:pPr>
            <w:r w:rsidRPr="007C51D6">
              <w:rPr>
                <w:color w:val="000000"/>
                <w:sz w:val="20"/>
                <w:szCs w:val="20"/>
              </w:rPr>
              <w:t>510</w:t>
            </w:r>
          </w:p>
        </w:tc>
        <w:tc>
          <w:tcPr>
            <w:tcW w:w="1305" w:type="dxa"/>
            <w:vAlign w:val="center"/>
          </w:tcPr>
          <w:p w:rsidR="007E52FD" w:rsidRPr="007C51D6" w:rsidRDefault="007E52FD" w:rsidP="007E52FD">
            <w:pPr>
              <w:jc w:val="center"/>
              <w:rPr>
                <w:color w:val="000000"/>
                <w:sz w:val="20"/>
                <w:szCs w:val="20"/>
              </w:rPr>
            </w:pPr>
            <w:r w:rsidRPr="007C51D6">
              <w:rPr>
                <w:color w:val="000000"/>
                <w:sz w:val="20"/>
                <w:szCs w:val="20"/>
              </w:rPr>
              <w:t>540</w:t>
            </w:r>
          </w:p>
        </w:tc>
        <w:tc>
          <w:tcPr>
            <w:tcW w:w="1305" w:type="dxa"/>
            <w:vAlign w:val="center"/>
          </w:tcPr>
          <w:p w:rsidR="007E52FD" w:rsidRPr="007C51D6" w:rsidRDefault="007E52FD" w:rsidP="007E52FD">
            <w:pPr>
              <w:jc w:val="center"/>
              <w:rPr>
                <w:color w:val="000000"/>
                <w:sz w:val="20"/>
                <w:szCs w:val="20"/>
              </w:rPr>
            </w:pPr>
            <w:r w:rsidRPr="007C51D6">
              <w:rPr>
                <w:color w:val="000000"/>
                <w:sz w:val="20"/>
                <w:szCs w:val="20"/>
              </w:rPr>
              <w:t>542</w:t>
            </w:r>
          </w:p>
        </w:tc>
      </w:tr>
      <w:tr w:rsidR="00A52121" w:rsidRPr="007C51D6" w:rsidTr="00080BEF">
        <w:tblPrEx>
          <w:tblBorders>
            <w:bottom w:val="single" w:sz="4" w:space="0" w:color="auto"/>
          </w:tblBorders>
        </w:tblPrEx>
        <w:trPr>
          <w:trHeight w:val="20"/>
        </w:trPr>
        <w:tc>
          <w:tcPr>
            <w:tcW w:w="3114" w:type="dxa"/>
            <w:shd w:val="clear" w:color="auto" w:fill="auto"/>
            <w:hideMark/>
          </w:tcPr>
          <w:p w:rsidR="00A52121" w:rsidRPr="007C51D6" w:rsidRDefault="00A52121" w:rsidP="00A52121">
            <w:pPr>
              <w:autoSpaceDE/>
              <w:autoSpaceDN/>
              <w:adjustRightInd/>
              <w:rPr>
                <w:color w:val="000000"/>
                <w:sz w:val="20"/>
                <w:szCs w:val="20"/>
              </w:rPr>
            </w:pPr>
            <w:r w:rsidRPr="007C51D6">
              <w:rPr>
                <w:color w:val="000000"/>
                <w:sz w:val="20"/>
                <w:szCs w:val="20"/>
              </w:rPr>
              <w:t>Альметьевский</w:t>
            </w:r>
          </w:p>
        </w:tc>
        <w:tc>
          <w:tcPr>
            <w:tcW w:w="1275" w:type="dxa"/>
            <w:shd w:val="clear" w:color="auto" w:fill="auto"/>
            <w:vAlign w:val="center"/>
          </w:tcPr>
          <w:p w:rsidR="00A52121" w:rsidRPr="007C51D6" w:rsidRDefault="00A52121" w:rsidP="00A52121">
            <w:pPr>
              <w:jc w:val="center"/>
              <w:rPr>
                <w:color w:val="000000"/>
                <w:sz w:val="20"/>
                <w:szCs w:val="20"/>
              </w:rPr>
            </w:pPr>
            <w:r w:rsidRPr="007C51D6">
              <w:rPr>
                <w:color w:val="000000"/>
                <w:sz w:val="20"/>
                <w:szCs w:val="20"/>
              </w:rPr>
              <w:t>4478</w:t>
            </w:r>
          </w:p>
        </w:tc>
        <w:tc>
          <w:tcPr>
            <w:tcW w:w="1162" w:type="dxa"/>
            <w:shd w:val="clear" w:color="auto" w:fill="auto"/>
            <w:vAlign w:val="center"/>
          </w:tcPr>
          <w:p w:rsidR="00A52121" w:rsidRPr="007C51D6" w:rsidRDefault="00A52121" w:rsidP="00A52121">
            <w:pPr>
              <w:jc w:val="center"/>
              <w:rPr>
                <w:color w:val="000000"/>
                <w:sz w:val="20"/>
                <w:szCs w:val="20"/>
              </w:rPr>
            </w:pPr>
            <w:r w:rsidRPr="007C51D6">
              <w:rPr>
                <w:color w:val="000000"/>
                <w:sz w:val="20"/>
                <w:szCs w:val="20"/>
              </w:rPr>
              <w:t>4791</w:t>
            </w:r>
          </w:p>
        </w:tc>
        <w:tc>
          <w:tcPr>
            <w:tcW w:w="1163" w:type="dxa"/>
            <w:shd w:val="clear" w:color="auto" w:fill="auto"/>
            <w:vAlign w:val="center"/>
          </w:tcPr>
          <w:p w:rsidR="00A52121" w:rsidRPr="007C51D6" w:rsidRDefault="00A52121" w:rsidP="00A52121">
            <w:pPr>
              <w:jc w:val="center"/>
              <w:rPr>
                <w:color w:val="000000"/>
                <w:sz w:val="20"/>
                <w:szCs w:val="20"/>
              </w:rPr>
            </w:pPr>
            <w:r w:rsidRPr="007C51D6">
              <w:rPr>
                <w:color w:val="000000"/>
                <w:sz w:val="20"/>
                <w:szCs w:val="20"/>
              </w:rPr>
              <w:t>5080</w:t>
            </w:r>
          </w:p>
        </w:tc>
        <w:tc>
          <w:tcPr>
            <w:tcW w:w="1162" w:type="dxa"/>
            <w:shd w:val="clear" w:color="auto" w:fill="auto"/>
            <w:vAlign w:val="center"/>
          </w:tcPr>
          <w:p w:rsidR="00A52121" w:rsidRPr="007C51D6" w:rsidRDefault="00A52121" w:rsidP="00A52121">
            <w:pPr>
              <w:jc w:val="center"/>
              <w:rPr>
                <w:color w:val="000000"/>
                <w:sz w:val="20"/>
                <w:szCs w:val="20"/>
              </w:rPr>
            </w:pPr>
            <w:r w:rsidRPr="007C51D6">
              <w:rPr>
                <w:color w:val="000000"/>
                <w:sz w:val="20"/>
                <w:szCs w:val="20"/>
              </w:rPr>
              <w:t>5273</w:t>
            </w:r>
          </w:p>
        </w:tc>
        <w:tc>
          <w:tcPr>
            <w:tcW w:w="1162" w:type="dxa"/>
            <w:shd w:val="clear" w:color="auto" w:fill="auto"/>
            <w:vAlign w:val="center"/>
          </w:tcPr>
          <w:p w:rsidR="00A52121" w:rsidRPr="007C51D6" w:rsidRDefault="00A52121" w:rsidP="00A52121">
            <w:pPr>
              <w:jc w:val="center"/>
              <w:rPr>
                <w:color w:val="000000"/>
                <w:sz w:val="20"/>
                <w:szCs w:val="20"/>
              </w:rPr>
            </w:pPr>
            <w:r w:rsidRPr="007C51D6">
              <w:rPr>
                <w:color w:val="000000"/>
                <w:sz w:val="20"/>
                <w:szCs w:val="20"/>
              </w:rPr>
              <w:t>5246</w:t>
            </w:r>
          </w:p>
        </w:tc>
        <w:tc>
          <w:tcPr>
            <w:tcW w:w="1163" w:type="dxa"/>
            <w:vAlign w:val="center"/>
          </w:tcPr>
          <w:p w:rsidR="00A52121" w:rsidRPr="007C51D6" w:rsidRDefault="00A52121" w:rsidP="00A52121">
            <w:pPr>
              <w:jc w:val="center"/>
              <w:rPr>
                <w:color w:val="000000"/>
                <w:sz w:val="20"/>
                <w:szCs w:val="20"/>
              </w:rPr>
            </w:pPr>
            <w:r w:rsidRPr="007C51D6">
              <w:rPr>
                <w:color w:val="000000"/>
                <w:sz w:val="20"/>
                <w:szCs w:val="20"/>
              </w:rPr>
              <w:t>5254</w:t>
            </w:r>
          </w:p>
        </w:tc>
        <w:tc>
          <w:tcPr>
            <w:tcW w:w="1162" w:type="dxa"/>
            <w:vAlign w:val="center"/>
          </w:tcPr>
          <w:p w:rsidR="00A52121" w:rsidRPr="007C51D6" w:rsidRDefault="00A52121" w:rsidP="00A52121">
            <w:pPr>
              <w:jc w:val="center"/>
              <w:rPr>
                <w:color w:val="000000"/>
                <w:sz w:val="20"/>
                <w:szCs w:val="20"/>
              </w:rPr>
            </w:pPr>
            <w:r w:rsidRPr="007C51D6">
              <w:rPr>
                <w:color w:val="000000"/>
                <w:sz w:val="20"/>
                <w:szCs w:val="20"/>
              </w:rPr>
              <w:t>5335</w:t>
            </w:r>
          </w:p>
        </w:tc>
        <w:tc>
          <w:tcPr>
            <w:tcW w:w="1219" w:type="dxa"/>
            <w:vAlign w:val="center"/>
          </w:tcPr>
          <w:p w:rsidR="00A52121" w:rsidRPr="007C51D6" w:rsidRDefault="00A52121" w:rsidP="00A52121">
            <w:pPr>
              <w:jc w:val="center"/>
              <w:rPr>
                <w:color w:val="000000"/>
                <w:sz w:val="20"/>
                <w:szCs w:val="20"/>
              </w:rPr>
            </w:pPr>
            <w:r w:rsidRPr="007C51D6">
              <w:rPr>
                <w:color w:val="000000"/>
                <w:sz w:val="20"/>
                <w:szCs w:val="20"/>
              </w:rPr>
              <w:t>5643</w:t>
            </w:r>
          </w:p>
        </w:tc>
        <w:tc>
          <w:tcPr>
            <w:tcW w:w="1305" w:type="dxa"/>
            <w:vAlign w:val="center"/>
          </w:tcPr>
          <w:p w:rsidR="00A52121" w:rsidRPr="007C51D6" w:rsidRDefault="00A52121" w:rsidP="00A52121">
            <w:pPr>
              <w:jc w:val="center"/>
              <w:rPr>
                <w:color w:val="000000"/>
                <w:sz w:val="20"/>
                <w:szCs w:val="20"/>
              </w:rPr>
            </w:pPr>
            <w:r w:rsidRPr="007C51D6">
              <w:rPr>
                <w:color w:val="000000"/>
                <w:sz w:val="20"/>
                <w:szCs w:val="20"/>
              </w:rPr>
              <w:t>5965</w:t>
            </w:r>
          </w:p>
        </w:tc>
        <w:tc>
          <w:tcPr>
            <w:tcW w:w="1305" w:type="dxa"/>
            <w:vAlign w:val="center"/>
          </w:tcPr>
          <w:p w:rsidR="00A52121" w:rsidRPr="007C51D6" w:rsidRDefault="00A52121" w:rsidP="00A52121">
            <w:pPr>
              <w:jc w:val="center"/>
              <w:rPr>
                <w:color w:val="000000"/>
                <w:sz w:val="20"/>
                <w:szCs w:val="20"/>
              </w:rPr>
            </w:pPr>
            <w:r w:rsidRPr="007C51D6">
              <w:rPr>
                <w:color w:val="000000"/>
                <w:sz w:val="20"/>
                <w:szCs w:val="20"/>
              </w:rPr>
              <w:t>5902</w:t>
            </w:r>
          </w:p>
        </w:tc>
      </w:tr>
      <w:tr w:rsidR="00A52121" w:rsidRPr="007C51D6" w:rsidTr="00080BEF">
        <w:tblPrEx>
          <w:tblBorders>
            <w:bottom w:val="single" w:sz="4" w:space="0" w:color="auto"/>
          </w:tblBorders>
        </w:tblPrEx>
        <w:trPr>
          <w:trHeight w:val="20"/>
        </w:trPr>
        <w:tc>
          <w:tcPr>
            <w:tcW w:w="3114" w:type="dxa"/>
            <w:shd w:val="clear" w:color="auto" w:fill="auto"/>
            <w:hideMark/>
          </w:tcPr>
          <w:p w:rsidR="00A52121" w:rsidRPr="007C51D6" w:rsidRDefault="00A52121" w:rsidP="00A52121">
            <w:pPr>
              <w:autoSpaceDE/>
              <w:autoSpaceDN/>
              <w:adjustRightInd/>
              <w:rPr>
                <w:color w:val="000000"/>
                <w:sz w:val="20"/>
                <w:szCs w:val="20"/>
              </w:rPr>
            </w:pPr>
            <w:r w:rsidRPr="007C51D6">
              <w:rPr>
                <w:color w:val="000000"/>
                <w:sz w:val="20"/>
                <w:szCs w:val="20"/>
              </w:rPr>
              <w:t>Апастовский</w:t>
            </w:r>
          </w:p>
        </w:tc>
        <w:tc>
          <w:tcPr>
            <w:tcW w:w="1275" w:type="dxa"/>
            <w:shd w:val="clear" w:color="auto" w:fill="auto"/>
            <w:vAlign w:val="center"/>
          </w:tcPr>
          <w:p w:rsidR="00A52121" w:rsidRPr="007C51D6" w:rsidRDefault="00A52121" w:rsidP="00A52121">
            <w:pPr>
              <w:jc w:val="center"/>
              <w:rPr>
                <w:color w:val="000000"/>
                <w:sz w:val="20"/>
                <w:szCs w:val="20"/>
              </w:rPr>
            </w:pPr>
            <w:r w:rsidRPr="007C51D6">
              <w:rPr>
                <w:color w:val="000000"/>
                <w:sz w:val="20"/>
                <w:szCs w:val="20"/>
              </w:rPr>
              <w:t>450</w:t>
            </w:r>
          </w:p>
        </w:tc>
        <w:tc>
          <w:tcPr>
            <w:tcW w:w="1162" w:type="dxa"/>
            <w:shd w:val="clear" w:color="auto" w:fill="auto"/>
            <w:vAlign w:val="center"/>
          </w:tcPr>
          <w:p w:rsidR="00A52121" w:rsidRPr="007C51D6" w:rsidRDefault="00A52121" w:rsidP="00A52121">
            <w:pPr>
              <w:jc w:val="center"/>
              <w:rPr>
                <w:color w:val="000000"/>
                <w:sz w:val="20"/>
                <w:szCs w:val="20"/>
              </w:rPr>
            </w:pPr>
            <w:r w:rsidRPr="007C51D6">
              <w:rPr>
                <w:color w:val="000000"/>
                <w:sz w:val="20"/>
                <w:szCs w:val="20"/>
              </w:rPr>
              <w:t>473</w:t>
            </w:r>
          </w:p>
        </w:tc>
        <w:tc>
          <w:tcPr>
            <w:tcW w:w="1163" w:type="dxa"/>
            <w:shd w:val="clear" w:color="auto" w:fill="auto"/>
            <w:vAlign w:val="center"/>
          </w:tcPr>
          <w:p w:rsidR="00A52121" w:rsidRPr="007C51D6" w:rsidRDefault="00A52121" w:rsidP="00A52121">
            <w:pPr>
              <w:jc w:val="center"/>
              <w:rPr>
                <w:color w:val="000000"/>
                <w:sz w:val="20"/>
                <w:szCs w:val="20"/>
              </w:rPr>
            </w:pPr>
            <w:r w:rsidRPr="007C51D6">
              <w:rPr>
                <w:color w:val="000000"/>
                <w:sz w:val="20"/>
                <w:szCs w:val="20"/>
              </w:rPr>
              <w:t>494</w:t>
            </w:r>
          </w:p>
        </w:tc>
        <w:tc>
          <w:tcPr>
            <w:tcW w:w="1162" w:type="dxa"/>
            <w:shd w:val="clear" w:color="auto" w:fill="auto"/>
            <w:vAlign w:val="center"/>
          </w:tcPr>
          <w:p w:rsidR="00A52121" w:rsidRPr="007C51D6" w:rsidRDefault="00A52121" w:rsidP="00A52121">
            <w:pPr>
              <w:jc w:val="center"/>
              <w:rPr>
                <w:color w:val="000000"/>
                <w:sz w:val="20"/>
                <w:szCs w:val="20"/>
              </w:rPr>
            </w:pPr>
            <w:r w:rsidRPr="007C51D6">
              <w:rPr>
                <w:color w:val="000000"/>
                <w:sz w:val="20"/>
                <w:szCs w:val="20"/>
              </w:rPr>
              <w:t>517</w:t>
            </w:r>
          </w:p>
        </w:tc>
        <w:tc>
          <w:tcPr>
            <w:tcW w:w="1162" w:type="dxa"/>
            <w:shd w:val="clear" w:color="auto" w:fill="auto"/>
            <w:vAlign w:val="center"/>
          </w:tcPr>
          <w:p w:rsidR="00A52121" w:rsidRPr="007C51D6" w:rsidRDefault="00A52121" w:rsidP="00A52121">
            <w:pPr>
              <w:jc w:val="center"/>
              <w:rPr>
                <w:color w:val="000000"/>
                <w:sz w:val="20"/>
                <w:szCs w:val="20"/>
              </w:rPr>
            </w:pPr>
            <w:r w:rsidRPr="007C51D6">
              <w:rPr>
                <w:color w:val="000000"/>
                <w:sz w:val="20"/>
                <w:szCs w:val="20"/>
              </w:rPr>
              <w:t>520</w:t>
            </w:r>
          </w:p>
        </w:tc>
        <w:tc>
          <w:tcPr>
            <w:tcW w:w="1163" w:type="dxa"/>
            <w:vAlign w:val="center"/>
          </w:tcPr>
          <w:p w:rsidR="00A52121" w:rsidRPr="007C51D6" w:rsidRDefault="00A52121" w:rsidP="00A52121">
            <w:pPr>
              <w:jc w:val="center"/>
              <w:rPr>
                <w:color w:val="000000"/>
                <w:sz w:val="20"/>
                <w:szCs w:val="20"/>
              </w:rPr>
            </w:pPr>
            <w:r w:rsidRPr="007C51D6">
              <w:rPr>
                <w:color w:val="000000"/>
                <w:sz w:val="20"/>
                <w:szCs w:val="20"/>
              </w:rPr>
              <w:t>522</w:t>
            </w:r>
          </w:p>
        </w:tc>
        <w:tc>
          <w:tcPr>
            <w:tcW w:w="1162" w:type="dxa"/>
            <w:vAlign w:val="center"/>
          </w:tcPr>
          <w:p w:rsidR="00A52121" w:rsidRPr="007C51D6" w:rsidRDefault="00A52121" w:rsidP="00A52121">
            <w:pPr>
              <w:jc w:val="center"/>
              <w:rPr>
                <w:color w:val="000000"/>
                <w:sz w:val="20"/>
                <w:szCs w:val="20"/>
              </w:rPr>
            </w:pPr>
            <w:r w:rsidRPr="007C51D6">
              <w:rPr>
                <w:color w:val="000000"/>
                <w:sz w:val="20"/>
                <w:szCs w:val="20"/>
              </w:rPr>
              <w:t>544</w:t>
            </w:r>
          </w:p>
        </w:tc>
        <w:tc>
          <w:tcPr>
            <w:tcW w:w="1219" w:type="dxa"/>
            <w:vAlign w:val="center"/>
          </w:tcPr>
          <w:p w:rsidR="00A52121" w:rsidRPr="007C51D6" w:rsidRDefault="00A52121" w:rsidP="00A52121">
            <w:pPr>
              <w:jc w:val="center"/>
              <w:rPr>
                <w:color w:val="000000"/>
                <w:sz w:val="20"/>
                <w:szCs w:val="20"/>
              </w:rPr>
            </w:pPr>
            <w:r w:rsidRPr="007C51D6">
              <w:rPr>
                <w:color w:val="000000"/>
                <w:sz w:val="20"/>
                <w:szCs w:val="20"/>
              </w:rPr>
              <w:t>564</w:t>
            </w:r>
          </w:p>
        </w:tc>
        <w:tc>
          <w:tcPr>
            <w:tcW w:w="1305" w:type="dxa"/>
            <w:vAlign w:val="center"/>
          </w:tcPr>
          <w:p w:rsidR="00A52121" w:rsidRPr="007C51D6" w:rsidRDefault="00A52121" w:rsidP="00A52121">
            <w:pPr>
              <w:jc w:val="center"/>
              <w:rPr>
                <w:color w:val="000000"/>
                <w:sz w:val="20"/>
                <w:szCs w:val="20"/>
              </w:rPr>
            </w:pPr>
            <w:r w:rsidRPr="007C51D6">
              <w:rPr>
                <w:color w:val="000000"/>
                <w:sz w:val="20"/>
                <w:szCs w:val="20"/>
              </w:rPr>
              <w:t>586</w:t>
            </w:r>
          </w:p>
        </w:tc>
        <w:tc>
          <w:tcPr>
            <w:tcW w:w="1305" w:type="dxa"/>
            <w:vAlign w:val="center"/>
          </w:tcPr>
          <w:p w:rsidR="00A52121" w:rsidRPr="007C51D6" w:rsidRDefault="00A52121" w:rsidP="00A52121">
            <w:pPr>
              <w:jc w:val="center"/>
              <w:rPr>
                <w:color w:val="000000"/>
                <w:sz w:val="20"/>
                <w:szCs w:val="20"/>
              </w:rPr>
            </w:pPr>
            <w:r w:rsidRPr="007C51D6">
              <w:rPr>
                <w:color w:val="000000"/>
                <w:sz w:val="20"/>
                <w:szCs w:val="20"/>
              </w:rPr>
              <w:t>624</w:t>
            </w:r>
          </w:p>
        </w:tc>
      </w:tr>
      <w:tr w:rsidR="00A52121" w:rsidRPr="007C51D6" w:rsidTr="00080BEF">
        <w:tblPrEx>
          <w:tblBorders>
            <w:bottom w:val="single" w:sz="4" w:space="0" w:color="auto"/>
          </w:tblBorders>
        </w:tblPrEx>
        <w:trPr>
          <w:trHeight w:val="20"/>
        </w:trPr>
        <w:tc>
          <w:tcPr>
            <w:tcW w:w="3114" w:type="dxa"/>
            <w:shd w:val="clear" w:color="auto" w:fill="auto"/>
            <w:hideMark/>
          </w:tcPr>
          <w:p w:rsidR="00A52121" w:rsidRPr="007C51D6" w:rsidRDefault="00A52121" w:rsidP="00A52121">
            <w:pPr>
              <w:autoSpaceDE/>
              <w:autoSpaceDN/>
              <w:adjustRightInd/>
              <w:rPr>
                <w:color w:val="000000"/>
                <w:sz w:val="20"/>
                <w:szCs w:val="20"/>
              </w:rPr>
            </w:pPr>
            <w:r w:rsidRPr="007C51D6">
              <w:rPr>
                <w:color w:val="000000"/>
                <w:sz w:val="20"/>
                <w:szCs w:val="20"/>
              </w:rPr>
              <w:t>Арский</w:t>
            </w:r>
          </w:p>
        </w:tc>
        <w:tc>
          <w:tcPr>
            <w:tcW w:w="1275" w:type="dxa"/>
            <w:shd w:val="clear" w:color="auto" w:fill="auto"/>
            <w:vAlign w:val="center"/>
          </w:tcPr>
          <w:p w:rsidR="00A52121" w:rsidRPr="007C51D6" w:rsidRDefault="00A52121" w:rsidP="00A52121">
            <w:pPr>
              <w:jc w:val="center"/>
              <w:rPr>
                <w:color w:val="000000"/>
                <w:sz w:val="20"/>
                <w:szCs w:val="20"/>
              </w:rPr>
            </w:pPr>
            <w:r w:rsidRPr="007C51D6">
              <w:rPr>
                <w:color w:val="000000"/>
                <w:sz w:val="20"/>
                <w:szCs w:val="20"/>
              </w:rPr>
              <w:t>992</w:t>
            </w:r>
          </w:p>
        </w:tc>
        <w:tc>
          <w:tcPr>
            <w:tcW w:w="1162" w:type="dxa"/>
            <w:shd w:val="clear" w:color="auto" w:fill="auto"/>
            <w:vAlign w:val="center"/>
          </w:tcPr>
          <w:p w:rsidR="00A52121" w:rsidRPr="007C51D6" w:rsidRDefault="00A52121" w:rsidP="00A52121">
            <w:pPr>
              <w:jc w:val="center"/>
              <w:rPr>
                <w:color w:val="000000"/>
                <w:sz w:val="20"/>
                <w:szCs w:val="20"/>
              </w:rPr>
            </w:pPr>
            <w:r w:rsidRPr="007C51D6">
              <w:rPr>
                <w:color w:val="000000"/>
                <w:sz w:val="20"/>
                <w:szCs w:val="20"/>
              </w:rPr>
              <w:t>1061</w:t>
            </w:r>
          </w:p>
        </w:tc>
        <w:tc>
          <w:tcPr>
            <w:tcW w:w="1163" w:type="dxa"/>
            <w:shd w:val="clear" w:color="auto" w:fill="auto"/>
            <w:vAlign w:val="center"/>
          </w:tcPr>
          <w:p w:rsidR="00A52121" w:rsidRPr="007C51D6" w:rsidRDefault="00A52121" w:rsidP="00A52121">
            <w:pPr>
              <w:jc w:val="center"/>
              <w:rPr>
                <w:color w:val="000000"/>
                <w:sz w:val="20"/>
                <w:szCs w:val="20"/>
              </w:rPr>
            </w:pPr>
            <w:r w:rsidRPr="007C51D6">
              <w:rPr>
                <w:color w:val="000000"/>
                <w:sz w:val="20"/>
                <w:szCs w:val="20"/>
              </w:rPr>
              <w:t>1135</w:t>
            </w:r>
          </w:p>
        </w:tc>
        <w:tc>
          <w:tcPr>
            <w:tcW w:w="1162" w:type="dxa"/>
            <w:shd w:val="clear" w:color="auto" w:fill="auto"/>
            <w:vAlign w:val="center"/>
          </w:tcPr>
          <w:p w:rsidR="00A52121" w:rsidRPr="007C51D6" w:rsidRDefault="00A52121" w:rsidP="00A52121">
            <w:pPr>
              <w:jc w:val="center"/>
              <w:rPr>
                <w:color w:val="000000"/>
                <w:sz w:val="20"/>
                <w:szCs w:val="20"/>
              </w:rPr>
            </w:pPr>
            <w:r w:rsidRPr="007C51D6">
              <w:rPr>
                <w:color w:val="000000"/>
                <w:sz w:val="20"/>
                <w:szCs w:val="20"/>
              </w:rPr>
              <w:t>1191</w:t>
            </w:r>
          </w:p>
        </w:tc>
        <w:tc>
          <w:tcPr>
            <w:tcW w:w="1162" w:type="dxa"/>
            <w:shd w:val="clear" w:color="auto" w:fill="auto"/>
            <w:vAlign w:val="center"/>
          </w:tcPr>
          <w:p w:rsidR="00A52121" w:rsidRPr="007C51D6" w:rsidRDefault="00A52121" w:rsidP="00A52121">
            <w:pPr>
              <w:jc w:val="center"/>
              <w:rPr>
                <w:color w:val="000000"/>
                <w:sz w:val="20"/>
                <w:szCs w:val="20"/>
              </w:rPr>
            </w:pPr>
            <w:r w:rsidRPr="007C51D6">
              <w:rPr>
                <w:color w:val="000000"/>
                <w:sz w:val="20"/>
                <w:szCs w:val="20"/>
              </w:rPr>
              <w:t>1192</w:t>
            </w:r>
          </w:p>
        </w:tc>
        <w:tc>
          <w:tcPr>
            <w:tcW w:w="1163" w:type="dxa"/>
            <w:vAlign w:val="center"/>
          </w:tcPr>
          <w:p w:rsidR="00A52121" w:rsidRPr="007C51D6" w:rsidRDefault="00A52121" w:rsidP="00A52121">
            <w:pPr>
              <w:jc w:val="center"/>
              <w:rPr>
                <w:color w:val="000000"/>
                <w:sz w:val="20"/>
                <w:szCs w:val="20"/>
              </w:rPr>
            </w:pPr>
            <w:r w:rsidRPr="007C51D6">
              <w:rPr>
                <w:color w:val="000000"/>
                <w:sz w:val="20"/>
                <w:szCs w:val="20"/>
              </w:rPr>
              <w:t>1203</w:t>
            </w:r>
          </w:p>
        </w:tc>
        <w:tc>
          <w:tcPr>
            <w:tcW w:w="1162" w:type="dxa"/>
            <w:vAlign w:val="center"/>
          </w:tcPr>
          <w:p w:rsidR="00A52121" w:rsidRPr="007C51D6" w:rsidRDefault="00A52121" w:rsidP="00A52121">
            <w:pPr>
              <w:jc w:val="center"/>
              <w:rPr>
                <w:color w:val="000000"/>
                <w:sz w:val="20"/>
                <w:szCs w:val="20"/>
              </w:rPr>
            </w:pPr>
            <w:r w:rsidRPr="007C51D6">
              <w:rPr>
                <w:color w:val="000000"/>
                <w:sz w:val="20"/>
                <w:szCs w:val="20"/>
              </w:rPr>
              <w:t>1239</w:t>
            </w:r>
          </w:p>
        </w:tc>
        <w:tc>
          <w:tcPr>
            <w:tcW w:w="1219" w:type="dxa"/>
            <w:vAlign w:val="center"/>
          </w:tcPr>
          <w:p w:rsidR="00A52121" w:rsidRPr="007C51D6" w:rsidRDefault="00A52121" w:rsidP="00A52121">
            <w:pPr>
              <w:jc w:val="center"/>
              <w:rPr>
                <w:color w:val="000000"/>
                <w:sz w:val="20"/>
                <w:szCs w:val="20"/>
              </w:rPr>
            </w:pPr>
            <w:r w:rsidRPr="007C51D6">
              <w:rPr>
                <w:color w:val="000000"/>
                <w:sz w:val="20"/>
                <w:szCs w:val="20"/>
              </w:rPr>
              <w:t>1285</w:t>
            </w:r>
          </w:p>
        </w:tc>
        <w:tc>
          <w:tcPr>
            <w:tcW w:w="1305" w:type="dxa"/>
            <w:vAlign w:val="center"/>
          </w:tcPr>
          <w:p w:rsidR="00A52121" w:rsidRPr="007C51D6" w:rsidRDefault="00A52121" w:rsidP="00A52121">
            <w:pPr>
              <w:jc w:val="center"/>
              <w:rPr>
                <w:color w:val="000000"/>
                <w:sz w:val="20"/>
                <w:szCs w:val="20"/>
              </w:rPr>
            </w:pPr>
            <w:r w:rsidRPr="007C51D6">
              <w:rPr>
                <w:color w:val="000000"/>
                <w:sz w:val="20"/>
                <w:szCs w:val="20"/>
              </w:rPr>
              <w:t>1358</w:t>
            </w:r>
          </w:p>
        </w:tc>
        <w:tc>
          <w:tcPr>
            <w:tcW w:w="1305" w:type="dxa"/>
            <w:vAlign w:val="center"/>
          </w:tcPr>
          <w:p w:rsidR="00A52121" w:rsidRPr="007C51D6" w:rsidRDefault="00A52121" w:rsidP="00A52121">
            <w:pPr>
              <w:jc w:val="center"/>
              <w:rPr>
                <w:color w:val="000000"/>
                <w:sz w:val="20"/>
                <w:szCs w:val="20"/>
              </w:rPr>
            </w:pPr>
            <w:r w:rsidRPr="007C51D6">
              <w:rPr>
                <w:color w:val="000000"/>
                <w:sz w:val="20"/>
                <w:szCs w:val="20"/>
              </w:rPr>
              <w:t>1419</w:t>
            </w:r>
          </w:p>
        </w:tc>
      </w:tr>
      <w:tr w:rsidR="00A52121" w:rsidRPr="007C51D6" w:rsidTr="00080BEF">
        <w:tblPrEx>
          <w:tblBorders>
            <w:bottom w:val="single" w:sz="4" w:space="0" w:color="auto"/>
          </w:tblBorders>
        </w:tblPrEx>
        <w:trPr>
          <w:trHeight w:val="20"/>
        </w:trPr>
        <w:tc>
          <w:tcPr>
            <w:tcW w:w="3114" w:type="dxa"/>
            <w:shd w:val="clear" w:color="auto" w:fill="auto"/>
            <w:hideMark/>
          </w:tcPr>
          <w:p w:rsidR="00A52121" w:rsidRPr="007C51D6" w:rsidRDefault="00A52121" w:rsidP="00A52121">
            <w:pPr>
              <w:autoSpaceDE/>
              <w:autoSpaceDN/>
              <w:adjustRightInd/>
              <w:rPr>
                <w:color w:val="000000"/>
                <w:sz w:val="20"/>
                <w:szCs w:val="20"/>
              </w:rPr>
            </w:pPr>
            <w:r w:rsidRPr="007C51D6">
              <w:rPr>
                <w:color w:val="000000"/>
                <w:sz w:val="20"/>
                <w:szCs w:val="20"/>
              </w:rPr>
              <w:t>Атнинский</w:t>
            </w:r>
          </w:p>
        </w:tc>
        <w:tc>
          <w:tcPr>
            <w:tcW w:w="1275" w:type="dxa"/>
            <w:shd w:val="clear" w:color="auto" w:fill="auto"/>
            <w:vAlign w:val="center"/>
          </w:tcPr>
          <w:p w:rsidR="00A52121" w:rsidRPr="007C51D6" w:rsidRDefault="00A52121" w:rsidP="00A52121">
            <w:pPr>
              <w:jc w:val="center"/>
              <w:rPr>
                <w:color w:val="000000"/>
                <w:sz w:val="20"/>
                <w:szCs w:val="20"/>
              </w:rPr>
            </w:pPr>
            <w:r w:rsidRPr="007C51D6">
              <w:rPr>
                <w:color w:val="000000"/>
                <w:sz w:val="20"/>
                <w:szCs w:val="20"/>
              </w:rPr>
              <w:t>274</w:t>
            </w:r>
          </w:p>
        </w:tc>
        <w:tc>
          <w:tcPr>
            <w:tcW w:w="1162" w:type="dxa"/>
            <w:shd w:val="clear" w:color="auto" w:fill="auto"/>
            <w:vAlign w:val="center"/>
          </w:tcPr>
          <w:p w:rsidR="00A52121" w:rsidRPr="007C51D6" w:rsidRDefault="00A52121" w:rsidP="00A52121">
            <w:pPr>
              <w:jc w:val="center"/>
              <w:rPr>
                <w:color w:val="000000"/>
                <w:sz w:val="20"/>
                <w:szCs w:val="20"/>
              </w:rPr>
            </w:pPr>
            <w:r w:rsidRPr="007C51D6">
              <w:rPr>
                <w:color w:val="000000"/>
                <w:sz w:val="20"/>
                <w:szCs w:val="20"/>
              </w:rPr>
              <w:t>268</w:t>
            </w:r>
          </w:p>
        </w:tc>
        <w:tc>
          <w:tcPr>
            <w:tcW w:w="1163" w:type="dxa"/>
            <w:shd w:val="clear" w:color="auto" w:fill="auto"/>
            <w:vAlign w:val="center"/>
          </w:tcPr>
          <w:p w:rsidR="00A52121" w:rsidRPr="007C51D6" w:rsidRDefault="00A52121" w:rsidP="00A52121">
            <w:pPr>
              <w:jc w:val="center"/>
              <w:rPr>
                <w:color w:val="000000"/>
                <w:sz w:val="20"/>
                <w:szCs w:val="20"/>
              </w:rPr>
            </w:pPr>
            <w:r w:rsidRPr="007C51D6">
              <w:rPr>
                <w:color w:val="000000"/>
                <w:sz w:val="20"/>
                <w:szCs w:val="20"/>
              </w:rPr>
              <w:t>289</w:t>
            </w:r>
          </w:p>
        </w:tc>
        <w:tc>
          <w:tcPr>
            <w:tcW w:w="1162" w:type="dxa"/>
            <w:shd w:val="clear" w:color="auto" w:fill="auto"/>
            <w:vAlign w:val="center"/>
          </w:tcPr>
          <w:p w:rsidR="00A52121" w:rsidRPr="007C51D6" w:rsidRDefault="00A52121" w:rsidP="00A52121">
            <w:pPr>
              <w:jc w:val="center"/>
              <w:rPr>
                <w:color w:val="000000"/>
                <w:sz w:val="20"/>
                <w:szCs w:val="20"/>
              </w:rPr>
            </w:pPr>
            <w:r w:rsidRPr="007C51D6">
              <w:rPr>
                <w:color w:val="000000"/>
                <w:sz w:val="20"/>
                <w:szCs w:val="20"/>
              </w:rPr>
              <w:t>285</w:t>
            </w:r>
          </w:p>
        </w:tc>
        <w:tc>
          <w:tcPr>
            <w:tcW w:w="1162" w:type="dxa"/>
            <w:shd w:val="clear" w:color="auto" w:fill="auto"/>
            <w:vAlign w:val="center"/>
          </w:tcPr>
          <w:p w:rsidR="00A52121" w:rsidRPr="007C51D6" w:rsidRDefault="00A52121" w:rsidP="00A52121">
            <w:pPr>
              <w:jc w:val="center"/>
              <w:rPr>
                <w:color w:val="000000"/>
                <w:sz w:val="20"/>
                <w:szCs w:val="20"/>
              </w:rPr>
            </w:pPr>
            <w:r w:rsidRPr="007C51D6">
              <w:rPr>
                <w:color w:val="000000"/>
                <w:sz w:val="20"/>
                <w:szCs w:val="20"/>
              </w:rPr>
              <w:t>290</w:t>
            </w:r>
          </w:p>
        </w:tc>
        <w:tc>
          <w:tcPr>
            <w:tcW w:w="1163" w:type="dxa"/>
            <w:vAlign w:val="center"/>
          </w:tcPr>
          <w:p w:rsidR="00A52121" w:rsidRPr="007C51D6" w:rsidRDefault="00A52121" w:rsidP="00A52121">
            <w:pPr>
              <w:jc w:val="center"/>
              <w:rPr>
                <w:color w:val="000000"/>
                <w:sz w:val="20"/>
                <w:szCs w:val="20"/>
              </w:rPr>
            </w:pPr>
            <w:r w:rsidRPr="007C51D6">
              <w:rPr>
                <w:color w:val="000000"/>
                <w:sz w:val="20"/>
                <w:szCs w:val="20"/>
              </w:rPr>
              <w:t>288</w:t>
            </w:r>
          </w:p>
        </w:tc>
        <w:tc>
          <w:tcPr>
            <w:tcW w:w="1162" w:type="dxa"/>
            <w:vAlign w:val="center"/>
          </w:tcPr>
          <w:p w:rsidR="00A52121" w:rsidRPr="007C51D6" w:rsidRDefault="00A52121" w:rsidP="00A52121">
            <w:pPr>
              <w:jc w:val="center"/>
              <w:rPr>
                <w:color w:val="000000"/>
                <w:sz w:val="20"/>
                <w:szCs w:val="20"/>
              </w:rPr>
            </w:pPr>
            <w:r w:rsidRPr="007C51D6">
              <w:rPr>
                <w:color w:val="000000"/>
                <w:sz w:val="20"/>
                <w:szCs w:val="20"/>
              </w:rPr>
              <w:t>304</w:t>
            </w:r>
          </w:p>
        </w:tc>
        <w:tc>
          <w:tcPr>
            <w:tcW w:w="1219" w:type="dxa"/>
            <w:vAlign w:val="center"/>
          </w:tcPr>
          <w:p w:rsidR="00A52121" w:rsidRPr="007C51D6" w:rsidRDefault="00A52121" w:rsidP="00A52121">
            <w:pPr>
              <w:jc w:val="center"/>
              <w:rPr>
                <w:color w:val="000000"/>
                <w:sz w:val="20"/>
                <w:szCs w:val="20"/>
              </w:rPr>
            </w:pPr>
            <w:r w:rsidRPr="007C51D6">
              <w:rPr>
                <w:color w:val="000000"/>
                <w:sz w:val="20"/>
                <w:szCs w:val="20"/>
              </w:rPr>
              <w:t>334</w:t>
            </w:r>
          </w:p>
        </w:tc>
        <w:tc>
          <w:tcPr>
            <w:tcW w:w="1305" w:type="dxa"/>
            <w:vAlign w:val="center"/>
          </w:tcPr>
          <w:p w:rsidR="00A52121" w:rsidRPr="007C51D6" w:rsidRDefault="00A52121" w:rsidP="00A52121">
            <w:pPr>
              <w:jc w:val="center"/>
              <w:rPr>
                <w:color w:val="000000"/>
                <w:sz w:val="20"/>
                <w:szCs w:val="20"/>
              </w:rPr>
            </w:pPr>
            <w:r w:rsidRPr="007C51D6">
              <w:rPr>
                <w:color w:val="000000"/>
                <w:sz w:val="20"/>
                <w:szCs w:val="20"/>
              </w:rPr>
              <w:t>353</w:t>
            </w:r>
          </w:p>
        </w:tc>
        <w:tc>
          <w:tcPr>
            <w:tcW w:w="1305" w:type="dxa"/>
            <w:vAlign w:val="center"/>
          </w:tcPr>
          <w:p w:rsidR="00A52121" w:rsidRPr="007C51D6" w:rsidRDefault="00A52121" w:rsidP="00A52121">
            <w:pPr>
              <w:jc w:val="center"/>
              <w:rPr>
                <w:color w:val="000000"/>
                <w:sz w:val="20"/>
                <w:szCs w:val="20"/>
              </w:rPr>
            </w:pPr>
            <w:r w:rsidRPr="007C51D6">
              <w:rPr>
                <w:color w:val="000000"/>
                <w:sz w:val="20"/>
                <w:szCs w:val="20"/>
              </w:rPr>
              <w:t>367</w:t>
            </w:r>
          </w:p>
        </w:tc>
      </w:tr>
      <w:tr w:rsidR="00A52121" w:rsidRPr="007C51D6" w:rsidTr="00080BEF">
        <w:tblPrEx>
          <w:tblBorders>
            <w:bottom w:val="single" w:sz="4" w:space="0" w:color="auto"/>
          </w:tblBorders>
        </w:tblPrEx>
        <w:trPr>
          <w:trHeight w:val="20"/>
        </w:trPr>
        <w:tc>
          <w:tcPr>
            <w:tcW w:w="3114" w:type="dxa"/>
            <w:shd w:val="clear" w:color="auto" w:fill="auto"/>
            <w:hideMark/>
          </w:tcPr>
          <w:p w:rsidR="00A52121" w:rsidRPr="007C51D6" w:rsidRDefault="00A52121" w:rsidP="00A52121">
            <w:pPr>
              <w:autoSpaceDE/>
              <w:autoSpaceDN/>
              <w:adjustRightInd/>
              <w:rPr>
                <w:color w:val="000000"/>
                <w:sz w:val="20"/>
                <w:szCs w:val="20"/>
              </w:rPr>
            </w:pPr>
            <w:r w:rsidRPr="007C51D6">
              <w:rPr>
                <w:color w:val="000000"/>
                <w:sz w:val="20"/>
                <w:szCs w:val="20"/>
              </w:rPr>
              <w:t>Бавлинский</w:t>
            </w:r>
          </w:p>
        </w:tc>
        <w:tc>
          <w:tcPr>
            <w:tcW w:w="1275" w:type="dxa"/>
            <w:shd w:val="clear" w:color="auto" w:fill="auto"/>
            <w:vAlign w:val="center"/>
          </w:tcPr>
          <w:p w:rsidR="00A52121" w:rsidRPr="007C51D6" w:rsidRDefault="00A52121" w:rsidP="00A52121">
            <w:pPr>
              <w:jc w:val="center"/>
              <w:rPr>
                <w:color w:val="000000"/>
                <w:sz w:val="20"/>
                <w:szCs w:val="20"/>
              </w:rPr>
            </w:pPr>
            <w:r w:rsidRPr="007C51D6">
              <w:rPr>
                <w:color w:val="000000"/>
                <w:sz w:val="20"/>
                <w:szCs w:val="20"/>
              </w:rPr>
              <w:t>913</w:t>
            </w:r>
          </w:p>
        </w:tc>
        <w:tc>
          <w:tcPr>
            <w:tcW w:w="1162" w:type="dxa"/>
            <w:shd w:val="clear" w:color="auto" w:fill="auto"/>
            <w:vAlign w:val="center"/>
          </w:tcPr>
          <w:p w:rsidR="00A52121" w:rsidRPr="007C51D6" w:rsidRDefault="00A52121" w:rsidP="00A52121">
            <w:pPr>
              <w:jc w:val="center"/>
              <w:rPr>
                <w:color w:val="000000"/>
                <w:sz w:val="20"/>
                <w:szCs w:val="20"/>
              </w:rPr>
            </w:pPr>
            <w:r w:rsidRPr="007C51D6">
              <w:rPr>
                <w:color w:val="000000"/>
                <w:sz w:val="20"/>
                <w:szCs w:val="20"/>
              </w:rPr>
              <w:t>960</w:t>
            </w:r>
          </w:p>
        </w:tc>
        <w:tc>
          <w:tcPr>
            <w:tcW w:w="1163" w:type="dxa"/>
            <w:shd w:val="clear" w:color="auto" w:fill="auto"/>
            <w:vAlign w:val="center"/>
          </w:tcPr>
          <w:p w:rsidR="00A52121" w:rsidRPr="007C51D6" w:rsidRDefault="00A52121" w:rsidP="00A52121">
            <w:pPr>
              <w:jc w:val="center"/>
              <w:rPr>
                <w:color w:val="000000"/>
                <w:sz w:val="20"/>
                <w:szCs w:val="20"/>
              </w:rPr>
            </w:pPr>
            <w:r w:rsidRPr="007C51D6">
              <w:rPr>
                <w:color w:val="000000"/>
                <w:sz w:val="20"/>
                <w:szCs w:val="20"/>
              </w:rPr>
              <w:t>1034</w:t>
            </w:r>
          </w:p>
        </w:tc>
        <w:tc>
          <w:tcPr>
            <w:tcW w:w="1162" w:type="dxa"/>
            <w:shd w:val="clear" w:color="auto" w:fill="auto"/>
            <w:vAlign w:val="center"/>
          </w:tcPr>
          <w:p w:rsidR="00A52121" w:rsidRPr="007C51D6" w:rsidRDefault="00A52121" w:rsidP="00A52121">
            <w:pPr>
              <w:jc w:val="center"/>
              <w:rPr>
                <w:color w:val="000000"/>
                <w:sz w:val="20"/>
                <w:szCs w:val="20"/>
              </w:rPr>
            </w:pPr>
            <w:r w:rsidRPr="007C51D6">
              <w:rPr>
                <w:color w:val="000000"/>
                <w:sz w:val="20"/>
                <w:szCs w:val="20"/>
              </w:rPr>
              <w:t>1038</w:t>
            </w:r>
          </w:p>
        </w:tc>
        <w:tc>
          <w:tcPr>
            <w:tcW w:w="1162" w:type="dxa"/>
            <w:shd w:val="clear" w:color="auto" w:fill="auto"/>
            <w:vAlign w:val="center"/>
          </w:tcPr>
          <w:p w:rsidR="00A52121" w:rsidRPr="007C51D6" w:rsidRDefault="00A52121" w:rsidP="00A52121">
            <w:pPr>
              <w:jc w:val="center"/>
              <w:rPr>
                <w:color w:val="000000"/>
                <w:sz w:val="20"/>
                <w:szCs w:val="20"/>
              </w:rPr>
            </w:pPr>
            <w:r w:rsidRPr="007C51D6">
              <w:rPr>
                <w:color w:val="000000"/>
                <w:sz w:val="20"/>
                <w:szCs w:val="20"/>
              </w:rPr>
              <w:t>1018</w:t>
            </w:r>
          </w:p>
        </w:tc>
        <w:tc>
          <w:tcPr>
            <w:tcW w:w="1163" w:type="dxa"/>
            <w:vAlign w:val="center"/>
          </w:tcPr>
          <w:p w:rsidR="00A52121" w:rsidRPr="007C51D6" w:rsidRDefault="00A52121" w:rsidP="00A52121">
            <w:pPr>
              <w:jc w:val="center"/>
              <w:rPr>
                <w:color w:val="000000"/>
                <w:sz w:val="20"/>
                <w:szCs w:val="20"/>
              </w:rPr>
            </w:pPr>
            <w:r w:rsidRPr="007C51D6">
              <w:rPr>
                <w:color w:val="000000"/>
                <w:sz w:val="20"/>
                <w:szCs w:val="20"/>
              </w:rPr>
              <w:t>954</w:t>
            </w:r>
          </w:p>
        </w:tc>
        <w:tc>
          <w:tcPr>
            <w:tcW w:w="1162" w:type="dxa"/>
            <w:vAlign w:val="center"/>
          </w:tcPr>
          <w:p w:rsidR="00A52121" w:rsidRPr="007C51D6" w:rsidRDefault="00A52121" w:rsidP="00A52121">
            <w:pPr>
              <w:jc w:val="center"/>
              <w:rPr>
                <w:color w:val="000000"/>
                <w:sz w:val="20"/>
                <w:szCs w:val="20"/>
              </w:rPr>
            </w:pPr>
            <w:r w:rsidRPr="007C51D6">
              <w:rPr>
                <w:color w:val="000000"/>
                <w:sz w:val="20"/>
                <w:szCs w:val="20"/>
              </w:rPr>
              <w:t>945</w:t>
            </w:r>
          </w:p>
        </w:tc>
        <w:tc>
          <w:tcPr>
            <w:tcW w:w="1219" w:type="dxa"/>
            <w:vAlign w:val="center"/>
          </w:tcPr>
          <w:p w:rsidR="00A52121" w:rsidRPr="007C51D6" w:rsidRDefault="00A52121" w:rsidP="00A52121">
            <w:pPr>
              <w:jc w:val="center"/>
              <w:rPr>
                <w:color w:val="000000"/>
                <w:sz w:val="20"/>
                <w:szCs w:val="20"/>
              </w:rPr>
            </w:pPr>
            <w:r w:rsidRPr="007C51D6">
              <w:rPr>
                <w:color w:val="000000"/>
                <w:sz w:val="20"/>
                <w:szCs w:val="20"/>
              </w:rPr>
              <w:t>961</w:t>
            </w:r>
          </w:p>
        </w:tc>
        <w:tc>
          <w:tcPr>
            <w:tcW w:w="1305" w:type="dxa"/>
            <w:vAlign w:val="center"/>
          </w:tcPr>
          <w:p w:rsidR="00A52121" w:rsidRPr="007C51D6" w:rsidRDefault="00A52121" w:rsidP="00A52121">
            <w:pPr>
              <w:jc w:val="center"/>
              <w:rPr>
                <w:color w:val="000000"/>
                <w:sz w:val="20"/>
                <w:szCs w:val="20"/>
              </w:rPr>
            </w:pPr>
            <w:r w:rsidRPr="007C51D6">
              <w:rPr>
                <w:color w:val="000000"/>
                <w:sz w:val="20"/>
                <w:szCs w:val="20"/>
              </w:rPr>
              <w:t>1013</w:t>
            </w:r>
          </w:p>
        </w:tc>
        <w:tc>
          <w:tcPr>
            <w:tcW w:w="1305" w:type="dxa"/>
            <w:vAlign w:val="center"/>
          </w:tcPr>
          <w:p w:rsidR="00A52121" w:rsidRPr="007C51D6" w:rsidRDefault="00A52121" w:rsidP="00A52121">
            <w:pPr>
              <w:jc w:val="center"/>
              <w:rPr>
                <w:color w:val="000000"/>
                <w:sz w:val="20"/>
                <w:szCs w:val="20"/>
              </w:rPr>
            </w:pPr>
            <w:r w:rsidRPr="007C51D6">
              <w:rPr>
                <w:color w:val="000000"/>
                <w:sz w:val="20"/>
                <w:szCs w:val="20"/>
              </w:rPr>
              <w:t>968</w:t>
            </w:r>
          </w:p>
        </w:tc>
      </w:tr>
      <w:tr w:rsidR="00A52121" w:rsidRPr="007C51D6" w:rsidTr="00080BEF">
        <w:tblPrEx>
          <w:tblBorders>
            <w:bottom w:val="single" w:sz="4" w:space="0" w:color="auto"/>
          </w:tblBorders>
        </w:tblPrEx>
        <w:trPr>
          <w:trHeight w:val="20"/>
        </w:trPr>
        <w:tc>
          <w:tcPr>
            <w:tcW w:w="3114" w:type="dxa"/>
            <w:shd w:val="clear" w:color="auto" w:fill="auto"/>
            <w:hideMark/>
          </w:tcPr>
          <w:p w:rsidR="00A52121" w:rsidRPr="007C51D6" w:rsidRDefault="00A52121" w:rsidP="00A52121">
            <w:pPr>
              <w:autoSpaceDE/>
              <w:autoSpaceDN/>
              <w:adjustRightInd/>
              <w:rPr>
                <w:color w:val="000000"/>
                <w:sz w:val="20"/>
                <w:szCs w:val="20"/>
              </w:rPr>
            </w:pPr>
            <w:r w:rsidRPr="007C51D6">
              <w:rPr>
                <w:color w:val="000000"/>
                <w:sz w:val="20"/>
                <w:szCs w:val="20"/>
              </w:rPr>
              <w:t>Балтасинский</w:t>
            </w:r>
          </w:p>
        </w:tc>
        <w:tc>
          <w:tcPr>
            <w:tcW w:w="1275" w:type="dxa"/>
            <w:shd w:val="clear" w:color="auto" w:fill="auto"/>
            <w:vAlign w:val="center"/>
          </w:tcPr>
          <w:p w:rsidR="00A52121" w:rsidRPr="007C51D6" w:rsidRDefault="00A52121" w:rsidP="00A52121">
            <w:pPr>
              <w:jc w:val="center"/>
              <w:rPr>
                <w:color w:val="000000"/>
                <w:sz w:val="20"/>
                <w:szCs w:val="20"/>
              </w:rPr>
            </w:pPr>
            <w:r w:rsidRPr="007C51D6">
              <w:rPr>
                <w:color w:val="000000"/>
                <w:sz w:val="20"/>
                <w:szCs w:val="20"/>
              </w:rPr>
              <w:t>719</w:t>
            </w:r>
          </w:p>
        </w:tc>
        <w:tc>
          <w:tcPr>
            <w:tcW w:w="1162" w:type="dxa"/>
            <w:shd w:val="clear" w:color="auto" w:fill="auto"/>
            <w:vAlign w:val="center"/>
          </w:tcPr>
          <w:p w:rsidR="00A52121" w:rsidRPr="007C51D6" w:rsidRDefault="00A52121" w:rsidP="00A52121">
            <w:pPr>
              <w:jc w:val="center"/>
              <w:rPr>
                <w:color w:val="000000"/>
                <w:sz w:val="20"/>
                <w:szCs w:val="20"/>
              </w:rPr>
            </w:pPr>
            <w:r w:rsidRPr="007C51D6">
              <w:rPr>
                <w:color w:val="000000"/>
                <w:sz w:val="20"/>
                <w:szCs w:val="20"/>
              </w:rPr>
              <w:t>760</w:t>
            </w:r>
          </w:p>
        </w:tc>
        <w:tc>
          <w:tcPr>
            <w:tcW w:w="1163" w:type="dxa"/>
            <w:shd w:val="clear" w:color="auto" w:fill="auto"/>
            <w:vAlign w:val="center"/>
          </w:tcPr>
          <w:p w:rsidR="00A52121" w:rsidRPr="007C51D6" w:rsidRDefault="00A52121" w:rsidP="00A52121">
            <w:pPr>
              <w:jc w:val="center"/>
              <w:rPr>
                <w:color w:val="000000"/>
                <w:sz w:val="20"/>
                <w:szCs w:val="20"/>
              </w:rPr>
            </w:pPr>
            <w:r w:rsidRPr="007C51D6">
              <w:rPr>
                <w:color w:val="000000"/>
                <w:sz w:val="20"/>
                <w:szCs w:val="20"/>
              </w:rPr>
              <w:t>751</w:t>
            </w:r>
          </w:p>
        </w:tc>
        <w:tc>
          <w:tcPr>
            <w:tcW w:w="1162" w:type="dxa"/>
            <w:shd w:val="clear" w:color="auto" w:fill="auto"/>
            <w:vAlign w:val="center"/>
          </w:tcPr>
          <w:p w:rsidR="00A52121" w:rsidRPr="007C51D6" w:rsidRDefault="00A52121" w:rsidP="00A52121">
            <w:pPr>
              <w:jc w:val="center"/>
              <w:rPr>
                <w:color w:val="000000"/>
                <w:sz w:val="20"/>
                <w:szCs w:val="20"/>
              </w:rPr>
            </w:pPr>
            <w:r w:rsidRPr="007C51D6">
              <w:rPr>
                <w:color w:val="000000"/>
                <w:sz w:val="20"/>
                <w:szCs w:val="20"/>
              </w:rPr>
              <w:t>770</w:t>
            </w:r>
          </w:p>
        </w:tc>
        <w:tc>
          <w:tcPr>
            <w:tcW w:w="1162" w:type="dxa"/>
            <w:shd w:val="clear" w:color="auto" w:fill="auto"/>
            <w:vAlign w:val="center"/>
          </w:tcPr>
          <w:p w:rsidR="00A52121" w:rsidRPr="007C51D6" w:rsidRDefault="00A52121" w:rsidP="00A52121">
            <w:pPr>
              <w:jc w:val="center"/>
              <w:rPr>
                <w:color w:val="000000"/>
                <w:sz w:val="20"/>
                <w:szCs w:val="20"/>
              </w:rPr>
            </w:pPr>
            <w:r w:rsidRPr="007C51D6">
              <w:rPr>
                <w:color w:val="000000"/>
                <w:sz w:val="20"/>
                <w:szCs w:val="20"/>
              </w:rPr>
              <w:t>792</w:t>
            </w:r>
          </w:p>
        </w:tc>
        <w:tc>
          <w:tcPr>
            <w:tcW w:w="1163" w:type="dxa"/>
            <w:vAlign w:val="center"/>
          </w:tcPr>
          <w:p w:rsidR="00A52121" w:rsidRPr="007C51D6" w:rsidRDefault="00A52121" w:rsidP="00A52121">
            <w:pPr>
              <w:jc w:val="center"/>
              <w:rPr>
                <w:color w:val="000000"/>
                <w:sz w:val="20"/>
                <w:szCs w:val="20"/>
              </w:rPr>
            </w:pPr>
            <w:r w:rsidRPr="007C51D6">
              <w:rPr>
                <w:color w:val="000000"/>
                <w:sz w:val="20"/>
                <w:szCs w:val="20"/>
              </w:rPr>
              <w:t>780</w:t>
            </w:r>
          </w:p>
        </w:tc>
        <w:tc>
          <w:tcPr>
            <w:tcW w:w="1162" w:type="dxa"/>
            <w:vAlign w:val="center"/>
          </w:tcPr>
          <w:p w:rsidR="00A52121" w:rsidRPr="007C51D6" w:rsidRDefault="00A52121" w:rsidP="00A52121">
            <w:pPr>
              <w:jc w:val="center"/>
              <w:rPr>
                <w:color w:val="000000"/>
                <w:sz w:val="20"/>
                <w:szCs w:val="20"/>
              </w:rPr>
            </w:pPr>
            <w:r w:rsidRPr="007C51D6">
              <w:rPr>
                <w:color w:val="000000"/>
                <w:sz w:val="20"/>
                <w:szCs w:val="20"/>
              </w:rPr>
              <w:t>808</w:t>
            </w:r>
          </w:p>
        </w:tc>
        <w:tc>
          <w:tcPr>
            <w:tcW w:w="1219" w:type="dxa"/>
            <w:vAlign w:val="center"/>
          </w:tcPr>
          <w:p w:rsidR="00A52121" w:rsidRPr="007C51D6" w:rsidRDefault="00A52121" w:rsidP="00A52121">
            <w:pPr>
              <w:jc w:val="center"/>
              <w:rPr>
                <w:color w:val="000000"/>
                <w:sz w:val="20"/>
                <w:szCs w:val="20"/>
              </w:rPr>
            </w:pPr>
            <w:r w:rsidRPr="007C51D6">
              <w:rPr>
                <w:color w:val="000000"/>
                <w:sz w:val="20"/>
                <w:szCs w:val="20"/>
              </w:rPr>
              <w:t>860</w:t>
            </w:r>
          </w:p>
        </w:tc>
        <w:tc>
          <w:tcPr>
            <w:tcW w:w="1305" w:type="dxa"/>
            <w:vAlign w:val="center"/>
          </w:tcPr>
          <w:p w:rsidR="00A52121" w:rsidRPr="007C51D6" w:rsidRDefault="00A52121" w:rsidP="00A52121">
            <w:pPr>
              <w:jc w:val="center"/>
              <w:rPr>
                <w:color w:val="000000"/>
                <w:sz w:val="20"/>
                <w:szCs w:val="20"/>
              </w:rPr>
            </w:pPr>
            <w:r w:rsidRPr="007C51D6">
              <w:rPr>
                <w:color w:val="000000"/>
                <w:sz w:val="20"/>
                <w:szCs w:val="20"/>
              </w:rPr>
              <w:t>906</w:t>
            </w:r>
          </w:p>
        </w:tc>
        <w:tc>
          <w:tcPr>
            <w:tcW w:w="1305" w:type="dxa"/>
            <w:vAlign w:val="center"/>
          </w:tcPr>
          <w:p w:rsidR="00A52121" w:rsidRPr="007C51D6" w:rsidRDefault="00A52121" w:rsidP="00A52121">
            <w:pPr>
              <w:jc w:val="center"/>
              <w:rPr>
                <w:color w:val="000000"/>
                <w:sz w:val="20"/>
                <w:szCs w:val="20"/>
              </w:rPr>
            </w:pPr>
            <w:r w:rsidRPr="007C51D6">
              <w:rPr>
                <w:color w:val="000000"/>
                <w:sz w:val="20"/>
                <w:szCs w:val="20"/>
              </w:rPr>
              <w:t>953</w:t>
            </w:r>
          </w:p>
        </w:tc>
      </w:tr>
      <w:tr w:rsidR="00A52121" w:rsidRPr="007C51D6" w:rsidTr="00080BEF">
        <w:tblPrEx>
          <w:tblBorders>
            <w:bottom w:val="single" w:sz="4" w:space="0" w:color="auto"/>
          </w:tblBorders>
        </w:tblPrEx>
        <w:trPr>
          <w:trHeight w:val="20"/>
        </w:trPr>
        <w:tc>
          <w:tcPr>
            <w:tcW w:w="3114" w:type="dxa"/>
            <w:shd w:val="clear" w:color="auto" w:fill="auto"/>
            <w:hideMark/>
          </w:tcPr>
          <w:p w:rsidR="00A52121" w:rsidRPr="007C51D6" w:rsidRDefault="00A52121" w:rsidP="00A52121">
            <w:pPr>
              <w:autoSpaceDE/>
              <w:autoSpaceDN/>
              <w:adjustRightInd/>
              <w:rPr>
                <w:color w:val="000000"/>
                <w:sz w:val="20"/>
                <w:szCs w:val="20"/>
              </w:rPr>
            </w:pPr>
            <w:r w:rsidRPr="007C51D6">
              <w:rPr>
                <w:color w:val="000000"/>
                <w:sz w:val="20"/>
                <w:szCs w:val="20"/>
              </w:rPr>
              <w:t>Бугульминский</w:t>
            </w:r>
          </w:p>
        </w:tc>
        <w:tc>
          <w:tcPr>
            <w:tcW w:w="1275" w:type="dxa"/>
            <w:shd w:val="clear" w:color="auto" w:fill="auto"/>
            <w:vAlign w:val="center"/>
          </w:tcPr>
          <w:p w:rsidR="00A52121" w:rsidRPr="007C51D6" w:rsidRDefault="00A52121" w:rsidP="00A52121">
            <w:pPr>
              <w:jc w:val="center"/>
              <w:rPr>
                <w:color w:val="000000"/>
                <w:sz w:val="20"/>
                <w:szCs w:val="20"/>
              </w:rPr>
            </w:pPr>
            <w:r w:rsidRPr="007C51D6">
              <w:rPr>
                <w:color w:val="000000"/>
                <w:sz w:val="20"/>
                <w:szCs w:val="20"/>
              </w:rPr>
              <w:t>2559</w:t>
            </w:r>
          </w:p>
        </w:tc>
        <w:tc>
          <w:tcPr>
            <w:tcW w:w="1162" w:type="dxa"/>
            <w:shd w:val="clear" w:color="auto" w:fill="auto"/>
            <w:vAlign w:val="center"/>
          </w:tcPr>
          <w:p w:rsidR="00A52121" w:rsidRPr="007C51D6" w:rsidRDefault="00A52121" w:rsidP="00A52121">
            <w:pPr>
              <w:jc w:val="center"/>
              <w:rPr>
                <w:color w:val="000000"/>
                <w:sz w:val="20"/>
                <w:szCs w:val="20"/>
              </w:rPr>
            </w:pPr>
            <w:r w:rsidRPr="007C51D6">
              <w:rPr>
                <w:color w:val="000000"/>
                <w:sz w:val="20"/>
                <w:szCs w:val="20"/>
              </w:rPr>
              <w:t>2727</w:t>
            </w:r>
          </w:p>
        </w:tc>
        <w:tc>
          <w:tcPr>
            <w:tcW w:w="1163" w:type="dxa"/>
            <w:shd w:val="clear" w:color="auto" w:fill="auto"/>
            <w:vAlign w:val="center"/>
          </w:tcPr>
          <w:p w:rsidR="00A52121" w:rsidRPr="007C51D6" w:rsidRDefault="00A52121" w:rsidP="00A52121">
            <w:pPr>
              <w:jc w:val="center"/>
              <w:rPr>
                <w:color w:val="000000"/>
                <w:sz w:val="20"/>
                <w:szCs w:val="20"/>
              </w:rPr>
            </w:pPr>
            <w:r w:rsidRPr="007C51D6">
              <w:rPr>
                <w:color w:val="000000"/>
                <w:sz w:val="20"/>
                <w:szCs w:val="20"/>
              </w:rPr>
              <w:t>2896</w:t>
            </w:r>
          </w:p>
        </w:tc>
        <w:tc>
          <w:tcPr>
            <w:tcW w:w="1162" w:type="dxa"/>
            <w:shd w:val="clear" w:color="auto" w:fill="auto"/>
            <w:vAlign w:val="center"/>
          </w:tcPr>
          <w:p w:rsidR="00A52121" w:rsidRPr="007C51D6" w:rsidRDefault="00A52121" w:rsidP="00A52121">
            <w:pPr>
              <w:jc w:val="center"/>
              <w:rPr>
                <w:color w:val="000000"/>
                <w:sz w:val="20"/>
                <w:szCs w:val="20"/>
              </w:rPr>
            </w:pPr>
            <w:r w:rsidRPr="007C51D6">
              <w:rPr>
                <w:color w:val="000000"/>
                <w:sz w:val="20"/>
                <w:szCs w:val="20"/>
              </w:rPr>
              <w:t>3022</w:t>
            </w:r>
          </w:p>
        </w:tc>
        <w:tc>
          <w:tcPr>
            <w:tcW w:w="1162" w:type="dxa"/>
            <w:shd w:val="clear" w:color="auto" w:fill="auto"/>
            <w:vAlign w:val="center"/>
          </w:tcPr>
          <w:p w:rsidR="00A52121" w:rsidRPr="007C51D6" w:rsidRDefault="00A52121" w:rsidP="00A52121">
            <w:pPr>
              <w:jc w:val="center"/>
              <w:rPr>
                <w:color w:val="000000"/>
                <w:sz w:val="20"/>
                <w:szCs w:val="20"/>
              </w:rPr>
            </w:pPr>
            <w:r w:rsidRPr="007C51D6">
              <w:rPr>
                <w:color w:val="000000"/>
                <w:sz w:val="20"/>
                <w:szCs w:val="20"/>
              </w:rPr>
              <w:t>2925</w:t>
            </w:r>
          </w:p>
        </w:tc>
        <w:tc>
          <w:tcPr>
            <w:tcW w:w="1163" w:type="dxa"/>
            <w:vAlign w:val="center"/>
          </w:tcPr>
          <w:p w:rsidR="00A52121" w:rsidRPr="007C51D6" w:rsidRDefault="00A52121" w:rsidP="00A52121">
            <w:pPr>
              <w:jc w:val="center"/>
              <w:rPr>
                <w:color w:val="000000"/>
                <w:sz w:val="20"/>
                <w:szCs w:val="20"/>
              </w:rPr>
            </w:pPr>
            <w:r w:rsidRPr="007C51D6">
              <w:rPr>
                <w:color w:val="000000"/>
                <w:sz w:val="20"/>
                <w:szCs w:val="20"/>
              </w:rPr>
              <w:t>2931</w:t>
            </w:r>
          </w:p>
        </w:tc>
        <w:tc>
          <w:tcPr>
            <w:tcW w:w="1162" w:type="dxa"/>
            <w:vAlign w:val="center"/>
          </w:tcPr>
          <w:p w:rsidR="00A52121" w:rsidRPr="007C51D6" w:rsidRDefault="00A52121" w:rsidP="00A52121">
            <w:pPr>
              <w:jc w:val="center"/>
              <w:rPr>
                <w:color w:val="000000"/>
                <w:sz w:val="20"/>
                <w:szCs w:val="20"/>
              </w:rPr>
            </w:pPr>
            <w:r w:rsidRPr="007C51D6">
              <w:rPr>
                <w:color w:val="000000"/>
                <w:sz w:val="20"/>
                <w:szCs w:val="20"/>
              </w:rPr>
              <w:t>2979</w:t>
            </w:r>
          </w:p>
        </w:tc>
        <w:tc>
          <w:tcPr>
            <w:tcW w:w="1219" w:type="dxa"/>
            <w:vAlign w:val="center"/>
          </w:tcPr>
          <w:p w:rsidR="00A52121" w:rsidRPr="007C51D6" w:rsidRDefault="00A52121" w:rsidP="00A52121">
            <w:pPr>
              <w:jc w:val="center"/>
              <w:rPr>
                <w:color w:val="000000"/>
                <w:sz w:val="20"/>
                <w:szCs w:val="20"/>
              </w:rPr>
            </w:pPr>
            <w:r w:rsidRPr="007C51D6">
              <w:rPr>
                <w:color w:val="000000"/>
                <w:sz w:val="20"/>
                <w:szCs w:val="20"/>
              </w:rPr>
              <w:t>3066</w:t>
            </w:r>
          </w:p>
        </w:tc>
        <w:tc>
          <w:tcPr>
            <w:tcW w:w="1305" w:type="dxa"/>
            <w:vAlign w:val="center"/>
          </w:tcPr>
          <w:p w:rsidR="00A52121" w:rsidRPr="007C51D6" w:rsidRDefault="00A52121" w:rsidP="00A52121">
            <w:pPr>
              <w:jc w:val="center"/>
              <w:rPr>
                <w:color w:val="000000"/>
                <w:sz w:val="20"/>
                <w:szCs w:val="20"/>
              </w:rPr>
            </w:pPr>
            <w:r w:rsidRPr="007C51D6">
              <w:rPr>
                <w:color w:val="000000"/>
                <w:sz w:val="20"/>
                <w:szCs w:val="20"/>
              </w:rPr>
              <w:t>3124</w:t>
            </w:r>
          </w:p>
        </w:tc>
        <w:tc>
          <w:tcPr>
            <w:tcW w:w="1305" w:type="dxa"/>
            <w:vAlign w:val="center"/>
          </w:tcPr>
          <w:p w:rsidR="00A52121" w:rsidRPr="007C51D6" w:rsidRDefault="00A52121" w:rsidP="00A52121">
            <w:pPr>
              <w:jc w:val="center"/>
              <w:rPr>
                <w:color w:val="000000"/>
                <w:sz w:val="20"/>
                <w:szCs w:val="20"/>
              </w:rPr>
            </w:pPr>
            <w:r w:rsidRPr="007C51D6">
              <w:rPr>
                <w:color w:val="000000"/>
                <w:sz w:val="20"/>
                <w:szCs w:val="20"/>
              </w:rPr>
              <w:t>2861</w:t>
            </w:r>
          </w:p>
        </w:tc>
      </w:tr>
      <w:tr w:rsidR="00A52121" w:rsidRPr="007C51D6" w:rsidTr="00080BEF">
        <w:tblPrEx>
          <w:tblBorders>
            <w:bottom w:val="single" w:sz="4" w:space="0" w:color="auto"/>
          </w:tblBorders>
        </w:tblPrEx>
        <w:trPr>
          <w:trHeight w:val="20"/>
        </w:trPr>
        <w:tc>
          <w:tcPr>
            <w:tcW w:w="3114" w:type="dxa"/>
            <w:shd w:val="clear" w:color="auto" w:fill="auto"/>
            <w:hideMark/>
          </w:tcPr>
          <w:p w:rsidR="00A52121" w:rsidRPr="007C51D6" w:rsidRDefault="00A52121" w:rsidP="00A52121">
            <w:pPr>
              <w:autoSpaceDE/>
              <w:autoSpaceDN/>
              <w:adjustRightInd/>
              <w:rPr>
                <w:color w:val="000000"/>
                <w:sz w:val="20"/>
                <w:szCs w:val="20"/>
              </w:rPr>
            </w:pPr>
            <w:r w:rsidRPr="007C51D6">
              <w:rPr>
                <w:color w:val="000000"/>
                <w:sz w:val="20"/>
                <w:szCs w:val="20"/>
              </w:rPr>
              <w:t>Буинский</w:t>
            </w:r>
          </w:p>
        </w:tc>
        <w:tc>
          <w:tcPr>
            <w:tcW w:w="1275" w:type="dxa"/>
            <w:shd w:val="clear" w:color="auto" w:fill="auto"/>
            <w:vAlign w:val="center"/>
          </w:tcPr>
          <w:p w:rsidR="00A52121" w:rsidRPr="007C51D6" w:rsidRDefault="00A52121" w:rsidP="00A52121">
            <w:pPr>
              <w:jc w:val="center"/>
              <w:rPr>
                <w:color w:val="000000"/>
                <w:sz w:val="20"/>
                <w:szCs w:val="20"/>
              </w:rPr>
            </w:pPr>
            <w:r w:rsidRPr="007C51D6">
              <w:rPr>
                <w:color w:val="000000"/>
                <w:sz w:val="20"/>
                <w:szCs w:val="20"/>
              </w:rPr>
              <w:t>1129</w:t>
            </w:r>
          </w:p>
        </w:tc>
        <w:tc>
          <w:tcPr>
            <w:tcW w:w="1162" w:type="dxa"/>
            <w:shd w:val="clear" w:color="auto" w:fill="auto"/>
            <w:vAlign w:val="center"/>
          </w:tcPr>
          <w:p w:rsidR="00A52121" w:rsidRPr="007C51D6" w:rsidRDefault="00A52121" w:rsidP="00A52121">
            <w:pPr>
              <w:jc w:val="center"/>
              <w:rPr>
                <w:color w:val="000000"/>
                <w:sz w:val="20"/>
                <w:szCs w:val="20"/>
              </w:rPr>
            </w:pPr>
            <w:r w:rsidRPr="007C51D6">
              <w:rPr>
                <w:color w:val="000000"/>
                <w:sz w:val="20"/>
                <w:szCs w:val="20"/>
              </w:rPr>
              <w:t>1182</w:t>
            </w:r>
          </w:p>
        </w:tc>
        <w:tc>
          <w:tcPr>
            <w:tcW w:w="1163" w:type="dxa"/>
            <w:shd w:val="clear" w:color="auto" w:fill="auto"/>
            <w:vAlign w:val="center"/>
          </w:tcPr>
          <w:p w:rsidR="00A52121" w:rsidRPr="007C51D6" w:rsidRDefault="00A52121" w:rsidP="00A52121">
            <w:pPr>
              <w:jc w:val="center"/>
              <w:rPr>
                <w:color w:val="000000"/>
                <w:sz w:val="20"/>
                <w:szCs w:val="20"/>
              </w:rPr>
            </w:pPr>
            <w:r w:rsidRPr="007C51D6">
              <w:rPr>
                <w:color w:val="000000"/>
                <w:sz w:val="20"/>
                <w:szCs w:val="20"/>
              </w:rPr>
              <w:t>1239</w:t>
            </w:r>
          </w:p>
        </w:tc>
        <w:tc>
          <w:tcPr>
            <w:tcW w:w="1162" w:type="dxa"/>
            <w:shd w:val="clear" w:color="auto" w:fill="auto"/>
            <w:vAlign w:val="center"/>
          </w:tcPr>
          <w:p w:rsidR="00A52121" w:rsidRPr="007C51D6" w:rsidRDefault="00A52121" w:rsidP="00A52121">
            <w:pPr>
              <w:jc w:val="center"/>
              <w:rPr>
                <w:color w:val="000000"/>
                <w:sz w:val="20"/>
                <w:szCs w:val="20"/>
              </w:rPr>
            </w:pPr>
            <w:r w:rsidRPr="007C51D6">
              <w:rPr>
                <w:color w:val="000000"/>
                <w:sz w:val="20"/>
                <w:szCs w:val="20"/>
              </w:rPr>
              <w:t>1275</w:t>
            </w:r>
          </w:p>
        </w:tc>
        <w:tc>
          <w:tcPr>
            <w:tcW w:w="1162" w:type="dxa"/>
            <w:shd w:val="clear" w:color="auto" w:fill="auto"/>
            <w:vAlign w:val="center"/>
          </w:tcPr>
          <w:p w:rsidR="00A52121" w:rsidRPr="007C51D6" w:rsidRDefault="00A52121" w:rsidP="00A52121">
            <w:pPr>
              <w:jc w:val="center"/>
              <w:rPr>
                <w:color w:val="000000"/>
                <w:sz w:val="20"/>
                <w:szCs w:val="20"/>
              </w:rPr>
            </w:pPr>
            <w:r w:rsidRPr="007C51D6">
              <w:rPr>
                <w:color w:val="000000"/>
                <w:sz w:val="20"/>
                <w:szCs w:val="20"/>
              </w:rPr>
              <w:t>1287</w:t>
            </w:r>
          </w:p>
        </w:tc>
        <w:tc>
          <w:tcPr>
            <w:tcW w:w="1163" w:type="dxa"/>
            <w:vAlign w:val="center"/>
          </w:tcPr>
          <w:p w:rsidR="00A52121" w:rsidRPr="007C51D6" w:rsidRDefault="00A52121" w:rsidP="00A52121">
            <w:pPr>
              <w:jc w:val="center"/>
              <w:rPr>
                <w:color w:val="000000"/>
                <w:sz w:val="20"/>
                <w:szCs w:val="20"/>
              </w:rPr>
            </w:pPr>
            <w:r w:rsidRPr="007C51D6">
              <w:rPr>
                <w:color w:val="000000"/>
                <w:sz w:val="20"/>
                <w:szCs w:val="20"/>
              </w:rPr>
              <w:t>1187</w:t>
            </w:r>
          </w:p>
        </w:tc>
        <w:tc>
          <w:tcPr>
            <w:tcW w:w="1162" w:type="dxa"/>
            <w:vAlign w:val="center"/>
          </w:tcPr>
          <w:p w:rsidR="00A52121" w:rsidRPr="007C51D6" w:rsidRDefault="00A52121" w:rsidP="00A52121">
            <w:pPr>
              <w:jc w:val="center"/>
              <w:rPr>
                <w:color w:val="000000"/>
                <w:sz w:val="20"/>
                <w:szCs w:val="20"/>
              </w:rPr>
            </w:pPr>
            <w:r w:rsidRPr="007C51D6">
              <w:rPr>
                <w:color w:val="000000"/>
                <w:sz w:val="20"/>
                <w:szCs w:val="20"/>
              </w:rPr>
              <w:t>1249</w:t>
            </w:r>
          </w:p>
        </w:tc>
        <w:tc>
          <w:tcPr>
            <w:tcW w:w="1219" w:type="dxa"/>
            <w:vAlign w:val="center"/>
          </w:tcPr>
          <w:p w:rsidR="00A52121" w:rsidRPr="007C51D6" w:rsidRDefault="00A52121" w:rsidP="00A52121">
            <w:pPr>
              <w:jc w:val="center"/>
              <w:rPr>
                <w:color w:val="000000"/>
                <w:sz w:val="20"/>
                <w:szCs w:val="20"/>
              </w:rPr>
            </w:pPr>
            <w:r w:rsidRPr="007C51D6">
              <w:rPr>
                <w:color w:val="000000"/>
                <w:sz w:val="20"/>
                <w:szCs w:val="20"/>
              </w:rPr>
              <w:t>1289</w:t>
            </w:r>
          </w:p>
        </w:tc>
        <w:tc>
          <w:tcPr>
            <w:tcW w:w="1305" w:type="dxa"/>
            <w:vAlign w:val="center"/>
          </w:tcPr>
          <w:p w:rsidR="00A52121" w:rsidRPr="007C51D6" w:rsidRDefault="00A52121" w:rsidP="00A52121">
            <w:pPr>
              <w:jc w:val="center"/>
              <w:rPr>
                <w:color w:val="000000"/>
                <w:sz w:val="20"/>
                <w:szCs w:val="20"/>
              </w:rPr>
            </w:pPr>
            <w:r w:rsidRPr="007C51D6">
              <w:rPr>
                <w:color w:val="000000"/>
                <w:sz w:val="20"/>
                <w:szCs w:val="20"/>
              </w:rPr>
              <w:t>1359</w:t>
            </w:r>
          </w:p>
        </w:tc>
        <w:tc>
          <w:tcPr>
            <w:tcW w:w="1305" w:type="dxa"/>
            <w:vAlign w:val="center"/>
          </w:tcPr>
          <w:p w:rsidR="00A52121" w:rsidRPr="007C51D6" w:rsidRDefault="00A52121" w:rsidP="00A52121">
            <w:pPr>
              <w:jc w:val="center"/>
              <w:rPr>
                <w:color w:val="000000"/>
                <w:sz w:val="20"/>
                <w:szCs w:val="20"/>
              </w:rPr>
            </w:pPr>
            <w:r w:rsidRPr="007C51D6">
              <w:rPr>
                <w:color w:val="000000"/>
                <w:sz w:val="20"/>
                <w:szCs w:val="20"/>
              </w:rPr>
              <w:t>1364</w:t>
            </w:r>
          </w:p>
        </w:tc>
      </w:tr>
      <w:tr w:rsidR="00A52121" w:rsidRPr="007C51D6" w:rsidTr="00080BEF">
        <w:tblPrEx>
          <w:tblBorders>
            <w:bottom w:val="single" w:sz="4" w:space="0" w:color="auto"/>
          </w:tblBorders>
        </w:tblPrEx>
        <w:trPr>
          <w:trHeight w:val="20"/>
        </w:trPr>
        <w:tc>
          <w:tcPr>
            <w:tcW w:w="3114" w:type="dxa"/>
            <w:shd w:val="clear" w:color="auto" w:fill="auto"/>
            <w:hideMark/>
          </w:tcPr>
          <w:p w:rsidR="00A52121" w:rsidRPr="007C51D6" w:rsidRDefault="00A52121" w:rsidP="00A52121">
            <w:pPr>
              <w:autoSpaceDE/>
              <w:autoSpaceDN/>
              <w:adjustRightInd/>
              <w:rPr>
                <w:color w:val="000000"/>
                <w:sz w:val="20"/>
                <w:szCs w:val="20"/>
              </w:rPr>
            </w:pPr>
            <w:r w:rsidRPr="007C51D6">
              <w:rPr>
                <w:color w:val="000000"/>
                <w:sz w:val="20"/>
                <w:szCs w:val="20"/>
              </w:rPr>
              <w:t>Верхнеуслонский</w:t>
            </w:r>
          </w:p>
        </w:tc>
        <w:tc>
          <w:tcPr>
            <w:tcW w:w="1275" w:type="dxa"/>
            <w:shd w:val="clear" w:color="auto" w:fill="auto"/>
            <w:vAlign w:val="center"/>
          </w:tcPr>
          <w:p w:rsidR="00A52121" w:rsidRPr="007C51D6" w:rsidRDefault="00A52121" w:rsidP="00A52121">
            <w:pPr>
              <w:jc w:val="center"/>
              <w:rPr>
                <w:color w:val="000000"/>
                <w:sz w:val="20"/>
                <w:szCs w:val="20"/>
              </w:rPr>
            </w:pPr>
            <w:r w:rsidRPr="007C51D6">
              <w:rPr>
                <w:color w:val="000000"/>
                <w:sz w:val="20"/>
                <w:szCs w:val="20"/>
              </w:rPr>
              <w:t>459</w:t>
            </w:r>
          </w:p>
        </w:tc>
        <w:tc>
          <w:tcPr>
            <w:tcW w:w="1162" w:type="dxa"/>
            <w:shd w:val="clear" w:color="auto" w:fill="auto"/>
            <w:vAlign w:val="center"/>
          </w:tcPr>
          <w:p w:rsidR="00A52121" w:rsidRPr="007C51D6" w:rsidRDefault="00A52121" w:rsidP="00A52121">
            <w:pPr>
              <w:jc w:val="center"/>
              <w:rPr>
                <w:color w:val="000000"/>
                <w:sz w:val="20"/>
                <w:szCs w:val="20"/>
              </w:rPr>
            </w:pPr>
            <w:r w:rsidRPr="007C51D6">
              <w:rPr>
                <w:color w:val="000000"/>
                <w:sz w:val="20"/>
                <w:szCs w:val="20"/>
              </w:rPr>
              <w:t>489</w:t>
            </w:r>
          </w:p>
        </w:tc>
        <w:tc>
          <w:tcPr>
            <w:tcW w:w="1163" w:type="dxa"/>
            <w:shd w:val="clear" w:color="auto" w:fill="auto"/>
            <w:vAlign w:val="center"/>
          </w:tcPr>
          <w:p w:rsidR="00A52121" w:rsidRPr="007C51D6" w:rsidRDefault="00A52121" w:rsidP="00A52121">
            <w:pPr>
              <w:jc w:val="center"/>
              <w:rPr>
                <w:color w:val="000000"/>
                <w:sz w:val="20"/>
                <w:szCs w:val="20"/>
              </w:rPr>
            </w:pPr>
            <w:r w:rsidRPr="007C51D6">
              <w:rPr>
                <w:color w:val="000000"/>
                <w:sz w:val="20"/>
                <w:szCs w:val="20"/>
              </w:rPr>
              <w:t>501</w:t>
            </w:r>
          </w:p>
        </w:tc>
        <w:tc>
          <w:tcPr>
            <w:tcW w:w="1162" w:type="dxa"/>
            <w:shd w:val="clear" w:color="auto" w:fill="auto"/>
            <w:vAlign w:val="center"/>
          </w:tcPr>
          <w:p w:rsidR="00A52121" w:rsidRPr="007C51D6" w:rsidRDefault="00A52121" w:rsidP="00A52121">
            <w:pPr>
              <w:jc w:val="center"/>
              <w:rPr>
                <w:color w:val="000000"/>
                <w:sz w:val="20"/>
                <w:szCs w:val="20"/>
              </w:rPr>
            </w:pPr>
            <w:r w:rsidRPr="007C51D6">
              <w:rPr>
                <w:color w:val="000000"/>
                <w:sz w:val="20"/>
                <w:szCs w:val="20"/>
              </w:rPr>
              <w:t>509</w:t>
            </w:r>
          </w:p>
        </w:tc>
        <w:tc>
          <w:tcPr>
            <w:tcW w:w="1162" w:type="dxa"/>
            <w:shd w:val="clear" w:color="auto" w:fill="auto"/>
            <w:vAlign w:val="center"/>
          </w:tcPr>
          <w:p w:rsidR="00A52121" w:rsidRPr="007C51D6" w:rsidRDefault="00A52121" w:rsidP="00A52121">
            <w:pPr>
              <w:jc w:val="center"/>
              <w:rPr>
                <w:color w:val="000000"/>
                <w:sz w:val="20"/>
                <w:szCs w:val="20"/>
              </w:rPr>
            </w:pPr>
            <w:r w:rsidRPr="007C51D6">
              <w:rPr>
                <w:color w:val="000000"/>
                <w:sz w:val="20"/>
                <w:szCs w:val="20"/>
              </w:rPr>
              <w:t>482</w:t>
            </w:r>
          </w:p>
        </w:tc>
        <w:tc>
          <w:tcPr>
            <w:tcW w:w="1163" w:type="dxa"/>
            <w:vAlign w:val="center"/>
          </w:tcPr>
          <w:p w:rsidR="00A52121" w:rsidRPr="007C51D6" w:rsidRDefault="00A52121" w:rsidP="00A52121">
            <w:pPr>
              <w:jc w:val="center"/>
              <w:rPr>
                <w:color w:val="000000"/>
                <w:sz w:val="20"/>
                <w:szCs w:val="20"/>
              </w:rPr>
            </w:pPr>
            <w:r w:rsidRPr="007C51D6">
              <w:rPr>
                <w:color w:val="000000"/>
                <w:sz w:val="20"/>
                <w:szCs w:val="20"/>
              </w:rPr>
              <w:t>480</w:t>
            </w:r>
          </w:p>
        </w:tc>
        <w:tc>
          <w:tcPr>
            <w:tcW w:w="1162" w:type="dxa"/>
            <w:vAlign w:val="center"/>
          </w:tcPr>
          <w:p w:rsidR="00A52121" w:rsidRPr="007C51D6" w:rsidRDefault="00A52121" w:rsidP="00A52121">
            <w:pPr>
              <w:jc w:val="center"/>
              <w:rPr>
                <w:color w:val="000000"/>
                <w:sz w:val="20"/>
                <w:szCs w:val="20"/>
              </w:rPr>
            </w:pPr>
            <w:r w:rsidRPr="007C51D6">
              <w:rPr>
                <w:color w:val="000000"/>
                <w:sz w:val="20"/>
                <w:szCs w:val="20"/>
              </w:rPr>
              <w:t>481</w:t>
            </w:r>
          </w:p>
        </w:tc>
        <w:tc>
          <w:tcPr>
            <w:tcW w:w="1219" w:type="dxa"/>
            <w:vAlign w:val="center"/>
          </w:tcPr>
          <w:p w:rsidR="00A52121" w:rsidRPr="007C51D6" w:rsidRDefault="00A52121" w:rsidP="00A52121">
            <w:pPr>
              <w:jc w:val="center"/>
              <w:rPr>
                <w:color w:val="000000"/>
                <w:sz w:val="20"/>
                <w:szCs w:val="20"/>
              </w:rPr>
            </w:pPr>
            <w:r w:rsidRPr="007C51D6">
              <w:rPr>
                <w:color w:val="000000"/>
                <w:sz w:val="20"/>
                <w:szCs w:val="20"/>
              </w:rPr>
              <w:t>491</w:t>
            </w:r>
          </w:p>
        </w:tc>
        <w:tc>
          <w:tcPr>
            <w:tcW w:w="1305" w:type="dxa"/>
            <w:vAlign w:val="center"/>
          </w:tcPr>
          <w:p w:rsidR="00A52121" w:rsidRPr="007C51D6" w:rsidRDefault="00A52121" w:rsidP="00A52121">
            <w:pPr>
              <w:jc w:val="center"/>
              <w:rPr>
                <w:color w:val="000000"/>
                <w:sz w:val="20"/>
                <w:szCs w:val="20"/>
              </w:rPr>
            </w:pPr>
            <w:r w:rsidRPr="007C51D6">
              <w:rPr>
                <w:color w:val="000000"/>
                <w:sz w:val="20"/>
                <w:szCs w:val="20"/>
              </w:rPr>
              <w:t>509</w:t>
            </w:r>
          </w:p>
        </w:tc>
        <w:tc>
          <w:tcPr>
            <w:tcW w:w="1305" w:type="dxa"/>
            <w:vAlign w:val="center"/>
          </w:tcPr>
          <w:p w:rsidR="00A52121" w:rsidRPr="007C51D6" w:rsidRDefault="00A52121" w:rsidP="00A52121">
            <w:pPr>
              <w:jc w:val="center"/>
              <w:rPr>
                <w:color w:val="000000"/>
                <w:sz w:val="20"/>
                <w:szCs w:val="20"/>
              </w:rPr>
            </w:pPr>
            <w:r w:rsidRPr="007C51D6">
              <w:rPr>
                <w:color w:val="000000"/>
                <w:sz w:val="20"/>
                <w:szCs w:val="20"/>
              </w:rPr>
              <w:t>598</w:t>
            </w:r>
          </w:p>
        </w:tc>
      </w:tr>
      <w:tr w:rsidR="00A52121" w:rsidRPr="007C51D6" w:rsidTr="00080BEF">
        <w:tblPrEx>
          <w:tblBorders>
            <w:bottom w:val="single" w:sz="4" w:space="0" w:color="auto"/>
          </w:tblBorders>
        </w:tblPrEx>
        <w:trPr>
          <w:trHeight w:val="20"/>
        </w:trPr>
        <w:tc>
          <w:tcPr>
            <w:tcW w:w="3114" w:type="dxa"/>
            <w:shd w:val="clear" w:color="auto" w:fill="auto"/>
            <w:hideMark/>
          </w:tcPr>
          <w:p w:rsidR="00A52121" w:rsidRPr="007C51D6" w:rsidRDefault="00A52121" w:rsidP="00A52121">
            <w:pPr>
              <w:autoSpaceDE/>
              <w:autoSpaceDN/>
              <w:adjustRightInd/>
              <w:rPr>
                <w:color w:val="000000"/>
                <w:sz w:val="20"/>
                <w:szCs w:val="20"/>
              </w:rPr>
            </w:pPr>
            <w:r w:rsidRPr="007C51D6">
              <w:rPr>
                <w:color w:val="000000"/>
                <w:sz w:val="20"/>
                <w:szCs w:val="20"/>
              </w:rPr>
              <w:t>Высокогорский</w:t>
            </w:r>
          </w:p>
        </w:tc>
        <w:tc>
          <w:tcPr>
            <w:tcW w:w="1275" w:type="dxa"/>
            <w:shd w:val="clear" w:color="auto" w:fill="auto"/>
            <w:vAlign w:val="center"/>
          </w:tcPr>
          <w:p w:rsidR="00A52121" w:rsidRPr="007C51D6" w:rsidRDefault="00A52121" w:rsidP="00A52121">
            <w:pPr>
              <w:jc w:val="center"/>
              <w:rPr>
                <w:color w:val="000000"/>
                <w:sz w:val="20"/>
                <w:szCs w:val="20"/>
              </w:rPr>
            </w:pPr>
            <w:r w:rsidRPr="007C51D6">
              <w:rPr>
                <w:color w:val="000000"/>
                <w:sz w:val="20"/>
                <w:szCs w:val="20"/>
              </w:rPr>
              <w:t>989</w:t>
            </w:r>
          </w:p>
        </w:tc>
        <w:tc>
          <w:tcPr>
            <w:tcW w:w="1162" w:type="dxa"/>
            <w:shd w:val="clear" w:color="auto" w:fill="auto"/>
            <w:vAlign w:val="center"/>
          </w:tcPr>
          <w:p w:rsidR="00A52121" w:rsidRPr="007C51D6" w:rsidRDefault="00A52121" w:rsidP="00A52121">
            <w:pPr>
              <w:jc w:val="center"/>
              <w:rPr>
                <w:color w:val="000000"/>
                <w:sz w:val="20"/>
                <w:szCs w:val="20"/>
              </w:rPr>
            </w:pPr>
            <w:r w:rsidRPr="007C51D6">
              <w:rPr>
                <w:color w:val="000000"/>
                <w:sz w:val="20"/>
                <w:szCs w:val="20"/>
              </w:rPr>
              <w:t>1034</w:t>
            </w:r>
          </w:p>
        </w:tc>
        <w:tc>
          <w:tcPr>
            <w:tcW w:w="1163" w:type="dxa"/>
            <w:shd w:val="clear" w:color="auto" w:fill="auto"/>
            <w:vAlign w:val="center"/>
          </w:tcPr>
          <w:p w:rsidR="00A52121" w:rsidRPr="007C51D6" w:rsidRDefault="00A52121" w:rsidP="00A52121">
            <w:pPr>
              <w:jc w:val="center"/>
              <w:rPr>
                <w:color w:val="000000"/>
                <w:sz w:val="20"/>
                <w:szCs w:val="20"/>
              </w:rPr>
            </w:pPr>
            <w:r w:rsidRPr="007C51D6">
              <w:rPr>
                <w:color w:val="000000"/>
                <w:sz w:val="20"/>
                <w:szCs w:val="20"/>
              </w:rPr>
              <w:t>1126</w:t>
            </w:r>
          </w:p>
        </w:tc>
        <w:tc>
          <w:tcPr>
            <w:tcW w:w="1162" w:type="dxa"/>
            <w:shd w:val="clear" w:color="auto" w:fill="auto"/>
            <w:vAlign w:val="center"/>
          </w:tcPr>
          <w:p w:rsidR="00A52121" w:rsidRPr="007C51D6" w:rsidRDefault="00A52121" w:rsidP="00A52121">
            <w:pPr>
              <w:jc w:val="center"/>
              <w:rPr>
                <w:color w:val="000000"/>
                <w:sz w:val="20"/>
                <w:szCs w:val="20"/>
              </w:rPr>
            </w:pPr>
            <w:r w:rsidRPr="007C51D6">
              <w:rPr>
                <w:color w:val="000000"/>
                <w:sz w:val="20"/>
                <w:szCs w:val="20"/>
              </w:rPr>
              <w:t>1154</w:t>
            </w:r>
          </w:p>
        </w:tc>
        <w:tc>
          <w:tcPr>
            <w:tcW w:w="1162" w:type="dxa"/>
            <w:shd w:val="clear" w:color="auto" w:fill="auto"/>
            <w:vAlign w:val="center"/>
          </w:tcPr>
          <w:p w:rsidR="00A52121" w:rsidRPr="007C51D6" w:rsidRDefault="00A52121" w:rsidP="00A52121">
            <w:pPr>
              <w:jc w:val="center"/>
              <w:rPr>
                <w:color w:val="000000"/>
                <w:sz w:val="20"/>
                <w:szCs w:val="20"/>
              </w:rPr>
            </w:pPr>
            <w:r w:rsidRPr="007C51D6">
              <w:rPr>
                <w:color w:val="000000"/>
                <w:sz w:val="20"/>
                <w:szCs w:val="20"/>
              </w:rPr>
              <w:t>1154</w:t>
            </w:r>
          </w:p>
        </w:tc>
        <w:tc>
          <w:tcPr>
            <w:tcW w:w="1163" w:type="dxa"/>
            <w:vAlign w:val="center"/>
          </w:tcPr>
          <w:p w:rsidR="00A52121" w:rsidRPr="007C51D6" w:rsidRDefault="00A52121" w:rsidP="00A52121">
            <w:pPr>
              <w:jc w:val="center"/>
              <w:rPr>
                <w:color w:val="000000"/>
                <w:sz w:val="20"/>
                <w:szCs w:val="20"/>
              </w:rPr>
            </w:pPr>
            <w:r w:rsidRPr="007C51D6">
              <w:rPr>
                <w:color w:val="000000"/>
                <w:sz w:val="20"/>
                <w:szCs w:val="20"/>
              </w:rPr>
              <w:t>1191</w:t>
            </w:r>
          </w:p>
        </w:tc>
        <w:tc>
          <w:tcPr>
            <w:tcW w:w="1162" w:type="dxa"/>
            <w:vAlign w:val="center"/>
          </w:tcPr>
          <w:p w:rsidR="00A52121" w:rsidRPr="007C51D6" w:rsidRDefault="00A52121" w:rsidP="00A52121">
            <w:pPr>
              <w:jc w:val="center"/>
              <w:rPr>
                <w:color w:val="000000"/>
                <w:sz w:val="20"/>
                <w:szCs w:val="20"/>
              </w:rPr>
            </w:pPr>
            <w:r w:rsidRPr="007C51D6">
              <w:rPr>
                <w:color w:val="000000"/>
                <w:sz w:val="20"/>
                <w:szCs w:val="20"/>
              </w:rPr>
              <w:t>1274</w:t>
            </w:r>
          </w:p>
        </w:tc>
        <w:tc>
          <w:tcPr>
            <w:tcW w:w="1219" w:type="dxa"/>
            <w:vAlign w:val="center"/>
          </w:tcPr>
          <w:p w:rsidR="00A52121" w:rsidRPr="007C51D6" w:rsidRDefault="00A52121" w:rsidP="00A52121">
            <w:pPr>
              <w:jc w:val="center"/>
              <w:rPr>
                <w:color w:val="000000"/>
                <w:sz w:val="20"/>
                <w:szCs w:val="20"/>
              </w:rPr>
            </w:pPr>
            <w:r w:rsidRPr="007C51D6">
              <w:rPr>
                <w:color w:val="000000"/>
                <w:sz w:val="20"/>
                <w:szCs w:val="20"/>
              </w:rPr>
              <w:t>1364</w:t>
            </w:r>
          </w:p>
        </w:tc>
        <w:tc>
          <w:tcPr>
            <w:tcW w:w="1305" w:type="dxa"/>
            <w:vAlign w:val="center"/>
          </w:tcPr>
          <w:p w:rsidR="00A52121" w:rsidRPr="007C51D6" w:rsidRDefault="00A52121" w:rsidP="00A52121">
            <w:pPr>
              <w:jc w:val="center"/>
              <w:rPr>
                <w:color w:val="000000"/>
                <w:sz w:val="20"/>
                <w:szCs w:val="20"/>
              </w:rPr>
            </w:pPr>
            <w:r w:rsidRPr="007C51D6">
              <w:rPr>
                <w:color w:val="000000"/>
                <w:sz w:val="20"/>
                <w:szCs w:val="20"/>
              </w:rPr>
              <w:t>1485</w:t>
            </w:r>
          </w:p>
        </w:tc>
        <w:tc>
          <w:tcPr>
            <w:tcW w:w="1305" w:type="dxa"/>
            <w:vAlign w:val="center"/>
          </w:tcPr>
          <w:p w:rsidR="00A52121" w:rsidRPr="007C51D6" w:rsidRDefault="00A52121" w:rsidP="00A52121">
            <w:pPr>
              <w:jc w:val="center"/>
              <w:rPr>
                <w:color w:val="000000"/>
                <w:sz w:val="20"/>
                <w:szCs w:val="20"/>
              </w:rPr>
            </w:pPr>
            <w:r w:rsidRPr="007C51D6">
              <w:rPr>
                <w:color w:val="000000"/>
                <w:sz w:val="20"/>
                <w:szCs w:val="20"/>
              </w:rPr>
              <w:t>1723</w:t>
            </w:r>
          </w:p>
        </w:tc>
      </w:tr>
      <w:tr w:rsidR="00A52121" w:rsidRPr="007C51D6" w:rsidTr="00080BEF">
        <w:tblPrEx>
          <w:tblBorders>
            <w:bottom w:val="single" w:sz="4" w:space="0" w:color="auto"/>
          </w:tblBorders>
        </w:tblPrEx>
        <w:trPr>
          <w:trHeight w:val="20"/>
        </w:trPr>
        <w:tc>
          <w:tcPr>
            <w:tcW w:w="3114" w:type="dxa"/>
            <w:shd w:val="clear" w:color="auto" w:fill="auto"/>
            <w:hideMark/>
          </w:tcPr>
          <w:p w:rsidR="00A52121" w:rsidRPr="007C51D6" w:rsidRDefault="00A52121" w:rsidP="00A52121">
            <w:pPr>
              <w:autoSpaceDE/>
              <w:autoSpaceDN/>
              <w:adjustRightInd/>
              <w:rPr>
                <w:color w:val="000000"/>
                <w:sz w:val="20"/>
                <w:szCs w:val="20"/>
              </w:rPr>
            </w:pPr>
            <w:r w:rsidRPr="007C51D6">
              <w:rPr>
                <w:color w:val="000000"/>
                <w:sz w:val="20"/>
                <w:szCs w:val="20"/>
              </w:rPr>
              <w:t>Дрожжановский</w:t>
            </w:r>
          </w:p>
        </w:tc>
        <w:tc>
          <w:tcPr>
            <w:tcW w:w="1275" w:type="dxa"/>
            <w:shd w:val="clear" w:color="auto" w:fill="auto"/>
            <w:vAlign w:val="center"/>
          </w:tcPr>
          <w:p w:rsidR="00A52121" w:rsidRPr="007C51D6" w:rsidRDefault="00A52121" w:rsidP="00A52121">
            <w:pPr>
              <w:jc w:val="center"/>
              <w:rPr>
                <w:color w:val="000000"/>
                <w:sz w:val="20"/>
                <w:szCs w:val="20"/>
              </w:rPr>
            </w:pPr>
            <w:r w:rsidRPr="007C51D6">
              <w:rPr>
                <w:color w:val="000000"/>
                <w:sz w:val="20"/>
                <w:szCs w:val="20"/>
              </w:rPr>
              <w:t>342</w:t>
            </w:r>
          </w:p>
        </w:tc>
        <w:tc>
          <w:tcPr>
            <w:tcW w:w="1162" w:type="dxa"/>
            <w:shd w:val="clear" w:color="auto" w:fill="auto"/>
            <w:vAlign w:val="center"/>
          </w:tcPr>
          <w:p w:rsidR="00A52121" w:rsidRPr="007C51D6" w:rsidRDefault="00A52121" w:rsidP="00A52121">
            <w:pPr>
              <w:jc w:val="center"/>
              <w:rPr>
                <w:color w:val="000000"/>
                <w:sz w:val="20"/>
                <w:szCs w:val="20"/>
              </w:rPr>
            </w:pPr>
            <w:r w:rsidRPr="007C51D6">
              <w:rPr>
                <w:color w:val="000000"/>
                <w:sz w:val="20"/>
                <w:szCs w:val="20"/>
              </w:rPr>
              <w:t>364</w:t>
            </w:r>
          </w:p>
        </w:tc>
        <w:tc>
          <w:tcPr>
            <w:tcW w:w="1163" w:type="dxa"/>
            <w:shd w:val="clear" w:color="auto" w:fill="auto"/>
            <w:vAlign w:val="center"/>
          </w:tcPr>
          <w:p w:rsidR="00A52121" w:rsidRPr="007C51D6" w:rsidRDefault="00A52121" w:rsidP="00A52121">
            <w:pPr>
              <w:jc w:val="center"/>
              <w:rPr>
                <w:color w:val="000000"/>
                <w:sz w:val="20"/>
                <w:szCs w:val="20"/>
              </w:rPr>
            </w:pPr>
            <w:r w:rsidRPr="007C51D6">
              <w:rPr>
                <w:color w:val="000000"/>
                <w:sz w:val="20"/>
                <w:szCs w:val="20"/>
              </w:rPr>
              <w:t>396</w:t>
            </w:r>
          </w:p>
        </w:tc>
        <w:tc>
          <w:tcPr>
            <w:tcW w:w="1162" w:type="dxa"/>
            <w:shd w:val="clear" w:color="auto" w:fill="auto"/>
            <w:vAlign w:val="center"/>
          </w:tcPr>
          <w:p w:rsidR="00A52121" w:rsidRPr="007C51D6" w:rsidRDefault="00A52121" w:rsidP="00A52121">
            <w:pPr>
              <w:jc w:val="center"/>
              <w:rPr>
                <w:color w:val="000000"/>
                <w:sz w:val="20"/>
                <w:szCs w:val="20"/>
              </w:rPr>
            </w:pPr>
            <w:r w:rsidRPr="007C51D6">
              <w:rPr>
                <w:color w:val="000000"/>
                <w:sz w:val="20"/>
                <w:szCs w:val="20"/>
              </w:rPr>
              <w:t>408</w:t>
            </w:r>
          </w:p>
        </w:tc>
        <w:tc>
          <w:tcPr>
            <w:tcW w:w="1162" w:type="dxa"/>
            <w:shd w:val="clear" w:color="auto" w:fill="auto"/>
            <w:vAlign w:val="center"/>
          </w:tcPr>
          <w:p w:rsidR="00A52121" w:rsidRPr="007C51D6" w:rsidRDefault="00A52121" w:rsidP="00A52121">
            <w:pPr>
              <w:jc w:val="center"/>
              <w:rPr>
                <w:color w:val="000000"/>
                <w:sz w:val="20"/>
                <w:szCs w:val="20"/>
              </w:rPr>
            </w:pPr>
            <w:r w:rsidRPr="007C51D6">
              <w:rPr>
                <w:color w:val="000000"/>
                <w:sz w:val="20"/>
                <w:szCs w:val="20"/>
              </w:rPr>
              <w:t>397</w:t>
            </w:r>
          </w:p>
        </w:tc>
        <w:tc>
          <w:tcPr>
            <w:tcW w:w="1163" w:type="dxa"/>
            <w:vAlign w:val="center"/>
          </w:tcPr>
          <w:p w:rsidR="00A52121" w:rsidRPr="007C51D6" w:rsidRDefault="00A52121" w:rsidP="00A52121">
            <w:pPr>
              <w:jc w:val="center"/>
              <w:rPr>
                <w:color w:val="000000"/>
                <w:sz w:val="20"/>
                <w:szCs w:val="20"/>
              </w:rPr>
            </w:pPr>
            <w:r w:rsidRPr="007C51D6">
              <w:rPr>
                <w:color w:val="000000"/>
                <w:sz w:val="20"/>
                <w:szCs w:val="20"/>
              </w:rPr>
              <w:t>408</w:t>
            </w:r>
          </w:p>
        </w:tc>
        <w:tc>
          <w:tcPr>
            <w:tcW w:w="1162" w:type="dxa"/>
            <w:vAlign w:val="center"/>
          </w:tcPr>
          <w:p w:rsidR="00A52121" w:rsidRPr="007C51D6" w:rsidRDefault="00A52121" w:rsidP="00A52121">
            <w:pPr>
              <w:jc w:val="center"/>
              <w:rPr>
                <w:color w:val="000000"/>
                <w:sz w:val="20"/>
                <w:szCs w:val="20"/>
              </w:rPr>
            </w:pPr>
            <w:r w:rsidRPr="007C51D6">
              <w:rPr>
                <w:color w:val="000000"/>
                <w:sz w:val="20"/>
                <w:szCs w:val="20"/>
              </w:rPr>
              <w:t>415</w:t>
            </w:r>
          </w:p>
        </w:tc>
        <w:tc>
          <w:tcPr>
            <w:tcW w:w="1219" w:type="dxa"/>
            <w:vAlign w:val="center"/>
          </w:tcPr>
          <w:p w:rsidR="00A52121" w:rsidRPr="007C51D6" w:rsidRDefault="00A52121" w:rsidP="00A52121">
            <w:pPr>
              <w:jc w:val="center"/>
              <w:rPr>
                <w:color w:val="000000"/>
                <w:sz w:val="20"/>
                <w:szCs w:val="20"/>
              </w:rPr>
            </w:pPr>
            <w:r w:rsidRPr="007C51D6">
              <w:rPr>
                <w:color w:val="000000"/>
                <w:sz w:val="20"/>
                <w:szCs w:val="20"/>
              </w:rPr>
              <w:t>431</w:t>
            </w:r>
          </w:p>
        </w:tc>
        <w:tc>
          <w:tcPr>
            <w:tcW w:w="1305" w:type="dxa"/>
            <w:vAlign w:val="center"/>
          </w:tcPr>
          <w:p w:rsidR="00A52121" w:rsidRPr="007C51D6" w:rsidRDefault="00A52121" w:rsidP="00A52121">
            <w:pPr>
              <w:jc w:val="center"/>
              <w:rPr>
                <w:color w:val="000000"/>
                <w:sz w:val="20"/>
                <w:szCs w:val="20"/>
              </w:rPr>
            </w:pPr>
            <w:r w:rsidRPr="007C51D6">
              <w:rPr>
                <w:color w:val="000000"/>
                <w:sz w:val="20"/>
                <w:szCs w:val="20"/>
              </w:rPr>
              <w:t>461</w:t>
            </w:r>
          </w:p>
        </w:tc>
        <w:tc>
          <w:tcPr>
            <w:tcW w:w="1305" w:type="dxa"/>
            <w:vAlign w:val="center"/>
          </w:tcPr>
          <w:p w:rsidR="00A52121" w:rsidRPr="007C51D6" w:rsidRDefault="00A52121" w:rsidP="00A52121">
            <w:pPr>
              <w:jc w:val="center"/>
              <w:rPr>
                <w:color w:val="000000"/>
                <w:sz w:val="20"/>
                <w:szCs w:val="20"/>
              </w:rPr>
            </w:pPr>
            <w:r w:rsidRPr="007C51D6">
              <w:rPr>
                <w:color w:val="000000"/>
                <w:sz w:val="20"/>
                <w:szCs w:val="20"/>
              </w:rPr>
              <w:t>484</w:t>
            </w:r>
          </w:p>
        </w:tc>
      </w:tr>
      <w:tr w:rsidR="00A52121" w:rsidRPr="007C51D6" w:rsidTr="00080BEF">
        <w:tblPrEx>
          <w:tblBorders>
            <w:bottom w:val="single" w:sz="4" w:space="0" w:color="auto"/>
          </w:tblBorders>
        </w:tblPrEx>
        <w:trPr>
          <w:trHeight w:val="20"/>
        </w:trPr>
        <w:tc>
          <w:tcPr>
            <w:tcW w:w="3114" w:type="dxa"/>
            <w:shd w:val="clear" w:color="auto" w:fill="auto"/>
            <w:hideMark/>
          </w:tcPr>
          <w:p w:rsidR="00A52121" w:rsidRPr="007C51D6" w:rsidRDefault="00A52121" w:rsidP="00A52121">
            <w:pPr>
              <w:autoSpaceDE/>
              <w:autoSpaceDN/>
              <w:adjustRightInd/>
              <w:rPr>
                <w:color w:val="000000"/>
                <w:sz w:val="20"/>
                <w:szCs w:val="20"/>
              </w:rPr>
            </w:pPr>
            <w:r w:rsidRPr="007C51D6">
              <w:rPr>
                <w:color w:val="000000"/>
                <w:sz w:val="20"/>
                <w:szCs w:val="20"/>
              </w:rPr>
              <w:t>Елабужский</w:t>
            </w:r>
          </w:p>
        </w:tc>
        <w:tc>
          <w:tcPr>
            <w:tcW w:w="1275" w:type="dxa"/>
            <w:shd w:val="clear" w:color="auto" w:fill="auto"/>
            <w:vAlign w:val="center"/>
          </w:tcPr>
          <w:p w:rsidR="00A52121" w:rsidRPr="007C51D6" w:rsidRDefault="00A52121" w:rsidP="00A52121">
            <w:pPr>
              <w:jc w:val="center"/>
              <w:rPr>
                <w:color w:val="000000"/>
                <w:sz w:val="20"/>
                <w:szCs w:val="20"/>
              </w:rPr>
            </w:pPr>
            <w:r w:rsidRPr="007C51D6">
              <w:rPr>
                <w:color w:val="000000"/>
                <w:sz w:val="20"/>
                <w:szCs w:val="20"/>
              </w:rPr>
              <w:t>1791</w:t>
            </w:r>
          </w:p>
        </w:tc>
        <w:tc>
          <w:tcPr>
            <w:tcW w:w="1162" w:type="dxa"/>
            <w:shd w:val="clear" w:color="auto" w:fill="auto"/>
            <w:vAlign w:val="center"/>
          </w:tcPr>
          <w:p w:rsidR="00A52121" w:rsidRPr="007C51D6" w:rsidRDefault="00A52121" w:rsidP="00A52121">
            <w:pPr>
              <w:jc w:val="center"/>
              <w:rPr>
                <w:color w:val="000000"/>
                <w:sz w:val="20"/>
                <w:szCs w:val="20"/>
              </w:rPr>
            </w:pPr>
            <w:r w:rsidRPr="007C51D6">
              <w:rPr>
                <w:color w:val="000000"/>
                <w:sz w:val="20"/>
                <w:szCs w:val="20"/>
              </w:rPr>
              <w:t>1946</w:t>
            </w:r>
          </w:p>
        </w:tc>
        <w:tc>
          <w:tcPr>
            <w:tcW w:w="1163" w:type="dxa"/>
            <w:shd w:val="clear" w:color="auto" w:fill="auto"/>
            <w:vAlign w:val="center"/>
          </w:tcPr>
          <w:p w:rsidR="00A52121" w:rsidRPr="007C51D6" w:rsidRDefault="00A52121" w:rsidP="00A52121">
            <w:pPr>
              <w:jc w:val="center"/>
              <w:rPr>
                <w:color w:val="000000"/>
                <w:sz w:val="20"/>
                <w:szCs w:val="20"/>
              </w:rPr>
            </w:pPr>
            <w:r w:rsidRPr="007C51D6">
              <w:rPr>
                <w:color w:val="000000"/>
                <w:sz w:val="20"/>
                <w:szCs w:val="20"/>
              </w:rPr>
              <w:t>2030</w:t>
            </w:r>
          </w:p>
        </w:tc>
        <w:tc>
          <w:tcPr>
            <w:tcW w:w="1162" w:type="dxa"/>
            <w:shd w:val="clear" w:color="auto" w:fill="auto"/>
            <w:vAlign w:val="center"/>
          </w:tcPr>
          <w:p w:rsidR="00A52121" w:rsidRPr="007C51D6" w:rsidRDefault="00A52121" w:rsidP="00A52121">
            <w:pPr>
              <w:jc w:val="center"/>
              <w:rPr>
                <w:color w:val="000000"/>
                <w:sz w:val="20"/>
                <w:szCs w:val="20"/>
              </w:rPr>
            </w:pPr>
            <w:r w:rsidRPr="007C51D6">
              <w:rPr>
                <w:color w:val="000000"/>
                <w:sz w:val="20"/>
                <w:szCs w:val="20"/>
              </w:rPr>
              <w:t>2068</w:t>
            </w:r>
          </w:p>
        </w:tc>
        <w:tc>
          <w:tcPr>
            <w:tcW w:w="1162" w:type="dxa"/>
            <w:shd w:val="clear" w:color="auto" w:fill="auto"/>
            <w:vAlign w:val="center"/>
          </w:tcPr>
          <w:p w:rsidR="00A52121" w:rsidRPr="007C51D6" w:rsidRDefault="00A52121" w:rsidP="00A52121">
            <w:pPr>
              <w:jc w:val="center"/>
              <w:rPr>
                <w:color w:val="000000"/>
                <w:sz w:val="20"/>
                <w:szCs w:val="20"/>
              </w:rPr>
            </w:pPr>
            <w:r w:rsidRPr="007C51D6">
              <w:rPr>
                <w:color w:val="000000"/>
                <w:sz w:val="20"/>
                <w:szCs w:val="20"/>
              </w:rPr>
              <w:t>2078</w:t>
            </w:r>
          </w:p>
        </w:tc>
        <w:tc>
          <w:tcPr>
            <w:tcW w:w="1163" w:type="dxa"/>
            <w:vAlign w:val="center"/>
          </w:tcPr>
          <w:p w:rsidR="00A52121" w:rsidRPr="007C51D6" w:rsidRDefault="00A52121" w:rsidP="00A52121">
            <w:pPr>
              <w:jc w:val="center"/>
              <w:rPr>
                <w:color w:val="000000"/>
                <w:sz w:val="20"/>
                <w:szCs w:val="20"/>
              </w:rPr>
            </w:pPr>
            <w:r w:rsidRPr="007C51D6">
              <w:rPr>
                <w:color w:val="000000"/>
                <w:sz w:val="20"/>
                <w:szCs w:val="20"/>
              </w:rPr>
              <w:t>2153</w:t>
            </w:r>
          </w:p>
        </w:tc>
        <w:tc>
          <w:tcPr>
            <w:tcW w:w="1162" w:type="dxa"/>
            <w:vAlign w:val="center"/>
          </w:tcPr>
          <w:p w:rsidR="00A52121" w:rsidRPr="007C51D6" w:rsidRDefault="00A52121" w:rsidP="00A52121">
            <w:pPr>
              <w:jc w:val="center"/>
              <w:rPr>
                <w:color w:val="000000"/>
                <w:sz w:val="20"/>
                <w:szCs w:val="20"/>
              </w:rPr>
            </w:pPr>
            <w:r w:rsidRPr="007C51D6">
              <w:rPr>
                <w:color w:val="000000"/>
                <w:sz w:val="20"/>
                <w:szCs w:val="20"/>
              </w:rPr>
              <w:t>2281</w:t>
            </w:r>
          </w:p>
        </w:tc>
        <w:tc>
          <w:tcPr>
            <w:tcW w:w="1219" w:type="dxa"/>
            <w:vAlign w:val="center"/>
          </w:tcPr>
          <w:p w:rsidR="00A52121" w:rsidRPr="007C51D6" w:rsidRDefault="00A52121" w:rsidP="00A52121">
            <w:pPr>
              <w:jc w:val="center"/>
              <w:rPr>
                <w:color w:val="000000"/>
                <w:sz w:val="20"/>
                <w:szCs w:val="20"/>
              </w:rPr>
            </w:pPr>
            <w:r w:rsidRPr="007C51D6">
              <w:rPr>
                <w:color w:val="000000"/>
                <w:sz w:val="20"/>
                <w:szCs w:val="20"/>
              </w:rPr>
              <w:t>2372</w:t>
            </w:r>
          </w:p>
        </w:tc>
        <w:tc>
          <w:tcPr>
            <w:tcW w:w="1305" w:type="dxa"/>
            <w:vAlign w:val="center"/>
          </w:tcPr>
          <w:p w:rsidR="00A52121" w:rsidRPr="007C51D6" w:rsidRDefault="00A52121" w:rsidP="00A52121">
            <w:pPr>
              <w:jc w:val="center"/>
              <w:rPr>
                <w:color w:val="000000"/>
                <w:sz w:val="20"/>
                <w:szCs w:val="20"/>
              </w:rPr>
            </w:pPr>
            <w:r w:rsidRPr="007C51D6">
              <w:rPr>
                <w:color w:val="000000"/>
                <w:sz w:val="20"/>
                <w:szCs w:val="20"/>
              </w:rPr>
              <w:t>2477</w:t>
            </w:r>
          </w:p>
        </w:tc>
        <w:tc>
          <w:tcPr>
            <w:tcW w:w="1305" w:type="dxa"/>
            <w:vAlign w:val="center"/>
          </w:tcPr>
          <w:p w:rsidR="00A52121" w:rsidRPr="007C51D6" w:rsidRDefault="00A52121" w:rsidP="00A52121">
            <w:pPr>
              <w:jc w:val="center"/>
              <w:rPr>
                <w:color w:val="000000"/>
                <w:sz w:val="20"/>
                <w:szCs w:val="20"/>
              </w:rPr>
            </w:pPr>
            <w:r w:rsidRPr="007C51D6">
              <w:rPr>
                <w:color w:val="000000"/>
                <w:sz w:val="20"/>
                <w:szCs w:val="20"/>
              </w:rPr>
              <w:t>2506</w:t>
            </w:r>
          </w:p>
        </w:tc>
      </w:tr>
      <w:tr w:rsidR="00A52121" w:rsidRPr="007C51D6" w:rsidTr="00080BEF">
        <w:tblPrEx>
          <w:tblBorders>
            <w:bottom w:val="single" w:sz="4" w:space="0" w:color="auto"/>
          </w:tblBorders>
        </w:tblPrEx>
        <w:trPr>
          <w:trHeight w:val="20"/>
        </w:trPr>
        <w:tc>
          <w:tcPr>
            <w:tcW w:w="3114" w:type="dxa"/>
            <w:shd w:val="clear" w:color="auto" w:fill="auto"/>
            <w:hideMark/>
          </w:tcPr>
          <w:p w:rsidR="00A52121" w:rsidRPr="007C51D6" w:rsidRDefault="00A52121" w:rsidP="00A52121">
            <w:pPr>
              <w:autoSpaceDE/>
              <w:autoSpaceDN/>
              <w:adjustRightInd/>
              <w:rPr>
                <w:color w:val="000000"/>
                <w:sz w:val="20"/>
                <w:szCs w:val="20"/>
              </w:rPr>
            </w:pPr>
            <w:r w:rsidRPr="007C51D6">
              <w:rPr>
                <w:color w:val="000000"/>
                <w:sz w:val="20"/>
                <w:szCs w:val="20"/>
              </w:rPr>
              <w:t>Заинский</w:t>
            </w:r>
          </w:p>
        </w:tc>
        <w:tc>
          <w:tcPr>
            <w:tcW w:w="1275" w:type="dxa"/>
            <w:shd w:val="clear" w:color="auto" w:fill="auto"/>
            <w:vAlign w:val="center"/>
          </w:tcPr>
          <w:p w:rsidR="00A52121" w:rsidRPr="007C51D6" w:rsidRDefault="00A52121" w:rsidP="00A52121">
            <w:pPr>
              <w:jc w:val="center"/>
              <w:rPr>
                <w:color w:val="000000"/>
                <w:sz w:val="20"/>
                <w:szCs w:val="20"/>
              </w:rPr>
            </w:pPr>
            <w:r w:rsidRPr="007C51D6">
              <w:rPr>
                <w:color w:val="000000"/>
                <w:sz w:val="20"/>
                <w:szCs w:val="20"/>
              </w:rPr>
              <w:t>1150</w:t>
            </w:r>
          </w:p>
        </w:tc>
        <w:tc>
          <w:tcPr>
            <w:tcW w:w="1162" w:type="dxa"/>
            <w:shd w:val="clear" w:color="auto" w:fill="auto"/>
            <w:vAlign w:val="center"/>
          </w:tcPr>
          <w:p w:rsidR="00A52121" w:rsidRPr="007C51D6" w:rsidRDefault="00A52121" w:rsidP="00A52121">
            <w:pPr>
              <w:jc w:val="center"/>
              <w:rPr>
                <w:color w:val="000000"/>
                <w:sz w:val="20"/>
                <w:szCs w:val="20"/>
              </w:rPr>
            </w:pPr>
            <w:r w:rsidRPr="007C51D6">
              <w:rPr>
                <w:color w:val="000000"/>
                <w:sz w:val="20"/>
                <w:szCs w:val="20"/>
              </w:rPr>
              <w:t>1275</w:t>
            </w:r>
          </w:p>
        </w:tc>
        <w:tc>
          <w:tcPr>
            <w:tcW w:w="1163" w:type="dxa"/>
            <w:shd w:val="clear" w:color="auto" w:fill="auto"/>
            <w:vAlign w:val="center"/>
          </w:tcPr>
          <w:p w:rsidR="00A52121" w:rsidRPr="007C51D6" w:rsidRDefault="00A52121" w:rsidP="00A52121">
            <w:pPr>
              <w:jc w:val="center"/>
              <w:rPr>
                <w:color w:val="000000"/>
                <w:sz w:val="20"/>
                <w:szCs w:val="20"/>
              </w:rPr>
            </w:pPr>
            <w:r w:rsidRPr="007C51D6">
              <w:rPr>
                <w:color w:val="000000"/>
                <w:sz w:val="20"/>
                <w:szCs w:val="20"/>
              </w:rPr>
              <w:t>1398</w:t>
            </w:r>
          </w:p>
        </w:tc>
        <w:tc>
          <w:tcPr>
            <w:tcW w:w="1162" w:type="dxa"/>
            <w:shd w:val="clear" w:color="auto" w:fill="auto"/>
            <w:vAlign w:val="center"/>
          </w:tcPr>
          <w:p w:rsidR="00A52121" w:rsidRPr="007C51D6" w:rsidRDefault="00A52121" w:rsidP="00A52121">
            <w:pPr>
              <w:jc w:val="center"/>
              <w:rPr>
                <w:color w:val="000000"/>
                <w:sz w:val="20"/>
                <w:szCs w:val="20"/>
              </w:rPr>
            </w:pPr>
            <w:r w:rsidRPr="007C51D6">
              <w:rPr>
                <w:color w:val="000000"/>
                <w:sz w:val="20"/>
                <w:szCs w:val="20"/>
              </w:rPr>
              <w:t>1472</w:t>
            </w:r>
          </w:p>
        </w:tc>
        <w:tc>
          <w:tcPr>
            <w:tcW w:w="1162" w:type="dxa"/>
            <w:shd w:val="clear" w:color="auto" w:fill="auto"/>
            <w:vAlign w:val="center"/>
          </w:tcPr>
          <w:p w:rsidR="00A52121" w:rsidRPr="007C51D6" w:rsidRDefault="00A52121" w:rsidP="00A52121">
            <w:pPr>
              <w:jc w:val="center"/>
              <w:rPr>
                <w:color w:val="000000"/>
                <w:sz w:val="20"/>
                <w:szCs w:val="20"/>
              </w:rPr>
            </w:pPr>
            <w:r w:rsidRPr="007C51D6">
              <w:rPr>
                <w:color w:val="000000"/>
                <w:sz w:val="20"/>
                <w:szCs w:val="20"/>
              </w:rPr>
              <w:t>1435</w:t>
            </w:r>
          </w:p>
        </w:tc>
        <w:tc>
          <w:tcPr>
            <w:tcW w:w="1163" w:type="dxa"/>
            <w:vAlign w:val="center"/>
          </w:tcPr>
          <w:p w:rsidR="00A52121" w:rsidRPr="007C51D6" w:rsidRDefault="00A52121" w:rsidP="00A52121">
            <w:pPr>
              <w:jc w:val="center"/>
              <w:rPr>
                <w:color w:val="000000"/>
                <w:sz w:val="20"/>
                <w:szCs w:val="20"/>
              </w:rPr>
            </w:pPr>
            <w:r w:rsidRPr="007C51D6">
              <w:rPr>
                <w:color w:val="000000"/>
                <w:sz w:val="20"/>
                <w:szCs w:val="20"/>
              </w:rPr>
              <w:t>1488</w:t>
            </w:r>
          </w:p>
        </w:tc>
        <w:tc>
          <w:tcPr>
            <w:tcW w:w="1162" w:type="dxa"/>
            <w:vAlign w:val="center"/>
          </w:tcPr>
          <w:p w:rsidR="00A52121" w:rsidRPr="007C51D6" w:rsidRDefault="00A52121" w:rsidP="00A52121">
            <w:pPr>
              <w:jc w:val="center"/>
              <w:rPr>
                <w:color w:val="000000"/>
                <w:sz w:val="20"/>
                <w:szCs w:val="20"/>
              </w:rPr>
            </w:pPr>
            <w:r w:rsidRPr="007C51D6">
              <w:rPr>
                <w:color w:val="000000"/>
                <w:sz w:val="20"/>
                <w:szCs w:val="20"/>
              </w:rPr>
              <w:t>1493</w:t>
            </w:r>
          </w:p>
        </w:tc>
        <w:tc>
          <w:tcPr>
            <w:tcW w:w="1219" w:type="dxa"/>
            <w:vAlign w:val="center"/>
          </w:tcPr>
          <w:p w:rsidR="00A52121" w:rsidRPr="007C51D6" w:rsidRDefault="00A52121" w:rsidP="00A52121">
            <w:pPr>
              <w:jc w:val="center"/>
              <w:rPr>
                <w:color w:val="000000"/>
                <w:sz w:val="20"/>
                <w:szCs w:val="20"/>
              </w:rPr>
            </w:pPr>
            <w:r w:rsidRPr="007C51D6">
              <w:rPr>
                <w:color w:val="000000"/>
                <w:sz w:val="20"/>
                <w:szCs w:val="20"/>
              </w:rPr>
              <w:t>1546</w:t>
            </w:r>
          </w:p>
        </w:tc>
        <w:tc>
          <w:tcPr>
            <w:tcW w:w="1305" w:type="dxa"/>
            <w:vAlign w:val="center"/>
          </w:tcPr>
          <w:p w:rsidR="00A52121" w:rsidRPr="007C51D6" w:rsidRDefault="00A52121" w:rsidP="00A52121">
            <w:pPr>
              <w:jc w:val="center"/>
              <w:rPr>
                <w:color w:val="000000"/>
                <w:sz w:val="20"/>
                <w:szCs w:val="20"/>
              </w:rPr>
            </w:pPr>
            <w:r w:rsidRPr="007C51D6">
              <w:rPr>
                <w:color w:val="000000"/>
                <w:sz w:val="20"/>
                <w:szCs w:val="20"/>
              </w:rPr>
              <w:t>1656</w:t>
            </w:r>
          </w:p>
        </w:tc>
        <w:tc>
          <w:tcPr>
            <w:tcW w:w="1305" w:type="dxa"/>
            <w:vAlign w:val="center"/>
          </w:tcPr>
          <w:p w:rsidR="00A52121" w:rsidRPr="007C51D6" w:rsidRDefault="00A52121" w:rsidP="00A52121">
            <w:pPr>
              <w:jc w:val="center"/>
              <w:rPr>
                <w:color w:val="000000"/>
                <w:sz w:val="20"/>
                <w:szCs w:val="20"/>
              </w:rPr>
            </w:pPr>
            <w:r w:rsidRPr="007C51D6">
              <w:rPr>
                <w:color w:val="000000"/>
                <w:sz w:val="20"/>
                <w:szCs w:val="20"/>
              </w:rPr>
              <w:t>1641</w:t>
            </w:r>
          </w:p>
        </w:tc>
      </w:tr>
      <w:tr w:rsidR="00A52121" w:rsidRPr="007C51D6" w:rsidTr="00080BEF">
        <w:tblPrEx>
          <w:tblBorders>
            <w:bottom w:val="single" w:sz="4" w:space="0" w:color="auto"/>
          </w:tblBorders>
        </w:tblPrEx>
        <w:trPr>
          <w:trHeight w:val="20"/>
        </w:trPr>
        <w:tc>
          <w:tcPr>
            <w:tcW w:w="3114" w:type="dxa"/>
            <w:shd w:val="clear" w:color="auto" w:fill="auto"/>
            <w:hideMark/>
          </w:tcPr>
          <w:p w:rsidR="00A52121" w:rsidRPr="007C51D6" w:rsidRDefault="00A52121" w:rsidP="00A52121">
            <w:pPr>
              <w:autoSpaceDE/>
              <w:autoSpaceDN/>
              <w:adjustRightInd/>
              <w:rPr>
                <w:color w:val="000000"/>
                <w:sz w:val="20"/>
                <w:szCs w:val="20"/>
              </w:rPr>
            </w:pPr>
            <w:r w:rsidRPr="007C51D6">
              <w:rPr>
                <w:color w:val="000000"/>
                <w:sz w:val="20"/>
                <w:szCs w:val="20"/>
              </w:rPr>
              <w:t>Зеленодольский</w:t>
            </w:r>
          </w:p>
        </w:tc>
        <w:tc>
          <w:tcPr>
            <w:tcW w:w="1275" w:type="dxa"/>
            <w:shd w:val="clear" w:color="auto" w:fill="auto"/>
            <w:vAlign w:val="center"/>
          </w:tcPr>
          <w:p w:rsidR="00A52121" w:rsidRPr="007C51D6" w:rsidRDefault="00A52121" w:rsidP="00A52121">
            <w:pPr>
              <w:jc w:val="center"/>
              <w:rPr>
                <w:color w:val="000000"/>
                <w:sz w:val="20"/>
                <w:szCs w:val="20"/>
              </w:rPr>
            </w:pPr>
            <w:r w:rsidRPr="007C51D6">
              <w:rPr>
                <w:color w:val="000000"/>
                <w:sz w:val="20"/>
                <w:szCs w:val="20"/>
              </w:rPr>
              <w:t>4116</w:t>
            </w:r>
          </w:p>
        </w:tc>
        <w:tc>
          <w:tcPr>
            <w:tcW w:w="1162" w:type="dxa"/>
            <w:shd w:val="clear" w:color="auto" w:fill="auto"/>
            <w:vAlign w:val="center"/>
          </w:tcPr>
          <w:p w:rsidR="00A52121" w:rsidRPr="007C51D6" w:rsidRDefault="00A52121" w:rsidP="00A52121">
            <w:pPr>
              <w:jc w:val="center"/>
              <w:rPr>
                <w:color w:val="000000"/>
                <w:sz w:val="20"/>
                <w:szCs w:val="20"/>
              </w:rPr>
            </w:pPr>
            <w:r w:rsidRPr="007C51D6">
              <w:rPr>
                <w:color w:val="000000"/>
                <w:sz w:val="20"/>
                <w:szCs w:val="20"/>
              </w:rPr>
              <w:t>4441</w:t>
            </w:r>
          </w:p>
        </w:tc>
        <w:tc>
          <w:tcPr>
            <w:tcW w:w="1163" w:type="dxa"/>
            <w:shd w:val="clear" w:color="auto" w:fill="auto"/>
            <w:vAlign w:val="center"/>
          </w:tcPr>
          <w:p w:rsidR="00A52121" w:rsidRPr="007C51D6" w:rsidRDefault="00A52121" w:rsidP="00A52121">
            <w:pPr>
              <w:jc w:val="center"/>
              <w:rPr>
                <w:color w:val="000000"/>
                <w:sz w:val="20"/>
                <w:szCs w:val="20"/>
              </w:rPr>
            </w:pPr>
            <w:r w:rsidRPr="007C51D6">
              <w:rPr>
                <w:color w:val="000000"/>
                <w:sz w:val="20"/>
                <w:szCs w:val="20"/>
              </w:rPr>
              <w:t>4741</w:t>
            </w:r>
          </w:p>
        </w:tc>
        <w:tc>
          <w:tcPr>
            <w:tcW w:w="1162" w:type="dxa"/>
            <w:shd w:val="clear" w:color="auto" w:fill="auto"/>
            <w:vAlign w:val="center"/>
          </w:tcPr>
          <w:p w:rsidR="00A52121" w:rsidRPr="007C51D6" w:rsidRDefault="00A52121" w:rsidP="00A52121">
            <w:pPr>
              <w:jc w:val="center"/>
              <w:rPr>
                <w:color w:val="000000"/>
                <w:sz w:val="20"/>
                <w:szCs w:val="20"/>
              </w:rPr>
            </w:pPr>
            <w:r w:rsidRPr="007C51D6">
              <w:rPr>
                <w:color w:val="000000"/>
                <w:sz w:val="20"/>
                <w:szCs w:val="20"/>
              </w:rPr>
              <w:t>4935</w:t>
            </w:r>
          </w:p>
        </w:tc>
        <w:tc>
          <w:tcPr>
            <w:tcW w:w="1162" w:type="dxa"/>
            <w:shd w:val="clear" w:color="auto" w:fill="auto"/>
            <w:vAlign w:val="center"/>
          </w:tcPr>
          <w:p w:rsidR="00A52121" w:rsidRPr="007C51D6" w:rsidRDefault="00A52121" w:rsidP="00A52121">
            <w:pPr>
              <w:jc w:val="center"/>
              <w:rPr>
                <w:color w:val="000000"/>
                <w:sz w:val="20"/>
                <w:szCs w:val="20"/>
              </w:rPr>
            </w:pPr>
            <w:r w:rsidRPr="007C51D6">
              <w:rPr>
                <w:color w:val="000000"/>
                <w:sz w:val="20"/>
                <w:szCs w:val="20"/>
              </w:rPr>
              <w:t>4762</w:t>
            </w:r>
          </w:p>
        </w:tc>
        <w:tc>
          <w:tcPr>
            <w:tcW w:w="1163" w:type="dxa"/>
            <w:vAlign w:val="center"/>
          </w:tcPr>
          <w:p w:rsidR="00A52121" w:rsidRPr="007C51D6" w:rsidRDefault="00A52121" w:rsidP="00A52121">
            <w:pPr>
              <w:jc w:val="center"/>
              <w:rPr>
                <w:color w:val="000000"/>
                <w:sz w:val="20"/>
                <w:szCs w:val="20"/>
              </w:rPr>
            </w:pPr>
            <w:r w:rsidRPr="007C51D6">
              <w:rPr>
                <w:color w:val="000000"/>
                <w:sz w:val="20"/>
                <w:szCs w:val="20"/>
              </w:rPr>
              <w:t>4790</w:t>
            </w:r>
          </w:p>
        </w:tc>
        <w:tc>
          <w:tcPr>
            <w:tcW w:w="1162" w:type="dxa"/>
            <w:vAlign w:val="center"/>
          </w:tcPr>
          <w:p w:rsidR="00A52121" w:rsidRPr="007C51D6" w:rsidRDefault="00A52121" w:rsidP="00A52121">
            <w:pPr>
              <w:jc w:val="center"/>
              <w:rPr>
                <w:color w:val="000000"/>
                <w:sz w:val="20"/>
                <w:szCs w:val="20"/>
              </w:rPr>
            </w:pPr>
            <w:r w:rsidRPr="007C51D6">
              <w:rPr>
                <w:color w:val="000000"/>
                <w:sz w:val="20"/>
                <w:szCs w:val="20"/>
              </w:rPr>
              <w:t>4890</w:t>
            </w:r>
          </w:p>
        </w:tc>
        <w:tc>
          <w:tcPr>
            <w:tcW w:w="1219" w:type="dxa"/>
            <w:vAlign w:val="center"/>
          </w:tcPr>
          <w:p w:rsidR="00A52121" w:rsidRPr="007C51D6" w:rsidRDefault="00A52121" w:rsidP="00A52121">
            <w:pPr>
              <w:jc w:val="center"/>
              <w:rPr>
                <w:color w:val="000000"/>
                <w:sz w:val="20"/>
                <w:szCs w:val="20"/>
              </w:rPr>
            </w:pPr>
            <w:r w:rsidRPr="007C51D6">
              <w:rPr>
                <w:color w:val="000000"/>
                <w:sz w:val="20"/>
                <w:szCs w:val="20"/>
              </w:rPr>
              <w:t>5122</w:t>
            </w:r>
          </w:p>
        </w:tc>
        <w:tc>
          <w:tcPr>
            <w:tcW w:w="1305" w:type="dxa"/>
            <w:vAlign w:val="center"/>
          </w:tcPr>
          <w:p w:rsidR="00A52121" w:rsidRPr="007C51D6" w:rsidRDefault="00A52121" w:rsidP="00A52121">
            <w:pPr>
              <w:jc w:val="center"/>
              <w:rPr>
                <w:color w:val="000000"/>
                <w:sz w:val="20"/>
                <w:szCs w:val="20"/>
              </w:rPr>
            </w:pPr>
            <w:r w:rsidRPr="007C51D6">
              <w:rPr>
                <w:color w:val="000000"/>
                <w:sz w:val="20"/>
                <w:szCs w:val="20"/>
              </w:rPr>
              <w:t>5367</w:t>
            </w:r>
          </w:p>
        </w:tc>
        <w:tc>
          <w:tcPr>
            <w:tcW w:w="1305" w:type="dxa"/>
            <w:vAlign w:val="center"/>
          </w:tcPr>
          <w:p w:rsidR="00A52121" w:rsidRPr="007C51D6" w:rsidRDefault="00A52121" w:rsidP="00A52121">
            <w:pPr>
              <w:jc w:val="center"/>
              <w:rPr>
                <w:color w:val="000000"/>
                <w:sz w:val="20"/>
                <w:szCs w:val="20"/>
              </w:rPr>
            </w:pPr>
            <w:r w:rsidRPr="007C51D6">
              <w:rPr>
                <w:color w:val="000000"/>
                <w:sz w:val="20"/>
                <w:szCs w:val="20"/>
              </w:rPr>
              <w:t>5576</w:t>
            </w:r>
          </w:p>
        </w:tc>
      </w:tr>
      <w:tr w:rsidR="00A52121" w:rsidRPr="007C51D6" w:rsidTr="00080BEF">
        <w:tblPrEx>
          <w:tblBorders>
            <w:bottom w:val="single" w:sz="4" w:space="0" w:color="auto"/>
          </w:tblBorders>
        </w:tblPrEx>
        <w:trPr>
          <w:trHeight w:val="20"/>
        </w:trPr>
        <w:tc>
          <w:tcPr>
            <w:tcW w:w="3114" w:type="dxa"/>
            <w:shd w:val="clear" w:color="auto" w:fill="auto"/>
            <w:hideMark/>
          </w:tcPr>
          <w:p w:rsidR="00A52121" w:rsidRPr="007C51D6" w:rsidRDefault="00A52121" w:rsidP="00A52121">
            <w:pPr>
              <w:autoSpaceDE/>
              <w:autoSpaceDN/>
              <w:adjustRightInd/>
              <w:rPr>
                <w:color w:val="000000"/>
                <w:sz w:val="20"/>
                <w:szCs w:val="20"/>
              </w:rPr>
            </w:pPr>
            <w:r w:rsidRPr="007C51D6">
              <w:rPr>
                <w:color w:val="000000"/>
                <w:sz w:val="20"/>
                <w:szCs w:val="20"/>
              </w:rPr>
              <w:t>Кайбицкий</w:t>
            </w:r>
          </w:p>
        </w:tc>
        <w:tc>
          <w:tcPr>
            <w:tcW w:w="1275" w:type="dxa"/>
            <w:shd w:val="clear" w:color="auto" w:fill="auto"/>
            <w:vAlign w:val="center"/>
          </w:tcPr>
          <w:p w:rsidR="00A52121" w:rsidRPr="007C51D6" w:rsidRDefault="00A52121" w:rsidP="00A52121">
            <w:pPr>
              <w:jc w:val="center"/>
              <w:rPr>
                <w:color w:val="000000"/>
                <w:sz w:val="20"/>
                <w:szCs w:val="20"/>
              </w:rPr>
            </w:pPr>
            <w:r w:rsidRPr="007C51D6">
              <w:rPr>
                <w:color w:val="000000"/>
                <w:sz w:val="20"/>
                <w:szCs w:val="20"/>
              </w:rPr>
              <w:t>288</w:t>
            </w:r>
          </w:p>
        </w:tc>
        <w:tc>
          <w:tcPr>
            <w:tcW w:w="1162" w:type="dxa"/>
            <w:shd w:val="clear" w:color="auto" w:fill="auto"/>
            <w:vAlign w:val="center"/>
          </w:tcPr>
          <w:p w:rsidR="00A52121" w:rsidRPr="007C51D6" w:rsidRDefault="00A52121" w:rsidP="00A52121">
            <w:pPr>
              <w:jc w:val="center"/>
              <w:rPr>
                <w:color w:val="000000"/>
                <w:sz w:val="20"/>
                <w:szCs w:val="20"/>
              </w:rPr>
            </w:pPr>
            <w:r w:rsidRPr="007C51D6">
              <w:rPr>
                <w:color w:val="000000"/>
                <w:sz w:val="20"/>
                <w:szCs w:val="20"/>
              </w:rPr>
              <w:t>314</w:t>
            </w:r>
          </w:p>
        </w:tc>
        <w:tc>
          <w:tcPr>
            <w:tcW w:w="1163" w:type="dxa"/>
            <w:shd w:val="clear" w:color="auto" w:fill="auto"/>
            <w:vAlign w:val="center"/>
          </w:tcPr>
          <w:p w:rsidR="00A52121" w:rsidRPr="007C51D6" w:rsidRDefault="00A52121" w:rsidP="00A52121">
            <w:pPr>
              <w:jc w:val="center"/>
              <w:rPr>
                <w:color w:val="000000"/>
                <w:sz w:val="20"/>
                <w:szCs w:val="20"/>
              </w:rPr>
            </w:pPr>
            <w:r w:rsidRPr="007C51D6">
              <w:rPr>
                <w:color w:val="000000"/>
                <w:sz w:val="20"/>
                <w:szCs w:val="20"/>
              </w:rPr>
              <w:t>335</w:t>
            </w:r>
          </w:p>
        </w:tc>
        <w:tc>
          <w:tcPr>
            <w:tcW w:w="1162" w:type="dxa"/>
            <w:shd w:val="clear" w:color="auto" w:fill="auto"/>
            <w:vAlign w:val="center"/>
          </w:tcPr>
          <w:p w:rsidR="00A52121" w:rsidRPr="007C51D6" w:rsidRDefault="00A52121" w:rsidP="00A52121">
            <w:pPr>
              <w:jc w:val="center"/>
              <w:rPr>
                <w:color w:val="000000"/>
                <w:sz w:val="20"/>
                <w:szCs w:val="20"/>
              </w:rPr>
            </w:pPr>
            <w:r w:rsidRPr="007C51D6">
              <w:rPr>
                <w:color w:val="000000"/>
                <w:sz w:val="20"/>
                <w:szCs w:val="20"/>
              </w:rPr>
              <w:t>347</w:t>
            </w:r>
          </w:p>
        </w:tc>
        <w:tc>
          <w:tcPr>
            <w:tcW w:w="1162" w:type="dxa"/>
            <w:shd w:val="clear" w:color="auto" w:fill="auto"/>
            <w:vAlign w:val="center"/>
          </w:tcPr>
          <w:p w:rsidR="00A52121" w:rsidRPr="007C51D6" w:rsidRDefault="00A52121" w:rsidP="00A52121">
            <w:pPr>
              <w:jc w:val="center"/>
              <w:rPr>
                <w:color w:val="000000"/>
                <w:sz w:val="20"/>
                <w:szCs w:val="20"/>
              </w:rPr>
            </w:pPr>
            <w:r w:rsidRPr="007C51D6">
              <w:rPr>
                <w:color w:val="000000"/>
                <w:sz w:val="20"/>
                <w:szCs w:val="20"/>
              </w:rPr>
              <w:t>347</w:t>
            </w:r>
          </w:p>
        </w:tc>
        <w:tc>
          <w:tcPr>
            <w:tcW w:w="1163" w:type="dxa"/>
            <w:vAlign w:val="center"/>
          </w:tcPr>
          <w:p w:rsidR="00A52121" w:rsidRPr="007C51D6" w:rsidRDefault="00A52121" w:rsidP="00A52121">
            <w:pPr>
              <w:jc w:val="center"/>
              <w:rPr>
                <w:color w:val="000000"/>
                <w:sz w:val="20"/>
                <w:szCs w:val="20"/>
              </w:rPr>
            </w:pPr>
            <w:r w:rsidRPr="007C51D6">
              <w:rPr>
                <w:color w:val="000000"/>
                <w:sz w:val="20"/>
                <w:szCs w:val="20"/>
              </w:rPr>
              <w:t>355</w:t>
            </w:r>
          </w:p>
        </w:tc>
        <w:tc>
          <w:tcPr>
            <w:tcW w:w="1162" w:type="dxa"/>
            <w:vAlign w:val="center"/>
          </w:tcPr>
          <w:p w:rsidR="00A52121" w:rsidRPr="007C51D6" w:rsidRDefault="00A52121" w:rsidP="00A52121">
            <w:pPr>
              <w:jc w:val="center"/>
              <w:rPr>
                <w:color w:val="000000"/>
                <w:sz w:val="20"/>
                <w:szCs w:val="20"/>
              </w:rPr>
            </w:pPr>
            <w:r w:rsidRPr="007C51D6">
              <w:rPr>
                <w:color w:val="000000"/>
                <w:sz w:val="20"/>
                <w:szCs w:val="20"/>
              </w:rPr>
              <w:t>363</w:t>
            </w:r>
          </w:p>
        </w:tc>
        <w:tc>
          <w:tcPr>
            <w:tcW w:w="1219" w:type="dxa"/>
            <w:vAlign w:val="center"/>
          </w:tcPr>
          <w:p w:rsidR="00A52121" w:rsidRPr="007C51D6" w:rsidRDefault="00A52121" w:rsidP="00A52121">
            <w:pPr>
              <w:jc w:val="center"/>
              <w:rPr>
                <w:color w:val="000000"/>
                <w:sz w:val="20"/>
                <w:szCs w:val="20"/>
              </w:rPr>
            </w:pPr>
            <w:r w:rsidRPr="007C51D6">
              <w:rPr>
                <w:color w:val="000000"/>
                <w:sz w:val="20"/>
                <w:szCs w:val="20"/>
              </w:rPr>
              <w:t>379</w:t>
            </w:r>
          </w:p>
        </w:tc>
        <w:tc>
          <w:tcPr>
            <w:tcW w:w="1305" w:type="dxa"/>
            <w:vAlign w:val="center"/>
          </w:tcPr>
          <w:p w:rsidR="00A52121" w:rsidRPr="007C51D6" w:rsidRDefault="00A52121" w:rsidP="00A52121">
            <w:pPr>
              <w:jc w:val="center"/>
              <w:rPr>
                <w:color w:val="000000"/>
                <w:sz w:val="20"/>
                <w:szCs w:val="20"/>
              </w:rPr>
            </w:pPr>
            <w:r w:rsidRPr="007C51D6">
              <w:rPr>
                <w:color w:val="000000"/>
                <w:sz w:val="20"/>
                <w:szCs w:val="20"/>
              </w:rPr>
              <w:t>400</w:t>
            </w:r>
          </w:p>
        </w:tc>
        <w:tc>
          <w:tcPr>
            <w:tcW w:w="1305" w:type="dxa"/>
            <w:vAlign w:val="center"/>
          </w:tcPr>
          <w:p w:rsidR="00A52121" w:rsidRPr="007C51D6" w:rsidRDefault="00A52121" w:rsidP="00A52121">
            <w:pPr>
              <w:jc w:val="center"/>
              <w:rPr>
                <w:color w:val="000000"/>
                <w:sz w:val="20"/>
                <w:szCs w:val="20"/>
              </w:rPr>
            </w:pPr>
            <w:r w:rsidRPr="007C51D6">
              <w:rPr>
                <w:color w:val="000000"/>
                <w:sz w:val="20"/>
                <w:szCs w:val="20"/>
              </w:rPr>
              <w:t>396</w:t>
            </w:r>
          </w:p>
        </w:tc>
      </w:tr>
      <w:tr w:rsidR="00A52121" w:rsidRPr="007C51D6" w:rsidTr="00080BEF">
        <w:tblPrEx>
          <w:tblBorders>
            <w:bottom w:val="single" w:sz="4" w:space="0" w:color="auto"/>
          </w:tblBorders>
        </w:tblPrEx>
        <w:trPr>
          <w:trHeight w:val="20"/>
        </w:trPr>
        <w:tc>
          <w:tcPr>
            <w:tcW w:w="3114" w:type="dxa"/>
            <w:shd w:val="clear" w:color="auto" w:fill="auto"/>
            <w:hideMark/>
          </w:tcPr>
          <w:p w:rsidR="00A52121" w:rsidRPr="007C51D6" w:rsidRDefault="00A52121" w:rsidP="00A52121">
            <w:pPr>
              <w:autoSpaceDE/>
              <w:autoSpaceDN/>
              <w:adjustRightInd/>
              <w:rPr>
                <w:color w:val="000000"/>
                <w:sz w:val="20"/>
                <w:szCs w:val="20"/>
              </w:rPr>
            </w:pPr>
            <w:r w:rsidRPr="007C51D6">
              <w:rPr>
                <w:color w:val="000000"/>
                <w:sz w:val="20"/>
                <w:szCs w:val="20"/>
              </w:rPr>
              <w:t>Камско-Устьинский</w:t>
            </w:r>
          </w:p>
        </w:tc>
        <w:tc>
          <w:tcPr>
            <w:tcW w:w="1275" w:type="dxa"/>
            <w:shd w:val="clear" w:color="auto" w:fill="auto"/>
            <w:vAlign w:val="center"/>
          </w:tcPr>
          <w:p w:rsidR="00A52121" w:rsidRPr="007C51D6" w:rsidRDefault="00A52121" w:rsidP="00A52121">
            <w:pPr>
              <w:jc w:val="center"/>
              <w:rPr>
                <w:color w:val="000000"/>
                <w:sz w:val="20"/>
                <w:szCs w:val="20"/>
              </w:rPr>
            </w:pPr>
            <w:r w:rsidRPr="007C51D6">
              <w:rPr>
                <w:color w:val="000000"/>
                <w:sz w:val="20"/>
                <w:szCs w:val="20"/>
              </w:rPr>
              <w:t>598</w:t>
            </w:r>
          </w:p>
        </w:tc>
        <w:tc>
          <w:tcPr>
            <w:tcW w:w="1162" w:type="dxa"/>
            <w:shd w:val="clear" w:color="auto" w:fill="auto"/>
            <w:vAlign w:val="center"/>
          </w:tcPr>
          <w:p w:rsidR="00A52121" w:rsidRPr="007C51D6" w:rsidRDefault="00A52121" w:rsidP="00A52121">
            <w:pPr>
              <w:jc w:val="center"/>
              <w:rPr>
                <w:color w:val="000000"/>
                <w:sz w:val="20"/>
                <w:szCs w:val="20"/>
              </w:rPr>
            </w:pPr>
            <w:r w:rsidRPr="007C51D6">
              <w:rPr>
                <w:color w:val="000000"/>
                <w:sz w:val="20"/>
                <w:szCs w:val="20"/>
              </w:rPr>
              <w:t>644</w:t>
            </w:r>
          </w:p>
        </w:tc>
        <w:tc>
          <w:tcPr>
            <w:tcW w:w="1163" w:type="dxa"/>
            <w:shd w:val="clear" w:color="auto" w:fill="auto"/>
            <w:vAlign w:val="center"/>
          </w:tcPr>
          <w:p w:rsidR="00A52121" w:rsidRPr="007C51D6" w:rsidRDefault="00A52121" w:rsidP="00A52121">
            <w:pPr>
              <w:jc w:val="center"/>
              <w:rPr>
                <w:color w:val="000000"/>
                <w:sz w:val="20"/>
                <w:szCs w:val="20"/>
              </w:rPr>
            </w:pPr>
            <w:r w:rsidRPr="007C51D6">
              <w:rPr>
                <w:color w:val="000000"/>
                <w:sz w:val="20"/>
                <w:szCs w:val="20"/>
              </w:rPr>
              <w:t>696</w:t>
            </w:r>
          </w:p>
        </w:tc>
        <w:tc>
          <w:tcPr>
            <w:tcW w:w="1162" w:type="dxa"/>
            <w:shd w:val="clear" w:color="auto" w:fill="auto"/>
            <w:vAlign w:val="center"/>
          </w:tcPr>
          <w:p w:rsidR="00A52121" w:rsidRPr="007C51D6" w:rsidRDefault="00A52121" w:rsidP="00A52121">
            <w:pPr>
              <w:jc w:val="center"/>
              <w:rPr>
                <w:color w:val="000000"/>
                <w:sz w:val="20"/>
                <w:szCs w:val="20"/>
              </w:rPr>
            </w:pPr>
            <w:r w:rsidRPr="007C51D6">
              <w:rPr>
                <w:color w:val="000000"/>
                <w:sz w:val="20"/>
                <w:szCs w:val="20"/>
              </w:rPr>
              <w:t>719</w:t>
            </w:r>
          </w:p>
        </w:tc>
        <w:tc>
          <w:tcPr>
            <w:tcW w:w="1162" w:type="dxa"/>
            <w:shd w:val="clear" w:color="auto" w:fill="auto"/>
            <w:vAlign w:val="center"/>
          </w:tcPr>
          <w:p w:rsidR="00A52121" w:rsidRPr="007C51D6" w:rsidRDefault="00A52121" w:rsidP="00A52121">
            <w:pPr>
              <w:jc w:val="center"/>
              <w:rPr>
                <w:color w:val="000000"/>
                <w:sz w:val="20"/>
                <w:szCs w:val="20"/>
              </w:rPr>
            </w:pPr>
            <w:r w:rsidRPr="007C51D6">
              <w:rPr>
                <w:color w:val="000000"/>
                <w:sz w:val="20"/>
                <w:szCs w:val="20"/>
              </w:rPr>
              <w:t>604</w:t>
            </w:r>
          </w:p>
        </w:tc>
        <w:tc>
          <w:tcPr>
            <w:tcW w:w="1163" w:type="dxa"/>
            <w:vAlign w:val="center"/>
          </w:tcPr>
          <w:p w:rsidR="00A52121" w:rsidRPr="007C51D6" w:rsidRDefault="00A52121" w:rsidP="00A52121">
            <w:pPr>
              <w:jc w:val="center"/>
              <w:rPr>
                <w:color w:val="000000"/>
                <w:sz w:val="20"/>
                <w:szCs w:val="20"/>
              </w:rPr>
            </w:pPr>
            <w:r w:rsidRPr="007C51D6">
              <w:rPr>
                <w:color w:val="000000"/>
                <w:sz w:val="20"/>
                <w:szCs w:val="20"/>
              </w:rPr>
              <w:t>572</w:t>
            </w:r>
          </w:p>
        </w:tc>
        <w:tc>
          <w:tcPr>
            <w:tcW w:w="1162" w:type="dxa"/>
            <w:vAlign w:val="center"/>
          </w:tcPr>
          <w:p w:rsidR="00A52121" w:rsidRPr="007C51D6" w:rsidRDefault="00A52121" w:rsidP="00A52121">
            <w:pPr>
              <w:jc w:val="center"/>
              <w:rPr>
                <w:color w:val="000000"/>
                <w:sz w:val="20"/>
                <w:szCs w:val="20"/>
              </w:rPr>
            </w:pPr>
            <w:r w:rsidRPr="007C51D6">
              <w:rPr>
                <w:color w:val="000000"/>
                <w:sz w:val="20"/>
                <w:szCs w:val="20"/>
              </w:rPr>
              <w:t>570</w:t>
            </w:r>
          </w:p>
        </w:tc>
        <w:tc>
          <w:tcPr>
            <w:tcW w:w="1219" w:type="dxa"/>
            <w:vAlign w:val="center"/>
          </w:tcPr>
          <w:p w:rsidR="00A52121" w:rsidRPr="007C51D6" w:rsidRDefault="00A52121" w:rsidP="00A52121">
            <w:pPr>
              <w:jc w:val="center"/>
              <w:rPr>
                <w:color w:val="000000"/>
                <w:sz w:val="20"/>
                <w:szCs w:val="20"/>
              </w:rPr>
            </w:pPr>
            <w:r w:rsidRPr="007C51D6">
              <w:rPr>
                <w:color w:val="000000"/>
                <w:sz w:val="20"/>
                <w:szCs w:val="20"/>
              </w:rPr>
              <w:t>587</w:t>
            </w:r>
          </w:p>
        </w:tc>
        <w:tc>
          <w:tcPr>
            <w:tcW w:w="1305" w:type="dxa"/>
            <w:vAlign w:val="center"/>
          </w:tcPr>
          <w:p w:rsidR="00A52121" w:rsidRPr="007C51D6" w:rsidRDefault="00A52121" w:rsidP="00A52121">
            <w:pPr>
              <w:jc w:val="center"/>
              <w:rPr>
                <w:color w:val="000000"/>
                <w:sz w:val="20"/>
                <w:szCs w:val="20"/>
              </w:rPr>
            </w:pPr>
            <w:r w:rsidRPr="007C51D6">
              <w:rPr>
                <w:color w:val="000000"/>
                <w:sz w:val="20"/>
                <w:szCs w:val="20"/>
              </w:rPr>
              <w:t>621</w:t>
            </w:r>
          </w:p>
        </w:tc>
        <w:tc>
          <w:tcPr>
            <w:tcW w:w="1305" w:type="dxa"/>
            <w:vAlign w:val="center"/>
          </w:tcPr>
          <w:p w:rsidR="00A52121" w:rsidRPr="007C51D6" w:rsidRDefault="00A52121" w:rsidP="00A52121">
            <w:pPr>
              <w:jc w:val="center"/>
              <w:rPr>
                <w:color w:val="000000"/>
                <w:sz w:val="20"/>
                <w:szCs w:val="20"/>
              </w:rPr>
            </w:pPr>
            <w:r w:rsidRPr="007C51D6">
              <w:rPr>
                <w:color w:val="000000"/>
                <w:sz w:val="20"/>
                <w:szCs w:val="20"/>
              </w:rPr>
              <w:t>583</w:t>
            </w:r>
          </w:p>
        </w:tc>
      </w:tr>
      <w:tr w:rsidR="00A52121" w:rsidRPr="007C51D6" w:rsidTr="00080BEF">
        <w:tblPrEx>
          <w:tblBorders>
            <w:bottom w:val="single" w:sz="4" w:space="0" w:color="auto"/>
          </w:tblBorders>
        </w:tblPrEx>
        <w:trPr>
          <w:trHeight w:val="20"/>
        </w:trPr>
        <w:tc>
          <w:tcPr>
            <w:tcW w:w="3114" w:type="dxa"/>
            <w:shd w:val="clear" w:color="auto" w:fill="auto"/>
          </w:tcPr>
          <w:p w:rsidR="00A52121" w:rsidRPr="007C51D6" w:rsidRDefault="00A52121" w:rsidP="00A52121">
            <w:pPr>
              <w:autoSpaceDE/>
              <w:autoSpaceDN/>
              <w:adjustRightInd/>
              <w:rPr>
                <w:color w:val="000000"/>
                <w:sz w:val="20"/>
                <w:szCs w:val="20"/>
              </w:rPr>
            </w:pPr>
            <w:r w:rsidRPr="007C51D6">
              <w:rPr>
                <w:color w:val="000000"/>
                <w:sz w:val="20"/>
                <w:szCs w:val="20"/>
              </w:rPr>
              <w:t>Кукморский</w:t>
            </w:r>
          </w:p>
        </w:tc>
        <w:tc>
          <w:tcPr>
            <w:tcW w:w="1275" w:type="dxa"/>
            <w:shd w:val="clear" w:color="auto" w:fill="auto"/>
            <w:vAlign w:val="center"/>
          </w:tcPr>
          <w:p w:rsidR="00A52121" w:rsidRPr="007C51D6" w:rsidRDefault="00A52121" w:rsidP="00A52121">
            <w:pPr>
              <w:jc w:val="center"/>
              <w:rPr>
                <w:color w:val="000000"/>
                <w:sz w:val="20"/>
                <w:szCs w:val="20"/>
              </w:rPr>
            </w:pPr>
            <w:r w:rsidRPr="007C51D6">
              <w:rPr>
                <w:color w:val="000000"/>
                <w:sz w:val="20"/>
                <w:szCs w:val="20"/>
              </w:rPr>
              <w:t>962</w:t>
            </w:r>
          </w:p>
        </w:tc>
        <w:tc>
          <w:tcPr>
            <w:tcW w:w="1162" w:type="dxa"/>
            <w:shd w:val="clear" w:color="auto" w:fill="auto"/>
            <w:vAlign w:val="center"/>
          </w:tcPr>
          <w:p w:rsidR="00A52121" w:rsidRPr="007C51D6" w:rsidRDefault="00A52121" w:rsidP="00A52121">
            <w:pPr>
              <w:jc w:val="center"/>
              <w:rPr>
                <w:color w:val="000000"/>
                <w:sz w:val="20"/>
                <w:szCs w:val="20"/>
              </w:rPr>
            </w:pPr>
            <w:r w:rsidRPr="007C51D6">
              <w:rPr>
                <w:color w:val="000000"/>
                <w:sz w:val="20"/>
                <w:szCs w:val="20"/>
              </w:rPr>
              <w:t>1017</w:t>
            </w:r>
          </w:p>
        </w:tc>
        <w:tc>
          <w:tcPr>
            <w:tcW w:w="1163" w:type="dxa"/>
            <w:shd w:val="clear" w:color="auto" w:fill="auto"/>
            <w:vAlign w:val="center"/>
          </w:tcPr>
          <w:p w:rsidR="00A52121" w:rsidRPr="007C51D6" w:rsidRDefault="00A52121" w:rsidP="00A52121">
            <w:pPr>
              <w:jc w:val="center"/>
              <w:rPr>
                <w:color w:val="000000"/>
                <w:sz w:val="20"/>
                <w:szCs w:val="20"/>
              </w:rPr>
            </w:pPr>
            <w:r w:rsidRPr="007C51D6">
              <w:rPr>
                <w:color w:val="000000"/>
                <w:sz w:val="20"/>
                <w:szCs w:val="20"/>
              </w:rPr>
              <w:t>1063</w:t>
            </w:r>
          </w:p>
        </w:tc>
        <w:tc>
          <w:tcPr>
            <w:tcW w:w="1162" w:type="dxa"/>
            <w:shd w:val="clear" w:color="auto" w:fill="auto"/>
            <w:vAlign w:val="center"/>
          </w:tcPr>
          <w:p w:rsidR="00A52121" w:rsidRPr="007C51D6" w:rsidRDefault="00A52121" w:rsidP="00A52121">
            <w:pPr>
              <w:jc w:val="center"/>
              <w:rPr>
                <w:color w:val="000000"/>
                <w:sz w:val="20"/>
                <w:szCs w:val="20"/>
              </w:rPr>
            </w:pPr>
            <w:r w:rsidRPr="007C51D6">
              <w:rPr>
                <w:color w:val="000000"/>
                <w:sz w:val="20"/>
                <w:szCs w:val="20"/>
              </w:rPr>
              <w:t>1038</w:t>
            </w:r>
          </w:p>
        </w:tc>
        <w:tc>
          <w:tcPr>
            <w:tcW w:w="1162" w:type="dxa"/>
            <w:shd w:val="clear" w:color="auto" w:fill="auto"/>
            <w:vAlign w:val="center"/>
          </w:tcPr>
          <w:p w:rsidR="00A52121" w:rsidRPr="007C51D6" w:rsidRDefault="00A52121" w:rsidP="00A52121">
            <w:pPr>
              <w:jc w:val="center"/>
              <w:rPr>
                <w:color w:val="000000"/>
                <w:sz w:val="20"/>
                <w:szCs w:val="20"/>
              </w:rPr>
            </w:pPr>
            <w:r w:rsidRPr="007C51D6">
              <w:rPr>
                <w:color w:val="000000"/>
                <w:sz w:val="20"/>
                <w:szCs w:val="20"/>
              </w:rPr>
              <w:t>1029</w:t>
            </w:r>
          </w:p>
        </w:tc>
        <w:tc>
          <w:tcPr>
            <w:tcW w:w="1163" w:type="dxa"/>
            <w:vAlign w:val="center"/>
          </w:tcPr>
          <w:p w:rsidR="00A52121" w:rsidRPr="007C51D6" w:rsidRDefault="00A52121" w:rsidP="00A52121">
            <w:pPr>
              <w:jc w:val="center"/>
              <w:rPr>
                <w:color w:val="000000"/>
                <w:sz w:val="20"/>
                <w:szCs w:val="20"/>
              </w:rPr>
            </w:pPr>
            <w:r w:rsidRPr="007C51D6">
              <w:rPr>
                <w:color w:val="000000"/>
                <w:sz w:val="20"/>
                <w:szCs w:val="20"/>
              </w:rPr>
              <w:t>1101</w:t>
            </w:r>
          </w:p>
        </w:tc>
        <w:tc>
          <w:tcPr>
            <w:tcW w:w="1162" w:type="dxa"/>
            <w:vAlign w:val="center"/>
          </w:tcPr>
          <w:p w:rsidR="00A52121" w:rsidRPr="007C51D6" w:rsidRDefault="00A52121" w:rsidP="00A52121">
            <w:pPr>
              <w:jc w:val="center"/>
              <w:rPr>
                <w:color w:val="000000"/>
                <w:sz w:val="20"/>
                <w:szCs w:val="20"/>
              </w:rPr>
            </w:pPr>
            <w:r w:rsidRPr="007C51D6">
              <w:rPr>
                <w:color w:val="000000"/>
                <w:sz w:val="20"/>
                <w:szCs w:val="20"/>
              </w:rPr>
              <w:t>1120</w:t>
            </w:r>
          </w:p>
        </w:tc>
        <w:tc>
          <w:tcPr>
            <w:tcW w:w="1219" w:type="dxa"/>
            <w:vAlign w:val="center"/>
          </w:tcPr>
          <w:p w:rsidR="00A52121" w:rsidRPr="007C51D6" w:rsidRDefault="00A52121" w:rsidP="00A52121">
            <w:pPr>
              <w:jc w:val="center"/>
              <w:rPr>
                <w:color w:val="000000"/>
                <w:sz w:val="20"/>
                <w:szCs w:val="20"/>
              </w:rPr>
            </w:pPr>
            <w:r w:rsidRPr="007C51D6">
              <w:rPr>
                <w:color w:val="000000"/>
                <w:sz w:val="20"/>
                <w:szCs w:val="20"/>
              </w:rPr>
              <w:t>1158</w:t>
            </w:r>
          </w:p>
        </w:tc>
        <w:tc>
          <w:tcPr>
            <w:tcW w:w="1305" w:type="dxa"/>
            <w:vAlign w:val="center"/>
          </w:tcPr>
          <w:p w:rsidR="00A52121" w:rsidRPr="007C51D6" w:rsidRDefault="00A52121" w:rsidP="00A52121">
            <w:pPr>
              <w:jc w:val="center"/>
              <w:rPr>
                <w:color w:val="000000"/>
                <w:sz w:val="20"/>
                <w:szCs w:val="20"/>
              </w:rPr>
            </w:pPr>
            <w:r w:rsidRPr="007C51D6">
              <w:rPr>
                <w:color w:val="000000"/>
                <w:sz w:val="20"/>
                <w:szCs w:val="20"/>
              </w:rPr>
              <w:t>1206</w:t>
            </w:r>
          </w:p>
        </w:tc>
        <w:tc>
          <w:tcPr>
            <w:tcW w:w="1305" w:type="dxa"/>
            <w:vAlign w:val="center"/>
          </w:tcPr>
          <w:p w:rsidR="00A52121" w:rsidRPr="007C51D6" w:rsidRDefault="00A52121" w:rsidP="00A52121">
            <w:pPr>
              <w:jc w:val="center"/>
              <w:rPr>
                <w:color w:val="000000"/>
                <w:sz w:val="20"/>
                <w:szCs w:val="20"/>
              </w:rPr>
            </w:pPr>
            <w:r w:rsidRPr="007C51D6">
              <w:rPr>
                <w:color w:val="000000"/>
                <w:sz w:val="20"/>
                <w:szCs w:val="20"/>
              </w:rPr>
              <w:t>1361</w:t>
            </w:r>
          </w:p>
        </w:tc>
      </w:tr>
      <w:tr w:rsidR="00A52121" w:rsidRPr="007C51D6" w:rsidTr="00080BEF">
        <w:tblPrEx>
          <w:tblBorders>
            <w:bottom w:val="single" w:sz="4" w:space="0" w:color="auto"/>
          </w:tblBorders>
        </w:tblPrEx>
        <w:trPr>
          <w:trHeight w:val="20"/>
        </w:trPr>
        <w:tc>
          <w:tcPr>
            <w:tcW w:w="3114" w:type="dxa"/>
            <w:shd w:val="clear" w:color="auto" w:fill="auto"/>
            <w:hideMark/>
          </w:tcPr>
          <w:p w:rsidR="00A52121" w:rsidRPr="007C51D6" w:rsidRDefault="00A52121" w:rsidP="00A52121">
            <w:pPr>
              <w:autoSpaceDE/>
              <w:autoSpaceDN/>
              <w:adjustRightInd/>
              <w:rPr>
                <w:color w:val="000000"/>
                <w:sz w:val="20"/>
                <w:szCs w:val="20"/>
              </w:rPr>
            </w:pPr>
            <w:r w:rsidRPr="007C51D6">
              <w:rPr>
                <w:color w:val="000000"/>
                <w:sz w:val="20"/>
                <w:szCs w:val="20"/>
              </w:rPr>
              <w:t>Лаишевский</w:t>
            </w:r>
          </w:p>
        </w:tc>
        <w:tc>
          <w:tcPr>
            <w:tcW w:w="1275" w:type="dxa"/>
            <w:shd w:val="clear" w:color="auto" w:fill="auto"/>
            <w:vAlign w:val="center"/>
          </w:tcPr>
          <w:p w:rsidR="00A52121" w:rsidRPr="007C51D6" w:rsidRDefault="00A52121" w:rsidP="00A52121">
            <w:pPr>
              <w:jc w:val="center"/>
              <w:rPr>
                <w:color w:val="000000"/>
                <w:sz w:val="20"/>
                <w:szCs w:val="20"/>
              </w:rPr>
            </w:pPr>
            <w:r w:rsidRPr="007C51D6">
              <w:rPr>
                <w:color w:val="000000"/>
                <w:sz w:val="20"/>
                <w:szCs w:val="20"/>
              </w:rPr>
              <w:t>826</w:t>
            </w:r>
          </w:p>
        </w:tc>
        <w:tc>
          <w:tcPr>
            <w:tcW w:w="1162" w:type="dxa"/>
            <w:shd w:val="clear" w:color="auto" w:fill="auto"/>
            <w:vAlign w:val="center"/>
          </w:tcPr>
          <w:p w:rsidR="00A52121" w:rsidRPr="007C51D6" w:rsidRDefault="00A52121" w:rsidP="00A52121">
            <w:pPr>
              <w:jc w:val="center"/>
              <w:rPr>
                <w:color w:val="000000"/>
                <w:sz w:val="20"/>
                <w:szCs w:val="20"/>
              </w:rPr>
            </w:pPr>
            <w:r w:rsidRPr="007C51D6">
              <w:rPr>
                <w:color w:val="000000"/>
                <w:sz w:val="20"/>
                <w:szCs w:val="20"/>
              </w:rPr>
              <w:t>893</w:t>
            </w:r>
          </w:p>
        </w:tc>
        <w:tc>
          <w:tcPr>
            <w:tcW w:w="1163" w:type="dxa"/>
            <w:shd w:val="clear" w:color="auto" w:fill="auto"/>
            <w:vAlign w:val="center"/>
          </w:tcPr>
          <w:p w:rsidR="00A52121" w:rsidRPr="007C51D6" w:rsidRDefault="00A52121" w:rsidP="00A52121">
            <w:pPr>
              <w:jc w:val="center"/>
              <w:rPr>
                <w:color w:val="000000"/>
                <w:sz w:val="20"/>
                <w:szCs w:val="20"/>
              </w:rPr>
            </w:pPr>
            <w:r w:rsidRPr="007C51D6">
              <w:rPr>
                <w:color w:val="000000"/>
                <w:sz w:val="20"/>
                <w:szCs w:val="20"/>
              </w:rPr>
              <w:t>970</w:t>
            </w:r>
          </w:p>
        </w:tc>
        <w:tc>
          <w:tcPr>
            <w:tcW w:w="1162" w:type="dxa"/>
            <w:shd w:val="clear" w:color="auto" w:fill="auto"/>
            <w:vAlign w:val="center"/>
          </w:tcPr>
          <w:p w:rsidR="00A52121" w:rsidRPr="007C51D6" w:rsidRDefault="00A52121" w:rsidP="00A52121">
            <w:pPr>
              <w:jc w:val="center"/>
              <w:rPr>
                <w:color w:val="000000"/>
                <w:sz w:val="20"/>
                <w:szCs w:val="20"/>
              </w:rPr>
            </w:pPr>
            <w:r w:rsidRPr="007C51D6">
              <w:rPr>
                <w:color w:val="000000"/>
                <w:sz w:val="20"/>
                <w:szCs w:val="20"/>
              </w:rPr>
              <w:t>1038</w:t>
            </w:r>
          </w:p>
        </w:tc>
        <w:tc>
          <w:tcPr>
            <w:tcW w:w="1162" w:type="dxa"/>
            <w:shd w:val="clear" w:color="auto" w:fill="auto"/>
            <w:vAlign w:val="center"/>
          </w:tcPr>
          <w:p w:rsidR="00A52121" w:rsidRPr="007C51D6" w:rsidRDefault="00A52121" w:rsidP="00A52121">
            <w:pPr>
              <w:jc w:val="center"/>
              <w:rPr>
                <w:color w:val="000000"/>
                <w:sz w:val="20"/>
                <w:szCs w:val="20"/>
              </w:rPr>
            </w:pPr>
            <w:r w:rsidRPr="007C51D6">
              <w:rPr>
                <w:color w:val="000000"/>
                <w:sz w:val="20"/>
                <w:szCs w:val="20"/>
              </w:rPr>
              <w:t>1030</w:t>
            </w:r>
          </w:p>
        </w:tc>
        <w:tc>
          <w:tcPr>
            <w:tcW w:w="1163" w:type="dxa"/>
            <w:vAlign w:val="center"/>
          </w:tcPr>
          <w:p w:rsidR="00A52121" w:rsidRPr="007C51D6" w:rsidRDefault="00A52121" w:rsidP="00A52121">
            <w:pPr>
              <w:jc w:val="center"/>
              <w:rPr>
                <w:color w:val="000000"/>
                <w:sz w:val="20"/>
                <w:szCs w:val="20"/>
              </w:rPr>
            </w:pPr>
            <w:r w:rsidRPr="007C51D6">
              <w:rPr>
                <w:color w:val="000000"/>
                <w:sz w:val="20"/>
                <w:szCs w:val="20"/>
              </w:rPr>
              <w:t>1089</w:t>
            </w:r>
          </w:p>
        </w:tc>
        <w:tc>
          <w:tcPr>
            <w:tcW w:w="1162" w:type="dxa"/>
            <w:vAlign w:val="center"/>
          </w:tcPr>
          <w:p w:rsidR="00A52121" w:rsidRPr="007C51D6" w:rsidRDefault="00A52121" w:rsidP="00A52121">
            <w:pPr>
              <w:jc w:val="center"/>
              <w:rPr>
                <w:color w:val="000000"/>
                <w:sz w:val="20"/>
                <w:szCs w:val="20"/>
              </w:rPr>
            </w:pPr>
            <w:r w:rsidRPr="007C51D6">
              <w:rPr>
                <w:color w:val="000000"/>
                <w:sz w:val="20"/>
                <w:szCs w:val="20"/>
              </w:rPr>
              <w:t>1128</w:t>
            </w:r>
          </w:p>
        </w:tc>
        <w:tc>
          <w:tcPr>
            <w:tcW w:w="1219" w:type="dxa"/>
            <w:vAlign w:val="center"/>
          </w:tcPr>
          <w:p w:rsidR="00A52121" w:rsidRPr="007C51D6" w:rsidRDefault="00A52121" w:rsidP="00A52121">
            <w:pPr>
              <w:jc w:val="center"/>
              <w:rPr>
                <w:color w:val="000000"/>
                <w:sz w:val="20"/>
                <w:szCs w:val="20"/>
              </w:rPr>
            </w:pPr>
            <w:r w:rsidRPr="007C51D6">
              <w:rPr>
                <w:color w:val="000000"/>
                <w:sz w:val="20"/>
                <w:szCs w:val="20"/>
              </w:rPr>
              <w:t>1210</w:t>
            </w:r>
          </w:p>
        </w:tc>
        <w:tc>
          <w:tcPr>
            <w:tcW w:w="1305" w:type="dxa"/>
            <w:vAlign w:val="center"/>
          </w:tcPr>
          <w:p w:rsidR="00A52121" w:rsidRPr="007C51D6" w:rsidRDefault="00A52121" w:rsidP="00A52121">
            <w:pPr>
              <w:jc w:val="center"/>
              <w:rPr>
                <w:color w:val="000000"/>
                <w:sz w:val="20"/>
                <w:szCs w:val="20"/>
              </w:rPr>
            </w:pPr>
            <w:r w:rsidRPr="007C51D6">
              <w:rPr>
                <w:color w:val="000000"/>
                <w:sz w:val="20"/>
                <w:szCs w:val="20"/>
              </w:rPr>
              <w:t>1292</w:t>
            </w:r>
          </w:p>
        </w:tc>
        <w:tc>
          <w:tcPr>
            <w:tcW w:w="1305" w:type="dxa"/>
            <w:vAlign w:val="center"/>
          </w:tcPr>
          <w:p w:rsidR="00A52121" w:rsidRPr="007C51D6" w:rsidRDefault="00A52121" w:rsidP="00A52121">
            <w:pPr>
              <w:jc w:val="center"/>
              <w:rPr>
                <w:color w:val="000000"/>
                <w:sz w:val="20"/>
                <w:szCs w:val="20"/>
              </w:rPr>
            </w:pPr>
            <w:r w:rsidRPr="007C51D6">
              <w:rPr>
                <w:color w:val="000000"/>
                <w:sz w:val="20"/>
                <w:szCs w:val="20"/>
              </w:rPr>
              <w:t>1735</w:t>
            </w:r>
          </w:p>
        </w:tc>
      </w:tr>
      <w:tr w:rsidR="008973C4" w:rsidRPr="007C51D6" w:rsidTr="00080BEF">
        <w:tblPrEx>
          <w:tblBorders>
            <w:bottom w:val="single" w:sz="4" w:space="0" w:color="auto"/>
          </w:tblBorders>
        </w:tblPrEx>
        <w:trPr>
          <w:trHeight w:val="20"/>
        </w:trPr>
        <w:tc>
          <w:tcPr>
            <w:tcW w:w="3114" w:type="dxa"/>
            <w:shd w:val="clear" w:color="auto" w:fill="auto"/>
          </w:tcPr>
          <w:p w:rsidR="008973C4" w:rsidRPr="007C51D6" w:rsidRDefault="008973C4" w:rsidP="008973C4">
            <w:pPr>
              <w:autoSpaceDE/>
              <w:autoSpaceDN/>
              <w:adjustRightInd/>
              <w:rPr>
                <w:color w:val="000000"/>
                <w:sz w:val="20"/>
                <w:szCs w:val="20"/>
              </w:rPr>
            </w:pPr>
            <w:r w:rsidRPr="007C51D6">
              <w:rPr>
                <w:color w:val="000000"/>
                <w:sz w:val="20"/>
                <w:szCs w:val="20"/>
              </w:rPr>
              <w:t>Лениногорский</w:t>
            </w:r>
          </w:p>
        </w:tc>
        <w:tc>
          <w:tcPr>
            <w:tcW w:w="1275" w:type="dxa"/>
            <w:shd w:val="clear" w:color="auto" w:fill="auto"/>
            <w:vAlign w:val="center"/>
          </w:tcPr>
          <w:p w:rsidR="008973C4" w:rsidRPr="007C51D6" w:rsidRDefault="008973C4" w:rsidP="008973C4">
            <w:pPr>
              <w:jc w:val="center"/>
              <w:rPr>
                <w:color w:val="000000"/>
                <w:sz w:val="20"/>
                <w:szCs w:val="20"/>
              </w:rPr>
            </w:pPr>
            <w:r w:rsidRPr="007C51D6">
              <w:rPr>
                <w:color w:val="000000"/>
                <w:sz w:val="20"/>
                <w:szCs w:val="20"/>
              </w:rPr>
              <w:t>2216</w:t>
            </w:r>
          </w:p>
        </w:tc>
        <w:tc>
          <w:tcPr>
            <w:tcW w:w="1162" w:type="dxa"/>
            <w:shd w:val="clear" w:color="auto" w:fill="auto"/>
            <w:vAlign w:val="center"/>
          </w:tcPr>
          <w:p w:rsidR="008973C4" w:rsidRPr="007C51D6" w:rsidRDefault="008973C4" w:rsidP="008973C4">
            <w:pPr>
              <w:jc w:val="center"/>
              <w:rPr>
                <w:color w:val="000000"/>
                <w:sz w:val="20"/>
                <w:szCs w:val="20"/>
              </w:rPr>
            </w:pPr>
            <w:r w:rsidRPr="007C51D6">
              <w:rPr>
                <w:color w:val="000000"/>
                <w:sz w:val="20"/>
                <w:szCs w:val="20"/>
              </w:rPr>
              <w:t>2306</w:t>
            </w:r>
          </w:p>
        </w:tc>
        <w:tc>
          <w:tcPr>
            <w:tcW w:w="1163" w:type="dxa"/>
            <w:shd w:val="clear" w:color="auto" w:fill="auto"/>
            <w:vAlign w:val="center"/>
          </w:tcPr>
          <w:p w:rsidR="008973C4" w:rsidRPr="007C51D6" w:rsidRDefault="008973C4" w:rsidP="008973C4">
            <w:pPr>
              <w:jc w:val="center"/>
              <w:rPr>
                <w:color w:val="000000"/>
                <w:sz w:val="20"/>
                <w:szCs w:val="20"/>
              </w:rPr>
            </w:pPr>
            <w:r w:rsidRPr="007C51D6">
              <w:rPr>
                <w:color w:val="000000"/>
                <w:sz w:val="20"/>
                <w:szCs w:val="20"/>
              </w:rPr>
              <w:t>2377</w:t>
            </w:r>
          </w:p>
        </w:tc>
        <w:tc>
          <w:tcPr>
            <w:tcW w:w="1162" w:type="dxa"/>
            <w:shd w:val="clear" w:color="auto" w:fill="auto"/>
            <w:vAlign w:val="center"/>
          </w:tcPr>
          <w:p w:rsidR="008973C4" w:rsidRPr="007C51D6" w:rsidRDefault="008973C4" w:rsidP="008973C4">
            <w:pPr>
              <w:jc w:val="center"/>
              <w:rPr>
                <w:color w:val="000000"/>
                <w:sz w:val="20"/>
                <w:szCs w:val="20"/>
              </w:rPr>
            </w:pPr>
            <w:r w:rsidRPr="007C51D6">
              <w:rPr>
                <w:color w:val="000000"/>
                <w:sz w:val="20"/>
                <w:szCs w:val="20"/>
              </w:rPr>
              <w:t>2424</w:t>
            </w:r>
          </w:p>
        </w:tc>
        <w:tc>
          <w:tcPr>
            <w:tcW w:w="1162" w:type="dxa"/>
            <w:shd w:val="clear" w:color="auto" w:fill="auto"/>
            <w:vAlign w:val="center"/>
          </w:tcPr>
          <w:p w:rsidR="008973C4" w:rsidRPr="007C51D6" w:rsidRDefault="008973C4" w:rsidP="008973C4">
            <w:pPr>
              <w:jc w:val="center"/>
              <w:rPr>
                <w:color w:val="000000"/>
                <w:sz w:val="20"/>
                <w:szCs w:val="20"/>
              </w:rPr>
            </w:pPr>
            <w:r w:rsidRPr="007C51D6">
              <w:rPr>
                <w:color w:val="000000"/>
                <w:sz w:val="20"/>
                <w:szCs w:val="20"/>
              </w:rPr>
              <w:t>2309</w:t>
            </w:r>
          </w:p>
        </w:tc>
        <w:tc>
          <w:tcPr>
            <w:tcW w:w="1163" w:type="dxa"/>
            <w:vAlign w:val="center"/>
          </w:tcPr>
          <w:p w:rsidR="008973C4" w:rsidRPr="007C51D6" w:rsidRDefault="008973C4" w:rsidP="008973C4">
            <w:pPr>
              <w:jc w:val="center"/>
              <w:rPr>
                <w:color w:val="000000"/>
                <w:sz w:val="20"/>
                <w:szCs w:val="20"/>
              </w:rPr>
            </w:pPr>
            <w:r w:rsidRPr="007C51D6">
              <w:rPr>
                <w:color w:val="000000"/>
                <w:sz w:val="20"/>
                <w:szCs w:val="20"/>
              </w:rPr>
              <w:t>2348</w:t>
            </w:r>
          </w:p>
        </w:tc>
        <w:tc>
          <w:tcPr>
            <w:tcW w:w="1162" w:type="dxa"/>
            <w:vAlign w:val="center"/>
          </w:tcPr>
          <w:p w:rsidR="008973C4" w:rsidRPr="007C51D6" w:rsidRDefault="008973C4" w:rsidP="008973C4">
            <w:pPr>
              <w:jc w:val="center"/>
              <w:rPr>
                <w:color w:val="000000"/>
                <w:sz w:val="20"/>
                <w:szCs w:val="20"/>
              </w:rPr>
            </w:pPr>
            <w:r w:rsidRPr="007C51D6">
              <w:rPr>
                <w:color w:val="000000"/>
                <w:sz w:val="20"/>
                <w:szCs w:val="20"/>
              </w:rPr>
              <w:t>2419</w:t>
            </w:r>
          </w:p>
        </w:tc>
        <w:tc>
          <w:tcPr>
            <w:tcW w:w="1219" w:type="dxa"/>
            <w:vAlign w:val="center"/>
          </w:tcPr>
          <w:p w:rsidR="008973C4" w:rsidRPr="007C51D6" w:rsidRDefault="008973C4" w:rsidP="008973C4">
            <w:pPr>
              <w:jc w:val="center"/>
              <w:rPr>
                <w:color w:val="000000"/>
                <w:sz w:val="20"/>
                <w:szCs w:val="20"/>
              </w:rPr>
            </w:pPr>
            <w:r w:rsidRPr="007C51D6">
              <w:rPr>
                <w:color w:val="000000"/>
                <w:sz w:val="20"/>
                <w:szCs w:val="20"/>
              </w:rPr>
              <w:t>2531</w:t>
            </w:r>
          </w:p>
        </w:tc>
        <w:tc>
          <w:tcPr>
            <w:tcW w:w="1305" w:type="dxa"/>
            <w:vAlign w:val="center"/>
          </w:tcPr>
          <w:p w:rsidR="008973C4" w:rsidRPr="007C51D6" w:rsidRDefault="008973C4" w:rsidP="008973C4">
            <w:pPr>
              <w:jc w:val="center"/>
              <w:rPr>
                <w:color w:val="000000"/>
                <w:sz w:val="20"/>
                <w:szCs w:val="20"/>
              </w:rPr>
            </w:pPr>
            <w:r w:rsidRPr="007C51D6">
              <w:rPr>
                <w:color w:val="000000"/>
                <w:sz w:val="20"/>
                <w:szCs w:val="20"/>
              </w:rPr>
              <w:t>2635</w:t>
            </w:r>
          </w:p>
        </w:tc>
        <w:tc>
          <w:tcPr>
            <w:tcW w:w="1305" w:type="dxa"/>
            <w:vAlign w:val="center"/>
          </w:tcPr>
          <w:p w:rsidR="008973C4" w:rsidRPr="007C51D6" w:rsidRDefault="008973C4" w:rsidP="008973C4">
            <w:pPr>
              <w:jc w:val="center"/>
              <w:rPr>
                <w:color w:val="000000"/>
                <w:sz w:val="20"/>
                <w:szCs w:val="20"/>
              </w:rPr>
            </w:pPr>
            <w:r w:rsidRPr="007C51D6">
              <w:rPr>
                <w:color w:val="000000"/>
                <w:sz w:val="20"/>
                <w:szCs w:val="20"/>
              </w:rPr>
              <w:t>2618</w:t>
            </w:r>
          </w:p>
        </w:tc>
      </w:tr>
    </w:tbl>
    <w:p w:rsidR="008973C4" w:rsidRDefault="008973C4">
      <w:r>
        <w:br w:type="page"/>
      </w:r>
    </w:p>
    <w:tbl>
      <w:tblPr>
        <w:tblW w:w="151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4"/>
        <w:gridCol w:w="1275"/>
        <w:gridCol w:w="1162"/>
        <w:gridCol w:w="1163"/>
        <w:gridCol w:w="1162"/>
        <w:gridCol w:w="1162"/>
        <w:gridCol w:w="1163"/>
        <w:gridCol w:w="1162"/>
        <w:gridCol w:w="1219"/>
        <w:gridCol w:w="1305"/>
        <w:gridCol w:w="1305"/>
      </w:tblGrid>
      <w:tr w:rsidR="008973C4" w:rsidRPr="007C51D6" w:rsidTr="00DC67CB">
        <w:trPr>
          <w:trHeight w:val="20"/>
        </w:trPr>
        <w:tc>
          <w:tcPr>
            <w:tcW w:w="3114" w:type="dxa"/>
            <w:shd w:val="clear" w:color="auto" w:fill="auto"/>
          </w:tcPr>
          <w:p w:rsidR="008973C4" w:rsidRPr="007C51D6" w:rsidRDefault="008973C4" w:rsidP="008973C4">
            <w:pPr>
              <w:autoSpaceDE/>
              <w:autoSpaceDN/>
              <w:adjustRightInd/>
              <w:jc w:val="center"/>
              <w:rPr>
                <w:color w:val="000000"/>
                <w:sz w:val="20"/>
                <w:szCs w:val="20"/>
              </w:rPr>
            </w:pPr>
            <w:r w:rsidRPr="007C51D6">
              <w:rPr>
                <w:color w:val="000000"/>
                <w:sz w:val="20"/>
                <w:szCs w:val="20"/>
              </w:rPr>
              <w:lastRenderedPageBreak/>
              <w:t>1</w:t>
            </w:r>
          </w:p>
        </w:tc>
        <w:tc>
          <w:tcPr>
            <w:tcW w:w="1275" w:type="dxa"/>
            <w:shd w:val="clear" w:color="auto" w:fill="auto"/>
          </w:tcPr>
          <w:p w:rsidR="008973C4" w:rsidRPr="007C51D6" w:rsidRDefault="008973C4" w:rsidP="008973C4">
            <w:pPr>
              <w:autoSpaceDE/>
              <w:autoSpaceDN/>
              <w:adjustRightInd/>
              <w:jc w:val="center"/>
              <w:rPr>
                <w:color w:val="000000"/>
                <w:sz w:val="20"/>
                <w:szCs w:val="20"/>
              </w:rPr>
            </w:pPr>
            <w:r w:rsidRPr="007C51D6">
              <w:rPr>
                <w:color w:val="000000"/>
                <w:sz w:val="20"/>
                <w:szCs w:val="20"/>
              </w:rPr>
              <w:t>2</w:t>
            </w:r>
          </w:p>
        </w:tc>
        <w:tc>
          <w:tcPr>
            <w:tcW w:w="1162" w:type="dxa"/>
            <w:shd w:val="clear" w:color="auto" w:fill="auto"/>
          </w:tcPr>
          <w:p w:rsidR="008973C4" w:rsidRPr="007C51D6" w:rsidRDefault="008973C4" w:rsidP="008973C4">
            <w:pPr>
              <w:autoSpaceDE/>
              <w:autoSpaceDN/>
              <w:adjustRightInd/>
              <w:jc w:val="center"/>
              <w:rPr>
                <w:color w:val="000000"/>
                <w:sz w:val="20"/>
                <w:szCs w:val="20"/>
              </w:rPr>
            </w:pPr>
            <w:r w:rsidRPr="007C51D6">
              <w:rPr>
                <w:color w:val="000000"/>
                <w:sz w:val="20"/>
                <w:szCs w:val="20"/>
              </w:rPr>
              <w:t>3</w:t>
            </w:r>
          </w:p>
        </w:tc>
        <w:tc>
          <w:tcPr>
            <w:tcW w:w="1163" w:type="dxa"/>
            <w:shd w:val="clear" w:color="auto" w:fill="auto"/>
          </w:tcPr>
          <w:p w:rsidR="008973C4" w:rsidRPr="007C51D6" w:rsidRDefault="008973C4" w:rsidP="008973C4">
            <w:pPr>
              <w:autoSpaceDE/>
              <w:autoSpaceDN/>
              <w:adjustRightInd/>
              <w:jc w:val="center"/>
              <w:rPr>
                <w:color w:val="000000"/>
                <w:sz w:val="20"/>
                <w:szCs w:val="20"/>
              </w:rPr>
            </w:pPr>
            <w:r w:rsidRPr="007C51D6">
              <w:rPr>
                <w:color w:val="000000"/>
                <w:sz w:val="20"/>
                <w:szCs w:val="20"/>
              </w:rPr>
              <w:t>4</w:t>
            </w:r>
          </w:p>
        </w:tc>
        <w:tc>
          <w:tcPr>
            <w:tcW w:w="1162" w:type="dxa"/>
            <w:shd w:val="clear" w:color="auto" w:fill="auto"/>
          </w:tcPr>
          <w:p w:rsidR="008973C4" w:rsidRPr="007C51D6" w:rsidRDefault="008973C4" w:rsidP="008973C4">
            <w:pPr>
              <w:autoSpaceDE/>
              <w:autoSpaceDN/>
              <w:adjustRightInd/>
              <w:jc w:val="center"/>
              <w:rPr>
                <w:color w:val="000000"/>
                <w:sz w:val="20"/>
                <w:szCs w:val="20"/>
              </w:rPr>
            </w:pPr>
            <w:r w:rsidRPr="007C51D6">
              <w:rPr>
                <w:color w:val="000000"/>
                <w:sz w:val="20"/>
                <w:szCs w:val="20"/>
              </w:rPr>
              <w:t>5</w:t>
            </w:r>
          </w:p>
        </w:tc>
        <w:tc>
          <w:tcPr>
            <w:tcW w:w="1162" w:type="dxa"/>
            <w:shd w:val="clear" w:color="auto" w:fill="auto"/>
          </w:tcPr>
          <w:p w:rsidR="008973C4" w:rsidRPr="007C51D6" w:rsidRDefault="008973C4" w:rsidP="008973C4">
            <w:pPr>
              <w:autoSpaceDE/>
              <w:autoSpaceDN/>
              <w:adjustRightInd/>
              <w:jc w:val="center"/>
              <w:rPr>
                <w:color w:val="000000"/>
                <w:sz w:val="20"/>
                <w:szCs w:val="20"/>
              </w:rPr>
            </w:pPr>
            <w:r w:rsidRPr="007C51D6">
              <w:rPr>
                <w:color w:val="000000"/>
                <w:sz w:val="20"/>
                <w:szCs w:val="20"/>
              </w:rPr>
              <w:t>6</w:t>
            </w:r>
          </w:p>
        </w:tc>
        <w:tc>
          <w:tcPr>
            <w:tcW w:w="1163" w:type="dxa"/>
          </w:tcPr>
          <w:p w:rsidR="008973C4" w:rsidRPr="007C51D6" w:rsidRDefault="008973C4" w:rsidP="008973C4">
            <w:pPr>
              <w:autoSpaceDE/>
              <w:autoSpaceDN/>
              <w:adjustRightInd/>
              <w:jc w:val="center"/>
              <w:rPr>
                <w:color w:val="000000"/>
                <w:sz w:val="20"/>
                <w:szCs w:val="20"/>
              </w:rPr>
            </w:pPr>
            <w:r w:rsidRPr="007C51D6">
              <w:rPr>
                <w:color w:val="000000"/>
                <w:sz w:val="20"/>
                <w:szCs w:val="20"/>
              </w:rPr>
              <w:t>7</w:t>
            </w:r>
          </w:p>
        </w:tc>
        <w:tc>
          <w:tcPr>
            <w:tcW w:w="1162" w:type="dxa"/>
          </w:tcPr>
          <w:p w:rsidR="008973C4" w:rsidRPr="007C51D6" w:rsidRDefault="008973C4" w:rsidP="008973C4">
            <w:pPr>
              <w:autoSpaceDE/>
              <w:autoSpaceDN/>
              <w:adjustRightInd/>
              <w:jc w:val="center"/>
              <w:rPr>
                <w:color w:val="000000"/>
                <w:sz w:val="20"/>
                <w:szCs w:val="20"/>
              </w:rPr>
            </w:pPr>
            <w:r w:rsidRPr="007C51D6">
              <w:rPr>
                <w:color w:val="000000"/>
                <w:sz w:val="20"/>
                <w:szCs w:val="20"/>
              </w:rPr>
              <w:t>8</w:t>
            </w:r>
          </w:p>
        </w:tc>
        <w:tc>
          <w:tcPr>
            <w:tcW w:w="1219" w:type="dxa"/>
          </w:tcPr>
          <w:p w:rsidR="008973C4" w:rsidRPr="007C51D6" w:rsidRDefault="008973C4" w:rsidP="008973C4">
            <w:pPr>
              <w:autoSpaceDE/>
              <w:autoSpaceDN/>
              <w:adjustRightInd/>
              <w:jc w:val="center"/>
              <w:rPr>
                <w:color w:val="000000"/>
                <w:sz w:val="20"/>
                <w:szCs w:val="20"/>
              </w:rPr>
            </w:pPr>
            <w:r w:rsidRPr="007C51D6">
              <w:rPr>
                <w:color w:val="000000"/>
                <w:sz w:val="20"/>
                <w:szCs w:val="20"/>
              </w:rPr>
              <w:t>9</w:t>
            </w:r>
          </w:p>
        </w:tc>
        <w:tc>
          <w:tcPr>
            <w:tcW w:w="1305" w:type="dxa"/>
          </w:tcPr>
          <w:p w:rsidR="008973C4" w:rsidRPr="007C51D6" w:rsidRDefault="008973C4" w:rsidP="008973C4">
            <w:pPr>
              <w:autoSpaceDE/>
              <w:autoSpaceDN/>
              <w:adjustRightInd/>
              <w:jc w:val="center"/>
              <w:rPr>
                <w:color w:val="000000"/>
                <w:sz w:val="20"/>
                <w:szCs w:val="20"/>
              </w:rPr>
            </w:pPr>
            <w:r w:rsidRPr="007C51D6">
              <w:rPr>
                <w:color w:val="000000"/>
                <w:sz w:val="20"/>
                <w:szCs w:val="20"/>
              </w:rPr>
              <w:t>10</w:t>
            </w:r>
          </w:p>
        </w:tc>
        <w:tc>
          <w:tcPr>
            <w:tcW w:w="1305" w:type="dxa"/>
          </w:tcPr>
          <w:p w:rsidR="008973C4" w:rsidRPr="007C51D6" w:rsidRDefault="008973C4" w:rsidP="008973C4">
            <w:pPr>
              <w:autoSpaceDE/>
              <w:autoSpaceDN/>
              <w:adjustRightInd/>
              <w:jc w:val="center"/>
              <w:rPr>
                <w:color w:val="000000"/>
                <w:sz w:val="20"/>
                <w:szCs w:val="20"/>
              </w:rPr>
            </w:pPr>
            <w:r w:rsidRPr="007C51D6">
              <w:rPr>
                <w:color w:val="000000"/>
                <w:sz w:val="20"/>
                <w:szCs w:val="20"/>
              </w:rPr>
              <w:t>11</w:t>
            </w:r>
          </w:p>
        </w:tc>
      </w:tr>
      <w:tr w:rsidR="008973C4" w:rsidRPr="007C51D6" w:rsidTr="00080BEF">
        <w:trPr>
          <w:trHeight w:val="20"/>
        </w:trPr>
        <w:tc>
          <w:tcPr>
            <w:tcW w:w="3114" w:type="dxa"/>
            <w:shd w:val="clear" w:color="auto" w:fill="auto"/>
            <w:hideMark/>
          </w:tcPr>
          <w:p w:rsidR="008973C4" w:rsidRPr="007C51D6" w:rsidRDefault="008973C4" w:rsidP="008973C4">
            <w:pPr>
              <w:autoSpaceDE/>
              <w:autoSpaceDN/>
              <w:adjustRightInd/>
              <w:rPr>
                <w:color w:val="000000"/>
                <w:sz w:val="20"/>
                <w:szCs w:val="20"/>
              </w:rPr>
            </w:pPr>
            <w:r w:rsidRPr="007C51D6">
              <w:rPr>
                <w:color w:val="000000"/>
                <w:sz w:val="20"/>
                <w:szCs w:val="20"/>
              </w:rPr>
              <w:t>Мамадышский</w:t>
            </w:r>
          </w:p>
        </w:tc>
        <w:tc>
          <w:tcPr>
            <w:tcW w:w="1275" w:type="dxa"/>
            <w:shd w:val="clear" w:color="auto" w:fill="auto"/>
            <w:vAlign w:val="center"/>
          </w:tcPr>
          <w:p w:rsidR="008973C4" w:rsidRPr="007C51D6" w:rsidRDefault="008973C4" w:rsidP="008973C4">
            <w:pPr>
              <w:jc w:val="center"/>
              <w:rPr>
                <w:color w:val="000000"/>
                <w:sz w:val="20"/>
                <w:szCs w:val="20"/>
              </w:rPr>
            </w:pPr>
            <w:r w:rsidRPr="007C51D6">
              <w:rPr>
                <w:color w:val="000000"/>
                <w:sz w:val="20"/>
                <w:szCs w:val="20"/>
              </w:rPr>
              <w:t>793</w:t>
            </w:r>
          </w:p>
        </w:tc>
        <w:tc>
          <w:tcPr>
            <w:tcW w:w="1162" w:type="dxa"/>
            <w:shd w:val="clear" w:color="auto" w:fill="auto"/>
            <w:vAlign w:val="center"/>
          </w:tcPr>
          <w:p w:rsidR="008973C4" w:rsidRPr="007C51D6" w:rsidRDefault="008973C4" w:rsidP="008973C4">
            <w:pPr>
              <w:jc w:val="center"/>
              <w:rPr>
                <w:color w:val="000000"/>
                <w:sz w:val="20"/>
                <w:szCs w:val="20"/>
              </w:rPr>
            </w:pPr>
            <w:r w:rsidRPr="007C51D6">
              <w:rPr>
                <w:color w:val="000000"/>
                <w:sz w:val="20"/>
                <w:szCs w:val="20"/>
              </w:rPr>
              <w:t>848</w:t>
            </w:r>
          </w:p>
        </w:tc>
        <w:tc>
          <w:tcPr>
            <w:tcW w:w="1163" w:type="dxa"/>
            <w:shd w:val="clear" w:color="auto" w:fill="auto"/>
            <w:vAlign w:val="center"/>
          </w:tcPr>
          <w:p w:rsidR="008973C4" w:rsidRPr="007C51D6" w:rsidRDefault="008973C4" w:rsidP="008973C4">
            <w:pPr>
              <w:jc w:val="center"/>
              <w:rPr>
                <w:color w:val="000000"/>
                <w:sz w:val="20"/>
                <w:szCs w:val="20"/>
              </w:rPr>
            </w:pPr>
            <w:r w:rsidRPr="007C51D6">
              <w:rPr>
                <w:color w:val="000000"/>
                <w:sz w:val="20"/>
                <w:szCs w:val="20"/>
              </w:rPr>
              <w:t>869</w:t>
            </w:r>
          </w:p>
        </w:tc>
        <w:tc>
          <w:tcPr>
            <w:tcW w:w="1162" w:type="dxa"/>
            <w:shd w:val="clear" w:color="auto" w:fill="auto"/>
            <w:vAlign w:val="center"/>
          </w:tcPr>
          <w:p w:rsidR="008973C4" w:rsidRPr="007C51D6" w:rsidRDefault="008973C4" w:rsidP="008973C4">
            <w:pPr>
              <w:jc w:val="center"/>
              <w:rPr>
                <w:color w:val="000000"/>
                <w:sz w:val="20"/>
                <w:szCs w:val="20"/>
              </w:rPr>
            </w:pPr>
            <w:r w:rsidRPr="007C51D6">
              <w:rPr>
                <w:color w:val="000000"/>
                <w:sz w:val="20"/>
                <w:szCs w:val="20"/>
              </w:rPr>
              <w:t>896</w:t>
            </w:r>
          </w:p>
        </w:tc>
        <w:tc>
          <w:tcPr>
            <w:tcW w:w="1162" w:type="dxa"/>
            <w:shd w:val="clear" w:color="auto" w:fill="auto"/>
            <w:vAlign w:val="center"/>
          </w:tcPr>
          <w:p w:rsidR="008973C4" w:rsidRPr="007C51D6" w:rsidRDefault="008973C4" w:rsidP="008973C4">
            <w:pPr>
              <w:jc w:val="center"/>
              <w:rPr>
                <w:color w:val="000000"/>
                <w:sz w:val="20"/>
                <w:szCs w:val="20"/>
              </w:rPr>
            </w:pPr>
            <w:r w:rsidRPr="007C51D6">
              <w:rPr>
                <w:color w:val="000000"/>
                <w:sz w:val="20"/>
                <w:szCs w:val="20"/>
              </w:rPr>
              <w:t>905</w:t>
            </w:r>
          </w:p>
        </w:tc>
        <w:tc>
          <w:tcPr>
            <w:tcW w:w="1163" w:type="dxa"/>
            <w:vAlign w:val="center"/>
          </w:tcPr>
          <w:p w:rsidR="008973C4" w:rsidRPr="007C51D6" w:rsidRDefault="008973C4" w:rsidP="008973C4">
            <w:pPr>
              <w:jc w:val="center"/>
              <w:rPr>
                <w:color w:val="000000"/>
                <w:sz w:val="20"/>
                <w:szCs w:val="20"/>
              </w:rPr>
            </w:pPr>
            <w:r w:rsidRPr="007C51D6">
              <w:rPr>
                <w:color w:val="000000"/>
                <w:sz w:val="20"/>
                <w:szCs w:val="20"/>
              </w:rPr>
              <w:t>913</w:t>
            </w:r>
          </w:p>
        </w:tc>
        <w:tc>
          <w:tcPr>
            <w:tcW w:w="1162" w:type="dxa"/>
            <w:vAlign w:val="center"/>
          </w:tcPr>
          <w:p w:rsidR="008973C4" w:rsidRPr="007C51D6" w:rsidRDefault="008973C4" w:rsidP="008973C4">
            <w:pPr>
              <w:jc w:val="center"/>
              <w:rPr>
                <w:color w:val="000000"/>
                <w:sz w:val="20"/>
                <w:szCs w:val="20"/>
              </w:rPr>
            </w:pPr>
            <w:r w:rsidRPr="007C51D6">
              <w:rPr>
                <w:color w:val="000000"/>
                <w:sz w:val="20"/>
                <w:szCs w:val="20"/>
              </w:rPr>
              <w:t>951</w:t>
            </w:r>
          </w:p>
        </w:tc>
        <w:tc>
          <w:tcPr>
            <w:tcW w:w="1219" w:type="dxa"/>
            <w:vAlign w:val="center"/>
          </w:tcPr>
          <w:p w:rsidR="008973C4" w:rsidRPr="007C51D6" w:rsidRDefault="008973C4" w:rsidP="008973C4">
            <w:pPr>
              <w:jc w:val="center"/>
              <w:rPr>
                <w:color w:val="000000"/>
                <w:sz w:val="20"/>
                <w:szCs w:val="20"/>
              </w:rPr>
            </w:pPr>
            <w:r w:rsidRPr="007C51D6">
              <w:rPr>
                <w:color w:val="000000"/>
                <w:sz w:val="20"/>
                <w:szCs w:val="20"/>
              </w:rPr>
              <w:t>1012</w:t>
            </w:r>
          </w:p>
        </w:tc>
        <w:tc>
          <w:tcPr>
            <w:tcW w:w="1305" w:type="dxa"/>
            <w:vAlign w:val="center"/>
          </w:tcPr>
          <w:p w:rsidR="008973C4" w:rsidRPr="007C51D6" w:rsidRDefault="008973C4" w:rsidP="008973C4">
            <w:pPr>
              <w:jc w:val="center"/>
              <w:rPr>
                <w:color w:val="000000"/>
                <w:sz w:val="20"/>
                <w:szCs w:val="20"/>
              </w:rPr>
            </w:pPr>
            <w:r w:rsidRPr="007C51D6">
              <w:rPr>
                <w:color w:val="000000"/>
                <w:sz w:val="20"/>
                <w:szCs w:val="20"/>
              </w:rPr>
              <w:t>1083</w:t>
            </w:r>
          </w:p>
        </w:tc>
        <w:tc>
          <w:tcPr>
            <w:tcW w:w="1305" w:type="dxa"/>
            <w:vAlign w:val="center"/>
          </w:tcPr>
          <w:p w:rsidR="008973C4" w:rsidRPr="007C51D6" w:rsidRDefault="008973C4" w:rsidP="008973C4">
            <w:pPr>
              <w:jc w:val="center"/>
              <w:rPr>
                <w:color w:val="000000"/>
                <w:sz w:val="20"/>
                <w:szCs w:val="20"/>
              </w:rPr>
            </w:pPr>
            <w:r w:rsidRPr="007C51D6">
              <w:rPr>
                <w:color w:val="000000"/>
                <w:sz w:val="20"/>
                <w:szCs w:val="20"/>
              </w:rPr>
              <w:t>1143</w:t>
            </w:r>
          </w:p>
        </w:tc>
      </w:tr>
      <w:tr w:rsidR="008973C4" w:rsidRPr="007C51D6" w:rsidTr="00080BEF">
        <w:trPr>
          <w:trHeight w:val="20"/>
        </w:trPr>
        <w:tc>
          <w:tcPr>
            <w:tcW w:w="3114" w:type="dxa"/>
            <w:shd w:val="clear" w:color="auto" w:fill="auto"/>
            <w:hideMark/>
          </w:tcPr>
          <w:p w:rsidR="008973C4" w:rsidRPr="007C51D6" w:rsidRDefault="008973C4" w:rsidP="008973C4">
            <w:pPr>
              <w:autoSpaceDE/>
              <w:autoSpaceDN/>
              <w:adjustRightInd/>
              <w:rPr>
                <w:color w:val="000000"/>
                <w:sz w:val="20"/>
                <w:szCs w:val="20"/>
              </w:rPr>
            </w:pPr>
            <w:r w:rsidRPr="007C51D6">
              <w:rPr>
                <w:color w:val="000000"/>
                <w:sz w:val="20"/>
                <w:szCs w:val="20"/>
              </w:rPr>
              <w:t>Менделеевский</w:t>
            </w:r>
          </w:p>
        </w:tc>
        <w:tc>
          <w:tcPr>
            <w:tcW w:w="1275" w:type="dxa"/>
            <w:shd w:val="clear" w:color="auto" w:fill="auto"/>
            <w:vAlign w:val="center"/>
          </w:tcPr>
          <w:p w:rsidR="008973C4" w:rsidRPr="007C51D6" w:rsidRDefault="008973C4" w:rsidP="008973C4">
            <w:pPr>
              <w:jc w:val="center"/>
              <w:rPr>
                <w:color w:val="000000"/>
                <w:sz w:val="20"/>
                <w:szCs w:val="20"/>
              </w:rPr>
            </w:pPr>
            <w:r w:rsidRPr="007C51D6">
              <w:rPr>
                <w:color w:val="000000"/>
                <w:sz w:val="20"/>
                <w:szCs w:val="20"/>
              </w:rPr>
              <w:t>593</w:t>
            </w:r>
          </w:p>
        </w:tc>
        <w:tc>
          <w:tcPr>
            <w:tcW w:w="1162" w:type="dxa"/>
            <w:shd w:val="clear" w:color="auto" w:fill="auto"/>
            <w:vAlign w:val="center"/>
          </w:tcPr>
          <w:p w:rsidR="008973C4" w:rsidRPr="007C51D6" w:rsidRDefault="008973C4" w:rsidP="008973C4">
            <w:pPr>
              <w:jc w:val="center"/>
              <w:rPr>
                <w:color w:val="000000"/>
                <w:sz w:val="20"/>
                <w:szCs w:val="20"/>
              </w:rPr>
            </w:pPr>
            <w:r w:rsidRPr="007C51D6">
              <w:rPr>
                <w:color w:val="000000"/>
                <w:sz w:val="20"/>
                <w:szCs w:val="20"/>
              </w:rPr>
              <w:t>637</w:t>
            </w:r>
          </w:p>
        </w:tc>
        <w:tc>
          <w:tcPr>
            <w:tcW w:w="1163" w:type="dxa"/>
            <w:shd w:val="clear" w:color="auto" w:fill="auto"/>
            <w:vAlign w:val="center"/>
          </w:tcPr>
          <w:p w:rsidR="008973C4" w:rsidRPr="007C51D6" w:rsidRDefault="008973C4" w:rsidP="008973C4">
            <w:pPr>
              <w:jc w:val="center"/>
              <w:rPr>
                <w:color w:val="000000"/>
                <w:sz w:val="20"/>
                <w:szCs w:val="20"/>
              </w:rPr>
            </w:pPr>
            <w:r w:rsidRPr="007C51D6">
              <w:rPr>
                <w:color w:val="000000"/>
                <w:sz w:val="20"/>
                <w:szCs w:val="20"/>
              </w:rPr>
              <w:t>668</w:t>
            </w:r>
          </w:p>
        </w:tc>
        <w:tc>
          <w:tcPr>
            <w:tcW w:w="1162" w:type="dxa"/>
            <w:shd w:val="clear" w:color="auto" w:fill="auto"/>
            <w:vAlign w:val="center"/>
          </w:tcPr>
          <w:p w:rsidR="008973C4" w:rsidRPr="007C51D6" w:rsidRDefault="008973C4" w:rsidP="008973C4">
            <w:pPr>
              <w:jc w:val="center"/>
              <w:rPr>
                <w:color w:val="000000"/>
                <w:sz w:val="20"/>
                <w:szCs w:val="20"/>
              </w:rPr>
            </w:pPr>
            <w:r w:rsidRPr="007C51D6">
              <w:rPr>
                <w:color w:val="000000"/>
                <w:sz w:val="20"/>
                <w:szCs w:val="20"/>
              </w:rPr>
              <w:t>710</w:t>
            </w:r>
          </w:p>
        </w:tc>
        <w:tc>
          <w:tcPr>
            <w:tcW w:w="1162" w:type="dxa"/>
            <w:shd w:val="clear" w:color="auto" w:fill="auto"/>
            <w:vAlign w:val="center"/>
          </w:tcPr>
          <w:p w:rsidR="008973C4" w:rsidRPr="007C51D6" w:rsidRDefault="008973C4" w:rsidP="008973C4">
            <w:pPr>
              <w:jc w:val="center"/>
              <w:rPr>
                <w:color w:val="000000"/>
                <w:sz w:val="20"/>
                <w:szCs w:val="20"/>
              </w:rPr>
            </w:pPr>
            <w:r w:rsidRPr="007C51D6">
              <w:rPr>
                <w:color w:val="000000"/>
                <w:sz w:val="20"/>
                <w:szCs w:val="20"/>
              </w:rPr>
              <w:t>660</w:t>
            </w:r>
          </w:p>
        </w:tc>
        <w:tc>
          <w:tcPr>
            <w:tcW w:w="1163" w:type="dxa"/>
            <w:vAlign w:val="center"/>
          </w:tcPr>
          <w:p w:rsidR="008973C4" w:rsidRPr="007C51D6" w:rsidRDefault="008973C4" w:rsidP="008973C4">
            <w:pPr>
              <w:jc w:val="center"/>
              <w:rPr>
                <w:color w:val="000000"/>
                <w:sz w:val="20"/>
                <w:szCs w:val="20"/>
              </w:rPr>
            </w:pPr>
            <w:r w:rsidRPr="007C51D6">
              <w:rPr>
                <w:color w:val="000000"/>
                <w:sz w:val="20"/>
                <w:szCs w:val="20"/>
              </w:rPr>
              <w:t>667</w:t>
            </w:r>
          </w:p>
        </w:tc>
        <w:tc>
          <w:tcPr>
            <w:tcW w:w="1162" w:type="dxa"/>
            <w:vAlign w:val="center"/>
          </w:tcPr>
          <w:p w:rsidR="008973C4" w:rsidRPr="007C51D6" w:rsidRDefault="008973C4" w:rsidP="008973C4">
            <w:pPr>
              <w:jc w:val="center"/>
              <w:rPr>
                <w:color w:val="000000"/>
                <w:sz w:val="20"/>
                <w:szCs w:val="20"/>
              </w:rPr>
            </w:pPr>
            <w:r w:rsidRPr="007C51D6">
              <w:rPr>
                <w:color w:val="000000"/>
                <w:sz w:val="20"/>
                <w:szCs w:val="20"/>
              </w:rPr>
              <w:t>692</w:t>
            </w:r>
          </w:p>
        </w:tc>
        <w:tc>
          <w:tcPr>
            <w:tcW w:w="1219" w:type="dxa"/>
            <w:vAlign w:val="center"/>
          </w:tcPr>
          <w:p w:rsidR="008973C4" w:rsidRPr="007C51D6" w:rsidRDefault="008973C4" w:rsidP="008973C4">
            <w:pPr>
              <w:jc w:val="center"/>
              <w:rPr>
                <w:color w:val="000000"/>
                <w:sz w:val="20"/>
                <w:szCs w:val="20"/>
              </w:rPr>
            </w:pPr>
            <w:r w:rsidRPr="007C51D6">
              <w:rPr>
                <w:color w:val="000000"/>
                <w:sz w:val="20"/>
                <w:szCs w:val="20"/>
              </w:rPr>
              <w:t>733</w:t>
            </w:r>
          </w:p>
        </w:tc>
        <w:tc>
          <w:tcPr>
            <w:tcW w:w="1305" w:type="dxa"/>
            <w:vAlign w:val="center"/>
          </w:tcPr>
          <w:p w:rsidR="008973C4" w:rsidRPr="007C51D6" w:rsidRDefault="008973C4" w:rsidP="008973C4">
            <w:pPr>
              <w:jc w:val="center"/>
              <w:rPr>
                <w:color w:val="000000"/>
                <w:sz w:val="20"/>
                <w:szCs w:val="20"/>
              </w:rPr>
            </w:pPr>
            <w:r w:rsidRPr="007C51D6">
              <w:rPr>
                <w:color w:val="000000"/>
                <w:sz w:val="20"/>
                <w:szCs w:val="20"/>
              </w:rPr>
              <w:t>750</w:t>
            </w:r>
          </w:p>
        </w:tc>
        <w:tc>
          <w:tcPr>
            <w:tcW w:w="1305" w:type="dxa"/>
            <w:vAlign w:val="center"/>
          </w:tcPr>
          <w:p w:rsidR="008973C4" w:rsidRPr="007C51D6" w:rsidRDefault="008973C4" w:rsidP="008973C4">
            <w:pPr>
              <w:jc w:val="center"/>
              <w:rPr>
                <w:color w:val="000000"/>
                <w:sz w:val="20"/>
                <w:szCs w:val="20"/>
              </w:rPr>
            </w:pPr>
            <w:r w:rsidRPr="007C51D6">
              <w:rPr>
                <w:color w:val="000000"/>
                <w:sz w:val="20"/>
                <w:szCs w:val="20"/>
              </w:rPr>
              <w:t>746</w:t>
            </w:r>
          </w:p>
        </w:tc>
      </w:tr>
      <w:tr w:rsidR="008973C4" w:rsidRPr="007C51D6" w:rsidTr="00080BEF">
        <w:trPr>
          <w:trHeight w:val="20"/>
        </w:trPr>
        <w:tc>
          <w:tcPr>
            <w:tcW w:w="3114" w:type="dxa"/>
            <w:shd w:val="clear" w:color="auto" w:fill="auto"/>
            <w:hideMark/>
          </w:tcPr>
          <w:p w:rsidR="008973C4" w:rsidRPr="007C51D6" w:rsidRDefault="008973C4" w:rsidP="008973C4">
            <w:pPr>
              <w:autoSpaceDE/>
              <w:autoSpaceDN/>
              <w:adjustRightInd/>
              <w:rPr>
                <w:color w:val="000000"/>
                <w:sz w:val="20"/>
                <w:szCs w:val="20"/>
              </w:rPr>
            </w:pPr>
            <w:r w:rsidRPr="007C51D6">
              <w:rPr>
                <w:color w:val="000000"/>
                <w:sz w:val="20"/>
                <w:szCs w:val="20"/>
              </w:rPr>
              <w:t>Мензелинский</w:t>
            </w:r>
          </w:p>
        </w:tc>
        <w:tc>
          <w:tcPr>
            <w:tcW w:w="1275" w:type="dxa"/>
            <w:shd w:val="clear" w:color="auto" w:fill="auto"/>
            <w:vAlign w:val="center"/>
          </w:tcPr>
          <w:p w:rsidR="008973C4" w:rsidRPr="007C51D6" w:rsidRDefault="008973C4" w:rsidP="008973C4">
            <w:pPr>
              <w:jc w:val="center"/>
              <w:rPr>
                <w:color w:val="000000"/>
                <w:sz w:val="20"/>
                <w:szCs w:val="20"/>
              </w:rPr>
            </w:pPr>
            <w:r w:rsidRPr="007C51D6">
              <w:rPr>
                <w:color w:val="000000"/>
                <w:sz w:val="20"/>
                <w:szCs w:val="20"/>
              </w:rPr>
              <w:t>666</w:t>
            </w:r>
          </w:p>
        </w:tc>
        <w:tc>
          <w:tcPr>
            <w:tcW w:w="1162" w:type="dxa"/>
            <w:shd w:val="clear" w:color="auto" w:fill="auto"/>
            <w:vAlign w:val="center"/>
          </w:tcPr>
          <w:p w:rsidR="008973C4" w:rsidRPr="007C51D6" w:rsidRDefault="008973C4" w:rsidP="008973C4">
            <w:pPr>
              <w:jc w:val="center"/>
              <w:rPr>
                <w:color w:val="000000"/>
                <w:sz w:val="20"/>
                <w:szCs w:val="20"/>
              </w:rPr>
            </w:pPr>
            <w:r w:rsidRPr="007C51D6">
              <w:rPr>
                <w:color w:val="000000"/>
                <w:sz w:val="20"/>
                <w:szCs w:val="20"/>
              </w:rPr>
              <w:t>718</w:t>
            </w:r>
          </w:p>
        </w:tc>
        <w:tc>
          <w:tcPr>
            <w:tcW w:w="1163" w:type="dxa"/>
            <w:shd w:val="clear" w:color="auto" w:fill="auto"/>
            <w:vAlign w:val="center"/>
          </w:tcPr>
          <w:p w:rsidR="008973C4" w:rsidRPr="007C51D6" w:rsidRDefault="008973C4" w:rsidP="008973C4">
            <w:pPr>
              <w:jc w:val="center"/>
              <w:rPr>
                <w:color w:val="000000"/>
                <w:sz w:val="20"/>
                <w:szCs w:val="20"/>
              </w:rPr>
            </w:pPr>
            <w:r w:rsidRPr="007C51D6">
              <w:rPr>
                <w:color w:val="000000"/>
                <w:sz w:val="20"/>
                <w:szCs w:val="20"/>
              </w:rPr>
              <w:t>755</w:t>
            </w:r>
          </w:p>
        </w:tc>
        <w:tc>
          <w:tcPr>
            <w:tcW w:w="1162" w:type="dxa"/>
            <w:shd w:val="clear" w:color="auto" w:fill="auto"/>
            <w:vAlign w:val="center"/>
          </w:tcPr>
          <w:p w:rsidR="008973C4" w:rsidRPr="007C51D6" w:rsidRDefault="008973C4" w:rsidP="008973C4">
            <w:pPr>
              <w:jc w:val="center"/>
              <w:rPr>
                <w:color w:val="000000"/>
                <w:sz w:val="20"/>
                <w:szCs w:val="20"/>
              </w:rPr>
            </w:pPr>
            <w:r w:rsidRPr="007C51D6">
              <w:rPr>
                <w:color w:val="000000"/>
                <w:sz w:val="20"/>
                <w:szCs w:val="20"/>
              </w:rPr>
              <w:t>784</w:t>
            </w:r>
          </w:p>
        </w:tc>
        <w:tc>
          <w:tcPr>
            <w:tcW w:w="1162" w:type="dxa"/>
            <w:shd w:val="clear" w:color="auto" w:fill="auto"/>
            <w:vAlign w:val="center"/>
          </w:tcPr>
          <w:p w:rsidR="008973C4" w:rsidRPr="007C51D6" w:rsidRDefault="008973C4" w:rsidP="008973C4">
            <w:pPr>
              <w:jc w:val="center"/>
              <w:rPr>
                <w:color w:val="000000"/>
                <w:sz w:val="20"/>
                <w:szCs w:val="20"/>
              </w:rPr>
            </w:pPr>
            <w:r w:rsidRPr="007C51D6">
              <w:rPr>
                <w:color w:val="000000"/>
                <w:sz w:val="20"/>
                <w:szCs w:val="20"/>
              </w:rPr>
              <w:t>758</w:t>
            </w:r>
          </w:p>
        </w:tc>
        <w:tc>
          <w:tcPr>
            <w:tcW w:w="1163" w:type="dxa"/>
            <w:vAlign w:val="center"/>
          </w:tcPr>
          <w:p w:rsidR="008973C4" w:rsidRPr="007C51D6" w:rsidRDefault="008973C4" w:rsidP="008973C4">
            <w:pPr>
              <w:jc w:val="center"/>
              <w:rPr>
                <w:color w:val="000000"/>
                <w:sz w:val="20"/>
                <w:szCs w:val="20"/>
              </w:rPr>
            </w:pPr>
            <w:r w:rsidRPr="007C51D6">
              <w:rPr>
                <w:color w:val="000000"/>
                <w:sz w:val="20"/>
                <w:szCs w:val="20"/>
              </w:rPr>
              <w:t>758</w:t>
            </w:r>
          </w:p>
        </w:tc>
        <w:tc>
          <w:tcPr>
            <w:tcW w:w="1162" w:type="dxa"/>
            <w:vAlign w:val="center"/>
          </w:tcPr>
          <w:p w:rsidR="008973C4" w:rsidRPr="007C51D6" w:rsidRDefault="008973C4" w:rsidP="008973C4">
            <w:pPr>
              <w:jc w:val="center"/>
              <w:rPr>
                <w:color w:val="000000"/>
                <w:sz w:val="20"/>
                <w:szCs w:val="20"/>
              </w:rPr>
            </w:pPr>
            <w:r w:rsidRPr="007C51D6">
              <w:rPr>
                <w:color w:val="000000"/>
                <w:sz w:val="20"/>
                <w:szCs w:val="20"/>
              </w:rPr>
              <w:t>752</w:t>
            </w:r>
          </w:p>
        </w:tc>
        <w:tc>
          <w:tcPr>
            <w:tcW w:w="1219" w:type="dxa"/>
            <w:vAlign w:val="center"/>
          </w:tcPr>
          <w:p w:rsidR="008973C4" w:rsidRPr="007C51D6" w:rsidRDefault="008973C4" w:rsidP="008973C4">
            <w:pPr>
              <w:jc w:val="center"/>
              <w:rPr>
                <w:color w:val="000000"/>
                <w:sz w:val="20"/>
                <w:szCs w:val="20"/>
              </w:rPr>
            </w:pPr>
            <w:r w:rsidRPr="007C51D6">
              <w:rPr>
                <w:color w:val="000000"/>
                <w:sz w:val="20"/>
                <w:szCs w:val="20"/>
              </w:rPr>
              <w:t>784</w:t>
            </w:r>
          </w:p>
        </w:tc>
        <w:tc>
          <w:tcPr>
            <w:tcW w:w="1305" w:type="dxa"/>
            <w:vAlign w:val="center"/>
          </w:tcPr>
          <w:p w:rsidR="008973C4" w:rsidRPr="007C51D6" w:rsidRDefault="008973C4" w:rsidP="008973C4">
            <w:pPr>
              <w:jc w:val="center"/>
              <w:rPr>
                <w:color w:val="000000"/>
                <w:sz w:val="20"/>
                <w:szCs w:val="20"/>
              </w:rPr>
            </w:pPr>
            <w:r w:rsidRPr="007C51D6">
              <w:rPr>
                <w:color w:val="000000"/>
                <w:sz w:val="20"/>
                <w:szCs w:val="20"/>
              </w:rPr>
              <w:t>844</w:t>
            </w:r>
          </w:p>
        </w:tc>
        <w:tc>
          <w:tcPr>
            <w:tcW w:w="1305" w:type="dxa"/>
            <w:vAlign w:val="center"/>
          </w:tcPr>
          <w:p w:rsidR="008973C4" w:rsidRPr="007C51D6" w:rsidRDefault="008973C4" w:rsidP="008973C4">
            <w:pPr>
              <w:jc w:val="center"/>
              <w:rPr>
                <w:color w:val="000000"/>
                <w:sz w:val="20"/>
                <w:szCs w:val="20"/>
              </w:rPr>
            </w:pPr>
            <w:r w:rsidRPr="007C51D6">
              <w:rPr>
                <w:color w:val="000000"/>
                <w:sz w:val="20"/>
                <w:szCs w:val="20"/>
              </w:rPr>
              <w:t>832</w:t>
            </w:r>
          </w:p>
        </w:tc>
      </w:tr>
      <w:tr w:rsidR="008973C4" w:rsidRPr="007C51D6" w:rsidTr="00080BEF">
        <w:trPr>
          <w:trHeight w:val="20"/>
        </w:trPr>
        <w:tc>
          <w:tcPr>
            <w:tcW w:w="3114" w:type="dxa"/>
            <w:shd w:val="clear" w:color="auto" w:fill="auto"/>
            <w:hideMark/>
          </w:tcPr>
          <w:p w:rsidR="008973C4" w:rsidRPr="007C51D6" w:rsidRDefault="008973C4" w:rsidP="008973C4">
            <w:pPr>
              <w:autoSpaceDE/>
              <w:autoSpaceDN/>
              <w:adjustRightInd/>
              <w:rPr>
                <w:color w:val="000000"/>
                <w:sz w:val="20"/>
                <w:szCs w:val="20"/>
              </w:rPr>
            </w:pPr>
            <w:r w:rsidRPr="007C51D6">
              <w:rPr>
                <w:color w:val="000000"/>
                <w:sz w:val="20"/>
                <w:szCs w:val="20"/>
              </w:rPr>
              <w:t>Муслюмовский</w:t>
            </w:r>
          </w:p>
        </w:tc>
        <w:tc>
          <w:tcPr>
            <w:tcW w:w="1275" w:type="dxa"/>
            <w:shd w:val="clear" w:color="auto" w:fill="auto"/>
            <w:vAlign w:val="center"/>
          </w:tcPr>
          <w:p w:rsidR="008973C4" w:rsidRPr="007C51D6" w:rsidRDefault="008973C4" w:rsidP="008973C4">
            <w:pPr>
              <w:jc w:val="center"/>
              <w:rPr>
                <w:color w:val="000000"/>
                <w:sz w:val="20"/>
                <w:szCs w:val="20"/>
              </w:rPr>
            </w:pPr>
            <w:r w:rsidRPr="007C51D6">
              <w:rPr>
                <w:color w:val="000000"/>
                <w:sz w:val="20"/>
                <w:szCs w:val="20"/>
              </w:rPr>
              <w:t>486</w:t>
            </w:r>
          </w:p>
        </w:tc>
        <w:tc>
          <w:tcPr>
            <w:tcW w:w="1162" w:type="dxa"/>
            <w:shd w:val="clear" w:color="auto" w:fill="auto"/>
            <w:vAlign w:val="center"/>
          </w:tcPr>
          <w:p w:rsidR="008973C4" w:rsidRPr="007C51D6" w:rsidRDefault="008973C4" w:rsidP="008973C4">
            <w:pPr>
              <w:jc w:val="center"/>
              <w:rPr>
                <w:color w:val="000000"/>
                <w:sz w:val="20"/>
                <w:szCs w:val="20"/>
              </w:rPr>
            </w:pPr>
            <w:r w:rsidRPr="007C51D6">
              <w:rPr>
                <w:color w:val="000000"/>
                <w:sz w:val="20"/>
                <w:szCs w:val="20"/>
              </w:rPr>
              <w:t>494</w:t>
            </w:r>
          </w:p>
        </w:tc>
        <w:tc>
          <w:tcPr>
            <w:tcW w:w="1163" w:type="dxa"/>
            <w:shd w:val="clear" w:color="auto" w:fill="auto"/>
            <w:vAlign w:val="center"/>
          </w:tcPr>
          <w:p w:rsidR="008973C4" w:rsidRPr="007C51D6" w:rsidRDefault="008973C4" w:rsidP="008973C4">
            <w:pPr>
              <w:jc w:val="center"/>
              <w:rPr>
                <w:color w:val="000000"/>
                <w:sz w:val="20"/>
                <w:szCs w:val="20"/>
              </w:rPr>
            </w:pPr>
            <w:r w:rsidRPr="007C51D6">
              <w:rPr>
                <w:color w:val="000000"/>
                <w:sz w:val="20"/>
                <w:szCs w:val="20"/>
              </w:rPr>
              <w:t>525</w:t>
            </w:r>
          </w:p>
        </w:tc>
        <w:tc>
          <w:tcPr>
            <w:tcW w:w="1162" w:type="dxa"/>
            <w:shd w:val="clear" w:color="auto" w:fill="auto"/>
            <w:vAlign w:val="center"/>
          </w:tcPr>
          <w:p w:rsidR="008973C4" w:rsidRPr="007C51D6" w:rsidRDefault="008973C4" w:rsidP="008973C4">
            <w:pPr>
              <w:jc w:val="center"/>
              <w:rPr>
                <w:color w:val="000000"/>
                <w:sz w:val="20"/>
                <w:szCs w:val="20"/>
              </w:rPr>
            </w:pPr>
            <w:r w:rsidRPr="007C51D6">
              <w:rPr>
                <w:color w:val="000000"/>
                <w:sz w:val="20"/>
                <w:szCs w:val="20"/>
              </w:rPr>
              <w:t>538</w:t>
            </w:r>
          </w:p>
        </w:tc>
        <w:tc>
          <w:tcPr>
            <w:tcW w:w="1162" w:type="dxa"/>
            <w:shd w:val="clear" w:color="auto" w:fill="auto"/>
            <w:vAlign w:val="center"/>
          </w:tcPr>
          <w:p w:rsidR="008973C4" w:rsidRPr="007C51D6" w:rsidRDefault="008973C4" w:rsidP="008973C4">
            <w:pPr>
              <w:jc w:val="center"/>
              <w:rPr>
                <w:color w:val="000000"/>
                <w:sz w:val="20"/>
                <w:szCs w:val="20"/>
              </w:rPr>
            </w:pPr>
            <w:r w:rsidRPr="007C51D6">
              <w:rPr>
                <w:color w:val="000000"/>
                <w:sz w:val="20"/>
                <w:szCs w:val="20"/>
              </w:rPr>
              <w:t>492</w:t>
            </w:r>
          </w:p>
        </w:tc>
        <w:tc>
          <w:tcPr>
            <w:tcW w:w="1163" w:type="dxa"/>
            <w:vAlign w:val="center"/>
          </w:tcPr>
          <w:p w:rsidR="008973C4" w:rsidRPr="007C51D6" w:rsidRDefault="008973C4" w:rsidP="008973C4">
            <w:pPr>
              <w:jc w:val="center"/>
              <w:rPr>
                <w:color w:val="000000"/>
                <w:sz w:val="20"/>
                <w:szCs w:val="20"/>
              </w:rPr>
            </w:pPr>
            <w:r w:rsidRPr="007C51D6">
              <w:rPr>
                <w:color w:val="000000"/>
                <w:sz w:val="20"/>
                <w:szCs w:val="20"/>
              </w:rPr>
              <w:t>482</w:t>
            </w:r>
          </w:p>
        </w:tc>
        <w:tc>
          <w:tcPr>
            <w:tcW w:w="1162" w:type="dxa"/>
            <w:vAlign w:val="center"/>
          </w:tcPr>
          <w:p w:rsidR="008973C4" w:rsidRPr="007C51D6" w:rsidRDefault="008973C4" w:rsidP="008973C4">
            <w:pPr>
              <w:jc w:val="center"/>
              <w:rPr>
                <w:color w:val="000000"/>
                <w:sz w:val="20"/>
                <w:szCs w:val="20"/>
              </w:rPr>
            </w:pPr>
            <w:r w:rsidRPr="007C51D6">
              <w:rPr>
                <w:color w:val="000000"/>
                <w:sz w:val="20"/>
                <w:szCs w:val="20"/>
              </w:rPr>
              <w:t>487</w:t>
            </w:r>
          </w:p>
        </w:tc>
        <w:tc>
          <w:tcPr>
            <w:tcW w:w="1219" w:type="dxa"/>
            <w:vAlign w:val="center"/>
          </w:tcPr>
          <w:p w:rsidR="008973C4" w:rsidRPr="007C51D6" w:rsidRDefault="008973C4" w:rsidP="008973C4">
            <w:pPr>
              <w:jc w:val="center"/>
              <w:rPr>
                <w:color w:val="000000"/>
                <w:sz w:val="20"/>
                <w:szCs w:val="20"/>
              </w:rPr>
            </w:pPr>
            <w:r w:rsidRPr="007C51D6">
              <w:rPr>
                <w:color w:val="000000"/>
                <w:sz w:val="20"/>
                <w:szCs w:val="20"/>
              </w:rPr>
              <w:t>524</w:t>
            </w:r>
          </w:p>
        </w:tc>
        <w:tc>
          <w:tcPr>
            <w:tcW w:w="1305" w:type="dxa"/>
            <w:vAlign w:val="center"/>
          </w:tcPr>
          <w:p w:rsidR="008973C4" w:rsidRPr="007C51D6" w:rsidRDefault="008973C4" w:rsidP="008973C4">
            <w:pPr>
              <w:jc w:val="center"/>
              <w:rPr>
                <w:color w:val="000000"/>
                <w:sz w:val="20"/>
                <w:szCs w:val="20"/>
              </w:rPr>
            </w:pPr>
            <w:r w:rsidRPr="007C51D6">
              <w:rPr>
                <w:color w:val="000000"/>
                <w:sz w:val="20"/>
                <w:szCs w:val="20"/>
              </w:rPr>
              <w:t>531</w:t>
            </w:r>
          </w:p>
        </w:tc>
        <w:tc>
          <w:tcPr>
            <w:tcW w:w="1305" w:type="dxa"/>
            <w:vAlign w:val="center"/>
          </w:tcPr>
          <w:p w:rsidR="008973C4" w:rsidRPr="007C51D6" w:rsidRDefault="008973C4" w:rsidP="008973C4">
            <w:pPr>
              <w:jc w:val="center"/>
              <w:rPr>
                <w:color w:val="000000"/>
                <w:sz w:val="20"/>
                <w:szCs w:val="20"/>
              </w:rPr>
            </w:pPr>
            <w:r w:rsidRPr="007C51D6">
              <w:rPr>
                <w:color w:val="000000"/>
                <w:sz w:val="20"/>
                <w:szCs w:val="20"/>
              </w:rPr>
              <w:t>575</w:t>
            </w:r>
          </w:p>
        </w:tc>
      </w:tr>
      <w:tr w:rsidR="008973C4" w:rsidRPr="007C51D6" w:rsidTr="00080BEF">
        <w:trPr>
          <w:trHeight w:val="20"/>
        </w:trPr>
        <w:tc>
          <w:tcPr>
            <w:tcW w:w="3114" w:type="dxa"/>
            <w:shd w:val="clear" w:color="auto" w:fill="auto"/>
            <w:hideMark/>
          </w:tcPr>
          <w:p w:rsidR="008973C4" w:rsidRPr="007C51D6" w:rsidRDefault="008973C4" w:rsidP="008973C4">
            <w:pPr>
              <w:autoSpaceDE/>
              <w:autoSpaceDN/>
              <w:adjustRightInd/>
              <w:rPr>
                <w:color w:val="000000"/>
                <w:sz w:val="20"/>
                <w:szCs w:val="20"/>
              </w:rPr>
            </w:pPr>
            <w:r w:rsidRPr="007C51D6">
              <w:rPr>
                <w:color w:val="000000"/>
                <w:sz w:val="20"/>
                <w:szCs w:val="20"/>
              </w:rPr>
              <w:t>Нижнекамский</w:t>
            </w:r>
          </w:p>
        </w:tc>
        <w:tc>
          <w:tcPr>
            <w:tcW w:w="1275" w:type="dxa"/>
            <w:shd w:val="clear" w:color="auto" w:fill="auto"/>
            <w:vAlign w:val="center"/>
          </w:tcPr>
          <w:p w:rsidR="008973C4" w:rsidRPr="007C51D6" w:rsidRDefault="008973C4" w:rsidP="008973C4">
            <w:pPr>
              <w:jc w:val="center"/>
              <w:rPr>
                <w:color w:val="000000"/>
                <w:sz w:val="20"/>
                <w:szCs w:val="20"/>
              </w:rPr>
            </w:pPr>
            <w:r w:rsidRPr="007C51D6">
              <w:rPr>
                <w:color w:val="000000"/>
                <w:sz w:val="20"/>
                <w:szCs w:val="20"/>
              </w:rPr>
              <w:t>6101</w:t>
            </w:r>
          </w:p>
        </w:tc>
        <w:tc>
          <w:tcPr>
            <w:tcW w:w="1162" w:type="dxa"/>
            <w:shd w:val="clear" w:color="auto" w:fill="auto"/>
            <w:vAlign w:val="center"/>
          </w:tcPr>
          <w:p w:rsidR="008973C4" w:rsidRPr="007C51D6" w:rsidRDefault="008973C4" w:rsidP="008973C4">
            <w:pPr>
              <w:jc w:val="center"/>
              <w:rPr>
                <w:color w:val="000000"/>
                <w:sz w:val="20"/>
                <w:szCs w:val="20"/>
              </w:rPr>
            </w:pPr>
            <w:r w:rsidRPr="007C51D6">
              <w:rPr>
                <w:color w:val="000000"/>
                <w:sz w:val="20"/>
                <w:szCs w:val="20"/>
              </w:rPr>
              <w:t>6547</w:t>
            </w:r>
          </w:p>
        </w:tc>
        <w:tc>
          <w:tcPr>
            <w:tcW w:w="1163" w:type="dxa"/>
            <w:shd w:val="clear" w:color="auto" w:fill="auto"/>
            <w:vAlign w:val="center"/>
          </w:tcPr>
          <w:p w:rsidR="008973C4" w:rsidRPr="007C51D6" w:rsidRDefault="008973C4" w:rsidP="008973C4">
            <w:pPr>
              <w:jc w:val="center"/>
              <w:rPr>
                <w:color w:val="000000"/>
                <w:sz w:val="20"/>
                <w:szCs w:val="20"/>
              </w:rPr>
            </w:pPr>
            <w:r w:rsidRPr="007C51D6">
              <w:rPr>
                <w:color w:val="000000"/>
                <w:sz w:val="20"/>
                <w:szCs w:val="20"/>
              </w:rPr>
              <w:t>6922</w:t>
            </w:r>
          </w:p>
        </w:tc>
        <w:tc>
          <w:tcPr>
            <w:tcW w:w="1162" w:type="dxa"/>
            <w:shd w:val="clear" w:color="auto" w:fill="auto"/>
            <w:vAlign w:val="center"/>
          </w:tcPr>
          <w:p w:rsidR="008973C4" w:rsidRPr="007C51D6" w:rsidRDefault="008973C4" w:rsidP="008973C4">
            <w:pPr>
              <w:jc w:val="center"/>
              <w:rPr>
                <w:color w:val="000000"/>
                <w:sz w:val="20"/>
                <w:szCs w:val="20"/>
              </w:rPr>
            </w:pPr>
            <w:r w:rsidRPr="007C51D6">
              <w:rPr>
                <w:color w:val="000000"/>
                <w:sz w:val="20"/>
                <w:szCs w:val="20"/>
              </w:rPr>
              <w:t>7115</w:t>
            </w:r>
          </w:p>
        </w:tc>
        <w:tc>
          <w:tcPr>
            <w:tcW w:w="1162" w:type="dxa"/>
            <w:shd w:val="clear" w:color="auto" w:fill="auto"/>
            <w:vAlign w:val="center"/>
          </w:tcPr>
          <w:p w:rsidR="008973C4" w:rsidRPr="007C51D6" w:rsidRDefault="008973C4" w:rsidP="008973C4">
            <w:pPr>
              <w:jc w:val="center"/>
              <w:rPr>
                <w:color w:val="000000"/>
                <w:sz w:val="20"/>
                <w:szCs w:val="20"/>
              </w:rPr>
            </w:pPr>
            <w:r w:rsidRPr="007C51D6">
              <w:rPr>
                <w:color w:val="000000"/>
                <w:sz w:val="20"/>
                <w:szCs w:val="20"/>
              </w:rPr>
              <w:t>6849</w:t>
            </w:r>
          </w:p>
        </w:tc>
        <w:tc>
          <w:tcPr>
            <w:tcW w:w="1163" w:type="dxa"/>
            <w:vAlign w:val="center"/>
          </w:tcPr>
          <w:p w:rsidR="008973C4" w:rsidRPr="007C51D6" w:rsidRDefault="008973C4" w:rsidP="008973C4">
            <w:pPr>
              <w:jc w:val="center"/>
              <w:rPr>
                <w:color w:val="000000"/>
                <w:sz w:val="20"/>
                <w:szCs w:val="20"/>
              </w:rPr>
            </w:pPr>
            <w:r w:rsidRPr="007C51D6">
              <w:rPr>
                <w:color w:val="000000"/>
                <w:sz w:val="20"/>
                <w:szCs w:val="20"/>
              </w:rPr>
              <w:t>6913</w:t>
            </w:r>
          </w:p>
        </w:tc>
        <w:tc>
          <w:tcPr>
            <w:tcW w:w="1162" w:type="dxa"/>
            <w:vAlign w:val="center"/>
          </w:tcPr>
          <w:p w:rsidR="008973C4" w:rsidRPr="007C51D6" w:rsidRDefault="008973C4" w:rsidP="008973C4">
            <w:pPr>
              <w:jc w:val="center"/>
              <w:rPr>
                <w:color w:val="000000"/>
                <w:sz w:val="20"/>
                <w:szCs w:val="20"/>
              </w:rPr>
            </w:pPr>
            <w:r w:rsidRPr="007C51D6">
              <w:rPr>
                <w:color w:val="000000"/>
                <w:sz w:val="20"/>
                <w:szCs w:val="20"/>
              </w:rPr>
              <w:t>7190</w:t>
            </w:r>
          </w:p>
        </w:tc>
        <w:tc>
          <w:tcPr>
            <w:tcW w:w="1219" w:type="dxa"/>
            <w:vAlign w:val="center"/>
          </w:tcPr>
          <w:p w:rsidR="008973C4" w:rsidRPr="007C51D6" w:rsidRDefault="008973C4" w:rsidP="008973C4">
            <w:pPr>
              <w:jc w:val="center"/>
              <w:rPr>
                <w:color w:val="000000"/>
                <w:sz w:val="20"/>
                <w:szCs w:val="20"/>
              </w:rPr>
            </w:pPr>
            <w:r w:rsidRPr="007C51D6">
              <w:rPr>
                <w:color w:val="000000"/>
                <w:sz w:val="20"/>
                <w:szCs w:val="20"/>
              </w:rPr>
              <w:t>7409</w:t>
            </w:r>
          </w:p>
        </w:tc>
        <w:tc>
          <w:tcPr>
            <w:tcW w:w="1305" w:type="dxa"/>
            <w:vAlign w:val="center"/>
          </w:tcPr>
          <w:p w:rsidR="008973C4" w:rsidRPr="007C51D6" w:rsidRDefault="008973C4" w:rsidP="008973C4">
            <w:pPr>
              <w:jc w:val="center"/>
              <w:rPr>
                <w:color w:val="000000"/>
                <w:sz w:val="20"/>
                <w:szCs w:val="20"/>
              </w:rPr>
            </w:pPr>
            <w:r w:rsidRPr="007C51D6">
              <w:rPr>
                <w:color w:val="000000"/>
                <w:sz w:val="20"/>
                <w:szCs w:val="20"/>
              </w:rPr>
              <w:t>7855</w:t>
            </w:r>
          </w:p>
        </w:tc>
        <w:tc>
          <w:tcPr>
            <w:tcW w:w="1305" w:type="dxa"/>
            <w:vAlign w:val="center"/>
          </w:tcPr>
          <w:p w:rsidR="008973C4" w:rsidRPr="007C51D6" w:rsidRDefault="008973C4" w:rsidP="008973C4">
            <w:pPr>
              <w:jc w:val="center"/>
              <w:rPr>
                <w:color w:val="000000"/>
                <w:sz w:val="20"/>
                <w:szCs w:val="20"/>
              </w:rPr>
            </w:pPr>
            <w:r w:rsidRPr="007C51D6">
              <w:rPr>
                <w:color w:val="000000"/>
                <w:sz w:val="20"/>
                <w:szCs w:val="20"/>
              </w:rPr>
              <w:t>7531</w:t>
            </w:r>
          </w:p>
        </w:tc>
      </w:tr>
      <w:tr w:rsidR="008973C4" w:rsidRPr="007C51D6" w:rsidTr="00080BEF">
        <w:trPr>
          <w:trHeight w:val="20"/>
        </w:trPr>
        <w:tc>
          <w:tcPr>
            <w:tcW w:w="3114" w:type="dxa"/>
            <w:shd w:val="clear" w:color="auto" w:fill="auto"/>
            <w:hideMark/>
          </w:tcPr>
          <w:p w:rsidR="008973C4" w:rsidRPr="007C51D6" w:rsidRDefault="008973C4" w:rsidP="008973C4">
            <w:pPr>
              <w:autoSpaceDE/>
              <w:autoSpaceDN/>
              <w:adjustRightInd/>
              <w:rPr>
                <w:color w:val="000000"/>
                <w:sz w:val="20"/>
                <w:szCs w:val="20"/>
              </w:rPr>
            </w:pPr>
            <w:r w:rsidRPr="007C51D6">
              <w:rPr>
                <w:color w:val="000000"/>
                <w:sz w:val="20"/>
                <w:szCs w:val="20"/>
              </w:rPr>
              <w:t>Новошешминский</w:t>
            </w:r>
          </w:p>
        </w:tc>
        <w:tc>
          <w:tcPr>
            <w:tcW w:w="1275" w:type="dxa"/>
            <w:shd w:val="clear" w:color="auto" w:fill="auto"/>
            <w:vAlign w:val="center"/>
          </w:tcPr>
          <w:p w:rsidR="008973C4" w:rsidRPr="007C51D6" w:rsidRDefault="008973C4" w:rsidP="008973C4">
            <w:pPr>
              <w:jc w:val="center"/>
              <w:rPr>
                <w:color w:val="000000"/>
                <w:sz w:val="20"/>
                <w:szCs w:val="20"/>
              </w:rPr>
            </w:pPr>
            <w:r w:rsidRPr="007C51D6">
              <w:rPr>
                <w:color w:val="000000"/>
                <w:sz w:val="20"/>
                <w:szCs w:val="20"/>
              </w:rPr>
              <w:t>275</w:t>
            </w:r>
          </w:p>
        </w:tc>
        <w:tc>
          <w:tcPr>
            <w:tcW w:w="1162" w:type="dxa"/>
            <w:shd w:val="clear" w:color="auto" w:fill="auto"/>
            <w:vAlign w:val="center"/>
          </w:tcPr>
          <w:p w:rsidR="008973C4" w:rsidRPr="007C51D6" w:rsidRDefault="008973C4" w:rsidP="008973C4">
            <w:pPr>
              <w:jc w:val="center"/>
              <w:rPr>
                <w:color w:val="000000"/>
                <w:sz w:val="20"/>
                <w:szCs w:val="20"/>
              </w:rPr>
            </w:pPr>
            <w:r w:rsidRPr="007C51D6">
              <w:rPr>
                <w:color w:val="000000"/>
                <w:sz w:val="20"/>
                <w:szCs w:val="20"/>
              </w:rPr>
              <w:t>282</w:t>
            </w:r>
          </w:p>
        </w:tc>
        <w:tc>
          <w:tcPr>
            <w:tcW w:w="1163" w:type="dxa"/>
            <w:shd w:val="clear" w:color="auto" w:fill="auto"/>
            <w:vAlign w:val="center"/>
          </w:tcPr>
          <w:p w:rsidR="008973C4" w:rsidRPr="007C51D6" w:rsidRDefault="008973C4" w:rsidP="008973C4">
            <w:pPr>
              <w:jc w:val="center"/>
              <w:rPr>
                <w:color w:val="000000"/>
                <w:sz w:val="20"/>
                <w:szCs w:val="20"/>
              </w:rPr>
            </w:pPr>
            <w:r w:rsidRPr="007C51D6">
              <w:rPr>
                <w:color w:val="000000"/>
                <w:sz w:val="20"/>
                <w:szCs w:val="20"/>
              </w:rPr>
              <w:t>321</w:t>
            </w:r>
          </w:p>
        </w:tc>
        <w:tc>
          <w:tcPr>
            <w:tcW w:w="1162" w:type="dxa"/>
            <w:shd w:val="clear" w:color="auto" w:fill="auto"/>
            <w:vAlign w:val="center"/>
          </w:tcPr>
          <w:p w:rsidR="008973C4" w:rsidRPr="007C51D6" w:rsidRDefault="008973C4" w:rsidP="008973C4">
            <w:pPr>
              <w:jc w:val="center"/>
              <w:rPr>
                <w:color w:val="000000"/>
                <w:sz w:val="20"/>
                <w:szCs w:val="20"/>
              </w:rPr>
            </w:pPr>
            <w:r w:rsidRPr="007C51D6">
              <w:rPr>
                <w:color w:val="000000"/>
                <w:sz w:val="20"/>
                <w:szCs w:val="20"/>
              </w:rPr>
              <w:t>315</w:t>
            </w:r>
          </w:p>
        </w:tc>
        <w:tc>
          <w:tcPr>
            <w:tcW w:w="1162" w:type="dxa"/>
            <w:shd w:val="clear" w:color="auto" w:fill="auto"/>
            <w:vAlign w:val="center"/>
          </w:tcPr>
          <w:p w:rsidR="008973C4" w:rsidRPr="007C51D6" w:rsidRDefault="008973C4" w:rsidP="008973C4">
            <w:pPr>
              <w:jc w:val="center"/>
              <w:rPr>
                <w:color w:val="000000"/>
                <w:sz w:val="20"/>
                <w:szCs w:val="20"/>
              </w:rPr>
            </w:pPr>
            <w:r w:rsidRPr="007C51D6">
              <w:rPr>
                <w:color w:val="000000"/>
                <w:sz w:val="20"/>
                <w:szCs w:val="20"/>
              </w:rPr>
              <w:t>290</w:t>
            </w:r>
          </w:p>
        </w:tc>
        <w:tc>
          <w:tcPr>
            <w:tcW w:w="1163" w:type="dxa"/>
            <w:vAlign w:val="center"/>
          </w:tcPr>
          <w:p w:rsidR="008973C4" w:rsidRPr="007C51D6" w:rsidRDefault="008973C4" w:rsidP="008973C4">
            <w:pPr>
              <w:jc w:val="center"/>
              <w:rPr>
                <w:color w:val="000000"/>
                <w:sz w:val="20"/>
                <w:szCs w:val="20"/>
              </w:rPr>
            </w:pPr>
            <w:r w:rsidRPr="007C51D6">
              <w:rPr>
                <w:color w:val="000000"/>
                <w:sz w:val="20"/>
                <w:szCs w:val="20"/>
              </w:rPr>
              <w:t>311</w:t>
            </w:r>
          </w:p>
        </w:tc>
        <w:tc>
          <w:tcPr>
            <w:tcW w:w="1162" w:type="dxa"/>
            <w:vAlign w:val="center"/>
          </w:tcPr>
          <w:p w:rsidR="008973C4" w:rsidRPr="007C51D6" w:rsidRDefault="008973C4" w:rsidP="008973C4">
            <w:pPr>
              <w:jc w:val="center"/>
              <w:rPr>
                <w:color w:val="000000"/>
                <w:sz w:val="20"/>
                <w:szCs w:val="20"/>
              </w:rPr>
            </w:pPr>
            <w:r w:rsidRPr="007C51D6">
              <w:rPr>
                <w:color w:val="000000"/>
                <w:sz w:val="20"/>
                <w:szCs w:val="20"/>
              </w:rPr>
              <w:t>327</w:t>
            </w:r>
          </w:p>
        </w:tc>
        <w:tc>
          <w:tcPr>
            <w:tcW w:w="1219" w:type="dxa"/>
            <w:vAlign w:val="center"/>
          </w:tcPr>
          <w:p w:rsidR="008973C4" w:rsidRPr="007C51D6" w:rsidRDefault="008973C4" w:rsidP="008973C4">
            <w:pPr>
              <w:jc w:val="center"/>
              <w:rPr>
                <w:color w:val="000000"/>
                <w:sz w:val="20"/>
                <w:szCs w:val="20"/>
              </w:rPr>
            </w:pPr>
            <w:r w:rsidRPr="007C51D6">
              <w:rPr>
                <w:color w:val="000000"/>
                <w:sz w:val="20"/>
                <w:szCs w:val="20"/>
              </w:rPr>
              <w:t>350</w:t>
            </w:r>
          </w:p>
        </w:tc>
        <w:tc>
          <w:tcPr>
            <w:tcW w:w="1305" w:type="dxa"/>
            <w:vAlign w:val="center"/>
          </w:tcPr>
          <w:p w:rsidR="008973C4" w:rsidRPr="007C51D6" w:rsidRDefault="008973C4" w:rsidP="008973C4">
            <w:pPr>
              <w:jc w:val="center"/>
              <w:rPr>
                <w:color w:val="000000"/>
                <w:sz w:val="20"/>
                <w:szCs w:val="20"/>
              </w:rPr>
            </w:pPr>
            <w:r w:rsidRPr="007C51D6">
              <w:rPr>
                <w:color w:val="000000"/>
                <w:sz w:val="20"/>
                <w:szCs w:val="20"/>
              </w:rPr>
              <w:t>369</w:t>
            </w:r>
          </w:p>
        </w:tc>
        <w:tc>
          <w:tcPr>
            <w:tcW w:w="1305" w:type="dxa"/>
            <w:vAlign w:val="center"/>
          </w:tcPr>
          <w:p w:rsidR="008973C4" w:rsidRPr="007C51D6" w:rsidRDefault="008973C4" w:rsidP="008973C4">
            <w:pPr>
              <w:jc w:val="center"/>
              <w:rPr>
                <w:color w:val="000000"/>
                <w:sz w:val="20"/>
                <w:szCs w:val="20"/>
              </w:rPr>
            </w:pPr>
            <w:r w:rsidRPr="007C51D6">
              <w:rPr>
                <w:color w:val="000000"/>
                <w:sz w:val="20"/>
                <w:szCs w:val="20"/>
              </w:rPr>
              <w:t>392</w:t>
            </w:r>
          </w:p>
        </w:tc>
      </w:tr>
      <w:tr w:rsidR="008973C4" w:rsidRPr="007C51D6" w:rsidTr="00080BEF">
        <w:trPr>
          <w:trHeight w:val="20"/>
        </w:trPr>
        <w:tc>
          <w:tcPr>
            <w:tcW w:w="3114" w:type="dxa"/>
            <w:shd w:val="clear" w:color="auto" w:fill="auto"/>
            <w:hideMark/>
          </w:tcPr>
          <w:p w:rsidR="008973C4" w:rsidRPr="007C51D6" w:rsidRDefault="008973C4" w:rsidP="008973C4">
            <w:pPr>
              <w:autoSpaceDE/>
              <w:autoSpaceDN/>
              <w:adjustRightInd/>
              <w:rPr>
                <w:color w:val="000000"/>
                <w:sz w:val="20"/>
                <w:szCs w:val="20"/>
              </w:rPr>
            </w:pPr>
            <w:r w:rsidRPr="007C51D6">
              <w:rPr>
                <w:color w:val="000000"/>
                <w:sz w:val="20"/>
                <w:szCs w:val="20"/>
              </w:rPr>
              <w:t>Нурлатский</w:t>
            </w:r>
          </w:p>
        </w:tc>
        <w:tc>
          <w:tcPr>
            <w:tcW w:w="1275" w:type="dxa"/>
            <w:shd w:val="clear" w:color="auto" w:fill="auto"/>
            <w:vAlign w:val="center"/>
          </w:tcPr>
          <w:p w:rsidR="008973C4" w:rsidRPr="007C51D6" w:rsidRDefault="008973C4" w:rsidP="008973C4">
            <w:pPr>
              <w:jc w:val="center"/>
              <w:rPr>
                <w:color w:val="000000"/>
                <w:sz w:val="20"/>
                <w:szCs w:val="20"/>
              </w:rPr>
            </w:pPr>
            <w:r w:rsidRPr="007C51D6">
              <w:rPr>
                <w:color w:val="000000"/>
                <w:sz w:val="20"/>
                <w:szCs w:val="20"/>
              </w:rPr>
              <w:t>1108</w:t>
            </w:r>
          </w:p>
        </w:tc>
        <w:tc>
          <w:tcPr>
            <w:tcW w:w="1162" w:type="dxa"/>
            <w:shd w:val="clear" w:color="auto" w:fill="auto"/>
            <w:vAlign w:val="center"/>
          </w:tcPr>
          <w:p w:rsidR="008973C4" w:rsidRPr="007C51D6" w:rsidRDefault="008973C4" w:rsidP="008973C4">
            <w:pPr>
              <w:jc w:val="center"/>
              <w:rPr>
                <w:color w:val="000000"/>
                <w:sz w:val="20"/>
                <w:szCs w:val="20"/>
              </w:rPr>
            </w:pPr>
            <w:r w:rsidRPr="007C51D6">
              <w:rPr>
                <w:color w:val="000000"/>
                <w:sz w:val="20"/>
                <w:szCs w:val="20"/>
              </w:rPr>
              <w:t>1176</w:t>
            </w:r>
          </w:p>
        </w:tc>
        <w:tc>
          <w:tcPr>
            <w:tcW w:w="1163" w:type="dxa"/>
            <w:shd w:val="clear" w:color="auto" w:fill="auto"/>
            <w:vAlign w:val="center"/>
          </w:tcPr>
          <w:p w:rsidR="008973C4" w:rsidRPr="007C51D6" w:rsidRDefault="008973C4" w:rsidP="008973C4">
            <w:pPr>
              <w:jc w:val="center"/>
              <w:rPr>
                <w:color w:val="000000"/>
                <w:sz w:val="20"/>
                <w:szCs w:val="20"/>
              </w:rPr>
            </w:pPr>
            <w:r w:rsidRPr="007C51D6">
              <w:rPr>
                <w:color w:val="000000"/>
                <w:sz w:val="20"/>
                <w:szCs w:val="20"/>
              </w:rPr>
              <w:t>1284</w:t>
            </w:r>
          </w:p>
        </w:tc>
        <w:tc>
          <w:tcPr>
            <w:tcW w:w="1162" w:type="dxa"/>
            <w:shd w:val="clear" w:color="auto" w:fill="auto"/>
            <w:vAlign w:val="center"/>
          </w:tcPr>
          <w:p w:rsidR="008973C4" w:rsidRPr="007C51D6" w:rsidRDefault="008973C4" w:rsidP="008973C4">
            <w:pPr>
              <w:jc w:val="center"/>
              <w:rPr>
                <w:color w:val="000000"/>
                <w:sz w:val="20"/>
                <w:szCs w:val="20"/>
              </w:rPr>
            </w:pPr>
            <w:r w:rsidRPr="007C51D6">
              <w:rPr>
                <w:color w:val="000000"/>
                <w:sz w:val="20"/>
                <w:szCs w:val="20"/>
              </w:rPr>
              <w:t>1322</w:t>
            </w:r>
          </w:p>
        </w:tc>
        <w:tc>
          <w:tcPr>
            <w:tcW w:w="1162" w:type="dxa"/>
            <w:shd w:val="clear" w:color="auto" w:fill="auto"/>
            <w:vAlign w:val="center"/>
          </w:tcPr>
          <w:p w:rsidR="008973C4" w:rsidRPr="007C51D6" w:rsidRDefault="008973C4" w:rsidP="008973C4">
            <w:pPr>
              <w:jc w:val="center"/>
              <w:rPr>
                <w:color w:val="000000"/>
                <w:sz w:val="20"/>
                <w:szCs w:val="20"/>
              </w:rPr>
            </w:pPr>
            <w:r w:rsidRPr="007C51D6">
              <w:rPr>
                <w:color w:val="000000"/>
                <w:sz w:val="20"/>
                <w:szCs w:val="20"/>
              </w:rPr>
              <w:t>1264</w:t>
            </w:r>
          </w:p>
        </w:tc>
        <w:tc>
          <w:tcPr>
            <w:tcW w:w="1163" w:type="dxa"/>
            <w:vAlign w:val="center"/>
          </w:tcPr>
          <w:p w:rsidR="008973C4" w:rsidRPr="007C51D6" w:rsidRDefault="008973C4" w:rsidP="008973C4">
            <w:pPr>
              <w:jc w:val="center"/>
              <w:rPr>
                <w:color w:val="000000"/>
                <w:sz w:val="20"/>
                <w:szCs w:val="20"/>
              </w:rPr>
            </w:pPr>
            <w:r w:rsidRPr="007C51D6">
              <w:rPr>
                <w:color w:val="000000"/>
                <w:sz w:val="20"/>
                <w:szCs w:val="20"/>
              </w:rPr>
              <w:t>1285</w:t>
            </w:r>
          </w:p>
        </w:tc>
        <w:tc>
          <w:tcPr>
            <w:tcW w:w="1162" w:type="dxa"/>
            <w:vAlign w:val="center"/>
          </w:tcPr>
          <w:p w:rsidR="008973C4" w:rsidRPr="007C51D6" w:rsidRDefault="008973C4" w:rsidP="008973C4">
            <w:pPr>
              <w:jc w:val="center"/>
              <w:rPr>
                <w:color w:val="000000"/>
                <w:sz w:val="20"/>
                <w:szCs w:val="20"/>
              </w:rPr>
            </w:pPr>
            <w:r w:rsidRPr="007C51D6">
              <w:rPr>
                <w:color w:val="000000"/>
                <w:sz w:val="20"/>
                <w:szCs w:val="20"/>
              </w:rPr>
              <w:t>1350</w:t>
            </w:r>
          </w:p>
        </w:tc>
        <w:tc>
          <w:tcPr>
            <w:tcW w:w="1219" w:type="dxa"/>
            <w:vAlign w:val="center"/>
          </w:tcPr>
          <w:p w:rsidR="008973C4" w:rsidRPr="007C51D6" w:rsidRDefault="008973C4" w:rsidP="008973C4">
            <w:pPr>
              <w:jc w:val="center"/>
              <w:rPr>
                <w:color w:val="000000"/>
                <w:sz w:val="20"/>
                <w:szCs w:val="20"/>
              </w:rPr>
            </w:pPr>
            <w:r w:rsidRPr="007C51D6">
              <w:rPr>
                <w:color w:val="000000"/>
                <w:sz w:val="20"/>
                <w:szCs w:val="20"/>
              </w:rPr>
              <w:t>1407</w:t>
            </w:r>
          </w:p>
        </w:tc>
        <w:tc>
          <w:tcPr>
            <w:tcW w:w="1305" w:type="dxa"/>
            <w:vAlign w:val="center"/>
          </w:tcPr>
          <w:p w:rsidR="008973C4" w:rsidRPr="007C51D6" w:rsidRDefault="008973C4" w:rsidP="008973C4">
            <w:pPr>
              <w:jc w:val="center"/>
              <w:rPr>
                <w:color w:val="000000"/>
                <w:sz w:val="20"/>
                <w:szCs w:val="20"/>
              </w:rPr>
            </w:pPr>
            <w:r w:rsidRPr="007C51D6">
              <w:rPr>
                <w:color w:val="000000"/>
                <w:sz w:val="20"/>
                <w:szCs w:val="20"/>
              </w:rPr>
              <w:t>1536</w:t>
            </w:r>
          </w:p>
        </w:tc>
        <w:tc>
          <w:tcPr>
            <w:tcW w:w="1305" w:type="dxa"/>
            <w:vAlign w:val="center"/>
          </w:tcPr>
          <w:p w:rsidR="008973C4" w:rsidRPr="007C51D6" w:rsidRDefault="008973C4" w:rsidP="008973C4">
            <w:pPr>
              <w:jc w:val="center"/>
              <w:rPr>
                <w:color w:val="000000"/>
                <w:sz w:val="20"/>
                <w:szCs w:val="20"/>
              </w:rPr>
            </w:pPr>
            <w:r w:rsidRPr="007C51D6">
              <w:rPr>
                <w:color w:val="000000"/>
                <w:sz w:val="20"/>
                <w:szCs w:val="20"/>
              </w:rPr>
              <w:t>1602</w:t>
            </w:r>
          </w:p>
        </w:tc>
      </w:tr>
      <w:tr w:rsidR="008973C4" w:rsidRPr="007C51D6" w:rsidTr="00080BEF">
        <w:trPr>
          <w:trHeight w:val="20"/>
        </w:trPr>
        <w:tc>
          <w:tcPr>
            <w:tcW w:w="3114" w:type="dxa"/>
            <w:shd w:val="clear" w:color="auto" w:fill="auto"/>
            <w:hideMark/>
          </w:tcPr>
          <w:p w:rsidR="008973C4" w:rsidRPr="007C51D6" w:rsidRDefault="008973C4" w:rsidP="008973C4">
            <w:pPr>
              <w:autoSpaceDE/>
              <w:autoSpaceDN/>
              <w:adjustRightInd/>
              <w:rPr>
                <w:color w:val="000000"/>
                <w:sz w:val="20"/>
                <w:szCs w:val="20"/>
              </w:rPr>
            </w:pPr>
            <w:r w:rsidRPr="007C51D6">
              <w:rPr>
                <w:color w:val="000000"/>
                <w:sz w:val="20"/>
                <w:szCs w:val="20"/>
              </w:rPr>
              <w:t>Пестречинский</w:t>
            </w:r>
          </w:p>
        </w:tc>
        <w:tc>
          <w:tcPr>
            <w:tcW w:w="1275" w:type="dxa"/>
            <w:shd w:val="clear" w:color="auto" w:fill="auto"/>
            <w:vAlign w:val="center"/>
          </w:tcPr>
          <w:p w:rsidR="008973C4" w:rsidRPr="007C51D6" w:rsidRDefault="008973C4" w:rsidP="008973C4">
            <w:pPr>
              <w:jc w:val="center"/>
              <w:rPr>
                <w:color w:val="000000"/>
                <w:sz w:val="20"/>
                <w:szCs w:val="20"/>
              </w:rPr>
            </w:pPr>
            <w:r w:rsidRPr="007C51D6">
              <w:rPr>
                <w:color w:val="000000"/>
                <w:sz w:val="20"/>
                <w:szCs w:val="20"/>
              </w:rPr>
              <w:t>556</w:t>
            </w:r>
          </w:p>
        </w:tc>
        <w:tc>
          <w:tcPr>
            <w:tcW w:w="1162" w:type="dxa"/>
            <w:shd w:val="clear" w:color="auto" w:fill="auto"/>
            <w:vAlign w:val="center"/>
          </w:tcPr>
          <w:p w:rsidR="008973C4" w:rsidRPr="007C51D6" w:rsidRDefault="008973C4" w:rsidP="008973C4">
            <w:pPr>
              <w:jc w:val="center"/>
              <w:rPr>
                <w:color w:val="000000"/>
                <w:sz w:val="20"/>
                <w:szCs w:val="20"/>
              </w:rPr>
            </w:pPr>
            <w:r w:rsidRPr="007C51D6">
              <w:rPr>
                <w:color w:val="000000"/>
                <w:sz w:val="20"/>
                <w:szCs w:val="20"/>
              </w:rPr>
              <w:t>612</w:t>
            </w:r>
          </w:p>
        </w:tc>
        <w:tc>
          <w:tcPr>
            <w:tcW w:w="1163" w:type="dxa"/>
            <w:shd w:val="clear" w:color="auto" w:fill="auto"/>
            <w:vAlign w:val="center"/>
          </w:tcPr>
          <w:p w:rsidR="008973C4" w:rsidRPr="007C51D6" w:rsidRDefault="008973C4" w:rsidP="008973C4">
            <w:pPr>
              <w:jc w:val="center"/>
              <w:rPr>
                <w:color w:val="000000"/>
                <w:sz w:val="20"/>
                <w:szCs w:val="20"/>
              </w:rPr>
            </w:pPr>
            <w:r w:rsidRPr="007C51D6">
              <w:rPr>
                <w:color w:val="000000"/>
                <w:sz w:val="20"/>
                <w:szCs w:val="20"/>
              </w:rPr>
              <w:t>682</w:t>
            </w:r>
          </w:p>
        </w:tc>
        <w:tc>
          <w:tcPr>
            <w:tcW w:w="1162" w:type="dxa"/>
            <w:shd w:val="clear" w:color="auto" w:fill="auto"/>
            <w:vAlign w:val="center"/>
          </w:tcPr>
          <w:p w:rsidR="008973C4" w:rsidRPr="007C51D6" w:rsidRDefault="008973C4" w:rsidP="008973C4">
            <w:pPr>
              <w:jc w:val="center"/>
              <w:rPr>
                <w:color w:val="000000"/>
                <w:sz w:val="20"/>
                <w:szCs w:val="20"/>
              </w:rPr>
            </w:pPr>
            <w:r w:rsidRPr="007C51D6">
              <w:rPr>
                <w:color w:val="000000"/>
                <w:sz w:val="20"/>
                <w:szCs w:val="20"/>
              </w:rPr>
              <w:t>782</w:t>
            </w:r>
          </w:p>
        </w:tc>
        <w:tc>
          <w:tcPr>
            <w:tcW w:w="1162" w:type="dxa"/>
            <w:shd w:val="clear" w:color="auto" w:fill="auto"/>
            <w:vAlign w:val="center"/>
          </w:tcPr>
          <w:p w:rsidR="008973C4" w:rsidRPr="007C51D6" w:rsidRDefault="008973C4" w:rsidP="008973C4">
            <w:pPr>
              <w:jc w:val="center"/>
              <w:rPr>
                <w:color w:val="000000"/>
                <w:sz w:val="20"/>
                <w:szCs w:val="20"/>
              </w:rPr>
            </w:pPr>
            <w:r w:rsidRPr="007C51D6">
              <w:rPr>
                <w:color w:val="000000"/>
                <w:sz w:val="20"/>
                <w:szCs w:val="20"/>
              </w:rPr>
              <w:t>786</w:t>
            </w:r>
          </w:p>
        </w:tc>
        <w:tc>
          <w:tcPr>
            <w:tcW w:w="1163" w:type="dxa"/>
            <w:vAlign w:val="center"/>
          </w:tcPr>
          <w:p w:rsidR="008973C4" w:rsidRPr="007C51D6" w:rsidRDefault="008973C4" w:rsidP="008973C4">
            <w:pPr>
              <w:jc w:val="center"/>
              <w:rPr>
                <w:color w:val="000000"/>
                <w:sz w:val="20"/>
                <w:szCs w:val="20"/>
              </w:rPr>
            </w:pPr>
            <w:r w:rsidRPr="007C51D6">
              <w:rPr>
                <w:color w:val="000000"/>
                <w:sz w:val="20"/>
                <w:szCs w:val="20"/>
              </w:rPr>
              <w:t>815</w:t>
            </w:r>
          </w:p>
        </w:tc>
        <w:tc>
          <w:tcPr>
            <w:tcW w:w="1162" w:type="dxa"/>
            <w:vAlign w:val="center"/>
          </w:tcPr>
          <w:p w:rsidR="008973C4" w:rsidRPr="007C51D6" w:rsidRDefault="008973C4" w:rsidP="008973C4">
            <w:pPr>
              <w:jc w:val="center"/>
              <w:rPr>
                <w:color w:val="000000"/>
                <w:sz w:val="20"/>
                <w:szCs w:val="20"/>
              </w:rPr>
            </w:pPr>
            <w:r w:rsidRPr="007C51D6">
              <w:rPr>
                <w:color w:val="000000"/>
                <w:sz w:val="20"/>
                <w:szCs w:val="20"/>
              </w:rPr>
              <w:t>877</w:t>
            </w:r>
          </w:p>
        </w:tc>
        <w:tc>
          <w:tcPr>
            <w:tcW w:w="1219" w:type="dxa"/>
            <w:vAlign w:val="center"/>
          </w:tcPr>
          <w:p w:rsidR="008973C4" w:rsidRPr="007C51D6" w:rsidRDefault="008973C4" w:rsidP="008973C4">
            <w:pPr>
              <w:jc w:val="center"/>
              <w:rPr>
                <w:color w:val="000000"/>
                <w:sz w:val="20"/>
                <w:szCs w:val="20"/>
              </w:rPr>
            </w:pPr>
            <w:r w:rsidRPr="007C51D6">
              <w:rPr>
                <w:color w:val="000000"/>
                <w:sz w:val="20"/>
                <w:szCs w:val="20"/>
              </w:rPr>
              <w:t>968</w:t>
            </w:r>
          </w:p>
        </w:tc>
        <w:tc>
          <w:tcPr>
            <w:tcW w:w="1305" w:type="dxa"/>
            <w:vAlign w:val="center"/>
          </w:tcPr>
          <w:p w:rsidR="008973C4" w:rsidRPr="007C51D6" w:rsidRDefault="008973C4" w:rsidP="008973C4">
            <w:pPr>
              <w:jc w:val="center"/>
              <w:rPr>
                <w:color w:val="000000"/>
                <w:sz w:val="20"/>
                <w:szCs w:val="20"/>
              </w:rPr>
            </w:pPr>
            <w:r w:rsidRPr="007C51D6">
              <w:rPr>
                <w:color w:val="000000"/>
                <w:sz w:val="20"/>
                <w:szCs w:val="20"/>
              </w:rPr>
              <w:t>1117</w:t>
            </w:r>
          </w:p>
        </w:tc>
        <w:tc>
          <w:tcPr>
            <w:tcW w:w="1305" w:type="dxa"/>
            <w:vAlign w:val="center"/>
          </w:tcPr>
          <w:p w:rsidR="008973C4" w:rsidRPr="007C51D6" w:rsidRDefault="008973C4" w:rsidP="008973C4">
            <w:pPr>
              <w:jc w:val="center"/>
              <w:rPr>
                <w:color w:val="000000"/>
                <w:sz w:val="20"/>
                <w:szCs w:val="20"/>
              </w:rPr>
            </w:pPr>
            <w:r w:rsidRPr="007C51D6">
              <w:rPr>
                <w:color w:val="000000"/>
                <w:sz w:val="20"/>
                <w:szCs w:val="20"/>
              </w:rPr>
              <w:t>1497</w:t>
            </w:r>
          </w:p>
        </w:tc>
      </w:tr>
      <w:tr w:rsidR="008973C4" w:rsidRPr="007C51D6" w:rsidTr="00080BEF">
        <w:trPr>
          <w:trHeight w:val="20"/>
        </w:trPr>
        <w:tc>
          <w:tcPr>
            <w:tcW w:w="3114" w:type="dxa"/>
            <w:shd w:val="clear" w:color="auto" w:fill="auto"/>
            <w:hideMark/>
          </w:tcPr>
          <w:p w:rsidR="008973C4" w:rsidRPr="007C51D6" w:rsidRDefault="008973C4" w:rsidP="008973C4">
            <w:pPr>
              <w:autoSpaceDE/>
              <w:autoSpaceDN/>
              <w:adjustRightInd/>
              <w:rPr>
                <w:color w:val="000000"/>
                <w:sz w:val="20"/>
                <w:szCs w:val="20"/>
              </w:rPr>
            </w:pPr>
            <w:r w:rsidRPr="007C51D6">
              <w:rPr>
                <w:color w:val="000000"/>
                <w:sz w:val="20"/>
                <w:szCs w:val="20"/>
              </w:rPr>
              <w:t>Рыбно-Слободский</w:t>
            </w:r>
          </w:p>
        </w:tc>
        <w:tc>
          <w:tcPr>
            <w:tcW w:w="1275" w:type="dxa"/>
            <w:shd w:val="clear" w:color="auto" w:fill="auto"/>
            <w:vAlign w:val="center"/>
          </w:tcPr>
          <w:p w:rsidR="008973C4" w:rsidRPr="007C51D6" w:rsidRDefault="008973C4" w:rsidP="008973C4">
            <w:pPr>
              <w:jc w:val="center"/>
              <w:rPr>
                <w:color w:val="000000"/>
                <w:sz w:val="20"/>
                <w:szCs w:val="20"/>
              </w:rPr>
            </w:pPr>
            <w:r w:rsidRPr="007C51D6">
              <w:rPr>
                <w:color w:val="000000"/>
                <w:sz w:val="20"/>
                <w:szCs w:val="20"/>
              </w:rPr>
              <w:t>656</w:t>
            </w:r>
          </w:p>
        </w:tc>
        <w:tc>
          <w:tcPr>
            <w:tcW w:w="1162" w:type="dxa"/>
            <w:shd w:val="clear" w:color="auto" w:fill="auto"/>
            <w:vAlign w:val="center"/>
          </w:tcPr>
          <w:p w:rsidR="008973C4" w:rsidRPr="007C51D6" w:rsidRDefault="008973C4" w:rsidP="008973C4">
            <w:pPr>
              <w:jc w:val="center"/>
              <w:rPr>
                <w:color w:val="000000"/>
                <w:sz w:val="20"/>
                <w:szCs w:val="20"/>
              </w:rPr>
            </w:pPr>
            <w:r w:rsidRPr="007C51D6">
              <w:rPr>
                <w:color w:val="000000"/>
                <w:sz w:val="20"/>
                <w:szCs w:val="20"/>
              </w:rPr>
              <w:t>691</w:t>
            </w:r>
          </w:p>
        </w:tc>
        <w:tc>
          <w:tcPr>
            <w:tcW w:w="1163" w:type="dxa"/>
            <w:shd w:val="clear" w:color="auto" w:fill="auto"/>
            <w:vAlign w:val="center"/>
          </w:tcPr>
          <w:p w:rsidR="008973C4" w:rsidRPr="007C51D6" w:rsidRDefault="008973C4" w:rsidP="008973C4">
            <w:pPr>
              <w:jc w:val="center"/>
              <w:rPr>
                <w:color w:val="000000"/>
                <w:sz w:val="20"/>
                <w:szCs w:val="20"/>
              </w:rPr>
            </w:pPr>
            <w:r w:rsidRPr="007C51D6">
              <w:rPr>
                <w:color w:val="000000"/>
                <w:sz w:val="20"/>
                <w:szCs w:val="20"/>
              </w:rPr>
              <w:t>729</w:t>
            </w:r>
          </w:p>
        </w:tc>
        <w:tc>
          <w:tcPr>
            <w:tcW w:w="1162" w:type="dxa"/>
            <w:shd w:val="clear" w:color="auto" w:fill="auto"/>
            <w:vAlign w:val="center"/>
          </w:tcPr>
          <w:p w:rsidR="008973C4" w:rsidRPr="007C51D6" w:rsidRDefault="008973C4" w:rsidP="008973C4">
            <w:pPr>
              <w:jc w:val="center"/>
              <w:rPr>
                <w:color w:val="000000"/>
                <w:sz w:val="20"/>
                <w:szCs w:val="20"/>
              </w:rPr>
            </w:pPr>
            <w:r w:rsidRPr="007C51D6">
              <w:rPr>
                <w:color w:val="000000"/>
                <w:sz w:val="20"/>
                <w:szCs w:val="20"/>
              </w:rPr>
              <w:t>775</w:t>
            </w:r>
          </w:p>
        </w:tc>
        <w:tc>
          <w:tcPr>
            <w:tcW w:w="1162" w:type="dxa"/>
            <w:shd w:val="clear" w:color="auto" w:fill="auto"/>
            <w:vAlign w:val="center"/>
          </w:tcPr>
          <w:p w:rsidR="008973C4" w:rsidRPr="007C51D6" w:rsidRDefault="008973C4" w:rsidP="008973C4">
            <w:pPr>
              <w:jc w:val="center"/>
              <w:rPr>
                <w:color w:val="000000"/>
                <w:sz w:val="20"/>
                <w:szCs w:val="20"/>
              </w:rPr>
            </w:pPr>
            <w:r w:rsidRPr="007C51D6">
              <w:rPr>
                <w:color w:val="000000"/>
                <w:sz w:val="20"/>
                <w:szCs w:val="20"/>
              </w:rPr>
              <w:t>745</w:t>
            </w:r>
          </w:p>
        </w:tc>
        <w:tc>
          <w:tcPr>
            <w:tcW w:w="1163" w:type="dxa"/>
            <w:vAlign w:val="center"/>
          </w:tcPr>
          <w:p w:rsidR="008973C4" w:rsidRPr="007C51D6" w:rsidRDefault="008973C4" w:rsidP="008973C4">
            <w:pPr>
              <w:jc w:val="center"/>
              <w:rPr>
                <w:color w:val="000000"/>
                <w:sz w:val="20"/>
                <w:szCs w:val="20"/>
              </w:rPr>
            </w:pPr>
            <w:r w:rsidRPr="007C51D6">
              <w:rPr>
                <w:color w:val="000000"/>
                <w:sz w:val="20"/>
                <w:szCs w:val="20"/>
              </w:rPr>
              <w:t>758</w:t>
            </w:r>
          </w:p>
        </w:tc>
        <w:tc>
          <w:tcPr>
            <w:tcW w:w="1162" w:type="dxa"/>
            <w:vAlign w:val="center"/>
          </w:tcPr>
          <w:p w:rsidR="008973C4" w:rsidRPr="007C51D6" w:rsidRDefault="008973C4" w:rsidP="008973C4">
            <w:pPr>
              <w:jc w:val="center"/>
              <w:rPr>
                <w:color w:val="000000"/>
                <w:sz w:val="20"/>
                <w:szCs w:val="20"/>
              </w:rPr>
            </w:pPr>
            <w:r w:rsidRPr="007C51D6">
              <w:rPr>
                <w:color w:val="000000"/>
                <w:sz w:val="20"/>
                <w:szCs w:val="20"/>
              </w:rPr>
              <w:t>770</w:t>
            </w:r>
          </w:p>
        </w:tc>
        <w:tc>
          <w:tcPr>
            <w:tcW w:w="1219" w:type="dxa"/>
            <w:vAlign w:val="center"/>
          </w:tcPr>
          <w:p w:rsidR="008973C4" w:rsidRPr="007C51D6" w:rsidRDefault="008973C4" w:rsidP="008973C4">
            <w:pPr>
              <w:jc w:val="center"/>
              <w:rPr>
                <w:color w:val="000000"/>
                <w:sz w:val="20"/>
                <w:szCs w:val="20"/>
              </w:rPr>
            </w:pPr>
            <w:r w:rsidRPr="007C51D6">
              <w:rPr>
                <w:color w:val="000000"/>
                <w:sz w:val="20"/>
                <w:szCs w:val="20"/>
              </w:rPr>
              <w:t>797</w:t>
            </w:r>
          </w:p>
        </w:tc>
        <w:tc>
          <w:tcPr>
            <w:tcW w:w="1305" w:type="dxa"/>
            <w:vAlign w:val="center"/>
          </w:tcPr>
          <w:p w:rsidR="008973C4" w:rsidRPr="007C51D6" w:rsidRDefault="008973C4" w:rsidP="008973C4">
            <w:pPr>
              <w:jc w:val="center"/>
              <w:rPr>
                <w:color w:val="000000"/>
                <w:sz w:val="20"/>
                <w:szCs w:val="20"/>
              </w:rPr>
            </w:pPr>
            <w:r w:rsidRPr="007C51D6">
              <w:rPr>
                <w:color w:val="000000"/>
                <w:sz w:val="20"/>
                <w:szCs w:val="20"/>
              </w:rPr>
              <w:t>834</w:t>
            </w:r>
          </w:p>
        </w:tc>
        <w:tc>
          <w:tcPr>
            <w:tcW w:w="1305" w:type="dxa"/>
            <w:vAlign w:val="center"/>
          </w:tcPr>
          <w:p w:rsidR="008973C4" w:rsidRPr="007C51D6" w:rsidRDefault="008973C4" w:rsidP="008973C4">
            <w:pPr>
              <w:jc w:val="center"/>
              <w:rPr>
                <w:color w:val="000000"/>
                <w:sz w:val="20"/>
                <w:szCs w:val="20"/>
              </w:rPr>
            </w:pPr>
            <w:r w:rsidRPr="007C51D6">
              <w:rPr>
                <w:color w:val="000000"/>
                <w:sz w:val="20"/>
                <w:szCs w:val="20"/>
              </w:rPr>
              <w:t>839</w:t>
            </w:r>
          </w:p>
        </w:tc>
      </w:tr>
      <w:tr w:rsidR="008973C4" w:rsidRPr="007C51D6" w:rsidTr="00080BEF">
        <w:trPr>
          <w:trHeight w:val="20"/>
        </w:trPr>
        <w:tc>
          <w:tcPr>
            <w:tcW w:w="3114" w:type="dxa"/>
            <w:shd w:val="clear" w:color="auto" w:fill="auto"/>
            <w:hideMark/>
          </w:tcPr>
          <w:p w:rsidR="008973C4" w:rsidRPr="007C51D6" w:rsidRDefault="008973C4" w:rsidP="008973C4">
            <w:pPr>
              <w:autoSpaceDE/>
              <w:autoSpaceDN/>
              <w:adjustRightInd/>
              <w:rPr>
                <w:color w:val="000000"/>
                <w:sz w:val="20"/>
                <w:szCs w:val="20"/>
              </w:rPr>
            </w:pPr>
            <w:r w:rsidRPr="007C51D6">
              <w:rPr>
                <w:color w:val="000000"/>
                <w:sz w:val="20"/>
                <w:szCs w:val="20"/>
              </w:rPr>
              <w:t>Сабинский</w:t>
            </w:r>
          </w:p>
        </w:tc>
        <w:tc>
          <w:tcPr>
            <w:tcW w:w="1275" w:type="dxa"/>
            <w:shd w:val="clear" w:color="auto" w:fill="auto"/>
            <w:vAlign w:val="center"/>
          </w:tcPr>
          <w:p w:rsidR="008973C4" w:rsidRPr="007C51D6" w:rsidRDefault="008973C4" w:rsidP="008973C4">
            <w:pPr>
              <w:jc w:val="center"/>
              <w:rPr>
                <w:color w:val="000000"/>
                <w:sz w:val="20"/>
                <w:szCs w:val="20"/>
              </w:rPr>
            </w:pPr>
            <w:r w:rsidRPr="007C51D6">
              <w:rPr>
                <w:color w:val="000000"/>
                <w:sz w:val="20"/>
                <w:szCs w:val="20"/>
              </w:rPr>
              <w:t>661</w:t>
            </w:r>
          </w:p>
        </w:tc>
        <w:tc>
          <w:tcPr>
            <w:tcW w:w="1162" w:type="dxa"/>
            <w:shd w:val="clear" w:color="auto" w:fill="auto"/>
            <w:vAlign w:val="center"/>
          </w:tcPr>
          <w:p w:rsidR="008973C4" w:rsidRPr="007C51D6" w:rsidRDefault="008973C4" w:rsidP="008973C4">
            <w:pPr>
              <w:jc w:val="center"/>
              <w:rPr>
                <w:color w:val="000000"/>
                <w:sz w:val="20"/>
                <w:szCs w:val="20"/>
              </w:rPr>
            </w:pPr>
            <w:r w:rsidRPr="007C51D6">
              <w:rPr>
                <w:color w:val="000000"/>
                <w:sz w:val="20"/>
                <w:szCs w:val="20"/>
              </w:rPr>
              <w:t>701</w:t>
            </w:r>
          </w:p>
        </w:tc>
        <w:tc>
          <w:tcPr>
            <w:tcW w:w="1163" w:type="dxa"/>
            <w:shd w:val="clear" w:color="auto" w:fill="auto"/>
            <w:vAlign w:val="center"/>
          </w:tcPr>
          <w:p w:rsidR="008973C4" w:rsidRPr="007C51D6" w:rsidRDefault="008973C4" w:rsidP="008973C4">
            <w:pPr>
              <w:jc w:val="center"/>
              <w:rPr>
                <w:color w:val="000000"/>
                <w:sz w:val="20"/>
                <w:szCs w:val="20"/>
              </w:rPr>
            </w:pPr>
            <w:r w:rsidRPr="007C51D6">
              <w:rPr>
                <w:color w:val="000000"/>
                <w:sz w:val="20"/>
                <w:szCs w:val="20"/>
              </w:rPr>
              <w:t>741</w:t>
            </w:r>
          </w:p>
        </w:tc>
        <w:tc>
          <w:tcPr>
            <w:tcW w:w="1162" w:type="dxa"/>
            <w:shd w:val="clear" w:color="auto" w:fill="auto"/>
            <w:vAlign w:val="center"/>
          </w:tcPr>
          <w:p w:rsidR="008973C4" w:rsidRPr="007C51D6" w:rsidRDefault="008973C4" w:rsidP="008973C4">
            <w:pPr>
              <w:jc w:val="center"/>
              <w:rPr>
                <w:color w:val="000000"/>
                <w:sz w:val="20"/>
                <w:szCs w:val="20"/>
              </w:rPr>
            </w:pPr>
            <w:r w:rsidRPr="007C51D6">
              <w:rPr>
                <w:color w:val="000000"/>
                <w:sz w:val="20"/>
                <w:szCs w:val="20"/>
              </w:rPr>
              <w:t>784</w:t>
            </w:r>
          </w:p>
        </w:tc>
        <w:tc>
          <w:tcPr>
            <w:tcW w:w="1162" w:type="dxa"/>
            <w:shd w:val="clear" w:color="auto" w:fill="auto"/>
            <w:vAlign w:val="center"/>
          </w:tcPr>
          <w:p w:rsidR="008973C4" w:rsidRPr="007C51D6" w:rsidRDefault="008973C4" w:rsidP="008973C4">
            <w:pPr>
              <w:jc w:val="center"/>
              <w:rPr>
                <w:color w:val="000000"/>
                <w:sz w:val="20"/>
                <w:szCs w:val="20"/>
              </w:rPr>
            </w:pPr>
            <w:r w:rsidRPr="007C51D6">
              <w:rPr>
                <w:color w:val="000000"/>
                <w:sz w:val="20"/>
                <w:szCs w:val="20"/>
              </w:rPr>
              <w:t>748</w:t>
            </w:r>
          </w:p>
        </w:tc>
        <w:tc>
          <w:tcPr>
            <w:tcW w:w="1163" w:type="dxa"/>
            <w:vAlign w:val="center"/>
          </w:tcPr>
          <w:p w:rsidR="008973C4" w:rsidRPr="007C51D6" w:rsidRDefault="008973C4" w:rsidP="008973C4">
            <w:pPr>
              <w:jc w:val="center"/>
              <w:rPr>
                <w:color w:val="000000"/>
                <w:sz w:val="20"/>
                <w:szCs w:val="20"/>
              </w:rPr>
            </w:pPr>
            <w:r w:rsidRPr="007C51D6">
              <w:rPr>
                <w:color w:val="000000"/>
                <w:sz w:val="20"/>
                <w:szCs w:val="20"/>
              </w:rPr>
              <w:t>751</w:t>
            </w:r>
          </w:p>
        </w:tc>
        <w:tc>
          <w:tcPr>
            <w:tcW w:w="1162" w:type="dxa"/>
            <w:vAlign w:val="center"/>
          </w:tcPr>
          <w:p w:rsidR="008973C4" w:rsidRPr="007C51D6" w:rsidRDefault="008973C4" w:rsidP="008973C4">
            <w:pPr>
              <w:jc w:val="center"/>
              <w:rPr>
                <w:color w:val="000000"/>
                <w:sz w:val="20"/>
                <w:szCs w:val="20"/>
              </w:rPr>
            </w:pPr>
            <w:r w:rsidRPr="007C51D6">
              <w:rPr>
                <w:color w:val="000000"/>
                <w:sz w:val="20"/>
                <w:szCs w:val="20"/>
              </w:rPr>
              <w:t>804</w:t>
            </w:r>
          </w:p>
        </w:tc>
        <w:tc>
          <w:tcPr>
            <w:tcW w:w="1219" w:type="dxa"/>
            <w:vAlign w:val="center"/>
          </w:tcPr>
          <w:p w:rsidR="008973C4" w:rsidRPr="007C51D6" w:rsidRDefault="008973C4" w:rsidP="008973C4">
            <w:pPr>
              <w:jc w:val="center"/>
              <w:rPr>
                <w:color w:val="000000"/>
                <w:sz w:val="20"/>
                <w:szCs w:val="20"/>
              </w:rPr>
            </w:pPr>
            <w:r w:rsidRPr="007C51D6">
              <w:rPr>
                <w:color w:val="000000"/>
                <w:sz w:val="20"/>
                <w:szCs w:val="20"/>
              </w:rPr>
              <w:t>828</w:t>
            </w:r>
          </w:p>
        </w:tc>
        <w:tc>
          <w:tcPr>
            <w:tcW w:w="1305" w:type="dxa"/>
            <w:vAlign w:val="center"/>
          </w:tcPr>
          <w:p w:rsidR="008973C4" w:rsidRPr="007C51D6" w:rsidRDefault="008973C4" w:rsidP="008973C4">
            <w:pPr>
              <w:jc w:val="center"/>
              <w:rPr>
                <w:color w:val="000000"/>
                <w:sz w:val="20"/>
                <w:szCs w:val="20"/>
              </w:rPr>
            </w:pPr>
            <w:r w:rsidRPr="007C51D6">
              <w:rPr>
                <w:color w:val="000000"/>
                <w:sz w:val="20"/>
                <w:szCs w:val="20"/>
              </w:rPr>
              <w:t>886</w:t>
            </w:r>
          </w:p>
        </w:tc>
        <w:tc>
          <w:tcPr>
            <w:tcW w:w="1305" w:type="dxa"/>
            <w:vAlign w:val="center"/>
          </w:tcPr>
          <w:p w:rsidR="008973C4" w:rsidRPr="007C51D6" w:rsidRDefault="008973C4" w:rsidP="008973C4">
            <w:pPr>
              <w:jc w:val="center"/>
              <w:rPr>
                <w:color w:val="000000"/>
                <w:sz w:val="20"/>
                <w:szCs w:val="20"/>
              </w:rPr>
            </w:pPr>
            <w:r w:rsidRPr="007C51D6">
              <w:rPr>
                <w:color w:val="000000"/>
                <w:sz w:val="20"/>
                <w:szCs w:val="20"/>
              </w:rPr>
              <w:t>881</w:t>
            </w:r>
          </w:p>
        </w:tc>
      </w:tr>
      <w:tr w:rsidR="008973C4" w:rsidRPr="007C51D6" w:rsidTr="00080BEF">
        <w:trPr>
          <w:trHeight w:val="20"/>
        </w:trPr>
        <w:tc>
          <w:tcPr>
            <w:tcW w:w="3114" w:type="dxa"/>
            <w:shd w:val="clear" w:color="auto" w:fill="auto"/>
            <w:hideMark/>
          </w:tcPr>
          <w:p w:rsidR="008973C4" w:rsidRPr="007C51D6" w:rsidRDefault="008973C4" w:rsidP="008973C4">
            <w:pPr>
              <w:autoSpaceDE/>
              <w:autoSpaceDN/>
              <w:adjustRightInd/>
              <w:rPr>
                <w:color w:val="000000"/>
                <w:sz w:val="20"/>
                <w:szCs w:val="20"/>
              </w:rPr>
            </w:pPr>
            <w:r w:rsidRPr="007C51D6">
              <w:rPr>
                <w:color w:val="000000"/>
                <w:sz w:val="20"/>
                <w:szCs w:val="20"/>
              </w:rPr>
              <w:t>Сармановский</w:t>
            </w:r>
          </w:p>
        </w:tc>
        <w:tc>
          <w:tcPr>
            <w:tcW w:w="1275" w:type="dxa"/>
            <w:shd w:val="clear" w:color="auto" w:fill="auto"/>
            <w:vAlign w:val="center"/>
          </w:tcPr>
          <w:p w:rsidR="008973C4" w:rsidRPr="007C51D6" w:rsidRDefault="008973C4" w:rsidP="008973C4">
            <w:pPr>
              <w:jc w:val="center"/>
              <w:rPr>
                <w:color w:val="000000"/>
                <w:sz w:val="20"/>
                <w:szCs w:val="20"/>
              </w:rPr>
            </w:pPr>
            <w:r w:rsidRPr="007C51D6">
              <w:rPr>
                <w:color w:val="000000"/>
                <w:sz w:val="20"/>
                <w:szCs w:val="20"/>
              </w:rPr>
              <w:t>799</w:t>
            </w:r>
          </w:p>
        </w:tc>
        <w:tc>
          <w:tcPr>
            <w:tcW w:w="1162" w:type="dxa"/>
            <w:shd w:val="clear" w:color="auto" w:fill="auto"/>
            <w:vAlign w:val="center"/>
          </w:tcPr>
          <w:p w:rsidR="008973C4" w:rsidRPr="007C51D6" w:rsidRDefault="008973C4" w:rsidP="008973C4">
            <w:pPr>
              <w:jc w:val="center"/>
              <w:rPr>
                <w:color w:val="000000"/>
                <w:sz w:val="20"/>
                <w:szCs w:val="20"/>
              </w:rPr>
            </w:pPr>
            <w:r w:rsidRPr="007C51D6">
              <w:rPr>
                <w:color w:val="000000"/>
                <w:sz w:val="20"/>
                <w:szCs w:val="20"/>
              </w:rPr>
              <w:t>866</w:t>
            </w:r>
          </w:p>
        </w:tc>
        <w:tc>
          <w:tcPr>
            <w:tcW w:w="1163" w:type="dxa"/>
            <w:shd w:val="clear" w:color="auto" w:fill="auto"/>
            <w:vAlign w:val="center"/>
          </w:tcPr>
          <w:p w:rsidR="008973C4" w:rsidRPr="007C51D6" w:rsidRDefault="008973C4" w:rsidP="008973C4">
            <w:pPr>
              <w:jc w:val="center"/>
              <w:rPr>
                <w:color w:val="000000"/>
                <w:sz w:val="20"/>
                <w:szCs w:val="20"/>
              </w:rPr>
            </w:pPr>
            <w:r w:rsidRPr="007C51D6">
              <w:rPr>
                <w:color w:val="000000"/>
                <w:sz w:val="20"/>
                <w:szCs w:val="20"/>
              </w:rPr>
              <w:t>908</w:t>
            </w:r>
          </w:p>
        </w:tc>
        <w:tc>
          <w:tcPr>
            <w:tcW w:w="1162" w:type="dxa"/>
            <w:shd w:val="clear" w:color="auto" w:fill="auto"/>
            <w:vAlign w:val="center"/>
          </w:tcPr>
          <w:p w:rsidR="008973C4" w:rsidRPr="007C51D6" w:rsidRDefault="008973C4" w:rsidP="008973C4">
            <w:pPr>
              <w:jc w:val="center"/>
              <w:rPr>
                <w:color w:val="000000"/>
                <w:sz w:val="20"/>
                <w:szCs w:val="20"/>
              </w:rPr>
            </w:pPr>
            <w:r w:rsidRPr="007C51D6">
              <w:rPr>
                <w:color w:val="000000"/>
                <w:sz w:val="20"/>
                <w:szCs w:val="20"/>
              </w:rPr>
              <w:t>874</w:t>
            </w:r>
          </w:p>
        </w:tc>
        <w:tc>
          <w:tcPr>
            <w:tcW w:w="1162" w:type="dxa"/>
            <w:shd w:val="clear" w:color="auto" w:fill="auto"/>
            <w:vAlign w:val="center"/>
          </w:tcPr>
          <w:p w:rsidR="008973C4" w:rsidRPr="007C51D6" w:rsidRDefault="008973C4" w:rsidP="008973C4">
            <w:pPr>
              <w:jc w:val="center"/>
              <w:rPr>
                <w:color w:val="000000"/>
                <w:sz w:val="20"/>
                <w:szCs w:val="20"/>
              </w:rPr>
            </w:pPr>
            <w:r w:rsidRPr="007C51D6">
              <w:rPr>
                <w:color w:val="000000"/>
                <w:sz w:val="20"/>
                <w:szCs w:val="20"/>
              </w:rPr>
              <w:t>860</w:t>
            </w:r>
          </w:p>
        </w:tc>
        <w:tc>
          <w:tcPr>
            <w:tcW w:w="1163" w:type="dxa"/>
            <w:vAlign w:val="center"/>
          </w:tcPr>
          <w:p w:rsidR="008973C4" w:rsidRPr="007C51D6" w:rsidRDefault="008973C4" w:rsidP="008973C4">
            <w:pPr>
              <w:jc w:val="center"/>
              <w:rPr>
                <w:color w:val="000000"/>
                <w:sz w:val="20"/>
                <w:szCs w:val="20"/>
              </w:rPr>
            </w:pPr>
            <w:r w:rsidRPr="007C51D6">
              <w:rPr>
                <w:color w:val="000000"/>
                <w:sz w:val="20"/>
                <w:szCs w:val="20"/>
              </w:rPr>
              <w:t>865</w:t>
            </w:r>
          </w:p>
        </w:tc>
        <w:tc>
          <w:tcPr>
            <w:tcW w:w="1162" w:type="dxa"/>
            <w:vAlign w:val="center"/>
          </w:tcPr>
          <w:p w:rsidR="008973C4" w:rsidRPr="007C51D6" w:rsidRDefault="008973C4" w:rsidP="008973C4">
            <w:pPr>
              <w:jc w:val="center"/>
              <w:rPr>
                <w:color w:val="000000"/>
                <w:sz w:val="20"/>
                <w:szCs w:val="20"/>
              </w:rPr>
            </w:pPr>
            <w:r w:rsidRPr="007C51D6">
              <w:rPr>
                <w:color w:val="000000"/>
                <w:sz w:val="20"/>
                <w:szCs w:val="20"/>
              </w:rPr>
              <w:t>887</w:t>
            </w:r>
          </w:p>
        </w:tc>
        <w:tc>
          <w:tcPr>
            <w:tcW w:w="1219" w:type="dxa"/>
            <w:vAlign w:val="center"/>
          </w:tcPr>
          <w:p w:rsidR="008973C4" w:rsidRPr="007C51D6" w:rsidRDefault="008973C4" w:rsidP="008973C4">
            <w:pPr>
              <w:jc w:val="center"/>
              <w:rPr>
                <w:color w:val="000000"/>
                <w:sz w:val="20"/>
                <w:szCs w:val="20"/>
              </w:rPr>
            </w:pPr>
            <w:r w:rsidRPr="007C51D6">
              <w:rPr>
                <w:color w:val="000000"/>
                <w:sz w:val="20"/>
                <w:szCs w:val="20"/>
              </w:rPr>
              <w:t>909</w:t>
            </w:r>
          </w:p>
        </w:tc>
        <w:tc>
          <w:tcPr>
            <w:tcW w:w="1305" w:type="dxa"/>
            <w:vAlign w:val="center"/>
          </w:tcPr>
          <w:p w:rsidR="008973C4" w:rsidRPr="007C51D6" w:rsidRDefault="008973C4" w:rsidP="008973C4">
            <w:pPr>
              <w:jc w:val="center"/>
              <w:rPr>
                <w:color w:val="000000"/>
                <w:sz w:val="20"/>
                <w:szCs w:val="20"/>
              </w:rPr>
            </w:pPr>
            <w:r w:rsidRPr="007C51D6">
              <w:rPr>
                <w:color w:val="000000"/>
                <w:sz w:val="20"/>
                <w:szCs w:val="20"/>
              </w:rPr>
              <w:t>925</w:t>
            </w:r>
          </w:p>
        </w:tc>
        <w:tc>
          <w:tcPr>
            <w:tcW w:w="1305" w:type="dxa"/>
            <w:vAlign w:val="center"/>
          </w:tcPr>
          <w:p w:rsidR="008973C4" w:rsidRPr="007C51D6" w:rsidRDefault="008973C4" w:rsidP="008973C4">
            <w:pPr>
              <w:jc w:val="center"/>
              <w:rPr>
                <w:color w:val="000000"/>
                <w:sz w:val="20"/>
                <w:szCs w:val="20"/>
              </w:rPr>
            </w:pPr>
            <w:r w:rsidRPr="007C51D6">
              <w:rPr>
                <w:color w:val="000000"/>
                <w:sz w:val="20"/>
                <w:szCs w:val="20"/>
              </w:rPr>
              <w:t>946</w:t>
            </w:r>
          </w:p>
        </w:tc>
      </w:tr>
      <w:tr w:rsidR="008973C4" w:rsidRPr="007C51D6" w:rsidTr="00080BEF">
        <w:trPr>
          <w:trHeight w:val="20"/>
        </w:trPr>
        <w:tc>
          <w:tcPr>
            <w:tcW w:w="3114" w:type="dxa"/>
            <w:shd w:val="clear" w:color="auto" w:fill="auto"/>
            <w:hideMark/>
          </w:tcPr>
          <w:p w:rsidR="008973C4" w:rsidRPr="007C51D6" w:rsidRDefault="008973C4" w:rsidP="008973C4">
            <w:pPr>
              <w:autoSpaceDE/>
              <w:autoSpaceDN/>
              <w:adjustRightInd/>
              <w:rPr>
                <w:color w:val="000000"/>
                <w:sz w:val="20"/>
                <w:szCs w:val="20"/>
              </w:rPr>
            </w:pPr>
            <w:r w:rsidRPr="007C51D6">
              <w:rPr>
                <w:color w:val="000000"/>
                <w:sz w:val="20"/>
                <w:szCs w:val="20"/>
              </w:rPr>
              <w:t>Спасский</w:t>
            </w:r>
          </w:p>
        </w:tc>
        <w:tc>
          <w:tcPr>
            <w:tcW w:w="1275" w:type="dxa"/>
            <w:shd w:val="clear" w:color="auto" w:fill="auto"/>
            <w:vAlign w:val="center"/>
          </w:tcPr>
          <w:p w:rsidR="008973C4" w:rsidRPr="007C51D6" w:rsidRDefault="008973C4" w:rsidP="008973C4">
            <w:pPr>
              <w:jc w:val="center"/>
              <w:rPr>
                <w:color w:val="000000"/>
                <w:sz w:val="20"/>
                <w:szCs w:val="20"/>
              </w:rPr>
            </w:pPr>
            <w:r w:rsidRPr="007C51D6">
              <w:rPr>
                <w:color w:val="000000"/>
                <w:sz w:val="20"/>
                <w:szCs w:val="20"/>
              </w:rPr>
              <w:t>503</w:t>
            </w:r>
          </w:p>
        </w:tc>
        <w:tc>
          <w:tcPr>
            <w:tcW w:w="1162" w:type="dxa"/>
            <w:shd w:val="clear" w:color="auto" w:fill="auto"/>
            <w:vAlign w:val="center"/>
          </w:tcPr>
          <w:p w:rsidR="008973C4" w:rsidRPr="007C51D6" w:rsidRDefault="008973C4" w:rsidP="008973C4">
            <w:pPr>
              <w:jc w:val="center"/>
              <w:rPr>
                <w:color w:val="000000"/>
                <w:sz w:val="20"/>
                <w:szCs w:val="20"/>
              </w:rPr>
            </w:pPr>
            <w:r w:rsidRPr="007C51D6">
              <w:rPr>
                <w:color w:val="000000"/>
                <w:sz w:val="20"/>
                <w:szCs w:val="20"/>
              </w:rPr>
              <w:t>518</w:t>
            </w:r>
          </w:p>
        </w:tc>
        <w:tc>
          <w:tcPr>
            <w:tcW w:w="1163" w:type="dxa"/>
            <w:shd w:val="clear" w:color="auto" w:fill="auto"/>
            <w:vAlign w:val="center"/>
          </w:tcPr>
          <w:p w:rsidR="008973C4" w:rsidRPr="007C51D6" w:rsidRDefault="008973C4" w:rsidP="008973C4">
            <w:pPr>
              <w:jc w:val="center"/>
              <w:rPr>
                <w:color w:val="000000"/>
                <w:sz w:val="20"/>
                <w:szCs w:val="20"/>
              </w:rPr>
            </w:pPr>
            <w:r w:rsidRPr="007C51D6">
              <w:rPr>
                <w:color w:val="000000"/>
                <w:sz w:val="20"/>
                <w:szCs w:val="20"/>
              </w:rPr>
              <w:t>586</w:t>
            </w:r>
          </w:p>
        </w:tc>
        <w:tc>
          <w:tcPr>
            <w:tcW w:w="1162" w:type="dxa"/>
            <w:shd w:val="clear" w:color="auto" w:fill="auto"/>
            <w:vAlign w:val="center"/>
          </w:tcPr>
          <w:p w:rsidR="008973C4" w:rsidRPr="007C51D6" w:rsidRDefault="008973C4" w:rsidP="008973C4">
            <w:pPr>
              <w:jc w:val="center"/>
              <w:rPr>
                <w:color w:val="000000"/>
                <w:sz w:val="20"/>
                <w:szCs w:val="20"/>
              </w:rPr>
            </w:pPr>
            <w:r w:rsidRPr="007C51D6">
              <w:rPr>
                <w:color w:val="000000"/>
                <w:sz w:val="20"/>
                <w:szCs w:val="20"/>
              </w:rPr>
              <w:t>585</w:t>
            </w:r>
          </w:p>
        </w:tc>
        <w:tc>
          <w:tcPr>
            <w:tcW w:w="1162" w:type="dxa"/>
            <w:shd w:val="clear" w:color="auto" w:fill="auto"/>
            <w:vAlign w:val="center"/>
          </w:tcPr>
          <w:p w:rsidR="008973C4" w:rsidRPr="007C51D6" w:rsidRDefault="008973C4" w:rsidP="008973C4">
            <w:pPr>
              <w:jc w:val="center"/>
              <w:rPr>
                <w:color w:val="000000"/>
                <w:sz w:val="20"/>
                <w:szCs w:val="20"/>
              </w:rPr>
            </w:pPr>
            <w:r w:rsidRPr="007C51D6">
              <w:rPr>
                <w:color w:val="000000"/>
                <w:sz w:val="20"/>
                <w:szCs w:val="20"/>
              </w:rPr>
              <w:t>589</w:t>
            </w:r>
          </w:p>
        </w:tc>
        <w:tc>
          <w:tcPr>
            <w:tcW w:w="1163" w:type="dxa"/>
            <w:vAlign w:val="center"/>
          </w:tcPr>
          <w:p w:rsidR="008973C4" w:rsidRPr="007C51D6" w:rsidRDefault="008973C4" w:rsidP="008973C4">
            <w:pPr>
              <w:jc w:val="center"/>
              <w:rPr>
                <w:color w:val="000000"/>
                <w:sz w:val="20"/>
                <w:szCs w:val="20"/>
              </w:rPr>
            </w:pPr>
            <w:r w:rsidRPr="007C51D6">
              <w:rPr>
                <w:color w:val="000000"/>
                <w:sz w:val="20"/>
                <w:szCs w:val="20"/>
              </w:rPr>
              <w:t>604</w:t>
            </w:r>
          </w:p>
        </w:tc>
        <w:tc>
          <w:tcPr>
            <w:tcW w:w="1162" w:type="dxa"/>
            <w:vAlign w:val="center"/>
          </w:tcPr>
          <w:p w:rsidR="008973C4" w:rsidRPr="007C51D6" w:rsidRDefault="008973C4" w:rsidP="008973C4">
            <w:pPr>
              <w:jc w:val="center"/>
              <w:rPr>
                <w:color w:val="000000"/>
                <w:sz w:val="20"/>
                <w:szCs w:val="20"/>
              </w:rPr>
            </w:pPr>
            <w:r w:rsidRPr="007C51D6">
              <w:rPr>
                <w:color w:val="000000"/>
                <w:sz w:val="20"/>
                <w:szCs w:val="20"/>
              </w:rPr>
              <w:t>606</w:t>
            </w:r>
          </w:p>
        </w:tc>
        <w:tc>
          <w:tcPr>
            <w:tcW w:w="1219" w:type="dxa"/>
            <w:vAlign w:val="center"/>
          </w:tcPr>
          <w:p w:rsidR="008973C4" w:rsidRPr="007C51D6" w:rsidRDefault="008973C4" w:rsidP="008973C4">
            <w:pPr>
              <w:jc w:val="center"/>
              <w:rPr>
                <w:color w:val="000000"/>
                <w:sz w:val="20"/>
                <w:szCs w:val="20"/>
              </w:rPr>
            </w:pPr>
            <w:r w:rsidRPr="007C51D6">
              <w:rPr>
                <w:color w:val="000000"/>
                <w:sz w:val="20"/>
                <w:szCs w:val="20"/>
              </w:rPr>
              <w:t>630</w:t>
            </w:r>
          </w:p>
        </w:tc>
        <w:tc>
          <w:tcPr>
            <w:tcW w:w="1305" w:type="dxa"/>
            <w:vAlign w:val="center"/>
          </w:tcPr>
          <w:p w:rsidR="008973C4" w:rsidRPr="007C51D6" w:rsidRDefault="008973C4" w:rsidP="008973C4">
            <w:pPr>
              <w:jc w:val="center"/>
              <w:rPr>
                <w:color w:val="000000"/>
                <w:sz w:val="20"/>
                <w:szCs w:val="20"/>
              </w:rPr>
            </w:pPr>
            <w:r w:rsidRPr="007C51D6">
              <w:rPr>
                <w:color w:val="000000"/>
                <w:sz w:val="20"/>
                <w:szCs w:val="20"/>
              </w:rPr>
              <w:t>655</w:t>
            </w:r>
          </w:p>
        </w:tc>
        <w:tc>
          <w:tcPr>
            <w:tcW w:w="1305" w:type="dxa"/>
            <w:vAlign w:val="center"/>
          </w:tcPr>
          <w:p w:rsidR="008973C4" w:rsidRPr="007C51D6" w:rsidRDefault="008973C4" w:rsidP="008973C4">
            <w:pPr>
              <w:jc w:val="center"/>
              <w:rPr>
                <w:color w:val="000000"/>
                <w:sz w:val="20"/>
                <w:szCs w:val="20"/>
              </w:rPr>
            </w:pPr>
            <w:r w:rsidRPr="007C51D6">
              <w:rPr>
                <w:color w:val="000000"/>
                <w:sz w:val="20"/>
                <w:szCs w:val="20"/>
              </w:rPr>
              <w:t>667</w:t>
            </w:r>
          </w:p>
        </w:tc>
      </w:tr>
      <w:tr w:rsidR="008973C4" w:rsidRPr="007C51D6" w:rsidTr="00080BEF">
        <w:trPr>
          <w:trHeight w:val="20"/>
        </w:trPr>
        <w:tc>
          <w:tcPr>
            <w:tcW w:w="3114" w:type="dxa"/>
            <w:shd w:val="clear" w:color="auto" w:fill="auto"/>
            <w:hideMark/>
          </w:tcPr>
          <w:p w:rsidR="008973C4" w:rsidRPr="007C51D6" w:rsidRDefault="008973C4" w:rsidP="008973C4">
            <w:pPr>
              <w:autoSpaceDE/>
              <w:autoSpaceDN/>
              <w:adjustRightInd/>
              <w:rPr>
                <w:color w:val="000000"/>
                <w:sz w:val="20"/>
                <w:szCs w:val="20"/>
              </w:rPr>
            </w:pPr>
            <w:r w:rsidRPr="007C51D6">
              <w:rPr>
                <w:color w:val="000000"/>
                <w:sz w:val="20"/>
                <w:szCs w:val="20"/>
              </w:rPr>
              <w:t>Тетюшский</w:t>
            </w:r>
          </w:p>
        </w:tc>
        <w:tc>
          <w:tcPr>
            <w:tcW w:w="1275" w:type="dxa"/>
            <w:shd w:val="clear" w:color="auto" w:fill="auto"/>
            <w:vAlign w:val="center"/>
          </w:tcPr>
          <w:p w:rsidR="008973C4" w:rsidRPr="007C51D6" w:rsidRDefault="008973C4" w:rsidP="008973C4">
            <w:pPr>
              <w:jc w:val="center"/>
              <w:rPr>
                <w:color w:val="000000"/>
                <w:sz w:val="20"/>
                <w:szCs w:val="20"/>
              </w:rPr>
            </w:pPr>
            <w:r w:rsidRPr="007C51D6">
              <w:rPr>
                <w:color w:val="000000"/>
                <w:sz w:val="20"/>
                <w:szCs w:val="20"/>
              </w:rPr>
              <w:t>656</w:t>
            </w:r>
          </w:p>
        </w:tc>
        <w:tc>
          <w:tcPr>
            <w:tcW w:w="1162" w:type="dxa"/>
            <w:shd w:val="clear" w:color="auto" w:fill="auto"/>
            <w:vAlign w:val="center"/>
          </w:tcPr>
          <w:p w:rsidR="008973C4" w:rsidRPr="007C51D6" w:rsidRDefault="008973C4" w:rsidP="008973C4">
            <w:pPr>
              <w:jc w:val="center"/>
              <w:rPr>
                <w:color w:val="000000"/>
                <w:sz w:val="20"/>
                <w:szCs w:val="20"/>
              </w:rPr>
            </w:pPr>
            <w:r w:rsidRPr="007C51D6">
              <w:rPr>
                <w:color w:val="000000"/>
                <w:sz w:val="20"/>
                <w:szCs w:val="20"/>
              </w:rPr>
              <w:t>688</w:t>
            </w:r>
          </w:p>
        </w:tc>
        <w:tc>
          <w:tcPr>
            <w:tcW w:w="1163" w:type="dxa"/>
            <w:shd w:val="clear" w:color="auto" w:fill="auto"/>
            <w:vAlign w:val="center"/>
          </w:tcPr>
          <w:p w:rsidR="008973C4" w:rsidRPr="007C51D6" w:rsidRDefault="008973C4" w:rsidP="008973C4">
            <w:pPr>
              <w:jc w:val="center"/>
              <w:rPr>
                <w:color w:val="000000"/>
                <w:sz w:val="20"/>
                <w:szCs w:val="20"/>
              </w:rPr>
            </w:pPr>
            <w:r w:rsidRPr="007C51D6">
              <w:rPr>
                <w:color w:val="000000"/>
                <w:sz w:val="20"/>
                <w:szCs w:val="20"/>
              </w:rPr>
              <w:t>720</w:t>
            </w:r>
          </w:p>
        </w:tc>
        <w:tc>
          <w:tcPr>
            <w:tcW w:w="1162" w:type="dxa"/>
            <w:shd w:val="clear" w:color="auto" w:fill="auto"/>
            <w:vAlign w:val="center"/>
          </w:tcPr>
          <w:p w:rsidR="008973C4" w:rsidRPr="007C51D6" w:rsidRDefault="008973C4" w:rsidP="008973C4">
            <w:pPr>
              <w:jc w:val="center"/>
              <w:rPr>
                <w:color w:val="000000"/>
                <w:sz w:val="20"/>
                <w:szCs w:val="20"/>
              </w:rPr>
            </w:pPr>
            <w:r w:rsidRPr="007C51D6">
              <w:rPr>
                <w:color w:val="000000"/>
                <w:sz w:val="20"/>
                <w:szCs w:val="20"/>
              </w:rPr>
              <w:t>756</w:t>
            </w:r>
          </w:p>
        </w:tc>
        <w:tc>
          <w:tcPr>
            <w:tcW w:w="1162" w:type="dxa"/>
            <w:shd w:val="clear" w:color="auto" w:fill="auto"/>
            <w:vAlign w:val="center"/>
          </w:tcPr>
          <w:p w:rsidR="008973C4" w:rsidRPr="007C51D6" w:rsidRDefault="008973C4" w:rsidP="008973C4">
            <w:pPr>
              <w:jc w:val="center"/>
              <w:rPr>
                <w:color w:val="000000"/>
                <w:sz w:val="20"/>
                <w:szCs w:val="20"/>
              </w:rPr>
            </w:pPr>
            <w:r w:rsidRPr="007C51D6">
              <w:rPr>
                <w:color w:val="000000"/>
                <w:sz w:val="20"/>
                <w:szCs w:val="20"/>
              </w:rPr>
              <w:t>696</w:t>
            </w:r>
          </w:p>
        </w:tc>
        <w:tc>
          <w:tcPr>
            <w:tcW w:w="1163" w:type="dxa"/>
            <w:vAlign w:val="center"/>
          </w:tcPr>
          <w:p w:rsidR="008973C4" w:rsidRPr="007C51D6" w:rsidRDefault="008973C4" w:rsidP="008973C4">
            <w:pPr>
              <w:jc w:val="center"/>
              <w:rPr>
                <w:color w:val="000000"/>
                <w:sz w:val="20"/>
                <w:szCs w:val="20"/>
              </w:rPr>
            </w:pPr>
            <w:r w:rsidRPr="007C51D6">
              <w:rPr>
                <w:color w:val="000000"/>
                <w:sz w:val="20"/>
                <w:szCs w:val="20"/>
              </w:rPr>
              <w:t>687</w:t>
            </w:r>
          </w:p>
        </w:tc>
        <w:tc>
          <w:tcPr>
            <w:tcW w:w="1162" w:type="dxa"/>
            <w:vAlign w:val="center"/>
          </w:tcPr>
          <w:p w:rsidR="008973C4" w:rsidRPr="007C51D6" w:rsidRDefault="008973C4" w:rsidP="008973C4">
            <w:pPr>
              <w:jc w:val="center"/>
              <w:rPr>
                <w:color w:val="000000"/>
                <w:sz w:val="20"/>
                <w:szCs w:val="20"/>
              </w:rPr>
            </w:pPr>
            <w:r w:rsidRPr="007C51D6">
              <w:rPr>
                <w:color w:val="000000"/>
                <w:sz w:val="20"/>
                <w:szCs w:val="20"/>
              </w:rPr>
              <w:t>711</w:t>
            </w:r>
          </w:p>
        </w:tc>
        <w:tc>
          <w:tcPr>
            <w:tcW w:w="1219" w:type="dxa"/>
            <w:vAlign w:val="center"/>
          </w:tcPr>
          <w:p w:rsidR="008973C4" w:rsidRPr="007C51D6" w:rsidRDefault="008973C4" w:rsidP="008973C4">
            <w:pPr>
              <w:jc w:val="center"/>
              <w:rPr>
                <w:color w:val="000000"/>
                <w:sz w:val="20"/>
                <w:szCs w:val="20"/>
              </w:rPr>
            </w:pPr>
            <w:r w:rsidRPr="007C51D6">
              <w:rPr>
                <w:color w:val="000000"/>
                <w:sz w:val="20"/>
                <w:szCs w:val="20"/>
              </w:rPr>
              <w:t>740</w:t>
            </w:r>
          </w:p>
        </w:tc>
        <w:tc>
          <w:tcPr>
            <w:tcW w:w="1305" w:type="dxa"/>
            <w:vAlign w:val="center"/>
          </w:tcPr>
          <w:p w:rsidR="008973C4" w:rsidRPr="007C51D6" w:rsidRDefault="008973C4" w:rsidP="008973C4">
            <w:pPr>
              <w:jc w:val="center"/>
              <w:rPr>
                <w:color w:val="000000"/>
                <w:sz w:val="20"/>
                <w:szCs w:val="20"/>
              </w:rPr>
            </w:pPr>
            <w:r w:rsidRPr="007C51D6">
              <w:rPr>
                <w:color w:val="000000"/>
                <w:sz w:val="20"/>
                <w:szCs w:val="20"/>
              </w:rPr>
              <w:t>767</w:t>
            </w:r>
          </w:p>
        </w:tc>
        <w:tc>
          <w:tcPr>
            <w:tcW w:w="1305" w:type="dxa"/>
            <w:vAlign w:val="center"/>
          </w:tcPr>
          <w:p w:rsidR="008973C4" w:rsidRPr="007C51D6" w:rsidRDefault="008973C4" w:rsidP="008973C4">
            <w:pPr>
              <w:jc w:val="center"/>
              <w:rPr>
                <w:color w:val="000000"/>
                <w:sz w:val="20"/>
                <w:szCs w:val="20"/>
              </w:rPr>
            </w:pPr>
            <w:r w:rsidRPr="007C51D6">
              <w:rPr>
                <w:color w:val="000000"/>
                <w:sz w:val="20"/>
                <w:szCs w:val="20"/>
              </w:rPr>
              <w:t>767</w:t>
            </w:r>
          </w:p>
        </w:tc>
      </w:tr>
      <w:tr w:rsidR="008973C4" w:rsidRPr="007C51D6" w:rsidTr="00080BEF">
        <w:trPr>
          <w:trHeight w:val="20"/>
        </w:trPr>
        <w:tc>
          <w:tcPr>
            <w:tcW w:w="3114" w:type="dxa"/>
            <w:shd w:val="clear" w:color="auto" w:fill="auto"/>
            <w:hideMark/>
          </w:tcPr>
          <w:p w:rsidR="008973C4" w:rsidRPr="007C51D6" w:rsidRDefault="008973C4" w:rsidP="008973C4">
            <w:pPr>
              <w:autoSpaceDE/>
              <w:autoSpaceDN/>
              <w:adjustRightInd/>
              <w:rPr>
                <w:color w:val="000000"/>
                <w:sz w:val="20"/>
                <w:szCs w:val="20"/>
              </w:rPr>
            </w:pPr>
            <w:r w:rsidRPr="007C51D6">
              <w:rPr>
                <w:color w:val="000000"/>
                <w:sz w:val="20"/>
                <w:szCs w:val="20"/>
              </w:rPr>
              <w:t>Тукаевский</w:t>
            </w:r>
          </w:p>
        </w:tc>
        <w:tc>
          <w:tcPr>
            <w:tcW w:w="1275" w:type="dxa"/>
            <w:shd w:val="clear" w:color="auto" w:fill="auto"/>
            <w:vAlign w:val="center"/>
          </w:tcPr>
          <w:p w:rsidR="008973C4" w:rsidRPr="007C51D6" w:rsidRDefault="008973C4" w:rsidP="008973C4">
            <w:pPr>
              <w:jc w:val="center"/>
              <w:rPr>
                <w:color w:val="000000"/>
                <w:sz w:val="20"/>
                <w:szCs w:val="20"/>
              </w:rPr>
            </w:pPr>
            <w:r w:rsidRPr="007C51D6">
              <w:rPr>
                <w:color w:val="000000"/>
                <w:sz w:val="20"/>
                <w:szCs w:val="20"/>
              </w:rPr>
              <w:t>784</w:t>
            </w:r>
          </w:p>
        </w:tc>
        <w:tc>
          <w:tcPr>
            <w:tcW w:w="1162" w:type="dxa"/>
            <w:shd w:val="clear" w:color="auto" w:fill="auto"/>
            <w:vAlign w:val="center"/>
          </w:tcPr>
          <w:p w:rsidR="008973C4" w:rsidRPr="007C51D6" w:rsidRDefault="008973C4" w:rsidP="008973C4">
            <w:pPr>
              <w:jc w:val="center"/>
              <w:rPr>
                <w:color w:val="000000"/>
                <w:sz w:val="20"/>
                <w:szCs w:val="20"/>
              </w:rPr>
            </w:pPr>
            <w:r w:rsidRPr="007C51D6">
              <w:rPr>
                <w:color w:val="000000"/>
                <w:sz w:val="20"/>
                <w:szCs w:val="20"/>
              </w:rPr>
              <w:t>848</w:t>
            </w:r>
          </w:p>
        </w:tc>
        <w:tc>
          <w:tcPr>
            <w:tcW w:w="1163" w:type="dxa"/>
            <w:shd w:val="clear" w:color="auto" w:fill="auto"/>
            <w:vAlign w:val="center"/>
          </w:tcPr>
          <w:p w:rsidR="008973C4" w:rsidRPr="007C51D6" w:rsidRDefault="008973C4" w:rsidP="008973C4">
            <w:pPr>
              <w:jc w:val="center"/>
              <w:rPr>
                <w:color w:val="000000"/>
                <w:sz w:val="20"/>
                <w:szCs w:val="20"/>
              </w:rPr>
            </w:pPr>
            <w:r w:rsidRPr="007C51D6">
              <w:rPr>
                <w:color w:val="000000"/>
                <w:sz w:val="20"/>
                <w:szCs w:val="20"/>
              </w:rPr>
              <w:t>905</w:t>
            </w:r>
          </w:p>
        </w:tc>
        <w:tc>
          <w:tcPr>
            <w:tcW w:w="1162" w:type="dxa"/>
            <w:shd w:val="clear" w:color="auto" w:fill="auto"/>
            <w:vAlign w:val="center"/>
          </w:tcPr>
          <w:p w:rsidR="008973C4" w:rsidRPr="007C51D6" w:rsidRDefault="008973C4" w:rsidP="008973C4">
            <w:pPr>
              <w:jc w:val="center"/>
              <w:rPr>
                <w:color w:val="000000"/>
                <w:sz w:val="20"/>
                <w:szCs w:val="20"/>
              </w:rPr>
            </w:pPr>
            <w:r w:rsidRPr="007C51D6">
              <w:rPr>
                <w:color w:val="000000"/>
                <w:sz w:val="20"/>
                <w:szCs w:val="20"/>
              </w:rPr>
              <w:t>947</w:t>
            </w:r>
          </w:p>
        </w:tc>
        <w:tc>
          <w:tcPr>
            <w:tcW w:w="1162" w:type="dxa"/>
            <w:shd w:val="clear" w:color="auto" w:fill="auto"/>
            <w:vAlign w:val="center"/>
          </w:tcPr>
          <w:p w:rsidR="008973C4" w:rsidRPr="007C51D6" w:rsidRDefault="008973C4" w:rsidP="008973C4">
            <w:pPr>
              <w:jc w:val="center"/>
              <w:rPr>
                <w:color w:val="000000"/>
                <w:sz w:val="20"/>
                <w:szCs w:val="20"/>
              </w:rPr>
            </w:pPr>
            <w:r w:rsidRPr="007C51D6">
              <w:rPr>
                <w:color w:val="000000"/>
                <w:sz w:val="20"/>
                <w:szCs w:val="20"/>
              </w:rPr>
              <w:t>919</w:t>
            </w:r>
          </w:p>
        </w:tc>
        <w:tc>
          <w:tcPr>
            <w:tcW w:w="1163" w:type="dxa"/>
            <w:vAlign w:val="center"/>
          </w:tcPr>
          <w:p w:rsidR="008973C4" w:rsidRPr="007C51D6" w:rsidRDefault="008973C4" w:rsidP="008973C4">
            <w:pPr>
              <w:jc w:val="center"/>
              <w:rPr>
                <w:color w:val="000000"/>
                <w:sz w:val="20"/>
                <w:szCs w:val="20"/>
              </w:rPr>
            </w:pPr>
            <w:r w:rsidRPr="007C51D6">
              <w:rPr>
                <w:color w:val="000000"/>
                <w:sz w:val="20"/>
                <w:szCs w:val="20"/>
              </w:rPr>
              <w:t>942</w:t>
            </w:r>
          </w:p>
        </w:tc>
        <w:tc>
          <w:tcPr>
            <w:tcW w:w="1162" w:type="dxa"/>
            <w:vAlign w:val="center"/>
          </w:tcPr>
          <w:p w:rsidR="008973C4" w:rsidRPr="007C51D6" w:rsidRDefault="008973C4" w:rsidP="008973C4">
            <w:pPr>
              <w:jc w:val="center"/>
              <w:rPr>
                <w:color w:val="000000"/>
                <w:sz w:val="20"/>
                <w:szCs w:val="20"/>
              </w:rPr>
            </w:pPr>
            <w:r w:rsidRPr="007C51D6">
              <w:rPr>
                <w:color w:val="000000"/>
                <w:sz w:val="20"/>
                <w:szCs w:val="20"/>
              </w:rPr>
              <w:t>1045</w:t>
            </w:r>
          </w:p>
        </w:tc>
        <w:tc>
          <w:tcPr>
            <w:tcW w:w="1219" w:type="dxa"/>
            <w:vAlign w:val="center"/>
          </w:tcPr>
          <w:p w:rsidR="008973C4" w:rsidRPr="007C51D6" w:rsidRDefault="008973C4" w:rsidP="008973C4">
            <w:pPr>
              <w:jc w:val="center"/>
              <w:rPr>
                <w:color w:val="000000"/>
                <w:sz w:val="20"/>
                <w:szCs w:val="20"/>
              </w:rPr>
            </w:pPr>
            <w:r w:rsidRPr="007C51D6">
              <w:rPr>
                <w:color w:val="000000"/>
                <w:sz w:val="20"/>
                <w:szCs w:val="20"/>
              </w:rPr>
              <w:t>1146</w:t>
            </w:r>
          </w:p>
        </w:tc>
        <w:tc>
          <w:tcPr>
            <w:tcW w:w="1305" w:type="dxa"/>
            <w:vAlign w:val="center"/>
          </w:tcPr>
          <w:p w:rsidR="008973C4" w:rsidRPr="007C51D6" w:rsidRDefault="008973C4" w:rsidP="008973C4">
            <w:pPr>
              <w:jc w:val="center"/>
              <w:rPr>
                <w:color w:val="000000"/>
                <w:sz w:val="20"/>
                <w:szCs w:val="20"/>
              </w:rPr>
            </w:pPr>
            <w:r w:rsidRPr="007C51D6">
              <w:rPr>
                <w:color w:val="000000"/>
                <w:sz w:val="20"/>
                <w:szCs w:val="20"/>
              </w:rPr>
              <w:t>1268</w:t>
            </w:r>
          </w:p>
        </w:tc>
        <w:tc>
          <w:tcPr>
            <w:tcW w:w="1305" w:type="dxa"/>
            <w:vAlign w:val="center"/>
          </w:tcPr>
          <w:p w:rsidR="008973C4" w:rsidRPr="007C51D6" w:rsidRDefault="008973C4" w:rsidP="008973C4">
            <w:pPr>
              <w:jc w:val="center"/>
              <w:rPr>
                <w:color w:val="000000"/>
                <w:sz w:val="20"/>
                <w:szCs w:val="20"/>
              </w:rPr>
            </w:pPr>
            <w:r w:rsidRPr="007C51D6">
              <w:rPr>
                <w:color w:val="000000"/>
                <w:sz w:val="20"/>
                <w:szCs w:val="20"/>
              </w:rPr>
              <w:t>1449</w:t>
            </w:r>
          </w:p>
        </w:tc>
      </w:tr>
      <w:tr w:rsidR="008973C4" w:rsidRPr="007C51D6" w:rsidTr="00080BEF">
        <w:trPr>
          <w:trHeight w:val="20"/>
        </w:trPr>
        <w:tc>
          <w:tcPr>
            <w:tcW w:w="3114" w:type="dxa"/>
            <w:shd w:val="clear" w:color="auto" w:fill="auto"/>
            <w:hideMark/>
          </w:tcPr>
          <w:p w:rsidR="008973C4" w:rsidRPr="007C51D6" w:rsidRDefault="008973C4" w:rsidP="008973C4">
            <w:pPr>
              <w:autoSpaceDE/>
              <w:autoSpaceDN/>
              <w:adjustRightInd/>
              <w:rPr>
                <w:color w:val="000000"/>
                <w:sz w:val="20"/>
                <w:szCs w:val="20"/>
              </w:rPr>
            </w:pPr>
            <w:r w:rsidRPr="007C51D6">
              <w:rPr>
                <w:color w:val="000000"/>
                <w:sz w:val="20"/>
                <w:szCs w:val="20"/>
              </w:rPr>
              <w:t>Тюлячинский</w:t>
            </w:r>
          </w:p>
        </w:tc>
        <w:tc>
          <w:tcPr>
            <w:tcW w:w="1275" w:type="dxa"/>
            <w:shd w:val="clear" w:color="auto" w:fill="auto"/>
            <w:vAlign w:val="center"/>
          </w:tcPr>
          <w:p w:rsidR="008973C4" w:rsidRPr="007C51D6" w:rsidRDefault="008973C4" w:rsidP="008973C4">
            <w:pPr>
              <w:jc w:val="center"/>
              <w:rPr>
                <w:color w:val="000000"/>
                <w:sz w:val="20"/>
                <w:szCs w:val="20"/>
              </w:rPr>
            </w:pPr>
            <w:r w:rsidRPr="007C51D6">
              <w:rPr>
                <w:color w:val="000000"/>
                <w:sz w:val="20"/>
                <w:szCs w:val="20"/>
              </w:rPr>
              <w:t>283</w:t>
            </w:r>
          </w:p>
        </w:tc>
        <w:tc>
          <w:tcPr>
            <w:tcW w:w="1162" w:type="dxa"/>
            <w:shd w:val="clear" w:color="auto" w:fill="auto"/>
            <w:vAlign w:val="center"/>
          </w:tcPr>
          <w:p w:rsidR="008973C4" w:rsidRPr="007C51D6" w:rsidRDefault="008973C4" w:rsidP="008973C4">
            <w:pPr>
              <w:jc w:val="center"/>
              <w:rPr>
                <w:color w:val="000000"/>
                <w:sz w:val="20"/>
                <w:szCs w:val="20"/>
              </w:rPr>
            </w:pPr>
            <w:r w:rsidRPr="007C51D6">
              <w:rPr>
                <w:color w:val="000000"/>
                <w:sz w:val="20"/>
                <w:szCs w:val="20"/>
              </w:rPr>
              <w:t>297</w:t>
            </w:r>
          </w:p>
        </w:tc>
        <w:tc>
          <w:tcPr>
            <w:tcW w:w="1163" w:type="dxa"/>
            <w:shd w:val="clear" w:color="auto" w:fill="auto"/>
            <w:vAlign w:val="center"/>
          </w:tcPr>
          <w:p w:rsidR="008973C4" w:rsidRPr="007C51D6" w:rsidRDefault="008973C4" w:rsidP="008973C4">
            <w:pPr>
              <w:jc w:val="center"/>
              <w:rPr>
                <w:color w:val="000000"/>
                <w:sz w:val="20"/>
                <w:szCs w:val="20"/>
              </w:rPr>
            </w:pPr>
            <w:r w:rsidRPr="007C51D6">
              <w:rPr>
                <w:color w:val="000000"/>
                <w:sz w:val="20"/>
                <w:szCs w:val="20"/>
              </w:rPr>
              <w:t>319</w:t>
            </w:r>
          </w:p>
        </w:tc>
        <w:tc>
          <w:tcPr>
            <w:tcW w:w="1162" w:type="dxa"/>
            <w:shd w:val="clear" w:color="auto" w:fill="auto"/>
            <w:vAlign w:val="center"/>
          </w:tcPr>
          <w:p w:rsidR="008973C4" w:rsidRPr="007C51D6" w:rsidRDefault="008973C4" w:rsidP="008973C4">
            <w:pPr>
              <w:jc w:val="center"/>
              <w:rPr>
                <w:color w:val="000000"/>
                <w:sz w:val="20"/>
                <w:szCs w:val="20"/>
              </w:rPr>
            </w:pPr>
            <w:r w:rsidRPr="007C51D6">
              <w:rPr>
                <w:color w:val="000000"/>
                <w:sz w:val="20"/>
                <w:szCs w:val="20"/>
              </w:rPr>
              <w:t>319</w:t>
            </w:r>
          </w:p>
        </w:tc>
        <w:tc>
          <w:tcPr>
            <w:tcW w:w="1162" w:type="dxa"/>
            <w:shd w:val="clear" w:color="auto" w:fill="auto"/>
            <w:vAlign w:val="center"/>
          </w:tcPr>
          <w:p w:rsidR="008973C4" w:rsidRPr="007C51D6" w:rsidRDefault="008973C4" w:rsidP="008973C4">
            <w:pPr>
              <w:jc w:val="center"/>
              <w:rPr>
                <w:color w:val="000000"/>
                <w:sz w:val="20"/>
                <w:szCs w:val="20"/>
              </w:rPr>
            </w:pPr>
            <w:r w:rsidRPr="007C51D6">
              <w:rPr>
                <w:color w:val="000000"/>
                <w:sz w:val="20"/>
                <w:szCs w:val="20"/>
              </w:rPr>
              <w:t>301</w:t>
            </w:r>
          </w:p>
        </w:tc>
        <w:tc>
          <w:tcPr>
            <w:tcW w:w="1163" w:type="dxa"/>
            <w:vAlign w:val="center"/>
          </w:tcPr>
          <w:p w:rsidR="008973C4" w:rsidRPr="007C51D6" w:rsidRDefault="008973C4" w:rsidP="008973C4">
            <w:pPr>
              <w:jc w:val="center"/>
              <w:rPr>
                <w:color w:val="000000"/>
                <w:sz w:val="20"/>
                <w:szCs w:val="20"/>
              </w:rPr>
            </w:pPr>
            <w:r w:rsidRPr="007C51D6">
              <w:rPr>
                <w:color w:val="000000"/>
                <w:sz w:val="20"/>
                <w:szCs w:val="20"/>
              </w:rPr>
              <w:t>299</w:t>
            </w:r>
          </w:p>
        </w:tc>
        <w:tc>
          <w:tcPr>
            <w:tcW w:w="1162" w:type="dxa"/>
            <w:vAlign w:val="center"/>
          </w:tcPr>
          <w:p w:rsidR="008973C4" w:rsidRPr="007C51D6" w:rsidRDefault="008973C4" w:rsidP="008973C4">
            <w:pPr>
              <w:jc w:val="center"/>
              <w:rPr>
                <w:color w:val="000000"/>
                <w:sz w:val="20"/>
                <w:szCs w:val="20"/>
              </w:rPr>
            </w:pPr>
            <w:r w:rsidRPr="007C51D6">
              <w:rPr>
                <w:color w:val="000000"/>
                <w:sz w:val="20"/>
                <w:szCs w:val="20"/>
              </w:rPr>
              <w:t>310</w:t>
            </w:r>
          </w:p>
        </w:tc>
        <w:tc>
          <w:tcPr>
            <w:tcW w:w="1219" w:type="dxa"/>
            <w:vAlign w:val="center"/>
          </w:tcPr>
          <w:p w:rsidR="008973C4" w:rsidRPr="007C51D6" w:rsidRDefault="008973C4" w:rsidP="008973C4">
            <w:pPr>
              <w:jc w:val="center"/>
              <w:rPr>
                <w:color w:val="000000"/>
                <w:sz w:val="20"/>
                <w:szCs w:val="20"/>
              </w:rPr>
            </w:pPr>
            <w:r w:rsidRPr="007C51D6">
              <w:rPr>
                <w:color w:val="000000"/>
                <w:sz w:val="20"/>
                <w:szCs w:val="20"/>
              </w:rPr>
              <w:t>320</w:t>
            </w:r>
          </w:p>
        </w:tc>
        <w:tc>
          <w:tcPr>
            <w:tcW w:w="1305" w:type="dxa"/>
            <w:vAlign w:val="center"/>
          </w:tcPr>
          <w:p w:rsidR="008973C4" w:rsidRPr="007C51D6" w:rsidRDefault="008973C4" w:rsidP="008973C4">
            <w:pPr>
              <w:jc w:val="center"/>
              <w:rPr>
                <w:color w:val="000000"/>
                <w:sz w:val="20"/>
                <w:szCs w:val="20"/>
              </w:rPr>
            </w:pPr>
            <w:r w:rsidRPr="007C51D6">
              <w:rPr>
                <w:color w:val="000000"/>
                <w:sz w:val="20"/>
                <w:szCs w:val="20"/>
              </w:rPr>
              <w:t>348</w:t>
            </w:r>
          </w:p>
        </w:tc>
        <w:tc>
          <w:tcPr>
            <w:tcW w:w="1305" w:type="dxa"/>
            <w:vAlign w:val="center"/>
          </w:tcPr>
          <w:p w:rsidR="008973C4" w:rsidRPr="007C51D6" w:rsidRDefault="008973C4" w:rsidP="008973C4">
            <w:pPr>
              <w:jc w:val="center"/>
              <w:rPr>
                <w:color w:val="000000"/>
                <w:sz w:val="20"/>
                <w:szCs w:val="20"/>
              </w:rPr>
            </w:pPr>
            <w:r w:rsidRPr="007C51D6">
              <w:rPr>
                <w:color w:val="000000"/>
                <w:sz w:val="20"/>
                <w:szCs w:val="20"/>
              </w:rPr>
              <w:t>358</w:t>
            </w:r>
          </w:p>
        </w:tc>
      </w:tr>
      <w:tr w:rsidR="008973C4" w:rsidRPr="007C51D6" w:rsidTr="00080BEF">
        <w:trPr>
          <w:trHeight w:val="20"/>
        </w:trPr>
        <w:tc>
          <w:tcPr>
            <w:tcW w:w="3114" w:type="dxa"/>
            <w:shd w:val="clear" w:color="auto" w:fill="auto"/>
            <w:hideMark/>
          </w:tcPr>
          <w:p w:rsidR="008973C4" w:rsidRPr="007C51D6" w:rsidRDefault="008973C4" w:rsidP="008973C4">
            <w:pPr>
              <w:autoSpaceDE/>
              <w:autoSpaceDN/>
              <w:adjustRightInd/>
              <w:rPr>
                <w:color w:val="000000"/>
                <w:sz w:val="20"/>
                <w:szCs w:val="20"/>
              </w:rPr>
            </w:pPr>
            <w:r w:rsidRPr="007C51D6">
              <w:rPr>
                <w:color w:val="000000"/>
                <w:sz w:val="20"/>
                <w:szCs w:val="20"/>
              </w:rPr>
              <w:t>Черемшанский</w:t>
            </w:r>
          </w:p>
        </w:tc>
        <w:tc>
          <w:tcPr>
            <w:tcW w:w="1275" w:type="dxa"/>
            <w:shd w:val="clear" w:color="auto" w:fill="auto"/>
            <w:vAlign w:val="center"/>
          </w:tcPr>
          <w:p w:rsidR="008973C4" w:rsidRPr="007C51D6" w:rsidRDefault="008973C4" w:rsidP="008973C4">
            <w:pPr>
              <w:jc w:val="center"/>
              <w:rPr>
                <w:color w:val="000000"/>
                <w:sz w:val="20"/>
                <w:szCs w:val="20"/>
              </w:rPr>
            </w:pPr>
            <w:r w:rsidRPr="007C51D6">
              <w:rPr>
                <w:color w:val="000000"/>
                <w:sz w:val="20"/>
                <w:szCs w:val="20"/>
              </w:rPr>
              <w:t>452</w:t>
            </w:r>
          </w:p>
        </w:tc>
        <w:tc>
          <w:tcPr>
            <w:tcW w:w="1162" w:type="dxa"/>
            <w:shd w:val="clear" w:color="auto" w:fill="auto"/>
            <w:vAlign w:val="center"/>
          </w:tcPr>
          <w:p w:rsidR="008973C4" w:rsidRPr="007C51D6" w:rsidRDefault="008973C4" w:rsidP="008973C4">
            <w:pPr>
              <w:jc w:val="center"/>
              <w:rPr>
                <w:color w:val="000000"/>
                <w:sz w:val="20"/>
                <w:szCs w:val="20"/>
              </w:rPr>
            </w:pPr>
            <w:r w:rsidRPr="007C51D6">
              <w:rPr>
                <w:color w:val="000000"/>
                <w:sz w:val="20"/>
                <w:szCs w:val="20"/>
              </w:rPr>
              <w:t>467</w:t>
            </w:r>
          </w:p>
        </w:tc>
        <w:tc>
          <w:tcPr>
            <w:tcW w:w="1163" w:type="dxa"/>
            <w:shd w:val="clear" w:color="auto" w:fill="auto"/>
            <w:vAlign w:val="center"/>
          </w:tcPr>
          <w:p w:rsidR="008973C4" w:rsidRPr="007C51D6" w:rsidRDefault="008973C4" w:rsidP="008973C4">
            <w:pPr>
              <w:jc w:val="center"/>
              <w:rPr>
                <w:color w:val="000000"/>
                <w:sz w:val="20"/>
                <w:szCs w:val="20"/>
              </w:rPr>
            </w:pPr>
            <w:r w:rsidRPr="007C51D6">
              <w:rPr>
                <w:color w:val="000000"/>
                <w:sz w:val="20"/>
                <w:szCs w:val="20"/>
              </w:rPr>
              <w:t>493</w:t>
            </w:r>
          </w:p>
        </w:tc>
        <w:tc>
          <w:tcPr>
            <w:tcW w:w="1162" w:type="dxa"/>
            <w:shd w:val="clear" w:color="auto" w:fill="auto"/>
            <w:vAlign w:val="center"/>
          </w:tcPr>
          <w:p w:rsidR="008973C4" w:rsidRPr="007C51D6" w:rsidRDefault="008973C4" w:rsidP="008973C4">
            <w:pPr>
              <w:jc w:val="center"/>
              <w:rPr>
                <w:color w:val="000000"/>
                <w:sz w:val="20"/>
                <w:szCs w:val="20"/>
              </w:rPr>
            </w:pPr>
            <w:r w:rsidRPr="007C51D6">
              <w:rPr>
                <w:color w:val="000000"/>
                <w:sz w:val="20"/>
                <w:szCs w:val="20"/>
              </w:rPr>
              <w:t>493</w:t>
            </w:r>
          </w:p>
        </w:tc>
        <w:tc>
          <w:tcPr>
            <w:tcW w:w="1162" w:type="dxa"/>
            <w:shd w:val="clear" w:color="auto" w:fill="auto"/>
            <w:vAlign w:val="center"/>
          </w:tcPr>
          <w:p w:rsidR="008973C4" w:rsidRPr="007C51D6" w:rsidRDefault="008973C4" w:rsidP="008973C4">
            <w:pPr>
              <w:jc w:val="center"/>
              <w:rPr>
                <w:color w:val="000000"/>
                <w:sz w:val="20"/>
                <w:szCs w:val="20"/>
              </w:rPr>
            </w:pPr>
            <w:r w:rsidRPr="007C51D6">
              <w:rPr>
                <w:color w:val="000000"/>
                <w:sz w:val="20"/>
                <w:szCs w:val="20"/>
              </w:rPr>
              <w:t>482</w:t>
            </w:r>
          </w:p>
        </w:tc>
        <w:tc>
          <w:tcPr>
            <w:tcW w:w="1163" w:type="dxa"/>
            <w:vAlign w:val="center"/>
          </w:tcPr>
          <w:p w:rsidR="008973C4" w:rsidRPr="007C51D6" w:rsidRDefault="008973C4" w:rsidP="008973C4">
            <w:pPr>
              <w:jc w:val="center"/>
              <w:rPr>
                <w:color w:val="000000"/>
                <w:sz w:val="20"/>
                <w:szCs w:val="20"/>
              </w:rPr>
            </w:pPr>
            <w:r w:rsidRPr="007C51D6">
              <w:rPr>
                <w:color w:val="000000"/>
                <w:sz w:val="20"/>
                <w:szCs w:val="20"/>
              </w:rPr>
              <w:t>494</w:t>
            </w:r>
          </w:p>
        </w:tc>
        <w:tc>
          <w:tcPr>
            <w:tcW w:w="1162" w:type="dxa"/>
            <w:vAlign w:val="center"/>
          </w:tcPr>
          <w:p w:rsidR="008973C4" w:rsidRPr="007C51D6" w:rsidRDefault="008973C4" w:rsidP="008973C4">
            <w:pPr>
              <w:jc w:val="center"/>
              <w:rPr>
                <w:color w:val="000000"/>
                <w:sz w:val="20"/>
                <w:szCs w:val="20"/>
              </w:rPr>
            </w:pPr>
            <w:r w:rsidRPr="007C51D6">
              <w:rPr>
                <w:color w:val="000000"/>
                <w:sz w:val="20"/>
                <w:szCs w:val="20"/>
              </w:rPr>
              <w:t>511</w:t>
            </w:r>
          </w:p>
        </w:tc>
        <w:tc>
          <w:tcPr>
            <w:tcW w:w="1219" w:type="dxa"/>
            <w:vAlign w:val="center"/>
          </w:tcPr>
          <w:p w:rsidR="008973C4" w:rsidRPr="007C51D6" w:rsidRDefault="008973C4" w:rsidP="008973C4">
            <w:pPr>
              <w:jc w:val="center"/>
              <w:rPr>
                <w:color w:val="000000"/>
                <w:sz w:val="20"/>
                <w:szCs w:val="20"/>
              </w:rPr>
            </w:pPr>
            <w:r w:rsidRPr="007C51D6">
              <w:rPr>
                <w:color w:val="000000"/>
                <w:sz w:val="20"/>
                <w:szCs w:val="20"/>
              </w:rPr>
              <w:t>538</w:t>
            </w:r>
          </w:p>
        </w:tc>
        <w:tc>
          <w:tcPr>
            <w:tcW w:w="1305" w:type="dxa"/>
            <w:vAlign w:val="center"/>
          </w:tcPr>
          <w:p w:rsidR="008973C4" w:rsidRPr="007C51D6" w:rsidRDefault="008973C4" w:rsidP="008973C4">
            <w:pPr>
              <w:jc w:val="center"/>
              <w:rPr>
                <w:color w:val="000000"/>
                <w:sz w:val="20"/>
                <w:szCs w:val="20"/>
              </w:rPr>
            </w:pPr>
            <w:r w:rsidRPr="007C51D6">
              <w:rPr>
                <w:color w:val="000000"/>
                <w:sz w:val="20"/>
                <w:szCs w:val="20"/>
              </w:rPr>
              <w:t>558</w:t>
            </w:r>
          </w:p>
        </w:tc>
        <w:tc>
          <w:tcPr>
            <w:tcW w:w="1305" w:type="dxa"/>
            <w:vAlign w:val="center"/>
          </w:tcPr>
          <w:p w:rsidR="008973C4" w:rsidRPr="007C51D6" w:rsidRDefault="008973C4" w:rsidP="008973C4">
            <w:pPr>
              <w:jc w:val="center"/>
              <w:rPr>
                <w:color w:val="000000"/>
                <w:sz w:val="20"/>
                <w:szCs w:val="20"/>
              </w:rPr>
            </w:pPr>
            <w:r w:rsidRPr="007C51D6">
              <w:rPr>
                <w:color w:val="000000"/>
                <w:sz w:val="20"/>
                <w:szCs w:val="20"/>
              </w:rPr>
              <w:t>540</w:t>
            </w:r>
          </w:p>
        </w:tc>
      </w:tr>
      <w:tr w:rsidR="008973C4" w:rsidRPr="007C51D6" w:rsidTr="00080BEF">
        <w:trPr>
          <w:trHeight w:val="20"/>
        </w:trPr>
        <w:tc>
          <w:tcPr>
            <w:tcW w:w="3114" w:type="dxa"/>
            <w:shd w:val="clear" w:color="auto" w:fill="auto"/>
            <w:hideMark/>
          </w:tcPr>
          <w:p w:rsidR="008973C4" w:rsidRPr="007C51D6" w:rsidRDefault="008973C4" w:rsidP="008973C4">
            <w:pPr>
              <w:autoSpaceDE/>
              <w:autoSpaceDN/>
              <w:adjustRightInd/>
              <w:rPr>
                <w:color w:val="000000"/>
                <w:sz w:val="20"/>
                <w:szCs w:val="20"/>
              </w:rPr>
            </w:pPr>
            <w:r w:rsidRPr="007C51D6">
              <w:rPr>
                <w:color w:val="000000"/>
                <w:sz w:val="20"/>
                <w:szCs w:val="20"/>
              </w:rPr>
              <w:t>Чистопольский</w:t>
            </w:r>
          </w:p>
        </w:tc>
        <w:tc>
          <w:tcPr>
            <w:tcW w:w="1275" w:type="dxa"/>
            <w:shd w:val="clear" w:color="auto" w:fill="auto"/>
            <w:vAlign w:val="center"/>
          </w:tcPr>
          <w:p w:rsidR="008973C4" w:rsidRPr="007C51D6" w:rsidRDefault="008973C4" w:rsidP="008973C4">
            <w:pPr>
              <w:jc w:val="center"/>
              <w:rPr>
                <w:color w:val="000000"/>
                <w:sz w:val="20"/>
                <w:szCs w:val="20"/>
              </w:rPr>
            </w:pPr>
            <w:r w:rsidRPr="007C51D6">
              <w:rPr>
                <w:color w:val="000000"/>
                <w:sz w:val="20"/>
                <w:szCs w:val="20"/>
              </w:rPr>
              <w:t>2052</w:t>
            </w:r>
          </w:p>
        </w:tc>
        <w:tc>
          <w:tcPr>
            <w:tcW w:w="1162" w:type="dxa"/>
            <w:shd w:val="clear" w:color="auto" w:fill="auto"/>
            <w:vAlign w:val="center"/>
          </w:tcPr>
          <w:p w:rsidR="008973C4" w:rsidRPr="007C51D6" w:rsidRDefault="008973C4" w:rsidP="008973C4">
            <w:pPr>
              <w:jc w:val="center"/>
              <w:rPr>
                <w:color w:val="000000"/>
                <w:sz w:val="20"/>
                <w:szCs w:val="20"/>
              </w:rPr>
            </w:pPr>
            <w:r w:rsidRPr="007C51D6">
              <w:rPr>
                <w:color w:val="000000"/>
                <w:sz w:val="20"/>
                <w:szCs w:val="20"/>
              </w:rPr>
              <w:t>2148</w:t>
            </w:r>
          </w:p>
        </w:tc>
        <w:tc>
          <w:tcPr>
            <w:tcW w:w="1163" w:type="dxa"/>
            <w:shd w:val="clear" w:color="auto" w:fill="auto"/>
            <w:vAlign w:val="center"/>
          </w:tcPr>
          <w:p w:rsidR="008973C4" w:rsidRPr="007C51D6" w:rsidRDefault="008973C4" w:rsidP="008973C4">
            <w:pPr>
              <w:jc w:val="center"/>
              <w:rPr>
                <w:color w:val="000000"/>
                <w:sz w:val="20"/>
                <w:szCs w:val="20"/>
              </w:rPr>
            </w:pPr>
            <w:r w:rsidRPr="007C51D6">
              <w:rPr>
                <w:color w:val="000000"/>
                <w:sz w:val="20"/>
                <w:szCs w:val="20"/>
              </w:rPr>
              <w:t>2302</w:t>
            </w:r>
          </w:p>
        </w:tc>
        <w:tc>
          <w:tcPr>
            <w:tcW w:w="1162" w:type="dxa"/>
            <w:shd w:val="clear" w:color="auto" w:fill="auto"/>
            <w:vAlign w:val="center"/>
          </w:tcPr>
          <w:p w:rsidR="008973C4" w:rsidRPr="007C51D6" w:rsidRDefault="008973C4" w:rsidP="008973C4">
            <w:pPr>
              <w:jc w:val="center"/>
              <w:rPr>
                <w:color w:val="000000"/>
                <w:sz w:val="20"/>
                <w:szCs w:val="20"/>
              </w:rPr>
            </w:pPr>
            <w:r w:rsidRPr="007C51D6">
              <w:rPr>
                <w:color w:val="000000"/>
                <w:sz w:val="20"/>
                <w:szCs w:val="20"/>
              </w:rPr>
              <w:t>2416</w:t>
            </w:r>
          </w:p>
        </w:tc>
        <w:tc>
          <w:tcPr>
            <w:tcW w:w="1162" w:type="dxa"/>
            <w:shd w:val="clear" w:color="auto" w:fill="auto"/>
            <w:vAlign w:val="center"/>
          </w:tcPr>
          <w:p w:rsidR="008973C4" w:rsidRPr="007C51D6" w:rsidRDefault="008973C4" w:rsidP="008973C4">
            <w:pPr>
              <w:jc w:val="center"/>
              <w:rPr>
                <w:color w:val="000000"/>
                <w:sz w:val="20"/>
                <w:szCs w:val="20"/>
              </w:rPr>
            </w:pPr>
            <w:r w:rsidRPr="007C51D6">
              <w:rPr>
                <w:color w:val="000000"/>
                <w:sz w:val="20"/>
                <w:szCs w:val="20"/>
              </w:rPr>
              <w:t>2278</w:t>
            </w:r>
          </w:p>
        </w:tc>
        <w:tc>
          <w:tcPr>
            <w:tcW w:w="1163" w:type="dxa"/>
            <w:vAlign w:val="center"/>
          </w:tcPr>
          <w:p w:rsidR="008973C4" w:rsidRPr="007C51D6" w:rsidRDefault="008973C4" w:rsidP="008973C4">
            <w:pPr>
              <w:jc w:val="center"/>
              <w:rPr>
                <w:color w:val="000000"/>
                <w:sz w:val="20"/>
                <w:szCs w:val="20"/>
              </w:rPr>
            </w:pPr>
            <w:r w:rsidRPr="007C51D6">
              <w:rPr>
                <w:color w:val="000000"/>
                <w:sz w:val="20"/>
                <w:szCs w:val="20"/>
              </w:rPr>
              <w:t>2293</w:t>
            </w:r>
          </w:p>
        </w:tc>
        <w:tc>
          <w:tcPr>
            <w:tcW w:w="1162" w:type="dxa"/>
            <w:vAlign w:val="center"/>
          </w:tcPr>
          <w:p w:rsidR="008973C4" w:rsidRPr="007C51D6" w:rsidRDefault="008973C4" w:rsidP="008973C4">
            <w:pPr>
              <w:jc w:val="center"/>
              <w:rPr>
                <w:color w:val="000000"/>
                <w:sz w:val="20"/>
                <w:szCs w:val="20"/>
              </w:rPr>
            </w:pPr>
            <w:r w:rsidRPr="007C51D6">
              <w:rPr>
                <w:color w:val="000000"/>
                <w:sz w:val="20"/>
                <w:szCs w:val="20"/>
              </w:rPr>
              <w:t>2388</w:t>
            </w:r>
          </w:p>
        </w:tc>
        <w:tc>
          <w:tcPr>
            <w:tcW w:w="1219" w:type="dxa"/>
            <w:vAlign w:val="center"/>
          </w:tcPr>
          <w:p w:rsidR="008973C4" w:rsidRPr="007C51D6" w:rsidRDefault="008973C4" w:rsidP="008973C4">
            <w:pPr>
              <w:jc w:val="center"/>
              <w:rPr>
                <w:color w:val="000000"/>
                <w:sz w:val="20"/>
                <w:szCs w:val="20"/>
              </w:rPr>
            </w:pPr>
            <w:r w:rsidRPr="007C51D6">
              <w:rPr>
                <w:color w:val="000000"/>
                <w:sz w:val="20"/>
                <w:szCs w:val="20"/>
              </w:rPr>
              <w:t>2483</w:t>
            </w:r>
          </w:p>
        </w:tc>
        <w:tc>
          <w:tcPr>
            <w:tcW w:w="1305" w:type="dxa"/>
            <w:vAlign w:val="center"/>
          </w:tcPr>
          <w:p w:rsidR="008973C4" w:rsidRPr="007C51D6" w:rsidRDefault="008973C4" w:rsidP="008973C4">
            <w:pPr>
              <w:jc w:val="center"/>
              <w:rPr>
                <w:color w:val="000000"/>
                <w:sz w:val="20"/>
                <w:szCs w:val="20"/>
              </w:rPr>
            </w:pPr>
            <w:r w:rsidRPr="007C51D6">
              <w:rPr>
                <w:color w:val="000000"/>
                <w:sz w:val="20"/>
                <w:szCs w:val="20"/>
              </w:rPr>
              <w:t>2608</w:t>
            </w:r>
          </w:p>
        </w:tc>
        <w:tc>
          <w:tcPr>
            <w:tcW w:w="1305" w:type="dxa"/>
            <w:vAlign w:val="center"/>
          </w:tcPr>
          <w:p w:rsidR="008973C4" w:rsidRPr="007C51D6" w:rsidRDefault="008973C4" w:rsidP="008973C4">
            <w:pPr>
              <w:jc w:val="center"/>
              <w:rPr>
                <w:color w:val="000000"/>
                <w:sz w:val="20"/>
                <w:szCs w:val="20"/>
              </w:rPr>
            </w:pPr>
            <w:r w:rsidRPr="007C51D6">
              <w:rPr>
                <w:color w:val="000000"/>
                <w:sz w:val="20"/>
                <w:szCs w:val="20"/>
              </w:rPr>
              <w:t>2688</w:t>
            </w:r>
          </w:p>
        </w:tc>
      </w:tr>
      <w:tr w:rsidR="008973C4" w:rsidRPr="007C51D6" w:rsidTr="00080BEF">
        <w:trPr>
          <w:trHeight w:val="20"/>
        </w:trPr>
        <w:tc>
          <w:tcPr>
            <w:tcW w:w="3114" w:type="dxa"/>
            <w:shd w:val="clear" w:color="auto" w:fill="auto"/>
            <w:hideMark/>
          </w:tcPr>
          <w:p w:rsidR="008973C4" w:rsidRPr="007C51D6" w:rsidRDefault="008973C4" w:rsidP="008973C4">
            <w:pPr>
              <w:autoSpaceDE/>
              <w:autoSpaceDN/>
              <w:adjustRightInd/>
              <w:rPr>
                <w:color w:val="000000"/>
                <w:sz w:val="20"/>
                <w:szCs w:val="20"/>
              </w:rPr>
            </w:pPr>
            <w:r w:rsidRPr="007C51D6">
              <w:rPr>
                <w:color w:val="000000"/>
                <w:sz w:val="20"/>
                <w:szCs w:val="20"/>
              </w:rPr>
              <w:t>Ютазинский</w:t>
            </w:r>
          </w:p>
        </w:tc>
        <w:tc>
          <w:tcPr>
            <w:tcW w:w="1275" w:type="dxa"/>
            <w:shd w:val="clear" w:color="auto" w:fill="auto"/>
            <w:vAlign w:val="center"/>
          </w:tcPr>
          <w:p w:rsidR="008973C4" w:rsidRPr="007C51D6" w:rsidRDefault="008973C4" w:rsidP="008973C4">
            <w:pPr>
              <w:jc w:val="center"/>
              <w:rPr>
                <w:color w:val="000000"/>
                <w:sz w:val="20"/>
                <w:szCs w:val="20"/>
              </w:rPr>
            </w:pPr>
            <w:r w:rsidRPr="007C51D6">
              <w:rPr>
                <w:color w:val="000000"/>
                <w:sz w:val="20"/>
                <w:szCs w:val="20"/>
              </w:rPr>
              <w:t>504</w:t>
            </w:r>
          </w:p>
        </w:tc>
        <w:tc>
          <w:tcPr>
            <w:tcW w:w="1162" w:type="dxa"/>
            <w:shd w:val="clear" w:color="auto" w:fill="auto"/>
            <w:vAlign w:val="center"/>
          </w:tcPr>
          <w:p w:rsidR="008973C4" w:rsidRPr="007C51D6" w:rsidRDefault="008973C4" w:rsidP="008973C4">
            <w:pPr>
              <w:jc w:val="center"/>
              <w:rPr>
                <w:color w:val="000000"/>
                <w:sz w:val="20"/>
                <w:szCs w:val="20"/>
              </w:rPr>
            </w:pPr>
            <w:r w:rsidRPr="007C51D6">
              <w:rPr>
                <w:color w:val="000000"/>
                <w:sz w:val="20"/>
                <w:szCs w:val="20"/>
              </w:rPr>
              <w:t>522</w:t>
            </w:r>
          </w:p>
        </w:tc>
        <w:tc>
          <w:tcPr>
            <w:tcW w:w="1163" w:type="dxa"/>
            <w:shd w:val="clear" w:color="auto" w:fill="auto"/>
            <w:vAlign w:val="center"/>
          </w:tcPr>
          <w:p w:rsidR="008973C4" w:rsidRPr="007C51D6" w:rsidRDefault="008973C4" w:rsidP="008973C4">
            <w:pPr>
              <w:jc w:val="center"/>
              <w:rPr>
                <w:color w:val="000000"/>
                <w:sz w:val="20"/>
                <w:szCs w:val="20"/>
              </w:rPr>
            </w:pPr>
            <w:r w:rsidRPr="007C51D6">
              <w:rPr>
                <w:color w:val="000000"/>
                <w:sz w:val="20"/>
                <w:szCs w:val="20"/>
              </w:rPr>
              <w:t>568</w:t>
            </w:r>
          </w:p>
        </w:tc>
        <w:tc>
          <w:tcPr>
            <w:tcW w:w="1162" w:type="dxa"/>
            <w:shd w:val="clear" w:color="auto" w:fill="auto"/>
            <w:vAlign w:val="center"/>
          </w:tcPr>
          <w:p w:rsidR="008973C4" w:rsidRPr="007C51D6" w:rsidRDefault="008973C4" w:rsidP="008973C4">
            <w:pPr>
              <w:jc w:val="center"/>
              <w:rPr>
                <w:color w:val="000000"/>
                <w:sz w:val="20"/>
                <w:szCs w:val="20"/>
              </w:rPr>
            </w:pPr>
            <w:r w:rsidRPr="007C51D6">
              <w:rPr>
                <w:color w:val="000000"/>
                <w:sz w:val="20"/>
                <w:szCs w:val="20"/>
              </w:rPr>
              <w:t>588</w:t>
            </w:r>
          </w:p>
        </w:tc>
        <w:tc>
          <w:tcPr>
            <w:tcW w:w="1162" w:type="dxa"/>
            <w:shd w:val="clear" w:color="auto" w:fill="auto"/>
            <w:vAlign w:val="center"/>
          </w:tcPr>
          <w:p w:rsidR="008973C4" w:rsidRPr="007C51D6" w:rsidRDefault="008973C4" w:rsidP="008973C4">
            <w:pPr>
              <w:jc w:val="center"/>
              <w:rPr>
                <w:color w:val="000000"/>
                <w:sz w:val="20"/>
                <w:szCs w:val="20"/>
              </w:rPr>
            </w:pPr>
            <w:r w:rsidRPr="007C51D6">
              <w:rPr>
                <w:color w:val="000000"/>
                <w:sz w:val="20"/>
                <w:szCs w:val="20"/>
              </w:rPr>
              <w:t>518</w:t>
            </w:r>
          </w:p>
        </w:tc>
        <w:tc>
          <w:tcPr>
            <w:tcW w:w="1163" w:type="dxa"/>
            <w:vAlign w:val="center"/>
          </w:tcPr>
          <w:p w:rsidR="008973C4" w:rsidRPr="007C51D6" w:rsidRDefault="008973C4" w:rsidP="008973C4">
            <w:pPr>
              <w:jc w:val="center"/>
              <w:rPr>
                <w:color w:val="000000"/>
                <w:sz w:val="20"/>
                <w:szCs w:val="20"/>
              </w:rPr>
            </w:pPr>
            <w:r w:rsidRPr="007C51D6">
              <w:rPr>
                <w:color w:val="000000"/>
                <w:sz w:val="20"/>
                <w:szCs w:val="20"/>
              </w:rPr>
              <w:t>525</w:t>
            </w:r>
          </w:p>
        </w:tc>
        <w:tc>
          <w:tcPr>
            <w:tcW w:w="1162" w:type="dxa"/>
            <w:vAlign w:val="center"/>
          </w:tcPr>
          <w:p w:rsidR="008973C4" w:rsidRPr="007C51D6" w:rsidRDefault="008973C4" w:rsidP="008973C4">
            <w:pPr>
              <w:jc w:val="center"/>
              <w:rPr>
                <w:color w:val="000000"/>
                <w:sz w:val="20"/>
                <w:szCs w:val="20"/>
              </w:rPr>
            </w:pPr>
            <w:r w:rsidRPr="007C51D6">
              <w:rPr>
                <w:color w:val="000000"/>
                <w:sz w:val="20"/>
                <w:szCs w:val="20"/>
              </w:rPr>
              <w:t>539</w:t>
            </w:r>
          </w:p>
        </w:tc>
        <w:tc>
          <w:tcPr>
            <w:tcW w:w="1219" w:type="dxa"/>
            <w:vAlign w:val="center"/>
          </w:tcPr>
          <w:p w:rsidR="008973C4" w:rsidRPr="007C51D6" w:rsidRDefault="008973C4" w:rsidP="008973C4">
            <w:pPr>
              <w:jc w:val="center"/>
              <w:rPr>
                <w:color w:val="000000"/>
                <w:sz w:val="20"/>
                <w:szCs w:val="20"/>
              </w:rPr>
            </w:pPr>
            <w:r w:rsidRPr="007C51D6">
              <w:rPr>
                <w:color w:val="000000"/>
                <w:sz w:val="20"/>
                <w:szCs w:val="20"/>
              </w:rPr>
              <w:t>565</w:t>
            </w:r>
          </w:p>
        </w:tc>
        <w:tc>
          <w:tcPr>
            <w:tcW w:w="1305" w:type="dxa"/>
            <w:vAlign w:val="center"/>
          </w:tcPr>
          <w:p w:rsidR="008973C4" w:rsidRPr="007C51D6" w:rsidRDefault="008973C4" w:rsidP="008973C4">
            <w:pPr>
              <w:jc w:val="center"/>
              <w:rPr>
                <w:color w:val="000000"/>
                <w:sz w:val="20"/>
                <w:szCs w:val="20"/>
              </w:rPr>
            </w:pPr>
            <w:r w:rsidRPr="007C51D6">
              <w:rPr>
                <w:color w:val="000000"/>
                <w:sz w:val="20"/>
                <w:szCs w:val="20"/>
              </w:rPr>
              <w:t>600</w:t>
            </w:r>
          </w:p>
        </w:tc>
        <w:tc>
          <w:tcPr>
            <w:tcW w:w="1305" w:type="dxa"/>
            <w:vAlign w:val="center"/>
          </w:tcPr>
          <w:p w:rsidR="008973C4" w:rsidRPr="007C51D6" w:rsidRDefault="008973C4" w:rsidP="008973C4">
            <w:pPr>
              <w:jc w:val="center"/>
              <w:rPr>
                <w:color w:val="000000"/>
                <w:sz w:val="20"/>
                <w:szCs w:val="20"/>
              </w:rPr>
            </w:pPr>
            <w:r w:rsidRPr="007C51D6">
              <w:rPr>
                <w:color w:val="000000"/>
                <w:sz w:val="20"/>
                <w:szCs w:val="20"/>
              </w:rPr>
              <w:t>616</w:t>
            </w:r>
          </w:p>
        </w:tc>
      </w:tr>
      <w:tr w:rsidR="008973C4" w:rsidRPr="007C51D6" w:rsidTr="00080BEF">
        <w:trPr>
          <w:trHeight w:val="20"/>
        </w:trPr>
        <w:tc>
          <w:tcPr>
            <w:tcW w:w="3114" w:type="dxa"/>
            <w:shd w:val="clear" w:color="auto" w:fill="auto"/>
            <w:hideMark/>
          </w:tcPr>
          <w:p w:rsidR="008973C4" w:rsidRPr="007C51D6" w:rsidRDefault="008973C4" w:rsidP="008973C4">
            <w:pPr>
              <w:autoSpaceDE/>
              <w:autoSpaceDN/>
              <w:adjustRightInd/>
              <w:rPr>
                <w:color w:val="000000"/>
                <w:sz w:val="20"/>
                <w:szCs w:val="20"/>
              </w:rPr>
            </w:pPr>
            <w:r w:rsidRPr="007C51D6">
              <w:rPr>
                <w:color w:val="000000"/>
                <w:sz w:val="20"/>
                <w:szCs w:val="20"/>
              </w:rPr>
              <w:t>г.Набережные Челны</w:t>
            </w:r>
          </w:p>
        </w:tc>
        <w:tc>
          <w:tcPr>
            <w:tcW w:w="1275" w:type="dxa"/>
            <w:shd w:val="clear" w:color="auto" w:fill="auto"/>
            <w:vAlign w:val="center"/>
          </w:tcPr>
          <w:p w:rsidR="008973C4" w:rsidRPr="007C51D6" w:rsidRDefault="008973C4" w:rsidP="008973C4">
            <w:pPr>
              <w:jc w:val="center"/>
              <w:rPr>
                <w:color w:val="000000"/>
                <w:sz w:val="20"/>
                <w:szCs w:val="20"/>
              </w:rPr>
            </w:pPr>
            <w:r w:rsidRPr="007C51D6">
              <w:rPr>
                <w:color w:val="000000"/>
                <w:sz w:val="20"/>
                <w:szCs w:val="20"/>
              </w:rPr>
              <w:t>13512</w:t>
            </w:r>
          </w:p>
        </w:tc>
        <w:tc>
          <w:tcPr>
            <w:tcW w:w="1162" w:type="dxa"/>
            <w:shd w:val="clear" w:color="auto" w:fill="auto"/>
            <w:vAlign w:val="center"/>
          </w:tcPr>
          <w:p w:rsidR="008973C4" w:rsidRPr="007C51D6" w:rsidRDefault="008973C4" w:rsidP="008973C4">
            <w:pPr>
              <w:jc w:val="center"/>
              <w:rPr>
                <w:color w:val="000000"/>
                <w:sz w:val="20"/>
                <w:szCs w:val="20"/>
              </w:rPr>
            </w:pPr>
            <w:r w:rsidRPr="007C51D6">
              <w:rPr>
                <w:color w:val="000000"/>
                <w:sz w:val="20"/>
                <w:szCs w:val="20"/>
              </w:rPr>
              <w:t>14431</w:t>
            </w:r>
          </w:p>
        </w:tc>
        <w:tc>
          <w:tcPr>
            <w:tcW w:w="1163" w:type="dxa"/>
            <w:shd w:val="clear" w:color="auto" w:fill="auto"/>
            <w:vAlign w:val="center"/>
          </w:tcPr>
          <w:p w:rsidR="008973C4" w:rsidRPr="007C51D6" w:rsidRDefault="008973C4" w:rsidP="008973C4">
            <w:pPr>
              <w:jc w:val="center"/>
              <w:rPr>
                <w:color w:val="000000"/>
                <w:sz w:val="20"/>
                <w:szCs w:val="20"/>
              </w:rPr>
            </w:pPr>
            <w:r w:rsidRPr="007C51D6">
              <w:rPr>
                <w:color w:val="000000"/>
                <w:sz w:val="20"/>
                <w:szCs w:val="20"/>
              </w:rPr>
              <w:t>15282</w:t>
            </w:r>
          </w:p>
        </w:tc>
        <w:tc>
          <w:tcPr>
            <w:tcW w:w="1162" w:type="dxa"/>
            <w:shd w:val="clear" w:color="auto" w:fill="auto"/>
            <w:vAlign w:val="center"/>
          </w:tcPr>
          <w:p w:rsidR="008973C4" w:rsidRPr="007C51D6" w:rsidRDefault="008973C4" w:rsidP="008973C4">
            <w:pPr>
              <w:jc w:val="center"/>
              <w:rPr>
                <w:color w:val="000000"/>
                <w:sz w:val="20"/>
                <w:szCs w:val="20"/>
              </w:rPr>
            </w:pPr>
            <w:r w:rsidRPr="007C51D6">
              <w:rPr>
                <w:color w:val="000000"/>
                <w:sz w:val="20"/>
                <w:szCs w:val="20"/>
              </w:rPr>
              <w:t>16140</w:t>
            </w:r>
          </w:p>
        </w:tc>
        <w:tc>
          <w:tcPr>
            <w:tcW w:w="1162" w:type="dxa"/>
            <w:shd w:val="clear" w:color="auto" w:fill="auto"/>
            <w:vAlign w:val="center"/>
          </w:tcPr>
          <w:p w:rsidR="008973C4" w:rsidRPr="007C51D6" w:rsidRDefault="008973C4" w:rsidP="008973C4">
            <w:pPr>
              <w:jc w:val="center"/>
              <w:rPr>
                <w:color w:val="000000"/>
                <w:sz w:val="20"/>
                <w:szCs w:val="20"/>
              </w:rPr>
            </w:pPr>
            <w:r w:rsidRPr="007C51D6">
              <w:rPr>
                <w:color w:val="000000"/>
                <w:sz w:val="20"/>
                <w:szCs w:val="20"/>
              </w:rPr>
              <w:t>15534</w:t>
            </w:r>
          </w:p>
        </w:tc>
        <w:tc>
          <w:tcPr>
            <w:tcW w:w="1163" w:type="dxa"/>
            <w:vAlign w:val="center"/>
          </w:tcPr>
          <w:p w:rsidR="008973C4" w:rsidRPr="007C51D6" w:rsidRDefault="008973C4" w:rsidP="008973C4">
            <w:pPr>
              <w:jc w:val="center"/>
              <w:rPr>
                <w:color w:val="000000"/>
                <w:sz w:val="20"/>
                <w:szCs w:val="20"/>
              </w:rPr>
            </w:pPr>
            <w:r w:rsidRPr="007C51D6">
              <w:rPr>
                <w:color w:val="000000"/>
                <w:sz w:val="20"/>
                <w:szCs w:val="20"/>
              </w:rPr>
              <w:t>15701</w:t>
            </w:r>
          </w:p>
        </w:tc>
        <w:tc>
          <w:tcPr>
            <w:tcW w:w="1162" w:type="dxa"/>
            <w:vAlign w:val="center"/>
          </w:tcPr>
          <w:p w:rsidR="008973C4" w:rsidRPr="007C51D6" w:rsidRDefault="008973C4" w:rsidP="008973C4">
            <w:pPr>
              <w:jc w:val="center"/>
              <w:rPr>
                <w:color w:val="000000"/>
                <w:sz w:val="20"/>
                <w:szCs w:val="20"/>
              </w:rPr>
            </w:pPr>
            <w:r w:rsidRPr="007C51D6">
              <w:rPr>
                <w:color w:val="000000"/>
                <w:sz w:val="20"/>
                <w:szCs w:val="20"/>
              </w:rPr>
              <w:t>16216</w:t>
            </w:r>
          </w:p>
        </w:tc>
        <w:tc>
          <w:tcPr>
            <w:tcW w:w="1219" w:type="dxa"/>
            <w:vAlign w:val="center"/>
          </w:tcPr>
          <w:p w:rsidR="008973C4" w:rsidRPr="007C51D6" w:rsidRDefault="008973C4" w:rsidP="008973C4">
            <w:pPr>
              <w:jc w:val="center"/>
              <w:rPr>
                <w:color w:val="000000"/>
                <w:sz w:val="20"/>
                <w:szCs w:val="20"/>
              </w:rPr>
            </w:pPr>
            <w:r w:rsidRPr="007C51D6">
              <w:rPr>
                <w:color w:val="000000"/>
                <w:sz w:val="20"/>
                <w:szCs w:val="20"/>
              </w:rPr>
              <w:t>16992</w:t>
            </w:r>
          </w:p>
        </w:tc>
        <w:tc>
          <w:tcPr>
            <w:tcW w:w="1305" w:type="dxa"/>
            <w:vAlign w:val="center"/>
          </w:tcPr>
          <w:p w:rsidR="008973C4" w:rsidRPr="007C51D6" w:rsidRDefault="008973C4" w:rsidP="008973C4">
            <w:pPr>
              <w:jc w:val="center"/>
              <w:rPr>
                <w:color w:val="000000"/>
                <w:sz w:val="20"/>
                <w:szCs w:val="20"/>
              </w:rPr>
            </w:pPr>
            <w:r w:rsidRPr="007C51D6">
              <w:rPr>
                <w:color w:val="000000"/>
                <w:sz w:val="20"/>
                <w:szCs w:val="20"/>
              </w:rPr>
              <w:t>17997</w:t>
            </w:r>
          </w:p>
        </w:tc>
        <w:tc>
          <w:tcPr>
            <w:tcW w:w="1305" w:type="dxa"/>
            <w:vAlign w:val="center"/>
          </w:tcPr>
          <w:p w:rsidR="008973C4" w:rsidRPr="007C51D6" w:rsidRDefault="008973C4" w:rsidP="008973C4">
            <w:pPr>
              <w:jc w:val="center"/>
              <w:rPr>
                <w:color w:val="000000"/>
                <w:sz w:val="20"/>
                <w:szCs w:val="20"/>
              </w:rPr>
            </w:pPr>
            <w:r w:rsidRPr="007C51D6">
              <w:rPr>
                <w:color w:val="000000"/>
                <w:sz w:val="20"/>
                <w:szCs w:val="20"/>
              </w:rPr>
              <w:t>17661</w:t>
            </w:r>
          </w:p>
        </w:tc>
      </w:tr>
      <w:tr w:rsidR="008973C4" w:rsidRPr="007C51D6" w:rsidTr="008A139C">
        <w:trPr>
          <w:trHeight w:val="20"/>
        </w:trPr>
        <w:tc>
          <w:tcPr>
            <w:tcW w:w="3114" w:type="dxa"/>
            <w:shd w:val="clear" w:color="auto" w:fill="auto"/>
          </w:tcPr>
          <w:p w:rsidR="008973C4" w:rsidRPr="007C51D6" w:rsidRDefault="008973C4" w:rsidP="008973C4">
            <w:pPr>
              <w:autoSpaceDE/>
              <w:autoSpaceDN/>
              <w:adjustRightInd/>
              <w:jc w:val="center"/>
              <w:rPr>
                <w:color w:val="000000"/>
                <w:sz w:val="20"/>
                <w:szCs w:val="20"/>
              </w:rPr>
            </w:pPr>
            <w:r w:rsidRPr="007C51D6">
              <w:rPr>
                <w:color w:val="000000"/>
                <w:sz w:val="20"/>
                <w:szCs w:val="20"/>
              </w:rPr>
              <w:t>1</w:t>
            </w:r>
          </w:p>
        </w:tc>
        <w:tc>
          <w:tcPr>
            <w:tcW w:w="1275" w:type="dxa"/>
            <w:shd w:val="clear" w:color="auto" w:fill="auto"/>
          </w:tcPr>
          <w:p w:rsidR="008973C4" w:rsidRPr="007C51D6" w:rsidRDefault="008973C4" w:rsidP="008973C4">
            <w:pPr>
              <w:autoSpaceDE/>
              <w:autoSpaceDN/>
              <w:adjustRightInd/>
              <w:jc w:val="center"/>
              <w:rPr>
                <w:color w:val="000000"/>
                <w:sz w:val="20"/>
                <w:szCs w:val="20"/>
              </w:rPr>
            </w:pPr>
            <w:r w:rsidRPr="007C51D6">
              <w:rPr>
                <w:color w:val="000000"/>
                <w:sz w:val="20"/>
                <w:szCs w:val="20"/>
              </w:rPr>
              <w:t>2</w:t>
            </w:r>
          </w:p>
        </w:tc>
        <w:tc>
          <w:tcPr>
            <w:tcW w:w="1162" w:type="dxa"/>
            <w:shd w:val="clear" w:color="auto" w:fill="auto"/>
          </w:tcPr>
          <w:p w:rsidR="008973C4" w:rsidRPr="007C51D6" w:rsidRDefault="008973C4" w:rsidP="008973C4">
            <w:pPr>
              <w:autoSpaceDE/>
              <w:autoSpaceDN/>
              <w:adjustRightInd/>
              <w:jc w:val="center"/>
              <w:rPr>
                <w:color w:val="000000"/>
                <w:sz w:val="20"/>
                <w:szCs w:val="20"/>
              </w:rPr>
            </w:pPr>
            <w:r w:rsidRPr="007C51D6">
              <w:rPr>
                <w:color w:val="000000"/>
                <w:sz w:val="20"/>
                <w:szCs w:val="20"/>
              </w:rPr>
              <w:t>3</w:t>
            </w:r>
          </w:p>
        </w:tc>
        <w:tc>
          <w:tcPr>
            <w:tcW w:w="1163" w:type="dxa"/>
            <w:shd w:val="clear" w:color="auto" w:fill="auto"/>
          </w:tcPr>
          <w:p w:rsidR="008973C4" w:rsidRPr="007C51D6" w:rsidRDefault="008973C4" w:rsidP="008973C4">
            <w:pPr>
              <w:autoSpaceDE/>
              <w:autoSpaceDN/>
              <w:adjustRightInd/>
              <w:jc w:val="center"/>
              <w:rPr>
                <w:color w:val="000000"/>
                <w:sz w:val="20"/>
                <w:szCs w:val="20"/>
              </w:rPr>
            </w:pPr>
            <w:r w:rsidRPr="007C51D6">
              <w:rPr>
                <w:color w:val="000000"/>
                <w:sz w:val="20"/>
                <w:szCs w:val="20"/>
              </w:rPr>
              <w:t>4</w:t>
            </w:r>
          </w:p>
        </w:tc>
        <w:tc>
          <w:tcPr>
            <w:tcW w:w="1162" w:type="dxa"/>
            <w:shd w:val="clear" w:color="auto" w:fill="auto"/>
          </w:tcPr>
          <w:p w:rsidR="008973C4" w:rsidRPr="007C51D6" w:rsidRDefault="008973C4" w:rsidP="008973C4">
            <w:pPr>
              <w:autoSpaceDE/>
              <w:autoSpaceDN/>
              <w:adjustRightInd/>
              <w:jc w:val="center"/>
              <w:rPr>
                <w:color w:val="000000"/>
                <w:sz w:val="20"/>
                <w:szCs w:val="20"/>
              </w:rPr>
            </w:pPr>
            <w:r w:rsidRPr="007C51D6">
              <w:rPr>
                <w:color w:val="000000"/>
                <w:sz w:val="20"/>
                <w:szCs w:val="20"/>
              </w:rPr>
              <w:t>5</w:t>
            </w:r>
          </w:p>
        </w:tc>
        <w:tc>
          <w:tcPr>
            <w:tcW w:w="1162" w:type="dxa"/>
            <w:shd w:val="clear" w:color="auto" w:fill="auto"/>
            <w:noWrap/>
          </w:tcPr>
          <w:p w:rsidR="008973C4" w:rsidRPr="007C51D6" w:rsidRDefault="008973C4" w:rsidP="008973C4">
            <w:pPr>
              <w:autoSpaceDE/>
              <w:autoSpaceDN/>
              <w:adjustRightInd/>
              <w:jc w:val="center"/>
              <w:rPr>
                <w:color w:val="000000"/>
                <w:sz w:val="20"/>
                <w:szCs w:val="20"/>
              </w:rPr>
            </w:pPr>
            <w:r w:rsidRPr="007C51D6">
              <w:rPr>
                <w:color w:val="000000"/>
                <w:sz w:val="20"/>
                <w:szCs w:val="20"/>
              </w:rPr>
              <w:t>6</w:t>
            </w:r>
          </w:p>
        </w:tc>
        <w:tc>
          <w:tcPr>
            <w:tcW w:w="1163" w:type="dxa"/>
          </w:tcPr>
          <w:p w:rsidR="008973C4" w:rsidRPr="007C51D6" w:rsidRDefault="008973C4" w:rsidP="008973C4">
            <w:pPr>
              <w:autoSpaceDE/>
              <w:autoSpaceDN/>
              <w:adjustRightInd/>
              <w:jc w:val="center"/>
              <w:rPr>
                <w:color w:val="000000"/>
                <w:sz w:val="20"/>
                <w:szCs w:val="20"/>
              </w:rPr>
            </w:pPr>
            <w:r w:rsidRPr="007C51D6">
              <w:rPr>
                <w:color w:val="000000"/>
                <w:sz w:val="20"/>
                <w:szCs w:val="20"/>
              </w:rPr>
              <w:t>7</w:t>
            </w:r>
          </w:p>
        </w:tc>
        <w:tc>
          <w:tcPr>
            <w:tcW w:w="1162" w:type="dxa"/>
          </w:tcPr>
          <w:p w:rsidR="008973C4" w:rsidRPr="007C51D6" w:rsidRDefault="008973C4" w:rsidP="008973C4">
            <w:pPr>
              <w:autoSpaceDE/>
              <w:autoSpaceDN/>
              <w:adjustRightInd/>
              <w:jc w:val="center"/>
              <w:rPr>
                <w:color w:val="000000"/>
                <w:sz w:val="20"/>
                <w:szCs w:val="20"/>
              </w:rPr>
            </w:pPr>
            <w:r w:rsidRPr="007C51D6">
              <w:rPr>
                <w:color w:val="000000"/>
                <w:sz w:val="20"/>
                <w:szCs w:val="20"/>
              </w:rPr>
              <w:t>8</w:t>
            </w:r>
          </w:p>
        </w:tc>
        <w:tc>
          <w:tcPr>
            <w:tcW w:w="1219" w:type="dxa"/>
          </w:tcPr>
          <w:p w:rsidR="008973C4" w:rsidRPr="007C51D6" w:rsidRDefault="008973C4" w:rsidP="008973C4">
            <w:pPr>
              <w:autoSpaceDE/>
              <w:autoSpaceDN/>
              <w:adjustRightInd/>
              <w:jc w:val="center"/>
              <w:rPr>
                <w:color w:val="000000"/>
                <w:sz w:val="20"/>
                <w:szCs w:val="20"/>
              </w:rPr>
            </w:pPr>
            <w:r w:rsidRPr="007C51D6">
              <w:rPr>
                <w:color w:val="000000"/>
                <w:sz w:val="20"/>
                <w:szCs w:val="20"/>
              </w:rPr>
              <w:t>9</w:t>
            </w:r>
          </w:p>
        </w:tc>
        <w:tc>
          <w:tcPr>
            <w:tcW w:w="1305" w:type="dxa"/>
          </w:tcPr>
          <w:p w:rsidR="008973C4" w:rsidRPr="007C51D6" w:rsidRDefault="008973C4" w:rsidP="008973C4">
            <w:pPr>
              <w:autoSpaceDE/>
              <w:autoSpaceDN/>
              <w:adjustRightInd/>
              <w:jc w:val="center"/>
              <w:rPr>
                <w:color w:val="000000"/>
                <w:sz w:val="20"/>
                <w:szCs w:val="20"/>
              </w:rPr>
            </w:pPr>
            <w:r w:rsidRPr="007C51D6">
              <w:rPr>
                <w:color w:val="000000"/>
                <w:sz w:val="20"/>
                <w:szCs w:val="20"/>
              </w:rPr>
              <w:t>10</w:t>
            </w:r>
          </w:p>
        </w:tc>
        <w:tc>
          <w:tcPr>
            <w:tcW w:w="1305" w:type="dxa"/>
          </w:tcPr>
          <w:p w:rsidR="008973C4" w:rsidRPr="007C51D6" w:rsidRDefault="008973C4" w:rsidP="008973C4">
            <w:pPr>
              <w:autoSpaceDE/>
              <w:autoSpaceDN/>
              <w:adjustRightInd/>
              <w:jc w:val="center"/>
              <w:rPr>
                <w:color w:val="000000"/>
                <w:sz w:val="20"/>
                <w:szCs w:val="20"/>
              </w:rPr>
            </w:pPr>
            <w:r w:rsidRPr="007C51D6">
              <w:rPr>
                <w:color w:val="000000"/>
                <w:sz w:val="20"/>
                <w:szCs w:val="20"/>
              </w:rPr>
              <w:t>11</w:t>
            </w:r>
          </w:p>
        </w:tc>
      </w:tr>
      <w:tr w:rsidR="008973C4" w:rsidRPr="007C51D6" w:rsidTr="00080BEF">
        <w:trPr>
          <w:trHeight w:val="20"/>
        </w:trPr>
        <w:tc>
          <w:tcPr>
            <w:tcW w:w="3114" w:type="dxa"/>
            <w:shd w:val="clear" w:color="auto" w:fill="auto"/>
            <w:hideMark/>
          </w:tcPr>
          <w:p w:rsidR="008973C4" w:rsidRPr="007C51D6" w:rsidRDefault="008973C4" w:rsidP="008973C4">
            <w:pPr>
              <w:autoSpaceDE/>
              <w:autoSpaceDN/>
              <w:adjustRightInd/>
              <w:rPr>
                <w:color w:val="000000"/>
                <w:sz w:val="20"/>
                <w:szCs w:val="20"/>
              </w:rPr>
            </w:pPr>
            <w:r w:rsidRPr="007C51D6">
              <w:rPr>
                <w:color w:val="000000"/>
                <w:sz w:val="20"/>
                <w:szCs w:val="20"/>
              </w:rPr>
              <w:t>г.Казань</w:t>
            </w:r>
          </w:p>
        </w:tc>
        <w:tc>
          <w:tcPr>
            <w:tcW w:w="1275" w:type="dxa"/>
            <w:shd w:val="clear" w:color="auto" w:fill="auto"/>
            <w:vAlign w:val="center"/>
          </w:tcPr>
          <w:p w:rsidR="008973C4" w:rsidRPr="007C51D6" w:rsidRDefault="008973C4" w:rsidP="008973C4">
            <w:pPr>
              <w:jc w:val="center"/>
              <w:rPr>
                <w:color w:val="000000"/>
                <w:sz w:val="20"/>
                <w:szCs w:val="20"/>
              </w:rPr>
            </w:pPr>
            <w:r w:rsidRPr="007C51D6">
              <w:rPr>
                <w:color w:val="000000"/>
                <w:sz w:val="20"/>
                <w:szCs w:val="20"/>
              </w:rPr>
              <w:t>36843</w:t>
            </w:r>
          </w:p>
        </w:tc>
        <w:tc>
          <w:tcPr>
            <w:tcW w:w="1162" w:type="dxa"/>
            <w:shd w:val="clear" w:color="auto" w:fill="auto"/>
            <w:vAlign w:val="center"/>
          </w:tcPr>
          <w:p w:rsidR="008973C4" w:rsidRPr="007C51D6" w:rsidRDefault="008973C4" w:rsidP="008973C4">
            <w:pPr>
              <w:jc w:val="center"/>
              <w:rPr>
                <w:color w:val="000000"/>
                <w:sz w:val="20"/>
                <w:szCs w:val="20"/>
              </w:rPr>
            </w:pPr>
            <w:r w:rsidRPr="007C51D6">
              <w:rPr>
                <w:color w:val="000000"/>
                <w:sz w:val="20"/>
                <w:szCs w:val="20"/>
              </w:rPr>
              <w:t>39256</w:t>
            </w:r>
          </w:p>
        </w:tc>
        <w:tc>
          <w:tcPr>
            <w:tcW w:w="1163" w:type="dxa"/>
            <w:shd w:val="clear" w:color="auto" w:fill="auto"/>
            <w:vAlign w:val="center"/>
          </w:tcPr>
          <w:p w:rsidR="008973C4" w:rsidRPr="007C51D6" w:rsidRDefault="008973C4" w:rsidP="008973C4">
            <w:pPr>
              <w:jc w:val="center"/>
              <w:rPr>
                <w:color w:val="000000"/>
                <w:sz w:val="20"/>
                <w:szCs w:val="20"/>
              </w:rPr>
            </w:pPr>
            <w:r w:rsidRPr="007C51D6">
              <w:rPr>
                <w:color w:val="000000"/>
                <w:sz w:val="20"/>
                <w:szCs w:val="20"/>
              </w:rPr>
              <w:t>41579</w:t>
            </w:r>
          </w:p>
        </w:tc>
        <w:tc>
          <w:tcPr>
            <w:tcW w:w="1162" w:type="dxa"/>
            <w:shd w:val="clear" w:color="auto" w:fill="auto"/>
            <w:vAlign w:val="center"/>
          </w:tcPr>
          <w:p w:rsidR="008973C4" w:rsidRPr="007C51D6" w:rsidRDefault="008973C4" w:rsidP="008973C4">
            <w:pPr>
              <w:jc w:val="center"/>
              <w:rPr>
                <w:color w:val="000000"/>
                <w:sz w:val="20"/>
                <w:szCs w:val="20"/>
              </w:rPr>
            </w:pPr>
            <w:r w:rsidRPr="007C51D6">
              <w:rPr>
                <w:color w:val="000000"/>
                <w:sz w:val="20"/>
                <w:szCs w:val="20"/>
              </w:rPr>
              <w:t>43214</w:t>
            </w:r>
          </w:p>
        </w:tc>
        <w:tc>
          <w:tcPr>
            <w:tcW w:w="1162" w:type="dxa"/>
            <w:shd w:val="clear" w:color="auto" w:fill="auto"/>
            <w:noWrap/>
            <w:vAlign w:val="center"/>
          </w:tcPr>
          <w:p w:rsidR="008973C4" w:rsidRPr="007C51D6" w:rsidRDefault="008973C4" w:rsidP="008973C4">
            <w:pPr>
              <w:jc w:val="center"/>
              <w:rPr>
                <w:color w:val="000000"/>
                <w:sz w:val="20"/>
                <w:szCs w:val="20"/>
              </w:rPr>
            </w:pPr>
            <w:r w:rsidRPr="007C51D6">
              <w:rPr>
                <w:color w:val="000000"/>
                <w:sz w:val="20"/>
                <w:szCs w:val="20"/>
              </w:rPr>
              <w:t>41178</w:t>
            </w:r>
          </w:p>
        </w:tc>
        <w:tc>
          <w:tcPr>
            <w:tcW w:w="1163" w:type="dxa"/>
            <w:vAlign w:val="center"/>
          </w:tcPr>
          <w:p w:rsidR="008973C4" w:rsidRPr="007C51D6" w:rsidRDefault="008973C4" w:rsidP="008973C4">
            <w:pPr>
              <w:jc w:val="center"/>
              <w:rPr>
                <w:color w:val="000000"/>
                <w:sz w:val="20"/>
                <w:szCs w:val="20"/>
              </w:rPr>
            </w:pPr>
            <w:r w:rsidRPr="007C51D6">
              <w:rPr>
                <w:color w:val="000000"/>
                <w:sz w:val="20"/>
                <w:szCs w:val="20"/>
              </w:rPr>
              <w:t>41588</w:t>
            </w:r>
          </w:p>
        </w:tc>
        <w:tc>
          <w:tcPr>
            <w:tcW w:w="1162" w:type="dxa"/>
            <w:vAlign w:val="center"/>
          </w:tcPr>
          <w:p w:rsidR="008973C4" w:rsidRPr="007C51D6" w:rsidRDefault="008973C4" w:rsidP="008973C4">
            <w:pPr>
              <w:jc w:val="center"/>
              <w:rPr>
                <w:color w:val="000000"/>
                <w:sz w:val="20"/>
                <w:szCs w:val="20"/>
              </w:rPr>
            </w:pPr>
            <w:r w:rsidRPr="007C51D6">
              <w:rPr>
                <w:color w:val="000000"/>
                <w:sz w:val="20"/>
                <w:szCs w:val="20"/>
              </w:rPr>
              <w:t>42966</w:t>
            </w:r>
          </w:p>
        </w:tc>
        <w:tc>
          <w:tcPr>
            <w:tcW w:w="1219" w:type="dxa"/>
            <w:vAlign w:val="center"/>
          </w:tcPr>
          <w:p w:rsidR="008973C4" w:rsidRPr="007C51D6" w:rsidRDefault="008973C4" w:rsidP="008973C4">
            <w:pPr>
              <w:jc w:val="center"/>
              <w:rPr>
                <w:color w:val="000000"/>
                <w:sz w:val="20"/>
                <w:szCs w:val="20"/>
              </w:rPr>
            </w:pPr>
            <w:r w:rsidRPr="007C51D6">
              <w:rPr>
                <w:color w:val="000000"/>
                <w:sz w:val="20"/>
                <w:szCs w:val="20"/>
              </w:rPr>
              <w:t>44927</w:t>
            </w:r>
          </w:p>
        </w:tc>
        <w:tc>
          <w:tcPr>
            <w:tcW w:w="1305" w:type="dxa"/>
            <w:vAlign w:val="center"/>
          </w:tcPr>
          <w:p w:rsidR="008973C4" w:rsidRPr="007C51D6" w:rsidRDefault="008973C4" w:rsidP="008973C4">
            <w:pPr>
              <w:jc w:val="center"/>
              <w:rPr>
                <w:color w:val="000000"/>
                <w:sz w:val="20"/>
                <w:szCs w:val="20"/>
              </w:rPr>
            </w:pPr>
            <w:r w:rsidRPr="007C51D6">
              <w:rPr>
                <w:color w:val="000000"/>
                <w:sz w:val="20"/>
                <w:szCs w:val="20"/>
              </w:rPr>
              <w:t>47700</w:t>
            </w:r>
          </w:p>
        </w:tc>
        <w:tc>
          <w:tcPr>
            <w:tcW w:w="1305" w:type="dxa"/>
            <w:vAlign w:val="center"/>
          </w:tcPr>
          <w:p w:rsidR="008973C4" w:rsidRPr="007C51D6" w:rsidRDefault="008973C4" w:rsidP="008973C4">
            <w:pPr>
              <w:jc w:val="center"/>
              <w:rPr>
                <w:color w:val="000000"/>
                <w:sz w:val="20"/>
                <w:szCs w:val="20"/>
              </w:rPr>
            </w:pPr>
            <w:r w:rsidRPr="007C51D6">
              <w:rPr>
                <w:color w:val="000000"/>
                <w:sz w:val="20"/>
                <w:szCs w:val="20"/>
              </w:rPr>
              <w:t>47405</w:t>
            </w:r>
          </w:p>
        </w:tc>
      </w:tr>
    </w:tbl>
    <w:p w:rsidR="00C405F6" w:rsidRPr="007C51D6" w:rsidRDefault="00C405F6">
      <w:pPr>
        <w:rPr>
          <w:sz w:val="2"/>
          <w:szCs w:val="2"/>
        </w:rPr>
      </w:pPr>
    </w:p>
    <w:p w:rsidR="00BF30C9" w:rsidRPr="007C51D6" w:rsidRDefault="00BF30C9" w:rsidP="00BF30C9">
      <w:pPr>
        <w:rPr>
          <w:sz w:val="2"/>
          <w:szCs w:val="2"/>
        </w:rPr>
      </w:pPr>
    </w:p>
    <w:p w:rsidR="00BF30C9" w:rsidRPr="007C51D6" w:rsidRDefault="00BF30C9" w:rsidP="00BF30C9">
      <w:pPr>
        <w:rPr>
          <w:sz w:val="2"/>
          <w:szCs w:val="2"/>
        </w:rPr>
      </w:pPr>
    </w:p>
    <w:p w:rsidR="00C405F6" w:rsidRPr="007C51D6" w:rsidRDefault="00C405F6" w:rsidP="00BF30C9">
      <w:pPr>
        <w:autoSpaceDE/>
        <w:autoSpaceDN/>
        <w:adjustRightInd/>
        <w:rPr>
          <w:rFonts w:eastAsia="Arial"/>
          <w:sz w:val="20"/>
          <w:szCs w:val="20"/>
        </w:rPr>
      </w:pPr>
    </w:p>
    <w:p w:rsidR="00BF30C9" w:rsidRPr="007C51D6" w:rsidRDefault="00C405F6" w:rsidP="00D96F53">
      <w:pPr>
        <w:autoSpaceDE/>
        <w:autoSpaceDN/>
        <w:adjustRightInd/>
        <w:ind w:firstLine="709"/>
        <w:rPr>
          <w:rFonts w:eastAsia="Arial"/>
          <w:sz w:val="28"/>
          <w:szCs w:val="28"/>
        </w:rPr>
      </w:pPr>
      <w:r w:rsidRPr="007C51D6">
        <w:rPr>
          <w:rFonts w:eastAsia="Arial"/>
          <w:sz w:val="20"/>
          <w:szCs w:val="20"/>
        </w:rPr>
        <w:t>*</w:t>
      </w:r>
      <w:r w:rsidR="00BF30C9" w:rsidRPr="007C51D6">
        <w:rPr>
          <w:rFonts w:eastAsia="Arial"/>
          <w:sz w:val="20"/>
          <w:szCs w:val="20"/>
        </w:rPr>
        <w:t>Представлены оперативные данные</w:t>
      </w:r>
      <w:r w:rsidR="00D11944" w:rsidRPr="007C51D6">
        <w:rPr>
          <w:rFonts w:eastAsia="Arial"/>
          <w:sz w:val="20"/>
          <w:szCs w:val="20"/>
        </w:rPr>
        <w:t>.</w:t>
      </w:r>
    </w:p>
    <w:p w:rsidR="00A12136" w:rsidRPr="007C51D6" w:rsidRDefault="00A12136" w:rsidP="000F30FE">
      <w:pPr>
        <w:autoSpaceDE/>
        <w:autoSpaceDN/>
        <w:adjustRightInd/>
        <w:rPr>
          <w:rFonts w:eastAsia="Arial"/>
          <w:sz w:val="28"/>
          <w:szCs w:val="28"/>
        </w:rPr>
      </w:pPr>
    </w:p>
    <w:p w:rsidR="00FD53AC" w:rsidRPr="007C51D6" w:rsidRDefault="00FD53AC" w:rsidP="00FD53AC">
      <w:pPr>
        <w:autoSpaceDE/>
        <w:autoSpaceDN/>
        <w:adjustRightInd/>
        <w:ind w:firstLine="709"/>
        <w:jc w:val="both"/>
        <w:rPr>
          <w:rFonts w:eastAsia="Arial"/>
          <w:spacing w:val="-4"/>
          <w:sz w:val="28"/>
          <w:szCs w:val="28"/>
        </w:rPr>
      </w:pPr>
      <w:r w:rsidRPr="007C51D6">
        <w:rPr>
          <w:rFonts w:eastAsia="Arial"/>
          <w:spacing w:val="-4"/>
          <w:sz w:val="28"/>
          <w:szCs w:val="28"/>
        </w:rPr>
        <w:t xml:space="preserve">В Республике Татарстан по состоянию на 31 декабря 2024 года число пациентов, находящихся на диспансерном учете, составило 128 093 человек, из них 70 761 человек находились под диспансерным наблюдением более пяти лет. </w:t>
      </w:r>
    </w:p>
    <w:p w:rsidR="00FD53AC" w:rsidRPr="007C51D6" w:rsidRDefault="00FD53AC" w:rsidP="00FD53AC">
      <w:pPr>
        <w:autoSpaceDE/>
        <w:autoSpaceDN/>
        <w:adjustRightInd/>
        <w:ind w:firstLine="709"/>
        <w:jc w:val="both"/>
        <w:rPr>
          <w:rFonts w:eastAsia="Arial"/>
          <w:spacing w:val="-4"/>
          <w:sz w:val="28"/>
          <w:szCs w:val="28"/>
        </w:rPr>
      </w:pPr>
      <w:r w:rsidRPr="007C51D6">
        <w:rPr>
          <w:rFonts w:eastAsia="Arial"/>
          <w:spacing w:val="4"/>
          <w:sz w:val="28"/>
          <w:szCs w:val="28"/>
        </w:rPr>
        <w:t xml:space="preserve">За 10-летний период (2016 – 2025 годы) </w:t>
      </w:r>
      <w:r w:rsidRPr="007C51D6">
        <w:rPr>
          <w:rFonts w:eastAsia="Arial"/>
          <w:spacing w:val="-4"/>
          <w:sz w:val="28"/>
          <w:szCs w:val="28"/>
        </w:rPr>
        <w:t xml:space="preserve">число пациентов, находящихся на диспансерном учете, увеличилось на </w:t>
      </w:r>
      <w:r w:rsidRPr="007C51D6">
        <w:rPr>
          <w:rFonts w:eastAsia="Arial"/>
          <w:spacing w:val="-4"/>
          <w:sz w:val="28"/>
          <w:szCs w:val="28"/>
        </w:rPr>
        <w:br/>
        <w:t>3</w:t>
      </w:r>
      <w:r w:rsidR="007D5318" w:rsidRPr="007C51D6">
        <w:rPr>
          <w:rFonts w:eastAsia="Arial"/>
          <w:spacing w:val="-4"/>
          <w:sz w:val="28"/>
          <w:szCs w:val="28"/>
        </w:rPr>
        <w:t>0</w:t>
      </w:r>
      <w:r w:rsidRPr="007C51D6">
        <w:rPr>
          <w:rFonts w:eastAsia="Arial"/>
          <w:spacing w:val="-4"/>
          <w:sz w:val="28"/>
          <w:szCs w:val="28"/>
        </w:rPr>
        <w:t> </w:t>
      </w:r>
      <w:r w:rsidR="007D5318" w:rsidRPr="007C51D6">
        <w:rPr>
          <w:rFonts w:eastAsia="Arial"/>
          <w:spacing w:val="-4"/>
          <w:sz w:val="28"/>
          <w:szCs w:val="28"/>
        </w:rPr>
        <w:t>467</w:t>
      </w:r>
      <w:r w:rsidRPr="007C51D6">
        <w:rPr>
          <w:rFonts w:eastAsia="Arial"/>
          <w:spacing w:val="-4"/>
          <w:sz w:val="28"/>
          <w:szCs w:val="28"/>
        </w:rPr>
        <w:t xml:space="preserve"> человек (2025 год – 128 093 человек</w:t>
      </w:r>
      <w:r w:rsidR="007D5318" w:rsidRPr="007C51D6">
        <w:rPr>
          <w:rFonts w:eastAsia="Arial"/>
          <w:spacing w:val="-4"/>
          <w:sz w:val="28"/>
          <w:szCs w:val="28"/>
        </w:rPr>
        <w:t>а</w:t>
      </w:r>
      <w:r w:rsidRPr="007C51D6">
        <w:rPr>
          <w:rFonts w:eastAsia="Arial"/>
          <w:spacing w:val="-4"/>
          <w:sz w:val="28"/>
          <w:szCs w:val="28"/>
        </w:rPr>
        <w:t>, 2015 год – 9</w:t>
      </w:r>
      <w:r w:rsidR="007D5318" w:rsidRPr="007C51D6">
        <w:rPr>
          <w:rFonts w:eastAsia="Arial"/>
          <w:spacing w:val="-4"/>
          <w:sz w:val="28"/>
          <w:szCs w:val="28"/>
        </w:rPr>
        <w:t>7</w:t>
      </w:r>
      <w:r w:rsidRPr="007C51D6">
        <w:rPr>
          <w:rFonts w:eastAsia="Arial"/>
          <w:spacing w:val="-4"/>
          <w:sz w:val="28"/>
          <w:szCs w:val="28"/>
        </w:rPr>
        <w:t> </w:t>
      </w:r>
      <w:r w:rsidR="007D5318" w:rsidRPr="007C51D6">
        <w:rPr>
          <w:rFonts w:eastAsia="Arial"/>
          <w:spacing w:val="-4"/>
          <w:sz w:val="28"/>
          <w:szCs w:val="28"/>
        </w:rPr>
        <w:t>626</w:t>
      </w:r>
      <w:r w:rsidRPr="007C51D6">
        <w:rPr>
          <w:rFonts w:eastAsia="Arial"/>
          <w:spacing w:val="-4"/>
          <w:sz w:val="28"/>
          <w:szCs w:val="28"/>
        </w:rPr>
        <w:t xml:space="preserve"> человек), рост числа пациентов зарегистрирован во всех муниципальных образованиях (таблица 7.1). </w:t>
      </w:r>
    </w:p>
    <w:p w:rsidR="00FD53AC" w:rsidRPr="007C51D6" w:rsidRDefault="00FD53AC" w:rsidP="000F30FE">
      <w:pPr>
        <w:autoSpaceDE/>
        <w:autoSpaceDN/>
        <w:adjustRightInd/>
        <w:rPr>
          <w:rFonts w:eastAsia="Arial"/>
          <w:sz w:val="28"/>
          <w:szCs w:val="28"/>
        </w:rPr>
      </w:pPr>
    </w:p>
    <w:p w:rsidR="00B02094" w:rsidRPr="007C51D6" w:rsidRDefault="00174921" w:rsidP="00331DBE">
      <w:pPr>
        <w:autoSpaceDE/>
        <w:autoSpaceDN/>
        <w:adjustRightInd/>
        <w:ind w:firstLine="709"/>
        <w:jc w:val="right"/>
        <w:rPr>
          <w:rFonts w:eastAsia="Arial"/>
          <w:sz w:val="28"/>
          <w:szCs w:val="28"/>
        </w:rPr>
      </w:pPr>
      <w:r w:rsidRPr="007C51D6">
        <w:rPr>
          <w:rFonts w:eastAsia="Arial"/>
          <w:sz w:val="28"/>
          <w:szCs w:val="28"/>
        </w:rPr>
        <w:t xml:space="preserve">Таблица </w:t>
      </w:r>
      <w:r w:rsidR="00BF30C9" w:rsidRPr="007C51D6">
        <w:rPr>
          <w:rFonts w:eastAsia="Arial"/>
          <w:sz w:val="28"/>
          <w:szCs w:val="28"/>
        </w:rPr>
        <w:t>7.</w:t>
      </w:r>
      <w:r w:rsidR="001421DF" w:rsidRPr="007C51D6">
        <w:rPr>
          <w:rFonts w:eastAsia="Arial"/>
          <w:sz w:val="28"/>
          <w:szCs w:val="28"/>
        </w:rPr>
        <w:t>2</w:t>
      </w:r>
    </w:p>
    <w:p w:rsidR="00D11944" w:rsidRPr="007C51D6" w:rsidRDefault="00D11944" w:rsidP="00331DBE">
      <w:pPr>
        <w:autoSpaceDE/>
        <w:autoSpaceDN/>
        <w:adjustRightInd/>
        <w:ind w:firstLine="709"/>
        <w:jc w:val="right"/>
        <w:rPr>
          <w:rFonts w:eastAsia="Arial"/>
          <w:sz w:val="28"/>
          <w:szCs w:val="28"/>
        </w:rPr>
      </w:pPr>
    </w:p>
    <w:p w:rsidR="00A05467" w:rsidRPr="007C51D6" w:rsidRDefault="00A05467" w:rsidP="00A05467">
      <w:pPr>
        <w:autoSpaceDE/>
        <w:autoSpaceDN/>
        <w:adjustRightInd/>
        <w:jc w:val="center"/>
        <w:rPr>
          <w:rFonts w:eastAsia="Arial"/>
          <w:sz w:val="28"/>
          <w:szCs w:val="28"/>
        </w:rPr>
      </w:pPr>
      <w:r w:rsidRPr="007C51D6">
        <w:rPr>
          <w:rFonts w:eastAsia="Arial"/>
          <w:sz w:val="28"/>
          <w:szCs w:val="28"/>
        </w:rPr>
        <w:t>Динамика показателя распространенности ЗНО в Республике Татарстан</w:t>
      </w:r>
    </w:p>
    <w:p w:rsidR="00A05467" w:rsidRPr="007C51D6" w:rsidRDefault="00A05467" w:rsidP="00A05467">
      <w:pPr>
        <w:autoSpaceDE/>
        <w:autoSpaceDN/>
        <w:adjustRightInd/>
        <w:jc w:val="center"/>
        <w:rPr>
          <w:rFonts w:eastAsia="Arial"/>
          <w:sz w:val="28"/>
          <w:szCs w:val="28"/>
        </w:rPr>
      </w:pPr>
      <w:r w:rsidRPr="007C51D6">
        <w:rPr>
          <w:rFonts w:eastAsia="Arial"/>
          <w:sz w:val="28"/>
          <w:szCs w:val="28"/>
        </w:rPr>
        <w:t xml:space="preserve"> в 2016 – 2025 годах </w:t>
      </w:r>
    </w:p>
    <w:p w:rsidR="00D96F53" w:rsidRPr="007C51D6" w:rsidRDefault="00D96F53" w:rsidP="00D96F53">
      <w:pPr>
        <w:autoSpaceDE/>
        <w:autoSpaceDN/>
        <w:adjustRightInd/>
        <w:jc w:val="right"/>
        <w:rPr>
          <w:rFonts w:eastAsia="Arial"/>
          <w:sz w:val="20"/>
          <w:szCs w:val="20"/>
        </w:rPr>
      </w:pPr>
    </w:p>
    <w:p w:rsidR="00174921" w:rsidRPr="007C51D6" w:rsidRDefault="00D96F53" w:rsidP="00D96F53">
      <w:pPr>
        <w:autoSpaceDE/>
        <w:autoSpaceDN/>
        <w:adjustRightInd/>
        <w:jc w:val="right"/>
        <w:rPr>
          <w:rFonts w:eastAsia="Arial"/>
          <w:sz w:val="20"/>
          <w:szCs w:val="20"/>
        </w:rPr>
      </w:pPr>
      <w:r w:rsidRPr="007C51D6">
        <w:rPr>
          <w:rFonts w:eastAsia="Arial"/>
          <w:sz w:val="20"/>
          <w:szCs w:val="20"/>
        </w:rPr>
        <w:t>(случаев на 100 тыс.населения)</w:t>
      </w:r>
    </w:p>
    <w:tbl>
      <w:tblPr>
        <w:tblW w:w="15249"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4"/>
        <w:gridCol w:w="1248"/>
        <w:gridCol w:w="1247"/>
        <w:gridCol w:w="1276"/>
        <w:gridCol w:w="1162"/>
        <w:gridCol w:w="1219"/>
        <w:gridCol w:w="1163"/>
        <w:gridCol w:w="1162"/>
        <w:gridCol w:w="1162"/>
        <w:gridCol w:w="1248"/>
        <w:gridCol w:w="1248"/>
      </w:tblGrid>
      <w:tr w:rsidR="00A05467" w:rsidRPr="007C51D6" w:rsidTr="00A05467">
        <w:trPr>
          <w:trHeight w:val="20"/>
        </w:trPr>
        <w:tc>
          <w:tcPr>
            <w:tcW w:w="3114" w:type="dxa"/>
            <w:shd w:val="clear" w:color="auto" w:fill="auto"/>
          </w:tcPr>
          <w:p w:rsidR="00A05467" w:rsidRPr="007C51D6" w:rsidRDefault="00A05467" w:rsidP="00A05467">
            <w:pPr>
              <w:autoSpaceDE/>
              <w:autoSpaceDN/>
              <w:adjustRightInd/>
              <w:jc w:val="center"/>
              <w:rPr>
                <w:color w:val="000000"/>
                <w:sz w:val="20"/>
                <w:szCs w:val="20"/>
              </w:rPr>
            </w:pPr>
            <w:r w:rsidRPr="007C51D6">
              <w:rPr>
                <w:color w:val="000000"/>
                <w:sz w:val="20"/>
                <w:szCs w:val="20"/>
              </w:rPr>
              <w:t>Наименование муниципальных районов и городских округов</w:t>
            </w:r>
          </w:p>
        </w:tc>
        <w:tc>
          <w:tcPr>
            <w:tcW w:w="1248" w:type="dxa"/>
            <w:shd w:val="clear" w:color="auto" w:fill="auto"/>
          </w:tcPr>
          <w:p w:rsidR="00A05467" w:rsidRPr="007C51D6" w:rsidRDefault="00A05467" w:rsidP="00A05467">
            <w:pPr>
              <w:autoSpaceDE/>
              <w:autoSpaceDN/>
              <w:adjustRightInd/>
              <w:jc w:val="center"/>
              <w:rPr>
                <w:bCs/>
                <w:color w:val="000000"/>
                <w:sz w:val="20"/>
                <w:szCs w:val="20"/>
              </w:rPr>
            </w:pPr>
            <w:r w:rsidRPr="007C51D6">
              <w:rPr>
                <w:bCs/>
                <w:color w:val="000000"/>
                <w:sz w:val="20"/>
                <w:szCs w:val="20"/>
              </w:rPr>
              <w:t>2016 г.</w:t>
            </w:r>
          </w:p>
        </w:tc>
        <w:tc>
          <w:tcPr>
            <w:tcW w:w="1247" w:type="dxa"/>
            <w:shd w:val="clear" w:color="auto" w:fill="auto"/>
          </w:tcPr>
          <w:p w:rsidR="00A05467" w:rsidRPr="007C51D6" w:rsidRDefault="00A05467" w:rsidP="00A05467">
            <w:pPr>
              <w:autoSpaceDE/>
              <w:autoSpaceDN/>
              <w:adjustRightInd/>
              <w:jc w:val="center"/>
              <w:rPr>
                <w:bCs/>
                <w:color w:val="000000"/>
                <w:sz w:val="20"/>
                <w:szCs w:val="20"/>
              </w:rPr>
            </w:pPr>
            <w:r w:rsidRPr="007C51D6">
              <w:rPr>
                <w:bCs/>
                <w:color w:val="000000"/>
                <w:sz w:val="20"/>
                <w:szCs w:val="20"/>
              </w:rPr>
              <w:t>2017 г.</w:t>
            </w:r>
          </w:p>
        </w:tc>
        <w:tc>
          <w:tcPr>
            <w:tcW w:w="1276" w:type="dxa"/>
            <w:shd w:val="clear" w:color="auto" w:fill="auto"/>
          </w:tcPr>
          <w:p w:rsidR="00A05467" w:rsidRPr="007C51D6" w:rsidRDefault="00A05467" w:rsidP="00A05467">
            <w:pPr>
              <w:autoSpaceDE/>
              <w:autoSpaceDN/>
              <w:adjustRightInd/>
              <w:jc w:val="center"/>
              <w:rPr>
                <w:bCs/>
                <w:color w:val="000000"/>
                <w:sz w:val="20"/>
                <w:szCs w:val="20"/>
              </w:rPr>
            </w:pPr>
            <w:r w:rsidRPr="007C51D6">
              <w:rPr>
                <w:bCs/>
                <w:color w:val="000000"/>
                <w:sz w:val="20"/>
                <w:szCs w:val="20"/>
              </w:rPr>
              <w:t>2018 г.</w:t>
            </w:r>
          </w:p>
        </w:tc>
        <w:tc>
          <w:tcPr>
            <w:tcW w:w="1162" w:type="dxa"/>
            <w:shd w:val="clear" w:color="auto" w:fill="auto"/>
          </w:tcPr>
          <w:p w:rsidR="00A05467" w:rsidRPr="007C51D6" w:rsidRDefault="00A05467" w:rsidP="00A05467">
            <w:pPr>
              <w:autoSpaceDE/>
              <w:autoSpaceDN/>
              <w:adjustRightInd/>
              <w:jc w:val="center"/>
              <w:rPr>
                <w:rFonts w:eastAsia="Arial"/>
                <w:sz w:val="20"/>
                <w:szCs w:val="20"/>
              </w:rPr>
            </w:pPr>
            <w:r w:rsidRPr="007C51D6">
              <w:rPr>
                <w:rFonts w:eastAsia="Arial"/>
                <w:sz w:val="20"/>
                <w:szCs w:val="20"/>
              </w:rPr>
              <w:t>2019 г.</w:t>
            </w:r>
          </w:p>
        </w:tc>
        <w:tc>
          <w:tcPr>
            <w:tcW w:w="1219" w:type="dxa"/>
            <w:shd w:val="clear" w:color="auto" w:fill="auto"/>
          </w:tcPr>
          <w:p w:rsidR="00A05467" w:rsidRPr="007C51D6" w:rsidRDefault="00A05467" w:rsidP="00A05467">
            <w:pPr>
              <w:autoSpaceDE/>
              <w:autoSpaceDN/>
              <w:adjustRightInd/>
              <w:jc w:val="center"/>
              <w:rPr>
                <w:rFonts w:eastAsia="Arial"/>
                <w:sz w:val="20"/>
                <w:szCs w:val="20"/>
              </w:rPr>
            </w:pPr>
            <w:r w:rsidRPr="007C51D6">
              <w:rPr>
                <w:rFonts w:eastAsia="Arial"/>
                <w:sz w:val="20"/>
                <w:szCs w:val="20"/>
              </w:rPr>
              <w:t>2020 г.</w:t>
            </w:r>
          </w:p>
        </w:tc>
        <w:tc>
          <w:tcPr>
            <w:tcW w:w="1163" w:type="dxa"/>
          </w:tcPr>
          <w:p w:rsidR="00A05467" w:rsidRPr="007C51D6" w:rsidRDefault="00A05467" w:rsidP="00A05467">
            <w:pPr>
              <w:autoSpaceDE/>
              <w:autoSpaceDN/>
              <w:adjustRightInd/>
              <w:jc w:val="center"/>
              <w:rPr>
                <w:rFonts w:eastAsia="Arial"/>
                <w:sz w:val="20"/>
                <w:szCs w:val="20"/>
              </w:rPr>
            </w:pPr>
            <w:r w:rsidRPr="007C51D6">
              <w:rPr>
                <w:rFonts w:eastAsia="Arial"/>
                <w:sz w:val="20"/>
                <w:szCs w:val="20"/>
              </w:rPr>
              <w:t>2021 г.</w:t>
            </w:r>
          </w:p>
        </w:tc>
        <w:tc>
          <w:tcPr>
            <w:tcW w:w="1162" w:type="dxa"/>
          </w:tcPr>
          <w:p w:rsidR="00A05467" w:rsidRPr="007C51D6" w:rsidRDefault="00A05467" w:rsidP="00A05467">
            <w:pPr>
              <w:autoSpaceDE/>
              <w:autoSpaceDN/>
              <w:adjustRightInd/>
              <w:jc w:val="center"/>
              <w:rPr>
                <w:rFonts w:eastAsia="Arial"/>
                <w:sz w:val="20"/>
                <w:szCs w:val="20"/>
              </w:rPr>
            </w:pPr>
            <w:r w:rsidRPr="007C51D6">
              <w:rPr>
                <w:rFonts w:eastAsia="Arial"/>
                <w:sz w:val="20"/>
                <w:szCs w:val="20"/>
              </w:rPr>
              <w:t>2022 г.</w:t>
            </w:r>
          </w:p>
        </w:tc>
        <w:tc>
          <w:tcPr>
            <w:tcW w:w="1162" w:type="dxa"/>
          </w:tcPr>
          <w:p w:rsidR="00A05467" w:rsidRPr="007C51D6" w:rsidRDefault="00A05467" w:rsidP="00A05467">
            <w:pPr>
              <w:autoSpaceDE/>
              <w:autoSpaceDN/>
              <w:adjustRightInd/>
              <w:jc w:val="center"/>
              <w:rPr>
                <w:rFonts w:eastAsia="Arial"/>
                <w:sz w:val="20"/>
                <w:szCs w:val="20"/>
              </w:rPr>
            </w:pPr>
            <w:r w:rsidRPr="007C51D6">
              <w:rPr>
                <w:rFonts w:eastAsia="Arial"/>
                <w:sz w:val="20"/>
                <w:szCs w:val="20"/>
              </w:rPr>
              <w:t>2023 г.</w:t>
            </w:r>
          </w:p>
        </w:tc>
        <w:tc>
          <w:tcPr>
            <w:tcW w:w="1248" w:type="dxa"/>
          </w:tcPr>
          <w:p w:rsidR="00A05467" w:rsidRPr="007C51D6" w:rsidRDefault="00A05467" w:rsidP="00A05467">
            <w:pPr>
              <w:autoSpaceDE/>
              <w:autoSpaceDN/>
              <w:adjustRightInd/>
              <w:jc w:val="center"/>
              <w:rPr>
                <w:rFonts w:eastAsia="Arial"/>
                <w:sz w:val="20"/>
                <w:szCs w:val="20"/>
              </w:rPr>
            </w:pPr>
            <w:r w:rsidRPr="007C51D6">
              <w:rPr>
                <w:rFonts w:eastAsia="Arial"/>
                <w:sz w:val="20"/>
                <w:szCs w:val="20"/>
              </w:rPr>
              <w:t>2024 г.</w:t>
            </w:r>
          </w:p>
        </w:tc>
        <w:tc>
          <w:tcPr>
            <w:tcW w:w="1248" w:type="dxa"/>
          </w:tcPr>
          <w:p w:rsidR="00A05467" w:rsidRPr="007C51D6" w:rsidRDefault="00A05467" w:rsidP="00A05467">
            <w:pPr>
              <w:autoSpaceDE/>
              <w:autoSpaceDN/>
              <w:adjustRightInd/>
              <w:jc w:val="center"/>
              <w:rPr>
                <w:rFonts w:eastAsia="Arial"/>
                <w:sz w:val="20"/>
                <w:szCs w:val="20"/>
              </w:rPr>
            </w:pPr>
            <w:r w:rsidRPr="007C51D6">
              <w:rPr>
                <w:rFonts w:eastAsia="Arial"/>
                <w:sz w:val="20"/>
                <w:szCs w:val="20"/>
              </w:rPr>
              <w:t>2025 г.*</w:t>
            </w:r>
          </w:p>
        </w:tc>
      </w:tr>
      <w:tr w:rsidR="00A05467" w:rsidRPr="007C51D6" w:rsidTr="00A05467">
        <w:tblPrEx>
          <w:tblBorders>
            <w:bottom w:val="single" w:sz="4" w:space="0" w:color="auto"/>
          </w:tblBorders>
          <w:tblCellMar>
            <w:top w:w="11" w:type="dxa"/>
            <w:bottom w:w="11" w:type="dxa"/>
          </w:tblCellMar>
        </w:tblPrEx>
        <w:trPr>
          <w:trHeight w:val="20"/>
          <w:tblHeader/>
        </w:trPr>
        <w:tc>
          <w:tcPr>
            <w:tcW w:w="3114" w:type="dxa"/>
            <w:shd w:val="clear" w:color="auto" w:fill="auto"/>
          </w:tcPr>
          <w:p w:rsidR="00A05467" w:rsidRPr="007C51D6" w:rsidRDefault="00A05467" w:rsidP="00A05467">
            <w:pPr>
              <w:autoSpaceDE/>
              <w:autoSpaceDN/>
              <w:adjustRightInd/>
              <w:jc w:val="center"/>
              <w:rPr>
                <w:color w:val="000000"/>
                <w:sz w:val="20"/>
                <w:szCs w:val="20"/>
              </w:rPr>
            </w:pPr>
            <w:r w:rsidRPr="007C51D6">
              <w:rPr>
                <w:color w:val="000000"/>
                <w:sz w:val="20"/>
                <w:szCs w:val="20"/>
              </w:rPr>
              <w:t>1</w:t>
            </w:r>
          </w:p>
        </w:tc>
        <w:tc>
          <w:tcPr>
            <w:tcW w:w="1248" w:type="dxa"/>
            <w:shd w:val="clear" w:color="auto" w:fill="auto"/>
          </w:tcPr>
          <w:p w:rsidR="00A05467" w:rsidRPr="007C51D6" w:rsidRDefault="00A05467" w:rsidP="00A05467">
            <w:pPr>
              <w:autoSpaceDE/>
              <w:autoSpaceDN/>
              <w:adjustRightInd/>
              <w:jc w:val="center"/>
              <w:rPr>
                <w:color w:val="000000"/>
                <w:sz w:val="20"/>
                <w:szCs w:val="20"/>
              </w:rPr>
            </w:pPr>
            <w:r w:rsidRPr="007C51D6">
              <w:rPr>
                <w:color w:val="000000"/>
                <w:sz w:val="20"/>
                <w:szCs w:val="20"/>
              </w:rPr>
              <w:t>2</w:t>
            </w:r>
          </w:p>
        </w:tc>
        <w:tc>
          <w:tcPr>
            <w:tcW w:w="1247" w:type="dxa"/>
            <w:shd w:val="clear" w:color="auto" w:fill="auto"/>
          </w:tcPr>
          <w:p w:rsidR="00A05467" w:rsidRPr="007C51D6" w:rsidRDefault="00A05467" w:rsidP="00A05467">
            <w:pPr>
              <w:autoSpaceDE/>
              <w:autoSpaceDN/>
              <w:adjustRightInd/>
              <w:jc w:val="center"/>
              <w:rPr>
                <w:color w:val="000000"/>
                <w:sz w:val="20"/>
                <w:szCs w:val="20"/>
              </w:rPr>
            </w:pPr>
            <w:r w:rsidRPr="007C51D6">
              <w:rPr>
                <w:color w:val="000000"/>
                <w:sz w:val="20"/>
                <w:szCs w:val="20"/>
              </w:rPr>
              <w:t>3</w:t>
            </w:r>
          </w:p>
        </w:tc>
        <w:tc>
          <w:tcPr>
            <w:tcW w:w="1276" w:type="dxa"/>
            <w:shd w:val="clear" w:color="auto" w:fill="auto"/>
          </w:tcPr>
          <w:p w:rsidR="00A05467" w:rsidRPr="007C51D6" w:rsidRDefault="00A05467" w:rsidP="00A05467">
            <w:pPr>
              <w:autoSpaceDE/>
              <w:autoSpaceDN/>
              <w:adjustRightInd/>
              <w:jc w:val="center"/>
              <w:rPr>
                <w:color w:val="000000"/>
                <w:sz w:val="20"/>
                <w:szCs w:val="20"/>
              </w:rPr>
            </w:pPr>
            <w:r w:rsidRPr="007C51D6">
              <w:rPr>
                <w:color w:val="000000"/>
                <w:sz w:val="20"/>
                <w:szCs w:val="20"/>
              </w:rPr>
              <w:t>4</w:t>
            </w:r>
          </w:p>
        </w:tc>
        <w:tc>
          <w:tcPr>
            <w:tcW w:w="1162" w:type="dxa"/>
            <w:shd w:val="clear" w:color="auto" w:fill="auto"/>
          </w:tcPr>
          <w:p w:rsidR="00A05467" w:rsidRPr="007C51D6" w:rsidRDefault="00A05467" w:rsidP="00A05467">
            <w:pPr>
              <w:autoSpaceDE/>
              <w:autoSpaceDN/>
              <w:adjustRightInd/>
              <w:jc w:val="center"/>
              <w:rPr>
                <w:color w:val="000000"/>
                <w:sz w:val="20"/>
                <w:szCs w:val="20"/>
              </w:rPr>
            </w:pPr>
            <w:r w:rsidRPr="007C51D6">
              <w:rPr>
                <w:color w:val="000000"/>
                <w:sz w:val="20"/>
                <w:szCs w:val="20"/>
              </w:rPr>
              <w:t>5</w:t>
            </w:r>
          </w:p>
        </w:tc>
        <w:tc>
          <w:tcPr>
            <w:tcW w:w="1219" w:type="dxa"/>
            <w:shd w:val="clear" w:color="auto" w:fill="auto"/>
          </w:tcPr>
          <w:p w:rsidR="00A05467" w:rsidRPr="007C51D6" w:rsidRDefault="00A05467" w:rsidP="00A05467">
            <w:pPr>
              <w:autoSpaceDE/>
              <w:autoSpaceDN/>
              <w:adjustRightInd/>
              <w:jc w:val="center"/>
              <w:rPr>
                <w:color w:val="000000"/>
                <w:sz w:val="20"/>
                <w:szCs w:val="20"/>
              </w:rPr>
            </w:pPr>
            <w:r w:rsidRPr="007C51D6">
              <w:rPr>
                <w:color w:val="000000"/>
                <w:sz w:val="20"/>
                <w:szCs w:val="20"/>
              </w:rPr>
              <w:t>6</w:t>
            </w:r>
          </w:p>
        </w:tc>
        <w:tc>
          <w:tcPr>
            <w:tcW w:w="1163" w:type="dxa"/>
          </w:tcPr>
          <w:p w:rsidR="00A05467" w:rsidRPr="007C51D6" w:rsidRDefault="00A05467" w:rsidP="00A05467">
            <w:pPr>
              <w:autoSpaceDE/>
              <w:autoSpaceDN/>
              <w:adjustRightInd/>
              <w:jc w:val="center"/>
              <w:rPr>
                <w:color w:val="000000"/>
                <w:sz w:val="20"/>
                <w:szCs w:val="20"/>
              </w:rPr>
            </w:pPr>
            <w:r w:rsidRPr="007C51D6">
              <w:rPr>
                <w:color w:val="000000"/>
                <w:sz w:val="20"/>
                <w:szCs w:val="20"/>
              </w:rPr>
              <w:t>7</w:t>
            </w:r>
          </w:p>
        </w:tc>
        <w:tc>
          <w:tcPr>
            <w:tcW w:w="1162" w:type="dxa"/>
          </w:tcPr>
          <w:p w:rsidR="00A05467" w:rsidRPr="007C51D6" w:rsidRDefault="00A05467" w:rsidP="00A05467">
            <w:pPr>
              <w:autoSpaceDE/>
              <w:autoSpaceDN/>
              <w:adjustRightInd/>
              <w:jc w:val="center"/>
              <w:rPr>
                <w:color w:val="000000"/>
                <w:sz w:val="20"/>
                <w:szCs w:val="20"/>
              </w:rPr>
            </w:pPr>
            <w:r w:rsidRPr="007C51D6">
              <w:rPr>
                <w:color w:val="000000"/>
                <w:sz w:val="20"/>
                <w:szCs w:val="20"/>
              </w:rPr>
              <w:t>8</w:t>
            </w:r>
          </w:p>
        </w:tc>
        <w:tc>
          <w:tcPr>
            <w:tcW w:w="1162" w:type="dxa"/>
          </w:tcPr>
          <w:p w:rsidR="00A05467" w:rsidRPr="007C51D6" w:rsidRDefault="00A05467" w:rsidP="00A05467">
            <w:pPr>
              <w:autoSpaceDE/>
              <w:autoSpaceDN/>
              <w:adjustRightInd/>
              <w:jc w:val="center"/>
              <w:rPr>
                <w:color w:val="000000"/>
                <w:sz w:val="20"/>
                <w:szCs w:val="20"/>
              </w:rPr>
            </w:pPr>
            <w:r w:rsidRPr="007C51D6">
              <w:rPr>
                <w:color w:val="000000"/>
                <w:sz w:val="20"/>
                <w:szCs w:val="20"/>
              </w:rPr>
              <w:t>9</w:t>
            </w:r>
          </w:p>
        </w:tc>
        <w:tc>
          <w:tcPr>
            <w:tcW w:w="1248" w:type="dxa"/>
          </w:tcPr>
          <w:p w:rsidR="00A05467" w:rsidRPr="007C51D6" w:rsidRDefault="00A05467" w:rsidP="00A05467">
            <w:pPr>
              <w:autoSpaceDE/>
              <w:autoSpaceDN/>
              <w:adjustRightInd/>
              <w:jc w:val="center"/>
              <w:rPr>
                <w:color w:val="000000"/>
                <w:sz w:val="20"/>
                <w:szCs w:val="20"/>
              </w:rPr>
            </w:pPr>
            <w:r w:rsidRPr="007C51D6">
              <w:rPr>
                <w:color w:val="000000"/>
                <w:sz w:val="20"/>
                <w:szCs w:val="20"/>
              </w:rPr>
              <w:t>10</w:t>
            </w:r>
          </w:p>
        </w:tc>
        <w:tc>
          <w:tcPr>
            <w:tcW w:w="1248" w:type="dxa"/>
          </w:tcPr>
          <w:p w:rsidR="00A05467" w:rsidRPr="007C51D6" w:rsidRDefault="00A05467" w:rsidP="00A05467">
            <w:pPr>
              <w:autoSpaceDE/>
              <w:autoSpaceDN/>
              <w:adjustRightInd/>
              <w:jc w:val="center"/>
              <w:rPr>
                <w:color w:val="000000"/>
                <w:sz w:val="20"/>
                <w:szCs w:val="20"/>
              </w:rPr>
            </w:pPr>
            <w:r w:rsidRPr="007C51D6">
              <w:rPr>
                <w:color w:val="000000"/>
                <w:sz w:val="20"/>
                <w:szCs w:val="20"/>
              </w:rPr>
              <w:t>11</w:t>
            </w:r>
          </w:p>
        </w:tc>
      </w:tr>
      <w:tr w:rsidR="007D5318" w:rsidRPr="007C51D6" w:rsidTr="00080BEF">
        <w:tblPrEx>
          <w:tblBorders>
            <w:bottom w:val="single" w:sz="4" w:space="0" w:color="auto"/>
          </w:tblBorders>
          <w:tblCellMar>
            <w:top w:w="11" w:type="dxa"/>
            <w:bottom w:w="11" w:type="dxa"/>
          </w:tblCellMar>
        </w:tblPrEx>
        <w:trPr>
          <w:trHeight w:val="20"/>
        </w:trPr>
        <w:tc>
          <w:tcPr>
            <w:tcW w:w="3114" w:type="dxa"/>
            <w:shd w:val="clear" w:color="auto" w:fill="auto"/>
          </w:tcPr>
          <w:p w:rsidR="007D5318" w:rsidRPr="007C51D6" w:rsidRDefault="007D5318" w:rsidP="007D5318">
            <w:pPr>
              <w:autoSpaceDE/>
              <w:autoSpaceDN/>
              <w:adjustRightInd/>
              <w:rPr>
                <w:color w:val="000000"/>
                <w:sz w:val="20"/>
                <w:szCs w:val="20"/>
              </w:rPr>
            </w:pPr>
            <w:r w:rsidRPr="007C51D6">
              <w:rPr>
                <w:color w:val="000000"/>
                <w:sz w:val="20"/>
                <w:szCs w:val="20"/>
              </w:rPr>
              <w:t>Республика Татарстан</w:t>
            </w:r>
          </w:p>
        </w:tc>
        <w:tc>
          <w:tcPr>
            <w:tcW w:w="1248" w:type="dxa"/>
            <w:shd w:val="clear" w:color="auto" w:fill="auto"/>
          </w:tcPr>
          <w:p w:rsidR="007D5318" w:rsidRPr="007C51D6" w:rsidRDefault="007D5318" w:rsidP="007D5318">
            <w:pPr>
              <w:autoSpaceDE/>
              <w:autoSpaceDN/>
              <w:adjustRightInd/>
              <w:jc w:val="center"/>
              <w:rPr>
                <w:color w:val="000000"/>
                <w:sz w:val="20"/>
                <w:szCs w:val="20"/>
              </w:rPr>
            </w:pPr>
            <w:r w:rsidRPr="007C51D6">
              <w:rPr>
                <w:color w:val="000000"/>
                <w:sz w:val="20"/>
                <w:szCs w:val="20"/>
              </w:rPr>
              <w:t>2 739,63</w:t>
            </w:r>
          </w:p>
        </w:tc>
        <w:tc>
          <w:tcPr>
            <w:tcW w:w="1247" w:type="dxa"/>
            <w:shd w:val="clear" w:color="auto" w:fill="auto"/>
          </w:tcPr>
          <w:p w:rsidR="007D5318" w:rsidRPr="007C51D6" w:rsidRDefault="007D5318" w:rsidP="007D5318">
            <w:pPr>
              <w:autoSpaceDE/>
              <w:autoSpaceDN/>
              <w:adjustRightInd/>
              <w:jc w:val="center"/>
              <w:rPr>
                <w:color w:val="000000"/>
                <w:sz w:val="20"/>
                <w:szCs w:val="20"/>
              </w:rPr>
            </w:pPr>
            <w:r w:rsidRPr="007C51D6">
              <w:rPr>
                <w:color w:val="000000"/>
                <w:sz w:val="20"/>
                <w:szCs w:val="20"/>
              </w:rPr>
              <w:t>2 899,58</w:t>
            </w:r>
          </w:p>
        </w:tc>
        <w:tc>
          <w:tcPr>
            <w:tcW w:w="1276" w:type="dxa"/>
            <w:shd w:val="clear" w:color="auto" w:fill="auto"/>
          </w:tcPr>
          <w:p w:rsidR="007D5318" w:rsidRPr="007C51D6" w:rsidRDefault="007D5318" w:rsidP="007D5318">
            <w:pPr>
              <w:autoSpaceDE/>
              <w:autoSpaceDN/>
              <w:adjustRightInd/>
              <w:jc w:val="center"/>
              <w:rPr>
                <w:color w:val="000000"/>
                <w:sz w:val="20"/>
                <w:szCs w:val="20"/>
              </w:rPr>
            </w:pPr>
            <w:r w:rsidRPr="007C51D6">
              <w:rPr>
                <w:color w:val="000000"/>
                <w:sz w:val="20"/>
                <w:szCs w:val="20"/>
              </w:rPr>
              <w:t>3 060,95</w:t>
            </w:r>
          </w:p>
        </w:tc>
        <w:tc>
          <w:tcPr>
            <w:tcW w:w="1162" w:type="dxa"/>
            <w:shd w:val="clear" w:color="auto" w:fill="auto"/>
          </w:tcPr>
          <w:p w:rsidR="007D5318" w:rsidRPr="007C51D6" w:rsidRDefault="007D5318" w:rsidP="007D5318">
            <w:pPr>
              <w:autoSpaceDE/>
              <w:autoSpaceDN/>
              <w:adjustRightInd/>
              <w:jc w:val="center"/>
              <w:rPr>
                <w:color w:val="000000"/>
                <w:sz w:val="20"/>
                <w:szCs w:val="20"/>
              </w:rPr>
            </w:pPr>
            <w:r w:rsidRPr="007C51D6">
              <w:rPr>
                <w:color w:val="000000"/>
                <w:sz w:val="20"/>
                <w:szCs w:val="20"/>
              </w:rPr>
              <w:t>3 231,44</w:t>
            </w:r>
          </w:p>
        </w:tc>
        <w:tc>
          <w:tcPr>
            <w:tcW w:w="1219" w:type="dxa"/>
            <w:shd w:val="clear" w:color="auto" w:fill="auto"/>
          </w:tcPr>
          <w:p w:rsidR="007D5318" w:rsidRPr="007C51D6" w:rsidRDefault="007D5318" w:rsidP="007D5318">
            <w:pPr>
              <w:autoSpaceDE/>
              <w:autoSpaceDN/>
              <w:adjustRightInd/>
              <w:jc w:val="center"/>
              <w:rPr>
                <w:color w:val="000000"/>
                <w:sz w:val="20"/>
                <w:szCs w:val="20"/>
              </w:rPr>
            </w:pPr>
            <w:r w:rsidRPr="007C51D6">
              <w:rPr>
                <w:color w:val="000000"/>
                <w:sz w:val="20"/>
                <w:szCs w:val="20"/>
              </w:rPr>
              <w:t>3 296,46</w:t>
            </w:r>
          </w:p>
        </w:tc>
        <w:tc>
          <w:tcPr>
            <w:tcW w:w="1163" w:type="dxa"/>
          </w:tcPr>
          <w:p w:rsidR="007D5318" w:rsidRPr="007C51D6" w:rsidRDefault="007D5318" w:rsidP="007D5318">
            <w:pPr>
              <w:autoSpaceDE/>
              <w:autoSpaceDN/>
              <w:adjustRightInd/>
              <w:jc w:val="center"/>
              <w:rPr>
                <w:color w:val="000000"/>
                <w:sz w:val="20"/>
                <w:szCs w:val="20"/>
              </w:rPr>
            </w:pPr>
            <w:r w:rsidRPr="007C51D6">
              <w:rPr>
                <w:color w:val="000000"/>
                <w:sz w:val="20"/>
                <w:szCs w:val="20"/>
              </w:rPr>
              <w:t>2 863,47</w:t>
            </w:r>
          </w:p>
        </w:tc>
        <w:tc>
          <w:tcPr>
            <w:tcW w:w="1162" w:type="dxa"/>
          </w:tcPr>
          <w:p w:rsidR="007D5318" w:rsidRPr="007C51D6" w:rsidRDefault="007D5318" w:rsidP="007D5318">
            <w:pPr>
              <w:autoSpaceDE/>
              <w:autoSpaceDN/>
              <w:adjustRightInd/>
              <w:jc w:val="center"/>
              <w:rPr>
                <w:color w:val="000000"/>
                <w:sz w:val="20"/>
                <w:szCs w:val="20"/>
              </w:rPr>
            </w:pPr>
            <w:r w:rsidRPr="007C51D6">
              <w:rPr>
                <w:color w:val="000000"/>
                <w:sz w:val="20"/>
                <w:szCs w:val="20"/>
              </w:rPr>
              <w:t>2 955,58</w:t>
            </w:r>
          </w:p>
        </w:tc>
        <w:tc>
          <w:tcPr>
            <w:tcW w:w="1162" w:type="dxa"/>
          </w:tcPr>
          <w:p w:rsidR="007D5318" w:rsidRPr="007C51D6" w:rsidRDefault="007D5318" w:rsidP="007D5318">
            <w:pPr>
              <w:autoSpaceDE/>
              <w:autoSpaceDN/>
              <w:adjustRightInd/>
              <w:jc w:val="center"/>
              <w:rPr>
                <w:color w:val="000000"/>
                <w:sz w:val="20"/>
                <w:szCs w:val="20"/>
              </w:rPr>
            </w:pPr>
            <w:r w:rsidRPr="007C51D6">
              <w:rPr>
                <w:color w:val="000000"/>
                <w:sz w:val="20"/>
                <w:szCs w:val="20"/>
              </w:rPr>
              <w:t>3008,30</w:t>
            </w:r>
          </w:p>
        </w:tc>
        <w:tc>
          <w:tcPr>
            <w:tcW w:w="1248" w:type="dxa"/>
            <w:vAlign w:val="center"/>
          </w:tcPr>
          <w:p w:rsidR="007D5318" w:rsidRPr="007C51D6" w:rsidRDefault="007D5318" w:rsidP="007D5318">
            <w:pPr>
              <w:autoSpaceDE/>
              <w:autoSpaceDN/>
              <w:adjustRightInd/>
              <w:jc w:val="center"/>
              <w:rPr>
                <w:color w:val="000000"/>
                <w:sz w:val="20"/>
                <w:szCs w:val="20"/>
              </w:rPr>
            </w:pPr>
            <w:r w:rsidRPr="007C51D6">
              <w:rPr>
                <w:color w:val="000000"/>
                <w:sz w:val="20"/>
                <w:szCs w:val="20"/>
              </w:rPr>
              <w:t>3179,78</w:t>
            </w:r>
          </w:p>
        </w:tc>
        <w:tc>
          <w:tcPr>
            <w:tcW w:w="1248" w:type="dxa"/>
            <w:vAlign w:val="center"/>
          </w:tcPr>
          <w:p w:rsidR="007D5318" w:rsidRPr="007C51D6" w:rsidRDefault="007D5318" w:rsidP="007D5318">
            <w:pPr>
              <w:widowControl/>
              <w:autoSpaceDE/>
              <w:autoSpaceDN/>
              <w:adjustRightInd/>
              <w:jc w:val="center"/>
              <w:rPr>
                <w:color w:val="000000"/>
                <w:sz w:val="20"/>
                <w:szCs w:val="20"/>
              </w:rPr>
            </w:pPr>
            <w:r w:rsidRPr="007C51D6">
              <w:rPr>
                <w:color w:val="000000"/>
                <w:sz w:val="20"/>
                <w:szCs w:val="20"/>
              </w:rPr>
              <w:t>3165.26</w:t>
            </w:r>
          </w:p>
        </w:tc>
      </w:tr>
      <w:tr w:rsidR="007D5318" w:rsidRPr="007C51D6" w:rsidTr="00080BEF">
        <w:tblPrEx>
          <w:tblBorders>
            <w:bottom w:val="single" w:sz="4" w:space="0" w:color="auto"/>
          </w:tblBorders>
          <w:tblCellMar>
            <w:top w:w="11" w:type="dxa"/>
            <w:bottom w:w="11" w:type="dxa"/>
          </w:tblCellMar>
        </w:tblPrEx>
        <w:trPr>
          <w:trHeight w:val="20"/>
        </w:trPr>
        <w:tc>
          <w:tcPr>
            <w:tcW w:w="3114" w:type="dxa"/>
            <w:shd w:val="clear" w:color="auto" w:fill="auto"/>
          </w:tcPr>
          <w:p w:rsidR="007D5318" w:rsidRPr="007C51D6" w:rsidRDefault="007D5318" w:rsidP="007D5318">
            <w:pPr>
              <w:autoSpaceDE/>
              <w:autoSpaceDN/>
              <w:adjustRightInd/>
              <w:rPr>
                <w:color w:val="000000"/>
                <w:sz w:val="20"/>
                <w:szCs w:val="20"/>
              </w:rPr>
            </w:pPr>
            <w:r w:rsidRPr="007C51D6">
              <w:rPr>
                <w:color w:val="000000"/>
                <w:sz w:val="20"/>
                <w:szCs w:val="20"/>
              </w:rPr>
              <w:t>Агрызский</w:t>
            </w:r>
          </w:p>
        </w:tc>
        <w:tc>
          <w:tcPr>
            <w:tcW w:w="1248" w:type="dxa"/>
            <w:shd w:val="clear" w:color="auto" w:fill="auto"/>
          </w:tcPr>
          <w:p w:rsidR="007D5318" w:rsidRPr="007C51D6" w:rsidRDefault="007D5318" w:rsidP="007D5318">
            <w:pPr>
              <w:autoSpaceDE/>
              <w:autoSpaceDN/>
              <w:adjustRightInd/>
              <w:jc w:val="center"/>
              <w:rPr>
                <w:color w:val="000000"/>
                <w:sz w:val="20"/>
                <w:szCs w:val="20"/>
              </w:rPr>
            </w:pPr>
            <w:r w:rsidRPr="007C51D6">
              <w:rPr>
                <w:color w:val="000000"/>
                <w:sz w:val="20"/>
                <w:szCs w:val="20"/>
              </w:rPr>
              <w:t>1 842,56</w:t>
            </w:r>
          </w:p>
        </w:tc>
        <w:tc>
          <w:tcPr>
            <w:tcW w:w="1247" w:type="dxa"/>
            <w:shd w:val="clear" w:color="auto" w:fill="auto"/>
          </w:tcPr>
          <w:p w:rsidR="007D5318" w:rsidRPr="007C51D6" w:rsidRDefault="007D5318" w:rsidP="007D5318">
            <w:pPr>
              <w:autoSpaceDE/>
              <w:autoSpaceDN/>
              <w:adjustRightInd/>
              <w:jc w:val="center"/>
              <w:rPr>
                <w:color w:val="000000"/>
                <w:sz w:val="20"/>
                <w:szCs w:val="20"/>
              </w:rPr>
            </w:pPr>
            <w:r w:rsidRPr="007C51D6">
              <w:rPr>
                <w:color w:val="000000"/>
                <w:sz w:val="20"/>
                <w:szCs w:val="20"/>
              </w:rPr>
              <w:t>1 897,45</w:t>
            </w:r>
          </w:p>
        </w:tc>
        <w:tc>
          <w:tcPr>
            <w:tcW w:w="1276" w:type="dxa"/>
            <w:shd w:val="clear" w:color="auto" w:fill="auto"/>
          </w:tcPr>
          <w:p w:rsidR="007D5318" w:rsidRPr="007C51D6" w:rsidRDefault="007D5318" w:rsidP="007D5318">
            <w:pPr>
              <w:autoSpaceDE/>
              <w:autoSpaceDN/>
              <w:adjustRightInd/>
              <w:jc w:val="center"/>
              <w:rPr>
                <w:color w:val="000000"/>
                <w:sz w:val="20"/>
                <w:szCs w:val="20"/>
              </w:rPr>
            </w:pPr>
            <w:r w:rsidRPr="007C51D6">
              <w:rPr>
                <w:color w:val="000000"/>
                <w:sz w:val="20"/>
                <w:szCs w:val="20"/>
              </w:rPr>
              <w:t>2 022,43</w:t>
            </w:r>
          </w:p>
        </w:tc>
        <w:tc>
          <w:tcPr>
            <w:tcW w:w="1162" w:type="dxa"/>
            <w:shd w:val="clear" w:color="auto" w:fill="auto"/>
          </w:tcPr>
          <w:p w:rsidR="007D5318" w:rsidRPr="007C51D6" w:rsidRDefault="007D5318" w:rsidP="007D5318">
            <w:pPr>
              <w:autoSpaceDE/>
              <w:autoSpaceDN/>
              <w:adjustRightInd/>
              <w:jc w:val="center"/>
              <w:rPr>
                <w:color w:val="000000"/>
                <w:sz w:val="20"/>
                <w:szCs w:val="20"/>
              </w:rPr>
            </w:pPr>
            <w:r w:rsidRPr="007C51D6">
              <w:rPr>
                <w:color w:val="000000"/>
                <w:sz w:val="20"/>
                <w:szCs w:val="20"/>
              </w:rPr>
              <w:t>2 217,72</w:t>
            </w:r>
          </w:p>
        </w:tc>
        <w:tc>
          <w:tcPr>
            <w:tcW w:w="1219" w:type="dxa"/>
            <w:shd w:val="clear" w:color="auto" w:fill="auto"/>
          </w:tcPr>
          <w:p w:rsidR="007D5318" w:rsidRPr="007C51D6" w:rsidRDefault="007D5318" w:rsidP="007D5318">
            <w:pPr>
              <w:autoSpaceDE/>
              <w:autoSpaceDN/>
              <w:adjustRightInd/>
              <w:jc w:val="center"/>
              <w:rPr>
                <w:color w:val="000000"/>
                <w:sz w:val="20"/>
                <w:szCs w:val="20"/>
              </w:rPr>
            </w:pPr>
            <w:r w:rsidRPr="007C51D6">
              <w:rPr>
                <w:color w:val="000000"/>
                <w:sz w:val="20"/>
                <w:szCs w:val="20"/>
              </w:rPr>
              <w:t>2 237,65</w:t>
            </w:r>
          </w:p>
        </w:tc>
        <w:tc>
          <w:tcPr>
            <w:tcW w:w="1163" w:type="dxa"/>
          </w:tcPr>
          <w:p w:rsidR="007D5318" w:rsidRPr="007C51D6" w:rsidRDefault="007D5318" w:rsidP="007D5318">
            <w:pPr>
              <w:jc w:val="center"/>
              <w:rPr>
                <w:color w:val="000000"/>
                <w:sz w:val="20"/>
                <w:szCs w:val="20"/>
              </w:rPr>
            </w:pPr>
            <w:r w:rsidRPr="007C51D6">
              <w:rPr>
                <w:color w:val="000000"/>
                <w:sz w:val="20"/>
                <w:szCs w:val="20"/>
              </w:rPr>
              <w:t>2 075,71</w:t>
            </w:r>
          </w:p>
        </w:tc>
        <w:tc>
          <w:tcPr>
            <w:tcW w:w="1162" w:type="dxa"/>
          </w:tcPr>
          <w:p w:rsidR="007D5318" w:rsidRPr="007C51D6" w:rsidRDefault="007D5318" w:rsidP="007D5318">
            <w:pPr>
              <w:jc w:val="center"/>
              <w:rPr>
                <w:color w:val="000000"/>
                <w:sz w:val="20"/>
                <w:szCs w:val="20"/>
              </w:rPr>
            </w:pPr>
            <w:r w:rsidRPr="007C51D6">
              <w:rPr>
                <w:color w:val="000000"/>
                <w:sz w:val="20"/>
                <w:szCs w:val="20"/>
              </w:rPr>
              <w:t>1 994,43</w:t>
            </w:r>
          </w:p>
        </w:tc>
        <w:tc>
          <w:tcPr>
            <w:tcW w:w="1162" w:type="dxa"/>
          </w:tcPr>
          <w:p w:rsidR="007D5318" w:rsidRPr="007C51D6" w:rsidRDefault="007D5318" w:rsidP="007D5318">
            <w:pPr>
              <w:autoSpaceDE/>
              <w:autoSpaceDN/>
              <w:adjustRightInd/>
              <w:jc w:val="center"/>
              <w:rPr>
                <w:color w:val="000000"/>
                <w:sz w:val="20"/>
                <w:szCs w:val="20"/>
              </w:rPr>
            </w:pPr>
            <w:r w:rsidRPr="007C51D6">
              <w:rPr>
                <w:color w:val="000000"/>
                <w:sz w:val="20"/>
                <w:szCs w:val="20"/>
              </w:rPr>
              <w:t>2078,29</w:t>
            </w:r>
          </w:p>
        </w:tc>
        <w:tc>
          <w:tcPr>
            <w:tcW w:w="1248" w:type="dxa"/>
            <w:vAlign w:val="center"/>
          </w:tcPr>
          <w:p w:rsidR="007D5318" w:rsidRPr="007C51D6" w:rsidRDefault="007D5318" w:rsidP="007D5318">
            <w:pPr>
              <w:jc w:val="center"/>
              <w:rPr>
                <w:color w:val="000000"/>
                <w:sz w:val="20"/>
                <w:szCs w:val="20"/>
              </w:rPr>
            </w:pPr>
            <w:r w:rsidRPr="007C51D6">
              <w:rPr>
                <w:color w:val="000000"/>
                <w:sz w:val="20"/>
                <w:szCs w:val="20"/>
              </w:rPr>
              <w:t>2174,36</w:t>
            </w:r>
          </w:p>
        </w:tc>
        <w:tc>
          <w:tcPr>
            <w:tcW w:w="1248" w:type="dxa"/>
            <w:vAlign w:val="center"/>
          </w:tcPr>
          <w:p w:rsidR="007D5318" w:rsidRPr="007C51D6" w:rsidRDefault="007D5318" w:rsidP="007D5318">
            <w:pPr>
              <w:jc w:val="center"/>
              <w:rPr>
                <w:color w:val="000000"/>
                <w:sz w:val="20"/>
                <w:szCs w:val="20"/>
              </w:rPr>
            </w:pPr>
            <w:r w:rsidRPr="007C51D6">
              <w:rPr>
                <w:color w:val="000000"/>
                <w:sz w:val="20"/>
                <w:szCs w:val="20"/>
              </w:rPr>
              <w:t>2164.20</w:t>
            </w:r>
          </w:p>
        </w:tc>
      </w:tr>
      <w:tr w:rsidR="007D5318" w:rsidRPr="007C51D6" w:rsidTr="00080BEF">
        <w:tblPrEx>
          <w:tblBorders>
            <w:bottom w:val="single" w:sz="4" w:space="0" w:color="auto"/>
          </w:tblBorders>
          <w:tblCellMar>
            <w:top w:w="11" w:type="dxa"/>
            <w:bottom w:w="11" w:type="dxa"/>
          </w:tblCellMar>
        </w:tblPrEx>
        <w:trPr>
          <w:trHeight w:val="20"/>
        </w:trPr>
        <w:tc>
          <w:tcPr>
            <w:tcW w:w="3114" w:type="dxa"/>
            <w:shd w:val="clear" w:color="auto" w:fill="auto"/>
            <w:hideMark/>
          </w:tcPr>
          <w:p w:rsidR="007D5318" w:rsidRPr="007C51D6" w:rsidRDefault="007D5318" w:rsidP="007D5318">
            <w:pPr>
              <w:autoSpaceDE/>
              <w:autoSpaceDN/>
              <w:adjustRightInd/>
              <w:rPr>
                <w:color w:val="000000"/>
                <w:sz w:val="20"/>
                <w:szCs w:val="20"/>
              </w:rPr>
            </w:pPr>
            <w:r w:rsidRPr="007C51D6">
              <w:rPr>
                <w:color w:val="000000"/>
                <w:sz w:val="20"/>
                <w:szCs w:val="20"/>
              </w:rPr>
              <w:t>Азнакаевский</w:t>
            </w:r>
          </w:p>
        </w:tc>
        <w:tc>
          <w:tcPr>
            <w:tcW w:w="1248" w:type="dxa"/>
            <w:shd w:val="clear" w:color="auto" w:fill="auto"/>
            <w:hideMark/>
          </w:tcPr>
          <w:p w:rsidR="007D5318" w:rsidRPr="007C51D6" w:rsidRDefault="007D5318" w:rsidP="007D5318">
            <w:pPr>
              <w:autoSpaceDE/>
              <w:autoSpaceDN/>
              <w:adjustRightInd/>
              <w:jc w:val="center"/>
              <w:rPr>
                <w:color w:val="000000"/>
                <w:sz w:val="20"/>
                <w:szCs w:val="20"/>
              </w:rPr>
            </w:pPr>
            <w:r w:rsidRPr="007C51D6">
              <w:rPr>
                <w:color w:val="000000"/>
                <w:sz w:val="20"/>
                <w:szCs w:val="20"/>
              </w:rPr>
              <w:t>2 768,52</w:t>
            </w:r>
          </w:p>
        </w:tc>
        <w:tc>
          <w:tcPr>
            <w:tcW w:w="1247" w:type="dxa"/>
            <w:shd w:val="clear" w:color="auto" w:fill="auto"/>
            <w:hideMark/>
          </w:tcPr>
          <w:p w:rsidR="007D5318" w:rsidRPr="007C51D6" w:rsidRDefault="007D5318" w:rsidP="007D5318">
            <w:pPr>
              <w:autoSpaceDE/>
              <w:autoSpaceDN/>
              <w:adjustRightInd/>
              <w:jc w:val="center"/>
              <w:rPr>
                <w:color w:val="000000"/>
                <w:sz w:val="20"/>
                <w:szCs w:val="20"/>
              </w:rPr>
            </w:pPr>
            <w:r w:rsidRPr="007C51D6">
              <w:rPr>
                <w:color w:val="000000"/>
                <w:sz w:val="20"/>
                <w:szCs w:val="20"/>
              </w:rPr>
              <w:t>2 964,76</w:t>
            </w:r>
          </w:p>
        </w:tc>
        <w:tc>
          <w:tcPr>
            <w:tcW w:w="1276" w:type="dxa"/>
            <w:shd w:val="clear" w:color="auto" w:fill="auto"/>
            <w:hideMark/>
          </w:tcPr>
          <w:p w:rsidR="007D5318" w:rsidRPr="007C51D6" w:rsidRDefault="007D5318" w:rsidP="007D5318">
            <w:pPr>
              <w:autoSpaceDE/>
              <w:autoSpaceDN/>
              <w:adjustRightInd/>
              <w:jc w:val="center"/>
              <w:rPr>
                <w:color w:val="000000"/>
                <w:sz w:val="20"/>
                <w:szCs w:val="20"/>
              </w:rPr>
            </w:pPr>
            <w:r w:rsidRPr="007C51D6">
              <w:rPr>
                <w:color w:val="000000"/>
                <w:sz w:val="20"/>
                <w:szCs w:val="20"/>
              </w:rPr>
              <w:t>3 163,29</w:t>
            </w:r>
          </w:p>
        </w:tc>
        <w:tc>
          <w:tcPr>
            <w:tcW w:w="1162" w:type="dxa"/>
            <w:shd w:val="clear" w:color="auto" w:fill="auto"/>
            <w:hideMark/>
          </w:tcPr>
          <w:p w:rsidR="007D5318" w:rsidRPr="007C51D6" w:rsidRDefault="007D5318" w:rsidP="007D5318">
            <w:pPr>
              <w:autoSpaceDE/>
              <w:autoSpaceDN/>
              <w:adjustRightInd/>
              <w:jc w:val="center"/>
              <w:rPr>
                <w:color w:val="000000"/>
                <w:sz w:val="20"/>
                <w:szCs w:val="20"/>
              </w:rPr>
            </w:pPr>
            <w:r w:rsidRPr="007C51D6">
              <w:rPr>
                <w:color w:val="000000"/>
                <w:sz w:val="20"/>
                <w:szCs w:val="20"/>
              </w:rPr>
              <w:t>3 273,35</w:t>
            </w:r>
          </w:p>
        </w:tc>
        <w:tc>
          <w:tcPr>
            <w:tcW w:w="1219" w:type="dxa"/>
            <w:shd w:val="clear" w:color="auto" w:fill="auto"/>
            <w:hideMark/>
          </w:tcPr>
          <w:p w:rsidR="007D5318" w:rsidRPr="007C51D6" w:rsidRDefault="007D5318" w:rsidP="007D5318">
            <w:pPr>
              <w:autoSpaceDE/>
              <w:autoSpaceDN/>
              <w:adjustRightInd/>
              <w:jc w:val="center"/>
              <w:rPr>
                <w:color w:val="000000"/>
                <w:sz w:val="20"/>
                <w:szCs w:val="20"/>
              </w:rPr>
            </w:pPr>
            <w:r w:rsidRPr="007C51D6">
              <w:rPr>
                <w:color w:val="000000"/>
                <w:sz w:val="20"/>
                <w:szCs w:val="20"/>
              </w:rPr>
              <w:t>3 384,39</w:t>
            </w:r>
          </w:p>
        </w:tc>
        <w:tc>
          <w:tcPr>
            <w:tcW w:w="1163" w:type="dxa"/>
          </w:tcPr>
          <w:p w:rsidR="007D5318" w:rsidRPr="007C51D6" w:rsidRDefault="007D5318" w:rsidP="007D5318">
            <w:pPr>
              <w:jc w:val="center"/>
              <w:rPr>
                <w:color w:val="000000"/>
                <w:sz w:val="20"/>
                <w:szCs w:val="20"/>
              </w:rPr>
            </w:pPr>
            <w:r w:rsidRPr="007C51D6">
              <w:rPr>
                <w:color w:val="000000"/>
                <w:sz w:val="20"/>
                <w:szCs w:val="20"/>
              </w:rPr>
              <w:t>2 989,88</w:t>
            </w:r>
          </w:p>
        </w:tc>
        <w:tc>
          <w:tcPr>
            <w:tcW w:w="1162" w:type="dxa"/>
          </w:tcPr>
          <w:p w:rsidR="007D5318" w:rsidRPr="007C51D6" w:rsidRDefault="007D5318" w:rsidP="007D5318">
            <w:pPr>
              <w:jc w:val="center"/>
              <w:rPr>
                <w:color w:val="000000"/>
                <w:sz w:val="20"/>
                <w:szCs w:val="20"/>
              </w:rPr>
            </w:pPr>
            <w:r w:rsidRPr="007C51D6">
              <w:rPr>
                <w:color w:val="000000"/>
                <w:sz w:val="20"/>
                <w:szCs w:val="20"/>
              </w:rPr>
              <w:t>3 120,39</w:t>
            </w:r>
          </w:p>
        </w:tc>
        <w:tc>
          <w:tcPr>
            <w:tcW w:w="1162" w:type="dxa"/>
          </w:tcPr>
          <w:p w:rsidR="007D5318" w:rsidRPr="007C51D6" w:rsidRDefault="007D5318" w:rsidP="007D5318">
            <w:pPr>
              <w:jc w:val="center"/>
              <w:rPr>
                <w:color w:val="000000"/>
                <w:sz w:val="20"/>
                <w:szCs w:val="20"/>
              </w:rPr>
            </w:pPr>
            <w:r w:rsidRPr="007C51D6">
              <w:rPr>
                <w:color w:val="000000"/>
                <w:sz w:val="20"/>
                <w:szCs w:val="20"/>
              </w:rPr>
              <w:t>3309,44</w:t>
            </w:r>
          </w:p>
        </w:tc>
        <w:tc>
          <w:tcPr>
            <w:tcW w:w="1248" w:type="dxa"/>
            <w:vAlign w:val="center"/>
          </w:tcPr>
          <w:p w:rsidR="007D5318" w:rsidRPr="007C51D6" w:rsidRDefault="007D5318" w:rsidP="007D5318">
            <w:pPr>
              <w:jc w:val="center"/>
              <w:rPr>
                <w:color w:val="000000"/>
                <w:sz w:val="20"/>
                <w:szCs w:val="20"/>
              </w:rPr>
            </w:pPr>
            <w:r w:rsidRPr="007C51D6">
              <w:rPr>
                <w:color w:val="000000"/>
                <w:sz w:val="20"/>
                <w:szCs w:val="20"/>
              </w:rPr>
              <w:t>3438,25</w:t>
            </w:r>
          </w:p>
        </w:tc>
        <w:tc>
          <w:tcPr>
            <w:tcW w:w="1248" w:type="dxa"/>
            <w:vAlign w:val="center"/>
          </w:tcPr>
          <w:p w:rsidR="007D5318" w:rsidRPr="007C51D6" w:rsidRDefault="007D5318" w:rsidP="007D5318">
            <w:pPr>
              <w:jc w:val="center"/>
              <w:rPr>
                <w:color w:val="000000"/>
                <w:sz w:val="20"/>
                <w:szCs w:val="20"/>
              </w:rPr>
            </w:pPr>
            <w:r w:rsidRPr="007C51D6">
              <w:rPr>
                <w:color w:val="000000"/>
                <w:sz w:val="20"/>
                <w:szCs w:val="20"/>
              </w:rPr>
              <w:t>3306.51</w:t>
            </w:r>
          </w:p>
        </w:tc>
      </w:tr>
      <w:tr w:rsidR="007D5318" w:rsidRPr="007C51D6" w:rsidTr="00080BEF">
        <w:tblPrEx>
          <w:tblBorders>
            <w:bottom w:val="single" w:sz="4" w:space="0" w:color="auto"/>
          </w:tblBorders>
          <w:tblCellMar>
            <w:top w:w="11" w:type="dxa"/>
            <w:bottom w:w="11" w:type="dxa"/>
          </w:tblCellMar>
        </w:tblPrEx>
        <w:trPr>
          <w:trHeight w:val="20"/>
        </w:trPr>
        <w:tc>
          <w:tcPr>
            <w:tcW w:w="3114" w:type="dxa"/>
            <w:shd w:val="clear" w:color="auto" w:fill="auto"/>
            <w:hideMark/>
          </w:tcPr>
          <w:p w:rsidR="007D5318" w:rsidRPr="007C51D6" w:rsidRDefault="007D5318" w:rsidP="007D5318">
            <w:pPr>
              <w:autoSpaceDE/>
              <w:autoSpaceDN/>
              <w:adjustRightInd/>
              <w:rPr>
                <w:color w:val="000000"/>
                <w:sz w:val="20"/>
                <w:szCs w:val="20"/>
              </w:rPr>
            </w:pPr>
            <w:r w:rsidRPr="007C51D6">
              <w:rPr>
                <w:color w:val="000000"/>
                <w:sz w:val="20"/>
                <w:szCs w:val="20"/>
              </w:rPr>
              <w:t>Аксубаевский</w:t>
            </w:r>
          </w:p>
        </w:tc>
        <w:tc>
          <w:tcPr>
            <w:tcW w:w="1248" w:type="dxa"/>
            <w:shd w:val="clear" w:color="auto" w:fill="auto"/>
            <w:hideMark/>
          </w:tcPr>
          <w:p w:rsidR="007D5318" w:rsidRPr="007C51D6" w:rsidRDefault="007D5318" w:rsidP="007D5318">
            <w:pPr>
              <w:autoSpaceDE/>
              <w:autoSpaceDN/>
              <w:adjustRightInd/>
              <w:jc w:val="center"/>
              <w:rPr>
                <w:color w:val="000000"/>
                <w:sz w:val="20"/>
                <w:szCs w:val="20"/>
              </w:rPr>
            </w:pPr>
            <w:r w:rsidRPr="007C51D6">
              <w:rPr>
                <w:color w:val="000000"/>
                <w:sz w:val="20"/>
                <w:szCs w:val="20"/>
              </w:rPr>
              <w:t>1 883,69</w:t>
            </w:r>
          </w:p>
        </w:tc>
        <w:tc>
          <w:tcPr>
            <w:tcW w:w="1247" w:type="dxa"/>
            <w:shd w:val="clear" w:color="auto" w:fill="auto"/>
            <w:hideMark/>
          </w:tcPr>
          <w:p w:rsidR="007D5318" w:rsidRPr="007C51D6" w:rsidRDefault="007D5318" w:rsidP="007D5318">
            <w:pPr>
              <w:autoSpaceDE/>
              <w:autoSpaceDN/>
              <w:adjustRightInd/>
              <w:jc w:val="center"/>
              <w:rPr>
                <w:color w:val="000000"/>
                <w:sz w:val="20"/>
                <w:szCs w:val="20"/>
              </w:rPr>
            </w:pPr>
            <w:r w:rsidRPr="007C51D6">
              <w:rPr>
                <w:color w:val="000000"/>
                <w:sz w:val="20"/>
                <w:szCs w:val="20"/>
              </w:rPr>
              <w:t>2 012,19</w:t>
            </w:r>
          </w:p>
        </w:tc>
        <w:tc>
          <w:tcPr>
            <w:tcW w:w="1276" w:type="dxa"/>
            <w:shd w:val="clear" w:color="auto" w:fill="auto"/>
            <w:hideMark/>
          </w:tcPr>
          <w:p w:rsidR="007D5318" w:rsidRPr="007C51D6" w:rsidRDefault="007D5318" w:rsidP="007D5318">
            <w:pPr>
              <w:autoSpaceDE/>
              <w:autoSpaceDN/>
              <w:adjustRightInd/>
              <w:jc w:val="center"/>
              <w:rPr>
                <w:color w:val="000000"/>
                <w:sz w:val="20"/>
                <w:szCs w:val="20"/>
              </w:rPr>
            </w:pPr>
            <w:r w:rsidRPr="007C51D6">
              <w:rPr>
                <w:color w:val="000000"/>
                <w:sz w:val="20"/>
                <w:szCs w:val="20"/>
              </w:rPr>
              <w:t>2 169,78</w:t>
            </w:r>
          </w:p>
        </w:tc>
        <w:tc>
          <w:tcPr>
            <w:tcW w:w="1162" w:type="dxa"/>
            <w:shd w:val="clear" w:color="auto" w:fill="auto"/>
            <w:hideMark/>
          </w:tcPr>
          <w:p w:rsidR="007D5318" w:rsidRPr="007C51D6" w:rsidRDefault="007D5318" w:rsidP="007D5318">
            <w:pPr>
              <w:autoSpaceDE/>
              <w:autoSpaceDN/>
              <w:adjustRightInd/>
              <w:jc w:val="center"/>
              <w:rPr>
                <w:color w:val="000000"/>
                <w:sz w:val="20"/>
                <w:szCs w:val="20"/>
              </w:rPr>
            </w:pPr>
            <w:r w:rsidRPr="007C51D6">
              <w:rPr>
                <w:color w:val="000000"/>
                <w:sz w:val="20"/>
                <w:szCs w:val="20"/>
              </w:rPr>
              <w:t>2 283,52</w:t>
            </w:r>
          </w:p>
        </w:tc>
        <w:tc>
          <w:tcPr>
            <w:tcW w:w="1219" w:type="dxa"/>
            <w:shd w:val="clear" w:color="auto" w:fill="auto"/>
            <w:hideMark/>
          </w:tcPr>
          <w:p w:rsidR="007D5318" w:rsidRPr="007C51D6" w:rsidRDefault="007D5318" w:rsidP="007D5318">
            <w:pPr>
              <w:autoSpaceDE/>
              <w:autoSpaceDN/>
              <w:adjustRightInd/>
              <w:jc w:val="center"/>
              <w:rPr>
                <w:color w:val="000000"/>
                <w:sz w:val="20"/>
                <w:szCs w:val="20"/>
              </w:rPr>
            </w:pPr>
            <w:r w:rsidRPr="007C51D6">
              <w:rPr>
                <w:color w:val="000000"/>
                <w:sz w:val="20"/>
                <w:szCs w:val="20"/>
              </w:rPr>
              <w:t>2 407,57</w:t>
            </w:r>
          </w:p>
        </w:tc>
        <w:tc>
          <w:tcPr>
            <w:tcW w:w="1163" w:type="dxa"/>
          </w:tcPr>
          <w:p w:rsidR="007D5318" w:rsidRPr="007C51D6" w:rsidRDefault="007D5318" w:rsidP="007D5318">
            <w:pPr>
              <w:jc w:val="center"/>
              <w:rPr>
                <w:color w:val="000000"/>
                <w:sz w:val="20"/>
                <w:szCs w:val="20"/>
              </w:rPr>
            </w:pPr>
            <w:r w:rsidRPr="007C51D6">
              <w:rPr>
                <w:color w:val="000000"/>
                <w:sz w:val="20"/>
                <w:szCs w:val="20"/>
              </w:rPr>
              <w:t>2 185,77</w:t>
            </w:r>
          </w:p>
        </w:tc>
        <w:tc>
          <w:tcPr>
            <w:tcW w:w="1162" w:type="dxa"/>
          </w:tcPr>
          <w:p w:rsidR="007D5318" w:rsidRPr="007C51D6" w:rsidRDefault="007D5318" w:rsidP="007D5318">
            <w:pPr>
              <w:jc w:val="center"/>
              <w:rPr>
                <w:color w:val="000000"/>
                <w:sz w:val="20"/>
                <w:szCs w:val="20"/>
              </w:rPr>
            </w:pPr>
            <w:r w:rsidRPr="007C51D6">
              <w:rPr>
                <w:color w:val="000000"/>
                <w:sz w:val="20"/>
                <w:szCs w:val="20"/>
              </w:rPr>
              <w:t>2 269,42</w:t>
            </w:r>
          </w:p>
        </w:tc>
        <w:tc>
          <w:tcPr>
            <w:tcW w:w="1162" w:type="dxa"/>
          </w:tcPr>
          <w:p w:rsidR="007D5318" w:rsidRPr="007C51D6" w:rsidRDefault="007D5318" w:rsidP="007D5318">
            <w:pPr>
              <w:jc w:val="center"/>
              <w:rPr>
                <w:color w:val="000000"/>
                <w:sz w:val="20"/>
                <w:szCs w:val="20"/>
              </w:rPr>
            </w:pPr>
            <w:r w:rsidRPr="007C51D6">
              <w:rPr>
                <w:color w:val="000000"/>
                <w:sz w:val="20"/>
                <w:szCs w:val="20"/>
              </w:rPr>
              <w:t>2439,21</w:t>
            </w:r>
          </w:p>
        </w:tc>
        <w:tc>
          <w:tcPr>
            <w:tcW w:w="1248" w:type="dxa"/>
            <w:vAlign w:val="center"/>
          </w:tcPr>
          <w:p w:rsidR="007D5318" w:rsidRPr="007C51D6" w:rsidRDefault="007D5318" w:rsidP="007D5318">
            <w:pPr>
              <w:jc w:val="center"/>
              <w:rPr>
                <w:color w:val="000000"/>
                <w:sz w:val="20"/>
                <w:szCs w:val="20"/>
              </w:rPr>
            </w:pPr>
            <w:r w:rsidRPr="007C51D6">
              <w:rPr>
                <w:color w:val="000000"/>
                <w:sz w:val="20"/>
                <w:szCs w:val="20"/>
              </w:rPr>
              <w:t>2568,61</w:t>
            </w:r>
          </w:p>
        </w:tc>
        <w:tc>
          <w:tcPr>
            <w:tcW w:w="1248" w:type="dxa"/>
            <w:vAlign w:val="center"/>
          </w:tcPr>
          <w:p w:rsidR="007D5318" w:rsidRPr="007C51D6" w:rsidRDefault="007D5318" w:rsidP="007D5318">
            <w:pPr>
              <w:jc w:val="center"/>
              <w:rPr>
                <w:color w:val="000000"/>
                <w:sz w:val="20"/>
                <w:szCs w:val="20"/>
              </w:rPr>
            </w:pPr>
            <w:r w:rsidRPr="007C51D6">
              <w:rPr>
                <w:color w:val="000000"/>
                <w:sz w:val="20"/>
                <w:szCs w:val="20"/>
              </w:rPr>
              <w:t>2605.58</w:t>
            </w:r>
          </w:p>
        </w:tc>
      </w:tr>
      <w:tr w:rsidR="007D5318" w:rsidRPr="007C51D6" w:rsidTr="00080BEF">
        <w:tblPrEx>
          <w:tblBorders>
            <w:bottom w:val="single" w:sz="4" w:space="0" w:color="auto"/>
          </w:tblBorders>
          <w:tblCellMar>
            <w:top w:w="11" w:type="dxa"/>
            <w:bottom w:w="11" w:type="dxa"/>
          </w:tblCellMar>
        </w:tblPrEx>
        <w:trPr>
          <w:trHeight w:val="20"/>
        </w:trPr>
        <w:tc>
          <w:tcPr>
            <w:tcW w:w="3114" w:type="dxa"/>
            <w:shd w:val="clear" w:color="auto" w:fill="auto"/>
            <w:hideMark/>
          </w:tcPr>
          <w:p w:rsidR="007D5318" w:rsidRPr="007C51D6" w:rsidRDefault="007D5318" w:rsidP="007D5318">
            <w:pPr>
              <w:autoSpaceDE/>
              <w:autoSpaceDN/>
              <w:adjustRightInd/>
              <w:rPr>
                <w:color w:val="000000"/>
                <w:sz w:val="20"/>
                <w:szCs w:val="20"/>
              </w:rPr>
            </w:pPr>
            <w:r w:rsidRPr="007C51D6">
              <w:rPr>
                <w:color w:val="000000"/>
                <w:sz w:val="20"/>
                <w:szCs w:val="20"/>
              </w:rPr>
              <w:t>Актанышский</w:t>
            </w:r>
          </w:p>
        </w:tc>
        <w:tc>
          <w:tcPr>
            <w:tcW w:w="1248" w:type="dxa"/>
            <w:shd w:val="clear" w:color="auto" w:fill="auto"/>
            <w:hideMark/>
          </w:tcPr>
          <w:p w:rsidR="007D5318" w:rsidRPr="007C51D6" w:rsidRDefault="007D5318" w:rsidP="007D5318">
            <w:pPr>
              <w:autoSpaceDE/>
              <w:autoSpaceDN/>
              <w:adjustRightInd/>
              <w:jc w:val="center"/>
              <w:rPr>
                <w:color w:val="000000"/>
                <w:sz w:val="20"/>
                <w:szCs w:val="20"/>
              </w:rPr>
            </w:pPr>
            <w:r w:rsidRPr="007C51D6">
              <w:rPr>
                <w:color w:val="000000"/>
                <w:sz w:val="20"/>
                <w:szCs w:val="20"/>
              </w:rPr>
              <w:t>2 140,70</w:t>
            </w:r>
          </w:p>
        </w:tc>
        <w:tc>
          <w:tcPr>
            <w:tcW w:w="1247" w:type="dxa"/>
            <w:shd w:val="clear" w:color="auto" w:fill="auto"/>
            <w:hideMark/>
          </w:tcPr>
          <w:p w:rsidR="007D5318" w:rsidRPr="007C51D6" w:rsidRDefault="007D5318" w:rsidP="007D5318">
            <w:pPr>
              <w:autoSpaceDE/>
              <w:autoSpaceDN/>
              <w:adjustRightInd/>
              <w:jc w:val="center"/>
              <w:rPr>
                <w:color w:val="000000"/>
                <w:sz w:val="20"/>
                <w:szCs w:val="20"/>
              </w:rPr>
            </w:pPr>
            <w:r w:rsidRPr="007C51D6">
              <w:rPr>
                <w:color w:val="000000"/>
                <w:sz w:val="20"/>
                <w:szCs w:val="20"/>
              </w:rPr>
              <w:t>2 188,06</w:t>
            </w:r>
          </w:p>
        </w:tc>
        <w:tc>
          <w:tcPr>
            <w:tcW w:w="1276" w:type="dxa"/>
            <w:shd w:val="clear" w:color="auto" w:fill="auto"/>
            <w:hideMark/>
          </w:tcPr>
          <w:p w:rsidR="007D5318" w:rsidRPr="007C51D6" w:rsidRDefault="007D5318" w:rsidP="007D5318">
            <w:pPr>
              <w:autoSpaceDE/>
              <w:autoSpaceDN/>
              <w:adjustRightInd/>
              <w:jc w:val="center"/>
              <w:rPr>
                <w:color w:val="000000"/>
                <w:sz w:val="20"/>
                <w:szCs w:val="20"/>
              </w:rPr>
            </w:pPr>
            <w:r w:rsidRPr="007C51D6">
              <w:rPr>
                <w:color w:val="000000"/>
                <w:sz w:val="20"/>
                <w:szCs w:val="20"/>
              </w:rPr>
              <w:t>2 290,73</w:t>
            </w:r>
          </w:p>
        </w:tc>
        <w:tc>
          <w:tcPr>
            <w:tcW w:w="1162" w:type="dxa"/>
            <w:shd w:val="clear" w:color="auto" w:fill="auto"/>
            <w:hideMark/>
          </w:tcPr>
          <w:p w:rsidR="007D5318" w:rsidRPr="007C51D6" w:rsidRDefault="007D5318" w:rsidP="007D5318">
            <w:pPr>
              <w:autoSpaceDE/>
              <w:autoSpaceDN/>
              <w:adjustRightInd/>
              <w:jc w:val="center"/>
              <w:rPr>
                <w:color w:val="000000"/>
                <w:sz w:val="20"/>
                <w:szCs w:val="20"/>
              </w:rPr>
            </w:pPr>
            <w:r w:rsidRPr="007C51D6">
              <w:rPr>
                <w:color w:val="000000"/>
                <w:sz w:val="20"/>
                <w:szCs w:val="20"/>
              </w:rPr>
              <w:t>2 456,76</w:t>
            </w:r>
          </w:p>
        </w:tc>
        <w:tc>
          <w:tcPr>
            <w:tcW w:w="1219" w:type="dxa"/>
            <w:shd w:val="clear" w:color="auto" w:fill="auto"/>
            <w:hideMark/>
          </w:tcPr>
          <w:p w:rsidR="007D5318" w:rsidRPr="007C51D6" w:rsidRDefault="007D5318" w:rsidP="007D5318">
            <w:pPr>
              <w:autoSpaceDE/>
              <w:autoSpaceDN/>
              <w:adjustRightInd/>
              <w:jc w:val="center"/>
              <w:rPr>
                <w:color w:val="000000"/>
                <w:sz w:val="20"/>
                <w:szCs w:val="20"/>
              </w:rPr>
            </w:pPr>
            <w:r w:rsidRPr="007C51D6">
              <w:rPr>
                <w:color w:val="000000"/>
                <w:sz w:val="20"/>
                <w:szCs w:val="20"/>
              </w:rPr>
              <w:t>2 463,93</w:t>
            </w:r>
          </w:p>
        </w:tc>
        <w:tc>
          <w:tcPr>
            <w:tcW w:w="1163" w:type="dxa"/>
          </w:tcPr>
          <w:p w:rsidR="007D5318" w:rsidRPr="007C51D6" w:rsidRDefault="007D5318" w:rsidP="007D5318">
            <w:pPr>
              <w:jc w:val="center"/>
              <w:rPr>
                <w:color w:val="000000"/>
                <w:sz w:val="20"/>
                <w:szCs w:val="20"/>
              </w:rPr>
            </w:pPr>
            <w:r w:rsidRPr="007C51D6">
              <w:rPr>
                <w:color w:val="000000"/>
                <w:sz w:val="20"/>
                <w:szCs w:val="20"/>
              </w:rPr>
              <w:t>2 062,75</w:t>
            </w:r>
          </w:p>
        </w:tc>
        <w:tc>
          <w:tcPr>
            <w:tcW w:w="1162" w:type="dxa"/>
          </w:tcPr>
          <w:p w:rsidR="007D5318" w:rsidRPr="007C51D6" w:rsidRDefault="007D5318" w:rsidP="007D5318">
            <w:pPr>
              <w:jc w:val="center"/>
              <w:rPr>
                <w:color w:val="000000"/>
                <w:sz w:val="20"/>
                <w:szCs w:val="20"/>
              </w:rPr>
            </w:pPr>
            <w:r w:rsidRPr="007C51D6">
              <w:rPr>
                <w:color w:val="000000"/>
                <w:sz w:val="20"/>
                <w:szCs w:val="20"/>
              </w:rPr>
              <w:t>2 121,68</w:t>
            </w:r>
          </w:p>
        </w:tc>
        <w:tc>
          <w:tcPr>
            <w:tcW w:w="1162" w:type="dxa"/>
          </w:tcPr>
          <w:p w:rsidR="007D5318" w:rsidRPr="007C51D6" w:rsidRDefault="007D5318" w:rsidP="007D5318">
            <w:pPr>
              <w:jc w:val="center"/>
              <w:rPr>
                <w:color w:val="000000"/>
                <w:sz w:val="20"/>
                <w:szCs w:val="20"/>
              </w:rPr>
            </w:pPr>
            <w:r w:rsidRPr="007C51D6">
              <w:rPr>
                <w:color w:val="000000"/>
                <w:sz w:val="20"/>
                <w:szCs w:val="20"/>
              </w:rPr>
              <w:t>2352,94</w:t>
            </w:r>
          </w:p>
        </w:tc>
        <w:tc>
          <w:tcPr>
            <w:tcW w:w="1248" w:type="dxa"/>
            <w:vAlign w:val="center"/>
          </w:tcPr>
          <w:p w:rsidR="007D5318" w:rsidRPr="007C51D6" w:rsidRDefault="007D5318" w:rsidP="007D5318">
            <w:pPr>
              <w:jc w:val="center"/>
              <w:rPr>
                <w:color w:val="000000"/>
                <w:sz w:val="20"/>
                <w:szCs w:val="20"/>
              </w:rPr>
            </w:pPr>
            <w:r w:rsidRPr="007C51D6">
              <w:rPr>
                <w:color w:val="000000"/>
                <w:sz w:val="20"/>
                <w:szCs w:val="20"/>
              </w:rPr>
              <w:t>2451,72</w:t>
            </w:r>
          </w:p>
        </w:tc>
        <w:tc>
          <w:tcPr>
            <w:tcW w:w="1248" w:type="dxa"/>
            <w:vAlign w:val="center"/>
          </w:tcPr>
          <w:p w:rsidR="007D5318" w:rsidRPr="007C51D6" w:rsidRDefault="007D5318" w:rsidP="007D5318">
            <w:pPr>
              <w:jc w:val="center"/>
              <w:rPr>
                <w:color w:val="000000"/>
                <w:sz w:val="20"/>
                <w:szCs w:val="20"/>
              </w:rPr>
            </w:pPr>
            <w:r w:rsidRPr="007C51D6">
              <w:rPr>
                <w:color w:val="000000"/>
                <w:sz w:val="20"/>
                <w:szCs w:val="20"/>
              </w:rPr>
              <w:t>2638.33</w:t>
            </w:r>
          </w:p>
        </w:tc>
      </w:tr>
      <w:tr w:rsidR="007D5318" w:rsidRPr="007C51D6" w:rsidTr="00080BEF">
        <w:tblPrEx>
          <w:tblBorders>
            <w:bottom w:val="single" w:sz="4" w:space="0" w:color="auto"/>
          </w:tblBorders>
          <w:tblCellMar>
            <w:top w:w="11" w:type="dxa"/>
            <w:bottom w:w="11" w:type="dxa"/>
          </w:tblCellMar>
        </w:tblPrEx>
        <w:trPr>
          <w:trHeight w:val="20"/>
        </w:trPr>
        <w:tc>
          <w:tcPr>
            <w:tcW w:w="3114" w:type="dxa"/>
            <w:shd w:val="clear" w:color="auto" w:fill="auto"/>
            <w:hideMark/>
          </w:tcPr>
          <w:p w:rsidR="007D5318" w:rsidRPr="007C51D6" w:rsidRDefault="007D5318" w:rsidP="007D5318">
            <w:pPr>
              <w:autoSpaceDE/>
              <w:autoSpaceDN/>
              <w:adjustRightInd/>
              <w:rPr>
                <w:color w:val="000000"/>
                <w:sz w:val="20"/>
                <w:szCs w:val="20"/>
              </w:rPr>
            </w:pPr>
            <w:r w:rsidRPr="007C51D6">
              <w:rPr>
                <w:color w:val="000000"/>
                <w:sz w:val="20"/>
                <w:szCs w:val="20"/>
              </w:rPr>
              <w:t>Алексеевский</w:t>
            </w:r>
          </w:p>
        </w:tc>
        <w:tc>
          <w:tcPr>
            <w:tcW w:w="1248" w:type="dxa"/>
            <w:shd w:val="clear" w:color="auto" w:fill="auto"/>
            <w:hideMark/>
          </w:tcPr>
          <w:p w:rsidR="007D5318" w:rsidRPr="007C51D6" w:rsidRDefault="007D5318" w:rsidP="007D5318">
            <w:pPr>
              <w:autoSpaceDE/>
              <w:autoSpaceDN/>
              <w:adjustRightInd/>
              <w:jc w:val="center"/>
              <w:rPr>
                <w:color w:val="000000"/>
                <w:sz w:val="20"/>
                <w:szCs w:val="20"/>
              </w:rPr>
            </w:pPr>
            <w:r w:rsidRPr="007C51D6">
              <w:rPr>
                <w:color w:val="000000"/>
                <w:sz w:val="20"/>
                <w:szCs w:val="20"/>
              </w:rPr>
              <w:t>2 302,17</w:t>
            </w:r>
          </w:p>
        </w:tc>
        <w:tc>
          <w:tcPr>
            <w:tcW w:w="1247" w:type="dxa"/>
            <w:shd w:val="clear" w:color="auto" w:fill="auto"/>
            <w:hideMark/>
          </w:tcPr>
          <w:p w:rsidR="007D5318" w:rsidRPr="007C51D6" w:rsidRDefault="007D5318" w:rsidP="007D5318">
            <w:pPr>
              <w:autoSpaceDE/>
              <w:autoSpaceDN/>
              <w:adjustRightInd/>
              <w:jc w:val="center"/>
              <w:rPr>
                <w:color w:val="000000"/>
                <w:sz w:val="20"/>
                <w:szCs w:val="20"/>
              </w:rPr>
            </w:pPr>
            <w:r w:rsidRPr="007C51D6">
              <w:rPr>
                <w:color w:val="000000"/>
                <w:sz w:val="20"/>
                <w:szCs w:val="20"/>
              </w:rPr>
              <w:t>2 383,26</w:t>
            </w:r>
          </w:p>
        </w:tc>
        <w:tc>
          <w:tcPr>
            <w:tcW w:w="1276" w:type="dxa"/>
            <w:shd w:val="clear" w:color="auto" w:fill="auto"/>
            <w:hideMark/>
          </w:tcPr>
          <w:p w:rsidR="007D5318" w:rsidRPr="007C51D6" w:rsidRDefault="007D5318" w:rsidP="007D5318">
            <w:pPr>
              <w:autoSpaceDE/>
              <w:autoSpaceDN/>
              <w:adjustRightInd/>
              <w:jc w:val="center"/>
              <w:rPr>
                <w:color w:val="000000"/>
                <w:sz w:val="20"/>
                <w:szCs w:val="20"/>
              </w:rPr>
            </w:pPr>
            <w:r w:rsidRPr="007C51D6">
              <w:rPr>
                <w:color w:val="000000"/>
                <w:sz w:val="20"/>
                <w:szCs w:val="20"/>
              </w:rPr>
              <w:t>2 614,89</w:t>
            </w:r>
          </w:p>
        </w:tc>
        <w:tc>
          <w:tcPr>
            <w:tcW w:w="1162" w:type="dxa"/>
            <w:shd w:val="clear" w:color="auto" w:fill="auto"/>
            <w:hideMark/>
          </w:tcPr>
          <w:p w:rsidR="007D5318" w:rsidRPr="007C51D6" w:rsidRDefault="007D5318" w:rsidP="007D5318">
            <w:pPr>
              <w:autoSpaceDE/>
              <w:autoSpaceDN/>
              <w:adjustRightInd/>
              <w:jc w:val="center"/>
              <w:rPr>
                <w:color w:val="000000"/>
                <w:sz w:val="20"/>
                <w:szCs w:val="20"/>
              </w:rPr>
            </w:pPr>
            <w:r w:rsidRPr="007C51D6">
              <w:rPr>
                <w:color w:val="000000"/>
                <w:sz w:val="20"/>
                <w:szCs w:val="20"/>
              </w:rPr>
              <w:t>2 877,21</w:t>
            </w:r>
          </w:p>
        </w:tc>
        <w:tc>
          <w:tcPr>
            <w:tcW w:w="1219" w:type="dxa"/>
            <w:shd w:val="clear" w:color="auto" w:fill="auto"/>
            <w:hideMark/>
          </w:tcPr>
          <w:p w:rsidR="007D5318" w:rsidRPr="007C51D6" w:rsidRDefault="007D5318" w:rsidP="007D5318">
            <w:pPr>
              <w:autoSpaceDE/>
              <w:autoSpaceDN/>
              <w:adjustRightInd/>
              <w:jc w:val="center"/>
              <w:rPr>
                <w:color w:val="000000"/>
                <w:sz w:val="20"/>
                <w:szCs w:val="20"/>
              </w:rPr>
            </w:pPr>
            <w:r w:rsidRPr="007C51D6">
              <w:rPr>
                <w:color w:val="000000"/>
                <w:sz w:val="20"/>
                <w:szCs w:val="20"/>
              </w:rPr>
              <w:t>2 911,61</w:t>
            </w:r>
          </w:p>
        </w:tc>
        <w:tc>
          <w:tcPr>
            <w:tcW w:w="1163" w:type="dxa"/>
          </w:tcPr>
          <w:p w:rsidR="007D5318" w:rsidRPr="007C51D6" w:rsidRDefault="007D5318" w:rsidP="007D5318">
            <w:pPr>
              <w:jc w:val="center"/>
              <w:rPr>
                <w:color w:val="000000"/>
                <w:sz w:val="20"/>
                <w:szCs w:val="20"/>
              </w:rPr>
            </w:pPr>
            <w:r w:rsidRPr="007C51D6">
              <w:rPr>
                <w:color w:val="000000"/>
                <w:sz w:val="20"/>
                <w:szCs w:val="20"/>
              </w:rPr>
              <w:t>2 493,22</w:t>
            </w:r>
          </w:p>
        </w:tc>
        <w:tc>
          <w:tcPr>
            <w:tcW w:w="1162" w:type="dxa"/>
          </w:tcPr>
          <w:p w:rsidR="007D5318" w:rsidRPr="007C51D6" w:rsidRDefault="007D5318" w:rsidP="007D5318">
            <w:pPr>
              <w:jc w:val="center"/>
              <w:rPr>
                <w:color w:val="000000"/>
                <w:sz w:val="20"/>
                <w:szCs w:val="20"/>
              </w:rPr>
            </w:pPr>
            <w:r w:rsidRPr="007C51D6">
              <w:rPr>
                <w:color w:val="000000"/>
                <w:sz w:val="20"/>
                <w:szCs w:val="20"/>
              </w:rPr>
              <w:t>2 557,98</w:t>
            </w:r>
          </w:p>
        </w:tc>
        <w:tc>
          <w:tcPr>
            <w:tcW w:w="1162" w:type="dxa"/>
          </w:tcPr>
          <w:p w:rsidR="007D5318" w:rsidRPr="007C51D6" w:rsidRDefault="007D5318" w:rsidP="007D5318">
            <w:pPr>
              <w:jc w:val="center"/>
              <w:rPr>
                <w:color w:val="000000"/>
                <w:sz w:val="20"/>
                <w:szCs w:val="20"/>
              </w:rPr>
            </w:pPr>
            <w:r w:rsidRPr="007C51D6">
              <w:rPr>
                <w:color w:val="000000"/>
                <w:sz w:val="20"/>
                <w:szCs w:val="20"/>
              </w:rPr>
              <w:t>2688,06</w:t>
            </w:r>
          </w:p>
        </w:tc>
        <w:tc>
          <w:tcPr>
            <w:tcW w:w="1248" w:type="dxa"/>
            <w:vAlign w:val="center"/>
          </w:tcPr>
          <w:p w:rsidR="007D5318" w:rsidRPr="007C51D6" w:rsidRDefault="007D5318" w:rsidP="007D5318">
            <w:pPr>
              <w:jc w:val="center"/>
              <w:rPr>
                <w:color w:val="000000"/>
                <w:sz w:val="20"/>
                <w:szCs w:val="20"/>
              </w:rPr>
            </w:pPr>
            <w:r w:rsidRPr="007C51D6">
              <w:rPr>
                <w:color w:val="000000"/>
                <w:sz w:val="20"/>
                <w:szCs w:val="20"/>
              </w:rPr>
              <w:t>2805,98</w:t>
            </w:r>
          </w:p>
        </w:tc>
        <w:tc>
          <w:tcPr>
            <w:tcW w:w="1248" w:type="dxa"/>
            <w:vAlign w:val="center"/>
          </w:tcPr>
          <w:p w:rsidR="007D5318" w:rsidRPr="007C51D6" w:rsidRDefault="007D5318" w:rsidP="007D5318">
            <w:pPr>
              <w:jc w:val="center"/>
              <w:rPr>
                <w:color w:val="000000"/>
                <w:sz w:val="20"/>
                <w:szCs w:val="20"/>
              </w:rPr>
            </w:pPr>
            <w:r w:rsidRPr="007C51D6">
              <w:rPr>
                <w:color w:val="000000"/>
                <w:sz w:val="20"/>
                <w:szCs w:val="20"/>
              </w:rPr>
              <w:t>3031.05</w:t>
            </w:r>
          </w:p>
        </w:tc>
      </w:tr>
      <w:tr w:rsidR="007D5318" w:rsidRPr="007C51D6" w:rsidTr="00080BEF">
        <w:tblPrEx>
          <w:tblBorders>
            <w:bottom w:val="single" w:sz="4" w:space="0" w:color="auto"/>
          </w:tblBorders>
          <w:tblCellMar>
            <w:top w:w="11" w:type="dxa"/>
            <w:bottom w:w="11" w:type="dxa"/>
          </w:tblCellMar>
        </w:tblPrEx>
        <w:trPr>
          <w:trHeight w:val="20"/>
        </w:trPr>
        <w:tc>
          <w:tcPr>
            <w:tcW w:w="3114" w:type="dxa"/>
            <w:shd w:val="clear" w:color="auto" w:fill="auto"/>
            <w:hideMark/>
          </w:tcPr>
          <w:p w:rsidR="007D5318" w:rsidRPr="007C51D6" w:rsidRDefault="007D5318" w:rsidP="007D5318">
            <w:pPr>
              <w:autoSpaceDE/>
              <w:autoSpaceDN/>
              <w:adjustRightInd/>
              <w:rPr>
                <w:color w:val="000000"/>
                <w:sz w:val="20"/>
                <w:szCs w:val="20"/>
              </w:rPr>
            </w:pPr>
            <w:r w:rsidRPr="007C51D6">
              <w:rPr>
                <w:color w:val="000000"/>
                <w:sz w:val="20"/>
                <w:szCs w:val="20"/>
              </w:rPr>
              <w:t>Алькеевский</w:t>
            </w:r>
          </w:p>
        </w:tc>
        <w:tc>
          <w:tcPr>
            <w:tcW w:w="1248" w:type="dxa"/>
            <w:shd w:val="clear" w:color="auto" w:fill="auto"/>
            <w:hideMark/>
          </w:tcPr>
          <w:p w:rsidR="007D5318" w:rsidRPr="007C51D6" w:rsidRDefault="007D5318" w:rsidP="007D5318">
            <w:pPr>
              <w:autoSpaceDE/>
              <w:autoSpaceDN/>
              <w:adjustRightInd/>
              <w:jc w:val="center"/>
              <w:rPr>
                <w:color w:val="000000"/>
                <w:sz w:val="20"/>
                <w:szCs w:val="20"/>
              </w:rPr>
            </w:pPr>
            <w:r w:rsidRPr="007C51D6">
              <w:rPr>
                <w:color w:val="000000"/>
                <w:sz w:val="20"/>
                <w:szCs w:val="20"/>
              </w:rPr>
              <w:t>2 078,30</w:t>
            </w:r>
          </w:p>
        </w:tc>
        <w:tc>
          <w:tcPr>
            <w:tcW w:w="1247" w:type="dxa"/>
            <w:shd w:val="clear" w:color="auto" w:fill="auto"/>
            <w:hideMark/>
          </w:tcPr>
          <w:p w:rsidR="007D5318" w:rsidRPr="007C51D6" w:rsidRDefault="007D5318" w:rsidP="007D5318">
            <w:pPr>
              <w:autoSpaceDE/>
              <w:autoSpaceDN/>
              <w:adjustRightInd/>
              <w:jc w:val="center"/>
              <w:rPr>
                <w:color w:val="000000"/>
                <w:sz w:val="20"/>
                <w:szCs w:val="20"/>
              </w:rPr>
            </w:pPr>
            <w:r w:rsidRPr="007C51D6">
              <w:rPr>
                <w:color w:val="000000"/>
                <w:sz w:val="20"/>
                <w:szCs w:val="20"/>
              </w:rPr>
              <w:t>2 296,41</w:t>
            </w:r>
          </w:p>
        </w:tc>
        <w:tc>
          <w:tcPr>
            <w:tcW w:w="1276" w:type="dxa"/>
            <w:shd w:val="clear" w:color="auto" w:fill="auto"/>
            <w:hideMark/>
          </w:tcPr>
          <w:p w:rsidR="007D5318" w:rsidRPr="007C51D6" w:rsidRDefault="007D5318" w:rsidP="007D5318">
            <w:pPr>
              <w:autoSpaceDE/>
              <w:autoSpaceDN/>
              <w:adjustRightInd/>
              <w:jc w:val="center"/>
              <w:rPr>
                <w:color w:val="000000"/>
                <w:sz w:val="20"/>
                <w:szCs w:val="20"/>
              </w:rPr>
            </w:pPr>
            <w:r w:rsidRPr="007C51D6">
              <w:rPr>
                <w:color w:val="000000"/>
                <w:sz w:val="20"/>
                <w:szCs w:val="20"/>
              </w:rPr>
              <w:t>2 449,13</w:t>
            </w:r>
          </w:p>
        </w:tc>
        <w:tc>
          <w:tcPr>
            <w:tcW w:w="1162" w:type="dxa"/>
            <w:shd w:val="clear" w:color="auto" w:fill="auto"/>
            <w:hideMark/>
          </w:tcPr>
          <w:p w:rsidR="007D5318" w:rsidRPr="007C51D6" w:rsidRDefault="007D5318" w:rsidP="007D5318">
            <w:pPr>
              <w:autoSpaceDE/>
              <w:autoSpaceDN/>
              <w:adjustRightInd/>
              <w:jc w:val="center"/>
              <w:rPr>
                <w:color w:val="000000"/>
                <w:sz w:val="20"/>
                <w:szCs w:val="20"/>
              </w:rPr>
            </w:pPr>
            <w:r w:rsidRPr="007C51D6">
              <w:rPr>
                <w:color w:val="000000"/>
                <w:sz w:val="20"/>
                <w:szCs w:val="20"/>
              </w:rPr>
              <w:t>2 555,27</w:t>
            </w:r>
          </w:p>
        </w:tc>
        <w:tc>
          <w:tcPr>
            <w:tcW w:w="1219" w:type="dxa"/>
            <w:shd w:val="clear" w:color="auto" w:fill="auto"/>
            <w:hideMark/>
          </w:tcPr>
          <w:p w:rsidR="007D5318" w:rsidRPr="007C51D6" w:rsidRDefault="007D5318" w:rsidP="007D5318">
            <w:pPr>
              <w:autoSpaceDE/>
              <w:autoSpaceDN/>
              <w:adjustRightInd/>
              <w:jc w:val="center"/>
              <w:rPr>
                <w:color w:val="000000"/>
                <w:sz w:val="20"/>
                <w:szCs w:val="20"/>
              </w:rPr>
            </w:pPr>
            <w:r w:rsidRPr="007C51D6">
              <w:rPr>
                <w:color w:val="000000"/>
                <w:sz w:val="20"/>
                <w:szCs w:val="20"/>
              </w:rPr>
              <w:t>2 666,67</w:t>
            </w:r>
          </w:p>
        </w:tc>
        <w:tc>
          <w:tcPr>
            <w:tcW w:w="1163" w:type="dxa"/>
          </w:tcPr>
          <w:p w:rsidR="007D5318" w:rsidRPr="007C51D6" w:rsidRDefault="007D5318" w:rsidP="007D5318">
            <w:pPr>
              <w:jc w:val="center"/>
              <w:rPr>
                <w:color w:val="000000"/>
                <w:sz w:val="20"/>
                <w:szCs w:val="20"/>
              </w:rPr>
            </w:pPr>
            <w:r w:rsidRPr="007C51D6">
              <w:rPr>
                <w:color w:val="000000"/>
                <w:sz w:val="20"/>
                <w:szCs w:val="20"/>
              </w:rPr>
              <w:t>2 557,42</w:t>
            </w:r>
          </w:p>
        </w:tc>
        <w:tc>
          <w:tcPr>
            <w:tcW w:w="1162" w:type="dxa"/>
          </w:tcPr>
          <w:p w:rsidR="007D5318" w:rsidRPr="007C51D6" w:rsidRDefault="007D5318" w:rsidP="007D5318">
            <w:pPr>
              <w:jc w:val="center"/>
              <w:rPr>
                <w:color w:val="000000"/>
                <w:sz w:val="20"/>
                <w:szCs w:val="20"/>
              </w:rPr>
            </w:pPr>
            <w:r w:rsidRPr="007C51D6">
              <w:rPr>
                <w:color w:val="000000"/>
                <w:sz w:val="20"/>
                <w:szCs w:val="20"/>
              </w:rPr>
              <w:t>2 617,15</w:t>
            </w:r>
          </w:p>
        </w:tc>
        <w:tc>
          <w:tcPr>
            <w:tcW w:w="1162" w:type="dxa"/>
          </w:tcPr>
          <w:p w:rsidR="007D5318" w:rsidRPr="007C51D6" w:rsidRDefault="007D5318" w:rsidP="007D5318">
            <w:pPr>
              <w:jc w:val="center"/>
              <w:rPr>
                <w:color w:val="000000"/>
                <w:sz w:val="20"/>
                <w:szCs w:val="20"/>
              </w:rPr>
            </w:pPr>
            <w:r w:rsidRPr="007C51D6">
              <w:rPr>
                <w:color w:val="000000"/>
                <w:sz w:val="20"/>
                <w:szCs w:val="20"/>
              </w:rPr>
              <w:t>2797,89</w:t>
            </w:r>
          </w:p>
        </w:tc>
        <w:tc>
          <w:tcPr>
            <w:tcW w:w="1248" w:type="dxa"/>
            <w:vAlign w:val="center"/>
          </w:tcPr>
          <w:p w:rsidR="007D5318" w:rsidRPr="007C51D6" w:rsidRDefault="007D5318" w:rsidP="007D5318">
            <w:pPr>
              <w:jc w:val="center"/>
              <w:rPr>
                <w:color w:val="000000"/>
                <w:sz w:val="20"/>
                <w:szCs w:val="20"/>
              </w:rPr>
            </w:pPr>
            <w:r w:rsidRPr="007C51D6">
              <w:rPr>
                <w:color w:val="000000"/>
                <w:sz w:val="20"/>
                <w:szCs w:val="20"/>
              </w:rPr>
              <w:t>2989,54</w:t>
            </w:r>
          </w:p>
        </w:tc>
        <w:tc>
          <w:tcPr>
            <w:tcW w:w="1248" w:type="dxa"/>
            <w:vAlign w:val="center"/>
          </w:tcPr>
          <w:p w:rsidR="007D5318" w:rsidRPr="007C51D6" w:rsidRDefault="007D5318" w:rsidP="007D5318">
            <w:pPr>
              <w:jc w:val="center"/>
              <w:rPr>
                <w:color w:val="000000"/>
                <w:sz w:val="20"/>
                <w:szCs w:val="20"/>
              </w:rPr>
            </w:pPr>
            <w:r w:rsidRPr="007C51D6">
              <w:rPr>
                <w:color w:val="000000"/>
                <w:sz w:val="20"/>
                <w:szCs w:val="20"/>
              </w:rPr>
              <w:t>3020.00</w:t>
            </w:r>
          </w:p>
        </w:tc>
      </w:tr>
      <w:tr w:rsidR="007D5318" w:rsidRPr="007C51D6" w:rsidTr="00080BEF">
        <w:tblPrEx>
          <w:tblBorders>
            <w:bottom w:val="single" w:sz="4" w:space="0" w:color="auto"/>
          </w:tblBorders>
          <w:tblCellMar>
            <w:top w:w="11" w:type="dxa"/>
            <w:bottom w:w="11" w:type="dxa"/>
          </w:tblCellMar>
        </w:tblPrEx>
        <w:trPr>
          <w:trHeight w:val="20"/>
        </w:trPr>
        <w:tc>
          <w:tcPr>
            <w:tcW w:w="3114" w:type="dxa"/>
            <w:shd w:val="clear" w:color="auto" w:fill="auto"/>
            <w:hideMark/>
          </w:tcPr>
          <w:p w:rsidR="007D5318" w:rsidRPr="007C51D6" w:rsidRDefault="007D5318" w:rsidP="007D5318">
            <w:pPr>
              <w:autoSpaceDE/>
              <w:autoSpaceDN/>
              <w:adjustRightInd/>
              <w:rPr>
                <w:color w:val="000000"/>
                <w:sz w:val="20"/>
                <w:szCs w:val="20"/>
              </w:rPr>
            </w:pPr>
            <w:r w:rsidRPr="007C51D6">
              <w:rPr>
                <w:color w:val="000000"/>
                <w:sz w:val="20"/>
                <w:szCs w:val="20"/>
              </w:rPr>
              <w:t>Альметьевский</w:t>
            </w:r>
          </w:p>
        </w:tc>
        <w:tc>
          <w:tcPr>
            <w:tcW w:w="1248" w:type="dxa"/>
            <w:shd w:val="clear" w:color="auto" w:fill="auto"/>
            <w:hideMark/>
          </w:tcPr>
          <w:p w:rsidR="007D5318" w:rsidRPr="007C51D6" w:rsidRDefault="007D5318" w:rsidP="007D5318">
            <w:pPr>
              <w:autoSpaceDE/>
              <w:autoSpaceDN/>
              <w:adjustRightInd/>
              <w:jc w:val="center"/>
              <w:rPr>
                <w:color w:val="000000"/>
                <w:sz w:val="20"/>
                <w:szCs w:val="20"/>
              </w:rPr>
            </w:pPr>
            <w:r w:rsidRPr="007C51D6">
              <w:rPr>
                <w:color w:val="000000"/>
                <w:sz w:val="20"/>
                <w:szCs w:val="20"/>
              </w:rPr>
              <w:t>2 395,38</w:t>
            </w:r>
          </w:p>
        </w:tc>
        <w:tc>
          <w:tcPr>
            <w:tcW w:w="1247" w:type="dxa"/>
            <w:shd w:val="clear" w:color="auto" w:fill="auto"/>
            <w:hideMark/>
          </w:tcPr>
          <w:p w:rsidR="007D5318" w:rsidRPr="007C51D6" w:rsidRDefault="007D5318" w:rsidP="007D5318">
            <w:pPr>
              <w:autoSpaceDE/>
              <w:autoSpaceDN/>
              <w:adjustRightInd/>
              <w:jc w:val="center"/>
              <w:rPr>
                <w:color w:val="000000"/>
                <w:sz w:val="20"/>
                <w:szCs w:val="20"/>
              </w:rPr>
            </w:pPr>
            <w:r w:rsidRPr="007C51D6">
              <w:rPr>
                <w:color w:val="000000"/>
                <w:sz w:val="20"/>
                <w:szCs w:val="20"/>
              </w:rPr>
              <w:t>2 533,17</w:t>
            </w:r>
          </w:p>
        </w:tc>
        <w:tc>
          <w:tcPr>
            <w:tcW w:w="1276" w:type="dxa"/>
            <w:shd w:val="clear" w:color="auto" w:fill="auto"/>
            <w:hideMark/>
          </w:tcPr>
          <w:p w:rsidR="007D5318" w:rsidRPr="007C51D6" w:rsidRDefault="007D5318" w:rsidP="007D5318">
            <w:pPr>
              <w:autoSpaceDE/>
              <w:autoSpaceDN/>
              <w:adjustRightInd/>
              <w:jc w:val="center"/>
              <w:rPr>
                <w:color w:val="000000"/>
                <w:sz w:val="20"/>
                <w:szCs w:val="20"/>
              </w:rPr>
            </w:pPr>
            <w:r w:rsidRPr="007C51D6">
              <w:rPr>
                <w:color w:val="000000"/>
                <w:sz w:val="20"/>
                <w:szCs w:val="20"/>
              </w:rPr>
              <w:t>2 683,64</w:t>
            </w:r>
          </w:p>
        </w:tc>
        <w:tc>
          <w:tcPr>
            <w:tcW w:w="1162" w:type="dxa"/>
            <w:shd w:val="clear" w:color="auto" w:fill="auto"/>
            <w:hideMark/>
          </w:tcPr>
          <w:p w:rsidR="007D5318" w:rsidRPr="007C51D6" w:rsidRDefault="007D5318" w:rsidP="007D5318">
            <w:pPr>
              <w:autoSpaceDE/>
              <w:autoSpaceDN/>
              <w:adjustRightInd/>
              <w:jc w:val="center"/>
              <w:rPr>
                <w:color w:val="000000"/>
                <w:sz w:val="20"/>
                <w:szCs w:val="20"/>
              </w:rPr>
            </w:pPr>
            <w:r w:rsidRPr="007C51D6">
              <w:rPr>
                <w:color w:val="000000"/>
                <w:sz w:val="20"/>
                <w:szCs w:val="20"/>
              </w:rPr>
              <w:t>2 785,92</w:t>
            </w:r>
          </w:p>
        </w:tc>
        <w:tc>
          <w:tcPr>
            <w:tcW w:w="1219" w:type="dxa"/>
            <w:shd w:val="clear" w:color="auto" w:fill="auto"/>
            <w:hideMark/>
          </w:tcPr>
          <w:p w:rsidR="007D5318" w:rsidRPr="007C51D6" w:rsidRDefault="007D5318" w:rsidP="007D5318">
            <w:pPr>
              <w:autoSpaceDE/>
              <w:autoSpaceDN/>
              <w:adjustRightInd/>
              <w:jc w:val="center"/>
              <w:rPr>
                <w:color w:val="000000"/>
                <w:sz w:val="20"/>
                <w:szCs w:val="20"/>
              </w:rPr>
            </w:pPr>
            <w:r w:rsidRPr="007C51D6">
              <w:rPr>
                <w:color w:val="000000"/>
                <w:sz w:val="20"/>
                <w:szCs w:val="20"/>
              </w:rPr>
              <w:t>2 827,48</w:t>
            </w:r>
          </w:p>
        </w:tc>
        <w:tc>
          <w:tcPr>
            <w:tcW w:w="1163" w:type="dxa"/>
          </w:tcPr>
          <w:p w:rsidR="007D5318" w:rsidRPr="007C51D6" w:rsidRDefault="007D5318" w:rsidP="007D5318">
            <w:pPr>
              <w:jc w:val="center"/>
              <w:rPr>
                <w:color w:val="000000"/>
                <w:sz w:val="20"/>
                <w:szCs w:val="20"/>
              </w:rPr>
            </w:pPr>
            <w:r w:rsidRPr="007C51D6">
              <w:rPr>
                <w:color w:val="000000"/>
                <w:sz w:val="20"/>
                <w:szCs w:val="20"/>
              </w:rPr>
              <w:t>2 524,34</w:t>
            </w:r>
          </w:p>
        </w:tc>
        <w:tc>
          <w:tcPr>
            <w:tcW w:w="1162" w:type="dxa"/>
          </w:tcPr>
          <w:p w:rsidR="007D5318" w:rsidRPr="007C51D6" w:rsidRDefault="007D5318" w:rsidP="007D5318">
            <w:pPr>
              <w:jc w:val="center"/>
              <w:rPr>
                <w:color w:val="000000"/>
                <w:sz w:val="20"/>
                <w:szCs w:val="20"/>
              </w:rPr>
            </w:pPr>
            <w:r w:rsidRPr="007C51D6">
              <w:rPr>
                <w:color w:val="000000"/>
                <w:sz w:val="20"/>
                <w:szCs w:val="20"/>
              </w:rPr>
              <w:t>2 563,25</w:t>
            </w:r>
          </w:p>
        </w:tc>
        <w:tc>
          <w:tcPr>
            <w:tcW w:w="1162" w:type="dxa"/>
          </w:tcPr>
          <w:p w:rsidR="007D5318" w:rsidRPr="007C51D6" w:rsidRDefault="007D5318" w:rsidP="007D5318">
            <w:pPr>
              <w:jc w:val="center"/>
              <w:rPr>
                <w:color w:val="000000"/>
                <w:sz w:val="20"/>
                <w:szCs w:val="20"/>
              </w:rPr>
            </w:pPr>
            <w:r w:rsidRPr="007C51D6">
              <w:rPr>
                <w:color w:val="000000"/>
                <w:sz w:val="20"/>
                <w:szCs w:val="20"/>
              </w:rPr>
              <w:t>2645,88</w:t>
            </w:r>
          </w:p>
        </w:tc>
        <w:tc>
          <w:tcPr>
            <w:tcW w:w="1248" w:type="dxa"/>
            <w:vAlign w:val="center"/>
          </w:tcPr>
          <w:p w:rsidR="007D5318" w:rsidRPr="007C51D6" w:rsidRDefault="007D5318" w:rsidP="007D5318">
            <w:pPr>
              <w:jc w:val="center"/>
              <w:rPr>
                <w:color w:val="000000"/>
                <w:sz w:val="20"/>
                <w:szCs w:val="20"/>
              </w:rPr>
            </w:pPr>
            <w:r w:rsidRPr="007C51D6">
              <w:rPr>
                <w:color w:val="000000"/>
                <w:sz w:val="20"/>
                <w:szCs w:val="20"/>
              </w:rPr>
              <w:t>2808,92</w:t>
            </w:r>
          </w:p>
        </w:tc>
        <w:tc>
          <w:tcPr>
            <w:tcW w:w="1248" w:type="dxa"/>
            <w:vAlign w:val="center"/>
          </w:tcPr>
          <w:p w:rsidR="007D5318" w:rsidRPr="007C51D6" w:rsidRDefault="007D5318" w:rsidP="007D5318">
            <w:pPr>
              <w:jc w:val="center"/>
              <w:rPr>
                <w:color w:val="000000"/>
                <w:sz w:val="20"/>
                <w:szCs w:val="20"/>
              </w:rPr>
            </w:pPr>
            <w:r w:rsidRPr="007C51D6">
              <w:rPr>
                <w:color w:val="000000"/>
                <w:sz w:val="20"/>
                <w:szCs w:val="20"/>
              </w:rPr>
              <w:t>2773.21</w:t>
            </w:r>
          </w:p>
        </w:tc>
      </w:tr>
      <w:tr w:rsidR="007D5318" w:rsidRPr="007C51D6" w:rsidTr="00080BEF">
        <w:tblPrEx>
          <w:tblBorders>
            <w:bottom w:val="single" w:sz="4" w:space="0" w:color="auto"/>
          </w:tblBorders>
          <w:tblCellMar>
            <w:top w:w="11" w:type="dxa"/>
            <w:bottom w:w="11" w:type="dxa"/>
          </w:tblCellMar>
        </w:tblPrEx>
        <w:trPr>
          <w:trHeight w:val="20"/>
        </w:trPr>
        <w:tc>
          <w:tcPr>
            <w:tcW w:w="3114" w:type="dxa"/>
            <w:shd w:val="clear" w:color="auto" w:fill="auto"/>
            <w:hideMark/>
          </w:tcPr>
          <w:p w:rsidR="007D5318" w:rsidRPr="007C51D6" w:rsidRDefault="007D5318" w:rsidP="007D5318">
            <w:pPr>
              <w:autoSpaceDE/>
              <w:autoSpaceDN/>
              <w:adjustRightInd/>
              <w:rPr>
                <w:color w:val="000000"/>
                <w:sz w:val="20"/>
                <w:szCs w:val="20"/>
              </w:rPr>
            </w:pPr>
            <w:r w:rsidRPr="007C51D6">
              <w:rPr>
                <w:color w:val="000000"/>
                <w:sz w:val="20"/>
                <w:szCs w:val="20"/>
              </w:rPr>
              <w:t>Апастовский</w:t>
            </w:r>
          </w:p>
        </w:tc>
        <w:tc>
          <w:tcPr>
            <w:tcW w:w="1248" w:type="dxa"/>
            <w:shd w:val="clear" w:color="auto" w:fill="auto"/>
            <w:hideMark/>
          </w:tcPr>
          <w:p w:rsidR="007D5318" w:rsidRPr="007C51D6" w:rsidRDefault="007D5318" w:rsidP="007D5318">
            <w:pPr>
              <w:autoSpaceDE/>
              <w:autoSpaceDN/>
              <w:adjustRightInd/>
              <w:jc w:val="center"/>
              <w:rPr>
                <w:color w:val="000000"/>
                <w:sz w:val="20"/>
                <w:szCs w:val="20"/>
              </w:rPr>
            </w:pPr>
            <w:r w:rsidRPr="007C51D6">
              <w:rPr>
                <w:color w:val="000000"/>
                <w:sz w:val="20"/>
                <w:szCs w:val="20"/>
              </w:rPr>
              <w:t>2 545,90</w:t>
            </w:r>
          </w:p>
        </w:tc>
        <w:tc>
          <w:tcPr>
            <w:tcW w:w="1247" w:type="dxa"/>
            <w:shd w:val="clear" w:color="auto" w:fill="auto"/>
            <w:hideMark/>
          </w:tcPr>
          <w:p w:rsidR="007D5318" w:rsidRPr="007C51D6" w:rsidRDefault="007D5318" w:rsidP="007D5318">
            <w:pPr>
              <w:autoSpaceDE/>
              <w:autoSpaceDN/>
              <w:adjustRightInd/>
              <w:jc w:val="center"/>
              <w:rPr>
                <w:color w:val="000000"/>
                <w:sz w:val="20"/>
                <w:szCs w:val="20"/>
              </w:rPr>
            </w:pPr>
            <w:r w:rsidRPr="007C51D6">
              <w:rPr>
                <w:color w:val="000000"/>
                <w:sz w:val="20"/>
                <w:szCs w:val="20"/>
              </w:rPr>
              <w:t>2 637,32</w:t>
            </w:r>
          </w:p>
        </w:tc>
        <w:tc>
          <w:tcPr>
            <w:tcW w:w="1276" w:type="dxa"/>
            <w:shd w:val="clear" w:color="auto" w:fill="auto"/>
            <w:hideMark/>
          </w:tcPr>
          <w:p w:rsidR="007D5318" w:rsidRPr="007C51D6" w:rsidRDefault="007D5318" w:rsidP="007D5318">
            <w:pPr>
              <w:autoSpaceDE/>
              <w:autoSpaceDN/>
              <w:adjustRightInd/>
              <w:jc w:val="center"/>
              <w:rPr>
                <w:color w:val="000000"/>
                <w:sz w:val="20"/>
                <w:szCs w:val="20"/>
              </w:rPr>
            </w:pPr>
            <w:r w:rsidRPr="007C51D6">
              <w:rPr>
                <w:color w:val="000000"/>
                <w:sz w:val="20"/>
                <w:szCs w:val="20"/>
              </w:rPr>
              <w:t>2 803,97</w:t>
            </w:r>
          </w:p>
        </w:tc>
        <w:tc>
          <w:tcPr>
            <w:tcW w:w="1162" w:type="dxa"/>
            <w:shd w:val="clear" w:color="auto" w:fill="auto"/>
            <w:hideMark/>
          </w:tcPr>
          <w:p w:rsidR="007D5318" w:rsidRPr="007C51D6" w:rsidRDefault="007D5318" w:rsidP="007D5318">
            <w:pPr>
              <w:autoSpaceDE/>
              <w:autoSpaceDN/>
              <w:adjustRightInd/>
              <w:jc w:val="center"/>
              <w:rPr>
                <w:color w:val="000000"/>
                <w:sz w:val="20"/>
                <w:szCs w:val="20"/>
              </w:rPr>
            </w:pPr>
            <w:r w:rsidRPr="007C51D6">
              <w:rPr>
                <w:color w:val="000000"/>
                <w:sz w:val="20"/>
                <w:szCs w:val="20"/>
              </w:rPr>
              <w:t>3 017,97</w:t>
            </w:r>
          </w:p>
        </w:tc>
        <w:tc>
          <w:tcPr>
            <w:tcW w:w="1219" w:type="dxa"/>
            <w:shd w:val="clear" w:color="auto" w:fill="auto"/>
            <w:hideMark/>
          </w:tcPr>
          <w:p w:rsidR="007D5318" w:rsidRPr="007C51D6" w:rsidRDefault="007D5318" w:rsidP="007D5318">
            <w:pPr>
              <w:autoSpaceDE/>
              <w:autoSpaceDN/>
              <w:adjustRightInd/>
              <w:jc w:val="center"/>
              <w:rPr>
                <w:color w:val="000000"/>
                <w:sz w:val="20"/>
                <w:szCs w:val="20"/>
              </w:rPr>
            </w:pPr>
            <w:r w:rsidRPr="007C51D6">
              <w:rPr>
                <w:color w:val="000000"/>
                <w:sz w:val="20"/>
                <w:szCs w:val="20"/>
              </w:rPr>
              <w:t>3 013,53</w:t>
            </w:r>
          </w:p>
        </w:tc>
        <w:tc>
          <w:tcPr>
            <w:tcW w:w="1163" w:type="dxa"/>
          </w:tcPr>
          <w:p w:rsidR="007D5318" w:rsidRPr="007C51D6" w:rsidRDefault="007D5318" w:rsidP="007D5318">
            <w:pPr>
              <w:jc w:val="center"/>
              <w:rPr>
                <w:color w:val="000000"/>
                <w:sz w:val="20"/>
                <w:szCs w:val="20"/>
              </w:rPr>
            </w:pPr>
            <w:r w:rsidRPr="007C51D6">
              <w:rPr>
                <w:color w:val="000000"/>
                <w:sz w:val="20"/>
                <w:szCs w:val="20"/>
              </w:rPr>
              <w:t>2 707,05</w:t>
            </w:r>
          </w:p>
        </w:tc>
        <w:tc>
          <w:tcPr>
            <w:tcW w:w="1162" w:type="dxa"/>
          </w:tcPr>
          <w:p w:rsidR="007D5318" w:rsidRPr="007C51D6" w:rsidRDefault="007D5318" w:rsidP="007D5318">
            <w:pPr>
              <w:jc w:val="center"/>
              <w:rPr>
                <w:color w:val="000000"/>
                <w:sz w:val="20"/>
                <w:szCs w:val="20"/>
              </w:rPr>
            </w:pPr>
            <w:r w:rsidRPr="007C51D6">
              <w:rPr>
                <w:color w:val="000000"/>
                <w:sz w:val="20"/>
                <w:szCs w:val="20"/>
              </w:rPr>
              <w:t>2 821,14</w:t>
            </w:r>
          </w:p>
        </w:tc>
        <w:tc>
          <w:tcPr>
            <w:tcW w:w="1162" w:type="dxa"/>
          </w:tcPr>
          <w:p w:rsidR="007D5318" w:rsidRPr="007C51D6" w:rsidRDefault="007D5318" w:rsidP="007D5318">
            <w:pPr>
              <w:jc w:val="center"/>
              <w:rPr>
                <w:color w:val="000000"/>
                <w:sz w:val="20"/>
                <w:szCs w:val="20"/>
              </w:rPr>
            </w:pPr>
            <w:r w:rsidRPr="007C51D6">
              <w:rPr>
                <w:color w:val="000000"/>
                <w:sz w:val="20"/>
                <w:szCs w:val="20"/>
              </w:rPr>
              <w:t>3002,24</w:t>
            </w:r>
          </w:p>
        </w:tc>
        <w:tc>
          <w:tcPr>
            <w:tcW w:w="1248" w:type="dxa"/>
            <w:vAlign w:val="center"/>
          </w:tcPr>
          <w:p w:rsidR="007D5318" w:rsidRPr="007C51D6" w:rsidRDefault="007D5318" w:rsidP="007D5318">
            <w:pPr>
              <w:jc w:val="center"/>
              <w:rPr>
                <w:color w:val="000000"/>
                <w:sz w:val="20"/>
                <w:szCs w:val="20"/>
              </w:rPr>
            </w:pPr>
            <w:r w:rsidRPr="007C51D6">
              <w:rPr>
                <w:color w:val="000000"/>
                <w:sz w:val="20"/>
                <w:szCs w:val="20"/>
              </w:rPr>
              <w:t>3137,72</w:t>
            </w:r>
          </w:p>
        </w:tc>
        <w:tc>
          <w:tcPr>
            <w:tcW w:w="1248" w:type="dxa"/>
            <w:vAlign w:val="center"/>
          </w:tcPr>
          <w:p w:rsidR="007D5318" w:rsidRPr="007C51D6" w:rsidRDefault="007D5318" w:rsidP="007D5318">
            <w:pPr>
              <w:jc w:val="center"/>
              <w:rPr>
                <w:color w:val="000000"/>
                <w:sz w:val="20"/>
                <w:szCs w:val="20"/>
              </w:rPr>
            </w:pPr>
            <w:r w:rsidRPr="007C51D6">
              <w:rPr>
                <w:color w:val="000000"/>
                <w:sz w:val="20"/>
                <w:szCs w:val="20"/>
              </w:rPr>
              <w:t>3368.60</w:t>
            </w:r>
          </w:p>
        </w:tc>
      </w:tr>
      <w:tr w:rsidR="007D5318" w:rsidRPr="007C51D6" w:rsidTr="00080BEF">
        <w:tblPrEx>
          <w:tblBorders>
            <w:bottom w:val="single" w:sz="4" w:space="0" w:color="auto"/>
          </w:tblBorders>
          <w:tblCellMar>
            <w:top w:w="11" w:type="dxa"/>
            <w:bottom w:w="11" w:type="dxa"/>
          </w:tblCellMar>
        </w:tblPrEx>
        <w:trPr>
          <w:trHeight w:val="20"/>
        </w:trPr>
        <w:tc>
          <w:tcPr>
            <w:tcW w:w="3114" w:type="dxa"/>
            <w:shd w:val="clear" w:color="auto" w:fill="auto"/>
            <w:hideMark/>
          </w:tcPr>
          <w:p w:rsidR="007D5318" w:rsidRPr="007C51D6" w:rsidRDefault="007D5318" w:rsidP="007D5318">
            <w:pPr>
              <w:autoSpaceDE/>
              <w:autoSpaceDN/>
              <w:adjustRightInd/>
              <w:rPr>
                <w:color w:val="000000"/>
                <w:sz w:val="20"/>
                <w:szCs w:val="20"/>
              </w:rPr>
            </w:pPr>
            <w:r w:rsidRPr="007C51D6">
              <w:rPr>
                <w:color w:val="000000"/>
                <w:sz w:val="20"/>
                <w:szCs w:val="20"/>
              </w:rPr>
              <w:t>Арский</w:t>
            </w:r>
          </w:p>
        </w:tc>
        <w:tc>
          <w:tcPr>
            <w:tcW w:w="1248" w:type="dxa"/>
            <w:shd w:val="clear" w:color="auto" w:fill="auto"/>
            <w:hideMark/>
          </w:tcPr>
          <w:p w:rsidR="007D5318" w:rsidRPr="007C51D6" w:rsidRDefault="007D5318" w:rsidP="007D5318">
            <w:pPr>
              <w:autoSpaceDE/>
              <w:autoSpaceDN/>
              <w:adjustRightInd/>
              <w:jc w:val="center"/>
              <w:rPr>
                <w:color w:val="000000"/>
                <w:sz w:val="20"/>
                <w:szCs w:val="20"/>
              </w:rPr>
            </w:pPr>
            <w:r w:rsidRPr="007C51D6">
              <w:rPr>
                <w:color w:val="000000"/>
                <w:sz w:val="20"/>
                <w:szCs w:val="20"/>
              </w:rPr>
              <w:t>2 095,95</w:t>
            </w:r>
          </w:p>
        </w:tc>
        <w:tc>
          <w:tcPr>
            <w:tcW w:w="1247" w:type="dxa"/>
            <w:shd w:val="clear" w:color="auto" w:fill="auto"/>
            <w:hideMark/>
          </w:tcPr>
          <w:p w:rsidR="007D5318" w:rsidRPr="007C51D6" w:rsidRDefault="007D5318" w:rsidP="007D5318">
            <w:pPr>
              <w:autoSpaceDE/>
              <w:autoSpaceDN/>
              <w:adjustRightInd/>
              <w:jc w:val="center"/>
              <w:rPr>
                <w:color w:val="000000"/>
                <w:sz w:val="20"/>
                <w:szCs w:val="20"/>
              </w:rPr>
            </w:pPr>
            <w:r w:rsidRPr="007C51D6">
              <w:rPr>
                <w:color w:val="000000"/>
                <w:sz w:val="20"/>
                <w:szCs w:val="20"/>
              </w:rPr>
              <w:t>2 217,91</w:t>
            </w:r>
          </w:p>
        </w:tc>
        <w:tc>
          <w:tcPr>
            <w:tcW w:w="1276" w:type="dxa"/>
            <w:shd w:val="clear" w:color="auto" w:fill="auto"/>
            <w:hideMark/>
          </w:tcPr>
          <w:p w:rsidR="007D5318" w:rsidRPr="007C51D6" w:rsidRDefault="007D5318" w:rsidP="007D5318">
            <w:pPr>
              <w:autoSpaceDE/>
              <w:autoSpaceDN/>
              <w:adjustRightInd/>
              <w:jc w:val="center"/>
              <w:rPr>
                <w:color w:val="000000"/>
                <w:sz w:val="20"/>
                <w:szCs w:val="20"/>
              </w:rPr>
            </w:pPr>
            <w:r w:rsidRPr="007C51D6">
              <w:rPr>
                <w:color w:val="000000"/>
                <w:sz w:val="20"/>
                <w:szCs w:val="20"/>
              </w:rPr>
              <w:t>2 351,48</w:t>
            </w:r>
          </w:p>
        </w:tc>
        <w:tc>
          <w:tcPr>
            <w:tcW w:w="1162" w:type="dxa"/>
            <w:shd w:val="clear" w:color="auto" w:fill="auto"/>
            <w:hideMark/>
          </w:tcPr>
          <w:p w:rsidR="007D5318" w:rsidRPr="007C51D6" w:rsidRDefault="007D5318" w:rsidP="007D5318">
            <w:pPr>
              <w:autoSpaceDE/>
              <w:autoSpaceDN/>
              <w:adjustRightInd/>
              <w:jc w:val="center"/>
              <w:rPr>
                <w:color w:val="000000"/>
                <w:sz w:val="20"/>
                <w:szCs w:val="20"/>
              </w:rPr>
            </w:pPr>
            <w:r w:rsidRPr="007C51D6">
              <w:rPr>
                <w:color w:val="000000"/>
                <w:sz w:val="20"/>
                <w:szCs w:val="20"/>
              </w:rPr>
              <w:t>2 533,18</w:t>
            </w:r>
          </w:p>
        </w:tc>
        <w:tc>
          <w:tcPr>
            <w:tcW w:w="1219" w:type="dxa"/>
            <w:shd w:val="clear" w:color="auto" w:fill="auto"/>
            <w:hideMark/>
          </w:tcPr>
          <w:p w:rsidR="007D5318" w:rsidRPr="007C51D6" w:rsidRDefault="007D5318" w:rsidP="007D5318">
            <w:pPr>
              <w:autoSpaceDE/>
              <w:autoSpaceDN/>
              <w:adjustRightInd/>
              <w:jc w:val="center"/>
              <w:rPr>
                <w:color w:val="000000"/>
                <w:sz w:val="20"/>
                <w:szCs w:val="20"/>
              </w:rPr>
            </w:pPr>
            <w:r w:rsidRPr="007C51D6">
              <w:rPr>
                <w:color w:val="000000"/>
                <w:sz w:val="20"/>
                <w:szCs w:val="20"/>
              </w:rPr>
              <w:t>2 632,04</w:t>
            </w:r>
          </w:p>
        </w:tc>
        <w:tc>
          <w:tcPr>
            <w:tcW w:w="1163" w:type="dxa"/>
          </w:tcPr>
          <w:p w:rsidR="007D5318" w:rsidRPr="007C51D6" w:rsidRDefault="007D5318" w:rsidP="007D5318">
            <w:pPr>
              <w:jc w:val="center"/>
              <w:rPr>
                <w:color w:val="000000"/>
                <w:sz w:val="20"/>
                <w:szCs w:val="20"/>
              </w:rPr>
            </w:pPr>
            <w:r w:rsidRPr="007C51D6">
              <w:rPr>
                <w:color w:val="000000"/>
                <w:sz w:val="20"/>
                <w:szCs w:val="20"/>
              </w:rPr>
              <w:t>2 378,13</w:t>
            </w:r>
          </w:p>
        </w:tc>
        <w:tc>
          <w:tcPr>
            <w:tcW w:w="1162" w:type="dxa"/>
          </w:tcPr>
          <w:p w:rsidR="007D5318" w:rsidRPr="007C51D6" w:rsidRDefault="007D5318" w:rsidP="007D5318">
            <w:pPr>
              <w:jc w:val="center"/>
              <w:rPr>
                <w:color w:val="000000"/>
                <w:sz w:val="20"/>
                <w:szCs w:val="20"/>
              </w:rPr>
            </w:pPr>
            <w:r w:rsidRPr="007C51D6">
              <w:rPr>
                <w:color w:val="000000"/>
                <w:sz w:val="20"/>
                <w:szCs w:val="20"/>
              </w:rPr>
              <w:t>2 449,29</w:t>
            </w:r>
          </w:p>
        </w:tc>
        <w:tc>
          <w:tcPr>
            <w:tcW w:w="1162" w:type="dxa"/>
          </w:tcPr>
          <w:p w:rsidR="007D5318" w:rsidRPr="007C51D6" w:rsidRDefault="007D5318" w:rsidP="007D5318">
            <w:pPr>
              <w:autoSpaceDE/>
              <w:autoSpaceDN/>
              <w:adjustRightInd/>
              <w:jc w:val="center"/>
              <w:rPr>
                <w:color w:val="000000"/>
                <w:sz w:val="20"/>
                <w:szCs w:val="20"/>
              </w:rPr>
            </w:pPr>
            <w:r w:rsidRPr="007C51D6">
              <w:rPr>
                <w:color w:val="000000"/>
                <w:sz w:val="20"/>
                <w:szCs w:val="20"/>
              </w:rPr>
              <w:t>2561,50</w:t>
            </w:r>
          </w:p>
        </w:tc>
        <w:tc>
          <w:tcPr>
            <w:tcW w:w="1248" w:type="dxa"/>
            <w:vAlign w:val="center"/>
          </w:tcPr>
          <w:p w:rsidR="007D5318" w:rsidRPr="007C51D6" w:rsidRDefault="007D5318" w:rsidP="007D5318">
            <w:pPr>
              <w:jc w:val="center"/>
              <w:rPr>
                <w:color w:val="000000"/>
                <w:sz w:val="20"/>
                <w:szCs w:val="20"/>
              </w:rPr>
            </w:pPr>
            <w:r w:rsidRPr="007C51D6">
              <w:rPr>
                <w:color w:val="000000"/>
                <w:sz w:val="20"/>
                <w:szCs w:val="20"/>
              </w:rPr>
              <w:t>2734,65</w:t>
            </w:r>
          </w:p>
        </w:tc>
        <w:tc>
          <w:tcPr>
            <w:tcW w:w="1248" w:type="dxa"/>
            <w:vAlign w:val="center"/>
          </w:tcPr>
          <w:p w:rsidR="007D5318" w:rsidRPr="007C51D6" w:rsidRDefault="007D5318" w:rsidP="007D5318">
            <w:pPr>
              <w:jc w:val="center"/>
              <w:rPr>
                <w:color w:val="000000"/>
                <w:sz w:val="20"/>
                <w:szCs w:val="20"/>
              </w:rPr>
            </w:pPr>
            <w:r w:rsidRPr="007C51D6">
              <w:rPr>
                <w:color w:val="000000"/>
                <w:sz w:val="20"/>
                <w:szCs w:val="20"/>
              </w:rPr>
              <w:t>2860.48</w:t>
            </w:r>
          </w:p>
        </w:tc>
      </w:tr>
      <w:tr w:rsidR="007D5318" w:rsidRPr="007C51D6" w:rsidTr="00080BEF">
        <w:tblPrEx>
          <w:tblBorders>
            <w:bottom w:val="single" w:sz="4" w:space="0" w:color="auto"/>
          </w:tblBorders>
          <w:tblCellMar>
            <w:top w:w="11" w:type="dxa"/>
            <w:bottom w:w="11" w:type="dxa"/>
          </w:tblCellMar>
        </w:tblPrEx>
        <w:trPr>
          <w:trHeight w:val="20"/>
        </w:trPr>
        <w:tc>
          <w:tcPr>
            <w:tcW w:w="3114" w:type="dxa"/>
            <w:shd w:val="clear" w:color="auto" w:fill="auto"/>
            <w:hideMark/>
          </w:tcPr>
          <w:p w:rsidR="007D5318" w:rsidRPr="007C51D6" w:rsidRDefault="007D5318" w:rsidP="007D5318">
            <w:pPr>
              <w:autoSpaceDE/>
              <w:autoSpaceDN/>
              <w:adjustRightInd/>
              <w:rPr>
                <w:color w:val="000000"/>
                <w:sz w:val="20"/>
                <w:szCs w:val="20"/>
              </w:rPr>
            </w:pPr>
            <w:r w:rsidRPr="007C51D6">
              <w:rPr>
                <w:color w:val="000000"/>
                <w:sz w:val="20"/>
                <w:szCs w:val="20"/>
              </w:rPr>
              <w:t>Атнинский</w:t>
            </w:r>
          </w:p>
        </w:tc>
        <w:tc>
          <w:tcPr>
            <w:tcW w:w="1248" w:type="dxa"/>
            <w:shd w:val="clear" w:color="auto" w:fill="auto"/>
            <w:hideMark/>
          </w:tcPr>
          <w:p w:rsidR="007D5318" w:rsidRPr="007C51D6" w:rsidRDefault="007D5318" w:rsidP="007D5318">
            <w:pPr>
              <w:autoSpaceDE/>
              <w:autoSpaceDN/>
              <w:adjustRightInd/>
              <w:jc w:val="center"/>
              <w:rPr>
                <w:color w:val="000000"/>
                <w:sz w:val="20"/>
                <w:szCs w:val="20"/>
              </w:rPr>
            </w:pPr>
            <w:r w:rsidRPr="007C51D6">
              <w:rPr>
                <w:color w:val="000000"/>
                <w:sz w:val="20"/>
                <w:szCs w:val="20"/>
              </w:rPr>
              <w:t>2 285,28</w:t>
            </w:r>
          </w:p>
        </w:tc>
        <w:tc>
          <w:tcPr>
            <w:tcW w:w="1247" w:type="dxa"/>
            <w:shd w:val="clear" w:color="auto" w:fill="auto"/>
            <w:hideMark/>
          </w:tcPr>
          <w:p w:rsidR="007D5318" w:rsidRPr="007C51D6" w:rsidRDefault="007D5318" w:rsidP="007D5318">
            <w:pPr>
              <w:autoSpaceDE/>
              <w:autoSpaceDN/>
              <w:adjustRightInd/>
              <w:jc w:val="center"/>
              <w:rPr>
                <w:color w:val="000000"/>
                <w:sz w:val="20"/>
                <w:szCs w:val="20"/>
              </w:rPr>
            </w:pPr>
            <w:r w:rsidRPr="007C51D6">
              <w:rPr>
                <w:color w:val="000000"/>
                <w:sz w:val="20"/>
                <w:szCs w:val="20"/>
              </w:rPr>
              <w:t>2 502,28</w:t>
            </w:r>
          </w:p>
        </w:tc>
        <w:tc>
          <w:tcPr>
            <w:tcW w:w="1276" w:type="dxa"/>
            <w:shd w:val="clear" w:color="auto" w:fill="auto"/>
            <w:hideMark/>
          </w:tcPr>
          <w:p w:rsidR="007D5318" w:rsidRPr="007C51D6" w:rsidRDefault="007D5318" w:rsidP="007D5318">
            <w:pPr>
              <w:autoSpaceDE/>
              <w:autoSpaceDN/>
              <w:adjustRightInd/>
              <w:jc w:val="center"/>
              <w:rPr>
                <w:color w:val="000000"/>
                <w:sz w:val="20"/>
                <w:szCs w:val="20"/>
              </w:rPr>
            </w:pPr>
            <w:r w:rsidRPr="007C51D6">
              <w:rPr>
                <w:color w:val="000000"/>
                <w:sz w:val="20"/>
                <w:szCs w:val="20"/>
              </w:rPr>
              <w:t>2 397,60</w:t>
            </w:r>
          </w:p>
        </w:tc>
        <w:tc>
          <w:tcPr>
            <w:tcW w:w="1162" w:type="dxa"/>
            <w:shd w:val="clear" w:color="auto" w:fill="auto"/>
            <w:hideMark/>
          </w:tcPr>
          <w:p w:rsidR="007D5318" w:rsidRPr="007C51D6" w:rsidRDefault="007D5318" w:rsidP="007D5318">
            <w:pPr>
              <w:autoSpaceDE/>
              <w:autoSpaceDN/>
              <w:adjustRightInd/>
              <w:jc w:val="center"/>
              <w:rPr>
                <w:color w:val="000000"/>
                <w:sz w:val="20"/>
                <w:szCs w:val="20"/>
              </w:rPr>
            </w:pPr>
            <w:r w:rsidRPr="007C51D6">
              <w:rPr>
                <w:color w:val="000000"/>
                <w:sz w:val="20"/>
                <w:szCs w:val="20"/>
              </w:rPr>
              <w:t>2 584,22</w:t>
            </w:r>
          </w:p>
        </w:tc>
        <w:tc>
          <w:tcPr>
            <w:tcW w:w="1219" w:type="dxa"/>
            <w:shd w:val="clear" w:color="auto" w:fill="auto"/>
            <w:hideMark/>
          </w:tcPr>
          <w:p w:rsidR="007D5318" w:rsidRPr="007C51D6" w:rsidRDefault="007D5318" w:rsidP="007D5318">
            <w:pPr>
              <w:autoSpaceDE/>
              <w:autoSpaceDN/>
              <w:adjustRightInd/>
              <w:jc w:val="center"/>
              <w:rPr>
                <w:color w:val="000000"/>
                <w:sz w:val="20"/>
                <w:szCs w:val="20"/>
              </w:rPr>
            </w:pPr>
            <w:r w:rsidRPr="007C51D6">
              <w:rPr>
                <w:color w:val="000000"/>
                <w:sz w:val="20"/>
                <w:szCs w:val="20"/>
              </w:rPr>
              <w:t>2 577,04</w:t>
            </w:r>
          </w:p>
        </w:tc>
        <w:tc>
          <w:tcPr>
            <w:tcW w:w="1163" w:type="dxa"/>
          </w:tcPr>
          <w:p w:rsidR="007D5318" w:rsidRPr="007C51D6" w:rsidRDefault="007D5318" w:rsidP="007D5318">
            <w:pPr>
              <w:jc w:val="center"/>
              <w:rPr>
                <w:color w:val="000000"/>
                <w:sz w:val="20"/>
                <w:szCs w:val="20"/>
              </w:rPr>
            </w:pPr>
            <w:r w:rsidRPr="007C51D6">
              <w:rPr>
                <w:color w:val="000000"/>
                <w:sz w:val="20"/>
                <w:szCs w:val="20"/>
              </w:rPr>
              <w:t>2 261,66</w:t>
            </w:r>
          </w:p>
        </w:tc>
        <w:tc>
          <w:tcPr>
            <w:tcW w:w="1162" w:type="dxa"/>
          </w:tcPr>
          <w:p w:rsidR="007D5318" w:rsidRPr="007C51D6" w:rsidRDefault="007D5318" w:rsidP="007D5318">
            <w:pPr>
              <w:jc w:val="center"/>
              <w:rPr>
                <w:color w:val="000000"/>
                <w:sz w:val="20"/>
                <w:szCs w:val="20"/>
              </w:rPr>
            </w:pPr>
            <w:r w:rsidRPr="007C51D6">
              <w:rPr>
                <w:color w:val="000000"/>
                <w:sz w:val="20"/>
                <w:szCs w:val="20"/>
              </w:rPr>
              <w:t>2 387,31</w:t>
            </w:r>
          </w:p>
        </w:tc>
        <w:tc>
          <w:tcPr>
            <w:tcW w:w="1162" w:type="dxa"/>
          </w:tcPr>
          <w:p w:rsidR="007D5318" w:rsidRPr="007C51D6" w:rsidRDefault="007D5318" w:rsidP="007D5318">
            <w:pPr>
              <w:jc w:val="center"/>
              <w:rPr>
                <w:color w:val="000000"/>
                <w:sz w:val="20"/>
                <w:szCs w:val="20"/>
              </w:rPr>
            </w:pPr>
            <w:r w:rsidRPr="007C51D6">
              <w:rPr>
                <w:color w:val="000000"/>
                <w:sz w:val="20"/>
                <w:szCs w:val="20"/>
              </w:rPr>
              <w:t>2699,86</w:t>
            </w:r>
          </w:p>
        </w:tc>
        <w:tc>
          <w:tcPr>
            <w:tcW w:w="1248" w:type="dxa"/>
            <w:vAlign w:val="center"/>
          </w:tcPr>
          <w:p w:rsidR="007D5318" w:rsidRPr="007C51D6" w:rsidRDefault="007D5318" w:rsidP="007D5318">
            <w:pPr>
              <w:jc w:val="center"/>
              <w:rPr>
                <w:color w:val="000000"/>
                <w:sz w:val="20"/>
                <w:szCs w:val="20"/>
              </w:rPr>
            </w:pPr>
            <w:r w:rsidRPr="007C51D6">
              <w:rPr>
                <w:color w:val="000000"/>
                <w:sz w:val="20"/>
                <w:szCs w:val="20"/>
              </w:rPr>
              <w:t>2882,81</w:t>
            </w:r>
          </w:p>
        </w:tc>
        <w:tc>
          <w:tcPr>
            <w:tcW w:w="1248" w:type="dxa"/>
            <w:vAlign w:val="center"/>
          </w:tcPr>
          <w:p w:rsidR="007D5318" w:rsidRPr="007C51D6" w:rsidRDefault="007D5318" w:rsidP="007D5318">
            <w:pPr>
              <w:jc w:val="center"/>
              <w:rPr>
                <w:color w:val="000000"/>
                <w:sz w:val="20"/>
                <w:szCs w:val="20"/>
              </w:rPr>
            </w:pPr>
            <w:r w:rsidRPr="007C51D6">
              <w:rPr>
                <w:color w:val="000000"/>
                <w:sz w:val="20"/>
                <w:szCs w:val="20"/>
              </w:rPr>
              <w:t>3013.38</w:t>
            </w:r>
          </w:p>
        </w:tc>
      </w:tr>
      <w:tr w:rsidR="007D5318" w:rsidRPr="007C51D6" w:rsidTr="00080BEF">
        <w:tblPrEx>
          <w:tblBorders>
            <w:bottom w:val="single" w:sz="4" w:space="0" w:color="auto"/>
          </w:tblBorders>
          <w:tblCellMar>
            <w:top w:w="11" w:type="dxa"/>
            <w:bottom w:w="11" w:type="dxa"/>
          </w:tblCellMar>
        </w:tblPrEx>
        <w:trPr>
          <w:trHeight w:val="20"/>
        </w:trPr>
        <w:tc>
          <w:tcPr>
            <w:tcW w:w="3114" w:type="dxa"/>
            <w:shd w:val="clear" w:color="auto" w:fill="auto"/>
            <w:hideMark/>
          </w:tcPr>
          <w:p w:rsidR="007D5318" w:rsidRPr="007C51D6" w:rsidRDefault="007D5318" w:rsidP="007D5318">
            <w:pPr>
              <w:autoSpaceDE/>
              <w:autoSpaceDN/>
              <w:adjustRightInd/>
              <w:rPr>
                <w:color w:val="000000"/>
                <w:sz w:val="20"/>
                <w:szCs w:val="20"/>
              </w:rPr>
            </w:pPr>
            <w:r w:rsidRPr="007C51D6">
              <w:rPr>
                <w:color w:val="000000"/>
                <w:sz w:val="20"/>
                <w:szCs w:val="20"/>
              </w:rPr>
              <w:t>Бавлинский</w:t>
            </w:r>
          </w:p>
        </w:tc>
        <w:tc>
          <w:tcPr>
            <w:tcW w:w="1248" w:type="dxa"/>
            <w:shd w:val="clear" w:color="auto" w:fill="auto"/>
            <w:hideMark/>
          </w:tcPr>
          <w:p w:rsidR="007D5318" w:rsidRPr="007C51D6" w:rsidRDefault="007D5318" w:rsidP="007D5318">
            <w:pPr>
              <w:autoSpaceDE/>
              <w:autoSpaceDN/>
              <w:adjustRightInd/>
              <w:jc w:val="center"/>
              <w:rPr>
                <w:color w:val="000000"/>
                <w:sz w:val="20"/>
                <w:szCs w:val="20"/>
              </w:rPr>
            </w:pPr>
            <w:r w:rsidRPr="007C51D6">
              <w:rPr>
                <w:color w:val="000000"/>
                <w:sz w:val="20"/>
                <w:szCs w:val="20"/>
              </w:rPr>
              <w:t>2 815,55</w:t>
            </w:r>
          </w:p>
        </w:tc>
        <w:tc>
          <w:tcPr>
            <w:tcW w:w="1247" w:type="dxa"/>
            <w:shd w:val="clear" w:color="auto" w:fill="auto"/>
            <w:hideMark/>
          </w:tcPr>
          <w:p w:rsidR="007D5318" w:rsidRPr="007C51D6" w:rsidRDefault="007D5318" w:rsidP="007D5318">
            <w:pPr>
              <w:autoSpaceDE/>
              <w:autoSpaceDN/>
              <w:adjustRightInd/>
              <w:jc w:val="center"/>
              <w:rPr>
                <w:color w:val="000000"/>
                <w:sz w:val="20"/>
                <w:szCs w:val="20"/>
              </w:rPr>
            </w:pPr>
            <w:r w:rsidRPr="007C51D6">
              <w:rPr>
                <w:color w:val="000000"/>
                <w:sz w:val="20"/>
                <w:szCs w:val="20"/>
              </w:rPr>
              <w:t>2 880,02</w:t>
            </w:r>
          </w:p>
        </w:tc>
        <w:tc>
          <w:tcPr>
            <w:tcW w:w="1276" w:type="dxa"/>
            <w:shd w:val="clear" w:color="auto" w:fill="auto"/>
            <w:hideMark/>
          </w:tcPr>
          <w:p w:rsidR="007D5318" w:rsidRPr="007C51D6" w:rsidRDefault="007D5318" w:rsidP="007D5318">
            <w:pPr>
              <w:autoSpaceDE/>
              <w:autoSpaceDN/>
              <w:adjustRightInd/>
              <w:jc w:val="center"/>
              <w:rPr>
                <w:color w:val="000000"/>
                <w:sz w:val="20"/>
                <w:szCs w:val="20"/>
              </w:rPr>
            </w:pPr>
            <w:r w:rsidRPr="007C51D6">
              <w:rPr>
                <w:color w:val="000000"/>
                <w:sz w:val="20"/>
                <w:szCs w:val="20"/>
              </w:rPr>
              <w:t>3 173,16</w:t>
            </w:r>
          </w:p>
        </w:tc>
        <w:tc>
          <w:tcPr>
            <w:tcW w:w="1162" w:type="dxa"/>
            <w:shd w:val="clear" w:color="auto" w:fill="auto"/>
            <w:hideMark/>
          </w:tcPr>
          <w:p w:rsidR="007D5318" w:rsidRPr="007C51D6" w:rsidRDefault="007D5318" w:rsidP="007D5318">
            <w:pPr>
              <w:autoSpaceDE/>
              <w:autoSpaceDN/>
              <w:adjustRightInd/>
              <w:jc w:val="center"/>
              <w:rPr>
                <w:color w:val="000000"/>
                <w:sz w:val="20"/>
                <w:szCs w:val="20"/>
              </w:rPr>
            </w:pPr>
            <w:r w:rsidRPr="007C51D6">
              <w:rPr>
                <w:color w:val="000000"/>
                <w:sz w:val="20"/>
                <w:szCs w:val="20"/>
              </w:rPr>
              <w:t>3 343,90</w:t>
            </w:r>
          </w:p>
        </w:tc>
        <w:tc>
          <w:tcPr>
            <w:tcW w:w="1219" w:type="dxa"/>
            <w:shd w:val="clear" w:color="auto" w:fill="auto"/>
            <w:hideMark/>
          </w:tcPr>
          <w:p w:rsidR="007D5318" w:rsidRPr="007C51D6" w:rsidRDefault="007D5318" w:rsidP="007D5318">
            <w:pPr>
              <w:autoSpaceDE/>
              <w:autoSpaceDN/>
              <w:adjustRightInd/>
              <w:jc w:val="center"/>
              <w:rPr>
                <w:color w:val="000000"/>
                <w:sz w:val="20"/>
                <w:szCs w:val="20"/>
              </w:rPr>
            </w:pPr>
            <w:r w:rsidRPr="007C51D6">
              <w:rPr>
                <w:color w:val="000000"/>
                <w:sz w:val="20"/>
                <w:szCs w:val="20"/>
              </w:rPr>
              <w:t>3 346,96</w:t>
            </w:r>
          </w:p>
        </w:tc>
        <w:tc>
          <w:tcPr>
            <w:tcW w:w="1163" w:type="dxa"/>
          </w:tcPr>
          <w:p w:rsidR="007D5318" w:rsidRPr="007C51D6" w:rsidRDefault="007D5318" w:rsidP="007D5318">
            <w:pPr>
              <w:jc w:val="center"/>
              <w:rPr>
                <w:color w:val="000000"/>
                <w:sz w:val="20"/>
                <w:szCs w:val="20"/>
              </w:rPr>
            </w:pPr>
            <w:r w:rsidRPr="007C51D6">
              <w:rPr>
                <w:color w:val="000000"/>
                <w:sz w:val="20"/>
                <w:szCs w:val="20"/>
              </w:rPr>
              <w:t>2 814,24</w:t>
            </w:r>
          </w:p>
        </w:tc>
        <w:tc>
          <w:tcPr>
            <w:tcW w:w="1162" w:type="dxa"/>
          </w:tcPr>
          <w:p w:rsidR="007D5318" w:rsidRPr="007C51D6" w:rsidRDefault="007D5318" w:rsidP="007D5318">
            <w:pPr>
              <w:jc w:val="center"/>
              <w:rPr>
                <w:color w:val="000000"/>
                <w:sz w:val="20"/>
                <w:szCs w:val="20"/>
              </w:rPr>
            </w:pPr>
            <w:r w:rsidRPr="007C51D6">
              <w:rPr>
                <w:color w:val="000000"/>
                <w:sz w:val="20"/>
                <w:szCs w:val="20"/>
              </w:rPr>
              <w:t>2 787,69</w:t>
            </w:r>
          </w:p>
        </w:tc>
        <w:tc>
          <w:tcPr>
            <w:tcW w:w="1162" w:type="dxa"/>
          </w:tcPr>
          <w:p w:rsidR="007D5318" w:rsidRPr="007C51D6" w:rsidRDefault="007D5318" w:rsidP="007D5318">
            <w:pPr>
              <w:jc w:val="center"/>
              <w:rPr>
                <w:color w:val="000000"/>
                <w:sz w:val="20"/>
                <w:szCs w:val="20"/>
              </w:rPr>
            </w:pPr>
            <w:r w:rsidRPr="007C51D6">
              <w:rPr>
                <w:color w:val="000000"/>
                <w:sz w:val="20"/>
                <w:szCs w:val="20"/>
              </w:rPr>
              <w:t>2937,85</w:t>
            </w:r>
          </w:p>
        </w:tc>
        <w:tc>
          <w:tcPr>
            <w:tcW w:w="1248" w:type="dxa"/>
            <w:vAlign w:val="center"/>
          </w:tcPr>
          <w:p w:rsidR="007D5318" w:rsidRPr="007C51D6" w:rsidRDefault="007D5318" w:rsidP="007D5318">
            <w:pPr>
              <w:jc w:val="center"/>
              <w:rPr>
                <w:color w:val="000000"/>
                <w:sz w:val="20"/>
                <w:szCs w:val="20"/>
              </w:rPr>
            </w:pPr>
            <w:r w:rsidRPr="007C51D6">
              <w:rPr>
                <w:color w:val="000000"/>
                <w:sz w:val="20"/>
                <w:szCs w:val="20"/>
              </w:rPr>
              <w:t>3142,16</w:t>
            </w:r>
          </w:p>
        </w:tc>
        <w:tc>
          <w:tcPr>
            <w:tcW w:w="1248" w:type="dxa"/>
            <w:vAlign w:val="center"/>
          </w:tcPr>
          <w:p w:rsidR="007D5318" w:rsidRPr="007C51D6" w:rsidRDefault="007D5318" w:rsidP="007D5318">
            <w:pPr>
              <w:jc w:val="center"/>
              <w:rPr>
                <w:color w:val="000000"/>
                <w:sz w:val="20"/>
                <w:szCs w:val="20"/>
              </w:rPr>
            </w:pPr>
            <w:r w:rsidRPr="007C51D6">
              <w:rPr>
                <w:color w:val="000000"/>
                <w:sz w:val="20"/>
                <w:szCs w:val="20"/>
              </w:rPr>
              <w:t>3030.68</w:t>
            </w:r>
          </w:p>
        </w:tc>
      </w:tr>
      <w:tr w:rsidR="007D5318" w:rsidRPr="007C51D6" w:rsidTr="00080BEF">
        <w:tblPrEx>
          <w:tblBorders>
            <w:bottom w:val="single" w:sz="4" w:space="0" w:color="auto"/>
          </w:tblBorders>
          <w:tblCellMar>
            <w:top w:w="11" w:type="dxa"/>
            <w:bottom w:w="11" w:type="dxa"/>
          </w:tblCellMar>
        </w:tblPrEx>
        <w:trPr>
          <w:trHeight w:val="20"/>
        </w:trPr>
        <w:tc>
          <w:tcPr>
            <w:tcW w:w="3114" w:type="dxa"/>
            <w:shd w:val="clear" w:color="auto" w:fill="auto"/>
            <w:hideMark/>
          </w:tcPr>
          <w:p w:rsidR="007D5318" w:rsidRPr="007C51D6" w:rsidRDefault="007D5318" w:rsidP="007D5318">
            <w:pPr>
              <w:autoSpaceDE/>
              <w:autoSpaceDN/>
              <w:adjustRightInd/>
              <w:rPr>
                <w:color w:val="000000"/>
                <w:sz w:val="20"/>
                <w:szCs w:val="20"/>
              </w:rPr>
            </w:pPr>
            <w:r w:rsidRPr="007C51D6">
              <w:rPr>
                <w:color w:val="000000"/>
                <w:sz w:val="20"/>
                <w:szCs w:val="20"/>
              </w:rPr>
              <w:t>Балтасинский</w:t>
            </w:r>
          </w:p>
        </w:tc>
        <w:tc>
          <w:tcPr>
            <w:tcW w:w="1248" w:type="dxa"/>
            <w:shd w:val="clear" w:color="auto" w:fill="auto"/>
            <w:hideMark/>
          </w:tcPr>
          <w:p w:rsidR="007D5318" w:rsidRPr="007C51D6" w:rsidRDefault="007D5318" w:rsidP="007D5318">
            <w:pPr>
              <w:autoSpaceDE/>
              <w:autoSpaceDN/>
              <w:adjustRightInd/>
              <w:jc w:val="center"/>
              <w:rPr>
                <w:color w:val="000000"/>
                <w:sz w:val="20"/>
                <w:szCs w:val="20"/>
              </w:rPr>
            </w:pPr>
            <w:r w:rsidRPr="007C51D6">
              <w:rPr>
                <w:color w:val="000000"/>
                <w:sz w:val="20"/>
                <w:szCs w:val="20"/>
              </w:rPr>
              <w:t>2 299,87</w:t>
            </w:r>
          </w:p>
        </w:tc>
        <w:tc>
          <w:tcPr>
            <w:tcW w:w="1247" w:type="dxa"/>
            <w:shd w:val="clear" w:color="auto" w:fill="auto"/>
            <w:hideMark/>
          </w:tcPr>
          <w:p w:rsidR="007D5318" w:rsidRPr="007C51D6" w:rsidRDefault="007D5318" w:rsidP="007D5318">
            <w:pPr>
              <w:autoSpaceDE/>
              <w:autoSpaceDN/>
              <w:adjustRightInd/>
              <w:jc w:val="center"/>
              <w:rPr>
                <w:color w:val="000000"/>
                <w:sz w:val="20"/>
                <w:szCs w:val="20"/>
              </w:rPr>
            </w:pPr>
            <w:r w:rsidRPr="007C51D6">
              <w:rPr>
                <w:color w:val="000000"/>
                <w:sz w:val="20"/>
                <w:szCs w:val="20"/>
              </w:rPr>
              <w:t>2420,99</w:t>
            </w:r>
          </w:p>
        </w:tc>
        <w:tc>
          <w:tcPr>
            <w:tcW w:w="1276" w:type="dxa"/>
            <w:shd w:val="clear" w:color="auto" w:fill="auto"/>
            <w:hideMark/>
          </w:tcPr>
          <w:p w:rsidR="007D5318" w:rsidRPr="007C51D6" w:rsidRDefault="007D5318" w:rsidP="007D5318">
            <w:pPr>
              <w:autoSpaceDE/>
              <w:autoSpaceDN/>
              <w:adjustRightInd/>
              <w:jc w:val="center"/>
              <w:rPr>
                <w:color w:val="000000"/>
                <w:sz w:val="20"/>
                <w:szCs w:val="20"/>
              </w:rPr>
            </w:pPr>
            <w:r w:rsidRPr="007C51D6">
              <w:rPr>
                <w:color w:val="000000"/>
                <w:sz w:val="20"/>
                <w:szCs w:val="20"/>
              </w:rPr>
              <w:t>2 568,86</w:t>
            </w:r>
          </w:p>
        </w:tc>
        <w:tc>
          <w:tcPr>
            <w:tcW w:w="1162" w:type="dxa"/>
            <w:shd w:val="clear" w:color="auto" w:fill="auto"/>
            <w:hideMark/>
          </w:tcPr>
          <w:p w:rsidR="007D5318" w:rsidRPr="007C51D6" w:rsidRDefault="007D5318" w:rsidP="007D5318">
            <w:pPr>
              <w:autoSpaceDE/>
              <w:autoSpaceDN/>
              <w:adjustRightInd/>
              <w:jc w:val="center"/>
              <w:rPr>
                <w:color w:val="000000"/>
                <w:sz w:val="20"/>
                <w:szCs w:val="20"/>
              </w:rPr>
            </w:pPr>
            <w:r w:rsidRPr="007C51D6">
              <w:rPr>
                <w:color w:val="000000"/>
                <w:sz w:val="20"/>
                <w:szCs w:val="20"/>
              </w:rPr>
              <w:t>2 562,02</w:t>
            </w:r>
          </w:p>
        </w:tc>
        <w:tc>
          <w:tcPr>
            <w:tcW w:w="1219" w:type="dxa"/>
            <w:shd w:val="clear" w:color="auto" w:fill="auto"/>
            <w:hideMark/>
          </w:tcPr>
          <w:p w:rsidR="007D5318" w:rsidRPr="007C51D6" w:rsidRDefault="007D5318" w:rsidP="007D5318">
            <w:pPr>
              <w:autoSpaceDE/>
              <w:autoSpaceDN/>
              <w:adjustRightInd/>
              <w:jc w:val="center"/>
              <w:rPr>
                <w:color w:val="000000"/>
                <w:sz w:val="20"/>
                <w:szCs w:val="20"/>
              </w:rPr>
            </w:pPr>
            <w:r w:rsidRPr="007C51D6">
              <w:rPr>
                <w:color w:val="000000"/>
                <w:sz w:val="20"/>
                <w:szCs w:val="20"/>
              </w:rPr>
              <w:t>2 625,39</w:t>
            </w:r>
          </w:p>
        </w:tc>
        <w:tc>
          <w:tcPr>
            <w:tcW w:w="1163" w:type="dxa"/>
          </w:tcPr>
          <w:p w:rsidR="007D5318" w:rsidRPr="007C51D6" w:rsidRDefault="007D5318" w:rsidP="007D5318">
            <w:pPr>
              <w:jc w:val="center"/>
              <w:rPr>
                <w:color w:val="000000"/>
                <w:sz w:val="20"/>
                <w:szCs w:val="20"/>
              </w:rPr>
            </w:pPr>
            <w:r w:rsidRPr="007C51D6">
              <w:rPr>
                <w:color w:val="000000"/>
                <w:sz w:val="20"/>
                <w:szCs w:val="20"/>
              </w:rPr>
              <w:t>2 363,99</w:t>
            </w:r>
          </w:p>
        </w:tc>
        <w:tc>
          <w:tcPr>
            <w:tcW w:w="1162" w:type="dxa"/>
          </w:tcPr>
          <w:p w:rsidR="007D5318" w:rsidRPr="007C51D6" w:rsidRDefault="007D5318" w:rsidP="007D5318">
            <w:pPr>
              <w:jc w:val="center"/>
              <w:rPr>
                <w:color w:val="000000"/>
                <w:sz w:val="20"/>
                <w:szCs w:val="20"/>
              </w:rPr>
            </w:pPr>
            <w:r w:rsidRPr="007C51D6">
              <w:rPr>
                <w:color w:val="000000"/>
                <w:sz w:val="20"/>
                <w:szCs w:val="20"/>
              </w:rPr>
              <w:t>2 448,86</w:t>
            </w:r>
          </w:p>
        </w:tc>
        <w:tc>
          <w:tcPr>
            <w:tcW w:w="1162" w:type="dxa"/>
          </w:tcPr>
          <w:p w:rsidR="007D5318" w:rsidRPr="007C51D6" w:rsidRDefault="007D5318" w:rsidP="007D5318">
            <w:pPr>
              <w:jc w:val="center"/>
              <w:rPr>
                <w:color w:val="000000"/>
                <w:sz w:val="20"/>
                <w:szCs w:val="20"/>
              </w:rPr>
            </w:pPr>
            <w:r w:rsidRPr="007C51D6">
              <w:rPr>
                <w:color w:val="000000"/>
                <w:sz w:val="20"/>
                <w:szCs w:val="20"/>
              </w:rPr>
              <w:t>2617,08</w:t>
            </w:r>
          </w:p>
        </w:tc>
        <w:tc>
          <w:tcPr>
            <w:tcW w:w="1248" w:type="dxa"/>
            <w:vAlign w:val="center"/>
          </w:tcPr>
          <w:p w:rsidR="007D5318" w:rsidRPr="007C51D6" w:rsidRDefault="007D5318" w:rsidP="007D5318">
            <w:pPr>
              <w:jc w:val="center"/>
              <w:rPr>
                <w:color w:val="000000"/>
                <w:sz w:val="20"/>
                <w:szCs w:val="20"/>
              </w:rPr>
            </w:pPr>
            <w:r w:rsidRPr="007C51D6">
              <w:rPr>
                <w:color w:val="000000"/>
                <w:sz w:val="20"/>
                <w:szCs w:val="20"/>
              </w:rPr>
              <w:t>2758,83</w:t>
            </w:r>
          </w:p>
        </w:tc>
        <w:tc>
          <w:tcPr>
            <w:tcW w:w="1248" w:type="dxa"/>
            <w:vAlign w:val="center"/>
          </w:tcPr>
          <w:p w:rsidR="007D5318" w:rsidRPr="007C51D6" w:rsidRDefault="007D5318" w:rsidP="007D5318">
            <w:pPr>
              <w:jc w:val="center"/>
              <w:rPr>
                <w:color w:val="000000"/>
                <w:sz w:val="20"/>
                <w:szCs w:val="20"/>
              </w:rPr>
            </w:pPr>
            <w:r w:rsidRPr="007C51D6">
              <w:rPr>
                <w:color w:val="000000"/>
                <w:sz w:val="20"/>
                <w:szCs w:val="20"/>
              </w:rPr>
              <w:t>2897.98</w:t>
            </w:r>
          </w:p>
        </w:tc>
      </w:tr>
      <w:tr w:rsidR="007D5318" w:rsidRPr="007C51D6" w:rsidTr="00080BEF">
        <w:tblPrEx>
          <w:tblBorders>
            <w:bottom w:val="single" w:sz="4" w:space="0" w:color="auto"/>
          </w:tblBorders>
          <w:tblCellMar>
            <w:top w:w="11" w:type="dxa"/>
            <w:bottom w:w="11" w:type="dxa"/>
          </w:tblCellMar>
        </w:tblPrEx>
        <w:trPr>
          <w:trHeight w:val="20"/>
        </w:trPr>
        <w:tc>
          <w:tcPr>
            <w:tcW w:w="3114" w:type="dxa"/>
            <w:shd w:val="clear" w:color="auto" w:fill="auto"/>
            <w:hideMark/>
          </w:tcPr>
          <w:p w:rsidR="007D5318" w:rsidRPr="007C51D6" w:rsidRDefault="007D5318" w:rsidP="007D5318">
            <w:pPr>
              <w:autoSpaceDE/>
              <w:autoSpaceDN/>
              <w:adjustRightInd/>
              <w:spacing w:line="233" w:lineRule="auto"/>
              <w:rPr>
                <w:color w:val="000000"/>
                <w:sz w:val="20"/>
                <w:szCs w:val="20"/>
              </w:rPr>
            </w:pPr>
            <w:r w:rsidRPr="007C51D6">
              <w:rPr>
                <w:color w:val="000000"/>
                <w:sz w:val="20"/>
                <w:szCs w:val="20"/>
              </w:rPr>
              <w:t>Бугульминский</w:t>
            </w:r>
          </w:p>
        </w:tc>
        <w:tc>
          <w:tcPr>
            <w:tcW w:w="1248" w:type="dxa"/>
            <w:shd w:val="clear" w:color="auto" w:fill="auto"/>
            <w:hideMark/>
          </w:tcPr>
          <w:p w:rsidR="007D5318" w:rsidRPr="007C51D6" w:rsidRDefault="007D5318" w:rsidP="007D5318">
            <w:pPr>
              <w:autoSpaceDE/>
              <w:autoSpaceDN/>
              <w:adjustRightInd/>
              <w:spacing w:line="233" w:lineRule="auto"/>
              <w:jc w:val="center"/>
              <w:rPr>
                <w:color w:val="000000"/>
                <w:sz w:val="20"/>
                <w:szCs w:val="20"/>
              </w:rPr>
            </w:pPr>
            <w:r w:rsidRPr="007C51D6">
              <w:rPr>
                <w:color w:val="000000"/>
                <w:sz w:val="20"/>
                <w:szCs w:val="20"/>
              </w:rPr>
              <w:t>2 577,23</w:t>
            </w:r>
          </w:p>
        </w:tc>
        <w:tc>
          <w:tcPr>
            <w:tcW w:w="1247" w:type="dxa"/>
            <w:shd w:val="clear" w:color="auto" w:fill="auto"/>
            <w:hideMark/>
          </w:tcPr>
          <w:p w:rsidR="007D5318" w:rsidRPr="007C51D6" w:rsidRDefault="007D5318" w:rsidP="007D5318">
            <w:pPr>
              <w:autoSpaceDE/>
              <w:autoSpaceDN/>
              <w:adjustRightInd/>
              <w:spacing w:line="233" w:lineRule="auto"/>
              <w:jc w:val="center"/>
              <w:rPr>
                <w:color w:val="000000"/>
                <w:sz w:val="20"/>
                <w:szCs w:val="20"/>
              </w:rPr>
            </w:pPr>
            <w:r w:rsidRPr="007C51D6">
              <w:rPr>
                <w:color w:val="000000"/>
                <w:sz w:val="20"/>
                <w:szCs w:val="20"/>
              </w:rPr>
              <w:t>2 780,92</w:t>
            </w:r>
          </w:p>
        </w:tc>
        <w:tc>
          <w:tcPr>
            <w:tcW w:w="1276" w:type="dxa"/>
            <w:shd w:val="clear" w:color="auto" w:fill="auto"/>
            <w:hideMark/>
          </w:tcPr>
          <w:p w:rsidR="007D5318" w:rsidRPr="007C51D6" w:rsidRDefault="007D5318" w:rsidP="007D5318">
            <w:pPr>
              <w:autoSpaceDE/>
              <w:autoSpaceDN/>
              <w:adjustRightInd/>
              <w:spacing w:line="233" w:lineRule="auto"/>
              <w:jc w:val="center"/>
              <w:rPr>
                <w:color w:val="000000"/>
                <w:sz w:val="20"/>
                <w:szCs w:val="20"/>
              </w:rPr>
            </w:pPr>
            <w:r w:rsidRPr="007C51D6">
              <w:rPr>
                <w:color w:val="000000"/>
                <w:sz w:val="20"/>
                <w:szCs w:val="20"/>
              </w:rPr>
              <w:t>2 985,29</w:t>
            </w:r>
          </w:p>
        </w:tc>
        <w:tc>
          <w:tcPr>
            <w:tcW w:w="1162" w:type="dxa"/>
            <w:shd w:val="clear" w:color="auto" w:fill="auto"/>
            <w:hideMark/>
          </w:tcPr>
          <w:p w:rsidR="007D5318" w:rsidRPr="007C51D6" w:rsidRDefault="007D5318" w:rsidP="007D5318">
            <w:pPr>
              <w:autoSpaceDE/>
              <w:autoSpaceDN/>
              <w:adjustRightInd/>
              <w:spacing w:line="233" w:lineRule="auto"/>
              <w:jc w:val="center"/>
              <w:rPr>
                <w:color w:val="000000"/>
                <w:sz w:val="20"/>
                <w:szCs w:val="20"/>
              </w:rPr>
            </w:pPr>
            <w:r w:rsidRPr="007C51D6">
              <w:rPr>
                <w:color w:val="000000"/>
                <w:sz w:val="20"/>
                <w:szCs w:val="20"/>
              </w:rPr>
              <w:t>3 175,76</w:t>
            </w:r>
          </w:p>
        </w:tc>
        <w:tc>
          <w:tcPr>
            <w:tcW w:w="1219" w:type="dxa"/>
            <w:shd w:val="clear" w:color="auto" w:fill="auto"/>
            <w:hideMark/>
          </w:tcPr>
          <w:p w:rsidR="007D5318" w:rsidRPr="007C51D6" w:rsidRDefault="007D5318" w:rsidP="007D5318">
            <w:pPr>
              <w:autoSpaceDE/>
              <w:autoSpaceDN/>
              <w:adjustRightInd/>
              <w:spacing w:line="233" w:lineRule="auto"/>
              <w:jc w:val="center"/>
              <w:rPr>
                <w:color w:val="000000"/>
                <w:sz w:val="20"/>
                <w:szCs w:val="20"/>
              </w:rPr>
            </w:pPr>
            <w:r w:rsidRPr="007C51D6">
              <w:rPr>
                <w:color w:val="000000"/>
                <w:sz w:val="20"/>
                <w:szCs w:val="20"/>
              </w:rPr>
              <w:t>3 225,24</w:t>
            </w:r>
          </w:p>
        </w:tc>
        <w:tc>
          <w:tcPr>
            <w:tcW w:w="1163" w:type="dxa"/>
          </w:tcPr>
          <w:p w:rsidR="007D5318" w:rsidRPr="007C51D6" w:rsidRDefault="007D5318" w:rsidP="007D5318">
            <w:pPr>
              <w:spacing w:line="233" w:lineRule="auto"/>
              <w:jc w:val="center"/>
              <w:rPr>
                <w:color w:val="000000"/>
                <w:sz w:val="20"/>
                <w:szCs w:val="20"/>
              </w:rPr>
            </w:pPr>
            <w:r w:rsidRPr="007C51D6">
              <w:rPr>
                <w:color w:val="000000"/>
                <w:sz w:val="20"/>
                <w:szCs w:val="20"/>
              </w:rPr>
              <w:t>2 877,51</w:t>
            </w:r>
          </w:p>
        </w:tc>
        <w:tc>
          <w:tcPr>
            <w:tcW w:w="1162" w:type="dxa"/>
          </w:tcPr>
          <w:p w:rsidR="007D5318" w:rsidRPr="007C51D6" w:rsidRDefault="007D5318" w:rsidP="007D5318">
            <w:pPr>
              <w:spacing w:line="233" w:lineRule="auto"/>
              <w:jc w:val="center"/>
              <w:rPr>
                <w:color w:val="000000"/>
                <w:sz w:val="20"/>
                <w:szCs w:val="20"/>
              </w:rPr>
            </w:pPr>
            <w:r w:rsidRPr="007C51D6">
              <w:rPr>
                <w:color w:val="000000"/>
                <w:sz w:val="20"/>
                <w:szCs w:val="20"/>
              </w:rPr>
              <w:t>2 924,63</w:t>
            </w:r>
          </w:p>
        </w:tc>
        <w:tc>
          <w:tcPr>
            <w:tcW w:w="1162" w:type="dxa"/>
          </w:tcPr>
          <w:p w:rsidR="007D5318" w:rsidRPr="007C51D6" w:rsidRDefault="007D5318" w:rsidP="007D5318">
            <w:pPr>
              <w:spacing w:line="233" w:lineRule="auto"/>
              <w:jc w:val="center"/>
              <w:rPr>
                <w:color w:val="000000"/>
                <w:sz w:val="20"/>
                <w:szCs w:val="20"/>
              </w:rPr>
            </w:pPr>
            <w:r w:rsidRPr="007C51D6">
              <w:rPr>
                <w:color w:val="000000"/>
                <w:sz w:val="20"/>
                <w:szCs w:val="20"/>
              </w:rPr>
              <w:t>3062,63</w:t>
            </w:r>
          </w:p>
        </w:tc>
        <w:tc>
          <w:tcPr>
            <w:tcW w:w="1248" w:type="dxa"/>
            <w:vAlign w:val="center"/>
          </w:tcPr>
          <w:p w:rsidR="007D5318" w:rsidRPr="007C51D6" w:rsidRDefault="007D5318" w:rsidP="007D5318">
            <w:pPr>
              <w:spacing w:line="233" w:lineRule="auto"/>
              <w:jc w:val="center"/>
              <w:rPr>
                <w:color w:val="000000"/>
                <w:sz w:val="20"/>
                <w:szCs w:val="20"/>
              </w:rPr>
            </w:pPr>
            <w:r w:rsidRPr="007C51D6">
              <w:rPr>
                <w:color w:val="000000"/>
                <w:sz w:val="20"/>
                <w:szCs w:val="20"/>
              </w:rPr>
              <w:t>3149,92</w:t>
            </w:r>
          </w:p>
        </w:tc>
        <w:tc>
          <w:tcPr>
            <w:tcW w:w="1248" w:type="dxa"/>
            <w:vAlign w:val="center"/>
          </w:tcPr>
          <w:p w:rsidR="007D5318" w:rsidRPr="007C51D6" w:rsidRDefault="007D5318" w:rsidP="007D5318">
            <w:pPr>
              <w:jc w:val="center"/>
              <w:rPr>
                <w:color w:val="000000"/>
                <w:sz w:val="20"/>
                <w:szCs w:val="20"/>
              </w:rPr>
            </w:pPr>
            <w:r w:rsidRPr="007C51D6">
              <w:rPr>
                <w:color w:val="000000"/>
                <w:sz w:val="20"/>
                <w:szCs w:val="20"/>
              </w:rPr>
              <w:t>2915.07</w:t>
            </w:r>
          </w:p>
        </w:tc>
      </w:tr>
      <w:tr w:rsidR="00A52121" w:rsidRPr="007C51D6" w:rsidTr="00080BEF">
        <w:tblPrEx>
          <w:tblBorders>
            <w:bottom w:val="single" w:sz="4" w:space="0" w:color="auto"/>
          </w:tblBorders>
          <w:tblCellMar>
            <w:top w:w="11" w:type="dxa"/>
            <w:bottom w:w="11" w:type="dxa"/>
          </w:tblCellMar>
        </w:tblPrEx>
        <w:trPr>
          <w:trHeight w:val="20"/>
        </w:trPr>
        <w:tc>
          <w:tcPr>
            <w:tcW w:w="3114" w:type="dxa"/>
            <w:shd w:val="clear" w:color="auto" w:fill="auto"/>
            <w:hideMark/>
          </w:tcPr>
          <w:p w:rsidR="00A52121" w:rsidRPr="007C51D6" w:rsidRDefault="00A52121" w:rsidP="00A52121">
            <w:pPr>
              <w:autoSpaceDE/>
              <w:autoSpaceDN/>
              <w:adjustRightInd/>
              <w:spacing w:line="233" w:lineRule="auto"/>
              <w:rPr>
                <w:color w:val="000000"/>
                <w:sz w:val="20"/>
                <w:szCs w:val="20"/>
              </w:rPr>
            </w:pPr>
            <w:r w:rsidRPr="007C51D6">
              <w:rPr>
                <w:color w:val="000000"/>
                <w:sz w:val="20"/>
                <w:szCs w:val="20"/>
              </w:rPr>
              <w:t>Буинский</w:t>
            </w:r>
          </w:p>
        </w:tc>
        <w:tc>
          <w:tcPr>
            <w:tcW w:w="1248" w:type="dxa"/>
            <w:shd w:val="clear" w:color="auto" w:fill="auto"/>
            <w:hideMark/>
          </w:tcPr>
          <w:p w:rsidR="00A52121" w:rsidRPr="007C51D6" w:rsidRDefault="00A52121" w:rsidP="00A52121">
            <w:pPr>
              <w:autoSpaceDE/>
              <w:autoSpaceDN/>
              <w:adjustRightInd/>
              <w:spacing w:line="233" w:lineRule="auto"/>
              <w:jc w:val="center"/>
              <w:rPr>
                <w:color w:val="000000"/>
                <w:sz w:val="20"/>
                <w:szCs w:val="20"/>
              </w:rPr>
            </w:pPr>
            <w:r w:rsidRPr="007C51D6">
              <w:rPr>
                <w:color w:val="000000"/>
                <w:sz w:val="20"/>
                <w:szCs w:val="20"/>
              </w:rPr>
              <w:t>2 812,90</w:t>
            </w:r>
          </w:p>
        </w:tc>
        <w:tc>
          <w:tcPr>
            <w:tcW w:w="1247" w:type="dxa"/>
            <w:shd w:val="clear" w:color="auto" w:fill="auto"/>
            <w:hideMark/>
          </w:tcPr>
          <w:p w:rsidR="00A52121" w:rsidRPr="007C51D6" w:rsidRDefault="00A52121" w:rsidP="00A52121">
            <w:pPr>
              <w:autoSpaceDE/>
              <w:autoSpaceDN/>
              <w:adjustRightInd/>
              <w:spacing w:line="233" w:lineRule="auto"/>
              <w:jc w:val="center"/>
              <w:rPr>
                <w:color w:val="000000"/>
                <w:sz w:val="20"/>
                <w:szCs w:val="20"/>
              </w:rPr>
            </w:pPr>
            <w:r w:rsidRPr="007C51D6">
              <w:rPr>
                <w:color w:val="000000"/>
                <w:sz w:val="20"/>
                <w:szCs w:val="20"/>
              </w:rPr>
              <w:t>2 999,75</w:t>
            </w:r>
          </w:p>
        </w:tc>
        <w:tc>
          <w:tcPr>
            <w:tcW w:w="1276" w:type="dxa"/>
            <w:shd w:val="clear" w:color="auto" w:fill="auto"/>
            <w:hideMark/>
          </w:tcPr>
          <w:p w:rsidR="00A52121" w:rsidRPr="007C51D6" w:rsidRDefault="00A52121" w:rsidP="00A52121">
            <w:pPr>
              <w:autoSpaceDE/>
              <w:autoSpaceDN/>
              <w:adjustRightInd/>
              <w:spacing w:line="233" w:lineRule="auto"/>
              <w:jc w:val="center"/>
              <w:rPr>
                <w:color w:val="000000"/>
                <w:sz w:val="20"/>
                <w:szCs w:val="20"/>
              </w:rPr>
            </w:pPr>
            <w:r w:rsidRPr="007C51D6">
              <w:rPr>
                <w:color w:val="000000"/>
                <w:sz w:val="20"/>
                <w:szCs w:val="20"/>
              </w:rPr>
              <w:t>3 083,57</w:t>
            </w:r>
          </w:p>
        </w:tc>
        <w:tc>
          <w:tcPr>
            <w:tcW w:w="1162" w:type="dxa"/>
            <w:shd w:val="clear" w:color="auto" w:fill="auto"/>
            <w:hideMark/>
          </w:tcPr>
          <w:p w:rsidR="00A52121" w:rsidRPr="007C51D6" w:rsidRDefault="00A52121" w:rsidP="00A52121">
            <w:pPr>
              <w:autoSpaceDE/>
              <w:autoSpaceDN/>
              <w:adjustRightInd/>
              <w:spacing w:line="233" w:lineRule="auto"/>
              <w:jc w:val="center"/>
              <w:rPr>
                <w:color w:val="000000"/>
                <w:sz w:val="20"/>
                <w:szCs w:val="20"/>
              </w:rPr>
            </w:pPr>
            <w:r w:rsidRPr="007C51D6">
              <w:rPr>
                <w:color w:val="000000"/>
                <w:sz w:val="20"/>
                <w:szCs w:val="20"/>
              </w:rPr>
              <w:t>3 398,60</w:t>
            </w:r>
          </w:p>
        </w:tc>
        <w:tc>
          <w:tcPr>
            <w:tcW w:w="1219" w:type="dxa"/>
            <w:shd w:val="clear" w:color="auto" w:fill="auto"/>
            <w:hideMark/>
          </w:tcPr>
          <w:p w:rsidR="00A52121" w:rsidRPr="007C51D6" w:rsidRDefault="00A52121" w:rsidP="00A52121">
            <w:pPr>
              <w:autoSpaceDE/>
              <w:autoSpaceDN/>
              <w:adjustRightInd/>
              <w:spacing w:line="233" w:lineRule="auto"/>
              <w:jc w:val="center"/>
              <w:rPr>
                <w:color w:val="000000"/>
                <w:sz w:val="20"/>
                <w:szCs w:val="20"/>
              </w:rPr>
            </w:pPr>
            <w:r w:rsidRPr="007C51D6">
              <w:rPr>
                <w:color w:val="000000"/>
                <w:sz w:val="20"/>
                <w:szCs w:val="20"/>
              </w:rPr>
              <w:t>3 472,24</w:t>
            </w:r>
          </w:p>
        </w:tc>
        <w:tc>
          <w:tcPr>
            <w:tcW w:w="1163" w:type="dxa"/>
          </w:tcPr>
          <w:p w:rsidR="00A52121" w:rsidRPr="007C51D6" w:rsidRDefault="00A52121" w:rsidP="00A52121">
            <w:pPr>
              <w:spacing w:line="233" w:lineRule="auto"/>
              <w:jc w:val="center"/>
              <w:rPr>
                <w:color w:val="000000"/>
                <w:sz w:val="20"/>
                <w:szCs w:val="20"/>
              </w:rPr>
            </w:pPr>
            <w:r w:rsidRPr="007C51D6">
              <w:rPr>
                <w:color w:val="000000"/>
                <w:sz w:val="20"/>
                <w:szCs w:val="20"/>
              </w:rPr>
              <w:t>2 912,60</w:t>
            </w:r>
          </w:p>
        </w:tc>
        <w:tc>
          <w:tcPr>
            <w:tcW w:w="1162" w:type="dxa"/>
          </w:tcPr>
          <w:p w:rsidR="00A52121" w:rsidRPr="007C51D6" w:rsidRDefault="00A52121" w:rsidP="00A52121">
            <w:pPr>
              <w:spacing w:line="233" w:lineRule="auto"/>
              <w:jc w:val="center"/>
              <w:rPr>
                <w:color w:val="000000"/>
                <w:sz w:val="20"/>
                <w:szCs w:val="20"/>
              </w:rPr>
            </w:pPr>
            <w:r w:rsidRPr="007C51D6">
              <w:rPr>
                <w:color w:val="000000"/>
                <w:sz w:val="20"/>
                <w:szCs w:val="20"/>
              </w:rPr>
              <w:t>3 064,73</w:t>
            </w:r>
          </w:p>
        </w:tc>
        <w:tc>
          <w:tcPr>
            <w:tcW w:w="1162" w:type="dxa"/>
          </w:tcPr>
          <w:p w:rsidR="00A52121" w:rsidRPr="007C51D6" w:rsidRDefault="00A52121" w:rsidP="00A52121">
            <w:pPr>
              <w:spacing w:line="233" w:lineRule="auto"/>
              <w:jc w:val="center"/>
              <w:rPr>
                <w:color w:val="000000"/>
                <w:sz w:val="20"/>
                <w:szCs w:val="20"/>
              </w:rPr>
            </w:pPr>
            <w:r w:rsidRPr="007C51D6">
              <w:rPr>
                <w:color w:val="000000"/>
                <w:sz w:val="20"/>
                <w:szCs w:val="20"/>
              </w:rPr>
              <w:t>3261,31</w:t>
            </w:r>
          </w:p>
        </w:tc>
        <w:tc>
          <w:tcPr>
            <w:tcW w:w="1248" w:type="dxa"/>
            <w:vAlign w:val="center"/>
          </w:tcPr>
          <w:p w:rsidR="00A52121" w:rsidRPr="007C51D6" w:rsidRDefault="00A52121" w:rsidP="00A52121">
            <w:pPr>
              <w:spacing w:line="233" w:lineRule="auto"/>
              <w:jc w:val="center"/>
              <w:rPr>
                <w:color w:val="000000"/>
                <w:sz w:val="20"/>
                <w:szCs w:val="20"/>
              </w:rPr>
            </w:pPr>
            <w:r w:rsidRPr="007C51D6">
              <w:rPr>
                <w:color w:val="000000"/>
                <w:sz w:val="20"/>
                <w:szCs w:val="20"/>
              </w:rPr>
              <w:t>3472,59</w:t>
            </w:r>
          </w:p>
        </w:tc>
        <w:tc>
          <w:tcPr>
            <w:tcW w:w="1248" w:type="dxa"/>
            <w:vAlign w:val="center"/>
          </w:tcPr>
          <w:p w:rsidR="00A52121" w:rsidRPr="007C51D6" w:rsidRDefault="00A52121" w:rsidP="00A52121">
            <w:pPr>
              <w:jc w:val="center"/>
              <w:rPr>
                <w:color w:val="000000"/>
                <w:sz w:val="20"/>
                <w:szCs w:val="20"/>
              </w:rPr>
            </w:pPr>
            <w:r w:rsidRPr="007C51D6">
              <w:rPr>
                <w:color w:val="000000"/>
                <w:sz w:val="20"/>
                <w:szCs w:val="20"/>
              </w:rPr>
              <w:t>3522.64</w:t>
            </w:r>
          </w:p>
        </w:tc>
      </w:tr>
      <w:tr w:rsidR="00A52121" w:rsidRPr="007C51D6" w:rsidTr="00080BEF">
        <w:tblPrEx>
          <w:tblBorders>
            <w:bottom w:val="single" w:sz="4" w:space="0" w:color="auto"/>
          </w:tblBorders>
          <w:tblCellMar>
            <w:top w:w="11" w:type="dxa"/>
            <w:bottom w:w="11" w:type="dxa"/>
          </w:tblCellMar>
        </w:tblPrEx>
        <w:trPr>
          <w:trHeight w:val="20"/>
        </w:trPr>
        <w:tc>
          <w:tcPr>
            <w:tcW w:w="3114" w:type="dxa"/>
            <w:shd w:val="clear" w:color="auto" w:fill="auto"/>
            <w:hideMark/>
          </w:tcPr>
          <w:p w:rsidR="00A52121" w:rsidRPr="007C51D6" w:rsidRDefault="00A52121" w:rsidP="00A52121">
            <w:pPr>
              <w:autoSpaceDE/>
              <w:autoSpaceDN/>
              <w:adjustRightInd/>
              <w:spacing w:line="233" w:lineRule="auto"/>
              <w:rPr>
                <w:color w:val="000000"/>
                <w:sz w:val="20"/>
                <w:szCs w:val="20"/>
              </w:rPr>
            </w:pPr>
            <w:r w:rsidRPr="007C51D6">
              <w:rPr>
                <w:color w:val="000000"/>
                <w:sz w:val="20"/>
                <w:szCs w:val="20"/>
              </w:rPr>
              <w:t>Верхнеуслонский</w:t>
            </w:r>
          </w:p>
        </w:tc>
        <w:tc>
          <w:tcPr>
            <w:tcW w:w="1248" w:type="dxa"/>
            <w:shd w:val="clear" w:color="auto" w:fill="auto"/>
            <w:hideMark/>
          </w:tcPr>
          <w:p w:rsidR="00A52121" w:rsidRPr="007C51D6" w:rsidRDefault="00A52121" w:rsidP="00A52121">
            <w:pPr>
              <w:autoSpaceDE/>
              <w:autoSpaceDN/>
              <w:adjustRightInd/>
              <w:spacing w:line="233" w:lineRule="auto"/>
              <w:jc w:val="center"/>
              <w:rPr>
                <w:color w:val="000000"/>
                <w:sz w:val="20"/>
                <w:szCs w:val="20"/>
              </w:rPr>
            </w:pPr>
            <w:r w:rsidRPr="007C51D6">
              <w:rPr>
                <w:color w:val="000000"/>
                <w:sz w:val="20"/>
                <w:szCs w:val="20"/>
              </w:rPr>
              <w:t>3 112,18</w:t>
            </w:r>
          </w:p>
        </w:tc>
        <w:tc>
          <w:tcPr>
            <w:tcW w:w="1247" w:type="dxa"/>
            <w:shd w:val="clear" w:color="auto" w:fill="auto"/>
            <w:hideMark/>
          </w:tcPr>
          <w:p w:rsidR="00A52121" w:rsidRPr="007C51D6" w:rsidRDefault="00A52121" w:rsidP="00A52121">
            <w:pPr>
              <w:autoSpaceDE/>
              <w:autoSpaceDN/>
              <w:adjustRightInd/>
              <w:spacing w:line="233" w:lineRule="auto"/>
              <w:jc w:val="center"/>
              <w:rPr>
                <w:color w:val="000000"/>
                <w:sz w:val="20"/>
                <w:szCs w:val="20"/>
              </w:rPr>
            </w:pPr>
            <w:r w:rsidRPr="007C51D6">
              <w:rPr>
                <w:color w:val="000000"/>
                <w:sz w:val="20"/>
                <w:szCs w:val="20"/>
              </w:rPr>
              <w:t>3 165,83</w:t>
            </w:r>
          </w:p>
        </w:tc>
        <w:tc>
          <w:tcPr>
            <w:tcW w:w="1276" w:type="dxa"/>
            <w:shd w:val="clear" w:color="auto" w:fill="auto"/>
            <w:hideMark/>
          </w:tcPr>
          <w:p w:rsidR="00A52121" w:rsidRPr="007C51D6" w:rsidRDefault="00A52121" w:rsidP="00A52121">
            <w:pPr>
              <w:autoSpaceDE/>
              <w:autoSpaceDN/>
              <w:adjustRightInd/>
              <w:spacing w:line="233" w:lineRule="auto"/>
              <w:jc w:val="center"/>
              <w:rPr>
                <w:color w:val="000000"/>
                <w:sz w:val="20"/>
                <w:szCs w:val="20"/>
              </w:rPr>
            </w:pPr>
            <w:r w:rsidRPr="007C51D6">
              <w:rPr>
                <w:color w:val="000000"/>
                <w:sz w:val="20"/>
                <w:szCs w:val="20"/>
              </w:rPr>
              <w:t>3 505,55</w:t>
            </w:r>
          </w:p>
        </w:tc>
        <w:tc>
          <w:tcPr>
            <w:tcW w:w="1162" w:type="dxa"/>
            <w:shd w:val="clear" w:color="auto" w:fill="auto"/>
            <w:hideMark/>
          </w:tcPr>
          <w:p w:rsidR="00A52121" w:rsidRPr="007C51D6" w:rsidRDefault="00A52121" w:rsidP="00A52121">
            <w:pPr>
              <w:autoSpaceDE/>
              <w:autoSpaceDN/>
              <w:adjustRightInd/>
              <w:spacing w:line="233" w:lineRule="auto"/>
              <w:jc w:val="center"/>
              <w:rPr>
                <w:color w:val="000000"/>
                <w:sz w:val="20"/>
                <w:szCs w:val="20"/>
              </w:rPr>
            </w:pPr>
            <w:r w:rsidRPr="007C51D6">
              <w:rPr>
                <w:color w:val="000000"/>
                <w:sz w:val="20"/>
                <w:szCs w:val="20"/>
              </w:rPr>
              <w:t>3 527,38</w:t>
            </w:r>
          </w:p>
        </w:tc>
        <w:tc>
          <w:tcPr>
            <w:tcW w:w="1219" w:type="dxa"/>
            <w:shd w:val="clear" w:color="auto" w:fill="auto"/>
            <w:hideMark/>
          </w:tcPr>
          <w:p w:rsidR="00A52121" w:rsidRPr="007C51D6" w:rsidRDefault="00A52121" w:rsidP="00A52121">
            <w:pPr>
              <w:autoSpaceDE/>
              <w:autoSpaceDN/>
              <w:adjustRightInd/>
              <w:spacing w:line="233" w:lineRule="auto"/>
              <w:jc w:val="center"/>
              <w:rPr>
                <w:color w:val="000000"/>
                <w:sz w:val="20"/>
                <w:szCs w:val="20"/>
              </w:rPr>
            </w:pPr>
            <w:r w:rsidRPr="007C51D6">
              <w:rPr>
                <w:color w:val="000000"/>
                <w:sz w:val="20"/>
                <w:szCs w:val="20"/>
              </w:rPr>
              <w:t>3 583,31</w:t>
            </w:r>
          </w:p>
        </w:tc>
        <w:tc>
          <w:tcPr>
            <w:tcW w:w="1163" w:type="dxa"/>
          </w:tcPr>
          <w:p w:rsidR="00A52121" w:rsidRPr="007C51D6" w:rsidRDefault="00A52121" w:rsidP="00A52121">
            <w:pPr>
              <w:spacing w:line="233" w:lineRule="auto"/>
              <w:jc w:val="center"/>
              <w:rPr>
                <w:color w:val="000000"/>
                <w:sz w:val="20"/>
                <w:szCs w:val="20"/>
              </w:rPr>
            </w:pPr>
            <w:r w:rsidRPr="007C51D6">
              <w:rPr>
                <w:color w:val="000000"/>
                <w:sz w:val="20"/>
                <w:szCs w:val="20"/>
              </w:rPr>
              <w:t>2 987,30</w:t>
            </w:r>
          </w:p>
        </w:tc>
        <w:tc>
          <w:tcPr>
            <w:tcW w:w="1162" w:type="dxa"/>
          </w:tcPr>
          <w:p w:rsidR="00A52121" w:rsidRPr="007C51D6" w:rsidRDefault="00A52121" w:rsidP="00A52121">
            <w:pPr>
              <w:spacing w:line="233" w:lineRule="auto"/>
              <w:jc w:val="center"/>
              <w:rPr>
                <w:color w:val="000000"/>
                <w:sz w:val="20"/>
                <w:szCs w:val="20"/>
              </w:rPr>
            </w:pPr>
            <w:r w:rsidRPr="007C51D6">
              <w:rPr>
                <w:color w:val="000000"/>
                <w:sz w:val="20"/>
                <w:szCs w:val="20"/>
              </w:rPr>
              <w:t>2 993,53</w:t>
            </w:r>
          </w:p>
        </w:tc>
        <w:tc>
          <w:tcPr>
            <w:tcW w:w="1162" w:type="dxa"/>
          </w:tcPr>
          <w:p w:rsidR="00A52121" w:rsidRPr="007C51D6" w:rsidRDefault="00A52121" w:rsidP="00A52121">
            <w:pPr>
              <w:spacing w:line="233" w:lineRule="auto"/>
              <w:jc w:val="center"/>
              <w:rPr>
                <w:color w:val="000000"/>
                <w:sz w:val="20"/>
                <w:szCs w:val="20"/>
              </w:rPr>
            </w:pPr>
            <w:r w:rsidRPr="007C51D6">
              <w:rPr>
                <w:color w:val="000000"/>
                <w:sz w:val="20"/>
                <w:szCs w:val="20"/>
              </w:rPr>
              <w:t>2806,84</w:t>
            </w:r>
          </w:p>
        </w:tc>
        <w:tc>
          <w:tcPr>
            <w:tcW w:w="1248" w:type="dxa"/>
            <w:vAlign w:val="center"/>
          </w:tcPr>
          <w:p w:rsidR="00A52121" w:rsidRPr="007C51D6" w:rsidRDefault="00A52121" w:rsidP="00A52121">
            <w:pPr>
              <w:spacing w:line="233" w:lineRule="auto"/>
              <w:jc w:val="center"/>
              <w:rPr>
                <w:color w:val="000000"/>
                <w:sz w:val="20"/>
                <w:szCs w:val="20"/>
              </w:rPr>
            </w:pPr>
            <w:r w:rsidRPr="007C51D6">
              <w:rPr>
                <w:color w:val="000000"/>
                <w:sz w:val="20"/>
                <w:szCs w:val="20"/>
              </w:rPr>
              <w:t>2885,32</w:t>
            </w:r>
          </w:p>
        </w:tc>
        <w:tc>
          <w:tcPr>
            <w:tcW w:w="1248" w:type="dxa"/>
            <w:vAlign w:val="center"/>
          </w:tcPr>
          <w:p w:rsidR="00A52121" w:rsidRPr="007C51D6" w:rsidRDefault="00A52121" w:rsidP="00A52121">
            <w:pPr>
              <w:jc w:val="center"/>
              <w:rPr>
                <w:color w:val="000000"/>
                <w:sz w:val="20"/>
                <w:szCs w:val="20"/>
              </w:rPr>
            </w:pPr>
            <w:r w:rsidRPr="007C51D6">
              <w:rPr>
                <w:color w:val="000000"/>
                <w:sz w:val="20"/>
                <w:szCs w:val="20"/>
              </w:rPr>
              <w:t>3336.87</w:t>
            </w:r>
          </w:p>
        </w:tc>
      </w:tr>
      <w:tr w:rsidR="00A52121" w:rsidRPr="007C51D6" w:rsidTr="00080BEF">
        <w:tblPrEx>
          <w:tblBorders>
            <w:bottom w:val="single" w:sz="4" w:space="0" w:color="auto"/>
          </w:tblBorders>
          <w:tblCellMar>
            <w:top w:w="11" w:type="dxa"/>
            <w:bottom w:w="11" w:type="dxa"/>
          </w:tblCellMar>
        </w:tblPrEx>
        <w:trPr>
          <w:trHeight w:val="20"/>
        </w:trPr>
        <w:tc>
          <w:tcPr>
            <w:tcW w:w="3114" w:type="dxa"/>
            <w:shd w:val="clear" w:color="auto" w:fill="auto"/>
            <w:hideMark/>
          </w:tcPr>
          <w:p w:rsidR="00A52121" w:rsidRPr="007C51D6" w:rsidRDefault="00A52121" w:rsidP="00A52121">
            <w:pPr>
              <w:autoSpaceDE/>
              <w:autoSpaceDN/>
              <w:adjustRightInd/>
              <w:spacing w:line="233" w:lineRule="auto"/>
              <w:rPr>
                <w:color w:val="000000"/>
                <w:sz w:val="20"/>
                <w:szCs w:val="20"/>
              </w:rPr>
            </w:pPr>
            <w:r w:rsidRPr="007C51D6">
              <w:rPr>
                <w:color w:val="000000"/>
                <w:sz w:val="20"/>
                <w:szCs w:val="20"/>
              </w:rPr>
              <w:t>Высокогорский</w:t>
            </w:r>
          </w:p>
        </w:tc>
        <w:tc>
          <w:tcPr>
            <w:tcW w:w="1248" w:type="dxa"/>
            <w:shd w:val="clear" w:color="auto" w:fill="auto"/>
            <w:hideMark/>
          </w:tcPr>
          <w:p w:rsidR="00A52121" w:rsidRPr="007C51D6" w:rsidRDefault="00A52121" w:rsidP="00A52121">
            <w:pPr>
              <w:autoSpaceDE/>
              <w:autoSpaceDN/>
              <w:adjustRightInd/>
              <w:spacing w:line="233" w:lineRule="auto"/>
              <w:jc w:val="center"/>
              <w:rPr>
                <w:color w:val="000000"/>
                <w:sz w:val="20"/>
                <w:szCs w:val="20"/>
              </w:rPr>
            </w:pPr>
            <w:r w:rsidRPr="007C51D6">
              <w:rPr>
                <w:color w:val="000000"/>
                <w:sz w:val="20"/>
                <w:szCs w:val="20"/>
              </w:rPr>
              <w:t>2 330,00</w:t>
            </w:r>
          </w:p>
        </w:tc>
        <w:tc>
          <w:tcPr>
            <w:tcW w:w="1247" w:type="dxa"/>
            <w:shd w:val="clear" w:color="auto" w:fill="auto"/>
            <w:hideMark/>
          </w:tcPr>
          <w:p w:rsidR="00A52121" w:rsidRPr="007C51D6" w:rsidRDefault="00A52121" w:rsidP="00A52121">
            <w:pPr>
              <w:autoSpaceDE/>
              <w:autoSpaceDN/>
              <w:adjustRightInd/>
              <w:spacing w:line="233" w:lineRule="auto"/>
              <w:jc w:val="center"/>
              <w:rPr>
                <w:color w:val="000000"/>
                <w:sz w:val="20"/>
                <w:szCs w:val="20"/>
              </w:rPr>
            </w:pPr>
            <w:r w:rsidRPr="007C51D6">
              <w:rPr>
                <w:color w:val="000000"/>
                <w:sz w:val="20"/>
                <w:szCs w:val="20"/>
              </w:rPr>
              <w:t>2 377,40</w:t>
            </w:r>
          </w:p>
        </w:tc>
        <w:tc>
          <w:tcPr>
            <w:tcW w:w="1276" w:type="dxa"/>
            <w:shd w:val="clear" w:color="auto" w:fill="auto"/>
            <w:hideMark/>
          </w:tcPr>
          <w:p w:rsidR="00A52121" w:rsidRPr="007C51D6" w:rsidRDefault="00A52121" w:rsidP="00A52121">
            <w:pPr>
              <w:autoSpaceDE/>
              <w:autoSpaceDN/>
              <w:adjustRightInd/>
              <w:spacing w:line="233" w:lineRule="auto"/>
              <w:jc w:val="center"/>
              <w:rPr>
                <w:color w:val="000000"/>
                <w:sz w:val="20"/>
                <w:szCs w:val="20"/>
              </w:rPr>
            </w:pPr>
            <w:r w:rsidRPr="007C51D6">
              <w:rPr>
                <w:color w:val="000000"/>
                <w:sz w:val="20"/>
                <w:szCs w:val="20"/>
              </w:rPr>
              <w:t>2 456,25</w:t>
            </w:r>
          </w:p>
        </w:tc>
        <w:tc>
          <w:tcPr>
            <w:tcW w:w="1162" w:type="dxa"/>
            <w:shd w:val="clear" w:color="auto" w:fill="auto"/>
            <w:hideMark/>
          </w:tcPr>
          <w:p w:rsidR="00A52121" w:rsidRPr="007C51D6" w:rsidRDefault="00A52121" w:rsidP="00A52121">
            <w:pPr>
              <w:autoSpaceDE/>
              <w:autoSpaceDN/>
              <w:adjustRightInd/>
              <w:spacing w:line="233" w:lineRule="auto"/>
              <w:jc w:val="center"/>
              <w:rPr>
                <w:color w:val="000000"/>
                <w:sz w:val="20"/>
                <w:szCs w:val="20"/>
              </w:rPr>
            </w:pPr>
            <w:r w:rsidRPr="007C51D6">
              <w:rPr>
                <w:color w:val="000000"/>
                <w:sz w:val="20"/>
                <w:szCs w:val="20"/>
              </w:rPr>
              <w:t>2 533,35</w:t>
            </w:r>
          </w:p>
        </w:tc>
        <w:tc>
          <w:tcPr>
            <w:tcW w:w="1219" w:type="dxa"/>
            <w:shd w:val="clear" w:color="auto" w:fill="auto"/>
            <w:hideMark/>
          </w:tcPr>
          <w:p w:rsidR="00A52121" w:rsidRPr="007C51D6" w:rsidRDefault="00A52121" w:rsidP="00A52121">
            <w:pPr>
              <w:autoSpaceDE/>
              <w:autoSpaceDN/>
              <w:adjustRightInd/>
              <w:spacing w:line="233" w:lineRule="auto"/>
              <w:jc w:val="center"/>
              <w:rPr>
                <w:color w:val="000000"/>
                <w:sz w:val="20"/>
                <w:szCs w:val="20"/>
              </w:rPr>
            </w:pPr>
            <w:r w:rsidRPr="007C51D6">
              <w:rPr>
                <w:color w:val="000000"/>
                <w:sz w:val="20"/>
                <w:szCs w:val="20"/>
              </w:rPr>
              <w:t>2 581,11</w:t>
            </w:r>
          </w:p>
        </w:tc>
        <w:tc>
          <w:tcPr>
            <w:tcW w:w="1163" w:type="dxa"/>
          </w:tcPr>
          <w:p w:rsidR="00A52121" w:rsidRPr="007C51D6" w:rsidRDefault="00A52121" w:rsidP="00A52121">
            <w:pPr>
              <w:spacing w:line="233" w:lineRule="auto"/>
              <w:jc w:val="center"/>
              <w:rPr>
                <w:color w:val="000000"/>
                <w:sz w:val="20"/>
                <w:szCs w:val="20"/>
              </w:rPr>
            </w:pPr>
            <w:r w:rsidRPr="007C51D6">
              <w:rPr>
                <w:color w:val="000000"/>
                <w:sz w:val="20"/>
                <w:szCs w:val="20"/>
              </w:rPr>
              <w:t>2 260,69</w:t>
            </w:r>
          </w:p>
        </w:tc>
        <w:tc>
          <w:tcPr>
            <w:tcW w:w="1162" w:type="dxa"/>
          </w:tcPr>
          <w:p w:rsidR="00A52121" w:rsidRPr="007C51D6" w:rsidRDefault="00A52121" w:rsidP="00A52121">
            <w:pPr>
              <w:spacing w:line="233" w:lineRule="auto"/>
              <w:jc w:val="center"/>
              <w:rPr>
                <w:color w:val="000000"/>
                <w:sz w:val="20"/>
                <w:szCs w:val="20"/>
              </w:rPr>
            </w:pPr>
            <w:r w:rsidRPr="007C51D6">
              <w:rPr>
                <w:color w:val="000000"/>
                <w:sz w:val="20"/>
                <w:szCs w:val="20"/>
              </w:rPr>
              <w:t>2 418,24</w:t>
            </w:r>
          </w:p>
        </w:tc>
        <w:tc>
          <w:tcPr>
            <w:tcW w:w="1162" w:type="dxa"/>
          </w:tcPr>
          <w:p w:rsidR="00A52121" w:rsidRPr="007C51D6" w:rsidRDefault="00A52121" w:rsidP="00A52121">
            <w:pPr>
              <w:spacing w:line="233" w:lineRule="auto"/>
              <w:jc w:val="center"/>
              <w:rPr>
                <w:color w:val="000000"/>
                <w:sz w:val="20"/>
                <w:szCs w:val="20"/>
              </w:rPr>
            </w:pPr>
            <w:r w:rsidRPr="007C51D6">
              <w:rPr>
                <w:color w:val="000000"/>
                <w:sz w:val="20"/>
                <w:szCs w:val="20"/>
              </w:rPr>
              <w:t>2340,31</w:t>
            </w:r>
          </w:p>
        </w:tc>
        <w:tc>
          <w:tcPr>
            <w:tcW w:w="1248" w:type="dxa"/>
            <w:vAlign w:val="center"/>
          </w:tcPr>
          <w:p w:rsidR="00A52121" w:rsidRPr="007C51D6" w:rsidRDefault="00A52121" w:rsidP="00A52121">
            <w:pPr>
              <w:spacing w:line="233" w:lineRule="auto"/>
              <w:jc w:val="center"/>
              <w:rPr>
                <w:color w:val="000000"/>
                <w:sz w:val="20"/>
                <w:szCs w:val="20"/>
              </w:rPr>
            </w:pPr>
            <w:r w:rsidRPr="007C51D6">
              <w:rPr>
                <w:color w:val="000000"/>
                <w:sz w:val="20"/>
                <w:szCs w:val="20"/>
              </w:rPr>
              <w:t>2448,60</w:t>
            </w:r>
          </w:p>
        </w:tc>
        <w:tc>
          <w:tcPr>
            <w:tcW w:w="1248" w:type="dxa"/>
            <w:vAlign w:val="center"/>
          </w:tcPr>
          <w:p w:rsidR="00A52121" w:rsidRPr="007C51D6" w:rsidRDefault="00A52121" w:rsidP="00A52121">
            <w:pPr>
              <w:jc w:val="center"/>
              <w:rPr>
                <w:color w:val="000000"/>
                <w:sz w:val="20"/>
                <w:szCs w:val="20"/>
              </w:rPr>
            </w:pPr>
            <w:r w:rsidRPr="007C51D6">
              <w:rPr>
                <w:color w:val="000000"/>
                <w:sz w:val="20"/>
                <w:szCs w:val="20"/>
              </w:rPr>
              <w:t>2768.54</w:t>
            </w:r>
          </w:p>
        </w:tc>
      </w:tr>
      <w:tr w:rsidR="00A52121" w:rsidRPr="007C51D6" w:rsidTr="00080BEF">
        <w:tblPrEx>
          <w:tblBorders>
            <w:bottom w:val="single" w:sz="4" w:space="0" w:color="auto"/>
          </w:tblBorders>
          <w:tblCellMar>
            <w:top w:w="11" w:type="dxa"/>
            <w:bottom w:w="11" w:type="dxa"/>
          </w:tblCellMar>
        </w:tblPrEx>
        <w:trPr>
          <w:trHeight w:val="20"/>
        </w:trPr>
        <w:tc>
          <w:tcPr>
            <w:tcW w:w="3114" w:type="dxa"/>
            <w:shd w:val="clear" w:color="auto" w:fill="auto"/>
            <w:hideMark/>
          </w:tcPr>
          <w:p w:rsidR="00A52121" w:rsidRPr="007C51D6" w:rsidRDefault="00A52121" w:rsidP="00A52121">
            <w:pPr>
              <w:autoSpaceDE/>
              <w:autoSpaceDN/>
              <w:adjustRightInd/>
              <w:spacing w:line="233" w:lineRule="auto"/>
              <w:rPr>
                <w:color w:val="000000"/>
                <w:sz w:val="20"/>
                <w:szCs w:val="20"/>
              </w:rPr>
            </w:pPr>
            <w:r w:rsidRPr="007C51D6">
              <w:rPr>
                <w:color w:val="000000"/>
                <w:sz w:val="20"/>
                <w:szCs w:val="20"/>
              </w:rPr>
              <w:t>Дрожжановский</w:t>
            </w:r>
          </w:p>
        </w:tc>
        <w:tc>
          <w:tcPr>
            <w:tcW w:w="1248" w:type="dxa"/>
            <w:shd w:val="clear" w:color="auto" w:fill="auto"/>
            <w:hideMark/>
          </w:tcPr>
          <w:p w:rsidR="00A52121" w:rsidRPr="007C51D6" w:rsidRDefault="00A52121" w:rsidP="00A52121">
            <w:pPr>
              <w:autoSpaceDE/>
              <w:autoSpaceDN/>
              <w:adjustRightInd/>
              <w:spacing w:line="233" w:lineRule="auto"/>
              <w:jc w:val="center"/>
              <w:rPr>
                <w:color w:val="000000"/>
                <w:sz w:val="20"/>
                <w:szCs w:val="20"/>
              </w:rPr>
            </w:pPr>
            <w:r w:rsidRPr="007C51D6">
              <w:rPr>
                <w:color w:val="000000"/>
                <w:sz w:val="20"/>
                <w:szCs w:val="20"/>
              </w:rPr>
              <w:t>1 702,09</w:t>
            </w:r>
          </w:p>
        </w:tc>
        <w:tc>
          <w:tcPr>
            <w:tcW w:w="1247" w:type="dxa"/>
            <w:shd w:val="clear" w:color="auto" w:fill="auto"/>
            <w:hideMark/>
          </w:tcPr>
          <w:p w:rsidR="00A52121" w:rsidRPr="007C51D6" w:rsidRDefault="00A52121" w:rsidP="00A52121">
            <w:pPr>
              <w:autoSpaceDE/>
              <w:autoSpaceDN/>
              <w:adjustRightInd/>
              <w:spacing w:line="233" w:lineRule="auto"/>
              <w:jc w:val="center"/>
              <w:rPr>
                <w:color w:val="000000"/>
                <w:sz w:val="20"/>
                <w:szCs w:val="20"/>
              </w:rPr>
            </w:pPr>
            <w:r w:rsidRPr="007C51D6">
              <w:rPr>
                <w:color w:val="000000"/>
                <w:sz w:val="20"/>
                <w:szCs w:val="20"/>
              </w:rPr>
              <w:t>1 836,67</w:t>
            </w:r>
          </w:p>
        </w:tc>
        <w:tc>
          <w:tcPr>
            <w:tcW w:w="1276" w:type="dxa"/>
            <w:shd w:val="clear" w:color="auto" w:fill="auto"/>
            <w:hideMark/>
          </w:tcPr>
          <w:p w:rsidR="00A52121" w:rsidRPr="007C51D6" w:rsidRDefault="00A52121" w:rsidP="00A52121">
            <w:pPr>
              <w:autoSpaceDE/>
              <w:autoSpaceDN/>
              <w:adjustRightInd/>
              <w:spacing w:line="233" w:lineRule="auto"/>
              <w:jc w:val="center"/>
              <w:rPr>
                <w:color w:val="000000"/>
                <w:sz w:val="20"/>
                <w:szCs w:val="20"/>
              </w:rPr>
            </w:pPr>
            <w:r w:rsidRPr="007C51D6">
              <w:rPr>
                <w:color w:val="000000"/>
                <w:sz w:val="20"/>
                <w:szCs w:val="20"/>
              </w:rPr>
              <w:t>1 988,33</w:t>
            </w:r>
          </w:p>
        </w:tc>
        <w:tc>
          <w:tcPr>
            <w:tcW w:w="1162" w:type="dxa"/>
            <w:shd w:val="clear" w:color="auto" w:fill="auto"/>
            <w:hideMark/>
          </w:tcPr>
          <w:p w:rsidR="00A52121" w:rsidRPr="007C51D6" w:rsidRDefault="00A52121" w:rsidP="00A52121">
            <w:pPr>
              <w:autoSpaceDE/>
              <w:autoSpaceDN/>
              <w:adjustRightInd/>
              <w:spacing w:line="233" w:lineRule="auto"/>
              <w:jc w:val="center"/>
              <w:rPr>
                <w:color w:val="000000"/>
                <w:sz w:val="20"/>
                <w:szCs w:val="20"/>
              </w:rPr>
            </w:pPr>
            <w:r w:rsidRPr="007C51D6">
              <w:rPr>
                <w:color w:val="000000"/>
                <w:sz w:val="20"/>
                <w:szCs w:val="20"/>
              </w:rPr>
              <w:t>2 189,05</w:t>
            </w:r>
          </w:p>
        </w:tc>
        <w:tc>
          <w:tcPr>
            <w:tcW w:w="1219" w:type="dxa"/>
            <w:shd w:val="clear" w:color="auto" w:fill="auto"/>
            <w:hideMark/>
          </w:tcPr>
          <w:p w:rsidR="00A52121" w:rsidRPr="007C51D6" w:rsidRDefault="00A52121" w:rsidP="00A52121">
            <w:pPr>
              <w:autoSpaceDE/>
              <w:autoSpaceDN/>
              <w:adjustRightInd/>
              <w:spacing w:line="233" w:lineRule="auto"/>
              <w:jc w:val="center"/>
              <w:rPr>
                <w:color w:val="000000"/>
                <w:sz w:val="20"/>
                <w:szCs w:val="20"/>
              </w:rPr>
            </w:pPr>
            <w:r w:rsidRPr="007C51D6">
              <w:rPr>
                <w:color w:val="000000"/>
                <w:sz w:val="20"/>
                <w:szCs w:val="20"/>
              </w:rPr>
              <w:t>2 179,05</w:t>
            </w:r>
          </w:p>
        </w:tc>
        <w:tc>
          <w:tcPr>
            <w:tcW w:w="1163" w:type="dxa"/>
          </w:tcPr>
          <w:p w:rsidR="00A52121" w:rsidRPr="007C51D6" w:rsidRDefault="00A52121" w:rsidP="00A52121">
            <w:pPr>
              <w:spacing w:line="233" w:lineRule="auto"/>
              <w:jc w:val="center"/>
              <w:rPr>
                <w:color w:val="000000"/>
                <w:sz w:val="20"/>
                <w:szCs w:val="20"/>
              </w:rPr>
            </w:pPr>
            <w:r w:rsidRPr="007C51D6">
              <w:rPr>
                <w:color w:val="000000"/>
                <w:sz w:val="20"/>
                <w:szCs w:val="20"/>
              </w:rPr>
              <w:t>1 918,28</w:t>
            </w:r>
          </w:p>
        </w:tc>
        <w:tc>
          <w:tcPr>
            <w:tcW w:w="1162" w:type="dxa"/>
          </w:tcPr>
          <w:p w:rsidR="00A52121" w:rsidRPr="007C51D6" w:rsidRDefault="00A52121" w:rsidP="00A52121">
            <w:pPr>
              <w:spacing w:line="233" w:lineRule="auto"/>
              <w:jc w:val="center"/>
              <w:rPr>
                <w:color w:val="000000"/>
                <w:sz w:val="20"/>
                <w:szCs w:val="20"/>
              </w:rPr>
            </w:pPr>
            <w:r w:rsidRPr="007C51D6">
              <w:rPr>
                <w:color w:val="000000"/>
                <w:sz w:val="20"/>
                <w:szCs w:val="20"/>
              </w:rPr>
              <w:t>1 951,20</w:t>
            </w:r>
          </w:p>
        </w:tc>
        <w:tc>
          <w:tcPr>
            <w:tcW w:w="1162" w:type="dxa"/>
          </w:tcPr>
          <w:p w:rsidR="00A52121" w:rsidRPr="007C51D6" w:rsidRDefault="00A52121" w:rsidP="00A52121">
            <w:pPr>
              <w:spacing w:line="233" w:lineRule="auto"/>
              <w:jc w:val="center"/>
              <w:rPr>
                <w:color w:val="000000"/>
                <w:sz w:val="20"/>
                <w:szCs w:val="20"/>
              </w:rPr>
            </w:pPr>
            <w:r w:rsidRPr="007C51D6">
              <w:rPr>
                <w:color w:val="000000"/>
                <w:sz w:val="20"/>
                <w:szCs w:val="20"/>
              </w:rPr>
              <w:t>2109,75</w:t>
            </w:r>
          </w:p>
        </w:tc>
        <w:tc>
          <w:tcPr>
            <w:tcW w:w="1248" w:type="dxa"/>
            <w:vAlign w:val="center"/>
          </w:tcPr>
          <w:p w:rsidR="00A52121" w:rsidRPr="007C51D6" w:rsidRDefault="00A52121" w:rsidP="00A52121">
            <w:pPr>
              <w:spacing w:line="233" w:lineRule="auto"/>
              <w:jc w:val="center"/>
              <w:rPr>
                <w:color w:val="000000"/>
                <w:sz w:val="20"/>
                <w:szCs w:val="20"/>
              </w:rPr>
            </w:pPr>
            <w:r w:rsidRPr="007C51D6">
              <w:rPr>
                <w:color w:val="000000"/>
                <w:sz w:val="20"/>
                <w:szCs w:val="20"/>
              </w:rPr>
              <w:t>2295,25</w:t>
            </w:r>
          </w:p>
        </w:tc>
        <w:tc>
          <w:tcPr>
            <w:tcW w:w="1248" w:type="dxa"/>
            <w:vAlign w:val="center"/>
          </w:tcPr>
          <w:p w:rsidR="00A52121" w:rsidRPr="007C51D6" w:rsidRDefault="00A52121" w:rsidP="00A52121">
            <w:pPr>
              <w:jc w:val="center"/>
              <w:rPr>
                <w:color w:val="000000"/>
                <w:sz w:val="20"/>
                <w:szCs w:val="20"/>
              </w:rPr>
            </w:pPr>
            <w:r w:rsidRPr="007C51D6">
              <w:rPr>
                <w:color w:val="000000"/>
                <w:sz w:val="20"/>
                <w:szCs w:val="20"/>
              </w:rPr>
              <w:t>2442.59</w:t>
            </w:r>
          </w:p>
        </w:tc>
      </w:tr>
      <w:tr w:rsidR="00A52121" w:rsidRPr="007C51D6" w:rsidTr="00080BEF">
        <w:tblPrEx>
          <w:tblBorders>
            <w:bottom w:val="single" w:sz="4" w:space="0" w:color="auto"/>
          </w:tblBorders>
          <w:tblCellMar>
            <w:top w:w="11" w:type="dxa"/>
            <w:bottom w:w="11" w:type="dxa"/>
          </w:tblCellMar>
        </w:tblPrEx>
        <w:trPr>
          <w:trHeight w:val="20"/>
        </w:trPr>
        <w:tc>
          <w:tcPr>
            <w:tcW w:w="3114" w:type="dxa"/>
            <w:shd w:val="clear" w:color="auto" w:fill="auto"/>
            <w:hideMark/>
          </w:tcPr>
          <w:p w:rsidR="00A52121" w:rsidRPr="007C51D6" w:rsidRDefault="00A52121" w:rsidP="00A52121">
            <w:pPr>
              <w:autoSpaceDE/>
              <w:autoSpaceDN/>
              <w:adjustRightInd/>
              <w:spacing w:line="233" w:lineRule="auto"/>
              <w:rPr>
                <w:color w:val="000000"/>
                <w:sz w:val="20"/>
                <w:szCs w:val="20"/>
              </w:rPr>
            </w:pPr>
            <w:r w:rsidRPr="007C51D6">
              <w:rPr>
                <w:color w:val="000000"/>
                <w:sz w:val="20"/>
                <w:szCs w:val="20"/>
              </w:rPr>
              <w:t>Елабужский</w:t>
            </w:r>
          </w:p>
        </w:tc>
        <w:tc>
          <w:tcPr>
            <w:tcW w:w="1248" w:type="dxa"/>
            <w:shd w:val="clear" w:color="auto" w:fill="auto"/>
            <w:hideMark/>
          </w:tcPr>
          <w:p w:rsidR="00A52121" w:rsidRPr="007C51D6" w:rsidRDefault="00A52121" w:rsidP="00A52121">
            <w:pPr>
              <w:autoSpaceDE/>
              <w:autoSpaceDN/>
              <w:adjustRightInd/>
              <w:spacing w:line="233" w:lineRule="auto"/>
              <w:jc w:val="center"/>
              <w:rPr>
                <w:color w:val="000000"/>
                <w:sz w:val="20"/>
                <w:szCs w:val="20"/>
              </w:rPr>
            </w:pPr>
            <w:r w:rsidRPr="007C51D6">
              <w:rPr>
                <w:color w:val="000000"/>
                <w:sz w:val="20"/>
                <w:szCs w:val="20"/>
              </w:rPr>
              <w:t>2 323,81</w:t>
            </w:r>
          </w:p>
        </w:tc>
        <w:tc>
          <w:tcPr>
            <w:tcW w:w="1247" w:type="dxa"/>
            <w:shd w:val="clear" w:color="auto" w:fill="auto"/>
            <w:hideMark/>
          </w:tcPr>
          <w:p w:rsidR="00A52121" w:rsidRPr="007C51D6" w:rsidRDefault="00A52121" w:rsidP="00A52121">
            <w:pPr>
              <w:autoSpaceDE/>
              <w:autoSpaceDN/>
              <w:adjustRightInd/>
              <w:spacing w:line="233" w:lineRule="auto"/>
              <w:jc w:val="center"/>
              <w:rPr>
                <w:color w:val="000000"/>
                <w:sz w:val="20"/>
                <w:szCs w:val="20"/>
              </w:rPr>
            </w:pPr>
            <w:r w:rsidRPr="007C51D6">
              <w:rPr>
                <w:color w:val="000000"/>
                <w:sz w:val="20"/>
                <w:szCs w:val="20"/>
              </w:rPr>
              <w:t>2 518,81</w:t>
            </w:r>
          </w:p>
        </w:tc>
        <w:tc>
          <w:tcPr>
            <w:tcW w:w="1276" w:type="dxa"/>
            <w:shd w:val="clear" w:color="auto" w:fill="auto"/>
            <w:hideMark/>
          </w:tcPr>
          <w:p w:rsidR="00A52121" w:rsidRPr="007C51D6" w:rsidRDefault="00A52121" w:rsidP="00A52121">
            <w:pPr>
              <w:autoSpaceDE/>
              <w:autoSpaceDN/>
              <w:adjustRightInd/>
              <w:spacing w:line="233" w:lineRule="auto"/>
              <w:jc w:val="center"/>
              <w:rPr>
                <w:color w:val="000000"/>
                <w:sz w:val="20"/>
                <w:szCs w:val="20"/>
              </w:rPr>
            </w:pPr>
            <w:r w:rsidRPr="007C51D6">
              <w:rPr>
                <w:color w:val="000000"/>
                <w:sz w:val="20"/>
                <w:szCs w:val="20"/>
              </w:rPr>
              <w:t>2 654,50</w:t>
            </w:r>
          </w:p>
        </w:tc>
        <w:tc>
          <w:tcPr>
            <w:tcW w:w="1162" w:type="dxa"/>
            <w:shd w:val="clear" w:color="auto" w:fill="auto"/>
            <w:hideMark/>
          </w:tcPr>
          <w:p w:rsidR="00A52121" w:rsidRPr="007C51D6" w:rsidRDefault="00A52121" w:rsidP="00A52121">
            <w:pPr>
              <w:autoSpaceDE/>
              <w:autoSpaceDN/>
              <w:adjustRightInd/>
              <w:spacing w:line="233" w:lineRule="auto"/>
              <w:jc w:val="center"/>
              <w:rPr>
                <w:color w:val="000000"/>
                <w:sz w:val="20"/>
                <w:szCs w:val="20"/>
              </w:rPr>
            </w:pPr>
            <w:r w:rsidRPr="007C51D6">
              <w:rPr>
                <w:color w:val="000000"/>
                <w:sz w:val="20"/>
                <w:szCs w:val="20"/>
              </w:rPr>
              <w:t>2 716,25</w:t>
            </w:r>
          </w:p>
        </w:tc>
        <w:tc>
          <w:tcPr>
            <w:tcW w:w="1219" w:type="dxa"/>
            <w:shd w:val="clear" w:color="auto" w:fill="auto"/>
            <w:hideMark/>
          </w:tcPr>
          <w:p w:rsidR="00A52121" w:rsidRPr="007C51D6" w:rsidRDefault="00A52121" w:rsidP="00A52121">
            <w:pPr>
              <w:autoSpaceDE/>
              <w:autoSpaceDN/>
              <w:adjustRightInd/>
              <w:spacing w:line="233" w:lineRule="auto"/>
              <w:jc w:val="center"/>
              <w:rPr>
                <w:color w:val="000000"/>
                <w:sz w:val="20"/>
                <w:szCs w:val="20"/>
              </w:rPr>
            </w:pPr>
            <w:r w:rsidRPr="007C51D6">
              <w:rPr>
                <w:color w:val="000000"/>
                <w:sz w:val="20"/>
                <w:szCs w:val="20"/>
              </w:rPr>
              <w:t>2 762,66</w:t>
            </w:r>
          </w:p>
        </w:tc>
        <w:tc>
          <w:tcPr>
            <w:tcW w:w="1163" w:type="dxa"/>
          </w:tcPr>
          <w:p w:rsidR="00A52121" w:rsidRPr="007C51D6" w:rsidRDefault="00A52121" w:rsidP="00A52121">
            <w:pPr>
              <w:spacing w:line="233" w:lineRule="auto"/>
              <w:jc w:val="center"/>
              <w:rPr>
                <w:color w:val="000000"/>
                <w:sz w:val="20"/>
                <w:szCs w:val="20"/>
              </w:rPr>
            </w:pPr>
            <w:r w:rsidRPr="007C51D6">
              <w:rPr>
                <w:color w:val="000000"/>
                <w:sz w:val="20"/>
                <w:szCs w:val="20"/>
              </w:rPr>
              <w:t>2 517,72</w:t>
            </w:r>
          </w:p>
        </w:tc>
        <w:tc>
          <w:tcPr>
            <w:tcW w:w="1162" w:type="dxa"/>
          </w:tcPr>
          <w:p w:rsidR="00A52121" w:rsidRPr="007C51D6" w:rsidRDefault="00A52121" w:rsidP="00A52121">
            <w:pPr>
              <w:spacing w:line="233" w:lineRule="auto"/>
              <w:jc w:val="center"/>
              <w:rPr>
                <w:color w:val="000000"/>
                <w:sz w:val="20"/>
                <w:szCs w:val="20"/>
              </w:rPr>
            </w:pPr>
            <w:r w:rsidRPr="007C51D6">
              <w:rPr>
                <w:color w:val="000000"/>
                <w:sz w:val="20"/>
                <w:szCs w:val="20"/>
              </w:rPr>
              <w:t>2 667,40</w:t>
            </w:r>
          </w:p>
        </w:tc>
        <w:tc>
          <w:tcPr>
            <w:tcW w:w="1162" w:type="dxa"/>
          </w:tcPr>
          <w:p w:rsidR="00A52121" w:rsidRPr="007C51D6" w:rsidRDefault="00A52121" w:rsidP="00A52121">
            <w:pPr>
              <w:spacing w:line="233" w:lineRule="auto"/>
              <w:jc w:val="center"/>
              <w:rPr>
                <w:color w:val="000000"/>
                <w:sz w:val="20"/>
                <w:szCs w:val="20"/>
              </w:rPr>
            </w:pPr>
            <w:r w:rsidRPr="007C51D6">
              <w:rPr>
                <w:color w:val="000000"/>
                <w:sz w:val="20"/>
                <w:szCs w:val="20"/>
              </w:rPr>
              <w:t>2768,86</w:t>
            </w:r>
          </w:p>
        </w:tc>
        <w:tc>
          <w:tcPr>
            <w:tcW w:w="1248" w:type="dxa"/>
            <w:vAlign w:val="center"/>
          </w:tcPr>
          <w:p w:rsidR="00A52121" w:rsidRPr="007C51D6" w:rsidRDefault="00A52121" w:rsidP="00A52121">
            <w:pPr>
              <w:spacing w:line="233" w:lineRule="auto"/>
              <w:jc w:val="center"/>
              <w:rPr>
                <w:color w:val="000000"/>
                <w:sz w:val="20"/>
                <w:szCs w:val="20"/>
              </w:rPr>
            </w:pPr>
            <w:r w:rsidRPr="007C51D6">
              <w:rPr>
                <w:color w:val="000000"/>
                <w:sz w:val="20"/>
                <w:szCs w:val="20"/>
              </w:rPr>
              <w:t>2898,06</w:t>
            </w:r>
          </w:p>
        </w:tc>
        <w:tc>
          <w:tcPr>
            <w:tcW w:w="1248" w:type="dxa"/>
            <w:vAlign w:val="center"/>
          </w:tcPr>
          <w:p w:rsidR="00A52121" w:rsidRPr="007C51D6" w:rsidRDefault="00A52121" w:rsidP="00A52121">
            <w:pPr>
              <w:jc w:val="center"/>
              <w:rPr>
                <w:color w:val="000000"/>
                <w:sz w:val="20"/>
                <w:szCs w:val="20"/>
              </w:rPr>
            </w:pPr>
            <w:r w:rsidRPr="007C51D6">
              <w:rPr>
                <w:color w:val="000000"/>
                <w:sz w:val="20"/>
                <w:szCs w:val="20"/>
              </w:rPr>
              <w:t>2910.70</w:t>
            </w:r>
          </w:p>
        </w:tc>
      </w:tr>
      <w:tr w:rsidR="00A52121" w:rsidRPr="007C51D6" w:rsidTr="00080BEF">
        <w:tblPrEx>
          <w:tblBorders>
            <w:bottom w:val="single" w:sz="4" w:space="0" w:color="auto"/>
          </w:tblBorders>
          <w:tblCellMar>
            <w:top w:w="11" w:type="dxa"/>
            <w:bottom w:w="11" w:type="dxa"/>
          </w:tblCellMar>
        </w:tblPrEx>
        <w:trPr>
          <w:trHeight w:val="20"/>
        </w:trPr>
        <w:tc>
          <w:tcPr>
            <w:tcW w:w="3114" w:type="dxa"/>
            <w:shd w:val="clear" w:color="auto" w:fill="auto"/>
            <w:hideMark/>
          </w:tcPr>
          <w:p w:rsidR="00A52121" w:rsidRPr="007C51D6" w:rsidRDefault="00A52121" w:rsidP="00A52121">
            <w:pPr>
              <w:autoSpaceDE/>
              <w:autoSpaceDN/>
              <w:adjustRightInd/>
              <w:spacing w:line="233" w:lineRule="auto"/>
              <w:rPr>
                <w:color w:val="000000"/>
                <w:sz w:val="20"/>
                <w:szCs w:val="20"/>
              </w:rPr>
            </w:pPr>
            <w:r w:rsidRPr="007C51D6">
              <w:rPr>
                <w:color w:val="000000"/>
                <w:sz w:val="20"/>
                <w:szCs w:val="20"/>
              </w:rPr>
              <w:t>Заинский</w:t>
            </w:r>
          </w:p>
        </w:tc>
        <w:tc>
          <w:tcPr>
            <w:tcW w:w="1248" w:type="dxa"/>
            <w:shd w:val="clear" w:color="auto" w:fill="auto"/>
            <w:hideMark/>
          </w:tcPr>
          <w:p w:rsidR="00A52121" w:rsidRPr="007C51D6" w:rsidRDefault="00A52121" w:rsidP="00A52121">
            <w:pPr>
              <w:autoSpaceDE/>
              <w:autoSpaceDN/>
              <w:adjustRightInd/>
              <w:spacing w:line="233" w:lineRule="auto"/>
              <w:jc w:val="center"/>
              <w:rPr>
                <w:color w:val="000000"/>
                <w:sz w:val="20"/>
                <w:szCs w:val="20"/>
              </w:rPr>
            </w:pPr>
            <w:r w:rsidRPr="007C51D6">
              <w:rPr>
                <w:color w:val="000000"/>
                <w:sz w:val="20"/>
                <w:szCs w:val="20"/>
              </w:rPr>
              <w:t>2 305,75</w:t>
            </w:r>
          </w:p>
        </w:tc>
        <w:tc>
          <w:tcPr>
            <w:tcW w:w="1247" w:type="dxa"/>
            <w:shd w:val="clear" w:color="auto" w:fill="auto"/>
            <w:hideMark/>
          </w:tcPr>
          <w:p w:rsidR="00A52121" w:rsidRPr="007C51D6" w:rsidRDefault="00A52121" w:rsidP="00A52121">
            <w:pPr>
              <w:autoSpaceDE/>
              <w:autoSpaceDN/>
              <w:adjustRightInd/>
              <w:spacing w:line="233" w:lineRule="auto"/>
              <w:jc w:val="center"/>
              <w:rPr>
                <w:color w:val="000000"/>
                <w:sz w:val="20"/>
                <w:szCs w:val="20"/>
              </w:rPr>
            </w:pPr>
            <w:r w:rsidRPr="007C51D6">
              <w:rPr>
                <w:color w:val="000000"/>
                <w:sz w:val="20"/>
                <w:szCs w:val="20"/>
              </w:rPr>
              <w:t>2 495,15</w:t>
            </w:r>
          </w:p>
        </w:tc>
        <w:tc>
          <w:tcPr>
            <w:tcW w:w="1276" w:type="dxa"/>
            <w:shd w:val="clear" w:color="auto" w:fill="auto"/>
            <w:hideMark/>
          </w:tcPr>
          <w:p w:rsidR="00A52121" w:rsidRPr="007C51D6" w:rsidRDefault="00A52121" w:rsidP="00A52121">
            <w:pPr>
              <w:autoSpaceDE/>
              <w:autoSpaceDN/>
              <w:adjustRightInd/>
              <w:spacing w:line="233" w:lineRule="auto"/>
              <w:jc w:val="center"/>
              <w:rPr>
                <w:color w:val="000000"/>
                <w:sz w:val="20"/>
                <w:szCs w:val="20"/>
              </w:rPr>
            </w:pPr>
            <w:r w:rsidRPr="007C51D6">
              <w:rPr>
                <w:color w:val="000000"/>
                <w:sz w:val="20"/>
                <w:szCs w:val="20"/>
              </w:rPr>
              <w:t>2 702,56</w:t>
            </w:r>
          </w:p>
        </w:tc>
        <w:tc>
          <w:tcPr>
            <w:tcW w:w="1162" w:type="dxa"/>
            <w:shd w:val="clear" w:color="auto" w:fill="auto"/>
            <w:hideMark/>
          </w:tcPr>
          <w:p w:rsidR="00A52121" w:rsidRPr="007C51D6" w:rsidRDefault="00A52121" w:rsidP="00A52121">
            <w:pPr>
              <w:autoSpaceDE/>
              <w:autoSpaceDN/>
              <w:adjustRightInd/>
              <w:spacing w:line="233" w:lineRule="auto"/>
              <w:jc w:val="center"/>
              <w:rPr>
                <w:color w:val="000000"/>
                <w:sz w:val="20"/>
                <w:szCs w:val="20"/>
              </w:rPr>
            </w:pPr>
            <w:r w:rsidRPr="007C51D6">
              <w:rPr>
                <w:color w:val="000000"/>
                <w:sz w:val="20"/>
                <w:szCs w:val="20"/>
              </w:rPr>
              <w:t>2 957,13</w:t>
            </w:r>
          </w:p>
        </w:tc>
        <w:tc>
          <w:tcPr>
            <w:tcW w:w="1219" w:type="dxa"/>
            <w:shd w:val="clear" w:color="auto" w:fill="auto"/>
            <w:hideMark/>
          </w:tcPr>
          <w:p w:rsidR="00A52121" w:rsidRPr="007C51D6" w:rsidRDefault="00A52121" w:rsidP="00A52121">
            <w:pPr>
              <w:autoSpaceDE/>
              <w:autoSpaceDN/>
              <w:adjustRightInd/>
              <w:spacing w:line="233" w:lineRule="auto"/>
              <w:jc w:val="center"/>
              <w:rPr>
                <w:color w:val="000000"/>
                <w:sz w:val="20"/>
                <w:szCs w:val="20"/>
              </w:rPr>
            </w:pPr>
            <w:r w:rsidRPr="007C51D6">
              <w:rPr>
                <w:color w:val="000000"/>
                <w:sz w:val="20"/>
                <w:szCs w:val="20"/>
              </w:rPr>
              <w:t>3 067,15</w:t>
            </w:r>
          </w:p>
        </w:tc>
        <w:tc>
          <w:tcPr>
            <w:tcW w:w="1163" w:type="dxa"/>
          </w:tcPr>
          <w:p w:rsidR="00A52121" w:rsidRPr="007C51D6" w:rsidRDefault="00A52121" w:rsidP="00A52121">
            <w:pPr>
              <w:spacing w:line="233" w:lineRule="auto"/>
              <w:jc w:val="center"/>
              <w:rPr>
                <w:color w:val="000000"/>
                <w:sz w:val="20"/>
                <w:szCs w:val="20"/>
              </w:rPr>
            </w:pPr>
            <w:r w:rsidRPr="007C51D6">
              <w:rPr>
                <w:color w:val="000000"/>
                <w:sz w:val="20"/>
                <w:szCs w:val="20"/>
              </w:rPr>
              <w:t>2 819,57</w:t>
            </w:r>
          </w:p>
        </w:tc>
        <w:tc>
          <w:tcPr>
            <w:tcW w:w="1162" w:type="dxa"/>
          </w:tcPr>
          <w:p w:rsidR="00A52121" w:rsidRPr="007C51D6" w:rsidRDefault="00A52121" w:rsidP="00A52121">
            <w:pPr>
              <w:spacing w:line="233" w:lineRule="auto"/>
              <w:jc w:val="center"/>
              <w:rPr>
                <w:color w:val="000000"/>
                <w:sz w:val="20"/>
                <w:szCs w:val="20"/>
              </w:rPr>
            </w:pPr>
            <w:r w:rsidRPr="007C51D6">
              <w:rPr>
                <w:color w:val="000000"/>
                <w:sz w:val="20"/>
                <w:szCs w:val="20"/>
              </w:rPr>
              <w:t>2 829,04</w:t>
            </w:r>
          </w:p>
        </w:tc>
        <w:tc>
          <w:tcPr>
            <w:tcW w:w="1162" w:type="dxa"/>
          </w:tcPr>
          <w:p w:rsidR="00A52121" w:rsidRPr="007C51D6" w:rsidRDefault="00A52121" w:rsidP="00A52121">
            <w:pPr>
              <w:spacing w:line="233" w:lineRule="auto"/>
              <w:jc w:val="center"/>
              <w:rPr>
                <w:color w:val="000000"/>
                <w:sz w:val="20"/>
                <w:szCs w:val="20"/>
              </w:rPr>
            </w:pPr>
            <w:r w:rsidRPr="007C51D6">
              <w:rPr>
                <w:color w:val="000000"/>
                <w:sz w:val="20"/>
                <w:szCs w:val="20"/>
              </w:rPr>
              <w:t>2927,36</w:t>
            </w:r>
          </w:p>
        </w:tc>
        <w:tc>
          <w:tcPr>
            <w:tcW w:w="1248" w:type="dxa"/>
            <w:vAlign w:val="center"/>
          </w:tcPr>
          <w:p w:rsidR="00A52121" w:rsidRPr="007C51D6" w:rsidRDefault="00A52121" w:rsidP="00A52121">
            <w:pPr>
              <w:spacing w:line="233" w:lineRule="auto"/>
              <w:jc w:val="center"/>
              <w:rPr>
                <w:color w:val="000000"/>
                <w:sz w:val="20"/>
                <w:szCs w:val="20"/>
              </w:rPr>
            </w:pPr>
            <w:r w:rsidRPr="007C51D6">
              <w:rPr>
                <w:color w:val="000000"/>
                <w:sz w:val="20"/>
                <w:szCs w:val="20"/>
              </w:rPr>
              <w:t>3171,38</w:t>
            </w:r>
          </w:p>
        </w:tc>
        <w:tc>
          <w:tcPr>
            <w:tcW w:w="1248" w:type="dxa"/>
            <w:vAlign w:val="center"/>
          </w:tcPr>
          <w:p w:rsidR="00A52121" w:rsidRPr="007C51D6" w:rsidRDefault="00A52121" w:rsidP="00A52121">
            <w:pPr>
              <w:jc w:val="center"/>
              <w:rPr>
                <w:color w:val="000000"/>
                <w:sz w:val="20"/>
                <w:szCs w:val="20"/>
              </w:rPr>
            </w:pPr>
            <w:r w:rsidRPr="007C51D6">
              <w:rPr>
                <w:color w:val="000000"/>
                <w:sz w:val="20"/>
                <w:szCs w:val="20"/>
              </w:rPr>
              <w:t>3189.57</w:t>
            </w:r>
          </w:p>
        </w:tc>
      </w:tr>
      <w:tr w:rsidR="00A52121" w:rsidRPr="007C51D6" w:rsidTr="00080BEF">
        <w:tblPrEx>
          <w:tblBorders>
            <w:bottom w:val="single" w:sz="4" w:space="0" w:color="auto"/>
          </w:tblBorders>
          <w:tblCellMar>
            <w:top w:w="11" w:type="dxa"/>
            <w:bottom w:w="11" w:type="dxa"/>
          </w:tblCellMar>
        </w:tblPrEx>
        <w:trPr>
          <w:trHeight w:val="20"/>
        </w:trPr>
        <w:tc>
          <w:tcPr>
            <w:tcW w:w="3114" w:type="dxa"/>
            <w:shd w:val="clear" w:color="auto" w:fill="auto"/>
            <w:hideMark/>
          </w:tcPr>
          <w:p w:rsidR="00A52121" w:rsidRPr="007C51D6" w:rsidRDefault="00A52121" w:rsidP="00A52121">
            <w:pPr>
              <w:autoSpaceDE/>
              <w:autoSpaceDN/>
              <w:adjustRightInd/>
              <w:spacing w:line="233" w:lineRule="auto"/>
              <w:rPr>
                <w:color w:val="000000"/>
                <w:sz w:val="20"/>
                <w:szCs w:val="20"/>
              </w:rPr>
            </w:pPr>
            <w:r w:rsidRPr="007C51D6">
              <w:rPr>
                <w:color w:val="000000"/>
                <w:sz w:val="20"/>
                <w:szCs w:val="20"/>
              </w:rPr>
              <w:t>Зеленодольский</w:t>
            </w:r>
          </w:p>
        </w:tc>
        <w:tc>
          <w:tcPr>
            <w:tcW w:w="1248" w:type="dxa"/>
            <w:shd w:val="clear" w:color="auto" w:fill="auto"/>
            <w:hideMark/>
          </w:tcPr>
          <w:p w:rsidR="00A52121" w:rsidRPr="007C51D6" w:rsidRDefault="00A52121" w:rsidP="00A52121">
            <w:pPr>
              <w:autoSpaceDE/>
              <w:autoSpaceDN/>
              <w:adjustRightInd/>
              <w:spacing w:line="233" w:lineRule="auto"/>
              <w:jc w:val="center"/>
              <w:rPr>
                <w:color w:val="000000"/>
                <w:sz w:val="20"/>
                <w:szCs w:val="20"/>
              </w:rPr>
            </w:pPr>
            <w:r w:rsidRPr="007C51D6">
              <w:rPr>
                <w:color w:val="000000"/>
                <w:sz w:val="20"/>
                <w:szCs w:val="20"/>
              </w:rPr>
              <w:t>2 793,98</w:t>
            </w:r>
          </w:p>
        </w:tc>
        <w:tc>
          <w:tcPr>
            <w:tcW w:w="1247" w:type="dxa"/>
            <w:shd w:val="clear" w:color="auto" w:fill="auto"/>
            <w:hideMark/>
          </w:tcPr>
          <w:p w:rsidR="00A52121" w:rsidRPr="007C51D6" w:rsidRDefault="00A52121" w:rsidP="00A52121">
            <w:pPr>
              <w:autoSpaceDE/>
              <w:autoSpaceDN/>
              <w:adjustRightInd/>
              <w:spacing w:line="233" w:lineRule="auto"/>
              <w:jc w:val="center"/>
              <w:rPr>
                <w:color w:val="000000"/>
                <w:sz w:val="20"/>
                <w:szCs w:val="20"/>
              </w:rPr>
            </w:pPr>
            <w:r w:rsidRPr="007C51D6">
              <w:rPr>
                <w:color w:val="000000"/>
                <w:sz w:val="20"/>
                <w:szCs w:val="20"/>
              </w:rPr>
              <w:t>2 941,02</w:t>
            </w:r>
          </w:p>
        </w:tc>
        <w:tc>
          <w:tcPr>
            <w:tcW w:w="1276" w:type="dxa"/>
            <w:shd w:val="clear" w:color="auto" w:fill="auto"/>
            <w:hideMark/>
          </w:tcPr>
          <w:p w:rsidR="00A52121" w:rsidRPr="007C51D6" w:rsidRDefault="00A52121" w:rsidP="00A52121">
            <w:pPr>
              <w:autoSpaceDE/>
              <w:autoSpaceDN/>
              <w:adjustRightInd/>
              <w:spacing w:line="233" w:lineRule="auto"/>
              <w:jc w:val="center"/>
              <w:rPr>
                <w:color w:val="000000"/>
                <w:sz w:val="20"/>
                <w:szCs w:val="20"/>
              </w:rPr>
            </w:pPr>
            <w:r w:rsidRPr="007C51D6">
              <w:rPr>
                <w:color w:val="000000"/>
                <w:sz w:val="20"/>
                <w:szCs w:val="20"/>
              </w:rPr>
              <w:t>3 125,96</w:t>
            </w:r>
          </w:p>
        </w:tc>
        <w:tc>
          <w:tcPr>
            <w:tcW w:w="1162" w:type="dxa"/>
            <w:shd w:val="clear" w:color="auto" w:fill="auto"/>
            <w:hideMark/>
          </w:tcPr>
          <w:p w:rsidR="00A52121" w:rsidRPr="007C51D6" w:rsidRDefault="00A52121" w:rsidP="00A52121">
            <w:pPr>
              <w:autoSpaceDE/>
              <w:autoSpaceDN/>
              <w:adjustRightInd/>
              <w:spacing w:line="233" w:lineRule="auto"/>
              <w:jc w:val="center"/>
              <w:rPr>
                <w:color w:val="000000"/>
                <w:sz w:val="20"/>
                <w:szCs w:val="20"/>
              </w:rPr>
            </w:pPr>
            <w:r w:rsidRPr="007C51D6">
              <w:rPr>
                <w:color w:val="000000"/>
                <w:sz w:val="20"/>
                <w:szCs w:val="20"/>
              </w:rPr>
              <w:t>3 256,86</w:t>
            </w:r>
          </w:p>
        </w:tc>
        <w:tc>
          <w:tcPr>
            <w:tcW w:w="1219" w:type="dxa"/>
            <w:shd w:val="clear" w:color="auto" w:fill="auto"/>
            <w:hideMark/>
          </w:tcPr>
          <w:p w:rsidR="00A52121" w:rsidRPr="007C51D6" w:rsidRDefault="00A52121" w:rsidP="00A52121">
            <w:pPr>
              <w:autoSpaceDE/>
              <w:autoSpaceDN/>
              <w:adjustRightInd/>
              <w:spacing w:line="233" w:lineRule="auto"/>
              <w:jc w:val="center"/>
              <w:rPr>
                <w:color w:val="000000"/>
                <w:sz w:val="20"/>
                <w:szCs w:val="20"/>
              </w:rPr>
            </w:pPr>
            <w:r w:rsidRPr="007C51D6">
              <w:rPr>
                <w:color w:val="000000"/>
                <w:sz w:val="20"/>
                <w:szCs w:val="20"/>
              </w:rPr>
              <w:t>3 366,18</w:t>
            </w:r>
          </w:p>
        </w:tc>
        <w:tc>
          <w:tcPr>
            <w:tcW w:w="1163" w:type="dxa"/>
          </w:tcPr>
          <w:p w:rsidR="00A52121" w:rsidRPr="007C51D6" w:rsidRDefault="00A52121" w:rsidP="00A52121">
            <w:pPr>
              <w:spacing w:line="233" w:lineRule="auto"/>
              <w:jc w:val="center"/>
              <w:rPr>
                <w:color w:val="000000"/>
                <w:sz w:val="20"/>
                <w:szCs w:val="20"/>
              </w:rPr>
            </w:pPr>
            <w:r w:rsidRPr="007C51D6">
              <w:rPr>
                <w:color w:val="000000"/>
                <w:sz w:val="20"/>
                <w:szCs w:val="20"/>
              </w:rPr>
              <w:t>2 892,65</w:t>
            </w:r>
          </w:p>
        </w:tc>
        <w:tc>
          <w:tcPr>
            <w:tcW w:w="1162" w:type="dxa"/>
          </w:tcPr>
          <w:p w:rsidR="00A52121" w:rsidRPr="007C51D6" w:rsidRDefault="00A52121" w:rsidP="00A52121">
            <w:pPr>
              <w:spacing w:line="233" w:lineRule="auto"/>
              <w:jc w:val="center"/>
              <w:rPr>
                <w:color w:val="000000"/>
                <w:sz w:val="20"/>
                <w:szCs w:val="20"/>
              </w:rPr>
            </w:pPr>
            <w:r w:rsidRPr="007C51D6">
              <w:rPr>
                <w:color w:val="000000"/>
                <w:sz w:val="20"/>
                <w:szCs w:val="20"/>
              </w:rPr>
              <w:t>2 953,04</w:t>
            </w:r>
          </w:p>
        </w:tc>
        <w:tc>
          <w:tcPr>
            <w:tcW w:w="1162" w:type="dxa"/>
          </w:tcPr>
          <w:p w:rsidR="00A52121" w:rsidRPr="007C51D6" w:rsidRDefault="00A52121" w:rsidP="00A52121">
            <w:pPr>
              <w:spacing w:line="233" w:lineRule="auto"/>
              <w:jc w:val="center"/>
              <w:rPr>
                <w:color w:val="000000"/>
                <w:sz w:val="20"/>
                <w:szCs w:val="20"/>
              </w:rPr>
            </w:pPr>
            <w:r w:rsidRPr="007C51D6">
              <w:rPr>
                <w:color w:val="000000"/>
                <w:sz w:val="20"/>
                <w:szCs w:val="20"/>
              </w:rPr>
              <w:t>3018,09</w:t>
            </w:r>
          </w:p>
        </w:tc>
        <w:tc>
          <w:tcPr>
            <w:tcW w:w="1248" w:type="dxa"/>
            <w:vAlign w:val="center"/>
          </w:tcPr>
          <w:p w:rsidR="00A52121" w:rsidRPr="007C51D6" w:rsidRDefault="00A52121" w:rsidP="00A52121">
            <w:pPr>
              <w:spacing w:line="233" w:lineRule="auto"/>
              <w:jc w:val="center"/>
              <w:rPr>
                <w:color w:val="000000"/>
                <w:sz w:val="20"/>
                <w:szCs w:val="20"/>
              </w:rPr>
            </w:pPr>
            <w:r w:rsidRPr="007C51D6">
              <w:rPr>
                <w:color w:val="000000"/>
                <w:sz w:val="20"/>
                <w:szCs w:val="20"/>
              </w:rPr>
              <w:t>3160,81</w:t>
            </w:r>
          </w:p>
        </w:tc>
        <w:tc>
          <w:tcPr>
            <w:tcW w:w="1248" w:type="dxa"/>
            <w:vAlign w:val="center"/>
          </w:tcPr>
          <w:p w:rsidR="00A52121" w:rsidRPr="007C51D6" w:rsidRDefault="00A52121" w:rsidP="00A52121">
            <w:pPr>
              <w:jc w:val="center"/>
              <w:rPr>
                <w:color w:val="000000"/>
                <w:sz w:val="20"/>
                <w:szCs w:val="20"/>
              </w:rPr>
            </w:pPr>
            <w:r w:rsidRPr="007C51D6">
              <w:rPr>
                <w:color w:val="000000"/>
                <w:sz w:val="20"/>
                <w:szCs w:val="20"/>
              </w:rPr>
              <w:t>3273.99</w:t>
            </w:r>
          </w:p>
        </w:tc>
      </w:tr>
      <w:tr w:rsidR="00A52121" w:rsidRPr="007C51D6" w:rsidTr="00080BEF">
        <w:tblPrEx>
          <w:tblBorders>
            <w:bottom w:val="single" w:sz="4" w:space="0" w:color="auto"/>
          </w:tblBorders>
          <w:tblCellMar>
            <w:top w:w="11" w:type="dxa"/>
            <w:bottom w:w="11" w:type="dxa"/>
          </w:tblCellMar>
        </w:tblPrEx>
        <w:trPr>
          <w:trHeight w:val="20"/>
        </w:trPr>
        <w:tc>
          <w:tcPr>
            <w:tcW w:w="3114" w:type="dxa"/>
            <w:shd w:val="clear" w:color="auto" w:fill="auto"/>
            <w:hideMark/>
          </w:tcPr>
          <w:p w:rsidR="00A52121" w:rsidRPr="007C51D6" w:rsidRDefault="00A52121" w:rsidP="00A52121">
            <w:pPr>
              <w:autoSpaceDE/>
              <w:autoSpaceDN/>
              <w:adjustRightInd/>
              <w:spacing w:line="233" w:lineRule="auto"/>
              <w:rPr>
                <w:color w:val="000000"/>
                <w:sz w:val="20"/>
                <w:szCs w:val="20"/>
              </w:rPr>
            </w:pPr>
            <w:r w:rsidRPr="007C51D6">
              <w:rPr>
                <w:color w:val="000000"/>
                <w:sz w:val="20"/>
                <w:szCs w:val="20"/>
              </w:rPr>
              <w:t>Кайбицкий</w:t>
            </w:r>
          </w:p>
        </w:tc>
        <w:tc>
          <w:tcPr>
            <w:tcW w:w="1248" w:type="dxa"/>
            <w:shd w:val="clear" w:color="auto" w:fill="auto"/>
            <w:hideMark/>
          </w:tcPr>
          <w:p w:rsidR="00A52121" w:rsidRPr="007C51D6" w:rsidRDefault="00A52121" w:rsidP="00A52121">
            <w:pPr>
              <w:autoSpaceDE/>
              <w:autoSpaceDN/>
              <w:adjustRightInd/>
              <w:spacing w:line="233" w:lineRule="auto"/>
              <w:jc w:val="center"/>
              <w:rPr>
                <w:color w:val="000000"/>
                <w:sz w:val="20"/>
                <w:szCs w:val="20"/>
              </w:rPr>
            </w:pPr>
            <w:r w:rsidRPr="007C51D6">
              <w:rPr>
                <w:color w:val="000000"/>
                <w:sz w:val="20"/>
                <w:szCs w:val="20"/>
              </w:rPr>
              <w:t>2 301,36</w:t>
            </w:r>
          </w:p>
        </w:tc>
        <w:tc>
          <w:tcPr>
            <w:tcW w:w="1247" w:type="dxa"/>
            <w:shd w:val="clear" w:color="auto" w:fill="auto"/>
            <w:hideMark/>
          </w:tcPr>
          <w:p w:rsidR="00A52121" w:rsidRPr="007C51D6" w:rsidRDefault="00A52121" w:rsidP="00A52121">
            <w:pPr>
              <w:autoSpaceDE/>
              <w:autoSpaceDN/>
              <w:adjustRightInd/>
              <w:spacing w:line="233" w:lineRule="auto"/>
              <w:jc w:val="center"/>
              <w:rPr>
                <w:color w:val="000000"/>
                <w:sz w:val="20"/>
                <w:szCs w:val="20"/>
              </w:rPr>
            </w:pPr>
            <w:r w:rsidRPr="007C51D6">
              <w:rPr>
                <w:color w:val="000000"/>
                <w:sz w:val="20"/>
                <w:szCs w:val="20"/>
              </w:rPr>
              <w:t>2 477,57</w:t>
            </w:r>
          </w:p>
        </w:tc>
        <w:tc>
          <w:tcPr>
            <w:tcW w:w="1276" w:type="dxa"/>
            <w:shd w:val="clear" w:color="auto" w:fill="auto"/>
            <w:hideMark/>
          </w:tcPr>
          <w:p w:rsidR="00A52121" w:rsidRPr="007C51D6" w:rsidRDefault="00A52121" w:rsidP="00A52121">
            <w:pPr>
              <w:autoSpaceDE/>
              <w:autoSpaceDN/>
              <w:adjustRightInd/>
              <w:spacing w:line="233" w:lineRule="auto"/>
              <w:jc w:val="center"/>
              <w:rPr>
                <w:color w:val="000000"/>
                <w:sz w:val="20"/>
                <w:szCs w:val="20"/>
              </w:rPr>
            </w:pPr>
            <w:r w:rsidRPr="007C51D6">
              <w:rPr>
                <w:color w:val="000000"/>
                <w:sz w:val="20"/>
                <w:szCs w:val="20"/>
              </w:rPr>
              <w:t>2 673,30</w:t>
            </w:r>
          </w:p>
        </w:tc>
        <w:tc>
          <w:tcPr>
            <w:tcW w:w="1162" w:type="dxa"/>
            <w:shd w:val="clear" w:color="auto" w:fill="auto"/>
            <w:hideMark/>
          </w:tcPr>
          <w:p w:rsidR="00A52121" w:rsidRPr="007C51D6" w:rsidRDefault="00A52121" w:rsidP="00A52121">
            <w:pPr>
              <w:autoSpaceDE/>
              <w:autoSpaceDN/>
              <w:adjustRightInd/>
              <w:spacing w:line="233" w:lineRule="auto"/>
              <w:jc w:val="center"/>
              <w:rPr>
                <w:color w:val="000000"/>
                <w:sz w:val="20"/>
                <w:szCs w:val="20"/>
              </w:rPr>
            </w:pPr>
            <w:r w:rsidRPr="007C51D6">
              <w:rPr>
                <w:color w:val="000000"/>
                <w:sz w:val="20"/>
                <w:szCs w:val="20"/>
              </w:rPr>
              <w:t>2 808,87</w:t>
            </w:r>
          </w:p>
        </w:tc>
        <w:tc>
          <w:tcPr>
            <w:tcW w:w="1219" w:type="dxa"/>
            <w:shd w:val="clear" w:color="auto" w:fill="auto"/>
            <w:hideMark/>
          </w:tcPr>
          <w:p w:rsidR="00A52121" w:rsidRPr="007C51D6" w:rsidRDefault="00A52121" w:rsidP="00A52121">
            <w:pPr>
              <w:autoSpaceDE/>
              <w:autoSpaceDN/>
              <w:adjustRightInd/>
              <w:spacing w:line="233" w:lineRule="auto"/>
              <w:jc w:val="center"/>
              <w:rPr>
                <w:color w:val="000000"/>
                <w:sz w:val="20"/>
                <w:szCs w:val="20"/>
              </w:rPr>
            </w:pPr>
            <w:r w:rsidRPr="007C51D6">
              <w:rPr>
                <w:color w:val="000000"/>
                <w:sz w:val="20"/>
                <w:szCs w:val="20"/>
              </w:rPr>
              <w:t>2 884,83</w:t>
            </w:r>
          </w:p>
        </w:tc>
        <w:tc>
          <w:tcPr>
            <w:tcW w:w="1163" w:type="dxa"/>
          </w:tcPr>
          <w:p w:rsidR="00A52121" w:rsidRPr="007C51D6" w:rsidRDefault="00A52121" w:rsidP="00A52121">
            <w:pPr>
              <w:spacing w:line="233" w:lineRule="auto"/>
              <w:jc w:val="center"/>
              <w:rPr>
                <w:color w:val="000000"/>
                <w:sz w:val="20"/>
                <w:szCs w:val="20"/>
              </w:rPr>
            </w:pPr>
            <w:r w:rsidRPr="007C51D6">
              <w:rPr>
                <w:color w:val="000000"/>
                <w:sz w:val="20"/>
                <w:szCs w:val="20"/>
              </w:rPr>
              <w:t>2 712,20</w:t>
            </w:r>
          </w:p>
        </w:tc>
        <w:tc>
          <w:tcPr>
            <w:tcW w:w="1162" w:type="dxa"/>
          </w:tcPr>
          <w:p w:rsidR="00A52121" w:rsidRPr="007C51D6" w:rsidRDefault="00A52121" w:rsidP="00A52121">
            <w:pPr>
              <w:spacing w:line="233" w:lineRule="auto"/>
              <w:jc w:val="center"/>
              <w:rPr>
                <w:color w:val="000000"/>
                <w:sz w:val="20"/>
                <w:szCs w:val="20"/>
              </w:rPr>
            </w:pPr>
            <w:r w:rsidRPr="007C51D6">
              <w:rPr>
                <w:color w:val="000000"/>
                <w:sz w:val="20"/>
                <w:szCs w:val="20"/>
              </w:rPr>
              <w:t>2 773,32</w:t>
            </w:r>
          </w:p>
        </w:tc>
        <w:tc>
          <w:tcPr>
            <w:tcW w:w="1162" w:type="dxa"/>
          </w:tcPr>
          <w:p w:rsidR="00A52121" w:rsidRPr="007C51D6" w:rsidRDefault="00A52121" w:rsidP="00A52121">
            <w:pPr>
              <w:spacing w:line="233" w:lineRule="auto"/>
              <w:jc w:val="center"/>
              <w:rPr>
                <w:color w:val="000000"/>
                <w:sz w:val="20"/>
                <w:szCs w:val="20"/>
              </w:rPr>
            </w:pPr>
            <w:r w:rsidRPr="007C51D6">
              <w:rPr>
                <w:color w:val="000000"/>
                <w:sz w:val="20"/>
                <w:szCs w:val="20"/>
              </w:rPr>
              <w:t>3002,69</w:t>
            </w:r>
          </w:p>
        </w:tc>
        <w:tc>
          <w:tcPr>
            <w:tcW w:w="1248" w:type="dxa"/>
            <w:vAlign w:val="center"/>
          </w:tcPr>
          <w:p w:rsidR="00A52121" w:rsidRPr="007C51D6" w:rsidRDefault="00A52121" w:rsidP="00A52121">
            <w:pPr>
              <w:spacing w:line="233" w:lineRule="auto"/>
              <w:jc w:val="center"/>
              <w:rPr>
                <w:color w:val="000000"/>
                <w:sz w:val="20"/>
                <w:szCs w:val="20"/>
              </w:rPr>
            </w:pPr>
            <w:r w:rsidRPr="007C51D6">
              <w:rPr>
                <w:color w:val="000000"/>
                <w:sz w:val="20"/>
                <w:szCs w:val="20"/>
              </w:rPr>
              <w:t>3219,83</w:t>
            </w:r>
          </w:p>
        </w:tc>
        <w:tc>
          <w:tcPr>
            <w:tcW w:w="1248" w:type="dxa"/>
            <w:vAlign w:val="center"/>
          </w:tcPr>
          <w:p w:rsidR="00A52121" w:rsidRPr="007C51D6" w:rsidRDefault="00A52121" w:rsidP="00A52121">
            <w:pPr>
              <w:jc w:val="center"/>
              <w:rPr>
                <w:color w:val="000000"/>
                <w:sz w:val="20"/>
                <w:szCs w:val="20"/>
              </w:rPr>
            </w:pPr>
            <w:r w:rsidRPr="007C51D6">
              <w:rPr>
                <w:color w:val="000000"/>
                <w:sz w:val="20"/>
                <w:szCs w:val="20"/>
              </w:rPr>
              <w:t>3247.23</w:t>
            </w:r>
          </w:p>
        </w:tc>
      </w:tr>
      <w:tr w:rsidR="00A52121" w:rsidRPr="007C51D6" w:rsidTr="00080BEF">
        <w:tblPrEx>
          <w:tblBorders>
            <w:bottom w:val="single" w:sz="4" w:space="0" w:color="auto"/>
          </w:tblBorders>
          <w:tblCellMar>
            <w:top w:w="11" w:type="dxa"/>
            <w:bottom w:w="11" w:type="dxa"/>
          </w:tblCellMar>
        </w:tblPrEx>
        <w:trPr>
          <w:trHeight w:val="20"/>
        </w:trPr>
        <w:tc>
          <w:tcPr>
            <w:tcW w:w="3114" w:type="dxa"/>
            <w:shd w:val="clear" w:color="auto" w:fill="auto"/>
            <w:hideMark/>
          </w:tcPr>
          <w:p w:rsidR="00A52121" w:rsidRPr="007C51D6" w:rsidRDefault="00A52121" w:rsidP="00A52121">
            <w:pPr>
              <w:autoSpaceDE/>
              <w:autoSpaceDN/>
              <w:adjustRightInd/>
              <w:spacing w:line="233" w:lineRule="auto"/>
              <w:rPr>
                <w:color w:val="000000"/>
                <w:sz w:val="20"/>
                <w:szCs w:val="20"/>
              </w:rPr>
            </w:pPr>
            <w:r w:rsidRPr="007C51D6">
              <w:rPr>
                <w:color w:val="000000"/>
                <w:sz w:val="20"/>
                <w:szCs w:val="20"/>
              </w:rPr>
              <w:t>Камско-Устьинский</w:t>
            </w:r>
          </w:p>
        </w:tc>
        <w:tc>
          <w:tcPr>
            <w:tcW w:w="1248" w:type="dxa"/>
            <w:shd w:val="clear" w:color="auto" w:fill="auto"/>
            <w:hideMark/>
          </w:tcPr>
          <w:p w:rsidR="00A52121" w:rsidRPr="007C51D6" w:rsidRDefault="00A52121" w:rsidP="00A52121">
            <w:pPr>
              <w:autoSpaceDE/>
              <w:autoSpaceDN/>
              <w:adjustRightInd/>
              <w:spacing w:line="233" w:lineRule="auto"/>
              <w:jc w:val="center"/>
              <w:rPr>
                <w:color w:val="000000"/>
                <w:sz w:val="20"/>
                <w:szCs w:val="20"/>
              </w:rPr>
            </w:pPr>
            <w:r w:rsidRPr="007C51D6">
              <w:rPr>
                <w:color w:val="000000"/>
                <w:sz w:val="20"/>
                <w:szCs w:val="20"/>
              </w:rPr>
              <w:t>3 938,31</w:t>
            </w:r>
          </w:p>
        </w:tc>
        <w:tc>
          <w:tcPr>
            <w:tcW w:w="1247" w:type="dxa"/>
            <w:shd w:val="clear" w:color="auto" w:fill="auto"/>
            <w:hideMark/>
          </w:tcPr>
          <w:p w:rsidR="00A52121" w:rsidRPr="007C51D6" w:rsidRDefault="00A52121" w:rsidP="00A52121">
            <w:pPr>
              <w:autoSpaceDE/>
              <w:autoSpaceDN/>
              <w:adjustRightInd/>
              <w:spacing w:line="233" w:lineRule="auto"/>
              <w:jc w:val="center"/>
              <w:rPr>
                <w:color w:val="000000"/>
                <w:sz w:val="20"/>
                <w:szCs w:val="20"/>
              </w:rPr>
            </w:pPr>
            <w:r w:rsidRPr="007C51D6">
              <w:rPr>
                <w:color w:val="000000"/>
                <w:sz w:val="20"/>
                <w:szCs w:val="20"/>
              </w:rPr>
              <w:t>4 271,73</w:t>
            </w:r>
          </w:p>
        </w:tc>
        <w:tc>
          <w:tcPr>
            <w:tcW w:w="1276" w:type="dxa"/>
            <w:shd w:val="clear" w:color="auto" w:fill="auto"/>
            <w:hideMark/>
          </w:tcPr>
          <w:p w:rsidR="00A52121" w:rsidRPr="007C51D6" w:rsidRDefault="00A52121" w:rsidP="00A52121">
            <w:pPr>
              <w:autoSpaceDE/>
              <w:autoSpaceDN/>
              <w:adjustRightInd/>
              <w:spacing w:line="233" w:lineRule="auto"/>
              <w:jc w:val="center"/>
              <w:rPr>
                <w:color w:val="000000"/>
                <w:sz w:val="20"/>
                <w:szCs w:val="20"/>
              </w:rPr>
            </w:pPr>
            <w:r w:rsidRPr="007C51D6">
              <w:rPr>
                <w:color w:val="000000"/>
                <w:sz w:val="20"/>
                <w:szCs w:val="20"/>
              </w:rPr>
              <w:t>4 776,67</w:t>
            </w:r>
          </w:p>
        </w:tc>
        <w:tc>
          <w:tcPr>
            <w:tcW w:w="1162" w:type="dxa"/>
            <w:shd w:val="clear" w:color="auto" w:fill="auto"/>
            <w:hideMark/>
          </w:tcPr>
          <w:p w:rsidR="00A52121" w:rsidRPr="007C51D6" w:rsidRDefault="00A52121" w:rsidP="00A52121">
            <w:pPr>
              <w:autoSpaceDE/>
              <w:autoSpaceDN/>
              <w:adjustRightInd/>
              <w:spacing w:line="233" w:lineRule="auto"/>
              <w:jc w:val="center"/>
              <w:rPr>
                <w:color w:val="000000"/>
                <w:sz w:val="20"/>
                <w:szCs w:val="20"/>
              </w:rPr>
            </w:pPr>
            <w:r w:rsidRPr="007C51D6">
              <w:rPr>
                <w:color w:val="000000"/>
                <w:sz w:val="20"/>
                <w:szCs w:val="20"/>
              </w:rPr>
              <w:t>5 112,08</w:t>
            </w:r>
          </w:p>
        </w:tc>
        <w:tc>
          <w:tcPr>
            <w:tcW w:w="1219" w:type="dxa"/>
            <w:shd w:val="clear" w:color="auto" w:fill="auto"/>
            <w:hideMark/>
          </w:tcPr>
          <w:p w:rsidR="00A52121" w:rsidRPr="007C51D6" w:rsidRDefault="00A52121" w:rsidP="00A52121">
            <w:pPr>
              <w:autoSpaceDE/>
              <w:autoSpaceDN/>
              <w:adjustRightInd/>
              <w:spacing w:line="233" w:lineRule="auto"/>
              <w:jc w:val="center"/>
              <w:rPr>
                <w:color w:val="000000"/>
                <w:sz w:val="20"/>
                <w:szCs w:val="20"/>
              </w:rPr>
            </w:pPr>
            <w:r w:rsidRPr="007C51D6">
              <w:rPr>
                <w:color w:val="000000"/>
                <w:sz w:val="20"/>
                <w:szCs w:val="20"/>
              </w:rPr>
              <w:t>5 255,31</w:t>
            </w:r>
          </w:p>
        </w:tc>
        <w:tc>
          <w:tcPr>
            <w:tcW w:w="1163" w:type="dxa"/>
          </w:tcPr>
          <w:p w:rsidR="00A52121" w:rsidRPr="007C51D6" w:rsidRDefault="00A52121" w:rsidP="00A52121">
            <w:pPr>
              <w:spacing w:line="233" w:lineRule="auto"/>
              <w:jc w:val="center"/>
              <w:rPr>
                <w:color w:val="000000"/>
                <w:sz w:val="20"/>
                <w:szCs w:val="20"/>
              </w:rPr>
            </w:pPr>
            <w:r w:rsidRPr="007C51D6">
              <w:rPr>
                <w:color w:val="000000"/>
                <w:sz w:val="20"/>
                <w:szCs w:val="20"/>
              </w:rPr>
              <w:t>3 929,38</w:t>
            </w:r>
          </w:p>
        </w:tc>
        <w:tc>
          <w:tcPr>
            <w:tcW w:w="1162" w:type="dxa"/>
          </w:tcPr>
          <w:p w:rsidR="00A52121" w:rsidRPr="007C51D6" w:rsidRDefault="00A52121" w:rsidP="00A52121">
            <w:pPr>
              <w:spacing w:line="233" w:lineRule="auto"/>
              <w:jc w:val="center"/>
              <w:rPr>
                <w:color w:val="000000"/>
                <w:sz w:val="20"/>
                <w:szCs w:val="20"/>
              </w:rPr>
            </w:pPr>
            <w:r w:rsidRPr="007C51D6">
              <w:rPr>
                <w:color w:val="000000"/>
                <w:sz w:val="20"/>
                <w:szCs w:val="20"/>
              </w:rPr>
              <w:t>3 915,64</w:t>
            </w:r>
          </w:p>
        </w:tc>
        <w:tc>
          <w:tcPr>
            <w:tcW w:w="1162" w:type="dxa"/>
          </w:tcPr>
          <w:p w:rsidR="00A52121" w:rsidRPr="007C51D6" w:rsidRDefault="00A52121" w:rsidP="00A52121">
            <w:pPr>
              <w:spacing w:line="233" w:lineRule="auto"/>
              <w:jc w:val="center"/>
              <w:rPr>
                <w:color w:val="000000"/>
                <w:sz w:val="20"/>
                <w:szCs w:val="20"/>
              </w:rPr>
            </w:pPr>
            <w:r w:rsidRPr="007C51D6">
              <w:rPr>
                <w:color w:val="000000"/>
                <w:sz w:val="20"/>
                <w:szCs w:val="20"/>
              </w:rPr>
              <w:t>4103,46</w:t>
            </w:r>
          </w:p>
        </w:tc>
        <w:tc>
          <w:tcPr>
            <w:tcW w:w="1248" w:type="dxa"/>
            <w:vAlign w:val="center"/>
          </w:tcPr>
          <w:p w:rsidR="00A52121" w:rsidRPr="007C51D6" w:rsidRDefault="00A52121" w:rsidP="00A52121">
            <w:pPr>
              <w:spacing w:line="233" w:lineRule="auto"/>
              <w:jc w:val="center"/>
              <w:rPr>
                <w:color w:val="000000"/>
                <w:sz w:val="20"/>
                <w:szCs w:val="20"/>
              </w:rPr>
            </w:pPr>
            <w:r w:rsidRPr="007C51D6">
              <w:rPr>
                <w:color w:val="000000"/>
                <w:sz w:val="20"/>
                <w:szCs w:val="20"/>
              </w:rPr>
              <w:t>4386,52</w:t>
            </w:r>
          </w:p>
        </w:tc>
        <w:tc>
          <w:tcPr>
            <w:tcW w:w="1248" w:type="dxa"/>
            <w:vAlign w:val="center"/>
          </w:tcPr>
          <w:p w:rsidR="00A52121" w:rsidRPr="007C51D6" w:rsidRDefault="00A52121" w:rsidP="00A52121">
            <w:pPr>
              <w:jc w:val="center"/>
              <w:rPr>
                <w:color w:val="000000"/>
                <w:sz w:val="20"/>
                <w:szCs w:val="20"/>
              </w:rPr>
            </w:pPr>
            <w:r w:rsidRPr="007C51D6">
              <w:rPr>
                <w:color w:val="000000"/>
                <w:sz w:val="20"/>
                <w:szCs w:val="20"/>
              </w:rPr>
              <w:t>4176.22</w:t>
            </w:r>
          </w:p>
        </w:tc>
      </w:tr>
      <w:tr w:rsidR="00A52121" w:rsidRPr="007C51D6" w:rsidTr="00080BEF">
        <w:tblPrEx>
          <w:tblBorders>
            <w:bottom w:val="single" w:sz="4" w:space="0" w:color="auto"/>
          </w:tblBorders>
          <w:tblCellMar>
            <w:top w:w="11" w:type="dxa"/>
            <w:bottom w:w="11" w:type="dxa"/>
          </w:tblCellMar>
        </w:tblPrEx>
        <w:trPr>
          <w:trHeight w:val="20"/>
        </w:trPr>
        <w:tc>
          <w:tcPr>
            <w:tcW w:w="3114" w:type="dxa"/>
            <w:shd w:val="clear" w:color="auto" w:fill="auto"/>
            <w:hideMark/>
          </w:tcPr>
          <w:p w:rsidR="00A52121" w:rsidRPr="007C51D6" w:rsidRDefault="00A52121" w:rsidP="00A52121">
            <w:pPr>
              <w:autoSpaceDE/>
              <w:autoSpaceDN/>
              <w:adjustRightInd/>
              <w:spacing w:line="233" w:lineRule="auto"/>
              <w:rPr>
                <w:color w:val="000000"/>
                <w:sz w:val="20"/>
                <w:szCs w:val="20"/>
              </w:rPr>
            </w:pPr>
            <w:r w:rsidRPr="007C51D6">
              <w:rPr>
                <w:color w:val="000000"/>
                <w:sz w:val="20"/>
                <w:szCs w:val="20"/>
              </w:rPr>
              <w:t>Кукморский</w:t>
            </w:r>
          </w:p>
        </w:tc>
        <w:tc>
          <w:tcPr>
            <w:tcW w:w="1248" w:type="dxa"/>
            <w:shd w:val="clear" w:color="auto" w:fill="auto"/>
            <w:hideMark/>
          </w:tcPr>
          <w:p w:rsidR="00A52121" w:rsidRPr="007C51D6" w:rsidRDefault="00A52121" w:rsidP="00A52121">
            <w:pPr>
              <w:autoSpaceDE/>
              <w:autoSpaceDN/>
              <w:adjustRightInd/>
              <w:spacing w:line="233" w:lineRule="auto"/>
              <w:jc w:val="center"/>
              <w:rPr>
                <w:color w:val="000000"/>
                <w:sz w:val="20"/>
                <w:szCs w:val="20"/>
              </w:rPr>
            </w:pPr>
            <w:r w:rsidRPr="007C51D6">
              <w:rPr>
                <w:color w:val="000000"/>
                <w:sz w:val="20"/>
                <w:szCs w:val="20"/>
              </w:rPr>
              <w:t>2 112,28</w:t>
            </w:r>
          </w:p>
        </w:tc>
        <w:tc>
          <w:tcPr>
            <w:tcW w:w="1247" w:type="dxa"/>
            <w:shd w:val="clear" w:color="auto" w:fill="auto"/>
            <w:hideMark/>
          </w:tcPr>
          <w:p w:rsidR="00A52121" w:rsidRPr="007C51D6" w:rsidRDefault="00A52121" w:rsidP="00A52121">
            <w:pPr>
              <w:autoSpaceDE/>
              <w:autoSpaceDN/>
              <w:adjustRightInd/>
              <w:spacing w:line="233" w:lineRule="auto"/>
              <w:jc w:val="center"/>
              <w:rPr>
                <w:color w:val="000000"/>
                <w:sz w:val="20"/>
                <w:szCs w:val="20"/>
              </w:rPr>
            </w:pPr>
            <w:r w:rsidRPr="007C51D6">
              <w:rPr>
                <w:color w:val="000000"/>
                <w:sz w:val="20"/>
                <w:szCs w:val="20"/>
              </w:rPr>
              <w:t>2 230,31</w:t>
            </w:r>
          </w:p>
        </w:tc>
        <w:tc>
          <w:tcPr>
            <w:tcW w:w="1276" w:type="dxa"/>
            <w:shd w:val="clear" w:color="auto" w:fill="auto"/>
            <w:hideMark/>
          </w:tcPr>
          <w:p w:rsidR="00A52121" w:rsidRPr="007C51D6" w:rsidRDefault="00A52121" w:rsidP="00A52121">
            <w:pPr>
              <w:autoSpaceDE/>
              <w:autoSpaceDN/>
              <w:adjustRightInd/>
              <w:spacing w:line="233" w:lineRule="auto"/>
              <w:jc w:val="center"/>
              <w:rPr>
                <w:color w:val="000000"/>
                <w:sz w:val="20"/>
                <w:szCs w:val="20"/>
              </w:rPr>
            </w:pPr>
            <w:r w:rsidRPr="007C51D6">
              <w:rPr>
                <w:color w:val="000000"/>
                <w:sz w:val="20"/>
                <w:szCs w:val="20"/>
              </w:rPr>
              <w:t>2 312,70</w:t>
            </w:r>
          </w:p>
        </w:tc>
        <w:tc>
          <w:tcPr>
            <w:tcW w:w="1162" w:type="dxa"/>
            <w:shd w:val="clear" w:color="auto" w:fill="auto"/>
            <w:hideMark/>
          </w:tcPr>
          <w:p w:rsidR="00A52121" w:rsidRPr="007C51D6" w:rsidRDefault="00A52121" w:rsidP="00A52121">
            <w:pPr>
              <w:autoSpaceDE/>
              <w:autoSpaceDN/>
              <w:adjustRightInd/>
              <w:spacing w:line="233" w:lineRule="auto"/>
              <w:jc w:val="center"/>
              <w:rPr>
                <w:color w:val="000000"/>
                <w:sz w:val="20"/>
                <w:szCs w:val="20"/>
              </w:rPr>
            </w:pPr>
            <w:r w:rsidRPr="007C51D6">
              <w:rPr>
                <w:color w:val="000000"/>
                <w:sz w:val="20"/>
                <w:szCs w:val="20"/>
              </w:rPr>
              <w:t>2 357,82</w:t>
            </w:r>
          </w:p>
        </w:tc>
        <w:tc>
          <w:tcPr>
            <w:tcW w:w="1219" w:type="dxa"/>
            <w:shd w:val="clear" w:color="auto" w:fill="auto"/>
            <w:hideMark/>
          </w:tcPr>
          <w:p w:rsidR="00A52121" w:rsidRPr="007C51D6" w:rsidRDefault="00A52121" w:rsidP="00A52121">
            <w:pPr>
              <w:autoSpaceDE/>
              <w:autoSpaceDN/>
              <w:adjustRightInd/>
              <w:spacing w:line="233" w:lineRule="auto"/>
              <w:jc w:val="center"/>
              <w:rPr>
                <w:color w:val="000000"/>
                <w:sz w:val="20"/>
                <w:szCs w:val="20"/>
              </w:rPr>
            </w:pPr>
            <w:r w:rsidRPr="007C51D6">
              <w:rPr>
                <w:color w:val="000000"/>
                <w:sz w:val="20"/>
                <w:szCs w:val="20"/>
              </w:rPr>
              <w:t>2 267,90</w:t>
            </w:r>
          </w:p>
        </w:tc>
        <w:tc>
          <w:tcPr>
            <w:tcW w:w="1163" w:type="dxa"/>
          </w:tcPr>
          <w:p w:rsidR="00A52121" w:rsidRPr="007C51D6" w:rsidRDefault="00A52121" w:rsidP="00A52121">
            <w:pPr>
              <w:spacing w:line="233" w:lineRule="auto"/>
              <w:jc w:val="center"/>
              <w:rPr>
                <w:color w:val="000000"/>
                <w:sz w:val="20"/>
                <w:szCs w:val="20"/>
              </w:rPr>
            </w:pPr>
            <w:r w:rsidRPr="007C51D6">
              <w:rPr>
                <w:color w:val="000000"/>
                <w:sz w:val="20"/>
                <w:szCs w:val="20"/>
              </w:rPr>
              <w:t>2 173,83</w:t>
            </w:r>
          </w:p>
        </w:tc>
        <w:tc>
          <w:tcPr>
            <w:tcW w:w="1162" w:type="dxa"/>
          </w:tcPr>
          <w:p w:rsidR="00A52121" w:rsidRPr="007C51D6" w:rsidRDefault="00A52121" w:rsidP="00A52121">
            <w:pPr>
              <w:spacing w:line="233" w:lineRule="auto"/>
              <w:jc w:val="center"/>
              <w:rPr>
                <w:color w:val="000000"/>
                <w:sz w:val="20"/>
                <w:szCs w:val="20"/>
              </w:rPr>
            </w:pPr>
            <w:r w:rsidRPr="007C51D6">
              <w:rPr>
                <w:color w:val="000000"/>
                <w:sz w:val="20"/>
                <w:szCs w:val="20"/>
              </w:rPr>
              <w:t>2 211,34</w:t>
            </w:r>
          </w:p>
        </w:tc>
        <w:tc>
          <w:tcPr>
            <w:tcW w:w="1162" w:type="dxa"/>
          </w:tcPr>
          <w:p w:rsidR="00A52121" w:rsidRPr="007C51D6" w:rsidRDefault="00A52121" w:rsidP="00A52121">
            <w:pPr>
              <w:spacing w:line="233" w:lineRule="auto"/>
              <w:jc w:val="center"/>
              <w:rPr>
                <w:color w:val="000000"/>
                <w:sz w:val="20"/>
                <w:szCs w:val="20"/>
              </w:rPr>
            </w:pPr>
            <w:r w:rsidRPr="007C51D6">
              <w:rPr>
                <w:color w:val="000000"/>
                <w:sz w:val="20"/>
                <w:szCs w:val="20"/>
              </w:rPr>
              <w:t>2257,75</w:t>
            </w:r>
          </w:p>
        </w:tc>
        <w:tc>
          <w:tcPr>
            <w:tcW w:w="1248" w:type="dxa"/>
            <w:vAlign w:val="center"/>
          </w:tcPr>
          <w:p w:rsidR="00A52121" w:rsidRPr="007C51D6" w:rsidRDefault="00A52121" w:rsidP="00A52121">
            <w:pPr>
              <w:spacing w:line="233" w:lineRule="auto"/>
              <w:jc w:val="center"/>
              <w:rPr>
                <w:color w:val="000000"/>
                <w:sz w:val="20"/>
                <w:szCs w:val="20"/>
              </w:rPr>
            </w:pPr>
            <w:r w:rsidRPr="007C51D6">
              <w:rPr>
                <w:color w:val="000000"/>
                <w:sz w:val="20"/>
                <w:szCs w:val="20"/>
              </w:rPr>
              <w:t>2355,38</w:t>
            </w:r>
          </w:p>
        </w:tc>
        <w:tc>
          <w:tcPr>
            <w:tcW w:w="1248" w:type="dxa"/>
            <w:vAlign w:val="center"/>
          </w:tcPr>
          <w:p w:rsidR="00A52121" w:rsidRPr="007C51D6" w:rsidRDefault="00A52121" w:rsidP="00A52121">
            <w:pPr>
              <w:jc w:val="center"/>
              <w:rPr>
                <w:color w:val="000000"/>
                <w:sz w:val="20"/>
                <w:szCs w:val="20"/>
              </w:rPr>
            </w:pPr>
            <w:r w:rsidRPr="007C51D6">
              <w:rPr>
                <w:color w:val="000000"/>
                <w:sz w:val="20"/>
                <w:szCs w:val="20"/>
              </w:rPr>
              <w:t>2660.80</w:t>
            </w:r>
          </w:p>
        </w:tc>
      </w:tr>
      <w:tr w:rsidR="00A52121" w:rsidRPr="007C51D6" w:rsidTr="00080BEF">
        <w:tblPrEx>
          <w:tblBorders>
            <w:bottom w:val="single" w:sz="4" w:space="0" w:color="auto"/>
          </w:tblBorders>
          <w:tblCellMar>
            <w:top w:w="11" w:type="dxa"/>
            <w:bottom w:w="11" w:type="dxa"/>
          </w:tblCellMar>
        </w:tblPrEx>
        <w:trPr>
          <w:trHeight w:val="20"/>
        </w:trPr>
        <w:tc>
          <w:tcPr>
            <w:tcW w:w="3114" w:type="dxa"/>
            <w:shd w:val="clear" w:color="auto" w:fill="auto"/>
            <w:hideMark/>
          </w:tcPr>
          <w:p w:rsidR="00A52121" w:rsidRPr="007C51D6" w:rsidRDefault="00A52121" w:rsidP="00A52121">
            <w:pPr>
              <w:autoSpaceDE/>
              <w:autoSpaceDN/>
              <w:adjustRightInd/>
              <w:spacing w:line="233" w:lineRule="auto"/>
              <w:rPr>
                <w:color w:val="000000"/>
                <w:sz w:val="20"/>
                <w:szCs w:val="20"/>
              </w:rPr>
            </w:pPr>
            <w:r w:rsidRPr="007C51D6">
              <w:rPr>
                <w:color w:val="000000"/>
                <w:sz w:val="20"/>
                <w:szCs w:val="20"/>
              </w:rPr>
              <w:t>Лаишевский</w:t>
            </w:r>
          </w:p>
        </w:tc>
        <w:tc>
          <w:tcPr>
            <w:tcW w:w="1248" w:type="dxa"/>
            <w:shd w:val="clear" w:color="auto" w:fill="auto"/>
            <w:hideMark/>
          </w:tcPr>
          <w:p w:rsidR="00A52121" w:rsidRPr="007C51D6" w:rsidRDefault="00A52121" w:rsidP="00A52121">
            <w:pPr>
              <w:autoSpaceDE/>
              <w:autoSpaceDN/>
              <w:adjustRightInd/>
              <w:spacing w:line="233" w:lineRule="auto"/>
              <w:jc w:val="center"/>
              <w:rPr>
                <w:color w:val="000000"/>
                <w:sz w:val="20"/>
                <w:szCs w:val="20"/>
              </w:rPr>
            </w:pPr>
            <w:r w:rsidRPr="007C51D6">
              <w:rPr>
                <w:color w:val="000000"/>
                <w:sz w:val="20"/>
                <w:szCs w:val="20"/>
              </w:rPr>
              <w:t>2 255,13</w:t>
            </w:r>
          </w:p>
        </w:tc>
        <w:tc>
          <w:tcPr>
            <w:tcW w:w="1247" w:type="dxa"/>
            <w:shd w:val="clear" w:color="auto" w:fill="auto"/>
            <w:hideMark/>
          </w:tcPr>
          <w:p w:rsidR="00A52121" w:rsidRPr="007C51D6" w:rsidRDefault="00A52121" w:rsidP="00A52121">
            <w:pPr>
              <w:autoSpaceDE/>
              <w:autoSpaceDN/>
              <w:adjustRightInd/>
              <w:spacing w:line="233" w:lineRule="auto"/>
              <w:jc w:val="center"/>
              <w:rPr>
                <w:color w:val="000000"/>
                <w:sz w:val="20"/>
                <w:szCs w:val="20"/>
              </w:rPr>
            </w:pPr>
            <w:r w:rsidRPr="007C51D6">
              <w:rPr>
                <w:color w:val="000000"/>
                <w:sz w:val="20"/>
                <w:szCs w:val="20"/>
              </w:rPr>
              <w:t>2 379,68</w:t>
            </w:r>
          </w:p>
        </w:tc>
        <w:tc>
          <w:tcPr>
            <w:tcW w:w="1276" w:type="dxa"/>
            <w:shd w:val="clear" w:color="auto" w:fill="auto"/>
            <w:hideMark/>
          </w:tcPr>
          <w:p w:rsidR="00A52121" w:rsidRPr="007C51D6" w:rsidRDefault="00A52121" w:rsidP="00A52121">
            <w:pPr>
              <w:autoSpaceDE/>
              <w:autoSpaceDN/>
              <w:adjustRightInd/>
              <w:spacing w:line="233" w:lineRule="auto"/>
              <w:jc w:val="center"/>
              <w:rPr>
                <w:color w:val="000000"/>
                <w:sz w:val="20"/>
                <w:szCs w:val="20"/>
              </w:rPr>
            </w:pPr>
            <w:r w:rsidRPr="007C51D6">
              <w:rPr>
                <w:color w:val="000000"/>
                <w:sz w:val="20"/>
                <w:szCs w:val="20"/>
              </w:rPr>
              <w:t>2 437,26</w:t>
            </w:r>
          </w:p>
        </w:tc>
        <w:tc>
          <w:tcPr>
            <w:tcW w:w="1162" w:type="dxa"/>
            <w:shd w:val="clear" w:color="auto" w:fill="auto"/>
            <w:hideMark/>
          </w:tcPr>
          <w:p w:rsidR="00A52121" w:rsidRPr="007C51D6" w:rsidRDefault="00A52121" w:rsidP="00A52121">
            <w:pPr>
              <w:autoSpaceDE/>
              <w:autoSpaceDN/>
              <w:adjustRightInd/>
              <w:spacing w:line="233" w:lineRule="auto"/>
              <w:jc w:val="center"/>
              <w:rPr>
                <w:color w:val="000000"/>
                <w:sz w:val="20"/>
                <w:szCs w:val="20"/>
              </w:rPr>
            </w:pPr>
            <w:r w:rsidRPr="007C51D6">
              <w:rPr>
                <w:color w:val="000000"/>
                <w:sz w:val="20"/>
                <w:szCs w:val="20"/>
              </w:rPr>
              <w:t>2 485,49</w:t>
            </w:r>
          </w:p>
        </w:tc>
        <w:tc>
          <w:tcPr>
            <w:tcW w:w="1219" w:type="dxa"/>
            <w:shd w:val="clear" w:color="auto" w:fill="auto"/>
            <w:hideMark/>
          </w:tcPr>
          <w:p w:rsidR="00A52121" w:rsidRPr="007C51D6" w:rsidRDefault="00A52121" w:rsidP="00A52121">
            <w:pPr>
              <w:autoSpaceDE/>
              <w:autoSpaceDN/>
              <w:adjustRightInd/>
              <w:spacing w:line="233" w:lineRule="auto"/>
              <w:jc w:val="center"/>
              <w:rPr>
                <w:color w:val="000000"/>
                <w:sz w:val="20"/>
                <w:szCs w:val="20"/>
              </w:rPr>
            </w:pPr>
            <w:r w:rsidRPr="007C51D6">
              <w:rPr>
                <w:color w:val="000000"/>
                <w:sz w:val="20"/>
                <w:szCs w:val="20"/>
              </w:rPr>
              <w:t>2 528,31</w:t>
            </w:r>
          </w:p>
        </w:tc>
        <w:tc>
          <w:tcPr>
            <w:tcW w:w="1163" w:type="dxa"/>
          </w:tcPr>
          <w:p w:rsidR="00A52121" w:rsidRPr="007C51D6" w:rsidRDefault="00A52121" w:rsidP="00A52121">
            <w:pPr>
              <w:spacing w:line="233" w:lineRule="auto"/>
              <w:jc w:val="center"/>
              <w:rPr>
                <w:color w:val="000000"/>
                <w:sz w:val="20"/>
                <w:szCs w:val="20"/>
              </w:rPr>
            </w:pPr>
            <w:r w:rsidRPr="007C51D6">
              <w:rPr>
                <w:color w:val="000000"/>
                <w:sz w:val="20"/>
                <w:szCs w:val="20"/>
              </w:rPr>
              <w:t>2 139,32</w:t>
            </w:r>
          </w:p>
        </w:tc>
        <w:tc>
          <w:tcPr>
            <w:tcW w:w="1162" w:type="dxa"/>
          </w:tcPr>
          <w:p w:rsidR="00A52121" w:rsidRPr="007C51D6" w:rsidRDefault="00A52121" w:rsidP="00A52121">
            <w:pPr>
              <w:spacing w:line="233" w:lineRule="auto"/>
              <w:jc w:val="center"/>
              <w:rPr>
                <w:color w:val="000000"/>
                <w:sz w:val="20"/>
                <w:szCs w:val="20"/>
              </w:rPr>
            </w:pPr>
            <w:r w:rsidRPr="007C51D6">
              <w:rPr>
                <w:color w:val="000000"/>
                <w:sz w:val="20"/>
                <w:szCs w:val="20"/>
              </w:rPr>
              <w:t>2 215,94</w:t>
            </w:r>
          </w:p>
        </w:tc>
        <w:tc>
          <w:tcPr>
            <w:tcW w:w="1162" w:type="dxa"/>
          </w:tcPr>
          <w:p w:rsidR="00A52121" w:rsidRPr="007C51D6" w:rsidRDefault="00A52121" w:rsidP="00A52121">
            <w:pPr>
              <w:spacing w:line="233" w:lineRule="auto"/>
              <w:jc w:val="center"/>
              <w:rPr>
                <w:color w:val="000000"/>
                <w:sz w:val="20"/>
                <w:szCs w:val="20"/>
              </w:rPr>
            </w:pPr>
            <w:r w:rsidRPr="007C51D6">
              <w:rPr>
                <w:color w:val="000000"/>
                <w:sz w:val="20"/>
                <w:szCs w:val="20"/>
              </w:rPr>
              <w:t>1804,44</w:t>
            </w:r>
          </w:p>
        </w:tc>
        <w:tc>
          <w:tcPr>
            <w:tcW w:w="1248" w:type="dxa"/>
            <w:vAlign w:val="center"/>
          </w:tcPr>
          <w:p w:rsidR="00A52121" w:rsidRPr="007C51D6" w:rsidRDefault="00A52121" w:rsidP="00A52121">
            <w:pPr>
              <w:spacing w:line="233" w:lineRule="auto"/>
              <w:jc w:val="center"/>
              <w:rPr>
                <w:color w:val="000000"/>
                <w:sz w:val="20"/>
                <w:szCs w:val="20"/>
              </w:rPr>
            </w:pPr>
            <w:r w:rsidRPr="007C51D6">
              <w:rPr>
                <w:color w:val="000000"/>
                <w:sz w:val="20"/>
                <w:szCs w:val="20"/>
              </w:rPr>
              <w:t>1803,31</w:t>
            </w:r>
          </w:p>
        </w:tc>
        <w:tc>
          <w:tcPr>
            <w:tcW w:w="1248" w:type="dxa"/>
            <w:vAlign w:val="center"/>
          </w:tcPr>
          <w:p w:rsidR="00A52121" w:rsidRPr="007C51D6" w:rsidRDefault="00A52121" w:rsidP="00A52121">
            <w:pPr>
              <w:jc w:val="center"/>
              <w:rPr>
                <w:color w:val="000000"/>
                <w:sz w:val="20"/>
                <w:szCs w:val="20"/>
              </w:rPr>
            </w:pPr>
            <w:r w:rsidRPr="007C51D6">
              <w:rPr>
                <w:color w:val="000000"/>
                <w:sz w:val="20"/>
                <w:szCs w:val="20"/>
              </w:rPr>
              <w:t>2297.47</w:t>
            </w:r>
          </w:p>
        </w:tc>
      </w:tr>
      <w:tr w:rsidR="00A52121" w:rsidRPr="007C51D6" w:rsidTr="00080BEF">
        <w:tblPrEx>
          <w:tblBorders>
            <w:bottom w:val="single" w:sz="4" w:space="0" w:color="auto"/>
          </w:tblBorders>
          <w:tblCellMar>
            <w:top w:w="11" w:type="dxa"/>
            <w:bottom w:w="11" w:type="dxa"/>
          </w:tblCellMar>
        </w:tblPrEx>
        <w:trPr>
          <w:trHeight w:val="20"/>
        </w:trPr>
        <w:tc>
          <w:tcPr>
            <w:tcW w:w="3114" w:type="dxa"/>
            <w:shd w:val="clear" w:color="auto" w:fill="auto"/>
            <w:hideMark/>
          </w:tcPr>
          <w:p w:rsidR="00A52121" w:rsidRPr="007C51D6" w:rsidRDefault="00A52121" w:rsidP="00A52121">
            <w:pPr>
              <w:autoSpaceDE/>
              <w:autoSpaceDN/>
              <w:adjustRightInd/>
              <w:spacing w:line="233" w:lineRule="auto"/>
              <w:rPr>
                <w:color w:val="000000"/>
                <w:sz w:val="20"/>
                <w:szCs w:val="20"/>
              </w:rPr>
            </w:pPr>
            <w:r w:rsidRPr="007C51D6">
              <w:rPr>
                <w:color w:val="000000"/>
                <w:sz w:val="20"/>
                <w:szCs w:val="20"/>
              </w:rPr>
              <w:t>Лениногорский</w:t>
            </w:r>
          </w:p>
        </w:tc>
        <w:tc>
          <w:tcPr>
            <w:tcW w:w="1248" w:type="dxa"/>
            <w:shd w:val="clear" w:color="auto" w:fill="auto"/>
            <w:hideMark/>
          </w:tcPr>
          <w:p w:rsidR="00A52121" w:rsidRPr="007C51D6" w:rsidRDefault="00A52121" w:rsidP="00A52121">
            <w:pPr>
              <w:autoSpaceDE/>
              <w:autoSpaceDN/>
              <w:adjustRightInd/>
              <w:spacing w:line="233" w:lineRule="auto"/>
              <w:jc w:val="center"/>
              <w:rPr>
                <w:color w:val="000000"/>
                <w:sz w:val="20"/>
                <w:szCs w:val="20"/>
              </w:rPr>
            </w:pPr>
            <w:r w:rsidRPr="007C51D6">
              <w:rPr>
                <w:color w:val="000000"/>
                <w:sz w:val="20"/>
                <w:szCs w:val="20"/>
              </w:rPr>
              <w:t>2 933,55</w:t>
            </w:r>
          </w:p>
        </w:tc>
        <w:tc>
          <w:tcPr>
            <w:tcW w:w="1247" w:type="dxa"/>
            <w:shd w:val="clear" w:color="auto" w:fill="auto"/>
            <w:hideMark/>
          </w:tcPr>
          <w:p w:rsidR="00A52121" w:rsidRPr="007C51D6" w:rsidRDefault="00A52121" w:rsidP="00A52121">
            <w:pPr>
              <w:autoSpaceDE/>
              <w:autoSpaceDN/>
              <w:adjustRightInd/>
              <w:spacing w:line="233" w:lineRule="auto"/>
              <w:jc w:val="center"/>
              <w:rPr>
                <w:color w:val="000000"/>
                <w:sz w:val="20"/>
                <w:szCs w:val="20"/>
              </w:rPr>
            </w:pPr>
            <w:r w:rsidRPr="007C51D6">
              <w:rPr>
                <w:color w:val="000000"/>
                <w:sz w:val="20"/>
                <w:szCs w:val="20"/>
              </w:rPr>
              <w:t>3 091,33</w:t>
            </w:r>
          </w:p>
        </w:tc>
        <w:tc>
          <w:tcPr>
            <w:tcW w:w="1276" w:type="dxa"/>
            <w:shd w:val="clear" w:color="auto" w:fill="auto"/>
            <w:hideMark/>
          </w:tcPr>
          <w:p w:rsidR="00A52121" w:rsidRPr="007C51D6" w:rsidRDefault="00A52121" w:rsidP="00A52121">
            <w:pPr>
              <w:autoSpaceDE/>
              <w:autoSpaceDN/>
              <w:adjustRightInd/>
              <w:spacing w:line="233" w:lineRule="auto"/>
              <w:jc w:val="center"/>
              <w:rPr>
                <w:color w:val="000000"/>
                <w:sz w:val="20"/>
                <w:szCs w:val="20"/>
              </w:rPr>
            </w:pPr>
            <w:r w:rsidRPr="007C51D6">
              <w:rPr>
                <w:color w:val="000000"/>
                <w:sz w:val="20"/>
                <w:szCs w:val="20"/>
              </w:rPr>
              <w:t>3 223,97</w:t>
            </w:r>
          </w:p>
        </w:tc>
        <w:tc>
          <w:tcPr>
            <w:tcW w:w="1162" w:type="dxa"/>
            <w:shd w:val="clear" w:color="auto" w:fill="auto"/>
            <w:hideMark/>
          </w:tcPr>
          <w:p w:rsidR="00A52121" w:rsidRPr="007C51D6" w:rsidRDefault="00A52121" w:rsidP="00A52121">
            <w:pPr>
              <w:autoSpaceDE/>
              <w:autoSpaceDN/>
              <w:adjustRightInd/>
              <w:spacing w:line="233" w:lineRule="auto"/>
              <w:jc w:val="center"/>
              <w:rPr>
                <w:color w:val="000000"/>
                <w:sz w:val="20"/>
                <w:szCs w:val="20"/>
              </w:rPr>
            </w:pPr>
            <w:r w:rsidRPr="007C51D6">
              <w:rPr>
                <w:color w:val="000000"/>
                <w:sz w:val="20"/>
                <w:szCs w:val="20"/>
              </w:rPr>
              <w:t>3 295,10</w:t>
            </w:r>
          </w:p>
        </w:tc>
        <w:tc>
          <w:tcPr>
            <w:tcW w:w="1219" w:type="dxa"/>
            <w:shd w:val="clear" w:color="auto" w:fill="auto"/>
            <w:hideMark/>
          </w:tcPr>
          <w:p w:rsidR="00A52121" w:rsidRPr="007C51D6" w:rsidRDefault="00A52121" w:rsidP="00A52121">
            <w:pPr>
              <w:autoSpaceDE/>
              <w:autoSpaceDN/>
              <w:adjustRightInd/>
              <w:spacing w:line="233" w:lineRule="auto"/>
              <w:jc w:val="center"/>
              <w:rPr>
                <w:color w:val="000000"/>
                <w:sz w:val="20"/>
                <w:szCs w:val="20"/>
              </w:rPr>
            </w:pPr>
            <w:r w:rsidRPr="007C51D6">
              <w:rPr>
                <w:color w:val="000000"/>
                <w:sz w:val="20"/>
                <w:szCs w:val="20"/>
              </w:rPr>
              <w:t>3 319,39</w:t>
            </w:r>
          </w:p>
        </w:tc>
        <w:tc>
          <w:tcPr>
            <w:tcW w:w="1163" w:type="dxa"/>
          </w:tcPr>
          <w:p w:rsidR="00A52121" w:rsidRPr="007C51D6" w:rsidRDefault="00A52121" w:rsidP="00A52121">
            <w:pPr>
              <w:spacing w:line="233" w:lineRule="auto"/>
              <w:jc w:val="center"/>
              <w:rPr>
                <w:color w:val="000000"/>
                <w:sz w:val="20"/>
                <w:szCs w:val="20"/>
              </w:rPr>
            </w:pPr>
            <w:r w:rsidRPr="007C51D6">
              <w:rPr>
                <w:color w:val="000000"/>
                <w:sz w:val="20"/>
                <w:szCs w:val="20"/>
              </w:rPr>
              <w:t>2 926,48</w:t>
            </w:r>
          </w:p>
        </w:tc>
        <w:tc>
          <w:tcPr>
            <w:tcW w:w="1162" w:type="dxa"/>
          </w:tcPr>
          <w:p w:rsidR="00A52121" w:rsidRPr="007C51D6" w:rsidRDefault="00A52121" w:rsidP="00A52121">
            <w:pPr>
              <w:spacing w:line="233" w:lineRule="auto"/>
              <w:jc w:val="center"/>
              <w:rPr>
                <w:color w:val="000000"/>
                <w:sz w:val="20"/>
                <w:szCs w:val="20"/>
              </w:rPr>
            </w:pPr>
            <w:r w:rsidRPr="007C51D6">
              <w:rPr>
                <w:color w:val="000000"/>
                <w:sz w:val="20"/>
                <w:szCs w:val="20"/>
              </w:rPr>
              <w:t>3 014,97</w:t>
            </w:r>
          </w:p>
        </w:tc>
        <w:tc>
          <w:tcPr>
            <w:tcW w:w="1162" w:type="dxa"/>
          </w:tcPr>
          <w:p w:rsidR="00A52121" w:rsidRPr="007C51D6" w:rsidRDefault="00A52121" w:rsidP="00A52121">
            <w:pPr>
              <w:spacing w:line="233" w:lineRule="auto"/>
              <w:jc w:val="center"/>
              <w:rPr>
                <w:color w:val="000000"/>
                <w:sz w:val="20"/>
                <w:szCs w:val="20"/>
              </w:rPr>
            </w:pPr>
            <w:r w:rsidRPr="007C51D6">
              <w:rPr>
                <w:color w:val="000000"/>
                <w:sz w:val="20"/>
                <w:szCs w:val="20"/>
              </w:rPr>
              <w:t>3225,52</w:t>
            </w:r>
          </w:p>
        </w:tc>
        <w:tc>
          <w:tcPr>
            <w:tcW w:w="1248" w:type="dxa"/>
            <w:vAlign w:val="center"/>
          </w:tcPr>
          <w:p w:rsidR="00A52121" w:rsidRPr="007C51D6" w:rsidRDefault="00A52121" w:rsidP="00A52121">
            <w:pPr>
              <w:spacing w:line="233" w:lineRule="auto"/>
              <w:jc w:val="center"/>
              <w:rPr>
                <w:color w:val="000000"/>
                <w:sz w:val="20"/>
                <w:szCs w:val="20"/>
              </w:rPr>
            </w:pPr>
            <w:r w:rsidRPr="007C51D6">
              <w:rPr>
                <w:color w:val="000000"/>
                <w:sz w:val="20"/>
                <w:szCs w:val="20"/>
              </w:rPr>
              <w:t>3388,85</w:t>
            </w:r>
          </w:p>
        </w:tc>
        <w:tc>
          <w:tcPr>
            <w:tcW w:w="1248" w:type="dxa"/>
            <w:vAlign w:val="center"/>
          </w:tcPr>
          <w:p w:rsidR="00A52121" w:rsidRPr="007C51D6" w:rsidRDefault="00A52121" w:rsidP="00A52121">
            <w:pPr>
              <w:jc w:val="center"/>
              <w:rPr>
                <w:color w:val="000000"/>
                <w:sz w:val="20"/>
                <w:szCs w:val="20"/>
              </w:rPr>
            </w:pPr>
            <w:r w:rsidRPr="007C51D6">
              <w:rPr>
                <w:color w:val="000000"/>
                <w:sz w:val="20"/>
                <w:szCs w:val="20"/>
              </w:rPr>
              <w:t>3392.99</w:t>
            </w:r>
          </w:p>
        </w:tc>
      </w:tr>
      <w:tr w:rsidR="00A52121" w:rsidRPr="007C51D6" w:rsidTr="00080BEF">
        <w:tblPrEx>
          <w:tblBorders>
            <w:bottom w:val="single" w:sz="4" w:space="0" w:color="auto"/>
          </w:tblBorders>
          <w:tblCellMar>
            <w:top w:w="11" w:type="dxa"/>
            <w:bottom w:w="11" w:type="dxa"/>
          </w:tblCellMar>
        </w:tblPrEx>
        <w:trPr>
          <w:trHeight w:val="20"/>
        </w:trPr>
        <w:tc>
          <w:tcPr>
            <w:tcW w:w="3114" w:type="dxa"/>
            <w:shd w:val="clear" w:color="auto" w:fill="auto"/>
            <w:hideMark/>
          </w:tcPr>
          <w:p w:rsidR="00A52121" w:rsidRPr="007C51D6" w:rsidRDefault="00A52121" w:rsidP="00A52121">
            <w:pPr>
              <w:autoSpaceDE/>
              <w:autoSpaceDN/>
              <w:adjustRightInd/>
              <w:spacing w:line="233" w:lineRule="auto"/>
              <w:rPr>
                <w:color w:val="000000"/>
                <w:sz w:val="20"/>
                <w:szCs w:val="20"/>
              </w:rPr>
            </w:pPr>
            <w:r w:rsidRPr="007C51D6">
              <w:rPr>
                <w:color w:val="000000"/>
                <w:sz w:val="20"/>
                <w:szCs w:val="20"/>
              </w:rPr>
              <w:t>Мамадышский</w:t>
            </w:r>
          </w:p>
        </w:tc>
        <w:tc>
          <w:tcPr>
            <w:tcW w:w="1248" w:type="dxa"/>
            <w:shd w:val="clear" w:color="auto" w:fill="auto"/>
            <w:hideMark/>
          </w:tcPr>
          <w:p w:rsidR="00A52121" w:rsidRPr="007C51D6" w:rsidRDefault="00A52121" w:rsidP="00A52121">
            <w:pPr>
              <w:autoSpaceDE/>
              <w:autoSpaceDN/>
              <w:adjustRightInd/>
              <w:spacing w:line="233" w:lineRule="auto"/>
              <w:jc w:val="center"/>
              <w:rPr>
                <w:color w:val="000000"/>
                <w:sz w:val="20"/>
                <w:szCs w:val="20"/>
              </w:rPr>
            </w:pPr>
            <w:r w:rsidRPr="007C51D6">
              <w:rPr>
                <w:color w:val="000000"/>
                <w:sz w:val="20"/>
                <w:szCs w:val="20"/>
              </w:rPr>
              <w:t>2 024,94</w:t>
            </w:r>
          </w:p>
        </w:tc>
        <w:tc>
          <w:tcPr>
            <w:tcW w:w="1247" w:type="dxa"/>
            <w:shd w:val="clear" w:color="auto" w:fill="auto"/>
            <w:hideMark/>
          </w:tcPr>
          <w:p w:rsidR="00A52121" w:rsidRPr="007C51D6" w:rsidRDefault="00A52121" w:rsidP="00A52121">
            <w:pPr>
              <w:autoSpaceDE/>
              <w:autoSpaceDN/>
              <w:adjustRightInd/>
              <w:spacing w:line="233" w:lineRule="auto"/>
              <w:jc w:val="center"/>
              <w:rPr>
                <w:color w:val="000000"/>
                <w:sz w:val="20"/>
                <w:szCs w:val="20"/>
              </w:rPr>
            </w:pPr>
            <w:r w:rsidRPr="007C51D6">
              <w:rPr>
                <w:color w:val="000000"/>
                <w:sz w:val="20"/>
                <w:szCs w:val="20"/>
              </w:rPr>
              <w:t>2 187,10</w:t>
            </w:r>
          </w:p>
        </w:tc>
        <w:tc>
          <w:tcPr>
            <w:tcW w:w="1276" w:type="dxa"/>
            <w:shd w:val="clear" w:color="auto" w:fill="auto"/>
            <w:hideMark/>
          </w:tcPr>
          <w:p w:rsidR="00A52121" w:rsidRPr="007C51D6" w:rsidRDefault="00A52121" w:rsidP="00A52121">
            <w:pPr>
              <w:autoSpaceDE/>
              <w:autoSpaceDN/>
              <w:adjustRightInd/>
              <w:spacing w:line="233" w:lineRule="auto"/>
              <w:jc w:val="center"/>
              <w:rPr>
                <w:color w:val="000000"/>
                <w:sz w:val="20"/>
                <w:szCs w:val="20"/>
              </w:rPr>
            </w:pPr>
            <w:r w:rsidRPr="007C51D6">
              <w:rPr>
                <w:color w:val="000000"/>
                <w:sz w:val="20"/>
                <w:szCs w:val="20"/>
              </w:rPr>
              <w:t>2 286,72</w:t>
            </w:r>
          </w:p>
        </w:tc>
        <w:tc>
          <w:tcPr>
            <w:tcW w:w="1162" w:type="dxa"/>
            <w:shd w:val="clear" w:color="auto" w:fill="auto"/>
            <w:hideMark/>
          </w:tcPr>
          <w:p w:rsidR="00A52121" w:rsidRPr="007C51D6" w:rsidRDefault="00A52121" w:rsidP="00A52121">
            <w:pPr>
              <w:autoSpaceDE/>
              <w:autoSpaceDN/>
              <w:adjustRightInd/>
              <w:spacing w:line="233" w:lineRule="auto"/>
              <w:jc w:val="center"/>
              <w:rPr>
                <w:color w:val="000000"/>
                <w:sz w:val="20"/>
                <w:szCs w:val="20"/>
              </w:rPr>
            </w:pPr>
            <w:r w:rsidRPr="007C51D6">
              <w:rPr>
                <w:color w:val="000000"/>
                <w:sz w:val="20"/>
                <w:szCs w:val="20"/>
              </w:rPr>
              <w:t>2 372,62</w:t>
            </w:r>
          </w:p>
        </w:tc>
        <w:tc>
          <w:tcPr>
            <w:tcW w:w="1219" w:type="dxa"/>
            <w:shd w:val="clear" w:color="auto" w:fill="auto"/>
            <w:hideMark/>
          </w:tcPr>
          <w:p w:rsidR="00A52121" w:rsidRPr="007C51D6" w:rsidRDefault="00A52121" w:rsidP="00A52121">
            <w:pPr>
              <w:autoSpaceDE/>
              <w:autoSpaceDN/>
              <w:adjustRightInd/>
              <w:spacing w:line="233" w:lineRule="auto"/>
              <w:jc w:val="center"/>
              <w:rPr>
                <w:color w:val="000000"/>
                <w:sz w:val="20"/>
                <w:szCs w:val="20"/>
              </w:rPr>
            </w:pPr>
            <w:r w:rsidRPr="007C51D6">
              <w:rPr>
                <w:color w:val="000000"/>
                <w:sz w:val="20"/>
                <w:szCs w:val="20"/>
              </w:rPr>
              <w:t>2 518,56</w:t>
            </w:r>
          </w:p>
        </w:tc>
        <w:tc>
          <w:tcPr>
            <w:tcW w:w="1163" w:type="dxa"/>
          </w:tcPr>
          <w:p w:rsidR="00A52121" w:rsidRPr="007C51D6" w:rsidRDefault="00A52121" w:rsidP="00A52121">
            <w:pPr>
              <w:spacing w:line="233" w:lineRule="auto"/>
              <w:jc w:val="center"/>
              <w:rPr>
                <w:color w:val="000000"/>
                <w:sz w:val="20"/>
                <w:szCs w:val="20"/>
              </w:rPr>
            </w:pPr>
            <w:r w:rsidRPr="007C51D6">
              <w:rPr>
                <w:color w:val="000000"/>
                <w:sz w:val="20"/>
                <w:szCs w:val="20"/>
              </w:rPr>
              <w:t>2 218,28</w:t>
            </w:r>
          </w:p>
        </w:tc>
        <w:tc>
          <w:tcPr>
            <w:tcW w:w="1162" w:type="dxa"/>
          </w:tcPr>
          <w:p w:rsidR="00A52121" w:rsidRPr="007C51D6" w:rsidRDefault="00A52121" w:rsidP="00A52121">
            <w:pPr>
              <w:spacing w:line="233" w:lineRule="auto"/>
              <w:jc w:val="center"/>
              <w:rPr>
                <w:color w:val="000000"/>
                <w:sz w:val="20"/>
                <w:szCs w:val="20"/>
              </w:rPr>
            </w:pPr>
            <w:r w:rsidRPr="007C51D6">
              <w:rPr>
                <w:color w:val="000000"/>
                <w:sz w:val="20"/>
                <w:szCs w:val="20"/>
              </w:rPr>
              <w:t>2 310,61</w:t>
            </w:r>
          </w:p>
        </w:tc>
        <w:tc>
          <w:tcPr>
            <w:tcW w:w="1162" w:type="dxa"/>
          </w:tcPr>
          <w:p w:rsidR="00A52121" w:rsidRPr="007C51D6" w:rsidRDefault="00A52121" w:rsidP="00A52121">
            <w:pPr>
              <w:spacing w:line="233" w:lineRule="auto"/>
              <w:jc w:val="center"/>
              <w:rPr>
                <w:color w:val="000000"/>
                <w:sz w:val="20"/>
                <w:szCs w:val="20"/>
              </w:rPr>
            </w:pPr>
            <w:r w:rsidRPr="007C51D6">
              <w:rPr>
                <w:color w:val="000000"/>
                <w:sz w:val="20"/>
                <w:szCs w:val="20"/>
              </w:rPr>
              <w:t>2532,85</w:t>
            </w:r>
          </w:p>
        </w:tc>
        <w:tc>
          <w:tcPr>
            <w:tcW w:w="1248" w:type="dxa"/>
            <w:vAlign w:val="center"/>
          </w:tcPr>
          <w:p w:rsidR="00A52121" w:rsidRPr="007C51D6" w:rsidRDefault="00A52121" w:rsidP="00A52121">
            <w:pPr>
              <w:spacing w:line="233" w:lineRule="auto"/>
              <w:jc w:val="center"/>
              <w:rPr>
                <w:color w:val="000000"/>
                <w:sz w:val="20"/>
                <w:szCs w:val="20"/>
              </w:rPr>
            </w:pPr>
            <w:r w:rsidRPr="007C51D6">
              <w:rPr>
                <w:color w:val="000000"/>
                <w:sz w:val="20"/>
                <w:szCs w:val="20"/>
              </w:rPr>
              <w:t>2728,10</w:t>
            </w:r>
          </w:p>
        </w:tc>
        <w:tc>
          <w:tcPr>
            <w:tcW w:w="1248" w:type="dxa"/>
            <w:vAlign w:val="center"/>
          </w:tcPr>
          <w:p w:rsidR="00A52121" w:rsidRPr="007C51D6" w:rsidRDefault="00A52121" w:rsidP="00A52121">
            <w:pPr>
              <w:jc w:val="center"/>
              <w:rPr>
                <w:color w:val="000000"/>
                <w:sz w:val="20"/>
                <w:szCs w:val="20"/>
              </w:rPr>
            </w:pPr>
            <w:r w:rsidRPr="007C51D6">
              <w:rPr>
                <w:color w:val="000000"/>
                <w:sz w:val="20"/>
                <w:szCs w:val="20"/>
              </w:rPr>
              <w:t>2896.97</w:t>
            </w:r>
          </w:p>
        </w:tc>
      </w:tr>
      <w:tr w:rsidR="00A52121" w:rsidRPr="007C51D6" w:rsidTr="00080BEF">
        <w:tblPrEx>
          <w:tblBorders>
            <w:bottom w:val="single" w:sz="4" w:space="0" w:color="auto"/>
          </w:tblBorders>
          <w:tblCellMar>
            <w:top w:w="11" w:type="dxa"/>
            <w:bottom w:w="11" w:type="dxa"/>
          </w:tblCellMar>
        </w:tblPrEx>
        <w:trPr>
          <w:trHeight w:val="20"/>
        </w:trPr>
        <w:tc>
          <w:tcPr>
            <w:tcW w:w="3114" w:type="dxa"/>
            <w:shd w:val="clear" w:color="auto" w:fill="auto"/>
            <w:hideMark/>
          </w:tcPr>
          <w:p w:rsidR="00A52121" w:rsidRPr="007C51D6" w:rsidRDefault="00A52121" w:rsidP="00A52121">
            <w:pPr>
              <w:autoSpaceDE/>
              <w:autoSpaceDN/>
              <w:adjustRightInd/>
              <w:spacing w:line="233" w:lineRule="auto"/>
              <w:rPr>
                <w:color w:val="000000"/>
                <w:sz w:val="20"/>
                <w:szCs w:val="20"/>
              </w:rPr>
            </w:pPr>
            <w:r w:rsidRPr="007C51D6">
              <w:rPr>
                <w:color w:val="000000"/>
                <w:sz w:val="20"/>
                <w:szCs w:val="20"/>
              </w:rPr>
              <w:t>Менделеевский</w:t>
            </w:r>
          </w:p>
        </w:tc>
        <w:tc>
          <w:tcPr>
            <w:tcW w:w="1248" w:type="dxa"/>
            <w:shd w:val="clear" w:color="auto" w:fill="auto"/>
            <w:hideMark/>
          </w:tcPr>
          <w:p w:rsidR="00A52121" w:rsidRPr="007C51D6" w:rsidRDefault="00A52121" w:rsidP="00A52121">
            <w:pPr>
              <w:autoSpaceDE/>
              <w:autoSpaceDN/>
              <w:adjustRightInd/>
              <w:spacing w:line="233" w:lineRule="auto"/>
              <w:jc w:val="center"/>
              <w:rPr>
                <w:color w:val="000000"/>
                <w:sz w:val="20"/>
                <w:szCs w:val="20"/>
              </w:rPr>
            </w:pPr>
            <w:r w:rsidRPr="007C51D6">
              <w:rPr>
                <w:color w:val="000000"/>
                <w:sz w:val="20"/>
                <w:szCs w:val="20"/>
              </w:rPr>
              <w:t>2 190,07</w:t>
            </w:r>
          </w:p>
        </w:tc>
        <w:tc>
          <w:tcPr>
            <w:tcW w:w="1247" w:type="dxa"/>
            <w:shd w:val="clear" w:color="auto" w:fill="auto"/>
            <w:hideMark/>
          </w:tcPr>
          <w:p w:rsidR="00A52121" w:rsidRPr="007C51D6" w:rsidRDefault="00A52121" w:rsidP="00A52121">
            <w:pPr>
              <w:autoSpaceDE/>
              <w:autoSpaceDN/>
              <w:adjustRightInd/>
              <w:spacing w:line="233" w:lineRule="auto"/>
              <w:jc w:val="center"/>
              <w:rPr>
                <w:color w:val="000000"/>
                <w:sz w:val="20"/>
                <w:szCs w:val="20"/>
              </w:rPr>
            </w:pPr>
            <w:r w:rsidRPr="007C51D6">
              <w:rPr>
                <w:color w:val="000000"/>
                <w:sz w:val="20"/>
                <w:szCs w:val="20"/>
              </w:rPr>
              <w:t>2 341,17</w:t>
            </w:r>
          </w:p>
        </w:tc>
        <w:tc>
          <w:tcPr>
            <w:tcW w:w="1276" w:type="dxa"/>
            <w:shd w:val="clear" w:color="auto" w:fill="auto"/>
            <w:hideMark/>
          </w:tcPr>
          <w:p w:rsidR="00A52121" w:rsidRPr="007C51D6" w:rsidRDefault="00A52121" w:rsidP="00A52121">
            <w:pPr>
              <w:autoSpaceDE/>
              <w:autoSpaceDN/>
              <w:adjustRightInd/>
              <w:spacing w:line="233" w:lineRule="auto"/>
              <w:jc w:val="center"/>
              <w:rPr>
                <w:color w:val="000000"/>
                <w:sz w:val="20"/>
                <w:szCs w:val="20"/>
              </w:rPr>
            </w:pPr>
            <w:r w:rsidRPr="007C51D6">
              <w:rPr>
                <w:color w:val="000000"/>
                <w:sz w:val="20"/>
                <w:szCs w:val="20"/>
              </w:rPr>
              <w:t>2 449,79</w:t>
            </w:r>
          </w:p>
        </w:tc>
        <w:tc>
          <w:tcPr>
            <w:tcW w:w="1162" w:type="dxa"/>
            <w:shd w:val="clear" w:color="auto" w:fill="auto"/>
            <w:hideMark/>
          </w:tcPr>
          <w:p w:rsidR="00A52121" w:rsidRPr="007C51D6" w:rsidRDefault="00A52121" w:rsidP="00A52121">
            <w:pPr>
              <w:autoSpaceDE/>
              <w:autoSpaceDN/>
              <w:adjustRightInd/>
              <w:spacing w:line="233" w:lineRule="auto"/>
              <w:jc w:val="center"/>
              <w:rPr>
                <w:color w:val="000000"/>
                <w:sz w:val="20"/>
                <w:szCs w:val="20"/>
              </w:rPr>
            </w:pPr>
            <w:r w:rsidRPr="007C51D6">
              <w:rPr>
                <w:color w:val="000000"/>
                <w:sz w:val="20"/>
                <w:szCs w:val="20"/>
              </w:rPr>
              <w:t>2 577,32</w:t>
            </w:r>
          </w:p>
        </w:tc>
        <w:tc>
          <w:tcPr>
            <w:tcW w:w="1219" w:type="dxa"/>
            <w:shd w:val="clear" w:color="auto" w:fill="auto"/>
            <w:hideMark/>
          </w:tcPr>
          <w:p w:rsidR="00A52121" w:rsidRPr="007C51D6" w:rsidRDefault="00A52121" w:rsidP="00A52121">
            <w:pPr>
              <w:autoSpaceDE/>
              <w:autoSpaceDN/>
              <w:adjustRightInd/>
              <w:spacing w:line="233" w:lineRule="auto"/>
              <w:jc w:val="center"/>
              <w:rPr>
                <w:color w:val="000000"/>
                <w:sz w:val="20"/>
                <w:szCs w:val="20"/>
              </w:rPr>
            </w:pPr>
            <w:r w:rsidRPr="007C51D6">
              <w:rPr>
                <w:color w:val="000000"/>
                <w:sz w:val="20"/>
                <w:szCs w:val="20"/>
              </w:rPr>
              <w:t>2 611,10</w:t>
            </w:r>
          </w:p>
        </w:tc>
        <w:tc>
          <w:tcPr>
            <w:tcW w:w="1163" w:type="dxa"/>
          </w:tcPr>
          <w:p w:rsidR="00A52121" w:rsidRPr="007C51D6" w:rsidRDefault="00A52121" w:rsidP="00A52121">
            <w:pPr>
              <w:spacing w:line="233" w:lineRule="auto"/>
              <w:jc w:val="center"/>
              <w:rPr>
                <w:color w:val="000000"/>
                <w:sz w:val="20"/>
                <w:szCs w:val="20"/>
              </w:rPr>
            </w:pPr>
            <w:r w:rsidRPr="007C51D6">
              <w:rPr>
                <w:color w:val="000000"/>
                <w:sz w:val="20"/>
                <w:szCs w:val="20"/>
              </w:rPr>
              <w:t>2 247,99</w:t>
            </w:r>
          </w:p>
        </w:tc>
        <w:tc>
          <w:tcPr>
            <w:tcW w:w="1162" w:type="dxa"/>
          </w:tcPr>
          <w:p w:rsidR="00A52121" w:rsidRPr="007C51D6" w:rsidRDefault="00A52121" w:rsidP="00A52121">
            <w:pPr>
              <w:spacing w:line="233" w:lineRule="auto"/>
              <w:jc w:val="center"/>
              <w:rPr>
                <w:color w:val="000000"/>
                <w:sz w:val="20"/>
                <w:szCs w:val="20"/>
              </w:rPr>
            </w:pPr>
            <w:r w:rsidRPr="007C51D6">
              <w:rPr>
                <w:color w:val="000000"/>
                <w:sz w:val="20"/>
                <w:szCs w:val="20"/>
              </w:rPr>
              <w:t>2 332,24</w:t>
            </w:r>
          </w:p>
        </w:tc>
        <w:tc>
          <w:tcPr>
            <w:tcW w:w="1162" w:type="dxa"/>
          </w:tcPr>
          <w:p w:rsidR="00A52121" w:rsidRPr="007C51D6" w:rsidRDefault="00A52121" w:rsidP="00A52121">
            <w:pPr>
              <w:spacing w:line="233" w:lineRule="auto"/>
              <w:jc w:val="center"/>
              <w:rPr>
                <w:color w:val="000000"/>
                <w:sz w:val="20"/>
                <w:szCs w:val="20"/>
              </w:rPr>
            </w:pPr>
            <w:r w:rsidRPr="007C51D6">
              <w:rPr>
                <w:color w:val="000000"/>
                <w:sz w:val="20"/>
                <w:szCs w:val="20"/>
              </w:rPr>
              <w:t>2401,47</w:t>
            </w:r>
          </w:p>
        </w:tc>
        <w:tc>
          <w:tcPr>
            <w:tcW w:w="1248" w:type="dxa"/>
            <w:vAlign w:val="center"/>
          </w:tcPr>
          <w:p w:rsidR="00A52121" w:rsidRPr="007C51D6" w:rsidRDefault="00A52121" w:rsidP="00A52121">
            <w:pPr>
              <w:spacing w:line="233" w:lineRule="auto"/>
              <w:jc w:val="center"/>
              <w:rPr>
                <w:color w:val="000000"/>
                <w:sz w:val="20"/>
                <w:szCs w:val="20"/>
              </w:rPr>
            </w:pPr>
            <w:r w:rsidRPr="007C51D6">
              <w:rPr>
                <w:color w:val="000000"/>
                <w:sz w:val="20"/>
                <w:szCs w:val="20"/>
              </w:rPr>
              <w:t>2476,39</w:t>
            </w:r>
          </w:p>
        </w:tc>
        <w:tc>
          <w:tcPr>
            <w:tcW w:w="1248" w:type="dxa"/>
            <w:vAlign w:val="center"/>
          </w:tcPr>
          <w:p w:rsidR="00A52121" w:rsidRPr="007C51D6" w:rsidRDefault="00A52121" w:rsidP="00A52121">
            <w:pPr>
              <w:jc w:val="center"/>
              <w:rPr>
                <w:color w:val="000000"/>
                <w:sz w:val="20"/>
                <w:szCs w:val="20"/>
              </w:rPr>
            </w:pPr>
            <w:r w:rsidRPr="007C51D6">
              <w:rPr>
                <w:color w:val="000000"/>
                <w:sz w:val="20"/>
                <w:szCs w:val="20"/>
              </w:rPr>
              <w:t>2487.16</w:t>
            </w:r>
          </w:p>
        </w:tc>
      </w:tr>
      <w:tr w:rsidR="00A52121" w:rsidRPr="007C51D6" w:rsidTr="00080BEF">
        <w:tblPrEx>
          <w:tblBorders>
            <w:bottom w:val="single" w:sz="4" w:space="0" w:color="auto"/>
          </w:tblBorders>
          <w:tblCellMar>
            <w:top w:w="11" w:type="dxa"/>
            <w:bottom w:w="11" w:type="dxa"/>
          </w:tblCellMar>
        </w:tblPrEx>
        <w:trPr>
          <w:trHeight w:val="20"/>
        </w:trPr>
        <w:tc>
          <w:tcPr>
            <w:tcW w:w="3114" w:type="dxa"/>
            <w:shd w:val="clear" w:color="auto" w:fill="auto"/>
            <w:hideMark/>
          </w:tcPr>
          <w:p w:rsidR="00A52121" w:rsidRPr="007C51D6" w:rsidRDefault="00A52121" w:rsidP="00A52121">
            <w:pPr>
              <w:autoSpaceDE/>
              <w:autoSpaceDN/>
              <w:adjustRightInd/>
              <w:spacing w:line="233" w:lineRule="auto"/>
              <w:rPr>
                <w:color w:val="000000"/>
                <w:sz w:val="20"/>
                <w:szCs w:val="20"/>
              </w:rPr>
            </w:pPr>
            <w:r w:rsidRPr="007C51D6">
              <w:rPr>
                <w:color w:val="000000"/>
                <w:sz w:val="20"/>
                <w:szCs w:val="20"/>
              </w:rPr>
              <w:t>Мензелинский</w:t>
            </w:r>
          </w:p>
        </w:tc>
        <w:tc>
          <w:tcPr>
            <w:tcW w:w="1248" w:type="dxa"/>
            <w:shd w:val="clear" w:color="auto" w:fill="auto"/>
            <w:hideMark/>
          </w:tcPr>
          <w:p w:rsidR="00A52121" w:rsidRPr="007C51D6" w:rsidRDefault="00A52121" w:rsidP="00A52121">
            <w:pPr>
              <w:autoSpaceDE/>
              <w:autoSpaceDN/>
              <w:adjustRightInd/>
              <w:spacing w:line="233" w:lineRule="auto"/>
              <w:jc w:val="center"/>
              <w:rPr>
                <w:color w:val="000000"/>
                <w:sz w:val="20"/>
                <w:szCs w:val="20"/>
              </w:rPr>
            </w:pPr>
            <w:r w:rsidRPr="007C51D6">
              <w:rPr>
                <w:color w:val="000000"/>
                <w:sz w:val="20"/>
                <w:szCs w:val="20"/>
              </w:rPr>
              <w:t>2 514,57</w:t>
            </w:r>
          </w:p>
        </w:tc>
        <w:tc>
          <w:tcPr>
            <w:tcW w:w="1247" w:type="dxa"/>
            <w:shd w:val="clear" w:color="auto" w:fill="auto"/>
            <w:hideMark/>
          </w:tcPr>
          <w:p w:rsidR="00A52121" w:rsidRPr="007C51D6" w:rsidRDefault="00A52121" w:rsidP="00A52121">
            <w:pPr>
              <w:autoSpaceDE/>
              <w:autoSpaceDN/>
              <w:adjustRightInd/>
              <w:spacing w:line="233" w:lineRule="auto"/>
              <w:jc w:val="center"/>
              <w:rPr>
                <w:color w:val="000000"/>
                <w:sz w:val="20"/>
                <w:szCs w:val="20"/>
              </w:rPr>
            </w:pPr>
            <w:r w:rsidRPr="007C51D6">
              <w:rPr>
                <w:color w:val="000000"/>
                <w:sz w:val="20"/>
                <w:szCs w:val="20"/>
              </w:rPr>
              <w:t>2 710,52</w:t>
            </w:r>
          </w:p>
        </w:tc>
        <w:tc>
          <w:tcPr>
            <w:tcW w:w="1276" w:type="dxa"/>
            <w:shd w:val="clear" w:color="auto" w:fill="auto"/>
            <w:hideMark/>
          </w:tcPr>
          <w:p w:rsidR="00A52121" w:rsidRPr="007C51D6" w:rsidRDefault="00A52121" w:rsidP="00A52121">
            <w:pPr>
              <w:autoSpaceDE/>
              <w:autoSpaceDN/>
              <w:adjustRightInd/>
              <w:spacing w:line="233" w:lineRule="auto"/>
              <w:jc w:val="center"/>
              <w:rPr>
                <w:color w:val="000000"/>
                <w:sz w:val="20"/>
                <w:szCs w:val="20"/>
              </w:rPr>
            </w:pPr>
            <w:r w:rsidRPr="007C51D6">
              <w:rPr>
                <w:color w:val="000000"/>
                <w:sz w:val="20"/>
                <w:szCs w:val="20"/>
              </w:rPr>
              <w:t>2 968,06</w:t>
            </w:r>
          </w:p>
        </w:tc>
        <w:tc>
          <w:tcPr>
            <w:tcW w:w="1162" w:type="dxa"/>
            <w:shd w:val="clear" w:color="auto" w:fill="auto"/>
            <w:hideMark/>
          </w:tcPr>
          <w:p w:rsidR="00A52121" w:rsidRPr="007C51D6" w:rsidRDefault="00A52121" w:rsidP="00A52121">
            <w:pPr>
              <w:autoSpaceDE/>
              <w:autoSpaceDN/>
              <w:adjustRightInd/>
              <w:spacing w:line="233" w:lineRule="auto"/>
              <w:jc w:val="center"/>
              <w:rPr>
                <w:color w:val="000000"/>
                <w:sz w:val="20"/>
                <w:szCs w:val="20"/>
              </w:rPr>
            </w:pPr>
            <w:r w:rsidRPr="007C51D6">
              <w:rPr>
                <w:color w:val="000000"/>
                <w:sz w:val="20"/>
                <w:szCs w:val="20"/>
              </w:rPr>
              <w:t>3 099,89</w:t>
            </w:r>
          </w:p>
        </w:tc>
        <w:tc>
          <w:tcPr>
            <w:tcW w:w="1219" w:type="dxa"/>
            <w:shd w:val="clear" w:color="auto" w:fill="auto"/>
            <w:hideMark/>
          </w:tcPr>
          <w:p w:rsidR="00A52121" w:rsidRPr="007C51D6" w:rsidRDefault="00A52121" w:rsidP="00A52121">
            <w:pPr>
              <w:autoSpaceDE/>
              <w:autoSpaceDN/>
              <w:adjustRightInd/>
              <w:spacing w:line="233" w:lineRule="auto"/>
              <w:jc w:val="center"/>
              <w:rPr>
                <w:color w:val="000000"/>
                <w:sz w:val="20"/>
                <w:szCs w:val="20"/>
              </w:rPr>
            </w:pPr>
            <w:r w:rsidRPr="007C51D6">
              <w:rPr>
                <w:color w:val="000000"/>
                <w:sz w:val="20"/>
                <w:szCs w:val="20"/>
              </w:rPr>
              <w:t>3 167,67</w:t>
            </w:r>
          </w:p>
        </w:tc>
        <w:tc>
          <w:tcPr>
            <w:tcW w:w="1163" w:type="dxa"/>
          </w:tcPr>
          <w:p w:rsidR="00A52121" w:rsidRPr="007C51D6" w:rsidRDefault="00A52121" w:rsidP="00A52121">
            <w:pPr>
              <w:spacing w:line="233" w:lineRule="auto"/>
              <w:jc w:val="center"/>
              <w:rPr>
                <w:color w:val="000000"/>
                <w:sz w:val="20"/>
                <w:szCs w:val="20"/>
              </w:rPr>
            </w:pPr>
            <w:r w:rsidRPr="007C51D6">
              <w:rPr>
                <w:color w:val="000000"/>
                <w:sz w:val="20"/>
                <w:szCs w:val="20"/>
              </w:rPr>
              <w:t>2 771,99</w:t>
            </w:r>
          </w:p>
        </w:tc>
        <w:tc>
          <w:tcPr>
            <w:tcW w:w="1162" w:type="dxa"/>
          </w:tcPr>
          <w:p w:rsidR="00A52121" w:rsidRPr="007C51D6" w:rsidRDefault="00A52121" w:rsidP="00A52121">
            <w:pPr>
              <w:spacing w:line="233" w:lineRule="auto"/>
              <w:jc w:val="center"/>
              <w:rPr>
                <w:color w:val="000000"/>
                <w:sz w:val="20"/>
                <w:szCs w:val="20"/>
              </w:rPr>
            </w:pPr>
            <w:r w:rsidRPr="007C51D6">
              <w:rPr>
                <w:color w:val="000000"/>
                <w:sz w:val="20"/>
                <w:szCs w:val="20"/>
              </w:rPr>
              <w:t>2 750,05</w:t>
            </w:r>
          </w:p>
        </w:tc>
        <w:tc>
          <w:tcPr>
            <w:tcW w:w="1162" w:type="dxa"/>
          </w:tcPr>
          <w:p w:rsidR="00A52121" w:rsidRPr="007C51D6" w:rsidRDefault="00A52121" w:rsidP="00A52121">
            <w:pPr>
              <w:spacing w:line="233" w:lineRule="auto"/>
              <w:jc w:val="center"/>
              <w:rPr>
                <w:color w:val="000000"/>
                <w:sz w:val="20"/>
                <w:szCs w:val="20"/>
              </w:rPr>
            </w:pPr>
            <w:r w:rsidRPr="007C51D6">
              <w:rPr>
                <w:color w:val="000000"/>
                <w:sz w:val="20"/>
                <w:szCs w:val="20"/>
              </w:rPr>
              <w:t>2932,81</w:t>
            </w:r>
          </w:p>
        </w:tc>
        <w:tc>
          <w:tcPr>
            <w:tcW w:w="1248" w:type="dxa"/>
            <w:vAlign w:val="center"/>
          </w:tcPr>
          <w:p w:rsidR="00A52121" w:rsidRPr="007C51D6" w:rsidRDefault="00A52121" w:rsidP="00A52121">
            <w:pPr>
              <w:spacing w:line="233" w:lineRule="auto"/>
              <w:jc w:val="center"/>
              <w:rPr>
                <w:color w:val="000000"/>
                <w:sz w:val="20"/>
                <w:szCs w:val="20"/>
              </w:rPr>
            </w:pPr>
            <w:r w:rsidRPr="007C51D6">
              <w:rPr>
                <w:color w:val="000000"/>
                <w:sz w:val="20"/>
                <w:szCs w:val="20"/>
              </w:rPr>
              <w:t>3198,79</w:t>
            </w:r>
          </w:p>
        </w:tc>
        <w:tc>
          <w:tcPr>
            <w:tcW w:w="1248" w:type="dxa"/>
            <w:vAlign w:val="center"/>
          </w:tcPr>
          <w:p w:rsidR="00A52121" w:rsidRPr="007C51D6" w:rsidRDefault="00A52121" w:rsidP="00A52121">
            <w:pPr>
              <w:jc w:val="center"/>
              <w:rPr>
                <w:color w:val="000000"/>
                <w:sz w:val="20"/>
                <w:szCs w:val="20"/>
              </w:rPr>
            </w:pPr>
            <w:r w:rsidRPr="007C51D6">
              <w:rPr>
                <w:color w:val="000000"/>
                <w:sz w:val="20"/>
                <w:szCs w:val="20"/>
              </w:rPr>
              <w:t>3156.18</w:t>
            </w:r>
          </w:p>
        </w:tc>
      </w:tr>
      <w:tr w:rsidR="00CF35F5" w:rsidRPr="007C51D6" w:rsidTr="00080BEF">
        <w:tblPrEx>
          <w:tblBorders>
            <w:bottom w:val="single" w:sz="4" w:space="0" w:color="auto"/>
          </w:tblBorders>
          <w:tblCellMar>
            <w:top w:w="11" w:type="dxa"/>
            <w:bottom w:w="11" w:type="dxa"/>
          </w:tblCellMar>
        </w:tblPrEx>
        <w:trPr>
          <w:trHeight w:val="20"/>
        </w:trPr>
        <w:tc>
          <w:tcPr>
            <w:tcW w:w="3114" w:type="dxa"/>
            <w:shd w:val="clear" w:color="auto" w:fill="auto"/>
          </w:tcPr>
          <w:p w:rsidR="00CF35F5" w:rsidRPr="007C51D6" w:rsidRDefault="00CF35F5" w:rsidP="00CF35F5">
            <w:pPr>
              <w:autoSpaceDE/>
              <w:autoSpaceDN/>
              <w:adjustRightInd/>
              <w:spacing w:line="233" w:lineRule="auto"/>
              <w:rPr>
                <w:color w:val="000000"/>
                <w:sz w:val="20"/>
                <w:szCs w:val="20"/>
              </w:rPr>
            </w:pPr>
            <w:r w:rsidRPr="007C51D6">
              <w:rPr>
                <w:color w:val="000000"/>
                <w:sz w:val="20"/>
                <w:szCs w:val="20"/>
              </w:rPr>
              <w:t>Муслюмовский</w:t>
            </w:r>
          </w:p>
        </w:tc>
        <w:tc>
          <w:tcPr>
            <w:tcW w:w="1248" w:type="dxa"/>
            <w:shd w:val="clear" w:color="auto" w:fill="auto"/>
          </w:tcPr>
          <w:p w:rsidR="00CF35F5" w:rsidRPr="007C51D6" w:rsidRDefault="00CF35F5" w:rsidP="00CF35F5">
            <w:pPr>
              <w:autoSpaceDE/>
              <w:autoSpaceDN/>
              <w:adjustRightInd/>
              <w:spacing w:line="233" w:lineRule="auto"/>
              <w:jc w:val="center"/>
              <w:rPr>
                <w:color w:val="000000"/>
                <w:sz w:val="20"/>
                <w:szCs w:val="20"/>
              </w:rPr>
            </w:pPr>
            <w:r w:rsidRPr="007C51D6">
              <w:rPr>
                <w:color w:val="000000"/>
                <w:sz w:val="20"/>
                <w:szCs w:val="20"/>
              </w:rPr>
              <w:t>2 536,60</w:t>
            </w:r>
          </w:p>
        </w:tc>
        <w:tc>
          <w:tcPr>
            <w:tcW w:w="1247" w:type="dxa"/>
            <w:shd w:val="clear" w:color="auto" w:fill="auto"/>
          </w:tcPr>
          <w:p w:rsidR="00CF35F5" w:rsidRPr="007C51D6" w:rsidRDefault="00CF35F5" w:rsidP="00CF35F5">
            <w:pPr>
              <w:autoSpaceDE/>
              <w:autoSpaceDN/>
              <w:adjustRightInd/>
              <w:spacing w:line="233" w:lineRule="auto"/>
              <w:jc w:val="center"/>
              <w:rPr>
                <w:color w:val="000000"/>
                <w:sz w:val="20"/>
                <w:szCs w:val="20"/>
              </w:rPr>
            </w:pPr>
            <w:r w:rsidRPr="007C51D6">
              <w:rPr>
                <w:color w:val="000000"/>
                <w:sz w:val="20"/>
                <w:szCs w:val="20"/>
              </w:rPr>
              <w:t>2 872,26</w:t>
            </w:r>
          </w:p>
        </w:tc>
        <w:tc>
          <w:tcPr>
            <w:tcW w:w="1276" w:type="dxa"/>
            <w:shd w:val="clear" w:color="auto" w:fill="auto"/>
          </w:tcPr>
          <w:p w:rsidR="00CF35F5" w:rsidRPr="007C51D6" w:rsidRDefault="00CF35F5" w:rsidP="00CF35F5">
            <w:pPr>
              <w:autoSpaceDE/>
              <w:autoSpaceDN/>
              <w:adjustRightInd/>
              <w:spacing w:line="233" w:lineRule="auto"/>
              <w:jc w:val="center"/>
              <w:rPr>
                <w:color w:val="000000"/>
                <w:sz w:val="20"/>
                <w:szCs w:val="20"/>
              </w:rPr>
            </w:pPr>
            <w:r w:rsidRPr="007C51D6">
              <w:rPr>
                <w:color w:val="000000"/>
                <w:sz w:val="20"/>
                <w:szCs w:val="20"/>
              </w:rPr>
              <w:t>2 958,64</w:t>
            </w:r>
          </w:p>
        </w:tc>
        <w:tc>
          <w:tcPr>
            <w:tcW w:w="1162" w:type="dxa"/>
            <w:shd w:val="clear" w:color="auto" w:fill="auto"/>
          </w:tcPr>
          <w:p w:rsidR="00CF35F5" w:rsidRPr="007C51D6" w:rsidRDefault="00CF35F5" w:rsidP="00CF35F5">
            <w:pPr>
              <w:autoSpaceDE/>
              <w:autoSpaceDN/>
              <w:adjustRightInd/>
              <w:spacing w:line="233" w:lineRule="auto"/>
              <w:jc w:val="center"/>
              <w:rPr>
                <w:color w:val="000000"/>
                <w:sz w:val="20"/>
                <w:szCs w:val="20"/>
              </w:rPr>
            </w:pPr>
            <w:r w:rsidRPr="007C51D6">
              <w:rPr>
                <w:color w:val="000000"/>
                <w:sz w:val="20"/>
                <w:szCs w:val="20"/>
              </w:rPr>
              <w:t>3 104,03</w:t>
            </w:r>
          </w:p>
        </w:tc>
        <w:tc>
          <w:tcPr>
            <w:tcW w:w="1219" w:type="dxa"/>
            <w:shd w:val="clear" w:color="auto" w:fill="auto"/>
          </w:tcPr>
          <w:p w:rsidR="00CF35F5" w:rsidRPr="007C51D6" w:rsidRDefault="00CF35F5" w:rsidP="00CF35F5">
            <w:pPr>
              <w:autoSpaceDE/>
              <w:autoSpaceDN/>
              <w:adjustRightInd/>
              <w:spacing w:line="233" w:lineRule="auto"/>
              <w:jc w:val="center"/>
              <w:rPr>
                <w:color w:val="000000"/>
                <w:sz w:val="20"/>
                <w:szCs w:val="20"/>
              </w:rPr>
            </w:pPr>
            <w:r w:rsidRPr="007C51D6">
              <w:rPr>
                <w:color w:val="000000"/>
                <w:sz w:val="20"/>
                <w:szCs w:val="20"/>
              </w:rPr>
              <w:t>3 109,80</w:t>
            </w:r>
          </w:p>
        </w:tc>
        <w:tc>
          <w:tcPr>
            <w:tcW w:w="1163" w:type="dxa"/>
          </w:tcPr>
          <w:p w:rsidR="00CF35F5" w:rsidRPr="007C51D6" w:rsidRDefault="00CF35F5" w:rsidP="00CF35F5">
            <w:pPr>
              <w:spacing w:line="233" w:lineRule="auto"/>
              <w:jc w:val="center"/>
              <w:rPr>
                <w:color w:val="000000"/>
                <w:sz w:val="20"/>
                <w:szCs w:val="20"/>
              </w:rPr>
            </w:pPr>
            <w:r w:rsidRPr="007C51D6">
              <w:rPr>
                <w:color w:val="000000"/>
                <w:sz w:val="20"/>
                <w:szCs w:val="20"/>
              </w:rPr>
              <w:t>2 523,82</w:t>
            </w:r>
          </w:p>
        </w:tc>
        <w:tc>
          <w:tcPr>
            <w:tcW w:w="1162" w:type="dxa"/>
          </w:tcPr>
          <w:p w:rsidR="00CF35F5" w:rsidRPr="007C51D6" w:rsidRDefault="00CF35F5" w:rsidP="00CF35F5">
            <w:pPr>
              <w:spacing w:line="233" w:lineRule="auto"/>
              <w:jc w:val="center"/>
              <w:rPr>
                <w:color w:val="000000"/>
                <w:sz w:val="20"/>
                <w:szCs w:val="20"/>
              </w:rPr>
            </w:pPr>
            <w:r w:rsidRPr="007C51D6">
              <w:rPr>
                <w:color w:val="000000"/>
                <w:sz w:val="20"/>
                <w:szCs w:val="20"/>
              </w:rPr>
              <w:t>2 550,01</w:t>
            </w:r>
          </w:p>
        </w:tc>
        <w:tc>
          <w:tcPr>
            <w:tcW w:w="1162" w:type="dxa"/>
          </w:tcPr>
          <w:p w:rsidR="00CF35F5" w:rsidRPr="007C51D6" w:rsidRDefault="00CF35F5" w:rsidP="00CF35F5">
            <w:pPr>
              <w:spacing w:line="233" w:lineRule="auto"/>
              <w:jc w:val="center"/>
              <w:rPr>
                <w:color w:val="000000"/>
                <w:sz w:val="20"/>
                <w:szCs w:val="20"/>
              </w:rPr>
            </w:pPr>
            <w:r w:rsidRPr="007C51D6">
              <w:rPr>
                <w:color w:val="000000"/>
                <w:sz w:val="20"/>
                <w:szCs w:val="20"/>
              </w:rPr>
              <w:t>2783,09</w:t>
            </w:r>
          </w:p>
        </w:tc>
        <w:tc>
          <w:tcPr>
            <w:tcW w:w="1248" w:type="dxa"/>
            <w:vAlign w:val="center"/>
          </w:tcPr>
          <w:p w:rsidR="00CF35F5" w:rsidRPr="007C51D6" w:rsidRDefault="00CF35F5" w:rsidP="00CF35F5">
            <w:pPr>
              <w:spacing w:line="233" w:lineRule="auto"/>
              <w:jc w:val="center"/>
              <w:rPr>
                <w:color w:val="000000"/>
                <w:sz w:val="20"/>
                <w:szCs w:val="20"/>
              </w:rPr>
            </w:pPr>
            <w:r w:rsidRPr="007C51D6">
              <w:rPr>
                <w:color w:val="000000"/>
                <w:sz w:val="20"/>
                <w:szCs w:val="20"/>
              </w:rPr>
              <w:t>2840,79</w:t>
            </w:r>
          </w:p>
        </w:tc>
        <w:tc>
          <w:tcPr>
            <w:tcW w:w="1248" w:type="dxa"/>
            <w:vAlign w:val="center"/>
          </w:tcPr>
          <w:p w:rsidR="00CF35F5" w:rsidRPr="007C51D6" w:rsidRDefault="00CF35F5" w:rsidP="00CF35F5">
            <w:pPr>
              <w:jc w:val="center"/>
              <w:rPr>
                <w:color w:val="000000"/>
                <w:sz w:val="20"/>
                <w:szCs w:val="20"/>
              </w:rPr>
            </w:pPr>
            <w:r w:rsidRPr="007C51D6">
              <w:rPr>
                <w:color w:val="000000"/>
                <w:sz w:val="20"/>
                <w:szCs w:val="20"/>
              </w:rPr>
              <w:t>3122.45</w:t>
            </w:r>
          </w:p>
        </w:tc>
      </w:tr>
    </w:tbl>
    <w:p w:rsidR="00CF35F5" w:rsidRDefault="00CF35F5">
      <w:r>
        <w:br w:type="page"/>
      </w:r>
    </w:p>
    <w:tbl>
      <w:tblPr>
        <w:tblW w:w="152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 w:type="dxa"/>
          <w:bottom w:w="11" w:type="dxa"/>
        </w:tblCellMar>
        <w:tblLook w:val="04A0" w:firstRow="1" w:lastRow="0" w:firstColumn="1" w:lastColumn="0" w:noHBand="0" w:noVBand="1"/>
      </w:tblPr>
      <w:tblGrid>
        <w:gridCol w:w="3114"/>
        <w:gridCol w:w="1248"/>
        <w:gridCol w:w="1247"/>
        <w:gridCol w:w="1276"/>
        <w:gridCol w:w="1162"/>
        <w:gridCol w:w="1219"/>
        <w:gridCol w:w="1163"/>
        <w:gridCol w:w="1162"/>
        <w:gridCol w:w="1162"/>
        <w:gridCol w:w="1248"/>
        <w:gridCol w:w="1248"/>
      </w:tblGrid>
      <w:tr w:rsidR="00CF35F5" w:rsidRPr="007C51D6" w:rsidTr="00CF35F5">
        <w:trPr>
          <w:trHeight w:val="20"/>
          <w:tblHeader/>
        </w:trPr>
        <w:tc>
          <w:tcPr>
            <w:tcW w:w="3114" w:type="dxa"/>
            <w:shd w:val="clear" w:color="auto" w:fill="auto"/>
          </w:tcPr>
          <w:p w:rsidR="00CF35F5" w:rsidRPr="007C51D6" w:rsidRDefault="00CF35F5" w:rsidP="00CF35F5">
            <w:pPr>
              <w:autoSpaceDE/>
              <w:autoSpaceDN/>
              <w:adjustRightInd/>
              <w:jc w:val="center"/>
              <w:rPr>
                <w:color w:val="000000"/>
                <w:sz w:val="20"/>
                <w:szCs w:val="20"/>
              </w:rPr>
            </w:pPr>
            <w:r w:rsidRPr="007C51D6">
              <w:rPr>
                <w:color w:val="000000"/>
                <w:sz w:val="20"/>
                <w:szCs w:val="20"/>
              </w:rPr>
              <w:lastRenderedPageBreak/>
              <w:t>1</w:t>
            </w:r>
          </w:p>
        </w:tc>
        <w:tc>
          <w:tcPr>
            <w:tcW w:w="1248" w:type="dxa"/>
            <w:shd w:val="clear" w:color="auto" w:fill="auto"/>
          </w:tcPr>
          <w:p w:rsidR="00CF35F5" w:rsidRPr="007C51D6" w:rsidRDefault="00CF35F5" w:rsidP="00CF35F5">
            <w:pPr>
              <w:autoSpaceDE/>
              <w:autoSpaceDN/>
              <w:adjustRightInd/>
              <w:jc w:val="center"/>
              <w:rPr>
                <w:color w:val="000000"/>
                <w:sz w:val="20"/>
                <w:szCs w:val="20"/>
              </w:rPr>
            </w:pPr>
            <w:r w:rsidRPr="007C51D6">
              <w:rPr>
                <w:color w:val="000000"/>
                <w:sz w:val="20"/>
                <w:szCs w:val="20"/>
              </w:rPr>
              <w:t>2</w:t>
            </w:r>
          </w:p>
        </w:tc>
        <w:tc>
          <w:tcPr>
            <w:tcW w:w="1247" w:type="dxa"/>
            <w:shd w:val="clear" w:color="auto" w:fill="auto"/>
          </w:tcPr>
          <w:p w:rsidR="00CF35F5" w:rsidRPr="007C51D6" w:rsidRDefault="00CF35F5" w:rsidP="00CF35F5">
            <w:pPr>
              <w:autoSpaceDE/>
              <w:autoSpaceDN/>
              <w:adjustRightInd/>
              <w:jc w:val="center"/>
              <w:rPr>
                <w:color w:val="000000"/>
                <w:sz w:val="20"/>
                <w:szCs w:val="20"/>
              </w:rPr>
            </w:pPr>
            <w:r w:rsidRPr="007C51D6">
              <w:rPr>
                <w:color w:val="000000"/>
                <w:sz w:val="20"/>
                <w:szCs w:val="20"/>
              </w:rPr>
              <w:t>3</w:t>
            </w:r>
          </w:p>
        </w:tc>
        <w:tc>
          <w:tcPr>
            <w:tcW w:w="1276" w:type="dxa"/>
            <w:shd w:val="clear" w:color="auto" w:fill="auto"/>
          </w:tcPr>
          <w:p w:rsidR="00CF35F5" w:rsidRPr="007C51D6" w:rsidRDefault="00CF35F5" w:rsidP="00CF35F5">
            <w:pPr>
              <w:autoSpaceDE/>
              <w:autoSpaceDN/>
              <w:adjustRightInd/>
              <w:jc w:val="center"/>
              <w:rPr>
                <w:color w:val="000000"/>
                <w:sz w:val="20"/>
                <w:szCs w:val="20"/>
              </w:rPr>
            </w:pPr>
            <w:r w:rsidRPr="007C51D6">
              <w:rPr>
                <w:color w:val="000000"/>
                <w:sz w:val="20"/>
                <w:szCs w:val="20"/>
              </w:rPr>
              <w:t>4</w:t>
            </w:r>
          </w:p>
        </w:tc>
        <w:tc>
          <w:tcPr>
            <w:tcW w:w="1162" w:type="dxa"/>
            <w:shd w:val="clear" w:color="auto" w:fill="auto"/>
          </w:tcPr>
          <w:p w:rsidR="00CF35F5" w:rsidRPr="007C51D6" w:rsidRDefault="00CF35F5" w:rsidP="00CF35F5">
            <w:pPr>
              <w:autoSpaceDE/>
              <w:autoSpaceDN/>
              <w:adjustRightInd/>
              <w:jc w:val="center"/>
              <w:rPr>
                <w:color w:val="000000"/>
                <w:sz w:val="20"/>
                <w:szCs w:val="20"/>
              </w:rPr>
            </w:pPr>
            <w:r w:rsidRPr="007C51D6">
              <w:rPr>
                <w:color w:val="000000"/>
                <w:sz w:val="20"/>
                <w:szCs w:val="20"/>
              </w:rPr>
              <w:t>5</w:t>
            </w:r>
          </w:p>
        </w:tc>
        <w:tc>
          <w:tcPr>
            <w:tcW w:w="1219" w:type="dxa"/>
            <w:shd w:val="clear" w:color="auto" w:fill="auto"/>
          </w:tcPr>
          <w:p w:rsidR="00CF35F5" w:rsidRPr="007C51D6" w:rsidRDefault="00CF35F5" w:rsidP="00CF35F5">
            <w:pPr>
              <w:autoSpaceDE/>
              <w:autoSpaceDN/>
              <w:adjustRightInd/>
              <w:jc w:val="center"/>
              <w:rPr>
                <w:color w:val="000000"/>
                <w:sz w:val="20"/>
                <w:szCs w:val="20"/>
              </w:rPr>
            </w:pPr>
            <w:r w:rsidRPr="007C51D6">
              <w:rPr>
                <w:color w:val="000000"/>
                <w:sz w:val="20"/>
                <w:szCs w:val="20"/>
              </w:rPr>
              <w:t>6</w:t>
            </w:r>
          </w:p>
        </w:tc>
        <w:tc>
          <w:tcPr>
            <w:tcW w:w="1163" w:type="dxa"/>
          </w:tcPr>
          <w:p w:rsidR="00CF35F5" w:rsidRPr="007C51D6" w:rsidRDefault="00CF35F5" w:rsidP="00CF35F5">
            <w:pPr>
              <w:autoSpaceDE/>
              <w:autoSpaceDN/>
              <w:adjustRightInd/>
              <w:jc w:val="center"/>
              <w:rPr>
                <w:color w:val="000000"/>
                <w:sz w:val="20"/>
                <w:szCs w:val="20"/>
              </w:rPr>
            </w:pPr>
            <w:r w:rsidRPr="007C51D6">
              <w:rPr>
                <w:color w:val="000000"/>
                <w:sz w:val="20"/>
                <w:szCs w:val="20"/>
              </w:rPr>
              <w:t>7</w:t>
            </w:r>
          </w:p>
        </w:tc>
        <w:tc>
          <w:tcPr>
            <w:tcW w:w="1162" w:type="dxa"/>
          </w:tcPr>
          <w:p w:rsidR="00CF35F5" w:rsidRPr="007C51D6" w:rsidRDefault="00CF35F5" w:rsidP="00CF35F5">
            <w:pPr>
              <w:autoSpaceDE/>
              <w:autoSpaceDN/>
              <w:adjustRightInd/>
              <w:jc w:val="center"/>
              <w:rPr>
                <w:color w:val="000000"/>
                <w:sz w:val="20"/>
                <w:szCs w:val="20"/>
              </w:rPr>
            </w:pPr>
            <w:r w:rsidRPr="007C51D6">
              <w:rPr>
                <w:color w:val="000000"/>
                <w:sz w:val="20"/>
                <w:szCs w:val="20"/>
              </w:rPr>
              <w:t>8</w:t>
            </w:r>
          </w:p>
        </w:tc>
        <w:tc>
          <w:tcPr>
            <w:tcW w:w="1162" w:type="dxa"/>
          </w:tcPr>
          <w:p w:rsidR="00CF35F5" w:rsidRPr="007C51D6" w:rsidRDefault="00CF35F5" w:rsidP="00CF35F5">
            <w:pPr>
              <w:autoSpaceDE/>
              <w:autoSpaceDN/>
              <w:adjustRightInd/>
              <w:jc w:val="center"/>
              <w:rPr>
                <w:color w:val="000000"/>
                <w:sz w:val="20"/>
                <w:szCs w:val="20"/>
              </w:rPr>
            </w:pPr>
            <w:r w:rsidRPr="007C51D6">
              <w:rPr>
                <w:color w:val="000000"/>
                <w:sz w:val="20"/>
                <w:szCs w:val="20"/>
              </w:rPr>
              <w:t>9</w:t>
            </w:r>
          </w:p>
        </w:tc>
        <w:tc>
          <w:tcPr>
            <w:tcW w:w="1248" w:type="dxa"/>
          </w:tcPr>
          <w:p w:rsidR="00CF35F5" w:rsidRPr="007C51D6" w:rsidRDefault="00CF35F5" w:rsidP="00CF35F5">
            <w:pPr>
              <w:autoSpaceDE/>
              <w:autoSpaceDN/>
              <w:adjustRightInd/>
              <w:jc w:val="center"/>
              <w:rPr>
                <w:color w:val="000000"/>
                <w:sz w:val="20"/>
                <w:szCs w:val="20"/>
              </w:rPr>
            </w:pPr>
            <w:r w:rsidRPr="007C51D6">
              <w:rPr>
                <w:color w:val="000000"/>
                <w:sz w:val="20"/>
                <w:szCs w:val="20"/>
              </w:rPr>
              <w:t>10</w:t>
            </w:r>
          </w:p>
        </w:tc>
        <w:tc>
          <w:tcPr>
            <w:tcW w:w="1248" w:type="dxa"/>
          </w:tcPr>
          <w:p w:rsidR="00CF35F5" w:rsidRPr="007C51D6" w:rsidRDefault="00CF35F5" w:rsidP="00CF35F5">
            <w:pPr>
              <w:autoSpaceDE/>
              <w:autoSpaceDN/>
              <w:adjustRightInd/>
              <w:jc w:val="center"/>
              <w:rPr>
                <w:color w:val="000000"/>
                <w:sz w:val="20"/>
                <w:szCs w:val="20"/>
              </w:rPr>
            </w:pPr>
            <w:r w:rsidRPr="007C51D6">
              <w:rPr>
                <w:color w:val="000000"/>
                <w:sz w:val="20"/>
                <w:szCs w:val="20"/>
              </w:rPr>
              <w:t>11</w:t>
            </w:r>
          </w:p>
        </w:tc>
      </w:tr>
      <w:tr w:rsidR="00CF35F5" w:rsidRPr="007C51D6" w:rsidTr="00080BEF">
        <w:trPr>
          <w:trHeight w:val="20"/>
        </w:trPr>
        <w:tc>
          <w:tcPr>
            <w:tcW w:w="3114" w:type="dxa"/>
            <w:shd w:val="clear" w:color="auto" w:fill="auto"/>
            <w:hideMark/>
          </w:tcPr>
          <w:p w:rsidR="00CF35F5" w:rsidRPr="007C51D6" w:rsidRDefault="00CF35F5" w:rsidP="00CF35F5">
            <w:pPr>
              <w:autoSpaceDE/>
              <w:autoSpaceDN/>
              <w:adjustRightInd/>
              <w:spacing w:line="233" w:lineRule="auto"/>
              <w:rPr>
                <w:color w:val="000000"/>
                <w:sz w:val="20"/>
                <w:szCs w:val="20"/>
              </w:rPr>
            </w:pPr>
            <w:r w:rsidRPr="007C51D6">
              <w:rPr>
                <w:color w:val="000000"/>
                <w:sz w:val="20"/>
                <w:szCs w:val="20"/>
              </w:rPr>
              <w:t>Нижнекамский</w:t>
            </w:r>
          </w:p>
        </w:tc>
        <w:tc>
          <w:tcPr>
            <w:tcW w:w="1248" w:type="dxa"/>
            <w:shd w:val="clear" w:color="auto" w:fill="auto"/>
            <w:hideMark/>
          </w:tcPr>
          <w:p w:rsidR="00CF35F5" w:rsidRPr="007C51D6" w:rsidRDefault="00CF35F5" w:rsidP="00CF35F5">
            <w:pPr>
              <w:autoSpaceDE/>
              <w:autoSpaceDN/>
              <w:adjustRightInd/>
              <w:spacing w:line="233" w:lineRule="auto"/>
              <w:jc w:val="center"/>
              <w:rPr>
                <w:color w:val="000000"/>
                <w:sz w:val="20"/>
                <w:szCs w:val="20"/>
              </w:rPr>
            </w:pPr>
            <w:r w:rsidRPr="007C51D6">
              <w:rPr>
                <w:color w:val="000000"/>
                <w:sz w:val="20"/>
                <w:szCs w:val="20"/>
              </w:rPr>
              <w:t>2 403,25</w:t>
            </w:r>
          </w:p>
        </w:tc>
        <w:tc>
          <w:tcPr>
            <w:tcW w:w="1247" w:type="dxa"/>
            <w:shd w:val="clear" w:color="auto" w:fill="auto"/>
            <w:hideMark/>
          </w:tcPr>
          <w:p w:rsidR="00CF35F5" w:rsidRPr="007C51D6" w:rsidRDefault="00CF35F5" w:rsidP="00CF35F5">
            <w:pPr>
              <w:autoSpaceDE/>
              <w:autoSpaceDN/>
              <w:adjustRightInd/>
              <w:spacing w:line="233" w:lineRule="auto"/>
              <w:jc w:val="center"/>
              <w:rPr>
                <w:color w:val="000000"/>
                <w:sz w:val="20"/>
                <w:szCs w:val="20"/>
              </w:rPr>
            </w:pPr>
            <w:r w:rsidRPr="007C51D6">
              <w:rPr>
                <w:color w:val="000000"/>
                <w:sz w:val="20"/>
                <w:szCs w:val="20"/>
              </w:rPr>
              <w:t>2 569,65</w:t>
            </w:r>
          </w:p>
        </w:tc>
        <w:tc>
          <w:tcPr>
            <w:tcW w:w="1276" w:type="dxa"/>
            <w:shd w:val="clear" w:color="auto" w:fill="auto"/>
            <w:hideMark/>
          </w:tcPr>
          <w:p w:rsidR="00CF35F5" w:rsidRPr="007C51D6" w:rsidRDefault="00CF35F5" w:rsidP="00CF35F5">
            <w:pPr>
              <w:autoSpaceDE/>
              <w:autoSpaceDN/>
              <w:adjustRightInd/>
              <w:spacing w:line="233" w:lineRule="auto"/>
              <w:jc w:val="center"/>
              <w:rPr>
                <w:color w:val="000000"/>
                <w:sz w:val="20"/>
                <w:szCs w:val="20"/>
              </w:rPr>
            </w:pPr>
            <w:r w:rsidRPr="007C51D6">
              <w:rPr>
                <w:color w:val="000000"/>
                <w:sz w:val="20"/>
                <w:szCs w:val="20"/>
              </w:rPr>
              <w:t>2 723,31</w:t>
            </w:r>
          </w:p>
        </w:tc>
        <w:tc>
          <w:tcPr>
            <w:tcW w:w="1162" w:type="dxa"/>
            <w:shd w:val="clear" w:color="auto" w:fill="auto"/>
            <w:hideMark/>
          </w:tcPr>
          <w:p w:rsidR="00CF35F5" w:rsidRPr="007C51D6" w:rsidRDefault="00CF35F5" w:rsidP="00CF35F5">
            <w:pPr>
              <w:autoSpaceDE/>
              <w:autoSpaceDN/>
              <w:adjustRightInd/>
              <w:spacing w:line="233" w:lineRule="auto"/>
              <w:jc w:val="center"/>
              <w:rPr>
                <w:color w:val="000000"/>
                <w:sz w:val="20"/>
                <w:szCs w:val="20"/>
              </w:rPr>
            </w:pPr>
            <w:r w:rsidRPr="007C51D6">
              <w:rPr>
                <w:color w:val="000000"/>
                <w:sz w:val="20"/>
                <w:szCs w:val="20"/>
              </w:rPr>
              <w:t>2 878,19</w:t>
            </w:r>
          </w:p>
        </w:tc>
        <w:tc>
          <w:tcPr>
            <w:tcW w:w="1219" w:type="dxa"/>
            <w:shd w:val="clear" w:color="auto" w:fill="auto"/>
            <w:hideMark/>
          </w:tcPr>
          <w:p w:rsidR="00CF35F5" w:rsidRPr="007C51D6" w:rsidRDefault="00CF35F5" w:rsidP="00CF35F5">
            <w:pPr>
              <w:autoSpaceDE/>
              <w:autoSpaceDN/>
              <w:adjustRightInd/>
              <w:spacing w:line="233" w:lineRule="auto"/>
              <w:jc w:val="center"/>
              <w:rPr>
                <w:color w:val="000000"/>
                <w:sz w:val="20"/>
                <w:szCs w:val="20"/>
              </w:rPr>
            </w:pPr>
            <w:r w:rsidRPr="007C51D6">
              <w:rPr>
                <w:color w:val="000000"/>
                <w:sz w:val="20"/>
                <w:szCs w:val="20"/>
              </w:rPr>
              <w:t>2 898,03</w:t>
            </w:r>
          </w:p>
        </w:tc>
        <w:tc>
          <w:tcPr>
            <w:tcW w:w="1163" w:type="dxa"/>
          </w:tcPr>
          <w:p w:rsidR="00CF35F5" w:rsidRPr="007C51D6" w:rsidRDefault="00CF35F5" w:rsidP="00CF35F5">
            <w:pPr>
              <w:spacing w:line="233" w:lineRule="auto"/>
              <w:jc w:val="center"/>
              <w:rPr>
                <w:color w:val="000000"/>
                <w:sz w:val="20"/>
                <w:szCs w:val="20"/>
              </w:rPr>
            </w:pPr>
            <w:r w:rsidRPr="007C51D6">
              <w:rPr>
                <w:color w:val="000000"/>
                <w:sz w:val="20"/>
                <w:szCs w:val="20"/>
              </w:rPr>
              <w:t>2 504,37</w:t>
            </w:r>
          </w:p>
        </w:tc>
        <w:tc>
          <w:tcPr>
            <w:tcW w:w="1162" w:type="dxa"/>
          </w:tcPr>
          <w:p w:rsidR="00CF35F5" w:rsidRPr="007C51D6" w:rsidRDefault="00CF35F5" w:rsidP="00CF35F5">
            <w:pPr>
              <w:spacing w:line="233" w:lineRule="auto"/>
              <w:jc w:val="center"/>
              <w:rPr>
                <w:color w:val="000000"/>
                <w:sz w:val="20"/>
                <w:szCs w:val="20"/>
              </w:rPr>
            </w:pPr>
            <w:r w:rsidRPr="007C51D6">
              <w:rPr>
                <w:color w:val="000000"/>
                <w:sz w:val="20"/>
                <w:szCs w:val="20"/>
              </w:rPr>
              <w:t>2 604,72</w:t>
            </w:r>
          </w:p>
        </w:tc>
        <w:tc>
          <w:tcPr>
            <w:tcW w:w="1162" w:type="dxa"/>
          </w:tcPr>
          <w:p w:rsidR="00CF35F5" w:rsidRPr="007C51D6" w:rsidRDefault="00CF35F5" w:rsidP="00CF35F5">
            <w:pPr>
              <w:spacing w:line="233" w:lineRule="auto"/>
              <w:jc w:val="center"/>
              <w:rPr>
                <w:color w:val="000000"/>
                <w:sz w:val="20"/>
                <w:szCs w:val="20"/>
              </w:rPr>
            </w:pPr>
            <w:r w:rsidRPr="007C51D6">
              <w:rPr>
                <w:color w:val="000000"/>
                <w:sz w:val="20"/>
                <w:szCs w:val="20"/>
              </w:rPr>
              <w:t>2674,22</w:t>
            </w:r>
          </w:p>
        </w:tc>
        <w:tc>
          <w:tcPr>
            <w:tcW w:w="1248" w:type="dxa"/>
            <w:vAlign w:val="center"/>
          </w:tcPr>
          <w:p w:rsidR="00CF35F5" w:rsidRPr="007C51D6" w:rsidRDefault="00CF35F5" w:rsidP="00CF35F5">
            <w:pPr>
              <w:spacing w:line="233" w:lineRule="auto"/>
              <w:jc w:val="center"/>
              <w:rPr>
                <w:color w:val="000000"/>
                <w:sz w:val="20"/>
                <w:szCs w:val="20"/>
              </w:rPr>
            </w:pPr>
            <w:r w:rsidRPr="007C51D6">
              <w:rPr>
                <w:color w:val="000000"/>
                <w:sz w:val="20"/>
                <w:szCs w:val="20"/>
              </w:rPr>
              <w:t>2841,75</w:t>
            </w:r>
          </w:p>
        </w:tc>
        <w:tc>
          <w:tcPr>
            <w:tcW w:w="1248" w:type="dxa"/>
            <w:vAlign w:val="center"/>
          </w:tcPr>
          <w:p w:rsidR="00CF35F5" w:rsidRPr="007C51D6" w:rsidRDefault="00CF35F5" w:rsidP="00CF35F5">
            <w:pPr>
              <w:jc w:val="center"/>
              <w:rPr>
                <w:color w:val="000000"/>
                <w:sz w:val="20"/>
                <w:szCs w:val="20"/>
              </w:rPr>
            </w:pPr>
            <w:r w:rsidRPr="007C51D6">
              <w:rPr>
                <w:color w:val="000000"/>
                <w:sz w:val="20"/>
                <w:szCs w:val="20"/>
              </w:rPr>
              <w:t>2720.73</w:t>
            </w:r>
          </w:p>
        </w:tc>
      </w:tr>
      <w:tr w:rsidR="00CF35F5" w:rsidRPr="007C51D6" w:rsidTr="00080BEF">
        <w:trPr>
          <w:trHeight w:val="20"/>
        </w:trPr>
        <w:tc>
          <w:tcPr>
            <w:tcW w:w="3114" w:type="dxa"/>
            <w:shd w:val="clear" w:color="auto" w:fill="auto"/>
            <w:hideMark/>
          </w:tcPr>
          <w:p w:rsidR="00CF35F5" w:rsidRPr="007C51D6" w:rsidRDefault="00CF35F5" w:rsidP="00CF35F5">
            <w:pPr>
              <w:autoSpaceDE/>
              <w:autoSpaceDN/>
              <w:adjustRightInd/>
              <w:spacing w:line="233" w:lineRule="auto"/>
              <w:rPr>
                <w:color w:val="000000"/>
                <w:sz w:val="20"/>
                <w:szCs w:val="20"/>
              </w:rPr>
            </w:pPr>
            <w:r w:rsidRPr="007C51D6">
              <w:rPr>
                <w:color w:val="000000"/>
                <w:sz w:val="20"/>
                <w:szCs w:val="20"/>
              </w:rPr>
              <w:t>Новошешминский</w:t>
            </w:r>
          </w:p>
        </w:tc>
        <w:tc>
          <w:tcPr>
            <w:tcW w:w="1248" w:type="dxa"/>
            <w:shd w:val="clear" w:color="auto" w:fill="auto"/>
            <w:hideMark/>
          </w:tcPr>
          <w:p w:rsidR="00CF35F5" w:rsidRPr="007C51D6" w:rsidRDefault="00CF35F5" w:rsidP="00CF35F5">
            <w:pPr>
              <w:autoSpaceDE/>
              <w:autoSpaceDN/>
              <w:adjustRightInd/>
              <w:spacing w:line="233" w:lineRule="auto"/>
              <w:jc w:val="center"/>
              <w:rPr>
                <w:color w:val="000000"/>
                <w:sz w:val="20"/>
                <w:szCs w:val="20"/>
              </w:rPr>
            </w:pPr>
            <w:r w:rsidRPr="007C51D6">
              <w:rPr>
                <w:color w:val="000000"/>
                <w:sz w:val="20"/>
                <w:szCs w:val="20"/>
              </w:rPr>
              <w:t>2 580,22</w:t>
            </w:r>
          </w:p>
        </w:tc>
        <w:tc>
          <w:tcPr>
            <w:tcW w:w="1247" w:type="dxa"/>
            <w:shd w:val="clear" w:color="auto" w:fill="auto"/>
            <w:hideMark/>
          </w:tcPr>
          <w:p w:rsidR="00CF35F5" w:rsidRPr="007C51D6" w:rsidRDefault="00CF35F5" w:rsidP="00CF35F5">
            <w:pPr>
              <w:autoSpaceDE/>
              <w:autoSpaceDN/>
              <w:adjustRightInd/>
              <w:spacing w:line="233" w:lineRule="auto"/>
              <w:jc w:val="center"/>
              <w:rPr>
                <w:color w:val="000000"/>
                <w:sz w:val="20"/>
                <w:szCs w:val="20"/>
              </w:rPr>
            </w:pPr>
            <w:r w:rsidRPr="007C51D6">
              <w:rPr>
                <w:color w:val="000000"/>
                <w:sz w:val="20"/>
                <w:szCs w:val="20"/>
              </w:rPr>
              <w:t>2 480,20</w:t>
            </w:r>
          </w:p>
        </w:tc>
        <w:tc>
          <w:tcPr>
            <w:tcW w:w="1276" w:type="dxa"/>
            <w:shd w:val="clear" w:color="auto" w:fill="auto"/>
            <w:hideMark/>
          </w:tcPr>
          <w:p w:rsidR="00CF35F5" w:rsidRPr="007C51D6" w:rsidRDefault="00CF35F5" w:rsidP="00CF35F5">
            <w:pPr>
              <w:autoSpaceDE/>
              <w:autoSpaceDN/>
              <w:adjustRightInd/>
              <w:spacing w:line="233" w:lineRule="auto"/>
              <w:jc w:val="center"/>
              <w:rPr>
                <w:color w:val="000000"/>
                <w:sz w:val="20"/>
                <w:szCs w:val="20"/>
              </w:rPr>
            </w:pPr>
            <w:r w:rsidRPr="007C51D6">
              <w:rPr>
                <w:color w:val="000000"/>
                <w:sz w:val="20"/>
                <w:szCs w:val="20"/>
              </w:rPr>
              <w:t>2 664,65</w:t>
            </w:r>
          </w:p>
        </w:tc>
        <w:tc>
          <w:tcPr>
            <w:tcW w:w="1162" w:type="dxa"/>
            <w:shd w:val="clear" w:color="auto" w:fill="auto"/>
            <w:hideMark/>
          </w:tcPr>
          <w:p w:rsidR="00CF35F5" w:rsidRPr="007C51D6" w:rsidRDefault="00CF35F5" w:rsidP="00CF35F5">
            <w:pPr>
              <w:autoSpaceDE/>
              <w:autoSpaceDN/>
              <w:adjustRightInd/>
              <w:spacing w:line="233" w:lineRule="auto"/>
              <w:jc w:val="center"/>
              <w:rPr>
                <w:color w:val="000000"/>
                <w:sz w:val="20"/>
                <w:szCs w:val="20"/>
              </w:rPr>
            </w:pPr>
            <w:r w:rsidRPr="007C51D6">
              <w:rPr>
                <w:color w:val="000000"/>
                <w:sz w:val="20"/>
                <w:szCs w:val="20"/>
              </w:rPr>
              <w:t>2 844,00</w:t>
            </w:r>
          </w:p>
        </w:tc>
        <w:tc>
          <w:tcPr>
            <w:tcW w:w="1219" w:type="dxa"/>
            <w:shd w:val="clear" w:color="auto" w:fill="auto"/>
            <w:hideMark/>
          </w:tcPr>
          <w:p w:rsidR="00CF35F5" w:rsidRPr="007C51D6" w:rsidRDefault="00CF35F5" w:rsidP="00CF35F5">
            <w:pPr>
              <w:autoSpaceDE/>
              <w:autoSpaceDN/>
              <w:adjustRightInd/>
              <w:spacing w:line="233" w:lineRule="auto"/>
              <w:jc w:val="center"/>
              <w:rPr>
                <w:color w:val="000000"/>
                <w:sz w:val="20"/>
                <w:szCs w:val="20"/>
              </w:rPr>
            </w:pPr>
            <w:r w:rsidRPr="007C51D6">
              <w:rPr>
                <w:color w:val="000000"/>
                <w:sz w:val="20"/>
                <w:szCs w:val="20"/>
              </w:rPr>
              <w:t>2 746,05</w:t>
            </w:r>
          </w:p>
        </w:tc>
        <w:tc>
          <w:tcPr>
            <w:tcW w:w="1163" w:type="dxa"/>
          </w:tcPr>
          <w:p w:rsidR="00CF35F5" w:rsidRPr="007C51D6" w:rsidRDefault="00CF35F5" w:rsidP="00CF35F5">
            <w:pPr>
              <w:spacing w:line="233" w:lineRule="auto"/>
              <w:jc w:val="center"/>
              <w:rPr>
                <w:color w:val="000000"/>
                <w:sz w:val="20"/>
                <w:szCs w:val="20"/>
              </w:rPr>
            </w:pPr>
            <w:r w:rsidRPr="007C51D6">
              <w:rPr>
                <w:color w:val="000000"/>
                <w:sz w:val="20"/>
                <w:szCs w:val="20"/>
              </w:rPr>
              <w:t>2 494,19</w:t>
            </w:r>
          </w:p>
        </w:tc>
        <w:tc>
          <w:tcPr>
            <w:tcW w:w="1162" w:type="dxa"/>
          </w:tcPr>
          <w:p w:rsidR="00CF35F5" w:rsidRPr="007C51D6" w:rsidRDefault="00CF35F5" w:rsidP="00CF35F5">
            <w:pPr>
              <w:spacing w:line="233" w:lineRule="auto"/>
              <w:jc w:val="center"/>
              <w:rPr>
                <w:color w:val="000000"/>
                <w:sz w:val="20"/>
                <w:szCs w:val="20"/>
              </w:rPr>
            </w:pPr>
            <w:r w:rsidRPr="007C51D6">
              <w:rPr>
                <w:color w:val="000000"/>
                <w:sz w:val="20"/>
                <w:szCs w:val="20"/>
              </w:rPr>
              <w:t>2 622,50</w:t>
            </w:r>
          </w:p>
        </w:tc>
        <w:tc>
          <w:tcPr>
            <w:tcW w:w="1162" w:type="dxa"/>
          </w:tcPr>
          <w:p w:rsidR="00CF35F5" w:rsidRPr="007C51D6" w:rsidRDefault="00CF35F5" w:rsidP="00CF35F5">
            <w:pPr>
              <w:spacing w:line="233" w:lineRule="auto"/>
              <w:jc w:val="center"/>
              <w:rPr>
                <w:color w:val="000000"/>
                <w:sz w:val="20"/>
                <w:szCs w:val="20"/>
              </w:rPr>
            </w:pPr>
            <w:r w:rsidRPr="007C51D6">
              <w:rPr>
                <w:color w:val="000000"/>
                <w:sz w:val="20"/>
                <w:szCs w:val="20"/>
              </w:rPr>
              <w:t>2734,80</w:t>
            </w:r>
          </w:p>
        </w:tc>
        <w:tc>
          <w:tcPr>
            <w:tcW w:w="1248" w:type="dxa"/>
            <w:vAlign w:val="center"/>
          </w:tcPr>
          <w:p w:rsidR="00CF35F5" w:rsidRPr="007C51D6" w:rsidRDefault="00CF35F5" w:rsidP="00CF35F5">
            <w:pPr>
              <w:spacing w:line="233" w:lineRule="auto"/>
              <w:jc w:val="center"/>
              <w:rPr>
                <w:color w:val="000000"/>
                <w:sz w:val="20"/>
                <w:szCs w:val="20"/>
              </w:rPr>
            </w:pPr>
            <w:r w:rsidRPr="007C51D6">
              <w:rPr>
                <w:color w:val="000000"/>
                <w:sz w:val="20"/>
                <w:szCs w:val="20"/>
              </w:rPr>
              <w:t>2934,63</w:t>
            </w:r>
          </w:p>
        </w:tc>
        <w:tc>
          <w:tcPr>
            <w:tcW w:w="1248" w:type="dxa"/>
            <w:vAlign w:val="center"/>
          </w:tcPr>
          <w:p w:rsidR="00CF35F5" w:rsidRPr="007C51D6" w:rsidRDefault="00CF35F5" w:rsidP="00CF35F5">
            <w:pPr>
              <w:jc w:val="center"/>
              <w:rPr>
                <w:color w:val="000000"/>
                <w:sz w:val="20"/>
                <w:szCs w:val="20"/>
              </w:rPr>
            </w:pPr>
            <w:r w:rsidRPr="007C51D6">
              <w:rPr>
                <w:color w:val="000000"/>
                <w:sz w:val="20"/>
                <w:szCs w:val="20"/>
              </w:rPr>
              <w:t>3161.55</w:t>
            </w:r>
          </w:p>
        </w:tc>
      </w:tr>
      <w:tr w:rsidR="00CF35F5" w:rsidRPr="007C51D6" w:rsidTr="00080BEF">
        <w:trPr>
          <w:trHeight w:val="20"/>
        </w:trPr>
        <w:tc>
          <w:tcPr>
            <w:tcW w:w="3114" w:type="dxa"/>
            <w:shd w:val="clear" w:color="auto" w:fill="auto"/>
            <w:hideMark/>
          </w:tcPr>
          <w:p w:rsidR="00CF35F5" w:rsidRPr="007C51D6" w:rsidRDefault="00CF35F5" w:rsidP="00CF35F5">
            <w:pPr>
              <w:autoSpaceDE/>
              <w:autoSpaceDN/>
              <w:adjustRightInd/>
              <w:spacing w:line="233" w:lineRule="auto"/>
              <w:rPr>
                <w:color w:val="000000"/>
                <w:sz w:val="20"/>
                <w:szCs w:val="20"/>
              </w:rPr>
            </w:pPr>
            <w:r w:rsidRPr="007C51D6">
              <w:rPr>
                <w:color w:val="000000"/>
                <w:sz w:val="20"/>
                <w:szCs w:val="20"/>
              </w:rPr>
              <w:t>Нурлатский</w:t>
            </w:r>
          </w:p>
        </w:tc>
        <w:tc>
          <w:tcPr>
            <w:tcW w:w="1248" w:type="dxa"/>
            <w:shd w:val="clear" w:color="auto" w:fill="auto"/>
            <w:hideMark/>
          </w:tcPr>
          <w:p w:rsidR="00CF35F5" w:rsidRPr="007C51D6" w:rsidRDefault="00CF35F5" w:rsidP="00CF35F5">
            <w:pPr>
              <w:autoSpaceDE/>
              <w:autoSpaceDN/>
              <w:adjustRightInd/>
              <w:spacing w:line="233" w:lineRule="auto"/>
              <w:jc w:val="center"/>
              <w:rPr>
                <w:color w:val="000000"/>
                <w:sz w:val="20"/>
                <w:szCs w:val="20"/>
              </w:rPr>
            </w:pPr>
            <w:r w:rsidRPr="007C51D6">
              <w:rPr>
                <w:color w:val="000000"/>
                <w:sz w:val="20"/>
                <w:szCs w:val="20"/>
              </w:rPr>
              <w:t>2 194,20</w:t>
            </w:r>
          </w:p>
        </w:tc>
        <w:tc>
          <w:tcPr>
            <w:tcW w:w="1247" w:type="dxa"/>
            <w:shd w:val="clear" w:color="auto" w:fill="auto"/>
            <w:hideMark/>
          </w:tcPr>
          <w:p w:rsidR="00CF35F5" w:rsidRPr="007C51D6" w:rsidRDefault="00CF35F5" w:rsidP="00CF35F5">
            <w:pPr>
              <w:autoSpaceDE/>
              <w:autoSpaceDN/>
              <w:adjustRightInd/>
              <w:spacing w:line="233" w:lineRule="auto"/>
              <w:jc w:val="center"/>
              <w:rPr>
                <w:color w:val="000000"/>
                <w:sz w:val="20"/>
                <w:szCs w:val="20"/>
              </w:rPr>
            </w:pPr>
            <w:r w:rsidRPr="007C51D6">
              <w:rPr>
                <w:color w:val="000000"/>
                <w:sz w:val="20"/>
                <w:szCs w:val="20"/>
              </w:rPr>
              <w:t>2 238,64</w:t>
            </w:r>
          </w:p>
        </w:tc>
        <w:tc>
          <w:tcPr>
            <w:tcW w:w="1276" w:type="dxa"/>
            <w:shd w:val="clear" w:color="auto" w:fill="auto"/>
            <w:hideMark/>
          </w:tcPr>
          <w:p w:rsidR="00CF35F5" w:rsidRPr="007C51D6" w:rsidRDefault="00CF35F5" w:rsidP="00CF35F5">
            <w:pPr>
              <w:autoSpaceDE/>
              <w:autoSpaceDN/>
              <w:adjustRightInd/>
              <w:spacing w:line="233" w:lineRule="auto"/>
              <w:jc w:val="center"/>
              <w:rPr>
                <w:color w:val="000000"/>
                <w:sz w:val="20"/>
                <w:szCs w:val="20"/>
              </w:rPr>
            </w:pPr>
            <w:r w:rsidRPr="007C51D6">
              <w:rPr>
                <w:color w:val="000000"/>
                <w:sz w:val="20"/>
                <w:szCs w:val="20"/>
              </w:rPr>
              <w:t>2 449,00</w:t>
            </w:r>
          </w:p>
        </w:tc>
        <w:tc>
          <w:tcPr>
            <w:tcW w:w="1162" w:type="dxa"/>
            <w:shd w:val="clear" w:color="auto" w:fill="auto"/>
            <w:hideMark/>
          </w:tcPr>
          <w:p w:rsidR="00CF35F5" w:rsidRPr="007C51D6" w:rsidRDefault="00CF35F5" w:rsidP="00CF35F5">
            <w:pPr>
              <w:autoSpaceDE/>
              <w:autoSpaceDN/>
              <w:adjustRightInd/>
              <w:spacing w:line="233" w:lineRule="auto"/>
              <w:jc w:val="center"/>
              <w:rPr>
                <w:color w:val="000000"/>
                <w:sz w:val="20"/>
                <w:szCs w:val="20"/>
              </w:rPr>
            </w:pPr>
            <w:r w:rsidRPr="007C51D6">
              <w:rPr>
                <w:color w:val="000000"/>
                <w:sz w:val="20"/>
                <w:szCs w:val="20"/>
              </w:rPr>
              <w:t>2 678,89</w:t>
            </w:r>
          </w:p>
        </w:tc>
        <w:tc>
          <w:tcPr>
            <w:tcW w:w="1219" w:type="dxa"/>
            <w:shd w:val="clear" w:color="auto" w:fill="auto"/>
            <w:hideMark/>
          </w:tcPr>
          <w:p w:rsidR="00CF35F5" w:rsidRPr="007C51D6" w:rsidRDefault="00CF35F5" w:rsidP="00CF35F5">
            <w:pPr>
              <w:autoSpaceDE/>
              <w:autoSpaceDN/>
              <w:adjustRightInd/>
              <w:spacing w:line="233" w:lineRule="auto"/>
              <w:jc w:val="center"/>
              <w:rPr>
                <w:color w:val="000000"/>
                <w:sz w:val="20"/>
                <w:szCs w:val="20"/>
              </w:rPr>
            </w:pPr>
            <w:r w:rsidRPr="007C51D6">
              <w:rPr>
                <w:color w:val="000000"/>
                <w:sz w:val="20"/>
                <w:szCs w:val="20"/>
              </w:rPr>
              <w:t>2 713,93</w:t>
            </w:r>
          </w:p>
        </w:tc>
        <w:tc>
          <w:tcPr>
            <w:tcW w:w="1163" w:type="dxa"/>
          </w:tcPr>
          <w:p w:rsidR="00CF35F5" w:rsidRPr="007C51D6" w:rsidRDefault="00CF35F5" w:rsidP="00CF35F5">
            <w:pPr>
              <w:spacing w:line="233" w:lineRule="auto"/>
              <w:jc w:val="center"/>
              <w:rPr>
                <w:color w:val="000000"/>
                <w:sz w:val="20"/>
                <w:szCs w:val="20"/>
              </w:rPr>
            </w:pPr>
            <w:r w:rsidRPr="007C51D6">
              <w:rPr>
                <w:color w:val="000000"/>
                <w:sz w:val="20"/>
                <w:szCs w:val="20"/>
              </w:rPr>
              <w:t>2 361,44</w:t>
            </w:r>
          </w:p>
        </w:tc>
        <w:tc>
          <w:tcPr>
            <w:tcW w:w="1162" w:type="dxa"/>
          </w:tcPr>
          <w:p w:rsidR="00CF35F5" w:rsidRPr="007C51D6" w:rsidRDefault="00CF35F5" w:rsidP="00CF35F5">
            <w:pPr>
              <w:spacing w:line="233" w:lineRule="auto"/>
              <w:jc w:val="center"/>
              <w:rPr>
                <w:color w:val="000000"/>
                <w:sz w:val="20"/>
                <w:szCs w:val="20"/>
              </w:rPr>
            </w:pPr>
            <w:r w:rsidRPr="007C51D6">
              <w:rPr>
                <w:color w:val="000000"/>
                <w:sz w:val="20"/>
                <w:szCs w:val="20"/>
              </w:rPr>
              <w:t>2 480,89</w:t>
            </w:r>
          </w:p>
        </w:tc>
        <w:tc>
          <w:tcPr>
            <w:tcW w:w="1162" w:type="dxa"/>
          </w:tcPr>
          <w:p w:rsidR="00CF35F5" w:rsidRPr="007C51D6" w:rsidRDefault="00CF35F5" w:rsidP="00CF35F5">
            <w:pPr>
              <w:spacing w:line="233" w:lineRule="auto"/>
              <w:jc w:val="center"/>
              <w:rPr>
                <w:color w:val="000000"/>
                <w:sz w:val="20"/>
                <w:szCs w:val="20"/>
              </w:rPr>
            </w:pPr>
            <w:r w:rsidRPr="007C51D6">
              <w:rPr>
                <w:color w:val="000000"/>
                <w:sz w:val="20"/>
                <w:szCs w:val="20"/>
              </w:rPr>
              <w:t>2698,87</w:t>
            </w:r>
          </w:p>
        </w:tc>
        <w:tc>
          <w:tcPr>
            <w:tcW w:w="1248" w:type="dxa"/>
            <w:vAlign w:val="center"/>
          </w:tcPr>
          <w:p w:rsidR="00CF35F5" w:rsidRPr="007C51D6" w:rsidRDefault="00CF35F5" w:rsidP="00CF35F5">
            <w:pPr>
              <w:spacing w:line="233" w:lineRule="auto"/>
              <w:jc w:val="center"/>
              <w:rPr>
                <w:color w:val="000000"/>
                <w:sz w:val="20"/>
                <w:szCs w:val="20"/>
              </w:rPr>
            </w:pPr>
            <w:r w:rsidRPr="007C51D6">
              <w:rPr>
                <w:color w:val="000000"/>
                <w:sz w:val="20"/>
                <w:szCs w:val="20"/>
              </w:rPr>
              <w:t>2973,23</w:t>
            </w:r>
          </w:p>
        </w:tc>
        <w:tc>
          <w:tcPr>
            <w:tcW w:w="1248" w:type="dxa"/>
            <w:vAlign w:val="center"/>
          </w:tcPr>
          <w:p w:rsidR="00CF35F5" w:rsidRPr="007C51D6" w:rsidRDefault="00CF35F5" w:rsidP="00CF35F5">
            <w:pPr>
              <w:jc w:val="center"/>
              <w:rPr>
                <w:color w:val="000000"/>
                <w:sz w:val="20"/>
                <w:szCs w:val="20"/>
              </w:rPr>
            </w:pPr>
            <w:r w:rsidRPr="007C51D6">
              <w:rPr>
                <w:color w:val="000000"/>
                <w:sz w:val="20"/>
                <w:szCs w:val="20"/>
              </w:rPr>
              <w:t>3135.70</w:t>
            </w:r>
          </w:p>
        </w:tc>
      </w:tr>
      <w:tr w:rsidR="00CF35F5" w:rsidRPr="007C51D6" w:rsidTr="00080BEF">
        <w:trPr>
          <w:trHeight w:val="20"/>
        </w:trPr>
        <w:tc>
          <w:tcPr>
            <w:tcW w:w="3114" w:type="dxa"/>
            <w:shd w:val="clear" w:color="auto" w:fill="auto"/>
            <w:hideMark/>
          </w:tcPr>
          <w:p w:rsidR="00CF35F5" w:rsidRPr="007C51D6" w:rsidRDefault="00CF35F5" w:rsidP="00CF35F5">
            <w:pPr>
              <w:autoSpaceDE/>
              <w:autoSpaceDN/>
              <w:adjustRightInd/>
              <w:spacing w:line="233" w:lineRule="auto"/>
              <w:rPr>
                <w:color w:val="000000"/>
                <w:sz w:val="20"/>
                <w:szCs w:val="20"/>
              </w:rPr>
            </w:pPr>
            <w:r w:rsidRPr="007C51D6">
              <w:rPr>
                <w:color w:val="000000"/>
                <w:sz w:val="20"/>
                <w:szCs w:val="20"/>
              </w:rPr>
              <w:t>Пестречинский</w:t>
            </w:r>
          </w:p>
        </w:tc>
        <w:tc>
          <w:tcPr>
            <w:tcW w:w="1248" w:type="dxa"/>
            <w:shd w:val="clear" w:color="auto" w:fill="auto"/>
            <w:hideMark/>
          </w:tcPr>
          <w:p w:rsidR="00CF35F5" w:rsidRPr="007C51D6" w:rsidRDefault="00CF35F5" w:rsidP="00CF35F5">
            <w:pPr>
              <w:autoSpaceDE/>
              <w:autoSpaceDN/>
              <w:adjustRightInd/>
              <w:spacing w:line="233" w:lineRule="auto"/>
              <w:jc w:val="center"/>
              <w:rPr>
                <w:color w:val="000000"/>
                <w:sz w:val="20"/>
                <w:szCs w:val="20"/>
              </w:rPr>
            </w:pPr>
            <w:r w:rsidRPr="007C51D6">
              <w:rPr>
                <w:color w:val="000000"/>
                <w:sz w:val="20"/>
                <w:szCs w:val="20"/>
              </w:rPr>
              <w:t>1 921,53</w:t>
            </w:r>
          </w:p>
        </w:tc>
        <w:tc>
          <w:tcPr>
            <w:tcW w:w="1247" w:type="dxa"/>
            <w:shd w:val="clear" w:color="auto" w:fill="auto"/>
            <w:hideMark/>
          </w:tcPr>
          <w:p w:rsidR="00CF35F5" w:rsidRPr="007C51D6" w:rsidRDefault="00CF35F5" w:rsidP="00CF35F5">
            <w:pPr>
              <w:autoSpaceDE/>
              <w:autoSpaceDN/>
              <w:adjustRightInd/>
              <w:spacing w:line="233" w:lineRule="auto"/>
              <w:jc w:val="center"/>
              <w:rPr>
                <w:color w:val="000000"/>
                <w:sz w:val="20"/>
                <w:szCs w:val="20"/>
              </w:rPr>
            </w:pPr>
            <w:r w:rsidRPr="007C51D6">
              <w:rPr>
                <w:color w:val="000000"/>
                <w:sz w:val="20"/>
                <w:szCs w:val="20"/>
              </w:rPr>
              <w:t>1 942,03</w:t>
            </w:r>
          </w:p>
        </w:tc>
        <w:tc>
          <w:tcPr>
            <w:tcW w:w="1276" w:type="dxa"/>
            <w:shd w:val="clear" w:color="auto" w:fill="auto"/>
            <w:hideMark/>
          </w:tcPr>
          <w:p w:rsidR="00CF35F5" w:rsidRPr="007C51D6" w:rsidRDefault="00CF35F5" w:rsidP="00CF35F5">
            <w:pPr>
              <w:autoSpaceDE/>
              <w:autoSpaceDN/>
              <w:adjustRightInd/>
              <w:spacing w:line="233" w:lineRule="auto"/>
              <w:jc w:val="center"/>
              <w:rPr>
                <w:color w:val="000000"/>
                <w:sz w:val="20"/>
                <w:szCs w:val="20"/>
              </w:rPr>
            </w:pPr>
            <w:r w:rsidRPr="007C51D6">
              <w:rPr>
                <w:color w:val="000000"/>
                <w:sz w:val="20"/>
                <w:szCs w:val="20"/>
              </w:rPr>
              <w:t>2 032,08</w:t>
            </w:r>
          </w:p>
        </w:tc>
        <w:tc>
          <w:tcPr>
            <w:tcW w:w="1162" w:type="dxa"/>
            <w:shd w:val="clear" w:color="auto" w:fill="auto"/>
            <w:hideMark/>
          </w:tcPr>
          <w:p w:rsidR="00CF35F5" w:rsidRPr="007C51D6" w:rsidRDefault="00CF35F5" w:rsidP="00CF35F5">
            <w:pPr>
              <w:autoSpaceDE/>
              <w:autoSpaceDN/>
              <w:adjustRightInd/>
              <w:spacing w:line="233" w:lineRule="auto"/>
              <w:jc w:val="center"/>
              <w:rPr>
                <w:color w:val="000000"/>
                <w:sz w:val="20"/>
                <w:szCs w:val="20"/>
              </w:rPr>
            </w:pPr>
            <w:r w:rsidRPr="007C51D6">
              <w:rPr>
                <w:color w:val="000000"/>
                <w:sz w:val="20"/>
                <w:szCs w:val="20"/>
              </w:rPr>
              <w:t>2 061,24</w:t>
            </w:r>
          </w:p>
        </w:tc>
        <w:tc>
          <w:tcPr>
            <w:tcW w:w="1219" w:type="dxa"/>
            <w:shd w:val="clear" w:color="auto" w:fill="auto"/>
            <w:hideMark/>
          </w:tcPr>
          <w:p w:rsidR="00CF35F5" w:rsidRPr="007C51D6" w:rsidRDefault="00CF35F5" w:rsidP="00CF35F5">
            <w:pPr>
              <w:autoSpaceDE/>
              <w:autoSpaceDN/>
              <w:adjustRightInd/>
              <w:spacing w:line="233" w:lineRule="auto"/>
              <w:jc w:val="center"/>
              <w:rPr>
                <w:color w:val="000000"/>
                <w:sz w:val="20"/>
                <w:szCs w:val="20"/>
              </w:rPr>
            </w:pPr>
            <w:r w:rsidRPr="007C51D6">
              <w:rPr>
                <w:color w:val="000000"/>
                <w:sz w:val="20"/>
                <w:szCs w:val="20"/>
              </w:rPr>
              <w:t>2 041,99</w:t>
            </w:r>
          </w:p>
        </w:tc>
        <w:tc>
          <w:tcPr>
            <w:tcW w:w="1163" w:type="dxa"/>
          </w:tcPr>
          <w:p w:rsidR="00CF35F5" w:rsidRPr="007C51D6" w:rsidRDefault="00CF35F5" w:rsidP="00CF35F5">
            <w:pPr>
              <w:spacing w:line="233" w:lineRule="auto"/>
              <w:jc w:val="center"/>
              <w:rPr>
                <w:color w:val="000000"/>
                <w:sz w:val="20"/>
                <w:szCs w:val="20"/>
              </w:rPr>
            </w:pPr>
            <w:r w:rsidRPr="007C51D6">
              <w:rPr>
                <w:color w:val="000000"/>
                <w:sz w:val="20"/>
                <w:szCs w:val="20"/>
              </w:rPr>
              <w:t>1 654,39</w:t>
            </w:r>
          </w:p>
        </w:tc>
        <w:tc>
          <w:tcPr>
            <w:tcW w:w="1162" w:type="dxa"/>
          </w:tcPr>
          <w:p w:rsidR="00CF35F5" w:rsidRPr="007C51D6" w:rsidRDefault="00CF35F5" w:rsidP="00CF35F5">
            <w:pPr>
              <w:spacing w:line="233" w:lineRule="auto"/>
              <w:jc w:val="center"/>
              <w:rPr>
                <w:color w:val="000000"/>
                <w:sz w:val="20"/>
                <w:szCs w:val="20"/>
              </w:rPr>
            </w:pPr>
            <w:r w:rsidRPr="007C51D6">
              <w:rPr>
                <w:color w:val="000000"/>
                <w:sz w:val="20"/>
                <w:szCs w:val="20"/>
              </w:rPr>
              <w:t>1 780,24</w:t>
            </w:r>
          </w:p>
        </w:tc>
        <w:tc>
          <w:tcPr>
            <w:tcW w:w="1162" w:type="dxa"/>
          </w:tcPr>
          <w:p w:rsidR="00CF35F5" w:rsidRPr="007C51D6" w:rsidRDefault="00CF35F5" w:rsidP="00CF35F5">
            <w:pPr>
              <w:spacing w:line="233" w:lineRule="auto"/>
              <w:jc w:val="center"/>
              <w:rPr>
                <w:color w:val="000000"/>
                <w:sz w:val="20"/>
                <w:szCs w:val="20"/>
              </w:rPr>
            </w:pPr>
            <w:r w:rsidRPr="007C51D6">
              <w:rPr>
                <w:color w:val="000000"/>
                <w:sz w:val="20"/>
                <w:szCs w:val="20"/>
              </w:rPr>
              <w:t>1490,51</w:t>
            </w:r>
          </w:p>
        </w:tc>
        <w:tc>
          <w:tcPr>
            <w:tcW w:w="1248" w:type="dxa"/>
            <w:vAlign w:val="center"/>
          </w:tcPr>
          <w:p w:rsidR="00CF35F5" w:rsidRPr="007C51D6" w:rsidRDefault="00CF35F5" w:rsidP="00CF35F5">
            <w:pPr>
              <w:spacing w:line="233" w:lineRule="auto"/>
              <w:jc w:val="center"/>
              <w:rPr>
                <w:color w:val="000000"/>
                <w:sz w:val="20"/>
                <w:szCs w:val="20"/>
              </w:rPr>
            </w:pPr>
            <w:r w:rsidRPr="007C51D6">
              <w:rPr>
                <w:color w:val="000000"/>
                <w:sz w:val="20"/>
                <w:szCs w:val="20"/>
              </w:rPr>
              <w:t>1682,94</w:t>
            </w:r>
          </w:p>
        </w:tc>
        <w:tc>
          <w:tcPr>
            <w:tcW w:w="1248" w:type="dxa"/>
            <w:vAlign w:val="center"/>
          </w:tcPr>
          <w:p w:rsidR="00CF35F5" w:rsidRPr="007C51D6" w:rsidRDefault="00CF35F5" w:rsidP="00CF35F5">
            <w:pPr>
              <w:jc w:val="center"/>
              <w:rPr>
                <w:color w:val="000000"/>
                <w:sz w:val="20"/>
                <w:szCs w:val="20"/>
              </w:rPr>
            </w:pPr>
            <w:r w:rsidRPr="007C51D6">
              <w:rPr>
                <w:color w:val="000000"/>
                <w:sz w:val="20"/>
                <w:szCs w:val="20"/>
              </w:rPr>
              <w:t>2195.82</w:t>
            </w:r>
          </w:p>
        </w:tc>
      </w:tr>
      <w:tr w:rsidR="00CF35F5" w:rsidRPr="007C51D6" w:rsidTr="00080BEF">
        <w:trPr>
          <w:trHeight w:val="20"/>
        </w:trPr>
        <w:tc>
          <w:tcPr>
            <w:tcW w:w="3114" w:type="dxa"/>
            <w:shd w:val="clear" w:color="auto" w:fill="auto"/>
            <w:hideMark/>
          </w:tcPr>
          <w:p w:rsidR="00CF35F5" w:rsidRPr="007C51D6" w:rsidRDefault="00CF35F5" w:rsidP="00CF35F5">
            <w:pPr>
              <w:autoSpaceDE/>
              <w:autoSpaceDN/>
              <w:adjustRightInd/>
              <w:spacing w:line="233" w:lineRule="auto"/>
              <w:rPr>
                <w:color w:val="000000"/>
                <w:sz w:val="20"/>
                <w:szCs w:val="20"/>
              </w:rPr>
            </w:pPr>
            <w:r w:rsidRPr="007C51D6">
              <w:rPr>
                <w:color w:val="000000"/>
                <w:sz w:val="20"/>
                <w:szCs w:val="20"/>
              </w:rPr>
              <w:t>Рыбно-Слободский</w:t>
            </w:r>
          </w:p>
        </w:tc>
        <w:tc>
          <w:tcPr>
            <w:tcW w:w="1248" w:type="dxa"/>
            <w:shd w:val="clear" w:color="auto" w:fill="auto"/>
            <w:hideMark/>
          </w:tcPr>
          <w:p w:rsidR="00CF35F5" w:rsidRPr="007C51D6" w:rsidRDefault="00CF35F5" w:rsidP="00CF35F5">
            <w:pPr>
              <w:autoSpaceDE/>
              <w:autoSpaceDN/>
              <w:adjustRightInd/>
              <w:spacing w:line="233" w:lineRule="auto"/>
              <w:jc w:val="center"/>
              <w:rPr>
                <w:color w:val="000000"/>
                <w:sz w:val="20"/>
                <w:szCs w:val="20"/>
              </w:rPr>
            </w:pPr>
            <w:r w:rsidRPr="007C51D6">
              <w:rPr>
                <w:color w:val="000000"/>
                <w:sz w:val="20"/>
                <w:szCs w:val="20"/>
              </w:rPr>
              <w:t>2 736,05</w:t>
            </w:r>
          </w:p>
        </w:tc>
        <w:tc>
          <w:tcPr>
            <w:tcW w:w="1247" w:type="dxa"/>
            <w:shd w:val="clear" w:color="auto" w:fill="auto"/>
            <w:hideMark/>
          </w:tcPr>
          <w:p w:rsidR="00CF35F5" w:rsidRPr="007C51D6" w:rsidRDefault="00CF35F5" w:rsidP="00CF35F5">
            <w:pPr>
              <w:autoSpaceDE/>
              <w:autoSpaceDN/>
              <w:adjustRightInd/>
              <w:spacing w:line="233" w:lineRule="auto"/>
              <w:jc w:val="center"/>
              <w:rPr>
                <w:color w:val="000000"/>
                <w:sz w:val="20"/>
                <w:szCs w:val="20"/>
              </w:rPr>
            </w:pPr>
            <w:r w:rsidRPr="007C51D6">
              <w:rPr>
                <w:color w:val="000000"/>
                <w:sz w:val="20"/>
                <w:szCs w:val="20"/>
              </w:rPr>
              <w:t>2 956,47</w:t>
            </w:r>
          </w:p>
        </w:tc>
        <w:tc>
          <w:tcPr>
            <w:tcW w:w="1276" w:type="dxa"/>
            <w:shd w:val="clear" w:color="auto" w:fill="auto"/>
            <w:hideMark/>
          </w:tcPr>
          <w:p w:rsidR="00CF35F5" w:rsidRPr="007C51D6" w:rsidRDefault="00CF35F5" w:rsidP="00CF35F5">
            <w:pPr>
              <w:autoSpaceDE/>
              <w:autoSpaceDN/>
              <w:adjustRightInd/>
              <w:spacing w:line="233" w:lineRule="auto"/>
              <w:jc w:val="center"/>
              <w:rPr>
                <w:color w:val="000000"/>
                <w:sz w:val="20"/>
                <w:szCs w:val="20"/>
              </w:rPr>
            </w:pPr>
            <w:r w:rsidRPr="007C51D6">
              <w:rPr>
                <w:color w:val="000000"/>
                <w:sz w:val="20"/>
                <w:szCs w:val="20"/>
              </w:rPr>
              <w:t>3 105,35</w:t>
            </w:r>
          </w:p>
        </w:tc>
        <w:tc>
          <w:tcPr>
            <w:tcW w:w="1162" w:type="dxa"/>
            <w:shd w:val="clear" w:color="auto" w:fill="auto"/>
            <w:hideMark/>
          </w:tcPr>
          <w:p w:rsidR="00CF35F5" w:rsidRPr="007C51D6" w:rsidRDefault="00CF35F5" w:rsidP="00CF35F5">
            <w:pPr>
              <w:autoSpaceDE/>
              <w:autoSpaceDN/>
              <w:adjustRightInd/>
              <w:spacing w:line="233" w:lineRule="auto"/>
              <w:jc w:val="center"/>
              <w:rPr>
                <w:color w:val="000000"/>
                <w:sz w:val="20"/>
                <w:szCs w:val="20"/>
              </w:rPr>
            </w:pPr>
            <w:r w:rsidRPr="007C51D6">
              <w:rPr>
                <w:color w:val="000000"/>
                <w:sz w:val="20"/>
                <w:szCs w:val="20"/>
              </w:rPr>
              <w:t>3 337,06</w:t>
            </w:r>
          </w:p>
        </w:tc>
        <w:tc>
          <w:tcPr>
            <w:tcW w:w="1219" w:type="dxa"/>
            <w:shd w:val="clear" w:color="auto" w:fill="auto"/>
            <w:hideMark/>
          </w:tcPr>
          <w:p w:rsidR="00CF35F5" w:rsidRPr="007C51D6" w:rsidRDefault="00CF35F5" w:rsidP="00CF35F5">
            <w:pPr>
              <w:autoSpaceDE/>
              <w:autoSpaceDN/>
              <w:adjustRightInd/>
              <w:spacing w:line="233" w:lineRule="auto"/>
              <w:jc w:val="center"/>
              <w:rPr>
                <w:color w:val="000000"/>
                <w:sz w:val="20"/>
                <w:szCs w:val="20"/>
              </w:rPr>
            </w:pPr>
            <w:r w:rsidRPr="007C51D6">
              <w:rPr>
                <w:color w:val="000000"/>
                <w:sz w:val="20"/>
                <w:szCs w:val="20"/>
              </w:rPr>
              <w:t>3 538,57</w:t>
            </w:r>
          </w:p>
        </w:tc>
        <w:tc>
          <w:tcPr>
            <w:tcW w:w="1163" w:type="dxa"/>
          </w:tcPr>
          <w:p w:rsidR="00CF35F5" w:rsidRPr="007C51D6" w:rsidRDefault="00CF35F5" w:rsidP="00CF35F5">
            <w:pPr>
              <w:spacing w:line="233" w:lineRule="auto"/>
              <w:jc w:val="center"/>
              <w:rPr>
                <w:color w:val="000000"/>
                <w:sz w:val="20"/>
                <w:szCs w:val="20"/>
              </w:rPr>
            </w:pPr>
            <w:r w:rsidRPr="007C51D6">
              <w:rPr>
                <w:color w:val="000000"/>
                <w:sz w:val="20"/>
                <w:szCs w:val="20"/>
              </w:rPr>
              <w:t>3 100,97</w:t>
            </w:r>
          </w:p>
        </w:tc>
        <w:tc>
          <w:tcPr>
            <w:tcW w:w="1162" w:type="dxa"/>
          </w:tcPr>
          <w:p w:rsidR="00CF35F5" w:rsidRPr="007C51D6" w:rsidRDefault="00CF35F5" w:rsidP="00CF35F5">
            <w:pPr>
              <w:spacing w:line="233" w:lineRule="auto"/>
              <w:jc w:val="center"/>
              <w:rPr>
                <w:color w:val="000000"/>
                <w:sz w:val="20"/>
                <w:szCs w:val="20"/>
              </w:rPr>
            </w:pPr>
            <w:r w:rsidRPr="007C51D6">
              <w:rPr>
                <w:color w:val="000000"/>
                <w:sz w:val="20"/>
                <w:szCs w:val="20"/>
              </w:rPr>
              <w:t>3 150,06</w:t>
            </w:r>
          </w:p>
        </w:tc>
        <w:tc>
          <w:tcPr>
            <w:tcW w:w="1162" w:type="dxa"/>
          </w:tcPr>
          <w:p w:rsidR="00CF35F5" w:rsidRPr="007C51D6" w:rsidRDefault="00CF35F5" w:rsidP="00CF35F5">
            <w:pPr>
              <w:spacing w:line="233" w:lineRule="auto"/>
              <w:jc w:val="center"/>
              <w:rPr>
                <w:color w:val="000000"/>
                <w:sz w:val="20"/>
                <w:szCs w:val="20"/>
              </w:rPr>
            </w:pPr>
            <w:r w:rsidRPr="007C51D6">
              <w:rPr>
                <w:color w:val="000000"/>
                <w:sz w:val="20"/>
                <w:szCs w:val="20"/>
              </w:rPr>
              <w:t>3310,08</w:t>
            </w:r>
          </w:p>
        </w:tc>
        <w:tc>
          <w:tcPr>
            <w:tcW w:w="1248" w:type="dxa"/>
            <w:vAlign w:val="center"/>
          </w:tcPr>
          <w:p w:rsidR="00CF35F5" w:rsidRPr="007C51D6" w:rsidRDefault="00CF35F5" w:rsidP="00CF35F5">
            <w:pPr>
              <w:spacing w:line="233" w:lineRule="auto"/>
              <w:jc w:val="center"/>
              <w:rPr>
                <w:color w:val="000000"/>
                <w:sz w:val="20"/>
                <w:szCs w:val="20"/>
              </w:rPr>
            </w:pPr>
            <w:r w:rsidRPr="007C51D6">
              <w:rPr>
                <w:color w:val="000000"/>
                <w:sz w:val="20"/>
                <w:szCs w:val="20"/>
              </w:rPr>
              <w:t>3490,71</w:t>
            </w:r>
          </w:p>
        </w:tc>
        <w:tc>
          <w:tcPr>
            <w:tcW w:w="1248" w:type="dxa"/>
            <w:vAlign w:val="center"/>
          </w:tcPr>
          <w:p w:rsidR="00CF35F5" w:rsidRPr="007C51D6" w:rsidRDefault="00CF35F5" w:rsidP="00CF35F5">
            <w:pPr>
              <w:jc w:val="center"/>
              <w:rPr>
                <w:color w:val="000000"/>
                <w:sz w:val="20"/>
                <w:szCs w:val="20"/>
              </w:rPr>
            </w:pPr>
            <w:r w:rsidRPr="007C51D6">
              <w:rPr>
                <w:color w:val="000000"/>
                <w:sz w:val="20"/>
                <w:szCs w:val="20"/>
              </w:rPr>
              <w:t>3561.27</w:t>
            </w:r>
          </w:p>
        </w:tc>
      </w:tr>
      <w:tr w:rsidR="00CF35F5" w:rsidRPr="007C51D6" w:rsidTr="00080BEF">
        <w:trPr>
          <w:trHeight w:val="20"/>
        </w:trPr>
        <w:tc>
          <w:tcPr>
            <w:tcW w:w="3114" w:type="dxa"/>
            <w:shd w:val="clear" w:color="auto" w:fill="auto"/>
            <w:hideMark/>
          </w:tcPr>
          <w:p w:rsidR="00CF35F5" w:rsidRPr="007C51D6" w:rsidRDefault="00CF35F5" w:rsidP="00CF35F5">
            <w:pPr>
              <w:autoSpaceDE/>
              <w:autoSpaceDN/>
              <w:adjustRightInd/>
              <w:spacing w:line="233" w:lineRule="auto"/>
              <w:rPr>
                <w:color w:val="000000"/>
                <w:sz w:val="20"/>
                <w:szCs w:val="20"/>
              </w:rPr>
            </w:pPr>
            <w:r w:rsidRPr="007C51D6">
              <w:rPr>
                <w:color w:val="000000"/>
                <w:sz w:val="20"/>
                <w:szCs w:val="20"/>
              </w:rPr>
              <w:t>Сабинский</w:t>
            </w:r>
          </w:p>
        </w:tc>
        <w:tc>
          <w:tcPr>
            <w:tcW w:w="1248" w:type="dxa"/>
            <w:shd w:val="clear" w:color="auto" w:fill="auto"/>
            <w:hideMark/>
          </w:tcPr>
          <w:p w:rsidR="00CF35F5" w:rsidRPr="007C51D6" w:rsidRDefault="00CF35F5" w:rsidP="00CF35F5">
            <w:pPr>
              <w:autoSpaceDE/>
              <w:autoSpaceDN/>
              <w:adjustRightInd/>
              <w:spacing w:line="233" w:lineRule="auto"/>
              <w:jc w:val="center"/>
              <w:rPr>
                <w:color w:val="000000"/>
                <w:sz w:val="20"/>
                <w:szCs w:val="20"/>
              </w:rPr>
            </w:pPr>
            <w:r w:rsidRPr="007C51D6">
              <w:rPr>
                <w:color w:val="000000"/>
                <w:sz w:val="20"/>
                <w:szCs w:val="20"/>
              </w:rPr>
              <w:t>2 303,63</w:t>
            </w:r>
          </w:p>
        </w:tc>
        <w:tc>
          <w:tcPr>
            <w:tcW w:w="1247" w:type="dxa"/>
            <w:shd w:val="clear" w:color="auto" w:fill="auto"/>
            <w:hideMark/>
          </w:tcPr>
          <w:p w:rsidR="00CF35F5" w:rsidRPr="007C51D6" w:rsidRDefault="00CF35F5" w:rsidP="00CF35F5">
            <w:pPr>
              <w:autoSpaceDE/>
              <w:autoSpaceDN/>
              <w:adjustRightInd/>
              <w:spacing w:line="233" w:lineRule="auto"/>
              <w:jc w:val="center"/>
              <w:rPr>
                <w:color w:val="000000"/>
                <w:sz w:val="20"/>
                <w:szCs w:val="20"/>
              </w:rPr>
            </w:pPr>
            <w:r w:rsidRPr="007C51D6">
              <w:rPr>
                <w:color w:val="000000"/>
                <w:sz w:val="20"/>
                <w:szCs w:val="20"/>
              </w:rPr>
              <w:t>2 471,62</w:t>
            </w:r>
          </w:p>
        </w:tc>
        <w:tc>
          <w:tcPr>
            <w:tcW w:w="1276" w:type="dxa"/>
            <w:shd w:val="clear" w:color="auto" w:fill="auto"/>
            <w:hideMark/>
          </w:tcPr>
          <w:p w:rsidR="00CF35F5" w:rsidRPr="007C51D6" w:rsidRDefault="00CF35F5" w:rsidP="00CF35F5">
            <w:pPr>
              <w:autoSpaceDE/>
              <w:autoSpaceDN/>
              <w:adjustRightInd/>
              <w:spacing w:line="233" w:lineRule="auto"/>
              <w:jc w:val="center"/>
              <w:rPr>
                <w:color w:val="000000"/>
                <w:sz w:val="20"/>
                <w:szCs w:val="20"/>
              </w:rPr>
            </w:pPr>
            <w:r w:rsidRPr="007C51D6">
              <w:rPr>
                <w:color w:val="000000"/>
                <w:sz w:val="20"/>
                <w:szCs w:val="20"/>
              </w:rPr>
              <w:t>2 593,62</w:t>
            </w:r>
          </w:p>
        </w:tc>
        <w:tc>
          <w:tcPr>
            <w:tcW w:w="1162" w:type="dxa"/>
            <w:shd w:val="clear" w:color="auto" w:fill="auto"/>
            <w:hideMark/>
          </w:tcPr>
          <w:p w:rsidR="00CF35F5" w:rsidRPr="007C51D6" w:rsidRDefault="00CF35F5" w:rsidP="00CF35F5">
            <w:pPr>
              <w:autoSpaceDE/>
              <w:autoSpaceDN/>
              <w:adjustRightInd/>
              <w:spacing w:line="233" w:lineRule="auto"/>
              <w:jc w:val="center"/>
              <w:rPr>
                <w:color w:val="000000"/>
                <w:sz w:val="20"/>
                <w:szCs w:val="20"/>
              </w:rPr>
            </w:pPr>
            <w:r w:rsidRPr="007C51D6">
              <w:rPr>
                <w:color w:val="000000"/>
                <w:sz w:val="20"/>
                <w:szCs w:val="20"/>
              </w:rPr>
              <w:t>2 754,42</w:t>
            </w:r>
          </w:p>
        </w:tc>
        <w:tc>
          <w:tcPr>
            <w:tcW w:w="1219" w:type="dxa"/>
            <w:shd w:val="clear" w:color="auto" w:fill="auto"/>
            <w:hideMark/>
          </w:tcPr>
          <w:p w:rsidR="00CF35F5" w:rsidRPr="007C51D6" w:rsidRDefault="00CF35F5" w:rsidP="00CF35F5">
            <w:pPr>
              <w:autoSpaceDE/>
              <w:autoSpaceDN/>
              <w:adjustRightInd/>
              <w:spacing w:line="233" w:lineRule="auto"/>
              <w:jc w:val="center"/>
              <w:rPr>
                <w:color w:val="000000"/>
                <w:sz w:val="20"/>
                <w:szCs w:val="20"/>
              </w:rPr>
            </w:pPr>
            <w:r w:rsidRPr="007C51D6">
              <w:rPr>
                <w:color w:val="000000"/>
                <w:sz w:val="20"/>
                <w:szCs w:val="20"/>
              </w:rPr>
              <w:t>2 872,44</w:t>
            </w:r>
          </w:p>
        </w:tc>
        <w:tc>
          <w:tcPr>
            <w:tcW w:w="1163" w:type="dxa"/>
          </w:tcPr>
          <w:p w:rsidR="00CF35F5" w:rsidRPr="007C51D6" w:rsidRDefault="00CF35F5" w:rsidP="00CF35F5">
            <w:pPr>
              <w:spacing w:line="233" w:lineRule="auto"/>
              <w:jc w:val="center"/>
              <w:rPr>
                <w:color w:val="000000"/>
                <w:sz w:val="20"/>
                <w:szCs w:val="20"/>
              </w:rPr>
            </w:pPr>
            <w:r w:rsidRPr="007C51D6">
              <w:rPr>
                <w:color w:val="000000"/>
                <w:sz w:val="20"/>
                <w:szCs w:val="20"/>
              </w:rPr>
              <w:t>2 453,45</w:t>
            </w:r>
          </w:p>
        </w:tc>
        <w:tc>
          <w:tcPr>
            <w:tcW w:w="1162" w:type="dxa"/>
          </w:tcPr>
          <w:p w:rsidR="00CF35F5" w:rsidRPr="007C51D6" w:rsidRDefault="00CF35F5" w:rsidP="00CF35F5">
            <w:pPr>
              <w:spacing w:line="233" w:lineRule="auto"/>
              <w:jc w:val="center"/>
              <w:rPr>
                <w:color w:val="000000"/>
                <w:sz w:val="20"/>
                <w:szCs w:val="20"/>
              </w:rPr>
            </w:pPr>
            <w:r w:rsidRPr="007C51D6">
              <w:rPr>
                <w:color w:val="000000"/>
                <w:sz w:val="20"/>
                <w:szCs w:val="20"/>
              </w:rPr>
              <w:t>2 626,59</w:t>
            </w:r>
          </w:p>
        </w:tc>
        <w:tc>
          <w:tcPr>
            <w:tcW w:w="1162" w:type="dxa"/>
          </w:tcPr>
          <w:p w:rsidR="00CF35F5" w:rsidRPr="007C51D6" w:rsidRDefault="00CF35F5" w:rsidP="00CF35F5">
            <w:pPr>
              <w:spacing w:line="233" w:lineRule="auto"/>
              <w:jc w:val="center"/>
              <w:rPr>
                <w:color w:val="000000"/>
                <w:sz w:val="20"/>
                <w:szCs w:val="20"/>
              </w:rPr>
            </w:pPr>
            <w:r w:rsidRPr="007C51D6">
              <w:rPr>
                <w:color w:val="000000"/>
                <w:sz w:val="20"/>
                <w:szCs w:val="20"/>
              </w:rPr>
              <w:t>2723,06</w:t>
            </w:r>
          </w:p>
        </w:tc>
        <w:tc>
          <w:tcPr>
            <w:tcW w:w="1248" w:type="dxa"/>
            <w:vAlign w:val="center"/>
          </w:tcPr>
          <w:p w:rsidR="00CF35F5" w:rsidRPr="007C51D6" w:rsidRDefault="00CF35F5" w:rsidP="00CF35F5">
            <w:pPr>
              <w:spacing w:line="233" w:lineRule="auto"/>
              <w:jc w:val="center"/>
              <w:rPr>
                <w:color w:val="000000"/>
                <w:sz w:val="20"/>
                <w:szCs w:val="20"/>
              </w:rPr>
            </w:pPr>
            <w:r w:rsidRPr="007C51D6">
              <w:rPr>
                <w:color w:val="000000"/>
                <w:sz w:val="20"/>
                <w:szCs w:val="20"/>
              </w:rPr>
              <w:t>2916,30</w:t>
            </w:r>
          </w:p>
        </w:tc>
        <w:tc>
          <w:tcPr>
            <w:tcW w:w="1248" w:type="dxa"/>
            <w:vAlign w:val="center"/>
          </w:tcPr>
          <w:p w:rsidR="00CF35F5" w:rsidRPr="007C51D6" w:rsidRDefault="00CF35F5" w:rsidP="00CF35F5">
            <w:pPr>
              <w:jc w:val="center"/>
              <w:rPr>
                <w:color w:val="000000"/>
                <w:sz w:val="20"/>
                <w:szCs w:val="20"/>
              </w:rPr>
            </w:pPr>
            <w:r w:rsidRPr="007C51D6">
              <w:rPr>
                <w:color w:val="000000"/>
                <w:sz w:val="20"/>
                <w:szCs w:val="20"/>
              </w:rPr>
              <w:t>2904.43</w:t>
            </w:r>
          </w:p>
        </w:tc>
      </w:tr>
      <w:tr w:rsidR="00CF35F5" w:rsidRPr="007C51D6" w:rsidTr="00080BEF">
        <w:trPr>
          <w:trHeight w:val="20"/>
        </w:trPr>
        <w:tc>
          <w:tcPr>
            <w:tcW w:w="3114" w:type="dxa"/>
            <w:shd w:val="clear" w:color="auto" w:fill="auto"/>
            <w:hideMark/>
          </w:tcPr>
          <w:p w:rsidR="00CF35F5" w:rsidRPr="007C51D6" w:rsidRDefault="00CF35F5" w:rsidP="00CF35F5">
            <w:pPr>
              <w:autoSpaceDE/>
              <w:autoSpaceDN/>
              <w:adjustRightInd/>
              <w:spacing w:line="233" w:lineRule="auto"/>
              <w:rPr>
                <w:color w:val="000000"/>
                <w:sz w:val="20"/>
                <w:szCs w:val="20"/>
              </w:rPr>
            </w:pPr>
            <w:r w:rsidRPr="007C51D6">
              <w:rPr>
                <w:color w:val="000000"/>
                <w:sz w:val="20"/>
                <w:szCs w:val="20"/>
              </w:rPr>
              <w:t>Сармановский</w:t>
            </w:r>
          </w:p>
        </w:tc>
        <w:tc>
          <w:tcPr>
            <w:tcW w:w="1248" w:type="dxa"/>
            <w:shd w:val="clear" w:color="auto" w:fill="auto"/>
            <w:hideMark/>
          </w:tcPr>
          <w:p w:rsidR="00CF35F5" w:rsidRPr="007C51D6" w:rsidRDefault="00CF35F5" w:rsidP="00CF35F5">
            <w:pPr>
              <w:autoSpaceDE/>
              <w:autoSpaceDN/>
              <w:adjustRightInd/>
              <w:spacing w:line="233" w:lineRule="auto"/>
              <w:jc w:val="center"/>
              <w:rPr>
                <w:color w:val="000000"/>
                <w:sz w:val="20"/>
                <w:szCs w:val="20"/>
              </w:rPr>
            </w:pPr>
            <w:r w:rsidRPr="007C51D6">
              <w:rPr>
                <w:color w:val="000000"/>
                <w:sz w:val="20"/>
                <w:szCs w:val="20"/>
              </w:rPr>
              <w:t>2 471,35</w:t>
            </w:r>
          </w:p>
        </w:tc>
        <w:tc>
          <w:tcPr>
            <w:tcW w:w="1247" w:type="dxa"/>
            <w:shd w:val="clear" w:color="auto" w:fill="auto"/>
            <w:hideMark/>
          </w:tcPr>
          <w:p w:rsidR="00CF35F5" w:rsidRPr="007C51D6" w:rsidRDefault="00CF35F5" w:rsidP="00CF35F5">
            <w:pPr>
              <w:autoSpaceDE/>
              <w:autoSpaceDN/>
              <w:adjustRightInd/>
              <w:spacing w:line="233" w:lineRule="auto"/>
              <w:jc w:val="center"/>
              <w:rPr>
                <w:color w:val="000000"/>
                <w:sz w:val="20"/>
                <w:szCs w:val="20"/>
              </w:rPr>
            </w:pPr>
            <w:r w:rsidRPr="007C51D6">
              <w:rPr>
                <w:color w:val="000000"/>
                <w:sz w:val="20"/>
                <w:szCs w:val="20"/>
              </w:rPr>
              <w:t>2 709,21</w:t>
            </w:r>
          </w:p>
        </w:tc>
        <w:tc>
          <w:tcPr>
            <w:tcW w:w="1276" w:type="dxa"/>
            <w:shd w:val="clear" w:color="auto" w:fill="auto"/>
            <w:hideMark/>
          </w:tcPr>
          <w:p w:rsidR="00CF35F5" w:rsidRPr="007C51D6" w:rsidRDefault="00CF35F5" w:rsidP="00CF35F5">
            <w:pPr>
              <w:autoSpaceDE/>
              <w:autoSpaceDN/>
              <w:adjustRightInd/>
              <w:spacing w:line="233" w:lineRule="auto"/>
              <w:jc w:val="center"/>
              <w:rPr>
                <w:color w:val="000000"/>
                <w:sz w:val="20"/>
                <w:szCs w:val="20"/>
              </w:rPr>
            </w:pPr>
            <w:r w:rsidRPr="007C51D6">
              <w:rPr>
                <w:color w:val="000000"/>
                <w:sz w:val="20"/>
                <w:szCs w:val="20"/>
              </w:rPr>
              <w:t>2 853,70</w:t>
            </w:r>
          </w:p>
        </w:tc>
        <w:tc>
          <w:tcPr>
            <w:tcW w:w="1162" w:type="dxa"/>
            <w:shd w:val="clear" w:color="auto" w:fill="auto"/>
            <w:hideMark/>
          </w:tcPr>
          <w:p w:rsidR="00CF35F5" w:rsidRPr="007C51D6" w:rsidRDefault="00CF35F5" w:rsidP="00CF35F5">
            <w:pPr>
              <w:autoSpaceDE/>
              <w:autoSpaceDN/>
              <w:adjustRightInd/>
              <w:spacing w:line="233" w:lineRule="auto"/>
              <w:jc w:val="center"/>
              <w:rPr>
                <w:color w:val="000000"/>
                <w:sz w:val="20"/>
                <w:szCs w:val="20"/>
              </w:rPr>
            </w:pPr>
            <w:r w:rsidRPr="007C51D6">
              <w:rPr>
                <w:color w:val="000000"/>
                <w:sz w:val="20"/>
                <w:szCs w:val="20"/>
              </w:rPr>
              <w:t>3 009,37</w:t>
            </w:r>
          </w:p>
        </w:tc>
        <w:tc>
          <w:tcPr>
            <w:tcW w:w="1219" w:type="dxa"/>
            <w:shd w:val="clear" w:color="auto" w:fill="auto"/>
            <w:hideMark/>
          </w:tcPr>
          <w:p w:rsidR="00CF35F5" w:rsidRPr="007C51D6" w:rsidRDefault="00CF35F5" w:rsidP="00CF35F5">
            <w:pPr>
              <w:autoSpaceDE/>
              <w:autoSpaceDN/>
              <w:adjustRightInd/>
              <w:spacing w:line="233" w:lineRule="auto"/>
              <w:jc w:val="center"/>
              <w:rPr>
                <w:color w:val="000000"/>
                <w:sz w:val="20"/>
                <w:szCs w:val="20"/>
              </w:rPr>
            </w:pPr>
            <w:r w:rsidRPr="007C51D6">
              <w:rPr>
                <w:color w:val="000000"/>
                <w:sz w:val="20"/>
                <w:szCs w:val="20"/>
              </w:rPr>
              <w:t>2 883,44</w:t>
            </w:r>
          </w:p>
        </w:tc>
        <w:tc>
          <w:tcPr>
            <w:tcW w:w="1163" w:type="dxa"/>
          </w:tcPr>
          <w:p w:rsidR="00CF35F5" w:rsidRPr="007C51D6" w:rsidRDefault="00CF35F5" w:rsidP="00CF35F5">
            <w:pPr>
              <w:spacing w:line="233" w:lineRule="auto"/>
              <w:jc w:val="center"/>
              <w:rPr>
                <w:color w:val="000000"/>
                <w:sz w:val="20"/>
                <w:szCs w:val="20"/>
              </w:rPr>
            </w:pPr>
            <w:r w:rsidRPr="007C51D6">
              <w:rPr>
                <w:color w:val="000000"/>
                <w:sz w:val="20"/>
                <w:szCs w:val="20"/>
              </w:rPr>
              <w:t>2 554,41</w:t>
            </w:r>
          </w:p>
        </w:tc>
        <w:tc>
          <w:tcPr>
            <w:tcW w:w="1162" w:type="dxa"/>
          </w:tcPr>
          <w:p w:rsidR="00CF35F5" w:rsidRPr="007C51D6" w:rsidRDefault="00CF35F5" w:rsidP="00CF35F5">
            <w:pPr>
              <w:spacing w:line="233" w:lineRule="auto"/>
              <w:jc w:val="center"/>
              <w:rPr>
                <w:color w:val="000000"/>
                <w:sz w:val="20"/>
                <w:szCs w:val="20"/>
              </w:rPr>
            </w:pPr>
            <w:r w:rsidRPr="007C51D6">
              <w:rPr>
                <w:color w:val="000000"/>
                <w:sz w:val="20"/>
                <w:szCs w:val="20"/>
              </w:rPr>
              <w:t>2 619,38</w:t>
            </w:r>
          </w:p>
        </w:tc>
        <w:tc>
          <w:tcPr>
            <w:tcW w:w="1162" w:type="dxa"/>
          </w:tcPr>
          <w:p w:rsidR="00CF35F5" w:rsidRPr="007C51D6" w:rsidRDefault="00CF35F5" w:rsidP="00CF35F5">
            <w:pPr>
              <w:spacing w:line="233" w:lineRule="auto"/>
              <w:jc w:val="center"/>
              <w:rPr>
                <w:color w:val="000000"/>
                <w:sz w:val="20"/>
                <w:szCs w:val="20"/>
              </w:rPr>
            </w:pPr>
            <w:r w:rsidRPr="007C51D6">
              <w:rPr>
                <w:color w:val="000000"/>
                <w:sz w:val="20"/>
                <w:szCs w:val="20"/>
              </w:rPr>
              <w:t>2673,29</w:t>
            </w:r>
          </w:p>
        </w:tc>
        <w:tc>
          <w:tcPr>
            <w:tcW w:w="1248" w:type="dxa"/>
            <w:vAlign w:val="center"/>
          </w:tcPr>
          <w:p w:rsidR="00CF35F5" w:rsidRPr="007C51D6" w:rsidRDefault="00CF35F5" w:rsidP="00CF35F5">
            <w:pPr>
              <w:spacing w:line="233" w:lineRule="auto"/>
              <w:jc w:val="center"/>
              <w:rPr>
                <w:color w:val="000000"/>
                <w:sz w:val="20"/>
                <w:szCs w:val="20"/>
              </w:rPr>
            </w:pPr>
            <w:r w:rsidRPr="007C51D6">
              <w:rPr>
                <w:color w:val="000000"/>
                <w:sz w:val="20"/>
                <w:szCs w:val="20"/>
              </w:rPr>
              <w:t>2747,58</w:t>
            </w:r>
          </w:p>
        </w:tc>
        <w:tc>
          <w:tcPr>
            <w:tcW w:w="1248" w:type="dxa"/>
            <w:vAlign w:val="center"/>
          </w:tcPr>
          <w:p w:rsidR="00CF35F5" w:rsidRPr="007C51D6" w:rsidRDefault="00CF35F5" w:rsidP="00CF35F5">
            <w:pPr>
              <w:jc w:val="center"/>
              <w:rPr>
                <w:color w:val="000000"/>
                <w:sz w:val="20"/>
                <w:szCs w:val="20"/>
              </w:rPr>
            </w:pPr>
            <w:r w:rsidRPr="007C51D6">
              <w:rPr>
                <w:color w:val="000000"/>
                <w:sz w:val="20"/>
                <w:szCs w:val="20"/>
              </w:rPr>
              <w:t>2838.20</w:t>
            </w:r>
          </w:p>
        </w:tc>
      </w:tr>
      <w:tr w:rsidR="00CF35F5" w:rsidRPr="007C51D6" w:rsidTr="00080BEF">
        <w:trPr>
          <w:trHeight w:val="20"/>
        </w:trPr>
        <w:tc>
          <w:tcPr>
            <w:tcW w:w="3114" w:type="dxa"/>
            <w:shd w:val="clear" w:color="auto" w:fill="auto"/>
            <w:hideMark/>
          </w:tcPr>
          <w:p w:rsidR="00CF35F5" w:rsidRPr="007C51D6" w:rsidRDefault="00CF35F5" w:rsidP="00CF35F5">
            <w:pPr>
              <w:autoSpaceDE/>
              <w:autoSpaceDN/>
              <w:adjustRightInd/>
              <w:spacing w:line="233" w:lineRule="auto"/>
              <w:rPr>
                <w:color w:val="000000"/>
                <w:sz w:val="20"/>
                <w:szCs w:val="20"/>
              </w:rPr>
            </w:pPr>
            <w:r w:rsidRPr="007C51D6">
              <w:rPr>
                <w:color w:val="000000"/>
                <w:sz w:val="20"/>
                <w:szCs w:val="20"/>
              </w:rPr>
              <w:t>Спасский</w:t>
            </w:r>
          </w:p>
        </w:tc>
        <w:tc>
          <w:tcPr>
            <w:tcW w:w="1248" w:type="dxa"/>
            <w:shd w:val="clear" w:color="auto" w:fill="auto"/>
            <w:hideMark/>
          </w:tcPr>
          <w:p w:rsidR="00CF35F5" w:rsidRPr="007C51D6" w:rsidRDefault="00CF35F5" w:rsidP="00CF35F5">
            <w:pPr>
              <w:autoSpaceDE/>
              <w:autoSpaceDN/>
              <w:adjustRightInd/>
              <w:spacing w:line="233" w:lineRule="auto"/>
              <w:jc w:val="center"/>
              <w:rPr>
                <w:color w:val="000000"/>
                <w:sz w:val="20"/>
                <w:szCs w:val="20"/>
              </w:rPr>
            </w:pPr>
            <w:r w:rsidRPr="007C51D6">
              <w:rPr>
                <w:color w:val="000000"/>
                <w:sz w:val="20"/>
                <w:szCs w:val="20"/>
              </w:rPr>
              <w:t>3 000,56</w:t>
            </w:r>
          </w:p>
        </w:tc>
        <w:tc>
          <w:tcPr>
            <w:tcW w:w="1247" w:type="dxa"/>
            <w:shd w:val="clear" w:color="auto" w:fill="auto"/>
            <w:hideMark/>
          </w:tcPr>
          <w:p w:rsidR="00CF35F5" w:rsidRPr="007C51D6" w:rsidRDefault="00CF35F5" w:rsidP="00CF35F5">
            <w:pPr>
              <w:autoSpaceDE/>
              <w:autoSpaceDN/>
              <w:adjustRightInd/>
              <w:spacing w:line="233" w:lineRule="auto"/>
              <w:jc w:val="center"/>
              <w:rPr>
                <w:color w:val="000000"/>
                <w:sz w:val="20"/>
                <w:szCs w:val="20"/>
              </w:rPr>
            </w:pPr>
            <w:r w:rsidRPr="007C51D6">
              <w:rPr>
                <w:color w:val="000000"/>
                <w:sz w:val="20"/>
                <w:szCs w:val="20"/>
              </w:rPr>
              <w:t>3 035,88</w:t>
            </w:r>
          </w:p>
        </w:tc>
        <w:tc>
          <w:tcPr>
            <w:tcW w:w="1276" w:type="dxa"/>
            <w:shd w:val="clear" w:color="auto" w:fill="auto"/>
            <w:hideMark/>
          </w:tcPr>
          <w:p w:rsidR="00CF35F5" w:rsidRPr="007C51D6" w:rsidRDefault="00CF35F5" w:rsidP="00CF35F5">
            <w:pPr>
              <w:autoSpaceDE/>
              <w:autoSpaceDN/>
              <w:adjustRightInd/>
              <w:spacing w:line="233" w:lineRule="auto"/>
              <w:jc w:val="center"/>
              <w:rPr>
                <w:color w:val="000000"/>
                <w:sz w:val="20"/>
                <w:szCs w:val="20"/>
              </w:rPr>
            </w:pPr>
            <w:r w:rsidRPr="007C51D6">
              <w:rPr>
                <w:color w:val="000000"/>
                <w:sz w:val="20"/>
                <w:szCs w:val="20"/>
              </w:rPr>
              <w:t>3 189,34</w:t>
            </w:r>
          </w:p>
        </w:tc>
        <w:tc>
          <w:tcPr>
            <w:tcW w:w="1162" w:type="dxa"/>
            <w:shd w:val="clear" w:color="auto" w:fill="auto"/>
            <w:hideMark/>
          </w:tcPr>
          <w:p w:rsidR="00CF35F5" w:rsidRPr="007C51D6" w:rsidRDefault="00CF35F5" w:rsidP="00CF35F5">
            <w:pPr>
              <w:autoSpaceDE/>
              <w:autoSpaceDN/>
              <w:adjustRightInd/>
              <w:spacing w:line="233" w:lineRule="auto"/>
              <w:jc w:val="center"/>
              <w:rPr>
                <w:color w:val="000000"/>
                <w:sz w:val="20"/>
                <w:szCs w:val="20"/>
              </w:rPr>
            </w:pPr>
            <w:r w:rsidRPr="007C51D6">
              <w:rPr>
                <w:color w:val="000000"/>
                <w:sz w:val="20"/>
                <w:szCs w:val="20"/>
              </w:rPr>
              <w:t>3 531,39</w:t>
            </w:r>
          </w:p>
        </w:tc>
        <w:tc>
          <w:tcPr>
            <w:tcW w:w="1219" w:type="dxa"/>
            <w:shd w:val="clear" w:color="auto" w:fill="auto"/>
            <w:hideMark/>
          </w:tcPr>
          <w:p w:rsidR="00CF35F5" w:rsidRPr="007C51D6" w:rsidRDefault="00CF35F5" w:rsidP="00CF35F5">
            <w:pPr>
              <w:autoSpaceDE/>
              <w:autoSpaceDN/>
              <w:adjustRightInd/>
              <w:spacing w:line="233" w:lineRule="auto"/>
              <w:jc w:val="center"/>
              <w:rPr>
                <w:color w:val="000000"/>
                <w:sz w:val="20"/>
                <w:szCs w:val="20"/>
              </w:rPr>
            </w:pPr>
            <w:r w:rsidRPr="007C51D6">
              <w:rPr>
                <w:color w:val="000000"/>
                <w:sz w:val="20"/>
                <w:szCs w:val="20"/>
              </w:rPr>
              <w:t>3 575,46</w:t>
            </w:r>
          </w:p>
        </w:tc>
        <w:tc>
          <w:tcPr>
            <w:tcW w:w="1163" w:type="dxa"/>
          </w:tcPr>
          <w:p w:rsidR="00CF35F5" w:rsidRPr="007C51D6" w:rsidRDefault="00CF35F5" w:rsidP="00CF35F5">
            <w:pPr>
              <w:spacing w:line="233" w:lineRule="auto"/>
              <w:jc w:val="center"/>
              <w:rPr>
                <w:color w:val="000000"/>
                <w:sz w:val="20"/>
                <w:szCs w:val="20"/>
              </w:rPr>
            </w:pPr>
            <w:r w:rsidRPr="007C51D6">
              <w:rPr>
                <w:color w:val="000000"/>
                <w:sz w:val="20"/>
                <w:szCs w:val="20"/>
              </w:rPr>
              <w:t>3 287,79</w:t>
            </w:r>
          </w:p>
        </w:tc>
        <w:tc>
          <w:tcPr>
            <w:tcW w:w="1162" w:type="dxa"/>
          </w:tcPr>
          <w:p w:rsidR="00CF35F5" w:rsidRPr="007C51D6" w:rsidRDefault="00CF35F5" w:rsidP="00CF35F5">
            <w:pPr>
              <w:spacing w:line="233" w:lineRule="auto"/>
              <w:jc w:val="center"/>
              <w:rPr>
                <w:color w:val="000000"/>
                <w:sz w:val="20"/>
                <w:szCs w:val="20"/>
              </w:rPr>
            </w:pPr>
            <w:r w:rsidRPr="007C51D6">
              <w:rPr>
                <w:color w:val="000000"/>
                <w:sz w:val="20"/>
                <w:szCs w:val="20"/>
              </w:rPr>
              <w:t>3 298,68</w:t>
            </w:r>
          </w:p>
        </w:tc>
        <w:tc>
          <w:tcPr>
            <w:tcW w:w="1162" w:type="dxa"/>
          </w:tcPr>
          <w:p w:rsidR="00CF35F5" w:rsidRPr="007C51D6" w:rsidRDefault="00CF35F5" w:rsidP="00CF35F5">
            <w:pPr>
              <w:spacing w:line="233" w:lineRule="auto"/>
              <w:jc w:val="center"/>
              <w:rPr>
                <w:color w:val="000000"/>
                <w:sz w:val="20"/>
                <w:szCs w:val="20"/>
              </w:rPr>
            </w:pPr>
            <w:r w:rsidRPr="007C51D6">
              <w:rPr>
                <w:color w:val="000000"/>
                <w:sz w:val="20"/>
                <w:szCs w:val="20"/>
              </w:rPr>
              <w:t>3459,83</w:t>
            </w:r>
          </w:p>
        </w:tc>
        <w:tc>
          <w:tcPr>
            <w:tcW w:w="1248" w:type="dxa"/>
            <w:vAlign w:val="center"/>
          </w:tcPr>
          <w:p w:rsidR="00CF35F5" w:rsidRPr="007C51D6" w:rsidRDefault="00CF35F5" w:rsidP="00CF35F5">
            <w:pPr>
              <w:spacing w:line="233" w:lineRule="auto"/>
              <w:jc w:val="center"/>
              <w:rPr>
                <w:color w:val="000000"/>
                <w:sz w:val="20"/>
                <w:szCs w:val="20"/>
              </w:rPr>
            </w:pPr>
            <w:r w:rsidRPr="007C51D6">
              <w:rPr>
                <w:color w:val="000000"/>
                <w:sz w:val="20"/>
                <w:szCs w:val="20"/>
              </w:rPr>
              <w:t>3636,06</w:t>
            </w:r>
          </w:p>
        </w:tc>
        <w:tc>
          <w:tcPr>
            <w:tcW w:w="1248" w:type="dxa"/>
            <w:vAlign w:val="center"/>
          </w:tcPr>
          <w:p w:rsidR="00CF35F5" w:rsidRPr="007C51D6" w:rsidRDefault="00CF35F5" w:rsidP="00CF35F5">
            <w:pPr>
              <w:jc w:val="center"/>
              <w:rPr>
                <w:color w:val="000000"/>
                <w:sz w:val="20"/>
                <w:szCs w:val="20"/>
              </w:rPr>
            </w:pPr>
            <w:r w:rsidRPr="007C51D6">
              <w:rPr>
                <w:color w:val="000000"/>
                <w:sz w:val="20"/>
                <w:szCs w:val="20"/>
              </w:rPr>
              <w:t>3756.05</w:t>
            </w:r>
          </w:p>
        </w:tc>
      </w:tr>
      <w:tr w:rsidR="00CF35F5" w:rsidRPr="007C51D6" w:rsidTr="00080BEF">
        <w:trPr>
          <w:trHeight w:val="20"/>
        </w:trPr>
        <w:tc>
          <w:tcPr>
            <w:tcW w:w="3114" w:type="dxa"/>
            <w:shd w:val="clear" w:color="auto" w:fill="auto"/>
            <w:hideMark/>
          </w:tcPr>
          <w:p w:rsidR="00CF35F5" w:rsidRPr="007C51D6" w:rsidRDefault="00CF35F5" w:rsidP="00CF35F5">
            <w:pPr>
              <w:autoSpaceDE/>
              <w:autoSpaceDN/>
              <w:adjustRightInd/>
              <w:spacing w:line="233" w:lineRule="auto"/>
              <w:rPr>
                <w:color w:val="000000"/>
                <w:sz w:val="20"/>
                <w:szCs w:val="20"/>
              </w:rPr>
            </w:pPr>
            <w:r w:rsidRPr="007C51D6">
              <w:rPr>
                <w:color w:val="000000"/>
                <w:sz w:val="20"/>
                <w:szCs w:val="20"/>
              </w:rPr>
              <w:t>Тетюшский</w:t>
            </w:r>
          </w:p>
        </w:tc>
        <w:tc>
          <w:tcPr>
            <w:tcW w:w="1248" w:type="dxa"/>
            <w:shd w:val="clear" w:color="auto" w:fill="auto"/>
            <w:hideMark/>
          </w:tcPr>
          <w:p w:rsidR="00CF35F5" w:rsidRPr="007C51D6" w:rsidRDefault="00CF35F5" w:rsidP="00CF35F5">
            <w:pPr>
              <w:autoSpaceDE/>
              <w:autoSpaceDN/>
              <w:adjustRightInd/>
              <w:spacing w:line="233" w:lineRule="auto"/>
              <w:jc w:val="center"/>
              <w:rPr>
                <w:color w:val="000000"/>
                <w:sz w:val="20"/>
                <w:szCs w:val="20"/>
              </w:rPr>
            </w:pPr>
            <w:r w:rsidRPr="007C51D6">
              <w:rPr>
                <w:color w:val="000000"/>
                <w:sz w:val="20"/>
                <w:szCs w:val="20"/>
              </w:rPr>
              <w:t>3 094,08</w:t>
            </w:r>
          </w:p>
        </w:tc>
        <w:tc>
          <w:tcPr>
            <w:tcW w:w="1247" w:type="dxa"/>
            <w:shd w:val="clear" w:color="auto" w:fill="auto"/>
            <w:hideMark/>
          </w:tcPr>
          <w:p w:rsidR="00CF35F5" w:rsidRPr="007C51D6" w:rsidRDefault="00CF35F5" w:rsidP="00CF35F5">
            <w:pPr>
              <w:autoSpaceDE/>
              <w:autoSpaceDN/>
              <w:adjustRightInd/>
              <w:spacing w:line="233" w:lineRule="auto"/>
              <w:jc w:val="center"/>
              <w:rPr>
                <w:color w:val="000000"/>
                <w:sz w:val="20"/>
                <w:szCs w:val="20"/>
              </w:rPr>
            </w:pPr>
            <w:r w:rsidRPr="007C51D6">
              <w:rPr>
                <w:color w:val="000000"/>
                <w:sz w:val="20"/>
                <w:szCs w:val="20"/>
              </w:rPr>
              <w:t>3 281,06</w:t>
            </w:r>
          </w:p>
        </w:tc>
        <w:tc>
          <w:tcPr>
            <w:tcW w:w="1276" w:type="dxa"/>
            <w:shd w:val="clear" w:color="auto" w:fill="auto"/>
            <w:hideMark/>
          </w:tcPr>
          <w:p w:rsidR="00CF35F5" w:rsidRPr="007C51D6" w:rsidRDefault="00CF35F5" w:rsidP="00CF35F5">
            <w:pPr>
              <w:autoSpaceDE/>
              <w:autoSpaceDN/>
              <w:adjustRightInd/>
              <w:spacing w:line="233" w:lineRule="auto"/>
              <w:jc w:val="center"/>
              <w:rPr>
                <w:color w:val="000000"/>
                <w:sz w:val="20"/>
                <w:szCs w:val="20"/>
              </w:rPr>
            </w:pPr>
            <w:r w:rsidRPr="007C51D6">
              <w:rPr>
                <w:color w:val="000000"/>
                <w:sz w:val="20"/>
                <w:szCs w:val="20"/>
              </w:rPr>
              <w:t>3 536,39</w:t>
            </w:r>
          </w:p>
        </w:tc>
        <w:tc>
          <w:tcPr>
            <w:tcW w:w="1162" w:type="dxa"/>
            <w:shd w:val="clear" w:color="auto" w:fill="auto"/>
            <w:hideMark/>
          </w:tcPr>
          <w:p w:rsidR="00CF35F5" w:rsidRPr="007C51D6" w:rsidRDefault="00CF35F5" w:rsidP="00CF35F5">
            <w:pPr>
              <w:autoSpaceDE/>
              <w:autoSpaceDN/>
              <w:adjustRightInd/>
              <w:spacing w:line="233" w:lineRule="auto"/>
              <w:jc w:val="center"/>
              <w:rPr>
                <w:color w:val="000000"/>
                <w:sz w:val="20"/>
                <w:szCs w:val="20"/>
              </w:rPr>
            </w:pPr>
            <w:r w:rsidRPr="007C51D6">
              <w:rPr>
                <w:color w:val="000000"/>
                <w:sz w:val="20"/>
                <w:szCs w:val="20"/>
              </w:rPr>
              <w:t>3 738,32</w:t>
            </w:r>
          </w:p>
        </w:tc>
        <w:tc>
          <w:tcPr>
            <w:tcW w:w="1219" w:type="dxa"/>
            <w:shd w:val="clear" w:color="auto" w:fill="auto"/>
            <w:hideMark/>
          </w:tcPr>
          <w:p w:rsidR="00CF35F5" w:rsidRPr="007C51D6" w:rsidRDefault="00CF35F5" w:rsidP="00CF35F5">
            <w:pPr>
              <w:autoSpaceDE/>
              <w:autoSpaceDN/>
              <w:adjustRightInd/>
              <w:spacing w:line="233" w:lineRule="auto"/>
              <w:jc w:val="center"/>
              <w:rPr>
                <w:color w:val="000000"/>
                <w:sz w:val="20"/>
                <w:szCs w:val="20"/>
              </w:rPr>
            </w:pPr>
            <w:r w:rsidRPr="007C51D6">
              <w:rPr>
                <w:color w:val="000000"/>
                <w:sz w:val="20"/>
                <w:szCs w:val="20"/>
              </w:rPr>
              <w:t>3 836,17</w:t>
            </w:r>
          </w:p>
        </w:tc>
        <w:tc>
          <w:tcPr>
            <w:tcW w:w="1163" w:type="dxa"/>
          </w:tcPr>
          <w:p w:rsidR="00CF35F5" w:rsidRPr="007C51D6" w:rsidRDefault="00CF35F5" w:rsidP="00CF35F5">
            <w:pPr>
              <w:spacing w:line="233" w:lineRule="auto"/>
              <w:jc w:val="center"/>
              <w:rPr>
                <w:color w:val="000000"/>
                <w:sz w:val="20"/>
                <w:szCs w:val="20"/>
              </w:rPr>
            </w:pPr>
            <w:r w:rsidRPr="007C51D6">
              <w:rPr>
                <w:color w:val="000000"/>
                <w:sz w:val="20"/>
                <w:szCs w:val="20"/>
              </w:rPr>
              <w:t>3 262,11</w:t>
            </w:r>
          </w:p>
        </w:tc>
        <w:tc>
          <w:tcPr>
            <w:tcW w:w="1162" w:type="dxa"/>
          </w:tcPr>
          <w:p w:rsidR="00CF35F5" w:rsidRPr="007C51D6" w:rsidRDefault="00CF35F5" w:rsidP="00CF35F5">
            <w:pPr>
              <w:spacing w:line="233" w:lineRule="auto"/>
              <w:jc w:val="center"/>
              <w:rPr>
                <w:color w:val="000000"/>
                <w:sz w:val="20"/>
                <w:szCs w:val="20"/>
              </w:rPr>
            </w:pPr>
            <w:r w:rsidRPr="007C51D6">
              <w:rPr>
                <w:color w:val="000000"/>
                <w:sz w:val="20"/>
                <w:szCs w:val="20"/>
              </w:rPr>
              <w:t>3 376,07</w:t>
            </w:r>
          </w:p>
        </w:tc>
        <w:tc>
          <w:tcPr>
            <w:tcW w:w="1162" w:type="dxa"/>
          </w:tcPr>
          <w:p w:rsidR="00CF35F5" w:rsidRPr="007C51D6" w:rsidRDefault="00CF35F5" w:rsidP="00CF35F5">
            <w:pPr>
              <w:spacing w:line="233" w:lineRule="auto"/>
              <w:jc w:val="center"/>
              <w:rPr>
                <w:color w:val="000000"/>
                <w:sz w:val="20"/>
                <w:szCs w:val="20"/>
              </w:rPr>
            </w:pPr>
            <w:r w:rsidRPr="007C51D6">
              <w:rPr>
                <w:color w:val="000000"/>
                <w:sz w:val="20"/>
                <w:szCs w:val="20"/>
              </w:rPr>
              <w:t>3687,83</w:t>
            </w:r>
          </w:p>
        </w:tc>
        <w:tc>
          <w:tcPr>
            <w:tcW w:w="1248" w:type="dxa"/>
            <w:vAlign w:val="center"/>
          </w:tcPr>
          <w:p w:rsidR="00CF35F5" w:rsidRPr="007C51D6" w:rsidRDefault="00CF35F5" w:rsidP="00CF35F5">
            <w:pPr>
              <w:autoSpaceDE/>
              <w:autoSpaceDN/>
              <w:adjustRightInd/>
              <w:spacing w:line="233" w:lineRule="auto"/>
              <w:jc w:val="center"/>
              <w:rPr>
                <w:color w:val="000000"/>
                <w:sz w:val="20"/>
                <w:szCs w:val="20"/>
              </w:rPr>
            </w:pPr>
            <w:r w:rsidRPr="007C51D6">
              <w:rPr>
                <w:color w:val="000000"/>
                <w:sz w:val="20"/>
                <w:szCs w:val="20"/>
              </w:rPr>
              <w:t>3874,13</w:t>
            </w:r>
          </w:p>
        </w:tc>
        <w:tc>
          <w:tcPr>
            <w:tcW w:w="1248" w:type="dxa"/>
            <w:vAlign w:val="center"/>
          </w:tcPr>
          <w:p w:rsidR="00CF35F5" w:rsidRPr="007C51D6" w:rsidRDefault="00CF35F5" w:rsidP="00CF35F5">
            <w:pPr>
              <w:jc w:val="center"/>
              <w:rPr>
                <w:color w:val="000000"/>
                <w:sz w:val="20"/>
                <w:szCs w:val="20"/>
              </w:rPr>
            </w:pPr>
            <w:r w:rsidRPr="007C51D6">
              <w:rPr>
                <w:color w:val="000000"/>
                <w:sz w:val="20"/>
                <w:szCs w:val="20"/>
              </w:rPr>
              <w:t>3936.77</w:t>
            </w:r>
          </w:p>
        </w:tc>
      </w:tr>
      <w:tr w:rsidR="00CF35F5" w:rsidRPr="007C51D6" w:rsidTr="00080BEF">
        <w:trPr>
          <w:trHeight w:val="20"/>
        </w:trPr>
        <w:tc>
          <w:tcPr>
            <w:tcW w:w="3114" w:type="dxa"/>
            <w:shd w:val="clear" w:color="auto" w:fill="auto"/>
            <w:hideMark/>
          </w:tcPr>
          <w:p w:rsidR="00CF35F5" w:rsidRPr="007C51D6" w:rsidRDefault="00CF35F5" w:rsidP="00CF35F5">
            <w:pPr>
              <w:autoSpaceDE/>
              <w:autoSpaceDN/>
              <w:adjustRightInd/>
              <w:spacing w:line="233" w:lineRule="auto"/>
              <w:rPr>
                <w:color w:val="000000"/>
                <w:sz w:val="20"/>
                <w:szCs w:val="20"/>
              </w:rPr>
            </w:pPr>
            <w:r w:rsidRPr="007C51D6">
              <w:rPr>
                <w:color w:val="000000"/>
                <w:sz w:val="20"/>
                <w:szCs w:val="20"/>
              </w:rPr>
              <w:t>Тукаевский</w:t>
            </w:r>
          </w:p>
        </w:tc>
        <w:tc>
          <w:tcPr>
            <w:tcW w:w="1248" w:type="dxa"/>
            <w:shd w:val="clear" w:color="auto" w:fill="auto"/>
            <w:hideMark/>
          </w:tcPr>
          <w:p w:rsidR="00CF35F5" w:rsidRPr="007C51D6" w:rsidRDefault="00CF35F5" w:rsidP="00CF35F5">
            <w:pPr>
              <w:autoSpaceDE/>
              <w:autoSpaceDN/>
              <w:adjustRightInd/>
              <w:spacing w:line="233" w:lineRule="auto"/>
              <w:jc w:val="center"/>
              <w:rPr>
                <w:color w:val="000000"/>
                <w:sz w:val="20"/>
                <w:szCs w:val="20"/>
              </w:rPr>
            </w:pPr>
            <w:r w:rsidRPr="007C51D6">
              <w:rPr>
                <w:color w:val="000000"/>
                <w:sz w:val="20"/>
                <w:szCs w:val="20"/>
              </w:rPr>
              <w:t>2 139,39</w:t>
            </w:r>
          </w:p>
        </w:tc>
        <w:tc>
          <w:tcPr>
            <w:tcW w:w="1247" w:type="dxa"/>
            <w:shd w:val="clear" w:color="auto" w:fill="auto"/>
            <w:hideMark/>
          </w:tcPr>
          <w:p w:rsidR="00CF35F5" w:rsidRPr="007C51D6" w:rsidRDefault="00CF35F5" w:rsidP="00CF35F5">
            <w:pPr>
              <w:autoSpaceDE/>
              <w:autoSpaceDN/>
              <w:adjustRightInd/>
              <w:spacing w:line="233" w:lineRule="auto"/>
              <w:jc w:val="center"/>
              <w:rPr>
                <w:color w:val="000000"/>
                <w:sz w:val="20"/>
                <w:szCs w:val="20"/>
              </w:rPr>
            </w:pPr>
            <w:r w:rsidRPr="007C51D6">
              <w:rPr>
                <w:color w:val="000000"/>
                <w:sz w:val="20"/>
                <w:szCs w:val="20"/>
              </w:rPr>
              <w:t>2 280,24</w:t>
            </w:r>
          </w:p>
        </w:tc>
        <w:tc>
          <w:tcPr>
            <w:tcW w:w="1276" w:type="dxa"/>
            <w:shd w:val="clear" w:color="auto" w:fill="auto"/>
            <w:hideMark/>
          </w:tcPr>
          <w:p w:rsidR="00CF35F5" w:rsidRPr="007C51D6" w:rsidRDefault="00CF35F5" w:rsidP="00CF35F5">
            <w:pPr>
              <w:autoSpaceDE/>
              <w:autoSpaceDN/>
              <w:adjustRightInd/>
              <w:spacing w:line="233" w:lineRule="auto"/>
              <w:jc w:val="center"/>
              <w:rPr>
                <w:color w:val="000000"/>
                <w:sz w:val="20"/>
                <w:szCs w:val="20"/>
              </w:rPr>
            </w:pPr>
            <w:r w:rsidRPr="007C51D6">
              <w:rPr>
                <w:color w:val="000000"/>
                <w:sz w:val="20"/>
                <w:szCs w:val="20"/>
              </w:rPr>
              <w:t>2 387,22</w:t>
            </w:r>
          </w:p>
        </w:tc>
        <w:tc>
          <w:tcPr>
            <w:tcW w:w="1162" w:type="dxa"/>
            <w:shd w:val="clear" w:color="auto" w:fill="auto"/>
            <w:hideMark/>
          </w:tcPr>
          <w:p w:rsidR="00CF35F5" w:rsidRPr="007C51D6" w:rsidRDefault="00CF35F5" w:rsidP="00CF35F5">
            <w:pPr>
              <w:autoSpaceDE/>
              <w:autoSpaceDN/>
              <w:adjustRightInd/>
              <w:spacing w:line="233" w:lineRule="auto"/>
              <w:jc w:val="center"/>
              <w:rPr>
                <w:color w:val="000000"/>
                <w:sz w:val="20"/>
                <w:szCs w:val="20"/>
              </w:rPr>
            </w:pPr>
            <w:r w:rsidRPr="007C51D6">
              <w:rPr>
                <w:color w:val="000000"/>
                <w:sz w:val="20"/>
                <w:szCs w:val="20"/>
              </w:rPr>
              <w:t>2 532,17</w:t>
            </w:r>
          </w:p>
        </w:tc>
        <w:tc>
          <w:tcPr>
            <w:tcW w:w="1219" w:type="dxa"/>
            <w:shd w:val="clear" w:color="auto" w:fill="auto"/>
            <w:hideMark/>
          </w:tcPr>
          <w:p w:rsidR="00CF35F5" w:rsidRPr="007C51D6" w:rsidRDefault="00CF35F5" w:rsidP="00CF35F5">
            <w:pPr>
              <w:autoSpaceDE/>
              <w:autoSpaceDN/>
              <w:adjustRightInd/>
              <w:spacing w:line="233" w:lineRule="auto"/>
              <w:jc w:val="center"/>
              <w:rPr>
                <w:color w:val="000000"/>
                <w:sz w:val="20"/>
                <w:szCs w:val="20"/>
              </w:rPr>
            </w:pPr>
            <w:r w:rsidRPr="007C51D6">
              <w:rPr>
                <w:color w:val="000000"/>
                <w:sz w:val="20"/>
                <w:szCs w:val="20"/>
              </w:rPr>
              <w:t>2 596,97</w:t>
            </w:r>
          </w:p>
        </w:tc>
        <w:tc>
          <w:tcPr>
            <w:tcW w:w="1163" w:type="dxa"/>
          </w:tcPr>
          <w:p w:rsidR="00CF35F5" w:rsidRPr="007C51D6" w:rsidRDefault="00CF35F5" w:rsidP="00CF35F5">
            <w:pPr>
              <w:spacing w:line="233" w:lineRule="auto"/>
              <w:jc w:val="center"/>
              <w:rPr>
                <w:color w:val="000000"/>
                <w:sz w:val="20"/>
                <w:szCs w:val="20"/>
              </w:rPr>
            </w:pPr>
            <w:r w:rsidRPr="007C51D6">
              <w:rPr>
                <w:color w:val="000000"/>
                <w:sz w:val="20"/>
                <w:szCs w:val="20"/>
              </w:rPr>
              <w:t>2 157,93</w:t>
            </w:r>
          </w:p>
        </w:tc>
        <w:tc>
          <w:tcPr>
            <w:tcW w:w="1162" w:type="dxa"/>
          </w:tcPr>
          <w:p w:rsidR="00CF35F5" w:rsidRPr="007C51D6" w:rsidRDefault="00CF35F5" w:rsidP="00CF35F5">
            <w:pPr>
              <w:spacing w:line="233" w:lineRule="auto"/>
              <w:jc w:val="center"/>
              <w:rPr>
                <w:color w:val="000000"/>
                <w:sz w:val="20"/>
                <w:szCs w:val="20"/>
              </w:rPr>
            </w:pPr>
            <w:r w:rsidRPr="007C51D6">
              <w:rPr>
                <w:color w:val="000000"/>
                <w:sz w:val="20"/>
                <w:szCs w:val="20"/>
              </w:rPr>
              <w:t>2 393,88</w:t>
            </w:r>
          </w:p>
        </w:tc>
        <w:tc>
          <w:tcPr>
            <w:tcW w:w="1162" w:type="dxa"/>
          </w:tcPr>
          <w:p w:rsidR="00CF35F5" w:rsidRPr="007C51D6" w:rsidRDefault="00CF35F5" w:rsidP="00CF35F5">
            <w:pPr>
              <w:spacing w:line="233" w:lineRule="auto"/>
              <w:jc w:val="center"/>
              <w:rPr>
                <w:color w:val="000000"/>
                <w:sz w:val="20"/>
                <w:szCs w:val="20"/>
              </w:rPr>
            </w:pPr>
            <w:r w:rsidRPr="007C51D6">
              <w:rPr>
                <w:color w:val="000000"/>
                <w:sz w:val="20"/>
                <w:szCs w:val="20"/>
              </w:rPr>
              <w:t>2340,73</w:t>
            </w:r>
          </w:p>
        </w:tc>
        <w:tc>
          <w:tcPr>
            <w:tcW w:w="1248" w:type="dxa"/>
            <w:vAlign w:val="center"/>
          </w:tcPr>
          <w:p w:rsidR="00CF35F5" w:rsidRPr="007C51D6" w:rsidRDefault="00CF35F5" w:rsidP="00CF35F5">
            <w:pPr>
              <w:spacing w:line="233" w:lineRule="auto"/>
              <w:jc w:val="center"/>
              <w:rPr>
                <w:color w:val="000000"/>
                <w:sz w:val="20"/>
                <w:szCs w:val="20"/>
              </w:rPr>
            </w:pPr>
            <w:r w:rsidRPr="007C51D6">
              <w:rPr>
                <w:color w:val="000000"/>
                <w:sz w:val="20"/>
                <w:szCs w:val="20"/>
              </w:rPr>
              <w:t>2479,47</w:t>
            </w:r>
          </w:p>
        </w:tc>
        <w:tc>
          <w:tcPr>
            <w:tcW w:w="1248" w:type="dxa"/>
            <w:vAlign w:val="center"/>
          </w:tcPr>
          <w:p w:rsidR="00CF35F5" w:rsidRPr="007C51D6" w:rsidRDefault="00CF35F5" w:rsidP="00CF35F5">
            <w:pPr>
              <w:jc w:val="center"/>
              <w:rPr>
                <w:color w:val="000000"/>
                <w:sz w:val="20"/>
                <w:szCs w:val="20"/>
              </w:rPr>
            </w:pPr>
            <w:r w:rsidRPr="007C51D6">
              <w:rPr>
                <w:color w:val="000000"/>
                <w:sz w:val="20"/>
                <w:szCs w:val="20"/>
              </w:rPr>
              <w:t>2756.12</w:t>
            </w:r>
          </w:p>
        </w:tc>
      </w:tr>
      <w:tr w:rsidR="00CF35F5" w:rsidRPr="007C51D6" w:rsidTr="00080BEF">
        <w:trPr>
          <w:trHeight w:val="20"/>
        </w:trPr>
        <w:tc>
          <w:tcPr>
            <w:tcW w:w="3114" w:type="dxa"/>
            <w:shd w:val="clear" w:color="auto" w:fill="auto"/>
            <w:hideMark/>
          </w:tcPr>
          <w:p w:rsidR="00CF35F5" w:rsidRPr="007C51D6" w:rsidRDefault="00CF35F5" w:rsidP="00CF35F5">
            <w:pPr>
              <w:autoSpaceDE/>
              <w:autoSpaceDN/>
              <w:adjustRightInd/>
              <w:spacing w:line="233" w:lineRule="auto"/>
              <w:rPr>
                <w:color w:val="000000"/>
                <w:sz w:val="20"/>
                <w:szCs w:val="20"/>
              </w:rPr>
            </w:pPr>
            <w:r w:rsidRPr="007C51D6">
              <w:rPr>
                <w:color w:val="000000"/>
                <w:sz w:val="20"/>
                <w:szCs w:val="20"/>
              </w:rPr>
              <w:t>Тюлячинский</w:t>
            </w:r>
          </w:p>
        </w:tc>
        <w:tc>
          <w:tcPr>
            <w:tcW w:w="1248" w:type="dxa"/>
            <w:shd w:val="clear" w:color="auto" w:fill="auto"/>
            <w:hideMark/>
          </w:tcPr>
          <w:p w:rsidR="00CF35F5" w:rsidRPr="007C51D6" w:rsidRDefault="00CF35F5" w:rsidP="00CF35F5">
            <w:pPr>
              <w:autoSpaceDE/>
              <w:autoSpaceDN/>
              <w:adjustRightInd/>
              <w:spacing w:line="233" w:lineRule="auto"/>
              <w:jc w:val="center"/>
              <w:rPr>
                <w:color w:val="000000"/>
                <w:sz w:val="20"/>
                <w:szCs w:val="20"/>
              </w:rPr>
            </w:pPr>
            <w:r w:rsidRPr="007C51D6">
              <w:rPr>
                <w:color w:val="000000"/>
                <w:sz w:val="20"/>
                <w:szCs w:val="20"/>
              </w:rPr>
              <w:t>2 354,12</w:t>
            </w:r>
          </w:p>
        </w:tc>
        <w:tc>
          <w:tcPr>
            <w:tcW w:w="1247" w:type="dxa"/>
            <w:shd w:val="clear" w:color="auto" w:fill="auto"/>
            <w:hideMark/>
          </w:tcPr>
          <w:p w:rsidR="00CF35F5" w:rsidRPr="007C51D6" w:rsidRDefault="00CF35F5" w:rsidP="00CF35F5">
            <w:pPr>
              <w:autoSpaceDE/>
              <w:autoSpaceDN/>
              <w:adjustRightInd/>
              <w:spacing w:line="233" w:lineRule="auto"/>
              <w:jc w:val="center"/>
              <w:rPr>
                <w:color w:val="000000"/>
                <w:sz w:val="20"/>
                <w:szCs w:val="20"/>
              </w:rPr>
            </w:pPr>
            <w:r w:rsidRPr="007C51D6">
              <w:rPr>
                <w:color w:val="000000"/>
                <w:sz w:val="20"/>
                <w:szCs w:val="20"/>
              </w:rPr>
              <w:t>2 351,42</w:t>
            </w:r>
          </w:p>
        </w:tc>
        <w:tc>
          <w:tcPr>
            <w:tcW w:w="1276" w:type="dxa"/>
            <w:shd w:val="clear" w:color="auto" w:fill="auto"/>
            <w:hideMark/>
          </w:tcPr>
          <w:p w:rsidR="00CF35F5" w:rsidRPr="007C51D6" w:rsidRDefault="00CF35F5" w:rsidP="00CF35F5">
            <w:pPr>
              <w:autoSpaceDE/>
              <w:autoSpaceDN/>
              <w:adjustRightInd/>
              <w:spacing w:line="233" w:lineRule="auto"/>
              <w:jc w:val="center"/>
              <w:rPr>
                <w:color w:val="000000"/>
                <w:sz w:val="20"/>
                <w:szCs w:val="20"/>
              </w:rPr>
            </w:pPr>
            <w:r w:rsidRPr="007C51D6">
              <w:rPr>
                <w:color w:val="000000"/>
                <w:sz w:val="20"/>
                <w:szCs w:val="20"/>
              </w:rPr>
              <w:t>2 582,36</w:t>
            </w:r>
          </w:p>
        </w:tc>
        <w:tc>
          <w:tcPr>
            <w:tcW w:w="1162" w:type="dxa"/>
            <w:shd w:val="clear" w:color="auto" w:fill="auto"/>
            <w:hideMark/>
          </w:tcPr>
          <w:p w:rsidR="00CF35F5" w:rsidRPr="007C51D6" w:rsidRDefault="00CF35F5" w:rsidP="00CF35F5">
            <w:pPr>
              <w:autoSpaceDE/>
              <w:autoSpaceDN/>
              <w:adjustRightInd/>
              <w:spacing w:line="233" w:lineRule="auto"/>
              <w:jc w:val="center"/>
              <w:rPr>
                <w:color w:val="000000"/>
                <w:sz w:val="20"/>
                <w:szCs w:val="20"/>
              </w:rPr>
            </w:pPr>
            <w:r w:rsidRPr="007C51D6">
              <w:rPr>
                <w:color w:val="000000"/>
                <w:sz w:val="20"/>
                <w:szCs w:val="20"/>
              </w:rPr>
              <w:t>2 680,44</w:t>
            </w:r>
          </w:p>
        </w:tc>
        <w:tc>
          <w:tcPr>
            <w:tcW w:w="1219" w:type="dxa"/>
            <w:shd w:val="clear" w:color="auto" w:fill="auto"/>
            <w:hideMark/>
          </w:tcPr>
          <w:p w:rsidR="00CF35F5" w:rsidRPr="007C51D6" w:rsidRDefault="00CF35F5" w:rsidP="00CF35F5">
            <w:pPr>
              <w:autoSpaceDE/>
              <w:autoSpaceDN/>
              <w:adjustRightInd/>
              <w:spacing w:line="233" w:lineRule="auto"/>
              <w:jc w:val="center"/>
              <w:rPr>
                <w:color w:val="000000"/>
                <w:sz w:val="20"/>
                <w:szCs w:val="20"/>
              </w:rPr>
            </w:pPr>
            <w:r w:rsidRPr="007C51D6">
              <w:rPr>
                <w:color w:val="000000"/>
                <w:sz w:val="20"/>
                <w:szCs w:val="20"/>
              </w:rPr>
              <w:t>2 612,86</w:t>
            </w:r>
          </w:p>
        </w:tc>
        <w:tc>
          <w:tcPr>
            <w:tcW w:w="1163" w:type="dxa"/>
          </w:tcPr>
          <w:p w:rsidR="00CF35F5" w:rsidRPr="007C51D6" w:rsidRDefault="00CF35F5" w:rsidP="00CF35F5">
            <w:pPr>
              <w:spacing w:line="233" w:lineRule="auto"/>
              <w:jc w:val="center"/>
              <w:rPr>
                <w:color w:val="000000"/>
                <w:sz w:val="20"/>
                <w:szCs w:val="20"/>
              </w:rPr>
            </w:pPr>
            <w:r w:rsidRPr="007C51D6">
              <w:rPr>
                <w:color w:val="000000"/>
                <w:sz w:val="20"/>
                <w:szCs w:val="20"/>
              </w:rPr>
              <w:t>2 176,92</w:t>
            </w:r>
          </w:p>
        </w:tc>
        <w:tc>
          <w:tcPr>
            <w:tcW w:w="1162" w:type="dxa"/>
          </w:tcPr>
          <w:p w:rsidR="00CF35F5" w:rsidRPr="007C51D6" w:rsidRDefault="00CF35F5" w:rsidP="00CF35F5">
            <w:pPr>
              <w:spacing w:line="233" w:lineRule="auto"/>
              <w:jc w:val="center"/>
              <w:rPr>
                <w:color w:val="000000"/>
                <w:sz w:val="20"/>
                <w:szCs w:val="20"/>
              </w:rPr>
            </w:pPr>
            <w:r w:rsidRPr="007C51D6">
              <w:rPr>
                <w:color w:val="000000"/>
                <w:sz w:val="20"/>
                <w:szCs w:val="20"/>
              </w:rPr>
              <w:t>2 257,01</w:t>
            </w:r>
          </w:p>
        </w:tc>
        <w:tc>
          <w:tcPr>
            <w:tcW w:w="1162" w:type="dxa"/>
          </w:tcPr>
          <w:p w:rsidR="00CF35F5" w:rsidRPr="007C51D6" w:rsidRDefault="00CF35F5" w:rsidP="00CF35F5">
            <w:pPr>
              <w:spacing w:line="233" w:lineRule="auto"/>
              <w:jc w:val="center"/>
              <w:rPr>
                <w:color w:val="000000"/>
                <w:sz w:val="20"/>
                <w:szCs w:val="20"/>
              </w:rPr>
            </w:pPr>
            <w:r w:rsidRPr="007C51D6">
              <w:rPr>
                <w:color w:val="000000"/>
                <w:sz w:val="20"/>
                <w:szCs w:val="20"/>
              </w:rPr>
              <w:t>2359,53</w:t>
            </w:r>
          </w:p>
        </w:tc>
        <w:tc>
          <w:tcPr>
            <w:tcW w:w="1248" w:type="dxa"/>
            <w:vAlign w:val="center"/>
          </w:tcPr>
          <w:p w:rsidR="00CF35F5" w:rsidRPr="007C51D6" w:rsidRDefault="00CF35F5" w:rsidP="00CF35F5">
            <w:pPr>
              <w:spacing w:line="233" w:lineRule="auto"/>
              <w:jc w:val="center"/>
              <w:rPr>
                <w:color w:val="000000"/>
                <w:sz w:val="20"/>
                <w:szCs w:val="20"/>
              </w:rPr>
            </w:pPr>
            <w:r w:rsidRPr="007C51D6">
              <w:rPr>
                <w:color w:val="000000"/>
                <w:sz w:val="20"/>
                <w:szCs w:val="20"/>
              </w:rPr>
              <w:t>2579,88</w:t>
            </w:r>
          </w:p>
        </w:tc>
        <w:tc>
          <w:tcPr>
            <w:tcW w:w="1248" w:type="dxa"/>
            <w:vAlign w:val="center"/>
          </w:tcPr>
          <w:p w:rsidR="00CF35F5" w:rsidRPr="007C51D6" w:rsidRDefault="00CF35F5" w:rsidP="00CF35F5">
            <w:pPr>
              <w:jc w:val="center"/>
              <w:rPr>
                <w:color w:val="000000"/>
                <w:sz w:val="20"/>
                <w:szCs w:val="20"/>
              </w:rPr>
            </w:pPr>
            <w:r w:rsidRPr="007C51D6">
              <w:rPr>
                <w:color w:val="000000"/>
                <w:sz w:val="20"/>
                <w:szCs w:val="20"/>
              </w:rPr>
              <w:t>2662.11</w:t>
            </w:r>
          </w:p>
        </w:tc>
      </w:tr>
      <w:tr w:rsidR="00CF35F5" w:rsidRPr="007C51D6" w:rsidTr="00080BEF">
        <w:trPr>
          <w:trHeight w:val="20"/>
        </w:trPr>
        <w:tc>
          <w:tcPr>
            <w:tcW w:w="3114" w:type="dxa"/>
            <w:shd w:val="clear" w:color="auto" w:fill="auto"/>
            <w:hideMark/>
          </w:tcPr>
          <w:p w:rsidR="00CF35F5" w:rsidRPr="007C51D6" w:rsidRDefault="00CF35F5" w:rsidP="00CF35F5">
            <w:pPr>
              <w:autoSpaceDE/>
              <w:autoSpaceDN/>
              <w:adjustRightInd/>
              <w:spacing w:line="233" w:lineRule="auto"/>
              <w:rPr>
                <w:color w:val="000000"/>
                <w:sz w:val="20"/>
                <w:szCs w:val="20"/>
              </w:rPr>
            </w:pPr>
            <w:r w:rsidRPr="007C51D6">
              <w:rPr>
                <w:color w:val="000000"/>
                <w:sz w:val="20"/>
                <w:szCs w:val="20"/>
              </w:rPr>
              <w:t>Черемшанский</w:t>
            </w:r>
          </w:p>
        </w:tc>
        <w:tc>
          <w:tcPr>
            <w:tcW w:w="1248" w:type="dxa"/>
            <w:shd w:val="clear" w:color="auto" w:fill="auto"/>
            <w:hideMark/>
          </w:tcPr>
          <w:p w:rsidR="00CF35F5" w:rsidRPr="007C51D6" w:rsidRDefault="00CF35F5" w:rsidP="00CF35F5">
            <w:pPr>
              <w:autoSpaceDE/>
              <w:autoSpaceDN/>
              <w:adjustRightInd/>
              <w:spacing w:line="233" w:lineRule="auto"/>
              <w:jc w:val="center"/>
              <w:rPr>
                <w:color w:val="000000"/>
                <w:sz w:val="20"/>
                <w:szCs w:val="20"/>
              </w:rPr>
            </w:pPr>
            <w:r w:rsidRPr="007C51D6">
              <w:rPr>
                <w:color w:val="000000"/>
                <w:sz w:val="20"/>
                <w:szCs w:val="20"/>
              </w:rPr>
              <w:t>2 623,80</w:t>
            </w:r>
          </w:p>
        </w:tc>
        <w:tc>
          <w:tcPr>
            <w:tcW w:w="1247" w:type="dxa"/>
            <w:shd w:val="clear" w:color="auto" w:fill="auto"/>
            <w:hideMark/>
          </w:tcPr>
          <w:p w:rsidR="00CF35F5" w:rsidRPr="007C51D6" w:rsidRDefault="00CF35F5" w:rsidP="00CF35F5">
            <w:pPr>
              <w:autoSpaceDE/>
              <w:autoSpaceDN/>
              <w:adjustRightInd/>
              <w:spacing w:line="233" w:lineRule="auto"/>
              <w:jc w:val="center"/>
              <w:rPr>
                <w:color w:val="000000"/>
                <w:sz w:val="20"/>
                <w:szCs w:val="20"/>
              </w:rPr>
            </w:pPr>
            <w:r w:rsidRPr="007C51D6">
              <w:rPr>
                <w:color w:val="000000"/>
                <w:sz w:val="20"/>
                <w:szCs w:val="20"/>
              </w:rPr>
              <w:t>2 643,26</w:t>
            </w:r>
          </w:p>
        </w:tc>
        <w:tc>
          <w:tcPr>
            <w:tcW w:w="1276" w:type="dxa"/>
            <w:shd w:val="clear" w:color="auto" w:fill="auto"/>
            <w:hideMark/>
          </w:tcPr>
          <w:p w:rsidR="00CF35F5" w:rsidRPr="007C51D6" w:rsidRDefault="00CF35F5" w:rsidP="00CF35F5">
            <w:pPr>
              <w:autoSpaceDE/>
              <w:autoSpaceDN/>
              <w:adjustRightInd/>
              <w:spacing w:line="233" w:lineRule="auto"/>
              <w:jc w:val="center"/>
              <w:rPr>
                <w:color w:val="000000"/>
                <w:sz w:val="20"/>
                <w:szCs w:val="20"/>
              </w:rPr>
            </w:pPr>
            <w:r w:rsidRPr="007C51D6">
              <w:rPr>
                <w:color w:val="000000"/>
                <w:sz w:val="20"/>
                <w:szCs w:val="20"/>
              </w:rPr>
              <w:t>2 798,96</w:t>
            </w:r>
          </w:p>
        </w:tc>
        <w:tc>
          <w:tcPr>
            <w:tcW w:w="1162" w:type="dxa"/>
            <w:shd w:val="clear" w:color="auto" w:fill="auto"/>
            <w:hideMark/>
          </w:tcPr>
          <w:p w:rsidR="00CF35F5" w:rsidRPr="007C51D6" w:rsidRDefault="00CF35F5" w:rsidP="00CF35F5">
            <w:pPr>
              <w:autoSpaceDE/>
              <w:autoSpaceDN/>
              <w:adjustRightInd/>
              <w:spacing w:line="233" w:lineRule="auto"/>
              <w:jc w:val="center"/>
              <w:rPr>
                <w:color w:val="000000"/>
                <w:sz w:val="20"/>
                <w:szCs w:val="20"/>
              </w:rPr>
            </w:pPr>
            <w:r w:rsidRPr="007C51D6">
              <w:rPr>
                <w:color w:val="000000"/>
                <w:sz w:val="20"/>
                <w:szCs w:val="20"/>
              </w:rPr>
              <w:t>3 017,81</w:t>
            </w:r>
          </w:p>
        </w:tc>
        <w:tc>
          <w:tcPr>
            <w:tcW w:w="1219" w:type="dxa"/>
            <w:shd w:val="clear" w:color="auto" w:fill="auto"/>
            <w:hideMark/>
          </w:tcPr>
          <w:p w:rsidR="00CF35F5" w:rsidRPr="007C51D6" w:rsidRDefault="00CF35F5" w:rsidP="00CF35F5">
            <w:pPr>
              <w:autoSpaceDE/>
              <w:autoSpaceDN/>
              <w:adjustRightInd/>
              <w:spacing w:line="233" w:lineRule="auto"/>
              <w:jc w:val="center"/>
              <w:rPr>
                <w:color w:val="000000"/>
                <w:sz w:val="20"/>
                <w:szCs w:val="20"/>
              </w:rPr>
            </w:pPr>
            <w:r w:rsidRPr="007C51D6">
              <w:rPr>
                <w:color w:val="000000"/>
                <w:sz w:val="20"/>
                <w:szCs w:val="20"/>
              </w:rPr>
              <w:t>2 986,83</w:t>
            </w:r>
          </w:p>
        </w:tc>
        <w:tc>
          <w:tcPr>
            <w:tcW w:w="1163" w:type="dxa"/>
          </w:tcPr>
          <w:p w:rsidR="00CF35F5" w:rsidRPr="007C51D6" w:rsidRDefault="00CF35F5" w:rsidP="00CF35F5">
            <w:pPr>
              <w:spacing w:line="233" w:lineRule="auto"/>
              <w:jc w:val="center"/>
              <w:rPr>
                <w:color w:val="000000"/>
                <w:sz w:val="20"/>
                <w:szCs w:val="20"/>
              </w:rPr>
            </w:pPr>
            <w:r w:rsidRPr="007C51D6">
              <w:rPr>
                <w:color w:val="000000"/>
                <w:sz w:val="20"/>
                <w:szCs w:val="20"/>
              </w:rPr>
              <w:t>2 691,80</w:t>
            </w:r>
          </w:p>
        </w:tc>
        <w:tc>
          <w:tcPr>
            <w:tcW w:w="1162" w:type="dxa"/>
          </w:tcPr>
          <w:p w:rsidR="00CF35F5" w:rsidRPr="007C51D6" w:rsidRDefault="00CF35F5" w:rsidP="00CF35F5">
            <w:pPr>
              <w:spacing w:line="233" w:lineRule="auto"/>
              <w:jc w:val="center"/>
              <w:rPr>
                <w:color w:val="000000"/>
                <w:sz w:val="20"/>
                <w:szCs w:val="20"/>
              </w:rPr>
            </w:pPr>
            <w:r w:rsidRPr="007C51D6">
              <w:rPr>
                <w:color w:val="000000"/>
                <w:sz w:val="20"/>
                <w:szCs w:val="20"/>
              </w:rPr>
              <w:t>2 784,44</w:t>
            </w:r>
          </w:p>
        </w:tc>
        <w:tc>
          <w:tcPr>
            <w:tcW w:w="1162" w:type="dxa"/>
          </w:tcPr>
          <w:p w:rsidR="00CF35F5" w:rsidRPr="007C51D6" w:rsidRDefault="00CF35F5" w:rsidP="00CF35F5">
            <w:pPr>
              <w:spacing w:line="233" w:lineRule="auto"/>
              <w:jc w:val="center"/>
              <w:rPr>
                <w:color w:val="000000"/>
                <w:sz w:val="20"/>
                <w:szCs w:val="20"/>
              </w:rPr>
            </w:pPr>
            <w:r w:rsidRPr="007C51D6">
              <w:rPr>
                <w:color w:val="000000"/>
                <w:sz w:val="20"/>
                <w:szCs w:val="20"/>
              </w:rPr>
              <w:t>2995,21</w:t>
            </w:r>
          </w:p>
        </w:tc>
        <w:tc>
          <w:tcPr>
            <w:tcW w:w="1248" w:type="dxa"/>
            <w:vAlign w:val="center"/>
          </w:tcPr>
          <w:p w:rsidR="00CF35F5" w:rsidRPr="007C51D6" w:rsidRDefault="00CF35F5" w:rsidP="00CF35F5">
            <w:pPr>
              <w:spacing w:line="233" w:lineRule="auto"/>
              <w:jc w:val="center"/>
              <w:rPr>
                <w:color w:val="000000"/>
                <w:sz w:val="20"/>
                <w:szCs w:val="20"/>
              </w:rPr>
            </w:pPr>
            <w:r w:rsidRPr="007C51D6">
              <w:rPr>
                <w:color w:val="000000"/>
                <w:sz w:val="20"/>
                <w:szCs w:val="20"/>
              </w:rPr>
              <w:t>3121,33</w:t>
            </w:r>
          </w:p>
        </w:tc>
        <w:tc>
          <w:tcPr>
            <w:tcW w:w="1248" w:type="dxa"/>
            <w:vAlign w:val="center"/>
          </w:tcPr>
          <w:p w:rsidR="00CF35F5" w:rsidRPr="007C51D6" w:rsidRDefault="00CF35F5" w:rsidP="00CF35F5">
            <w:pPr>
              <w:jc w:val="center"/>
              <w:rPr>
                <w:color w:val="000000"/>
                <w:sz w:val="20"/>
                <w:szCs w:val="20"/>
              </w:rPr>
            </w:pPr>
            <w:r w:rsidRPr="007C51D6">
              <w:rPr>
                <w:color w:val="000000"/>
                <w:sz w:val="20"/>
                <w:szCs w:val="20"/>
              </w:rPr>
              <w:t>3058.45</w:t>
            </w:r>
          </w:p>
        </w:tc>
      </w:tr>
      <w:tr w:rsidR="00CF35F5" w:rsidRPr="007C51D6" w:rsidTr="00080BEF">
        <w:trPr>
          <w:trHeight w:val="20"/>
        </w:trPr>
        <w:tc>
          <w:tcPr>
            <w:tcW w:w="3114" w:type="dxa"/>
            <w:shd w:val="clear" w:color="auto" w:fill="auto"/>
            <w:hideMark/>
          </w:tcPr>
          <w:p w:rsidR="00CF35F5" w:rsidRPr="007C51D6" w:rsidRDefault="00CF35F5" w:rsidP="00CF35F5">
            <w:pPr>
              <w:autoSpaceDE/>
              <w:autoSpaceDN/>
              <w:adjustRightInd/>
              <w:spacing w:line="233" w:lineRule="auto"/>
              <w:rPr>
                <w:color w:val="000000"/>
                <w:sz w:val="20"/>
                <w:szCs w:val="20"/>
              </w:rPr>
            </w:pPr>
            <w:r w:rsidRPr="007C51D6">
              <w:rPr>
                <w:color w:val="000000"/>
                <w:sz w:val="20"/>
                <w:szCs w:val="20"/>
              </w:rPr>
              <w:t>Чистопольский</w:t>
            </w:r>
          </w:p>
        </w:tc>
        <w:tc>
          <w:tcPr>
            <w:tcW w:w="1248" w:type="dxa"/>
            <w:shd w:val="clear" w:color="auto" w:fill="auto"/>
            <w:hideMark/>
          </w:tcPr>
          <w:p w:rsidR="00CF35F5" w:rsidRPr="007C51D6" w:rsidRDefault="00CF35F5" w:rsidP="00CF35F5">
            <w:pPr>
              <w:autoSpaceDE/>
              <w:autoSpaceDN/>
              <w:adjustRightInd/>
              <w:spacing w:line="233" w:lineRule="auto"/>
              <w:jc w:val="center"/>
              <w:rPr>
                <w:color w:val="000000"/>
                <w:sz w:val="20"/>
                <w:szCs w:val="20"/>
              </w:rPr>
            </w:pPr>
            <w:r w:rsidRPr="007C51D6">
              <w:rPr>
                <w:color w:val="000000"/>
                <w:sz w:val="20"/>
                <w:szCs w:val="20"/>
              </w:rPr>
              <w:t>2 876,00</w:t>
            </w:r>
          </w:p>
        </w:tc>
        <w:tc>
          <w:tcPr>
            <w:tcW w:w="1247" w:type="dxa"/>
            <w:shd w:val="clear" w:color="auto" w:fill="auto"/>
            <w:hideMark/>
          </w:tcPr>
          <w:p w:rsidR="00CF35F5" w:rsidRPr="007C51D6" w:rsidRDefault="00CF35F5" w:rsidP="00CF35F5">
            <w:pPr>
              <w:autoSpaceDE/>
              <w:autoSpaceDN/>
              <w:adjustRightInd/>
              <w:spacing w:line="233" w:lineRule="auto"/>
              <w:jc w:val="center"/>
              <w:rPr>
                <w:color w:val="000000"/>
                <w:sz w:val="20"/>
                <w:szCs w:val="20"/>
              </w:rPr>
            </w:pPr>
            <w:r w:rsidRPr="007C51D6">
              <w:rPr>
                <w:color w:val="000000"/>
                <w:sz w:val="20"/>
                <w:szCs w:val="20"/>
              </w:rPr>
              <w:t>3 048,08</w:t>
            </w:r>
          </w:p>
        </w:tc>
        <w:tc>
          <w:tcPr>
            <w:tcW w:w="1276" w:type="dxa"/>
            <w:shd w:val="clear" w:color="auto" w:fill="auto"/>
            <w:hideMark/>
          </w:tcPr>
          <w:p w:rsidR="00CF35F5" w:rsidRPr="007C51D6" w:rsidRDefault="00CF35F5" w:rsidP="00CF35F5">
            <w:pPr>
              <w:autoSpaceDE/>
              <w:autoSpaceDN/>
              <w:adjustRightInd/>
              <w:spacing w:line="233" w:lineRule="auto"/>
              <w:jc w:val="center"/>
              <w:rPr>
                <w:color w:val="000000"/>
                <w:sz w:val="20"/>
                <w:szCs w:val="20"/>
              </w:rPr>
            </w:pPr>
            <w:r w:rsidRPr="007C51D6">
              <w:rPr>
                <w:color w:val="000000"/>
                <w:sz w:val="20"/>
                <w:szCs w:val="20"/>
              </w:rPr>
              <w:t>3 248,23</w:t>
            </w:r>
          </w:p>
        </w:tc>
        <w:tc>
          <w:tcPr>
            <w:tcW w:w="1162" w:type="dxa"/>
            <w:shd w:val="clear" w:color="auto" w:fill="auto"/>
            <w:hideMark/>
          </w:tcPr>
          <w:p w:rsidR="00CF35F5" w:rsidRPr="007C51D6" w:rsidRDefault="00CF35F5" w:rsidP="00CF35F5">
            <w:pPr>
              <w:autoSpaceDE/>
              <w:autoSpaceDN/>
              <w:adjustRightInd/>
              <w:spacing w:line="233" w:lineRule="auto"/>
              <w:jc w:val="center"/>
              <w:rPr>
                <w:color w:val="000000"/>
                <w:sz w:val="20"/>
                <w:szCs w:val="20"/>
              </w:rPr>
            </w:pPr>
            <w:r w:rsidRPr="007C51D6">
              <w:rPr>
                <w:color w:val="000000"/>
                <w:sz w:val="20"/>
                <w:szCs w:val="20"/>
              </w:rPr>
              <w:t>3 457,12</w:t>
            </w:r>
          </w:p>
        </w:tc>
        <w:tc>
          <w:tcPr>
            <w:tcW w:w="1219" w:type="dxa"/>
            <w:shd w:val="clear" w:color="auto" w:fill="auto"/>
            <w:hideMark/>
          </w:tcPr>
          <w:p w:rsidR="00CF35F5" w:rsidRPr="007C51D6" w:rsidRDefault="00CF35F5" w:rsidP="00CF35F5">
            <w:pPr>
              <w:autoSpaceDE/>
              <w:autoSpaceDN/>
              <w:adjustRightInd/>
              <w:spacing w:line="233" w:lineRule="auto"/>
              <w:jc w:val="center"/>
              <w:rPr>
                <w:color w:val="000000"/>
                <w:sz w:val="20"/>
                <w:szCs w:val="20"/>
              </w:rPr>
            </w:pPr>
            <w:r w:rsidRPr="007C51D6">
              <w:rPr>
                <w:color w:val="000000"/>
                <w:sz w:val="20"/>
                <w:szCs w:val="20"/>
              </w:rPr>
              <w:t>3 583,75</w:t>
            </w:r>
          </w:p>
        </w:tc>
        <w:tc>
          <w:tcPr>
            <w:tcW w:w="1163" w:type="dxa"/>
          </w:tcPr>
          <w:p w:rsidR="00CF35F5" w:rsidRPr="007C51D6" w:rsidRDefault="00CF35F5" w:rsidP="00CF35F5">
            <w:pPr>
              <w:spacing w:line="233" w:lineRule="auto"/>
              <w:jc w:val="center"/>
              <w:rPr>
                <w:color w:val="000000"/>
                <w:sz w:val="20"/>
                <w:szCs w:val="20"/>
              </w:rPr>
            </w:pPr>
            <w:r w:rsidRPr="007C51D6">
              <w:rPr>
                <w:color w:val="000000"/>
                <w:sz w:val="20"/>
                <w:szCs w:val="20"/>
              </w:rPr>
              <w:t>3 069,98</w:t>
            </w:r>
          </w:p>
        </w:tc>
        <w:tc>
          <w:tcPr>
            <w:tcW w:w="1162" w:type="dxa"/>
          </w:tcPr>
          <w:p w:rsidR="00CF35F5" w:rsidRPr="007C51D6" w:rsidRDefault="00CF35F5" w:rsidP="00CF35F5">
            <w:pPr>
              <w:spacing w:line="233" w:lineRule="auto"/>
              <w:jc w:val="center"/>
              <w:rPr>
                <w:color w:val="000000"/>
                <w:sz w:val="20"/>
                <w:szCs w:val="20"/>
              </w:rPr>
            </w:pPr>
            <w:r w:rsidRPr="007C51D6">
              <w:rPr>
                <w:color w:val="000000"/>
                <w:sz w:val="20"/>
                <w:szCs w:val="20"/>
              </w:rPr>
              <w:t>3 197,17</w:t>
            </w:r>
          </w:p>
        </w:tc>
        <w:tc>
          <w:tcPr>
            <w:tcW w:w="1162" w:type="dxa"/>
          </w:tcPr>
          <w:p w:rsidR="00CF35F5" w:rsidRPr="007C51D6" w:rsidRDefault="00CF35F5" w:rsidP="00CF35F5">
            <w:pPr>
              <w:spacing w:line="233" w:lineRule="auto"/>
              <w:jc w:val="center"/>
              <w:rPr>
                <w:color w:val="000000"/>
                <w:sz w:val="20"/>
                <w:szCs w:val="20"/>
              </w:rPr>
            </w:pPr>
            <w:r w:rsidRPr="007C51D6">
              <w:rPr>
                <w:color w:val="000000"/>
                <w:sz w:val="20"/>
                <w:szCs w:val="20"/>
              </w:rPr>
              <w:t>3362,22</w:t>
            </w:r>
          </w:p>
        </w:tc>
        <w:tc>
          <w:tcPr>
            <w:tcW w:w="1248" w:type="dxa"/>
            <w:vAlign w:val="center"/>
          </w:tcPr>
          <w:p w:rsidR="00CF35F5" w:rsidRPr="007C51D6" w:rsidRDefault="00CF35F5" w:rsidP="00CF35F5">
            <w:pPr>
              <w:spacing w:line="233" w:lineRule="auto"/>
              <w:jc w:val="center"/>
              <w:rPr>
                <w:color w:val="000000"/>
                <w:sz w:val="20"/>
                <w:szCs w:val="20"/>
              </w:rPr>
            </w:pPr>
            <w:r w:rsidRPr="007C51D6">
              <w:rPr>
                <w:color w:val="000000"/>
                <w:sz w:val="20"/>
                <w:szCs w:val="20"/>
              </w:rPr>
              <w:t>3561,19</w:t>
            </w:r>
          </w:p>
        </w:tc>
        <w:tc>
          <w:tcPr>
            <w:tcW w:w="1248" w:type="dxa"/>
            <w:vAlign w:val="center"/>
          </w:tcPr>
          <w:p w:rsidR="00CF35F5" w:rsidRPr="007C51D6" w:rsidRDefault="00CF35F5" w:rsidP="00CF35F5">
            <w:pPr>
              <w:jc w:val="center"/>
              <w:rPr>
                <w:color w:val="000000"/>
                <w:sz w:val="20"/>
                <w:szCs w:val="20"/>
              </w:rPr>
            </w:pPr>
            <w:r w:rsidRPr="007C51D6">
              <w:rPr>
                <w:color w:val="000000"/>
                <w:sz w:val="20"/>
                <w:szCs w:val="20"/>
              </w:rPr>
              <w:t>3690.89</w:t>
            </w:r>
          </w:p>
        </w:tc>
      </w:tr>
      <w:tr w:rsidR="00CF35F5" w:rsidRPr="007C51D6" w:rsidTr="00080BEF">
        <w:trPr>
          <w:trHeight w:val="20"/>
        </w:trPr>
        <w:tc>
          <w:tcPr>
            <w:tcW w:w="3114" w:type="dxa"/>
            <w:shd w:val="clear" w:color="auto" w:fill="auto"/>
            <w:hideMark/>
          </w:tcPr>
          <w:p w:rsidR="00CF35F5" w:rsidRPr="007C51D6" w:rsidRDefault="00CF35F5" w:rsidP="00CF35F5">
            <w:pPr>
              <w:autoSpaceDE/>
              <w:autoSpaceDN/>
              <w:adjustRightInd/>
              <w:spacing w:line="233" w:lineRule="auto"/>
              <w:rPr>
                <w:color w:val="000000"/>
                <w:sz w:val="20"/>
                <w:szCs w:val="20"/>
              </w:rPr>
            </w:pPr>
            <w:r w:rsidRPr="007C51D6">
              <w:rPr>
                <w:color w:val="000000"/>
                <w:sz w:val="20"/>
                <w:szCs w:val="20"/>
              </w:rPr>
              <w:t>Ютазинский</w:t>
            </w:r>
          </w:p>
        </w:tc>
        <w:tc>
          <w:tcPr>
            <w:tcW w:w="1248" w:type="dxa"/>
            <w:shd w:val="clear" w:color="auto" w:fill="auto"/>
            <w:hideMark/>
          </w:tcPr>
          <w:p w:rsidR="00CF35F5" w:rsidRPr="007C51D6" w:rsidRDefault="00CF35F5" w:rsidP="00CF35F5">
            <w:pPr>
              <w:autoSpaceDE/>
              <w:autoSpaceDN/>
              <w:adjustRightInd/>
              <w:spacing w:line="233" w:lineRule="auto"/>
              <w:jc w:val="center"/>
              <w:rPr>
                <w:color w:val="000000"/>
                <w:sz w:val="20"/>
                <w:szCs w:val="20"/>
              </w:rPr>
            </w:pPr>
            <w:r w:rsidRPr="007C51D6">
              <w:rPr>
                <w:color w:val="000000"/>
                <w:sz w:val="20"/>
                <w:szCs w:val="20"/>
              </w:rPr>
              <w:t>2 652,04</w:t>
            </w:r>
          </w:p>
        </w:tc>
        <w:tc>
          <w:tcPr>
            <w:tcW w:w="1247" w:type="dxa"/>
            <w:shd w:val="clear" w:color="auto" w:fill="auto"/>
            <w:hideMark/>
          </w:tcPr>
          <w:p w:rsidR="00CF35F5" w:rsidRPr="007C51D6" w:rsidRDefault="00CF35F5" w:rsidP="00CF35F5">
            <w:pPr>
              <w:autoSpaceDE/>
              <w:autoSpaceDN/>
              <w:adjustRightInd/>
              <w:spacing w:line="233" w:lineRule="auto"/>
              <w:jc w:val="center"/>
              <w:rPr>
                <w:color w:val="000000"/>
                <w:sz w:val="20"/>
                <w:szCs w:val="20"/>
              </w:rPr>
            </w:pPr>
            <w:r w:rsidRPr="007C51D6">
              <w:rPr>
                <w:color w:val="000000"/>
                <w:sz w:val="20"/>
                <w:szCs w:val="20"/>
              </w:rPr>
              <w:t>2 787,56</w:t>
            </w:r>
          </w:p>
        </w:tc>
        <w:tc>
          <w:tcPr>
            <w:tcW w:w="1276" w:type="dxa"/>
            <w:shd w:val="clear" w:color="auto" w:fill="auto"/>
            <w:hideMark/>
          </w:tcPr>
          <w:p w:rsidR="00CF35F5" w:rsidRPr="007C51D6" w:rsidRDefault="00CF35F5" w:rsidP="00CF35F5">
            <w:pPr>
              <w:autoSpaceDE/>
              <w:autoSpaceDN/>
              <w:adjustRightInd/>
              <w:spacing w:line="233" w:lineRule="auto"/>
              <w:jc w:val="center"/>
              <w:rPr>
                <w:color w:val="000000"/>
                <w:sz w:val="20"/>
                <w:szCs w:val="20"/>
              </w:rPr>
            </w:pPr>
            <w:r w:rsidRPr="007C51D6">
              <w:rPr>
                <w:color w:val="000000"/>
                <w:sz w:val="20"/>
                <w:szCs w:val="20"/>
              </w:rPr>
              <w:t>2 994,30</w:t>
            </w:r>
          </w:p>
        </w:tc>
        <w:tc>
          <w:tcPr>
            <w:tcW w:w="1162" w:type="dxa"/>
            <w:shd w:val="clear" w:color="auto" w:fill="auto"/>
            <w:hideMark/>
          </w:tcPr>
          <w:p w:rsidR="00CF35F5" w:rsidRPr="007C51D6" w:rsidRDefault="00CF35F5" w:rsidP="00CF35F5">
            <w:pPr>
              <w:autoSpaceDE/>
              <w:autoSpaceDN/>
              <w:adjustRightInd/>
              <w:spacing w:line="233" w:lineRule="auto"/>
              <w:jc w:val="center"/>
              <w:rPr>
                <w:color w:val="000000"/>
                <w:sz w:val="20"/>
                <w:szCs w:val="20"/>
              </w:rPr>
            </w:pPr>
            <w:r w:rsidRPr="007C51D6">
              <w:rPr>
                <w:color w:val="000000"/>
                <w:sz w:val="20"/>
                <w:szCs w:val="20"/>
              </w:rPr>
              <w:t>3 233,90</w:t>
            </w:r>
          </w:p>
        </w:tc>
        <w:tc>
          <w:tcPr>
            <w:tcW w:w="1219" w:type="dxa"/>
            <w:shd w:val="clear" w:color="auto" w:fill="auto"/>
            <w:hideMark/>
          </w:tcPr>
          <w:p w:rsidR="00CF35F5" w:rsidRPr="007C51D6" w:rsidRDefault="00CF35F5" w:rsidP="00CF35F5">
            <w:pPr>
              <w:autoSpaceDE/>
              <w:autoSpaceDN/>
              <w:adjustRightInd/>
              <w:spacing w:line="233" w:lineRule="auto"/>
              <w:jc w:val="center"/>
              <w:rPr>
                <w:color w:val="000000"/>
                <w:sz w:val="20"/>
                <w:szCs w:val="20"/>
              </w:rPr>
            </w:pPr>
            <w:r w:rsidRPr="007C51D6">
              <w:rPr>
                <w:color w:val="000000"/>
                <w:sz w:val="20"/>
                <w:szCs w:val="20"/>
              </w:rPr>
              <w:t>3 229,95</w:t>
            </w:r>
          </w:p>
        </w:tc>
        <w:tc>
          <w:tcPr>
            <w:tcW w:w="1163" w:type="dxa"/>
          </w:tcPr>
          <w:p w:rsidR="00CF35F5" w:rsidRPr="007C51D6" w:rsidRDefault="00CF35F5" w:rsidP="00CF35F5">
            <w:pPr>
              <w:spacing w:line="233" w:lineRule="auto"/>
              <w:jc w:val="center"/>
              <w:rPr>
                <w:color w:val="000000"/>
                <w:sz w:val="20"/>
                <w:szCs w:val="20"/>
              </w:rPr>
            </w:pPr>
            <w:r w:rsidRPr="007C51D6">
              <w:rPr>
                <w:color w:val="000000"/>
                <w:sz w:val="20"/>
                <w:szCs w:val="20"/>
              </w:rPr>
              <w:t>2 627,10</w:t>
            </w:r>
          </w:p>
        </w:tc>
        <w:tc>
          <w:tcPr>
            <w:tcW w:w="1162" w:type="dxa"/>
          </w:tcPr>
          <w:p w:rsidR="00CF35F5" w:rsidRPr="007C51D6" w:rsidRDefault="00CF35F5" w:rsidP="00CF35F5">
            <w:pPr>
              <w:spacing w:line="233" w:lineRule="auto"/>
              <w:jc w:val="center"/>
              <w:rPr>
                <w:color w:val="000000"/>
                <w:sz w:val="20"/>
                <w:szCs w:val="20"/>
              </w:rPr>
            </w:pPr>
            <w:r w:rsidRPr="007C51D6">
              <w:rPr>
                <w:color w:val="000000"/>
                <w:sz w:val="20"/>
                <w:szCs w:val="20"/>
              </w:rPr>
              <w:t>2 697,16</w:t>
            </w:r>
          </w:p>
        </w:tc>
        <w:tc>
          <w:tcPr>
            <w:tcW w:w="1162" w:type="dxa"/>
          </w:tcPr>
          <w:p w:rsidR="00CF35F5" w:rsidRPr="007C51D6" w:rsidRDefault="00CF35F5" w:rsidP="00CF35F5">
            <w:pPr>
              <w:autoSpaceDE/>
              <w:autoSpaceDN/>
              <w:adjustRightInd/>
              <w:spacing w:line="233" w:lineRule="auto"/>
              <w:jc w:val="center"/>
              <w:rPr>
                <w:color w:val="000000"/>
                <w:sz w:val="20"/>
                <w:szCs w:val="20"/>
              </w:rPr>
            </w:pPr>
            <w:r w:rsidRPr="007C51D6">
              <w:rPr>
                <w:color w:val="000000"/>
                <w:sz w:val="20"/>
                <w:szCs w:val="20"/>
              </w:rPr>
              <w:t>2866,27</w:t>
            </w:r>
          </w:p>
        </w:tc>
        <w:tc>
          <w:tcPr>
            <w:tcW w:w="1248" w:type="dxa"/>
            <w:vAlign w:val="center"/>
          </w:tcPr>
          <w:p w:rsidR="00CF35F5" w:rsidRPr="007C51D6" w:rsidRDefault="00CF35F5" w:rsidP="00CF35F5">
            <w:pPr>
              <w:spacing w:line="233" w:lineRule="auto"/>
              <w:jc w:val="center"/>
              <w:rPr>
                <w:color w:val="000000"/>
                <w:sz w:val="20"/>
                <w:szCs w:val="20"/>
              </w:rPr>
            </w:pPr>
            <w:r w:rsidRPr="007C51D6">
              <w:rPr>
                <w:color w:val="000000"/>
                <w:sz w:val="20"/>
                <w:szCs w:val="20"/>
              </w:rPr>
              <w:t>3084,52</w:t>
            </w:r>
          </w:p>
        </w:tc>
        <w:tc>
          <w:tcPr>
            <w:tcW w:w="1248" w:type="dxa"/>
            <w:vAlign w:val="center"/>
          </w:tcPr>
          <w:p w:rsidR="00CF35F5" w:rsidRPr="007C51D6" w:rsidRDefault="00CF35F5" w:rsidP="00CF35F5">
            <w:pPr>
              <w:jc w:val="center"/>
              <w:rPr>
                <w:color w:val="000000"/>
                <w:sz w:val="20"/>
                <w:szCs w:val="20"/>
              </w:rPr>
            </w:pPr>
            <w:r w:rsidRPr="007C51D6">
              <w:rPr>
                <w:color w:val="000000"/>
                <w:sz w:val="20"/>
                <w:szCs w:val="20"/>
              </w:rPr>
              <w:t>3191.54</w:t>
            </w:r>
          </w:p>
        </w:tc>
      </w:tr>
      <w:tr w:rsidR="00CF35F5" w:rsidRPr="007C51D6" w:rsidTr="00080BEF">
        <w:trPr>
          <w:trHeight w:val="20"/>
        </w:trPr>
        <w:tc>
          <w:tcPr>
            <w:tcW w:w="3114" w:type="dxa"/>
            <w:shd w:val="clear" w:color="auto" w:fill="auto"/>
            <w:hideMark/>
          </w:tcPr>
          <w:p w:rsidR="00CF35F5" w:rsidRPr="007C51D6" w:rsidRDefault="00CF35F5" w:rsidP="00CF35F5">
            <w:pPr>
              <w:autoSpaceDE/>
              <w:autoSpaceDN/>
              <w:adjustRightInd/>
              <w:spacing w:line="233" w:lineRule="auto"/>
              <w:rPr>
                <w:color w:val="000000"/>
                <w:sz w:val="20"/>
                <w:szCs w:val="20"/>
              </w:rPr>
            </w:pPr>
            <w:r w:rsidRPr="007C51D6">
              <w:rPr>
                <w:color w:val="000000"/>
                <w:sz w:val="20"/>
                <w:szCs w:val="20"/>
              </w:rPr>
              <w:t>г.Набережные Челны</w:t>
            </w:r>
          </w:p>
        </w:tc>
        <w:tc>
          <w:tcPr>
            <w:tcW w:w="1248" w:type="dxa"/>
            <w:shd w:val="clear" w:color="auto" w:fill="auto"/>
            <w:hideMark/>
          </w:tcPr>
          <w:p w:rsidR="00CF35F5" w:rsidRPr="007C51D6" w:rsidRDefault="00CF35F5" w:rsidP="00CF35F5">
            <w:pPr>
              <w:autoSpaceDE/>
              <w:autoSpaceDN/>
              <w:adjustRightInd/>
              <w:spacing w:line="233" w:lineRule="auto"/>
              <w:jc w:val="center"/>
              <w:rPr>
                <w:color w:val="000000"/>
                <w:sz w:val="20"/>
                <w:szCs w:val="20"/>
              </w:rPr>
            </w:pPr>
            <w:r w:rsidRPr="007C51D6">
              <w:rPr>
                <w:color w:val="000000"/>
                <w:sz w:val="20"/>
                <w:szCs w:val="20"/>
              </w:rPr>
              <w:t>2 733,55</w:t>
            </w:r>
          </w:p>
        </w:tc>
        <w:tc>
          <w:tcPr>
            <w:tcW w:w="1247" w:type="dxa"/>
            <w:shd w:val="clear" w:color="auto" w:fill="auto"/>
            <w:hideMark/>
          </w:tcPr>
          <w:p w:rsidR="00CF35F5" w:rsidRPr="007C51D6" w:rsidRDefault="00CF35F5" w:rsidP="00CF35F5">
            <w:pPr>
              <w:autoSpaceDE/>
              <w:autoSpaceDN/>
              <w:adjustRightInd/>
              <w:spacing w:line="233" w:lineRule="auto"/>
              <w:jc w:val="center"/>
              <w:rPr>
                <w:color w:val="000000"/>
                <w:sz w:val="20"/>
                <w:szCs w:val="20"/>
              </w:rPr>
            </w:pPr>
            <w:r w:rsidRPr="007C51D6">
              <w:rPr>
                <w:color w:val="000000"/>
                <w:sz w:val="20"/>
                <w:szCs w:val="20"/>
              </w:rPr>
              <w:t>2 934,90</w:t>
            </w:r>
          </w:p>
        </w:tc>
        <w:tc>
          <w:tcPr>
            <w:tcW w:w="1276" w:type="dxa"/>
            <w:shd w:val="clear" w:color="auto" w:fill="auto"/>
            <w:hideMark/>
          </w:tcPr>
          <w:p w:rsidR="00CF35F5" w:rsidRPr="007C51D6" w:rsidRDefault="00CF35F5" w:rsidP="00CF35F5">
            <w:pPr>
              <w:autoSpaceDE/>
              <w:autoSpaceDN/>
              <w:adjustRightInd/>
              <w:spacing w:line="233" w:lineRule="auto"/>
              <w:jc w:val="center"/>
              <w:rPr>
                <w:color w:val="000000"/>
                <w:sz w:val="20"/>
                <w:szCs w:val="20"/>
              </w:rPr>
            </w:pPr>
            <w:r w:rsidRPr="007C51D6">
              <w:rPr>
                <w:color w:val="000000"/>
                <w:sz w:val="20"/>
                <w:szCs w:val="20"/>
              </w:rPr>
              <w:t>3 074,72</w:t>
            </w:r>
          </w:p>
        </w:tc>
        <w:tc>
          <w:tcPr>
            <w:tcW w:w="1162" w:type="dxa"/>
            <w:shd w:val="clear" w:color="auto" w:fill="auto"/>
            <w:hideMark/>
          </w:tcPr>
          <w:p w:rsidR="00CF35F5" w:rsidRPr="007C51D6" w:rsidRDefault="00CF35F5" w:rsidP="00CF35F5">
            <w:pPr>
              <w:autoSpaceDE/>
              <w:autoSpaceDN/>
              <w:adjustRightInd/>
              <w:spacing w:line="233" w:lineRule="auto"/>
              <w:jc w:val="center"/>
              <w:rPr>
                <w:color w:val="000000"/>
                <w:sz w:val="20"/>
                <w:szCs w:val="20"/>
              </w:rPr>
            </w:pPr>
            <w:r w:rsidRPr="007C51D6">
              <w:rPr>
                <w:color w:val="000000"/>
                <w:sz w:val="20"/>
                <w:szCs w:val="20"/>
              </w:rPr>
              <w:t>3 284,28</w:t>
            </w:r>
          </w:p>
        </w:tc>
        <w:tc>
          <w:tcPr>
            <w:tcW w:w="1219" w:type="dxa"/>
            <w:shd w:val="clear" w:color="auto" w:fill="auto"/>
            <w:hideMark/>
          </w:tcPr>
          <w:p w:rsidR="00CF35F5" w:rsidRPr="007C51D6" w:rsidRDefault="00CF35F5" w:rsidP="00CF35F5">
            <w:pPr>
              <w:autoSpaceDE/>
              <w:autoSpaceDN/>
              <w:adjustRightInd/>
              <w:spacing w:line="233" w:lineRule="auto"/>
              <w:jc w:val="center"/>
              <w:rPr>
                <w:color w:val="000000"/>
                <w:sz w:val="20"/>
                <w:szCs w:val="20"/>
              </w:rPr>
            </w:pPr>
            <w:r w:rsidRPr="007C51D6">
              <w:rPr>
                <w:color w:val="000000"/>
                <w:sz w:val="20"/>
                <w:szCs w:val="20"/>
              </w:rPr>
              <w:t>3 377,98</w:t>
            </w:r>
          </w:p>
        </w:tc>
        <w:tc>
          <w:tcPr>
            <w:tcW w:w="1163" w:type="dxa"/>
          </w:tcPr>
          <w:p w:rsidR="00CF35F5" w:rsidRPr="007C51D6" w:rsidRDefault="00CF35F5" w:rsidP="00CF35F5">
            <w:pPr>
              <w:spacing w:line="233" w:lineRule="auto"/>
              <w:jc w:val="center"/>
              <w:rPr>
                <w:color w:val="000000"/>
                <w:sz w:val="20"/>
                <w:szCs w:val="20"/>
              </w:rPr>
            </w:pPr>
            <w:r w:rsidRPr="007C51D6">
              <w:rPr>
                <w:color w:val="000000"/>
                <w:sz w:val="20"/>
                <w:szCs w:val="20"/>
              </w:rPr>
              <w:t>2 950,91</w:t>
            </w:r>
          </w:p>
        </w:tc>
        <w:tc>
          <w:tcPr>
            <w:tcW w:w="1162" w:type="dxa"/>
          </w:tcPr>
          <w:p w:rsidR="00CF35F5" w:rsidRPr="007C51D6" w:rsidRDefault="00CF35F5" w:rsidP="00CF35F5">
            <w:pPr>
              <w:spacing w:line="233" w:lineRule="auto"/>
              <w:jc w:val="center"/>
              <w:rPr>
                <w:color w:val="000000"/>
                <w:sz w:val="20"/>
                <w:szCs w:val="20"/>
              </w:rPr>
            </w:pPr>
            <w:r w:rsidRPr="007C51D6">
              <w:rPr>
                <w:color w:val="000000"/>
                <w:sz w:val="20"/>
                <w:szCs w:val="20"/>
              </w:rPr>
              <w:t>3 047,70</w:t>
            </w:r>
          </w:p>
        </w:tc>
        <w:tc>
          <w:tcPr>
            <w:tcW w:w="1162" w:type="dxa"/>
          </w:tcPr>
          <w:p w:rsidR="00CF35F5" w:rsidRPr="007C51D6" w:rsidRDefault="00CF35F5" w:rsidP="00CF35F5">
            <w:pPr>
              <w:spacing w:line="233" w:lineRule="auto"/>
              <w:jc w:val="center"/>
              <w:rPr>
                <w:color w:val="000000"/>
                <w:sz w:val="20"/>
                <w:szCs w:val="20"/>
              </w:rPr>
            </w:pPr>
            <w:r w:rsidRPr="007C51D6">
              <w:rPr>
                <w:color w:val="000000"/>
                <w:sz w:val="20"/>
                <w:szCs w:val="20"/>
              </w:rPr>
              <w:t>3113,51</w:t>
            </w:r>
          </w:p>
        </w:tc>
        <w:tc>
          <w:tcPr>
            <w:tcW w:w="1248" w:type="dxa"/>
            <w:vAlign w:val="center"/>
          </w:tcPr>
          <w:p w:rsidR="00CF35F5" w:rsidRPr="007C51D6" w:rsidRDefault="00CF35F5" w:rsidP="00CF35F5">
            <w:pPr>
              <w:spacing w:line="233" w:lineRule="auto"/>
              <w:jc w:val="center"/>
              <w:rPr>
                <w:color w:val="000000"/>
                <w:sz w:val="20"/>
                <w:szCs w:val="20"/>
              </w:rPr>
            </w:pPr>
            <w:r w:rsidRPr="007C51D6">
              <w:rPr>
                <w:color w:val="000000"/>
                <w:sz w:val="20"/>
                <w:szCs w:val="20"/>
              </w:rPr>
              <w:t>3305,94</w:t>
            </w:r>
          </w:p>
        </w:tc>
        <w:tc>
          <w:tcPr>
            <w:tcW w:w="1248" w:type="dxa"/>
            <w:vAlign w:val="center"/>
          </w:tcPr>
          <w:p w:rsidR="00CF35F5" w:rsidRPr="007C51D6" w:rsidRDefault="00CF35F5" w:rsidP="00CF35F5">
            <w:pPr>
              <w:jc w:val="center"/>
              <w:rPr>
                <w:color w:val="000000"/>
                <w:sz w:val="20"/>
                <w:szCs w:val="20"/>
              </w:rPr>
            </w:pPr>
            <w:r w:rsidRPr="007C51D6">
              <w:rPr>
                <w:color w:val="000000"/>
                <w:sz w:val="20"/>
                <w:szCs w:val="20"/>
              </w:rPr>
              <w:t>3221.51</w:t>
            </w:r>
          </w:p>
        </w:tc>
      </w:tr>
      <w:tr w:rsidR="00CF35F5" w:rsidRPr="007C51D6" w:rsidTr="00080BEF">
        <w:trPr>
          <w:trHeight w:val="20"/>
        </w:trPr>
        <w:tc>
          <w:tcPr>
            <w:tcW w:w="3114" w:type="dxa"/>
            <w:shd w:val="clear" w:color="auto" w:fill="auto"/>
            <w:hideMark/>
          </w:tcPr>
          <w:p w:rsidR="00CF35F5" w:rsidRPr="007C51D6" w:rsidRDefault="00CF35F5" w:rsidP="00CF35F5">
            <w:pPr>
              <w:autoSpaceDE/>
              <w:autoSpaceDN/>
              <w:adjustRightInd/>
              <w:spacing w:line="233" w:lineRule="auto"/>
              <w:rPr>
                <w:color w:val="000000"/>
                <w:sz w:val="20"/>
                <w:szCs w:val="20"/>
              </w:rPr>
            </w:pPr>
            <w:r w:rsidRPr="007C51D6">
              <w:rPr>
                <w:color w:val="000000"/>
                <w:sz w:val="20"/>
                <w:szCs w:val="20"/>
              </w:rPr>
              <w:t>г.Казань</w:t>
            </w:r>
          </w:p>
        </w:tc>
        <w:tc>
          <w:tcPr>
            <w:tcW w:w="1248" w:type="dxa"/>
            <w:shd w:val="clear" w:color="auto" w:fill="auto"/>
            <w:hideMark/>
          </w:tcPr>
          <w:p w:rsidR="00CF35F5" w:rsidRPr="007C51D6" w:rsidRDefault="00CF35F5" w:rsidP="00CF35F5">
            <w:pPr>
              <w:autoSpaceDE/>
              <w:autoSpaceDN/>
              <w:adjustRightInd/>
              <w:spacing w:line="233" w:lineRule="auto"/>
              <w:jc w:val="center"/>
              <w:rPr>
                <w:color w:val="000000"/>
                <w:sz w:val="20"/>
                <w:szCs w:val="20"/>
              </w:rPr>
            </w:pPr>
            <w:r w:rsidRPr="007C51D6">
              <w:rPr>
                <w:color w:val="000000"/>
                <w:sz w:val="20"/>
                <w:szCs w:val="20"/>
              </w:rPr>
              <w:t>3 229,67</w:t>
            </w:r>
          </w:p>
        </w:tc>
        <w:tc>
          <w:tcPr>
            <w:tcW w:w="1247" w:type="dxa"/>
            <w:shd w:val="clear" w:color="auto" w:fill="auto"/>
            <w:hideMark/>
          </w:tcPr>
          <w:p w:rsidR="00CF35F5" w:rsidRPr="007C51D6" w:rsidRDefault="00CF35F5" w:rsidP="00CF35F5">
            <w:pPr>
              <w:autoSpaceDE/>
              <w:autoSpaceDN/>
              <w:adjustRightInd/>
              <w:spacing w:line="233" w:lineRule="auto"/>
              <w:jc w:val="center"/>
              <w:rPr>
                <w:color w:val="000000"/>
                <w:sz w:val="20"/>
                <w:szCs w:val="20"/>
              </w:rPr>
            </w:pPr>
            <w:r w:rsidRPr="007C51D6">
              <w:rPr>
                <w:color w:val="000000"/>
                <w:sz w:val="20"/>
                <w:szCs w:val="20"/>
              </w:rPr>
              <w:t>3 391,98</w:t>
            </w:r>
          </w:p>
        </w:tc>
        <w:tc>
          <w:tcPr>
            <w:tcW w:w="1276" w:type="dxa"/>
            <w:shd w:val="clear" w:color="auto" w:fill="auto"/>
            <w:hideMark/>
          </w:tcPr>
          <w:p w:rsidR="00CF35F5" w:rsidRPr="007C51D6" w:rsidRDefault="00CF35F5" w:rsidP="00CF35F5">
            <w:pPr>
              <w:autoSpaceDE/>
              <w:autoSpaceDN/>
              <w:adjustRightInd/>
              <w:spacing w:line="233" w:lineRule="auto"/>
              <w:jc w:val="center"/>
              <w:rPr>
                <w:color w:val="000000"/>
                <w:sz w:val="20"/>
                <w:szCs w:val="20"/>
              </w:rPr>
            </w:pPr>
            <w:r w:rsidRPr="007C51D6">
              <w:rPr>
                <w:color w:val="000000"/>
                <w:sz w:val="20"/>
                <w:szCs w:val="20"/>
              </w:rPr>
              <w:t>3 563,49</w:t>
            </w:r>
          </w:p>
        </w:tc>
        <w:tc>
          <w:tcPr>
            <w:tcW w:w="1162" w:type="dxa"/>
            <w:shd w:val="clear" w:color="auto" w:fill="auto"/>
            <w:hideMark/>
          </w:tcPr>
          <w:p w:rsidR="00CF35F5" w:rsidRPr="007C51D6" w:rsidRDefault="00CF35F5" w:rsidP="00CF35F5">
            <w:pPr>
              <w:autoSpaceDE/>
              <w:autoSpaceDN/>
              <w:adjustRightInd/>
              <w:spacing w:line="233" w:lineRule="auto"/>
              <w:jc w:val="center"/>
              <w:rPr>
                <w:color w:val="000000"/>
                <w:sz w:val="20"/>
                <w:szCs w:val="20"/>
              </w:rPr>
            </w:pPr>
            <w:r w:rsidRPr="007C51D6">
              <w:rPr>
                <w:color w:val="000000"/>
                <w:sz w:val="20"/>
                <w:szCs w:val="20"/>
              </w:rPr>
              <w:t>3 760,16</w:t>
            </w:r>
          </w:p>
        </w:tc>
        <w:tc>
          <w:tcPr>
            <w:tcW w:w="1219" w:type="dxa"/>
            <w:shd w:val="clear" w:color="auto" w:fill="auto"/>
            <w:noWrap/>
            <w:hideMark/>
          </w:tcPr>
          <w:p w:rsidR="00CF35F5" w:rsidRPr="007C51D6" w:rsidRDefault="00CF35F5" w:rsidP="00CF35F5">
            <w:pPr>
              <w:autoSpaceDE/>
              <w:autoSpaceDN/>
              <w:adjustRightInd/>
              <w:spacing w:line="233" w:lineRule="auto"/>
              <w:jc w:val="center"/>
              <w:rPr>
                <w:color w:val="000000"/>
                <w:sz w:val="20"/>
                <w:szCs w:val="20"/>
              </w:rPr>
            </w:pPr>
            <w:r w:rsidRPr="007C51D6">
              <w:rPr>
                <w:color w:val="000000"/>
                <w:sz w:val="20"/>
                <w:szCs w:val="20"/>
              </w:rPr>
              <w:t>3 843,12</w:t>
            </w:r>
          </w:p>
        </w:tc>
        <w:tc>
          <w:tcPr>
            <w:tcW w:w="1163" w:type="dxa"/>
          </w:tcPr>
          <w:p w:rsidR="00CF35F5" w:rsidRPr="007C51D6" w:rsidRDefault="00CF35F5" w:rsidP="00CF35F5">
            <w:pPr>
              <w:spacing w:line="233" w:lineRule="auto"/>
              <w:jc w:val="center"/>
              <w:rPr>
                <w:color w:val="000000"/>
                <w:sz w:val="20"/>
                <w:szCs w:val="20"/>
              </w:rPr>
            </w:pPr>
            <w:r w:rsidRPr="007C51D6">
              <w:rPr>
                <w:color w:val="000000"/>
                <w:sz w:val="20"/>
                <w:szCs w:val="20"/>
              </w:rPr>
              <w:t>3 307,62</w:t>
            </w:r>
          </w:p>
        </w:tc>
        <w:tc>
          <w:tcPr>
            <w:tcW w:w="1162" w:type="dxa"/>
          </w:tcPr>
          <w:p w:rsidR="00CF35F5" w:rsidRPr="007C51D6" w:rsidRDefault="00CF35F5" w:rsidP="00CF35F5">
            <w:pPr>
              <w:spacing w:line="233" w:lineRule="auto"/>
              <w:jc w:val="center"/>
              <w:rPr>
                <w:color w:val="000000"/>
                <w:sz w:val="20"/>
                <w:szCs w:val="20"/>
              </w:rPr>
            </w:pPr>
            <w:r w:rsidRPr="007C51D6">
              <w:rPr>
                <w:color w:val="000000"/>
                <w:sz w:val="20"/>
                <w:szCs w:val="20"/>
              </w:rPr>
              <w:t>3 417,21</w:t>
            </w:r>
          </w:p>
        </w:tc>
        <w:tc>
          <w:tcPr>
            <w:tcW w:w="1162" w:type="dxa"/>
          </w:tcPr>
          <w:p w:rsidR="00CF35F5" w:rsidRPr="007C51D6" w:rsidRDefault="00CF35F5" w:rsidP="00CF35F5">
            <w:pPr>
              <w:spacing w:line="233" w:lineRule="auto"/>
              <w:jc w:val="center"/>
              <w:rPr>
                <w:color w:val="000000"/>
                <w:sz w:val="20"/>
                <w:szCs w:val="20"/>
              </w:rPr>
            </w:pPr>
            <w:r w:rsidRPr="007C51D6">
              <w:rPr>
                <w:color w:val="000000"/>
                <w:sz w:val="20"/>
                <w:szCs w:val="20"/>
              </w:rPr>
              <w:t>3417,32</w:t>
            </w:r>
          </w:p>
        </w:tc>
        <w:tc>
          <w:tcPr>
            <w:tcW w:w="1248" w:type="dxa"/>
            <w:vAlign w:val="center"/>
          </w:tcPr>
          <w:p w:rsidR="00CF35F5" w:rsidRPr="007C51D6" w:rsidRDefault="00CF35F5" w:rsidP="00CF35F5">
            <w:pPr>
              <w:spacing w:line="233" w:lineRule="auto"/>
              <w:jc w:val="center"/>
              <w:rPr>
                <w:color w:val="000000"/>
                <w:sz w:val="20"/>
                <w:szCs w:val="20"/>
              </w:rPr>
            </w:pPr>
            <w:r w:rsidRPr="007C51D6">
              <w:rPr>
                <w:color w:val="000000"/>
                <w:sz w:val="20"/>
                <w:szCs w:val="20"/>
              </w:rPr>
              <w:t>3617,46</w:t>
            </w:r>
          </w:p>
        </w:tc>
        <w:tc>
          <w:tcPr>
            <w:tcW w:w="1248" w:type="dxa"/>
            <w:vAlign w:val="center"/>
          </w:tcPr>
          <w:p w:rsidR="00CF35F5" w:rsidRPr="007C51D6" w:rsidRDefault="00CF35F5" w:rsidP="00CF35F5">
            <w:pPr>
              <w:jc w:val="center"/>
              <w:rPr>
                <w:color w:val="000000"/>
                <w:sz w:val="20"/>
                <w:szCs w:val="20"/>
              </w:rPr>
            </w:pPr>
            <w:r w:rsidRPr="007C51D6">
              <w:rPr>
                <w:color w:val="000000"/>
                <w:sz w:val="20"/>
                <w:szCs w:val="20"/>
              </w:rPr>
              <w:t>3499.93</w:t>
            </w:r>
          </w:p>
        </w:tc>
      </w:tr>
    </w:tbl>
    <w:p w:rsidR="00C405F6" w:rsidRPr="007C51D6" w:rsidRDefault="00C405F6">
      <w:pPr>
        <w:rPr>
          <w:sz w:val="2"/>
          <w:szCs w:val="2"/>
        </w:rPr>
      </w:pPr>
    </w:p>
    <w:p w:rsidR="00C405F6" w:rsidRPr="007C51D6" w:rsidRDefault="00C405F6" w:rsidP="00417565">
      <w:pPr>
        <w:autoSpaceDE/>
        <w:autoSpaceDN/>
        <w:adjustRightInd/>
        <w:rPr>
          <w:rFonts w:eastAsia="Arial"/>
          <w:sz w:val="20"/>
          <w:szCs w:val="20"/>
        </w:rPr>
      </w:pPr>
    </w:p>
    <w:p w:rsidR="00417565" w:rsidRPr="007C51D6" w:rsidRDefault="00C405F6" w:rsidP="00D96F53">
      <w:pPr>
        <w:autoSpaceDE/>
        <w:autoSpaceDN/>
        <w:adjustRightInd/>
        <w:ind w:firstLine="709"/>
        <w:rPr>
          <w:rFonts w:eastAsia="Arial"/>
          <w:sz w:val="28"/>
          <w:szCs w:val="28"/>
        </w:rPr>
      </w:pPr>
      <w:r w:rsidRPr="007C51D6">
        <w:rPr>
          <w:rFonts w:eastAsia="Arial"/>
          <w:sz w:val="20"/>
          <w:szCs w:val="20"/>
        </w:rPr>
        <w:t>*</w:t>
      </w:r>
      <w:r w:rsidR="00417565" w:rsidRPr="007C51D6">
        <w:rPr>
          <w:rFonts w:eastAsia="Arial"/>
          <w:sz w:val="20"/>
          <w:szCs w:val="20"/>
        </w:rPr>
        <w:t>Представлены оперативные данные</w:t>
      </w:r>
      <w:r w:rsidR="00D11944" w:rsidRPr="007C51D6">
        <w:rPr>
          <w:rFonts w:eastAsia="Arial"/>
          <w:sz w:val="20"/>
          <w:szCs w:val="20"/>
        </w:rPr>
        <w:t>.</w:t>
      </w:r>
    </w:p>
    <w:p w:rsidR="00D96F53" w:rsidRPr="007C51D6" w:rsidRDefault="00D96F53" w:rsidP="00C405F6">
      <w:pPr>
        <w:autoSpaceDE/>
        <w:autoSpaceDN/>
        <w:adjustRightInd/>
        <w:spacing w:line="235" w:lineRule="auto"/>
        <w:ind w:firstLine="709"/>
        <w:jc w:val="both"/>
        <w:rPr>
          <w:rFonts w:eastAsia="Arial"/>
          <w:sz w:val="28"/>
          <w:szCs w:val="28"/>
        </w:rPr>
      </w:pPr>
    </w:p>
    <w:p w:rsidR="00A12136" w:rsidRPr="007C51D6" w:rsidRDefault="00A12136" w:rsidP="00C405F6">
      <w:pPr>
        <w:autoSpaceDE/>
        <w:autoSpaceDN/>
        <w:adjustRightInd/>
        <w:spacing w:line="235" w:lineRule="auto"/>
        <w:ind w:firstLine="709"/>
        <w:jc w:val="both"/>
        <w:rPr>
          <w:rFonts w:eastAsia="Arial"/>
          <w:sz w:val="28"/>
          <w:szCs w:val="28"/>
        </w:rPr>
      </w:pPr>
      <w:r w:rsidRPr="007C51D6">
        <w:rPr>
          <w:rFonts w:eastAsia="Arial"/>
          <w:sz w:val="28"/>
          <w:szCs w:val="28"/>
        </w:rPr>
        <w:t>Показатель распространенности ЗНО в Республике Татарстан в 202</w:t>
      </w:r>
      <w:r w:rsidR="00061D4F" w:rsidRPr="007C51D6">
        <w:rPr>
          <w:rFonts w:eastAsia="Arial"/>
          <w:sz w:val="28"/>
          <w:szCs w:val="28"/>
        </w:rPr>
        <w:t>5</w:t>
      </w:r>
      <w:r w:rsidRPr="007C51D6">
        <w:rPr>
          <w:rFonts w:eastAsia="Arial"/>
          <w:sz w:val="28"/>
          <w:szCs w:val="28"/>
        </w:rPr>
        <w:t xml:space="preserve"> году составил 3</w:t>
      </w:r>
      <w:r w:rsidRPr="007C51D6">
        <w:rPr>
          <w:color w:val="000000"/>
          <w:sz w:val="28"/>
          <w:szCs w:val="28"/>
        </w:rPr>
        <w:t> 1</w:t>
      </w:r>
      <w:r w:rsidR="007D5318" w:rsidRPr="007C51D6">
        <w:rPr>
          <w:color w:val="000000"/>
          <w:sz w:val="28"/>
          <w:szCs w:val="28"/>
        </w:rPr>
        <w:t>65</w:t>
      </w:r>
      <w:r w:rsidRPr="007C51D6">
        <w:rPr>
          <w:color w:val="000000"/>
          <w:sz w:val="28"/>
          <w:szCs w:val="28"/>
        </w:rPr>
        <w:t>,</w:t>
      </w:r>
      <w:r w:rsidR="007D5318" w:rsidRPr="007C51D6">
        <w:rPr>
          <w:color w:val="000000"/>
          <w:sz w:val="28"/>
          <w:szCs w:val="28"/>
        </w:rPr>
        <w:t>3</w:t>
      </w:r>
      <w:r w:rsidRPr="007C51D6">
        <w:rPr>
          <w:bCs/>
          <w:color w:val="000000"/>
          <w:sz w:val="28"/>
          <w:szCs w:val="28"/>
        </w:rPr>
        <w:t xml:space="preserve"> </w:t>
      </w:r>
      <w:r w:rsidRPr="007C51D6">
        <w:rPr>
          <w:rFonts w:eastAsia="Arial"/>
          <w:sz w:val="28"/>
          <w:szCs w:val="28"/>
        </w:rPr>
        <w:t>на 100 тыс.населения, з</w:t>
      </w:r>
      <w:r w:rsidRPr="007C51D6">
        <w:rPr>
          <w:rFonts w:eastAsia="Arial"/>
          <w:spacing w:val="1"/>
          <w:sz w:val="28"/>
          <w:szCs w:val="28"/>
        </w:rPr>
        <w:t xml:space="preserve">а </w:t>
      </w:r>
      <w:r w:rsidR="007F3AFB" w:rsidRPr="007C51D6">
        <w:rPr>
          <w:rFonts w:eastAsia="Arial"/>
          <w:spacing w:val="1"/>
          <w:sz w:val="28"/>
          <w:szCs w:val="28"/>
        </w:rPr>
        <w:br/>
      </w:r>
      <w:r w:rsidR="007F3AFB" w:rsidRPr="007C51D6">
        <w:rPr>
          <w:rFonts w:eastAsia="Arial"/>
          <w:spacing w:val="4"/>
          <w:sz w:val="28"/>
          <w:szCs w:val="28"/>
        </w:rPr>
        <w:t>10-</w:t>
      </w:r>
      <w:r w:rsidRPr="007C51D6">
        <w:rPr>
          <w:rFonts w:eastAsia="Arial"/>
          <w:spacing w:val="4"/>
          <w:sz w:val="28"/>
          <w:szCs w:val="28"/>
        </w:rPr>
        <w:t xml:space="preserve">летний </w:t>
      </w:r>
      <w:r w:rsidRPr="007C51D6">
        <w:rPr>
          <w:rFonts w:eastAsia="Arial"/>
          <w:spacing w:val="1"/>
          <w:sz w:val="28"/>
          <w:szCs w:val="28"/>
        </w:rPr>
        <w:t>период (201</w:t>
      </w:r>
      <w:r w:rsidR="007D5318" w:rsidRPr="007C51D6">
        <w:rPr>
          <w:rFonts w:eastAsia="Arial"/>
          <w:spacing w:val="1"/>
          <w:sz w:val="28"/>
          <w:szCs w:val="28"/>
        </w:rPr>
        <w:t>6</w:t>
      </w:r>
      <w:r w:rsidRPr="007C51D6">
        <w:rPr>
          <w:rFonts w:eastAsia="Arial"/>
          <w:spacing w:val="1"/>
          <w:sz w:val="28"/>
          <w:szCs w:val="28"/>
        </w:rPr>
        <w:t xml:space="preserve"> – 202</w:t>
      </w:r>
      <w:r w:rsidR="007D5318" w:rsidRPr="007C51D6">
        <w:rPr>
          <w:rFonts w:eastAsia="Arial"/>
          <w:spacing w:val="1"/>
          <w:sz w:val="28"/>
          <w:szCs w:val="28"/>
        </w:rPr>
        <w:t>5</w:t>
      </w:r>
      <w:r w:rsidRPr="007C51D6">
        <w:rPr>
          <w:rFonts w:eastAsia="Arial"/>
          <w:spacing w:val="1"/>
          <w:sz w:val="28"/>
          <w:szCs w:val="28"/>
        </w:rPr>
        <w:t xml:space="preserve"> годы) </w:t>
      </w:r>
      <w:r w:rsidRPr="007C51D6">
        <w:rPr>
          <w:rFonts w:eastAsia="Arial"/>
          <w:sz w:val="28"/>
          <w:szCs w:val="28"/>
        </w:rPr>
        <w:t xml:space="preserve">темп прироста данного показателя составил </w:t>
      </w:r>
      <w:r w:rsidR="007D5318" w:rsidRPr="007C51D6">
        <w:rPr>
          <w:rFonts w:eastAsia="Arial"/>
          <w:sz w:val="28"/>
          <w:szCs w:val="28"/>
        </w:rPr>
        <w:t>15</w:t>
      </w:r>
      <w:r w:rsidRPr="007C51D6">
        <w:rPr>
          <w:rFonts w:eastAsia="Arial"/>
          <w:sz w:val="28"/>
          <w:szCs w:val="28"/>
        </w:rPr>
        <w:t>,</w:t>
      </w:r>
      <w:r w:rsidR="007D5318" w:rsidRPr="007C51D6">
        <w:rPr>
          <w:rFonts w:eastAsia="Arial"/>
          <w:sz w:val="28"/>
          <w:szCs w:val="28"/>
        </w:rPr>
        <w:t>5</w:t>
      </w:r>
      <w:r w:rsidRPr="007C51D6">
        <w:rPr>
          <w:rFonts w:eastAsia="Arial"/>
          <w:sz w:val="28"/>
          <w:szCs w:val="28"/>
        </w:rPr>
        <w:t xml:space="preserve"> процента (в 202</w:t>
      </w:r>
      <w:r w:rsidR="007D5318" w:rsidRPr="007C51D6">
        <w:rPr>
          <w:rFonts w:eastAsia="Arial"/>
          <w:sz w:val="28"/>
          <w:szCs w:val="28"/>
        </w:rPr>
        <w:t>5</w:t>
      </w:r>
      <w:r w:rsidRPr="007C51D6">
        <w:rPr>
          <w:rFonts w:eastAsia="Arial"/>
          <w:sz w:val="28"/>
          <w:szCs w:val="28"/>
        </w:rPr>
        <w:t xml:space="preserve"> году – </w:t>
      </w:r>
      <w:r w:rsidR="00C405F6" w:rsidRPr="007C51D6">
        <w:rPr>
          <w:rFonts w:eastAsia="Arial"/>
          <w:sz w:val="28"/>
          <w:szCs w:val="28"/>
        </w:rPr>
        <w:br/>
      </w:r>
      <w:r w:rsidRPr="007C51D6">
        <w:rPr>
          <w:rFonts w:eastAsia="Arial"/>
          <w:sz w:val="28"/>
          <w:szCs w:val="28"/>
        </w:rPr>
        <w:t>3</w:t>
      </w:r>
      <w:r w:rsidRPr="007C51D6">
        <w:rPr>
          <w:color w:val="000000"/>
          <w:sz w:val="28"/>
          <w:szCs w:val="28"/>
        </w:rPr>
        <w:t> 1</w:t>
      </w:r>
      <w:r w:rsidR="007D5318" w:rsidRPr="007C51D6">
        <w:rPr>
          <w:color w:val="000000"/>
          <w:sz w:val="28"/>
          <w:szCs w:val="28"/>
        </w:rPr>
        <w:t>65</w:t>
      </w:r>
      <w:r w:rsidRPr="007C51D6">
        <w:rPr>
          <w:color w:val="000000"/>
          <w:sz w:val="28"/>
          <w:szCs w:val="28"/>
        </w:rPr>
        <w:t>,</w:t>
      </w:r>
      <w:r w:rsidR="007D5318" w:rsidRPr="007C51D6">
        <w:rPr>
          <w:color w:val="000000"/>
          <w:sz w:val="28"/>
          <w:szCs w:val="28"/>
        </w:rPr>
        <w:t>3</w:t>
      </w:r>
      <w:r w:rsidRPr="007C51D6">
        <w:rPr>
          <w:rFonts w:eastAsia="Arial"/>
          <w:sz w:val="28"/>
          <w:szCs w:val="28"/>
        </w:rPr>
        <w:t>, в 201</w:t>
      </w:r>
      <w:r w:rsidR="007D5318" w:rsidRPr="007C51D6">
        <w:rPr>
          <w:rFonts w:eastAsia="Arial"/>
          <w:sz w:val="28"/>
          <w:szCs w:val="28"/>
        </w:rPr>
        <w:t>6</w:t>
      </w:r>
      <w:r w:rsidRPr="007C51D6">
        <w:rPr>
          <w:rFonts w:eastAsia="Arial"/>
          <w:sz w:val="28"/>
          <w:szCs w:val="28"/>
        </w:rPr>
        <w:t xml:space="preserve"> году – </w:t>
      </w:r>
      <w:r w:rsidRPr="007C51D6">
        <w:rPr>
          <w:color w:val="000000"/>
          <w:sz w:val="28"/>
          <w:szCs w:val="28"/>
        </w:rPr>
        <w:t xml:space="preserve">2 </w:t>
      </w:r>
      <w:r w:rsidR="007D5318" w:rsidRPr="007C51D6">
        <w:rPr>
          <w:color w:val="000000"/>
          <w:sz w:val="28"/>
          <w:szCs w:val="28"/>
        </w:rPr>
        <w:t>739</w:t>
      </w:r>
      <w:r w:rsidRPr="007C51D6">
        <w:rPr>
          <w:color w:val="000000"/>
          <w:sz w:val="28"/>
          <w:szCs w:val="28"/>
        </w:rPr>
        <w:t>,</w:t>
      </w:r>
      <w:r w:rsidR="007D5318" w:rsidRPr="007C51D6">
        <w:rPr>
          <w:color w:val="000000"/>
          <w:sz w:val="28"/>
          <w:szCs w:val="28"/>
        </w:rPr>
        <w:t>6</w:t>
      </w:r>
      <w:r w:rsidRPr="007C51D6">
        <w:rPr>
          <w:rFonts w:eastAsia="Arial"/>
          <w:sz w:val="28"/>
          <w:szCs w:val="28"/>
        </w:rPr>
        <w:t xml:space="preserve"> на 100 тыс.населения). </w:t>
      </w:r>
    </w:p>
    <w:p w:rsidR="00A12136" w:rsidRPr="007C51D6" w:rsidRDefault="00A12136" w:rsidP="00C405F6">
      <w:pPr>
        <w:autoSpaceDE/>
        <w:autoSpaceDN/>
        <w:adjustRightInd/>
        <w:spacing w:line="235" w:lineRule="auto"/>
        <w:ind w:firstLine="709"/>
        <w:jc w:val="both"/>
        <w:rPr>
          <w:rFonts w:eastAsia="Arial"/>
          <w:sz w:val="28"/>
          <w:szCs w:val="28"/>
        </w:rPr>
      </w:pPr>
      <w:r w:rsidRPr="007C51D6">
        <w:rPr>
          <w:rFonts w:eastAsia="Arial"/>
          <w:spacing w:val="4"/>
          <w:sz w:val="28"/>
          <w:szCs w:val="28"/>
        </w:rPr>
        <w:t xml:space="preserve">За </w:t>
      </w:r>
      <w:r w:rsidR="003071AB" w:rsidRPr="007C51D6">
        <w:rPr>
          <w:rFonts w:eastAsia="Arial"/>
          <w:spacing w:val="4"/>
          <w:sz w:val="28"/>
          <w:szCs w:val="28"/>
        </w:rPr>
        <w:t>10-</w:t>
      </w:r>
      <w:r w:rsidRPr="007C51D6">
        <w:rPr>
          <w:rFonts w:eastAsia="Arial"/>
          <w:spacing w:val="4"/>
          <w:sz w:val="28"/>
          <w:szCs w:val="28"/>
        </w:rPr>
        <w:t>летний период (201</w:t>
      </w:r>
      <w:r w:rsidR="00DD297A" w:rsidRPr="007C51D6">
        <w:rPr>
          <w:rFonts w:eastAsia="Arial"/>
          <w:spacing w:val="4"/>
          <w:sz w:val="28"/>
          <w:szCs w:val="28"/>
        </w:rPr>
        <w:t>6</w:t>
      </w:r>
      <w:r w:rsidRPr="007C51D6">
        <w:rPr>
          <w:rFonts w:eastAsia="Arial"/>
          <w:spacing w:val="4"/>
          <w:sz w:val="28"/>
          <w:szCs w:val="28"/>
        </w:rPr>
        <w:t xml:space="preserve"> – 202</w:t>
      </w:r>
      <w:r w:rsidR="00DD297A" w:rsidRPr="007C51D6">
        <w:rPr>
          <w:rFonts w:eastAsia="Arial"/>
          <w:spacing w:val="4"/>
          <w:sz w:val="28"/>
          <w:szCs w:val="28"/>
        </w:rPr>
        <w:t>5</w:t>
      </w:r>
      <w:r w:rsidRPr="007C51D6">
        <w:rPr>
          <w:rFonts w:eastAsia="Arial"/>
          <w:spacing w:val="4"/>
          <w:sz w:val="28"/>
          <w:szCs w:val="28"/>
        </w:rPr>
        <w:t xml:space="preserve"> годы) регистрируется рост показателя распространенности ЗНО во всех муниципальных образованиях. </w:t>
      </w:r>
    </w:p>
    <w:p w:rsidR="00A12136" w:rsidRPr="007C51D6" w:rsidRDefault="00A12136" w:rsidP="00C405F6">
      <w:pPr>
        <w:autoSpaceDE/>
        <w:autoSpaceDN/>
        <w:adjustRightInd/>
        <w:spacing w:line="235" w:lineRule="auto"/>
        <w:ind w:firstLine="709"/>
        <w:jc w:val="both"/>
        <w:rPr>
          <w:rFonts w:eastAsia="Arial"/>
          <w:spacing w:val="-8"/>
          <w:sz w:val="28"/>
          <w:szCs w:val="28"/>
        </w:rPr>
      </w:pPr>
      <w:r w:rsidRPr="007C51D6">
        <w:rPr>
          <w:rFonts w:eastAsia="Arial"/>
          <w:spacing w:val="4"/>
          <w:sz w:val="28"/>
          <w:szCs w:val="28"/>
        </w:rPr>
        <w:t xml:space="preserve">Максимальные значения показателя распространенности ЗНО в 2024 году зарегистрированы в Камско-Устьинском (4 </w:t>
      </w:r>
      <w:r w:rsidR="00F56A6F" w:rsidRPr="007C51D6">
        <w:rPr>
          <w:rFonts w:eastAsia="Arial"/>
          <w:spacing w:val="4"/>
          <w:sz w:val="28"/>
          <w:szCs w:val="28"/>
        </w:rPr>
        <w:t>176</w:t>
      </w:r>
      <w:r w:rsidRPr="007C51D6">
        <w:rPr>
          <w:color w:val="000000"/>
          <w:spacing w:val="4"/>
          <w:sz w:val="28"/>
          <w:szCs w:val="28"/>
        </w:rPr>
        <w:t>,</w:t>
      </w:r>
      <w:r w:rsidR="00F56A6F" w:rsidRPr="007C51D6">
        <w:rPr>
          <w:color w:val="000000"/>
          <w:spacing w:val="4"/>
          <w:sz w:val="28"/>
          <w:szCs w:val="28"/>
        </w:rPr>
        <w:t>2</w:t>
      </w:r>
      <w:r w:rsidRPr="007C51D6">
        <w:rPr>
          <w:color w:val="000000"/>
          <w:spacing w:val="4"/>
          <w:sz w:val="28"/>
          <w:szCs w:val="28"/>
        </w:rPr>
        <w:t>), Тетюшском (3 </w:t>
      </w:r>
      <w:r w:rsidR="00F56A6F" w:rsidRPr="007C51D6">
        <w:rPr>
          <w:color w:val="000000"/>
          <w:spacing w:val="4"/>
          <w:sz w:val="28"/>
          <w:szCs w:val="28"/>
        </w:rPr>
        <w:t>936</w:t>
      </w:r>
      <w:r w:rsidRPr="007C51D6">
        <w:rPr>
          <w:color w:val="000000"/>
          <w:spacing w:val="4"/>
          <w:sz w:val="28"/>
          <w:szCs w:val="28"/>
        </w:rPr>
        <w:t>,</w:t>
      </w:r>
      <w:r w:rsidR="00F56A6F" w:rsidRPr="007C51D6">
        <w:rPr>
          <w:color w:val="000000"/>
          <w:spacing w:val="4"/>
          <w:sz w:val="28"/>
          <w:szCs w:val="28"/>
        </w:rPr>
        <w:t>8</w:t>
      </w:r>
      <w:r w:rsidRPr="007C51D6">
        <w:rPr>
          <w:color w:val="000000"/>
          <w:spacing w:val="4"/>
          <w:sz w:val="28"/>
          <w:szCs w:val="28"/>
        </w:rPr>
        <w:t>), Спасском (3 </w:t>
      </w:r>
      <w:r w:rsidR="00F56A6F" w:rsidRPr="007C51D6">
        <w:rPr>
          <w:color w:val="000000"/>
          <w:spacing w:val="4"/>
          <w:sz w:val="28"/>
          <w:szCs w:val="28"/>
        </w:rPr>
        <w:t>756</w:t>
      </w:r>
      <w:r w:rsidRPr="007C51D6">
        <w:rPr>
          <w:color w:val="000000"/>
          <w:spacing w:val="4"/>
          <w:sz w:val="28"/>
          <w:szCs w:val="28"/>
        </w:rPr>
        <w:t>,1)</w:t>
      </w:r>
      <w:r w:rsidR="00F56A6F" w:rsidRPr="007C51D6">
        <w:rPr>
          <w:color w:val="000000"/>
          <w:spacing w:val="4"/>
          <w:sz w:val="28"/>
          <w:szCs w:val="28"/>
        </w:rPr>
        <w:t>,</w:t>
      </w:r>
      <w:r w:rsidR="001A7420" w:rsidRPr="007C51D6">
        <w:rPr>
          <w:color w:val="000000"/>
          <w:spacing w:val="4"/>
          <w:sz w:val="28"/>
          <w:szCs w:val="28"/>
        </w:rPr>
        <w:t xml:space="preserve"> Чистопольском (3 </w:t>
      </w:r>
      <w:r w:rsidR="00F56A6F" w:rsidRPr="007C51D6">
        <w:rPr>
          <w:color w:val="000000"/>
          <w:spacing w:val="4"/>
          <w:sz w:val="28"/>
          <w:szCs w:val="28"/>
        </w:rPr>
        <w:t>691</w:t>
      </w:r>
      <w:r w:rsidR="001A7420" w:rsidRPr="007C51D6">
        <w:rPr>
          <w:color w:val="000000"/>
          <w:spacing w:val="4"/>
          <w:sz w:val="28"/>
          <w:szCs w:val="28"/>
        </w:rPr>
        <w:t>,</w:t>
      </w:r>
      <w:r w:rsidR="00F56A6F" w:rsidRPr="007C51D6">
        <w:rPr>
          <w:color w:val="000000"/>
          <w:spacing w:val="4"/>
          <w:sz w:val="28"/>
          <w:szCs w:val="28"/>
        </w:rPr>
        <w:t>0</w:t>
      </w:r>
      <w:r w:rsidR="001A7420" w:rsidRPr="007C51D6">
        <w:rPr>
          <w:color w:val="000000"/>
          <w:spacing w:val="4"/>
          <w:sz w:val="28"/>
          <w:szCs w:val="28"/>
        </w:rPr>
        <w:t xml:space="preserve">) </w:t>
      </w:r>
      <w:r w:rsidR="00F56A6F" w:rsidRPr="007C51D6">
        <w:rPr>
          <w:color w:val="000000"/>
          <w:spacing w:val="4"/>
          <w:sz w:val="28"/>
          <w:szCs w:val="28"/>
        </w:rPr>
        <w:t xml:space="preserve">и Рыбно-Слободском (3 561,3) </w:t>
      </w:r>
      <w:r w:rsidRPr="007C51D6">
        <w:rPr>
          <w:rFonts w:eastAsia="Arial"/>
          <w:spacing w:val="4"/>
          <w:sz w:val="28"/>
          <w:szCs w:val="28"/>
        </w:rPr>
        <w:t>муниципальных районах</w:t>
      </w:r>
      <w:r w:rsidRPr="007C51D6">
        <w:rPr>
          <w:rFonts w:eastAsia="Arial"/>
          <w:spacing w:val="-8"/>
          <w:sz w:val="28"/>
          <w:szCs w:val="28"/>
        </w:rPr>
        <w:t xml:space="preserve">. </w:t>
      </w:r>
    </w:p>
    <w:p w:rsidR="00A12136" w:rsidRPr="007C51D6" w:rsidRDefault="00A12136" w:rsidP="00C405F6">
      <w:pPr>
        <w:autoSpaceDE/>
        <w:autoSpaceDN/>
        <w:adjustRightInd/>
        <w:spacing w:line="235" w:lineRule="auto"/>
        <w:ind w:firstLine="709"/>
        <w:jc w:val="both"/>
        <w:rPr>
          <w:rFonts w:eastAsia="Arial"/>
          <w:spacing w:val="6"/>
          <w:sz w:val="28"/>
          <w:szCs w:val="28"/>
        </w:rPr>
      </w:pPr>
      <w:r w:rsidRPr="007C51D6">
        <w:rPr>
          <w:rFonts w:eastAsia="Arial"/>
          <w:spacing w:val="-8"/>
          <w:sz w:val="28"/>
          <w:szCs w:val="28"/>
        </w:rPr>
        <w:t xml:space="preserve">Минимальные </w:t>
      </w:r>
      <w:r w:rsidRPr="007C51D6">
        <w:rPr>
          <w:rFonts w:eastAsia="Arial"/>
          <w:spacing w:val="4"/>
          <w:sz w:val="28"/>
          <w:szCs w:val="28"/>
        </w:rPr>
        <w:t xml:space="preserve">значения показателя – в </w:t>
      </w:r>
      <w:r w:rsidR="00F56A6F" w:rsidRPr="007C51D6">
        <w:rPr>
          <w:rFonts w:eastAsia="Arial"/>
          <w:spacing w:val="4"/>
          <w:sz w:val="28"/>
          <w:szCs w:val="28"/>
        </w:rPr>
        <w:t xml:space="preserve">Агрызском (2 164,2), </w:t>
      </w:r>
      <w:r w:rsidRPr="007C51D6">
        <w:rPr>
          <w:rFonts w:eastAsia="Arial"/>
          <w:spacing w:val="4"/>
          <w:sz w:val="28"/>
          <w:szCs w:val="28"/>
        </w:rPr>
        <w:t>Пестречинском (</w:t>
      </w:r>
      <w:r w:rsidR="00F56A6F" w:rsidRPr="007C51D6">
        <w:rPr>
          <w:rFonts w:eastAsia="Arial"/>
          <w:spacing w:val="4"/>
          <w:sz w:val="28"/>
          <w:szCs w:val="28"/>
        </w:rPr>
        <w:t>2</w:t>
      </w:r>
      <w:r w:rsidRPr="007C51D6">
        <w:rPr>
          <w:rFonts w:eastAsia="Arial"/>
          <w:spacing w:val="4"/>
          <w:sz w:val="28"/>
          <w:szCs w:val="28"/>
        </w:rPr>
        <w:t> </w:t>
      </w:r>
      <w:r w:rsidR="00F56A6F" w:rsidRPr="007C51D6">
        <w:rPr>
          <w:rFonts w:eastAsia="Arial"/>
          <w:spacing w:val="4"/>
          <w:sz w:val="28"/>
          <w:szCs w:val="28"/>
        </w:rPr>
        <w:t>195</w:t>
      </w:r>
      <w:r w:rsidRPr="007C51D6">
        <w:rPr>
          <w:rFonts w:eastAsia="Arial"/>
          <w:spacing w:val="4"/>
          <w:sz w:val="28"/>
          <w:szCs w:val="28"/>
        </w:rPr>
        <w:t>,</w:t>
      </w:r>
      <w:r w:rsidR="00F56A6F" w:rsidRPr="007C51D6">
        <w:rPr>
          <w:rFonts w:eastAsia="Arial"/>
          <w:spacing w:val="4"/>
          <w:sz w:val="28"/>
          <w:szCs w:val="28"/>
        </w:rPr>
        <w:t>8</w:t>
      </w:r>
      <w:r w:rsidRPr="007C51D6">
        <w:rPr>
          <w:rFonts w:eastAsia="Arial"/>
          <w:spacing w:val="4"/>
          <w:sz w:val="28"/>
          <w:szCs w:val="28"/>
        </w:rPr>
        <w:t>), Лаишевском (</w:t>
      </w:r>
      <w:r w:rsidR="00F56A6F" w:rsidRPr="007C51D6">
        <w:rPr>
          <w:rFonts w:eastAsia="Arial"/>
          <w:spacing w:val="4"/>
          <w:sz w:val="28"/>
          <w:szCs w:val="28"/>
        </w:rPr>
        <w:t>2 297,5</w:t>
      </w:r>
      <w:r w:rsidRPr="007C51D6">
        <w:rPr>
          <w:rFonts w:eastAsia="Arial"/>
          <w:spacing w:val="4"/>
          <w:sz w:val="28"/>
          <w:szCs w:val="28"/>
        </w:rPr>
        <w:t>), Дрожжановском (2 </w:t>
      </w:r>
      <w:r w:rsidR="00F56A6F" w:rsidRPr="007C51D6">
        <w:rPr>
          <w:rFonts w:eastAsia="Arial"/>
          <w:spacing w:val="4"/>
          <w:sz w:val="28"/>
          <w:szCs w:val="28"/>
        </w:rPr>
        <w:t>442</w:t>
      </w:r>
      <w:r w:rsidRPr="007C51D6">
        <w:rPr>
          <w:rFonts w:eastAsia="Arial"/>
          <w:spacing w:val="4"/>
          <w:sz w:val="28"/>
          <w:szCs w:val="28"/>
        </w:rPr>
        <w:t>,</w:t>
      </w:r>
      <w:r w:rsidR="00F56A6F" w:rsidRPr="007C51D6">
        <w:rPr>
          <w:rFonts w:eastAsia="Arial"/>
          <w:spacing w:val="4"/>
          <w:sz w:val="28"/>
          <w:szCs w:val="28"/>
        </w:rPr>
        <w:t>6</w:t>
      </w:r>
      <w:r w:rsidRPr="007C51D6">
        <w:rPr>
          <w:rFonts w:eastAsia="Arial"/>
          <w:spacing w:val="4"/>
          <w:sz w:val="28"/>
          <w:szCs w:val="28"/>
        </w:rPr>
        <w:t xml:space="preserve">), </w:t>
      </w:r>
      <w:r w:rsidR="00F56A6F" w:rsidRPr="007C51D6">
        <w:rPr>
          <w:rFonts w:eastAsia="Arial"/>
          <w:spacing w:val="4"/>
          <w:sz w:val="28"/>
          <w:szCs w:val="28"/>
        </w:rPr>
        <w:t>Менделеев</w:t>
      </w:r>
      <w:r w:rsidRPr="007C51D6">
        <w:rPr>
          <w:rFonts w:eastAsia="Arial"/>
          <w:spacing w:val="4"/>
          <w:sz w:val="28"/>
          <w:szCs w:val="28"/>
        </w:rPr>
        <w:t>ском (2 </w:t>
      </w:r>
      <w:r w:rsidR="00F56A6F" w:rsidRPr="007C51D6">
        <w:rPr>
          <w:rFonts w:eastAsia="Arial"/>
          <w:spacing w:val="4"/>
          <w:sz w:val="28"/>
          <w:szCs w:val="28"/>
        </w:rPr>
        <w:t>487</w:t>
      </w:r>
      <w:r w:rsidRPr="007C51D6">
        <w:rPr>
          <w:rFonts w:eastAsia="Arial"/>
          <w:spacing w:val="4"/>
          <w:sz w:val="28"/>
          <w:szCs w:val="28"/>
        </w:rPr>
        <w:t>,</w:t>
      </w:r>
      <w:r w:rsidR="00F56A6F" w:rsidRPr="007C51D6">
        <w:rPr>
          <w:rFonts w:eastAsia="Arial"/>
          <w:spacing w:val="4"/>
          <w:sz w:val="28"/>
          <w:szCs w:val="28"/>
        </w:rPr>
        <w:t>2</w:t>
      </w:r>
      <w:r w:rsidRPr="007C51D6">
        <w:rPr>
          <w:rFonts w:eastAsia="Arial"/>
          <w:spacing w:val="4"/>
          <w:sz w:val="28"/>
          <w:szCs w:val="28"/>
        </w:rPr>
        <w:t>) муниципальных районах</w:t>
      </w:r>
      <w:r w:rsidR="00CC04B7" w:rsidRPr="007C51D6">
        <w:rPr>
          <w:rFonts w:eastAsia="Arial"/>
          <w:spacing w:val="-8"/>
          <w:sz w:val="28"/>
          <w:szCs w:val="28"/>
        </w:rPr>
        <w:t xml:space="preserve"> (таблица 7.2)</w:t>
      </w:r>
      <w:r w:rsidR="00F56A6F" w:rsidRPr="007C51D6">
        <w:rPr>
          <w:rFonts w:eastAsia="Arial"/>
          <w:spacing w:val="-8"/>
          <w:sz w:val="28"/>
          <w:szCs w:val="28"/>
        </w:rPr>
        <w:t>.</w:t>
      </w:r>
    </w:p>
    <w:p w:rsidR="00AD4EBD" w:rsidRPr="007C51D6" w:rsidRDefault="00AD4EBD" w:rsidP="00765FA9">
      <w:pPr>
        <w:autoSpaceDE/>
        <w:autoSpaceDN/>
        <w:adjustRightInd/>
        <w:ind w:firstLine="709"/>
        <w:jc w:val="right"/>
        <w:rPr>
          <w:rFonts w:eastAsia="Arial"/>
          <w:sz w:val="28"/>
          <w:szCs w:val="28"/>
        </w:rPr>
      </w:pPr>
    </w:p>
    <w:p w:rsidR="00765FA9" w:rsidRPr="007C51D6" w:rsidRDefault="00765FA9" w:rsidP="00765FA9">
      <w:pPr>
        <w:autoSpaceDE/>
        <w:autoSpaceDN/>
        <w:adjustRightInd/>
        <w:ind w:firstLine="709"/>
        <w:jc w:val="right"/>
        <w:rPr>
          <w:rFonts w:eastAsia="Arial"/>
          <w:sz w:val="28"/>
          <w:szCs w:val="28"/>
        </w:rPr>
      </w:pPr>
      <w:r w:rsidRPr="007C51D6">
        <w:rPr>
          <w:rFonts w:eastAsia="Arial"/>
          <w:sz w:val="28"/>
          <w:szCs w:val="28"/>
        </w:rPr>
        <w:t xml:space="preserve">Таблица </w:t>
      </w:r>
      <w:r w:rsidR="00BF30C9" w:rsidRPr="007C51D6">
        <w:rPr>
          <w:rFonts w:eastAsia="Arial"/>
          <w:sz w:val="28"/>
          <w:szCs w:val="28"/>
        </w:rPr>
        <w:t>8</w:t>
      </w:r>
    </w:p>
    <w:p w:rsidR="00765FA9" w:rsidRPr="007C51D6" w:rsidRDefault="00765FA9" w:rsidP="00821FAB">
      <w:pPr>
        <w:autoSpaceDE/>
        <w:autoSpaceDN/>
        <w:adjustRightInd/>
        <w:ind w:firstLine="709"/>
        <w:jc w:val="right"/>
        <w:rPr>
          <w:rFonts w:eastAsia="Arial"/>
          <w:sz w:val="28"/>
          <w:szCs w:val="28"/>
        </w:rPr>
      </w:pPr>
    </w:p>
    <w:p w:rsidR="00A05467" w:rsidRPr="007C51D6" w:rsidRDefault="00A05467" w:rsidP="00A05467">
      <w:pPr>
        <w:autoSpaceDE/>
        <w:autoSpaceDN/>
        <w:adjustRightInd/>
        <w:ind w:firstLine="709"/>
        <w:jc w:val="center"/>
        <w:rPr>
          <w:rFonts w:eastAsia="Arial"/>
          <w:sz w:val="28"/>
          <w:szCs w:val="28"/>
        </w:rPr>
      </w:pPr>
      <w:r w:rsidRPr="007C51D6">
        <w:rPr>
          <w:rFonts w:eastAsia="Arial"/>
          <w:sz w:val="28"/>
          <w:szCs w:val="28"/>
        </w:rPr>
        <w:lastRenderedPageBreak/>
        <w:t xml:space="preserve">Число пациентов, состоящих под диспансерным наблюдением с диагнозом </w:t>
      </w:r>
      <w:r w:rsidRPr="007C51D6">
        <w:rPr>
          <w:rFonts w:eastAsia="Arial"/>
          <w:sz w:val="28"/>
          <w:szCs w:val="28"/>
          <w:lang w:val="en-US"/>
        </w:rPr>
        <w:t>D</w:t>
      </w:r>
      <w:r w:rsidRPr="007C51D6">
        <w:rPr>
          <w:rFonts w:eastAsia="Arial"/>
          <w:sz w:val="28"/>
          <w:szCs w:val="28"/>
        </w:rPr>
        <w:t xml:space="preserve">00 – </w:t>
      </w:r>
      <w:r w:rsidRPr="007C51D6">
        <w:rPr>
          <w:rFonts w:eastAsia="Arial"/>
          <w:sz w:val="28"/>
          <w:szCs w:val="28"/>
          <w:lang w:val="en-US"/>
        </w:rPr>
        <w:t>D</w:t>
      </w:r>
      <w:r w:rsidRPr="007C51D6">
        <w:rPr>
          <w:rFonts w:eastAsia="Arial"/>
          <w:sz w:val="28"/>
          <w:szCs w:val="28"/>
        </w:rPr>
        <w:t xml:space="preserve">09 </w:t>
      </w:r>
    </w:p>
    <w:p w:rsidR="00A05467" w:rsidRPr="007C51D6" w:rsidRDefault="00A05467" w:rsidP="00A05467">
      <w:pPr>
        <w:autoSpaceDE/>
        <w:autoSpaceDN/>
        <w:adjustRightInd/>
        <w:ind w:firstLine="709"/>
        <w:jc w:val="center"/>
        <w:rPr>
          <w:rFonts w:eastAsia="Arial"/>
          <w:sz w:val="28"/>
          <w:szCs w:val="28"/>
        </w:rPr>
      </w:pPr>
      <w:r w:rsidRPr="007C51D6">
        <w:rPr>
          <w:rFonts w:eastAsia="Arial"/>
          <w:sz w:val="28"/>
          <w:szCs w:val="28"/>
        </w:rPr>
        <w:t>в Республике Татарстан в 2016 – 2025 годах, абсолютное число</w:t>
      </w:r>
    </w:p>
    <w:p w:rsidR="00765FA9" w:rsidRPr="007C51D6" w:rsidRDefault="00765FA9" w:rsidP="00821FAB">
      <w:pPr>
        <w:autoSpaceDE/>
        <w:autoSpaceDN/>
        <w:adjustRightInd/>
        <w:ind w:firstLine="709"/>
        <w:jc w:val="right"/>
        <w:rPr>
          <w:rFonts w:eastAsia="Arial"/>
          <w:sz w:val="28"/>
          <w:szCs w:val="28"/>
        </w:rPr>
      </w:pPr>
    </w:p>
    <w:tbl>
      <w:tblPr>
        <w:tblStyle w:val="af1"/>
        <w:tblW w:w="15159" w:type="dxa"/>
        <w:tblBorders>
          <w:bottom w:val="none" w:sz="0" w:space="0" w:color="auto"/>
        </w:tblBorders>
        <w:tblLayout w:type="fixed"/>
        <w:tblLook w:val="04A0" w:firstRow="1" w:lastRow="0" w:firstColumn="1" w:lastColumn="0" w:noHBand="0" w:noVBand="1"/>
      </w:tblPr>
      <w:tblGrid>
        <w:gridCol w:w="4531"/>
        <w:gridCol w:w="1376"/>
        <w:gridCol w:w="925"/>
        <w:gridCol w:w="925"/>
        <w:gridCol w:w="925"/>
        <w:gridCol w:w="925"/>
        <w:gridCol w:w="925"/>
        <w:gridCol w:w="925"/>
        <w:gridCol w:w="925"/>
        <w:gridCol w:w="925"/>
        <w:gridCol w:w="926"/>
        <w:gridCol w:w="926"/>
      </w:tblGrid>
      <w:tr w:rsidR="00A05467" w:rsidRPr="007C51D6" w:rsidTr="00A05467">
        <w:trPr>
          <w:trHeight w:val="20"/>
        </w:trPr>
        <w:tc>
          <w:tcPr>
            <w:tcW w:w="4531" w:type="dxa"/>
          </w:tcPr>
          <w:p w:rsidR="00A05467" w:rsidRPr="007C51D6" w:rsidRDefault="00A05467" w:rsidP="00A05467">
            <w:pPr>
              <w:autoSpaceDE/>
              <w:autoSpaceDN/>
              <w:adjustRightInd/>
              <w:spacing w:line="233" w:lineRule="auto"/>
              <w:jc w:val="center"/>
              <w:rPr>
                <w:color w:val="000000"/>
                <w:sz w:val="20"/>
                <w:szCs w:val="20"/>
              </w:rPr>
            </w:pPr>
            <w:r w:rsidRPr="007C51D6">
              <w:rPr>
                <w:color w:val="000000"/>
                <w:sz w:val="20"/>
                <w:szCs w:val="20"/>
              </w:rPr>
              <w:t xml:space="preserve">Локализация </w:t>
            </w:r>
            <w:r w:rsidRPr="007C51D6">
              <w:rPr>
                <w:rFonts w:eastAsia="Arial"/>
                <w:sz w:val="20"/>
                <w:szCs w:val="20"/>
              </w:rPr>
              <w:t>ЗНО</w:t>
            </w:r>
          </w:p>
        </w:tc>
        <w:tc>
          <w:tcPr>
            <w:tcW w:w="1376" w:type="dxa"/>
          </w:tcPr>
          <w:p w:rsidR="00A05467" w:rsidRPr="007C51D6" w:rsidRDefault="00A05467" w:rsidP="00A05467">
            <w:pPr>
              <w:autoSpaceDE/>
              <w:autoSpaceDN/>
              <w:adjustRightInd/>
              <w:spacing w:line="233" w:lineRule="auto"/>
              <w:jc w:val="center"/>
              <w:rPr>
                <w:rFonts w:eastAsia="Arial"/>
                <w:sz w:val="20"/>
                <w:szCs w:val="20"/>
              </w:rPr>
            </w:pPr>
            <w:r w:rsidRPr="007C51D6">
              <w:rPr>
                <w:bCs/>
                <w:sz w:val="20"/>
                <w:szCs w:val="22"/>
              </w:rPr>
              <w:t>Коды по МКБ-10</w:t>
            </w:r>
          </w:p>
        </w:tc>
        <w:tc>
          <w:tcPr>
            <w:tcW w:w="925" w:type="dxa"/>
          </w:tcPr>
          <w:p w:rsidR="00A05467" w:rsidRPr="007C51D6" w:rsidRDefault="00A05467" w:rsidP="00A05467">
            <w:pPr>
              <w:autoSpaceDE/>
              <w:autoSpaceDN/>
              <w:adjustRightInd/>
              <w:spacing w:line="233" w:lineRule="auto"/>
              <w:jc w:val="center"/>
              <w:rPr>
                <w:bCs/>
                <w:color w:val="000000"/>
                <w:sz w:val="20"/>
                <w:szCs w:val="20"/>
              </w:rPr>
            </w:pPr>
            <w:r w:rsidRPr="007C51D6">
              <w:rPr>
                <w:bCs/>
                <w:color w:val="000000"/>
                <w:sz w:val="20"/>
                <w:szCs w:val="20"/>
              </w:rPr>
              <w:t>2016 г.</w:t>
            </w:r>
          </w:p>
        </w:tc>
        <w:tc>
          <w:tcPr>
            <w:tcW w:w="925" w:type="dxa"/>
          </w:tcPr>
          <w:p w:rsidR="00A05467" w:rsidRPr="007C51D6" w:rsidRDefault="00A05467" w:rsidP="00A05467">
            <w:pPr>
              <w:autoSpaceDE/>
              <w:autoSpaceDN/>
              <w:adjustRightInd/>
              <w:spacing w:line="233" w:lineRule="auto"/>
              <w:jc w:val="center"/>
              <w:rPr>
                <w:bCs/>
                <w:color w:val="000000"/>
                <w:sz w:val="20"/>
                <w:szCs w:val="20"/>
              </w:rPr>
            </w:pPr>
            <w:r w:rsidRPr="007C51D6">
              <w:rPr>
                <w:bCs/>
                <w:color w:val="000000"/>
                <w:sz w:val="20"/>
                <w:szCs w:val="20"/>
              </w:rPr>
              <w:t>2017 г.</w:t>
            </w:r>
          </w:p>
        </w:tc>
        <w:tc>
          <w:tcPr>
            <w:tcW w:w="925" w:type="dxa"/>
          </w:tcPr>
          <w:p w:rsidR="00A05467" w:rsidRPr="007C51D6" w:rsidRDefault="00A05467" w:rsidP="00A05467">
            <w:pPr>
              <w:autoSpaceDE/>
              <w:autoSpaceDN/>
              <w:adjustRightInd/>
              <w:spacing w:line="233" w:lineRule="auto"/>
              <w:jc w:val="center"/>
              <w:rPr>
                <w:bCs/>
                <w:color w:val="000000"/>
                <w:sz w:val="20"/>
                <w:szCs w:val="20"/>
              </w:rPr>
            </w:pPr>
            <w:r w:rsidRPr="007C51D6">
              <w:rPr>
                <w:bCs/>
                <w:color w:val="000000"/>
                <w:sz w:val="20"/>
                <w:szCs w:val="20"/>
              </w:rPr>
              <w:t>2018 г.</w:t>
            </w:r>
          </w:p>
        </w:tc>
        <w:tc>
          <w:tcPr>
            <w:tcW w:w="925" w:type="dxa"/>
          </w:tcPr>
          <w:p w:rsidR="00A05467" w:rsidRPr="007C51D6" w:rsidRDefault="00A05467" w:rsidP="00A05467">
            <w:pPr>
              <w:autoSpaceDE/>
              <w:autoSpaceDN/>
              <w:adjustRightInd/>
              <w:spacing w:line="233" w:lineRule="auto"/>
              <w:jc w:val="center"/>
              <w:rPr>
                <w:rFonts w:eastAsia="Arial"/>
                <w:sz w:val="20"/>
                <w:szCs w:val="20"/>
              </w:rPr>
            </w:pPr>
            <w:r w:rsidRPr="007C51D6">
              <w:rPr>
                <w:rFonts w:eastAsia="Arial"/>
                <w:sz w:val="20"/>
                <w:szCs w:val="20"/>
              </w:rPr>
              <w:t>2019</w:t>
            </w:r>
            <w:r w:rsidRPr="007C51D6">
              <w:rPr>
                <w:bCs/>
                <w:color w:val="000000"/>
                <w:sz w:val="20"/>
                <w:szCs w:val="20"/>
              </w:rPr>
              <w:t xml:space="preserve"> г.</w:t>
            </w:r>
          </w:p>
        </w:tc>
        <w:tc>
          <w:tcPr>
            <w:tcW w:w="925" w:type="dxa"/>
          </w:tcPr>
          <w:p w:rsidR="00A05467" w:rsidRPr="007C51D6" w:rsidRDefault="00A05467" w:rsidP="00A05467">
            <w:pPr>
              <w:autoSpaceDE/>
              <w:autoSpaceDN/>
              <w:adjustRightInd/>
              <w:spacing w:line="233" w:lineRule="auto"/>
              <w:jc w:val="center"/>
              <w:rPr>
                <w:rFonts w:eastAsia="Arial"/>
                <w:sz w:val="20"/>
                <w:szCs w:val="20"/>
              </w:rPr>
            </w:pPr>
            <w:r w:rsidRPr="007C51D6">
              <w:rPr>
                <w:rFonts w:eastAsia="Arial"/>
                <w:sz w:val="20"/>
                <w:szCs w:val="20"/>
              </w:rPr>
              <w:t>2020</w:t>
            </w:r>
            <w:r w:rsidRPr="007C51D6">
              <w:rPr>
                <w:bCs/>
                <w:color w:val="000000"/>
                <w:sz w:val="20"/>
                <w:szCs w:val="20"/>
              </w:rPr>
              <w:t xml:space="preserve"> г.</w:t>
            </w:r>
          </w:p>
        </w:tc>
        <w:tc>
          <w:tcPr>
            <w:tcW w:w="925" w:type="dxa"/>
          </w:tcPr>
          <w:p w:rsidR="00A05467" w:rsidRPr="007C51D6" w:rsidRDefault="00A05467" w:rsidP="00A05467">
            <w:pPr>
              <w:autoSpaceDE/>
              <w:autoSpaceDN/>
              <w:adjustRightInd/>
              <w:spacing w:line="233" w:lineRule="auto"/>
              <w:jc w:val="center"/>
              <w:rPr>
                <w:rFonts w:eastAsia="Arial"/>
                <w:sz w:val="20"/>
                <w:szCs w:val="20"/>
              </w:rPr>
            </w:pPr>
            <w:r w:rsidRPr="007C51D6">
              <w:rPr>
                <w:rFonts w:eastAsia="Arial"/>
                <w:sz w:val="20"/>
                <w:szCs w:val="20"/>
              </w:rPr>
              <w:t>2021</w:t>
            </w:r>
            <w:r w:rsidRPr="007C51D6">
              <w:rPr>
                <w:bCs/>
                <w:color w:val="000000"/>
                <w:sz w:val="20"/>
                <w:szCs w:val="20"/>
              </w:rPr>
              <w:t xml:space="preserve"> г.</w:t>
            </w:r>
          </w:p>
        </w:tc>
        <w:tc>
          <w:tcPr>
            <w:tcW w:w="925" w:type="dxa"/>
          </w:tcPr>
          <w:p w:rsidR="00A05467" w:rsidRPr="007C51D6" w:rsidRDefault="00A05467" w:rsidP="00A05467">
            <w:pPr>
              <w:autoSpaceDE/>
              <w:autoSpaceDN/>
              <w:adjustRightInd/>
              <w:spacing w:line="233" w:lineRule="auto"/>
              <w:jc w:val="center"/>
              <w:rPr>
                <w:rFonts w:eastAsia="Arial"/>
                <w:sz w:val="20"/>
                <w:szCs w:val="20"/>
              </w:rPr>
            </w:pPr>
            <w:r w:rsidRPr="007C51D6">
              <w:rPr>
                <w:rFonts w:eastAsia="Arial"/>
                <w:sz w:val="20"/>
                <w:szCs w:val="20"/>
              </w:rPr>
              <w:t>2022</w:t>
            </w:r>
            <w:r w:rsidRPr="007C51D6">
              <w:rPr>
                <w:bCs/>
                <w:color w:val="000000"/>
                <w:sz w:val="20"/>
                <w:szCs w:val="20"/>
              </w:rPr>
              <w:t xml:space="preserve"> г.</w:t>
            </w:r>
          </w:p>
        </w:tc>
        <w:tc>
          <w:tcPr>
            <w:tcW w:w="925" w:type="dxa"/>
          </w:tcPr>
          <w:p w:rsidR="00A05467" w:rsidRPr="007C51D6" w:rsidRDefault="00A05467" w:rsidP="00A05467">
            <w:pPr>
              <w:autoSpaceDE/>
              <w:autoSpaceDN/>
              <w:adjustRightInd/>
              <w:spacing w:line="233" w:lineRule="auto"/>
              <w:jc w:val="center"/>
              <w:rPr>
                <w:rFonts w:eastAsia="Arial"/>
                <w:sz w:val="20"/>
                <w:szCs w:val="20"/>
              </w:rPr>
            </w:pPr>
            <w:r w:rsidRPr="007C51D6">
              <w:rPr>
                <w:rFonts w:eastAsia="Arial"/>
                <w:sz w:val="20"/>
                <w:szCs w:val="20"/>
              </w:rPr>
              <w:t>2023 г.</w:t>
            </w:r>
          </w:p>
        </w:tc>
        <w:tc>
          <w:tcPr>
            <w:tcW w:w="926" w:type="dxa"/>
          </w:tcPr>
          <w:p w:rsidR="00A05467" w:rsidRPr="007C51D6" w:rsidRDefault="00A05467" w:rsidP="00A05467">
            <w:pPr>
              <w:autoSpaceDE/>
              <w:autoSpaceDN/>
              <w:adjustRightInd/>
              <w:spacing w:line="233" w:lineRule="auto"/>
              <w:jc w:val="center"/>
              <w:rPr>
                <w:rFonts w:eastAsia="Arial"/>
                <w:sz w:val="20"/>
                <w:szCs w:val="20"/>
              </w:rPr>
            </w:pPr>
            <w:r w:rsidRPr="007C51D6">
              <w:rPr>
                <w:rFonts w:eastAsia="Arial"/>
                <w:sz w:val="20"/>
                <w:szCs w:val="20"/>
              </w:rPr>
              <w:t>2024 г.</w:t>
            </w:r>
          </w:p>
        </w:tc>
        <w:tc>
          <w:tcPr>
            <w:tcW w:w="926" w:type="dxa"/>
          </w:tcPr>
          <w:p w:rsidR="00A05467" w:rsidRPr="007C51D6" w:rsidRDefault="00A05467" w:rsidP="00A05467">
            <w:pPr>
              <w:autoSpaceDE/>
              <w:autoSpaceDN/>
              <w:adjustRightInd/>
              <w:spacing w:line="233" w:lineRule="auto"/>
              <w:jc w:val="center"/>
              <w:rPr>
                <w:rFonts w:eastAsia="Arial"/>
                <w:sz w:val="20"/>
                <w:szCs w:val="20"/>
              </w:rPr>
            </w:pPr>
            <w:r w:rsidRPr="007C51D6">
              <w:rPr>
                <w:rFonts w:eastAsia="Arial"/>
                <w:sz w:val="20"/>
                <w:szCs w:val="20"/>
              </w:rPr>
              <w:t>2025 г.*</w:t>
            </w:r>
          </w:p>
        </w:tc>
      </w:tr>
      <w:tr w:rsidR="00DD297A" w:rsidRPr="007C51D6" w:rsidTr="00080BEF">
        <w:tblPrEx>
          <w:tblBorders>
            <w:bottom w:val="single" w:sz="4" w:space="0" w:color="auto"/>
          </w:tblBorders>
        </w:tblPrEx>
        <w:trPr>
          <w:trHeight w:val="20"/>
        </w:trPr>
        <w:tc>
          <w:tcPr>
            <w:tcW w:w="4531" w:type="dxa"/>
          </w:tcPr>
          <w:p w:rsidR="00DD297A" w:rsidRPr="007C51D6" w:rsidRDefault="00DD297A" w:rsidP="00DD297A">
            <w:pPr>
              <w:autoSpaceDE/>
              <w:autoSpaceDN/>
              <w:adjustRightInd/>
              <w:spacing w:line="233" w:lineRule="auto"/>
              <w:rPr>
                <w:rFonts w:eastAsia="Arial"/>
                <w:sz w:val="20"/>
                <w:szCs w:val="20"/>
              </w:rPr>
            </w:pPr>
            <w:r w:rsidRPr="007C51D6">
              <w:rPr>
                <w:rFonts w:eastAsia="Arial"/>
                <w:sz w:val="20"/>
                <w:szCs w:val="22"/>
              </w:rPr>
              <w:t>Всего</w:t>
            </w:r>
          </w:p>
        </w:tc>
        <w:tc>
          <w:tcPr>
            <w:tcW w:w="1376" w:type="dxa"/>
          </w:tcPr>
          <w:p w:rsidR="00DD297A" w:rsidRPr="007C51D6" w:rsidRDefault="00DD297A" w:rsidP="00DD297A">
            <w:pPr>
              <w:autoSpaceDE/>
              <w:autoSpaceDN/>
              <w:adjustRightInd/>
              <w:spacing w:line="233" w:lineRule="auto"/>
              <w:rPr>
                <w:rFonts w:eastAsia="Arial"/>
                <w:sz w:val="20"/>
                <w:szCs w:val="20"/>
              </w:rPr>
            </w:pPr>
            <w:r w:rsidRPr="007C51D6">
              <w:rPr>
                <w:rFonts w:eastAsia="Arial"/>
                <w:sz w:val="20"/>
                <w:szCs w:val="20"/>
                <w:lang w:val="en-US"/>
              </w:rPr>
              <w:t>D</w:t>
            </w:r>
            <w:r w:rsidRPr="007C51D6">
              <w:rPr>
                <w:rFonts w:eastAsia="Arial"/>
                <w:sz w:val="20"/>
                <w:szCs w:val="20"/>
              </w:rPr>
              <w:t>00-</w:t>
            </w:r>
            <w:r w:rsidRPr="007C51D6">
              <w:rPr>
                <w:rFonts w:eastAsia="Arial"/>
                <w:sz w:val="20"/>
                <w:szCs w:val="20"/>
                <w:lang w:val="en-US"/>
              </w:rPr>
              <w:t>D</w:t>
            </w:r>
            <w:r w:rsidRPr="007C51D6">
              <w:rPr>
                <w:rFonts w:eastAsia="Arial"/>
                <w:sz w:val="20"/>
                <w:szCs w:val="20"/>
              </w:rPr>
              <w:t>09</w:t>
            </w:r>
          </w:p>
        </w:tc>
        <w:tc>
          <w:tcPr>
            <w:tcW w:w="925" w:type="dxa"/>
            <w:vAlign w:val="center"/>
          </w:tcPr>
          <w:p w:rsidR="00DD297A" w:rsidRPr="007C51D6" w:rsidRDefault="00DD297A" w:rsidP="00DD297A">
            <w:pPr>
              <w:spacing w:line="233" w:lineRule="auto"/>
              <w:jc w:val="center"/>
              <w:rPr>
                <w:color w:val="000000"/>
                <w:sz w:val="20"/>
                <w:szCs w:val="20"/>
              </w:rPr>
            </w:pPr>
            <w:r w:rsidRPr="007C51D6">
              <w:rPr>
                <w:color w:val="000000"/>
                <w:sz w:val="20"/>
                <w:szCs w:val="20"/>
              </w:rPr>
              <w:t>3073</w:t>
            </w:r>
          </w:p>
        </w:tc>
        <w:tc>
          <w:tcPr>
            <w:tcW w:w="925" w:type="dxa"/>
            <w:vAlign w:val="center"/>
          </w:tcPr>
          <w:p w:rsidR="00DD297A" w:rsidRPr="007C51D6" w:rsidRDefault="00DD297A" w:rsidP="00DD297A">
            <w:pPr>
              <w:spacing w:line="233" w:lineRule="auto"/>
              <w:jc w:val="center"/>
              <w:rPr>
                <w:color w:val="000000"/>
                <w:sz w:val="20"/>
                <w:szCs w:val="20"/>
              </w:rPr>
            </w:pPr>
            <w:r w:rsidRPr="007C51D6">
              <w:rPr>
                <w:color w:val="000000"/>
                <w:sz w:val="20"/>
                <w:szCs w:val="20"/>
              </w:rPr>
              <w:t>3387</w:t>
            </w:r>
          </w:p>
        </w:tc>
        <w:tc>
          <w:tcPr>
            <w:tcW w:w="925" w:type="dxa"/>
            <w:vAlign w:val="center"/>
          </w:tcPr>
          <w:p w:rsidR="00DD297A" w:rsidRPr="007C51D6" w:rsidRDefault="00DD297A" w:rsidP="00DD297A">
            <w:pPr>
              <w:spacing w:line="233" w:lineRule="auto"/>
              <w:jc w:val="center"/>
              <w:rPr>
                <w:color w:val="000000"/>
                <w:sz w:val="20"/>
                <w:szCs w:val="20"/>
              </w:rPr>
            </w:pPr>
            <w:r w:rsidRPr="007C51D6">
              <w:rPr>
                <w:color w:val="000000"/>
                <w:sz w:val="20"/>
                <w:szCs w:val="20"/>
              </w:rPr>
              <w:t>3673</w:t>
            </w:r>
          </w:p>
        </w:tc>
        <w:tc>
          <w:tcPr>
            <w:tcW w:w="925" w:type="dxa"/>
            <w:vAlign w:val="center"/>
          </w:tcPr>
          <w:p w:rsidR="00DD297A" w:rsidRPr="007C51D6" w:rsidRDefault="00DD297A" w:rsidP="00DD297A">
            <w:pPr>
              <w:spacing w:line="233" w:lineRule="auto"/>
              <w:jc w:val="center"/>
              <w:rPr>
                <w:color w:val="000000"/>
                <w:sz w:val="20"/>
                <w:szCs w:val="20"/>
              </w:rPr>
            </w:pPr>
            <w:r w:rsidRPr="007C51D6">
              <w:rPr>
                <w:color w:val="000000"/>
                <w:sz w:val="20"/>
                <w:szCs w:val="20"/>
              </w:rPr>
              <w:t>4007</w:t>
            </w:r>
          </w:p>
        </w:tc>
        <w:tc>
          <w:tcPr>
            <w:tcW w:w="925" w:type="dxa"/>
            <w:vAlign w:val="center"/>
          </w:tcPr>
          <w:p w:rsidR="00DD297A" w:rsidRPr="007C51D6" w:rsidRDefault="00DD297A" w:rsidP="00DD297A">
            <w:pPr>
              <w:spacing w:line="233" w:lineRule="auto"/>
              <w:jc w:val="center"/>
              <w:rPr>
                <w:color w:val="000000"/>
                <w:sz w:val="20"/>
                <w:szCs w:val="20"/>
              </w:rPr>
            </w:pPr>
            <w:r w:rsidRPr="007C51D6">
              <w:rPr>
                <w:color w:val="000000"/>
                <w:sz w:val="20"/>
                <w:szCs w:val="20"/>
              </w:rPr>
              <w:t>4117</w:t>
            </w:r>
          </w:p>
        </w:tc>
        <w:tc>
          <w:tcPr>
            <w:tcW w:w="925" w:type="dxa"/>
            <w:vAlign w:val="center"/>
          </w:tcPr>
          <w:p w:rsidR="00DD297A" w:rsidRPr="007C51D6" w:rsidRDefault="00DD297A" w:rsidP="00DD297A">
            <w:pPr>
              <w:spacing w:line="233" w:lineRule="auto"/>
              <w:jc w:val="center"/>
              <w:rPr>
                <w:color w:val="000000"/>
                <w:sz w:val="20"/>
                <w:szCs w:val="20"/>
              </w:rPr>
            </w:pPr>
            <w:r w:rsidRPr="007C51D6">
              <w:rPr>
                <w:color w:val="000000"/>
                <w:sz w:val="20"/>
                <w:szCs w:val="20"/>
              </w:rPr>
              <w:t>4438</w:t>
            </w:r>
          </w:p>
        </w:tc>
        <w:tc>
          <w:tcPr>
            <w:tcW w:w="925" w:type="dxa"/>
            <w:vAlign w:val="center"/>
          </w:tcPr>
          <w:p w:rsidR="00DD297A" w:rsidRPr="007C51D6" w:rsidRDefault="00DD297A" w:rsidP="00DD297A">
            <w:pPr>
              <w:spacing w:line="233" w:lineRule="auto"/>
              <w:jc w:val="center"/>
              <w:rPr>
                <w:color w:val="000000"/>
                <w:sz w:val="20"/>
                <w:szCs w:val="20"/>
              </w:rPr>
            </w:pPr>
            <w:r w:rsidRPr="007C51D6">
              <w:rPr>
                <w:color w:val="000000"/>
                <w:sz w:val="20"/>
                <w:szCs w:val="20"/>
              </w:rPr>
              <w:t>4727</w:t>
            </w:r>
          </w:p>
        </w:tc>
        <w:tc>
          <w:tcPr>
            <w:tcW w:w="925" w:type="dxa"/>
            <w:vAlign w:val="center"/>
          </w:tcPr>
          <w:p w:rsidR="00DD297A" w:rsidRPr="007C51D6" w:rsidRDefault="00DD297A" w:rsidP="00DD297A">
            <w:pPr>
              <w:spacing w:line="233" w:lineRule="auto"/>
              <w:jc w:val="center"/>
              <w:rPr>
                <w:color w:val="000000"/>
                <w:sz w:val="20"/>
                <w:szCs w:val="20"/>
              </w:rPr>
            </w:pPr>
            <w:r w:rsidRPr="007C51D6">
              <w:rPr>
                <w:color w:val="000000"/>
                <w:sz w:val="20"/>
                <w:szCs w:val="20"/>
              </w:rPr>
              <w:t>5095</w:t>
            </w:r>
          </w:p>
        </w:tc>
        <w:tc>
          <w:tcPr>
            <w:tcW w:w="926" w:type="dxa"/>
            <w:vAlign w:val="center"/>
          </w:tcPr>
          <w:p w:rsidR="00DD297A" w:rsidRPr="007C51D6" w:rsidRDefault="00DD297A" w:rsidP="00DD297A">
            <w:pPr>
              <w:spacing w:line="233" w:lineRule="auto"/>
              <w:jc w:val="center"/>
              <w:rPr>
                <w:color w:val="000000"/>
                <w:sz w:val="20"/>
                <w:szCs w:val="20"/>
              </w:rPr>
            </w:pPr>
            <w:r w:rsidRPr="007C51D6">
              <w:rPr>
                <w:color w:val="000000"/>
                <w:sz w:val="20"/>
                <w:szCs w:val="20"/>
              </w:rPr>
              <w:t>5612</w:t>
            </w:r>
          </w:p>
        </w:tc>
        <w:tc>
          <w:tcPr>
            <w:tcW w:w="926" w:type="dxa"/>
            <w:vAlign w:val="center"/>
          </w:tcPr>
          <w:p w:rsidR="00DD297A" w:rsidRPr="007C51D6" w:rsidRDefault="00DD297A" w:rsidP="00DD297A">
            <w:pPr>
              <w:widowControl/>
              <w:autoSpaceDE/>
              <w:autoSpaceDN/>
              <w:adjustRightInd/>
              <w:jc w:val="center"/>
              <w:rPr>
                <w:color w:val="000000"/>
                <w:sz w:val="20"/>
                <w:szCs w:val="20"/>
              </w:rPr>
            </w:pPr>
            <w:r w:rsidRPr="007C51D6">
              <w:rPr>
                <w:color w:val="000000"/>
                <w:sz w:val="20"/>
                <w:szCs w:val="20"/>
              </w:rPr>
              <w:t>5947</w:t>
            </w:r>
          </w:p>
        </w:tc>
      </w:tr>
      <w:tr w:rsidR="00DD297A" w:rsidRPr="007C51D6" w:rsidTr="00080BEF">
        <w:tblPrEx>
          <w:tblBorders>
            <w:bottom w:val="single" w:sz="4" w:space="0" w:color="auto"/>
          </w:tblBorders>
        </w:tblPrEx>
        <w:trPr>
          <w:trHeight w:val="20"/>
        </w:trPr>
        <w:tc>
          <w:tcPr>
            <w:tcW w:w="4531" w:type="dxa"/>
          </w:tcPr>
          <w:p w:rsidR="00DD297A" w:rsidRPr="007C51D6" w:rsidRDefault="00DD297A" w:rsidP="00DD297A">
            <w:pPr>
              <w:autoSpaceDE/>
              <w:autoSpaceDN/>
              <w:adjustRightInd/>
              <w:spacing w:line="233" w:lineRule="auto"/>
              <w:jc w:val="both"/>
              <w:rPr>
                <w:rFonts w:eastAsia="Arial"/>
                <w:sz w:val="20"/>
                <w:szCs w:val="22"/>
              </w:rPr>
            </w:pPr>
            <w:r w:rsidRPr="007C51D6">
              <w:rPr>
                <w:rFonts w:eastAsia="Arial"/>
                <w:sz w:val="20"/>
                <w:szCs w:val="22"/>
              </w:rPr>
              <w:t xml:space="preserve">Карцинома in situ полости рта, пищевода и желудка </w:t>
            </w:r>
          </w:p>
        </w:tc>
        <w:tc>
          <w:tcPr>
            <w:tcW w:w="1376" w:type="dxa"/>
          </w:tcPr>
          <w:p w:rsidR="00DD297A" w:rsidRPr="007C51D6" w:rsidRDefault="00DD297A" w:rsidP="00DD297A">
            <w:pPr>
              <w:autoSpaceDE/>
              <w:autoSpaceDN/>
              <w:adjustRightInd/>
              <w:spacing w:line="233" w:lineRule="auto"/>
              <w:rPr>
                <w:rFonts w:eastAsia="Arial"/>
                <w:sz w:val="20"/>
                <w:szCs w:val="22"/>
              </w:rPr>
            </w:pPr>
            <w:r w:rsidRPr="007C51D6">
              <w:rPr>
                <w:rFonts w:eastAsia="Arial"/>
                <w:sz w:val="20"/>
                <w:szCs w:val="22"/>
              </w:rPr>
              <w:t xml:space="preserve">D00: </w:t>
            </w:r>
          </w:p>
          <w:p w:rsidR="00DD297A" w:rsidRPr="007C51D6" w:rsidRDefault="00DD297A" w:rsidP="00DD297A">
            <w:pPr>
              <w:autoSpaceDE/>
              <w:autoSpaceDN/>
              <w:adjustRightInd/>
              <w:spacing w:line="233" w:lineRule="auto"/>
              <w:rPr>
                <w:rFonts w:eastAsia="Arial"/>
                <w:sz w:val="20"/>
                <w:szCs w:val="20"/>
                <w:lang w:val="en-US"/>
              </w:rPr>
            </w:pPr>
            <w:r w:rsidRPr="007C51D6">
              <w:rPr>
                <w:rFonts w:eastAsia="Arial"/>
                <w:sz w:val="20"/>
                <w:szCs w:val="22"/>
              </w:rPr>
              <w:t>C00 – C16</w:t>
            </w:r>
          </w:p>
        </w:tc>
        <w:tc>
          <w:tcPr>
            <w:tcW w:w="925" w:type="dxa"/>
          </w:tcPr>
          <w:p w:rsidR="00DD297A" w:rsidRPr="007C51D6" w:rsidRDefault="00DD297A" w:rsidP="00DD297A">
            <w:pPr>
              <w:spacing w:line="233" w:lineRule="auto"/>
              <w:jc w:val="center"/>
              <w:rPr>
                <w:color w:val="000000"/>
                <w:sz w:val="20"/>
                <w:szCs w:val="20"/>
              </w:rPr>
            </w:pPr>
            <w:r w:rsidRPr="007C51D6">
              <w:rPr>
                <w:color w:val="000000"/>
                <w:sz w:val="20"/>
                <w:szCs w:val="20"/>
              </w:rPr>
              <w:t>160</w:t>
            </w:r>
          </w:p>
        </w:tc>
        <w:tc>
          <w:tcPr>
            <w:tcW w:w="925" w:type="dxa"/>
          </w:tcPr>
          <w:p w:rsidR="00DD297A" w:rsidRPr="007C51D6" w:rsidRDefault="00DD297A" w:rsidP="00DD297A">
            <w:pPr>
              <w:spacing w:line="233" w:lineRule="auto"/>
              <w:jc w:val="center"/>
              <w:rPr>
                <w:color w:val="000000"/>
                <w:sz w:val="20"/>
                <w:szCs w:val="20"/>
              </w:rPr>
            </w:pPr>
            <w:r w:rsidRPr="007C51D6">
              <w:rPr>
                <w:color w:val="000000"/>
                <w:sz w:val="20"/>
                <w:szCs w:val="20"/>
              </w:rPr>
              <w:t>163</w:t>
            </w:r>
          </w:p>
        </w:tc>
        <w:tc>
          <w:tcPr>
            <w:tcW w:w="925" w:type="dxa"/>
          </w:tcPr>
          <w:p w:rsidR="00DD297A" w:rsidRPr="007C51D6" w:rsidRDefault="00DD297A" w:rsidP="00DD297A">
            <w:pPr>
              <w:spacing w:line="233" w:lineRule="auto"/>
              <w:jc w:val="center"/>
              <w:rPr>
                <w:color w:val="000000"/>
                <w:sz w:val="20"/>
                <w:szCs w:val="20"/>
              </w:rPr>
            </w:pPr>
            <w:r w:rsidRPr="007C51D6">
              <w:rPr>
                <w:color w:val="000000"/>
                <w:sz w:val="20"/>
                <w:szCs w:val="20"/>
              </w:rPr>
              <w:t>172</w:t>
            </w:r>
          </w:p>
        </w:tc>
        <w:tc>
          <w:tcPr>
            <w:tcW w:w="925" w:type="dxa"/>
          </w:tcPr>
          <w:p w:rsidR="00DD297A" w:rsidRPr="007C51D6" w:rsidRDefault="00DD297A" w:rsidP="00DD297A">
            <w:pPr>
              <w:spacing w:line="233" w:lineRule="auto"/>
              <w:jc w:val="center"/>
              <w:rPr>
                <w:color w:val="000000"/>
                <w:sz w:val="20"/>
                <w:szCs w:val="20"/>
              </w:rPr>
            </w:pPr>
            <w:r w:rsidRPr="007C51D6">
              <w:rPr>
                <w:color w:val="000000"/>
                <w:sz w:val="20"/>
                <w:szCs w:val="20"/>
              </w:rPr>
              <w:t>180</w:t>
            </w:r>
          </w:p>
        </w:tc>
        <w:tc>
          <w:tcPr>
            <w:tcW w:w="925" w:type="dxa"/>
          </w:tcPr>
          <w:p w:rsidR="00DD297A" w:rsidRPr="007C51D6" w:rsidRDefault="00DD297A" w:rsidP="00DD297A">
            <w:pPr>
              <w:spacing w:line="233" w:lineRule="auto"/>
              <w:jc w:val="center"/>
              <w:rPr>
                <w:color w:val="000000"/>
                <w:sz w:val="20"/>
                <w:szCs w:val="20"/>
              </w:rPr>
            </w:pPr>
            <w:r w:rsidRPr="007C51D6">
              <w:rPr>
                <w:color w:val="000000"/>
                <w:sz w:val="20"/>
                <w:szCs w:val="20"/>
              </w:rPr>
              <w:t>176</w:t>
            </w:r>
          </w:p>
        </w:tc>
        <w:tc>
          <w:tcPr>
            <w:tcW w:w="925" w:type="dxa"/>
          </w:tcPr>
          <w:p w:rsidR="00DD297A" w:rsidRPr="007C51D6" w:rsidRDefault="00DD297A" w:rsidP="00DD297A">
            <w:pPr>
              <w:spacing w:line="233" w:lineRule="auto"/>
              <w:jc w:val="center"/>
              <w:rPr>
                <w:color w:val="000000"/>
                <w:sz w:val="20"/>
                <w:szCs w:val="20"/>
              </w:rPr>
            </w:pPr>
            <w:r w:rsidRPr="007C51D6">
              <w:rPr>
                <w:color w:val="000000"/>
                <w:sz w:val="20"/>
                <w:szCs w:val="20"/>
              </w:rPr>
              <w:t>184</w:t>
            </w:r>
          </w:p>
        </w:tc>
        <w:tc>
          <w:tcPr>
            <w:tcW w:w="925" w:type="dxa"/>
          </w:tcPr>
          <w:p w:rsidR="00DD297A" w:rsidRPr="007C51D6" w:rsidRDefault="00DD297A" w:rsidP="00DD297A">
            <w:pPr>
              <w:spacing w:line="233" w:lineRule="auto"/>
              <w:jc w:val="center"/>
              <w:rPr>
                <w:color w:val="000000"/>
                <w:sz w:val="20"/>
                <w:szCs w:val="20"/>
              </w:rPr>
            </w:pPr>
            <w:r w:rsidRPr="007C51D6">
              <w:rPr>
                <w:color w:val="000000"/>
                <w:sz w:val="20"/>
                <w:szCs w:val="20"/>
              </w:rPr>
              <w:t>194</w:t>
            </w:r>
          </w:p>
        </w:tc>
        <w:tc>
          <w:tcPr>
            <w:tcW w:w="925" w:type="dxa"/>
          </w:tcPr>
          <w:p w:rsidR="00DD297A" w:rsidRPr="007C51D6" w:rsidRDefault="00DD297A" w:rsidP="00DD297A">
            <w:pPr>
              <w:spacing w:line="233" w:lineRule="auto"/>
              <w:jc w:val="center"/>
              <w:rPr>
                <w:color w:val="000000"/>
                <w:sz w:val="20"/>
                <w:szCs w:val="20"/>
              </w:rPr>
            </w:pPr>
            <w:r w:rsidRPr="007C51D6">
              <w:rPr>
                <w:color w:val="000000"/>
                <w:sz w:val="20"/>
                <w:szCs w:val="20"/>
              </w:rPr>
              <w:t>210</w:t>
            </w:r>
          </w:p>
        </w:tc>
        <w:tc>
          <w:tcPr>
            <w:tcW w:w="926" w:type="dxa"/>
          </w:tcPr>
          <w:p w:rsidR="00DD297A" w:rsidRPr="007C51D6" w:rsidRDefault="00DD297A" w:rsidP="00DD297A">
            <w:pPr>
              <w:spacing w:line="233" w:lineRule="auto"/>
              <w:jc w:val="center"/>
              <w:rPr>
                <w:color w:val="000000"/>
                <w:sz w:val="20"/>
                <w:szCs w:val="20"/>
              </w:rPr>
            </w:pPr>
            <w:r w:rsidRPr="007C51D6">
              <w:rPr>
                <w:color w:val="000000"/>
                <w:sz w:val="20"/>
                <w:szCs w:val="20"/>
              </w:rPr>
              <w:t>210</w:t>
            </w:r>
          </w:p>
        </w:tc>
        <w:tc>
          <w:tcPr>
            <w:tcW w:w="926" w:type="dxa"/>
            <w:vAlign w:val="center"/>
          </w:tcPr>
          <w:p w:rsidR="00DD297A" w:rsidRPr="007C51D6" w:rsidRDefault="00DD297A" w:rsidP="00DD297A">
            <w:pPr>
              <w:jc w:val="center"/>
              <w:rPr>
                <w:color w:val="000000"/>
                <w:sz w:val="20"/>
                <w:szCs w:val="20"/>
              </w:rPr>
            </w:pPr>
            <w:r w:rsidRPr="007C51D6">
              <w:rPr>
                <w:color w:val="000000"/>
                <w:sz w:val="20"/>
                <w:szCs w:val="20"/>
              </w:rPr>
              <w:t>220</w:t>
            </w:r>
          </w:p>
        </w:tc>
      </w:tr>
      <w:tr w:rsidR="00A05467" w:rsidRPr="007C51D6" w:rsidTr="00A05467">
        <w:tblPrEx>
          <w:tblBorders>
            <w:bottom w:val="single" w:sz="4" w:space="0" w:color="auto"/>
          </w:tblBorders>
        </w:tblPrEx>
        <w:trPr>
          <w:trHeight w:val="20"/>
        </w:trPr>
        <w:tc>
          <w:tcPr>
            <w:tcW w:w="4531" w:type="dxa"/>
          </w:tcPr>
          <w:p w:rsidR="00A05467" w:rsidRPr="007C51D6" w:rsidRDefault="00A05467" w:rsidP="00A05467">
            <w:pPr>
              <w:autoSpaceDE/>
              <w:autoSpaceDN/>
              <w:adjustRightInd/>
              <w:spacing w:line="233" w:lineRule="auto"/>
              <w:jc w:val="both"/>
              <w:rPr>
                <w:rFonts w:eastAsia="Arial"/>
                <w:sz w:val="20"/>
                <w:szCs w:val="22"/>
              </w:rPr>
            </w:pPr>
            <w:r w:rsidRPr="007C51D6">
              <w:rPr>
                <w:rFonts w:eastAsia="Arial"/>
                <w:sz w:val="20"/>
                <w:szCs w:val="22"/>
              </w:rPr>
              <w:t>Карцинома in situ других и неуточненных органов пищеварения</w:t>
            </w:r>
          </w:p>
        </w:tc>
        <w:tc>
          <w:tcPr>
            <w:tcW w:w="1376" w:type="dxa"/>
          </w:tcPr>
          <w:p w:rsidR="00A05467" w:rsidRPr="007C51D6" w:rsidRDefault="00A05467" w:rsidP="00A05467">
            <w:pPr>
              <w:autoSpaceDE/>
              <w:autoSpaceDN/>
              <w:adjustRightInd/>
              <w:spacing w:line="233" w:lineRule="auto"/>
              <w:rPr>
                <w:rFonts w:eastAsia="Arial"/>
                <w:sz w:val="20"/>
                <w:szCs w:val="22"/>
              </w:rPr>
            </w:pPr>
            <w:r w:rsidRPr="007C51D6">
              <w:rPr>
                <w:rFonts w:eastAsia="Arial"/>
                <w:sz w:val="20"/>
                <w:szCs w:val="22"/>
              </w:rPr>
              <w:t xml:space="preserve">D01: </w:t>
            </w:r>
          </w:p>
          <w:p w:rsidR="00A05467" w:rsidRPr="007C51D6" w:rsidRDefault="00A05467" w:rsidP="00A05467">
            <w:pPr>
              <w:autoSpaceDE/>
              <w:autoSpaceDN/>
              <w:adjustRightInd/>
              <w:spacing w:line="233" w:lineRule="auto"/>
              <w:rPr>
                <w:rFonts w:eastAsia="Arial"/>
                <w:sz w:val="20"/>
                <w:szCs w:val="20"/>
                <w:lang w:val="en-US"/>
              </w:rPr>
            </w:pPr>
            <w:r w:rsidRPr="007C51D6">
              <w:rPr>
                <w:rFonts w:eastAsia="Arial"/>
                <w:sz w:val="20"/>
                <w:szCs w:val="22"/>
              </w:rPr>
              <w:t>C17 – C26</w:t>
            </w:r>
          </w:p>
        </w:tc>
        <w:tc>
          <w:tcPr>
            <w:tcW w:w="925" w:type="dxa"/>
          </w:tcPr>
          <w:p w:rsidR="00A05467" w:rsidRPr="007C51D6" w:rsidRDefault="00A05467" w:rsidP="00A05467">
            <w:pPr>
              <w:spacing w:line="233" w:lineRule="auto"/>
              <w:jc w:val="center"/>
              <w:rPr>
                <w:color w:val="000000"/>
                <w:sz w:val="22"/>
                <w:szCs w:val="22"/>
              </w:rPr>
            </w:pPr>
            <w:r w:rsidRPr="007C51D6">
              <w:rPr>
                <w:color w:val="000000"/>
                <w:sz w:val="22"/>
                <w:szCs w:val="22"/>
              </w:rPr>
              <w:t>124</w:t>
            </w:r>
          </w:p>
        </w:tc>
        <w:tc>
          <w:tcPr>
            <w:tcW w:w="925" w:type="dxa"/>
          </w:tcPr>
          <w:p w:rsidR="00A05467" w:rsidRPr="007C51D6" w:rsidRDefault="00A05467" w:rsidP="00A05467">
            <w:pPr>
              <w:spacing w:line="233" w:lineRule="auto"/>
              <w:jc w:val="center"/>
              <w:rPr>
                <w:color w:val="000000"/>
                <w:sz w:val="22"/>
                <w:szCs w:val="22"/>
              </w:rPr>
            </w:pPr>
            <w:r w:rsidRPr="007C51D6">
              <w:rPr>
                <w:color w:val="000000"/>
                <w:sz w:val="22"/>
                <w:szCs w:val="22"/>
              </w:rPr>
              <w:t>172</w:t>
            </w:r>
          </w:p>
        </w:tc>
        <w:tc>
          <w:tcPr>
            <w:tcW w:w="925" w:type="dxa"/>
          </w:tcPr>
          <w:p w:rsidR="00A05467" w:rsidRPr="007C51D6" w:rsidRDefault="00A05467" w:rsidP="00A05467">
            <w:pPr>
              <w:spacing w:line="233" w:lineRule="auto"/>
              <w:jc w:val="center"/>
              <w:rPr>
                <w:color w:val="000000"/>
                <w:sz w:val="22"/>
                <w:szCs w:val="22"/>
              </w:rPr>
            </w:pPr>
            <w:r w:rsidRPr="007C51D6">
              <w:rPr>
                <w:color w:val="000000"/>
                <w:sz w:val="22"/>
                <w:szCs w:val="22"/>
              </w:rPr>
              <w:t>236</w:t>
            </w:r>
          </w:p>
        </w:tc>
        <w:tc>
          <w:tcPr>
            <w:tcW w:w="925" w:type="dxa"/>
          </w:tcPr>
          <w:p w:rsidR="00A05467" w:rsidRPr="007C51D6" w:rsidRDefault="00A05467" w:rsidP="00A05467">
            <w:pPr>
              <w:spacing w:line="233" w:lineRule="auto"/>
              <w:jc w:val="center"/>
              <w:rPr>
                <w:color w:val="000000"/>
                <w:sz w:val="22"/>
                <w:szCs w:val="22"/>
              </w:rPr>
            </w:pPr>
            <w:r w:rsidRPr="007C51D6">
              <w:rPr>
                <w:color w:val="000000"/>
                <w:sz w:val="22"/>
                <w:szCs w:val="22"/>
              </w:rPr>
              <w:t>297</w:t>
            </w:r>
          </w:p>
        </w:tc>
        <w:tc>
          <w:tcPr>
            <w:tcW w:w="925" w:type="dxa"/>
          </w:tcPr>
          <w:p w:rsidR="00A05467" w:rsidRPr="007C51D6" w:rsidRDefault="00A05467" w:rsidP="00A05467">
            <w:pPr>
              <w:spacing w:line="233" w:lineRule="auto"/>
              <w:jc w:val="center"/>
              <w:rPr>
                <w:color w:val="000000"/>
                <w:sz w:val="22"/>
                <w:szCs w:val="22"/>
              </w:rPr>
            </w:pPr>
            <w:r w:rsidRPr="007C51D6">
              <w:rPr>
                <w:color w:val="000000"/>
                <w:sz w:val="22"/>
                <w:szCs w:val="22"/>
              </w:rPr>
              <w:t>338</w:t>
            </w:r>
          </w:p>
        </w:tc>
        <w:tc>
          <w:tcPr>
            <w:tcW w:w="925" w:type="dxa"/>
          </w:tcPr>
          <w:p w:rsidR="00A05467" w:rsidRPr="007C51D6" w:rsidRDefault="00A05467" w:rsidP="00A05467">
            <w:pPr>
              <w:spacing w:line="233" w:lineRule="auto"/>
              <w:jc w:val="center"/>
              <w:rPr>
                <w:color w:val="000000"/>
                <w:sz w:val="22"/>
                <w:szCs w:val="22"/>
              </w:rPr>
            </w:pPr>
            <w:r w:rsidRPr="007C51D6">
              <w:rPr>
                <w:color w:val="000000"/>
                <w:sz w:val="22"/>
                <w:szCs w:val="22"/>
              </w:rPr>
              <w:t>418</w:t>
            </w:r>
          </w:p>
        </w:tc>
        <w:tc>
          <w:tcPr>
            <w:tcW w:w="925" w:type="dxa"/>
          </w:tcPr>
          <w:p w:rsidR="00A05467" w:rsidRPr="007C51D6" w:rsidRDefault="00A05467" w:rsidP="00A05467">
            <w:pPr>
              <w:spacing w:line="233" w:lineRule="auto"/>
              <w:jc w:val="center"/>
              <w:rPr>
                <w:color w:val="000000"/>
                <w:sz w:val="22"/>
                <w:szCs w:val="22"/>
              </w:rPr>
            </w:pPr>
            <w:r w:rsidRPr="007C51D6">
              <w:rPr>
                <w:color w:val="000000"/>
                <w:sz w:val="22"/>
                <w:szCs w:val="22"/>
              </w:rPr>
              <w:t>481</w:t>
            </w:r>
          </w:p>
        </w:tc>
        <w:tc>
          <w:tcPr>
            <w:tcW w:w="925" w:type="dxa"/>
          </w:tcPr>
          <w:p w:rsidR="00A05467" w:rsidRPr="007C51D6" w:rsidRDefault="00A05467" w:rsidP="00A05467">
            <w:pPr>
              <w:spacing w:line="233" w:lineRule="auto"/>
              <w:jc w:val="center"/>
              <w:rPr>
                <w:color w:val="000000"/>
                <w:sz w:val="22"/>
                <w:szCs w:val="22"/>
              </w:rPr>
            </w:pPr>
            <w:r w:rsidRPr="007C51D6">
              <w:rPr>
                <w:color w:val="000000"/>
                <w:sz w:val="22"/>
                <w:szCs w:val="22"/>
              </w:rPr>
              <w:t>572</w:t>
            </w:r>
          </w:p>
        </w:tc>
        <w:tc>
          <w:tcPr>
            <w:tcW w:w="926" w:type="dxa"/>
          </w:tcPr>
          <w:p w:rsidR="00A05467" w:rsidRPr="007C51D6" w:rsidRDefault="00A05467" w:rsidP="00A05467">
            <w:pPr>
              <w:spacing w:line="233" w:lineRule="auto"/>
              <w:jc w:val="center"/>
              <w:rPr>
                <w:color w:val="000000"/>
                <w:sz w:val="22"/>
                <w:szCs w:val="22"/>
              </w:rPr>
            </w:pPr>
            <w:r w:rsidRPr="007C51D6">
              <w:rPr>
                <w:color w:val="000000"/>
                <w:sz w:val="22"/>
                <w:szCs w:val="22"/>
              </w:rPr>
              <w:t>692</w:t>
            </w:r>
          </w:p>
        </w:tc>
        <w:tc>
          <w:tcPr>
            <w:tcW w:w="926" w:type="dxa"/>
          </w:tcPr>
          <w:p w:rsidR="00A05467" w:rsidRPr="007C51D6" w:rsidRDefault="00DD297A" w:rsidP="00A05467">
            <w:pPr>
              <w:spacing w:line="233" w:lineRule="auto"/>
              <w:jc w:val="center"/>
              <w:rPr>
                <w:color w:val="000000"/>
                <w:sz w:val="22"/>
                <w:szCs w:val="22"/>
              </w:rPr>
            </w:pPr>
            <w:r w:rsidRPr="007C51D6">
              <w:rPr>
                <w:color w:val="000000"/>
                <w:sz w:val="22"/>
                <w:szCs w:val="22"/>
              </w:rPr>
              <w:t>828</w:t>
            </w:r>
          </w:p>
        </w:tc>
      </w:tr>
      <w:tr w:rsidR="00A05467" w:rsidRPr="007C51D6" w:rsidTr="00A05467">
        <w:tblPrEx>
          <w:tblBorders>
            <w:bottom w:val="single" w:sz="4" w:space="0" w:color="auto"/>
          </w:tblBorders>
        </w:tblPrEx>
        <w:trPr>
          <w:trHeight w:val="20"/>
        </w:trPr>
        <w:tc>
          <w:tcPr>
            <w:tcW w:w="4531" w:type="dxa"/>
          </w:tcPr>
          <w:p w:rsidR="00A05467" w:rsidRPr="007C51D6" w:rsidRDefault="00A05467" w:rsidP="00A05467">
            <w:pPr>
              <w:autoSpaceDE/>
              <w:autoSpaceDN/>
              <w:adjustRightInd/>
              <w:spacing w:line="233" w:lineRule="auto"/>
              <w:jc w:val="both"/>
              <w:rPr>
                <w:rFonts w:eastAsia="Arial"/>
                <w:sz w:val="20"/>
                <w:szCs w:val="22"/>
              </w:rPr>
            </w:pPr>
            <w:r w:rsidRPr="007C51D6">
              <w:rPr>
                <w:rFonts w:eastAsia="Arial"/>
                <w:sz w:val="20"/>
                <w:szCs w:val="22"/>
              </w:rPr>
              <w:t xml:space="preserve">Карцинома in situ среднего уха и органов дыхания </w:t>
            </w:r>
          </w:p>
        </w:tc>
        <w:tc>
          <w:tcPr>
            <w:tcW w:w="1376" w:type="dxa"/>
          </w:tcPr>
          <w:p w:rsidR="00A05467" w:rsidRPr="007C51D6" w:rsidRDefault="00A05467" w:rsidP="00A05467">
            <w:pPr>
              <w:autoSpaceDE/>
              <w:autoSpaceDN/>
              <w:adjustRightInd/>
              <w:spacing w:line="233" w:lineRule="auto"/>
              <w:rPr>
                <w:rFonts w:eastAsia="Arial"/>
                <w:sz w:val="20"/>
                <w:szCs w:val="22"/>
              </w:rPr>
            </w:pPr>
            <w:r w:rsidRPr="007C51D6">
              <w:rPr>
                <w:rFonts w:eastAsia="Arial"/>
                <w:sz w:val="20"/>
                <w:szCs w:val="22"/>
              </w:rPr>
              <w:t xml:space="preserve">D02: </w:t>
            </w:r>
          </w:p>
          <w:p w:rsidR="00A05467" w:rsidRPr="007C51D6" w:rsidRDefault="00A05467" w:rsidP="00A05467">
            <w:pPr>
              <w:autoSpaceDE/>
              <w:autoSpaceDN/>
              <w:adjustRightInd/>
              <w:spacing w:line="233" w:lineRule="auto"/>
              <w:rPr>
                <w:rFonts w:eastAsia="Arial"/>
                <w:sz w:val="20"/>
                <w:szCs w:val="20"/>
                <w:lang w:val="en-US"/>
              </w:rPr>
            </w:pPr>
            <w:r w:rsidRPr="007C51D6">
              <w:rPr>
                <w:rFonts w:eastAsia="Arial"/>
                <w:sz w:val="20"/>
                <w:szCs w:val="22"/>
              </w:rPr>
              <w:t>C30 – C34</w:t>
            </w:r>
          </w:p>
        </w:tc>
        <w:tc>
          <w:tcPr>
            <w:tcW w:w="925" w:type="dxa"/>
          </w:tcPr>
          <w:p w:rsidR="00A05467" w:rsidRPr="007C51D6" w:rsidRDefault="00A05467" w:rsidP="00A05467">
            <w:pPr>
              <w:spacing w:line="233" w:lineRule="auto"/>
              <w:jc w:val="center"/>
              <w:rPr>
                <w:color w:val="000000"/>
                <w:sz w:val="22"/>
                <w:szCs w:val="22"/>
              </w:rPr>
            </w:pPr>
            <w:r w:rsidRPr="007C51D6">
              <w:rPr>
                <w:color w:val="000000"/>
                <w:sz w:val="22"/>
                <w:szCs w:val="22"/>
              </w:rPr>
              <w:t>95</w:t>
            </w:r>
          </w:p>
        </w:tc>
        <w:tc>
          <w:tcPr>
            <w:tcW w:w="925" w:type="dxa"/>
          </w:tcPr>
          <w:p w:rsidR="00A05467" w:rsidRPr="007C51D6" w:rsidRDefault="00A05467" w:rsidP="00A05467">
            <w:pPr>
              <w:spacing w:line="233" w:lineRule="auto"/>
              <w:jc w:val="center"/>
              <w:rPr>
                <w:color w:val="000000"/>
                <w:sz w:val="22"/>
                <w:szCs w:val="22"/>
              </w:rPr>
            </w:pPr>
            <w:r w:rsidRPr="007C51D6">
              <w:rPr>
                <w:color w:val="000000"/>
                <w:sz w:val="22"/>
                <w:szCs w:val="22"/>
              </w:rPr>
              <w:t>100</w:t>
            </w:r>
          </w:p>
        </w:tc>
        <w:tc>
          <w:tcPr>
            <w:tcW w:w="925" w:type="dxa"/>
          </w:tcPr>
          <w:p w:rsidR="00A05467" w:rsidRPr="007C51D6" w:rsidRDefault="00A05467" w:rsidP="00A05467">
            <w:pPr>
              <w:spacing w:line="233" w:lineRule="auto"/>
              <w:jc w:val="center"/>
              <w:rPr>
                <w:color w:val="000000"/>
                <w:sz w:val="22"/>
                <w:szCs w:val="22"/>
              </w:rPr>
            </w:pPr>
            <w:r w:rsidRPr="007C51D6">
              <w:rPr>
                <w:color w:val="000000"/>
                <w:sz w:val="22"/>
                <w:szCs w:val="22"/>
              </w:rPr>
              <w:t>106</w:t>
            </w:r>
          </w:p>
        </w:tc>
        <w:tc>
          <w:tcPr>
            <w:tcW w:w="925" w:type="dxa"/>
          </w:tcPr>
          <w:p w:rsidR="00A05467" w:rsidRPr="007C51D6" w:rsidRDefault="00A05467" w:rsidP="00A05467">
            <w:pPr>
              <w:spacing w:line="233" w:lineRule="auto"/>
              <w:jc w:val="center"/>
              <w:rPr>
                <w:color w:val="000000"/>
                <w:sz w:val="22"/>
                <w:szCs w:val="22"/>
              </w:rPr>
            </w:pPr>
            <w:r w:rsidRPr="007C51D6">
              <w:rPr>
                <w:color w:val="000000"/>
                <w:sz w:val="22"/>
                <w:szCs w:val="22"/>
              </w:rPr>
              <w:t>121</w:t>
            </w:r>
          </w:p>
        </w:tc>
        <w:tc>
          <w:tcPr>
            <w:tcW w:w="925" w:type="dxa"/>
          </w:tcPr>
          <w:p w:rsidR="00A05467" w:rsidRPr="007C51D6" w:rsidRDefault="00A05467" w:rsidP="00A05467">
            <w:pPr>
              <w:spacing w:line="233" w:lineRule="auto"/>
              <w:jc w:val="center"/>
              <w:rPr>
                <w:color w:val="000000"/>
                <w:sz w:val="22"/>
                <w:szCs w:val="22"/>
              </w:rPr>
            </w:pPr>
            <w:r w:rsidRPr="007C51D6">
              <w:rPr>
                <w:color w:val="000000"/>
                <w:sz w:val="22"/>
                <w:szCs w:val="22"/>
              </w:rPr>
              <w:t>116</w:t>
            </w:r>
          </w:p>
        </w:tc>
        <w:tc>
          <w:tcPr>
            <w:tcW w:w="925" w:type="dxa"/>
          </w:tcPr>
          <w:p w:rsidR="00A05467" w:rsidRPr="007C51D6" w:rsidRDefault="00A05467" w:rsidP="00A05467">
            <w:pPr>
              <w:spacing w:line="233" w:lineRule="auto"/>
              <w:jc w:val="center"/>
              <w:rPr>
                <w:color w:val="000000"/>
                <w:sz w:val="22"/>
                <w:szCs w:val="22"/>
              </w:rPr>
            </w:pPr>
            <w:r w:rsidRPr="007C51D6">
              <w:rPr>
                <w:color w:val="000000"/>
                <w:sz w:val="22"/>
                <w:szCs w:val="22"/>
              </w:rPr>
              <w:t>112</w:t>
            </w:r>
          </w:p>
        </w:tc>
        <w:tc>
          <w:tcPr>
            <w:tcW w:w="925" w:type="dxa"/>
          </w:tcPr>
          <w:p w:rsidR="00A05467" w:rsidRPr="007C51D6" w:rsidRDefault="00A05467" w:rsidP="00A05467">
            <w:pPr>
              <w:spacing w:line="233" w:lineRule="auto"/>
              <w:jc w:val="center"/>
              <w:rPr>
                <w:color w:val="000000"/>
                <w:sz w:val="22"/>
                <w:szCs w:val="22"/>
              </w:rPr>
            </w:pPr>
            <w:r w:rsidRPr="007C51D6">
              <w:rPr>
                <w:color w:val="000000"/>
                <w:sz w:val="22"/>
                <w:szCs w:val="22"/>
              </w:rPr>
              <w:t>111</w:t>
            </w:r>
          </w:p>
        </w:tc>
        <w:tc>
          <w:tcPr>
            <w:tcW w:w="925" w:type="dxa"/>
          </w:tcPr>
          <w:p w:rsidR="00A05467" w:rsidRPr="007C51D6" w:rsidRDefault="00A05467" w:rsidP="00A05467">
            <w:pPr>
              <w:spacing w:line="233" w:lineRule="auto"/>
              <w:jc w:val="center"/>
              <w:rPr>
                <w:color w:val="000000"/>
                <w:sz w:val="22"/>
                <w:szCs w:val="22"/>
              </w:rPr>
            </w:pPr>
            <w:r w:rsidRPr="007C51D6">
              <w:rPr>
                <w:color w:val="000000"/>
                <w:sz w:val="22"/>
                <w:szCs w:val="22"/>
              </w:rPr>
              <w:t>119</w:t>
            </w:r>
          </w:p>
        </w:tc>
        <w:tc>
          <w:tcPr>
            <w:tcW w:w="926" w:type="dxa"/>
          </w:tcPr>
          <w:p w:rsidR="00A05467" w:rsidRPr="007C51D6" w:rsidRDefault="00A05467" w:rsidP="00A05467">
            <w:pPr>
              <w:spacing w:line="233" w:lineRule="auto"/>
              <w:jc w:val="center"/>
              <w:rPr>
                <w:color w:val="000000"/>
                <w:sz w:val="22"/>
                <w:szCs w:val="22"/>
              </w:rPr>
            </w:pPr>
            <w:r w:rsidRPr="007C51D6">
              <w:rPr>
                <w:color w:val="000000"/>
                <w:sz w:val="22"/>
                <w:szCs w:val="22"/>
              </w:rPr>
              <w:t>130</w:t>
            </w:r>
          </w:p>
        </w:tc>
        <w:tc>
          <w:tcPr>
            <w:tcW w:w="926" w:type="dxa"/>
          </w:tcPr>
          <w:p w:rsidR="00A05467" w:rsidRPr="007C51D6" w:rsidRDefault="00DD297A" w:rsidP="00A05467">
            <w:pPr>
              <w:spacing w:line="233" w:lineRule="auto"/>
              <w:jc w:val="center"/>
              <w:rPr>
                <w:color w:val="000000"/>
                <w:sz w:val="22"/>
                <w:szCs w:val="22"/>
              </w:rPr>
            </w:pPr>
            <w:r w:rsidRPr="007C51D6">
              <w:rPr>
                <w:color w:val="000000"/>
                <w:sz w:val="22"/>
                <w:szCs w:val="22"/>
              </w:rPr>
              <w:t>143</w:t>
            </w:r>
          </w:p>
        </w:tc>
      </w:tr>
      <w:tr w:rsidR="00A05467" w:rsidRPr="007C51D6" w:rsidTr="00A05467">
        <w:tblPrEx>
          <w:tblBorders>
            <w:bottom w:val="single" w:sz="4" w:space="0" w:color="auto"/>
          </w:tblBorders>
        </w:tblPrEx>
        <w:trPr>
          <w:trHeight w:val="20"/>
        </w:trPr>
        <w:tc>
          <w:tcPr>
            <w:tcW w:w="4531" w:type="dxa"/>
          </w:tcPr>
          <w:p w:rsidR="00A05467" w:rsidRPr="007C51D6" w:rsidRDefault="00A05467" w:rsidP="00A05467">
            <w:pPr>
              <w:autoSpaceDE/>
              <w:autoSpaceDN/>
              <w:adjustRightInd/>
              <w:spacing w:line="233" w:lineRule="auto"/>
              <w:jc w:val="both"/>
              <w:rPr>
                <w:rFonts w:eastAsia="Arial"/>
                <w:sz w:val="20"/>
                <w:szCs w:val="22"/>
              </w:rPr>
            </w:pPr>
            <w:r w:rsidRPr="007C51D6">
              <w:rPr>
                <w:rFonts w:eastAsia="Arial"/>
                <w:sz w:val="20"/>
                <w:szCs w:val="22"/>
              </w:rPr>
              <w:t>Меланома in situ</w:t>
            </w:r>
          </w:p>
        </w:tc>
        <w:tc>
          <w:tcPr>
            <w:tcW w:w="1376" w:type="dxa"/>
          </w:tcPr>
          <w:p w:rsidR="00A05467" w:rsidRPr="007C51D6" w:rsidRDefault="00A05467" w:rsidP="00A05467">
            <w:pPr>
              <w:autoSpaceDE/>
              <w:autoSpaceDN/>
              <w:adjustRightInd/>
              <w:spacing w:line="233" w:lineRule="auto"/>
              <w:rPr>
                <w:rFonts w:eastAsia="Arial"/>
                <w:sz w:val="20"/>
                <w:szCs w:val="20"/>
                <w:lang w:val="en-US"/>
              </w:rPr>
            </w:pPr>
            <w:r w:rsidRPr="007C51D6">
              <w:rPr>
                <w:rFonts w:eastAsia="Arial"/>
                <w:sz w:val="20"/>
                <w:szCs w:val="22"/>
              </w:rPr>
              <w:t>D03: C43</w:t>
            </w:r>
          </w:p>
        </w:tc>
        <w:tc>
          <w:tcPr>
            <w:tcW w:w="925" w:type="dxa"/>
          </w:tcPr>
          <w:p w:rsidR="00A05467" w:rsidRPr="007C51D6" w:rsidRDefault="00A05467" w:rsidP="00A05467">
            <w:pPr>
              <w:spacing w:line="233" w:lineRule="auto"/>
              <w:jc w:val="center"/>
              <w:rPr>
                <w:color w:val="000000"/>
                <w:sz w:val="22"/>
                <w:szCs w:val="22"/>
              </w:rPr>
            </w:pPr>
            <w:r w:rsidRPr="007C51D6">
              <w:rPr>
                <w:color w:val="000000"/>
                <w:sz w:val="22"/>
                <w:szCs w:val="22"/>
              </w:rPr>
              <w:t>23</w:t>
            </w:r>
          </w:p>
        </w:tc>
        <w:tc>
          <w:tcPr>
            <w:tcW w:w="925" w:type="dxa"/>
          </w:tcPr>
          <w:p w:rsidR="00A05467" w:rsidRPr="007C51D6" w:rsidRDefault="00A05467" w:rsidP="00A05467">
            <w:pPr>
              <w:spacing w:line="233" w:lineRule="auto"/>
              <w:jc w:val="center"/>
              <w:rPr>
                <w:color w:val="000000"/>
                <w:sz w:val="22"/>
                <w:szCs w:val="22"/>
              </w:rPr>
            </w:pPr>
            <w:r w:rsidRPr="007C51D6">
              <w:rPr>
                <w:color w:val="000000"/>
                <w:sz w:val="22"/>
                <w:szCs w:val="22"/>
              </w:rPr>
              <w:t>30</w:t>
            </w:r>
          </w:p>
        </w:tc>
        <w:tc>
          <w:tcPr>
            <w:tcW w:w="925" w:type="dxa"/>
          </w:tcPr>
          <w:p w:rsidR="00A05467" w:rsidRPr="007C51D6" w:rsidRDefault="00A05467" w:rsidP="00A05467">
            <w:pPr>
              <w:spacing w:line="233" w:lineRule="auto"/>
              <w:jc w:val="center"/>
              <w:rPr>
                <w:color w:val="000000"/>
                <w:sz w:val="22"/>
                <w:szCs w:val="22"/>
              </w:rPr>
            </w:pPr>
            <w:r w:rsidRPr="007C51D6">
              <w:rPr>
                <w:color w:val="000000"/>
                <w:sz w:val="22"/>
                <w:szCs w:val="22"/>
              </w:rPr>
              <w:t>36</w:t>
            </w:r>
          </w:p>
        </w:tc>
        <w:tc>
          <w:tcPr>
            <w:tcW w:w="925" w:type="dxa"/>
          </w:tcPr>
          <w:p w:rsidR="00A05467" w:rsidRPr="007C51D6" w:rsidRDefault="00A05467" w:rsidP="00A05467">
            <w:pPr>
              <w:spacing w:line="233" w:lineRule="auto"/>
              <w:jc w:val="center"/>
              <w:rPr>
                <w:color w:val="000000"/>
                <w:sz w:val="22"/>
                <w:szCs w:val="22"/>
              </w:rPr>
            </w:pPr>
            <w:r w:rsidRPr="007C51D6">
              <w:rPr>
                <w:color w:val="000000"/>
                <w:sz w:val="22"/>
                <w:szCs w:val="22"/>
              </w:rPr>
              <w:t>43</w:t>
            </w:r>
          </w:p>
        </w:tc>
        <w:tc>
          <w:tcPr>
            <w:tcW w:w="925" w:type="dxa"/>
          </w:tcPr>
          <w:p w:rsidR="00A05467" w:rsidRPr="007C51D6" w:rsidRDefault="00A05467" w:rsidP="00A05467">
            <w:pPr>
              <w:spacing w:line="233" w:lineRule="auto"/>
              <w:jc w:val="center"/>
              <w:rPr>
                <w:color w:val="000000"/>
                <w:sz w:val="22"/>
                <w:szCs w:val="22"/>
              </w:rPr>
            </w:pPr>
            <w:r w:rsidRPr="007C51D6">
              <w:rPr>
                <w:color w:val="000000"/>
                <w:sz w:val="22"/>
                <w:szCs w:val="22"/>
              </w:rPr>
              <w:t>46</w:t>
            </w:r>
          </w:p>
        </w:tc>
        <w:tc>
          <w:tcPr>
            <w:tcW w:w="925" w:type="dxa"/>
          </w:tcPr>
          <w:p w:rsidR="00A05467" w:rsidRPr="007C51D6" w:rsidRDefault="00A05467" w:rsidP="00A05467">
            <w:pPr>
              <w:spacing w:line="233" w:lineRule="auto"/>
              <w:jc w:val="center"/>
              <w:rPr>
                <w:color w:val="000000"/>
                <w:sz w:val="22"/>
                <w:szCs w:val="22"/>
              </w:rPr>
            </w:pPr>
            <w:r w:rsidRPr="007C51D6">
              <w:rPr>
                <w:color w:val="000000"/>
                <w:sz w:val="22"/>
                <w:szCs w:val="22"/>
              </w:rPr>
              <w:t>55</w:t>
            </w:r>
          </w:p>
        </w:tc>
        <w:tc>
          <w:tcPr>
            <w:tcW w:w="925" w:type="dxa"/>
          </w:tcPr>
          <w:p w:rsidR="00A05467" w:rsidRPr="007C51D6" w:rsidRDefault="00A05467" w:rsidP="00A05467">
            <w:pPr>
              <w:spacing w:line="233" w:lineRule="auto"/>
              <w:jc w:val="center"/>
              <w:rPr>
                <w:color w:val="000000"/>
                <w:sz w:val="22"/>
                <w:szCs w:val="22"/>
              </w:rPr>
            </w:pPr>
            <w:r w:rsidRPr="007C51D6">
              <w:rPr>
                <w:color w:val="000000"/>
                <w:sz w:val="22"/>
                <w:szCs w:val="22"/>
              </w:rPr>
              <w:t>64</w:t>
            </w:r>
          </w:p>
        </w:tc>
        <w:tc>
          <w:tcPr>
            <w:tcW w:w="925" w:type="dxa"/>
          </w:tcPr>
          <w:p w:rsidR="00A05467" w:rsidRPr="007C51D6" w:rsidRDefault="00A05467" w:rsidP="00A05467">
            <w:pPr>
              <w:spacing w:line="233" w:lineRule="auto"/>
              <w:jc w:val="center"/>
              <w:rPr>
                <w:color w:val="000000"/>
                <w:sz w:val="22"/>
                <w:szCs w:val="22"/>
              </w:rPr>
            </w:pPr>
            <w:r w:rsidRPr="007C51D6">
              <w:rPr>
                <w:color w:val="000000"/>
                <w:sz w:val="22"/>
                <w:szCs w:val="22"/>
              </w:rPr>
              <w:t>81</w:t>
            </w:r>
          </w:p>
        </w:tc>
        <w:tc>
          <w:tcPr>
            <w:tcW w:w="926" w:type="dxa"/>
          </w:tcPr>
          <w:p w:rsidR="00A05467" w:rsidRPr="007C51D6" w:rsidRDefault="00A05467" w:rsidP="00A05467">
            <w:pPr>
              <w:spacing w:line="233" w:lineRule="auto"/>
              <w:jc w:val="center"/>
              <w:rPr>
                <w:color w:val="000000"/>
                <w:sz w:val="22"/>
                <w:szCs w:val="22"/>
              </w:rPr>
            </w:pPr>
            <w:r w:rsidRPr="007C51D6">
              <w:rPr>
                <w:color w:val="000000"/>
                <w:sz w:val="22"/>
                <w:szCs w:val="22"/>
              </w:rPr>
              <w:t>87</w:t>
            </w:r>
          </w:p>
        </w:tc>
        <w:tc>
          <w:tcPr>
            <w:tcW w:w="926" w:type="dxa"/>
          </w:tcPr>
          <w:p w:rsidR="00A05467" w:rsidRPr="007C51D6" w:rsidRDefault="00DD297A" w:rsidP="00A05467">
            <w:pPr>
              <w:spacing w:line="233" w:lineRule="auto"/>
              <w:jc w:val="center"/>
              <w:rPr>
                <w:color w:val="000000"/>
                <w:sz w:val="22"/>
                <w:szCs w:val="22"/>
              </w:rPr>
            </w:pPr>
            <w:r w:rsidRPr="007C51D6">
              <w:rPr>
                <w:color w:val="000000"/>
                <w:sz w:val="22"/>
                <w:szCs w:val="22"/>
              </w:rPr>
              <w:t>106</w:t>
            </w:r>
          </w:p>
        </w:tc>
      </w:tr>
      <w:tr w:rsidR="00A05467" w:rsidRPr="007C51D6" w:rsidTr="00A05467">
        <w:tblPrEx>
          <w:tblBorders>
            <w:bottom w:val="single" w:sz="4" w:space="0" w:color="auto"/>
          </w:tblBorders>
        </w:tblPrEx>
        <w:trPr>
          <w:trHeight w:val="20"/>
        </w:trPr>
        <w:tc>
          <w:tcPr>
            <w:tcW w:w="4531" w:type="dxa"/>
          </w:tcPr>
          <w:p w:rsidR="00A05467" w:rsidRPr="007C51D6" w:rsidRDefault="00A05467" w:rsidP="00A05467">
            <w:pPr>
              <w:autoSpaceDE/>
              <w:autoSpaceDN/>
              <w:adjustRightInd/>
              <w:spacing w:line="233" w:lineRule="auto"/>
              <w:jc w:val="both"/>
              <w:rPr>
                <w:rFonts w:eastAsia="Arial"/>
                <w:sz w:val="20"/>
                <w:szCs w:val="22"/>
              </w:rPr>
            </w:pPr>
            <w:r w:rsidRPr="007C51D6">
              <w:rPr>
                <w:rFonts w:eastAsia="Arial"/>
                <w:sz w:val="20"/>
                <w:szCs w:val="22"/>
              </w:rPr>
              <w:t>Карцинома in situ кожи</w:t>
            </w:r>
          </w:p>
        </w:tc>
        <w:tc>
          <w:tcPr>
            <w:tcW w:w="1376" w:type="dxa"/>
          </w:tcPr>
          <w:p w:rsidR="00A05467" w:rsidRPr="007C51D6" w:rsidRDefault="00A05467" w:rsidP="00A05467">
            <w:pPr>
              <w:autoSpaceDE/>
              <w:autoSpaceDN/>
              <w:adjustRightInd/>
              <w:spacing w:line="233" w:lineRule="auto"/>
              <w:rPr>
                <w:rFonts w:eastAsia="Arial"/>
                <w:sz w:val="20"/>
                <w:szCs w:val="20"/>
                <w:lang w:val="en-US"/>
              </w:rPr>
            </w:pPr>
            <w:r w:rsidRPr="007C51D6">
              <w:rPr>
                <w:rFonts w:eastAsia="Arial"/>
                <w:sz w:val="20"/>
                <w:szCs w:val="22"/>
              </w:rPr>
              <w:t>D04: C44</w:t>
            </w:r>
          </w:p>
        </w:tc>
        <w:tc>
          <w:tcPr>
            <w:tcW w:w="925" w:type="dxa"/>
          </w:tcPr>
          <w:p w:rsidR="00A05467" w:rsidRPr="007C51D6" w:rsidRDefault="00A05467" w:rsidP="00A05467">
            <w:pPr>
              <w:spacing w:line="233" w:lineRule="auto"/>
              <w:jc w:val="center"/>
              <w:rPr>
                <w:color w:val="000000"/>
                <w:sz w:val="22"/>
                <w:szCs w:val="22"/>
              </w:rPr>
            </w:pPr>
            <w:r w:rsidRPr="007C51D6">
              <w:rPr>
                <w:color w:val="000000"/>
                <w:sz w:val="22"/>
                <w:szCs w:val="22"/>
              </w:rPr>
              <w:t>197</w:t>
            </w:r>
          </w:p>
        </w:tc>
        <w:tc>
          <w:tcPr>
            <w:tcW w:w="925" w:type="dxa"/>
          </w:tcPr>
          <w:p w:rsidR="00A05467" w:rsidRPr="007C51D6" w:rsidRDefault="00A05467" w:rsidP="00A05467">
            <w:pPr>
              <w:spacing w:line="233" w:lineRule="auto"/>
              <w:jc w:val="center"/>
              <w:rPr>
                <w:color w:val="000000"/>
                <w:sz w:val="22"/>
                <w:szCs w:val="22"/>
              </w:rPr>
            </w:pPr>
            <w:r w:rsidRPr="007C51D6">
              <w:rPr>
                <w:color w:val="000000"/>
                <w:sz w:val="22"/>
                <w:szCs w:val="22"/>
              </w:rPr>
              <w:t>215</w:t>
            </w:r>
          </w:p>
        </w:tc>
        <w:tc>
          <w:tcPr>
            <w:tcW w:w="925" w:type="dxa"/>
          </w:tcPr>
          <w:p w:rsidR="00A05467" w:rsidRPr="007C51D6" w:rsidRDefault="00A05467" w:rsidP="00A05467">
            <w:pPr>
              <w:spacing w:line="233" w:lineRule="auto"/>
              <w:jc w:val="center"/>
              <w:rPr>
                <w:color w:val="000000"/>
                <w:sz w:val="22"/>
                <w:szCs w:val="22"/>
              </w:rPr>
            </w:pPr>
            <w:r w:rsidRPr="007C51D6">
              <w:rPr>
                <w:color w:val="000000"/>
                <w:sz w:val="22"/>
                <w:szCs w:val="22"/>
              </w:rPr>
              <w:t>236</w:t>
            </w:r>
          </w:p>
        </w:tc>
        <w:tc>
          <w:tcPr>
            <w:tcW w:w="925" w:type="dxa"/>
          </w:tcPr>
          <w:p w:rsidR="00A05467" w:rsidRPr="007C51D6" w:rsidRDefault="00A05467" w:rsidP="00A05467">
            <w:pPr>
              <w:spacing w:line="233" w:lineRule="auto"/>
              <w:jc w:val="center"/>
              <w:rPr>
                <w:color w:val="000000"/>
                <w:sz w:val="22"/>
                <w:szCs w:val="22"/>
              </w:rPr>
            </w:pPr>
            <w:r w:rsidRPr="007C51D6">
              <w:rPr>
                <w:color w:val="000000"/>
                <w:sz w:val="22"/>
                <w:szCs w:val="22"/>
              </w:rPr>
              <w:t>254</w:t>
            </w:r>
          </w:p>
        </w:tc>
        <w:tc>
          <w:tcPr>
            <w:tcW w:w="925" w:type="dxa"/>
          </w:tcPr>
          <w:p w:rsidR="00A05467" w:rsidRPr="007C51D6" w:rsidRDefault="00A05467" w:rsidP="00A05467">
            <w:pPr>
              <w:spacing w:line="233" w:lineRule="auto"/>
              <w:jc w:val="center"/>
              <w:rPr>
                <w:color w:val="000000"/>
                <w:sz w:val="22"/>
                <w:szCs w:val="22"/>
              </w:rPr>
            </w:pPr>
            <w:r w:rsidRPr="007C51D6">
              <w:rPr>
                <w:color w:val="000000"/>
                <w:sz w:val="22"/>
                <w:szCs w:val="22"/>
              </w:rPr>
              <w:t>238</w:t>
            </w:r>
          </w:p>
        </w:tc>
        <w:tc>
          <w:tcPr>
            <w:tcW w:w="925" w:type="dxa"/>
          </w:tcPr>
          <w:p w:rsidR="00A05467" w:rsidRPr="007C51D6" w:rsidRDefault="00A05467" w:rsidP="00A05467">
            <w:pPr>
              <w:spacing w:line="233" w:lineRule="auto"/>
              <w:jc w:val="center"/>
              <w:rPr>
                <w:color w:val="000000"/>
                <w:sz w:val="22"/>
                <w:szCs w:val="22"/>
              </w:rPr>
            </w:pPr>
            <w:r w:rsidRPr="007C51D6">
              <w:rPr>
                <w:color w:val="000000"/>
                <w:sz w:val="22"/>
                <w:szCs w:val="22"/>
              </w:rPr>
              <w:t>228</w:t>
            </w:r>
          </w:p>
        </w:tc>
        <w:tc>
          <w:tcPr>
            <w:tcW w:w="925" w:type="dxa"/>
          </w:tcPr>
          <w:p w:rsidR="00A05467" w:rsidRPr="007C51D6" w:rsidRDefault="00A05467" w:rsidP="00A05467">
            <w:pPr>
              <w:spacing w:line="233" w:lineRule="auto"/>
              <w:jc w:val="center"/>
              <w:rPr>
                <w:color w:val="000000"/>
                <w:sz w:val="22"/>
                <w:szCs w:val="22"/>
              </w:rPr>
            </w:pPr>
            <w:r w:rsidRPr="007C51D6">
              <w:rPr>
                <w:color w:val="000000"/>
                <w:sz w:val="22"/>
                <w:szCs w:val="22"/>
              </w:rPr>
              <w:t>226</w:t>
            </w:r>
          </w:p>
        </w:tc>
        <w:tc>
          <w:tcPr>
            <w:tcW w:w="925" w:type="dxa"/>
          </w:tcPr>
          <w:p w:rsidR="00A05467" w:rsidRPr="007C51D6" w:rsidRDefault="00A05467" w:rsidP="00A05467">
            <w:pPr>
              <w:spacing w:line="233" w:lineRule="auto"/>
              <w:jc w:val="center"/>
              <w:rPr>
                <w:color w:val="000000"/>
                <w:sz w:val="22"/>
                <w:szCs w:val="22"/>
              </w:rPr>
            </w:pPr>
            <w:r w:rsidRPr="007C51D6">
              <w:rPr>
                <w:color w:val="000000"/>
                <w:sz w:val="22"/>
                <w:szCs w:val="22"/>
              </w:rPr>
              <w:t>252</w:t>
            </w:r>
          </w:p>
        </w:tc>
        <w:tc>
          <w:tcPr>
            <w:tcW w:w="926" w:type="dxa"/>
          </w:tcPr>
          <w:p w:rsidR="00A05467" w:rsidRPr="007C51D6" w:rsidRDefault="00A05467" w:rsidP="00A05467">
            <w:pPr>
              <w:spacing w:line="233" w:lineRule="auto"/>
              <w:jc w:val="center"/>
              <w:rPr>
                <w:color w:val="000000"/>
                <w:sz w:val="22"/>
                <w:szCs w:val="22"/>
              </w:rPr>
            </w:pPr>
            <w:r w:rsidRPr="007C51D6">
              <w:rPr>
                <w:color w:val="000000"/>
                <w:sz w:val="22"/>
                <w:szCs w:val="22"/>
              </w:rPr>
              <w:t>290</w:t>
            </w:r>
          </w:p>
        </w:tc>
        <w:tc>
          <w:tcPr>
            <w:tcW w:w="926" w:type="dxa"/>
          </w:tcPr>
          <w:p w:rsidR="00A05467" w:rsidRPr="007C51D6" w:rsidRDefault="00DD297A" w:rsidP="00A05467">
            <w:pPr>
              <w:spacing w:line="233" w:lineRule="auto"/>
              <w:jc w:val="center"/>
              <w:rPr>
                <w:color w:val="000000"/>
                <w:sz w:val="22"/>
                <w:szCs w:val="22"/>
              </w:rPr>
            </w:pPr>
            <w:r w:rsidRPr="007C51D6">
              <w:rPr>
                <w:color w:val="000000"/>
                <w:sz w:val="22"/>
                <w:szCs w:val="22"/>
              </w:rPr>
              <w:t>291</w:t>
            </w:r>
          </w:p>
        </w:tc>
      </w:tr>
      <w:tr w:rsidR="00A05467" w:rsidRPr="007C51D6" w:rsidTr="00A05467">
        <w:tblPrEx>
          <w:tblBorders>
            <w:bottom w:val="single" w:sz="4" w:space="0" w:color="auto"/>
          </w:tblBorders>
        </w:tblPrEx>
        <w:trPr>
          <w:trHeight w:val="20"/>
        </w:trPr>
        <w:tc>
          <w:tcPr>
            <w:tcW w:w="4531" w:type="dxa"/>
          </w:tcPr>
          <w:p w:rsidR="00A05467" w:rsidRPr="007C51D6" w:rsidRDefault="00A05467" w:rsidP="00A05467">
            <w:pPr>
              <w:autoSpaceDE/>
              <w:autoSpaceDN/>
              <w:adjustRightInd/>
              <w:spacing w:line="233" w:lineRule="auto"/>
              <w:jc w:val="both"/>
              <w:rPr>
                <w:rFonts w:eastAsia="Arial"/>
                <w:sz w:val="20"/>
                <w:szCs w:val="22"/>
              </w:rPr>
            </w:pPr>
            <w:r w:rsidRPr="007C51D6">
              <w:rPr>
                <w:rFonts w:eastAsia="Arial"/>
                <w:sz w:val="20"/>
                <w:szCs w:val="22"/>
              </w:rPr>
              <w:t>Карцинома in situ молочной железы</w:t>
            </w:r>
          </w:p>
        </w:tc>
        <w:tc>
          <w:tcPr>
            <w:tcW w:w="1376" w:type="dxa"/>
          </w:tcPr>
          <w:p w:rsidR="00A05467" w:rsidRPr="007C51D6" w:rsidRDefault="00A05467" w:rsidP="00A05467">
            <w:pPr>
              <w:autoSpaceDE/>
              <w:autoSpaceDN/>
              <w:adjustRightInd/>
              <w:spacing w:line="233" w:lineRule="auto"/>
              <w:rPr>
                <w:rFonts w:eastAsia="Arial"/>
                <w:sz w:val="20"/>
                <w:szCs w:val="22"/>
              </w:rPr>
            </w:pPr>
            <w:r w:rsidRPr="007C51D6">
              <w:rPr>
                <w:rFonts w:eastAsia="Arial"/>
                <w:sz w:val="20"/>
                <w:szCs w:val="22"/>
              </w:rPr>
              <w:t>D05: C50</w:t>
            </w:r>
          </w:p>
        </w:tc>
        <w:tc>
          <w:tcPr>
            <w:tcW w:w="925" w:type="dxa"/>
          </w:tcPr>
          <w:p w:rsidR="00A05467" w:rsidRPr="007C51D6" w:rsidRDefault="00A05467" w:rsidP="00A05467">
            <w:pPr>
              <w:spacing w:line="233" w:lineRule="auto"/>
              <w:jc w:val="center"/>
              <w:rPr>
                <w:color w:val="000000"/>
                <w:sz w:val="22"/>
                <w:szCs w:val="22"/>
              </w:rPr>
            </w:pPr>
            <w:r w:rsidRPr="007C51D6">
              <w:rPr>
                <w:color w:val="000000"/>
                <w:sz w:val="22"/>
                <w:szCs w:val="22"/>
              </w:rPr>
              <w:t>610</w:t>
            </w:r>
          </w:p>
        </w:tc>
        <w:tc>
          <w:tcPr>
            <w:tcW w:w="925" w:type="dxa"/>
          </w:tcPr>
          <w:p w:rsidR="00A05467" w:rsidRPr="007C51D6" w:rsidRDefault="00A05467" w:rsidP="00A05467">
            <w:pPr>
              <w:spacing w:line="233" w:lineRule="auto"/>
              <w:jc w:val="center"/>
              <w:rPr>
                <w:color w:val="000000"/>
                <w:sz w:val="22"/>
                <w:szCs w:val="22"/>
              </w:rPr>
            </w:pPr>
            <w:r w:rsidRPr="007C51D6">
              <w:rPr>
                <w:color w:val="000000"/>
                <w:sz w:val="22"/>
                <w:szCs w:val="22"/>
              </w:rPr>
              <w:t>654</w:t>
            </w:r>
          </w:p>
        </w:tc>
        <w:tc>
          <w:tcPr>
            <w:tcW w:w="925" w:type="dxa"/>
          </w:tcPr>
          <w:p w:rsidR="00A05467" w:rsidRPr="007C51D6" w:rsidRDefault="00A05467" w:rsidP="00A05467">
            <w:pPr>
              <w:spacing w:line="233" w:lineRule="auto"/>
              <w:jc w:val="center"/>
              <w:rPr>
                <w:color w:val="000000"/>
                <w:sz w:val="22"/>
                <w:szCs w:val="22"/>
              </w:rPr>
            </w:pPr>
            <w:r w:rsidRPr="007C51D6">
              <w:rPr>
                <w:color w:val="000000"/>
                <w:sz w:val="22"/>
                <w:szCs w:val="22"/>
              </w:rPr>
              <w:t>679</w:t>
            </w:r>
          </w:p>
        </w:tc>
        <w:tc>
          <w:tcPr>
            <w:tcW w:w="925" w:type="dxa"/>
          </w:tcPr>
          <w:p w:rsidR="00A05467" w:rsidRPr="007C51D6" w:rsidRDefault="00A05467" w:rsidP="00A05467">
            <w:pPr>
              <w:spacing w:line="233" w:lineRule="auto"/>
              <w:jc w:val="center"/>
              <w:rPr>
                <w:color w:val="000000"/>
                <w:sz w:val="22"/>
                <w:szCs w:val="22"/>
              </w:rPr>
            </w:pPr>
            <w:r w:rsidRPr="007C51D6">
              <w:rPr>
                <w:color w:val="000000"/>
                <w:sz w:val="22"/>
                <w:szCs w:val="22"/>
              </w:rPr>
              <w:t>750</w:t>
            </w:r>
          </w:p>
        </w:tc>
        <w:tc>
          <w:tcPr>
            <w:tcW w:w="925" w:type="dxa"/>
          </w:tcPr>
          <w:p w:rsidR="00A05467" w:rsidRPr="007C51D6" w:rsidRDefault="00A05467" w:rsidP="00A05467">
            <w:pPr>
              <w:spacing w:line="233" w:lineRule="auto"/>
              <w:jc w:val="center"/>
              <w:rPr>
                <w:color w:val="000000"/>
                <w:sz w:val="22"/>
                <w:szCs w:val="22"/>
              </w:rPr>
            </w:pPr>
            <w:r w:rsidRPr="007C51D6">
              <w:rPr>
                <w:color w:val="000000"/>
                <w:sz w:val="22"/>
                <w:szCs w:val="22"/>
              </w:rPr>
              <w:t>768</w:t>
            </w:r>
          </w:p>
        </w:tc>
        <w:tc>
          <w:tcPr>
            <w:tcW w:w="925" w:type="dxa"/>
          </w:tcPr>
          <w:p w:rsidR="00A05467" w:rsidRPr="007C51D6" w:rsidRDefault="00A05467" w:rsidP="00A05467">
            <w:pPr>
              <w:spacing w:line="233" w:lineRule="auto"/>
              <w:jc w:val="center"/>
              <w:rPr>
                <w:color w:val="000000"/>
                <w:sz w:val="22"/>
                <w:szCs w:val="22"/>
              </w:rPr>
            </w:pPr>
            <w:r w:rsidRPr="007C51D6">
              <w:rPr>
                <w:color w:val="000000"/>
                <w:sz w:val="22"/>
                <w:szCs w:val="22"/>
              </w:rPr>
              <w:t>791</w:t>
            </w:r>
          </w:p>
        </w:tc>
        <w:tc>
          <w:tcPr>
            <w:tcW w:w="925" w:type="dxa"/>
          </w:tcPr>
          <w:p w:rsidR="00A05467" w:rsidRPr="007C51D6" w:rsidRDefault="00A05467" w:rsidP="00A05467">
            <w:pPr>
              <w:spacing w:line="233" w:lineRule="auto"/>
              <w:jc w:val="center"/>
              <w:rPr>
                <w:color w:val="000000"/>
                <w:sz w:val="22"/>
                <w:szCs w:val="22"/>
              </w:rPr>
            </w:pPr>
            <w:r w:rsidRPr="007C51D6">
              <w:rPr>
                <w:color w:val="000000"/>
                <w:sz w:val="22"/>
                <w:szCs w:val="22"/>
              </w:rPr>
              <w:t>829</w:t>
            </w:r>
          </w:p>
        </w:tc>
        <w:tc>
          <w:tcPr>
            <w:tcW w:w="925" w:type="dxa"/>
          </w:tcPr>
          <w:p w:rsidR="00A05467" w:rsidRPr="007C51D6" w:rsidRDefault="00A05467" w:rsidP="00A05467">
            <w:pPr>
              <w:spacing w:line="233" w:lineRule="auto"/>
              <w:jc w:val="center"/>
              <w:rPr>
                <w:color w:val="000000"/>
                <w:sz w:val="22"/>
                <w:szCs w:val="22"/>
              </w:rPr>
            </w:pPr>
            <w:r w:rsidRPr="007C51D6">
              <w:rPr>
                <w:color w:val="000000"/>
                <w:sz w:val="22"/>
                <w:szCs w:val="22"/>
              </w:rPr>
              <w:t>884</w:t>
            </w:r>
          </w:p>
        </w:tc>
        <w:tc>
          <w:tcPr>
            <w:tcW w:w="926" w:type="dxa"/>
          </w:tcPr>
          <w:p w:rsidR="00A05467" w:rsidRPr="007C51D6" w:rsidRDefault="00A05467" w:rsidP="00A05467">
            <w:pPr>
              <w:spacing w:line="233" w:lineRule="auto"/>
              <w:jc w:val="center"/>
              <w:rPr>
                <w:color w:val="000000"/>
                <w:sz w:val="22"/>
                <w:szCs w:val="22"/>
              </w:rPr>
            </w:pPr>
            <w:r w:rsidRPr="007C51D6">
              <w:rPr>
                <w:color w:val="000000"/>
                <w:sz w:val="22"/>
                <w:szCs w:val="22"/>
              </w:rPr>
              <w:t>968</w:t>
            </w:r>
          </w:p>
        </w:tc>
        <w:tc>
          <w:tcPr>
            <w:tcW w:w="926" w:type="dxa"/>
          </w:tcPr>
          <w:p w:rsidR="00A05467" w:rsidRPr="007C51D6" w:rsidRDefault="00DD297A" w:rsidP="00A05467">
            <w:pPr>
              <w:spacing w:line="233" w:lineRule="auto"/>
              <w:jc w:val="center"/>
              <w:rPr>
                <w:color w:val="000000"/>
                <w:sz w:val="22"/>
                <w:szCs w:val="22"/>
              </w:rPr>
            </w:pPr>
            <w:r w:rsidRPr="007C51D6">
              <w:rPr>
                <w:color w:val="000000"/>
                <w:sz w:val="22"/>
                <w:szCs w:val="22"/>
              </w:rPr>
              <w:t>966</w:t>
            </w:r>
          </w:p>
        </w:tc>
      </w:tr>
      <w:tr w:rsidR="00A05467" w:rsidRPr="007C51D6" w:rsidTr="00A05467">
        <w:tblPrEx>
          <w:tblBorders>
            <w:bottom w:val="single" w:sz="4" w:space="0" w:color="auto"/>
          </w:tblBorders>
        </w:tblPrEx>
        <w:trPr>
          <w:trHeight w:val="20"/>
        </w:trPr>
        <w:tc>
          <w:tcPr>
            <w:tcW w:w="4531" w:type="dxa"/>
          </w:tcPr>
          <w:p w:rsidR="00A05467" w:rsidRPr="007C51D6" w:rsidRDefault="00A05467" w:rsidP="00A05467">
            <w:pPr>
              <w:autoSpaceDE/>
              <w:autoSpaceDN/>
              <w:adjustRightInd/>
              <w:spacing w:line="233" w:lineRule="auto"/>
              <w:jc w:val="both"/>
              <w:rPr>
                <w:rFonts w:eastAsia="Arial"/>
                <w:sz w:val="20"/>
                <w:szCs w:val="22"/>
              </w:rPr>
            </w:pPr>
            <w:r w:rsidRPr="007C51D6">
              <w:rPr>
                <w:rFonts w:eastAsia="Arial"/>
                <w:sz w:val="20"/>
                <w:szCs w:val="22"/>
              </w:rPr>
              <w:t>Карцинома in situ шейки матки</w:t>
            </w:r>
          </w:p>
        </w:tc>
        <w:tc>
          <w:tcPr>
            <w:tcW w:w="1376" w:type="dxa"/>
          </w:tcPr>
          <w:p w:rsidR="00A05467" w:rsidRPr="007C51D6" w:rsidRDefault="00A05467" w:rsidP="00A05467">
            <w:pPr>
              <w:autoSpaceDE/>
              <w:autoSpaceDN/>
              <w:adjustRightInd/>
              <w:spacing w:line="233" w:lineRule="auto"/>
              <w:rPr>
                <w:rFonts w:eastAsia="Arial"/>
                <w:sz w:val="20"/>
                <w:szCs w:val="22"/>
              </w:rPr>
            </w:pPr>
            <w:r w:rsidRPr="007C51D6">
              <w:rPr>
                <w:rFonts w:eastAsia="Arial"/>
                <w:sz w:val="20"/>
                <w:szCs w:val="22"/>
              </w:rPr>
              <w:t>D06: C53</w:t>
            </w:r>
          </w:p>
        </w:tc>
        <w:tc>
          <w:tcPr>
            <w:tcW w:w="925" w:type="dxa"/>
          </w:tcPr>
          <w:p w:rsidR="00A05467" w:rsidRPr="007C51D6" w:rsidRDefault="00A05467" w:rsidP="00A05467">
            <w:pPr>
              <w:spacing w:line="233" w:lineRule="auto"/>
              <w:jc w:val="center"/>
              <w:rPr>
                <w:color w:val="000000"/>
                <w:sz w:val="22"/>
                <w:szCs w:val="22"/>
              </w:rPr>
            </w:pPr>
            <w:r w:rsidRPr="007C51D6">
              <w:rPr>
                <w:color w:val="000000"/>
                <w:sz w:val="22"/>
                <w:szCs w:val="22"/>
              </w:rPr>
              <w:t>1617</w:t>
            </w:r>
          </w:p>
        </w:tc>
        <w:tc>
          <w:tcPr>
            <w:tcW w:w="925" w:type="dxa"/>
          </w:tcPr>
          <w:p w:rsidR="00A05467" w:rsidRPr="007C51D6" w:rsidRDefault="00A05467" w:rsidP="00A05467">
            <w:pPr>
              <w:spacing w:line="233" w:lineRule="auto"/>
              <w:jc w:val="center"/>
              <w:rPr>
                <w:color w:val="000000"/>
                <w:sz w:val="22"/>
                <w:szCs w:val="22"/>
              </w:rPr>
            </w:pPr>
            <w:r w:rsidRPr="007C51D6">
              <w:rPr>
                <w:color w:val="000000"/>
                <w:sz w:val="22"/>
                <w:szCs w:val="22"/>
              </w:rPr>
              <w:t>1781</w:t>
            </w:r>
          </w:p>
        </w:tc>
        <w:tc>
          <w:tcPr>
            <w:tcW w:w="925" w:type="dxa"/>
          </w:tcPr>
          <w:p w:rsidR="00A05467" w:rsidRPr="007C51D6" w:rsidRDefault="00A05467" w:rsidP="00A05467">
            <w:pPr>
              <w:spacing w:line="233" w:lineRule="auto"/>
              <w:jc w:val="center"/>
              <w:rPr>
                <w:color w:val="000000"/>
                <w:sz w:val="22"/>
                <w:szCs w:val="22"/>
              </w:rPr>
            </w:pPr>
            <w:r w:rsidRPr="007C51D6">
              <w:rPr>
                <w:color w:val="000000"/>
                <w:sz w:val="22"/>
                <w:szCs w:val="22"/>
              </w:rPr>
              <w:t>1916</w:t>
            </w:r>
          </w:p>
        </w:tc>
        <w:tc>
          <w:tcPr>
            <w:tcW w:w="925" w:type="dxa"/>
          </w:tcPr>
          <w:p w:rsidR="00A05467" w:rsidRPr="007C51D6" w:rsidRDefault="00A05467" w:rsidP="00A05467">
            <w:pPr>
              <w:spacing w:line="233" w:lineRule="auto"/>
              <w:jc w:val="center"/>
              <w:rPr>
                <w:color w:val="000000"/>
                <w:sz w:val="22"/>
                <w:szCs w:val="22"/>
              </w:rPr>
            </w:pPr>
            <w:r w:rsidRPr="007C51D6">
              <w:rPr>
                <w:color w:val="000000"/>
                <w:sz w:val="22"/>
                <w:szCs w:val="22"/>
              </w:rPr>
              <w:t>2059</w:t>
            </w:r>
          </w:p>
        </w:tc>
        <w:tc>
          <w:tcPr>
            <w:tcW w:w="925" w:type="dxa"/>
          </w:tcPr>
          <w:p w:rsidR="00A05467" w:rsidRPr="007C51D6" w:rsidRDefault="00A05467" w:rsidP="00A05467">
            <w:pPr>
              <w:spacing w:line="233" w:lineRule="auto"/>
              <w:jc w:val="center"/>
              <w:rPr>
                <w:color w:val="000000"/>
                <w:sz w:val="22"/>
                <w:szCs w:val="22"/>
              </w:rPr>
            </w:pPr>
            <w:r w:rsidRPr="007C51D6">
              <w:rPr>
                <w:color w:val="000000"/>
                <w:sz w:val="22"/>
                <w:szCs w:val="22"/>
              </w:rPr>
              <w:t>2130</w:t>
            </w:r>
          </w:p>
        </w:tc>
        <w:tc>
          <w:tcPr>
            <w:tcW w:w="925" w:type="dxa"/>
          </w:tcPr>
          <w:p w:rsidR="00A05467" w:rsidRPr="007C51D6" w:rsidRDefault="00A05467" w:rsidP="00A05467">
            <w:pPr>
              <w:spacing w:line="233" w:lineRule="auto"/>
              <w:jc w:val="center"/>
              <w:rPr>
                <w:color w:val="000000"/>
                <w:sz w:val="22"/>
                <w:szCs w:val="22"/>
              </w:rPr>
            </w:pPr>
            <w:r w:rsidRPr="007C51D6">
              <w:rPr>
                <w:color w:val="000000"/>
                <w:sz w:val="22"/>
                <w:szCs w:val="22"/>
              </w:rPr>
              <w:t>2315</w:t>
            </w:r>
          </w:p>
        </w:tc>
        <w:tc>
          <w:tcPr>
            <w:tcW w:w="925" w:type="dxa"/>
          </w:tcPr>
          <w:p w:rsidR="00A05467" w:rsidRPr="007C51D6" w:rsidRDefault="00A05467" w:rsidP="00A05467">
            <w:pPr>
              <w:spacing w:line="233" w:lineRule="auto"/>
              <w:jc w:val="center"/>
              <w:rPr>
                <w:color w:val="000000"/>
                <w:sz w:val="22"/>
                <w:szCs w:val="22"/>
              </w:rPr>
            </w:pPr>
            <w:r w:rsidRPr="007C51D6">
              <w:rPr>
                <w:color w:val="000000"/>
                <w:sz w:val="22"/>
                <w:szCs w:val="22"/>
              </w:rPr>
              <w:t>2456</w:t>
            </w:r>
          </w:p>
        </w:tc>
        <w:tc>
          <w:tcPr>
            <w:tcW w:w="925" w:type="dxa"/>
          </w:tcPr>
          <w:p w:rsidR="00A05467" w:rsidRPr="007C51D6" w:rsidRDefault="00A05467" w:rsidP="00A05467">
            <w:pPr>
              <w:spacing w:line="233" w:lineRule="auto"/>
              <w:jc w:val="center"/>
              <w:rPr>
                <w:color w:val="000000"/>
                <w:sz w:val="22"/>
                <w:szCs w:val="22"/>
              </w:rPr>
            </w:pPr>
            <w:r w:rsidRPr="007C51D6">
              <w:rPr>
                <w:color w:val="000000"/>
                <w:sz w:val="22"/>
                <w:szCs w:val="22"/>
              </w:rPr>
              <w:t>2593</w:t>
            </w:r>
          </w:p>
        </w:tc>
        <w:tc>
          <w:tcPr>
            <w:tcW w:w="926" w:type="dxa"/>
          </w:tcPr>
          <w:p w:rsidR="00A05467" w:rsidRPr="007C51D6" w:rsidRDefault="00A05467" w:rsidP="00A05467">
            <w:pPr>
              <w:spacing w:line="233" w:lineRule="auto"/>
              <w:jc w:val="center"/>
              <w:rPr>
                <w:color w:val="000000"/>
                <w:sz w:val="22"/>
                <w:szCs w:val="22"/>
              </w:rPr>
            </w:pPr>
            <w:r w:rsidRPr="007C51D6">
              <w:rPr>
                <w:color w:val="000000"/>
                <w:sz w:val="22"/>
                <w:szCs w:val="22"/>
              </w:rPr>
              <w:t>2812</w:t>
            </w:r>
          </w:p>
        </w:tc>
        <w:tc>
          <w:tcPr>
            <w:tcW w:w="926" w:type="dxa"/>
          </w:tcPr>
          <w:p w:rsidR="00A05467" w:rsidRPr="007C51D6" w:rsidRDefault="00DD297A" w:rsidP="00A05467">
            <w:pPr>
              <w:spacing w:line="233" w:lineRule="auto"/>
              <w:jc w:val="center"/>
              <w:rPr>
                <w:color w:val="000000"/>
                <w:sz w:val="22"/>
                <w:szCs w:val="22"/>
              </w:rPr>
            </w:pPr>
            <w:r w:rsidRPr="007C51D6">
              <w:rPr>
                <w:color w:val="000000"/>
                <w:sz w:val="22"/>
                <w:szCs w:val="22"/>
              </w:rPr>
              <w:t>2945</w:t>
            </w:r>
          </w:p>
        </w:tc>
      </w:tr>
      <w:tr w:rsidR="00A05467" w:rsidRPr="007C51D6" w:rsidTr="00A05467">
        <w:tblPrEx>
          <w:tblBorders>
            <w:bottom w:val="single" w:sz="4" w:space="0" w:color="auto"/>
          </w:tblBorders>
        </w:tblPrEx>
        <w:trPr>
          <w:trHeight w:val="20"/>
        </w:trPr>
        <w:tc>
          <w:tcPr>
            <w:tcW w:w="4531" w:type="dxa"/>
          </w:tcPr>
          <w:p w:rsidR="00A05467" w:rsidRPr="007C51D6" w:rsidRDefault="00A05467" w:rsidP="00A05467">
            <w:pPr>
              <w:autoSpaceDE/>
              <w:autoSpaceDN/>
              <w:adjustRightInd/>
              <w:spacing w:line="233" w:lineRule="auto"/>
              <w:jc w:val="both"/>
              <w:rPr>
                <w:rFonts w:eastAsia="Arial"/>
                <w:sz w:val="20"/>
                <w:szCs w:val="22"/>
              </w:rPr>
            </w:pPr>
            <w:r w:rsidRPr="007C51D6">
              <w:rPr>
                <w:rFonts w:eastAsia="Arial"/>
                <w:sz w:val="20"/>
                <w:szCs w:val="22"/>
              </w:rPr>
              <w:t>Карцинома in situ других и неуточненных половых органов</w:t>
            </w:r>
          </w:p>
        </w:tc>
        <w:tc>
          <w:tcPr>
            <w:tcW w:w="1376" w:type="dxa"/>
          </w:tcPr>
          <w:p w:rsidR="00A05467" w:rsidRPr="007C51D6" w:rsidRDefault="00A05467" w:rsidP="00A05467">
            <w:pPr>
              <w:autoSpaceDE/>
              <w:autoSpaceDN/>
              <w:adjustRightInd/>
              <w:spacing w:line="233" w:lineRule="auto"/>
              <w:rPr>
                <w:rFonts w:eastAsia="Arial"/>
                <w:sz w:val="20"/>
                <w:szCs w:val="22"/>
              </w:rPr>
            </w:pPr>
            <w:r w:rsidRPr="007C51D6">
              <w:rPr>
                <w:rFonts w:eastAsia="Arial"/>
                <w:sz w:val="20"/>
                <w:szCs w:val="22"/>
              </w:rPr>
              <w:t xml:space="preserve">D07: </w:t>
            </w:r>
          </w:p>
          <w:p w:rsidR="00A05467" w:rsidRPr="007C51D6" w:rsidRDefault="00A05467" w:rsidP="00A05467">
            <w:pPr>
              <w:autoSpaceDE/>
              <w:autoSpaceDN/>
              <w:adjustRightInd/>
              <w:spacing w:line="233" w:lineRule="auto"/>
              <w:rPr>
                <w:rFonts w:eastAsia="Arial"/>
                <w:sz w:val="20"/>
                <w:szCs w:val="22"/>
              </w:rPr>
            </w:pPr>
            <w:r w:rsidRPr="007C51D6">
              <w:rPr>
                <w:rFonts w:eastAsia="Arial"/>
                <w:sz w:val="20"/>
                <w:szCs w:val="22"/>
              </w:rPr>
              <w:t>C51 – C52, C54 – C63</w:t>
            </w:r>
          </w:p>
        </w:tc>
        <w:tc>
          <w:tcPr>
            <w:tcW w:w="925" w:type="dxa"/>
          </w:tcPr>
          <w:p w:rsidR="00A05467" w:rsidRPr="007C51D6" w:rsidRDefault="00A05467" w:rsidP="00A05467">
            <w:pPr>
              <w:spacing w:line="233" w:lineRule="auto"/>
              <w:jc w:val="center"/>
              <w:rPr>
                <w:color w:val="000000"/>
                <w:sz w:val="22"/>
                <w:szCs w:val="22"/>
              </w:rPr>
            </w:pPr>
            <w:r w:rsidRPr="007C51D6">
              <w:rPr>
                <w:color w:val="000000"/>
                <w:sz w:val="22"/>
                <w:szCs w:val="22"/>
              </w:rPr>
              <w:t>157</w:t>
            </w:r>
          </w:p>
        </w:tc>
        <w:tc>
          <w:tcPr>
            <w:tcW w:w="925" w:type="dxa"/>
          </w:tcPr>
          <w:p w:rsidR="00A05467" w:rsidRPr="007C51D6" w:rsidRDefault="00A05467" w:rsidP="00A05467">
            <w:pPr>
              <w:spacing w:line="233" w:lineRule="auto"/>
              <w:jc w:val="center"/>
              <w:rPr>
                <w:color w:val="000000"/>
                <w:sz w:val="22"/>
                <w:szCs w:val="22"/>
              </w:rPr>
            </w:pPr>
            <w:r w:rsidRPr="007C51D6">
              <w:rPr>
                <w:color w:val="000000"/>
                <w:sz w:val="22"/>
                <w:szCs w:val="22"/>
              </w:rPr>
              <w:t>166</w:t>
            </w:r>
          </w:p>
        </w:tc>
        <w:tc>
          <w:tcPr>
            <w:tcW w:w="925" w:type="dxa"/>
          </w:tcPr>
          <w:p w:rsidR="00A05467" w:rsidRPr="007C51D6" w:rsidRDefault="00A05467" w:rsidP="00A05467">
            <w:pPr>
              <w:spacing w:line="233" w:lineRule="auto"/>
              <w:jc w:val="center"/>
              <w:rPr>
                <w:color w:val="000000"/>
                <w:sz w:val="22"/>
                <w:szCs w:val="22"/>
              </w:rPr>
            </w:pPr>
            <w:r w:rsidRPr="007C51D6">
              <w:rPr>
                <w:color w:val="000000"/>
                <w:sz w:val="22"/>
                <w:szCs w:val="22"/>
              </w:rPr>
              <w:t>171</w:t>
            </w:r>
          </w:p>
        </w:tc>
        <w:tc>
          <w:tcPr>
            <w:tcW w:w="925" w:type="dxa"/>
          </w:tcPr>
          <w:p w:rsidR="00A05467" w:rsidRPr="007C51D6" w:rsidRDefault="00A05467" w:rsidP="00A05467">
            <w:pPr>
              <w:spacing w:line="233" w:lineRule="auto"/>
              <w:jc w:val="center"/>
              <w:rPr>
                <w:color w:val="000000"/>
                <w:sz w:val="22"/>
                <w:szCs w:val="22"/>
              </w:rPr>
            </w:pPr>
            <w:r w:rsidRPr="007C51D6">
              <w:rPr>
                <w:color w:val="000000"/>
                <w:sz w:val="22"/>
                <w:szCs w:val="22"/>
              </w:rPr>
              <w:t>177</w:t>
            </w:r>
          </w:p>
        </w:tc>
        <w:tc>
          <w:tcPr>
            <w:tcW w:w="925" w:type="dxa"/>
          </w:tcPr>
          <w:p w:rsidR="00A05467" w:rsidRPr="007C51D6" w:rsidRDefault="00A05467" w:rsidP="00A05467">
            <w:pPr>
              <w:spacing w:line="233" w:lineRule="auto"/>
              <w:jc w:val="center"/>
              <w:rPr>
                <w:color w:val="000000"/>
                <w:sz w:val="22"/>
                <w:szCs w:val="22"/>
              </w:rPr>
            </w:pPr>
            <w:r w:rsidRPr="007C51D6">
              <w:rPr>
                <w:color w:val="000000"/>
                <w:sz w:val="22"/>
                <w:szCs w:val="22"/>
              </w:rPr>
              <w:t>177</w:t>
            </w:r>
          </w:p>
        </w:tc>
        <w:tc>
          <w:tcPr>
            <w:tcW w:w="925" w:type="dxa"/>
          </w:tcPr>
          <w:p w:rsidR="00A05467" w:rsidRPr="007C51D6" w:rsidRDefault="00A05467" w:rsidP="00A05467">
            <w:pPr>
              <w:spacing w:line="233" w:lineRule="auto"/>
              <w:jc w:val="center"/>
              <w:rPr>
                <w:color w:val="000000"/>
                <w:sz w:val="22"/>
                <w:szCs w:val="22"/>
              </w:rPr>
            </w:pPr>
            <w:r w:rsidRPr="007C51D6">
              <w:rPr>
                <w:color w:val="000000"/>
                <w:sz w:val="22"/>
                <w:szCs w:val="22"/>
              </w:rPr>
              <w:t>201</w:t>
            </w:r>
          </w:p>
        </w:tc>
        <w:tc>
          <w:tcPr>
            <w:tcW w:w="925" w:type="dxa"/>
          </w:tcPr>
          <w:p w:rsidR="00A05467" w:rsidRPr="007C51D6" w:rsidRDefault="00A05467" w:rsidP="00A05467">
            <w:pPr>
              <w:spacing w:line="233" w:lineRule="auto"/>
              <w:jc w:val="center"/>
              <w:rPr>
                <w:color w:val="000000"/>
                <w:sz w:val="22"/>
                <w:szCs w:val="22"/>
              </w:rPr>
            </w:pPr>
            <w:r w:rsidRPr="007C51D6">
              <w:rPr>
                <w:color w:val="000000"/>
                <w:sz w:val="22"/>
                <w:szCs w:val="22"/>
              </w:rPr>
              <w:t>234</w:t>
            </w:r>
          </w:p>
        </w:tc>
        <w:tc>
          <w:tcPr>
            <w:tcW w:w="925" w:type="dxa"/>
          </w:tcPr>
          <w:p w:rsidR="00A05467" w:rsidRPr="007C51D6" w:rsidRDefault="00A05467" w:rsidP="00A05467">
            <w:pPr>
              <w:spacing w:line="233" w:lineRule="auto"/>
              <w:jc w:val="center"/>
              <w:rPr>
                <w:color w:val="000000"/>
                <w:sz w:val="22"/>
                <w:szCs w:val="22"/>
              </w:rPr>
            </w:pPr>
            <w:r w:rsidRPr="007C51D6">
              <w:rPr>
                <w:color w:val="000000"/>
                <w:sz w:val="22"/>
                <w:szCs w:val="22"/>
              </w:rPr>
              <w:t>250</w:t>
            </w:r>
          </w:p>
        </w:tc>
        <w:tc>
          <w:tcPr>
            <w:tcW w:w="926" w:type="dxa"/>
          </w:tcPr>
          <w:p w:rsidR="00A05467" w:rsidRPr="007C51D6" w:rsidRDefault="00A05467" w:rsidP="00A05467">
            <w:pPr>
              <w:spacing w:line="233" w:lineRule="auto"/>
              <w:jc w:val="center"/>
              <w:rPr>
                <w:color w:val="000000"/>
                <w:sz w:val="22"/>
                <w:szCs w:val="22"/>
              </w:rPr>
            </w:pPr>
            <w:r w:rsidRPr="007C51D6">
              <w:rPr>
                <w:color w:val="000000"/>
                <w:sz w:val="22"/>
                <w:szCs w:val="22"/>
              </w:rPr>
              <w:t>305</w:t>
            </w:r>
          </w:p>
        </w:tc>
        <w:tc>
          <w:tcPr>
            <w:tcW w:w="926" w:type="dxa"/>
          </w:tcPr>
          <w:p w:rsidR="00A05467" w:rsidRPr="007C51D6" w:rsidRDefault="00DD297A" w:rsidP="00A05467">
            <w:pPr>
              <w:spacing w:line="233" w:lineRule="auto"/>
              <w:jc w:val="center"/>
              <w:rPr>
                <w:color w:val="000000"/>
                <w:sz w:val="22"/>
                <w:szCs w:val="22"/>
              </w:rPr>
            </w:pPr>
            <w:r w:rsidRPr="007C51D6">
              <w:rPr>
                <w:color w:val="000000"/>
                <w:sz w:val="22"/>
                <w:szCs w:val="22"/>
              </w:rPr>
              <w:t>317</w:t>
            </w:r>
          </w:p>
        </w:tc>
      </w:tr>
      <w:tr w:rsidR="00A52121" w:rsidRPr="007C51D6" w:rsidTr="00A05467">
        <w:tblPrEx>
          <w:tblBorders>
            <w:bottom w:val="single" w:sz="4" w:space="0" w:color="auto"/>
          </w:tblBorders>
        </w:tblPrEx>
        <w:trPr>
          <w:trHeight w:val="20"/>
        </w:trPr>
        <w:tc>
          <w:tcPr>
            <w:tcW w:w="4531" w:type="dxa"/>
          </w:tcPr>
          <w:p w:rsidR="00A52121" w:rsidRPr="007C51D6" w:rsidRDefault="00A52121" w:rsidP="00A52121">
            <w:pPr>
              <w:autoSpaceDE/>
              <w:autoSpaceDN/>
              <w:adjustRightInd/>
              <w:spacing w:line="233" w:lineRule="auto"/>
              <w:jc w:val="both"/>
              <w:rPr>
                <w:rFonts w:eastAsia="Arial"/>
                <w:sz w:val="20"/>
                <w:szCs w:val="22"/>
              </w:rPr>
            </w:pPr>
            <w:r w:rsidRPr="007C51D6">
              <w:rPr>
                <w:rFonts w:eastAsia="Arial"/>
                <w:sz w:val="20"/>
                <w:szCs w:val="22"/>
              </w:rPr>
              <w:t>Карцинома in situ других и неуточненных локализаций</w:t>
            </w:r>
          </w:p>
        </w:tc>
        <w:tc>
          <w:tcPr>
            <w:tcW w:w="1376" w:type="dxa"/>
          </w:tcPr>
          <w:p w:rsidR="00A52121" w:rsidRPr="007C51D6" w:rsidRDefault="00A52121" w:rsidP="00A52121">
            <w:pPr>
              <w:autoSpaceDE/>
              <w:autoSpaceDN/>
              <w:adjustRightInd/>
              <w:spacing w:line="233" w:lineRule="auto"/>
              <w:rPr>
                <w:rFonts w:eastAsia="Arial"/>
                <w:sz w:val="20"/>
                <w:szCs w:val="22"/>
              </w:rPr>
            </w:pPr>
            <w:r w:rsidRPr="007C51D6">
              <w:rPr>
                <w:rFonts w:eastAsia="Arial"/>
                <w:sz w:val="20"/>
                <w:szCs w:val="22"/>
              </w:rPr>
              <w:t>D09: прочие</w:t>
            </w:r>
          </w:p>
        </w:tc>
        <w:tc>
          <w:tcPr>
            <w:tcW w:w="925" w:type="dxa"/>
          </w:tcPr>
          <w:p w:rsidR="00A52121" w:rsidRPr="007C51D6" w:rsidRDefault="00A52121" w:rsidP="00A52121">
            <w:pPr>
              <w:spacing w:line="233" w:lineRule="auto"/>
              <w:jc w:val="center"/>
              <w:rPr>
                <w:color w:val="000000"/>
                <w:sz w:val="22"/>
                <w:szCs w:val="22"/>
              </w:rPr>
            </w:pPr>
            <w:r w:rsidRPr="007C51D6">
              <w:rPr>
                <w:color w:val="000000"/>
                <w:sz w:val="22"/>
                <w:szCs w:val="22"/>
              </w:rPr>
              <w:t>250</w:t>
            </w:r>
          </w:p>
        </w:tc>
        <w:tc>
          <w:tcPr>
            <w:tcW w:w="925" w:type="dxa"/>
          </w:tcPr>
          <w:p w:rsidR="00A52121" w:rsidRPr="007C51D6" w:rsidRDefault="00A52121" w:rsidP="00A52121">
            <w:pPr>
              <w:spacing w:line="233" w:lineRule="auto"/>
              <w:jc w:val="center"/>
              <w:rPr>
                <w:color w:val="000000"/>
                <w:sz w:val="22"/>
                <w:szCs w:val="22"/>
              </w:rPr>
            </w:pPr>
            <w:r w:rsidRPr="007C51D6">
              <w:rPr>
                <w:color w:val="000000"/>
                <w:sz w:val="22"/>
                <w:szCs w:val="22"/>
              </w:rPr>
              <w:t>269</w:t>
            </w:r>
          </w:p>
        </w:tc>
        <w:tc>
          <w:tcPr>
            <w:tcW w:w="925" w:type="dxa"/>
          </w:tcPr>
          <w:p w:rsidR="00A52121" w:rsidRPr="007C51D6" w:rsidRDefault="00A52121" w:rsidP="00A52121">
            <w:pPr>
              <w:spacing w:line="233" w:lineRule="auto"/>
              <w:jc w:val="center"/>
              <w:rPr>
                <w:color w:val="000000"/>
                <w:sz w:val="22"/>
                <w:szCs w:val="22"/>
              </w:rPr>
            </w:pPr>
            <w:r w:rsidRPr="007C51D6">
              <w:rPr>
                <w:color w:val="000000"/>
                <w:sz w:val="22"/>
                <w:szCs w:val="22"/>
              </w:rPr>
              <w:t>293</w:t>
            </w:r>
          </w:p>
        </w:tc>
        <w:tc>
          <w:tcPr>
            <w:tcW w:w="925" w:type="dxa"/>
          </w:tcPr>
          <w:p w:rsidR="00A52121" w:rsidRPr="007C51D6" w:rsidRDefault="00A52121" w:rsidP="00A52121">
            <w:pPr>
              <w:spacing w:line="233" w:lineRule="auto"/>
              <w:jc w:val="center"/>
              <w:rPr>
                <w:color w:val="000000"/>
                <w:sz w:val="22"/>
                <w:szCs w:val="22"/>
              </w:rPr>
            </w:pPr>
            <w:r w:rsidRPr="007C51D6">
              <w:rPr>
                <w:color w:val="000000"/>
                <w:sz w:val="22"/>
                <w:szCs w:val="22"/>
              </w:rPr>
              <w:t>306</w:t>
            </w:r>
          </w:p>
        </w:tc>
        <w:tc>
          <w:tcPr>
            <w:tcW w:w="925" w:type="dxa"/>
          </w:tcPr>
          <w:p w:rsidR="00A52121" w:rsidRPr="007C51D6" w:rsidRDefault="00A52121" w:rsidP="00A52121">
            <w:pPr>
              <w:spacing w:line="233" w:lineRule="auto"/>
              <w:jc w:val="center"/>
              <w:rPr>
                <w:color w:val="000000"/>
                <w:sz w:val="22"/>
                <w:szCs w:val="22"/>
              </w:rPr>
            </w:pPr>
            <w:r w:rsidRPr="007C51D6">
              <w:rPr>
                <w:color w:val="000000"/>
                <w:sz w:val="22"/>
                <w:szCs w:val="22"/>
              </w:rPr>
              <w:t>304</w:t>
            </w:r>
          </w:p>
        </w:tc>
        <w:tc>
          <w:tcPr>
            <w:tcW w:w="925" w:type="dxa"/>
          </w:tcPr>
          <w:p w:rsidR="00A52121" w:rsidRPr="007C51D6" w:rsidRDefault="00A52121" w:rsidP="00A52121">
            <w:pPr>
              <w:spacing w:line="233" w:lineRule="auto"/>
              <w:jc w:val="center"/>
              <w:rPr>
                <w:color w:val="000000"/>
                <w:sz w:val="22"/>
                <w:szCs w:val="22"/>
              </w:rPr>
            </w:pPr>
            <w:r w:rsidRPr="007C51D6">
              <w:rPr>
                <w:color w:val="000000"/>
                <w:sz w:val="22"/>
                <w:szCs w:val="22"/>
              </w:rPr>
              <w:t>318</w:t>
            </w:r>
          </w:p>
        </w:tc>
        <w:tc>
          <w:tcPr>
            <w:tcW w:w="925" w:type="dxa"/>
          </w:tcPr>
          <w:p w:rsidR="00A52121" w:rsidRPr="007C51D6" w:rsidRDefault="00A52121" w:rsidP="00A52121">
            <w:pPr>
              <w:spacing w:line="233" w:lineRule="auto"/>
              <w:jc w:val="center"/>
              <w:rPr>
                <w:color w:val="000000"/>
                <w:sz w:val="22"/>
                <w:szCs w:val="22"/>
              </w:rPr>
            </w:pPr>
            <w:r w:rsidRPr="007C51D6">
              <w:rPr>
                <w:color w:val="000000"/>
                <w:sz w:val="22"/>
                <w:szCs w:val="22"/>
              </w:rPr>
              <w:t>326</w:t>
            </w:r>
          </w:p>
        </w:tc>
        <w:tc>
          <w:tcPr>
            <w:tcW w:w="925" w:type="dxa"/>
          </w:tcPr>
          <w:p w:rsidR="00A52121" w:rsidRPr="007C51D6" w:rsidRDefault="00A52121" w:rsidP="00A52121">
            <w:pPr>
              <w:spacing w:line="233" w:lineRule="auto"/>
              <w:jc w:val="center"/>
              <w:rPr>
                <w:color w:val="000000"/>
                <w:sz w:val="22"/>
                <w:szCs w:val="22"/>
              </w:rPr>
            </w:pPr>
            <w:r w:rsidRPr="007C51D6">
              <w:rPr>
                <w:color w:val="000000"/>
                <w:sz w:val="22"/>
                <w:szCs w:val="22"/>
              </w:rPr>
              <w:t>344</w:t>
            </w:r>
          </w:p>
        </w:tc>
        <w:tc>
          <w:tcPr>
            <w:tcW w:w="926" w:type="dxa"/>
          </w:tcPr>
          <w:p w:rsidR="00A52121" w:rsidRPr="007C51D6" w:rsidRDefault="00A52121" w:rsidP="00A52121">
            <w:pPr>
              <w:spacing w:line="233" w:lineRule="auto"/>
              <w:jc w:val="center"/>
              <w:rPr>
                <w:color w:val="000000"/>
                <w:sz w:val="22"/>
                <w:szCs w:val="22"/>
              </w:rPr>
            </w:pPr>
            <w:r w:rsidRPr="007C51D6">
              <w:rPr>
                <w:color w:val="000000"/>
                <w:sz w:val="22"/>
                <w:szCs w:val="22"/>
              </w:rPr>
              <w:t>328</w:t>
            </w:r>
          </w:p>
        </w:tc>
        <w:tc>
          <w:tcPr>
            <w:tcW w:w="926" w:type="dxa"/>
          </w:tcPr>
          <w:p w:rsidR="00A52121" w:rsidRPr="007C51D6" w:rsidRDefault="00A52121" w:rsidP="00A52121">
            <w:pPr>
              <w:spacing w:line="233" w:lineRule="auto"/>
              <w:jc w:val="center"/>
              <w:rPr>
                <w:color w:val="000000"/>
                <w:sz w:val="22"/>
                <w:szCs w:val="22"/>
              </w:rPr>
            </w:pPr>
            <w:r w:rsidRPr="007C51D6">
              <w:rPr>
                <w:color w:val="000000"/>
                <w:sz w:val="22"/>
                <w:szCs w:val="22"/>
              </w:rPr>
              <w:t>131</w:t>
            </w:r>
          </w:p>
        </w:tc>
      </w:tr>
    </w:tbl>
    <w:p w:rsidR="00721105" w:rsidRPr="007C51D6" w:rsidRDefault="00721105">
      <w:pPr>
        <w:rPr>
          <w:sz w:val="2"/>
          <w:szCs w:val="2"/>
        </w:rPr>
      </w:pPr>
    </w:p>
    <w:p w:rsidR="00C405F6" w:rsidRPr="007C51D6" w:rsidRDefault="00C405F6" w:rsidP="00765FA9">
      <w:pPr>
        <w:autoSpaceDE/>
        <w:autoSpaceDN/>
        <w:adjustRightInd/>
        <w:rPr>
          <w:rFonts w:eastAsia="Arial"/>
          <w:sz w:val="20"/>
          <w:szCs w:val="20"/>
        </w:rPr>
      </w:pPr>
    </w:p>
    <w:p w:rsidR="00765FA9" w:rsidRPr="007C51D6" w:rsidRDefault="00C405F6" w:rsidP="003071AB">
      <w:pPr>
        <w:autoSpaceDE/>
        <w:autoSpaceDN/>
        <w:adjustRightInd/>
        <w:ind w:firstLine="709"/>
        <w:rPr>
          <w:rFonts w:eastAsia="Arial"/>
          <w:sz w:val="20"/>
          <w:szCs w:val="20"/>
        </w:rPr>
      </w:pPr>
      <w:r w:rsidRPr="007C51D6">
        <w:rPr>
          <w:rFonts w:eastAsia="Arial"/>
          <w:sz w:val="20"/>
          <w:szCs w:val="20"/>
        </w:rPr>
        <w:t>*</w:t>
      </w:r>
      <w:r w:rsidR="00765FA9" w:rsidRPr="007C51D6">
        <w:rPr>
          <w:rFonts w:eastAsia="Arial"/>
          <w:sz w:val="20"/>
          <w:szCs w:val="20"/>
        </w:rPr>
        <w:t>Представлены оперативные данные</w:t>
      </w:r>
      <w:r w:rsidRPr="007C51D6">
        <w:rPr>
          <w:rFonts w:eastAsia="Arial"/>
          <w:sz w:val="20"/>
          <w:szCs w:val="20"/>
        </w:rPr>
        <w:t>.</w:t>
      </w:r>
    </w:p>
    <w:p w:rsidR="003071AB" w:rsidRPr="007C51D6" w:rsidRDefault="003071AB" w:rsidP="003071AB">
      <w:pPr>
        <w:autoSpaceDE/>
        <w:autoSpaceDN/>
        <w:adjustRightInd/>
        <w:ind w:firstLine="709"/>
        <w:rPr>
          <w:rFonts w:eastAsia="Arial"/>
          <w:sz w:val="28"/>
          <w:szCs w:val="28"/>
        </w:rPr>
      </w:pPr>
    </w:p>
    <w:p w:rsidR="00AD4EBD" w:rsidRPr="007C51D6" w:rsidRDefault="00DD297A" w:rsidP="006269AB">
      <w:pPr>
        <w:autoSpaceDE/>
        <w:autoSpaceDN/>
        <w:adjustRightInd/>
        <w:ind w:firstLine="709"/>
        <w:jc w:val="both"/>
        <w:rPr>
          <w:rFonts w:eastAsia="Arial"/>
          <w:sz w:val="28"/>
          <w:szCs w:val="28"/>
        </w:rPr>
      </w:pPr>
      <w:r w:rsidRPr="007C51D6">
        <w:rPr>
          <w:rFonts w:eastAsia="Arial"/>
          <w:sz w:val="28"/>
          <w:szCs w:val="28"/>
        </w:rPr>
        <w:t>Темп прирпоста ч</w:t>
      </w:r>
      <w:r w:rsidR="00A12136" w:rsidRPr="007C51D6">
        <w:rPr>
          <w:rFonts w:eastAsia="Arial"/>
          <w:sz w:val="28"/>
          <w:szCs w:val="28"/>
        </w:rPr>
        <w:t>исл</w:t>
      </w:r>
      <w:r w:rsidRPr="007C51D6">
        <w:rPr>
          <w:rFonts w:eastAsia="Arial"/>
          <w:sz w:val="28"/>
          <w:szCs w:val="28"/>
        </w:rPr>
        <w:t>а</w:t>
      </w:r>
      <w:r w:rsidR="00A12136" w:rsidRPr="007C51D6">
        <w:rPr>
          <w:rFonts w:eastAsia="Arial"/>
          <w:sz w:val="28"/>
          <w:szCs w:val="28"/>
        </w:rPr>
        <w:t xml:space="preserve"> пациентов, состоящих под диспансерным наблюдением с ЗНО в стадии in situ</w:t>
      </w:r>
      <w:r w:rsidR="003071AB" w:rsidRPr="007C51D6">
        <w:rPr>
          <w:rFonts w:eastAsia="Arial"/>
          <w:sz w:val="28"/>
          <w:szCs w:val="28"/>
        </w:rPr>
        <w:t>,</w:t>
      </w:r>
      <w:r w:rsidR="00A12136" w:rsidRPr="007C51D6">
        <w:rPr>
          <w:rFonts w:eastAsia="Arial"/>
          <w:sz w:val="28"/>
          <w:szCs w:val="28"/>
        </w:rPr>
        <w:t xml:space="preserve"> в 202</w:t>
      </w:r>
      <w:r w:rsidRPr="007C51D6">
        <w:rPr>
          <w:rFonts w:eastAsia="Arial"/>
          <w:sz w:val="28"/>
          <w:szCs w:val="28"/>
        </w:rPr>
        <w:t>5</w:t>
      </w:r>
      <w:r w:rsidR="00A12136" w:rsidRPr="007C51D6">
        <w:rPr>
          <w:rFonts w:eastAsia="Arial"/>
          <w:sz w:val="28"/>
          <w:szCs w:val="28"/>
        </w:rPr>
        <w:t xml:space="preserve"> году по сравнению с 201</w:t>
      </w:r>
      <w:r w:rsidRPr="007C51D6">
        <w:rPr>
          <w:rFonts w:eastAsia="Arial"/>
          <w:sz w:val="28"/>
          <w:szCs w:val="28"/>
        </w:rPr>
        <w:t>6</w:t>
      </w:r>
      <w:r w:rsidR="00A12136" w:rsidRPr="007C51D6">
        <w:rPr>
          <w:rFonts w:eastAsia="Arial"/>
          <w:sz w:val="28"/>
          <w:szCs w:val="28"/>
        </w:rPr>
        <w:t xml:space="preserve"> годом </w:t>
      </w:r>
      <w:r w:rsidRPr="007C51D6">
        <w:rPr>
          <w:rFonts w:eastAsia="Arial"/>
          <w:sz w:val="28"/>
          <w:szCs w:val="28"/>
        </w:rPr>
        <w:t>составил 93,5 процента</w:t>
      </w:r>
      <w:r w:rsidR="00A12136" w:rsidRPr="007C51D6">
        <w:rPr>
          <w:rFonts w:eastAsia="Arial"/>
          <w:sz w:val="28"/>
          <w:szCs w:val="28"/>
        </w:rPr>
        <w:t xml:space="preserve"> (в 202</w:t>
      </w:r>
      <w:r w:rsidRPr="007C51D6">
        <w:rPr>
          <w:rFonts w:eastAsia="Arial"/>
          <w:sz w:val="28"/>
          <w:szCs w:val="28"/>
        </w:rPr>
        <w:t>5</w:t>
      </w:r>
      <w:r w:rsidR="00A12136" w:rsidRPr="007C51D6">
        <w:rPr>
          <w:rFonts w:eastAsia="Arial"/>
          <w:sz w:val="28"/>
          <w:szCs w:val="28"/>
        </w:rPr>
        <w:t xml:space="preserve"> году – 5</w:t>
      </w:r>
      <w:r w:rsidR="003071AB" w:rsidRPr="007C51D6">
        <w:rPr>
          <w:rFonts w:eastAsia="Arial"/>
          <w:sz w:val="28"/>
          <w:szCs w:val="28"/>
        </w:rPr>
        <w:t xml:space="preserve"> </w:t>
      </w:r>
      <w:r w:rsidRPr="007C51D6">
        <w:rPr>
          <w:rFonts w:eastAsia="Arial"/>
          <w:sz w:val="28"/>
          <w:szCs w:val="28"/>
        </w:rPr>
        <w:t>947</w:t>
      </w:r>
      <w:r w:rsidR="00A12136" w:rsidRPr="007C51D6">
        <w:rPr>
          <w:rFonts w:eastAsia="Arial"/>
          <w:sz w:val="28"/>
          <w:szCs w:val="28"/>
        </w:rPr>
        <w:t xml:space="preserve"> человек, в 201</w:t>
      </w:r>
      <w:r w:rsidRPr="007C51D6">
        <w:rPr>
          <w:rFonts w:eastAsia="Arial"/>
          <w:sz w:val="28"/>
          <w:szCs w:val="28"/>
        </w:rPr>
        <w:t>6</w:t>
      </w:r>
      <w:r w:rsidR="00A12136" w:rsidRPr="007C51D6">
        <w:rPr>
          <w:rFonts w:eastAsia="Arial"/>
          <w:sz w:val="28"/>
          <w:szCs w:val="28"/>
        </w:rPr>
        <w:t xml:space="preserve"> году – </w:t>
      </w:r>
      <w:r w:rsidRPr="007C51D6">
        <w:rPr>
          <w:rFonts w:eastAsia="Arial"/>
          <w:sz w:val="28"/>
          <w:szCs w:val="28"/>
        </w:rPr>
        <w:t>3</w:t>
      </w:r>
      <w:r w:rsidR="003071AB" w:rsidRPr="007C51D6">
        <w:rPr>
          <w:rFonts w:eastAsia="Arial"/>
          <w:sz w:val="28"/>
          <w:szCs w:val="28"/>
        </w:rPr>
        <w:t xml:space="preserve"> </w:t>
      </w:r>
      <w:r w:rsidRPr="007C51D6">
        <w:rPr>
          <w:rFonts w:eastAsia="Arial"/>
          <w:sz w:val="28"/>
          <w:szCs w:val="28"/>
        </w:rPr>
        <w:t>073</w:t>
      </w:r>
      <w:r w:rsidR="00A12136" w:rsidRPr="007C51D6">
        <w:rPr>
          <w:rFonts w:eastAsia="Arial"/>
          <w:sz w:val="28"/>
          <w:szCs w:val="28"/>
        </w:rPr>
        <w:t xml:space="preserve"> человека)</w:t>
      </w:r>
      <w:r w:rsidR="006269AB" w:rsidRPr="007C51D6">
        <w:rPr>
          <w:rFonts w:eastAsia="Arial"/>
          <w:sz w:val="28"/>
          <w:szCs w:val="28"/>
        </w:rPr>
        <w:t>, увеличение числа пациентов регистрируется по всем локализациям ЗНО в стадии in situ</w:t>
      </w:r>
      <w:r w:rsidR="00CC04B7" w:rsidRPr="007C51D6">
        <w:rPr>
          <w:rFonts w:eastAsia="Arial"/>
          <w:sz w:val="28"/>
          <w:szCs w:val="28"/>
        </w:rPr>
        <w:t xml:space="preserve"> (таблица 8)</w:t>
      </w:r>
      <w:r w:rsidR="00A12136" w:rsidRPr="007C51D6">
        <w:rPr>
          <w:rFonts w:eastAsia="Arial"/>
          <w:sz w:val="28"/>
          <w:szCs w:val="28"/>
        </w:rPr>
        <w:t xml:space="preserve">. </w:t>
      </w:r>
    </w:p>
    <w:p w:rsidR="006269AB" w:rsidRPr="007C51D6" w:rsidRDefault="006269AB" w:rsidP="00AC2960">
      <w:pPr>
        <w:autoSpaceDE/>
        <w:autoSpaceDN/>
        <w:adjustRightInd/>
        <w:ind w:firstLine="709"/>
        <w:jc w:val="right"/>
        <w:rPr>
          <w:rFonts w:eastAsia="Arial"/>
          <w:sz w:val="28"/>
          <w:szCs w:val="28"/>
        </w:rPr>
      </w:pPr>
    </w:p>
    <w:p w:rsidR="00AC2960" w:rsidRPr="007C51D6" w:rsidRDefault="00AC2960" w:rsidP="00AC2960">
      <w:pPr>
        <w:autoSpaceDE/>
        <w:autoSpaceDN/>
        <w:adjustRightInd/>
        <w:ind w:firstLine="709"/>
        <w:jc w:val="right"/>
        <w:rPr>
          <w:rFonts w:eastAsia="Arial"/>
          <w:sz w:val="28"/>
          <w:szCs w:val="28"/>
        </w:rPr>
      </w:pPr>
      <w:r w:rsidRPr="007C51D6">
        <w:rPr>
          <w:rFonts w:eastAsia="Arial"/>
          <w:sz w:val="28"/>
          <w:szCs w:val="28"/>
        </w:rPr>
        <w:t xml:space="preserve">Таблица </w:t>
      </w:r>
      <w:r w:rsidR="00661F3C" w:rsidRPr="007C51D6">
        <w:rPr>
          <w:rFonts w:eastAsia="Arial"/>
          <w:sz w:val="28"/>
          <w:szCs w:val="28"/>
        </w:rPr>
        <w:t>8.1</w:t>
      </w:r>
    </w:p>
    <w:p w:rsidR="000B0BC5" w:rsidRPr="007C51D6" w:rsidRDefault="000B0BC5" w:rsidP="00821FAB">
      <w:pPr>
        <w:autoSpaceDE/>
        <w:autoSpaceDN/>
        <w:adjustRightInd/>
        <w:ind w:firstLine="709"/>
        <w:jc w:val="right"/>
        <w:rPr>
          <w:rFonts w:eastAsia="Arial"/>
          <w:sz w:val="28"/>
          <w:szCs w:val="28"/>
        </w:rPr>
      </w:pPr>
    </w:p>
    <w:p w:rsidR="00A05467" w:rsidRPr="007C51D6" w:rsidRDefault="00A05467" w:rsidP="00A05467">
      <w:pPr>
        <w:autoSpaceDE/>
        <w:autoSpaceDN/>
        <w:adjustRightInd/>
        <w:ind w:firstLine="709"/>
        <w:jc w:val="center"/>
        <w:rPr>
          <w:color w:val="000000"/>
          <w:sz w:val="28"/>
          <w:szCs w:val="28"/>
        </w:rPr>
      </w:pPr>
      <w:r w:rsidRPr="007C51D6">
        <w:rPr>
          <w:rFonts w:eastAsia="Arial"/>
          <w:sz w:val="28"/>
          <w:szCs w:val="28"/>
        </w:rPr>
        <w:t>Динамика показателя запущенности ЗНО в Республике Татарстан в 2016 – 2025 годах</w:t>
      </w:r>
      <w:r w:rsidRPr="007C51D6">
        <w:rPr>
          <w:rFonts w:eastAsia="Arial"/>
          <w:sz w:val="28"/>
          <w:szCs w:val="28"/>
          <w:vertAlign w:val="superscript"/>
        </w:rPr>
        <w:t>*</w:t>
      </w:r>
      <w:r w:rsidRPr="007C51D6">
        <w:rPr>
          <w:rFonts w:eastAsia="Arial"/>
          <w:sz w:val="28"/>
          <w:szCs w:val="28"/>
        </w:rPr>
        <w:t xml:space="preserve"> </w:t>
      </w:r>
    </w:p>
    <w:p w:rsidR="00B02094" w:rsidRPr="007C51D6" w:rsidRDefault="00B02094" w:rsidP="00B02094">
      <w:pPr>
        <w:autoSpaceDE/>
        <w:autoSpaceDN/>
        <w:adjustRightInd/>
        <w:ind w:firstLine="709"/>
        <w:jc w:val="center"/>
        <w:rPr>
          <w:color w:val="000000"/>
          <w:sz w:val="28"/>
          <w:szCs w:val="28"/>
        </w:rPr>
      </w:pPr>
    </w:p>
    <w:p w:rsidR="003071AB" w:rsidRPr="007C51D6" w:rsidRDefault="003071AB" w:rsidP="003071AB">
      <w:pPr>
        <w:autoSpaceDE/>
        <w:autoSpaceDN/>
        <w:adjustRightInd/>
        <w:ind w:firstLine="709"/>
        <w:jc w:val="right"/>
        <w:rPr>
          <w:color w:val="000000"/>
          <w:sz w:val="20"/>
          <w:szCs w:val="20"/>
        </w:rPr>
      </w:pPr>
      <w:r w:rsidRPr="007C51D6">
        <w:rPr>
          <w:color w:val="000000"/>
          <w:sz w:val="20"/>
          <w:szCs w:val="20"/>
        </w:rPr>
        <w:t>(процентов)</w:t>
      </w:r>
    </w:p>
    <w:tbl>
      <w:tblPr>
        <w:tblStyle w:val="af1"/>
        <w:tblW w:w="0" w:type="auto"/>
        <w:tblCellMar>
          <w:top w:w="28" w:type="dxa"/>
          <w:bottom w:w="28" w:type="dxa"/>
        </w:tblCellMar>
        <w:tblLook w:val="04A0" w:firstRow="1" w:lastRow="0" w:firstColumn="1" w:lastColumn="0" w:noHBand="0" w:noVBand="1"/>
      </w:tblPr>
      <w:tblGrid>
        <w:gridCol w:w="1511"/>
        <w:gridCol w:w="1512"/>
        <w:gridCol w:w="1513"/>
        <w:gridCol w:w="1513"/>
        <w:gridCol w:w="1513"/>
        <w:gridCol w:w="1513"/>
        <w:gridCol w:w="1513"/>
        <w:gridCol w:w="1513"/>
        <w:gridCol w:w="1513"/>
        <w:gridCol w:w="1513"/>
      </w:tblGrid>
      <w:tr w:rsidR="00A05467" w:rsidRPr="007C51D6" w:rsidTr="00A05467">
        <w:tc>
          <w:tcPr>
            <w:tcW w:w="1511" w:type="dxa"/>
          </w:tcPr>
          <w:p w:rsidR="00A05467" w:rsidRPr="007C51D6" w:rsidRDefault="00A05467" w:rsidP="00A05467">
            <w:pPr>
              <w:autoSpaceDE/>
              <w:autoSpaceDN/>
              <w:adjustRightInd/>
              <w:jc w:val="center"/>
              <w:rPr>
                <w:bCs/>
                <w:color w:val="000000"/>
                <w:sz w:val="20"/>
                <w:szCs w:val="20"/>
              </w:rPr>
            </w:pPr>
            <w:r w:rsidRPr="007C51D6">
              <w:rPr>
                <w:bCs/>
                <w:color w:val="000000"/>
                <w:sz w:val="20"/>
                <w:szCs w:val="20"/>
              </w:rPr>
              <w:t>2016 г.</w:t>
            </w:r>
          </w:p>
        </w:tc>
        <w:tc>
          <w:tcPr>
            <w:tcW w:w="1512" w:type="dxa"/>
          </w:tcPr>
          <w:p w:rsidR="00A05467" w:rsidRPr="007C51D6" w:rsidRDefault="00A05467" w:rsidP="00A05467">
            <w:pPr>
              <w:autoSpaceDE/>
              <w:autoSpaceDN/>
              <w:adjustRightInd/>
              <w:jc w:val="center"/>
              <w:rPr>
                <w:bCs/>
                <w:color w:val="000000"/>
                <w:sz w:val="20"/>
                <w:szCs w:val="20"/>
              </w:rPr>
            </w:pPr>
            <w:r w:rsidRPr="007C51D6">
              <w:rPr>
                <w:bCs/>
                <w:color w:val="000000"/>
                <w:sz w:val="20"/>
                <w:szCs w:val="20"/>
              </w:rPr>
              <w:t>2017 г.</w:t>
            </w:r>
          </w:p>
        </w:tc>
        <w:tc>
          <w:tcPr>
            <w:tcW w:w="1513" w:type="dxa"/>
          </w:tcPr>
          <w:p w:rsidR="00A05467" w:rsidRPr="007C51D6" w:rsidRDefault="00A05467" w:rsidP="00A05467">
            <w:pPr>
              <w:autoSpaceDE/>
              <w:autoSpaceDN/>
              <w:adjustRightInd/>
              <w:jc w:val="center"/>
              <w:rPr>
                <w:bCs/>
                <w:color w:val="000000"/>
                <w:sz w:val="20"/>
                <w:szCs w:val="20"/>
              </w:rPr>
            </w:pPr>
            <w:r w:rsidRPr="007C51D6">
              <w:rPr>
                <w:bCs/>
                <w:color w:val="000000"/>
                <w:sz w:val="20"/>
                <w:szCs w:val="20"/>
              </w:rPr>
              <w:t>2018 г.</w:t>
            </w:r>
          </w:p>
        </w:tc>
        <w:tc>
          <w:tcPr>
            <w:tcW w:w="1513" w:type="dxa"/>
          </w:tcPr>
          <w:p w:rsidR="00A05467" w:rsidRPr="007C51D6" w:rsidRDefault="00A05467" w:rsidP="00A05467">
            <w:pPr>
              <w:autoSpaceDE/>
              <w:autoSpaceDN/>
              <w:adjustRightInd/>
              <w:jc w:val="center"/>
              <w:rPr>
                <w:rFonts w:eastAsia="Arial"/>
                <w:sz w:val="20"/>
                <w:szCs w:val="20"/>
              </w:rPr>
            </w:pPr>
            <w:r w:rsidRPr="007C51D6">
              <w:rPr>
                <w:rFonts w:eastAsia="Arial"/>
                <w:sz w:val="20"/>
                <w:szCs w:val="20"/>
              </w:rPr>
              <w:t>2019</w:t>
            </w:r>
            <w:r w:rsidRPr="007C51D6">
              <w:rPr>
                <w:bCs/>
                <w:color w:val="000000"/>
                <w:sz w:val="20"/>
                <w:szCs w:val="20"/>
              </w:rPr>
              <w:t xml:space="preserve"> г.</w:t>
            </w:r>
          </w:p>
        </w:tc>
        <w:tc>
          <w:tcPr>
            <w:tcW w:w="1513" w:type="dxa"/>
          </w:tcPr>
          <w:p w:rsidR="00A05467" w:rsidRPr="007C51D6" w:rsidRDefault="00A05467" w:rsidP="00A05467">
            <w:pPr>
              <w:autoSpaceDE/>
              <w:autoSpaceDN/>
              <w:adjustRightInd/>
              <w:jc w:val="center"/>
              <w:rPr>
                <w:rFonts w:eastAsia="Arial"/>
                <w:sz w:val="20"/>
                <w:szCs w:val="20"/>
              </w:rPr>
            </w:pPr>
            <w:r w:rsidRPr="007C51D6">
              <w:rPr>
                <w:rFonts w:eastAsia="Arial"/>
                <w:sz w:val="20"/>
                <w:szCs w:val="20"/>
              </w:rPr>
              <w:t>2020</w:t>
            </w:r>
            <w:r w:rsidRPr="007C51D6">
              <w:rPr>
                <w:bCs/>
                <w:color w:val="000000"/>
                <w:sz w:val="20"/>
                <w:szCs w:val="20"/>
              </w:rPr>
              <w:t xml:space="preserve"> г.</w:t>
            </w:r>
          </w:p>
        </w:tc>
        <w:tc>
          <w:tcPr>
            <w:tcW w:w="1513" w:type="dxa"/>
          </w:tcPr>
          <w:p w:rsidR="00A05467" w:rsidRPr="007C51D6" w:rsidRDefault="00A05467" w:rsidP="00A05467">
            <w:pPr>
              <w:autoSpaceDE/>
              <w:autoSpaceDN/>
              <w:adjustRightInd/>
              <w:jc w:val="center"/>
              <w:rPr>
                <w:rFonts w:eastAsia="Arial"/>
                <w:sz w:val="20"/>
                <w:szCs w:val="20"/>
              </w:rPr>
            </w:pPr>
            <w:r w:rsidRPr="007C51D6">
              <w:rPr>
                <w:rFonts w:eastAsia="Arial"/>
                <w:sz w:val="20"/>
                <w:szCs w:val="20"/>
              </w:rPr>
              <w:t>2021</w:t>
            </w:r>
            <w:r w:rsidRPr="007C51D6">
              <w:rPr>
                <w:bCs/>
                <w:color w:val="000000"/>
                <w:sz w:val="20"/>
                <w:szCs w:val="20"/>
              </w:rPr>
              <w:t xml:space="preserve"> г.</w:t>
            </w:r>
          </w:p>
        </w:tc>
        <w:tc>
          <w:tcPr>
            <w:tcW w:w="1513" w:type="dxa"/>
          </w:tcPr>
          <w:p w:rsidR="00A05467" w:rsidRPr="007C51D6" w:rsidRDefault="00A05467" w:rsidP="00A05467">
            <w:pPr>
              <w:autoSpaceDE/>
              <w:autoSpaceDN/>
              <w:adjustRightInd/>
              <w:jc w:val="center"/>
              <w:rPr>
                <w:rFonts w:eastAsia="Arial"/>
                <w:sz w:val="20"/>
                <w:szCs w:val="20"/>
              </w:rPr>
            </w:pPr>
            <w:r w:rsidRPr="007C51D6">
              <w:rPr>
                <w:rFonts w:eastAsia="Arial"/>
                <w:sz w:val="20"/>
                <w:szCs w:val="20"/>
              </w:rPr>
              <w:t>2022</w:t>
            </w:r>
            <w:r w:rsidRPr="007C51D6">
              <w:rPr>
                <w:bCs/>
                <w:color w:val="000000"/>
                <w:sz w:val="20"/>
                <w:szCs w:val="20"/>
              </w:rPr>
              <w:t xml:space="preserve"> г.</w:t>
            </w:r>
          </w:p>
        </w:tc>
        <w:tc>
          <w:tcPr>
            <w:tcW w:w="1513" w:type="dxa"/>
          </w:tcPr>
          <w:p w:rsidR="00A05467" w:rsidRPr="007C51D6" w:rsidRDefault="00A05467" w:rsidP="00A05467">
            <w:pPr>
              <w:autoSpaceDE/>
              <w:autoSpaceDN/>
              <w:adjustRightInd/>
              <w:jc w:val="center"/>
              <w:rPr>
                <w:rFonts w:eastAsia="Arial"/>
                <w:sz w:val="20"/>
                <w:szCs w:val="20"/>
              </w:rPr>
            </w:pPr>
            <w:r w:rsidRPr="007C51D6">
              <w:rPr>
                <w:rFonts w:eastAsia="Arial"/>
                <w:sz w:val="20"/>
                <w:szCs w:val="20"/>
              </w:rPr>
              <w:t>2023 г.</w:t>
            </w:r>
          </w:p>
        </w:tc>
        <w:tc>
          <w:tcPr>
            <w:tcW w:w="1513" w:type="dxa"/>
          </w:tcPr>
          <w:p w:rsidR="00A05467" w:rsidRPr="007C51D6" w:rsidRDefault="00A05467" w:rsidP="00A05467">
            <w:pPr>
              <w:autoSpaceDE/>
              <w:autoSpaceDN/>
              <w:adjustRightInd/>
              <w:jc w:val="center"/>
              <w:rPr>
                <w:rFonts w:eastAsia="Arial"/>
                <w:sz w:val="20"/>
                <w:szCs w:val="20"/>
              </w:rPr>
            </w:pPr>
            <w:r w:rsidRPr="007C51D6">
              <w:rPr>
                <w:rFonts w:eastAsia="Arial"/>
                <w:sz w:val="20"/>
                <w:szCs w:val="20"/>
              </w:rPr>
              <w:t>2024 г.</w:t>
            </w:r>
          </w:p>
        </w:tc>
        <w:tc>
          <w:tcPr>
            <w:tcW w:w="1513" w:type="dxa"/>
          </w:tcPr>
          <w:p w:rsidR="00A05467" w:rsidRPr="007C51D6" w:rsidRDefault="00A05467" w:rsidP="00A05467">
            <w:pPr>
              <w:autoSpaceDE/>
              <w:autoSpaceDN/>
              <w:adjustRightInd/>
              <w:jc w:val="center"/>
              <w:rPr>
                <w:rFonts w:eastAsia="Arial"/>
                <w:sz w:val="20"/>
                <w:szCs w:val="20"/>
              </w:rPr>
            </w:pPr>
            <w:r w:rsidRPr="007C51D6">
              <w:rPr>
                <w:rFonts w:eastAsia="Arial"/>
                <w:sz w:val="20"/>
                <w:szCs w:val="20"/>
              </w:rPr>
              <w:t>2025 г.</w:t>
            </w:r>
          </w:p>
        </w:tc>
      </w:tr>
      <w:tr w:rsidR="00A05467" w:rsidRPr="007C51D6" w:rsidTr="00A05467">
        <w:tc>
          <w:tcPr>
            <w:tcW w:w="1511" w:type="dxa"/>
            <w:vAlign w:val="bottom"/>
          </w:tcPr>
          <w:p w:rsidR="00A05467" w:rsidRPr="007C51D6" w:rsidRDefault="00A05467" w:rsidP="00A05467">
            <w:pPr>
              <w:jc w:val="center"/>
              <w:rPr>
                <w:color w:val="000000"/>
                <w:sz w:val="20"/>
                <w:szCs w:val="20"/>
              </w:rPr>
            </w:pPr>
            <w:r w:rsidRPr="007C51D6">
              <w:rPr>
                <w:color w:val="000000"/>
                <w:sz w:val="20"/>
                <w:szCs w:val="20"/>
              </w:rPr>
              <w:t>35,60</w:t>
            </w:r>
          </w:p>
        </w:tc>
        <w:tc>
          <w:tcPr>
            <w:tcW w:w="1512" w:type="dxa"/>
            <w:vAlign w:val="bottom"/>
          </w:tcPr>
          <w:p w:rsidR="00A05467" w:rsidRPr="007C51D6" w:rsidRDefault="00A05467" w:rsidP="00A05467">
            <w:pPr>
              <w:jc w:val="center"/>
              <w:rPr>
                <w:color w:val="000000"/>
                <w:sz w:val="20"/>
                <w:szCs w:val="20"/>
              </w:rPr>
            </w:pPr>
            <w:r w:rsidRPr="007C51D6">
              <w:rPr>
                <w:color w:val="000000"/>
                <w:sz w:val="20"/>
                <w:szCs w:val="20"/>
              </w:rPr>
              <w:t>35,63</w:t>
            </w:r>
          </w:p>
        </w:tc>
        <w:tc>
          <w:tcPr>
            <w:tcW w:w="1513" w:type="dxa"/>
            <w:vAlign w:val="bottom"/>
          </w:tcPr>
          <w:p w:rsidR="00A05467" w:rsidRPr="007C51D6" w:rsidRDefault="00A05467" w:rsidP="00A05467">
            <w:pPr>
              <w:jc w:val="center"/>
              <w:rPr>
                <w:color w:val="000000"/>
                <w:sz w:val="20"/>
                <w:szCs w:val="20"/>
              </w:rPr>
            </w:pPr>
            <w:r w:rsidRPr="007C51D6">
              <w:rPr>
                <w:color w:val="000000"/>
                <w:sz w:val="20"/>
                <w:szCs w:val="20"/>
              </w:rPr>
              <w:t>35,76</w:t>
            </w:r>
          </w:p>
        </w:tc>
        <w:tc>
          <w:tcPr>
            <w:tcW w:w="1513" w:type="dxa"/>
            <w:vAlign w:val="bottom"/>
          </w:tcPr>
          <w:p w:rsidR="00A05467" w:rsidRPr="007C51D6" w:rsidRDefault="00A05467" w:rsidP="00A05467">
            <w:pPr>
              <w:jc w:val="center"/>
              <w:rPr>
                <w:color w:val="000000"/>
                <w:sz w:val="20"/>
                <w:szCs w:val="20"/>
              </w:rPr>
            </w:pPr>
            <w:r w:rsidRPr="007C51D6">
              <w:rPr>
                <w:color w:val="000000"/>
                <w:sz w:val="20"/>
                <w:szCs w:val="20"/>
              </w:rPr>
              <w:t>32,60</w:t>
            </w:r>
          </w:p>
        </w:tc>
        <w:tc>
          <w:tcPr>
            <w:tcW w:w="1513" w:type="dxa"/>
            <w:vAlign w:val="bottom"/>
          </w:tcPr>
          <w:p w:rsidR="00A05467" w:rsidRPr="007C51D6" w:rsidRDefault="00A05467" w:rsidP="00A05467">
            <w:pPr>
              <w:jc w:val="center"/>
              <w:rPr>
                <w:color w:val="000000"/>
                <w:sz w:val="20"/>
                <w:szCs w:val="20"/>
              </w:rPr>
            </w:pPr>
            <w:r w:rsidRPr="007C51D6">
              <w:rPr>
                <w:color w:val="000000"/>
                <w:sz w:val="20"/>
                <w:szCs w:val="20"/>
              </w:rPr>
              <w:t>33,07</w:t>
            </w:r>
          </w:p>
        </w:tc>
        <w:tc>
          <w:tcPr>
            <w:tcW w:w="1513" w:type="dxa"/>
            <w:vAlign w:val="bottom"/>
          </w:tcPr>
          <w:p w:rsidR="00A05467" w:rsidRPr="007C51D6" w:rsidRDefault="00A05467" w:rsidP="00A05467">
            <w:pPr>
              <w:jc w:val="center"/>
              <w:rPr>
                <w:color w:val="000000"/>
                <w:sz w:val="20"/>
                <w:szCs w:val="20"/>
              </w:rPr>
            </w:pPr>
            <w:r w:rsidRPr="007C51D6">
              <w:rPr>
                <w:color w:val="000000"/>
                <w:sz w:val="20"/>
                <w:szCs w:val="20"/>
              </w:rPr>
              <w:t>30,67</w:t>
            </w:r>
          </w:p>
        </w:tc>
        <w:tc>
          <w:tcPr>
            <w:tcW w:w="1513" w:type="dxa"/>
            <w:vAlign w:val="bottom"/>
          </w:tcPr>
          <w:p w:rsidR="00A05467" w:rsidRPr="007C51D6" w:rsidRDefault="00A05467" w:rsidP="00A05467">
            <w:pPr>
              <w:jc w:val="center"/>
              <w:rPr>
                <w:color w:val="000000"/>
                <w:sz w:val="20"/>
                <w:szCs w:val="20"/>
              </w:rPr>
            </w:pPr>
            <w:r w:rsidRPr="007C51D6">
              <w:rPr>
                <w:color w:val="000000"/>
                <w:sz w:val="20"/>
                <w:szCs w:val="20"/>
              </w:rPr>
              <w:t>31,16</w:t>
            </w:r>
          </w:p>
        </w:tc>
        <w:tc>
          <w:tcPr>
            <w:tcW w:w="1513" w:type="dxa"/>
            <w:vAlign w:val="bottom"/>
          </w:tcPr>
          <w:p w:rsidR="00A05467" w:rsidRPr="007C51D6" w:rsidRDefault="00A05467" w:rsidP="00A05467">
            <w:pPr>
              <w:jc w:val="center"/>
              <w:rPr>
                <w:color w:val="000000"/>
                <w:sz w:val="20"/>
                <w:szCs w:val="20"/>
              </w:rPr>
            </w:pPr>
            <w:r w:rsidRPr="007C51D6">
              <w:rPr>
                <w:color w:val="000000"/>
                <w:sz w:val="20"/>
                <w:szCs w:val="20"/>
              </w:rPr>
              <w:t>30,09</w:t>
            </w:r>
          </w:p>
        </w:tc>
        <w:tc>
          <w:tcPr>
            <w:tcW w:w="1513" w:type="dxa"/>
            <w:vAlign w:val="bottom"/>
          </w:tcPr>
          <w:p w:rsidR="00A05467" w:rsidRPr="007C51D6" w:rsidRDefault="00A05467" w:rsidP="00A05467">
            <w:pPr>
              <w:jc w:val="center"/>
              <w:rPr>
                <w:color w:val="000000"/>
                <w:sz w:val="20"/>
                <w:szCs w:val="20"/>
              </w:rPr>
            </w:pPr>
            <w:r w:rsidRPr="007C51D6">
              <w:rPr>
                <w:color w:val="000000"/>
                <w:sz w:val="20"/>
                <w:szCs w:val="20"/>
              </w:rPr>
              <w:t>29,08</w:t>
            </w:r>
          </w:p>
        </w:tc>
        <w:tc>
          <w:tcPr>
            <w:tcW w:w="1513" w:type="dxa"/>
          </w:tcPr>
          <w:p w:rsidR="00A05467" w:rsidRPr="007C51D6" w:rsidRDefault="00AC209C" w:rsidP="00A05467">
            <w:pPr>
              <w:jc w:val="center"/>
              <w:rPr>
                <w:color w:val="000000"/>
                <w:sz w:val="20"/>
                <w:szCs w:val="20"/>
              </w:rPr>
            </w:pPr>
            <w:r w:rsidRPr="007C51D6">
              <w:rPr>
                <w:color w:val="000000"/>
                <w:sz w:val="20"/>
                <w:szCs w:val="20"/>
              </w:rPr>
              <w:t>28,68</w:t>
            </w:r>
          </w:p>
        </w:tc>
      </w:tr>
    </w:tbl>
    <w:p w:rsidR="00037645" w:rsidRPr="007C51D6" w:rsidRDefault="00037645" w:rsidP="004169FC">
      <w:pPr>
        <w:autoSpaceDE/>
        <w:autoSpaceDN/>
        <w:adjustRightInd/>
        <w:jc w:val="both"/>
        <w:rPr>
          <w:color w:val="000000"/>
          <w:sz w:val="20"/>
          <w:szCs w:val="20"/>
        </w:rPr>
      </w:pPr>
    </w:p>
    <w:p w:rsidR="00AC2960" w:rsidRPr="007C51D6" w:rsidRDefault="007F3AFB" w:rsidP="003071AB">
      <w:pPr>
        <w:autoSpaceDE/>
        <w:autoSpaceDN/>
        <w:adjustRightInd/>
        <w:ind w:firstLine="709"/>
        <w:jc w:val="both"/>
        <w:rPr>
          <w:rFonts w:eastAsia="Arial"/>
          <w:sz w:val="20"/>
          <w:szCs w:val="20"/>
        </w:rPr>
      </w:pPr>
      <w:r w:rsidRPr="007C51D6">
        <w:rPr>
          <w:color w:val="000000"/>
          <w:sz w:val="20"/>
          <w:szCs w:val="20"/>
        </w:rPr>
        <w:t>*</w:t>
      </w:r>
      <w:r w:rsidR="003071AB" w:rsidRPr="007C51D6">
        <w:rPr>
          <w:color w:val="000000"/>
          <w:sz w:val="20"/>
          <w:szCs w:val="20"/>
        </w:rPr>
        <w:t>П</w:t>
      </w:r>
      <w:r w:rsidR="00AC2960" w:rsidRPr="007C51D6">
        <w:rPr>
          <w:rFonts w:eastAsia="Arial"/>
          <w:sz w:val="20"/>
          <w:szCs w:val="20"/>
        </w:rPr>
        <w:t xml:space="preserve">оказатель запущенности </w:t>
      </w:r>
      <w:r w:rsidR="003071AB" w:rsidRPr="007C51D6">
        <w:rPr>
          <w:rFonts w:eastAsia="Arial"/>
          <w:sz w:val="20"/>
          <w:szCs w:val="20"/>
        </w:rPr>
        <w:t>ЗНО</w:t>
      </w:r>
      <w:r w:rsidR="00AC2960" w:rsidRPr="007C51D6">
        <w:rPr>
          <w:rFonts w:eastAsia="Arial"/>
          <w:sz w:val="20"/>
          <w:szCs w:val="20"/>
        </w:rPr>
        <w:t xml:space="preserve"> расчитан </w:t>
      </w:r>
      <w:r w:rsidR="001D23AF" w:rsidRPr="007C51D6">
        <w:rPr>
          <w:rFonts w:eastAsia="Arial"/>
          <w:sz w:val="20"/>
          <w:szCs w:val="20"/>
        </w:rPr>
        <w:t>по формуле, установленной</w:t>
      </w:r>
      <w:r w:rsidR="00AC2960" w:rsidRPr="007C51D6">
        <w:rPr>
          <w:rFonts w:eastAsia="Arial"/>
          <w:sz w:val="20"/>
          <w:szCs w:val="20"/>
        </w:rPr>
        <w:t xml:space="preserve"> </w:t>
      </w:r>
      <w:r w:rsidR="003071AB" w:rsidRPr="007C51D6">
        <w:rPr>
          <w:rFonts w:eastAsia="Arial"/>
          <w:sz w:val="20"/>
          <w:szCs w:val="20"/>
        </w:rPr>
        <w:t>т</w:t>
      </w:r>
      <w:r w:rsidR="00AC2960" w:rsidRPr="007C51D6">
        <w:rPr>
          <w:rFonts w:eastAsia="Arial"/>
          <w:sz w:val="20"/>
          <w:szCs w:val="20"/>
        </w:rPr>
        <w:t xml:space="preserve">ребованиями к региональным программам </w:t>
      </w:r>
      <w:r w:rsidR="002F7358" w:rsidRPr="007C51D6">
        <w:rPr>
          <w:rFonts w:eastAsia="Arial"/>
          <w:sz w:val="20"/>
          <w:szCs w:val="20"/>
        </w:rPr>
        <w:t>«</w:t>
      </w:r>
      <w:r w:rsidR="00AC2960" w:rsidRPr="007C51D6">
        <w:rPr>
          <w:rFonts w:eastAsia="Arial"/>
          <w:sz w:val="20"/>
          <w:szCs w:val="20"/>
        </w:rPr>
        <w:t>Борьба с онкологическими заболеваниями</w:t>
      </w:r>
      <w:r w:rsidR="002F7358" w:rsidRPr="007C51D6">
        <w:rPr>
          <w:rFonts w:eastAsia="Arial"/>
          <w:sz w:val="20"/>
          <w:szCs w:val="20"/>
        </w:rPr>
        <w:t>»</w:t>
      </w:r>
      <w:r w:rsidR="00AC2960" w:rsidRPr="007C51D6">
        <w:rPr>
          <w:rFonts w:eastAsia="Arial"/>
          <w:sz w:val="20"/>
          <w:szCs w:val="20"/>
        </w:rPr>
        <w:t xml:space="preserve"> федерального проекта </w:t>
      </w:r>
      <w:r w:rsidR="002F7358" w:rsidRPr="007C51D6">
        <w:rPr>
          <w:rFonts w:eastAsia="Arial"/>
          <w:sz w:val="20"/>
          <w:szCs w:val="20"/>
        </w:rPr>
        <w:t>«</w:t>
      </w:r>
      <w:r w:rsidR="00AC2960" w:rsidRPr="007C51D6">
        <w:rPr>
          <w:rFonts w:eastAsia="Arial"/>
          <w:sz w:val="20"/>
          <w:szCs w:val="20"/>
        </w:rPr>
        <w:t>Борьба с онкологическими заболеваниями</w:t>
      </w:r>
      <w:r w:rsidR="002F7358" w:rsidRPr="007C51D6">
        <w:rPr>
          <w:rFonts w:eastAsia="Arial"/>
          <w:sz w:val="20"/>
          <w:szCs w:val="20"/>
        </w:rPr>
        <w:t>»</w:t>
      </w:r>
      <w:r w:rsidR="00AC2960" w:rsidRPr="007C51D6">
        <w:rPr>
          <w:rFonts w:eastAsia="Arial"/>
          <w:sz w:val="20"/>
          <w:szCs w:val="20"/>
        </w:rPr>
        <w:t xml:space="preserve"> </w:t>
      </w:r>
      <w:r w:rsidR="003071AB" w:rsidRPr="007C51D6">
        <w:rPr>
          <w:rFonts w:eastAsia="Arial"/>
          <w:sz w:val="20"/>
          <w:szCs w:val="20"/>
        </w:rPr>
        <w:t>н</w:t>
      </w:r>
      <w:r w:rsidR="00AC2960" w:rsidRPr="007C51D6">
        <w:rPr>
          <w:rFonts w:eastAsia="Arial"/>
          <w:sz w:val="20"/>
          <w:szCs w:val="20"/>
        </w:rPr>
        <w:t xml:space="preserve">ационального проекта </w:t>
      </w:r>
      <w:r w:rsidR="002F7358" w:rsidRPr="007C51D6">
        <w:rPr>
          <w:rFonts w:eastAsia="Arial"/>
          <w:sz w:val="20"/>
          <w:szCs w:val="20"/>
        </w:rPr>
        <w:t>«</w:t>
      </w:r>
      <w:r w:rsidR="00AC2960" w:rsidRPr="007C51D6">
        <w:rPr>
          <w:rFonts w:eastAsia="Arial"/>
          <w:sz w:val="20"/>
          <w:szCs w:val="20"/>
        </w:rPr>
        <w:t>Продолжительная и активная жизнь</w:t>
      </w:r>
      <w:r w:rsidR="002F7358" w:rsidRPr="007C51D6">
        <w:rPr>
          <w:rFonts w:eastAsia="Arial"/>
          <w:sz w:val="20"/>
          <w:szCs w:val="20"/>
        </w:rPr>
        <w:t>»</w:t>
      </w:r>
      <w:r w:rsidR="00AC2960" w:rsidRPr="007C51D6">
        <w:rPr>
          <w:rFonts w:eastAsia="Arial"/>
          <w:sz w:val="20"/>
          <w:szCs w:val="20"/>
        </w:rPr>
        <w:t xml:space="preserve"> на 2025 – 2030 годы</w:t>
      </w:r>
      <w:r w:rsidR="00F124D4" w:rsidRPr="007C51D6">
        <w:rPr>
          <w:rFonts w:eastAsia="Arial"/>
          <w:sz w:val="20"/>
          <w:szCs w:val="20"/>
        </w:rPr>
        <w:t xml:space="preserve">, </w:t>
      </w:r>
      <w:r w:rsidR="00920202" w:rsidRPr="007C51D6">
        <w:rPr>
          <w:rFonts w:eastAsia="Arial"/>
          <w:sz w:val="20"/>
          <w:szCs w:val="20"/>
        </w:rPr>
        <w:t>у</w:t>
      </w:r>
      <w:r w:rsidR="00F124D4" w:rsidRPr="007C51D6">
        <w:rPr>
          <w:rFonts w:eastAsia="Arial"/>
          <w:sz w:val="20"/>
          <w:szCs w:val="20"/>
        </w:rPr>
        <w:t>твержденн</w:t>
      </w:r>
      <w:r w:rsidR="00920202" w:rsidRPr="007C51D6">
        <w:rPr>
          <w:rFonts w:eastAsia="Arial"/>
          <w:sz w:val="20"/>
          <w:szCs w:val="20"/>
        </w:rPr>
        <w:t>ыми</w:t>
      </w:r>
      <w:r w:rsidR="00F124D4" w:rsidRPr="007C51D6">
        <w:rPr>
          <w:rFonts w:eastAsia="Arial"/>
          <w:sz w:val="20"/>
          <w:szCs w:val="20"/>
        </w:rPr>
        <w:t xml:space="preserve"> Министерством здравоохранения Российской Федерации </w:t>
      </w:r>
      <w:r w:rsidR="00920202" w:rsidRPr="007C51D6">
        <w:rPr>
          <w:rFonts w:eastAsia="Arial"/>
          <w:sz w:val="20"/>
          <w:szCs w:val="20"/>
        </w:rPr>
        <w:t xml:space="preserve">от </w:t>
      </w:r>
      <w:r w:rsidR="00F124D4" w:rsidRPr="007C51D6">
        <w:rPr>
          <w:rFonts w:eastAsia="Arial"/>
          <w:sz w:val="20"/>
          <w:szCs w:val="20"/>
        </w:rPr>
        <w:t>30 января 2025 г.</w:t>
      </w:r>
    </w:p>
    <w:p w:rsidR="008A5814" w:rsidRPr="007C51D6" w:rsidRDefault="008A5814" w:rsidP="008A5814">
      <w:pPr>
        <w:autoSpaceDE/>
        <w:autoSpaceDN/>
        <w:adjustRightInd/>
        <w:ind w:firstLine="709"/>
        <w:jc w:val="both"/>
        <w:rPr>
          <w:rFonts w:eastAsia="Arial"/>
          <w:spacing w:val="-4"/>
          <w:sz w:val="28"/>
          <w:szCs w:val="28"/>
        </w:rPr>
      </w:pPr>
    </w:p>
    <w:p w:rsidR="008A5814" w:rsidRPr="007C51D6" w:rsidRDefault="008A5814" w:rsidP="008A5814">
      <w:pPr>
        <w:autoSpaceDE/>
        <w:autoSpaceDN/>
        <w:adjustRightInd/>
        <w:ind w:firstLine="709"/>
        <w:jc w:val="both"/>
        <w:rPr>
          <w:rFonts w:eastAsia="Arial"/>
          <w:spacing w:val="-4"/>
          <w:sz w:val="28"/>
          <w:szCs w:val="28"/>
        </w:rPr>
      </w:pPr>
      <w:r w:rsidRPr="007C51D6">
        <w:rPr>
          <w:rFonts w:eastAsia="Arial"/>
          <w:spacing w:val="-4"/>
          <w:sz w:val="28"/>
          <w:szCs w:val="28"/>
        </w:rPr>
        <w:t>Показатель запущенности ЗНО в 202</w:t>
      </w:r>
      <w:r w:rsidR="00AC209C" w:rsidRPr="007C51D6">
        <w:rPr>
          <w:rFonts w:eastAsia="Arial"/>
          <w:spacing w:val="-4"/>
          <w:sz w:val="28"/>
          <w:szCs w:val="28"/>
        </w:rPr>
        <w:t>5</w:t>
      </w:r>
      <w:r w:rsidRPr="007C51D6">
        <w:rPr>
          <w:rFonts w:eastAsia="Arial"/>
          <w:spacing w:val="-4"/>
          <w:sz w:val="28"/>
          <w:szCs w:val="28"/>
        </w:rPr>
        <w:t xml:space="preserve"> году составил </w:t>
      </w:r>
      <w:r w:rsidR="000C1E96" w:rsidRPr="007C51D6">
        <w:rPr>
          <w:rFonts w:eastAsia="Arial"/>
          <w:spacing w:val="-4"/>
          <w:sz w:val="28"/>
          <w:szCs w:val="28"/>
        </w:rPr>
        <w:t>2</w:t>
      </w:r>
      <w:r w:rsidR="00AC209C" w:rsidRPr="007C51D6">
        <w:rPr>
          <w:rFonts w:eastAsia="Arial"/>
          <w:spacing w:val="-4"/>
          <w:sz w:val="28"/>
          <w:szCs w:val="28"/>
        </w:rPr>
        <w:t>8</w:t>
      </w:r>
      <w:r w:rsidR="000C1E96" w:rsidRPr="007C51D6">
        <w:rPr>
          <w:rFonts w:eastAsia="Arial"/>
          <w:spacing w:val="-4"/>
          <w:sz w:val="28"/>
          <w:szCs w:val="28"/>
        </w:rPr>
        <w:t>,</w:t>
      </w:r>
      <w:r w:rsidR="00AC209C" w:rsidRPr="007C51D6">
        <w:rPr>
          <w:rFonts w:eastAsia="Arial"/>
          <w:spacing w:val="-4"/>
          <w:sz w:val="28"/>
          <w:szCs w:val="28"/>
        </w:rPr>
        <w:t>6</w:t>
      </w:r>
      <w:r w:rsidR="00132DF4" w:rsidRPr="007C51D6">
        <w:rPr>
          <w:rFonts w:eastAsia="Arial"/>
          <w:spacing w:val="-4"/>
          <w:sz w:val="28"/>
          <w:szCs w:val="28"/>
        </w:rPr>
        <w:t>8</w:t>
      </w:r>
      <w:r w:rsidRPr="007C51D6">
        <w:rPr>
          <w:rFonts w:eastAsia="Arial"/>
          <w:spacing w:val="-4"/>
          <w:sz w:val="28"/>
          <w:szCs w:val="28"/>
        </w:rPr>
        <w:t xml:space="preserve"> процента. За 10-летний период (201</w:t>
      </w:r>
      <w:r w:rsidR="00AC209C" w:rsidRPr="007C51D6">
        <w:rPr>
          <w:rFonts w:eastAsia="Arial"/>
          <w:spacing w:val="-4"/>
          <w:sz w:val="28"/>
          <w:szCs w:val="28"/>
        </w:rPr>
        <w:t>6</w:t>
      </w:r>
      <w:r w:rsidRPr="007C51D6">
        <w:rPr>
          <w:rFonts w:eastAsia="Arial"/>
          <w:spacing w:val="-4"/>
          <w:sz w:val="28"/>
          <w:szCs w:val="28"/>
        </w:rPr>
        <w:t xml:space="preserve"> – 202</w:t>
      </w:r>
      <w:r w:rsidR="00AC209C" w:rsidRPr="007C51D6">
        <w:rPr>
          <w:rFonts w:eastAsia="Arial"/>
          <w:spacing w:val="-4"/>
          <w:sz w:val="28"/>
          <w:szCs w:val="28"/>
        </w:rPr>
        <w:t>5</w:t>
      </w:r>
      <w:r w:rsidRPr="007C51D6">
        <w:rPr>
          <w:rFonts w:eastAsia="Arial"/>
          <w:spacing w:val="-4"/>
          <w:sz w:val="28"/>
          <w:szCs w:val="28"/>
        </w:rPr>
        <w:t xml:space="preserve"> годы) показатель запущенности снизился, темп прироста показателя составил </w:t>
      </w:r>
      <w:r w:rsidR="007F3AFB" w:rsidRPr="007C51D6">
        <w:rPr>
          <w:rFonts w:eastAsia="Arial"/>
          <w:spacing w:val="-4"/>
          <w:sz w:val="28"/>
          <w:szCs w:val="28"/>
        </w:rPr>
        <w:t>-</w:t>
      </w:r>
      <w:r w:rsidRPr="007C51D6">
        <w:rPr>
          <w:rFonts w:eastAsia="Arial"/>
          <w:spacing w:val="-4"/>
          <w:sz w:val="28"/>
          <w:szCs w:val="28"/>
        </w:rPr>
        <w:t>1</w:t>
      </w:r>
      <w:r w:rsidR="00AC209C" w:rsidRPr="007C51D6">
        <w:rPr>
          <w:rFonts w:eastAsia="Arial"/>
          <w:spacing w:val="-4"/>
          <w:sz w:val="28"/>
          <w:szCs w:val="28"/>
        </w:rPr>
        <w:t>9</w:t>
      </w:r>
      <w:r w:rsidRPr="007C51D6">
        <w:rPr>
          <w:rFonts w:eastAsia="Arial"/>
          <w:spacing w:val="-4"/>
          <w:sz w:val="28"/>
          <w:szCs w:val="28"/>
        </w:rPr>
        <w:t>,</w:t>
      </w:r>
      <w:r w:rsidR="00AC209C" w:rsidRPr="007C51D6">
        <w:rPr>
          <w:rFonts w:eastAsia="Arial"/>
          <w:spacing w:val="-4"/>
          <w:sz w:val="28"/>
          <w:szCs w:val="28"/>
        </w:rPr>
        <w:t>4</w:t>
      </w:r>
      <w:r w:rsidRPr="007C51D6">
        <w:rPr>
          <w:rFonts w:eastAsia="Arial"/>
          <w:spacing w:val="-4"/>
          <w:sz w:val="28"/>
          <w:szCs w:val="28"/>
        </w:rPr>
        <w:t xml:space="preserve"> процента (в 202</w:t>
      </w:r>
      <w:r w:rsidR="00AC209C" w:rsidRPr="007C51D6">
        <w:rPr>
          <w:rFonts w:eastAsia="Arial"/>
          <w:spacing w:val="-4"/>
          <w:sz w:val="28"/>
          <w:szCs w:val="28"/>
        </w:rPr>
        <w:t>5</w:t>
      </w:r>
      <w:r w:rsidRPr="007C51D6">
        <w:rPr>
          <w:rFonts w:eastAsia="Arial"/>
          <w:spacing w:val="-4"/>
          <w:sz w:val="28"/>
          <w:szCs w:val="28"/>
        </w:rPr>
        <w:t xml:space="preserve"> году – 2</w:t>
      </w:r>
      <w:r w:rsidR="00AC209C" w:rsidRPr="007C51D6">
        <w:rPr>
          <w:rFonts w:eastAsia="Arial"/>
          <w:spacing w:val="-4"/>
          <w:sz w:val="28"/>
          <w:szCs w:val="28"/>
        </w:rPr>
        <w:t>8</w:t>
      </w:r>
      <w:r w:rsidRPr="007C51D6">
        <w:rPr>
          <w:rFonts w:eastAsia="Arial"/>
          <w:spacing w:val="-4"/>
          <w:sz w:val="28"/>
          <w:szCs w:val="28"/>
        </w:rPr>
        <w:t>,</w:t>
      </w:r>
      <w:r w:rsidR="00AC209C" w:rsidRPr="007C51D6">
        <w:rPr>
          <w:rFonts w:eastAsia="Arial"/>
          <w:spacing w:val="-4"/>
          <w:sz w:val="28"/>
          <w:szCs w:val="28"/>
        </w:rPr>
        <w:t>6</w:t>
      </w:r>
      <w:r w:rsidR="00132DF4" w:rsidRPr="007C51D6">
        <w:rPr>
          <w:rFonts w:eastAsia="Arial"/>
          <w:spacing w:val="-4"/>
          <w:sz w:val="28"/>
          <w:szCs w:val="28"/>
        </w:rPr>
        <w:t>8</w:t>
      </w:r>
      <w:r w:rsidRPr="007C51D6">
        <w:rPr>
          <w:rFonts w:eastAsia="Arial"/>
          <w:spacing w:val="-4"/>
          <w:sz w:val="28"/>
          <w:szCs w:val="28"/>
        </w:rPr>
        <w:t xml:space="preserve"> процента; в 201</w:t>
      </w:r>
      <w:r w:rsidR="00AC209C" w:rsidRPr="007C51D6">
        <w:rPr>
          <w:rFonts w:eastAsia="Arial"/>
          <w:spacing w:val="-4"/>
          <w:sz w:val="28"/>
          <w:szCs w:val="28"/>
        </w:rPr>
        <w:t>6</w:t>
      </w:r>
      <w:r w:rsidRPr="007C51D6">
        <w:rPr>
          <w:rFonts w:eastAsia="Arial"/>
          <w:spacing w:val="-4"/>
          <w:sz w:val="28"/>
          <w:szCs w:val="28"/>
        </w:rPr>
        <w:t xml:space="preserve"> году – </w:t>
      </w:r>
      <w:r w:rsidR="003071AB" w:rsidRPr="007C51D6">
        <w:rPr>
          <w:rFonts w:eastAsia="Arial"/>
          <w:spacing w:val="-4"/>
          <w:sz w:val="28"/>
          <w:szCs w:val="28"/>
        </w:rPr>
        <w:br/>
      </w:r>
      <w:r w:rsidRPr="007C51D6">
        <w:rPr>
          <w:rFonts w:eastAsia="Arial"/>
          <w:spacing w:val="-4"/>
          <w:sz w:val="28"/>
          <w:szCs w:val="28"/>
        </w:rPr>
        <w:t>3</w:t>
      </w:r>
      <w:r w:rsidR="00AC209C" w:rsidRPr="007C51D6">
        <w:rPr>
          <w:rFonts w:eastAsia="Arial"/>
          <w:spacing w:val="-4"/>
          <w:sz w:val="28"/>
          <w:szCs w:val="28"/>
        </w:rPr>
        <w:t>5</w:t>
      </w:r>
      <w:r w:rsidRPr="007C51D6">
        <w:rPr>
          <w:rFonts w:eastAsia="Arial"/>
          <w:spacing w:val="-4"/>
          <w:sz w:val="28"/>
          <w:szCs w:val="28"/>
        </w:rPr>
        <w:t>,6</w:t>
      </w:r>
      <w:r w:rsidR="00AC209C" w:rsidRPr="007C51D6">
        <w:rPr>
          <w:rFonts w:eastAsia="Arial"/>
          <w:spacing w:val="-4"/>
          <w:sz w:val="28"/>
          <w:szCs w:val="28"/>
        </w:rPr>
        <w:t>0</w:t>
      </w:r>
      <w:r w:rsidRPr="007C51D6">
        <w:rPr>
          <w:rFonts w:eastAsia="Arial"/>
          <w:spacing w:val="-4"/>
          <w:sz w:val="28"/>
          <w:szCs w:val="28"/>
        </w:rPr>
        <w:t xml:space="preserve"> процента)</w:t>
      </w:r>
      <w:r w:rsidR="00F930A7" w:rsidRPr="007C51D6">
        <w:rPr>
          <w:rFonts w:eastAsia="Arial"/>
          <w:spacing w:val="-4"/>
          <w:sz w:val="28"/>
          <w:szCs w:val="28"/>
        </w:rPr>
        <w:t xml:space="preserve"> (</w:t>
      </w:r>
      <w:r w:rsidR="00CC04B7" w:rsidRPr="007C51D6">
        <w:rPr>
          <w:rFonts w:eastAsia="Arial"/>
          <w:spacing w:val="-4"/>
          <w:sz w:val="28"/>
          <w:szCs w:val="28"/>
        </w:rPr>
        <w:t>таблица 8.1</w:t>
      </w:r>
      <w:r w:rsidR="00F930A7" w:rsidRPr="007C51D6">
        <w:rPr>
          <w:rFonts w:eastAsia="Arial"/>
          <w:spacing w:val="-4"/>
          <w:sz w:val="28"/>
          <w:szCs w:val="28"/>
        </w:rPr>
        <w:t>)</w:t>
      </w:r>
      <w:r w:rsidRPr="007C51D6">
        <w:rPr>
          <w:rFonts w:eastAsia="Arial"/>
          <w:spacing w:val="-4"/>
          <w:sz w:val="28"/>
          <w:szCs w:val="28"/>
        </w:rPr>
        <w:t xml:space="preserve">. </w:t>
      </w:r>
    </w:p>
    <w:p w:rsidR="00136DF4" w:rsidRPr="007C51D6" w:rsidRDefault="00136DF4" w:rsidP="004A6001">
      <w:pPr>
        <w:autoSpaceDE/>
        <w:autoSpaceDN/>
        <w:adjustRightInd/>
        <w:spacing w:line="230" w:lineRule="auto"/>
        <w:ind w:firstLine="709"/>
        <w:jc w:val="right"/>
        <w:rPr>
          <w:rFonts w:eastAsia="Arial"/>
          <w:sz w:val="28"/>
          <w:szCs w:val="28"/>
        </w:rPr>
      </w:pPr>
      <w:r w:rsidRPr="007C51D6">
        <w:rPr>
          <w:rFonts w:eastAsia="Arial"/>
          <w:sz w:val="28"/>
          <w:szCs w:val="28"/>
        </w:rPr>
        <w:t xml:space="preserve">Таблица </w:t>
      </w:r>
      <w:r w:rsidR="00BF30C9" w:rsidRPr="007C51D6">
        <w:rPr>
          <w:rFonts w:eastAsia="Arial"/>
          <w:sz w:val="28"/>
          <w:szCs w:val="28"/>
        </w:rPr>
        <w:t>8.2</w:t>
      </w:r>
    </w:p>
    <w:p w:rsidR="00136DF4" w:rsidRPr="007C51D6" w:rsidRDefault="00136DF4" w:rsidP="004A6001">
      <w:pPr>
        <w:autoSpaceDE/>
        <w:autoSpaceDN/>
        <w:adjustRightInd/>
        <w:spacing w:line="230" w:lineRule="auto"/>
        <w:jc w:val="both"/>
        <w:rPr>
          <w:rFonts w:eastAsia="Arial"/>
          <w:szCs w:val="28"/>
        </w:rPr>
      </w:pPr>
    </w:p>
    <w:p w:rsidR="00A05467" w:rsidRPr="007C51D6" w:rsidRDefault="00A05467" w:rsidP="00A05467">
      <w:pPr>
        <w:autoSpaceDE/>
        <w:autoSpaceDN/>
        <w:adjustRightInd/>
        <w:spacing w:line="230" w:lineRule="auto"/>
        <w:jc w:val="center"/>
        <w:rPr>
          <w:rFonts w:eastAsia="Arial"/>
          <w:sz w:val="28"/>
          <w:szCs w:val="28"/>
        </w:rPr>
      </w:pPr>
      <w:r w:rsidRPr="007C51D6">
        <w:rPr>
          <w:rFonts w:eastAsia="Arial"/>
          <w:sz w:val="28"/>
          <w:szCs w:val="28"/>
        </w:rPr>
        <w:t xml:space="preserve">Динамика показателя запущенности ЗНО </w:t>
      </w:r>
    </w:p>
    <w:p w:rsidR="00A52121" w:rsidRPr="007C51D6" w:rsidRDefault="00A05467" w:rsidP="00A05467">
      <w:pPr>
        <w:autoSpaceDE/>
        <w:autoSpaceDN/>
        <w:adjustRightInd/>
        <w:spacing w:line="230" w:lineRule="auto"/>
        <w:jc w:val="center"/>
        <w:rPr>
          <w:rFonts w:eastAsia="Arial"/>
          <w:sz w:val="28"/>
          <w:szCs w:val="28"/>
        </w:rPr>
      </w:pPr>
      <w:r w:rsidRPr="007C51D6">
        <w:rPr>
          <w:rFonts w:eastAsia="Arial"/>
          <w:sz w:val="28"/>
          <w:szCs w:val="28"/>
        </w:rPr>
        <w:t xml:space="preserve">при различных локализациях в Республике Татарстан (2016 </w:t>
      </w:r>
      <w:r w:rsidRPr="007C51D6">
        <w:rPr>
          <w:bCs/>
          <w:iCs/>
          <w:sz w:val="28"/>
          <w:szCs w:val="26"/>
        </w:rPr>
        <w:t>–</w:t>
      </w:r>
      <w:r w:rsidRPr="007C51D6">
        <w:rPr>
          <w:rFonts w:eastAsia="Arial"/>
          <w:sz w:val="28"/>
          <w:szCs w:val="28"/>
        </w:rPr>
        <w:t xml:space="preserve"> 2025 годы) </w:t>
      </w:r>
    </w:p>
    <w:p w:rsidR="003071AB" w:rsidRPr="007C51D6" w:rsidRDefault="003071AB" w:rsidP="004A6001">
      <w:pPr>
        <w:autoSpaceDE/>
        <w:autoSpaceDN/>
        <w:adjustRightInd/>
        <w:spacing w:line="230" w:lineRule="auto"/>
        <w:jc w:val="right"/>
        <w:rPr>
          <w:rFonts w:eastAsia="Arial"/>
          <w:sz w:val="20"/>
          <w:szCs w:val="20"/>
        </w:rPr>
      </w:pPr>
      <w:r w:rsidRPr="007C51D6">
        <w:rPr>
          <w:rFonts w:eastAsia="Arial"/>
          <w:sz w:val="20"/>
          <w:szCs w:val="20"/>
        </w:rPr>
        <w:t>(процентов)</w:t>
      </w:r>
    </w:p>
    <w:tbl>
      <w:tblPr>
        <w:tblStyle w:val="213"/>
        <w:tblW w:w="15163" w:type="dxa"/>
        <w:tblBorders>
          <w:bottom w:val="none" w:sz="0" w:space="0" w:color="auto"/>
        </w:tblBorders>
        <w:tblLayout w:type="fixed"/>
        <w:tblLook w:val="04A0" w:firstRow="1" w:lastRow="0" w:firstColumn="1" w:lastColumn="0" w:noHBand="0" w:noVBand="1"/>
      </w:tblPr>
      <w:tblGrid>
        <w:gridCol w:w="2830"/>
        <w:gridCol w:w="992"/>
        <w:gridCol w:w="992"/>
        <w:gridCol w:w="992"/>
        <w:gridCol w:w="992"/>
        <w:gridCol w:w="992"/>
        <w:gridCol w:w="992"/>
        <w:gridCol w:w="992"/>
        <w:gridCol w:w="992"/>
        <w:gridCol w:w="993"/>
        <w:gridCol w:w="994"/>
        <w:gridCol w:w="2410"/>
      </w:tblGrid>
      <w:tr w:rsidR="00A05467" w:rsidRPr="007C51D6" w:rsidTr="00946652">
        <w:trPr>
          <w:trHeight w:val="20"/>
        </w:trPr>
        <w:tc>
          <w:tcPr>
            <w:tcW w:w="2830" w:type="dxa"/>
            <w:noWrap/>
          </w:tcPr>
          <w:p w:rsidR="00A05467" w:rsidRPr="007C51D6" w:rsidRDefault="00A05467" w:rsidP="00946652">
            <w:pPr>
              <w:autoSpaceDE/>
              <w:autoSpaceDN/>
              <w:adjustRightInd/>
              <w:jc w:val="center"/>
              <w:rPr>
                <w:color w:val="000000"/>
                <w:sz w:val="20"/>
                <w:szCs w:val="20"/>
              </w:rPr>
            </w:pPr>
            <w:r w:rsidRPr="007C51D6">
              <w:rPr>
                <w:color w:val="000000"/>
                <w:sz w:val="20"/>
                <w:szCs w:val="20"/>
              </w:rPr>
              <w:t xml:space="preserve">Локализация </w:t>
            </w:r>
            <w:r w:rsidRPr="007C51D6">
              <w:rPr>
                <w:rFonts w:eastAsia="Arial"/>
                <w:sz w:val="20"/>
                <w:szCs w:val="20"/>
              </w:rPr>
              <w:t>ЗНО</w:t>
            </w:r>
          </w:p>
        </w:tc>
        <w:tc>
          <w:tcPr>
            <w:tcW w:w="992" w:type="dxa"/>
          </w:tcPr>
          <w:p w:rsidR="00A05467" w:rsidRPr="007C51D6" w:rsidRDefault="00A05467" w:rsidP="00946652">
            <w:pPr>
              <w:autoSpaceDE/>
              <w:autoSpaceDN/>
              <w:adjustRightInd/>
              <w:jc w:val="center"/>
              <w:rPr>
                <w:sz w:val="20"/>
                <w:szCs w:val="20"/>
              </w:rPr>
            </w:pPr>
            <w:r w:rsidRPr="007C51D6">
              <w:rPr>
                <w:sz w:val="20"/>
                <w:szCs w:val="20"/>
              </w:rPr>
              <w:t>2016 г.</w:t>
            </w:r>
          </w:p>
        </w:tc>
        <w:tc>
          <w:tcPr>
            <w:tcW w:w="992" w:type="dxa"/>
          </w:tcPr>
          <w:p w:rsidR="00A05467" w:rsidRPr="007C51D6" w:rsidRDefault="00A05467" w:rsidP="00946652">
            <w:pPr>
              <w:autoSpaceDE/>
              <w:autoSpaceDN/>
              <w:adjustRightInd/>
              <w:jc w:val="center"/>
              <w:rPr>
                <w:sz w:val="20"/>
                <w:szCs w:val="20"/>
              </w:rPr>
            </w:pPr>
            <w:r w:rsidRPr="007C51D6">
              <w:rPr>
                <w:sz w:val="20"/>
                <w:szCs w:val="20"/>
              </w:rPr>
              <w:t>2017 г.</w:t>
            </w:r>
          </w:p>
        </w:tc>
        <w:tc>
          <w:tcPr>
            <w:tcW w:w="992" w:type="dxa"/>
          </w:tcPr>
          <w:p w:rsidR="00A05467" w:rsidRPr="007C51D6" w:rsidRDefault="00A05467" w:rsidP="00946652">
            <w:pPr>
              <w:autoSpaceDE/>
              <w:autoSpaceDN/>
              <w:adjustRightInd/>
              <w:jc w:val="center"/>
              <w:rPr>
                <w:sz w:val="20"/>
                <w:szCs w:val="20"/>
              </w:rPr>
            </w:pPr>
            <w:r w:rsidRPr="007C51D6">
              <w:rPr>
                <w:sz w:val="20"/>
                <w:szCs w:val="20"/>
              </w:rPr>
              <w:t>2018 г.</w:t>
            </w:r>
          </w:p>
        </w:tc>
        <w:tc>
          <w:tcPr>
            <w:tcW w:w="992" w:type="dxa"/>
          </w:tcPr>
          <w:p w:rsidR="00A05467" w:rsidRPr="007C51D6" w:rsidRDefault="00A05467" w:rsidP="00946652">
            <w:pPr>
              <w:autoSpaceDE/>
              <w:autoSpaceDN/>
              <w:adjustRightInd/>
              <w:jc w:val="center"/>
              <w:rPr>
                <w:sz w:val="20"/>
                <w:szCs w:val="20"/>
              </w:rPr>
            </w:pPr>
            <w:r w:rsidRPr="007C51D6">
              <w:rPr>
                <w:sz w:val="20"/>
                <w:szCs w:val="20"/>
              </w:rPr>
              <w:t>2019 г.</w:t>
            </w:r>
          </w:p>
        </w:tc>
        <w:tc>
          <w:tcPr>
            <w:tcW w:w="992" w:type="dxa"/>
          </w:tcPr>
          <w:p w:rsidR="00A05467" w:rsidRPr="007C51D6" w:rsidRDefault="00A05467" w:rsidP="00946652">
            <w:pPr>
              <w:autoSpaceDE/>
              <w:autoSpaceDN/>
              <w:adjustRightInd/>
              <w:jc w:val="center"/>
              <w:rPr>
                <w:sz w:val="20"/>
                <w:szCs w:val="20"/>
              </w:rPr>
            </w:pPr>
            <w:r w:rsidRPr="007C51D6">
              <w:rPr>
                <w:sz w:val="20"/>
                <w:szCs w:val="20"/>
              </w:rPr>
              <w:t>2020 г.</w:t>
            </w:r>
          </w:p>
        </w:tc>
        <w:tc>
          <w:tcPr>
            <w:tcW w:w="992" w:type="dxa"/>
          </w:tcPr>
          <w:p w:rsidR="00A05467" w:rsidRPr="007C51D6" w:rsidRDefault="00A05467" w:rsidP="00946652">
            <w:pPr>
              <w:autoSpaceDE/>
              <w:autoSpaceDN/>
              <w:adjustRightInd/>
              <w:jc w:val="center"/>
              <w:rPr>
                <w:sz w:val="20"/>
                <w:szCs w:val="20"/>
              </w:rPr>
            </w:pPr>
            <w:r w:rsidRPr="007C51D6">
              <w:rPr>
                <w:sz w:val="20"/>
                <w:szCs w:val="20"/>
              </w:rPr>
              <w:t>2021 г.</w:t>
            </w:r>
          </w:p>
        </w:tc>
        <w:tc>
          <w:tcPr>
            <w:tcW w:w="992" w:type="dxa"/>
          </w:tcPr>
          <w:p w:rsidR="00A05467" w:rsidRPr="007C51D6" w:rsidRDefault="00A05467" w:rsidP="00946652">
            <w:pPr>
              <w:autoSpaceDE/>
              <w:autoSpaceDN/>
              <w:adjustRightInd/>
              <w:jc w:val="center"/>
              <w:rPr>
                <w:sz w:val="20"/>
                <w:szCs w:val="20"/>
              </w:rPr>
            </w:pPr>
            <w:r w:rsidRPr="007C51D6">
              <w:rPr>
                <w:sz w:val="20"/>
                <w:szCs w:val="20"/>
              </w:rPr>
              <w:t>2022 г.</w:t>
            </w:r>
          </w:p>
        </w:tc>
        <w:tc>
          <w:tcPr>
            <w:tcW w:w="992" w:type="dxa"/>
          </w:tcPr>
          <w:p w:rsidR="00A05467" w:rsidRPr="007C51D6" w:rsidRDefault="00A05467" w:rsidP="00946652">
            <w:pPr>
              <w:autoSpaceDE/>
              <w:autoSpaceDN/>
              <w:adjustRightInd/>
              <w:jc w:val="center"/>
              <w:rPr>
                <w:sz w:val="20"/>
                <w:szCs w:val="20"/>
              </w:rPr>
            </w:pPr>
            <w:r w:rsidRPr="007C51D6">
              <w:rPr>
                <w:sz w:val="20"/>
                <w:szCs w:val="20"/>
              </w:rPr>
              <w:t>2023 г.</w:t>
            </w:r>
          </w:p>
        </w:tc>
        <w:tc>
          <w:tcPr>
            <w:tcW w:w="993" w:type="dxa"/>
          </w:tcPr>
          <w:p w:rsidR="00A05467" w:rsidRPr="007C51D6" w:rsidRDefault="00A05467" w:rsidP="00946652">
            <w:pPr>
              <w:autoSpaceDE/>
              <w:autoSpaceDN/>
              <w:adjustRightInd/>
              <w:jc w:val="center"/>
              <w:rPr>
                <w:sz w:val="20"/>
                <w:szCs w:val="20"/>
              </w:rPr>
            </w:pPr>
            <w:r w:rsidRPr="007C51D6">
              <w:rPr>
                <w:sz w:val="20"/>
                <w:szCs w:val="20"/>
              </w:rPr>
              <w:t>2024 г.</w:t>
            </w:r>
          </w:p>
        </w:tc>
        <w:tc>
          <w:tcPr>
            <w:tcW w:w="994" w:type="dxa"/>
          </w:tcPr>
          <w:p w:rsidR="00A05467" w:rsidRPr="007C51D6" w:rsidRDefault="00A05467" w:rsidP="00946652">
            <w:pPr>
              <w:autoSpaceDE/>
              <w:autoSpaceDN/>
              <w:adjustRightInd/>
              <w:jc w:val="center"/>
              <w:rPr>
                <w:sz w:val="20"/>
                <w:szCs w:val="20"/>
              </w:rPr>
            </w:pPr>
            <w:r w:rsidRPr="007C51D6">
              <w:rPr>
                <w:sz w:val="20"/>
                <w:szCs w:val="20"/>
              </w:rPr>
              <w:t>2025 г.*</w:t>
            </w:r>
          </w:p>
        </w:tc>
        <w:tc>
          <w:tcPr>
            <w:tcW w:w="2410" w:type="dxa"/>
            <w:noWrap/>
          </w:tcPr>
          <w:p w:rsidR="00A05467" w:rsidRPr="007C51D6" w:rsidRDefault="00A05467" w:rsidP="00946652">
            <w:pPr>
              <w:autoSpaceDE/>
              <w:autoSpaceDN/>
              <w:adjustRightInd/>
              <w:jc w:val="center"/>
              <w:rPr>
                <w:sz w:val="20"/>
                <w:szCs w:val="20"/>
              </w:rPr>
            </w:pPr>
            <w:r w:rsidRPr="007C51D6">
              <w:rPr>
                <w:sz w:val="20"/>
                <w:szCs w:val="20"/>
              </w:rPr>
              <w:t>Темп прироста за период</w:t>
            </w:r>
          </w:p>
          <w:p w:rsidR="00A05467" w:rsidRPr="007C51D6" w:rsidRDefault="00A05467" w:rsidP="00946652">
            <w:pPr>
              <w:autoSpaceDE/>
              <w:autoSpaceDN/>
              <w:adjustRightInd/>
              <w:jc w:val="center"/>
              <w:rPr>
                <w:color w:val="000000"/>
                <w:sz w:val="20"/>
                <w:szCs w:val="20"/>
              </w:rPr>
            </w:pPr>
            <w:r w:rsidRPr="007C51D6">
              <w:rPr>
                <w:sz w:val="20"/>
                <w:szCs w:val="20"/>
              </w:rPr>
              <w:t>2016 – 2025 годов</w:t>
            </w:r>
          </w:p>
        </w:tc>
      </w:tr>
      <w:tr w:rsidR="00A05467" w:rsidRPr="007C51D6" w:rsidTr="00946652">
        <w:tblPrEx>
          <w:tblBorders>
            <w:bottom w:val="single" w:sz="4" w:space="0" w:color="000000"/>
          </w:tblBorders>
        </w:tblPrEx>
        <w:trPr>
          <w:trHeight w:val="20"/>
          <w:tblHeader/>
        </w:trPr>
        <w:tc>
          <w:tcPr>
            <w:tcW w:w="2830" w:type="dxa"/>
            <w:noWrap/>
          </w:tcPr>
          <w:p w:rsidR="00A05467" w:rsidRPr="007C51D6" w:rsidRDefault="00A05467" w:rsidP="00946652">
            <w:pPr>
              <w:autoSpaceDE/>
              <w:autoSpaceDN/>
              <w:adjustRightInd/>
              <w:spacing w:line="230" w:lineRule="auto"/>
              <w:jc w:val="center"/>
              <w:rPr>
                <w:color w:val="000000"/>
                <w:sz w:val="20"/>
                <w:szCs w:val="20"/>
              </w:rPr>
            </w:pPr>
            <w:r w:rsidRPr="007C51D6">
              <w:rPr>
                <w:color w:val="000000"/>
                <w:sz w:val="20"/>
                <w:szCs w:val="20"/>
              </w:rPr>
              <w:t>1</w:t>
            </w:r>
          </w:p>
        </w:tc>
        <w:tc>
          <w:tcPr>
            <w:tcW w:w="992" w:type="dxa"/>
          </w:tcPr>
          <w:p w:rsidR="00A05467" w:rsidRPr="007C51D6" w:rsidRDefault="00A05467" w:rsidP="00946652">
            <w:pPr>
              <w:autoSpaceDE/>
              <w:autoSpaceDN/>
              <w:adjustRightInd/>
              <w:spacing w:line="230" w:lineRule="auto"/>
              <w:jc w:val="center"/>
              <w:rPr>
                <w:sz w:val="20"/>
                <w:szCs w:val="20"/>
              </w:rPr>
            </w:pPr>
            <w:r w:rsidRPr="007C51D6">
              <w:rPr>
                <w:sz w:val="20"/>
                <w:szCs w:val="20"/>
              </w:rPr>
              <w:t>2</w:t>
            </w:r>
          </w:p>
        </w:tc>
        <w:tc>
          <w:tcPr>
            <w:tcW w:w="992" w:type="dxa"/>
          </w:tcPr>
          <w:p w:rsidR="00A05467" w:rsidRPr="007C51D6" w:rsidRDefault="00A05467" w:rsidP="00946652">
            <w:pPr>
              <w:autoSpaceDE/>
              <w:autoSpaceDN/>
              <w:adjustRightInd/>
              <w:spacing w:line="230" w:lineRule="auto"/>
              <w:jc w:val="center"/>
              <w:rPr>
                <w:sz w:val="20"/>
                <w:szCs w:val="20"/>
              </w:rPr>
            </w:pPr>
            <w:r w:rsidRPr="007C51D6">
              <w:rPr>
                <w:sz w:val="20"/>
                <w:szCs w:val="20"/>
              </w:rPr>
              <w:t>3</w:t>
            </w:r>
          </w:p>
        </w:tc>
        <w:tc>
          <w:tcPr>
            <w:tcW w:w="992" w:type="dxa"/>
          </w:tcPr>
          <w:p w:rsidR="00A05467" w:rsidRPr="007C51D6" w:rsidRDefault="00A05467" w:rsidP="00946652">
            <w:pPr>
              <w:autoSpaceDE/>
              <w:autoSpaceDN/>
              <w:adjustRightInd/>
              <w:spacing w:line="230" w:lineRule="auto"/>
              <w:jc w:val="center"/>
              <w:rPr>
                <w:sz w:val="20"/>
                <w:szCs w:val="20"/>
              </w:rPr>
            </w:pPr>
            <w:r w:rsidRPr="007C51D6">
              <w:rPr>
                <w:sz w:val="20"/>
                <w:szCs w:val="20"/>
              </w:rPr>
              <w:t>4</w:t>
            </w:r>
          </w:p>
        </w:tc>
        <w:tc>
          <w:tcPr>
            <w:tcW w:w="992" w:type="dxa"/>
          </w:tcPr>
          <w:p w:rsidR="00A05467" w:rsidRPr="007C51D6" w:rsidRDefault="00A05467" w:rsidP="00946652">
            <w:pPr>
              <w:autoSpaceDE/>
              <w:autoSpaceDN/>
              <w:adjustRightInd/>
              <w:spacing w:line="230" w:lineRule="auto"/>
              <w:jc w:val="center"/>
              <w:rPr>
                <w:sz w:val="20"/>
                <w:szCs w:val="20"/>
              </w:rPr>
            </w:pPr>
            <w:r w:rsidRPr="007C51D6">
              <w:rPr>
                <w:sz w:val="20"/>
                <w:szCs w:val="20"/>
              </w:rPr>
              <w:t>5</w:t>
            </w:r>
          </w:p>
        </w:tc>
        <w:tc>
          <w:tcPr>
            <w:tcW w:w="992" w:type="dxa"/>
          </w:tcPr>
          <w:p w:rsidR="00A05467" w:rsidRPr="007C51D6" w:rsidRDefault="00A05467" w:rsidP="00946652">
            <w:pPr>
              <w:autoSpaceDE/>
              <w:autoSpaceDN/>
              <w:adjustRightInd/>
              <w:spacing w:line="230" w:lineRule="auto"/>
              <w:jc w:val="center"/>
              <w:rPr>
                <w:sz w:val="20"/>
                <w:szCs w:val="20"/>
              </w:rPr>
            </w:pPr>
            <w:r w:rsidRPr="007C51D6">
              <w:rPr>
                <w:sz w:val="20"/>
                <w:szCs w:val="20"/>
              </w:rPr>
              <w:t>6</w:t>
            </w:r>
          </w:p>
        </w:tc>
        <w:tc>
          <w:tcPr>
            <w:tcW w:w="992" w:type="dxa"/>
          </w:tcPr>
          <w:p w:rsidR="00A05467" w:rsidRPr="007C51D6" w:rsidRDefault="00A05467" w:rsidP="00946652">
            <w:pPr>
              <w:autoSpaceDE/>
              <w:autoSpaceDN/>
              <w:adjustRightInd/>
              <w:spacing w:line="230" w:lineRule="auto"/>
              <w:jc w:val="center"/>
              <w:rPr>
                <w:sz w:val="20"/>
                <w:szCs w:val="20"/>
              </w:rPr>
            </w:pPr>
            <w:r w:rsidRPr="007C51D6">
              <w:rPr>
                <w:sz w:val="20"/>
                <w:szCs w:val="20"/>
              </w:rPr>
              <w:t>7</w:t>
            </w:r>
          </w:p>
        </w:tc>
        <w:tc>
          <w:tcPr>
            <w:tcW w:w="992" w:type="dxa"/>
          </w:tcPr>
          <w:p w:rsidR="00A05467" w:rsidRPr="007C51D6" w:rsidRDefault="00A05467" w:rsidP="00946652">
            <w:pPr>
              <w:autoSpaceDE/>
              <w:autoSpaceDN/>
              <w:adjustRightInd/>
              <w:spacing w:line="230" w:lineRule="auto"/>
              <w:jc w:val="center"/>
              <w:rPr>
                <w:sz w:val="20"/>
                <w:szCs w:val="20"/>
              </w:rPr>
            </w:pPr>
            <w:r w:rsidRPr="007C51D6">
              <w:rPr>
                <w:sz w:val="20"/>
                <w:szCs w:val="20"/>
              </w:rPr>
              <w:t>8</w:t>
            </w:r>
          </w:p>
        </w:tc>
        <w:tc>
          <w:tcPr>
            <w:tcW w:w="992" w:type="dxa"/>
          </w:tcPr>
          <w:p w:rsidR="00A05467" w:rsidRPr="007C51D6" w:rsidRDefault="00A05467" w:rsidP="00946652">
            <w:pPr>
              <w:autoSpaceDE/>
              <w:autoSpaceDN/>
              <w:adjustRightInd/>
              <w:spacing w:line="230" w:lineRule="auto"/>
              <w:jc w:val="center"/>
              <w:rPr>
                <w:sz w:val="20"/>
                <w:szCs w:val="20"/>
              </w:rPr>
            </w:pPr>
            <w:r w:rsidRPr="007C51D6">
              <w:rPr>
                <w:sz w:val="20"/>
                <w:szCs w:val="20"/>
              </w:rPr>
              <w:t>9</w:t>
            </w:r>
          </w:p>
        </w:tc>
        <w:tc>
          <w:tcPr>
            <w:tcW w:w="993" w:type="dxa"/>
          </w:tcPr>
          <w:p w:rsidR="00A05467" w:rsidRPr="007C51D6" w:rsidRDefault="00A05467" w:rsidP="00946652">
            <w:pPr>
              <w:autoSpaceDE/>
              <w:autoSpaceDN/>
              <w:adjustRightInd/>
              <w:spacing w:line="230" w:lineRule="auto"/>
              <w:jc w:val="center"/>
              <w:rPr>
                <w:sz w:val="20"/>
                <w:szCs w:val="20"/>
              </w:rPr>
            </w:pPr>
            <w:r w:rsidRPr="007C51D6">
              <w:rPr>
                <w:sz w:val="20"/>
                <w:szCs w:val="20"/>
              </w:rPr>
              <w:t>10</w:t>
            </w:r>
          </w:p>
        </w:tc>
        <w:tc>
          <w:tcPr>
            <w:tcW w:w="994" w:type="dxa"/>
          </w:tcPr>
          <w:p w:rsidR="00A05467" w:rsidRPr="007C51D6" w:rsidRDefault="00A05467" w:rsidP="00946652">
            <w:pPr>
              <w:autoSpaceDE/>
              <w:autoSpaceDN/>
              <w:adjustRightInd/>
              <w:spacing w:line="230" w:lineRule="auto"/>
              <w:jc w:val="center"/>
              <w:rPr>
                <w:sz w:val="20"/>
                <w:szCs w:val="20"/>
              </w:rPr>
            </w:pPr>
            <w:r w:rsidRPr="007C51D6">
              <w:rPr>
                <w:sz w:val="20"/>
                <w:szCs w:val="20"/>
              </w:rPr>
              <w:t>11</w:t>
            </w:r>
          </w:p>
        </w:tc>
        <w:tc>
          <w:tcPr>
            <w:tcW w:w="2410" w:type="dxa"/>
            <w:noWrap/>
          </w:tcPr>
          <w:p w:rsidR="00A05467" w:rsidRPr="007C51D6" w:rsidRDefault="00A05467" w:rsidP="00946652">
            <w:pPr>
              <w:autoSpaceDE/>
              <w:autoSpaceDN/>
              <w:adjustRightInd/>
              <w:spacing w:line="230" w:lineRule="auto"/>
              <w:jc w:val="center"/>
              <w:rPr>
                <w:sz w:val="20"/>
                <w:szCs w:val="20"/>
              </w:rPr>
            </w:pPr>
            <w:r w:rsidRPr="007C51D6">
              <w:rPr>
                <w:sz w:val="20"/>
                <w:szCs w:val="20"/>
              </w:rPr>
              <w:t>12</w:t>
            </w:r>
          </w:p>
        </w:tc>
      </w:tr>
      <w:tr w:rsidR="004A38EB" w:rsidRPr="007C51D6" w:rsidTr="00946652">
        <w:tblPrEx>
          <w:tblBorders>
            <w:bottom w:val="single" w:sz="4" w:space="0" w:color="000000"/>
          </w:tblBorders>
        </w:tblPrEx>
        <w:trPr>
          <w:trHeight w:val="20"/>
        </w:trPr>
        <w:tc>
          <w:tcPr>
            <w:tcW w:w="2830" w:type="dxa"/>
            <w:noWrap/>
            <w:hideMark/>
          </w:tcPr>
          <w:p w:rsidR="004A38EB" w:rsidRPr="007C51D6" w:rsidRDefault="004A38EB" w:rsidP="004A38EB">
            <w:pPr>
              <w:autoSpaceDE/>
              <w:autoSpaceDN/>
              <w:adjustRightInd/>
              <w:spacing w:line="230" w:lineRule="auto"/>
              <w:jc w:val="center"/>
              <w:rPr>
                <w:color w:val="000000"/>
                <w:sz w:val="20"/>
                <w:szCs w:val="20"/>
              </w:rPr>
            </w:pPr>
            <w:r w:rsidRPr="007C51D6">
              <w:rPr>
                <w:rFonts w:eastAsia="Arial"/>
                <w:sz w:val="20"/>
                <w:szCs w:val="20"/>
              </w:rPr>
              <w:t>ЗНО</w:t>
            </w:r>
            <w:r w:rsidRPr="007C51D6">
              <w:rPr>
                <w:color w:val="000000"/>
                <w:sz w:val="20"/>
                <w:szCs w:val="20"/>
              </w:rPr>
              <w:t xml:space="preserve"> глотки (C10 – 13)</w:t>
            </w:r>
          </w:p>
        </w:tc>
        <w:tc>
          <w:tcPr>
            <w:tcW w:w="992" w:type="dxa"/>
          </w:tcPr>
          <w:p w:rsidR="004A38EB" w:rsidRPr="007C51D6" w:rsidRDefault="004A38EB" w:rsidP="004A38EB">
            <w:pPr>
              <w:autoSpaceDE/>
              <w:autoSpaceDN/>
              <w:adjustRightInd/>
              <w:spacing w:line="230" w:lineRule="auto"/>
              <w:jc w:val="center"/>
              <w:rPr>
                <w:color w:val="000000"/>
                <w:sz w:val="20"/>
                <w:szCs w:val="20"/>
              </w:rPr>
            </w:pPr>
            <w:r w:rsidRPr="007C51D6">
              <w:rPr>
                <w:color w:val="000000"/>
                <w:sz w:val="20"/>
                <w:szCs w:val="20"/>
              </w:rPr>
              <w:t>88,7</w:t>
            </w:r>
          </w:p>
        </w:tc>
        <w:tc>
          <w:tcPr>
            <w:tcW w:w="992" w:type="dxa"/>
          </w:tcPr>
          <w:p w:rsidR="004A38EB" w:rsidRPr="007C51D6" w:rsidRDefault="004A38EB" w:rsidP="004A38EB">
            <w:pPr>
              <w:autoSpaceDE/>
              <w:autoSpaceDN/>
              <w:adjustRightInd/>
              <w:spacing w:line="230" w:lineRule="auto"/>
              <w:jc w:val="center"/>
              <w:rPr>
                <w:color w:val="000000"/>
                <w:sz w:val="20"/>
                <w:szCs w:val="20"/>
              </w:rPr>
            </w:pPr>
            <w:r w:rsidRPr="007C51D6">
              <w:rPr>
                <w:color w:val="000000"/>
                <w:sz w:val="20"/>
                <w:szCs w:val="20"/>
              </w:rPr>
              <w:t>81,5</w:t>
            </w:r>
          </w:p>
        </w:tc>
        <w:tc>
          <w:tcPr>
            <w:tcW w:w="992" w:type="dxa"/>
          </w:tcPr>
          <w:p w:rsidR="004A38EB" w:rsidRPr="007C51D6" w:rsidRDefault="004A38EB" w:rsidP="004A38EB">
            <w:pPr>
              <w:autoSpaceDE/>
              <w:autoSpaceDN/>
              <w:adjustRightInd/>
              <w:spacing w:line="230" w:lineRule="auto"/>
              <w:jc w:val="center"/>
              <w:rPr>
                <w:color w:val="000000"/>
                <w:sz w:val="20"/>
                <w:szCs w:val="20"/>
              </w:rPr>
            </w:pPr>
            <w:r w:rsidRPr="007C51D6">
              <w:rPr>
                <w:color w:val="000000"/>
                <w:sz w:val="20"/>
                <w:szCs w:val="20"/>
              </w:rPr>
              <w:t>89,0</w:t>
            </w:r>
          </w:p>
        </w:tc>
        <w:tc>
          <w:tcPr>
            <w:tcW w:w="992" w:type="dxa"/>
          </w:tcPr>
          <w:p w:rsidR="004A38EB" w:rsidRPr="007C51D6" w:rsidRDefault="004A38EB" w:rsidP="004A38EB">
            <w:pPr>
              <w:autoSpaceDE/>
              <w:autoSpaceDN/>
              <w:adjustRightInd/>
              <w:spacing w:line="230" w:lineRule="auto"/>
              <w:jc w:val="center"/>
              <w:rPr>
                <w:color w:val="000000"/>
                <w:sz w:val="20"/>
                <w:szCs w:val="20"/>
              </w:rPr>
            </w:pPr>
            <w:r w:rsidRPr="007C51D6">
              <w:rPr>
                <w:color w:val="000000"/>
                <w:sz w:val="20"/>
                <w:szCs w:val="20"/>
              </w:rPr>
              <w:t>82,8</w:t>
            </w:r>
          </w:p>
        </w:tc>
        <w:tc>
          <w:tcPr>
            <w:tcW w:w="992" w:type="dxa"/>
          </w:tcPr>
          <w:p w:rsidR="004A38EB" w:rsidRPr="007C51D6" w:rsidRDefault="004A38EB" w:rsidP="004A38EB">
            <w:pPr>
              <w:autoSpaceDE/>
              <w:autoSpaceDN/>
              <w:adjustRightInd/>
              <w:spacing w:line="230" w:lineRule="auto"/>
              <w:jc w:val="center"/>
              <w:rPr>
                <w:color w:val="000000"/>
                <w:sz w:val="20"/>
                <w:szCs w:val="20"/>
              </w:rPr>
            </w:pPr>
            <w:r w:rsidRPr="007C51D6">
              <w:rPr>
                <w:color w:val="000000"/>
                <w:sz w:val="20"/>
                <w:szCs w:val="20"/>
              </w:rPr>
              <w:t>78,8</w:t>
            </w:r>
          </w:p>
        </w:tc>
        <w:tc>
          <w:tcPr>
            <w:tcW w:w="992" w:type="dxa"/>
          </w:tcPr>
          <w:p w:rsidR="004A38EB" w:rsidRPr="007C51D6" w:rsidRDefault="004A38EB" w:rsidP="004A38EB">
            <w:pPr>
              <w:autoSpaceDE/>
              <w:autoSpaceDN/>
              <w:adjustRightInd/>
              <w:spacing w:line="230" w:lineRule="auto"/>
              <w:jc w:val="center"/>
              <w:rPr>
                <w:color w:val="000000"/>
                <w:sz w:val="20"/>
                <w:szCs w:val="20"/>
              </w:rPr>
            </w:pPr>
            <w:r w:rsidRPr="007C51D6">
              <w:rPr>
                <w:color w:val="000000"/>
                <w:sz w:val="20"/>
                <w:szCs w:val="20"/>
              </w:rPr>
              <w:t>89,2</w:t>
            </w:r>
          </w:p>
        </w:tc>
        <w:tc>
          <w:tcPr>
            <w:tcW w:w="992" w:type="dxa"/>
            <w:hideMark/>
          </w:tcPr>
          <w:p w:rsidR="004A38EB" w:rsidRPr="007C51D6" w:rsidRDefault="004A38EB" w:rsidP="004A38EB">
            <w:pPr>
              <w:autoSpaceDE/>
              <w:autoSpaceDN/>
              <w:adjustRightInd/>
              <w:spacing w:line="230" w:lineRule="auto"/>
              <w:jc w:val="center"/>
              <w:rPr>
                <w:color w:val="000000"/>
                <w:sz w:val="20"/>
                <w:szCs w:val="20"/>
              </w:rPr>
            </w:pPr>
            <w:r w:rsidRPr="007C51D6">
              <w:rPr>
                <w:color w:val="000000"/>
                <w:sz w:val="20"/>
                <w:szCs w:val="20"/>
              </w:rPr>
              <w:t>85,1</w:t>
            </w:r>
          </w:p>
        </w:tc>
        <w:tc>
          <w:tcPr>
            <w:tcW w:w="992" w:type="dxa"/>
          </w:tcPr>
          <w:p w:rsidR="004A38EB" w:rsidRPr="007C51D6" w:rsidRDefault="004A38EB" w:rsidP="004A38EB">
            <w:pPr>
              <w:spacing w:line="230" w:lineRule="auto"/>
              <w:jc w:val="center"/>
              <w:rPr>
                <w:color w:val="000000"/>
                <w:sz w:val="20"/>
                <w:szCs w:val="20"/>
              </w:rPr>
            </w:pPr>
            <w:r w:rsidRPr="007C51D6">
              <w:rPr>
                <w:color w:val="000000"/>
                <w:sz w:val="20"/>
                <w:szCs w:val="20"/>
              </w:rPr>
              <w:t>86,7</w:t>
            </w:r>
          </w:p>
        </w:tc>
        <w:tc>
          <w:tcPr>
            <w:tcW w:w="993" w:type="dxa"/>
          </w:tcPr>
          <w:p w:rsidR="004A38EB" w:rsidRPr="007C51D6" w:rsidRDefault="004A38EB" w:rsidP="004A38EB">
            <w:pPr>
              <w:widowControl/>
              <w:autoSpaceDE/>
              <w:autoSpaceDN/>
              <w:adjustRightInd/>
              <w:jc w:val="center"/>
              <w:rPr>
                <w:color w:val="000000"/>
                <w:sz w:val="20"/>
                <w:szCs w:val="20"/>
              </w:rPr>
            </w:pPr>
            <w:r w:rsidRPr="007C51D6">
              <w:rPr>
                <w:color w:val="000000"/>
                <w:sz w:val="20"/>
                <w:szCs w:val="20"/>
              </w:rPr>
              <w:t>91,9</w:t>
            </w:r>
          </w:p>
        </w:tc>
        <w:tc>
          <w:tcPr>
            <w:tcW w:w="994" w:type="dxa"/>
          </w:tcPr>
          <w:p w:rsidR="004A38EB" w:rsidRPr="007C51D6" w:rsidRDefault="004A38EB" w:rsidP="004A38EB">
            <w:pPr>
              <w:widowControl/>
              <w:autoSpaceDE/>
              <w:autoSpaceDN/>
              <w:adjustRightInd/>
              <w:jc w:val="center"/>
              <w:rPr>
                <w:color w:val="000000"/>
                <w:sz w:val="20"/>
                <w:szCs w:val="20"/>
              </w:rPr>
            </w:pPr>
            <w:r w:rsidRPr="007C51D6">
              <w:rPr>
                <w:color w:val="000000"/>
                <w:sz w:val="20"/>
                <w:szCs w:val="20"/>
              </w:rPr>
              <w:t>67,7</w:t>
            </w:r>
          </w:p>
        </w:tc>
        <w:tc>
          <w:tcPr>
            <w:tcW w:w="2410" w:type="dxa"/>
          </w:tcPr>
          <w:p w:rsidR="004A38EB" w:rsidRPr="007C51D6" w:rsidRDefault="004A38EB" w:rsidP="004A38EB">
            <w:pPr>
              <w:autoSpaceDE/>
              <w:autoSpaceDN/>
              <w:adjustRightInd/>
              <w:spacing w:line="230" w:lineRule="auto"/>
              <w:jc w:val="center"/>
              <w:rPr>
                <w:color w:val="000000"/>
                <w:sz w:val="20"/>
                <w:szCs w:val="20"/>
              </w:rPr>
            </w:pPr>
            <w:r w:rsidRPr="007C51D6">
              <w:rPr>
                <w:color w:val="000000"/>
                <w:sz w:val="20"/>
                <w:szCs w:val="20"/>
              </w:rPr>
              <w:t>-23,7</w:t>
            </w:r>
          </w:p>
        </w:tc>
      </w:tr>
      <w:tr w:rsidR="004A38EB" w:rsidRPr="007C51D6" w:rsidTr="00946652">
        <w:tblPrEx>
          <w:tblBorders>
            <w:bottom w:val="single" w:sz="4" w:space="0" w:color="000000"/>
          </w:tblBorders>
        </w:tblPrEx>
        <w:trPr>
          <w:trHeight w:val="20"/>
        </w:trPr>
        <w:tc>
          <w:tcPr>
            <w:tcW w:w="2830" w:type="dxa"/>
            <w:noWrap/>
            <w:hideMark/>
          </w:tcPr>
          <w:p w:rsidR="004A38EB" w:rsidRPr="007C51D6" w:rsidRDefault="004A38EB" w:rsidP="004A38EB">
            <w:pPr>
              <w:autoSpaceDE/>
              <w:autoSpaceDN/>
              <w:adjustRightInd/>
              <w:spacing w:line="230" w:lineRule="auto"/>
              <w:jc w:val="center"/>
              <w:rPr>
                <w:color w:val="000000"/>
                <w:sz w:val="20"/>
                <w:szCs w:val="20"/>
              </w:rPr>
            </w:pPr>
            <w:r w:rsidRPr="007C51D6">
              <w:rPr>
                <w:rFonts w:eastAsia="Arial"/>
                <w:sz w:val="20"/>
                <w:szCs w:val="20"/>
              </w:rPr>
              <w:t>ЗНО</w:t>
            </w:r>
            <w:r w:rsidRPr="007C51D6">
              <w:rPr>
                <w:color w:val="000000"/>
                <w:sz w:val="20"/>
                <w:szCs w:val="20"/>
              </w:rPr>
              <w:t xml:space="preserve"> полости pта (C01–C09, С46.2)</w:t>
            </w:r>
          </w:p>
        </w:tc>
        <w:tc>
          <w:tcPr>
            <w:tcW w:w="992" w:type="dxa"/>
          </w:tcPr>
          <w:p w:rsidR="004A38EB" w:rsidRPr="007C51D6" w:rsidRDefault="004A38EB" w:rsidP="004A38EB">
            <w:pPr>
              <w:autoSpaceDE/>
              <w:autoSpaceDN/>
              <w:adjustRightInd/>
              <w:spacing w:line="230" w:lineRule="auto"/>
              <w:jc w:val="center"/>
              <w:rPr>
                <w:color w:val="000000"/>
                <w:sz w:val="20"/>
                <w:szCs w:val="20"/>
              </w:rPr>
            </w:pPr>
            <w:r w:rsidRPr="007C51D6">
              <w:rPr>
                <w:color w:val="000000"/>
                <w:sz w:val="20"/>
                <w:szCs w:val="20"/>
              </w:rPr>
              <w:t>61,9</w:t>
            </w:r>
          </w:p>
        </w:tc>
        <w:tc>
          <w:tcPr>
            <w:tcW w:w="992" w:type="dxa"/>
          </w:tcPr>
          <w:p w:rsidR="004A38EB" w:rsidRPr="007C51D6" w:rsidRDefault="004A38EB" w:rsidP="004A38EB">
            <w:pPr>
              <w:autoSpaceDE/>
              <w:autoSpaceDN/>
              <w:adjustRightInd/>
              <w:spacing w:line="230" w:lineRule="auto"/>
              <w:jc w:val="center"/>
              <w:rPr>
                <w:color w:val="000000"/>
                <w:sz w:val="20"/>
                <w:szCs w:val="20"/>
              </w:rPr>
            </w:pPr>
            <w:r w:rsidRPr="007C51D6">
              <w:rPr>
                <w:color w:val="000000"/>
                <w:sz w:val="20"/>
                <w:szCs w:val="20"/>
              </w:rPr>
              <w:t>62,7</w:t>
            </w:r>
          </w:p>
        </w:tc>
        <w:tc>
          <w:tcPr>
            <w:tcW w:w="992" w:type="dxa"/>
          </w:tcPr>
          <w:p w:rsidR="004A38EB" w:rsidRPr="007C51D6" w:rsidRDefault="004A38EB" w:rsidP="004A38EB">
            <w:pPr>
              <w:autoSpaceDE/>
              <w:autoSpaceDN/>
              <w:adjustRightInd/>
              <w:spacing w:line="230" w:lineRule="auto"/>
              <w:jc w:val="center"/>
              <w:rPr>
                <w:color w:val="000000"/>
                <w:sz w:val="20"/>
                <w:szCs w:val="20"/>
              </w:rPr>
            </w:pPr>
            <w:r w:rsidRPr="007C51D6">
              <w:rPr>
                <w:color w:val="000000"/>
                <w:sz w:val="20"/>
                <w:szCs w:val="20"/>
              </w:rPr>
              <w:t>56,3</w:t>
            </w:r>
          </w:p>
        </w:tc>
        <w:tc>
          <w:tcPr>
            <w:tcW w:w="992" w:type="dxa"/>
          </w:tcPr>
          <w:p w:rsidR="004A38EB" w:rsidRPr="007C51D6" w:rsidRDefault="004A38EB" w:rsidP="004A38EB">
            <w:pPr>
              <w:autoSpaceDE/>
              <w:autoSpaceDN/>
              <w:adjustRightInd/>
              <w:spacing w:line="230" w:lineRule="auto"/>
              <w:jc w:val="center"/>
              <w:rPr>
                <w:color w:val="000000"/>
                <w:sz w:val="20"/>
                <w:szCs w:val="20"/>
              </w:rPr>
            </w:pPr>
            <w:r w:rsidRPr="007C51D6">
              <w:rPr>
                <w:color w:val="000000"/>
                <w:sz w:val="20"/>
                <w:szCs w:val="20"/>
              </w:rPr>
              <w:t>57,1</w:t>
            </w:r>
          </w:p>
        </w:tc>
        <w:tc>
          <w:tcPr>
            <w:tcW w:w="992" w:type="dxa"/>
          </w:tcPr>
          <w:p w:rsidR="004A38EB" w:rsidRPr="007C51D6" w:rsidRDefault="004A38EB" w:rsidP="004A38EB">
            <w:pPr>
              <w:autoSpaceDE/>
              <w:autoSpaceDN/>
              <w:adjustRightInd/>
              <w:spacing w:line="230" w:lineRule="auto"/>
              <w:jc w:val="center"/>
              <w:rPr>
                <w:color w:val="000000"/>
                <w:sz w:val="20"/>
                <w:szCs w:val="20"/>
              </w:rPr>
            </w:pPr>
            <w:r w:rsidRPr="007C51D6">
              <w:rPr>
                <w:color w:val="000000"/>
                <w:sz w:val="20"/>
                <w:szCs w:val="20"/>
              </w:rPr>
              <w:t>57,4</w:t>
            </w:r>
          </w:p>
        </w:tc>
        <w:tc>
          <w:tcPr>
            <w:tcW w:w="992" w:type="dxa"/>
          </w:tcPr>
          <w:p w:rsidR="004A38EB" w:rsidRPr="007C51D6" w:rsidRDefault="004A38EB" w:rsidP="004A38EB">
            <w:pPr>
              <w:autoSpaceDE/>
              <w:autoSpaceDN/>
              <w:adjustRightInd/>
              <w:spacing w:line="230" w:lineRule="auto"/>
              <w:jc w:val="center"/>
              <w:rPr>
                <w:color w:val="000000"/>
                <w:sz w:val="20"/>
                <w:szCs w:val="20"/>
              </w:rPr>
            </w:pPr>
            <w:r w:rsidRPr="007C51D6">
              <w:rPr>
                <w:color w:val="000000"/>
                <w:sz w:val="20"/>
                <w:szCs w:val="20"/>
              </w:rPr>
              <w:t>64,7</w:t>
            </w:r>
          </w:p>
        </w:tc>
        <w:tc>
          <w:tcPr>
            <w:tcW w:w="992" w:type="dxa"/>
            <w:hideMark/>
          </w:tcPr>
          <w:p w:rsidR="004A38EB" w:rsidRPr="007C51D6" w:rsidRDefault="004A38EB" w:rsidP="004A38EB">
            <w:pPr>
              <w:autoSpaceDE/>
              <w:autoSpaceDN/>
              <w:adjustRightInd/>
              <w:spacing w:line="230" w:lineRule="auto"/>
              <w:jc w:val="center"/>
              <w:rPr>
                <w:color w:val="000000"/>
                <w:sz w:val="20"/>
                <w:szCs w:val="20"/>
              </w:rPr>
            </w:pPr>
            <w:r w:rsidRPr="007C51D6">
              <w:rPr>
                <w:color w:val="000000"/>
                <w:sz w:val="20"/>
                <w:szCs w:val="20"/>
              </w:rPr>
              <w:t>66,7</w:t>
            </w:r>
          </w:p>
        </w:tc>
        <w:tc>
          <w:tcPr>
            <w:tcW w:w="992" w:type="dxa"/>
          </w:tcPr>
          <w:p w:rsidR="004A38EB" w:rsidRPr="007C51D6" w:rsidRDefault="004A38EB" w:rsidP="004A38EB">
            <w:pPr>
              <w:spacing w:line="230" w:lineRule="auto"/>
              <w:jc w:val="center"/>
              <w:rPr>
                <w:color w:val="000000"/>
                <w:sz w:val="20"/>
                <w:szCs w:val="20"/>
              </w:rPr>
            </w:pPr>
            <w:r w:rsidRPr="007C51D6">
              <w:rPr>
                <w:color w:val="000000"/>
                <w:sz w:val="20"/>
                <w:szCs w:val="20"/>
              </w:rPr>
              <w:t>67,9</w:t>
            </w:r>
          </w:p>
        </w:tc>
        <w:tc>
          <w:tcPr>
            <w:tcW w:w="993" w:type="dxa"/>
          </w:tcPr>
          <w:p w:rsidR="004A38EB" w:rsidRPr="007C51D6" w:rsidRDefault="004A38EB" w:rsidP="004A38EB">
            <w:pPr>
              <w:jc w:val="center"/>
              <w:rPr>
                <w:color w:val="000000"/>
                <w:sz w:val="20"/>
                <w:szCs w:val="20"/>
              </w:rPr>
            </w:pPr>
            <w:r w:rsidRPr="007C51D6">
              <w:rPr>
                <w:color w:val="000000"/>
                <w:sz w:val="20"/>
                <w:szCs w:val="20"/>
              </w:rPr>
              <w:t>65,0</w:t>
            </w:r>
          </w:p>
        </w:tc>
        <w:tc>
          <w:tcPr>
            <w:tcW w:w="994" w:type="dxa"/>
          </w:tcPr>
          <w:p w:rsidR="004A38EB" w:rsidRPr="007C51D6" w:rsidRDefault="004A38EB" w:rsidP="004A38EB">
            <w:pPr>
              <w:jc w:val="center"/>
              <w:rPr>
                <w:color w:val="000000"/>
                <w:sz w:val="20"/>
                <w:szCs w:val="20"/>
              </w:rPr>
            </w:pPr>
            <w:r w:rsidRPr="007C51D6">
              <w:rPr>
                <w:color w:val="000000"/>
                <w:sz w:val="20"/>
                <w:szCs w:val="20"/>
              </w:rPr>
              <w:t>64,0</w:t>
            </w:r>
          </w:p>
        </w:tc>
        <w:tc>
          <w:tcPr>
            <w:tcW w:w="2410" w:type="dxa"/>
          </w:tcPr>
          <w:p w:rsidR="004A38EB" w:rsidRPr="007C51D6" w:rsidRDefault="004A38EB" w:rsidP="004A38EB">
            <w:pPr>
              <w:autoSpaceDE/>
              <w:autoSpaceDN/>
              <w:adjustRightInd/>
              <w:spacing w:line="230" w:lineRule="auto"/>
              <w:jc w:val="center"/>
              <w:rPr>
                <w:color w:val="000000"/>
                <w:sz w:val="20"/>
                <w:szCs w:val="20"/>
              </w:rPr>
            </w:pPr>
            <w:r w:rsidRPr="007C51D6">
              <w:rPr>
                <w:color w:val="000000"/>
                <w:sz w:val="20"/>
                <w:szCs w:val="20"/>
              </w:rPr>
              <w:t>3,4</w:t>
            </w:r>
          </w:p>
        </w:tc>
      </w:tr>
      <w:tr w:rsidR="004A38EB" w:rsidRPr="007C51D6" w:rsidTr="00946652">
        <w:tblPrEx>
          <w:tblBorders>
            <w:bottom w:val="single" w:sz="4" w:space="0" w:color="000000"/>
          </w:tblBorders>
        </w:tblPrEx>
        <w:trPr>
          <w:trHeight w:val="20"/>
        </w:trPr>
        <w:tc>
          <w:tcPr>
            <w:tcW w:w="2830" w:type="dxa"/>
            <w:noWrap/>
            <w:hideMark/>
          </w:tcPr>
          <w:p w:rsidR="004A38EB" w:rsidRPr="007C51D6" w:rsidRDefault="004A38EB" w:rsidP="004A38EB">
            <w:pPr>
              <w:autoSpaceDE/>
              <w:autoSpaceDN/>
              <w:adjustRightInd/>
              <w:spacing w:line="230" w:lineRule="auto"/>
              <w:jc w:val="center"/>
              <w:rPr>
                <w:color w:val="000000"/>
                <w:sz w:val="20"/>
                <w:szCs w:val="20"/>
              </w:rPr>
            </w:pPr>
            <w:r w:rsidRPr="007C51D6">
              <w:rPr>
                <w:rFonts w:eastAsia="Arial"/>
                <w:sz w:val="20"/>
                <w:szCs w:val="20"/>
              </w:rPr>
              <w:t>ЗНО</w:t>
            </w:r>
            <w:r w:rsidRPr="007C51D6">
              <w:rPr>
                <w:color w:val="000000"/>
                <w:sz w:val="20"/>
                <w:szCs w:val="20"/>
              </w:rPr>
              <w:t xml:space="preserve"> поджелудочной железы (C25)</w:t>
            </w:r>
          </w:p>
        </w:tc>
        <w:tc>
          <w:tcPr>
            <w:tcW w:w="992" w:type="dxa"/>
          </w:tcPr>
          <w:p w:rsidR="004A38EB" w:rsidRPr="007C51D6" w:rsidRDefault="004A38EB" w:rsidP="004A38EB">
            <w:pPr>
              <w:autoSpaceDE/>
              <w:autoSpaceDN/>
              <w:adjustRightInd/>
              <w:spacing w:line="230" w:lineRule="auto"/>
              <w:jc w:val="center"/>
              <w:rPr>
                <w:color w:val="000000"/>
                <w:sz w:val="20"/>
                <w:szCs w:val="20"/>
              </w:rPr>
            </w:pPr>
            <w:r w:rsidRPr="007C51D6">
              <w:rPr>
                <w:color w:val="000000"/>
                <w:sz w:val="20"/>
                <w:szCs w:val="20"/>
              </w:rPr>
              <w:t>74,2</w:t>
            </w:r>
          </w:p>
        </w:tc>
        <w:tc>
          <w:tcPr>
            <w:tcW w:w="992" w:type="dxa"/>
          </w:tcPr>
          <w:p w:rsidR="004A38EB" w:rsidRPr="007C51D6" w:rsidRDefault="004A38EB" w:rsidP="004A38EB">
            <w:pPr>
              <w:autoSpaceDE/>
              <w:autoSpaceDN/>
              <w:adjustRightInd/>
              <w:spacing w:line="230" w:lineRule="auto"/>
              <w:jc w:val="center"/>
              <w:rPr>
                <w:color w:val="000000"/>
                <w:sz w:val="20"/>
                <w:szCs w:val="20"/>
              </w:rPr>
            </w:pPr>
            <w:r w:rsidRPr="007C51D6">
              <w:rPr>
                <w:color w:val="000000"/>
                <w:sz w:val="20"/>
                <w:szCs w:val="20"/>
              </w:rPr>
              <w:t>73,6</w:t>
            </w:r>
          </w:p>
        </w:tc>
        <w:tc>
          <w:tcPr>
            <w:tcW w:w="992" w:type="dxa"/>
          </w:tcPr>
          <w:p w:rsidR="004A38EB" w:rsidRPr="007C51D6" w:rsidRDefault="004A38EB" w:rsidP="004A38EB">
            <w:pPr>
              <w:autoSpaceDE/>
              <w:autoSpaceDN/>
              <w:adjustRightInd/>
              <w:spacing w:line="230" w:lineRule="auto"/>
              <w:jc w:val="center"/>
              <w:rPr>
                <w:color w:val="000000"/>
                <w:sz w:val="20"/>
                <w:szCs w:val="20"/>
              </w:rPr>
            </w:pPr>
            <w:r w:rsidRPr="007C51D6">
              <w:rPr>
                <w:color w:val="000000"/>
                <w:sz w:val="20"/>
                <w:szCs w:val="20"/>
              </w:rPr>
              <w:t>64,3</w:t>
            </w:r>
          </w:p>
        </w:tc>
        <w:tc>
          <w:tcPr>
            <w:tcW w:w="992" w:type="dxa"/>
          </w:tcPr>
          <w:p w:rsidR="004A38EB" w:rsidRPr="007C51D6" w:rsidRDefault="004A38EB" w:rsidP="004A38EB">
            <w:pPr>
              <w:autoSpaceDE/>
              <w:autoSpaceDN/>
              <w:adjustRightInd/>
              <w:spacing w:line="230" w:lineRule="auto"/>
              <w:jc w:val="center"/>
              <w:rPr>
                <w:color w:val="000000"/>
                <w:sz w:val="20"/>
                <w:szCs w:val="20"/>
              </w:rPr>
            </w:pPr>
            <w:r w:rsidRPr="007C51D6">
              <w:rPr>
                <w:color w:val="000000"/>
                <w:sz w:val="20"/>
                <w:szCs w:val="20"/>
              </w:rPr>
              <w:t>66,2</w:t>
            </w:r>
          </w:p>
        </w:tc>
        <w:tc>
          <w:tcPr>
            <w:tcW w:w="992" w:type="dxa"/>
          </w:tcPr>
          <w:p w:rsidR="004A38EB" w:rsidRPr="007C51D6" w:rsidRDefault="004A38EB" w:rsidP="004A38EB">
            <w:pPr>
              <w:autoSpaceDE/>
              <w:autoSpaceDN/>
              <w:adjustRightInd/>
              <w:spacing w:line="230" w:lineRule="auto"/>
              <w:jc w:val="center"/>
              <w:rPr>
                <w:color w:val="000000"/>
                <w:sz w:val="20"/>
                <w:szCs w:val="20"/>
              </w:rPr>
            </w:pPr>
            <w:r w:rsidRPr="007C51D6">
              <w:rPr>
                <w:color w:val="000000"/>
                <w:sz w:val="20"/>
                <w:szCs w:val="20"/>
              </w:rPr>
              <w:t>63,7</w:t>
            </w:r>
          </w:p>
        </w:tc>
        <w:tc>
          <w:tcPr>
            <w:tcW w:w="992" w:type="dxa"/>
          </w:tcPr>
          <w:p w:rsidR="004A38EB" w:rsidRPr="007C51D6" w:rsidRDefault="004A38EB" w:rsidP="004A38EB">
            <w:pPr>
              <w:autoSpaceDE/>
              <w:autoSpaceDN/>
              <w:adjustRightInd/>
              <w:spacing w:line="230" w:lineRule="auto"/>
              <w:jc w:val="center"/>
              <w:rPr>
                <w:color w:val="000000"/>
                <w:sz w:val="20"/>
                <w:szCs w:val="20"/>
              </w:rPr>
            </w:pPr>
            <w:r w:rsidRPr="007C51D6">
              <w:rPr>
                <w:color w:val="000000"/>
                <w:sz w:val="20"/>
                <w:szCs w:val="20"/>
              </w:rPr>
              <w:t>63,7</w:t>
            </w:r>
          </w:p>
        </w:tc>
        <w:tc>
          <w:tcPr>
            <w:tcW w:w="992" w:type="dxa"/>
            <w:hideMark/>
          </w:tcPr>
          <w:p w:rsidR="004A38EB" w:rsidRPr="007C51D6" w:rsidRDefault="004A38EB" w:rsidP="004A38EB">
            <w:pPr>
              <w:autoSpaceDE/>
              <w:autoSpaceDN/>
              <w:adjustRightInd/>
              <w:spacing w:line="230" w:lineRule="auto"/>
              <w:jc w:val="center"/>
              <w:rPr>
                <w:color w:val="000000"/>
                <w:sz w:val="20"/>
                <w:szCs w:val="20"/>
              </w:rPr>
            </w:pPr>
            <w:r w:rsidRPr="007C51D6">
              <w:rPr>
                <w:color w:val="000000"/>
                <w:sz w:val="20"/>
                <w:szCs w:val="20"/>
              </w:rPr>
              <w:t>66,4</w:t>
            </w:r>
          </w:p>
        </w:tc>
        <w:tc>
          <w:tcPr>
            <w:tcW w:w="992" w:type="dxa"/>
          </w:tcPr>
          <w:p w:rsidR="004A38EB" w:rsidRPr="007C51D6" w:rsidRDefault="004A38EB" w:rsidP="004A38EB">
            <w:pPr>
              <w:spacing w:line="230" w:lineRule="auto"/>
              <w:jc w:val="center"/>
              <w:rPr>
                <w:color w:val="000000"/>
                <w:sz w:val="20"/>
                <w:szCs w:val="20"/>
              </w:rPr>
            </w:pPr>
            <w:r w:rsidRPr="007C51D6">
              <w:rPr>
                <w:color w:val="000000"/>
                <w:sz w:val="20"/>
                <w:szCs w:val="20"/>
              </w:rPr>
              <w:t>62,8</w:t>
            </w:r>
          </w:p>
        </w:tc>
        <w:tc>
          <w:tcPr>
            <w:tcW w:w="993" w:type="dxa"/>
          </w:tcPr>
          <w:p w:rsidR="004A38EB" w:rsidRPr="007C51D6" w:rsidRDefault="004A38EB" w:rsidP="004A38EB">
            <w:pPr>
              <w:jc w:val="center"/>
              <w:rPr>
                <w:color w:val="000000"/>
                <w:sz w:val="20"/>
                <w:szCs w:val="20"/>
              </w:rPr>
            </w:pPr>
            <w:r w:rsidRPr="007C51D6">
              <w:rPr>
                <w:color w:val="000000"/>
                <w:sz w:val="20"/>
                <w:szCs w:val="20"/>
              </w:rPr>
              <w:t>58,5</w:t>
            </w:r>
          </w:p>
        </w:tc>
        <w:tc>
          <w:tcPr>
            <w:tcW w:w="994" w:type="dxa"/>
          </w:tcPr>
          <w:p w:rsidR="004A38EB" w:rsidRPr="007C51D6" w:rsidRDefault="004A38EB" w:rsidP="004A38EB">
            <w:pPr>
              <w:jc w:val="center"/>
              <w:rPr>
                <w:color w:val="000000"/>
                <w:sz w:val="20"/>
                <w:szCs w:val="20"/>
              </w:rPr>
            </w:pPr>
            <w:r w:rsidRPr="007C51D6">
              <w:rPr>
                <w:color w:val="000000"/>
                <w:sz w:val="20"/>
                <w:szCs w:val="20"/>
              </w:rPr>
              <w:t>57,6</w:t>
            </w:r>
          </w:p>
        </w:tc>
        <w:tc>
          <w:tcPr>
            <w:tcW w:w="2410" w:type="dxa"/>
          </w:tcPr>
          <w:p w:rsidR="004A38EB" w:rsidRPr="007C51D6" w:rsidRDefault="004A38EB" w:rsidP="004A38EB">
            <w:pPr>
              <w:autoSpaceDE/>
              <w:autoSpaceDN/>
              <w:adjustRightInd/>
              <w:spacing w:line="230" w:lineRule="auto"/>
              <w:jc w:val="center"/>
              <w:rPr>
                <w:color w:val="000000"/>
                <w:sz w:val="20"/>
                <w:szCs w:val="20"/>
              </w:rPr>
            </w:pPr>
            <w:r w:rsidRPr="007C51D6">
              <w:rPr>
                <w:color w:val="000000"/>
                <w:sz w:val="20"/>
                <w:szCs w:val="20"/>
              </w:rPr>
              <w:t>-22,4</w:t>
            </w:r>
          </w:p>
        </w:tc>
      </w:tr>
      <w:tr w:rsidR="004A38EB" w:rsidRPr="007C51D6" w:rsidTr="00946652">
        <w:tblPrEx>
          <w:tblBorders>
            <w:bottom w:val="single" w:sz="4" w:space="0" w:color="000000"/>
          </w:tblBorders>
        </w:tblPrEx>
        <w:trPr>
          <w:trHeight w:val="20"/>
        </w:trPr>
        <w:tc>
          <w:tcPr>
            <w:tcW w:w="2830" w:type="dxa"/>
            <w:noWrap/>
            <w:hideMark/>
          </w:tcPr>
          <w:p w:rsidR="004A38EB" w:rsidRPr="007C51D6" w:rsidRDefault="004A38EB" w:rsidP="004A38EB">
            <w:pPr>
              <w:autoSpaceDE/>
              <w:autoSpaceDN/>
              <w:adjustRightInd/>
              <w:spacing w:line="230" w:lineRule="auto"/>
              <w:jc w:val="center"/>
              <w:rPr>
                <w:color w:val="000000"/>
                <w:sz w:val="20"/>
                <w:szCs w:val="20"/>
              </w:rPr>
            </w:pPr>
            <w:r w:rsidRPr="007C51D6">
              <w:rPr>
                <w:rFonts w:eastAsia="Arial"/>
                <w:sz w:val="20"/>
                <w:szCs w:val="20"/>
              </w:rPr>
              <w:t>ЗНО</w:t>
            </w:r>
            <w:r w:rsidRPr="007C51D6">
              <w:rPr>
                <w:color w:val="000000"/>
                <w:sz w:val="20"/>
                <w:szCs w:val="20"/>
              </w:rPr>
              <w:t xml:space="preserve"> печени и внутрипеченочных желчных протоков (C22)</w:t>
            </w:r>
          </w:p>
        </w:tc>
        <w:tc>
          <w:tcPr>
            <w:tcW w:w="992" w:type="dxa"/>
          </w:tcPr>
          <w:p w:rsidR="004A38EB" w:rsidRPr="007C51D6" w:rsidRDefault="004A38EB" w:rsidP="004A38EB">
            <w:pPr>
              <w:autoSpaceDE/>
              <w:autoSpaceDN/>
              <w:adjustRightInd/>
              <w:spacing w:line="230" w:lineRule="auto"/>
              <w:jc w:val="center"/>
              <w:rPr>
                <w:color w:val="000000"/>
                <w:sz w:val="20"/>
                <w:szCs w:val="20"/>
              </w:rPr>
            </w:pPr>
            <w:r w:rsidRPr="007C51D6">
              <w:rPr>
                <w:color w:val="000000"/>
                <w:sz w:val="20"/>
                <w:szCs w:val="20"/>
              </w:rPr>
              <w:t>79,8</w:t>
            </w:r>
          </w:p>
        </w:tc>
        <w:tc>
          <w:tcPr>
            <w:tcW w:w="992" w:type="dxa"/>
          </w:tcPr>
          <w:p w:rsidR="004A38EB" w:rsidRPr="007C51D6" w:rsidRDefault="004A38EB" w:rsidP="004A38EB">
            <w:pPr>
              <w:autoSpaceDE/>
              <w:autoSpaceDN/>
              <w:adjustRightInd/>
              <w:spacing w:line="230" w:lineRule="auto"/>
              <w:jc w:val="center"/>
              <w:rPr>
                <w:color w:val="000000"/>
                <w:sz w:val="20"/>
                <w:szCs w:val="20"/>
              </w:rPr>
            </w:pPr>
            <w:r w:rsidRPr="007C51D6">
              <w:rPr>
                <w:color w:val="000000"/>
                <w:sz w:val="20"/>
                <w:szCs w:val="20"/>
              </w:rPr>
              <w:t>72,0</w:t>
            </w:r>
          </w:p>
        </w:tc>
        <w:tc>
          <w:tcPr>
            <w:tcW w:w="992" w:type="dxa"/>
          </w:tcPr>
          <w:p w:rsidR="004A38EB" w:rsidRPr="007C51D6" w:rsidRDefault="004A38EB" w:rsidP="004A38EB">
            <w:pPr>
              <w:autoSpaceDE/>
              <w:autoSpaceDN/>
              <w:adjustRightInd/>
              <w:spacing w:line="230" w:lineRule="auto"/>
              <w:jc w:val="center"/>
              <w:rPr>
                <w:color w:val="000000"/>
                <w:sz w:val="20"/>
                <w:szCs w:val="20"/>
              </w:rPr>
            </w:pPr>
            <w:r w:rsidRPr="007C51D6">
              <w:rPr>
                <w:color w:val="000000"/>
                <w:sz w:val="20"/>
                <w:szCs w:val="20"/>
              </w:rPr>
              <w:t>68,0</w:t>
            </w:r>
          </w:p>
        </w:tc>
        <w:tc>
          <w:tcPr>
            <w:tcW w:w="992" w:type="dxa"/>
          </w:tcPr>
          <w:p w:rsidR="004A38EB" w:rsidRPr="007C51D6" w:rsidRDefault="004A38EB" w:rsidP="004A38EB">
            <w:pPr>
              <w:autoSpaceDE/>
              <w:autoSpaceDN/>
              <w:adjustRightInd/>
              <w:spacing w:line="230" w:lineRule="auto"/>
              <w:jc w:val="center"/>
              <w:rPr>
                <w:color w:val="000000"/>
                <w:sz w:val="20"/>
                <w:szCs w:val="20"/>
              </w:rPr>
            </w:pPr>
            <w:r w:rsidRPr="007C51D6">
              <w:rPr>
                <w:color w:val="000000"/>
                <w:sz w:val="20"/>
                <w:szCs w:val="20"/>
              </w:rPr>
              <w:t>60,9</w:t>
            </w:r>
          </w:p>
        </w:tc>
        <w:tc>
          <w:tcPr>
            <w:tcW w:w="992" w:type="dxa"/>
          </w:tcPr>
          <w:p w:rsidR="004A38EB" w:rsidRPr="007C51D6" w:rsidRDefault="004A38EB" w:rsidP="004A38EB">
            <w:pPr>
              <w:autoSpaceDE/>
              <w:autoSpaceDN/>
              <w:adjustRightInd/>
              <w:spacing w:line="230" w:lineRule="auto"/>
              <w:jc w:val="center"/>
              <w:rPr>
                <w:color w:val="000000"/>
                <w:sz w:val="20"/>
                <w:szCs w:val="20"/>
              </w:rPr>
            </w:pPr>
            <w:r w:rsidRPr="007C51D6">
              <w:rPr>
                <w:color w:val="000000"/>
                <w:sz w:val="20"/>
                <w:szCs w:val="20"/>
              </w:rPr>
              <w:t>62,9</w:t>
            </w:r>
          </w:p>
        </w:tc>
        <w:tc>
          <w:tcPr>
            <w:tcW w:w="992" w:type="dxa"/>
          </w:tcPr>
          <w:p w:rsidR="004A38EB" w:rsidRPr="007C51D6" w:rsidRDefault="004A38EB" w:rsidP="004A38EB">
            <w:pPr>
              <w:autoSpaceDE/>
              <w:autoSpaceDN/>
              <w:adjustRightInd/>
              <w:spacing w:line="230" w:lineRule="auto"/>
              <w:jc w:val="center"/>
              <w:rPr>
                <w:color w:val="000000"/>
                <w:sz w:val="20"/>
                <w:szCs w:val="20"/>
              </w:rPr>
            </w:pPr>
            <w:r w:rsidRPr="007C51D6">
              <w:rPr>
                <w:color w:val="000000"/>
                <w:sz w:val="20"/>
                <w:szCs w:val="20"/>
              </w:rPr>
              <w:t>63,4</w:t>
            </w:r>
          </w:p>
        </w:tc>
        <w:tc>
          <w:tcPr>
            <w:tcW w:w="992" w:type="dxa"/>
            <w:hideMark/>
          </w:tcPr>
          <w:p w:rsidR="004A38EB" w:rsidRPr="007C51D6" w:rsidRDefault="004A38EB" w:rsidP="004A38EB">
            <w:pPr>
              <w:autoSpaceDE/>
              <w:autoSpaceDN/>
              <w:adjustRightInd/>
              <w:spacing w:line="230" w:lineRule="auto"/>
              <w:jc w:val="center"/>
              <w:rPr>
                <w:color w:val="000000"/>
                <w:sz w:val="20"/>
                <w:szCs w:val="20"/>
              </w:rPr>
            </w:pPr>
            <w:r w:rsidRPr="007C51D6">
              <w:rPr>
                <w:color w:val="000000"/>
                <w:sz w:val="20"/>
                <w:szCs w:val="20"/>
              </w:rPr>
              <w:t>60,3</w:t>
            </w:r>
          </w:p>
        </w:tc>
        <w:tc>
          <w:tcPr>
            <w:tcW w:w="992" w:type="dxa"/>
          </w:tcPr>
          <w:p w:rsidR="004A38EB" w:rsidRPr="007C51D6" w:rsidRDefault="004A38EB" w:rsidP="004A38EB">
            <w:pPr>
              <w:spacing w:line="230" w:lineRule="auto"/>
              <w:jc w:val="center"/>
              <w:rPr>
                <w:color w:val="000000"/>
                <w:sz w:val="20"/>
                <w:szCs w:val="20"/>
              </w:rPr>
            </w:pPr>
            <w:r w:rsidRPr="007C51D6">
              <w:rPr>
                <w:color w:val="000000"/>
                <w:sz w:val="20"/>
                <w:szCs w:val="20"/>
              </w:rPr>
              <w:t>58,5</w:t>
            </w:r>
          </w:p>
        </w:tc>
        <w:tc>
          <w:tcPr>
            <w:tcW w:w="993" w:type="dxa"/>
          </w:tcPr>
          <w:p w:rsidR="004A38EB" w:rsidRPr="007C51D6" w:rsidRDefault="004A38EB" w:rsidP="004A38EB">
            <w:pPr>
              <w:jc w:val="center"/>
              <w:rPr>
                <w:color w:val="000000"/>
                <w:sz w:val="20"/>
                <w:szCs w:val="20"/>
              </w:rPr>
            </w:pPr>
            <w:r w:rsidRPr="007C51D6">
              <w:rPr>
                <w:color w:val="000000"/>
                <w:sz w:val="20"/>
                <w:szCs w:val="20"/>
              </w:rPr>
              <w:t>49,4</w:t>
            </w:r>
          </w:p>
        </w:tc>
        <w:tc>
          <w:tcPr>
            <w:tcW w:w="994" w:type="dxa"/>
          </w:tcPr>
          <w:p w:rsidR="004A38EB" w:rsidRPr="007C51D6" w:rsidRDefault="004A38EB" w:rsidP="004A38EB">
            <w:pPr>
              <w:jc w:val="center"/>
              <w:rPr>
                <w:color w:val="000000"/>
                <w:sz w:val="20"/>
                <w:szCs w:val="20"/>
              </w:rPr>
            </w:pPr>
            <w:r w:rsidRPr="007C51D6">
              <w:rPr>
                <w:color w:val="000000"/>
                <w:sz w:val="20"/>
                <w:szCs w:val="20"/>
              </w:rPr>
              <w:t>52,8</w:t>
            </w:r>
          </w:p>
        </w:tc>
        <w:tc>
          <w:tcPr>
            <w:tcW w:w="2410" w:type="dxa"/>
          </w:tcPr>
          <w:p w:rsidR="004A38EB" w:rsidRPr="007C51D6" w:rsidRDefault="004A38EB" w:rsidP="004A38EB">
            <w:pPr>
              <w:autoSpaceDE/>
              <w:autoSpaceDN/>
              <w:adjustRightInd/>
              <w:spacing w:line="230" w:lineRule="auto"/>
              <w:jc w:val="center"/>
              <w:rPr>
                <w:color w:val="000000"/>
                <w:sz w:val="20"/>
                <w:szCs w:val="20"/>
              </w:rPr>
            </w:pPr>
            <w:r w:rsidRPr="007C51D6">
              <w:rPr>
                <w:color w:val="000000"/>
                <w:sz w:val="20"/>
                <w:szCs w:val="20"/>
              </w:rPr>
              <w:t>-33,8</w:t>
            </w:r>
          </w:p>
        </w:tc>
      </w:tr>
      <w:tr w:rsidR="004A38EB" w:rsidRPr="007C51D6" w:rsidTr="00946652">
        <w:tblPrEx>
          <w:tblBorders>
            <w:bottom w:val="single" w:sz="4" w:space="0" w:color="000000"/>
          </w:tblBorders>
        </w:tblPrEx>
        <w:trPr>
          <w:trHeight w:val="20"/>
        </w:trPr>
        <w:tc>
          <w:tcPr>
            <w:tcW w:w="2830" w:type="dxa"/>
            <w:noWrap/>
            <w:hideMark/>
          </w:tcPr>
          <w:p w:rsidR="004A38EB" w:rsidRPr="007C51D6" w:rsidRDefault="004A38EB" w:rsidP="004A38EB">
            <w:pPr>
              <w:autoSpaceDE/>
              <w:autoSpaceDN/>
              <w:adjustRightInd/>
              <w:spacing w:line="230" w:lineRule="auto"/>
              <w:jc w:val="center"/>
              <w:rPr>
                <w:color w:val="000000"/>
                <w:sz w:val="20"/>
                <w:szCs w:val="20"/>
              </w:rPr>
            </w:pPr>
            <w:r w:rsidRPr="007C51D6">
              <w:rPr>
                <w:rFonts w:eastAsia="Arial"/>
                <w:sz w:val="20"/>
                <w:szCs w:val="20"/>
              </w:rPr>
              <w:t>ЗНО</w:t>
            </w:r>
            <w:r w:rsidRPr="007C51D6">
              <w:rPr>
                <w:color w:val="000000"/>
                <w:sz w:val="20"/>
                <w:szCs w:val="20"/>
              </w:rPr>
              <w:t xml:space="preserve"> прямой кишки, ректосигмоидного соединения, ануса </w:t>
            </w:r>
            <w:r w:rsidRPr="007C51D6">
              <w:rPr>
                <w:color w:val="000000"/>
                <w:sz w:val="20"/>
                <w:szCs w:val="20"/>
              </w:rPr>
              <w:br/>
              <w:t>(C19 – 21)</w:t>
            </w:r>
          </w:p>
        </w:tc>
        <w:tc>
          <w:tcPr>
            <w:tcW w:w="992" w:type="dxa"/>
          </w:tcPr>
          <w:p w:rsidR="004A38EB" w:rsidRPr="007C51D6" w:rsidRDefault="004A38EB" w:rsidP="004A38EB">
            <w:pPr>
              <w:autoSpaceDE/>
              <w:autoSpaceDN/>
              <w:adjustRightInd/>
              <w:spacing w:line="230" w:lineRule="auto"/>
              <w:jc w:val="center"/>
              <w:rPr>
                <w:color w:val="000000"/>
                <w:sz w:val="20"/>
                <w:szCs w:val="20"/>
              </w:rPr>
            </w:pPr>
            <w:r w:rsidRPr="007C51D6">
              <w:rPr>
                <w:color w:val="000000"/>
                <w:sz w:val="20"/>
                <w:szCs w:val="20"/>
              </w:rPr>
              <w:t>47,6</w:t>
            </w:r>
          </w:p>
        </w:tc>
        <w:tc>
          <w:tcPr>
            <w:tcW w:w="992" w:type="dxa"/>
          </w:tcPr>
          <w:p w:rsidR="004A38EB" w:rsidRPr="007C51D6" w:rsidRDefault="004A38EB" w:rsidP="004A38EB">
            <w:pPr>
              <w:autoSpaceDE/>
              <w:autoSpaceDN/>
              <w:adjustRightInd/>
              <w:spacing w:line="230" w:lineRule="auto"/>
              <w:jc w:val="center"/>
              <w:rPr>
                <w:color w:val="000000"/>
                <w:sz w:val="20"/>
                <w:szCs w:val="20"/>
              </w:rPr>
            </w:pPr>
            <w:r w:rsidRPr="007C51D6">
              <w:rPr>
                <w:color w:val="000000"/>
                <w:sz w:val="20"/>
                <w:szCs w:val="20"/>
              </w:rPr>
              <w:t>38,4</w:t>
            </w:r>
          </w:p>
        </w:tc>
        <w:tc>
          <w:tcPr>
            <w:tcW w:w="992" w:type="dxa"/>
          </w:tcPr>
          <w:p w:rsidR="004A38EB" w:rsidRPr="007C51D6" w:rsidRDefault="004A38EB" w:rsidP="004A38EB">
            <w:pPr>
              <w:autoSpaceDE/>
              <w:autoSpaceDN/>
              <w:adjustRightInd/>
              <w:spacing w:line="230" w:lineRule="auto"/>
              <w:jc w:val="center"/>
              <w:rPr>
                <w:color w:val="000000"/>
                <w:sz w:val="20"/>
                <w:szCs w:val="20"/>
              </w:rPr>
            </w:pPr>
            <w:r w:rsidRPr="007C51D6">
              <w:rPr>
                <w:color w:val="000000"/>
                <w:sz w:val="20"/>
                <w:szCs w:val="20"/>
              </w:rPr>
              <w:t>39,6</w:t>
            </w:r>
          </w:p>
        </w:tc>
        <w:tc>
          <w:tcPr>
            <w:tcW w:w="992" w:type="dxa"/>
          </w:tcPr>
          <w:p w:rsidR="004A38EB" w:rsidRPr="007C51D6" w:rsidRDefault="004A38EB" w:rsidP="004A38EB">
            <w:pPr>
              <w:autoSpaceDE/>
              <w:autoSpaceDN/>
              <w:adjustRightInd/>
              <w:spacing w:line="230" w:lineRule="auto"/>
              <w:jc w:val="center"/>
              <w:rPr>
                <w:color w:val="000000"/>
                <w:sz w:val="20"/>
                <w:szCs w:val="20"/>
              </w:rPr>
            </w:pPr>
            <w:r w:rsidRPr="007C51D6">
              <w:rPr>
                <w:color w:val="000000"/>
                <w:sz w:val="20"/>
                <w:szCs w:val="20"/>
              </w:rPr>
              <w:t>38,8</w:t>
            </w:r>
          </w:p>
        </w:tc>
        <w:tc>
          <w:tcPr>
            <w:tcW w:w="992" w:type="dxa"/>
          </w:tcPr>
          <w:p w:rsidR="004A38EB" w:rsidRPr="007C51D6" w:rsidRDefault="004A38EB" w:rsidP="004A38EB">
            <w:pPr>
              <w:autoSpaceDE/>
              <w:autoSpaceDN/>
              <w:adjustRightInd/>
              <w:spacing w:line="230" w:lineRule="auto"/>
              <w:jc w:val="center"/>
              <w:rPr>
                <w:color w:val="000000"/>
                <w:sz w:val="20"/>
                <w:szCs w:val="20"/>
              </w:rPr>
            </w:pPr>
            <w:r w:rsidRPr="007C51D6">
              <w:rPr>
                <w:color w:val="000000"/>
                <w:sz w:val="20"/>
                <w:szCs w:val="20"/>
              </w:rPr>
              <w:t>40,0</w:t>
            </w:r>
          </w:p>
        </w:tc>
        <w:tc>
          <w:tcPr>
            <w:tcW w:w="992" w:type="dxa"/>
          </w:tcPr>
          <w:p w:rsidR="004A38EB" w:rsidRPr="007C51D6" w:rsidRDefault="004A38EB" w:rsidP="004A38EB">
            <w:pPr>
              <w:autoSpaceDE/>
              <w:autoSpaceDN/>
              <w:adjustRightInd/>
              <w:spacing w:line="230" w:lineRule="auto"/>
              <w:jc w:val="center"/>
              <w:rPr>
                <w:color w:val="000000"/>
                <w:sz w:val="20"/>
                <w:szCs w:val="20"/>
              </w:rPr>
            </w:pPr>
            <w:r w:rsidRPr="007C51D6">
              <w:rPr>
                <w:color w:val="000000"/>
                <w:sz w:val="20"/>
                <w:szCs w:val="20"/>
              </w:rPr>
              <w:t>43,4</w:t>
            </w:r>
          </w:p>
        </w:tc>
        <w:tc>
          <w:tcPr>
            <w:tcW w:w="992" w:type="dxa"/>
            <w:hideMark/>
          </w:tcPr>
          <w:p w:rsidR="004A38EB" w:rsidRPr="007C51D6" w:rsidRDefault="004A38EB" w:rsidP="004A38EB">
            <w:pPr>
              <w:autoSpaceDE/>
              <w:autoSpaceDN/>
              <w:adjustRightInd/>
              <w:spacing w:line="230" w:lineRule="auto"/>
              <w:jc w:val="center"/>
              <w:rPr>
                <w:color w:val="000000"/>
                <w:sz w:val="20"/>
                <w:szCs w:val="20"/>
              </w:rPr>
            </w:pPr>
            <w:r w:rsidRPr="007C51D6">
              <w:rPr>
                <w:color w:val="000000"/>
                <w:sz w:val="20"/>
                <w:szCs w:val="20"/>
              </w:rPr>
              <w:t>43,7</w:t>
            </w:r>
          </w:p>
        </w:tc>
        <w:tc>
          <w:tcPr>
            <w:tcW w:w="992" w:type="dxa"/>
          </w:tcPr>
          <w:p w:rsidR="004A38EB" w:rsidRPr="007C51D6" w:rsidRDefault="004A38EB" w:rsidP="004A38EB">
            <w:pPr>
              <w:spacing w:line="230" w:lineRule="auto"/>
              <w:jc w:val="center"/>
              <w:rPr>
                <w:color w:val="000000"/>
                <w:sz w:val="20"/>
                <w:szCs w:val="20"/>
              </w:rPr>
            </w:pPr>
            <w:r w:rsidRPr="007C51D6">
              <w:rPr>
                <w:color w:val="000000"/>
                <w:sz w:val="20"/>
                <w:szCs w:val="20"/>
              </w:rPr>
              <w:t>46,3</w:t>
            </w:r>
          </w:p>
        </w:tc>
        <w:tc>
          <w:tcPr>
            <w:tcW w:w="993" w:type="dxa"/>
          </w:tcPr>
          <w:p w:rsidR="004A38EB" w:rsidRPr="007C51D6" w:rsidRDefault="004A38EB" w:rsidP="004A38EB">
            <w:pPr>
              <w:jc w:val="center"/>
              <w:rPr>
                <w:color w:val="000000"/>
                <w:sz w:val="20"/>
                <w:szCs w:val="20"/>
              </w:rPr>
            </w:pPr>
            <w:r w:rsidRPr="007C51D6">
              <w:rPr>
                <w:color w:val="000000"/>
                <w:sz w:val="20"/>
                <w:szCs w:val="20"/>
              </w:rPr>
              <w:t>43,7</w:t>
            </w:r>
          </w:p>
        </w:tc>
        <w:tc>
          <w:tcPr>
            <w:tcW w:w="994" w:type="dxa"/>
          </w:tcPr>
          <w:p w:rsidR="004A38EB" w:rsidRPr="007C51D6" w:rsidRDefault="004A38EB" w:rsidP="004A38EB">
            <w:pPr>
              <w:jc w:val="center"/>
              <w:rPr>
                <w:color w:val="000000"/>
                <w:sz w:val="20"/>
                <w:szCs w:val="20"/>
              </w:rPr>
            </w:pPr>
            <w:r w:rsidRPr="007C51D6">
              <w:rPr>
                <w:color w:val="000000"/>
                <w:sz w:val="20"/>
                <w:szCs w:val="20"/>
              </w:rPr>
              <w:t>38,9</w:t>
            </w:r>
          </w:p>
        </w:tc>
        <w:tc>
          <w:tcPr>
            <w:tcW w:w="2410" w:type="dxa"/>
          </w:tcPr>
          <w:p w:rsidR="004A38EB" w:rsidRPr="007C51D6" w:rsidRDefault="004A38EB" w:rsidP="004A38EB">
            <w:pPr>
              <w:autoSpaceDE/>
              <w:autoSpaceDN/>
              <w:adjustRightInd/>
              <w:spacing w:line="230" w:lineRule="auto"/>
              <w:jc w:val="center"/>
              <w:rPr>
                <w:color w:val="000000"/>
                <w:sz w:val="20"/>
                <w:szCs w:val="20"/>
              </w:rPr>
            </w:pPr>
            <w:r w:rsidRPr="007C51D6">
              <w:rPr>
                <w:color w:val="000000"/>
                <w:sz w:val="20"/>
                <w:szCs w:val="20"/>
              </w:rPr>
              <w:t>-18,3</w:t>
            </w:r>
          </w:p>
        </w:tc>
      </w:tr>
      <w:tr w:rsidR="004A38EB" w:rsidRPr="007C51D6" w:rsidTr="00946652">
        <w:tblPrEx>
          <w:tblBorders>
            <w:bottom w:val="single" w:sz="4" w:space="0" w:color="000000"/>
          </w:tblBorders>
        </w:tblPrEx>
        <w:trPr>
          <w:trHeight w:val="20"/>
        </w:trPr>
        <w:tc>
          <w:tcPr>
            <w:tcW w:w="2830" w:type="dxa"/>
            <w:noWrap/>
            <w:hideMark/>
          </w:tcPr>
          <w:p w:rsidR="004A38EB" w:rsidRPr="007C51D6" w:rsidRDefault="004A38EB" w:rsidP="004A38EB">
            <w:pPr>
              <w:autoSpaceDE/>
              <w:autoSpaceDN/>
              <w:adjustRightInd/>
              <w:spacing w:line="230" w:lineRule="auto"/>
              <w:jc w:val="center"/>
              <w:rPr>
                <w:color w:val="000000"/>
                <w:sz w:val="20"/>
                <w:szCs w:val="20"/>
              </w:rPr>
            </w:pPr>
            <w:r w:rsidRPr="007C51D6">
              <w:rPr>
                <w:rFonts w:eastAsia="Arial"/>
                <w:sz w:val="20"/>
                <w:szCs w:val="20"/>
              </w:rPr>
              <w:t>ЗНО</w:t>
            </w:r>
            <w:r w:rsidRPr="007C51D6">
              <w:rPr>
                <w:color w:val="000000"/>
                <w:sz w:val="20"/>
                <w:szCs w:val="20"/>
              </w:rPr>
              <w:t xml:space="preserve"> трахеи, бронхов, легкого </w:t>
            </w:r>
            <w:r w:rsidRPr="007C51D6">
              <w:rPr>
                <w:color w:val="000000"/>
                <w:sz w:val="20"/>
                <w:szCs w:val="20"/>
              </w:rPr>
              <w:br/>
              <w:t>(C33 – 34)</w:t>
            </w:r>
          </w:p>
        </w:tc>
        <w:tc>
          <w:tcPr>
            <w:tcW w:w="992" w:type="dxa"/>
          </w:tcPr>
          <w:p w:rsidR="004A38EB" w:rsidRPr="007C51D6" w:rsidRDefault="004A38EB" w:rsidP="004A38EB">
            <w:pPr>
              <w:autoSpaceDE/>
              <w:autoSpaceDN/>
              <w:adjustRightInd/>
              <w:spacing w:line="230" w:lineRule="auto"/>
              <w:jc w:val="center"/>
              <w:rPr>
                <w:color w:val="000000"/>
                <w:sz w:val="20"/>
                <w:szCs w:val="20"/>
              </w:rPr>
            </w:pPr>
            <w:r w:rsidRPr="007C51D6">
              <w:rPr>
                <w:color w:val="000000"/>
                <w:sz w:val="20"/>
                <w:szCs w:val="20"/>
              </w:rPr>
              <w:t>43,2</w:t>
            </w:r>
          </w:p>
        </w:tc>
        <w:tc>
          <w:tcPr>
            <w:tcW w:w="992" w:type="dxa"/>
          </w:tcPr>
          <w:p w:rsidR="004A38EB" w:rsidRPr="007C51D6" w:rsidRDefault="004A38EB" w:rsidP="004A38EB">
            <w:pPr>
              <w:autoSpaceDE/>
              <w:autoSpaceDN/>
              <w:adjustRightInd/>
              <w:spacing w:line="230" w:lineRule="auto"/>
              <w:jc w:val="center"/>
              <w:rPr>
                <w:color w:val="000000"/>
                <w:sz w:val="20"/>
                <w:szCs w:val="20"/>
              </w:rPr>
            </w:pPr>
            <w:r w:rsidRPr="007C51D6">
              <w:rPr>
                <w:color w:val="000000"/>
                <w:sz w:val="20"/>
                <w:szCs w:val="20"/>
              </w:rPr>
              <w:t>42,0</w:t>
            </w:r>
          </w:p>
        </w:tc>
        <w:tc>
          <w:tcPr>
            <w:tcW w:w="992" w:type="dxa"/>
          </w:tcPr>
          <w:p w:rsidR="004A38EB" w:rsidRPr="007C51D6" w:rsidRDefault="004A38EB" w:rsidP="004A38EB">
            <w:pPr>
              <w:autoSpaceDE/>
              <w:autoSpaceDN/>
              <w:adjustRightInd/>
              <w:spacing w:line="230" w:lineRule="auto"/>
              <w:jc w:val="center"/>
              <w:rPr>
                <w:color w:val="000000"/>
                <w:sz w:val="20"/>
                <w:szCs w:val="20"/>
              </w:rPr>
            </w:pPr>
            <w:r w:rsidRPr="007C51D6">
              <w:rPr>
                <w:color w:val="000000"/>
                <w:sz w:val="20"/>
                <w:szCs w:val="20"/>
              </w:rPr>
              <w:t>40,9</w:t>
            </w:r>
          </w:p>
        </w:tc>
        <w:tc>
          <w:tcPr>
            <w:tcW w:w="992" w:type="dxa"/>
          </w:tcPr>
          <w:p w:rsidR="004A38EB" w:rsidRPr="007C51D6" w:rsidRDefault="004A38EB" w:rsidP="004A38EB">
            <w:pPr>
              <w:autoSpaceDE/>
              <w:autoSpaceDN/>
              <w:adjustRightInd/>
              <w:spacing w:line="230" w:lineRule="auto"/>
              <w:jc w:val="center"/>
              <w:rPr>
                <w:color w:val="000000"/>
                <w:sz w:val="20"/>
                <w:szCs w:val="20"/>
              </w:rPr>
            </w:pPr>
            <w:r w:rsidRPr="007C51D6">
              <w:rPr>
                <w:color w:val="000000"/>
                <w:sz w:val="20"/>
                <w:szCs w:val="20"/>
              </w:rPr>
              <w:t>38,2</w:t>
            </w:r>
          </w:p>
        </w:tc>
        <w:tc>
          <w:tcPr>
            <w:tcW w:w="992" w:type="dxa"/>
          </w:tcPr>
          <w:p w:rsidR="004A38EB" w:rsidRPr="007C51D6" w:rsidRDefault="004A38EB" w:rsidP="004A38EB">
            <w:pPr>
              <w:autoSpaceDE/>
              <w:autoSpaceDN/>
              <w:adjustRightInd/>
              <w:spacing w:line="230" w:lineRule="auto"/>
              <w:jc w:val="center"/>
              <w:rPr>
                <w:color w:val="000000"/>
                <w:sz w:val="20"/>
                <w:szCs w:val="20"/>
              </w:rPr>
            </w:pPr>
            <w:r w:rsidRPr="007C51D6">
              <w:rPr>
                <w:color w:val="000000"/>
                <w:sz w:val="20"/>
                <w:szCs w:val="20"/>
              </w:rPr>
              <w:t>43,9</w:t>
            </w:r>
          </w:p>
        </w:tc>
        <w:tc>
          <w:tcPr>
            <w:tcW w:w="992" w:type="dxa"/>
          </w:tcPr>
          <w:p w:rsidR="004A38EB" w:rsidRPr="007C51D6" w:rsidRDefault="004A38EB" w:rsidP="004A38EB">
            <w:pPr>
              <w:autoSpaceDE/>
              <w:autoSpaceDN/>
              <w:adjustRightInd/>
              <w:spacing w:line="230" w:lineRule="auto"/>
              <w:jc w:val="center"/>
              <w:rPr>
                <w:color w:val="000000"/>
                <w:sz w:val="20"/>
                <w:szCs w:val="20"/>
              </w:rPr>
            </w:pPr>
            <w:r w:rsidRPr="007C51D6">
              <w:rPr>
                <w:color w:val="000000"/>
                <w:sz w:val="20"/>
                <w:szCs w:val="20"/>
              </w:rPr>
              <w:t>42,6</w:t>
            </w:r>
          </w:p>
        </w:tc>
        <w:tc>
          <w:tcPr>
            <w:tcW w:w="992" w:type="dxa"/>
            <w:hideMark/>
          </w:tcPr>
          <w:p w:rsidR="004A38EB" w:rsidRPr="007C51D6" w:rsidRDefault="004A38EB" w:rsidP="004A38EB">
            <w:pPr>
              <w:autoSpaceDE/>
              <w:autoSpaceDN/>
              <w:adjustRightInd/>
              <w:spacing w:line="230" w:lineRule="auto"/>
              <w:jc w:val="center"/>
              <w:rPr>
                <w:color w:val="000000"/>
                <w:sz w:val="20"/>
                <w:szCs w:val="20"/>
              </w:rPr>
            </w:pPr>
            <w:r w:rsidRPr="007C51D6">
              <w:rPr>
                <w:color w:val="000000"/>
                <w:sz w:val="20"/>
                <w:szCs w:val="20"/>
              </w:rPr>
              <w:t>42,4</w:t>
            </w:r>
          </w:p>
        </w:tc>
        <w:tc>
          <w:tcPr>
            <w:tcW w:w="992" w:type="dxa"/>
          </w:tcPr>
          <w:p w:rsidR="004A38EB" w:rsidRPr="007C51D6" w:rsidRDefault="004A38EB" w:rsidP="004A38EB">
            <w:pPr>
              <w:spacing w:line="230" w:lineRule="auto"/>
              <w:jc w:val="center"/>
              <w:rPr>
                <w:color w:val="000000"/>
                <w:sz w:val="20"/>
                <w:szCs w:val="20"/>
              </w:rPr>
            </w:pPr>
            <w:r w:rsidRPr="007C51D6">
              <w:rPr>
                <w:color w:val="000000"/>
                <w:sz w:val="20"/>
                <w:szCs w:val="20"/>
              </w:rPr>
              <w:t>45,1</w:t>
            </w:r>
          </w:p>
        </w:tc>
        <w:tc>
          <w:tcPr>
            <w:tcW w:w="993" w:type="dxa"/>
          </w:tcPr>
          <w:p w:rsidR="004A38EB" w:rsidRPr="007C51D6" w:rsidRDefault="004A38EB" w:rsidP="004A38EB">
            <w:pPr>
              <w:jc w:val="center"/>
              <w:rPr>
                <w:color w:val="000000"/>
                <w:sz w:val="20"/>
                <w:szCs w:val="20"/>
              </w:rPr>
            </w:pPr>
            <w:r w:rsidRPr="007C51D6">
              <w:rPr>
                <w:color w:val="000000"/>
                <w:sz w:val="20"/>
                <w:szCs w:val="20"/>
              </w:rPr>
              <w:t>43,3</w:t>
            </w:r>
          </w:p>
        </w:tc>
        <w:tc>
          <w:tcPr>
            <w:tcW w:w="994" w:type="dxa"/>
          </w:tcPr>
          <w:p w:rsidR="004A38EB" w:rsidRPr="007C51D6" w:rsidRDefault="004A38EB" w:rsidP="004A38EB">
            <w:pPr>
              <w:jc w:val="center"/>
              <w:rPr>
                <w:color w:val="000000"/>
                <w:sz w:val="20"/>
                <w:szCs w:val="20"/>
              </w:rPr>
            </w:pPr>
            <w:r w:rsidRPr="007C51D6">
              <w:rPr>
                <w:color w:val="000000"/>
                <w:sz w:val="20"/>
                <w:szCs w:val="20"/>
              </w:rPr>
              <w:t>44,4</w:t>
            </w:r>
          </w:p>
        </w:tc>
        <w:tc>
          <w:tcPr>
            <w:tcW w:w="2410" w:type="dxa"/>
          </w:tcPr>
          <w:p w:rsidR="004A38EB" w:rsidRPr="007C51D6" w:rsidRDefault="004A38EB" w:rsidP="004A38EB">
            <w:pPr>
              <w:autoSpaceDE/>
              <w:autoSpaceDN/>
              <w:adjustRightInd/>
              <w:spacing w:line="230" w:lineRule="auto"/>
              <w:jc w:val="center"/>
              <w:rPr>
                <w:color w:val="000000"/>
                <w:sz w:val="20"/>
                <w:szCs w:val="20"/>
              </w:rPr>
            </w:pPr>
            <w:r w:rsidRPr="007C51D6">
              <w:rPr>
                <w:color w:val="000000"/>
                <w:sz w:val="20"/>
                <w:szCs w:val="20"/>
              </w:rPr>
              <w:t>2,8</w:t>
            </w:r>
          </w:p>
        </w:tc>
      </w:tr>
      <w:tr w:rsidR="004A38EB" w:rsidRPr="007C51D6" w:rsidTr="00946652">
        <w:tblPrEx>
          <w:tblBorders>
            <w:bottom w:val="single" w:sz="4" w:space="0" w:color="000000"/>
          </w:tblBorders>
        </w:tblPrEx>
        <w:trPr>
          <w:trHeight w:val="20"/>
        </w:trPr>
        <w:tc>
          <w:tcPr>
            <w:tcW w:w="2830" w:type="dxa"/>
            <w:noWrap/>
            <w:hideMark/>
          </w:tcPr>
          <w:p w:rsidR="004A38EB" w:rsidRPr="007C51D6" w:rsidRDefault="004A38EB" w:rsidP="004A38EB">
            <w:pPr>
              <w:autoSpaceDE/>
              <w:autoSpaceDN/>
              <w:adjustRightInd/>
              <w:spacing w:line="230" w:lineRule="auto"/>
              <w:jc w:val="center"/>
              <w:rPr>
                <w:color w:val="000000"/>
                <w:sz w:val="20"/>
                <w:szCs w:val="20"/>
              </w:rPr>
            </w:pPr>
            <w:r w:rsidRPr="007C51D6">
              <w:rPr>
                <w:rFonts w:eastAsia="Arial"/>
                <w:sz w:val="20"/>
                <w:szCs w:val="20"/>
              </w:rPr>
              <w:t>ЗНО</w:t>
            </w:r>
            <w:r w:rsidRPr="007C51D6">
              <w:rPr>
                <w:color w:val="000000"/>
                <w:sz w:val="20"/>
                <w:szCs w:val="20"/>
              </w:rPr>
              <w:t xml:space="preserve"> желудка (C16)</w:t>
            </w:r>
          </w:p>
        </w:tc>
        <w:tc>
          <w:tcPr>
            <w:tcW w:w="992" w:type="dxa"/>
          </w:tcPr>
          <w:p w:rsidR="004A38EB" w:rsidRPr="007C51D6" w:rsidRDefault="004A38EB" w:rsidP="004A38EB">
            <w:pPr>
              <w:autoSpaceDE/>
              <w:autoSpaceDN/>
              <w:adjustRightInd/>
              <w:spacing w:line="230" w:lineRule="auto"/>
              <w:jc w:val="center"/>
              <w:rPr>
                <w:color w:val="000000"/>
                <w:sz w:val="20"/>
                <w:szCs w:val="20"/>
              </w:rPr>
            </w:pPr>
            <w:r w:rsidRPr="007C51D6">
              <w:rPr>
                <w:color w:val="000000"/>
                <w:sz w:val="20"/>
                <w:szCs w:val="20"/>
              </w:rPr>
              <w:t>51,5</w:t>
            </w:r>
          </w:p>
        </w:tc>
        <w:tc>
          <w:tcPr>
            <w:tcW w:w="992" w:type="dxa"/>
          </w:tcPr>
          <w:p w:rsidR="004A38EB" w:rsidRPr="007C51D6" w:rsidRDefault="004A38EB" w:rsidP="004A38EB">
            <w:pPr>
              <w:autoSpaceDE/>
              <w:autoSpaceDN/>
              <w:adjustRightInd/>
              <w:spacing w:line="230" w:lineRule="auto"/>
              <w:jc w:val="center"/>
              <w:rPr>
                <w:color w:val="000000"/>
                <w:sz w:val="20"/>
                <w:szCs w:val="20"/>
              </w:rPr>
            </w:pPr>
            <w:r w:rsidRPr="007C51D6">
              <w:rPr>
                <w:color w:val="000000"/>
                <w:sz w:val="20"/>
                <w:szCs w:val="20"/>
              </w:rPr>
              <w:t>53,8</w:t>
            </w:r>
          </w:p>
        </w:tc>
        <w:tc>
          <w:tcPr>
            <w:tcW w:w="992" w:type="dxa"/>
          </w:tcPr>
          <w:p w:rsidR="004A38EB" w:rsidRPr="007C51D6" w:rsidRDefault="004A38EB" w:rsidP="004A38EB">
            <w:pPr>
              <w:autoSpaceDE/>
              <w:autoSpaceDN/>
              <w:adjustRightInd/>
              <w:spacing w:line="230" w:lineRule="auto"/>
              <w:jc w:val="center"/>
              <w:rPr>
                <w:color w:val="000000"/>
                <w:sz w:val="20"/>
                <w:szCs w:val="20"/>
              </w:rPr>
            </w:pPr>
            <w:r w:rsidRPr="007C51D6">
              <w:rPr>
                <w:color w:val="000000"/>
                <w:sz w:val="20"/>
                <w:szCs w:val="20"/>
              </w:rPr>
              <w:t>50,6</w:t>
            </w:r>
          </w:p>
        </w:tc>
        <w:tc>
          <w:tcPr>
            <w:tcW w:w="992" w:type="dxa"/>
          </w:tcPr>
          <w:p w:rsidR="004A38EB" w:rsidRPr="007C51D6" w:rsidRDefault="004A38EB" w:rsidP="004A38EB">
            <w:pPr>
              <w:autoSpaceDE/>
              <w:autoSpaceDN/>
              <w:adjustRightInd/>
              <w:spacing w:line="230" w:lineRule="auto"/>
              <w:jc w:val="center"/>
              <w:rPr>
                <w:color w:val="000000"/>
                <w:sz w:val="20"/>
                <w:szCs w:val="20"/>
              </w:rPr>
            </w:pPr>
            <w:r w:rsidRPr="007C51D6">
              <w:rPr>
                <w:color w:val="000000"/>
                <w:sz w:val="20"/>
                <w:szCs w:val="20"/>
              </w:rPr>
              <w:t>42,4</w:t>
            </w:r>
          </w:p>
        </w:tc>
        <w:tc>
          <w:tcPr>
            <w:tcW w:w="992" w:type="dxa"/>
          </w:tcPr>
          <w:p w:rsidR="004A38EB" w:rsidRPr="007C51D6" w:rsidRDefault="004A38EB" w:rsidP="004A38EB">
            <w:pPr>
              <w:autoSpaceDE/>
              <w:autoSpaceDN/>
              <w:adjustRightInd/>
              <w:spacing w:line="230" w:lineRule="auto"/>
              <w:jc w:val="center"/>
              <w:rPr>
                <w:color w:val="000000"/>
                <w:sz w:val="20"/>
                <w:szCs w:val="20"/>
              </w:rPr>
            </w:pPr>
            <w:r w:rsidRPr="007C51D6">
              <w:rPr>
                <w:color w:val="000000"/>
                <w:sz w:val="20"/>
                <w:szCs w:val="20"/>
              </w:rPr>
              <w:t>41,3</w:t>
            </w:r>
          </w:p>
        </w:tc>
        <w:tc>
          <w:tcPr>
            <w:tcW w:w="992" w:type="dxa"/>
          </w:tcPr>
          <w:p w:rsidR="004A38EB" w:rsidRPr="007C51D6" w:rsidRDefault="004A38EB" w:rsidP="004A38EB">
            <w:pPr>
              <w:autoSpaceDE/>
              <w:autoSpaceDN/>
              <w:adjustRightInd/>
              <w:spacing w:line="230" w:lineRule="auto"/>
              <w:jc w:val="center"/>
              <w:rPr>
                <w:color w:val="000000"/>
                <w:sz w:val="20"/>
                <w:szCs w:val="20"/>
              </w:rPr>
            </w:pPr>
            <w:r w:rsidRPr="007C51D6">
              <w:rPr>
                <w:color w:val="000000"/>
                <w:sz w:val="20"/>
                <w:szCs w:val="20"/>
              </w:rPr>
              <w:t>36,2</w:t>
            </w:r>
          </w:p>
        </w:tc>
        <w:tc>
          <w:tcPr>
            <w:tcW w:w="992" w:type="dxa"/>
            <w:hideMark/>
          </w:tcPr>
          <w:p w:rsidR="004A38EB" w:rsidRPr="007C51D6" w:rsidRDefault="004A38EB" w:rsidP="004A38EB">
            <w:pPr>
              <w:autoSpaceDE/>
              <w:autoSpaceDN/>
              <w:adjustRightInd/>
              <w:spacing w:line="230" w:lineRule="auto"/>
              <w:jc w:val="center"/>
              <w:rPr>
                <w:color w:val="000000"/>
                <w:sz w:val="20"/>
                <w:szCs w:val="20"/>
              </w:rPr>
            </w:pPr>
            <w:r w:rsidRPr="007C51D6">
              <w:rPr>
                <w:color w:val="000000"/>
                <w:sz w:val="20"/>
                <w:szCs w:val="20"/>
              </w:rPr>
              <w:t>36,8</w:t>
            </w:r>
          </w:p>
        </w:tc>
        <w:tc>
          <w:tcPr>
            <w:tcW w:w="992" w:type="dxa"/>
          </w:tcPr>
          <w:p w:rsidR="004A38EB" w:rsidRPr="007C51D6" w:rsidRDefault="004A38EB" w:rsidP="004A38EB">
            <w:pPr>
              <w:spacing w:line="230" w:lineRule="auto"/>
              <w:jc w:val="center"/>
              <w:rPr>
                <w:color w:val="000000"/>
                <w:sz w:val="20"/>
                <w:szCs w:val="20"/>
              </w:rPr>
            </w:pPr>
            <w:r w:rsidRPr="007C51D6">
              <w:rPr>
                <w:color w:val="000000"/>
                <w:sz w:val="20"/>
                <w:szCs w:val="20"/>
              </w:rPr>
              <w:t>35,1</w:t>
            </w:r>
          </w:p>
        </w:tc>
        <w:tc>
          <w:tcPr>
            <w:tcW w:w="993" w:type="dxa"/>
          </w:tcPr>
          <w:p w:rsidR="004A38EB" w:rsidRPr="007C51D6" w:rsidRDefault="004A38EB" w:rsidP="004A38EB">
            <w:pPr>
              <w:jc w:val="center"/>
              <w:rPr>
                <w:color w:val="000000"/>
                <w:sz w:val="20"/>
                <w:szCs w:val="20"/>
              </w:rPr>
            </w:pPr>
            <w:r w:rsidRPr="007C51D6">
              <w:rPr>
                <w:color w:val="000000"/>
                <w:sz w:val="20"/>
                <w:szCs w:val="20"/>
              </w:rPr>
              <w:t>35,2</w:t>
            </w:r>
          </w:p>
        </w:tc>
        <w:tc>
          <w:tcPr>
            <w:tcW w:w="994" w:type="dxa"/>
          </w:tcPr>
          <w:p w:rsidR="004A38EB" w:rsidRPr="007C51D6" w:rsidRDefault="004A38EB" w:rsidP="004A38EB">
            <w:pPr>
              <w:jc w:val="center"/>
              <w:rPr>
                <w:color w:val="000000"/>
                <w:sz w:val="20"/>
                <w:szCs w:val="20"/>
              </w:rPr>
            </w:pPr>
            <w:r w:rsidRPr="007C51D6">
              <w:rPr>
                <w:color w:val="000000"/>
                <w:sz w:val="20"/>
                <w:szCs w:val="20"/>
              </w:rPr>
              <w:t>34,8</w:t>
            </w:r>
          </w:p>
        </w:tc>
        <w:tc>
          <w:tcPr>
            <w:tcW w:w="2410" w:type="dxa"/>
          </w:tcPr>
          <w:p w:rsidR="004A38EB" w:rsidRPr="007C51D6" w:rsidRDefault="004A38EB" w:rsidP="004A38EB">
            <w:pPr>
              <w:autoSpaceDE/>
              <w:autoSpaceDN/>
              <w:adjustRightInd/>
              <w:spacing w:line="230" w:lineRule="auto"/>
              <w:jc w:val="center"/>
              <w:rPr>
                <w:color w:val="000000"/>
                <w:sz w:val="20"/>
                <w:szCs w:val="20"/>
              </w:rPr>
            </w:pPr>
            <w:r w:rsidRPr="007C51D6">
              <w:rPr>
                <w:color w:val="000000"/>
                <w:sz w:val="20"/>
                <w:szCs w:val="20"/>
              </w:rPr>
              <w:t>-32,4</w:t>
            </w:r>
          </w:p>
        </w:tc>
      </w:tr>
      <w:tr w:rsidR="004A38EB" w:rsidRPr="007C51D6" w:rsidTr="00946652">
        <w:tblPrEx>
          <w:tblBorders>
            <w:bottom w:val="single" w:sz="4" w:space="0" w:color="000000"/>
          </w:tblBorders>
        </w:tblPrEx>
        <w:trPr>
          <w:trHeight w:val="20"/>
        </w:trPr>
        <w:tc>
          <w:tcPr>
            <w:tcW w:w="2830" w:type="dxa"/>
            <w:noWrap/>
            <w:hideMark/>
          </w:tcPr>
          <w:p w:rsidR="004A38EB" w:rsidRPr="007C51D6" w:rsidRDefault="004A38EB" w:rsidP="004A38EB">
            <w:pPr>
              <w:autoSpaceDE/>
              <w:autoSpaceDN/>
              <w:adjustRightInd/>
              <w:spacing w:line="230" w:lineRule="auto"/>
              <w:jc w:val="center"/>
              <w:rPr>
                <w:color w:val="000000"/>
                <w:sz w:val="20"/>
                <w:szCs w:val="20"/>
              </w:rPr>
            </w:pPr>
            <w:r w:rsidRPr="007C51D6">
              <w:rPr>
                <w:rFonts w:eastAsia="Arial"/>
                <w:sz w:val="20"/>
                <w:szCs w:val="20"/>
              </w:rPr>
              <w:t>ЗНО</w:t>
            </w:r>
            <w:r w:rsidRPr="007C51D6">
              <w:rPr>
                <w:color w:val="000000"/>
                <w:sz w:val="20"/>
                <w:szCs w:val="20"/>
              </w:rPr>
              <w:t xml:space="preserve"> гортани (C32)</w:t>
            </w:r>
          </w:p>
        </w:tc>
        <w:tc>
          <w:tcPr>
            <w:tcW w:w="992" w:type="dxa"/>
          </w:tcPr>
          <w:p w:rsidR="004A38EB" w:rsidRPr="007C51D6" w:rsidRDefault="004A38EB" w:rsidP="004A38EB">
            <w:pPr>
              <w:autoSpaceDE/>
              <w:autoSpaceDN/>
              <w:adjustRightInd/>
              <w:spacing w:line="230" w:lineRule="auto"/>
              <w:jc w:val="center"/>
              <w:rPr>
                <w:color w:val="000000"/>
                <w:sz w:val="20"/>
                <w:szCs w:val="20"/>
              </w:rPr>
            </w:pPr>
            <w:r w:rsidRPr="007C51D6">
              <w:rPr>
                <w:color w:val="000000"/>
                <w:sz w:val="20"/>
                <w:szCs w:val="20"/>
              </w:rPr>
              <w:t>13,2</w:t>
            </w:r>
          </w:p>
        </w:tc>
        <w:tc>
          <w:tcPr>
            <w:tcW w:w="992" w:type="dxa"/>
          </w:tcPr>
          <w:p w:rsidR="004A38EB" w:rsidRPr="007C51D6" w:rsidRDefault="004A38EB" w:rsidP="004A38EB">
            <w:pPr>
              <w:autoSpaceDE/>
              <w:autoSpaceDN/>
              <w:adjustRightInd/>
              <w:spacing w:line="230" w:lineRule="auto"/>
              <w:jc w:val="center"/>
              <w:rPr>
                <w:color w:val="000000"/>
                <w:sz w:val="20"/>
                <w:szCs w:val="20"/>
              </w:rPr>
            </w:pPr>
            <w:r w:rsidRPr="007C51D6">
              <w:rPr>
                <w:color w:val="000000"/>
                <w:sz w:val="20"/>
                <w:szCs w:val="20"/>
              </w:rPr>
              <w:t>14,4</w:t>
            </w:r>
          </w:p>
        </w:tc>
        <w:tc>
          <w:tcPr>
            <w:tcW w:w="992" w:type="dxa"/>
          </w:tcPr>
          <w:p w:rsidR="004A38EB" w:rsidRPr="007C51D6" w:rsidRDefault="004A38EB" w:rsidP="004A38EB">
            <w:pPr>
              <w:autoSpaceDE/>
              <w:autoSpaceDN/>
              <w:adjustRightInd/>
              <w:spacing w:line="230" w:lineRule="auto"/>
              <w:jc w:val="center"/>
              <w:rPr>
                <w:color w:val="000000"/>
                <w:sz w:val="20"/>
                <w:szCs w:val="20"/>
              </w:rPr>
            </w:pPr>
            <w:r w:rsidRPr="007C51D6">
              <w:rPr>
                <w:color w:val="000000"/>
                <w:sz w:val="20"/>
                <w:szCs w:val="20"/>
              </w:rPr>
              <w:t>18,8</w:t>
            </w:r>
          </w:p>
        </w:tc>
        <w:tc>
          <w:tcPr>
            <w:tcW w:w="992" w:type="dxa"/>
          </w:tcPr>
          <w:p w:rsidR="004A38EB" w:rsidRPr="007C51D6" w:rsidRDefault="004A38EB" w:rsidP="004A38EB">
            <w:pPr>
              <w:autoSpaceDE/>
              <w:autoSpaceDN/>
              <w:adjustRightInd/>
              <w:spacing w:line="230" w:lineRule="auto"/>
              <w:jc w:val="center"/>
              <w:rPr>
                <w:color w:val="000000"/>
                <w:sz w:val="20"/>
                <w:szCs w:val="20"/>
              </w:rPr>
            </w:pPr>
            <w:r w:rsidRPr="007C51D6">
              <w:rPr>
                <w:color w:val="000000"/>
                <w:sz w:val="20"/>
                <w:szCs w:val="20"/>
              </w:rPr>
              <w:t>14,8</w:t>
            </w:r>
          </w:p>
        </w:tc>
        <w:tc>
          <w:tcPr>
            <w:tcW w:w="992" w:type="dxa"/>
          </w:tcPr>
          <w:p w:rsidR="004A38EB" w:rsidRPr="007C51D6" w:rsidRDefault="004A38EB" w:rsidP="004A38EB">
            <w:pPr>
              <w:autoSpaceDE/>
              <w:autoSpaceDN/>
              <w:adjustRightInd/>
              <w:spacing w:line="230" w:lineRule="auto"/>
              <w:jc w:val="center"/>
              <w:rPr>
                <w:color w:val="000000"/>
                <w:sz w:val="20"/>
                <w:szCs w:val="20"/>
              </w:rPr>
            </w:pPr>
            <w:r w:rsidRPr="007C51D6">
              <w:rPr>
                <w:color w:val="000000"/>
                <w:sz w:val="20"/>
                <w:szCs w:val="20"/>
              </w:rPr>
              <w:t>24,2</w:t>
            </w:r>
          </w:p>
        </w:tc>
        <w:tc>
          <w:tcPr>
            <w:tcW w:w="992" w:type="dxa"/>
          </w:tcPr>
          <w:p w:rsidR="004A38EB" w:rsidRPr="007C51D6" w:rsidRDefault="004A38EB" w:rsidP="004A38EB">
            <w:pPr>
              <w:autoSpaceDE/>
              <w:autoSpaceDN/>
              <w:adjustRightInd/>
              <w:spacing w:line="230" w:lineRule="auto"/>
              <w:jc w:val="center"/>
              <w:rPr>
                <w:color w:val="000000"/>
                <w:sz w:val="20"/>
                <w:szCs w:val="20"/>
              </w:rPr>
            </w:pPr>
            <w:r w:rsidRPr="007C51D6">
              <w:rPr>
                <w:color w:val="000000"/>
                <w:sz w:val="20"/>
                <w:szCs w:val="20"/>
              </w:rPr>
              <w:t>20,7</w:t>
            </w:r>
          </w:p>
        </w:tc>
        <w:tc>
          <w:tcPr>
            <w:tcW w:w="992" w:type="dxa"/>
            <w:hideMark/>
          </w:tcPr>
          <w:p w:rsidR="004A38EB" w:rsidRPr="007C51D6" w:rsidRDefault="004A38EB" w:rsidP="004A38EB">
            <w:pPr>
              <w:autoSpaceDE/>
              <w:autoSpaceDN/>
              <w:adjustRightInd/>
              <w:spacing w:line="230" w:lineRule="auto"/>
              <w:jc w:val="center"/>
              <w:rPr>
                <w:color w:val="000000"/>
                <w:sz w:val="20"/>
                <w:szCs w:val="20"/>
              </w:rPr>
            </w:pPr>
            <w:r w:rsidRPr="007C51D6">
              <w:rPr>
                <w:color w:val="000000"/>
                <w:sz w:val="20"/>
                <w:szCs w:val="20"/>
              </w:rPr>
              <w:t>23,2</w:t>
            </w:r>
          </w:p>
        </w:tc>
        <w:tc>
          <w:tcPr>
            <w:tcW w:w="992" w:type="dxa"/>
          </w:tcPr>
          <w:p w:rsidR="004A38EB" w:rsidRPr="007C51D6" w:rsidRDefault="004A38EB" w:rsidP="004A38EB">
            <w:pPr>
              <w:spacing w:line="230" w:lineRule="auto"/>
              <w:jc w:val="center"/>
              <w:rPr>
                <w:color w:val="000000"/>
                <w:sz w:val="20"/>
                <w:szCs w:val="20"/>
              </w:rPr>
            </w:pPr>
            <w:r w:rsidRPr="007C51D6">
              <w:rPr>
                <w:color w:val="000000"/>
                <w:sz w:val="20"/>
                <w:szCs w:val="20"/>
              </w:rPr>
              <w:t>29,5</w:t>
            </w:r>
          </w:p>
        </w:tc>
        <w:tc>
          <w:tcPr>
            <w:tcW w:w="993" w:type="dxa"/>
          </w:tcPr>
          <w:p w:rsidR="004A38EB" w:rsidRPr="007C51D6" w:rsidRDefault="004A38EB" w:rsidP="004A38EB">
            <w:pPr>
              <w:jc w:val="center"/>
              <w:rPr>
                <w:color w:val="000000"/>
                <w:sz w:val="20"/>
                <w:szCs w:val="20"/>
              </w:rPr>
            </w:pPr>
            <w:r w:rsidRPr="007C51D6">
              <w:rPr>
                <w:color w:val="000000"/>
                <w:sz w:val="20"/>
                <w:szCs w:val="20"/>
              </w:rPr>
              <w:t>29,4</w:t>
            </w:r>
          </w:p>
        </w:tc>
        <w:tc>
          <w:tcPr>
            <w:tcW w:w="994" w:type="dxa"/>
          </w:tcPr>
          <w:p w:rsidR="004A38EB" w:rsidRPr="007C51D6" w:rsidRDefault="004A38EB" w:rsidP="004A38EB">
            <w:pPr>
              <w:jc w:val="center"/>
              <w:rPr>
                <w:color w:val="000000"/>
                <w:sz w:val="20"/>
                <w:szCs w:val="20"/>
              </w:rPr>
            </w:pPr>
            <w:r w:rsidRPr="007C51D6">
              <w:rPr>
                <w:color w:val="000000"/>
                <w:sz w:val="20"/>
                <w:szCs w:val="20"/>
              </w:rPr>
              <w:t>23,0</w:t>
            </w:r>
          </w:p>
        </w:tc>
        <w:tc>
          <w:tcPr>
            <w:tcW w:w="2410" w:type="dxa"/>
          </w:tcPr>
          <w:p w:rsidR="004A38EB" w:rsidRPr="007C51D6" w:rsidRDefault="004A38EB" w:rsidP="004A38EB">
            <w:pPr>
              <w:autoSpaceDE/>
              <w:autoSpaceDN/>
              <w:adjustRightInd/>
              <w:spacing w:line="230" w:lineRule="auto"/>
              <w:jc w:val="center"/>
              <w:rPr>
                <w:color w:val="000000"/>
                <w:sz w:val="20"/>
                <w:szCs w:val="20"/>
              </w:rPr>
            </w:pPr>
            <w:r w:rsidRPr="007C51D6">
              <w:rPr>
                <w:color w:val="000000"/>
                <w:sz w:val="20"/>
                <w:szCs w:val="20"/>
              </w:rPr>
              <w:t>74,2</w:t>
            </w:r>
          </w:p>
        </w:tc>
      </w:tr>
      <w:tr w:rsidR="004A38EB" w:rsidRPr="007C51D6" w:rsidTr="00946652">
        <w:tblPrEx>
          <w:tblBorders>
            <w:bottom w:val="single" w:sz="4" w:space="0" w:color="000000"/>
          </w:tblBorders>
        </w:tblPrEx>
        <w:trPr>
          <w:trHeight w:val="20"/>
        </w:trPr>
        <w:tc>
          <w:tcPr>
            <w:tcW w:w="2830" w:type="dxa"/>
            <w:noWrap/>
            <w:hideMark/>
          </w:tcPr>
          <w:p w:rsidR="004A38EB" w:rsidRPr="007C51D6" w:rsidRDefault="004A38EB" w:rsidP="004A38EB">
            <w:pPr>
              <w:autoSpaceDE/>
              <w:autoSpaceDN/>
              <w:adjustRightInd/>
              <w:spacing w:line="230" w:lineRule="auto"/>
              <w:jc w:val="center"/>
              <w:rPr>
                <w:color w:val="000000"/>
                <w:sz w:val="20"/>
                <w:szCs w:val="20"/>
              </w:rPr>
            </w:pPr>
            <w:r w:rsidRPr="007C51D6">
              <w:rPr>
                <w:rFonts w:eastAsia="Arial"/>
                <w:sz w:val="20"/>
                <w:szCs w:val="20"/>
              </w:rPr>
              <w:t>ЗНО</w:t>
            </w:r>
            <w:r w:rsidRPr="007C51D6">
              <w:rPr>
                <w:color w:val="000000"/>
                <w:sz w:val="20"/>
                <w:szCs w:val="20"/>
              </w:rPr>
              <w:t xml:space="preserve"> молочной железы (C50)</w:t>
            </w:r>
          </w:p>
        </w:tc>
        <w:tc>
          <w:tcPr>
            <w:tcW w:w="992" w:type="dxa"/>
          </w:tcPr>
          <w:p w:rsidR="004A38EB" w:rsidRPr="007C51D6" w:rsidRDefault="004A38EB" w:rsidP="004A38EB">
            <w:pPr>
              <w:autoSpaceDE/>
              <w:autoSpaceDN/>
              <w:adjustRightInd/>
              <w:spacing w:line="230" w:lineRule="auto"/>
              <w:jc w:val="center"/>
              <w:rPr>
                <w:color w:val="000000"/>
                <w:sz w:val="20"/>
                <w:szCs w:val="20"/>
              </w:rPr>
            </w:pPr>
            <w:r w:rsidRPr="007C51D6">
              <w:rPr>
                <w:color w:val="000000"/>
                <w:sz w:val="20"/>
                <w:szCs w:val="20"/>
              </w:rPr>
              <w:t>32,9</w:t>
            </w:r>
          </w:p>
        </w:tc>
        <w:tc>
          <w:tcPr>
            <w:tcW w:w="992" w:type="dxa"/>
          </w:tcPr>
          <w:p w:rsidR="004A38EB" w:rsidRPr="007C51D6" w:rsidRDefault="004A38EB" w:rsidP="004A38EB">
            <w:pPr>
              <w:autoSpaceDE/>
              <w:autoSpaceDN/>
              <w:adjustRightInd/>
              <w:spacing w:line="230" w:lineRule="auto"/>
              <w:jc w:val="center"/>
              <w:rPr>
                <w:color w:val="000000"/>
                <w:sz w:val="20"/>
                <w:szCs w:val="20"/>
              </w:rPr>
            </w:pPr>
            <w:r w:rsidRPr="007C51D6">
              <w:rPr>
                <w:color w:val="000000"/>
                <w:sz w:val="20"/>
                <w:szCs w:val="20"/>
              </w:rPr>
              <w:t>30,6</w:t>
            </w:r>
          </w:p>
        </w:tc>
        <w:tc>
          <w:tcPr>
            <w:tcW w:w="992" w:type="dxa"/>
          </w:tcPr>
          <w:p w:rsidR="004A38EB" w:rsidRPr="007C51D6" w:rsidRDefault="004A38EB" w:rsidP="004A38EB">
            <w:pPr>
              <w:autoSpaceDE/>
              <w:autoSpaceDN/>
              <w:adjustRightInd/>
              <w:spacing w:line="230" w:lineRule="auto"/>
              <w:jc w:val="center"/>
              <w:rPr>
                <w:color w:val="000000"/>
                <w:sz w:val="20"/>
                <w:szCs w:val="20"/>
              </w:rPr>
            </w:pPr>
            <w:r w:rsidRPr="007C51D6">
              <w:rPr>
                <w:color w:val="000000"/>
                <w:sz w:val="20"/>
                <w:szCs w:val="20"/>
              </w:rPr>
              <w:t>29,3</w:t>
            </w:r>
          </w:p>
        </w:tc>
        <w:tc>
          <w:tcPr>
            <w:tcW w:w="992" w:type="dxa"/>
          </w:tcPr>
          <w:p w:rsidR="004A38EB" w:rsidRPr="007C51D6" w:rsidRDefault="004A38EB" w:rsidP="004A38EB">
            <w:pPr>
              <w:autoSpaceDE/>
              <w:autoSpaceDN/>
              <w:adjustRightInd/>
              <w:spacing w:line="230" w:lineRule="auto"/>
              <w:jc w:val="center"/>
              <w:rPr>
                <w:color w:val="000000"/>
                <w:sz w:val="20"/>
                <w:szCs w:val="20"/>
              </w:rPr>
            </w:pPr>
            <w:r w:rsidRPr="007C51D6">
              <w:rPr>
                <w:color w:val="000000"/>
                <w:sz w:val="20"/>
                <w:szCs w:val="20"/>
              </w:rPr>
              <w:t>27,8</w:t>
            </w:r>
          </w:p>
        </w:tc>
        <w:tc>
          <w:tcPr>
            <w:tcW w:w="992" w:type="dxa"/>
          </w:tcPr>
          <w:p w:rsidR="004A38EB" w:rsidRPr="007C51D6" w:rsidRDefault="004A38EB" w:rsidP="004A38EB">
            <w:pPr>
              <w:autoSpaceDE/>
              <w:autoSpaceDN/>
              <w:adjustRightInd/>
              <w:spacing w:line="230" w:lineRule="auto"/>
              <w:jc w:val="center"/>
              <w:rPr>
                <w:color w:val="000000"/>
                <w:sz w:val="20"/>
                <w:szCs w:val="20"/>
              </w:rPr>
            </w:pPr>
            <w:r w:rsidRPr="007C51D6">
              <w:rPr>
                <w:color w:val="000000"/>
                <w:sz w:val="20"/>
                <w:szCs w:val="20"/>
              </w:rPr>
              <w:t>22,0</w:t>
            </w:r>
          </w:p>
        </w:tc>
        <w:tc>
          <w:tcPr>
            <w:tcW w:w="992" w:type="dxa"/>
          </w:tcPr>
          <w:p w:rsidR="004A38EB" w:rsidRPr="007C51D6" w:rsidRDefault="004A38EB" w:rsidP="004A38EB">
            <w:pPr>
              <w:autoSpaceDE/>
              <w:autoSpaceDN/>
              <w:adjustRightInd/>
              <w:spacing w:line="230" w:lineRule="auto"/>
              <w:jc w:val="center"/>
              <w:rPr>
                <w:color w:val="000000"/>
                <w:sz w:val="20"/>
                <w:szCs w:val="20"/>
              </w:rPr>
            </w:pPr>
            <w:r w:rsidRPr="007C51D6">
              <w:rPr>
                <w:color w:val="000000"/>
                <w:sz w:val="20"/>
                <w:szCs w:val="20"/>
              </w:rPr>
              <w:t>21,8</w:t>
            </w:r>
          </w:p>
        </w:tc>
        <w:tc>
          <w:tcPr>
            <w:tcW w:w="992" w:type="dxa"/>
            <w:hideMark/>
          </w:tcPr>
          <w:p w:rsidR="004A38EB" w:rsidRPr="007C51D6" w:rsidRDefault="004A38EB" w:rsidP="004A38EB">
            <w:pPr>
              <w:autoSpaceDE/>
              <w:autoSpaceDN/>
              <w:adjustRightInd/>
              <w:spacing w:line="230" w:lineRule="auto"/>
              <w:jc w:val="center"/>
              <w:rPr>
                <w:color w:val="000000"/>
                <w:sz w:val="20"/>
                <w:szCs w:val="20"/>
              </w:rPr>
            </w:pPr>
            <w:r w:rsidRPr="007C51D6">
              <w:rPr>
                <w:color w:val="000000"/>
                <w:sz w:val="20"/>
                <w:szCs w:val="20"/>
              </w:rPr>
              <w:t>23,5</w:t>
            </w:r>
          </w:p>
        </w:tc>
        <w:tc>
          <w:tcPr>
            <w:tcW w:w="992" w:type="dxa"/>
          </w:tcPr>
          <w:p w:rsidR="004A38EB" w:rsidRPr="007C51D6" w:rsidRDefault="004A38EB" w:rsidP="004A38EB">
            <w:pPr>
              <w:spacing w:line="230" w:lineRule="auto"/>
              <w:jc w:val="center"/>
              <w:rPr>
                <w:color w:val="000000"/>
                <w:sz w:val="20"/>
                <w:szCs w:val="20"/>
              </w:rPr>
            </w:pPr>
            <w:r w:rsidRPr="007C51D6">
              <w:rPr>
                <w:color w:val="000000"/>
                <w:sz w:val="20"/>
                <w:szCs w:val="20"/>
              </w:rPr>
              <w:t>20,3</w:t>
            </w:r>
          </w:p>
        </w:tc>
        <w:tc>
          <w:tcPr>
            <w:tcW w:w="993" w:type="dxa"/>
          </w:tcPr>
          <w:p w:rsidR="004A38EB" w:rsidRPr="007C51D6" w:rsidRDefault="004A38EB" w:rsidP="004A38EB">
            <w:pPr>
              <w:jc w:val="center"/>
              <w:rPr>
                <w:color w:val="000000"/>
                <w:sz w:val="20"/>
                <w:szCs w:val="20"/>
              </w:rPr>
            </w:pPr>
            <w:r w:rsidRPr="007C51D6">
              <w:rPr>
                <w:color w:val="000000"/>
                <w:sz w:val="20"/>
                <w:szCs w:val="20"/>
              </w:rPr>
              <w:t>21,7</w:t>
            </w:r>
          </w:p>
        </w:tc>
        <w:tc>
          <w:tcPr>
            <w:tcW w:w="994" w:type="dxa"/>
          </w:tcPr>
          <w:p w:rsidR="004A38EB" w:rsidRPr="007C51D6" w:rsidRDefault="004A38EB" w:rsidP="004A38EB">
            <w:pPr>
              <w:jc w:val="center"/>
              <w:rPr>
                <w:color w:val="000000"/>
                <w:sz w:val="20"/>
                <w:szCs w:val="20"/>
              </w:rPr>
            </w:pPr>
            <w:r w:rsidRPr="007C51D6">
              <w:rPr>
                <w:color w:val="000000"/>
                <w:sz w:val="20"/>
                <w:szCs w:val="20"/>
              </w:rPr>
              <w:t>20,4</w:t>
            </w:r>
          </w:p>
        </w:tc>
        <w:tc>
          <w:tcPr>
            <w:tcW w:w="2410" w:type="dxa"/>
          </w:tcPr>
          <w:p w:rsidR="004A38EB" w:rsidRPr="007C51D6" w:rsidRDefault="004A38EB" w:rsidP="004A38EB">
            <w:pPr>
              <w:autoSpaceDE/>
              <w:autoSpaceDN/>
              <w:adjustRightInd/>
              <w:spacing w:line="230" w:lineRule="auto"/>
              <w:jc w:val="center"/>
              <w:rPr>
                <w:color w:val="000000"/>
                <w:sz w:val="20"/>
                <w:szCs w:val="20"/>
              </w:rPr>
            </w:pPr>
            <w:r w:rsidRPr="007C51D6">
              <w:rPr>
                <w:color w:val="000000"/>
                <w:sz w:val="20"/>
                <w:szCs w:val="20"/>
              </w:rPr>
              <w:t>-38,0</w:t>
            </w:r>
          </w:p>
        </w:tc>
      </w:tr>
      <w:tr w:rsidR="004A38EB" w:rsidRPr="007C51D6" w:rsidTr="00946652">
        <w:tblPrEx>
          <w:tblBorders>
            <w:bottom w:val="single" w:sz="4" w:space="0" w:color="000000"/>
          </w:tblBorders>
        </w:tblPrEx>
        <w:trPr>
          <w:trHeight w:val="20"/>
        </w:trPr>
        <w:tc>
          <w:tcPr>
            <w:tcW w:w="2830" w:type="dxa"/>
            <w:noWrap/>
            <w:hideMark/>
          </w:tcPr>
          <w:p w:rsidR="004A38EB" w:rsidRPr="007C51D6" w:rsidRDefault="004A38EB" w:rsidP="004A38EB">
            <w:pPr>
              <w:autoSpaceDE/>
              <w:autoSpaceDN/>
              <w:adjustRightInd/>
              <w:spacing w:line="230" w:lineRule="auto"/>
              <w:jc w:val="center"/>
              <w:rPr>
                <w:color w:val="000000"/>
                <w:sz w:val="20"/>
                <w:szCs w:val="20"/>
              </w:rPr>
            </w:pPr>
            <w:r w:rsidRPr="007C51D6">
              <w:rPr>
                <w:color w:val="000000"/>
                <w:sz w:val="20"/>
                <w:szCs w:val="20"/>
              </w:rPr>
              <w:t>Злокачественные лимфомы (С81 – 85, 88, 90, 96)</w:t>
            </w:r>
          </w:p>
        </w:tc>
        <w:tc>
          <w:tcPr>
            <w:tcW w:w="992" w:type="dxa"/>
          </w:tcPr>
          <w:p w:rsidR="004A38EB" w:rsidRPr="007C51D6" w:rsidRDefault="004A38EB" w:rsidP="004A38EB">
            <w:pPr>
              <w:autoSpaceDE/>
              <w:autoSpaceDN/>
              <w:adjustRightInd/>
              <w:spacing w:line="230" w:lineRule="auto"/>
              <w:jc w:val="center"/>
              <w:rPr>
                <w:color w:val="000000"/>
                <w:sz w:val="20"/>
                <w:szCs w:val="20"/>
              </w:rPr>
            </w:pPr>
            <w:r w:rsidRPr="007C51D6">
              <w:rPr>
                <w:color w:val="000000"/>
                <w:sz w:val="20"/>
                <w:szCs w:val="20"/>
              </w:rPr>
              <w:t>20,4</w:t>
            </w:r>
          </w:p>
        </w:tc>
        <w:tc>
          <w:tcPr>
            <w:tcW w:w="992" w:type="dxa"/>
          </w:tcPr>
          <w:p w:rsidR="004A38EB" w:rsidRPr="007C51D6" w:rsidRDefault="004A38EB" w:rsidP="004A38EB">
            <w:pPr>
              <w:autoSpaceDE/>
              <w:autoSpaceDN/>
              <w:adjustRightInd/>
              <w:spacing w:line="230" w:lineRule="auto"/>
              <w:jc w:val="center"/>
              <w:rPr>
                <w:color w:val="000000"/>
                <w:sz w:val="20"/>
                <w:szCs w:val="20"/>
              </w:rPr>
            </w:pPr>
            <w:r w:rsidRPr="007C51D6">
              <w:rPr>
                <w:color w:val="000000"/>
                <w:sz w:val="20"/>
                <w:szCs w:val="20"/>
              </w:rPr>
              <w:t>19,2</w:t>
            </w:r>
          </w:p>
        </w:tc>
        <w:tc>
          <w:tcPr>
            <w:tcW w:w="992" w:type="dxa"/>
          </w:tcPr>
          <w:p w:rsidR="004A38EB" w:rsidRPr="007C51D6" w:rsidRDefault="004A38EB" w:rsidP="004A38EB">
            <w:pPr>
              <w:autoSpaceDE/>
              <w:autoSpaceDN/>
              <w:adjustRightInd/>
              <w:spacing w:line="230" w:lineRule="auto"/>
              <w:jc w:val="center"/>
              <w:rPr>
                <w:color w:val="000000"/>
                <w:sz w:val="20"/>
                <w:szCs w:val="20"/>
              </w:rPr>
            </w:pPr>
            <w:r w:rsidRPr="007C51D6">
              <w:rPr>
                <w:color w:val="000000"/>
                <w:sz w:val="20"/>
                <w:szCs w:val="20"/>
              </w:rPr>
              <w:t>21,7</w:t>
            </w:r>
          </w:p>
        </w:tc>
        <w:tc>
          <w:tcPr>
            <w:tcW w:w="992" w:type="dxa"/>
          </w:tcPr>
          <w:p w:rsidR="004A38EB" w:rsidRPr="007C51D6" w:rsidRDefault="004A38EB" w:rsidP="004A38EB">
            <w:pPr>
              <w:autoSpaceDE/>
              <w:autoSpaceDN/>
              <w:adjustRightInd/>
              <w:spacing w:line="230" w:lineRule="auto"/>
              <w:jc w:val="center"/>
              <w:rPr>
                <w:color w:val="000000"/>
                <w:sz w:val="20"/>
                <w:szCs w:val="20"/>
              </w:rPr>
            </w:pPr>
            <w:r w:rsidRPr="007C51D6">
              <w:rPr>
                <w:color w:val="000000"/>
                <w:sz w:val="20"/>
                <w:szCs w:val="20"/>
              </w:rPr>
              <w:t>22,0</w:t>
            </w:r>
          </w:p>
        </w:tc>
        <w:tc>
          <w:tcPr>
            <w:tcW w:w="992" w:type="dxa"/>
          </w:tcPr>
          <w:p w:rsidR="004A38EB" w:rsidRPr="007C51D6" w:rsidRDefault="004A38EB" w:rsidP="004A38EB">
            <w:pPr>
              <w:autoSpaceDE/>
              <w:autoSpaceDN/>
              <w:adjustRightInd/>
              <w:spacing w:line="230" w:lineRule="auto"/>
              <w:jc w:val="center"/>
              <w:rPr>
                <w:color w:val="000000"/>
                <w:sz w:val="20"/>
                <w:szCs w:val="20"/>
              </w:rPr>
            </w:pPr>
            <w:r w:rsidRPr="007C51D6">
              <w:rPr>
                <w:color w:val="000000"/>
                <w:sz w:val="20"/>
                <w:szCs w:val="20"/>
              </w:rPr>
              <w:t>20,3</w:t>
            </w:r>
          </w:p>
        </w:tc>
        <w:tc>
          <w:tcPr>
            <w:tcW w:w="992" w:type="dxa"/>
          </w:tcPr>
          <w:p w:rsidR="004A38EB" w:rsidRPr="007C51D6" w:rsidRDefault="004A38EB" w:rsidP="004A38EB">
            <w:pPr>
              <w:autoSpaceDE/>
              <w:autoSpaceDN/>
              <w:adjustRightInd/>
              <w:spacing w:line="230" w:lineRule="auto"/>
              <w:jc w:val="center"/>
              <w:rPr>
                <w:color w:val="000000"/>
                <w:sz w:val="20"/>
                <w:szCs w:val="20"/>
              </w:rPr>
            </w:pPr>
            <w:r w:rsidRPr="007C51D6">
              <w:rPr>
                <w:color w:val="000000"/>
                <w:sz w:val="20"/>
                <w:szCs w:val="20"/>
              </w:rPr>
              <w:t>21,9</w:t>
            </w:r>
          </w:p>
        </w:tc>
        <w:tc>
          <w:tcPr>
            <w:tcW w:w="992" w:type="dxa"/>
            <w:hideMark/>
          </w:tcPr>
          <w:p w:rsidR="004A38EB" w:rsidRPr="007C51D6" w:rsidRDefault="004A38EB" w:rsidP="004A38EB">
            <w:pPr>
              <w:autoSpaceDE/>
              <w:autoSpaceDN/>
              <w:adjustRightInd/>
              <w:spacing w:line="230" w:lineRule="auto"/>
              <w:jc w:val="center"/>
              <w:rPr>
                <w:color w:val="000000"/>
                <w:sz w:val="20"/>
                <w:szCs w:val="20"/>
              </w:rPr>
            </w:pPr>
            <w:r w:rsidRPr="007C51D6">
              <w:rPr>
                <w:color w:val="000000"/>
                <w:sz w:val="20"/>
                <w:szCs w:val="20"/>
              </w:rPr>
              <w:t>23,1</w:t>
            </w:r>
          </w:p>
        </w:tc>
        <w:tc>
          <w:tcPr>
            <w:tcW w:w="992" w:type="dxa"/>
          </w:tcPr>
          <w:p w:rsidR="004A38EB" w:rsidRPr="007C51D6" w:rsidRDefault="004A38EB" w:rsidP="004A38EB">
            <w:pPr>
              <w:spacing w:line="230" w:lineRule="auto"/>
              <w:jc w:val="center"/>
              <w:rPr>
                <w:color w:val="000000"/>
                <w:sz w:val="20"/>
                <w:szCs w:val="20"/>
              </w:rPr>
            </w:pPr>
            <w:r w:rsidRPr="007C51D6">
              <w:rPr>
                <w:color w:val="000000"/>
                <w:sz w:val="20"/>
                <w:szCs w:val="20"/>
              </w:rPr>
              <w:t>19,8</w:t>
            </w:r>
          </w:p>
        </w:tc>
        <w:tc>
          <w:tcPr>
            <w:tcW w:w="993" w:type="dxa"/>
          </w:tcPr>
          <w:p w:rsidR="004A38EB" w:rsidRPr="007C51D6" w:rsidRDefault="004A38EB" w:rsidP="004A38EB">
            <w:pPr>
              <w:jc w:val="center"/>
              <w:rPr>
                <w:color w:val="000000"/>
                <w:sz w:val="20"/>
                <w:szCs w:val="20"/>
              </w:rPr>
            </w:pPr>
            <w:r w:rsidRPr="007C51D6">
              <w:rPr>
                <w:color w:val="000000"/>
                <w:sz w:val="20"/>
                <w:szCs w:val="20"/>
              </w:rPr>
              <w:t>19,3</w:t>
            </w:r>
          </w:p>
        </w:tc>
        <w:tc>
          <w:tcPr>
            <w:tcW w:w="994" w:type="dxa"/>
          </w:tcPr>
          <w:p w:rsidR="004A38EB" w:rsidRPr="007C51D6" w:rsidRDefault="004A38EB" w:rsidP="004A38EB">
            <w:pPr>
              <w:jc w:val="center"/>
              <w:rPr>
                <w:color w:val="000000"/>
                <w:sz w:val="20"/>
                <w:szCs w:val="20"/>
              </w:rPr>
            </w:pPr>
            <w:r w:rsidRPr="007C51D6">
              <w:rPr>
                <w:color w:val="000000"/>
                <w:sz w:val="20"/>
                <w:szCs w:val="20"/>
              </w:rPr>
              <w:t>19.70</w:t>
            </w:r>
          </w:p>
        </w:tc>
        <w:tc>
          <w:tcPr>
            <w:tcW w:w="2410" w:type="dxa"/>
          </w:tcPr>
          <w:p w:rsidR="004A38EB" w:rsidRPr="007C51D6" w:rsidRDefault="004A38EB" w:rsidP="004A38EB">
            <w:pPr>
              <w:autoSpaceDE/>
              <w:autoSpaceDN/>
              <w:adjustRightInd/>
              <w:spacing w:line="230" w:lineRule="auto"/>
              <w:jc w:val="center"/>
              <w:rPr>
                <w:color w:val="000000"/>
                <w:sz w:val="20"/>
                <w:szCs w:val="20"/>
              </w:rPr>
            </w:pPr>
            <w:r w:rsidRPr="007C51D6">
              <w:rPr>
                <w:color w:val="000000"/>
                <w:sz w:val="20"/>
                <w:szCs w:val="20"/>
              </w:rPr>
              <w:t>-3,4</w:t>
            </w:r>
          </w:p>
        </w:tc>
      </w:tr>
      <w:tr w:rsidR="004A38EB" w:rsidRPr="007C51D6" w:rsidTr="00946652">
        <w:tblPrEx>
          <w:tblBorders>
            <w:bottom w:val="single" w:sz="4" w:space="0" w:color="000000"/>
          </w:tblBorders>
        </w:tblPrEx>
        <w:trPr>
          <w:trHeight w:val="20"/>
        </w:trPr>
        <w:tc>
          <w:tcPr>
            <w:tcW w:w="2830" w:type="dxa"/>
            <w:noWrap/>
            <w:hideMark/>
          </w:tcPr>
          <w:p w:rsidR="004A38EB" w:rsidRPr="007C51D6" w:rsidRDefault="004A38EB" w:rsidP="004A38EB">
            <w:pPr>
              <w:autoSpaceDE/>
              <w:autoSpaceDN/>
              <w:adjustRightInd/>
              <w:spacing w:line="230" w:lineRule="auto"/>
              <w:jc w:val="center"/>
              <w:rPr>
                <w:color w:val="000000"/>
                <w:sz w:val="20"/>
                <w:szCs w:val="20"/>
              </w:rPr>
            </w:pPr>
            <w:r w:rsidRPr="007C51D6">
              <w:rPr>
                <w:rFonts w:eastAsia="Arial"/>
                <w:sz w:val="20"/>
                <w:szCs w:val="20"/>
              </w:rPr>
              <w:t>ЗНО</w:t>
            </w:r>
            <w:r w:rsidRPr="007C51D6">
              <w:rPr>
                <w:color w:val="000000"/>
                <w:sz w:val="20"/>
                <w:szCs w:val="20"/>
              </w:rPr>
              <w:t xml:space="preserve"> пищевода (C15)</w:t>
            </w:r>
          </w:p>
        </w:tc>
        <w:tc>
          <w:tcPr>
            <w:tcW w:w="992" w:type="dxa"/>
          </w:tcPr>
          <w:p w:rsidR="004A38EB" w:rsidRPr="007C51D6" w:rsidRDefault="004A38EB" w:rsidP="004A38EB">
            <w:pPr>
              <w:autoSpaceDE/>
              <w:autoSpaceDN/>
              <w:adjustRightInd/>
              <w:spacing w:line="230" w:lineRule="auto"/>
              <w:jc w:val="center"/>
              <w:rPr>
                <w:color w:val="000000"/>
                <w:sz w:val="20"/>
                <w:szCs w:val="20"/>
              </w:rPr>
            </w:pPr>
            <w:r w:rsidRPr="007C51D6">
              <w:rPr>
                <w:color w:val="000000"/>
                <w:sz w:val="20"/>
                <w:szCs w:val="20"/>
              </w:rPr>
              <w:t>24,2</w:t>
            </w:r>
          </w:p>
        </w:tc>
        <w:tc>
          <w:tcPr>
            <w:tcW w:w="992" w:type="dxa"/>
          </w:tcPr>
          <w:p w:rsidR="004A38EB" w:rsidRPr="007C51D6" w:rsidRDefault="004A38EB" w:rsidP="004A38EB">
            <w:pPr>
              <w:autoSpaceDE/>
              <w:autoSpaceDN/>
              <w:adjustRightInd/>
              <w:spacing w:line="230" w:lineRule="auto"/>
              <w:jc w:val="center"/>
              <w:rPr>
                <w:color w:val="000000"/>
                <w:sz w:val="20"/>
                <w:szCs w:val="20"/>
              </w:rPr>
            </w:pPr>
            <w:r w:rsidRPr="007C51D6">
              <w:rPr>
                <w:color w:val="000000"/>
                <w:sz w:val="20"/>
                <w:szCs w:val="20"/>
              </w:rPr>
              <w:t>27,0</w:t>
            </w:r>
          </w:p>
        </w:tc>
        <w:tc>
          <w:tcPr>
            <w:tcW w:w="992" w:type="dxa"/>
          </w:tcPr>
          <w:p w:rsidR="004A38EB" w:rsidRPr="007C51D6" w:rsidRDefault="004A38EB" w:rsidP="004A38EB">
            <w:pPr>
              <w:autoSpaceDE/>
              <w:autoSpaceDN/>
              <w:adjustRightInd/>
              <w:spacing w:line="230" w:lineRule="auto"/>
              <w:jc w:val="center"/>
              <w:rPr>
                <w:color w:val="000000"/>
                <w:sz w:val="20"/>
                <w:szCs w:val="20"/>
              </w:rPr>
            </w:pPr>
            <w:r w:rsidRPr="007C51D6">
              <w:rPr>
                <w:color w:val="000000"/>
                <w:sz w:val="20"/>
                <w:szCs w:val="20"/>
              </w:rPr>
              <w:t>32,1</w:t>
            </w:r>
          </w:p>
        </w:tc>
        <w:tc>
          <w:tcPr>
            <w:tcW w:w="992" w:type="dxa"/>
          </w:tcPr>
          <w:p w:rsidR="004A38EB" w:rsidRPr="007C51D6" w:rsidRDefault="004A38EB" w:rsidP="004A38EB">
            <w:pPr>
              <w:autoSpaceDE/>
              <w:autoSpaceDN/>
              <w:adjustRightInd/>
              <w:spacing w:line="230" w:lineRule="auto"/>
              <w:jc w:val="center"/>
              <w:rPr>
                <w:color w:val="000000"/>
                <w:sz w:val="20"/>
                <w:szCs w:val="20"/>
              </w:rPr>
            </w:pPr>
            <w:r w:rsidRPr="007C51D6">
              <w:rPr>
                <w:color w:val="000000"/>
                <w:sz w:val="20"/>
                <w:szCs w:val="20"/>
              </w:rPr>
              <w:t>23,6</w:t>
            </w:r>
          </w:p>
        </w:tc>
        <w:tc>
          <w:tcPr>
            <w:tcW w:w="992" w:type="dxa"/>
          </w:tcPr>
          <w:p w:rsidR="004A38EB" w:rsidRPr="007C51D6" w:rsidRDefault="004A38EB" w:rsidP="004A38EB">
            <w:pPr>
              <w:autoSpaceDE/>
              <w:autoSpaceDN/>
              <w:adjustRightInd/>
              <w:spacing w:line="230" w:lineRule="auto"/>
              <w:jc w:val="center"/>
              <w:rPr>
                <w:color w:val="000000"/>
                <w:sz w:val="20"/>
                <w:szCs w:val="20"/>
              </w:rPr>
            </w:pPr>
            <w:r w:rsidRPr="007C51D6">
              <w:rPr>
                <w:color w:val="000000"/>
                <w:sz w:val="20"/>
                <w:szCs w:val="20"/>
              </w:rPr>
              <w:t>28,6</w:t>
            </w:r>
          </w:p>
        </w:tc>
        <w:tc>
          <w:tcPr>
            <w:tcW w:w="992" w:type="dxa"/>
          </w:tcPr>
          <w:p w:rsidR="004A38EB" w:rsidRPr="007C51D6" w:rsidRDefault="004A38EB" w:rsidP="004A38EB">
            <w:pPr>
              <w:autoSpaceDE/>
              <w:autoSpaceDN/>
              <w:adjustRightInd/>
              <w:spacing w:line="230" w:lineRule="auto"/>
              <w:jc w:val="center"/>
              <w:rPr>
                <w:color w:val="000000"/>
                <w:sz w:val="20"/>
                <w:szCs w:val="20"/>
              </w:rPr>
            </w:pPr>
            <w:r w:rsidRPr="007C51D6">
              <w:rPr>
                <w:color w:val="000000"/>
                <w:sz w:val="20"/>
                <w:szCs w:val="20"/>
              </w:rPr>
              <w:t>24,8</w:t>
            </w:r>
          </w:p>
        </w:tc>
        <w:tc>
          <w:tcPr>
            <w:tcW w:w="992" w:type="dxa"/>
            <w:hideMark/>
          </w:tcPr>
          <w:p w:rsidR="004A38EB" w:rsidRPr="007C51D6" w:rsidRDefault="004A38EB" w:rsidP="004A38EB">
            <w:pPr>
              <w:autoSpaceDE/>
              <w:autoSpaceDN/>
              <w:adjustRightInd/>
              <w:spacing w:line="230" w:lineRule="auto"/>
              <w:jc w:val="center"/>
              <w:rPr>
                <w:color w:val="000000"/>
                <w:sz w:val="20"/>
                <w:szCs w:val="20"/>
              </w:rPr>
            </w:pPr>
            <w:r w:rsidRPr="007C51D6">
              <w:rPr>
                <w:color w:val="000000"/>
                <w:sz w:val="20"/>
                <w:szCs w:val="20"/>
              </w:rPr>
              <w:t>22,1</w:t>
            </w:r>
          </w:p>
        </w:tc>
        <w:tc>
          <w:tcPr>
            <w:tcW w:w="992" w:type="dxa"/>
          </w:tcPr>
          <w:p w:rsidR="004A38EB" w:rsidRPr="007C51D6" w:rsidRDefault="004A38EB" w:rsidP="004A38EB">
            <w:pPr>
              <w:spacing w:line="230" w:lineRule="auto"/>
              <w:jc w:val="center"/>
              <w:rPr>
                <w:color w:val="000000"/>
                <w:sz w:val="20"/>
                <w:szCs w:val="20"/>
              </w:rPr>
            </w:pPr>
            <w:r w:rsidRPr="007C51D6">
              <w:rPr>
                <w:color w:val="000000"/>
                <w:sz w:val="20"/>
                <w:szCs w:val="20"/>
              </w:rPr>
              <w:t>27,1</w:t>
            </w:r>
          </w:p>
        </w:tc>
        <w:tc>
          <w:tcPr>
            <w:tcW w:w="993" w:type="dxa"/>
          </w:tcPr>
          <w:p w:rsidR="004A38EB" w:rsidRPr="007C51D6" w:rsidRDefault="004A38EB" w:rsidP="004A38EB">
            <w:pPr>
              <w:jc w:val="center"/>
              <w:rPr>
                <w:color w:val="000000"/>
                <w:sz w:val="20"/>
                <w:szCs w:val="20"/>
              </w:rPr>
            </w:pPr>
            <w:r w:rsidRPr="007C51D6">
              <w:rPr>
                <w:color w:val="000000"/>
                <w:sz w:val="20"/>
                <w:szCs w:val="20"/>
              </w:rPr>
              <w:t>25,7</w:t>
            </w:r>
          </w:p>
        </w:tc>
        <w:tc>
          <w:tcPr>
            <w:tcW w:w="994" w:type="dxa"/>
          </w:tcPr>
          <w:p w:rsidR="004A38EB" w:rsidRPr="007C51D6" w:rsidRDefault="004A38EB" w:rsidP="004A38EB">
            <w:pPr>
              <w:jc w:val="center"/>
              <w:rPr>
                <w:color w:val="000000"/>
                <w:sz w:val="20"/>
                <w:szCs w:val="20"/>
              </w:rPr>
            </w:pPr>
            <w:r w:rsidRPr="007C51D6">
              <w:rPr>
                <w:color w:val="000000"/>
                <w:sz w:val="20"/>
                <w:szCs w:val="20"/>
              </w:rPr>
              <w:t>30,3</w:t>
            </w:r>
          </w:p>
        </w:tc>
        <w:tc>
          <w:tcPr>
            <w:tcW w:w="2410" w:type="dxa"/>
          </w:tcPr>
          <w:p w:rsidR="004A38EB" w:rsidRPr="007C51D6" w:rsidRDefault="004A38EB" w:rsidP="004A38EB">
            <w:pPr>
              <w:autoSpaceDE/>
              <w:autoSpaceDN/>
              <w:adjustRightInd/>
              <w:spacing w:line="230" w:lineRule="auto"/>
              <w:jc w:val="center"/>
              <w:rPr>
                <w:color w:val="000000"/>
                <w:sz w:val="20"/>
                <w:szCs w:val="20"/>
              </w:rPr>
            </w:pPr>
            <w:r w:rsidRPr="007C51D6">
              <w:rPr>
                <w:color w:val="000000"/>
                <w:sz w:val="20"/>
                <w:szCs w:val="20"/>
              </w:rPr>
              <w:t>25,2</w:t>
            </w:r>
          </w:p>
        </w:tc>
      </w:tr>
      <w:tr w:rsidR="009B6FE1" w:rsidRPr="007C51D6" w:rsidTr="00946652">
        <w:tblPrEx>
          <w:tblBorders>
            <w:bottom w:val="single" w:sz="4" w:space="0" w:color="000000"/>
          </w:tblBorders>
        </w:tblPrEx>
        <w:trPr>
          <w:trHeight w:val="20"/>
        </w:trPr>
        <w:tc>
          <w:tcPr>
            <w:tcW w:w="2830" w:type="dxa"/>
            <w:noWrap/>
          </w:tcPr>
          <w:p w:rsidR="009B6FE1" w:rsidRPr="007C51D6" w:rsidRDefault="009B6FE1" w:rsidP="009B6FE1">
            <w:pPr>
              <w:autoSpaceDE/>
              <w:autoSpaceDN/>
              <w:adjustRightInd/>
              <w:spacing w:line="230" w:lineRule="auto"/>
              <w:jc w:val="center"/>
              <w:rPr>
                <w:color w:val="000000"/>
                <w:sz w:val="20"/>
                <w:szCs w:val="20"/>
              </w:rPr>
            </w:pPr>
            <w:r w:rsidRPr="007C51D6">
              <w:rPr>
                <w:rFonts w:eastAsia="Arial"/>
                <w:sz w:val="20"/>
                <w:szCs w:val="20"/>
              </w:rPr>
              <w:t>ЗНО</w:t>
            </w:r>
            <w:r w:rsidRPr="007C51D6">
              <w:rPr>
                <w:color w:val="000000"/>
                <w:sz w:val="20"/>
                <w:szCs w:val="20"/>
              </w:rPr>
              <w:t xml:space="preserve"> костей и суставных хрящей (C40 – 41)</w:t>
            </w:r>
          </w:p>
        </w:tc>
        <w:tc>
          <w:tcPr>
            <w:tcW w:w="992" w:type="dxa"/>
          </w:tcPr>
          <w:p w:rsidR="009B6FE1" w:rsidRPr="007C51D6" w:rsidRDefault="009B6FE1" w:rsidP="009B6FE1">
            <w:pPr>
              <w:autoSpaceDE/>
              <w:autoSpaceDN/>
              <w:adjustRightInd/>
              <w:spacing w:line="230" w:lineRule="auto"/>
              <w:jc w:val="center"/>
              <w:rPr>
                <w:color w:val="000000"/>
                <w:sz w:val="20"/>
                <w:szCs w:val="20"/>
              </w:rPr>
            </w:pPr>
            <w:r w:rsidRPr="007C51D6">
              <w:rPr>
                <w:color w:val="000000"/>
                <w:sz w:val="20"/>
                <w:szCs w:val="20"/>
              </w:rPr>
              <w:t>30,8</w:t>
            </w:r>
          </w:p>
        </w:tc>
        <w:tc>
          <w:tcPr>
            <w:tcW w:w="992" w:type="dxa"/>
          </w:tcPr>
          <w:p w:rsidR="009B6FE1" w:rsidRPr="007C51D6" w:rsidRDefault="009B6FE1" w:rsidP="009B6FE1">
            <w:pPr>
              <w:autoSpaceDE/>
              <w:autoSpaceDN/>
              <w:adjustRightInd/>
              <w:spacing w:line="230" w:lineRule="auto"/>
              <w:jc w:val="center"/>
              <w:rPr>
                <w:color w:val="000000"/>
                <w:sz w:val="20"/>
                <w:szCs w:val="20"/>
              </w:rPr>
            </w:pPr>
            <w:r w:rsidRPr="007C51D6">
              <w:rPr>
                <w:color w:val="000000"/>
                <w:sz w:val="20"/>
                <w:szCs w:val="20"/>
              </w:rPr>
              <w:t>31,9</w:t>
            </w:r>
          </w:p>
        </w:tc>
        <w:tc>
          <w:tcPr>
            <w:tcW w:w="992" w:type="dxa"/>
          </w:tcPr>
          <w:p w:rsidR="009B6FE1" w:rsidRPr="007C51D6" w:rsidRDefault="009B6FE1" w:rsidP="009B6FE1">
            <w:pPr>
              <w:autoSpaceDE/>
              <w:autoSpaceDN/>
              <w:adjustRightInd/>
              <w:spacing w:line="230" w:lineRule="auto"/>
              <w:jc w:val="center"/>
              <w:rPr>
                <w:color w:val="000000"/>
                <w:sz w:val="20"/>
                <w:szCs w:val="20"/>
              </w:rPr>
            </w:pPr>
            <w:r w:rsidRPr="007C51D6">
              <w:rPr>
                <w:color w:val="000000"/>
                <w:sz w:val="20"/>
                <w:szCs w:val="20"/>
              </w:rPr>
              <w:t>28,1</w:t>
            </w:r>
          </w:p>
        </w:tc>
        <w:tc>
          <w:tcPr>
            <w:tcW w:w="992" w:type="dxa"/>
          </w:tcPr>
          <w:p w:rsidR="009B6FE1" w:rsidRPr="007C51D6" w:rsidRDefault="009B6FE1" w:rsidP="009B6FE1">
            <w:pPr>
              <w:autoSpaceDE/>
              <w:autoSpaceDN/>
              <w:adjustRightInd/>
              <w:spacing w:line="230" w:lineRule="auto"/>
              <w:jc w:val="center"/>
              <w:rPr>
                <w:color w:val="000000"/>
                <w:sz w:val="20"/>
                <w:szCs w:val="20"/>
              </w:rPr>
            </w:pPr>
            <w:r w:rsidRPr="007C51D6">
              <w:rPr>
                <w:color w:val="000000"/>
                <w:sz w:val="20"/>
                <w:szCs w:val="20"/>
              </w:rPr>
              <w:t>21,4</w:t>
            </w:r>
          </w:p>
        </w:tc>
        <w:tc>
          <w:tcPr>
            <w:tcW w:w="992" w:type="dxa"/>
          </w:tcPr>
          <w:p w:rsidR="009B6FE1" w:rsidRPr="007C51D6" w:rsidRDefault="009B6FE1" w:rsidP="009B6FE1">
            <w:pPr>
              <w:autoSpaceDE/>
              <w:autoSpaceDN/>
              <w:adjustRightInd/>
              <w:spacing w:line="230" w:lineRule="auto"/>
              <w:jc w:val="center"/>
              <w:rPr>
                <w:color w:val="000000"/>
                <w:sz w:val="20"/>
                <w:szCs w:val="20"/>
              </w:rPr>
            </w:pPr>
            <w:r w:rsidRPr="007C51D6">
              <w:rPr>
                <w:color w:val="000000"/>
                <w:sz w:val="20"/>
                <w:szCs w:val="20"/>
              </w:rPr>
              <w:t>22,6</w:t>
            </w:r>
          </w:p>
        </w:tc>
        <w:tc>
          <w:tcPr>
            <w:tcW w:w="992" w:type="dxa"/>
          </w:tcPr>
          <w:p w:rsidR="009B6FE1" w:rsidRPr="007C51D6" w:rsidRDefault="009B6FE1" w:rsidP="009B6FE1">
            <w:pPr>
              <w:autoSpaceDE/>
              <w:autoSpaceDN/>
              <w:adjustRightInd/>
              <w:spacing w:line="230" w:lineRule="auto"/>
              <w:jc w:val="center"/>
              <w:rPr>
                <w:color w:val="000000"/>
                <w:sz w:val="20"/>
                <w:szCs w:val="20"/>
              </w:rPr>
            </w:pPr>
            <w:r w:rsidRPr="007C51D6">
              <w:rPr>
                <w:color w:val="000000"/>
                <w:sz w:val="20"/>
                <w:szCs w:val="20"/>
              </w:rPr>
              <w:t>8,3</w:t>
            </w:r>
          </w:p>
        </w:tc>
        <w:tc>
          <w:tcPr>
            <w:tcW w:w="992" w:type="dxa"/>
          </w:tcPr>
          <w:p w:rsidR="009B6FE1" w:rsidRPr="007C51D6" w:rsidRDefault="009B6FE1" w:rsidP="009B6FE1">
            <w:pPr>
              <w:autoSpaceDE/>
              <w:autoSpaceDN/>
              <w:adjustRightInd/>
              <w:spacing w:line="230" w:lineRule="auto"/>
              <w:jc w:val="center"/>
              <w:rPr>
                <w:color w:val="000000"/>
                <w:sz w:val="20"/>
                <w:szCs w:val="20"/>
              </w:rPr>
            </w:pPr>
            <w:r w:rsidRPr="007C51D6">
              <w:rPr>
                <w:color w:val="000000"/>
                <w:sz w:val="20"/>
                <w:szCs w:val="20"/>
              </w:rPr>
              <w:t>21,4</w:t>
            </w:r>
          </w:p>
        </w:tc>
        <w:tc>
          <w:tcPr>
            <w:tcW w:w="992" w:type="dxa"/>
          </w:tcPr>
          <w:p w:rsidR="009B6FE1" w:rsidRPr="007C51D6" w:rsidRDefault="009B6FE1" w:rsidP="009B6FE1">
            <w:pPr>
              <w:spacing w:line="230" w:lineRule="auto"/>
              <w:jc w:val="center"/>
              <w:rPr>
                <w:color w:val="000000"/>
                <w:sz w:val="20"/>
                <w:szCs w:val="20"/>
              </w:rPr>
            </w:pPr>
            <w:r w:rsidRPr="007C51D6">
              <w:rPr>
                <w:color w:val="000000"/>
                <w:sz w:val="20"/>
                <w:szCs w:val="20"/>
              </w:rPr>
              <w:t>26,1</w:t>
            </w:r>
          </w:p>
        </w:tc>
        <w:tc>
          <w:tcPr>
            <w:tcW w:w="993" w:type="dxa"/>
          </w:tcPr>
          <w:p w:rsidR="009B6FE1" w:rsidRPr="007C51D6" w:rsidRDefault="009B6FE1" w:rsidP="009B6FE1">
            <w:pPr>
              <w:jc w:val="center"/>
              <w:rPr>
                <w:color w:val="000000"/>
                <w:sz w:val="20"/>
                <w:szCs w:val="20"/>
              </w:rPr>
            </w:pPr>
            <w:r w:rsidRPr="007C51D6">
              <w:rPr>
                <w:color w:val="000000"/>
                <w:sz w:val="20"/>
                <w:szCs w:val="20"/>
              </w:rPr>
              <w:t>18,8</w:t>
            </w:r>
          </w:p>
        </w:tc>
        <w:tc>
          <w:tcPr>
            <w:tcW w:w="994" w:type="dxa"/>
          </w:tcPr>
          <w:p w:rsidR="009B6FE1" w:rsidRPr="007C51D6" w:rsidRDefault="009B6FE1" w:rsidP="009B6FE1">
            <w:pPr>
              <w:jc w:val="center"/>
              <w:rPr>
                <w:color w:val="000000"/>
                <w:sz w:val="20"/>
                <w:szCs w:val="20"/>
              </w:rPr>
            </w:pPr>
            <w:r w:rsidRPr="007C51D6">
              <w:rPr>
                <w:color w:val="000000"/>
                <w:sz w:val="20"/>
                <w:szCs w:val="20"/>
              </w:rPr>
              <w:t>17,2</w:t>
            </w:r>
          </w:p>
        </w:tc>
        <w:tc>
          <w:tcPr>
            <w:tcW w:w="2410" w:type="dxa"/>
          </w:tcPr>
          <w:p w:rsidR="009B6FE1" w:rsidRPr="007C51D6" w:rsidRDefault="009B6FE1" w:rsidP="009B6FE1">
            <w:pPr>
              <w:autoSpaceDE/>
              <w:autoSpaceDN/>
              <w:adjustRightInd/>
              <w:spacing w:line="230" w:lineRule="auto"/>
              <w:jc w:val="center"/>
              <w:rPr>
                <w:color w:val="000000"/>
                <w:sz w:val="20"/>
                <w:szCs w:val="20"/>
              </w:rPr>
            </w:pPr>
            <w:r w:rsidRPr="007C51D6">
              <w:rPr>
                <w:color w:val="000000"/>
                <w:sz w:val="20"/>
                <w:szCs w:val="20"/>
              </w:rPr>
              <w:t>-44,2</w:t>
            </w:r>
          </w:p>
        </w:tc>
      </w:tr>
    </w:tbl>
    <w:p w:rsidR="009B6FE1" w:rsidRDefault="009B6FE1">
      <w:r>
        <w:br w:type="page"/>
      </w:r>
    </w:p>
    <w:tbl>
      <w:tblPr>
        <w:tblStyle w:val="213"/>
        <w:tblW w:w="15163" w:type="dxa"/>
        <w:tblLayout w:type="fixed"/>
        <w:tblLook w:val="04A0" w:firstRow="1" w:lastRow="0" w:firstColumn="1" w:lastColumn="0" w:noHBand="0" w:noVBand="1"/>
      </w:tblPr>
      <w:tblGrid>
        <w:gridCol w:w="2830"/>
        <w:gridCol w:w="992"/>
        <w:gridCol w:w="992"/>
        <w:gridCol w:w="992"/>
        <w:gridCol w:w="992"/>
        <w:gridCol w:w="992"/>
        <w:gridCol w:w="992"/>
        <w:gridCol w:w="992"/>
        <w:gridCol w:w="992"/>
        <w:gridCol w:w="993"/>
        <w:gridCol w:w="994"/>
        <w:gridCol w:w="2410"/>
      </w:tblGrid>
      <w:tr w:rsidR="009B6FE1" w:rsidRPr="007C51D6" w:rsidTr="009B6FE1">
        <w:trPr>
          <w:trHeight w:val="20"/>
          <w:tblHeader/>
        </w:trPr>
        <w:tc>
          <w:tcPr>
            <w:tcW w:w="2830" w:type="dxa"/>
            <w:noWrap/>
          </w:tcPr>
          <w:p w:rsidR="009B6FE1" w:rsidRPr="007C51D6" w:rsidRDefault="009B6FE1" w:rsidP="009B6FE1">
            <w:pPr>
              <w:autoSpaceDE/>
              <w:autoSpaceDN/>
              <w:adjustRightInd/>
              <w:spacing w:line="230" w:lineRule="auto"/>
              <w:jc w:val="center"/>
              <w:rPr>
                <w:color w:val="000000"/>
                <w:sz w:val="20"/>
                <w:szCs w:val="20"/>
              </w:rPr>
            </w:pPr>
            <w:r w:rsidRPr="007C51D6">
              <w:rPr>
                <w:color w:val="000000"/>
                <w:sz w:val="20"/>
                <w:szCs w:val="20"/>
              </w:rPr>
              <w:lastRenderedPageBreak/>
              <w:t>1</w:t>
            </w:r>
          </w:p>
        </w:tc>
        <w:tc>
          <w:tcPr>
            <w:tcW w:w="992" w:type="dxa"/>
          </w:tcPr>
          <w:p w:rsidR="009B6FE1" w:rsidRPr="007C51D6" w:rsidRDefault="009B6FE1" w:rsidP="009B6FE1">
            <w:pPr>
              <w:autoSpaceDE/>
              <w:autoSpaceDN/>
              <w:adjustRightInd/>
              <w:spacing w:line="230" w:lineRule="auto"/>
              <w:jc w:val="center"/>
              <w:rPr>
                <w:sz w:val="20"/>
                <w:szCs w:val="20"/>
              </w:rPr>
            </w:pPr>
            <w:r w:rsidRPr="007C51D6">
              <w:rPr>
                <w:sz w:val="20"/>
                <w:szCs w:val="20"/>
              </w:rPr>
              <w:t>2</w:t>
            </w:r>
          </w:p>
        </w:tc>
        <w:tc>
          <w:tcPr>
            <w:tcW w:w="992" w:type="dxa"/>
          </w:tcPr>
          <w:p w:rsidR="009B6FE1" w:rsidRPr="007C51D6" w:rsidRDefault="009B6FE1" w:rsidP="009B6FE1">
            <w:pPr>
              <w:autoSpaceDE/>
              <w:autoSpaceDN/>
              <w:adjustRightInd/>
              <w:spacing w:line="230" w:lineRule="auto"/>
              <w:jc w:val="center"/>
              <w:rPr>
                <w:sz w:val="20"/>
                <w:szCs w:val="20"/>
              </w:rPr>
            </w:pPr>
            <w:r w:rsidRPr="007C51D6">
              <w:rPr>
                <w:sz w:val="20"/>
                <w:szCs w:val="20"/>
              </w:rPr>
              <w:t>3</w:t>
            </w:r>
          </w:p>
        </w:tc>
        <w:tc>
          <w:tcPr>
            <w:tcW w:w="992" w:type="dxa"/>
          </w:tcPr>
          <w:p w:rsidR="009B6FE1" w:rsidRPr="007C51D6" w:rsidRDefault="009B6FE1" w:rsidP="009B6FE1">
            <w:pPr>
              <w:autoSpaceDE/>
              <w:autoSpaceDN/>
              <w:adjustRightInd/>
              <w:spacing w:line="230" w:lineRule="auto"/>
              <w:jc w:val="center"/>
              <w:rPr>
                <w:sz w:val="20"/>
                <w:szCs w:val="20"/>
              </w:rPr>
            </w:pPr>
            <w:r w:rsidRPr="007C51D6">
              <w:rPr>
                <w:sz w:val="20"/>
                <w:szCs w:val="20"/>
              </w:rPr>
              <w:t>4</w:t>
            </w:r>
          </w:p>
        </w:tc>
        <w:tc>
          <w:tcPr>
            <w:tcW w:w="992" w:type="dxa"/>
          </w:tcPr>
          <w:p w:rsidR="009B6FE1" w:rsidRPr="007C51D6" w:rsidRDefault="009B6FE1" w:rsidP="009B6FE1">
            <w:pPr>
              <w:autoSpaceDE/>
              <w:autoSpaceDN/>
              <w:adjustRightInd/>
              <w:spacing w:line="230" w:lineRule="auto"/>
              <w:jc w:val="center"/>
              <w:rPr>
                <w:sz w:val="20"/>
                <w:szCs w:val="20"/>
              </w:rPr>
            </w:pPr>
            <w:r w:rsidRPr="007C51D6">
              <w:rPr>
                <w:sz w:val="20"/>
                <w:szCs w:val="20"/>
              </w:rPr>
              <w:t>5</w:t>
            </w:r>
          </w:p>
        </w:tc>
        <w:tc>
          <w:tcPr>
            <w:tcW w:w="992" w:type="dxa"/>
          </w:tcPr>
          <w:p w:rsidR="009B6FE1" w:rsidRPr="007C51D6" w:rsidRDefault="009B6FE1" w:rsidP="009B6FE1">
            <w:pPr>
              <w:autoSpaceDE/>
              <w:autoSpaceDN/>
              <w:adjustRightInd/>
              <w:spacing w:line="230" w:lineRule="auto"/>
              <w:jc w:val="center"/>
              <w:rPr>
                <w:sz w:val="20"/>
                <w:szCs w:val="20"/>
              </w:rPr>
            </w:pPr>
            <w:r w:rsidRPr="007C51D6">
              <w:rPr>
                <w:sz w:val="20"/>
                <w:szCs w:val="20"/>
              </w:rPr>
              <w:t>6</w:t>
            </w:r>
          </w:p>
        </w:tc>
        <w:tc>
          <w:tcPr>
            <w:tcW w:w="992" w:type="dxa"/>
          </w:tcPr>
          <w:p w:rsidR="009B6FE1" w:rsidRPr="007C51D6" w:rsidRDefault="009B6FE1" w:rsidP="009B6FE1">
            <w:pPr>
              <w:autoSpaceDE/>
              <w:autoSpaceDN/>
              <w:adjustRightInd/>
              <w:spacing w:line="230" w:lineRule="auto"/>
              <w:jc w:val="center"/>
              <w:rPr>
                <w:sz w:val="20"/>
                <w:szCs w:val="20"/>
              </w:rPr>
            </w:pPr>
            <w:r w:rsidRPr="007C51D6">
              <w:rPr>
                <w:sz w:val="20"/>
                <w:szCs w:val="20"/>
              </w:rPr>
              <w:t>7</w:t>
            </w:r>
          </w:p>
        </w:tc>
        <w:tc>
          <w:tcPr>
            <w:tcW w:w="992" w:type="dxa"/>
          </w:tcPr>
          <w:p w:rsidR="009B6FE1" w:rsidRPr="007C51D6" w:rsidRDefault="009B6FE1" w:rsidP="009B6FE1">
            <w:pPr>
              <w:autoSpaceDE/>
              <w:autoSpaceDN/>
              <w:adjustRightInd/>
              <w:spacing w:line="230" w:lineRule="auto"/>
              <w:jc w:val="center"/>
              <w:rPr>
                <w:sz w:val="20"/>
                <w:szCs w:val="20"/>
              </w:rPr>
            </w:pPr>
            <w:r w:rsidRPr="007C51D6">
              <w:rPr>
                <w:sz w:val="20"/>
                <w:szCs w:val="20"/>
              </w:rPr>
              <w:t>8</w:t>
            </w:r>
          </w:p>
        </w:tc>
        <w:tc>
          <w:tcPr>
            <w:tcW w:w="992" w:type="dxa"/>
          </w:tcPr>
          <w:p w:rsidR="009B6FE1" w:rsidRPr="007C51D6" w:rsidRDefault="009B6FE1" w:rsidP="009B6FE1">
            <w:pPr>
              <w:autoSpaceDE/>
              <w:autoSpaceDN/>
              <w:adjustRightInd/>
              <w:spacing w:line="230" w:lineRule="auto"/>
              <w:jc w:val="center"/>
              <w:rPr>
                <w:sz w:val="20"/>
                <w:szCs w:val="20"/>
              </w:rPr>
            </w:pPr>
            <w:r w:rsidRPr="007C51D6">
              <w:rPr>
                <w:sz w:val="20"/>
                <w:szCs w:val="20"/>
              </w:rPr>
              <w:t>9</w:t>
            </w:r>
          </w:p>
        </w:tc>
        <w:tc>
          <w:tcPr>
            <w:tcW w:w="993" w:type="dxa"/>
          </w:tcPr>
          <w:p w:rsidR="009B6FE1" w:rsidRPr="007C51D6" w:rsidRDefault="009B6FE1" w:rsidP="009B6FE1">
            <w:pPr>
              <w:autoSpaceDE/>
              <w:autoSpaceDN/>
              <w:adjustRightInd/>
              <w:spacing w:line="230" w:lineRule="auto"/>
              <w:jc w:val="center"/>
              <w:rPr>
                <w:sz w:val="20"/>
                <w:szCs w:val="20"/>
              </w:rPr>
            </w:pPr>
            <w:r w:rsidRPr="007C51D6">
              <w:rPr>
                <w:sz w:val="20"/>
                <w:szCs w:val="20"/>
              </w:rPr>
              <w:t>10</w:t>
            </w:r>
          </w:p>
        </w:tc>
        <w:tc>
          <w:tcPr>
            <w:tcW w:w="994" w:type="dxa"/>
          </w:tcPr>
          <w:p w:rsidR="009B6FE1" w:rsidRPr="007C51D6" w:rsidRDefault="009B6FE1" w:rsidP="009B6FE1">
            <w:pPr>
              <w:autoSpaceDE/>
              <w:autoSpaceDN/>
              <w:adjustRightInd/>
              <w:spacing w:line="230" w:lineRule="auto"/>
              <w:jc w:val="center"/>
              <w:rPr>
                <w:sz w:val="20"/>
                <w:szCs w:val="20"/>
              </w:rPr>
            </w:pPr>
            <w:r w:rsidRPr="007C51D6">
              <w:rPr>
                <w:sz w:val="20"/>
                <w:szCs w:val="20"/>
              </w:rPr>
              <w:t>11</w:t>
            </w:r>
          </w:p>
        </w:tc>
        <w:tc>
          <w:tcPr>
            <w:tcW w:w="2410" w:type="dxa"/>
          </w:tcPr>
          <w:p w:rsidR="009B6FE1" w:rsidRPr="007C51D6" w:rsidRDefault="009B6FE1" w:rsidP="009B6FE1">
            <w:pPr>
              <w:autoSpaceDE/>
              <w:autoSpaceDN/>
              <w:adjustRightInd/>
              <w:spacing w:line="230" w:lineRule="auto"/>
              <w:jc w:val="center"/>
              <w:rPr>
                <w:sz w:val="20"/>
                <w:szCs w:val="20"/>
              </w:rPr>
            </w:pPr>
            <w:r w:rsidRPr="007C51D6">
              <w:rPr>
                <w:sz w:val="20"/>
                <w:szCs w:val="20"/>
              </w:rPr>
              <w:t>12</w:t>
            </w:r>
          </w:p>
        </w:tc>
      </w:tr>
      <w:tr w:rsidR="009B6FE1" w:rsidRPr="007C51D6" w:rsidTr="00946652">
        <w:trPr>
          <w:trHeight w:val="20"/>
        </w:trPr>
        <w:tc>
          <w:tcPr>
            <w:tcW w:w="2830" w:type="dxa"/>
            <w:noWrap/>
            <w:hideMark/>
          </w:tcPr>
          <w:p w:rsidR="009B6FE1" w:rsidRPr="007C51D6" w:rsidRDefault="009B6FE1" w:rsidP="009B6FE1">
            <w:pPr>
              <w:autoSpaceDE/>
              <w:autoSpaceDN/>
              <w:adjustRightInd/>
              <w:spacing w:line="230" w:lineRule="auto"/>
              <w:jc w:val="center"/>
              <w:rPr>
                <w:color w:val="000000"/>
                <w:sz w:val="20"/>
                <w:szCs w:val="20"/>
              </w:rPr>
            </w:pPr>
            <w:r w:rsidRPr="007C51D6">
              <w:rPr>
                <w:rFonts w:eastAsia="Arial"/>
                <w:sz w:val="20"/>
                <w:szCs w:val="20"/>
              </w:rPr>
              <w:t>ЗНО</w:t>
            </w:r>
            <w:r w:rsidRPr="007C51D6">
              <w:rPr>
                <w:color w:val="000000"/>
                <w:sz w:val="20"/>
                <w:szCs w:val="20"/>
              </w:rPr>
              <w:t xml:space="preserve"> ободочной кишки (C18)</w:t>
            </w:r>
          </w:p>
        </w:tc>
        <w:tc>
          <w:tcPr>
            <w:tcW w:w="992" w:type="dxa"/>
          </w:tcPr>
          <w:p w:rsidR="009B6FE1" w:rsidRPr="007C51D6" w:rsidRDefault="009B6FE1" w:rsidP="009B6FE1">
            <w:pPr>
              <w:autoSpaceDE/>
              <w:autoSpaceDN/>
              <w:adjustRightInd/>
              <w:spacing w:line="230" w:lineRule="auto"/>
              <w:jc w:val="center"/>
              <w:rPr>
                <w:color w:val="000000"/>
                <w:sz w:val="20"/>
                <w:szCs w:val="20"/>
              </w:rPr>
            </w:pPr>
            <w:r w:rsidRPr="007C51D6">
              <w:rPr>
                <w:color w:val="000000"/>
                <w:sz w:val="20"/>
                <w:szCs w:val="20"/>
              </w:rPr>
              <w:t>26,7</w:t>
            </w:r>
          </w:p>
        </w:tc>
        <w:tc>
          <w:tcPr>
            <w:tcW w:w="992" w:type="dxa"/>
          </w:tcPr>
          <w:p w:rsidR="009B6FE1" w:rsidRPr="007C51D6" w:rsidRDefault="009B6FE1" w:rsidP="009B6FE1">
            <w:pPr>
              <w:autoSpaceDE/>
              <w:autoSpaceDN/>
              <w:adjustRightInd/>
              <w:spacing w:line="230" w:lineRule="auto"/>
              <w:jc w:val="center"/>
              <w:rPr>
                <w:color w:val="000000"/>
                <w:sz w:val="20"/>
                <w:szCs w:val="20"/>
              </w:rPr>
            </w:pPr>
            <w:r w:rsidRPr="007C51D6">
              <w:rPr>
                <w:color w:val="000000"/>
                <w:sz w:val="20"/>
                <w:szCs w:val="20"/>
              </w:rPr>
              <w:t>25,8</w:t>
            </w:r>
          </w:p>
        </w:tc>
        <w:tc>
          <w:tcPr>
            <w:tcW w:w="992" w:type="dxa"/>
          </w:tcPr>
          <w:p w:rsidR="009B6FE1" w:rsidRPr="007C51D6" w:rsidRDefault="009B6FE1" w:rsidP="009B6FE1">
            <w:pPr>
              <w:autoSpaceDE/>
              <w:autoSpaceDN/>
              <w:adjustRightInd/>
              <w:spacing w:line="230" w:lineRule="auto"/>
              <w:jc w:val="center"/>
              <w:rPr>
                <w:color w:val="000000"/>
                <w:sz w:val="20"/>
                <w:szCs w:val="20"/>
              </w:rPr>
            </w:pPr>
            <w:r w:rsidRPr="007C51D6">
              <w:rPr>
                <w:color w:val="000000"/>
                <w:sz w:val="20"/>
                <w:szCs w:val="20"/>
              </w:rPr>
              <w:t>25,5</w:t>
            </w:r>
          </w:p>
        </w:tc>
        <w:tc>
          <w:tcPr>
            <w:tcW w:w="992" w:type="dxa"/>
          </w:tcPr>
          <w:p w:rsidR="009B6FE1" w:rsidRPr="007C51D6" w:rsidRDefault="009B6FE1" w:rsidP="009B6FE1">
            <w:pPr>
              <w:autoSpaceDE/>
              <w:autoSpaceDN/>
              <w:adjustRightInd/>
              <w:spacing w:line="230" w:lineRule="auto"/>
              <w:jc w:val="center"/>
              <w:rPr>
                <w:color w:val="000000"/>
                <w:sz w:val="20"/>
                <w:szCs w:val="20"/>
              </w:rPr>
            </w:pPr>
            <w:r w:rsidRPr="007C51D6">
              <w:rPr>
                <w:color w:val="000000"/>
                <w:sz w:val="20"/>
                <w:szCs w:val="20"/>
              </w:rPr>
              <w:t>23,9</w:t>
            </w:r>
          </w:p>
        </w:tc>
        <w:tc>
          <w:tcPr>
            <w:tcW w:w="992" w:type="dxa"/>
          </w:tcPr>
          <w:p w:rsidR="009B6FE1" w:rsidRPr="007C51D6" w:rsidRDefault="009B6FE1" w:rsidP="009B6FE1">
            <w:pPr>
              <w:autoSpaceDE/>
              <w:autoSpaceDN/>
              <w:adjustRightInd/>
              <w:spacing w:line="230" w:lineRule="auto"/>
              <w:jc w:val="center"/>
              <w:rPr>
                <w:color w:val="000000"/>
                <w:sz w:val="20"/>
                <w:szCs w:val="20"/>
              </w:rPr>
            </w:pPr>
            <w:r w:rsidRPr="007C51D6">
              <w:rPr>
                <w:color w:val="000000"/>
                <w:sz w:val="20"/>
                <w:szCs w:val="20"/>
              </w:rPr>
              <w:t>22,2</w:t>
            </w:r>
          </w:p>
        </w:tc>
        <w:tc>
          <w:tcPr>
            <w:tcW w:w="992" w:type="dxa"/>
          </w:tcPr>
          <w:p w:rsidR="009B6FE1" w:rsidRPr="007C51D6" w:rsidRDefault="009B6FE1" w:rsidP="009B6FE1">
            <w:pPr>
              <w:autoSpaceDE/>
              <w:autoSpaceDN/>
              <w:adjustRightInd/>
              <w:spacing w:line="230" w:lineRule="auto"/>
              <w:jc w:val="center"/>
              <w:rPr>
                <w:color w:val="000000"/>
                <w:sz w:val="20"/>
                <w:szCs w:val="20"/>
              </w:rPr>
            </w:pPr>
            <w:r w:rsidRPr="007C51D6">
              <w:rPr>
                <w:color w:val="000000"/>
                <w:sz w:val="20"/>
                <w:szCs w:val="20"/>
              </w:rPr>
              <w:t>20,4</w:t>
            </w:r>
          </w:p>
        </w:tc>
        <w:tc>
          <w:tcPr>
            <w:tcW w:w="992" w:type="dxa"/>
            <w:hideMark/>
          </w:tcPr>
          <w:p w:rsidR="009B6FE1" w:rsidRPr="007C51D6" w:rsidRDefault="009B6FE1" w:rsidP="009B6FE1">
            <w:pPr>
              <w:autoSpaceDE/>
              <w:autoSpaceDN/>
              <w:adjustRightInd/>
              <w:spacing w:line="230" w:lineRule="auto"/>
              <w:jc w:val="center"/>
              <w:rPr>
                <w:color w:val="000000"/>
                <w:sz w:val="20"/>
                <w:szCs w:val="20"/>
              </w:rPr>
            </w:pPr>
            <w:r w:rsidRPr="007C51D6">
              <w:rPr>
                <w:color w:val="000000"/>
                <w:sz w:val="20"/>
                <w:szCs w:val="20"/>
              </w:rPr>
              <w:t>21,4</w:t>
            </w:r>
          </w:p>
        </w:tc>
        <w:tc>
          <w:tcPr>
            <w:tcW w:w="992" w:type="dxa"/>
          </w:tcPr>
          <w:p w:rsidR="009B6FE1" w:rsidRPr="007C51D6" w:rsidRDefault="009B6FE1" w:rsidP="009B6FE1">
            <w:pPr>
              <w:spacing w:line="230" w:lineRule="auto"/>
              <w:jc w:val="center"/>
              <w:rPr>
                <w:color w:val="000000"/>
                <w:sz w:val="20"/>
                <w:szCs w:val="20"/>
              </w:rPr>
            </w:pPr>
            <w:r w:rsidRPr="007C51D6">
              <w:rPr>
                <w:color w:val="000000"/>
                <w:sz w:val="20"/>
                <w:szCs w:val="20"/>
              </w:rPr>
              <w:t>21,0</w:t>
            </w:r>
          </w:p>
        </w:tc>
        <w:tc>
          <w:tcPr>
            <w:tcW w:w="993" w:type="dxa"/>
          </w:tcPr>
          <w:p w:rsidR="009B6FE1" w:rsidRPr="007C51D6" w:rsidRDefault="009B6FE1" w:rsidP="009B6FE1">
            <w:pPr>
              <w:jc w:val="center"/>
              <w:rPr>
                <w:color w:val="000000"/>
                <w:sz w:val="20"/>
                <w:szCs w:val="20"/>
              </w:rPr>
            </w:pPr>
            <w:r w:rsidRPr="007C51D6">
              <w:rPr>
                <w:color w:val="000000"/>
                <w:sz w:val="20"/>
                <w:szCs w:val="20"/>
              </w:rPr>
              <w:t>18,9</w:t>
            </w:r>
          </w:p>
        </w:tc>
        <w:tc>
          <w:tcPr>
            <w:tcW w:w="994" w:type="dxa"/>
          </w:tcPr>
          <w:p w:rsidR="009B6FE1" w:rsidRPr="007C51D6" w:rsidRDefault="009B6FE1" w:rsidP="009B6FE1">
            <w:pPr>
              <w:jc w:val="center"/>
              <w:rPr>
                <w:color w:val="000000"/>
                <w:sz w:val="20"/>
                <w:szCs w:val="20"/>
              </w:rPr>
            </w:pPr>
            <w:r w:rsidRPr="007C51D6">
              <w:rPr>
                <w:color w:val="000000"/>
                <w:sz w:val="20"/>
                <w:szCs w:val="20"/>
              </w:rPr>
              <w:t>18,2</w:t>
            </w:r>
          </w:p>
        </w:tc>
        <w:tc>
          <w:tcPr>
            <w:tcW w:w="2410" w:type="dxa"/>
          </w:tcPr>
          <w:p w:rsidR="009B6FE1" w:rsidRPr="007C51D6" w:rsidRDefault="009B6FE1" w:rsidP="009B6FE1">
            <w:pPr>
              <w:autoSpaceDE/>
              <w:autoSpaceDN/>
              <w:adjustRightInd/>
              <w:spacing w:line="230" w:lineRule="auto"/>
              <w:jc w:val="center"/>
              <w:rPr>
                <w:color w:val="000000"/>
                <w:sz w:val="20"/>
                <w:szCs w:val="20"/>
              </w:rPr>
            </w:pPr>
            <w:r w:rsidRPr="007C51D6">
              <w:rPr>
                <w:color w:val="000000"/>
                <w:sz w:val="20"/>
                <w:szCs w:val="20"/>
              </w:rPr>
              <w:t>-31,8</w:t>
            </w:r>
          </w:p>
        </w:tc>
      </w:tr>
      <w:tr w:rsidR="009B6FE1" w:rsidRPr="007C51D6" w:rsidTr="00946652">
        <w:trPr>
          <w:trHeight w:val="20"/>
        </w:trPr>
        <w:tc>
          <w:tcPr>
            <w:tcW w:w="2830" w:type="dxa"/>
            <w:noWrap/>
            <w:hideMark/>
          </w:tcPr>
          <w:p w:rsidR="009B6FE1" w:rsidRPr="007C51D6" w:rsidRDefault="009B6FE1" w:rsidP="009B6FE1">
            <w:pPr>
              <w:autoSpaceDE/>
              <w:autoSpaceDN/>
              <w:adjustRightInd/>
              <w:spacing w:line="230" w:lineRule="auto"/>
              <w:jc w:val="center"/>
              <w:rPr>
                <w:color w:val="000000"/>
                <w:sz w:val="20"/>
                <w:szCs w:val="20"/>
              </w:rPr>
            </w:pPr>
            <w:r w:rsidRPr="007C51D6">
              <w:rPr>
                <w:rFonts w:eastAsia="Arial"/>
                <w:sz w:val="20"/>
                <w:szCs w:val="20"/>
              </w:rPr>
              <w:t>ЗНО</w:t>
            </w:r>
            <w:r w:rsidRPr="007C51D6">
              <w:rPr>
                <w:color w:val="000000"/>
                <w:sz w:val="20"/>
                <w:szCs w:val="20"/>
              </w:rPr>
              <w:t xml:space="preserve"> почки (C64)</w:t>
            </w:r>
          </w:p>
        </w:tc>
        <w:tc>
          <w:tcPr>
            <w:tcW w:w="992" w:type="dxa"/>
          </w:tcPr>
          <w:p w:rsidR="009B6FE1" w:rsidRPr="007C51D6" w:rsidRDefault="009B6FE1" w:rsidP="009B6FE1">
            <w:pPr>
              <w:autoSpaceDE/>
              <w:autoSpaceDN/>
              <w:adjustRightInd/>
              <w:spacing w:line="230" w:lineRule="auto"/>
              <w:jc w:val="center"/>
              <w:rPr>
                <w:color w:val="000000"/>
                <w:sz w:val="20"/>
                <w:szCs w:val="20"/>
              </w:rPr>
            </w:pPr>
            <w:r w:rsidRPr="007C51D6">
              <w:rPr>
                <w:color w:val="000000"/>
                <w:sz w:val="20"/>
                <w:szCs w:val="20"/>
              </w:rPr>
              <w:t>21,0</w:t>
            </w:r>
          </w:p>
        </w:tc>
        <w:tc>
          <w:tcPr>
            <w:tcW w:w="992" w:type="dxa"/>
          </w:tcPr>
          <w:p w:rsidR="009B6FE1" w:rsidRPr="007C51D6" w:rsidRDefault="009B6FE1" w:rsidP="009B6FE1">
            <w:pPr>
              <w:autoSpaceDE/>
              <w:autoSpaceDN/>
              <w:adjustRightInd/>
              <w:spacing w:line="230" w:lineRule="auto"/>
              <w:jc w:val="center"/>
              <w:rPr>
                <w:color w:val="000000"/>
                <w:sz w:val="20"/>
                <w:szCs w:val="20"/>
              </w:rPr>
            </w:pPr>
            <w:r w:rsidRPr="007C51D6">
              <w:rPr>
                <w:color w:val="000000"/>
                <w:sz w:val="20"/>
                <w:szCs w:val="20"/>
              </w:rPr>
              <w:t>20,3</w:t>
            </w:r>
          </w:p>
        </w:tc>
        <w:tc>
          <w:tcPr>
            <w:tcW w:w="992" w:type="dxa"/>
          </w:tcPr>
          <w:p w:rsidR="009B6FE1" w:rsidRPr="007C51D6" w:rsidRDefault="009B6FE1" w:rsidP="009B6FE1">
            <w:pPr>
              <w:autoSpaceDE/>
              <w:autoSpaceDN/>
              <w:adjustRightInd/>
              <w:spacing w:line="230" w:lineRule="auto"/>
              <w:jc w:val="center"/>
              <w:rPr>
                <w:color w:val="000000"/>
                <w:sz w:val="20"/>
                <w:szCs w:val="20"/>
              </w:rPr>
            </w:pPr>
            <w:r w:rsidRPr="007C51D6">
              <w:rPr>
                <w:color w:val="000000"/>
                <w:sz w:val="20"/>
                <w:szCs w:val="20"/>
              </w:rPr>
              <w:t>22,6</w:t>
            </w:r>
          </w:p>
        </w:tc>
        <w:tc>
          <w:tcPr>
            <w:tcW w:w="992" w:type="dxa"/>
          </w:tcPr>
          <w:p w:rsidR="009B6FE1" w:rsidRPr="007C51D6" w:rsidRDefault="009B6FE1" w:rsidP="009B6FE1">
            <w:pPr>
              <w:autoSpaceDE/>
              <w:autoSpaceDN/>
              <w:adjustRightInd/>
              <w:spacing w:line="230" w:lineRule="auto"/>
              <w:jc w:val="center"/>
              <w:rPr>
                <w:color w:val="000000"/>
                <w:sz w:val="20"/>
                <w:szCs w:val="20"/>
              </w:rPr>
            </w:pPr>
            <w:r w:rsidRPr="007C51D6">
              <w:rPr>
                <w:color w:val="000000"/>
                <w:sz w:val="20"/>
                <w:szCs w:val="20"/>
              </w:rPr>
              <w:t>22,5</w:t>
            </w:r>
          </w:p>
        </w:tc>
        <w:tc>
          <w:tcPr>
            <w:tcW w:w="992" w:type="dxa"/>
          </w:tcPr>
          <w:p w:rsidR="009B6FE1" w:rsidRPr="007C51D6" w:rsidRDefault="009B6FE1" w:rsidP="009B6FE1">
            <w:pPr>
              <w:autoSpaceDE/>
              <w:autoSpaceDN/>
              <w:adjustRightInd/>
              <w:spacing w:line="230" w:lineRule="auto"/>
              <w:jc w:val="center"/>
              <w:rPr>
                <w:color w:val="000000"/>
                <w:sz w:val="20"/>
                <w:szCs w:val="20"/>
              </w:rPr>
            </w:pPr>
            <w:r w:rsidRPr="007C51D6">
              <w:rPr>
                <w:color w:val="000000"/>
                <w:sz w:val="20"/>
                <w:szCs w:val="20"/>
              </w:rPr>
              <w:t>19,3</w:t>
            </w:r>
          </w:p>
        </w:tc>
        <w:tc>
          <w:tcPr>
            <w:tcW w:w="992" w:type="dxa"/>
          </w:tcPr>
          <w:p w:rsidR="009B6FE1" w:rsidRPr="007C51D6" w:rsidRDefault="009B6FE1" w:rsidP="009B6FE1">
            <w:pPr>
              <w:autoSpaceDE/>
              <w:autoSpaceDN/>
              <w:adjustRightInd/>
              <w:spacing w:line="230" w:lineRule="auto"/>
              <w:jc w:val="center"/>
              <w:rPr>
                <w:color w:val="000000"/>
                <w:sz w:val="20"/>
                <w:szCs w:val="20"/>
              </w:rPr>
            </w:pPr>
            <w:r w:rsidRPr="007C51D6">
              <w:rPr>
                <w:color w:val="000000"/>
                <w:sz w:val="20"/>
                <w:szCs w:val="20"/>
              </w:rPr>
              <w:t>19,2</w:t>
            </w:r>
          </w:p>
        </w:tc>
        <w:tc>
          <w:tcPr>
            <w:tcW w:w="992" w:type="dxa"/>
            <w:hideMark/>
          </w:tcPr>
          <w:p w:rsidR="009B6FE1" w:rsidRPr="007C51D6" w:rsidRDefault="009B6FE1" w:rsidP="009B6FE1">
            <w:pPr>
              <w:autoSpaceDE/>
              <w:autoSpaceDN/>
              <w:adjustRightInd/>
              <w:spacing w:line="230" w:lineRule="auto"/>
              <w:jc w:val="center"/>
              <w:rPr>
                <w:color w:val="000000"/>
                <w:sz w:val="20"/>
                <w:szCs w:val="20"/>
              </w:rPr>
            </w:pPr>
            <w:r w:rsidRPr="007C51D6">
              <w:rPr>
                <w:color w:val="000000"/>
                <w:sz w:val="20"/>
                <w:szCs w:val="20"/>
              </w:rPr>
              <w:t>21,1</w:t>
            </w:r>
          </w:p>
        </w:tc>
        <w:tc>
          <w:tcPr>
            <w:tcW w:w="992" w:type="dxa"/>
          </w:tcPr>
          <w:p w:rsidR="009B6FE1" w:rsidRPr="007C51D6" w:rsidRDefault="009B6FE1" w:rsidP="009B6FE1">
            <w:pPr>
              <w:spacing w:line="230" w:lineRule="auto"/>
              <w:jc w:val="center"/>
              <w:rPr>
                <w:color w:val="000000"/>
                <w:sz w:val="20"/>
                <w:szCs w:val="20"/>
              </w:rPr>
            </w:pPr>
            <w:r w:rsidRPr="007C51D6">
              <w:rPr>
                <w:color w:val="000000"/>
                <w:sz w:val="20"/>
                <w:szCs w:val="20"/>
              </w:rPr>
              <w:t>21,7</w:t>
            </w:r>
          </w:p>
        </w:tc>
        <w:tc>
          <w:tcPr>
            <w:tcW w:w="993" w:type="dxa"/>
          </w:tcPr>
          <w:p w:rsidR="009B6FE1" w:rsidRPr="007C51D6" w:rsidRDefault="009B6FE1" w:rsidP="009B6FE1">
            <w:pPr>
              <w:jc w:val="center"/>
              <w:rPr>
                <w:color w:val="000000"/>
                <w:sz w:val="20"/>
                <w:szCs w:val="20"/>
              </w:rPr>
            </w:pPr>
            <w:r w:rsidRPr="007C51D6">
              <w:rPr>
                <w:color w:val="000000"/>
                <w:sz w:val="20"/>
                <w:szCs w:val="20"/>
              </w:rPr>
              <w:t>20,3</w:t>
            </w:r>
          </w:p>
        </w:tc>
        <w:tc>
          <w:tcPr>
            <w:tcW w:w="994" w:type="dxa"/>
          </w:tcPr>
          <w:p w:rsidR="009B6FE1" w:rsidRPr="007C51D6" w:rsidRDefault="009B6FE1" w:rsidP="009B6FE1">
            <w:pPr>
              <w:jc w:val="center"/>
              <w:rPr>
                <w:color w:val="000000"/>
                <w:sz w:val="20"/>
                <w:szCs w:val="20"/>
              </w:rPr>
            </w:pPr>
            <w:r w:rsidRPr="007C51D6">
              <w:rPr>
                <w:color w:val="000000"/>
                <w:sz w:val="20"/>
                <w:szCs w:val="20"/>
              </w:rPr>
              <w:t>19,2</w:t>
            </w:r>
          </w:p>
        </w:tc>
        <w:tc>
          <w:tcPr>
            <w:tcW w:w="2410" w:type="dxa"/>
          </w:tcPr>
          <w:p w:rsidR="009B6FE1" w:rsidRPr="007C51D6" w:rsidRDefault="009B6FE1" w:rsidP="009B6FE1">
            <w:pPr>
              <w:autoSpaceDE/>
              <w:autoSpaceDN/>
              <w:adjustRightInd/>
              <w:spacing w:line="230" w:lineRule="auto"/>
              <w:jc w:val="center"/>
              <w:rPr>
                <w:color w:val="000000"/>
                <w:sz w:val="20"/>
                <w:szCs w:val="20"/>
              </w:rPr>
            </w:pPr>
            <w:r w:rsidRPr="007C51D6">
              <w:rPr>
                <w:color w:val="000000"/>
                <w:sz w:val="20"/>
                <w:szCs w:val="20"/>
              </w:rPr>
              <w:t>-8,6</w:t>
            </w:r>
          </w:p>
        </w:tc>
      </w:tr>
      <w:tr w:rsidR="009B6FE1" w:rsidRPr="007C51D6" w:rsidTr="00946652">
        <w:trPr>
          <w:trHeight w:val="20"/>
        </w:trPr>
        <w:tc>
          <w:tcPr>
            <w:tcW w:w="2830" w:type="dxa"/>
            <w:noWrap/>
          </w:tcPr>
          <w:p w:rsidR="009B6FE1" w:rsidRPr="007C51D6" w:rsidRDefault="009B6FE1" w:rsidP="009B6FE1">
            <w:pPr>
              <w:autoSpaceDE/>
              <w:autoSpaceDN/>
              <w:adjustRightInd/>
              <w:spacing w:line="230" w:lineRule="auto"/>
              <w:jc w:val="center"/>
              <w:rPr>
                <w:color w:val="000000"/>
                <w:sz w:val="20"/>
                <w:szCs w:val="20"/>
              </w:rPr>
            </w:pPr>
            <w:r w:rsidRPr="007C51D6">
              <w:rPr>
                <w:rFonts w:eastAsia="Arial"/>
                <w:sz w:val="20"/>
                <w:szCs w:val="20"/>
              </w:rPr>
              <w:t>ЗНО</w:t>
            </w:r>
            <w:r w:rsidRPr="007C51D6">
              <w:rPr>
                <w:color w:val="000000"/>
                <w:sz w:val="20"/>
                <w:szCs w:val="20"/>
              </w:rPr>
              <w:t xml:space="preserve"> шейки матки (C53)</w:t>
            </w:r>
          </w:p>
        </w:tc>
        <w:tc>
          <w:tcPr>
            <w:tcW w:w="992" w:type="dxa"/>
          </w:tcPr>
          <w:p w:rsidR="009B6FE1" w:rsidRPr="007C51D6" w:rsidRDefault="009B6FE1" w:rsidP="009B6FE1">
            <w:pPr>
              <w:autoSpaceDE/>
              <w:autoSpaceDN/>
              <w:adjustRightInd/>
              <w:spacing w:line="230" w:lineRule="auto"/>
              <w:jc w:val="center"/>
              <w:rPr>
                <w:color w:val="000000"/>
                <w:sz w:val="20"/>
                <w:szCs w:val="20"/>
              </w:rPr>
            </w:pPr>
            <w:r w:rsidRPr="007C51D6">
              <w:rPr>
                <w:color w:val="000000"/>
                <w:sz w:val="20"/>
                <w:szCs w:val="20"/>
              </w:rPr>
              <w:t>21,0</w:t>
            </w:r>
          </w:p>
        </w:tc>
        <w:tc>
          <w:tcPr>
            <w:tcW w:w="992" w:type="dxa"/>
          </w:tcPr>
          <w:p w:rsidR="009B6FE1" w:rsidRPr="007C51D6" w:rsidRDefault="009B6FE1" w:rsidP="009B6FE1">
            <w:pPr>
              <w:autoSpaceDE/>
              <w:autoSpaceDN/>
              <w:adjustRightInd/>
              <w:spacing w:line="230" w:lineRule="auto"/>
              <w:jc w:val="center"/>
              <w:rPr>
                <w:color w:val="000000"/>
                <w:sz w:val="20"/>
                <w:szCs w:val="20"/>
              </w:rPr>
            </w:pPr>
            <w:r w:rsidRPr="007C51D6">
              <w:rPr>
                <w:color w:val="000000"/>
                <w:sz w:val="20"/>
                <w:szCs w:val="20"/>
              </w:rPr>
              <w:t>17,8</w:t>
            </w:r>
          </w:p>
        </w:tc>
        <w:tc>
          <w:tcPr>
            <w:tcW w:w="992" w:type="dxa"/>
          </w:tcPr>
          <w:p w:rsidR="009B6FE1" w:rsidRPr="007C51D6" w:rsidRDefault="009B6FE1" w:rsidP="009B6FE1">
            <w:pPr>
              <w:autoSpaceDE/>
              <w:autoSpaceDN/>
              <w:adjustRightInd/>
              <w:spacing w:line="230" w:lineRule="auto"/>
              <w:jc w:val="center"/>
              <w:rPr>
                <w:color w:val="000000"/>
                <w:sz w:val="20"/>
                <w:szCs w:val="20"/>
              </w:rPr>
            </w:pPr>
            <w:r w:rsidRPr="007C51D6">
              <w:rPr>
                <w:color w:val="000000"/>
                <w:sz w:val="20"/>
                <w:szCs w:val="20"/>
              </w:rPr>
              <w:t>23,0</w:t>
            </w:r>
          </w:p>
        </w:tc>
        <w:tc>
          <w:tcPr>
            <w:tcW w:w="992" w:type="dxa"/>
          </w:tcPr>
          <w:p w:rsidR="009B6FE1" w:rsidRPr="007C51D6" w:rsidRDefault="009B6FE1" w:rsidP="009B6FE1">
            <w:pPr>
              <w:autoSpaceDE/>
              <w:autoSpaceDN/>
              <w:adjustRightInd/>
              <w:spacing w:line="230" w:lineRule="auto"/>
              <w:jc w:val="center"/>
              <w:rPr>
                <w:color w:val="000000"/>
                <w:sz w:val="20"/>
                <w:szCs w:val="20"/>
              </w:rPr>
            </w:pPr>
            <w:r w:rsidRPr="007C51D6">
              <w:rPr>
                <w:color w:val="000000"/>
                <w:sz w:val="20"/>
                <w:szCs w:val="20"/>
              </w:rPr>
              <w:t>20,2</w:t>
            </w:r>
          </w:p>
        </w:tc>
        <w:tc>
          <w:tcPr>
            <w:tcW w:w="992" w:type="dxa"/>
          </w:tcPr>
          <w:p w:rsidR="009B6FE1" w:rsidRPr="007C51D6" w:rsidRDefault="009B6FE1" w:rsidP="009B6FE1">
            <w:pPr>
              <w:autoSpaceDE/>
              <w:autoSpaceDN/>
              <w:adjustRightInd/>
              <w:spacing w:line="230" w:lineRule="auto"/>
              <w:jc w:val="center"/>
              <w:rPr>
                <w:color w:val="000000"/>
                <w:sz w:val="20"/>
                <w:szCs w:val="20"/>
              </w:rPr>
            </w:pPr>
            <w:r w:rsidRPr="007C51D6">
              <w:rPr>
                <w:color w:val="000000"/>
                <w:sz w:val="20"/>
                <w:szCs w:val="20"/>
              </w:rPr>
              <w:t>16,5</w:t>
            </w:r>
          </w:p>
        </w:tc>
        <w:tc>
          <w:tcPr>
            <w:tcW w:w="992" w:type="dxa"/>
          </w:tcPr>
          <w:p w:rsidR="009B6FE1" w:rsidRPr="007C51D6" w:rsidRDefault="009B6FE1" w:rsidP="009B6FE1">
            <w:pPr>
              <w:autoSpaceDE/>
              <w:autoSpaceDN/>
              <w:adjustRightInd/>
              <w:spacing w:line="230" w:lineRule="auto"/>
              <w:jc w:val="center"/>
              <w:rPr>
                <w:color w:val="000000"/>
                <w:sz w:val="20"/>
                <w:szCs w:val="20"/>
              </w:rPr>
            </w:pPr>
            <w:r w:rsidRPr="007C51D6">
              <w:rPr>
                <w:color w:val="000000"/>
                <w:sz w:val="20"/>
                <w:szCs w:val="20"/>
              </w:rPr>
              <w:t>15,2</w:t>
            </w:r>
          </w:p>
        </w:tc>
        <w:tc>
          <w:tcPr>
            <w:tcW w:w="992" w:type="dxa"/>
          </w:tcPr>
          <w:p w:rsidR="009B6FE1" w:rsidRPr="007C51D6" w:rsidRDefault="009B6FE1" w:rsidP="009B6FE1">
            <w:pPr>
              <w:autoSpaceDE/>
              <w:autoSpaceDN/>
              <w:adjustRightInd/>
              <w:spacing w:line="230" w:lineRule="auto"/>
              <w:jc w:val="center"/>
              <w:rPr>
                <w:color w:val="000000"/>
                <w:sz w:val="20"/>
                <w:szCs w:val="20"/>
              </w:rPr>
            </w:pPr>
            <w:r w:rsidRPr="007C51D6">
              <w:rPr>
                <w:color w:val="000000"/>
                <w:sz w:val="20"/>
                <w:szCs w:val="20"/>
              </w:rPr>
              <w:t>20,8</w:t>
            </w:r>
          </w:p>
        </w:tc>
        <w:tc>
          <w:tcPr>
            <w:tcW w:w="992" w:type="dxa"/>
          </w:tcPr>
          <w:p w:rsidR="009B6FE1" w:rsidRPr="007C51D6" w:rsidRDefault="009B6FE1" w:rsidP="009B6FE1">
            <w:pPr>
              <w:spacing w:line="230" w:lineRule="auto"/>
              <w:jc w:val="center"/>
              <w:rPr>
                <w:color w:val="000000"/>
                <w:sz w:val="20"/>
                <w:szCs w:val="20"/>
              </w:rPr>
            </w:pPr>
            <w:r w:rsidRPr="007C51D6">
              <w:rPr>
                <w:color w:val="000000"/>
                <w:sz w:val="20"/>
                <w:szCs w:val="20"/>
              </w:rPr>
              <w:t>15,6</w:t>
            </w:r>
          </w:p>
        </w:tc>
        <w:tc>
          <w:tcPr>
            <w:tcW w:w="993" w:type="dxa"/>
          </w:tcPr>
          <w:p w:rsidR="009B6FE1" w:rsidRPr="007C51D6" w:rsidRDefault="009B6FE1" w:rsidP="009B6FE1">
            <w:pPr>
              <w:jc w:val="center"/>
              <w:rPr>
                <w:color w:val="000000"/>
                <w:sz w:val="20"/>
                <w:szCs w:val="20"/>
              </w:rPr>
            </w:pPr>
            <w:r w:rsidRPr="007C51D6">
              <w:rPr>
                <w:color w:val="000000"/>
                <w:sz w:val="20"/>
                <w:szCs w:val="20"/>
              </w:rPr>
              <w:t>14,1</w:t>
            </w:r>
          </w:p>
        </w:tc>
        <w:tc>
          <w:tcPr>
            <w:tcW w:w="994" w:type="dxa"/>
          </w:tcPr>
          <w:p w:rsidR="009B6FE1" w:rsidRPr="007C51D6" w:rsidRDefault="009B6FE1" w:rsidP="009B6FE1">
            <w:pPr>
              <w:jc w:val="center"/>
              <w:rPr>
                <w:color w:val="000000"/>
                <w:sz w:val="20"/>
                <w:szCs w:val="20"/>
              </w:rPr>
            </w:pPr>
            <w:r w:rsidRPr="007C51D6">
              <w:rPr>
                <w:color w:val="000000"/>
                <w:sz w:val="20"/>
                <w:szCs w:val="20"/>
              </w:rPr>
              <w:t>20,7</w:t>
            </w:r>
          </w:p>
        </w:tc>
        <w:tc>
          <w:tcPr>
            <w:tcW w:w="2410" w:type="dxa"/>
          </w:tcPr>
          <w:p w:rsidR="009B6FE1" w:rsidRPr="007C51D6" w:rsidRDefault="009B6FE1" w:rsidP="009B6FE1">
            <w:pPr>
              <w:autoSpaceDE/>
              <w:autoSpaceDN/>
              <w:adjustRightInd/>
              <w:spacing w:line="230" w:lineRule="auto"/>
              <w:jc w:val="center"/>
              <w:rPr>
                <w:color w:val="000000"/>
                <w:sz w:val="20"/>
                <w:szCs w:val="20"/>
              </w:rPr>
            </w:pPr>
            <w:r w:rsidRPr="007C51D6">
              <w:rPr>
                <w:color w:val="000000"/>
                <w:sz w:val="20"/>
                <w:szCs w:val="20"/>
              </w:rPr>
              <w:t>-1,4</w:t>
            </w:r>
          </w:p>
        </w:tc>
      </w:tr>
      <w:tr w:rsidR="009B6FE1" w:rsidRPr="007C51D6" w:rsidTr="00946652">
        <w:trPr>
          <w:trHeight w:val="20"/>
        </w:trPr>
        <w:tc>
          <w:tcPr>
            <w:tcW w:w="2830" w:type="dxa"/>
            <w:noWrap/>
            <w:hideMark/>
          </w:tcPr>
          <w:p w:rsidR="009B6FE1" w:rsidRPr="007C51D6" w:rsidRDefault="009B6FE1" w:rsidP="009B6FE1">
            <w:pPr>
              <w:autoSpaceDE/>
              <w:autoSpaceDN/>
              <w:adjustRightInd/>
              <w:spacing w:line="230" w:lineRule="auto"/>
              <w:jc w:val="center"/>
              <w:rPr>
                <w:color w:val="000000"/>
                <w:sz w:val="20"/>
                <w:szCs w:val="20"/>
              </w:rPr>
            </w:pPr>
            <w:r w:rsidRPr="007C51D6">
              <w:rPr>
                <w:rFonts w:eastAsia="Arial"/>
                <w:sz w:val="20"/>
                <w:szCs w:val="20"/>
              </w:rPr>
              <w:t>ЗНО</w:t>
            </w:r>
            <w:r w:rsidRPr="007C51D6">
              <w:rPr>
                <w:color w:val="000000"/>
                <w:sz w:val="20"/>
                <w:szCs w:val="20"/>
              </w:rPr>
              <w:t xml:space="preserve"> губы (C00)</w:t>
            </w:r>
          </w:p>
        </w:tc>
        <w:tc>
          <w:tcPr>
            <w:tcW w:w="992" w:type="dxa"/>
          </w:tcPr>
          <w:p w:rsidR="009B6FE1" w:rsidRPr="007C51D6" w:rsidRDefault="009B6FE1" w:rsidP="009B6FE1">
            <w:pPr>
              <w:autoSpaceDE/>
              <w:autoSpaceDN/>
              <w:adjustRightInd/>
              <w:spacing w:line="230" w:lineRule="auto"/>
              <w:jc w:val="center"/>
              <w:rPr>
                <w:color w:val="000000"/>
                <w:sz w:val="20"/>
                <w:szCs w:val="20"/>
              </w:rPr>
            </w:pPr>
            <w:r w:rsidRPr="007C51D6">
              <w:rPr>
                <w:color w:val="000000"/>
                <w:sz w:val="20"/>
                <w:szCs w:val="20"/>
              </w:rPr>
              <w:t>11,9</w:t>
            </w:r>
          </w:p>
        </w:tc>
        <w:tc>
          <w:tcPr>
            <w:tcW w:w="992" w:type="dxa"/>
          </w:tcPr>
          <w:p w:rsidR="009B6FE1" w:rsidRPr="007C51D6" w:rsidRDefault="009B6FE1" w:rsidP="009B6FE1">
            <w:pPr>
              <w:autoSpaceDE/>
              <w:autoSpaceDN/>
              <w:adjustRightInd/>
              <w:spacing w:line="230" w:lineRule="auto"/>
              <w:jc w:val="center"/>
              <w:rPr>
                <w:color w:val="000000"/>
                <w:sz w:val="20"/>
                <w:szCs w:val="20"/>
              </w:rPr>
            </w:pPr>
            <w:r w:rsidRPr="007C51D6">
              <w:rPr>
                <w:color w:val="000000"/>
                <w:sz w:val="20"/>
                <w:szCs w:val="20"/>
              </w:rPr>
              <w:t>9,1</w:t>
            </w:r>
          </w:p>
        </w:tc>
        <w:tc>
          <w:tcPr>
            <w:tcW w:w="992" w:type="dxa"/>
          </w:tcPr>
          <w:p w:rsidR="009B6FE1" w:rsidRPr="007C51D6" w:rsidRDefault="009B6FE1" w:rsidP="009B6FE1">
            <w:pPr>
              <w:autoSpaceDE/>
              <w:autoSpaceDN/>
              <w:adjustRightInd/>
              <w:spacing w:line="230" w:lineRule="auto"/>
              <w:jc w:val="center"/>
              <w:rPr>
                <w:color w:val="000000"/>
                <w:sz w:val="20"/>
                <w:szCs w:val="20"/>
              </w:rPr>
            </w:pPr>
            <w:r w:rsidRPr="007C51D6">
              <w:rPr>
                <w:color w:val="000000"/>
                <w:sz w:val="20"/>
                <w:szCs w:val="20"/>
              </w:rPr>
              <w:t>11,9</w:t>
            </w:r>
          </w:p>
        </w:tc>
        <w:tc>
          <w:tcPr>
            <w:tcW w:w="992" w:type="dxa"/>
          </w:tcPr>
          <w:p w:rsidR="009B6FE1" w:rsidRPr="007C51D6" w:rsidRDefault="009B6FE1" w:rsidP="009B6FE1">
            <w:pPr>
              <w:autoSpaceDE/>
              <w:autoSpaceDN/>
              <w:adjustRightInd/>
              <w:spacing w:line="230" w:lineRule="auto"/>
              <w:jc w:val="center"/>
              <w:rPr>
                <w:color w:val="000000"/>
                <w:sz w:val="20"/>
                <w:szCs w:val="20"/>
              </w:rPr>
            </w:pPr>
            <w:r w:rsidRPr="007C51D6">
              <w:rPr>
                <w:color w:val="000000"/>
                <w:sz w:val="20"/>
                <w:szCs w:val="20"/>
              </w:rPr>
              <w:t>6,5</w:t>
            </w:r>
          </w:p>
        </w:tc>
        <w:tc>
          <w:tcPr>
            <w:tcW w:w="992" w:type="dxa"/>
          </w:tcPr>
          <w:p w:rsidR="009B6FE1" w:rsidRPr="007C51D6" w:rsidRDefault="009B6FE1" w:rsidP="009B6FE1">
            <w:pPr>
              <w:autoSpaceDE/>
              <w:autoSpaceDN/>
              <w:adjustRightInd/>
              <w:spacing w:line="230" w:lineRule="auto"/>
              <w:jc w:val="center"/>
              <w:rPr>
                <w:color w:val="000000"/>
                <w:sz w:val="20"/>
                <w:szCs w:val="20"/>
              </w:rPr>
            </w:pPr>
            <w:r w:rsidRPr="007C51D6">
              <w:rPr>
                <w:color w:val="000000"/>
                <w:sz w:val="20"/>
                <w:szCs w:val="20"/>
              </w:rPr>
              <w:t>9,4</w:t>
            </w:r>
          </w:p>
        </w:tc>
        <w:tc>
          <w:tcPr>
            <w:tcW w:w="992" w:type="dxa"/>
          </w:tcPr>
          <w:p w:rsidR="009B6FE1" w:rsidRPr="007C51D6" w:rsidRDefault="009B6FE1" w:rsidP="009B6FE1">
            <w:pPr>
              <w:autoSpaceDE/>
              <w:autoSpaceDN/>
              <w:adjustRightInd/>
              <w:spacing w:line="230" w:lineRule="auto"/>
              <w:jc w:val="center"/>
              <w:rPr>
                <w:color w:val="000000"/>
                <w:sz w:val="20"/>
                <w:szCs w:val="20"/>
              </w:rPr>
            </w:pPr>
            <w:r w:rsidRPr="007C51D6">
              <w:rPr>
                <w:color w:val="000000"/>
                <w:sz w:val="20"/>
                <w:szCs w:val="20"/>
              </w:rPr>
              <w:t>14,1</w:t>
            </w:r>
          </w:p>
        </w:tc>
        <w:tc>
          <w:tcPr>
            <w:tcW w:w="992" w:type="dxa"/>
            <w:hideMark/>
          </w:tcPr>
          <w:p w:rsidR="009B6FE1" w:rsidRPr="007C51D6" w:rsidRDefault="009B6FE1" w:rsidP="009B6FE1">
            <w:pPr>
              <w:autoSpaceDE/>
              <w:autoSpaceDN/>
              <w:adjustRightInd/>
              <w:spacing w:line="230" w:lineRule="auto"/>
              <w:jc w:val="center"/>
              <w:rPr>
                <w:color w:val="000000"/>
                <w:sz w:val="20"/>
                <w:szCs w:val="20"/>
              </w:rPr>
            </w:pPr>
            <w:r w:rsidRPr="007C51D6">
              <w:rPr>
                <w:color w:val="000000"/>
                <w:sz w:val="20"/>
                <w:szCs w:val="20"/>
              </w:rPr>
              <w:t>19,7</w:t>
            </w:r>
          </w:p>
        </w:tc>
        <w:tc>
          <w:tcPr>
            <w:tcW w:w="992" w:type="dxa"/>
          </w:tcPr>
          <w:p w:rsidR="009B6FE1" w:rsidRPr="007C51D6" w:rsidRDefault="009B6FE1" w:rsidP="009B6FE1">
            <w:pPr>
              <w:spacing w:line="230" w:lineRule="auto"/>
              <w:jc w:val="center"/>
              <w:rPr>
                <w:color w:val="000000"/>
                <w:sz w:val="20"/>
                <w:szCs w:val="20"/>
              </w:rPr>
            </w:pPr>
            <w:r w:rsidRPr="007C51D6">
              <w:rPr>
                <w:color w:val="000000"/>
                <w:sz w:val="20"/>
                <w:szCs w:val="20"/>
              </w:rPr>
              <w:t>10,9</w:t>
            </w:r>
          </w:p>
        </w:tc>
        <w:tc>
          <w:tcPr>
            <w:tcW w:w="993" w:type="dxa"/>
          </w:tcPr>
          <w:p w:rsidR="009B6FE1" w:rsidRPr="007C51D6" w:rsidRDefault="009B6FE1" w:rsidP="009B6FE1">
            <w:pPr>
              <w:jc w:val="center"/>
              <w:rPr>
                <w:color w:val="000000"/>
                <w:sz w:val="20"/>
                <w:szCs w:val="20"/>
              </w:rPr>
            </w:pPr>
            <w:r w:rsidRPr="007C51D6">
              <w:rPr>
                <w:color w:val="000000"/>
                <w:sz w:val="20"/>
                <w:szCs w:val="20"/>
              </w:rPr>
              <w:t>10,0</w:t>
            </w:r>
          </w:p>
        </w:tc>
        <w:tc>
          <w:tcPr>
            <w:tcW w:w="994" w:type="dxa"/>
          </w:tcPr>
          <w:p w:rsidR="009B6FE1" w:rsidRPr="007C51D6" w:rsidRDefault="009B6FE1" w:rsidP="009B6FE1">
            <w:pPr>
              <w:jc w:val="center"/>
              <w:rPr>
                <w:color w:val="000000"/>
                <w:sz w:val="20"/>
                <w:szCs w:val="20"/>
              </w:rPr>
            </w:pPr>
            <w:r w:rsidRPr="007C51D6">
              <w:rPr>
                <w:color w:val="000000"/>
                <w:sz w:val="20"/>
                <w:szCs w:val="20"/>
              </w:rPr>
              <w:t>13,3</w:t>
            </w:r>
          </w:p>
        </w:tc>
        <w:tc>
          <w:tcPr>
            <w:tcW w:w="2410" w:type="dxa"/>
          </w:tcPr>
          <w:p w:rsidR="009B6FE1" w:rsidRPr="007C51D6" w:rsidRDefault="009B6FE1" w:rsidP="009B6FE1">
            <w:pPr>
              <w:autoSpaceDE/>
              <w:autoSpaceDN/>
              <w:adjustRightInd/>
              <w:spacing w:line="230" w:lineRule="auto"/>
              <w:jc w:val="center"/>
              <w:rPr>
                <w:color w:val="000000"/>
                <w:sz w:val="20"/>
                <w:szCs w:val="20"/>
              </w:rPr>
            </w:pPr>
            <w:r w:rsidRPr="007C51D6">
              <w:rPr>
                <w:color w:val="000000"/>
                <w:sz w:val="20"/>
                <w:szCs w:val="20"/>
              </w:rPr>
              <w:t>11,8</w:t>
            </w:r>
          </w:p>
        </w:tc>
      </w:tr>
      <w:tr w:rsidR="009B6FE1" w:rsidRPr="007C51D6" w:rsidTr="00946652">
        <w:trPr>
          <w:trHeight w:val="20"/>
        </w:trPr>
        <w:tc>
          <w:tcPr>
            <w:tcW w:w="2830" w:type="dxa"/>
            <w:noWrap/>
            <w:hideMark/>
          </w:tcPr>
          <w:p w:rsidR="009B6FE1" w:rsidRPr="007C51D6" w:rsidRDefault="009B6FE1" w:rsidP="009B6FE1">
            <w:pPr>
              <w:autoSpaceDE/>
              <w:autoSpaceDN/>
              <w:adjustRightInd/>
              <w:spacing w:line="230" w:lineRule="auto"/>
              <w:jc w:val="center"/>
              <w:rPr>
                <w:color w:val="000000"/>
                <w:sz w:val="20"/>
                <w:szCs w:val="20"/>
              </w:rPr>
            </w:pPr>
            <w:r w:rsidRPr="007C51D6">
              <w:rPr>
                <w:rFonts w:eastAsia="Arial"/>
                <w:sz w:val="20"/>
                <w:szCs w:val="20"/>
              </w:rPr>
              <w:t>ЗНО</w:t>
            </w:r>
            <w:r w:rsidRPr="007C51D6">
              <w:rPr>
                <w:color w:val="000000"/>
                <w:sz w:val="20"/>
                <w:szCs w:val="20"/>
              </w:rPr>
              <w:t xml:space="preserve"> предстательной железы (C61)</w:t>
            </w:r>
          </w:p>
        </w:tc>
        <w:tc>
          <w:tcPr>
            <w:tcW w:w="992" w:type="dxa"/>
          </w:tcPr>
          <w:p w:rsidR="009B6FE1" w:rsidRPr="007C51D6" w:rsidRDefault="009B6FE1" w:rsidP="009B6FE1">
            <w:pPr>
              <w:autoSpaceDE/>
              <w:autoSpaceDN/>
              <w:adjustRightInd/>
              <w:spacing w:line="230" w:lineRule="auto"/>
              <w:jc w:val="center"/>
              <w:rPr>
                <w:color w:val="000000"/>
                <w:sz w:val="20"/>
                <w:szCs w:val="20"/>
              </w:rPr>
            </w:pPr>
            <w:r w:rsidRPr="007C51D6">
              <w:rPr>
                <w:color w:val="000000"/>
                <w:sz w:val="20"/>
                <w:szCs w:val="20"/>
              </w:rPr>
              <w:t>13,1</w:t>
            </w:r>
          </w:p>
        </w:tc>
        <w:tc>
          <w:tcPr>
            <w:tcW w:w="992" w:type="dxa"/>
          </w:tcPr>
          <w:p w:rsidR="009B6FE1" w:rsidRPr="007C51D6" w:rsidRDefault="009B6FE1" w:rsidP="009B6FE1">
            <w:pPr>
              <w:autoSpaceDE/>
              <w:autoSpaceDN/>
              <w:adjustRightInd/>
              <w:spacing w:line="230" w:lineRule="auto"/>
              <w:jc w:val="center"/>
              <w:rPr>
                <w:color w:val="000000"/>
                <w:sz w:val="20"/>
                <w:szCs w:val="20"/>
              </w:rPr>
            </w:pPr>
            <w:r w:rsidRPr="007C51D6">
              <w:rPr>
                <w:color w:val="000000"/>
                <w:sz w:val="20"/>
                <w:szCs w:val="20"/>
              </w:rPr>
              <w:t>12,0</w:t>
            </w:r>
          </w:p>
        </w:tc>
        <w:tc>
          <w:tcPr>
            <w:tcW w:w="992" w:type="dxa"/>
          </w:tcPr>
          <w:p w:rsidR="009B6FE1" w:rsidRPr="007C51D6" w:rsidRDefault="009B6FE1" w:rsidP="009B6FE1">
            <w:pPr>
              <w:autoSpaceDE/>
              <w:autoSpaceDN/>
              <w:adjustRightInd/>
              <w:spacing w:line="230" w:lineRule="auto"/>
              <w:jc w:val="center"/>
              <w:rPr>
                <w:color w:val="000000"/>
                <w:sz w:val="20"/>
                <w:szCs w:val="20"/>
              </w:rPr>
            </w:pPr>
            <w:r w:rsidRPr="007C51D6">
              <w:rPr>
                <w:color w:val="000000"/>
                <w:sz w:val="20"/>
                <w:szCs w:val="20"/>
              </w:rPr>
              <w:t>16,2</w:t>
            </w:r>
          </w:p>
        </w:tc>
        <w:tc>
          <w:tcPr>
            <w:tcW w:w="992" w:type="dxa"/>
          </w:tcPr>
          <w:p w:rsidR="009B6FE1" w:rsidRPr="007C51D6" w:rsidRDefault="009B6FE1" w:rsidP="009B6FE1">
            <w:pPr>
              <w:autoSpaceDE/>
              <w:autoSpaceDN/>
              <w:adjustRightInd/>
              <w:spacing w:line="230" w:lineRule="auto"/>
              <w:jc w:val="center"/>
              <w:rPr>
                <w:color w:val="000000"/>
                <w:sz w:val="20"/>
                <w:szCs w:val="20"/>
              </w:rPr>
            </w:pPr>
            <w:r w:rsidRPr="007C51D6">
              <w:rPr>
                <w:color w:val="000000"/>
                <w:sz w:val="20"/>
                <w:szCs w:val="20"/>
              </w:rPr>
              <w:t>15,5</w:t>
            </w:r>
          </w:p>
        </w:tc>
        <w:tc>
          <w:tcPr>
            <w:tcW w:w="992" w:type="dxa"/>
          </w:tcPr>
          <w:p w:rsidR="009B6FE1" w:rsidRPr="007C51D6" w:rsidRDefault="009B6FE1" w:rsidP="009B6FE1">
            <w:pPr>
              <w:autoSpaceDE/>
              <w:autoSpaceDN/>
              <w:adjustRightInd/>
              <w:spacing w:line="230" w:lineRule="auto"/>
              <w:jc w:val="center"/>
              <w:rPr>
                <w:color w:val="000000"/>
                <w:sz w:val="20"/>
                <w:szCs w:val="20"/>
              </w:rPr>
            </w:pPr>
            <w:r w:rsidRPr="007C51D6">
              <w:rPr>
                <w:color w:val="000000"/>
                <w:sz w:val="20"/>
                <w:szCs w:val="20"/>
              </w:rPr>
              <w:t>17,7</w:t>
            </w:r>
          </w:p>
        </w:tc>
        <w:tc>
          <w:tcPr>
            <w:tcW w:w="992" w:type="dxa"/>
          </w:tcPr>
          <w:p w:rsidR="009B6FE1" w:rsidRPr="007C51D6" w:rsidRDefault="009B6FE1" w:rsidP="009B6FE1">
            <w:pPr>
              <w:autoSpaceDE/>
              <w:autoSpaceDN/>
              <w:adjustRightInd/>
              <w:spacing w:line="230" w:lineRule="auto"/>
              <w:jc w:val="center"/>
              <w:rPr>
                <w:color w:val="000000"/>
                <w:sz w:val="20"/>
                <w:szCs w:val="20"/>
              </w:rPr>
            </w:pPr>
            <w:r w:rsidRPr="007C51D6">
              <w:rPr>
                <w:color w:val="000000"/>
                <w:sz w:val="20"/>
                <w:szCs w:val="20"/>
              </w:rPr>
              <w:t>17,9</w:t>
            </w:r>
          </w:p>
        </w:tc>
        <w:tc>
          <w:tcPr>
            <w:tcW w:w="992" w:type="dxa"/>
            <w:hideMark/>
          </w:tcPr>
          <w:p w:rsidR="009B6FE1" w:rsidRPr="007C51D6" w:rsidRDefault="009B6FE1" w:rsidP="009B6FE1">
            <w:pPr>
              <w:autoSpaceDE/>
              <w:autoSpaceDN/>
              <w:adjustRightInd/>
              <w:spacing w:line="230" w:lineRule="auto"/>
              <w:jc w:val="center"/>
              <w:rPr>
                <w:color w:val="000000"/>
                <w:sz w:val="20"/>
                <w:szCs w:val="20"/>
              </w:rPr>
            </w:pPr>
            <w:r w:rsidRPr="007C51D6">
              <w:rPr>
                <w:color w:val="000000"/>
                <w:sz w:val="20"/>
                <w:szCs w:val="20"/>
              </w:rPr>
              <w:t>19,3</w:t>
            </w:r>
          </w:p>
        </w:tc>
        <w:tc>
          <w:tcPr>
            <w:tcW w:w="992" w:type="dxa"/>
          </w:tcPr>
          <w:p w:rsidR="009B6FE1" w:rsidRPr="007C51D6" w:rsidRDefault="009B6FE1" w:rsidP="009B6FE1">
            <w:pPr>
              <w:spacing w:line="230" w:lineRule="auto"/>
              <w:jc w:val="center"/>
              <w:rPr>
                <w:color w:val="000000"/>
                <w:sz w:val="20"/>
                <w:szCs w:val="20"/>
              </w:rPr>
            </w:pPr>
            <w:r w:rsidRPr="007C51D6">
              <w:rPr>
                <w:color w:val="000000"/>
                <w:sz w:val="20"/>
                <w:szCs w:val="20"/>
              </w:rPr>
              <w:t>20,5</w:t>
            </w:r>
          </w:p>
        </w:tc>
        <w:tc>
          <w:tcPr>
            <w:tcW w:w="993" w:type="dxa"/>
          </w:tcPr>
          <w:p w:rsidR="009B6FE1" w:rsidRPr="007C51D6" w:rsidRDefault="009B6FE1" w:rsidP="009B6FE1">
            <w:pPr>
              <w:jc w:val="center"/>
              <w:rPr>
                <w:color w:val="000000"/>
                <w:sz w:val="20"/>
                <w:szCs w:val="20"/>
              </w:rPr>
            </w:pPr>
            <w:r w:rsidRPr="007C51D6">
              <w:rPr>
                <w:color w:val="000000"/>
                <w:sz w:val="20"/>
                <w:szCs w:val="20"/>
              </w:rPr>
              <w:t>17,4</w:t>
            </w:r>
          </w:p>
        </w:tc>
        <w:tc>
          <w:tcPr>
            <w:tcW w:w="994" w:type="dxa"/>
          </w:tcPr>
          <w:p w:rsidR="009B6FE1" w:rsidRPr="007C51D6" w:rsidRDefault="009B6FE1" w:rsidP="009B6FE1">
            <w:pPr>
              <w:jc w:val="center"/>
              <w:rPr>
                <w:color w:val="000000"/>
                <w:sz w:val="20"/>
                <w:szCs w:val="20"/>
              </w:rPr>
            </w:pPr>
            <w:r w:rsidRPr="007C51D6">
              <w:rPr>
                <w:color w:val="000000"/>
                <w:sz w:val="20"/>
                <w:szCs w:val="20"/>
              </w:rPr>
              <w:t>20,5</w:t>
            </w:r>
          </w:p>
        </w:tc>
        <w:tc>
          <w:tcPr>
            <w:tcW w:w="2410" w:type="dxa"/>
          </w:tcPr>
          <w:p w:rsidR="009B6FE1" w:rsidRPr="007C51D6" w:rsidRDefault="009B6FE1" w:rsidP="009B6FE1">
            <w:pPr>
              <w:autoSpaceDE/>
              <w:autoSpaceDN/>
              <w:adjustRightInd/>
              <w:spacing w:line="230" w:lineRule="auto"/>
              <w:jc w:val="center"/>
              <w:rPr>
                <w:color w:val="000000"/>
                <w:sz w:val="20"/>
                <w:szCs w:val="20"/>
              </w:rPr>
            </w:pPr>
            <w:r w:rsidRPr="007C51D6">
              <w:rPr>
                <w:color w:val="000000"/>
                <w:sz w:val="20"/>
                <w:szCs w:val="20"/>
              </w:rPr>
              <w:t>56,5</w:t>
            </w:r>
          </w:p>
        </w:tc>
      </w:tr>
      <w:tr w:rsidR="009B6FE1" w:rsidRPr="007C51D6" w:rsidTr="00946652">
        <w:trPr>
          <w:trHeight w:val="20"/>
        </w:trPr>
        <w:tc>
          <w:tcPr>
            <w:tcW w:w="2830" w:type="dxa"/>
            <w:noWrap/>
            <w:hideMark/>
          </w:tcPr>
          <w:p w:rsidR="009B6FE1" w:rsidRPr="007C51D6" w:rsidRDefault="009B6FE1" w:rsidP="009B6FE1">
            <w:pPr>
              <w:autoSpaceDE/>
              <w:autoSpaceDN/>
              <w:adjustRightInd/>
              <w:spacing w:line="230" w:lineRule="auto"/>
              <w:jc w:val="center"/>
              <w:rPr>
                <w:color w:val="000000"/>
                <w:sz w:val="20"/>
                <w:szCs w:val="20"/>
              </w:rPr>
            </w:pPr>
            <w:r w:rsidRPr="007C51D6">
              <w:rPr>
                <w:color w:val="000000"/>
                <w:sz w:val="20"/>
                <w:szCs w:val="20"/>
              </w:rPr>
              <w:t>Меланома кожи (C43)</w:t>
            </w:r>
          </w:p>
        </w:tc>
        <w:tc>
          <w:tcPr>
            <w:tcW w:w="992" w:type="dxa"/>
          </w:tcPr>
          <w:p w:rsidR="009B6FE1" w:rsidRPr="007C51D6" w:rsidRDefault="009B6FE1" w:rsidP="009B6FE1">
            <w:pPr>
              <w:autoSpaceDE/>
              <w:autoSpaceDN/>
              <w:adjustRightInd/>
              <w:spacing w:line="230" w:lineRule="auto"/>
              <w:jc w:val="center"/>
              <w:rPr>
                <w:color w:val="000000"/>
                <w:sz w:val="20"/>
                <w:szCs w:val="20"/>
              </w:rPr>
            </w:pPr>
            <w:r w:rsidRPr="007C51D6">
              <w:rPr>
                <w:color w:val="000000"/>
                <w:sz w:val="20"/>
                <w:szCs w:val="20"/>
              </w:rPr>
              <w:t>35,7</w:t>
            </w:r>
          </w:p>
        </w:tc>
        <w:tc>
          <w:tcPr>
            <w:tcW w:w="992" w:type="dxa"/>
          </w:tcPr>
          <w:p w:rsidR="009B6FE1" w:rsidRPr="007C51D6" w:rsidRDefault="009B6FE1" w:rsidP="009B6FE1">
            <w:pPr>
              <w:autoSpaceDE/>
              <w:autoSpaceDN/>
              <w:adjustRightInd/>
              <w:spacing w:line="230" w:lineRule="auto"/>
              <w:jc w:val="center"/>
              <w:rPr>
                <w:color w:val="000000"/>
                <w:sz w:val="20"/>
                <w:szCs w:val="20"/>
              </w:rPr>
            </w:pPr>
            <w:r w:rsidRPr="007C51D6">
              <w:rPr>
                <w:color w:val="000000"/>
                <w:sz w:val="20"/>
                <w:szCs w:val="20"/>
              </w:rPr>
              <w:t>34,7</w:t>
            </w:r>
          </w:p>
        </w:tc>
        <w:tc>
          <w:tcPr>
            <w:tcW w:w="992" w:type="dxa"/>
          </w:tcPr>
          <w:p w:rsidR="009B6FE1" w:rsidRPr="007C51D6" w:rsidRDefault="009B6FE1" w:rsidP="009B6FE1">
            <w:pPr>
              <w:autoSpaceDE/>
              <w:autoSpaceDN/>
              <w:adjustRightInd/>
              <w:spacing w:line="230" w:lineRule="auto"/>
              <w:jc w:val="center"/>
              <w:rPr>
                <w:color w:val="000000"/>
                <w:sz w:val="20"/>
                <w:szCs w:val="20"/>
              </w:rPr>
            </w:pPr>
            <w:r w:rsidRPr="007C51D6">
              <w:rPr>
                <w:color w:val="000000"/>
                <w:sz w:val="20"/>
                <w:szCs w:val="20"/>
              </w:rPr>
              <w:t>31,0</w:t>
            </w:r>
          </w:p>
        </w:tc>
        <w:tc>
          <w:tcPr>
            <w:tcW w:w="992" w:type="dxa"/>
          </w:tcPr>
          <w:p w:rsidR="009B6FE1" w:rsidRPr="007C51D6" w:rsidRDefault="009B6FE1" w:rsidP="009B6FE1">
            <w:pPr>
              <w:autoSpaceDE/>
              <w:autoSpaceDN/>
              <w:adjustRightInd/>
              <w:spacing w:line="230" w:lineRule="auto"/>
              <w:jc w:val="center"/>
              <w:rPr>
                <w:color w:val="000000"/>
                <w:sz w:val="20"/>
                <w:szCs w:val="20"/>
              </w:rPr>
            </w:pPr>
            <w:r w:rsidRPr="007C51D6">
              <w:rPr>
                <w:color w:val="000000"/>
                <w:sz w:val="20"/>
                <w:szCs w:val="20"/>
              </w:rPr>
              <w:t>32,6</w:t>
            </w:r>
          </w:p>
        </w:tc>
        <w:tc>
          <w:tcPr>
            <w:tcW w:w="992" w:type="dxa"/>
          </w:tcPr>
          <w:p w:rsidR="009B6FE1" w:rsidRPr="007C51D6" w:rsidRDefault="009B6FE1" w:rsidP="009B6FE1">
            <w:pPr>
              <w:autoSpaceDE/>
              <w:autoSpaceDN/>
              <w:adjustRightInd/>
              <w:spacing w:line="230" w:lineRule="auto"/>
              <w:jc w:val="center"/>
              <w:rPr>
                <w:color w:val="000000"/>
                <w:sz w:val="20"/>
                <w:szCs w:val="20"/>
              </w:rPr>
            </w:pPr>
            <w:r w:rsidRPr="007C51D6">
              <w:rPr>
                <w:color w:val="000000"/>
                <w:sz w:val="20"/>
                <w:szCs w:val="20"/>
              </w:rPr>
              <w:t>28,1</w:t>
            </w:r>
          </w:p>
        </w:tc>
        <w:tc>
          <w:tcPr>
            <w:tcW w:w="992" w:type="dxa"/>
          </w:tcPr>
          <w:p w:rsidR="009B6FE1" w:rsidRPr="007C51D6" w:rsidRDefault="009B6FE1" w:rsidP="009B6FE1">
            <w:pPr>
              <w:autoSpaceDE/>
              <w:autoSpaceDN/>
              <w:adjustRightInd/>
              <w:spacing w:line="230" w:lineRule="auto"/>
              <w:jc w:val="center"/>
              <w:rPr>
                <w:color w:val="000000"/>
                <w:sz w:val="20"/>
                <w:szCs w:val="20"/>
              </w:rPr>
            </w:pPr>
            <w:r w:rsidRPr="007C51D6">
              <w:rPr>
                <w:color w:val="000000"/>
                <w:sz w:val="20"/>
                <w:szCs w:val="20"/>
              </w:rPr>
              <w:t>26,4</w:t>
            </w:r>
          </w:p>
        </w:tc>
        <w:tc>
          <w:tcPr>
            <w:tcW w:w="992" w:type="dxa"/>
            <w:hideMark/>
          </w:tcPr>
          <w:p w:rsidR="009B6FE1" w:rsidRPr="007C51D6" w:rsidRDefault="009B6FE1" w:rsidP="009B6FE1">
            <w:pPr>
              <w:autoSpaceDE/>
              <w:autoSpaceDN/>
              <w:adjustRightInd/>
              <w:spacing w:line="230" w:lineRule="auto"/>
              <w:jc w:val="center"/>
              <w:rPr>
                <w:color w:val="000000"/>
                <w:sz w:val="20"/>
                <w:szCs w:val="20"/>
              </w:rPr>
            </w:pPr>
            <w:r w:rsidRPr="007C51D6">
              <w:rPr>
                <w:color w:val="000000"/>
                <w:sz w:val="20"/>
                <w:szCs w:val="20"/>
              </w:rPr>
              <w:t>18,7</w:t>
            </w:r>
          </w:p>
        </w:tc>
        <w:tc>
          <w:tcPr>
            <w:tcW w:w="992" w:type="dxa"/>
          </w:tcPr>
          <w:p w:rsidR="009B6FE1" w:rsidRPr="007C51D6" w:rsidRDefault="009B6FE1" w:rsidP="009B6FE1">
            <w:pPr>
              <w:spacing w:line="230" w:lineRule="auto"/>
              <w:jc w:val="center"/>
              <w:rPr>
                <w:color w:val="000000"/>
                <w:sz w:val="20"/>
                <w:szCs w:val="20"/>
              </w:rPr>
            </w:pPr>
            <w:r w:rsidRPr="007C51D6">
              <w:rPr>
                <w:color w:val="000000"/>
                <w:sz w:val="20"/>
                <w:szCs w:val="20"/>
              </w:rPr>
              <w:t>25,9</w:t>
            </w:r>
          </w:p>
        </w:tc>
        <w:tc>
          <w:tcPr>
            <w:tcW w:w="993" w:type="dxa"/>
          </w:tcPr>
          <w:p w:rsidR="009B6FE1" w:rsidRPr="007C51D6" w:rsidRDefault="009B6FE1" w:rsidP="009B6FE1">
            <w:pPr>
              <w:jc w:val="center"/>
              <w:rPr>
                <w:color w:val="000000"/>
                <w:sz w:val="20"/>
                <w:szCs w:val="20"/>
              </w:rPr>
            </w:pPr>
            <w:r w:rsidRPr="007C51D6">
              <w:rPr>
                <w:color w:val="000000"/>
                <w:sz w:val="20"/>
                <w:szCs w:val="20"/>
              </w:rPr>
              <w:t>24,1</w:t>
            </w:r>
          </w:p>
        </w:tc>
        <w:tc>
          <w:tcPr>
            <w:tcW w:w="994" w:type="dxa"/>
          </w:tcPr>
          <w:p w:rsidR="009B6FE1" w:rsidRPr="007C51D6" w:rsidRDefault="009B6FE1" w:rsidP="009B6FE1">
            <w:pPr>
              <w:jc w:val="center"/>
              <w:rPr>
                <w:color w:val="000000"/>
                <w:sz w:val="20"/>
                <w:szCs w:val="20"/>
              </w:rPr>
            </w:pPr>
            <w:r w:rsidRPr="007C51D6">
              <w:rPr>
                <w:color w:val="000000"/>
                <w:sz w:val="20"/>
                <w:szCs w:val="20"/>
              </w:rPr>
              <w:t>14,5</w:t>
            </w:r>
          </w:p>
        </w:tc>
        <w:tc>
          <w:tcPr>
            <w:tcW w:w="2410" w:type="dxa"/>
          </w:tcPr>
          <w:p w:rsidR="009B6FE1" w:rsidRPr="007C51D6" w:rsidRDefault="009B6FE1" w:rsidP="009B6FE1">
            <w:pPr>
              <w:autoSpaceDE/>
              <w:autoSpaceDN/>
              <w:adjustRightInd/>
              <w:spacing w:line="230" w:lineRule="auto"/>
              <w:jc w:val="center"/>
              <w:rPr>
                <w:color w:val="000000"/>
                <w:sz w:val="20"/>
                <w:szCs w:val="20"/>
              </w:rPr>
            </w:pPr>
            <w:r w:rsidRPr="007C51D6">
              <w:rPr>
                <w:color w:val="000000"/>
                <w:sz w:val="20"/>
                <w:szCs w:val="20"/>
              </w:rPr>
              <w:t>-59,4</w:t>
            </w:r>
          </w:p>
        </w:tc>
      </w:tr>
      <w:tr w:rsidR="009B6FE1" w:rsidRPr="007C51D6" w:rsidTr="00946652">
        <w:trPr>
          <w:trHeight w:val="20"/>
        </w:trPr>
        <w:tc>
          <w:tcPr>
            <w:tcW w:w="2830" w:type="dxa"/>
            <w:noWrap/>
            <w:hideMark/>
          </w:tcPr>
          <w:p w:rsidR="009B6FE1" w:rsidRPr="007C51D6" w:rsidRDefault="009B6FE1" w:rsidP="009B6FE1">
            <w:pPr>
              <w:autoSpaceDE/>
              <w:autoSpaceDN/>
              <w:adjustRightInd/>
              <w:spacing w:line="230" w:lineRule="auto"/>
              <w:jc w:val="center"/>
              <w:rPr>
                <w:color w:val="000000"/>
                <w:sz w:val="20"/>
                <w:szCs w:val="20"/>
              </w:rPr>
            </w:pPr>
            <w:r w:rsidRPr="007C51D6">
              <w:rPr>
                <w:rFonts w:eastAsia="Arial"/>
                <w:sz w:val="20"/>
                <w:szCs w:val="20"/>
              </w:rPr>
              <w:t>ЗНО</w:t>
            </w:r>
            <w:r w:rsidRPr="007C51D6">
              <w:rPr>
                <w:color w:val="000000"/>
                <w:sz w:val="20"/>
                <w:szCs w:val="20"/>
              </w:rPr>
              <w:t xml:space="preserve"> яичника (C56)</w:t>
            </w:r>
          </w:p>
        </w:tc>
        <w:tc>
          <w:tcPr>
            <w:tcW w:w="992" w:type="dxa"/>
          </w:tcPr>
          <w:p w:rsidR="009B6FE1" w:rsidRPr="007C51D6" w:rsidRDefault="009B6FE1" w:rsidP="009B6FE1">
            <w:pPr>
              <w:autoSpaceDE/>
              <w:autoSpaceDN/>
              <w:adjustRightInd/>
              <w:spacing w:line="230" w:lineRule="auto"/>
              <w:jc w:val="center"/>
              <w:rPr>
                <w:color w:val="000000"/>
                <w:sz w:val="20"/>
                <w:szCs w:val="20"/>
              </w:rPr>
            </w:pPr>
            <w:r w:rsidRPr="007C51D6">
              <w:rPr>
                <w:color w:val="000000"/>
                <w:sz w:val="20"/>
                <w:szCs w:val="20"/>
              </w:rPr>
              <w:t>15,1</w:t>
            </w:r>
          </w:p>
        </w:tc>
        <w:tc>
          <w:tcPr>
            <w:tcW w:w="992" w:type="dxa"/>
          </w:tcPr>
          <w:p w:rsidR="009B6FE1" w:rsidRPr="007C51D6" w:rsidRDefault="009B6FE1" w:rsidP="009B6FE1">
            <w:pPr>
              <w:autoSpaceDE/>
              <w:autoSpaceDN/>
              <w:adjustRightInd/>
              <w:spacing w:line="230" w:lineRule="auto"/>
              <w:jc w:val="center"/>
              <w:rPr>
                <w:color w:val="000000"/>
                <w:sz w:val="20"/>
                <w:szCs w:val="20"/>
              </w:rPr>
            </w:pPr>
            <w:r w:rsidRPr="007C51D6">
              <w:rPr>
                <w:color w:val="000000"/>
                <w:sz w:val="20"/>
                <w:szCs w:val="20"/>
              </w:rPr>
              <w:t>23,2</w:t>
            </w:r>
          </w:p>
        </w:tc>
        <w:tc>
          <w:tcPr>
            <w:tcW w:w="992" w:type="dxa"/>
          </w:tcPr>
          <w:p w:rsidR="009B6FE1" w:rsidRPr="007C51D6" w:rsidRDefault="009B6FE1" w:rsidP="009B6FE1">
            <w:pPr>
              <w:autoSpaceDE/>
              <w:autoSpaceDN/>
              <w:adjustRightInd/>
              <w:spacing w:line="230" w:lineRule="auto"/>
              <w:jc w:val="center"/>
              <w:rPr>
                <w:color w:val="000000"/>
                <w:sz w:val="20"/>
                <w:szCs w:val="20"/>
              </w:rPr>
            </w:pPr>
            <w:r w:rsidRPr="007C51D6">
              <w:rPr>
                <w:color w:val="000000"/>
                <w:sz w:val="20"/>
                <w:szCs w:val="20"/>
              </w:rPr>
              <w:t>20,7</w:t>
            </w:r>
          </w:p>
        </w:tc>
        <w:tc>
          <w:tcPr>
            <w:tcW w:w="992" w:type="dxa"/>
          </w:tcPr>
          <w:p w:rsidR="009B6FE1" w:rsidRPr="007C51D6" w:rsidRDefault="009B6FE1" w:rsidP="009B6FE1">
            <w:pPr>
              <w:autoSpaceDE/>
              <w:autoSpaceDN/>
              <w:adjustRightInd/>
              <w:spacing w:line="230" w:lineRule="auto"/>
              <w:jc w:val="center"/>
              <w:rPr>
                <w:color w:val="000000"/>
                <w:sz w:val="20"/>
                <w:szCs w:val="20"/>
              </w:rPr>
            </w:pPr>
            <w:r w:rsidRPr="007C51D6">
              <w:rPr>
                <w:color w:val="000000"/>
                <w:sz w:val="20"/>
                <w:szCs w:val="20"/>
              </w:rPr>
              <w:t>16,8</w:t>
            </w:r>
          </w:p>
        </w:tc>
        <w:tc>
          <w:tcPr>
            <w:tcW w:w="992" w:type="dxa"/>
          </w:tcPr>
          <w:p w:rsidR="009B6FE1" w:rsidRPr="007C51D6" w:rsidRDefault="009B6FE1" w:rsidP="009B6FE1">
            <w:pPr>
              <w:autoSpaceDE/>
              <w:autoSpaceDN/>
              <w:adjustRightInd/>
              <w:spacing w:line="230" w:lineRule="auto"/>
              <w:jc w:val="center"/>
              <w:rPr>
                <w:color w:val="000000"/>
                <w:sz w:val="20"/>
                <w:szCs w:val="20"/>
              </w:rPr>
            </w:pPr>
            <w:r w:rsidRPr="007C51D6">
              <w:rPr>
                <w:color w:val="000000"/>
                <w:sz w:val="20"/>
                <w:szCs w:val="20"/>
              </w:rPr>
              <w:t>17,8</w:t>
            </w:r>
          </w:p>
        </w:tc>
        <w:tc>
          <w:tcPr>
            <w:tcW w:w="992" w:type="dxa"/>
          </w:tcPr>
          <w:p w:rsidR="009B6FE1" w:rsidRPr="007C51D6" w:rsidRDefault="009B6FE1" w:rsidP="009B6FE1">
            <w:pPr>
              <w:autoSpaceDE/>
              <w:autoSpaceDN/>
              <w:adjustRightInd/>
              <w:spacing w:line="230" w:lineRule="auto"/>
              <w:jc w:val="center"/>
              <w:rPr>
                <w:color w:val="000000"/>
                <w:sz w:val="20"/>
                <w:szCs w:val="20"/>
              </w:rPr>
            </w:pPr>
            <w:r w:rsidRPr="007C51D6">
              <w:rPr>
                <w:color w:val="000000"/>
                <w:sz w:val="20"/>
                <w:szCs w:val="20"/>
              </w:rPr>
              <w:t>17,0</w:t>
            </w:r>
          </w:p>
        </w:tc>
        <w:tc>
          <w:tcPr>
            <w:tcW w:w="992" w:type="dxa"/>
            <w:hideMark/>
          </w:tcPr>
          <w:p w:rsidR="009B6FE1" w:rsidRPr="007C51D6" w:rsidRDefault="009B6FE1" w:rsidP="009B6FE1">
            <w:pPr>
              <w:autoSpaceDE/>
              <w:autoSpaceDN/>
              <w:adjustRightInd/>
              <w:spacing w:line="230" w:lineRule="auto"/>
              <w:jc w:val="center"/>
              <w:rPr>
                <w:color w:val="000000"/>
                <w:sz w:val="20"/>
                <w:szCs w:val="20"/>
              </w:rPr>
            </w:pPr>
            <w:r w:rsidRPr="007C51D6">
              <w:rPr>
                <w:color w:val="000000"/>
                <w:sz w:val="20"/>
                <w:szCs w:val="20"/>
              </w:rPr>
              <w:t>12,9</w:t>
            </w:r>
          </w:p>
        </w:tc>
        <w:tc>
          <w:tcPr>
            <w:tcW w:w="992" w:type="dxa"/>
          </w:tcPr>
          <w:p w:rsidR="009B6FE1" w:rsidRPr="007C51D6" w:rsidRDefault="009B6FE1" w:rsidP="009B6FE1">
            <w:pPr>
              <w:spacing w:line="230" w:lineRule="auto"/>
              <w:jc w:val="center"/>
              <w:rPr>
                <w:color w:val="000000"/>
                <w:sz w:val="20"/>
                <w:szCs w:val="20"/>
              </w:rPr>
            </w:pPr>
            <w:r w:rsidRPr="007C51D6">
              <w:rPr>
                <w:color w:val="000000"/>
                <w:sz w:val="20"/>
                <w:szCs w:val="20"/>
              </w:rPr>
              <w:t>16,5</w:t>
            </w:r>
          </w:p>
        </w:tc>
        <w:tc>
          <w:tcPr>
            <w:tcW w:w="993" w:type="dxa"/>
          </w:tcPr>
          <w:p w:rsidR="009B6FE1" w:rsidRPr="007C51D6" w:rsidRDefault="009B6FE1" w:rsidP="009B6FE1">
            <w:pPr>
              <w:jc w:val="center"/>
              <w:rPr>
                <w:color w:val="000000"/>
                <w:sz w:val="20"/>
                <w:szCs w:val="20"/>
              </w:rPr>
            </w:pPr>
            <w:r w:rsidRPr="007C51D6">
              <w:rPr>
                <w:color w:val="000000"/>
                <w:sz w:val="20"/>
                <w:szCs w:val="20"/>
              </w:rPr>
              <w:t>20,7</w:t>
            </w:r>
          </w:p>
        </w:tc>
        <w:tc>
          <w:tcPr>
            <w:tcW w:w="994" w:type="dxa"/>
          </w:tcPr>
          <w:p w:rsidR="009B6FE1" w:rsidRPr="007C51D6" w:rsidRDefault="009B6FE1" w:rsidP="009B6FE1">
            <w:pPr>
              <w:jc w:val="center"/>
              <w:rPr>
                <w:color w:val="000000"/>
                <w:sz w:val="20"/>
                <w:szCs w:val="20"/>
              </w:rPr>
            </w:pPr>
            <w:r w:rsidRPr="007C51D6">
              <w:rPr>
                <w:color w:val="000000"/>
                <w:sz w:val="20"/>
                <w:szCs w:val="20"/>
              </w:rPr>
              <w:t>21,4</w:t>
            </w:r>
          </w:p>
        </w:tc>
        <w:tc>
          <w:tcPr>
            <w:tcW w:w="2410" w:type="dxa"/>
          </w:tcPr>
          <w:p w:rsidR="009B6FE1" w:rsidRPr="007C51D6" w:rsidRDefault="009B6FE1" w:rsidP="009B6FE1">
            <w:pPr>
              <w:autoSpaceDE/>
              <w:autoSpaceDN/>
              <w:adjustRightInd/>
              <w:spacing w:line="230" w:lineRule="auto"/>
              <w:jc w:val="center"/>
              <w:rPr>
                <w:color w:val="000000"/>
                <w:sz w:val="20"/>
                <w:szCs w:val="20"/>
              </w:rPr>
            </w:pPr>
            <w:r w:rsidRPr="007C51D6">
              <w:rPr>
                <w:color w:val="000000"/>
                <w:sz w:val="20"/>
                <w:szCs w:val="20"/>
              </w:rPr>
              <w:t>41,7</w:t>
            </w:r>
          </w:p>
        </w:tc>
      </w:tr>
      <w:tr w:rsidR="009B6FE1" w:rsidRPr="007C51D6" w:rsidTr="00946652">
        <w:trPr>
          <w:trHeight w:val="20"/>
        </w:trPr>
        <w:tc>
          <w:tcPr>
            <w:tcW w:w="2830" w:type="dxa"/>
            <w:noWrap/>
            <w:hideMark/>
          </w:tcPr>
          <w:p w:rsidR="009B6FE1" w:rsidRPr="007C51D6" w:rsidRDefault="009B6FE1" w:rsidP="009B6FE1">
            <w:pPr>
              <w:autoSpaceDE/>
              <w:autoSpaceDN/>
              <w:adjustRightInd/>
              <w:spacing w:line="230" w:lineRule="auto"/>
              <w:jc w:val="center"/>
              <w:rPr>
                <w:color w:val="000000"/>
                <w:sz w:val="20"/>
                <w:szCs w:val="20"/>
              </w:rPr>
            </w:pPr>
            <w:r w:rsidRPr="007C51D6">
              <w:rPr>
                <w:rFonts w:eastAsia="Arial"/>
                <w:sz w:val="20"/>
                <w:szCs w:val="20"/>
              </w:rPr>
              <w:t>ЗНО</w:t>
            </w:r>
            <w:r w:rsidRPr="007C51D6">
              <w:rPr>
                <w:color w:val="000000"/>
                <w:sz w:val="20"/>
                <w:szCs w:val="20"/>
              </w:rPr>
              <w:t xml:space="preserve"> мезотелиальной и других мягких тканей (C46.1,3,7 – 9,47,49)</w:t>
            </w:r>
          </w:p>
        </w:tc>
        <w:tc>
          <w:tcPr>
            <w:tcW w:w="992" w:type="dxa"/>
          </w:tcPr>
          <w:p w:rsidR="009B6FE1" w:rsidRPr="007C51D6" w:rsidRDefault="009B6FE1" w:rsidP="009B6FE1">
            <w:pPr>
              <w:autoSpaceDE/>
              <w:autoSpaceDN/>
              <w:adjustRightInd/>
              <w:spacing w:line="230" w:lineRule="auto"/>
              <w:jc w:val="center"/>
              <w:rPr>
                <w:color w:val="000000"/>
                <w:sz w:val="20"/>
                <w:szCs w:val="20"/>
              </w:rPr>
            </w:pPr>
            <w:r w:rsidRPr="007C51D6">
              <w:rPr>
                <w:color w:val="000000"/>
                <w:sz w:val="20"/>
                <w:szCs w:val="20"/>
              </w:rPr>
              <w:t>15,4</w:t>
            </w:r>
          </w:p>
        </w:tc>
        <w:tc>
          <w:tcPr>
            <w:tcW w:w="992" w:type="dxa"/>
          </w:tcPr>
          <w:p w:rsidR="009B6FE1" w:rsidRPr="007C51D6" w:rsidRDefault="009B6FE1" w:rsidP="009B6FE1">
            <w:pPr>
              <w:autoSpaceDE/>
              <w:autoSpaceDN/>
              <w:adjustRightInd/>
              <w:spacing w:line="230" w:lineRule="auto"/>
              <w:jc w:val="center"/>
              <w:rPr>
                <w:color w:val="000000"/>
                <w:sz w:val="20"/>
                <w:szCs w:val="20"/>
              </w:rPr>
            </w:pPr>
            <w:r w:rsidRPr="007C51D6">
              <w:rPr>
                <w:color w:val="000000"/>
                <w:sz w:val="20"/>
                <w:szCs w:val="20"/>
              </w:rPr>
              <w:t>16,7</w:t>
            </w:r>
          </w:p>
        </w:tc>
        <w:tc>
          <w:tcPr>
            <w:tcW w:w="992" w:type="dxa"/>
          </w:tcPr>
          <w:p w:rsidR="009B6FE1" w:rsidRPr="007C51D6" w:rsidRDefault="009B6FE1" w:rsidP="009B6FE1">
            <w:pPr>
              <w:autoSpaceDE/>
              <w:autoSpaceDN/>
              <w:adjustRightInd/>
              <w:spacing w:line="230" w:lineRule="auto"/>
              <w:jc w:val="center"/>
              <w:rPr>
                <w:color w:val="000000"/>
                <w:sz w:val="20"/>
                <w:szCs w:val="20"/>
              </w:rPr>
            </w:pPr>
            <w:r w:rsidRPr="007C51D6">
              <w:rPr>
                <w:color w:val="000000"/>
                <w:sz w:val="20"/>
                <w:szCs w:val="20"/>
              </w:rPr>
              <w:t>10,7</w:t>
            </w:r>
          </w:p>
        </w:tc>
        <w:tc>
          <w:tcPr>
            <w:tcW w:w="992" w:type="dxa"/>
          </w:tcPr>
          <w:p w:rsidR="009B6FE1" w:rsidRPr="007C51D6" w:rsidRDefault="009B6FE1" w:rsidP="009B6FE1">
            <w:pPr>
              <w:autoSpaceDE/>
              <w:autoSpaceDN/>
              <w:adjustRightInd/>
              <w:spacing w:line="230" w:lineRule="auto"/>
              <w:jc w:val="center"/>
              <w:rPr>
                <w:color w:val="000000"/>
                <w:sz w:val="20"/>
                <w:szCs w:val="20"/>
              </w:rPr>
            </w:pPr>
            <w:r w:rsidRPr="007C51D6">
              <w:rPr>
                <w:color w:val="000000"/>
                <w:sz w:val="20"/>
                <w:szCs w:val="20"/>
              </w:rPr>
              <w:t>18,2</w:t>
            </w:r>
          </w:p>
        </w:tc>
        <w:tc>
          <w:tcPr>
            <w:tcW w:w="992" w:type="dxa"/>
          </w:tcPr>
          <w:p w:rsidR="009B6FE1" w:rsidRPr="007C51D6" w:rsidRDefault="009B6FE1" w:rsidP="009B6FE1">
            <w:pPr>
              <w:autoSpaceDE/>
              <w:autoSpaceDN/>
              <w:adjustRightInd/>
              <w:spacing w:line="230" w:lineRule="auto"/>
              <w:jc w:val="center"/>
              <w:rPr>
                <w:color w:val="000000"/>
                <w:sz w:val="20"/>
                <w:szCs w:val="20"/>
              </w:rPr>
            </w:pPr>
            <w:r w:rsidRPr="007C51D6">
              <w:rPr>
                <w:color w:val="000000"/>
                <w:sz w:val="20"/>
                <w:szCs w:val="20"/>
              </w:rPr>
              <w:t>11,4</w:t>
            </w:r>
          </w:p>
        </w:tc>
        <w:tc>
          <w:tcPr>
            <w:tcW w:w="992" w:type="dxa"/>
          </w:tcPr>
          <w:p w:rsidR="009B6FE1" w:rsidRPr="007C51D6" w:rsidRDefault="009B6FE1" w:rsidP="009B6FE1">
            <w:pPr>
              <w:autoSpaceDE/>
              <w:autoSpaceDN/>
              <w:adjustRightInd/>
              <w:spacing w:line="230" w:lineRule="auto"/>
              <w:jc w:val="center"/>
              <w:rPr>
                <w:color w:val="000000"/>
                <w:sz w:val="20"/>
                <w:szCs w:val="20"/>
              </w:rPr>
            </w:pPr>
            <w:r w:rsidRPr="007C51D6">
              <w:rPr>
                <w:color w:val="000000"/>
                <w:sz w:val="20"/>
                <w:szCs w:val="20"/>
              </w:rPr>
              <w:t>8,3</w:t>
            </w:r>
          </w:p>
        </w:tc>
        <w:tc>
          <w:tcPr>
            <w:tcW w:w="992" w:type="dxa"/>
            <w:hideMark/>
          </w:tcPr>
          <w:p w:rsidR="009B6FE1" w:rsidRPr="007C51D6" w:rsidRDefault="009B6FE1" w:rsidP="009B6FE1">
            <w:pPr>
              <w:autoSpaceDE/>
              <w:autoSpaceDN/>
              <w:adjustRightInd/>
              <w:spacing w:line="230" w:lineRule="auto"/>
              <w:jc w:val="center"/>
              <w:rPr>
                <w:color w:val="000000"/>
                <w:sz w:val="20"/>
                <w:szCs w:val="20"/>
              </w:rPr>
            </w:pPr>
            <w:r w:rsidRPr="007C51D6">
              <w:rPr>
                <w:color w:val="000000"/>
                <w:sz w:val="20"/>
                <w:szCs w:val="20"/>
              </w:rPr>
              <w:t>12,4</w:t>
            </w:r>
          </w:p>
        </w:tc>
        <w:tc>
          <w:tcPr>
            <w:tcW w:w="992" w:type="dxa"/>
          </w:tcPr>
          <w:p w:rsidR="009B6FE1" w:rsidRPr="007C51D6" w:rsidRDefault="009B6FE1" w:rsidP="009B6FE1">
            <w:pPr>
              <w:spacing w:line="230" w:lineRule="auto"/>
              <w:jc w:val="center"/>
              <w:rPr>
                <w:color w:val="000000"/>
                <w:sz w:val="20"/>
                <w:szCs w:val="20"/>
              </w:rPr>
            </w:pPr>
            <w:r w:rsidRPr="007C51D6">
              <w:rPr>
                <w:color w:val="000000"/>
                <w:sz w:val="20"/>
                <w:szCs w:val="20"/>
              </w:rPr>
              <w:t>14,6</w:t>
            </w:r>
          </w:p>
        </w:tc>
        <w:tc>
          <w:tcPr>
            <w:tcW w:w="993" w:type="dxa"/>
          </w:tcPr>
          <w:p w:rsidR="009B6FE1" w:rsidRPr="007C51D6" w:rsidRDefault="009B6FE1" w:rsidP="009B6FE1">
            <w:pPr>
              <w:jc w:val="center"/>
              <w:rPr>
                <w:color w:val="000000"/>
                <w:sz w:val="20"/>
                <w:szCs w:val="20"/>
              </w:rPr>
            </w:pPr>
            <w:r w:rsidRPr="007C51D6">
              <w:rPr>
                <w:color w:val="000000"/>
                <w:sz w:val="20"/>
                <w:szCs w:val="20"/>
              </w:rPr>
              <w:t>11,6</w:t>
            </w:r>
          </w:p>
        </w:tc>
        <w:tc>
          <w:tcPr>
            <w:tcW w:w="994" w:type="dxa"/>
          </w:tcPr>
          <w:p w:rsidR="009B6FE1" w:rsidRPr="007C51D6" w:rsidRDefault="009B6FE1" w:rsidP="009B6FE1">
            <w:pPr>
              <w:jc w:val="center"/>
              <w:rPr>
                <w:color w:val="000000"/>
                <w:sz w:val="20"/>
                <w:szCs w:val="20"/>
              </w:rPr>
            </w:pPr>
            <w:r w:rsidRPr="007C51D6">
              <w:rPr>
                <w:color w:val="000000"/>
                <w:sz w:val="20"/>
                <w:szCs w:val="20"/>
              </w:rPr>
              <w:t>11,1</w:t>
            </w:r>
          </w:p>
        </w:tc>
        <w:tc>
          <w:tcPr>
            <w:tcW w:w="2410" w:type="dxa"/>
          </w:tcPr>
          <w:p w:rsidR="009B6FE1" w:rsidRPr="007C51D6" w:rsidRDefault="009B6FE1" w:rsidP="009B6FE1">
            <w:pPr>
              <w:autoSpaceDE/>
              <w:autoSpaceDN/>
              <w:adjustRightInd/>
              <w:spacing w:line="230" w:lineRule="auto"/>
              <w:jc w:val="center"/>
              <w:rPr>
                <w:color w:val="000000"/>
                <w:sz w:val="20"/>
                <w:szCs w:val="20"/>
              </w:rPr>
            </w:pPr>
            <w:r w:rsidRPr="007C51D6">
              <w:rPr>
                <w:color w:val="000000"/>
                <w:sz w:val="20"/>
                <w:szCs w:val="20"/>
              </w:rPr>
              <w:t>-27,9</w:t>
            </w:r>
          </w:p>
        </w:tc>
      </w:tr>
      <w:tr w:rsidR="009B6FE1" w:rsidRPr="007C51D6" w:rsidTr="00946652">
        <w:trPr>
          <w:trHeight w:val="20"/>
        </w:trPr>
        <w:tc>
          <w:tcPr>
            <w:tcW w:w="2830" w:type="dxa"/>
            <w:noWrap/>
            <w:hideMark/>
          </w:tcPr>
          <w:p w:rsidR="009B6FE1" w:rsidRPr="007C51D6" w:rsidRDefault="009B6FE1" w:rsidP="009B6FE1">
            <w:pPr>
              <w:autoSpaceDE/>
              <w:autoSpaceDN/>
              <w:adjustRightInd/>
              <w:spacing w:line="230" w:lineRule="auto"/>
              <w:jc w:val="center"/>
              <w:rPr>
                <w:color w:val="000000"/>
                <w:sz w:val="20"/>
                <w:szCs w:val="20"/>
              </w:rPr>
            </w:pPr>
            <w:r w:rsidRPr="007C51D6">
              <w:rPr>
                <w:rFonts w:eastAsia="Arial"/>
                <w:sz w:val="20"/>
                <w:szCs w:val="20"/>
              </w:rPr>
              <w:t>ЗНО</w:t>
            </w:r>
            <w:r w:rsidRPr="007C51D6">
              <w:rPr>
                <w:color w:val="000000"/>
                <w:sz w:val="20"/>
                <w:szCs w:val="20"/>
              </w:rPr>
              <w:t xml:space="preserve"> мочевого пузыря (C67)</w:t>
            </w:r>
          </w:p>
        </w:tc>
        <w:tc>
          <w:tcPr>
            <w:tcW w:w="992" w:type="dxa"/>
          </w:tcPr>
          <w:p w:rsidR="009B6FE1" w:rsidRPr="007C51D6" w:rsidRDefault="009B6FE1" w:rsidP="009B6FE1">
            <w:pPr>
              <w:autoSpaceDE/>
              <w:autoSpaceDN/>
              <w:adjustRightInd/>
              <w:spacing w:line="230" w:lineRule="auto"/>
              <w:jc w:val="center"/>
              <w:rPr>
                <w:color w:val="000000"/>
                <w:sz w:val="20"/>
                <w:szCs w:val="20"/>
              </w:rPr>
            </w:pPr>
            <w:r w:rsidRPr="007C51D6">
              <w:rPr>
                <w:color w:val="000000"/>
                <w:sz w:val="20"/>
                <w:szCs w:val="20"/>
              </w:rPr>
              <w:t>11,4</w:t>
            </w:r>
          </w:p>
        </w:tc>
        <w:tc>
          <w:tcPr>
            <w:tcW w:w="992" w:type="dxa"/>
          </w:tcPr>
          <w:p w:rsidR="009B6FE1" w:rsidRPr="007C51D6" w:rsidRDefault="009B6FE1" w:rsidP="009B6FE1">
            <w:pPr>
              <w:autoSpaceDE/>
              <w:autoSpaceDN/>
              <w:adjustRightInd/>
              <w:spacing w:line="230" w:lineRule="auto"/>
              <w:jc w:val="center"/>
              <w:rPr>
                <w:color w:val="000000"/>
                <w:sz w:val="20"/>
                <w:szCs w:val="20"/>
              </w:rPr>
            </w:pPr>
            <w:r w:rsidRPr="007C51D6">
              <w:rPr>
                <w:color w:val="000000"/>
                <w:sz w:val="20"/>
                <w:szCs w:val="20"/>
              </w:rPr>
              <w:t>12,6</w:t>
            </w:r>
          </w:p>
        </w:tc>
        <w:tc>
          <w:tcPr>
            <w:tcW w:w="992" w:type="dxa"/>
          </w:tcPr>
          <w:p w:rsidR="009B6FE1" w:rsidRPr="007C51D6" w:rsidRDefault="009B6FE1" w:rsidP="009B6FE1">
            <w:pPr>
              <w:autoSpaceDE/>
              <w:autoSpaceDN/>
              <w:adjustRightInd/>
              <w:spacing w:line="230" w:lineRule="auto"/>
              <w:jc w:val="center"/>
              <w:rPr>
                <w:color w:val="000000"/>
                <w:sz w:val="20"/>
                <w:szCs w:val="20"/>
              </w:rPr>
            </w:pPr>
            <w:r w:rsidRPr="007C51D6">
              <w:rPr>
                <w:color w:val="000000"/>
                <w:sz w:val="20"/>
                <w:szCs w:val="20"/>
              </w:rPr>
              <w:t>12,0</w:t>
            </w:r>
          </w:p>
        </w:tc>
        <w:tc>
          <w:tcPr>
            <w:tcW w:w="992" w:type="dxa"/>
          </w:tcPr>
          <w:p w:rsidR="009B6FE1" w:rsidRPr="007C51D6" w:rsidRDefault="009B6FE1" w:rsidP="009B6FE1">
            <w:pPr>
              <w:autoSpaceDE/>
              <w:autoSpaceDN/>
              <w:adjustRightInd/>
              <w:spacing w:line="230" w:lineRule="auto"/>
              <w:jc w:val="center"/>
              <w:rPr>
                <w:color w:val="000000"/>
                <w:sz w:val="20"/>
                <w:szCs w:val="20"/>
              </w:rPr>
            </w:pPr>
            <w:r w:rsidRPr="007C51D6">
              <w:rPr>
                <w:color w:val="000000"/>
                <w:sz w:val="20"/>
                <w:szCs w:val="20"/>
              </w:rPr>
              <w:t>10,8</w:t>
            </w:r>
          </w:p>
        </w:tc>
        <w:tc>
          <w:tcPr>
            <w:tcW w:w="992" w:type="dxa"/>
          </w:tcPr>
          <w:p w:rsidR="009B6FE1" w:rsidRPr="007C51D6" w:rsidRDefault="009B6FE1" w:rsidP="009B6FE1">
            <w:pPr>
              <w:autoSpaceDE/>
              <w:autoSpaceDN/>
              <w:adjustRightInd/>
              <w:spacing w:line="230" w:lineRule="auto"/>
              <w:jc w:val="center"/>
              <w:rPr>
                <w:color w:val="000000"/>
                <w:sz w:val="20"/>
                <w:szCs w:val="20"/>
              </w:rPr>
            </w:pPr>
            <w:r w:rsidRPr="007C51D6">
              <w:rPr>
                <w:color w:val="000000"/>
                <w:sz w:val="20"/>
                <w:szCs w:val="20"/>
              </w:rPr>
              <w:t>9,9</w:t>
            </w:r>
          </w:p>
        </w:tc>
        <w:tc>
          <w:tcPr>
            <w:tcW w:w="992" w:type="dxa"/>
          </w:tcPr>
          <w:p w:rsidR="009B6FE1" w:rsidRPr="007C51D6" w:rsidRDefault="009B6FE1" w:rsidP="009B6FE1">
            <w:pPr>
              <w:autoSpaceDE/>
              <w:autoSpaceDN/>
              <w:adjustRightInd/>
              <w:spacing w:line="230" w:lineRule="auto"/>
              <w:jc w:val="center"/>
              <w:rPr>
                <w:color w:val="000000"/>
                <w:sz w:val="20"/>
                <w:szCs w:val="20"/>
              </w:rPr>
            </w:pPr>
            <w:r w:rsidRPr="007C51D6">
              <w:rPr>
                <w:color w:val="000000"/>
                <w:sz w:val="20"/>
                <w:szCs w:val="20"/>
              </w:rPr>
              <w:t>7,9</w:t>
            </w:r>
          </w:p>
        </w:tc>
        <w:tc>
          <w:tcPr>
            <w:tcW w:w="992" w:type="dxa"/>
            <w:hideMark/>
          </w:tcPr>
          <w:p w:rsidR="009B6FE1" w:rsidRPr="007C51D6" w:rsidRDefault="009B6FE1" w:rsidP="009B6FE1">
            <w:pPr>
              <w:autoSpaceDE/>
              <w:autoSpaceDN/>
              <w:adjustRightInd/>
              <w:spacing w:line="230" w:lineRule="auto"/>
              <w:jc w:val="center"/>
              <w:rPr>
                <w:color w:val="000000"/>
                <w:sz w:val="20"/>
                <w:szCs w:val="20"/>
              </w:rPr>
            </w:pPr>
            <w:r w:rsidRPr="007C51D6">
              <w:rPr>
                <w:color w:val="000000"/>
                <w:sz w:val="20"/>
                <w:szCs w:val="20"/>
              </w:rPr>
              <w:t>11,8</w:t>
            </w:r>
          </w:p>
        </w:tc>
        <w:tc>
          <w:tcPr>
            <w:tcW w:w="992" w:type="dxa"/>
          </w:tcPr>
          <w:p w:rsidR="009B6FE1" w:rsidRPr="007C51D6" w:rsidRDefault="009B6FE1" w:rsidP="009B6FE1">
            <w:pPr>
              <w:spacing w:line="230" w:lineRule="auto"/>
              <w:jc w:val="center"/>
              <w:rPr>
                <w:color w:val="000000"/>
                <w:sz w:val="20"/>
                <w:szCs w:val="20"/>
              </w:rPr>
            </w:pPr>
            <w:r w:rsidRPr="007C51D6">
              <w:rPr>
                <w:color w:val="000000"/>
                <w:sz w:val="20"/>
                <w:szCs w:val="20"/>
              </w:rPr>
              <w:t>9,5</w:t>
            </w:r>
          </w:p>
        </w:tc>
        <w:tc>
          <w:tcPr>
            <w:tcW w:w="993" w:type="dxa"/>
          </w:tcPr>
          <w:p w:rsidR="009B6FE1" w:rsidRPr="007C51D6" w:rsidRDefault="009B6FE1" w:rsidP="009B6FE1">
            <w:pPr>
              <w:jc w:val="center"/>
              <w:rPr>
                <w:color w:val="000000"/>
                <w:sz w:val="20"/>
                <w:szCs w:val="20"/>
              </w:rPr>
            </w:pPr>
            <w:r w:rsidRPr="007C51D6">
              <w:rPr>
                <w:color w:val="000000"/>
                <w:sz w:val="20"/>
                <w:szCs w:val="20"/>
              </w:rPr>
              <w:t>7,1</w:t>
            </w:r>
          </w:p>
        </w:tc>
        <w:tc>
          <w:tcPr>
            <w:tcW w:w="994" w:type="dxa"/>
          </w:tcPr>
          <w:p w:rsidR="009B6FE1" w:rsidRPr="007C51D6" w:rsidRDefault="009B6FE1" w:rsidP="009B6FE1">
            <w:pPr>
              <w:jc w:val="center"/>
              <w:rPr>
                <w:color w:val="000000"/>
                <w:sz w:val="20"/>
                <w:szCs w:val="20"/>
              </w:rPr>
            </w:pPr>
            <w:r w:rsidRPr="007C51D6">
              <w:rPr>
                <w:color w:val="000000"/>
                <w:sz w:val="20"/>
                <w:szCs w:val="20"/>
              </w:rPr>
              <w:t>7,9</w:t>
            </w:r>
          </w:p>
        </w:tc>
        <w:tc>
          <w:tcPr>
            <w:tcW w:w="2410" w:type="dxa"/>
          </w:tcPr>
          <w:p w:rsidR="009B6FE1" w:rsidRPr="007C51D6" w:rsidRDefault="009B6FE1" w:rsidP="009B6FE1">
            <w:pPr>
              <w:autoSpaceDE/>
              <w:autoSpaceDN/>
              <w:adjustRightInd/>
              <w:spacing w:line="230" w:lineRule="auto"/>
              <w:jc w:val="center"/>
              <w:rPr>
                <w:color w:val="000000"/>
                <w:sz w:val="20"/>
                <w:szCs w:val="20"/>
              </w:rPr>
            </w:pPr>
            <w:r w:rsidRPr="007C51D6">
              <w:rPr>
                <w:color w:val="000000"/>
                <w:sz w:val="20"/>
                <w:szCs w:val="20"/>
              </w:rPr>
              <w:t>-30,7</w:t>
            </w:r>
          </w:p>
        </w:tc>
      </w:tr>
      <w:tr w:rsidR="009B6FE1" w:rsidRPr="007C51D6" w:rsidTr="00946652">
        <w:trPr>
          <w:trHeight w:val="20"/>
        </w:trPr>
        <w:tc>
          <w:tcPr>
            <w:tcW w:w="2830" w:type="dxa"/>
            <w:noWrap/>
            <w:hideMark/>
          </w:tcPr>
          <w:p w:rsidR="009B6FE1" w:rsidRPr="007C51D6" w:rsidRDefault="009B6FE1" w:rsidP="009B6FE1">
            <w:pPr>
              <w:autoSpaceDE/>
              <w:autoSpaceDN/>
              <w:adjustRightInd/>
              <w:spacing w:line="230" w:lineRule="auto"/>
              <w:jc w:val="center"/>
              <w:rPr>
                <w:color w:val="000000"/>
                <w:sz w:val="20"/>
                <w:szCs w:val="20"/>
              </w:rPr>
            </w:pPr>
            <w:r w:rsidRPr="007C51D6">
              <w:rPr>
                <w:rFonts w:eastAsia="Arial"/>
                <w:sz w:val="20"/>
                <w:szCs w:val="20"/>
              </w:rPr>
              <w:t>ЗНО</w:t>
            </w:r>
            <w:r w:rsidRPr="007C51D6">
              <w:rPr>
                <w:color w:val="000000"/>
                <w:sz w:val="20"/>
                <w:szCs w:val="20"/>
              </w:rPr>
              <w:t xml:space="preserve"> щитовидной железы (C73)</w:t>
            </w:r>
          </w:p>
        </w:tc>
        <w:tc>
          <w:tcPr>
            <w:tcW w:w="992" w:type="dxa"/>
          </w:tcPr>
          <w:p w:rsidR="009B6FE1" w:rsidRPr="007C51D6" w:rsidRDefault="009B6FE1" w:rsidP="009B6FE1">
            <w:pPr>
              <w:autoSpaceDE/>
              <w:autoSpaceDN/>
              <w:adjustRightInd/>
              <w:spacing w:line="230" w:lineRule="auto"/>
              <w:jc w:val="center"/>
              <w:rPr>
                <w:color w:val="000000"/>
                <w:sz w:val="20"/>
                <w:szCs w:val="20"/>
              </w:rPr>
            </w:pPr>
            <w:r w:rsidRPr="007C51D6">
              <w:rPr>
                <w:color w:val="000000"/>
                <w:sz w:val="20"/>
                <w:szCs w:val="20"/>
              </w:rPr>
              <w:t>22,9</w:t>
            </w:r>
          </w:p>
        </w:tc>
        <w:tc>
          <w:tcPr>
            <w:tcW w:w="992" w:type="dxa"/>
          </w:tcPr>
          <w:p w:rsidR="009B6FE1" w:rsidRPr="007C51D6" w:rsidRDefault="009B6FE1" w:rsidP="009B6FE1">
            <w:pPr>
              <w:autoSpaceDE/>
              <w:autoSpaceDN/>
              <w:adjustRightInd/>
              <w:spacing w:line="230" w:lineRule="auto"/>
              <w:jc w:val="center"/>
              <w:rPr>
                <w:color w:val="000000"/>
                <w:sz w:val="20"/>
                <w:szCs w:val="20"/>
              </w:rPr>
            </w:pPr>
            <w:r w:rsidRPr="007C51D6">
              <w:rPr>
                <w:color w:val="000000"/>
                <w:sz w:val="20"/>
                <w:szCs w:val="20"/>
              </w:rPr>
              <w:t>20,1</w:t>
            </w:r>
          </w:p>
        </w:tc>
        <w:tc>
          <w:tcPr>
            <w:tcW w:w="992" w:type="dxa"/>
          </w:tcPr>
          <w:p w:rsidR="009B6FE1" w:rsidRPr="007C51D6" w:rsidRDefault="009B6FE1" w:rsidP="009B6FE1">
            <w:pPr>
              <w:autoSpaceDE/>
              <w:autoSpaceDN/>
              <w:adjustRightInd/>
              <w:spacing w:line="230" w:lineRule="auto"/>
              <w:jc w:val="center"/>
              <w:rPr>
                <w:color w:val="000000"/>
                <w:sz w:val="20"/>
                <w:szCs w:val="20"/>
              </w:rPr>
            </w:pPr>
            <w:r w:rsidRPr="007C51D6">
              <w:rPr>
                <w:color w:val="000000"/>
                <w:sz w:val="20"/>
                <w:szCs w:val="20"/>
              </w:rPr>
              <w:t>20,5</w:t>
            </w:r>
          </w:p>
        </w:tc>
        <w:tc>
          <w:tcPr>
            <w:tcW w:w="992" w:type="dxa"/>
          </w:tcPr>
          <w:p w:rsidR="009B6FE1" w:rsidRPr="007C51D6" w:rsidRDefault="009B6FE1" w:rsidP="009B6FE1">
            <w:pPr>
              <w:autoSpaceDE/>
              <w:autoSpaceDN/>
              <w:adjustRightInd/>
              <w:spacing w:line="230" w:lineRule="auto"/>
              <w:jc w:val="center"/>
              <w:rPr>
                <w:color w:val="000000"/>
                <w:sz w:val="20"/>
                <w:szCs w:val="20"/>
              </w:rPr>
            </w:pPr>
            <w:r w:rsidRPr="007C51D6">
              <w:rPr>
                <w:color w:val="000000"/>
                <w:sz w:val="20"/>
                <w:szCs w:val="20"/>
              </w:rPr>
              <w:t>15,4</w:t>
            </w:r>
          </w:p>
        </w:tc>
        <w:tc>
          <w:tcPr>
            <w:tcW w:w="992" w:type="dxa"/>
          </w:tcPr>
          <w:p w:rsidR="009B6FE1" w:rsidRPr="007C51D6" w:rsidRDefault="009B6FE1" w:rsidP="009B6FE1">
            <w:pPr>
              <w:autoSpaceDE/>
              <w:autoSpaceDN/>
              <w:adjustRightInd/>
              <w:spacing w:line="230" w:lineRule="auto"/>
              <w:jc w:val="center"/>
              <w:rPr>
                <w:color w:val="000000"/>
                <w:sz w:val="20"/>
                <w:szCs w:val="20"/>
              </w:rPr>
            </w:pPr>
            <w:r w:rsidRPr="007C51D6">
              <w:rPr>
                <w:color w:val="000000"/>
                <w:sz w:val="20"/>
                <w:szCs w:val="20"/>
              </w:rPr>
              <w:t>12,9</w:t>
            </w:r>
          </w:p>
        </w:tc>
        <w:tc>
          <w:tcPr>
            <w:tcW w:w="992" w:type="dxa"/>
          </w:tcPr>
          <w:p w:rsidR="009B6FE1" w:rsidRPr="007C51D6" w:rsidRDefault="009B6FE1" w:rsidP="009B6FE1">
            <w:pPr>
              <w:autoSpaceDE/>
              <w:autoSpaceDN/>
              <w:adjustRightInd/>
              <w:spacing w:line="230" w:lineRule="auto"/>
              <w:jc w:val="center"/>
              <w:rPr>
                <w:color w:val="000000"/>
                <w:sz w:val="20"/>
                <w:szCs w:val="20"/>
              </w:rPr>
            </w:pPr>
            <w:r w:rsidRPr="007C51D6">
              <w:rPr>
                <w:color w:val="000000"/>
                <w:sz w:val="20"/>
                <w:szCs w:val="20"/>
              </w:rPr>
              <w:t>9,8</w:t>
            </w:r>
          </w:p>
        </w:tc>
        <w:tc>
          <w:tcPr>
            <w:tcW w:w="992" w:type="dxa"/>
            <w:hideMark/>
          </w:tcPr>
          <w:p w:rsidR="009B6FE1" w:rsidRPr="007C51D6" w:rsidRDefault="009B6FE1" w:rsidP="009B6FE1">
            <w:pPr>
              <w:autoSpaceDE/>
              <w:autoSpaceDN/>
              <w:adjustRightInd/>
              <w:spacing w:line="230" w:lineRule="auto"/>
              <w:jc w:val="center"/>
              <w:rPr>
                <w:color w:val="000000"/>
                <w:sz w:val="20"/>
                <w:szCs w:val="20"/>
              </w:rPr>
            </w:pPr>
            <w:r w:rsidRPr="007C51D6">
              <w:rPr>
                <w:color w:val="000000"/>
                <w:sz w:val="20"/>
                <w:szCs w:val="20"/>
              </w:rPr>
              <w:t>10,9</w:t>
            </w:r>
          </w:p>
        </w:tc>
        <w:tc>
          <w:tcPr>
            <w:tcW w:w="992" w:type="dxa"/>
          </w:tcPr>
          <w:p w:rsidR="009B6FE1" w:rsidRPr="007C51D6" w:rsidRDefault="009B6FE1" w:rsidP="009B6FE1">
            <w:pPr>
              <w:spacing w:line="230" w:lineRule="auto"/>
              <w:jc w:val="center"/>
              <w:rPr>
                <w:color w:val="000000"/>
                <w:sz w:val="20"/>
                <w:szCs w:val="20"/>
              </w:rPr>
            </w:pPr>
            <w:r w:rsidRPr="007C51D6">
              <w:rPr>
                <w:color w:val="000000"/>
                <w:sz w:val="20"/>
                <w:szCs w:val="20"/>
              </w:rPr>
              <w:t>6,7</w:t>
            </w:r>
          </w:p>
        </w:tc>
        <w:tc>
          <w:tcPr>
            <w:tcW w:w="993" w:type="dxa"/>
          </w:tcPr>
          <w:p w:rsidR="009B6FE1" w:rsidRPr="007C51D6" w:rsidRDefault="009B6FE1" w:rsidP="009B6FE1">
            <w:pPr>
              <w:jc w:val="center"/>
              <w:rPr>
                <w:color w:val="000000"/>
                <w:sz w:val="20"/>
                <w:szCs w:val="20"/>
              </w:rPr>
            </w:pPr>
            <w:r w:rsidRPr="007C51D6">
              <w:rPr>
                <w:color w:val="000000"/>
                <w:sz w:val="20"/>
                <w:szCs w:val="20"/>
              </w:rPr>
              <w:t>7,2</w:t>
            </w:r>
          </w:p>
        </w:tc>
        <w:tc>
          <w:tcPr>
            <w:tcW w:w="994" w:type="dxa"/>
          </w:tcPr>
          <w:p w:rsidR="009B6FE1" w:rsidRPr="007C51D6" w:rsidRDefault="009B6FE1" w:rsidP="009B6FE1">
            <w:pPr>
              <w:jc w:val="center"/>
              <w:rPr>
                <w:color w:val="000000"/>
                <w:sz w:val="20"/>
                <w:szCs w:val="20"/>
              </w:rPr>
            </w:pPr>
            <w:r w:rsidRPr="007C51D6">
              <w:rPr>
                <w:color w:val="000000"/>
                <w:sz w:val="20"/>
                <w:szCs w:val="20"/>
              </w:rPr>
              <w:t>6,7</w:t>
            </w:r>
          </w:p>
        </w:tc>
        <w:tc>
          <w:tcPr>
            <w:tcW w:w="2410" w:type="dxa"/>
          </w:tcPr>
          <w:p w:rsidR="009B6FE1" w:rsidRPr="007C51D6" w:rsidRDefault="009B6FE1" w:rsidP="009B6FE1">
            <w:pPr>
              <w:autoSpaceDE/>
              <w:autoSpaceDN/>
              <w:adjustRightInd/>
              <w:spacing w:line="230" w:lineRule="auto"/>
              <w:jc w:val="center"/>
              <w:rPr>
                <w:color w:val="000000"/>
                <w:sz w:val="20"/>
                <w:szCs w:val="20"/>
              </w:rPr>
            </w:pPr>
            <w:r w:rsidRPr="007C51D6">
              <w:rPr>
                <w:color w:val="000000"/>
                <w:sz w:val="20"/>
                <w:szCs w:val="20"/>
              </w:rPr>
              <w:t>-70,7</w:t>
            </w:r>
          </w:p>
        </w:tc>
      </w:tr>
      <w:tr w:rsidR="009B6FE1" w:rsidRPr="007C51D6" w:rsidTr="00946652">
        <w:trPr>
          <w:trHeight w:val="20"/>
        </w:trPr>
        <w:tc>
          <w:tcPr>
            <w:tcW w:w="2830" w:type="dxa"/>
            <w:noWrap/>
            <w:hideMark/>
          </w:tcPr>
          <w:p w:rsidR="009B6FE1" w:rsidRPr="007C51D6" w:rsidRDefault="009B6FE1" w:rsidP="009B6FE1">
            <w:pPr>
              <w:autoSpaceDE/>
              <w:autoSpaceDN/>
              <w:adjustRightInd/>
              <w:spacing w:line="230" w:lineRule="auto"/>
              <w:jc w:val="center"/>
              <w:rPr>
                <w:color w:val="000000"/>
                <w:sz w:val="20"/>
                <w:szCs w:val="20"/>
              </w:rPr>
            </w:pPr>
            <w:r w:rsidRPr="007C51D6">
              <w:rPr>
                <w:rFonts w:eastAsia="Arial"/>
                <w:sz w:val="20"/>
                <w:szCs w:val="20"/>
              </w:rPr>
              <w:t>ЗНО</w:t>
            </w:r>
            <w:r w:rsidRPr="007C51D6">
              <w:rPr>
                <w:color w:val="000000"/>
                <w:sz w:val="20"/>
                <w:szCs w:val="20"/>
              </w:rPr>
              <w:t xml:space="preserve"> тела матки (C54)</w:t>
            </w:r>
          </w:p>
        </w:tc>
        <w:tc>
          <w:tcPr>
            <w:tcW w:w="992" w:type="dxa"/>
          </w:tcPr>
          <w:p w:rsidR="009B6FE1" w:rsidRPr="007C51D6" w:rsidRDefault="009B6FE1" w:rsidP="009B6FE1">
            <w:pPr>
              <w:autoSpaceDE/>
              <w:autoSpaceDN/>
              <w:adjustRightInd/>
              <w:spacing w:line="230" w:lineRule="auto"/>
              <w:jc w:val="center"/>
              <w:rPr>
                <w:color w:val="000000"/>
                <w:sz w:val="20"/>
                <w:szCs w:val="20"/>
              </w:rPr>
            </w:pPr>
            <w:r w:rsidRPr="007C51D6">
              <w:rPr>
                <w:color w:val="000000"/>
                <w:sz w:val="20"/>
                <w:szCs w:val="20"/>
              </w:rPr>
              <w:t>4,9</w:t>
            </w:r>
          </w:p>
        </w:tc>
        <w:tc>
          <w:tcPr>
            <w:tcW w:w="992" w:type="dxa"/>
          </w:tcPr>
          <w:p w:rsidR="009B6FE1" w:rsidRPr="007C51D6" w:rsidRDefault="009B6FE1" w:rsidP="009B6FE1">
            <w:pPr>
              <w:autoSpaceDE/>
              <w:autoSpaceDN/>
              <w:adjustRightInd/>
              <w:spacing w:line="230" w:lineRule="auto"/>
              <w:jc w:val="center"/>
              <w:rPr>
                <w:color w:val="000000"/>
                <w:sz w:val="20"/>
                <w:szCs w:val="20"/>
              </w:rPr>
            </w:pPr>
            <w:r w:rsidRPr="007C51D6">
              <w:rPr>
                <w:color w:val="000000"/>
                <w:sz w:val="20"/>
                <w:szCs w:val="20"/>
              </w:rPr>
              <w:t>5,6</w:t>
            </w:r>
          </w:p>
        </w:tc>
        <w:tc>
          <w:tcPr>
            <w:tcW w:w="992" w:type="dxa"/>
          </w:tcPr>
          <w:p w:rsidR="009B6FE1" w:rsidRPr="007C51D6" w:rsidRDefault="009B6FE1" w:rsidP="009B6FE1">
            <w:pPr>
              <w:autoSpaceDE/>
              <w:autoSpaceDN/>
              <w:adjustRightInd/>
              <w:spacing w:line="230" w:lineRule="auto"/>
              <w:jc w:val="center"/>
              <w:rPr>
                <w:color w:val="000000"/>
                <w:sz w:val="20"/>
                <w:szCs w:val="20"/>
              </w:rPr>
            </w:pPr>
            <w:r w:rsidRPr="007C51D6">
              <w:rPr>
                <w:color w:val="000000"/>
                <w:sz w:val="20"/>
                <w:szCs w:val="20"/>
              </w:rPr>
              <w:t>6,2</w:t>
            </w:r>
          </w:p>
        </w:tc>
        <w:tc>
          <w:tcPr>
            <w:tcW w:w="992" w:type="dxa"/>
          </w:tcPr>
          <w:p w:rsidR="009B6FE1" w:rsidRPr="007C51D6" w:rsidRDefault="009B6FE1" w:rsidP="009B6FE1">
            <w:pPr>
              <w:autoSpaceDE/>
              <w:autoSpaceDN/>
              <w:adjustRightInd/>
              <w:spacing w:line="230" w:lineRule="auto"/>
              <w:jc w:val="center"/>
              <w:rPr>
                <w:color w:val="000000"/>
                <w:sz w:val="20"/>
                <w:szCs w:val="20"/>
              </w:rPr>
            </w:pPr>
            <w:r w:rsidRPr="007C51D6">
              <w:rPr>
                <w:color w:val="000000"/>
                <w:sz w:val="20"/>
                <w:szCs w:val="20"/>
              </w:rPr>
              <w:t>6,8</w:t>
            </w:r>
          </w:p>
        </w:tc>
        <w:tc>
          <w:tcPr>
            <w:tcW w:w="992" w:type="dxa"/>
          </w:tcPr>
          <w:p w:rsidR="009B6FE1" w:rsidRPr="007C51D6" w:rsidRDefault="009B6FE1" w:rsidP="009B6FE1">
            <w:pPr>
              <w:autoSpaceDE/>
              <w:autoSpaceDN/>
              <w:adjustRightInd/>
              <w:spacing w:line="230" w:lineRule="auto"/>
              <w:jc w:val="center"/>
              <w:rPr>
                <w:color w:val="000000"/>
                <w:sz w:val="20"/>
                <w:szCs w:val="20"/>
              </w:rPr>
            </w:pPr>
            <w:r w:rsidRPr="007C51D6">
              <w:rPr>
                <w:color w:val="000000"/>
                <w:sz w:val="20"/>
                <w:szCs w:val="20"/>
              </w:rPr>
              <w:t>7,8</w:t>
            </w:r>
          </w:p>
        </w:tc>
        <w:tc>
          <w:tcPr>
            <w:tcW w:w="992" w:type="dxa"/>
          </w:tcPr>
          <w:p w:rsidR="009B6FE1" w:rsidRPr="007C51D6" w:rsidRDefault="009B6FE1" w:rsidP="009B6FE1">
            <w:pPr>
              <w:autoSpaceDE/>
              <w:autoSpaceDN/>
              <w:adjustRightInd/>
              <w:spacing w:line="230" w:lineRule="auto"/>
              <w:jc w:val="center"/>
              <w:rPr>
                <w:color w:val="000000"/>
                <w:sz w:val="20"/>
                <w:szCs w:val="20"/>
              </w:rPr>
            </w:pPr>
            <w:r w:rsidRPr="007C51D6">
              <w:rPr>
                <w:color w:val="000000"/>
                <w:sz w:val="20"/>
                <w:szCs w:val="20"/>
              </w:rPr>
              <w:t>6,8</w:t>
            </w:r>
          </w:p>
        </w:tc>
        <w:tc>
          <w:tcPr>
            <w:tcW w:w="992" w:type="dxa"/>
            <w:hideMark/>
          </w:tcPr>
          <w:p w:rsidR="009B6FE1" w:rsidRPr="007C51D6" w:rsidRDefault="009B6FE1" w:rsidP="009B6FE1">
            <w:pPr>
              <w:autoSpaceDE/>
              <w:autoSpaceDN/>
              <w:adjustRightInd/>
              <w:spacing w:line="230" w:lineRule="auto"/>
              <w:jc w:val="center"/>
              <w:rPr>
                <w:color w:val="000000"/>
                <w:sz w:val="20"/>
                <w:szCs w:val="20"/>
              </w:rPr>
            </w:pPr>
            <w:r w:rsidRPr="007C51D6">
              <w:rPr>
                <w:color w:val="000000"/>
                <w:sz w:val="20"/>
                <w:szCs w:val="20"/>
              </w:rPr>
              <w:t>6,5</w:t>
            </w:r>
          </w:p>
        </w:tc>
        <w:tc>
          <w:tcPr>
            <w:tcW w:w="992" w:type="dxa"/>
          </w:tcPr>
          <w:p w:rsidR="009B6FE1" w:rsidRPr="007C51D6" w:rsidRDefault="009B6FE1" w:rsidP="009B6FE1">
            <w:pPr>
              <w:spacing w:line="230" w:lineRule="auto"/>
              <w:jc w:val="center"/>
              <w:rPr>
                <w:color w:val="000000"/>
                <w:sz w:val="20"/>
                <w:szCs w:val="20"/>
              </w:rPr>
            </w:pPr>
            <w:r w:rsidRPr="007C51D6">
              <w:rPr>
                <w:color w:val="000000"/>
                <w:sz w:val="20"/>
                <w:szCs w:val="20"/>
              </w:rPr>
              <w:t>4,0</w:t>
            </w:r>
          </w:p>
        </w:tc>
        <w:tc>
          <w:tcPr>
            <w:tcW w:w="993" w:type="dxa"/>
          </w:tcPr>
          <w:p w:rsidR="009B6FE1" w:rsidRPr="007C51D6" w:rsidRDefault="009B6FE1" w:rsidP="009B6FE1">
            <w:pPr>
              <w:jc w:val="center"/>
              <w:rPr>
                <w:color w:val="000000"/>
                <w:sz w:val="20"/>
                <w:szCs w:val="20"/>
              </w:rPr>
            </w:pPr>
            <w:r w:rsidRPr="007C51D6">
              <w:rPr>
                <w:color w:val="000000"/>
                <w:sz w:val="20"/>
                <w:szCs w:val="20"/>
              </w:rPr>
              <w:t>5,4</w:t>
            </w:r>
          </w:p>
        </w:tc>
        <w:tc>
          <w:tcPr>
            <w:tcW w:w="994" w:type="dxa"/>
          </w:tcPr>
          <w:p w:rsidR="009B6FE1" w:rsidRPr="007C51D6" w:rsidRDefault="009B6FE1" w:rsidP="009B6FE1">
            <w:pPr>
              <w:jc w:val="center"/>
              <w:rPr>
                <w:color w:val="000000"/>
                <w:sz w:val="20"/>
                <w:szCs w:val="20"/>
              </w:rPr>
            </w:pPr>
            <w:r w:rsidRPr="007C51D6">
              <w:rPr>
                <w:color w:val="000000"/>
                <w:sz w:val="20"/>
                <w:szCs w:val="20"/>
              </w:rPr>
              <w:t>7,5</w:t>
            </w:r>
          </w:p>
        </w:tc>
        <w:tc>
          <w:tcPr>
            <w:tcW w:w="2410" w:type="dxa"/>
          </w:tcPr>
          <w:p w:rsidR="009B6FE1" w:rsidRPr="007C51D6" w:rsidRDefault="009B6FE1" w:rsidP="009B6FE1">
            <w:pPr>
              <w:autoSpaceDE/>
              <w:autoSpaceDN/>
              <w:adjustRightInd/>
              <w:spacing w:line="230" w:lineRule="auto"/>
              <w:jc w:val="center"/>
              <w:rPr>
                <w:color w:val="000000"/>
                <w:sz w:val="20"/>
                <w:szCs w:val="20"/>
              </w:rPr>
            </w:pPr>
            <w:r w:rsidRPr="007C51D6">
              <w:rPr>
                <w:color w:val="000000"/>
                <w:sz w:val="20"/>
                <w:szCs w:val="20"/>
              </w:rPr>
              <w:t>53,1</w:t>
            </w:r>
          </w:p>
        </w:tc>
      </w:tr>
      <w:tr w:rsidR="009B6FE1" w:rsidRPr="007C51D6" w:rsidTr="00946652">
        <w:trPr>
          <w:trHeight w:val="20"/>
        </w:trPr>
        <w:tc>
          <w:tcPr>
            <w:tcW w:w="2830" w:type="dxa"/>
            <w:noWrap/>
            <w:hideMark/>
          </w:tcPr>
          <w:p w:rsidR="009B6FE1" w:rsidRPr="007C51D6" w:rsidRDefault="009B6FE1" w:rsidP="009B6FE1">
            <w:pPr>
              <w:autoSpaceDE/>
              <w:autoSpaceDN/>
              <w:adjustRightInd/>
              <w:spacing w:line="230" w:lineRule="auto"/>
              <w:jc w:val="center"/>
              <w:rPr>
                <w:color w:val="000000"/>
                <w:sz w:val="20"/>
                <w:szCs w:val="20"/>
              </w:rPr>
            </w:pPr>
            <w:r w:rsidRPr="007C51D6">
              <w:rPr>
                <w:color w:val="000000"/>
                <w:sz w:val="20"/>
                <w:szCs w:val="20"/>
              </w:rPr>
              <w:t>Другие новообразования кожи (C44, С46.0)</w:t>
            </w:r>
          </w:p>
        </w:tc>
        <w:tc>
          <w:tcPr>
            <w:tcW w:w="992" w:type="dxa"/>
          </w:tcPr>
          <w:p w:rsidR="009B6FE1" w:rsidRPr="007C51D6" w:rsidRDefault="009B6FE1" w:rsidP="009B6FE1">
            <w:pPr>
              <w:autoSpaceDE/>
              <w:autoSpaceDN/>
              <w:adjustRightInd/>
              <w:spacing w:line="230" w:lineRule="auto"/>
              <w:jc w:val="center"/>
              <w:rPr>
                <w:color w:val="000000"/>
                <w:sz w:val="20"/>
                <w:szCs w:val="20"/>
              </w:rPr>
            </w:pPr>
            <w:r w:rsidRPr="007C51D6">
              <w:rPr>
                <w:color w:val="000000"/>
                <w:sz w:val="20"/>
                <w:szCs w:val="20"/>
              </w:rPr>
              <w:t>2.3</w:t>
            </w:r>
          </w:p>
        </w:tc>
        <w:tc>
          <w:tcPr>
            <w:tcW w:w="992" w:type="dxa"/>
          </w:tcPr>
          <w:p w:rsidR="009B6FE1" w:rsidRPr="007C51D6" w:rsidRDefault="009B6FE1" w:rsidP="009B6FE1">
            <w:pPr>
              <w:autoSpaceDE/>
              <w:autoSpaceDN/>
              <w:adjustRightInd/>
              <w:spacing w:line="230" w:lineRule="auto"/>
              <w:jc w:val="center"/>
              <w:rPr>
                <w:color w:val="000000"/>
                <w:sz w:val="20"/>
                <w:szCs w:val="20"/>
              </w:rPr>
            </w:pPr>
            <w:r w:rsidRPr="007C51D6">
              <w:rPr>
                <w:color w:val="000000"/>
                <w:sz w:val="20"/>
                <w:szCs w:val="20"/>
              </w:rPr>
              <w:t>2,0</w:t>
            </w:r>
          </w:p>
        </w:tc>
        <w:tc>
          <w:tcPr>
            <w:tcW w:w="992" w:type="dxa"/>
          </w:tcPr>
          <w:p w:rsidR="009B6FE1" w:rsidRPr="007C51D6" w:rsidRDefault="009B6FE1" w:rsidP="009B6FE1">
            <w:pPr>
              <w:autoSpaceDE/>
              <w:autoSpaceDN/>
              <w:adjustRightInd/>
              <w:spacing w:line="230" w:lineRule="auto"/>
              <w:jc w:val="center"/>
              <w:rPr>
                <w:color w:val="000000"/>
                <w:sz w:val="20"/>
                <w:szCs w:val="20"/>
              </w:rPr>
            </w:pPr>
            <w:r w:rsidRPr="007C51D6">
              <w:rPr>
                <w:color w:val="000000"/>
                <w:sz w:val="20"/>
                <w:szCs w:val="20"/>
              </w:rPr>
              <w:t>1,7</w:t>
            </w:r>
          </w:p>
        </w:tc>
        <w:tc>
          <w:tcPr>
            <w:tcW w:w="992" w:type="dxa"/>
          </w:tcPr>
          <w:p w:rsidR="009B6FE1" w:rsidRPr="007C51D6" w:rsidRDefault="009B6FE1" w:rsidP="009B6FE1">
            <w:pPr>
              <w:autoSpaceDE/>
              <w:autoSpaceDN/>
              <w:adjustRightInd/>
              <w:spacing w:line="230" w:lineRule="auto"/>
              <w:jc w:val="center"/>
              <w:rPr>
                <w:color w:val="000000"/>
                <w:sz w:val="20"/>
                <w:szCs w:val="20"/>
              </w:rPr>
            </w:pPr>
            <w:r w:rsidRPr="007C51D6">
              <w:rPr>
                <w:color w:val="000000"/>
                <w:sz w:val="20"/>
                <w:szCs w:val="20"/>
              </w:rPr>
              <w:t>0,9</w:t>
            </w:r>
          </w:p>
        </w:tc>
        <w:tc>
          <w:tcPr>
            <w:tcW w:w="992" w:type="dxa"/>
          </w:tcPr>
          <w:p w:rsidR="009B6FE1" w:rsidRPr="007C51D6" w:rsidRDefault="009B6FE1" w:rsidP="009B6FE1">
            <w:pPr>
              <w:autoSpaceDE/>
              <w:autoSpaceDN/>
              <w:adjustRightInd/>
              <w:spacing w:line="230" w:lineRule="auto"/>
              <w:jc w:val="center"/>
              <w:rPr>
                <w:color w:val="000000"/>
                <w:sz w:val="20"/>
                <w:szCs w:val="20"/>
              </w:rPr>
            </w:pPr>
            <w:r w:rsidRPr="007C51D6">
              <w:rPr>
                <w:color w:val="000000"/>
                <w:sz w:val="20"/>
                <w:szCs w:val="20"/>
              </w:rPr>
              <w:t>1,1</w:t>
            </w:r>
          </w:p>
        </w:tc>
        <w:tc>
          <w:tcPr>
            <w:tcW w:w="992" w:type="dxa"/>
          </w:tcPr>
          <w:p w:rsidR="009B6FE1" w:rsidRPr="007C51D6" w:rsidRDefault="009B6FE1" w:rsidP="009B6FE1">
            <w:pPr>
              <w:autoSpaceDE/>
              <w:autoSpaceDN/>
              <w:adjustRightInd/>
              <w:spacing w:line="230" w:lineRule="auto"/>
              <w:jc w:val="center"/>
              <w:rPr>
                <w:color w:val="000000"/>
                <w:sz w:val="20"/>
                <w:szCs w:val="20"/>
              </w:rPr>
            </w:pPr>
            <w:r w:rsidRPr="007C51D6">
              <w:rPr>
                <w:color w:val="000000"/>
                <w:sz w:val="20"/>
                <w:szCs w:val="20"/>
              </w:rPr>
              <w:t>1,6</w:t>
            </w:r>
          </w:p>
        </w:tc>
        <w:tc>
          <w:tcPr>
            <w:tcW w:w="992" w:type="dxa"/>
            <w:hideMark/>
          </w:tcPr>
          <w:p w:rsidR="009B6FE1" w:rsidRPr="007C51D6" w:rsidRDefault="009B6FE1" w:rsidP="009B6FE1">
            <w:pPr>
              <w:autoSpaceDE/>
              <w:autoSpaceDN/>
              <w:adjustRightInd/>
              <w:spacing w:line="230" w:lineRule="auto"/>
              <w:jc w:val="center"/>
              <w:rPr>
                <w:color w:val="000000"/>
                <w:sz w:val="20"/>
                <w:szCs w:val="20"/>
              </w:rPr>
            </w:pPr>
            <w:r w:rsidRPr="007C51D6">
              <w:rPr>
                <w:color w:val="000000"/>
                <w:sz w:val="20"/>
                <w:szCs w:val="20"/>
              </w:rPr>
              <w:t>2,3</w:t>
            </w:r>
          </w:p>
        </w:tc>
        <w:tc>
          <w:tcPr>
            <w:tcW w:w="992" w:type="dxa"/>
          </w:tcPr>
          <w:p w:rsidR="009B6FE1" w:rsidRPr="007C51D6" w:rsidRDefault="009B6FE1" w:rsidP="009B6FE1">
            <w:pPr>
              <w:spacing w:line="230" w:lineRule="auto"/>
              <w:jc w:val="center"/>
              <w:rPr>
                <w:color w:val="000000"/>
                <w:sz w:val="20"/>
                <w:szCs w:val="20"/>
              </w:rPr>
            </w:pPr>
            <w:r w:rsidRPr="007C51D6">
              <w:rPr>
                <w:color w:val="000000"/>
                <w:sz w:val="20"/>
                <w:szCs w:val="20"/>
              </w:rPr>
              <w:t>2,3</w:t>
            </w:r>
          </w:p>
        </w:tc>
        <w:tc>
          <w:tcPr>
            <w:tcW w:w="993" w:type="dxa"/>
          </w:tcPr>
          <w:p w:rsidR="009B6FE1" w:rsidRPr="007C51D6" w:rsidRDefault="009B6FE1" w:rsidP="009B6FE1">
            <w:pPr>
              <w:jc w:val="center"/>
              <w:rPr>
                <w:color w:val="000000"/>
                <w:sz w:val="20"/>
                <w:szCs w:val="20"/>
              </w:rPr>
            </w:pPr>
            <w:r w:rsidRPr="007C51D6">
              <w:rPr>
                <w:color w:val="000000"/>
                <w:sz w:val="20"/>
                <w:szCs w:val="20"/>
              </w:rPr>
              <w:t>2,1</w:t>
            </w:r>
          </w:p>
        </w:tc>
        <w:tc>
          <w:tcPr>
            <w:tcW w:w="994" w:type="dxa"/>
          </w:tcPr>
          <w:p w:rsidR="009B6FE1" w:rsidRPr="007C51D6" w:rsidRDefault="009B6FE1" w:rsidP="009B6FE1">
            <w:pPr>
              <w:jc w:val="center"/>
              <w:rPr>
                <w:color w:val="000000"/>
                <w:sz w:val="20"/>
                <w:szCs w:val="20"/>
              </w:rPr>
            </w:pPr>
            <w:r w:rsidRPr="007C51D6">
              <w:rPr>
                <w:color w:val="000000"/>
                <w:sz w:val="20"/>
                <w:szCs w:val="20"/>
              </w:rPr>
              <w:t>2,2</w:t>
            </w:r>
          </w:p>
        </w:tc>
        <w:tc>
          <w:tcPr>
            <w:tcW w:w="2410" w:type="dxa"/>
          </w:tcPr>
          <w:p w:rsidR="009B6FE1" w:rsidRPr="007C51D6" w:rsidRDefault="009B6FE1" w:rsidP="009B6FE1">
            <w:pPr>
              <w:autoSpaceDE/>
              <w:autoSpaceDN/>
              <w:adjustRightInd/>
              <w:spacing w:line="230" w:lineRule="auto"/>
              <w:jc w:val="center"/>
              <w:rPr>
                <w:color w:val="000000"/>
                <w:sz w:val="20"/>
                <w:szCs w:val="20"/>
              </w:rPr>
            </w:pPr>
            <w:r w:rsidRPr="007C51D6">
              <w:rPr>
                <w:color w:val="000000"/>
                <w:sz w:val="20"/>
                <w:szCs w:val="20"/>
              </w:rPr>
              <w:t>-4,4</w:t>
            </w:r>
          </w:p>
        </w:tc>
      </w:tr>
    </w:tbl>
    <w:p w:rsidR="00C405F6" w:rsidRPr="007C51D6" w:rsidRDefault="00C405F6">
      <w:pPr>
        <w:rPr>
          <w:sz w:val="2"/>
          <w:szCs w:val="2"/>
        </w:rPr>
      </w:pPr>
      <w:bookmarkStart w:id="1" w:name="OLE_LINK1"/>
      <w:bookmarkStart w:id="2" w:name="OLE_LINK2"/>
    </w:p>
    <w:bookmarkEnd w:id="1"/>
    <w:bookmarkEnd w:id="2"/>
    <w:p w:rsidR="00C405F6" w:rsidRPr="007C51D6" w:rsidRDefault="00C405F6" w:rsidP="0017374F">
      <w:pPr>
        <w:autoSpaceDE/>
        <w:autoSpaceDN/>
        <w:adjustRightInd/>
        <w:rPr>
          <w:rFonts w:eastAsia="Arial"/>
          <w:sz w:val="20"/>
          <w:szCs w:val="20"/>
        </w:rPr>
      </w:pPr>
    </w:p>
    <w:p w:rsidR="00136DF4" w:rsidRPr="007C51D6" w:rsidRDefault="00136DF4" w:rsidP="003071AB">
      <w:pPr>
        <w:autoSpaceDE/>
        <w:autoSpaceDN/>
        <w:adjustRightInd/>
        <w:ind w:firstLine="709"/>
        <w:rPr>
          <w:rFonts w:eastAsia="Arial"/>
          <w:sz w:val="28"/>
          <w:szCs w:val="28"/>
        </w:rPr>
      </w:pPr>
      <w:r w:rsidRPr="007C51D6">
        <w:rPr>
          <w:rFonts w:eastAsia="Arial"/>
          <w:sz w:val="20"/>
          <w:szCs w:val="20"/>
        </w:rPr>
        <w:t>*Представлены оперативные данные</w:t>
      </w:r>
      <w:r w:rsidR="00C405F6" w:rsidRPr="007C51D6">
        <w:rPr>
          <w:rFonts w:eastAsia="Arial"/>
          <w:sz w:val="20"/>
          <w:szCs w:val="20"/>
        </w:rPr>
        <w:t>.</w:t>
      </w:r>
    </w:p>
    <w:p w:rsidR="00136DF4" w:rsidRPr="007C51D6" w:rsidRDefault="00136DF4" w:rsidP="0017374F">
      <w:pPr>
        <w:autoSpaceDE/>
        <w:autoSpaceDN/>
        <w:adjustRightInd/>
        <w:jc w:val="both"/>
        <w:rPr>
          <w:rFonts w:eastAsia="Arial"/>
          <w:sz w:val="28"/>
          <w:szCs w:val="28"/>
        </w:rPr>
      </w:pPr>
    </w:p>
    <w:p w:rsidR="00136DF4" w:rsidRPr="007C51D6" w:rsidRDefault="00F85980" w:rsidP="0017374F">
      <w:pPr>
        <w:autoSpaceDE/>
        <w:autoSpaceDN/>
        <w:adjustRightInd/>
        <w:ind w:firstLine="709"/>
        <w:jc w:val="both"/>
        <w:rPr>
          <w:rFonts w:eastAsia="Arial"/>
          <w:sz w:val="28"/>
          <w:szCs w:val="28"/>
        </w:rPr>
      </w:pPr>
      <w:r w:rsidRPr="007C51D6">
        <w:rPr>
          <w:rFonts w:eastAsia="Arial"/>
          <w:spacing w:val="-4"/>
          <w:sz w:val="28"/>
          <w:szCs w:val="28"/>
        </w:rPr>
        <w:t>За 10-летний период (201</w:t>
      </w:r>
      <w:r w:rsidR="008521E1" w:rsidRPr="007C51D6">
        <w:rPr>
          <w:rFonts w:eastAsia="Arial"/>
          <w:spacing w:val="-4"/>
          <w:sz w:val="28"/>
          <w:szCs w:val="28"/>
        </w:rPr>
        <w:t>6</w:t>
      </w:r>
      <w:r w:rsidRPr="007C51D6">
        <w:rPr>
          <w:rFonts w:eastAsia="Arial"/>
          <w:spacing w:val="-4"/>
          <w:sz w:val="28"/>
          <w:szCs w:val="28"/>
        </w:rPr>
        <w:t xml:space="preserve"> – 202</w:t>
      </w:r>
      <w:r w:rsidR="008521E1" w:rsidRPr="007C51D6">
        <w:rPr>
          <w:rFonts w:eastAsia="Arial"/>
          <w:spacing w:val="-4"/>
          <w:sz w:val="28"/>
          <w:szCs w:val="28"/>
        </w:rPr>
        <w:t>5</w:t>
      </w:r>
      <w:r w:rsidRPr="007C51D6">
        <w:rPr>
          <w:rFonts w:eastAsia="Arial"/>
          <w:spacing w:val="-4"/>
          <w:sz w:val="28"/>
          <w:szCs w:val="28"/>
        </w:rPr>
        <w:t xml:space="preserve"> годы) зарегистрирована тенденция к увеличению показателя запущенности при ЗНО гортани (темп прироста показателя </w:t>
      </w:r>
      <w:r w:rsidR="003071AB" w:rsidRPr="007C51D6">
        <w:rPr>
          <w:rFonts w:eastAsia="Arial"/>
          <w:spacing w:val="-4"/>
          <w:sz w:val="28"/>
          <w:szCs w:val="28"/>
        </w:rPr>
        <w:t>–</w:t>
      </w:r>
      <w:r w:rsidRPr="007C51D6">
        <w:rPr>
          <w:rFonts w:eastAsia="Arial"/>
          <w:spacing w:val="-4"/>
          <w:sz w:val="28"/>
          <w:szCs w:val="28"/>
        </w:rPr>
        <w:t xml:space="preserve"> 7</w:t>
      </w:r>
      <w:r w:rsidR="008521E1" w:rsidRPr="007C51D6">
        <w:rPr>
          <w:rFonts w:eastAsia="Arial"/>
          <w:spacing w:val="-4"/>
          <w:sz w:val="28"/>
          <w:szCs w:val="28"/>
        </w:rPr>
        <w:t>4</w:t>
      </w:r>
      <w:r w:rsidRPr="007C51D6">
        <w:rPr>
          <w:rFonts w:eastAsia="Arial"/>
          <w:spacing w:val="-4"/>
          <w:sz w:val="28"/>
          <w:szCs w:val="28"/>
        </w:rPr>
        <w:t>,</w:t>
      </w:r>
      <w:r w:rsidR="008521E1" w:rsidRPr="007C51D6">
        <w:rPr>
          <w:rFonts w:eastAsia="Arial"/>
          <w:spacing w:val="-4"/>
          <w:sz w:val="28"/>
          <w:szCs w:val="28"/>
        </w:rPr>
        <w:t>2</w:t>
      </w:r>
      <w:r w:rsidRPr="007C51D6">
        <w:rPr>
          <w:rFonts w:eastAsia="Arial"/>
          <w:spacing w:val="-4"/>
          <w:sz w:val="28"/>
          <w:szCs w:val="28"/>
        </w:rPr>
        <w:t xml:space="preserve"> процента), предстательной железы (темп прироста </w:t>
      </w:r>
      <w:r w:rsidR="000E724C" w:rsidRPr="007C51D6">
        <w:rPr>
          <w:rFonts w:eastAsia="Arial"/>
          <w:spacing w:val="-4"/>
          <w:sz w:val="28"/>
          <w:szCs w:val="28"/>
        </w:rPr>
        <w:t xml:space="preserve">– </w:t>
      </w:r>
      <w:r w:rsidR="008521E1" w:rsidRPr="007C51D6">
        <w:rPr>
          <w:rFonts w:eastAsia="Arial"/>
          <w:spacing w:val="-4"/>
          <w:sz w:val="28"/>
          <w:szCs w:val="28"/>
        </w:rPr>
        <w:t>56,5</w:t>
      </w:r>
      <w:r w:rsidRPr="007C51D6">
        <w:rPr>
          <w:rFonts w:eastAsia="Arial"/>
          <w:spacing w:val="-4"/>
          <w:sz w:val="28"/>
          <w:szCs w:val="28"/>
        </w:rPr>
        <w:t xml:space="preserve"> процента), </w:t>
      </w:r>
      <w:r w:rsidR="00C77BCE" w:rsidRPr="007C51D6">
        <w:rPr>
          <w:rFonts w:eastAsia="Arial"/>
          <w:spacing w:val="-4"/>
          <w:sz w:val="28"/>
          <w:szCs w:val="28"/>
        </w:rPr>
        <w:t xml:space="preserve">тела матки (темп прироста показателя – 53,1 процента), </w:t>
      </w:r>
      <w:r w:rsidRPr="007C51D6">
        <w:rPr>
          <w:rFonts w:eastAsia="Arial"/>
          <w:spacing w:val="-4"/>
          <w:sz w:val="28"/>
          <w:szCs w:val="28"/>
        </w:rPr>
        <w:t xml:space="preserve">яичника (темп прироста </w:t>
      </w:r>
      <w:r w:rsidR="000E724C" w:rsidRPr="007C51D6">
        <w:rPr>
          <w:rFonts w:eastAsia="Arial"/>
          <w:spacing w:val="-4"/>
          <w:sz w:val="28"/>
          <w:szCs w:val="28"/>
        </w:rPr>
        <w:t xml:space="preserve">– </w:t>
      </w:r>
      <w:r w:rsidR="008521E1" w:rsidRPr="007C51D6">
        <w:rPr>
          <w:rFonts w:eastAsia="Arial"/>
          <w:spacing w:val="-4"/>
          <w:sz w:val="28"/>
          <w:szCs w:val="28"/>
        </w:rPr>
        <w:t>41</w:t>
      </w:r>
      <w:r w:rsidRPr="007C51D6">
        <w:rPr>
          <w:rFonts w:eastAsia="Arial"/>
          <w:spacing w:val="-4"/>
          <w:sz w:val="28"/>
          <w:szCs w:val="28"/>
        </w:rPr>
        <w:t>,</w:t>
      </w:r>
      <w:r w:rsidR="008521E1" w:rsidRPr="007C51D6">
        <w:rPr>
          <w:rFonts w:eastAsia="Arial"/>
          <w:spacing w:val="-4"/>
          <w:sz w:val="28"/>
          <w:szCs w:val="28"/>
        </w:rPr>
        <w:t>7</w:t>
      </w:r>
      <w:r w:rsidRPr="007C51D6">
        <w:rPr>
          <w:rFonts w:eastAsia="Arial"/>
          <w:spacing w:val="-4"/>
          <w:sz w:val="28"/>
          <w:szCs w:val="28"/>
        </w:rPr>
        <w:t xml:space="preserve"> процента), </w:t>
      </w:r>
      <w:r w:rsidR="00C77BCE" w:rsidRPr="007C51D6">
        <w:rPr>
          <w:rFonts w:eastAsia="Arial"/>
          <w:spacing w:val="-4"/>
          <w:sz w:val="28"/>
          <w:szCs w:val="28"/>
        </w:rPr>
        <w:t>пищевода (темп прироста показателя – 25,2 процента), губы</w:t>
      </w:r>
      <w:r w:rsidRPr="007C51D6">
        <w:rPr>
          <w:rFonts w:eastAsia="Arial"/>
          <w:spacing w:val="-4"/>
          <w:sz w:val="28"/>
          <w:szCs w:val="28"/>
        </w:rPr>
        <w:t xml:space="preserve"> (темп прироста </w:t>
      </w:r>
      <w:r w:rsidR="000E724C" w:rsidRPr="007C51D6">
        <w:rPr>
          <w:rFonts w:eastAsia="Arial"/>
          <w:spacing w:val="-4"/>
          <w:sz w:val="28"/>
          <w:szCs w:val="28"/>
        </w:rPr>
        <w:t xml:space="preserve">– </w:t>
      </w:r>
      <w:r w:rsidRPr="007C51D6">
        <w:rPr>
          <w:rFonts w:eastAsia="Arial"/>
          <w:spacing w:val="-4"/>
          <w:sz w:val="28"/>
          <w:szCs w:val="28"/>
        </w:rPr>
        <w:t>1</w:t>
      </w:r>
      <w:r w:rsidR="00C77BCE" w:rsidRPr="007C51D6">
        <w:rPr>
          <w:rFonts w:eastAsia="Arial"/>
          <w:spacing w:val="-4"/>
          <w:sz w:val="28"/>
          <w:szCs w:val="28"/>
        </w:rPr>
        <w:t>1</w:t>
      </w:r>
      <w:r w:rsidRPr="007C51D6">
        <w:rPr>
          <w:rFonts w:eastAsia="Arial"/>
          <w:spacing w:val="-4"/>
          <w:sz w:val="28"/>
          <w:szCs w:val="28"/>
        </w:rPr>
        <w:t>,</w:t>
      </w:r>
      <w:r w:rsidR="00C77BCE" w:rsidRPr="007C51D6">
        <w:rPr>
          <w:rFonts w:eastAsia="Arial"/>
          <w:spacing w:val="-4"/>
          <w:sz w:val="28"/>
          <w:szCs w:val="28"/>
        </w:rPr>
        <w:t>8</w:t>
      </w:r>
      <w:r w:rsidRPr="007C51D6">
        <w:rPr>
          <w:rFonts w:eastAsia="Arial"/>
          <w:spacing w:val="-4"/>
          <w:sz w:val="28"/>
          <w:szCs w:val="28"/>
        </w:rPr>
        <w:t xml:space="preserve"> процента)</w:t>
      </w:r>
      <w:r w:rsidR="00F930A7" w:rsidRPr="007C51D6">
        <w:rPr>
          <w:rFonts w:eastAsia="Arial"/>
          <w:spacing w:val="-4"/>
          <w:sz w:val="28"/>
          <w:szCs w:val="28"/>
        </w:rPr>
        <w:t xml:space="preserve"> (</w:t>
      </w:r>
      <w:r w:rsidR="00CC04B7" w:rsidRPr="007C51D6">
        <w:rPr>
          <w:rFonts w:eastAsia="Arial"/>
          <w:spacing w:val="-4"/>
          <w:sz w:val="28"/>
          <w:szCs w:val="28"/>
        </w:rPr>
        <w:t>таблица 8.2</w:t>
      </w:r>
      <w:r w:rsidR="00F930A7" w:rsidRPr="007C51D6">
        <w:rPr>
          <w:rFonts w:eastAsia="Arial"/>
          <w:spacing w:val="-4"/>
          <w:sz w:val="28"/>
          <w:szCs w:val="28"/>
        </w:rPr>
        <w:t>)</w:t>
      </w:r>
      <w:r w:rsidRPr="007C51D6">
        <w:rPr>
          <w:rFonts w:eastAsia="Arial"/>
          <w:spacing w:val="-4"/>
          <w:sz w:val="28"/>
          <w:szCs w:val="28"/>
        </w:rPr>
        <w:t xml:space="preserve">. </w:t>
      </w:r>
    </w:p>
    <w:p w:rsidR="00AD4EBD" w:rsidRPr="007C51D6" w:rsidRDefault="00AD4EBD" w:rsidP="0017374F">
      <w:pPr>
        <w:autoSpaceDE/>
        <w:autoSpaceDN/>
        <w:adjustRightInd/>
        <w:ind w:firstLine="709"/>
        <w:jc w:val="both"/>
        <w:rPr>
          <w:rFonts w:eastAsia="Arial"/>
          <w:b/>
          <w:sz w:val="28"/>
          <w:szCs w:val="28"/>
        </w:rPr>
      </w:pPr>
    </w:p>
    <w:p w:rsidR="00E14D70" w:rsidRPr="007C51D6" w:rsidRDefault="00FB4B54" w:rsidP="0017374F">
      <w:pPr>
        <w:autoSpaceDE/>
        <w:autoSpaceDN/>
        <w:adjustRightInd/>
        <w:ind w:firstLine="709"/>
        <w:jc w:val="both"/>
        <w:rPr>
          <w:rFonts w:eastAsia="Arial"/>
          <w:sz w:val="28"/>
          <w:szCs w:val="28"/>
        </w:rPr>
      </w:pPr>
      <w:r w:rsidRPr="007C51D6">
        <w:rPr>
          <w:rFonts w:eastAsia="Arial"/>
          <w:sz w:val="28"/>
          <w:szCs w:val="28"/>
        </w:rPr>
        <w:t>1.</w:t>
      </w:r>
      <w:r w:rsidR="00E14D70" w:rsidRPr="007C51D6">
        <w:rPr>
          <w:rFonts w:eastAsia="Arial"/>
          <w:sz w:val="28"/>
          <w:szCs w:val="28"/>
        </w:rPr>
        <w:t xml:space="preserve">3. Анализ динамики показателей смертности от </w:t>
      </w:r>
      <w:r w:rsidR="008C458E" w:rsidRPr="007C51D6">
        <w:rPr>
          <w:rFonts w:eastAsia="Arial"/>
          <w:sz w:val="28"/>
          <w:szCs w:val="28"/>
        </w:rPr>
        <w:t>ЗНО</w:t>
      </w:r>
      <w:r w:rsidR="00E14D70" w:rsidRPr="007C51D6">
        <w:rPr>
          <w:rFonts w:eastAsia="Arial"/>
          <w:sz w:val="28"/>
          <w:szCs w:val="28"/>
        </w:rPr>
        <w:t xml:space="preserve">. </w:t>
      </w:r>
    </w:p>
    <w:p w:rsidR="00E14D70" w:rsidRPr="007C51D6" w:rsidRDefault="00D72909" w:rsidP="0017374F">
      <w:pPr>
        <w:autoSpaceDE/>
        <w:autoSpaceDN/>
        <w:adjustRightInd/>
        <w:ind w:firstLine="709"/>
        <w:jc w:val="both"/>
        <w:rPr>
          <w:rFonts w:eastAsia="Arial"/>
          <w:sz w:val="28"/>
          <w:szCs w:val="28"/>
        </w:rPr>
      </w:pPr>
      <w:r w:rsidRPr="007C51D6">
        <w:rPr>
          <w:rFonts w:eastAsia="Arial"/>
          <w:sz w:val="28"/>
          <w:szCs w:val="28"/>
        </w:rPr>
        <w:t>В</w:t>
      </w:r>
      <w:r w:rsidR="00E14D70" w:rsidRPr="007C51D6">
        <w:rPr>
          <w:rFonts w:eastAsia="Arial"/>
          <w:sz w:val="28"/>
          <w:szCs w:val="28"/>
        </w:rPr>
        <w:t xml:space="preserve"> 2024 году в Республике Татарстан умерли от ЗНО 7 069 человек</w:t>
      </w:r>
      <w:r w:rsidR="00DE6541" w:rsidRPr="007C51D6">
        <w:rPr>
          <w:rFonts w:eastAsia="Arial"/>
          <w:sz w:val="28"/>
          <w:szCs w:val="28"/>
        </w:rPr>
        <w:t xml:space="preserve"> (2023 год – 6</w:t>
      </w:r>
      <w:r w:rsidR="003071AB" w:rsidRPr="007C51D6">
        <w:rPr>
          <w:rFonts w:eastAsia="Arial"/>
          <w:sz w:val="28"/>
          <w:szCs w:val="28"/>
        </w:rPr>
        <w:t xml:space="preserve"> </w:t>
      </w:r>
      <w:r w:rsidR="00DE6541" w:rsidRPr="007C51D6">
        <w:rPr>
          <w:rFonts w:eastAsia="Arial"/>
          <w:sz w:val="28"/>
          <w:szCs w:val="28"/>
        </w:rPr>
        <w:t>412 человек)</w:t>
      </w:r>
      <w:r w:rsidR="00E14D70" w:rsidRPr="007C51D6">
        <w:rPr>
          <w:rFonts w:eastAsia="Arial"/>
          <w:sz w:val="28"/>
          <w:szCs w:val="28"/>
        </w:rPr>
        <w:t xml:space="preserve">. </w:t>
      </w:r>
    </w:p>
    <w:p w:rsidR="0017374F" w:rsidRPr="007C51D6" w:rsidRDefault="0017374F" w:rsidP="0017374F">
      <w:pPr>
        <w:autoSpaceDE/>
        <w:autoSpaceDN/>
        <w:adjustRightInd/>
        <w:ind w:firstLine="709"/>
        <w:jc w:val="both"/>
        <w:rPr>
          <w:rFonts w:eastAsia="Arial"/>
          <w:sz w:val="28"/>
          <w:szCs w:val="28"/>
        </w:rPr>
      </w:pPr>
    </w:p>
    <w:p w:rsidR="007349A5" w:rsidRPr="007C51D6" w:rsidRDefault="007349A5" w:rsidP="0017374F">
      <w:pPr>
        <w:autoSpaceDE/>
        <w:autoSpaceDN/>
        <w:adjustRightInd/>
        <w:ind w:left="7791"/>
        <w:jc w:val="right"/>
        <w:rPr>
          <w:rFonts w:eastAsia="Arial"/>
          <w:sz w:val="28"/>
          <w:szCs w:val="28"/>
        </w:rPr>
      </w:pPr>
      <w:r w:rsidRPr="007C51D6">
        <w:rPr>
          <w:rFonts w:eastAsia="Arial"/>
          <w:sz w:val="28"/>
          <w:szCs w:val="28"/>
        </w:rPr>
        <w:t xml:space="preserve">Таблица </w:t>
      </w:r>
      <w:r w:rsidR="00661F3C" w:rsidRPr="007C51D6">
        <w:rPr>
          <w:rFonts w:eastAsia="Arial"/>
          <w:sz w:val="28"/>
          <w:szCs w:val="28"/>
        </w:rPr>
        <w:t>9</w:t>
      </w:r>
    </w:p>
    <w:p w:rsidR="00661F3C" w:rsidRPr="007C51D6" w:rsidRDefault="00661F3C" w:rsidP="0017374F">
      <w:pPr>
        <w:autoSpaceDE/>
        <w:autoSpaceDN/>
        <w:adjustRightInd/>
        <w:ind w:left="7791"/>
        <w:jc w:val="right"/>
        <w:rPr>
          <w:rFonts w:eastAsia="Arial"/>
          <w:sz w:val="28"/>
          <w:szCs w:val="28"/>
        </w:rPr>
      </w:pPr>
    </w:p>
    <w:p w:rsidR="00882D70" w:rsidRPr="007C51D6" w:rsidRDefault="00882D70" w:rsidP="00882D70">
      <w:pPr>
        <w:autoSpaceDE/>
        <w:autoSpaceDN/>
        <w:adjustRightInd/>
        <w:jc w:val="center"/>
        <w:rPr>
          <w:rFonts w:eastAsia="Arial"/>
          <w:sz w:val="28"/>
          <w:szCs w:val="28"/>
        </w:rPr>
      </w:pPr>
      <w:r w:rsidRPr="007C51D6">
        <w:rPr>
          <w:rFonts w:eastAsia="Arial"/>
          <w:sz w:val="28"/>
          <w:szCs w:val="28"/>
        </w:rPr>
        <w:t xml:space="preserve">Динамика показателя смертности населения от ЗНО («грубый» и стандартизованный </w:t>
      </w:r>
    </w:p>
    <w:p w:rsidR="00882D70" w:rsidRPr="007C51D6" w:rsidRDefault="00882D70" w:rsidP="00882D70">
      <w:pPr>
        <w:autoSpaceDE/>
        <w:autoSpaceDN/>
        <w:adjustRightInd/>
        <w:jc w:val="center"/>
        <w:rPr>
          <w:rFonts w:eastAsia="Arial"/>
          <w:sz w:val="28"/>
          <w:szCs w:val="28"/>
        </w:rPr>
      </w:pPr>
      <w:r w:rsidRPr="007C51D6">
        <w:rPr>
          <w:rFonts w:eastAsia="Arial"/>
          <w:sz w:val="28"/>
          <w:szCs w:val="28"/>
        </w:rPr>
        <w:t xml:space="preserve">показатели) в Республике Татарстан, Российской Федерации, Приволжском федеральном округе в 2016 – 2025 годах </w:t>
      </w:r>
    </w:p>
    <w:p w:rsidR="00661F3C" w:rsidRDefault="00882D70" w:rsidP="004A38EB">
      <w:pPr>
        <w:autoSpaceDE/>
        <w:autoSpaceDN/>
        <w:adjustRightInd/>
        <w:jc w:val="center"/>
        <w:rPr>
          <w:rFonts w:eastAsia="Arial"/>
          <w:sz w:val="28"/>
          <w:szCs w:val="28"/>
        </w:rPr>
      </w:pPr>
      <w:r w:rsidRPr="007C51D6">
        <w:rPr>
          <w:rFonts w:eastAsia="Arial"/>
          <w:sz w:val="28"/>
          <w:szCs w:val="28"/>
        </w:rPr>
        <w:t>(на 100 тыс.населения)</w:t>
      </w:r>
      <w:r w:rsidR="004A38EB">
        <w:rPr>
          <w:rFonts w:eastAsia="Arial"/>
          <w:sz w:val="28"/>
          <w:szCs w:val="28"/>
        </w:rPr>
        <w:t xml:space="preserve"> </w:t>
      </w:r>
    </w:p>
    <w:p w:rsidR="004A38EB" w:rsidRDefault="004A38EB" w:rsidP="004A38EB">
      <w:pPr>
        <w:autoSpaceDE/>
        <w:autoSpaceDN/>
        <w:adjustRightInd/>
        <w:jc w:val="center"/>
        <w:rPr>
          <w:rFonts w:eastAsia="Arial"/>
          <w:sz w:val="28"/>
          <w:szCs w:val="28"/>
        </w:rPr>
      </w:pPr>
    </w:p>
    <w:p w:rsidR="004A38EB" w:rsidRPr="007C51D6" w:rsidRDefault="004A38EB" w:rsidP="004A38EB">
      <w:pPr>
        <w:autoSpaceDE/>
        <w:autoSpaceDN/>
        <w:adjustRightInd/>
        <w:jc w:val="center"/>
        <w:rPr>
          <w:rFonts w:eastAsia="Arial"/>
          <w:sz w:val="28"/>
          <w:szCs w:val="28"/>
        </w:rPr>
      </w:pPr>
    </w:p>
    <w:tbl>
      <w:tblPr>
        <w:tblStyle w:val="af1"/>
        <w:tblW w:w="14784" w:type="dxa"/>
        <w:tblBorders>
          <w:bottom w:val="none" w:sz="0" w:space="0" w:color="auto"/>
        </w:tblBorders>
        <w:tblLook w:val="04A0" w:firstRow="1" w:lastRow="0" w:firstColumn="1" w:lastColumn="0" w:noHBand="0" w:noVBand="1"/>
      </w:tblPr>
      <w:tblGrid>
        <w:gridCol w:w="1793"/>
        <w:gridCol w:w="1714"/>
        <w:gridCol w:w="1011"/>
        <w:gridCol w:w="996"/>
        <w:gridCol w:w="831"/>
        <w:gridCol w:w="915"/>
        <w:gridCol w:w="12"/>
        <w:gridCol w:w="830"/>
        <w:gridCol w:w="32"/>
        <w:gridCol w:w="878"/>
        <w:gridCol w:w="1044"/>
        <w:gridCol w:w="918"/>
        <w:gridCol w:w="9"/>
        <w:gridCol w:w="924"/>
        <w:gridCol w:w="880"/>
        <w:gridCol w:w="17"/>
        <w:gridCol w:w="1963"/>
        <w:gridCol w:w="17"/>
      </w:tblGrid>
      <w:tr w:rsidR="00882D70" w:rsidRPr="007C51D6" w:rsidTr="009B6FE1">
        <w:trPr>
          <w:trHeight w:val="20"/>
        </w:trPr>
        <w:tc>
          <w:tcPr>
            <w:tcW w:w="1793" w:type="dxa"/>
          </w:tcPr>
          <w:p w:rsidR="00882D70" w:rsidRPr="007C51D6" w:rsidRDefault="00882D70" w:rsidP="00F53105">
            <w:pPr>
              <w:jc w:val="center"/>
              <w:rPr>
                <w:rFonts w:eastAsia="Arial"/>
                <w:sz w:val="20"/>
                <w:szCs w:val="20"/>
              </w:rPr>
            </w:pPr>
            <w:r w:rsidRPr="007C51D6">
              <w:rPr>
                <w:rFonts w:eastAsia="Arial"/>
                <w:sz w:val="20"/>
                <w:szCs w:val="20"/>
              </w:rPr>
              <w:t>Территория</w:t>
            </w:r>
          </w:p>
        </w:tc>
        <w:tc>
          <w:tcPr>
            <w:tcW w:w="1714" w:type="dxa"/>
          </w:tcPr>
          <w:p w:rsidR="00882D70" w:rsidRPr="007C51D6" w:rsidRDefault="00882D70" w:rsidP="00F53105">
            <w:pPr>
              <w:jc w:val="center"/>
              <w:rPr>
                <w:rFonts w:eastAsia="Arial"/>
                <w:sz w:val="20"/>
                <w:szCs w:val="20"/>
              </w:rPr>
            </w:pPr>
            <w:r w:rsidRPr="007C51D6">
              <w:rPr>
                <w:rFonts w:eastAsia="Arial"/>
                <w:sz w:val="20"/>
                <w:szCs w:val="20"/>
              </w:rPr>
              <w:t>Показатель</w:t>
            </w:r>
          </w:p>
        </w:tc>
        <w:tc>
          <w:tcPr>
            <w:tcW w:w="1011" w:type="dxa"/>
          </w:tcPr>
          <w:p w:rsidR="00882D70" w:rsidRPr="007C51D6" w:rsidRDefault="00882D70" w:rsidP="00F53105">
            <w:pPr>
              <w:ind w:left="-57" w:right="-57"/>
              <w:jc w:val="center"/>
              <w:rPr>
                <w:bCs/>
                <w:color w:val="000000"/>
                <w:sz w:val="20"/>
                <w:szCs w:val="20"/>
              </w:rPr>
            </w:pPr>
            <w:r w:rsidRPr="007C51D6">
              <w:rPr>
                <w:bCs/>
                <w:color w:val="000000"/>
                <w:sz w:val="20"/>
                <w:szCs w:val="20"/>
              </w:rPr>
              <w:t>2016 г.</w:t>
            </w:r>
          </w:p>
        </w:tc>
        <w:tc>
          <w:tcPr>
            <w:tcW w:w="996" w:type="dxa"/>
          </w:tcPr>
          <w:p w:rsidR="00882D70" w:rsidRPr="007C51D6" w:rsidRDefault="00882D70" w:rsidP="00F53105">
            <w:pPr>
              <w:ind w:left="-57" w:right="-57"/>
              <w:jc w:val="center"/>
              <w:rPr>
                <w:bCs/>
                <w:color w:val="000000"/>
                <w:sz w:val="20"/>
                <w:szCs w:val="20"/>
              </w:rPr>
            </w:pPr>
            <w:r w:rsidRPr="007C51D6">
              <w:rPr>
                <w:bCs/>
                <w:color w:val="000000"/>
                <w:sz w:val="20"/>
                <w:szCs w:val="20"/>
              </w:rPr>
              <w:t>2017 г.</w:t>
            </w:r>
          </w:p>
        </w:tc>
        <w:tc>
          <w:tcPr>
            <w:tcW w:w="831" w:type="dxa"/>
          </w:tcPr>
          <w:p w:rsidR="00882D70" w:rsidRPr="007C51D6" w:rsidRDefault="00882D70" w:rsidP="00F53105">
            <w:pPr>
              <w:ind w:left="-57" w:right="-57"/>
              <w:jc w:val="center"/>
              <w:rPr>
                <w:bCs/>
                <w:color w:val="000000"/>
                <w:sz w:val="20"/>
                <w:szCs w:val="20"/>
              </w:rPr>
            </w:pPr>
            <w:r w:rsidRPr="007C51D6">
              <w:rPr>
                <w:bCs/>
                <w:color w:val="000000"/>
                <w:sz w:val="20"/>
                <w:szCs w:val="20"/>
              </w:rPr>
              <w:t>2018 г.</w:t>
            </w:r>
          </w:p>
        </w:tc>
        <w:tc>
          <w:tcPr>
            <w:tcW w:w="915" w:type="dxa"/>
          </w:tcPr>
          <w:p w:rsidR="00882D70" w:rsidRPr="007C51D6" w:rsidRDefault="00882D70" w:rsidP="00F53105">
            <w:pPr>
              <w:ind w:left="-57" w:right="-57"/>
              <w:jc w:val="center"/>
              <w:rPr>
                <w:rFonts w:eastAsia="Arial"/>
                <w:sz w:val="20"/>
                <w:szCs w:val="20"/>
              </w:rPr>
            </w:pPr>
            <w:r w:rsidRPr="007C51D6">
              <w:rPr>
                <w:rFonts w:eastAsia="Arial"/>
                <w:sz w:val="20"/>
                <w:szCs w:val="20"/>
              </w:rPr>
              <w:t>2019 г.</w:t>
            </w:r>
          </w:p>
        </w:tc>
        <w:tc>
          <w:tcPr>
            <w:tcW w:w="842" w:type="dxa"/>
            <w:gridSpan w:val="2"/>
          </w:tcPr>
          <w:p w:rsidR="00882D70" w:rsidRPr="007C51D6" w:rsidRDefault="00882D70" w:rsidP="00F53105">
            <w:pPr>
              <w:ind w:left="-57" w:right="-57"/>
              <w:jc w:val="center"/>
              <w:rPr>
                <w:rFonts w:eastAsia="Arial"/>
                <w:sz w:val="20"/>
                <w:szCs w:val="20"/>
              </w:rPr>
            </w:pPr>
            <w:r w:rsidRPr="007C51D6">
              <w:rPr>
                <w:rFonts w:eastAsia="Arial"/>
                <w:sz w:val="20"/>
                <w:szCs w:val="20"/>
              </w:rPr>
              <w:t>2020 г.</w:t>
            </w:r>
          </w:p>
        </w:tc>
        <w:tc>
          <w:tcPr>
            <w:tcW w:w="910" w:type="dxa"/>
            <w:gridSpan w:val="2"/>
          </w:tcPr>
          <w:p w:rsidR="00882D70" w:rsidRPr="007C51D6" w:rsidRDefault="00882D70" w:rsidP="00F53105">
            <w:pPr>
              <w:ind w:left="-57" w:right="-57"/>
              <w:jc w:val="center"/>
              <w:rPr>
                <w:rFonts w:eastAsia="Arial"/>
                <w:sz w:val="20"/>
                <w:szCs w:val="20"/>
              </w:rPr>
            </w:pPr>
            <w:r w:rsidRPr="007C51D6">
              <w:rPr>
                <w:rFonts w:eastAsia="Arial"/>
                <w:sz w:val="20"/>
                <w:szCs w:val="20"/>
              </w:rPr>
              <w:t>2021 г.</w:t>
            </w:r>
          </w:p>
        </w:tc>
        <w:tc>
          <w:tcPr>
            <w:tcW w:w="1044" w:type="dxa"/>
          </w:tcPr>
          <w:p w:rsidR="00882D70" w:rsidRPr="007C51D6" w:rsidRDefault="00882D70" w:rsidP="00F53105">
            <w:pPr>
              <w:ind w:left="-57" w:right="-57"/>
              <w:jc w:val="center"/>
              <w:rPr>
                <w:rFonts w:eastAsia="Arial"/>
                <w:sz w:val="20"/>
                <w:szCs w:val="20"/>
              </w:rPr>
            </w:pPr>
            <w:r w:rsidRPr="007C51D6">
              <w:rPr>
                <w:rFonts w:eastAsia="Arial"/>
                <w:sz w:val="20"/>
                <w:szCs w:val="20"/>
              </w:rPr>
              <w:t>2022 г.</w:t>
            </w:r>
          </w:p>
        </w:tc>
        <w:tc>
          <w:tcPr>
            <w:tcW w:w="918" w:type="dxa"/>
          </w:tcPr>
          <w:p w:rsidR="00882D70" w:rsidRPr="007C51D6" w:rsidRDefault="00882D70" w:rsidP="00F53105">
            <w:pPr>
              <w:jc w:val="center"/>
              <w:rPr>
                <w:color w:val="000000"/>
                <w:sz w:val="20"/>
                <w:szCs w:val="20"/>
              </w:rPr>
            </w:pPr>
            <w:r w:rsidRPr="007C51D6">
              <w:rPr>
                <w:color w:val="000000"/>
                <w:sz w:val="20"/>
                <w:szCs w:val="20"/>
              </w:rPr>
              <w:t>2023 г.</w:t>
            </w:r>
          </w:p>
        </w:tc>
        <w:tc>
          <w:tcPr>
            <w:tcW w:w="933" w:type="dxa"/>
            <w:gridSpan w:val="2"/>
          </w:tcPr>
          <w:p w:rsidR="00882D70" w:rsidRPr="007C51D6" w:rsidRDefault="00882D70" w:rsidP="00D72909">
            <w:pPr>
              <w:jc w:val="center"/>
              <w:rPr>
                <w:rFonts w:eastAsia="Arial"/>
                <w:sz w:val="20"/>
                <w:szCs w:val="20"/>
              </w:rPr>
            </w:pPr>
            <w:r w:rsidRPr="007C51D6">
              <w:rPr>
                <w:rFonts w:eastAsia="Arial"/>
                <w:sz w:val="20"/>
                <w:szCs w:val="20"/>
              </w:rPr>
              <w:t>2024 г.</w:t>
            </w:r>
          </w:p>
        </w:tc>
        <w:tc>
          <w:tcPr>
            <w:tcW w:w="897" w:type="dxa"/>
            <w:gridSpan w:val="2"/>
          </w:tcPr>
          <w:p w:rsidR="00882D70" w:rsidRPr="007C51D6" w:rsidRDefault="00882D70" w:rsidP="00F53105">
            <w:pPr>
              <w:jc w:val="center"/>
              <w:rPr>
                <w:rFonts w:eastAsia="Arial"/>
                <w:sz w:val="20"/>
                <w:szCs w:val="20"/>
              </w:rPr>
            </w:pPr>
            <w:r w:rsidRPr="007C51D6">
              <w:rPr>
                <w:rFonts w:eastAsia="Arial"/>
                <w:sz w:val="20"/>
                <w:szCs w:val="20"/>
              </w:rPr>
              <w:t xml:space="preserve">2025 г. </w:t>
            </w:r>
          </w:p>
        </w:tc>
        <w:tc>
          <w:tcPr>
            <w:tcW w:w="1980" w:type="dxa"/>
            <w:gridSpan w:val="2"/>
          </w:tcPr>
          <w:p w:rsidR="00882D70" w:rsidRPr="007C51D6" w:rsidRDefault="00882D70" w:rsidP="00F53105">
            <w:pPr>
              <w:jc w:val="center"/>
              <w:rPr>
                <w:rFonts w:eastAsia="Arial"/>
                <w:sz w:val="20"/>
                <w:szCs w:val="20"/>
              </w:rPr>
            </w:pPr>
            <w:r w:rsidRPr="007C51D6">
              <w:rPr>
                <w:rFonts w:eastAsia="Arial"/>
                <w:sz w:val="20"/>
                <w:szCs w:val="20"/>
              </w:rPr>
              <w:t xml:space="preserve">Темп прироста </w:t>
            </w:r>
          </w:p>
          <w:p w:rsidR="00882D70" w:rsidRPr="007C51D6" w:rsidRDefault="00882D70" w:rsidP="00F53105">
            <w:pPr>
              <w:jc w:val="center"/>
              <w:rPr>
                <w:rFonts w:eastAsia="Arial"/>
                <w:sz w:val="20"/>
                <w:szCs w:val="20"/>
              </w:rPr>
            </w:pPr>
            <w:r w:rsidRPr="007C51D6">
              <w:rPr>
                <w:rFonts w:eastAsia="Arial"/>
                <w:sz w:val="20"/>
                <w:szCs w:val="20"/>
              </w:rPr>
              <w:t xml:space="preserve">показателя </w:t>
            </w:r>
          </w:p>
          <w:p w:rsidR="00882D70" w:rsidRPr="007C51D6" w:rsidRDefault="00882D70" w:rsidP="00F53105">
            <w:pPr>
              <w:jc w:val="center"/>
              <w:rPr>
                <w:rFonts w:eastAsia="Arial"/>
                <w:sz w:val="20"/>
                <w:szCs w:val="20"/>
              </w:rPr>
            </w:pPr>
            <w:r w:rsidRPr="007C51D6">
              <w:rPr>
                <w:rFonts w:eastAsia="Arial"/>
                <w:sz w:val="20"/>
                <w:szCs w:val="20"/>
              </w:rPr>
              <w:t xml:space="preserve">за </w:t>
            </w:r>
            <w:r w:rsidR="00D72909" w:rsidRPr="007C51D6">
              <w:rPr>
                <w:rFonts w:eastAsia="Arial"/>
                <w:sz w:val="20"/>
                <w:szCs w:val="20"/>
              </w:rPr>
              <w:t>9</w:t>
            </w:r>
            <w:r w:rsidRPr="007C51D6">
              <w:rPr>
                <w:rFonts w:eastAsia="Arial"/>
                <w:sz w:val="20"/>
                <w:szCs w:val="20"/>
              </w:rPr>
              <w:t xml:space="preserve"> лет </w:t>
            </w:r>
          </w:p>
          <w:p w:rsidR="00882D70" w:rsidRPr="007C51D6" w:rsidRDefault="00882D70" w:rsidP="00F53105">
            <w:pPr>
              <w:jc w:val="center"/>
              <w:rPr>
                <w:rFonts w:eastAsia="Arial"/>
                <w:sz w:val="20"/>
                <w:szCs w:val="20"/>
              </w:rPr>
            </w:pPr>
            <w:r w:rsidRPr="007C51D6">
              <w:rPr>
                <w:rFonts w:eastAsia="Arial"/>
                <w:sz w:val="20"/>
                <w:szCs w:val="20"/>
              </w:rPr>
              <w:t>(201</w:t>
            </w:r>
            <w:r w:rsidR="00D72909" w:rsidRPr="007C51D6">
              <w:rPr>
                <w:rFonts w:eastAsia="Arial"/>
                <w:sz w:val="20"/>
                <w:szCs w:val="20"/>
              </w:rPr>
              <w:t>6</w:t>
            </w:r>
            <w:r w:rsidRPr="007C51D6">
              <w:rPr>
                <w:rFonts w:eastAsia="Arial"/>
                <w:sz w:val="20"/>
                <w:szCs w:val="20"/>
              </w:rPr>
              <w:t xml:space="preserve"> – 2024 годы), </w:t>
            </w:r>
          </w:p>
          <w:p w:rsidR="00882D70" w:rsidRPr="007C51D6" w:rsidRDefault="00882D70" w:rsidP="00F53105">
            <w:pPr>
              <w:jc w:val="center"/>
              <w:rPr>
                <w:rFonts w:eastAsia="Arial"/>
                <w:sz w:val="20"/>
                <w:szCs w:val="20"/>
              </w:rPr>
            </w:pPr>
            <w:r w:rsidRPr="007C51D6">
              <w:rPr>
                <w:rFonts w:eastAsia="Arial"/>
                <w:sz w:val="20"/>
                <w:szCs w:val="20"/>
              </w:rPr>
              <w:t>процентов</w:t>
            </w:r>
          </w:p>
        </w:tc>
      </w:tr>
      <w:tr w:rsidR="00882D70" w:rsidRPr="007C51D6" w:rsidTr="009B6FE1">
        <w:tblPrEx>
          <w:tblBorders>
            <w:bottom w:val="single" w:sz="4" w:space="0" w:color="auto"/>
          </w:tblBorders>
        </w:tblPrEx>
        <w:trPr>
          <w:gridAfter w:val="1"/>
          <w:wAfter w:w="17" w:type="dxa"/>
          <w:trHeight w:val="20"/>
          <w:tblHeader/>
        </w:trPr>
        <w:tc>
          <w:tcPr>
            <w:tcW w:w="1793" w:type="dxa"/>
          </w:tcPr>
          <w:p w:rsidR="00882D70" w:rsidRPr="007C51D6" w:rsidRDefault="00882D70" w:rsidP="00F53105">
            <w:pPr>
              <w:jc w:val="center"/>
              <w:rPr>
                <w:rFonts w:eastAsia="Arial"/>
                <w:sz w:val="20"/>
                <w:szCs w:val="20"/>
              </w:rPr>
            </w:pPr>
            <w:r w:rsidRPr="007C51D6">
              <w:rPr>
                <w:rFonts w:eastAsia="Arial"/>
                <w:sz w:val="20"/>
                <w:szCs w:val="20"/>
              </w:rPr>
              <w:t>1</w:t>
            </w:r>
          </w:p>
        </w:tc>
        <w:tc>
          <w:tcPr>
            <w:tcW w:w="1714" w:type="dxa"/>
          </w:tcPr>
          <w:p w:rsidR="00882D70" w:rsidRPr="007C51D6" w:rsidRDefault="00882D70" w:rsidP="00F53105">
            <w:pPr>
              <w:jc w:val="center"/>
              <w:rPr>
                <w:rFonts w:eastAsia="Arial"/>
                <w:sz w:val="20"/>
                <w:szCs w:val="20"/>
              </w:rPr>
            </w:pPr>
            <w:r w:rsidRPr="007C51D6">
              <w:rPr>
                <w:rFonts w:eastAsia="Arial"/>
                <w:sz w:val="20"/>
                <w:szCs w:val="20"/>
              </w:rPr>
              <w:t>2</w:t>
            </w:r>
          </w:p>
        </w:tc>
        <w:tc>
          <w:tcPr>
            <w:tcW w:w="1011" w:type="dxa"/>
          </w:tcPr>
          <w:p w:rsidR="00882D70" w:rsidRPr="007C51D6" w:rsidRDefault="00882D70" w:rsidP="00F53105">
            <w:pPr>
              <w:ind w:left="-57" w:right="-57"/>
              <w:jc w:val="center"/>
              <w:rPr>
                <w:bCs/>
                <w:color w:val="000000"/>
                <w:sz w:val="20"/>
                <w:szCs w:val="20"/>
              </w:rPr>
            </w:pPr>
            <w:r w:rsidRPr="007C51D6">
              <w:rPr>
                <w:bCs/>
                <w:color w:val="000000"/>
                <w:sz w:val="20"/>
                <w:szCs w:val="20"/>
              </w:rPr>
              <w:t>4</w:t>
            </w:r>
          </w:p>
        </w:tc>
        <w:tc>
          <w:tcPr>
            <w:tcW w:w="996" w:type="dxa"/>
          </w:tcPr>
          <w:p w:rsidR="00882D70" w:rsidRPr="007C51D6" w:rsidRDefault="00882D70" w:rsidP="00F53105">
            <w:pPr>
              <w:ind w:left="-57" w:right="-57"/>
              <w:jc w:val="center"/>
              <w:rPr>
                <w:bCs/>
                <w:color w:val="000000"/>
                <w:sz w:val="20"/>
                <w:szCs w:val="20"/>
              </w:rPr>
            </w:pPr>
            <w:r w:rsidRPr="007C51D6">
              <w:rPr>
                <w:bCs/>
                <w:color w:val="000000"/>
                <w:sz w:val="20"/>
                <w:szCs w:val="20"/>
              </w:rPr>
              <w:t>5</w:t>
            </w:r>
          </w:p>
        </w:tc>
        <w:tc>
          <w:tcPr>
            <w:tcW w:w="831" w:type="dxa"/>
          </w:tcPr>
          <w:p w:rsidR="00882D70" w:rsidRPr="007C51D6" w:rsidRDefault="00882D70" w:rsidP="00F53105">
            <w:pPr>
              <w:ind w:left="-57" w:right="-57"/>
              <w:jc w:val="center"/>
              <w:rPr>
                <w:bCs/>
                <w:color w:val="000000"/>
                <w:sz w:val="20"/>
                <w:szCs w:val="20"/>
              </w:rPr>
            </w:pPr>
            <w:r w:rsidRPr="007C51D6">
              <w:rPr>
                <w:bCs/>
                <w:color w:val="000000"/>
                <w:sz w:val="20"/>
                <w:szCs w:val="20"/>
              </w:rPr>
              <w:t>6</w:t>
            </w:r>
          </w:p>
        </w:tc>
        <w:tc>
          <w:tcPr>
            <w:tcW w:w="927" w:type="dxa"/>
            <w:gridSpan w:val="2"/>
          </w:tcPr>
          <w:p w:rsidR="00882D70" w:rsidRPr="007C51D6" w:rsidRDefault="00882D70" w:rsidP="00F53105">
            <w:pPr>
              <w:ind w:left="-57" w:right="-57"/>
              <w:jc w:val="center"/>
              <w:rPr>
                <w:rFonts w:eastAsia="Arial"/>
                <w:sz w:val="20"/>
                <w:szCs w:val="20"/>
              </w:rPr>
            </w:pPr>
            <w:r w:rsidRPr="007C51D6">
              <w:rPr>
                <w:rFonts w:eastAsia="Arial"/>
                <w:sz w:val="20"/>
                <w:szCs w:val="20"/>
              </w:rPr>
              <w:t>7</w:t>
            </w:r>
          </w:p>
        </w:tc>
        <w:tc>
          <w:tcPr>
            <w:tcW w:w="830" w:type="dxa"/>
          </w:tcPr>
          <w:p w:rsidR="00882D70" w:rsidRPr="007C51D6" w:rsidRDefault="00882D70" w:rsidP="00F53105">
            <w:pPr>
              <w:ind w:left="-57" w:right="-57"/>
              <w:jc w:val="center"/>
              <w:rPr>
                <w:rFonts w:eastAsia="Arial"/>
                <w:sz w:val="20"/>
                <w:szCs w:val="20"/>
              </w:rPr>
            </w:pPr>
            <w:r w:rsidRPr="007C51D6">
              <w:rPr>
                <w:rFonts w:eastAsia="Arial"/>
                <w:sz w:val="20"/>
                <w:szCs w:val="20"/>
              </w:rPr>
              <w:t>8</w:t>
            </w:r>
          </w:p>
        </w:tc>
        <w:tc>
          <w:tcPr>
            <w:tcW w:w="910" w:type="dxa"/>
            <w:gridSpan w:val="2"/>
          </w:tcPr>
          <w:p w:rsidR="00882D70" w:rsidRPr="007C51D6" w:rsidRDefault="00882D70" w:rsidP="00F53105">
            <w:pPr>
              <w:ind w:left="-57" w:right="-57"/>
              <w:jc w:val="center"/>
              <w:rPr>
                <w:rFonts w:eastAsia="Arial"/>
                <w:sz w:val="20"/>
                <w:szCs w:val="20"/>
              </w:rPr>
            </w:pPr>
            <w:r w:rsidRPr="007C51D6">
              <w:rPr>
                <w:rFonts w:eastAsia="Arial"/>
                <w:sz w:val="20"/>
                <w:szCs w:val="20"/>
              </w:rPr>
              <w:t>9</w:t>
            </w:r>
          </w:p>
        </w:tc>
        <w:tc>
          <w:tcPr>
            <w:tcW w:w="1044" w:type="dxa"/>
          </w:tcPr>
          <w:p w:rsidR="00882D70" w:rsidRPr="007C51D6" w:rsidRDefault="00882D70" w:rsidP="00F53105">
            <w:pPr>
              <w:ind w:left="-57" w:right="-57"/>
              <w:jc w:val="center"/>
              <w:rPr>
                <w:rFonts w:eastAsia="Arial"/>
                <w:sz w:val="20"/>
                <w:szCs w:val="20"/>
              </w:rPr>
            </w:pPr>
            <w:r w:rsidRPr="007C51D6">
              <w:rPr>
                <w:rFonts w:eastAsia="Arial"/>
                <w:sz w:val="20"/>
                <w:szCs w:val="20"/>
              </w:rPr>
              <w:t>10</w:t>
            </w:r>
          </w:p>
        </w:tc>
        <w:tc>
          <w:tcPr>
            <w:tcW w:w="927" w:type="dxa"/>
            <w:gridSpan w:val="2"/>
          </w:tcPr>
          <w:p w:rsidR="00882D70" w:rsidRPr="007C51D6" w:rsidRDefault="00882D70" w:rsidP="00F53105">
            <w:pPr>
              <w:jc w:val="center"/>
              <w:rPr>
                <w:color w:val="000000"/>
                <w:sz w:val="20"/>
                <w:szCs w:val="20"/>
              </w:rPr>
            </w:pPr>
            <w:r w:rsidRPr="007C51D6">
              <w:rPr>
                <w:color w:val="000000"/>
                <w:sz w:val="20"/>
                <w:szCs w:val="20"/>
              </w:rPr>
              <w:t>11</w:t>
            </w:r>
          </w:p>
        </w:tc>
        <w:tc>
          <w:tcPr>
            <w:tcW w:w="924" w:type="dxa"/>
          </w:tcPr>
          <w:p w:rsidR="00882D70" w:rsidRPr="007C51D6" w:rsidRDefault="00882D70" w:rsidP="00F53105">
            <w:pPr>
              <w:jc w:val="center"/>
              <w:rPr>
                <w:rFonts w:eastAsia="Arial"/>
                <w:sz w:val="20"/>
                <w:szCs w:val="20"/>
              </w:rPr>
            </w:pPr>
            <w:r w:rsidRPr="007C51D6">
              <w:rPr>
                <w:rFonts w:eastAsia="Arial"/>
                <w:sz w:val="20"/>
                <w:szCs w:val="20"/>
              </w:rPr>
              <w:t>12</w:t>
            </w:r>
          </w:p>
        </w:tc>
        <w:tc>
          <w:tcPr>
            <w:tcW w:w="880" w:type="dxa"/>
          </w:tcPr>
          <w:p w:rsidR="00882D70" w:rsidRPr="007C51D6" w:rsidRDefault="00FA70EC" w:rsidP="00F53105">
            <w:pPr>
              <w:jc w:val="center"/>
              <w:rPr>
                <w:rFonts w:eastAsia="Arial"/>
                <w:sz w:val="20"/>
                <w:szCs w:val="20"/>
              </w:rPr>
            </w:pPr>
            <w:r w:rsidRPr="007C51D6">
              <w:rPr>
                <w:rFonts w:eastAsia="Arial"/>
                <w:sz w:val="20"/>
                <w:szCs w:val="20"/>
              </w:rPr>
              <w:t>13</w:t>
            </w:r>
          </w:p>
        </w:tc>
        <w:tc>
          <w:tcPr>
            <w:tcW w:w="1980" w:type="dxa"/>
            <w:gridSpan w:val="2"/>
          </w:tcPr>
          <w:p w:rsidR="00882D70" w:rsidRPr="007C51D6" w:rsidRDefault="00882D70" w:rsidP="00FA70EC">
            <w:pPr>
              <w:jc w:val="center"/>
              <w:rPr>
                <w:rFonts w:eastAsia="Arial"/>
                <w:sz w:val="20"/>
                <w:szCs w:val="20"/>
              </w:rPr>
            </w:pPr>
            <w:r w:rsidRPr="007C51D6">
              <w:rPr>
                <w:rFonts w:eastAsia="Arial"/>
                <w:sz w:val="20"/>
                <w:szCs w:val="20"/>
              </w:rPr>
              <w:t>1</w:t>
            </w:r>
            <w:r w:rsidR="00FA70EC" w:rsidRPr="007C51D6">
              <w:rPr>
                <w:rFonts w:eastAsia="Arial"/>
                <w:sz w:val="20"/>
                <w:szCs w:val="20"/>
              </w:rPr>
              <w:t>4</w:t>
            </w:r>
          </w:p>
        </w:tc>
      </w:tr>
      <w:tr w:rsidR="00882D70" w:rsidRPr="007C51D6" w:rsidTr="009B6FE1">
        <w:tblPrEx>
          <w:tblBorders>
            <w:bottom w:val="single" w:sz="4" w:space="0" w:color="auto"/>
          </w:tblBorders>
        </w:tblPrEx>
        <w:trPr>
          <w:gridAfter w:val="1"/>
          <w:wAfter w:w="17" w:type="dxa"/>
          <w:trHeight w:val="20"/>
        </w:trPr>
        <w:tc>
          <w:tcPr>
            <w:tcW w:w="3507" w:type="dxa"/>
            <w:gridSpan w:val="2"/>
          </w:tcPr>
          <w:p w:rsidR="00882D70" w:rsidRPr="007C51D6" w:rsidRDefault="00882D70" w:rsidP="00F53105">
            <w:pPr>
              <w:jc w:val="center"/>
              <w:rPr>
                <w:rFonts w:eastAsia="Arial"/>
                <w:sz w:val="20"/>
                <w:szCs w:val="20"/>
              </w:rPr>
            </w:pPr>
          </w:p>
        </w:tc>
        <w:tc>
          <w:tcPr>
            <w:tcW w:w="11260" w:type="dxa"/>
            <w:gridSpan w:val="15"/>
          </w:tcPr>
          <w:p w:rsidR="00882D70" w:rsidRPr="007C51D6" w:rsidRDefault="00882D70" w:rsidP="00F53105">
            <w:pPr>
              <w:jc w:val="center"/>
              <w:rPr>
                <w:rFonts w:eastAsia="Arial"/>
                <w:sz w:val="20"/>
                <w:szCs w:val="20"/>
              </w:rPr>
            </w:pPr>
            <w:r w:rsidRPr="007C51D6">
              <w:rPr>
                <w:color w:val="000000"/>
                <w:sz w:val="20"/>
                <w:szCs w:val="20"/>
              </w:rPr>
              <w:t>Все население</w:t>
            </w:r>
          </w:p>
        </w:tc>
      </w:tr>
      <w:tr w:rsidR="00882D70" w:rsidRPr="007C51D6" w:rsidTr="009B6FE1">
        <w:tblPrEx>
          <w:tblBorders>
            <w:bottom w:val="single" w:sz="4" w:space="0" w:color="auto"/>
          </w:tblBorders>
        </w:tblPrEx>
        <w:trPr>
          <w:gridAfter w:val="1"/>
          <w:wAfter w:w="17" w:type="dxa"/>
          <w:trHeight w:val="20"/>
        </w:trPr>
        <w:tc>
          <w:tcPr>
            <w:tcW w:w="1793" w:type="dxa"/>
          </w:tcPr>
          <w:p w:rsidR="00882D70" w:rsidRPr="007C51D6" w:rsidRDefault="00882D70" w:rsidP="00F53105">
            <w:pPr>
              <w:jc w:val="both"/>
              <w:rPr>
                <w:rFonts w:eastAsia="Arial"/>
                <w:sz w:val="20"/>
                <w:szCs w:val="20"/>
              </w:rPr>
            </w:pPr>
            <w:r w:rsidRPr="007C51D6">
              <w:rPr>
                <w:rFonts w:eastAsia="Arial"/>
                <w:sz w:val="20"/>
                <w:szCs w:val="20"/>
              </w:rPr>
              <w:t xml:space="preserve">Республика Татарстан </w:t>
            </w:r>
          </w:p>
        </w:tc>
        <w:tc>
          <w:tcPr>
            <w:tcW w:w="1714" w:type="dxa"/>
            <w:vMerge w:val="restart"/>
          </w:tcPr>
          <w:p w:rsidR="00882D70" w:rsidRPr="007C51D6" w:rsidRDefault="00882D70" w:rsidP="00F53105">
            <w:pPr>
              <w:rPr>
                <w:rFonts w:eastAsia="Arial"/>
                <w:sz w:val="20"/>
                <w:szCs w:val="20"/>
              </w:rPr>
            </w:pPr>
            <w:r w:rsidRPr="007C51D6">
              <w:rPr>
                <w:rFonts w:eastAsia="Arial"/>
                <w:sz w:val="20"/>
                <w:szCs w:val="20"/>
              </w:rPr>
              <w:t>«грубый»</w:t>
            </w:r>
          </w:p>
        </w:tc>
        <w:tc>
          <w:tcPr>
            <w:tcW w:w="1011" w:type="dxa"/>
          </w:tcPr>
          <w:p w:rsidR="00882D70" w:rsidRPr="007C51D6" w:rsidRDefault="00882D70" w:rsidP="00F53105">
            <w:pPr>
              <w:autoSpaceDE/>
              <w:autoSpaceDN/>
              <w:adjustRightInd/>
              <w:jc w:val="center"/>
              <w:rPr>
                <w:color w:val="000000"/>
                <w:sz w:val="20"/>
                <w:szCs w:val="20"/>
              </w:rPr>
            </w:pPr>
            <w:r w:rsidRPr="007C51D6">
              <w:rPr>
                <w:color w:val="000000"/>
                <w:sz w:val="20"/>
                <w:szCs w:val="20"/>
              </w:rPr>
              <w:t>194,71</w:t>
            </w:r>
          </w:p>
        </w:tc>
        <w:tc>
          <w:tcPr>
            <w:tcW w:w="996" w:type="dxa"/>
          </w:tcPr>
          <w:p w:rsidR="00882D70" w:rsidRPr="007C51D6" w:rsidRDefault="00882D70" w:rsidP="00F53105">
            <w:pPr>
              <w:autoSpaceDE/>
              <w:autoSpaceDN/>
              <w:adjustRightInd/>
              <w:jc w:val="center"/>
              <w:rPr>
                <w:color w:val="000000"/>
                <w:sz w:val="20"/>
                <w:szCs w:val="20"/>
              </w:rPr>
            </w:pPr>
            <w:r w:rsidRPr="007C51D6">
              <w:rPr>
                <w:color w:val="000000"/>
                <w:sz w:val="20"/>
                <w:szCs w:val="20"/>
              </w:rPr>
              <w:t>189,06</w:t>
            </w:r>
          </w:p>
        </w:tc>
        <w:tc>
          <w:tcPr>
            <w:tcW w:w="831" w:type="dxa"/>
          </w:tcPr>
          <w:p w:rsidR="00882D70" w:rsidRPr="007C51D6" w:rsidRDefault="00882D70" w:rsidP="00F53105">
            <w:pPr>
              <w:autoSpaceDE/>
              <w:autoSpaceDN/>
              <w:adjustRightInd/>
              <w:jc w:val="center"/>
              <w:rPr>
                <w:color w:val="000000"/>
                <w:sz w:val="20"/>
                <w:szCs w:val="20"/>
              </w:rPr>
            </w:pPr>
            <w:r w:rsidRPr="007C51D6">
              <w:rPr>
                <w:color w:val="000000"/>
                <w:sz w:val="20"/>
                <w:szCs w:val="20"/>
              </w:rPr>
              <w:t>195,79</w:t>
            </w:r>
          </w:p>
        </w:tc>
        <w:tc>
          <w:tcPr>
            <w:tcW w:w="927" w:type="dxa"/>
            <w:gridSpan w:val="2"/>
          </w:tcPr>
          <w:p w:rsidR="00882D70" w:rsidRPr="007C51D6" w:rsidRDefault="00882D70" w:rsidP="00F53105">
            <w:pPr>
              <w:autoSpaceDE/>
              <w:autoSpaceDN/>
              <w:adjustRightInd/>
              <w:jc w:val="center"/>
              <w:rPr>
                <w:color w:val="000000"/>
                <w:sz w:val="20"/>
                <w:szCs w:val="20"/>
              </w:rPr>
            </w:pPr>
            <w:r w:rsidRPr="007C51D6">
              <w:rPr>
                <w:color w:val="000000"/>
                <w:sz w:val="20"/>
                <w:szCs w:val="20"/>
              </w:rPr>
              <w:t>185,89</w:t>
            </w:r>
          </w:p>
        </w:tc>
        <w:tc>
          <w:tcPr>
            <w:tcW w:w="830" w:type="dxa"/>
          </w:tcPr>
          <w:p w:rsidR="00882D70" w:rsidRPr="007C51D6" w:rsidRDefault="00882D70" w:rsidP="00F53105">
            <w:pPr>
              <w:autoSpaceDE/>
              <w:autoSpaceDN/>
              <w:adjustRightInd/>
              <w:jc w:val="center"/>
              <w:rPr>
                <w:color w:val="000000"/>
                <w:sz w:val="20"/>
                <w:szCs w:val="20"/>
              </w:rPr>
            </w:pPr>
            <w:r w:rsidRPr="007C51D6">
              <w:rPr>
                <w:color w:val="000000"/>
                <w:sz w:val="20"/>
                <w:szCs w:val="20"/>
              </w:rPr>
              <w:t>181,97</w:t>
            </w:r>
          </w:p>
        </w:tc>
        <w:tc>
          <w:tcPr>
            <w:tcW w:w="910" w:type="dxa"/>
            <w:gridSpan w:val="2"/>
          </w:tcPr>
          <w:p w:rsidR="00882D70" w:rsidRPr="007C51D6" w:rsidRDefault="00882D70" w:rsidP="00F53105">
            <w:pPr>
              <w:autoSpaceDE/>
              <w:autoSpaceDN/>
              <w:adjustRightInd/>
              <w:jc w:val="center"/>
              <w:rPr>
                <w:color w:val="000000"/>
                <w:sz w:val="20"/>
                <w:szCs w:val="20"/>
              </w:rPr>
            </w:pPr>
            <w:r w:rsidRPr="007C51D6">
              <w:rPr>
                <w:color w:val="000000"/>
                <w:sz w:val="20"/>
                <w:szCs w:val="20"/>
              </w:rPr>
              <w:t>173,30</w:t>
            </w:r>
          </w:p>
        </w:tc>
        <w:tc>
          <w:tcPr>
            <w:tcW w:w="1044" w:type="dxa"/>
          </w:tcPr>
          <w:p w:rsidR="00882D70" w:rsidRPr="007C51D6" w:rsidRDefault="00882D70" w:rsidP="00F53105">
            <w:pPr>
              <w:autoSpaceDE/>
              <w:autoSpaceDN/>
              <w:adjustRightInd/>
              <w:jc w:val="center"/>
              <w:rPr>
                <w:color w:val="000000"/>
                <w:sz w:val="20"/>
                <w:szCs w:val="20"/>
              </w:rPr>
            </w:pPr>
            <w:r w:rsidRPr="007C51D6">
              <w:rPr>
                <w:color w:val="000000"/>
                <w:sz w:val="20"/>
                <w:szCs w:val="20"/>
              </w:rPr>
              <w:t>165,64</w:t>
            </w:r>
          </w:p>
        </w:tc>
        <w:tc>
          <w:tcPr>
            <w:tcW w:w="927" w:type="dxa"/>
            <w:gridSpan w:val="2"/>
          </w:tcPr>
          <w:p w:rsidR="00882D70" w:rsidRPr="007C51D6" w:rsidRDefault="00882D70" w:rsidP="00F53105">
            <w:pPr>
              <w:autoSpaceDE/>
              <w:autoSpaceDN/>
              <w:adjustRightInd/>
              <w:jc w:val="center"/>
              <w:rPr>
                <w:color w:val="000000"/>
                <w:sz w:val="20"/>
                <w:szCs w:val="20"/>
              </w:rPr>
            </w:pPr>
            <w:r w:rsidRPr="007C51D6">
              <w:rPr>
                <w:color w:val="000000"/>
                <w:sz w:val="20"/>
                <w:szCs w:val="20"/>
              </w:rPr>
              <w:t>174,60</w:t>
            </w:r>
          </w:p>
        </w:tc>
        <w:tc>
          <w:tcPr>
            <w:tcW w:w="924" w:type="dxa"/>
          </w:tcPr>
          <w:p w:rsidR="00882D70" w:rsidRPr="007C51D6" w:rsidRDefault="00882D70" w:rsidP="00F53105">
            <w:pPr>
              <w:autoSpaceDE/>
              <w:autoSpaceDN/>
              <w:adjustRightInd/>
              <w:jc w:val="center"/>
              <w:rPr>
                <w:color w:val="000000"/>
                <w:sz w:val="20"/>
                <w:szCs w:val="20"/>
              </w:rPr>
            </w:pPr>
            <w:r w:rsidRPr="007C51D6">
              <w:rPr>
                <w:color w:val="000000"/>
                <w:sz w:val="20"/>
                <w:szCs w:val="20"/>
              </w:rPr>
              <w:t>176,8</w:t>
            </w:r>
          </w:p>
        </w:tc>
        <w:tc>
          <w:tcPr>
            <w:tcW w:w="880" w:type="dxa"/>
          </w:tcPr>
          <w:p w:rsidR="00882D70" w:rsidRPr="007C51D6" w:rsidRDefault="00882D70" w:rsidP="00F53105">
            <w:pPr>
              <w:jc w:val="center"/>
              <w:rPr>
                <w:color w:val="000000"/>
                <w:sz w:val="20"/>
                <w:szCs w:val="20"/>
              </w:rPr>
            </w:pPr>
            <w:r w:rsidRPr="007C51D6">
              <w:rPr>
                <w:color w:val="000000"/>
                <w:sz w:val="20"/>
                <w:szCs w:val="20"/>
              </w:rPr>
              <w:t>нет</w:t>
            </w:r>
          </w:p>
          <w:p w:rsidR="00882D70" w:rsidRPr="007C51D6" w:rsidRDefault="00882D70" w:rsidP="00F53105">
            <w:pPr>
              <w:jc w:val="center"/>
              <w:rPr>
                <w:rFonts w:eastAsia="Arial"/>
                <w:sz w:val="20"/>
                <w:szCs w:val="20"/>
              </w:rPr>
            </w:pPr>
            <w:r w:rsidRPr="007C51D6">
              <w:rPr>
                <w:color w:val="000000"/>
                <w:sz w:val="20"/>
                <w:szCs w:val="20"/>
              </w:rPr>
              <w:t>данных</w:t>
            </w:r>
          </w:p>
        </w:tc>
        <w:tc>
          <w:tcPr>
            <w:tcW w:w="1980" w:type="dxa"/>
            <w:gridSpan w:val="2"/>
          </w:tcPr>
          <w:p w:rsidR="00882D70" w:rsidRPr="007C51D6" w:rsidRDefault="00882D70" w:rsidP="00D72909">
            <w:pPr>
              <w:jc w:val="center"/>
              <w:rPr>
                <w:rFonts w:eastAsia="Arial"/>
                <w:sz w:val="20"/>
                <w:szCs w:val="20"/>
              </w:rPr>
            </w:pPr>
            <w:r w:rsidRPr="007C51D6">
              <w:rPr>
                <w:rFonts w:eastAsia="Arial"/>
                <w:sz w:val="20"/>
                <w:szCs w:val="20"/>
              </w:rPr>
              <w:t>- 9,</w:t>
            </w:r>
            <w:r w:rsidR="00D72909" w:rsidRPr="007C51D6">
              <w:rPr>
                <w:rFonts w:eastAsia="Arial"/>
                <w:sz w:val="20"/>
                <w:szCs w:val="20"/>
              </w:rPr>
              <w:t>2</w:t>
            </w:r>
          </w:p>
        </w:tc>
      </w:tr>
      <w:tr w:rsidR="00882D70" w:rsidRPr="007C51D6" w:rsidTr="009B6FE1">
        <w:tblPrEx>
          <w:tblBorders>
            <w:bottom w:val="single" w:sz="4" w:space="0" w:color="auto"/>
          </w:tblBorders>
        </w:tblPrEx>
        <w:trPr>
          <w:gridAfter w:val="1"/>
          <w:wAfter w:w="17" w:type="dxa"/>
          <w:trHeight w:val="20"/>
        </w:trPr>
        <w:tc>
          <w:tcPr>
            <w:tcW w:w="1793" w:type="dxa"/>
          </w:tcPr>
          <w:p w:rsidR="00882D70" w:rsidRPr="007C51D6" w:rsidRDefault="00882D70" w:rsidP="00F53105">
            <w:pPr>
              <w:jc w:val="both"/>
              <w:rPr>
                <w:rFonts w:eastAsia="Arial"/>
                <w:sz w:val="20"/>
                <w:szCs w:val="20"/>
              </w:rPr>
            </w:pPr>
            <w:r w:rsidRPr="007C51D6">
              <w:rPr>
                <w:color w:val="000000"/>
                <w:sz w:val="20"/>
                <w:szCs w:val="20"/>
              </w:rPr>
              <w:t>Приволжcкий федеральный округ</w:t>
            </w:r>
          </w:p>
        </w:tc>
        <w:tc>
          <w:tcPr>
            <w:tcW w:w="1714" w:type="dxa"/>
            <w:vMerge/>
          </w:tcPr>
          <w:p w:rsidR="00882D70" w:rsidRPr="007C51D6" w:rsidRDefault="00882D70" w:rsidP="00F53105">
            <w:pPr>
              <w:rPr>
                <w:rFonts w:eastAsia="Arial"/>
                <w:sz w:val="20"/>
                <w:szCs w:val="20"/>
              </w:rPr>
            </w:pPr>
          </w:p>
        </w:tc>
        <w:tc>
          <w:tcPr>
            <w:tcW w:w="1011" w:type="dxa"/>
          </w:tcPr>
          <w:p w:rsidR="00882D70" w:rsidRPr="007C51D6" w:rsidRDefault="00882D70" w:rsidP="00F53105">
            <w:pPr>
              <w:autoSpaceDE/>
              <w:autoSpaceDN/>
              <w:adjustRightInd/>
              <w:jc w:val="center"/>
              <w:rPr>
                <w:color w:val="000000"/>
                <w:sz w:val="20"/>
                <w:szCs w:val="20"/>
              </w:rPr>
            </w:pPr>
            <w:r w:rsidRPr="007C51D6">
              <w:rPr>
                <w:color w:val="000000"/>
                <w:sz w:val="20"/>
                <w:szCs w:val="20"/>
              </w:rPr>
              <w:t>192,72</w:t>
            </w:r>
          </w:p>
        </w:tc>
        <w:tc>
          <w:tcPr>
            <w:tcW w:w="996" w:type="dxa"/>
          </w:tcPr>
          <w:p w:rsidR="00882D70" w:rsidRPr="007C51D6" w:rsidRDefault="00882D70" w:rsidP="00F53105">
            <w:pPr>
              <w:autoSpaceDE/>
              <w:autoSpaceDN/>
              <w:adjustRightInd/>
              <w:jc w:val="center"/>
              <w:rPr>
                <w:color w:val="000000"/>
                <w:sz w:val="20"/>
                <w:szCs w:val="20"/>
              </w:rPr>
            </w:pPr>
            <w:r w:rsidRPr="007C51D6">
              <w:rPr>
                <w:color w:val="000000"/>
                <w:sz w:val="20"/>
                <w:szCs w:val="20"/>
              </w:rPr>
              <w:t>190,65</w:t>
            </w:r>
          </w:p>
        </w:tc>
        <w:tc>
          <w:tcPr>
            <w:tcW w:w="831" w:type="dxa"/>
          </w:tcPr>
          <w:p w:rsidR="00882D70" w:rsidRPr="007C51D6" w:rsidRDefault="00882D70" w:rsidP="00F53105">
            <w:pPr>
              <w:autoSpaceDE/>
              <w:autoSpaceDN/>
              <w:adjustRightInd/>
              <w:jc w:val="center"/>
              <w:rPr>
                <w:color w:val="000000"/>
                <w:sz w:val="20"/>
                <w:szCs w:val="20"/>
              </w:rPr>
            </w:pPr>
            <w:r w:rsidRPr="007C51D6">
              <w:rPr>
                <w:color w:val="000000"/>
                <w:sz w:val="20"/>
                <w:szCs w:val="20"/>
              </w:rPr>
              <w:t>192,32</w:t>
            </w:r>
          </w:p>
        </w:tc>
        <w:tc>
          <w:tcPr>
            <w:tcW w:w="927" w:type="dxa"/>
            <w:gridSpan w:val="2"/>
          </w:tcPr>
          <w:p w:rsidR="00882D70" w:rsidRPr="007C51D6" w:rsidRDefault="00882D70" w:rsidP="00F53105">
            <w:pPr>
              <w:autoSpaceDE/>
              <w:autoSpaceDN/>
              <w:adjustRightInd/>
              <w:jc w:val="center"/>
              <w:rPr>
                <w:color w:val="000000"/>
                <w:sz w:val="20"/>
                <w:szCs w:val="20"/>
              </w:rPr>
            </w:pPr>
            <w:r w:rsidRPr="007C51D6">
              <w:rPr>
                <w:color w:val="000000"/>
                <w:sz w:val="20"/>
                <w:szCs w:val="20"/>
              </w:rPr>
              <w:t>194,68</w:t>
            </w:r>
          </w:p>
        </w:tc>
        <w:tc>
          <w:tcPr>
            <w:tcW w:w="830" w:type="dxa"/>
          </w:tcPr>
          <w:p w:rsidR="00882D70" w:rsidRPr="007C51D6" w:rsidRDefault="00882D70" w:rsidP="00F53105">
            <w:pPr>
              <w:autoSpaceDE/>
              <w:autoSpaceDN/>
              <w:adjustRightInd/>
              <w:jc w:val="center"/>
              <w:rPr>
                <w:color w:val="000000"/>
                <w:sz w:val="20"/>
                <w:szCs w:val="20"/>
              </w:rPr>
            </w:pPr>
            <w:r w:rsidRPr="007C51D6">
              <w:rPr>
                <w:color w:val="000000"/>
                <w:sz w:val="20"/>
                <w:szCs w:val="20"/>
              </w:rPr>
              <w:t>193,86</w:t>
            </w:r>
          </w:p>
        </w:tc>
        <w:tc>
          <w:tcPr>
            <w:tcW w:w="910" w:type="dxa"/>
            <w:gridSpan w:val="2"/>
          </w:tcPr>
          <w:p w:rsidR="00882D70" w:rsidRPr="007C51D6" w:rsidRDefault="00882D70" w:rsidP="00F53105">
            <w:pPr>
              <w:autoSpaceDE/>
              <w:autoSpaceDN/>
              <w:adjustRightInd/>
              <w:jc w:val="center"/>
              <w:rPr>
                <w:color w:val="000000"/>
                <w:sz w:val="20"/>
                <w:szCs w:val="20"/>
              </w:rPr>
            </w:pPr>
            <w:r w:rsidRPr="007C51D6">
              <w:rPr>
                <w:color w:val="000000"/>
                <w:sz w:val="20"/>
                <w:szCs w:val="20"/>
              </w:rPr>
              <w:t>186,62</w:t>
            </w:r>
          </w:p>
        </w:tc>
        <w:tc>
          <w:tcPr>
            <w:tcW w:w="1044" w:type="dxa"/>
          </w:tcPr>
          <w:p w:rsidR="00882D70" w:rsidRPr="007C51D6" w:rsidRDefault="00882D70" w:rsidP="00F53105">
            <w:pPr>
              <w:autoSpaceDE/>
              <w:autoSpaceDN/>
              <w:adjustRightInd/>
              <w:jc w:val="center"/>
              <w:rPr>
                <w:color w:val="000000"/>
                <w:sz w:val="20"/>
                <w:szCs w:val="20"/>
              </w:rPr>
            </w:pPr>
            <w:r w:rsidRPr="007C51D6">
              <w:rPr>
                <w:color w:val="000000"/>
                <w:sz w:val="20"/>
                <w:szCs w:val="20"/>
              </w:rPr>
              <w:t>185,70</w:t>
            </w:r>
          </w:p>
        </w:tc>
        <w:tc>
          <w:tcPr>
            <w:tcW w:w="927" w:type="dxa"/>
            <w:gridSpan w:val="2"/>
          </w:tcPr>
          <w:p w:rsidR="00882D70" w:rsidRPr="007C51D6" w:rsidRDefault="00882D70" w:rsidP="00F53105">
            <w:pPr>
              <w:autoSpaceDE/>
              <w:autoSpaceDN/>
              <w:adjustRightInd/>
              <w:jc w:val="center"/>
              <w:rPr>
                <w:color w:val="000000"/>
                <w:sz w:val="20"/>
                <w:szCs w:val="20"/>
              </w:rPr>
            </w:pPr>
            <w:r w:rsidRPr="007C51D6">
              <w:rPr>
                <w:color w:val="000000"/>
                <w:sz w:val="20"/>
                <w:szCs w:val="20"/>
              </w:rPr>
              <w:t>189,51</w:t>
            </w:r>
          </w:p>
        </w:tc>
        <w:tc>
          <w:tcPr>
            <w:tcW w:w="924" w:type="dxa"/>
          </w:tcPr>
          <w:p w:rsidR="00882D70" w:rsidRPr="007C51D6" w:rsidRDefault="00882D70" w:rsidP="00F53105">
            <w:pPr>
              <w:jc w:val="center"/>
              <w:rPr>
                <w:color w:val="000000"/>
                <w:sz w:val="20"/>
                <w:szCs w:val="20"/>
              </w:rPr>
            </w:pPr>
            <w:r w:rsidRPr="007C51D6">
              <w:rPr>
                <w:color w:val="000000"/>
                <w:sz w:val="20"/>
                <w:szCs w:val="20"/>
              </w:rPr>
              <w:t>нет</w:t>
            </w:r>
          </w:p>
          <w:p w:rsidR="00882D70" w:rsidRPr="007C51D6" w:rsidRDefault="00882D70" w:rsidP="00F53105">
            <w:pPr>
              <w:jc w:val="center"/>
              <w:rPr>
                <w:rFonts w:eastAsia="Arial"/>
                <w:sz w:val="20"/>
                <w:szCs w:val="20"/>
              </w:rPr>
            </w:pPr>
            <w:r w:rsidRPr="007C51D6">
              <w:rPr>
                <w:color w:val="000000"/>
                <w:sz w:val="20"/>
                <w:szCs w:val="20"/>
              </w:rPr>
              <w:t>данных</w:t>
            </w:r>
          </w:p>
        </w:tc>
        <w:tc>
          <w:tcPr>
            <w:tcW w:w="880" w:type="dxa"/>
          </w:tcPr>
          <w:p w:rsidR="00882D70" w:rsidRPr="007C51D6" w:rsidRDefault="00882D70" w:rsidP="00F53105">
            <w:pPr>
              <w:jc w:val="center"/>
              <w:rPr>
                <w:color w:val="000000"/>
                <w:sz w:val="20"/>
                <w:szCs w:val="20"/>
              </w:rPr>
            </w:pPr>
            <w:r w:rsidRPr="007C51D6">
              <w:rPr>
                <w:color w:val="000000"/>
                <w:sz w:val="20"/>
                <w:szCs w:val="20"/>
              </w:rPr>
              <w:t>нет</w:t>
            </w:r>
          </w:p>
          <w:p w:rsidR="00882D70" w:rsidRPr="007C51D6" w:rsidRDefault="00882D70" w:rsidP="00F53105">
            <w:pPr>
              <w:jc w:val="center"/>
              <w:rPr>
                <w:rFonts w:eastAsia="Arial"/>
                <w:sz w:val="20"/>
                <w:szCs w:val="20"/>
              </w:rPr>
            </w:pPr>
            <w:r w:rsidRPr="007C51D6">
              <w:rPr>
                <w:color w:val="000000"/>
                <w:sz w:val="20"/>
                <w:szCs w:val="20"/>
              </w:rPr>
              <w:t>данных</w:t>
            </w:r>
          </w:p>
        </w:tc>
        <w:tc>
          <w:tcPr>
            <w:tcW w:w="1980" w:type="dxa"/>
            <w:gridSpan w:val="2"/>
          </w:tcPr>
          <w:p w:rsidR="00882D70" w:rsidRPr="007C51D6" w:rsidRDefault="00882D70" w:rsidP="00F53105">
            <w:pPr>
              <w:jc w:val="center"/>
              <w:rPr>
                <w:rFonts w:eastAsia="Arial"/>
                <w:sz w:val="20"/>
                <w:szCs w:val="20"/>
              </w:rPr>
            </w:pPr>
            <w:r w:rsidRPr="007C51D6">
              <w:rPr>
                <w:rFonts w:eastAsia="Arial"/>
                <w:sz w:val="20"/>
                <w:szCs w:val="20"/>
              </w:rPr>
              <w:t>-</w:t>
            </w:r>
          </w:p>
        </w:tc>
      </w:tr>
      <w:tr w:rsidR="00882D70" w:rsidRPr="007C51D6" w:rsidTr="009B6FE1">
        <w:tblPrEx>
          <w:tblBorders>
            <w:bottom w:val="single" w:sz="4" w:space="0" w:color="auto"/>
          </w:tblBorders>
        </w:tblPrEx>
        <w:trPr>
          <w:gridAfter w:val="1"/>
          <w:wAfter w:w="17" w:type="dxa"/>
          <w:trHeight w:val="20"/>
        </w:trPr>
        <w:tc>
          <w:tcPr>
            <w:tcW w:w="1793" w:type="dxa"/>
          </w:tcPr>
          <w:p w:rsidR="00882D70" w:rsidRPr="007C51D6" w:rsidRDefault="00882D70" w:rsidP="00F53105">
            <w:pPr>
              <w:jc w:val="both"/>
              <w:rPr>
                <w:color w:val="000000"/>
                <w:sz w:val="20"/>
                <w:szCs w:val="20"/>
              </w:rPr>
            </w:pPr>
            <w:r w:rsidRPr="007C51D6">
              <w:rPr>
                <w:color w:val="000000"/>
                <w:sz w:val="20"/>
                <w:szCs w:val="20"/>
              </w:rPr>
              <w:t>Российская Федерация</w:t>
            </w:r>
          </w:p>
        </w:tc>
        <w:tc>
          <w:tcPr>
            <w:tcW w:w="1714" w:type="dxa"/>
            <w:vMerge/>
          </w:tcPr>
          <w:p w:rsidR="00882D70" w:rsidRPr="007C51D6" w:rsidRDefault="00882D70" w:rsidP="00F53105">
            <w:pPr>
              <w:rPr>
                <w:rFonts w:eastAsia="Arial"/>
                <w:sz w:val="20"/>
                <w:szCs w:val="20"/>
              </w:rPr>
            </w:pPr>
          </w:p>
        </w:tc>
        <w:tc>
          <w:tcPr>
            <w:tcW w:w="1011" w:type="dxa"/>
          </w:tcPr>
          <w:p w:rsidR="00882D70" w:rsidRPr="007C51D6" w:rsidRDefault="00882D70" w:rsidP="00F53105">
            <w:pPr>
              <w:autoSpaceDE/>
              <w:autoSpaceDN/>
              <w:adjustRightInd/>
              <w:jc w:val="center"/>
              <w:rPr>
                <w:color w:val="000000"/>
                <w:sz w:val="20"/>
                <w:szCs w:val="20"/>
              </w:rPr>
            </w:pPr>
            <w:r w:rsidRPr="007C51D6">
              <w:rPr>
                <w:color w:val="000000"/>
                <w:sz w:val="20"/>
                <w:szCs w:val="20"/>
              </w:rPr>
              <w:t>201,62</w:t>
            </w:r>
          </w:p>
        </w:tc>
        <w:tc>
          <w:tcPr>
            <w:tcW w:w="996" w:type="dxa"/>
          </w:tcPr>
          <w:p w:rsidR="00882D70" w:rsidRPr="007C51D6" w:rsidRDefault="00882D70" w:rsidP="00F53105">
            <w:pPr>
              <w:autoSpaceDE/>
              <w:autoSpaceDN/>
              <w:adjustRightInd/>
              <w:jc w:val="center"/>
              <w:rPr>
                <w:color w:val="000000"/>
                <w:sz w:val="20"/>
                <w:szCs w:val="20"/>
              </w:rPr>
            </w:pPr>
            <w:r w:rsidRPr="007C51D6">
              <w:rPr>
                <w:color w:val="000000"/>
                <w:sz w:val="20"/>
                <w:szCs w:val="20"/>
              </w:rPr>
              <w:t>197,94</w:t>
            </w:r>
          </w:p>
        </w:tc>
        <w:tc>
          <w:tcPr>
            <w:tcW w:w="831" w:type="dxa"/>
          </w:tcPr>
          <w:p w:rsidR="00882D70" w:rsidRPr="007C51D6" w:rsidRDefault="00882D70" w:rsidP="00F53105">
            <w:pPr>
              <w:autoSpaceDE/>
              <w:autoSpaceDN/>
              <w:adjustRightInd/>
              <w:jc w:val="center"/>
              <w:rPr>
                <w:color w:val="000000"/>
                <w:sz w:val="20"/>
                <w:szCs w:val="20"/>
              </w:rPr>
            </w:pPr>
            <w:r w:rsidRPr="007C51D6">
              <w:rPr>
                <w:color w:val="000000"/>
                <w:sz w:val="20"/>
                <w:szCs w:val="20"/>
              </w:rPr>
              <w:t>200,03</w:t>
            </w:r>
          </w:p>
        </w:tc>
        <w:tc>
          <w:tcPr>
            <w:tcW w:w="927" w:type="dxa"/>
            <w:gridSpan w:val="2"/>
          </w:tcPr>
          <w:p w:rsidR="00882D70" w:rsidRPr="007C51D6" w:rsidRDefault="00882D70" w:rsidP="00F53105">
            <w:pPr>
              <w:autoSpaceDE/>
              <w:autoSpaceDN/>
              <w:adjustRightInd/>
              <w:jc w:val="center"/>
              <w:rPr>
                <w:color w:val="000000"/>
                <w:sz w:val="20"/>
                <w:szCs w:val="20"/>
              </w:rPr>
            </w:pPr>
            <w:r w:rsidRPr="007C51D6">
              <w:rPr>
                <w:color w:val="000000"/>
                <w:sz w:val="20"/>
                <w:szCs w:val="20"/>
              </w:rPr>
              <w:t>200,59</w:t>
            </w:r>
          </w:p>
        </w:tc>
        <w:tc>
          <w:tcPr>
            <w:tcW w:w="830" w:type="dxa"/>
          </w:tcPr>
          <w:p w:rsidR="00882D70" w:rsidRPr="007C51D6" w:rsidRDefault="00882D70" w:rsidP="00F53105">
            <w:pPr>
              <w:autoSpaceDE/>
              <w:autoSpaceDN/>
              <w:adjustRightInd/>
              <w:jc w:val="center"/>
              <w:rPr>
                <w:color w:val="000000"/>
                <w:sz w:val="20"/>
                <w:szCs w:val="20"/>
              </w:rPr>
            </w:pPr>
            <w:r w:rsidRPr="007C51D6">
              <w:rPr>
                <w:color w:val="000000"/>
                <w:sz w:val="20"/>
                <w:szCs w:val="20"/>
              </w:rPr>
              <w:t>199,00</w:t>
            </w:r>
          </w:p>
        </w:tc>
        <w:tc>
          <w:tcPr>
            <w:tcW w:w="910" w:type="dxa"/>
            <w:gridSpan w:val="2"/>
          </w:tcPr>
          <w:p w:rsidR="00882D70" w:rsidRPr="007C51D6" w:rsidRDefault="00882D70" w:rsidP="00F53105">
            <w:pPr>
              <w:autoSpaceDE/>
              <w:autoSpaceDN/>
              <w:adjustRightInd/>
              <w:jc w:val="center"/>
              <w:rPr>
                <w:color w:val="000000"/>
                <w:sz w:val="20"/>
                <w:szCs w:val="20"/>
              </w:rPr>
            </w:pPr>
            <w:r w:rsidRPr="007C51D6">
              <w:rPr>
                <w:color w:val="000000"/>
                <w:sz w:val="20"/>
                <w:szCs w:val="20"/>
              </w:rPr>
              <w:t>191,27</w:t>
            </w:r>
          </w:p>
        </w:tc>
        <w:tc>
          <w:tcPr>
            <w:tcW w:w="1044" w:type="dxa"/>
          </w:tcPr>
          <w:p w:rsidR="00882D70" w:rsidRPr="007C51D6" w:rsidRDefault="00882D70" w:rsidP="00F53105">
            <w:pPr>
              <w:autoSpaceDE/>
              <w:autoSpaceDN/>
              <w:adjustRightInd/>
              <w:jc w:val="center"/>
              <w:rPr>
                <w:color w:val="000000"/>
                <w:sz w:val="20"/>
                <w:szCs w:val="20"/>
              </w:rPr>
            </w:pPr>
            <w:r w:rsidRPr="007C51D6">
              <w:rPr>
                <w:color w:val="000000"/>
                <w:sz w:val="20"/>
                <w:szCs w:val="20"/>
              </w:rPr>
              <w:t>188,72</w:t>
            </w:r>
          </w:p>
        </w:tc>
        <w:tc>
          <w:tcPr>
            <w:tcW w:w="927" w:type="dxa"/>
            <w:gridSpan w:val="2"/>
          </w:tcPr>
          <w:p w:rsidR="00882D70" w:rsidRPr="007C51D6" w:rsidRDefault="00882D70" w:rsidP="00F53105">
            <w:pPr>
              <w:autoSpaceDE/>
              <w:autoSpaceDN/>
              <w:adjustRightInd/>
              <w:jc w:val="center"/>
              <w:rPr>
                <w:color w:val="000000"/>
                <w:sz w:val="20"/>
                <w:szCs w:val="20"/>
              </w:rPr>
            </w:pPr>
            <w:r w:rsidRPr="007C51D6">
              <w:rPr>
                <w:color w:val="000000"/>
                <w:sz w:val="20"/>
                <w:szCs w:val="20"/>
              </w:rPr>
              <w:t>194,34</w:t>
            </w:r>
          </w:p>
        </w:tc>
        <w:tc>
          <w:tcPr>
            <w:tcW w:w="924" w:type="dxa"/>
          </w:tcPr>
          <w:p w:rsidR="00882D70" w:rsidRPr="007C51D6" w:rsidRDefault="00882D70" w:rsidP="00F53105">
            <w:pPr>
              <w:jc w:val="center"/>
              <w:rPr>
                <w:color w:val="000000"/>
                <w:sz w:val="20"/>
                <w:szCs w:val="20"/>
              </w:rPr>
            </w:pPr>
            <w:r w:rsidRPr="007C51D6">
              <w:rPr>
                <w:color w:val="000000"/>
                <w:sz w:val="20"/>
                <w:szCs w:val="20"/>
              </w:rPr>
              <w:t>нет</w:t>
            </w:r>
          </w:p>
          <w:p w:rsidR="00882D70" w:rsidRPr="007C51D6" w:rsidRDefault="00882D70" w:rsidP="00F53105">
            <w:pPr>
              <w:jc w:val="center"/>
              <w:rPr>
                <w:rFonts w:eastAsia="Arial"/>
                <w:sz w:val="20"/>
                <w:szCs w:val="20"/>
              </w:rPr>
            </w:pPr>
            <w:r w:rsidRPr="007C51D6">
              <w:rPr>
                <w:color w:val="000000"/>
                <w:sz w:val="20"/>
                <w:szCs w:val="20"/>
              </w:rPr>
              <w:t>данных</w:t>
            </w:r>
          </w:p>
        </w:tc>
        <w:tc>
          <w:tcPr>
            <w:tcW w:w="880" w:type="dxa"/>
          </w:tcPr>
          <w:p w:rsidR="00882D70" w:rsidRPr="007C51D6" w:rsidRDefault="00882D70" w:rsidP="00F53105">
            <w:pPr>
              <w:jc w:val="center"/>
              <w:rPr>
                <w:color w:val="000000"/>
                <w:sz w:val="20"/>
                <w:szCs w:val="20"/>
              </w:rPr>
            </w:pPr>
            <w:r w:rsidRPr="007C51D6">
              <w:rPr>
                <w:color w:val="000000"/>
                <w:sz w:val="20"/>
                <w:szCs w:val="20"/>
              </w:rPr>
              <w:t>нет</w:t>
            </w:r>
          </w:p>
          <w:p w:rsidR="00882D70" w:rsidRPr="007C51D6" w:rsidRDefault="00882D70" w:rsidP="00F53105">
            <w:pPr>
              <w:jc w:val="center"/>
              <w:rPr>
                <w:rFonts w:eastAsia="Arial"/>
                <w:sz w:val="20"/>
                <w:szCs w:val="20"/>
              </w:rPr>
            </w:pPr>
            <w:r w:rsidRPr="007C51D6">
              <w:rPr>
                <w:color w:val="000000"/>
                <w:sz w:val="20"/>
                <w:szCs w:val="20"/>
              </w:rPr>
              <w:t>данных</w:t>
            </w:r>
          </w:p>
        </w:tc>
        <w:tc>
          <w:tcPr>
            <w:tcW w:w="1980" w:type="dxa"/>
            <w:gridSpan w:val="2"/>
          </w:tcPr>
          <w:p w:rsidR="00882D70" w:rsidRPr="007C51D6" w:rsidRDefault="00882D70" w:rsidP="00F53105">
            <w:pPr>
              <w:jc w:val="center"/>
              <w:rPr>
                <w:rFonts w:eastAsia="Arial"/>
                <w:sz w:val="20"/>
                <w:szCs w:val="20"/>
              </w:rPr>
            </w:pPr>
            <w:r w:rsidRPr="007C51D6">
              <w:rPr>
                <w:rFonts w:eastAsia="Arial"/>
                <w:sz w:val="20"/>
                <w:szCs w:val="20"/>
              </w:rPr>
              <w:t>-</w:t>
            </w:r>
          </w:p>
        </w:tc>
      </w:tr>
      <w:tr w:rsidR="00882D70" w:rsidRPr="007C51D6" w:rsidTr="009B6FE1">
        <w:tblPrEx>
          <w:tblBorders>
            <w:bottom w:val="single" w:sz="4" w:space="0" w:color="auto"/>
          </w:tblBorders>
        </w:tblPrEx>
        <w:trPr>
          <w:gridAfter w:val="1"/>
          <w:wAfter w:w="17" w:type="dxa"/>
          <w:trHeight w:val="20"/>
        </w:trPr>
        <w:tc>
          <w:tcPr>
            <w:tcW w:w="1793" w:type="dxa"/>
          </w:tcPr>
          <w:p w:rsidR="00882D70" w:rsidRPr="007C51D6" w:rsidRDefault="00882D70" w:rsidP="00F53105">
            <w:pPr>
              <w:jc w:val="both"/>
              <w:rPr>
                <w:rFonts w:eastAsia="Arial"/>
                <w:sz w:val="20"/>
                <w:szCs w:val="20"/>
              </w:rPr>
            </w:pPr>
            <w:r w:rsidRPr="007C51D6">
              <w:rPr>
                <w:rFonts w:eastAsia="Arial"/>
                <w:sz w:val="20"/>
                <w:szCs w:val="20"/>
              </w:rPr>
              <w:t>Республика Татарстан</w:t>
            </w:r>
          </w:p>
        </w:tc>
        <w:tc>
          <w:tcPr>
            <w:tcW w:w="1714" w:type="dxa"/>
            <w:vMerge w:val="restart"/>
          </w:tcPr>
          <w:p w:rsidR="00882D70" w:rsidRPr="007C51D6" w:rsidRDefault="00882D70" w:rsidP="00F53105">
            <w:pPr>
              <w:rPr>
                <w:rFonts w:eastAsia="Arial"/>
                <w:sz w:val="20"/>
                <w:szCs w:val="20"/>
              </w:rPr>
            </w:pPr>
            <w:r w:rsidRPr="007C51D6">
              <w:rPr>
                <w:rFonts w:eastAsia="Arial"/>
                <w:sz w:val="20"/>
                <w:szCs w:val="20"/>
              </w:rPr>
              <w:t>стандартизованный</w:t>
            </w:r>
          </w:p>
        </w:tc>
        <w:tc>
          <w:tcPr>
            <w:tcW w:w="1011" w:type="dxa"/>
          </w:tcPr>
          <w:p w:rsidR="00882D70" w:rsidRPr="007C51D6" w:rsidRDefault="00882D70" w:rsidP="00F53105">
            <w:pPr>
              <w:autoSpaceDE/>
              <w:autoSpaceDN/>
              <w:adjustRightInd/>
              <w:jc w:val="center"/>
              <w:rPr>
                <w:color w:val="000000"/>
                <w:sz w:val="20"/>
                <w:szCs w:val="20"/>
              </w:rPr>
            </w:pPr>
            <w:r w:rsidRPr="007C51D6">
              <w:rPr>
                <w:color w:val="000000"/>
                <w:sz w:val="20"/>
                <w:szCs w:val="20"/>
              </w:rPr>
              <w:t>110,00</w:t>
            </w:r>
          </w:p>
        </w:tc>
        <w:tc>
          <w:tcPr>
            <w:tcW w:w="996" w:type="dxa"/>
          </w:tcPr>
          <w:p w:rsidR="00882D70" w:rsidRPr="007C51D6" w:rsidRDefault="00882D70" w:rsidP="00F53105">
            <w:pPr>
              <w:autoSpaceDE/>
              <w:autoSpaceDN/>
              <w:adjustRightInd/>
              <w:jc w:val="center"/>
              <w:rPr>
                <w:color w:val="000000"/>
                <w:sz w:val="20"/>
                <w:szCs w:val="20"/>
              </w:rPr>
            </w:pPr>
            <w:r w:rsidRPr="007C51D6">
              <w:rPr>
                <w:color w:val="000000"/>
                <w:sz w:val="20"/>
                <w:szCs w:val="20"/>
              </w:rPr>
              <w:t>104,07</w:t>
            </w:r>
          </w:p>
        </w:tc>
        <w:tc>
          <w:tcPr>
            <w:tcW w:w="831" w:type="dxa"/>
          </w:tcPr>
          <w:p w:rsidR="00882D70" w:rsidRPr="007C51D6" w:rsidRDefault="00882D70" w:rsidP="00F53105">
            <w:pPr>
              <w:autoSpaceDE/>
              <w:autoSpaceDN/>
              <w:adjustRightInd/>
              <w:jc w:val="center"/>
              <w:rPr>
                <w:color w:val="000000"/>
                <w:sz w:val="20"/>
                <w:szCs w:val="20"/>
              </w:rPr>
            </w:pPr>
            <w:r w:rsidRPr="007C51D6">
              <w:rPr>
                <w:color w:val="000000"/>
                <w:sz w:val="20"/>
                <w:szCs w:val="20"/>
              </w:rPr>
              <w:t>108,35</w:t>
            </w:r>
          </w:p>
        </w:tc>
        <w:tc>
          <w:tcPr>
            <w:tcW w:w="927" w:type="dxa"/>
            <w:gridSpan w:val="2"/>
          </w:tcPr>
          <w:p w:rsidR="00882D70" w:rsidRPr="007C51D6" w:rsidRDefault="00882D70" w:rsidP="00F53105">
            <w:pPr>
              <w:autoSpaceDE/>
              <w:autoSpaceDN/>
              <w:adjustRightInd/>
              <w:jc w:val="center"/>
              <w:rPr>
                <w:color w:val="000000"/>
                <w:sz w:val="20"/>
                <w:szCs w:val="20"/>
              </w:rPr>
            </w:pPr>
            <w:r w:rsidRPr="007C51D6">
              <w:rPr>
                <w:color w:val="000000"/>
                <w:sz w:val="20"/>
                <w:szCs w:val="20"/>
              </w:rPr>
              <w:t>100,68</w:t>
            </w:r>
          </w:p>
        </w:tc>
        <w:tc>
          <w:tcPr>
            <w:tcW w:w="830" w:type="dxa"/>
          </w:tcPr>
          <w:p w:rsidR="00882D70" w:rsidRPr="007C51D6" w:rsidRDefault="00882D70" w:rsidP="00F53105">
            <w:pPr>
              <w:autoSpaceDE/>
              <w:autoSpaceDN/>
              <w:adjustRightInd/>
              <w:jc w:val="center"/>
              <w:rPr>
                <w:color w:val="000000"/>
                <w:sz w:val="20"/>
                <w:szCs w:val="20"/>
              </w:rPr>
            </w:pPr>
            <w:r w:rsidRPr="007C51D6">
              <w:rPr>
                <w:color w:val="000000"/>
                <w:sz w:val="20"/>
                <w:szCs w:val="20"/>
              </w:rPr>
              <w:t>97,49</w:t>
            </w:r>
          </w:p>
        </w:tc>
        <w:tc>
          <w:tcPr>
            <w:tcW w:w="910" w:type="dxa"/>
            <w:gridSpan w:val="2"/>
          </w:tcPr>
          <w:p w:rsidR="00882D70" w:rsidRPr="007C51D6" w:rsidRDefault="00882D70" w:rsidP="00F53105">
            <w:pPr>
              <w:autoSpaceDE/>
              <w:autoSpaceDN/>
              <w:adjustRightInd/>
              <w:jc w:val="center"/>
              <w:rPr>
                <w:color w:val="000000"/>
                <w:sz w:val="20"/>
                <w:szCs w:val="20"/>
              </w:rPr>
            </w:pPr>
            <w:r w:rsidRPr="007C51D6">
              <w:rPr>
                <w:color w:val="000000"/>
                <w:sz w:val="20"/>
                <w:szCs w:val="20"/>
              </w:rPr>
              <w:t>93,01</w:t>
            </w:r>
          </w:p>
        </w:tc>
        <w:tc>
          <w:tcPr>
            <w:tcW w:w="1044" w:type="dxa"/>
          </w:tcPr>
          <w:p w:rsidR="00882D70" w:rsidRPr="007C51D6" w:rsidRDefault="00882D70" w:rsidP="00F53105">
            <w:pPr>
              <w:autoSpaceDE/>
              <w:autoSpaceDN/>
              <w:adjustRightInd/>
              <w:jc w:val="center"/>
              <w:rPr>
                <w:color w:val="000000"/>
                <w:sz w:val="20"/>
                <w:szCs w:val="20"/>
              </w:rPr>
            </w:pPr>
            <w:r w:rsidRPr="007C51D6">
              <w:rPr>
                <w:color w:val="000000"/>
                <w:sz w:val="20"/>
                <w:szCs w:val="20"/>
              </w:rPr>
              <w:t>86,23</w:t>
            </w:r>
          </w:p>
        </w:tc>
        <w:tc>
          <w:tcPr>
            <w:tcW w:w="927" w:type="dxa"/>
            <w:gridSpan w:val="2"/>
          </w:tcPr>
          <w:p w:rsidR="00882D70" w:rsidRPr="007C51D6" w:rsidRDefault="00882D70" w:rsidP="00F53105">
            <w:pPr>
              <w:autoSpaceDE/>
              <w:autoSpaceDN/>
              <w:adjustRightInd/>
              <w:jc w:val="center"/>
              <w:rPr>
                <w:color w:val="000000"/>
                <w:sz w:val="20"/>
                <w:szCs w:val="20"/>
              </w:rPr>
            </w:pPr>
            <w:r w:rsidRPr="007C51D6">
              <w:rPr>
                <w:color w:val="000000"/>
                <w:sz w:val="20"/>
                <w:szCs w:val="20"/>
              </w:rPr>
              <w:t>88,57</w:t>
            </w:r>
          </w:p>
        </w:tc>
        <w:tc>
          <w:tcPr>
            <w:tcW w:w="924" w:type="dxa"/>
          </w:tcPr>
          <w:p w:rsidR="00882D70" w:rsidRPr="007C51D6" w:rsidRDefault="00882D70" w:rsidP="00F53105">
            <w:pPr>
              <w:jc w:val="center"/>
              <w:rPr>
                <w:color w:val="000000"/>
                <w:sz w:val="20"/>
                <w:szCs w:val="20"/>
              </w:rPr>
            </w:pPr>
            <w:r w:rsidRPr="007C51D6">
              <w:rPr>
                <w:color w:val="000000"/>
                <w:sz w:val="20"/>
                <w:szCs w:val="20"/>
              </w:rPr>
              <w:t>нет</w:t>
            </w:r>
          </w:p>
          <w:p w:rsidR="00882D70" w:rsidRPr="007C51D6" w:rsidRDefault="00882D70" w:rsidP="00F53105">
            <w:pPr>
              <w:jc w:val="center"/>
              <w:rPr>
                <w:color w:val="000000"/>
                <w:sz w:val="20"/>
                <w:szCs w:val="20"/>
              </w:rPr>
            </w:pPr>
            <w:r w:rsidRPr="007C51D6">
              <w:rPr>
                <w:color w:val="000000"/>
                <w:sz w:val="20"/>
                <w:szCs w:val="20"/>
              </w:rPr>
              <w:t>данных</w:t>
            </w:r>
          </w:p>
        </w:tc>
        <w:tc>
          <w:tcPr>
            <w:tcW w:w="880" w:type="dxa"/>
          </w:tcPr>
          <w:p w:rsidR="00882D70" w:rsidRPr="007C51D6" w:rsidRDefault="00882D70" w:rsidP="00F53105">
            <w:pPr>
              <w:jc w:val="center"/>
              <w:rPr>
                <w:color w:val="000000"/>
                <w:sz w:val="20"/>
                <w:szCs w:val="20"/>
              </w:rPr>
            </w:pPr>
            <w:r w:rsidRPr="007C51D6">
              <w:rPr>
                <w:color w:val="000000"/>
                <w:sz w:val="20"/>
                <w:szCs w:val="20"/>
              </w:rPr>
              <w:t>нет</w:t>
            </w:r>
          </w:p>
          <w:p w:rsidR="00882D70" w:rsidRPr="007C51D6" w:rsidRDefault="00882D70" w:rsidP="00F53105">
            <w:pPr>
              <w:autoSpaceDE/>
              <w:autoSpaceDN/>
              <w:adjustRightInd/>
              <w:jc w:val="center"/>
              <w:rPr>
                <w:color w:val="000000"/>
                <w:sz w:val="20"/>
                <w:szCs w:val="20"/>
              </w:rPr>
            </w:pPr>
            <w:r w:rsidRPr="007C51D6">
              <w:rPr>
                <w:color w:val="000000"/>
                <w:sz w:val="20"/>
                <w:szCs w:val="20"/>
              </w:rPr>
              <w:t>данных</w:t>
            </w:r>
          </w:p>
        </w:tc>
        <w:tc>
          <w:tcPr>
            <w:tcW w:w="1980" w:type="dxa"/>
            <w:gridSpan w:val="2"/>
          </w:tcPr>
          <w:p w:rsidR="00882D70" w:rsidRPr="007C51D6" w:rsidRDefault="00882D70" w:rsidP="00F53105">
            <w:pPr>
              <w:autoSpaceDE/>
              <w:autoSpaceDN/>
              <w:adjustRightInd/>
              <w:jc w:val="center"/>
              <w:rPr>
                <w:color w:val="000000"/>
                <w:sz w:val="20"/>
                <w:szCs w:val="20"/>
              </w:rPr>
            </w:pPr>
            <w:r w:rsidRPr="007C51D6">
              <w:rPr>
                <w:color w:val="000000"/>
                <w:sz w:val="20"/>
                <w:szCs w:val="20"/>
              </w:rPr>
              <w:t>-</w:t>
            </w:r>
          </w:p>
        </w:tc>
      </w:tr>
      <w:tr w:rsidR="00882D70" w:rsidRPr="007C51D6" w:rsidTr="009B6FE1">
        <w:tblPrEx>
          <w:tblBorders>
            <w:bottom w:val="single" w:sz="4" w:space="0" w:color="auto"/>
          </w:tblBorders>
        </w:tblPrEx>
        <w:trPr>
          <w:gridAfter w:val="1"/>
          <w:wAfter w:w="17" w:type="dxa"/>
          <w:trHeight w:val="20"/>
        </w:trPr>
        <w:tc>
          <w:tcPr>
            <w:tcW w:w="1793" w:type="dxa"/>
          </w:tcPr>
          <w:p w:rsidR="00882D70" w:rsidRPr="007C51D6" w:rsidRDefault="00882D70" w:rsidP="00F53105">
            <w:pPr>
              <w:jc w:val="both"/>
              <w:rPr>
                <w:rFonts w:eastAsia="Arial"/>
                <w:sz w:val="20"/>
                <w:szCs w:val="20"/>
              </w:rPr>
            </w:pPr>
            <w:r w:rsidRPr="007C51D6">
              <w:rPr>
                <w:color w:val="000000"/>
                <w:sz w:val="20"/>
                <w:szCs w:val="20"/>
              </w:rPr>
              <w:t>Приволжcкий федеральный округ</w:t>
            </w:r>
          </w:p>
        </w:tc>
        <w:tc>
          <w:tcPr>
            <w:tcW w:w="1714" w:type="dxa"/>
            <w:vMerge/>
          </w:tcPr>
          <w:p w:rsidR="00882D70" w:rsidRPr="007C51D6" w:rsidRDefault="00882D70" w:rsidP="00F53105">
            <w:pPr>
              <w:rPr>
                <w:rFonts w:eastAsia="Arial"/>
                <w:sz w:val="20"/>
                <w:szCs w:val="20"/>
              </w:rPr>
            </w:pPr>
          </w:p>
        </w:tc>
        <w:tc>
          <w:tcPr>
            <w:tcW w:w="1011" w:type="dxa"/>
          </w:tcPr>
          <w:p w:rsidR="00882D70" w:rsidRPr="007C51D6" w:rsidRDefault="00882D70" w:rsidP="00F53105">
            <w:pPr>
              <w:autoSpaceDE/>
              <w:autoSpaceDN/>
              <w:adjustRightInd/>
              <w:jc w:val="center"/>
              <w:rPr>
                <w:color w:val="000000"/>
                <w:sz w:val="20"/>
                <w:szCs w:val="20"/>
              </w:rPr>
            </w:pPr>
            <w:r w:rsidRPr="007C51D6">
              <w:rPr>
                <w:color w:val="000000"/>
                <w:sz w:val="20"/>
                <w:szCs w:val="20"/>
              </w:rPr>
              <w:t>107,03</w:t>
            </w:r>
          </w:p>
        </w:tc>
        <w:tc>
          <w:tcPr>
            <w:tcW w:w="996" w:type="dxa"/>
          </w:tcPr>
          <w:p w:rsidR="00882D70" w:rsidRPr="007C51D6" w:rsidRDefault="00882D70" w:rsidP="00F53105">
            <w:pPr>
              <w:autoSpaceDE/>
              <w:autoSpaceDN/>
              <w:adjustRightInd/>
              <w:jc w:val="center"/>
              <w:rPr>
                <w:color w:val="000000"/>
                <w:sz w:val="20"/>
                <w:szCs w:val="20"/>
              </w:rPr>
            </w:pPr>
            <w:r w:rsidRPr="007C51D6">
              <w:rPr>
                <w:color w:val="000000"/>
                <w:sz w:val="20"/>
                <w:szCs w:val="20"/>
              </w:rPr>
              <w:t>104,02</w:t>
            </w:r>
          </w:p>
        </w:tc>
        <w:tc>
          <w:tcPr>
            <w:tcW w:w="831" w:type="dxa"/>
          </w:tcPr>
          <w:p w:rsidR="00882D70" w:rsidRPr="007C51D6" w:rsidRDefault="00882D70" w:rsidP="00F53105">
            <w:pPr>
              <w:autoSpaceDE/>
              <w:autoSpaceDN/>
              <w:adjustRightInd/>
              <w:jc w:val="center"/>
              <w:rPr>
                <w:color w:val="000000"/>
                <w:sz w:val="20"/>
                <w:szCs w:val="20"/>
              </w:rPr>
            </w:pPr>
            <w:r w:rsidRPr="007C51D6">
              <w:rPr>
                <w:color w:val="000000"/>
                <w:sz w:val="20"/>
                <w:szCs w:val="20"/>
              </w:rPr>
              <w:t>103,42</w:t>
            </w:r>
          </w:p>
        </w:tc>
        <w:tc>
          <w:tcPr>
            <w:tcW w:w="927" w:type="dxa"/>
            <w:gridSpan w:val="2"/>
          </w:tcPr>
          <w:p w:rsidR="00882D70" w:rsidRPr="007C51D6" w:rsidRDefault="00882D70" w:rsidP="00F53105">
            <w:pPr>
              <w:autoSpaceDE/>
              <w:autoSpaceDN/>
              <w:adjustRightInd/>
              <w:jc w:val="center"/>
              <w:rPr>
                <w:color w:val="000000"/>
                <w:sz w:val="20"/>
                <w:szCs w:val="20"/>
              </w:rPr>
            </w:pPr>
            <w:r w:rsidRPr="007C51D6">
              <w:rPr>
                <w:color w:val="000000"/>
                <w:sz w:val="20"/>
                <w:szCs w:val="20"/>
              </w:rPr>
              <w:t>102,26</w:t>
            </w:r>
          </w:p>
        </w:tc>
        <w:tc>
          <w:tcPr>
            <w:tcW w:w="830" w:type="dxa"/>
          </w:tcPr>
          <w:p w:rsidR="00882D70" w:rsidRPr="007C51D6" w:rsidRDefault="00882D70" w:rsidP="00F53105">
            <w:pPr>
              <w:autoSpaceDE/>
              <w:autoSpaceDN/>
              <w:adjustRightInd/>
              <w:jc w:val="center"/>
              <w:rPr>
                <w:color w:val="000000"/>
                <w:sz w:val="20"/>
                <w:szCs w:val="20"/>
              </w:rPr>
            </w:pPr>
            <w:r w:rsidRPr="007C51D6">
              <w:rPr>
                <w:color w:val="000000"/>
                <w:sz w:val="20"/>
                <w:szCs w:val="20"/>
              </w:rPr>
              <w:t>100,34</w:t>
            </w:r>
          </w:p>
        </w:tc>
        <w:tc>
          <w:tcPr>
            <w:tcW w:w="910" w:type="dxa"/>
            <w:gridSpan w:val="2"/>
          </w:tcPr>
          <w:p w:rsidR="00882D70" w:rsidRPr="007C51D6" w:rsidRDefault="00882D70" w:rsidP="00F53105">
            <w:pPr>
              <w:autoSpaceDE/>
              <w:autoSpaceDN/>
              <w:adjustRightInd/>
              <w:jc w:val="center"/>
              <w:rPr>
                <w:color w:val="000000"/>
                <w:sz w:val="20"/>
                <w:szCs w:val="20"/>
              </w:rPr>
            </w:pPr>
            <w:r w:rsidRPr="007C51D6">
              <w:rPr>
                <w:color w:val="000000"/>
                <w:sz w:val="20"/>
                <w:szCs w:val="20"/>
              </w:rPr>
              <w:t>95,98</w:t>
            </w:r>
          </w:p>
        </w:tc>
        <w:tc>
          <w:tcPr>
            <w:tcW w:w="1044" w:type="dxa"/>
          </w:tcPr>
          <w:p w:rsidR="00882D70" w:rsidRPr="007C51D6" w:rsidRDefault="00882D70" w:rsidP="00F53105">
            <w:pPr>
              <w:autoSpaceDE/>
              <w:autoSpaceDN/>
              <w:adjustRightInd/>
              <w:jc w:val="center"/>
              <w:rPr>
                <w:color w:val="000000"/>
                <w:sz w:val="20"/>
                <w:szCs w:val="20"/>
              </w:rPr>
            </w:pPr>
            <w:r w:rsidRPr="007C51D6">
              <w:rPr>
                <w:color w:val="000000"/>
                <w:sz w:val="20"/>
                <w:szCs w:val="20"/>
              </w:rPr>
              <w:t>93,41</w:t>
            </w:r>
          </w:p>
        </w:tc>
        <w:tc>
          <w:tcPr>
            <w:tcW w:w="927" w:type="dxa"/>
            <w:gridSpan w:val="2"/>
          </w:tcPr>
          <w:p w:rsidR="00882D70" w:rsidRPr="007C51D6" w:rsidRDefault="00882D70" w:rsidP="00F53105">
            <w:pPr>
              <w:autoSpaceDE/>
              <w:autoSpaceDN/>
              <w:adjustRightInd/>
              <w:jc w:val="center"/>
              <w:rPr>
                <w:color w:val="000000"/>
                <w:sz w:val="20"/>
                <w:szCs w:val="20"/>
              </w:rPr>
            </w:pPr>
            <w:r w:rsidRPr="007C51D6">
              <w:rPr>
                <w:color w:val="000000"/>
                <w:sz w:val="20"/>
                <w:szCs w:val="20"/>
              </w:rPr>
              <w:t>93,43</w:t>
            </w:r>
          </w:p>
        </w:tc>
        <w:tc>
          <w:tcPr>
            <w:tcW w:w="924" w:type="dxa"/>
          </w:tcPr>
          <w:p w:rsidR="00882D70" w:rsidRPr="007C51D6" w:rsidRDefault="00882D70" w:rsidP="00F53105">
            <w:pPr>
              <w:jc w:val="center"/>
              <w:rPr>
                <w:color w:val="000000"/>
                <w:sz w:val="20"/>
                <w:szCs w:val="20"/>
              </w:rPr>
            </w:pPr>
            <w:r w:rsidRPr="007C51D6">
              <w:rPr>
                <w:color w:val="000000"/>
                <w:sz w:val="20"/>
                <w:szCs w:val="20"/>
              </w:rPr>
              <w:t>нет</w:t>
            </w:r>
          </w:p>
          <w:p w:rsidR="00882D70" w:rsidRPr="007C51D6" w:rsidRDefault="00882D70" w:rsidP="00F53105">
            <w:pPr>
              <w:jc w:val="center"/>
              <w:rPr>
                <w:color w:val="000000"/>
                <w:sz w:val="20"/>
                <w:szCs w:val="20"/>
              </w:rPr>
            </w:pPr>
            <w:r w:rsidRPr="007C51D6">
              <w:rPr>
                <w:color w:val="000000"/>
                <w:sz w:val="20"/>
                <w:szCs w:val="20"/>
              </w:rPr>
              <w:t>данных</w:t>
            </w:r>
          </w:p>
        </w:tc>
        <w:tc>
          <w:tcPr>
            <w:tcW w:w="880" w:type="dxa"/>
          </w:tcPr>
          <w:p w:rsidR="00882D70" w:rsidRPr="007C51D6" w:rsidRDefault="00882D70" w:rsidP="00F53105">
            <w:pPr>
              <w:jc w:val="center"/>
              <w:rPr>
                <w:color w:val="000000"/>
                <w:sz w:val="20"/>
                <w:szCs w:val="20"/>
              </w:rPr>
            </w:pPr>
            <w:r w:rsidRPr="007C51D6">
              <w:rPr>
                <w:color w:val="000000"/>
                <w:sz w:val="20"/>
                <w:szCs w:val="20"/>
              </w:rPr>
              <w:t>нет</w:t>
            </w:r>
          </w:p>
          <w:p w:rsidR="00882D70" w:rsidRPr="007C51D6" w:rsidRDefault="00882D70" w:rsidP="00F53105">
            <w:pPr>
              <w:jc w:val="center"/>
              <w:rPr>
                <w:rFonts w:eastAsia="Arial"/>
                <w:sz w:val="20"/>
                <w:szCs w:val="20"/>
              </w:rPr>
            </w:pPr>
            <w:r w:rsidRPr="007C51D6">
              <w:rPr>
                <w:color w:val="000000"/>
                <w:sz w:val="20"/>
                <w:szCs w:val="20"/>
              </w:rPr>
              <w:t>данных</w:t>
            </w:r>
          </w:p>
        </w:tc>
        <w:tc>
          <w:tcPr>
            <w:tcW w:w="1980" w:type="dxa"/>
            <w:gridSpan w:val="2"/>
          </w:tcPr>
          <w:p w:rsidR="00882D70" w:rsidRPr="007C51D6" w:rsidRDefault="00882D70" w:rsidP="00F53105">
            <w:pPr>
              <w:jc w:val="center"/>
              <w:rPr>
                <w:rFonts w:eastAsia="Arial"/>
                <w:sz w:val="20"/>
                <w:szCs w:val="20"/>
              </w:rPr>
            </w:pPr>
            <w:r w:rsidRPr="007C51D6">
              <w:rPr>
                <w:rFonts w:eastAsia="Arial"/>
                <w:sz w:val="20"/>
                <w:szCs w:val="20"/>
              </w:rPr>
              <w:t>-</w:t>
            </w:r>
          </w:p>
        </w:tc>
      </w:tr>
      <w:tr w:rsidR="004A38EB" w:rsidRPr="007C51D6" w:rsidTr="009B6FE1">
        <w:tblPrEx>
          <w:tblBorders>
            <w:bottom w:val="single" w:sz="4" w:space="0" w:color="auto"/>
          </w:tblBorders>
        </w:tblPrEx>
        <w:trPr>
          <w:gridAfter w:val="1"/>
          <w:wAfter w:w="17" w:type="dxa"/>
          <w:trHeight w:val="20"/>
        </w:trPr>
        <w:tc>
          <w:tcPr>
            <w:tcW w:w="1793" w:type="dxa"/>
          </w:tcPr>
          <w:p w:rsidR="004A38EB" w:rsidRPr="007C51D6" w:rsidRDefault="004A38EB" w:rsidP="004A38EB">
            <w:pPr>
              <w:jc w:val="both"/>
              <w:rPr>
                <w:color w:val="000000"/>
                <w:sz w:val="20"/>
                <w:szCs w:val="20"/>
              </w:rPr>
            </w:pPr>
            <w:r w:rsidRPr="007C51D6">
              <w:rPr>
                <w:color w:val="000000"/>
                <w:sz w:val="20"/>
                <w:szCs w:val="20"/>
              </w:rPr>
              <w:t>Российская Федерация</w:t>
            </w:r>
          </w:p>
        </w:tc>
        <w:tc>
          <w:tcPr>
            <w:tcW w:w="1714" w:type="dxa"/>
          </w:tcPr>
          <w:p w:rsidR="004A38EB" w:rsidRPr="007C51D6" w:rsidRDefault="004A38EB" w:rsidP="004A38EB">
            <w:pPr>
              <w:rPr>
                <w:rFonts w:eastAsia="Arial"/>
                <w:sz w:val="20"/>
                <w:szCs w:val="20"/>
              </w:rPr>
            </w:pPr>
          </w:p>
        </w:tc>
        <w:tc>
          <w:tcPr>
            <w:tcW w:w="1011" w:type="dxa"/>
          </w:tcPr>
          <w:p w:rsidR="004A38EB" w:rsidRPr="007C51D6" w:rsidRDefault="004A38EB" w:rsidP="004A38EB">
            <w:pPr>
              <w:autoSpaceDE/>
              <w:autoSpaceDN/>
              <w:adjustRightInd/>
              <w:jc w:val="center"/>
              <w:rPr>
                <w:color w:val="000000"/>
                <w:sz w:val="20"/>
                <w:szCs w:val="20"/>
              </w:rPr>
            </w:pPr>
            <w:r w:rsidRPr="007C51D6">
              <w:rPr>
                <w:color w:val="000000"/>
                <w:sz w:val="20"/>
                <w:szCs w:val="20"/>
              </w:rPr>
              <w:t>112,78</w:t>
            </w:r>
          </w:p>
        </w:tc>
        <w:tc>
          <w:tcPr>
            <w:tcW w:w="996" w:type="dxa"/>
          </w:tcPr>
          <w:p w:rsidR="004A38EB" w:rsidRPr="007C51D6" w:rsidRDefault="004A38EB" w:rsidP="004A38EB">
            <w:pPr>
              <w:autoSpaceDE/>
              <w:autoSpaceDN/>
              <w:adjustRightInd/>
              <w:jc w:val="center"/>
              <w:rPr>
                <w:color w:val="000000"/>
                <w:sz w:val="20"/>
                <w:szCs w:val="20"/>
              </w:rPr>
            </w:pPr>
            <w:r w:rsidRPr="007C51D6">
              <w:rPr>
                <w:color w:val="000000"/>
                <w:sz w:val="20"/>
                <w:szCs w:val="20"/>
              </w:rPr>
              <w:t>108,97</w:t>
            </w:r>
          </w:p>
        </w:tc>
        <w:tc>
          <w:tcPr>
            <w:tcW w:w="831" w:type="dxa"/>
          </w:tcPr>
          <w:p w:rsidR="004A38EB" w:rsidRPr="007C51D6" w:rsidRDefault="004A38EB" w:rsidP="004A38EB">
            <w:pPr>
              <w:autoSpaceDE/>
              <w:autoSpaceDN/>
              <w:adjustRightInd/>
              <w:jc w:val="center"/>
              <w:rPr>
                <w:color w:val="000000"/>
                <w:sz w:val="20"/>
                <w:szCs w:val="20"/>
              </w:rPr>
            </w:pPr>
            <w:r w:rsidRPr="007C51D6">
              <w:rPr>
                <w:color w:val="000000"/>
                <w:sz w:val="20"/>
                <w:szCs w:val="20"/>
              </w:rPr>
              <w:t>108,56</w:t>
            </w:r>
          </w:p>
        </w:tc>
        <w:tc>
          <w:tcPr>
            <w:tcW w:w="927" w:type="dxa"/>
            <w:gridSpan w:val="2"/>
          </w:tcPr>
          <w:p w:rsidR="004A38EB" w:rsidRPr="007C51D6" w:rsidRDefault="004A38EB" w:rsidP="004A38EB">
            <w:pPr>
              <w:autoSpaceDE/>
              <w:autoSpaceDN/>
              <w:adjustRightInd/>
              <w:jc w:val="center"/>
              <w:rPr>
                <w:color w:val="000000"/>
                <w:sz w:val="20"/>
                <w:szCs w:val="20"/>
              </w:rPr>
            </w:pPr>
            <w:r w:rsidRPr="007C51D6">
              <w:rPr>
                <w:color w:val="000000"/>
                <w:sz w:val="20"/>
                <w:szCs w:val="20"/>
              </w:rPr>
              <w:t>106,79</w:t>
            </w:r>
          </w:p>
        </w:tc>
        <w:tc>
          <w:tcPr>
            <w:tcW w:w="862" w:type="dxa"/>
            <w:gridSpan w:val="2"/>
          </w:tcPr>
          <w:p w:rsidR="004A38EB" w:rsidRPr="007C51D6" w:rsidRDefault="004A38EB" w:rsidP="004A38EB">
            <w:pPr>
              <w:autoSpaceDE/>
              <w:autoSpaceDN/>
              <w:adjustRightInd/>
              <w:jc w:val="center"/>
              <w:rPr>
                <w:color w:val="000000"/>
                <w:sz w:val="20"/>
                <w:szCs w:val="20"/>
              </w:rPr>
            </w:pPr>
            <w:r w:rsidRPr="007C51D6">
              <w:rPr>
                <w:color w:val="000000"/>
                <w:sz w:val="20"/>
                <w:szCs w:val="20"/>
              </w:rPr>
              <w:t>104,65</w:t>
            </w:r>
          </w:p>
        </w:tc>
        <w:tc>
          <w:tcPr>
            <w:tcW w:w="878" w:type="dxa"/>
          </w:tcPr>
          <w:p w:rsidR="004A38EB" w:rsidRPr="007C51D6" w:rsidRDefault="004A38EB" w:rsidP="004A38EB">
            <w:pPr>
              <w:autoSpaceDE/>
              <w:autoSpaceDN/>
              <w:adjustRightInd/>
              <w:jc w:val="center"/>
              <w:rPr>
                <w:color w:val="000000"/>
                <w:sz w:val="20"/>
                <w:szCs w:val="20"/>
              </w:rPr>
            </w:pPr>
            <w:r w:rsidRPr="007C51D6">
              <w:rPr>
                <w:color w:val="000000"/>
                <w:sz w:val="20"/>
                <w:szCs w:val="20"/>
              </w:rPr>
              <w:t>99,80</w:t>
            </w:r>
          </w:p>
        </w:tc>
        <w:tc>
          <w:tcPr>
            <w:tcW w:w="1044" w:type="dxa"/>
          </w:tcPr>
          <w:p w:rsidR="004A38EB" w:rsidRPr="007C51D6" w:rsidRDefault="004A38EB" w:rsidP="004A38EB">
            <w:pPr>
              <w:autoSpaceDE/>
              <w:autoSpaceDN/>
              <w:adjustRightInd/>
              <w:jc w:val="center"/>
              <w:rPr>
                <w:color w:val="000000"/>
                <w:sz w:val="20"/>
                <w:szCs w:val="20"/>
              </w:rPr>
            </w:pPr>
            <w:r w:rsidRPr="007C51D6">
              <w:rPr>
                <w:color w:val="000000"/>
                <w:sz w:val="20"/>
                <w:szCs w:val="20"/>
              </w:rPr>
              <w:t>97,28</w:t>
            </w:r>
          </w:p>
        </w:tc>
        <w:tc>
          <w:tcPr>
            <w:tcW w:w="927" w:type="dxa"/>
            <w:gridSpan w:val="2"/>
          </w:tcPr>
          <w:p w:rsidR="004A38EB" w:rsidRPr="007C51D6" w:rsidRDefault="004A38EB" w:rsidP="004A38EB">
            <w:pPr>
              <w:autoSpaceDE/>
              <w:autoSpaceDN/>
              <w:adjustRightInd/>
              <w:jc w:val="center"/>
              <w:rPr>
                <w:color w:val="000000"/>
                <w:sz w:val="20"/>
                <w:szCs w:val="20"/>
              </w:rPr>
            </w:pPr>
            <w:r w:rsidRPr="007C51D6">
              <w:rPr>
                <w:color w:val="000000"/>
                <w:sz w:val="20"/>
                <w:szCs w:val="20"/>
              </w:rPr>
              <w:t>97,96</w:t>
            </w:r>
          </w:p>
        </w:tc>
        <w:tc>
          <w:tcPr>
            <w:tcW w:w="924" w:type="dxa"/>
          </w:tcPr>
          <w:p w:rsidR="004A38EB" w:rsidRPr="007C51D6" w:rsidRDefault="004A38EB" w:rsidP="004A38EB">
            <w:pPr>
              <w:jc w:val="center"/>
              <w:rPr>
                <w:color w:val="000000"/>
                <w:sz w:val="20"/>
                <w:szCs w:val="20"/>
              </w:rPr>
            </w:pPr>
            <w:r w:rsidRPr="007C51D6">
              <w:rPr>
                <w:color w:val="000000"/>
                <w:sz w:val="20"/>
                <w:szCs w:val="20"/>
              </w:rPr>
              <w:t>нет</w:t>
            </w:r>
          </w:p>
          <w:p w:rsidR="004A38EB" w:rsidRPr="007C51D6" w:rsidRDefault="004A38EB" w:rsidP="004A38EB">
            <w:pPr>
              <w:jc w:val="center"/>
              <w:rPr>
                <w:color w:val="000000"/>
                <w:sz w:val="20"/>
                <w:szCs w:val="20"/>
              </w:rPr>
            </w:pPr>
            <w:r w:rsidRPr="007C51D6">
              <w:rPr>
                <w:color w:val="000000"/>
                <w:sz w:val="20"/>
                <w:szCs w:val="20"/>
              </w:rPr>
              <w:t>данных</w:t>
            </w:r>
          </w:p>
        </w:tc>
        <w:tc>
          <w:tcPr>
            <w:tcW w:w="880" w:type="dxa"/>
          </w:tcPr>
          <w:p w:rsidR="004A38EB" w:rsidRPr="007C51D6" w:rsidRDefault="004A38EB" w:rsidP="004A38EB">
            <w:pPr>
              <w:jc w:val="center"/>
              <w:rPr>
                <w:color w:val="000000"/>
                <w:sz w:val="20"/>
                <w:szCs w:val="20"/>
              </w:rPr>
            </w:pPr>
            <w:r w:rsidRPr="007C51D6">
              <w:rPr>
                <w:color w:val="000000"/>
                <w:sz w:val="20"/>
                <w:szCs w:val="20"/>
              </w:rPr>
              <w:t>нет</w:t>
            </w:r>
          </w:p>
          <w:p w:rsidR="004A38EB" w:rsidRPr="007C51D6" w:rsidRDefault="004A38EB" w:rsidP="004A38EB">
            <w:pPr>
              <w:jc w:val="center"/>
              <w:rPr>
                <w:rFonts w:eastAsia="Arial"/>
                <w:sz w:val="20"/>
                <w:szCs w:val="20"/>
              </w:rPr>
            </w:pPr>
            <w:r w:rsidRPr="007C51D6">
              <w:rPr>
                <w:color w:val="000000"/>
                <w:sz w:val="20"/>
                <w:szCs w:val="20"/>
              </w:rPr>
              <w:t>данных</w:t>
            </w:r>
          </w:p>
        </w:tc>
        <w:tc>
          <w:tcPr>
            <w:tcW w:w="1980" w:type="dxa"/>
            <w:gridSpan w:val="2"/>
          </w:tcPr>
          <w:p w:rsidR="004A38EB" w:rsidRPr="007C51D6" w:rsidRDefault="004A38EB" w:rsidP="004A38EB">
            <w:pPr>
              <w:jc w:val="center"/>
              <w:rPr>
                <w:rFonts w:eastAsia="Arial"/>
                <w:sz w:val="20"/>
                <w:szCs w:val="20"/>
              </w:rPr>
            </w:pPr>
            <w:r w:rsidRPr="007C51D6">
              <w:rPr>
                <w:rFonts w:eastAsia="Arial"/>
                <w:sz w:val="20"/>
                <w:szCs w:val="20"/>
              </w:rPr>
              <w:t>-</w:t>
            </w:r>
          </w:p>
        </w:tc>
      </w:tr>
      <w:tr w:rsidR="004A38EB" w:rsidRPr="007C51D6" w:rsidTr="009B6FE1">
        <w:tblPrEx>
          <w:tblBorders>
            <w:bottom w:val="single" w:sz="4" w:space="0" w:color="auto"/>
          </w:tblBorders>
        </w:tblPrEx>
        <w:trPr>
          <w:gridAfter w:val="1"/>
          <w:wAfter w:w="17" w:type="dxa"/>
          <w:trHeight w:val="20"/>
        </w:trPr>
        <w:tc>
          <w:tcPr>
            <w:tcW w:w="14767" w:type="dxa"/>
            <w:gridSpan w:val="17"/>
          </w:tcPr>
          <w:p w:rsidR="004A38EB" w:rsidRPr="007C51D6" w:rsidRDefault="004A38EB" w:rsidP="004A38EB">
            <w:pPr>
              <w:jc w:val="center"/>
              <w:rPr>
                <w:rFonts w:eastAsia="Arial"/>
                <w:sz w:val="20"/>
                <w:szCs w:val="20"/>
              </w:rPr>
            </w:pPr>
            <w:r w:rsidRPr="007C51D6">
              <w:rPr>
                <w:color w:val="000000"/>
                <w:sz w:val="20"/>
                <w:szCs w:val="20"/>
              </w:rPr>
              <w:t>Мужское население</w:t>
            </w:r>
          </w:p>
        </w:tc>
      </w:tr>
      <w:tr w:rsidR="004A38EB" w:rsidRPr="007C51D6" w:rsidTr="009B6FE1">
        <w:tblPrEx>
          <w:tblBorders>
            <w:bottom w:val="single" w:sz="4" w:space="0" w:color="auto"/>
          </w:tblBorders>
        </w:tblPrEx>
        <w:trPr>
          <w:gridAfter w:val="1"/>
          <w:wAfter w:w="17" w:type="dxa"/>
          <w:trHeight w:val="20"/>
        </w:trPr>
        <w:tc>
          <w:tcPr>
            <w:tcW w:w="1793" w:type="dxa"/>
          </w:tcPr>
          <w:p w:rsidR="004A38EB" w:rsidRPr="007C51D6" w:rsidRDefault="004A38EB" w:rsidP="004A38EB">
            <w:pPr>
              <w:jc w:val="both"/>
              <w:rPr>
                <w:rFonts w:eastAsia="Arial"/>
                <w:sz w:val="20"/>
                <w:szCs w:val="20"/>
              </w:rPr>
            </w:pPr>
            <w:r w:rsidRPr="007C51D6">
              <w:rPr>
                <w:rFonts w:eastAsia="Arial"/>
                <w:sz w:val="20"/>
                <w:szCs w:val="20"/>
              </w:rPr>
              <w:t>Республика Татарстан</w:t>
            </w:r>
          </w:p>
        </w:tc>
        <w:tc>
          <w:tcPr>
            <w:tcW w:w="1714" w:type="dxa"/>
            <w:vMerge w:val="restart"/>
          </w:tcPr>
          <w:p w:rsidR="004A38EB" w:rsidRPr="007C51D6" w:rsidRDefault="004A38EB" w:rsidP="004A38EB">
            <w:pPr>
              <w:rPr>
                <w:rFonts w:eastAsia="Arial"/>
                <w:sz w:val="20"/>
                <w:szCs w:val="20"/>
              </w:rPr>
            </w:pPr>
            <w:r w:rsidRPr="007C51D6">
              <w:rPr>
                <w:rFonts w:eastAsia="Arial"/>
                <w:sz w:val="20"/>
                <w:szCs w:val="20"/>
              </w:rPr>
              <w:t>«грубый»</w:t>
            </w:r>
          </w:p>
        </w:tc>
        <w:tc>
          <w:tcPr>
            <w:tcW w:w="1011" w:type="dxa"/>
          </w:tcPr>
          <w:p w:rsidR="004A38EB" w:rsidRPr="007C51D6" w:rsidRDefault="004A38EB" w:rsidP="004A38EB">
            <w:pPr>
              <w:autoSpaceDE/>
              <w:autoSpaceDN/>
              <w:adjustRightInd/>
              <w:jc w:val="center"/>
              <w:rPr>
                <w:color w:val="000000"/>
                <w:sz w:val="20"/>
                <w:szCs w:val="20"/>
              </w:rPr>
            </w:pPr>
            <w:r w:rsidRPr="007C51D6">
              <w:rPr>
                <w:color w:val="000000"/>
                <w:sz w:val="20"/>
                <w:szCs w:val="20"/>
              </w:rPr>
              <w:t>230,15</w:t>
            </w:r>
          </w:p>
        </w:tc>
        <w:tc>
          <w:tcPr>
            <w:tcW w:w="996" w:type="dxa"/>
          </w:tcPr>
          <w:p w:rsidR="004A38EB" w:rsidRPr="007C51D6" w:rsidRDefault="004A38EB" w:rsidP="004A38EB">
            <w:pPr>
              <w:autoSpaceDE/>
              <w:autoSpaceDN/>
              <w:adjustRightInd/>
              <w:jc w:val="center"/>
              <w:rPr>
                <w:color w:val="000000"/>
                <w:sz w:val="20"/>
                <w:szCs w:val="20"/>
              </w:rPr>
            </w:pPr>
            <w:r w:rsidRPr="007C51D6">
              <w:rPr>
                <w:color w:val="000000"/>
                <w:sz w:val="20"/>
                <w:szCs w:val="20"/>
              </w:rPr>
              <w:t>225,19</w:t>
            </w:r>
          </w:p>
        </w:tc>
        <w:tc>
          <w:tcPr>
            <w:tcW w:w="831" w:type="dxa"/>
          </w:tcPr>
          <w:p w:rsidR="004A38EB" w:rsidRPr="007C51D6" w:rsidRDefault="004A38EB" w:rsidP="004A38EB">
            <w:pPr>
              <w:autoSpaceDE/>
              <w:autoSpaceDN/>
              <w:adjustRightInd/>
              <w:jc w:val="center"/>
              <w:rPr>
                <w:color w:val="000000"/>
                <w:sz w:val="20"/>
                <w:szCs w:val="20"/>
              </w:rPr>
            </w:pPr>
            <w:r w:rsidRPr="007C51D6">
              <w:rPr>
                <w:color w:val="000000"/>
                <w:sz w:val="20"/>
                <w:szCs w:val="20"/>
              </w:rPr>
              <w:t>238,09</w:t>
            </w:r>
          </w:p>
        </w:tc>
        <w:tc>
          <w:tcPr>
            <w:tcW w:w="927" w:type="dxa"/>
            <w:gridSpan w:val="2"/>
          </w:tcPr>
          <w:p w:rsidR="004A38EB" w:rsidRPr="007C51D6" w:rsidRDefault="004A38EB" w:rsidP="004A38EB">
            <w:pPr>
              <w:autoSpaceDE/>
              <w:autoSpaceDN/>
              <w:adjustRightInd/>
              <w:jc w:val="center"/>
              <w:rPr>
                <w:color w:val="000000"/>
                <w:sz w:val="20"/>
                <w:szCs w:val="20"/>
              </w:rPr>
            </w:pPr>
            <w:r w:rsidRPr="007C51D6">
              <w:rPr>
                <w:color w:val="000000"/>
                <w:sz w:val="20"/>
                <w:szCs w:val="20"/>
              </w:rPr>
              <w:t>222,78</w:t>
            </w:r>
          </w:p>
        </w:tc>
        <w:tc>
          <w:tcPr>
            <w:tcW w:w="862" w:type="dxa"/>
            <w:gridSpan w:val="2"/>
          </w:tcPr>
          <w:p w:rsidR="004A38EB" w:rsidRPr="007C51D6" w:rsidRDefault="004A38EB" w:rsidP="004A38EB">
            <w:pPr>
              <w:autoSpaceDE/>
              <w:autoSpaceDN/>
              <w:adjustRightInd/>
              <w:jc w:val="center"/>
              <w:rPr>
                <w:color w:val="000000"/>
                <w:sz w:val="20"/>
                <w:szCs w:val="20"/>
              </w:rPr>
            </w:pPr>
            <w:r w:rsidRPr="007C51D6">
              <w:rPr>
                <w:color w:val="000000"/>
                <w:sz w:val="20"/>
                <w:szCs w:val="20"/>
              </w:rPr>
              <w:t>220,99</w:t>
            </w:r>
          </w:p>
        </w:tc>
        <w:tc>
          <w:tcPr>
            <w:tcW w:w="878" w:type="dxa"/>
          </w:tcPr>
          <w:p w:rsidR="004A38EB" w:rsidRPr="007C51D6" w:rsidRDefault="004A38EB" w:rsidP="004A38EB">
            <w:pPr>
              <w:autoSpaceDE/>
              <w:autoSpaceDN/>
              <w:adjustRightInd/>
              <w:jc w:val="center"/>
              <w:rPr>
                <w:color w:val="000000"/>
                <w:sz w:val="20"/>
                <w:szCs w:val="20"/>
              </w:rPr>
            </w:pPr>
            <w:r w:rsidRPr="007C51D6">
              <w:rPr>
                <w:color w:val="000000"/>
                <w:sz w:val="20"/>
                <w:szCs w:val="20"/>
              </w:rPr>
              <w:t>209,31</w:t>
            </w:r>
          </w:p>
        </w:tc>
        <w:tc>
          <w:tcPr>
            <w:tcW w:w="1044" w:type="dxa"/>
          </w:tcPr>
          <w:p w:rsidR="004A38EB" w:rsidRPr="007C51D6" w:rsidRDefault="004A38EB" w:rsidP="004A38EB">
            <w:pPr>
              <w:tabs>
                <w:tab w:val="center" w:pos="321"/>
              </w:tabs>
              <w:autoSpaceDE/>
              <w:autoSpaceDN/>
              <w:adjustRightInd/>
              <w:jc w:val="center"/>
              <w:rPr>
                <w:color w:val="000000"/>
                <w:sz w:val="20"/>
                <w:szCs w:val="20"/>
              </w:rPr>
            </w:pPr>
            <w:r w:rsidRPr="007C51D6">
              <w:rPr>
                <w:color w:val="000000"/>
                <w:sz w:val="20"/>
                <w:szCs w:val="20"/>
              </w:rPr>
              <w:t>195,38</w:t>
            </w:r>
          </w:p>
        </w:tc>
        <w:tc>
          <w:tcPr>
            <w:tcW w:w="927" w:type="dxa"/>
            <w:gridSpan w:val="2"/>
          </w:tcPr>
          <w:p w:rsidR="004A38EB" w:rsidRPr="007C51D6" w:rsidRDefault="004A38EB" w:rsidP="004A38EB">
            <w:pPr>
              <w:tabs>
                <w:tab w:val="center" w:pos="321"/>
              </w:tabs>
              <w:autoSpaceDE/>
              <w:autoSpaceDN/>
              <w:adjustRightInd/>
              <w:jc w:val="center"/>
              <w:rPr>
                <w:color w:val="000000"/>
                <w:sz w:val="20"/>
                <w:szCs w:val="20"/>
              </w:rPr>
            </w:pPr>
            <w:r w:rsidRPr="007C51D6">
              <w:rPr>
                <w:color w:val="000000"/>
                <w:sz w:val="20"/>
                <w:szCs w:val="20"/>
              </w:rPr>
              <w:t>210,67</w:t>
            </w:r>
          </w:p>
        </w:tc>
        <w:tc>
          <w:tcPr>
            <w:tcW w:w="924" w:type="dxa"/>
          </w:tcPr>
          <w:p w:rsidR="004A38EB" w:rsidRPr="007C51D6" w:rsidRDefault="004A38EB" w:rsidP="004A38EB">
            <w:pPr>
              <w:jc w:val="center"/>
              <w:rPr>
                <w:color w:val="000000"/>
                <w:sz w:val="20"/>
                <w:szCs w:val="20"/>
              </w:rPr>
            </w:pPr>
            <w:r w:rsidRPr="007C51D6">
              <w:rPr>
                <w:color w:val="000000"/>
                <w:sz w:val="20"/>
                <w:szCs w:val="20"/>
              </w:rPr>
              <w:t>нет</w:t>
            </w:r>
          </w:p>
          <w:p w:rsidR="004A38EB" w:rsidRPr="007C51D6" w:rsidRDefault="004A38EB" w:rsidP="004A38EB">
            <w:pPr>
              <w:jc w:val="center"/>
              <w:rPr>
                <w:color w:val="000000"/>
                <w:sz w:val="20"/>
                <w:szCs w:val="20"/>
              </w:rPr>
            </w:pPr>
            <w:r w:rsidRPr="007C51D6">
              <w:rPr>
                <w:color w:val="000000"/>
                <w:sz w:val="20"/>
                <w:szCs w:val="20"/>
              </w:rPr>
              <w:t>данных</w:t>
            </w:r>
          </w:p>
        </w:tc>
        <w:tc>
          <w:tcPr>
            <w:tcW w:w="880" w:type="dxa"/>
          </w:tcPr>
          <w:p w:rsidR="004A38EB" w:rsidRPr="007C51D6" w:rsidRDefault="004A38EB" w:rsidP="004A38EB">
            <w:pPr>
              <w:jc w:val="center"/>
              <w:rPr>
                <w:color w:val="000000"/>
                <w:sz w:val="20"/>
                <w:szCs w:val="20"/>
              </w:rPr>
            </w:pPr>
            <w:r w:rsidRPr="007C51D6">
              <w:rPr>
                <w:color w:val="000000"/>
                <w:sz w:val="20"/>
                <w:szCs w:val="20"/>
              </w:rPr>
              <w:t>нет</w:t>
            </w:r>
          </w:p>
          <w:p w:rsidR="004A38EB" w:rsidRPr="007C51D6" w:rsidRDefault="004A38EB" w:rsidP="004A38EB">
            <w:pPr>
              <w:jc w:val="center"/>
              <w:rPr>
                <w:rFonts w:eastAsia="Arial"/>
                <w:sz w:val="20"/>
                <w:szCs w:val="20"/>
              </w:rPr>
            </w:pPr>
            <w:r w:rsidRPr="007C51D6">
              <w:rPr>
                <w:color w:val="000000"/>
                <w:sz w:val="20"/>
                <w:szCs w:val="20"/>
              </w:rPr>
              <w:t>данных</w:t>
            </w:r>
          </w:p>
        </w:tc>
        <w:tc>
          <w:tcPr>
            <w:tcW w:w="1980" w:type="dxa"/>
            <w:gridSpan w:val="2"/>
          </w:tcPr>
          <w:p w:rsidR="004A38EB" w:rsidRPr="007C51D6" w:rsidRDefault="004A38EB" w:rsidP="004A38EB">
            <w:pPr>
              <w:jc w:val="center"/>
              <w:rPr>
                <w:rFonts w:eastAsia="Arial"/>
                <w:sz w:val="20"/>
                <w:szCs w:val="20"/>
              </w:rPr>
            </w:pPr>
            <w:r w:rsidRPr="007C51D6">
              <w:rPr>
                <w:rFonts w:eastAsia="Arial"/>
                <w:sz w:val="20"/>
                <w:szCs w:val="20"/>
              </w:rPr>
              <w:t>-</w:t>
            </w:r>
          </w:p>
        </w:tc>
      </w:tr>
      <w:tr w:rsidR="004A38EB" w:rsidRPr="007C51D6" w:rsidTr="009B6FE1">
        <w:tblPrEx>
          <w:tblBorders>
            <w:bottom w:val="single" w:sz="4" w:space="0" w:color="auto"/>
          </w:tblBorders>
        </w:tblPrEx>
        <w:trPr>
          <w:gridAfter w:val="1"/>
          <w:wAfter w:w="17" w:type="dxa"/>
          <w:trHeight w:val="20"/>
        </w:trPr>
        <w:tc>
          <w:tcPr>
            <w:tcW w:w="1793" w:type="dxa"/>
          </w:tcPr>
          <w:p w:rsidR="004A38EB" w:rsidRPr="007C51D6" w:rsidRDefault="004A38EB" w:rsidP="004A38EB">
            <w:pPr>
              <w:jc w:val="both"/>
              <w:rPr>
                <w:sz w:val="20"/>
                <w:szCs w:val="20"/>
              </w:rPr>
            </w:pPr>
            <w:r w:rsidRPr="007C51D6">
              <w:rPr>
                <w:color w:val="000000"/>
                <w:sz w:val="20"/>
                <w:szCs w:val="20"/>
              </w:rPr>
              <w:t>Приволжcкий федеральный округ</w:t>
            </w:r>
          </w:p>
        </w:tc>
        <w:tc>
          <w:tcPr>
            <w:tcW w:w="1714" w:type="dxa"/>
            <w:vMerge/>
          </w:tcPr>
          <w:p w:rsidR="004A38EB" w:rsidRPr="007C51D6" w:rsidRDefault="004A38EB" w:rsidP="004A38EB">
            <w:pPr>
              <w:rPr>
                <w:rFonts w:eastAsia="Arial"/>
                <w:sz w:val="20"/>
                <w:szCs w:val="20"/>
              </w:rPr>
            </w:pPr>
          </w:p>
        </w:tc>
        <w:tc>
          <w:tcPr>
            <w:tcW w:w="1011" w:type="dxa"/>
          </w:tcPr>
          <w:p w:rsidR="004A38EB" w:rsidRPr="007C51D6" w:rsidRDefault="004A38EB" w:rsidP="004A38EB">
            <w:pPr>
              <w:autoSpaceDE/>
              <w:autoSpaceDN/>
              <w:adjustRightInd/>
              <w:jc w:val="center"/>
              <w:rPr>
                <w:color w:val="000000"/>
                <w:sz w:val="20"/>
                <w:szCs w:val="20"/>
              </w:rPr>
            </w:pPr>
            <w:r w:rsidRPr="007C51D6">
              <w:rPr>
                <w:color w:val="000000"/>
                <w:sz w:val="20"/>
                <w:szCs w:val="20"/>
              </w:rPr>
              <w:t>234,28</w:t>
            </w:r>
          </w:p>
        </w:tc>
        <w:tc>
          <w:tcPr>
            <w:tcW w:w="996" w:type="dxa"/>
          </w:tcPr>
          <w:p w:rsidR="004A38EB" w:rsidRPr="007C51D6" w:rsidRDefault="004A38EB" w:rsidP="004A38EB">
            <w:pPr>
              <w:autoSpaceDE/>
              <w:autoSpaceDN/>
              <w:adjustRightInd/>
              <w:jc w:val="center"/>
              <w:rPr>
                <w:color w:val="000000"/>
                <w:sz w:val="20"/>
                <w:szCs w:val="20"/>
              </w:rPr>
            </w:pPr>
            <w:r w:rsidRPr="007C51D6">
              <w:rPr>
                <w:color w:val="000000"/>
                <w:sz w:val="20"/>
                <w:szCs w:val="20"/>
              </w:rPr>
              <w:t>230,12</w:t>
            </w:r>
          </w:p>
        </w:tc>
        <w:tc>
          <w:tcPr>
            <w:tcW w:w="831" w:type="dxa"/>
          </w:tcPr>
          <w:p w:rsidR="004A38EB" w:rsidRPr="007C51D6" w:rsidRDefault="004A38EB" w:rsidP="004A38EB">
            <w:pPr>
              <w:autoSpaceDE/>
              <w:autoSpaceDN/>
              <w:adjustRightInd/>
              <w:jc w:val="center"/>
              <w:rPr>
                <w:color w:val="000000"/>
                <w:sz w:val="20"/>
                <w:szCs w:val="20"/>
              </w:rPr>
            </w:pPr>
            <w:r w:rsidRPr="007C51D6">
              <w:rPr>
                <w:color w:val="000000"/>
                <w:sz w:val="20"/>
                <w:szCs w:val="20"/>
              </w:rPr>
              <w:t>234,82</w:t>
            </w:r>
          </w:p>
        </w:tc>
        <w:tc>
          <w:tcPr>
            <w:tcW w:w="927" w:type="dxa"/>
            <w:gridSpan w:val="2"/>
          </w:tcPr>
          <w:p w:rsidR="004A38EB" w:rsidRPr="007C51D6" w:rsidRDefault="004A38EB" w:rsidP="004A38EB">
            <w:pPr>
              <w:autoSpaceDE/>
              <w:autoSpaceDN/>
              <w:adjustRightInd/>
              <w:jc w:val="center"/>
              <w:rPr>
                <w:color w:val="000000"/>
                <w:sz w:val="20"/>
                <w:szCs w:val="20"/>
              </w:rPr>
            </w:pPr>
            <w:r w:rsidRPr="007C51D6">
              <w:rPr>
                <w:color w:val="000000"/>
                <w:sz w:val="20"/>
                <w:szCs w:val="20"/>
              </w:rPr>
              <w:t>236,26</w:t>
            </w:r>
          </w:p>
        </w:tc>
        <w:tc>
          <w:tcPr>
            <w:tcW w:w="862" w:type="dxa"/>
            <w:gridSpan w:val="2"/>
          </w:tcPr>
          <w:p w:rsidR="004A38EB" w:rsidRPr="007C51D6" w:rsidRDefault="004A38EB" w:rsidP="004A38EB">
            <w:pPr>
              <w:autoSpaceDE/>
              <w:autoSpaceDN/>
              <w:adjustRightInd/>
              <w:jc w:val="center"/>
              <w:rPr>
                <w:color w:val="000000"/>
                <w:sz w:val="20"/>
                <w:szCs w:val="20"/>
              </w:rPr>
            </w:pPr>
            <w:r w:rsidRPr="007C51D6">
              <w:rPr>
                <w:color w:val="000000"/>
                <w:sz w:val="20"/>
                <w:szCs w:val="20"/>
              </w:rPr>
              <w:t>234,31</w:t>
            </w:r>
          </w:p>
        </w:tc>
        <w:tc>
          <w:tcPr>
            <w:tcW w:w="878" w:type="dxa"/>
          </w:tcPr>
          <w:p w:rsidR="004A38EB" w:rsidRPr="007C51D6" w:rsidRDefault="004A38EB" w:rsidP="004A38EB">
            <w:pPr>
              <w:autoSpaceDE/>
              <w:autoSpaceDN/>
              <w:adjustRightInd/>
              <w:jc w:val="center"/>
              <w:rPr>
                <w:color w:val="000000"/>
                <w:sz w:val="20"/>
                <w:szCs w:val="20"/>
              </w:rPr>
            </w:pPr>
            <w:r w:rsidRPr="007C51D6">
              <w:rPr>
                <w:color w:val="000000"/>
                <w:sz w:val="20"/>
                <w:szCs w:val="20"/>
              </w:rPr>
              <w:t>226,05</w:t>
            </w:r>
          </w:p>
        </w:tc>
        <w:tc>
          <w:tcPr>
            <w:tcW w:w="1044" w:type="dxa"/>
          </w:tcPr>
          <w:p w:rsidR="004A38EB" w:rsidRPr="007C51D6" w:rsidRDefault="004A38EB" w:rsidP="004A38EB">
            <w:pPr>
              <w:autoSpaceDE/>
              <w:autoSpaceDN/>
              <w:adjustRightInd/>
              <w:jc w:val="center"/>
              <w:rPr>
                <w:color w:val="000000"/>
                <w:sz w:val="20"/>
                <w:szCs w:val="20"/>
              </w:rPr>
            </w:pPr>
            <w:r w:rsidRPr="007C51D6">
              <w:rPr>
                <w:color w:val="000000"/>
                <w:sz w:val="20"/>
                <w:szCs w:val="20"/>
              </w:rPr>
              <w:t>223,72</w:t>
            </w:r>
          </w:p>
        </w:tc>
        <w:tc>
          <w:tcPr>
            <w:tcW w:w="927" w:type="dxa"/>
            <w:gridSpan w:val="2"/>
          </w:tcPr>
          <w:p w:rsidR="004A38EB" w:rsidRPr="007C51D6" w:rsidRDefault="004A38EB" w:rsidP="004A38EB">
            <w:pPr>
              <w:autoSpaceDE/>
              <w:autoSpaceDN/>
              <w:adjustRightInd/>
              <w:jc w:val="center"/>
              <w:rPr>
                <w:color w:val="000000"/>
                <w:sz w:val="20"/>
                <w:szCs w:val="20"/>
              </w:rPr>
            </w:pPr>
            <w:r w:rsidRPr="007C51D6">
              <w:rPr>
                <w:color w:val="000000"/>
                <w:sz w:val="20"/>
                <w:szCs w:val="20"/>
              </w:rPr>
              <w:t>228,96</w:t>
            </w:r>
          </w:p>
        </w:tc>
        <w:tc>
          <w:tcPr>
            <w:tcW w:w="924" w:type="dxa"/>
          </w:tcPr>
          <w:p w:rsidR="004A38EB" w:rsidRPr="007C51D6" w:rsidRDefault="004A38EB" w:rsidP="004A38EB">
            <w:pPr>
              <w:jc w:val="center"/>
              <w:rPr>
                <w:color w:val="000000"/>
                <w:sz w:val="20"/>
                <w:szCs w:val="20"/>
              </w:rPr>
            </w:pPr>
            <w:r w:rsidRPr="007C51D6">
              <w:rPr>
                <w:color w:val="000000"/>
                <w:sz w:val="20"/>
                <w:szCs w:val="20"/>
              </w:rPr>
              <w:t>нет</w:t>
            </w:r>
          </w:p>
          <w:p w:rsidR="004A38EB" w:rsidRPr="007C51D6" w:rsidRDefault="004A38EB" w:rsidP="004A38EB">
            <w:pPr>
              <w:jc w:val="center"/>
              <w:rPr>
                <w:color w:val="000000"/>
                <w:sz w:val="20"/>
                <w:szCs w:val="20"/>
              </w:rPr>
            </w:pPr>
            <w:r w:rsidRPr="007C51D6">
              <w:rPr>
                <w:color w:val="000000"/>
                <w:sz w:val="20"/>
                <w:szCs w:val="20"/>
              </w:rPr>
              <w:t>данных</w:t>
            </w:r>
          </w:p>
        </w:tc>
        <w:tc>
          <w:tcPr>
            <w:tcW w:w="880" w:type="dxa"/>
          </w:tcPr>
          <w:p w:rsidR="004A38EB" w:rsidRPr="007C51D6" w:rsidRDefault="004A38EB" w:rsidP="004A38EB">
            <w:pPr>
              <w:jc w:val="center"/>
              <w:rPr>
                <w:color w:val="000000"/>
                <w:sz w:val="20"/>
                <w:szCs w:val="20"/>
              </w:rPr>
            </w:pPr>
            <w:r w:rsidRPr="007C51D6">
              <w:rPr>
                <w:color w:val="000000"/>
                <w:sz w:val="20"/>
                <w:szCs w:val="20"/>
              </w:rPr>
              <w:t>нет</w:t>
            </w:r>
          </w:p>
          <w:p w:rsidR="004A38EB" w:rsidRPr="007C51D6" w:rsidRDefault="004A38EB" w:rsidP="004A38EB">
            <w:pPr>
              <w:jc w:val="center"/>
              <w:rPr>
                <w:rFonts w:eastAsia="Arial"/>
                <w:sz w:val="20"/>
                <w:szCs w:val="20"/>
              </w:rPr>
            </w:pPr>
            <w:r w:rsidRPr="007C51D6">
              <w:rPr>
                <w:color w:val="000000"/>
                <w:sz w:val="20"/>
                <w:szCs w:val="20"/>
              </w:rPr>
              <w:t>данных</w:t>
            </w:r>
          </w:p>
        </w:tc>
        <w:tc>
          <w:tcPr>
            <w:tcW w:w="1980" w:type="dxa"/>
            <w:gridSpan w:val="2"/>
          </w:tcPr>
          <w:p w:rsidR="004A38EB" w:rsidRPr="007C51D6" w:rsidRDefault="004A38EB" w:rsidP="004A38EB">
            <w:pPr>
              <w:jc w:val="center"/>
              <w:rPr>
                <w:rFonts w:eastAsia="Arial"/>
                <w:sz w:val="20"/>
                <w:szCs w:val="20"/>
              </w:rPr>
            </w:pPr>
            <w:r w:rsidRPr="007C51D6">
              <w:rPr>
                <w:rFonts w:eastAsia="Arial"/>
                <w:sz w:val="20"/>
                <w:szCs w:val="20"/>
              </w:rPr>
              <w:t>-</w:t>
            </w:r>
          </w:p>
        </w:tc>
      </w:tr>
      <w:tr w:rsidR="004A38EB" w:rsidRPr="007C51D6" w:rsidTr="009B6FE1">
        <w:tblPrEx>
          <w:tblBorders>
            <w:bottom w:val="single" w:sz="4" w:space="0" w:color="auto"/>
          </w:tblBorders>
        </w:tblPrEx>
        <w:trPr>
          <w:gridAfter w:val="1"/>
          <w:wAfter w:w="17" w:type="dxa"/>
          <w:trHeight w:val="20"/>
        </w:trPr>
        <w:tc>
          <w:tcPr>
            <w:tcW w:w="1793" w:type="dxa"/>
          </w:tcPr>
          <w:p w:rsidR="004A38EB" w:rsidRPr="007C51D6" w:rsidRDefault="004A38EB" w:rsidP="004A38EB">
            <w:pPr>
              <w:jc w:val="both"/>
              <w:rPr>
                <w:sz w:val="20"/>
                <w:szCs w:val="20"/>
              </w:rPr>
            </w:pPr>
            <w:r w:rsidRPr="007C51D6">
              <w:rPr>
                <w:color w:val="000000"/>
                <w:sz w:val="20"/>
                <w:szCs w:val="20"/>
              </w:rPr>
              <w:t>Российская Федерация</w:t>
            </w:r>
          </w:p>
        </w:tc>
        <w:tc>
          <w:tcPr>
            <w:tcW w:w="1714" w:type="dxa"/>
            <w:vMerge/>
          </w:tcPr>
          <w:p w:rsidR="004A38EB" w:rsidRPr="007C51D6" w:rsidRDefault="004A38EB" w:rsidP="004A38EB">
            <w:pPr>
              <w:rPr>
                <w:rFonts w:eastAsia="Arial"/>
                <w:sz w:val="20"/>
                <w:szCs w:val="20"/>
              </w:rPr>
            </w:pPr>
          </w:p>
        </w:tc>
        <w:tc>
          <w:tcPr>
            <w:tcW w:w="1011" w:type="dxa"/>
          </w:tcPr>
          <w:p w:rsidR="004A38EB" w:rsidRPr="007C51D6" w:rsidRDefault="004A38EB" w:rsidP="004A38EB">
            <w:pPr>
              <w:autoSpaceDE/>
              <w:autoSpaceDN/>
              <w:adjustRightInd/>
              <w:jc w:val="center"/>
              <w:rPr>
                <w:color w:val="000000"/>
                <w:sz w:val="20"/>
                <w:szCs w:val="20"/>
              </w:rPr>
            </w:pPr>
            <w:r w:rsidRPr="007C51D6">
              <w:rPr>
                <w:color w:val="000000"/>
                <w:sz w:val="20"/>
                <w:szCs w:val="20"/>
              </w:rPr>
              <w:t>234,27</w:t>
            </w:r>
          </w:p>
        </w:tc>
        <w:tc>
          <w:tcPr>
            <w:tcW w:w="996" w:type="dxa"/>
          </w:tcPr>
          <w:p w:rsidR="004A38EB" w:rsidRPr="007C51D6" w:rsidRDefault="004A38EB" w:rsidP="004A38EB">
            <w:pPr>
              <w:autoSpaceDE/>
              <w:autoSpaceDN/>
              <w:adjustRightInd/>
              <w:jc w:val="center"/>
              <w:rPr>
                <w:color w:val="000000"/>
                <w:sz w:val="20"/>
                <w:szCs w:val="20"/>
              </w:rPr>
            </w:pPr>
            <w:r w:rsidRPr="007C51D6">
              <w:rPr>
                <w:color w:val="000000"/>
                <w:sz w:val="20"/>
                <w:szCs w:val="20"/>
              </w:rPr>
              <w:t>228,77</w:t>
            </w:r>
          </w:p>
        </w:tc>
        <w:tc>
          <w:tcPr>
            <w:tcW w:w="831" w:type="dxa"/>
          </w:tcPr>
          <w:p w:rsidR="004A38EB" w:rsidRPr="007C51D6" w:rsidRDefault="004A38EB" w:rsidP="004A38EB">
            <w:pPr>
              <w:autoSpaceDE/>
              <w:autoSpaceDN/>
              <w:adjustRightInd/>
              <w:jc w:val="center"/>
              <w:rPr>
                <w:color w:val="000000"/>
                <w:sz w:val="20"/>
                <w:szCs w:val="20"/>
              </w:rPr>
            </w:pPr>
            <w:r w:rsidRPr="007C51D6">
              <w:rPr>
                <w:color w:val="000000"/>
                <w:sz w:val="20"/>
                <w:szCs w:val="20"/>
              </w:rPr>
              <w:t>231,90</w:t>
            </w:r>
          </w:p>
        </w:tc>
        <w:tc>
          <w:tcPr>
            <w:tcW w:w="927" w:type="dxa"/>
            <w:gridSpan w:val="2"/>
          </w:tcPr>
          <w:p w:rsidR="004A38EB" w:rsidRPr="007C51D6" w:rsidRDefault="004A38EB" w:rsidP="004A38EB">
            <w:pPr>
              <w:autoSpaceDE/>
              <w:autoSpaceDN/>
              <w:adjustRightInd/>
              <w:jc w:val="center"/>
              <w:rPr>
                <w:color w:val="000000"/>
                <w:sz w:val="20"/>
                <w:szCs w:val="20"/>
              </w:rPr>
            </w:pPr>
            <w:r w:rsidRPr="007C51D6">
              <w:rPr>
                <w:color w:val="000000"/>
                <w:sz w:val="20"/>
                <w:szCs w:val="20"/>
              </w:rPr>
              <w:t>231,9</w:t>
            </w:r>
          </w:p>
        </w:tc>
        <w:tc>
          <w:tcPr>
            <w:tcW w:w="862" w:type="dxa"/>
            <w:gridSpan w:val="2"/>
          </w:tcPr>
          <w:p w:rsidR="004A38EB" w:rsidRPr="007C51D6" w:rsidRDefault="004A38EB" w:rsidP="004A38EB">
            <w:pPr>
              <w:autoSpaceDE/>
              <w:autoSpaceDN/>
              <w:adjustRightInd/>
              <w:jc w:val="center"/>
              <w:rPr>
                <w:color w:val="000000"/>
                <w:sz w:val="20"/>
                <w:szCs w:val="20"/>
              </w:rPr>
            </w:pPr>
            <w:r w:rsidRPr="007C51D6">
              <w:rPr>
                <w:color w:val="000000"/>
                <w:sz w:val="20"/>
                <w:szCs w:val="20"/>
              </w:rPr>
              <w:t>231,77</w:t>
            </w:r>
          </w:p>
        </w:tc>
        <w:tc>
          <w:tcPr>
            <w:tcW w:w="878" w:type="dxa"/>
          </w:tcPr>
          <w:p w:rsidR="004A38EB" w:rsidRPr="007C51D6" w:rsidRDefault="004A38EB" w:rsidP="004A38EB">
            <w:pPr>
              <w:autoSpaceDE/>
              <w:autoSpaceDN/>
              <w:adjustRightInd/>
              <w:jc w:val="center"/>
              <w:rPr>
                <w:color w:val="000000"/>
                <w:sz w:val="20"/>
                <w:szCs w:val="20"/>
              </w:rPr>
            </w:pPr>
            <w:r w:rsidRPr="007C51D6">
              <w:rPr>
                <w:color w:val="000000"/>
                <w:sz w:val="20"/>
                <w:szCs w:val="20"/>
              </w:rPr>
              <w:t>230,091</w:t>
            </w:r>
          </w:p>
        </w:tc>
        <w:tc>
          <w:tcPr>
            <w:tcW w:w="1044" w:type="dxa"/>
          </w:tcPr>
          <w:p w:rsidR="004A38EB" w:rsidRPr="007C51D6" w:rsidRDefault="004A38EB" w:rsidP="004A38EB">
            <w:pPr>
              <w:autoSpaceDE/>
              <w:autoSpaceDN/>
              <w:adjustRightInd/>
              <w:jc w:val="center"/>
              <w:rPr>
                <w:color w:val="000000"/>
                <w:sz w:val="20"/>
                <w:szCs w:val="20"/>
              </w:rPr>
            </w:pPr>
            <w:r w:rsidRPr="007C51D6">
              <w:rPr>
                <w:color w:val="000000"/>
                <w:sz w:val="20"/>
                <w:szCs w:val="20"/>
              </w:rPr>
              <w:t>216,41</w:t>
            </w:r>
          </w:p>
        </w:tc>
        <w:tc>
          <w:tcPr>
            <w:tcW w:w="927" w:type="dxa"/>
            <w:gridSpan w:val="2"/>
          </w:tcPr>
          <w:p w:rsidR="004A38EB" w:rsidRPr="007C51D6" w:rsidRDefault="004A38EB" w:rsidP="004A38EB">
            <w:pPr>
              <w:autoSpaceDE/>
              <w:autoSpaceDN/>
              <w:adjustRightInd/>
              <w:jc w:val="center"/>
              <w:rPr>
                <w:color w:val="000000"/>
                <w:sz w:val="20"/>
                <w:szCs w:val="20"/>
              </w:rPr>
            </w:pPr>
            <w:r w:rsidRPr="007C51D6">
              <w:rPr>
                <w:color w:val="000000"/>
                <w:sz w:val="20"/>
                <w:szCs w:val="20"/>
              </w:rPr>
              <w:t>222,87</w:t>
            </w:r>
          </w:p>
        </w:tc>
        <w:tc>
          <w:tcPr>
            <w:tcW w:w="924" w:type="dxa"/>
          </w:tcPr>
          <w:p w:rsidR="004A38EB" w:rsidRPr="007C51D6" w:rsidRDefault="004A38EB" w:rsidP="004A38EB">
            <w:pPr>
              <w:jc w:val="center"/>
              <w:rPr>
                <w:color w:val="000000"/>
                <w:sz w:val="20"/>
                <w:szCs w:val="20"/>
              </w:rPr>
            </w:pPr>
            <w:r w:rsidRPr="007C51D6">
              <w:rPr>
                <w:color w:val="000000"/>
                <w:sz w:val="20"/>
                <w:szCs w:val="20"/>
              </w:rPr>
              <w:t>нет</w:t>
            </w:r>
          </w:p>
          <w:p w:rsidR="004A38EB" w:rsidRPr="007C51D6" w:rsidRDefault="004A38EB" w:rsidP="004A38EB">
            <w:pPr>
              <w:jc w:val="center"/>
              <w:rPr>
                <w:color w:val="000000"/>
                <w:sz w:val="20"/>
                <w:szCs w:val="20"/>
              </w:rPr>
            </w:pPr>
            <w:r w:rsidRPr="007C51D6">
              <w:rPr>
                <w:color w:val="000000"/>
                <w:sz w:val="20"/>
                <w:szCs w:val="20"/>
              </w:rPr>
              <w:t>данных</w:t>
            </w:r>
          </w:p>
        </w:tc>
        <w:tc>
          <w:tcPr>
            <w:tcW w:w="880" w:type="dxa"/>
          </w:tcPr>
          <w:p w:rsidR="004A38EB" w:rsidRPr="007C51D6" w:rsidRDefault="004A38EB" w:rsidP="004A38EB">
            <w:pPr>
              <w:jc w:val="center"/>
              <w:rPr>
                <w:color w:val="000000"/>
                <w:sz w:val="20"/>
                <w:szCs w:val="20"/>
              </w:rPr>
            </w:pPr>
            <w:r w:rsidRPr="007C51D6">
              <w:rPr>
                <w:color w:val="000000"/>
                <w:sz w:val="20"/>
                <w:szCs w:val="20"/>
              </w:rPr>
              <w:t>нет</w:t>
            </w:r>
          </w:p>
          <w:p w:rsidR="004A38EB" w:rsidRPr="007C51D6" w:rsidRDefault="004A38EB" w:rsidP="004A38EB">
            <w:pPr>
              <w:jc w:val="center"/>
              <w:rPr>
                <w:rFonts w:eastAsia="Arial"/>
                <w:sz w:val="20"/>
                <w:szCs w:val="20"/>
              </w:rPr>
            </w:pPr>
            <w:r w:rsidRPr="007C51D6">
              <w:rPr>
                <w:color w:val="000000"/>
                <w:sz w:val="20"/>
                <w:szCs w:val="20"/>
              </w:rPr>
              <w:t>данных</w:t>
            </w:r>
          </w:p>
        </w:tc>
        <w:tc>
          <w:tcPr>
            <w:tcW w:w="1980" w:type="dxa"/>
            <w:gridSpan w:val="2"/>
          </w:tcPr>
          <w:p w:rsidR="004A38EB" w:rsidRPr="007C51D6" w:rsidRDefault="004A38EB" w:rsidP="004A38EB">
            <w:pPr>
              <w:jc w:val="center"/>
              <w:rPr>
                <w:rFonts w:eastAsia="Arial"/>
                <w:sz w:val="20"/>
                <w:szCs w:val="20"/>
              </w:rPr>
            </w:pPr>
            <w:r w:rsidRPr="007C51D6">
              <w:rPr>
                <w:rFonts w:eastAsia="Arial"/>
                <w:sz w:val="20"/>
                <w:szCs w:val="20"/>
              </w:rPr>
              <w:t>-</w:t>
            </w:r>
          </w:p>
        </w:tc>
      </w:tr>
      <w:tr w:rsidR="004A38EB" w:rsidRPr="007C51D6" w:rsidTr="009B6FE1">
        <w:tblPrEx>
          <w:tblBorders>
            <w:bottom w:val="single" w:sz="4" w:space="0" w:color="auto"/>
          </w:tblBorders>
        </w:tblPrEx>
        <w:trPr>
          <w:gridAfter w:val="1"/>
          <w:wAfter w:w="17" w:type="dxa"/>
          <w:trHeight w:val="20"/>
        </w:trPr>
        <w:tc>
          <w:tcPr>
            <w:tcW w:w="1793" w:type="dxa"/>
          </w:tcPr>
          <w:p w:rsidR="004A38EB" w:rsidRPr="007C51D6" w:rsidRDefault="004A38EB" w:rsidP="004A38EB">
            <w:pPr>
              <w:jc w:val="both"/>
              <w:rPr>
                <w:rFonts w:eastAsia="Arial"/>
                <w:sz w:val="20"/>
                <w:szCs w:val="20"/>
              </w:rPr>
            </w:pPr>
            <w:r w:rsidRPr="007C51D6">
              <w:rPr>
                <w:rFonts w:eastAsia="Arial"/>
                <w:sz w:val="20"/>
                <w:szCs w:val="20"/>
              </w:rPr>
              <w:t>Республика Татарстан</w:t>
            </w:r>
          </w:p>
        </w:tc>
        <w:tc>
          <w:tcPr>
            <w:tcW w:w="1714" w:type="dxa"/>
            <w:vMerge w:val="restart"/>
          </w:tcPr>
          <w:p w:rsidR="004A38EB" w:rsidRPr="007C51D6" w:rsidRDefault="004A38EB" w:rsidP="004A38EB">
            <w:pPr>
              <w:rPr>
                <w:rFonts w:eastAsia="Arial"/>
                <w:sz w:val="20"/>
                <w:szCs w:val="20"/>
              </w:rPr>
            </w:pPr>
            <w:r w:rsidRPr="007C51D6">
              <w:rPr>
                <w:rFonts w:eastAsia="Arial"/>
                <w:sz w:val="20"/>
                <w:szCs w:val="20"/>
              </w:rPr>
              <w:t>стандартизованный</w:t>
            </w:r>
          </w:p>
        </w:tc>
        <w:tc>
          <w:tcPr>
            <w:tcW w:w="1011" w:type="dxa"/>
          </w:tcPr>
          <w:p w:rsidR="004A38EB" w:rsidRPr="007C51D6" w:rsidRDefault="004A38EB" w:rsidP="004A38EB">
            <w:pPr>
              <w:autoSpaceDE/>
              <w:autoSpaceDN/>
              <w:adjustRightInd/>
              <w:jc w:val="center"/>
              <w:rPr>
                <w:color w:val="000000"/>
                <w:sz w:val="20"/>
                <w:szCs w:val="20"/>
              </w:rPr>
            </w:pPr>
            <w:r w:rsidRPr="007C51D6">
              <w:rPr>
                <w:color w:val="000000"/>
                <w:sz w:val="20"/>
                <w:szCs w:val="20"/>
              </w:rPr>
              <w:t>162,30</w:t>
            </w:r>
          </w:p>
        </w:tc>
        <w:tc>
          <w:tcPr>
            <w:tcW w:w="996" w:type="dxa"/>
          </w:tcPr>
          <w:p w:rsidR="004A38EB" w:rsidRPr="007C51D6" w:rsidRDefault="004A38EB" w:rsidP="004A38EB">
            <w:pPr>
              <w:autoSpaceDE/>
              <w:autoSpaceDN/>
              <w:adjustRightInd/>
              <w:jc w:val="center"/>
              <w:rPr>
                <w:color w:val="000000"/>
                <w:sz w:val="20"/>
                <w:szCs w:val="20"/>
              </w:rPr>
            </w:pPr>
            <w:r w:rsidRPr="007C51D6">
              <w:rPr>
                <w:color w:val="000000"/>
                <w:sz w:val="20"/>
                <w:szCs w:val="20"/>
              </w:rPr>
              <w:t>154,14</w:t>
            </w:r>
          </w:p>
        </w:tc>
        <w:tc>
          <w:tcPr>
            <w:tcW w:w="831" w:type="dxa"/>
          </w:tcPr>
          <w:p w:rsidR="004A38EB" w:rsidRPr="007C51D6" w:rsidRDefault="004A38EB" w:rsidP="004A38EB">
            <w:pPr>
              <w:autoSpaceDE/>
              <w:autoSpaceDN/>
              <w:adjustRightInd/>
              <w:jc w:val="center"/>
              <w:rPr>
                <w:color w:val="000000"/>
                <w:sz w:val="20"/>
                <w:szCs w:val="20"/>
              </w:rPr>
            </w:pPr>
            <w:r w:rsidRPr="007C51D6">
              <w:rPr>
                <w:color w:val="000000"/>
                <w:sz w:val="20"/>
                <w:szCs w:val="20"/>
              </w:rPr>
              <w:t>163,01</w:t>
            </w:r>
          </w:p>
        </w:tc>
        <w:tc>
          <w:tcPr>
            <w:tcW w:w="927" w:type="dxa"/>
            <w:gridSpan w:val="2"/>
          </w:tcPr>
          <w:p w:rsidR="004A38EB" w:rsidRPr="007C51D6" w:rsidRDefault="004A38EB" w:rsidP="004A38EB">
            <w:pPr>
              <w:autoSpaceDE/>
              <w:autoSpaceDN/>
              <w:adjustRightInd/>
              <w:jc w:val="center"/>
              <w:rPr>
                <w:color w:val="000000"/>
                <w:sz w:val="20"/>
                <w:szCs w:val="20"/>
              </w:rPr>
            </w:pPr>
            <w:r w:rsidRPr="007C51D6">
              <w:rPr>
                <w:color w:val="000000"/>
                <w:sz w:val="20"/>
                <w:szCs w:val="20"/>
              </w:rPr>
              <w:t>147,81</w:t>
            </w:r>
          </w:p>
        </w:tc>
        <w:tc>
          <w:tcPr>
            <w:tcW w:w="862" w:type="dxa"/>
            <w:gridSpan w:val="2"/>
          </w:tcPr>
          <w:p w:rsidR="004A38EB" w:rsidRPr="007C51D6" w:rsidRDefault="004A38EB" w:rsidP="004A38EB">
            <w:pPr>
              <w:autoSpaceDE/>
              <w:autoSpaceDN/>
              <w:adjustRightInd/>
              <w:jc w:val="center"/>
              <w:rPr>
                <w:color w:val="000000"/>
                <w:sz w:val="20"/>
                <w:szCs w:val="20"/>
              </w:rPr>
            </w:pPr>
            <w:r w:rsidRPr="007C51D6">
              <w:rPr>
                <w:color w:val="000000"/>
                <w:sz w:val="20"/>
                <w:szCs w:val="20"/>
              </w:rPr>
              <w:t>145,20</w:t>
            </w:r>
          </w:p>
        </w:tc>
        <w:tc>
          <w:tcPr>
            <w:tcW w:w="878" w:type="dxa"/>
          </w:tcPr>
          <w:p w:rsidR="004A38EB" w:rsidRPr="007C51D6" w:rsidRDefault="004A38EB" w:rsidP="004A38EB">
            <w:pPr>
              <w:autoSpaceDE/>
              <w:autoSpaceDN/>
              <w:adjustRightInd/>
              <w:jc w:val="center"/>
              <w:rPr>
                <w:color w:val="000000"/>
                <w:sz w:val="20"/>
                <w:szCs w:val="20"/>
              </w:rPr>
            </w:pPr>
            <w:r w:rsidRPr="007C51D6">
              <w:rPr>
                <w:color w:val="000000"/>
                <w:sz w:val="20"/>
                <w:szCs w:val="20"/>
              </w:rPr>
              <w:t>137,31</w:t>
            </w:r>
          </w:p>
        </w:tc>
        <w:tc>
          <w:tcPr>
            <w:tcW w:w="1044" w:type="dxa"/>
          </w:tcPr>
          <w:p w:rsidR="004A38EB" w:rsidRPr="007C51D6" w:rsidRDefault="004A38EB" w:rsidP="004A38EB">
            <w:pPr>
              <w:autoSpaceDE/>
              <w:autoSpaceDN/>
              <w:adjustRightInd/>
              <w:jc w:val="center"/>
              <w:rPr>
                <w:color w:val="000000"/>
                <w:sz w:val="20"/>
                <w:szCs w:val="20"/>
              </w:rPr>
            </w:pPr>
            <w:r w:rsidRPr="007C51D6">
              <w:rPr>
                <w:color w:val="000000"/>
                <w:sz w:val="20"/>
                <w:szCs w:val="20"/>
              </w:rPr>
              <w:t>122,73</w:t>
            </w:r>
          </w:p>
        </w:tc>
        <w:tc>
          <w:tcPr>
            <w:tcW w:w="927" w:type="dxa"/>
            <w:gridSpan w:val="2"/>
          </w:tcPr>
          <w:p w:rsidR="004A38EB" w:rsidRPr="007C51D6" w:rsidRDefault="004A38EB" w:rsidP="004A38EB">
            <w:pPr>
              <w:autoSpaceDE/>
              <w:autoSpaceDN/>
              <w:adjustRightInd/>
              <w:jc w:val="center"/>
              <w:rPr>
                <w:color w:val="000000"/>
                <w:sz w:val="20"/>
                <w:szCs w:val="20"/>
              </w:rPr>
            </w:pPr>
            <w:r w:rsidRPr="007C51D6">
              <w:rPr>
                <w:color w:val="000000"/>
                <w:sz w:val="20"/>
                <w:szCs w:val="20"/>
              </w:rPr>
              <w:t>129,07</w:t>
            </w:r>
          </w:p>
        </w:tc>
        <w:tc>
          <w:tcPr>
            <w:tcW w:w="924" w:type="dxa"/>
          </w:tcPr>
          <w:p w:rsidR="004A38EB" w:rsidRPr="007C51D6" w:rsidRDefault="004A38EB" w:rsidP="004A38EB">
            <w:pPr>
              <w:jc w:val="center"/>
              <w:rPr>
                <w:color w:val="000000"/>
                <w:sz w:val="20"/>
                <w:szCs w:val="20"/>
              </w:rPr>
            </w:pPr>
            <w:r w:rsidRPr="007C51D6">
              <w:rPr>
                <w:color w:val="000000"/>
                <w:sz w:val="20"/>
                <w:szCs w:val="20"/>
              </w:rPr>
              <w:t>нет</w:t>
            </w:r>
          </w:p>
          <w:p w:rsidR="004A38EB" w:rsidRPr="007C51D6" w:rsidRDefault="004A38EB" w:rsidP="004A38EB">
            <w:pPr>
              <w:jc w:val="center"/>
              <w:rPr>
                <w:color w:val="000000"/>
                <w:sz w:val="20"/>
                <w:szCs w:val="20"/>
              </w:rPr>
            </w:pPr>
            <w:r w:rsidRPr="007C51D6">
              <w:rPr>
                <w:color w:val="000000"/>
                <w:sz w:val="20"/>
                <w:szCs w:val="20"/>
              </w:rPr>
              <w:t>данных</w:t>
            </w:r>
          </w:p>
        </w:tc>
        <w:tc>
          <w:tcPr>
            <w:tcW w:w="880" w:type="dxa"/>
          </w:tcPr>
          <w:p w:rsidR="004A38EB" w:rsidRPr="007C51D6" w:rsidRDefault="004A38EB" w:rsidP="004A38EB">
            <w:pPr>
              <w:jc w:val="center"/>
              <w:rPr>
                <w:color w:val="000000"/>
                <w:sz w:val="20"/>
                <w:szCs w:val="20"/>
              </w:rPr>
            </w:pPr>
            <w:r w:rsidRPr="007C51D6">
              <w:rPr>
                <w:color w:val="000000"/>
                <w:sz w:val="20"/>
                <w:szCs w:val="20"/>
              </w:rPr>
              <w:t>нет</w:t>
            </w:r>
          </w:p>
          <w:p w:rsidR="004A38EB" w:rsidRPr="007C51D6" w:rsidRDefault="004A38EB" w:rsidP="004A38EB">
            <w:pPr>
              <w:jc w:val="center"/>
              <w:rPr>
                <w:rFonts w:eastAsia="Arial"/>
                <w:sz w:val="20"/>
                <w:szCs w:val="20"/>
              </w:rPr>
            </w:pPr>
            <w:r w:rsidRPr="007C51D6">
              <w:rPr>
                <w:color w:val="000000"/>
                <w:sz w:val="20"/>
                <w:szCs w:val="20"/>
              </w:rPr>
              <w:t>данных</w:t>
            </w:r>
          </w:p>
        </w:tc>
        <w:tc>
          <w:tcPr>
            <w:tcW w:w="1980" w:type="dxa"/>
            <w:gridSpan w:val="2"/>
          </w:tcPr>
          <w:p w:rsidR="004A38EB" w:rsidRPr="007C51D6" w:rsidRDefault="004A38EB" w:rsidP="004A38EB">
            <w:pPr>
              <w:jc w:val="center"/>
              <w:rPr>
                <w:rFonts w:eastAsia="Arial"/>
                <w:sz w:val="20"/>
                <w:szCs w:val="20"/>
              </w:rPr>
            </w:pPr>
            <w:r w:rsidRPr="007C51D6">
              <w:rPr>
                <w:rFonts w:eastAsia="Arial"/>
                <w:sz w:val="20"/>
                <w:szCs w:val="20"/>
              </w:rPr>
              <w:t>-</w:t>
            </w:r>
          </w:p>
        </w:tc>
      </w:tr>
      <w:tr w:rsidR="004A38EB" w:rsidRPr="007C51D6" w:rsidTr="009B6FE1">
        <w:tblPrEx>
          <w:tblBorders>
            <w:bottom w:val="single" w:sz="4" w:space="0" w:color="auto"/>
          </w:tblBorders>
        </w:tblPrEx>
        <w:trPr>
          <w:gridAfter w:val="1"/>
          <w:wAfter w:w="17" w:type="dxa"/>
          <w:trHeight w:val="20"/>
        </w:trPr>
        <w:tc>
          <w:tcPr>
            <w:tcW w:w="1793" w:type="dxa"/>
          </w:tcPr>
          <w:p w:rsidR="004A38EB" w:rsidRPr="007C51D6" w:rsidRDefault="004A38EB" w:rsidP="004A38EB">
            <w:pPr>
              <w:jc w:val="both"/>
              <w:rPr>
                <w:sz w:val="20"/>
                <w:szCs w:val="20"/>
              </w:rPr>
            </w:pPr>
            <w:r w:rsidRPr="007C51D6">
              <w:rPr>
                <w:color w:val="000000"/>
                <w:sz w:val="20"/>
                <w:szCs w:val="20"/>
              </w:rPr>
              <w:t>Приволжcкий федеральный округ</w:t>
            </w:r>
          </w:p>
        </w:tc>
        <w:tc>
          <w:tcPr>
            <w:tcW w:w="1714" w:type="dxa"/>
            <w:vMerge/>
          </w:tcPr>
          <w:p w:rsidR="004A38EB" w:rsidRPr="007C51D6" w:rsidRDefault="004A38EB" w:rsidP="004A38EB">
            <w:pPr>
              <w:rPr>
                <w:rFonts w:eastAsia="Arial"/>
                <w:sz w:val="20"/>
                <w:szCs w:val="20"/>
              </w:rPr>
            </w:pPr>
          </w:p>
        </w:tc>
        <w:tc>
          <w:tcPr>
            <w:tcW w:w="1011" w:type="dxa"/>
          </w:tcPr>
          <w:p w:rsidR="004A38EB" w:rsidRPr="007C51D6" w:rsidRDefault="004A38EB" w:rsidP="004A38EB">
            <w:pPr>
              <w:autoSpaceDE/>
              <w:autoSpaceDN/>
              <w:adjustRightInd/>
              <w:jc w:val="center"/>
              <w:rPr>
                <w:color w:val="000000"/>
                <w:sz w:val="20"/>
                <w:szCs w:val="20"/>
              </w:rPr>
            </w:pPr>
            <w:r w:rsidRPr="007C51D6">
              <w:rPr>
                <w:color w:val="000000"/>
                <w:sz w:val="20"/>
                <w:szCs w:val="20"/>
              </w:rPr>
              <w:t>159,61</w:t>
            </w:r>
          </w:p>
        </w:tc>
        <w:tc>
          <w:tcPr>
            <w:tcW w:w="996" w:type="dxa"/>
          </w:tcPr>
          <w:p w:rsidR="004A38EB" w:rsidRPr="007C51D6" w:rsidRDefault="004A38EB" w:rsidP="004A38EB">
            <w:pPr>
              <w:autoSpaceDE/>
              <w:autoSpaceDN/>
              <w:adjustRightInd/>
              <w:jc w:val="center"/>
              <w:rPr>
                <w:color w:val="000000"/>
                <w:sz w:val="20"/>
                <w:szCs w:val="20"/>
              </w:rPr>
            </w:pPr>
            <w:r w:rsidRPr="007C51D6">
              <w:rPr>
                <w:color w:val="000000"/>
                <w:sz w:val="20"/>
                <w:szCs w:val="20"/>
              </w:rPr>
              <w:t>153,74</w:t>
            </w:r>
          </w:p>
        </w:tc>
        <w:tc>
          <w:tcPr>
            <w:tcW w:w="831" w:type="dxa"/>
          </w:tcPr>
          <w:p w:rsidR="004A38EB" w:rsidRPr="007C51D6" w:rsidRDefault="004A38EB" w:rsidP="004A38EB">
            <w:pPr>
              <w:autoSpaceDE/>
              <w:autoSpaceDN/>
              <w:adjustRightInd/>
              <w:jc w:val="center"/>
              <w:rPr>
                <w:color w:val="000000"/>
                <w:sz w:val="20"/>
                <w:szCs w:val="20"/>
              </w:rPr>
            </w:pPr>
            <w:r w:rsidRPr="007C51D6">
              <w:rPr>
                <w:color w:val="000000"/>
                <w:sz w:val="20"/>
                <w:szCs w:val="20"/>
              </w:rPr>
              <w:t>154,71</w:t>
            </w:r>
          </w:p>
        </w:tc>
        <w:tc>
          <w:tcPr>
            <w:tcW w:w="927" w:type="dxa"/>
            <w:gridSpan w:val="2"/>
          </w:tcPr>
          <w:p w:rsidR="004A38EB" w:rsidRPr="007C51D6" w:rsidRDefault="004A38EB" w:rsidP="004A38EB">
            <w:pPr>
              <w:autoSpaceDE/>
              <w:autoSpaceDN/>
              <w:adjustRightInd/>
              <w:jc w:val="center"/>
              <w:rPr>
                <w:color w:val="000000"/>
                <w:sz w:val="20"/>
                <w:szCs w:val="20"/>
              </w:rPr>
            </w:pPr>
            <w:r w:rsidRPr="007C51D6">
              <w:rPr>
                <w:color w:val="000000"/>
                <w:sz w:val="20"/>
                <w:szCs w:val="20"/>
              </w:rPr>
              <w:t>152,16</w:t>
            </w:r>
          </w:p>
        </w:tc>
        <w:tc>
          <w:tcPr>
            <w:tcW w:w="862" w:type="dxa"/>
            <w:gridSpan w:val="2"/>
          </w:tcPr>
          <w:p w:rsidR="004A38EB" w:rsidRPr="007C51D6" w:rsidRDefault="004A38EB" w:rsidP="004A38EB">
            <w:pPr>
              <w:autoSpaceDE/>
              <w:autoSpaceDN/>
              <w:adjustRightInd/>
              <w:jc w:val="center"/>
              <w:rPr>
                <w:color w:val="000000"/>
                <w:sz w:val="20"/>
                <w:szCs w:val="20"/>
              </w:rPr>
            </w:pPr>
            <w:r w:rsidRPr="007C51D6">
              <w:rPr>
                <w:color w:val="000000"/>
                <w:sz w:val="20"/>
                <w:szCs w:val="20"/>
              </w:rPr>
              <w:t>148,57</w:t>
            </w:r>
          </w:p>
        </w:tc>
        <w:tc>
          <w:tcPr>
            <w:tcW w:w="878" w:type="dxa"/>
          </w:tcPr>
          <w:p w:rsidR="004A38EB" w:rsidRPr="007C51D6" w:rsidRDefault="004A38EB" w:rsidP="004A38EB">
            <w:pPr>
              <w:autoSpaceDE/>
              <w:autoSpaceDN/>
              <w:adjustRightInd/>
              <w:jc w:val="center"/>
              <w:rPr>
                <w:color w:val="000000"/>
                <w:sz w:val="20"/>
                <w:szCs w:val="20"/>
              </w:rPr>
            </w:pPr>
            <w:r w:rsidRPr="007C51D6">
              <w:rPr>
                <w:color w:val="000000"/>
                <w:sz w:val="20"/>
                <w:szCs w:val="20"/>
              </w:rPr>
              <w:t>142,01</w:t>
            </w:r>
          </w:p>
        </w:tc>
        <w:tc>
          <w:tcPr>
            <w:tcW w:w="1044" w:type="dxa"/>
          </w:tcPr>
          <w:p w:rsidR="004A38EB" w:rsidRPr="007C51D6" w:rsidRDefault="004A38EB" w:rsidP="004A38EB">
            <w:pPr>
              <w:autoSpaceDE/>
              <w:autoSpaceDN/>
              <w:adjustRightInd/>
              <w:jc w:val="center"/>
              <w:rPr>
                <w:color w:val="000000"/>
                <w:sz w:val="20"/>
                <w:szCs w:val="20"/>
              </w:rPr>
            </w:pPr>
            <w:r w:rsidRPr="007C51D6">
              <w:rPr>
                <w:color w:val="000000"/>
                <w:sz w:val="20"/>
                <w:szCs w:val="20"/>
              </w:rPr>
              <w:t>135,84</w:t>
            </w:r>
          </w:p>
        </w:tc>
        <w:tc>
          <w:tcPr>
            <w:tcW w:w="927" w:type="dxa"/>
            <w:gridSpan w:val="2"/>
          </w:tcPr>
          <w:p w:rsidR="004A38EB" w:rsidRPr="007C51D6" w:rsidRDefault="004A38EB" w:rsidP="004A38EB">
            <w:pPr>
              <w:autoSpaceDE/>
              <w:autoSpaceDN/>
              <w:adjustRightInd/>
              <w:jc w:val="center"/>
              <w:rPr>
                <w:color w:val="000000"/>
                <w:sz w:val="20"/>
                <w:szCs w:val="20"/>
              </w:rPr>
            </w:pPr>
            <w:r w:rsidRPr="007C51D6">
              <w:rPr>
                <w:color w:val="000000"/>
                <w:sz w:val="20"/>
                <w:szCs w:val="20"/>
              </w:rPr>
              <w:t>135,95</w:t>
            </w:r>
          </w:p>
        </w:tc>
        <w:tc>
          <w:tcPr>
            <w:tcW w:w="924" w:type="dxa"/>
          </w:tcPr>
          <w:p w:rsidR="004A38EB" w:rsidRPr="007C51D6" w:rsidRDefault="004A38EB" w:rsidP="004A38EB">
            <w:pPr>
              <w:jc w:val="center"/>
              <w:rPr>
                <w:color w:val="000000"/>
                <w:sz w:val="20"/>
                <w:szCs w:val="20"/>
              </w:rPr>
            </w:pPr>
            <w:r w:rsidRPr="007C51D6">
              <w:rPr>
                <w:color w:val="000000"/>
                <w:sz w:val="20"/>
                <w:szCs w:val="20"/>
              </w:rPr>
              <w:t>нет</w:t>
            </w:r>
          </w:p>
          <w:p w:rsidR="004A38EB" w:rsidRPr="007C51D6" w:rsidRDefault="004A38EB" w:rsidP="004A38EB">
            <w:pPr>
              <w:jc w:val="center"/>
              <w:rPr>
                <w:color w:val="000000"/>
                <w:sz w:val="20"/>
                <w:szCs w:val="20"/>
              </w:rPr>
            </w:pPr>
            <w:r w:rsidRPr="007C51D6">
              <w:rPr>
                <w:color w:val="000000"/>
                <w:sz w:val="20"/>
                <w:szCs w:val="20"/>
              </w:rPr>
              <w:t>данных</w:t>
            </w:r>
          </w:p>
        </w:tc>
        <w:tc>
          <w:tcPr>
            <w:tcW w:w="880" w:type="dxa"/>
          </w:tcPr>
          <w:p w:rsidR="004A38EB" w:rsidRPr="007C51D6" w:rsidRDefault="004A38EB" w:rsidP="004A38EB">
            <w:pPr>
              <w:jc w:val="center"/>
              <w:rPr>
                <w:color w:val="000000"/>
                <w:sz w:val="20"/>
                <w:szCs w:val="20"/>
              </w:rPr>
            </w:pPr>
            <w:r w:rsidRPr="007C51D6">
              <w:rPr>
                <w:color w:val="000000"/>
                <w:sz w:val="20"/>
                <w:szCs w:val="20"/>
              </w:rPr>
              <w:t>нет</w:t>
            </w:r>
          </w:p>
          <w:p w:rsidR="004A38EB" w:rsidRPr="007C51D6" w:rsidRDefault="004A38EB" w:rsidP="004A38EB">
            <w:pPr>
              <w:jc w:val="center"/>
              <w:rPr>
                <w:rFonts w:eastAsia="Arial"/>
                <w:sz w:val="20"/>
                <w:szCs w:val="20"/>
              </w:rPr>
            </w:pPr>
            <w:r w:rsidRPr="007C51D6">
              <w:rPr>
                <w:color w:val="000000"/>
                <w:sz w:val="20"/>
                <w:szCs w:val="20"/>
              </w:rPr>
              <w:t>данных</w:t>
            </w:r>
          </w:p>
        </w:tc>
        <w:tc>
          <w:tcPr>
            <w:tcW w:w="1980" w:type="dxa"/>
            <w:gridSpan w:val="2"/>
          </w:tcPr>
          <w:p w:rsidR="004A38EB" w:rsidRPr="007C51D6" w:rsidRDefault="004A38EB" w:rsidP="004A38EB">
            <w:pPr>
              <w:jc w:val="center"/>
              <w:rPr>
                <w:rFonts w:eastAsia="Arial"/>
                <w:sz w:val="20"/>
                <w:szCs w:val="20"/>
              </w:rPr>
            </w:pPr>
            <w:r w:rsidRPr="007C51D6">
              <w:rPr>
                <w:rFonts w:eastAsia="Arial"/>
                <w:sz w:val="20"/>
                <w:szCs w:val="20"/>
              </w:rPr>
              <w:t>-</w:t>
            </w:r>
          </w:p>
        </w:tc>
      </w:tr>
      <w:tr w:rsidR="004A38EB" w:rsidRPr="007C51D6" w:rsidTr="009B6FE1">
        <w:tblPrEx>
          <w:tblBorders>
            <w:bottom w:val="single" w:sz="4" w:space="0" w:color="auto"/>
          </w:tblBorders>
        </w:tblPrEx>
        <w:trPr>
          <w:gridAfter w:val="1"/>
          <w:wAfter w:w="17" w:type="dxa"/>
          <w:trHeight w:val="20"/>
        </w:trPr>
        <w:tc>
          <w:tcPr>
            <w:tcW w:w="1793" w:type="dxa"/>
          </w:tcPr>
          <w:p w:rsidR="004A38EB" w:rsidRPr="007C51D6" w:rsidRDefault="004A38EB" w:rsidP="004A38EB">
            <w:pPr>
              <w:jc w:val="both"/>
              <w:rPr>
                <w:sz w:val="20"/>
                <w:szCs w:val="20"/>
              </w:rPr>
            </w:pPr>
            <w:r w:rsidRPr="007C51D6">
              <w:rPr>
                <w:color w:val="000000"/>
                <w:sz w:val="20"/>
                <w:szCs w:val="20"/>
              </w:rPr>
              <w:t>Российская Федерация</w:t>
            </w:r>
          </w:p>
        </w:tc>
        <w:tc>
          <w:tcPr>
            <w:tcW w:w="1714" w:type="dxa"/>
            <w:vMerge/>
          </w:tcPr>
          <w:p w:rsidR="004A38EB" w:rsidRPr="007C51D6" w:rsidRDefault="004A38EB" w:rsidP="004A38EB">
            <w:pPr>
              <w:rPr>
                <w:rFonts w:eastAsia="Arial"/>
                <w:sz w:val="20"/>
                <w:szCs w:val="20"/>
              </w:rPr>
            </w:pPr>
          </w:p>
        </w:tc>
        <w:tc>
          <w:tcPr>
            <w:tcW w:w="1011" w:type="dxa"/>
          </w:tcPr>
          <w:p w:rsidR="004A38EB" w:rsidRPr="007C51D6" w:rsidRDefault="004A38EB" w:rsidP="004A38EB">
            <w:pPr>
              <w:autoSpaceDE/>
              <w:autoSpaceDN/>
              <w:adjustRightInd/>
              <w:jc w:val="center"/>
              <w:rPr>
                <w:color w:val="000000"/>
                <w:sz w:val="20"/>
                <w:szCs w:val="20"/>
              </w:rPr>
            </w:pPr>
            <w:r w:rsidRPr="007C51D6">
              <w:rPr>
                <w:color w:val="000000"/>
                <w:sz w:val="20"/>
                <w:szCs w:val="20"/>
              </w:rPr>
              <w:t>162,10</w:t>
            </w:r>
          </w:p>
        </w:tc>
        <w:tc>
          <w:tcPr>
            <w:tcW w:w="996" w:type="dxa"/>
          </w:tcPr>
          <w:p w:rsidR="004A38EB" w:rsidRPr="007C51D6" w:rsidRDefault="004A38EB" w:rsidP="004A38EB">
            <w:pPr>
              <w:autoSpaceDE/>
              <w:autoSpaceDN/>
              <w:adjustRightInd/>
              <w:jc w:val="center"/>
              <w:rPr>
                <w:color w:val="000000"/>
                <w:sz w:val="20"/>
                <w:szCs w:val="20"/>
              </w:rPr>
            </w:pPr>
            <w:r w:rsidRPr="007C51D6">
              <w:rPr>
                <w:color w:val="000000"/>
                <w:sz w:val="20"/>
                <w:szCs w:val="20"/>
              </w:rPr>
              <w:t>155,61</w:t>
            </w:r>
          </w:p>
        </w:tc>
        <w:tc>
          <w:tcPr>
            <w:tcW w:w="831" w:type="dxa"/>
          </w:tcPr>
          <w:p w:rsidR="004A38EB" w:rsidRPr="007C51D6" w:rsidRDefault="004A38EB" w:rsidP="004A38EB">
            <w:pPr>
              <w:autoSpaceDE/>
              <w:autoSpaceDN/>
              <w:adjustRightInd/>
              <w:jc w:val="center"/>
              <w:rPr>
                <w:color w:val="000000"/>
                <w:sz w:val="20"/>
                <w:szCs w:val="20"/>
              </w:rPr>
            </w:pPr>
            <w:r w:rsidRPr="007C51D6">
              <w:rPr>
                <w:color w:val="000000"/>
                <w:sz w:val="20"/>
                <w:szCs w:val="20"/>
              </w:rPr>
              <w:t>155,26</w:t>
            </w:r>
          </w:p>
        </w:tc>
        <w:tc>
          <w:tcPr>
            <w:tcW w:w="927" w:type="dxa"/>
            <w:gridSpan w:val="2"/>
          </w:tcPr>
          <w:p w:rsidR="004A38EB" w:rsidRPr="007C51D6" w:rsidRDefault="004A38EB" w:rsidP="004A38EB">
            <w:pPr>
              <w:autoSpaceDE/>
              <w:autoSpaceDN/>
              <w:adjustRightInd/>
              <w:jc w:val="center"/>
              <w:rPr>
                <w:color w:val="000000"/>
                <w:sz w:val="20"/>
                <w:szCs w:val="20"/>
              </w:rPr>
            </w:pPr>
            <w:r w:rsidRPr="007C51D6">
              <w:rPr>
                <w:color w:val="000000"/>
                <w:sz w:val="20"/>
                <w:szCs w:val="20"/>
              </w:rPr>
              <w:t>152,42</w:t>
            </w:r>
          </w:p>
        </w:tc>
        <w:tc>
          <w:tcPr>
            <w:tcW w:w="862" w:type="dxa"/>
            <w:gridSpan w:val="2"/>
          </w:tcPr>
          <w:p w:rsidR="004A38EB" w:rsidRPr="007C51D6" w:rsidRDefault="004A38EB" w:rsidP="004A38EB">
            <w:pPr>
              <w:autoSpaceDE/>
              <w:autoSpaceDN/>
              <w:adjustRightInd/>
              <w:jc w:val="center"/>
              <w:rPr>
                <w:color w:val="000000"/>
                <w:sz w:val="20"/>
                <w:szCs w:val="20"/>
              </w:rPr>
            </w:pPr>
            <w:r w:rsidRPr="007C51D6">
              <w:rPr>
                <w:color w:val="000000"/>
                <w:sz w:val="20"/>
                <w:szCs w:val="20"/>
              </w:rPr>
              <w:t>148,70</w:t>
            </w:r>
          </w:p>
        </w:tc>
        <w:tc>
          <w:tcPr>
            <w:tcW w:w="878" w:type="dxa"/>
          </w:tcPr>
          <w:p w:rsidR="004A38EB" w:rsidRPr="007C51D6" w:rsidRDefault="004A38EB" w:rsidP="004A38EB">
            <w:pPr>
              <w:autoSpaceDE/>
              <w:autoSpaceDN/>
              <w:adjustRightInd/>
              <w:jc w:val="center"/>
              <w:rPr>
                <w:color w:val="000000"/>
                <w:sz w:val="20"/>
                <w:szCs w:val="20"/>
              </w:rPr>
            </w:pPr>
            <w:r w:rsidRPr="007C51D6">
              <w:rPr>
                <w:color w:val="000000"/>
                <w:sz w:val="20"/>
                <w:szCs w:val="20"/>
              </w:rPr>
              <w:t>141,28</w:t>
            </w:r>
          </w:p>
        </w:tc>
        <w:tc>
          <w:tcPr>
            <w:tcW w:w="1044" w:type="dxa"/>
          </w:tcPr>
          <w:p w:rsidR="004A38EB" w:rsidRPr="007C51D6" w:rsidRDefault="004A38EB" w:rsidP="004A38EB">
            <w:pPr>
              <w:autoSpaceDE/>
              <w:autoSpaceDN/>
              <w:adjustRightInd/>
              <w:jc w:val="center"/>
              <w:rPr>
                <w:color w:val="000000"/>
                <w:sz w:val="20"/>
                <w:szCs w:val="20"/>
              </w:rPr>
            </w:pPr>
            <w:r w:rsidRPr="007C51D6">
              <w:rPr>
                <w:color w:val="000000"/>
                <w:sz w:val="20"/>
                <w:szCs w:val="20"/>
              </w:rPr>
              <w:t>135,34</w:t>
            </w:r>
          </w:p>
        </w:tc>
        <w:tc>
          <w:tcPr>
            <w:tcW w:w="927" w:type="dxa"/>
            <w:gridSpan w:val="2"/>
          </w:tcPr>
          <w:p w:rsidR="004A38EB" w:rsidRPr="007C51D6" w:rsidRDefault="004A38EB" w:rsidP="004A38EB">
            <w:pPr>
              <w:autoSpaceDE/>
              <w:autoSpaceDN/>
              <w:adjustRightInd/>
              <w:jc w:val="center"/>
              <w:rPr>
                <w:color w:val="000000"/>
                <w:sz w:val="20"/>
                <w:szCs w:val="20"/>
              </w:rPr>
            </w:pPr>
            <w:r w:rsidRPr="007C51D6">
              <w:rPr>
                <w:color w:val="000000"/>
                <w:sz w:val="20"/>
                <w:szCs w:val="20"/>
              </w:rPr>
              <w:t>136,09</w:t>
            </w:r>
          </w:p>
        </w:tc>
        <w:tc>
          <w:tcPr>
            <w:tcW w:w="924" w:type="dxa"/>
          </w:tcPr>
          <w:p w:rsidR="004A38EB" w:rsidRPr="007C51D6" w:rsidRDefault="004A38EB" w:rsidP="004A38EB">
            <w:pPr>
              <w:jc w:val="center"/>
              <w:rPr>
                <w:color w:val="000000"/>
                <w:sz w:val="20"/>
                <w:szCs w:val="20"/>
              </w:rPr>
            </w:pPr>
            <w:r w:rsidRPr="007C51D6">
              <w:rPr>
                <w:color w:val="000000"/>
                <w:sz w:val="20"/>
                <w:szCs w:val="20"/>
              </w:rPr>
              <w:t>нет</w:t>
            </w:r>
          </w:p>
          <w:p w:rsidR="004A38EB" w:rsidRPr="007C51D6" w:rsidRDefault="004A38EB" w:rsidP="004A38EB">
            <w:pPr>
              <w:jc w:val="center"/>
              <w:rPr>
                <w:color w:val="000000"/>
                <w:sz w:val="20"/>
                <w:szCs w:val="20"/>
              </w:rPr>
            </w:pPr>
            <w:r w:rsidRPr="007C51D6">
              <w:rPr>
                <w:color w:val="000000"/>
                <w:sz w:val="20"/>
                <w:szCs w:val="20"/>
              </w:rPr>
              <w:t>данных</w:t>
            </w:r>
          </w:p>
        </w:tc>
        <w:tc>
          <w:tcPr>
            <w:tcW w:w="880" w:type="dxa"/>
          </w:tcPr>
          <w:p w:rsidR="004A38EB" w:rsidRPr="007C51D6" w:rsidRDefault="004A38EB" w:rsidP="004A38EB">
            <w:pPr>
              <w:jc w:val="center"/>
              <w:rPr>
                <w:color w:val="000000"/>
                <w:sz w:val="20"/>
                <w:szCs w:val="20"/>
              </w:rPr>
            </w:pPr>
            <w:r w:rsidRPr="007C51D6">
              <w:rPr>
                <w:color w:val="000000"/>
                <w:sz w:val="20"/>
                <w:szCs w:val="20"/>
              </w:rPr>
              <w:t>нет</w:t>
            </w:r>
          </w:p>
          <w:p w:rsidR="004A38EB" w:rsidRPr="007C51D6" w:rsidRDefault="004A38EB" w:rsidP="004A38EB">
            <w:pPr>
              <w:jc w:val="center"/>
              <w:rPr>
                <w:rFonts w:eastAsia="Arial"/>
                <w:sz w:val="20"/>
                <w:szCs w:val="20"/>
              </w:rPr>
            </w:pPr>
            <w:r w:rsidRPr="007C51D6">
              <w:rPr>
                <w:color w:val="000000"/>
                <w:sz w:val="20"/>
                <w:szCs w:val="20"/>
              </w:rPr>
              <w:t>данных</w:t>
            </w:r>
          </w:p>
        </w:tc>
        <w:tc>
          <w:tcPr>
            <w:tcW w:w="1980" w:type="dxa"/>
            <w:gridSpan w:val="2"/>
          </w:tcPr>
          <w:p w:rsidR="004A38EB" w:rsidRPr="007C51D6" w:rsidRDefault="004A38EB" w:rsidP="004A38EB">
            <w:pPr>
              <w:jc w:val="center"/>
              <w:rPr>
                <w:rFonts w:eastAsia="Arial"/>
                <w:sz w:val="20"/>
                <w:szCs w:val="20"/>
              </w:rPr>
            </w:pPr>
          </w:p>
        </w:tc>
      </w:tr>
      <w:tr w:rsidR="009B6FE1" w:rsidRPr="007C51D6" w:rsidTr="00DC67CB">
        <w:tblPrEx>
          <w:tblBorders>
            <w:bottom w:val="single" w:sz="4" w:space="0" w:color="auto"/>
          </w:tblBorders>
        </w:tblPrEx>
        <w:trPr>
          <w:gridAfter w:val="1"/>
          <w:wAfter w:w="17" w:type="dxa"/>
          <w:trHeight w:val="20"/>
        </w:trPr>
        <w:tc>
          <w:tcPr>
            <w:tcW w:w="14767" w:type="dxa"/>
            <w:gridSpan w:val="17"/>
          </w:tcPr>
          <w:p w:rsidR="009B6FE1" w:rsidRPr="007C51D6" w:rsidRDefault="009B6FE1" w:rsidP="004A38EB">
            <w:pPr>
              <w:jc w:val="center"/>
              <w:rPr>
                <w:rFonts w:eastAsia="Arial"/>
                <w:sz w:val="20"/>
                <w:szCs w:val="20"/>
              </w:rPr>
            </w:pPr>
            <w:r w:rsidRPr="007C51D6">
              <w:rPr>
                <w:rFonts w:eastAsia="Arial"/>
                <w:sz w:val="20"/>
                <w:szCs w:val="20"/>
              </w:rPr>
              <w:t>Женское население</w:t>
            </w:r>
          </w:p>
        </w:tc>
      </w:tr>
    </w:tbl>
    <w:p w:rsidR="009B6FE1" w:rsidRDefault="009B6FE1">
      <w:r>
        <w:br w:type="page"/>
      </w:r>
    </w:p>
    <w:tbl>
      <w:tblPr>
        <w:tblStyle w:val="af1"/>
        <w:tblW w:w="14767" w:type="dxa"/>
        <w:tblLook w:val="04A0" w:firstRow="1" w:lastRow="0" w:firstColumn="1" w:lastColumn="0" w:noHBand="0" w:noVBand="1"/>
      </w:tblPr>
      <w:tblGrid>
        <w:gridCol w:w="1793"/>
        <w:gridCol w:w="1714"/>
        <w:gridCol w:w="1011"/>
        <w:gridCol w:w="996"/>
        <w:gridCol w:w="831"/>
        <w:gridCol w:w="927"/>
        <w:gridCol w:w="862"/>
        <w:gridCol w:w="878"/>
        <w:gridCol w:w="1044"/>
        <w:gridCol w:w="927"/>
        <w:gridCol w:w="924"/>
        <w:gridCol w:w="880"/>
        <w:gridCol w:w="1980"/>
      </w:tblGrid>
      <w:tr w:rsidR="009B6FE1" w:rsidRPr="007C51D6" w:rsidTr="009B6FE1">
        <w:trPr>
          <w:trHeight w:val="20"/>
          <w:tblHeader/>
        </w:trPr>
        <w:tc>
          <w:tcPr>
            <w:tcW w:w="1793" w:type="dxa"/>
          </w:tcPr>
          <w:p w:rsidR="009B6FE1" w:rsidRPr="007C51D6" w:rsidRDefault="009B6FE1" w:rsidP="009B6FE1">
            <w:pPr>
              <w:jc w:val="center"/>
              <w:rPr>
                <w:rFonts w:eastAsia="Arial"/>
                <w:sz w:val="20"/>
                <w:szCs w:val="20"/>
              </w:rPr>
            </w:pPr>
            <w:r w:rsidRPr="007C51D6">
              <w:rPr>
                <w:rFonts w:eastAsia="Arial"/>
                <w:sz w:val="20"/>
                <w:szCs w:val="20"/>
              </w:rPr>
              <w:lastRenderedPageBreak/>
              <w:t>1</w:t>
            </w:r>
          </w:p>
        </w:tc>
        <w:tc>
          <w:tcPr>
            <w:tcW w:w="1714" w:type="dxa"/>
          </w:tcPr>
          <w:p w:rsidR="009B6FE1" w:rsidRPr="007C51D6" w:rsidRDefault="009B6FE1" w:rsidP="009B6FE1">
            <w:pPr>
              <w:jc w:val="center"/>
              <w:rPr>
                <w:rFonts w:eastAsia="Arial"/>
                <w:sz w:val="20"/>
                <w:szCs w:val="20"/>
              </w:rPr>
            </w:pPr>
            <w:r w:rsidRPr="007C51D6">
              <w:rPr>
                <w:rFonts w:eastAsia="Arial"/>
                <w:sz w:val="20"/>
                <w:szCs w:val="20"/>
              </w:rPr>
              <w:t>2</w:t>
            </w:r>
          </w:p>
        </w:tc>
        <w:tc>
          <w:tcPr>
            <w:tcW w:w="1011" w:type="dxa"/>
          </w:tcPr>
          <w:p w:rsidR="009B6FE1" w:rsidRPr="007C51D6" w:rsidRDefault="009B6FE1" w:rsidP="009B6FE1">
            <w:pPr>
              <w:ind w:left="-57" w:right="-57"/>
              <w:jc w:val="center"/>
              <w:rPr>
                <w:bCs/>
                <w:color w:val="000000"/>
                <w:sz w:val="20"/>
                <w:szCs w:val="20"/>
              </w:rPr>
            </w:pPr>
            <w:r w:rsidRPr="007C51D6">
              <w:rPr>
                <w:bCs/>
                <w:color w:val="000000"/>
                <w:sz w:val="20"/>
                <w:szCs w:val="20"/>
              </w:rPr>
              <w:t>4</w:t>
            </w:r>
          </w:p>
        </w:tc>
        <w:tc>
          <w:tcPr>
            <w:tcW w:w="996" w:type="dxa"/>
          </w:tcPr>
          <w:p w:rsidR="009B6FE1" w:rsidRPr="007C51D6" w:rsidRDefault="009B6FE1" w:rsidP="009B6FE1">
            <w:pPr>
              <w:ind w:left="-57" w:right="-57"/>
              <w:jc w:val="center"/>
              <w:rPr>
                <w:bCs/>
                <w:color w:val="000000"/>
                <w:sz w:val="20"/>
                <w:szCs w:val="20"/>
              </w:rPr>
            </w:pPr>
            <w:r w:rsidRPr="007C51D6">
              <w:rPr>
                <w:bCs/>
                <w:color w:val="000000"/>
                <w:sz w:val="20"/>
                <w:szCs w:val="20"/>
              </w:rPr>
              <w:t>5</w:t>
            </w:r>
          </w:p>
        </w:tc>
        <w:tc>
          <w:tcPr>
            <w:tcW w:w="831" w:type="dxa"/>
          </w:tcPr>
          <w:p w:rsidR="009B6FE1" w:rsidRPr="007C51D6" w:rsidRDefault="009B6FE1" w:rsidP="009B6FE1">
            <w:pPr>
              <w:ind w:left="-57" w:right="-57"/>
              <w:jc w:val="center"/>
              <w:rPr>
                <w:bCs/>
                <w:color w:val="000000"/>
                <w:sz w:val="20"/>
                <w:szCs w:val="20"/>
              </w:rPr>
            </w:pPr>
            <w:r w:rsidRPr="007C51D6">
              <w:rPr>
                <w:bCs/>
                <w:color w:val="000000"/>
                <w:sz w:val="20"/>
                <w:szCs w:val="20"/>
              </w:rPr>
              <w:t>6</w:t>
            </w:r>
          </w:p>
        </w:tc>
        <w:tc>
          <w:tcPr>
            <w:tcW w:w="927" w:type="dxa"/>
          </w:tcPr>
          <w:p w:rsidR="009B6FE1" w:rsidRPr="007C51D6" w:rsidRDefault="009B6FE1" w:rsidP="009B6FE1">
            <w:pPr>
              <w:ind w:left="-57" w:right="-57"/>
              <w:jc w:val="center"/>
              <w:rPr>
                <w:rFonts w:eastAsia="Arial"/>
                <w:sz w:val="20"/>
                <w:szCs w:val="20"/>
              </w:rPr>
            </w:pPr>
            <w:r w:rsidRPr="007C51D6">
              <w:rPr>
                <w:rFonts w:eastAsia="Arial"/>
                <w:sz w:val="20"/>
                <w:szCs w:val="20"/>
              </w:rPr>
              <w:t>7</w:t>
            </w:r>
          </w:p>
        </w:tc>
        <w:tc>
          <w:tcPr>
            <w:tcW w:w="862" w:type="dxa"/>
          </w:tcPr>
          <w:p w:rsidR="009B6FE1" w:rsidRPr="007C51D6" w:rsidRDefault="009B6FE1" w:rsidP="009B6FE1">
            <w:pPr>
              <w:ind w:left="-57" w:right="-57"/>
              <w:jc w:val="center"/>
              <w:rPr>
                <w:rFonts w:eastAsia="Arial"/>
                <w:sz w:val="20"/>
                <w:szCs w:val="20"/>
              </w:rPr>
            </w:pPr>
            <w:r w:rsidRPr="007C51D6">
              <w:rPr>
                <w:rFonts w:eastAsia="Arial"/>
                <w:sz w:val="20"/>
                <w:szCs w:val="20"/>
              </w:rPr>
              <w:t>8</w:t>
            </w:r>
          </w:p>
        </w:tc>
        <w:tc>
          <w:tcPr>
            <w:tcW w:w="878" w:type="dxa"/>
          </w:tcPr>
          <w:p w:rsidR="009B6FE1" w:rsidRPr="007C51D6" w:rsidRDefault="009B6FE1" w:rsidP="009B6FE1">
            <w:pPr>
              <w:ind w:left="-57" w:right="-57"/>
              <w:jc w:val="center"/>
              <w:rPr>
                <w:rFonts w:eastAsia="Arial"/>
                <w:sz w:val="20"/>
                <w:szCs w:val="20"/>
              </w:rPr>
            </w:pPr>
            <w:r w:rsidRPr="007C51D6">
              <w:rPr>
                <w:rFonts w:eastAsia="Arial"/>
                <w:sz w:val="20"/>
                <w:szCs w:val="20"/>
              </w:rPr>
              <w:t>9</w:t>
            </w:r>
          </w:p>
        </w:tc>
        <w:tc>
          <w:tcPr>
            <w:tcW w:w="1044" w:type="dxa"/>
          </w:tcPr>
          <w:p w:rsidR="009B6FE1" w:rsidRPr="007C51D6" w:rsidRDefault="009B6FE1" w:rsidP="009B6FE1">
            <w:pPr>
              <w:ind w:left="-57" w:right="-57"/>
              <w:jc w:val="center"/>
              <w:rPr>
                <w:rFonts w:eastAsia="Arial"/>
                <w:sz w:val="20"/>
                <w:szCs w:val="20"/>
              </w:rPr>
            </w:pPr>
            <w:r w:rsidRPr="007C51D6">
              <w:rPr>
                <w:rFonts w:eastAsia="Arial"/>
                <w:sz w:val="20"/>
                <w:szCs w:val="20"/>
              </w:rPr>
              <w:t>10</w:t>
            </w:r>
          </w:p>
        </w:tc>
        <w:tc>
          <w:tcPr>
            <w:tcW w:w="927" w:type="dxa"/>
          </w:tcPr>
          <w:p w:rsidR="009B6FE1" w:rsidRPr="007C51D6" w:rsidRDefault="009B6FE1" w:rsidP="009B6FE1">
            <w:pPr>
              <w:jc w:val="center"/>
              <w:rPr>
                <w:color w:val="000000"/>
                <w:sz w:val="20"/>
                <w:szCs w:val="20"/>
              </w:rPr>
            </w:pPr>
            <w:r w:rsidRPr="007C51D6">
              <w:rPr>
                <w:color w:val="000000"/>
                <w:sz w:val="20"/>
                <w:szCs w:val="20"/>
              </w:rPr>
              <w:t>11</w:t>
            </w:r>
          </w:p>
        </w:tc>
        <w:tc>
          <w:tcPr>
            <w:tcW w:w="924" w:type="dxa"/>
          </w:tcPr>
          <w:p w:rsidR="009B6FE1" w:rsidRPr="007C51D6" w:rsidRDefault="009B6FE1" w:rsidP="009B6FE1">
            <w:pPr>
              <w:jc w:val="center"/>
              <w:rPr>
                <w:rFonts w:eastAsia="Arial"/>
                <w:sz w:val="20"/>
                <w:szCs w:val="20"/>
              </w:rPr>
            </w:pPr>
            <w:r w:rsidRPr="007C51D6">
              <w:rPr>
                <w:rFonts w:eastAsia="Arial"/>
                <w:sz w:val="20"/>
                <w:szCs w:val="20"/>
              </w:rPr>
              <w:t>12</w:t>
            </w:r>
          </w:p>
        </w:tc>
        <w:tc>
          <w:tcPr>
            <w:tcW w:w="880" w:type="dxa"/>
          </w:tcPr>
          <w:p w:rsidR="009B6FE1" w:rsidRPr="007C51D6" w:rsidRDefault="009B6FE1" w:rsidP="009B6FE1">
            <w:pPr>
              <w:jc w:val="center"/>
              <w:rPr>
                <w:rFonts w:eastAsia="Arial"/>
                <w:sz w:val="20"/>
                <w:szCs w:val="20"/>
              </w:rPr>
            </w:pPr>
            <w:r w:rsidRPr="007C51D6">
              <w:rPr>
                <w:rFonts w:eastAsia="Arial"/>
                <w:sz w:val="20"/>
                <w:szCs w:val="20"/>
              </w:rPr>
              <w:t>13</w:t>
            </w:r>
          </w:p>
        </w:tc>
        <w:tc>
          <w:tcPr>
            <w:tcW w:w="1980" w:type="dxa"/>
          </w:tcPr>
          <w:p w:rsidR="009B6FE1" w:rsidRPr="007C51D6" w:rsidRDefault="009B6FE1" w:rsidP="009B6FE1">
            <w:pPr>
              <w:jc w:val="center"/>
              <w:rPr>
                <w:rFonts w:eastAsia="Arial"/>
                <w:sz w:val="20"/>
                <w:szCs w:val="20"/>
              </w:rPr>
            </w:pPr>
            <w:r w:rsidRPr="007C51D6">
              <w:rPr>
                <w:rFonts w:eastAsia="Arial"/>
                <w:sz w:val="20"/>
                <w:szCs w:val="20"/>
              </w:rPr>
              <w:t>14</w:t>
            </w:r>
          </w:p>
        </w:tc>
      </w:tr>
      <w:tr w:rsidR="009B6FE1" w:rsidRPr="007C51D6" w:rsidTr="009B6FE1">
        <w:trPr>
          <w:trHeight w:val="20"/>
        </w:trPr>
        <w:tc>
          <w:tcPr>
            <w:tcW w:w="1793" w:type="dxa"/>
          </w:tcPr>
          <w:p w:rsidR="009B6FE1" w:rsidRPr="007C51D6" w:rsidRDefault="009B6FE1" w:rsidP="009B6FE1">
            <w:pPr>
              <w:jc w:val="both"/>
              <w:rPr>
                <w:rFonts w:eastAsia="Arial"/>
                <w:sz w:val="20"/>
                <w:szCs w:val="20"/>
              </w:rPr>
            </w:pPr>
            <w:r w:rsidRPr="007C51D6">
              <w:rPr>
                <w:rFonts w:eastAsia="Arial"/>
                <w:sz w:val="20"/>
                <w:szCs w:val="20"/>
              </w:rPr>
              <w:t>Республика Татарстан</w:t>
            </w:r>
          </w:p>
        </w:tc>
        <w:tc>
          <w:tcPr>
            <w:tcW w:w="1714" w:type="dxa"/>
            <w:vMerge w:val="restart"/>
          </w:tcPr>
          <w:p w:rsidR="009B6FE1" w:rsidRPr="007C51D6" w:rsidRDefault="009B6FE1" w:rsidP="009B6FE1">
            <w:pPr>
              <w:rPr>
                <w:rFonts w:eastAsia="Arial"/>
                <w:sz w:val="20"/>
                <w:szCs w:val="20"/>
              </w:rPr>
            </w:pPr>
            <w:r w:rsidRPr="007C51D6">
              <w:rPr>
                <w:rFonts w:eastAsia="Arial"/>
                <w:sz w:val="20"/>
                <w:szCs w:val="20"/>
              </w:rPr>
              <w:t>«грубый»</w:t>
            </w:r>
          </w:p>
        </w:tc>
        <w:tc>
          <w:tcPr>
            <w:tcW w:w="1011" w:type="dxa"/>
          </w:tcPr>
          <w:p w:rsidR="009B6FE1" w:rsidRPr="007C51D6" w:rsidRDefault="009B6FE1" w:rsidP="009B6FE1">
            <w:pPr>
              <w:autoSpaceDE/>
              <w:autoSpaceDN/>
              <w:adjustRightInd/>
              <w:ind w:hanging="117"/>
              <w:jc w:val="center"/>
              <w:rPr>
                <w:color w:val="000000"/>
                <w:sz w:val="20"/>
                <w:szCs w:val="20"/>
              </w:rPr>
            </w:pPr>
            <w:r w:rsidRPr="007C51D6">
              <w:rPr>
                <w:color w:val="000000"/>
                <w:sz w:val="20"/>
                <w:szCs w:val="20"/>
              </w:rPr>
              <w:t>164,19</w:t>
            </w:r>
          </w:p>
        </w:tc>
        <w:tc>
          <w:tcPr>
            <w:tcW w:w="996" w:type="dxa"/>
          </w:tcPr>
          <w:p w:rsidR="009B6FE1" w:rsidRPr="007C51D6" w:rsidRDefault="009B6FE1" w:rsidP="009B6FE1">
            <w:pPr>
              <w:autoSpaceDE/>
              <w:autoSpaceDN/>
              <w:adjustRightInd/>
              <w:ind w:hanging="118"/>
              <w:jc w:val="center"/>
              <w:rPr>
                <w:color w:val="000000"/>
                <w:sz w:val="20"/>
                <w:szCs w:val="20"/>
              </w:rPr>
            </w:pPr>
            <w:r w:rsidRPr="007C51D6">
              <w:rPr>
                <w:color w:val="000000"/>
                <w:sz w:val="20"/>
                <w:szCs w:val="20"/>
              </w:rPr>
              <w:t>157,90</w:t>
            </w:r>
          </w:p>
        </w:tc>
        <w:tc>
          <w:tcPr>
            <w:tcW w:w="831" w:type="dxa"/>
          </w:tcPr>
          <w:p w:rsidR="009B6FE1" w:rsidRPr="007C51D6" w:rsidRDefault="009B6FE1" w:rsidP="009B6FE1">
            <w:pPr>
              <w:autoSpaceDE/>
              <w:autoSpaceDN/>
              <w:adjustRightInd/>
              <w:jc w:val="center"/>
              <w:rPr>
                <w:color w:val="000000"/>
                <w:sz w:val="20"/>
                <w:szCs w:val="20"/>
              </w:rPr>
            </w:pPr>
            <w:r w:rsidRPr="007C51D6">
              <w:rPr>
                <w:color w:val="000000"/>
                <w:sz w:val="20"/>
                <w:szCs w:val="20"/>
              </w:rPr>
              <w:t>159,28</w:t>
            </w:r>
          </w:p>
        </w:tc>
        <w:tc>
          <w:tcPr>
            <w:tcW w:w="927" w:type="dxa"/>
          </w:tcPr>
          <w:p w:rsidR="009B6FE1" w:rsidRPr="007C51D6" w:rsidRDefault="009B6FE1" w:rsidP="009B6FE1">
            <w:pPr>
              <w:autoSpaceDE/>
              <w:autoSpaceDN/>
              <w:adjustRightInd/>
              <w:jc w:val="center"/>
              <w:rPr>
                <w:color w:val="000000"/>
                <w:sz w:val="20"/>
                <w:szCs w:val="20"/>
              </w:rPr>
            </w:pPr>
            <w:r w:rsidRPr="007C51D6">
              <w:rPr>
                <w:color w:val="000000"/>
                <w:sz w:val="20"/>
                <w:szCs w:val="20"/>
              </w:rPr>
              <w:t>154,03</w:t>
            </w:r>
          </w:p>
        </w:tc>
        <w:tc>
          <w:tcPr>
            <w:tcW w:w="862" w:type="dxa"/>
          </w:tcPr>
          <w:p w:rsidR="009B6FE1" w:rsidRPr="007C51D6" w:rsidRDefault="009B6FE1" w:rsidP="009B6FE1">
            <w:pPr>
              <w:autoSpaceDE/>
              <w:autoSpaceDN/>
              <w:adjustRightInd/>
              <w:jc w:val="center"/>
              <w:rPr>
                <w:color w:val="000000"/>
                <w:sz w:val="20"/>
                <w:szCs w:val="20"/>
              </w:rPr>
            </w:pPr>
            <w:r w:rsidRPr="007C51D6">
              <w:rPr>
                <w:color w:val="000000"/>
                <w:sz w:val="20"/>
                <w:szCs w:val="20"/>
              </w:rPr>
              <w:t>148,27</w:t>
            </w:r>
          </w:p>
        </w:tc>
        <w:tc>
          <w:tcPr>
            <w:tcW w:w="878" w:type="dxa"/>
          </w:tcPr>
          <w:p w:rsidR="009B6FE1" w:rsidRPr="007C51D6" w:rsidRDefault="009B6FE1" w:rsidP="009B6FE1">
            <w:pPr>
              <w:autoSpaceDE/>
              <w:autoSpaceDN/>
              <w:adjustRightInd/>
              <w:jc w:val="center"/>
              <w:rPr>
                <w:color w:val="000000"/>
                <w:sz w:val="20"/>
                <w:szCs w:val="20"/>
              </w:rPr>
            </w:pPr>
            <w:r w:rsidRPr="007C51D6">
              <w:rPr>
                <w:color w:val="000000"/>
                <w:sz w:val="20"/>
                <w:szCs w:val="20"/>
              </w:rPr>
              <w:t>142,20</w:t>
            </w:r>
          </w:p>
        </w:tc>
        <w:tc>
          <w:tcPr>
            <w:tcW w:w="1044" w:type="dxa"/>
          </w:tcPr>
          <w:p w:rsidR="009B6FE1" w:rsidRPr="007C51D6" w:rsidRDefault="009B6FE1" w:rsidP="009B6FE1">
            <w:pPr>
              <w:autoSpaceDE/>
              <w:autoSpaceDN/>
              <w:adjustRightInd/>
              <w:jc w:val="center"/>
              <w:rPr>
                <w:color w:val="000000"/>
                <w:sz w:val="20"/>
                <w:szCs w:val="20"/>
              </w:rPr>
            </w:pPr>
            <w:r w:rsidRPr="007C51D6">
              <w:rPr>
                <w:color w:val="000000"/>
                <w:sz w:val="20"/>
                <w:szCs w:val="20"/>
              </w:rPr>
              <w:t>139,57</w:t>
            </w:r>
          </w:p>
        </w:tc>
        <w:tc>
          <w:tcPr>
            <w:tcW w:w="927" w:type="dxa"/>
          </w:tcPr>
          <w:p w:rsidR="009B6FE1" w:rsidRPr="007C51D6" w:rsidRDefault="009B6FE1" w:rsidP="009B6FE1">
            <w:pPr>
              <w:autoSpaceDE/>
              <w:autoSpaceDN/>
              <w:adjustRightInd/>
              <w:jc w:val="center"/>
              <w:rPr>
                <w:color w:val="000000"/>
                <w:sz w:val="20"/>
                <w:szCs w:val="20"/>
              </w:rPr>
            </w:pPr>
            <w:r w:rsidRPr="007C51D6">
              <w:rPr>
                <w:color w:val="000000"/>
                <w:sz w:val="20"/>
                <w:szCs w:val="20"/>
              </w:rPr>
              <w:t>143,00</w:t>
            </w:r>
          </w:p>
        </w:tc>
        <w:tc>
          <w:tcPr>
            <w:tcW w:w="924" w:type="dxa"/>
          </w:tcPr>
          <w:p w:rsidR="009B6FE1" w:rsidRPr="007C51D6" w:rsidRDefault="009B6FE1" w:rsidP="009B6FE1">
            <w:pPr>
              <w:jc w:val="center"/>
              <w:rPr>
                <w:color w:val="000000"/>
                <w:sz w:val="20"/>
                <w:szCs w:val="20"/>
              </w:rPr>
            </w:pPr>
            <w:r w:rsidRPr="007C51D6">
              <w:rPr>
                <w:color w:val="000000"/>
                <w:sz w:val="20"/>
                <w:szCs w:val="20"/>
              </w:rPr>
              <w:t>нет</w:t>
            </w:r>
          </w:p>
          <w:p w:rsidR="009B6FE1" w:rsidRPr="007C51D6" w:rsidRDefault="009B6FE1" w:rsidP="009B6FE1">
            <w:pPr>
              <w:jc w:val="center"/>
              <w:rPr>
                <w:sz w:val="20"/>
                <w:szCs w:val="20"/>
              </w:rPr>
            </w:pPr>
            <w:r w:rsidRPr="007C51D6">
              <w:rPr>
                <w:color w:val="000000"/>
                <w:sz w:val="20"/>
                <w:szCs w:val="20"/>
              </w:rPr>
              <w:t>данных</w:t>
            </w:r>
          </w:p>
        </w:tc>
        <w:tc>
          <w:tcPr>
            <w:tcW w:w="880" w:type="dxa"/>
          </w:tcPr>
          <w:p w:rsidR="009B6FE1" w:rsidRPr="007C51D6" w:rsidRDefault="009B6FE1" w:rsidP="009B6FE1">
            <w:pPr>
              <w:jc w:val="center"/>
              <w:rPr>
                <w:color w:val="000000"/>
                <w:sz w:val="20"/>
                <w:szCs w:val="20"/>
              </w:rPr>
            </w:pPr>
            <w:r w:rsidRPr="007C51D6">
              <w:rPr>
                <w:color w:val="000000"/>
                <w:sz w:val="20"/>
                <w:szCs w:val="20"/>
              </w:rPr>
              <w:t>нет</w:t>
            </w:r>
          </w:p>
          <w:p w:rsidR="009B6FE1" w:rsidRPr="007C51D6" w:rsidRDefault="009B6FE1" w:rsidP="009B6FE1">
            <w:pPr>
              <w:jc w:val="center"/>
              <w:rPr>
                <w:rFonts w:eastAsia="Arial"/>
                <w:sz w:val="20"/>
                <w:szCs w:val="20"/>
              </w:rPr>
            </w:pPr>
            <w:r w:rsidRPr="007C51D6">
              <w:rPr>
                <w:color w:val="000000"/>
                <w:sz w:val="20"/>
                <w:szCs w:val="20"/>
              </w:rPr>
              <w:t>данных</w:t>
            </w:r>
          </w:p>
        </w:tc>
        <w:tc>
          <w:tcPr>
            <w:tcW w:w="1980" w:type="dxa"/>
          </w:tcPr>
          <w:p w:rsidR="009B6FE1" w:rsidRPr="007C51D6" w:rsidRDefault="009B6FE1" w:rsidP="009B6FE1">
            <w:pPr>
              <w:jc w:val="center"/>
              <w:rPr>
                <w:rFonts w:eastAsia="Arial"/>
                <w:sz w:val="20"/>
                <w:szCs w:val="20"/>
              </w:rPr>
            </w:pPr>
            <w:r w:rsidRPr="007C51D6">
              <w:rPr>
                <w:rFonts w:eastAsia="Arial"/>
                <w:sz w:val="20"/>
                <w:szCs w:val="20"/>
              </w:rPr>
              <w:t>-</w:t>
            </w:r>
          </w:p>
        </w:tc>
      </w:tr>
      <w:tr w:rsidR="009B6FE1" w:rsidRPr="007C51D6" w:rsidTr="009B6FE1">
        <w:trPr>
          <w:trHeight w:val="20"/>
        </w:trPr>
        <w:tc>
          <w:tcPr>
            <w:tcW w:w="1793" w:type="dxa"/>
          </w:tcPr>
          <w:p w:rsidR="009B6FE1" w:rsidRPr="007C51D6" w:rsidRDefault="009B6FE1" w:rsidP="009B6FE1">
            <w:pPr>
              <w:jc w:val="both"/>
              <w:rPr>
                <w:rFonts w:eastAsia="Arial"/>
                <w:sz w:val="20"/>
                <w:szCs w:val="20"/>
              </w:rPr>
            </w:pPr>
            <w:r w:rsidRPr="007C51D6">
              <w:rPr>
                <w:color w:val="000000"/>
                <w:sz w:val="20"/>
                <w:szCs w:val="20"/>
              </w:rPr>
              <w:t>Приволжcкий федеральный округ</w:t>
            </w:r>
          </w:p>
        </w:tc>
        <w:tc>
          <w:tcPr>
            <w:tcW w:w="1714" w:type="dxa"/>
            <w:vMerge/>
          </w:tcPr>
          <w:p w:rsidR="009B6FE1" w:rsidRPr="007C51D6" w:rsidRDefault="009B6FE1" w:rsidP="009B6FE1">
            <w:pPr>
              <w:rPr>
                <w:rFonts w:eastAsia="Arial"/>
                <w:sz w:val="20"/>
                <w:szCs w:val="20"/>
              </w:rPr>
            </w:pPr>
          </w:p>
        </w:tc>
        <w:tc>
          <w:tcPr>
            <w:tcW w:w="1011" w:type="dxa"/>
          </w:tcPr>
          <w:p w:rsidR="009B6FE1" w:rsidRPr="007C51D6" w:rsidRDefault="009B6FE1" w:rsidP="009B6FE1">
            <w:pPr>
              <w:autoSpaceDE/>
              <w:autoSpaceDN/>
              <w:adjustRightInd/>
              <w:jc w:val="center"/>
              <w:rPr>
                <w:color w:val="000000"/>
                <w:sz w:val="20"/>
                <w:szCs w:val="20"/>
              </w:rPr>
            </w:pPr>
            <w:r w:rsidRPr="007C51D6">
              <w:rPr>
                <w:color w:val="000000"/>
                <w:sz w:val="20"/>
                <w:szCs w:val="20"/>
              </w:rPr>
              <w:t>157,15</w:t>
            </w:r>
          </w:p>
        </w:tc>
        <w:tc>
          <w:tcPr>
            <w:tcW w:w="996" w:type="dxa"/>
          </w:tcPr>
          <w:p w:rsidR="009B6FE1" w:rsidRPr="007C51D6" w:rsidRDefault="009B6FE1" w:rsidP="009B6FE1">
            <w:pPr>
              <w:autoSpaceDE/>
              <w:autoSpaceDN/>
              <w:adjustRightInd/>
              <w:jc w:val="center"/>
              <w:rPr>
                <w:color w:val="000000"/>
                <w:sz w:val="20"/>
                <w:szCs w:val="20"/>
              </w:rPr>
            </w:pPr>
            <w:r w:rsidRPr="007C51D6">
              <w:rPr>
                <w:color w:val="000000"/>
                <w:sz w:val="20"/>
                <w:szCs w:val="20"/>
              </w:rPr>
              <w:t>156,83</w:t>
            </w:r>
          </w:p>
        </w:tc>
        <w:tc>
          <w:tcPr>
            <w:tcW w:w="831" w:type="dxa"/>
          </w:tcPr>
          <w:p w:rsidR="009B6FE1" w:rsidRPr="007C51D6" w:rsidRDefault="009B6FE1" w:rsidP="009B6FE1">
            <w:pPr>
              <w:autoSpaceDE/>
              <w:autoSpaceDN/>
              <w:adjustRightInd/>
              <w:jc w:val="center"/>
              <w:rPr>
                <w:color w:val="000000"/>
                <w:sz w:val="20"/>
                <w:szCs w:val="20"/>
              </w:rPr>
            </w:pPr>
            <w:r w:rsidRPr="007C51D6">
              <w:rPr>
                <w:color w:val="000000"/>
                <w:sz w:val="20"/>
                <w:szCs w:val="20"/>
              </w:rPr>
              <w:t>155,88</w:t>
            </w:r>
          </w:p>
        </w:tc>
        <w:tc>
          <w:tcPr>
            <w:tcW w:w="927" w:type="dxa"/>
          </w:tcPr>
          <w:p w:rsidR="009B6FE1" w:rsidRPr="007C51D6" w:rsidRDefault="009B6FE1" w:rsidP="009B6FE1">
            <w:pPr>
              <w:autoSpaceDE/>
              <w:autoSpaceDN/>
              <w:adjustRightInd/>
              <w:jc w:val="center"/>
              <w:rPr>
                <w:color w:val="000000"/>
                <w:sz w:val="20"/>
                <w:szCs w:val="20"/>
              </w:rPr>
            </w:pPr>
            <w:r w:rsidRPr="007C51D6">
              <w:rPr>
                <w:color w:val="000000"/>
                <w:sz w:val="20"/>
                <w:szCs w:val="20"/>
              </w:rPr>
              <w:t>158,99</w:t>
            </w:r>
          </w:p>
        </w:tc>
        <w:tc>
          <w:tcPr>
            <w:tcW w:w="862" w:type="dxa"/>
          </w:tcPr>
          <w:p w:rsidR="009B6FE1" w:rsidRPr="007C51D6" w:rsidRDefault="009B6FE1" w:rsidP="009B6FE1">
            <w:pPr>
              <w:autoSpaceDE/>
              <w:autoSpaceDN/>
              <w:adjustRightInd/>
              <w:jc w:val="center"/>
              <w:rPr>
                <w:color w:val="000000"/>
                <w:sz w:val="20"/>
                <w:szCs w:val="20"/>
              </w:rPr>
            </w:pPr>
            <w:r w:rsidRPr="007C51D6">
              <w:rPr>
                <w:color w:val="000000"/>
                <w:sz w:val="20"/>
                <w:szCs w:val="20"/>
              </w:rPr>
              <w:t>159,14</w:t>
            </w:r>
          </w:p>
        </w:tc>
        <w:tc>
          <w:tcPr>
            <w:tcW w:w="878" w:type="dxa"/>
          </w:tcPr>
          <w:p w:rsidR="009B6FE1" w:rsidRPr="007C51D6" w:rsidRDefault="009B6FE1" w:rsidP="009B6FE1">
            <w:pPr>
              <w:autoSpaceDE/>
              <w:autoSpaceDN/>
              <w:adjustRightInd/>
              <w:jc w:val="center"/>
              <w:rPr>
                <w:color w:val="000000"/>
                <w:sz w:val="20"/>
                <w:szCs w:val="20"/>
              </w:rPr>
            </w:pPr>
            <w:r w:rsidRPr="007C51D6">
              <w:rPr>
                <w:color w:val="000000"/>
                <w:sz w:val="20"/>
                <w:szCs w:val="20"/>
              </w:rPr>
              <w:t>152,74</w:t>
            </w:r>
          </w:p>
        </w:tc>
        <w:tc>
          <w:tcPr>
            <w:tcW w:w="1044" w:type="dxa"/>
          </w:tcPr>
          <w:p w:rsidR="009B6FE1" w:rsidRPr="007C51D6" w:rsidRDefault="009B6FE1" w:rsidP="009B6FE1">
            <w:pPr>
              <w:autoSpaceDE/>
              <w:autoSpaceDN/>
              <w:adjustRightInd/>
              <w:jc w:val="center"/>
              <w:rPr>
                <w:color w:val="000000"/>
                <w:sz w:val="20"/>
                <w:szCs w:val="20"/>
              </w:rPr>
            </w:pPr>
            <w:r w:rsidRPr="007C51D6">
              <w:rPr>
                <w:color w:val="000000"/>
                <w:sz w:val="20"/>
                <w:szCs w:val="20"/>
              </w:rPr>
              <w:t>153,02</w:t>
            </w:r>
          </w:p>
        </w:tc>
        <w:tc>
          <w:tcPr>
            <w:tcW w:w="927" w:type="dxa"/>
          </w:tcPr>
          <w:p w:rsidR="009B6FE1" w:rsidRPr="007C51D6" w:rsidRDefault="009B6FE1" w:rsidP="009B6FE1">
            <w:pPr>
              <w:autoSpaceDE/>
              <w:autoSpaceDN/>
              <w:adjustRightInd/>
              <w:jc w:val="center"/>
              <w:rPr>
                <w:color w:val="000000"/>
                <w:sz w:val="20"/>
                <w:szCs w:val="20"/>
              </w:rPr>
            </w:pPr>
            <w:r w:rsidRPr="007C51D6">
              <w:rPr>
                <w:color w:val="000000"/>
                <w:sz w:val="20"/>
                <w:szCs w:val="20"/>
              </w:rPr>
              <w:t>155,64</w:t>
            </w:r>
          </w:p>
        </w:tc>
        <w:tc>
          <w:tcPr>
            <w:tcW w:w="924" w:type="dxa"/>
          </w:tcPr>
          <w:p w:rsidR="009B6FE1" w:rsidRPr="007C51D6" w:rsidRDefault="009B6FE1" w:rsidP="009B6FE1">
            <w:pPr>
              <w:jc w:val="center"/>
              <w:rPr>
                <w:color w:val="000000"/>
                <w:sz w:val="20"/>
                <w:szCs w:val="20"/>
              </w:rPr>
            </w:pPr>
            <w:r w:rsidRPr="007C51D6">
              <w:rPr>
                <w:color w:val="000000"/>
                <w:sz w:val="20"/>
                <w:szCs w:val="20"/>
              </w:rPr>
              <w:t>нет</w:t>
            </w:r>
          </w:p>
          <w:p w:rsidR="009B6FE1" w:rsidRPr="007C51D6" w:rsidRDefault="009B6FE1" w:rsidP="009B6FE1">
            <w:pPr>
              <w:jc w:val="center"/>
              <w:rPr>
                <w:color w:val="000000"/>
                <w:sz w:val="20"/>
                <w:szCs w:val="20"/>
              </w:rPr>
            </w:pPr>
            <w:r w:rsidRPr="007C51D6">
              <w:rPr>
                <w:color w:val="000000"/>
                <w:sz w:val="20"/>
                <w:szCs w:val="20"/>
              </w:rPr>
              <w:t>данных</w:t>
            </w:r>
          </w:p>
        </w:tc>
        <w:tc>
          <w:tcPr>
            <w:tcW w:w="880" w:type="dxa"/>
          </w:tcPr>
          <w:p w:rsidR="009B6FE1" w:rsidRPr="007C51D6" w:rsidRDefault="009B6FE1" w:rsidP="009B6FE1">
            <w:pPr>
              <w:jc w:val="center"/>
              <w:rPr>
                <w:color w:val="000000"/>
                <w:sz w:val="20"/>
                <w:szCs w:val="20"/>
              </w:rPr>
            </w:pPr>
            <w:r w:rsidRPr="007C51D6">
              <w:rPr>
                <w:color w:val="000000"/>
                <w:sz w:val="20"/>
                <w:szCs w:val="20"/>
              </w:rPr>
              <w:t>нет</w:t>
            </w:r>
          </w:p>
          <w:p w:rsidR="009B6FE1" w:rsidRPr="007C51D6" w:rsidRDefault="009B6FE1" w:rsidP="009B6FE1">
            <w:pPr>
              <w:jc w:val="center"/>
              <w:rPr>
                <w:rFonts w:eastAsia="Arial"/>
                <w:sz w:val="20"/>
                <w:szCs w:val="20"/>
              </w:rPr>
            </w:pPr>
            <w:r w:rsidRPr="007C51D6">
              <w:rPr>
                <w:color w:val="000000"/>
                <w:sz w:val="20"/>
                <w:szCs w:val="20"/>
              </w:rPr>
              <w:t>данных</w:t>
            </w:r>
          </w:p>
        </w:tc>
        <w:tc>
          <w:tcPr>
            <w:tcW w:w="1980" w:type="dxa"/>
          </w:tcPr>
          <w:p w:rsidR="009B6FE1" w:rsidRPr="007C51D6" w:rsidRDefault="009B6FE1" w:rsidP="009B6FE1">
            <w:pPr>
              <w:jc w:val="center"/>
              <w:rPr>
                <w:rFonts w:eastAsia="Arial"/>
                <w:sz w:val="20"/>
                <w:szCs w:val="20"/>
              </w:rPr>
            </w:pPr>
            <w:r w:rsidRPr="007C51D6">
              <w:rPr>
                <w:rFonts w:eastAsia="Arial"/>
                <w:sz w:val="20"/>
                <w:szCs w:val="20"/>
              </w:rPr>
              <w:t>-</w:t>
            </w:r>
          </w:p>
        </w:tc>
      </w:tr>
      <w:tr w:rsidR="009B6FE1" w:rsidRPr="007C51D6" w:rsidTr="009B6FE1">
        <w:trPr>
          <w:trHeight w:val="20"/>
        </w:trPr>
        <w:tc>
          <w:tcPr>
            <w:tcW w:w="1793" w:type="dxa"/>
          </w:tcPr>
          <w:p w:rsidR="009B6FE1" w:rsidRPr="007C51D6" w:rsidRDefault="009B6FE1" w:rsidP="009B6FE1">
            <w:pPr>
              <w:jc w:val="both"/>
              <w:rPr>
                <w:rFonts w:eastAsia="Arial"/>
                <w:sz w:val="20"/>
                <w:szCs w:val="20"/>
              </w:rPr>
            </w:pPr>
            <w:r w:rsidRPr="007C51D6">
              <w:rPr>
                <w:color w:val="000000"/>
                <w:sz w:val="20"/>
                <w:szCs w:val="20"/>
              </w:rPr>
              <w:t>Российская Федерация</w:t>
            </w:r>
          </w:p>
        </w:tc>
        <w:tc>
          <w:tcPr>
            <w:tcW w:w="1714" w:type="dxa"/>
            <w:vMerge/>
          </w:tcPr>
          <w:p w:rsidR="009B6FE1" w:rsidRPr="007C51D6" w:rsidRDefault="009B6FE1" w:rsidP="009B6FE1">
            <w:pPr>
              <w:rPr>
                <w:rFonts w:eastAsia="Arial"/>
                <w:sz w:val="20"/>
                <w:szCs w:val="20"/>
              </w:rPr>
            </w:pPr>
          </w:p>
        </w:tc>
        <w:tc>
          <w:tcPr>
            <w:tcW w:w="1011" w:type="dxa"/>
          </w:tcPr>
          <w:p w:rsidR="009B6FE1" w:rsidRPr="007C51D6" w:rsidRDefault="009B6FE1" w:rsidP="009B6FE1">
            <w:pPr>
              <w:autoSpaceDE/>
              <w:autoSpaceDN/>
              <w:adjustRightInd/>
              <w:jc w:val="center"/>
              <w:rPr>
                <w:color w:val="000000"/>
                <w:sz w:val="20"/>
                <w:szCs w:val="20"/>
              </w:rPr>
            </w:pPr>
            <w:r w:rsidRPr="007C51D6">
              <w:rPr>
                <w:color w:val="000000"/>
                <w:sz w:val="20"/>
                <w:szCs w:val="20"/>
              </w:rPr>
              <w:t>173,42</w:t>
            </w:r>
          </w:p>
        </w:tc>
        <w:tc>
          <w:tcPr>
            <w:tcW w:w="996" w:type="dxa"/>
          </w:tcPr>
          <w:p w:rsidR="009B6FE1" w:rsidRPr="007C51D6" w:rsidRDefault="009B6FE1" w:rsidP="009B6FE1">
            <w:pPr>
              <w:autoSpaceDE/>
              <w:autoSpaceDN/>
              <w:adjustRightInd/>
              <w:jc w:val="center"/>
              <w:rPr>
                <w:color w:val="000000"/>
                <w:sz w:val="20"/>
                <w:szCs w:val="20"/>
              </w:rPr>
            </w:pPr>
            <w:r w:rsidRPr="007C51D6">
              <w:rPr>
                <w:color w:val="000000"/>
                <w:sz w:val="20"/>
                <w:szCs w:val="20"/>
              </w:rPr>
              <w:t>171,29</w:t>
            </w:r>
          </w:p>
        </w:tc>
        <w:tc>
          <w:tcPr>
            <w:tcW w:w="831" w:type="dxa"/>
          </w:tcPr>
          <w:p w:rsidR="009B6FE1" w:rsidRPr="007C51D6" w:rsidRDefault="009B6FE1" w:rsidP="009B6FE1">
            <w:pPr>
              <w:autoSpaceDE/>
              <w:autoSpaceDN/>
              <w:adjustRightInd/>
              <w:jc w:val="center"/>
              <w:rPr>
                <w:color w:val="000000"/>
                <w:sz w:val="20"/>
                <w:szCs w:val="20"/>
              </w:rPr>
            </w:pPr>
            <w:r w:rsidRPr="007C51D6">
              <w:rPr>
                <w:color w:val="000000"/>
                <w:sz w:val="20"/>
                <w:szCs w:val="20"/>
              </w:rPr>
              <w:t>172,46</w:t>
            </w:r>
          </w:p>
        </w:tc>
        <w:tc>
          <w:tcPr>
            <w:tcW w:w="927" w:type="dxa"/>
          </w:tcPr>
          <w:p w:rsidR="009B6FE1" w:rsidRPr="007C51D6" w:rsidRDefault="009B6FE1" w:rsidP="009B6FE1">
            <w:pPr>
              <w:autoSpaceDE/>
              <w:autoSpaceDN/>
              <w:adjustRightInd/>
              <w:jc w:val="center"/>
              <w:rPr>
                <w:color w:val="000000"/>
                <w:sz w:val="20"/>
                <w:szCs w:val="20"/>
              </w:rPr>
            </w:pPr>
            <w:r w:rsidRPr="007C51D6">
              <w:rPr>
                <w:color w:val="000000"/>
                <w:sz w:val="20"/>
                <w:szCs w:val="20"/>
              </w:rPr>
              <w:t>173,60</w:t>
            </w:r>
          </w:p>
        </w:tc>
        <w:tc>
          <w:tcPr>
            <w:tcW w:w="862" w:type="dxa"/>
          </w:tcPr>
          <w:p w:rsidR="009B6FE1" w:rsidRPr="007C51D6" w:rsidRDefault="009B6FE1" w:rsidP="009B6FE1">
            <w:pPr>
              <w:autoSpaceDE/>
              <w:autoSpaceDN/>
              <w:adjustRightInd/>
              <w:jc w:val="center"/>
              <w:rPr>
                <w:color w:val="000000"/>
                <w:sz w:val="20"/>
                <w:szCs w:val="20"/>
              </w:rPr>
            </w:pPr>
            <w:r w:rsidRPr="007C51D6">
              <w:rPr>
                <w:color w:val="000000"/>
                <w:sz w:val="20"/>
                <w:szCs w:val="20"/>
              </w:rPr>
              <w:t>172,07</w:t>
            </w:r>
          </w:p>
        </w:tc>
        <w:tc>
          <w:tcPr>
            <w:tcW w:w="878" w:type="dxa"/>
          </w:tcPr>
          <w:p w:rsidR="009B6FE1" w:rsidRPr="007C51D6" w:rsidRDefault="009B6FE1" w:rsidP="009B6FE1">
            <w:pPr>
              <w:autoSpaceDE/>
              <w:autoSpaceDN/>
              <w:adjustRightInd/>
              <w:jc w:val="center"/>
              <w:rPr>
                <w:color w:val="000000"/>
                <w:sz w:val="20"/>
                <w:szCs w:val="20"/>
              </w:rPr>
            </w:pPr>
            <w:r w:rsidRPr="007C51D6">
              <w:rPr>
                <w:color w:val="000000"/>
                <w:sz w:val="20"/>
                <w:szCs w:val="20"/>
              </w:rPr>
              <w:t>165,73</w:t>
            </w:r>
          </w:p>
        </w:tc>
        <w:tc>
          <w:tcPr>
            <w:tcW w:w="1044" w:type="dxa"/>
          </w:tcPr>
          <w:p w:rsidR="009B6FE1" w:rsidRPr="007C51D6" w:rsidRDefault="009B6FE1" w:rsidP="009B6FE1">
            <w:pPr>
              <w:autoSpaceDE/>
              <w:autoSpaceDN/>
              <w:adjustRightInd/>
              <w:jc w:val="center"/>
              <w:rPr>
                <w:color w:val="000000"/>
                <w:sz w:val="20"/>
                <w:szCs w:val="20"/>
              </w:rPr>
            </w:pPr>
            <w:r w:rsidRPr="007C51D6">
              <w:rPr>
                <w:color w:val="000000"/>
                <w:sz w:val="20"/>
                <w:szCs w:val="20"/>
              </w:rPr>
              <w:t>164,61</w:t>
            </w:r>
          </w:p>
        </w:tc>
        <w:tc>
          <w:tcPr>
            <w:tcW w:w="927" w:type="dxa"/>
          </w:tcPr>
          <w:p w:rsidR="009B6FE1" w:rsidRPr="007C51D6" w:rsidRDefault="009B6FE1" w:rsidP="009B6FE1">
            <w:pPr>
              <w:autoSpaceDE/>
              <w:autoSpaceDN/>
              <w:adjustRightInd/>
              <w:jc w:val="center"/>
              <w:rPr>
                <w:color w:val="000000"/>
                <w:sz w:val="20"/>
                <w:szCs w:val="20"/>
              </w:rPr>
            </w:pPr>
            <w:r w:rsidRPr="007C51D6">
              <w:rPr>
                <w:color w:val="000000"/>
                <w:sz w:val="20"/>
                <w:szCs w:val="20"/>
              </w:rPr>
              <w:t>169,56</w:t>
            </w:r>
          </w:p>
        </w:tc>
        <w:tc>
          <w:tcPr>
            <w:tcW w:w="924" w:type="dxa"/>
          </w:tcPr>
          <w:p w:rsidR="009B6FE1" w:rsidRPr="007C51D6" w:rsidRDefault="009B6FE1" w:rsidP="009B6FE1">
            <w:pPr>
              <w:jc w:val="center"/>
              <w:rPr>
                <w:color w:val="000000"/>
                <w:sz w:val="20"/>
                <w:szCs w:val="20"/>
              </w:rPr>
            </w:pPr>
            <w:r w:rsidRPr="007C51D6">
              <w:rPr>
                <w:color w:val="000000"/>
                <w:sz w:val="20"/>
                <w:szCs w:val="20"/>
              </w:rPr>
              <w:t>нет</w:t>
            </w:r>
          </w:p>
          <w:p w:rsidR="009B6FE1" w:rsidRPr="007C51D6" w:rsidRDefault="009B6FE1" w:rsidP="009B6FE1">
            <w:pPr>
              <w:jc w:val="center"/>
              <w:rPr>
                <w:color w:val="000000"/>
                <w:sz w:val="20"/>
                <w:szCs w:val="20"/>
              </w:rPr>
            </w:pPr>
            <w:r w:rsidRPr="007C51D6">
              <w:rPr>
                <w:color w:val="000000"/>
                <w:sz w:val="20"/>
                <w:szCs w:val="20"/>
              </w:rPr>
              <w:t>данных</w:t>
            </w:r>
          </w:p>
        </w:tc>
        <w:tc>
          <w:tcPr>
            <w:tcW w:w="880" w:type="dxa"/>
          </w:tcPr>
          <w:p w:rsidR="009B6FE1" w:rsidRPr="007C51D6" w:rsidRDefault="009B6FE1" w:rsidP="009B6FE1">
            <w:pPr>
              <w:jc w:val="center"/>
              <w:rPr>
                <w:color w:val="000000"/>
                <w:sz w:val="20"/>
                <w:szCs w:val="20"/>
              </w:rPr>
            </w:pPr>
            <w:r w:rsidRPr="007C51D6">
              <w:rPr>
                <w:color w:val="000000"/>
                <w:sz w:val="20"/>
                <w:szCs w:val="20"/>
              </w:rPr>
              <w:t>нет</w:t>
            </w:r>
          </w:p>
          <w:p w:rsidR="009B6FE1" w:rsidRPr="007C51D6" w:rsidRDefault="009B6FE1" w:rsidP="009B6FE1">
            <w:pPr>
              <w:jc w:val="center"/>
              <w:rPr>
                <w:rFonts w:eastAsia="Arial"/>
                <w:sz w:val="20"/>
                <w:szCs w:val="20"/>
              </w:rPr>
            </w:pPr>
            <w:r w:rsidRPr="007C51D6">
              <w:rPr>
                <w:color w:val="000000"/>
                <w:sz w:val="20"/>
                <w:szCs w:val="20"/>
              </w:rPr>
              <w:t>данных</w:t>
            </w:r>
          </w:p>
        </w:tc>
        <w:tc>
          <w:tcPr>
            <w:tcW w:w="1980" w:type="dxa"/>
          </w:tcPr>
          <w:p w:rsidR="009B6FE1" w:rsidRPr="007C51D6" w:rsidRDefault="009B6FE1" w:rsidP="009B6FE1">
            <w:pPr>
              <w:jc w:val="center"/>
              <w:rPr>
                <w:rFonts w:eastAsia="Arial"/>
                <w:sz w:val="20"/>
                <w:szCs w:val="20"/>
              </w:rPr>
            </w:pPr>
            <w:r w:rsidRPr="007C51D6">
              <w:rPr>
                <w:rFonts w:eastAsia="Arial"/>
                <w:sz w:val="20"/>
                <w:szCs w:val="20"/>
              </w:rPr>
              <w:t>-</w:t>
            </w:r>
          </w:p>
        </w:tc>
      </w:tr>
      <w:tr w:rsidR="009B6FE1" w:rsidRPr="007C51D6" w:rsidTr="009B6FE1">
        <w:trPr>
          <w:trHeight w:val="20"/>
        </w:trPr>
        <w:tc>
          <w:tcPr>
            <w:tcW w:w="1793" w:type="dxa"/>
          </w:tcPr>
          <w:p w:rsidR="009B6FE1" w:rsidRPr="007C51D6" w:rsidRDefault="009B6FE1" w:rsidP="009B6FE1">
            <w:pPr>
              <w:jc w:val="both"/>
              <w:rPr>
                <w:rFonts w:eastAsia="Arial"/>
                <w:sz w:val="20"/>
                <w:szCs w:val="20"/>
              </w:rPr>
            </w:pPr>
            <w:r w:rsidRPr="007C51D6">
              <w:rPr>
                <w:rFonts w:eastAsia="Arial"/>
                <w:sz w:val="20"/>
                <w:szCs w:val="20"/>
              </w:rPr>
              <w:t>Республика Татарстан</w:t>
            </w:r>
          </w:p>
        </w:tc>
        <w:tc>
          <w:tcPr>
            <w:tcW w:w="1714" w:type="dxa"/>
            <w:vMerge w:val="restart"/>
          </w:tcPr>
          <w:p w:rsidR="009B6FE1" w:rsidRPr="007C51D6" w:rsidRDefault="009B6FE1" w:rsidP="009B6FE1">
            <w:pPr>
              <w:rPr>
                <w:rFonts w:eastAsia="Arial"/>
                <w:sz w:val="20"/>
                <w:szCs w:val="20"/>
              </w:rPr>
            </w:pPr>
            <w:r w:rsidRPr="007C51D6">
              <w:rPr>
                <w:rFonts w:eastAsia="Arial"/>
                <w:sz w:val="20"/>
                <w:szCs w:val="20"/>
              </w:rPr>
              <w:t>стандартизованный</w:t>
            </w:r>
          </w:p>
        </w:tc>
        <w:tc>
          <w:tcPr>
            <w:tcW w:w="1011" w:type="dxa"/>
          </w:tcPr>
          <w:p w:rsidR="009B6FE1" w:rsidRPr="007C51D6" w:rsidRDefault="009B6FE1" w:rsidP="009B6FE1">
            <w:pPr>
              <w:autoSpaceDE/>
              <w:autoSpaceDN/>
              <w:adjustRightInd/>
              <w:jc w:val="center"/>
              <w:rPr>
                <w:color w:val="000000"/>
                <w:sz w:val="20"/>
                <w:szCs w:val="20"/>
              </w:rPr>
            </w:pPr>
            <w:r w:rsidRPr="007C51D6">
              <w:rPr>
                <w:color w:val="000000"/>
                <w:sz w:val="20"/>
                <w:szCs w:val="20"/>
              </w:rPr>
              <w:t>79,09</w:t>
            </w:r>
          </w:p>
        </w:tc>
        <w:tc>
          <w:tcPr>
            <w:tcW w:w="996" w:type="dxa"/>
          </w:tcPr>
          <w:p w:rsidR="009B6FE1" w:rsidRPr="007C51D6" w:rsidRDefault="009B6FE1" w:rsidP="009B6FE1">
            <w:pPr>
              <w:autoSpaceDE/>
              <w:autoSpaceDN/>
              <w:adjustRightInd/>
              <w:jc w:val="center"/>
              <w:rPr>
                <w:color w:val="000000"/>
                <w:sz w:val="20"/>
                <w:szCs w:val="20"/>
              </w:rPr>
            </w:pPr>
            <w:r w:rsidRPr="007C51D6">
              <w:rPr>
                <w:color w:val="000000"/>
                <w:sz w:val="20"/>
                <w:szCs w:val="20"/>
              </w:rPr>
              <w:t>74,49</w:t>
            </w:r>
          </w:p>
        </w:tc>
        <w:tc>
          <w:tcPr>
            <w:tcW w:w="831" w:type="dxa"/>
          </w:tcPr>
          <w:p w:rsidR="009B6FE1" w:rsidRPr="007C51D6" w:rsidRDefault="009B6FE1" w:rsidP="009B6FE1">
            <w:pPr>
              <w:autoSpaceDE/>
              <w:autoSpaceDN/>
              <w:adjustRightInd/>
              <w:jc w:val="center"/>
              <w:rPr>
                <w:color w:val="000000"/>
                <w:sz w:val="20"/>
                <w:szCs w:val="20"/>
              </w:rPr>
            </w:pPr>
            <w:r w:rsidRPr="007C51D6">
              <w:rPr>
                <w:color w:val="000000"/>
                <w:sz w:val="20"/>
                <w:szCs w:val="20"/>
              </w:rPr>
              <w:t>76,00</w:t>
            </w:r>
          </w:p>
        </w:tc>
        <w:tc>
          <w:tcPr>
            <w:tcW w:w="927" w:type="dxa"/>
          </w:tcPr>
          <w:p w:rsidR="009B6FE1" w:rsidRPr="007C51D6" w:rsidRDefault="009B6FE1" w:rsidP="009B6FE1">
            <w:pPr>
              <w:autoSpaceDE/>
              <w:autoSpaceDN/>
              <w:adjustRightInd/>
              <w:jc w:val="center"/>
              <w:rPr>
                <w:color w:val="000000"/>
                <w:sz w:val="20"/>
                <w:szCs w:val="20"/>
              </w:rPr>
            </w:pPr>
            <w:r w:rsidRPr="007C51D6">
              <w:rPr>
                <w:color w:val="000000"/>
                <w:sz w:val="20"/>
                <w:szCs w:val="20"/>
              </w:rPr>
              <w:t>72,63</w:t>
            </w:r>
          </w:p>
        </w:tc>
        <w:tc>
          <w:tcPr>
            <w:tcW w:w="862" w:type="dxa"/>
          </w:tcPr>
          <w:p w:rsidR="009B6FE1" w:rsidRPr="007C51D6" w:rsidRDefault="009B6FE1" w:rsidP="009B6FE1">
            <w:pPr>
              <w:autoSpaceDE/>
              <w:autoSpaceDN/>
              <w:adjustRightInd/>
              <w:jc w:val="center"/>
              <w:rPr>
                <w:color w:val="000000"/>
                <w:sz w:val="20"/>
                <w:szCs w:val="20"/>
              </w:rPr>
            </w:pPr>
            <w:r w:rsidRPr="007C51D6">
              <w:rPr>
                <w:color w:val="000000"/>
                <w:sz w:val="20"/>
                <w:szCs w:val="20"/>
              </w:rPr>
              <w:t>68,57</w:t>
            </w:r>
          </w:p>
        </w:tc>
        <w:tc>
          <w:tcPr>
            <w:tcW w:w="878" w:type="dxa"/>
          </w:tcPr>
          <w:p w:rsidR="009B6FE1" w:rsidRPr="007C51D6" w:rsidRDefault="009B6FE1" w:rsidP="009B6FE1">
            <w:pPr>
              <w:autoSpaceDE/>
              <w:autoSpaceDN/>
              <w:adjustRightInd/>
              <w:jc w:val="center"/>
              <w:rPr>
                <w:color w:val="000000"/>
                <w:sz w:val="20"/>
                <w:szCs w:val="20"/>
              </w:rPr>
            </w:pPr>
            <w:r w:rsidRPr="007C51D6">
              <w:rPr>
                <w:color w:val="000000"/>
                <w:sz w:val="20"/>
                <w:szCs w:val="20"/>
              </w:rPr>
              <w:t>66,32</w:t>
            </w:r>
          </w:p>
        </w:tc>
        <w:tc>
          <w:tcPr>
            <w:tcW w:w="1044" w:type="dxa"/>
          </w:tcPr>
          <w:p w:rsidR="009B6FE1" w:rsidRPr="007C51D6" w:rsidRDefault="009B6FE1" w:rsidP="009B6FE1">
            <w:pPr>
              <w:autoSpaceDE/>
              <w:autoSpaceDN/>
              <w:adjustRightInd/>
              <w:jc w:val="center"/>
              <w:rPr>
                <w:color w:val="000000"/>
                <w:sz w:val="20"/>
                <w:szCs w:val="20"/>
              </w:rPr>
            </w:pPr>
            <w:r w:rsidRPr="007C51D6">
              <w:rPr>
                <w:color w:val="000000"/>
                <w:sz w:val="20"/>
                <w:szCs w:val="20"/>
              </w:rPr>
              <w:t>63,65</w:t>
            </w:r>
          </w:p>
        </w:tc>
        <w:tc>
          <w:tcPr>
            <w:tcW w:w="927" w:type="dxa"/>
          </w:tcPr>
          <w:p w:rsidR="009B6FE1" w:rsidRPr="007C51D6" w:rsidRDefault="009B6FE1" w:rsidP="009B6FE1">
            <w:pPr>
              <w:autoSpaceDE/>
              <w:autoSpaceDN/>
              <w:adjustRightInd/>
              <w:jc w:val="center"/>
              <w:rPr>
                <w:color w:val="000000"/>
                <w:sz w:val="20"/>
                <w:szCs w:val="20"/>
              </w:rPr>
            </w:pPr>
            <w:r w:rsidRPr="007C51D6">
              <w:rPr>
                <w:color w:val="000000"/>
                <w:sz w:val="20"/>
                <w:szCs w:val="20"/>
              </w:rPr>
              <w:t>63,25</w:t>
            </w:r>
          </w:p>
        </w:tc>
        <w:tc>
          <w:tcPr>
            <w:tcW w:w="924" w:type="dxa"/>
          </w:tcPr>
          <w:p w:rsidR="009B6FE1" w:rsidRPr="007C51D6" w:rsidRDefault="009B6FE1" w:rsidP="009B6FE1">
            <w:pPr>
              <w:jc w:val="center"/>
              <w:rPr>
                <w:color w:val="000000"/>
                <w:sz w:val="20"/>
                <w:szCs w:val="20"/>
              </w:rPr>
            </w:pPr>
            <w:r w:rsidRPr="007C51D6">
              <w:rPr>
                <w:color w:val="000000"/>
                <w:sz w:val="20"/>
                <w:szCs w:val="20"/>
              </w:rPr>
              <w:t>нет</w:t>
            </w:r>
          </w:p>
          <w:p w:rsidR="009B6FE1" w:rsidRPr="007C51D6" w:rsidRDefault="009B6FE1" w:rsidP="009B6FE1">
            <w:pPr>
              <w:jc w:val="center"/>
              <w:rPr>
                <w:sz w:val="20"/>
                <w:szCs w:val="20"/>
              </w:rPr>
            </w:pPr>
            <w:r w:rsidRPr="007C51D6">
              <w:rPr>
                <w:color w:val="000000"/>
                <w:sz w:val="20"/>
                <w:szCs w:val="20"/>
              </w:rPr>
              <w:t>данных</w:t>
            </w:r>
          </w:p>
        </w:tc>
        <w:tc>
          <w:tcPr>
            <w:tcW w:w="880" w:type="dxa"/>
          </w:tcPr>
          <w:p w:rsidR="009B6FE1" w:rsidRPr="007C51D6" w:rsidRDefault="009B6FE1" w:rsidP="009B6FE1">
            <w:pPr>
              <w:jc w:val="center"/>
              <w:rPr>
                <w:color w:val="000000"/>
                <w:sz w:val="20"/>
                <w:szCs w:val="20"/>
              </w:rPr>
            </w:pPr>
            <w:r w:rsidRPr="007C51D6">
              <w:rPr>
                <w:color w:val="000000"/>
                <w:sz w:val="20"/>
                <w:szCs w:val="20"/>
              </w:rPr>
              <w:t>нет</w:t>
            </w:r>
          </w:p>
          <w:p w:rsidR="009B6FE1" w:rsidRPr="007C51D6" w:rsidRDefault="009B6FE1" w:rsidP="009B6FE1">
            <w:pPr>
              <w:jc w:val="center"/>
              <w:rPr>
                <w:rFonts w:eastAsia="Arial"/>
                <w:sz w:val="20"/>
                <w:szCs w:val="20"/>
              </w:rPr>
            </w:pPr>
            <w:r w:rsidRPr="007C51D6">
              <w:rPr>
                <w:color w:val="000000"/>
                <w:sz w:val="20"/>
                <w:szCs w:val="20"/>
              </w:rPr>
              <w:t>данных</w:t>
            </w:r>
          </w:p>
        </w:tc>
        <w:tc>
          <w:tcPr>
            <w:tcW w:w="1980" w:type="dxa"/>
          </w:tcPr>
          <w:p w:rsidR="009B6FE1" w:rsidRPr="007C51D6" w:rsidRDefault="009B6FE1" w:rsidP="009B6FE1">
            <w:pPr>
              <w:jc w:val="center"/>
              <w:rPr>
                <w:rFonts w:eastAsia="Arial"/>
                <w:sz w:val="20"/>
                <w:szCs w:val="20"/>
              </w:rPr>
            </w:pPr>
            <w:r w:rsidRPr="007C51D6">
              <w:rPr>
                <w:rFonts w:eastAsia="Arial"/>
                <w:sz w:val="20"/>
                <w:szCs w:val="20"/>
              </w:rPr>
              <w:t>-</w:t>
            </w:r>
          </w:p>
        </w:tc>
      </w:tr>
      <w:tr w:rsidR="009B6FE1" w:rsidRPr="007C51D6" w:rsidTr="009B6FE1">
        <w:trPr>
          <w:trHeight w:val="20"/>
        </w:trPr>
        <w:tc>
          <w:tcPr>
            <w:tcW w:w="1793" w:type="dxa"/>
          </w:tcPr>
          <w:p w:rsidR="009B6FE1" w:rsidRPr="007C51D6" w:rsidRDefault="009B6FE1" w:rsidP="009B6FE1">
            <w:pPr>
              <w:jc w:val="both"/>
              <w:rPr>
                <w:rFonts w:eastAsia="Arial"/>
                <w:sz w:val="20"/>
                <w:szCs w:val="20"/>
              </w:rPr>
            </w:pPr>
            <w:r w:rsidRPr="007C51D6">
              <w:rPr>
                <w:color w:val="000000"/>
                <w:sz w:val="20"/>
                <w:szCs w:val="20"/>
              </w:rPr>
              <w:t>Приволжcкий федеральный округ</w:t>
            </w:r>
          </w:p>
        </w:tc>
        <w:tc>
          <w:tcPr>
            <w:tcW w:w="1714" w:type="dxa"/>
            <w:vMerge/>
          </w:tcPr>
          <w:p w:rsidR="009B6FE1" w:rsidRPr="007C51D6" w:rsidRDefault="009B6FE1" w:rsidP="009B6FE1">
            <w:pPr>
              <w:rPr>
                <w:rFonts w:eastAsia="Arial"/>
                <w:sz w:val="20"/>
                <w:szCs w:val="20"/>
              </w:rPr>
            </w:pPr>
          </w:p>
        </w:tc>
        <w:tc>
          <w:tcPr>
            <w:tcW w:w="1011" w:type="dxa"/>
          </w:tcPr>
          <w:p w:rsidR="009B6FE1" w:rsidRPr="007C51D6" w:rsidRDefault="009B6FE1" w:rsidP="009B6FE1">
            <w:pPr>
              <w:autoSpaceDE/>
              <w:autoSpaceDN/>
              <w:adjustRightInd/>
              <w:jc w:val="center"/>
              <w:rPr>
                <w:color w:val="000000"/>
                <w:sz w:val="20"/>
                <w:szCs w:val="20"/>
              </w:rPr>
            </w:pPr>
            <w:r w:rsidRPr="007C51D6">
              <w:rPr>
                <w:color w:val="000000"/>
                <w:sz w:val="20"/>
                <w:szCs w:val="20"/>
              </w:rPr>
              <w:t>76,12</w:t>
            </w:r>
          </w:p>
        </w:tc>
        <w:tc>
          <w:tcPr>
            <w:tcW w:w="996" w:type="dxa"/>
          </w:tcPr>
          <w:p w:rsidR="009B6FE1" w:rsidRPr="007C51D6" w:rsidRDefault="009B6FE1" w:rsidP="009B6FE1">
            <w:pPr>
              <w:autoSpaceDE/>
              <w:autoSpaceDN/>
              <w:adjustRightInd/>
              <w:jc w:val="center"/>
              <w:rPr>
                <w:color w:val="000000"/>
                <w:sz w:val="20"/>
                <w:szCs w:val="20"/>
              </w:rPr>
            </w:pPr>
            <w:r w:rsidRPr="007C51D6">
              <w:rPr>
                <w:color w:val="000000"/>
                <w:sz w:val="20"/>
                <w:szCs w:val="20"/>
              </w:rPr>
              <w:t>74,60</w:t>
            </w:r>
          </w:p>
        </w:tc>
        <w:tc>
          <w:tcPr>
            <w:tcW w:w="831" w:type="dxa"/>
          </w:tcPr>
          <w:p w:rsidR="009B6FE1" w:rsidRPr="007C51D6" w:rsidRDefault="009B6FE1" w:rsidP="009B6FE1">
            <w:pPr>
              <w:autoSpaceDE/>
              <w:autoSpaceDN/>
              <w:adjustRightInd/>
              <w:jc w:val="center"/>
              <w:rPr>
                <w:color w:val="000000"/>
                <w:sz w:val="20"/>
                <w:szCs w:val="20"/>
              </w:rPr>
            </w:pPr>
            <w:r w:rsidRPr="007C51D6">
              <w:rPr>
                <w:color w:val="000000"/>
                <w:sz w:val="20"/>
                <w:szCs w:val="20"/>
              </w:rPr>
              <w:t>73,04</w:t>
            </w:r>
          </w:p>
        </w:tc>
        <w:tc>
          <w:tcPr>
            <w:tcW w:w="927" w:type="dxa"/>
          </w:tcPr>
          <w:p w:rsidR="009B6FE1" w:rsidRPr="007C51D6" w:rsidRDefault="009B6FE1" w:rsidP="009B6FE1">
            <w:pPr>
              <w:autoSpaceDE/>
              <w:autoSpaceDN/>
              <w:adjustRightInd/>
              <w:jc w:val="center"/>
              <w:rPr>
                <w:color w:val="000000"/>
                <w:sz w:val="20"/>
                <w:szCs w:val="20"/>
              </w:rPr>
            </w:pPr>
            <w:r w:rsidRPr="007C51D6">
              <w:rPr>
                <w:color w:val="000000"/>
                <w:sz w:val="20"/>
                <w:szCs w:val="20"/>
              </w:rPr>
              <w:t>72,93</w:t>
            </w:r>
          </w:p>
        </w:tc>
        <w:tc>
          <w:tcPr>
            <w:tcW w:w="862" w:type="dxa"/>
          </w:tcPr>
          <w:p w:rsidR="009B6FE1" w:rsidRPr="007C51D6" w:rsidRDefault="009B6FE1" w:rsidP="009B6FE1">
            <w:pPr>
              <w:autoSpaceDE/>
              <w:autoSpaceDN/>
              <w:adjustRightInd/>
              <w:jc w:val="center"/>
              <w:rPr>
                <w:color w:val="000000"/>
                <w:sz w:val="20"/>
                <w:szCs w:val="20"/>
              </w:rPr>
            </w:pPr>
            <w:r w:rsidRPr="007C51D6">
              <w:rPr>
                <w:color w:val="000000"/>
                <w:sz w:val="20"/>
                <w:szCs w:val="20"/>
              </w:rPr>
              <w:t>71,84</w:t>
            </w:r>
          </w:p>
        </w:tc>
        <w:tc>
          <w:tcPr>
            <w:tcW w:w="878" w:type="dxa"/>
          </w:tcPr>
          <w:p w:rsidR="009B6FE1" w:rsidRPr="007C51D6" w:rsidRDefault="009B6FE1" w:rsidP="009B6FE1">
            <w:pPr>
              <w:autoSpaceDE/>
              <w:autoSpaceDN/>
              <w:adjustRightInd/>
              <w:jc w:val="center"/>
              <w:rPr>
                <w:color w:val="000000"/>
                <w:sz w:val="20"/>
                <w:szCs w:val="20"/>
              </w:rPr>
            </w:pPr>
            <w:r w:rsidRPr="007C51D6">
              <w:rPr>
                <w:color w:val="000000"/>
                <w:sz w:val="20"/>
                <w:szCs w:val="20"/>
              </w:rPr>
              <w:t>68,55</w:t>
            </w:r>
          </w:p>
        </w:tc>
        <w:tc>
          <w:tcPr>
            <w:tcW w:w="1044" w:type="dxa"/>
          </w:tcPr>
          <w:p w:rsidR="009B6FE1" w:rsidRPr="007C51D6" w:rsidRDefault="009B6FE1" w:rsidP="009B6FE1">
            <w:pPr>
              <w:autoSpaceDE/>
              <w:autoSpaceDN/>
              <w:adjustRightInd/>
              <w:jc w:val="center"/>
              <w:rPr>
                <w:color w:val="000000"/>
                <w:sz w:val="20"/>
                <w:szCs w:val="20"/>
              </w:rPr>
            </w:pPr>
            <w:r w:rsidRPr="007C51D6">
              <w:rPr>
                <w:color w:val="000000"/>
                <w:sz w:val="20"/>
                <w:szCs w:val="20"/>
              </w:rPr>
              <w:t>67,67</w:t>
            </w:r>
          </w:p>
        </w:tc>
        <w:tc>
          <w:tcPr>
            <w:tcW w:w="927" w:type="dxa"/>
          </w:tcPr>
          <w:p w:rsidR="009B6FE1" w:rsidRPr="007C51D6" w:rsidRDefault="009B6FE1" w:rsidP="009B6FE1">
            <w:pPr>
              <w:autoSpaceDE/>
              <w:autoSpaceDN/>
              <w:adjustRightInd/>
              <w:jc w:val="center"/>
              <w:rPr>
                <w:color w:val="000000"/>
                <w:sz w:val="20"/>
                <w:szCs w:val="20"/>
              </w:rPr>
            </w:pPr>
            <w:r w:rsidRPr="007C51D6">
              <w:rPr>
                <w:color w:val="000000"/>
                <w:sz w:val="20"/>
                <w:szCs w:val="20"/>
              </w:rPr>
              <w:t>67,60</w:t>
            </w:r>
          </w:p>
        </w:tc>
        <w:tc>
          <w:tcPr>
            <w:tcW w:w="924" w:type="dxa"/>
          </w:tcPr>
          <w:p w:rsidR="009B6FE1" w:rsidRPr="007C51D6" w:rsidRDefault="009B6FE1" w:rsidP="009B6FE1">
            <w:pPr>
              <w:jc w:val="center"/>
              <w:rPr>
                <w:color w:val="000000"/>
                <w:sz w:val="20"/>
                <w:szCs w:val="20"/>
              </w:rPr>
            </w:pPr>
            <w:r w:rsidRPr="007C51D6">
              <w:rPr>
                <w:color w:val="000000"/>
                <w:sz w:val="20"/>
                <w:szCs w:val="20"/>
              </w:rPr>
              <w:t>нет</w:t>
            </w:r>
          </w:p>
          <w:p w:rsidR="009B6FE1" w:rsidRPr="007C51D6" w:rsidRDefault="009B6FE1" w:rsidP="009B6FE1">
            <w:pPr>
              <w:jc w:val="center"/>
              <w:rPr>
                <w:color w:val="000000"/>
                <w:sz w:val="20"/>
                <w:szCs w:val="20"/>
              </w:rPr>
            </w:pPr>
            <w:r w:rsidRPr="007C51D6">
              <w:rPr>
                <w:color w:val="000000"/>
                <w:sz w:val="20"/>
                <w:szCs w:val="20"/>
              </w:rPr>
              <w:t>данных</w:t>
            </w:r>
          </w:p>
        </w:tc>
        <w:tc>
          <w:tcPr>
            <w:tcW w:w="880" w:type="dxa"/>
          </w:tcPr>
          <w:p w:rsidR="009B6FE1" w:rsidRPr="007C51D6" w:rsidRDefault="009B6FE1" w:rsidP="009B6FE1">
            <w:pPr>
              <w:jc w:val="center"/>
              <w:rPr>
                <w:color w:val="000000"/>
                <w:sz w:val="20"/>
                <w:szCs w:val="20"/>
              </w:rPr>
            </w:pPr>
            <w:r w:rsidRPr="007C51D6">
              <w:rPr>
                <w:color w:val="000000"/>
                <w:sz w:val="20"/>
                <w:szCs w:val="20"/>
              </w:rPr>
              <w:t>нет</w:t>
            </w:r>
          </w:p>
          <w:p w:rsidR="009B6FE1" w:rsidRPr="007C51D6" w:rsidRDefault="009B6FE1" w:rsidP="009B6FE1">
            <w:pPr>
              <w:jc w:val="center"/>
              <w:rPr>
                <w:rFonts w:eastAsia="Arial"/>
                <w:sz w:val="20"/>
                <w:szCs w:val="20"/>
              </w:rPr>
            </w:pPr>
            <w:r w:rsidRPr="007C51D6">
              <w:rPr>
                <w:color w:val="000000"/>
                <w:sz w:val="20"/>
                <w:szCs w:val="20"/>
              </w:rPr>
              <w:t>данных</w:t>
            </w:r>
          </w:p>
        </w:tc>
        <w:tc>
          <w:tcPr>
            <w:tcW w:w="1980" w:type="dxa"/>
          </w:tcPr>
          <w:p w:rsidR="009B6FE1" w:rsidRPr="007C51D6" w:rsidRDefault="009B6FE1" w:rsidP="009B6FE1">
            <w:pPr>
              <w:jc w:val="center"/>
              <w:rPr>
                <w:rFonts w:eastAsia="Arial"/>
                <w:sz w:val="20"/>
                <w:szCs w:val="20"/>
              </w:rPr>
            </w:pPr>
            <w:r w:rsidRPr="007C51D6">
              <w:rPr>
                <w:rFonts w:eastAsia="Arial"/>
                <w:sz w:val="20"/>
                <w:szCs w:val="20"/>
              </w:rPr>
              <w:t>-</w:t>
            </w:r>
          </w:p>
        </w:tc>
      </w:tr>
      <w:tr w:rsidR="009B6FE1" w:rsidRPr="007C51D6" w:rsidTr="009B6FE1">
        <w:trPr>
          <w:trHeight w:val="20"/>
        </w:trPr>
        <w:tc>
          <w:tcPr>
            <w:tcW w:w="1793" w:type="dxa"/>
          </w:tcPr>
          <w:p w:rsidR="009B6FE1" w:rsidRPr="007C51D6" w:rsidRDefault="009B6FE1" w:rsidP="009B6FE1">
            <w:pPr>
              <w:jc w:val="both"/>
              <w:rPr>
                <w:rFonts w:eastAsia="Arial"/>
                <w:sz w:val="20"/>
                <w:szCs w:val="20"/>
              </w:rPr>
            </w:pPr>
            <w:r w:rsidRPr="007C51D6">
              <w:rPr>
                <w:color w:val="000000"/>
                <w:sz w:val="20"/>
                <w:szCs w:val="20"/>
              </w:rPr>
              <w:t>Российская Федерация</w:t>
            </w:r>
          </w:p>
        </w:tc>
        <w:tc>
          <w:tcPr>
            <w:tcW w:w="1714" w:type="dxa"/>
            <w:vMerge/>
          </w:tcPr>
          <w:p w:rsidR="009B6FE1" w:rsidRPr="007C51D6" w:rsidRDefault="009B6FE1" w:rsidP="009B6FE1">
            <w:pPr>
              <w:rPr>
                <w:rFonts w:eastAsia="Arial"/>
                <w:sz w:val="20"/>
                <w:szCs w:val="20"/>
              </w:rPr>
            </w:pPr>
          </w:p>
        </w:tc>
        <w:tc>
          <w:tcPr>
            <w:tcW w:w="1011" w:type="dxa"/>
          </w:tcPr>
          <w:p w:rsidR="009B6FE1" w:rsidRPr="007C51D6" w:rsidRDefault="009B6FE1" w:rsidP="009B6FE1">
            <w:pPr>
              <w:autoSpaceDE/>
              <w:autoSpaceDN/>
              <w:adjustRightInd/>
              <w:jc w:val="center"/>
              <w:rPr>
                <w:color w:val="000000"/>
                <w:sz w:val="20"/>
                <w:szCs w:val="20"/>
              </w:rPr>
            </w:pPr>
            <w:r w:rsidRPr="007C51D6">
              <w:rPr>
                <w:color w:val="000000"/>
                <w:sz w:val="20"/>
                <w:szCs w:val="20"/>
              </w:rPr>
              <w:t>83,55</w:t>
            </w:r>
          </w:p>
        </w:tc>
        <w:tc>
          <w:tcPr>
            <w:tcW w:w="996" w:type="dxa"/>
          </w:tcPr>
          <w:p w:rsidR="009B6FE1" w:rsidRPr="007C51D6" w:rsidRDefault="009B6FE1" w:rsidP="009B6FE1">
            <w:pPr>
              <w:autoSpaceDE/>
              <w:autoSpaceDN/>
              <w:adjustRightInd/>
              <w:jc w:val="center"/>
              <w:rPr>
                <w:color w:val="000000"/>
                <w:sz w:val="20"/>
                <w:szCs w:val="20"/>
              </w:rPr>
            </w:pPr>
            <w:r w:rsidRPr="007C51D6">
              <w:rPr>
                <w:color w:val="000000"/>
                <w:sz w:val="20"/>
                <w:szCs w:val="20"/>
              </w:rPr>
              <w:t>81,15</w:t>
            </w:r>
          </w:p>
        </w:tc>
        <w:tc>
          <w:tcPr>
            <w:tcW w:w="831" w:type="dxa"/>
          </w:tcPr>
          <w:p w:rsidR="009B6FE1" w:rsidRPr="007C51D6" w:rsidRDefault="009B6FE1" w:rsidP="009B6FE1">
            <w:pPr>
              <w:autoSpaceDE/>
              <w:autoSpaceDN/>
              <w:adjustRightInd/>
              <w:jc w:val="center"/>
              <w:rPr>
                <w:color w:val="000000"/>
                <w:sz w:val="20"/>
                <w:szCs w:val="20"/>
              </w:rPr>
            </w:pPr>
            <w:r w:rsidRPr="007C51D6">
              <w:rPr>
                <w:color w:val="000000"/>
                <w:sz w:val="20"/>
                <w:szCs w:val="20"/>
              </w:rPr>
              <w:t>80,58</w:t>
            </w:r>
          </w:p>
        </w:tc>
        <w:tc>
          <w:tcPr>
            <w:tcW w:w="927" w:type="dxa"/>
          </w:tcPr>
          <w:p w:rsidR="009B6FE1" w:rsidRPr="007C51D6" w:rsidRDefault="009B6FE1" w:rsidP="009B6FE1">
            <w:pPr>
              <w:autoSpaceDE/>
              <w:autoSpaceDN/>
              <w:adjustRightInd/>
              <w:jc w:val="center"/>
              <w:rPr>
                <w:color w:val="000000"/>
                <w:sz w:val="20"/>
                <w:szCs w:val="20"/>
              </w:rPr>
            </w:pPr>
            <w:r w:rsidRPr="007C51D6">
              <w:rPr>
                <w:color w:val="000000"/>
                <w:sz w:val="20"/>
                <w:szCs w:val="20"/>
              </w:rPr>
              <w:t>79,47</w:t>
            </w:r>
          </w:p>
        </w:tc>
        <w:tc>
          <w:tcPr>
            <w:tcW w:w="862" w:type="dxa"/>
          </w:tcPr>
          <w:p w:rsidR="009B6FE1" w:rsidRPr="007C51D6" w:rsidRDefault="009B6FE1" w:rsidP="009B6FE1">
            <w:pPr>
              <w:autoSpaceDE/>
              <w:autoSpaceDN/>
              <w:adjustRightInd/>
              <w:jc w:val="center"/>
              <w:rPr>
                <w:color w:val="000000"/>
                <w:sz w:val="20"/>
                <w:szCs w:val="20"/>
              </w:rPr>
            </w:pPr>
            <w:r w:rsidRPr="007C51D6">
              <w:rPr>
                <w:color w:val="000000"/>
                <w:sz w:val="20"/>
                <w:szCs w:val="20"/>
              </w:rPr>
              <w:t>78,26</w:t>
            </w:r>
          </w:p>
        </w:tc>
        <w:tc>
          <w:tcPr>
            <w:tcW w:w="878" w:type="dxa"/>
          </w:tcPr>
          <w:p w:rsidR="009B6FE1" w:rsidRPr="007C51D6" w:rsidRDefault="009B6FE1" w:rsidP="009B6FE1">
            <w:pPr>
              <w:autoSpaceDE/>
              <w:autoSpaceDN/>
              <w:adjustRightInd/>
              <w:jc w:val="center"/>
              <w:rPr>
                <w:color w:val="000000"/>
                <w:sz w:val="20"/>
                <w:szCs w:val="20"/>
              </w:rPr>
            </w:pPr>
            <w:r w:rsidRPr="007C51D6">
              <w:rPr>
                <w:color w:val="000000"/>
                <w:sz w:val="20"/>
                <w:szCs w:val="20"/>
              </w:rPr>
              <w:t>74,71</w:t>
            </w:r>
          </w:p>
        </w:tc>
        <w:tc>
          <w:tcPr>
            <w:tcW w:w="1044" w:type="dxa"/>
          </w:tcPr>
          <w:p w:rsidR="009B6FE1" w:rsidRPr="007C51D6" w:rsidRDefault="009B6FE1" w:rsidP="009B6FE1">
            <w:pPr>
              <w:autoSpaceDE/>
              <w:autoSpaceDN/>
              <w:adjustRightInd/>
              <w:jc w:val="center"/>
              <w:rPr>
                <w:color w:val="000000"/>
                <w:sz w:val="20"/>
                <w:szCs w:val="20"/>
              </w:rPr>
            </w:pPr>
            <w:r w:rsidRPr="007C51D6">
              <w:rPr>
                <w:color w:val="000000"/>
                <w:sz w:val="20"/>
                <w:szCs w:val="20"/>
              </w:rPr>
              <w:t>73,78</w:t>
            </w:r>
          </w:p>
        </w:tc>
        <w:tc>
          <w:tcPr>
            <w:tcW w:w="927" w:type="dxa"/>
          </w:tcPr>
          <w:p w:rsidR="009B6FE1" w:rsidRPr="007C51D6" w:rsidRDefault="009B6FE1" w:rsidP="009B6FE1">
            <w:pPr>
              <w:autoSpaceDE/>
              <w:autoSpaceDN/>
              <w:adjustRightInd/>
              <w:jc w:val="center"/>
              <w:rPr>
                <w:color w:val="000000"/>
                <w:sz w:val="20"/>
                <w:szCs w:val="20"/>
              </w:rPr>
            </w:pPr>
            <w:r w:rsidRPr="007C51D6">
              <w:rPr>
                <w:color w:val="000000"/>
                <w:sz w:val="20"/>
                <w:szCs w:val="20"/>
              </w:rPr>
              <w:t>74,30</w:t>
            </w:r>
          </w:p>
        </w:tc>
        <w:tc>
          <w:tcPr>
            <w:tcW w:w="924" w:type="dxa"/>
          </w:tcPr>
          <w:p w:rsidR="009B6FE1" w:rsidRPr="007C51D6" w:rsidRDefault="009B6FE1" w:rsidP="009B6FE1">
            <w:pPr>
              <w:jc w:val="center"/>
              <w:rPr>
                <w:color w:val="000000"/>
                <w:sz w:val="20"/>
                <w:szCs w:val="20"/>
              </w:rPr>
            </w:pPr>
            <w:r w:rsidRPr="007C51D6">
              <w:rPr>
                <w:color w:val="000000"/>
                <w:sz w:val="20"/>
                <w:szCs w:val="20"/>
              </w:rPr>
              <w:t>нет</w:t>
            </w:r>
          </w:p>
          <w:p w:rsidR="009B6FE1" w:rsidRPr="007C51D6" w:rsidRDefault="009B6FE1" w:rsidP="009B6FE1">
            <w:pPr>
              <w:jc w:val="center"/>
              <w:rPr>
                <w:color w:val="000000"/>
                <w:sz w:val="20"/>
                <w:szCs w:val="20"/>
              </w:rPr>
            </w:pPr>
            <w:r w:rsidRPr="007C51D6">
              <w:rPr>
                <w:color w:val="000000"/>
                <w:sz w:val="20"/>
                <w:szCs w:val="20"/>
              </w:rPr>
              <w:t>данных</w:t>
            </w:r>
          </w:p>
        </w:tc>
        <w:tc>
          <w:tcPr>
            <w:tcW w:w="880" w:type="dxa"/>
          </w:tcPr>
          <w:p w:rsidR="009B6FE1" w:rsidRPr="007C51D6" w:rsidRDefault="009B6FE1" w:rsidP="009B6FE1">
            <w:pPr>
              <w:jc w:val="center"/>
              <w:rPr>
                <w:color w:val="000000"/>
                <w:sz w:val="20"/>
                <w:szCs w:val="20"/>
              </w:rPr>
            </w:pPr>
            <w:r w:rsidRPr="007C51D6">
              <w:rPr>
                <w:color w:val="000000"/>
                <w:sz w:val="20"/>
                <w:szCs w:val="20"/>
              </w:rPr>
              <w:t>нет</w:t>
            </w:r>
          </w:p>
          <w:p w:rsidR="009B6FE1" w:rsidRPr="007C51D6" w:rsidRDefault="009B6FE1" w:rsidP="009B6FE1">
            <w:pPr>
              <w:jc w:val="center"/>
              <w:rPr>
                <w:rFonts w:eastAsia="Arial"/>
                <w:sz w:val="20"/>
                <w:szCs w:val="20"/>
              </w:rPr>
            </w:pPr>
            <w:r w:rsidRPr="007C51D6">
              <w:rPr>
                <w:color w:val="000000"/>
                <w:sz w:val="20"/>
                <w:szCs w:val="20"/>
              </w:rPr>
              <w:t>данных</w:t>
            </w:r>
          </w:p>
        </w:tc>
        <w:tc>
          <w:tcPr>
            <w:tcW w:w="1980" w:type="dxa"/>
          </w:tcPr>
          <w:p w:rsidR="009B6FE1" w:rsidRPr="007C51D6" w:rsidRDefault="009B6FE1" w:rsidP="009B6FE1">
            <w:pPr>
              <w:jc w:val="center"/>
              <w:rPr>
                <w:rFonts w:eastAsia="Arial"/>
                <w:sz w:val="20"/>
                <w:szCs w:val="20"/>
              </w:rPr>
            </w:pPr>
            <w:r w:rsidRPr="007C51D6">
              <w:rPr>
                <w:rFonts w:eastAsia="Arial"/>
                <w:sz w:val="20"/>
                <w:szCs w:val="20"/>
              </w:rPr>
              <w:t>-</w:t>
            </w:r>
          </w:p>
        </w:tc>
      </w:tr>
    </w:tbl>
    <w:p w:rsidR="0017374F" w:rsidRPr="007C51D6" w:rsidRDefault="0017374F">
      <w:pPr>
        <w:rPr>
          <w:sz w:val="2"/>
          <w:szCs w:val="2"/>
        </w:rPr>
      </w:pPr>
    </w:p>
    <w:p w:rsidR="00F930A7" w:rsidRPr="007C51D6" w:rsidRDefault="00F930A7" w:rsidP="0017374F">
      <w:pPr>
        <w:autoSpaceDE/>
        <w:autoSpaceDN/>
        <w:adjustRightInd/>
        <w:rPr>
          <w:rFonts w:eastAsia="Arial"/>
          <w:sz w:val="28"/>
          <w:szCs w:val="28"/>
        </w:rPr>
      </w:pPr>
    </w:p>
    <w:p w:rsidR="00B478CF" w:rsidRPr="007C51D6" w:rsidRDefault="002F7358" w:rsidP="0017374F">
      <w:pPr>
        <w:autoSpaceDE/>
        <w:autoSpaceDN/>
        <w:adjustRightInd/>
        <w:ind w:firstLine="709"/>
        <w:jc w:val="both"/>
        <w:rPr>
          <w:rFonts w:eastAsia="Arial"/>
          <w:sz w:val="28"/>
          <w:szCs w:val="28"/>
        </w:rPr>
      </w:pPr>
      <w:r w:rsidRPr="007C51D6">
        <w:rPr>
          <w:rFonts w:eastAsia="Arial"/>
          <w:sz w:val="28"/>
          <w:szCs w:val="28"/>
        </w:rPr>
        <w:t>«</w:t>
      </w:r>
      <w:r w:rsidR="00B478CF" w:rsidRPr="007C51D6">
        <w:rPr>
          <w:rFonts w:eastAsia="Arial"/>
          <w:sz w:val="28"/>
          <w:szCs w:val="28"/>
        </w:rPr>
        <w:t>Грубый</w:t>
      </w:r>
      <w:r w:rsidRPr="007C51D6">
        <w:rPr>
          <w:rFonts w:eastAsia="Arial"/>
          <w:sz w:val="28"/>
          <w:szCs w:val="28"/>
        </w:rPr>
        <w:t>»</w:t>
      </w:r>
      <w:r w:rsidR="00B478CF" w:rsidRPr="007C51D6">
        <w:rPr>
          <w:rFonts w:eastAsia="Arial"/>
          <w:sz w:val="28"/>
          <w:szCs w:val="28"/>
        </w:rPr>
        <w:t xml:space="preserve"> показатель смертности </w:t>
      </w:r>
      <w:r w:rsidR="00D72909" w:rsidRPr="007C51D6">
        <w:rPr>
          <w:rFonts w:eastAsia="Arial"/>
          <w:sz w:val="28"/>
          <w:szCs w:val="28"/>
        </w:rPr>
        <w:t xml:space="preserve">от ЗНО в 2024 </w:t>
      </w:r>
      <w:r w:rsidR="00B478CF" w:rsidRPr="007C51D6">
        <w:rPr>
          <w:rFonts w:eastAsia="Arial"/>
          <w:sz w:val="28"/>
          <w:szCs w:val="28"/>
        </w:rPr>
        <w:t>составил 176,8 на 100 тыс.населения (в 2023 году – 1</w:t>
      </w:r>
      <w:r w:rsidR="00617F95" w:rsidRPr="007C51D6">
        <w:rPr>
          <w:rFonts w:eastAsia="Arial"/>
          <w:sz w:val="28"/>
          <w:szCs w:val="28"/>
        </w:rPr>
        <w:t>74,6</w:t>
      </w:r>
      <w:r w:rsidR="00B478CF" w:rsidRPr="007C51D6">
        <w:rPr>
          <w:rFonts w:eastAsia="Arial"/>
          <w:sz w:val="28"/>
          <w:szCs w:val="28"/>
        </w:rPr>
        <w:t xml:space="preserve"> на 100 тыс.населения). </w:t>
      </w:r>
    </w:p>
    <w:p w:rsidR="00B478CF" w:rsidRPr="007C51D6" w:rsidRDefault="00B478CF" w:rsidP="0017374F">
      <w:pPr>
        <w:autoSpaceDE/>
        <w:autoSpaceDN/>
        <w:adjustRightInd/>
        <w:ind w:firstLine="709"/>
        <w:jc w:val="both"/>
        <w:rPr>
          <w:rFonts w:eastAsia="Arial"/>
          <w:sz w:val="28"/>
          <w:szCs w:val="28"/>
        </w:rPr>
      </w:pPr>
      <w:r w:rsidRPr="007C51D6">
        <w:rPr>
          <w:rFonts w:eastAsia="Arial"/>
          <w:sz w:val="28"/>
          <w:szCs w:val="28"/>
        </w:rPr>
        <w:t xml:space="preserve">Причиной </w:t>
      </w:r>
      <w:r w:rsidRPr="007C51D6">
        <w:rPr>
          <w:rFonts w:eastAsia="Arial"/>
          <w:sz w:val="28"/>
          <w:szCs w:val="28"/>
          <w:lang w:val="x-none"/>
        </w:rPr>
        <w:t>рост</w:t>
      </w:r>
      <w:r w:rsidRPr="007C51D6">
        <w:rPr>
          <w:rFonts w:eastAsia="Arial"/>
          <w:sz w:val="28"/>
          <w:szCs w:val="28"/>
        </w:rPr>
        <w:t>а</w:t>
      </w:r>
      <w:r w:rsidRPr="007C51D6">
        <w:rPr>
          <w:rFonts w:eastAsia="Arial"/>
          <w:sz w:val="28"/>
          <w:szCs w:val="28"/>
          <w:lang w:val="x-none"/>
        </w:rPr>
        <w:t xml:space="preserve"> смертности </w:t>
      </w:r>
      <w:r w:rsidRPr="007C51D6">
        <w:rPr>
          <w:rFonts w:eastAsia="Arial"/>
          <w:sz w:val="28"/>
          <w:szCs w:val="28"/>
        </w:rPr>
        <w:t xml:space="preserve">от ЗНО в 2024 году преимущественно является приостановка профилактических медицинских осмотров и диспансеризации в период пандемии </w:t>
      </w:r>
      <w:r w:rsidR="002B76AB" w:rsidRPr="007C51D6">
        <w:rPr>
          <w:rFonts w:eastAsia="Arial"/>
          <w:sz w:val="28"/>
          <w:szCs w:val="28"/>
        </w:rPr>
        <w:t xml:space="preserve">новой </w:t>
      </w:r>
      <w:r w:rsidRPr="007C51D6">
        <w:rPr>
          <w:rFonts w:eastAsia="Arial"/>
          <w:sz w:val="28"/>
          <w:szCs w:val="28"/>
        </w:rPr>
        <w:t xml:space="preserve">коронавирусной инфекции </w:t>
      </w:r>
      <w:r w:rsidR="002B76AB" w:rsidRPr="007C51D6">
        <w:rPr>
          <w:rFonts w:eastAsia="Arial"/>
          <w:sz w:val="28"/>
          <w:szCs w:val="28"/>
        </w:rPr>
        <w:t>(</w:t>
      </w:r>
      <w:r w:rsidR="002B76AB" w:rsidRPr="007C51D6">
        <w:rPr>
          <w:rFonts w:eastAsia="Arial"/>
          <w:sz w:val="28"/>
          <w:szCs w:val="28"/>
          <w:lang w:val="en-US"/>
        </w:rPr>
        <w:t>COVID</w:t>
      </w:r>
      <w:r w:rsidR="002B76AB" w:rsidRPr="007C51D6">
        <w:rPr>
          <w:rFonts w:eastAsia="Arial"/>
          <w:sz w:val="28"/>
          <w:szCs w:val="28"/>
        </w:rPr>
        <w:t xml:space="preserve">-19) </w:t>
      </w:r>
      <w:r w:rsidRPr="007C51D6">
        <w:rPr>
          <w:rFonts w:eastAsia="Arial"/>
          <w:sz w:val="28"/>
          <w:szCs w:val="28"/>
        </w:rPr>
        <w:t xml:space="preserve">(в 2020 </w:t>
      </w:r>
      <w:r w:rsidR="001A7420" w:rsidRPr="007C51D6">
        <w:rPr>
          <w:color w:val="000000"/>
          <w:sz w:val="26"/>
          <w:szCs w:val="26"/>
        </w:rPr>
        <w:t>–</w:t>
      </w:r>
      <w:r w:rsidR="001A7420" w:rsidRPr="007C51D6">
        <w:rPr>
          <w:rFonts w:eastAsia="Arial"/>
          <w:sz w:val="28"/>
          <w:szCs w:val="28"/>
        </w:rPr>
        <w:t xml:space="preserve"> </w:t>
      </w:r>
      <w:r w:rsidRPr="007C51D6">
        <w:rPr>
          <w:rFonts w:eastAsia="Arial"/>
          <w:sz w:val="28"/>
          <w:szCs w:val="28"/>
        </w:rPr>
        <w:t xml:space="preserve">2021 годах), </w:t>
      </w:r>
      <w:r w:rsidR="002B76AB" w:rsidRPr="007C51D6">
        <w:rPr>
          <w:rFonts w:eastAsia="Arial"/>
          <w:sz w:val="28"/>
          <w:szCs w:val="28"/>
        </w:rPr>
        <w:br/>
      </w:r>
      <w:r w:rsidRPr="007C51D6">
        <w:rPr>
          <w:rFonts w:eastAsia="Arial"/>
          <w:sz w:val="28"/>
          <w:szCs w:val="28"/>
        </w:rPr>
        <w:t>а также опасения большинства граждан обращаться в поликлиники из-за боязни заражения. Результатом стал</w:t>
      </w:r>
      <w:r w:rsidR="002B76AB" w:rsidRPr="007C51D6">
        <w:rPr>
          <w:rFonts w:eastAsia="Arial"/>
          <w:sz w:val="28"/>
          <w:szCs w:val="28"/>
        </w:rPr>
        <w:t>и</w:t>
      </w:r>
      <w:r w:rsidRPr="007C51D6">
        <w:rPr>
          <w:rFonts w:eastAsia="Arial"/>
          <w:sz w:val="28"/>
          <w:szCs w:val="28"/>
        </w:rPr>
        <w:t xml:space="preserve"> снижение диагностики ЗНО на ранних доклинических стадиях, диагностика ЗНО в последующие годы на более продвинутых стадиях заболевания. </w:t>
      </w:r>
    </w:p>
    <w:p w:rsidR="00B478CF" w:rsidRPr="007C51D6" w:rsidRDefault="00B478CF" w:rsidP="0017374F">
      <w:pPr>
        <w:autoSpaceDE/>
        <w:autoSpaceDN/>
        <w:adjustRightInd/>
        <w:ind w:firstLine="709"/>
        <w:jc w:val="both"/>
        <w:rPr>
          <w:rFonts w:eastAsia="Arial"/>
          <w:sz w:val="28"/>
          <w:szCs w:val="28"/>
        </w:rPr>
      </w:pPr>
      <w:r w:rsidRPr="007C51D6">
        <w:rPr>
          <w:rFonts w:eastAsia="Arial"/>
          <w:sz w:val="28"/>
          <w:szCs w:val="28"/>
        </w:rPr>
        <w:t xml:space="preserve">За </w:t>
      </w:r>
      <w:r w:rsidR="00D72909" w:rsidRPr="007C51D6">
        <w:rPr>
          <w:rFonts w:eastAsia="Arial"/>
          <w:sz w:val="28"/>
          <w:szCs w:val="28"/>
        </w:rPr>
        <w:t>9</w:t>
      </w:r>
      <w:r w:rsidR="002B76AB" w:rsidRPr="007C51D6">
        <w:rPr>
          <w:rFonts w:eastAsia="Arial"/>
          <w:sz w:val="28"/>
          <w:szCs w:val="28"/>
        </w:rPr>
        <w:t>-</w:t>
      </w:r>
      <w:r w:rsidRPr="007C51D6">
        <w:rPr>
          <w:rFonts w:eastAsia="Arial"/>
          <w:sz w:val="28"/>
          <w:szCs w:val="28"/>
        </w:rPr>
        <w:t>летний период (201</w:t>
      </w:r>
      <w:r w:rsidR="00D72909" w:rsidRPr="007C51D6">
        <w:rPr>
          <w:rFonts w:eastAsia="Arial"/>
          <w:sz w:val="28"/>
          <w:szCs w:val="28"/>
        </w:rPr>
        <w:t>6</w:t>
      </w:r>
      <w:r w:rsidRPr="007C51D6">
        <w:rPr>
          <w:rFonts w:eastAsia="Arial"/>
          <w:sz w:val="28"/>
          <w:szCs w:val="28"/>
        </w:rPr>
        <w:t xml:space="preserve"> – 2024 годы) темп прироста </w:t>
      </w:r>
      <w:r w:rsidR="002F7358" w:rsidRPr="007C51D6">
        <w:rPr>
          <w:rFonts w:eastAsia="Arial"/>
          <w:sz w:val="28"/>
          <w:szCs w:val="28"/>
        </w:rPr>
        <w:t>«</w:t>
      </w:r>
      <w:r w:rsidRPr="007C51D6">
        <w:rPr>
          <w:rFonts w:eastAsia="Arial"/>
          <w:sz w:val="28"/>
          <w:szCs w:val="28"/>
        </w:rPr>
        <w:t>грубого</w:t>
      </w:r>
      <w:r w:rsidR="002F7358" w:rsidRPr="007C51D6">
        <w:rPr>
          <w:rFonts w:eastAsia="Arial"/>
          <w:sz w:val="28"/>
          <w:szCs w:val="28"/>
        </w:rPr>
        <w:t>»</w:t>
      </w:r>
      <w:r w:rsidRPr="007C51D6">
        <w:rPr>
          <w:rFonts w:eastAsia="Arial"/>
          <w:sz w:val="28"/>
          <w:szCs w:val="28"/>
        </w:rPr>
        <w:t xml:space="preserve"> показателя смертности от ЗНО составил </w:t>
      </w:r>
      <w:r w:rsidR="007F3AFB" w:rsidRPr="007C51D6">
        <w:rPr>
          <w:rFonts w:eastAsia="Arial"/>
          <w:sz w:val="28"/>
          <w:szCs w:val="28"/>
        </w:rPr>
        <w:t>-</w:t>
      </w:r>
      <w:r w:rsidRPr="007C51D6">
        <w:rPr>
          <w:rFonts w:eastAsia="Arial"/>
          <w:sz w:val="28"/>
          <w:szCs w:val="28"/>
        </w:rPr>
        <w:t>9,</w:t>
      </w:r>
      <w:r w:rsidR="00D72909" w:rsidRPr="007C51D6">
        <w:rPr>
          <w:rFonts w:eastAsia="Arial"/>
          <w:sz w:val="28"/>
          <w:szCs w:val="28"/>
        </w:rPr>
        <w:t>2</w:t>
      </w:r>
      <w:r w:rsidRPr="007C51D6">
        <w:rPr>
          <w:rFonts w:eastAsia="Arial"/>
          <w:sz w:val="28"/>
          <w:szCs w:val="28"/>
        </w:rPr>
        <w:t xml:space="preserve"> процента (в 2024 году – 176,8; в 201</w:t>
      </w:r>
      <w:r w:rsidR="00D72909" w:rsidRPr="007C51D6">
        <w:rPr>
          <w:rFonts w:eastAsia="Arial"/>
          <w:sz w:val="28"/>
          <w:szCs w:val="28"/>
        </w:rPr>
        <w:t>6</w:t>
      </w:r>
      <w:r w:rsidRPr="007C51D6">
        <w:rPr>
          <w:rFonts w:eastAsia="Arial"/>
          <w:sz w:val="28"/>
          <w:szCs w:val="28"/>
        </w:rPr>
        <w:t xml:space="preserve"> году – 19</w:t>
      </w:r>
      <w:r w:rsidR="00C70C99" w:rsidRPr="007C51D6">
        <w:rPr>
          <w:rFonts w:eastAsia="Arial"/>
          <w:sz w:val="28"/>
          <w:szCs w:val="28"/>
        </w:rPr>
        <w:t>4</w:t>
      </w:r>
      <w:r w:rsidRPr="007C51D6">
        <w:rPr>
          <w:rFonts w:eastAsia="Arial"/>
          <w:sz w:val="28"/>
          <w:szCs w:val="28"/>
        </w:rPr>
        <w:t>,</w:t>
      </w:r>
      <w:r w:rsidR="00C70C99" w:rsidRPr="007C51D6">
        <w:rPr>
          <w:rFonts w:eastAsia="Arial"/>
          <w:sz w:val="28"/>
          <w:szCs w:val="28"/>
        </w:rPr>
        <w:t>7</w:t>
      </w:r>
      <w:r w:rsidRPr="007C51D6">
        <w:rPr>
          <w:rFonts w:eastAsia="Arial"/>
          <w:sz w:val="28"/>
          <w:szCs w:val="28"/>
        </w:rPr>
        <w:t xml:space="preserve"> случая на 100 тыс.населения), одновременно регистрируется убыль стандартизованного показателя смертности. </w:t>
      </w:r>
    </w:p>
    <w:p w:rsidR="00B478CF" w:rsidRPr="007C51D6" w:rsidRDefault="00B478CF" w:rsidP="0017374F">
      <w:pPr>
        <w:autoSpaceDE/>
        <w:autoSpaceDN/>
        <w:adjustRightInd/>
        <w:ind w:firstLine="709"/>
        <w:jc w:val="both"/>
        <w:rPr>
          <w:rFonts w:eastAsia="Arial"/>
          <w:sz w:val="28"/>
          <w:szCs w:val="28"/>
        </w:rPr>
      </w:pPr>
      <w:r w:rsidRPr="007C51D6">
        <w:rPr>
          <w:rFonts w:eastAsia="Arial"/>
          <w:sz w:val="28"/>
          <w:szCs w:val="28"/>
        </w:rPr>
        <w:t xml:space="preserve">При этом тенденция к убыли </w:t>
      </w:r>
      <w:r w:rsidR="002F7358" w:rsidRPr="007C51D6">
        <w:rPr>
          <w:rFonts w:eastAsia="Arial"/>
          <w:sz w:val="28"/>
          <w:szCs w:val="28"/>
        </w:rPr>
        <w:t>«</w:t>
      </w:r>
      <w:r w:rsidRPr="007C51D6">
        <w:rPr>
          <w:rFonts w:eastAsia="Arial"/>
          <w:sz w:val="28"/>
          <w:szCs w:val="28"/>
        </w:rPr>
        <w:t>грубого</w:t>
      </w:r>
      <w:r w:rsidR="002F7358" w:rsidRPr="007C51D6">
        <w:rPr>
          <w:rFonts w:eastAsia="Arial"/>
          <w:sz w:val="28"/>
          <w:szCs w:val="28"/>
        </w:rPr>
        <w:t>»</w:t>
      </w:r>
      <w:r w:rsidRPr="007C51D6">
        <w:rPr>
          <w:rFonts w:eastAsia="Arial"/>
          <w:sz w:val="28"/>
          <w:szCs w:val="28"/>
        </w:rPr>
        <w:t xml:space="preserve"> и стандартизованного показателей смертности от ЗНО регистрируется как среди мужского, так и среди женского населения</w:t>
      </w:r>
      <w:r w:rsidR="00CC04B7" w:rsidRPr="007C51D6">
        <w:rPr>
          <w:rFonts w:eastAsia="Arial"/>
          <w:sz w:val="28"/>
          <w:szCs w:val="28"/>
        </w:rPr>
        <w:t xml:space="preserve"> (таблица 9)</w:t>
      </w:r>
      <w:r w:rsidRPr="007C51D6">
        <w:rPr>
          <w:rFonts w:eastAsia="Arial"/>
          <w:sz w:val="28"/>
          <w:szCs w:val="28"/>
        </w:rPr>
        <w:t xml:space="preserve">. </w:t>
      </w:r>
    </w:p>
    <w:p w:rsidR="0017374F" w:rsidRPr="007C51D6" w:rsidRDefault="0017374F" w:rsidP="0017374F">
      <w:pPr>
        <w:autoSpaceDE/>
        <w:autoSpaceDN/>
        <w:adjustRightInd/>
        <w:ind w:firstLine="709"/>
        <w:jc w:val="both"/>
        <w:rPr>
          <w:rFonts w:eastAsia="Arial"/>
          <w:sz w:val="28"/>
          <w:szCs w:val="28"/>
        </w:rPr>
      </w:pPr>
    </w:p>
    <w:p w:rsidR="00E031AA" w:rsidRPr="007C51D6" w:rsidRDefault="00E031AA" w:rsidP="00350DE8">
      <w:pPr>
        <w:autoSpaceDE/>
        <w:autoSpaceDN/>
        <w:adjustRightInd/>
        <w:ind w:left="7791"/>
        <w:jc w:val="right"/>
        <w:rPr>
          <w:rFonts w:eastAsia="Arial"/>
          <w:sz w:val="28"/>
          <w:szCs w:val="28"/>
        </w:rPr>
      </w:pPr>
      <w:r w:rsidRPr="007C51D6">
        <w:rPr>
          <w:rFonts w:eastAsia="Arial"/>
          <w:sz w:val="28"/>
          <w:szCs w:val="28"/>
        </w:rPr>
        <w:t xml:space="preserve">Таблица </w:t>
      </w:r>
      <w:r w:rsidR="002B1D7A" w:rsidRPr="007C51D6">
        <w:rPr>
          <w:rFonts w:eastAsia="Arial"/>
          <w:sz w:val="28"/>
          <w:szCs w:val="28"/>
        </w:rPr>
        <w:t>1</w:t>
      </w:r>
      <w:r w:rsidR="00EC39C5" w:rsidRPr="007C51D6">
        <w:rPr>
          <w:rFonts w:eastAsia="Arial"/>
          <w:sz w:val="28"/>
          <w:szCs w:val="28"/>
        </w:rPr>
        <w:t>0</w:t>
      </w:r>
    </w:p>
    <w:p w:rsidR="0042481B" w:rsidRPr="007C51D6" w:rsidRDefault="0042481B" w:rsidP="00350DE8">
      <w:pPr>
        <w:autoSpaceDE/>
        <w:autoSpaceDN/>
        <w:adjustRightInd/>
        <w:rPr>
          <w:rFonts w:eastAsia="Arial"/>
          <w:sz w:val="28"/>
          <w:szCs w:val="28"/>
        </w:rPr>
      </w:pPr>
    </w:p>
    <w:p w:rsidR="00E031AA" w:rsidRPr="007C51D6" w:rsidRDefault="00E031AA" w:rsidP="00350DE8">
      <w:pPr>
        <w:autoSpaceDE/>
        <w:autoSpaceDN/>
        <w:adjustRightInd/>
        <w:jc w:val="center"/>
        <w:rPr>
          <w:rFonts w:eastAsia="Arial"/>
          <w:sz w:val="28"/>
          <w:szCs w:val="28"/>
        </w:rPr>
      </w:pPr>
      <w:r w:rsidRPr="007C51D6">
        <w:rPr>
          <w:rFonts w:eastAsia="Arial"/>
          <w:sz w:val="28"/>
          <w:szCs w:val="28"/>
        </w:rPr>
        <w:t xml:space="preserve">Динамика показателя смертности от </w:t>
      </w:r>
      <w:r w:rsidR="001D37B3" w:rsidRPr="007C51D6">
        <w:rPr>
          <w:rFonts w:eastAsia="Arial"/>
          <w:sz w:val="28"/>
          <w:szCs w:val="28"/>
        </w:rPr>
        <w:t>ЗНО</w:t>
      </w:r>
      <w:r w:rsidRPr="007C51D6">
        <w:rPr>
          <w:rFonts w:eastAsia="Arial"/>
          <w:sz w:val="28"/>
          <w:szCs w:val="28"/>
        </w:rPr>
        <w:t xml:space="preserve"> в муниципальных образованиях </w:t>
      </w:r>
    </w:p>
    <w:p w:rsidR="00E031AA" w:rsidRPr="007C51D6" w:rsidRDefault="00E031AA" w:rsidP="00350DE8">
      <w:pPr>
        <w:autoSpaceDE/>
        <w:autoSpaceDN/>
        <w:adjustRightInd/>
        <w:jc w:val="center"/>
        <w:rPr>
          <w:rFonts w:eastAsia="Arial"/>
          <w:sz w:val="28"/>
          <w:szCs w:val="28"/>
        </w:rPr>
      </w:pPr>
      <w:r w:rsidRPr="007C51D6">
        <w:rPr>
          <w:rFonts w:eastAsia="Arial"/>
          <w:sz w:val="28"/>
          <w:szCs w:val="28"/>
        </w:rPr>
        <w:t>Республики Татарстан в 201</w:t>
      </w:r>
      <w:r w:rsidR="008F0843" w:rsidRPr="007C51D6">
        <w:rPr>
          <w:rFonts w:eastAsia="Arial"/>
          <w:sz w:val="28"/>
          <w:szCs w:val="28"/>
        </w:rPr>
        <w:t>6</w:t>
      </w:r>
      <w:r w:rsidRPr="007C51D6">
        <w:rPr>
          <w:rFonts w:eastAsia="Arial"/>
          <w:sz w:val="28"/>
          <w:szCs w:val="28"/>
        </w:rPr>
        <w:t xml:space="preserve"> – 202</w:t>
      </w:r>
      <w:r w:rsidR="008F0843" w:rsidRPr="007C51D6">
        <w:rPr>
          <w:rFonts w:eastAsia="Arial"/>
          <w:sz w:val="28"/>
          <w:szCs w:val="28"/>
        </w:rPr>
        <w:t>5</w:t>
      </w:r>
      <w:r w:rsidRPr="007C51D6">
        <w:rPr>
          <w:rFonts w:eastAsia="Arial"/>
          <w:sz w:val="28"/>
          <w:szCs w:val="28"/>
        </w:rPr>
        <w:t xml:space="preserve"> годах</w:t>
      </w:r>
      <w:r w:rsidR="004169FC" w:rsidRPr="007C51D6">
        <w:rPr>
          <w:rFonts w:eastAsia="Arial"/>
          <w:sz w:val="28"/>
          <w:szCs w:val="28"/>
        </w:rPr>
        <w:t xml:space="preserve"> </w:t>
      </w:r>
      <w:r w:rsidRPr="007C51D6">
        <w:rPr>
          <w:rFonts w:eastAsia="Arial"/>
          <w:sz w:val="28"/>
          <w:szCs w:val="28"/>
        </w:rPr>
        <w:t>(</w:t>
      </w:r>
      <w:r w:rsidR="007F3AFB" w:rsidRPr="007C51D6">
        <w:rPr>
          <w:rFonts w:eastAsia="Arial"/>
          <w:sz w:val="28"/>
          <w:szCs w:val="28"/>
        </w:rPr>
        <w:t>«</w:t>
      </w:r>
      <w:r w:rsidRPr="007C51D6">
        <w:rPr>
          <w:rFonts w:eastAsia="Arial"/>
          <w:sz w:val="28"/>
          <w:szCs w:val="28"/>
        </w:rPr>
        <w:t>грубый</w:t>
      </w:r>
      <w:r w:rsidR="007F3AFB" w:rsidRPr="007C51D6">
        <w:rPr>
          <w:rFonts w:eastAsia="Arial"/>
          <w:sz w:val="28"/>
          <w:szCs w:val="28"/>
        </w:rPr>
        <w:t>»</w:t>
      </w:r>
      <w:r w:rsidRPr="007C51D6">
        <w:rPr>
          <w:rFonts w:eastAsia="Arial"/>
          <w:sz w:val="28"/>
          <w:szCs w:val="28"/>
        </w:rPr>
        <w:t xml:space="preserve"> показатель)</w:t>
      </w:r>
    </w:p>
    <w:p w:rsidR="00697370" w:rsidRPr="007C51D6" w:rsidRDefault="00697370" w:rsidP="00350DE8">
      <w:pPr>
        <w:autoSpaceDE/>
        <w:autoSpaceDN/>
        <w:adjustRightInd/>
        <w:rPr>
          <w:rFonts w:eastAsia="Arial"/>
          <w:szCs w:val="20"/>
        </w:rPr>
      </w:pPr>
    </w:p>
    <w:p w:rsidR="002B76AB" w:rsidRDefault="002B76AB" w:rsidP="002B76AB">
      <w:pPr>
        <w:autoSpaceDE/>
        <w:autoSpaceDN/>
        <w:adjustRightInd/>
        <w:jc w:val="right"/>
        <w:rPr>
          <w:rFonts w:eastAsia="Arial"/>
          <w:sz w:val="20"/>
          <w:szCs w:val="20"/>
        </w:rPr>
      </w:pPr>
      <w:r w:rsidRPr="007C51D6">
        <w:rPr>
          <w:rFonts w:eastAsia="Arial"/>
          <w:sz w:val="20"/>
          <w:szCs w:val="20"/>
        </w:rPr>
        <w:t>(случаев на 100 тыс.населения)</w:t>
      </w:r>
    </w:p>
    <w:tbl>
      <w:tblPr>
        <w:tblW w:w="15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1012"/>
        <w:gridCol w:w="1115"/>
        <w:gridCol w:w="1012"/>
        <w:gridCol w:w="1011"/>
        <w:gridCol w:w="1012"/>
        <w:gridCol w:w="1012"/>
        <w:gridCol w:w="1109"/>
        <w:gridCol w:w="1103"/>
        <w:gridCol w:w="1103"/>
        <w:gridCol w:w="1103"/>
      </w:tblGrid>
      <w:tr w:rsidR="009B1B44" w:rsidRPr="007C51D6" w:rsidTr="009B1B44">
        <w:trPr>
          <w:trHeight w:val="20"/>
        </w:trPr>
        <w:tc>
          <w:tcPr>
            <w:tcW w:w="4531" w:type="dxa"/>
            <w:shd w:val="clear" w:color="auto" w:fill="auto"/>
          </w:tcPr>
          <w:p w:rsidR="009B1B44" w:rsidRPr="007C51D6" w:rsidRDefault="009B1B44" w:rsidP="00DC67CB">
            <w:pPr>
              <w:autoSpaceDE/>
              <w:autoSpaceDN/>
              <w:adjustRightInd/>
              <w:jc w:val="center"/>
              <w:rPr>
                <w:color w:val="000000"/>
                <w:sz w:val="20"/>
                <w:szCs w:val="20"/>
              </w:rPr>
            </w:pPr>
            <w:r w:rsidRPr="007C51D6">
              <w:rPr>
                <w:color w:val="000000"/>
                <w:sz w:val="20"/>
                <w:szCs w:val="20"/>
              </w:rPr>
              <w:lastRenderedPageBreak/>
              <w:t xml:space="preserve">Наименование муниципальных районов </w:t>
            </w:r>
          </w:p>
          <w:p w:rsidR="009B1B44" w:rsidRPr="007C51D6" w:rsidRDefault="009B1B44" w:rsidP="00DC67CB">
            <w:pPr>
              <w:autoSpaceDE/>
              <w:autoSpaceDN/>
              <w:adjustRightInd/>
              <w:jc w:val="center"/>
              <w:rPr>
                <w:color w:val="000000"/>
                <w:sz w:val="20"/>
                <w:szCs w:val="20"/>
              </w:rPr>
            </w:pPr>
            <w:r w:rsidRPr="007C51D6">
              <w:rPr>
                <w:color w:val="000000"/>
                <w:sz w:val="20"/>
                <w:szCs w:val="20"/>
              </w:rPr>
              <w:t>и городских округов</w:t>
            </w:r>
          </w:p>
        </w:tc>
        <w:tc>
          <w:tcPr>
            <w:tcW w:w="1012" w:type="dxa"/>
            <w:shd w:val="clear" w:color="auto" w:fill="auto"/>
          </w:tcPr>
          <w:p w:rsidR="009B1B44" w:rsidRPr="007C51D6" w:rsidRDefault="009B1B44" w:rsidP="00DC67CB">
            <w:pPr>
              <w:autoSpaceDE/>
              <w:autoSpaceDN/>
              <w:adjustRightInd/>
              <w:jc w:val="center"/>
              <w:rPr>
                <w:color w:val="000000"/>
                <w:sz w:val="20"/>
                <w:szCs w:val="20"/>
              </w:rPr>
            </w:pPr>
            <w:r w:rsidRPr="007C51D6">
              <w:rPr>
                <w:rFonts w:eastAsia="Arial"/>
                <w:sz w:val="20"/>
                <w:szCs w:val="22"/>
              </w:rPr>
              <w:t>2016 г.</w:t>
            </w:r>
          </w:p>
        </w:tc>
        <w:tc>
          <w:tcPr>
            <w:tcW w:w="1115" w:type="dxa"/>
            <w:shd w:val="clear" w:color="auto" w:fill="auto"/>
          </w:tcPr>
          <w:p w:rsidR="009B1B44" w:rsidRPr="007C51D6" w:rsidRDefault="009B1B44" w:rsidP="00DC67CB">
            <w:pPr>
              <w:autoSpaceDE/>
              <w:autoSpaceDN/>
              <w:adjustRightInd/>
              <w:jc w:val="center"/>
              <w:rPr>
                <w:color w:val="000000"/>
                <w:sz w:val="20"/>
                <w:szCs w:val="20"/>
              </w:rPr>
            </w:pPr>
            <w:r w:rsidRPr="007C51D6">
              <w:rPr>
                <w:rFonts w:eastAsia="Arial"/>
                <w:sz w:val="20"/>
                <w:szCs w:val="22"/>
              </w:rPr>
              <w:t>2017 г.</w:t>
            </w:r>
          </w:p>
        </w:tc>
        <w:tc>
          <w:tcPr>
            <w:tcW w:w="1012" w:type="dxa"/>
            <w:shd w:val="clear" w:color="auto" w:fill="auto"/>
          </w:tcPr>
          <w:p w:rsidR="009B1B44" w:rsidRPr="007C51D6" w:rsidRDefault="009B1B44" w:rsidP="00DC67CB">
            <w:pPr>
              <w:autoSpaceDE/>
              <w:autoSpaceDN/>
              <w:adjustRightInd/>
              <w:jc w:val="center"/>
              <w:rPr>
                <w:color w:val="000000"/>
                <w:sz w:val="20"/>
                <w:szCs w:val="20"/>
              </w:rPr>
            </w:pPr>
            <w:r w:rsidRPr="007C51D6">
              <w:rPr>
                <w:rFonts w:eastAsia="Arial"/>
                <w:sz w:val="20"/>
                <w:szCs w:val="22"/>
              </w:rPr>
              <w:t>2018 г.</w:t>
            </w:r>
          </w:p>
        </w:tc>
        <w:tc>
          <w:tcPr>
            <w:tcW w:w="1011" w:type="dxa"/>
            <w:shd w:val="clear" w:color="auto" w:fill="auto"/>
          </w:tcPr>
          <w:p w:rsidR="009B1B44" w:rsidRPr="007C51D6" w:rsidRDefault="009B1B44" w:rsidP="00DC67CB">
            <w:pPr>
              <w:autoSpaceDE/>
              <w:autoSpaceDN/>
              <w:adjustRightInd/>
              <w:jc w:val="center"/>
              <w:rPr>
                <w:color w:val="000000"/>
                <w:sz w:val="20"/>
                <w:szCs w:val="20"/>
              </w:rPr>
            </w:pPr>
            <w:r w:rsidRPr="007C51D6">
              <w:rPr>
                <w:rFonts w:eastAsia="Arial"/>
                <w:sz w:val="20"/>
                <w:szCs w:val="22"/>
              </w:rPr>
              <w:t>2019 г.</w:t>
            </w:r>
          </w:p>
        </w:tc>
        <w:tc>
          <w:tcPr>
            <w:tcW w:w="1012" w:type="dxa"/>
            <w:shd w:val="clear" w:color="auto" w:fill="auto"/>
          </w:tcPr>
          <w:p w:rsidR="009B1B44" w:rsidRPr="007C51D6" w:rsidRDefault="009B1B44" w:rsidP="00DC67CB">
            <w:pPr>
              <w:autoSpaceDE/>
              <w:autoSpaceDN/>
              <w:adjustRightInd/>
              <w:jc w:val="center"/>
              <w:rPr>
                <w:color w:val="000000"/>
                <w:sz w:val="20"/>
                <w:szCs w:val="20"/>
              </w:rPr>
            </w:pPr>
            <w:r w:rsidRPr="007C51D6">
              <w:rPr>
                <w:rFonts w:eastAsia="Arial"/>
                <w:sz w:val="20"/>
                <w:szCs w:val="22"/>
              </w:rPr>
              <w:t>2020 г.</w:t>
            </w:r>
          </w:p>
        </w:tc>
        <w:tc>
          <w:tcPr>
            <w:tcW w:w="1012" w:type="dxa"/>
          </w:tcPr>
          <w:p w:rsidR="009B1B44" w:rsidRPr="007C51D6" w:rsidRDefault="009B1B44" w:rsidP="00DC67CB">
            <w:pPr>
              <w:autoSpaceDE/>
              <w:autoSpaceDN/>
              <w:adjustRightInd/>
              <w:jc w:val="center"/>
              <w:rPr>
                <w:color w:val="000000"/>
                <w:sz w:val="20"/>
                <w:szCs w:val="20"/>
              </w:rPr>
            </w:pPr>
            <w:r w:rsidRPr="007C51D6">
              <w:rPr>
                <w:rFonts w:eastAsia="Arial"/>
                <w:sz w:val="20"/>
                <w:szCs w:val="22"/>
              </w:rPr>
              <w:t>2021 г.</w:t>
            </w:r>
          </w:p>
        </w:tc>
        <w:tc>
          <w:tcPr>
            <w:tcW w:w="1109" w:type="dxa"/>
          </w:tcPr>
          <w:p w:rsidR="009B1B44" w:rsidRPr="007C51D6" w:rsidRDefault="009B1B44" w:rsidP="00DC67CB">
            <w:pPr>
              <w:autoSpaceDE/>
              <w:autoSpaceDN/>
              <w:adjustRightInd/>
              <w:jc w:val="center"/>
              <w:rPr>
                <w:color w:val="000000"/>
                <w:sz w:val="20"/>
                <w:szCs w:val="20"/>
              </w:rPr>
            </w:pPr>
            <w:r w:rsidRPr="007C51D6">
              <w:rPr>
                <w:rFonts w:eastAsia="Arial"/>
                <w:sz w:val="20"/>
                <w:szCs w:val="22"/>
              </w:rPr>
              <w:t>2022 г.</w:t>
            </w:r>
          </w:p>
        </w:tc>
        <w:tc>
          <w:tcPr>
            <w:tcW w:w="1103" w:type="dxa"/>
          </w:tcPr>
          <w:p w:rsidR="009B1B44" w:rsidRPr="007C51D6" w:rsidRDefault="009B1B44" w:rsidP="00DC67CB">
            <w:pPr>
              <w:autoSpaceDE/>
              <w:autoSpaceDN/>
              <w:adjustRightInd/>
              <w:jc w:val="center"/>
              <w:rPr>
                <w:rFonts w:eastAsia="Arial"/>
                <w:sz w:val="20"/>
                <w:szCs w:val="22"/>
              </w:rPr>
            </w:pPr>
            <w:r w:rsidRPr="007C51D6">
              <w:rPr>
                <w:rFonts w:eastAsia="Arial"/>
                <w:sz w:val="20"/>
                <w:szCs w:val="22"/>
              </w:rPr>
              <w:t>2023 г.</w:t>
            </w:r>
          </w:p>
        </w:tc>
        <w:tc>
          <w:tcPr>
            <w:tcW w:w="1103" w:type="dxa"/>
          </w:tcPr>
          <w:p w:rsidR="009B1B44" w:rsidRPr="007C51D6" w:rsidRDefault="009B1B44" w:rsidP="00DC67CB">
            <w:pPr>
              <w:autoSpaceDE/>
              <w:autoSpaceDN/>
              <w:adjustRightInd/>
              <w:jc w:val="center"/>
              <w:rPr>
                <w:rFonts w:eastAsia="Arial"/>
                <w:sz w:val="20"/>
                <w:szCs w:val="22"/>
              </w:rPr>
            </w:pPr>
            <w:r w:rsidRPr="007C51D6">
              <w:rPr>
                <w:rFonts w:eastAsia="Arial"/>
                <w:sz w:val="20"/>
                <w:szCs w:val="22"/>
              </w:rPr>
              <w:t>2024 г.</w:t>
            </w:r>
          </w:p>
        </w:tc>
        <w:tc>
          <w:tcPr>
            <w:tcW w:w="1103" w:type="dxa"/>
          </w:tcPr>
          <w:p w:rsidR="009B1B44" w:rsidRPr="007C51D6" w:rsidRDefault="009B1B44" w:rsidP="00DC67CB">
            <w:pPr>
              <w:autoSpaceDE/>
              <w:autoSpaceDN/>
              <w:adjustRightInd/>
              <w:jc w:val="center"/>
              <w:rPr>
                <w:rFonts w:eastAsia="Arial"/>
                <w:sz w:val="20"/>
                <w:szCs w:val="22"/>
              </w:rPr>
            </w:pPr>
            <w:r w:rsidRPr="007C51D6">
              <w:rPr>
                <w:rFonts w:eastAsia="Arial"/>
                <w:sz w:val="20"/>
                <w:szCs w:val="22"/>
              </w:rPr>
              <w:t>2025 г.</w:t>
            </w:r>
          </w:p>
        </w:tc>
      </w:tr>
    </w:tbl>
    <w:p w:rsidR="009B1B44" w:rsidRDefault="009B1B44" w:rsidP="009B1B44">
      <w:pPr>
        <w:autoSpaceDE/>
        <w:autoSpaceDN/>
        <w:adjustRightInd/>
        <w:spacing w:line="24" w:lineRule="auto"/>
        <w:rPr>
          <w:rFonts w:eastAsia="Arial"/>
          <w:sz w:val="20"/>
          <w:szCs w:val="20"/>
        </w:rPr>
      </w:pPr>
    </w:p>
    <w:p w:rsidR="009B1B44" w:rsidRPr="007C51D6" w:rsidRDefault="009B1B44" w:rsidP="009B1B44">
      <w:pPr>
        <w:autoSpaceDE/>
        <w:autoSpaceDN/>
        <w:adjustRightInd/>
        <w:spacing w:line="48" w:lineRule="auto"/>
        <w:jc w:val="right"/>
        <w:rPr>
          <w:rFonts w:eastAsia="Arial"/>
          <w:sz w:val="20"/>
          <w:szCs w:val="20"/>
        </w:rPr>
      </w:pPr>
    </w:p>
    <w:tbl>
      <w:tblPr>
        <w:tblW w:w="15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1012"/>
        <w:gridCol w:w="1115"/>
        <w:gridCol w:w="1012"/>
        <w:gridCol w:w="1011"/>
        <w:gridCol w:w="1012"/>
        <w:gridCol w:w="1012"/>
        <w:gridCol w:w="1109"/>
        <w:gridCol w:w="1103"/>
        <w:gridCol w:w="1103"/>
        <w:gridCol w:w="1103"/>
      </w:tblGrid>
      <w:tr w:rsidR="008F0843" w:rsidRPr="007C51D6" w:rsidTr="004472F9">
        <w:trPr>
          <w:trHeight w:val="20"/>
          <w:tblHeader/>
        </w:trPr>
        <w:tc>
          <w:tcPr>
            <w:tcW w:w="4531" w:type="dxa"/>
            <w:shd w:val="clear" w:color="auto" w:fill="auto"/>
          </w:tcPr>
          <w:p w:rsidR="008F0843" w:rsidRPr="007C51D6" w:rsidRDefault="008F0843" w:rsidP="008F0843">
            <w:pPr>
              <w:autoSpaceDE/>
              <w:autoSpaceDN/>
              <w:adjustRightInd/>
              <w:jc w:val="center"/>
              <w:rPr>
                <w:color w:val="000000"/>
                <w:sz w:val="20"/>
                <w:szCs w:val="20"/>
              </w:rPr>
            </w:pPr>
            <w:r w:rsidRPr="007C51D6">
              <w:rPr>
                <w:color w:val="000000"/>
                <w:sz w:val="20"/>
                <w:szCs w:val="20"/>
              </w:rPr>
              <w:t>1</w:t>
            </w:r>
          </w:p>
        </w:tc>
        <w:tc>
          <w:tcPr>
            <w:tcW w:w="1012" w:type="dxa"/>
            <w:shd w:val="clear" w:color="auto" w:fill="auto"/>
          </w:tcPr>
          <w:p w:rsidR="008F0843" w:rsidRPr="007C51D6" w:rsidRDefault="00827D9B" w:rsidP="00827D9B">
            <w:pPr>
              <w:autoSpaceDE/>
              <w:autoSpaceDN/>
              <w:adjustRightInd/>
              <w:jc w:val="center"/>
              <w:rPr>
                <w:color w:val="000000"/>
                <w:sz w:val="20"/>
                <w:szCs w:val="20"/>
              </w:rPr>
            </w:pPr>
            <w:r w:rsidRPr="007C51D6">
              <w:rPr>
                <w:color w:val="000000"/>
                <w:sz w:val="20"/>
                <w:szCs w:val="20"/>
              </w:rPr>
              <w:t>2</w:t>
            </w:r>
          </w:p>
        </w:tc>
        <w:tc>
          <w:tcPr>
            <w:tcW w:w="1115" w:type="dxa"/>
            <w:shd w:val="clear" w:color="auto" w:fill="auto"/>
          </w:tcPr>
          <w:p w:rsidR="008F0843" w:rsidRPr="007C51D6" w:rsidRDefault="00827D9B" w:rsidP="00827D9B">
            <w:pPr>
              <w:autoSpaceDE/>
              <w:autoSpaceDN/>
              <w:adjustRightInd/>
              <w:jc w:val="center"/>
              <w:rPr>
                <w:color w:val="000000"/>
                <w:sz w:val="20"/>
                <w:szCs w:val="20"/>
              </w:rPr>
            </w:pPr>
            <w:r w:rsidRPr="007C51D6">
              <w:rPr>
                <w:color w:val="000000"/>
                <w:sz w:val="20"/>
                <w:szCs w:val="20"/>
              </w:rPr>
              <w:t>3</w:t>
            </w:r>
          </w:p>
        </w:tc>
        <w:tc>
          <w:tcPr>
            <w:tcW w:w="1012" w:type="dxa"/>
            <w:shd w:val="clear" w:color="auto" w:fill="auto"/>
          </w:tcPr>
          <w:p w:rsidR="008F0843" w:rsidRPr="007C51D6" w:rsidRDefault="00827D9B" w:rsidP="00827D9B">
            <w:pPr>
              <w:autoSpaceDE/>
              <w:autoSpaceDN/>
              <w:adjustRightInd/>
              <w:jc w:val="center"/>
              <w:rPr>
                <w:color w:val="000000"/>
                <w:sz w:val="20"/>
                <w:szCs w:val="20"/>
              </w:rPr>
            </w:pPr>
            <w:r w:rsidRPr="007C51D6">
              <w:rPr>
                <w:color w:val="000000"/>
                <w:sz w:val="20"/>
                <w:szCs w:val="20"/>
              </w:rPr>
              <w:t>4</w:t>
            </w:r>
          </w:p>
        </w:tc>
        <w:tc>
          <w:tcPr>
            <w:tcW w:w="1011" w:type="dxa"/>
            <w:shd w:val="clear" w:color="auto" w:fill="auto"/>
          </w:tcPr>
          <w:p w:rsidR="008F0843" w:rsidRPr="007C51D6" w:rsidRDefault="00827D9B" w:rsidP="00827D9B">
            <w:pPr>
              <w:autoSpaceDE/>
              <w:autoSpaceDN/>
              <w:adjustRightInd/>
              <w:jc w:val="center"/>
              <w:rPr>
                <w:color w:val="000000"/>
                <w:sz w:val="20"/>
                <w:szCs w:val="20"/>
              </w:rPr>
            </w:pPr>
            <w:r w:rsidRPr="007C51D6">
              <w:rPr>
                <w:color w:val="000000"/>
                <w:sz w:val="20"/>
                <w:szCs w:val="20"/>
              </w:rPr>
              <w:t>5</w:t>
            </w:r>
          </w:p>
        </w:tc>
        <w:tc>
          <w:tcPr>
            <w:tcW w:w="1012" w:type="dxa"/>
            <w:shd w:val="clear" w:color="auto" w:fill="auto"/>
          </w:tcPr>
          <w:p w:rsidR="008F0843" w:rsidRPr="007C51D6" w:rsidRDefault="00827D9B" w:rsidP="00827D9B">
            <w:pPr>
              <w:autoSpaceDE/>
              <w:autoSpaceDN/>
              <w:adjustRightInd/>
              <w:jc w:val="center"/>
              <w:rPr>
                <w:color w:val="000000"/>
                <w:sz w:val="20"/>
                <w:szCs w:val="20"/>
              </w:rPr>
            </w:pPr>
            <w:r w:rsidRPr="007C51D6">
              <w:rPr>
                <w:color w:val="000000"/>
                <w:sz w:val="20"/>
                <w:szCs w:val="20"/>
              </w:rPr>
              <w:t>6</w:t>
            </w:r>
          </w:p>
        </w:tc>
        <w:tc>
          <w:tcPr>
            <w:tcW w:w="1012" w:type="dxa"/>
          </w:tcPr>
          <w:p w:rsidR="008F0843" w:rsidRPr="007C51D6" w:rsidRDefault="00827D9B" w:rsidP="00827D9B">
            <w:pPr>
              <w:autoSpaceDE/>
              <w:autoSpaceDN/>
              <w:adjustRightInd/>
              <w:jc w:val="center"/>
              <w:rPr>
                <w:color w:val="000000"/>
                <w:sz w:val="20"/>
                <w:szCs w:val="20"/>
              </w:rPr>
            </w:pPr>
            <w:r w:rsidRPr="007C51D6">
              <w:rPr>
                <w:color w:val="000000"/>
                <w:sz w:val="20"/>
                <w:szCs w:val="20"/>
              </w:rPr>
              <w:t>7</w:t>
            </w:r>
          </w:p>
        </w:tc>
        <w:tc>
          <w:tcPr>
            <w:tcW w:w="1109" w:type="dxa"/>
          </w:tcPr>
          <w:p w:rsidR="008F0843" w:rsidRPr="007C51D6" w:rsidRDefault="00827D9B" w:rsidP="00827D9B">
            <w:pPr>
              <w:autoSpaceDE/>
              <w:autoSpaceDN/>
              <w:adjustRightInd/>
              <w:jc w:val="center"/>
              <w:rPr>
                <w:color w:val="000000"/>
                <w:sz w:val="20"/>
                <w:szCs w:val="22"/>
              </w:rPr>
            </w:pPr>
            <w:r w:rsidRPr="007C51D6">
              <w:rPr>
                <w:color w:val="000000"/>
                <w:sz w:val="20"/>
                <w:szCs w:val="22"/>
              </w:rPr>
              <w:t>8</w:t>
            </w:r>
          </w:p>
        </w:tc>
        <w:tc>
          <w:tcPr>
            <w:tcW w:w="1103" w:type="dxa"/>
          </w:tcPr>
          <w:p w:rsidR="008F0843" w:rsidRPr="007C51D6" w:rsidRDefault="00827D9B" w:rsidP="00827D9B">
            <w:pPr>
              <w:autoSpaceDE/>
              <w:autoSpaceDN/>
              <w:adjustRightInd/>
              <w:jc w:val="center"/>
              <w:rPr>
                <w:color w:val="000000"/>
                <w:sz w:val="20"/>
                <w:szCs w:val="20"/>
              </w:rPr>
            </w:pPr>
            <w:r w:rsidRPr="007C51D6">
              <w:rPr>
                <w:color w:val="000000"/>
                <w:sz w:val="20"/>
                <w:szCs w:val="20"/>
              </w:rPr>
              <w:t>9</w:t>
            </w:r>
          </w:p>
        </w:tc>
        <w:tc>
          <w:tcPr>
            <w:tcW w:w="1103" w:type="dxa"/>
          </w:tcPr>
          <w:p w:rsidR="008F0843" w:rsidRPr="007C51D6" w:rsidRDefault="008F0843" w:rsidP="00827D9B">
            <w:pPr>
              <w:autoSpaceDE/>
              <w:autoSpaceDN/>
              <w:adjustRightInd/>
              <w:jc w:val="center"/>
              <w:rPr>
                <w:color w:val="000000"/>
                <w:sz w:val="20"/>
                <w:szCs w:val="20"/>
              </w:rPr>
            </w:pPr>
            <w:r w:rsidRPr="007C51D6">
              <w:rPr>
                <w:color w:val="000000"/>
                <w:sz w:val="20"/>
                <w:szCs w:val="20"/>
              </w:rPr>
              <w:t>1</w:t>
            </w:r>
            <w:r w:rsidR="00827D9B" w:rsidRPr="007C51D6">
              <w:rPr>
                <w:color w:val="000000"/>
                <w:sz w:val="20"/>
                <w:szCs w:val="20"/>
              </w:rPr>
              <w:t>0</w:t>
            </w:r>
          </w:p>
        </w:tc>
        <w:tc>
          <w:tcPr>
            <w:tcW w:w="1103" w:type="dxa"/>
          </w:tcPr>
          <w:p w:rsidR="008F0843" w:rsidRPr="007C51D6" w:rsidRDefault="00827D9B" w:rsidP="008F0843">
            <w:pPr>
              <w:autoSpaceDE/>
              <w:autoSpaceDN/>
              <w:adjustRightInd/>
              <w:jc w:val="center"/>
              <w:rPr>
                <w:color w:val="000000"/>
                <w:sz w:val="20"/>
                <w:szCs w:val="20"/>
              </w:rPr>
            </w:pPr>
            <w:r w:rsidRPr="007C51D6">
              <w:rPr>
                <w:color w:val="000000"/>
                <w:sz w:val="20"/>
                <w:szCs w:val="20"/>
              </w:rPr>
              <w:t>11</w:t>
            </w:r>
          </w:p>
        </w:tc>
      </w:tr>
      <w:tr w:rsidR="008F0843" w:rsidRPr="007C51D6" w:rsidTr="004472F9">
        <w:trPr>
          <w:trHeight w:val="20"/>
        </w:trPr>
        <w:tc>
          <w:tcPr>
            <w:tcW w:w="4531" w:type="dxa"/>
            <w:shd w:val="clear" w:color="auto" w:fill="auto"/>
            <w:hideMark/>
          </w:tcPr>
          <w:p w:rsidR="008F0843" w:rsidRPr="007C51D6" w:rsidRDefault="008F0843" w:rsidP="008F0843">
            <w:pPr>
              <w:autoSpaceDE/>
              <w:autoSpaceDN/>
              <w:adjustRightInd/>
              <w:rPr>
                <w:color w:val="000000"/>
                <w:sz w:val="20"/>
                <w:szCs w:val="20"/>
              </w:rPr>
            </w:pPr>
            <w:r w:rsidRPr="007C51D6">
              <w:rPr>
                <w:color w:val="000000"/>
                <w:sz w:val="20"/>
                <w:szCs w:val="20"/>
              </w:rPr>
              <w:t>Республика Татарстан</w:t>
            </w:r>
          </w:p>
        </w:tc>
        <w:tc>
          <w:tcPr>
            <w:tcW w:w="1012" w:type="dxa"/>
            <w:shd w:val="clear" w:color="auto" w:fill="auto"/>
            <w:hideMark/>
          </w:tcPr>
          <w:p w:rsidR="008F0843" w:rsidRPr="007C51D6" w:rsidRDefault="008F0843" w:rsidP="008F0843">
            <w:pPr>
              <w:autoSpaceDE/>
              <w:autoSpaceDN/>
              <w:adjustRightInd/>
              <w:jc w:val="center"/>
              <w:rPr>
                <w:color w:val="000000"/>
                <w:sz w:val="20"/>
                <w:szCs w:val="20"/>
              </w:rPr>
            </w:pPr>
            <w:r w:rsidRPr="007C51D6">
              <w:rPr>
                <w:color w:val="000000"/>
                <w:sz w:val="20"/>
                <w:szCs w:val="20"/>
              </w:rPr>
              <w:t>194,71</w:t>
            </w:r>
          </w:p>
        </w:tc>
        <w:tc>
          <w:tcPr>
            <w:tcW w:w="1115" w:type="dxa"/>
            <w:shd w:val="clear" w:color="auto" w:fill="auto"/>
            <w:hideMark/>
          </w:tcPr>
          <w:p w:rsidR="008F0843" w:rsidRPr="007C51D6" w:rsidRDefault="008F0843" w:rsidP="008F0843">
            <w:pPr>
              <w:autoSpaceDE/>
              <w:autoSpaceDN/>
              <w:adjustRightInd/>
              <w:jc w:val="center"/>
              <w:rPr>
                <w:color w:val="000000"/>
                <w:sz w:val="20"/>
                <w:szCs w:val="20"/>
              </w:rPr>
            </w:pPr>
            <w:r w:rsidRPr="007C51D6">
              <w:rPr>
                <w:color w:val="000000"/>
                <w:sz w:val="20"/>
                <w:szCs w:val="20"/>
              </w:rPr>
              <w:t>189,06</w:t>
            </w:r>
          </w:p>
        </w:tc>
        <w:tc>
          <w:tcPr>
            <w:tcW w:w="1012" w:type="dxa"/>
            <w:shd w:val="clear" w:color="auto" w:fill="auto"/>
            <w:hideMark/>
          </w:tcPr>
          <w:p w:rsidR="008F0843" w:rsidRPr="007C51D6" w:rsidRDefault="008F0843" w:rsidP="008F0843">
            <w:pPr>
              <w:autoSpaceDE/>
              <w:autoSpaceDN/>
              <w:adjustRightInd/>
              <w:jc w:val="center"/>
              <w:rPr>
                <w:color w:val="000000"/>
                <w:sz w:val="20"/>
                <w:szCs w:val="20"/>
              </w:rPr>
            </w:pPr>
            <w:r w:rsidRPr="007C51D6">
              <w:rPr>
                <w:color w:val="000000"/>
                <w:sz w:val="20"/>
                <w:szCs w:val="20"/>
              </w:rPr>
              <w:t>195,79</w:t>
            </w:r>
          </w:p>
        </w:tc>
        <w:tc>
          <w:tcPr>
            <w:tcW w:w="1011" w:type="dxa"/>
            <w:shd w:val="clear" w:color="auto" w:fill="auto"/>
            <w:hideMark/>
          </w:tcPr>
          <w:p w:rsidR="008F0843" w:rsidRPr="007C51D6" w:rsidRDefault="008F0843" w:rsidP="008F0843">
            <w:pPr>
              <w:autoSpaceDE/>
              <w:autoSpaceDN/>
              <w:adjustRightInd/>
              <w:jc w:val="center"/>
              <w:rPr>
                <w:color w:val="000000"/>
                <w:sz w:val="20"/>
                <w:szCs w:val="20"/>
              </w:rPr>
            </w:pPr>
            <w:r w:rsidRPr="007C51D6">
              <w:rPr>
                <w:color w:val="000000"/>
                <w:sz w:val="20"/>
                <w:szCs w:val="20"/>
              </w:rPr>
              <w:t>185,89</w:t>
            </w:r>
          </w:p>
        </w:tc>
        <w:tc>
          <w:tcPr>
            <w:tcW w:w="1012" w:type="dxa"/>
            <w:shd w:val="clear" w:color="auto" w:fill="auto"/>
            <w:hideMark/>
          </w:tcPr>
          <w:p w:rsidR="008F0843" w:rsidRPr="007C51D6" w:rsidRDefault="008F0843" w:rsidP="008F0843">
            <w:pPr>
              <w:autoSpaceDE/>
              <w:autoSpaceDN/>
              <w:adjustRightInd/>
              <w:jc w:val="center"/>
              <w:rPr>
                <w:color w:val="000000"/>
                <w:sz w:val="20"/>
                <w:szCs w:val="20"/>
              </w:rPr>
            </w:pPr>
            <w:r w:rsidRPr="007C51D6">
              <w:rPr>
                <w:color w:val="000000"/>
                <w:sz w:val="20"/>
                <w:szCs w:val="20"/>
              </w:rPr>
              <w:t>181,97</w:t>
            </w:r>
          </w:p>
        </w:tc>
        <w:tc>
          <w:tcPr>
            <w:tcW w:w="1012" w:type="dxa"/>
          </w:tcPr>
          <w:p w:rsidR="008F0843" w:rsidRPr="007C51D6" w:rsidRDefault="008F0843" w:rsidP="008F0843">
            <w:pPr>
              <w:autoSpaceDE/>
              <w:autoSpaceDN/>
              <w:adjustRightInd/>
              <w:jc w:val="center"/>
              <w:rPr>
                <w:color w:val="000000"/>
                <w:sz w:val="20"/>
                <w:szCs w:val="20"/>
              </w:rPr>
            </w:pPr>
            <w:r w:rsidRPr="007C51D6">
              <w:rPr>
                <w:color w:val="000000"/>
                <w:sz w:val="20"/>
                <w:szCs w:val="20"/>
              </w:rPr>
              <w:t>173,30</w:t>
            </w:r>
          </w:p>
        </w:tc>
        <w:tc>
          <w:tcPr>
            <w:tcW w:w="1109" w:type="dxa"/>
          </w:tcPr>
          <w:p w:rsidR="008F0843" w:rsidRPr="007C51D6" w:rsidRDefault="008F0843" w:rsidP="008F0843">
            <w:pPr>
              <w:autoSpaceDE/>
              <w:autoSpaceDN/>
              <w:adjustRightInd/>
              <w:jc w:val="center"/>
              <w:rPr>
                <w:color w:val="000000"/>
                <w:sz w:val="20"/>
                <w:szCs w:val="20"/>
              </w:rPr>
            </w:pPr>
            <w:r w:rsidRPr="007C51D6">
              <w:rPr>
                <w:color w:val="000000"/>
                <w:sz w:val="20"/>
                <w:szCs w:val="22"/>
              </w:rPr>
              <w:t>165,64</w:t>
            </w:r>
          </w:p>
        </w:tc>
        <w:tc>
          <w:tcPr>
            <w:tcW w:w="1103" w:type="dxa"/>
          </w:tcPr>
          <w:p w:rsidR="008F0843" w:rsidRPr="007C51D6" w:rsidRDefault="008F0843" w:rsidP="004472F9">
            <w:pPr>
              <w:autoSpaceDE/>
              <w:autoSpaceDN/>
              <w:adjustRightInd/>
              <w:jc w:val="center"/>
              <w:rPr>
                <w:color w:val="000000"/>
                <w:sz w:val="20"/>
                <w:szCs w:val="20"/>
              </w:rPr>
            </w:pPr>
            <w:r w:rsidRPr="007C51D6">
              <w:rPr>
                <w:color w:val="000000"/>
                <w:sz w:val="20"/>
                <w:szCs w:val="20"/>
              </w:rPr>
              <w:t>174,60</w:t>
            </w:r>
          </w:p>
        </w:tc>
        <w:tc>
          <w:tcPr>
            <w:tcW w:w="1103" w:type="dxa"/>
          </w:tcPr>
          <w:p w:rsidR="008F0843" w:rsidRPr="007C51D6" w:rsidRDefault="008F0843" w:rsidP="004472F9">
            <w:pPr>
              <w:autoSpaceDE/>
              <w:autoSpaceDN/>
              <w:adjustRightInd/>
              <w:jc w:val="center"/>
              <w:rPr>
                <w:color w:val="000000"/>
                <w:sz w:val="20"/>
                <w:szCs w:val="20"/>
              </w:rPr>
            </w:pPr>
            <w:r w:rsidRPr="007C51D6">
              <w:rPr>
                <w:color w:val="000000"/>
                <w:sz w:val="20"/>
                <w:szCs w:val="20"/>
              </w:rPr>
              <w:t>176,8</w:t>
            </w:r>
          </w:p>
        </w:tc>
        <w:tc>
          <w:tcPr>
            <w:tcW w:w="1103" w:type="dxa"/>
          </w:tcPr>
          <w:p w:rsidR="008F0843" w:rsidRPr="007C51D6" w:rsidRDefault="008F0843" w:rsidP="008F0843">
            <w:pPr>
              <w:jc w:val="center"/>
              <w:rPr>
                <w:color w:val="000000"/>
                <w:sz w:val="20"/>
                <w:szCs w:val="20"/>
              </w:rPr>
            </w:pPr>
            <w:r w:rsidRPr="007C51D6">
              <w:rPr>
                <w:color w:val="000000"/>
                <w:sz w:val="20"/>
                <w:szCs w:val="20"/>
              </w:rPr>
              <w:t>нет</w:t>
            </w:r>
          </w:p>
          <w:p w:rsidR="008F0843" w:rsidRPr="007C51D6" w:rsidRDefault="008F0843" w:rsidP="008F0843">
            <w:pPr>
              <w:autoSpaceDE/>
              <w:autoSpaceDN/>
              <w:adjustRightInd/>
              <w:jc w:val="center"/>
              <w:rPr>
                <w:color w:val="000000"/>
                <w:sz w:val="20"/>
                <w:szCs w:val="20"/>
              </w:rPr>
            </w:pPr>
            <w:r w:rsidRPr="007C51D6">
              <w:rPr>
                <w:color w:val="000000"/>
                <w:sz w:val="20"/>
                <w:szCs w:val="20"/>
              </w:rPr>
              <w:t>данных</w:t>
            </w:r>
          </w:p>
        </w:tc>
      </w:tr>
      <w:tr w:rsidR="008F0843" w:rsidRPr="007C51D6" w:rsidTr="004472F9">
        <w:trPr>
          <w:trHeight w:val="20"/>
        </w:trPr>
        <w:tc>
          <w:tcPr>
            <w:tcW w:w="4531" w:type="dxa"/>
            <w:shd w:val="clear" w:color="auto" w:fill="auto"/>
            <w:hideMark/>
          </w:tcPr>
          <w:p w:rsidR="008F0843" w:rsidRPr="007C51D6" w:rsidRDefault="008F0843" w:rsidP="008F0843">
            <w:pPr>
              <w:autoSpaceDE/>
              <w:autoSpaceDN/>
              <w:adjustRightInd/>
              <w:rPr>
                <w:color w:val="000000"/>
                <w:sz w:val="20"/>
                <w:szCs w:val="20"/>
              </w:rPr>
            </w:pPr>
            <w:r w:rsidRPr="007C51D6">
              <w:rPr>
                <w:color w:val="000000"/>
                <w:sz w:val="20"/>
                <w:szCs w:val="20"/>
              </w:rPr>
              <w:t>Агрызский</w:t>
            </w:r>
          </w:p>
        </w:tc>
        <w:tc>
          <w:tcPr>
            <w:tcW w:w="1012" w:type="dxa"/>
            <w:shd w:val="clear" w:color="auto" w:fill="auto"/>
            <w:hideMark/>
          </w:tcPr>
          <w:p w:rsidR="008F0843" w:rsidRPr="007C51D6" w:rsidRDefault="008F0843" w:rsidP="008F0843">
            <w:pPr>
              <w:autoSpaceDE/>
              <w:autoSpaceDN/>
              <w:adjustRightInd/>
              <w:jc w:val="center"/>
              <w:rPr>
                <w:color w:val="000000"/>
                <w:sz w:val="20"/>
                <w:szCs w:val="20"/>
              </w:rPr>
            </w:pPr>
            <w:r w:rsidRPr="007C51D6">
              <w:rPr>
                <w:color w:val="000000"/>
                <w:sz w:val="20"/>
                <w:szCs w:val="20"/>
              </w:rPr>
              <w:t>150,53</w:t>
            </w:r>
          </w:p>
        </w:tc>
        <w:tc>
          <w:tcPr>
            <w:tcW w:w="1115" w:type="dxa"/>
            <w:shd w:val="clear" w:color="auto" w:fill="auto"/>
            <w:hideMark/>
          </w:tcPr>
          <w:p w:rsidR="008F0843" w:rsidRPr="007C51D6" w:rsidRDefault="008F0843" w:rsidP="008F0843">
            <w:pPr>
              <w:autoSpaceDE/>
              <w:autoSpaceDN/>
              <w:adjustRightInd/>
              <w:jc w:val="center"/>
              <w:rPr>
                <w:color w:val="000000"/>
                <w:sz w:val="20"/>
                <w:szCs w:val="20"/>
              </w:rPr>
            </w:pPr>
            <w:r w:rsidRPr="007C51D6">
              <w:rPr>
                <w:color w:val="000000"/>
                <w:sz w:val="20"/>
                <w:szCs w:val="20"/>
              </w:rPr>
              <w:t>205,21</w:t>
            </w:r>
          </w:p>
        </w:tc>
        <w:tc>
          <w:tcPr>
            <w:tcW w:w="1012" w:type="dxa"/>
            <w:shd w:val="clear" w:color="auto" w:fill="auto"/>
            <w:hideMark/>
          </w:tcPr>
          <w:p w:rsidR="008F0843" w:rsidRPr="007C51D6" w:rsidRDefault="008F0843" w:rsidP="008F0843">
            <w:pPr>
              <w:autoSpaceDE/>
              <w:autoSpaceDN/>
              <w:adjustRightInd/>
              <w:jc w:val="center"/>
              <w:rPr>
                <w:color w:val="000000"/>
                <w:sz w:val="20"/>
                <w:szCs w:val="20"/>
              </w:rPr>
            </w:pPr>
            <w:r w:rsidRPr="007C51D6">
              <w:rPr>
                <w:color w:val="000000"/>
                <w:sz w:val="20"/>
                <w:szCs w:val="20"/>
              </w:rPr>
              <w:t>140,55</w:t>
            </w:r>
          </w:p>
        </w:tc>
        <w:tc>
          <w:tcPr>
            <w:tcW w:w="1011" w:type="dxa"/>
            <w:shd w:val="clear" w:color="auto" w:fill="auto"/>
            <w:hideMark/>
          </w:tcPr>
          <w:p w:rsidR="008F0843" w:rsidRPr="007C51D6" w:rsidRDefault="008F0843" w:rsidP="008F0843">
            <w:pPr>
              <w:autoSpaceDE/>
              <w:autoSpaceDN/>
              <w:adjustRightInd/>
              <w:jc w:val="center"/>
              <w:rPr>
                <w:color w:val="000000"/>
                <w:sz w:val="20"/>
                <w:szCs w:val="20"/>
              </w:rPr>
            </w:pPr>
            <w:r w:rsidRPr="007C51D6">
              <w:rPr>
                <w:color w:val="000000"/>
                <w:sz w:val="20"/>
                <w:szCs w:val="20"/>
              </w:rPr>
              <w:t>152,96</w:t>
            </w:r>
          </w:p>
        </w:tc>
        <w:tc>
          <w:tcPr>
            <w:tcW w:w="1012" w:type="dxa"/>
            <w:shd w:val="clear" w:color="auto" w:fill="auto"/>
          </w:tcPr>
          <w:p w:rsidR="008F0843" w:rsidRPr="007C51D6" w:rsidRDefault="008F0843" w:rsidP="008F0843">
            <w:pPr>
              <w:autoSpaceDE/>
              <w:autoSpaceDN/>
              <w:adjustRightInd/>
              <w:jc w:val="center"/>
              <w:rPr>
                <w:color w:val="000000"/>
                <w:sz w:val="20"/>
                <w:szCs w:val="20"/>
              </w:rPr>
            </w:pPr>
            <w:r w:rsidRPr="007C51D6">
              <w:rPr>
                <w:color w:val="000000"/>
                <w:sz w:val="20"/>
                <w:szCs w:val="20"/>
              </w:rPr>
              <w:t>144,5</w:t>
            </w:r>
          </w:p>
        </w:tc>
        <w:tc>
          <w:tcPr>
            <w:tcW w:w="1012" w:type="dxa"/>
          </w:tcPr>
          <w:p w:rsidR="008F0843" w:rsidRPr="007C51D6" w:rsidRDefault="008F0843" w:rsidP="008F0843">
            <w:pPr>
              <w:autoSpaceDE/>
              <w:autoSpaceDN/>
              <w:adjustRightInd/>
              <w:jc w:val="center"/>
              <w:rPr>
                <w:color w:val="000000"/>
                <w:sz w:val="20"/>
                <w:szCs w:val="20"/>
              </w:rPr>
            </w:pPr>
            <w:r w:rsidRPr="007C51D6">
              <w:rPr>
                <w:color w:val="000000"/>
                <w:sz w:val="20"/>
                <w:szCs w:val="20"/>
              </w:rPr>
              <w:t>131,3</w:t>
            </w:r>
          </w:p>
        </w:tc>
        <w:tc>
          <w:tcPr>
            <w:tcW w:w="1109" w:type="dxa"/>
            <w:vAlign w:val="bottom"/>
          </w:tcPr>
          <w:p w:rsidR="008F0843" w:rsidRPr="007C51D6" w:rsidRDefault="008F0843" w:rsidP="008F0843">
            <w:pPr>
              <w:autoSpaceDE/>
              <w:autoSpaceDN/>
              <w:adjustRightInd/>
              <w:jc w:val="center"/>
              <w:rPr>
                <w:color w:val="000000"/>
                <w:sz w:val="20"/>
                <w:szCs w:val="20"/>
              </w:rPr>
            </w:pPr>
            <w:r w:rsidRPr="007C51D6">
              <w:rPr>
                <w:color w:val="000000"/>
                <w:sz w:val="20"/>
                <w:szCs w:val="20"/>
              </w:rPr>
              <w:t>153,7</w:t>
            </w:r>
          </w:p>
        </w:tc>
        <w:tc>
          <w:tcPr>
            <w:tcW w:w="1103" w:type="dxa"/>
          </w:tcPr>
          <w:p w:rsidR="008F0843" w:rsidRPr="007C51D6" w:rsidRDefault="008F0843" w:rsidP="004472F9">
            <w:pPr>
              <w:autoSpaceDE/>
              <w:autoSpaceDN/>
              <w:adjustRightInd/>
              <w:jc w:val="center"/>
              <w:rPr>
                <w:color w:val="000000"/>
                <w:sz w:val="20"/>
                <w:szCs w:val="20"/>
              </w:rPr>
            </w:pPr>
            <w:r w:rsidRPr="007C51D6">
              <w:rPr>
                <w:color w:val="000000"/>
                <w:sz w:val="20"/>
                <w:szCs w:val="20"/>
              </w:rPr>
              <w:t>135,9</w:t>
            </w:r>
          </w:p>
        </w:tc>
        <w:tc>
          <w:tcPr>
            <w:tcW w:w="1103" w:type="dxa"/>
          </w:tcPr>
          <w:p w:rsidR="008F0843" w:rsidRPr="007C51D6" w:rsidRDefault="008F0843" w:rsidP="004472F9">
            <w:pPr>
              <w:autoSpaceDE/>
              <w:autoSpaceDN/>
              <w:adjustRightInd/>
              <w:jc w:val="center"/>
              <w:rPr>
                <w:color w:val="000000"/>
                <w:sz w:val="20"/>
                <w:szCs w:val="20"/>
              </w:rPr>
            </w:pPr>
            <w:r w:rsidRPr="007C51D6">
              <w:rPr>
                <w:color w:val="000000"/>
                <w:sz w:val="20"/>
                <w:szCs w:val="20"/>
              </w:rPr>
              <w:t>157,6</w:t>
            </w:r>
          </w:p>
        </w:tc>
        <w:tc>
          <w:tcPr>
            <w:tcW w:w="1103" w:type="dxa"/>
          </w:tcPr>
          <w:p w:rsidR="004472F9" w:rsidRPr="007C51D6" w:rsidRDefault="004472F9" w:rsidP="004472F9">
            <w:pPr>
              <w:jc w:val="center"/>
              <w:rPr>
                <w:color w:val="000000"/>
                <w:sz w:val="20"/>
                <w:szCs w:val="20"/>
              </w:rPr>
            </w:pPr>
            <w:r w:rsidRPr="007C51D6">
              <w:rPr>
                <w:color w:val="000000"/>
                <w:sz w:val="20"/>
                <w:szCs w:val="20"/>
              </w:rPr>
              <w:t>нет</w:t>
            </w:r>
          </w:p>
          <w:p w:rsidR="008F0843" w:rsidRPr="007C51D6" w:rsidRDefault="004472F9" w:rsidP="004472F9">
            <w:pPr>
              <w:autoSpaceDE/>
              <w:autoSpaceDN/>
              <w:adjustRightInd/>
              <w:jc w:val="center"/>
              <w:rPr>
                <w:color w:val="000000"/>
                <w:sz w:val="20"/>
                <w:szCs w:val="20"/>
              </w:rPr>
            </w:pPr>
            <w:r w:rsidRPr="007C51D6">
              <w:rPr>
                <w:color w:val="000000"/>
                <w:sz w:val="20"/>
                <w:szCs w:val="20"/>
              </w:rPr>
              <w:t>данных</w:t>
            </w:r>
          </w:p>
        </w:tc>
      </w:tr>
      <w:tr w:rsidR="008F0843" w:rsidRPr="007C51D6" w:rsidTr="004472F9">
        <w:trPr>
          <w:trHeight w:val="20"/>
        </w:trPr>
        <w:tc>
          <w:tcPr>
            <w:tcW w:w="4531" w:type="dxa"/>
            <w:shd w:val="clear" w:color="auto" w:fill="auto"/>
            <w:hideMark/>
          </w:tcPr>
          <w:p w:rsidR="008F0843" w:rsidRPr="007C51D6" w:rsidRDefault="008F0843" w:rsidP="008F0843">
            <w:pPr>
              <w:autoSpaceDE/>
              <w:autoSpaceDN/>
              <w:adjustRightInd/>
              <w:rPr>
                <w:color w:val="000000"/>
                <w:sz w:val="20"/>
                <w:szCs w:val="20"/>
              </w:rPr>
            </w:pPr>
            <w:r w:rsidRPr="007C51D6">
              <w:rPr>
                <w:color w:val="000000"/>
                <w:sz w:val="20"/>
                <w:szCs w:val="20"/>
              </w:rPr>
              <w:t>Азнакаевский</w:t>
            </w:r>
          </w:p>
        </w:tc>
        <w:tc>
          <w:tcPr>
            <w:tcW w:w="1012" w:type="dxa"/>
            <w:shd w:val="clear" w:color="auto" w:fill="auto"/>
            <w:hideMark/>
          </w:tcPr>
          <w:p w:rsidR="008F0843" w:rsidRPr="007C51D6" w:rsidRDefault="008F0843" w:rsidP="008F0843">
            <w:pPr>
              <w:autoSpaceDE/>
              <w:autoSpaceDN/>
              <w:adjustRightInd/>
              <w:jc w:val="center"/>
              <w:rPr>
                <w:color w:val="000000"/>
                <w:sz w:val="20"/>
                <w:szCs w:val="20"/>
              </w:rPr>
            </w:pPr>
            <w:r w:rsidRPr="007C51D6">
              <w:rPr>
                <w:color w:val="000000"/>
                <w:sz w:val="20"/>
                <w:szCs w:val="20"/>
              </w:rPr>
              <w:t>222,24</w:t>
            </w:r>
          </w:p>
        </w:tc>
        <w:tc>
          <w:tcPr>
            <w:tcW w:w="1115" w:type="dxa"/>
            <w:shd w:val="clear" w:color="auto" w:fill="auto"/>
            <w:hideMark/>
          </w:tcPr>
          <w:p w:rsidR="008F0843" w:rsidRPr="007C51D6" w:rsidRDefault="008F0843" w:rsidP="008F0843">
            <w:pPr>
              <w:autoSpaceDE/>
              <w:autoSpaceDN/>
              <w:adjustRightInd/>
              <w:jc w:val="center"/>
              <w:rPr>
                <w:color w:val="000000"/>
                <w:sz w:val="20"/>
                <w:szCs w:val="20"/>
              </w:rPr>
            </w:pPr>
            <w:r w:rsidRPr="007C51D6">
              <w:rPr>
                <w:color w:val="000000"/>
                <w:sz w:val="20"/>
                <w:szCs w:val="20"/>
              </w:rPr>
              <w:t>233,22</w:t>
            </w:r>
          </w:p>
        </w:tc>
        <w:tc>
          <w:tcPr>
            <w:tcW w:w="1012" w:type="dxa"/>
            <w:shd w:val="clear" w:color="auto" w:fill="auto"/>
            <w:hideMark/>
          </w:tcPr>
          <w:p w:rsidR="008F0843" w:rsidRPr="007C51D6" w:rsidRDefault="008F0843" w:rsidP="008F0843">
            <w:pPr>
              <w:autoSpaceDE/>
              <w:autoSpaceDN/>
              <w:adjustRightInd/>
              <w:jc w:val="center"/>
              <w:rPr>
                <w:color w:val="000000"/>
                <w:sz w:val="20"/>
                <w:szCs w:val="20"/>
              </w:rPr>
            </w:pPr>
            <w:r w:rsidRPr="007C51D6">
              <w:rPr>
                <w:color w:val="000000"/>
                <w:sz w:val="20"/>
                <w:szCs w:val="20"/>
              </w:rPr>
              <w:t>183,70</w:t>
            </w:r>
          </w:p>
        </w:tc>
        <w:tc>
          <w:tcPr>
            <w:tcW w:w="1011" w:type="dxa"/>
            <w:shd w:val="clear" w:color="auto" w:fill="auto"/>
            <w:hideMark/>
          </w:tcPr>
          <w:p w:rsidR="008F0843" w:rsidRPr="007C51D6" w:rsidRDefault="008F0843" w:rsidP="008F0843">
            <w:pPr>
              <w:autoSpaceDE/>
              <w:autoSpaceDN/>
              <w:adjustRightInd/>
              <w:jc w:val="center"/>
              <w:rPr>
                <w:color w:val="000000"/>
                <w:sz w:val="20"/>
                <w:szCs w:val="20"/>
              </w:rPr>
            </w:pPr>
            <w:r w:rsidRPr="007C51D6">
              <w:rPr>
                <w:color w:val="000000"/>
                <w:sz w:val="20"/>
                <w:szCs w:val="20"/>
              </w:rPr>
              <w:t>178,96</w:t>
            </w:r>
          </w:p>
        </w:tc>
        <w:tc>
          <w:tcPr>
            <w:tcW w:w="1012" w:type="dxa"/>
            <w:shd w:val="clear" w:color="auto" w:fill="auto"/>
          </w:tcPr>
          <w:p w:rsidR="008F0843" w:rsidRPr="007C51D6" w:rsidRDefault="008F0843" w:rsidP="008F0843">
            <w:pPr>
              <w:autoSpaceDE/>
              <w:autoSpaceDN/>
              <w:adjustRightInd/>
              <w:jc w:val="center"/>
              <w:rPr>
                <w:color w:val="000000"/>
                <w:sz w:val="20"/>
                <w:szCs w:val="20"/>
              </w:rPr>
            </w:pPr>
            <w:r w:rsidRPr="007C51D6">
              <w:rPr>
                <w:color w:val="000000"/>
                <w:sz w:val="20"/>
                <w:szCs w:val="20"/>
              </w:rPr>
              <w:t>208,7</w:t>
            </w:r>
          </w:p>
        </w:tc>
        <w:tc>
          <w:tcPr>
            <w:tcW w:w="1012" w:type="dxa"/>
          </w:tcPr>
          <w:p w:rsidR="008F0843" w:rsidRPr="007C51D6" w:rsidRDefault="008F0843" w:rsidP="008F0843">
            <w:pPr>
              <w:autoSpaceDE/>
              <w:autoSpaceDN/>
              <w:adjustRightInd/>
              <w:jc w:val="center"/>
              <w:rPr>
                <w:color w:val="000000"/>
                <w:sz w:val="20"/>
                <w:szCs w:val="20"/>
              </w:rPr>
            </w:pPr>
            <w:r w:rsidRPr="007C51D6">
              <w:rPr>
                <w:color w:val="000000"/>
                <w:sz w:val="20"/>
                <w:szCs w:val="20"/>
              </w:rPr>
              <w:t>155,0</w:t>
            </w:r>
          </w:p>
        </w:tc>
        <w:tc>
          <w:tcPr>
            <w:tcW w:w="1109" w:type="dxa"/>
            <w:vAlign w:val="bottom"/>
          </w:tcPr>
          <w:p w:rsidR="008F0843" w:rsidRPr="007C51D6" w:rsidRDefault="008F0843" w:rsidP="008F0843">
            <w:pPr>
              <w:jc w:val="center"/>
              <w:rPr>
                <w:color w:val="000000"/>
                <w:sz w:val="20"/>
                <w:szCs w:val="20"/>
              </w:rPr>
            </w:pPr>
            <w:r w:rsidRPr="007C51D6">
              <w:rPr>
                <w:color w:val="000000"/>
                <w:sz w:val="20"/>
                <w:szCs w:val="20"/>
              </w:rPr>
              <w:t>177,0</w:t>
            </w:r>
          </w:p>
        </w:tc>
        <w:tc>
          <w:tcPr>
            <w:tcW w:w="1103" w:type="dxa"/>
          </w:tcPr>
          <w:p w:rsidR="008F0843" w:rsidRPr="007C51D6" w:rsidRDefault="008F0843" w:rsidP="004472F9">
            <w:pPr>
              <w:jc w:val="center"/>
              <w:rPr>
                <w:color w:val="000000"/>
                <w:sz w:val="20"/>
                <w:szCs w:val="20"/>
              </w:rPr>
            </w:pPr>
            <w:r w:rsidRPr="007C51D6">
              <w:rPr>
                <w:color w:val="000000"/>
                <w:sz w:val="20"/>
                <w:szCs w:val="20"/>
              </w:rPr>
              <w:t>205,4</w:t>
            </w:r>
          </w:p>
        </w:tc>
        <w:tc>
          <w:tcPr>
            <w:tcW w:w="1103" w:type="dxa"/>
          </w:tcPr>
          <w:p w:rsidR="008F0843" w:rsidRPr="007C51D6" w:rsidRDefault="008F0843" w:rsidP="004472F9">
            <w:pPr>
              <w:jc w:val="center"/>
              <w:rPr>
                <w:color w:val="000000"/>
                <w:sz w:val="20"/>
                <w:szCs w:val="20"/>
              </w:rPr>
            </w:pPr>
            <w:r w:rsidRPr="007C51D6">
              <w:rPr>
                <w:color w:val="000000"/>
                <w:sz w:val="20"/>
                <w:szCs w:val="20"/>
              </w:rPr>
              <w:t>230,3</w:t>
            </w:r>
          </w:p>
        </w:tc>
        <w:tc>
          <w:tcPr>
            <w:tcW w:w="1103" w:type="dxa"/>
          </w:tcPr>
          <w:p w:rsidR="004472F9" w:rsidRPr="007C51D6" w:rsidRDefault="004472F9" w:rsidP="004472F9">
            <w:pPr>
              <w:jc w:val="center"/>
              <w:rPr>
                <w:color w:val="000000"/>
                <w:sz w:val="20"/>
                <w:szCs w:val="20"/>
              </w:rPr>
            </w:pPr>
            <w:r w:rsidRPr="007C51D6">
              <w:rPr>
                <w:color w:val="000000"/>
                <w:sz w:val="20"/>
                <w:szCs w:val="20"/>
              </w:rPr>
              <w:t>нет</w:t>
            </w:r>
          </w:p>
          <w:p w:rsidR="008F0843" w:rsidRPr="007C51D6" w:rsidRDefault="004472F9" w:rsidP="004472F9">
            <w:pPr>
              <w:jc w:val="center"/>
              <w:rPr>
                <w:color w:val="000000"/>
                <w:sz w:val="20"/>
                <w:szCs w:val="20"/>
              </w:rPr>
            </w:pPr>
            <w:r w:rsidRPr="007C51D6">
              <w:rPr>
                <w:color w:val="000000"/>
                <w:sz w:val="20"/>
                <w:szCs w:val="20"/>
              </w:rPr>
              <w:t>данных</w:t>
            </w:r>
          </w:p>
        </w:tc>
      </w:tr>
      <w:tr w:rsidR="008F0843" w:rsidRPr="007C51D6" w:rsidTr="004472F9">
        <w:trPr>
          <w:trHeight w:val="20"/>
        </w:trPr>
        <w:tc>
          <w:tcPr>
            <w:tcW w:w="4531" w:type="dxa"/>
            <w:shd w:val="clear" w:color="auto" w:fill="auto"/>
            <w:hideMark/>
          </w:tcPr>
          <w:p w:rsidR="008F0843" w:rsidRPr="007C51D6" w:rsidRDefault="008F0843" w:rsidP="008F0843">
            <w:pPr>
              <w:autoSpaceDE/>
              <w:autoSpaceDN/>
              <w:adjustRightInd/>
              <w:rPr>
                <w:color w:val="000000"/>
                <w:sz w:val="20"/>
                <w:szCs w:val="20"/>
              </w:rPr>
            </w:pPr>
            <w:r w:rsidRPr="007C51D6">
              <w:rPr>
                <w:color w:val="000000"/>
                <w:sz w:val="20"/>
                <w:szCs w:val="20"/>
              </w:rPr>
              <w:t>Аксубаевский</w:t>
            </w:r>
          </w:p>
        </w:tc>
        <w:tc>
          <w:tcPr>
            <w:tcW w:w="1012" w:type="dxa"/>
            <w:shd w:val="clear" w:color="auto" w:fill="auto"/>
            <w:hideMark/>
          </w:tcPr>
          <w:p w:rsidR="008F0843" w:rsidRPr="007C51D6" w:rsidRDefault="008F0843" w:rsidP="008F0843">
            <w:pPr>
              <w:autoSpaceDE/>
              <w:autoSpaceDN/>
              <w:adjustRightInd/>
              <w:jc w:val="center"/>
              <w:rPr>
                <w:color w:val="000000"/>
                <w:sz w:val="20"/>
                <w:szCs w:val="20"/>
              </w:rPr>
            </w:pPr>
            <w:r w:rsidRPr="007C51D6">
              <w:rPr>
                <w:color w:val="000000"/>
                <w:sz w:val="20"/>
                <w:szCs w:val="20"/>
              </w:rPr>
              <w:t>161,17</w:t>
            </w:r>
          </w:p>
        </w:tc>
        <w:tc>
          <w:tcPr>
            <w:tcW w:w="1115" w:type="dxa"/>
            <w:shd w:val="clear" w:color="auto" w:fill="auto"/>
            <w:hideMark/>
          </w:tcPr>
          <w:p w:rsidR="008F0843" w:rsidRPr="007C51D6" w:rsidRDefault="008F0843" w:rsidP="008F0843">
            <w:pPr>
              <w:autoSpaceDE/>
              <w:autoSpaceDN/>
              <w:adjustRightInd/>
              <w:jc w:val="center"/>
              <w:rPr>
                <w:color w:val="000000"/>
                <w:sz w:val="20"/>
                <w:szCs w:val="20"/>
              </w:rPr>
            </w:pPr>
            <w:r w:rsidRPr="007C51D6">
              <w:rPr>
                <w:color w:val="000000"/>
                <w:sz w:val="20"/>
                <w:szCs w:val="20"/>
              </w:rPr>
              <w:t>115,76</w:t>
            </w:r>
          </w:p>
        </w:tc>
        <w:tc>
          <w:tcPr>
            <w:tcW w:w="1012" w:type="dxa"/>
            <w:shd w:val="clear" w:color="auto" w:fill="auto"/>
            <w:hideMark/>
          </w:tcPr>
          <w:p w:rsidR="008F0843" w:rsidRPr="007C51D6" w:rsidRDefault="008F0843" w:rsidP="008F0843">
            <w:pPr>
              <w:autoSpaceDE/>
              <w:autoSpaceDN/>
              <w:adjustRightInd/>
              <w:jc w:val="center"/>
              <w:rPr>
                <w:color w:val="000000"/>
                <w:sz w:val="20"/>
                <w:szCs w:val="20"/>
              </w:rPr>
            </w:pPr>
            <w:r w:rsidRPr="007C51D6">
              <w:rPr>
                <w:color w:val="000000"/>
                <w:sz w:val="20"/>
                <w:szCs w:val="20"/>
              </w:rPr>
              <w:t>166,83</w:t>
            </w:r>
          </w:p>
        </w:tc>
        <w:tc>
          <w:tcPr>
            <w:tcW w:w="1011" w:type="dxa"/>
            <w:shd w:val="clear" w:color="auto" w:fill="auto"/>
            <w:hideMark/>
          </w:tcPr>
          <w:p w:rsidR="008F0843" w:rsidRPr="007C51D6" w:rsidRDefault="008F0843" w:rsidP="008F0843">
            <w:pPr>
              <w:autoSpaceDE/>
              <w:autoSpaceDN/>
              <w:adjustRightInd/>
              <w:jc w:val="center"/>
              <w:rPr>
                <w:color w:val="000000"/>
                <w:sz w:val="20"/>
                <w:szCs w:val="20"/>
              </w:rPr>
            </w:pPr>
            <w:r w:rsidRPr="007C51D6">
              <w:rPr>
                <w:color w:val="000000"/>
                <w:sz w:val="20"/>
                <w:szCs w:val="20"/>
              </w:rPr>
              <w:t>176,49</w:t>
            </w:r>
          </w:p>
        </w:tc>
        <w:tc>
          <w:tcPr>
            <w:tcW w:w="1012" w:type="dxa"/>
            <w:shd w:val="clear" w:color="auto" w:fill="auto"/>
          </w:tcPr>
          <w:p w:rsidR="008F0843" w:rsidRPr="007C51D6" w:rsidRDefault="008F0843" w:rsidP="008F0843">
            <w:pPr>
              <w:autoSpaceDE/>
              <w:autoSpaceDN/>
              <w:adjustRightInd/>
              <w:jc w:val="center"/>
              <w:rPr>
                <w:color w:val="000000"/>
                <w:sz w:val="20"/>
                <w:szCs w:val="20"/>
              </w:rPr>
            </w:pPr>
            <w:r w:rsidRPr="007C51D6">
              <w:rPr>
                <w:color w:val="000000"/>
                <w:sz w:val="20"/>
                <w:szCs w:val="20"/>
              </w:rPr>
              <w:t>168,7</w:t>
            </w:r>
          </w:p>
        </w:tc>
        <w:tc>
          <w:tcPr>
            <w:tcW w:w="1012" w:type="dxa"/>
          </w:tcPr>
          <w:p w:rsidR="008F0843" w:rsidRPr="007C51D6" w:rsidRDefault="008F0843" w:rsidP="008F0843">
            <w:pPr>
              <w:autoSpaceDE/>
              <w:autoSpaceDN/>
              <w:adjustRightInd/>
              <w:jc w:val="center"/>
              <w:rPr>
                <w:color w:val="000000"/>
                <w:sz w:val="20"/>
                <w:szCs w:val="20"/>
              </w:rPr>
            </w:pPr>
            <w:r w:rsidRPr="007C51D6">
              <w:rPr>
                <w:color w:val="000000"/>
                <w:sz w:val="20"/>
                <w:szCs w:val="20"/>
              </w:rPr>
              <w:t>138,9</w:t>
            </w:r>
          </w:p>
        </w:tc>
        <w:tc>
          <w:tcPr>
            <w:tcW w:w="1109" w:type="dxa"/>
            <w:vAlign w:val="bottom"/>
          </w:tcPr>
          <w:p w:rsidR="008F0843" w:rsidRPr="007C51D6" w:rsidRDefault="008F0843" w:rsidP="008F0843">
            <w:pPr>
              <w:jc w:val="center"/>
              <w:rPr>
                <w:color w:val="000000"/>
                <w:sz w:val="20"/>
                <w:szCs w:val="20"/>
              </w:rPr>
            </w:pPr>
            <w:r w:rsidRPr="007C51D6">
              <w:rPr>
                <w:color w:val="000000"/>
                <w:sz w:val="20"/>
                <w:szCs w:val="20"/>
              </w:rPr>
              <w:t>178,8</w:t>
            </w:r>
          </w:p>
        </w:tc>
        <w:tc>
          <w:tcPr>
            <w:tcW w:w="1103" w:type="dxa"/>
          </w:tcPr>
          <w:p w:rsidR="008F0843" w:rsidRPr="007C51D6" w:rsidRDefault="008F0843" w:rsidP="004472F9">
            <w:pPr>
              <w:jc w:val="center"/>
              <w:rPr>
                <w:color w:val="000000"/>
                <w:sz w:val="20"/>
                <w:szCs w:val="20"/>
              </w:rPr>
            </w:pPr>
            <w:r w:rsidRPr="007C51D6">
              <w:rPr>
                <w:color w:val="000000"/>
                <w:sz w:val="20"/>
                <w:szCs w:val="20"/>
              </w:rPr>
              <w:t>200,9</w:t>
            </w:r>
          </w:p>
        </w:tc>
        <w:tc>
          <w:tcPr>
            <w:tcW w:w="1103" w:type="dxa"/>
          </w:tcPr>
          <w:p w:rsidR="008F0843" w:rsidRPr="007C51D6" w:rsidRDefault="008F0843" w:rsidP="004472F9">
            <w:pPr>
              <w:jc w:val="center"/>
              <w:rPr>
                <w:color w:val="000000"/>
                <w:sz w:val="20"/>
                <w:szCs w:val="20"/>
              </w:rPr>
            </w:pPr>
            <w:r w:rsidRPr="007C51D6">
              <w:rPr>
                <w:color w:val="000000"/>
                <w:sz w:val="20"/>
                <w:szCs w:val="20"/>
              </w:rPr>
              <w:t>238,2</w:t>
            </w:r>
          </w:p>
        </w:tc>
        <w:tc>
          <w:tcPr>
            <w:tcW w:w="1103" w:type="dxa"/>
          </w:tcPr>
          <w:p w:rsidR="004472F9" w:rsidRPr="007C51D6" w:rsidRDefault="004472F9" w:rsidP="004472F9">
            <w:pPr>
              <w:jc w:val="center"/>
              <w:rPr>
                <w:color w:val="000000"/>
                <w:sz w:val="20"/>
                <w:szCs w:val="20"/>
              </w:rPr>
            </w:pPr>
            <w:r w:rsidRPr="007C51D6">
              <w:rPr>
                <w:color w:val="000000"/>
                <w:sz w:val="20"/>
                <w:szCs w:val="20"/>
              </w:rPr>
              <w:t>нет</w:t>
            </w:r>
          </w:p>
          <w:p w:rsidR="008F0843" w:rsidRPr="007C51D6" w:rsidRDefault="004472F9" w:rsidP="004472F9">
            <w:pPr>
              <w:jc w:val="center"/>
              <w:rPr>
                <w:color w:val="000000"/>
                <w:sz w:val="20"/>
                <w:szCs w:val="20"/>
              </w:rPr>
            </w:pPr>
            <w:r w:rsidRPr="007C51D6">
              <w:rPr>
                <w:color w:val="000000"/>
                <w:sz w:val="20"/>
                <w:szCs w:val="20"/>
              </w:rPr>
              <w:t>данных</w:t>
            </w:r>
          </w:p>
        </w:tc>
      </w:tr>
      <w:tr w:rsidR="008F0843" w:rsidRPr="007C51D6" w:rsidTr="004472F9">
        <w:trPr>
          <w:trHeight w:val="20"/>
        </w:trPr>
        <w:tc>
          <w:tcPr>
            <w:tcW w:w="4531" w:type="dxa"/>
            <w:shd w:val="clear" w:color="auto" w:fill="auto"/>
            <w:hideMark/>
          </w:tcPr>
          <w:p w:rsidR="008F0843" w:rsidRPr="007C51D6" w:rsidRDefault="008F0843" w:rsidP="008F0843">
            <w:pPr>
              <w:autoSpaceDE/>
              <w:autoSpaceDN/>
              <w:adjustRightInd/>
              <w:rPr>
                <w:color w:val="000000"/>
                <w:sz w:val="20"/>
                <w:szCs w:val="20"/>
              </w:rPr>
            </w:pPr>
            <w:r w:rsidRPr="007C51D6">
              <w:rPr>
                <w:color w:val="000000"/>
                <w:sz w:val="20"/>
                <w:szCs w:val="20"/>
              </w:rPr>
              <w:t>Актанышский</w:t>
            </w:r>
          </w:p>
        </w:tc>
        <w:tc>
          <w:tcPr>
            <w:tcW w:w="1012" w:type="dxa"/>
            <w:shd w:val="clear" w:color="auto" w:fill="auto"/>
            <w:hideMark/>
          </w:tcPr>
          <w:p w:rsidR="008F0843" w:rsidRPr="007C51D6" w:rsidRDefault="008F0843" w:rsidP="008F0843">
            <w:pPr>
              <w:autoSpaceDE/>
              <w:autoSpaceDN/>
              <w:adjustRightInd/>
              <w:jc w:val="center"/>
              <w:rPr>
                <w:color w:val="000000"/>
                <w:sz w:val="20"/>
                <w:szCs w:val="20"/>
              </w:rPr>
            </w:pPr>
            <w:r w:rsidRPr="007C51D6">
              <w:rPr>
                <w:color w:val="000000"/>
                <w:sz w:val="20"/>
                <w:szCs w:val="20"/>
              </w:rPr>
              <w:t>171,90</w:t>
            </w:r>
          </w:p>
        </w:tc>
        <w:tc>
          <w:tcPr>
            <w:tcW w:w="1115" w:type="dxa"/>
            <w:shd w:val="clear" w:color="auto" w:fill="auto"/>
            <w:hideMark/>
          </w:tcPr>
          <w:p w:rsidR="008F0843" w:rsidRPr="007C51D6" w:rsidRDefault="008F0843" w:rsidP="008F0843">
            <w:pPr>
              <w:autoSpaceDE/>
              <w:autoSpaceDN/>
              <w:adjustRightInd/>
              <w:jc w:val="center"/>
              <w:rPr>
                <w:color w:val="000000"/>
                <w:sz w:val="20"/>
                <w:szCs w:val="20"/>
              </w:rPr>
            </w:pPr>
            <w:r w:rsidRPr="007C51D6">
              <w:rPr>
                <w:color w:val="000000"/>
                <w:sz w:val="20"/>
                <w:szCs w:val="20"/>
              </w:rPr>
              <w:t>179,89</w:t>
            </w:r>
          </w:p>
        </w:tc>
        <w:tc>
          <w:tcPr>
            <w:tcW w:w="1012" w:type="dxa"/>
            <w:shd w:val="clear" w:color="auto" w:fill="auto"/>
            <w:hideMark/>
          </w:tcPr>
          <w:p w:rsidR="008F0843" w:rsidRPr="007C51D6" w:rsidRDefault="008F0843" w:rsidP="008F0843">
            <w:pPr>
              <w:autoSpaceDE/>
              <w:autoSpaceDN/>
              <w:adjustRightInd/>
              <w:jc w:val="center"/>
              <w:rPr>
                <w:color w:val="000000"/>
                <w:sz w:val="20"/>
                <w:szCs w:val="20"/>
              </w:rPr>
            </w:pPr>
            <w:r w:rsidRPr="007C51D6">
              <w:rPr>
                <w:color w:val="000000"/>
                <w:sz w:val="20"/>
                <w:szCs w:val="20"/>
              </w:rPr>
              <w:t>156,99</w:t>
            </w:r>
          </w:p>
        </w:tc>
        <w:tc>
          <w:tcPr>
            <w:tcW w:w="1011" w:type="dxa"/>
            <w:shd w:val="clear" w:color="auto" w:fill="auto"/>
            <w:hideMark/>
          </w:tcPr>
          <w:p w:rsidR="008F0843" w:rsidRPr="007C51D6" w:rsidRDefault="008F0843" w:rsidP="008F0843">
            <w:pPr>
              <w:autoSpaceDE/>
              <w:autoSpaceDN/>
              <w:adjustRightInd/>
              <w:jc w:val="center"/>
              <w:rPr>
                <w:color w:val="000000"/>
                <w:sz w:val="20"/>
                <w:szCs w:val="20"/>
              </w:rPr>
            </w:pPr>
            <w:r w:rsidRPr="007C51D6">
              <w:rPr>
                <w:color w:val="000000"/>
                <w:sz w:val="20"/>
                <w:szCs w:val="20"/>
              </w:rPr>
              <w:t>198,91</w:t>
            </w:r>
          </w:p>
        </w:tc>
        <w:tc>
          <w:tcPr>
            <w:tcW w:w="1012" w:type="dxa"/>
            <w:shd w:val="clear" w:color="auto" w:fill="auto"/>
          </w:tcPr>
          <w:p w:rsidR="008F0843" w:rsidRPr="007C51D6" w:rsidRDefault="008F0843" w:rsidP="008F0843">
            <w:pPr>
              <w:autoSpaceDE/>
              <w:autoSpaceDN/>
              <w:adjustRightInd/>
              <w:jc w:val="center"/>
              <w:rPr>
                <w:color w:val="000000"/>
                <w:sz w:val="20"/>
                <w:szCs w:val="20"/>
              </w:rPr>
            </w:pPr>
            <w:r w:rsidRPr="007C51D6">
              <w:rPr>
                <w:color w:val="000000"/>
                <w:sz w:val="20"/>
                <w:szCs w:val="20"/>
              </w:rPr>
              <w:t>146,9</w:t>
            </w:r>
          </w:p>
        </w:tc>
        <w:tc>
          <w:tcPr>
            <w:tcW w:w="1012" w:type="dxa"/>
          </w:tcPr>
          <w:p w:rsidR="008F0843" w:rsidRPr="007C51D6" w:rsidRDefault="008F0843" w:rsidP="008F0843">
            <w:pPr>
              <w:autoSpaceDE/>
              <w:autoSpaceDN/>
              <w:adjustRightInd/>
              <w:jc w:val="center"/>
              <w:rPr>
                <w:color w:val="000000"/>
                <w:sz w:val="20"/>
                <w:szCs w:val="20"/>
              </w:rPr>
            </w:pPr>
            <w:r w:rsidRPr="007C51D6">
              <w:rPr>
                <w:color w:val="000000"/>
                <w:sz w:val="20"/>
                <w:szCs w:val="20"/>
              </w:rPr>
              <w:t>142.9</w:t>
            </w:r>
          </w:p>
        </w:tc>
        <w:tc>
          <w:tcPr>
            <w:tcW w:w="1109" w:type="dxa"/>
            <w:vAlign w:val="bottom"/>
          </w:tcPr>
          <w:p w:rsidR="008F0843" w:rsidRPr="007C51D6" w:rsidRDefault="008F0843" w:rsidP="008F0843">
            <w:pPr>
              <w:jc w:val="center"/>
              <w:rPr>
                <w:color w:val="000000"/>
                <w:sz w:val="20"/>
                <w:szCs w:val="20"/>
              </w:rPr>
            </w:pPr>
            <w:r w:rsidRPr="007C51D6">
              <w:rPr>
                <w:color w:val="000000"/>
                <w:sz w:val="20"/>
                <w:szCs w:val="20"/>
              </w:rPr>
              <w:t>110,5</w:t>
            </w:r>
          </w:p>
        </w:tc>
        <w:tc>
          <w:tcPr>
            <w:tcW w:w="1103" w:type="dxa"/>
          </w:tcPr>
          <w:p w:rsidR="008F0843" w:rsidRPr="007C51D6" w:rsidRDefault="008F0843" w:rsidP="004472F9">
            <w:pPr>
              <w:jc w:val="center"/>
              <w:rPr>
                <w:color w:val="000000"/>
                <w:sz w:val="20"/>
                <w:szCs w:val="20"/>
              </w:rPr>
            </w:pPr>
            <w:r w:rsidRPr="007C51D6">
              <w:rPr>
                <w:color w:val="000000"/>
                <w:sz w:val="20"/>
                <w:szCs w:val="20"/>
              </w:rPr>
              <w:t>144,8</w:t>
            </w:r>
          </w:p>
        </w:tc>
        <w:tc>
          <w:tcPr>
            <w:tcW w:w="1103" w:type="dxa"/>
          </w:tcPr>
          <w:p w:rsidR="008F0843" w:rsidRPr="007C51D6" w:rsidRDefault="008F0843" w:rsidP="004472F9">
            <w:pPr>
              <w:jc w:val="center"/>
              <w:rPr>
                <w:color w:val="000000"/>
                <w:sz w:val="20"/>
                <w:szCs w:val="20"/>
              </w:rPr>
            </w:pPr>
            <w:r w:rsidRPr="007C51D6">
              <w:rPr>
                <w:color w:val="000000"/>
                <w:sz w:val="20"/>
                <w:szCs w:val="20"/>
              </w:rPr>
              <w:t>125,1</w:t>
            </w:r>
          </w:p>
        </w:tc>
        <w:tc>
          <w:tcPr>
            <w:tcW w:w="1103" w:type="dxa"/>
          </w:tcPr>
          <w:p w:rsidR="004472F9" w:rsidRPr="007C51D6" w:rsidRDefault="004472F9" w:rsidP="004472F9">
            <w:pPr>
              <w:jc w:val="center"/>
              <w:rPr>
                <w:color w:val="000000"/>
                <w:sz w:val="20"/>
                <w:szCs w:val="20"/>
              </w:rPr>
            </w:pPr>
            <w:r w:rsidRPr="007C51D6">
              <w:rPr>
                <w:color w:val="000000"/>
                <w:sz w:val="20"/>
                <w:szCs w:val="20"/>
              </w:rPr>
              <w:t>нет</w:t>
            </w:r>
          </w:p>
          <w:p w:rsidR="008F0843" w:rsidRPr="007C51D6" w:rsidRDefault="004472F9" w:rsidP="004472F9">
            <w:pPr>
              <w:jc w:val="center"/>
              <w:rPr>
                <w:color w:val="000000"/>
                <w:sz w:val="20"/>
                <w:szCs w:val="20"/>
              </w:rPr>
            </w:pPr>
            <w:r w:rsidRPr="007C51D6">
              <w:rPr>
                <w:color w:val="000000"/>
                <w:sz w:val="20"/>
                <w:szCs w:val="20"/>
              </w:rPr>
              <w:t>данных</w:t>
            </w:r>
          </w:p>
        </w:tc>
      </w:tr>
      <w:tr w:rsidR="008F0843" w:rsidRPr="007C51D6" w:rsidTr="004472F9">
        <w:trPr>
          <w:trHeight w:val="20"/>
        </w:trPr>
        <w:tc>
          <w:tcPr>
            <w:tcW w:w="4531" w:type="dxa"/>
            <w:shd w:val="clear" w:color="auto" w:fill="auto"/>
            <w:hideMark/>
          </w:tcPr>
          <w:p w:rsidR="008F0843" w:rsidRPr="007C51D6" w:rsidRDefault="008F0843" w:rsidP="008F0843">
            <w:pPr>
              <w:autoSpaceDE/>
              <w:autoSpaceDN/>
              <w:adjustRightInd/>
              <w:rPr>
                <w:color w:val="000000"/>
                <w:sz w:val="20"/>
                <w:szCs w:val="20"/>
              </w:rPr>
            </w:pPr>
            <w:r w:rsidRPr="007C51D6">
              <w:rPr>
                <w:color w:val="000000"/>
                <w:sz w:val="20"/>
                <w:szCs w:val="20"/>
              </w:rPr>
              <w:t>Алексеевский</w:t>
            </w:r>
          </w:p>
        </w:tc>
        <w:tc>
          <w:tcPr>
            <w:tcW w:w="1012" w:type="dxa"/>
            <w:shd w:val="clear" w:color="auto" w:fill="auto"/>
            <w:hideMark/>
          </w:tcPr>
          <w:p w:rsidR="008F0843" w:rsidRPr="007C51D6" w:rsidRDefault="008F0843" w:rsidP="008F0843">
            <w:pPr>
              <w:autoSpaceDE/>
              <w:autoSpaceDN/>
              <w:adjustRightInd/>
              <w:jc w:val="center"/>
              <w:rPr>
                <w:color w:val="000000"/>
                <w:sz w:val="20"/>
                <w:szCs w:val="20"/>
              </w:rPr>
            </w:pPr>
            <w:r w:rsidRPr="007C51D6">
              <w:rPr>
                <w:color w:val="000000"/>
                <w:sz w:val="20"/>
                <w:szCs w:val="20"/>
              </w:rPr>
              <w:t>185,10</w:t>
            </w:r>
          </w:p>
        </w:tc>
        <w:tc>
          <w:tcPr>
            <w:tcW w:w="1115" w:type="dxa"/>
            <w:shd w:val="clear" w:color="auto" w:fill="auto"/>
            <w:hideMark/>
          </w:tcPr>
          <w:p w:rsidR="008F0843" w:rsidRPr="007C51D6" w:rsidRDefault="008F0843" w:rsidP="008F0843">
            <w:pPr>
              <w:autoSpaceDE/>
              <w:autoSpaceDN/>
              <w:adjustRightInd/>
              <w:jc w:val="center"/>
              <w:rPr>
                <w:color w:val="000000"/>
                <w:sz w:val="20"/>
                <w:szCs w:val="20"/>
              </w:rPr>
            </w:pPr>
            <w:r w:rsidRPr="007C51D6">
              <w:rPr>
                <w:color w:val="000000"/>
                <w:sz w:val="20"/>
                <w:szCs w:val="20"/>
              </w:rPr>
              <w:t>170,79</w:t>
            </w:r>
          </w:p>
        </w:tc>
        <w:tc>
          <w:tcPr>
            <w:tcW w:w="1012" w:type="dxa"/>
            <w:shd w:val="clear" w:color="auto" w:fill="auto"/>
            <w:hideMark/>
          </w:tcPr>
          <w:p w:rsidR="008F0843" w:rsidRPr="007C51D6" w:rsidRDefault="008F0843" w:rsidP="008F0843">
            <w:pPr>
              <w:autoSpaceDE/>
              <w:autoSpaceDN/>
              <w:adjustRightInd/>
              <w:jc w:val="center"/>
              <w:rPr>
                <w:color w:val="000000"/>
                <w:sz w:val="20"/>
                <w:szCs w:val="20"/>
              </w:rPr>
            </w:pPr>
            <w:r w:rsidRPr="007C51D6">
              <w:rPr>
                <w:color w:val="000000"/>
                <w:sz w:val="20"/>
                <w:szCs w:val="20"/>
              </w:rPr>
              <w:t>178,55</w:t>
            </w:r>
          </w:p>
        </w:tc>
        <w:tc>
          <w:tcPr>
            <w:tcW w:w="1011" w:type="dxa"/>
            <w:shd w:val="clear" w:color="auto" w:fill="auto"/>
            <w:hideMark/>
          </w:tcPr>
          <w:p w:rsidR="008F0843" w:rsidRPr="007C51D6" w:rsidRDefault="008F0843" w:rsidP="008F0843">
            <w:pPr>
              <w:autoSpaceDE/>
              <w:autoSpaceDN/>
              <w:adjustRightInd/>
              <w:jc w:val="center"/>
              <w:rPr>
                <w:color w:val="000000"/>
                <w:sz w:val="20"/>
                <w:szCs w:val="20"/>
              </w:rPr>
            </w:pPr>
            <w:r w:rsidRPr="007C51D6">
              <w:rPr>
                <w:color w:val="000000"/>
                <w:sz w:val="20"/>
                <w:szCs w:val="20"/>
              </w:rPr>
              <w:t>211,38</w:t>
            </w:r>
          </w:p>
        </w:tc>
        <w:tc>
          <w:tcPr>
            <w:tcW w:w="1012" w:type="dxa"/>
            <w:shd w:val="clear" w:color="auto" w:fill="auto"/>
          </w:tcPr>
          <w:p w:rsidR="008F0843" w:rsidRPr="007C51D6" w:rsidRDefault="008F0843" w:rsidP="008F0843">
            <w:pPr>
              <w:autoSpaceDE/>
              <w:autoSpaceDN/>
              <w:adjustRightInd/>
              <w:jc w:val="center"/>
              <w:rPr>
                <w:color w:val="000000"/>
                <w:sz w:val="20"/>
                <w:szCs w:val="20"/>
              </w:rPr>
            </w:pPr>
            <w:r w:rsidRPr="007C51D6">
              <w:rPr>
                <w:color w:val="000000"/>
                <w:sz w:val="20"/>
                <w:szCs w:val="20"/>
              </w:rPr>
              <w:t>237,3</w:t>
            </w:r>
          </w:p>
        </w:tc>
        <w:tc>
          <w:tcPr>
            <w:tcW w:w="1012" w:type="dxa"/>
          </w:tcPr>
          <w:p w:rsidR="008F0843" w:rsidRPr="007C51D6" w:rsidRDefault="008F0843" w:rsidP="008F0843">
            <w:pPr>
              <w:autoSpaceDE/>
              <w:autoSpaceDN/>
              <w:adjustRightInd/>
              <w:jc w:val="center"/>
              <w:rPr>
                <w:color w:val="000000"/>
                <w:sz w:val="20"/>
                <w:szCs w:val="20"/>
              </w:rPr>
            </w:pPr>
            <w:r w:rsidRPr="007C51D6">
              <w:rPr>
                <w:color w:val="000000"/>
                <w:sz w:val="20"/>
                <w:szCs w:val="20"/>
              </w:rPr>
              <w:t>174,7</w:t>
            </w:r>
          </w:p>
        </w:tc>
        <w:tc>
          <w:tcPr>
            <w:tcW w:w="1109" w:type="dxa"/>
            <w:vAlign w:val="bottom"/>
          </w:tcPr>
          <w:p w:rsidR="008F0843" w:rsidRPr="007C51D6" w:rsidRDefault="008F0843" w:rsidP="008F0843">
            <w:pPr>
              <w:jc w:val="center"/>
              <w:rPr>
                <w:color w:val="000000"/>
                <w:sz w:val="20"/>
                <w:szCs w:val="20"/>
              </w:rPr>
            </w:pPr>
            <w:r w:rsidRPr="007C51D6">
              <w:rPr>
                <w:color w:val="000000"/>
                <w:sz w:val="20"/>
                <w:szCs w:val="20"/>
              </w:rPr>
              <w:t>167,6</w:t>
            </w:r>
          </w:p>
        </w:tc>
        <w:tc>
          <w:tcPr>
            <w:tcW w:w="1103" w:type="dxa"/>
          </w:tcPr>
          <w:p w:rsidR="008F0843" w:rsidRPr="007C51D6" w:rsidRDefault="008F0843" w:rsidP="004472F9">
            <w:pPr>
              <w:jc w:val="center"/>
              <w:rPr>
                <w:color w:val="000000"/>
                <w:sz w:val="20"/>
                <w:szCs w:val="20"/>
              </w:rPr>
            </w:pPr>
            <w:r w:rsidRPr="007C51D6">
              <w:rPr>
                <w:color w:val="000000"/>
                <w:sz w:val="20"/>
                <w:szCs w:val="20"/>
              </w:rPr>
              <w:t>162,1</w:t>
            </w:r>
          </w:p>
        </w:tc>
        <w:tc>
          <w:tcPr>
            <w:tcW w:w="1103" w:type="dxa"/>
          </w:tcPr>
          <w:p w:rsidR="008F0843" w:rsidRPr="007C51D6" w:rsidRDefault="008F0843" w:rsidP="004472F9">
            <w:pPr>
              <w:jc w:val="center"/>
              <w:rPr>
                <w:color w:val="000000"/>
                <w:sz w:val="20"/>
                <w:szCs w:val="20"/>
              </w:rPr>
            </w:pPr>
            <w:r w:rsidRPr="007C51D6">
              <w:rPr>
                <w:color w:val="000000"/>
                <w:sz w:val="20"/>
                <w:szCs w:val="20"/>
              </w:rPr>
              <w:t>191,5</w:t>
            </w:r>
          </w:p>
        </w:tc>
        <w:tc>
          <w:tcPr>
            <w:tcW w:w="1103" w:type="dxa"/>
          </w:tcPr>
          <w:p w:rsidR="004472F9" w:rsidRPr="007C51D6" w:rsidRDefault="004472F9" w:rsidP="004472F9">
            <w:pPr>
              <w:jc w:val="center"/>
              <w:rPr>
                <w:color w:val="000000"/>
                <w:sz w:val="20"/>
                <w:szCs w:val="20"/>
              </w:rPr>
            </w:pPr>
            <w:r w:rsidRPr="007C51D6">
              <w:rPr>
                <w:color w:val="000000"/>
                <w:sz w:val="20"/>
                <w:szCs w:val="20"/>
              </w:rPr>
              <w:t>нет</w:t>
            </w:r>
          </w:p>
          <w:p w:rsidR="008F0843" w:rsidRPr="007C51D6" w:rsidRDefault="004472F9" w:rsidP="004472F9">
            <w:pPr>
              <w:jc w:val="center"/>
              <w:rPr>
                <w:color w:val="000000"/>
                <w:sz w:val="20"/>
                <w:szCs w:val="20"/>
              </w:rPr>
            </w:pPr>
            <w:r w:rsidRPr="007C51D6">
              <w:rPr>
                <w:color w:val="000000"/>
                <w:sz w:val="20"/>
                <w:szCs w:val="20"/>
              </w:rPr>
              <w:t>данных</w:t>
            </w:r>
          </w:p>
        </w:tc>
      </w:tr>
      <w:tr w:rsidR="008F0843" w:rsidRPr="007C51D6" w:rsidTr="004472F9">
        <w:trPr>
          <w:trHeight w:val="20"/>
        </w:trPr>
        <w:tc>
          <w:tcPr>
            <w:tcW w:w="4531" w:type="dxa"/>
            <w:shd w:val="clear" w:color="auto" w:fill="auto"/>
            <w:hideMark/>
          </w:tcPr>
          <w:p w:rsidR="008F0843" w:rsidRPr="007C51D6" w:rsidRDefault="008F0843" w:rsidP="008F0843">
            <w:pPr>
              <w:autoSpaceDE/>
              <w:autoSpaceDN/>
              <w:adjustRightInd/>
              <w:rPr>
                <w:color w:val="000000"/>
                <w:sz w:val="20"/>
                <w:szCs w:val="20"/>
              </w:rPr>
            </w:pPr>
            <w:r w:rsidRPr="007C51D6">
              <w:rPr>
                <w:color w:val="000000"/>
                <w:sz w:val="20"/>
                <w:szCs w:val="20"/>
              </w:rPr>
              <w:t>Алькеевский</w:t>
            </w:r>
          </w:p>
        </w:tc>
        <w:tc>
          <w:tcPr>
            <w:tcW w:w="1012" w:type="dxa"/>
            <w:shd w:val="clear" w:color="auto" w:fill="auto"/>
            <w:hideMark/>
          </w:tcPr>
          <w:p w:rsidR="008F0843" w:rsidRPr="007C51D6" w:rsidRDefault="008F0843" w:rsidP="008F0843">
            <w:pPr>
              <w:autoSpaceDE/>
              <w:autoSpaceDN/>
              <w:adjustRightInd/>
              <w:jc w:val="center"/>
              <w:rPr>
                <w:color w:val="000000"/>
                <w:sz w:val="20"/>
                <w:szCs w:val="20"/>
              </w:rPr>
            </w:pPr>
            <w:r w:rsidRPr="007C51D6">
              <w:rPr>
                <w:color w:val="000000"/>
                <w:sz w:val="20"/>
                <w:szCs w:val="20"/>
              </w:rPr>
              <w:t>72,02</w:t>
            </w:r>
          </w:p>
        </w:tc>
        <w:tc>
          <w:tcPr>
            <w:tcW w:w="1115" w:type="dxa"/>
            <w:shd w:val="clear" w:color="auto" w:fill="auto"/>
            <w:hideMark/>
          </w:tcPr>
          <w:p w:rsidR="008F0843" w:rsidRPr="007C51D6" w:rsidRDefault="008F0843" w:rsidP="008F0843">
            <w:pPr>
              <w:autoSpaceDE/>
              <w:autoSpaceDN/>
              <w:adjustRightInd/>
              <w:jc w:val="center"/>
              <w:rPr>
                <w:color w:val="000000"/>
                <w:sz w:val="20"/>
                <w:szCs w:val="20"/>
              </w:rPr>
            </w:pPr>
            <w:r w:rsidRPr="007C51D6">
              <w:rPr>
                <w:color w:val="000000"/>
                <w:sz w:val="20"/>
                <w:szCs w:val="20"/>
              </w:rPr>
              <w:t>72,57</w:t>
            </w:r>
          </w:p>
        </w:tc>
        <w:tc>
          <w:tcPr>
            <w:tcW w:w="1012" w:type="dxa"/>
            <w:shd w:val="clear" w:color="auto" w:fill="auto"/>
            <w:hideMark/>
          </w:tcPr>
          <w:p w:rsidR="008F0843" w:rsidRPr="007C51D6" w:rsidRDefault="008F0843" w:rsidP="008F0843">
            <w:pPr>
              <w:autoSpaceDE/>
              <w:autoSpaceDN/>
              <w:adjustRightInd/>
              <w:jc w:val="center"/>
              <w:rPr>
                <w:color w:val="000000"/>
                <w:sz w:val="20"/>
                <w:szCs w:val="20"/>
              </w:rPr>
            </w:pPr>
            <w:r w:rsidRPr="007C51D6">
              <w:rPr>
                <w:color w:val="000000"/>
                <w:sz w:val="20"/>
                <w:szCs w:val="20"/>
              </w:rPr>
              <w:t>119,23</w:t>
            </w:r>
          </w:p>
        </w:tc>
        <w:tc>
          <w:tcPr>
            <w:tcW w:w="1011" w:type="dxa"/>
            <w:shd w:val="clear" w:color="auto" w:fill="auto"/>
            <w:hideMark/>
          </w:tcPr>
          <w:p w:rsidR="008F0843" w:rsidRPr="007C51D6" w:rsidRDefault="008F0843" w:rsidP="008F0843">
            <w:pPr>
              <w:autoSpaceDE/>
              <w:autoSpaceDN/>
              <w:adjustRightInd/>
              <w:jc w:val="center"/>
              <w:rPr>
                <w:color w:val="000000"/>
                <w:sz w:val="20"/>
                <w:szCs w:val="20"/>
              </w:rPr>
            </w:pPr>
            <w:r w:rsidRPr="007C51D6">
              <w:rPr>
                <w:color w:val="000000"/>
                <w:sz w:val="20"/>
                <w:szCs w:val="20"/>
              </w:rPr>
              <w:t>131,11</w:t>
            </w:r>
          </w:p>
        </w:tc>
        <w:tc>
          <w:tcPr>
            <w:tcW w:w="1012" w:type="dxa"/>
            <w:shd w:val="clear" w:color="auto" w:fill="auto"/>
          </w:tcPr>
          <w:p w:rsidR="008F0843" w:rsidRPr="007C51D6" w:rsidRDefault="008F0843" w:rsidP="008F0843">
            <w:pPr>
              <w:autoSpaceDE/>
              <w:autoSpaceDN/>
              <w:adjustRightInd/>
              <w:jc w:val="center"/>
              <w:rPr>
                <w:color w:val="000000"/>
                <w:sz w:val="20"/>
                <w:szCs w:val="20"/>
              </w:rPr>
            </w:pPr>
            <w:r w:rsidRPr="007C51D6">
              <w:rPr>
                <w:color w:val="000000"/>
                <w:sz w:val="20"/>
                <w:szCs w:val="20"/>
              </w:rPr>
              <w:t>123,7</w:t>
            </w:r>
          </w:p>
        </w:tc>
        <w:tc>
          <w:tcPr>
            <w:tcW w:w="1012" w:type="dxa"/>
          </w:tcPr>
          <w:p w:rsidR="008F0843" w:rsidRPr="007C51D6" w:rsidRDefault="008F0843" w:rsidP="008F0843">
            <w:pPr>
              <w:autoSpaceDE/>
              <w:autoSpaceDN/>
              <w:adjustRightInd/>
              <w:jc w:val="center"/>
              <w:rPr>
                <w:color w:val="000000"/>
                <w:sz w:val="20"/>
                <w:szCs w:val="20"/>
              </w:rPr>
            </w:pPr>
            <w:r w:rsidRPr="007C51D6">
              <w:rPr>
                <w:color w:val="000000"/>
                <w:sz w:val="20"/>
                <w:szCs w:val="20"/>
              </w:rPr>
              <w:t>114,5</w:t>
            </w:r>
          </w:p>
        </w:tc>
        <w:tc>
          <w:tcPr>
            <w:tcW w:w="1109" w:type="dxa"/>
            <w:vAlign w:val="bottom"/>
          </w:tcPr>
          <w:p w:rsidR="008F0843" w:rsidRPr="007C51D6" w:rsidRDefault="008F0843" w:rsidP="008F0843">
            <w:pPr>
              <w:autoSpaceDE/>
              <w:autoSpaceDN/>
              <w:adjustRightInd/>
              <w:jc w:val="center"/>
              <w:rPr>
                <w:color w:val="000000"/>
                <w:sz w:val="20"/>
                <w:szCs w:val="20"/>
              </w:rPr>
            </w:pPr>
            <w:r w:rsidRPr="007C51D6">
              <w:rPr>
                <w:color w:val="000000"/>
                <w:sz w:val="20"/>
                <w:szCs w:val="20"/>
              </w:rPr>
              <w:t>143,6</w:t>
            </w:r>
          </w:p>
        </w:tc>
        <w:tc>
          <w:tcPr>
            <w:tcW w:w="1103" w:type="dxa"/>
          </w:tcPr>
          <w:p w:rsidR="008F0843" w:rsidRPr="007C51D6" w:rsidRDefault="008F0843" w:rsidP="004472F9">
            <w:pPr>
              <w:autoSpaceDE/>
              <w:autoSpaceDN/>
              <w:adjustRightInd/>
              <w:jc w:val="center"/>
              <w:rPr>
                <w:color w:val="000000"/>
                <w:sz w:val="20"/>
                <w:szCs w:val="20"/>
              </w:rPr>
            </w:pPr>
            <w:r w:rsidRPr="007C51D6">
              <w:rPr>
                <w:color w:val="000000"/>
                <w:sz w:val="20"/>
                <w:szCs w:val="20"/>
              </w:rPr>
              <w:t>126,6</w:t>
            </w:r>
          </w:p>
        </w:tc>
        <w:tc>
          <w:tcPr>
            <w:tcW w:w="1103" w:type="dxa"/>
          </w:tcPr>
          <w:p w:rsidR="008F0843" w:rsidRPr="007C51D6" w:rsidRDefault="008F0843" w:rsidP="004472F9">
            <w:pPr>
              <w:autoSpaceDE/>
              <w:autoSpaceDN/>
              <w:adjustRightInd/>
              <w:jc w:val="center"/>
              <w:rPr>
                <w:color w:val="000000"/>
                <w:sz w:val="20"/>
                <w:szCs w:val="20"/>
              </w:rPr>
            </w:pPr>
            <w:r w:rsidRPr="007C51D6">
              <w:rPr>
                <w:color w:val="000000"/>
                <w:sz w:val="20"/>
                <w:szCs w:val="20"/>
              </w:rPr>
              <w:t>133,2</w:t>
            </w:r>
          </w:p>
        </w:tc>
        <w:tc>
          <w:tcPr>
            <w:tcW w:w="1103" w:type="dxa"/>
          </w:tcPr>
          <w:p w:rsidR="004472F9" w:rsidRPr="007C51D6" w:rsidRDefault="004472F9" w:rsidP="004472F9">
            <w:pPr>
              <w:jc w:val="center"/>
              <w:rPr>
                <w:color w:val="000000"/>
                <w:sz w:val="20"/>
                <w:szCs w:val="20"/>
              </w:rPr>
            </w:pPr>
            <w:r w:rsidRPr="007C51D6">
              <w:rPr>
                <w:color w:val="000000"/>
                <w:sz w:val="20"/>
                <w:szCs w:val="20"/>
              </w:rPr>
              <w:t>нет</w:t>
            </w:r>
          </w:p>
          <w:p w:rsidR="008F0843" w:rsidRPr="007C51D6" w:rsidRDefault="004472F9" w:rsidP="004472F9">
            <w:pPr>
              <w:autoSpaceDE/>
              <w:autoSpaceDN/>
              <w:adjustRightInd/>
              <w:jc w:val="center"/>
              <w:rPr>
                <w:color w:val="000000"/>
                <w:sz w:val="20"/>
                <w:szCs w:val="20"/>
              </w:rPr>
            </w:pPr>
            <w:r w:rsidRPr="007C51D6">
              <w:rPr>
                <w:color w:val="000000"/>
                <w:sz w:val="20"/>
                <w:szCs w:val="20"/>
              </w:rPr>
              <w:t>данных</w:t>
            </w:r>
          </w:p>
        </w:tc>
      </w:tr>
      <w:tr w:rsidR="008F0843" w:rsidRPr="007C51D6" w:rsidTr="004472F9">
        <w:trPr>
          <w:trHeight w:val="20"/>
        </w:trPr>
        <w:tc>
          <w:tcPr>
            <w:tcW w:w="4531" w:type="dxa"/>
            <w:shd w:val="clear" w:color="auto" w:fill="auto"/>
            <w:hideMark/>
          </w:tcPr>
          <w:p w:rsidR="008F0843" w:rsidRPr="007C51D6" w:rsidRDefault="008F0843" w:rsidP="008F0843">
            <w:pPr>
              <w:autoSpaceDE/>
              <w:autoSpaceDN/>
              <w:adjustRightInd/>
              <w:rPr>
                <w:color w:val="000000"/>
                <w:sz w:val="20"/>
                <w:szCs w:val="20"/>
              </w:rPr>
            </w:pPr>
            <w:r w:rsidRPr="007C51D6">
              <w:rPr>
                <w:color w:val="000000"/>
                <w:sz w:val="20"/>
                <w:szCs w:val="20"/>
              </w:rPr>
              <w:t>Альметьевский</w:t>
            </w:r>
          </w:p>
        </w:tc>
        <w:tc>
          <w:tcPr>
            <w:tcW w:w="1012" w:type="dxa"/>
            <w:shd w:val="clear" w:color="auto" w:fill="auto"/>
            <w:hideMark/>
          </w:tcPr>
          <w:p w:rsidR="008F0843" w:rsidRPr="007C51D6" w:rsidRDefault="008F0843" w:rsidP="008F0843">
            <w:pPr>
              <w:autoSpaceDE/>
              <w:autoSpaceDN/>
              <w:adjustRightInd/>
              <w:jc w:val="center"/>
              <w:rPr>
                <w:color w:val="000000"/>
                <w:sz w:val="20"/>
                <w:szCs w:val="20"/>
              </w:rPr>
            </w:pPr>
            <w:r w:rsidRPr="007C51D6">
              <w:rPr>
                <w:color w:val="000000"/>
                <w:sz w:val="20"/>
                <w:szCs w:val="20"/>
              </w:rPr>
              <w:t>170,50</w:t>
            </w:r>
          </w:p>
        </w:tc>
        <w:tc>
          <w:tcPr>
            <w:tcW w:w="1115" w:type="dxa"/>
            <w:shd w:val="clear" w:color="auto" w:fill="auto"/>
            <w:hideMark/>
          </w:tcPr>
          <w:p w:rsidR="008F0843" w:rsidRPr="007C51D6" w:rsidRDefault="008F0843" w:rsidP="008F0843">
            <w:pPr>
              <w:autoSpaceDE/>
              <w:autoSpaceDN/>
              <w:adjustRightInd/>
              <w:jc w:val="center"/>
              <w:rPr>
                <w:color w:val="000000"/>
                <w:sz w:val="20"/>
                <w:szCs w:val="20"/>
              </w:rPr>
            </w:pPr>
            <w:r w:rsidRPr="007C51D6">
              <w:rPr>
                <w:color w:val="000000"/>
                <w:sz w:val="20"/>
                <w:szCs w:val="20"/>
              </w:rPr>
              <w:t>167,81</w:t>
            </w:r>
          </w:p>
        </w:tc>
        <w:tc>
          <w:tcPr>
            <w:tcW w:w="1012" w:type="dxa"/>
            <w:shd w:val="clear" w:color="auto" w:fill="auto"/>
            <w:hideMark/>
          </w:tcPr>
          <w:p w:rsidR="008F0843" w:rsidRPr="007C51D6" w:rsidRDefault="008F0843" w:rsidP="008F0843">
            <w:pPr>
              <w:autoSpaceDE/>
              <w:autoSpaceDN/>
              <w:adjustRightInd/>
              <w:jc w:val="center"/>
              <w:rPr>
                <w:color w:val="000000"/>
                <w:sz w:val="20"/>
                <w:szCs w:val="20"/>
              </w:rPr>
            </w:pPr>
            <w:r w:rsidRPr="007C51D6">
              <w:rPr>
                <w:color w:val="000000"/>
                <w:sz w:val="20"/>
                <w:szCs w:val="20"/>
              </w:rPr>
              <w:t>174,13</w:t>
            </w:r>
          </w:p>
        </w:tc>
        <w:tc>
          <w:tcPr>
            <w:tcW w:w="1011" w:type="dxa"/>
            <w:shd w:val="clear" w:color="auto" w:fill="auto"/>
            <w:hideMark/>
          </w:tcPr>
          <w:p w:rsidR="008F0843" w:rsidRPr="007C51D6" w:rsidRDefault="008F0843" w:rsidP="008F0843">
            <w:pPr>
              <w:autoSpaceDE/>
              <w:autoSpaceDN/>
              <w:adjustRightInd/>
              <w:jc w:val="center"/>
              <w:rPr>
                <w:color w:val="000000"/>
                <w:sz w:val="20"/>
                <w:szCs w:val="20"/>
              </w:rPr>
            </w:pPr>
            <w:r w:rsidRPr="007C51D6">
              <w:rPr>
                <w:color w:val="000000"/>
                <w:sz w:val="20"/>
                <w:szCs w:val="20"/>
              </w:rPr>
              <w:t>181,07</w:t>
            </w:r>
          </w:p>
        </w:tc>
        <w:tc>
          <w:tcPr>
            <w:tcW w:w="1012" w:type="dxa"/>
            <w:shd w:val="clear" w:color="auto" w:fill="auto"/>
          </w:tcPr>
          <w:p w:rsidR="008F0843" w:rsidRPr="007C51D6" w:rsidRDefault="008F0843" w:rsidP="008F0843">
            <w:pPr>
              <w:autoSpaceDE/>
              <w:autoSpaceDN/>
              <w:adjustRightInd/>
              <w:jc w:val="center"/>
              <w:rPr>
                <w:color w:val="000000"/>
                <w:sz w:val="20"/>
                <w:szCs w:val="20"/>
              </w:rPr>
            </w:pPr>
            <w:r w:rsidRPr="007C51D6">
              <w:rPr>
                <w:color w:val="000000"/>
                <w:sz w:val="20"/>
                <w:szCs w:val="20"/>
              </w:rPr>
              <w:t>170,6</w:t>
            </w:r>
          </w:p>
        </w:tc>
        <w:tc>
          <w:tcPr>
            <w:tcW w:w="1012" w:type="dxa"/>
          </w:tcPr>
          <w:p w:rsidR="008F0843" w:rsidRPr="007C51D6" w:rsidRDefault="008F0843" w:rsidP="008F0843">
            <w:pPr>
              <w:autoSpaceDE/>
              <w:autoSpaceDN/>
              <w:adjustRightInd/>
              <w:jc w:val="center"/>
              <w:rPr>
                <w:color w:val="000000"/>
                <w:sz w:val="20"/>
                <w:szCs w:val="20"/>
              </w:rPr>
            </w:pPr>
            <w:r w:rsidRPr="007C51D6">
              <w:rPr>
                <w:color w:val="000000"/>
                <w:sz w:val="20"/>
                <w:szCs w:val="20"/>
              </w:rPr>
              <w:t>161,3</w:t>
            </w:r>
          </w:p>
        </w:tc>
        <w:tc>
          <w:tcPr>
            <w:tcW w:w="1109" w:type="dxa"/>
          </w:tcPr>
          <w:p w:rsidR="008F0843" w:rsidRPr="007C51D6" w:rsidRDefault="008F0843" w:rsidP="008F0843">
            <w:pPr>
              <w:jc w:val="center"/>
              <w:rPr>
                <w:color w:val="000000"/>
                <w:sz w:val="20"/>
                <w:szCs w:val="20"/>
              </w:rPr>
            </w:pPr>
            <w:r w:rsidRPr="007C51D6">
              <w:rPr>
                <w:color w:val="000000"/>
                <w:sz w:val="20"/>
                <w:szCs w:val="20"/>
              </w:rPr>
              <w:t>153,9</w:t>
            </w:r>
          </w:p>
        </w:tc>
        <w:tc>
          <w:tcPr>
            <w:tcW w:w="1103" w:type="dxa"/>
          </w:tcPr>
          <w:p w:rsidR="008F0843" w:rsidRPr="007C51D6" w:rsidRDefault="008F0843" w:rsidP="004472F9">
            <w:pPr>
              <w:jc w:val="center"/>
              <w:rPr>
                <w:color w:val="000000"/>
                <w:sz w:val="20"/>
                <w:szCs w:val="20"/>
              </w:rPr>
            </w:pPr>
            <w:r w:rsidRPr="007C51D6">
              <w:rPr>
                <w:color w:val="000000"/>
                <w:sz w:val="20"/>
                <w:szCs w:val="20"/>
              </w:rPr>
              <w:t>163,3</w:t>
            </w:r>
          </w:p>
        </w:tc>
        <w:tc>
          <w:tcPr>
            <w:tcW w:w="1103" w:type="dxa"/>
          </w:tcPr>
          <w:p w:rsidR="008F0843" w:rsidRPr="007C51D6" w:rsidRDefault="008F0843" w:rsidP="004472F9">
            <w:pPr>
              <w:jc w:val="center"/>
              <w:rPr>
                <w:color w:val="000000"/>
                <w:sz w:val="20"/>
                <w:szCs w:val="20"/>
              </w:rPr>
            </w:pPr>
            <w:r w:rsidRPr="007C51D6">
              <w:rPr>
                <w:color w:val="000000"/>
                <w:sz w:val="20"/>
                <w:szCs w:val="20"/>
              </w:rPr>
              <w:t>153,2</w:t>
            </w:r>
          </w:p>
        </w:tc>
        <w:tc>
          <w:tcPr>
            <w:tcW w:w="1103" w:type="dxa"/>
          </w:tcPr>
          <w:p w:rsidR="004472F9" w:rsidRPr="007C51D6" w:rsidRDefault="004472F9" w:rsidP="004472F9">
            <w:pPr>
              <w:jc w:val="center"/>
              <w:rPr>
                <w:color w:val="000000"/>
                <w:sz w:val="20"/>
                <w:szCs w:val="20"/>
              </w:rPr>
            </w:pPr>
            <w:r w:rsidRPr="007C51D6">
              <w:rPr>
                <w:color w:val="000000"/>
                <w:sz w:val="20"/>
                <w:szCs w:val="20"/>
              </w:rPr>
              <w:t>нет</w:t>
            </w:r>
          </w:p>
          <w:p w:rsidR="008F0843" w:rsidRPr="007C51D6" w:rsidRDefault="004472F9" w:rsidP="004472F9">
            <w:pPr>
              <w:jc w:val="center"/>
              <w:rPr>
                <w:color w:val="000000"/>
                <w:sz w:val="20"/>
                <w:szCs w:val="20"/>
              </w:rPr>
            </w:pPr>
            <w:r w:rsidRPr="007C51D6">
              <w:rPr>
                <w:color w:val="000000"/>
                <w:sz w:val="20"/>
                <w:szCs w:val="20"/>
              </w:rPr>
              <w:t>данных</w:t>
            </w:r>
          </w:p>
        </w:tc>
      </w:tr>
      <w:tr w:rsidR="008F0843" w:rsidRPr="007C51D6" w:rsidTr="004472F9">
        <w:trPr>
          <w:trHeight w:val="20"/>
        </w:trPr>
        <w:tc>
          <w:tcPr>
            <w:tcW w:w="4531" w:type="dxa"/>
            <w:shd w:val="clear" w:color="auto" w:fill="auto"/>
            <w:hideMark/>
          </w:tcPr>
          <w:p w:rsidR="008F0843" w:rsidRPr="007C51D6" w:rsidRDefault="008F0843" w:rsidP="008F0843">
            <w:pPr>
              <w:autoSpaceDE/>
              <w:autoSpaceDN/>
              <w:adjustRightInd/>
              <w:rPr>
                <w:color w:val="000000"/>
                <w:sz w:val="20"/>
                <w:szCs w:val="20"/>
              </w:rPr>
            </w:pPr>
            <w:r w:rsidRPr="007C51D6">
              <w:rPr>
                <w:color w:val="000000"/>
                <w:sz w:val="20"/>
                <w:szCs w:val="20"/>
              </w:rPr>
              <w:t>Апастовский</w:t>
            </w:r>
          </w:p>
        </w:tc>
        <w:tc>
          <w:tcPr>
            <w:tcW w:w="1012" w:type="dxa"/>
            <w:shd w:val="clear" w:color="auto" w:fill="auto"/>
            <w:hideMark/>
          </w:tcPr>
          <w:p w:rsidR="008F0843" w:rsidRPr="007C51D6" w:rsidRDefault="008F0843" w:rsidP="008F0843">
            <w:pPr>
              <w:autoSpaceDE/>
              <w:autoSpaceDN/>
              <w:adjustRightInd/>
              <w:jc w:val="center"/>
              <w:rPr>
                <w:color w:val="000000"/>
                <w:sz w:val="20"/>
                <w:szCs w:val="20"/>
              </w:rPr>
            </w:pPr>
            <w:r w:rsidRPr="007C51D6">
              <w:rPr>
                <w:color w:val="000000"/>
                <w:sz w:val="20"/>
                <w:szCs w:val="20"/>
              </w:rPr>
              <w:t>283,97</w:t>
            </w:r>
          </w:p>
        </w:tc>
        <w:tc>
          <w:tcPr>
            <w:tcW w:w="1115" w:type="dxa"/>
            <w:shd w:val="clear" w:color="auto" w:fill="auto"/>
            <w:hideMark/>
          </w:tcPr>
          <w:p w:rsidR="008F0843" w:rsidRPr="007C51D6" w:rsidRDefault="008F0843" w:rsidP="008F0843">
            <w:pPr>
              <w:autoSpaceDE/>
              <w:autoSpaceDN/>
              <w:adjustRightInd/>
              <w:jc w:val="center"/>
              <w:rPr>
                <w:color w:val="000000"/>
                <w:sz w:val="20"/>
                <w:szCs w:val="20"/>
              </w:rPr>
            </w:pPr>
            <w:r w:rsidRPr="007C51D6">
              <w:rPr>
                <w:color w:val="000000"/>
                <w:sz w:val="20"/>
                <w:szCs w:val="20"/>
              </w:rPr>
              <w:t>242,91</w:t>
            </w:r>
          </w:p>
        </w:tc>
        <w:tc>
          <w:tcPr>
            <w:tcW w:w="1012" w:type="dxa"/>
            <w:shd w:val="clear" w:color="auto" w:fill="auto"/>
            <w:hideMark/>
          </w:tcPr>
          <w:p w:rsidR="008F0843" w:rsidRPr="007C51D6" w:rsidRDefault="008F0843" w:rsidP="008F0843">
            <w:pPr>
              <w:autoSpaceDE/>
              <w:autoSpaceDN/>
              <w:adjustRightInd/>
              <w:jc w:val="center"/>
              <w:rPr>
                <w:color w:val="000000"/>
                <w:sz w:val="20"/>
                <w:szCs w:val="20"/>
              </w:rPr>
            </w:pPr>
            <w:r w:rsidRPr="007C51D6">
              <w:rPr>
                <w:color w:val="000000"/>
                <w:sz w:val="20"/>
                <w:szCs w:val="20"/>
              </w:rPr>
              <w:t>228,04</w:t>
            </w:r>
          </w:p>
        </w:tc>
        <w:tc>
          <w:tcPr>
            <w:tcW w:w="1011" w:type="dxa"/>
            <w:shd w:val="clear" w:color="auto" w:fill="auto"/>
            <w:hideMark/>
          </w:tcPr>
          <w:p w:rsidR="008F0843" w:rsidRPr="007C51D6" w:rsidRDefault="008F0843" w:rsidP="008F0843">
            <w:pPr>
              <w:autoSpaceDE/>
              <w:autoSpaceDN/>
              <w:adjustRightInd/>
              <w:jc w:val="center"/>
              <w:rPr>
                <w:color w:val="000000"/>
                <w:sz w:val="20"/>
                <w:szCs w:val="20"/>
              </w:rPr>
            </w:pPr>
            <w:r w:rsidRPr="007C51D6">
              <w:rPr>
                <w:color w:val="000000"/>
                <w:sz w:val="20"/>
                <w:szCs w:val="20"/>
              </w:rPr>
              <w:t>175,56</w:t>
            </w:r>
          </w:p>
        </w:tc>
        <w:tc>
          <w:tcPr>
            <w:tcW w:w="1012" w:type="dxa"/>
            <w:shd w:val="clear" w:color="auto" w:fill="auto"/>
          </w:tcPr>
          <w:p w:rsidR="008F0843" w:rsidRPr="007C51D6" w:rsidRDefault="008F0843" w:rsidP="008F0843">
            <w:pPr>
              <w:autoSpaceDE/>
              <w:autoSpaceDN/>
              <w:adjustRightInd/>
              <w:jc w:val="center"/>
              <w:rPr>
                <w:color w:val="000000"/>
                <w:sz w:val="20"/>
                <w:szCs w:val="20"/>
              </w:rPr>
            </w:pPr>
            <w:r w:rsidRPr="007C51D6">
              <w:rPr>
                <w:color w:val="000000"/>
                <w:sz w:val="20"/>
                <w:szCs w:val="20"/>
              </w:rPr>
              <w:t>206,1</w:t>
            </w:r>
          </w:p>
        </w:tc>
        <w:tc>
          <w:tcPr>
            <w:tcW w:w="1012" w:type="dxa"/>
          </w:tcPr>
          <w:p w:rsidR="008F0843" w:rsidRPr="007C51D6" w:rsidRDefault="008F0843" w:rsidP="008F0843">
            <w:pPr>
              <w:autoSpaceDE/>
              <w:autoSpaceDN/>
              <w:adjustRightInd/>
              <w:jc w:val="center"/>
              <w:rPr>
                <w:color w:val="000000"/>
                <w:sz w:val="20"/>
                <w:szCs w:val="20"/>
              </w:rPr>
            </w:pPr>
            <w:r w:rsidRPr="007C51D6">
              <w:rPr>
                <w:color w:val="000000"/>
                <w:sz w:val="20"/>
                <w:szCs w:val="20"/>
              </w:rPr>
              <w:t>135,7</w:t>
            </w:r>
          </w:p>
        </w:tc>
        <w:tc>
          <w:tcPr>
            <w:tcW w:w="1109" w:type="dxa"/>
          </w:tcPr>
          <w:p w:rsidR="008F0843" w:rsidRPr="007C51D6" w:rsidRDefault="008F0843" w:rsidP="008F0843">
            <w:pPr>
              <w:jc w:val="center"/>
              <w:rPr>
                <w:color w:val="000000"/>
                <w:sz w:val="20"/>
                <w:szCs w:val="20"/>
              </w:rPr>
            </w:pPr>
            <w:r w:rsidRPr="007C51D6">
              <w:rPr>
                <w:color w:val="000000"/>
                <w:sz w:val="20"/>
                <w:szCs w:val="20"/>
              </w:rPr>
              <w:t>127,2</w:t>
            </w:r>
          </w:p>
        </w:tc>
        <w:tc>
          <w:tcPr>
            <w:tcW w:w="1103" w:type="dxa"/>
          </w:tcPr>
          <w:p w:rsidR="008F0843" w:rsidRPr="007C51D6" w:rsidRDefault="008F0843" w:rsidP="004472F9">
            <w:pPr>
              <w:jc w:val="center"/>
              <w:rPr>
                <w:color w:val="000000"/>
                <w:sz w:val="20"/>
                <w:szCs w:val="20"/>
              </w:rPr>
            </w:pPr>
            <w:r w:rsidRPr="007C51D6">
              <w:rPr>
                <w:color w:val="000000"/>
                <w:sz w:val="20"/>
                <w:szCs w:val="20"/>
              </w:rPr>
              <w:t>187,2</w:t>
            </w:r>
          </w:p>
        </w:tc>
        <w:tc>
          <w:tcPr>
            <w:tcW w:w="1103" w:type="dxa"/>
          </w:tcPr>
          <w:p w:rsidR="008F0843" w:rsidRPr="007C51D6" w:rsidRDefault="008F0843" w:rsidP="004472F9">
            <w:pPr>
              <w:jc w:val="center"/>
              <w:rPr>
                <w:color w:val="000000"/>
                <w:sz w:val="20"/>
                <w:szCs w:val="20"/>
              </w:rPr>
            </w:pPr>
            <w:r w:rsidRPr="007C51D6">
              <w:rPr>
                <w:color w:val="000000"/>
                <w:sz w:val="20"/>
                <w:szCs w:val="20"/>
              </w:rPr>
              <w:t>231,3</w:t>
            </w:r>
          </w:p>
        </w:tc>
        <w:tc>
          <w:tcPr>
            <w:tcW w:w="1103" w:type="dxa"/>
          </w:tcPr>
          <w:p w:rsidR="004472F9" w:rsidRPr="007C51D6" w:rsidRDefault="004472F9" w:rsidP="004472F9">
            <w:pPr>
              <w:jc w:val="center"/>
              <w:rPr>
                <w:color w:val="000000"/>
                <w:sz w:val="20"/>
                <w:szCs w:val="20"/>
              </w:rPr>
            </w:pPr>
            <w:r w:rsidRPr="007C51D6">
              <w:rPr>
                <w:color w:val="000000"/>
                <w:sz w:val="20"/>
                <w:szCs w:val="20"/>
              </w:rPr>
              <w:t>нет</w:t>
            </w:r>
          </w:p>
          <w:p w:rsidR="008F0843" w:rsidRPr="007C51D6" w:rsidRDefault="004472F9" w:rsidP="004472F9">
            <w:pPr>
              <w:jc w:val="center"/>
              <w:rPr>
                <w:color w:val="000000"/>
                <w:sz w:val="20"/>
                <w:szCs w:val="20"/>
              </w:rPr>
            </w:pPr>
            <w:r w:rsidRPr="007C51D6">
              <w:rPr>
                <w:color w:val="000000"/>
                <w:sz w:val="20"/>
                <w:szCs w:val="20"/>
              </w:rPr>
              <w:t>данных</w:t>
            </w:r>
          </w:p>
        </w:tc>
      </w:tr>
      <w:tr w:rsidR="008F0843" w:rsidRPr="007C51D6" w:rsidTr="004472F9">
        <w:trPr>
          <w:trHeight w:val="20"/>
        </w:trPr>
        <w:tc>
          <w:tcPr>
            <w:tcW w:w="4531" w:type="dxa"/>
            <w:shd w:val="clear" w:color="auto" w:fill="auto"/>
            <w:hideMark/>
          </w:tcPr>
          <w:p w:rsidR="008F0843" w:rsidRPr="007C51D6" w:rsidRDefault="008F0843" w:rsidP="008F0843">
            <w:pPr>
              <w:autoSpaceDE/>
              <w:autoSpaceDN/>
              <w:adjustRightInd/>
              <w:rPr>
                <w:color w:val="000000"/>
                <w:sz w:val="20"/>
                <w:szCs w:val="20"/>
              </w:rPr>
            </w:pPr>
            <w:r w:rsidRPr="007C51D6">
              <w:rPr>
                <w:color w:val="000000"/>
                <w:sz w:val="20"/>
                <w:szCs w:val="20"/>
              </w:rPr>
              <w:t>Арский</w:t>
            </w:r>
          </w:p>
        </w:tc>
        <w:tc>
          <w:tcPr>
            <w:tcW w:w="1012" w:type="dxa"/>
            <w:shd w:val="clear" w:color="auto" w:fill="auto"/>
            <w:hideMark/>
          </w:tcPr>
          <w:p w:rsidR="008F0843" w:rsidRPr="007C51D6" w:rsidRDefault="008F0843" w:rsidP="008F0843">
            <w:pPr>
              <w:autoSpaceDE/>
              <w:autoSpaceDN/>
              <w:adjustRightInd/>
              <w:jc w:val="center"/>
              <w:rPr>
                <w:color w:val="000000"/>
                <w:sz w:val="20"/>
                <w:szCs w:val="20"/>
              </w:rPr>
            </w:pPr>
            <w:r w:rsidRPr="007C51D6">
              <w:rPr>
                <w:color w:val="000000"/>
                <w:sz w:val="20"/>
                <w:szCs w:val="20"/>
              </w:rPr>
              <w:t>146,58</w:t>
            </w:r>
          </w:p>
        </w:tc>
        <w:tc>
          <w:tcPr>
            <w:tcW w:w="1115" w:type="dxa"/>
            <w:shd w:val="clear" w:color="auto" w:fill="auto"/>
            <w:hideMark/>
          </w:tcPr>
          <w:p w:rsidR="008F0843" w:rsidRPr="007C51D6" w:rsidRDefault="008F0843" w:rsidP="008F0843">
            <w:pPr>
              <w:autoSpaceDE/>
              <w:autoSpaceDN/>
              <w:adjustRightInd/>
              <w:jc w:val="center"/>
              <w:rPr>
                <w:color w:val="000000"/>
                <w:sz w:val="20"/>
                <w:szCs w:val="20"/>
              </w:rPr>
            </w:pPr>
            <w:r w:rsidRPr="007C51D6">
              <w:rPr>
                <w:color w:val="000000"/>
                <w:sz w:val="20"/>
                <w:szCs w:val="20"/>
              </w:rPr>
              <w:t>131,14</w:t>
            </w:r>
          </w:p>
        </w:tc>
        <w:tc>
          <w:tcPr>
            <w:tcW w:w="1012" w:type="dxa"/>
            <w:shd w:val="clear" w:color="auto" w:fill="auto"/>
            <w:hideMark/>
          </w:tcPr>
          <w:p w:rsidR="008F0843" w:rsidRPr="007C51D6" w:rsidRDefault="008F0843" w:rsidP="008F0843">
            <w:pPr>
              <w:autoSpaceDE/>
              <w:autoSpaceDN/>
              <w:adjustRightInd/>
              <w:jc w:val="center"/>
              <w:rPr>
                <w:color w:val="000000"/>
                <w:sz w:val="20"/>
                <w:szCs w:val="20"/>
              </w:rPr>
            </w:pPr>
            <w:r w:rsidRPr="007C51D6">
              <w:rPr>
                <w:color w:val="000000"/>
                <w:sz w:val="20"/>
                <w:szCs w:val="20"/>
              </w:rPr>
              <w:t>125,43</w:t>
            </w:r>
          </w:p>
        </w:tc>
        <w:tc>
          <w:tcPr>
            <w:tcW w:w="1011" w:type="dxa"/>
            <w:shd w:val="clear" w:color="auto" w:fill="auto"/>
            <w:hideMark/>
          </w:tcPr>
          <w:p w:rsidR="008F0843" w:rsidRPr="007C51D6" w:rsidRDefault="008F0843" w:rsidP="008F0843">
            <w:pPr>
              <w:autoSpaceDE/>
              <w:autoSpaceDN/>
              <w:adjustRightInd/>
              <w:jc w:val="center"/>
              <w:rPr>
                <w:color w:val="000000"/>
                <w:sz w:val="20"/>
                <w:szCs w:val="20"/>
              </w:rPr>
            </w:pPr>
            <w:r w:rsidRPr="007C51D6">
              <w:rPr>
                <w:color w:val="000000"/>
                <w:sz w:val="20"/>
                <w:szCs w:val="20"/>
              </w:rPr>
              <w:t>139,67</w:t>
            </w:r>
          </w:p>
        </w:tc>
        <w:tc>
          <w:tcPr>
            <w:tcW w:w="1012" w:type="dxa"/>
            <w:shd w:val="clear" w:color="auto" w:fill="auto"/>
          </w:tcPr>
          <w:p w:rsidR="008F0843" w:rsidRPr="007C51D6" w:rsidRDefault="008F0843" w:rsidP="008F0843">
            <w:pPr>
              <w:autoSpaceDE/>
              <w:autoSpaceDN/>
              <w:adjustRightInd/>
              <w:jc w:val="center"/>
              <w:rPr>
                <w:color w:val="000000"/>
                <w:sz w:val="20"/>
                <w:szCs w:val="20"/>
              </w:rPr>
            </w:pPr>
            <w:r w:rsidRPr="007C51D6">
              <w:rPr>
                <w:color w:val="000000"/>
                <w:sz w:val="20"/>
                <w:szCs w:val="20"/>
              </w:rPr>
              <w:t>177,8</w:t>
            </w:r>
          </w:p>
        </w:tc>
        <w:tc>
          <w:tcPr>
            <w:tcW w:w="1012" w:type="dxa"/>
          </w:tcPr>
          <w:p w:rsidR="008F0843" w:rsidRPr="007C51D6" w:rsidRDefault="008F0843" w:rsidP="008F0843">
            <w:pPr>
              <w:autoSpaceDE/>
              <w:autoSpaceDN/>
              <w:adjustRightInd/>
              <w:jc w:val="center"/>
              <w:rPr>
                <w:color w:val="000000"/>
                <w:sz w:val="20"/>
                <w:szCs w:val="20"/>
              </w:rPr>
            </w:pPr>
            <w:r w:rsidRPr="007C51D6">
              <w:rPr>
                <w:color w:val="000000"/>
                <w:sz w:val="20"/>
                <w:szCs w:val="20"/>
              </w:rPr>
              <w:t>154,6</w:t>
            </w:r>
          </w:p>
        </w:tc>
        <w:tc>
          <w:tcPr>
            <w:tcW w:w="1109" w:type="dxa"/>
          </w:tcPr>
          <w:p w:rsidR="008F0843" w:rsidRPr="007C51D6" w:rsidRDefault="008F0843" w:rsidP="008F0843">
            <w:pPr>
              <w:jc w:val="center"/>
              <w:rPr>
                <w:color w:val="000000"/>
                <w:sz w:val="20"/>
                <w:szCs w:val="20"/>
              </w:rPr>
            </w:pPr>
            <w:r w:rsidRPr="007C51D6">
              <w:rPr>
                <w:color w:val="000000"/>
                <w:sz w:val="20"/>
                <w:szCs w:val="20"/>
              </w:rPr>
              <w:t>154,9</w:t>
            </w:r>
          </w:p>
        </w:tc>
        <w:tc>
          <w:tcPr>
            <w:tcW w:w="1103" w:type="dxa"/>
          </w:tcPr>
          <w:p w:rsidR="008F0843" w:rsidRPr="007C51D6" w:rsidRDefault="008F0843" w:rsidP="004472F9">
            <w:pPr>
              <w:jc w:val="center"/>
              <w:rPr>
                <w:color w:val="000000"/>
                <w:sz w:val="20"/>
                <w:szCs w:val="20"/>
              </w:rPr>
            </w:pPr>
            <w:r w:rsidRPr="007C51D6">
              <w:rPr>
                <w:color w:val="000000"/>
                <w:sz w:val="20"/>
                <w:szCs w:val="20"/>
              </w:rPr>
              <w:t>149,7</w:t>
            </w:r>
          </w:p>
        </w:tc>
        <w:tc>
          <w:tcPr>
            <w:tcW w:w="1103" w:type="dxa"/>
          </w:tcPr>
          <w:p w:rsidR="008F0843" w:rsidRPr="007C51D6" w:rsidRDefault="008F0843" w:rsidP="004472F9">
            <w:pPr>
              <w:jc w:val="center"/>
              <w:rPr>
                <w:color w:val="000000"/>
                <w:sz w:val="20"/>
                <w:szCs w:val="20"/>
              </w:rPr>
            </w:pPr>
            <w:r w:rsidRPr="007C51D6">
              <w:rPr>
                <w:color w:val="000000"/>
                <w:sz w:val="20"/>
                <w:szCs w:val="20"/>
              </w:rPr>
              <w:t>209,6</w:t>
            </w:r>
          </w:p>
        </w:tc>
        <w:tc>
          <w:tcPr>
            <w:tcW w:w="1103" w:type="dxa"/>
          </w:tcPr>
          <w:p w:rsidR="004472F9" w:rsidRPr="007C51D6" w:rsidRDefault="004472F9" w:rsidP="004472F9">
            <w:pPr>
              <w:jc w:val="center"/>
              <w:rPr>
                <w:color w:val="000000"/>
                <w:sz w:val="20"/>
                <w:szCs w:val="20"/>
              </w:rPr>
            </w:pPr>
            <w:r w:rsidRPr="007C51D6">
              <w:rPr>
                <w:color w:val="000000"/>
                <w:sz w:val="20"/>
                <w:szCs w:val="20"/>
              </w:rPr>
              <w:t>нет</w:t>
            </w:r>
          </w:p>
          <w:p w:rsidR="008F0843" w:rsidRPr="007C51D6" w:rsidRDefault="004472F9" w:rsidP="004472F9">
            <w:pPr>
              <w:jc w:val="center"/>
              <w:rPr>
                <w:color w:val="000000"/>
                <w:sz w:val="20"/>
                <w:szCs w:val="20"/>
              </w:rPr>
            </w:pPr>
            <w:r w:rsidRPr="007C51D6">
              <w:rPr>
                <w:color w:val="000000"/>
                <w:sz w:val="20"/>
                <w:szCs w:val="20"/>
              </w:rPr>
              <w:t>данных</w:t>
            </w:r>
          </w:p>
        </w:tc>
      </w:tr>
      <w:tr w:rsidR="004309E4" w:rsidRPr="007C51D6" w:rsidTr="004472F9">
        <w:trPr>
          <w:trHeight w:val="20"/>
        </w:trPr>
        <w:tc>
          <w:tcPr>
            <w:tcW w:w="4531" w:type="dxa"/>
            <w:shd w:val="clear" w:color="auto" w:fill="auto"/>
            <w:hideMark/>
          </w:tcPr>
          <w:p w:rsidR="004309E4" w:rsidRPr="007C51D6" w:rsidRDefault="004309E4" w:rsidP="004309E4">
            <w:pPr>
              <w:autoSpaceDE/>
              <w:autoSpaceDN/>
              <w:adjustRightInd/>
              <w:rPr>
                <w:color w:val="000000"/>
                <w:sz w:val="20"/>
                <w:szCs w:val="20"/>
              </w:rPr>
            </w:pPr>
            <w:r w:rsidRPr="007C51D6">
              <w:rPr>
                <w:color w:val="000000"/>
                <w:sz w:val="20"/>
                <w:szCs w:val="20"/>
              </w:rPr>
              <w:t>Атнинский</w:t>
            </w:r>
          </w:p>
        </w:tc>
        <w:tc>
          <w:tcPr>
            <w:tcW w:w="1012" w:type="dxa"/>
            <w:shd w:val="clear" w:color="auto" w:fill="auto"/>
            <w:hideMark/>
          </w:tcPr>
          <w:p w:rsidR="004309E4" w:rsidRPr="007C51D6" w:rsidRDefault="004309E4" w:rsidP="004309E4">
            <w:pPr>
              <w:autoSpaceDE/>
              <w:autoSpaceDN/>
              <w:adjustRightInd/>
              <w:jc w:val="center"/>
              <w:rPr>
                <w:color w:val="000000"/>
                <w:sz w:val="20"/>
                <w:szCs w:val="20"/>
              </w:rPr>
            </w:pPr>
            <w:r w:rsidRPr="007C51D6">
              <w:rPr>
                <w:color w:val="000000"/>
                <w:sz w:val="20"/>
                <w:szCs w:val="20"/>
              </w:rPr>
              <w:t>158,91</w:t>
            </w:r>
          </w:p>
        </w:tc>
        <w:tc>
          <w:tcPr>
            <w:tcW w:w="1115" w:type="dxa"/>
            <w:shd w:val="clear" w:color="auto" w:fill="auto"/>
            <w:hideMark/>
          </w:tcPr>
          <w:p w:rsidR="004309E4" w:rsidRPr="007C51D6" w:rsidRDefault="004309E4" w:rsidP="004309E4">
            <w:pPr>
              <w:autoSpaceDE/>
              <w:autoSpaceDN/>
              <w:adjustRightInd/>
              <w:jc w:val="center"/>
              <w:rPr>
                <w:color w:val="000000"/>
                <w:sz w:val="20"/>
                <w:szCs w:val="20"/>
              </w:rPr>
            </w:pPr>
            <w:r w:rsidRPr="007C51D6">
              <w:rPr>
                <w:color w:val="000000"/>
                <w:sz w:val="20"/>
                <w:szCs w:val="20"/>
              </w:rPr>
              <w:t>197,75</w:t>
            </w:r>
          </w:p>
        </w:tc>
        <w:tc>
          <w:tcPr>
            <w:tcW w:w="1012" w:type="dxa"/>
            <w:shd w:val="clear" w:color="auto" w:fill="auto"/>
            <w:hideMark/>
          </w:tcPr>
          <w:p w:rsidR="004309E4" w:rsidRPr="007C51D6" w:rsidRDefault="004309E4" w:rsidP="004309E4">
            <w:pPr>
              <w:autoSpaceDE/>
              <w:autoSpaceDN/>
              <w:adjustRightInd/>
              <w:jc w:val="center"/>
              <w:rPr>
                <w:color w:val="000000"/>
                <w:sz w:val="20"/>
                <w:szCs w:val="20"/>
              </w:rPr>
            </w:pPr>
            <w:r w:rsidRPr="007C51D6">
              <w:rPr>
                <w:color w:val="000000"/>
                <w:sz w:val="20"/>
                <w:szCs w:val="20"/>
              </w:rPr>
              <w:t>152,11</w:t>
            </w:r>
          </w:p>
        </w:tc>
        <w:tc>
          <w:tcPr>
            <w:tcW w:w="1011" w:type="dxa"/>
            <w:shd w:val="clear" w:color="auto" w:fill="auto"/>
            <w:hideMark/>
          </w:tcPr>
          <w:p w:rsidR="004309E4" w:rsidRPr="007C51D6" w:rsidRDefault="004309E4" w:rsidP="004309E4">
            <w:pPr>
              <w:autoSpaceDE/>
              <w:autoSpaceDN/>
              <w:adjustRightInd/>
              <w:jc w:val="center"/>
              <w:rPr>
                <w:color w:val="000000"/>
                <w:sz w:val="20"/>
                <w:szCs w:val="20"/>
              </w:rPr>
            </w:pPr>
            <w:r w:rsidRPr="007C51D6">
              <w:rPr>
                <w:color w:val="000000"/>
                <w:sz w:val="20"/>
                <w:szCs w:val="20"/>
              </w:rPr>
              <w:t>138,32</w:t>
            </w:r>
          </w:p>
        </w:tc>
        <w:tc>
          <w:tcPr>
            <w:tcW w:w="1012" w:type="dxa"/>
            <w:shd w:val="clear" w:color="auto" w:fill="auto"/>
          </w:tcPr>
          <w:p w:rsidR="004309E4" w:rsidRPr="007C51D6" w:rsidRDefault="004309E4" w:rsidP="004309E4">
            <w:pPr>
              <w:autoSpaceDE/>
              <w:autoSpaceDN/>
              <w:adjustRightInd/>
              <w:jc w:val="center"/>
              <w:rPr>
                <w:color w:val="000000"/>
                <w:sz w:val="20"/>
                <w:szCs w:val="20"/>
              </w:rPr>
            </w:pPr>
            <w:r w:rsidRPr="007C51D6">
              <w:rPr>
                <w:color w:val="000000"/>
                <w:sz w:val="20"/>
                <w:szCs w:val="20"/>
              </w:rPr>
              <w:t>163,6</w:t>
            </w:r>
          </w:p>
        </w:tc>
        <w:tc>
          <w:tcPr>
            <w:tcW w:w="1012" w:type="dxa"/>
          </w:tcPr>
          <w:p w:rsidR="004309E4" w:rsidRPr="007C51D6" w:rsidRDefault="004309E4" w:rsidP="004309E4">
            <w:pPr>
              <w:autoSpaceDE/>
              <w:autoSpaceDN/>
              <w:adjustRightInd/>
              <w:jc w:val="center"/>
              <w:rPr>
                <w:color w:val="000000"/>
                <w:sz w:val="20"/>
                <w:szCs w:val="20"/>
              </w:rPr>
            </w:pPr>
            <w:r w:rsidRPr="007C51D6">
              <w:rPr>
                <w:color w:val="000000"/>
                <w:sz w:val="20"/>
                <w:szCs w:val="20"/>
              </w:rPr>
              <w:t>126,4</w:t>
            </w:r>
          </w:p>
        </w:tc>
        <w:tc>
          <w:tcPr>
            <w:tcW w:w="1109" w:type="dxa"/>
          </w:tcPr>
          <w:p w:rsidR="004309E4" w:rsidRPr="007C51D6" w:rsidRDefault="004309E4" w:rsidP="004309E4">
            <w:pPr>
              <w:jc w:val="center"/>
              <w:rPr>
                <w:color w:val="000000"/>
                <w:sz w:val="20"/>
                <w:szCs w:val="20"/>
              </w:rPr>
            </w:pPr>
            <w:r w:rsidRPr="007C51D6">
              <w:rPr>
                <w:color w:val="000000"/>
                <w:sz w:val="20"/>
                <w:szCs w:val="20"/>
              </w:rPr>
              <w:t>96,0</w:t>
            </w:r>
          </w:p>
        </w:tc>
        <w:tc>
          <w:tcPr>
            <w:tcW w:w="1103" w:type="dxa"/>
          </w:tcPr>
          <w:p w:rsidR="004309E4" w:rsidRPr="007C51D6" w:rsidRDefault="004309E4" w:rsidP="004309E4">
            <w:pPr>
              <w:jc w:val="center"/>
              <w:rPr>
                <w:color w:val="000000"/>
                <w:sz w:val="20"/>
                <w:szCs w:val="20"/>
              </w:rPr>
            </w:pPr>
            <w:r w:rsidRPr="007C51D6">
              <w:rPr>
                <w:color w:val="000000"/>
                <w:sz w:val="20"/>
                <w:szCs w:val="20"/>
              </w:rPr>
              <w:t>89,0</w:t>
            </w:r>
          </w:p>
        </w:tc>
        <w:tc>
          <w:tcPr>
            <w:tcW w:w="1103" w:type="dxa"/>
          </w:tcPr>
          <w:p w:rsidR="004309E4" w:rsidRPr="007C51D6" w:rsidRDefault="004309E4" w:rsidP="004309E4">
            <w:pPr>
              <w:jc w:val="center"/>
              <w:rPr>
                <w:color w:val="000000"/>
                <w:sz w:val="20"/>
                <w:szCs w:val="20"/>
              </w:rPr>
            </w:pPr>
            <w:r w:rsidRPr="007C51D6">
              <w:rPr>
                <w:color w:val="000000"/>
                <w:sz w:val="20"/>
                <w:szCs w:val="20"/>
              </w:rPr>
              <w:t>180,1</w:t>
            </w:r>
          </w:p>
        </w:tc>
        <w:tc>
          <w:tcPr>
            <w:tcW w:w="1103" w:type="dxa"/>
          </w:tcPr>
          <w:p w:rsidR="004309E4" w:rsidRPr="007C51D6" w:rsidRDefault="004309E4" w:rsidP="004309E4">
            <w:pPr>
              <w:jc w:val="center"/>
              <w:rPr>
                <w:color w:val="000000"/>
                <w:sz w:val="20"/>
                <w:szCs w:val="20"/>
              </w:rPr>
            </w:pPr>
            <w:r w:rsidRPr="007C51D6">
              <w:rPr>
                <w:color w:val="000000"/>
                <w:sz w:val="20"/>
                <w:szCs w:val="20"/>
              </w:rPr>
              <w:t>нет</w:t>
            </w:r>
          </w:p>
          <w:p w:rsidR="004309E4" w:rsidRPr="007C51D6" w:rsidRDefault="004309E4" w:rsidP="004309E4">
            <w:pPr>
              <w:jc w:val="center"/>
              <w:rPr>
                <w:color w:val="000000"/>
                <w:sz w:val="20"/>
                <w:szCs w:val="20"/>
              </w:rPr>
            </w:pPr>
            <w:r w:rsidRPr="007C51D6">
              <w:rPr>
                <w:color w:val="000000"/>
                <w:sz w:val="20"/>
                <w:szCs w:val="20"/>
              </w:rPr>
              <w:t>данных</w:t>
            </w:r>
          </w:p>
        </w:tc>
      </w:tr>
      <w:tr w:rsidR="004309E4" w:rsidRPr="007C51D6" w:rsidTr="004472F9">
        <w:trPr>
          <w:trHeight w:val="20"/>
        </w:trPr>
        <w:tc>
          <w:tcPr>
            <w:tcW w:w="4531" w:type="dxa"/>
            <w:shd w:val="clear" w:color="auto" w:fill="auto"/>
            <w:hideMark/>
          </w:tcPr>
          <w:p w:rsidR="004309E4" w:rsidRPr="007C51D6" w:rsidRDefault="004309E4" w:rsidP="004309E4">
            <w:pPr>
              <w:autoSpaceDE/>
              <w:autoSpaceDN/>
              <w:adjustRightInd/>
              <w:rPr>
                <w:color w:val="000000"/>
                <w:sz w:val="20"/>
                <w:szCs w:val="20"/>
              </w:rPr>
            </w:pPr>
            <w:r w:rsidRPr="007C51D6">
              <w:rPr>
                <w:color w:val="000000"/>
                <w:sz w:val="20"/>
                <w:szCs w:val="20"/>
              </w:rPr>
              <w:t>Бавлинский</w:t>
            </w:r>
          </w:p>
        </w:tc>
        <w:tc>
          <w:tcPr>
            <w:tcW w:w="1012" w:type="dxa"/>
            <w:shd w:val="clear" w:color="auto" w:fill="auto"/>
            <w:hideMark/>
          </w:tcPr>
          <w:p w:rsidR="004309E4" w:rsidRPr="007C51D6" w:rsidRDefault="004309E4" w:rsidP="004309E4">
            <w:pPr>
              <w:autoSpaceDE/>
              <w:autoSpaceDN/>
              <w:adjustRightInd/>
              <w:jc w:val="center"/>
              <w:rPr>
                <w:color w:val="000000"/>
                <w:sz w:val="20"/>
                <w:szCs w:val="20"/>
              </w:rPr>
            </w:pPr>
            <w:r w:rsidRPr="007C51D6">
              <w:rPr>
                <w:color w:val="000000"/>
                <w:sz w:val="20"/>
                <w:szCs w:val="20"/>
              </w:rPr>
              <w:t>211,17</w:t>
            </w:r>
          </w:p>
        </w:tc>
        <w:tc>
          <w:tcPr>
            <w:tcW w:w="1115" w:type="dxa"/>
            <w:shd w:val="clear" w:color="auto" w:fill="auto"/>
            <w:hideMark/>
          </w:tcPr>
          <w:p w:rsidR="004309E4" w:rsidRPr="007C51D6" w:rsidRDefault="004309E4" w:rsidP="004309E4">
            <w:pPr>
              <w:autoSpaceDE/>
              <w:autoSpaceDN/>
              <w:adjustRightInd/>
              <w:jc w:val="center"/>
              <w:rPr>
                <w:color w:val="000000"/>
                <w:sz w:val="20"/>
                <w:szCs w:val="20"/>
              </w:rPr>
            </w:pPr>
            <w:r w:rsidRPr="007C51D6">
              <w:rPr>
                <w:color w:val="000000"/>
                <w:sz w:val="20"/>
                <w:szCs w:val="20"/>
              </w:rPr>
              <w:t>164,09</w:t>
            </w:r>
          </w:p>
        </w:tc>
        <w:tc>
          <w:tcPr>
            <w:tcW w:w="1012" w:type="dxa"/>
            <w:shd w:val="clear" w:color="auto" w:fill="auto"/>
            <w:hideMark/>
          </w:tcPr>
          <w:p w:rsidR="004309E4" w:rsidRPr="007C51D6" w:rsidRDefault="004309E4" w:rsidP="004309E4">
            <w:pPr>
              <w:autoSpaceDE/>
              <w:autoSpaceDN/>
              <w:adjustRightInd/>
              <w:jc w:val="center"/>
              <w:rPr>
                <w:color w:val="000000"/>
                <w:sz w:val="20"/>
                <w:szCs w:val="20"/>
              </w:rPr>
            </w:pPr>
            <w:r w:rsidRPr="007C51D6">
              <w:rPr>
                <w:color w:val="000000"/>
                <w:sz w:val="20"/>
                <w:szCs w:val="20"/>
              </w:rPr>
              <w:t>220,67</w:t>
            </w:r>
          </w:p>
        </w:tc>
        <w:tc>
          <w:tcPr>
            <w:tcW w:w="1011" w:type="dxa"/>
            <w:shd w:val="clear" w:color="auto" w:fill="auto"/>
            <w:hideMark/>
          </w:tcPr>
          <w:p w:rsidR="004309E4" w:rsidRPr="007C51D6" w:rsidRDefault="004309E4" w:rsidP="004309E4">
            <w:pPr>
              <w:autoSpaceDE/>
              <w:autoSpaceDN/>
              <w:adjustRightInd/>
              <w:jc w:val="center"/>
              <w:rPr>
                <w:color w:val="000000"/>
                <w:sz w:val="20"/>
                <w:szCs w:val="20"/>
              </w:rPr>
            </w:pPr>
            <w:r w:rsidRPr="007C51D6">
              <w:rPr>
                <w:color w:val="000000"/>
                <w:sz w:val="20"/>
                <w:szCs w:val="20"/>
              </w:rPr>
              <w:t>204,72</w:t>
            </w:r>
          </w:p>
        </w:tc>
        <w:tc>
          <w:tcPr>
            <w:tcW w:w="1012" w:type="dxa"/>
            <w:shd w:val="clear" w:color="auto" w:fill="auto"/>
          </w:tcPr>
          <w:p w:rsidR="004309E4" w:rsidRPr="007C51D6" w:rsidRDefault="004309E4" w:rsidP="004309E4">
            <w:pPr>
              <w:autoSpaceDE/>
              <w:autoSpaceDN/>
              <w:adjustRightInd/>
              <w:jc w:val="center"/>
              <w:rPr>
                <w:color w:val="000000"/>
                <w:sz w:val="20"/>
                <w:szCs w:val="20"/>
              </w:rPr>
            </w:pPr>
            <w:r w:rsidRPr="007C51D6">
              <w:rPr>
                <w:color w:val="000000"/>
                <w:sz w:val="20"/>
                <w:szCs w:val="20"/>
              </w:rPr>
              <w:t>180,4</w:t>
            </w:r>
          </w:p>
        </w:tc>
        <w:tc>
          <w:tcPr>
            <w:tcW w:w="1012" w:type="dxa"/>
          </w:tcPr>
          <w:p w:rsidR="004309E4" w:rsidRPr="007C51D6" w:rsidRDefault="004309E4" w:rsidP="004309E4">
            <w:pPr>
              <w:autoSpaceDE/>
              <w:autoSpaceDN/>
              <w:adjustRightInd/>
              <w:jc w:val="center"/>
              <w:rPr>
                <w:color w:val="000000"/>
                <w:sz w:val="20"/>
                <w:szCs w:val="20"/>
              </w:rPr>
            </w:pPr>
            <w:r w:rsidRPr="007C51D6">
              <w:rPr>
                <w:color w:val="000000"/>
                <w:sz w:val="20"/>
                <w:szCs w:val="20"/>
              </w:rPr>
              <w:t>207,4</w:t>
            </w:r>
          </w:p>
        </w:tc>
        <w:tc>
          <w:tcPr>
            <w:tcW w:w="1109" w:type="dxa"/>
          </w:tcPr>
          <w:p w:rsidR="004309E4" w:rsidRPr="007C51D6" w:rsidRDefault="004309E4" w:rsidP="004309E4">
            <w:pPr>
              <w:autoSpaceDE/>
              <w:autoSpaceDN/>
              <w:adjustRightInd/>
              <w:jc w:val="center"/>
              <w:rPr>
                <w:color w:val="000000"/>
                <w:sz w:val="20"/>
                <w:szCs w:val="20"/>
              </w:rPr>
            </w:pPr>
            <w:r w:rsidRPr="007C51D6">
              <w:rPr>
                <w:color w:val="000000"/>
                <w:sz w:val="20"/>
                <w:szCs w:val="20"/>
              </w:rPr>
              <w:t>175,3</w:t>
            </w:r>
          </w:p>
        </w:tc>
        <w:tc>
          <w:tcPr>
            <w:tcW w:w="1103" w:type="dxa"/>
          </w:tcPr>
          <w:p w:rsidR="004309E4" w:rsidRPr="007C51D6" w:rsidRDefault="004309E4" w:rsidP="004309E4">
            <w:pPr>
              <w:autoSpaceDE/>
              <w:autoSpaceDN/>
              <w:adjustRightInd/>
              <w:jc w:val="center"/>
              <w:rPr>
                <w:color w:val="000000"/>
                <w:sz w:val="20"/>
                <w:szCs w:val="20"/>
              </w:rPr>
            </w:pPr>
            <w:r w:rsidRPr="007C51D6">
              <w:rPr>
                <w:color w:val="000000"/>
                <w:sz w:val="20"/>
                <w:szCs w:val="20"/>
              </w:rPr>
              <w:t>187,0</w:t>
            </w:r>
          </w:p>
        </w:tc>
        <w:tc>
          <w:tcPr>
            <w:tcW w:w="1103" w:type="dxa"/>
          </w:tcPr>
          <w:p w:rsidR="004309E4" w:rsidRPr="007C51D6" w:rsidRDefault="004309E4" w:rsidP="004309E4">
            <w:pPr>
              <w:autoSpaceDE/>
              <w:autoSpaceDN/>
              <w:adjustRightInd/>
              <w:jc w:val="center"/>
              <w:rPr>
                <w:color w:val="000000"/>
                <w:sz w:val="20"/>
                <w:szCs w:val="20"/>
              </w:rPr>
            </w:pPr>
            <w:r w:rsidRPr="007C51D6">
              <w:rPr>
                <w:color w:val="000000"/>
                <w:sz w:val="20"/>
                <w:szCs w:val="20"/>
              </w:rPr>
              <w:t>211,9</w:t>
            </w:r>
          </w:p>
        </w:tc>
        <w:tc>
          <w:tcPr>
            <w:tcW w:w="1103" w:type="dxa"/>
          </w:tcPr>
          <w:p w:rsidR="004309E4" w:rsidRPr="007C51D6" w:rsidRDefault="004309E4" w:rsidP="004309E4">
            <w:pPr>
              <w:jc w:val="center"/>
              <w:rPr>
                <w:color w:val="000000"/>
                <w:sz w:val="20"/>
                <w:szCs w:val="20"/>
              </w:rPr>
            </w:pPr>
            <w:r w:rsidRPr="007C51D6">
              <w:rPr>
                <w:color w:val="000000"/>
                <w:sz w:val="20"/>
                <w:szCs w:val="20"/>
              </w:rPr>
              <w:t>нет</w:t>
            </w:r>
          </w:p>
          <w:p w:rsidR="004309E4" w:rsidRPr="007C51D6" w:rsidRDefault="004309E4" w:rsidP="004309E4">
            <w:pPr>
              <w:autoSpaceDE/>
              <w:autoSpaceDN/>
              <w:adjustRightInd/>
              <w:jc w:val="center"/>
              <w:rPr>
                <w:color w:val="000000"/>
                <w:sz w:val="20"/>
                <w:szCs w:val="20"/>
              </w:rPr>
            </w:pPr>
            <w:r w:rsidRPr="007C51D6">
              <w:rPr>
                <w:color w:val="000000"/>
                <w:sz w:val="20"/>
                <w:szCs w:val="20"/>
              </w:rPr>
              <w:t>данных</w:t>
            </w:r>
          </w:p>
        </w:tc>
      </w:tr>
      <w:tr w:rsidR="004309E4" w:rsidRPr="007C51D6" w:rsidTr="004472F9">
        <w:trPr>
          <w:trHeight w:val="20"/>
        </w:trPr>
        <w:tc>
          <w:tcPr>
            <w:tcW w:w="4531" w:type="dxa"/>
            <w:shd w:val="clear" w:color="auto" w:fill="auto"/>
            <w:hideMark/>
          </w:tcPr>
          <w:p w:rsidR="004309E4" w:rsidRPr="007C51D6" w:rsidRDefault="004309E4" w:rsidP="004309E4">
            <w:pPr>
              <w:autoSpaceDE/>
              <w:autoSpaceDN/>
              <w:adjustRightInd/>
              <w:rPr>
                <w:color w:val="000000"/>
                <w:sz w:val="20"/>
                <w:szCs w:val="20"/>
              </w:rPr>
            </w:pPr>
            <w:r w:rsidRPr="007C51D6">
              <w:rPr>
                <w:color w:val="000000"/>
                <w:sz w:val="20"/>
                <w:szCs w:val="20"/>
              </w:rPr>
              <w:t>Балтасинский</w:t>
            </w:r>
          </w:p>
        </w:tc>
        <w:tc>
          <w:tcPr>
            <w:tcW w:w="1012" w:type="dxa"/>
            <w:shd w:val="clear" w:color="auto" w:fill="auto"/>
            <w:hideMark/>
          </w:tcPr>
          <w:p w:rsidR="004309E4" w:rsidRPr="007C51D6" w:rsidRDefault="004309E4" w:rsidP="004309E4">
            <w:pPr>
              <w:autoSpaceDE/>
              <w:autoSpaceDN/>
              <w:adjustRightInd/>
              <w:jc w:val="center"/>
              <w:rPr>
                <w:color w:val="000000"/>
                <w:sz w:val="20"/>
                <w:szCs w:val="20"/>
              </w:rPr>
            </w:pPr>
            <w:r w:rsidRPr="007C51D6">
              <w:rPr>
                <w:color w:val="000000"/>
                <w:sz w:val="20"/>
                <w:szCs w:val="20"/>
              </w:rPr>
              <w:t>145,22</w:t>
            </w:r>
          </w:p>
        </w:tc>
        <w:tc>
          <w:tcPr>
            <w:tcW w:w="1115" w:type="dxa"/>
            <w:shd w:val="clear" w:color="auto" w:fill="auto"/>
            <w:hideMark/>
          </w:tcPr>
          <w:p w:rsidR="004309E4" w:rsidRPr="007C51D6" w:rsidRDefault="004309E4" w:rsidP="004309E4">
            <w:pPr>
              <w:autoSpaceDE/>
              <w:autoSpaceDN/>
              <w:adjustRightInd/>
              <w:jc w:val="center"/>
              <w:rPr>
                <w:color w:val="000000"/>
                <w:sz w:val="20"/>
                <w:szCs w:val="20"/>
              </w:rPr>
            </w:pPr>
            <w:r w:rsidRPr="007C51D6">
              <w:rPr>
                <w:color w:val="000000"/>
                <w:sz w:val="20"/>
                <w:szCs w:val="20"/>
              </w:rPr>
              <w:t>149,08</w:t>
            </w:r>
          </w:p>
        </w:tc>
        <w:tc>
          <w:tcPr>
            <w:tcW w:w="1012" w:type="dxa"/>
            <w:shd w:val="clear" w:color="auto" w:fill="auto"/>
            <w:hideMark/>
          </w:tcPr>
          <w:p w:rsidR="004309E4" w:rsidRPr="007C51D6" w:rsidRDefault="004309E4" w:rsidP="004309E4">
            <w:pPr>
              <w:autoSpaceDE/>
              <w:autoSpaceDN/>
              <w:adjustRightInd/>
              <w:jc w:val="center"/>
              <w:rPr>
                <w:color w:val="000000"/>
                <w:sz w:val="20"/>
                <w:szCs w:val="20"/>
              </w:rPr>
            </w:pPr>
            <w:r w:rsidRPr="007C51D6">
              <w:rPr>
                <w:color w:val="000000"/>
                <w:sz w:val="20"/>
                <w:szCs w:val="20"/>
              </w:rPr>
              <w:t>163,98</w:t>
            </w:r>
          </w:p>
        </w:tc>
        <w:tc>
          <w:tcPr>
            <w:tcW w:w="1011" w:type="dxa"/>
            <w:shd w:val="clear" w:color="auto" w:fill="auto"/>
            <w:hideMark/>
          </w:tcPr>
          <w:p w:rsidR="004309E4" w:rsidRPr="007C51D6" w:rsidRDefault="004309E4" w:rsidP="004309E4">
            <w:pPr>
              <w:autoSpaceDE/>
              <w:autoSpaceDN/>
              <w:adjustRightInd/>
              <w:jc w:val="center"/>
              <w:rPr>
                <w:color w:val="000000"/>
                <w:sz w:val="20"/>
                <w:szCs w:val="20"/>
              </w:rPr>
            </w:pPr>
            <w:r w:rsidRPr="007C51D6">
              <w:rPr>
                <w:color w:val="000000"/>
                <w:sz w:val="20"/>
                <w:szCs w:val="20"/>
              </w:rPr>
              <w:t>179,43</w:t>
            </w:r>
          </w:p>
        </w:tc>
        <w:tc>
          <w:tcPr>
            <w:tcW w:w="1012" w:type="dxa"/>
            <w:shd w:val="clear" w:color="auto" w:fill="auto"/>
          </w:tcPr>
          <w:p w:rsidR="004309E4" w:rsidRPr="007C51D6" w:rsidRDefault="004309E4" w:rsidP="004309E4">
            <w:pPr>
              <w:autoSpaceDE/>
              <w:autoSpaceDN/>
              <w:adjustRightInd/>
              <w:jc w:val="center"/>
              <w:rPr>
                <w:color w:val="000000"/>
                <w:sz w:val="20"/>
                <w:szCs w:val="20"/>
              </w:rPr>
            </w:pPr>
            <w:r w:rsidRPr="007C51D6">
              <w:rPr>
                <w:color w:val="000000"/>
                <w:sz w:val="20"/>
                <w:szCs w:val="20"/>
              </w:rPr>
              <w:t>129,7</w:t>
            </w:r>
          </w:p>
        </w:tc>
        <w:tc>
          <w:tcPr>
            <w:tcW w:w="1012" w:type="dxa"/>
          </w:tcPr>
          <w:p w:rsidR="004309E4" w:rsidRPr="007C51D6" w:rsidRDefault="004309E4" w:rsidP="004309E4">
            <w:pPr>
              <w:autoSpaceDE/>
              <w:autoSpaceDN/>
              <w:adjustRightInd/>
              <w:jc w:val="center"/>
              <w:rPr>
                <w:color w:val="000000"/>
                <w:sz w:val="20"/>
                <w:szCs w:val="20"/>
              </w:rPr>
            </w:pPr>
            <w:r w:rsidRPr="007C51D6">
              <w:rPr>
                <w:color w:val="000000"/>
                <w:sz w:val="20"/>
                <w:szCs w:val="20"/>
              </w:rPr>
              <w:t>154,8</w:t>
            </w:r>
          </w:p>
        </w:tc>
        <w:tc>
          <w:tcPr>
            <w:tcW w:w="1109" w:type="dxa"/>
          </w:tcPr>
          <w:p w:rsidR="004309E4" w:rsidRPr="007C51D6" w:rsidRDefault="004309E4" w:rsidP="004309E4">
            <w:pPr>
              <w:jc w:val="center"/>
              <w:rPr>
                <w:color w:val="000000"/>
                <w:sz w:val="20"/>
                <w:szCs w:val="20"/>
              </w:rPr>
            </w:pPr>
            <w:r w:rsidRPr="007C51D6">
              <w:rPr>
                <w:color w:val="000000"/>
                <w:sz w:val="20"/>
                <w:szCs w:val="20"/>
              </w:rPr>
              <w:t>177,3</w:t>
            </w:r>
          </w:p>
        </w:tc>
        <w:tc>
          <w:tcPr>
            <w:tcW w:w="1103" w:type="dxa"/>
          </w:tcPr>
          <w:p w:rsidR="004309E4" w:rsidRPr="007C51D6" w:rsidRDefault="004309E4" w:rsidP="004309E4">
            <w:pPr>
              <w:jc w:val="center"/>
              <w:rPr>
                <w:color w:val="000000"/>
                <w:sz w:val="20"/>
                <w:szCs w:val="20"/>
              </w:rPr>
            </w:pPr>
            <w:r w:rsidRPr="007C51D6">
              <w:rPr>
                <w:color w:val="000000"/>
                <w:sz w:val="20"/>
                <w:szCs w:val="20"/>
              </w:rPr>
              <w:t>170,4</w:t>
            </w:r>
          </w:p>
        </w:tc>
        <w:tc>
          <w:tcPr>
            <w:tcW w:w="1103" w:type="dxa"/>
          </w:tcPr>
          <w:p w:rsidR="004309E4" w:rsidRPr="007C51D6" w:rsidRDefault="004309E4" w:rsidP="004309E4">
            <w:pPr>
              <w:jc w:val="center"/>
              <w:rPr>
                <w:color w:val="000000"/>
                <w:sz w:val="20"/>
                <w:szCs w:val="20"/>
              </w:rPr>
            </w:pPr>
            <w:r w:rsidRPr="007C51D6">
              <w:rPr>
                <w:color w:val="000000"/>
                <w:sz w:val="20"/>
                <w:szCs w:val="20"/>
              </w:rPr>
              <w:t>161,4</w:t>
            </w:r>
          </w:p>
        </w:tc>
        <w:tc>
          <w:tcPr>
            <w:tcW w:w="1103" w:type="dxa"/>
          </w:tcPr>
          <w:p w:rsidR="004309E4" w:rsidRPr="007C51D6" w:rsidRDefault="004309E4" w:rsidP="004309E4">
            <w:pPr>
              <w:jc w:val="center"/>
              <w:rPr>
                <w:color w:val="000000"/>
                <w:sz w:val="20"/>
                <w:szCs w:val="20"/>
              </w:rPr>
            </w:pPr>
            <w:r w:rsidRPr="007C51D6">
              <w:rPr>
                <w:color w:val="000000"/>
                <w:sz w:val="20"/>
                <w:szCs w:val="20"/>
              </w:rPr>
              <w:t>нет</w:t>
            </w:r>
          </w:p>
          <w:p w:rsidR="004309E4" w:rsidRPr="007C51D6" w:rsidRDefault="004309E4" w:rsidP="004309E4">
            <w:pPr>
              <w:jc w:val="center"/>
              <w:rPr>
                <w:color w:val="000000"/>
                <w:sz w:val="20"/>
                <w:szCs w:val="20"/>
              </w:rPr>
            </w:pPr>
            <w:r w:rsidRPr="007C51D6">
              <w:rPr>
                <w:color w:val="000000"/>
                <w:sz w:val="20"/>
                <w:szCs w:val="20"/>
              </w:rPr>
              <w:t>данных</w:t>
            </w:r>
          </w:p>
        </w:tc>
      </w:tr>
      <w:tr w:rsidR="004309E4" w:rsidRPr="007C51D6" w:rsidTr="004472F9">
        <w:trPr>
          <w:trHeight w:val="20"/>
        </w:trPr>
        <w:tc>
          <w:tcPr>
            <w:tcW w:w="4531" w:type="dxa"/>
            <w:shd w:val="clear" w:color="auto" w:fill="auto"/>
            <w:hideMark/>
          </w:tcPr>
          <w:p w:rsidR="004309E4" w:rsidRPr="007C51D6" w:rsidRDefault="004309E4" w:rsidP="004309E4">
            <w:pPr>
              <w:autoSpaceDE/>
              <w:autoSpaceDN/>
              <w:adjustRightInd/>
              <w:rPr>
                <w:color w:val="000000"/>
                <w:sz w:val="20"/>
                <w:szCs w:val="20"/>
              </w:rPr>
            </w:pPr>
            <w:r w:rsidRPr="007C51D6">
              <w:rPr>
                <w:color w:val="000000"/>
                <w:sz w:val="20"/>
                <w:szCs w:val="20"/>
              </w:rPr>
              <w:t>Бугульминский</w:t>
            </w:r>
          </w:p>
        </w:tc>
        <w:tc>
          <w:tcPr>
            <w:tcW w:w="1012" w:type="dxa"/>
            <w:shd w:val="clear" w:color="auto" w:fill="auto"/>
            <w:hideMark/>
          </w:tcPr>
          <w:p w:rsidR="004309E4" w:rsidRPr="007C51D6" w:rsidRDefault="004309E4" w:rsidP="004309E4">
            <w:pPr>
              <w:autoSpaceDE/>
              <w:autoSpaceDN/>
              <w:adjustRightInd/>
              <w:jc w:val="center"/>
              <w:rPr>
                <w:color w:val="000000"/>
                <w:sz w:val="20"/>
                <w:szCs w:val="20"/>
              </w:rPr>
            </w:pPr>
            <w:r w:rsidRPr="007C51D6">
              <w:rPr>
                <w:color w:val="000000"/>
                <w:sz w:val="20"/>
                <w:szCs w:val="20"/>
              </w:rPr>
              <w:t>198,46</w:t>
            </w:r>
          </w:p>
        </w:tc>
        <w:tc>
          <w:tcPr>
            <w:tcW w:w="1115" w:type="dxa"/>
            <w:shd w:val="clear" w:color="auto" w:fill="auto"/>
            <w:hideMark/>
          </w:tcPr>
          <w:p w:rsidR="004309E4" w:rsidRPr="007C51D6" w:rsidRDefault="004309E4" w:rsidP="004309E4">
            <w:pPr>
              <w:autoSpaceDE/>
              <w:autoSpaceDN/>
              <w:adjustRightInd/>
              <w:jc w:val="center"/>
              <w:rPr>
                <w:color w:val="000000"/>
                <w:sz w:val="20"/>
                <w:szCs w:val="20"/>
              </w:rPr>
            </w:pPr>
            <w:r w:rsidRPr="007C51D6">
              <w:rPr>
                <w:color w:val="000000"/>
                <w:sz w:val="20"/>
                <w:szCs w:val="20"/>
              </w:rPr>
              <w:t>229,87</w:t>
            </w:r>
          </w:p>
        </w:tc>
        <w:tc>
          <w:tcPr>
            <w:tcW w:w="1012" w:type="dxa"/>
            <w:shd w:val="clear" w:color="auto" w:fill="auto"/>
            <w:hideMark/>
          </w:tcPr>
          <w:p w:rsidR="004309E4" w:rsidRPr="007C51D6" w:rsidRDefault="004309E4" w:rsidP="004309E4">
            <w:pPr>
              <w:autoSpaceDE/>
              <w:autoSpaceDN/>
              <w:adjustRightInd/>
              <w:jc w:val="center"/>
              <w:rPr>
                <w:color w:val="000000"/>
                <w:sz w:val="20"/>
                <w:szCs w:val="20"/>
              </w:rPr>
            </w:pPr>
            <w:r w:rsidRPr="007C51D6">
              <w:rPr>
                <w:color w:val="000000"/>
                <w:sz w:val="20"/>
                <w:szCs w:val="20"/>
              </w:rPr>
              <w:t>227,07</w:t>
            </w:r>
          </w:p>
        </w:tc>
        <w:tc>
          <w:tcPr>
            <w:tcW w:w="1011" w:type="dxa"/>
            <w:shd w:val="clear" w:color="auto" w:fill="auto"/>
            <w:hideMark/>
          </w:tcPr>
          <w:p w:rsidR="004309E4" w:rsidRPr="007C51D6" w:rsidRDefault="004309E4" w:rsidP="004309E4">
            <w:pPr>
              <w:autoSpaceDE/>
              <w:autoSpaceDN/>
              <w:adjustRightInd/>
              <w:jc w:val="center"/>
              <w:rPr>
                <w:color w:val="000000"/>
                <w:sz w:val="20"/>
                <w:szCs w:val="20"/>
              </w:rPr>
            </w:pPr>
            <w:r w:rsidRPr="007C51D6">
              <w:rPr>
                <w:color w:val="000000"/>
                <w:sz w:val="20"/>
                <w:szCs w:val="20"/>
              </w:rPr>
              <w:t>168,21</w:t>
            </w:r>
          </w:p>
        </w:tc>
        <w:tc>
          <w:tcPr>
            <w:tcW w:w="1012" w:type="dxa"/>
            <w:shd w:val="clear" w:color="auto" w:fill="auto"/>
          </w:tcPr>
          <w:p w:rsidR="004309E4" w:rsidRPr="007C51D6" w:rsidRDefault="004309E4" w:rsidP="004309E4">
            <w:pPr>
              <w:autoSpaceDE/>
              <w:autoSpaceDN/>
              <w:adjustRightInd/>
              <w:jc w:val="center"/>
              <w:rPr>
                <w:color w:val="000000"/>
                <w:sz w:val="20"/>
                <w:szCs w:val="20"/>
              </w:rPr>
            </w:pPr>
            <w:r w:rsidRPr="007C51D6">
              <w:rPr>
                <w:color w:val="000000"/>
                <w:sz w:val="20"/>
                <w:szCs w:val="20"/>
              </w:rPr>
              <w:t>178,1</w:t>
            </w:r>
          </w:p>
        </w:tc>
        <w:tc>
          <w:tcPr>
            <w:tcW w:w="1012" w:type="dxa"/>
          </w:tcPr>
          <w:p w:rsidR="004309E4" w:rsidRPr="007C51D6" w:rsidRDefault="004309E4" w:rsidP="004309E4">
            <w:pPr>
              <w:autoSpaceDE/>
              <w:autoSpaceDN/>
              <w:adjustRightInd/>
              <w:jc w:val="center"/>
              <w:rPr>
                <w:color w:val="000000"/>
                <w:sz w:val="20"/>
                <w:szCs w:val="20"/>
              </w:rPr>
            </w:pPr>
            <w:r w:rsidRPr="007C51D6">
              <w:rPr>
                <w:color w:val="000000"/>
                <w:sz w:val="20"/>
                <w:szCs w:val="20"/>
              </w:rPr>
              <w:t>164,8</w:t>
            </w:r>
          </w:p>
        </w:tc>
        <w:tc>
          <w:tcPr>
            <w:tcW w:w="1109" w:type="dxa"/>
          </w:tcPr>
          <w:p w:rsidR="004309E4" w:rsidRPr="007C51D6" w:rsidRDefault="004309E4" w:rsidP="004309E4">
            <w:pPr>
              <w:jc w:val="center"/>
              <w:rPr>
                <w:color w:val="000000"/>
                <w:sz w:val="20"/>
                <w:szCs w:val="20"/>
              </w:rPr>
            </w:pPr>
            <w:r w:rsidRPr="007C51D6">
              <w:rPr>
                <w:color w:val="000000"/>
                <w:sz w:val="20"/>
                <w:szCs w:val="20"/>
              </w:rPr>
              <w:t>206,6</w:t>
            </w:r>
          </w:p>
        </w:tc>
        <w:tc>
          <w:tcPr>
            <w:tcW w:w="1103" w:type="dxa"/>
          </w:tcPr>
          <w:p w:rsidR="004309E4" w:rsidRPr="007C51D6" w:rsidRDefault="004309E4" w:rsidP="004309E4">
            <w:pPr>
              <w:jc w:val="center"/>
              <w:rPr>
                <w:color w:val="000000"/>
                <w:sz w:val="20"/>
                <w:szCs w:val="20"/>
              </w:rPr>
            </w:pPr>
            <w:r w:rsidRPr="007C51D6">
              <w:rPr>
                <w:color w:val="000000"/>
                <w:sz w:val="20"/>
                <w:szCs w:val="20"/>
              </w:rPr>
              <w:t>185,3</w:t>
            </w:r>
          </w:p>
        </w:tc>
        <w:tc>
          <w:tcPr>
            <w:tcW w:w="1103" w:type="dxa"/>
          </w:tcPr>
          <w:p w:rsidR="004309E4" w:rsidRPr="007C51D6" w:rsidRDefault="004309E4" w:rsidP="004309E4">
            <w:pPr>
              <w:jc w:val="center"/>
              <w:rPr>
                <w:color w:val="000000"/>
                <w:sz w:val="20"/>
                <w:szCs w:val="20"/>
              </w:rPr>
            </w:pPr>
            <w:r w:rsidRPr="007C51D6">
              <w:rPr>
                <w:color w:val="000000"/>
                <w:sz w:val="20"/>
                <w:szCs w:val="20"/>
              </w:rPr>
              <w:t>216,6</w:t>
            </w:r>
          </w:p>
        </w:tc>
        <w:tc>
          <w:tcPr>
            <w:tcW w:w="1103" w:type="dxa"/>
          </w:tcPr>
          <w:p w:rsidR="004309E4" w:rsidRPr="007C51D6" w:rsidRDefault="004309E4" w:rsidP="004309E4">
            <w:pPr>
              <w:jc w:val="center"/>
              <w:rPr>
                <w:color w:val="000000"/>
                <w:sz w:val="20"/>
                <w:szCs w:val="20"/>
              </w:rPr>
            </w:pPr>
            <w:r w:rsidRPr="007C51D6">
              <w:rPr>
                <w:color w:val="000000"/>
                <w:sz w:val="20"/>
                <w:szCs w:val="20"/>
              </w:rPr>
              <w:t>нет</w:t>
            </w:r>
          </w:p>
          <w:p w:rsidR="004309E4" w:rsidRPr="007C51D6" w:rsidRDefault="004309E4" w:rsidP="004309E4">
            <w:pPr>
              <w:jc w:val="center"/>
              <w:rPr>
                <w:color w:val="000000"/>
                <w:sz w:val="20"/>
                <w:szCs w:val="20"/>
              </w:rPr>
            </w:pPr>
            <w:r w:rsidRPr="007C51D6">
              <w:rPr>
                <w:color w:val="000000"/>
                <w:sz w:val="20"/>
                <w:szCs w:val="20"/>
              </w:rPr>
              <w:t>данных</w:t>
            </w:r>
          </w:p>
        </w:tc>
      </w:tr>
      <w:tr w:rsidR="004309E4" w:rsidRPr="007C51D6" w:rsidTr="004472F9">
        <w:trPr>
          <w:trHeight w:val="20"/>
        </w:trPr>
        <w:tc>
          <w:tcPr>
            <w:tcW w:w="4531" w:type="dxa"/>
            <w:shd w:val="clear" w:color="auto" w:fill="auto"/>
            <w:hideMark/>
          </w:tcPr>
          <w:p w:rsidR="004309E4" w:rsidRPr="007C51D6" w:rsidRDefault="004309E4" w:rsidP="004309E4">
            <w:pPr>
              <w:autoSpaceDE/>
              <w:autoSpaceDN/>
              <w:adjustRightInd/>
              <w:rPr>
                <w:color w:val="000000"/>
                <w:sz w:val="20"/>
                <w:szCs w:val="20"/>
              </w:rPr>
            </w:pPr>
            <w:r w:rsidRPr="007C51D6">
              <w:rPr>
                <w:color w:val="000000"/>
                <w:sz w:val="20"/>
                <w:szCs w:val="20"/>
              </w:rPr>
              <w:t>Буинский</w:t>
            </w:r>
          </w:p>
        </w:tc>
        <w:tc>
          <w:tcPr>
            <w:tcW w:w="1012" w:type="dxa"/>
            <w:shd w:val="clear" w:color="auto" w:fill="auto"/>
            <w:hideMark/>
          </w:tcPr>
          <w:p w:rsidR="004309E4" w:rsidRPr="007C51D6" w:rsidRDefault="004309E4" w:rsidP="004309E4">
            <w:pPr>
              <w:autoSpaceDE/>
              <w:autoSpaceDN/>
              <w:adjustRightInd/>
              <w:jc w:val="center"/>
              <w:rPr>
                <w:color w:val="000000"/>
                <w:sz w:val="20"/>
                <w:szCs w:val="20"/>
              </w:rPr>
            </w:pPr>
            <w:r w:rsidRPr="007C51D6">
              <w:rPr>
                <w:color w:val="000000"/>
                <w:sz w:val="20"/>
                <w:szCs w:val="20"/>
              </w:rPr>
              <w:t>188,74</w:t>
            </w:r>
          </w:p>
        </w:tc>
        <w:tc>
          <w:tcPr>
            <w:tcW w:w="1115" w:type="dxa"/>
            <w:shd w:val="clear" w:color="auto" w:fill="auto"/>
            <w:hideMark/>
          </w:tcPr>
          <w:p w:rsidR="004309E4" w:rsidRPr="007C51D6" w:rsidRDefault="004309E4" w:rsidP="004309E4">
            <w:pPr>
              <w:autoSpaceDE/>
              <w:autoSpaceDN/>
              <w:adjustRightInd/>
              <w:jc w:val="center"/>
              <w:rPr>
                <w:color w:val="000000"/>
                <w:sz w:val="20"/>
                <w:szCs w:val="20"/>
              </w:rPr>
            </w:pPr>
            <w:r w:rsidRPr="007C51D6">
              <w:rPr>
                <w:color w:val="000000"/>
                <w:sz w:val="20"/>
                <w:szCs w:val="20"/>
              </w:rPr>
              <w:t>195,24</w:t>
            </w:r>
          </w:p>
        </w:tc>
        <w:tc>
          <w:tcPr>
            <w:tcW w:w="1012" w:type="dxa"/>
            <w:shd w:val="clear" w:color="auto" w:fill="auto"/>
            <w:hideMark/>
          </w:tcPr>
          <w:p w:rsidR="004309E4" w:rsidRPr="007C51D6" w:rsidRDefault="004309E4" w:rsidP="004309E4">
            <w:pPr>
              <w:autoSpaceDE/>
              <w:autoSpaceDN/>
              <w:adjustRightInd/>
              <w:jc w:val="center"/>
              <w:rPr>
                <w:color w:val="000000"/>
                <w:sz w:val="20"/>
                <w:szCs w:val="20"/>
              </w:rPr>
            </w:pPr>
            <w:r w:rsidRPr="007C51D6">
              <w:rPr>
                <w:color w:val="000000"/>
                <w:sz w:val="20"/>
                <w:szCs w:val="20"/>
              </w:rPr>
              <w:t>190,64</w:t>
            </w:r>
          </w:p>
        </w:tc>
        <w:tc>
          <w:tcPr>
            <w:tcW w:w="1011" w:type="dxa"/>
            <w:shd w:val="clear" w:color="auto" w:fill="auto"/>
            <w:hideMark/>
          </w:tcPr>
          <w:p w:rsidR="004309E4" w:rsidRPr="007C51D6" w:rsidRDefault="004309E4" w:rsidP="004309E4">
            <w:pPr>
              <w:autoSpaceDE/>
              <w:autoSpaceDN/>
              <w:adjustRightInd/>
              <w:jc w:val="center"/>
              <w:rPr>
                <w:color w:val="000000"/>
                <w:sz w:val="20"/>
                <w:szCs w:val="20"/>
              </w:rPr>
            </w:pPr>
            <w:r w:rsidRPr="007C51D6">
              <w:rPr>
                <w:color w:val="000000"/>
                <w:sz w:val="20"/>
                <w:szCs w:val="20"/>
              </w:rPr>
              <w:t>199,69</w:t>
            </w:r>
          </w:p>
        </w:tc>
        <w:tc>
          <w:tcPr>
            <w:tcW w:w="1012" w:type="dxa"/>
            <w:shd w:val="clear" w:color="auto" w:fill="auto"/>
          </w:tcPr>
          <w:p w:rsidR="004309E4" w:rsidRPr="007C51D6" w:rsidRDefault="004309E4" w:rsidP="004309E4">
            <w:pPr>
              <w:autoSpaceDE/>
              <w:autoSpaceDN/>
              <w:adjustRightInd/>
              <w:jc w:val="center"/>
              <w:rPr>
                <w:color w:val="000000"/>
                <w:sz w:val="20"/>
                <w:szCs w:val="20"/>
              </w:rPr>
            </w:pPr>
            <w:r w:rsidRPr="007C51D6">
              <w:rPr>
                <w:color w:val="000000"/>
                <w:sz w:val="20"/>
                <w:szCs w:val="20"/>
              </w:rPr>
              <w:t>195,7</w:t>
            </w:r>
          </w:p>
        </w:tc>
        <w:tc>
          <w:tcPr>
            <w:tcW w:w="1012" w:type="dxa"/>
          </w:tcPr>
          <w:p w:rsidR="004309E4" w:rsidRPr="007C51D6" w:rsidRDefault="004309E4" w:rsidP="004309E4">
            <w:pPr>
              <w:autoSpaceDE/>
              <w:autoSpaceDN/>
              <w:adjustRightInd/>
              <w:jc w:val="center"/>
              <w:rPr>
                <w:color w:val="000000"/>
                <w:sz w:val="20"/>
                <w:szCs w:val="20"/>
              </w:rPr>
            </w:pPr>
            <w:r w:rsidRPr="007C51D6">
              <w:rPr>
                <w:color w:val="000000"/>
                <w:sz w:val="20"/>
                <w:szCs w:val="20"/>
              </w:rPr>
              <w:t>207,5</w:t>
            </w:r>
          </w:p>
        </w:tc>
        <w:tc>
          <w:tcPr>
            <w:tcW w:w="1109" w:type="dxa"/>
          </w:tcPr>
          <w:p w:rsidR="004309E4" w:rsidRPr="007C51D6" w:rsidRDefault="004309E4" w:rsidP="004309E4">
            <w:pPr>
              <w:jc w:val="center"/>
              <w:rPr>
                <w:color w:val="000000"/>
                <w:sz w:val="20"/>
                <w:szCs w:val="20"/>
              </w:rPr>
            </w:pPr>
            <w:r w:rsidRPr="007C51D6">
              <w:rPr>
                <w:color w:val="000000"/>
                <w:sz w:val="20"/>
                <w:szCs w:val="20"/>
              </w:rPr>
              <w:t>138,1</w:t>
            </w:r>
          </w:p>
        </w:tc>
        <w:tc>
          <w:tcPr>
            <w:tcW w:w="1103" w:type="dxa"/>
          </w:tcPr>
          <w:p w:rsidR="004309E4" w:rsidRPr="007C51D6" w:rsidRDefault="004309E4" w:rsidP="004309E4">
            <w:pPr>
              <w:jc w:val="center"/>
              <w:rPr>
                <w:color w:val="000000"/>
                <w:sz w:val="20"/>
                <w:szCs w:val="20"/>
              </w:rPr>
            </w:pPr>
            <w:r w:rsidRPr="007C51D6">
              <w:rPr>
                <w:color w:val="000000"/>
                <w:sz w:val="20"/>
                <w:szCs w:val="20"/>
              </w:rPr>
              <w:t>213,3</w:t>
            </w:r>
          </w:p>
        </w:tc>
        <w:tc>
          <w:tcPr>
            <w:tcW w:w="1103" w:type="dxa"/>
          </w:tcPr>
          <w:p w:rsidR="004309E4" w:rsidRPr="007C51D6" w:rsidRDefault="004309E4" w:rsidP="004309E4">
            <w:pPr>
              <w:jc w:val="center"/>
              <w:rPr>
                <w:color w:val="000000"/>
                <w:sz w:val="20"/>
                <w:szCs w:val="20"/>
              </w:rPr>
            </w:pPr>
            <w:r w:rsidRPr="007C51D6">
              <w:rPr>
                <w:color w:val="000000"/>
                <w:sz w:val="20"/>
                <w:szCs w:val="20"/>
              </w:rPr>
              <w:t>220,7</w:t>
            </w:r>
          </w:p>
        </w:tc>
        <w:tc>
          <w:tcPr>
            <w:tcW w:w="1103" w:type="dxa"/>
          </w:tcPr>
          <w:p w:rsidR="004309E4" w:rsidRPr="007C51D6" w:rsidRDefault="004309E4" w:rsidP="004309E4">
            <w:pPr>
              <w:jc w:val="center"/>
              <w:rPr>
                <w:color w:val="000000"/>
                <w:sz w:val="20"/>
                <w:szCs w:val="20"/>
              </w:rPr>
            </w:pPr>
            <w:r w:rsidRPr="007C51D6">
              <w:rPr>
                <w:color w:val="000000"/>
                <w:sz w:val="20"/>
                <w:szCs w:val="20"/>
              </w:rPr>
              <w:t>нет</w:t>
            </w:r>
          </w:p>
          <w:p w:rsidR="004309E4" w:rsidRPr="007C51D6" w:rsidRDefault="004309E4" w:rsidP="004309E4">
            <w:pPr>
              <w:jc w:val="center"/>
              <w:rPr>
                <w:color w:val="000000"/>
                <w:sz w:val="20"/>
                <w:szCs w:val="20"/>
              </w:rPr>
            </w:pPr>
            <w:r w:rsidRPr="007C51D6">
              <w:rPr>
                <w:color w:val="000000"/>
                <w:sz w:val="20"/>
                <w:szCs w:val="20"/>
              </w:rPr>
              <w:t>данных</w:t>
            </w:r>
          </w:p>
        </w:tc>
      </w:tr>
      <w:tr w:rsidR="004309E4" w:rsidRPr="007C51D6" w:rsidTr="004472F9">
        <w:trPr>
          <w:trHeight w:val="20"/>
        </w:trPr>
        <w:tc>
          <w:tcPr>
            <w:tcW w:w="4531" w:type="dxa"/>
            <w:shd w:val="clear" w:color="auto" w:fill="auto"/>
            <w:hideMark/>
          </w:tcPr>
          <w:p w:rsidR="004309E4" w:rsidRPr="007C51D6" w:rsidRDefault="004309E4" w:rsidP="004309E4">
            <w:pPr>
              <w:autoSpaceDE/>
              <w:autoSpaceDN/>
              <w:adjustRightInd/>
              <w:rPr>
                <w:color w:val="000000"/>
                <w:sz w:val="20"/>
                <w:szCs w:val="20"/>
              </w:rPr>
            </w:pPr>
            <w:r w:rsidRPr="007C51D6">
              <w:rPr>
                <w:color w:val="000000"/>
                <w:sz w:val="20"/>
                <w:szCs w:val="20"/>
              </w:rPr>
              <w:t>Верхнеуслонский</w:t>
            </w:r>
          </w:p>
        </w:tc>
        <w:tc>
          <w:tcPr>
            <w:tcW w:w="1012" w:type="dxa"/>
            <w:shd w:val="clear" w:color="auto" w:fill="auto"/>
            <w:hideMark/>
          </w:tcPr>
          <w:p w:rsidR="004309E4" w:rsidRPr="007C51D6" w:rsidRDefault="004309E4" w:rsidP="004309E4">
            <w:pPr>
              <w:autoSpaceDE/>
              <w:autoSpaceDN/>
              <w:adjustRightInd/>
              <w:jc w:val="center"/>
              <w:rPr>
                <w:color w:val="000000"/>
                <w:sz w:val="20"/>
                <w:szCs w:val="20"/>
              </w:rPr>
            </w:pPr>
            <w:r w:rsidRPr="007C51D6">
              <w:rPr>
                <w:color w:val="000000"/>
                <w:sz w:val="20"/>
                <w:szCs w:val="20"/>
              </w:rPr>
              <w:t>319,66</w:t>
            </w:r>
          </w:p>
        </w:tc>
        <w:tc>
          <w:tcPr>
            <w:tcW w:w="1115" w:type="dxa"/>
            <w:shd w:val="clear" w:color="auto" w:fill="auto"/>
            <w:hideMark/>
          </w:tcPr>
          <w:p w:rsidR="004309E4" w:rsidRPr="007C51D6" w:rsidRDefault="004309E4" w:rsidP="004309E4">
            <w:pPr>
              <w:autoSpaceDE/>
              <w:autoSpaceDN/>
              <w:adjustRightInd/>
              <w:jc w:val="center"/>
              <w:rPr>
                <w:color w:val="000000"/>
                <w:sz w:val="20"/>
                <w:szCs w:val="20"/>
              </w:rPr>
            </w:pPr>
            <w:r w:rsidRPr="007C51D6">
              <w:rPr>
                <w:color w:val="000000"/>
                <w:sz w:val="20"/>
                <w:szCs w:val="20"/>
              </w:rPr>
              <w:t>194,45</w:t>
            </w:r>
          </w:p>
        </w:tc>
        <w:tc>
          <w:tcPr>
            <w:tcW w:w="1012" w:type="dxa"/>
            <w:shd w:val="clear" w:color="auto" w:fill="auto"/>
            <w:hideMark/>
          </w:tcPr>
          <w:p w:rsidR="004309E4" w:rsidRPr="007C51D6" w:rsidRDefault="004309E4" w:rsidP="004309E4">
            <w:pPr>
              <w:autoSpaceDE/>
              <w:autoSpaceDN/>
              <w:adjustRightInd/>
              <w:jc w:val="center"/>
              <w:rPr>
                <w:color w:val="000000"/>
                <w:sz w:val="20"/>
                <w:szCs w:val="20"/>
              </w:rPr>
            </w:pPr>
            <w:r w:rsidRPr="007C51D6">
              <w:rPr>
                <w:color w:val="000000"/>
                <w:sz w:val="20"/>
                <w:szCs w:val="20"/>
              </w:rPr>
              <w:t>279,52</w:t>
            </w:r>
          </w:p>
        </w:tc>
        <w:tc>
          <w:tcPr>
            <w:tcW w:w="1011" w:type="dxa"/>
            <w:shd w:val="clear" w:color="auto" w:fill="auto"/>
            <w:hideMark/>
          </w:tcPr>
          <w:p w:rsidR="004309E4" w:rsidRPr="007C51D6" w:rsidRDefault="004309E4" w:rsidP="004309E4">
            <w:pPr>
              <w:autoSpaceDE/>
              <w:autoSpaceDN/>
              <w:adjustRightInd/>
              <w:jc w:val="center"/>
              <w:rPr>
                <w:color w:val="000000"/>
                <w:sz w:val="20"/>
                <w:szCs w:val="20"/>
              </w:rPr>
            </w:pPr>
            <w:r w:rsidRPr="007C51D6">
              <w:rPr>
                <w:color w:val="000000"/>
                <w:sz w:val="20"/>
                <w:szCs w:val="20"/>
              </w:rPr>
              <w:t>251,27</w:t>
            </w:r>
          </w:p>
        </w:tc>
        <w:tc>
          <w:tcPr>
            <w:tcW w:w="1012" w:type="dxa"/>
            <w:shd w:val="clear" w:color="auto" w:fill="auto"/>
          </w:tcPr>
          <w:p w:rsidR="004309E4" w:rsidRPr="007C51D6" w:rsidRDefault="004309E4" w:rsidP="004309E4">
            <w:pPr>
              <w:autoSpaceDE/>
              <w:autoSpaceDN/>
              <w:adjustRightInd/>
              <w:jc w:val="center"/>
              <w:rPr>
                <w:color w:val="000000"/>
                <w:sz w:val="20"/>
                <w:szCs w:val="20"/>
              </w:rPr>
            </w:pPr>
            <w:r w:rsidRPr="007C51D6">
              <w:rPr>
                <w:color w:val="000000"/>
                <w:sz w:val="20"/>
                <w:szCs w:val="20"/>
              </w:rPr>
              <w:t>220,4</w:t>
            </w:r>
          </w:p>
        </w:tc>
        <w:tc>
          <w:tcPr>
            <w:tcW w:w="1012" w:type="dxa"/>
          </w:tcPr>
          <w:p w:rsidR="004309E4" w:rsidRPr="007C51D6" w:rsidRDefault="004309E4" w:rsidP="004309E4">
            <w:pPr>
              <w:autoSpaceDE/>
              <w:autoSpaceDN/>
              <w:adjustRightInd/>
              <w:jc w:val="center"/>
              <w:rPr>
                <w:color w:val="000000"/>
                <w:sz w:val="20"/>
                <w:szCs w:val="20"/>
              </w:rPr>
            </w:pPr>
            <w:r w:rsidRPr="007C51D6">
              <w:rPr>
                <w:color w:val="000000"/>
                <w:sz w:val="20"/>
                <w:szCs w:val="20"/>
              </w:rPr>
              <w:t>256,8</w:t>
            </w:r>
          </w:p>
        </w:tc>
        <w:tc>
          <w:tcPr>
            <w:tcW w:w="1109" w:type="dxa"/>
          </w:tcPr>
          <w:p w:rsidR="004309E4" w:rsidRPr="007C51D6" w:rsidRDefault="004309E4" w:rsidP="004309E4">
            <w:pPr>
              <w:jc w:val="center"/>
              <w:rPr>
                <w:color w:val="000000"/>
                <w:sz w:val="20"/>
                <w:szCs w:val="20"/>
              </w:rPr>
            </w:pPr>
            <w:r w:rsidRPr="007C51D6">
              <w:rPr>
                <w:color w:val="000000"/>
                <w:sz w:val="20"/>
                <w:szCs w:val="20"/>
              </w:rPr>
              <w:t>244,2</w:t>
            </w:r>
          </w:p>
        </w:tc>
        <w:tc>
          <w:tcPr>
            <w:tcW w:w="1103" w:type="dxa"/>
          </w:tcPr>
          <w:p w:rsidR="004309E4" w:rsidRPr="007C51D6" w:rsidRDefault="004309E4" w:rsidP="004309E4">
            <w:pPr>
              <w:jc w:val="center"/>
              <w:rPr>
                <w:color w:val="000000"/>
                <w:sz w:val="20"/>
                <w:szCs w:val="20"/>
              </w:rPr>
            </w:pPr>
            <w:r w:rsidRPr="007C51D6">
              <w:rPr>
                <w:color w:val="000000"/>
                <w:sz w:val="20"/>
                <w:szCs w:val="20"/>
              </w:rPr>
              <w:t>240,9</w:t>
            </w:r>
          </w:p>
        </w:tc>
        <w:tc>
          <w:tcPr>
            <w:tcW w:w="1103" w:type="dxa"/>
          </w:tcPr>
          <w:p w:rsidR="004309E4" w:rsidRPr="007C51D6" w:rsidRDefault="004309E4" w:rsidP="004309E4">
            <w:pPr>
              <w:jc w:val="center"/>
              <w:rPr>
                <w:color w:val="000000"/>
                <w:sz w:val="20"/>
                <w:szCs w:val="20"/>
              </w:rPr>
            </w:pPr>
            <w:r w:rsidRPr="007C51D6">
              <w:rPr>
                <w:color w:val="000000"/>
                <w:sz w:val="20"/>
                <w:szCs w:val="20"/>
              </w:rPr>
              <w:t>181,9</w:t>
            </w:r>
          </w:p>
        </w:tc>
        <w:tc>
          <w:tcPr>
            <w:tcW w:w="1103" w:type="dxa"/>
          </w:tcPr>
          <w:p w:rsidR="004309E4" w:rsidRPr="007C51D6" w:rsidRDefault="004309E4" w:rsidP="004309E4">
            <w:pPr>
              <w:jc w:val="center"/>
              <w:rPr>
                <w:color w:val="000000"/>
                <w:sz w:val="20"/>
                <w:szCs w:val="20"/>
              </w:rPr>
            </w:pPr>
            <w:r w:rsidRPr="007C51D6">
              <w:rPr>
                <w:color w:val="000000"/>
                <w:sz w:val="20"/>
                <w:szCs w:val="20"/>
              </w:rPr>
              <w:t>нет</w:t>
            </w:r>
          </w:p>
          <w:p w:rsidR="004309E4" w:rsidRPr="007C51D6" w:rsidRDefault="004309E4" w:rsidP="004309E4">
            <w:pPr>
              <w:jc w:val="center"/>
              <w:rPr>
                <w:color w:val="000000"/>
                <w:sz w:val="20"/>
                <w:szCs w:val="20"/>
              </w:rPr>
            </w:pPr>
            <w:r w:rsidRPr="007C51D6">
              <w:rPr>
                <w:color w:val="000000"/>
                <w:sz w:val="20"/>
                <w:szCs w:val="20"/>
              </w:rPr>
              <w:t>данных</w:t>
            </w:r>
          </w:p>
        </w:tc>
      </w:tr>
      <w:tr w:rsidR="004309E4" w:rsidRPr="007C51D6" w:rsidTr="004472F9">
        <w:trPr>
          <w:trHeight w:val="20"/>
        </w:trPr>
        <w:tc>
          <w:tcPr>
            <w:tcW w:w="4531" w:type="dxa"/>
            <w:shd w:val="clear" w:color="auto" w:fill="auto"/>
            <w:hideMark/>
          </w:tcPr>
          <w:p w:rsidR="004309E4" w:rsidRPr="007C51D6" w:rsidRDefault="004309E4" w:rsidP="004309E4">
            <w:pPr>
              <w:autoSpaceDE/>
              <w:autoSpaceDN/>
              <w:adjustRightInd/>
              <w:rPr>
                <w:color w:val="000000"/>
                <w:sz w:val="20"/>
                <w:szCs w:val="20"/>
              </w:rPr>
            </w:pPr>
            <w:r w:rsidRPr="007C51D6">
              <w:rPr>
                <w:color w:val="000000"/>
                <w:sz w:val="20"/>
                <w:szCs w:val="20"/>
              </w:rPr>
              <w:t>Высокогорский</w:t>
            </w:r>
          </w:p>
        </w:tc>
        <w:tc>
          <w:tcPr>
            <w:tcW w:w="1012" w:type="dxa"/>
            <w:shd w:val="clear" w:color="auto" w:fill="auto"/>
            <w:hideMark/>
          </w:tcPr>
          <w:p w:rsidR="004309E4" w:rsidRPr="007C51D6" w:rsidRDefault="004309E4" w:rsidP="004309E4">
            <w:pPr>
              <w:autoSpaceDE/>
              <w:autoSpaceDN/>
              <w:adjustRightInd/>
              <w:jc w:val="center"/>
              <w:rPr>
                <w:color w:val="000000"/>
                <w:sz w:val="20"/>
                <w:szCs w:val="20"/>
              </w:rPr>
            </w:pPr>
            <w:r w:rsidRPr="007C51D6">
              <w:rPr>
                <w:color w:val="000000"/>
                <w:sz w:val="20"/>
                <w:szCs w:val="20"/>
              </w:rPr>
              <w:t>198,57</w:t>
            </w:r>
          </w:p>
        </w:tc>
        <w:tc>
          <w:tcPr>
            <w:tcW w:w="1115" w:type="dxa"/>
            <w:shd w:val="clear" w:color="auto" w:fill="auto"/>
            <w:hideMark/>
          </w:tcPr>
          <w:p w:rsidR="004309E4" w:rsidRPr="007C51D6" w:rsidRDefault="004309E4" w:rsidP="004309E4">
            <w:pPr>
              <w:autoSpaceDE/>
              <w:autoSpaceDN/>
              <w:adjustRightInd/>
              <w:jc w:val="center"/>
              <w:rPr>
                <w:color w:val="000000"/>
                <w:sz w:val="20"/>
                <w:szCs w:val="20"/>
              </w:rPr>
            </w:pPr>
            <w:r w:rsidRPr="007C51D6">
              <w:rPr>
                <w:color w:val="000000"/>
                <w:sz w:val="20"/>
                <w:szCs w:val="20"/>
              </w:rPr>
              <w:t>190,86</w:t>
            </w:r>
          </w:p>
        </w:tc>
        <w:tc>
          <w:tcPr>
            <w:tcW w:w="1012" w:type="dxa"/>
            <w:shd w:val="clear" w:color="auto" w:fill="auto"/>
            <w:hideMark/>
          </w:tcPr>
          <w:p w:rsidR="004309E4" w:rsidRPr="007C51D6" w:rsidRDefault="004309E4" w:rsidP="004309E4">
            <w:pPr>
              <w:autoSpaceDE/>
              <w:autoSpaceDN/>
              <w:adjustRightInd/>
              <w:jc w:val="center"/>
              <w:rPr>
                <w:color w:val="000000"/>
                <w:sz w:val="20"/>
                <w:szCs w:val="20"/>
              </w:rPr>
            </w:pPr>
            <w:r w:rsidRPr="007C51D6">
              <w:rPr>
                <w:color w:val="000000"/>
                <w:sz w:val="20"/>
                <w:szCs w:val="20"/>
              </w:rPr>
              <w:t>155,59</w:t>
            </w:r>
          </w:p>
        </w:tc>
        <w:tc>
          <w:tcPr>
            <w:tcW w:w="1011" w:type="dxa"/>
            <w:shd w:val="clear" w:color="auto" w:fill="auto"/>
            <w:hideMark/>
          </w:tcPr>
          <w:p w:rsidR="004309E4" w:rsidRPr="007C51D6" w:rsidRDefault="004309E4" w:rsidP="004309E4">
            <w:pPr>
              <w:autoSpaceDE/>
              <w:autoSpaceDN/>
              <w:adjustRightInd/>
              <w:jc w:val="center"/>
              <w:rPr>
                <w:color w:val="000000"/>
                <w:sz w:val="20"/>
                <w:szCs w:val="20"/>
              </w:rPr>
            </w:pPr>
            <w:r w:rsidRPr="007C51D6">
              <w:rPr>
                <w:color w:val="000000"/>
                <w:sz w:val="20"/>
                <w:szCs w:val="20"/>
              </w:rPr>
              <w:t>221,27</w:t>
            </w:r>
          </w:p>
        </w:tc>
        <w:tc>
          <w:tcPr>
            <w:tcW w:w="1012" w:type="dxa"/>
            <w:shd w:val="clear" w:color="auto" w:fill="auto"/>
          </w:tcPr>
          <w:p w:rsidR="004309E4" w:rsidRPr="007C51D6" w:rsidRDefault="004309E4" w:rsidP="004309E4">
            <w:pPr>
              <w:autoSpaceDE/>
              <w:autoSpaceDN/>
              <w:adjustRightInd/>
              <w:jc w:val="center"/>
              <w:rPr>
                <w:color w:val="000000"/>
                <w:sz w:val="20"/>
                <w:szCs w:val="20"/>
              </w:rPr>
            </w:pPr>
            <w:r w:rsidRPr="007C51D6">
              <w:rPr>
                <w:color w:val="000000"/>
                <w:sz w:val="20"/>
                <w:szCs w:val="20"/>
              </w:rPr>
              <w:t>199,9</w:t>
            </w:r>
          </w:p>
        </w:tc>
        <w:tc>
          <w:tcPr>
            <w:tcW w:w="1012" w:type="dxa"/>
          </w:tcPr>
          <w:p w:rsidR="004309E4" w:rsidRPr="007C51D6" w:rsidRDefault="004309E4" w:rsidP="004309E4">
            <w:pPr>
              <w:autoSpaceDE/>
              <w:autoSpaceDN/>
              <w:adjustRightInd/>
              <w:jc w:val="center"/>
              <w:rPr>
                <w:color w:val="000000"/>
                <w:sz w:val="20"/>
                <w:szCs w:val="20"/>
              </w:rPr>
            </w:pPr>
            <w:r w:rsidRPr="007C51D6">
              <w:rPr>
                <w:color w:val="000000"/>
                <w:sz w:val="20"/>
                <w:szCs w:val="20"/>
              </w:rPr>
              <w:t>190,1</w:t>
            </w:r>
          </w:p>
        </w:tc>
        <w:tc>
          <w:tcPr>
            <w:tcW w:w="1109" w:type="dxa"/>
          </w:tcPr>
          <w:p w:rsidR="004309E4" w:rsidRPr="007C51D6" w:rsidRDefault="004309E4" w:rsidP="004309E4">
            <w:pPr>
              <w:autoSpaceDE/>
              <w:autoSpaceDN/>
              <w:adjustRightInd/>
              <w:jc w:val="center"/>
              <w:rPr>
                <w:color w:val="000000"/>
                <w:sz w:val="20"/>
                <w:szCs w:val="20"/>
              </w:rPr>
            </w:pPr>
            <w:r w:rsidRPr="007C51D6">
              <w:rPr>
                <w:color w:val="000000"/>
                <w:sz w:val="20"/>
                <w:szCs w:val="20"/>
              </w:rPr>
              <w:t>198,2</w:t>
            </w:r>
          </w:p>
        </w:tc>
        <w:tc>
          <w:tcPr>
            <w:tcW w:w="1103" w:type="dxa"/>
          </w:tcPr>
          <w:p w:rsidR="004309E4" w:rsidRPr="007C51D6" w:rsidRDefault="004309E4" w:rsidP="004309E4">
            <w:pPr>
              <w:autoSpaceDE/>
              <w:autoSpaceDN/>
              <w:adjustRightInd/>
              <w:jc w:val="center"/>
              <w:rPr>
                <w:color w:val="000000"/>
                <w:sz w:val="20"/>
                <w:szCs w:val="20"/>
              </w:rPr>
            </w:pPr>
            <w:r w:rsidRPr="007C51D6">
              <w:rPr>
                <w:color w:val="000000"/>
                <w:sz w:val="20"/>
                <w:szCs w:val="20"/>
              </w:rPr>
              <w:t>166,3</w:t>
            </w:r>
          </w:p>
        </w:tc>
        <w:tc>
          <w:tcPr>
            <w:tcW w:w="1103" w:type="dxa"/>
          </w:tcPr>
          <w:p w:rsidR="004309E4" w:rsidRPr="007C51D6" w:rsidRDefault="004309E4" w:rsidP="004309E4">
            <w:pPr>
              <w:autoSpaceDE/>
              <w:autoSpaceDN/>
              <w:adjustRightInd/>
              <w:jc w:val="center"/>
              <w:rPr>
                <w:color w:val="000000"/>
                <w:sz w:val="20"/>
                <w:szCs w:val="20"/>
              </w:rPr>
            </w:pPr>
            <w:r w:rsidRPr="007C51D6">
              <w:rPr>
                <w:color w:val="000000"/>
                <w:sz w:val="20"/>
                <w:szCs w:val="20"/>
              </w:rPr>
              <w:t>163,1</w:t>
            </w:r>
          </w:p>
        </w:tc>
        <w:tc>
          <w:tcPr>
            <w:tcW w:w="1103" w:type="dxa"/>
          </w:tcPr>
          <w:p w:rsidR="004309E4" w:rsidRPr="007C51D6" w:rsidRDefault="004309E4" w:rsidP="004309E4">
            <w:pPr>
              <w:jc w:val="center"/>
              <w:rPr>
                <w:color w:val="000000"/>
                <w:sz w:val="20"/>
                <w:szCs w:val="20"/>
              </w:rPr>
            </w:pPr>
            <w:r w:rsidRPr="007C51D6">
              <w:rPr>
                <w:color w:val="000000"/>
                <w:sz w:val="20"/>
                <w:szCs w:val="20"/>
              </w:rPr>
              <w:t>нет</w:t>
            </w:r>
          </w:p>
          <w:p w:rsidR="004309E4" w:rsidRPr="007C51D6" w:rsidRDefault="004309E4" w:rsidP="004309E4">
            <w:pPr>
              <w:autoSpaceDE/>
              <w:autoSpaceDN/>
              <w:adjustRightInd/>
              <w:jc w:val="center"/>
              <w:rPr>
                <w:color w:val="000000"/>
                <w:sz w:val="20"/>
                <w:szCs w:val="20"/>
              </w:rPr>
            </w:pPr>
            <w:r w:rsidRPr="007C51D6">
              <w:rPr>
                <w:color w:val="000000"/>
                <w:sz w:val="20"/>
                <w:szCs w:val="20"/>
              </w:rPr>
              <w:t>данных</w:t>
            </w:r>
          </w:p>
        </w:tc>
      </w:tr>
      <w:tr w:rsidR="004309E4" w:rsidRPr="007C51D6" w:rsidTr="004472F9">
        <w:trPr>
          <w:trHeight w:val="20"/>
        </w:trPr>
        <w:tc>
          <w:tcPr>
            <w:tcW w:w="4531" w:type="dxa"/>
            <w:shd w:val="clear" w:color="auto" w:fill="auto"/>
            <w:hideMark/>
          </w:tcPr>
          <w:p w:rsidR="004309E4" w:rsidRPr="007C51D6" w:rsidRDefault="004309E4" w:rsidP="004309E4">
            <w:pPr>
              <w:autoSpaceDE/>
              <w:autoSpaceDN/>
              <w:adjustRightInd/>
              <w:rPr>
                <w:color w:val="000000"/>
                <w:sz w:val="20"/>
                <w:szCs w:val="20"/>
              </w:rPr>
            </w:pPr>
            <w:r w:rsidRPr="007C51D6">
              <w:rPr>
                <w:color w:val="000000"/>
                <w:sz w:val="20"/>
                <w:szCs w:val="20"/>
              </w:rPr>
              <w:t>Дрожжановский</w:t>
            </w:r>
          </w:p>
        </w:tc>
        <w:tc>
          <w:tcPr>
            <w:tcW w:w="1012" w:type="dxa"/>
            <w:shd w:val="clear" w:color="auto" w:fill="auto"/>
            <w:hideMark/>
          </w:tcPr>
          <w:p w:rsidR="004309E4" w:rsidRPr="007C51D6" w:rsidRDefault="004309E4" w:rsidP="004309E4">
            <w:pPr>
              <w:autoSpaceDE/>
              <w:autoSpaceDN/>
              <w:adjustRightInd/>
              <w:jc w:val="center"/>
              <w:rPr>
                <w:color w:val="000000"/>
                <w:sz w:val="20"/>
                <w:szCs w:val="20"/>
              </w:rPr>
            </w:pPr>
            <w:r w:rsidRPr="007C51D6">
              <w:rPr>
                <w:color w:val="000000"/>
                <w:sz w:val="20"/>
                <w:szCs w:val="20"/>
              </w:rPr>
              <w:t>168,48</w:t>
            </w:r>
          </w:p>
        </w:tc>
        <w:tc>
          <w:tcPr>
            <w:tcW w:w="1115" w:type="dxa"/>
            <w:shd w:val="clear" w:color="auto" w:fill="auto"/>
            <w:hideMark/>
          </w:tcPr>
          <w:p w:rsidR="004309E4" w:rsidRPr="007C51D6" w:rsidRDefault="004309E4" w:rsidP="004309E4">
            <w:pPr>
              <w:autoSpaceDE/>
              <w:autoSpaceDN/>
              <w:adjustRightInd/>
              <w:jc w:val="center"/>
              <w:rPr>
                <w:color w:val="000000"/>
                <w:sz w:val="20"/>
                <w:szCs w:val="20"/>
              </w:rPr>
            </w:pPr>
            <w:r w:rsidRPr="007C51D6">
              <w:rPr>
                <w:color w:val="000000"/>
                <w:sz w:val="20"/>
                <w:szCs w:val="20"/>
              </w:rPr>
              <w:t>210,41</w:t>
            </w:r>
          </w:p>
        </w:tc>
        <w:tc>
          <w:tcPr>
            <w:tcW w:w="1012" w:type="dxa"/>
            <w:shd w:val="clear" w:color="auto" w:fill="auto"/>
            <w:hideMark/>
          </w:tcPr>
          <w:p w:rsidR="004309E4" w:rsidRPr="007C51D6" w:rsidRDefault="004309E4" w:rsidP="004309E4">
            <w:pPr>
              <w:autoSpaceDE/>
              <w:autoSpaceDN/>
              <w:adjustRightInd/>
              <w:jc w:val="center"/>
              <w:rPr>
                <w:color w:val="000000"/>
                <w:sz w:val="20"/>
                <w:szCs w:val="20"/>
              </w:rPr>
            </w:pPr>
            <w:r w:rsidRPr="007C51D6">
              <w:rPr>
                <w:color w:val="000000"/>
                <w:sz w:val="20"/>
                <w:szCs w:val="20"/>
              </w:rPr>
              <w:t>184,11</w:t>
            </w:r>
          </w:p>
        </w:tc>
        <w:tc>
          <w:tcPr>
            <w:tcW w:w="1011" w:type="dxa"/>
            <w:shd w:val="clear" w:color="auto" w:fill="auto"/>
            <w:hideMark/>
          </w:tcPr>
          <w:p w:rsidR="004309E4" w:rsidRPr="007C51D6" w:rsidRDefault="004309E4" w:rsidP="004309E4">
            <w:pPr>
              <w:autoSpaceDE/>
              <w:autoSpaceDN/>
              <w:adjustRightInd/>
              <w:jc w:val="center"/>
              <w:rPr>
                <w:color w:val="000000"/>
                <w:sz w:val="20"/>
                <w:szCs w:val="20"/>
              </w:rPr>
            </w:pPr>
            <w:r w:rsidRPr="007C51D6">
              <w:rPr>
                <w:color w:val="000000"/>
                <w:sz w:val="20"/>
                <w:szCs w:val="20"/>
              </w:rPr>
              <w:t>210,95</w:t>
            </w:r>
          </w:p>
        </w:tc>
        <w:tc>
          <w:tcPr>
            <w:tcW w:w="1012" w:type="dxa"/>
            <w:shd w:val="clear" w:color="auto" w:fill="auto"/>
          </w:tcPr>
          <w:p w:rsidR="004309E4" w:rsidRPr="007C51D6" w:rsidRDefault="004309E4" w:rsidP="004309E4">
            <w:pPr>
              <w:autoSpaceDE/>
              <w:autoSpaceDN/>
              <w:adjustRightInd/>
              <w:jc w:val="center"/>
              <w:rPr>
                <w:color w:val="000000"/>
                <w:sz w:val="20"/>
                <w:szCs w:val="20"/>
              </w:rPr>
            </w:pPr>
            <w:r w:rsidRPr="007C51D6">
              <w:rPr>
                <w:color w:val="000000"/>
                <w:sz w:val="20"/>
                <w:szCs w:val="20"/>
              </w:rPr>
              <w:t>181,8</w:t>
            </w:r>
          </w:p>
        </w:tc>
        <w:tc>
          <w:tcPr>
            <w:tcW w:w="1012" w:type="dxa"/>
          </w:tcPr>
          <w:p w:rsidR="004309E4" w:rsidRPr="007C51D6" w:rsidRDefault="004309E4" w:rsidP="004309E4">
            <w:pPr>
              <w:autoSpaceDE/>
              <w:autoSpaceDN/>
              <w:adjustRightInd/>
              <w:jc w:val="center"/>
              <w:rPr>
                <w:color w:val="000000"/>
                <w:sz w:val="20"/>
                <w:szCs w:val="20"/>
              </w:rPr>
            </w:pPr>
            <w:r w:rsidRPr="007C51D6">
              <w:rPr>
                <w:color w:val="000000"/>
                <w:sz w:val="20"/>
                <w:szCs w:val="20"/>
              </w:rPr>
              <w:t>208,6</w:t>
            </w:r>
          </w:p>
        </w:tc>
        <w:tc>
          <w:tcPr>
            <w:tcW w:w="1109" w:type="dxa"/>
          </w:tcPr>
          <w:p w:rsidR="004309E4" w:rsidRPr="007C51D6" w:rsidRDefault="004309E4" w:rsidP="004309E4">
            <w:pPr>
              <w:jc w:val="center"/>
              <w:rPr>
                <w:color w:val="000000"/>
                <w:sz w:val="20"/>
                <w:szCs w:val="20"/>
              </w:rPr>
            </w:pPr>
            <w:r w:rsidRPr="007C51D6">
              <w:rPr>
                <w:color w:val="000000"/>
                <w:sz w:val="20"/>
                <w:szCs w:val="20"/>
              </w:rPr>
              <w:t>164,9</w:t>
            </w:r>
          </w:p>
        </w:tc>
        <w:tc>
          <w:tcPr>
            <w:tcW w:w="1103" w:type="dxa"/>
          </w:tcPr>
          <w:p w:rsidR="004309E4" w:rsidRPr="007C51D6" w:rsidRDefault="004309E4" w:rsidP="004309E4">
            <w:pPr>
              <w:jc w:val="center"/>
              <w:rPr>
                <w:color w:val="000000"/>
                <w:sz w:val="20"/>
                <w:szCs w:val="20"/>
              </w:rPr>
            </w:pPr>
            <w:r w:rsidRPr="007C51D6">
              <w:rPr>
                <w:color w:val="000000"/>
                <w:sz w:val="20"/>
                <w:szCs w:val="20"/>
              </w:rPr>
              <w:t>206,5</w:t>
            </w:r>
          </w:p>
        </w:tc>
        <w:tc>
          <w:tcPr>
            <w:tcW w:w="1103" w:type="dxa"/>
          </w:tcPr>
          <w:p w:rsidR="004309E4" w:rsidRPr="007C51D6" w:rsidRDefault="004309E4" w:rsidP="004309E4">
            <w:pPr>
              <w:jc w:val="center"/>
              <w:rPr>
                <w:color w:val="000000"/>
                <w:sz w:val="20"/>
                <w:szCs w:val="20"/>
              </w:rPr>
            </w:pPr>
            <w:r w:rsidRPr="007C51D6">
              <w:rPr>
                <w:color w:val="000000"/>
                <w:sz w:val="20"/>
                <w:szCs w:val="20"/>
              </w:rPr>
              <w:t>190,1</w:t>
            </w:r>
          </w:p>
        </w:tc>
        <w:tc>
          <w:tcPr>
            <w:tcW w:w="1103" w:type="dxa"/>
          </w:tcPr>
          <w:p w:rsidR="004309E4" w:rsidRPr="007C51D6" w:rsidRDefault="004309E4" w:rsidP="004309E4">
            <w:pPr>
              <w:jc w:val="center"/>
              <w:rPr>
                <w:color w:val="000000"/>
                <w:sz w:val="20"/>
                <w:szCs w:val="20"/>
              </w:rPr>
            </w:pPr>
            <w:r w:rsidRPr="007C51D6">
              <w:rPr>
                <w:color w:val="000000"/>
                <w:sz w:val="20"/>
                <w:szCs w:val="20"/>
              </w:rPr>
              <w:t>нет</w:t>
            </w:r>
          </w:p>
          <w:p w:rsidR="004309E4" w:rsidRPr="007C51D6" w:rsidRDefault="004309E4" w:rsidP="004309E4">
            <w:pPr>
              <w:jc w:val="center"/>
              <w:rPr>
                <w:color w:val="000000"/>
                <w:sz w:val="20"/>
                <w:szCs w:val="20"/>
              </w:rPr>
            </w:pPr>
            <w:r w:rsidRPr="007C51D6">
              <w:rPr>
                <w:color w:val="000000"/>
                <w:sz w:val="20"/>
                <w:szCs w:val="20"/>
              </w:rPr>
              <w:t>данных</w:t>
            </w:r>
          </w:p>
        </w:tc>
      </w:tr>
      <w:tr w:rsidR="004309E4" w:rsidRPr="007C51D6" w:rsidTr="004472F9">
        <w:trPr>
          <w:trHeight w:val="20"/>
        </w:trPr>
        <w:tc>
          <w:tcPr>
            <w:tcW w:w="4531" w:type="dxa"/>
            <w:shd w:val="clear" w:color="auto" w:fill="auto"/>
            <w:hideMark/>
          </w:tcPr>
          <w:p w:rsidR="004309E4" w:rsidRPr="007C51D6" w:rsidRDefault="004309E4" w:rsidP="004309E4">
            <w:pPr>
              <w:autoSpaceDE/>
              <w:autoSpaceDN/>
              <w:adjustRightInd/>
              <w:rPr>
                <w:color w:val="000000"/>
                <w:sz w:val="20"/>
                <w:szCs w:val="20"/>
              </w:rPr>
            </w:pPr>
            <w:r w:rsidRPr="007C51D6">
              <w:rPr>
                <w:color w:val="000000"/>
                <w:sz w:val="20"/>
                <w:szCs w:val="20"/>
              </w:rPr>
              <w:lastRenderedPageBreak/>
              <w:t>Елабужский</w:t>
            </w:r>
          </w:p>
        </w:tc>
        <w:tc>
          <w:tcPr>
            <w:tcW w:w="1012" w:type="dxa"/>
            <w:shd w:val="clear" w:color="auto" w:fill="auto"/>
            <w:hideMark/>
          </w:tcPr>
          <w:p w:rsidR="004309E4" w:rsidRPr="007C51D6" w:rsidRDefault="004309E4" w:rsidP="004309E4">
            <w:pPr>
              <w:autoSpaceDE/>
              <w:autoSpaceDN/>
              <w:adjustRightInd/>
              <w:jc w:val="center"/>
              <w:rPr>
                <w:color w:val="000000"/>
                <w:sz w:val="20"/>
                <w:szCs w:val="20"/>
              </w:rPr>
            </w:pPr>
            <w:r w:rsidRPr="007C51D6">
              <w:rPr>
                <w:color w:val="000000"/>
                <w:sz w:val="20"/>
                <w:szCs w:val="20"/>
              </w:rPr>
              <w:t>201,97</w:t>
            </w:r>
          </w:p>
        </w:tc>
        <w:tc>
          <w:tcPr>
            <w:tcW w:w="1115" w:type="dxa"/>
            <w:shd w:val="clear" w:color="auto" w:fill="auto"/>
            <w:hideMark/>
          </w:tcPr>
          <w:p w:rsidR="004309E4" w:rsidRPr="007C51D6" w:rsidRDefault="004309E4" w:rsidP="004309E4">
            <w:pPr>
              <w:autoSpaceDE/>
              <w:autoSpaceDN/>
              <w:adjustRightInd/>
              <w:jc w:val="center"/>
              <w:rPr>
                <w:color w:val="000000"/>
                <w:sz w:val="20"/>
                <w:szCs w:val="20"/>
              </w:rPr>
            </w:pPr>
            <w:r w:rsidRPr="007C51D6">
              <w:rPr>
                <w:color w:val="000000"/>
                <w:sz w:val="20"/>
                <w:szCs w:val="20"/>
              </w:rPr>
              <w:t>191,60</w:t>
            </w:r>
          </w:p>
        </w:tc>
        <w:tc>
          <w:tcPr>
            <w:tcW w:w="1012" w:type="dxa"/>
            <w:shd w:val="clear" w:color="auto" w:fill="auto"/>
            <w:hideMark/>
          </w:tcPr>
          <w:p w:rsidR="004309E4" w:rsidRPr="007C51D6" w:rsidRDefault="004309E4" w:rsidP="004309E4">
            <w:pPr>
              <w:autoSpaceDE/>
              <w:autoSpaceDN/>
              <w:adjustRightInd/>
              <w:jc w:val="center"/>
              <w:rPr>
                <w:color w:val="000000"/>
                <w:sz w:val="20"/>
                <w:szCs w:val="20"/>
              </w:rPr>
            </w:pPr>
            <w:r w:rsidRPr="007C51D6">
              <w:rPr>
                <w:color w:val="000000"/>
                <w:sz w:val="20"/>
                <w:szCs w:val="20"/>
              </w:rPr>
              <w:t>190,43</w:t>
            </w:r>
          </w:p>
        </w:tc>
        <w:tc>
          <w:tcPr>
            <w:tcW w:w="1011" w:type="dxa"/>
            <w:shd w:val="clear" w:color="auto" w:fill="auto"/>
            <w:hideMark/>
          </w:tcPr>
          <w:p w:rsidR="004309E4" w:rsidRPr="007C51D6" w:rsidRDefault="004309E4" w:rsidP="004309E4">
            <w:pPr>
              <w:autoSpaceDE/>
              <w:autoSpaceDN/>
              <w:adjustRightInd/>
              <w:jc w:val="center"/>
              <w:rPr>
                <w:color w:val="000000"/>
                <w:sz w:val="20"/>
                <w:szCs w:val="20"/>
              </w:rPr>
            </w:pPr>
            <w:r w:rsidRPr="007C51D6">
              <w:rPr>
                <w:color w:val="000000"/>
                <w:sz w:val="20"/>
                <w:szCs w:val="20"/>
              </w:rPr>
              <w:t>206,34</w:t>
            </w:r>
          </w:p>
        </w:tc>
        <w:tc>
          <w:tcPr>
            <w:tcW w:w="1012" w:type="dxa"/>
            <w:shd w:val="clear" w:color="auto" w:fill="auto"/>
          </w:tcPr>
          <w:p w:rsidR="004309E4" w:rsidRPr="007C51D6" w:rsidRDefault="004309E4" w:rsidP="004309E4">
            <w:pPr>
              <w:autoSpaceDE/>
              <w:autoSpaceDN/>
              <w:adjustRightInd/>
              <w:jc w:val="center"/>
              <w:rPr>
                <w:color w:val="000000"/>
                <w:sz w:val="20"/>
                <w:szCs w:val="20"/>
              </w:rPr>
            </w:pPr>
            <w:r w:rsidRPr="007C51D6">
              <w:rPr>
                <w:color w:val="000000"/>
                <w:sz w:val="20"/>
                <w:szCs w:val="20"/>
              </w:rPr>
              <w:t>192,9</w:t>
            </w:r>
          </w:p>
        </w:tc>
        <w:tc>
          <w:tcPr>
            <w:tcW w:w="1012" w:type="dxa"/>
          </w:tcPr>
          <w:p w:rsidR="004309E4" w:rsidRPr="007C51D6" w:rsidRDefault="004309E4" w:rsidP="004309E4">
            <w:pPr>
              <w:autoSpaceDE/>
              <w:autoSpaceDN/>
              <w:adjustRightInd/>
              <w:jc w:val="center"/>
              <w:rPr>
                <w:color w:val="000000"/>
                <w:sz w:val="20"/>
                <w:szCs w:val="20"/>
              </w:rPr>
            </w:pPr>
            <w:r w:rsidRPr="007C51D6">
              <w:rPr>
                <w:color w:val="000000"/>
                <w:sz w:val="20"/>
                <w:szCs w:val="20"/>
              </w:rPr>
              <w:t>179,3</w:t>
            </w:r>
          </w:p>
        </w:tc>
        <w:tc>
          <w:tcPr>
            <w:tcW w:w="1109" w:type="dxa"/>
          </w:tcPr>
          <w:p w:rsidR="004309E4" w:rsidRPr="007C51D6" w:rsidRDefault="004309E4" w:rsidP="004309E4">
            <w:pPr>
              <w:jc w:val="center"/>
              <w:rPr>
                <w:color w:val="000000"/>
                <w:sz w:val="20"/>
                <w:szCs w:val="20"/>
              </w:rPr>
            </w:pPr>
            <w:r w:rsidRPr="007C51D6">
              <w:rPr>
                <w:color w:val="000000"/>
                <w:sz w:val="20"/>
                <w:szCs w:val="20"/>
              </w:rPr>
              <w:t>151,6</w:t>
            </w:r>
          </w:p>
        </w:tc>
        <w:tc>
          <w:tcPr>
            <w:tcW w:w="1103" w:type="dxa"/>
          </w:tcPr>
          <w:p w:rsidR="004309E4" w:rsidRPr="007C51D6" w:rsidRDefault="004309E4" w:rsidP="004309E4">
            <w:pPr>
              <w:jc w:val="center"/>
              <w:rPr>
                <w:color w:val="000000"/>
                <w:sz w:val="20"/>
                <w:szCs w:val="20"/>
              </w:rPr>
            </w:pPr>
            <w:r w:rsidRPr="007C51D6">
              <w:rPr>
                <w:color w:val="000000"/>
                <w:sz w:val="20"/>
                <w:szCs w:val="20"/>
              </w:rPr>
              <w:t>158,9</w:t>
            </w:r>
          </w:p>
        </w:tc>
        <w:tc>
          <w:tcPr>
            <w:tcW w:w="1103" w:type="dxa"/>
          </w:tcPr>
          <w:p w:rsidR="004309E4" w:rsidRPr="007C51D6" w:rsidRDefault="004309E4" w:rsidP="004309E4">
            <w:pPr>
              <w:jc w:val="center"/>
              <w:rPr>
                <w:color w:val="000000"/>
                <w:sz w:val="20"/>
                <w:szCs w:val="20"/>
              </w:rPr>
            </w:pPr>
            <w:r w:rsidRPr="007C51D6">
              <w:rPr>
                <w:color w:val="000000"/>
                <w:sz w:val="20"/>
                <w:szCs w:val="20"/>
              </w:rPr>
              <w:t>153,5</w:t>
            </w:r>
          </w:p>
        </w:tc>
        <w:tc>
          <w:tcPr>
            <w:tcW w:w="1103" w:type="dxa"/>
          </w:tcPr>
          <w:p w:rsidR="004309E4" w:rsidRPr="007C51D6" w:rsidRDefault="004309E4" w:rsidP="004309E4">
            <w:pPr>
              <w:jc w:val="center"/>
              <w:rPr>
                <w:color w:val="000000"/>
                <w:sz w:val="20"/>
                <w:szCs w:val="20"/>
              </w:rPr>
            </w:pPr>
            <w:r w:rsidRPr="007C51D6">
              <w:rPr>
                <w:color w:val="000000"/>
                <w:sz w:val="20"/>
                <w:szCs w:val="20"/>
              </w:rPr>
              <w:t>нет</w:t>
            </w:r>
          </w:p>
          <w:p w:rsidR="004309E4" w:rsidRPr="007C51D6" w:rsidRDefault="004309E4" w:rsidP="004309E4">
            <w:pPr>
              <w:jc w:val="center"/>
              <w:rPr>
                <w:color w:val="000000"/>
                <w:sz w:val="20"/>
                <w:szCs w:val="20"/>
              </w:rPr>
            </w:pPr>
            <w:r w:rsidRPr="007C51D6">
              <w:rPr>
                <w:color w:val="000000"/>
                <w:sz w:val="20"/>
                <w:szCs w:val="20"/>
              </w:rPr>
              <w:t>данных</w:t>
            </w:r>
          </w:p>
        </w:tc>
      </w:tr>
      <w:tr w:rsidR="004309E4" w:rsidRPr="007C51D6" w:rsidTr="004472F9">
        <w:trPr>
          <w:trHeight w:val="20"/>
        </w:trPr>
        <w:tc>
          <w:tcPr>
            <w:tcW w:w="4531" w:type="dxa"/>
            <w:shd w:val="clear" w:color="auto" w:fill="auto"/>
            <w:hideMark/>
          </w:tcPr>
          <w:p w:rsidR="004309E4" w:rsidRPr="007C51D6" w:rsidRDefault="004309E4" w:rsidP="004309E4">
            <w:pPr>
              <w:autoSpaceDE/>
              <w:autoSpaceDN/>
              <w:adjustRightInd/>
              <w:rPr>
                <w:color w:val="000000"/>
                <w:sz w:val="20"/>
                <w:szCs w:val="20"/>
              </w:rPr>
            </w:pPr>
            <w:r w:rsidRPr="007C51D6">
              <w:rPr>
                <w:color w:val="000000"/>
                <w:sz w:val="20"/>
                <w:szCs w:val="20"/>
              </w:rPr>
              <w:t>Заинский</w:t>
            </w:r>
          </w:p>
        </w:tc>
        <w:tc>
          <w:tcPr>
            <w:tcW w:w="1012" w:type="dxa"/>
            <w:shd w:val="clear" w:color="auto" w:fill="auto"/>
            <w:hideMark/>
          </w:tcPr>
          <w:p w:rsidR="004309E4" w:rsidRPr="007C51D6" w:rsidRDefault="004309E4" w:rsidP="004309E4">
            <w:pPr>
              <w:autoSpaceDE/>
              <w:autoSpaceDN/>
              <w:adjustRightInd/>
              <w:jc w:val="center"/>
              <w:rPr>
                <w:color w:val="000000"/>
                <w:sz w:val="20"/>
                <w:szCs w:val="20"/>
              </w:rPr>
            </w:pPr>
            <w:r w:rsidRPr="007C51D6">
              <w:rPr>
                <w:color w:val="000000"/>
                <w:sz w:val="20"/>
                <w:szCs w:val="20"/>
              </w:rPr>
              <w:t>219,00</w:t>
            </w:r>
          </w:p>
        </w:tc>
        <w:tc>
          <w:tcPr>
            <w:tcW w:w="1115" w:type="dxa"/>
            <w:shd w:val="clear" w:color="auto" w:fill="auto"/>
            <w:hideMark/>
          </w:tcPr>
          <w:p w:rsidR="004309E4" w:rsidRPr="007C51D6" w:rsidRDefault="004309E4" w:rsidP="004309E4">
            <w:pPr>
              <w:autoSpaceDE/>
              <w:autoSpaceDN/>
              <w:adjustRightInd/>
              <w:jc w:val="center"/>
              <w:rPr>
                <w:color w:val="000000"/>
                <w:sz w:val="20"/>
                <w:szCs w:val="20"/>
              </w:rPr>
            </w:pPr>
            <w:r w:rsidRPr="007C51D6">
              <w:rPr>
                <w:color w:val="000000"/>
                <w:sz w:val="20"/>
                <w:szCs w:val="20"/>
              </w:rPr>
              <w:t>136,43</w:t>
            </w:r>
          </w:p>
        </w:tc>
        <w:tc>
          <w:tcPr>
            <w:tcW w:w="1012" w:type="dxa"/>
            <w:shd w:val="clear" w:color="auto" w:fill="auto"/>
            <w:hideMark/>
          </w:tcPr>
          <w:p w:rsidR="004309E4" w:rsidRPr="007C51D6" w:rsidRDefault="004309E4" w:rsidP="004309E4">
            <w:pPr>
              <w:autoSpaceDE/>
              <w:autoSpaceDN/>
              <w:adjustRightInd/>
              <w:jc w:val="center"/>
              <w:rPr>
                <w:color w:val="000000"/>
                <w:sz w:val="20"/>
                <w:szCs w:val="20"/>
              </w:rPr>
            </w:pPr>
            <w:r w:rsidRPr="007C51D6">
              <w:rPr>
                <w:color w:val="000000"/>
                <w:sz w:val="20"/>
                <w:szCs w:val="20"/>
              </w:rPr>
              <w:t>123,86</w:t>
            </w:r>
          </w:p>
        </w:tc>
        <w:tc>
          <w:tcPr>
            <w:tcW w:w="1011" w:type="dxa"/>
            <w:shd w:val="clear" w:color="auto" w:fill="auto"/>
            <w:hideMark/>
          </w:tcPr>
          <w:p w:rsidR="004309E4" w:rsidRPr="007C51D6" w:rsidRDefault="004309E4" w:rsidP="004309E4">
            <w:pPr>
              <w:autoSpaceDE/>
              <w:autoSpaceDN/>
              <w:adjustRightInd/>
              <w:jc w:val="center"/>
              <w:rPr>
                <w:color w:val="000000"/>
                <w:sz w:val="20"/>
                <w:szCs w:val="20"/>
              </w:rPr>
            </w:pPr>
            <w:r w:rsidRPr="007C51D6">
              <w:rPr>
                <w:color w:val="000000"/>
                <w:sz w:val="20"/>
                <w:szCs w:val="20"/>
              </w:rPr>
              <w:t>155,99</w:t>
            </w:r>
          </w:p>
        </w:tc>
        <w:tc>
          <w:tcPr>
            <w:tcW w:w="1012" w:type="dxa"/>
            <w:shd w:val="clear" w:color="auto" w:fill="auto"/>
          </w:tcPr>
          <w:p w:rsidR="004309E4" w:rsidRPr="007C51D6" w:rsidRDefault="004309E4" w:rsidP="004309E4">
            <w:pPr>
              <w:autoSpaceDE/>
              <w:autoSpaceDN/>
              <w:adjustRightInd/>
              <w:jc w:val="center"/>
              <w:rPr>
                <w:color w:val="000000"/>
                <w:sz w:val="20"/>
                <w:szCs w:val="20"/>
              </w:rPr>
            </w:pPr>
            <w:r w:rsidRPr="007C51D6">
              <w:rPr>
                <w:color w:val="000000"/>
                <w:sz w:val="20"/>
                <w:szCs w:val="20"/>
              </w:rPr>
              <w:t>194,5</w:t>
            </w:r>
          </w:p>
        </w:tc>
        <w:tc>
          <w:tcPr>
            <w:tcW w:w="1012" w:type="dxa"/>
          </w:tcPr>
          <w:p w:rsidR="004309E4" w:rsidRPr="007C51D6" w:rsidRDefault="004309E4" w:rsidP="004309E4">
            <w:pPr>
              <w:autoSpaceDE/>
              <w:autoSpaceDN/>
              <w:adjustRightInd/>
              <w:jc w:val="center"/>
              <w:rPr>
                <w:color w:val="000000"/>
                <w:sz w:val="20"/>
                <w:szCs w:val="20"/>
              </w:rPr>
            </w:pPr>
            <w:r w:rsidRPr="007C51D6">
              <w:rPr>
                <w:color w:val="000000"/>
                <w:sz w:val="20"/>
                <w:szCs w:val="20"/>
              </w:rPr>
              <w:t>180,8</w:t>
            </w:r>
          </w:p>
        </w:tc>
        <w:tc>
          <w:tcPr>
            <w:tcW w:w="1109" w:type="dxa"/>
          </w:tcPr>
          <w:p w:rsidR="004309E4" w:rsidRPr="007C51D6" w:rsidRDefault="004309E4" w:rsidP="004309E4">
            <w:pPr>
              <w:jc w:val="center"/>
              <w:rPr>
                <w:color w:val="000000"/>
                <w:sz w:val="20"/>
                <w:szCs w:val="20"/>
              </w:rPr>
            </w:pPr>
            <w:r w:rsidRPr="007C51D6">
              <w:rPr>
                <w:color w:val="000000"/>
                <w:sz w:val="20"/>
                <w:szCs w:val="20"/>
              </w:rPr>
              <w:t>206,9</w:t>
            </w:r>
          </w:p>
        </w:tc>
        <w:tc>
          <w:tcPr>
            <w:tcW w:w="1103" w:type="dxa"/>
          </w:tcPr>
          <w:p w:rsidR="004309E4" w:rsidRPr="007C51D6" w:rsidRDefault="004309E4" w:rsidP="004309E4">
            <w:pPr>
              <w:jc w:val="center"/>
              <w:rPr>
                <w:color w:val="000000"/>
                <w:sz w:val="20"/>
                <w:szCs w:val="20"/>
              </w:rPr>
            </w:pPr>
            <w:r w:rsidRPr="007C51D6">
              <w:rPr>
                <w:color w:val="000000"/>
                <w:sz w:val="20"/>
                <w:szCs w:val="20"/>
              </w:rPr>
              <w:t>178,6</w:t>
            </w:r>
          </w:p>
        </w:tc>
        <w:tc>
          <w:tcPr>
            <w:tcW w:w="1103" w:type="dxa"/>
          </w:tcPr>
          <w:p w:rsidR="004309E4" w:rsidRPr="007C51D6" w:rsidRDefault="004309E4" w:rsidP="004309E4">
            <w:pPr>
              <w:jc w:val="center"/>
              <w:rPr>
                <w:color w:val="000000"/>
                <w:sz w:val="20"/>
                <w:szCs w:val="20"/>
              </w:rPr>
            </w:pPr>
            <w:r w:rsidRPr="007C51D6">
              <w:rPr>
                <w:color w:val="000000"/>
                <w:sz w:val="20"/>
                <w:szCs w:val="20"/>
              </w:rPr>
              <w:t>199,8</w:t>
            </w:r>
          </w:p>
        </w:tc>
        <w:tc>
          <w:tcPr>
            <w:tcW w:w="1103" w:type="dxa"/>
          </w:tcPr>
          <w:p w:rsidR="004309E4" w:rsidRPr="007C51D6" w:rsidRDefault="004309E4" w:rsidP="004309E4">
            <w:pPr>
              <w:jc w:val="center"/>
              <w:rPr>
                <w:color w:val="000000"/>
                <w:sz w:val="20"/>
                <w:szCs w:val="20"/>
              </w:rPr>
            </w:pPr>
            <w:r w:rsidRPr="007C51D6">
              <w:rPr>
                <w:color w:val="000000"/>
                <w:sz w:val="20"/>
                <w:szCs w:val="20"/>
              </w:rPr>
              <w:t>нет</w:t>
            </w:r>
          </w:p>
          <w:p w:rsidR="004309E4" w:rsidRPr="007C51D6" w:rsidRDefault="004309E4" w:rsidP="004309E4">
            <w:pPr>
              <w:jc w:val="center"/>
              <w:rPr>
                <w:color w:val="000000"/>
                <w:sz w:val="20"/>
                <w:szCs w:val="20"/>
              </w:rPr>
            </w:pPr>
            <w:r w:rsidRPr="007C51D6">
              <w:rPr>
                <w:color w:val="000000"/>
                <w:sz w:val="20"/>
                <w:szCs w:val="20"/>
              </w:rPr>
              <w:t>данных</w:t>
            </w:r>
          </w:p>
        </w:tc>
      </w:tr>
      <w:tr w:rsidR="004309E4" w:rsidRPr="007C51D6" w:rsidTr="004472F9">
        <w:trPr>
          <w:trHeight w:val="20"/>
        </w:trPr>
        <w:tc>
          <w:tcPr>
            <w:tcW w:w="4531" w:type="dxa"/>
            <w:shd w:val="clear" w:color="auto" w:fill="auto"/>
            <w:hideMark/>
          </w:tcPr>
          <w:p w:rsidR="004309E4" w:rsidRPr="007C51D6" w:rsidRDefault="004309E4" w:rsidP="004309E4">
            <w:pPr>
              <w:autoSpaceDE/>
              <w:autoSpaceDN/>
              <w:adjustRightInd/>
              <w:rPr>
                <w:color w:val="000000"/>
                <w:sz w:val="20"/>
                <w:szCs w:val="20"/>
              </w:rPr>
            </w:pPr>
            <w:r w:rsidRPr="007C51D6">
              <w:rPr>
                <w:color w:val="000000"/>
                <w:sz w:val="20"/>
                <w:szCs w:val="20"/>
              </w:rPr>
              <w:t>Зеленодольский</w:t>
            </w:r>
          </w:p>
        </w:tc>
        <w:tc>
          <w:tcPr>
            <w:tcW w:w="1012" w:type="dxa"/>
            <w:shd w:val="clear" w:color="auto" w:fill="auto"/>
            <w:hideMark/>
          </w:tcPr>
          <w:p w:rsidR="004309E4" w:rsidRPr="007C51D6" w:rsidRDefault="004309E4" w:rsidP="004309E4">
            <w:pPr>
              <w:autoSpaceDE/>
              <w:autoSpaceDN/>
              <w:adjustRightInd/>
              <w:jc w:val="center"/>
              <w:rPr>
                <w:color w:val="000000"/>
                <w:sz w:val="20"/>
                <w:szCs w:val="20"/>
              </w:rPr>
            </w:pPr>
            <w:r w:rsidRPr="007C51D6">
              <w:rPr>
                <w:color w:val="000000"/>
                <w:sz w:val="20"/>
                <w:szCs w:val="20"/>
              </w:rPr>
              <w:t>220,29</w:t>
            </w:r>
          </w:p>
        </w:tc>
        <w:tc>
          <w:tcPr>
            <w:tcW w:w="1115" w:type="dxa"/>
            <w:shd w:val="clear" w:color="auto" w:fill="auto"/>
            <w:hideMark/>
          </w:tcPr>
          <w:p w:rsidR="004309E4" w:rsidRPr="007C51D6" w:rsidRDefault="004309E4" w:rsidP="004309E4">
            <w:pPr>
              <w:autoSpaceDE/>
              <w:autoSpaceDN/>
              <w:adjustRightInd/>
              <w:jc w:val="center"/>
              <w:rPr>
                <w:color w:val="000000"/>
                <w:sz w:val="20"/>
                <w:szCs w:val="20"/>
              </w:rPr>
            </w:pPr>
            <w:r w:rsidRPr="007C51D6">
              <w:rPr>
                <w:color w:val="000000"/>
                <w:sz w:val="20"/>
                <w:szCs w:val="20"/>
              </w:rPr>
              <w:t>206,92</w:t>
            </w:r>
          </w:p>
        </w:tc>
        <w:tc>
          <w:tcPr>
            <w:tcW w:w="1012" w:type="dxa"/>
            <w:shd w:val="clear" w:color="auto" w:fill="auto"/>
            <w:hideMark/>
          </w:tcPr>
          <w:p w:rsidR="004309E4" w:rsidRPr="007C51D6" w:rsidRDefault="004309E4" w:rsidP="004309E4">
            <w:pPr>
              <w:autoSpaceDE/>
              <w:autoSpaceDN/>
              <w:adjustRightInd/>
              <w:jc w:val="center"/>
              <w:rPr>
                <w:color w:val="000000"/>
                <w:sz w:val="20"/>
                <w:szCs w:val="20"/>
              </w:rPr>
            </w:pPr>
            <w:r w:rsidRPr="007C51D6">
              <w:rPr>
                <w:color w:val="000000"/>
                <w:sz w:val="20"/>
                <w:szCs w:val="20"/>
              </w:rPr>
              <w:t>218,41</w:t>
            </w:r>
          </w:p>
        </w:tc>
        <w:tc>
          <w:tcPr>
            <w:tcW w:w="1011" w:type="dxa"/>
            <w:shd w:val="clear" w:color="auto" w:fill="auto"/>
            <w:hideMark/>
          </w:tcPr>
          <w:p w:rsidR="004309E4" w:rsidRPr="007C51D6" w:rsidRDefault="004309E4" w:rsidP="004309E4">
            <w:pPr>
              <w:autoSpaceDE/>
              <w:autoSpaceDN/>
              <w:adjustRightInd/>
              <w:jc w:val="center"/>
              <w:rPr>
                <w:color w:val="000000"/>
                <w:sz w:val="20"/>
                <w:szCs w:val="20"/>
              </w:rPr>
            </w:pPr>
            <w:r w:rsidRPr="007C51D6">
              <w:rPr>
                <w:color w:val="000000"/>
                <w:sz w:val="20"/>
                <w:szCs w:val="20"/>
              </w:rPr>
              <w:t>177,06</w:t>
            </w:r>
          </w:p>
        </w:tc>
        <w:tc>
          <w:tcPr>
            <w:tcW w:w="1012" w:type="dxa"/>
            <w:shd w:val="clear" w:color="auto" w:fill="auto"/>
          </w:tcPr>
          <w:p w:rsidR="004309E4" w:rsidRPr="007C51D6" w:rsidRDefault="004309E4" w:rsidP="004309E4">
            <w:pPr>
              <w:autoSpaceDE/>
              <w:autoSpaceDN/>
              <w:adjustRightInd/>
              <w:jc w:val="center"/>
              <w:rPr>
                <w:color w:val="000000"/>
                <w:sz w:val="20"/>
                <w:szCs w:val="20"/>
              </w:rPr>
            </w:pPr>
            <w:r w:rsidRPr="007C51D6">
              <w:rPr>
                <w:color w:val="000000"/>
                <w:sz w:val="20"/>
                <w:szCs w:val="20"/>
              </w:rPr>
              <w:t>202,0</w:t>
            </w:r>
          </w:p>
        </w:tc>
        <w:tc>
          <w:tcPr>
            <w:tcW w:w="1012" w:type="dxa"/>
          </w:tcPr>
          <w:p w:rsidR="004309E4" w:rsidRPr="007C51D6" w:rsidRDefault="004309E4" w:rsidP="004309E4">
            <w:pPr>
              <w:autoSpaceDE/>
              <w:autoSpaceDN/>
              <w:adjustRightInd/>
              <w:jc w:val="center"/>
              <w:rPr>
                <w:color w:val="000000"/>
                <w:sz w:val="20"/>
                <w:szCs w:val="20"/>
              </w:rPr>
            </w:pPr>
            <w:r w:rsidRPr="007C51D6">
              <w:rPr>
                <w:color w:val="000000"/>
                <w:sz w:val="20"/>
                <w:szCs w:val="20"/>
              </w:rPr>
              <w:t>179,5</w:t>
            </w:r>
          </w:p>
        </w:tc>
        <w:tc>
          <w:tcPr>
            <w:tcW w:w="1109" w:type="dxa"/>
          </w:tcPr>
          <w:p w:rsidR="004309E4" w:rsidRPr="007C51D6" w:rsidRDefault="004309E4" w:rsidP="004309E4">
            <w:pPr>
              <w:jc w:val="center"/>
              <w:rPr>
                <w:color w:val="000000"/>
                <w:sz w:val="20"/>
                <w:szCs w:val="20"/>
              </w:rPr>
            </w:pPr>
            <w:r w:rsidRPr="007C51D6">
              <w:rPr>
                <w:color w:val="000000"/>
                <w:sz w:val="20"/>
                <w:szCs w:val="20"/>
              </w:rPr>
              <w:t>208,1</w:t>
            </w:r>
          </w:p>
        </w:tc>
        <w:tc>
          <w:tcPr>
            <w:tcW w:w="1103" w:type="dxa"/>
          </w:tcPr>
          <w:p w:rsidR="004309E4" w:rsidRPr="007C51D6" w:rsidRDefault="004309E4" w:rsidP="004309E4">
            <w:pPr>
              <w:jc w:val="center"/>
              <w:rPr>
                <w:color w:val="000000"/>
                <w:sz w:val="20"/>
                <w:szCs w:val="20"/>
              </w:rPr>
            </w:pPr>
            <w:r w:rsidRPr="007C51D6">
              <w:rPr>
                <w:color w:val="000000"/>
                <w:sz w:val="20"/>
                <w:szCs w:val="20"/>
              </w:rPr>
              <w:t>203,1</w:t>
            </w:r>
          </w:p>
        </w:tc>
        <w:tc>
          <w:tcPr>
            <w:tcW w:w="1103" w:type="dxa"/>
          </w:tcPr>
          <w:p w:rsidR="004309E4" w:rsidRPr="007C51D6" w:rsidRDefault="004309E4" w:rsidP="004309E4">
            <w:pPr>
              <w:jc w:val="center"/>
              <w:rPr>
                <w:color w:val="000000"/>
                <w:sz w:val="20"/>
                <w:szCs w:val="20"/>
              </w:rPr>
            </w:pPr>
            <w:r w:rsidRPr="007C51D6">
              <w:rPr>
                <w:color w:val="000000"/>
                <w:sz w:val="20"/>
                <w:szCs w:val="20"/>
              </w:rPr>
              <w:t>229,7</w:t>
            </w:r>
          </w:p>
        </w:tc>
        <w:tc>
          <w:tcPr>
            <w:tcW w:w="1103" w:type="dxa"/>
          </w:tcPr>
          <w:p w:rsidR="004309E4" w:rsidRPr="007C51D6" w:rsidRDefault="004309E4" w:rsidP="004309E4">
            <w:pPr>
              <w:jc w:val="center"/>
              <w:rPr>
                <w:color w:val="000000"/>
                <w:sz w:val="20"/>
                <w:szCs w:val="20"/>
              </w:rPr>
            </w:pPr>
            <w:r w:rsidRPr="007C51D6">
              <w:rPr>
                <w:color w:val="000000"/>
                <w:sz w:val="20"/>
                <w:szCs w:val="20"/>
              </w:rPr>
              <w:t>нет</w:t>
            </w:r>
          </w:p>
          <w:p w:rsidR="004309E4" w:rsidRPr="007C51D6" w:rsidRDefault="004309E4" w:rsidP="004309E4">
            <w:pPr>
              <w:jc w:val="center"/>
              <w:rPr>
                <w:color w:val="000000"/>
                <w:sz w:val="20"/>
                <w:szCs w:val="20"/>
              </w:rPr>
            </w:pPr>
            <w:r w:rsidRPr="007C51D6">
              <w:rPr>
                <w:color w:val="000000"/>
                <w:sz w:val="20"/>
                <w:szCs w:val="20"/>
              </w:rPr>
              <w:t>данных</w:t>
            </w:r>
          </w:p>
        </w:tc>
      </w:tr>
      <w:tr w:rsidR="004309E4" w:rsidRPr="007C51D6" w:rsidTr="004472F9">
        <w:trPr>
          <w:trHeight w:val="20"/>
        </w:trPr>
        <w:tc>
          <w:tcPr>
            <w:tcW w:w="4531" w:type="dxa"/>
            <w:shd w:val="clear" w:color="auto" w:fill="auto"/>
            <w:hideMark/>
          </w:tcPr>
          <w:p w:rsidR="004309E4" w:rsidRPr="007C51D6" w:rsidRDefault="004309E4" w:rsidP="004309E4">
            <w:pPr>
              <w:autoSpaceDE/>
              <w:autoSpaceDN/>
              <w:adjustRightInd/>
              <w:rPr>
                <w:color w:val="000000"/>
                <w:sz w:val="20"/>
                <w:szCs w:val="20"/>
              </w:rPr>
            </w:pPr>
            <w:r w:rsidRPr="007C51D6">
              <w:rPr>
                <w:color w:val="000000"/>
                <w:sz w:val="20"/>
                <w:szCs w:val="20"/>
              </w:rPr>
              <w:t>Кайбицкий</w:t>
            </w:r>
          </w:p>
        </w:tc>
        <w:tc>
          <w:tcPr>
            <w:tcW w:w="1012" w:type="dxa"/>
            <w:shd w:val="clear" w:color="auto" w:fill="auto"/>
            <w:hideMark/>
          </w:tcPr>
          <w:p w:rsidR="004309E4" w:rsidRPr="007C51D6" w:rsidRDefault="004309E4" w:rsidP="004309E4">
            <w:pPr>
              <w:autoSpaceDE/>
              <w:autoSpaceDN/>
              <w:adjustRightInd/>
              <w:jc w:val="center"/>
              <w:rPr>
                <w:color w:val="000000"/>
                <w:sz w:val="20"/>
                <w:szCs w:val="20"/>
              </w:rPr>
            </w:pPr>
            <w:r w:rsidRPr="007C51D6">
              <w:rPr>
                <w:color w:val="000000"/>
                <w:sz w:val="20"/>
                <w:szCs w:val="20"/>
              </w:rPr>
              <w:t>182,98</w:t>
            </w:r>
          </w:p>
        </w:tc>
        <w:tc>
          <w:tcPr>
            <w:tcW w:w="1115" w:type="dxa"/>
            <w:shd w:val="clear" w:color="auto" w:fill="auto"/>
            <w:hideMark/>
          </w:tcPr>
          <w:p w:rsidR="004309E4" w:rsidRPr="007C51D6" w:rsidRDefault="004309E4" w:rsidP="004309E4">
            <w:pPr>
              <w:autoSpaceDE/>
              <w:autoSpaceDN/>
              <w:adjustRightInd/>
              <w:jc w:val="center"/>
              <w:rPr>
                <w:color w:val="000000"/>
                <w:sz w:val="20"/>
                <w:szCs w:val="20"/>
              </w:rPr>
            </w:pPr>
            <w:r w:rsidRPr="007C51D6">
              <w:rPr>
                <w:color w:val="000000"/>
                <w:sz w:val="20"/>
                <w:szCs w:val="20"/>
              </w:rPr>
              <w:t>170,87</w:t>
            </w:r>
          </w:p>
        </w:tc>
        <w:tc>
          <w:tcPr>
            <w:tcW w:w="1012" w:type="dxa"/>
            <w:shd w:val="clear" w:color="auto" w:fill="auto"/>
            <w:hideMark/>
          </w:tcPr>
          <w:p w:rsidR="004309E4" w:rsidRPr="007C51D6" w:rsidRDefault="004309E4" w:rsidP="004309E4">
            <w:pPr>
              <w:autoSpaceDE/>
              <w:autoSpaceDN/>
              <w:adjustRightInd/>
              <w:jc w:val="center"/>
              <w:rPr>
                <w:color w:val="000000"/>
                <w:sz w:val="20"/>
                <w:szCs w:val="20"/>
              </w:rPr>
            </w:pPr>
            <w:r w:rsidRPr="007C51D6">
              <w:rPr>
                <w:color w:val="000000"/>
                <w:sz w:val="20"/>
                <w:szCs w:val="20"/>
              </w:rPr>
              <w:t>142,39</w:t>
            </w:r>
          </w:p>
        </w:tc>
        <w:tc>
          <w:tcPr>
            <w:tcW w:w="1011" w:type="dxa"/>
            <w:shd w:val="clear" w:color="auto" w:fill="auto"/>
            <w:hideMark/>
          </w:tcPr>
          <w:p w:rsidR="004309E4" w:rsidRPr="007C51D6" w:rsidRDefault="004309E4" w:rsidP="004309E4">
            <w:pPr>
              <w:autoSpaceDE/>
              <w:autoSpaceDN/>
              <w:adjustRightInd/>
              <w:jc w:val="center"/>
              <w:rPr>
                <w:color w:val="000000"/>
                <w:sz w:val="20"/>
                <w:szCs w:val="20"/>
              </w:rPr>
            </w:pPr>
            <w:r w:rsidRPr="007C51D6">
              <w:rPr>
                <w:color w:val="000000"/>
                <w:sz w:val="20"/>
                <w:szCs w:val="20"/>
              </w:rPr>
              <w:t>151,32</w:t>
            </w:r>
          </w:p>
        </w:tc>
        <w:tc>
          <w:tcPr>
            <w:tcW w:w="1012" w:type="dxa"/>
            <w:shd w:val="clear" w:color="auto" w:fill="auto"/>
          </w:tcPr>
          <w:p w:rsidR="004309E4" w:rsidRPr="007C51D6" w:rsidRDefault="004309E4" w:rsidP="004309E4">
            <w:pPr>
              <w:autoSpaceDE/>
              <w:autoSpaceDN/>
              <w:adjustRightInd/>
              <w:jc w:val="center"/>
              <w:rPr>
                <w:color w:val="000000"/>
                <w:sz w:val="20"/>
                <w:szCs w:val="20"/>
              </w:rPr>
            </w:pPr>
            <w:r w:rsidRPr="007C51D6">
              <w:rPr>
                <w:color w:val="000000"/>
                <w:sz w:val="20"/>
                <w:szCs w:val="20"/>
              </w:rPr>
              <w:t>149,8</w:t>
            </w:r>
          </w:p>
        </w:tc>
        <w:tc>
          <w:tcPr>
            <w:tcW w:w="1012" w:type="dxa"/>
          </w:tcPr>
          <w:p w:rsidR="004309E4" w:rsidRPr="007C51D6" w:rsidRDefault="004309E4" w:rsidP="004309E4">
            <w:pPr>
              <w:autoSpaceDE/>
              <w:autoSpaceDN/>
              <w:adjustRightInd/>
              <w:jc w:val="center"/>
              <w:rPr>
                <w:color w:val="000000"/>
                <w:sz w:val="20"/>
                <w:szCs w:val="20"/>
              </w:rPr>
            </w:pPr>
            <w:r w:rsidRPr="007C51D6">
              <w:rPr>
                <w:color w:val="000000"/>
                <w:sz w:val="20"/>
                <w:szCs w:val="20"/>
              </w:rPr>
              <w:t>215,4</w:t>
            </w:r>
          </w:p>
        </w:tc>
        <w:tc>
          <w:tcPr>
            <w:tcW w:w="1109" w:type="dxa"/>
          </w:tcPr>
          <w:p w:rsidR="004309E4" w:rsidRPr="007C51D6" w:rsidRDefault="004309E4" w:rsidP="004309E4">
            <w:pPr>
              <w:autoSpaceDE/>
              <w:autoSpaceDN/>
              <w:adjustRightInd/>
              <w:jc w:val="center"/>
              <w:rPr>
                <w:color w:val="000000"/>
                <w:sz w:val="20"/>
                <w:szCs w:val="20"/>
              </w:rPr>
            </w:pPr>
            <w:r w:rsidRPr="007C51D6">
              <w:rPr>
                <w:color w:val="000000"/>
                <w:sz w:val="20"/>
                <w:szCs w:val="20"/>
              </w:rPr>
              <w:t>196,0</w:t>
            </w:r>
          </w:p>
        </w:tc>
        <w:tc>
          <w:tcPr>
            <w:tcW w:w="1103" w:type="dxa"/>
          </w:tcPr>
          <w:p w:rsidR="004309E4" w:rsidRPr="007C51D6" w:rsidRDefault="004309E4" w:rsidP="004309E4">
            <w:pPr>
              <w:autoSpaceDE/>
              <w:autoSpaceDN/>
              <w:adjustRightInd/>
              <w:jc w:val="center"/>
              <w:rPr>
                <w:color w:val="000000"/>
                <w:sz w:val="20"/>
                <w:szCs w:val="20"/>
              </w:rPr>
            </w:pPr>
            <w:r w:rsidRPr="007C51D6">
              <w:rPr>
                <w:color w:val="000000"/>
                <w:sz w:val="20"/>
                <w:szCs w:val="20"/>
              </w:rPr>
              <w:t>238,7</w:t>
            </w:r>
          </w:p>
        </w:tc>
        <w:tc>
          <w:tcPr>
            <w:tcW w:w="1103" w:type="dxa"/>
          </w:tcPr>
          <w:p w:rsidR="004309E4" w:rsidRPr="007C51D6" w:rsidRDefault="004309E4" w:rsidP="004309E4">
            <w:pPr>
              <w:autoSpaceDE/>
              <w:autoSpaceDN/>
              <w:adjustRightInd/>
              <w:jc w:val="center"/>
              <w:rPr>
                <w:color w:val="000000"/>
                <w:sz w:val="20"/>
                <w:szCs w:val="20"/>
              </w:rPr>
            </w:pPr>
            <w:r w:rsidRPr="007C51D6">
              <w:rPr>
                <w:color w:val="000000"/>
                <w:sz w:val="20"/>
                <w:szCs w:val="20"/>
              </w:rPr>
              <w:t>210,5</w:t>
            </w:r>
          </w:p>
        </w:tc>
        <w:tc>
          <w:tcPr>
            <w:tcW w:w="1103" w:type="dxa"/>
          </w:tcPr>
          <w:p w:rsidR="004309E4" w:rsidRPr="007C51D6" w:rsidRDefault="004309E4" w:rsidP="004309E4">
            <w:pPr>
              <w:jc w:val="center"/>
              <w:rPr>
                <w:color w:val="000000"/>
                <w:sz w:val="20"/>
                <w:szCs w:val="20"/>
              </w:rPr>
            </w:pPr>
            <w:r w:rsidRPr="007C51D6">
              <w:rPr>
                <w:color w:val="000000"/>
                <w:sz w:val="20"/>
                <w:szCs w:val="20"/>
              </w:rPr>
              <w:t>нет</w:t>
            </w:r>
          </w:p>
          <w:p w:rsidR="004309E4" w:rsidRPr="007C51D6" w:rsidRDefault="004309E4" w:rsidP="004309E4">
            <w:pPr>
              <w:autoSpaceDE/>
              <w:autoSpaceDN/>
              <w:adjustRightInd/>
              <w:jc w:val="center"/>
              <w:rPr>
                <w:color w:val="000000"/>
                <w:sz w:val="20"/>
                <w:szCs w:val="20"/>
              </w:rPr>
            </w:pPr>
            <w:r w:rsidRPr="007C51D6">
              <w:rPr>
                <w:color w:val="000000"/>
                <w:sz w:val="20"/>
                <w:szCs w:val="20"/>
              </w:rPr>
              <w:t>данных</w:t>
            </w:r>
          </w:p>
        </w:tc>
      </w:tr>
      <w:tr w:rsidR="004309E4" w:rsidRPr="007C51D6" w:rsidTr="004472F9">
        <w:trPr>
          <w:trHeight w:val="20"/>
        </w:trPr>
        <w:tc>
          <w:tcPr>
            <w:tcW w:w="4531" w:type="dxa"/>
            <w:shd w:val="clear" w:color="auto" w:fill="auto"/>
            <w:hideMark/>
          </w:tcPr>
          <w:p w:rsidR="004309E4" w:rsidRPr="007C51D6" w:rsidRDefault="004309E4" w:rsidP="004309E4">
            <w:pPr>
              <w:autoSpaceDE/>
              <w:autoSpaceDN/>
              <w:adjustRightInd/>
              <w:rPr>
                <w:color w:val="000000"/>
                <w:sz w:val="20"/>
                <w:szCs w:val="20"/>
              </w:rPr>
            </w:pPr>
            <w:r w:rsidRPr="007C51D6">
              <w:rPr>
                <w:color w:val="000000"/>
                <w:sz w:val="20"/>
                <w:szCs w:val="20"/>
              </w:rPr>
              <w:t>Камско-Устьинский</w:t>
            </w:r>
          </w:p>
        </w:tc>
        <w:tc>
          <w:tcPr>
            <w:tcW w:w="1012" w:type="dxa"/>
            <w:shd w:val="clear" w:color="auto" w:fill="auto"/>
            <w:hideMark/>
          </w:tcPr>
          <w:p w:rsidR="004309E4" w:rsidRPr="007C51D6" w:rsidRDefault="004309E4" w:rsidP="004309E4">
            <w:pPr>
              <w:autoSpaceDE/>
              <w:autoSpaceDN/>
              <w:adjustRightInd/>
              <w:jc w:val="center"/>
              <w:rPr>
                <w:color w:val="000000"/>
                <w:sz w:val="20"/>
                <w:szCs w:val="20"/>
              </w:rPr>
            </w:pPr>
            <w:r w:rsidRPr="007C51D6">
              <w:rPr>
                <w:color w:val="000000"/>
                <w:sz w:val="20"/>
                <w:szCs w:val="20"/>
              </w:rPr>
              <w:t>121,08</w:t>
            </w:r>
          </w:p>
        </w:tc>
        <w:tc>
          <w:tcPr>
            <w:tcW w:w="1115" w:type="dxa"/>
            <w:shd w:val="clear" w:color="auto" w:fill="auto"/>
            <w:hideMark/>
          </w:tcPr>
          <w:p w:rsidR="004309E4" w:rsidRPr="007C51D6" w:rsidRDefault="004309E4" w:rsidP="004309E4">
            <w:pPr>
              <w:autoSpaceDE/>
              <w:autoSpaceDN/>
              <w:adjustRightInd/>
              <w:jc w:val="center"/>
              <w:rPr>
                <w:color w:val="000000"/>
                <w:sz w:val="20"/>
                <w:szCs w:val="20"/>
              </w:rPr>
            </w:pPr>
            <w:r w:rsidRPr="007C51D6">
              <w:rPr>
                <w:color w:val="000000"/>
                <w:sz w:val="20"/>
                <w:szCs w:val="20"/>
              </w:rPr>
              <w:t>97,23</w:t>
            </w:r>
          </w:p>
        </w:tc>
        <w:tc>
          <w:tcPr>
            <w:tcW w:w="1012" w:type="dxa"/>
            <w:shd w:val="clear" w:color="auto" w:fill="auto"/>
            <w:hideMark/>
          </w:tcPr>
          <w:p w:rsidR="004309E4" w:rsidRPr="007C51D6" w:rsidRDefault="004309E4" w:rsidP="004309E4">
            <w:pPr>
              <w:autoSpaceDE/>
              <w:autoSpaceDN/>
              <w:adjustRightInd/>
              <w:jc w:val="center"/>
              <w:rPr>
                <w:color w:val="000000"/>
                <w:sz w:val="20"/>
                <w:szCs w:val="20"/>
              </w:rPr>
            </w:pPr>
            <w:r w:rsidRPr="007C51D6">
              <w:rPr>
                <w:color w:val="000000"/>
                <w:sz w:val="20"/>
                <w:szCs w:val="20"/>
              </w:rPr>
              <w:t>129,64</w:t>
            </w:r>
          </w:p>
        </w:tc>
        <w:tc>
          <w:tcPr>
            <w:tcW w:w="1011" w:type="dxa"/>
            <w:shd w:val="clear" w:color="auto" w:fill="auto"/>
            <w:hideMark/>
          </w:tcPr>
          <w:p w:rsidR="004309E4" w:rsidRPr="007C51D6" w:rsidRDefault="004309E4" w:rsidP="004309E4">
            <w:pPr>
              <w:autoSpaceDE/>
              <w:autoSpaceDN/>
              <w:adjustRightInd/>
              <w:jc w:val="center"/>
              <w:rPr>
                <w:color w:val="000000"/>
                <w:sz w:val="20"/>
                <w:szCs w:val="20"/>
              </w:rPr>
            </w:pPr>
            <w:r w:rsidRPr="007C51D6">
              <w:rPr>
                <w:color w:val="000000"/>
                <w:sz w:val="20"/>
                <w:szCs w:val="20"/>
              </w:rPr>
              <w:t>138,55</w:t>
            </w:r>
          </w:p>
        </w:tc>
        <w:tc>
          <w:tcPr>
            <w:tcW w:w="1012" w:type="dxa"/>
            <w:shd w:val="clear" w:color="auto" w:fill="auto"/>
          </w:tcPr>
          <w:p w:rsidR="004309E4" w:rsidRPr="007C51D6" w:rsidRDefault="004309E4" w:rsidP="004309E4">
            <w:pPr>
              <w:autoSpaceDE/>
              <w:autoSpaceDN/>
              <w:adjustRightInd/>
              <w:jc w:val="center"/>
              <w:rPr>
                <w:color w:val="000000"/>
                <w:sz w:val="20"/>
                <w:szCs w:val="20"/>
              </w:rPr>
            </w:pPr>
            <w:r w:rsidRPr="007C51D6">
              <w:rPr>
                <w:color w:val="000000"/>
                <w:sz w:val="20"/>
                <w:szCs w:val="20"/>
              </w:rPr>
              <w:t>163,6</w:t>
            </w:r>
          </w:p>
        </w:tc>
        <w:tc>
          <w:tcPr>
            <w:tcW w:w="1012" w:type="dxa"/>
          </w:tcPr>
          <w:p w:rsidR="004309E4" w:rsidRPr="007C51D6" w:rsidRDefault="004309E4" w:rsidP="004309E4">
            <w:pPr>
              <w:autoSpaceDE/>
              <w:autoSpaceDN/>
              <w:adjustRightInd/>
              <w:jc w:val="center"/>
              <w:rPr>
                <w:color w:val="000000"/>
                <w:sz w:val="20"/>
                <w:szCs w:val="20"/>
              </w:rPr>
            </w:pPr>
            <w:r w:rsidRPr="007C51D6">
              <w:rPr>
                <w:color w:val="000000"/>
                <w:sz w:val="20"/>
                <w:szCs w:val="20"/>
              </w:rPr>
              <w:t>131,4</w:t>
            </w:r>
          </w:p>
        </w:tc>
        <w:tc>
          <w:tcPr>
            <w:tcW w:w="1109" w:type="dxa"/>
          </w:tcPr>
          <w:p w:rsidR="004309E4" w:rsidRPr="007C51D6" w:rsidRDefault="004309E4" w:rsidP="004309E4">
            <w:pPr>
              <w:jc w:val="center"/>
              <w:rPr>
                <w:color w:val="000000"/>
                <w:sz w:val="20"/>
                <w:szCs w:val="20"/>
              </w:rPr>
            </w:pPr>
            <w:r w:rsidRPr="007C51D6">
              <w:rPr>
                <w:color w:val="000000"/>
                <w:sz w:val="20"/>
                <w:szCs w:val="20"/>
              </w:rPr>
              <w:t>118,9</w:t>
            </w:r>
          </w:p>
        </w:tc>
        <w:tc>
          <w:tcPr>
            <w:tcW w:w="1103" w:type="dxa"/>
          </w:tcPr>
          <w:p w:rsidR="004309E4" w:rsidRPr="007C51D6" w:rsidRDefault="004309E4" w:rsidP="004309E4">
            <w:pPr>
              <w:jc w:val="center"/>
              <w:rPr>
                <w:color w:val="000000"/>
                <w:sz w:val="20"/>
                <w:szCs w:val="20"/>
              </w:rPr>
            </w:pPr>
            <w:r w:rsidRPr="007C51D6">
              <w:rPr>
                <w:color w:val="000000"/>
                <w:sz w:val="20"/>
                <w:szCs w:val="20"/>
              </w:rPr>
              <w:t>175,5</w:t>
            </w:r>
          </w:p>
        </w:tc>
        <w:tc>
          <w:tcPr>
            <w:tcW w:w="1103" w:type="dxa"/>
          </w:tcPr>
          <w:p w:rsidR="004309E4" w:rsidRPr="007C51D6" w:rsidRDefault="004309E4" w:rsidP="004309E4">
            <w:pPr>
              <w:jc w:val="center"/>
              <w:rPr>
                <w:color w:val="000000"/>
                <w:sz w:val="20"/>
                <w:szCs w:val="20"/>
              </w:rPr>
            </w:pPr>
            <w:r w:rsidRPr="007C51D6">
              <w:rPr>
                <w:color w:val="000000"/>
                <w:sz w:val="20"/>
                <w:szCs w:val="20"/>
              </w:rPr>
              <w:t>212,8</w:t>
            </w:r>
          </w:p>
        </w:tc>
        <w:tc>
          <w:tcPr>
            <w:tcW w:w="1103" w:type="dxa"/>
          </w:tcPr>
          <w:p w:rsidR="004309E4" w:rsidRPr="007C51D6" w:rsidRDefault="004309E4" w:rsidP="004309E4">
            <w:pPr>
              <w:jc w:val="center"/>
              <w:rPr>
                <w:color w:val="000000"/>
                <w:sz w:val="20"/>
                <w:szCs w:val="20"/>
              </w:rPr>
            </w:pPr>
            <w:r w:rsidRPr="007C51D6">
              <w:rPr>
                <w:color w:val="000000"/>
                <w:sz w:val="20"/>
                <w:szCs w:val="20"/>
              </w:rPr>
              <w:t>нет</w:t>
            </w:r>
          </w:p>
          <w:p w:rsidR="004309E4" w:rsidRPr="007C51D6" w:rsidRDefault="004309E4" w:rsidP="004309E4">
            <w:pPr>
              <w:jc w:val="center"/>
              <w:rPr>
                <w:color w:val="000000"/>
                <w:sz w:val="20"/>
                <w:szCs w:val="20"/>
              </w:rPr>
            </w:pPr>
            <w:r w:rsidRPr="007C51D6">
              <w:rPr>
                <w:color w:val="000000"/>
                <w:sz w:val="20"/>
                <w:szCs w:val="20"/>
              </w:rPr>
              <w:t>данных</w:t>
            </w:r>
          </w:p>
        </w:tc>
      </w:tr>
      <w:tr w:rsidR="004309E4" w:rsidRPr="007C51D6" w:rsidTr="004472F9">
        <w:trPr>
          <w:trHeight w:val="20"/>
        </w:trPr>
        <w:tc>
          <w:tcPr>
            <w:tcW w:w="4531" w:type="dxa"/>
            <w:shd w:val="clear" w:color="auto" w:fill="auto"/>
            <w:hideMark/>
          </w:tcPr>
          <w:p w:rsidR="004309E4" w:rsidRPr="007C51D6" w:rsidRDefault="004309E4" w:rsidP="004309E4">
            <w:pPr>
              <w:autoSpaceDE/>
              <w:autoSpaceDN/>
              <w:adjustRightInd/>
              <w:rPr>
                <w:color w:val="000000"/>
                <w:sz w:val="20"/>
                <w:szCs w:val="20"/>
              </w:rPr>
            </w:pPr>
            <w:r w:rsidRPr="007C51D6">
              <w:rPr>
                <w:color w:val="000000"/>
                <w:sz w:val="20"/>
                <w:szCs w:val="20"/>
              </w:rPr>
              <w:t>Кукморский</w:t>
            </w:r>
          </w:p>
        </w:tc>
        <w:tc>
          <w:tcPr>
            <w:tcW w:w="1012" w:type="dxa"/>
            <w:shd w:val="clear" w:color="auto" w:fill="auto"/>
            <w:hideMark/>
          </w:tcPr>
          <w:p w:rsidR="004309E4" w:rsidRPr="007C51D6" w:rsidRDefault="004309E4" w:rsidP="004309E4">
            <w:pPr>
              <w:autoSpaceDE/>
              <w:autoSpaceDN/>
              <w:adjustRightInd/>
              <w:jc w:val="center"/>
              <w:rPr>
                <w:color w:val="000000"/>
                <w:sz w:val="20"/>
                <w:szCs w:val="20"/>
              </w:rPr>
            </w:pPr>
            <w:r w:rsidRPr="007C51D6">
              <w:rPr>
                <w:color w:val="000000"/>
                <w:sz w:val="20"/>
                <w:szCs w:val="20"/>
              </w:rPr>
              <w:t>183,17</w:t>
            </w:r>
          </w:p>
        </w:tc>
        <w:tc>
          <w:tcPr>
            <w:tcW w:w="1115" w:type="dxa"/>
            <w:shd w:val="clear" w:color="auto" w:fill="auto"/>
            <w:hideMark/>
          </w:tcPr>
          <w:p w:rsidR="004309E4" w:rsidRPr="007C51D6" w:rsidRDefault="004309E4" w:rsidP="004309E4">
            <w:pPr>
              <w:autoSpaceDE/>
              <w:autoSpaceDN/>
              <w:adjustRightInd/>
              <w:jc w:val="center"/>
              <w:rPr>
                <w:color w:val="000000"/>
                <w:sz w:val="20"/>
                <w:szCs w:val="20"/>
              </w:rPr>
            </w:pPr>
            <w:r w:rsidRPr="007C51D6">
              <w:rPr>
                <w:color w:val="000000"/>
                <w:sz w:val="20"/>
                <w:szCs w:val="20"/>
              </w:rPr>
              <w:t>193,68</w:t>
            </w:r>
          </w:p>
        </w:tc>
        <w:tc>
          <w:tcPr>
            <w:tcW w:w="1012" w:type="dxa"/>
            <w:shd w:val="clear" w:color="auto" w:fill="auto"/>
            <w:hideMark/>
          </w:tcPr>
          <w:p w:rsidR="004309E4" w:rsidRPr="007C51D6" w:rsidRDefault="004309E4" w:rsidP="004309E4">
            <w:pPr>
              <w:autoSpaceDE/>
              <w:autoSpaceDN/>
              <w:adjustRightInd/>
              <w:jc w:val="center"/>
              <w:rPr>
                <w:color w:val="000000"/>
                <w:sz w:val="20"/>
                <w:szCs w:val="20"/>
              </w:rPr>
            </w:pPr>
            <w:r w:rsidRPr="007C51D6">
              <w:rPr>
                <w:color w:val="000000"/>
                <w:sz w:val="20"/>
                <w:szCs w:val="20"/>
              </w:rPr>
              <w:t>164,34</w:t>
            </w:r>
          </w:p>
        </w:tc>
        <w:tc>
          <w:tcPr>
            <w:tcW w:w="1011" w:type="dxa"/>
            <w:shd w:val="clear" w:color="auto" w:fill="auto"/>
            <w:hideMark/>
          </w:tcPr>
          <w:p w:rsidR="004309E4" w:rsidRPr="007C51D6" w:rsidRDefault="004309E4" w:rsidP="004309E4">
            <w:pPr>
              <w:autoSpaceDE/>
              <w:autoSpaceDN/>
              <w:adjustRightInd/>
              <w:jc w:val="center"/>
              <w:rPr>
                <w:color w:val="000000"/>
                <w:sz w:val="20"/>
                <w:szCs w:val="20"/>
              </w:rPr>
            </w:pPr>
            <w:r w:rsidRPr="007C51D6">
              <w:rPr>
                <w:color w:val="000000"/>
                <w:sz w:val="20"/>
                <w:szCs w:val="20"/>
              </w:rPr>
              <w:t>141,47</w:t>
            </w:r>
          </w:p>
        </w:tc>
        <w:tc>
          <w:tcPr>
            <w:tcW w:w="1012" w:type="dxa"/>
            <w:shd w:val="clear" w:color="auto" w:fill="auto"/>
          </w:tcPr>
          <w:p w:rsidR="004309E4" w:rsidRPr="007C51D6" w:rsidRDefault="004309E4" w:rsidP="004309E4">
            <w:pPr>
              <w:autoSpaceDE/>
              <w:autoSpaceDN/>
              <w:adjustRightInd/>
              <w:jc w:val="center"/>
              <w:rPr>
                <w:color w:val="000000"/>
                <w:sz w:val="20"/>
                <w:szCs w:val="20"/>
              </w:rPr>
            </w:pPr>
            <w:r w:rsidRPr="007C51D6">
              <w:rPr>
                <w:color w:val="000000"/>
                <w:sz w:val="20"/>
                <w:szCs w:val="20"/>
              </w:rPr>
              <w:t>149,7</w:t>
            </w:r>
          </w:p>
        </w:tc>
        <w:tc>
          <w:tcPr>
            <w:tcW w:w="1012" w:type="dxa"/>
          </w:tcPr>
          <w:p w:rsidR="004309E4" w:rsidRPr="007C51D6" w:rsidRDefault="004309E4" w:rsidP="004309E4">
            <w:pPr>
              <w:autoSpaceDE/>
              <w:autoSpaceDN/>
              <w:adjustRightInd/>
              <w:jc w:val="center"/>
              <w:rPr>
                <w:color w:val="000000"/>
                <w:sz w:val="20"/>
                <w:szCs w:val="20"/>
              </w:rPr>
            </w:pPr>
            <w:r w:rsidRPr="007C51D6">
              <w:rPr>
                <w:color w:val="000000"/>
                <w:sz w:val="20"/>
                <w:szCs w:val="20"/>
              </w:rPr>
              <w:t>114,8</w:t>
            </w:r>
          </w:p>
        </w:tc>
        <w:tc>
          <w:tcPr>
            <w:tcW w:w="1109" w:type="dxa"/>
          </w:tcPr>
          <w:p w:rsidR="004309E4" w:rsidRPr="007C51D6" w:rsidRDefault="004309E4" w:rsidP="004309E4">
            <w:pPr>
              <w:jc w:val="center"/>
              <w:rPr>
                <w:color w:val="000000"/>
                <w:sz w:val="20"/>
                <w:szCs w:val="20"/>
              </w:rPr>
            </w:pPr>
            <w:r w:rsidRPr="007C51D6">
              <w:rPr>
                <w:color w:val="000000"/>
                <w:sz w:val="20"/>
                <w:szCs w:val="20"/>
              </w:rPr>
              <w:t>163,6</w:t>
            </w:r>
          </w:p>
        </w:tc>
        <w:tc>
          <w:tcPr>
            <w:tcW w:w="1103" w:type="dxa"/>
          </w:tcPr>
          <w:p w:rsidR="004309E4" w:rsidRPr="007C51D6" w:rsidRDefault="004309E4" w:rsidP="004309E4">
            <w:pPr>
              <w:jc w:val="center"/>
              <w:rPr>
                <w:color w:val="000000"/>
                <w:sz w:val="20"/>
                <w:szCs w:val="20"/>
              </w:rPr>
            </w:pPr>
            <w:r w:rsidRPr="007C51D6">
              <w:rPr>
                <w:color w:val="000000"/>
                <w:sz w:val="20"/>
                <w:szCs w:val="20"/>
              </w:rPr>
              <w:t>154,1</w:t>
            </w:r>
          </w:p>
        </w:tc>
        <w:tc>
          <w:tcPr>
            <w:tcW w:w="1103" w:type="dxa"/>
          </w:tcPr>
          <w:p w:rsidR="004309E4" w:rsidRPr="007C51D6" w:rsidRDefault="004309E4" w:rsidP="004309E4">
            <w:pPr>
              <w:jc w:val="center"/>
              <w:rPr>
                <w:color w:val="000000"/>
                <w:sz w:val="20"/>
                <w:szCs w:val="20"/>
              </w:rPr>
            </w:pPr>
            <w:r w:rsidRPr="007C51D6">
              <w:rPr>
                <w:color w:val="000000"/>
                <w:sz w:val="20"/>
                <w:szCs w:val="20"/>
              </w:rPr>
              <w:t>170,0</w:t>
            </w:r>
          </w:p>
        </w:tc>
        <w:tc>
          <w:tcPr>
            <w:tcW w:w="1103" w:type="dxa"/>
          </w:tcPr>
          <w:p w:rsidR="004309E4" w:rsidRPr="007C51D6" w:rsidRDefault="004309E4" w:rsidP="004309E4">
            <w:pPr>
              <w:jc w:val="center"/>
              <w:rPr>
                <w:color w:val="000000"/>
                <w:sz w:val="20"/>
                <w:szCs w:val="20"/>
              </w:rPr>
            </w:pPr>
            <w:r w:rsidRPr="007C51D6">
              <w:rPr>
                <w:color w:val="000000"/>
                <w:sz w:val="20"/>
                <w:szCs w:val="20"/>
              </w:rPr>
              <w:t>нет</w:t>
            </w:r>
          </w:p>
          <w:p w:rsidR="004309E4" w:rsidRPr="007C51D6" w:rsidRDefault="004309E4" w:rsidP="004309E4">
            <w:pPr>
              <w:jc w:val="center"/>
              <w:rPr>
                <w:color w:val="000000"/>
                <w:sz w:val="20"/>
                <w:szCs w:val="20"/>
              </w:rPr>
            </w:pPr>
            <w:r w:rsidRPr="007C51D6">
              <w:rPr>
                <w:color w:val="000000"/>
                <w:sz w:val="20"/>
                <w:szCs w:val="20"/>
              </w:rPr>
              <w:t>данных</w:t>
            </w:r>
          </w:p>
        </w:tc>
      </w:tr>
      <w:tr w:rsidR="004309E4" w:rsidRPr="007C51D6" w:rsidTr="004472F9">
        <w:trPr>
          <w:trHeight w:val="20"/>
        </w:trPr>
        <w:tc>
          <w:tcPr>
            <w:tcW w:w="4531" w:type="dxa"/>
            <w:shd w:val="clear" w:color="auto" w:fill="auto"/>
            <w:hideMark/>
          </w:tcPr>
          <w:p w:rsidR="004309E4" w:rsidRPr="007C51D6" w:rsidRDefault="004309E4" w:rsidP="004309E4">
            <w:pPr>
              <w:autoSpaceDE/>
              <w:autoSpaceDN/>
              <w:adjustRightInd/>
              <w:rPr>
                <w:color w:val="000000"/>
                <w:sz w:val="20"/>
                <w:szCs w:val="20"/>
              </w:rPr>
            </w:pPr>
            <w:r w:rsidRPr="007C51D6">
              <w:rPr>
                <w:color w:val="000000"/>
                <w:sz w:val="20"/>
                <w:szCs w:val="20"/>
              </w:rPr>
              <w:t>Лаишевский</w:t>
            </w:r>
          </w:p>
        </w:tc>
        <w:tc>
          <w:tcPr>
            <w:tcW w:w="1012" w:type="dxa"/>
            <w:shd w:val="clear" w:color="auto" w:fill="auto"/>
            <w:hideMark/>
          </w:tcPr>
          <w:p w:rsidR="004309E4" w:rsidRPr="007C51D6" w:rsidRDefault="004309E4" w:rsidP="004309E4">
            <w:pPr>
              <w:autoSpaceDE/>
              <w:autoSpaceDN/>
              <w:adjustRightInd/>
              <w:jc w:val="center"/>
              <w:rPr>
                <w:color w:val="000000"/>
                <w:sz w:val="20"/>
                <w:szCs w:val="20"/>
              </w:rPr>
            </w:pPr>
            <w:r w:rsidRPr="007C51D6">
              <w:rPr>
                <w:color w:val="000000"/>
                <w:sz w:val="20"/>
                <w:szCs w:val="20"/>
              </w:rPr>
              <w:t>179,81</w:t>
            </w:r>
          </w:p>
        </w:tc>
        <w:tc>
          <w:tcPr>
            <w:tcW w:w="1115" w:type="dxa"/>
            <w:shd w:val="clear" w:color="auto" w:fill="auto"/>
            <w:hideMark/>
          </w:tcPr>
          <w:p w:rsidR="004309E4" w:rsidRPr="007C51D6" w:rsidRDefault="004309E4" w:rsidP="004309E4">
            <w:pPr>
              <w:autoSpaceDE/>
              <w:autoSpaceDN/>
              <w:adjustRightInd/>
              <w:jc w:val="center"/>
              <w:rPr>
                <w:color w:val="000000"/>
                <w:sz w:val="20"/>
                <w:szCs w:val="20"/>
              </w:rPr>
            </w:pPr>
            <w:r w:rsidRPr="007C51D6">
              <w:rPr>
                <w:color w:val="000000"/>
                <w:sz w:val="20"/>
                <w:szCs w:val="20"/>
              </w:rPr>
              <w:t>215,45</w:t>
            </w:r>
          </w:p>
        </w:tc>
        <w:tc>
          <w:tcPr>
            <w:tcW w:w="1012" w:type="dxa"/>
            <w:shd w:val="clear" w:color="auto" w:fill="auto"/>
            <w:hideMark/>
          </w:tcPr>
          <w:p w:rsidR="004309E4" w:rsidRPr="007C51D6" w:rsidRDefault="004309E4" w:rsidP="004309E4">
            <w:pPr>
              <w:autoSpaceDE/>
              <w:autoSpaceDN/>
              <w:adjustRightInd/>
              <w:jc w:val="center"/>
              <w:rPr>
                <w:color w:val="000000"/>
                <w:sz w:val="20"/>
                <w:szCs w:val="20"/>
              </w:rPr>
            </w:pPr>
            <w:r w:rsidRPr="007C51D6">
              <w:rPr>
                <w:color w:val="000000"/>
                <w:sz w:val="20"/>
                <w:szCs w:val="20"/>
              </w:rPr>
              <w:t>174,30</w:t>
            </w:r>
          </w:p>
        </w:tc>
        <w:tc>
          <w:tcPr>
            <w:tcW w:w="1011" w:type="dxa"/>
            <w:shd w:val="clear" w:color="auto" w:fill="auto"/>
            <w:hideMark/>
          </w:tcPr>
          <w:p w:rsidR="004309E4" w:rsidRPr="007C51D6" w:rsidRDefault="004309E4" w:rsidP="004309E4">
            <w:pPr>
              <w:autoSpaceDE/>
              <w:autoSpaceDN/>
              <w:adjustRightInd/>
              <w:jc w:val="center"/>
              <w:rPr>
                <w:color w:val="000000"/>
                <w:sz w:val="20"/>
                <w:szCs w:val="20"/>
              </w:rPr>
            </w:pPr>
            <w:r w:rsidRPr="007C51D6">
              <w:rPr>
                <w:color w:val="000000"/>
                <w:sz w:val="20"/>
                <w:szCs w:val="20"/>
              </w:rPr>
              <w:t>123,73</w:t>
            </w:r>
          </w:p>
        </w:tc>
        <w:tc>
          <w:tcPr>
            <w:tcW w:w="1012" w:type="dxa"/>
            <w:shd w:val="clear" w:color="auto" w:fill="auto"/>
          </w:tcPr>
          <w:p w:rsidR="004309E4" w:rsidRPr="007C51D6" w:rsidRDefault="004309E4" w:rsidP="004309E4">
            <w:pPr>
              <w:autoSpaceDE/>
              <w:autoSpaceDN/>
              <w:adjustRightInd/>
              <w:jc w:val="center"/>
              <w:rPr>
                <w:color w:val="000000"/>
                <w:sz w:val="20"/>
                <w:szCs w:val="20"/>
              </w:rPr>
            </w:pPr>
            <w:r w:rsidRPr="007C51D6">
              <w:rPr>
                <w:color w:val="000000"/>
                <w:sz w:val="20"/>
                <w:szCs w:val="20"/>
              </w:rPr>
              <w:t>166,7</w:t>
            </w:r>
          </w:p>
        </w:tc>
        <w:tc>
          <w:tcPr>
            <w:tcW w:w="1012" w:type="dxa"/>
          </w:tcPr>
          <w:p w:rsidR="004309E4" w:rsidRPr="007C51D6" w:rsidRDefault="004309E4" w:rsidP="004309E4">
            <w:pPr>
              <w:autoSpaceDE/>
              <w:autoSpaceDN/>
              <w:adjustRightInd/>
              <w:jc w:val="center"/>
              <w:rPr>
                <w:color w:val="000000"/>
                <w:sz w:val="20"/>
                <w:szCs w:val="20"/>
              </w:rPr>
            </w:pPr>
            <w:r w:rsidRPr="007C51D6">
              <w:rPr>
                <w:color w:val="000000"/>
                <w:sz w:val="20"/>
                <w:szCs w:val="20"/>
              </w:rPr>
              <w:t>163,3</w:t>
            </w:r>
          </w:p>
        </w:tc>
        <w:tc>
          <w:tcPr>
            <w:tcW w:w="1109" w:type="dxa"/>
          </w:tcPr>
          <w:p w:rsidR="004309E4" w:rsidRPr="007C51D6" w:rsidRDefault="004309E4" w:rsidP="004309E4">
            <w:pPr>
              <w:jc w:val="center"/>
              <w:rPr>
                <w:color w:val="000000"/>
                <w:sz w:val="20"/>
                <w:szCs w:val="20"/>
              </w:rPr>
            </w:pPr>
            <w:r w:rsidRPr="007C51D6">
              <w:rPr>
                <w:color w:val="000000"/>
                <w:sz w:val="20"/>
                <w:szCs w:val="20"/>
              </w:rPr>
              <w:t>165,7</w:t>
            </w:r>
          </w:p>
        </w:tc>
        <w:tc>
          <w:tcPr>
            <w:tcW w:w="1103" w:type="dxa"/>
          </w:tcPr>
          <w:p w:rsidR="004309E4" w:rsidRPr="007C51D6" w:rsidRDefault="004309E4" w:rsidP="004309E4">
            <w:pPr>
              <w:jc w:val="center"/>
              <w:rPr>
                <w:color w:val="000000"/>
                <w:sz w:val="20"/>
                <w:szCs w:val="20"/>
              </w:rPr>
            </w:pPr>
            <w:r w:rsidRPr="007C51D6">
              <w:rPr>
                <w:color w:val="000000"/>
                <w:sz w:val="20"/>
                <w:szCs w:val="20"/>
              </w:rPr>
              <w:t>159,5</w:t>
            </w:r>
          </w:p>
        </w:tc>
        <w:tc>
          <w:tcPr>
            <w:tcW w:w="1103" w:type="dxa"/>
          </w:tcPr>
          <w:p w:rsidR="004309E4" w:rsidRPr="007C51D6" w:rsidRDefault="004309E4" w:rsidP="004309E4">
            <w:pPr>
              <w:jc w:val="center"/>
              <w:rPr>
                <w:color w:val="000000"/>
                <w:sz w:val="20"/>
                <w:szCs w:val="20"/>
              </w:rPr>
            </w:pPr>
            <w:r w:rsidRPr="007C51D6">
              <w:rPr>
                <w:color w:val="000000"/>
                <w:sz w:val="20"/>
                <w:szCs w:val="20"/>
              </w:rPr>
              <w:t>140,8</w:t>
            </w:r>
          </w:p>
        </w:tc>
        <w:tc>
          <w:tcPr>
            <w:tcW w:w="1103" w:type="dxa"/>
          </w:tcPr>
          <w:p w:rsidR="004309E4" w:rsidRPr="007C51D6" w:rsidRDefault="004309E4" w:rsidP="004309E4">
            <w:pPr>
              <w:jc w:val="center"/>
              <w:rPr>
                <w:color w:val="000000"/>
                <w:sz w:val="20"/>
                <w:szCs w:val="20"/>
              </w:rPr>
            </w:pPr>
            <w:r w:rsidRPr="007C51D6">
              <w:rPr>
                <w:color w:val="000000"/>
                <w:sz w:val="20"/>
                <w:szCs w:val="20"/>
              </w:rPr>
              <w:t>нет</w:t>
            </w:r>
          </w:p>
          <w:p w:rsidR="004309E4" w:rsidRPr="007C51D6" w:rsidRDefault="004309E4" w:rsidP="004309E4">
            <w:pPr>
              <w:jc w:val="center"/>
              <w:rPr>
                <w:color w:val="000000"/>
                <w:sz w:val="20"/>
                <w:szCs w:val="20"/>
              </w:rPr>
            </w:pPr>
            <w:r w:rsidRPr="007C51D6">
              <w:rPr>
                <w:color w:val="000000"/>
                <w:sz w:val="20"/>
                <w:szCs w:val="20"/>
              </w:rPr>
              <w:t>данных</w:t>
            </w:r>
          </w:p>
        </w:tc>
      </w:tr>
      <w:tr w:rsidR="004309E4" w:rsidRPr="007C51D6" w:rsidTr="004472F9">
        <w:trPr>
          <w:trHeight w:val="20"/>
        </w:trPr>
        <w:tc>
          <w:tcPr>
            <w:tcW w:w="4531" w:type="dxa"/>
            <w:shd w:val="clear" w:color="auto" w:fill="auto"/>
            <w:hideMark/>
          </w:tcPr>
          <w:p w:rsidR="004309E4" w:rsidRPr="007C51D6" w:rsidRDefault="004309E4" w:rsidP="004309E4">
            <w:pPr>
              <w:autoSpaceDE/>
              <w:autoSpaceDN/>
              <w:adjustRightInd/>
              <w:rPr>
                <w:color w:val="000000"/>
                <w:sz w:val="20"/>
                <w:szCs w:val="20"/>
              </w:rPr>
            </w:pPr>
            <w:r w:rsidRPr="007C51D6">
              <w:rPr>
                <w:color w:val="000000"/>
                <w:sz w:val="20"/>
                <w:szCs w:val="20"/>
              </w:rPr>
              <w:t>Лениногорский</w:t>
            </w:r>
          </w:p>
        </w:tc>
        <w:tc>
          <w:tcPr>
            <w:tcW w:w="1012" w:type="dxa"/>
            <w:shd w:val="clear" w:color="auto" w:fill="auto"/>
            <w:hideMark/>
          </w:tcPr>
          <w:p w:rsidR="004309E4" w:rsidRPr="007C51D6" w:rsidRDefault="004309E4" w:rsidP="004309E4">
            <w:pPr>
              <w:autoSpaceDE/>
              <w:autoSpaceDN/>
              <w:adjustRightInd/>
              <w:jc w:val="center"/>
              <w:rPr>
                <w:color w:val="000000"/>
                <w:sz w:val="20"/>
                <w:szCs w:val="20"/>
              </w:rPr>
            </w:pPr>
            <w:r w:rsidRPr="007C51D6">
              <w:rPr>
                <w:color w:val="000000"/>
                <w:sz w:val="20"/>
                <w:szCs w:val="20"/>
              </w:rPr>
              <w:t>223,93</w:t>
            </w:r>
          </w:p>
        </w:tc>
        <w:tc>
          <w:tcPr>
            <w:tcW w:w="1115" w:type="dxa"/>
            <w:shd w:val="clear" w:color="auto" w:fill="auto"/>
            <w:hideMark/>
          </w:tcPr>
          <w:p w:rsidR="004309E4" w:rsidRPr="007C51D6" w:rsidRDefault="004309E4" w:rsidP="004309E4">
            <w:pPr>
              <w:autoSpaceDE/>
              <w:autoSpaceDN/>
              <w:adjustRightInd/>
              <w:jc w:val="center"/>
              <w:rPr>
                <w:color w:val="000000"/>
                <w:sz w:val="20"/>
                <w:szCs w:val="20"/>
              </w:rPr>
            </w:pPr>
            <w:r w:rsidRPr="007C51D6">
              <w:rPr>
                <w:color w:val="000000"/>
                <w:sz w:val="20"/>
                <w:szCs w:val="20"/>
              </w:rPr>
              <w:t>199,48</w:t>
            </w:r>
          </w:p>
        </w:tc>
        <w:tc>
          <w:tcPr>
            <w:tcW w:w="1012" w:type="dxa"/>
            <w:shd w:val="clear" w:color="auto" w:fill="auto"/>
            <w:hideMark/>
          </w:tcPr>
          <w:p w:rsidR="004309E4" w:rsidRPr="007C51D6" w:rsidRDefault="004309E4" w:rsidP="004309E4">
            <w:pPr>
              <w:autoSpaceDE/>
              <w:autoSpaceDN/>
              <w:adjustRightInd/>
              <w:jc w:val="center"/>
              <w:rPr>
                <w:color w:val="000000"/>
                <w:sz w:val="20"/>
                <w:szCs w:val="20"/>
              </w:rPr>
            </w:pPr>
            <w:r w:rsidRPr="007C51D6">
              <w:rPr>
                <w:color w:val="000000"/>
                <w:sz w:val="20"/>
                <w:szCs w:val="20"/>
              </w:rPr>
              <w:t>232,92</w:t>
            </w:r>
          </w:p>
        </w:tc>
        <w:tc>
          <w:tcPr>
            <w:tcW w:w="1011" w:type="dxa"/>
            <w:shd w:val="clear" w:color="auto" w:fill="auto"/>
            <w:hideMark/>
          </w:tcPr>
          <w:p w:rsidR="004309E4" w:rsidRPr="007C51D6" w:rsidRDefault="004309E4" w:rsidP="004309E4">
            <w:pPr>
              <w:autoSpaceDE/>
              <w:autoSpaceDN/>
              <w:adjustRightInd/>
              <w:jc w:val="center"/>
              <w:rPr>
                <w:color w:val="000000"/>
                <w:sz w:val="20"/>
                <w:szCs w:val="20"/>
              </w:rPr>
            </w:pPr>
            <w:r w:rsidRPr="007C51D6">
              <w:rPr>
                <w:color w:val="000000"/>
                <w:sz w:val="20"/>
                <w:szCs w:val="20"/>
              </w:rPr>
              <w:t>209,21</w:t>
            </w:r>
          </w:p>
        </w:tc>
        <w:tc>
          <w:tcPr>
            <w:tcW w:w="1012" w:type="dxa"/>
            <w:shd w:val="clear" w:color="auto" w:fill="auto"/>
          </w:tcPr>
          <w:p w:rsidR="004309E4" w:rsidRPr="007C51D6" w:rsidRDefault="004309E4" w:rsidP="004309E4">
            <w:pPr>
              <w:autoSpaceDE/>
              <w:autoSpaceDN/>
              <w:adjustRightInd/>
              <w:jc w:val="center"/>
              <w:rPr>
                <w:color w:val="000000"/>
                <w:sz w:val="20"/>
                <w:szCs w:val="20"/>
              </w:rPr>
            </w:pPr>
            <w:r w:rsidRPr="007C51D6">
              <w:rPr>
                <w:color w:val="000000"/>
                <w:sz w:val="20"/>
                <w:szCs w:val="20"/>
              </w:rPr>
              <w:t>221,7</w:t>
            </w:r>
          </w:p>
        </w:tc>
        <w:tc>
          <w:tcPr>
            <w:tcW w:w="1012" w:type="dxa"/>
          </w:tcPr>
          <w:p w:rsidR="004309E4" w:rsidRPr="007C51D6" w:rsidRDefault="004309E4" w:rsidP="004309E4">
            <w:pPr>
              <w:autoSpaceDE/>
              <w:autoSpaceDN/>
              <w:adjustRightInd/>
              <w:jc w:val="center"/>
              <w:rPr>
                <w:color w:val="000000"/>
                <w:sz w:val="20"/>
                <w:szCs w:val="20"/>
              </w:rPr>
            </w:pPr>
            <w:r w:rsidRPr="007C51D6">
              <w:rPr>
                <w:color w:val="000000"/>
                <w:sz w:val="20"/>
                <w:szCs w:val="20"/>
              </w:rPr>
              <w:t>208.0</w:t>
            </w:r>
          </w:p>
        </w:tc>
        <w:tc>
          <w:tcPr>
            <w:tcW w:w="1109" w:type="dxa"/>
          </w:tcPr>
          <w:p w:rsidR="004309E4" w:rsidRPr="007C51D6" w:rsidRDefault="004309E4" w:rsidP="004309E4">
            <w:pPr>
              <w:jc w:val="center"/>
              <w:rPr>
                <w:color w:val="000000"/>
                <w:sz w:val="20"/>
                <w:szCs w:val="20"/>
              </w:rPr>
            </w:pPr>
            <w:r w:rsidRPr="007C51D6">
              <w:rPr>
                <w:color w:val="000000"/>
                <w:sz w:val="20"/>
                <w:szCs w:val="20"/>
              </w:rPr>
              <w:t>188,9</w:t>
            </w:r>
          </w:p>
        </w:tc>
        <w:tc>
          <w:tcPr>
            <w:tcW w:w="1103" w:type="dxa"/>
          </w:tcPr>
          <w:p w:rsidR="004309E4" w:rsidRPr="007C51D6" w:rsidRDefault="004309E4" w:rsidP="004309E4">
            <w:pPr>
              <w:jc w:val="center"/>
              <w:rPr>
                <w:color w:val="000000"/>
                <w:sz w:val="20"/>
                <w:szCs w:val="20"/>
              </w:rPr>
            </w:pPr>
            <w:r w:rsidRPr="007C51D6">
              <w:rPr>
                <w:color w:val="000000"/>
                <w:sz w:val="20"/>
                <w:szCs w:val="20"/>
              </w:rPr>
              <w:t>214,7</w:t>
            </w:r>
          </w:p>
        </w:tc>
        <w:tc>
          <w:tcPr>
            <w:tcW w:w="1103" w:type="dxa"/>
          </w:tcPr>
          <w:p w:rsidR="004309E4" w:rsidRPr="007C51D6" w:rsidRDefault="004309E4" w:rsidP="004309E4">
            <w:pPr>
              <w:jc w:val="center"/>
              <w:rPr>
                <w:color w:val="000000"/>
                <w:sz w:val="20"/>
                <w:szCs w:val="20"/>
              </w:rPr>
            </w:pPr>
            <w:r w:rsidRPr="007C51D6">
              <w:rPr>
                <w:color w:val="000000"/>
                <w:sz w:val="20"/>
                <w:szCs w:val="20"/>
              </w:rPr>
              <w:t>222,0</w:t>
            </w:r>
          </w:p>
        </w:tc>
        <w:tc>
          <w:tcPr>
            <w:tcW w:w="1103" w:type="dxa"/>
          </w:tcPr>
          <w:p w:rsidR="004309E4" w:rsidRPr="007C51D6" w:rsidRDefault="004309E4" w:rsidP="004309E4">
            <w:pPr>
              <w:jc w:val="center"/>
              <w:rPr>
                <w:color w:val="000000"/>
                <w:sz w:val="20"/>
                <w:szCs w:val="20"/>
              </w:rPr>
            </w:pPr>
            <w:r w:rsidRPr="007C51D6">
              <w:rPr>
                <w:color w:val="000000"/>
                <w:sz w:val="20"/>
                <w:szCs w:val="20"/>
              </w:rPr>
              <w:t>нет</w:t>
            </w:r>
          </w:p>
          <w:p w:rsidR="004309E4" w:rsidRPr="007C51D6" w:rsidRDefault="004309E4" w:rsidP="004309E4">
            <w:pPr>
              <w:jc w:val="center"/>
              <w:rPr>
                <w:color w:val="000000"/>
                <w:sz w:val="20"/>
                <w:szCs w:val="20"/>
              </w:rPr>
            </w:pPr>
            <w:r w:rsidRPr="007C51D6">
              <w:rPr>
                <w:color w:val="000000"/>
                <w:sz w:val="20"/>
                <w:szCs w:val="20"/>
              </w:rPr>
              <w:t>данных</w:t>
            </w:r>
          </w:p>
        </w:tc>
      </w:tr>
      <w:tr w:rsidR="004309E4" w:rsidRPr="007C51D6" w:rsidTr="004472F9">
        <w:trPr>
          <w:trHeight w:val="20"/>
        </w:trPr>
        <w:tc>
          <w:tcPr>
            <w:tcW w:w="4531" w:type="dxa"/>
            <w:shd w:val="clear" w:color="auto" w:fill="auto"/>
            <w:hideMark/>
          </w:tcPr>
          <w:p w:rsidR="004309E4" w:rsidRPr="007C51D6" w:rsidRDefault="004309E4" w:rsidP="004309E4">
            <w:pPr>
              <w:autoSpaceDE/>
              <w:autoSpaceDN/>
              <w:adjustRightInd/>
              <w:rPr>
                <w:color w:val="000000"/>
                <w:sz w:val="20"/>
                <w:szCs w:val="20"/>
              </w:rPr>
            </w:pPr>
            <w:r w:rsidRPr="007C51D6">
              <w:rPr>
                <w:color w:val="000000"/>
                <w:sz w:val="20"/>
                <w:szCs w:val="20"/>
              </w:rPr>
              <w:t>Мамадышский</w:t>
            </w:r>
          </w:p>
        </w:tc>
        <w:tc>
          <w:tcPr>
            <w:tcW w:w="1012" w:type="dxa"/>
            <w:shd w:val="clear" w:color="auto" w:fill="auto"/>
            <w:hideMark/>
          </w:tcPr>
          <w:p w:rsidR="004309E4" w:rsidRPr="007C51D6" w:rsidRDefault="004309E4" w:rsidP="004309E4">
            <w:pPr>
              <w:autoSpaceDE/>
              <w:autoSpaceDN/>
              <w:adjustRightInd/>
              <w:jc w:val="center"/>
              <w:rPr>
                <w:color w:val="000000"/>
                <w:sz w:val="20"/>
                <w:szCs w:val="20"/>
              </w:rPr>
            </w:pPr>
            <w:r w:rsidRPr="007C51D6">
              <w:rPr>
                <w:color w:val="000000"/>
                <w:sz w:val="20"/>
                <w:szCs w:val="20"/>
              </w:rPr>
              <w:t>165,68</w:t>
            </w:r>
          </w:p>
        </w:tc>
        <w:tc>
          <w:tcPr>
            <w:tcW w:w="1115" w:type="dxa"/>
            <w:shd w:val="clear" w:color="auto" w:fill="auto"/>
            <w:hideMark/>
          </w:tcPr>
          <w:p w:rsidR="004309E4" w:rsidRPr="007C51D6" w:rsidRDefault="004309E4" w:rsidP="004309E4">
            <w:pPr>
              <w:autoSpaceDE/>
              <w:autoSpaceDN/>
              <w:adjustRightInd/>
              <w:jc w:val="center"/>
              <w:rPr>
                <w:color w:val="000000"/>
                <w:sz w:val="20"/>
                <w:szCs w:val="20"/>
              </w:rPr>
            </w:pPr>
            <w:r w:rsidRPr="007C51D6">
              <w:rPr>
                <w:color w:val="000000"/>
                <w:sz w:val="20"/>
                <w:szCs w:val="20"/>
              </w:rPr>
              <w:t>181,29</w:t>
            </w:r>
          </w:p>
        </w:tc>
        <w:tc>
          <w:tcPr>
            <w:tcW w:w="1012" w:type="dxa"/>
            <w:shd w:val="clear" w:color="auto" w:fill="auto"/>
            <w:hideMark/>
          </w:tcPr>
          <w:p w:rsidR="004309E4" w:rsidRPr="007C51D6" w:rsidRDefault="004309E4" w:rsidP="004309E4">
            <w:pPr>
              <w:autoSpaceDE/>
              <w:autoSpaceDN/>
              <w:adjustRightInd/>
              <w:jc w:val="center"/>
              <w:rPr>
                <w:color w:val="000000"/>
                <w:sz w:val="20"/>
                <w:szCs w:val="20"/>
              </w:rPr>
            </w:pPr>
            <w:r w:rsidRPr="007C51D6">
              <w:rPr>
                <w:color w:val="000000"/>
                <w:sz w:val="20"/>
                <w:szCs w:val="20"/>
              </w:rPr>
              <w:t>204,53</w:t>
            </w:r>
          </w:p>
        </w:tc>
        <w:tc>
          <w:tcPr>
            <w:tcW w:w="1011" w:type="dxa"/>
            <w:shd w:val="clear" w:color="auto" w:fill="auto"/>
            <w:hideMark/>
          </w:tcPr>
          <w:p w:rsidR="004309E4" w:rsidRPr="007C51D6" w:rsidRDefault="004309E4" w:rsidP="004309E4">
            <w:pPr>
              <w:autoSpaceDE/>
              <w:autoSpaceDN/>
              <w:adjustRightInd/>
              <w:jc w:val="center"/>
              <w:rPr>
                <w:color w:val="000000"/>
                <w:sz w:val="20"/>
                <w:szCs w:val="20"/>
              </w:rPr>
            </w:pPr>
            <w:r w:rsidRPr="007C51D6">
              <w:rPr>
                <w:color w:val="000000"/>
                <w:sz w:val="20"/>
                <w:szCs w:val="20"/>
              </w:rPr>
              <w:t>173,91</w:t>
            </w:r>
          </w:p>
        </w:tc>
        <w:tc>
          <w:tcPr>
            <w:tcW w:w="1012" w:type="dxa"/>
            <w:shd w:val="clear" w:color="auto" w:fill="auto"/>
          </w:tcPr>
          <w:p w:rsidR="004309E4" w:rsidRPr="007C51D6" w:rsidRDefault="004309E4" w:rsidP="004309E4">
            <w:pPr>
              <w:autoSpaceDE/>
              <w:autoSpaceDN/>
              <w:adjustRightInd/>
              <w:jc w:val="center"/>
              <w:rPr>
                <w:color w:val="000000"/>
                <w:sz w:val="20"/>
                <w:szCs w:val="20"/>
              </w:rPr>
            </w:pPr>
            <w:r w:rsidRPr="007C51D6">
              <w:rPr>
                <w:color w:val="000000"/>
                <w:sz w:val="20"/>
                <w:szCs w:val="20"/>
              </w:rPr>
              <w:t>152,0</w:t>
            </w:r>
          </w:p>
        </w:tc>
        <w:tc>
          <w:tcPr>
            <w:tcW w:w="1012" w:type="dxa"/>
          </w:tcPr>
          <w:p w:rsidR="004309E4" w:rsidRPr="007C51D6" w:rsidRDefault="004309E4" w:rsidP="004309E4">
            <w:pPr>
              <w:autoSpaceDE/>
              <w:autoSpaceDN/>
              <w:adjustRightInd/>
              <w:jc w:val="center"/>
              <w:rPr>
                <w:color w:val="000000"/>
                <w:sz w:val="20"/>
                <w:szCs w:val="20"/>
              </w:rPr>
            </w:pPr>
            <w:r w:rsidRPr="007C51D6">
              <w:rPr>
                <w:color w:val="000000"/>
                <w:sz w:val="20"/>
                <w:szCs w:val="20"/>
              </w:rPr>
              <w:t>114,8</w:t>
            </w:r>
          </w:p>
        </w:tc>
        <w:tc>
          <w:tcPr>
            <w:tcW w:w="1109" w:type="dxa"/>
          </w:tcPr>
          <w:p w:rsidR="004309E4" w:rsidRPr="007C51D6" w:rsidRDefault="004309E4" w:rsidP="004309E4">
            <w:pPr>
              <w:autoSpaceDE/>
              <w:autoSpaceDN/>
              <w:adjustRightInd/>
              <w:jc w:val="center"/>
              <w:rPr>
                <w:color w:val="000000"/>
                <w:sz w:val="20"/>
                <w:szCs w:val="20"/>
              </w:rPr>
            </w:pPr>
            <w:r w:rsidRPr="007C51D6">
              <w:rPr>
                <w:color w:val="000000"/>
                <w:sz w:val="20"/>
                <w:szCs w:val="20"/>
              </w:rPr>
              <w:t>163,8</w:t>
            </w:r>
          </w:p>
        </w:tc>
        <w:tc>
          <w:tcPr>
            <w:tcW w:w="1103" w:type="dxa"/>
          </w:tcPr>
          <w:p w:rsidR="004309E4" w:rsidRPr="007C51D6" w:rsidRDefault="004309E4" w:rsidP="004309E4">
            <w:pPr>
              <w:autoSpaceDE/>
              <w:autoSpaceDN/>
              <w:adjustRightInd/>
              <w:jc w:val="center"/>
              <w:rPr>
                <w:color w:val="000000"/>
                <w:sz w:val="20"/>
                <w:szCs w:val="20"/>
              </w:rPr>
            </w:pPr>
            <w:r w:rsidRPr="007C51D6">
              <w:rPr>
                <w:color w:val="000000"/>
                <w:sz w:val="20"/>
                <w:szCs w:val="20"/>
              </w:rPr>
              <w:t>128,0</w:t>
            </w:r>
          </w:p>
        </w:tc>
        <w:tc>
          <w:tcPr>
            <w:tcW w:w="1103" w:type="dxa"/>
          </w:tcPr>
          <w:p w:rsidR="004309E4" w:rsidRPr="007C51D6" w:rsidRDefault="004309E4" w:rsidP="004309E4">
            <w:pPr>
              <w:autoSpaceDE/>
              <w:autoSpaceDN/>
              <w:adjustRightInd/>
              <w:jc w:val="center"/>
              <w:rPr>
                <w:color w:val="000000"/>
                <w:sz w:val="20"/>
                <w:szCs w:val="20"/>
              </w:rPr>
            </w:pPr>
            <w:r w:rsidRPr="007C51D6">
              <w:rPr>
                <w:color w:val="000000"/>
                <w:sz w:val="20"/>
                <w:szCs w:val="20"/>
              </w:rPr>
              <w:t>217,5</w:t>
            </w:r>
          </w:p>
        </w:tc>
        <w:tc>
          <w:tcPr>
            <w:tcW w:w="1103" w:type="dxa"/>
          </w:tcPr>
          <w:p w:rsidR="004309E4" w:rsidRPr="007C51D6" w:rsidRDefault="004309E4" w:rsidP="004309E4">
            <w:pPr>
              <w:jc w:val="center"/>
              <w:rPr>
                <w:color w:val="000000"/>
                <w:sz w:val="20"/>
                <w:szCs w:val="20"/>
              </w:rPr>
            </w:pPr>
            <w:r w:rsidRPr="007C51D6">
              <w:rPr>
                <w:color w:val="000000"/>
                <w:sz w:val="20"/>
                <w:szCs w:val="20"/>
              </w:rPr>
              <w:t>нет</w:t>
            </w:r>
          </w:p>
          <w:p w:rsidR="004309E4" w:rsidRPr="007C51D6" w:rsidRDefault="004309E4" w:rsidP="004309E4">
            <w:pPr>
              <w:autoSpaceDE/>
              <w:autoSpaceDN/>
              <w:adjustRightInd/>
              <w:jc w:val="center"/>
              <w:rPr>
                <w:color w:val="000000"/>
                <w:sz w:val="20"/>
                <w:szCs w:val="20"/>
              </w:rPr>
            </w:pPr>
            <w:r w:rsidRPr="007C51D6">
              <w:rPr>
                <w:color w:val="000000"/>
                <w:sz w:val="20"/>
                <w:szCs w:val="20"/>
              </w:rPr>
              <w:t>данных</w:t>
            </w:r>
          </w:p>
        </w:tc>
      </w:tr>
      <w:tr w:rsidR="004309E4" w:rsidRPr="007C51D6" w:rsidTr="004472F9">
        <w:trPr>
          <w:trHeight w:val="20"/>
        </w:trPr>
        <w:tc>
          <w:tcPr>
            <w:tcW w:w="4531" w:type="dxa"/>
            <w:shd w:val="clear" w:color="auto" w:fill="auto"/>
            <w:hideMark/>
          </w:tcPr>
          <w:p w:rsidR="004309E4" w:rsidRPr="007C51D6" w:rsidRDefault="004309E4" w:rsidP="004309E4">
            <w:pPr>
              <w:autoSpaceDE/>
              <w:autoSpaceDN/>
              <w:adjustRightInd/>
              <w:rPr>
                <w:color w:val="000000"/>
                <w:sz w:val="20"/>
                <w:szCs w:val="20"/>
              </w:rPr>
            </w:pPr>
            <w:r w:rsidRPr="007C51D6">
              <w:rPr>
                <w:color w:val="000000"/>
                <w:sz w:val="20"/>
                <w:szCs w:val="20"/>
              </w:rPr>
              <w:t>Менделеевский</w:t>
            </w:r>
          </w:p>
        </w:tc>
        <w:tc>
          <w:tcPr>
            <w:tcW w:w="1012" w:type="dxa"/>
            <w:shd w:val="clear" w:color="auto" w:fill="auto"/>
            <w:hideMark/>
          </w:tcPr>
          <w:p w:rsidR="004309E4" w:rsidRPr="007C51D6" w:rsidRDefault="004309E4" w:rsidP="004309E4">
            <w:pPr>
              <w:autoSpaceDE/>
              <w:autoSpaceDN/>
              <w:adjustRightInd/>
              <w:jc w:val="center"/>
              <w:rPr>
                <w:color w:val="000000"/>
                <w:sz w:val="20"/>
                <w:szCs w:val="20"/>
              </w:rPr>
            </w:pPr>
            <w:r w:rsidRPr="007C51D6">
              <w:rPr>
                <w:color w:val="000000"/>
                <w:sz w:val="20"/>
                <w:szCs w:val="20"/>
              </w:rPr>
              <w:t>194,89</w:t>
            </w:r>
          </w:p>
        </w:tc>
        <w:tc>
          <w:tcPr>
            <w:tcW w:w="1115" w:type="dxa"/>
            <w:shd w:val="clear" w:color="auto" w:fill="auto"/>
            <w:hideMark/>
          </w:tcPr>
          <w:p w:rsidR="004309E4" w:rsidRPr="007C51D6" w:rsidRDefault="004309E4" w:rsidP="004309E4">
            <w:pPr>
              <w:autoSpaceDE/>
              <w:autoSpaceDN/>
              <w:adjustRightInd/>
              <w:jc w:val="center"/>
              <w:rPr>
                <w:color w:val="000000"/>
                <w:sz w:val="20"/>
                <w:szCs w:val="20"/>
              </w:rPr>
            </w:pPr>
            <w:r w:rsidRPr="007C51D6">
              <w:rPr>
                <w:color w:val="000000"/>
                <w:sz w:val="20"/>
                <w:szCs w:val="20"/>
              </w:rPr>
              <w:t>201,43</w:t>
            </w:r>
          </w:p>
        </w:tc>
        <w:tc>
          <w:tcPr>
            <w:tcW w:w="1012" w:type="dxa"/>
            <w:shd w:val="clear" w:color="auto" w:fill="auto"/>
            <w:hideMark/>
          </w:tcPr>
          <w:p w:rsidR="004309E4" w:rsidRPr="007C51D6" w:rsidRDefault="004309E4" w:rsidP="004309E4">
            <w:pPr>
              <w:autoSpaceDE/>
              <w:autoSpaceDN/>
              <w:adjustRightInd/>
              <w:jc w:val="center"/>
              <w:rPr>
                <w:color w:val="000000"/>
                <w:sz w:val="20"/>
                <w:szCs w:val="20"/>
              </w:rPr>
            </w:pPr>
            <w:r w:rsidRPr="007C51D6">
              <w:rPr>
                <w:color w:val="000000"/>
                <w:sz w:val="20"/>
                <w:szCs w:val="20"/>
              </w:rPr>
              <w:t>217,94</w:t>
            </w:r>
          </w:p>
        </w:tc>
        <w:tc>
          <w:tcPr>
            <w:tcW w:w="1011" w:type="dxa"/>
            <w:shd w:val="clear" w:color="auto" w:fill="auto"/>
            <w:hideMark/>
          </w:tcPr>
          <w:p w:rsidR="004309E4" w:rsidRPr="007C51D6" w:rsidRDefault="004309E4" w:rsidP="004309E4">
            <w:pPr>
              <w:autoSpaceDE/>
              <w:autoSpaceDN/>
              <w:adjustRightInd/>
              <w:jc w:val="center"/>
              <w:rPr>
                <w:color w:val="000000"/>
                <w:sz w:val="20"/>
                <w:szCs w:val="20"/>
              </w:rPr>
            </w:pPr>
            <w:r w:rsidRPr="007C51D6">
              <w:rPr>
                <w:color w:val="000000"/>
                <w:sz w:val="20"/>
                <w:szCs w:val="20"/>
              </w:rPr>
              <w:t>164,64</w:t>
            </w:r>
          </w:p>
        </w:tc>
        <w:tc>
          <w:tcPr>
            <w:tcW w:w="1012" w:type="dxa"/>
            <w:shd w:val="clear" w:color="auto" w:fill="auto"/>
          </w:tcPr>
          <w:p w:rsidR="004309E4" w:rsidRPr="007C51D6" w:rsidRDefault="004309E4" w:rsidP="004309E4">
            <w:pPr>
              <w:autoSpaceDE/>
              <w:autoSpaceDN/>
              <w:adjustRightInd/>
              <w:jc w:val="center"/>
              <w:rPr>
                <w:color w:val="000000"/>
                <w:sz w:val="20"/>
                <w:szCs w:val="20"/>
              </w:rPr>
            </w:pPr>
            <w:r w:rsidRPr="007C51D6">
              <w:rPr>
                <w:color w:val="000000"/>
                <w:sz w:val="20"/>
                <w:szCs w:val="20"/>
              </w:rPr>
              <w:t>116,7</w:t>
            </w:r>
          </w:p>
        </w:tc>
        <w:tc>
          <w:tcPr>
            <w:tcW w:w="1012" w:type="dxa"/>
          </w:tcPr>
          <w:p w:rsidR="004309E4" w:rsidRPr="007C51D6" w:rsidRDefault="004309E4" w:rsidP="004309E4">
            <w:pPr>
              <w:autoSpaceDE/>
              <w:autoSpaceDN/>
              <w:adjustRightInd/>
              <w:jc w:val="center"/>
              <w:rPr>
                <w:color w:val="000000"/>
                <w:sz w:val="20"/>
                <w:szCs w:val="20"/>
              </w:rPr>
            </w:pPr>
            <w:r w:rsidRPr="007C51D6">
              <w:rPr>
                <w:color w:val="000000"/>
                <w:sz w:val="20"/>
                <w:szCs w:val="20"/>
              </w:rPr>
              <w:t>84,5</w:t>
            </w:r>
          </w:p>
        </w:tc>
        <w:tc>
          <w:tcPr>
            <w:tcW w:w="1109" w:type="dxa"/>
          </w:tcPr>
          <w:p w:rsidR="004309E4" w:rsidRPr="007C51D6" w:rsidRDefault="004309E4" w:rsidP="004309E4">
            <w:pPr>
              <w:jc w:val="center"/>
              <w:rPr>
                <w:color w:val="000000"/>
                <w:sz w:val="20"/>
                <w:szCs w:val="20"/>
              </w:rPr>
            </w:pPr>
            <w:r w:rsidRPr="007C51D6">
              <w:rPr>
                <w:color w:val="000000"/>
                <w:sz w:val="20"/>
                <w:szCs w:val="20"/>
              </w:rPr>
              <w:t>123,3</w:t>
            </w:r>
          </w:p>
        </w:tc>
        <w:tc>
          <w:tcPr>
            <w:tcW w:w="1103" w:type="dxa"/>
          </w:tcPr>
          <w:p w:rsidR="004309E4" w:rsidRPr="007C51D6" w:rsidRDefault="004309E4" w:rsidP="004309E4">
            <w:pPr>
              <w:jc w:val="center"/>
              <w:rPr>
                <w:color w:val="000000"/>
                <w:sz w:val="20"/>
                <w:szCs w:val="20"/>
              </w:rPr>
            </w:pPr>
            <w:r w:rsidRPr="007C51D6">
              <w:rPr>
                <w:color w:val="000000"/>
                <w:sz w:val="20"/>
                <w:szCs w:val="20"/>
              </w:rPr>
              <w:t>124,7</w:t>
            </w:r>
          </w:p>
        </w:tc>
        <w:tc>
          <w:tcPr>
            <w:tcW w:w="1103" w:type="dxa"/>
          </w:tcPr>
          <w:p w:rsidR="004309E4" w:rsidRPr="007C51D6" w:rsidRDefault="004309E4" w:rsidP="004309E4">
            <w:pPr>
              <w:jc w:val="center"/>
              <w:rPr>
                <w:color w:val="000000"/>
                <w:sz w:val="20"/>
                <w:szCs w:val="20"/>
              </w:rPr>
            </w:pPr>
            <w:r w:rsidRPr="007C51D6">
              <w:rPr>
                <w:color w:val="000000"/>
                <w:sz w:val="20"/>
                <w:szCs w:val="20"/>
              </w:rPr>
              <w:t>132,4</w:t>
            </w:r>
          </w:p>
        </w:tc>
        <w:tc>
          <w:tcPr>
            <w:tcW w:w="1103" w:type="dxa"/>
          </w:tcPr>
          <w:p w:rsidR="004309E4" w:rsidRPr="007C51D6" w:rsidRDefault="004309E4" w:rsidP="004309E4">
            <w:pPr>
              <w:jc w:val="center"/>
              <w:rPr>
                <w:color w:val="000000"/>
                <w:sz w:val="20"/>
                <w:szCs w:val="20"/>
              </w:rPr>
            </w:pPr>
            <w:r w:rsidRPr="007C51D6">
              <w:rPr>
                <w:color w:val="000000"/>
                <w:sz w:val="20"/>
                <w:szCs w:val="20"/>
              </w:rPr>
              <w:t>нет</w:t>
            </w:r>
          </w:p>
          <w:p w:rsidR="004309E4" w:rsidRPr="007C51D6" w:rsidRDefault="004309E4" w:rsidP="004309E4">
            <w:pPr>
              <w:jc w:val="center"/>
              <w:rPr>
                <w:color w:val="000000"/>
                <w:sz w:val="20"/>
                <w:szCs w:val="20"/>
              </w:rPr>
            </w:pPr>
            <w:r w:rsidRPr="007C51D6">
              <w:rPr>
                <w:color w:val="000000"/>
                <w:sz w:val="20"/>
                <w:szCs w:val="20"/>
              </w:rPr>
              <w:t>данных</w:t>
            </w:r>
          </w:p>
        </w:tc>
      </w:tr>
      <w:tr w:rsidR="004309E4" w:rsidRPr="007C51D6" w:rsidTr="004472F9">
        <w:trPr>
          <w:trHeight w:val="20"/>
        </w:trPr>
        <w:tc>
          <w:tcPr>
            <w:tcW w:w="4531" w:type="dxa"/>
            <w:shd w:val="clear" w:color="auto" w:fill="auto"/>
            <w:hideMark/>
          </w:tcPr>
          <w:p w:rsidR="004309E4" w:rsidRPr="007C51D6" w:rsidRDefault="004309E4" w:rsidP="004309E4">
            <w:pPr>
              <w:autoSpaceDE/>
              <w:autoSpaceDN/>
              <w:adjustRightInd/>
              <w:rPr>
                <w:color w:val="000000"/>
                <w:sz w:val="20"/>
                <w:szCs w:val="20"/>
              </w:rPr>
            </w:pPr>
            <w:r w:rsidRPr="007C51D6">
              <w:rPr>
                <w:color w:val="000000"/>
                <w:sz w:val="20"/>
                <w:szCs w:val="20"/>
              </w:rPr>
              <w:t>Мензелинский</w:t>
            </w:r>
          </w:p>
        </w:tc>
        <w:tc>
          <w:tcPr>
            <w:tcW w:w="1012" w:type="dxa"/>
            <w:shd w:val="clear" w:color="auto" w:fill="auto"/>
            <w:hideMark/>
          </w:tcPr>
          <w:p w:rsidR="004309E4" w:rsidRPr="007C51D6" w:rsidRDefault="004309E4" w:rsidP="004309E4">
            <w:pPr>
              <w:autoSpaceDE/>
              <w:autoSpaceDN/>
              <w:adjustRightInd/>
              <w:jc w:val="center"/>
              <w:rPr>
                <w:color w:val="000000"/>
                <w:sz w:val="20"/>
                <w:szCs w:val="20"/>
              </w:rPr>
            </w:pPr>
            <w:r w:rsidRPr="007C51D6">
              <w:rPr>
                <w:color w:val="000000"/>
                <w:sz w:val="20"/>
                <w:szCs w:val="20"/>
              </w:rPr>
              <w:t>197,70</w:t>
            </w:r>
          </w:p>
        </w:tc>
        <w:tc>
          <w:tcPr>
            <w:tcW w:w="1115" w:type="dxa"/>
            <w:shd w:val="clear" w:color="auto" w:fill="auto"/>
            <w:hideMark/>
          </w:tcPr>
          <w:p w:rsidR="004309E4" w:rsidRPr="007C51D6" w:rsidRDefault="004309E4" w:rsidP="004309E4">
            <w:pPr>
              <w:autoSpaceDE/>
              <w:autoSpaceDN/>
              <w:adjustRightInd/>
              <w:jc w:val="center"/>
              <w:rPr>
                <w:color w:val="000000"/>
                <w:sz w:val="20"/>
                <w:szCs w:val="20"/>
              </w:rPr>
            </w:pPr>
            <w:r w:rsidRPr="007C51D6">
              <w:rPr>
                <w:color w:val="000000"/>
                <w:sz w:val="20"/>
                <w:szCs w:val="20"/>
              </w:rPr>
              <w:t>181,17</w:t>
            </w:r>
          </w:p>
        </w:tc>
        <w:tc>
          <w:tcPr>
            <w:tcW w:w="1012" w:type="dxa"/>
            <w:shd w:val="clear" w:color="auto" w:fill="auto"/>
            <w:hideMark/>
          </w:tcPr>
          <w:p w:rsidR="004309E4" w:rsidRPr="007C51D6" w:rsidRDefault="004309E4" w:rsidP="004309E4">
            <w:pPr>
              <w:autoSpaceDE/>
              <w:autoSpaceDN/>
              <w:adjustRightInd/>
              <w:jc w:val="center"/>
              <w:rPr>
                <w:color w:val="000000"/>
                <w:sz w:val="20"/>
                <w:szCs w:val="20"/>
              </w:rPr>
            </w:pPr>
            <w:r w:rsidRPr="007C51D6">
              <w:rPr>
                <w:color w:val="000000"/>
                <w:sz w:val="20"/>
                <w:szCs w:val="20"/>
              </w:rPr>
              <w:t>229,94</w:t>
            </w:r>
          </w:p>
        </w:tc>
        <w:tc>
          <w:tcPr>
            <w:tcW w:w="1011" w:type="dxa"/>
            <w:shd w:val="clear" w:color="auto" w:fill="auto"/>
            <w:hideMark/>
          </w:tcPr>
          <w:p w:rsidR="004309E4" w:rsidRPr="007C51D6" w:rsidRDefault="004309E4" w:rsidP="004309E4">
            <w:pPr>
              <w:autoSpaceDE/>
              <w:autoSpaceDN/>
              <w:adjustRightInd/>
              <w:jc w:val="center"/>
              <w:rPr>
                <w:color w:val="000000"/>
                <w:sz w:val="20"/>
                <w:szCs w:val="20"/>
              </w:rPr>
            </w:pPr>
            <w:r w:rsidRPr="007C51D6">
              <w:rPr>
                <w:color w:val="000000"/>
                <w:sz w:val="20"/>
                <w:szCs w:val="20"/>
              </w:rPr>
              <w:t>134,11</w:t>
            </w:r>
          </w:p>
        </w:tc>
        <w:tc>
          <w:tcPr>
            <w:tcW w:w="1012" w:type="dxa"/>
            <w:shd w:val="clear" w:color="auto" w:fill="auto"/>
          </w:tcPr>
          <w:p w:rsidR="004309E4" w:rsidRPr="007C51D6" w:rsidRDefault="004309E4" w:rsidP="004309E4">
            <w:pPr>
              <w:autoSpaceDE/>
              <w:autoSpaceDN/>
              <w:adjustRightInd/>
              <w:jc w:val="center"/>
              <w:rPr>
                <w:color w:val="000000"/>
                <w:sz w:val="20"/>
                <w:szCs w:val="20"/>
              </w:rPr>
            </w:pPr>
            <w:r w:rsidRPr="007C51D6">
              <w:rPr>
                <w:color w:val="000000"/>
                <w:sz w:val="20"/>
                <w:szCs w:val="20"/>
              </w:rPr>
              <w:t>116,2</w:t>
            </w:r>
          </w:p>
        </w:tc>
        <w:tc>
          <w:tcPr>
            <w:tcW w:w="1012" w:type="dxa"/>
          </w:tcPr>
          <w:p w:rsidR="004309E4" w:rsidRPr="007C51D6" w:rsidRDefault="004309E4" w:rsidP="004309E4">
            <w:pPr>
              <w:autoSpaceDE/>
              <w:autoSpaceDN/>
              <w:adjustRightInd/>
              <w:jc w:val="center"/>
              <w:rPr>
                <w:color w:val="000000"/>
                <w:sz w:val="20"/>
                <w:szCs w:val="20"/>
              </w:rPr>
            </w:pPr>
            <w:r w:rsidRPr="007C51D6">
              <w:rPr>
                <w:color w:val="000000"/>
                <w:sz w:val="20"/>
                <w:szCs w:val="20"/>
              </w:rPr>
              <w:t>95,7</w:t>
            </w:r>
          </w:p>
        </w:tc>
        <w:tc>
          <w:tcPr>
            <w:tcW w:w="1109" w:type="dxa"/>
          </w:tcPr>
          <w:p w:rsidR="004309E4" w:rsidRPr="007C51D6" w:rsidRDefault="004309E4" w:rsidP="004309E4">
            <w:pPr>
              <w:jc w:val="center"/>
              <w:rPr>
                <w:color w:val="000000"/>
                <w:sz w:val="20"/>
                <w:szCs w:val="20"/>
              </w:rPr>
            </w:pPr>
            <w:r w:rsidRPr="007C51D6">
              <w:rPr>
                <w:color w:val="000000"/>
                <w:sz w:val="20"/>
                <w:szCs w:val="20"/>
              </w:rPr>
              <w:t>111,7</w:t>
            </w:r>
          </w:p>
        </w:tc>
        <w:tc>
          <w:tcPr>
            <w:tcW w:w="1103" w:type="dxa"/>
          </w:tcPr>
          <w:p w:rsidR="004309E4" w:rsidRPr="007C51D6" w:rsidRDefault="004309E4" w:rsidP="004309E4">
            <w:pPr>
              <w:jc w:val="center"/>
              <w:rPr>
                <w:color w:val="000000"/>
                <w:sz w:val="20"/>
                <w:szCs w:val="20"/>
              </w:rPr>
            </w:pPr>
            <w:r w:rsidRPr="007C51D6">
              <w:rPr>
                <w:color w:val="000000"/>
                <w:sz w:val="20"/>
                <w:szCs w:val="20"/>
              </w:rPr>
              <w:t>123,9</w:t>
            </w:r>
          </w:p>
        </w:tc>
        <w:tc>
          <w:tcPr>
            <w:tcW w:w="1103" w:type="dxa"/>
          </w:tcPr>
          <w:p w:rsidR="004309E4" w:rsidRPr="007C51D6" w:rsidRDefault="004309E4" w:rsidP="004309E4">
            <w:pPr>
              <w:jc w:val="center"/>
              <w:rPr>
                <w:color w:val="000000"/>
                <w:sz w:val="20"/>
                <w:szCs w:val="20"/>
              </w:rPr>
            </w:pPr>
            <w:r w:rsidRPr="007C51D6">
              <w:rPr>
                <w:color w:val="000000"/>
                <w:sz w:val="20"/>
                <w:szCs w:val="20"/>
              </w:rPr>
              <w:t>106,6</w:t>
            </w:r>
          </w:p>
        </w:tc>
        <w:tc>
          <w:tcPr>
            <w:tcW w:w="1103" w:type="dxa"/>
          </w:tcPr>
          <w:p w:rsidR="004309E4" w:rsidRPr="007C51D6" w:rsidRDefault="004309E4" w:rsidP="004309E4">
            <w:pPr>
              <w:jc w:val="center"/>
              <w:rPr>
                <w:color w:val="000000"/>
                <w:sz w:val="20"/>
                <w:szCs w:val="20"/>
              </w:rPr>
            </w:pPr>
            <w:r w:rsidRPr="007C51D6">
              <w:rPr>
                <w:color w:val="000000"/>
                <w:sz w:val="20"/>
                <w:szCs w:val="20"/>
              </w:rPr>
              <w:t>нет</w:t>
            </w:r>
          </w:p>
          <w:p w:rsidR="004309E4" w:rsidRPr="007C51D6" w:rsidRDefault="004309E4" w:rsidP="004309E4">
            <w:pPr>
              <w:jc w:val="center"/>
              <w:rPr>
                <w:color w:val="000000"/>
                <w:sz w:val="20"/>
                <w:szCs w:val="20"/>
              </w:rPr>
            </w:pPr>
            <w:r w:rsidRPr="007C51D6">
              <w:rPr>
                <w:color w:val="000000"/>
                <w:sz w:val="20"/>
                <w:szCs w:val="20"/>
              </w:rPr>
              <w:t>данных</w:t>
            </w:r>
          </w:p>
        </w:tc>
      </w:tr>
      <w:tr w:rsidR="008A139C" w:rsidRPr="007C51D6" w:rsidTr="004472F9">
        <w:trPr>
          <w:trHeight w:val="20"/>
        </w:trPr>
        <w:tc>
          <w:tcPr>
            <w:tcW w:w="4531" w:type="dxa"/>
            <w:shd w:val="clear" w:color="auto" w:fill="auto"/>
            <w:hideMark/>
          </w:tcPr>
          <w:p w:rsidR="008A139C" w:rsidRPr="007C51D6" w:rsidRDefault="008A139C" w:rsidP="008A139C">
            <w:pPr>
              <w:autoSpaceDE/>
              <w:autoSpaceDN/>
              <w:adjustRightInd/>
              <w:rPr>
                <w:color w:val="000000"/>
                <w:sz w:val="20"/>
                <w:szCs w:val="20"/>
              </w:rPr>
            </w:pPr>
            <w:r w:rsidRPr="007C51D6">
              <w:rPr>
                <w:color w:val="000000"/>
                <w:sz w:val="20"/>
                <w:szCs w:val="20"/>
              </w:rPr>
              <w:t>Муслюмовский</w:t>
            </w:r>
          </w:p>
        </w:tc>
        <w:tc>
          <w:tcPr>
            <w:tcW w:w="1012" w:type="dxa"/>
            <w:shd w:val="clear" w:color="auto" w:fill="auto"/>
            <w:hideMark/>
          </w:tcPr>
          <w:p w:rsidR="008A139C" w:rsidRPr="007C51D6" w:rsidRDefault="008A139C" w:rsidP="008A139C">
            <w:pPr>
              <w:autoSpaceDE/>
              <w:autoSpaceDN/>
              <w:adjustRightInd/>
              <w:jc w:val="center"/>
              <w:rPr>
                <w:color w:val="000000"/>
                <w:sz w:val="20"/>
                <w:szCs w:val="20"/>
              </w:rPr>
            </w:pPr>
            <w:r w:rsidRPr="007C51D6">
              <w:rPr>
                <w:color w:val="000000"/>
                <w:sz w:val="20"/>
                <w:szCs w:val="20"/>
              </w:rPr>
              <w:t>156,70</w:t>
            </w:r>
          </w:p>
        </w:tc>
        <w:tc>
          <w:tcPr>
            <w:tcW w:w="1115" w:type="dxa"/>
            <w:shd w:val="clear" w:color="auto" w:fill="auto"/>
            <w:hideMark/>
          </w:tcPr>
          <w:p w:rsidR="008A139C" w:rsidRPr="007C51D6" w:rsidRDefault="008A139C" w:rsidP="008A139C">
            <w:pPr>
              <w:autoSpaceDE/>
              <w:autoSpaceDN/>
              <w:adjustRightInd/>
              <w:jc w:val="center"/>
              <w:rPr>
                <w:color w:val="000000"/>
                <w:sz w:val="20"/>
                <w:szCs w:val="20"/>
              </w:rPr>
            </w:pPr>
            <w:r w:rsidRPr="007C51D6">
              <w:rPr>
                <w:color w:val="000000"/>
                <w:sz w:val="20"/>
                <w:szCs w:val="20"/>
              </w:rPr>
              <w:t>355,94</w:t>
            </w:r>
          </w:p>
        </w:tc>
        <w:tc>
          <w:tcPr>
            <w:tcW w:w="1012" w:type="dxa"/>
            <w:shd w:val="clear" w:color="auto" w:fill="auto"/>
            <w:hideMark/>
          </w:tcPr>
          <w:p w:rsidR="008A139C" w:rsidRPr="007C51D6" w:rsidRDefault="008A139C" w:rsidP="008A139C">
            <w:pPr>
              <w:autoSpaceDE/>
              <w:autoSpaceDN/>
              <w:adjustRightInd/>
              <w:jc w:val="center"/>
              <w:rPr>
                <w:color w:val="000000"/>
                <w:sz w:val="20"/>
                <w:szCs w:val="20"/>
              </w:rPr>
            </w:pPr>
            <w:r w:rsidRPr="007C51D6">
              <w:rPr>
                <w:color w:val="000000"/>
                <w:sz w:val="20"/>
                <w:szCs w:val="20"/>
              </w:rPr>
              <w:t>222,46</w:t>
            </w:r>
          </w:p>
        </w:tc>
        <w:tc>
          <w:tcPr>
            <w:tcW w:w="1011" w:type="dxa"/>
            <w:shd w:val="clear" w:color="auto" w:fill="auto"/>
            <w:hideMark/>
          </w:tcPr>
          <w:p w:rsidR="008A139C" w:rsidRPr="007C51D6" w:rsidRDefault="008A139C" w:rsidP="008A139C">
            <w:pPr>
              <w:autoSpaceDE/>
              <w:autoSpaceDN/>
              <w:adjustRightInd/>
              <w:jc w:val="center"/>
              <w:rPr>
                <w:color w:val="000000"/>
                <w:sz w:val="20"/>
                <w:szCs w:val="20"/>
              </w:rPr>
            </w:pPr>
            <w:r w:rsidRPr="007C51D6">
              <w:rPr>
                <w:color w:val="000000"/>
                <w:sz w:val="20"/>
                <w:szCs w:val="20"/>
              </w:rPr>
              <w:t>236,49</w:t>
            </w:r>
          </w:p>
        </w:tc>
        <w:tc>
          <w:tcPr>
            <w:tcW w:w="1012" w:type="dxa"/>
            <w:shd w:val="clear" w:color="auto" w:fill="auto"/>
          </w:tcPr>
          <w:p w:rsidR="008A139C" w:rsidRPr="007C51D6" w:rsidRDefault="008A139C" w:rsidP="008A139C">
            <w:pPr>
              <w:autoSpaceDE/>
              <w:autoSpaceDN/>
              <w:adjustRightInd/>
              <w:jc w:val="center"/>
              <w:rPr>
                <w:color w:val="000000"/>
                <w:sz w:val="20"/>
                <w:szCs w:val="20"/>
              </w:rPr>
            </w:pPr>
            <w:r w:rsidRPr="007C51D6">
              <w:rPr>
                <w:color w:val="000000"/>
                <w:sz w:val="20"/>
                <w:szCs w:val="20"/>
              </w:rPr>
              <w:t>234,0</w:t>
            </w:r>
          </w:p>
        </w:tc>
        <w:tc>
          <w:tcPr>
            <w:tcW w:w="1012" w:type="dxa"/>
          </w:tcPr>
          <w:p w:rsidR="008A139C" w:rsidRPr="007C51D6" w:rsidRDefault="008A139C" w:rsidP="008A139C">
            <w:pPr>
              <w:autoSpaceDE/>
              <w:autoSpaceDN/>
              <w:adjustRightInd/>
              <w:jc w:val="center"/>
              <w:rPr>
                <w:color w:val="000000"/>
                <w:sz w:val="20"/>
                <w:szCs w:val="20"/>
              </w:rPr>
            </w:pPr>
            <w:r w:rsidRPr="007C51D6">
              <w:rPr>
                <w:color w:val="000000"/>
                <w:sz w:val="20"/>
                <w:szCs w:val="20"/>
              </w:rPr>
              <w:t>216,3</w:t>
            </w:r>
          </w:p>
        </w:tc>
        <w:tc>
          <w:tcPr>
            <w:tcW w:w="1109" w:type="dxa"/>
          </w:tcPr>
          <w:p w:rsidR="008A139C" w:rsidRPr="007C51D6" w:rsidRDefault="008A139C" w:rsidP="008A139C">
            <w:pPr>
              <w:jc w:val="center"/>
              <w:rPr>
                <w:color w:val="000000"/>
                <w:sz w:val="20"/>
                <w:szCs w:val="20"/>
              </w:rPr>
            </w:pPr>
            <w:r w:rsidRPr="007C51D6">
              <w:rPr>
                <w:color w:val="000000"/>
                <w:sz w:val="20"/>
                <w:szCs w:val="20"/>
              </w:rPr>
              <w:t>171,2</w:t>
            </w:r>
          </w:p>
        </w:tc>
        <w:tc>
          <w:tcPr>
            <w:tcW w:w="1103" w:type="dxa"/>
          </w:tcPr>
          <w:p w:rsidR="008A139C" w:rsidRPr="007C51D6" w:rsidRDefault="008A139C" w:rsidP="008A139C">
            <w:pPr>
              <w:jc w:val="center"/>
              <w:rPr>
                <w:color w:val="000000"/>
                <w:sz w:val="20"/>
                <w:szCs w:val="20"/>
              </w:rPr>
            </w:pPr>
            <w:r w:rsidRPr="007C51D6">
              <w:rPr>
                <w:color w:val="000000"/>
                <w:sz w:val="20"/>
                <w:szCs w:val="20"/>
              </w:rPr>
              <w:t>122,6</w:t>
            </w:r>
          </w:p>
        </w:tc>
        <w:tc>
          <w:tcPr>
            <w:tcW w:w="1103" w:type="dxa"/>
          </w:tcPr>
          <w:p w:rsidR="008A139C" w:rsidRPr="007C51D6" w:rsidRDefault="008A139C" w:rsidP="008A139C">
            <w:pPr>
              <w:jc w:val="center"/>
              <w:rPr>
                <w:color w:val="000000"/>
                <w:sz w:val="20"/>
                <w:szCs w:val="20"/>
              </w:rPr>
            </w:pPr>
            <w:r w:rsidRPr="007C51D6">
              <w:rPr>
                <w:color w:val="000000"/>
                <w:sz w:val="20"/>
                <w:szCs w:val="20"/>
              </w:rPr>
              <w:t>155,8</w:t>
            </w:r>
          </w:p>
        </w:tc>
        <w:tc>
          <w:tcPr>
            <w:tcW w:w="1103" w:type="dxa"/>
          </w:tcPr>
          <w:p w:rsidR="008A139C" w:rsidRPr="007C51D6" w:rsidRDefault="008A139C" w:rsidP="008A139C">
            <w:pPr>
              <w:jc w:val="center"/>
              <w:rPr>
                <w:color w:val="000000"/>
                <w:sz w:val="20"/>
                <w:szCs w:val="20"/>
              </w:rPr>
            </w:pPr>
            <w:r w:rsidRPr="007C51D6">
              <w:rPr>
                <w:color w:val="000000"/>
                <w:sz w:val="20"/>
                <w:szCs w:val="20"/>
              </w:rPr>
              <w:t>нет</w:t>
            </w:r>
          </w:p>
          <w:p w:rsidR="008A139C" w:rsidRPr="007C51D6" w:rsidRDefault="008A139C" w:rsidP="008A139C">
            <w:pPr>
              <w:jc w:val="center"/>
              <w:rPr>
                <w:color w:val="000000"/>
                <w:sz w:val="20"/>
                <w:szCs w:val="20"/>
              </w:rPr>
            </w:pPr>
            <w:r w:rsidRPr="007C51D6">
              <w:rPr>
                <w:color w:val="000000"/>
                <w:sz w:val="20"/>
                <w:szCs w:val="20"/>
              </w:rPr>
              <w:t>данных</w:t>
            </w:r>
          </w:p>
        </w:tc>
      </w:tr>
      <w:tr w:rsidR="008A139C" w:rsidRPr="007C51D6" w:rsidTr="004472F9">
        <w:trPr>
          <w:trHeight w:val="20"/>
        </w:trPr>
        <w:tc>
          <w:tcPr>
            <w:tcW w:w="4531" w:type="dxa"/>
            <w:shd w:val="clear" w:color="auto" w:fill="auto"/>
            <w:hideMark/>
          </w:tcPr>
          <w:p w:rsidR="008A139C" w:rsidRPr="007C51D6" w:rsidRDefault="008A139C" w:rsidP="008A139C">
            <w:pPr>
              <w:autoSpaceDE/>
              <w:autoSpaceDN/>
              <w:adjustRightInd/>
              <w:rPr>
                <w:color w:val="000000"/>
                <w:sz w:val="20"/>
                <w:szCs w:val="20"/>
              </w:rPr>
            </w:pPr>
            <w:r w:rsidRPr="007C51D6">
              <w:rPr>
                <w:color w:val="000000"/>
                <w:sz w:val="20"/>
                <w:szCs w:val="20"/>
              </w:rPr>
              <w:t>Нижнекамский</w:t>
            </w:r>
          </w:p>
        </w:tc>
        <w:tc>
          <w:tcPr>
            <w:tcW w:w="1012" w:type="dxa"/>
            <w:shd w:val="clear" w:color="auto" w:fill="auto"/>
            <w:hideMark/>
          </w:tcPr>
          <w:p w:rsidR="008A139C" w:rsidRPr="007C51D6" w:rsidRDefault="008A139C" w:rsidP="008A139C">
            <w:pPr>
              <w:autoSpaceDE/>
              <w:autoSpaceDN/>
              <w:adjustRightInd/>
              <w:jc w:val="center"/>
              <w:rPr>
                <w:color w:val="000000"/>
                <w:sz w:val="20"/>
                <w:szCs w:val="20"/>
              </w:rPr>
            </w:pPr>
            <w:r w:rsidRPr="007C51D6">
              <w:rPr>
                <w:color w:val="000000"/>
                <w:sz w:val="20"/>
                <w:szCs w:val="20"/>
              </w:rPr>
              <w:t>156,18</w:t>
            </w:r>
          </w:p>
        </w:tc>
        <w:tc>
          <w:tcPr>
            <w:tcW w:w="1115" w:type="dxa"/>
            <w:shd w:val="clear" w:color="auto" w:fill="auto"/>
            <w:hideMark/>
          </w:tcPr>
          <w:p w:rsidR="008A139C" w:rsidRPr="007C51D6" w:rsidRDefault="008A139C" w:rsidP="008A139C">
            <w:pPr>
              <w:autoSpaceDE/>
              <w:autoSpaceDN/>
              <w:adjustRightInd/>
              <w:jc w:val="center"/>
              <w:rPr>
                <w:color w:val="000000"/>
                <w:sz w:val="20"/>
                <w:szCs w:val="20"/>
              </w:rPr>
            </w:pPr>
            <w:r w:rsidRPr="007C51D6">
              <w:rPr>
                <w:color w:val="000000"/>
                <w:sz w:val="20"/>
                <w:szCs w:val="20"/>
              </w:rPr>
              <w:t>172,89</w:t>
            </w:r>
          </w:p>
        </w:tc>
        <w:tc>
          <w:tcPr>
            <w:tcW w:w="1012" w:type="dxa"/>
            <w:shd w:val="clear" w:color="auto" w:fill="auto"/>
            <w:hideMark/>
          </w:tcPr>
          <w:p w:rsidR="008A139C" w:rsidRPr="007C51D6" w:rsidRDefault="008A139C" w:rsidP="008A139C">
            <w:pPr>
              <w:autoSpaceDE/>
              <w:autoSpaceDN/>
              <w:adjustRightInd/>
              <w:jc w:val="center"/>
              <w:rPr>
                <w:color w:val="000000"/>
                <w:sz w:val="20"/>
                <w:szCs w:val="20"/>
              </w:rPr>
            </w:pPr>
            <w:r w:rsidRPr="007C51D6">
              <w:rPr>
                <w:color w:val="000000"/>
                <w:sz w:val="20"/>
                <w:szCs w:val="20"/>
              </w:rPr>
              <w:t>158,69</w:t>
            </w:r>
          </w:p>
        </w:tc>
        <w:tc>
          <w:tcPr>
            <w:tcW w:w="1011" w:type="dxa"/>
            <w:shd w:val="clear" w:color="auto" w:fill="auto"/>
            <w:hideMark/>
          </w:tcPr>
          <w:p w:rsidR="008A139C" w:rsidRPr="007C51D6" w:rsidRDefault="008A139C" w:rsidP="008A139C">
            <w:pPr>
              <w:autoSpaceDE/>
              <w:autoSpaceDN/>
              <w:adjustRightInd/>
              <w:jc w:val="center"/>
              <w:rPr>
                <w:color w:val="000000"/>
                <w:sz w:val="20"/>
                <w:szCs w:val="20"/>
              </w:rPr>
            </w:pPr>
            <w:r w:rsidRPr="007C51D6">
              <w:rPr>
                <w:color w:val="000000"/>
                <w:sz w:val="20"/>
                <w:szCs w:val="20"/>
              </w:rPr>
              <w:t>196,70</w:t>
            </w:r>
          </w:p>
        </w:tc>
        <w:tc>
          <w:tcPr>
            <w:tcW w:w="1012" w:type="dxa"/>
            <w:shd w:val="clear" w:color="auto" w:fill="auto"/>
          </w:tcPr>
          <w:p w:rsidR="008A139C" w:rsidRPr="007C51D6" w:rsidRDefault="008A139C" w:rsidP="008A139C">
            <w:pPr>
              <w:autoSpaceDE/>
              <w:autoSpaceDN/>
              <w:adjustRightInd/>
              <w:jc w:val="center"/>
              <w:rPr>
                <w:color w:val="000000"/>
                <w:sz w:val="20"/>
                <w:szCs w:val="20"/>
              </w:rPr>
            </w:pPr>
            <w:r w:rsidRPr="007C51D6">
              <w:rPr>
                <w:color w:val="000000"/>
                <w:sz w:val="20"/>
                <w:szCs w:val="20"/>
              </w:rPr>
              <w:t>170,2</w:t>
            </w:r>
          </w:p>
        </w:tc>
        <w:tc>
          <w:tcPr>
            <w:tcW w:w="1012" w:type="dxa"/>
          </w:tcPr>
          <w:p w:rsidR="008A139C" w:rsidRPr="007C51D6" w:rsidRDefault="008A139C" w:rsidP="008A139C">
            <w:pPr>
              <w:autoSpaceDE/>
              <w:autoSpaceDN/>
              <w:adjustRightInd/>
              <w:jc w:val="center"/>
              <w:rPr>
                <w:color w:val="000000"/>
                <w:sz w:val="20"/>
                <w:szCs w:val="20"/>
              </w:rPr>
            </w:pPr>
            <w:r w:rsidRPr="007C51D6">
              <w:rPr>
                <w:color w:val="000000"/>
                <w:sz w:val="20"/>
                <w:szCs w:val="20"/>
              </w:rPr>
              <w:t>160,0</w:t>
            </w:r>
          </w:p>
        </w:tc>
        <w:tc>
          <w:tcPr>
            <w:tcW w:w="1109" w:type="dxa"/>
          </w:tcPr>
          <w:p w:rsidR="008A139C" w:rsidRPr="007C51D6" w:rsidRDefault="008A139C" w:rsidP="008A139C">
            <w:pPr>
              <w:jc w:val="center"/>
              <w:rPr>
                <w:color w:val="000000"/>
                <w:sz w:val="20"/>
                <w:szCs w:val="20"/>
              </w:rPr>
            </w:pPr>
            <w:r w:rsidRPr="007C51D6">
              <w:rPr>
                <w:color w:val="000000"/>
                <w:sz w:val="20"/>
                <w:szCs w:val="20"/>
              </w:rPr>
              <w:t>162,1</w:t>
            </w:r>
          </w:p>
        </w:tc>
        <w:tc>
          <w:tcPr>
            <w:tcW w:w="1103" w:type="dxa"/>
          </w:tcPr>
          <w:p w:rsidR="008A139C" w:rsidRPr="007C51D6" w:rsidRDefault="008A139C" w:rsidP="008A139C">
            <w:pPr>
              <w:jc w:val="center"/>
              <w:rPr>
                <w:color w:val="000000"/>
                <w:sz w:val="20"/>
                <w:szCs w:val="20"/>
              </w:rPr>
            </w:pPr>
            <w:r w:rsidRPr="007C51D6">
              <w:rPr>
                <w:color w:val="000000"/>
                <w:sz w:val="20"/>
                <w:szCs w:val="20"/>
              </w:rPr>
              <w:t>189,2</w:t>
            </w:r>
          </w:p>
        </w:tc>
        <w:tc>
          <w:tcPr>
            <w:tcW w:w="1103" w:type="dxa"/>
          </w:tcPr>
          <w:p w:rsidR="008A139C" w:rsidRPr="007C51D6" w:rsidRDefault="008A139C" w:rsidP="008A139C">
            <w:pPr>
              <w:jc w:val="center"/>
              <w:rPr>
                <w:color w:val="000000"/>
                <w:sz w:val="20"/>
                <w:szCs w:val="20"/>
              </w:rPr>
            </w:pPr>
            <w:r w:rsidRPr="007C51D6">
              <w:rPr>
                <w:color w:val="000000"/>
                <w:sz w:val="20"/>
                <w:szCs w:val="20"/>
              </w:rPr>
              <w:t>166,6</w:t>
            </w:r>
          </w:p>
        </w:tc>
        <w:tc>
          <w:tcPr>
            <w:tcW w:w="1103" w:type="dxa"/>
          </w:tcPr>
          <w:p w:rsidR="008A139C" w:rsidRPr="007C51D6" w:rsidRDefault="008A139C" w:rsidP="008A139C">
            <w:pPr>
              <w:jc w:val="center"/>
              <w:rPr>
                <w:color w:val="000000"/>
                <w:sz w:val="20"/>
                <w:szCs w:val="20"/>
              </w:rPr>
            </w:pPr>
            <w:r w:rsidRPr="007C51D6">
              <w:rPr>
                <w:color w:val="000000"/>
                <w:sz w:val="20"/>
                <w:szCs w:val="20"/>
              </w:rPr>
              <w:t>нет</w:t>
            </w:r>
          </w:p>
          <w:p w:rsidR="008A139C" w:rsidRPr="007C51D6" w:rsidRDefault="008A139C" w:rsidP="008A139C">
            <w:pPr>
              <w:jc w:val="center"/>
              <w:rPr>
                <w:color w:val="000000"/>
                <w:sz w:val="20"/>
                <w:szCs w:val="20"/>
              </w:rPr>
            </w:pPr>
            <w:r w:rsidRPr="007C51D6">
              <w:rPr>
                <w:color w:val="000000"/>
                <w:sz w:val="20"/>
                <w:szCs w:val="20"/>
              </w:rPr>
              <w:t>данных</w:t>
            </w:r>
          </w:p>
        </w:tc>
      </w:tr>
      <w:tr w:rsidR="008A139C" w:rsidRPr="007C51D6" w:rsidTr="004472F9">
        <w:trPr>
          <w:trHeight w:val="20"/>
        </w:trPr>
        <w:tc>
          <w:tcPr>
            <w:tcW w:w="4531" w:type="dxa"/>
            <w:shd w:val="clear" w:color="auto" w:fill="auto"/>
            <w:hideMark/>
          </w:tcPr>
          <w:p w:rsidR="008A139C" w:rsidRPr="007C51D6" w:rsidRDefault="008A139C" w:rsidP="008A139C">
            <w:pPr>
              <w:autoSpaceDE/>
              <w:autoSpaceDN/>
              <w:adjustRightInd/>
              <w:rPr>
                <w:color w:val="000000"/>
                <w:sz w:val="20"/>
                <w:szCs w:val="20"/>
              </w:rPr>
            </w:pPr>
            <w:r w:rsidRPr="007C51D6">
              <w:rPr>
                <w:color w:val="000000"/>
                <w:sz w:val="20"/>
                <w:szCs w:val="20"/>
              </w:rPr>
              <w:t>Новошешминский</w:t>
            </w:r>
          </w:p>
        </w:tc>
        <w:tc>
          <w:tcPr>
            <w:tcW w:w="1012" w:type="dxa"/>
            <w:shd w:val="clear" w:color="auto" w:fill="auto"/>
            <w:hideMark/>
          </w:tcPr>
          <w:p w:rsidR="008A139C" w:rsidRPr="007C51D6" w:rsidRDefault="008A139C" w:rsidP="008A139C">
            <w:pPr>
              <w:autoSpaceDE/>
              <w:autoSpaceDN/>
              <w:adjustRightInd/>
              <w:jc w:val="center"/>
              <w:rPr>
                <w:color w:val="000000"/>
                <w:sz w:val="20"/>
                <w:szCs w:val="20"/>
              </w:rPr>
            </w:pPr>
            <w:r w:rsidRPr="007C51D6">
              <w:rPr>
                <w:color w:val="000000"/>
                <w:sz w:val="20"/>
                <w:szCs w:val="20"/>
              </w:rPr>
              <w:t>140,47</w:t>
            </w:r>
          </w:p>
        </w:tc>
        <w:tc>
          <w:tcPr>
            <w:tcW w:w="1115" w:type="dxa"/>
            <w:shd w:val="clear" w:color="auto" w:fill="auto"/>
            <w:hideMark/>
          </w:tcPr>
          <w:p w:rsidR="008A139C" w:rsidRPr="007C51D6" w:rsidRDefault="008A139C" w:rsidP="008A139C">
            <w:pPr>
              <w:autoSpaceDE/>
              <w:autoSpaceDN/>
              <w:adjustRightInd/>
              <w:jc w:val="center"/>
              <w:rPr>
                <w:color w:val="000000"/>
                <w:sz w:val="20"/>
                <w:szCs w:val="20"/>
              </w:rPr>
            </w:pPr>
            <w:r w:rsidRPr="007C51D6">
              <w:rPr>
                <w:color w:val="000000"/>
                <w:sz w:val="20"/>
                <w:szCs w:val="20"/>
              </w:rPr>
              <w:t>127,00</w:t>
            </w:r>
          </w:p>
        </w:tc>
        <w:tc>
          <w:tcPr>
            <w:tcW w:w="1012" w:type="dxa"/>
            <w:shd w:val="clear" w:color="auto" w:fill="auto"/>
            <w:hideMark/>
          </w:tcPr>
          <w:p w:rsidR="008A139C" w:rsidRPr="007C51D6" w:rsidRDefault="008A139C" w:rsidP="008A139C">
            <w:pPr>
              <w:autoSpaceDE/>
              <w:autoSpaceDN/>
              <w:adjustRightInd/>
              <w:jc w:val="center"/>
              <w:rPr>
                <w:color w:val="000000"/>
                <w:sz w:val="20"/>
                <w:szCs w:val="20"/>
              </w:rPr>
            </w:pPr>
            <w:r w:rsidRPr="007C51D6">
              <w:rPr>
                <w:color w:val="000000"/>
                <w:sz w:val="20"/>
                <w:szCs w:val="20"/>
              </w:rPr>
              <w:t>127,00</w:t>
            </w:r>
          </w:p>
        </w:tc>
        <w:tc>
          <w:tcPr>
            <w:tcW w:w="1011" w:type="dxa"/>
            <w:shd w:val="clear" w:color="auto" w:fill="auto"/>
            <w:hideMark/>
          </w:tcPr>
          <w:p w:rsidR="008A139C" w:rsidRPr="007C51D6" w:rsidRDefault="008A139C" w:rsidP="008A139C">
            <w:pPr>
              <w:autoSpaceDE/>
              <w:autoSpaceDN/>
              <w:adjustRightInd/>
              <w:jc w:val="center"/>
              <w:rPr>
                <w:color w:val="000000"/>
                <w:sz w:val="20"/>
                <w:szCs w:val="20"/>
              </w:rPr>
            </w:pPr>
            <w:r w:rsidRPr="007C51D6">
              <w:rPr>
                <w:color w:val="000000"/>
                <w:sz w:val="20"/>
                <w:szCs w:val="20"/>
              </w:rPr>
              <w:t>174,11</w:t>
            </w:r>
          </w:p>
        </w:tc>
        <w:tc>
          <w:tcPr>
            <w:tcW w:w="1012" w:type="dxa"/>
            <w:shd w:val="clear" w:color="auto" w:fill="auto"/>
          </w:tcPr>
          <w:p w:rsidR="008A139C" w:rsidRPr="007C51D6" w:rsidRDefault="008A139C" w:rsidP="008A139C">
            <w:pPr>
              <w:autoSpaceDE/>
              <w:autoSpaceDN/>
              <w:adjustRightInd/>
              <w:jc w:val="center"/>
              <w:rPr>
                <w:color w:val="000000"/>
                <w:sz w:val="20"/>
                <w:szCs w:val="20"/>
              </w:rPr>
            </w:pPr>
            <w:r w:rsidRPr="007C51D6">
              <w:rPr>
                <w:color w:val="000000"/>
                <w:sz w:val="20"/>
                <w:szCs w:val="20"/>
              </w:rPr>
              <w:t>164,7</w:t>
            </w:r>
          </w:p>
        </w:tc>
        <w:tc>
          <w:tcPr>
            <w:tcW w:w="1012" w:type="dxa"/>
          </w:tcPr>
          <w:p w:rsidR="008A139C" w:rsidRPr="007C51D6" w:rsidRDefault="008A139C" w:rsidP="008A139C">
            <w:pPr>
              <w:autoSpaceDE/>
              <w:autoSpaceDN/>
              <w:adjustRightInd/>
              <w:jc w:val="center"/>
              <w:rPr>
                <w:color w:val="000000"/>
                <w:sz w:val="20"/>
                <w:szCs w:val="20"/>
              </w:rPr>
            </w:pPr>
            <w:r w:rsidRPr="007C51D6">
              <w:rPr>
                <w:color w:val="000000"/>
                <w:sz w:val="20"/>
                <w:szCs w:val="20"/>
              </w:rPr>
              <w:t>209,7</w:t>
            </w:r>
          </w:p>
        </w:tc>
        <w:tc>
          <w:tcPr>
            <w:tcW w:w="1109" w:type="dxa"/>
          </w:tcPr>
          <w:p w:rsidR="008A139C" w:rsidRPr="007C51D6" w:rsidRDefault="008A139C" w:rsidP="008A139C">
            <w:pPr>
              <w:autoSpaceDE/>
              <w:autoSpaceDN/>
              <w:adjustRightInd/>
              <w:jc w:val="center"/>
              <w:rPr>
                <w:color w:val="000000"/>
                <w:sz w:val="20"/>
                <w:szCs w:val="20"/>
              </w:rPr>
            </w:pPr>
            <w:r w:rsidRPr="007C51D6">
              <w:rPr>
                <w:color w:val="000000"/>
                <w:sz w:val="20"/>
                <w:szCs w:val="20"/>
              </w:rPr>
              <w:t>183,3</w:t>
            </w:r>
          </w:p>
        </w:tc>
        <w:tc>
          <w:tcPr>
            <w:tcW w:w="1103" w:type="dxa"/>
          </w:tcPr>
          <w:p w:rsidR="008A139C" w:rsidRPr="007C51D6" w:rsidRDefault="008A139C" w:rsidP="008A139C">
            <w:pPr>
              <w:autoSpaceDE/>
              <w:autoSpaceDN/>
              <w:adjustRightInd/>
              <w:jc w:val="center"/>
              <w:rPr>
                <w:color w:val="000000"/>
                <w:sz w:val="20"/>
                <w:szCs w:val="20"/>
              </w:rPr>
            </w:pPr>
            <w:r w:rsidRPr="007C51D6">
              <w:rPr>
                <w:color w:val="000000"/>
                <w:sz w:val="20"/>
                <w:szCs w:val="20"/>
              </w:rPr>
              <w:t>125,5</w:t>
            </w:r>
          </w:p>
        </w:tc>
        <w:tc>
          <w:tcPr>
            <w:tcW w:w="1103" w:type="dxa"/>
          </w:tcPr>
          <w:p w:rsidR="008A139C" w:rsidRPr="007C51D6" w:rsidRDefault="008A139C" w:rsidP="008A139C">
            <w:pPr>
              <w:autoSpaceDE/>
              <w:autoSpaceDN/>
              <w:adjustRightInd/>
              <w:jc w:val="center"/>
              <w:rPr>
                <w:color w:val="000000"/>
                <w:sz w:val="20"/>
                <w:szCs w:val="20"/>
              </w:rPr>
            </w:pPr>
            <w:r w:rsidRPr="007C51D6">
              <w:rPr>
                <w:color w:val="000000"/>
                <w:sz w:val="20"/>
                <w:szCs w:val="20"/>
              </w:rPr>
              <w:t>207,4</w:t>
            </w:r>
          </w:p>
        </w:tc>
        <w:tc>
          <w:tcPr>
            <w:tcW w:w="1103" w:type="dxa"/>
          </w:tcPr>
          <w:p w:rsidR="008A139C" w:rsidRPr="007C51D6" w:rsidRDefault="008A139C" w:rsidP="008A139C">
            <w:pPr>
              <w:jc w:val="center"/>
              <w:rPr>
                <w:color w:val="000000"/>
                <w:sz w:val="20"/>
                <w:szCs w:val="20"/>
              </w:rPr>
            </w:pPr>
            <w:r w:rsidRPr="007C51D6">
              <w:rPr>
                <w:color w:val="000000"/>
                <w:sz w:val="20"/>
                <w:szCs w:val="20"/>
              </w:rPr>
              <w:t>нет</w:t>
            </w:r>
          </w:p>
          <w:p w:rsidR="008A139C" w:rsidRPr="007C51D6" w:rsidRDefault="008A139C" w:rsidP="008A139C">
            <w:pPr>
              <w:autoSpaceDE/>
              <w:autoSpaceDN/>
              <w:adjustRightInd/>
              <w:jc w:val="center"/>
              <w:rPr>
                <w:color w:val="000000"/>
                <w:sz w:val="20"/>
                <w:szCs w:val="20"/>
              </w:rPr>
            </w:pPr>
            <w:r w:rsidRPr="007C51D6">
              <w:rPr>
                <w:color w:val="000000"/>
                <w:sz w:val="20"/>
                <w:szCs w:val="20"/>
              </w:rPr>
              <w:t>данных</w:t>
            </w:r>
          </w:p>
        </w:tc>
      </w:tr>
      <w:tr w:rsidR="008A139C" w:rsidRPr="007C51D6" w:rsidTr="004472F9">
        <w:trPr>
          <w:trHeight w:val="20"/>
        </w:trPr>
        <w:tc>
          <w:tcPr>
            <w:tcW w:w="4531" w:type="dxa"/>
            <w:shd w:val="clear" w:color="auto" w:fill="auto"/>
            <w:hideMark/>
          </w:tcPr>
          <w:p w:rsidR="008A139C" w:rsidRPr="007C51D6" w:rsidRDefault="008A139C" w:rsidP="008A139C">
            <w:pPr>
              <w:autoSpaceDE/>
              <w:autoSpaceDN/>
              <w:adjustRightInd/>
              <w:rPr>
                <w:color w:val="000000"/>
                <w:sz w:val="20"/>
                <w:szCs w:val="20"/>
              </w:rPr>
            </w:pPr>
            <w:r w:rsidRPr="007C51D6">
              <w:rPr>
                <w:color w:val="000000"/>
                <w:sz w:val="20"/>
                <w:szCs w:val="20"/>
              </w:rPr>
              <w:t>Нурлатский</w:t>
            </w:r>
          </w:p>
        </w:tc>
        <w:tc>
          <w:tcPr>
            <w:tcW w:w="1012" w:type="dxa"/>
            <w:shd w:val="clear" w:color="auto" w:fill="auto"/>
            <w:hideMark/>
          </w:tcPr>
          <w:p w:rsidR="008A139C" w:rsidRPr="007C51D6" w:rsidRDefault="008A139C" w:rsidP="008A139C">
            <w:pPr>
              <w:autoSpaceDE/>
              <w:autoSpaceDN/>
              <w:adjustRightInd/>
              <w:jc w:val="center"/>
              <w:rPr>
                <w:color w:val="000000"/>
                <w:sz w:val="20"/>
                <w:szCs w:val="20"/>
              </w:rPr>
            </w:pPr>
            <w:r w:rsidRPr="007C51D6">
              <w:rPr>
                <w:color w:val="000000"/>
                <w:sz w:val="20"/>
                <w:szCs w:val="20"/>
              </w:rPr>
              <w:t>187,00</w:t>
            </w:r>
          </w:p>
        </w:tc>
        <w:tc>
          <w:tcPr>
            <w:tcW w:w="1115" w:type="dxa"/>
            <w:shd w:val="clear" w:color="auto" w:fill="auto"/>
            <w:hideMark/>
          </w:tcPr>
          <w:p w:rsidR="008A139C" w:rsidRPr="007C51D6" w:rsidRDefault="008A139C" w:rsidP="008A139C">
            <w:pPr>
              <w:autoSpaceDE/>
              <w:autoSpaceDN/>
              <w:adjustRightInd/>
              <w:jc w:val="center"/>
              <w:rPr>
                <w:color w:val="000000"/>
                <w:sz w:val="20"/>
                <w:szCs w:val="20"/>
              </w:rPr>
            </w:pPr>
            <w:r w:rsidRPr="007C51D6">
              <w:rPr>
                <w:color w:val="000000"/>
                <w:sz w:val="20"/>
                <w:szCs w:val="20"/>
              </w:rPr>
              <w:t>176,87</w:t>
            </w:r>
          </w:p>
        </w:tc>
        <w:tc>
          <w:tcPr>
            <w:tcW w:w="1012" w:type="dxa"/>
            <w:shd w:val="clear" w:color="auto" w:fill="auto"/>
            <w:hideMark/>
          </w:tcPr>
          <w:p w:rsidR="008A139C" w:rsidRPr="007C51D6" w:rsidRDefault="008A139C" w:rsidP="008A139C">
            <w:pPr>
              <w:autoSpaceDE/>
              <w:autoSpaceDN/>
              <w:adjustRightInd/>
              <w:jc w:val="center"/>
              <w:rPr>
                <w:color w:val="000000"/>
                <w:sz w:val="20"/>
                <w:szCs w:val="20"/>
              </w:rPr>
            </w:pPr>
            <w:r w:rsidRPr="007C51D6">
              <w:rPr>
                <w:color w:val="000000"/>
                <w:sz w:val="20"/>
                <w:szCs w:val="20"/>
              </w:rPr>
              <w:t>189,01</w:t>
            </w:r>
          </w:p>
        </w:tc>
        <w:tc>
          <w:tcPr>
            <w:tcW w:w="1011" w:type="dxa"/>
            <w:shd w:val="clear" w:color="auto" w:fill="auto"/>
            <w:hideMark/>
          </w:tcPr>
          <w:p w:rsidR="008A139C" w:rsidRPr="007C51D6" w:rsidRDefault="008A139C" w:rsidP="008A139C">
            <w:pPr>
              <w:autoSpaceDE/>
              <w:autoSpaceDN/>
              <w:adjustRightInd/>
              <w:jc w:val="center"/>
              <w:rPr>
                <w:color w:val="000000"/>
                <w:sz w:val="20"/>
                <w:szCs w:val="20"/>
              </w:rPr>
            </w:pPr>
            <w:r w:rsidRPr="007C51D6">
              <w:rPr>
                <w:color w:val="000000"/>
                <w:sz w:val="20"/>
                <w:szCs w:val="20"/>
              </w:rPr>
              <w:t>203,64</w:t>
            </w:r>
          </w:p>
        </w:tc>
        <w:tc>
          <w:tcPr>
            <w:tcW w:w="1012" w:type="dxa"/>
            <w:shd w:val="clear" w:color="auto" w:fill="auto"/>
          </w:tcPr>
          <w:p w:rsidR="008A139C" w:rsidRPr="007C51D6" w:rsidRDefault="008A139C" w:rsidP="008A139C">
            <w:pPr>
              <w:autoSpaceDE/>
              <w:autoSpaceDN/>
              <w:adjustRightInd/>
              <w:jc w:val="center"/>
              <w:rPr>
                <w:color w:val="000000"/>
                <w:sz w:val="20"/>
                <w:szCs w:val="20"/>
              </w:rPr>
            </w:pPr>
            <w:r w:rsidRPr="007C51D6">
              <w:rPr>
                <w:color w:val="000000"/>
                <w:sz w:val="20"/>
                <w:szCs w:val="20"/>
              </w:rPr>
              <w:t>237,7</w:t>
            </w:r>
          </w:p>
        </w:tc>
        <w:tc>
          <w:tcPr>
            <w:tcW w:w="1012" w:type="dxa"/>
          </w:tcPr>
          <w:p w:rsidR="008A139C" w:rsidRPr="007C51D6" w:rsidRDefault="008A139C" w:rsidP="008A139C">
            <w:pPr>
              <w:autoSpaceDE/>
              <w:autoSpaceDN/>
              <w:adjustRightInd/>
              <w:jc w:val="center"/>
              <w:rPr>
                <w:color w:val="000000"/>
                <w:sz w:val="20"/>
                <w:szCs w:val="20"/>
              </w:rPr>
            </w:pPr>
            <w:r w:rsidRPr="007C51D6">
              <w:rPr>
                <w:color w:val="000000"/>
                <w:sz w:val="20"/>
                <w:szCs w:val="20"/>
              </w:rPr>
              <w:t>173,5</w:t>
            </w:r>
          </w:p>
        </w:tc>
        <w:tc>
          <w:tcPr>
            <w:tcW w:w="1109" w:type="dxa"/>
          </w:tcPr>
          <w:p w:rsidR="008A139C" w:rsidRPr="007C51D6" w:rsidRDefault="008A139C" w:rsidP="008A139C">
            <w:pPr>
              <w:jc w:val="center"/>
              <w:rPr>
                <w:color w:val="000000"/>
                <w:sz w:val="20"/>
                <w:szCs w:val="20"/>
              </w:rPr>
            </w:pPr>
            <w:r w:rsidRPr="007C51D6">
              <w:rPr>
                <w:color w:val="000000"/>
                <w:sz w:val="20"/>
                <w:szCs w:val="20"/>
              </w:rPr>
              <w:t>210,3</w:t>
            </w:r>
          </w:p>
        </w:tc>
        <w:tc>
          <w:tcPr>
            <w:tcW w:w="1103" w:type="dxa"/>
          </w:tcPr>
          <w:p w:rsidR="008A139C" w:rsidRPr="007C51D6" w:rsidRDefault="008A139C" w:rsidP="008A139C">
            <w:pPr>
              <w:jc w:val="center"/>
              <w:rPr>
                <w:color w:val="000000"/>
                <w:sz w:val="20"/>
                <w:szCs w:val="20"/>
              </w:rPr>
            </w:pPr>
            <w:r w:rsidRPr="007C51D6">
              <w:rPr>
                <w:color w:val="000000"/>
                <w:sz w:val="20"/>
                <w:szCs w:val="20"/>
              </w:rPr>
              <w:t>167,2</w:t>
            </w:r>
          </w:p>
        </w:tc>
        <w:tc>
          <w:tcPr>
            <w:tcW w:w="1103" w:type="dxa"/>
          </w:tcPr>
          <w:p w:rsidR="008A139C" w:rsidRPr="007C51D6" w:rsidRDefault="008A139C" w:rsidP="008A139C">
            <w:pPr>
              <w:jc w:val="center"/>
              <w:rPr>
                <w:color w:val="000000"/>
                <w:sz w:val="20"/>
                <w:szCs w:val="20"/>
              </w:rPr>
            </w:pPr>
            <w:r w:rsidRPr="007C51D6">
              <w:rPr>
                <w:color w:val="000000"/>
                <w:sz w:val="20"/>
                <w:szCs w:val="20"/>
              </w:rPr>
              <w:t>147,6</w:t>
            </w:r>
          </w:p>
        </w:tc>
        <w:tc>
          <w:tcPr>
            <w:tcW w:w="1103" w:type="dxa"/>
          </w:tcPr>
          <w:p w:rsidR="008A139C" w:rsidRPr="007C51D6" w:rsidRDefault="008A139C" w:rsidP="008A139C">
            <w:pPr>
              <w:jc w:val="center"/>
              <w:rPr>
                <w:color w:val="000000"/>
                <w:sz w:val="20"/>
                <w:szCs w:val="20"/>
              </w:rPr>
            </w:pPr>
            <w:r w:rsidRPr="007C51D6">
              <w:rPr>
                <w:color w:val="000000"/>
                <w:sz w:val="20"/>
                <w:szCs w:val="20"/>
              </w:rPr>
              <w:t>нет</w:t>
            </w:r>
          </w:p>
          <w:p w:rsidR="008A139C" w:rsidRPr="007C51D6" w:rsidRDefault="008A139C" w:rsidP="008A139C">
            <w:pPr>
              <w:jc w:val="center"/>
              <w:rPr>
                <w:color w:val="000000"/>
                <w:sz w:val="20"/>
                <w:szCs w:val="20"/>
              </w:rPr>
            </w:pPr>
            <w:r w:rsidRPr="007C51D6">
              <w:rPr>
                <w:color w:val="000000"/>
                <w:sz w:val="20"/>
                <w:szCs w:val="20"/>
              </w:rPr>
              <w:t>данных</w:t>
            </w:r>
          </w:p>
        </w:tc>
      </w:tr>
      <w:tr w:rsidR="008A139C" w:rsidRPr="007C51D6" w:rsidTr="004472F9">
        <w:trPr>
          <w:trHeight w:val="20"/>
        </w:trPr>
        <w:tc>
          <w:tcPr>
            <w:tcW w:w="4531" w:type="dxa"/>
            <w:shd w:val="clear" w:color="auto" w:fill="auto"/>
            <w:hideMark/>
          </w:tcPr>
          <w:p w:rsidR="008A139C" w:rsidRPr="007C51D6" w:rsidRDefault="008A139C" w:rsidP="008A139C">
            <w:pPr>
              <w:autoSpaceDE/>
              <w:autoSpaceDN/>
              <w:adjustRightInd/>
              <w:rPr>
                <w:color w:val="000000"/>
                <w:sz w:val="20"/>
                <w:szCs w:val="20"/>
              </w:rPr>
            </w:pPr>
            <w:r w:rsidRPr="007C51D6">
              <w:rPr>
                <w:color w:val="000000"/>
                <w:sz w:val="20"/>
                <w:szCs w:val="20"/>
              </w:rPr>
              <w:t>Пестречинский</w:t>
            </w:r>
          </w:p>
        </w:tc>
        <w:tc>
          <w:tcPr>
            <w:tcW w:w="1012" w:type="dxa"/>
            <w:shd w:val="clear" w:color="auto" w:fill="auto"/>
            <w:hideMark/>
          </w:tcPr>
          <w:p w:rsidR="008A139C" w:rsidRPr="007C51D6" w:rsidRDefault="008A139C" w:rsidP="008A139C">
            <w:pPr>
              <w:autoSpaceDE/>
              <w:autoSpaceDN/>
              <w:adjustRightInd/>
              <w:jc w:val="center"/>
              <w:rPr>
                <w:color w:val="000000"/>
                <w:sz w:val="20"/>
                <w:szCs w:val="20"/>
              </w:rPr>
            </w:pPr>
            <w:r w:rsidRPr="007C51D6">
              <w:rPr>
                <w:color w:val="000000"/>
                <w:sz w:val="20"/>
                <w:szCs w:val="20"/>
              </w:rPr>
              <w:t>195,25</w:t>
            </w:r>
          </w:p>
        </w:tc>
        <w:tc>
          <w:tcPr>
            <w:tcW w:w="1115" w:type="dxa"/>
            <w:shd w:val="clear" w:color="auto" w:fill="auto"/>
            <w:hideMark/>
          </w:tcPr>
          <w:p w:rsidR="008A139C" w:rsidRPr="007C51D6" w:rsidRDefault="008A139C" w:rsidP="008A139C">
            <w:pPr>
              <w:autoSpaceDE/>
              <w:autoSpaceDN/>
              <w:adjustRightInd/>
              <w:jc w:val="center"/>
              <w:rPr>
                <w:color w:val="000000"/>
                <w:sz w:val="20"/>
                <w:szCs w:val="20"/>
              </w:rPr>
            </w:pPr>
            <w:r w:rsidRPr="007C51D6">
              <w:rPr>
                <w:color w:val="000000"/>
                <w:sz w:val="20"/>
                <w:szCs w:val="20"/>
              </w:rPr>
              <w:t>157,46</w:t>
            </w:r>
          </w:p>
        </w:tc>
        <w:tc>
          <w:tcPr>
            <w:tcW w:w="1012" w:type="dxa"/>
            <w:shd w:val="clear" w:color="auto" w:fill="auto"/>
            <w:hideMark/>
          </w:tcPr>
          <w:p w:rsidR="008A139C" w:rsidRPr="007C51D6" w:rsidRDefault="008A139C" w:rsidP="008A139C">
            <w:pPr>
              <w:autoSpaceDE/>
              <w:autoSpaceDN/>
              <w:adjustRightInd/>
              <w:jc w:val="center"/>
              <w:rPr>
                <w:color w:val="000000"/>
                <w:sz w:val="20"/>
                <w:szCs w:val="20"/>
              </w:rPr>
            </w:pPr>
            <w:r w:rsidRPr="007C51D6">
              <w:rPr>
                <w:color w:val="000000"/>
                <w:sz w:val="20"/>
                <w:szCs w:val="20"/>
              </w:rPr>
              <w:t>174,96</w:t>
            </w:r>
          </w:p>
        </w:tc>
        <w:tc>
          <w:tcPr>
            <w:tcW w:w="1011" w:type="dxa"/>
            <w:shd w:val="clear" w:color="auto" w:fill="auto"/>
            <w:hideMark/>
          </w:tcPr>
          <w:p w:rsidR="008A139C" w:rsidRPr="007C51D6" w:rsidRDefault="008A139C" w:rsidP="008A139C">
            <w:pPr>
              <w:autoSpaceDE/>
              <w:autoSpaceDN/>
              <w:adjustRightInd/>
              <w:jc w:val="center"/>
              <w:rPr>
                <w:color w:val="000000"/>
                <w:sz w:val="20"/>
                <w:szCs w:val="20"/>
              </w:rPr>
            </w:pPr>
            <w:r w:rsidRPr="007C51D6">
              <w:rPr>
                <w:color w:val="000000"/>
                <w:sz w:val="20"/>
                <w:szCs w:val="20"/>
              </w:rPr>
              <w:t>103,65</w:t>
            </w:r>
          </w:p>
        </w:tc>
        <w:tc>
          <w:tcPr>
            <w:tcW w:w="1012" w:type="dxa"/>
            <w:shd w:val="clear" w:color="auto" w:fill="auto"/>
          </w:tcPr>
          <w:p w:rsidR="008A139C" w:rsidRPr="007C51D6" w:rsidRDefault="008A139C" w:rsidP="008A139C">
            <w:pPr>
              <w:autoSpaceDE/>
              <w:autoSpaceDN/>
              <w:adjustRightInd/>
              <w:jc w:val="center"/>
              <w:rPr>
                <w:color w:val="000000"/>
                <w:sz w:val="20"/>
                <w:szCs w:val="20"/>
              </w:rPr>
            </w:pPr>
            <w:r w:rsidRPr="007C51D6">
              <w:rPr>
                <w:color w:val="000000"/>
                <w:sz w:val="20"/>
                <w:szCs w:val="20"/>
              </w:rPr>
              <w:t>150,7</w:t>
            </w:r>
          </w:p>
        </w:tc>
        <w:tc>
          <w:tcPr>
            <w:tcW w:w="1012" w:type="dxa"/>
          </w:tcPr>
          <w:p w:rsidR="008A139C" w:rsidRPr="007C51D6" w:rsidRDefault="008A139C" w:rsidP="008A139C">
            <w:pPr>
              <w:autoSpaceDE/>
              <w:autoSpaceDN/>
              <w:adjustRightInd/>
              <w:jc w:val="center"/>
              <w:rPr>
                <w:color w:val="000000"/>
                <w:sz w:val="20"/>
                <w:szCs w:val="20"/>
              </w:rPr>
            </w:pPr>
            <w:r w:rsidRPr="007C51D6">
              <w:rPr>
                <w:color w:val="000000"/>
                <w:sz w:val="20"/>
                <w:szCs w:val="20"/>
              </w:rPr>
              <w:t>121,6</w:t>
            </w:r>
          </w:p>
        </w:tc>
        <w:tc>
          <w:tcPr>
            <w:tcW w:w="1109" w:type="dxa"/>
          </w:tcPr>
          <w:p w:rsidR="008A139C" w:rsidRPr="007C51D6" w:rsidRDefault="008A139C" w:rsidP="008A139C">
            <w:pPr>
              <w:jc w:val="center"/>
              <w:rPr>
                <w:color w:val="000000"/>
                <w:sz w:val="20"/>
                <w:szCs w:val="20"/>
              </w:rPr>
            </w:pPr>
            <w:r w:rsidRPr="007C51D6">
              <w:rPr>
                <w:color w:val="000000"/>
                <w:sz w:val="20"/>
                <w:szCs w:val="20"/>
              </w:rPr>
              <w:t>148,6</w:t>
            </w:r>
          </w:p>
        </w:tc>
        <w:tc>
          <w:tcPr>
            <w:tcW w:w="1103" w:type="dxa"/>
          </w:tcPr>
          <w:p w:rsidR="008A139C" w:rsidRPr="007C51D6" w:rsidRDefault="008A139C" w:rsidP="008A139C">
            <w:pPr>
              <w:jc w:val="center"/>
              <w:rPr>
                <w:color w:val="000000"/>
                <w:sz w:val="20"/>
                <w:szCs w:val="20"/>
              </w:rPr>
            </w:pPr>
            <w:r w:rsidRPr="007C51D6">
              <w:rPr>
                <w:color w:val="000000"/>
                <w:sz w:val="20"/>
                <w:szCs w:val="20"/>
              </w:rPr>
              <w:t>133,6</w:t>
            </w:r>
          </w:p>
        </w:tc>
        <w:tc>
          <w:tcPr>
            <w:tcW w:w="1103" w:type="dxa"/>
          </w:tcPr>
          <w:p w:rsidR="008A139C" w:rsidRPr="007C51D6" w:rsidRDefault="008A139C" w:rsidP="008A139C">
            <w:pPr>
              <w:jc w:val="center"/>
              <w:rPr>
                <w:color w:val="000000"/>
                <w:sz w:val="20"/>
                <w:szCs w:val="20"/>
              </w:rPr>
            </w:pPr>
            <w:r w:rsidRPr="007C51D6">
              <w:rPr>
                <w:color w:val="000000"/>
                <w:sz w:val="20"/>
                <w:szCs w:val="20"/>
              </w:rPr>
              <w:t>106,6</w:t>
            </w:r>
          </w:p>
        </w:tc>
        <w:tc>
          <w:tcPr>
            <w:tcW w:w="1103" w:type="dxa"/>
          </w:tcPr>
          <w:p w:rsidR="008A139C" w:rsidRPr="007C51D6" w:rsidRDefault="008A139C" w:rsidP="008A139C">
            <w:pPr>
              <w:jc w:val="center"/>
              <w:rPr>
                <w:color w:val="000000"/>
                <w:sz w:val="20"/>
                <w:szCs w:val="20"/>
              </w:rPr>
            </w:pPr>
            <w:r w:rsidRPr="007C51D6">
              <w:rPr>
                <w:color w:val="000000"/>
                <w:sz w:val="20"/>
                <w:szCs w:val="20"/>
              </w:rPr>
              <w:t>нет</w:t>
            </w:r>
          </w:p>
          <w:p w:rsidR="008A139C" w:rsidRPr="007C51D6" w:rsidRDefault="008A139C" w:rsidP="008A139C">
            <w:pPr>
              <w:jc w:val="center"/>
              <w:rPr>
                <w:color w:val="000000"/>
                <w:sz w:val="20"/>
                <w:szCs w:val="20"/>
              </w:rPr>
            </w:pPr>
            <w:r w:rsidRPr="007C51D6">
              <w:rPr>
                <w:color w:val="000000"/>
                <w:sz w:val="20"/>
                <w:szCs w:val="20"/>
              </w:rPr>
              <w:t>данных</w:t>
            </w:r>
          </w:p>
        </w:tc>
      </w:tr>
      <w:tr w:rsidR="008A139C" w:rsidRPr="007C51D6" w:rsidTr="004472F9">
        <w:trPr>
          <w:trHeight w:val="20"/>
        </w:trPr>
        <w:tc>
          <w:tcPr>
            <w:tcW w:w="4531" w:type="dxa"/>
            <w:shd w:val="clear" w:color="auto" w:fill="auto"/>
            <w:hideMark/>
          </w:tcPr>
          <w:p w:rsidR="008A139C" w:rsidRPr="007C51D6" w:rsidRDefault="008A139C" w:rsidP="008A139C">
            <w:pPr>
              <w:autoSpaceDE/>
              <w:autoSpaceDN/>
              <w:adjustRightInd/>
              <w:rPr>
                <w:color w:val="000000"/>
                <w:sz w:val="20"/>
                <w:szCs w:val="20"/>
              </w:rPr>
            </w:pPr>
            <w:r w:rsidRPr="007C51D6">
              <w:rPr>
                <w:color w:val="000000"/>
                <w:sz w:val="20"/>
                <w:szCs w:val="20"/>
              </w:rPr>
              <w:t>Рыбно-Слободский</w:t>
            </w:r>
          </w:p>
        </w:tc>
        <w:tc>
          <w:tcPr>
            <w:tcW w:w="1012" w:type="dxa"/>
            <w:shd w:val="clear" w:color="auto" w:fill="auto"/>
            <w:hideMark/>
          </w:tcPr>
          <w:p w:rsidR="008A139C" w:rsidRPr="007C51D6" w:rsidRDefault="008A139C" w:rsidP="008A139C">
            <w:pPr>
              <w:autoSpaceDE/>
              <w:autoSpaceDN/>
              <w:adjustRightInd/>
              <w:jc w:val="center"/>
              <w:rPr>
                <w:color w:val="000000"/>
                <w:sz w:val="20"/>
                <w:szCs w:val="20"/>
              </w:rPr>
            </w:pPr>
            <w:r w:rsidRPr="007C51D6">
              <w:rPr>
                <w:color w:val="000000"/>
                <w:sz w:val="20"/>
                <w:szCs w:val="20"/>
              </w:rPr>
              <w:t>203,10</w:t>
            </w:r>
          </w:p>
        </w:tc>
        <w:tc>
          <w:tcPr>
            <w:tcW w:w="1115" w:type="dxa"/>
            <w:shd w:val="clear" w:color="auto" w:fill="auto"/>
            <w:hideMark/>
          </w:tcPr>
          <w:p w:rsidR="008A139C" w:rsidRPr="007C51D6" w:rsidRDefault="008A139C" w:rsidP="008A139C">
            <w:pPr>
              <w:autoSpaceDE/>
              <w:autoSpaceDN/>
              <w:adjustRightInd/>
              <w:jc w:val="center"/>
              <w:rPr>
                <w:color w:val="000000"/>
                <w:sz w:val="20"/>
                <w:szCs w:val="20"/>
              </w:rPr>
            </w:pPr>
            <w:r w:rsidRPr="007C51D6">
              <w:rPr>
                <w:color w:val="000000"/>
                <w:sz w:val="20"/>
                <w:szCs w:val="20"/>
              </w:rPr>
              <w:t>205,63</w:t>
            </w:r>
          </w:p>
        </w:tc>
        <w:tc>
          <w:tcPr>
            <w:tcW w:w="1012" w:type="dxa"/>
            <w:shd w:val="clear" w:color="auto" w:fill="auto"/>
            <w:hideMark/>
          </w:tcPr>
          <w:p w:rsidR="008A139C" w:rsidRPr="007C51D6" w:rsidRDefault="008A139C" w:rsidP="008A139C">
            <w:pPr>
              <w:autoSpaceDE/>
              <w:autoSpaceDN/>
              <w:adjustRightInd/>
              <w:jc w:val="center"/>
              <w:rPr>
                <w:color w:val="000000"/>
                <w:sz w:val="20"/>
                <w:szCs w:val="20"/>
              </w:rPr>
            </w:pPr>
            <w:r w:rsidRPr="007C51D6">
              <w:rPr>
                <w:color w:val="000000"/>
                <w:sz w:val="20"/>
                <w:szCs w:val="20"/>
              </w:rPr>
              <w:t>174,59</w:t>
            </w:r>
          </w:p>
        </w:tc>
        <w:tc>
          <w:tcPr>
            <w:tcW w:w="1011" w:type="dxa"/>
            <w:shd w:val="clear" w:color="auto" w:fill="auto"/>
            <w:hideMark/>
          </w:tcPr>
          <w:p w:rsidR="008A139C" w:rsidRPr="007C51D6" w:rsidRDefault="008A139C" w:rsidP="008A139C">
            <w:pPr>
              <w:autoSpaceDE/>
              <w:autoSpaceDN/>
              <w:adjustRightInd/>
              <w:jc w:val="center"/>
              <w:rPr>
                <w:color w:val="000000"/>
                <w:sz w:val="20"/>
                <w:szCs w:val="20"/>
              </w:rPr>
            </w:pPr>
            <w:r w:rsidRPr="007C51D6">
              <w:rPr>
                <w:color w:val="000000"/>
                <w:sz w:val="20"/>
                <w:szCs w:val="20"/>
              </w:rPr>
              <w:t>192,61</w:t>
            </w:r>
          </w:p>
        </w:tc>
        <w:tc>
          <w:tcPr>
            <w:tcW w:w="1012" w:type="dxa"/>
            <w:shd w:val="clear" w:color="auto" w:fill="auto"/>
          </w:tcPr>
          <w:p w:rsidR="008A139C" w:rsidRPr="007C51D6" w:rsidRDefault="008A139C" w:rsidP="008A139C">
            <w:pPr>
              <w:autoSpaceDE/>
              <w:autoSpaceDN/>
              <w:adjustRightInd/>
              <w:jc w:val="center"/>
              <w:rPr>
                <w:color w:val="000000"/>
                <w:sz w:val="20"/>
                <w:szCs w:val="20"/>
              </w:rPr>
            </w:pPr>
            <w:r w:rsidRPr="007C51D6">
              <w:rPr>
                <w:color w:val="000000"/>
                <w:sz w:val="20"/>
                <w:szCs w:val="20"/>
              </w:rPr>
              <w:t>162,3</w:t>
            </w:r>
          </w:p>
        </w:tc>
        <w:tc>
          <w:tcPr>
            <w:tcW w:w="1012" w:type="dxa"/>
          </w:tcPr>
          <w:p w:rsidR="008A139C" w:rsidRPr="007C51D6" w:rsidRDefault="008A139C" w:rsidP="008A139C">
            <w:pPr>
              <w:autoSpaceDE/>
              <w:autoSpaceDN/>
              <w:adjustRightInd/>
              <w:jc w:val="center"/>
              <w:rPr>
                <w:color w:val="000000"/>
                <w:sz w:val="20"/>
                <w:szCs w:val="20"/>
              </w:rPr>
            </w:pPr>
            <w:r w:rsidRPr="007C51D6">
              <w:rPr>
                <w:color w:val="000000"/>
                <w:sz w:val="20"/>
                <w:szCs w:val="20"/>
              </w:rPr>
              <w:t>168,8</w:t>
            </w:r>
          </w:p>
        </w:tc>
        <w:tc>
          <w:tcPr>
            <w:tcW w:w="1109" w:type="dxa"/>
          </w:tcPr>
          <w:p w:rsidR="008A139C" w:rsidRPr="007C51D6" w:rsidRDefault="008A139C" w:rsidP="008A139C">
            <w:pPr>
              <w:jc w:val="center"/>
              <w:rPr>
                <w:color w:val="000000"/>
                <w:sz w:val="20"/>
                <w:szCs w:val="20"/>
              </w:rPr>
            </w:pPr>
            <w:r w:rsidRPr="007C51D6">
              <w:rPr>
                <w:color w:val="000000"/>
                <w:sz w:val="20"/>
                <w:szCs w:val="20"/>
              </w:rPr>
              <w:t>187,1</w:t>
            </w:r>
          </w:p>
        </w:tc>
        <w:tc>
          <w:tcPr>
            <w:tcW w:w="1103" w:type="dxa"/>
          </w:tcPr>
          <w:p w:rsidR="008A139C" w:rsidRPr="007C51D6" w:rsidRDefault="008A139C" w:rsidP="008A139C">
            <w:pPr>
              <w:jc w:val="center"/>
              <w:rPr>
                <w:color w:val="000000"/>
                <w:sz w:val="20"/>
                <w:szCs w:val="20"/>
              </w:rPr>
            </w:pPr>
            <w:r w:rsidRPr="007C51D6">
              <w:rPr>
                <w:color w:val="000000"/>
                <w:sz w:val="20"/>
                <w:szCs w:val="20"/>
              </w:rPr>
              <w:t>246,1</w:t>
            </w:r>
          </w:p>
        </w:tc>
        <w:tc>
          <w:tcPr>
            <w:tcW w:w="1103" w:type="dxa"/>
          </w:tcPr>
          <w:p w:rsidR="008A139C" w:rsidRPr="007C51D6" w:rsidRDefault="008A139C" w:rsidP="008A139C">
            <w:pPr>
              <w:jc w:val="center"/>
              <w:rPr>
                <w:color w:val="000000"/>
                <w:sz w:val="20"/>
                <w:szCs w:val="20"/>
              </w:rPr>
            </w:pPr>
            <w:r w:rsidRPr="007C51D6">
              <w:rPr>
                <w:color w:val="000000"/>
                <w:sz w:val="20"/>
                <w:szCs w:val="20"/>
              </w:rPr>
              <w:t>294,8</w:t>
            </w:r>
          </w:p>
        </w:tc>
        <w:tc>
          <w:tcPr>
            <w:tcW w:w="1103" w:type="dxa"/>
          </w:tcPr>
          <w:p w:rsidR="008A139C" w:rsidRPr="007C51D6" w:rsidRDefault="008A139C" w:rsidP="008A139C">
            <w:pPr>
              <w:jc w:val="center"/>
              <w:rPr>
                <w:color w:val="000000"/>
                <w:sz w:val="20"/>
                <w:szCs w:val="20"/>
              </w:rPr>
            </w:pPr>
            <w:r w:rsidRPr="007C51D6">
              <w:rPr>
                <w:color w:val="000000"/>
                <w:sz w:val="20"/>
                <w:szCs w:val="20"/>
              </w:rPr>
              <w:t>нет</w:t>
            </w:r>
          </w:p>
          <w:p w:rsidR="008A139C" w:rsidRPr="007C51D6" w:rsidRDefault="008A139C" w:rsidP="008A139C">
            <w:pPr>
              <w:jc w:val="center"/>
              <w:rPr>
                <w:color w:val="000000"/>
                <w:sz w:val="20"/>
                <w:szCs w:val="20"/>
              </w:rPr>
            </w:pPr>
            <w:r w:rsidRPr="007C51D6">
              <w:rPr>
                <w:color w:val="000000"/>
                <w:sz w:val="20"/>
                <w:szCs w:val="20"/>
              </w:rPr>
              <w:t>данных</w:t>
            </w:r>
          </w:p>
        </w:tc>
      </w:tr>
      <w:tr w:rsidR="008A139C" w:rsidRPr="007C51D6" w:rsidTr="004472F9">
        <w:trPr>
          <w:trHeight w:val="20"/>
        </w:trPr>
        <w:tc>
          <w:tcPr>
            <w:tcW w:w="4531" w:type="dxa"/>
            <w:shd w:val="clear" w:color="auto" w:fill="auto"/>
            <w:hideMark/>
          </w:tcPr>
          <w:p w:rsidR="008A139C" w:rsidRPr="007C51D6" w:rsidRDefault="008A139C" w:rsidP="008A139C">
            <w:pPr>
              <w:autoSpaceDE/>
              <w:autoSpaceDN/>
              <w:adjustRightInd/>
              <w:rPr>
                <w:color w:val="000000"/>
                <w:sz w:val="20"/>
                <w:szCs w:val="20"/>
              </w:rPr>
            </w:pPr>
            <w:r w:rsidRPr="007C51D6">
              <w:rPr>
                <w:color w:val="000000"/>
                <w:sz w:val="20"/>
                <w:szCs w:val="20"/>
              </w:rPr>
              <w:t>Сабинский</w:t>
            </w:r>
          </w:p>
        </w:tc>
        <w:tc>
          <w:tcPr>
            <w:tcW w:w="1012" w:type="dxa"/>
            <w:shd w:val="clear" w:color="auto" w:fill="auto"/>
            <w:hideMark/>
          </w:tcPr>
          <w:p w:rsidR="008A139C" w:rsidRPr="007C51D6" w:rsidRDefault="008A139C" w:rsidP="008A139C">
            <w:pPr>
              <w:autoSpaceDE/>
              <w:autoSpaceDN/>
              <w:adjustRightInd/>
              <w:jc w:val="center"/>
              <w:rPr>
                <w:color w:val="000000"/>
                <w:sz w:val="20"/>
                <w:szCs w:val="20"/>
              </w:rPr>
            </w:pPr>
            <w:r w:rsidRPr="007C51D6">
              <w:rPr>
                <w:color w:val="000000"/>
                <w:sz w:val="20"/>
                <w:szCs w:val="20"/>
              </w:rPr>
              <w:t>175,97</w:t>
            </w:r>
          </w:p>
        </w:tc>
        <w:tc>
          <w:tcPr>
            <w:tcW w:w="1115" w:type="dxa"/>
            <w:shd w:val="clear" w:color="auto" w:fill="auto"/>
            <w:hideMark/>
          </w:tcPr>
          <w:p w:rsidR="008A139C" w:rsidRPr="007C51D6" w:rsidRDefault="008A139C" w:rsidP="008A139C">
            <w:pPr>
              <w:autoSpaceDE/>
              <w:autoSpaceDN/>
              <w:adjustRightInd/>
              <w:jc w:val="center"/>
              <w:rPr>
                <w:color w:val="000000"/>
                <w:sz w:val="20"/>
                <w:szCs w:val="20"/>
              </w:rPr>
            </w:pPr>
            <w:r w:rsidRPr="007C51D6">
              <w:rPr>
                <w:color w:val="000000"/>
                <w:sz w:val="20"/>
                <w:szCs w:val="20"/>
              </w:rPr>
              <w:t>214,23</w:t>
            </w:r>
          </w:p>
        </w:tc>
        <w:tc>
          <w:tcPr>
            <w:tcW w:w="1012" w:type="dxa"/>
            <w:shd w:val="clear" w:color="auto" w:fill="auto"/>
            <w:hideMark/>
          </w:tcPr>
          <w:p w:rsidR="008A139C" w:rsidRPr="007C51D6" w:rsidRDefault="008A139C" w:rsidP="008A139C">
            <w:pPr>
              <w:autoSpaceDE/>
              <w:autoSpaceDN/>
              <w:adjustRightInd/>
              <w:jc w:val="center"/>
              <w:rPr>
                <w:color w:val="000000"/>
                <w:sz w:val="20"/>
                <w:szCs w:val="20"/>
              </w:rPr>
            </w:pPr>
            <w:r w:rsidRPr="007C51D6">
              <w:rPr>
                <w:color w:val="000000"/>
                <w:sz w:val="20"/>
                <w:szCs w:val="20"/>
              </w:rPr>
              <w:t>185,45</w:t>
            </w:r>
          </w:p>
        </w:tc>
        <w:tc>
          <w:tcPr>
            <w:tcW w:w="1011" w:type="dxa"/>
            <w:shd w:val="clear" w:color="auto" w:fill="auto"/>
            <w:hideMark/>
          </w:tcPr>
          <w:p w:rsidR="008A139C" w:rsidRPr="007C51D6" w:rsidRDefault="008A139C" w:rsidP="008A139C">
            <w:pPr>
              <w:autoSpaceDE/>
              <w:autoSpaceDN/>
              <w:adjustRightInd/>
              <w:jc w:val="center"/>
              <w:rPr>
                <w:color w:val="000000"/>
                <w:sz w:val="20"/>
                <w:szCs w:val="20"/>
              </w:rPr>
            </w:pPr>
            <w:r w:rsidRPr="007C51D6">
              <w:rPr>
                <w:color w:val="000000"/>
                <w:sz w:val="20"/>
                <w:szCs w:val="20"/>
              </w:rPr>
              <w:t>191,88</w:t>
            </w:r>
          </w:p>
        </w:tc>
        <w:tc>
          <w:tcPr>
            <w:tcW w:w="1012" w:type="dxa"/>
            <w:shd w:val="clear" w:color="auto" w:fill="auto"/>
          </w:tcPr>
          <w:p w:rsidR="008A139C" w:rsidRPr="007C51D6" w:rsidRDefault="008A139C" w:rsidP="008A139C">
            <w:pPr>
              <w:autoSpaceDE/>
              <w:autoSpaceDN/>
              <w:adjustRightInd/>
              <w:jc w:val="center"/>
              <w:rPr>
                <w:color w:val="000000"/>
                <w:sz w:val="20"/>
                <w:szCs w:val="20"/>
              </w:rPr>
            </w:pPr>
            <w:r w:rsidRPr="007C51D6">
              <w:rPr>
                <w:color w:val="000000"/>
                <w:sz w:val="20"/>
                <w:szCs w:val="20"/>
              </w:rPr>
              <w:t>172,2</w:t>
            </w:r>
          </w:p>
        </w:tc>
        <w:tc>
          <w:tcPr>
            <w:tcW w:w="1012" w:type="dxa"/>
          </w:tcPr>
          <w:p w:rsidR="008A139C" w:rsidRPr="007C51D6" w:rsidRDefault="008A139C" w:rsidP="008A139C">
            <w:pPr>
              <w:autoSpaceDE/>
              <w:autoSpaceDN/>
              <w:adjustRightInd/>
              <w:jc w:val="center"/>
              <w:rPr>
                <w:color w:val="000000"/>
                <w:sz w:val="20"/>
                <w:szCs w:val="20"/>
              </w:rPr>
            </w:pPr>
            <w:r w:rsidRPr="007C51D6">
              <w:rPr>
                <w:color w:val="000000"/>
                <w:sz w:val="20"/>
                <w:szCs w:val="20"/>
              </w:rPr>
              <w:t>186,5</w:t>
            </w:r>
          </w:p>
        </w:tc>
        <w:tc>
          <w:tcPr>
            <w:tcW w:w="1109" w:type="dxa"/>
          </w:tcPr>
          <w:p w:rsidR="008A139C" w:rsidRPr="007C51D6" w:rsidRDefault="008A139C" w:rsidP="008A139C">
            <w:pPr>
              <w:jc w:val="center"/>
              <w:rPr>
                <w:color w:val="000000"/>
                <w:sz w:val="20"/>
                <w:szCs w:val="20"/>
              </w:rPr>
            </w:pPr>
            <w:r w:rsidRPr="007C51D6">
              <w:rPr>
                <w:color w:val="000000"/>
                <w:sz w:val="20"/>
                <w:szCs w:val="20"/>
              </w:rPr>
              <w:t>134,8</w:t>
            </w:r>
          </w:p>
        </w:tc>
        <w:tc>
          <w:tcPr>
            <w:tcW w:w="1103" w:type="dxa"/>
          </w:tcPr>
          <w:p w:rsidR="008A139C" w:rsidRPr="007C51D6" w:rsidRDefault="008A139C" w:rsidP="008A139C">
            <w:pPr>
              <w:jc w:val="center"/>
              <w:rPr>
                <w:color w:val="000000"/>
                <w:sz w:val="20"/>
                <w:szCs w:val="20"/>
              </w:rPr>
            </w:pPr>
            <w:r w:rsidRPr="007C51D6">
              <w:rPr>
                <w:color w:val="000000"/>
                <w:sz w:val="20"/>
                <w:szCs w:val="20"/>
              </w:rPr>
              <w:t>190,7</w:t>
            </w:r>
          </w:p>
        </w:tc>
        <w:tc>
          <w:tcPr>
            <w:tcW w:w="1103" w:type="dxa"/>
          </w:tcPr>
          <w:p w:rsidR="008A139C" w:rsidRPr="007C51D6" w:rsidRDefault="008A139C" w:rsidP="008A139C">
            <w:pPr>
              <w:jc w:val="center"/>
              <w:rPr>
                <w:color w:val="000000"/>
                <w:sz w:val="20"/>
                <w:szCs w:val="20"/>
              </w:rPr>
            </w:pPr>
            <w:r w:rsidRPr="007C51D6">
              <w:rPr>
                <w:color w:val="000000"/>
                <w:sz w:val="20"/>
                <w:szCs w:val="20"/>
              </w:rPr>
              <w:t>194,3</w:t>
            </w:r>
          </w:p>
        </w:tc>
        <w:tc>
          <w:tcPr>
            <w:tcW w:w="1103" w:type="dxa"/>
          </w:tcPr>
          <w:p w:rsidR="008A139C" w:rsidRPr="007C51D6" w:rsidRDefault="008A139C" w:rsidP="008A139C">
            <w:pPr>
              <w:jc w:val="center"/>
              <w:rPr>
                <w:color w:val="000000"/>
                <w:sz w:val="20"/>
                <w:szCs w:val="20"/>
              </w:rPr>
            </w:pPr>
            <w:r w:rsidRPr="007C51D6">
              <w:rPr>
                <w:color w:val="000000"/>
                <w:sz w:val="20"/>
                <w:szCs w:val="20"/>
              </w:rPr>
              <w:t>нет</w:t>
            </w:r>
          </w:p>
          <w:p w:rsidR="008A139C" w:rsidRPr="007C51D6" w:rsidRDefault="008A139C" w:rsidP="008A139C">
            <w:pPr>
              <w:jc w:val="center"/>
              <w:rPr>
                <w:color w:val="000000"/>
                <w:sz w:val="20"/>
                <w:szCs w:val="20"/>
              </w:rPr>
            </w:pPr>
            <w:r w:rsidRPr="007C51D6">
              <w:rPr>
                <w:color w:val="000000"/>
                <w:sz w:val="20"/>
                <w:szCs w:val="20"/>
              </w:rPr>
              <w:t>данных</w:t>
            </w:r>
          </w:p>
        </w:tc>
      </w:tr>
      <w:tr w:rsidR="008A139C" w:rsidRPr="007C51D6" w:rsidTr="004472F9">
        <w:trPr>
          <w:trHeight w:val="20"/>
        </w:trPr>
        <w:tc>
          <w:tcPr>
            <w:tcW w:w="4531" w:type="dxa"/>
            <w:shd w:val="clear" w:color="auto" w:fill="auto"/>
            <w:hideMark/>
          </w:tcPr>
          <w:p w:rsidR="008A139C" w:rsidRPr="007C51D6" w:rsidRDefault="008A139C" w:rsidP="008A139C">
            <w:pPr>
              <w:autoSpaceDE/>
              <w:autoSpaceDN/>
              <w:adjustRightInd/>
              <w:rPr>
                <w:color w:val="000000"/>
                <w:sz w:val="20"/>
                <w:szCs w:val="20"/>
              </w:rPr>
            </w:pPr>
            <w:r w:rsidRPr="007C51D6">
              <w:rPr>
                <w:color w:val="000000"/>
                <w:sz w:val="20"/>
                <w:szCs w:val="20"/>
              </w:rPr>
              <w:t>Сармановский</w:t>
            </w:r>
          </w:p>
        </w:tc>
        <w:tc>
          <w:tcPr>
            <w:tcW w:w="1012" w:type="dxa"/>
            <w:shd w:val="clear" w:color="auto" w:fill="auto"/>
            <w:hideMark/>
          </w:tcPr>
          <w:p w:rsidR="008A139C" w:rsidRPr="007C51D6" w:rsidRDefault="008A139C" w:rsidP="008A139C">
            <w:pPr>
              <w:autoSpaceDE/>
              <w:autoSpaceDN/>
              <w:adjustRightInd/>
              <w:jc w:val="center"/>
              <w:rPr>
                <w:color w:val="000000"/>
                <w:sz w:val="20"/>
                <w:szCs w:val="20"/>
              </w:rPr>
            </w:pPr>
            <w:r w:rsidRPr="007C51D6">
              <w:rPr>
                <w:color w:val="000000"/>
                <w:sz w:val="20"/>
                <w:szCs w:val="20"/>
              </w:rPr>
              <w:t>159,71</w:t>
            </w:r>
          </w:p>
        </w:tc>
        <w:tc>
          <w:tcPr>
            <w:tcW w:w="1115" w:type="dxa"/>
            <w:shd w:val="clear" w:color="auto" w:fill="auto"/>
            <w:hideMark/>
          </w:tcPr>
          <w:p w:rsidR="008A139C" w:rsidRPr="007C51D6" w:rsidRDefault="008A139C" w:rsidP="008A139C">
            <w:pPr>
              <w:autoSpaceDE/>
              <w:autoSpaceDN/>
              <w:adjustRightInd/>
              <w:jc w:val="center"/>
              <w:rPr>
                <w:color w:val="000000"/>
                <w:sz w:val="20"/>
                <w:szCs w:val="20"/>
              </w:rPr>
            </w:pPr>
            <w:r w:rsidRPr="007C51D6">
              <w:rPr>
                <w:color w:val="000000"/>
                <w:sz w:val="20"/>
                <w:szCs w:val="20"/>
              </w:rPr>
              <w:t>158,53</w:t>
            </w:r>
          </w:p>
        </w:tc>
        <w:tc>
          <w:tcPr>
            <w:tcW w:w="1012" w:type="dxa"/>
            <w:shd w:val="clear" w:color="auto" w:fill="auto"/>
            <w:hideMark/>
          </w:tcPr>
          <w:p w:rsidR="008A139C" w:rsidRPr="007C51D6" w:rsidRDefault="008A139C" w:rsidP="008A139C">
            <w:pPr>
              <w:autoSpaceDE/>
              <w:autoSpaceDN/>
              <w:adjustRightInd/>
              <w:jc w:val="center"/>
              <w:rPr>
                <w:color w:val="000000"/>
                <w:sz w:val="20"/>
                <w:szCs w:val="20"/>
              </w:rPr>
            </w:pPr>
            <w:r w:rsidRPr="007C51D6">
              <w:rPr>
                <w:color w:val="000000"/>
                <w:sz w:val="20"/>
                <w:szCs w:val="20"/>
              </w:rPr>
              <w:t>107,58</w:t>
            </w:r>
          </w:p>
        </w:tc>
        <w:tc>
          <w:tcPr>
            <w:tcW w:w="1011" w:type="dxa"/>
            <w:shd w:val="clear" w:color="auto" w:fill="auto"/>
            <w:hideMark/>
          </w:tcPr>
          <w:p w:rsidR="008A139C" w:rsidRPr="007C51D6" w:rsidRDefault="008A139C" w:rsidP="008A139C">
            <w:pPr>
              <w:autoSpaceDE/>
              <w:autoSpaceDN/>
              <w:adjustRightInd/>
              <w:jc w:val="center"/>
              <w:rPr>
                <w:color w:val="000000"/>
                <w:sz w:val="20"/>
                <w:szCs w:val="20"/>
              </w:rPr>
            </w:pPr>
            <w:r w:rsidRPr="007C51D6">
              <w:rPr>
                <w:color w:val="000000"/>
                <w:sz w:val="20"/>
                <w:szCs w:val="20"/>
              </w:rPr>
              <w:t>154,72</w:t>
            </w:r>
          </w:p>
        </w:tc>
        <w:tc>
          <w:tcPr>
            <w:tcW w:w="1012" w:type="dxa"/>
            <w:shd w:val="clear" w:color="auto" w:fill="auto"/>
          </w:tcPr>
          <w:p w:rsidR="008A139C" w:rsidRPr="007C51D6" w:rsidRDefault="008A139C" w:rsidP="008A139C">
            <w:pPr>
              <w:autoSpaceDE/>
              <w:autoSpaceDN/>
              <w:adjustRightInd/>
              <w:jc w:val="center"/>
              <w:rPr>
                <w:color w:val="000000"/>
                <w:sz w:val="20"/>
                <w:szCs w:val="20"/>
              </w:rPr>
            </w:pPr>
            <w:r w:rsidRPr="007C51D6">
              <w:rPr>
                <w:color w:val="000000"/>
                <w:sz w:val="20"/>
                <w:szCs w:val="20"/>
              </w:rPr>
              <w:t>129,0</w:t>
            </w:r>
          </w:p>
        </w:tc>
        <w:tc>
          <w:tcPr>
            <w:tcW w:w="1012" w:type="dxa"/>
          </w:tcPr>
          <w:p w:rsidR="008A139C" w:rsidRPr="007C51D6" w:rsidRDefault="008A139C" w:rsidP="008A139C">
            <w:pPr>
              <w:autoSpaceDE/>
              <w:autoSpaceDN/>
              <w:adjustRightInd/>
              <w:jc w:val="center"/>
              <w:rPr>
                <w:color w:val="000000"/>
                <w:sz w:val="20"/>
                <w:szCs w:val="20"/>
              </w:rPr>
            </w:pPr>
            <w:r w:rsidRPr="007C51D6">
              <w:rPr>
                <w:color w:val="000000"/>
                <w:sz w:val="20"/>
                <w:szCs w:val="20"/>
              </w:rPr>
              <w:t>95,1</w:t>
            </w:r>
          </w:p>
        </w:tc>
        <w:tc>
          <w:tcPr>
            <w:tcW w:w="1109" w:type="dxa"/>
          </w:tcPr>
          <w:p w:rsidR="008A139C" w:rsidRPr="007C51D6" w:rsidRDefault="008A139C" w:rsidP="008A139C">
            <w:pPr>
              <w:autoSpaceDE/>
              <w:autoSpaceDN/>
              <w:adjustRightInd/>
              <w:jc w:val="center"/>
              <w:rPr>
                <w:color w:val="000000"/>
                <w:sz w:val="20"/>
                <w:szCs w:val="20"/>
              </w:rPr>
            </w:pPr>
            <w:r w:rsidRPr="007C51D6">
              <w:rPr>
                <w:color w:val="000000"/>
                <w:sz w:val="20"/>
                <w:szCs w:val="20"/>
              </w:rPr>
              <w:t>150,9</w:t>
            </w:r>
          </w:p>
        </w:tc>
        <w:tc>
          <w:tcPr>
            <w:tcW w:w="1103" w:type="dxa"/>
          </w:tcPr>
          <w:p w:rsidR="008A139C" w:rsidRPr="007C51D6" w:rsidRDefault="008A139C" w:rsidP="008A139C">
            <w:pPr>
              <w:autoSpaceDE/>
              <w:autoSpaceDN/>
              <w:adjustRightInd/>
              <w:jc w:val="center"/>
              <w:rPr>
                <w:color w:val="000000"/>
                <w:sz w:val="20"/>
                <w:szCs w:val="20"/>
              </w:rPr>
            </w:pPr>
            <w:r w:rsidRPr="007C51D6">
              <w:rPr>
                <w:color w:val="000000"/>
                <w:sz w:val="20"/>
                <w:szCs w:val="20"/>
              </w:rPr>
              <w:t>129,8</w:t>
            </w:r>
          </w:p>
        </w:tc>
        <w:tc>
          <w:tcPr>
            <w:tcW w:w="1103" w:type="dxa"/>
          </w:tcPr>
          <w:p w:rsidR="008A139C" w:rsidRPr="007C51D6" w:rsidRDefault="008A139C" w:rsidP="008A139C">
            <w:pPr>
              <w:autoSpaceDE/>
              <w:autoSpaceDN/>
              <w:adjustRightInd/>
              <w:jc w:val="center"/>
              <w:rPr>
                <w:color w:val="000000"/>
                <w:sz w:val="20"/>
                <w:szCs w:val="20"/>
              </w:rPr>
            </w:pPr>
            <w:r w:rsidRPr="007C51D6">
              <w:rPr>
                <w:color w:val="000000"/>
                <w:sz w:val="20"/>
                <w:szCs w:val="20"/>
              </w:rPr>
              <w:t>193,7</w:t>
            </w:r>
          </w:p>
        </w:tc>
        <w:tc>
          <w:tcPr>
            <w:tcW w:w="1103" w:type="dxa"/>
          </w:tcPr>
          <w:p w:rsidR="008A139C" w:rsidRPr="007C51D6" w:rsidRDefault="008A139C" w:rsidP="008A139C">
            <w:pPr>
              <w:jc w:val="center"/>
              <w:rPr>
                <w:color w:val="000000"/>
                <w:sz w:val="20"/>
                <w:szCs w:val="20"/>
              </w:rPr>
            </w:pPr>
            <w:r w:rsidRPr="007C51D6">
              <w:rPr>
                <w:color w:val="000000"/>
                <w:sz w:val="20"/>
                <w:szCs w:val="20"/>
              </w:rPr>
              <w:t>нет</w:t>
            </w:r>
          </w:p>
          <w:p w:rsidR="008A139C" w:rsidRPr="007C51D6" w:rsidRDefault="008A139C" w:rsidP="008A139C">
            <w:pPr>
              <w:autoSpaceDE/>
              <w:autoSpaceDN/>
              <w:adjustRightInd/>
              <w:jc w:val="center"/>
              <w:rPr>
                <w:color w:val="000000"/>
                <w:sz w:val="20"/>
                <w:szCs w:val="20"/>
              </w:rPr>
            </w:pPr>
            <w:r w:rsidRPr="007C51D6">
              <w:rPr>
                <w:color w:val="000000"/>
                <w:sz w:val="20"/>
                <w:szCs w:val="20"/>
              </w:rPr>
              <w:t>данных</w:t>
            </w:r>
          </w:p>
        </w:tc>
      </w:tr>
      <w:tr w:rsidR="008A139C" w:rsidRPr="007C51D6" w:rsidTr="004472F9">
        <w:trPr>
          <w:trHeight w:val="20"/>
        </w:trPr>
        <w:tc>
          <w:tcPr>
            <w:tcW w:w="4531" w:type="dxa"/>
            <w:shd w:val="clear" w:color="auto" w:fill="auto"/>
            <w:hideMark/>
          </w:tcPr>
          <w:p w:rsidR="008A139C" w:rsidRPr="007C51D6" w:rsidRDefault="008A139C" w:rsidP="008A139C">
            <w:pPr>
              <w:autoSpaceDE/>
              <w:autoSpaceDN/>
              <w:adjustRightInd/>
              <w:rPr>
                <w:color w:val="000000"/>
                <w:sz w:val="20"/>
                <w:szCs w:val="20"/>
              </w:rPr>
            </w:pPr>
            <w:r w:rsidRPr="007C51D6">
              <w:rPr>
                <w:color w:val="000000"/>
                <w:sz w:val="20"/>
                <w:szCs w:val="20"/>
              </w:rPr>
              <w:t>Спасский</w:t>
            </w:r>
          </w:p>
        </w:tc>
        <w:tc>
          <w:tcPr>
            <w:tcW w:w="1012" w:type="dxa"/>
            <w:shd w:val="clear" w:color="auto" w:fill="auto"/>
            <w:hideMark/>
          </w:tcPr>
          <w:p w:rsidR="008A139C" w:rsidRPr="007C51D6" w:rsidRDefault="008A139C" w:rsidP="008A139C">
            <w:pPr>
              <w:autoSpaceDE/>
              <w:autoSpaceDN/>
              <w:adjustRightInd/>
              <w:jc w:val="center"/>
              <w:rPr>
                <w:color w:val="000000"/>
                <w:sz w:val="20"/>
                <w:szCs w:val="20"/>
              </w:rPr>
            </w:pPr>
            <w:r w:rsidRPr="007C51D6">
              <w:rPr>
                <w:color w:val="000000"/>
                <w:sz w:val="20"/>
                <w:szCs w:val="20"/>
              </w:rPr>
              <w:t>194,24</w:t>
            </w:r>
          </w:p>
        </w:tc>
        <w:tc>
          <w:tcPr>
            <w:tcW w:w="1115" w:type="dxa"/>
            <w:shd w:val="clear" w:color="auto" w:fill="auto"/>
            <w:hideMark/>
          </w:tcPr>
          <w:p w:rsidR="008A139C" w:rsidRPr="007C51D6" w:rsidRDefault="008A139C" w:rsidP="008A139C">
            <w:pPr>
              <w:autoSpaceDE/>
              <w:autoSpaceDN/>
              <w:adjustRightInd/>
              <w:jc w:val="center"/>
              <w:rPr>
                <w:color w:val="000000"/>
                <w:sz w:val="20"/>
                <w:szCs w:val="20"/>
              </w:rPr>
            </w:pPr>
            <w:r w:rsidRPr="007C51D6">
              <w:rPr>
                <w:color w:val="000000"/>
                <w:sz w:val="20"/>
                <w:szCs w:val="20"/>
              </w:rPr>
              <w:t>265,77</w:t>
            </w:r>
          </w:p>
        </w:tc>
        <w:tc>
          <w:tcPr>
            <w:tcW w:w="1012" w:type="dxa"/>
            <w:shd w:val="clear" w:color="auto" w:fill="auto"/>
            <w:hideMark/>
          </w:tcPr>
          <w:p w:rsidR="008A139C" w:rsidRPr="007C51D6" w:rsidRDefault="008A139C" w:rsidP="008A139C">
            <w:pPr>
              <w:autoSpaceDE/>
              <w:autoSpaceDN/>
              <w:adjustRightInd/>
              <w:jc w:val="center"/>
              <w:rPr>
                <w:color w:val="000000"/>
                <w:sz w:val="20"/>
                <w:szCs w:val="20"/>
              </w:rPr>
            </w:pPr>
            <w:r w:rsidRPr="007C51D6">
              <w:rPr>
                <w:color w:val="000000"/>
                <w:sz w:val="20"/>
                <w:szCs w:val="20"/>
              </w:rPr>
              <w:t>132,88</w:t>
            </w:r>
          </w:p>
        </w:tc>
        <w:tc>
          <w:tcPr>
            <w:tcW w:w="1011" w:type="dxa"/>
            <w:shd w:val="clear" w:color="auto" w:fill="auto"/>
            <w:hideMark/>
          </w:tcPr>
          <w:p w:rsidR="008A139C" w:rsidRPr="007C51D6" w:rsidRDefault="008A139C" w:rsidP="008A139C">
            <w:pPr>
              <w:autoSpaceDE/>
              <w:autoSpaceDN/>
              <w:adjustRightInd/>
              <w:jc w:val="center"/>
              <w:rPr>
                <w:color w:val="000000"/>
                <w:sz w:val="20"/>
                <w:szCs w:val="20"/>
              </w:rPr>
            </w:pPr>
            <w:r w:rsidRPr="007C51D6">
              <w:rPr>
                <w:color w:val="000000"/>
                <w:sz w:val="20"/>
                <w:szCs w:val="20"/>
              </w:rPr>
              <w:t>202,25</w:t>
            </w:r>
          </w:p>
        </w:tc>
        <w:tc>
          <w:tcPr>
            <w:tcW w:w="1012" w:type="dxa"/>
            <w:shd w:val="clear" w:color="auto" w:fill="auto"/>
          </w:tcPr>
          <w:p w:rsidR="008A139C" w:rsidRPr="007C51D6" w:rsidRDefault="008A139C" w:rsidP="008A139C">
            <w:pPr>
              <w:autoSpaceDE/>
              <w:autoSpaceDN/>
              <w:adjustRightInd/>
              <w:jc w:val="center"/>
              <w:rPr>
                <w:color w:val="000000"/>
                <w:sz w:val="20"/>
                <w:szCs w:val="20"/>
              </w:rPr>
            </w:pPr>
            <w:r w:rsidRPr="007C51D6">
              <w:rPr>
                <w:color w:val="000000"/>
                <w:sz w:val="20"/>
                <w:szCs w:val="20"/>
              </w:rPr>
              <w:t>216,2</w:t>
            </w:r>
          </w:p>
        </w:tc>
        <w:tc>
          <w:tcPr>
            <w:tcW w:w="1012" w:type="dxa"/>
          </w:tcPr>
          <w:p w:rsidR="008A139C" w:rsidRPr="007C51D6" w:rsidRDefault="008A139C" w:rsidP="008A139C">
            <w:pPr>
              <w:autoSpaceDE/>
              <w:autoSpaceDN/>
              <w:adjustRightInd/>
              <w:jc w:val="center"/>
              <w:rPr>
                <w:color w:val="000000"/>
                <w:sz w:val="20"/>
                <w:szCs w:val="20"/>
              </w:rPr>
            </w:pPr>
            <w:r w:rsidRPr="007C51D6">
              <w:rPr>
                <w:color w:val="000000"/>
                <w:sz w:val="20"/>
                <w:szCs w:val="20"/>
              </w:rPr>
              <w:t>153,5</w:t>
            </w:r>
          </w:p>
        </w:tc>
        <w:tc>
          <w:tcPr>
            <w:tcW w:w="1109" w:type="dxa"/>
          </w:tcPr>
          <w:p w:rsidR="008A139C" w:rsidRPr="007C51D6" w:rsidRDefault="008A139C" w:rsidP="008A139C">
            <w:pPr>
              <w:jc w:val="center"/>
              <w:rPr>
                <w:color w:val="000000"/>
                <w:sz w:val="20"/>
                <w:szCs w:val="20"/>
              </w:rPr>
            </w:pPr>
            <w:r w:rsidRPr="007C51D6">
              <w:rPr>
                <w:color w:val="000000"/>
                <w:sz w:val="20"/>
                <w:szCs w:val="20"/>
              </w:rPr>
              <w:t>150,9</w:t>
            </w:r>
          </w:p>
        </w:tc>
        <w:tc>
          <w:tcPr>
            <w:tcW w:w="1103" w:type="dxa"/>
          </w:tcPr>
          <w:p w:rsidR="008A139C" w:rsidRPr="007C51D6" w:rsidRDefault="008A139C" w:rsidP="008A139C">
            <w:pPr>
              <w:jc w:val="center"/>
              <w:rPr>
                <w:color w:val="000000"/>
                <w:sz w:val="20"/>
                <w:szCs w:val="20"/>
              </w:rPr>
            </w:pPr>
            <w:r w:rsidRPr="007C51D6">
              <w:rPr>
                <w:color w:val="000000"/>
                <w:sz w:val="20"/>
                <w:szCs w:val="20"/>
              </w:rPr>
              <w:t>182,0</w:t>
            </w:r>
          </w:p>
        </w:tc>
        <w:tc>
          <w:tcPr>
            <w:tcW w:w="1103" w:type="dxa"/>
          </w:tcPr>
          <w:p w:rsidR="008A139C" w:rsidRPr="007C51D6" w:rsidRDefault="008A139C" w:rsidP="008A139C">
            <w:pPr>
              <w:jc w:val="center"/>
              <w:rPr>
                <w:color w:val="000000"/>
                <w:sz w:val="20"/>
                <w:szCs w:val="20"/>
              </w:rPr>
            </w:pPr>
            <w:r w:rsidRPr="007C51D6">
              <w:rPr>
                <w:color w:val="000000"/>
                <w:sz w:val="20"/>
                <w:szCs w:val="20"/>
              </w:rPr>
              <w:t>145,1</w:t>
            </w:r>
          </w:p>
        </w:tc>
        <w:tc>
          <w:tcPr>
            <w:tcW w:w="1103" w:type="dxa"/>
          </w:tcPr>
          <w:p w:rsidR="008A139C" w:rsidRPr="007C51D6" w:rsidRDefault="008A139C" w:rsidP="008A139C">
            <w:pPr>
              <w:jc w:val="center"/>
              <w:rPr>
                <w:color w:val="000000"/>
                <w:sz w:val="20"/>
                <w:szCs w:val="20"/>
              </w:rPr>
            </w:pPr>
            <w:r w:rsidRPr="007C51D6">
              <w:rPr>
                <w:color w:val="000000"/>
                <w:sz w:val="20"/>
                <w:szCs w:val="20"/>
              </w:rPr>
              <w:t>нет</w:t>
            </w:r>
          </w:p>
          <w:p w:rsidR="008A139C" w:rsidRPr="007C51D6" w:rsidRDefault="008A139C" w:rsidP="008A139C">
            <w:pPr>
              <w:jc w:val="center"/>
              <w:rPr>
                <w:color w:val="000000"/>
                <w:sz w:val="20"/>
                <w:szCs w:val="20"/>
              </w:rPr>
            </w:pPr>
            <w:r w:rsidRPr="007C51D6">
              <w:rPr>
                <w:color w:val="000000"/>
                <w:sz w:val="20"/>
                <w:szCs w:val="20"/>
              </w:rPr>
              <w:t>данных</w:t>
            </w:r>
          </w:p>
        </w:tc>
      </w:tr>
      <w:tr w:rsidR="008A139C" w:rsidRPr="007C51D6" w:rsidTr="004472F9">
        <w:trPr>
          <w:trHeight w:val="20"/>
        </w:trPr>
        <w:tc>
          <w:tcPr>
            <w:tcW w:w="4531" w:type="dxa"/>
            <w:shd w:val="clear" w:color="auto" w:fill="auto"/>
            <w:hideMark/>
          </w:tcPr>
          <w:p w:rsidR="008A139C" w:rsidRPr="007C51D6" w:rsidRDefault="008A139C" w:rsidP="008A139C">
            <w:pPr>
              <w:autoSpaceDE/>
              <w:autoSpaceDN/>
              <w:adjustRightInd/>
              <w:rPr>
                <w:color w:val="000000"/>
                <w:sz w:val="20"/>
                <w:szCs w:val="20"/>
              </w:rPr>
            </w:pPr>
            <w:r w:rsidRPr="007C51D6">
              <w:rPr>
                <w:color w:val="000000"/>
                <w:sz w:val="20"/>
                <w:szCs w:val="20"/>
              </w:rPr>
              <w:t>Тетюшский</w:t>
            </w:r>
          </w:p>
        </w:tc>
        <w:tc>
          <w:tcPr>
            <w:tcW w:w="1012" w:type="dxa"/>
            <w:shd w:val="clear" w:color="auto" w:fill="auto"/>
            <w:hideMark/>
          </w:tcPr>
          <w:p w:rsidR="008A139C" w:rsidRPr="007C51D6" w:rsidRDefault="008A139C" w:rsidP="008A139C">
            <w:pPr>
              <w:autoSpaceDE/>
              <w:autoSpaceDN/>
              <w:adjustRightInd/>
              <w:jc w:val="center"/>
              <w:rPr>
                <w:color w:val="000000"/>
                <w:sz w:val="20"/>
                <w:szCs w:val="20"/>
              </w:rPr>
            </w:pPr>
            <w:r w:rsidRPr="007C51D6">
              <w:rPr>
                <w:color w:val="000000"/>
                <w:sz w:val="20"/>
                <w:szCs w:val="20"/>
              </w:rPr>
              <w:t>259,28</w:t>
            </w:r>
          </w:p>
        </w:tc>
        <w:tc>
          <w:tcPr>
            <w:tcW w:w="1115" w:type="dxa"/>
            <w:shd w:val="clear" w:color="auto" w:fill="auto"/>
            <w:hideMark/>
          </w:tcPr>
          <w:p w:rsidR="008A139C" w:rsidRPr="007C51D6" w:rsidRDefault="008A139C" w:rsidP="008A139C">
            <w:pPr>
              <w:autoSpaceDE/>
              <w:autoSpaceDN/>
              <w:adjustRightInd/>
              <w:jc w:val="center"/>
              <w:rPr>
                <w:color w:val="000000"/>
                <w:sz w:val="20"/>
                <w:szCs w:val="20"/>
              </w:rPr>
            </w:pPr>
            <w:r w:rsidRPr="007C51D6">
              <w:rPr>
                <w:color w:val="000000"/>
                <w:sz w:val="20"/>
                <w:szCs w:val="20"/>
              </w:rPr>
              <w:t>249,69</w:t>
            </w:r>
          </w:p>
        </w:tc>
        <w:tc>
          <w:tcPr>
            <w:tcW w:w="1012" w:type="dxa"/>
            <w:shd w:val="clear" w:color="auto" w:fill="auto"/>
            <w:hideMark/>
          </w:tcPr>
          <w:p w:rsidR="008A139C" w:rsidRPr="007C51D6" w:rsidRDefault="008A139C" w:rsidP="008A139C">
            <w:pPr>
              <w:autoSpaceDE/>
              <w:autoSpaceDN/>
              <w:adjustRightInd/>
              <w:jc w:val="center"/>
              <w:rPr>
                <w:color w:val="000000"/>
                <w:sz w:val="20"/>
                <w:szCs w:val="20"/>
              </w:rPr>
            </w:pPr>
            <w:r w:rsidRPr="007C51D6">
              <w:rPr>
                <w:color w:val="000000"/>
                <w:sz w:val="20"/>
                <w:szCs w:val="20"/>
              </w:rPr>
              <w:t>245,31</w:t>
            </w:r>
          </w:p>
        </w:tc>
        <w:tc>
          <w:tcPr>
            <w:tcW w:w="1011" w:type="dxa"/>
            <w:shd w:val="clear" w:color="auto" w:fill="auto"/>
            <w:hideMark/>
          </w:tcPr>
          <w:p w:rsidR="008A139C" w:rsidRPr="007C51D6" w:rsidRDefault="008A139C" w:rsidP="008A139C">
            <w:pPr>
              <w:autoSpaceDE/>
              <w:autoSpaceDN/>
              <w:adjustRightInd/>
              <w:jc w:val="center"/>
              <w:rPr>
                <w:color w:val="000000"/>
                <w:sz w:val="20"/>
                <w:szCs w:val="20"/>
              </w:rPr>
            </w:pPr>
            <w:r w:rsidRPr="007C51D6">
              <w:rPr>
                <w:color w:val="000000"/>
                <w:sz w:val="20"/>
                <w:szCs w:val="20"/>
              </w:rPr>
              <w:t>187,30</w:t>
            </w:r>
          </w:p>
        </w:tc>
        <w:tc>
          <w:tcPr>
            <w:tcW w:w="1012" w:type="dxa"/>
            <w:shd w:val="clear" w:color="auto" w:fill="auto"/>
          </w:tcPr>
          <w:p w:rsidR="008A139C" w:rsidRPr="007C51D6" w:rsidRDefault="008A139C" w:rsidP="008A139C">
            <w:pPr>
              <w:autoSpaceDE/>
              <w:autoSpaceDN/>
              <w:adjustRightInd/>
              <w:jc w:val="center"/>
              <w:rPr>
                <w:color w:val="000000"/>
                <w:sz w:val="20"/>
                <w:szCs w:val="20"/>
              </w:rPr>
            </w:pPr>
            <w:r w:rsidRPr="007C51D6">
              <w:rPr>
                <w:color w:val="000000"/>
                <w:sz w:val="20"/>
                <w:szCs w:val="20"/>
              </w:rPr>
              <w:t>228,5</w:t>
            </w:r>
          </w:p>
        </w:tc>
        <w:tc>
          <w:tcPr>
            <w:tcW w:w="1012" w:type="dxa"/>
          </w:tcPr>
          <w:p w:rsidR="008A139C" w:rsidRPr="007C51D6" w:rsidRDefault="008A139C" w:rsidP="008A139C">
            <w:pPr>
              <w:autoSpaceDE/>
              <w:autoSpaceDN/>
              <w:adjustRightInd/>
              <w:jc w:val="center"/>
              <w:rPr>
                <w:color w:val="000000"/>
                <w:sz w:val="20"/>
                <w:szCs w:val="20"/>
              </w:rPr>
            </w:pPr>
            <w:r w:rsidRPr="007C51D6">
              <w:rPr>
                <w:color w:val="000000"/>
                <w:sz w:val="20"/>
                <w:szCs w:val="20"/>
              </w:rPr>
              <w:t>215,4</w:t>
            </w:r>
          </w:p>
        </w:tc>
        <w:tc>
          <w:tcPr>
            <w:tcW w:w="1109" w:type="dxa"/>
          </w:tcPr>
          <w:p w:rsidR="008A139C" w:rsidRPr="007C51D6" w:rsidRDefault="008A139C" w:rsidP="008A139C">
            <w:pPr>
              <w:jc w:val="center"/>
              <w:rPr>
                <w:color w:val="000000"/>
                <w:sz w:val="20"/>
                <w:szCs w:val="20"/>
              </w:rPr>
            </w:pPr>
            <w:r w:rsidRPr="007C51D6">
              <w:rPr>
                <w:color w:val="000000"/>
                <w:sz w:val="20"/>
                <w:szCs w:val="20"/>
              </w:rPr>
              <w:t>147,0</w:t>
            </w:r>
          </w:p>
        </w:tc>
        <w:tc>
          <w:tcPr>
            <w:tcW w:w="1103" w:type="dxa"/>
          </w:tcPr>
          <w:p w:rsidR="008A139C" w:rsidRPr="007C51D6" w:rsidRDefault="008A139C" w:rsidP="008A139C">
            <w:pPr>
              <w:jc w:val="center"/>
              <w:rPr>
                <w:color w:val="000000"/>
                <w:sz w:val="20"/>
                <w:szCs w:val="20"/>
              </w:rPr>
            </w:pPr>
            <w:r w:rsidRPr="007C51D6">
              <w:rPr>
                <w:color w:val="000000"/>
                <w:sz w:val="20"/>
                <w:szCs w:val="20"/>
              </w:rPr>
              <w:t>230,5</w:t>
            </w:r>
          </w:p>
        </w:tc>
        <w:tc>
          <w:tcPr>
            <w:tcW w:w="1103" w:type="dxa"/>
          </w:tcPr>
          <w:p w:rsidR="008A139C" w:rsidRPr="007C51D6" w:rsidRDefault="008A139C" w:rsidP="008A139C">
            <w:pPr>
              <w:jc w:val="center"/>
              <w:rPr>
                <w:color w:val="000000"/>
                <w:sz w:val="20"/>
                <w:szCs w:val="20"/>
              </w:rPr>
            </w:pPr>
            <w:r w:rsidRPr="007C51D6">
              <w:rPr>
                <w:color w:val="000000"/>
                <w:sz w:val="20"/>
                <w:szCs w:val="20"/>
              </w:rPr>
              <w:t>238,8</w:t>
            </w:r>
          </w:p>
        </w:tc>
        <w:tc>
          <w:tcPr>
            <w:tcW w:w="1103" w:type="dxa"/>
          </w:tcPr>
          <w:p w:rsidR="008A139C" w:rsidRPr="007C51D6" w:rsidRDefault="008A139C" w:rsidP="008A139C">
            <w:pPr>
              <w:jc w:val="center"/>
              <w:rPr>
                <w:color w:val="000000"/>
                <w:sz w:val="20"/>
                <w:szCs w:val="20"/>
              </w:rPr>
            </w:pPr>
            <w:r w:rsidRPr="007C51D6">
              <w:rPr>
                <w:color w:val="000000"/>
                <w:sz w:val="20"/>
                <w:szCs w:val="20"/>
              </w:rPr>
              <w:t>нет</w:t>
            </w:r>
          </w:p>
          <w:p w:rsidR="008A139C" w:rsidRPr="007C51D6" w:rsidRDefault="008A139C" w:rsidP="008A139C">
            <w:pPr>
              <w:jc w:val="center"/>
              <w:rPr>
                <w:color w:val="000000"/>
                <w:sz w:val="20"/>
                <w:szCs w:val="20"/>
              </w:rPr>
            </w:pPr>
            <w:r w:rsidRPr="007C51D6">
              <w:rPr>
                <w:color w:val="000000"/>
                <w:sz w:val="20"/>
                <w:szCs w:val="20"/>
              </w:rPr>
              <w:t>данных</w:t>
            </w:r>
          </w:p>
        </w:tc>
      </w:tr>
      <w:tr w:rsidR="008A139C" w:rsidRPr="007C51D6" w:rsidTr="004472F9">
        <w:trPr>
          <w:trHeight w:val="20"/>
        </w:trPr>
        <w:tc>
          <w:tcPr>
            <w:tcW w:w="4531" w:type="dxa"/>
            <w:shd w:val="clear" w:color="auto" w:fill="auto"/>
            <w:hideMark/>
          </w:tcPr>
          <w:p w:rsidR="008A139C" w:rsidRPr="007C51D6" w:rsidRDefault="008A139C" w:rsidP="008A139C">
            <w:pPr>
              <w:autoSpaceDE/>
              <w:autoSpaceDN/>
              <w:adjustRightInd/>
              <w:rPr>
                <w:color w:val="000000"/>
                <w:sz w:val="20"/>
                <w:szCs w:val="20"/>
              </w:rPr>
            </w:pPr>
            <w:r w:rsidRPr="007C51D6">
              <w:rPr>
                <w:color w:val="000000"/>
                <w:sz w:val="20"/>
                <w:szCs w:val="20"/>
              </w:rPr>
              <w:t>Тукаевский</w:t>
            </w:r>
          </w:p>
        </w:tc>
        <w:tc>
          <w:tcPr>
            <w:tcW w:w="1012" w:type="dxa"/>
            <w:shd w:val="clear" w:color="auto" w:fill="auto"/>
            <w:hideMark/>
          </w:tcPr>
          <w:p w:rsidR="008A139C" w:rsidRPr="007C51D6" w:rsidRDefault="008A139C" w:rsidP="008A139C">
            <w:pPr>
              <w:autoSpaceDE/>
              <w:autoSpaceDN/>
              <w:adjustRightInd/>
              <w:jc w:val="center"/>
              <w:rPr>
                <w:color w:val="000000"/>
                <w:sz w:val="20"/>
                <w:szCs w:val="20"/>
              </w:rPr>
            </w:pPr>
            <w:r w:rsidRPr="007C51D6">
              <w:rPr>
                <w:color w:val="000000"/>
                <w:sz w:val="20"/>
                <w:szCs w:val="20"/>
              </w:rPr>
              <w:t>161,08</w:t>
            </w:r>
          </w:p>
        </w:tc>
        <w:tc>
          <w:tcPr>
            <w:tcW w:w="1115" w:type="dxa"/>
            <w:shd w:val="clear" w:color="auto" w:fill="auto"/>
            <w:hideMark/>
          </w:tcPr>
          <w:p w:rsidR="008A139C" w:rsidRPr="007C51D6" w:rsidRDefault="008A139C" w:rsidP="008A139C">
            <w:pPr>
              <w:autoSpaceDE/>
              <w:autoSpaceDN/>
              <w:adjustRightInd/>
              <w:jc w:val="center"/>
              <w:rPr>
                <w:color w:val="000000"/>
                <w:sz w:val="20"/>
                <w:szCs w:val="20"/>
              </w:rPr>
            </w:pPr>
            <w:r w:rsidRPr="007C51D6">
              <w:rPr>
                <w:color w:val="000000"/>
                <w:sz w:val="20"/>
                <w:szCs w:val="20"/>
              </w:rPr>
              <w:t>175,21</w:t>
            </w:r>
          </w:p>
        </w:tc>
        <w:tc>
          <w:tcPr>
            <w:tcW w:w="1012" w:type="dxa"/>
            <w:shd w:val="clear" w:color="auto" w:fill="auto"/>
            <w:hideMark/>
          </w:tcPr>
          <w:p w:rsidR="008A139C" w:rsidRPr="007C51D6" w:rsidRDefault="008A139C" w:rsidP="008A139C">
            <w:pPr>
              <w:autoSpaceDE/>
              <w:autoSpaceDN/>
              <w:adjustRightInd/>
              <w:jc w:val="center"/>
              <w:rPr>
                <w:color w:val="000000"/>
                <w:sz w:val="20"/>
                <w:szCs w:val="20"/>
              </w:rPr>
            </w:pPr>
            <w:r w:rsidRPr="007C51D6">
              <w:rPr>
                <w:color w:val="000000"/>
                <w:sz w:val="20"/>
                <w:szCs w:val="20"/>
              </w:rPr>
              <w:t>148,07</w:t>
            </w:r>
          </w:p>
        </w:tc>
        <w:tc>
          <w:tcPr>
            <w:tcW w:w="1011" w:type="dxa"/>
            <w:shd w:val="clear" w:color="auto" w:fill="auto"/>
            <w:hideMark/>
          </w:tcPr>
          <w:p w:rsidR="008A139C" w:rsidRPr="007C51D6" w:rsidRDefault="008A139C" w:rsidP="008A139C">
            <w:pPr>
              <w:autoSpaceDE/>
              <w:autoSpaceDN/>
              <w:adjustRightInd/>
              <w:jc w:val="center"/>
              <w:rPr>
                <w:color w:val="000000"/>
                <w:sz w:val="20"/>
                <w:szCs w:val="20"/>
              </w:rPr>
            </w:pPr>
            <w:r w:rsidRPr="007C51D6">
              <w:rPr>
                <w:color w:val="000000"/>
                <w:sz w:val="20"/>
                <w:szCs w:val="20"/>
              </w:rPr>
              <w:t>204,27</w:t>
            </w:r>
          </w:p>
        </w:tc>
        <w:tc>
          <w:tcPr>
            <w:tcW w:w="1012" w:type="dxa"/>
            <w:shd w:val="clear" w:color="auto" w:fill="auto"/>
          </w:tcPr>
          <w:p w:rsidR="008A139C" w:rsidRPr="007C51D6" w:rsidRDefault="008A139C" w:rsidP="008A139C">
            <w:pPr>
              <w:autoSpaceDE/>
              <w:autoSpaceDN/>
              <w:adjustRightInd/>
              <w:jc w:val="center"/>
              <w:rPr>
                <w:color w:val="000000"/>
                <w:sz w:val="20"/>
                <w:szCs w:val="20"/>
              </w:rPr>
            </w:pPr>
            <w:r w:rsidRPr="007C51D6">
              <w:rPr>
                <w:color w:val="000000"/>
                <w:sz w:val="20"/>
                <w:szCs w:val="20"/>
              </w:rPr>
              <w:t>162,9</w:t>
            </w:r>
          </w:p>
        </w:tc>
        <w:tc>
          <w:tcPr>
            <w:tcW w:w="1012" w:type="dxa"/>
          </w:tcPr>
          <w:p w:rsidR="008A139C" w:rsidRPr="007C51D6" w:rsidRDefault="008A139C" w:rsidP="008A139C">
            <w:pPr>
              <w:autoSpaceDE/>
              <w:autoSpaceDN/>
              <w:adjustRightInd/>
              <w:jc w:val="center"/>
              <w:rPr>
                <w:color w:val="000000"/>
                <w:sz w:val="20"/>
                <w:szCs w:val="20"/>
              </w:rPr>
            </w:pPr>
            <w:r w:rsidRPr="007C51D6">
              <w:rPr>
                <w:color w:val="000000"/>
                <w:sz w:val="20"/>
                <w:szCs w:val="20"/>
              </w:rPr>
              <w:t>191,1</w:t>
            </w:r>
          </w:p>
        </w:tc>
        <w:tc>
          <w:tcPr>
            <w:tcW w:w="1109" w:type="dxa"/>
          </w:tcPr>
          <w:p w:rsidR="008A139C" w:rsidRPr="007C51D6" w:rsidRDefault="008A139C" w:rsidP="008A139C">
            <w:pPr>
              <w:jc w:val="center"/>
              <w:rPr>
                <w:color w:val="000000"/>
                <w:sz w:val="20"/>
                <w:szCs w:val="20"/>
              </w:rPr>
            </w:pPr>
            <w:r w:rsidRPr="007C51D6">
              <w:rPr>
                <w:color w:val="000000"/>
                <w:sz w:val="20"/>
                <w:szCs w:val="20"/>
              </w:rPr>
              <w:t>187,1</w:t>
            </w:r>
          </w:p>
        </w:tc>
        <w:tc>
          <w:tcPr>
            <w:tcW w:w="1103" w:type="dxa"/>
          </w:tcPr>
          <w:p w:rsidR="008A139C" w:rsidRPr="007C51D6" w:rsidRDefault="008A139C" w:rsidP="008A139C">
            <w:pPr>
              <w:jc w:val="center"/>
              <w:rPr>
                <w:color w:val="000000"/>
                <w:sz w:val="20"/>
                <w:szCs w:val="20"/>
              </w:rPr>
            </w:pPr>
            <w:r w:rsidRPr="007C51D6">
              <w:rPr>
                <w:color w:val="000000"/>
                <w:sz w:val="20"/>
                <w:szCs w:val="20"/>
              </w:rPr>
              <w:t>145,2</w:t>
            </w:r>
          </w:p>
        </w:tc>
        <w:tc>
          <w:tcPr>
            <w:tcW w:w="1103" w:type="dxa"/>
          </w:tcPr>
          <w:p w:rsidR="008A139C" w:rsidRPr="007C51D6" w:rsidRDefault="008A139C" w:rsidP="008A139C">
            <w:pPr>
              <w:jc w:val="center"/>
              <w:rPr>
                <w:color w:val="000000"/>
                <w:sz w:val="20"/>
                <w:szCs w:val="20"/>
              </w:rPr>
            </w:pPr>
            <w:r w:rsidRPr="007C51D6">
              <w:rPr>
                <w:color w:val="000000"/>
                <w:sz w:val="20"/>
                <w:szCs w:val="20"/>
              </w:rPr>
              <w:t>146,9</w:t>
            </w:r>
          </w:p>
        </w:tc>
        <w:tc>
          <w:tcPr>
            <w:tcW w:w="1103" w:type="dxa"/>
          </w:tcPr>
          <w:p w:rsidR="008A139C" w:rsidRPr="007C51D6" w:rsidRDefault="008A139C" w:rsidP="008A139C">
            <w:pPr>
              <w:jc w:val="center"/>
              <w:rPr>
                <w:color w:val="000000"/>
                <w:sz w:val="20"/>
                <w:szCs w:val="20"/>
              </w:rPr>
            </w:pPr>
            <w:r w:rsidRPr="007C51D6">
              <w:rPr>
                <w:color w:val="000000"/>
                <w:sz w:val="20"/>
                <w:szCs w:val="20"/>
              </w:rPr>
              <w:t>нет</w:t>
            </w:r>
          </w:p>
          <w:p w:rsidR="008A139C" w:rsidRPr="007C51D6" w:rsidRDefault="008A139C" w:rsidP="008A139C">
            <w:pPr>
              <w:jc w:val="center"/>
              <w:rPr>
                <w:color w:val="000000"/>
                <w:sz w:val="20"/>
                <w:szCs w:val="20"/>
              </w:rPr>
            </w:pPr>
            <w:r w:rsidRPr="007C51D6">
              <w:rPr>
                <w:color w:val="000000"/>
                <w:sz w:val="20"/>
                <w:szCs w:val="20"/>
              </w:rPr>
              <w:t>данных</w:t>
            </w:r>
          </w:p>
        </w:tc>
      </w:tr>
      <w:tr w:rsidR="008A139C" w:rsidRPr="007C51D6" w:rsidTr="004472F9">
        <w:trPr>
          <w:trHeight w:val="20"/>
        </w:trPr>
        <w:tc>
          <w:tcPr>
            <w:tcW w:w="4531" w:type="dxa"/>
            <w:shd w:val="clear" w:color="auto" w:fill="auto"/>
            <w:hideMark/>
          </w:tcPr>
          <w:p w:rsidR="008A139C" w:rsidRPr="007C51D6" w:rsidRDefault="008A139C" w:rsidP="008A139C">
            <w:pPr>
              <w:autoSpaceDE/>
              <w:autoSpaceDN/>
              <w:adjustRightInd/>
              <w:rPr>
                <w:color w:val="000000"/>
                <w:sz w:val="20"/>
                <w:szCs w:val="20"/>
              </w:rPr>
            </w:pPr>
            <w:r w:rsidRPr="007C51D6">
              <w:rPr>
                <w:color w:val="000000"/>
                <w:sz w:val="20"/>
                <w:szCs w:val="20"/>
              </w:rPr>
              <w:t>Тюлячинский</w:t>
            </w:r>
          </w:p>
        </w:tc>
        <w:tc>
          <w:tcPr>
            <w:tcW w:w="1012" w:type="dxa"/>
            <w:shd w:val="clear" w:color="auto" w:fill="auto"/>
            <w:hideMark/>
          </w:tcPr>
          <w:p w:rsidR="008A139C" w:rsidRPr="007C51D6" w:rsidRDefault="008A139C" w:rsidP="008A139C">
            <w:pPr>
              <w:autoSpaceDE/>
              <w:autoSpaceDN/>
              <w:adjustRightInd/>
              <w:jc w:val="center"/>
              <w:rPr>
                <w:color w:val="000000"/>
                <w:sz w:val="20"/>
                <w:szCs w:val="20"/>
              </w:rPr>
            </w:pPr>
            <w:r w:rsidRPr="007C51D6">
              <w:rPr>
                <w:color w:val="000000"/>
                <w:sz w:val="20"/>
                <w:szCs w:val="20"/>
              </w:rPr>
              <w:t>185,48</w:t>
            </w:r>
          </w:p>
        </w:tc>
        <w:tc>
          <w:tcPr>
            <w:tcW w:w="1115" w:type="dxa"/>
            <w:shd w:val="clear" w:color="auto" w:fill="auto"/>
            <w:hideMark/>
          </w:tcPr>
          <w:p w:rsidR="008A139C" w:rsidRPr="007C51D6" w:rsidRDefault="008A139C" w:rsidP="008A139C">
            <w:pPr>
              <w:autoSpaceDE/>
              <w:autoSpaceDN/>
              <w:adjustRightInd/>
              <w:jc w:val="center"/>
              <w:rPr>
                <w:color w:val="000000"/>
                <w:sz w:val="20"/>
                <w:szCs w:val="20"/>
              </w:rPr>
            </w:pPr>
            <w:r w:rsidRPr="007C51D6">
              <w:rPr>
                <w:color w:val="000000"/>
                <w:sz w:val="20"/>
                <w:szCs w:val="20"/>
              </w:rPr>
              <w:t>136,21</w:t>
            </w:r>
          </w:p>
        </w:tc>
        <w:tc>
          <w:tcPr>
            <w:tcW w:w="1012" w:type="dxa"/>
            <w:shd w:val="clear" w:color="auto" w:fill="auto"/>
            <w:hideMark/>
          </w:tcPr>
          <w:p w:rsidR="008A139C" w:rsidRPr="007C51D6" w:rsidRDefault="008A139C" w:rsidP="008A139C">
            <w:pPr>
              <w:autoSpaceDE/>
              <w:autoSpaceDN/>
              <w:adjustRightInd/>
              <w:jc w:val="center"/>
              <w:rPr>
                <w:color w:val="000000"/>
                <w:sz w:val="20"/>
                <w:szCs w:val="20"/>
              </w:rPr>
            </w:pPr>
            <w:r w:rsidRPr="007C51D6">
              <w:rPr>
                <w:color w:val="000000"/>
                <w:sz w:val="20"/>
                <w:szCs w:val="20"/>
              </w:rPr>
              <w:t>229,41</w:t>
            </w:r>
          </w:p>
        </w:tc>
        <w:tc>
          <w:tcPr>
            <w:tcW w:w="1011" w:type="dxa"/>
            <w:shd w:val="clear" w:color="auto" w:fill="auto"/>
            <w:hideMark/>
          </w:tcPr>
          <w:p w:rsidR="008A139C" w:rsidRPr="007C51D6" w:rsidRDefault="008A139C" w:rsidP="008A139C">
            <w:pPr>
              <w:autoSpaceDE/>
              <w:autoSpaceDN/>
              <w:adjustRightInd/>
              <w:jc w:val="center"/>
              <w:rPr>
                <w:color w:val="000000"/>
                <w:sz w:val="20"/>
                <w:szCs w:val="20"/>
              </w:rPr>
            </w:pPr>
            <w:r w:rsidRPr="007C51D6">
              <w:rPr>
                <w:color w:val="000000"/>
                <w:sz w:val="20"/>
                <w:szCs w:val="20"/>
              </w:rPr>
              <w:t>237,38</w:t>
            </w:r>
          </w:p>
        </w:tc>
        <w:tc>
          <w:tcPr>
            <w:tcW w:w="1012" w:type="dxa"/>
            <w:shd w:val="clear" w:color="auto" w:fill="auto"/>
          </w:tcPr>
          <w:p w:rsidR="008A139C" w:rsidRPr="007C51D6" w:rsidRDefault="008A139C" w:rsidP="008A139C">
            <w:pPr>
              <w:autoSpaceDE/>
              <w:autoSpaceDN/>
              <w:adjustRightInd/>
              <w:jc w:val="center"/>
              <w:rPr>
                <w:color w:val="000000"/>
                <w:sz w:val="20"/>
                <w:szCs w:val="20"/>
              </w:rPr>
            </w:pPr>
            <w:r w:rsidRPr="007C51D6">
              <w:rPr>
                <w:color w:val="000000"/>
                <w:sz w:val="20"/>
                <w:szCs w:val="20"/>
              </w:rPr>
              <w:t>138,2</w:t>
            </w:r>
          </w:p>
        </w:tc>
        <w:tc>
          <w:tcPr>
            <w:tcW w:w="1012" w:type="dxa"/>
          </w:tcPr>
          <w:p w:rsidR="008A139C" w:rsidRPr="007C51D6" w:rsidRDefault="008A139C" w:rsidP="008A139C">
            <w:pPr>
              <w:autoSpaceDE/>
              <w:autoSpaceDN/>
              <w:adjustRightInd/>
              <w:jc w:val="center"/>
              <w:rPr>
                <w:color w:val="000000"/>
                <w:sz w:val="20"/>
                <w:szCs w:val="20"/>
              </w:rPr>
            </w:pPr>
            <w:r w:rsidRPr="007C51D6">
              <w:rPr>
                <w:color w:val="000000"/>
                <w:sz w:val="20"/>
                <w:szCs w:val="20"/>
              </w:rPr>
              <w:t>175,2</w:t>
            </w:r>
          </w:p>
        </w:tc>
        <w:tc>
          <w:tcPr>
            <w:tcW w:w="1109" w:type="dxa"/>
          </w:tcPr>
          <w:p w:rsidR="008A139C" w:rsidRPr="007C51D6" w:rsidRDefault="008A139C" w:rsidP="008A139C">
            <w:pPr>
              <w:jc w:val="center"/>
              <w:rPr>
                <w:color w:val="000000"/>
                <w:sz w:val="20"/>
                <w:szCs w:val="20"/>
              </w:rPr>
            </w:pPr>
            <w:r w:rsidRPr="007C51D6">
              <w:rPr>
                <w:color w:val="000000"/>
                <w:sz w:val="20"/>
                <w:szCs w:val="20"/>
              </w:rPr>
              <w:t>162,4</w:t>
            </w:r>
          </w:p>
        </w:tc>
        <w:tc>
          <w:tcPr>
            <w:tcW w:w="1103" w:type="dxa"/>
          </w:tcPr>
          <w:p w:rsidR="008A139C" w:rsidRPr="007C51D6" w:rsidRDefault="008A139C" w:rsidP="008A139C">
            <w:pPr>
              <w:jc w:val="center"/>
              <w:rPr>
                <w:color w:val="000000"/>
                <w:sz w:val="20"/>
                <w:szCs w:val="20"/>
              </w:rPr>
            </w:pPr>
            <w:r w:rsidRPr="007C51D6">
              <w:rPr>
                <w:color w:val="000000"/>
                <w:sz w:val="20"/>
                <w:szCs w:val="20"/>
              </w:rPr>
              <w:t>221,5</w:t>
            </w:r>
          </w:p>
        </w:tc>
        <w:tc>
          <w:tcPr>
            <w:tcW w:w="1103" w:type="dxa"/>
          </w:tcPr>
          <w:p w:rsidR="008A139C" w:rsidRPr="007C51D6" w:rsidRDefault="008A139C" w:rsidP="008A139C">
            <w:pPr>
              <w:jc w:val="center"/>
              <w:rPr>
                <w:color w:val="000000"/>
                <w:sz w:val="20"/>
                <w:szCs w:val="20"/>
              </w:rPr>
            </w:pPr>
            <w:r w:rsidRPr="007C51D6">
              <w:rPr>
                <w:color w:val="000000"/>
                <w:sz w:val="20"/>
                <w:szCs w:val="20"/>
              </w:rPr>
              <w:t>163,4</w:t>
            </w:r>
          </w:p>
        </w:tc>
        <w:tc>
          <w:tcPr>
            <w:tcW w:w="1103" w:type="dxa"/>
          </w:tcPr>
          <w:p w:rsidR="008A139C" w:rsidRPr="007C51D6" w:rsidRDefault="008A139C" w:rsidP="008A139C">
            <w:pPr>
              <w:jc w:val="center"/>
              <w:rPr>
                <w:color w:val="000000"/>
                <w:sz w:val="20"/>
                <w:szCs w:val="20"/>
              </w:rPr>
            </w:pPr>
            <w:r w:rsidRPr="007C51D6">
              <w:rPr>
                <w:color w:val="000000"/>
                <w:sz w:val="20"/>
                <w:szCs w:val="20"/>
              </w:rPr>
              <w:t>нет</w:t>
            </w:r>
          </w:p>
          <w:p w:rsidR="008A139C" w:rsidRPr="007C51D6" w:rsidRDefault="008A139C" w:rsidP="008A139C">
            <w:pPr>
              <w:jc w:val="center"/>
              <w:rPr>
                <w:color w:val="000000"/>
                <w:sz w:val="20"/>
                <w:szCs w:val="20"/>
              </w:rPr>
            </w:pPr>
            <w:r w:rsidRPr="007C51D6">
              <w:rPr>
                <w:color w:val="000000"/>
                <w:sz w:val="20"/>
                <w:szCs w:val="20"/>
              </w:rPr>
              <w:t>данных</w:t>
            </w:r>
          </w:p>
        </w:tc>
      </w:tr>
      <w:tr w:rsidR="008A139C" w:rsidRPr="007C51D6" w:rsidTr="004472F9">
        <w:trPr>
          <w:trHeight w:val="20"/>
        </w:trPr>
        <w:tc>
          <w:tcPr>
            <w:tcW w:w="4531" w:type="dxa"/>
            <w:shd w:val="clear" w:color="auto" w:fill="auto"/>
            <w:hideMark/>
          </w:tcPr>
          <w:p w:rsidR="008A139C" w:rsidRPr="007C51D6" w:rsidRDefault="008A139C" w:rsidP="008A139C">
            <w:pPr>
              <w:autoSpaceDE/>
              <w:autoSpaceDN/>
              <w:adjustRightInd/>
              <w:rPr>
                <w:color w:val="000000"/>
                <w:sz w:val="20"/>
                <w:szCs w:val="20"/>
              </w:rPr>
            </w:pPr>
            <w:r w:rsidRPr="007C51D6">
              <w:rPr>
                <w:color w:val="000000"/>
                <w:sz w:val="20"/>
                <w:szCs w:val="20"/>
              </w:rPr>
              <w:t>Черемшанский</w:t>
            </w:r>
          </w:p>
        </w:tc>
        <w:tc>
          <w:tcPr>
            <w:tcW w:w="1012" w:type="dxa"/>
            <w:shd w:val="clear" w:color="auto" w:fill="auto"/>
            <w:hideMark/>
          </w:tcPr>
          <w:p w:rsidR="008A139C" w:rsidRPr="007C51D6" w:rsidRDefault="008A139C" w:rsidP="008A139C">
            <w:pPr>
              <w:autoSpaceDE/>
              <w:autoSpaceDN/>
              <w:adjustRightInd/>
              <w:jc w:val="center"/>
              <w:rPr>
                <w:color w:val="000000"/>
                <w:sz w:val="20"/>
                <w:szCs w:val="20"/>
              </w:rPr>
            </w:pPr>
            <w:r w:rsidRPr="007C51D6">
              <w:rPr>
                <w:color w:val="000000"/>
                <w:sz w:val="20"/>
                <w:szCs w:val="20"/>
              </w:rPr>
              <w:t>234,36</w:t>
            </w:r>
          </w:p>
        </w:tc>
        <w:tc>
          <w:tcPr>
            <w:tcW w:w="1115" w:type="dxa"/>
            <w:shd w:val="clear" w:color="auto" w:fill="auto"/>
            <w:hideMark/>
          </w:tcPr>
          <w:p w:rsidR="008A139C" w:rsidRPr="007C51D6" w:rsidRDefault="008A139C" w:rsidP="008A139C">
            <w:pPr>
              <w:autoSpaceDE/>
              <w:autoSpaceDN/>
              <w:adjustRightInd/>
              <w:jc w:val="center"/>
              <w:rPr>
                <w:color w:val="000000"/>
                <w:sz w:val="20"/>
                <w:szCs w:val="20"/>
              </w:rPr>
            </w:pPr>
            <w:r w:rsidRPr="007C51D6">
              <w:rPr>
                <w:color w:val="000000"/>
                <w:sz w:val="20"/>
                <w:szCs w:val="20"/>
              </w:rPr>
              <w:t>165,20</w:t>
            </w:r>
          </w:p>
        </w:tc>
        <w:tc>
          <w:tcPr>
            <w:tcW w:w="1012" w:type="dxa"/>
            <w:shd w:val="clear" w:color="auto" w:fill="auto"/>
            <w:hideMark/>
          </w:tcPr>
          <w:p w:rsidR="008A139C" w:rsidRPr="007C51D6" w:rsidRDefault="008A139C" w:rsidP="008A139C">
            <w:pPr>
              <w:autoSpaceDE/>
              <w:autoSpaceDN/>
              <w:adjustRightInd/>
              <w:jc w:val="center"/>
              <w:rPr>
                <w:color w:val="000000"/>
                <w:sz w:val="20"/>
                <w:szCs w:val="20"/>
              </w:rPr>
            </w:pPr>
            <w:r w:rsidRPr="007C51D6">
              <w:rPr>
                <w:color w:val="000000"/>
                <w:sz w:val="20"/>
                <w:szCs w:val="20"/>
              </w:rPr>
              <w:t>134,23</w:t>
            </w:r>
          </w:p>
        </w:tc>
        <w:tc>
          <w:tcPr>
            <w:tcW w:w="1011" w:type="dxa"/>
            <w:shd w:val="clear" w:color="auto" w:fill="auto"/>
            <w:hideMark/>
          </w:tcPr>
          <w:p w:rsidR="008A139C" w:rsidRPr="007C51D6" w:rsidRDefault="008A139C" w:rsidP="008A139C">
            <w:pPr>
              <w:autoSpaceDE/>
              <w:autoSpaceDN/>
              <w:adjustRightInd/>
              <w:jc w:val="center"/>
              <w:rPr>
                <w:color w:val="000000"/>
                <w:sz w:val="20"/>
                <w:szCs w:val="20"/>
              </w:rPr>
            </w:pPr>
            <w:r w:rsidRPr="007C51D6">
              <w:rPr>
                <w:color w:val="000000"/>
                <w:sz w:val="20"/>
                <w:szCs w:val="20"/>
              </w:rPr>
              <w:t>281,98</w:t>
            </w:r>
          </w:p>
        </w:tc>
        <w:tc>
          <w:tcPr>
            <w:tcW w:w="1012" w:type="dxa"/>
            <w:shd w:val="clear" w:color="auto" w:fill="auto"/>
          </w:tcPr>
          <w:p w:rsidR="008A139C" w:rsidRPr="007C51D6" w:rsidRDefault="008A139C" w:rsidP="008A139C">
            <w:pPr>
              <w:autoSpaceDE/>
              <w:autoSpaceDN/>
              <w:adjustRightInd/>
              <w:jc w:val="center"/>
              <w:rPr>
                <w:color w:val="000000"/>
                <w:sz w:val="20"/>
                <w:szCs w:val="20"/>
              </w:rPr>
            </w:pPr>
            <w:r w:rsidRPr="007C51D6">
              <w:rPr>
                <w:color w:val="000000"/>
                <w:sz w:val="20"/>
                <w:szCs w:val="20"/>
              </w:rPr>
              <w:t>166,9</w:t>
            </w:r>
          </w:p>
        </w:tc>
        <w:tc>
          <w:tcPr>
            <w:tcW w:w="1012" w:type="dxa"/>
          </w:tcPr>
          <w:p w:rsidR="008A139C" w:rsidRPr="007C51D6" w:rsidRDefault="008A139C" w:rsidP="008A139C">
            <w:pPr>
              <w:autoSpaceDE/>
              <w:autoSpaceDN/>
              <w:adjustRightInd/>
              <w:jc w:val="center"/>
              <w:rPr>
                <w:color w:val="000000"/>
                <w:sz w:val="20"/>
                <w:szCs w:val="20"/>
              </w:rPr>
            </w:pPr>
            <w:r w:rsidRPr="007C51D6">
              <w:rPr>
                <w:color w:val="000000"/>
                <w:sz w:val="20"/>
                <w:szCs w:val="20"/>
              </w:rPr>
              <w:t>131,7</w:t>
            </w:r>
          </w:p>
        </w:tc>
        <w:tc>
          <w:tcPr>
            <w:tcW w:w="1109" w:type="dxa"/>
          </w:tcPr>
          <w:p w:rsidR="008A139C" w:rsidRPr="007C51D6" w:rsidRDefault="008A139C" w:rsidP="008A139C">
            <w:pPr>
              <w:autoSpaceDE/>
              <w:autoSpaceDN/>
              <w:adjustRightInd/>
              <w:jc w:val="center"/>
              <w:rPr>
                <w:color w:val="000000"/>
                <w:sz w:val="20"/>
                <w:szCs w:val="20"/>
              </w:rPr>
            </w:pPr>
            <w:r w:rsidRPr="007C51D6">
              <w:rPr>
                <w:color w:val="000000"/>
                <w:sz w:val="20"/>
                <w:szCs w:val="20"/>
              </w:rPr>
              <w:t>178,8</w:t>
            </w:r>
          </w:p>
        </w:tc>
        <w:tc>
          <w:tcPr>
            <w:tcW w:w="1103" w:type="dxa"/>
          </w:tcPr>
          <w:p w:rsidR="008A139C" w:rsidRPr="007C51D6" w:rsidRDefault="008A139C" w:rsidP="008A139C">
            <w:pPr>
              <w:autoSpaceDE/>
              <w:autoSpaceDN/>
              <w:adjustRightInd/>
              <w:jc w:val="center"/>
              <w:rPr>
                <w:color w:val="000000"/>
                <w:sz w:val="20"/>
                <w:szCs w:val="20"/>
              </w:rPr>
            </w:pPr>
            <w:r w:rsidRPr="007C51D6">
              <w:rPr>
                <w:color w:val="000000"/>
                <w:sz w:val="20"/>
                <w:szCs w:val="20"/>
              </w:rPr>
              <w:t>184,4</w:t>
            </w:r>
          </w:p>
        </w:tc>
        <w:tc>
          <w:tcPr>
            <w:tcW w:w="1103" w:type="dxa"/>
          </w:tcPr>
          <w:p w:rsidR="008A139C" w:rsidRPr="007C51D6" w:rsidRDefault="008A139C" w:rsidP="008A139C">
            <w:pPr>
              <w:autoSpaceDE/>
              <w:autoSpaceDN/>
              <w:adjustRightInd/>
              <w:jc w:val="center"/>
              <w:rPr>
                <w:color w:val="000000"/>
                <w:sz w:val="20"/>
                <w:szCs w:val="20"/>
              </w:rPr>
            </w:pPr>
            <w:r w:rsidRPr="007C51D6">
              <w:rPr>
                <w:color w:val="000000"/>
                <w:sz w:val="20"/>
                <w:szCs w:val="20"/>
              </w:rPr>
              <w:t>219,1</w:t>
            </w:r>
          </w:p>
        </w:tc>
        <w:tc>
          <w:tcPr>
            <w:tcW w:w="1103" w:type="dxa"/>
          </w:tcPr>
          <w:p w:rsidR="008A139C" w:rsidRPr="007C51D6" w:rsidRDefault="008A139C" w:rsidP="008A139C">
            <w:pPr>
              <w:jc w:val="center"/>
              <w:rPr>
                <w:color w:val="000000"/>
                <w:sz w:val="20"/>
                <w:szCs w:val="20"/>
              </w:rPr>
            </w:pPr>
            <w:r w:rsidRPr="007C51D6">
              <w:rPr>
                <w:color w:val="000000"/>
                <w:sz w:val="20"/>
                <w:szCs w:val="20"/>
              </w:rPr>
              <w:t>нет</w:t>
            </w:r>
          </w:p>
          <w:p w:rsidR="008A139C" w:rsidRPr="007C51D6" w:rsidRDefault="008A139C" w:rsidP="008A139C">
            <w:pPr>
              <w:autoSpaceDE/>
              <w:autoSpaceDN/>
              <w:adjustRightInd/>
              <w:jc w:val="center"/>
              <w:rPr>
                <w:color w:val="000000"/>
                <w:sz w:val="20"/>
                <w:szCs w:val="20"/>
              </w:rPr>
            </w:pPr>
            <w:r w:rsidRPr="007C51D6">
              <w:rPr>
                <w:color w:val="000000"/>
                <w:sz w:val="20"/>
                <w:szCs w:val="20"/>
              </w:rPr>
              <w:t>данных</w:t>
            </w:r>
          </w:p>
        </w:tc>
      </w:tr>
      <w:tr w:rsidR="008A139C" w:rsidRPr="007C51D6" w:rsidTr="004472F9">
        <w:trPr>
          <w:trHeight w:val="20"/>
        </w:trPr>
        <w:tc>
          <w:tcPr>
            <w:tcW w:w="4531" w:type="dxa"/>
            <w:shd w:val="clear" w:color="auto" w:fill="auto"/>
            <w:hideMark/>
          </w:tcPr>
          <w:p w:rsidR="008A139C" w:rsidRPr="007C51D6" w:rsidRDefault="008A139C" w:rsidP="008A139C">
            <w:pPr>
              <w:autoSpaceDE/>
              <w:autoSpaceDN/>
              <w:adjustRightInd/>
              <w:rPr>
                <w:color w:val="000000"/>
                <w:sz w:val="20"/>
                <w:szCs w:val="20"/>
              </w:rPr>
            </w:pPr>
            <w:r w:rsidRPr="007C51D6">
              <w:rPr>
                <w:color w:val="000000"/>
                <w:sz w:val="20"/>
                <w:szCs w:val="20"/>
              </w:rPr>
              <w:t>Чистопольский</w:t>
            </w:r>
          </w:p>
        </w:tc>
        <w:tc>
          <w:tcPr>
            <w:tcW w:w="1012" w:type="dxa"/>
            <w:shd w:val="clear" w:color="auto" w:fill="auto"/>
            <w:hideMark/>
          </w:tcPr>
          <w:p w:rsidR="008A139C" w:rsidRPr="007C51D6" w:rsidRDefault="008A139C" w:rsidP="008A139C">
            <w:pPr>
              <w:autoSpaceDE/>
              <w:autoSpaceDN/>
              <w:adjustRightInd/>
              <w:jc w:val="center"/>
              <w:rPr>
                <w:color w:val="000000"/>
                <w:sz w:val="20"/>
                <w:szCs w:val="20"/>
              </w:rPr>
            </w:pPr>
            <w:r w:rsidRPr="007C51D6">
              <w:rPr>
                <w:color w:val="000000"/>
                <w:sz w:val="20"/>
                <w:szCs w:val="20"/>
              </w:rPr>
              <w:t>213,23</w:t>
            </w:r>
          </w:p>
        </w:tc>
        <w:tc>
          <w:tcPr>
            <w:tcW w:w="1115" w:type="dxa"/>
            <w:shd w:val="clear" w:color="auto" w:fill="auto"/>
            <w:hideMark/>
          </w:tcPr>
          <w:p w:rsidR="008A139C" w:rsidRPr="007C51D6" w:rsidRDefault="008A139C" w:rsidP="008A139C">
            <w:pPr>
              <w:autoSpaceDE/>
              <w:autoSpaceDN/>
              <w:adjustRightInd/>
              <w:jc w:val="center"/>
              <w:rPr>
                <w:color w:val="000000"/>
                <w:sz w:val="20"/>
                <w:szCs w:val="20"/>
              </w:rPr>
            </w:pPr>
            <w:r w:rsidRPr="007C51D6">
              <w:rPr>
                <w:color w:val="000000"/>
                <w:sz w:val="20"/>
                <w:szCs w:val="20"/>
              </w:rPr>
              <w:t>208,75</w:t>
            </w:r>
          </w:p>
        </w:tc>
        <w:tc>
          <w:tcPr>
            <w:tcW w:w="1012" w:type="dxa"/>
            <w:shd w:val="clear" w:color="auto" w:fill="auto"/>
            <w:hideMark/>
          </w:tcPr>
          <w:p w:rsidR="008A139C" w:rsidRPr="007C51D6" w:rsidRDefault="008A139C" w:rsidP="008A139C">
            <w:pPr>
              <w:autoSpaceDE/>
              <w:autoSpaceDN/>
              <w:adjustRightInd/>
              <w:jc w:val="center"/>
              <w:rPr>
                <w:color w:val="000000"/>
                <w:sz w:val="20"/>
                <w:szCs w:val="20"/>
              </w:rPr>
            </w:pPr>
            <w:r w:rsidRPr="007C51D6">
              <w:rPr>
                <w:color w:val="000000"/>
                <w:sz w:val="20"/>
                <w:szCs w:val="20"/>
              </w:rPr>
              <w:t>190,83</w:t>
            </w:r>
          </w:p>
        </w:tc>
        <w:tc>
          <w:tcPr>
            <w:tcW w:w="1011" w:type="dxa"/>
            <w:shd w:val="clear" w:color="auto" w:fill="auto"/>
            <w:hideMark/>
          </w:tcPr>
          <w:p w:rsidR="008A139C" w:rsidRPr="007C51D6" w:rsidRDefault="008A139C" w:rsidP="008A139C">
            <w:pPr>
              <w:autoSpaceDE/>
              <w:autoSpaceDN/>
              <w:adjustRightInd/>
              <w:jc w:val="center"/>
              <w:rPr>
                <w:color w:val="000000"/>
                <w:sz w:val="20"/>
                <w:szCs w:val="20"/>
              </w:rPr>
            </w:pPr>
            <w:r w:rsidRPr="007C51D6">
              <w:rPr>
                <w:color w:val="000000"/>
                <w:sz w:val="20"/>
                <w:szCs w:val="20"/>
              </w:rPr>
              <w:t>199,37</w:t>
            </w:r>
          </w:p>
        </w:tc>
        <w:tc>
          <w:tcPr>
            <w:tcW w:w="1012" w:type="dxa"/>
            <w:shd w:val="clear" w:color="auto" w:fill="auto"/>
          </w:tcPr>
          <w:p w:rsidR="008A139C" w:rsidRPr="007C51D6" w:rsidRDefault="008A139C" w:rsidP="008A139C">
            <w:pPr>
              <w:autoSpaceDE/>
              <w:autoSpaceDN/>
              <w:adjustRightInd/>
              <w:jc w:val="center"/>
              <w:rPr>
                <w:color w:val="000000"/>
                <w:sz w:val="20"/>
                <w:szCs w:val="20"/>
              </w:rPr>
            </w:pPr>
            <w:r w:rsidRPr="007C51D6">
              <w:rPr>
                <w:color w:val="000000"/>
                <w:sz w:val="20"/>
                <w:szCs w:val="20"/>
              </w:rPr>
              <w:t>162,0</w:t>
            </w:r>
          </w:p>
        </w:tc>
        <w:tc>
          <w:tcPr>
            <w:tcW w:w="1012" w:type="dxa"/>
          </w:tcPr>
          <w:p w:rsidR="008A139C" w:rsidRPr="007C51D6" w:rsidRDefault="008A139C" w:rsidP="008A139C">
            <w:pPr>
              <w:autoSpaceDE/>
              <w:autoSpaceDN/>
              <w:adjustRightInd/>
              <w:jc w:val="center"/>
              <w:rPr>
                <w:color w:val="000000"/>
                <w:sz w:val="20"/>
                <w:szCs w:val="20"/>
              </w:rPr>
            </w:pPr>
            <w:r w:rsidRPr="007C51D6">
              <w:rPr>
                <w:color w:val="000000"/>
                <w:sz w:val="20"/>
                <w:szCs w:val="20"/>
              </w:rPr>
              <w:t>129,2</w:t>
            </w:r>
          </w:p>
        </w:tc>
        <w:tc>
          <w:tcPr>
            <w:tcW w:w="1109" w:type="dxa"/>
          </w:tcPr>
          <w:p w:rsidR="008A139C" w:rsidRPr="007C51D6" w:rsidRDefault="008A139C" w:rsidP="008A139C">
            <w:pPr>
              <w:jc w:val="center"/>
              <w:rPr>
                <w:color w:val="000000"/>
                <w:sz w:val="20"/>
                <w:szCs w:val="20"/>
              </w:rPr>
            </w:pPr>
            <w:r w:rsidRPr="007C51D6">
              <w:rPr>
                <w:color w:val="000000"/>
                <w:sz w:val="20"/>
                <w:szCs w:val="20"/>
              </w:rPr>
              <w:t>137,4</w:t>
            </w:r>
          </w:p>
        </w:tc>
        <w:tc>
          <w:tcPr>
            <w:tcW w:w="1103" w:type="dxa"/>
          </w:tcPr>
          <w:p w:rsidR="008A139C" w:rsidRPr="007C51D6" w:rsidRDefault="008A139C" w:rsidP="008A139C">
            <w:pPr>
              <w:jc w:val="center"/>
              <w:rPr>
                <w:color w:val="000000"/>
                <w:sz w:val="20"/>
                <w:szCs w:val="20"/>
              </w:rPr>
            </w:pPr>
            <w:r w:rsidRPr="007C51D6">
              <w:rPr>
                <w:color w:val="000000"/>
                <w:sz w:val="20"/>
                <w:szCs w:val="20"/>
              </w:rPr>
              <w:t>163,0</w:t>
            </w:r>
          </w:p>
        </w:tc>
        <w:tc>
          <w:tcPr>
            <w:tcW w:w="1103" w:type="dxa"/>
          </w:tcPr>
          <w:p w:rsidR="008A139C" w:rsidRPr="007C51D6" w:rsidRDefault="008A139C" w:rsidP="008A139C">
            <w:pPr>
              <w:jc w:val="center"/>
              <w:rPr>
                <w:color w:val="000000"/>
                <w:sz w:val="20"/>
                <w:szCs w:val="20"/>
              </w:rPr>
            </w:pPr>
            <w:r w:rsidRPr="007C51D6">
              <w:rPr>
                <w:color w:val="000000"/>
                <w:sz w:val="20"/>
                <w:szCs w:val="20"/>
              </w:rPr>
              <w:t>182,3</w:t>
            </w:r>
          </w:p>
        </w:tc>
        <w:tc>
          <w:tcPr>
            <w:tcW w:w="1103" w:type="dxa"/>
          </w:tcPr>
          <w:p w:rsidR="008A139C" w:rsidRPr="007C51D6" w:rsidRDefault="008A139C" w:rsidP="008A139C">
            <w:pPr>
              <w:jc w:val="center"/>
              <w:rPr>
                <w:color w:val="000000"/>
                <w:sz w:val="20"/>
                <w:szCs w:val="20"/>
              </w:rPr>
            </w:pPr>
            <w:r w:rsidRPr="007C51D6">
              <w:rPr>
                <w:color w:val="000000"/>
                <w:sz w:val="20"/>
                <w:szCs w:val="20"/>
              </w:rPr>
              <w:t>нет</w:t>
            </w:r>
          </w:p>
          <w:p w:rsidR="008A139C" w:rsidRPr="007C51D6" w:rsidRDefault="008A139C" w:rsidP="008A139C">
            <w:pPr>
              <w:jc w:val="center"/>
              <w:rPr>
                <w:color w:val="000000"/>
                <w:sz w:val="20"/>
                <w:szCs w:val="20"/>
              </w:rPr>
            </w:pPr>
            <w:r w:rsidRPr="007C51D6">
              <w:rPr>
                <w:color w:val="000000"/>
                <w:sz w:val="20"/>
                <w:szCs w:val="20"/>
              </w:rPr>
              <w:t>данных</w:t>
            </w:r>
          </w:p>
        </w:tc>
      </w:tr>
      <w:tr w:rsidR="008A139C" w:rsidRPr="007C51D6" w:rsidTr="004472F9">
        <w:trPr>
          <w:trHeight w:val="20"/>
        </w:trPr>
        <w:tc>
          <w:tcPr>
            <w:tcW w:w="4531" w:type="dxa"/>
            <w:shd w:val="clear" w:color="auto" w:fill="auto"/>
            <w:hideMark/>
          </w:tcPr>
          <w:p w:rsidR="008A139C" w:rsidRPr="007C51D6" w:rsidRDefault="008A139C" w:rsidP="008A139C">
            <w:pPr>
              <w:autoSpaceDE/>
              <w:autoSpaceDN/>
              <w:adjustRightInd/>
              <w:rPr>
                <w:color w:val="000000"/>
                <w:sz w:val="20"/>
                <w:szCs w:val="20"/>
              </w:rPr>
            </w:pPr>
            <w:r w:rsidRPr="007C51D6">
              <w:rPr>
                <w:color w:val="000000"/>
                <w:sz w:val="20"/>
                <w:szCs w:val="20"/>
              </w:rPr>
              <w:t>Ютазинский</w:t>
            </w:r>
          </w:p>
        </w:tc>
        <w:tc>
          <w:tcPr>
            <w:tcW w:w="1012" w:type="dxa"/>
            <w:shd w:val="clear" w:color="auto" w:fill="auto"/>
            <w:hideMark/>
          </w:tcPr>
          <w:p w:rsidR="008A139C" w:rsidRPr="007C51D6" w:rsidRDefault="008A139C" w:rsidP="008A139C">
            <w:pPr>
              <w:autoSpaceDE/>
              <w:autoSpaceDN/>
              <w:adjustRightInd/>
              <w:jc w:val="center"/>
              <w:rPr>
                <w:color w:val="000000"/>
                <w:sz w:val="20"/>
                <w:szCs w:val="20"/>
              </w:rPr>
            </w:pPr>
            <w:r w:rsidRPr="007C51D6">
              <w:rPr>
                <w:color w:val="000000"/>
                <w:sz w:val="20"/>
                <w:szCs w:val="20"/>
              </w:rPr>
              <w:t>195,56</w:t>
            </w:r>
          </w:p>
        </w:tc>
        <w:tc>
          <w:tcPr>
            <w:tcW w:w="1115" w:type="dxa"/>
            <w:shd w:val="clear" w:color="auto" w:fill="auto"/>
            <w:hideMark/>
          </w:tcPr>
          <w:p w:rsidR="008A139C" w:rsidRPr="007C51D6" w:rsidRDefault="008A139C" w:rsidP="008A139C">
            <w:pPr>
              <w:autoSpaceDE/>
              <w:autoSpaceDN/>
              <w:adjustRightInd/>
              <w:jc w:val="center"/>
              <w:rPr>
                <w:color w:val="000000"/>
                <w:sz w:val="20"/>
                <w:szCs w:val="20"/>
              </w:rPr>
            </w:pPr>
            <w:r w:rsidRPr="007C51D6">
              <w:rPr>
                <w:color w:val="000000"/>
                <w:sz w:val="20"/>
                <w:szCs w:val="20"/>
              </w:rPr>
              <w:t>241,14</w:t>
            </w:r>
          </w:p>
        </w:tc>
        <w:tc>
          <w:tcPr>
            <w:tcW w:w="1012" w:type="dxa"/>
            <w:shd w:val="clear" w:color="auto" w:fill="auto"/>
            <w:hideMark/>
          </w:tcPr>
          <w:p w:rsidR="008A139C" w:rsidRPr="007C51D6" w:rsidRDefault="008A139C" w:rsidP="008A139C">
            <w:pPr>
              <w:autoSpaceDE/>
              <w:autoSpaceDN/>
              <w:adjustRightInd/>
              <w:jc w:val="center"/>
              <w:rPr>
                <w:color w:val="000000"/>
                <w:sz w:val="20"/>
                <w:szCs w:val="20"/>
              </w:rPr>
            </w:pPr>
            <w:r w:rsidRPr="007C51D6">
              <w:rPr>
                <w:color w:val="000000"/>
                <w:sz w:val="20"/>
                <w:szCs w:val="20"/>
              </w:rPr>
              <w:t>192,91</w:t>
            </w:r>
          </w:p>
        </w:tc>
        <w:tc>
          <w:tcPr>
            <w:tcW w:w="1011" w:type="dxa"/>
            <w:shd w:val="clear" w:color="auto" w:fill="auto"/>
            <w:hideMark/>
          </w:tcPr>
          <w:p w:rsidR="008A139C" w:rsidRPr="007C51D6" w:rsidRDefault="008A139C" w:rsidP="008A139C">
            <w:pPr>
              <w:autoSpaceDE/>
              <w:autoSpaceDN/>
              <w:adjustRightInd/>
              <w:jc w:val="center"/>
              <w:rPr>
                <w:color w:val="000000"/>
                <w:sz w:val="20"/>
                <w:szCs w:val="20"/>
              </w:rPr>
            </w:pPr>
            <w:r w:rsidRPr="007C51D6">
              <w:rPr>
                <w:color w:val="000000"/>
                <w:sz w:val="20"/>
                <w:szCs w:val="20"/>
              </w:rPr>
              <w:t>248,31</w:t>
            </w:r>
          </w:p>
        </w:tc>
        <w:tc>
          <w:tcPr>
            <w:tcW w:w="1012" w:type="dxa"/>
            <w:shd w:val="clear" w:color="auto" w:fill="auto"/>
          </w:tcPr>
          <w:p w:rsidR="008A139C" w:rsidRPr="007C51D6" w:rsidRDefault="008A139C" w:rsidP="008A139C">
            <w:pPr>
              <w:autoSpaceDE/>
              <w:autoSpaceDN/>
              <w:adjustRightInd/>
              <w:jc w:val="center"/>
              <w:rPr>
                <w:color w:val="000000"/>
                <w:sz w:val="20"/>
                <w:szCs w:val="20"/>
              </w:rPr>
            </w:pPr>
            <w:r w:rsidRPr="007C51D6">
              <w:rPr>
                <w:color w:val="000000"/>
                <w:sz w:val="20"/>
                <w:szCs w:val="20"/>
              </w:rPr>
              <w:t>203,7</w:t>
            </w:r>
          </w:p>
        </w:tc>
        <w:tc>
          <w:tcPr>
            <w:tcW w:w="1012" w:type="dxa"/>
          </w:tcPr>
          <w:p w:rsidR="008A139C" w:rsidRPr="007C51D6" w:rsidRDefault="008A139C" w:rsidP="008A139C">
            <w:pPr>
              <w:autoSpaceDE/>
              <w:autoSpaceDN/>
              <w:adjustRightInd/>
              <w:jc w:val="center"/>
              <w:rPr>
                <w:color w:val="000000"/>
                <w:sz w:val="20"/>
                <w:szCs w:val="20"/>
              </w:rPr>
            </w:pPr>
            <w:r w:rsidRPr="007C51D6">
              <w:rPr>
                <w:color w:val="000000"/>
                <w:sz w:val="20"/>
                <w:szCs w:val="20"/>
              </w:rPr>
              <w:t>216,6</w:t>
            </w:r>
          </w:p>
        </w:tc>
        <w:tc>
          <w:tcPr>
            <w:tcW w:w="1109" w:type="dxa"/>
          </w:tcPr>
          <w:p w:rsidR="008A139C" w:rsidRPr="007C51D6" w:rsidRDefault="008A139C" w:rsidP="008A139C">
            <w:pPr>
              <w:jc w:val="center"/>
              <w:rPr>
                <w:color w:val="000000"/>
                <w:sz w:val="20"/>
                <w:szCs w:val="20"/>
              </w:rPr>
            </w:pPr>
            <w:r w:rsidRPr="007C51D6">
              <w:rPr>
                <w:color w:val="000000"/>
                <w:sz w:val="20"/>
                <w:szCs w:val="20"/>
              </w:rPr>
              <w:t>193,7</w:t>
            </w:r>
          </w:p>
        </w:tc>
        <w:tc>
          <w:tcPr>
            <w:tcW w:w="1103" w:type="dxa"/>
          </w:tcPr>
          <w:p w:rsidR="008A139C" w:rsidRPr="007C51D6" w:rsidRDefault="008A139C" w:rsidP="008A139C">
            <w:pPr>
              <w:jc w:val="center"/>
              <w:rPr>
                <w:color w:val="000000"/>
                <w:sz w:val="20"/>
                <w:szCs w:val="20"/>
              </w:rPr>
            </w:pPr>
            <w:r w:rsidRPr="007C51D6">
              <w:rPr>
                <w:color w:val="000000"/>
                <w:sz w:val="20"/>
                <w:szCs w:val="20"/>
              </w:rPr>
              <w:t>188,4</w:t>
            </w:r>
          </w:p>
        </w:tc>
        <w:tc>
          <w:tcPr>
            <w:tcW w:w="1103" w:type="dxa"/>
          </w:tcPr>
          <w:p w:rsidR="008A139C" w:rsidRPr="007C51D6" w:rsidRDefault="008A139C" w:rsidP="008A139C">
            <w:pPr>
              <w:jc w:val="center"/>
              <w:rPr>
                <w:color w:val="000000"/>
                <w:sz w:val="20"/>
                <w:szCs w:val="20"/>
              </w:rPr>
            </w:pPr>
            <w:r w:rsidRPr="007C51D6">
              <w:rPr>
                <w:color w:val="000000"/>
                <w:sz w:val="20"/>
                <w:szCs w:val="20"/>
              </w:rPr>
              <w:t>227,0</w:t>
            </w:r>
          </w:p>
        </w:tc>
        <w:tc>
          <w:tcPr>
            <w:tcW w:w="1103" w:type="dxa"/>
          </w:tcPr>
          <w:p w:rsidR="008A139C" w:rsidRPr="007C51D6" w:rsidRDefault="008A139C" w:rsidP="008A139C">
            <w:pPr>
              <w:jc w:val="center"/>
              <w:rPr>
                <w:color w:val="000000"/>
                <w:sz w:val="20"/>
                <w:szCs w:val="20"/>
              </w:rPr>
            </w:pPr>
            <w:r w:rsidRPr="007C51D6">
              <w:rPr>
                <w:color w:val="000000"/>
                <w:sz w:val="20"/>
                <w:szCs w:val="20"/>
              </w:rPr>
              <w:t>нет</w:t>
            </w:r>
          </w:p>
          <w:p w:rsidR="008A139C" w:rsidRPr="007C51D6" w:rsidRDefault="008A139C" w:rsidP="008A139C">
            <w:pPr>
              <w:jc w:val="center"/>
              <w:rPr>
                <w:color w:val="000000"/>
                <w:sz w:val="20"/>
                <w:szCs w:val="20"/>
              </w:rPr>
            </w:pPr>
            <w:r w:rsidRPr="007C51D6">
              <w:rPr>
                <w:color w:val="000000"/>
                <w:sz w:val="20"/>
                <w:szCs w:val="20"/>
              </w:rPr>
              <w:t>данных</w:t>
            </w:r>
          </w:p>
        </w:tc>
      </w:tr>
      <w:tr w:rsidR="008A139C" w:rsidRPr="007C51D6" w:rsidTr="004472F9">
        <w:trPr>
          <w:trHeight w:val="20"/>
        </w:trPr>
        <w:tc>
          <w:tcPr>
            <w:tcW w:w="4531" w:type="dxa"/>
            <w:shd w:val="clear" w:color="auto" w:fill="auto"/>
            <w:hideMark/>
          </w:tcPr>
          <w:p w:rsidR="008A139C" w:rsidRPr="007C51D6" w:rsidRDefault="008A139C" w:rsidP="008A139C">
            <w:pPr>
              <w:autoSpaceDE/>
              <w:autoSpaceDN/>
              <w:adjustRightInd/>
              <w:rPr>
                <w:color w:val="000000"/>
                <w:sz w:val="20"/>
                <w:szCs w:val="20"/>
              </w:rPr>
            </w:pPr>
            <w:r w:rsidRPr="007C51D6">
              <w:rPr>
                <w:color w:val="000000"/>
                <w:sz w:val="20"/>
                <w:szCs w:val="20"/>
              </w:rPr>
              <w:t>г.Набережные Челны</w:t>
            </w:r>
          </w:p>
        </w:tc>
        <w:tc>
          <w:tcPr>
            <w:tcW w:w="1012" w:type="dxa"/>
            <w:shd w:val="clear" w:color="auto" w:fill="auto"/>
            <w:hideMark/>
          </w:tcPr>
          <w:p w:rsidR="008A139C" w:rsidRPr="007C51D6" w:rsidRDefault="008A139C" w:rsidP="008A139C">
            <w:pPr>
              <w:autoSpaceDE/>
              <w:autoSpaceDN/>
              <w:adjustRightInd/>
              <w:jc w:val="center"/>
              <w:rPr>
                <w:color w:val="000000"/>
                <w:sz w:val="20"/>
                <w:szCs w:val="20"/>
              </w:rPr>
            </w:pPr>
            <w:r w:rsidRPr="007C51D6">
              <w:rPr>
                <w:color w:val="000000"/>
                <w:sz w:val="20"/>
                <w:szCs w:val="20"/>
              </w:rPr>
              <w:t>158,71</w:t>
            </w:r>
          </w:p>
        </w:tc>
        <w:tc>
          <w:tcPr>
            <w:tcW w:w="1115" w:type="dxa"/>
            <w:shd w:val="clear" w:color="auto" w:fill="auto"/>
            <w:hideMark/>
          </w:tcPr>
          <w:p w:rsidR="008A139C" w:rsidRPr="007C51D6" w:rsidRDefault="008A139C" w:rsidP="008A139C">
            <w:pPr>
              <w:autoSpaceDE/>
              <w:autoSpaceDN/>
              <w:adjustRightInd/>
              <w:jc w:val="center"/>
              <w:rPr>
                <w:color w:val="000000"/>
                <w:sz w:val="20"/>
                <w:szCs w:val="20"/>
              </w:rPr>
            </w:pPr>
            <w:r w:rsidRPr="007C51D6">
              <w:rPr>
                <w:color w:val="000000"/>
                <w:sz w:val="20"/>
                <w:szCs w:val="20"/>
              </w:rPr>
              <w:t>192,53</w:t>
            </w:r>
          </w:p>
        </w:tc>
        <w:tc>
          <w:tcPr>
            <w:tcW w:w="1012" w:type="dxa"/>
            <w:shd w:val="clear" w:color="auto" w:fill="auto"/>
            <w:hideMark/>
          </w:tcPr>
          <w:p w:rsidR="008A139C" w:rsidRPr="007C51D6" w:rsidRDefault="008A139C" w:rsidP="008A139C">
            <w:pPr>
              <w:autoSpaceDE/>
              <w:autoSpaceDN/>
              <w:adjustRightInd/>
              <w:jc w:val="center"/>
              <w:rPr>
                <w:color w:val="000000"/>
                <w:sz w:val="20"/>
                <w:szCs w:val="20"/>
              </w:rPr>
            </w:pPr>
            <w:r w:rsidRPr="007C51D6">
              <w:rPr>
                <w:color w:val="000000"/>
                <w:sz w:val="20"/>
                <w:szCs w:val="20"/>
              </w:rPr>
              <w:t>181,20</w:t>
            </w:r>
          </w:p>
        </w:tc>
        <w:tc>
          <w:tcPr>
            <w:tcW w:w="1011" w:type="dxa"/>
            <w:shd w:val="clear" w:color="auto" w:fill="auto"/>
            <w:hideMark/>
          </w:tcPr>
          <w:p w:rsidR="008A139C" w:rsidRPr="007C51D6" w:rsidRDefault="008A139C" w:rsidP="008A139C">
            <w:pPr>
              <w:autoSpaceDE/>
              <w:autoSpaceDN/>
              <w:adjustRightInd/>
              <w:jc w:val="center"/>
              <w:rPr>
                <w:color w:val="000000"/>
                <w:sz w:val="20"/>
                <w:szCs w:val="20"/>
              </w:rPr>
            </w:pPr>
            <w:r w:rsidRPr="007C51D6">
              <w:rPr>
                <w:color w:val="000000"/>
                <w:sz w:val="20"/>
                <w:szCs w:val="20"/>
              </w:rPr>
              <w:t>187,24</w:t>
            </w:r>
          </w:p>
        </w:tc>
        <w:tc>
          <w:tcPr>
            <w:tcW w:w="1012" w:type="dxa"/>
            <w:shd w:val="clear" w:color="auto" w:fill="auto"/>
          </w:tcPr>
          <w:p w:rsidR="008A139C" w:rsidRPr="007C51D6" w:rsidRDefault="008A139C" w:rsidP="008A139C">
            <w:pPr>
              <w:autoSpaceDE/>
              <w:autoSpaceDN/>
              <w:adjustRightInd/>
              <w:jc w:val="center"/>
              <w:rPr>
                <w:color w:val="000000"/>
                <w:sz w:val="20"/>
                <w:szCs w:val="20"/>
              </w:rPr>
            </w:pPr>
            <w:r w:rsidRPr="007C51D6">
              <w:rPr>
                <w:color w:val="000000"/>
                <w:sz w:val="20"/>
                <w:szCs w:val="20"/>
              </w:rPr>
              <w:t>179,3</w:t>
            </w:r>
          </w:p>
        </w:tc>
        <w:tc>
          <w:tcPr>
            <w:tcW w:w="1012" w:type="dxa"/>
          </w:tcPr>
          <w:p w:rsidR="008A139C" w:rsidRPr="007C51D6" w:rsidRDefault="008A139C" w:rsidP="008A139C">
            <w:pPr>
              <w:autoSpaceDE/>
              <w:autoSpaceDN/>
              <w:adjustRightInd/>
              <w:jc w:val="center"/>
              <w:rPr>
                <w:color w:val="000000"/>
                <w:sz w:val="20"/>
                <w:szCs w:val="20"/>
              </w:rPr>
            </w:pPr>
            <w:r w:rsidRPr="007C51D6">
              <w:rPr>
                <w:color w:val="000000"/>
                <w:sz w:val="20"/>
                <w:szCs w:val="20"/>
              </w:rPr>
              <w:t>174,6</w:t>
            </w:r>
          </w:p>
        </w:tc>
        <w:tc>
          <w:tcPr>
            <w:tcW w:w="1109" w:type="dxa"/>
          </w:tcPr>
          <w:p w:rsidR="008A139C" w:rsidRPr="007C51D6" w:rsidRDefault="008A139C" w:rsidP="008A139C">
            <w:pPr>
              <w:jc w:val="center"/>
              <w:rPr>
                <w:color w:val="000000"/>
                <w:sz w:val="20"/>
                <w:szCs w:val="20"/>
              </w:rPr>
            </w:pPr>
            <w:r w:rsidRPr="007C51D6">
              <w:rPr>
                <w:color w:val="000000"/>
                <w:sz w:val="20"/>
                <w:szCs w:val="20"/>
              </w:rPr>
              <w:t>166,0</w:t>
            </w:r>
          </w:p>
        </w:tc>
        <w:tc>
          <w:tcPr>
            <w:tcW w:w="1103" w:type="dxa"/>
          </w:tcPr>
          <w:p w:rsidR="008A139C" w:rsidRPr="007C51D6" w:rsidRDefault="008A139C" w:rsidP="008A139C">
            <w:pPr>
              <w:jc w:val="center"/>
              <w:rPr>
                <w:color w:val="000000"/>
                <w:sz w:val="20"/>
                <w:szCs w:val="20"/>
              </w:rPr>
            </w:pPr>
            <w:r w:rsidRPr="007C51D6">
              <w:rPr>
                <w:color w:val="000000"/>
                <w:sz w:val="20"/>
                <w:szCs w:val="20"/>
              </w:rPr>
              <w:t>162,2</w:t>
            </w:r>
          </w:p>
        </w:tc>
        <w:tc>
          <w:tcPr>
            <w:tcW w:w="1103" w:type="dxa"/>
          </w:tcPr>
          <w:p w:rsidR="008A139C" w:rsidRPr="007C51D6" w:rsidRDefault="008A139C" w:rsidP="008A139C">
            <w:pPr>
              <w:jc w:val="center"/>
              <w:rPr>
                <w:color w:val="000000"/>
                <w:sz w:val="20"/>
                <w:szCs w:val="20"/>
              </w:rPr>
            </w:pPr>
            <w:r w:rsidRPr="007C51D6">
              <w:rPr>
                <w:color w:val="000000"/>
                <w:sz w:val="20"/>
                <w:szCs w:val="20"/>
              </w:rPr>
              <w:t>167,8</w:t>
            </w:r>
          </w:p>
        </w:tc>
        <w:tc>
          <w:tcPr>
            <w:tcW w:w="1103" w:type="dxa"/>
          </w:tcPr>
          <w:p w:rsidR="008A139C" w:rsidRPr="007C51D6" w:rsidRDefault="008A139C" w:rsidP="008A139C">
            <w:pPr>
              <w:jc w:val="center"/>
              <w:rPr>
                <w:color w:val="000000"/>
                <w:sz w:val="20"/>
                <w:szCs w:val="20"/>
              </w:rPr>
            </w:pPr>
            <w:r w:rsidRPr="007C51D6">
              <w:rPr>
                <w:color w:val="000000"/>
                <w:sz w:val="20"/>
                <w:szCs w:val="20"/>
              </w:rPr>
              <w:t>нет</w:t>
            </w:r>
          </w:p>
          <w:p w:rsidR="008A139C" w:rsidRPr="007C51D6" w:rsidRDefault="008A139C" w:rsidP="008A139C">
            <w:pPr>
              <w:jc w:val="center"/>
              <w:rPr>
                <w:color w:val="000000"/>
                <w:sz w:val="20"/>
                <w:szCs w:val="20"/>
              </w:rPr>
            </w:pPr>
            <w:r w:rsidRPr="007C51D6">
              <w:rPr>
                <w:color w:val="000000"/>
                <w:sz w:val="20"/>
                <w:szCs w:val="20"/>
              </w:rPr>
              <w:t>данных</w:t>
            </w:r>
          </w:p>
        </w:tc>
      </w:tr>
      <w:tr w:rsidR="008A139C" w:rsidRPr="007C51D6" w:rsidTr="004472F9">
        <w:trPr>
          <w:trHeight w:val="20"/>
        </w:trPr>
        <w:tc>
          <w:tcPr>
            <w:tcW w:w="4531" w:type="dxa"/>
            <w:shd w:val="clear" w:color="auto" w:fill="auto"/>
            <w:hideMark/>
          </w:tcPr>
          <w:p w:rsidR="008A139C" w:rsidRPr="007C51D6" w:rsidRDefault="008A139C" w:rsidP="008A139C">
            <w:pPr>
              <w:autoSpaceDE/>
              <w:autoSpaceDN/>
              <w:adjustRightInd/>
              <w:rPr>
                <w:color w:val="000000"/>
                <w:sz w:val="20"/>
                <w:szCs w:val="20"/>
              </w:rPr>
            </w:pPr>
            <w:r w:rsidRPr="007C51D6">
              <w:rPr>
                <w:color w:val="000000"/>
                <w:sz w:val="20"/>
                <w:szCs w:val="20"/>
              </w:rPr>
              <w:t>г.Казань</w:t>
            </w:r>
          </w:p>
        </w:tc>
        <w:tc>
          <w:tcPr>
            <w:tcW w:w="1012" w:type="dxa"/>
            <w:shd w:val="clear" w:color="auto" w:fill="auto"/>
            <w:hideMark/>
          </w:tcPr>
          <w:p w:rsidR="008A139C" w:rsidRPr="007C51D6" w:rsidRDefault="008A139C" w:rsidP="008A139C">
            <w:pPr>
              <w:autoSpaceDE/>
              <w:autoSpaceDN/>
              <w:adjustRightInd/>
              <w:jc w:val="center"/>
              <w:rPr>
                <w:color w:val="000000"/>
                <w:sz w:val="20"/>
                <w:szCs w:val="20"/>
              </w:rPr>
            </w:pPr>
            <w:r w:rsidRPr="007C51D6">
              <w:rPr>
                <w:color w:val="000000"/>
                <w:sz w:val="20"/>
                <w:szCs w:val="20"/>
              </w:rPr>
              <w:t>199,10</w:t>
            </w:r>
          </w:p>
        </w:tc>
        <w:tc>
          <w:tcPr>
            <w:tcW w:w="1115" w:type="dxa"/>
            <w:shd w:val="clear" w:color="auto" w:fill="auto"/>
            <w:hideMark/>
          </w:tcPr>
          <w:p w:rsidR="008A139C" w:rsidRPr="007C51D6" w:rsidRDefault="008A139C" w:rsidP="008A139C">
            <w:pPr>
              <w:autoSpaceDE/>
              <w:autoSpaceDN/>
              <w:adjustRightInd/>
              <w:jc w:val="center"/>
              <w:rPr>
                <w:color w:val="000000"/>
                <w:sz w:val="20"/>
                <w:szCs w:val="20"/>
              </w:rPr>
            </w:pPr>
            <w:r w:rsidRPr="007C51D6">
              <w:rPr>
                <w:color w:val="000000"/>
                <w:sz w:val="20"/>
                <w:szCs w:val="20"/>
              </w:rPr>
              <w:t>197,42</w:t>
            </w:r>
          </w:p>
        </w:tc>
        <w:tc>
          <w:tcPr>
            <w:tcW w:w="1012" w:type="dxa"/>
            <w:shd w:val="clear" w:color="auto" w:fill="auto"/>
            <w:hideMark/>
          </w:tcPr>
          <w:p w:rsidR="008A139C" w:rsidRPr="007C51D6" w:rsidRDefault="008A139C" w:rsidP="008A139C">
            <w:pPr>
              <w:autoSpaceDE/>
              <w:autoSpaceDN/>
              <w:adjustRightInd/>
              <w:jc w:val="center"/>
              <w:rPr>
                <w:color w:val="000000"/>
                <w:sz w:val="20"/>
                <w:szCs w:val="20"/>
              </w:rPr>
            </w:pPr>
            <w:r w:rsidRPr="007C51D6">
              <w:rPr>
                <w:color w:val="000000"/>
                <w:sz w:val="20"/>
                <w:szCs w:val="20"/>
              </w:rPr>
              <w:t>192,63</w:t>
            </w:r>
          </w:p>
        </w:tc>
        <w:tc>
          <w:tcPr>
            <w:tcW w:w="1011" w:type="dxa"/>
            <w:shd w:val="clear" w:color="auto" w:fill="auto"/>
            <w:hideMark/>
          </w:tcPr>
          <w:p w:rsidR="008A139C" w:rsidRPr="007C51D6" w:rsidRDefault="008A139C" w:rsidP="008A139C">
            <w:pPr>
              <w:autoSpaceDE/>
              <w:autoSpaceDN/>
              <w:adjustRightInd/>
              <w:jc w:val="center"/>
              <w:rPr>
                <w:color w:val="000000"/>
                <w:sz w:val="20"/>
                <w:szCs w:val="20"/>
              </w:rPr>
            </w:pPr>
            <w:r w:rsidRPr="007C51D6">
              <w:rPr>
                <w:color w:val="000000"/>
                <w:sz w:val="20"/>
                <w:szCs w:val="20"/>
              </w:rPr>
              <w:t>205,55</w:t>
            </w:r>
          </w:p>
        </w:tc>
        <w:tc>
          <w:tcPr>
            <w:tcW w:w="1012" w:type="dxa"/>
            <w:shd w:val="clear" w:color="auto" w:fill="auto"/>
          </w:tcPr>
          <w:p w:rsidR="008A139C" w:rsidRPr="007C51D6" w:rsidRDefault="008A139C" w:rsidP="008A139C">
            <w:pPr>
              <w:autoSpaceDE/>
              <w:autoSpaceDN/>
              <w:adjustRightInd/>
              <w:jc w:val="center"/>
              <w:rPr>
                <w:color w:val="000000"/>
                <w:sz w:val="20"/>
                <w:szCs w:val="20"/>
              </w:rPr>
            </w:pPr>
            <w:r w:rsidRPr="007C51D6">
              <w:rPr>
                <w:color w:val="000000"/>
                <w:sz w:val="20"/>
                <w:szCs w:val="20"/>
              </w:rPr>
              <w:t>196,9</w:t>
            </w:r>
          </w:p>
        </w:tc>
        <w:tc>
          <w:tcPr>
            <w:tcW w:w="1012" w:type="dxa"/>
          </w:tcPr>
          <w:p w:rsidR="008A139C" w:rsidRPr="007C51D6" w:rsidRDefault="008A139C" w:rsidP="008A139C">
            <w:pPr>
              <w:autoSpaceDE/>
              <w:autoSpaceDN/>
              <w:adjustRightInd/>
              <w:jc w:val="center"/>
              <w:rPr>
                <w:color w:val="000000"/>
                <w:sz w:val="20"/>
                <w:szCs w:val="20"/>
              </w:rPr>
            </w:pPr>
            <w:r w:rsidRPr="007C51D6">
              <w:rPr>
                <w:color w:val="000000"/>
                <w:sz w:val="20"/>
                <w:szCs w:val="20"/>
              </w:rPr>
              <w:t>188,3</w:t>
            </w:r>
          </w:p>
        </w:tc>
        <w:tc>
          <w:tcPr>
            <w:tcW w:w="1109" w:type="dxa"/>
          </w:tcPr>
          <w:p w:rsidR="008A139C" w:rsidRPr="007C51D6" w:rsidRDefault="008A139C" w:rsidP="008A139C">
            <w:pPr>
              <w:jc w:val="center"/>
              <w:rPr>
                <w:color w:val="000000"/>
                <w:sz w:val="20"/>
                <w:szCs w:val="20"/>
              </w:rPr>
            </w:pPr>
            <w:r w:rsidRPr="007C51D6">
              <w:rPr>
                <w:color w:val="000000"/>
                <w:sz w:val="20"/>
                <w:szCs w:val="20"/>
              </w:rPr>
              <w:t>175,4</w:t>
            </w:r>
          </w:p>
        </w:tc>
        <w:tc>
          <w:tcPr>
            <w:tcW w:w="1103" w:type="dxa"/>
          </w:tcPr>
          <w:p w:rsidR="008A139C" w:rsidRPr="007C51D6" w:rsidRDefault="008A139C" w:rsidP="008A139C">
            <w:pPr>
              <w:jc w:val="center"/>
              <w:rPr>
                <w:color w:val="000000"/>
                <w:sz w:val="20"/>
                <w:szCs w:val="20"/>
              </w:rPr>
            </w:pPr>
            <w:r w:rsidRPr="007C51D6">
              <w:rPr>
                <w:color w:val="000000"/>
                <w:sz w:val="20"/>
                <w:szCs w:val="20"/>
              </w:rPr>
              <w:t>176,7</w:t>
            </w:r>
          </w:p>
        </w:tc>
        <w:tc>
          <w:tcPr>
            <w:tcW w:w="1103" w:type="dxa"/>
          </w:tcPr>
          <w:p w:rsidR="008A139C" w:rsidRPr="007C51D6" w:rsidRDefault="008A139C" w:rsidP="008A139C">
            <w:pPr>
              <w:jc w:val="center"/>
              <w:rPr>
                <w:color w:val="000000"/>
                <w:sz w:val="20"/>
                <w:szCs w:val="20"/>
              </w:rPr>
            </w:pPr>
            <w:r w:rsidRPr="007C51D6">
              <w:rPr>
                <w:color w:val="000000"/>
                <w:sz w:val="20"/>
                <w:szCs w:val="20"/>
              </w:rPr>
              <w:t>173,2</w:t>
            </w:r>
          </w:p>
        </w:tc>
        <w:tc>
          <w:tcPr>
            <w:tcW w:w="1103" w:type="dxa"/>
          </w:tcPr>
          <w:p w:rsidR="008A139C" w:rsidRPr="007C51D6" w:rsidRDefault="008A139C" w:rsidP="008A139C">
            <w:pPr>
              <w:jc w:val="center"/>
              <w:rPr>
                <w:color w:val="000000"/>
                <w:sz w:val="20"/>
                <w:szCs w:val="20"/>
              </w:rPr>
            </w:pPr>
            <w:r w:rsidRPr="007C51D6">
              <w:rPr>
                <w:color w:val="000000"/>
                <w:sz w:val="20"/>
                <w:szCs w:val="20"/>
              </w:rPr>
              <w:t>нет</w:t>
            </w:r>
          </w:p>
          <w:p w:rsidR="008A139C" w:rsidRPr="007C51D6" w:rsidRDefault="008A139C" w:rsidP="008A139C">
            <w:pPr>
              <w:jc w:val="center"/>
              <w:rPr>
                <w:color w:val="000000"/>
                <w:sz w:val="20"/>
                <w:szCs w:val="20"/>
              </w:rPr>
            </w:pPr>
            <w:r w:rsidRPr="007C51D6">
              <w:rPr>
                <w:color w:val="000000"/>
                <w:sz w:val="20"/>
                <w:szCs w:val="20"/>
              </w:rPr>
              <w:t>данных</w:t>
            </w:r>
          </w:p>
        </w:tc>
      </w:tr>
    </w:tbl>
    <w:p w:rsidR="001D71F6" w:rsidRPr="007C51D6" w:rsidRDefault="001D71F6">
      <w:pPr>
        <w:rPr>
          <w:sz w:val="2"/>
          <w:szCs w:val="2"/>
        </w:rPr>
      </w:pPr>
    </w:p>
    <w:p w:rsidR="00B478CF" w:rsidRPr="007C51D6" w:rsidRDefault="00B478CF" w:rsidP="001D71F6">
      <w:pPr>
        <w:autoSpaceDE/>
        <w:autoSpaceDN/>
        <w:adjustRightInd/>
        <w:spacing w:line="233" w:lineRule="auto"/>
        <w:ind w:firstLine="709"/>
        <w:jc w:val="both"/>
        <w:rPr>
          <w:rFonts w:eastAsia="Arial"/>
          <w:sz w:val="28"/>
          <w:szCs w:val="28"/>
        </w:rPr>
      </w:pPr>
    </w:p>
    <w:p w:rsidR="00B478CF" w:rsidRPr="007C51D6" w:rsidRDefault="00B478CF" w:rsidP="004A6001">
      <w:pPr>
        <w:autoSpaceDE/>
        <w:autoSpaceDN/>
        <w:adjustRightInd/>
        <w:spacing w:line="245" w:lineRule="auto"/>
        <w:ind w:firstLine="709"/>
        <w:jc w:val="both"/>
        <w:rPr>
          <w:rFonts w:eastAsia="Arial"/>
          <w:sz w:val="28"/>
          <w:szCs w:val="28"/>
        </w:rPr>
      </w:pPr>
      <w:r w:rsidRPr="007C51D6">
        <w:rPr>
          <w:rFonts w:eastAsia="Arial"/>
          <w:sz w:val="28"/>
          <w:szCs w:val="28"/>
        </w:rPr>
        <w:t xml:space="preserve">В 2024 году наиболее неблагоприятные </w:t>
      </w:r>
      <w:r w:rsidR="002F7358" w:rsidRPr="007C51D6">
        <w:rPr>
          <w:rFonts w:eastAsia="Arial"/>
          <w:sz w:val="28"/>
          <w:szCs w:val="28"/>
        </w:rPr>
        <w:t>«</w:t>
      </w:r>
      <w:r w:rsidRPr="007C51D6">
        <w:rPr>
          <w:rFonts w:eastAsia="Arial"/>
          <w:sz w:val="28"/>
          <w:szCs w:val="28"/>
        </w:rPr>
        <w:t>грубые</w:t>
      </w:r>
      <w:r w:rsidR="002F7358" w:rsidRPr="007C51D6">
        <w:rPr>
          <w:rFonts w:eastAsia="Arial"/>
          <w:sz w:val="28"/>
          <w:szCs w:val="28"/>
        </w:rPr>
        <w:t>»</w:t>
      </w:r>
      <w:r w:rsidRPr="007C51D6">
        <w:rPr>
          <w:rFonts w:eastAsia="Arial"/>
          <w:sz w:val="28"/>
          <w:szCs w:val="28"/>
        </w:rPr>
        <w:t xml:space="preserve"> показатели смертности населения от ЗНО зарегистрированы в Рыбно-Слободском (294,8 случая на 100 тыс.населения), Тетюшском (238,8 случая на 100 тыс.населения), Аксубаевском (238,2 случая на 100 тыс.населения), Апастовском (231,3 случая на 100 тыс.населения), Азнакаевском (230,3 случая на 100 тыс.населения) муниципальных районах</w:t>
      </w:r>
      <w:r w:rsidR="00CC04B7" w:rsidRPr="007C51D6">
        <w:rPr>
          <w:rFonts w:eastAsia="Arial"/>
          <w:sz w:val="28"/>
          <w:szCs w:val="28"/>
        </w:rPr>
        <w:t xml:space="preserve"> (таблица 10)</w:t>
      </w:r>
      <w:r w:rsidRPr="007C51D6">
        <w:rPr>
          <w:rFonts w:eastAsia="Arial"/>
          <w:sz w:val="28"/>
          <w:szCs w:val="28"/>
        </w:rPr>
        <w:t xml:space="preserve">. </w:t>
      </w:r>
    </w:p>
    <w:p w:rsidR="002B76AB" w:rsidRPr="007C51D6" w:rsidRDefault="002B76AB" w:rsidP="004A6001">
      <w:pPr>
        <w:autoSpaceDE/>
        <w:autoSpaceDN/>
        <w:adjustRightInd/>
        <w:spacing w:line="245" w:lineRule="auto"/>
        <w:ind w:firstLine="709"/>
        <w:jc w:val="both"/>
        <w:rPr>
          <w:rFonts w:eastAsia="Arial"/>
          <w:sz w:val="28"/>
          <w:szCs w:val="28"/>
        </w:rPr>
      </w:pPr>
    </w:p>
    <w:p w:rsidR="002C4996" w:rsidRPr="007C51D6" w:rsidRDefault="002C4996" w:rsidP="001D71F6">
      <w:pPr>
        <w:tabs>
          <w:tab w:val="left" w:pos="13608"/>
          <w:tab w:val="left" w:pos="14742"/>
        </w:tabs>
        <w:autoSpaceDE/>
        <w:autoSpaceDN/>
        <w:adjustRightInd/>
        <w:spacing w:line="233" w:lineRule="auto"/>
        <w:jc w:val="right"/>
        <w:rPr>
          <w:rFonts w:eastAsia="Arial"/>
          <w:sz w:val="28"/>
          <w:szCs w:val="28"/>
        </w:rPr>
      </w:pPr>
      <w:r w:rsidRPr="007C51D6">
        <w:rPr>
          <w:rFonts w:eastAsia="Arial"/>
          <w:sz w:val="28"/>
          <w:szCs w:val="28"/>
        </w:rPr>
        <w:t xml:space="preserve">Таблица </w:t>
      </w:r>
      <w:r w:rsidR="0046074A" w:rsidRPr="007C51D6">
        <w:rPr>
          <w:rFonts w:eastAsia="Arial"/>
          <w:sz w:val="28"/>
          <w:szCs w:val="28"/>
        </w:rPr>
        <w:t>11</w:t>
      </w:r>
    </w:p>
    <w:p w:rsidR="002C4996" w:rsidRPr="007C51D6" w:rsidRDefault="002C4996" w:rsidP="001D71F6">
      <w:pPr>
        <w:autoSpaceDE/>
        <w:autoSpaceDN/>
        <w:adjustRightInd/>
        <w:spacing w:line="233" w:lineRule="auto"/>
        <w:ind w:left="6372" w:right="426" w:firstLine="708"/>
        <w:jc w:val="right"/>
        <w:rPr>
          <w:rFonts w:eastAsia="Arial"/>
          <w:sz w:val="28"/>
          <w:szCs w:val="28"/>
        </w:rPr>
      </w:pPr>
    </w:p>
    <w:p w:rsidR="00BE34FD" w:rsidRPr="007C51D6" w:rsidRDefault="002C4996" w:rsidP="001D71F6">
      <w:pPr>
        <w:autoSpaceDE/>
        <w:autoSpaceDN/>
        <w:adjustRightInd/>
        <w:spacing w:line="233" w:lineRule="auto"/>
        <w:jc w:val="center"/>
        <w:rPr>
          <w:rFonts w:eastAsia="Arial"/>
          <w:sz w:val="28"/>
          <w:szCs w:val="28"/>
        </w:rPr>
      </w:pPr>
      <w:r w:rsidRPr="007C51D6">
        <w:rPr>
          <w:rFonts w:eastAsia="Arial"/>
          <w:sz w:val="28"/>
          <w:szCs w:val="28"/>
        </w:rPr>
        <w:t xml:space="preserve">Динамика показателя смертности от </w:t>
      </w:r>
      <w:r w:rsidR="001D37B3" w:rsidRPr="007C51D6">
        <w:rPr>
          <w:rFonts w:eastAsia="Arial"/>
          <w:sz w:val="28"/>
          <w:szCs w:val="28"/>
        </w:rPr>
        <w:t>ЗНО</w:t>
      </w:r>
      <w:r w:rsidRPr="007C51D6">
        <w:rPr>
          <w:rFonts w:eastAsia="Arial"/>
          <w:sz w:val="28"/>
          <w:szCs w:val="28"/>
        </w:rPr>
        <w:t xml:space="preserve"> основных локализаций </w:t>
      </w:r>
    </w:p>
    <w:p w:rsidR="00810BE7" w:rsidRPr="007C51D6" w:rsidRDefault="00810BE7" w:rsidP="001D71F6">
      <w:pPr>
        <w:autoSpaceDE/>
        <w:autoSpaceDN/>
        <w:adjustRightInd/>
        <w:spacing w:line="233" w:lineRule="auto"/>
        <w:jc w:val="center"/>
        <w:rPr>
          <w:rFonts w:eastAsia="Arial"/>
          <w:sz w:val="28"/>
          <w:szCs w:val="28"/>
        </w:rPr>
      </w:pPr>
      <w:r w:rsidRPr="007C51D6">
        <w:rPr>
          <w:rFonts w:eastAsia="Arial"/>
          <w:sz w:val="28"/>
          <w:szCs w:val="28"/>
        </w:rPr>
        <w:t xml:space="preserve">(имеющих наибольший удельный вес в структуре заболеваемости) </w:t>
      </w:r>
      <w:r w:rsidR="002C4996" w:rsidRPr="007C51D6">
        <w:rPr>
          <w:rFonts w:eastAsia="Arial"/>
          <w:sz w:val="28"/>
          <w:szCs w:val="28"/>
        </w:rPr>
        <w:t>в Республике Татарстан в 201</w:t>
      </w:r>
      <w:r w:rsidR="00827D9B" w:rsidRPr="007C51D6">
        <w:rPr>
          <w:rFonts w:eastAsia="Arial"/>
          <w:sz w:val="28"/>
          <w:szCs w:val="28"/>
        </w:rPr>
        <w:t>6</w:t>
      </w:r>
      <w:r w:rsidR="002C4996" w:rsidRPr="007C51D6">
        <w:rPr>
          <w:rFonts w:eastAsia="Arial"/>
          <w:sz w:val="28"/>
          <w:szCs w:val="28"/>
        </w:rPr>
        <w:t xml:space="preserve"> – 202</w:t>
      </w:r>
      <w:r w:rsidR="00827D9B" w:rsidRPr="007C51D6">
        <w:rPr>
          <w:rFonts w:eastAsia="Arial"/>
          <w:sz w:val="28"/>
          <w:szCs w:val="28"/>
        </w:rPr>
        <w:t>5</w:t>
      </w:r>
      <w:r w:rsidR="002C4996" w:rsidRPr="007C51D6">
        <w:rPr>
          <w:rFonts w:eastAsia="Arial"/>
          <w:sz w:val="28"/>
          <w:szCs w:val="28"/>
        </w:rPr>
        <w:t xml:space="preserve"> годах</w:t>
      </w:r>
    </w:p>
    <w:p w:rsidR="00C54120" w:rsidRPr="007C51D6" w:rsidRDefault="00E031AA" w:rsidP="001D71F6">
      <w:pPr>
        <w:autoSpaceDE/>
        <w:autoSpaceDN/>
        <w:adjustRightInd/>
        <w:spacing w:line="233" w:lineRule="auto"/>
        <w:jc w:val="center"/>
        <w:rPr>
          <w:rFonts w:eastAsia="Arial"/>
          <w:sz w:val="28"/>
          <w:szCs w:val="28"/>
        </w:rPr>
      </w:pPr>
      <w:r w:rsidRPr="007C51D6">
        <w:rPr>
          <w:rFonts w:eastAsia="Arial"/>
          <w:sz w:val="28"/>
          <w:szCs w:val="28"/>
        </w:rPr>
        <w:t xml:space="preserve"> (</w:t>
      </w:r>
      <w:r w:rsidR="007F3AFB" w:rsidRPr="007C51D6">
        <w:rPr>
          <w:rFonts w:eastAsia="Arial"/>
          <w:sz w:val="28"/>
          <w:szCs w:val="28"/>
        </w:rPr>
        <w:t>«</w:t>
      </w:r>
      <w:r w:rsidRPr="007C51D6">
        <w:rPr>
          <w:rFonts w:eastAsia="Arial"/>
          <w:sz w:val="28"/>
          <w:szCs w:val="28"/>
        </w:rPr>
        <w:t>грубый</w:t>
      </w:r>
      <w:r w:rsidR="007F3AFB" w:rsidRPr="007C51D6">
        <w:rPr>
          <w:rFonts w:eastAsia="Arial"/>
          <w:sz w:val="28"/>
          <w:szCs w:val="28"/>
        </w:rPr>
        <w:t>»</w:t>
      </w:r>
      <w:r w:rsidRPr="007C51D6">
        <w:rPr>
          <w:rFonts w:eastAsia="Arial"/>
          <w:sz w:val="28"/>
          <w:szCs w:val="28"/>
        </w:rPr>
        <w:t xml:space="preserve"> показатель)</w:t>
      </w:r>
    </w:p>
    <w:p w:rsidR="00BE34FD" w:rsidRPr="007C51D6" w:rsidRDefault="00BE34FD" w:rsidP="001D71F6">
      <w:pPr>
        <w:autoSpaceDE/>
        <w:autoSpaceDN/>
        <w:adjustRightInd/>
        <w:spacing w:line="233" w:lineRule="auto"/>
        <w:jc w:val="center"/>
        <w:rPr>
          <w:rFonts w:eastAsia="Arial"/>
          <w:sz w:val="28"/>
          <w:szCs w:val="28"/>
        </w:rPr>
      </w:pPr>
    </w:p>
    <w:p w:rsidR="00827D9B" w:rsidRDefault="002B76AB" w:rsidP="002B76AB">
      <w:pPr>
        <w:autoSpaceDE/>
        <w:autoSpaceDN/>
        <w:adjustRightInd/>
        <w:spacing w:line="233" w:lineRule="auto"/>
        <w:jc w:val="right"/>
        <w:rPr>
          <w:rFonts w:eastAsia="Arial"/>
          <w:sz w:val="20"/>
          <w:szCs w:val="20"/>
        </w:rPr>
      </w:pPr>
      <w:r w:rsidRPr="007C51D6">
        <w:rPr>
          <w:rFonts w:eastAsia="Arial"/>
          <w:sz w:val="20"/>
          <w:szCs w:val="20"/>
        </w:rPr>
        <w:t>(случаев на 100 тыс.населения)</w:t>
      </w:r>
    </w:p>
    <w:tbl>
      <w:tblPr>
        <w:tblW w:w="15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4531"/>
        <w:gridCol w:w="1065"/>
        <w:gridCol w:w="991"/>
        <w:gridCol w:w="991"/>
        <w:gridCol w:w="1060"/>
        <w:gridCol w:w="991"/>
        <w:gridCol w:w="945"/>
        <w:gridCol w:w="999"/>
        <w:gridCol w:w="887"/>
        <w:gridCol w:w="1285"/>
        <w:gridCol w:w="1285"/>
      </w:tblGrid>
      <w:tr w:rsidR="0028241C" w:rsidRPr="007C51D6" w:rsidTr="0028241C">
        <w:trPr>
          <w:trHeight w:val="20"/>
        </w:trPr>
        <w:tc>
          <w:tcPr>
            <w:tcW w:w="4531" w:type="dxa"/>
            <w:shd w:val="clear" w:color="auto" w:fill="auto"/>
          </w:tcPr>
          <w:p w:rsidR="0028241C" w:rsidRPr="007C51D6" w:rsidRDefault="0028241C" w:rsidP="00DC67CB">
            <w:pPr>
              <w:autoSpaceDE/>
              <w:autoSpaceDN/>
              <w:adjustRightInd/>
              <w:jc w:val="center"/>
              <w:rPr>
                <w:rFonts w:eastAsia="Arial"/>
                <w:sz w:val="20"/>
                <w:szCs w:val="20"/>
              </w:rPr>
            </w:pPr>
            <w:r w:rsidRPr="007C51D6">
              <w:rPr>
                <w:rFonts w:eastAsia="Arial"/>
                <w:sz w:val="20"/>
                <w:szCs w:val="20"/>
              </w:rPr>
              <w:t>Локализация ЗНО</w:t>
            </w:r>
          </w:p>
        </w:tc>
        <w:tc>
          <w:tcPr>
            <w:tcW w:w="1065" w:type="dxa"/>
            <w:shd w:val="clear" w:color="auto" w:fill="auto"/>
          </w:tcPr>
          <w:p w:rsidR="0028241C" w:rsidRPr="007C51D6" w:rsidRDefault="0028241C" w:rsidP="00DC67CB">
            <w:pPr>
              <w:autoSpaceDE/>
              <w:autoSpaceDN/>
              <w:adjustRightInd/>
              <w:ind w:hanging="21"/>
              <w:jc w:val="center"/>
              <w:rPr>
                <w:rFonts w:eastAsia="Arial"/>
                <w:sz w:val="20"/>
                <w:szCs w:val="22"/>
              </w:rPr>
            </w:pPr>
            <w:r w:rsidRPr="007C51D6">
              <w:rPr>
                <w:rFonts w:eastAsia="Arial"/>
                <w:sz w:val="20"/>
                <w:szCs w:val="22"/>
              </w:rPr>
              <w:t>2016 г.</w:t>
            </w:r>
          </w:p>
        </w:tc>
        <w:tc>
          <w:tcPr>
            <w:tcW w:w="991" w:type="dxa"/>
            <w:shd w:val="clear" w:color="auto" w:fill="auto"/>
          </w:tcPr>
          <w:p w:rsidR="0028241C" w:rsidRPr="007C51D6" w:rsidRDefault="0028241C" w:rsidP="00DC67CB">
            <w:pPr>
              <w:autoSpaceDE/>
              <w:autoSpaceDN/>
              <w:adjustRightInd/>
              <w:jc w:val="center"/>
              <w:rPr>
                <w:rFonts w:eastAsia="Arial"/>
                <w:sz w:val="20"/>
                <w:szCs w:val="22"/>
              </w:rPr>
            </w:pPr>
            <w:r w:rsidRPr="007C51D6">
              <w:rPr>
                <w:rFonts w:eastAsia="Arial"/>
                <w:sz w:val="20"/>
                <w:szCs w:val="22"/>
              </w:rPr>
              <w:t>2017 г.</w:t>
            </w:r>
          </w:p>
        </w:tc>
        <w:tc>
          <w:tcPr>
            <w:tcW w:w="991" w:type="dxa"/>
            <w:shd w:val="clear" w:color="auto" w:fill="auto"/>
          </w:tcPr>
          <w:p w:rsidR="0028241C" w:rsidRPr="007C51D6" w:rsidRDefault="0028241C" w:rsidP="00DC67CB">
            <w:pPr>
              <w:autoSpaceDE/>
              <w:autoSpaceDN/>
              <w:adjustRightInd/>
              <w:jc w:val="center"/>
              <w:rPr>
                <w:rFonts w:eastAsia="Arial"/>
                <w:sz w:val="20"/>
                <w:szCs w:val="22"/>
              </w:rPr>
            </w:pPr>
            <w:r w:rsidRPr="007C51D6">
              <w:rPr>
                <w:rFonts w:eastAsia="Arial"/>
                <w:sz w:val="20"/>
                <w:szCs w:val="22"/>
              </w:rPr>
              <w:t>2018 г.</w:t>
            </w:r>
          </w:p>
        </w:tc>
        <w:tc>
          <w:tcPr>
            <w:tcW w:w="1060" w:type="dxa"/>
            <w:shd w:val="clear" w:color="auto" w:fill="auto"/>
          </w:tcPr>
          <w:p w:rsidR="0028241C" w:rsidRPr="007C51D6" w:rsidRDefault="0028241C" w:rsidP="00DC67CB">
            <w:pPr>
              <w:autoSpaceDE/>
              <w:autoSpaceDN/>
              <w:adjustRightInd/>
              <w:jc w:val="center"/>
              <w:rPr>
                <w:rFonts w:eastAsia="Arial"/>
                <w:sz w:val="20"/>
                <w:szCs w:val="22"/>
              </w:rPr>
            </w:pPr>
            <w:r w:rsidRPr="007C51D6">
              <w:rPr>
                <w:rFonts w:eastAsia="Arial"/>
                <w:sz w:val="20"/>
                <w:szCs w:val="22"/>
              </w:rPr>
              <w:t>2019 г.</w:t>
            </w:r>
          </w:p>
        </w:tc>
        <w:tc>
          <w:tcPr>
            <w:tcW w:w="991" w:type="dxa"/>
            <w:shd w:val="clear" w:color="auto" w:fill="auto"/>
          </w:tcPr>
          <w:p w:rsidR="0028241C" w:rsidRPr="007C51D6" w:rsidRDefault="0028241C" w:rsidP="00DC67CB">
            <w:pPr>
              <w:autoSpaceDE/>
              <w:autoSpaceDN/>
              <w:adjustRightInd/>
              <w:ind w:hanging="15"/>
              <w:jc w:val="center"/>
              <w:rPr>
                <w:rFonts w:eastAsia="Arial"/>
                <w:sz w:val="20"/>
                <w:szCs w:val="22"/>
              </w:rPr>
            </w:pPr>
            <w:r w:rsidRPr="007C51D6">
              <w:rPr>
                <w:rFonts w:eastAsia="Arial"/>
                <w:sz w:val="20"/>
                <w:szCs w:val="22"/>
              </w:rPr>
              <w:t>2020 г.</w:t>
            </w:r>
          </w:p>
        </w:tc>
        <w:tc>
          <w:tcPr>
            <w:tcW w:w="945" w:type="dxa"/>
          </w:tcPr>
          <w:p w:rsidR="0028241C" w:rsidRPr="007C51D6" w:rsidRDefault="0028241C" w:rsidP="00DC67CB">
            <w:pPr>
              <w:autoSpaceDE/>
              <w:autoSpaceDN/>
              <w:adjustRightInd/>
              <w:ind w:hanging="15"/>
              <w:jc w:val="center"/>
              <w:rPr>
                <w:rFonts w:eastAsia="Arial"/>
                <w:sz w:val="20"/>
                <w:szCs w:val="22"/>
              </w:rPr>
            </w:pPr>
            <w:r w:rsidRPr="007C51D6">
              <w:rPr>
                <w:rFonts w:eastAsia="Arial"/>
                <w:sz w:val="20"/>
                <w:szCs w:val="22"/>
              </w:rPr>
              <w:t>2021 г.</w:t>
            </w:r>
          </w:p>
        </w:tc>
        <w:tc>
          <w:tcPr>
            <w:tcW w:w="999" w:type="dxa"/>
          </w:tcPr>
          <w:p w:rsidR="0028241C" w:rsidRPr="007C51D6" w:rsidRDefault="0028241C" w:rsidP="00DC67CB">
            <w:pPr>
              <w:autoSpaceDE/>
              <w:autoSpaceDN/>
              <w:adjustRightInd/>
              <w:ind w:hanging="15"/>
              <w:jc w:val="center"/>
              <w:rPr>
                <w:rFonts w:eastAsia="Arial"/>
                <w:sz w:val="20"/>
                <w:szCs w:val="22"/>
              </w:rPr>
            </w:pPr>
            <w:r w:rsidRPr="007C51D6">
              <w:rPr>
                <w:rFonts w:eastAsia="Arial"/>
                <w:sz w:val="20"/>
                <w:szCs w:val="22"/>
              </w:rPr>
              <w:t>2022 г.</w:t>
            </w:r>
          </w:p>
        </w:tc>
        <w:tc>
          <w:tcPr>
            <w:tcW w:w="887" w:type="dxa"/>
          </w:tcPr>
          <w:p w:rsidR="0028241C" w:rsidRPr="007C51D6" w:rsidRDefault="0028241C" w:rsidP="00DC67CB">
            <w:pPr>
              <w:autoSpaceDE/>
              <w:autoSpaceDN/>
              <w:adjustRightInd/>
              <w:ind w:hanging="15"/>
              <w:jc w:val="center"/>
              <w:rPr>
                <w:rFonts w:eastAsia="Arial"/>
                <w:sz w:val="20"/>
                <w:szCs w:val="22"/>
              </w:rPr>
            </w:pPr>
            <w:r w:rsidRPr="007C51D6">
              <w:rPr>
                <w:rFonts w:eastAsia="Arial"/>
                <w:sz w:val="20"/>
                <w:szCs w:val="22"/>
              </w:rPr>
              <w:t>2023 г.</w:t>
            </w:r>
          </w:p>
        </w:tc>
        <w:tc>
          <w:tcPr>
            <w:tcW w:w="1285" w:type="dxa"/>
          </w:tcPr>
          <w:p w:rsidR="0028241C" w:rsidRPr="007C51D6" w:rsidRDefault="0028241C" w:rsidP="00DC67CB">
            <w:pPr>
              <w:autoSpaceDE/>
              <w:autoSpaceDN/>
              <w:adjustRightInd/>
              <w:ind w:hanging="15"/>
              <w:jc w:val="center"/>
              <w:rPr>
                <w:rFonts w:eastAsia="Arial"/>
                <w:sz w:val="20"/>
                <w:szCs w:val="22"/>
              </w:rPr>
            </w:pPr>
            <w:r w:rsidRPr="007C51D6">
              <w:rPr>
                <w:rFonts w:eastAsia="Arial"/>
                <w:sz w:val="20"/>
                <w:szCs w:val="22"/>
              </w:rPr>
              <w:t>2024 г.</w:t>
            </w:r>
          </w:p>
        </w:tc>
        <w:tc>
          <w:tcPr>
            <w:tcW w:w="1285" w:type="dxa"/>
          </w:tcPr>
          <w:p w:rsidR="0028241C" w:rsidRPr="007C51D6" w:rsidRDefault="0028241C" w:rsidP="00DC67CB">
            <w:pPr>
              <w:autoSpaceDE/>
              <w:autoSpaceDN/>
              <w:adjustRightInd/>
              <w:ind w:hanging="15"/>
              <w:jc w:val="center"/>
              <w:rPr>
                <w:rFonts w:eastAsia="Arial"/>
                <w:sz w:val="20"/>
                <w:szCs w:val="22"/>
              </w:rPr>
            </w:pPr>
            <w:r w:rsidRPr="007C51D6">
              <w:rPr>
                <w:rFonts w:eastAsia="Arial"/>
                <w:sz w:val="20"/>
                <w:szCs w:val="22"/>
              </w:rPr>
              <w:t>2025 г.</w:t>
            </w:r>
          </w:p>
        </w:tc>
      </w:tr>
    </w:tbl>
    <w:p w:rsidR="0028241C" w:rsidRDefault="0028241C" w:rsidP="0028241C">
      <w:pPr>
        <w:autoSpaceDE/>
        <w:autoSpaceDN/>
        <w:adjustRightInd/>
        <w:spacing w:line="72" w:lineRule="auto"/>
        <w:rPr>
          <w:rFonts w:eastAsia="Arial"/>
          <w:sz w:val="20"/>
          <w:szCs w:val="20"/>
        </w:rPr>
      </w:pPr>
    </w:p>
    <w:tbl>
      <w:tblPr>
        <w:tblW w:w="15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34" w:type="dxa"/>
          <w:bottom w:w="34" w:type="dxa"/>
        </w:tblCellMar>
        <w:tblLook w:val="04A0" w:firstRow="1" w:lastRow="0" w:firstColumn="1" w:lastColumn="0" w:noHBand="0" w:noVBand="1"/>
      </w:tblPr>
      <w:tblGrid>
        <w:gridCol w:w="4531"/>
        <w:gridCol w:w="1065"/>
        <w:gridCol w:w="991"/>
        <w:gridCol w:w="991"/>
        <w:gridCol w:w="1060"/>
        <w:gridCol w:w="991"/>
        <w:gridCol w:w="945"/>
        <w:gridCol w:w="999"/>
        <w:gridCol w:w="887"/>
        <w:gridCol w:w="1285"/>
        <w:gridCol w:w="1285"/>
      </w:tblGrid>
      <w:tr w:rsidR="00827D9B" w:rsidRPr="007C51D6" w:rsidTr="0028241C">
        <w:trPr>
          <w:trHeight w:val="152"/>
          <w:tblHeader/>
        </w:trPr>
        <w:tc>
          <w:tcPr>
            <w:tcW w:w="4531" w:type="dxa"/>
            <w:shd w:val="clear" w:color="auto" w:fill="auto"/>
          </w:tcPr>
          <w:p w:rsidR="00827D9B" w:rsidRPr="007C51D6" w:rsidRDefault="00827D9B" w:rsidP="00827D9B">
            <w:pPr>
              <w:autoSpaceDE/>
              <w:autoSpaceDN/>
              <w:adjustRightInd/>
              <w:jc w:val="center"/>
              <w:rPr>
                <w:rFonts w:eastAsia="Arial"/>
                <w:sz w:val="20"/>
                <w:szCs w:val="22"/>
              </w:rPr>
            </w:pPr>
            <w:r w:rsidRPr="007C51D6">
              <w:rPr>
                <w:rFonts w:eastAsia="Arial"/>
                <w:sz w:val="20"/>
                <w:szCs w:val="22"/>
              </w:rPr>
              <w:t>1</w:t>
            </w:r>
          </w:p>
        </w:tc>
        <w:tc>
          <w:tcPr>
            <w:tcW w:w="1065" w:type="dxa"/>
            <w:shd w:val="clear" w:color="auto" w:fill="auto"/>
          </w:tcPr>
          <w:p w:rsidR="00827D9B" w:rsidRPr="007C51D6" w:rsidRDefault="00C70C99" w:rsidP="00C70C99">
            <w:pPr>
              <w:autoSpaceDE/>
              <w:autoSpaceDN/>
              <w:adjustRightInd/>
              <w:ind w:hanging="21"/>
              <w:jc w:val="center"/>
              <w:rPr>
                <w:rFonts w:eastAsia="Arial"/>
                <w:sz w:val="20"/>
                <w:szCs w:val="22"/>
              </w:rPr>
            </w:pPr>
            <w:r w:rsidRPr="007C51D6">
              <w:rPr>
                <w:rFonts w:eastAsia="Arial"/>
                <w:sz w:val="20"/>
                <w:szCs w:val="22"/>
              </w:rPr>
              <w:t>2</w:t>
            </w:r>
          </w:p>
        </w:tc>
        <w:tc>
          <w:tcPr>
            <w:tcW w:w="991" w:type="dxa"/>
            <w:shd w:val="clear" w:color="auto" w:fill="auto"/>
          </w:tcPr>
          <w:p w:rsidR="00827D9B" w:rsidRPr="007C51D6" w:rsidRDefault="00C70C99" w:rsidP="00C70C99">
            <w:pPr>
              <w:autoSpaceDE/>
              <w:autoSpaceDN/>
              <w:adjustRightInd/>
              <w:jc w:val="center"/>
              <w:rPr>
                <w:rFonts w:eastAsia="Arial"/>
                <w:sz w:val="20"/>
                <w:szCs w:val="22"/>
              </w:rPr>
            </w:pPr>
            <w:r w:rsidRPr="007C51D6">
              <w:rPr>
                <w:rFonts w:eastAsia="Arial"/>
                <w:sz w:val="20"/>
                <w:szCs w:val="22"/>
              </w:rPr>
              <w:t>3</w:t>
            </w:r>
          </w:p>
        </w:tc>
        <w:tc>
          <w:tcPr>
            <w:tcW w:w="991" w:type="dxa"/>
            <w:shd w:val="clear" w:color="auto" w:fill="auto"/>
          </w:tcPr>
          <w:p w:rsidR="00827D9B" w:rsidRPr="007C51D6" w:rsidRDefault="00C70C99" w:rsidP="00C70C99">
            <w:pPr>
              <w:autoSpaceDE/>
              <w:autoSpaceDN/>
              <w:adjustRightInd/>
              <w:jc w:val="center"/>
              <w:rPr>
                <w:rFonts w:eastAsia="Arial"/>
                <w:sz w:val="20"/>
                <w:szCs w:val="22"/>
              </w:rPr>
            </w:pPr>
            <w:r w:rsidRPr="007C51D6">
              <w:rPr>
                <w:rFonts w:eastAsia="Arial"/>
                <w:sz w:val="20"/>
                <w:szCs w:val="22"/>
              </w:rPr>
              <w:t>4</w:t>
            </w:r>
          </w:p>
        </w:tc>
        <w:tc>
          <w:tcPr>
            <w:tcW w:w="1060" w:type="dxa"/>
            <w:shd w:val="clear" w:color="auto" w:fill="auto"/>
          </w:tcPr>
          <w:p w:rsidR="00827D9B" w:rsidRPr="007C51D6" w:rsidRDefault="00C70C99" w:rsidP="00C70C99">
            <w:pPr>
              <w:autoSpaceDE/>
              <w:autoSpaceDN/>
              <w:adjustRightInd/>
              <w:jc w:val="center"/>
              <w:rPr>
                <w:rFonts w:eastAsia="Arial"/>
                <w:sz w:val="20"/>
                <w:szCs w:val="22"/>
              </w:rPr>
            </w:pPr>
            <w:r w:rsidRPr="007C51D6">
              <w:rPr>
                <w:rFonts w:eastAsia="Arial"/>
                <w:sz w:val="20"/>
                <w:szCs w:val="22"/>
              </w:rPr>
              <w:t>5</w:t>
            </w:r>
          </w:p>
        </w:tc>
        <w:tc>
          <w:tcPr>
            <w:tcW w:w="991" w:type="dxa"/>
            <w:shd w:val="clear" w:color="auto" w:fill="auto"/>
          </w:tcPr>
          <w:p w:rsidR="00827D9B" w:rsidRPr="007C51D6" w:rsidRDefault="00C70C99" w:rsidP="00C70C99">
            <w:pPr>
              <w:autoSpaceDE/>
              <w:autoSpaceDN/>
              <w:adjustRightInd/>
              <w:ind w:hanging="15"/>
              <w:jc w:val="center"/>
              <w:rPr>
                <w:rFonts w:eastAsia="Arial"/>
                <w:sz w:val="20"/>
                <w:szCs w:val="22"/>
              </w:rPr>
            </w:pPr>
            <w:r w:rsidRPr="007C51D6">
              <w:rPr>
                <w:rFonts w:eastAsia="Arial"/>
                <w:sz w:val="20"/>
                <w:szCs w:val="22"/>
              </w:rPr>
              <w:t>6</w:t>
            </w:r>
          </w:p>
        </w:tc>
        <w:tc>
          <w:tcPr>
            <w:tcW w:w="945" w:type="dxa"/>
          </w:tcPr>
          <w:p w:rsidR="00827D9B" w:rsidRPr="007C51D6" w:rsidRDefault="00C70C99" w:rsidP="00C70C99">
            <w:pPr>
              <w:autoSpaceDE/>
              <w:autoSpaceDN/>
              <w:adjustRightInd/>
              <w:ind w:hanging="15"/>
              <w:jc w:val="center"/>
              <w:rPr>
                <w:rFonts w:eastAsia="Arial"/>
                <w:sz w:val="20"/>
                <w:szCs w:val="22"/>
              </w:rPr>
            </w:pPr>
            <w:r w:rsidRPr="007C51D6">
              <w:rPr>
                <w:rFonts w:eastAsia="Arial"/>
                <w:sz w:val="20"/>
                <w:szCs w:val="22"/>
              </w:rPr>
              <w:t>7</w:t>
            </w:r>
          </w:p>
        </w:tc>
        <w:tc>
          <w:tcPr>
            <w:tcW w:w="999" w:type="dxa"/>
          </w:tcPr>
          <w:p w:rsidR="00827D9B" w:rsidRPr="007C51D6" w:rsidRDefault="00C70C99" w:rsidP="00C70C99">
            <w:pPr>
              <w:autoSpaceDE/>
              <w:autoSpaceDN/>
              <w:adjustRightInd/>
              <w:ind w:hanging="15"/>
              <w:jc w:val="center"/>
              <w:rPr>
                <w:rFonts w:eastAsia="Arial"/>
                <w:sz w:val="20"/>
                <w:szCs w:val="22"/>
              </w:rPr>
            </w:pPr>
            <w:r w:rsidRPr="007C51D6">
              <w:rPr>
                <w:rFonts w:eastAsia="Arial"/>
                <w:sz w:val="20"/>
                <w:szCs w:val="22"/>
              </w:rPr>
              <w:t>8</w:t>
            </w:r>
          </w:p>
        </w:tc>
        <w:tc>
          <w:tcPr>
            <w:tcW w:w="887" w:type="dxa"/>
          </w:tcPr>
          <w:p w:rsidR="00827D9B" w:rsidRPr="007C51D6" w:rsidRDefault="00C70C99" w:rsidP="00C70C99">
            <w:pPr>
              <w:autoSpaceDE/>
              <w:autoSpaceDN/>
              <w:adjustRightInd/>
              <w:ind w:hanging="15"/>
              <w:jc w:val="center"/>
              <w:rPr>
                <w:rFonts w:eastAsia="Arial"/>
                <w:sz w:val="20"/>
                <w:szCs w:val="22"/>
              </w:rPr>
            </w:pPr>
            <w:r w:rsidRPr="007C51D6">
              <w:rPr>
                <w:rFonts w:eastAsia="Arial"/>
                <w:sz w:val="20"/>
                <w:szCs w:val="22"/>
              </w:rPr>
              <w:t>9</w:t>
            </w:r>
          </w:p>
        </w:tc>
        <w:tc>
          <w:tcPr>
            <w:tcW w:w="1285" w:type="dxa"/>
          </w:tcPr>
          <w:p w:rsidR="00827D9B" w:rsidRPr="007C51D6" w:rsidRDefault="00827D9B" w:rsidP="00C70C99">
            <w:pPr>
              <w:autoSpaceDE/>
              <w:autoSpaceDN/>
              <w:adjustRightInd/>
              <w:ind w:hanging="15"/>
              <w:jc w:val="center"/>
              <w:rPr>
                <w:rFonts w:eastAsia="Arial"/>
                <w:sz w:val="20"/>
                <w:szCs w:val="22"/>
              </w:rPr>
            </w:pPr>
            <w:r w:rsidRPr="007C51D6">
              <w:rPr>
                <w:rFonts w:eastAsia="Arial"/>
                <w:sz w:val="20"/>
                <w:szCs w:val="22"/>
              </w:rPr>
              <w:t>1</w:t>
            </w:r>
            <w:r w:rsidR="00C70C99" w:rsidRPr="007C51D6">
              <w:rPr>
                <w:rFonts w:eastAsia="Arial"/>
                <w:sz w:val="20"/>
                <w:szCs w:val="22"/>
              </w:rPr>
              <w:t>0</w:t>
            </w:r>
          </w:p>
        </w:tc>
        <w:tc>
          <w:tcPr>
            <w:tcW w:w="1285" w:type="dxa"/>
          </w:tcPr>
          <w:p w:rsidR="00827D9B" w:rsidRPr="007C51D6" w:rsidRDefault="00C70C99" w:rsidP="00827D9B">
            <w:pPr>
              <w:autoSpaceDE/>
              <w:autoSpaceDN/>
              <w:adjustRightInd/>
              <w:ind w:hanging="15"/>
              <w:jc w:val="center"/>
              <w:rPr>
                <w:rFonts w:eastAsia="Arial"/>
                <w:sz w:val="20"/>
                <w:szCs w:val="22"/>
              </w:rPr>
            </w:pPr>
            <w:r w:rsidRPr="007C51D6">
              <w:rPr>
                <w:rFonts w:eastAsia="Arial"/>
                <w:sz w:val="20"/>
                <w:szCs w:val="22"/>
              </w:rPr>
              <w:t>11</w:t>
            </w:r>
          </w:p>
        </w:tc>
      </w:tr>
      <w:tr w:rsidR="0028241C" w:rsidRPr="007C51D6" w:rsidTr="00DC67CB">
        <w:trPr>
          <w:trHeight w:val="20"/>
        </w:trPr>
        <w:tc>
          <w:tcPr>
            <w:tcW w:w="15030" w:type="dxa"/>
            <w:gridSpan w:val="11"/>
            <w:tcBorders>
              <w:right w:val="single" w:sz="4" w:space="0" w:color="auto"/>
            </w:tcBorders>
            <w:shd w:val="clear" w:color="auto" w:fill="auto"/>
          </w:tcPr>
          <w:p w:rsidR="0028241C" w:rsidRPr="007C51D6" w:rsidRDefault="0028241C" w:rsidP="00827D9B">
            <w:pPr>
              <w:jc w:val="center"/>
              <w:rPr>
                <w:rFonts w:eastAsia="Arial"/>
                <w:sz w:val="20"/>
                <w:szCs w:val="22"/>
              </w:rPr>
            </w:pPr>
            <w:r w:rsidRPr="007C51D6">
              <w:rPr>
                <w:rFonts w:eastAsia="Arial"/>
                <w:sz w:val="20"/>
                <w:szCs w:val="22"/>
              </w:rPr>
              <w:t>Мужчины</w:t>
            </w:r>
          </w:p>
        </w:tc>
      </w:tr>
      <w:tr w:rsidR="00827D9B" w:rsidRPr="007C51D6" w:rsidTr="00827D9B">
        <w:trPr>
          <w:trHeight w:val="20"/>
        </w:trPr>
        <w:tc>
          <w:tcPr>
            <w:tcW w:w="4531" w:type="dxa"/>
            <w:shd w:val="clear" w:color="auto" w:fill="auto"/>
          </w:tcPr>
          <w:p w:rsidR="00827D9B" w:rsidRPr="007C51D6" w:rsidRDefault="00827D9B" w:rsidP="00827D9B">
            <w:pPr>
              <w:autoSpaceDE/>
              <w:autoSpaceDN/>
              <w:adjustRightInd/>
              <w:jc w:val="both"/>
              <w:rPr>
                <w:rFonts w:eastAsia="Arial"/>
                <w:sz w:val="20"/>
                <w:szCs w:val="20"/>
              </w:rPr>
            </w:pPr>
            <w:r w:rsidRPr="007C51D6">
              <w:rPr>
                <w:rFonts w:eastAsia="Arial"/>
                <w:sz w:val="20"/>
                <w:szCs w:val="20"/>
              </w:rPr>
              <w:t xml:space="preserve">Всего, в </w:t>
            </w:r>
            <w:r w:rsidRPr="007C51D6">
              <w:rPr>
                <w:color w:val="000000"/>
                <w:sz w:val="20"/>
                <w:szCs w:val="20"/>
              </w:rPr>
              <w:t>том числе:</w:t>
            </w:r>
            <w:r w:rsidRPr="007C51D6">
              <w:rPr>
                <w:rFonts w:eastAsia="Arial"/>
                <w:sz w:val="20"/>
                <w:szCs w:val="20"/>
              </w:rPr>
              <w:t xml:space="preserve"> </w:t>
            </w:r>
          </w:p>
        </w:tc>
        <w:tc>
          <w:tcPr>
            <w:tcW w:w="1065" w:type="dxa"/>
            <w:shd w:val="clear" w:color="auto" w:fill="auto"/>
          </w:tcPr>
          <w:p w:rsidR="00827D9B" w:rsidRPr="007C51D6" w:rsidRDefault="00827D9B" w:rsidP="00827D9B">
            <w:pPr>
              <w:autoSpaceDE/>
              <w:autoSpaceDN/>
              <w:adjustRightInd/>
              <w:jc w:val="center"/>
              <w:rPr>
                <w:color w:val="000000"/>
                <w:sz w:val="20"/>
                <w:szCs w:val="20"/>
              </w:rPr>
            </w:pPr>
            <w:r w:rsidRPr="007C51D6">
              <w:rPr>
                <w:color w:val="000000"/>
                <w:sz w:val="20"/>
                <w:szCs w:val="20"/>
              </w:rPr>
              <w:t>230,15</w:t>
            </w:r>
          </w:p>
        </w:tc>
        <w:tc>
          <w:tcPr>
            <w:tcW w:w="991" w:type="dxa"/>
            <w:shd w:val="clear" w:color="auto" w:fill="auto"/>
          </w:tcPr>
          <w:p w:rsidR="00827D9B" w:rsidRPr="007C51D6" w:rsidRDefault="00827D9B" w:rsidP="00827D9B">
            <w:pPr>
              <w:autoSpaceDE/>
              <w:autoSpaceDN/>
              <w:adjustRightInd/>
              <w:jc w:val="center"/>
              <w:rPr>
                <w:color w:val="000000"/>
                <w:sz w:val="20"/>
                <w:szCs w:val="20"/>
              </w:rPr>
            </w:pPr>
            <w:r w:rsidRPr="007C51D6">
              <w:rPr>
                <w:color w:val="000000"/>
                <w:sz w:val="20"/>
                <w:szCs w:val="20"/>
              </w:rPr>
              <w:t>225,19</w:t>
            </w:r>
          </w:p>
        </w:tc>
        <w:tc>
          <w:tcPr>
            <w:tcW w:w="991" w:type="dxa"/>
            <w:shd w:val="clear" w:color="auto" w:fill="auto"/>
          </w:tcPr>
          <w:p w:rsidR="00827D9B" w:rsidRPr="007C51D6" w:rsidRDefault="00827D9B" w:rsidP="00827D9B">
            <w:pPr>
              <w:autoSpaceDE/>
              <w:autoSpaceDN/>
              <w:adjustRightInd/>
              <w:jc w:val="center"/>
              <w:rPr>
                <w:color w:val="000000"/>
                <w:sz w:val="20"/>
                <w:szCs w:val="20"/>
              </w:rPr>
            </w:pPr>
            <w:r w:rsidRPr="007C51D6">
              <w:rPr>
                <w:color w:val="000000"/>
                <w:sz w:val="20"/>
                <w:szCs w:val="20"/>
              </w:rPr>
              <w:t>238,09</w:t>
            </w:r>
          </w:p>
        </w:tc>
        <w:tc>
          <w:tcPr>
            <w:tcW w:w="1060" w:type="dxa"/>
            <w:shd w:val="clear" w:color="auto" w:fill="auto"/>
          </w:tcPr>
          <w:p w:rsidR="00827D9B" w:rsidRPr="007C51D6" w:rsidRDefault="00827D9B" w:rsidP="00827D9B">
            <w:pPr>
              <w:autoSpaceDE/>
              <w:autoSpaceDN/>
              <w:adjustRightInd/>
              <w:jc w:val="center"/>
              <w:rPr>
                <w:color w:val="000000"/>
                <w:sz w:val="20"/>
                <w:szCs w:val="20"/>
              </w:rPr>
            </w:pPr>
            <w:r w:rsidRPr="007C51D6">
              <w:rPr>
                <w:color w:val="000000"/>
                <w:sz w:val="20"/>
                <w:szCs w:val="20"/>
              </w:rPr>
              <w:t>222,78</w:t>
            </w:r>
          </w:p>
        </w:tc>
        <w:tc>
          <w:tcPr>
            <w:tcW w:w="991" w:type="dxa"/>
            <w:shd w:val="clear" w:color="auto" w:fill="auto"/>
          </w:tcPr>
          <w:p w:rsidR="00827D9B" w:rsidRPr="007C51D6" w:rsidRDefault="00827D9B" w:rsidP="00827D9B">
            <w:pPr>
              <w:autoSpaceDE/>
              <w:autoSpaceDN/>
              <w:adjustRightInd/>
              <w:jc w:val="center"/>
              <w:rPr>
                <w:color w:val="000000"/>
                <w:sz w:val="20"/>
                <w:szCs w:val="20"/>
              </w:rPr>
            </w:pPr>
            <w:r w:rsidRPr="007C51D6">
              <w:rPr>
                <w:rFonts w:eastAsia="Arial"/>
                <w:color w:val="000000"/>
                <w:sz w:val="20"/>
                <w:szCs w:val="20"/>
              </w:rPr>
              <w:t>222,32</w:t>
            </w:r>
          </w:p>
        </w:tc>
        <w:tc>
          <w:tcPr>
            <w:tcW w:w="945" w:type="dxa"/>
          </w:tcPr>
          <w:p w:rsidR="00827D9B" w:rsidRPr="007C51D6" w:rsidRDefault="00827D9B" w:rsidP="00827D9B">
            <w:pPr>
              <w:autoSpaceDE/>
              <w:autoSpaceDN/>
              <w:adjustRightInd/>
              <w:jc w:val="center"/>
              <w:rPr>
                <w:rFonts w:eastAsia="Arial"/>
                <w:color w:val="000000"/>
                <w:sz w:val="20"/>
                <w:szCs w:val="20"/>
              </w:rPr>
            </w:pPr>
            <w:r w:rsidRPr="007C51D6">
              <w:rPr>
                <w:rFonts w:eastAsia="Arial"/>
                <w:color w:val="000000"/>
                <w:sz w:val="20"/>
                <w:szCs w:val="20"/>
              </w:rPr>
              <w:t>209,31</w:t>
            </w:r>
          </w:p>
        </w:tc>
        <w:tc>
          <w:tcPr>
            <w:tcW w:w="999" w:type="dxa"/>
          </w:tcPr>
          <w:p w:rsidR="00827D9B" w:rsidRPr="007C51D6" w:rsidRDefault="00827D9B" w:rsidP="00827D9B">
            <w:pPr>
              <w:autoSpaceDE/>
              <w:autoSpaceDN/>
              <w:adjustRightInd/>
              <w:jc w:val="center"/>
              <w:rPr>
                <w:color w:val="000000"/>
                <w:sz w:val="20"/>
                <w:szCs w:val="20"/>
              </w:rPr>
            </w:pPr>
            <w:r w:rsidRPr="007C51D6">
              <w:rPr>
                <w:color w:val="000000"/>
                <w:sz w:val="20"/>
                <w:szCs w:val="20"/>
              </w:rPr>
              <w:t>195,38</w:t>
            </w:r>
          </w:p>
        </w:tc>
        <w:tc>
          <w:tcPr>
            <w:tcW w:w="887" w:type="dxa"/>
          </w:tcPr>
          <w:p w:rsidR="00827D9B" w:rsidRPr="007C51D6" w:rsidRDefault="00827D9B" w:rsidP="00827D9B">
            <w:pPr>
              <w:autoSpaceDE/>
              <w:autoSpaceDN/>
              <w:adjustRightInd/>
              <w:jc w:val="center"/>
              <w:rPr>
                <w:color w:val="000000"/>
                <w:sz w:val="20"/>
                <w:szCs w:val="20"/>
              </w:rPr>
            </w:pPr>
            <w:r w:rsidRPr="007C51D6">
              <w:rPr>
                <w:color w:val="000000"/>
                <w:sz w:val="20"/>
                <w:szCs w:val="20"/>
              </w:rPr>
              <w:t>199,75</w:t>
            </w:r>
          </w:p>
        </w:tc>
        <w:tc>
          <w:tcPr>
            <w:tcW w:w="1285" w:type="dxa"/>
          </w:tcPr>
          <w:p w:rsidR="00827D9B" w:rsidRPr="007C51D6" w:rsidRDefault="00827D9B" w:rsidP="00827D9B">
            <w:pPr>
              <w:jc w:val="center"/>
              <w:rPr>
                <w:color w:val="000000"/>
                <w:sz w:val="20"/>
                <w:szCs w:val="20"/>
              </w:rPr>
            </w:pPr>
            <w:r w:rsidRPr="007C51D6">
              <w:rPr>
                <w:color w:val="000000"/>
                <w:sz w:val="20"/>
                <w:szCs w:val="20"/>
              </w:rPr>
              <w:t>нет данных</w:t>
            </w:r>
          </w:p>
        </w:tc>
        <w:tc>
          <w:tcPr>
            <w:tcW w:w="1285" w:type="dxa"/>
          </w:tcPr>
          <w:p w:rsidR="00827D9B" w:rsidRPr="007C51D6" w:rsidRDefault="00827D9B" w:rsidP="00827D9B">
            <w:pPr>
              <w:jc w:val="center"/>
              <w:rPr>
                <w:color w:val="000000"/>
                <w:sz w:val="20"/>
                <w:szCs w:val="20"/>
              </w:rPr>
            </w:pPr>
            <w:r w:rsidRPr="007C51D6">
              <w:rPr>
                <w:color w:val="000000"/>
                <w:sz w:val="20"/>
                <w:szCs w:val="20"/>
              </w:rPr>
              <w:t>нет данных</w:t>
            </w:r>
          </w:p>
        </w:tc>
      </w:tr>
      <w:tr w:rsidR="00827D9B" w:rsidRPr="007C51D6" w:rsidTr="00827D9B">
        <w:trPr>
          <w:trHeight w:val="20"/>
        </w:trPr>
        <w:tc>
          <w:tcPr>
            <w:tcW w:w="4531" w:type="dxa"/>
            <w:shd w:val="clear" w:color="auto" w:fill="auto"/>
          </w:tcPr>
          <w:p w:rsidR="00827D9B" w:rsidRPr="007C51D6" w:rsidRDefault="00827D9B" w:rsidP="00827D9B">
            <w:pPr>
              <w:autoSpaceDE/>
              <w:autoSpaceDN/>
              <w:adjustRightInd/>
              <w:jc w:val="both"/>
              <w:rPr>
                <w:rFonts w:eastAsia="Arial"/>
                <w:sz w:val="20"/>
                <w:szCs w:val="20"/>
              </w:rPr>
            </w:pPr>
            <w:r w:rsidRPr="007C51D6">
              <w:rPr>
                <w:rFonts w:eastAsia="Arial"/>
                <w:sz w:val="20"/>
                <w:szCs w:val="20"/>
              </w:rPr>
              <w:t>трахеи, бронхов, легких</w:t>
            </w:r>
          </w:p>
        </w:tc>
        <w:tc>
          <w:tcPr>
            <w:tcW w:w="1065" w:type="dxa"/>
            <w:shd w:val="clear" w:color="auto" w:fill="auto"/>
          </w:tcPr>
          <w:p w:rsidR="00827D9B" w:rsidRPr="007C51D6" w:rsidRDefault="00827D9B" w:rsidP="00827D9B">
            <w:pPr>
              <w:autoSpaceDE/>
              <w:autoSpaceDN/>
              <w:adjustRightInd/>
              <w:jc w:val="center"/>
              <w:rPr>
                <w:color w:val="000000"/>
                <w:sz w:val="20"/>
                <w:szCs w:val="20"/>
              </w:rPr>
            </w:pPr>
            <w:r w:rsidRPr="007C51D6">
              <w:rPr>
                <w:color w:val="000000"/>
                <w:sz w:val="20"/>
                <w:szCs w:val="20"/>
              </w:rPr>
              <w:t>59,42</w:t>
            </w:r>
          </w:p>
        </w:tc>
        <w:tc>
          <w:tcPr>
            <w:tcW w:w="991" w:type="dxa"/>
            <w:shd w:val="clear" w:color="auto" w:fill="auto"/>
          </w:tcPr>
          <w:p w:rsidR="00827D9B" w:rsidRPr="007C51D6" w:rsidRDefault="00827D9B" w:rsidP="00827D9B">
            <w:pPr>
              <w:autoSpaceDE/>
              <w:autoSpaceDN/>
              <w:adjustRightInd/>
              <w:jc w:val="center"/>
              <w:rPr>
                <w:color w:val="000000"/>
                <w:sz w:val="20"/>
                <w:szCs w:val="20"/>
              </w:rPr>
            </w:pPr>
            <w:r w:rsidRPr="007C51D6">
              <w:rPr>
                <w:color w:val="000000"/>
                <w:sz w:val="20"/>
                <w:szCs w:val="20"/>
              </w:rPr>
              <w:t>56,46</w:t>
            </w:r>
          </w:p>
        </w:tc>
        <w:tc>
          <w:tcPr>
            <w:tcW w:w="991" w:type="dxa"/>
            <w:shd w:val="clear" w:color="auto" w:fill="auto"/>
          </w:tcPr>
          <w:p w:rsidR="00827D9B" w:rsidRPr="007C51D6" w:rsidRDefault="00827D9B" w:rsidP="00827D9B">
            <w:pPr>
              <w:autoSpaceDE/>
              <w:autoSpaceDN/>
              <w:adjustRightInd/>
              <w:jc w:val="center"/>
              <w:rPr>
                <w:color w:val="000000"/>
                <w:sz w:val="20"/>
                <w:szCs w:val="20"/>
              </w:rPr>
            </w:pPr>
            <w:r w:rsidRPr="007C51D6">
              <w:rPr>
                <w:color w:val="000000"/>
                <w:sz w:val="20"/>
                <w:szCs w:val="20"/>
              </w:rPr>
              <w:t>60,32</w:t>
            </w:r>
          </w:p>
        </w:tc>
        <w:tc>
          <w:tcPr>
            <w:tcW w:w="1060" w:type="dxa"/>
            <w:shd w:val="clear" w:color="auto" w:fill="auto"/>
          </w:tcPr>
          <w:p w:rsidR="00827D9B" w:rsidRPr="007C51D6" w:rsidRDefault="00827D9B" w:rsidP="00827D9B">
            <w:pPr>
              <w:autoSpaceDE/>
              <w:autoSpaceDN/>
              <w:adjustRightInd/>
              <w:jc w:val="center"/>
              <w:rPr>
                <w:color w:val="000000"/>
                <w:sz w:val="20"/>
                <w:szCs w:val="20"/>
              </w:rPr>
            </w:pPr>
            <w:r w:rsidRPr="007C51D6">
              <w:rPr>
                <w:color w:val="000000"/>
                <w:sz w:val="20"/>
                <w:szCs w:val="20"/>
              </w:rPr>
              <w:t>55,71</w:t>
            </w:r>
          </w:p>
        </w:tc>
        <w:tc>
          <w:tcPr>
            <w:tcW w:w="991" w:type="dxa"/>
            <w:shd w:val="clear" w:color="auto" w:fill="auto"/>
          </w:tcPr>
          <w:p w:rsidR="00827D9B" w:rsidRPr="007C51D6" w:rsidRDefault="00827D9B" w:rsidP="00827D9B">
            <w:pPr>
              <w:autoSpaceDE/>
              <w:autoSpaceDN/>
              <w:adjustRightInd/>
              <w:jc w:val="center"/>
              <w:rPr>
                <w:rFonts w:eastAsia="Arial"/>
                <w:color w:val="000000"/>
                <w:sz w:val="20"/>
                <w:szCs w:val="20"/>
              </w:rPr>
            </w:pPr>
            <w:r w:rsidRPr="007C51D6">
              <w:rPr>
                <w:rFonts w:eastAsia="Arial"/>
                <w:color w:val="000000"/>
                <w:sz w:val="20"/>
                <w:szCs w:val="20"/>
              </w:rPr>
              <w:t>55,40</w:t>
            </w:r>
          </w:p>
        </w:tc>
        <w:tc>
          <w:tcPr>
            <w:tcW w:w="945" w:type="dxa"/>
          </w:tcPr>
          <w:p w:rsidR="00827D9B" w:rsidRPr="007C51D6" w:rsidRDefault="00827D9B" w:rsidP="00827D9B">
            <w:pPr>
              <w:autoSpaceDE/>
              <w:autoSpaceDN/>
              <w:adjustRightInd/>
              <w:jc w:val="center"/>
              <w:rPr>
                <w:rFonts w:eastAsia="Arial"/>
                <w:color w:val="000000"/>
                <w:sz w:val="20"/>
                <w:szCs w:val="20"/>
              </w:rPr>
            </w:pPr>
            <w:r w:rsidRPr="007C51D6">
              <w:rPr>
                <w:rFonts w:eastAsia="Arial"/>
                <w:color w:val="000000"/>
                <w:sz w:val="20"/>
                <w:szCs w:val="20"/>
              </w:rPr>
              <w:t>52,13</w:t>
            </w:r>
          </w:p>
        </w:tc>
        <w:tc>
          <w:tcPr>
            <w:tcW w:w="999" w:type="dxa"/>
          </w:tcPr>
          <w:p w:rsidR="00827D9B" w:rsidRPr="007C51D6" w:rsidRDefault="00827D9B" w:rsidP="00827D9B">
            <w:pPr>
              <w:jc w:val="center"/>
              <w:rPr>
                <w:color w:val="000000"/>
                <w:sz w:val="20"/>
                <w:szCs w:val="20"/>
              </w:rPr>
            </w:pPr>
            <w:r w:rsidRPr="007C51D6">
              <w:rPr>
                <w:color w:val="000000"/>
                <w:sz w:val="20"/>
                <w:szCs w:val="20"/>
              </w:rPr>
              <w:t>47,63</w:t>
            </w:r>
          </w:p>
        </w:tc>
        <w:tc>
          <w:tcPr>
            <w:tcW w:w="887" w:type="dxa"/>
          </w:tcPr>
          <w:p w:rsidR="00827D9B" w:rsidRPr="007C51D6" w:rsidRDefault="00827D9B" w:rsidP="00827D9B">
            <w:pPr>
              <w:jc w:val="center"/>
              <w:rPr>
                <w:color w:val="000000"/>
                <w:sz w:val="20"/>
                <w:szCs w:val="20"/>
              </w:rPr>
            </w:pPr>
            <w:r w:rsidRPr="007C51D6">
              <w:rPr>
                <w:color w:val="000000"/>
                <w:sz w:val="20"/>
                <w:szCs w:val="20"/>
              </w:rPr>
              <w:t>49,55</w:t>
            </w:r>
          </w:p>
        </w:tc>
        <w:tc>
          <w:tcPr>
            <w:tcW w:w="1285" w:type="dxa"/>
          </w:tcPr>
          <w:p w:rsidR="00827D9B" w:rsidRPr="007C51D6" w:rsidRDefault="00827D9B" w:rsidP="00827D9B">
            <w:pPr>
              <w:jc w:val="center"/>
              <w:rPr>
                <w:sz w:val="20"/>
                <w:szCs w:val="20"/>
              </w:rPr>
            </w:pPr>
            <w:r w:rsidRPr="007C51D6">
              <w:rPr>
                <w:color w:val="000000"/>
                <w:sz w:val="20"/>
                <w:szCs w:val="20"/>
              </w:rPr>
              <w:t>нет данных</w:t>
            </w:r>
          </w:p>
        </w:tc>
        <w:tc>
          <w:tcPr>
            <w:tcW w:w="1285" w:type="dxa"/>
          </w:tcPr>
          <w:p w:rsidR="00827D9B" w:rsidRPr="007C51D6" w:rsidRDefault="00827D9B" w:rsidP="00827D9B">
            <w:pPr>
              <w:jc w:val="center"/>
              <w:rPr>
                <w:sz w:val="20"/>
                <w:szCs w:val="20"/>
              </w:rPr>
            </w:pPr>
            <w:r w:rsidRPr="007C51D6">
              <w:rPr>
                <w:color w:val="000000"/>
                <w:sz w:val="20"/>
                <w:szCs w:val="20"/>
              </w:rPr>
              <w:t>нет данных</w:t>
            </w:r>
          </w:p>
        </w:tc>
      </w:tr>
      <w:tr w:rsidR="00827D9B" w:rsidRPr="007C51D6" w:rsidTr="00827D9B">
        <w:trPr>
          <w:trHeight w:val="20"/>
        </w:trPr>
        <w:tc>
          <w:tcPr>
            <w:tcW w:w="4531" w:type="dxa"/>
            <w:shd w:val="clear" w:color="auto" w:fill="auto"/>
          </w:tcPr>
          <w:p w:rsidR="00827D9B" w:rsidRPr="007C51D6" w:rsidRDefault="00827D9B" w:rsidP="00827D9B">
            <w:pPr>
              <w:autoSpaceDE/>
              <w:autoSpaceDN/>
              <w:adjustRightInd/>
              <w:jc w:val="both"/>
              <w:rPr>
                <w:rFonts w:eastAsia="Arial"/>
                <w:sz w:val="20"/>
                <w:szCs w:val="20"/>
              </w:rPr>
            </w:pPr>
            <w:r w:rsidRPr="007C51D6">
              <w:rPr>
                <w:rFonts w:eastAsia="Arial"/>
                <w:sz w:val="20"/>
                <w:szCs w:val="20"/>
              </w:rPr>
              <w:t>желудка</w:t>
            </w:r>
          </w:p>
        </w:tc>
        <w:tc>
          <w:tcPr>
            <w:tcW w:w="1065" w:type="dxa"/>
            <w:shd w:val="clear" w:color="auto" w:fill="auto"/>
          </w:tcPr>
          <w:p w:rsidR="00827D9B" w:rsidRPr="007C51D6" w:rsidRDefault="00827D9B" w:rsidP="00827D9B">
            <w:pPr>
              <w:autoSpaceDE/>
              <w:autoSpaceDN/>
              <w:adjustRightInd/>
              <w:jc w:val="center"/>
              <w:rPr>
                <w:color w:val="000000"/>
                <w:sz w:val="20"/>
                <w:szCs w:val="20"/>
              </w:rPr>
            </w:pPr>
            <w:r w:rsidRPr="007C51D6">
              <w:rPr>
                <w:color w:val="000000"/>
                <w:sz w:val="20"/>
                <w:szCs w:val="20"/>
              </w:rPr>
              <w:t>27,87</w:t>
            </w:r>
          </w:p>
        </w:tc>
        <w:tc>
          <w:tcPr>
            <w:tcW w:w="991" w:type="dxa"/>
            <w:shd w:val="clear" w:color="auto" w:fill="auto"/>
          </w:tcPr>
          <w:p w:rsidR="00827D9B" w:rsidRPr="007C51D6" w:rsidRDefault="00827D9B" w:rsidP="00827D9B">
            <w:pPr>
              <w:autoSpaceDE/>
              <w:autoSpaceDN/>
              <w:adjustRightInd/>
              <w:jc w:val="center"/>
              <w:rPr>
                <w:color w:val="000000"/>
                <w:sz w:val="20"/>
                <w:szCs w:val="20"/>
              </w:rPr>
            </w:pPr>
            <w:r w:rsidRPr="007C51D6">
              <w:rPr>
                <w:color w:val="000000"/>
                <w:sz w:val="20"/>
                <w:szCs w:val="20"/>
              </w:rPr>
              <w:t>25,15</w:t>
            </w:r>
          </w:p>
        </w:tc>
        <w:tc>
          <w:tcPr>
            <w:tcW w:w="991" w:type="dxa"/>
            <w:shd w:val="clear" w:color="auto" w:fill="auto"/>
          </w:tcPr>
          <w:p w:rsidR="00827D9B" w:rsidRPr="007C51D6" w:rsidRDefault="00827D9B" w:rsidP="00827D9B">
            <w:pPr>
              <w:autoSpaceDE/>
              <w:autoSpaceDN/>
              <w:adjustRightInd/>
              <w:jc w:val="center"/>
              <w:rPr>
                <w:color w:val="000000"/>
                <w:sz w:val="20"/>
                <w:szCs w:val="20"/>
              </w:rPr>
            </w:pPr>
            <w:r w:rsidRPr="007C51D6">
              <w:rPr>
                <w:color w:val="000000"/>
                <w:sz w:val="20"/>
                <w:szCs w:val="20"/>
              </w:rPr>
              <w:t>27,59</w:t>
            </w:r>
          </w:p>
        </w:tc>
        <w:tc>
          <w:tcPr>
            <w:tcW w:w="1060" w:type="dxa"/>
            <w:shd w:val="clear" w:color="auto" w:fill="auto"/>
          </w:tcPr>
          <w:p w:rsidR="00827D9B" w:rsidRPr="007C51D6" w:rsidRDefault="00827D9B" w:rsidP="00827D9B">
            <w:pPr>
              <w:autoSpaceDE/>
              <w:autoSpaceDN/>
              <w:adjustRightInd/>
              <w:jc w:val="center"/>
              <w:rPr>
                <w:color w:val="000000"/>
                <w:sz w:val="20"/>
                <w:szCs w:val="20"/>
              </w:rPr>
            </w:pPr>
            <w:r w:rsidRPr="007C51D6">
              <w:rPr>
                <w:color w:val="000000"/>
                <w:sz w:val="20"/>
                <w:szCs w:val="20"/>
              </w:rPr>
              <w:t>21,96</w:t>
            </w:r>
          </w:p>
        </w:tc>
        <w:tc>
          <w:tcPr>
            <w:tcW w:w="991" w:type="dxa"/>
            <w:shd w:val="clear" w:color="auto" w:fill="auto"/>
          </w:tcPr>
          <w:p w:rsidR="00827D9B" w:rsidRPr="007C51D6" w:rsidRDefault="00827D9B" w:rsidP="00827D9B">
            <w:pPr>
              <w:autoSpaceDE/>
              <w:autoSpaceDN/>
              <w:adjustRightInd/>
              <w:jc w:val="center"/>
              <w:rPr>
                <w:rFonts w:eastAsia="Arial"/>
                <w:color w:val="000000"/>
                <w:sz w:val="20"/>
                <w:szCs w:val="20"/>
              </w:rPr>
            </w:pPr>
            <w:r w:rsidRPr="007C51D6">
              <w:rPr>
                <w:rFonts w:eastAsia="Arial"/>
                <w:color w:val="000000"/>
                <w:sz w:val="20"/>
                <w:szCs w:val="20"/>
              </w:rPr>
              <w:t>25,10</w:t>
            </w:r>
          </w:p>
        </w:tc>
        <w:tc>
          <w:tcPr>
            <w:tcW w:w="945" w:type="dxa"/>
          </w:tcPr>
          <w:p w:rsidR="00827D9B" w:rsidRPr="007C51D6" w:rsidRDefault="00827D9B" w:rsidP="00827D9B">
            <w:pPr>
              <w:autoSpaceDE/>
              <w:autoSpaceDN/>
              <w:adjustRightInd/>
              <w:jc w:val="center"/>
              <w:rPr>
                <w:rFonts w:eastAsia="Arial"/>
                <w:color w:val="000000"/>
                <w:sz w:val="20"/>
                <w:szCs w:val="20"/>
              </w:rPr>
            </w:pPr>
            <w:r w:rsidRPr="007C51D6">
              <w:rPr>
                <w:rFonts w:eastAsia="Arial"/>
                <w:color w:val="000000"/>
                <w:sz w:val="20"/>
                <w:szCs w:val="20"/>
              </w:rPr>
              <w:t>22,35</w:t>
            </w:r>
          </w:p>
        </w:tc>
        <w:tc>
          <w:tcPr>
            <w:tcW w:w="999" w:type="dxa"/>
          </w:tcPr>
          <w:p w:rsidR="00827D9B" w:rsidRPr="007C51D6" w:rsidRDefault="00827D9B" w:rsidP="00827D9B">
            <w:pPr>
              <w:jc w:val="center"/>
              <w:rPr>
                <w:color w:val="000000"/>
                <w:sz w:val="20"/>
                <w:szCs w:val="20"/>
              </w:rPr>
            </w:pPr>
            <w:r w:rsidRPr="007C51D6">
              <w:rPr>
                <w:color w:val="000000"/>
                <w:sz w:val="20"/>
                <w:szCs w:val="20"/>
              </w:rPr>
              <w:t>20,76</w:t>
            </w:r>
          </w:p>
        </w:tc>
        <w:tc>
          <w:tcPr>
            <w:tcW w:w="887" w:type="dxa"/>
          </w:tcPr>
          <w:p w:rsidR="00827D9B" w:rsidRPr="007C51D6" w:rsidRDefault="00827D9B" w:rsidP="00827D9B">
            <w:pPr>
              <w:jc w:val="center"/>
              <w:rPr>
                <w:color w:val="000000"/>
                <w:sz w:val="20"/>
                <w:szCs w:val="20"/>
              </w:rPr>
            </w:pPr>
            <w:r w:rsidRPr="007C51D6">
              <w:rPr>
                <w:color w:val="000000"/>
                <w:sz w:val="20"/>
                <w:szCs w:val="20"/>
              </w:rPr>
              <w:t>18,25</w:t>
            </w:r>
          </w:p>
        </w:tc>
        <w:tc>
          <w:tcPr>
            <w:tcW w:w="1285" w:type="dxa"/>
          </w:tcPr>
          <w:p w:rsidR="00827D9B" w:rsidRPr="007C51D6" w:rsidRDefault="00827D9B" w:rsidP="00827D9B">
            <w:pPr>
              <w:jc w:val="center"/>
              <w:rPr>
                <w:sz w:val="20"/>
                <w:szCs w:val="20"/>
              </w:rPr>
            </w:pPr>
            <w:r w:rsidRPr="007C51D6">
              <w:rPr>
                <w:color w:val="000000"/>
                <w:sz w:val="20"/>
                <w:szCs w:val="20"/>
              </w:rPr>
              <w:t>нет данных</w:t>
            </w:r>
          </w:p>
        </w:tc>
        <w:tc>
          <w:tcPr>
            <w:tcW w:w="1285" w:type="dxa"/>
          </w:tcPr>
          <w:p w:rsidR="00827D9B" w:rsidRPr="007C51D6" w:rsidRDefault="00827D9B" w:rsidP="00827D9B">
            <w:pPr>
              <w:jc w:val="center"/>
              <w:rPr>
                <w:sz w:val="20"/>
                <w:szCs w:val="20"/>
              </w:rPr>
            </w:pPr>
            <w:r w:rsidRPr="007C51D6">
              <w:rPr>
                <w:color w:val="000000"/>
                <w:sz w:val="20"/>
                <w:szCs w:val="20"/>
              </w:rPr>
              <w:t>нет данных</w:t>
            </w:r>
          </w:p>
        </w:tc>
      </w:tr>
      <w:tr w:rsidR="00827D9B" w:rsidRPr="007C51D6" w:rsidTr="00827D9B">
        <w:trPr>
          <w:trHeight w:val="20"/>
        </w:trPr>
        <w:tc>
          <w:tcPr>
            <w:tcW w:w="4531" w:type="dxa"/>
            <w:shd w:val="clear" w:color="auto" w:fill="auto"/>
          </w:tcPr>
          <w:p w:rsidR="00827D9B" w:rsidRPr="007C51D6" w:rsidRDefault="00827D9B" w:rsidP="00827D9B">
            <w:pPr>
              <w:autoSpaceDE/>
              <w:autoSpaceDN/>
              <w:adjustRightInd/>
              <w:jc w:val="both"/>
              <w:rPr>
                <w:rFonts w:eastAsia="Arial"/>
                <w:sz w:val="20"/>
                <w:szCs w:val="20"/>
              </w:rPr>
            </w:pPr>
            <w:r w:rsidRPr="007C51D6">
              <w:rPr>
                <w:rFonts w:eastAsia="Arial"/>
                <w:sz w:val="20"/>
                <w:szCs w:val="20"/>
              </w:rPr>
              <w:t>предстательной железы</w:t>
            </w:r>
          </w:p>
        </w:tc>
        <w:tc>
          <w:tcPr>
            <w:tcW w:w="1065" w:type="dxa"/>
            <w:shd w:val="clear" w:color="auto" w:fill="auto"/>
          </w:tcPr>
          <w:p w:rsidR="00827D9B" w:rsidRPr="007C51D6" w:rsidRDefault="00827D9B" w:rsidP="00827D9B">
            <w:pPr>
              <w:autoSpaceDE/>
              <w:autoSpaceDN/>
              <w:adjustRightInd/>
              <w:jc w:val="center"/>
              <w:rPr>
                <w:color w:val="000000"/>
                <w:sz w:val="20"/>
                <w:szCs w:val="20"/>
              </w:rPr>
            </w:pPr>
            <w:r w:rsidRPr="007C51D6">
              <w:rPr>
                <w:color w:val="000000"/>
                <w:sz w:val="20"/>
                <w:szCs w:val="20"/>
              </w:rPr>
              <w:t>23,02</w:t>
            </w:r>
          </w:p>
        </w:tc>
        <w:tc>
          <w:tcPr>
            <w:tcW w:w="991" w:type="dxa"/>
            <w:shd w:val="clear" w:color="auto" w:fill="auto"/>
          </w:tcPr>
          <w:p w:rsidR="00827D9B" w:rsidRPr="007C51D6" w:rsidRDefault="00827D9B" w:rsidP="00827D9B">
            <w:pPr>
              <w:autoSpaceDE/>
              <w:autoSpaceDN/>
              <w:adjustRightInd/>
              <w:jc w:val="center"/>
              <w:rPr>
                <w:color w:val="000000"/>
                <w:sz w:val="20"/>
                <w:szCs w:val="20"/>
              </w:rPr>
            </w:pPr>
            <w:r w:rsidRPr="007C51D6">
              <w:rPr>
                <w:color w:val="000000"/>
                <w:sz w:val="20"/>
                <w:szCs w:val="20"/>
              </w:rPr>
              <w:t>23,32</w:t>
            </w:r>
          </w:p>
        </w:tc>
        <w:tc>
          <w:tcPr>
            <w:tcW w:w="991" w:type="dxa"/>
            <w:shd w:val="clear" w:color="auto" w:fill="auto"/>
          </w:tcPr>
          <w:p w:rsidR="00827D9B" w:rsidRPr="007C51D6" w:rsidRDefault="00827D9B" w:rsidP="00827D9B">
            <w:pPr>
              <w:autoSpaceDE/>
              <w:autoSpaceDN/>
              <w:adjustRightInd/>
              <w:jc w:val="center"/>
              <w:rPr>
                <w:color w:val="000000"/>
                <w:sz w:val="20"/>
                <w:szCs w:val="20"/>
              </w:rPr>
            </w:pPr>
            <w:r w:rsidRPr="007C51D6">
              <w:rPr>
                <w:color w:val="000000"/>
                <w:sz w:val="20"/>
                <w:szCs w:val="20"/>
              </w:rPr>
              <w:t>23,21</w:t>
            </w:r>
          </w:p>
        </w:tc>
        <w:tc>
          <w:tcPr>
            <w:tcW w:w="1060" w:type="dxa"/>
            <w:shd w:val="clear" w:color="auto" w:fill="auto"/>
          </w:tcPr>
          <w:p w:rsidR="00827D9B" w:rsidRPr="007C51D6" w:rsidRDefault="00827D9B" w:rsidP="00827D9B">
            <w:pPr>
              <w:autoSpaceDE/>
              <w:autoSpaceDN/>
              <w:adjustRightInd/>
              <w:jc w:val="center"/>
              <w:rPr>
                <w:color w:val="000000"/>
                <w:sz w:val="20"/>
                <w:szCs w:val="20"/>
              </w:rPr>
            </w:pPr>
            <w:r w:rsidRPr="007C51D6">
              <w:rPr>
                <w:color w:val="000000"/>
                <w:sz w:val="20"/>
                <w:szCs w:val="20"/>
              </w:rPr>
              <w:t>22,13</w:t>
            </w:r>
          </w:p>
        </w:tc>
        <w:tc>
          <w:tcPr>
            <w:tcW w:w="991" w:type="dxa"/>
            <w:shd w:val="clear" w:color="auto" w:fill="auto"/>
          </w:tcPr>
          <w:p w:rsidR="00827D9B" w:rsidRPr="007C51D6" w:rsidRDefault="00827D9B" w:rsidP="00827D9B">
            <w:pPr>
              <w:autoSpaceDE/>
              <w:autoSpaceDN/>
              <w:adjustRightInd/>
              <w:jc w:val="center"/>
              <w:rPr>
                <w:rFonts w:eastAsia="Arial"/>
                <w:color w:val="000000"/>
                <w:sz w:val="20"/>
                <w:szCs w:val="20"/>
              </w:rPr>
            </w:pPr>
            <w:r w:rsidRPr="007C51D6">
              <w:rPr>
                <w:rFonts w:eastAsia="Arial"/>
                <w:color w:val="000000"/>
                <w:sz w:val="20"/>
                <w:szCs w:val="20"/>
              </w:rPr>
              <w:t>20,35</w:t>
            </w:r>
          </w:p>
        </w:tc>
        <w:tc>
          <w:tcPr>
            <w:tcW w:w="945" w:type="dxa"/>
          </w:tcPr>
          <w:p w:rsidR="00827D9B" w:rsidRPr="007C51D6" w:rsidRDefault="00827D9B" w:rsidP="00827D9B">
            <w:pPr>
              <w:autoSpaceDE/>
              <w:autoSpaceDN/>
              <w:adjustRightInd/>
              <w:jc w:val="center"/>
              <w:rPr>
                <w:rFonts w:eastAsia="Arial"/>
                <w:color w:val="000000"/>
                <w:sz w:val="20"/>
                <w:szCs w:val="20"/>
              </w:rPr>
            </w:pPr>
            <w:r w:rsidRPr="007C51D6">
              <w:rPr>
                <w:rFonts w:eastAsia="Arial"/>
                <w:color w:val="000000"/>
                <w:sz w:val="20"/>
                <w:szCs w:val="20"/>
              </w:rPr>
              <w:t>19,74</w:t>
            </w:r>
          </w:p>
        </w:tc>
        <w:tc>
          <w:tcPr>
            <w:tcW w:w="999" w:type="dxa"/>
          </w:tcPr>
          <w:p w:rsidR="00827D9B" w:rsidRPr="007C51D6" w:rsidRDefault="00827D9B" w:rsidP="00827D9B">
            <w:pPr>
              <w:jc w:val="center"/>
              <w:rPr>
                <w:color w:val="000000"/>
                <w:sz w:val="20"/>
                <w:szCs w:val="20"/>
              </w:rPr>
            </w:pPr>
            <w:r w:rsidRPr="007C51D6">
              <w:rPr>
                <w:color w:val="000000"/>
                <w:sz w:val="20"/>
                <w:szCs w:val="20"/>
              </w:rPr>
              <w:t>18,84</w:t>
            </w:r>
          </w:p>
        </w:tc>
        <w:tc>
          <w:tcPr>
            <w:tcW w:w="887" w:type="dxa"/>
          </w:tcPr>
          <w:p w:rsidR="00827D9B" w:rsidRPr="007C51D6" w:rsidRDefault="00827D9B" w:rsidP="00827D9B">
            <w:pPr>
              <w:jc w:val="center"/>
              <w:rPr>
                <w:color w:val="000000"/>
                <w:sz w:val="20"/>
                <w:szCs w:val="20"/>
              </w:rPr>
            </w:pPr>
            <w:r w:rsidRPr="007C51D6">
              <w:rPr>
                <w:color w:val="000000"/>
                <w:sz w:val="20"/>
                <w:szCs w:val="20"/>
              </w:rPr>
              <w:t>16,59</w:t>
            </w:r>
          </w:p>
        </w:tc>
        <w:tc>
          <w:tcPr>
            <w:tcW w:w="1285" w:type="dxa"/>
          </w:tcPr>
          <w:p w:rsidR="00827D9B" w:rsidRPr="007C51D6" w:rsidRDefault="00827D9B" w:rsidP="00827D9B">
            <w:pPr>
              <w:jc w:val="center"/>
              <w:rPr>
                <w:sz w:val="20"/>
                <w:szCs w:val="20"/>
              </w:rPr>
            </w:pPr>
            <w:r w:rsidRPr="007C51D6">
              <w:rPr>
                <w:color w:val="000000"/>
                <w:sz w:val="20"/>
                <w:szCs w:val="20"/>
              </w:rPr>
              <w:t>нет данных</w:t>
            </w:r>
          </w:p>
        </w:tc>
        <w:tc>
          <w:tcPr>
            <w:tcW w:w="1285" w:type="dxa"/>
          </w:tcPr>
          <w:p w:rsidR="00827D9B" w:rsidRPr="007C51D6" w:rsidRDefault="00827D9B" w:rsidP="00827D9B">
            <w:pPr>
              <w:jc w:val="center"/>
              <w:rPr>
                <w:sz w:val="20"/>
                <w:szCs w:val="20"/>
              </w:rPr>
            </w:pPr>
            <w:r w:rsidRPr="007C51D6">
              <w:rPr>
                <w:color w:val="000000"/>
                <w:sz w:val="20"/>
                <w:szCs w:val="20"/>
              </w:rPr>
              <w:t>нет данных</w:t>
            </w:r>
          </w:p>
        </w:tc>
      </w:tr>
      <w:tr w:rsidR="00827D9B" w:rsidRPr="007C51D6" w:rsidTr="00827D9B">
        <w:trPr>
          <w:trHeight w:val="20"/>
        </w:trPr>
        <w:tc>
          <w:tcPr>
            <w:tcW w:w="4531" w:type="dxa"/>
            <w:shd w:val="clear" w:color="auto" w:fill="auto"/>
          </w:tcPr>
          <w:p w:rsidR="00827D9B" w:rsidRPr="007C51D6" w:rsidRDefault="00827D9B" w:rsidP="00827D9B">
            <w:pPr>
              <w:autoSpaceDE/>
              <w:autoSpaceDN/>
              <w:adjustRightInd/>
              <w:jc w:val="both"/>
              <w:rPr>
                <w:rFonts w:eastAsia="Arial"/>
                <w:sz w:val="20"/>
                <w:szCs w:val="20"/>
              </w:rPr>
            </w:pPr>
            <w:r w:rsidRPr="007C51D6">
              <w:rPr>
                <w:rFonts w:eastAsia="Arial"/>
                <w:sz w:val="20"/>
                <w:szCs w:val="20"/>
              </w:rPr>
              <w:t>ободочной кишки</w:t>
            </w:r>
          </w:p>
        </w:tc>
        <w:tc>
          <w:tcPr>
            <w:tcW w:w="1065" w:type="dxa"/>
            <w:shd w:val="clear" w:color="auto" w:fill="auto"/>
          </w:tcPr>
          <w:p w:rsidR="00827D9B" w:rsidRPr="007C51D6" w:rsidRDefault="00827D9B" w:rsidP="00827D9B">
            <w:pPr>
              <w:autoSpaceDE/>
              <w:autoSpaceDN/>
              <w:adjustRightInd/>
              <w:jc w:val="center"/>
              <w:rPr>
                <w:color w:val="000000"/>
                <w:sz w:val="20"/>
                <w:szCs w:val="20"/>
              </w:rPr>
            </w:pPr>
            <w:r w:rsidRPr="007C51D6">
              <w:rPr>
                <w:color w:val="000000"/>
                <w:sz w:val="20"/>
                <w:szCs w:val="20"/>
              </w:rPr>
              <w:t>12,49</w:t>
            </w:r>
          </w:p>
        </w:tc>
        <w:tc>
          <w:tcPr>
            <w:tcW w:w="991" w:type="dxa"/>
            <w:shd w:val="clear" w:color="auto" w:fill="auto"/>
          </w:tcPr>
          <w:p w:rsidR="00827D9B" w:rsidRPr="007C51D6" w:rsidRDefault="00827D9B" w:rsidP="00827D9B">
            <w:pPr>
              <w:autoSpaceDE/>
              <w:autoSpaceDN/>
              <w:adjustRightInd/>
              <w:jc w:val="center"/>
              <w:rPr>
                <w:color w:val="000000"/>
                <w:sz w:val="20"/>
                <w:szCs w:val="20"/>
              </w:rPr>
            </w:pPr>
            <w:r w:rsidRPr="007C51D6">
              <w:rPr>
                <w:color w:val="000000"/>
                <w:sz w:val="20"/>
                <w:szCs w:val="20"/>
              </w:rPr>
              <w:t>13,88</w:t>
            </w:r>
          </w:p>
        </w:tc>
        <w:tc>
          <w:tcPr>
            <w:tcW w:w="991" w:type="dxa"/>
            <w:shd w:val="clear" w:color="auto" w:fill="auto"/>
          </w:tcPr>
          <w:p w:rsidR="00827D9B" w:rsidRPr="007C51D6" w:rsidRDefault="00827D9B" w:rsidP="00827D9B">
            <w:pPr>
              <w:autoSpaceDE/>
              <w:autoSpaceDN/>
              <w:adjustRightInd/>
              <w:jc w:val="center"/>
              <w:rPr>
                <w:color w:val="000000"/>
                <w:sz w:val="20"/>
                <w:szCs w:val="20"/>
              </w:rPr>
            </w:pPr>
            <w:r w:rsidRPr="007C51D6">
              <w:rPr>
                <w:color w:val="000000"/>
                <w:sz w:val="20"/>
                <w:szCs w:val="20"/>
              </w:rPr>
              <w:t>13,07</w:t>
            </w:r>
          </w:p>
        </w:tc>
        <w:tc>
          <w:tcPr>
            <w:tcW w:w="1060" w:type="dxa"/>
            <w:shd w:val="clear" w:color="auto" w:fill="auto"/>
          </w:tcPr>
          <w:p w:rsidR="00827D9B" w:rsidRPr="007C51D6" w:rsidRDefault="00827D9B" w:rsidP="00827D9B">
            <w:pPr>
              <w:autoSpaceDE/>
              <w:autoSpaceDN/>
              <w:adjustRightInd/>
              <w:jc w:val="center"/>
              <w:rPr>
                <w:color w:val="000000"/>
                <w:sz w:val="20"/>
                <w:szCs w:val="20"/>
              </w:rPr>
            </w:pPr>
            <w:r w:rsidRPr="007C51D6">
              <w:rPr>
                <w:color w:val="000000"/>
                <w:sz w:val="20"/>
                <w:szCs w:val="20"/>
              </w:rPr>
              <w:t>13,17</w:t>
            </w:r>
          </w:p>
        </w:tc>
        <w:tc>
          <w:tcPr>
            <w:tcW w:w="991" w:type="dxa"/>
            <w:shd w:val="clear" w:color="auto" w:fill="auto"/>
          </w:tcPr>
          <w:p w:rsidR="00827D9B" w:rsidRPr="007C51D6" w:rsidRDefault="00827D9B" w:rsidP="00827D9B">
            <w:pPr>
              <w:autoSpaceDE/>
              <w:autoSpaceDN/>
              <w:adjustRightInd/>
              <w:jc w:val="center"/>
              <w:rPr>
                <w:rFonts w:eastAsia="Arial"/>
                <w:color w:val="000000"/>
                <w:sz w:val="20"/>
                <w:szCs w:val="20"/>
              </w:rPr>
            </w:pPr>
            <w:r w:rsidRPr="007C51D6">
              <w:rPr>
                <w:rFonts w:eastAsia="Arial"/>
                <w:color w:val="000000"/>
                <w:sz w:val="20"/>
                <w:szCs w:val="20"/>
              </w:rPr>
              <w:t>13,93</w:t>
            </w:r>
          </w:p>
        </w:tc>
        <w:tc>
          <w:tcPr>
            <w:tcW w:w="945" w:type="dxa"/>
          </w:tcPr>
          <w:p w:rsidR="00827D9B" w:rsidRPr="007C51D6" w:rsidRDefault="00827D9B" w:rsidP="00827D9B">
            <w:pPr>
              <w:autoSpaceDE/>
              <w:autoSpaceDN/>
              <w:adjustRightInd/>
              <w:jc w:val="center"/>
              <w:rPr>
                <w:rFonts w:eastAsia="Arial"/>
                <w:color w:val="000000"/>
                <w:sz w:val="20"/>
                <w:szCs w:val="20"/>
              </w:rPr>
            </w:pPr>
            <w:r w:rsidRPr="007C51D6">
              <w:rPr>
                <w:rFonts w:eastAsia="Arial"/>
                <w:color w:val="000000"/>
                <w:sz w:val="20"/>
                <w:szCs w:val="20"/>
              </w:rPr>
              <w:t>12,92</w:t>
            </w:r>
          </w:p>
        </w:tc>
        <w:tc>
          <w:tcPr>
            <w:tcW w:w="999" w:type="dxa"/>
          </w:tcPr>
          <w:p w:rsidR="00827D9B" w:rsidRPr="007C51D6" w:rsidRDefault="00827D9B" w:rsidP="00827D9B">
            <w:pPr>
              <w:jc w:val="center"/>
              <w:rPr>
                <w:color w:val="000000"/>
                <w:sz w:val="20"/>
                <w:szCs w:val="20"/>
              </w:rPr>
            </w:pPr>
            <w:r w:rsidRPr="007C51D6">
              <w:rPr>
                <w:color w:val="000000"/>
                <w:sz w:val="20"/>
                <w:szCs w:val="20"/>
              </w:rPr>
              <w:t>12,95</w:t>
            </w:r>
          </w:p>
        </w:tc>
        <w:tc>
          <w:tcPr>
            <w:tcW w:w="887" w:type="dxa"/>
          </w:tcPr>
          <w:p w:rsidR="00827D9B" w:rsidRPr="007C51D6" w:rsidRDefault="00827D9B" w:rsidP="00827D9B">
            <w:pPr>
              <w:jc w:val="center"/>
              <w:rPr>
                <w:color w:val="000000"/>
                <w:sz w:val="20"/>
                <w:szCs w:val="20"/>
              </w:rPr>
            </w:pPr>
            <w:r w:rsidRPr="007C51D6">
              <w:rPr>
                <w:color w:val="000000"/>
                <w:sz w:val="20"/>
                <w:szCs w:val="20"/>
              </w:rPr>
              <w:t>11,67</w:t>
            </w:r>
          </w:p>
        </w:tc>
        <w:tc>
          <w:tcPr>
            <w:tcW w:w="1285" w:type="dxa"/>
          </w:tcPr>
          <w:p w:rsidR="00827D9B" w:rsidRPr="007C51D6" w:rsidRDefault="00827D9B" w:rsidP="00827D9B">
            <w:pPr>
              <w:jc w:val="center"/>
              <w:rPr>
                <w:sz w:val="20"/>
                <w:szCs w:val="20"/>
              </w:rPr>
            </w:pPr>
            <w:r w:rsidRPr="007C51D6">
              <w:rPr>
                <w:color w:val="000000"/>
                <w:sz w:val="20"/>
                <w:szCs w:val="20"/>
              </w:rPr>
              <w:t>нет данных</w:t>
            </w:r>
          </w:p>
        </w:tc>
        <w:tc>
          <w:tcPr>
            <w:tcW w:w="1285" w:type="dxa"/>
          </w:tcPr>
          <w:p w:rsidR="00827D9B" w:rsidRPr="007C51D6" w:rsidRDefault="00827D9B" w:rsidP="00827D9B">
            <w:pPr>
              <w:jc w:val="center"/>
              <w:rPr>
                <w:sz w:val="20"/>
                <w:szCs w:val="20"/>
              </w:rPr>
            </w:pPr>
            <w:r w:rsidRPr="007C51D6">
              <w:rPr>
                <w:color w:val="000000"/>
                <w:sz w:val="20"/>
                <w:szCs w:val="20"/>
              </w:rPr>
              <w:t>нет данных</w:t>
            </w:r>
          </w:p>
        </w:tc>
      </w:tr>
      <w:tr w:rsidR="00827D9B" w:rsidRPr="007C51D6" w:rsidTr="00827D9B">
        <w:trPr>
          <w:trHeight w:val="20"/>
        </w:trPr>
        <w:tc>
          <w:tcPr>
            <w:tcW w:w="4531" w:type="dxa"/>
            <w:shd w:val="clear" w:color="auto" w:fill="auto"/>
          </w:tcPr>
          <w:p w:rsidR="00827D9B" w:rsidRPr="007C51D6" w:rsidRDefault="00827D9B" w:rsidP="00827D9B">
            <w:pPr>
              <w:autoSpaceDE/>
              <w:autoSpaceDN/>
              <w:adjustRightInd/>
              <w:jc w:val="both"/>
              <w:rPr>
                <w:rFonts w:eastAsia="Arial"/>
                <w:sz w:val="20"/>
                <w:szCs w:val="20"/>
              </w:rPr>
            </w:pPr>
            <w:r w:rsidRPr="007C51D6">
              <w:rPr>
                <w:rFonts w:eastAsia="Arial"/>
                <w:sz w:val="20"/>
                <w:szCs w:val="20"/>
              </w:rPr>
              <w:t>поджелудочной железы</w:t>
            </w:r>
          </w:p>
        </w:tc>
        <w:tc>
          <w:tcPr>
            <w:tcW w:w="1065" w:type="dxa"/>
            <w:shd w:val="clear" w:color="auto" w:fill="auto"/>
          </w:tcPr>
          <w:p w:rsidR="00827D9B" w:rsidRPr="007C51D6" w:rsidRDefault="00827D9B" w:rsidP="00827D9B">
            <w:pPr>
              <w:autoSpaceDE/>
              <w:autoSpaceDN/>
              <w:adjustRightInd/>
              <w:jc w:val="center"/>
              <w:rPr>
                <w:color w:val="000000"/>
                <w:sz w:val="20"/>
                <w:szCs w:val="20"/>
              </w:rPr>
            </w:pPr>
            <w:r w:rsidRPr="007C51D6">
              <w:rPr>
                <w:color w:val="000000"/>
                <w:sz w:val="20"/>
                <w:szCs w:val="20"/>
              </w:rPr>
              <w:t>12,15</w:t>
            </w:r>
          </w:p>
        </w:tc>
        <w:tc>
          <w:tcPr>
            <w:tcW w:w="991" w:type="dxa"/>
            <w:shd w:val="clear" w:color="auto" w:fill="auto"/>
          </w:tcPr>
          <w:p w:rsidR="00827D9B" w:rsidRPr="007C51D6" w:rsidRDefault="00827D9B" w:rsidP="00827D9B">
            <w:pPr>
              <w:autoSpaceDE/>
              <w:autoSpaceDN/>
              <w:adjustRightInd/>
              <w:jc w:val="center"/>
              <w:rPr>
                <w:color w:val="000000"/>
                <w:sz w:val="20"/>
                <w:szCs w:val="20"/>
              </w:rPr>
            </w:pPr>
            <w:r w:rsidRPr="007C51D6">
              <w:rPr>
                <w:color w:val="000000"/>
                <w:sz w:val="20"/>
                <w:szCs w:val="20"/>
              </w:rPr>
              <w:t>12,38</w:t>
            </w:r>
          </w:p>
        </w:tc>
        <w:tc>
          <w:tcPr>
            <w:tcW w:w="991" w:type="dxa"/>
            <w:shd w:val="clear" w:color="auto" w:fill="auto"/>
          </w:tcPr>
          <w:p w:rsidR="00827D9B" w:rsidRPr="007C51D6" w:rsidRDefault="00827D9B" w:rsidP="00827D9B">
            <w:pPr>
              <w:autoSpaceDE/>
              <w:autoSpaceDN/>
              <w:adjustRightInd/>
              <w:jc w:val="center"/>
              <w:rPr>
                <w:color w:val="000000"/>
                <w:sz w:val="20"/>
                <w:szCs w:val="20"/>
              </w:rPr>
            </w:pPr>
            <w:r w:rsidRPr="007C51D6">
              <w:rPr>
                <w:color w:val="000000"/>
                <w:sz w:val="20"/>
                <w:szCs w:val="20"/>
              </w:rPr>
              <w:t>12,46</w:t>
            </w:r>
          </w:p>
        </w:tc>
        <w:tc>
          <w:tcPr>
            <w:tcW w:w="1060" w:type="dxa"/>
            <w:shd w:val="clear" w:color="auto" w:fill="auto"/>
          </w:tcPr>
          <w:p w:rsidR="00827D9B" w:rsidRPr="007C51D6" w:rsidRDefault="00827D9B" w:rsidP="00827D9B">
            <w:pPr>
              <w:autoSpaceDE/>
              <w:autoSpaceDN/>
              <w:adjustRightInd/>
              <w:jc w:val="center"/>
              <w:rPr>
                <w:color w:val="000000"/>
                <w:sz w:val="20"/>
                <w:szCs w:val="20"/>
              </w:rPr>
            </w:pPr>
            <w:r w:rsidRPr="007C51D6">
              <w:rPr>
                <w:color w:val="000000"/>
                <w:sz w:val="20"/>
                <w:szCs w:val="20"/>
              </w:rPr>
              <w:t>13,55</w:t>
            </w:r>
          </w:p>
        </w:tc>
        <w:tc>
          <w:tcPr>
            <w:tcW w:w="991" w:type="dxa"/>
            <w:shd w:val="clear" w:color="auto" w:fill="auto"/>
          </w:tcPr>
          <w:p w:rsidR="00827D9B" w:rsidRPr="007C51D6" w:rsidRDefault="00827D9B" w:rsidP="00827D9B">
            <w:pPr>
              <w:autoSpaceDE/>
              <w:autoSpaceDN/>
              <w:adjustRightInd/>
              <w:jc w:val="center"/>
              <w:rPr>
                <w:rFonts w:eastAsia="Arial"/>
                <w:color w:val="000000"/>
                <w:sz w:val="20"/>
                <w:szCs w:val="20"/>
              </w:rPr>
            </w:pPr>
            <w:r w:rsidRPr="007C51D6">
              <w:rPr>
                <w:rFonts w:eastAsia="Arial"/>
                <w:color w:val="000000"/>
                <w:sz w:val="20"/>
                <w:szCs w:val="20"/>
              </w:rPr>
              <w:t>12,77</w:t>
            </w:r>
          </w:p>
        </w:tc>
        <w:tc>
          <w:tcPr>
            <w:tcW w:w="945" w:type="dxa"/>
          </w:tcPr>
          <w:p w:rsidR="00827D9B" w:rsidRPr="007C51D6" w:rsidRDefault="00827D9B" w:rsidP="00827D9B">
            <w:pPr>
              <w:autoSpaceDE/>
              <w:autoSpaceDN/>
              <w:adjustRightInd/>
              <w:jc w:val="center"/>
              <w:rPr>
                <w:rFonts w:eastAsia="Arial"/>
                <w:color w:val="000000"/>
                <w:sz w:val="20"/>
                <w:szCs w:val="20"/>
              </w:rPr>
            </w:pPr>
            <w:r w:rsidRPr="007C51D6">
              <w:rPr>
                <w:rFonts w:eastAsia="Arial"/>
                <w:color w:val="000000"/>
                <w:sz w:val="20"/>
                <w:szCs w:val="20"/>
              </w:rPr>
              <w:t>12,31</w:t>
            </w:r>
          </w:p>
        </w:tc>
        <w:tc>
          <w:tcPr>
            <w:tcW w:w="999" w:type="dxa"/>
          </w:tcPr>
          <w:p w:rsidR="00827D9B" w:rsidRPr="007C51D6" w:rsidRDefault="00827D9B" w:rsidP="00827D9B">
            <w:pPr>
              <w:jc w:val="center"/>
              <w:rPr>
                <w:color w:val="000000"/>
                <w:sz w:val="20"/>
                <w:szCs w:val="20"/>
              </w:rPr>
            </w:pPr>
            <w:r w:rsidRPr="007C51D6">
              <w:rPr>
                <w:color w:val="000000"/>
                <w:sz w:val="20"/>
                <w:szCs w:val="20"/>
              </w:rPr>
              <w:t>12,09</w:t>
            </w:r>
          </w:p>
        </w:tc>
        <w:tc>
          <w:tcPr>
            <w:tcW w:w="887" w:type="dxa"/>
          </w:tcPr>
          <w:p w:rsidR="00827D9B" w:rsidRPr="007C51D6" w:rsidRDefault="00827D9B" w:rsidP="00827D9B">
            <w:pPr>
              <w:jc w:val="center"/>
              <w:rPr>
                <w:color w:val="000000"/>
                <w:sz w:val="20"/>
                <w:szCs w:val="20"/>
              </w:rPr>
            </w:pPr>
            <w:r w:rsidRPr="007C51D6">
              <w:rPr>
                <w:color w:val="000000"/>
                <w:sz w:val="20"/>
                <w:szCs w:val="20"/>
              </w:rPr>
              <w:t>13,43</w:t>
            </w:r>
          </w:p>
        </w:tc>
        <w:tc>
          <w:tcPr>
            <w:tcW w:w="1285" w:type="dxa"/>
          </w:tcPr>
          <w:p w:rsidR="00827D9B" w:rsidRPr="007C51D6" w:rsidRDefault="00827D9B" w:rsidP="00827D9B">
            <w:pPr>
              <w:jc w:val="center"/>
              <w:rPr>
                <w:sz w:val="20"/>
                <w:szCs w:val="20"/>
              </w:rPr>
            </w:pPr>
            <w:r w:rsidRPr="007C51D6">
              <w:rPr>
                <w:color w:val="000000"/>
                <w:sz w:val="20"/>
                <w:szCs w:val="20"/>
              </w:rPr>
              <w:t>нет данных</w:t>
            </w:r>
          </w:p>
        </w:tc>
        <w:tc>
          <w:tcPr>
            <w:tcW w:w="1285" w:type="dxa"/>
          </w:tcPr>
          <w:p w:rsidR="00827D9B" w:rsidRPr="007C51D6" w:rsidRDefault="00827D9B" w:rsidP="00827D9B">
            <w:pPr>
              <w:jc w:val="center"/>
              <w:rPr>
                <w:sz w:val="20"/>
                <w:szCs w:val="20"/>
              </w:rPr>
            </w:pPr>
            <w:r w:rsidRPr="007C51D6">
              <w:rPr>
                <w:color w:val="000000"/>
                <w:sz w:val="20"/>
                <w:szCs w:val="20"/>
              </w:rPr>
              <w:t>нет данных</w:t>
            </w:r>
          </w:p>
        </w:tc>
      </w:tr>
      <w:tr w:rsidR="00827D9B" w:rsidRPr="007C51D6" w:rsidTr="00827D9B">
        <w:trPr>
          <w:trHeight w:val="20"/>
        </w:trPr>
        <w:tc>
          <w:tcPr>
            <w:tcW w:w="4531" w:type="dxa"/>
            <w:shd w:val="clear" w:color="auto" w:fill="auto"/>
          </w:tcPr>
          <w:p w:rsidR="00827D9B" w:rsidRPr="007C51D6" w:rsidRDefault="00827D9B" w:rsidP="00827D9B">
            <w:pPr>
              <w:autoSpaceDE/>
              <w:autoSpaceDN/>
              <w:adjustRightInd/>
              <w:jc w:val="both"/>
              <w:rPr>
                <w:rFonts w:eastAsia="Arial"/>
                <w:sz w:val="20"/>
                <w:szCs w:val="20"/>
              </w:rPr>
            </w:pPr>
            <w:r w:rsidRPr="007C51D6">
              <w:rPr>
                <w:rFonts w:eastAsia="Arial"/>
                <w:sz w:val="20"/>
                <w:szCs w:val="20"/>
              </w:rPr>
              <w:t>прямой кишки, ректосигмоидного соединения, ануса</w:t>
            </w:r>
          </w:p>
        </w:tc>
        <w:tc>
          <w:tcPr>
            <w:tcW w:w="1065" w:type="dxa"/>
            <w:shd w:val="clear" w:color="auto" w:fill="auto"/>
          </w:tcPr>
          <w:p w:rsidR="00827D9B" w:rsidRPr="007C51D6" w:rsidRDefault="00827D9B" w:rsidP="00827D9B">
            <w:pPr>
              <w:autoSpaceDE/>
              <w:autoSpaceDN/>
              <w:adjustRightInd/>
              <w:jc w:val="center"/>
              <w:rPr>
                <w:color w:val="000000"/>
                <w:sz w:val="20"/>
                <w:szCs w:val="20"/>
              </w:rPr>
            </w:pPr>
            <w:r w:rsidRPr="007C51D6">
              <w:rPr>
                <w:color w:val="000000"/>
                <w:sz w:val="20"/>
                <w:szCs w:val="20"/>
              </w:rPr>
              <w:t>13,21</w:t>
            </w:r>
          </w:p>
        </w:tc>
        <w:tc>
          <w:tcPr>
            <w:tcW w:w="991" w:type="dxa"/>
            <w:shd w:val="clear" w:color="auto" w:fill="auto"/>
          </w:tcPr>
          <w:p w:rsidR="00827D9B" w:rsidRPr="007C51D6" w:rsidRDefault="00827D9B" w:rsidP="00827D9B">
            <w:pPr>
              <w:autoSpaceDE/>
              <w:autoSpaceDN/>
              <w:adjustRightInd/>
              <w:jc w:val="center"/>
              <w:rPr>
                <w:color w:val="000000"/>
                <w:sz w:val="20"/>
                <w:szCs w:val="20"/>
              </w:rPr>
            </w:pPr>
            <w:r w:rsidRPr="007C51D6">
              <w:rPr>
                <w:color w:val="000000"/>
                <w:sz w:val="20"/>
                <w:szCs w:val="20"/>
              </w:rPr>
              <w:t>12,83</w:t>
            </w:r>
          </w:p>
        </w:tc>
        <w:tc>
          <w:tcPr>
            <w:tcW w:w="991" w:type="dxa"/>
            <w:shd w:val="clear" w:color="auto" w:fill="auto"/>
          </w:tcPr>
          <w:p w:rsidR="00827D9B" w:rsidRPr="007C51D6" w:rsidRDefault="00827D9B" w:rsidP="00827D9B">
            <w:pPr>
              <w:autoSpaceDE/>
              <w:autoSpaceDN/>
              <w:adjustRightInd/>
              <w:jc w:val="center"/>
              <w:rPr>
                <w:color w:val="000000"/>
                <w:sz w:val="20"/>
                <w:szCs w:val="20"/>
              </w:rPr>
            </w:pPr>
            <w:r w:rsidRPr="007C51D6">
              <w:rPr>
                <w:color w:val="000000"/>
                <w:sz w:val="20"/>
                <w:szCs w:val="20"/>
              </w:rPr>
              <w:t>14,51</w:t>
            </w:r>
          </w:p>
        </w:tc>
        <w:tc>
          <w:tcPr>
            <w:tcW w:w="1060" w:type="dxa"/>
            <w:shd w:val="clear" w:color="auto" w:fill="auto"/>
          </w:tcPr>
          <w:p w:rsidR="00827D9B" w:rsidRPr="007C51D6" w:rsidRDefault="00827D9B" w:rsidP="00827D9B">
            <w:pPr>
              <w:autoSpaceDE/>
              <w:autoSpaceDN/>
              <w:adjustRightInd/>
              <w:jc w:val="center"/>
              <w:rPr>
                <w:color w:val="000000"/>
                <w:sz w:val="20"/>
                <w:szCs w:val="20"/>
              </w:rPr>
            </w:pPr>
            <w:r w:rsidRPr="007C51D6">
              <w:rPr>
                <w:color w:val="000000"/>
                <w:sz w:val="20"/>
                <w:szCs w:val="20"/>
              </w:rPr>
              <w:t>15,05</w:t>
            </w:r>
          </w:p>
        </w:tc>
        <w:tc>
          <w:tcPr>
            <w:tcW w:w="991" w:type="dxa"/>
            <w:shd w:val="clear" w:color="auto" w:fill="auto"/>
          </w:tcPr>
          <w:p w:rsidR="00827D9B" w:rsidRPr="007C51D6" w:rsidRDefault="00827D9B" w:rsidP="00827D9B">
            <w:pPr>
              <w:autoSpaceDE/>
              <w:autoSpaceDN/>
              <w:adjustRightInd/>
              <w:jc w:val="center"/>
              <w:rPr>
                <w:rFonts w:eastAsia="Arial"/>
                <w:color w:val="000000"/>
                <w:sz w:val="20"/>
                <w:szCs w:val="20"/>
              </w:rPr>
            </w:pPr>
            <w:r w:rsidRPr="007C51D6">
              <w:rPr>
                <w:rFonts w:eastAsia="Arial"/>
                <w:color w:val="000000"/>
                <w:sz w:val="20"/>
                <w:szCs w:val="20"/>
              </w:rPr>
              <w:t>12,27</w:t>
            </w:r>
          </w:p>
        </w:tc>
        <w:tc>
          <w:tcPr>
            <w:tcW w:w="945" w:type="dxa"/>
          </w:tcPr>
          <w:p w:rsidR="00827D9B" w:rsidRPr="007C51D6" w:rsidRDefault="00827D9B" w:rsidP="00827D9B">
            <w:pPr>
              <w:autoSpaceDE/>
              <w:autoSpaceDN/>
              <w:adjustRightInd/>
              <w:jc w:val="center"/>
              <w:rPr>
                <w:rFonts w:eastAsia="Arial"/>
                <w:color w:val="000000"/>
                <w:sz w:val="20"/>
                <w:szCs w:val="20"/>
              </w:rPr>
            </w:pPr>
            <w:r w:rsidRPr="007C51D6">
              <w:rPr>
                <w:rFonts w:eastAsia="Arial"/>
                <w:color w:val="000000"/>
                <w:sz w:val="20"/>
                <w:szCs w:val="20"/>
              </w:rPr>
              <w:t>13,26</w:t>
            </w:r>
          </w:p>
        </w:tc>
        <w:tc>
          <w:tcPr>
            <w:tcW w:w="999" w:type="dxa"/>
          </w:tcPr>
          <w:p w:rsidR="00827D9B" w:rsidRPr="007C51D6" w:rsidRDefault="00827D9B" w:rsidP="00827D9B">
            <w:pPr>
              <w:jc w:val="center"/>
              <w:rPr>
                <w:color w:val="000000"/>
                <w:sz w:val="20"/>
                <w:szCs w:val="20"/>
              </w:rPr>
            </w:pPr>
            <w:r w:rsidRPr="007C51D6">
              <w:rPr>
                <w:color w:val="000000"/>
                <w:sz w:val="20"/>
                <w:szCs w:val="20"/>
              </w:rPr>
              <w:t>12,68</w:t>
            </w:r>
          </w:p>
        </w:tc>
        <w:tc>
          <w:tcPr>
            <w:tcW w:w="887" w:type="dxa"/>
          </w:tcPr>
          <w:p w:rsidR="00827D9B" w:rsidRPr="007C51D6" w:rsidRDefault="00827D9B" w:rsidP="00827D9B">
            <w:pPr>
              <w:jc w:val="center"/>
              <w:rPr>
                <w:color w:val="000000"/>
                <w:sz w:val="20"/>
                <w:szCs w:val="20"/>
              </w:rPr>
            </w:pPr>
            <w:r w:rsidRPr="007C51D6">
              <w:rPr>
                <w:color w:val="000000"/>
                <w:sz w:val="20"/>
                <w:szCs w:val="20"/>
              </w:rPr>
              <w:t>13,48</w:t>
            </w:r>
          </w:p>
        </w:tc>
        <w:tc>
          <w:tcPr>
            <w:tcW w:w="1285" w:type="dxa"/>
          </w:tcPr>
          <w:p w:rsidR="00827D9B" w:rsidRPr="007C51D6" w:rsidRDefault="00827D9B" w:rsidP="00827D9B">
            <w:pPr>
              <w:jc w:val="center"/>
              <w:rPr>
                <w:sz w:val="20"/>
                <w:szCs w:val="20"/>
              </w:rPr>
            </w:pPr>
            <w:r w:rsidRPr="007C51D6">
              <w:rPr>
                <w:color w:val="000000"/>
                <w:sz w:val="20"/>
                <w:szCs w:val="20"/>
              </w:rPr>
              <w:t>нет данных</w:t>
            </w:r>
          </w:p>
        </w:tc>
        <w:tc>
          <w:tcPr>
            <w:tcW w:w="1285" w:type="dxa"/>
          </w:tcPr>
          <w:p w:rsidR="00827D9B" w:rsidRPr="007C51D6" w:rsidRDefault="00827D9B" w:rsidP="00827D9B">
            <w:pPr>
              <w:jc w:val="center"/>
              <w:rPr>
                <w:sz w:val="20"/>
                <w:szCs w:val="20"/>
              </w:rPr>
            </w:pPr>
            <w:r w:rsidRPr="007C51D6">
              <w:rPr>
                <w:color w:val="000000"/>
                <w:sz w:val="20"/>
                <w:szCs w:val="20"/>
              </w:rPr>
              <w:t>нет данных</w:t>
            </w:r>
          </w:p>
        </w:tc>
      </w:tr>
      <w:tr w:rsidR="00827D9B" w:rsidRPr="007C51D6" w:rsidTr="00827D9B">
        <w:trPr>
          <w:trHeight w:val="20"/>
        </w:trPr>
        <w:tc>
          <w:tcPr>
            <w:tcW w:w="4531" w:type="dxa"/>
            <w:shd w:val="clear" w:color="auto" w:fill="auto"/>
          </w:tcPr>
          <w:p w:rsidR="00827D9B" w:rsidRPr="007C51D6" w:rsidRDefault="00827D9B" w:rsidP="00827D9B">
            <w:pPr>
              <w:autoSpaceDE/>
              <w:autoSpaceDN/>
              <w:adjustRightInd/>
              <w:jc w:val="both"/>
              <w:rPr>
                <w:rFonts w:eastAsia="Arial"/>
                <w:sz w:val="20"/>
                <w:szCs w:val="20"/>
              </w:rPr>
            </w:pPr>
            <w:r w:rsidRPr="007C51D6">
              <w:rPr>
                <w:rFonts w:eastAsia="Arial"/>
                <w:sz w:val="20"/>
                <w:szCs w:val="20"/>
              </w:rPr>
              <w:t>губы, полости рта и глотки</w:t>
            </w:r>
          </w:p>
        </w:tc>
        <w:tc>
          <w:tcPr>
            <w:tcW w:w="1065" w:type="dxa"/>
            <w:shd w:val="clear" w:color="auto" w:fill="auto"/>
          </w:tcPr>
          <w:p w:rsidR="00827D9B" w:rsidRPr="007C51D6" w:rsidRDefault="00827D9B" w:rsidP="00827D9B">
            <w:pPr>
              <w:autoSpaceDE/>
              <w:autoSpaceDN/>
              <w:adjustRightInd/>
              <w:jc w:val="center"/>
              <w:rPr>
                <w:color w:val="000000"/>
                <w:sz w:val="20"/>
                <w:szCs w:val="20"/>
              </w:rPr>
            </w:pPr>
            <w:r w:rsidRPr="007C51D6">
              <w:rPr>
                <w:color w:val="000000"/>
                <w:sz w:val="20"/>
                <w:szCs w:val="20"/>
              </w:rPr>
              <w:t>11,76</w:t>
            </w:r>
          </w:p>
        </w:tc>
        <w:tc>
          <w:tcPr>
            <w:tcW w:w="991" w:type="dxa"/>
            <w:shd w:val="clear" w:color="auto" w:fill="auto"/>
          </w:tcPr>
          <w:p w:rsidR="00827D9B" w:rsidRPr="007C51D6" w:rsidRDefault="00827D9B" w:rsidP="00827D9B">
            <w:pPr>
              <w:autoSpaceDE/>
              <w:autoSpaceDN/>
              <w:adjustRightInd/>
              <w:jc w:val="center"/>
              <w:rPr>
                <w:color w:val="000000"/>
                <w:sz w:val="20"/>
                <w:szCs w:val="20"/>
              </w:rPr>
            </w:pPr>
            <w:r w:rsidRPr="007C51D6">
              <w:rPr>
                <w:color w:val="000000"/>
                <w:sz w:val="20"/>
                <w:szCs w:val="20"/>
              </w:rPr>
              <w:t>11,49</w:t>
            </w:r>
          </w:p>
        </w:tc>
        <w:tc>
          <w:tcPr>
            <w:tcW w:w="991" w:type="dxa"/>
            <w:shd w:val="clear" w:color="auto" w:fill="auto"/>
          </w:tcPr>
          <w:p w:rsidR="00827D9B" w:rsidRPr="007C51D6" w:rsidRDefault="00827D9B" w:rsidP="00827D9B">
            <w:pPr>
              <w:autoSpaceDE/>
              <w:autoSpaceDN/>
              <w:adjustRightInd/>
              <w:jc w:val="center"/>
              <w:rPr>
                <w:color w:val="000000"/>
                <w:sz w:val="20"/>
                <w:szCs w:val="20"/>
              </w:rPr>
            </w:pPr>
            <w:r w:rsidRPr="007C51D6">
              <w:rPr>
                <w:color w:val="000000"/>
                <w:sz w:val="20"/>
                <w:szCs w:val="20"/>
              </w:rPr>
              <w:t>10,91</w:t>
            </w:r>
          </w:p>
        </w:tc>
        <w:tc>
          <w:tcPr>
            <w:tcW w:w="1060" w:type="dxa"/>
            <w:shd w:val="clear" w:color="auto" w:fill="auto"/>
          </w:tcPr>
          <w:p w:rsidR="00827D9B" w:rsidRPr="007C51D6" w:rsidRDefault="00827D9B" w:rsidP="00827D9B">
            <w:pPr>
              <w:autoSpaceDE/>
              <w:autoSpaceDN/>
              <w:adjustRightInd/>
              <w:jc w:val="center"/>
              <w:rPr>
                <w:color w:val="000000"/>
                <w:sz w:val="20"/>
                <w:szCs w:val="20"/>
              </w:rPr>
            </w:pPr>
            <w:r w:rsidRPr="007C51D6">
              <w:rPr>
                <w:color w:val="000000"/>
                <w:sz w:val="20"/>
                <w:szCs w:val="20"/>
              </w:rPr>
              <w:t>11,17</w:t>
            </w:r>
          </w:p>
        </w:tc>
        <w:tc>
          <w:tcPr>
            <w:tcW w:w="991" w:type="dxa"/>
            <w:shd w:val="clear" w:color="auto" w:fill="auto"/>
          </w:tcPr>
          <w:p w:rsidR="00827D9B" w:rsidRPr="007C51D6" w:rsidRDefault="00827D9B" w:rsidP="00827D9B">
            <w:pPr>
              <w:autoSpaceDE/>
              <w:autoSpaceDN/>
              <w:adjustRightInd/>
              <w:jc w:val="center"/>
              <w:rPr>
                <w:rFonts w:eastAsia="Arial"/>
                <w:color w:val="000000"/>
                <w:sz w:val="20"/>
                <w:szCs w:val="20"/>
              </w:rPr>
            </w:pPr>
            <w:r w:rsidRPr="007C51D6">
              <w:rPr>
                <w:rFonts w:eastAsia="Arial"/>
                <w:color w:val="000000"/>
                <w:sz w:val="20"/>
                <w:szCs w:val="20"/>
              </w:rPr>
              <w:t>10,84</w:t>
            </w:r>
          </w:p>
        </w:tc>
        <w:tc>
          <w:tcPr>
            <w:tcW w:w="945" w:type="dxa"/>
          </w:tcPr>
          <w:p w:rsidR="00827D9B" w:rsidRPr="007C51D6" w:rsidRDefault="00827D9B" w:rsidP="00827D9B">
            <w:pPr>
              <w:autoSpaceDE/>
              <w:autoSpaceDN/>
              <w:adjustRightInd/>
              <w:jc w:val="center"/>
              <w:rPr>
                <w:rFonts w:eastAsia="Arial"/>
                <w:color w:val="000000"/>
                <w:sz w:val="20"/>
                <w:szCs w:val="20"/>
              </w:rPr>
            </w:pPr>
            <w:r w:rsidRPr="007C51D6">
              <w:rPr>
                <w:rFonts w:eastAsia="Arial"/>
                <w:color w:val="000000"/>
                <w:sz w:val="20"/>
                <w:szCs w:val="20"/>
              </w:rPr>
              <w:t>10,15</w:t>
            </w:r>
          </w:p>
        </w:tc>
        <w:tc>
          <w:tcPr>
            <w:tcW w:w="999" w:type="dxa"/>
          </w:tcPr>
          <w:p w:rsidR="00827D9B" w:rsidRPr="007C51D6" w:rsidRDefault="00827D9B" w:rsidP="00827D9B">
            <w:pPr>
              <w:jc w:val="center"/>
              <w:rPr>
                <w:color w:val="000000"/>
                <w:sz w:val="20"/>
                <w:szCs w:val="20"/>
              </w:rPr>
            </w:pPr>
            <w:r w:rsidRPr="007C51D6">
              <w:rPr>
                <w:color w:val="000000"/>
                <w:sz w:val="20"/>
                <w:szCs w:val="20"/>
              </w:rPr>
              <w:t>9,58</w:t>
            </w:r>
          </w:p>
        </w:tc>
        <w:tc>
          <w:tcPr>
            <w:tcW w:w="887" w:type="dxa"/>
          </w:tcPr>
          <w:p w:rsidR="00827D9B" w:rsidRPr="007C51D6" w:rsidRDefault="00827D9B" w:rsidP="00827D9B">
            <w:pPr>
              <w:jc w:val="center"/>
              <w:rPr>
                <w:color w:val="000000"/>
                <w:sz w:val="20"/>
                <w:szCs w:val="20"/>
              </w:rPr>
            </w:pPr>
            <w:r w:rsidRPr="007C51D6">
              <w:rPr>
                <w:color w:val="000000"/>
                <w:sz w:val="20"/>
                <w:szCs w:val="20"/>
              </w:rPr>
              <w:t>10,70</w:t>
            </w:r>
          </w:p>
        </w:tc>
        <w:tc>
          <w:tcPr>
            <w:tcW w:w="1285" w:type="dxa"/>
          </w:tcPr>
          <w:p w:rsidR="00827D9B" w:rsidRPr="007C51D6" w:rsidRDefault="00827D9B" w:rsidP="00827D9B">
            <w:pPr>
              <w:jc w:val="center"/>
              <w:rPr>
                <w:sz w:val="20"/>
                <w:szCs w:val="20"/>
              </w:rPr>
            </w:pPr>
            <w:r w:rsidRPr="007C51D6">
              <w:rPr>
                <w:color w:val="000000"/>
                <w:sz w:val="20"/>
                <w:szCs w:val="20"/>
              </w:rPr>
              <w:t>нет данных</w:t>
            </w:r>
          </w:p>
        </w:tc>
        <w:tc>
          <w:tcPr>
            <w:tcW w:w="1285" w:type="dxa"/>
          </w:tcPr>
          <w:p w:rsidR="00827D9B" w:rsidRPr="007C51D6" w:rsidRDefault="00827D9B" w:rsidP="00827D9B">
            <w:pPr>
              <w:jc w:val="center"/>
              <w:rPr>
                <w:sz w:val="20"/>
                <w:szCs w:val="20"/>
              </w:rPr>
            </w:pPr>
            <w:r w:rsidRPr="007C51D6">
              <w:rPr>
                <w:color w:val="000000"/>
                <w:sz w:val="20"/>
                <w:szCs w:val="20"/>
              </w:rPr>
              <w:t>нет данных</w:t>
            </w:r>
          </w:p>
        </w:tc>
      </w:tr>
      <w:tr w:rsidR="00827D9B" w:rsidRPr="007C51D6" w:rsidTr="00827D9B">
        <w:trPr>
          <w:trHeight w:val="20"/>
        </w:trPr>
        <w:tc>
          <w:tcPr>
            <w:tcW w:w="4531" w:type="dxa"/>
            <w:shd w:val="clear" w:color="auto" w:fill="auto"/>
          </w:tcPr>
          <w:p w:rsidR="00827D9B" w:rsidRPr="007C51D6" w:rsidRDefault="00827D9B" w:rsidP="00827D9B">
            <w:pPr>
              <w:autoSpaceDE/>
              <w:autoSpaceDN/>
              <w:adjustRightInd/>
              <w:jc w:val="both"/>
              <w:rPr>
                <w:rFonts w:eastAsia="Arial"/>
                <w:sz w:val="20"/>
                <w:szCs w:val="22"/>
              </w:rPr>
            </w:pPr>
            <w:r w:rsidRPr="007C51D6">
              <w:rPr>
                <w:rFonts w:eastAsia="Arial"/>
                <w:sz w:val="20"/>
                <w:szCs w:val="22"/>
              </w:rPr>
              <w:t>пищевода</w:t>
            </w:r>
          </w:p>
        </w:tc>
        <w:tc>
          <w:tcPr>
            <w:tcW w:w="1065" w:type="dxa"/>
            <w:shd w:val="clear" w:color="auto" w:fill="auto"/>
          </w:tcPr>
          <w:p w:rsidR="00827D9B" w:rsidRPr="007C51D6" w:rsidRDefault="00827D9B" w:rsidP="00827D9B">
            <w:pPr>
              <w:autoSpaceDE/>
              <w:autoSpaceDN/>
              <w:adjustRightInd/>
              <w:jc w:val="center"/>
              <w:rPr>
                <w:color w:val="000000"/>
                <w:sz w:val="20"/>
                <w:szCs w:val="22"/>
              </w:rPr>
            </w:pPr>
            <w:r w:rsidRPr="007C51D6">
              <w:rPr>
                <w:color w:val="000000"/>
                <w:sz w:val="20"/>
                <w:szCs w:val="22"/>
              </w:rPr>
              <w:t>9,59</w:t>
            </w:r>
          </w:p>
        </w:tc>
        <w:tc>
          <w:tcPr>
            <w:tcW w:w="991" w:type="dxa"/>
            <w:shd w:val="clear" w:color="auto" w:fill="auto"/>
          </w:tcPr>
          <w:p w:rsidR="00827D9B" w:rsidRPr="007C51D6" w:rsidRDefault="00827D9B" w:rsidP="00827D9B">
            <w:pPr>
              <w:autoSpaceDE/>
              <w:autoSpaceDN/>
              <w:adjustRightInd/>
              <w:jc w:val="center"/>
              <w:rPr>
                <w:color w:val="000000"/>
                <w:sz w:val="20"/>
                <w:szCs w:val="22"/>
              </w:rPr>
            </w:pPr>
            <w:r w:rsidRPr="007C51D6">
              <w:rPr>
                <w:color w:val="000000"/>
                <w:sz w:val="20"/>
                <w:szCs w:val="22"/>
              </w:rPr>
              <w:t>9,99</w:t>
            </w:r>
          </w:p>
        </w:tc>
        <w:tc>
          <w:tcPr>
            <w:tcW w:w="991" w:type="dxa"/>
            <w:shd w:val="clear" w:color="auto" w:fill="auto"/>
          </w:tcPr>
          <w:p w:rsidR="00827D9B" w:rsidRPr="007C51D6" w:rsidRDefault="00827D9B" w:rsidP="00827D9B">
            <w:pPr>
              <w:autoSpaceDE/>
              <w:autoSpaceDN/>
              <w:adjustRightInd/>
              <w:jc w:val="center"/>
              <w:rPr>
                <w:color w:val="000000"/>
                <w:sz w:val="20"/>
                <w:szCs w:val="22"/>
              </w:rPr>
            </w:pPr>
            <w:r w:rsidRPr="007C51D6">
              <w:rPr>
                <w:color w:val="000000"/>
                <w:sz w:val="20"/>
                <w:szCs w:val="22"/>
              </w:rPr>
              <w:t>9,92</w:t>
            </w:r>
          </w:p>
        </w:tc>
        <w:tc>
          <w:tcPr>
            <w:tcW w:w="1060" w:type="dxa"/>
            <w:shd w:val="clear" w:color="auto" w:fill="auto"/>
          </w:tcPr>
          <w:p w:rsidR="00827D9B" w:rsidRPr="007C51D6" w:rsidRDefault="00827D9B" w:rsidP="00827D9B">
            <w:pPr>
              <w:autoSpaceDE/>
              <w:autoSpaceDN/>
              <w:adjustRightInd/>
              <w:jc w:val="center"/>
              <w:rPr>
                <w:color w:val="000000"/>
                <w:sz w:val="20"/>
                <w:szCs w:val="22"/>
              </w:rPr>
            </w:pPr>
            <w:r w:rsidRPr="007C51D6">
              <w:rPr>
                <w:color w:val="000000"/>
                <w:sz w:val="20"/>
                <w:szCs w:val="22"/>
              </w:rPr>
              <w:t>10,18</w:t>
            </w:r>
          </w:p>
        </w:tc>
        <w:tc>
          <w:tcPr>
            <w:tcW w:w="991" w:type="dxa"/>
            <w:shd w:val="clear" w:color="auto" w:fill="auto"/>
          </w:tcPr>
          <w:p w:rsidR="00827D9B" w:rsidRPr="007C51D6" w:rsidRDefault="00827D9B" w:rsidP="00827D9B">
            <w:pPr>
              <w:autoSpaceDE/>
              <w:autoSpaceDN/>
              <w:adjustRightInd/>
              <w:jc w:val="center"/>
              <w:rPr>
                <w:rFonts w:eastAsia="Arial"/>
                <w:color w:val="000000"/>
                <w:sz w:val="20"/>
                <w:szCs w:val="22"/>
              </w:rPr>
            </w:pPr>
            <w:r w:rsidRPr="007C51D6">
              <w:rPr>
                <w:rFonts w:eastAsia="Arial"/>
                <w:color w:val="000000"/>
                <w:sz w:val="20"/>
                <w:szCs w:val="22"/>
              </w:rPr>
              <w:t>8,40</w:t>
            </w:r>
          </w:p>
        </w:tc>
        <w:tc>
          <w:tcPr>
            <w:tcW w:w="945" w:type="dxa"/>
          </w:tcPr>
          <w:p w:rsidR="00827D9B" w:rsidRPr="007C51D6" w:rsidRDefault="00827D9B" w:rsidP="00827D9B">
            <w:pPr>
              <w:autoSpaceDE/>
              <w:autoSpaceDN/>
              <w:adjustRightInd/>
              <w:jc w:val="center"/>
              <w:rPr>
                <w:rFonts w:eastAsia="Arial"/>
                <w:color w:val="000000"/>
                <w:sz w:val="20"/>
                <w:szCs w:val="22"/>
              </w:rPr>
            </w:pPr>
            <w:r w:rsidRPr="007C51D6">
              <w:rPr>
                <w:rFonts w:eastAsia="Arial"/>
                <w:color w:val="000000"/>
                <w:sz w:val="20"/>
                <w:szCs w:val="22"/>
              </w:rPr>
              <w:t>9,65</w:t>
            </w:r>
          </w:p>
        </w:tc>
        <w:tc>
          <w:tcPr>
            <w:tcW w:w="999" w:type="dxa"/>
          </w:tcPr>
          <w:p w:rsidR="00827D9B" w:rsidRPr="007C51D6" w:rsidRDefault="00827D9B" w:rsidP="00827D9B">
            <w:pPr>
              <w:jc w:val="center"/>
              <w:rPr>
                <w:color w:val="000000"/>
                <w:sz w:val="20"/>
                <w:szCs w:val="20"/>
              </w:rPr>
            </w:pPr>
            <w:r w:rsidRPr="007C51D6">
              <w:rPr>
                <w:color w:val="000000"/>
                <w:sz w:val="20"/>
                <w:szCs w:val="20"/>
              </w:rPr>
              <w:t>7,92</w:t>
            </w:r>
          </w:p>
        </w:tc>
        <w:tc>
          <w:tcPr>
            <w:tcW w:w="887" w:type="dxa"/>
          </w:tcPr>
          <w:p w:rsidR="00827D9B" w:rsidRPr="007C51D6" w:rsidRDefault="00827D9B" w:rsidP="00827D9B">
            <w:pPr>
              <w:jc w:val="center"/>
              <w:rPr>
                <w:color w:val="000000"/>
                <w:sz w:val="20"/>
                <w:szCs w:val="20"/>
              </w:rPr>
            </w:pPr>
            <w:r w:rsidRPr="007C51D6">
              <w:rPr>
                <w:color w:val="000000"/>
                <w:sz w:val="20"/>
                <w:szCs w:val="20"/>
              </w:rPr>
              <w:t>10,81</w:t>
            </w:r>
          </w:p>
        </w:tc>
        <w:tc>
          <w:tcPr>
            <w:tcW w:w="1285" w:type="dxa"/>
          </w:tcPr>
          <w:p w:rsidR="00827D9B" w:rsidRPr="007C51D6" w:rsidRDefault="00827D9B" w:rsidP="00827D9B">
            <w:pPr>
              <w:jc w:val="center"/>
            </w:pPr>
            <w:r w:rsidRPr="007C51D6">
              <w:rPr>
                <w:color w:val="000000"/>
                <w:sz w:val="20"/>
                <w:szCs w:val="20"/>
              </w:rPr>
              <w:t>нет данных</w:t>
            </w:r>
          </w:p>
        </w:tc>
        <w:tc>
          <w:tcPr>
            <w:tcW w:w="1285" w:type="dxa"/>
          </w:tcPr>
          <w:p w:rsidR="00827D9B" w:rsidRPr="007C51D6" w:rsidRDefault="00827D9B" w:rsidP="00827D9B">
            <w:pPr>
              <w:jc w:val="center"/>
            </w:pPr>
            <w:r w:rsidRPr="007C51D6">
              <w:rPr>
                <w:color w:val="000000"/>
                <w:sz w:val="20"/>
                <w:szCs w:val="20"/>
              </w:rPr>
              <w:t>нет данных</w:t>
            </w:r>
          </w:p>
        </w:tc>
      </w:tr>
      <w:tr w:rsidR="00827D9B" w:rsidRPr="007C51D6" w:rsidTr="00827D9B">
        <w:trPr>
          <w:trHeight w:val="20"/>
        </w:trPr>
        <w:tc>
          <w:tcPr>
            <w:tcW w:w="4531" w:type="dxa"/>
            <w:shd w:val="clear" w:color="auto" w:fill="auto"/>
          </w:tcPr>
          <w:p w:rsidR="00827D9B" w:rsidRPr="007C51D6" w:rsidRDefault="00827D9B" w:rsidP="00827D9B">
            <w:pPr>
              <w:autoSpaceDE/>
              <w:autoSpaceDN/>
              <w:adjustRightInd/>
              <w:jc w:val="both"/>
              <w:rPr>
                <w:rFonts w:eastAsia="Arial"/>
                <w:sz w:val="20"/>
                <w:szCs w:val="22"/>
              </w:rPr>
            </w:pPr>
            <w:r w:rsidRPr="007C51D6">
              <w:rPr>
                <w:rFonts w:eastAsia="Arial"/>
                <w:sz w:val="20"/>
                <w:szCs w:val="22"/>
              </w:rPr>
              <w:t>почек</w:t>
            </w:r>
          </w:p>
        </w:tc>
        <w:tc>
          <w:tcPr>
            <w:tcW w:w="1065" w:type="dxa"/>
            <w:shd w:val="clear" w:color="auto" w:fill="auto"/>
          </w:tcPr>
          <w:p w:rsidR="00827D9B" w:rsidRPr="007C51D6" w:rsidRDefault="00827D9B" w:rsidP="00827D9B">
            <w:pPr>
              <w:autoSpaceDE/>
              <w:autoSpaceDN/>
              <w:adjustRightInd/>
              <w:jc w:val="center"/>
              <w:rPr>
                <w:color w:val="000000"/>
                <w:sz w:val="20"/>
                <w:szCs w:val="22"/>
              </w:rPr>
            </w:pPr>
            <w:r w:rsidRPr="007C51D6">
              <w:rPr>
                <w:color w:val="000000"/>
                <w:sz w:val="20"/>
                <w:szCs w:val="22"/>
              </w:rPr>
              <w:t>7,80</w:t>
            </w:r>
          </w:p>
        </w:tc>
        <w:tc>
          <w:tcPr>
            <w:tcW w:w="991" w:type="dxa"/>
            <w:shd w:val="clear" w:color="auto" w:fill="auto"/>
          </w:tcPr>
          <w:p w:rsidR="00827D9B" w:rsidRPr="007C51D6" w:rsidRDefault="00827D9B" w:rsidP="00827D9B">
            <w:pPr>
              <w:autoSpaceDE/>
              <w:autoSpaceDN/>
              <w:adjustRightInd/>
              <w:jc w:val="center"/>
              <w:rPr>
                <w:color w:val="000000"/>
                <w:sz w:val="20"/>
                <w:szCs w:val="22"/>
              </w:rPr>
            </w:pPr>
            <w:r w:rsidRPr="007C51D6">
              <w:rPr>
                <w:color w:val="000000"/>
                <w:sz w:val="20"/>
                <w:szCs w:val="22"/>
              </w:rPr>
              <w:t>7,55</w:t>
            </w:r>
          </w:p>
        </w:tc>
        <w:tc>
          <w:tcPr>
            <w:tcW w:w="991" w:type="dxa"/>
            <w:shd w:val="clear" w:color="auto" w:fill="auto"/>
          </w:tcPr>
          <w:p w:rsidR="00827D9B" w:rsidRPr="007C51D6" w:rsidRDefault="00827D9B" w:rsidP="00827D9B">
            <w:pPr>
              <w:autoSpaceDE/>
              <w:autoSpaceDN/>
              <w:adjustRightInd/>
              <w:jc w:val="center"/>
              <w:rPr>
                <w:color w:val="000000"/>
                <w:sz w:val="20"/>
                <w:szCs w:val="22"/>
              </w:rPr>
            </w:pPr>
            <w:r w:rsidRPr="007C51D6">
              <w:rPr>
                <w:color w:val="000000"/>
                <w:sz w:val="20"/>
                <w:szCs w:val="22"/>
              </w:rPr>
              <w:t>8,03</w:t>
            </w:r>
          </w:p>
        </w:tc>
        <w:tc>
          <w:tcPr>
            <w:tcW w:w="1060" w:type="dxa"/>
            <w:shd w:val="clear" w:color="auto" w:fill="auto"/>
          </w:tcPr>
          <w:p w:rsidR="00827D9B" w:rsidRPr="007C51D6" w:rsidRDefault="00827D9B" w:rsidP="00827D9B">
            <w:pPr>
              <w:autoSpaceDE/>
              <w:autoSpaceDN/>
              <w:adjustRightInd/>
              <w:ind w:firstLine="176"/>
              <w:jc w:val="center"/>
              <w:rPr>
                <w:rFonts w:eastAsia="Arial"/>
                <w:sz w:val="20"/>
                <w:szCs w:val="22"/>
              </w:rPr>
            </w:pPr>
            <w:r w:rsidRPr="007C51D6">
              <w:rPr>
                <w:rFonts w:eastAsia="Arial"/>
                <w:sz w:val="20"/>
                <w:szCs w:val="22"/>
              </w:rPr>
              <w:t>5,70</w:t>
            </w:r>
          </w:p>
        </w:tc>
        <w:tc>
          <w:tcPr>
            <w:tcW w:w="991" w:type="dxa"/>
            <w:shd w:val="clear" w:color="auto" w:fill="auto"/>
          </w:tcPr>
          <w:p w:rsidR="00827D9B" w:rsidRPr="007C51D6" w:rsidRDefault="00827D9B" w:rsidP="00827D9B">
            <w:pPr>
              <w:autoSpaceDE/>
              <w:autoSpaceDN/>
              <w:adjustRightInd/>
              <w:jc w:val="center"/>
              <w:rPr>
                <w:rFonts w:eastAsia="Arial"/>
                <w:color w:val="000000"/>
                <w:sz w:val="20"/>
                <w:szCs w:val="22"/>
              </w:rPr>
            </w:pPr>
            <w:r w:rsidRPr="007C51D6">
              <w:rPr>
                <w:rFonts w:eastAsia="Arial"/>
                <w:color w:val="000000"/>
                <w:sz w:val="20"/>
                <w:szCs w:val="22"/>
              </w:rPr>
              <w:t>7,46</w:t>
            </w:r>
          </w:p>
        </w:tc>
        <w:tc>
          <w:tcPr>
            <w:tcW w:w="945" w:type="dxa"/>
          </w:tcPr>
          <w:p w:rsidR="00827D9B" w:rsidRPr="007C51D6" w:rsidRDefault="00827D9B" w:rsidP="00827D9B">
            <w:pPr>
              <w:autoSpaceDE/>
              <w:autoSpaceDN/>
              <w:adjustRightInd/>
              <w:jc w:val="center"/>
              <w:rPr>
                <w:rFonts w:eastAsia="Arial"/>
                <w:color w:val="000000"/>
                <w:sz w:val="20"/>
                <w:szCs w:val="22"/>
              </w:rPr>
            </w:pPr>
            <w:r w:rsidRPr="007C51D6">
              <w:rPr>
                <w:rFonts w:eastAsia="Arial"/>
                <w:color w:val="000000"/>
                <w:sz w:val="20"/>
                <w:szCs w:val="22"/>
              </w:rPr>
              <w:t>7,38</w:t>
            </w:r>
          </w:p>
        </w:tc>
        <w:tc>
          <w:tcPr>
            <w:tcW w:w="999" w:type="dxa"/>
          </w:tcPr>
          <w:p w:rsidR="00827D9B" w:rsidRPr="007C51D6" w:rsidRDefault="00827D9B" w:rsidP="00827D9B">
            <w:pPr>
              <w:jc w:val="center"/>
              <w:rPr>
                <w:color w:val="000000"/>
                <w:sz w:val="20"/>
                <w:szCs w:val="20"/>
              </w:rPr>
            </w:pPr>
            <w:r w:rsidRPr="007C51D6">
              <w:rPr>
                <w:color w:val="000000"/>
                <w:sz w:val="20"/>
                <w:szCs w:val="20"/>
              </w:rPr>
              <w:t>7,38</w:t>
            </w:r>
          </w:p>
        </w:tc>
        <w:tc>
          <w:tcPr>
            <w:tcW w:w="887" w:type="dxa"/>
          </w:tcPr>
          <w:p w:rsidR="00827D9B" w:rsidRPr="007C51D6" w:rsidRDefault="00827D9B" w:rsidP="00827D9B">
            <w:pPr>
              <w:jc w:val="center"/>
              <w:rPr>
                <w:color w:val="000000"/>
                <w:sz w:val="20"/>
                <w:szCs w:val="20"/>
              </w:rPr>
            </w:pPr>
            <w:r w:rsidRPr="007C51D6">
              <w:rPr>
                <w:color w:val="000000"/>
                <w:sz w:val="20"/>
                <w:szCs w:val="20"/>
              </w:rPr>
              <w:t>7,06</w:t>
            </w:r>
          </w:p>
        </w:tc>
        <w:tc>
          <w:tcPr>
            <w:tcW w:w="1285" w:type="dxa"/>
          </w:tcPr>
          <w:p w:rsidR="00827D9B" w:rsidRPr="007C51D6" w:rsidRDefault="00827D9B" w:rsidP="00827D9B">
            <w:pPr>
              <w:jc w:val="center"/>
            </w:pPr>
            <w:r w:rsidRPr="007C51D6">
              <w:rPr>
                <w:color w:val="000000"/>
                <w:sz w:val="20"/>
                <w:szCs w:val="20"/>
              </w:rPr>
              <w:t>нет данных</w:t>
            </w:r>
          </w:p>
        </w:tc>
        <w:tc>
          <w:tcPr>
            <w:tcW w:w="1285" w:type="dxa"/>
          </w:tcPr>
          <w:p w:rsidR="00827D9B" w:rsidRPr="007C51D6" w:rsidRDefault="00827D9B" w:rsidP="00827D9B">
            <w:pPr>
              <w:jc w:val="center"/>
            </w:pPr>
            <w:r w:rsidRPr="007C51D6">
              <w:rPr>
                <w:color w:val="000000"/>
                <w:sz w:val="20"/>
                <w:szCs w:val="20"/>
              </w:rPr>
              <w:t>нет данных</w:t>
            </w:r>
          </w:p>
        </w:tc>
      </w:tr>
      <w:tr w:rsidR="00827D9B" w:rsidRPr="007C51D6" w:rsidTr="00827D9B">
        <w:trPr>
          <w:trHeight w:val="20"/>
        </w:trPr>
        <w:tc>
          <w:tcPr>
            <w:tcW w:w="4531" w:type="dxa"/>
            <w:shd w:val="clear" w:color="auto" w:fill="auto"/>
          </w:tcPr>
          <w:p w:rsidR="00827D9B" w:rsidRPr="007C51D6" w:rsidRDefault="00827D9B" w:rsidP="00827D9B">
            <w:pPr>
              <w:autoSpaceDE/>
              <w:autoSpaceDN/>
              <w:adjustRightInd/>
              <w:jc w:val="both"/>
              <w:rPr>
                <w:rFonts w:eastAsia="Arial"/>
                <w:sz w:val="20"/>
                <w:szCs w:val="22"/>
              </w:rPr>
            </w:pPr>
            <w:r w:rsidRPr="007C51D6">
              <w:rPr>
                <w:rFonts w:eastAsia="Arial"/>
                <w:sz w:val="20"/>
                <w:szCs w:val="22"/>
              </w:rPr>
              <w:t>лейкемия</w:t>
            </w:r>
          </w:p>
        </w:tc>
        <w:tc>
          <w:tcPr>
            <w:tcW w:w="1065" w:type="dxa"/>
            <w:shd w:val="clear" w:color="auto" w:fill="auto"/>
          </w:tcPr>
          <w:p w:rsidR="00827D9B" w:rsidRPr="007C51D6" w:rsidRDefault="00827D9B" w:rsidP="00827D9B">
            <w:pPr>
              <w:autoSpaceDE/>
              <w:autoSpaceDN/>
              <w:adjustRightInd/>
              <w:jc w:val="center"/>
              <w:rPr>
                <w:color w:val="000000"/>
                <w:sz w:val="20"/>
                <w:szCs w:val="22"/>
              </w:rPr>
            </w:pPr>
            <w:r w:rsidRPr="007C51D6">
              <w:rPr>
                <w:color w:val="000000"/>
                <w:sz w:val="20"/>
                <w:szCs w:val="22"/>
              </w:rPr>
              <w:t>4,43</w:t>
            </w:r>
          </w:p>
        </w:tc>
        <w:tc>
          <w:tcPr>
            <w:tcW w:w="991" w:type="dxa"/>
            <w:shd w:val="clear" w:color="auto" w:fill="auto"/>
          </w:tcPr>
          <w:p w:rsidR="00827D9B" w:rsidRPr="007C51D6" w:rsidRDefault="00827D9B" w:rsidP="00827D9B">
            <w:pPr>
              <w:autoSpaceDE/>
              <w:autoSpaceDN/>
              <w:adjustRightInd/>
              <w:jc w:val="center"/>
              <w:rPr>
                <w:color w:val="000000"/>
                <w:sz w:val="20"/>
                <w:szCs w:val="22"/>
              </w:rPr>
            </w:pPr>
            <w:r w:rsidRPr="007C51D6">
              <w:rPr>
                <w:color w:val="000000"/>
                <w:sz w:val="20"/>
                <w:szCs w:val="22"/>
              </w:rPr>
              <w:t>5,00</w:t>
            </w:r>
          </w:p>
        </w:tc>
        <w:tc>
          <w:tcPr>
            <w:tcW w:w="991" w:type="dxa"/>
            <w:shd w:val="clear" w:color="auto" w:fill="auto"/>
          </w:tcPr>
          <w:p w:rsidR="00827D9B" w:rsidRPr="007C51D6" w:rsidRDefault="00827D9B" w:rsidP="00827D9B">
            <w:pPr>
              <w:autoSpaceDE/>
              <w:autoSpaceDN/>
              <w:adjustRightInd/>
              <w:jc w:val="center"/>
              <w:rPr>
                <w:color w:val="000000"/>
                <w:sz w:val="20"/>
                <w:szCs w:val="22"/>
              </w:rPr>
            </w:pPr>
            <w:r w:rsidRPr="007C51D6">
              <w:rPr>
                <w:color w:val="000000"/>
                <w:sz w:val="20"/>
                <w:szCs w:val="22"/>
              </w:rPr>
              <w:t>6,15</w:t>
            </w:r>
          </w:p>
        </w:tc>
        <w:tc>
          <w:tcPr>
            <w:tcW w:w="1060" w:type="dxa"/>
            <w:shd w:val="clear" w:color="auto" w:fill="auto"/>
          </w:tcPr>
          <w:p w:rsidR="00827D9B" w:rsidRPr="007C51D6" w:rsidRDefault="00827D9B" w:rsidP="00827D9B">
            <w:pPr>
              <w:autoSpaceDE/>
              <w:autoSpaceDN/>
              <w:adjustRightInd/>
              <w:ind w:firstLine="176"/>
              <w:jc w:val="center"/>
              <w:rPr>
                <w:rFonts w:eastAsia="Arial"/>
                <w:sz w:val="20"/>
                <w:szCs w:val="22"/>
              </w:rPr>
            </w:pPr>
            <w:r w:rsidRPr="007C51D6">
              <w:rPr>
                <w:rFonts w:eastAsia="Arial"/>
                <w:sz w:val="20"/>
                <w:szCs w:val="22"/>
              </w:rPr>
              <w:t>5,64</w:t>
            </w:r>
          </w:p>
        </w:tc>
        <w:tc>
          <w:tcPr>
            <w:tcW w:w="991" w:type="dxa"/>
            <w:shd w:val="clear" w:color="auto" w:fill="auto"/>
          </w:tcPr>
          <w:p w:rsidR="00827D9B" w:rsidRPr="007C51D6" w:rsidRDefault="00827D9B" w:rsidP="00827D9B">
            <w:pPr>
              <w:autoSpaceDE/>
              <w:autoSpaceDN/>
              <w:adjustRightInd/>
              <w:jc w:val="center"/>
              <w:rPr>
                <w:rFonts w:eastAsia="Arial"/>
                <w:color w:val="000000"/>
                <w:sz w:val="20"/>
                <w:szCs w:val="22"/>
              </w:rPr>
            </w:pPr>
            <w:r w:rsidRPr="007C51D6">
              <w:rPr>
                <w:rFonts w:eastAsia="Arial"/>
                <w:color w:val="000000"/>
                <w:sz w:val="20"/>
                <w:szCs w:val="22"/>
              </w:rPr>
              <w:t>6,97</w:t>
            </w:r>
          </w:p>
        </w:tc>
        <w:tc>
          <w:tcPr>
            <w:tcW w:w="945" w:type="dxa"/>
          </w:tcPr>
          <w:p w:rsidR="00827D9B" w:rsidRPr="007C51D6" w:rsidRDefault="00827D9B" w:rsidP="00827D9B">
            <w:pPr>
              <w:autoSpaceDE/>
              <w:autoSpaceDN/>
              <w:adjustRightInd/>
              <w:jc w:val="center"/>
              <w:rPr>
                <w:rFonts w:eastAsia="Arial"/>
                <w:color w:val="000000"/>
                <w:sz w:val="20"/>
                <w:szCs w:val="22"/>
              </w:rPr>
            </w:pPr>
            <w:r w:rsidRPr="007C51D6">
              <w:rPr>
                <w:rFonts w:eastAsia="Arial"/>
                <w:color w:val="000000"/>
                <w:sz w:val="20"/>
                <w:szCs w:val="22"/>
              </w:rPr>
              <w:t>4,66</w:t>
            </w:r>
          </w:p>
        </w:tc>
        <w:tc>
          <w:tcPr>
            <w:tcW w:w="999" w:type="dxa"/>
          </w:tcPr>
          <w:p w:rsidR="00827D9B" w:rsidRPr="007C51D6" w:rsidRDefault="00827D9B" w:rsidP="00827D9B">
            <w:pPr>
              <w:jc w:val="center"/>
              <w:rPr>
                <w:color w:val="000000"/>
                <w:sz w:val="20"/>
                <w:szCs w:val="20"/>
              </w:rPr>
            </w:pPr>
            <w:r w:rsidRPr="007C51D6">
              <w:rPr>
                <w:color w:val="000000"/>
                <w:sz w:val="20"/>
                <w:szCs w:val="20"/>
              </w:rPr>
              <w:t>4,60</w:t>
            </w:r>
          </w:p>
        </w:tc>
        <w:tc>
          <w:tcPr>
            <w:tcW w:w="887" w:type="dxa"/>
          </w:tcPr>
          <w:p w:rsidR="00827D9B" w:rsidRPr="007C51D6" w:rsidRDefault="00827D9B" w:rsidP="00827D9B">
            <w:pPr>
              <w:jc w:val="center"/>
              <w:rPr>
                <w:color w:val="000000"/>
                <w:sz w:val="20"/>
                <w:szCs w:val="20"/>
              </w:rPr>
            </w:pPr>
            <w:r w:rsidRPr="007C51D6">
              <w:rPr>
                <w:color w:val="000000"/>
                <w:sz w:val="20"/>
                <w:szCs w:val="20"/>
              </w:rPr>
              <w:t>2,73</w:t>
            </w:r>
          </w:p>
        </w:tc>
        <w:tc>
          <w:tcPr>
            <w:tcW w:w="1285" w:type="dxa"/>
          </w:tcPr>
          <w:p w:rsidR="00827D9B" w:rsidRPr="007C51D6" w:rsidRDefault="00827D9B" w:rsidP="00827D9B">
            <w:pPr>
              <w:jc w:val="center"/>
            </w:pPr>
            <w:r w:rsidRPr="007C51D6">
              <w:rPr>
                <w:color w:val="000000"/>
                <w:sz w:val="20"/>
                <w:szCs w:val="20"/>
              </w:rPr>
              <w:t>нет данных</w:t>
            </w:r>
          </w:p>
        </w:tc>
        <w:tc>
          <w:tcPr>
            <w:tcW w:w="1285" w:type="dxa"/>
          </w:tcPr>
          <w:p w:rsidR="00827D9B" w:rsidRPr="007C51D6" w:rsidRDefault="00827D9B" w:rsidP="00827D9B">
            <w:pPr>
              <w:jc w:val="center"/>
            </w:pPr>
            <w:r w:rsidRPr="007C51D6">
              <w:rPr>
                <w:color w:val="000000"/>
                <w:sz w:val="20"/>
                <w:szCs w:val="20"/>
              </w:rPr>
              <w:t>нет данных</w:t>
            </w:r>
          </w:p>
        </w:tc>
      </w:tr>
      <w:tr w:rsidR="0028241C" w:rsidRPr="007C51D6" w:rsidTr="00DC67CB">
        <w:trPr>
          <w:trHeight w:val="20"/>
        </w:trPr>
        <w:tc>
          <w:tcPr>
            <w:tcW w:w="15030" w:type="dxa"/>
            <w:gridSpan w:val="11"/>
            <w:shd w:val="clear" w:color="auto" w:fill="auto"/>
          </w:tcPr>
          <w:p w:rsidR="0028241C" w:rsidRPr="007C51D6" w:rsidRDefault="0028241C" w:rsidP="00827D9B">
            <w:pPr>
              <w:jc w:val="center"/>
              <w:rPr>
                <w:rFonts w:eastAsia="Arial"/>
                <w:sz w:val="20"/>
                <w:szCs w:val="22"/>
              </w:rPr>
            </w:pPr>
            <w:r w:rsidRPr="007C51D6">
              <w:rPr>
                <w:rFonts w:eastAsia="Arial"/>
                <w:sz w:val="20"/>
                <w:szCs w:val="22"/>
              </w:rPr>
              <w:t>Женщины</w:t>
            </w:r>
          </w:p>
        </w:tc>
      </w:tr>
      <w:tr w:rsidR="00827D9B" w:rsidRPr="007C51D6" w:rsidTr="00827D9B">
        <w:trPr>
          <w:trHeight w:val="20"/>
        </w:trPr>
        <w:tc>
          <w:tcPr>
            <w:tcW w:w="4531" w:type="dxa"/>
            <w:shd w:val="clear" w:color="auto" w:fill="auto"/>
          </w:tcPr>
          <w:p w:rsidR="00827D9B" w:rsidRPr="007C51D6" w:rsidRDefault="00827D9B" w:rsidP="00827D9B">
            <w:pPr>
              <w:autoSpaceDE/>
              <w:autoSpaceDN/>
              <w:adjustRightInd/>
              <w:jc w:val="both"/>
              <w:rPr>
                <w:rFonts w:eastAsia="Arial"/>
                <w:sz w:val="20"/>
                <w:szCs w:val="22"/>
              </w:rPr>
            </w:pPr>
            <w:r w:rsidRPr="007C51D6">
              <w:rPr>
                <w:rFonts w:eastAsia="Arial"/>
                <w:sz w:val="20"/>
                <w:szCs w:val="22"/>
              </w:rPr>
              <w:t xml:space="preserve">Всего, в </w:t>
            </w:r>
            <w:r w:rsidRPr="007C51D6">
              <w:rPr>
                <w:color w:val="000000"/>
                <w:sz w:val="20"/>
                <w:szCs w:val="20"/>
              </w:rPr>
              <w:t>том числе:</w:t>
            </w:r>
            <w:r w:rsidRPr="007C51D6">
              <w:rPr>
                <w:rFonts w:eastAsia="Arial"/>
                <w:sz w:val="20"/>
                <w:szCs w:val="22"/>
              </w:rPr>
              <w:t xml:space="preserve"> </w:t>
            </w:r>
          </w:p>
        </w:tc>
        <w:tc>
          <w:tcPr>
            <w:tcW w:w="1065" w:type="dxa"/>
            <w:shd w:val="clear" w:color="auto" w:fill="auto"/>
          </w:tcPr>
          <w:p w:rsidR="00827D9B" w:rsidRPr="007C51D6" w:rsidRDefault="00827D9B" w:rsidP="00827D9B">
            <w:pPr>
              <w:autoSpaceDE/>
              <w:autoSpaceDN/>
              <w:adjustRightInd/>
              <w:ind w:hanging="117"/>
              <w:jc w:val="center"/>
              <w:rPr>
                <w:color w:val="000000"/>
                <w:sz w:val="20"/>
                <w:szCs w:val="22"/>
              </w:rPr>
            </w:pPr>
            <w:r w:rsidRPr="007C51D6">
              <w:rPr>
                <w:color w:val="000000"/>
                <w:sz w:val="20"/>
                <w:szCs w:val="22"/>
              </w:rPr>
              <w:t>164,19</w:t>
            </w:r>
          </w:p>
        </w:tc>
        <w:tc>
          <w:tcPr>
            <w:tcW w:w="991" w:type="dxa"/>
            <w:shd w:val="clear" w:color="auto" w:fill="auto"/>
          </w:tcPr>
          <w:p w:rsidR="00827D9B" w:rsidRPr="007C51D6" w:rsidRDefault="00827D9B" w:rsidP="00827D9B">
            <w:pPr>
              <w:autoSpaceDE/>
              <w:autoSpaceDN/>
              <w:adjustRightInd/>
              <w:ind w:hanging="118"/>
              <w:jc w:val="center"/>
              <w:rPr>
                <w:color w:val="000000"/>
                <w:sz w:val="20"/>
                <w:szCs w:val="22"/>
              </w:rPr>
            </w:pPr>
            <w:r w:rsidRPr="007C51D6">
              <w:rPr>
                <w:color w:val="000000"/>
                <w:sz w:val="20"/>
                <w:szCs w:val="22"/>
              </w:rPr>
              <w:t>157,90</w:t>
            </w:r>
          </w:p>
        </w:tc>
        <w:tc>
          <w:tcPr>
            <w:tcW w:w="991" w:type="dxa"/>
            <w:shd w:val="clear" w:color="auto" w:fill="auto"/>
          </w:tcPr>
          <w:p w:rsidR="00827D9B" w:rsidRPr="007C51D6" w:rsidRDefault="00827D9B" w:rsidP="00827D9B">
            <w:pPr>
              <w:autoSpaceDE/>
              <w:autoSpaceDN/>
              <w:adjustRightInd/>
              <w:jc w:val="center"/>
              <w:rPr>
                <w:color w:val="000000"/>
                <w:sz w:val="20"/>
                <w:szCs w:val="22"/>
              </w:rPr>
            </w:pPr>
            <w:r w:rsidRPr="007C51D6">
              <w:rPr>
                <w:color w:val="000000"/>
                <w:sz w:val="20"/>
                <w:szCs w:val="22"/>
              </w:rPr>
              <w:t>159,28</w:t>
            </w:r>
          </w:p>
        </w:tc>
        <w:tc>
          <w:tcPr>
            <w:tcW w:w="1060" w:type="dxa"/>
            <w:shd w:val="clear" w:color="auto" w:fill="auto"/>
          </w:tcPr>
          <w:p w:rsidR="00827D9B" w:rsidRPr="007C51D6" w:rsidRDefault="00827D9B" w:rsidP="00827D9B">
            <w:pPr>
              <w:autoSpaceDE/>
              <w:autoSpaceDN/>
              <w:adjustRightInd/>
              <w:jc w:val="center"/>
              <w:rPr>
                <w:color w:val="000000"/>
                <w:sz w:val="20"/>
                <w:szCs w:val="22"/>
              </w:rPr>
            </w:pPr>
            <w:r w:rsidRPr="007C51D6">
              <w:rPr>
                <w:color w:val="000000"/>
                <w:sz w:val="20"/>
                <w:szCs w:val="22"/>
              </w:rPr>
              <w:t>154,03</w:t>
            </w:r>
          </w:p>
        </w:tc>
        <w:tc>
          <w:tcPr>
            <w:tcW w:w="991" w:type="dxa"/>
            <w:shd w:val="clear" w:color="auto" w:fill="auto"/>
          </w:tcPr>
          <w:p w:rsidR="00827D9B" w:rsidRPr="007C51D6" w:rsidRDefault="00827D9B" w:rsidP="00827D9B">
            <w:pPr>
              <w:autoSpaceDE/>
              <w:autoSpaceDN/>
              <w:adjustRightInd/>
              <w:jc w:val="center"/>
              <w:rPr>
                <w:color w:val="000000"/>
                <w:sz w:val="20"/>
                <w:szCs w:val="22"/>
              </w:rPr>
            </w:pPr>
            <w:r w:rsidRPr="007C51D6">
              <w:rPr>
                <w:rFonts w:eastAsia="Arial"/>
                <w:color w:val="000000"/>
                <w:sz w:val="20"/>
                <w:szCs w:val="22"/>
              </w:rPr>
              <w:t>149,98</w:t>
            </w:r>
          </w:p>
        </w:tc>
        <w:tc>
          <w:tcPr>
            <w:tcW w:w="945" w:type="dxa"/>
          </w:tcPr>
          <w:p w:rsidR="00827D9B" w:rsidRPr="007C51D6" w:rsidRDefault="00827D9B" w:rsidP="00827D9B">
            <w:pPr>
              <w:autoSpaceDE/>
              <w:autoSpaceDN/>
              <w:adjustRightInd/>
              <w:jc w:val="center"/>
              <w:rPr>
                <w:rFonts w:eastAsia="Arial"/>
                <w:color w:val="000000"/>
                <w:sz w:val="20"/>
                <w:szCs w:val="22"/>
              </w:rPr>
            </w:pPr>
            <w:r w:rsidRPr="007C51D6">
              <w:rPr>
                <w:rFonts w:eastAsia="Arial"/>
                <w:color w:val="000000"/>
                <w:sz w:val="20"/>
                <w:szCs w:val="22"/>
              </w:rPr>
              <w:t>142,20</w:t>
            </w:r>
          </w:p>
        </w:tc>
        <w:tc>
          <w:tcPr>
            <w:tcW w:w="999" w:type="dxa"/>
          </w:tcPr>
          <w:p w:rsidR="00827D9B" w:rsidRPr="007C51D6" w:rsidRDefault="00827D9B" w:rsidP="00827D9B">
            <w:pPr>
              <w:autoSpaceDE/>
              <w:autoSpaceDN/>
              <w:adjustRightInd/>
              <w:jc w:val="center"/>
              <w:rPr>
                <w:color w:val="000000"/>
                <w:sz w:val="20"/>
                <w:szCs w:val="20"/>
              </w:rPr>
            </w:pPr>
            <w:r w:rsidRPr="007C51D6">
              <w:rPr>
                <w:color w:val="000000"/>
                <w:sz w:val="20"/>
                <w:szCs w:val="20"/>
              </w:rPr>
              <w:t>139,57</w:t>
            </w:r>
          </w:p>
        </w:tc>
        <w:tc>
          <w:tcPr>
            <w:tcW w:w="887" w:type="dxa"/>
          </w:tcPr>
          <w:p w:rsidR="00827D9B" w:rsidRPr="007C51D6" w:rsidRDefault="00827D9B" w:rsidP="00827D9B">
            <w:pPr>
              <w:autoSpaceDE/>
              <w:autoSpaceDN/>
              <w:adjustRightInd/>
              <w:jc w:val="center"/>
              <w:rPr>
                <w:color w:val="000000"/>
                <w:sz w:val="20"/>
                <w:szCs w:val="20"/>
              </w:rPr>
            </w:pPr>
            <w:r w:rsidRPr="007C51D6">
              <w:rPr>
                <w:color w:val="000000"/>
                <w:sz w:val="20"/>
                <w:szCs w:val="20"/>
              </w:rPr>
              <w:t>125,57</w:t>
            </w:r>
          </w:p>
        </w:tc>
        <w:tc>
          <w:tcPr>
            <w:tcW w:w="1285" w:type="dxa"/>
          </w:tcPr>
          <w:p w:rsidR="00827D9B" w:rsidRPr="007C51D6" w:rsidRDefault="00827D9B" w:rsidP="00827D9B">
            <w:pPr>
              <w:jc w:val="center"/>
            </w:pPr>
            <w:r w:rsidRPr="007C51D6">
              <w:rPr>
                <w:color w:val="000000"/>
                <w:sz w:val="20"/>
                <w:szCs w:val="20"/>
              </w:rPr>
              <w:t>нет данных</w:t>
            </w:r>
          </w:p>
        </w:tc>
        <w:tc>
          <w:tcPr>
            <w:tcW w:w="1285" w:type="dxa"/>
          </w:tcPr>
          <w:p w:rsidR="00827D9B" w:rsidRPr="007C51D6" w:rsidRDefault="00827D9B" w:rsidP="00827D9B">
            <w:pPr>
              <w:jc w:val="center"/>
              <w:rPr>
                <w:color w:val="000000"/>
                <w:sz w:val="20"/>
                <w:szCs w:val="20"/>
              </w:rPr>
            </w:pPr>
            <w:r w:rsidRPr="007C51D6">
              <w:rPr>
                <w:color w:val="000000"/>
                <w:sz w:val="20"/>
                <w:szCs w:val="20"/>
              </w:rPr>
              <w:t>нет данных</w:t>
            </w:r>
          </w:p>
        </w:tc>
      </w:tr>
      <w:tr w:rsidR="00827D9B" w:rsidRPr="007C51D6" w:rsidTr="00827D9B">
        <w:trPr>
          <w:trHeight w:val="20"/>
        </w:trPr>
        <w:tc>
          <w:tcPr>
            <w:tcW w:w="4531" w:type="dxa"/>
            <w:shd w:val="clear" w:color="auto" w:fill="auto"/>
          </w:tcPr>
          <w:p w:rsidR="00827D9B" w:rsidRPr="007C51D6" w:rsidRDefault="00827D9B" w:rsidP="00827D9B">
            <w:pPr>
              <w:autoSpaceDE/>
              <w:autoSpaceDN/>
              <w:adjustRightInd/>
              <w:jc w:val="both"/>
              <w:rPr>
                <w:rFonts w:eastAsia="Arial"/>
                <w:sz w:val="20"/>
                <w:szCs w:val="22"/>
              </w:rPr>
            </w:pPr>
            <w:r w:rsidRPr="007C51D6">
              <w:rPr>
                <w:rFonts w:eastAsia="Arial"/>
                <w:sz w:val="20"/>
                <w:szCs w:val="22"/>
              </w:rPr>
              <w:t>молочной железы</w:t>
            </w:r>
          </w:p>
        </w:tc>
        <w:tc>
          <w:tcPr>
            <w:tcW w:w="1065" w:type="dxa"/>
            <w:shd w:val="clear" w:color="auto" w:fill="auto"/>
          </w:tcPr>
          <w:p w:rsidR="00827D9B" w:rsidRPr="007C51D6" w:rsidRDefault="00827D9B" w:rsidP="00827D9B">
            <w:pPr>
              <w:autoSpaceDE/>
              <w:autoSpaceDN/>
              <w:adjustRightInd/>
              <w:jc w:val="center"/>
              <w:rPr>
                <w:color w:val="000000"/>
                <w:sz w:val="20"/>
                <w:szCs w:val="22"/>
              </w:rPr>
            </w:pPr>
            <w:r w:rsidRPr="007C51D6">
              <w:rPr>
                <w:color w:val="000000"/>
                <w:sz w:val="20"/>
                <w:szCs w:val="22"/>
              </w:rPr>
              <w:t>25,40</w:t>
            </w:r>
          </w:p>
        </w:tc>
        <w:tc>
          <w:tcPr>
            <w:tcW w:w="991" w:type="dxa"/>
            <w:shd w:val="clear" w:color="auto" w:fill="auto"/>
          </w:tcPr>
          <w:p w:rsidR="00827D9B" w:rsidRPr="007C51D6" w:rsidRDefault="00827D9B" w:rsidP="00827D9B">
            <w:pPr>
              <w:autoSpaceDE/>
              <w:autoSpaceDN/>
              <w:adjustRightInd/>
              <w:jc w:val="center"/>
              <w:rPr>
                <w:color w:val="000000"/>
                <w:sz w:val="20"/>
                <w:szCs w:val="22"/>
              </w:rPr>
            </w:pPr>
            <w:r w:rsidRPr="007C51D6">
              <w:rPr>
                <w:color w:val="000000"/>
                <w:sz w:val="20"/>
                <w:szCs w:val="22"/>
              </w:rPr>
              <w:t>26,38</w:t>
            </w:r>
          </w:p>
        </w:tc>
        <w:tc>
          <w:tcPr>
            <w:tcW w:w="991" w:type="dxa"/>
            <w:shd w:val="clear" w:color="auto" w:fill="auto"/>
          </w:tcPr>
          <w:p w:rsidR="00827D9B" w:rsidRPr="007C51D6" w:rsidRDefault="00827D9B" w:rsidP="00827D9B">
            <w:pPr>
              <w:autoSpaceDE/>
              <w:autoSpaceDN/>
              <w:adjustRightInd/>
              <w:jc w:val="center"/>
              <w:rPr>
                <w:color w:val="000000"/>
                <w:sz w:val="20"/>
                <w:szCs w:val="22"/>
              </w:rPr>
            </w:pPr>
            <w:r w:rsidRPr="007C51D6">
              <w:rPr>
                <w:color w:val="000000"/>
                <w:sz w:val="20"/>
                <w:szCs w:val="22"/>
              </w:rPr>
              <w:t>27,59</w:t>
            </w:r>
          </w:p>
        </w:tc>
        <w:tc>
          <w:tcPr>
            <w:tcW w:w="1060" w:type="dxa"/>
            <w:shd w:val="clear" w:color="auto" w:fill="auto"/>
          </w:tcPr>
          <w:p w:rsidR="00827D9B" w:rsidRPr="007C51D6" w:rsidRDefault="00827D9B" w:rsidP="00827D9B">
            <w:pPr>
              <w:autoSpaceDE/>
              <w:autoSpaceDN/>
              <w:adjustRightInd/>
              <w:jc w:val="center"/>
              <w:rPr>
                <w:color w:val="000000"/>
                <w:sz w:val="20"/>
                <w:szCs w:val="22"/>
              </w:rPr>
            </w:pPr>
            <w:r w:rsidRPr="007C51D6">
              <w:rPr>
                <w:color w:val="000000"/>
                <w:sz w:val="20"/>
                <w:szCs w:val="22"/>
              </w:rPr>
              <w:t>25,03</w:t>
            </w:r>
          </w:p>
        </w:tc>
        <w:tc>
          <w:tcPr>
            <w:tcW w:w="991" w:type="dxa"/>
            <w:shd w:val="clear" w:color="auto" w:fill="auto"/>
          </w:tcPr>
          <w:p w:rsidR="00827D9B" w:rsidRPr="007C51D6" w:rsidRDefault="00827D9B" w:rsidP="00827D9B">
            <w:pPr>
              <w:autoSpaceDE/>
              <w:autoSpaceDN/>
              <w:adjustRightInd/>
              <w:jc w:val="center"/>
              <w:rPr>
                <w:rFonts w:eastAsia="Arial"/>
                <w:color w:val="000000"/>
                <w:sz w:val="20"/>
                <w:szCs w:val="22"/>
              </w:rPr>
            </w:pPr>
            <w:r w:rsidRPr="007C51D6">
              <w:rPr>
                <w:rFonts w:eastAsia="Arial"/>
                <w:color w:val="000000"/>
                <w:sz w:val="20"/>
                <w:szCs w:val="22"/>
              </w:rPr>
              <w:t>26,74</w:t>
            </w:r>
          </w:p>
        </w:tc>
        <w:tc>
          <w:tcPr>
            <w:tcW w:w="945" w:type="dxa"/>
          </w:tcPr>
          <w:p w:rsidR="00827D9B" w:rsidRPr="007C51D6" w:rsidRDefault="00827D9B" w:rsidP="00827D9B">
            <w:pPr>
              <w:autoSpaceDE/>
              <w:autoSpaceDN/>
              <w:adjustRightInd/>
              <w:jc w:val="center"/>
              <w:rPr>
                <w:rFonts w:eastAsia="Arial"/>
                <w:color w:val="000000"/>
                <w:sz w:val="20"/>
                <w:szCs w:val="22"/>
              </w:rPr>
            </w:pPr>
            <w:r w:rsidRPr="007C51D6">
              <w:rPr>
                <w:rFonts w:eastAsia="Arial"/>
                <w:color w:val="000000"/>
                <w:sz w:val="20"/>
                <w:szCs w:val="22"/>
              </w:rPr>
              <w:t>23,48</w:t>
            </w:r>
          </w:p>
        </w:tc>
        <w:tc>
          <w:tcPr>
            <w:tcW w:w="999" w:type="dxa"/>
          </w:tcPr>
          <w:p w:rsidR="00827D9B" w:rsidRPr="007C51D6" w:rsidRDefault="00827D9B" w:rsidP="00827D9B">
            <w:pPr>
              <w:jc w:val="center"/>
              <w:rPr>
                <w:color w:val="000000"/>
                <w:sz w:val="20"/>
                <w:szCs w:val="20"/>
              </w:rPr>
            </w:pPr>
            <w:r w:rsidRPr="007C51D6">
              <w:rPr>
                <w:color w:val="000000"/>
                <w:sz w:val="20"/>
                <w:szCs w:val="20"/>
              </w:rPr>
              <w:t>24,11</w:t>
            </w:r>
          </w:p>
        </w:tc>
        <w:tc>
          <w:tcPr>
            <w:tcW w:w="887" w:type="dxa"/>
          </w:tcPr>
          <w:p w:rsidR="00827D9B" w:rsidRPr="007C51D6" w:rsidRDefault="00827D9B" w:rsidP="00827D9B">
            <w:pPr>
              <w:jc w:val="center"/>
              <w:rPr>
                <w:color w:val="000000"/>
                <w:sz w:val="20"/>
                <w:szCs w:val="20"/>
              </w:rPr>
            </w:pPr>
            <w:r w:rsidRPr="007C51D6">
              <w:rPr>
                <w:color w:val="000000"/>
                <w:sz w:val="20"/>
                <w:szCs w:val="20"/>
              </w:rPr>
              <w:t>21,23</w:t>
            </w:r>
          </w:p>
        </w:tc>
        <w:tc>
          <w:tcPr>
            <w:tcW w:w="1285" w:type="dxa"/>
          </w:tcPr>
          <w:p w:rsidR="00827D9B" w:rsidRPr="007C51D6" w:rsidRDefault="00827D9B" w:rsidP="00827D9B">
            <w:pPr>
              <w:jc w:val="center"/>
            </w:pPr>
            <w:r w:rsidRPr="007C51D6">
              <w:rPr>
                <w:color w:val="000000"/>
                <w:sz w:val="20"/>
                <w:szCs w:val="20"/>
              </w:rPr>
              <w:t>нет данных</w:t>
            </w:r>
          </w:p>
        </w:tc>
        <w:tc>
          <w:tcPr>
            <w:tcW w:w="1285" w:type="dxa"/>
          </w:tcPr>
          <w:p w:rsidR="00827D9B" w:rsidRPr="007C51D6" w:rsidRDefault="00827D9B" w:rsidP="00827D9B">
            <w:pPr>
              <w:jc w:val="center"/>
              <w:rPr>
                <w:sz w:val="20"/>
                <w:szCs w:val="20"/>
              </w:rPr>
            </w:pPr>
            <w:r w:rsidRPr="007C51D6">
              <w:rPr>
                <w:color w:val="000000"/>
                <w:sz w:val="20"/>
                <w:szCs w:val="20"/>
              </w:rPr>
              <w:t>нет данных</w:t>
            </w:r>
          </w:p>
        </w:tc>
      </w:tr>
      <w:tr w:rsidR="00827D9B" w:rsidRPr="007C51D6" w:rsidTr="00827D9B">
        <w:trPr>
          <w:trHeight w:val="20"/>
        </w:trPr>
        <w:tc>
          <w:tcPr>
            <w:tcW w:w="4531" w:type="dxa"/>
            <w:shd w:val="clear" w:color="auto" w:fill="auto"/>
          </w:tcPr>
          <w:p w:rsidR="00827D9B" w:rsidRPr="007C51D6" w:rsidRDefault="00827D9B" w:rsidP="00827D9B">
            <w:pPr>
              <w:autoSpaceDE/>
              <w:autoSpaceDN/>
              <w:adjustRightInd/>
              <w:jc w:val="both"/>
              <w:rPr>
                <w:rFonts w:eastAsia="Arial"/>
                <w:sz w:val="20"/>
                <w:szCs w:val="22"/>
              </w:rPr>
            </w:pPr>
            <w:r w:rsidRPr="007C51D6">
              <w:rPr>
                <w:rFonts w:eastAsia="Arial"/>
                <w:sz w:val="20"/>
                <w:szCs w:val="22"/>
              </w:rPr>
              <w:t>желудка</w:t>
            </w:r>
          </w:p>
        </w:tc>
        <w:tc>
          <w:tcPr>
            <w:tcW w:w="1065" w:type="dxa"/>
            <w:shd w:val="clear" w:color="auto" w:fill="auto"/>
          </w:tcPr>
          <w:p w:rsidR="00827D9B" w:rsidRPr="007C51D6" w:rsidRDefault="00827D9B" w:rsidP="00827D9B">
            <w:pPr>
              <w:autoSpaceDE/>
              <w:autoSpaceDN/>
              <w:adjustRightInd/>
              <w:jc w:val="center"/>
              <w:rPr>
                <w:color w:val="000000"/>
                <w:sz w:val="20"/>
                <w:szCs w:val="22"/>
              </w:rPr>
            </w:pPr>
            <w:r w:rsidRPr="007C51D6">
              <w:rPr>
                <w:color w:val="000000"/>
                <w:sz w:val="20"/>
                <w:szCs w:val="22"/>
              </w:rPr>
              <w:t>15,55</w:t>
            </w:r>
          </w:p>
        </w:tc>
        <w:tc>
          <w:tcPr>
            <w:tcW w:w="991" w:type="dxa"/>
            <w:shd w:val="clear" w:color="auto" w:fill="auto"/>
          </w:tcPr>
          <w:p w:rsidR="00827D9B" w:rsidRPr="007C51D6" w:rsidRDefault="00827D9B" w:rsidP="00827D9B">
            <w:pPr>
              <w:autoSpaceDE/>
              <w:autoSpaceDN/>
              <w:adjustRightInd/>
              <w:jc w:val="center"/>
              <w:rPr>
                <w:color w:val="000000"/>
                <w:sz w:val="20"/>
                <w:szCs w:val="22"/>
              </w:rPr>
            </w:pPr>
            <w:r w:rsidRPr="007C51D6">
              <w:rPr>
                <w:color w:val="000000"/>
                <w:sz w:val="20"/>
                <w:szCs w:val="22"/>
              </w:rPr>
              <w:t>15,66</w:t>
            </w:r>
          </w:p>
        </w:tc>
        <w:tc>
          <w:tcPr>
            <w:tcW w:w="991" w:type="dxa"/>
            <w:shd w:val="clear" w:color="auto" w:fill="auto"/>
          </w:tcPr>
          <w:p w:rsidR="00827D9B" w:rsidRPr="007C51D6" w:rsidRDefault="00827D9B" w:rsidP="00827D9B">
            <w:pPr>
              <w:autoSpaceDE/>
              <w:autoSpaceDN/>
              <w:adjustRightInd/>
              <w:jc w:val="center"/>
              <w:rPr>
                <w:color w:val="000000"/>
                <w:sz w:val="20"/>
                <w:szCs w:val="22"/>
              </w:rPr>
            </w:pPr>
            <w:r w:rsidRPr="007C51D6">
              <w:rPr>
                <w:color w:val="000000"/>
                <w:sz w:val="20"/>
                <w:szCs w:val="22"/>
              </w:rPr>
              <w:t>14,49</w:t>
            </w:r>
          </w:p>
        </w:tc>
        <w:tc>
          <w:tcPr>
            <w:tcW w:w="1060" w:type="dxa"/>
            <w:shd w:val="clear" w:color="auto" w:fill="auto"/>
          </w:tcPr>
          <w:p w:rsidR="00827D9B" w:rsidRPr="007C51D6" w:rsidRDefault="00827D9B" w:rsidP="00827D9B">
            <w:pPr>
              <w:autoSpaceDE/>
              <w:autoSpaceDN/>
              <w:adjustRightInd/>
              <w:jc w:val="center"/>
              <w:rPr>
                <w:color w:val="000000"/>
                <w:sz w:val="20"/>
                <w:szCs w:val="22"/>
              </w:rPr>
            </w:pPr>
            <w:r w:rsidRPr="007C51D6">
              <w:rPr>
                <w:color w:val="000000"/>
                <w:sz w:val="20"/>
                <w:szCs w:val="22"/>
              </w:rPr>
              <w:t>13,85</w:t>
            </w:r>
          </w:p>
        </w:tc>
        <w:tc>
          <w:tcPr>
            <w:tcW w:w="991" w:type="dxa"/>
            <w:shd w:val="clear" w:color="auto" w:fill="auto"/>
          </w:tcPr>
          <w:p w:rsidR="00827D9B" w:rsidRPr="007C51D6" w:rsidRDefault="00827D9B" w:rsidP="00827D9B">
            <w:pPr>
              <w:autoSpaceDE/>
              <w:autoSpaceDN/>
              <w:adjustRightInd/>
              <w:jc w:val="center"/>
              <w:rPr>
                <w:rFonts w:eastAsia="Arial"/>
                <w:color w:val="000000"/>
                <w:sz w:val="20"/>
                <w:szCs w:val="22"/>
              </w:rPr>
            </w:pPr>
            <w:r w:rsidRPr="007C51D6">
              <w:rPr>
                <w:rFonts w:eastAsia="Arial"/>
                <w:color w:val="000000"/>
                <w:sz w:val="20"/>
                <w:szCs w:val="22"/>
              </w:rPr>
              <w:t>13,47</w:t>
            </w:r>
          </w:p>
        </w:tc>
        <w:tc>
          <w:tcPr>
            <w:tcW w:w="945" w:type="dxa"/>
          </w:tcPr>
          <w:p w:rsidR="00827D9B" w:rsidRPr="007C51D6" w:rsidRDefault="00827D9B" w:rsidP="00827D9B">
            <w:pPr>
              <w:autoSpaceDE/>
              <w:autoSpaceDN/>
              <w:adjustRightInd/>
              <w:jc w:val="center"/>
              <w:rPr>
                <w:rFonts w:eastAsia="Arial"/>
                <w:color w:val="000000"/>
                <w:sz w:val="20"/>
                <w:szCs w:val="22"/>
              </w:rPr>
            </w:pPr>
            <w:r w:rsidRPr="007C51D6">
              <w:rPr>
                <w:rFonts w:eastAsia="Arial"/>
                <w:color w:val="000000"/>
                <w:sz w:val="20"/>
                <w:szCs w:val="22"/>
              </w:rPr>
              <w:t>12,98</w:t>
            </w:r>
          </w:p>
        </w:tc>
        <w:tc>
          <w:tcPr>
            <w:tcW w:w="999" w:type="dxa"/>
          </w:tcPr>
          <w:p w:rsidR="00827D9B" w:rsidRPr="007C51D6" w:rsidRDefault="00827D9B" w:rsidP="00827D9B">
            <w:pPr>
              <w:jc w:val="center"/>
              <w:rPr>
                <w:color w:val="000000"/>
                <w:sz w:val="20"/>
                <w:szCs w:val="20"/>
              </w:rPr>
            </w:pPr>
            <w:r w:rsidRPr="007C51D6">
              <w:rPr>
                <w:color w:val="000000"/>
                <w:sz w:val="20"/>
                <w:szCs w:val="20"/>
              </w:rPr>
              <w:t>11,44</w:t>
            </w:r>
          </w:p>
        </w:tc>
        <w:tc>
          <w:tcPr>
            <w:tcW w:w="887" w:type="dxa"/>
          </w:tcPr>
          <w:p w:rsidR="00827D9B" w:rsidRPr="007C51D6" w:rsidRDefault="00827D9B" w:rsidP="00827D9B">
            <w:pPr>
              <w:jc w:val="center"/>
              <w:rPr>
                <w:color w:val="000000"/>
                <w:sz w:val="20"/>
                <w:szCs w:val="20"/>
              </w:rPr>
            </w:pPr>
            <w:r w:rsidRPr="007C51D6">
              <w:rPr>
                <w:color w:val="000000"/>
                <w:sz w:val="20"/>
                <w:szCs w:val="20"/>
              </w:rPr>
              <w:t>10,73</w:t>
            </w:r>
          </w:p>
        </w:tc>
        <w:tc>
          <w:tcPr>
            <w:tcW w:w="1285" w:type="dxa"/>
          </w:tcPr>
          <w:p w:rsidR="00827D9B" w:rsidRPr="007C51D6" w:rsidRDefault="00827D9B" w:rsidP="00827D9B">
            <w:pPr>
              <w:jc w:val="center"/>
            </w:pPr>
            <w:r w:rsidRPr="007C51D6">
              <w:rPr>
                <w:color w:val="000000"/>
                <w:sz w:val="20"/>
                <w:szCs w:val="20"/>
              </w:rPr>
              <w:t>нет данных</w:t>
            </w:r>
          </w:p>
        </w:tc>
        <w:tc>
          <w:tcPr>
            <w:tcW w:w="1285" w:type="dxa"/>
          </w:tcPr>
          <w:p w:rsidR="00827D9B" w:rsidRPr="007C51D6" w:rsidRDefault="00827D9B" w:rsidP="00827D9B">
            <w:pPr>
              <w:jc w:val="center"/>
              <w:rPr>
                <w:sz w:val="20"/>
                <w:szCs w:val="20"/>
              </w:rPr>
            </w:pPr>
            <w:r w:rsidRPr="007C51D6">
              <w:rPr>
                <w:color w:val="000000"/>
                <w:sz w:val="20"/>
                <w:szCs w:val="20"/>
              </w:rPr>
              <w:t>нет данных</w:t>
            </w:r>
          </w:p>
        </w:tc>
      </w:tr>
      <w:tr w:rsidR="00827D9B" w:rsidRPr="007C51D6" w:rsidTr="00827D9B">
        <w:trPr>
          <w:trHeight w:val="20"/>
        </w:trPr>
        <w:tc>
          <w:tcPr>
            <w:tcW w:w="4531" w:type="dxa"/>
            <w:shd w:val="clear" w:color="auto" w:fill="auto"/>
          </w:tcPr>
          <w:p w:rsidR="00827D9B" w:rsidRPr="007C51D6" w:rsidRDefault="00827D9B" w:rsidP="00827D9B">
            <w:pPr>
              <w:autoSpaceDE/>
              <w:autoSpaceDN/>
              <w:adjustRightInd/>
              <w:jc w:val="both"/>
              <w:rPr>
                <w:rFonts w:eastAsia="Arial"/>
                <w:sz w:val="20"/>
                <w:szCs w:val="22"/>
              </w:rPr>
            </w:pPr>
            <w:r w:rsidRPr="007C51D6">
              <w:rPr>
                <w:rFonts w:eastAsia="Arial"/>
                <w:sz w:val="20"/>
                <w:szCs w:val="22"/>
              </w:rPr>
              <w:t>ободочной кишки</w:t>
            </w:r>
          </w:p>
        </w:tc>
        <w:tc>
          <w:tcPr>
            <w:tcW w:w="1065" w:type="dxa"/>
            <w:shd w:val="clear" w:color="auto" w:fill="auto"/>
          </w:tcPr>
          <w:p w:rsidR="00827D9B" w:rsidRPr="007C51D6" w:rsidRDefault="00827D9B" w:rsidP="00827D9B">
            <w:pPr>
              <w:autoSpaceDE/>
              <w:autoSpaceDN/>
              <w:adjustRightInd/>
              <w:jc w:val="center"/>
              <w:rPr>
                <w:color w:val="000000"/>
                <w:sz w:val="20"/>
                <w:szCs w:val="22"/>
              </w:rPr>
            </w:pPr>
            <w:r w:rsidRPr="007C51D6">
              <w:rPr>
                <w:color w:val="000000"/>
                <w:sz w:val="20"/>
                <w:szCs w:val="22"/>
              </w:rPr>
              <w:t>15,41</w:t>
            </w:r>
          </w:p>
        </w:tc>
        <w:tc>
          <w:tcPr>
            <w:tcW w:w="991" w:type="dxa"/>
            <w:shd w:val="clear" w:color="auto" w:fill="auto"/>
          </w:tcPr>
          <w:p w:rsidR="00827D9B" w:rsidRPr="007C51D6" w:rsidRDefault="00827D9B" w:rsidP="00827D9B">
            <w:pPr>
              <w:autoSpaceDE/>
              <w:autoSpaceDN/>
              <w:adjustRightInd/>
              <w:jc w:val="center"/>
              <w:rPr>
                <w:color w:val="000000"/>
                <w:sz w:val="20"/>
                <w:szCs w:val="22"/>
              </w:rPr>
            </w:pPr>
            <w:r w:rsidRPr="007C51D6">
              <w:rPr>
                <w:color w:val="000000"/>
                <w:sz w:val="20"/>
                <w:szCs w:val="22"/>
              </w:rPr>
              <w:t>14,70</w:t>
            </w:r>
          </w:p>
        </w:tc>
        <w:tc>
          <w:tcPr>
            <w:tcW w:w="991" w:type="dxa"/>
            <w:shd w:val="clear" w:color="auto" w:fill="auto"/>
          </w:tcPr>
          <w:p w:rsidR="00827D9B" w:rsidRPr="007C51D6" w:rsidRDefault="00827D9B" w:rsidP="00827D9B">
            <w:pPr>
              <w:autoSpaceDE/>
              <w:autoSpaceDN/>
              <w:adjustRightInd/>
              <w:jc w:val="center"/>
              <w:rPr>
                <w:color w:val="000000"/>
                <w:sz w:val="20"/>
                <w:szCs w:val="22"/>
              </w:rPr>
            </w:pPr>
            <w:r w:rsidRPr="007C51D6">
              <w:rPr>
                <w:color w:val="000000"/>
                <w:sz w:val="20"/>
                <w:szCs w:val="22"/>
              </w:rPr>
              <w:t>13,96</w:t>
            </w:r>
          </w:p>
        </w:tc>
        <w:tc>
          <w:tcPr>
            <w:tcW w:w="1060" w:type="dxa"/>
            <w:shd w:val="clear" w:color="auto" w:fill="auto"/>
          </w:tcPr>
          <w:p w:rsidR="00827D9B" w:rsidRPr="007C51D6" w:rsidRDefault="00827D9B" w:rsidP="00827D9B">
            <w:pPr>
              <w:autoSpaceDE/>
              <w:autoSpaceDN/>
              <w:adjustRightInd/>
              <w:jc w:val="center"/>
              <w:rPr>
                <w:color w:val="000000"/>
                <w:sz w:val="20"/>
                <w:szCs w:val="22"/>
              </w:rPr>
            </w:pPr>
            <w:r w:rsidRPr="007C51D6">
              <w:rPr>
                <w:color w:val="000000"/>
                <w:sz w:val="20"/>
                <w:szCs w:val="22"/>
              </w:rPr>
              <w:t>12,99</w:t>
            </w:r>
          </w:p>
        </w:tc>
        <w:tc>
          <w:tcPr>
            <w:tcW w:w="991" w:type="dxa"/>
            <w:shd w:val="clear" w:color="auto" w:fill="auto"/>
          </w:tcPr>
          <w:p w:rsidR="00827D9B" w:rsidRPr="007C51D6" w:rsidRDefault="00827D9B" w:rsidP="00827D9B">
            <w:pPr>
              <w:autoSpaceDE/>
              <w:autoSpaceDN/>
              <w:adjustRightInd/>
              <w:jc w:val="center"/>
              <w:rPr>
                <w:rFonts w:eastAsia="Arial"/>
                <w:color w:val="000000"/>
                <w:sz w:val="20"/>
                <w:szCs w:val="22"/>
              </w:rPr>
            </w:pPr>
            <w:r w:rsidRPr="007C51D6">
              <w:rPr>
                <w:rFonts w:eastAsia="Arial"/>
                <w:color w:val="000000"/>
                <w:sz w:val="20"/>
                <w:szCs w:val="22"/>
              </w:rPr>
              <w:t>13,13</w:t>
            </w:r>
          </w:p>
        </w:tc>
        <w:tc>
          <w:tcPr>
            <w:tcW w:w="945" w:type="dxa"/>
          </w:tcPr>
          <w:p w:rsidR="00827D9B" w:rsidRPr="007C51D6" w:rsidRDefault="00827D9B" w:rsidP="00827D9B">
            <w:pPr>
              <w:autoSpaceDE/>
              <w:autoSpaceDN/>
              <w:adjustRightInd/>
              <w:jc w:val="center"/>
              <w:rPr>
                <w:rFonts w:eastAsia="Arial"/>
                <w:color w:val="000000"/>
                <w:sz w:val="20"/>
                <w:szCs w:val="22"/>
              </w:rPr>
            </w:pPr>
            <w:r w:rsidRPr="007C51D6">
              <w:rPr>
                <w:rFonts w:eastAsia="Arial"/>
                <w:color w:val="000000"/>
                <w:sz w:val="20"/>
                <w:szCs w:val="22"/>
              </w:rPr>
              <w:t>11,74</w:t>
            </w:r>
          </w:p>
        </w:tc>
        <w:tc>
          <w:tcPr>
            <w:tcW w:w="999" w:type="dxa"/>
          </w:tcPr>
          <w:p w:rsidR="00827D9B" w:rsidRPr="007C51D6" w:rsidRDefault="00827D9B" w:rsidP="00827D9B">
            <w:pPr>
              <w:jc w:val="center"/>
              <w:rPr>
                <w:color w:val="000000"/>
                <w:sz w:val="20"/>
                <w:szCs w:val="20"/>
              </w:rPr>
            </w:pPr>
            <w:r w:rsidRPr="007C51D6">
              <w:rPr>
                <w:color w:val="000000"/>
                <w:sz w:val="20"/>
                <w:szCs w:val="20"/>
              </w:rPr>
              <w:t>13,93</w:t>
            </w:r>
          </w:p>
        </w:tc>
        <w:tc>
          <w:tcPr>
            <w:tcW w:w="887" w:type="dxa"/>
          </w:tcPr>
          <w:p w:rsidR="00827D9B" w:rsidRPr="007C51D6" w:rsidRDefault="00827D9B" w:rsidP="00827D9B">
            <w:pPr>
              <w:jc w:val="center"/>
              <w:rPr>
                <w:color w:val="000000"/>
                <w:sz w:val="20"/>
                <w:szCs w:val="20"/>
              </w:rPr>
            </w:pPr>
            <w:r w:rsidRPr="007C51D6">
              <w:rPr>
                <w:color w:val="000000"/>
                <w:sz w:val="20"/>
                <w:szCs w:val="20"/>
              </w:rPr>
              <w:t>11,81</w:t>
            </w:r>
          </w:p>
        </w:tc>
        <w:tc>
          <w:tcPr>
            <w:tcW w:w="1285" w:type="dxa"/>
          </w:tcPr>
          <w:p w:rsidR="00827D9B" w:rsidRPr="007C51D6" w:rsidRDefault="00827D9B" w:rsidP="00827D9B">
            <w:pPr>
              <w:jc w:val="center"/>
            </w:pPr>
            <w:r w:rsidRPr="007C51D6">
              <w:rPr>
                <w:color w:val="000000"/>
                <w:sz w:val="20"/>
                <w:szCs w:val="20"/>
              </w:rPr>
              <w:t>нет данных</w:t>
            </w:r>
          </w:p>
        </w:tc>
        <w:tc>
          <w:tcPr>
            <w:tcW w:w="1285" w:type="dxa"/>
          </w:tcPr>
          <w:p w:rsidR="00827D9B" w:rsidRPr="007C51D6" w:rsidRDefault="00827D9B" w:rsidP="00827D9B">
            <w:pPr>
              <w:jc w:val="center"/>
              <w:rPr>
                <w:sz w:val="20"/>
                <w:szCs w:val="20"/>
              </w:rPr>
            </w:pPr>
            <w:r w:rsidRPr="007C51D6">
              <w:rPr>
                <w:color w:val="000000"/>
                <w:sz w:val="20"/>
                <w:szCs w:val="20"/>
              </w:rPr>
              <w:t>нет данных</w:t>
            </w:r>
          </w:p>
        </w:tc>
      </w:tr>
      <w:tr w:rsidR="008A139C" w:rsidRPr="007C51D6" w:rsidTr="00827D9B">
        <w:trPr>
          <w:trHeight w:val="20"/>
        </w:trPr>
        <w:tc>
          <w:tcPr>
            <w:tcW w:w="4531" w:type="dxa"/>
            <w:shd w:val="clear" w:color="auto" w:fill="auto"/>
          </w:tcPr>
          <w:p w:rsidR="008A139C" w:rsidRPr="007C51D6" w:rsidRDefault="008A139C" w:rsidP="008A139C">
            <w:pPr>
              <w:autoSpaceDE/>
              <w:autoSpaceDN/>
              <w:adjustRightInd/>
              <w:jc w:val="both"/>
              <w:rPr>
                <w:rFonts w:eastAsia="Arial"/>
                <w:sz w:val="20"/>
                <w:szCs w:val="22"/>
              </w:rPr>
            </w:pPr>
            <w:r w:rsidRPr="007C51D6">
              <w:rPr>
                <w:rFonts w:eastAsia="Arial"/>
                <w:sz w:val="20"/>
                <w:szCs w:val="22"/>
              </w:rPr>
              <w:t>поджелудочной железы</w:t>
            </w:r>
          </w:p>
        </w:tc>
        <w:tc>
          <w:tcPr>
            <w:tcW w:w="1065" w:type="dxa"/>
            <w:shd w:val="clear" w:color="auto" w:fill="auto"/>
          </w:tcPr>
          <w:p w:rsidR="008A139C" w:rsidRPr="007C51D6" w:rsidRDefault="008A139C" w:rsidP="008A139C">
            <w:pPr>
              <w:autoSpaceDE/>
              <w:autoSpaceDN/>
              <w:adjustRightInd/>
              <w:jc w:val="center"/>
              <w:rPr>
                <w:color w:val="000000"/>
                <w:sz w:val="20"/>
                <w:szCs w:val="22"/>
              </w:rPr>
            </w:pPr>
            <w:r w:rsidRPr="007C51D6">
              <w:rPr>
                <w:color w:val="000000"/>
                <w:sz w:val="20"/>
                <w:szCs w:val="22"/>
              </w:rPr>
              <w:t>11,04</w:t>
            </w:r>
          </w:p>
        </w:tc>
        <w:tc>
          <w:tcPr>
            <w:tcW w:w="991" w:type="dxa"/>
            <w:shd w:val="clear" w:color="auto" w:fill="auto"/>
          </w:tcPr>
          <w:p w:rsidR="008A139C" w:rsidRPr="007C51D6" w:rsidRDefault="008A139C" w:rsidP="008A139C">
            <w:pPr>
              <w:autoSpaceDE/>
              <w:autoSpaceDN/>
              <w:adjustRightInd/>
              <w:jc w:val="center"/>
              <w:rPr>
                <w:color w:val="000000"/>
                <w:sz w:val="20"/>
                <w:szCs w:val="22"/>
              </w:rPr>
            </w:pPr>
            <w:r w:rsidRPr="007C51D6">
              <w:rPr>
                <w:color w:val="000000"/>
                <w:sz w:val="20"/>
                <w:szCs w:val="22"/>
              </w:rPr>
              <w:t>11,11</w:t>
            </w:r>
          </w:p>
        </w:tc>
        <w:tc>
          <w:tcPr>
            <w:tcW w:w="991" w:type="dxa"/>
            <w:shd w:val="clear" w:color="auto" w:fill="auto"/>
          </w:tcPr>
          <w:p w:rsidR="008A139C" w:rsidRPr="007C51D6" w:rsidRDefault="008A139C" w:rsidP="008A139C">
            <w:pPr>
              <w:autoSpaceDE/>
              <w:autoSpaceDN/>
              <w:adjustRightInd/>
              <w:jc w:val="center"/>
              <w:rPr>
                <w:color w:val="000000"/>
                <w:sz w:val="20"/>
                <w:szCs w:val="22"/>
              </w:rPr>
            </w:pPr>
            <w:r w:rsidRPr="007C51D6">
              <w:rPr>
                <w:color w:val="000000"/>
                <w:sz w:val="20"/>
                <w:szCs w:val="22"/>
              </w:rPr>
              <w:t>10,33</w:t>
            </w:r>
          </w:p>
        </w:tc>
        <w:tc>
          <w:tcPr>
            <w:tcW w:w="1060" w:type="dxa"/>
            <w:shd w:val="clear" w:color="auto" w:fill="auto"/>
          </w:tcPr>
          <w:p w:rsidR="008A139C" w:rsidRPr="007C51D6" w:rsidRDefault="008A139C" w:rsidP="008A139C">
            <w:pPr>
              <w:autoSpaceDE/>
              <w:autoSpaceDN/>
              <w:adjustRightInd/>
              <w:jc w:val="center"/>
              <w:rPr>
                <w:color w:val="000000"/>
                <w:sz w:val="20"/>
                <w:szCs w:val="22"/>
              </w:rPr>
            </w:pPr>
            <w:r w:rsidRPr="007C51D6">
              <w:rPr>
                <w:color w:val="000000"/>
                <w:sz w:val="20"/>
                <w:szCs w:val="22"/>
              </w:rPr>
              <w:t>11,13</w:t>
            </w:r>
          </w:p>
        </w:tc>
        <w:tc>
          <w:tcPr>
            <w:tcW w:w="991" w:type="dxa"/>
            <w:shd w:val="clear" w:color="auto" w:fill="auto"/>
          </w:tcPr>
          <w:p w:rsidR="008A139C" w:rsidRPr="007C51D6" w:rsidRDefault="008A139C" w:rsidP="008A139C">
            <w:pPr>
              <w:autoSpaceDE/>
              <w:autoSpaceDN/>
              <w:adjustRightInd/>
              <w:jc w:val="center"/>
              <w:rPr>
                <w:rFonts w:eastAsia="Arial"/>
                <w:color w:val="000000"/>
                <w:sz w:val="20"/>
                <w:szCs w:val="22"/>
              </w:rPr>
            </w:pPr>
            <w:r w:rsidRPr="007C51D6">
              <w:rPr>
                <w:rFonts w:eastAsia="Arial"/>
                <w:color w:val="000000"/>
                <w:sz w:val="20"/>
                <w:szCs w:val="22"/>
              </w:rPr>
              <w:t>9,98</w:t>
            </w:r>
          </w:p>
        </w:tc>
        <w:tc>
          <w:tcPr>
            <w:tcW w:w="945" w:type="dxa"/>
          </w:tcPr>
          <w:p w:rsidR="008A139C" w:rsidRPr="007C51D6" w:rsidRDefault="008A139C" w:rsidP="008A139C">
            <w:pPr>
              <w:autoSpaceDE/>
              <w:autoSpaceDN/>
              <w:adjustRightInd/>
              <w:jc w:val="center"/>
              <w:rPr>
                <w:rFonts w:eastAsia="Arial"/>
                <w:color w:val="000000"/>
                <w:sz w:val="20"/>
                <w:szCs w:val="22"/>
              </w:rPr>
            </w:pPr>
            <w:r w:rsidRPr="007C51D6">
              <w:rPr>
                <w:rFonts w:eastAsia="Arial"/>
                <w:color w:val="000000"/>
                <w:sz w:val="20"/>
                <w:szCs w:val="22"/>
              </w:rPr>
              <w:t>11,16</w:t>
            </w:r>
          </w:p>
        </w:tc>
        <w:tc>
          <w:tcPr>
            <w:tcW w:w="999" w:type="dxa"/>
          </w:tcPr>
          <w:p w:rsidR="008A139C" w:rsidRPr="007C51D6" w:rsidRDefault="008A139C" w:rsidP="008A139C">
            <w:pPr>
              <w:jc w:val="center"/>
              <w:rPr>
                <w:color w:val="000000"/>
                <w:sz w:val="20"/>
                <w:szCs w:val="20"/>
              </w:rPr>
            </w:pPr>
            <w:r w:rsidRPr="007C51D6">
              <w:rPr>
                <w:color w:val="000000"/>
                <w:sz w:val="20"/>
                <w:szCs w:val="20"/>
              </w:rPr>
              <w:t>11,58</w:t>
            </w:r>
          </w:p>
        </w:tc>
        <w:tc>
          <w:tcPr>
            <w:tcW w:w="887" w:type="dxa"/>
          </w:tcPr>
          <w:p w:rsidR="008A139C" w:rsidRPr="007C51D6" w:rsidRDefault="008A139C" w:rsidP="008A139C">
            <w:pPr>
              <w:jc w:val="center"/>
              <w:rPr>
                <w:color w:val="000000"/>
                <w:sz w:val="20"/>
                <w:szCs w:val="20"/>
              </w:rPr>
            </w:pPr>
            <w:r w:rsidRPr="007C51D6">
              <w:rPr>
                <w:color w:val="000000"/>
                <w:sz w:val="20"/>
                <w:szCs w:val="20"/>
              </w:rPr>
              <w:t>10,17</w:t>
            </w:r>
          </w:p>
        </w:tc>
        <w:tc>
          <w:tcPr>
            <w:tcW w:w="1285" w:type="dxa"/>
          </w:tcPr>
          <w:p w:rsidR="008A139C" w:rsidRPr="007C51D6" w:rsidRDefault="008A139C" w:rsidP="008A139C">
            <w:pPr>
              <w:jc w:val="center"/>
            </w:pPr>
            <w:r w:rsidRPr="007C51D6">
              <w:rPr>
                <w:color w:val="000000"/>
                <w:sz w:val="20"/>
                <w:szCs w:val="20"/>
              </w:rPr>
              <w:t>нет данных</w:t>
            </w:r>
          </w:p>
        </w:tc>
        <w:tc>
          <w:tcPr>
            <w:tcW w:w="1285" w:type="dxa"/>
          </w:tcPr>
          <w:p w:rsidR="008A139C" w:rsidRPr="007C51D6" w:rsidRDefault="008A139C" w:rsidP="008A139C">
            <w:pPr>
              <w:jc w:val="center"/>
              <w:rPr>
                <w:sz w:val="20"/>
                <w:szCs w:val="20"/>
              </w:rPr>
            </w:pPr>
            <w:r w:rsidRPr="007C51D6">
              <w:rPr>
                <w:color w:val="000000"/>
                <w:sz w:val="20"/>
                <w:szCs w:val="20"/>
              </w:rPr>
              <w:t>нет данных</w:t>
            </w:r>
          </w:p>
        </w:tc>
      </w:tr>
      <w:tr w:rsidR="008A139C" w:rsidRPr="007C51D6" w:rsidTr="00827D9B">
        <w:trPr>
          <w:trHeight w:val="20"/>
        </w:trPr>
        <w:tc>
          <w:tcPr>
            <w:tcW w:w="4531" w:type="dxa"/>
            <w:shd w:val="clear" w:color="auto" w:fill="auto"/>
          </w:tcPr>
          <w:p w:rsidR="008A139C" w:rsidRPr="007C51D6" w:rsidRDefault="008A139C" w:rsidP="008A139C">
            <w:pPr>
              <w:autoSpaceDE/>
              <w:autoSpaceDN/>
              <w:adjustRightInd/>
              <w:jc w:val="both"/>
              <w:rPr>
                <w:rFonts w:eastAsia="Arial"/>
                <w:sz w:val="20"/>
                <w:szCs w:val="22"/>
              </w:rPr>
            </w:pPr>
            <w:r w:rsidRPr="007C51D6">
              <w:rPr>
                <w:rFonts w:eastAsia="Arial"/>
                <w:sz w:val="20"/>
                <w:szCs w:val="22"/>
              </w:rPr>
              <w:t>трахеи, бронхов, легких</w:t>
            </w:r>
          </w:p>
        </w:tc>
        <w:tc>
          <w:tcPr>
            <w:tcW w:w="1065" w:type="dxa"/>
            <w:shd w:val="clear" w:color="auto" w:fill="auto"/>
          </w:tcPr>
          <w:p w:rsidR="008A139C" w:rsidRPr="007C51D6" w:rsidRDefault="008A139C" w:rsidP="008A139C">
            <w:pPr>
              <w:autoSpaceDE/>
              <w:autoSpaceDN/>
              <w:adjustRightInd/>
              <w:jc w:val="center"/>
              <w:rPr>
                <w:color w:val="000000"/>
                <w:sz w:val="20"/>
                <w:szCs w:val="22"/>
              </w:rPr>
            </w:pPr>
            <w:r w:rsidRPr="007C51D6">
              <w:rPr>
                <w:color w:val="000000"/>
                <w:sz w:val="20"/>
                <w:szCs w:val="22"/>
              </w:rPr>
              <w:t>10,66</w:t>
            </w:r>
          </w:p>
        </w:tc>
        <w:tc>
          <w:tcPr>
            <w:tcW w:w="991" w:type="dxa"/>
            <w:shd w:val="clear" w:color="auto" w:fill="auto"/>
          </w:tcPr>
          <w:p w:rsidR="008A139C" w:rsidRPr="007C51D6" w:rsidRDefault="008A139C" w:rsidP="008A139C">
            <w:pPr>
              <w:autoSpaceDE/>
              <w:autoSpaceDN/>
              <w:adjustRightInd/>
              <w:jc w:val="center"/>
              <w:rPr>
                <w:color w:val="000000"/>
                <w:sz w:val="20"/>
                <w:szCs w:val="22"/>
              </w:rPr>
            </w:pPr>
            <w:r w:rsidRPr="007C51D6">
              <w:rPr>
                <w:color w:val="000000"/>
                <w:sz w:val="20"/>
                <w:szCs w:val="22"/>
              </w:rPr>
              <w:t>10,77</w:t>
            </w:r>
          </w:p>
        </w:tc>
        <w:tc>
          <w:tcPr>
            <w:tcW w:w="991" w:type="dxa"/>
            <w:shd w:val="clear" w:color="auto" w:fill="auto"/>
          </w:tcPr>
          <w:p w:rsidR="008A139C" w:rsidRPr="007C51D6" w:rsidRDefault="008A139C" w:rsidP="008A139C">
            <w:pPr>
              <w:autoSpaceDE/>
              <w:autoSpaceDN/>
              <w:adjustRightInd/>
              <w:jc w:val="center"/>
              <w:rPr>
                <w:color w:val="000000"/>
                <w:sz w:val="20"/>
                <w:szCs w:val="22"/>
              </w:rPr>
            </w:pPr>
            <w:r w:rsidRPr="007C51D6">
              <w:rPr>
                <w:color w:val="000000"/>
                <w:sz w:val="20"/>
                <w:szCs w:val="22"/>
              </w:rPr>
              <w:t>11,29</w:t>
            </w:r>
          </w:p>
        </w:tc>
        <w:tc>
          <w:tcPr>
            <w:tcW w:w="1060" w:type="dxa"/>
            <w:shd w:val="clear" w:color="auto" w:fill="auto"/>
          </w:tcPr>
          <w:p w:rsidR="008A139C" w:rsidRPr="007C51D6" w:rsidRDefault="008A139C" w:rsidP="008A139C">
            <w:pPr>
              <w:autoSpaceDE/>
              <w:autoSpaceDN/>
              <w:adjustRightInd/>
              <w:jc w:val="center"/>
              <w:rPr>
                <w:color w:val="000000"/>
                <w:sz w:val="20"/>
                <w:szCs w:val="22"/>
              </w:rPr>
            </w:pPr>
            <w:r w:rsidRPr="007C51D6">
              <w:rPr>
                <w:color w:val="000000"/>
                <w:sz w:val="20"/>
                <w:szCs w:val="22"/>
              </w:rPr>
              <w:t>9,56</w:t>
            </w:r>
          </w:p>
        </w:tc>
        <w:tc>
          <w:tcPr>
            <w:tcW w:w="991" w:type="dxa"/>
            <w:shd w:val="clear" w:color="auto" w:fill="auto"/>
          </w:tcPr>
          <w:p w:rsidR="008A139C" w:rsidRPr="007C51D6" w:rsidRDefault="008A139C" w:rsidP="008A139C">
            <w:pPr>
              <w:autoSpaceDE/>
              <w:autoSpaceDN/>
              <w:adjustRightInd/>
              <w:jc w:val="center"/>
              <w:rPr>
                <w:rFonts w:eastAsia="Arial"/>
                <w:color w:val="000000"/>
                <w:sz w:val="20"/>
                <w:szCs w:val="22"/>
              </w:rPr>
            </w:pPr>
            <w:r w:rsidRPr="007C51D6">
              <w:rPr>
                <w:rFonts w:eastAsia="Arial"/>
                <w:color w:val="000000"/>
                <w:sz w:val="20"/>
                <w:szCs w:val="22"/>
              </w:rPr>
              <w:t>9,41</w:t>
            </w:r>
          </w:p>
        </w:tc>
        <w:tc>
          <w:tcPr>
            <w:tcW w:w="945" w:type="dxa"/>
          </w:tcPr>
          <w:p w:rsidR="008A139C" w:rsidRPr="007C51D6" w:rsidRDefault="008A139C" w:rsidP="008A139C">
            <w:pPr>
              <w:autoSpaceDE/>
              <w:autoSpaceDN/>
              <w:adjustRightInd/>
              <w:jc w:val="center"/>
              <w:rPr>
                <w:rFonts w:eastAsia="Arial"/>
                <w:color w:val="000000"/>
                <w:sz w:val="20"/>
                <w:szCs w:val="22"/>
              </w:rPr>
            </w:pPr>
            <w:r w:rsidRPr="007C51D6">
              <w:rPr>
                <w:rFonts w:eastAsia="Arial"/>
                <w:color w:val="000000"/>
                <w:sz w:val="20"/>
                <w:szCs w:val="22"/>
              </w:rPr>
              <w:t>8,96</w:t>
            </w:r>
          </w:p>
        </w:tc>
        <w:tc>
          <w:tcPr>
            <w:tcW w:w="999" w:type="dxa"/>
          </w:tcPr>
          <w:p w:rsidR="008A139C" w:rsidRPr="007C51D6" w:rsidRDefault="008A139C" w:rsidP="008A139C">
            <w:pPr>
              <w:jc w:val="center"/>
              <w:rPr>
                <w:color w:val="000000"/>
                <w:sz w:val="20"/>
                <w:szCs w:val="20"/>
              </w:rPr>
            </w:pPr>
            <w:r w:rsidRPr="007C51D6">
              <w:rPr>
                <w:color w:val="000000"/>
                <w:sz w:val="20"/>
                <w:szCs w:val="20"/>
              </w:rPr>
              <w:t>8,30</w:t>
            </w:r>
          </w:p>
        </w:tc>
        <w:tc>
          <w:tcPr>
            <w:tcW w:w="887" w:type="dxa"/>
          </w:tcPr>
          <w:p w:rsidR="008A139C" w:rsidRPr="007C51D6" w:rsidRDefault="008A139C" w:rsidP="008A139C">
            <w:pPr>
              <w:jc w:val="center"/>
              <w:rPr>
                <w:color w:val="000000"/>
                <w:sz w:val="20"/>
                <w:szCs w:val="20"/>
              </w:rPr>
            </w:pPr>
            <w:r w:rsidRPr="007C51D6">
              <w:rPr>
                <w:color w:val="000000"/>
                <w:sz w:val="20"/>
                <w:szCs w:val="20"/>
              </w:rPr>
              <w:t>8,11</w:t>
            </w:r>
          </w:p>
        </w:tc>
        <w:tc>
          <w:tcPr>
            <w:tcW w:w="1285" w:type="dxa"/>
          </w:tcPr>
          <w:p w:rsidR="008A139C" w:rsidRPr="007C51D6" w:rsidRDefault="008A139C" w:rsidP="008A139C">
            <w:pPr>
              <w:jc w:val="center"/>
            </w:pPr>
            <w:r w:rsidRPr="007C51D6">
              <w:rPr>
                <w:color w:val="000000"/>
                <w:sz w:val="20"/>
                <w:szCs w:val="20"/>
              </w:rPr>
              <w:t>нет данных</w:t>
            </w:r>
          </w:p>
        </w:tc>
        <w:tc>
          <w:tcPr>
            <w:tcW w:w="1285" w:type="dxa"/>
          </w:tcPr>
          <w:p w:rsidR="008A139C" w:rsidRPr="007C51D6" w:rsidRDefault="008A139C" w:rsidP="008A139C">
            <w:pPr>
              <w:jc w:val="center"/>
              <w:rPr>
                <w:sz w:val="20"/>
                <w:szCs w:val="20"/>
              </w:rPr>
            </w:pPr>
            <w:r w:rsidRPr="007C51D6">
              <w:rPr>
                <w:color w:val="000000"/>
                <w:sz w:val="20"/>
                <w:szCs w:val="20"/>
              </w:rPr>
              <w:t>нет данных</w:t>
            </w:r>
          </w:p>
        </w:tc>
      </w:tr>
      <w:tr w:rsidR="008A139C" w:rsidRPr="007C51D6" w:rsidTr="00827D9B">
        <w:trPr>
          <w:trHeight w:val="20"/>
        </w:trPr>
        <w:tc>
          <w:tcPr>
            <w:tcW w:w="4531" w:type="dxa"/>
            <w:shd w:val="clear" w:color="auto" w:fill="auto"/>
          </w:tcPr>
          <w:p w:rsidR="008A139C" w:rsidRPr="007C51D6" w:rsidRDefault="008A139C" w:rsidP="008A139C">
            <w:pPr>
              <w:autoSpaceDE/>
              <w:autoSpaceDN/>
              <w:adjustRightInd/>
              <w:jc w:val="both"/>
              <w:rPr>
                <w:rFonts w:eastAsia="Arial"/>
                <w:sz w:val="20"/>
                <w:szCs w:val="22"/>
              </w:rPr>
            </w:pPr>
            <w:r w:rsidRPr="007C51D6">
              <w:rPr>
                <w:rFonts w:eastAsia="Arial"/>
                <w:sz w:val="20"/>
                <w:szCs w:val="22"/>
              </w:rPr>
              <w:t>прямой кишки, ректосигмоидного соединения, ануса</w:t>
            </w:r>
          </w:p>
        </w:tc>
        <w:tc>
          <w:tcPr>
            <w:tcW w:w="1065" w:type="dxa"/>
            <w:shd w:val="clear" w:color="auto" w:fill="auto"/>
          </w:tcPr>
          <w:p w:rsidR="008A139C" w:rsidRPr="007C51D6" w:rsidRDefault="008A139C" w:rsidP="008A139C">
            <w:pPr>
              <w:autoSpaceDE/>
              <w:autoSpaceDN/>
              <w:adjustRightInd/>
              <w:jc w:val="center"/>
              <w:rPr>
                <w:color w:val="000000"/>
                <w:sz w:val="20"/>
                <w:szCs w:val="22"/>
              </w:rPr>
            </w:pPr>
            <w:r w:rsidRPr="007C51D6">
              <w:rPr>
                <w:color w:val="000000"/>
                <w:sz w:val="20"/>
                <w:szCs w:val="22"/>
              </w:rPr>
              <w:t>12,82</w:t>
            </w:r>
          </w:p>
        </w:tc>
        <w:tc>
          <w:tcPr>
            <w:tcW w:w="991" w:type="dxa"/>
            <w:shd w:val="clear" w:color="auto" w:fill="auto"/>
          </w:tcPr>
          <w:p w:rsidR="008A139C" w:rsidRPr="007C51D6" w:rsidRDefault="008A139C" w:rsidP="008A139C">
            <w:pPr>
              <w:autoSpaceDE/>
              <w:autoSpaceDN/>
              <w:adjustRightInd/>
              <w:jc w:val="center"/>
              <w:rPr>
                <w:color w:val="000000"/>
                <w:sz w:val="20"/>
                <w:szCs w:val="22"/>
              </w:rPr>
            </w:pPr>
            <w:r w:rsidRPr="007C51D6">
              <w:rPr>
                <w:color w:val="000000"/>
                <w:sz w:val="20"/>
                <w:szCs w:val="22"/>
              </w:rPr>
              <w:t>9,81</w:t>
            </w:r>
          </w:p>
        </w:tc>
        <w:tc>
          <w:tcPr>
            <w:tcW w:w="991" w:type="dxa"/>
            <w:shd w:val="clear" w:color="auto" w:fill="auto"/>
          </w:tcPr>
          <w:p w:rsidR="008A139C" w:rsidRPr="007C51D6" w:rsidRDefault="008A139C" w:rsidP="008A139C">
            <w:pPr>
              <w:autoSpaceDE/>
              <w:autoSpaceDN/>
              <w:adjustRightInd/>
              <w:jc w:val="center"/>
              <w:rPr>
                <w:color w:val="000000"/>
                <w:sz w:val="20"/>
                <w:szCs w:val="22"/>
              </w:rPr>
            </w:pPr>
            <w:r w:rsidRPr="007C51D6">
              <w:rPr>
                <w:color w:val="000000"/>
                <w:sz w:val="20"/>
                <w:szCs w:val="22"/>
              </w:rPr>
              <w:t>9,80</w:t>
            </w:r>
          </w:p>
        </w:tc>
        <w:tc>
          <w:tcPr>
            <w:tcW w:w="1060" w:type="dxa"/>
            <w:shd w:val="clear" w:color="auto" w:fill="auto"/>
          </w:tcPr>
          <w:p w:rsidR="008A139C" w:rsidRPr="007C51D6" w:rsidRDefault="008A139C" w:rsidP="008A139C">
            <w:pPr>
              <w:autoSpaceDE/>
              <w:autoSpaceDN/>
              <w:adjustRightInd/>
              <w:jc w:val="center"/>
              <w:rPr>
                <w:color w:val="000000"/>
                <w:sz w:val="20"/>
                <w:szCs w:val="22"/>
              </w:rPr>
            </w:pPr>
            <w:r w:rsidRPr="007C51D6">
              <w:rPr>
                <w:color w:val="000000"/>
                <w:sz w:val="20"/>
                <w:szCs w:val="22"/>
              </w:rPr>
              <w:t>9,94</w:t>
            </w:r>
          </w:p>
        </w:tc>
        <w:tc>
          <w:tcPr>
            <w:tcW w:w="991" w:type="dxa"/>
            <w:shd w:val="clear" w:color="auto" w:fill="auto"/>
          </w:tcPr>
          <w:p w:rsidR="008A139C" w:rsidRPr="007C51D6" w:rsidRDefault="008A139C" w:rsidP="008A139C">
            <w:pPr>
              <w:autoSpaceDE/>
              <w:autoSpaceDN/>
              <w:adjustRightInd/>
              <w:jc w:val="center"/>
              <w:rPr>
                <w:rFonts w:eastAsia="Arial"/>
                <w:color w:val="000000"/>
                <w:sz w:val="20"/>
                <w:szCs w:val="22"/>
              </w:rPr>
            </w:pPr>
            <w:r w:rsidRPr="007C51D6">
              <w:rPr>
                <w:rFonts w:eastAsia="Arial"/>
                <w:color w:val="000000"/>
                <w:sz w:val="20"/>
                <w:szCs w:val="22"/>
              </w:rPr>
              <w:t>8,40</w:t>
            </w:r>
          </w:p>
        </w:tc>
        <w:tc>
          <w:tcPr>
            <w:tcW w:w="945" w:type="dxa"/>
          </w:tcPr>
          <w:p w:rsidR="008A139C" w:rsidRPr="007C51D6" w:rsidRDefault="008A139C" w:rsidP="008A139C">
            <w:pPr>
              <w:autoSpaceDE/>
              <w:autoSpaceDN/>
              <w:adjustRightInd/>
              <w:jc w:val="center"/>
              <w:rPr>
                <w:rFonts w:eastAsia="Arial"/>
                <w:color w:val="000000"/>
                <w:sz w:val="20"/>
                <w:szCs w:val="22"/>
              </w:rPr>
            </w:pPr>
            <w:r w:rsidRPr="007C51D6">
              <w:rPr>
                <w:rFonts w:eastAsia="Arial"/>
                <w:color w:val="000000"/>
                <w:sz w:val="20"/>
                <w:szCs w:val="22"/>
              </w:rPr>
              <w:t>9,34</w:t>
            </w:r>
          </w:p>
        </w:tc>
        <w:tc>
          <w:tcPr>
            <w:tcW w:w="999" w:type="dxa"/>
          </w:tcPr>
          <w:p w:rsidR="008A139C" w:rsidRPr="007C51D6" w:rsidRDefault="008A139C" w:rsidP="008A139C">
            <w:pPr>
              <w:jc w:val="center"/>
              <w:rPr>
                <w:color w:val="000000"/>
                <w:sz w:val="20"/>
                <w:szCs w:val="20"/>
              </w:rPr>
            </w:pPr>
            <w:r w:rsidRPr="007C51D6">
              <w:rPr>
                <w:color w:val="000000"/>
                <w:sz w:val="20"/>
                <w:szCs w:val="20"/>
              </w:rPr>
              <w:t>8,16</w:t>
            </w:r>
          </w:p>
        </w:tc>
        <w:tc>
          <w:tcPr>
            <w:tcW w:w="887" w:type="dxa"/>
          </w:tcPr>
          <w:p w:rsidR="008A139C" w:rsidRPr="007C51D6" w:rsidRDefault="008A139C" w:rsidP="008A139C">
            <w:pPr>
              <w:jc w:val="center"/>
              <w:rPr>
                <w:color w:val="000000"/>
                <w:sz w:val="20"/>
                <w:szCs w:val="20"/>
              </w:rPr>
            </w:pPr>
            <w:r w:rsidRPr="007C51D6">
              <w:rPr>
                <w:color w:val="000000"/>
                <w:sz w:val="20"/>
                <w:szCs w:val="20"/>
              </w:rPr>
              <w:t>7,08</w:t>
            </w:r>
          </w:p>
        </w:tc>
        <w:tc>
          <w:tcPr>
            <w:tcW w:w="1285" w:type="dxa"/>
          </w:tcPr>
          <w:p w:rsidR="008A139C" w:rsidRPr="007C51D6" w:rsidRDefault="008A139C" w:rsidP="008A139C">
            <w:pPr>
              <w:jc w:val="center"/>
            </w:pPr>
            <w:r w:rsidRPr="007C51D6">
              <w:rPr>
                <w:color w:val="000000"/>
                <w:sz w:val="20"/>
                <w:szCs w:val="20"/>
              </w:rPr>
              <w:t>нет данных</w:t>
            </w:r>
          </w:p>
        </w:tc>
        <w:tc>
          <w:tcPr>
            <w:tcW w:w="1285" w:type="dxa"/>
          </w:tcPr>
          <w:p w:rsidR="008A139C" w:rsidRPr="007C51D6" w:rsidRDefault="008A139C" w:rsidP="008A139C">
            <w:pPr>
              <w:jc w:val="center"/>
              <w:rPr>
                <w:sz w:val="20"/>
                <w:szCs w:val="20"/>
              </w:rPr>
            </w:pPr>
            <w:r w:rsidRPr="007C51D6">
              <w:rPr>
                <w:color w:val="000000"/>
                <w:sz w:val="20"/>
                <w:szCs w:val="20"/>
              </w:rPr>
              <w:t>нет данных</w:t>
            </w:r>
          </w:p>
        </w:tc>
      </w:tr>
      <w:tr w:rsidR="008A139C" w:rsidRPr="007C51D6" w:rsidTr="00827D9B">
        <w:trPr>
          <w:trHeight w:val="20"/>
        </w:trPr>
        <w:tc>
          <w:tcPr>
            <w:tcW w:w="4531" w:type="dxa"/>
            <w:shd w:val="clear" w:color="auto" w:fill="auto"/>
          </w:tcPr>
          <w:p w:rsidR="008A139C" w:rsidRPr="007C51D6" w:rsidRDefault="008A139C" w:rsidP="008A139C">
            <w:pPr>
              <w:autoSpaceDE/>
              <w:autoSpaceDN/>
              <w:adjustRightInd/>
              <w:jc w:val="both"/>
              <w:rPr>
                <w:rFonts w:eastAsia="Arial"/>
                <w:sz w:val="20"/>
                <w:szCs w:val="22"/>
              </w:rPr>
            </w:pPr>
            <w:r w:rsidRPr="007C51D6">
              <w:rPr>
                <w:rFonts w:eastAsia="Arial"/>
                <w:sz w:val="20"/>
                <w:szCs w:val="22"/>
              </w:rPr>
              <w:t>яичника</w:t>
            </w:r>
          </w:p>
        </w:tc>
        <w:tc>
          <w:tcPr>
            <w:tcW w:w="1065" w:type="dxa"/>
            <w:shd w:val="clear" w:color="auto" w:fill="auto"/>
          </w:tcPr>
          <w:p w:rsidR="008A139C" w:rsidRPr="007C51D6" w:rsidRDefault="008A139C" w:rsidP="008A139C">
            <w:pPr>
              <w:autoSpaceDE/>
              <w:autoSpaceDN/>
              <w:adjustRightInd/>
              <w:jc w:val="center"/>
              <w:rPr>
                <w:color w:val="000000"/>
                <w:sz w:val="20"/>
                <w:szCs w:val="22"/>
              </w:rPr>
            </w:pPr>
            <w:r w:rsidRPr="007C51D6">
              <w:rPr>
                <w:color w:val="000000"/>
                <w:sz w:val="20"/>
                <w:szCs w:val="22"/>
              </w:rPr>
              <w:t>10,18</w:t>
            </w:r>
          </w:p>
        </w:tc>
        <w:tc>
          <w:tcPr>
            <w:tcW w:w="991" w:type="dxa"/>
            <w:shd w:val="clear" w:color="auto" w:fill="auto"/>
          </w:tcPr>
          <w:p w:rsidR="008A139C" w:rsidRPr="007C51D6" w:rsidRDefault="008A139C" w:rsidP="008A139C">
            <w:pPr>
              <w:autoSpaceDE/>
              <w:autoSpaceDN/>
              <w:adjustRightInd/>
              <w:jc w:val="center"/>
              <w:rPr>
                <w:color w:val="000000"/>
                <w:sz w:val="20"/>
                <w:szCs w:val="22"/>
              </w:rPr>
            </w:pPr>
            <w:r w:rsidRPr="007C51D6">
              <w:rPr>
                <w:color w:val="000000"/>
                <w:sz w:val="20"/>
                <w:szCs w:val="22"/>
              </w:rPr>
              <w:t>8,95</w:t>
            </w:r>
          </w:p>
        </w:tc>
        <w:tc>
          <w:tcPr>
            <w:tcW w:w="991" w:type="dxa"/>
            <w:shd w:val="clear" w:color="auto" w:fill="auto"/>
          </w:tcPr>
          <w:p w:rsidR="008A139C" w:rsidRPr="007C51D6" w:rsidRDefault="008A139C" w:rsidP="008A139C">
            <w:pPr>
              <w:autoSpaceDE/>
              <w:autoSpaceDN/>
              <w:adjustRightInd/>
              <w:jc w:val="center"/>
              <w:rPr>
                <w:color w:val="000000"/>
                <w:sz w:val="20"/>
                <w:szCs w:val="22"/>
              </w:rPr>
            </w:pPr>
            <w:r w:rsidRPr="007C51D6">
              <w:rPr>
                <w:color w:val="000000"/>
                <w:sz w:val="20"/>
                <w:szCs w:val="22"/>
              </w:rPr>
              <w:t>8,51</w:t>
            </w:r>
          </w:p>
        </w:tc>
        <w:tc>
          <w:tcPr>
            <w:tcW w:w="1060" w:type="dxa"/>
            <w:shd w:val="clear" w:color="auto" w:fill="auto"/>
          </w:tcPr>
          <w:p w:rsidR="008A139C" w:rsidRPr="007C51D6" w:rsidRDefault="008A139C" w:rsidP="008A139C">
            <w:pPr>
              <w:autoSpaceDE/>
              <w:autoSpaceDN/>
              <w:adjustRightInd/>
              <w:jc w:val="center"/>
              <w:rPr>
                <w:color w:val="000000"/>
                <w:sz w:val="20"/>
                <w:szCs w:val="22"/>
              </w:rPr>
            </w:pPr>
            <w:r w:rsidRPr="007C51D6">
              <w:rPr>
                <w:color w:val="000000"/>
                <w:sz w:val="20"/>
                <w:szCs w:val="22"/>
              </w:rPr>
              <w:t>9,56</w:t>
            </w:r>
          </w:p>
        </w:tc>
        <w:tc>
          <w:tcPr>
            <w:tcW w:w="991" w:type="dxa"/>
            <w:shd w:val="clear" w:color="auto" w:fill="auto"/>
          </w:tcPr>
          <w:p w:rsidR="008A139C" w:rsidRPr="007C51D6" w:rsidRDefault="008A139C" w:rsidP="008A139C">
            <w:pPr>
              <w:autoSpaceDE/>
              <w:autoSpaceDN/>
              <w:adjustRightInd/>
              <w:jc w:val="center"/>
              <w:rPr>
                <w:rFonts w:eastAsia="Arial"/>
                <w:color w:val="000000"/>
                <w:sz w:val="20"/>
                <w:szCs w:val="22"/>
              </w:rPr>
            </w:pPr>
            <w:r w:rsidRPr="007C51D6">
              <w:rPr>
                <w:rFonts w:eastAsia="Arial"/>
                <w:color w:val="000000"/>
                <w:sz w:val="20"/>
                <w:szCs w:val="22"/>
              </w:rPr>
              <w:t>8,21</w:t>
            </w:r>
          </w:p>
        </w:tc>
        <w:tc>
          <w:tcPr>
            <w:tcW w:w="945" w:type="dxa"/>
          </w:tcPr>
          <w:p w:rsidR="008A139C" w:rsidRPr="007C51D6" w:rsidRDefault="008A139C" w:rsidP="008A139C">
            <w:pPr>
              <w:autoSpaceDE/>
              <w:autoSpaceDN/>
              <w:adjustRightInd/>
              <w:jc w:val="center"/>
              <w:rPr>
                <w:rFonts w:eastAsia="Arial"/>
                <w:color w:val="000000"/>
                <w:sz w:val="20"/>
                <w:szCs w:val="22"/>
              </w:rPr>
            </w:pPr>
            <w:r w:rsidRPr="007C51D6">
              <w:rPr>
                <w:rFonts w:eastAsia="Arial"/>
                <w:color w:val="000000"/>
                <w:sz w:val="20"/>
                <w:szCs w:val="22"/>
              </w:rPr>
              <w:t>8,86</w:t>
            </w:r>
          </w:p>
        </w:tc>
        <w:tc>
          <w:tcPr>
            <w:tcW w:w="999" w:type="dxa"/>
          </w:tcPr>
          <w:p w:rsidR="008A139C" w:rsidRPr="007C51D6" w:rsidRDefault="008A139C" w:rsidP="008A139C">
            <w:pPr>
              <w:jc w:val="center"/>
              <w:rPr>
                <w:color w:val="000000"/>
                <w:sz w:val="20"/>
                <w:szCs w:val="20"/>
              </w:rPr>
            </w:pPr>
            <w:r w:rsidRPr="007C51D6">
              <w:rPr>
                <w:color w:val="000000"/>
                <w:sz w:val="20"/>
                <w:szCs w:val="20"/>
              </w:rPr>
              <w:t>8,11</w:t>
            </w:r>
          </w:p>
        </w:tc>
        <w:tc>
          <w:tcPr>
            <w:tcW w:w="887" w:type="dxa"/>
          </w:tcPr>
          <w:p w:rsidR="008A139C" w:rsidRPr="007C51D6" w:rsidRDefault="008A139C" w:rsidP="008A139C">
            <w:pPr>
              <w:jc w:val="center"/>
              <w:rPr>
                <w:color w:val="000000"/>
                <w:sz w:val="20"/>
                <w:szCs w:val="20"/>
              </w:rPr>
            </w:pPr>
            <w:r w:rsidRPr="007C51D6">
              <w:rPr>
                <w:color w:val="000000"/>
                <w:sz w:val="20"/>
                <w:szCs w:val="20"/>
              </w:rPr>
              <w:t>8,62</w:t>
            </w:r>
          </w:p>
        </w:tc>
        <w:tc>
          <w:tcPr>
            <w:tcW w:w="1285" w:type="dxa"/>
          </w:tcPr>
          <w:p w:rsidR="008A139C" w:rsidRPr="007C51D6" w:rsidRDefault="008A139C" w:rsidP="008A139C">
            <w:pPr>
              <w:jc w:val="center"/>
            </w:pPr>
            <w:r w:rsidRPr="007C51D6">
              <w:rPr>
                <w:color w:val="000000"/>
                <w:sz w:val="20"/>
                <w:szCs w:val="20"/>
              </w:rPr>
              <w:t>нет данных</w:t>
            </w:r>
          </w:p>
        </w:tc>
        <w:tc>
          <w:tcPr>
            <w:tcW w:w="1285" w:type="dxa"/>
          </w:tcPr>
          <w:p w:rsidR="008A139C" w:rsidRPr="007C51D6" w:rsidRDefault="008A139C" w:rsidP="008A139C">
            <w:pPr>
              <w:jc w:val="center"/>
              <w:rPr>
                <w:sz w:val="20"/>
                <w:szCs w:val="20"/>
              </w:rPr>
            </w:pPr>
            <w:r w:rsidRPr="007C51D6">
              <w:rPr>
                <w:color w:val="000000"/>
                <w:sz w:val="20"/>
                <w:szCs w:val="20"/>
              </w:rPr>
              <w:t>нет данных</w:t>
            </w:r>
          </w:p>
        </w:tc>
      </w:tr>
      <w:tr w:rsidR="008A139C" w:rsidRPr="007C51D6" w:rsidTr="00827D9B">
        <w:trPr>
          <w:trHeight w:val="20"/>
        </w:trPr>
        <w:tc>
          <w:tcPr>
            <w:tcW w:w="4531" w:type="dxa"/>
            <w:shd w:val="clear" w:color="auto" w:fill="auto"/>
          </w:tcPr>
          <w:p w:rsidR="008A139C" w:rsidRPr="007C51D6" w:rsidRDefault="008A139C" w:rsidP="008A139C">
            <w:pPr>
              <w:autoSpaceDE/>
              <w:autoSpaceDN/>
              <w:adjustRightInd/>
              <w:jc w:val="both"/>
              <w:rPr>
                <w:rFonts w:eastAsia="Arial"/>
                <w:sz w:val="20"/>
                <w:szCs w:val="22"/>
              </w:rPr>
            </w:pPr>
            <w:r w:rsidRPr="007C51D6">
              <w:rPr>
                <w:rFonts w:eastAsia="Arial"/>
                <w:sz w:val="20"/>
                <w:szCs w:val="22"/>
              </w:rPr>
              <w:t>тела матки</w:t>
            </w:r>
          </w:p>
        </w:tc>
        <w:tc>
          <w:tcPr>
            <w:tcW w:w="1065" w:type="dxa"/>
            <w:shd w:val="clear" w:color="auto" w:fill="auto"/>
          </w:tcPr>
          <w:p w:rsidR="008A139C" w:rsidRPr="007C51D6" w:rsidRDefault="008A139C" w:rsidP="008A139C">
            <w:pPr>
              <w:autoSpaceDE/>
              <w:autoSpaceDN/>
              <w:adjustRightInd/>
              <w:jc w:val="center"/>
              <w:rPr>
                <w:color w:val="000000"/>
                <w:sz w:val="20"/>
                <w:szCs w:val="22"/>
              </w:rPr>
            </w:pPr>
            <w:r w:rsidRPr="007C51D6">
              <w:rPr>
                <w:color w:val="000000"/>
                <w:sz w:val="20"/>
                <w:szCs w:val="22"/>
              </w:rPr>
              <w:t>7,30</w:t>
            </w:r>
          </w:p>
        </w:tc>
        <w:tc>
          <w:tcPr>
            <w:tcW w:w="991" w:type="dxa"/>
            <w:shd w:val="clear" w:color="auto" w:fill="auto"/>
          </w:tcPr>
          <w:p w:rsidR="008A139C" w:rsidRPr="007C51D6" w:rsidRDefault="008A139C" w:rsidP="008A139C">
            <w:pPr>
              <w:autoSpaceDE/>
              <w:autoSpaceDN/>
              <w:adjustRightInd/>
              <w:jc w:val="center"/>
              <w:rPr>
                <w:color w:val="000000"/>
                <w:sz w:val="20"/>
                <w:szCs w:val="22"/>
              </w:rPr>
            </w:pPr>
            <w:r w:rsidRPr="007C51D6">
              <w:rPr>
                <w:color w:val="000000"/>
                <w:sz w:val="20"/>
                <w:szCs w:val="22"/>
              </w:rPr>
              <w:t>5,79</w:t>
            </w:r>
          </w:p>
        </w:tc>
        <w:tc>
          <w:tcPr>
            <w:tcW w:w="991" w:type="dxa"/>
            <w:shd w:val="clear" w:color="auto" w:fill="auto"/>
          </w:tcPr>
          <w:p w:rsidR="008A139C" w:rsidRPr="007C51D6" w:rsidRDefault="008A139C" w:rsidP="008A139C">
            <w:pPr>
              <w:autoSpaceDE/>
              <w:autoSpaceDN/>
              <w:adjustRightInd/>
              <w:jc w:val="center"/>
              <w:rPr>
                <w:color w:val="000000"/>
                <w:sz w:val="20"/>
                <w:szCs w:val="22"/>
              </w:rPr>
            </w:pPr>
            <w:r w:rsidRPr="007C51D6">
              <w:rPr>
                <w:color w:val="000000"/>
                <w:sz w:val="20"/>
                <w:szCs w:val="22"/>
              </w:rPr>
              <w:t>6,31</w:t>
            </w:r>
          </w:p>
        </w:tc>
        <w:tc>
          <w:tcPr>
            <w:tcW w:w="1060" w:type="dxa"/>
            <w:shd w:val="clear" w:color="auto" w:fill="auto"/>
          </w:tcPr>
          <w:p w:rsidR="008A139C" w:rsidRPr="007C51D6" w:rsidRDefault="008A139C" w:rsidP="008A139C">
            <w:pPr>
              <w:autoSpaceDE/>
              <w:autoSpaceDN/>
              <w:adjustRightInd/>
              <w:jc w:val="center"/>
              <w:rPr>
                <w:color w:val="000000"/>
                <w:sz w:val="20"/>
                <w:szCs w:val="22"/>
              </w:rPr>
            </w:pPr>
            <w:r w:rsidRPr="007C51D6">
              <w:rPr>
                <w:color w:val="000000"/>
                <w:sz w:val="20"/>
                <w:szCs w:val="22"/>
              </w:rPr>
              <w:t>6,69</w:t>
            </w:r>
          </w:p>
        </w:tc>
        <w:tc>
          <w:tcPr>
            <w:tcW w:w="991" w:type="dxa"/>
            <w:shd w:val="clear" w:color="auto" w:fill="auto"/>
          </w:tcPr>
          <w:p w:rsidR="008A139C" w:rsidRPr="007C51D6" w:rsidRDefault="008A139C" w:rsidP="008A139C">
            <w:pPr>
              <w:autoSpaceDE/>
              <w:autoSpaceDN/>
              <w:adjustRightInd/>
              <w:jc w:val="center"/>
              <w:rPr>
                <w:rFonts w:eastAsia="Arial"/>
                <w:color w:val="000000"/>
                <w:sz w:val="20"/>
                <w:szCs w:val="22"/>
              </w:rPr>
            </w:pPr>
            <w:r w:rsidRPr="007C51D6">
              <w:rPr>
                <w:rFonts w:eastAsia="Arial"/>
                <w:color w:val="000000"/>
                <w:sz w:val="20"/>
                <w:szCs w:val="22"/>
              </w:rPr>
              <w:t>6,35</w:t>
            </w:r>
          </w:p>
        </w:tc>
        <w:tc>
          <w:tcPr>
            <w:tcW w:w="945" w:type="dxa"/>
          </w:tcPr>
          <w:p w:rsidR="008A139C" w:rsidRPr="007C51D6" w:rsidRDefault="008A139C" w:rsidP="008A139C">
            <w:pPr>
              <w:autoSpaceDE/>
              <w:autoSpaceDN/>
              <w:adjustRightInd/>
              <w:jc w:val="center"/>
              <w:rPr>
                <w:rFonts w:eastAsia="Arial"/>
                <w:color w:val="000000"/>
                <w:sz w:val="20"/>
                <w:szCs w:val="22"/>
              </w:rPr>
            </w:pPr>
            <w:r w:rsidRPr="007C51D6">
              <w:rPr>
                <w:rFonts w:eastAsia="Arial"/>
                <w:color w:val="000000"/>
                <w:sz w:val="20"/>
                <w:szCs w:val="22"/>
              </w:rPr>
              <w:t>5,70</w:t>
            </w:r>
          </w:p>
        </w:tc>
        <w:tc>
          <w:tcPr>
            <w:tcW w:w="999" w:type="dxa"/>
          </w:tcPr>
          <w:p w:rsidR="008A139C" w:rsidRPr="007C51D6" w:rsidRDefault="008A139C" w:rsidP="008A139C">
            <w:pPr>
              <w:jc w:val="center"/>
              <w:rPr>
                <w:color w:val="000000"/>
                <w:sz w:val="20"/>
                <w:szCs w:val="20"/>
              </w:rPr>
            </w:pPr>
            <w:r w:rsidRPr="007C51D6">
              <w:rPr>
                <w:color w:val="000000"/>
                <w:sz w:val="20"/>
                <w:szCs w:val="20"/>
              </w:rPr>
              <w:t>7,04</w:t>
            </w:r>
          </w:p>
        </w:tc>
        <w:tc>
          <w:tcPr>
            <w:tcW w:w="887" w:type="dxa"/>
          </w:tcPr>
          <w:p w:rsidR="008A139C" w:rsidRPr="007C51D6" w:rsidRDefault="008A139C" w:rsidP="008A139C">
            <w:pPr>
              <w:jc w:val="center"/>
              <w:rPr>
                <w:color w:val="000000"/>
                <w:sz w:val="20"/>
                <w:szCs w:val="20"/>
              </w:rPr>
            </w:pPr>
            <w:r w:rsidRPr="007C51D6">
              <w:rPr>
                <w:color w:val="000000"/>
                <w:sz w:val="20"/>
                <w:szCs w:val="20"/>
              </w:rPr>
              <w:t>5,44</w:t>
            </w:r>
          </w:p>
        </w:tc>
        <w:tc>
          <w:tcPr>
            <w:tcW w:w="1285" w:type="dxa"/>
          </w:tcPr>
          <w:p w:rsidR="008A139C" w:rsidRPr="007C51D6" w:rsidRDefault="008A139C" w:rsidP="008A139C">
            <w:pPr>
              <w:jc w:val="center"/>
            </w:pPr>
            <w:r w:rsidRPr="007C51D6">
              <w:rPr>
                <w:color w:val="000000"/>
                <w:sz w:val="20"/>
                <w:szCs w:val="20"/>
              </w:rPr>
              <w:t>нет данных</w:t>
            </w:r>
          </w:p>
        </w:tc>
        <w:tc>
          <w:tcPr>
            <w:tcW w:w="1285" w:type="dxa"/>
          </w:tcPr>
          <w:p w:rsidR="008A139C" w:rsidRPr="007C51D6" w:rsidRDefault="008A139C" w:rsidP="008A139C">
            <w:pPr>
              <w:jc w:val="center"/>
            </w:pPr>
            <w:r w:rsidRPr="007C51D6">
              <w:rPr>
                <w:color w:val="000000"/>
                <w:sz w:val="20"/>
                <w:szCs w:val="20"/>
              </w:rPr>
              <w:t>нет данных</w:t>
            </w:r>
          </w:p>
        </w:tc>
      </w:tr>
      <w:tr w:rsidR="008A139C" w:rsidRPr="007C51D6" w:rsidTr="00827D9B">
        <w:trPr>
          <w:trHeight w:val="20"/>
        </w:trPr>
        <w:tc>
          <w:tcPr>
            <w:tcW w:w="4531" w:type="dxa"/>
            <w:shd w:val="clear" w:color="auto" w:fill="auto"/>
          </w:tcPr>
          <w:p w:rsidR="008A139C" w:rsidRPr="007C51D6" w:rsidRDefault="008A139C" w:rsidP="008A139C">
            <w:pPr>
              <w:autoSpaceDE/>
              <w:autoSpaceDN/>
              <w:adjustRightInd/>
              <w:jc w:val="both"/>
              <w:rPr>
                <w:rFonts w:eastAsia="Arial"/>
                <w:sz w:val="20"/>
                <w:szCs w:val="22"/>
              </w:rPr>
            </w:pPr>
            <w:r w:rsidRPr="007C51D6">
              <w:rPr>
                <w:rFonts w:eastAsia="Arial"/>
                <w:sz w:val="20"/>
                <w:szCs w:val="22"/>
              </w:rPr>
              <w:t>шейки матки</w:t>
            </w:r>
          </w:p>
        </w:tc>
        <w:tc>
          <w:tcPr>
            <w:tcW w:w="1065" w:type="dxa"/>
            <w:shd w:val="clear" w:color="auto" w:fill="auto"/>
          </w:tcPr>
          <w:p w:rsidR="008A139C" w:rsidRPr="007C51D6" w:rsidRDefault="008A139C" w:rsidP="008A139C">
            <w:pPr>
              <w:autoSpaceDE/>
              <w:autoSpaceDN/>
              <w:adjustRightInd/>
              <w:jc w:val="center"/>
              <w:rPr>
                <w:color w:val="000000"/>
                <w:sz w:val="20"/>
                <w:szCs w:val="22"/>
              </w:rPr>
            </w:pPr>
            <w:r w:rsidRPr="007C51D6">
              <w:rPr>
                <w:color w:val="000000"/>
                <w:sz w:val="20"/>
                <w:szCs w:val="22"/>
              </w:rPr>
              <w:t>7,44</w:t>
            </w:r>
          </w:p>
        </w:tc>
        <w:tc>
          <w:tcPr>
            <w:tcW w:w="991" w:type="dxa"/>
            <w:shd w:val="clear" w:color="auto" w:fill="auto"/>
          </w:tcPr>
          <w:p w:rsidR="008A139C" w:rsidRPr="007C51D6" w:rsidRDefault="008A139C" w:rsidP="008A139C">
            <w:pPr>
              <w:autoSpaceDE/>
              <w:autoSpaceDN/>
              <w:adjustRightInd/>
              <w:jc w:val="center"/>
              <w:rPr>
                <w:color w:val="000000"/>
                <w:sz w:val="20"/>
                <w:szCs w:val="22"/>
              </w:rPr>
            </w:pPr>
            <w:r w:rsidRPr="007C51D6">
              <w:rPr>
                <w:color w:val="000000"/>
                <w:sz w:val="20"/>
                <w:szCs w:val="22"/>
              </w:rPr>
              <w:t>6,13</w:t>
            </w:r>
          </w:p>
        </w:tc>
        <w:tc>
          <w:tcPr>
            <w:tcW w:w="991" w:type="dxa"/>
            <w:shd w:val="clear" w:color="auto" w:fill="auto"/>
          </w:tcPr>
          <w:p w:rsidR="008A139C" w:rsidRPr="007C51D6" w:rsidRDefault="008A139C" w:rsidP="008A139C">
            <w:pPr>
              <w:autoSpaceDE/>
              <w:autoSpaceDN/>
              <w:adjustRightInd/>
              <w:jc w:val="center"/>
              <w:rPr>
                <w:color w:val="000000"/>
                <w:sz w:val="20"/>
                <w:szCs w:val="22"/>
              </w:rPr>
            </w:pPr>
            <w:r w:rsidRPr="007C51D6">
              <w:rPr>
                <w:color w:val="000000"/>
                <w:sz w:val="20"/>
                <w:szCs w:val="22"/>
              </w:rPr>
              <w:t>6,22</w:t>
            </w:r>
          </w:p>
        </w:tc>
        <w:tc>
          <w:tcPr>
            <w:tcW w:w="1060" w:type="dxa"/>
            <w:shd w:val="clear" w:color="auto" w:fill="auto"/>
          </w:tcPr>
          <w:p w:rsidR="008A139C" w:rsidRPr="007C51D6" w:rsidRDefault="008A139C" w:rsidP="008A139C">
            <w:pPr>
              <w:autoSpaceDE/>
              <w:autoSpaceDN/>
              <w:adjustRightInd/>
              <w:jc w:val="center"/>
              <w:rPr>
                <w:color w:val="000000"/>
                <w:sz w:val="20"/>
                <w:szCs w:val="22"/>
              </w:rPr>
            </w:pPr>
            <w:r w:rsidRPr="007C51D6">
              <w:rPr>
                <w:color w:val="000000"/>
                <w:sz w:val="20"/>
                <w:szCs w:val="22"/>
              </w:rPr>
              <w:t>6,50</w:t>
            </w:r>
          </w:p>
        </w:tc>
        <w:tc>
          <w:tcPr>
            <w:tcW w:w="991" w:type="dxa"/>
            <w:shd w:val="clear" w:color="auto" w:fill="auto"/>
          </w:tcPr>
          <w:p w:rsidR="008A139C" w:rsidRPr="007C51D6" w:rsidRDefault="008A139C" w:rsidP="008A139C">
            <w:pPr>
              <w:autoSpaceDE/>
              <w:autoSpaceDN/>
              <w:adjustRightInd/>
              <w:jc w:val="center"/>
              <w:rPr>
                <w:rFonts w:eastAsia="Arial"/>
                <w:color w:val="000000"/>
                <w:sz w:val="20"/>
                <w:szCs w:val="22"/>
              </w:rPr>
            </w:pPr>
            <w:r w:rsidRPr="007C51D6">
              <w:rPr>
                <w:rFonts w:eastAsia="Arial"/>
                <w:color w:val="000000"/>
                <w:sz w:val="20"/>
                <w:szCs w:val="22"/>
              </w:rPr>
              <w:t>5,59</w:t>
            </w:r>
          </w:p>
        </w:tc>
        <w:tc>
          <w:tcPr>
            <w:tcW w:w="945" w:type="dxa"/>
          </w:tcPr>
          <w:p w:rsidR="008A139C" w:rsidRPr="007C51D6" w:rsidRDefault="008A139C" w:rsidP="008A139C">
            <w:pPr>
              <w:autoSpaceDE/>
              <w:autoSpaceDN/>
              <w:adjustRightInd/>
              <w:jc w:val="center"/>
              <w:rPr>
                <w:rFonts w:eastAsia="Arial"/>
                <w:color w:val="000000"/>
                <w:sz w:val="20"/>
                <w:szCs w:val="22"/>
              </w:rPr>
            </w:pPr>
            <w:r w:rsidRPr="007C51D6">
              <w:rPr>
                <w:rFonts w:eastAsia="Arial"/>
                <w:color w:val="000000"/>
                <w:sz w:val="20"/>
                <w:szCs w:val="22"/>
              </w:rPr>
              <w:t>4,89</w:t>
            </w:r>
          </w:p>
        </w:tc>
        <w:tc>
          <w:tcPr>
            <w:tcW w:w="999" w:type="dxa"/>
          </w:tcPr>
          <w:p w:rsidR="008A139C" w:rsidRPr="007C51D6" w:rsidRDefault="008A139C" w:rsidP="008A139C">
            <w:pPr>
              <w:jc w:val="center"/>
              <w:rPr>
                <w:color w:val="000000"/>
                <w:sz w:val="20"/>
                <w:szCs w:val="20"/>
              </w:rPr>
            </w:pPr>
            <w:r w:rsidRPr="007C51D6">
              <w:rPr>
                <w:color w:val="000000"/>
                <w:sz w:val="20"/>
                <w:szCs w:val="20"/>
              </w:rPr>
              <w:t>6,71</w:t>
            </w:r>
          </w:p>
        </w:tc>
        <w:tc>
          <w:tcPr>
            <w:tcW w:w="887" w:type="dxa"/>
          </w:tcPr>
          <w:p w:rsidR="008A139C" w:rsidRPr="007C51D6" w:rsidRDefault="008A139C" w:rsidP="008A139C">
            <w:pPr>
              <w:jc w:val="center"/>
              <w:rPr>
                <w:color w:val="000000"/>
                <w:sz w:val="20"/>
                <w:szCs w:val="20"/>
              </w:rPr>
            </w:pPr>
            <w:r w:rsidRPr="007C51D6">
              <w:rPr>
                <w:color w:val="000000"/>
                <w:sz w:val="20"/>
                <w:szCs w:val="20"/>
              </w:rPr>
              <w:t>5,02</w:t>
            </w:r>
          </w:p>
        </w:tc>
        <w:tc>
          <w:tcPr>
            <w:tcW w:w="1285" w:type="dxa"/>
          </w:tcPr>
          <w:p w:rsidR="008A139C" w:rsidRPr="007C51D6" w:rsidRDefault="008A139C" w:rsidP="008A139C">
            <w:pPr>
              <w:jc w:val="center"/>
            </w:pPr>
            <w:r w:rsidRPr="007C51D6">
              <w:rPr>
                <w:color w:val="000000"/>
                <w:sz w:val="20"/>
                <w:szCs w:val="20"/>
              </w:rPr>
              <w:t>нет данных</w:t>
            </w:r>
          </w:p>
        </w:tc>
        <w:tc>
          <w:tcPr>
            <w:tcW w:w="1285" w:type="dxa"/>
          </w:tcPr>
          <w:p w:rsidR="008A139C" w:rsidRPr="007C51D6" w:rsidRDefault="008A139C" w:rsidP="008A139C">
            <w:pPr>
              <w:jc w:val="center"/>
            </w:pPr>
            <w:r w:rsidRPr="007C51D6">
              <w:rPr>
                <w:color w:val="000000"/>
                <w:sz w:val="20"/>
                <w:szCs w:val="20"/>
              </w:rPr>
              <w:t>нет данных</w:t>
            </w:r>
          </w:p>
        </w:tc>
      </w:tr>
      <w:tr w:rsidR="008A139C" w:rsidRPr="007C51D6" w:rsidTr="00827D9B">
        <w:trPr>
          <w:trHeight w:val="20"/>
        </w:trPr>
        <w:tc>
          <w:tcPr>
            <w:tcW w:w="4531" w:type="dxa"/>
            <w:shd w:val="clear" w:color="auto" w:fill="auto"/>
          </w:tcPr>
          <w:p w:rsidR="008A139C" w:rsidRPr="007C51D6" w:rsidRDefault="008A139C" w:rsidP="008A139C">
            <w:pPr>
              <w:autoSpaceDE/>
              <w:autoSpaceDN/>
              <w:adjustRightInd/>
              <w:jc w:val="both"/>
              <w:rPr>
                <w:rFonts w:eastAsia="Arial"/>
                <w:sz w:val="20"/>
                <w:szCs w:val="22"/>
              </w:rPr>
            </w:pPr>
            <w:r w:rsidRPr="007C51D6">
              <w:rPr>
                <w:rFonts w:eastAsia="Arial"/>
                <w:sz w:val="20"/>
                <w:szCs w:val="22"/>
              </w:rPr>
              <w:t>лейкемия</w:t>
            </w:r>
          </w:p>
        </w:tc>
        <w:tc>
          <w:tcPr>
            <w:tcW w:w="1065" w:type="dxa"/>
            <w:shd w:val="clear" w:color="auto" w:fill="auto"/>
          </w:tcPr>
          <w:p w:rsidR="008A139C" w:rsidRPr="007C51D6" w:rsidRDefault="008A139C" w:rsidP="008A139C">
            <w:pPr>
              <w:autoSpaceDE/>
              <w:autoSpaceDN/>
              <w:adjustRightInd/>
              <w:jc w:val="center"/>
              <w:rPr>
                <w:color w:val="000000"/>
                <w:sz w:val="20"/>
                <w:szCs w:val="22"/>
              </w:rPr>
            </w:pPr>
            <w:r w:rsidRPr="007C51D6">
              <w:rPr>
                <w:color w:val="000000"/>
                <w:sz w:val="20"/>
                <w:szCs w:val="22"/>
              </w:rPr>
              <w:t>5,42</w:t>
            </w:r>
          </w:p>
        </w:tc>
        <w:tc>
          <w:tcPr>
            <w:tcW w:w="991" w:type="dxa"/>
            <w:shd w:val="clear" w:color="auto" w:fill="auto"/>
          </w:tcPr>
          <w:p w:rsidR="008A139C" w:rsidRPr="007C51D6" w:rsidRDefault="008A139C" w:rsidP="008A139C">
            <w:pPr>
              <w:autoSpaceDE/>
              <w:autoSpaceDN/>
              <w:adjustRightInd/>
              <w:jc w:val="center"/>
              <w:rPr>
                <w:color w:val="000000"/>
                <w:sz w:val="20"/>
                <w:szCs w:val="22"/>
              </w:rPr>
            </w:pPr>
            <w:r w:rsidRPr="007C51D6">
              <w:rPr>
                <w:color w:val="000000"/>
                <w:sz w:val="20"/>
                <w:szCs w:val="22"/>
              </w:rPr>
              <w:t>4,45</w:t>
            </w:r>
          </w:p>
        </w:tc>
        <w:tc>
          <w:tcPr>
            <w:tcW w:w="991" w:type="dxa"/>
            <w:shd w:val="clear" w:color="auto" w:fill="auto"/>
          </w:tcPr>
          <w:p w:rsidR="008A139C" w:rsidRPr="007C51D6" w:rsidRDefault="008A139C" w:rsidP="008A139C">
            <w:pPr>
              <w:autoSpaceDE/>
              <w:autoSpaceDN/>
              <w:adjustRightInd/>
              <w:jc w:val="center"/>
              <w:rPr>
                <w:color w:val="000000"/>
                <w:sz w:val="20"/>
                <w:szCs w:val="22"/>
              </w:rPr>
            </w:pPr>
            <w:r w:rsidRPr="007C51D6">
              <w:rPr>
                <w:color w:val="000000"/>
                <w:sz w:val="20"/>
                <w:szCs w:val="22"/>
              </w:rPr>
              <w:t>5,21</w:t>
            </w:r>
          </w:p>
        </w:tc>
        <w:tc>
          <w:tcPr>
            <w:tcW w:w="1060" w:type="dxa"/>
            <w:shd w:val="clear" w:color="auto" w:fill="auto"/>
          </w:tcPr>
          <w:p w:rsidR="008A139C" w:rsidRPr="007C51D6" w:rsidRDefault="008A139C" w:rsidP="008A139C">
            <w:pPr>
              <w:autoSpaceDE/>
              <w:autoSpaceDN/>
              <w:adjustRightInd/>
              <w:jc w:val="center"/>
              <w:rPr>
                <w:color w:val="000000"/>
                <w:sz w:val="20"/>
                <w:szCs w:val="22"/>
              </w:rPr>
            </w:pPr>
            <w:r w:rsidRPr="007C51D6">
              <w:rPr>
                <w:color w:val="000000"/>
                <w:sz w:val="20"/>
                <w:szCs w:val="22"/>
              </w:rPr>
              <w:t>4,92</w:t>
            </w:r>
          </w:p>
        </w:tc>
        <w:tc>
          <w:tcPr>
            <w:tcW w:w="991" w:type="dxa"/>
            <w:shd w:val="clear" w:color="auto" w:fill="auto"/>
          </w:tcPr>
          <w:p w:rsidR="008A139C" w:rsidRPr="007C51D6" w:rsidRDefault="008A139C" w:rsidP="008A139C">
            <w:pPr>
              <w:autoSpaceDE/>
              <w:autoSpaceDN/>
              <w:adjustRightInd/>
              <w:jc w:val="center"/>
              <w:rPr>
                <w:rFonts w:eastAsia="Arial"/>
                <w:color w:val="000000"/>
                <w:sz w:val="20"/>
                <w:szCs w:val="22"/>
              </w:rPr>
            </w:pPr>
            <w:r w:rsidRPr="007C51D6">
              <w:rPr>
                <w:rFonts w:eastAsia="Arial"/>
                <w:color w:val="000000"/>
                <w:sz w:val="20"/>
                <w:szCs w:val="22"/>
              </w:rPr>
              <w:t>4,49</w:t>
            </w:r>
          </w:p>
        </w:tc>
        <w:tc>
          <w:tcPr>
            <w:tcW w:w="945" w:type="dxa"/>
          </w:tcPr>
          <w:p w:rsidR="008A139C" w:rsidRPr="007C51D6" w:rsidRDefault="008A139C" w:rsidP="008A139C">
            <w:pPr>
              <w:autoSpaceDE/>
              <w:autoSpaceDN/>
              <w:adjustRightInd/>
              <w:jc w:val="center"/>
              <w:rPr>
                <w:rFonts w:eastAsia="Arial"/>
                <w:color w:val="000000"/>
                <w:sz w:val="20"/>
                <w:szCs w:val="22"/>
              </w:rPr>
            </w:pPr>
            <w:r w:rsidRPr="007C51D6">
              <w:rPr>
                <w:rFonts w:eastAsia="Arial"/>
                <w:color w:val="000000"/>
                <w:sz w:val="20"/>
                <w:szCs w:val="22"/>
              </w:rPr>
              <w:t>5,27</w:t>
            </w:r>
          </w:p>
        </w:tc>
        <w:tc>
          <w:tcPr>
            <w:tcW w:w="999" w:type="dxa"/>
          </w:tcPr>
          <w:p w:rsidR="008A139C" w:rsidRPr="007C51D6" w:rsidRDefault="008A139C" w:rsidP="008A139C">
            <w:pPr>
              <w:jc w:val="center"/>
              <w:rPr>
                <w:color w:val="000000"/>
                <w:sz w:val="20"/>
                <w:szCs w:val="20"/>
              </w:rPr>
            </w:pPr>
            <w:r w:rsidRPr="007C51D6">
              <w:rPr>
                <w:color w:val="000000"/>
                <w:sz w:val="20"/>
                <w:szCs w:val="20"/>
              </w:rPr>
              <w:t>3,42</w:t>
            </w:r>
          </w:p>
        </w:tc>
        <w:tc>
          <w:tcPr>
            <w:tcW w:w="887" w:type="dxa"/>
          </w:tcPr>
          <w:p w:rsidR="008A139C" w:rsidRPr="007C51D6" w:rsidRDefault="008A139C" w:rsidP="008A139C">
            <w:pPr>
              <w:jc w:val="center"/>
              <w:rPr>
                <w:color w:val="000000"/>
                <w:sz w:val="20"/>
                <w:szCs w:val="20"/>
              </w:rPr>
            </w:pPr>
            <w:r w:rsidRPr="007C51D6">
              <w:rPr>
                <w:color w:val="000000"/>
                <w:sz w:val="20"/>
                <w:szCs w:val="20"/>
              </w:rPr>
              <w:t>2,77</w:t>
            </w:r>
          </w:p>
        </w:tc>
        <w:tc>
          <w:tcPr>
            <w:tcW w:w="1285" w:type="dxa"/>
          </w:tcPr>
          <w:p w:rsidR="008A139C" w:rsidRPr="007C51D6" w:rsidRDefault="008A139C" w:rsidP="008A139C">
            <w:pPr>
              <w:jc w:val="center"/>
              <w:rPr>
                <w:color w:val="000000"/>
                <w:sz w:val="20"/>
                <w:szCs w:val="20"/>
              </w:rPr>
            </w:pPr>
            <w:r w:rsidRPr="007C51D6">
              <w:rPr>
                <w:color w:val="000000"/>
                <w:sz w:val="20"/>
                <w:szCs w:val="20"/>
              </w:rPr>
              <w:t>нет данных</w:t>
            </w:r>
          </w:p>
        </w:tc>
        <w:tc>
          <w:tcPr>
            <w:tcW w:w="1285" w:type="dxa"/>
          </w:tcPr>
          <w:p w:rsidR="008A139C" w:rsidRPr="007C51D6" w:rsidRDefault="008A139C" w:rsidP="008A139C">
            <w:pPr>
              <w:jc w:val="center"/>
            </w:pPr>
            <w:r w:rsidRPr="007C51D6">
              <w:rPr>
                <w:color w:val="000000"/>
                <w:sz w:val="20"/>
                <w:szCs w:val="20"/>
              </w:rPr>
              <w:t>нет данных</w:t>
            </w:r>
          </w:p>
        </w:tc>
      </w:tr>
      <w:tr w:rsidR="0028241C" w:rsidRPr="007C51D6" w:rsidTr="00DC67CB">
        <w:trPr>
          <w:trHeight w:val="20"/>
        </w:trPr>
        <w:tc>
          <w:tcPr>
            <w:tcW w:w="15030" w:type="dxa"/>
            <w:gridSpan w:val="11"/>
            <w:shd w:val="clear" w:color="auto" w:fill="auto"/>
          </w:tcPr>
          <w:p w:rsidR="0028241C" w:rsidRPr="007C51D6" w:rsidRDefault="0028241C" w:rsidP="008A139C">
            <w:pPr>
              <w:jc w:val="center"/>
              <w:rPr>
                <w:rFonts w:eastAsia="Arial"/>
                <w:sz w:val="20"/>
                <w:szCs w:val="22"/>
              </w:rPr>
            </w:pPr>
            <w:r w:rsidRPr="007C51D6">
              <w:rPr>
                <w:rFonts w:eastAsia="Arial"/>
                <w:sz w:val="20"/>
                <w:szCs w:val="22"/>
              </w:rPr>
              <w:t>Оба пола</w:t>
            </w:r>
          </w:p>
        </w:tc>
      </w:tr>
      <w:tr w:rsidR="008A139C" w:rsidRPr="007C51D6" w:rsidTr="00827D9B">
        <w:trPr>
          <w:trHeight w:val="20"/>
        </w:trPr>
        <w:tc>
          <w:tcPr>
            <w:tcW w:w="4531" w:type="dxa"/>
            <w:shd w:val="clear" w:color="auto" w:fill="auto"/>
          </w:tcPr>
          <w:p w:rsidR="008A139C" w:rsidRPr="007C51D6" w:rsidRDefault="008A139C" w:rsidP="008A139C">
            <w:pPr>
              <w:autoSpaceDE/>
              <w:autoSpaceDN/>
              <w:adjustRightInd/>
              <w:jc w:val="both"/>
              <w:rPr>
                <w:rFonts w:eastAsia="Arial"/>
                <w:sz w:val="20"/>
                <w:szCs w:val="22"/>
              </w:rPr>
            </w:pPr>
            <w:r w:rsidRPr="007C51D6">
              <w:rPr>
                <w:rFonts w:eastAsia="Arial"/>
                <w:sz w:val="20"/>
                <w:szCs w:val="22"/>
              </w:rPr>
              <w:t xml:space="preserve">Всего, в </w:t>
            </w:r>
            <w:r w:rsidRPr="007C51D6">
              <w:rPr>
                <w:color w:val="000000"/>
                <w:sz w:val="20"/>
                <w:szCs w:val="20"/>
              </w:rPr>
              <w:t>том числе:</w:t>
            </w:r>
            <w:r w:rsidRPr="007C51D6">
              <w:rPr>
                <w:rFonts w:eastAsia="Arial"/>
                <w:sz w:val="20"/>
                <w:szCs w:val="22"/>
              </w:rPr>
              <w:t xml:space="preserve"> </w:t>
            </w:r>
          </w:p>
        </w:tc>
        <w:tc>
          <w:tcPr>
            <w:tcW w:w="1065" w:type="dxa"/>
            <w:shd w:val="clear" w:color="auto" w:fill="auto"/>
          </w:tcPr>
          <w:p w:rsidR="008A139C" w:rsidRPr="007C51D6" w:rsidRDefault="008A139C" w:rsidP="008A139C">
            <w:pPr>
              <w:autoSpaceDE/>
              <w:autoSpaceDN/>
              <w:adjustRightInd/>
              <w:jc w:val="center"/>
              <w:rPr>
                <w:color w:val="000000"/>
                <w:sz w:val="20"/>
                <w:szCs w:val="22"/>
              </w:rPr>
            </w:pPr>
            <w:r w:rsidRPr="007C51D6">
              <w:rPr>
                <w:color w:val="000000"/>
                <w:sz w:val="20"/>
                <w:szCs w:val="22"/>
              </w:rPr>
              <w:t>194,71</w:t>
            </w:r>
          </w:p>
        </w:tc>
        <w:tc>
          <w:tcPr>
            <w:tcW w:w="991" w:type="dxa"/>
            <w:shd w:val="clear" w:color="auto" w:fill="auto"/>
          </w:tcPr>
          <w:p w:rsidR="008A139C" w:rsidRPr="007C51D6" w:rsidRDefault="008A139C" w:rsidP="008A139C">
            <w:pPr>
              <w:autoSpaceDE/>
              <w:autoSpaceDN/>
              <w:adjustRightInd/>
              <w:jc w:val="center"/>
              <w:rPr>
                <w:color w:val="000000"/>
                <w:sz w:val="20"/>
                <w:szCs w:val="22"/>
              </w:rPr>
            </w:pPr>
            <w:r w:rsidRPr="007C51D6">
              <w:rPr>
                <w:color w:val="000000"/>
                <w:sz w:val="20"/>
                <w:szCs w:val="22"/>
              </w:rPr>
              <w:t>189,06</w:t>
            </w:r>
          </w:p>
        </w:tc>
        <w:tc>
          <w:tcPr>
            <w:tcW w:w="991" w:type="dxa"/>
            <w:shd w:val="clear" w:color="auto" w:fill="auto"/>
          </w:tcPr>
          <w:p w:rsidR="008A139C" w:rsidRPr="007C51D6" w:rsidRDefault="008A139C" w:rsidP="008A139C">
            <w:pPr>
              <w:autoSpaceDE/>
              <w:autoSpaceDN/>
              <w:adjustRightInd/>
              <w:jc w:val="center"/>
              <w:rPr>
                <w:color w:val="000000"/>
                <w:sz w:val="20"/>
                <w:szCs w:val="22"/>
              </w:rPr>
            </w:pPr>
            <w:r w:rsidRPr="007C51D6">
              <w:rPr>
                <w:color w:val="000000"/>
                <w:sz w:val="20"/>
                <w:szCs w:val="22"/>
              </w:rPr>
              <w:t>195,79</w:t>
            </w:r>
          </w:p>
        </w:tc>
        <w:tc>
          <w:tcPr>
            <w:tcW w:w="1060" w:type="dxa"/>
            <w:shd w:val="clear" w:color="auto" w:fill="auto"/>
          </w:tcPr>
          <w:p w:rsidR="008A139C" w:rsidRPr="007C51D6" w:rsidRDefault="008A139C" w:rsidP="008A139C">
            <w:pPr>
              <w:autoSpaceDE/>
              <w:autoSpaceDN/>
              <w:adjustRightInd/>
              <w:jc w:val="center"/>
              <w:rPr>
                <w:color w:val="000000"/>
                <w:sz w:val="20"/>
                <w:szCs w:val="22"/>
              </w:rPr>
            </w:pPr>
            <w:r w:rsidRPr="007C51D6">
              <w:rPr>
                <w:color w:val="000000"/>
                <w:sz w:val="20"/>
                <w:szCs w:val="22"/>
              </w:rPr>
              <w:t>185,89</w:t>
            </w:r>
          </w:p>
        </w:tc>
        <w:tc>
          <w:tcPr>
            <w:tcW w:w="991" w:type="dxa"/>
            <w:shd w:val="clear" w:color="auto" w:fill="auto"/>
          </w:tcPr>
          <w:p w:rsidR="008A139C" w:rsidRPr="007C51D6" w:rsidRDefault="008A139C" w:rsidP="008A139C">
            <w:pPr>
              <w:autoSpaceDE/>
              <w:autoSpaceDN/>
              <w:adjustRightInd/>
              <w:jc w:val="center"/>
              <w:rPr>
                <w:color w:val="000000"/>
                <w:sz w:val="20"/>
                <w:szCs w:val="22"/>
              </w:rPr>
            </w:pPr>
            <w:r w:rsidRPr="007C51D6">
              <w:rPr>
                <w:color w:val="000000"/>
                <w:sz w:val="20"/>
                <w:szCs w:val="22"/>
              </w:rPr>
              <w:t>184,45</w:t>
            </w:r>
          </w:p>
        </w:tc>
        <w:tc>
          <w:tcPr>
            <w:tcW w:w="945" w:type="dxa"/>
          </w:tcPr>
          <w:p w:rsidR="008A139C" w:rsidRPr="007C51D6" w:rsidRDefault="008A139C" w:rsidP="008A139C">
            <w:pPr>
              <w:autoSpaceDE/>
              <w:autoSpaceDN/>
              <w:adjustRightInd/>
              <w:jc w:val="center"/>
              <w:rPr>
                <w:color w:val="000000"/>
                <w:sz w:val="20"/>
                <w:szCs w:val="22"/>
              </w:rPr>
            </w:pPr>
            <w:r w:rsidRPr="007C51D6">
              <w:rPr>
                <w:color w:val="000000"/>
                <w:sz w:val="20"/>
                <w:szCs w:val="22"/>
              </w:rPr>
              <w:t>173,30</w:t>
            </w:r>
          </w:p>
        </w:tc>
        <w:tc>
          <w:tcPr>
            <w:tcW w:w="999" w:type="dxa"/>
          </w:tcPr>
          <w:p w:rsidR="008A139C" w:rsidRPr="007C51D6" w:rsidRDefault="008A139C" w:rsidP="008A139C">
            <w:pPr>
              <w:autoSpaceDE/>
              <w:autoSpaceDN/>
              <w:adjustRightInd/>
              <w:jc w:val="center"/>
              <w:rPr>
                <w:color w:val="000000"/>
                <w:sz w:val="20"/>
                <w:szCs w:val="22"/>
              </w:rPr>
            </w:pPr>
            <w:r w:rsidRPr="007C51D6">
              <w:rPr>
                <w:color w:val="000000"/>
                <w:sz w:val="20"/>
                <w:szCs w:val="22"/>
              </w:rPr>
              <w:t>165,64</w:t>
            </w:r>
          </w:p>
        </w:tc>
        <w:tc>
          <w:tcPr>
            <w:tcW w:w="887" w:type="dxa"/>
          </w:tcPr>
          <w:p w:rsidR="008A139C" w:rsidRPr="007C51D6" w:rsidRDefault="008A139C" w:rsidP="008A139C">
            <w:pPr>
              <w:autoSpaceDE/>
              <w:autoSpaceDN/>
              <w:adjustRightInd/>
              <w:jc w:val="center"/>
              <w:rPr>
                <w:color w:val="000000"/>
                <w:sz w:val="20"/>
                <w:szCs w:val="22"/>
              </w:rPr>
            </w:pPr>
            <w:r w:rsidRPr="007C51D6">
              <w:rPr>
                <w:color w:val="000000"/>
                <w:sz w:val="20"/>
                <w:szCs w:val="22"/>
              </w:rPr>
              <w:t>160,21</w:t>
            </w:r>
          </w:p>
        </w:tc>
        <w:tc>
          <w:tcPr>
            <w:tcW w:w="1285" w:type="dxa"/>
          </w:tcPr>
          <w:p w:rsidR="008A139C" w:rsidRPr="007C51D6" w:rsidRDefault="008A139C" w:rsidP="008A139C">
            <w:pPr>
              <w:autoSpaceDE/>
              <w:autoSpaceDN/>
              <w:adjustRightInd/>
              <w:jc w:val="center"/>
              <w:rPr>
                <w:color w:val="000000"/>
                <w:sz w:val="20"/>
                <w:szCs w:val="22"/>
              </w:rPr>
            </w:pPr>
            <w:r w:rsidRPr="007C51D6">
              <w:rPr>
                <w:color w:val="000000"/>
                <w:sz w:val="20"/>
                <w:szCs w:val="22"/>
              </w:rPr>
              <w:t>176,8</w:t>
            </w:r>
          </w:p>
        </w:tc>
        <w:tc>
          <w:tcPr>
            <w:tcW w:w="1285" w:type="dxa"/>
          </w:tcPr>
          <w:p w:rsidR="008A139C" w:rsidRPr="007C51D6" w:rsidRDefault="008A139C" w:rsidP="008A139C">
            <w:pPr>
              <w:jc w:val="center"/>
              <w:rPr>
                <w:color w:val="000000"/>
                <w:sz w:val="20"/>
                <w:szCs w:val="20"/>
              </w:rPr>
            </w:pPr>
            <w:r w:rsidRPr="007C51D6">
              <w:rPr>
                <w:color w:val="000000"/>
                <w:sz w:val="20"/>
                <w:szCs w:val="20"/>
              </w:rPr>
              <w:t>нет данных</w:t>
            </w:r>
          </w:p>
        </w:tc>
      </w:tr>
      <w:tr w:rsidR="008A139C" w:rsidRPr="007C51D6" w:rsidTr="00827D9B">
        <w:trPr>
          <w:trHeight w:val="20"/>
        </w:trPr>
        <w:tc>
          <w:tcPr>
            <w:tcW w:w="4531" w:type="dxa"/>
            <w:shd w:val="clear" w:color="auto" w:fill="auto"/>
          </w:tcPr>
          <w:p w:rsidR="008A139C" w:rsidRPr="007C51D6" w:rsidRDefault="008A139C" w:rsidP="008A139C">
            <w:pPr>
              <w:autoSpaceDE/>
              <w:autoSpaceDN/>
              <w:adjustRightInd/>
              <w:jc w:val="both"/>
              <w:rPr>
                <w:rFonts w:eastAsia="Arial"/>
                <w:sz w:val="20"/>
                <w:szCs w:val="22"/>
              </w:rPr>
            </w:pPr>
            <w:r w:rsidRPr="007C51D6">
              <w:rPr>
                <w:rFonts w:eastAsia="Arial"/>
                <w:sz w:val="20"/>
                <w:szCs w:val="22"/>
              </w:rPr>
              <w:t>трахеи, бронхов, легких</w:t>
            </w:r>
          </w:p>
        </w:tc>
        <w:tc>
          <w:tcPr>
            <w:tcW w:w="1065" w:type="dxa"/>
            <w:shd w:val="clear" w:color="auto" w:fill="auto"/>
          </w:tcPr>
          <w:p w:rsidR="008A139C" w:rsidRPr="007C51D6" w:rsidRDefault="008A139C" w:rsidP="008A139C">
            <w:pPr>
              <w:autoSpaceDE/>
              <w:autoSpaceDN/>
              <w:adjustRightInd/>
              <w:jc w:val="center"/>
              <w:rPr>
                <w:color w:val="000000"/>
                <w:sz w:val="20"/>
                <w:szCs w:val="22"/>
              </w:rPr>
            </w:pPr>
            <w:r w:rsidRPr="007C51D6">
              <w:rPr>
                <w:color w:val="000000"/>
                <w:sz w:val="20"/>
                <w:szCs w:val="22"/>
              </w:rPr>
              <w:t>33,22</w:t>
            </w:r>
          </w:p>
        </w:tc>
        <w:tc>
          <w:tcPr>
            <w:tcW w:w="991" w:type="dxa"/>
            <w:shd w:val="clear" w:color="auto" w:fill="auto"/>
          </w:tcPr>
          <w:p w:rsidR="008A139C" w:rsidRPr="007C51D6" w:rsidRDefault="008A139C" w:rsidP="008A139C">
            <w:pPr>
              <w:autoSpaceDE/>
              <w:autoSpaceDN/>
              <w:adjustRightInd/>
              <w:jc w:val="center"/>
              <w:rPr>
                <w:color w:val="000000"/>
                <w:sz w:val="20"/>
                <w:szCs w:val="22"/>
              </w:rPr>
            </w:pPr>
            <w:r w:rsidRPr="007C51D6">
              <w:rPr>
                <w:color w:val="000000"/>
                <w:sz w:val="20"/>
                <w:szCs w:val="22"/>
              </w:rPr>
              <w:t>31,93</w:t>
            </w:r>
          </w:p>
        </w:tc>
        <w:tc>
          <w:tcPr>
            <w:tcW w:w="991" w:type="dxa"/>
            <w:shd w:val="clear" w:color="auto" w:fill="auto"/>
          </w:tcPr>
          <w:p w:rsidR="008A139C" w:rsidRPr="007C51D6" w:rsidRDefault="008A139C" w:rsidP="008A139C">
            <w:pPr>
              <w:autoSpaceDE/>
              <w:autoSpaceDN/>
              <w:adjustRightInd/>
              <w:jc w:val="center"/>
              <w:rPr>
                <w:color w:val="000000"/>
                <w:sz w:val="20"/>
                <w:szCs w:val="22"/>
              </w:rPr>
            </w:pPr>
            <w:r w:rsidRPr="007C51D6">
              <w:rPr>
                <w:color w:val="000000"/>
                <w:sz w:val="20"/>
                <w:szCs w:val="22"/>
              </w:rPr>
              <w:t>34,01</w:t>
            </w:r>
          </w:p>
        </w:tc>
        <w:tc>
          <w:tcPr>
            <w:tcW w:w="1060" w:type="dxa"/>
            <w:shd w:val="clear" w:color="auto" w:fill="auto"/>
          </w:tcPr>
          <w:p w:rsidR="008A139C" w:rsidRPr="007C51D6" w:rsidRDefault="008A139C" w:rsidP="008A139C">
            <w:pPr>
              <w:autoSpaceDE/>
              <w:autoSpaceDN/>
              <w:adjustRightInd/>
              <w:jc w:val="center"/>
              <w:rPr>
                <w:color w:val="000000"/>
                <w:sz w:val="20"/>
                <w:szCs w:val="22"/>
              </w:rPr>
            </w:pPr>
            <w:r w:rsidRPr="007C51D6">
              <w:rPr>
                <w:color w:val="000000"/>
                <w:sz w:val="20"/>
                <w:szCs w:val="22"/>
              </w:rPr>
              <w:t>30,94</w:t>
            </w:r>
          </w:p>
        </w:tc>
        <w:tc>
          <w:tcPr>
            <w:tcW w:w="991" w:type="dxa"/>
            <w:shd w:val="clear" w:color="auto" w:fill="auto"/>
          </w:tcPr>
          <w:p w:rsidR="008A139C" w:rsidRPr="007C51D6" w:rsidRDefault="008A139C" w:rsidP="008A139C">
            <w:pPr>
              <w:autoSpaceDE/>
              <w:autoSpaceDN/>
              <w:adjustRightInd/>
              <w:jc w:val="center"/>
              <w:rPr>
                <w:color w:val="000000"/>
                <w:sz w:val="20"/>
                <w:szCs w:val="22"/>
              </w:rPr>
            </w:pPr>
            <w:r w:rsidRPr="007C51D6">
              <w:rPr>
                <w:rFonts w:eastAsia="Arial"/>
                <w:color w:val="000000"/>
                <w:sz w:val="20"/>
                <w:szCs w:val="22"/>
              </w:rPr>
              <w:t>30,72</w:t>
            </w:r>
          </w:p>
        </w:tc>
        <w:tc>
          <w:tcPr>
            <w:tcW w:w="945" w:type="dxa"/>
          </w:tcPr>
          <w:p w:rsidR="008A139C" w:rsidRPr="007C51D6" w:rsidRDefault="008A139C" w:rsidP="008A139C">
            <w:pPr>
              <w:autoSpaceDE/>
              <w:autoSpaceDN/>
              <w:adjustRightInd/>
              <w:jc w:val="center"/>
              <w:rPr>
                <w:rFonts w:eastAsia="Arial"/>
                <w:color w:val="000000"/>
                <w:sz w:val="20"/>
                <w:szCs w:val="22"/>
              </w:rPr>
            </w:pPr>
            <w:r w:rsidRPr="007C51D6">
              <w:rPr>
                <w:rFonts w:eastAsia="Arial"/>
                <w:color w:val="000000"/>
                <w:sz w:val="20"/>
                <w:szCs w:val="22"/>
              </w:rPr>
              <w:t>28,97</w:t>
            </w:r>
          </w:p>
        </w:tc>
        <w:tc>
          <w:tcPr>
            <w:tcW w:w="999" w:type="dxa"/>
          </w:tcPr>
          <w:p w:rsidR="008A139C" w:rsidRPr="007C51D6" w:rsidRDefault="008A139C" w:rsidP="008A139C">
            <w:pPr>
              <w:autoSpaceDE/>
              <w:autoSpaceDN/>
              <w:adjustRightInd/>
              <w:jc w:val="center"/>
              <w:rPr>
                <w:color w:val="000000"/>
                <w:sz w:val="20"/>
                <w:szCs w:val="20"/>
              </w:rPr>
            </w:pPr>
            <w:r w:rsidRPr="007C51D6">
              <w:rPr>
                <w:color w:val="000000"/>
                <w:sz w:val="20"/>
                <w:szCs w:val="20"/>
              </w:rPr>
              <w:t>26,67</w:t>
            </w:r>
          </w:p>
        </w:tc>
        <w:tc>
          <w:tcPr>
            <w:tcW w:w="887" w:type="dxa"/>
          </w:tcPr>
          <w:p w:rsidR="008A139C" w:rsidRPr="007C51D6" w:rsidRDefault="008A139C" w:rsidP="008A139C">
            <w:pPr>
              <w:autoSpaceDE/>
              <w:autoSpaceDN/>
              <w:adjustRightInd/>
              <w:jc w:val="center"/>
              <w:rPr>
                <w:color w:val="000000"/>
                <w:sz w:val="20"/>
                <w:szCs w:val="20"/>
              </w:rPr>
            </w:pPr>
            <w:r w:rsidRPr="007C51D6">
              <w:rPr>
                <w:color w:val="000000"/>
                <w:sz w:val="20"/>
                <w:szCs w:val="20"/>
              </w:rPr>
              <w:t>27,46</w:t>
            </w:r>
          </w:p>
        </w:tc>
        <w:tc>
          <w:tcPr>
            <w:tcW w:w="1285" w:type="dxa"/>
          </w:tcPr>
          <w:p w:rsidR="008A139C" w:rsidRPr="007C51D6" w:rsidRDefault="008A139C" w:rsidP="008A139C">
            <w:pPr>
              <w:autoSpaceDE/>
              <w:autoSpaceDN/>
              <w:adjustRightInd/>
              <w:jc w:val="center"/>
              <w:rPr>
                <w:color w:val="000000"/>
                <w:sz w:val="20"/>
                <w:szCs w:val="20"/>
              </w:rPr>
            </w:pPr>
            <w:r w:rsidRPr="007C51D6">
              <w:rPr>
                <w:color w:val="000000"/>
                <w:sz w:val="20"/>
                <w:szCs w:val="20"/>
              </w:rPr>
              <w:t>31,19</w:t>
            </w:r>
          </w:p>
        </w:tc>
        <w:tc>
          <w:tcPr>
            <w:tcW w:w="1285" w:type="dxa"/>
          </w:tcPr>
          <w:p w:rsidR="008A139C" w:rsidRPr="007C51D6" w:rsidRDefault="008A139C" w:rsidP="008A139C">
            <w:pPr>
              <w:jc w:val="center"/>
              <w:rPr>
                <w:sz w:val="20"/>
                <w:szCs w:val="20"/>
              </w:rPr>
            </w:pPr>
            <w:r w:rsidRPr="007C51D6">
              <w:rPr>
                <w:color w:val="000000"/>
                <w:sz w:val="20"/>
                <w:szCs w:val="20"/>
              </w:rPr>
              <w:t>нет данных</w:t>
            </w:r>
          </w:p>
        </w:tc>
      </w:tr>
      <w:tr w:rsidR="008A139C" w:rsidRPr="007C51D6" w:rsidTr="00827D9B">
        <w:trPr>
          <w:trHeight w:val="20"/>
        </w:trPr>
        <w:tc>
          <w:tcPr>
            <w:tcW w:w="4531" w:type="dxa"/>
            <w:shd w:val="clear" w:color="auto" w:fill="auto"/>
          </w:tcPr>
          <w:p w:rsidR="008A139C" w:rsidRPr="007C51D6" w:rsidRDefault="008A139C" w:rsidP="008A139C">
            <w:pPr>
              <w:autoSpaceDE/>
              <w:autoSpaceDN/>
              <w:adjustRightInd/>
              <w:jc w:val="both"/>
              <w:rPr>
                <w:rFonts w:eastAsia="Arial"/>
                <w:sz w:val="20"/>
                <w:szCs w:val="22"/>
              </w:rPr>
            </w:pPr>
            <w:r w:rsidRPr="007C51D6">
              <w:rPr>
                <w:rFonts w:eastAsia="Arial"/>
                <w:sz w:val="20"/>
                <w:szCs w:val="22"/>
              </w:rPr>
              <w:t>желудка</w:t>
            </w:r>
          </w:p>
        </w:tc>
        <w:tc>
          <w:tcPr>
            <w:tcW w:w="1065" w:type="dxa"/>
            <w:shd w:val="clear" w:color="auto" w:fill="auto"/>
          </w:tcPr>
          <w:p w:rsidR="008A139C" w:rsidRPr="007C51D6" w:rsidRDefault="008A139C" w:rsidP="008A139C">
            <w:pPr>
              <w:autoSpaceDE/>
              <w:autoSpaceDN/>
              <w:adjustRightInd/>
              <w:jc w:val="center"/>
              <w:rPr>
                <w:color w:val="000000"/>
                <w:sz w:val="20"/>
                <w:szCs w:val="22"/>
              </w:rPr>
            </w:pPr>
            <w:r w:rsidRPr="007C51D6">
              <w:rPr>
                <w:color w:val="000000"/>
                <w:sz w:val="20"/>
                <w:szCs w:val="22"/>
              </w:rPr>
              <w:t>21,25</w:t>
            </w:r>
          </w:p>
        </w:tc>
        <w:tc>
          <w:tcPr>
            <w:tcW w:w="991" w:type="dxa"/>
            <w:shd w:val="clear" w:color="auto" w:fill="auto"/>
          </w:tcPr>
          <w:p w:rsidR="008A139C" w:rsidRPr="007C51D6" w:rsidRDefault="008A139C" w:rsidP="008A139C">
            <w:pPr>
              <w:autoSpaceDE/>
              <w:autoSpaceDN/>
              <w:adjustRightInd/>
              <w:jc w:val="center"/>
              <w:rPr>
                <w:color w:val="000000"/>
                <w:sz w:val="20"/>
                <w:szCs w:val="22"/>
              </w:rPr>
            </w:pPr>
            <w:r w:rsidRPr="007C51D6">
              <w:rPr>
                <w:color w:val="000000"/>
                <w:sz w:val="20"/>
                <w:szCs w:val="22"/>
              </w:rPr>
              <w:t>20,05</w:t>
            </w:r>
          </w:p>
        </w:tc>
        <w:tc>
          <w:tcPr>
            <w:tcW w:w="991" w:type="dxa"/>
            <w:shd w:val="clear" w:color="auto" w:fill="auto"/>
          </w:tcPr>
          <w:p w:rsidR="008A139C" w:rsidRPr="007C51D6" w:rsidRDefault="008A139C" w:rsidP="008A139C">
            <w:pPr>
              <w:autoSpaceDE/>
              <w:autoSpaceDN/>
              <w:adjustRightInd/>
              <w:jc w:val="center"/>
              <w:rPr>
                <w:color w:val="000000"/>
                <w:sz w:val="20"/>
                <w:szCs w:val="22"/>
              </w:rPr>
            </w:pPr>
            <w:r w:rsidRPr="007C51D6">
              <w:rPr>
                <w:color w:val="000000"/>
                <w:sz w:val="20"/>
                <w:szCs w:val="22"/>
              </w:rPr>
              <w:t>20,58</w:t>
            </w:r>
          </w:p>
        </w:tc>
        <w:tc>
          <w:tcPr>
            <w:tcW w:w="1060" w:type="dxa"/>
            <w:shd w:val="clear" w:color="auto" w:fill="auto"/>
          </w:tcPr>
          <w:p w:rsidR="008A139C" w:rsidRPr="007C51D6" w:rsidRDefault="008A139C" w:rsidP="008A139C">
            <w:pPr>
              <w:autoSpaceDE/>
              <w:autoSpaceDN/>
              <w:adjustRightInd/>
              <w:jc w:val="center"/>
              <w:rPr>
                <w:color w:val="000000"/>
                <w:sz w:val="20"/>
                <w:szCs w:val="22"/>
              </w:rPr>
            </w:pPr>
            <w:r w:rsidRPr="007C51D6">
              <w:rPr>
                <w:color w:val="000000"/>
                <w:sz w:val="20"/>
                <w:szCs w:val="22"/>
              </w:rPr>
              <w:t>17,61</w:t>
            </w:r>
          </w:p>
        </w:tc>
        <w:tc>
          <w:tcPr>
            <w:tcW w:w="991" w:type="dxa"/>
            <w:shd w:val="clear" w:color="auto" w:fill="auto"/>
          </w:tcPr>
          <w:p w:rsidR="008A139C" w:rsidRPr="007C51D6" w:rsidRDefault="008A139C" w:rsidP="008A139C">
            <w:pPr>
              <w:autoSpaceDE/>
              <w:autoSpaceDN/>
              <w:adjustRightInd/>
              <w:jc w:val="center"/>
              <w:rPr>
                <w:rFonts w:eastAsia="Arial"/>
                <w:color w:val="000000"/>
                <w:sz w:val="20"/>
                <w:szCs w:val="22"/>
              </w:rPr>
            </w:pPr>
            <w:r w:rsidRPr="007C51D6">
              <w:rPr>
                <w:rFonts w:eastAsia="Arial"/>
                <w:color w:val="000000"/>
                <w:sz w:val="20"/>
                <w:szCs w:val="22"/>
              </w:rPr>
              <w:t>18,86</w:t>
            </w:r>
          </w:p>
        </w:tc>
        <w:tc>
          <w:tcPr>
            <w:tcW w:w="945" w:type="dxa"/>
          </w:tcPr>
          <w:p w:rsidR="008A139C" w:rsidRPr="007C51D6" w:rsidRDefault="008A139C" w:rsidP="008A139C">
            <w:pPr>
              <w:autoSpaceDE/>
              <w:autoSpaceDN/>
              <w:adjustRightInd/>
              <w:jc w:val="center"/>
              <w:rPr>
                <w:rFonts w:eastAsia="Arial"/>
                <w:color w:val="000000"/>
                <w:sz w:val="20"/>
                <w:szCs w:val="22"/>
              </w:rPr>
            </w:pPr>
            <w:r w:rsidRPr="007C51D6">
              <w:rPr>
                <w:rFonts w:eastAsia="Arial"/>
                <w:color w:val="000000"/>
                <w:sz w:val="20"/>
                <w:szCs w:val="22"/>
              </w:rPr>
              <w:t>17,33</w:t>
            </w:r>
          </w:p>
        </w:tc>
        <w:tc>
          <w:tcPr>
            <w:tcW w:w="999" w:type="dxa"/>
          </w:tcPr>
          <w:p w:rsidR="008A139C" w:rsidRPr="007C51D6" w:rsidRDefault="008A139C" w:rsidP="008A139C">
            <w:pPr>
              <w:jc w:val="center"/>
              <w:rPr>
                <w:color w:val="000000"/>
                <w:sz w:val="20"/>
                <w:szCs w:val="20"/>
              </w:rPr>
            </w:pPr>
            <w:r w:rsidRPr="007C51D6">
              <w:rPr>
                <w:color w:val="000000"/>
                <w:sz w:val="20"/>
                <w:szCs w:val="20"/>
              </w:rPr>
              <w:t>15,80</w:t>
            </w:r>
          </w:p>
        </w:tc>
        <w:tc>
          <w:tcPr>
            <w:tcW w:w="887" w:type="dxa"/>
          </w:tcPr>
          <w:p w:rsidR="008A139C" w:rsidRPr="007C51D6" w:rsidRDefault="008A139C" w:rsidP="008A139C">
            <w:pPr>
              <w:jc w:val="center"/>
              <w:rPr>
                <w:color w:val="000000"/>
                <w:sz w:val="20"/>
                <w:szCs w:val="20"/>
              </w:rPr>
            </w:pPr>
            <w:r w:rsidRPr="007C51D6">
              <w:rPr>
                <w:color w:val="000000"/>
                <w:sz w:val="20"/>
                <w:szCs w:val="20"/>
              </w:rPr>
              <w:t>14,24</w:t>
            </w:r>
          </w:p>
        </w:tc>
        <w:tc>
          <w:tcPr>
            <w:tcW w:w="1285" w:type="dxa"/>
          </w:tcPr>
          <w:p w:rsidR="008A139C" w:rsidRPr="007C51D6" w:rsidRDefault="008A139C" w:rsidP="008A139C">
            <w:pPr>
              <w:jc w:val="center"/>
              <w:rPr>
                <w:color w:val="000000"/>
                <w:sz w:val="20"/>
                <w:szCs w:val="20"/>
              </w:rPr>
            </w:pPr>
            <w:r w:rsidRPr="007C51D6">
              <w:rPr>
                <w:color w:val="000000"/>
                <w:sz w:val="20"/>
                <w:szCs w:val="20"/>
              </w:rPr>
              <w:t>15,98</w:t>
            </w:r>
          </w:p>
        </w:tc>
        <w:tc>
          <w:tcPr>
            <w:tcW w:w="1285" w:type="dxa"/>
          </w:tcPr>
          <w:p w:rsidR="008A139C" w:rsidRPr="007C51D6" w:rsidRDefault="008A139C" w:rsidP="008A139C">
            <w:pPr>
              <w:jc w:val="center"/>
              <w:rPr>
                <w:sz w:val="20"/>
                <w:szCs w:val="20"/>
              </w:rPr>
            </w:pPr>
            <w:r w:rsidRPr="007C51D6">
              <w:rPr>
                <w:color w:val="000000"/>
                <w:sz w:val="20"/>
                <w:szCs w:val="20"/>
              </w:rPr>
              <w:t>нет данных</w:t>
            </w:r>
          </w:p>
        </w:tc>
      </w:tr>
      <w:tr w:rsidR="008A139C" w:rsidRPr="007C51D6" w:rsidTr="00827D9B">
        <w:trPr>
          <w:trHeight w:val="20"/>
        </w:trPr>
        <w:tc>
          <w:tcPr>
            <w:tcW w:w="4531" w:type="dxa"/>
            <w:shd w:val="clear" w:color="auto" w:fill="auto"/>
          </w:tcPr>
          <w:p w:rsidR="008A139C" w:rsidRPr="007C51D6" w:rsidRDefault="008A139C" w:rsidP="008A139C">
            <w:pPr>
              <w:autoSpaceDE/>
              <w:autoSpaceDN/>
              <w:adjustRightInd/>
              <w:jc w:val="both"/>
              <w:rPr>
                <w:rFonts w:eastAsia="Arial"/>
                <w:sz w:val="20"/>
                <w:szCs w:val="22"/>
              </w:rPr>
            </w:pPr>
            <w:r w:rsidRPr="007C51D6">
              <w:rPr>
                <w:rFonts w:eastAsia="Arial"/>
                <w:sz w:val="20"/>
                <w:szCs w:val="22"/>
              </w:rPr>
              <w:t>молочной железы</w:t>
            </w:r>
          </w:p>
        </w:tc>
        <w:tc>
          <w:tcPr>
            <w:tcW w:w="1065" w:type="dxa"/>
            <w:shd w:val="clear" w:color="auto" w:fill="auto"/>
          </w:tcPr>
          <w:p w:rsidR="008A139C" w:rsidRPr="007C51D6" w:rsidRDefault="008A139C" w:rsidP="008A139C">
            <w:pPr>
              <w:autoSpaceDE/>
              <w:autoSpaceDN/>
              <w:adjustRightInd/>
              <w:jc w:val="center"/>
              <w:rPr>
                <w:color w:val="000000"/>
                <w:sz w:val="20"/>
                <w:szCs w:val="22"/>
              </w:rPr>
            </w:pPr>
            <w:r w:rsidRPr="007C51D6">
              <w:rPr>
                <w:color w:val="000000"/>
                <w:sz w:val="20"/>
                <w:szCs w:val="22"/>
              </w:rPr>
              <w:t>13,72</w:t>
            </w:r>
          </w:p>
        </w:tc>
        <w:tc>
          <w:tcPr>
            <w:tcW w:w="991" w:type="dxa"/>
            <w:shd w:val="clear" w:color="auto" w:fill="auto"/>
          </w:tcPr>
          <w:p w:rsidR="008A139C" w:rsidRPr="007C51D6" w:rsidRDefault="008A139C" w:rsidP="008A139C">
            <w:pPr>
              <w:autoSpaceDE/>
              <w:autoSpaceDN/>
              <w:adjustRightInd/>
              <w:jc w:val="center"/>
              <w:rPr>
                <w:color w:val="000000"/>
                <w:sz w:val="20"/>
                <w:szCs w:val="22"/>
              </w:rPr>
            </w:pPr>
            <w:r w:rsidRPr="007C51D6">
              <w:rPr>
                <w:color w:val="000000"/>
                <w:sz w:val="20"/>
                <w:szCs w:val="22"/>
              </w:rPr>
              <w:t>14,22</w:t>
            </w:r>
          </w:p>
        </w:tc>
        <w:tc>
          <w:tcPr>
            <w:tcW w:w="991" w:type="dxa"/>
            <w:shd w:val="clear" w:color="auto" w:fill="auto"/>
          </w:tcPr>
          <w:p w:rsidR="008A139C" w:rsidRPr="007C51D6" w:rsidRDefault="008A139C" w:rsidP="008A139C">
            <w:pPr>
              <w:autoSpaceDE/>
              <w:autoSpaceDN/>
              <w:adjustRightInd/>
              <w:jc w:val="center"/>
              <w:rPr>
                <w:color w:val="000000"/>
                <w:sz w:val="20"/>
                <w:szCs w:val="22"/>
              </w:rPr>
            </w:pPr>
            <w:r w:rsidRPr="007C51D6">
              <w:rPr>
                <w:color w:val="000000"/>
                <w:sz w:val="20"/>
                <w:szCs w:val="22"/>
              </w:rPr>
              <w:t>14,91</w:t>
            </w:r>
          </w:p>
        </w:tc>
        <w:tc>
          <w:tcPr>
            <w:tcW w:w="1060" w:type="dxa"/>
            <w:shd w:val="clear" w:color="auto" w:fill="auto"/>
          </w:tcPr>
          <w:p w:rsidR="008A139C" w:rsidRPr="007C51D6" w:rsidRDefault="008A139C" w:rsidP="008A139C">
            <w:pPr>
              <w:autoSpaceDE/>
              <w:autoSpaceDN/>
              <w:adjustRightInd/>
              <w:jc w:val="center"/>
              <w:rPr>
                <w:color w:val="000000"/>
                <w:sz w:val="20"/>
                <w:szCs w:val="22"/>
              </w:rPr>
            </w:pPr>
            <w:r w:rsidRPr="007C51D6">
              <w:rPr>
                <w:color w:val="000000"/>
                <w:sz w:val="20"/>
                <w:szCs w:val="22"/>
              </w:rPr>
              <w:t>13,51</w:t>
            </w:r>
          </w:p>
        </w:tc>
        <w:tc>
          <w:tcPr>
            <w:tcW w:w="991" w:type="dxa"/>
            <w:shd w:val="clear" w:color="auto" w:fill="auto"/>
          </w:tcPr>
          <w:p w:rsidR="008A139C" w:rsidRPr="007C51D6" w:rsidRDefault="008A139C" w:rsidP="008A139C">
            <w:pPr>
              <w:autoSpaceDE/>
              <w:autoSpaceDN/>
              <w:adjustRightInd/>
              <w:jc w:val="center"/>
              <w:rPr>
                <w:rFonts w:eastAsia="Arial"/>
                <w:color w:val="000000"/>
                <w:sz w:val="20"/>
                <w:szCs w:val="22"/>
              </w:rPr>
            </w:pPr>
            <w:r w:rsidRPr="007C51D6">
              <w:rPr>
                <w:rFonts w:eastAsia="Arial"/>
                <w:color w:val="000000"/>
                <w:sz w:val="20"/>
                <w:szCs w:val="22"/>
              </w:rPr>
              <w:t>14,53</w:t>
            </w:r>
          </w:p>
        </w:tc>
        <w:tc>
          <w:tcPr>
            <w:tcW w:w="945" w:type="dxa"/>
          </w:tcPr>
          <w:p w:rsidR="008A139C" w:rsidRPr="007C51D6" w:rsidRDefault="008A139C" w:rsidP="008A139C">
            <w:pPr>
              <w:autoSpaceDE/>
              <w:autoSpaceDN/>
              <w:adjustRightInd/>
              <w:jc w:val="center"/>
              <w:rPr>
                <w:rFonts w:eastAsia="Arial"/>
                <w:color w:val="000000"/>
                <w:sz w:val="20"/>
                <w:szCs w:val="22"/>
              </w:rPr>
            </w:pPr>
            <w:r w:rsidRPr="007C51D6">
              <w:rPr>
                <w:rFonts w:eastAsia="Arial"/>
                <w:color w:val="000000"/>
                <w:sz w:val="20"/>
                <w:szCs w:val="22"/>
              </w:rPr>
              <w:t>12,70</w:t>
            </w:r>
          </w:p>
        </w:tc>
        <w:tc>
          <w:tcPr>
            <w:tcW w:w="999" w:type="dxa"/>
          </w:tcPr>
          <w:p w:rsidR="008A139C" w:rsidRPr="007C51D6" w:rsidRDefault="008A139C" w:rsidP="008A139C">
            <w:pPr>
              <w:jc w:val="center"/>
              <w:rPr>
                <w:color w:val="000000"/>
                <w:sz w:val="20"/>
                <w:szCs w:val="20"/>
              </w:rPr>
            </w:pPr>
            <w:r w:rsidRPr="007C51D6">
              <w:rPr>
                <w:color w:val="000000"/>
                <w:sz w:val="20"/>
                <w:szCs w:val="20"/>
              </w:rPr>
              <w:t>12,95</w:t>
            </w:r>
          </w:p>
        </w:tc>
        <w:tc>
          <w:tcPr>
            <w:tcW w:w="887" w:type="dxa"/>
          </w:tcPr>
          <w:p w:rsidR="008A139C" w:rsidRPr="007C51D6" w:rsidRDefault="008A139C" w:rsidP="008A139C">
            <w:pPr>
              <w:jc w:val="center"/>
              <w:rPr>
                <w:color w:val="000000"/>
                <w:sz w:val="20"/>
                <w:szCs w:val="20"/>
              </w:rPr>
            </w:pPr>
            <w:r w:rsidRPr="007C51D6">
              <w:rPr>
                <w:color w:val="000000"/>
                <w:sz w:val="20"/>
                <w:szCs w:val="20"/>
              </w:rPr>
              <w:t>11,39</w:t>
            </w:r>
          </w:p>
        </w:tc>
        <w:tc>
          <w:tcPr>
            <w:tcW w:w="1285" w:type="dxa"/>
          </w:tcPr>
          <w:p w:rsidR="008A139C" w:rsidRPr="007C51D6" w:rsidRDefault="008A139C" w:rsidP="008A139C">
            <w:pPr>
              <w:jc w:val="center"/>
              <w:rPr>
                <w:color w:val="000000"/>
                <w:sz w:val="20"/>
                <w:szCs w:val="20"/>
              </w:rPr>
            </w:pPr>
            <w:r w:rsidRPr="007C51D6">
              <w:rPr>
                <w:color w:val="000000"/>
                <w:sz w:val="20"/>
                <w:szCs w:val="20"/>
              </w:rPr>
              <w:t>12,68</w:t>
            </w:r>
          </w:p>
        </w:tc>
        <w:tc>
          <w:tcPr>
            <w:tcW w:w="1285" w:type="dxa"/>
          </w:tcPr>
          <w:p w:rsidR="008A139C" w:rsidRPr="007C51D6" w:rsidRDefault="008A139C" w:rsidP="008A139C">
            <w:pPr>
              <w:jc w:val="center"/>
              <w:rPr>
                <w:sz w:val="20"/>
                <w:szCs w:val="20"/>
              </w:rPr>
            </w:pPr>
            <w:r w:rsidRPr="007C51D6">
              <w:rPr>
                <w:color w:val="000000"/>
                <w:sz w:val="20"/>
                <w:szCs w:val="20"/>
              </w:rPr>
              <w:t>нет данных</w:t>
            </w:r>
          </w:p>
        </w:tc>
      </w:tr>
      <w:tr w:rsidR="008A139C" w:rsidRPr="007C51D6" w:rsidTr="00827D9B">
        <w:trPr>
          <w:trHeight w:val="20"/>
        </w:trPr>
        <w:tc>
          <w:tcPr>
            <w:tcW w:w="4531" w:type="dxa"/>
            <w:shd w:val="clear" w:color="auto" w:fill="auto"/>
          </w:tcPr>
          <w:p w:rsidR="008A139C" w:rsidRPr="007C51D6" w:rsidRDefault="008A139C" w:rsidP="008A139C">
            <w:pPr>
              <w:autoSpaceDE/>
              <w:autoSpaceDN/>
              <w:adjustRightInd/>
              <w:jc w:val="both"/>
              <w:rPr>
                <w:rFonts w:eastAsia="Arial"/>
                <w:sz w:val="20"/>
                <w:szCs w:val="22"/>
              </w:rPr>
            </w:pPr>
            <w:r w:rsidRPr="007C51D6">
              <w:rPr>
                <w:rFonts w:eastAsia="Arial"/>
                <w:sz w:val="20"/>
                <w:szCs w:val="22"/>
              </w:rPr>
              <w:t>ободочной кишки</w:t>
            </w:r>
          </w:p>
        </w:tc>
        <w:tc>
          <w:tcPr>
            <w:tcW w:w="1065" w:type="dxa"/>
            <w:shd w:val="clear" w:color="auto" w:fill="auto"/>
          </w:tcPr>
          <w:p w:rsidR="008A139C" w:rsidRPr="007C51D6" w:rsidRDefault="008A139C" w:rsidP="008A139C">
            <w:pPr>
              <w:autoSpaceDE/>
              <w:autoSpaceDN/>
              <w:adjustRightInd/>
              <w:jc w:val="center"/>
              <w:rPr>
                <w:color w:val="000000"/>
                <w:sz w:val="20"/>
                <w:szCs w:val="22"/>
              </w:rPr>
            </w:pPr>
            <w:r w:rsidRPr="007C51D6">
              <w:rPr>
                <w:color w:val="000000"/>
                <w:sz w:val="20"/>
                <w:szCs w:val="22"/>
              </w:rPr>
              <w:t>14,06</w:t>
            </w:r>
          </w:p>
        </w:tc>
        <w:tc>
          <w:tcPr>
            <w:tcW w:w="991" w:type="dxa"/>
            <w:shd w:val="clear" w:color="auto" w:fill="auto"/>
          </w:tcPr>
          <w:p w:rsidR="008A139C" w:rsidRPr="007C51D6" w:rsidRDefault="008A139C" w:rsidP="008A139C">
            <w:pPr>
              <w:autoSpaceDE/>
              <w:autoSpaceDN/>
              <w:adjustRightInd/>
              <w:jc w:val="center"/>
              <w:rPr>
                <w:color w:val="000000"/>
                <w:sz w:val="20"/>
                <w:szCs w:val="22"/>
              </w:rPr>
            </w:pPr>
            <w:r w:rsidRPr="007C51D6">
              <w:rPr>
                <w:color w:val="000000"/>
                <w:sz w:val="20"/>
                <w:szCs w:val="22"/>
              </w:rPr>
              <w:t>14,32</w:t>
            </w:r>
          </w:p>
        </w:tc>
        <w:tc>
          <w:tcPr>
            <w:tcW w:w="991" w:type="dxa"/>
            <w:shd w:val="clear" w:color="auto" w:fill="auto"/>
          </w:tcPr>
          <w:p w:rsidR="008A139C" w:rsidRPr="007C51D6" w:rsidRDefault="008A139C" w:rsidP="008A139C">
            <w:pPr>
              <w:autoSpaceDE/>
              <w:autoSpaceDN/>
              <w:adjustRightInd/>
              <w:jc w:val="center"/>
              <w:rPr>
                <w:color w:val="000000"/>
                <w:sz w:val="20"/>
                <w:szCs w:val="22"/>
              </w:rPr>
            </w:pPr>
            <w:r w:rsidRPr="007C51D6">
              <w:rPr>
                <w:color w:val="000000"/>
                <w:sz w:val="20"/>
                <w:szCs w:val="22"/>
              </w:rPr>
              <w:t>13,55</w:t>
            </w:r>
          </w:p>
        </w:tc>
        <w:tc>
          <w:tcPr>
            <w:tcW w:w="1060" w:type="dxa"/>
            <w:shd w:val="clear" w:color="auto" w:fill="auto"/>
          </w:tcPr>
          <w:p w:rsidR="008A139C" w:rsidRPr="007C51D6" w:rsidRDefault="008A139C" w:rsidP="008A139C">
            <w:pPr>
              <w:autoSpaceDE/>
              <w:autoSpaceDN/>
              <w:adjustRightInd/>
              <w:jc w:val="center"/>
              <w:rPr>
                <w:color w:val="000000"/>
                <w:sz w:val="20"/>
                <w:szCs w:val="22"/>
              </w:rPr>
            </w:pPr>
            <w:r w:rsidRPr="007C51D6">
              <w:rPr>
                <w:color w:val="000000"/>
                <w:sz w:val="20"/>
                <w:szCs w:val="22"/>
              </w:rPr>
              <w:t>13,07</w:t>
            </w:r>
          </w:p>
        </w:tc>
        <w:tc>
          <w:tcPr>
            <w:tcW w:w="991" w:type="dxa"/>
            <w:shd w:val="clear" w:color="auto" w:fill="auto"/>
          </w:tcPr>
          <w:p w:rsidR="008A139C" w:rsidRPr="007C51D6" w:rsidRDefault="008A139C" w:rsidP="008A139C">
            <w:pPr>
              <w:autoSpaceDE/>
              <w:autoSpaceDN/>
              <w:adjustRightInd/>
              <w:jc w:val="center"/>
              <w:rPr>
                <w:rFonts w:eastAsia="Arial"/>
                <w:color w:val="000000"/>
                <w:sz w:val="20"/>
                <w:szCs w:val="22"/>
              </w:rPr>
            </w:pPr>
            <w:r w:rsidRPr="007C51D6">
              <w:rPr>
                <w:rFonts w:eastAsia="Arial"/>
                <w:color w:val="000000"/>
                <w:sz w:val="20"/>
                <w:szCs w:val="22"/>
              </w:rPr>
              <w:t>13,50</w:t>
            </w:r>
          </w:p>
        </w:tc>
        <w:tc>
          <w:tcPr>
            <w:tcW w:w="945" w:type="dxa"/>
          </w:tcPr>
          <w:p w:rsidR="008A139C" w:rsidRPr="007C51D6" w:rsidRDefault="008A139C" w:rsidP="008A139C">
            <w:pPr>
              <w:autoSpaceDE/>
              <w:autoSpaceDN/>
              <w:adjustRightInd/>
              <w:jc w:val="center"/>
              <w:rPr>
                <w:rFonts w:eastAsia="Arial"/>
                <w:color w:val="000000"/>
                <w:sz w:val="20"/>
                <w:szCs w:val="22"/>
              </w:rPr>
            </w:pPr>
            <w:r w:rsidRPr="007C51D6">
              <w:rPr>
                <w:rFonts w:eastAsia="Arial"/>
                <w:color w:val="000000"/>
                <w:sz w:val="20"/>
                <w:szCs w:val="22"/>
              </w:rPr>
              <w:t>12,29</w:t>
            </w:r>
          </w:p>
        </w:tc>
        <w:tc>
          <w:tcPr>
            <w:tcW w:w="999" w:type="dxa"/>
          </w:tcPr>
          <w:p w:rsidR="008A139C" w:rsidRPr="007C51D6" w:rsidRDefault="008A139C" w:rsidP="008A139C">
            <w:pPr>
              <w:jc w:val="center"/>
              <w:rPr>
                <w:color w:val="000000"/>
                <w:sz w:val="20"/>
                <w:szCs w:val="20"/>
              </w:rPr>
            </w:pPr>
            <w:r w:rsidRPr="007C51D6">
              <w:rPr>
                <w:color w:val="000000"/>
                <w:sz w:val="20"/>
                <w:szCs w:val="20"/>
              </w:rPr>
              <w:t>13,47</w:t>
            </w:r>
          </w:p>
        </w:tc>
        <w:tc>
          <w:tcPr>
            <w:tcW w:w="887" w:type="dxa"/>
          </w:tcPr>
          <w:p w:rsidR="008A139C" w:rsidRPr="007C51D6" w:rsidRDefault="008A139C" w:rsidP="008A139C">
            <w:pPr>
              <w:jc w:val="center"/>
              <w:rPr>
                <w:color w:val="000000"/>
                <w:sz w:val="20"/>
                <w:szCs w:val="20"/>
              </w:rPr>
            </w:pPr>
            <w:r w:rsidRPr="007C51D6">
              <w:rPr>
                <w:color w:val="000000"/>
                <w:sz w:val="20"/>
                <w:szCs w:val="20"/>
              </w:rPr>
              <w:t>11,74</w:t>
            </w:r>
          </w:p>
        </w:tc>
        <w:tc>
          <w:tcPr>
            <w:tcW w:w="1285" w:type="dxa"/>
          </w:tcPr>
          <w:p w:rsidR="008A139C" w:rsidRPr="007C51D6" w:rsidRDefault="008A139C" w:rsidP="008A139C">
            <w:pPr>
              <w:jc w:val="center"/>
              <w:rPr>
                <w:color w:val="000000"/>
                <w:sz w:val="20"/>
                <w:szCs w:val="20"/>
              </w:rPr>
            </w:pPr>
            <w:r w:rsidRPr="007C51D6">
              <w:rPr>
                <w:color w:val="000000"/>
                <w:sz w:val="20"/>
                <w:szCs w:val="20"/>
              </w:rPr>
              <w:t>13,71</w:t>
            </w:r>
          </w:p>
        </w:tc>
        <w:tc>
          <w:tcPr>
            <w:tcW w:w="1285" w:type="dxa"/>
          </w:tcPr>
          <w:p w:rsidR="008A139C" w:rsidRPr="007C51D6" w:rsidRDefault="008A139C" w:rsidP="008A139C">
            <w:pPr>
              <w:jc w:val="center"/>
              <w:rPr>
                <w:sz w:val="20"/>
                <w:szCs w:val="20"/>
              </w:rPr>
            </w:pPr>
            <w:r w:rsidRPr="007C51D6">
              <w:rPr>
                <w:color w:val="000000"/>
                <w:sz w:val="20"/>
                <w:szCs w:val="20"/>
              </w:rPr>
              <w:t>нет данных</w:t>
            </w:r>
          </w:p>
        </w:tc>
      </w:tr>
      <w:tr w:rsidR="008A139C" w:rsidRPr="007C51D6" w:rsidTr="00827D9B">
        <w:trPr>
          <w:trHeight w:val="20"/>
        </w:trPr>
        <w:tc>
          <w:tcPr>
            <w:tcW w:w="4531" w:type="dxa"/>
            <w:shd w:val="clear" w:color="auto" w:fill="auto"/>
          </w:tcPr>
          <w:p w:rsidR="008A139C" w:rsidRPr="007C51D6" w:rsidRDefault="008A139C" w:rsidP="008A139C">
            <w:pPr>
              <w:autoSpaceDE/>
              <w:autoSpaceDN/>
              <w:adjustRightInd/>
              <w:jc w:val="both"/>
              <w:rPr>
                <w:rFonts w:eastAsia="Arial"/>
                <w:sz w:val="20"/>
                <w:szCs w:val="22"/>
              </w:rPr>
            </w:pPr>
            <w:r w:rsidRPr="007C51D6">
              <w:rPr>
                <w:rFonts w:eastAsia="Arial"/>
                <w:sz w:val="20"/>
                <w:szCs w:val="22"/>
              </w:rPr>
              <w:t>поджелудочной железы</w:t>
            </w:r>
          </w:p>
        </w:tc>
        <w:tc>
          <w:tcPr>
            <w:tcW w:w="1065" w:type="dxa"/>
            <w:shd w:val="clear" w:color="auto" w:fill="auto"/>
          </w:tcPr>
          <w:p w:rsidR="008A139C" w:rsidRPr="007C51D6" w:rsidRDefault="008A139C" w:rsidP="008A139C">
            <w:pPr>
              <w:autoSpaceDE/>
              <w:autoSpaceDN/>
              <w:adjustRightInd/>
              <w:jc w:val="center"/>
              <w:rPr>
                <w:color w:val="000000"/>
                <w:sz w:val="20"/>
                <w:szCs w:val="22"/>
              </w:rPr>
            </w:pPr>
            <w:r w:rsidRPr="007C51D6">
              <w:rPr>
                <w:color w:val="000000"/>
                <w:sz w:val="20"/>
                <w:szCs w:val="22"/>
              </w:rPr>
              <w:t>11,56</w:t>
            </w:r>
          </w:p>
        </w:tc>
        <w:tc>
          <w:tcPr>
            <w:tcW w:w="991" w:type="dxa"/>
            <w:shd w:val="clear" w:color="auto" w:fill="auto"/>
          </w:tcPr>
          <w:p w:rsidR="008A139C" w:rsidRPr="007C51D6" w:rsidRDefault="008A139C" w:rsidP="008A139C">
            <w:pPr>
              <w:autoSpaceDE/>
              <w:autoSpaceDN/>
              <w:adjustRightInd/>
              <w:jc w:val="center"/>
              <w:rPr>
                <w:color w:val="000000"/>
                <w:sz w:val="20"/>
                <w:szCs w:val="22"/>
              </w:rPr>
            </w:pPr>
            <w:r w:rsidRPr="007C51D6">
              <w:rPr>
                <w:color w:val="000000"/>
                <w:sz w:val="20"/>
                <w:szCs w:val="22"/>
              </w:rPr>
              <w:t>11,70</w:t>
            </w:r>
          </w:p>
        </w:tc>
        <w:tc>
          <w:tcPr>
            <w:tcW w:w="991" w:type="dxa"/>
            <w:shd w:val="clear" w:color="auto" w:fill="auto"/>
          </w:tcPr>
          <w:p w:rsidR="008A139C" w:rsidRPr="007C51D6" w:rsidRDefault="008A139C" w:rsidP="008A139C">
            <w:pPr>
              <w:autoSpaceDE/>
              <w:autoSpaceDN/>
              <w:adjustRightInd/>
              <w:jc w:val="center"/>
              <w:rPr>
                <w:color w:val="000000"/>
                <w:sz w:val="20"/>
                <w:szCs w:val="22"/>
              </w:rPr>
            </w:pPr>
            <w:r w:rsidRPr="007C51D6">
              <w:rPr>
                <w:color w:val="000000"/>
                <w:sz w:val="20"/>
                <w:szCs w:val="22"/>
              </w:rPr>
              <w:t>11,32</w:t>
            </w:r>
          </w:p>
        </w:tc>
        <w:tc>
          <w:tcPr>
            <w:tcW w:w="1060" w:type="dxa"/>
            <w:shd w:val="clear" w:color="auto" w:fill="auto"/>
          </w:tcPr>
          <w:p w:rsidR="008A139C" w:rsidRPr="007C51D6" w:rsidRDefault="008A139C" w:rsidP="008A139C">
            <w:pPr>
              <w:autoSpaceDE/>
              <w:autoSpaceDN/>
              <w:adjustRightInd/>
              <w:jc w:val="center"/>
              <w:rPr>
                <w:color w:val="000000"/>
                <w:sz w:val="20"/>
                <w:szCs w:val="22"/>
              </w:rPr>
            </w:pPr>
            <w:r w:rsidRPr="007C51D6">
              <w:rPr>
                <w:color w:val="000000"/>
                <w:sz w:val="20"/>
                <w:szCs w:val="22"/>
              </w:rPr>
              <w:t>12,25</w:t>
            </w:r>
          </w:p>
        </w:tc>
        <w:tc>
          <w:tcPr>
            <w:tcW w:w="991" w:type="dxa"/>
            <w:shd w:val="clear" w:color="auto" w:fill="auto"/>
          </w:tcPr>
          <w:p w:rsidR="008A139C" w:rsidRPr="007C51D6" w:rsidRDefault="008A139C" w:rsidP="008A139C">
            <w:pPr>
              <w:autoSpaceDE/>
              <w:autoSpaceDN/>
              <w:adjustRightInd/>
              <w:jc w:val="center"/>
              <w:rPr>
                <w:rFonts w:eastAsia="Arial"/>
                <w:color w:val="000000"/>
                <w:sz w:val="20"/>
                <w:szCs w:val="22"/>
              </w:rPr>
            </w:pPr>
            <w:r w:rsidRPr="007C51D6">
              <w:rPr>
                <w:rFonts w:eastAsia="Arial"/>
                <w:color w:val="000000"/>
                <w:sz w:val="20"/>
                <w:szCs w:val="22"/>
              </w:rPr>
              <w:t>11,27</w:t>
            </w:r>
          </w:p>
        </w:tc>
        <w:tc>
          <w:tcPr>
            <w:tcW w:w="945" w:type="dxa"/>
          </w:tcPr>
          <w:p w:rsidR="008A139C" w:rsidRPr="007C51D6" w:rsidRDefault="008A139C" w:rsidP="008A139C">
            <w:pPr>
              <w:autoSpaceDE/>
              <w:autoSpaceDN/>
              <w:adjustRightInd/>
              <w:jc w:val="center"/>
              <w:rPr>
                <w:rFonts w:eastAsia="Arial"/>
                <w:color w:val="000000"/>
                <w:sz w:val="20"/>
                <w:szCs w:val="22"/>
              </w:rPr>
            </w:pPr>
            <w:r w:rsidRPr="007C51D6">
              <w:rPr>
                <w:rFonts w:eastAsia="Arial"/>
                <w:color w:val="000000"/>
                <w:sz w:val="20"/>
                <w:szCs w:val="22"/>
              </w:rPr>
              <w:t>11,70</w:t>
            </w:r>
          </w:p>
        </w:tc>
        <w:tc>
          <w:tcPr>
            <w:tcW w:w="999" w:type="dxa"/>
          </w:tcPr>
          <w:p w:rsidR="008A139C" w:rsidRPr="007C51D6" w:rsidRDefault="008A139C" w:rsidP="008A139C">
            <w:pPr>
              <w:jc w:val="center"/>
              <w:rPr>
                <w:color w:val="000000"/>
                <w:sz w:val="20"/>
                <w:szCs w:val="20"/>
              </w:rPr>
            </w:pPr>
            <w:r w:rsidRPr="007C51D6">
              <w:rPr>
                <w:color w:val="000000"/>
                <w:sz w:val="20"/>
                <w:szCs w:val="20"/>
              </w:rPr>
              <w:t>11,82</w:t>
            </w:r>
          </w:p>
        </w:tc>
        <w:tc>
          <w:tcPr>
            <w:tcW w:w="887" w:type="dxa"/>
          </w:tcPr>
          <w:p w:rsidR="008A139C" w:rsidRPr="007C51D6" w:rsidRDefault="008A139C" w:rsidP="008A139C">
            <w:pPr>
              <w:jc w:val="center"/>
              <w:rPr>
                <w:color w:val="000000"/>
                <w:sz w:val="20"/>
                <w:szCs w:val="20"/>
              </w:rPr>
            </w:pPr>
            <w:r w:rsidRPr="007C51D6">
              <w:rPr>
                <w:color w:val="000000"/>
                <w:sz w:val="20"/>
                <w:szCs w:val="20"/>
              </w:rPr>
              <w:t>11,69</w:t>
            </w:r>
          </w:p>
        </w:tc>
        <w:tc>
          <w:tcPr>
            <w:tcW w:w="1285" w:type="dxa"/>
          </w:tcPr>
          <w:p w:rsidR="008A139C" w:rsidRPr="007C51D6" w:rsidRDefault="008A139C" w:rsidP="008A139C">
            <w:pPr>
              <w:jc w:val="center"/>
              <w:rPr>
                <w:color w:val="000000"/>
                <w:sz w:val="20"/>
                <w:szCs w:val="20"/>
              </w:rPr>
            </w:pPr>
            <w:r w:rsidRPr="007C51D6">
              <w:rPr>
                <w:color w:val="000000"/>
                <w:sz w:val="20"/>
                <w:szCs w:val="20"/>
              </w:rPr>
              <w:t>12,36</w:t>
            </w:r>
          </w:p>
        </w:tc>
        <w:tc>
          <w:tcPr>
            <w:tcW w:w="1285" w:type="dxa"/>
          </w:tcPr>
          <w:p w:rsidR="008A139C" w:rsidRPr="007C51D6" w:rsidRDefault="008A139C" w:rsidP="008A139C">
            <w:pPr>
              <w:jc w:val="center"/>
              <w:rPr>
                <w:sz w:val="20"/>
                <w:szCs w:val="20"/>
              </w:rPr>
            </w:pPr>
            <w:r w:rsidRPr="007C51D6">
              <w:rPr>
                <w:color w:val="000000"/>
                <w:sz w:val="20"/>
                <w:szCs w:val="20"/>
              </w:rPr>
              <w:t>нет данных</w:t>
            </w:r>
          </w:p>
        </w:tc>
      </w:tr>
      <w:tr w:rsidR="008A139C" w:rsidRPr="007C51D6" w:rsidTr="00827D9B">
        <w:trPr>
          <w:trHeight w:val="20"/>
        </w:trPr>
        <w:tc>
          <w:tcPr>
            <w:tcW w:w="4531" w:type="dxa"/>
            <w:shd w:val="clear" w:color="auto" w:fill="auto"/>
          </w:tcPr>
          <w:p w:rsidR="008A139C" w:rsidRPr="007C51D6" w:rsidRDefault="008A139C" w:rsidP="008A139C">
            <w:pPr>
              <w:autoSpaceDE/>
              <w:autoSpaceDN/>
              <w:adjustRightInd/>
              <w:jc w:val="both"/>
              <w:rPr>
                <w:rFonts w:eastAsia="Arial"/>
                <w:sz w:val="20"/>
                <w:szCs w:val="22"/>
              </w:rPr>
            </w:pPr>
            <w:r w:rsidRPr="007C51D6">
              <w:rPr>
                <w:rFonts w:eastAsia="Arial"/>
                <w:sz w:val="20"/>
                <w:szCs w:val="22"/>
              </w:rPr>
              <w:t>прямой кишки, ректосигмоидного соединения, ануса</w:t>
            </w:r>
          </w:p>
        </w:tc>
        <w:tc>
          <w:tcPr>
            <w:tcW w:w="1065" w:type="dxa"/>
            <w:shd w:val="clear" w:color="auto" w:fill="auto"/>
          </w:tcPr>
          <w:p w:rsidR="008A139C" w:rsidRPr="007C51D6" w:rsidRDefault="008A139C" w:rsidP="008A139C">
            <w:pPr>
              <w:autoSpaceDE/>
              <w:autoSpaceDN/>
              <w:adjustRightInd/>
              <w:jc w:val="center"/>
              <w:rPr>
                <w:color w:val="000000"/>
                <w:sz w:val="20"/>
                <w:szCs w:val="22"/>
              </w:rPr>
            </w:pPr>
            <w:r w:rsidRPr="007C51D6">
              <w:rPr>
                <w:color w:val="000000"/>
                <w:sz w:val="20"/>
                <w:szCs w:val="22"/>
              </w:rPr>
              <w:t>13,00</w:t>
            </w:r>
          </w:p>
        </w:tc>
        <w:tc>
          <w:tcPr>
            <w:tcW w:w="991" w:type="dxa"/>
            <w:shd w:val="clear" w:color="auto" w:fill="auto"/>
          </w:tcPr>
          <w:p w:rsidR="008A139C" w:rsidRPr="007C51D6" w:rsidRDefault="008A139C" w:rsidP="008A139C">
            <w:pPr>
              <w:autoSpaceDE/>
              <w:autoSpaceDN/>
              <w:adjustRightInd/>
              <w:jc w:val="center"/>
              <w:rPr>
                <w:color w:val="000000"/>
                <w:sz w:val="20"/>
                <w:szCs w:val="22"/>
              </w:rPr>
            </w:pPr>
            <w:r w:rsidRPr="007C51D6">
              <w:rPr>
                <w:color w:val="000000"/>
                <w:sz w:val="20"/>
                <w:szCs w:val="22"/>
              </w:rPr>
              <w:t>11,21</w:t>
            </w:r>
          </w:p>
        </w:tc>
        <w:tc>
          <w:tcPr>
            <w:tcW w:w="991" w:type="dxa"/>
            <w:shd w:val="clear" w:color="auto" w:fill="auto"/>
          </w:tcPr>
          <w:p w:rsidR="008A139C" w:rsidRPr="007C51D6" w:rsidRDefault="008A139C" w:rsidP="008A139C">
            <w:pPr>
              <w:autoSpaceDE/>
              <w:autoSpaceDN/>
              <w:adjustRightInd/>
              <w:jc w:val="center"/>
              <w:rPr>
                <w:color w:val="000000"/>
                <w:sz w:val="20"/>
                <w:szCs w:val="22"/>
              </w:rPr>
            </w:pPr>
            <w:r w:rsidRPr="007C51D6">
              <w:rPr>
                <w:color w:val="000000"/>
                <w:sz w:val="20"/>
                <w:szCs w:val="22"/>
              </w:rPr>
              <w:t>11,99</w:t>
            </w:r>
          </w:p>
        </w:tc>
        <w:tc>
          <w:tcPr>
            <w:tcW w:w="1060" w:type="dxa"/>
            <w:shd w:val="clear" w:color="auto" w:fill="auto"/>
          </w:tcPr>
          <w:p w:rsidR="008A139C" w:rsidRPr="007C51D6" w:rsidRDefault="008A139C" w:rsidP="008A139C">
            <w:pPr>
              <w:autoSpaceDE/>
              <w:autoSpaceDN/>
              <w:adjustRightInd/>
              <w:jc w:val="center"/>
              <w:rPr>
                <w:color w:val="000000"/>
                <w:sz w:val="20"/>
                <w:szCs w:val="22"/>
              </w:rPr>
            </w:pPr>
            <w:r w:rsidRPr="007C51D6">
              <w:rPr>
                <w:color w:val="000000"/>
                <w:sz w:val="20"/>
                <w:szCs w:val="22"/>
              </w:rPr>
              <w:t>12,31</w:t>
            </w:r>
          </w:p>
        </w:tc>
        <w:tc>
          <w:tcPr>
            <w:tcW w:w="991" w:type="dxa"/>
            <w:shd w:val="clear" w:color="auto" w:fill="auto"/>
          </w:tcPr>
          <w:p w:rsidR="008A139C" w:rsidRPr="007C51D6" w:rsidRDefault="008A139C" w:rsidP="008A139C">
            <w:pPr>
              <w:autoSpaceDE/>
              <w:autoSpaceDN/>
              <w:adjustRightInd/>
              <w:jc w:val="center"/>
              <w:rPr>
                <w:rFonts w:eastAsia="Arial"/>
                <w:color w:val="000000"/>
                <w:sz w:val="20"/>
                <w:szCs w:val="22"/>
              </w:rPr>
            </w:pPr>
            <w:r w:rsidRPr="007C51D6">
              <w:rPr>
                <w:rFonts w:eastAsia="Arial"/>
                <w:color w:val="000000"/>
                <w:sz w:val="20"/>
                <w:szCs w:val="22"/>
              </w:rPr>
              <w:t>10,20</w:t>
            </w:r>
          </w:p>
        </w:tc>
        <w:tc>
          <w:tcPr>
            <w:tcW w:w="945" w:type="dxa"/>
          </w:tcPr>
          <w:p w:rsidR="008A139C" w:rsidRPr="007C51D6" w:rsidRDefault="008A139C" w:rsidP="008A139C">
            <w:pPr>
              <w:autoSpaceDE/>
              <w:autoSpaceDN/>
              <w:adjustRightInd/>
              <w:jc w:val="center"/>
              <w:rPr>
                <w:rFonts w:eastAsia="Arial"/>
                <w:color w:val="000000"/>
                <w:sz w:val="20"/>
                <w:szCs w:val="22"/>
              </w:rPr>
            </w:pPr>
            <w:r w:rsidRPr="007C51D6">
              <w:rPr>
                <w:rFonts w:eastAsia="Arial"/>
                <w:color w:val="000000"/>
                <w:sz w:val="20"/>
                <w:szCs w:val="22"/>
              </w:rPr>
              <w:t>11,16</w:t>
            </w:r>
          </w:p>
        </w:tc>
        <w:tc>
          <w:tcPr>
            <w:tcW w:w="999" w:type="dxa"/>
          </w:tcPr>
          <w:p w:rsidR="008A139C" w:rsidRPr="007C51D6" w:rsidRDefault="008A139C" w:rsidP="008A139C">
            <w:pPr>
              <w:jc w:val="center"/>
              <w:rPr>
                <w:color w:val="000000"/>
                <w:sz w:val="20"/>
                <w:szCs w:val="20"/>
              </w:rPr>
            </w:pPr>
            <w:r w:rsidRPr="007C51D6">
              <w:rPr>
                <w:color w:val="000000"/>
                <w:sz w:val="20"/>
                <w:szCs w:val="20"/>
              </w:rPr>
              <w:t>10,27</w:t>
            </w:r>
          </w:p>
        </w:tc>
        <w:tc>
          <w:tcPr>
            <w:tcW w:w="887" w:type="dxa"/>
          </w:tcPr>
          <w:p w:rsidR="008A139C" w:rsidRPr="007C51D6" w:rsidRDefault="008A139C" w:rsidP="008A139C">
            <w:pPr>
              <w:jc w:val="center"/>
              <w:rPr>
                <w:color w:val="000000"/>
                <w:sz w:val="20"/>
                <w:szCs w:val="20"/>
              </w:rPr>
            </w:pPr>
            <w:r w:rsidRPr="007C51D6">
              <w:rPr>
                <w:color w:val="000000"/>
                <w:sz w:val="20"/>
                <w:szCs w:val="20"/>
              </w:rPr>
              <w:t>10,07</w:t>
            </w:r>
          </w:p>
        </w:tc>
        <w:tc>
          <w:tcPr>
            <w:tcW w:w="1285" w:type="dxa"/>
          </w:tcPr>
          <w:p w:rsidR="008A139C" w:rsidRPr="007C51D6" w:rsidRDefault="008A139C" w:rsidP="008A139C">
            <w:pPr>
              <w:jc w:val="center"/>
              <w:rPr>
                <w:color w:val="000000"/>
                <w:sz w:val="20"/>
                <w:szCs w:val="20"/>
              </w:rPr>
            </w:pPr>
            <w:r w:rsidRPr="007C51D6">
              <w:rPr>
                <w:color w:val="000000"/>
                <w:sz w:val="20"/>
                <w:szCs w:val="20"/>
              </w:rPr>
              <w:t>10,86</w:t>
            </w:r>
          </w:p>
        </w:tc>
        <w:tc>
          <w:tcPr>
            <w:tcW w:w="1285" w:type="dxa"/>
          </w:tcPr>
          <w:p w:rsidR="008A139C" w:rsidRPr="007C51D6" w:rsidRDefault="008A139C" w:rsidP="008A139C">
            <w:pPr>
              <w:jc w:val="center"/>
              <w:rPr>
                <w:sz w:val="20"/>
                <w:szCs w:val="20"/>
              </w:rPr>
            </w:pPr>
            <w:r w:rsidRPr="007C51D6">
              <w:rPr>
                <w:color w:val="000000"/>
                <w:sz w:val="20"/>
                <w:szCs w:val="20"/>
              </w:rPr>
              <w:t>нет данных</w:t>
            </w:r>
          </w:p>
        </w:tc>
      </w:tr>
      <w:tr w:rsidR="008A139C" w:rsidRPr="007C51D6" w:rsidTr="00827D9B">
        <w:trPr>
          <w:trHeight w:val="20"/>
        </w:trPr>
        <w:tc>
          <w:tcPr>
            <w:tcW w:w="4531" w:type="dxa"/>
            <w:shd w:val="clear" w:color="auto" w:fill="auto"/>
          </w:tcPr>
          <w:p w:rsidR="008A139C" w:rsidRPr="007C51D6" w:rsidRDefault="008A139C" w:rsidP="008A139C">
            <w:pPr>
              <w:autoSpaceDE/>
              <w:autoSpaceDN/>
              <w:adjustRightInd/>
              <w:jc w:val="both"/>
              <w:rPr>
                <w:rFonts w:eastAsia="Arial"/>
                <w:sz w:val="20"/>
                <w:szCs w:val="22"/>
              </w:rPr>
            </w:pPr>
            <w:r w:rsidRPr="007C51D6">
              <w:rPr>
                <w:rFonts w:eastAsia="Arial"/>
                <w:sz w:val="20"/>
                <w:szCs w:val="22"/>
              </w:rPr>
              <w:t>предстательной железы</w:t>
            </w:r>
          </w:p>
        </w:tc>
        <w:tc>
          <w:tcPr>
            <w:tcW w:w="1065" w:type="dxa"/>
            <w:shd w:val="clear" w:color="auto" w:fill="auto"/>
          </w:tcPr>
          <w:p w:rsidR="008A139C" w:rsidRPr="007C51D6" w:rsidRDefault="008A139C" w:rsidP="008A139C">
            <w:pPr>
              <w:autoSpaceDE/>
              <w:autoSpaceDN/>
              <w:adjustRightInd/>
              <w:jc w:val="center"/>
              <w:rPr>
                <w:rFonts w:eastAsia="Arial"/>
                <w:color w:val="000000"/>
                <w:sz w:val="20"/>
                <w:szCs w:val="22"/>
              </w:rPr>
            </w:pPr>
            <w:r w:rsidRPr="007C51D6">
              <w:rPr>
                <w:rFonts w:eastAsia="Arial"/>
                <w:color w:val="000000"/>
                <w:sz w:val="20"/>
                <w:szCs w:val="22"/>
              </w:rPr>
              <w:t>10,49</w:t>
            </w:r>
          </w:p>
        </w:tc>
        <w:tc>
          <w:tcPr>
            <w:tcW w:w="991" w:type="dxa"/>
            <w:shd w:val="clear" w:color="auto" w:fill="auto"/>
          </w:tcPr>
          <w:p w:rsidR="008A139C" w:rsidRPr="007C51D6" w:rsidRDefault="008A139C" w:rsidP="008A139C">
            <w:pPr>
              <w:autoSpaceDE/>
              <w:autoSpaceDN/>
              <w:adjustRightInd/>
              <w:jc w:val="center"/>
              <w:rPr>
                <w:rFonts w:eastAsia="Arial"/>
                <w:color w:val="000000"/>
                <w:sz w:val="20"/>
                <w:szCs w:val="22"/>
              </w:rPr>
            </w:pPr>
            <w:r w:rsidRPr="007C51D6">
              <w:rPr>
                <w:rFonts w:eastAsia="Arial"/>
                <w:color w:val="000000"/>
                <w:sz w:val="20"/>
                <w:szCs w:val="22"/>
              </w:rPr>
              <w:t>10,87</w:t>
            </w:r>
          </w:p>
        </w:tc>
        <w:tc>
          <w:tcPr>
            <w:tcW w:w="991" w:type="dxa"/>
            <w:shd w:val="clear" w:color="auto" w:fill="auto"/>
          </w:tcPr>
          <w:p w:rsidR="008A139C" w:rsidRPr="007C51D6" w:rsidRDefault="008A139C" w:rsidP="008A139C">
            <w:pPr>
              <w:autoSpaceDE/>
              <w:autoSpaceDN/>
              <w:adjustRightInd/>
              <w:jc w:val="center"/>
              <w:rPr>
                <w:rFonts w:eastAsia="Arial"/>
                <w:color w:val="000000"/>
                <w:sz w:val="20"/>
                <w:szCs w:val="22"/>
              </w:rPr>
            </w:pPr>
            <w:r w:rsidRPr="007C51D6">
              <w:rPr>
                <w:rFonts w:eastAsia="Arial"/>
                <w:color w:val="000000"/>
                <w:sz w:val="20"/>
                <w:szCs w:val="22"/>
              </w:rPr>
              <w:t>10,19</w:t>
            </w:r>
          </w:p>
        </w:tc>
        <w:tc>
          <w:tcPr>
            <w:tcW w:w="1060" w:type="dxa"/>
            <w:shd w:val="clear" w:color="auto" w:fill="auto"/>
          </w:tcPr>
          <w:p w:rsidR="008A139C" w:rsidRPr="007C51D6" w:rsidRDefault="008A139C" w:rsidP="008A139C">
            <w:pPr>
              <w:autoSpaceDE/>
              <w:autoSpaceDN/>
              <w:adjustRightInd/>
              <w:jc w:val="center"/>
              <w:rPr>
                <w:rFonts w:eastAsia="Arial"/>
                <w:color w:val="000000"/>
                <w:sz w:val="20"/>
                <w:szCs w:val="22"/>
              </w:rPr>
            </w:pPr>
            <w:r w:rsidRPr="007C51D6">
              <w:rPr>
                <w:rFonts w:eastAsia="Arial"/>
                <w:color w:val="000000"/>
                <w:sz w:val="20"/>
                <w:szCs w:val="22"/>
              </w:rPr>
              <w:t>10,07</w:t>
            </w:r>
          </w:p>
        </w:tc>
        <w:tc>
          <w:tcPr>
            <w:tcW w:w="991" w:type="dxa"/>
            <w:shd w:val="clear" w:color="auto" w:fill="auto"/>
          </w:tcPr>
          <w:p w:rsidR="008A139C" w:rsidRPr="007C51D6" w:rsidRDefault="008A139C" w:rsidP="008A139C">
            <w:pPr>
              <w:autoSpaceDE/>
              <w:autoSpaceDN/>
              <w:adjustRightInd/>
              <w:jc w:val="center"/>
              <w:rPr>
                <w:rFonts w:eastAsia="Arial"/>
                <w:color w:val="000000"/>
                <w:sz w:val="20"/>
                <w:szCs w:val="22"/>
              </w:rPr>
            </w:pPr>
            <w:r w:rsidRPr="007C51D6">
              <w:rPr>
                <w:rFonts w:eastAsia="Arial"/>
                <w:color w:val="000000"/>
                <w:sz w:val="20"/>
                <w:szCs w:val="22"/>
              </w:rPr>
              <w:t>9,43</w:t>
            </w:r>
          </w:p>
        </w:tc>
        <w:tc>
          <w:tcPr>
            <w:tcW w:w="945" w:type="dxa"/>
          </w:tcPr>
          <w:p w:rsidR="008A139C" w:rsidRPr="007C51D6" w:rsidRDefault="008A139C" w:rsidP="008A139C">
            <w:pPr>
              <w:autoSpaceDE/>
              <w:autoSpaceDN/>
              <w:adjustRightInd/>
              <w:jc w:val="center"/>
              <w:rPr>
                <w:rFonts w:eastAsia="Arial"/>
                <w:color w:val="000000"/>
                <w:sz w:val="20"/>
                <w:szCs w:val="22"/>
              </w:rPr>
            </w:pPr>
            <w:r w:rsidRPr="007C51D6">
              <w:rPr>
                <w:rFonts w:eastAsia="Arial"/>
                <w:color w:val="000000"/>
                <w:sz w:val="20"/>
                <w:szCs w:val="22"/>
              </w:rPr>
              <w:t>9,15</w:t>
            </w:r>
          </w:p>
        </w:tc>
        <w:tc>
          <w:tcPr>
            <w:tcW w:w="999" w:type="dxa"/>
          </w:tcPr>
          <w:p w:rsidR="008A139C" w:rsidRPr="007C51D6" w:rsidRDefault="008A139C" w:rsidP="008A139C">
            <w:pPr>
              <w:jc w:val="center"/>
              <w:rPr>
                <w:color w:val="000000"/>
                <w:sz w:val="20"/>
                <w:szCs w:val="20"/>
              </w:rPr>
            </w:pPr>
            <w:r w:rsidRPr="007C51D6">
              <w:rPr>
                <w:color w:val="000000"/>
                <w:sz w:val="20"/>
                <w:szCs w:val="20"/>
              </w:rPr>
              <w:t>8,94</w:t>
            </w:r>
          </w:p>
        </w:tc>
        <w:tc>
          <w:tcPr>
            <w:tcW w:w="887" w:type="dxa"/>
          </w:tcPr>
          <w:p w:rsidR="008A139C" w:rsidRPr="007C51D6" w:rsidRDefault="008A139C" w:rsidP="008A139C">
            <w:pPr>
              <w:jc w:val="center"/>
              <w:rPr>
                <w:color w:val="000000"/>
                <w:sz w:val="20"/>
                <w:szCs w:val="20"/>
              </w:rPr>
            </w:pPr>
            <w:r w:rsidRPr="007C51D6">
              <w:rPr>
                <w:color w:val="000000"/>
                <w:sz w:val="20"/>
                <w:szCs w:val="20"/>
              </w:rPr>
              <w:t>8,27</w:t>
            </w:r>
          </w:p>
        </w:tc>
        <w:tc>
          <w:tcPr>
            <w:tcW w:w="1285" w:type="dxa"/>
          </w:tcPr>
          <w:p w:rsidR="008A139C" w:rsidRPr="007C51D6" w:rsidRDefault="008A139C" w:rsidP="008A139C">
            <w:pPr>
              <w:jc w:val="center"/>
              <w:rPr>
                <w:color w:val="000000"/>
                <w:sz w:val="20"/>
                <w:szCs w:val="20"/>
              </w:rPr>
            </w:pPr>
            <w:r w:rsidRPr="007C51D6">
              <w:rPr>
                <w:color w:val="000000"/>
                <w:sz w:val="20"/>
                <w:szCs w:val="20"/>
              </w:rPr>
              <w:t>9,05</w:t>
            </w:r>
          </w:p>
        </w:tc>
        <w:tc>
          <w:tcPr>
            <w:tcW w:w="1285" w:type="dxa"/>
          </w:tcPr>
          <w:p w:rsidR="008A139C" w:rsidRPr="007C51D6" w:rsidRDefault="008A139C" w:rsidP="008A139C">
            <w:pPr>
              <w:jc w:val="center"/>
              <w:rPr>
                <w:sz w:val="20"/>
                <w:szCs w:val="20"/>
              </w:rPr>
            </w:pPr>
            <w:r w:rsidRPr="007C51D6">
              <w:rPr>
                <w:color w:val="000000"/>
                <w:sz w:val="20"/>
                <w:szCs w:val="20"/>
              </w:rPr>
              <w:t>нет данных</w:t>
            </w:r>
          </w:p>
        </w:tc>
      </w:tr>
      <w:tr w:rsidR="008A139C" w:rsidRPr="007C51D6" w:rsidTr="00827D9B">
        <w:trPr>
          <w:trHeight w:val="20"/>
        </w:trPr>
        <w:tc>
          <w:tcPr>
            <w:tcW w:w="4531" w:type="dxa"/>
            <w:shd w:val="clear" w:color="auto" w:fill="auto"/>
          </w:tcPr>
          <w:p w:rsidR="008A139C" w:rsidRPr="007C51D6" w:rsidRDefault="008A139C" w:rsidP="008A139C">
            <w:pPr>
              <w:autoSpaceDE/>
              <w:autoSpaceDN/>
              <w:adjustRightInd/>
              <w:jc w:val="both"/>
              <w:rPr>
                <w:rFonts w:eastAsia="Arial"/>
                <w:sz w:val="20"/>
                <w:szCs w:val="22"/>
              </w:rPr>
            </w:pPr>
            <w:r w:rsidRPr="007C51D6">
              <w:rPr>
                <w:rFonts w:eastAsia="Arial"/>
                <w:sz w:val="20"/>
                <w:szCs w:val="22"/>
              </w:rPr>
              <w:t>губы, полости рта и глотки</w:t>
            </w:r>
          </w:p>
        </w:tc>
        <w:tc>
          <w:tcPr>
            <w:tcW w:w="1065" w:type="dxa"/>
            <w:shd w:val="clear" w:color="auto" w:fill="auto"/>
          </w:tcPr>
          <w:p w:rsidR="008A139C" w:rsidRPr="007C51D6" w:rsidRDefault="008A139C" w:rsidP="008A139C">
            <w:pPr>
              <w:autoSpaceDE/>
              <w:autoSpaceDN/>
              <w:adjustRightInd/>
              <w:jc w:val="center"/>
              <w:rPr>
                <w:color w:val="000000"/>
                <w:sz w:val="20"/>
                <w:szCs w:val="22"/>
              </w:rPr>
            </w:pPr>
            <w:r w:rsidRPr="007C51D6">
              <w:rPr>
                <w:color w:val="000000"/>
                <w:sz w:val="20"/>
                <w:szCs w:val="22"/>
              </w:rPr>
              <w:t>6,84</w:t>
            </w:r>
          </w:p>
        </w:tc>
        <w:tc>
          <w:tcPr>
            <w:tcW w:w="991" w:type="dxa"/>
            <w:shd w:val="clear" w:color="auto" w:fill="auto"/>
          </w:tcPr>
          <w:p w:rsidR="008A139C" w:rsidRPr="007C51D6" w:rsidRDefault="008A139C" w:rsidP="008A139C">
            <w:pPr>
              <w:autoSpaceDE/>
              <w:autoSpaceDN/>
              <w:adjustRightInd/>
              <w:jc w:val="center"/>
              <w:rPr>
                <w:color w:val="000000"/>
                <w:sz w:val="20"/>
                <w:szCs w:val="22"/>
              </w:rPr>
            </w:pPr>
            <w:r w:rsidRPr="007C51D6">
              <w:rPr>
                <w:color w:val="000000"/>
                <w:sz w:val="20"/>
                <w:szCs w:val="22"/>
              </w:rPr>
              <w:t>6,71</w:t>
            </w:r>
          </w:p>
        </w:tc>
        <w:tc>
          <w:tcPr>
            <w:tcW w:w="991" w:type="dxa"/>
            <w:shd w:val="clear" w:color="auto" w:fill="auto"/>
          </w:tcPr>
          <w:p w:rsidR="008A139C" w:rsidRPr="007C51D6" w:rsidRDefault="008A139C" w:rsidP="008A139C">
            <w:pPr>
              <w:autoSpaceDE/>
              <w:autoSpaceDN/>
              <w:adjustRightInd/>
              <w:jc w:val="center"/>
              <w:rPr>
                <w:color w:val="000000"/>
                <w:sz w:val="20"/>
                <w:szCs w:val="22"/>
              </w:rPr>
            </w:pPr>
            <w:r w:rsidRPr="007C51D6">
              <w:rPr>
                <w:color w:val="000000"/>
                <w:sz w:val="20"/>
                <w:szCs w:val="22"/>
              </w:rPr>
              <w:t>6,62</w:t>
            </w:r>
          </w:p>
        </w:tc>
        <w:tc>
          <w:tcPr>
            <w:tcW w:w="1060" w:type="dxa"/>
            <w:shd w:val="clear" w:color="auto" w:fill="auto"/>
          </w:tcPr>
          <w:p w:rsidR="008A139C" w:rsidRPr="007C51D6" w:rsidRDefault="008A139C" w:rsidP="008A139C">
            <w:pPr>
              <w:autoSpaceDE/>
              <w:autoSpaceDN/>
              <w:adjustRightInd/>
              <w:jc w:val="center"/>
              <w:rPr>
                <w:color w:val="000000"/>
                <w:sz w:val="20"/>
                <w:szCs w:val="22"/>
              </w:rPr>
            </w:pPr>
            <w:r w:rsidRPr="007C51D6">
              <w:rPr>
                <w:color w:val="000000"/>
                <w:sz w:val="20"/>
                <w:szCs w:val="22"/>
              </w:rPr>
              <w:t>6,49</w:t>
            </w:r>
          </w:p>
        </w:tc>
        <w:tc>
          <w:tcPr>
            <w:tcW w:w="991" w:type="dxa"/>
            <w:shd w:val="clear" w:color="auto" w:fill="auto"/>
          </w:tcPr>
          <w:p w:rsidR="008A139C" w:rsidRPr="007C51D6" w:rsidRDefault="008A139C" w:rsidP="008A139C">
            <w:pPr>
              <w:autoSpaceDE/>
              <w:autoSpaceDN/>
              <w:adjustRightInd/>
              <w:jc w:val="center"/>
              <w:rPr>
                <w:rFonts w:eastAsia="Arial"/>
                <w:color w:val="000000"/>
                <w:sz w:val="20"/>
                <w:szCs w:val="22"/>
              </w:rPr>
            </w:pPr>
            <w:r w:rsidRPr="007C51D6">
              <w:rPr>
                <w:rFonts w:eastAsia="Arial"/>
                <w:color w:val="000000"/>
                <w:sz w:val="20"/>
                <w:szCs w:val="22"/>
              </w:rPr>
              <w:t>6,15</w:t>
            </w:r>
          </w:p>
        </w:tc>
        <w:tc>
          <w:tcPr>
            <w:tcW w:w="945" w:type="dxa"/>
          </w:tcPr>
          <w:p w:rsidR="008A139C" w:rsidRPr="007C51D6" w:rsidRDefault="008A139C" w:rsidP="008A139C">
            <w:pPr>
              <w:autoSpaceDE/>
              <w:autoSpaceDN/>
              <w:adjustRightInd/>
              <w:jc w:val="center"/>
              <w:rPr>
                <w:rFonts w:eastAsia="Arial"/>
                <w:color w:val="000000"/>
                <w:sz w:val="20"/>
                <w:szCs w:val="22"/>
              </w:rPr>
            </w:pPr>
            <w:r w:rsidRPr="007C51D6">
              <w:rPr>
                <w:rFonts w:eastAsia="Arial"/>
                <w:color w:val="000000"/>
                <w:sz w:val="20"/>
                <w:szCs w:val="22"/>
              </w:rPr>
              <w:t>5,89</w:t>
            </w:r>
          </w:p>
        </w:tc>
        <w:tc>
          <w:tcPr>
            <w:tcW w:w="999" w:type="dxa"/>
          </w:tcPr>
          <w:p w:rsidR="008A139C" w:rsidRPr="007C51D6" w:rsidRDefault="008A139C" w:rsidP="008A139C">
            <w:pPr>
              <w:jc w:val="center"/>
              <w:rPr>
                <w:color w:val="000000"/>
                <w:sz w:val="20"/>
                <w:szCs w:val="20"/>
              </w:rPr>
            </w:pPr>
            <w:r w:rsidRPr="007C51D6">
              <w:rPr>
                <w:color w:val="000000"/>
                <w:sz w:val="20"/>
                <w:szCs w:val="20"/>
              </w:rPr>
              <w:t>5,70</w:t>
            </w:r>
          </w:p>
        </w:tc>
        <w:tc>
          <w:tcPr>
            <w:tcW w:w="887" w:type="dxa"/>
          </w:tcPr>
          <w:p w:rsidR="008A139C" w:rsidRPr="007C51D6" w:rsidRDefault="008A139C" w:rsidP="008A139C">
            <w:pPr>
              <w:jc w:val="center"/>
              <w:rPr>
                <w:color w:val="000000"/>
                <w:sz w:val="20"/>
                <w:szCs w:val="20"/>
              </w:rPr>
            </w:pPr>
            <w:r w:rsidRPr="007C51D6">
              <w:rPr>
                <w:color w:val="000000"/>
                <w:sz w:val="20"/>
                <w:szCs w:val="20"/>
              </w:rPr>
              <w:t>6,02</w:t>
            </w:r>
          </w:p>
        </w:tc>
        <w:tc>
          <w:tcPr>
            <w:tcW w:w="1285" w:type="dxa"/>
          </w:tcPr>
          <w:p w:rsidR="008A139C" w:rsidRPr="007C51D6" w:rsidRDefault="008A139C" w:rsidP="008A139C">
            <w:pPr>
              <w:jc w:val="center"/>
              <w:rPr>
                <w:color w:val="000000"/>
                <w:sz w:val="20"/>
                <w:szCs w:val="20"/>
              </w:rPr>
            </w:pPr>
            <w:r w:rsidRPr="007C51D6">
              <w:rPr>
                <w:color w:val="000000"/>
                <w:sz w:val="20"/>
                <w:szCs w:val="20"/>
              </w:rPr>
              <w:t>5,63</w:t>
            </w:r>
          </w:p>
        </w:tc>
        <w:tc>
          <w:tcPr>
            <w:tcW w:w="1285" w:type="dxa"/>
          </w:tcPr>
          <w:p w:rsidR="008A139C" w:rsidRPr="007C51D6" w:rsidRDefault="008A139C" w:rsidP="008A139C">
            <w:pPr>
              <w:jc w:val="center"/>
            </w:pPr>
            <w:r w:rsidRPr="007C51D6">
              <w:rPr>
                <w:color w:val="000000"/>
                <w:sz w:val="20"/>
                <w:szCs w:val="20"/>
              </w:rPr>
              <w:t>нет данных</w:t>
            </w:r>
          </w:p>
        </w:tc>
      </w:tr>
      <w:tr w:rsidR="008A139C" w:rsidRPr="007C51D6" w:rsidTr="00827D9B">
        <w:trPr>
          <w:trHeight w:val="20"/>
        </w:trPr>
        <w:tc>
          <w:tcPr>
            <w:tcW w:w="4531" w:type="dxa"/>
            <w:shd w:val="clear" w:color="auto" w:fill="auto"/>
          </w:tcPr>
          <w:p w:rsidR="008A139C" w:rsidRPr="007C51D6" w:rsidRDefault="008A139C" w:rsidP="008A139C">
            <w:pPr>
              <w:autoSpaceDE/>
              <w:autoSpaceDN/>
              <w:adjustRightInd/>
              <w:jc w:val="both"/>
              <w:rPr>
                <w:rFonts w:eastAsia="Arial"/>
                <w:sz w:val="20"/>
                <w:szCs w:val="22"/>
              </w:rPr>
            </w:pPr>
            <w:r w:rsidRPr="007C51D6">
              <w:rPr>
                <w:rFonts w:eastAsia="Arial"/>
                <w:sz w:val="20"/>
                <w:szCs w:val="22"/>
              </w:rPr>
              <w:t>лейкемия</w:t>
            </w:r>
          </w:p>
        </w:tc>
        <w:tc>
          <w:tcPr>
            <w:tcW w:w="1065" w:type="dxa"/>
            <w:shd w:val="clear" w:color="auto" w:fill="auto"/>
          </w:tcPr>
          <w:p w:rsidR="008A139C" w:rsidRPr="007C51D6" w:rsidRDefault="008A139C" w:rsidP="008A139C">
            <w:pPr>
              <w:autoSpaceDE/>
              <w:autoSpaceDN/>
              <w:adjustRightInd/>
              <w:jc w:val="center"/>
              <w:rPr>
                <w:color w:val="000000"/>
                <w:sz w:val="20"/>
                <w:szCs w:val="22"/>
              </w:rPr>
            </w:pPr>
            <w:r w:rsidRPr="007C51D6">
              <w:rPr>
                <w:color w:val="000000"/>
                <w:sz w:val="20"/>
                <w:szCs w:val="22"/>
              </w:rPr>
              <w:t>5,57</w:t>
            </w:r>
          </w:p>
        </w:tc>
        <w:tc>
          <w:tcPr>
            <w:tcW w:w="991" w:type="dxa"/>
            <w:shd w:val="clear" w:color="auto" w:fill="auto"/>
          </w:tcPr>
          <w:p w:rsidR="008A139C" w:rsidRPr="007C51D6" w:rsidRDefault="008A139C" w:rsidP="008A139C">
            <w:pPr>
              <w:autoSpaceDE/>
              <w:autoSpaceDN/>
              <w:adjustRightInd/>
              <w:jc w:val="center"/>
              <w:rPr>
                <w:color w:val="000000"/>
                <w:sz w:val="20"/>
                <w:szCs w:val="22"/>
              </w:rPr>
            </w:pPr>
            <w:r w:rsidRPr="007C51D6">
              <w:rPr>
                <w:color w:val="000000"/>
                <w:sz w:val="20"/>
                <w:szCs w:val="22"/>
              </w:rPr>
              <w:t>4,70</w:t>
            </w:r>
          </w:p>
        </w:tc>
        <w:tc>
          <w:tcPr>
            <w:tcW w:w="991" w:type="dxa"/>
            <w:shd w:val="clear" w:color="auto" w:fill="auto"/>
          </w:tcPr>
          <w:p w:rsidR="008A139C" w:rsidRPr="007C51D6" w:rsidRDefault="008A139C" w:rsidP="008A139C">
            <w:pPr>
              <w:autoSpaceDE/>
              <w:autoSpaceDN/>
              <w:adjustRightInd/>
              <w:jc w:val="center"/>
              <w:rPr>
                <w:color w:val="000000"/>
                <w:sz w:val="20"/>
                <w:szCs w:val="22"/>
              </w:rPr>
            </w:pPr>
            <w:r w:rsidRPr="007C51D6">
              <w:rPr>
                <w:color w:val="000000"/>
                <w:sz w:val="20"/>
                <w:szCs w:val="22"/>
              </w:rPr>
              <w:t>5,65</w:t>
            </w:r>
          </w:p>
        </w:tc>
        <w:tc>
          <w:tcPr>
            <w:tcW w:w="1060" w:type="dxa"/>
            <w:shd w:val="clear" w:color="auto" w:fill="auto"/>
          </w:tcPr>
          <w:p w:rsidR="008A139C" w:rsidRPr="007C51D6" w:rsidRDefault="008A139C" w:rsidP="008A139C">
            <w:pPr>
              <w:autoSpaceDE/>
              <w:autoSpaceDN/>
              <w:adjustRightInd/>
              <w:jc w:val="center"/>
              <w:rPr>
                <w:color w:val="000000"/>
                <w:sz w:val="20"/>
                <w:szCs w:val="22"/>
              </w:rPr>
            </w:pPr>
            <w:r w:rsidRPr="007C51D6">
              <w:rPr>
                <w:color w:val="000000"/>
                <w:sz w:val="20"/>
                <w:szCs w:val="22"/>
              </w:rPr>
              <w:t>5,26</w:t>
            </w:r>
          </w:p>
        </w:tc>
        <w:tc>
          <w:tcPr>
            <w:tcW w:w="991" w:type="dxa"/>
            <w:shd w:val="clear" w:color="auto" w:fill="auto"/>
          </w:tcPr>
          <w:p w:rsidR="008A139C" w:rsidRPr="007C51D6" w:rsidRDefault="008A139C" w:rsidP="008A139C">
            <w:pPr>
              <w:autoSpaceDE/>
              <w:autoSpaceDN/>
              <w:adjustRightInd/>
              <w:jc w:val="center"/>
              <w:rPr>
                <w:rFonts w:eastAsia="Arial"/>
                <w:color w:val="000000"/>
                <w:sz w:val="20"/>
                <w:szCs w:val="22"/>
              </w:rPr>
            </w:pPr>
            <w:r w:rsidRPr="007C51D6">
              <w:rPr>
                <w:rFonts w:eastAsia="Arial"/>
                <w:color w:val="000000"/>
                <w:sz w:val="20"/>
                <w:szCs w:val="22"/>
              </w:rPr>
              <w:t>5,64</w:t>
            </w:r>
          </w:p>
        </w:tc>
        <w:tc>
          <w:tcPr>
            <w:tcW w:w="945" w:type="dxa"/>
          </w:tcPr>
          <w:p w:rsidR="008A139C" w:rsidRPr="007C51D6" w:rsidRDefault="008A139C" w:rsidP="008A139C">
            <w:pPr>
              <w:autoSpaceDE/>
              <w:autoSpaceDN/>
              <w:adjustRightInd/>
              <w:jc w:val="center"/>
              <w:rPr>
                <w:rFonts w:eastAsia="Arial"/>
                <w:color w:val="000000"/>
                <w:sz w:val="20"/>
                <w:szCs w:val="22"/>
              </w:rPr>
            </w:pPr>
            <w:r w:rsidRPr="007C51D6">
              <w:rPr>
                <w:rFonts w:eastAsia="Arial"/>
                <w:color w:val="000000"/>
                <w:sz w:val="20"/>
                <w:szCs w:val="22"/>
              </w:rPr>
              <w:t>4,99</w:t>
            </w:r>
          </w:p>
        </w:tc>
        <w:tc>
          <w:tcPr>
            <w:tcW w:w="999" w:type="dxa"/>
          </w:tcPr>
          <w:p w:rsidR="008A139C" w:rsidRPr="007C51D6" w:rsidRDefault="008A139C" w:rsidP="008A139C">
            <w:pPr>
              <w:jc w:val="center"/>
              <w:rPr>
                <w:color w:val="000000"/>
                <w:sz w:val="20"/>
                <w:szCs w:val="20"/>
              </w:rPr>
            </w:pPr>
            <w:r w:rsidRPr="007C51D6">
              <w:rPr>
                <w:color w:val="000000"/>
                <w:sz w:val="20"/>
                <w:szCs w:val="20"/>
              </w:rPr>
              <w:t>3,97</w:t>
            </w:r>
          </w:p>
        </w:tc>
        <w:tc>
          <w:tcPr>
            <w:tcW w:w="887" w:type="dxa"/>
          </w:tcPr>
          <w:p w:rsidR="008A139C" w:rsidRPr="007C51D6" w:rsidRDefault="008A139C" w:rsidP="008A139C">
            <w:pPr>
              <w:jc w:val="center"/>
              <w:rPr>
                <w:color w:val="000000"/>
                <w:sz w:val="20"/>
                <w:szCs w:val="20"/>
              </w:rPr>
            </w:pPr>
            <w:r w:rsidRPr="007C51D6">
              <w:rPr>
                <w:color w:val="000000"/>
                <w:sz w:val="20"/>
                <w:szCs w:val="20"/>
              </w:rPr>
              <w:t>2,75</w:t>
            </w:r>
          </w:p>
        </w:tc>
        <w:tc>
          <w:tcPr>
            <w:tcW w:w="1285" w:type="dxa"/>
          </w:tcPr>
          <w:p w:rsidR="008A139C" w:rsidRPr="007C51D6" w:rsidRDefault="008A139C" w:rsidP="008A139C">
            <w:pPr>
              <w:jc w:val="center"/>
              <w:rPr>
                <w:color w:val="000000"/>
                <w:sz w:val="20"/>
                <w:szCs w:val="20"/>
              </w:rPr>
            </w:pPr>
            <w:r w:rsidRPr="007C51D6">
              <w:rPr>
                <w:color w:val="000000"/>
                <w:sz w:val="20"/>
                <w:szCs w:val="20"/>
              </w:rPr>
              <w:t>3,30</w:t>
            </w:r>
          </w:p>
        </w:tc>
        <w:tc>
          <w:tcPr>
            <w:tcW w:w="1285" w:type="dxa"/>
          </w:tcPr>
          <w:p w:rsidR="008A139C" w:rsidRPr="007C51D6" w:rsidRDefault="008A139C" w:rsidP="008A139C">
            <w:pPr>
              <w:jc w:val="center"/>
            </w:pPr>
            <w:r w:rsidRPr="007C51D6">
              <w:rPr>
                <w:color w:val="000000"/>
                <w:sz w:val="20"/>
                <w:szCs w:val="20"/>
              </w:rPr>
              <w:t>нет данных</w:t>
            </w:r>
          </w:p>
        </w:tc>
      </w:tr>
      <w:tr w:rsidR="008A139C" w:rsidRPr="007C51D6" w:rsidTr="00827D9B">
        <w:trPr>
          <w:trHeight w:val="20"/>
        </w:trPr>
        <w:tc>
          <w:tcPr>
            <w:tcW w:w="4531" w:type="dxa"/>
            <w:shd w:val="clear" w:color="auto" w:fill="auto"/>
          </w:tcPr>
          <w:p w:rsidR="008A139C" w:rsidRPr="007C51D6" w:rsidRDefault="008A139C" w:rsidP="008A139C">
            <w:pPr>
              <w:autoSpaceDE/>
              <w:autoSpaceDN/>
              <w:adjustRightInd/>
              <w:jc w:val="both"/>
              <w:rPr>
                <w:rFonts w:eastAsia="Arial"/>
                <w:sz w:val="20"/>
                <w:szCs w:val="22"/>
              </w:rPr>
            </w:pPr>
            <w:r w:rsidRPr="007C51D6">
              <w:rPr>
                <w:rFonts w:eastAsia="Arial"/>
                <w:sz w:val="20"/>
                <w:szCs w:val="22"/>
              </w:rPr>
              <w:t>почки</w:t>
            </w:r>
          </w:p>
        </w:tc>
        <w:tc>
          <w:tcPr>
            <w:tcW w:w="1065" w:type="dxa"/>
            <w:shd w:val="clear" w:color="auto" w:fill="auto"/>
          </w:tcPr>
          <w:p w:rsidR="008A139C" w:rsidRPr="007C51D6" w:rsidRDefault="008A139C" w:rsidP="008A139C">
            <w:pPr>
              <w:autoSpaceDE/>
              <w:autoSpaceDN/>
              <w:adjustRightInd/>
              <w:jc w:val="center"/>
              <w:rPr>
                <w:color w:val="000000"/>
                <w:sz w:val="20"/>
                <w:szCs w:val="22"/>
              </w:rPr>
            </w:pPr>
            <w:r w:rsidRPr="007C51D6">
              <w:rPr>
                <w:color w:val="000000"/>
                <w:sz w:val="20"/>
                <w:szCs w:val="22"/>
              </w:rPr>
              <w:t>5,73</w:t>
            </w:r>
          </w:p>
        </w:tc>
        <w:tc>
          <w:tcPr>
            <w:tcW w:w="991" w:type="dxa"/>
            <w:shd w:val="clear" w:color="auto" w:fill="auto"/>
          </w:tcPr>
          <w:p w:rsidR="008A139C" w:rsidRPr="007C51D6" w:rsidRDefault="008A139C" w:rsidP="008A139C">
            <w:pPr>
              <w:autoSpaceDE/>
              <w:autoSpaceDN/>
              <w:adjustRightInd/>
              <w:jc w:val="center"/>
              <w:rPr>
                <w:color w:val="000000"/>
                <w:sz w:val="20"/>
                <w:szCs w:val="22"/>
              </w:rPr>
            </w:pPr>
            <w:r w:rsidRPr="007C51D6">
              <w:rPr>
                <w:color w:val="000000"/>
                <w:sz w:val="20"/>
                <w:szCs w:val="22"/>
              </w:rPr>
              <w:t>5,40</w:t>
            </w:r>
          </w:p>
        </w:tc>
        <w:tc>
          <w:tcPr>
            <w:tcW w:w="991" w:type="dxa"/>
            <w:shd w:val="clear" w:color="auto" w:fill="auto"/>
          </w:tcPr>
          <w:p w:rsidR="008A139C" w:rsidRPr="007C51D6" w:rsidRDefault="008A139C" w:rsidP="008A139C">
            <w:pPr>
              <w:autoSpaceDE/>
              <w:autoSpaceDN/>
              <w:adjustRightInd/>
              <w:jc w:val="center"/>
              <w:rPr>
                <w:color w:val="000000"/>
                <w:sz w:val="20"/>
                <w:szCs w:val="22"/>
              </w:rPr>
            </w:pPr>
            <w:r w:rsidRPr="007C51D6">
              <w:rPr>
                <w:color w:val="000000"/>
                <w:sz w:val="20"/>
                <w:szCs w:val="22"/>
              </w:rPr>
              <w:t>5,93</w:t>
            </w:r>
          </w:p>
        </w:tc>
        <w:tc>
          <w:tcPr>
            <w:tcW w:w="1060" w:type="dxa"/>
            <w:shd w:val="clear" w:color="auto" w:fill="auto"/>
          </w:tcPr>
          <w:p w:rsidR="008A139C" w:rsidRPr="007C51D6" w:rsidRDefault="008A139C" w:rsidP="008A139C">
            <w:pPr>
              <w:autoSpaceDE/>
              <w:autoSpaceDN/>
              <w:adjustRightInd/>
              <w:jc w:val="center"/>
              <w:rPr>
                <w:color w:val="000000"/>
                <w:sz w:val="20"/>
                <w:szCs w:val="22"/>
              </w:rPr>
            </w:pPr>
            <w:r w:rsidRPr="007C51D6">
              <w:rPr>
                <w:color w:val="000000"/>
                <w:sz w:val="20"/>
                <w:szCs w:val="22"/>
              </w:rPr>
              <w:t>5,87</w:t>
            </w:r>
          </w:p>
        </w:tc>
        <w:tc>
          <w:tcPr>
            <w:tcW w:w="991" w:type="dxa"/>
            <w:shd w:val="clear" w:color="auto" w:fill="auto"/>
          </w:tcPr>
          <w:p w:rsidR="008A139C" w:rsidRPr="007C51D6" w:rsidRDefault="008A139C" w:rsidP="008A139C">
            <w:pPr>
              <w:autoSpaceDE/>
              <w:autoSpaceDN/>
              <w:adjustRightInd/>
              <w:jc w:val="center"/>
              <w:rPr>
                <w:rFonts w:eastAsia="Arial"/>
                <w:color w:val="000000"/>
                <w:sz w:val="20"/>
                <w:szCs w:val="22"/>
              </w:rPr>
            </w:pPr>
            <w:r w:rsidRPr="007C51D6">
              <w:rPr>
                <w:rFonts w:eastAsia="Arial"/>
                <w:color w:val="000000"/>
                <w:sz w:val="20"/>
                <w:szCs w:val="22"/>
              </w:rPr>
              <w:t>5,43</w:t>
            </w:r>
          </w:p>
        </w:tc>
        <w:tc>
          <w:tcPr>
            <w:tcW w:w="945" w:type="dxa"/>
          </w:tcPr>
          <w:p w:rsidR="008A139C" w:rsidRPr="007C51D6" w:rsidRDefault="008A139C" w:rsidP="008A139C">
            <w:pPr>
              <w:autoSpaceDE/>
              <w:autoSpaceDN/>
              <w:adjustRightInd/>
              <w:jc w:val="center"/>
              <w:rPr>
                <w:rFonts w:eastAsia="Arial"/>
                <w:color w:val="000000"/>
                <w:sz w:val="20"/>
                <w:szCs w:val="22"/>
              </w:rPr>
            </w:pPr>
            <w:r w:rsidRPr="007C51D6">
              <w:rPr>
                <w:rFonts w:eastAsia="Arial"/>
                <w:color w:val="000000"/>
                <w:sz w:val="20"/>
                <w:szCs w:val="22"/>
              </w:rPr>
              <w:t>5,06</w:t>
            </w:r>
          </w:p>
        </w:tc>
        <w:tc>
          <w:tcPr>
            <w:tcW w:w="999" w:type="dxa"/>
          </w:tcPr>
          <w:p w:rsidR="008A139C" w:rsidRPr="007C51D6" w:rsidRDefault="008A139C" w:rsidP="008A139C">
            <w:pPr>
              <w:jc w:val="center"/>
              <w:rPr>
                <w:color w:val="000000"/>
                <w:sz w:val="20"/>
                <w:szCs w:val="20"/>
              </w:rPr>
            </w:pPr>
            <w:r w:rsidRPr="007C51D6">
              <w:rPr>
                <w:color w:val="000000"/>
                <w:sz w:val="20"/>
                <w:szCs w:val="20"/>
              </w:rPr>
              <w:t>5,20</w:t>
            </w:r>
          </w:p>
        </w:tc>
        <w:tc>
          <w:tcPr>
            <w:tcW w:w="887" w:type="dxa"/>
          </w:tcPr>
          <w:p w:rsidR="008A139C" w:rsidRPr="007C51D6" w:rsidRDefault="008A139C" w:rsidP="008A139C">
            <w:pPr>
              <w:jc w:val="center"/>
              <w:rPr>
                <w:color w:val="000000"/>
                <w:sz w:val="20"/>
                <w:szCs w:val="20"/>
                <w:lang w:val="en-US"/>
              </w:rPr>
            </w:pPr>
            <w:r w:rsidRPr="007C51D6">
              <w:rPr>
                <w:color w:val="000000"/>
                <w:sz w:val="20"/>
                <w:szCs w:val="20"/>
              </w:rPr>
              <w:t>4,95</w:t>
            </w:r>
          </w:p>
        </w:tc>
        <w:tc>
          <w:tcPr>
            <w:tcW w:w="1285" w:type="dxa"/>
          </w:tcPr>
          <w:p w:rsidR="008A139C" w:rsidRPr="007C51D6" w:rsidRDefault="008A139C" w:rsidP="008A139C">
            <w:pPr>
              <w:jc w:val="center"/>
              <w:rPr>
                <w:color w:val="000000"/>
                <w:sz w:val="20"/>
                <w:szCs w:val="20"/>
              </w:rPr>
            </w:pPr>
            <w:r w:rsidRPr="007C51D6">
              <w:rPr>
                <w:color w:val="000000"/>
                <w:sz w:val="20"/>
                <w:szCs w:val="20"/>
              </w:rPr>
              <w:t>5,63</w:t>
            </w:r>
          </w:p>
        </w:tc>
        <w:tc>
          <w:tcPr>
            <w:tcW w:w="1285" w:type="dxa"/>
          </w:tcPr>
          <w:p w:rsidR="008A139C" w:rsidRPr="007C51D6" w:rsidRDefault="008A139C" w:rsidP="008A139C">
            <w:pPr>
              <w:jc w:val="center"/>
            </w:pPr>
            <w:r w:rsidRPr="007C51D6">
              <w:rPr>
                <w:color w:val="000000"/>
                <w:sz w:val="20"/>
                <w:szCs w:val="20"/>
              </w:rPr>
              <w:t>нет данных</w:t>
            </w:r>
          </w:p>
        </w:tc>
      </w:tr>
    </w:tbl>
    <w:p w:rsidR="00CF3612" w:rsidRPr="007C51D6" w:rsidRDefault="00CF3612" w:rsidP="00CF3612">
      <w:pPr>
        <w:autoSpaceDE/>
        <w:autoSpaceDN/>
        <w:adjustRightInd/>
        <w:jc w:val="center"/>
        <w:rPr>
          <w:sz w:val="2"/>
          <w:szCs w:val="2"/>
        </w:rPr>
      </w:pPr>
    </w:p>
    <w:p w:rsidR="001D71F6" w:rsidRPr="007C51D6" w:rsidRDefault="001D71F6">
      <w:pPr>
        <w:rPr>
          <w:sz w:val="2"/>
          <w:szCs w:val="2"/>
        </w:rPr>
      </w:pPr>
    </w:p>
    <w:p w:rsidR="00BE34FD" w:rsidRPr="007C51D6" w:rsidRDefault="00BE34FD" w:rsidP="00810BE7">
      <w:pPr>
        <w:rPr>
          <w:rFonts w:eastAsia="Arial"/>
          <w:sz w:val="22"/>
          <w:szCs w:val="20"/>
        </w:rPr>
      </w:pPr>
    </w:p>
    <w:p w:rsidR="00B478CF" w:rsidRPr="007C51D6" w:rsidRDefault="00B478CF" w:rsidP="0028241C">
      <w:pPr>
        <w:autoSpaceDE/>
        <w:autoSpaceDN/>
        <w:adjustRightInd/>
        <w:spacing w:line="233" w:lineRule="auto"/>
        <w:ind w:firstLine="709"/>
        <w:jc w:val="both"/>
        <w:rPr>
          <w:rFonts w:eastAsia="Arial"/>
          <w:sz w:val="28"/>
          <w:szCs w:val="28"/>
        </w:rPr>
      </w:pPr>
      <w:r w:rsidRPr="007C51D6">
        <w:rPr>
          <w:rFonts w:eastAsia="Arial"/>
          <w:sz w:val="28"/>
          <w:szCs w:val="28"/>
        </w:rPr>
        <w:t xml:space="preserve">В 2024 году в структуре смертности от ЗНО всего населения Республики Татарстан наибольший удельный вес составляют опухоли трахеи, бронхов, легкого (17,8 процента), желудка (9,1 процента), ободочной кишки (7,8 процента), молочной железы (7,2 процента), поджелудочной железы (7,0 процента), прямой кишки, ректосигмоидного соединения, ануса (6,2 процента), предстательной железы (5,2 процента), губы, полости рта и глотки (3,2 процента), почек (3,2 процента), лейкемия </w:t>
      </w:r>
      <w:r w:rsidR="0028241C">
        <w:rPr>
          <w:rFonts w:eastAsia="Arial"/>
          <w:sz w:val="28"/>
          <w:szCs w:val="28"/>
        </w:rPr>
        <w:br/>
      </w:r>
      <w:r w:rsidRPr="007C51D6">
        <w:rPr>
          <w:rFonts w:eastAsia="Arial"/>
          <w:sz w:val="28"/>
          <w:szCs w:val="28"/>
        </w:rPr>
        <w:t xml:space="preserve">(1,9 процента). </w:t>
      </w:r>
    </w:p>
    <w:p w:rsidR="00B478CF" w:rsidRPr="007C51D6" w:rsidRDefault="00B478CF" w:rsidP="0028241C">
      <w:pPr>
        <w:autoSpaceDE/>
        <w:autoSpaceDN/>
        <w:adjustRightInd/>
        <w:spacing w:line="233" w:lineRule="auto"/>
        <w:ind w:firstLine="709"/>
        <w:jc w:val="both"/>
        <w:rPr>
          <w:rFonts w:eastAsia="Arial"/>
          <w:sz w:val="28"/>
          <w:szCs w:val="28"/>
        </w:rPr>
      </w:pPr>
      <w:r w:rsidRPr="007C51D6">
        <w:rPr>
          <w:rFonts w:eastAsia="Arial"/>
          <w:sz w:val="28"/>
          <w:szCs w:val="28"/>
        </w:rPr>
        <w:t xml:space="preserve">За </w:t>
      </w:r>
      <w:r w:rsidR="00827D9B" w:rsidRPr="007C51D6">
        <w:rPr>
          <w:rFonts w:eastAsia="Arial"/>
          <w:sz w:val="28"/>
          <w:szCs w:val="28"/>
        </w:rPr>
        <w:t>9</w:t>
      </w:r>
      <w:r w:rsidR="00A726BE" w:rsidRPr="007C51D6">
        <w:rPr>
          <w:rFonts w:eastAsia="Arial"/>
          <w:sz w:val="28"/>
          <w:szCs w:val="28"/>
        </w:rPr>
        <w:t>-</w:t>
      </w:r>
      <w:r w:rsidRPr="007C51D6">
        <w:rPr>
          <w:rFonts w:eastAsia="Arial"/>
          <w:sz w:val="28"/>
          <w:szCs w:val="28"/>
        </w:rPr>
        <w:t>летний период (201</w:t>
      </w:r>
      <w:r w:rsidR="00827D9B" w:rsidRPr="007C51D6">
        <w:rPr>
          <w:rFonts w:eastAsia="Arial"/>
          <w:sz w:val="28"/>
          <w:szCs w:val="28"/>
        </w:rPr>
        <w:t>6</w:t>
      </w:r>
      <w:r w:rsidRPr="007C51D6">
        <w:rPr>
          <w:rFonts w:eastAsia="Arial"/>
          <w:sz w:val="28"/>
          <w:szCs w:val="28"/>
        </w:rPr>
        <w:t xml:space="preserve"> – 2024 годы) зарегистрирована убыль </w:t>
      </w:r>
      <w:r w:rsidR="002F7358" w:rsidRPr="007C51D6">
        <w:rPr>
          <w:rFonts w:eastAsia="Arial"/>
          <w:sz w:val="28"/>
          <w:szCs w:val="28"/>
        </w:rPr>
        <w:t>«</w:t>
      </w:r>
      <w:r w:rsidRPr="007C51D6">
        <w:rPr>
          <w:rFonts w:eastAsia="Arial"/>
          <w:sz w:val="28"/>
          <w:szCs w:val="28"/>
        </w:rPr>
        <w:t>грубого</w:t>
      </w:r>
      <w:r w:rsidR="002F7358" w:rsidRPr="007C51D6">
        <w:rPr>
          <w:rFonts w:eastAsia="Arial"/>
          <w:sz w:val="28"/>
          <w:szCs w:val="28"/>
        </w:rPr>
        <w:t>»</w:t>
      </w:r>
      <w:r w:rsidRPr="007C51D6">
        <w:rPr>
          <w:rFonts w:eastAsia="Arial"/>
          <w:sz w:val="28"/>
          <w:szCs w:val="28"/>
        </w:rPr>
        <w:t xml:space="preserve"> показателя смертности населения республики при лейкемии (на 40,</w:t>
      </w:r>
      <w:r w:rsidR="00CB63ED" w:rsidRPr="007C51D6">
        <w:rPr>
          <w:rFonts w:eastAsia="Arial"/>
          <w:sz w:val="28"/>
          <w:szCs w:val="28"/>
        </w:rPr>
        <w:t>8</w:t>
      </w:r>
      <w:r w:rsidRPr="007C51D6">
        <w:rPr>
          <w:rFonts w:eastAsia="Arial"/>
          <w:sz w:val="28"/>
          <w:szCs w:val="28"/>
        </w:rPr>
        <w:t xml:space="preserve"> процент</w:t>
      </w:r>
      <w:r w:rsidR="00A726BE" w:rsidRPr="007C51D6">
        <w:rPr>
          <w:rFonts w:eastAsia="Arial"/>
          <w:sz w:val="28"/>
          <w:szCs w:val="28"/>
        </w:rPr>
        <w:t>а</w:t>
      </w:r>
      <w:r w:rsidRPr="007C51D6">
        <w:rPr>
          <w:rFonts w:eastAsia="Arial"/>
          <w:sz w:val="28"/>
          <w:szCs w:val="28"/>
        </w:rPr>
        <w:t>), ЗНО желудка (на 2</w:t>
      </w:r>
      <w:r w:rsidR="00CB63ED" w:rsidRPr="007C51D6">
        <w:rPr>
          <w:rFonts w:eastAsia="Arial"/>
          <w:sz w:val="28"/>
          <w:szCs w:val="28"/>
        </w:rPr>
        <w:t>4</w:t>
      </w:r>
      <w:r w:rsidRPr="007C51D6">
        <w:rPr>
          <w:rFonts w:eastAsia="Arial"/>
          <w:sz w:val="28"/>
          <w:szCs w:val="28"/>
        </w:rPr>
        <w:t>,</w:t>
      </w:r>
      <w:r w:rsidR="00CB63ED" w:rsidRPr="007C51D6">
        <w:rPr>
          <w:rFonts w:eastAsia="Arial"/>
          <w:sz w:val="28"/>
          <w:szCs w:val="28"/>
        </w:rPr>
        <w:t>8</w:t>
      </w:r>
      <w:r w:rsidRPr="007C51D6">
        <w:rPr>
          <w:rFonts w:eastAsia="Arial"/>
          <w:sz w:val="28"/>
          <w:szCs w:val="28"/>
        </w:rPr>
        <w:t xml:space="preserve"> процент</w:t>
      </w:r>
      <w:r w:rsidR="00A726BE" w:rsidRPr="007C51D6">
        <w:rPr>
          <w:rFonts w:eastAsia="Arial"/>
          <w:sz w:val="28"/>
          <w:szCs w:val="28"/>
        </w:rPr>
        <w:t>а</w:t>
      </w:r>
      <w:r w:rsidRPr="007C51D6">
        <w:rPr>
          <w:rFonts w:eastAsia="Arial"/>
          <w:sz w:val="28"/>
          <w:szCs w:val="28"/>
        </w:rPr>
        <w:t xml:space="preserve">), губы, полости рта и глотки (на </w:t>
      </w:r>
      <w:r w:rsidR="00CB63ED" w:rsidRPr="007C51D6">
        <w:rPr>
          <w:rFonts w:eastAsia="Arial"/>
          <w:sz w:val="28"/>
          <w:szCs w:val="28"/>
        </w:rPr>
        <w:t>17,7</w:t>
      </w:r>
      <w:r w:rsidRPr="007C51D6">
        <w:rPr>
          <w:rFonts w:eastAsia="Arial"/>
          <w:sz w:val="28"/>
          <w:szCs w:val="28"/>
        </w:rPr>
        <w:t xml:space="preserve"> процент</w:t>
      </w:r>
      <w:r w:rsidR="00A726BE" w:rsidRPr="007C51D6">
        <w:rPr>
          <w:rFonts w:eastAsia="Arial"/>
          <w:sz w:val="28"/>
          <w:szCs w:val="28"/>
        </w:rPr>
        <w:t>а</w:t>
      </w:r>
      <w:r w:rsidRPr="007C51D6">
        <w:rPr>
          <w:rFonts w:eastAsia="Arial"/>
          <w:sz w:val="28"/>
          <w:szCs w:val="28"/>
        </w:rPr>
        <w:t xml:space="preserve">), </w:t>
      </w:r>
      <w:r w:rsidR="00CB63ED" w:rsidRPr="007C51D6">
        <w:rPr>
          <w:rFonts w:eastAsia="Arial"/>
          <w:sz w:val="28"/>
          <w:szCs w:val="28"/>
        </w:rPr>
        <w:t xml:space="preserve">прямой кишки, ректосигмоидного соединения, ануса (на 16,4 процента), предстательной железы (на 13,7 процента), </w:t>
      </w:r>
      <w:r w:rsidRPr="007C51D6">
        <w:rPr>
          <w:rFonts w:eastAsia="Arial"/>
          <w:sz w:val="28"/>
          <w:szCs w:val="28"/>
        </w:rPr>
        <w:t xml:space="preserve">молочной железы (на </w:t>
      </w:r>
      <w:r w:rsidR="00CB63ED" w:rsidRPr="007C51D6">
        <w:rPr>
          <w:rFonts w:eastAsia="Arial"/>
          <w:sz w:val="28"/>
          <w:szCs w:val="28"/>
        </w:rPr>
        <w:t>7</w:t>
      </w:r>
      <w:r w:rsidRPr="007C51D6">
        <w:rPr>
          <w:rFonts w:eastAsia="Arial"/>
          <w:sz w:val="28"/>
          <w:szCs w:val="28"/>
        </w:rPr>
        <w:t>,</w:t>
      </w:r>
      <w:r w:rsidR="00CB63ED" w:rsidRPr="007C51D6">
        <w:rPr>
          <w:rFonts w:eastAsia="Arial"/>
          <w:sz w:val="28"/>
          <w:szCs w:val="28"/>
        </w:rPr>
        <w:t>6</w:t>
      </w:r>
      <w:r w:rsidRPr="007C51D6">
        <w:rPr>
          <w:rFonts w:eastAsia="Arial"/>
          <w:sz w:val="28"/>
          <w:szCs w:val="28"/>
        </w:rPr>
        <w:t xml:space="preserve"> процент</w:t>
      </w:r>
      <w:r w:rsidR="00A726BE" w:rsidRPr="007C51D6">
        <w:rPr>
          <w:rFonts w:eastAsia="Arial"/>
          <w:sz w:val="28"/>
          <w:szCs w:val="28"/>
        </w:rPr>
        <w:t>а</w:t>
      </w:r>
      <w:r w:rsidRPr="007C51D6">
        <w:rPr>
          <w:rFonts w:eastAsia="Arial"/>
          <w:sz w:val="28"/>
          <w:szCs w:val="28"/>
        </w:rPr>
        <w:t xml:space="preserve">), трахеи, бронхов, легкого (на </w:t>
      </w:r>
      <w:r w:rsidR="00CB63ED" w:rsidRPr="007C51D6">
        <w:rPr>
          <w:rFonts w:eastAsia="Arial"/>
          <w:sz w:val="28"/>
          <w:szCs w:val="28"/>
        </w:rPr>
        <w:t>6</w:t>
      </w:r>
      <w:r w:rsidRPr="007C51D6">
        <w:rPr>
          <w:rFonts w:eastAsia="Arial"/>
          <w:sz w:val="28"/>
          <w:szCs w:val="28"/>
        </w:rPr>
        <w:t>,</w:t>
      </w:r>
      <w:r w:rsidR="00CB63ED" w:rsidRPr="007C51D6">
        <w:rPr>
          <w:rFonts w:eastAsia="Arial"/>
          <w:sz w:val="28"/>
          <w:szCs w:val="28"/>
        </w:rPr>
        <w:t>1</w:t>
      </w:r>
      <w:r w:rsidRPr="007C51D6">
        <w:rPr>
          <w:rFonts w:eastAsia="Arial"/>
          <w:sz w:val="28"/>
          <w:szCs w:val="28"/>
        </w:rPr>
        <w:t xml:space="preserve"> процент</w:t>
      </w:r>
      <w:r w:rsidR="00A726BE" w:rsidRPr="007C51D6">
        <w:rPr>
          <w:rFonts w:eastAsia="Arial"/>
          <w:sz w:val="28"/>
          <w:szCs w:val="28"/>
        </w:rPr>
        <w:t>а</w:t>
      </w:r>
      <w:r w:rsidRPr="007C51D6">
        <w:rPr>
          <w:rFonts w:eastAsia="Arial"/>
          <w:sz w:val="28"/>
          <w:szCs w:val="28"/>
        </w:rPr>
        <w:t xml:space="preserve">), </w:t>
      </w:r>
      <w:r w:rsidR="00A726BE" w:rsidRPr="007C51D6">
        <w:rPr>
          <w:rFonts w:eastAsia="Arial"/>
          <w:sz w:val="28"/>
          <w:szCs w:val="28"/>
        </w:rPr>
        <w:t>ободочной кишки (на 2,</w:t>
      </w:r>
      <w:r w:rsidR="00CB63ED" w:rsidRPr="007C51D6">
        <w:rPr>
          <w:rFonts w:eastAsia="Arial"/>
          <w:sz w:val="28"/>
          <w:szCs w:val="28"/>
        </w:rPr>
        <w:t>5</w:t>
      </w:r>
      <w:r w:rsidR="00A726BE" w:rsidRPr="007C51D6">
        <w:rPr>
          <w:rFonts w:eastAsia="Arial"/>
          <w:sz w:val="28"/>
          <w:szCs w:val="28"/>
        </w:rPr>
        <w:t xml:space="preserve"> процента</w:t>
      </w:r>
      <w:r w:rsidRPr="007C51D6">
        <w:rPr>
          <w:rFonts w:eastAsia="Arial"/>
          <w:sz w:val="28"/>
          <w:szCs w:val="28"/>
        </w:rPr>
        <w:t>)</w:t>
      </w:r>
      <w:r w:rsidR="00DF65A6" w:rsidRPr="007C51D6">
        <w:rPr>
          <w:rFonts w:eastAsia="Arial"/>
          <w:sz w:val="28"/>
          <w:szCs w:val="28"/>
        </w:rPr>
        <w:t>,</w:t>
      </w:r>
      <w:r w:rsidRPr="007C51D6">
        <w:rPr>
          <w:rFonts w:eastAsia="Arial"/>
          <w:sz w:val="28"/>
          <w:szCs w:val="28"/>
        </w:rPr>
        <w:t xml:space="preserve"> </w:t>
      </w:r>
      <w:r w:rsidR="00DF65A6" w:rsidRPr="007C51D6">
        <w:rPr>
          <w:rFonts w:eastAsia="Arial"/>
          <w:sz w:val="28"/>
          <w:szCs w:val="28"/>
        </w:rPr>
        <w:t>почки (на 1,7 процента)</w:t>
      </w:r>
    </w:p>
    <w:p w:rsidR="00B478CF" w:rsidRPr="007C51D6" w:rsidRDefault="00B478CF" w:rsidP="0028241C">
      <w:pPr>
        <w:autoSpaceDE/>
        <w:autoSpaceDN/>
        <w:adjustRightInd/>
        <w:spacing w:line="233" w:lineRule="auto"/>
        <w:ind w:firstLine="709"/>
        <w:jc w:val="both"/>
        <w:rPr>
          <w:rFonts w:eastAsia="Arial"/>
          <w:sz w:val="28"/>
          <w:szCs w:val="28"/>
        </w:rPr>
      </w:pPr>
      <w:r w:rsidRPr="007C51D6">
        <w:rPr>
          <w:rFonts w:eastAsia="Arial"/>
          <w:sz w:val="28"/>
          <w:szCs w:val="28"/>
        </w:rPr>
        <w:t xml:space="preserve">Прирост </w:t>
      </w:r>
      <w:r w:rsidR="002F7358" w:rsidRPr="007C51D6">
        <w:rPr>
          <w:rFonts w:eastAsia="Arial"/>
          <w:sz w:val="28"/>
          <w:szCs w:val="28"/>
        </w:rPr>
        <w:t>«</w:t>
      </w:r>
      <w:r w:rsidRPr="007C51D6">
        <w:rPr>
          <w:rFonts w:eastAsia="Arial"/>
          <w:sz w:val="28"/>
          <w:szCs w:val="28"/>
        </w:rPr>
        <w:t>грубого</w:t>
      </w:r>
      <w:r w:rsidR="002F7358" w:rsidRPr="007C51D6">
        <w:rPr>
          <w:rFonts w:eastAsia="Arial"/>
          <w:sz w:val="28"/>
          <w:szCs w:val="28"/>
        </w:rPr>
        <w:t>»</w:t>
      </w:r>
      <w:r w:rsidRPr="007C51D6">
        <w:rPr>
          <w:rFonts w:eastAsia="Arial"/>
          <w:sz w:val="28"/>
          <w:szCs w:val="28"/>
        </w:rPr>
        <w:t xml:space="preserve"> показателя смертности населения зарегистрирован при ЗНО поджелудочной железы (на </w:t>
      </w:r>
      <w:r w:rsidR="00DF65A6" w:rsidRPr="007C51D6">
        <w:rPr>
          <w:rFonts w:eastAsia="Arial"/>
          <w:sz w:val="28"/>
          <w:szCs w:val="28"/>
        </w:rPr>
        <w:t>6</w:t>
      </w:r>
      <w:r w:rsidRPr="007C51D6">
        <w:rPr>
          <w:rFonts w:eastAsia="Arial"/>
          <w:sz w:val="28"/>
          <w:szCs w:val="28"/>
        </w:rPr>
        <w:t>,</w:t>
      </w:r>
      <w:r w:rsidR="00DF65A6" w:rsidRPr="007C51D6">
        <w:rPr>
          <w:rFonts w:eastAsia="Arial"/>
          <w:sz w:val="28"/>
          <w:szCs w:val="28"/>
        </w:rPr>
        <w:t>9</w:t>
      </w:r>
      <w:r w:rsidR="0028241C">
        <w:rPr>
          <w:rFonts w:eastAsia="Arial"/>
          <w:sz w:val="28"/>
          <w:szCs w:val="28"/>
        </w:rPr>
        <w:t xml:space="preserve"> процента)</w:t>
      </w:r>
      <w:r w:rsidRPr="007C51D6">
        <w:rPr>
          <w:rFonts w:eastAsia="Arial"/>
          <w:sz w:val="28"/>
          <w:szCs w:val="28"/>
        </w:rPr>
        <w:t xml:space="preserve"> </w:t>
      </w:r>
      <w:r w:rsidR="000C3412" w:rsidRPr="007C51D6">
        <w:rPr>
          <w:rFonts w:eastAsia="Arial"/>
          <w:sz w:val="28"/>
          <w:szCs w:val="28"/>
        </w:rPr>
        <w:t>(</w:t>
      </w:r>
      <w:r w:rsidR="00CC04B7" w:rsidRPr="007C51D6">
        <w:rPr>
          <w:rFonts w:eastAsia="Arial"/>
          <w:sz w:val="28"/>
          <w:szCs w:val="28"/>
        </w:rPr>
        <w:t>таблица 11</w:t>
      </w:r>
      <w:r w:rsidR="000C3412" w:rsidRPr="007C51D6">
        <w:rPr>
          <w:rFonts w:eastAsia="Arial"/>
          <w:sz w:val="28"/>
          <w:szCs w:val="28"/>
        </w:rPr>
        <w:t>)</w:t>
      </w:r>
      <w:r w:rsidRPr="007C51D6">
        <w:rPr>
          <w:rFonts w:eastAsia="Arial"/>
          <w:sz w:val="28"/>
          <w:szCs w:val="28"/>
        </w:rPr>
        <w:t xml:space="preserve">. </w:t>
      </w:r>
    </w:p>
    <w:p w:rsidR="0046074A" w:rsidRPr="007C51D6" w:rsidRDefault="0046074A" w:rsidP="0046074A">
      <w:pPr>
        <w:tabs>
          <w:tab w:val="left" w:pos="6379"/>
        </w:tabs>
        <w:autoSpaceDE/>
        <w:autoSpaceDN/>
        <w:adjustRightInd/>
        <w:ind w:firstLine="709"/>
        <w:jc w:val="right"/>
        <w:rPr>
          <w:rFonts w:eastAsia="Arial"/>
          <w:sz w:val="28"/>
          <w:szCs w:val="28"/>
        </w:rPr>
      </w:pPr>
      <w:r w:rsidRPr="007C51D6">
        <w:rPr>
          <w:rFonts w:eastAsia="Arial"/>
          <w:sz w:val="28"/>
          <w:szCs w:val="28"/>
        </w:rPr>
        <w:t>Таблица 12</w:t>
      </w:r>
    </w:p>
    <w:p w:rsidR="0046074A" w:rsidRPr="007C51D6" w:rsidRDefault="0046074A" w:rsidP="0046074A">
      <w:pPr>
        <w:autoSpaceDE/>
        <w:autoSpaceDN/>
        <w:adjustRightInd/>
        <w:jc w:val="center"/>
        <w:rPr>
          <w:rFonts w:eastAsia="Arial"/>
          <w:sz w:val="28"/>
          <w:szCs w:val="28"/>
        </w:rPr>
      </w:pPr>
      <w:r w:rsidRPr="007C51D6">
        <w:rPr>
          <w:rFonts w:eastAsia="Arial"/>
          <w:sz w:val="28"/>
          <w:szCs w:val="28"/>
        </w:rPr>
        <w:t xml:space="preserve">Количество пациентов, умерших от </w:t>
      </w:r>
      <w:r w:rsidR="004A6001" w:rsidRPr="007C51D6">
        <w:rPr>
          <w:rFonts w:eastAsia="Arial"/>
          <w:sz w:val="28"/>
          <w:szCs w:val="28"/>
        </w:rPr>
        <w:t>ЗНО</w:t>
      </w:r>
      <w:r w:rsidRPr="007C51D6">
        <w:rPr>
          <w:rFonts w:eastAsia="Arial"/>
          <w:sz w:val="28"/>
          <w:szCs w:val="28"/>
        </w:rPr>
        <w:t xml:space="preserve"> и не состоявших на учете </w:t>
      </w:r>
    </w:p>
    <w:p w:rsidR="0046074A" w:rsidRPr="007C51D6" w:rsidRDefault="0046074A" w:rsidP="0046074A">
      <w:pPr>
        <w:autoSpaceDE/>
        <w:autoSpaceDN/>
        <w:adjustRightInd/>
        <w:jc w:val="center"/>
        <w:rPr>
          <w:rFonts w:eastAsia="Arial"/>
          <w:sz w:val="28"/>
          <w:szCs w:val="28"/>
        </w:rPr>
      </w:pPr>
      <w:r w:rsidRPr="007C51D6">
        <w:rPr>
          <w:rFonts w:eastAsia="Arial"/>
          <w:sz w:val="28"/>
          <w:szCs w:val="28"/>
        </w:rPr>
        <w:t xml:space="preserve">в онкологических учреждениях </w:t>
      </w:r>
    </w:p>
    <w:p w:rsidR="0046074A" w:rsidRPr="007C51D6" w:rsidRDefault="0046074A" w:rsidP="004A6001">
      <w:pPr>
        <w:autoSpaceDE/>
        <w:autoSpaceDN/>
        <w:adjustRightInd/>
        <w:jc w:val="right"/>
        <w:rPr>
          <w:rFonts w:eastAsia="Arial"/>
          <w:sz w:val="28"/>
          <w:szCs w:val="20"/>
        </w:rPr>
      </w:pPr>
    </w:p>
    <w:tbl>
      <w:tblPr>
        <w:tblStyle w:val="af1"/>
        <w:tblW w:w="14990" w:type="dxa"/>
        <w:tblCellMar>
          <w:top w:w="57" w:type="dxa"/>
          <w:bottom w:w="57" w:type="dxa"/>
        </w:tblCellMar>
        <w:tblLook w:val="04A0" w:firstRow="1" w:lastRow="0" w:firstColumn="1" w:lastColumn="0" w:noHBand="0" w:noVBand="1"/>
      </w:tblPr>
      <w:tblGrid>
        <w:gridCol w:w="5949"/>
        <w:gridCol w:w="850"/>
        <w:gridCol w:w="993"/>
        <w:gridCol w:w="992"/>
        <w:gridCol w:w="850"/>
        <w:gridCol w:w="993"/>
        <w:gridCol w:w="992"/>
        <w:gridCol w:w="850"/>
        <w:gridCol w:w="851"/>
        <w:gridCol w:w="850"/>
        <w:gridCol w:w="820"/>
      </w:tblGrid>
      <w:tr w:rsidR="00DF65A6" w:rsidRPr="007C51D6" w:rsidTr="0028241C">
        <w:tc>
          <w:tcPr>
            <w:tcW w:w="5949" w:type="dxa"/>
          </w:tcPr>
          <w:p w:rsidR="00DF65A6" w:rsidRPr="007C51D6" w:rsidRDefault="00DF65A6" w:rsidP="001D71F6">
            <w:pPr>
              <w:autoSpaceDE/>
              <w:autoSpaceDN/>
              <w:adjustRightInd/>
              <w:jc w:val="center"/>
              <w:rPr>
                <w:rFonts w:eastAsia="Arial"/>
                <w:sz w:val="20"/>
                <w:szCs w:val="20"/>
              </w:rPr>
            </w:pPr>
            <w:r w:rsidRPr="007C51D6">
              <w:rPr>
                <w:rFonts w:eastAsia="Arial"/>
                <w:sz w:val="20"/>
                <w:szCs w:val="20"/>
              </w:rPr>
              <w:t>Показатель</w:t>
            </w:r>
          </w:p>
        </w:tc>
        <w:tc>
          <w:tcPr>
            <w:tcW w:w="850" w:type="dxa"/>
          </w:tcPr>
          <w:p w:rsidR="00DF65A6" w:rsidRPr="007C51D6" w:rsidRDefault="00DF65A6" w:rsidP="001D71F6">
            <w:pPr>
              <w:autoSpaceDE/>
              <w:autoSpaceDN/>
              <w:adjustRightInd/>
              <w:ind w:hanging="21"/>
              <w:jc w:val="center"/>
              <w:rPr>
                <w:rFonts w:eastAsia="Arial"/>
                <w:sz w:val="20"/>
                <w:szCs w:val="22"/>
              </w:rPr>
            </w:pPr>
            <w:r w:rsidRPr="007C51D6">
              <w:rPr>
                <w:rFonts w:eastAsia="Arial"/>
                <w:sz w:val="20"/>
                <w:szCs w:val="22"/>
              </w:rPr>
              <w:t>2016 г.</w:t>
            </w:r>
          </w:p>
        </w:tc>
        <w:tc>
          <w:tcPr>
            <w:tcW w:w="993" w:type="dxa"/>
          </w:tcPr>
          <w:p w:rsidR="00DF65A6" w:rsidRPr="007C51D6" w:rsidRDefault="00DF65A6" w:rsidP="001D71F6">
            <w:pPr>
              <w:autoSpaceDE/>
              <w:autoSpaceDN/>
              <w:adjustRightInd/>
              <w:jc w:val="center"/>
              <w:rPr>
                <w:rFonts w:eastAsia="Arial"/>
                <w:sz w:val="20"/>
                <w:szCs w:val="22"/>
              </w:rPr>
            </w:pPr>
            <w:r w:rsidRPr="007C51D6">
              <w:rPr>
                <w:rFonts w:eastAsia="Arial"/>
                <w:sz w:val="20"/>
                <w:szCs w:val="22"/>
              </w:rPr>
              <w:t>2017 г.</w:t>
            </w:r>
          </w:p>
        </w:tc>
        <w:tc>
          <w:tcPr>
            <w:tcW w:w="992" w:type="dxa"/>
          </w:tcPr>
          <w:p w:rsidR="00DF65A6" w:rsidRPr="007C51D6" w:rsidRDefault="00DF65A6" w:rsidP="001D71F6">
            <w:pPr>
              <w:autoSpaceDE/>
              <w:autoSpaceDN/>
              <w:adjustRightInd/>
              <w:jc w:val="center"/>
              <w:rPr>
                <w:rFonts w:eastAsia="Arial"/>
                <w:sz w:val="20"/>
                <w:szCs w:val="22"/>
              </w:rPr>
            </w:pPr>
            <w:r w:rsidRPr="007C51D6">
              <w:rPr>
                <w:rFonts w:eastAsia="Arial"/>
                <w:sz w:val="20"/>
                <w:szCs w:val="22"/>
              </w:rPr>
              <w:t>2018 г.</w:t>
            </w:r>
          </w:p>
        </w:tc>
        <w:tc>
          <w:tcPr>
            <w:tcW w:w="850" w:type="dxa"/>
          </w:tcPr>
          <w:p w:rsidR="00DF65A6" w:rsidRPr="007C51D6" w:rsidRDefault="00DF65A6" w:rsidP="001D71F6">
            <w:pPr>
              <w:autoSpaceDE/>
              <w:autoSpaceDN/>
              <w:adjustRightInd/>
              <w:jc w:val="center"/>
              <w:rPr>
                <w:rFonts w:eastAsia="Arial"/>
                <w:sz w:val="20"/>
                <w:szCs w:val="22"/>
              </w:rPr>
            </w:pPr>
            <w:r w:rsidRPr="007C51D6">
              <w:rPr>
                <w:rFonts w:eastAsia="Arial"/>
                <w:sz w:val="20"/>
                <w:szCs w:val="22"/>
              </w:rPr>
              <w:t>2019 г.</w:t>
            </w:r>
          </w:p>
        </w:tc>
        <w:tc>
          <w:tcPr>
            <w:tcW w:w="993" w:type="dxa"/>
          </w:tcPr>
          <w:p w:rsidR="00DF65A6" w:rsidRPr="007C51D6" w:rsidRDefault="00DF65A6" w:rsidP="001D71F6">
            <w:pPr>
              <w:autoSpaceDE/>
              <w:autoSpaceDN/>
              <w:adjustRightInd/>
              <w:ind w:hanging="15"/>
              <w:jc w:val="center"/>
              <w:rPr>
                <w:rFonts w:eastAsia="Arial"/>
                <w:sz w:val="20"/>
                <w:szCs w:val="22"/>
              </w:rPr>
            </w:pPr>
            <w:r w:rsidRPr="007C51D6">
              <w:rPr>
                <w:rFonts w:eastAsia="Arial"/>
                <w:sz w:val="20"/>
                <w:szCs w:val="22"/>
              </w:rPr>
              <w:t>2020 г.</w:t>
            </w:r>
          </w:p>
        </w:tc>
        <w:tc>
          <w:tcPr>
            <w:tcW w:w="992" w:type="dxa"/>
          </w:tcPr>
          <w:p w:rsidR="00DF65A6" w:rsidRPr="007C51D6" w:rsidRDefault="00DF65A6" w:rsidP="001D71F6">
            <w:pPr>
              <w:autoSpaceDE/>
              <w:autoSpaceDN/>
              <w:adjustRightInd/>
              <w:ind w:hanging="15"/>
              <w:jc w:val="center"/>
              <w:rPr>
                <w:rFonts w:eastAsia="Arial"/>
                <w:sz w:val="20"/>
                <w:szCs w:val="22"/>
              </w:rPr>
            </w:pPr>
            <w:r w:rsidRPr="007C51D6">
              <w:rPr>
                <w:rFonts w:eastAsia="Arial"/>
                <w:sz w:val="20"/>
                <w:szCs w:val="22"/>
              </w:rPr>
              <w:t>2021 г.</w:t>
            </w:r>
          </w:p>
        </w:tc>
        <w:tc>
          <w:tcPr>
            <w:tcW w:w="850" w:type="dxa"/>
          </w:tcPr>
          <w:p w:rsidR="00DF65A6" w:rsidRPr="007C51D6" w:rsidRDefault="00DF65A6" w:rsidP="001D71F6">
            <w:pPr>
              <w:autoSpaceDE/>
              <w:autoSpaceDN/>
              <w:adjustRightInd/>
              <w:ind w:hanging="15"/>
              <w:jc w:val="center"/>
              <w:rPr>
                <w:rFonts w:eastAsia="Arial"/>
                <w:sz w:val="20"/>
                <w:szCs w:val="22"/>
              </w:rPr>
            </w:pPr>
            <w:r w:rsidRPr="007C51D6">
              <w:rPr>
                <w:rFonts w:eastAsia="Arial"/>
                <w:sz w:val="20"/>
                <w:szCs w:val="22"/>
              </w:rPr>
              <w:t>2022 г.</w:t>
            </w:r>
          </w:p>
        </w:tc>
        <w:tc>
          <w:tcPr>
            <w:tcW w:w="851" w:type="dxa"/>
          </w:tcPr>
          <w:p w:rsidR="00DF65A6" w:rsidRPr="007C51D6" w:rsidRDefault="00DF65A6" w:rsidP="001D71F6">
            <w:pPr>
              <w:autoSpaceDE/>
              <w:autoSpaceDN/>
              <w:adjustRightInd/>
              <w:ind w:hanging="15"/>
              <w:jc w:val="center"/>
              <w:rPr>
                <w:rFonts w:eastAsia="Arial"/>
                <w:sz w:val="20"/>
                <w:szCs w:val="22"/>
              </w:rPr>
            </w:pPr>
            <w:r w:rsidRPr="007C51D6">
              <w:rPr>
                <w:rFonts w:eastAsia="Arial"/>
                <w:sz w:val="20"/>
                <w:szCs w:val="22"/>
              </w:rPr>
              <w:t>2023 г.</w:t>
            </w:r>
          </w:p>
        </w:tc>
        <w:tc>
          <w:tcPr>
            <w:tcW w:w="850" w:type="dxa"/>
          </w:tcPr>
          <w:p w:rsidR="00DF65A6" w:rsidRPr="007C51D6" w:rsidRDefault="00DF65A6" w:rsidP="00DF65A6">
            <w:pPr>
              <w:autoSpaceDE/>
              <w:autoSpaceDN/>
              <w:adjustRightInd/>
              <w:ind w:hanging="15"/>
              <w:jc w:val="center"/>
              <w:rPr>
                <w:rFonts w:eastAsia="Arial"/>
                <w:sz w:val="20"/>
                <w:szCs w:val="22"/>
              </w:rPr>
            </w:pPr>
            <w:r w:rsidRPr="007C51D6">
              <w:rPr>
                <w:rFonts w:eastAsia="Arial"/>
                <w:sz w:val="20"/>
                <w:szCs w:val="22"/>
              </w:rPr>
              <w:t>2024 г.</w:t>
            </w:r>
          </w:p>
        </w:tc>
        <w:tc>
          <w:tcPr>
            <w:tcW w:w="820" w:type="dxa"/>
          </w:tcPr>
          <w:p w:rsidR="00DF65A6" w:rsidRPr="007C51D6" w:rsidRDefault="00DF65A6" w:rsidP="005F2112">
            <w:pPr>
              <w:autoSpaceDE/>
              <w:autoSpaceDN/>
              <w:adjustRightInd/>
              <w:ind w:hanging="15"/>
              <w:jc w:val="center"/>
              <w:rPr>
                <w:rFonts w:eastAsia="Arial"/>
                <w:sz w:val="20"/>
                <w:szCs w:val="22"/>
              </w:rPr>
            </w:pPr>
            <w:r w:rsidRPr="007C51D6">
              <w:rPr>
                <w:rFonts w:eastAsia="Arial"/>
                <w:sz w:val="20"/>
                <w:szCs w:val="22"/>
              </w:rPr>
              <w:t>2025 г.</w:t>
            </w:r>
          </w:p>
        </w:tc>
      </w:tr>
      <w:tr w:rsidR="00DF65A6" w:rsidRPr="007C51D6" w:rsidTr="0028241C">
        <w:tc>
          <w:tcPr>
            <w:tcW w:w="5949" w:type="dxa"/>
          </w:tcPr>
          <w:p w:rsidR="00DF65A6" w:rsidRPr="007C51D6" w:rsidRDefault="00DF65A6" w:rsidP="0028241C">
            <w:pPr>
              <w:autoSpaceDE/>
              <w:autoSpaceDN/>
              <w:adjustRightInd/>
              <w:ind w:left="-57" w:right="-57"/>
              <w:rPr>
                <w:rFonts w:eastAsia="Arial"/>
                <w:sz w:val="20"/>
                <w:szCs w:val="20"/>
              </w:rPr>
            </w:pPr>
            <w:r w:rsidRPr="007C51D6">
              <w:rPr>
                <w:rFonts w:eastAsia="Arial"/>
                <w:sz w:val="20"/>
                <w:szCs w:val="20"/>
              </w:rPr>
              <w:t>Число пациентов, умерших от ЗНО и не состоявших на учете в онкологических учреждениях, человек</w:t>
            </w:r>
          </w:p>
        </w:tc>
        <w:tc>
          <w:tcPr>
            <w:tcW w:w="850" w:type="dxa"/>
          </w:tcPr>
          <w:p w:rsidR="00DF65A6" w:rsidRPr="007C51D6" w:rsidRDefault="00DF65A6" w:rsidP="00DF139B">
            <w:pPr>
              <w:jc w:val="center"/>
              <w:rPr>
                <w:color w:val="000000"/>
                <w:sz w:val="20"/>
                <w:szCs w:val="20"/>
              </w:rPr>
            </w:pPr>
            <w:r w:rsidRPr="007C51D6">
              <w:rPr>
                <w:color w:val="000000"/>
                <w:sz w:val="20"/>
                <w:szCs w:val="20"/>
              </w:rPr>
              <w:t>71</w:t>
            </w:r>
            <w:r w:rsidR="00DF139B" w:rsidRPr="007C51D6">
              <w:rPr>
                <w:color w:val="000000"/>
                <w:sz w:val="20"/>
                <w:szCs w:val="20"/>
              </w:rPr>
              <w:t>6</w:t>
            </w:r>
          </w:p>
        </w:tc>
        <w:tc>
          <w:tcPr>
            <w:tcW w:w="993" w:type="dxa"/>
          </w:tcPr>
          <w:p w:rsidR="00DF65A6" w:rsidRPr="007C51D6" w:rsidRDefault="00DF65A6" w:rsidP="001D71F6">
            <w:pPr>
              <w:jc w:val="center"/>
              <w:rPr>
                <w:color w:val="000000"/>
                <w:sz w:val="20"/>
                <w:szCs w:val="20"/>
              </w:rPr>
            </w:pPr>
            <w:r w:rsidRPr="007C51D6">
              <w:rPr>
                <w:color w:val="000000"/>
                <w:sz w:val="20"/>
                <w:szCs w:val="20"/>
              </w:rPr>
              <w:t>931</w:t>
            </w:r>
          </w:p>
        </w:tc>
        <w:tc>
          <w:tcPr>
            <w:tcW w:w="992" w:type="dxa"/>
          </w:tcPr>
          <w:p w:rsidR="00DF65A6" w:rsidRPr="007C51D6" w:rsidRDefault="00DF65A6" w:rsidP="001D71F6">
            <w:pPr>
              <w:jc w:val="center"/>
              <w:rPr>
                <w:color w:val="000000"/>
                <w:sz w:val="20"/>
                <w:szCs w:val="20"/>
              </w:rPr>
            </w:pPr>
            <w:r w:rsidRPr="007C51D6">
              <w:rPr>
                <w:color w:val="000000"/>
                <w:sz w:val="20"/>
                <w:szCs w:val="20"/>
              </w:rPr>
              <w:t>856</w:t>
            </w:r>
          </w:p>
          <w:p w:rsidR="00DF65A6" w:rsidRPr="007C51D6" w:rsidRDefault="00DF65A6" w:rsidP="001D71F6">
            <w:pPr>
              <w:jc w:val="center"/>
              <w:rPr>
                <w:color w:val="000000"/>
                <w:sz w:val="20"/>
                <w:szCs w:val="20"/>
              </w:rPr>
            </w:pPr>
          </w:p>
        </w:tc>
        <w:tc>
          <w:tcPr>
            <w:tcW w:w="850" w:type="dxa"/>
          </w:tcPr>
          <w:p w:rsidR="00DF65A6" w:rsidRPr="007C51D6" w:rsidRDefault="00DF65A6" w:rsidP="001D71F6">
            <w:pPr>
              <w:jc w:val="center"/>
              <w:rPr>
                <w:color w:val="000000"/>
                <w:sz w:val="20"/>
                <w:szCs w:val="20"/>
              </w:rPr>
            </w:pPr>
            <w:r w:rsidRPr="007C51D6">
              <w:rPr>
                <w:color w:val="000000"/>
                <w:sz w:val="20"/>
                <w:szCs w:val="20"/>
              </w:rPr>
              <w:t>718</w:t>
            </w:r>
          </w:p>
        </w:tc>
        <w:tc>
          <w:tcPr>
            <w:tcW w:w="993" w:type="dxa"/>
          </w:tcPr>
          <w:p w:rsidR="00DF65A6" w:rsidRPr="007C51D6" w:rsidRDefault="00DF65A6" w:rsidP="001D71F6">
            <w:pPr>
              <w:jc w:val="center"/>
              <w:rPr>
                <w:color w:val="000000"/>
                <w:sz w:val="20"/>
                <w:szCs w:val="20"/>
              </w:rPr>
            </w:pPr>
            <w:r w:rsidRPr="007C51D6">
              <w:rPr>
                <w:color w:val="000000"/>
                <w:sz w:val="20"/>
                <w:szCs w:val="20"/>
              </w:rPr>
              <w:t>684</w:t>
            </w:r>
          </w:p>
          <w:p w:rsidR="00DF65A6" w:rsidRPr="007C51D6" w:rsidRDefault="00DF65A6" w:rsidP="001D71F6">
            <w:pPr>
              <w:jc w:val="center"/>
              <w:rPr>
                <w:color w:val="000000"/>
                <w:sz w:val="20"/>
                <w:szCs w:val="20"/>
              </w:rPr>
            </w:pPr>
          </w:p>
        </w:tc>
        <w:tc>
          <w:tcPr>
            <w:tcW w:w="992" w:type="dxa"/>
          </w:tcPr>
          <w:p w:rsidR="00DF65A6" w:rsidRPr="007C51D6" w:rsidRDefault="00DF65A6" w:rsidP="001D71F6">
            <w:pPr>
              <w:jc w:val="center"/>
              <w:rPr>
                <w:color w:val="000000"/>
                <w:sz w:val="20"/>
                <w:szCs w:val="20"/>
              </w:rPr>
            </w:pPr>
            <w:r w:rsidRPr="007C51D6">
              <w:rPr>
                <w:color w:val="000000"/>
                <w:sz w:val="20"/>
                <w:szCs w:val="20"/>
              </w:rPr>
              <w:t>707</w:t>
            </w:r>
          </w:p>
        </w:tc>
        <w:tc>
          <w:tcPr>
            <w:tcW w:w="850" w:type="dxa"/>
          </w:tcPr>
          <w:p w:rsidR="00DF65A6" w:rsidRPr="007C51D6" w:rsidRDefault="00DF65A6" w:rsidP="001D71F6">
            <w:pPr>
              <w:jc w:val="center"/>
              <w:rPr>
                <w:color w:val="000000"/>
                <w:sz w:val="20"/>
                <w:szCs w:val="20"/>
              </w:rPr>
            </w:pPr>
            <w:r w:rsidRPr="007C51D6">
              <w:rPr>
                <w:color w:val="000000"/>
                <w:sz w:val="20"/>
                <w:szCs w:val="20"/>
              </w:rPr>
              <w:t>762</w:t>
            </w:r>
          </w:p>
          <w:p w:rsidR="00DF65A6" w:rsidRPr="007C51D6" w:rsidRDefault="00DF65A6" w:rsidP="001D71F6">
            <w:pPr>
              <w:jc w:val="center"/>
              <w:rPr>
                <w:color w:val="000000"/>
                <w:sz w:val="20"/>
                <w:szCs w:val="20"/>
              </w:rPr>
            </w:pPr>
          </w:p>
        </w:tc>
        <w:tc>
          <w:tcPr>
            <w:tcW w:w="851" w:type="dxa"/>
          </w:tcPr>
          <w:p w:rsidR="00DF65A6" w:rsidRPr="007C51D6" w:rsidRDefault="00DF65A6" w:rsidP="001D71F6">
            <w:pPr>
              <w:jc w:val="center"/>
              <w:rPr>
                <w:color w:val="000000"/>
                <w:sz w:val="20"/>
                <w:szCs w:val="20"/>
              </w:rPr>
            </w:pPr>
            <w:r w:rsidRPr="007C51D6">
              <w:rPr>
                <w:color w:val="000000"/>
                <w:sz w:val="20"/>
                <w:szCs w:val="20"/>
              </w:rPr>
              <w:t>812</w:t>
            </w:r>
          </w:p>
        </w:tc>
        <w:tc>
          <w:tcPr>
            <w:tcW w:w="850" w:type="dxa"/>
          </w:tcPr>
          <w:p w:rsidR="00DF65A6" w:rsidRPr="007C51D6" w:rsidRDefault="00DF65A6" w:rsidP="00DF139B">
            <w:pPr>
              <w:jc w:val="center"/>
              <w:rPr>
                <w:color w:val="000000"/>
                <w:sz w:val="20"/>
                <w:szCs w:val="20"/>
              </w:rPr>
            </w:pPr>
            <w:r w:rsidRPr="007C51D6">
              <w:rPr>
                <w:color w:val="000000"/>
                <w:sz w:val="20"/>
                <w:szCs w:val="20"/>
              </w:rPr>
              <w:t>92</w:t>
            </w:r>
            <w:r w:rsidR="00DF139B" w:rsidRPr="007C51D6">
              <w:rPr>
                <w:color w:val="000000"/>
                <w:sz w:val="20"/>
                <w:szCs w:val="20"/>
              </w:rPr>
              <w:t>1</w:t>
            </w:r>
          </w:p>
        </w:tc>
        <w:tc>
          <w:tcPr>
            <w:tcW w:w="820" w:type="dxa"/>
          </w:tcPr>
          <w:p w:rsidR="00DF65A6" w:rsidRPr="007C51D6" w:rsidRDefault="00366676" w:rsidP="001D71F6">
            <w:pPr>
              <w:jc w:val="center"/>
              <w:rPr>
                <w:color w:val="000000"/>
                <w:sz w:val="20"/>
                <w:szCs w:val="20"/>
              </w:rPr>
            </w:pPr>
            <w:r w:rsidRPr="007C51D6">
              <w:rPr>
                <w:color w:val="000000"/>
                <w:sz w:val="20"/>
                <w:szCs w:val="20"/>
              </w:rPr>
              <w:t>1015</w:t>
            </w:r>
          </w:p>
        </w:tc>
      </w:tr>
      <w:tr w:rsidR="00DF65A6" w:rsidRPr="007C51D6" w:rsidTr="0028241C">
        <w:tc>
          <w:tcPr>
            <w:tcW w:w="5949" w:type="dxa"/>
          </w:tcPr>
          <w:p w:rsidR="00DF65A6" w:rsidRPr="007C51D6" w:rsidRDefault="00DF65A6" w:rsidP="0028241C">
            <w:pPr>
              <w:autoSpaceDE/>
              <w:autoSpaceDN/>
              <w:adjustRightInd/>
              <w:ind w:left="-57" w:right="-57"/>
              <w:rPr>
                <w:rFonts w:eastAsia="Arial"/>
                <w:sz w:val="20"/>
                <w:szCs w:val="20"/>
              </w:rPr>
            </w:pPr>
            <w:r w:rsidRPr="007C51D6">
              <w:rPr>
                <w:rFonts w:eastAsia="Arial"/>
                <w:sz w:val="20"/>
                <w:szCs w:val="20"/>
              </w:rPr>
              <w:t>Соотношение числа пациентов, умерших от ЗНО и не состоявших на учете в онкологических учреждениях, на 1 000 умерших от ЗНО</w:t>
            </w:r>
          </w:p>
        </w:tc>
        <w:tc>
          <w:tcPr>
            <w:tcW w:w="850" w:type="dxa"/>
          </w:tcPr>
          <w:p w:rsidR="00DF65A6" w:rsidRPr="007C51D6" w:rsidRDefault="00DF65A6" w:rsidP="001D71F6">
            <w:pPr>
              <w:jc w:val="center"/>
              <w:rPr>
                <w:color w:val="000000"/>
                <w:sz w:val="20"/>
                <w:szCs w:val="20"/>
              </w:rPr>
            </w:pPr>
            <w:r w:rsidRPr="007C51D6">
              <w:rPr>
                <w:color w:val="000000"/>
                <w:sz w:val="20"/>
                <w:szCs w:val="20"/>
              </w:rPr>
              <w:t>98,74</w:t>
            </w:r>
          </w:p>
        </w:tc>
        <w:tc>
          <w:tcPr>
            <w:tcW w:w="993" w:type="dxa"/>
          </w:tcPr>
          <w:p w:rsidR="00DF65A6" w:rsidRPr="007C51D6" w:rsidRDefault="00DF65A6" w:rsidP="001D71F6">
            <w:pPr>
              <w:jc w:val="center"/>
              <w:rPr>
                <w:color w:val="000000"/>
                <w:sz w:val="20"/>
                <w:szCs w:val="20"/>
              </w:rPr>
            </w:pPr>
            <w:r w:rsidRPr="007C51D6">
              <w:rPr>
                <w:color w:val="000000"/>
                <w:sz w:val="20"/>
                <w:szCs w:val="20"/>
              </w:rPr>
              <w:t>125,39</w:t>
            </w:r>
          </w:p>
        </w:tc>
        <w:tc>
          <w:tcPr>
            <w:tcW w:w="992" w:type="dxa"/>
          </w:tcPr>
          <w:p w:rsidR="00DF65A6" w:rsidRPr="007C51D6" w:rsidRDefault="00DF65A6" w:rsidP="001D71F6">
            <w:pPr>
              <w:jc w:val="center"/>
              <w:rPr>
                <w:color w:val="000000"/>
                <w:sz w:val="20"/>
                <w:szCs w:val="20"/>
              </w:rPr>
            </w:pPr>
            <w:r w:rsidRPr="007C51D6">
              <w:rPr>
                <w:color w:val="000000"/>
                <w:sz w:val="20"/>
                <w:szCs w:val="20"/>
              </w:rPr>
              <w:t>119,27</w:t>
            </w:r>
          </w:p>
        </w:tc>
        <w:tc>
          <w:tcPr>
            <w:tcW w:w="850" w:type="dxa"/>
          </w:tcPr>
          <w:p w:rsidR="00DF65A6" w:rsidRPr="007C51D6" w:rsidRDefault="00DF65A6" w:rsidP="001D71F6">
            <w:pPr>
              <w:jc w:val="center"/>
              <w:rPr>
                <w:color w:val="000000"/>
                <w:sz w:val="20"/>
                <w:szCs w:val="20"/>
              </w:rPr>
            </w:pPr>
            <w:r w:rsidRPr="007C51D6">
              <w:rPr>
                <w:color w:val="000000"/>
                <w:sz w:val="20"/>
                <w:szCs w:val="20"/>
              </w:rPr>
              <w:t>97,94</w:t>
            </w:r>
          </w:p>
          <w:p w:rsidR="00DF65A6" w:rsidRPr="007C51D6" w:rsidRDefault="00DF65A6" w:rsidP="001D71F6">
            <w:pPr>
              <w:jc w:val="center"/>
              <w:rPr>
                <w:color w:val="000000"/>
                <w:sz w:val="20"/>
                <w:szCs w:val="20"/>
              </w:rPr>
            </w:pPr>
          </w:p>
        </w:tc>
        <w:tc>
          <w:tcPr>
            <w:tcW w:w="993" w:type="dxa"/>
          </w:tcPr>
          <w:p w:rsidR="00DF65A6" w:rsidRPr="007C51D6" w:rsidRDefault="00DF65A6" w:rsidP="001D71F6">
            <w:pPr>
              <w:jc w:val="center"/>
              <w:rPr>
                <w:color w:val="000000"/>
                <w:sz w:val="20"/>
                <w:szCs w:val="20"/>
              </w:rPr>
            </w:pPr>
            <w:r w:rsidRPr="007C51D6">
              <w:rPr>
                <w:color w:val="000000"/>
                <w:sz w:val="20"/>
                <w:szCs w:val="20"/>
              </w:rPr>
              <w:t>99,32</w:t>
            </w:r>
          </w:p>
        </w:tc>
        <w:tc>
          <w:tcPr>
            <w:tcW w:w="992" w:type="dxa"/>
          </w:tcPr>
          <w:p w:rsidR="00DF65A6" w:rsidRPr="007C51D6" w:rsidRDefault="00DF65A6" w:rsidP="001D71F6">
            <w:pPr>
              <w:jc w:val="center"/>
              <w:rPr>
                <w:color w:val="000000"/>
                <w:sz w:val="20"/>
                <w:szCs w:val="20"/>
              </w:rPr>
            </w:pPr>
            <w:r w:rsidRPr="007C51D6">
              <w:rPr>
                <w:color w:val="000000"/>
                <w:sz w:val="20"/>
                <w:szCs w:val="20"/>
              </w:rPr>
              <w:t>111,11</w:t>
            </w:r>
          </w:p>
        </w:tc>
        <w:tc>
          <w:tcPr>
            <w:tcW w:w="850" w:type="dxa"/>
          </w:tcPr>
          <w:p w:rsidR="00DF65A6" w:rsidRPr="007C51D6" w:rsidRDefault="00DF65A6" w:rsidP="001D71F6">
            <w:pPr>
              <w:jc w:val="center"/>
              <w:rPr>
                <w:color w:val="000000"/>
                <w:sz w:val="20"/>
                <w:szCs w:val="20"/>
              </w:rPr>
            </w:pPr>
            <w:r w:rsidRPr="007C51D6">
              <w:rPr>
                <w:color w:val="000000"/>
                <w:sz w:val="20"/>
                <w:szCs w:val="20"/>
              </w:rPr>
              <w:t>117,97</w:t>
            </w:r>
          </w:p>
        </w:tc>
        <w:tc>
          <w:tcPr>
            <w:tcW w:w="851" w:type="dxa"/>
          </w:tcPr>
          <w:p w:rsidR="00DF65A6" w:rsidRPr="007C51D6" w:rsidRDefault="00DF65A6" w:rsidP="001D71F6">
            <w:pPr>
              <w:jc w:val="center"/>
              <w:rPr>
                <w:color w:val="000000"/>
                <w:sz w:val="20"/>
                <w:szCs w:val="20"/>
              </w:rPr>
            </w:pPr>
            <w:r w:rsidRPr="007C51D6">
              <w:rPr>
                <w:color w:val="000000"/>
                <w:sz w:val="20"/>
                <w:szCs w:val="20"/>
              </w:rPr>
              <w:t>119,62</w:t>
            </w:r>
          </w:p>
        </w:tc>
        <w:tc>
          <w:tcPr>
            <w:tcW w:w="850" w:type="dxa"/>
          </w:tcPr>
          <w:p w:rsidR="00DF65A6" w:rsidRPr="007C51D6" w:rsidRDefault="00DF65A6" w:rsidP="001D71F6">
            <w:pPr>
              <w:jc w:val="center"/>
              <w:rPr>
                <w:color w:val="000000"/>
                <w:sz w:val="20"/>
                <w:szCs w:val="20"/>
              </w:rPr>
            </w:pPr>
            <w:r w:rsidRPr="007C51D6">
              <w:rPr>
                <w:color w:val="000000"/>
                <w:sz w:val="20"/>
                <w:szCs w:val="20"/>
              </w:rPr>
              <w:t>133,82</w:t>
            </w:r>
          </w:p>
        </w:tc>
        <w:tc>
          <w:tcPr>
            <w:tcW w:w="820" w:type="dxa"/>
          </w:tcPr>
          <w:p w:rsidR="005F2112" w:rsidRPr="007C51D6" w:rsidRDefault="005F2112" w:rsidP="0028241C">
            <w:pPr>
              <w:ind w:left="-57" w:right="-57"/>
              <w:jc w:val="center"/>
              <w:rPr>
                <w:color w:val="000000"/>
                <w:sz w:val="20"/>
                <w:szCs w:val="20"/>
              </w:rPr>
            </w:pPr>
            <w:r w:rsidRPr="007C51D6">
              <w:rPr>
                <w:color w:val="000000"/>
                <w:sz w:val="20"/>
                <w:szCs w:val="20"/>
              </w:rPr>
              <w:t xml:space="preserve">нет </w:t>
            </w:r>
          </w:p>
          <w:p w:rsidR="00DF65A6" w:rsidRPr="007C51D6" w:rsidRDefault="005F2112" w:rsidP="0028241C">
            <w:pPr>
              <w:ind w:left="-57" w:right="-57"/>
              <w:jc w:val="center"/>
              <w:rPr>
                <w:color w:val="000000"/>
                <w:sz w:val="20"/>
                <w:szCs w:val="20"/>
              </w:rPr>
            </w:pPr>
            <w:r w:rsidRPr="007C51D6">
              <w:rPr>
                <w:color w:val="000000"/>
                <w:sz w:val="20"/>
                <w:szCs w:val="20"/>
              </w:rPr>
              <w:t>данных</w:t>
            </w:r>
          </w:p>
        </w:tc>
      </w:tr>
    </w:tbl>
    <w:p w:rsidR="0046074A" w:rsidRPr="007C51D6" w:rsidRDefault="0046074A" w:rsidP="004A6001">
      <w:pPr>
        <w:tabs>
          <w:tab w:val="left" w:pos="6379"/>
        </w:tabs>
        <w:autoSpaceDE/>
        <w:autoSpaceDN/>
        <w:adjustRightInd/>
        <w:spacing w:line="245" w:lineRule="auto"/>
        <w:ind w:firstLine="709"/>
        <w:jc w:val="right"/>
        <w:rPr>
          <w:rFonts w:eastAsia="Arial"/>
          <w:sz w:val="28"/>
          <w:szCs w:val="28"/>
        </w:rPr>
      </w:pPr>
    </w:p>
    <w:p w:rsidR="007F3AFB" w:rsidRPr="007C51D6" w:rsidRDefault="007F3AFB" w:rsidP="004A6001">
      <w:pPr>
        <w:autoSpaceDE/>
        <w:autoSpaceDN/>
        <w:adjustRightInd/>
        <w:spacing w:line="245" w:lineRule="auto"/>
        <w:ind w:firstLine="709"/>
        <w:jc w:val="both"/>
        <w:rPr>
          <w:rFonts w:eastAsia="Arial"/>
          <w:sz w:val="20"/>
          <w:szCs w:val="20"/>
        </w:rPr>
      </w:pPr>
      <w:r w:rsidRPr="007C51D6">
        <w:rPr>
          <w:rFonts w:eastAsia="Arial"/>
          <w:sz w:val="20"/>
          <w:szCs w:val="20"/>
        </w:rPr>
        <w:t xml:space="preserve">*Представлены оперативные данные. </w:t>
      </w:r>
    </w:p>
    <w:p w:rsidR="007F3AFB" w:rsidRPr="007C51D6" w:rsidRDefault="007F3AFB" w:rsidP="004A6001">
      <w:pPr>
        <w:autoSpaceDE/>
        <w:autoSpaceDN/>
        <w:adjustRightInd/>
        <w:spacing w:line="245" w:lineRule="auto"/>
        <w:ind w:firstLine="709"/>
        <w:jc w:val="both"/>
        <w:rPr>
          <w:rFonts w:eastAsia="Arial"/>
          <w:sz w:val="28"/>
          <w:szCs w:val="28"/>
        </w:rPr>
      </w:pPr>
    </w:p>
    <w:p w:rsidR="00B478CF" w:rsidRPr="007C51D6" w:rsidRDefault="00B478CF" w:rsidP="004A6001">
      <w:pPr>
        <w:autoSpaceDE/>
        <w:autoSpaceDN/>
        <w:adjustRightInd/>
        <w:spacing w:line="245" w:lineRule="auto"/>
        <w:ind w:firstLine="709"/>
        <w:jc w:val="both"/>
        <w:rPr>
          <w:rFonts w:eastAsia="Arial"/>
          <w:sz w:val="28"/>
          <w:szCs w:val="28"/>
        </w:rPr>
      </w:pPr>
      <w:r w:rsidRPr="007C51D6">
        <w:rPr>
          <w:rFonts w:eastAsia="Arial"/>
          <w:sz w:val="28"/>
          <w:szCs w:val="28"/>
        </w:rPr>
        <w:t xml:space="preserve">За </w:t>
      </w:r>
      <w:r w:rsidR="004A6001" w:rsidRPr="007C51D6">
        <w:rPr>
          <w:rFonts w:eastAsia="Arial"/>
          <w:sz w:val="28"/>
          <w:szCs w:val="28"/>
        </w:rPr>
        <w:t>10-</w:t>
      </w:r>
      <w:r w:rsidRPr="007C51D6">
        <w:rPr>
          <w:rFonts w:eastAsia="Arial"/>
          <w:sz w:val="28"/>
          <w:szCs w:val="28"/>
        </w:rPr>
        <w:t>летний период (201</w:t>
      </w:r>
      <w:r w:rsidR="00B23292" w:rsidRPr="007C51D6">
        <w:rPr>
          <w:rFonts w:eastAsia="Arial"/>
          <w:sz w:val="28"/>
          <w:szCs w:val="28"/>
        </w:rPr>
        <w:t>6</w:t>
      </w:r>
      <w:r w:rsidRPr="007C51D6">
        <w:rPr>
          <w:rFonts w:eastAsia="Arial"/>
          <w:sz w:val="28"/>
          <w:szCs w:val="28"/>
        </w:rPr>
        <w:t xml:space="preserve"> – 202</w:t>
      </w:r>
      <w:r w:rsidR="00B23292" w:rsidRPr="007C51D6">
        <w:rPr>
          <w:rFonts w:eastAsia="Arial"/>
          <w:sz w:val="28"/>
          <w:szCs w:val="28"/>
        </w:rPr>
        <w:t>5</w:t>
      </w:r>
      <w:r w:rsidRPr="007C51D6">
        <w:rPr>
          <w:rFonts w:eastAsia="Arial"/>
          <w:sz w:val="28"/>
          <w:szCs w:val="28"/>
        </w:rPr>
        <w:t xml:space="preserve"> годы) зарегистрировано увеличение числа пациентов, умерших от </w:t>
      </w:r>
      <w:r w:rsidR="004A6001" w:rsidRPr="007C51D6">
        <w:rPr>
          <w:rFonts w:eastAsia="Arial"/>
          <w:sz w:val="28"/>
          <w:szCs w:val="28"/>
        </w:rPr>
        <w:t>ЗНО</w:t>
      </w:r>
      <w:r w:rsidRPr="007C51D6">
        <w:rPr>
          <w:rFonts w:eastAsia="Arial"/>
          <w:sz w:val="28"/>
          <w:szCs w:val="28"/>
        </w:rPr>
        <w:t xml:space="preserve"> и не состоявших на учете в онкологических учреждениях (2024 год – </w:t>
      </w:r>
      <w:r w:rsidR="00366676" w:rsidRPr="007C51D6">
        <w:rPr>
          <w:rFonts w:eastAsia="Arial"/>
          <w:sz w:val="28"/>
          <w:szCs w:val="28"/>
        </w:rPr>
        <w:t>1015</w:t>
      </w:r>
      <w:r w:rsidRPr="007C51D6">
        <w:rPr>
          <w:rFonts w:eastAsia="Arial"/>
          <w:sz w:val="28"/>
          <w:szCs w:val="28"/>
        </w:rPr>
        <w:t xml:space="preserve"> человек, 201</w:t>
      </w:r>
      <w:r w:rsidR="00366676" w:rsidRPr="007C51D6">
        <w:rPr>
          <w:rFonts w:eastAsia="Arial"/>
          <w:sz w:val="28"/>
          <w:szCs w:val="28"/>
        </w:rPr>
        <w:t>6</w:t>
      </w:r>
      <w:r w:rsidRPr="007C51D6">
        <w:rPr>
          <w:rFonts w:eastAsia="Arial"/>
          <w:sz w:val="28"/>
          <w:szCs w:val="28"/>
        </w:rPr>
        <w:t xml:space="preserve"> год – </w:t>
      </w:r>
      <w:r w:rsidR="00366676" w:rsidRPr="007C51D6">
        <w:rPr>
          <w:rFonts w:eastAsia="Arial"/>
          <w:sz w:val="28"/>
          <w:szCs w:val="28"/>
        </w:rPr>
        <w:t>714</w:t>
      </w:r>
      <w:r w:rsidRPr="007C51D6">
        <w:rPr>
          <w:rFonts w:eastAsia="Arial"/>
          <w:sz w:val="28"/>
          <w:szCs w:val="28"/>
        </w:rPr>
        <w:t xml:space="preserve"> человек). </w:t>
      </w:r>
    </w:p>
    <w:p w:rsidR="007200F0" w:rsidRPr="007C51D6" w:rsidRDefault="007200F0" w:rsidP="00D649F2">
      <w:pPr>
        <w:autoSpaceDE/>
        <w:autoSpaceDN/>
        <w:adjustRightInd/>
        <w:spacing w:line="245" w:lineRule="auto"/>
        <w:ind w:firstLine="709"/>
        <w:jc w:val="both"/>
        <w:rPr>
          <w:rFonts w:eastAsia="Arial"/>
          <w:sz w:val="28"/>
          <w:szCs w:val="28"/>
        </w:rPr>
      </w:pPr>
      <w:r w:rsidRPr="007C51D6">
        <w:rPr>
          <w:rFonts w:eastAsia="Arial"/>
          <w:sz w:val="28"/>
          <w:szCs w:val="28"/>
        </w:rPr>
        <w:t xml:space="preserve">Вместе с тем, тенденция к росту числа пациентов, умерших от ЗНО и не состоявших на учете в онкологических учреждениях, а также показателя «Соотношение числа пациентов, умерших от ЗНО и не состоявших на учете в онкологических учреждениях, на 1 000 умерших от ЗНО», коррелирует с темпами прироста числа проведенных </w:t>
      </w:r>
      <w:r w:rsidR="00D649F2" w:rsidRPr="007C51D6">
        <w:rPr>
          <w:rFonts w:eastAsia="Arial"/>
          <w:sz w:val="28"/>
          <w:szCs w:val="28"/>
        </w:rPr>
        <w:t xml:space="preserve">патологоанатомических вскрытий </w:t>
      </w:r>
      <w:r w:rsidR="00EB7DEC" w:rsidRPr="007C51D6">
        <w:rPr>
          <w:rFonts w:eastAsia="Arial"/>
          <w:sz w:val="28"/>
          <w:szCs w:val="28"/>
        </w:rPr>
        <w:t xml:space="preserve">в Республике Татарстан </w:t>
      </w:r>
      <w:r w:rsidR="00D649F2" w:rsidRPr="007C51D6">
        <w:rPr>
          <w:rFonts w:eastAsia="Arial"/>
          <w:sz w:val="28"/>
          <w:szCs w:val="28"/>
        </w:rPr>
        <w:t xml:space="preserve">на 159,0 процентов (2025 год – 21210 вскрытий, 2016 год – 8159 вскрытий) и числа </w:t>
      </w:r>
      <w:r w:rsidRPr="007C51D6">
        <w:rPr>
          <w:rFonts w:eastAsia="Arial"/>
          <w:sz w:val="28"/>
          <w:szCs w:val="28"/>
        </w:rPr>
        <w:t xml:space="preserve">выявленных </w:t>
      </w:r>
      <w:r w:rsidR="00EB7DEC" w:rsidRPr="007C51D6">
        <w:rPr>
          <w:rFonts w:eastAsia="Arial"/>
          <w:sz w:val="28"/>
          <w:szCs w:val="28"/>
        </w:rPr>
        <w:t xml:space="preserve">случаев ЗНО </w:t>
      </w:r>
      <w:r w:rsidR="00D649F2" w:rsidRPr="007C51D6">
        <w:rPr>
          <w:rFonts w:eastAsia="Arial"/>
          <w:sz w:val="28"/>
          <w:szCs w:val="28"/>
        </w:rPr>
        <w:t xml:space="preserve">при вскрытиях на 116,8 процентов (2025 год – 993 случая, 2016 год – 458 случаев). </w:t>
      </w:r>
    </w:p>
    <w:p w:rsidR="002B1D7A" w:rsidRPr="007C51D6" w:rsidRDefault="00EA3585" w:rsidP="001D71F6">
      <w:pPr>
        <w:autoSpaceDE/>
        <w:autoSpaceDN/>
        <w:adjustRightInd/>
        <w:ind w:firstLine="709"/>
        <w:jc w:val="right"/>
        <w:rPr>
          <w:rFonts w:eastAsia="Arial"/>
          <w:sz w:val="28"/>
          <w:szCs w:val="28"/>
        </w:rPr>
      </w:pPr>
      <w:r w:rsidRPr="007C51D6">
        <w:rPr>
          <w:rFonts w:eastAsia="Arial"/>
          <w:sz w:val="28"/>
          <w:szCs w:val="28"/>
        </w:rPr>
        <w:t>Т</w:t>
      </w:r>
      <w:r w:rsidR="002B1D7A" w:rsidRPr="007C51D6">
        <w:rPr>
          <w:rFonts w:eastAsia="Arial"/>
          <w:sz w:val="28"/>
          <w:szCs w:val="28"/>
        </w:rPr>
        <w:t xml:space="preserve">аблица </w:t>
      </w:r>
      <w:r w:rsidR="0046074A" w:rsidRPr="007C51D6">
        <w:rPr>
          <w:rFonts w:eastAsia="Arial"/>
          <w:sz w:val="28"/>
          <w:szCs w:val="28"/>
        </w:rPr>
        <w:t>12.1</w:t>
      </w:r>
    </w:p>
    <w:p w:rsidR="00EA39D7" w:rsidRPr="007C51D6" w:rsidRDefault="00EA39D7" w:rsidP="001D71F6">
      <w:pPr>
        <w:autoSpaceDE/>
        <w:autoSpaceDN/>
        <w:adjustRightInd/>
        <w:jc w:val="center"/>
        <w:rPr>
          <w:rFonts w:eastAsia="Arial"/>
          <w:sz w:val="28"/>
          <w:szCs w:val="28"/>
        </w:rPr>
      </w:pPr>
      <w:r w:rsidRPr="007C51D6">
        <w:rPr>
          <w:rFonts w:eastAsia="Arial"/>
          <w:sz w:val="28"/>
          <w:szCs w:val="28"/>
        </w:rPr>
        <w:t xml:space="preserve">Доля пациентов, умерших от </w:t>
      </w:r>
      <w:r w:rsidR="00BE34FD" w:rsidRPr="007C51D6">
        <w:rPr>
          <w:rFonts w:eastAsia="Arial"/>
          <w:sz w:val="28"/>
          <w:szCs w:val="28"/>
        </w:rPr>
        <w:t>ЗНО</w:t>
      </w:r>
      <w:r w:rsidRPr="007C51D6">
        <w:rPr>
          <w:rFonts w:eastAsia="Arial"/>
          <w:sz w:val="28"/>
          <w:szCs w:val="28"/>
        </w:rPr>
        <w:t xml:space="preserve"> и не состоявших на учете</w:t>
      </w:r>
    </w:p>
    <w:p w:rsidR="00EA39D7" w:rsidRPr="007C51D6" w:rsidRDefault="00EA39D7" w:rsidP="001D71F6">
      <w:pPr>
        <w:autoSpaceDE/>
        <w:autoSpaceDN/>
        <w:adjustRightInd/>
        <w:jc w:val="center"/>
        <w:rPr>
          <w:rFonts w:eastAsia="Arial"/>
          <w:sz w:val="28"/>
          <w:szCs w:val="28"/>
        </w:rPr>
      </w:pPr>
      <w:r w:rsidRPr="007C51D6">
        <w:rPr>
          <w:rFonts w:eastAsia="Arial"/>
          <w:sz w:val="28"/>
          <w:szCs w:val="28"/>
        </w:rPr>
        <w:t xml:space="preserve">в онкологических учреждениях, от общего числа пациентов, умерших от </w:t>
      </w:r>
      <w:r w:rsidR="00BE34FD" w:rsidRPr="007C51D6">
        <w:rPr>
          <w:rFonts w:eastAsia="Arial"/>
          <w:sz w:val="28"/>
          <w:szCs w:val="28"/>
        </w:rPr>
        <w:t>ЗНО</w:t>
      </w:r>
      <w:r w:rsidR="004A6001" w:rsidRPr="007C51D6">
        <w:rPr>
          <w:rFonts w:eastAsia="Arial"/>
          <w:sz w:val="28"/>
          <w:szCs w:val="28"/>
        </w:rPr>
        <w:t>,</w:t>
      </w:r>
      <w:r w:rsidRPr="007C51D6">
        <w:rPr>
          <w:rFonts w:eastAsia="Arial"/>
          <w:sz w:val="28"/>
          <w:szCs w:val="28"/>
        </w:rPr>
        <w:t xml:space="preserve"> </w:t>
      </w:r>
    </w:p>
    <w:p w:rsidR="005A484F" w:rsidRDefault="00EA39D7" w:rsidP="001D71F6">
      <w:pPr>
        <w:autoSpaceDE/>
        <w:autoSpaceDN/>
        <w:adjustRightInd/>
        <w:jc w:val="center"/>
        <w:rPr>
          <w:rFonts w:eastAsia="Arial"/>
          <w:sz w:val="28"/>
          <w:szCs w:val="28"/>
        </w:rPr>
      </w:pPr>
      <w:r w:rsidRPr="007C51D6">
        <w:rPr>
          <w:rFonts w:eastAsia="Arial"/>
          <w:sz w:val="28"/>
          <w:szCs w:val="28"/>
        </w:rPr>
        <w:t>в Республике Татарстан в 201</w:t>
      </w:r>
      <w:r w:rsidR="00DE2869" w:rsidRPr="007C51D6">
        <w:rPr>
          <w:rFonts w:eastAsia="Arial"/>
          <w:sz w:val="28"/>
          <w:szCs w:val="28"/>
        </w:rPr>
        <w:t>6</w:t>
      </w:r>
      <w:r w:rsidRPr="007C51D6">
        <w:rPr>
          <w:rFonts w:eastAsia="Arial"/>
          <w:sz w:val="28"/>
          <w:szCs w:val="28"/>
        </w:rPr>
        <w:t>, 202</w:t>
      </w:r>
      <w:r w:rsidR="00DE2869" w:rsidRPr="007C51D6">
        <w:rPr>
          <w:rFonts w:eastAsia="Arial"/>
          <w:sz w:val="28"/>
          <w:szCs w:val="28"/>
        </w:rPr>
        <w:t>4</w:t>
      </w:r>
      <w:r w:rsidRPr="007C51D6">
        <w:rPr>
          <w:rFonts w:eastAsia="Arial"/>
          <w:sz w:val="28"/>
          <w:szCs w:val="28"/>
        </w:rPr>
        <w:t>, 202</w:t>
      </w:r>
      <w:r w:rsidR="00DE2869" w:rsidRPr="007C51D6">
        <w:rPr>
          <w:rFonts w:eastAsia="Arial"/>
          <w:sz w:val="28"/>
          <w:szCs w:val="28"/>
        </w:rPr>
        <w:t>5</w:t>
      </w:r>
      <w:r w:rsidRPr="007C51D6">
        <w:rPr>
          <w:rFonts w:eastAsia="Arial"/>
          <w:sz w:val="28"/>
          <w:szCs w:val="28"/>
        </w:rPr>
        <w:t xml:space="preserve"> годах</w:t>
      </w:r>
    </w:p>
    <w:p w:rsidR="0028241C" w:rsidRDefault="0028241C" w:rsidP="001D71F6">
      <w:pPr>
        <w:autoSpaceDE/>
        <w:autoSpaceDN/>
        <w:adjustRightInd/>
        <w:jc w:val="center"/>
        <w:rPr>
          <w:rFonts w:eastAsia="Arial"/>
          <w:sz w:val="28"/>
          <w:szCs w:val="28"/>
        </w:rPr>
      </w:pPr>
    </w:p>
    <w:tbl>
      <w:tblPr>
        <w:tblW w:w="151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1256"/>
        <w:gridCol w:w="1275"/>
        <w:gridCol w:w="1276"/>
        <w:gridCol w:w="1276"/>
        <w:gridCol w:w="1276"/>
        <w:gridCol w:w="1275"/>
        <w:gridCol w:w="1276"/>
        <w:gridCol w:w="1276"/>
        <w:gridCol w:w="1276"/>
      </w:tblGrid>
      <w:tr w:rsidR="0028241C" w:rsidRPr="007C51D6" w:rsidTr="00DC67CB">
        <w:trPr>
          <w:trHeight w:val="20"/>
        </w:trPr>
        <w:tc>
          <w:tcPr>
            <w:tcW w:w="3681" w:type="dxa"/>
            <w:vMerge w:val="restart"/>
            <w:tcBorders>
              <w:bottom w:val="nil"/>
            </w:tcBorders>
            <w:shd w:val="clear" w:color="auto" w:fill="auto"/>
            <w:noWrap/>
          </w:tcPr>
          <w:p w:rsidR="0028241C" w:rsidRPr="007C51D6" w:rsidRDefault="0028241C" w:rsidP="00DC67CB">
            <w:pPr>
              <w:autoSpaceDE/>
              <w:autoSpaceDN/>
              <w:adjustRightInd/>
              <w:jc w:val="center"/>
              <w:rPr>
                <w:bCs/>
                <w:color w:val="000000"/>
                <w:sz w:val="20"/>
                <w:szCs w:val="20"/>
              </w:rPr>
            </w:pPr>
            <w:r w:rsidRPr="007C51D6">
              <w:rPr>
                <w:color w:val="000000"/>
                <w:sz w:val="20"/>
                <w:szCs w:val="20"/>
              </w:rPr>
              <w:t>Локализация ЗНО</w:t>
            </w:r>
          </w:p>
        </w:tc>
        <w:tc>
          <w:tcPr>
            <w:tcW w:w="3807" w:type="dxa"/>
            <w:gridSpan w:val="3"/>
            <w:tcBorders>
              <w:bottom w:val="single" w:sz="4" w:space="0" w:color="auto"/>
            </w:tcBorders>
            <w:shd w:val="clear" w:color="auto" w:fill="auto"/>
            <w:noWrap/>
          </w:tcPr>
          <w:p w:rsidR="0028241C" w:rsidRPr="007C51D6" w:rsidRDefault="0028241C" w:rsidP="00DC67CB">
            <w:pPr>
              <w:autoSpaceDE/>
              <w:autoSpaceDN/>
              <w:adjustRightInd/>
              <w:jc w:val="center"/>
              <w:rPr>
                <w:rFonts w:eastAsia="Arial"/>
                <w:sz w:val="20"/>
                <w:szCs w:val="20"/>
              </w:rPr>
            </w:pPr>
            <w:r w:rsidRPr="007C51D6">
              <w:rPr>
                <w:color w:val="000000"/>
                <w:sz w:val="20"/>
                <w:szCs w:val="20"/>
              </w:rPr>
              <w:t>2016 г.</w:t>
            </w:r>
          </w:p>
        </w:tc>
        <w:tc>
          <w:tcPr>
            <w:tcW w:w="3827" w:type="dxa"/>
            <w:gridSpan w:val="3"/>
            <w:tcBorders>
              <w:bottom w:val="single" w:sz="4" w:space="0" w:color="auto"/>
            </w:tcBorders>
          </w:tcPr>
          <w:p w:rsidR="0028241C" w:rsidRPr="007C51D6" w:rsidRDefault="0028241C" w:rsidP="00DC67CB">
            <w:pPr>
              <w:autoSpaceDE/>
              <w:autoSpaceDN/>
              <w:adjustRightInd/>
              <w:jc w:val="center"/>
              <w:rPr>
                <w:rFonts w:eastAsia="Arial"/>
                <w:sz w:val="20"/>
                <w:szCs w:val="20"/>
              </w:rPr>
            </w:pPr>
            <w:r w:rsidRPr="007C51D6">
              <w:rPr>
                <w:color w:val="000000"/>
                <w:sz w:val="20"/>
                <w:szCs w:val="20"/>
              </w:rPr>
              <w:t xml:space="preserve">2024 г. </w:t>
            </w:r>
          </w:p>
        </w:tc>
        <w:tc>
          <w:tcPr>
            <w:tcW w:w="3828" w:type="dxa"/>
            <w:gridSpan w:val="3"/>
            <w:tcBorders>
              <w:bottom w:val="single" w:sz="4" w:space="0" w:color="auto"/>
            </w:tcBorders>
          </w:tcPr>
          <w:p w:rsidR="0028241C" w:rsidRPr="007C51D6" w:rsidRDefault="0028241C" w:rsidP="00DC67CB">
            <w:pPr>
              <w:autoSpaceDE/>
              <w:autoSpaceDN/>
              <w:adjustRightInd/>
              <w:jc w:val="center"/>
              <w:rPr>
                <w:rFonts w:eastAsia="Arial"/>
                <w:sz w:val="20"/>
                <w:szCs w:val="20"/>
              </w:rPr>
            </w:pPr>
            <w:r w:rsidRPr="007C51D6">
              <w:rPr>
                <w:color w:val="000000"/>
                <w:sz w:val="20"/>
                <w:szCs w:val="20"/>
              </w:rPr>
              <w:t xml:space="preserve">2025 г.* </w:t>
            </w:r>
          </w:p>
        </w:tc>
      </w:tr>
      <w:tr w:rsidR="0028241C" w:rsidRPr="007C51D6" w:rsidTr="0028241C">
        <w:trPr>
          <w:trHeight w:val="20"/>
        </w:trPr>
        <w:tc>
          <w:tcPr>
            <w:tcW w:w="3681" w:type="dxa"/>
            <w:vMerge/>
            <w:tcBorders>
              <w:bottom w:val="single" w:sz="4" w:space="0" w:color="auto"/>
            </w:tcBorders>
            <w:shd w:val="clear" w:color="auto" w:fill="auto"/>
            <w:noWrap/>
          </w:tcPr>
          <w:p w:rsidR="0028241C" w:rsidRPr="007C51D6" w:rsidRDefault="0028241C" w:rsidP="00DC67CB">
            <w:pPr>
              <w:autoSpaceDE/>
              <w:autoSpaceDN/>
              <w:adjustRightInd/>
              <w:jc w:val="center"/>
              <w:rPr>
                <w:bCs/>
                <w:color w:val="000000"/>
                <w:sz w:val="20"/>
                <w:szCs w:val="20"/>
              </w:rPr>
            </w:pPr>
          </w:p>
        </w:tc>
        <w:tc>
          <w:tcPr>
            <w:tcW w:w="1256" w:type="dxa"/>
            <w:tcBorders>
              <w:bottom w:val="single" w:sz="4" w:space="0" w:color="auto"/>
            </w:tcBorders>
            <w:shd w:val="clear" w:color="auto" w:fill="auto"/>
            <w:noWrap/>
          </w:tcPr>
          <w:p w:rsidR="0028241C" w:rsidRPr="007C51D6" w:rsidRDefault="0028241C" w:rsidP="00DC67CB">
            <w:pPr>
              <w:autoSpaceDE/>
              <w:autoSpaceDN/>
              <w:adjustRightInd/>
              <w:jc w:val="center"/>
              <w:rPr>
                <w:bCs/>
                <w:color w:val="000000"/>
                <w:sz w:val="20"/>
                <w:szCs w:val="20"/>
              </w:rPr>
            </w:pPr>
            <w:r w:rsidRPr="007C51D6">
              <w:rPr>
                <w:color w:val="000000"/>
                <w:sz w:val="20"/>
                <w:szCs w:val="20"/>
              </w:rPr>
              <w:t>число умерших от ЗНО и не состоявших на учете</w:t>
            </w:r>
          </w:p>
        </w:tc>
        <w:tc>
          <w:tcPr>
            <w:tcW w:w="1275" w:type="dxa"/>
            <w:tcBorders>
              <w:bottom w:val="single" w:sz="4" w:space="0" w:color="auto"/>
            </w:tcBorders>
            <w:shd w:val="clear" w:color="auto" w:fill="auto"/>
            <w:noWrap/>
          </w:tcPr>
          <w:p w:rsidR="0028241C" w:rsidRPr="007C51D6" w:rsidRDefault="0028241C" w:rsidP="00DC67CB">
            <w:pPr>
              <w:jc w:val="center"/>
              <w:rPr>
                <w:bCs/>
                <w:color w:val="000000"/>
                <w:sz w:val="20"/>
                <w:szCs w:val="20"/>
              </w:rPr>
            </w:pPr>
            <w:r w:rsidRPr="007C51D6">
              <w:rPr>
                <w:color w:val="000000"/>
                <w:sz w:val="20"/>
                <w:szCs w:val="20"/>
              </w:rPr>
              <w:t>число умерших от ЗНО</w:t>
            </w:r>
          </w:p>
        </w:tc>
        <w:tc>
          <w:tcPr>
            <w:tcW w:w="1276" w:type="dxa"/>
            <w:tcBorders>
              <w:bottom w:val="single" w:sz="4" w:space="0" w:color="auto"/>
            </w:tcBorders>
            <w:shd w:val="clear" w:color="auto" w:fill="auto"/>
            <w:noWrap/>
          </w:tcPr>
          <w:p w:rsidR="0028241C" w:rsidRPr="007C51D6" w:rsidRDefault="0028241C" w:rsidP="00DC67CB">
            <w:pPr>
              <w:autoSpaceDE/>
              <w:autoSpaceDN/>
              <w:adjustRightInd/>
              <w:jc w:val="center"/>
              <w:rPr>
                <w:rFonts w:eastAsia="Arial"/>
                <w:sz w:val="20"/>
                <w:szCs w:val="20"/>
              </w:rPr>
            </w:pPr>
            <w:r w:rsidRPr="007C51D6">
              <w:rPr>
                <w:rFonts w:eastAsia="Arial"/>
                <w:sz w:val="20"/>
                <w:szCs w:val="20"/>
              </w:rPr>
              <w:t>доля пациентов, умерших от ЗНО и не состоявших на учете</w:t>
            </w:r>
          </w:p>
          <w:p w:rsidR="0028241C" w:rsidRPr="007C51D6" w:rsidRDefault="0028241C" w:rsidP="00DC67CB">
            <w:pPr>
              <w:jc w:val="center"/>
              <w:rPr>
                <w:bCs/>
                <w:color w:val="000000"/>
                <w:sz w:val="20"/>
                <w:szCs w:val="20"/>
              </w:rPr>
            </w:pPr>
            <w:r w:rsidRPr="007C51D6">
              <w:rPr>
                <w:rFonts w:eastAsia="Arial"/>
                <w:sz w:val="20"/>
                <w:szCs w:val="20"/>
              </w:rPr>
              <w:t>в онкологических учреждениях, от общего числа пациентов, умерших от ЗНО</w:t>
            </w:r>
          </w:p>
        </w:tc>
        <w:tc>
          <w:tcPr>
            <w:tcW w:w="1276" w:type="dxa"/>
            <w:tcBorders>
              <w:bottom w:val="single" w:sz="4" w:space="0" w:color="auto"/>
            </w:tcBorders>
          </w:tcPr>
          <w:p w:rsidR="0028241C" w:rsidRPr="007C51D6" w:rsidRDefault="0028241C" w:rsidP="00DC67CB">
            <w:pPr>
              <w:jc w:val="center"/>
              <w:rPr>
                <w:bCs/>
                <w:color w:val="000000"/>
                <w:sz w:val="20"/>
                <w:szCs w:val="20"/>
              </w:rPr>
            </w:pPr>
            <w:r w:rsidRPr="007C51D6">
              <w:rPr>
                <w:color w:val="000000"/>
                <w:sz w:val="20"/>
                <w:szCs w:val="20"/>
              </w:rPr>
              <w:t xml:space="preserve">число умерших от </w:t>
            </w:r>
            <w:r w:rsidRPr="007C51D6">
              <w:rPr>
                <w:rFonts w:eastAsia="Arial"/>
                <w:sz w:val="20"/>
                <w:szCs w:val="20"/>
              </w:rPr>
              <w:t>ЗНО</w:t>
            </w:r>
            <w:r w:rsidRPr="007C51D6">
              <w:rPr>
                <w:color w:val="000000"/>
                <w:sz w:val="20"/>
                <w:szCs w:val="20"/>
              </w:rPr>
              <w:t xml:space="preserve"> и не состоявших на учете</w:t>
            </w:r>
          </w:p>
        </w:tc>
        <w:tc>
          <w:tcPr>
            <w:tcW w:w="1276" w:type="dxa"/>
            <w:tcBorders>
              <w:bottom w:val="single" w:sz="4" w:space="0" w:color="auto"/>
            </w:tcBorders>
          </w:tcPr>
          <w:p w:rsidR="0028241C" w:rsidRPr="007C51D6" w:rsidRDefault="0028241C" w:rsidP="00DC67CB">
            <w:pPr>
              <w:jc w:val="center"/>
              <w:rPr>
                <w:bCs/>
                <w:color w:val="000000"/>
                <w:sz w:val="20"/>
                <w:szCs w:val="20"/>
              </w:rPr>
            </w:pPr>
            <w:r w:rsidRPr="007C51D6">
              <w:rPr>
                <w:color w:val="000000"/>
                <w:sz w:val="20"/>
                <w:szCs w:val="20"/>
              </w:rPr>
              <w:t>число умерших от ЗНО</w:t>
            </w:r>
          </w:p>
        </w:tc>
        <w:tc>
          <w:tcPr>
            <w:tcW w:w="1275" w:type="dxa"/>
            <w:tcBorders>
              <w:bottom w:val="single" w:sz="4" w:space="0" w:color="auto"/>
            </w:tcBorders>
          </w:tcPr>
          <w:p w:rsidR="0028241C" w:rsidRPr="007C51D6" w:rsidRDefault="0028241C" w:rsidP="00DC67CB">
            <w:pPr>
              <w:autoSpaceDE/>
              <w:autoSpaceDN/>
              <w:adjustRightInd/>
              <w:jc w:val="center"/>
              <w:rPr>
                <w:rFonts w:eastAsia="Arial"/>
                <w:sz w:val="20"/>
                <w:szCs w:val="20"/>
              </w:rPr>
            </w:pPr>
            <w:r w:rsidRPr="007C51D6">
              <w:rPr>
                <w:rFonts w:eastAsia="Arial"/>
                <w:sz w:val="20"/>
                <w:szCs w:val="20"/>
              </w:rPr>
              <w:t>доля пациентов, умерших от ЗНО и не состоявших на учете</w:t>
            </w:r>
          </w:p>
          <w:p w:rsidR="0028241C" w:rsidRPr="007C51D6" w:rsidRDefault="0028241C" w:rsidP="00DC67CB">
            <w:pPr>
              <w:jc w:val="center"/>
              <w:rPr>
                <w:bCs/>
                <w:color w:val="000000"/>
                <w:sz w:val="20"/>
                <w:szCs w:val="20"/>
              </w:rPr>
            </w:pPr>
            <w:r w:rsidRPr="007C51D6">
              <w:rPr>
                <w:rFonts w:eastAsia="Arial"/>
                <w:sz w:val="20"/>
                <w:szCs w:val="20"/>
              </w:rPr>
              <w:t>в онкологических учреждениях, от общего числа пациентов, умерших от ЗНО</w:t>
            </w:r>
          </w:p>
        </w:tc>
        <w:tc>
          <w:tcPr>
            <w:tcW w:w="1276" w:type="dxa"/>
            <w:tcBorders>
              <w:bottom w:val="single" w:sz="4" w:space="0" w:color="auto"/>
            </w:tcBorders>
          </w:tcPr>
          <w:p w:rsidR="0028241C" w:rsidRPr="007C51D6" w:rsidRDefault="0028241C" w:rsidP="00DC67CB">
            <w:pPr>
              <w:autoSpaceDE/>
              <w:autoSpaceDN/>
              <w:adjustRightInd/>
              <w:jc w:val="center"/>
              <w:rPr>
                <w:color w:val="000000"/>
                <w:sz w:val="20"/>
                <w:szCs w:val="20"/>
              </w:rPr>
            </w:pPr>
            <w:r w:rsidRPr="007C51D6">
              <w:rPr>
                <w:color w:val="000000"/>
                <w:sz w:val="20"/>
                <w:szCs w:val="20"/>
              </w:rPr>
              <w:t xml:space="preserve">число умерших от </w:t>
            </w:r>
            <w:r w:rsidRPr="007C51D6">
              <w:rPr>
                <w:rFonts w:eastAsia="Arial"/>
                <w:sz w:val="20"/>
                <w:szCs w:val="20"/>
              </w:rPr>
              <w:t xml:space="preserve">ЗНО </w:t>
            </w:r>
            <w:r w:rsidRPr="007C51D6">
              <w:rPr>
                <w:color w:val="000000"/>
                <w:sz w:val="20"/>
                <w:szCs w:val="20"/>
              </w:rPr>
              <w:t>и не состоявших на учете</w:t>
            </w:r>
          </w:p>
        </w:tc>
        <w:tc>
          <w:tcPr>
            <w:tcW w:w="1276" w:type="dxa"/>
            <w:tcBorders>
              <w:bottom w:val="single" w:sz="4" w:space="0" w:color="auto"/>
            </w:tcBorders>
          </w:tcPr>
          <w:p w:rsidR="0028241C" w:rsidRPr="007C51D6" w:rsidRDefault="0028241C" w:rsidP="00DC67CB">
            <w:pPr>
              <w:jc w:val="center"/>
              <w:rPr>
                <w:color w:val="000000"/>
                <w:sz w:val="20"/>
                <w:szCs w:val="20"/>
              </w:rPr>
            </w:pPr>
            <w:r w:rsidRPr="007C51D6">
              <w:rPr>
                <w:color w:val="000000"/>
                <w:sz w:val="20"/>
                <w:szCs w:val="20"/>
              </w:rPr>
              <w:t xml:space="preserve">число умерших от </w:t>
            </w:r>
            <w:r w:rsidRPr="007C51D6">
              <w:rPr>
                <w:rFonts w:eastAsia="Arial"/>
                <w:sz w:val="20"/>
                <w:szCs w:val="20"/>
              </w:rPr>
              <w:t xml:space="preserve">ЗНО </w:t>
            </w:r>
          </w:p>
        </w:tc>
        <w:tc>
          <w:tcPr>
            <w:tcW w:w="1276" w:type="dxa"/>
            <w:tcBorders>
              <w:bottom w:val="single" w:sz="4" w:space="0" w:color="auto"/>
            </w:tcBorders>
          </w:tcPr>
          <w:p w:rsidR="0028241C" w:rsidRPr="007C51D6" w:rsidRDefault="0028241C" w:rsidP="00DC67CB">
            <w:pPr>
              <w:autoSpaceDE/>
              <w:autoSpaceDN/>
              <w:adjustRightInd/>
              <w:jc w:val="center"/>
              <w:rPr>
                <w:rFonts w:eastAsia="Arial"/>
                <w:sz w:val="20"/>
                <w:szCs w:val="20"/>
              </w:rPr>
            </w:pPr>
            <w:r w:rsidRPr="007C51D6">
              <w:rPr>
                <w:rFonts w:eastAsia="Arial"/>
                <w:sz w:val="20"/>
                <w:szCs w:val="20"/>
              </w:rPr>
              <w:t>доля пациентов, умерших от ЗНО и не состоявших на учете</w:t>
            </w:r>
          </w:p>
          <w:p w:rsidR="0028241C" w:rsidRPr="007C51D6" w:rsidRDefault="0028241C" w:rsidP="00DC67CB">
            <w:pPr>
              <w:jc w:val="center"/>
              <w:rPr>
                <w:color w:val="000000"/>
                <w:sz w:val="20"/>
                <w:szCs w:val="20"/>
              </w:rPr>
            </w:pPr>
            <w:r w:rsidRPr="007C51D6">
              <w:rPr>
                <w:rFonts w:eastAsia="Arial"/>
                <w:sz w:val="20"/>
                <w:szCs w:val="20"/>
              </w:rPr>
              <w:t>в онкологических учреждениях, от общего числа пациентов, умерших от ЗНО</w:t>
            </w:r>
          </w:p>
        </w:tc>
      </w:tr>
    </w:tbl>
    <w:p w:rsidR="0028241C" w:rsidRPr="007C51D6" w:rsidRDefault="0028241C" w:rsidP="0028241C">
      <w:pPr>
        <w:autoSpaceDE/>
        <w:autoSpaceDN/>
        <w:adjustRightInd/>
        <w:spacing w:line="72" w:lineRule="auto"/>
        <w:rPr>
          <w:rFonts w:eastAsia="Arial"/>
          <w:sz w:val="28"/>
          <w:szCs w:val="28"/>
        </w:rPr>
      </w:pPr>
    </w:p>
    <w:tbl>
      <w:tblPr>
        <w:tblW w:w="151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1256"/>
        <w:gridCol w:w="1275"/>
        <w:gridCol w:w="1276"/>
        <w:gridCol w:w="1276"/>
        <w:gridCol w:w="1276"/>
        <w:gridCol w:w="1275"/>
        <w:gridCol w:w="1276"/>
        <w:gridCol w:w="1276"/>
        <w:gridCol w:w="1276"/>
      </w:tblGrid>
      <w:tr w:rsidR="00BA2DCC" w:rsidRPr="007C51D6" w:rsidTr="00F602D4">
        <w:trPr>
          <w:trHeight w:val="20"/>
          <w:tblHeader/>
        </w:trPr>
        <w:tc>
          <w:tcPr>
            <w:tcW w:w="3681" w:type="dxa"/>
            <w:shd w:val="clear" w:color="auto" w:fill="auto"/>
            <w:noWrap/>
          </w:tcPr>
          <w:p w:rsidR="00BA2DCC" w:rsidRPr="007C51D6" w:rsidRDefault="00BA2DCC" w:rsidP="00F602D4">
            <w:pPr>
              <w:autoSpaceDE/>
              <w:autoSpaceDN/>
              <w:adjustRightInd/>
              <w:jc w:val="center"/>
              <w:rPr>
                <w:bCs/>
                <w:color w:val="000000"/>
                <w:sz w:val="20"/>
                <w:szCs w:val="20"/>
              </w:rPr>
            </w:pPr>
            <w:r w:rsidRPr="007C51D6">
              <w:rPr>
                <w:bCs/>
                <w:color w:val="000000"/>
                <w:sz w:val="20"/>
                <w:szCs w:val="20"/>
              </w:rPr>
              <w:t>1</w:t>
            </w:r>
          </w:p>
        </w:tc>
        <w:tc>
          <w:tcPr>
            <w:tcW w:w="1256" w:type="dxa"/>
            <w:shd w:val="clear" w:color="auto" w:fill="auto"/>
            <w:noWrap/>
            <w:vAlign w:val="center"/>
          </w:tcPr>
          <w:p w:rsidR="00BA2DCC" w:rsidRPr="007C51D6" w:rsidRDefault="00BA2DCC" w:rsidP="00F602D4">
            <w:pPr>
              <w:autoSpaceDE/>
              <w:autoSpaceDN/>
              <w:adjustRightInd/>
              <w:jc w:val="center"/>
              <w:rPr>
                <w:bCs/>
                <w:color w:val="000000"/>
                <w:sz w:val="20"/>
                <w:szCs w:val="20"/>
              </w:rPr>
            </w:pPr>
            <w:r w:rsidRPr="007C51D6">
              <w:rPr>
                <w:bCs/>
                <w:color w:val="000000"/>
                <w:sz w:val="20"/>
                <w:szCs w:val="20"/>
              </w:rPr>
              <w:t>2</w:t>
            </w:r>
          </w:p>
        </w:tc>
        <w:tc>
          <w:tcPr>
            <w:tcW w:w="1275" w:type="dxa"/>
            <w:shd w:val="clear" w:color="auto" w:fill="auto"/>
            <w:noWrap/>
            <w:vAlign w:val="center"/>
          </w:tcPr>
          <w:p w:rsidR="00BA2DCC" w:rsidRPr="007C51D6" w:rsidRDefault="00BA2DCC" w:rsidP="00F602D4">
            <w:pPr>
              <w:jc w:val="center"/>
              <w:rPr>
                <w:bCs/>
                <w:color w:val="000000"/>
                <w:sz w:val="20"/>
                <w:szCs w:val="20"/>
              </w:rPr>
            </w:pPr>
            <w:r w:rsidRPr="007C51D6">
              <w:rPr>
                <w:bCs/>
                <w:color w:val="000000"/>
                <w:sz w:val="20"/>
                <w:szCs w:val="20"/>
              </w:rPr>
              <w:t>3</w:t>
            </w:r>
          </w:p>
        </w:tc>
        <w:tc>
          <w:tcPr>
            <w:tcW w:w="1276" w:type="dxa"/>
            <w:shd w:val="clear" w:color="auto" w:fill="auto"/>
            <w:noWrap/>
            <w:vAlign w:val="center"/>
          </w:tcPr>
          <w:p w:rsidR="00BA2DCC" w:rsidRPr="007C51D6" w:rsidRDefault="00BA2DCC" w:rsidP="00F602D4">
            <w:pPr>
              <w:jc w:val="center"/>
              <w:rPr>
                <w:bCs/>
                <w:color w:val="000000"/>
                <w:sz w:val="20"/>
                <w:szCs w:val="20"/>
              </w:rPr>
            </w:pPr>
            <w:r w:rsidRPr="007C51D6">
              <w:rPr>
                <w:bCs/>
                <w:color w:val="000000"/>
                <w:sz w:val="20"/>
                <w:szCs w:val="20"/>
              </w:rPr>
              <w:t>4</w:t>
            </w:r>
          </w:p>
        </w:tc>
        <w:tc>
          <w:tcPr>
            <w:tcW w:w="1276" w:type="dxa"/>
            <w:vAlign w:val="center"/>
          </w:tcPr>
          <w:p w:rsidR="00BA2DCC" w:rsidRPr="007C51D6" w:rsidRDefault="00BA2DCC" w:rsidP="00F602D4">
            <w:pPr>
              <w:jc w:val="center"/>
              <w:rPr>
                <w:bCs/>
                <w:color w:val="000000"/>
                <w:sz w:val="20"/>
                <w:szCs w:val="20"/>
              </w:rPr>
            </w:pPr>
            <w:r w:rsidRPr="007C51D6">
              <w:rPr>
                <w:bCs/>
                <w:color w:val="000000"/>
                <w:sz w:val="20"/>
                <w:szCs w:val="20"/>
              </w:rPr>
              <w:t>5</w:t>
            </w:r>
          </w:p>
        </w:tc>
        <w:tc>
          <w:tcPr>
            <w:tcW w:w="1276" w:type="dxa"/>
            <w:vAlign w:val="center"/>
          </w:tcPr>
          <w:p w:rsidR="00BA2DCC" w:rsidRPr="007C51D6" w:rsidRDefault="00BA2DCC" w:rsidP="00F602D4">
            <w:pPr>
              <w:jc w:val="center"/>
              <w:rPr>
                <w:bCs/>
                <w:color w:val="000000"/>
                <w:sz w:val="20"/>
                <w:szCs w:val="20"/>
              </w:rPr>
            </w:pPr>
            <w:r w:rsidRPr="007C51D6">
              <w:rPr>
                <w:bCs/>
                <w:color w:val="000000"/>
                <w:sz w:val="20"/>
                <w:szCs w:val="20"/>
              </w:rPr>
              <w:t>6</w:t>
            </w:r>
          </w:p>
        </w:tc>
        <w:tc>
          <w:tcPr>
            <w:tcW w:w="1275" w:type="dxa"/>
            <w:vAlign w:val="center"/>
          </w:tcPr>
          <w:p w:rsidR="00BA2DCC" w:rsidRPr="007C51D6" w:rsidRDefault="00BA2DCC" w:rsidP="00F602D4">
            <w:pPr>
              <w:jc w:val="center"/>
              <w:rPr>
                <w:bCs/>
                <w:color w:val="000000"/>
                <w:sz w:val="20"/>
                <w:szCs w:val="20"/>
              </w:rPr>
            </w:pPr>
            <w:r w:rsidRPr="007C51D6">
              <w:rPr>
                <w:bCs/>
                <w:color w:val="000000"/>
                <w:sz w:val="20"/>
                <w:szCs w:val="20"/>
              </w:rPr>
              <w:t>7</w:t>
            </w:r>
          </w:p>
        </w:tc>
        <w:tc>
          <w:tcPr>
            <w:tcW w:w="1276" w:type="dxa"/>
          </w:tcPr>
          <w:p w:rsidR="00BA2DCC" w:rsidRPr="007C51D6" w:rsidRDefault="00BA2DCC" w:rsidP="00F602D4">
            <w:pPr>
              <w:autoSpaceDE/>
              <w:autoSpaceDN/>
              <w:adjustRightInd/>
              <w:jc w:val="center"/>
              <w:rPr>
                <w:color w:val="000000"/>
                <w:sz w:val="20"/>
                <w:szCs w:val="20"/>
              </w:rPr>
            </w:pPr>
            <w:r w:rsidRPr="007C51D6">
              <w:rPr>
                <w:color w:val="000000"/>
                <w:sz w:val="20"/>
                <w:szCs w:val="20"/>
              </w:rPr>
              <w:t>8</w:t>
            </w:r>
          </w:p>
        </w:tc>
        <w:tc>
          <w:tcPr>
            <w:tcW w:w="1276" w:type="dxa"/>
          </w:tcPr>
          <w:p w:rsidR="00BA2DCC" w:rsidRPr="007C51D6" w:rsidRDefault="00BA2DCC" w:rsidP="00F602D4">
            <w:pPr>
              <w:jc w:val="center"/>
              <w:rPr>
                <w:color w:val="000000"/>
                <w:sz w:val="20"/>
                <w:szCs w:val="20"/>
              </w:rPr>
            </w:pPr>
            <w:r w:rsidRPr="007C51D6">
              <w:rPr>
                <w:color w:val="000000"/>
                <w:sz w:val="20"/>
                <w:szCs w:val="20"/>
              </w:rPr>
              <w:t>9</w:t>
            </w:r>
          </w:p>
        </w:tc>
        <w:tc>
          <w:tcPr>
            <w:tcW w:w="1276" w:type="dxa"/>
          </w:tcPr>
          <w:p w:rsidR="00BA2DCC" w:rsidRPr="007C51D6" w:rsidRDefault="00BA2DCC" w:rsidP="00F602D4">
            <w:pPr>
              <w:jc w:val="center"/>
              <w:rPr>
                <w:color w:val="000000"/>
                <w:sz w:val="20"/>
                <w:szCs w:val="20"/>
              </w:rPr>
            </w:pPr>
            <w:r w:rsidRPr="007C51D6">
              <w:rPr>
                <w:color w:val="000000"/>
                <w:sz w:val="20"/>
                <w:szCs w:val="20"/>
              </w:rPr>
              <w:t>10</w:t>
            </w:r>
          </w:p>
        </w:tc>
      </w:tr>
      <w:tr w:rsidR="00DF139B" w:rsidRPr="007C51D6" w:rsidTr="00DF139B">
        <w:trPr>
          <w:trHeight w:val="20"/>
        </w:trPr>
        <w:tc>
          <w:tcPr>
            <w:tcW w:w="3681" w:type="dxa"/>
            <w:shd w:val="clear" w:color="auto" w:fill="auto"/>
            <w:noWrap/>
            <w:hideMark/>
          </w:tcPr>
          <w:p w:rsidR="00DF139B" w:rsidRPr="007C51D6" w:rsidRDefault="00DF139B" w:rsidP="00DF139B">
            <w:pPr>
              <w:autoSpaceDE/>
              <w:autoSpaceDN/>
              <w:adjustRightInd/>
              <w:jc w:val="both"/>
              <w:rPr>
                <w:bCs/>
                <w:color w:val="000000"/>
                <w:sz w:val="20"/>
                <w:szCs w:val="20"/>
              </w:rPr>
            </w:pPr>
            <w:r w:rsidRPr="007C51D6">
              <w:rPr>
                <w:bCs/>
                <w:color w:val="000000"/>
                <w:sz w:val="20"/>
                <w:szCs w:val="20"/>
              </w:rPr>
              <w:t>Все локализации</w:t>
            </w:r>
          </w:p>
        </w:tc>
        <w:tc>
          <w:tcPr>
            <w:tcW w:w="1256" w:type="dxa"/>
            <w:shd w:val="clear" w:color="auto" w:fill="auto"/>
            <w:noWrap/>
            <w:vAlign w:val="center"/>
          </w:tcPr>
          <w:p w:rsidR="00DF139B" w:rsidRPr="007C51D6" w:rsidRDefault="00DF139B" w:rsidP="00DF139B">
            <w:pPr>
              <w:widowControl/>
              <w:autoSpaceDE/>
              <w:autoSpaceDN/>
              <w:adjustRightInd/>
              <w:jc w:val="center"/>
              <w:rPr>
                <w:color w:val="000000"/>
                <w:sz w:val="20"/>
                <w:szCs w:val="20"/>
              </w:rPr>
            </w:pPr>
            <w:r w:rsidRPr="007C51D6">
              <w:rPr>
                <w:color w:val="000000"/>
                <w:sz w:val="20"/>
                <w:szCs w:val="20"/>
              </w:rPr>
              <w:t>716</w:t>
            </w:r>
          </w:p>
        </w:tc>
        <w:tc>
          <w:tcPr>
            <w:tcW w:w="1275" w:type="dxa"/>
            <w:shd w:val="clear" w:color="auto" w:fill="auto"/>
            <w:noWrap/>
            <w:vAlign w:val="center"/>
          </w:tcPr>
          <w:p w:rsidR="00DF139B" w:rsidRPr="007C51D6" w:rsidRDefault="00DF139B" w:rsidP="00DF139B">
            <w:pPr>
              <w:widowControl/>
              <w:autoSpaceDE/>
              <w:autoSpaceDN/>
              <w:adjustRightInd/>
              <w:jc w:val="center"/>
              <w:rPr>
                <w:color w:val="000000"/>
                <w:sz w:val="20"/>
                <w:szCs w:val="20"/>
              </w:rPr>
            </w:pPr>
            <w:r w:rsidRPr="007C51D6">
              <w:rPr>
                <w:color w:val="000000"/>
                <w:sz w:val="20"/>
                <w:szCs w:val="20"/>
              </w:rPr>
              <w:t>7549</w:t>
            </w:r>
          </w:p>
        </w:tc>
        <w:tc>
          <w:tcPr>
            <w:tcW w:w="1276" w:type="dxa"/>
            <w:shd w:val="clear" w:color="auto" w:fill="auto"/>
            <w:noWrap/>
            <w:vAlign w:val="center"/>
          </w:tcPr>
          <w:p w:rsidR="00DF139B" w:rsidRPr="007C51D6" w:rsidRDefault="00DF139B" w:rsidP="00DF139B">
            <w:pPr>
              <w:widowControl/>
              <w:autoSpaceDE/>
              <w:autoSpaceDN/>
              <w:adjustRightInd/>
              <w:jc w:val="center"/>
              <w:rPr>
                <w:color w:val="000000"/>
                <w:sz w:val="20"/>
                <w:szCs w:val="20"/>
              </w:rPr>
            </w:pPr>
            <w:r w:rsidRPr="007C51D6">
              <w:rPr>
                <w:color w:val="000000"/>
                <w:sz w:val="20"/>
                <w:szCs w:val="20"/>
              </w:rPr>
              <w:t>9.48</w:t>
            </w:r>
          </w:p>
        </w:tc>
        <w:tc>
          <w:tcPr>
            <w:tcW w:w="1276" w:type="dxa"/>
          </w:tcPr>
          <w:p w:rsidR="00DF139B" w:rsidRPr="007C51D6" w:rsidRDefault="00DF139B" w:rsidP="00DF139B">
            <w:pPr>
              <w:autoSpaceDE/>
              <w:autoSpaceDN/>
              <w:adjustRightInd/>
              <w:jc w:val="center"/>
              <w:rPr>
                <w:color w:val="000000"/>
                <w:sz w:val="20"/>
                <w:szCs w:val="20"/>
              </w:rPr>
            </w:pPr>
            <w:r w:rsidRPr="007C51D6">
              <w:rPr>
                <w:color w:val="000000"/>
                <w:sz w:val="20"/>
                <w:szCs w:val="20"/>
              </w:rPr>
              <w:t>921</w:t>
            </w:r>
          </w:p>
        </w:tc>
        <w:tc>
          <w:tcPr>
            <w:tcW w:w="1276" w:type="dxa"/>
          </w:tcPr>
          <w:p w:rsidR="00DF139B" w:rsidRPr="007C51D6" w:rsidRDefault="00DF139B" w:rsidP="00DF139B">
            <w:pPr>
              <w:jc w:val="center"/>
              <w:rPr>
                <w:color w:val="000000"/>
                <w:sz w:val="20"/>
                <w:szCs w:val="20"/>
              </w:rPr>
            </w:pPr>
            <w:r w:rsidRPr="007C51D6">
              <w:rPr>
                <w:color w:val="000000"/>
                <w:sz w:val="20"/>
                <w:szCs w:val="20"/>
              </w:rPr>
              <w:t>7 069</w:t>
            </w:r>
          </w:p>
        </w:tc>
        <w:tc>
          <w:tcPr>
            <w:tcW w:w="1275" w:type="dxa"/>
          </w:tcPr>
          <w:p w:rsidR="00DF139B" w:rsidRPr="007C51D6" w:rsidRDefault="00DF139B" w:rsidP="00DF139B">
            <w:pPr>
              <w:jc w:val="center"/>
              <w:rPr>
                <w:color w:val="000000"/>
                <w:sz w:val="20"/>
                <w:szCs w:val="20"/>
              </w:rPr>
            </w:pPr>
            <w:r w:rsidRPr="007C51D6">
              <w:rPr>
                <w:color w:val="000000"/>
                <w:sz w:val="20"/>
                <w:szCs w:val="20"/>
              </w:rPr>
              <w:t>13,03</w:t>
            </w:r>
          </w:p>
        </w:tc>
        <w:tc>
          <w:tcPr>
            <w:tcW w:w="1276" w:type="dxa"/>
            <w:vAlign w:val="center"/>
          </w:tcPr>
          <w:p w:rsidR="00DF139B" w:rsidRPr="007C51D6" w:rsidRDefault="00DF139B" w:rsidP="00DF139B">
            <w:pPr>
              <w:widowControl/>
              <w:autoSpaceDE/>
              <w:autoSpaceDN/>
              <w:adjustRightInd/>
              <w:jc w:val="center"/>
              <w:rPr>
                <w:color w:val="000000"/>
                <w:sz w:val="20"/>
                <w:szCs w:val="20"/>
              </w:rPr>
            </w:pPr>
            <w:r w:rsidRPr="007C51D6">
              <w:rPr>
                <w:color w:val="000000"/>
                <w:sz w:val="20"/>
                <w:szCs w:val="20"/>
              </w:rPr>
              <w:t>1015</w:t>
            </w:r>
          </w:p>
        </w:tc>
        <w:tc>
          <w:tcPr>
            <w:tcW w:w="1276" w:type="dxa"/>
          </w:tcPr>
          <w:p w:rsidR="00DF139B" w:rsidRPr="007C51D6" w:rsidRDefault="00DF139B" w:rsidP="00DF139B">
            <w:pPr>
              <w:rPr>
                <w:color w:val="000000"/>
                <w:sz w:val="20"/>
                <w:szCs w:val="20"/>
              </w:rPr>
            </w:pPr>
            <w:r w:rsidRPr="007C51D6">
              <w:rPr>
                <w:color w:val="000000"/>
                <w:sz w:val="20"/>
                <w:szCs w:val="20"/>
              </w:rPr>
              <w:t>нет данных</w:t>
            </w:r>
          </w:p>
        </w:tc>
        <w:tc>
          <w:tcPr>
            <w:tcW w:w="1276" w:type="dxa"/>
          </w:tcPr>
          <w:p w:rsidR="00DF139B" w:rsidRPr="007C51D6" w:rsidRDefault="00DF139B" w:rsidP="00DF139B">
            <w:r w:rsidRPr="007C51D6">
              <w:rPr>
                <w:color w:val="000000"/>
                <w:sz w:val="20"/>
                <w:szCs w:val="20"/>
              </w:rPr>
              <w:t>нет данных</w:t>
            </w:r>
          </w:p>
        </w:tc>
      </w:tr>
      <w:tr w:rsidR="00DF139B" w:rsidRPr="007C51D6" w:rsidTr="00DF139B">
        <w:trPr>
          <w:trHeight w:val="20"/>
        </w:trPr>
        <w:tc>
          <w:tcPr>
            <w:tcW w:w="3681" w:type="dxa"/>
            <w:shd w:val="clear" w:color="auto" w:fill="auto"/>
            <w:noWrap/>
            <w:hideMark/>
          </w:tcPr>
          <w:p w:rsidR="00DF139B" w:rsidRPr="007C51D6" w:rsidRDefault="00DF139B" w:rsidP="0043783B">
            <w:pPr>
              <w:autoSpaceDE/>
              <w:autoSpaceDN/>
              <w:adjustRightInd/>
              <w:rPr>
                <w:color w:val="000000"/>
                <w:sz w:val="20"/>
                <w:szCs w:val="20"/>
              </w:rPr>
            </w:pPr>
            <w:r w:rsidRPr="007C51D6">
              <w:rPr>
                <w:color w:val="000000"/>
                <w:sz w:val="20"/>
                <w:szCs w:val="20"/>
              </w:rPr>
              <w:t>глотки (С10 – 13)</w:t>
            </w:r>
          </w:p>
        </w:tc>
        <w:tc>
          <w:tcPr>
            <w:tcW w:w="1256" w:type="dxa"/>
            <w:shd w:val="clear" w:color="auto" w:fill="auto"/>
            <w:noWrap/>
            <w:vAlign w:val="center"/>
          </w:tcPr>
          <w:p w:rsidR="00DF139B" w:rsidRPr="007C51D6" w:rsidRDefault="00DF139B" w:rsidP="00DF139B">
            <w:pPr>
              <w:jc w:val="center"/>
              <w:rPr>
                <w:color w:val="000000"/>
                <w:sz w:val="20"/>
                <w:szCs w:val="20"/>
              </w:rPr>
            </w:pPr>
            <w:r w:rsidRPr="007C51D6">
              <w:rPr>
                <w:color w:val="000000"/>
                <w:sz w:val="20"/>
                <w:szCs w:val="20"/>
              </w:rPr>
              <w:t>3</w:t>
            </w:r>
          </w:p>
        </w:tc>
        <w:tc>
          <w:tcPr>
            <w:tcW w:w="1275" w:type="dxa"/>
            <w:shd w:val="clear" w:color="auto" w:fill="auto"/>
            <w:noWrap/>
            <w:vAlign w:val="center"/>
          </w:tcPr>
          <w:p w:rsidR="00DF139B" w:rsidRPr="007C51D6" w:rsidRDefault="00DF139B" w:rsidP="00DF139B">
            <w:pPr>
              <w:jc w:val="center"/>
              <w:rPr>
                <w:color w:val="000000"/>
                <w:sz w:val="20"/>
                <w:szCs w:val="20"/>
              </w:rPr>
            </w:pPr>
            <w:r w:rsidRPr="007C51D6">
              <w:rPr>
                <w:color w:val="000000"/>
                <w:sz w:val="20"/>
                <w:szCs w:val="20"/>
              </w:rPr>
              <w:t>118</w:t>
            </w:r>
          </w:p>
        </w:tc>
        <w:tc>
          <w:tcPr>
            <w:tcW w:w="1276" w:type="dxa"/>
            <w:shd w:val="clear" w:color="auto" w:fill="auto"/>
            <w:noWrap/>
            <w:vAlign w:val="center"/>
          </w:tcPr>
          <w:p w:rsidR="00DF139B" w:rsidRPr="007C51D6" w:rsidRDefault="00DF139B" w:rsidP="00DF139B">
            <w:pPr>
              <w:jc w:val="center"/>
              <w:rPr>
                <w:color w:val="000000"/>
                <w:sz w:val="20"/>
                <w:szCs w:val="20"/>
              </w:rPr>
            </w:pPr>
            <w:r w:rsidRPr="007C51D6">
              <w:rPr>
                <w:color w:val="000000"/>
                <w:sz w:val="20"/>
                <w:szCs w:val="20"/>
              </w:rPr>
              <w:t>2.54</w:t>
            </w:r>
          </w:p>
        </w:tc>
        <w:tc>
          <w:tcPr>
            <w:tcW w:w="1276" w:type="dxa"/>
          </w:tcPr>
          <w:p w:rsidR="00DF139B" w:rsidRPr="007C51D6" w:rsidRDefault="00DF139B" w:rsidP="00DF139B">
            <w:pPr>
              <w:jc w:val="center"/>
              <w:rPr>
                <w:color w:val="000000"/>
                <w:sz w:val="20"/>
                <w:szCs w:val="20"/>
              </w:rPr>
            </w:pPr>
            <w:r w:rsidRPr="007C51D6">
              <w:rPr>
                <w:color w:val="000000"/>
                <w:sz w:val="20"/>
                <w:szCs w:val="20"/>
              </w:rPr>
              <w:t>5</w:t>
            </w:r>
          </w:p>
        </w:tc>
        <w:tc>
          <w:tcPr>
            <w:tcW w:w="1276" w:type="dxa"/>
          </w:tcPr>
          <w:p w:rsidR="00DF139B" w:rsidRPr="007C51D6" w:rsidRDefault="00DF139B" w:rsidP="00DF139B">
            <w:pPr>
              <w:jc w:val="center"/>
              <w:rPr>
                <w:color w:val="000000"/>
                <w:sz w:val="20"/>
                <w:szCs w:val="20"/>
              </w:rPr>
            </w:pPr>
            <w:r w:rsidRPr="007C51D6">
              <w:rPr>
                <w:color w:val="000000"/>
                <w:sz w:val="20"/>
                <w:szCs w:val="20"/>
              </w:rPr>
              <w:t>60</w:t>
            </w:r>
          </w:p>
        </w:tc>
        <w:tc>
          <w:tcPr>
            <w:tcW w:w="1275" w:type="dxa"/>
          </w:tcPr>
          <w:p w:rsidR="00DF139B" w:rsidRPr="007C51D6" w:rsidRDefault="00DF139B" w:rsidP="00DF139B">
            <w:pPr>
              <w:jc w:val="center"/>
              <w:rPr>
                <w:color w:val="000000"/>
                <w:sz w:val="20"/>
                <w:szCs w:val="20"/>
              </w:rPr>
            </w:pPr>
            <w:r w:rsidRPr="007C51D6">
              <w:rPr>
                <w:color w:val="000000"/>
                <w:sz w:val="20"/>
                <w:szCs w:val="20"/>
              </w:rPr>
              <w:t>8,33</w:t>
            </w:r>
          </w:p>
        </w:tc>
        <w:tc>
          <w:tcPr>
            <w:tcW w:w="1276" w:type="dxa"/>
            <w:vAlign w:val="center"/>
          </w:tcPr>
          <w:p w:rsidR="00DF139B" w:rsidRPr="007C51D6" w:rsidRDefault="00DF139B" w:rsidP="00DF139B">
            <w:pPr>
              <w:jc w:val="center"/>
              <w:rPr>
                <w:color w:val="000000"/>
                <w:sz w:val="20"/>
                <w:szCs w:val="20"/>
              </w:rPr>
            </w:pPr>
            <w:r w:rsidRPr="007C51D6">
              <w:rPr>
                <w:color w:val="000000"/>
                <w:sz w:val="20"/>
                <w:szCs w:val="20"/>
              </w:rPr>
              <w:t>1</w:t>
            </w:r>
          </w:p>
        </w:tc>
        <w:tc>
          <w:tcPr>
            <w:tcW w:w="1276" w:type="dxa"/>
          </w:tcPr>
          <w:p w:rsidR="00DF139B" w:rsidRPr="007C51D6" w:rsidRDefault="00DF139B" w:rsidP="00DF139B">
            <w:r w:rsidRPr="007C51D6">
              <w:rPr>
                <w:color w:val="000000"/>
                <w:sz w:val="20"/>
                <w:szCs w:val="20"/>
              </w:rPr>
              <w:t>нет данных</w:t>
            </w:r>
          </w:p>
        </w:tc>
        <w:tc>
          <w:tcPr>
            <w:tcW w:w="1276" w:type="dxa"/>
          </w:tcPr>
          <w:p w:rsidR="00DF139B" w:rsidRPr="007C51D6" w:rsidRDefault="00DF139B" w:rsidP="00DF139B">
            <w:r w:rsidRPr="007C51D6">
              <w:rPr>
                <w:color w:val="000000"/>
                <w:sz w:val="20"/>
                <w:szCs w:val="20"/>
              </w:rPr>
              <w:t>нет данных</w:t>
            </w:r>
          </w:p>
        </w:tc>
      </w:tr>
      <w:tr w:rsidR="00DF139B" w:rsidRPr="007C51D6" w:rsidTr="0043783B">
        <w:trPr>
          <w:trHeight w:val="20"/>
        </w:trPr>
        <w:tc>
          <w:tcPr>
            <w:tcW w:w="3681" w:type="dxa"/>
            <w:shd w:val="clear" w:color="auto" w:fill="auto"/>
            <w:noWrap/>
            <w:hideMark/>
          </w:tcPr>
          <w:p w:rsidR="00DF139B" w:rsidRPr="007C51D6" w:rsidRDefault="00DF139B" w:rsidP="0043783B">
            <w:pPr>
              <w:autoSpaceDE/>
              <w:autoSpaceDN/>
              <w:adjustRightInd/>
              <w:rPr>
                <w:color w:val="000000"/>
                <w:sz w:val="20"/>
                <w:szCs w:val="20"/>
              </w:rPr>
            </w:pPr>
            <w:r w:rsidRPr="007C51D6">
              <w:rPr>
                <w:color w:val="000000"/>
                <w:sz w:val="20"/>
                <w:szCs w:val="20"/>
              </w:rPr>
              <w:t>печени и внутрипеченочных желчных протоков (С22)</w:t>
            </w:r>
          </w:p>
        </w:tc>
        <w:tc>
          <w:tcPr>
            <w:tcW w:w="1256" w:type="dxa"/>
            <w:shd w:val="clear" w:color="auto" w:fill="auto"/>
            <w:noWrap/>
          </w:tcPr>
          <w:p w:rsidR="00DF139B" w:rsidRPr="007C51D6" w:rsidRDefault="00DF139B" w:rsidP="0043783B">
            <w:pPr>
              <w:jc w:val="center"/>
              <w:rPr>
                <w:color w:val="000000"/>
                <w:sz w:val="20"/>
                <w:szCs w:val="20"/>
              </w:rPr>
            </w:pPr>
            <w:r w:rsidRPr="007C51D6">
              <w:rPr>
                <w:color w:val="000000"/>
                <w:sz w:val="20"/>
                <w:szCs w:val="20"/>
              </w:rPr>
              <w:t>58</w:t>
            </w:r>
          </w:p>
        </w:tc>
        <w:tc>
          <w:tcPr>
            <w:tcW w:w="1275" w:type="dxa"/>
            <w:shd w:val="clear" w:color="auto" w:fill="auto"/>
            <w:noWrap/>
          </w:tcPr>
          <w:p w:rsidR="00DF139B" w:rsidRPr="007C51D6" w:rsidRDefault="00DF139B" w:rsidP="0043783B">
            <w:pPr>
              <w:jc w:val="center"/>
              <w:rPr>
                <w:color w:val="000000"/>
                <w:sz w:val="20"/>
                <w:szCs w:val="20"/>
              </w:rPr>
            </w:pPr>
            <w:r w:rsidRPr="007C51D6">
              <w:rPr>
                <w:color w:val="000000"/>
                <w:sz w:val="20"/>
                <w:szCs w:val="20"/>
              </w:rPr>
              <w:t>203</w:t>
            </w:r>
          </w:p>
        </w:tc>
        <w:tc>
          <w:tcPr>
            <w:tcW w:w="1276" w:type="dxa"/>
            <w:shd w:val="clear" w:color="auto" w:fill="auto"/>
            <w:noWrap/>
          </w:tcPr>
          <w:p w:rsidR="00DF139B" w:rsidRPr="007C51D6" w:rsidRDefault="00DF139B" w:rsidP="0043783B">
            <w:pPr>
              <w:jc w:val="center"/>
              <w:rPr>
                <w:color w:val="000000"/>
                <w:sz w:val="20"/>
                <w:szCs w:val="20"/>
              </w:rPr>
            </w:pPr>
            <w:r w:rsidRPr="007C51D6">
              <w:rPr>
                <w:color w:val="000000"/>
                <w:sz w:val="20"/>
                <w:szCs w:val="20"/>
              </w:rPr>
              <w:t>28.57</w:t>
            </w:r>
          </w:p>
        </w:tc>
        <w:tc>
          <w:tcPr>
            <w:tcW w:w="1276" w:type="dxa"/>
          </w:tcPr>
          <w:p w:rsidR="00DF139B" w:rsidRPr="007C51D6" w:rsidRDefault="00DF139B" w:rsidP="0043783B">
            <w:pPr>
              <w:jc w:val="center"/>
              <w:rPr>
                <w:color w:val="000000"/>
                <w:sz w:val="20"/>
                <w:szCs w:val="20"/>
              </w:rPr>
            </w:pPr>
            <w:r w:rsidRPr="007C51D6">
              <w:rPr>
                <w:color w:val="000000"/>
                <w:sz w:val="20"/>
                <w:szCs w:val="20"/>
              </w:rPr>
              <w:t>73</w:t>
            </w:r>
          </w:p>
        </w:tc>
        <w:tc>
          <w:tcPr>
            <w:tcW w:w="1276" w:type="dxa"/>
          </w:tcPr>
          <w:p w:rsidR="00DF139B" w:rsidRPr="007C51D6" w:rsidRDefault="00DF139B" w:rsidP="0043783B">
            <w:pPr>
              <w:jc w:val="center"/>
              <w:rPr>
                <w:color w:val="000000"/>
                <w:sz w:val="20"/>
                <w:szCs w:val="20"/>
              </w:rPr>
            </w:pPr>
            <w:r w:rsidRPr="007C51D6">
              <w:rPr>
                <w:color w:val="000000"/>
                <w:sz w:val="20"/>
                <w:szCs w:val="20"/>
              </w:rPr>
              <w:t>140</w:t>
            </w:r>
          </w:p>
        </w:tc>
        <w:tc>
          <w:tcPr>
            <w:tcW w:w="1275" w:type="dxa"/>
          </w:tcPr>
          <w:p w:rsidR="00DF139B" w:rsidRPr="007C51D6" w:rsidRDefault="00DF139B" w:rsidP="0043783B">
            <w:pPr>
              <w:jc w:val="center"/>
              <w:rPr>
                <w:color w:val="000000"/>
                <w:sz w:val="20"/>
                <w:szCs w:val="20"/>
              </w:rPr>
            </w:pPr>
            <w:r w:rsidRPr="007C51D6">
              <w:rPr>
                <w:color w:val="000000"/>
                <w:sz w:val="20"/>
                <w:szCs w:val="20"/>
              </w:rPr>
              <w:t>52.14</w:t>
            </w:r>
          </w:p>
        </w:tc>
        <w:tc>
          <w:tcPr>
            <w:tcW w:w="1276" w:type="dxa"/>
          </w:tcPr>
          <w:p w:rsidR="00DF139B" w:rsidRPr="007C51D6" w:rsidRDefault="00DF139B" w:rsidP="0043783B">
            <w:pPr>
              <w:jc w:val="center"/>
              <w:rPr>
                <w:color w:val="000000"/>
                <w:sz w:val="20"/>
                <w:szCs w:val="20"/>
              </w:rPr>
            </w:pPr>
            <w:r w:rsidRPr="007C51D6">
              <w:rPr>
                <w:color w:val="000000"/>
                <w:sz w:val="20"/>
                <w:szCs w:val="20"/>
              </w:rPr>
              <w:t>104</w:t>
            </w:r>
          </w:p>
        </w:tc>
        <w:tc>
          <w:tcPr>
            <w:tcW w:w="1276" w:type="dxa"/>
          </w:tcPr>
          <w:p w:rsidR="00DF139B" w:rsidRPr="007C51D6" w:rsidRDefault="00DF139B" w:rsidP="001A722D">
            <w:r w:rsidRPr="007C51D6">
              <w:rPr>
                <w:color w:val="000000"/>
                <w:sz w:val="20"/>
                <w:szCs w:val="20"/>
              </w:rPr>
              <w:t>нет данных</w:t>
            </w:r>
          </w:p>
        </w:tc>
        <w:tc>
          <w:tcPr>
            <w:tcW w:w="1276" w:type="dxa"/>
          </w:tcPr>
          <w:p w:rsidR="00DF139B" w:rsidRPr="007C51D6" w:rsidRDefault="00DF139B" w:rsidP="001A722D">
            <w:r w:rsidRPr="007C51D6">
              <w:rPr>
                <w:color w:val="000000"/>
                <w:sz w:val="20"/>
                <w:szCs w:val="20"/>
              </w:rPr>
              <w:t>нет данных</w:t>
            </w:r>
          </w:p>
        </w:tc>
      </w:tr>
      <w:tr w:rsidR="00DF139B" w:rsidRPr="007C51D6" w:rsidTr="0043783B">
        <w:trPr>
          <w:trHeight w:val="20"/>
        </w:trPr>
        <w:tc>
          <w:tcPr>
            <w:tcW w:w="3681" w:type="dxa"/>
            <w:shd w:val="clear" w:color="auto" w:fill="auto"/>
            <w:noWrap/>
            <w:hideMark/>
          </w:tcPr>
          <w:p w:rsidR="00DF139B" w:rsidRPr="007C51D6" w:rsidRDefault="00DF139B" w:rsidP="0043783B">
            <w:pPr>
              <w:autoSpaceDE/>
              <w:autoSpaceDN/>
              <w:adjustRightInd/>
              <w:rPr>
                <w:color w:val="000000"/>
                <w:sz w:val="20"/>
                <w:szCs w:val="20"/>
              </w:rPr>
            </w:pPr>
            <w:r w:rsidRPr="007C51D6">
              <w:rPr>
                <w:color w:val="000000"/>
                <w:sz w:val="20"/>
                <w:szCs w:val="20"/>
              </w:rPr>
              <w:t>поджелудочной железы (С25)</w:t>
            </w:r>
          </w:p>
        </w:tc>
        <w:tc>
          <w:tcPr>
            <w:tcW w:w="1256" w:type="dxa"/>
            <w:shd w:val="clear" w:color="auto" w:fill="auto"/>
            <w:noWrap/>
          </w:tcPr>
          <w:p w:rsidR="00DF139B" w:rsidRPr="007C51D6" w:rsidRDefault="00DF139B" w:rsidP="0043783B">
            <w:pPr>
              <w:jc w:val="center"/>
              <w:rPr>
                <w:color w:val="000000"/>
                <w:sz w:val="20"/>
                <w:szCs w:val="20"/>
              </w:rPr>
            </w:pPr>
            <w:r w:rsidRPr="007C51D6">
              <w:rPr>
                <w:color w:val="000000"/>
                <w:sz w:val="20"/>
                <w:szCs w:val="20"/>
              </w:rPr>
              <w:t>67</w:t>
            </w:r>
          </w:p>
        </w:tc>
        <w:tc>
          <w:tcPr>
            <w:tcW w:w="1275" w:type="dxa"/>
            <w:shd w:val="clear" w:color="auto" w:fill="auto"/>
            <w:noWrap/>
          </w:tcPr>
          <w:p w:rsidR="00DF139B" w:rsidRPr="007C51D6" w:rsidRDefault="00DF139B" w:rsidP="0043783B">
            <w:pPr>
              <w:jc w:val="center"/>
              <w:rPr>
                <w:color w:val="000000"/>
                <w:sz w:val="20"/>
                <w:szCs w:val="20"/>
              </w:rPr>
            </w:pPr>
            <w:r w:rsidRPr="007C51D6">
              <w:rPr>
                <w:color w:val="000000"/>
                <w:sz w:val="20"/>
                <w:szCs w:val="20"/>
              </w:rPr>
              <w:t>448</w:t>
            </w:r>
          </w:p>
        </w:tc>
        <w:tc>
          <w:tcPr>
            <w:tcW w:w="1276" w:type="dxa"/>
            <w:shd w:val="clear" w:color="auto" w:fill="auto"/>
            <w:noWrap/>
          </w:tcPr>
          <w:p w:rsidR="00DF139B" w:rsidRPr="007C51D6" w:rsidRDefault="00DF139B" w:rsidP="0043783B">
            <w:pPr>
              <w:jc w:val="center"/>
              <w:rPr>
                <w:color w:val="000000"/>
                <w:sz w:val="20"/>
                <w:szCs w:val="20"/>
              </w:rPr>
            </w:pPr>
            <w:r w:rsidRPr="007C51D6">
              <w:rPr>
                <w:color w:val="000000"/>
                <w:sz w:val="20"/>
                <w:szCs w:val="20"/>
              </w:rPr>
              <w:t>14.96</w:t>
            </w:r>
          </w:p>
        </w:tc>
        <w:tc>
          <w:tcPr>
            <w:tcW w:w="1276" w:type="dxa"/>
          </w:tcPr>
          <w:p w:rsidR="00DF139B" w:rsidRPr="007C51D6" w:rsidRDefault="00DF139B" w:rsidP="0043783B">
            <w:pPr>
              <w:jc w:val="center"/>
              <w:rPr>
                <w:color w:val="000000"/>
                <w:sz w:val="20"/>
                <w:szCs w:val="20"/>
              </w:rPr>
            </w:pPr>
            <w:r w:rsidRPr="007C51D6">
              <w:rPr>
                <w:color w:val="000000"/>
                <w:sz w:val="20"/>
                <w:szCs w:val="20"/>
              </w:rPr>
              <w:t>111</w:t>
            </w:r>
          </w:p>
        </w:tc>
        <w:tc>
          <w:tcPr>
            <w:tcW w:w="1276" w:type="dxa"/>
          </w:tcPr>
          <w:p w:rsidR="00DF139B" w:rsidRPr="007C51D6" w:rsidRDefault="00DF139B" w:rsidP="0043783B">
            <w:pPr>
              <w:jc w:val="center"/>
              <w:rPr>
                <w:color w:val="000000"/>
                <w:sz w:val="20"/>
                <w:szCs w:val="20"/>
              </w:rPr>
            </w:pPr>
            <w:r w:rsidRPr="007C51D6">
              <w:rPr>
                <w:color w:val="000000"/>
                <w:sz w:val="20"/>
                <w:szCs w:val="20"/>
              </w:rPr>
              <w:t>360</w:t>
            </w:r>
          </w:p>
        </w:tc>
        <w:tc>
          <w:tcPr>
            <w:tcW w:w="1275" w:type="dxa"/>
          </w:tcPr>
          <w:p w:rsidR="00DF139B" w:rsidRPr="007C51D6" w:rsidRDefault="00DF139B" w:rsidP="0043783B">
            <w:pPr>
              <w:jc w:val="center"/>
              <w:rPr>
                <w:color w:val="000000"/>
                <w:sz w:val="20"/>
                <w:szCs w:val="20"/>
              </w:rPr>
            </w:pPr>
            <w:r w:rsidRPr="007C51D6">
              <w:rPr>
                <w:color w:val="000000"/>
                <w:sz w:val="20"/>
                <w:szCs w:val="20"/>
              </w:rPr>
              <w:t>30,83</w:t>
            </w:r>
          </w:p>
        </w:tc>
        <w:tc>
          <w:tcPr>
            <w:tcW w:w="1276" w:type="dxa"/>
          </w:tcPr>
          <w:p w:rsidR="00DF139B" w:rsidRPr="007C51D6" w:rsidRDefault="00DF139B" w:rsidP="0043783B">
            <w:pPr>
              <w:jc w:val="center"/>
              <w:rPr>
                <w:color w:val="000000"/>
                <w:sz w:val="20"/>
                <w:szCs w:val="20"/>
              </w:rPr>
            </w:pPr>
            <w:r w:rsidRPr="007C51D6">
              <w:rPr>
                <w:color w:val="000000"/>
                <w:sz w:val="20"/>
                <w:szCs w:val="20"/>
              </w:rPr>
              <w:t>113</w:t>
            </w:r>
          </w:p>
        </w:tc>
        <w:tc>
          <w:tcPr>
            <w:tcW w:w="1276" w:type="dxa"/>
          </w:tcPr>
          <w:p w:rsidR="00DF139B" w:rsidRPr="007C51D6" w:rsidRDefault="00DF139B" w:rsidP="0043783B">
            <w:pPr>
              <w:jc w:val="center"/>
            </w:pPr>
            <w:r w:rsidRPr="007C51D6">
              <w:rPr>
                <w:color w:val="000000"/>
                <w:sz w:val="20"/>
                <w:szCs w:val="20"/>
              </w:rPr>
              <w:t>нет данных</w:t>
            </w:r>
          </w:p>
        </w:tc>
        <w:tc>
          <w:tcPr>
            <w:tcW w:w="1276" w:type="dxa"/>
          </w:tcPr>
          <w:p w:rsidR="00DF139B" w:rsidRPr="007C51D6" w:rsidRDefault="00DF139B" w:rsidP="0043783B">
            <w:pPr>
              <w:jc w:val="center"/>
            </w:pPr>
            <w:r w:rsidRPr="007C51D6">
              <w:rPr>
                <w:color w:val="000000"/>
                <w:sz w:val="20"/>
                <w:szCs w:val="20"/>
              </w:rPr>
              <w:t>нет данных</w:t>
            </w:r>
          </w:p>
        </w:tc>
      </w:tr>
      <w:tr w:rsidR="00DF139B" w:rsidRPr="007C51D6" w:rsidTr="0043783B">
        <w:trPr>
          <w:trHeight w:val="20"/>
        </w:trPr>
        <w:tc>
          <w:tcPr>
            <w:tcW w:w="3681" w:type="dxa"/>
            <w:shd w:val="clear" w:color="auto" w:fill="auto"/>
            <w:noWrap/>
            <w:hideMark/>
          </w:tcPr>
          <w:p w:rsidR="00DF139B" w:rsidRPr="007C51D6" w:rsidRDefault="00DF139B" w:rsidP="0043783B">
            <w:pPr>
              <w:autoSpaceDE/>
              <w:autoSpaceDN/>
              <w:adjustRightInd/>
              <w:rPr>
                <w:color w:val="000000"/>
                <w:sz w:val="20"/>
                <w:szCs w:val="20"/>
              </w:rPr>
            </w:pPr>
            <w:r w:rsidRPr="007C51D6">
              <w:rPr>
                <w:color w:val="000000"/>
                <w:sz w:val="20"/>
                <w:szCs w:val="20"/>
              </w:rPr>
              <w:t>полости pта (С01 – С09, С46.2)</w:t>
            </w:r>
          </w:p>
        </w:tc>
        <w:tc>
          <w:tcPr>
            <w:tcW w:w="1256" w:type="dxa"/>
            <w:shd w:val="clear" w:color="auto" w:fill="auto"/>
            <w:noWrap/>
          </w:tcPr>
          <w:p w:rsidR="00DF139B" w:rsidRPr="007C51D6" w:rsidRDefault="00DF139B" w:rsidP="0043783B">
            <w:pPr>
              <w:jc w:val="center"/>
              <w:rPr>
                <w:color w:val="000000"/>
                <w:sz w:val="20"/>
                <w:szCs w:val="20"/>
              </w:rPr>
            </w:pPr>
            <w:r w:rsidRPr="007C51D6">
              <w:rPr>
                <w:color w:val="000000"/>
                <w:sz w:val="20"/>
                <w:szCs w:val="20"/>
              </w:rPr>
              <w:t>3</w:t>
            </w:r>
          </w:p>
        </w:tc>
        <w:tc>
          <w:tcPr>
            <w:tcW w:w="1275" w:type="dxa"/>
            <w:shd w:val="clear" w:color="auto" w:fill="auto"/>
            <w:noWrap/>
          </w:tcPr>
          <w:p w:rsidR="00DF139B" w:rsidRPr="007C51D6" w:rsidRDefault="00DF139B" w:rsidP="0043783B">
            <w:pPr>
              <w:jc w:val="center"/>
              <w:rPr>
                <w:color w:val="000000"/>
                <w:sz w:val="20"/>
                <w:szCs w:val="20"/>
              </w:rPr>
            </w:pPr>
            <w:r w:rsidRPr="007C51D6">
              <w:rPr>
                <w:color w:val="000000"/>
                <w:sz w:val="20"/>
                <w:szCs w:val="20"/>
              </w:rPr>
              <w:t>128</w:t>
            </w:r>
          </w:p>
        </w:tc>
        <w:tc>
          <w:tcPr>
            <w:tcW w:w="1276" w:type="dxa"/>
            <w:shd w:val="clear" w:color="auto" w:fill="auto"/>
            <w:noWrap/>
          </w:tcPr>
          <w:p w:rsidR="00DF139B" w:rsidRPr="007C51D6" w:rsidRDefault="00DF139B" w:rsidP="0043783B">
            <w:pPr>
              <w:jc w:val="center"/>
              <w:rPr>
                <w:color w:val="000000"/>
                <w:sz w:val="20"/>
                <w:szCs w:val="20"/>
              </w:rPr>
            </w:pPr>
            <w:r w:rsidRPr="007C51D6">
              <w:rPr>
                <w:color w:val="000000"/>
                <w:sz w:val="20"/>
                <w:szCs w:val="20"/>
              </w:rPr>
              <w:t>2.34</w:t>
            </w:r>
          </w:p>
        </w:tc>
        <w:tc>
          <w:tcPr>
            <w:tcW w:w="1276" w:type="dxa"/>
          </w:tcPr>
          <w:p w:rsidR="00DF139B" w:rsidRPr="007C51D6" w:rsidRDefault="00DF139B" w:rsidP="0043783B">
            <w:pPr>
              <w:jc w:val="center"/>
              <w:rPr>
                <w:color w:val="000000"/>
                <w:sz w:val="20"/>
                <w:szCs w:val="20"/>
              </w:rPr>
            </w:pPr>
            <w:r w:rsidRPr="007C51D6">
              <w:rPr>
                <w:color w:val="000000"/>
                <w:sz w:val="20"/>
                <w:szCs w:val="20"/>
              </w:rPr>
              <w:t>8</w:t>
            </w:r>
          </w:p>
        </w:tc>
        <w:tc>
          <w:tcPr>
            <w:tcW w:w="1276" w:type="dxa"/>
          </w:tcPr>
          <w:p w:rsidR="00DF139B" w:rsidRPr="007C51D6" w:rsidRDefault="00DF139B" w:rsidP="0043783B">
            <w:pPr>
              <w:jc w:val="center"/>
              <w:rPr>
                <w:color w:val="000000"/>
                <w:sz w:val="20"/>
                <w:szCs w:val="20"/>
              </w:rPr>
            </w:pPr>
            <w:r w:rsidRPr="007C51D6">
              <w:rPr>
                <w:color w:val="000000"/>
                <w:sz w:val="20"/>
                <w:szCs w:val="20"/>
              </w:rPr>
              <w:t>133</w:t>
            </w:r>
          </w:p>
        </w:tc>
        <w:tc>
          <w:tcPr>
            <w:tcW w:w="1275" w:type="dxa"/>
          </w:tcPr>
          <w:p w:rsidR="00DF139B" w:rsidRPr="007C51D6" w:rsidRDefault="00DF139B" w:rsidP="0043783B">
            <w:pPr>
              <w:jc w:val="center"/>
              <w:rPr>
                <w:color w:val="000000"/>
                <w:sz w:val="20"/>
                <w:szCs w:val="20"/>
              </w:rPr>
            </w:pPr>
            <w:r w:rsidRPr="007C51D6">
              <w:rPr>
                <w:color w:val="000000"/>
                <w:sz w:val="20"/>
                <w:szCs w:val="20"/>
              </w:rPr>
              <w:t>6,02</w:t>
            </w:r>
          </w:p>
        </w:tc>
        <w:tc>
          <w:tcPr>
            <w:tcW w:w="1276" w:type="dxa"/>
          </w:tcPr>
          <w:p w:rsidR="00DF139B" w:rsidRPr="007C51D6" w:rsidRDefault="00DF139B" w:rsidP="0043783B">
            <w:pPr>
              <w:jc w:val="center"/>
              <w:rPr>
                <w:color w:val="000000"/>
                <w:sz w:val="20"/>
                <w:szCs w:val="20"/>
              </w:rPr>
            </w:pPr>
            <w:r w:rsidRPr="007C51D6">
              <w:rPr>
                <w:color w:val="000000"/>
                <w:sz w:val="20"/>
                <w:szCs w:val="20"/>
              </w:rPr>
              <w:t>4</w:t>
            </w:r>
          </w:p>
        </w:tc>
        <w:tc>
          <w:tcPr>
            <w:tcW w:w="1276" w:type="dxa"/>
          </w:tcPr>
          <w:p w:rsidR="00DF139B" w:rsidRPr="007C51D6" w:rsidRDefault="00DF139B" w:rsidP="0043783B">
            <w:pPr>
              <w:jc w:val="center"/>
            </w:pPr>
            <w:r w:rsidRPr="007C51D6">
              <w:rPr>
                <w:color w:val="000000"/>
                <w:sz w:val="20"/>
                <w:szCs w:val="20"/>
              </w:rPr>
              <w:t>нет данных</w:t>
            </w:r>
          </w:p>
        </w:tc>
        <w:tc>
          <w:tcPr>
            <w:tcW w:w="1276" w:type="dxa"/>
          </w:tcPr>
          <w:p w:rsidR="00DF139B" w:rsidRPr="007C51D6" w:rsidRDefault="00DF139B" w:rsidP="0043783B">
            <w:pPr>
              <w:jc w:val="center"/>
            </w:pPr>
            <w:r w:rsidRPr="007C51D6">
              <w:rPr>
                <w:color w:val="000000"/>
                <w:sz w:val="20"/>
                <w:szCs w:val="20"/>
              </w:rPr>
              <w:t>нет данных</w:t>
            </w:r>
          </w:p>
        </w:tc>
      </w:tr>
      <w:tr w:rsidR="00DF139B" w:rsidRPr="007C51D6" w:rsidTr="0043783B">
        <w:trPr>
          <w:trHeight w:val="20"/>
        </w:trPr>
        <w:tc>
          <w:tcPr>
            <w:tcW w:w="3681" w:type="dxa"/>
            <w:shd w:val="clear" w:color="auto" w:fill="auto"/>
            <w:noWrap/>
            <w:hideMark/>
          </w:tcPr>
          <w:p w:rsidR="00DF139B" w:rsidRPr="007C51D6" w:rsidRDefault="00DF139B" w:rsidP="0043783B">
            <w:pPr>
              <w:autoSpaceDE/>
              <w:autoSpaceDN/>
              <w:adjustRightInd/>
              <w:rPr>
                <w:color w:val="000000"/>
                <w:sz w:val="20"/>
                <w:szCs w:val="20"/>
              </w:rPr>
            </w:pPr>
            <w:r w:rsidRPr="007C51D6">
              <w:rPr>
                <w:color w:val="000000"/>
                <w:sz w:val="20"/>
                <w:szCs w:val="20"/>
              </w:rPr>
              <w:t>трахеи, бронхов, легкого (С33 – 34)</w:t>
            </w:r>
          </w:p>
        </w:tc>
        <w:tc>
          <w:tcPr>
            <w:tcW w:w="1256" w:type="dxa"/>
            <w:shd w:val="clear" w:color="auto" w:fill="auto"/>
            <w:noWrap/>
          </w:tcPr>
          <w:p w:rsidR="00DF139B" w:rsidRPr="007C51D6" w:rsidRDefault="00DF139B" w:rsidP="0043783B">
            <w:pPr>
              <w:jc w:val="center"/>
              <w:rPr>
                <w:color w:val="000000"/>
                <w:sz w:val="20"/>
                <w:szCs w:val="20"/>
              </w:rPr>
            </w:pPr>
            <w:r w:rsidRPr="007C51D6">
              <w:rPr>
                <w:color w:val="000000"/>
                <w:sz w:val="20"/>
                <w:szCs w:val="20"/>
              </w:rPr>
              <w:t>108</w:t>
            </w:r>
          </w:p>
        </w:tc>
        <w:tc>
          <w:tcPr>
            <w:tcW w:w="1275" w:type="dxa"/>
            <w:shd w:val="clear" w:color="auto" w:fill="auto"/>
            <w:noWrap/>
          </w:tcPr>
          <w:p w:rsidR="00DF139B" w:rsidRPr="007C51D6" w:rsidRDefault="00DF139B" w:rsidP="0043783B">
            <w:pPr>
              <w:jc w:val="center"/>
              <w:rPr>
                <w:color w:val="000000"/>
                <w:sz w:val="20"/>
                <w:szCs w:val="20"/>
              </w:rPr>
            </w:pPr>
            <w:r w:rsidRPr="007C51D6">
              <w:rPr>
                <w:color w:val="000000"/>
                <w:sz w:val="20"/>
                <w:szCs w:val="20"/>
              </w:rPr>
              <w:t>1288</w:t>
            </w:r>
          </w:p>
        </w:tc>
        <w:tc>
          <w:tcPr>
            <w:tcW w:w="1276" w:type="dxa"/>
            <w:shd w:val="clear" w:color="auto" w:fill="auto"/>
            <w:noWrap/>
          </w:tcPr>
          <w:p w:rsidR="00DF139B" w:rsidRPr="007C51D6" w:rsidRDefault="00DF139B" w:rsidP="0043783B">
            <w:pPr>
              <w:jc w:val="center"/>
              <w:rPr>
                <w:color w:val="000000"/>
                <w:sz w:val="20"/>
                <w:szCs w:val="20"/>
              </w:rPr>
            </w:pPr>
            <w:r w:rsidRPr="007C51D6">
              <w:rPr>
                <w:color w:val="000000"/>
                <w:sz w:val="20"/>
                <w:szCs w:val="20"/>
              </w:rPr>
              <w:t>8.39</w:t>
            </w:r>
          </w:p>
        </w:tc>
        <w:tc>
          <w:tcPr>
            <w:tcW w:w="1276" w:type="dxa"/>
          </w:tcPr>
          <w:p w:rsidR="00DF139B" w:rsidRPr="007C51D6" w:rsidRDefault="00DF139B" w:rsidP="0043783B">
            <w:pPr>
              <w:jc w:val="center"/>
              <w:rPr>
                <w:color w:val="000000"/>
                <w:sz w:val="20"/>
                <w:szCs w:val="20"/>
              </w:rPr>
            </w:pPr>
            <w:r w:rsidRPr="007C51D6">
              <w:rPr>
                <w:color w:val="000000"/>
                <w:sz w:val="20"/>
                <w:szCs w:val="20"/>
              </w:rPr>
              <w:t>162</w:t>
            </w:r>
          </w:p>
        </w:tc>
        <w:tc>
          <w:tcPr>
            <w:tcW w:w="1276" w:type="dxa"/>
          </w:tcPr>
          <w:p w:rsidR="00DF139B" w:rsidRPr="007C51D6" w:rsidRDefault="00DF139B" w:rsidP="0043783B">
            <w:pPr>
              <w:jc w:val="center"/>
              <w:rPr>
                <w:color w:val="000000"/>
                <w:sz w:val="20"/>
                <w:szCs w:val="20"/>
              </w:rPr>
            </w:pPr>
            <w:r w:rsidRPr="007C51D6">
              <w:rPr>
                <w:color w:val="000000"/>
                <w:sz w:val="20"/>
                <w:szCs w:val="20"/>
              </w:rPr>
              <w:t>1062</w:t>
            </w:r>
          </w:p>
        </w:tc>
        <w:tc>
          <w:tcPr>
            <w:tcW w:w="1275" w:type="dxa"/>
          </w:tcPr>
          <w:p w:rsidR="00DF139B" w:rsidRPr="007C51D6" w:rsidRDefault="00DF139B" w:rsidP="0043783B">
            <w:pPr>
              <w:jc w:val="center"/>
              <w:rPr>
                <w:color w:val="000000"/>
                <w:sz w:val="20"/>
                <w:szCs w:val="20"/>
              </w:rPr>
            </w:pPr>
            <w:r w:rsidRPr="007C51D6">
              <w:rPr>
                <w:color w:val="000000"/>
                <w:sz w:val="20"/>
                <w:szCs w:val="20"/>
              </w:rPr>
              <w:t>15,25</w:t>
            </w:r>
          </w:p>
        </w:tc>
        <w:tc>
          <w:tcPr>
            <w:tcW w:w="1276" w:type="dxa"/>
          </w:tcPr>
          <w:p w:rsidR="00DF139B" w:rsidRPr="007C51D6" w:rsidRDefault="00DF139B" w:rsidP="0043783B">
            <w:pPr>
              <w:jc w:val="center"/>
              <w:rPr>
                <w:color w:val="000000"/>
                <w:sz w:val="20"/>
                <w:szCs w:val="20"/>
              </w:rPr>
            </w:pPr>
            <w:r w:rsidRPr="007C51D6">
              <w:rPr>
                <w:color w:val="000000"/>
                <w:sz w:val="20"/>
                <w:szCs w:val="20"/>
              </w:rPr>
              <w:t>196</w:t>
            </w:r>
          </w:p>
        </w:tc>
        <w:tc>
          <w:tcPr>
            <w:tcW w:w="1276" w:type="dxa"/>
          </w:tcPr>
          <w:p w:rsidR="00DF139B" w:rsidRPr="007C51D6" w:rsidRDefault="00DF139B" w:rsidP="0043783B">
            <w:pPr>
              <w:jc w:val="center"/>
            </w:pPr>
            <w:r w:rsidRPr="007C51D6">
              <w:rPr>
                <w:color w:val="000000"/>
                <w:sz w:val="20"/>
                <w:szCs w:val="20"/>
              </w:rPr>
              <w:t>нет данных</w:t>
            </w:r>
          </w:p>
        </w:tc>
        <w:tc>
          <w:tcPr>
            <w:tcW w:w="1276" w:type="dxa"/>
          </w:tcPr>
          <w:p w:rsidR="00DF139B" w:rsidRPr="007C51D6" w:rsidRDefault="00DF139B" w:rsidP="0043783B">
            <w:pPr>
              <w:jc w:val="center"/>
            </w:pPr>
            <w:r w:rsidRPr="007C51D6">
              <w:rPr>
                <w:color w:val="000000"/>
                <w:sz w:val="20"/>
                <w:szCs w:val="20"/>
              </w:rPr>
              <w:t>нет данных</w:t>
            </w:r>
          </w:p>
        </w:tc>
      </w:tr>
      <w:tr w:rsidR="00DF139B" w:rsidRPr="007C51D6" w:rsidTr="0043783B">
        <w:trPr>
          <w:trHeight w:val="20"/>
        </w:trPr>
        <w:tc>
          <w:tcPr>
            <w:tcW w:w="3681" w:type="dxa"/>
            <w:shd w:val="clear" w:color="auto" w:fill="auto"/>
            <w:noWrap/>
            <w:hideMark/>
          </w:tcPr>
          <w:p w:rsidR="00DF139B" w:rsidRPr="007C51D6" w:rsidRDefault="00DF139B" w:rsidP="0043783B">
            <w:pPr>
              <w:autoSpaceDE/>
              <w:autoSpaceDN/>
              <w:adjustRightInd/>
              <w:rPr>
                <w:color w:val="000000"/>
                <w:sz w:val="20"/>
                <w:szCs w:val="20"/>
              </w:rPr>
            </w:pPr>
            <w:r w:rsidRPr="007C51D6">
              <w:rPr>
                <w:color w:val="000000"/>
                <w:sz w:val="20"/>
                <w:szCs w:val="20"/>
              </w:rPr>
              <w:t>желудка (С16)</w:t>
            </w:r>
          </w:p>
        </w:tc>
        <w:tc>
          <w:tcPr>
            <w:tcW w:w="1256" w:type="dxa"/>
            <w:shd w:val="clear" w:color="auto" w:fill="auto"/>
            <w:noWrap/>
          </w:tcPr>
          <w:p w:rsidR="00DF139B" w:rsidRPr="007C51D6" w:rsidRDefault="00DF139B" w:rsidP="0043783B">
            <w:pPr>
              <w:jc w:val="center"/>
              <w:rPr>
                <w:color w:val="000000"/>
                <w:sz w:val="20"/>
                <w:szCs w:val="20"/>
              </w:rPr>
            </w:pPr>
            <w:r w:rsidRPr="007C51D6">
              <w:rPr>
                <w:color w:val="000000"/>
                <w:sz w:val="20"/>
                <w:szCs w:val="20"/>
              </w:rPr>
              <w:t>54</w:t>
            </w:r>
          </w:p>
        </w:tc>
        <w:tc>
          <w:tcPr>
            <w:tcW w:w="1275" w:type="dxa"/>
            <w:shd w:val="clear" w:color="auto" w:fill="auto"/>
            <w:noWrap/>
          </w:tcPr>
          <w:p w:rsidR="00DF139B" w:rsidRPr="007C51D6" w:rsidRDefault="00DF139B" w:rsidP="0043783B">
            <w:pPr>
              <w:jc w:val="center"/>
              <w:rPr>
                <w:color w:val="000000"/>
                <w:sz w:val="20"/>
                <w:szCs w:val="20"/>
              </w:rPr>
            </w:pPr>
            <w:r w:rsidRPr="007C51D6">
              <w:rPr>
                <w:color w:val="000000"/>
                <w:sz w:val="20"/>
                <w:szCs w:val="20"/>
              </w:rPr>
              <w:t>824</w:t>
            </w:r>
          </w:p>
        </w:tc>
        <w:tc>
          <w:tcPr>
            <w:tcW w:w="1276" w:type="dxa"/>
            <w:shd w:val="clear" w:color="auto" w:fill="auto"/>
            <w:noWrap/>
          </w:tcPr>
          <w:p w:rsidR="00DF139B" w:rsidRPr="007C51D6" w:rsidRDefault="00DF139B" w:rsidP="0043783B">
            <w:pPr>
              <w:jc w:val="center"/>
              <w:rPr>
                <w:color w:val="000000"/>
                <w:sz w:val="20"/>
                <w:szCs w:val="20"/>
              </w:rPr>
            </w:pPr>
            <w:r w:rsidRPr="007C51D6">
              <w:rPr>
                <w:color w:val="000000"/>
                <w:sz w:val="20"/>
                <w:szCs w:val="20"/>
              </w:rPr>
              <w:t>6.55</w:t>
            </w:r>
          </w:p>
        </w:tc>
        <w:tc>
          <w:tcPr>
            <w:tcW w:w="1276" w:type="dxa"/>
          </w:tcPr>
          <w:p w:rsidR="00DF139B" w:rsidRPr="007C51D6" w:rsidRDefault="00DF139B" w:rsidP="0043783B">
            <w:pPr>
              <w:jc w:val="center"/>
              <w:rPr>
                <w:color w:val="000000"/>
                <w:sz w:val="20"/>
                <w:szCs w:val="20"/>
              </w:rPr>
            </w:pPr>
            <w:r w:rsidRPr="007C51D6">
              <w:rPr>
                <w:color w:val="000000"/>
                <w:sz w:val="20"/>
                <w:szCs w:val="20"/>
              </w:rPr>
              <w:t>73</w:t>
            </w:r>
          </w:p>
        </w:tc>
        <w:tc>
          <w:tcPr>
            <w:tcW w:w="1276" w:type="dxa"/>
          </w:tcPr>
          <w:p w:rsidR="00DF139B" w:rsidRPr="007C51D6" w:rsidRDefault="00DF139B" w:rsidP="0043783B">
            <w:pPr>
              <w:jc w:val="center"/>
              <w:rPr>
                <w:color w:val="000000"/>
                <w:sz w:val="20"/>
                <w:szCs w:val="20"/>
              </w:rPr>
            </w:pPr>
            <w:r w:rsidRPr="007C51D6">
              <w:rPr>
                <w:color w:val="000000"/>
                <w:sz w:val="20"/>
                <w:szCs w:val="20"/>
              </w:rPr>
              <w:t>571</w:t>
            </w:r>
          </w:p>
        </w:tc>
        <w:tc>
          <w:tcPr>
            <w:tcW w:w="1275" w:type="dxa"/>
          </w:tcPr>
          <w:p w:rsidR="00DF139B" w:rsidRPr="007C51D6" w:rsidRDefault="00DF139B" w:rsidP="0043783B">
            <w:pPr>
              <w:jc w:val="center"/>
              <w:rPr>
                <w:color w:val="000000"/>
                <w:sz w:val="20"/>
                <w:szCs w:val="20"/>
              </w:rPr>
            </w:pPr>
            <w:r w:rsidRPr="007C51D6">
              <w:rPr>
                <w:color w:val="000000"/>
                <w:sz w:val="20"/>
                <w:szCs w:val="20"/>
              </w:rPr>
              <w:t>12,78</w:t>
            </w:r>
          </w:p>
        </w:tc>
        <w:tc>
          <w:tcPr>
            <w:tcW w:w="1276" w:type="dxa"/>
          </w:tcPr>
          <w:p w:rsidR="00DF139B" w:rsidRPr="007C51D6" w:rsidRDefault="00DF139B" w:rsidP="0043783B">
            <w:pPr>
              <w:jc w:val="center"/>
              <w:rPr>
                <w:color w:val="000000"/>
                <w:sz w:val="20"/>
                <w:szCs w:val="20"/>
              </w:rPr>
            </w:pPr>
            <w:r w:rsidRPr="007C51D6">
              <w:rPr>
                <w:color w:val="000000"/>
                <w:sz w:val="20"/>
                <w:szCs w:val="20"/>
              </w:rPr>
              <w:t>84</w:t>
            </w:r>
          </w:p>
        </w:tc>
        <w:tc>
          <w:tcPr>
            <w:tcW w:w="1276" w:type="dxa"/>
          </w:tcPr>
          <w:p w:rsidR="00DF139B" w:rsidRPr="007C51D6" w:rsidRDefault="00DF139B" w:rsidP="0043783B">
            <w:pPr>
              <w:jc w:val="center"/>
            </w:pPr>
            <w:r w:rsidRPr="007C51D6">
              <w:rPr>
                <w:color w:val="000000"/>
                <w:sz w:val="20"/>
                <w:szCs w:val="20"/>
              </w:rPr>
              <w:t>нет данных</w:t>
            </w:r>
          </w:p>
        </w:tc>
        <w:tc>
          <w:tcPr>
            <w:tcW w:w="1276" w:type="dxa"/>
          </w:tcPr>
          <w:p w:rsidR="00DF139B" w:rsidRPr="007C51D6" w:rsidRDefault="00DF139B" w:rsidP="0043783B">
            <w:pPr>
              <w:jc w:val="center"/>
            </w:pPr>
            <w:r w:rsidRPr="007C51D6">
              <w:rPr>
                <w:color w:val="000000"/>
                <w:sz w:val="20"/>
                <w:szCs w:val="20"/>
              </w:rPr>
              <w:t>нет данных</w:t>
            </w:r>
          </w:p>
        </w:tc>
      </w:tr>
      <w:tr w:rsidR="00DF139B" w:rsidRPr="007C51D6" w:rsidTr="0043783B">
        <w:trPr>
          <w:trHeight w:val="20"/>
        </w:trPr>
        <w:tc>
          <w:tcPr>
            <w:tcW w:w="3681" w:type="dxa"/>
            <w:shd w:val="clear" w:color="auto" w:fill="auto"/>
            <w:noWrap/>
            <w:hideMark/>
          </w:tcPr>
          <w:p w:rsidR="00DF139B" w:rsidRPr="007C51D6" w:rsidRDefault="00DF139B" w:rsidP="0043783B">
            <w:pPr>
              <w:autoSpaceDE/>
              <w:autoSpaceDN/>
              <w:adjustRightInd/>
              <w:rPr>
                <w:color w:val="000000"/>
                <w:sz w:val="20"/>
                <w:szCs w:val="20"/>
              </w:rPr>
            </w:pPr>
            <w:r w:rsidRPr="007C51D6">
              <w:rPr>
                <w:color w:val="000000"/>
                <w:sz w:val="20"/>
                <w:szCs w:val="20"/>
              </w:rPr>
              <w:t>прямой кишки, ректосигмоидного соединения, ануса (С19 – 21)</w:t>
            </w:r>
          </w:p>
        </w:tc>
        <w:tc>
          <w:tcPr>
            <w:tcW w:w="1256" w:type="dxa"/>
            <w:shd w:val="clear" w:color="auto" w:fill="auto"/>
            <w:noWrap/>
          </w:tcPr>
          <w:p w:rsidR="00DF139B" w:rsidRPr="007C51D6" w:rsidRDefault="00DF139B" w:rsidP="0043783B">
            <w:pPr>
              <w:jc w:val="center"/>
              <w:rPr>
                <w:color w:val="000000"/>
                <w:sz w:val="20"/>
                <w:szCs w:val="20"/>
              </w:rPr>
            </w:pPr>
            <w:r w:rsidRPr="007C51D6">
              <w:rPr>
                <w:color w:val="000000"/>
                <w:sz w:val="20"/>
                <w:szCs w:val="20"/>
              </w:rPr>
              <w:t>30</w:t>
            </w:r>
          </w:p>
        </w:tc>
        <w:tc>
          <w:tcPr>
            <w:tcW w:w="1275" w:type="dxa"/>
            <w:shd w:val="clear" w:color="auto" w:fill="auto"/>
            <w:noWrap/>
          </w:tcPr>
          <w:p w:rsidR="00DF139B" w:rsidRPr="007C51D6" w:rsidRDefault="00DF139B" w:rsidP="0043783B">
            <w:pPr>
              <w:jc w:val="center"/>
              <w:rPr>
                <w:color w:val="000000"/>
                <w:sz w:val="20"/>
                <w:szCs w:val="20"/>
              </w:rPr>
            </w:pPr>
            <w:r w:rsidRPr="007C51D6">
              <w:rPr>
                <w:color w:val="000000"/>
                <w:sz w:val="20"/>
                <w:szCs w:val="20"/>
              </w:rPr>
              <w:t>504</w:t>
            </w:r>
          </w:p>
        </w:tc>
        <w:tc>
          <w:tcPr>
            <w:tcW w:w="1276" w:type="dxa"/>
            <w:shd w:val="clear" w:color="auto" w:fill="auto"/>
            <w:noWrap/>
          </w:tcPr>
          <w:p w:rsidR="00DF139B" w:rsidRPr="007C51D6" w:rsidRDefault="00DF139B" w:rsidP="0043783B">
            <w:pPr>
              <w:jc w:val="center"/>
              <w:rPr>
                <w:color w:val="000000"/>
                <w:sz w:val="20"/>
                <w:szCs w:val="20"/>
              </w:rPr>
            </w:pPr>
            <w:r w:rsidRPr="007C51D6">
              <w:rPr>
                <w:color w:val="000000"/>
                <w:sz w:val="20"/>
                <w:szCs w:val="20"/>
              </w:rPr>
              <w:t>5.95</w:t>
            </w:r>
          </w:p>
        </w:tc>
        <w:tc>
          <w:tcPr>
            <w:tcW w:w="1276" w:type="dxa"/>
          </w:tcPr>
          <w:p w:rsidR="00DF139B" w:rsidRPr="007C51D6" w:rsidRDefault="00DF139B" w:rsidP="0043783B">
            <w:pPr>
              <w:jc w:val="center"/>
              <w:rPr>
                <w:color w:val="000000"/>
                <w:sz w:val="20"/>
                <w:szCs w:val="20"/>
              </w:rPr>
            </w:pPr>
            <w:r w:rsidRPr="007C51D6">
              <w:rPr>
                <w:color w:val="000000"/>
                <w:sz w:val="20"/>
                <w:szCs w:val="20"/>
              </w:rPr>
              <w:t>45</w:t>
            </w:r>
          </w:p>
        </w:tc>
        <w:tc>
          <w:tcPr>
            <w:tcW w:w="1276" w:type="dxa"/>
          </w:tcPr>
          <w:p w:rsidR="00DF139B" w:rsidRPr="007C51D6" w:rsidRDefault="00DF139B" w:rsidP="0043783B">
            <w:pPr>
              <w:jc w:val="center"/>
              <w:rPr>
                <w:color w:val="000000"/>
                <w:sz w:val="20"/>
                <w:szCs w:val="20"/>
              </w:rPr>
            </w:pPr>
            <w:r w:rsidRPr="007C51D6">
              <w:rPr>
                <w:color w:val="000000"/>
                <w:sz w:val="20"/>
                <w:szCs w:val="20"/>
              </w:rPr>
              <w:t>391</w:t>
            </w:r>
          </w:p>
        </w:tc>
        <w:tc>
          <w:tcPr>
            <w:tcW w:w="1275" w:type="dxa"/>
          </w:tcPr>
          <w:p w:rsidR="00DF139B" w:rsidRPr="007C51D6" w:rsidRDefault="00DF139B" w:rsidP="0043783B">
            <w:pPr>
              <w:jc w:val="center"/>
              <w:rPr>
                <w:color w:val="000000"/>
                <w:sz w:val="20"/>
                <w:szCs w:val="20"/>
              </w:rPr>
            </w:pPr>
            <w:r w:rsidRPr="007C51D6">
              <w:rPr>
                <w:color w:val="000000"/>
                <w:sz w:val="20"/>
                <w:szCs w:val="20"/>
              </w:rPr>
              <w:t>11,51</w:t>
            </w:r>
          </w:p>
        </w:tc>
        <w:tc>
          <w:tcPr>
            <w:tcW w:w="1276" w:type="dxa"/>
          </w:tcPr>
          <w:p w:rsidR="00DF139B" w:rsidRPr="007C51D6" w:rsidRDefault="00DF139B" w:rsidP="0043783B">
            <w:pPr>
              <w:jc w:val="center"/>
              <w:rPr>
                <w:color w:val="000000"/>
                <w:sz w:val="20"/>
                <w:szCs w:val="20"/>
              </w:rPr>
            </w:pPr>
            <w:r w:rsidRPr="007C51D6">
              <w:rPr>
                <w:color w:val="000000"/>
                <w:sz w:val="20"/>
                <w:szCs w:val="20"/>
              </w:rPr>
              <w:t>42</w:t>
            </w:r>
          </w:p>
        </w:tc>
        <w:tc>
          <w:tcPr>
            <w:tcW w:w="1276" w:type="dxa"/>
          </w:tcPr>
          <w:p w:rsidR="00DF139B" w:rsidRPr="007C51D6" w:rsidRDefault="00DF139B" w:rsidP="0043783B">
            <w:pPr>
              <w:jc w:val="center"/>
            </w:pPr>
            <w:r w:rsidRPr="007C51D6">
              <w:rPr>
                <w:color w:val="000000"/>
                <w:sz w:val="20"/>
                <w:szCs w:val="20"/>
              </w:rPr>
              <w:t>нет данных</w:t>
            </w:r>
          </w:p>
        </w:tc>
        <w:tc>
          <w:tcPr>
            <w:tcW w:w="1276" w:type="dxa"/>
          </w:tcPr>
          <w:p w:rsidR="00DF139B" w:rsidRPr="007C51D6" w:rsidRDefault="00DF139B" w:rsidP="0043783B">
            <w:pPr>
              <w:jc w:val="center"/>
            </w:pPr>
            <w:r w:rsidRPr="007C51D6">
              <w:rPr>
                <w:color w:val="000000"/>
                <w:sz w:val="20"/>
                <w:szCs w:val="20"/>
              </w:rPr>
              <w:t>нет данных</w:t>
            </w:r>
          </w:p>
        </w:tc>
      </w:tr>
      <w:tr w:rsidR="00DF139B" w:rsidRPr="007C51D6" w:rsidTr="0043783B">
        <w:trPr>
          <w:trHeight w:val="20"/>
        </w:trPr>
        <w:tc>
          <w:tcPr>
            <w:tcW w:w="3681" w:type="dxa"/>
            <w:shd w:val="clear" w:color="auto" w:fill="auto"/>
            <w:noWrap/>
          </w:tcPr>
          <w:p w:rsidR="00DF139B" w:rsidRPr="007C51D6" w:rsidRDefault="00DF139B" w:rsidP="0043783B">
            <w:pPr>
              <w:autoSpaceDE/>
              <w:autoSpaceDN/>
              <w:adjustRightInd/>
              <w:rPr>
                <w:color w:val="000000"/>
                <w:sz w:val="20"/>
                <w:szCs w:val="20"/>
              </w:rPr>
            </w:pPr>
            <w:r w:rsidRPr="007C51D6">
              <w:rPr>
                <w:color w:val="000000"/>
                <w:sz w:val="20"/>
                <w:szCs w:val="20"/>
              </w:rPr>
              <w:t>меланома кожи (С43)</w:t>
            </w:r>
          </w:p>
        </w:tc>
        <w:tc>
          <w:tcPr>
            <w:tcW w:w="1256" w:type="dxa"/>
            <w:shd w:val="clear" w:color="auto" w:fill="auto"/>
            <w:noWrap/>
          </w:tcPr>
          <w:p w:rsidR="00DF139B" w:rsidRPr="007C51D6" w:rsidRDefault="00DF139B" w:rsidP="0043783B">
            <w:pPr>
              <w:jc w:val="center"/>
              <w:rPr>
                <w:color w:val="000000"/>
                <w:sz w:val="20"/>
                <w:szCs w:val="20"/>
              </w:rPr>
            </w:pPr>
            <w:r w:rsidRPr="007C51D6">
              <w:rPr>
                <w:color w:val="000000"/>
                <w:sz w:val="20"/>
                <w:szCs w:val="20"/>
              </w:rPr>
              <w:t>0</w:t>
            </w:r>
          </w:p>
        </w:tc>
        <w:tc>
          <w:tcPr>
            <w:tcW w:w="1275" w:type="dxa"/>
            <w:shd w:val="clear" w:color="auto" w:fill="auto"/>
            <w:noWrap/>
          </w:tcPr>
          <w:p w:rsidR="00DF139B" w:rsidRPr="007C51D6" w:rsidRDefault="00DF139B" w:rsidP="0043783B">
            <w:pPr>
              <w:jc w:val="center"/>
              <w:rPr>
                <w:color w:val="000000"/>
                <w:sz w:val="20"/>
                <w:szCs w:val="20"/>
              </w:rPr>
            </w:pPr>
            <w:r w:rsidRPr="007C51D6">
              <w:rPr>
                <w:color w:val="000000"/>
                <w:sz w:val="20"/>
                <w:szCs w:val="20"/>
              </w:rPr>
              <w:t>69</w:t>
            </w:r>
          </w:p>
        </w:tc>
        <w:tc>
          <w:tcPr>
            <w:tcW w:w="1276" w:type="dxa"/>
            <w:shd w:val="clear" w:color="auto" w:fill="auto"/>
            <w:noWrap/>
          </w:tcPr>
          <w:p w:rsidR="00DF139B" w:rsidRPr="007C51D6" w:rsidRDefault="00DF139B" w:rsidP="0043783B">
            <w:pPr>
              <w:jc w:val="center"/>
              <w:rPr>
                <w:color w:val="000000"/>
                <w:sz w:val="20"/>
                <w:szCs w:val="20"/>
              </w:rPr>
            </w:pPr>
            <w:r w:rsidRPr="007C51D6">
              <w:rPr>
                <w:color w:val="000000"/>
                <w:sz w:val="20"/>
                <w:szCs w:val="20"/>
              </w:rPr>
              <w:t>0.00</w:t>
            </w:r>
          </w:p>
        </w:tc>
        <w:tc>
          <w:tcPr>
            <w:tcW w:w="1276" w:type="dxa"/>
          </w:tcPr>
          <w:p w:rsidR="00DF139B" w:rsidRPr="007C51D6" w:rsidRDefault="00DF139B" w:rsidP="0043783B">
            <w:pPr>
              <w:jc w:val="center"/>
              <w:rPr>
                <w:color w:val="000000"/>
                <w:sz w:val="20"/>
                <w:szCs w:val="20"/>
              </w:rPr>
            </w:pPr>
            <w:r w:rsidRPr="007C51D6">
              <w:rPr>
                <w:color w:val="000000"/>
                <w:sz w:val="20"/>
                <w:szCs w:val="20"/>
              </w:rPr>
              <w:t>2</w:t>
            </w:r>
          </w:p>
        </w:tc>
        <w:tc>
          <w:tcPr>
            <w:tcW w:w="1276" w:type="dxa"/>
          </w:tcPr>
          <w:p w:rsidR="00DF139B" w:rsidRPr="007C51D6" w:rsidRDefault="00DF139B" w:rsidP="0043783B">
            <w:pPr>
              <w:jc w:val="center"/>
              <w:rPr>
                <w:color w:val="000000"/>
                <w:sz w:val="20"/>
                <w:szCs w:val="20"/>
              </w:rPr>
            </w:pPr>
            <w:r w:rsidRPr="007C51D6">
              <w:rPr>
                <w:color w:val="000000"/>
                <w:sz w:val="20"/>
                <w:szCs w:val="20"/>
              </w:rPr>
              <w:t>77</w:t>
            </w:r>
          </w:p>
        </w:tc>
        <w:tc>
          <w:tcPr>
            <w:tcW w:w="1275" w:type="dxa"/>
          </w:tcPr>
          <w:p w:rsidR="00DF139B" w:rsidRPr="007C51D6" w:rsidRDefault="00DF139B" w:rsidP="0043783B">
            <w:pPr>
              <w:jc w:val="center"/>
              <w:rPr>
                <w:color w:val="000000"/>
                <w:sz w:val="20"/>
                <w:szCs w:val="20"/>
              </w:rPr>
            </w:pPr>
            <w:r w:rsidRPr="007C51D6">
              <w:rPr>
                <w:color w:val="000000"/>
                <w:sz w:val="20"/>
                <w:szCs w:val="20"/>
              </w:rPr>
              <w:t>2,60</w:t>
            </w:r>
          </w:p>
        </w:tc>
        <w:tc>
          <w:tcPr>
            <w:tcW w:w="1276" w:type="dxa"/>
          </w:tcPr>
          <w:p w:rsidR="00DF139B" w:rsidRPr="007C51D6" w:rsidRDefault="00DF139B" w:rsidP="0043783B">
            <w:pPr>
              <w:jc w:val="center"/>
              <w:rPr>
                <w:color w:val="000000"/>
                <w:sz w:val="20"/>
                <w:szCs w:val="20"/>
              </w:rPr>
            </w:pPr>
            <w:r w:rsidRPr="007C51D6">
              <w:rPr>
                <w:color w:val="000000"/>
                <w:sz w:val="20"/>
                <w:szCs w:val="20"/>
              </w:rPr>
              <w:t>0</w:t>
            </w:r>
          </w:p>
        </w:tc>
        <w:tc>
          <w:tcPr>
            <w:tcW w:w="1276" w:type="dxa"/>
          </w:tcPr>
          <w:p w:rsidR="00DF139B" w:rsidRPr="007C51D6" w:rsidRDefault="00DF139B" w:rsidP="0043783B">
            <w:pPr>
              <w:jc w:val="center"/>
            </w:pPr>
            <w:r w:rsidRPr="007C51D6">
              <w:rPr>
                <w:color w:val="000000"/>
                <w:sz w:val="20"/>
                <w:szCs w:val="20"/>
              </w:rPr>
              <w:t>нет данных</w:t>
            </w:r>
          </w:p>
        </w:tc>
        <w:tc>
          <w:tcPr>
            <w:tcW w:w="1276" w:type="dxa"/>
          </w:tcPr>
          <w:p w:rsidR="00DF139B" w:rsidRPr="007C51D6" w:rsidRDefault="00DF139B" w:rsidP="0043783B">
            <w:pPr>
              <w:jc w:val="center"/>
            </w:pPr>
            <w:r w:rsidRPr="007C51D6">
              <w:rPr>
                <w:color w:val="000000"/>
                <w:sz w:val="20"/>
                <w:szCs w:val="20"/>
              </w:rPr>
              <w:t>нет данных</w:t>
            </w:r>
          </w:p>
        </w:tc>
      </w:tr>
      <w:tr w:rsidR="00DF139B" w:rsidRPr="007C51D6" w:rsidTr="0043783B">
        <w:trPr>
          <w:trHeight w:val="20"/>
        </w:trPr>
        <w:tc>
          <w:tcPr>
            <w:tcW w:w="3681" w:type="dxa"/>
            <w:shd w:val="clear" w:color="auto" w:fill="auto"/>
            <w:noWrap/>
            <w:hideMark/>
          </w:tcPr>
          <w:p w:rsidR="00DF139B" w:rsidRPr="007C51D6" w:rsidRDefault="00DF139B" w:rsidP="0043783B">
            <w:pPr>
              <w:autoSpaceDE/>
              <w:autoSpaceDN/>
              <w:adjustRightInd/>
              <w:rPr>
                <w:color w:val="000000"/>
                <w:sz w:val="20"/>
                <w:szCs w:val="20"/>
              </w:rPr>
            </w:pPr>
            <w:r w:rsidRPr="007C51D6">
              <w:rPr>
                <w:color w:val="000000"/>
                <w:sz w:val="20"/>
                <w:szCs w:val="20"/>
              </w:rPr>
              <w:t>пищевода (С15)</w:t>
            </w:r>
          </w:p>
        </w:tc>
        <w:tc>
          <w:tcPr>
            <w:tcW w:w="1256" w:type="dxa"/>
            <w:shd w:val="clear" w:color="auto" w:fill="auto"/>
            <w:noWrap/>
          </w:tcPr>
          <w:p w:rsidR="00DF139B" w:rsidRPr="007C51D6" w:rsidRDefault="00DF139B" w:rsidP="0043783B">
            <w:pPr>
              <w:jc w:val="center"/>
              <w:rPr>
                <w:color w:val="000000"/>
                <w:sz w:val="20"/>
                <w:szCs w:val="20"/>
              </w:rPr>
            </w:pPr>
            <w:r w:rsidRPr="007C51D6">
              <w:rPr>
                <w:color w:val="000000"/>
                <w:sz w:val="20"/>
                <w:szCs w:val="20"/>
              </w:rPr>
              <w:t>9</w:t>
            </w:r>
          </w:p>
        </w:tc>
        <w:tc>
          <w:tcPr>
            <w:tcW w:w="1275" w:type="dxa"/>
            <w:shd w:val="clear" w:color="auto" w:fill="auto"/>
            <w:noWrap/>
          </w:tcPr>
          <w:p w:rsidR="00DF139B" w:rsidRPr="007C51D6" w:rsidRDefault="00DF139B" w:rsidP="0043783B">
            <w:pPr>
              <w:jc w:val="center"/>
              <w:rPr>
                <w:color w:val="000000"/>
                <w:sz w:val="20"/>
                <w:szCs w:val="20"/>
              </w:rPr>
            </w:pPr>
            <w:r w:rsidRPr="007C51D6">
              <w:rPr>
                <w:color w:val="000000"/>
                <w:sz w:val="20"/>
                <w:szCs w:val="20"/>
              </w:rPr>
              <w:t>227</w:t>
            </w:r>
          </w:p>
        </w:tc>
        <w:tc>
          <w:tcPr>
            <w:tcW w:w="1276" w:type="dxa"/>
            <w:shd w:val="clear" w:color="auto" w:fill="auto"/>
            <w:noWrap/>
          </w:tcPr>
          <w:p w:rsidR="00DF139B" w:rsidRPr="007C51D6" w:rsidRDefault="00DF139B" w:rsidP="0043783B">
            <w:pPr>
              <w:jc w:val="center"/>
              <w:rPr>
                <w:color w:val="000000"/>
                <w:sz w:val="20"/>
                <w:szCs w:val="20"/>
              </w:rPr>
            </w:pPr>
            <w:r w:rsidRPr="007C51D6">
              <w:rPr>
                <w:color w:val="000000"/>
                <w:sz w:val="20"/>
                <w:szCs w:val="20"/>
              </w:rPr>
              <w:t>3.96</w:t>
            </w:r>
          </w:p>
        </w:tc>
        <w:tc>
          <w:tcPr>
            <w:tcW w:w="1276" w:type="dxa"/>
          </w:tcPr>
          <w:p w:rsidR="00DF139B" w:rsidRPr="007C51D6" w:rsidRDefault="00DF139B" w:rsidP="0043783B">
            <w:pPr>
              <w:jc w:val="center"/>
              <w:rPr>
                <w:color w:val="000000"/>
                <w:sz w:val="20"/>
                <w:szCs w:val="20"/>
              </w:rPr>
            </w:pPr>
            <w:r w:rsidRPr="007C51D6">
              <w:rPr>
                <w:color w:val="000000"/>
                <w:sz w:val="20"/>
                <w:szCs w:val="20"/>
              </w:rPr>
              <w:t>16</w:t>
            </w:r>
          </w:p>
        </w:tc>
        <w:tc>
          <w:tcPr>
            <w:tcW w:w="1276" w:type="dxa"/>
          </w:tcPr>
          <w:p w:rsidR="00DF139B" w:rsidRPr="007C51D6" w:rsidRDefault="00DF139B" w:rsidP="0043783B">
            <w:pPr>
              <w:jc w:val="center"/>
              <w:rPr>
                <w:color w:val="000000"/>
                <w:sz w:val="20"/>
                <w:szCs w:val="20"/>
              </w:rPr>
            </w:pPr>
            <w:r w:rsidRPr="007C51D6">
              <w:rPr>
                <w:color w:val="000000"/>
                <w:sz w:val="20"/>
                <w:szCs w:val="20"/>
              </w:rPr>
              <w:t>200</w:t>
            </w:r>
          </w:p>
        </w:tc>
        <w:tc>
          <w:tcPr>
            <w:tcW w:w="1275" w:type="dxa"/>
          </w:tcPr>
          <w:p w:rsidR="00DF139B" w:rsidRPr="007C51D6" w:rsidRDefault="00DF139B" w:rsidP="0043783B">
            <w:pPr>
              <w:jc w:val="center"/>
              <w:rPr>
                <w:color w:val="000000"/>
                <w:sz w:val="20"/>
                <w:szCs w:val="20"/>
              </w:rPr>
            </w:pPr>
            <w:r w:rsidRPr="007C51D6">
              <w:rPr>
                <w:color w:val="000000"/>
                <w:sz w:val="20"/>
                <w:szCs w:val="20"/>
              </w:rPr>
              <w:t>8,00</w:t>
            </w:r>
          </w:p>
        </w:tc>
        <w:tc>
          <w:tcPr>
            <w:tcW w:w="1276" w:type="dxa"/>
          </w:tcPr>
          <w:p w:rsidR="00DF139B" w:rsidRPr="007C51D6" w:rsidRDefault="00DF139B" w:rsidP="0043783B">
            <w:pPr>
              <w:jc w:val="center"/>
              <w:rPr>
                <w:color w:val="000000"/>
                <w:sz w:val="20"/>
                <w:szCs w:val="20"/>
              </w:rPr>
            </w:pPr>
            <w:r w:rsidRPr="007C51D6">
              <w:rPr>
                <w:color w:val="000000"/>
                <w:sz w:val="20"/>
                <w:szCs w:val="20"/>
              </w:rPr>
              <w:t>16</w:t>
            </w:r>
          </w:p>
        </w:tc>
        <w:tc>
          <w:tcPr>
            <w:tcW w:w="1276" w:type="dxa"/>
          </w:tcPr>
          <w:p w:rsidR="00DF139B" w:rsidRPr="007C51D6" w:rsidRDefault="00DF139B" w:rsidP="0043783B">
            <w:pPr>
              <w:jc w:val="center"/>
            </w:pPr>
            <w:r w:rsidRPr="007C51D6">
              <w:rPr>
                <w:color w:val="000000"/>
                <w:sz w:val="20"/>
                <w:szCs w:val="20"/>
              </w:rPr>
              <w:t>нет данных</w:t>
            </w:r>
          </w:p>
        </w:tc>
        <w:tc>
          <w:tcPr>
            <w:tcW w:w="1276" w:type="dxa"/>
          </w:tcPr>
          <w:p w:rsidR="00DF139B" w:rsidRPr="007C51D6" w:rsidRDefault="00DF139B" w:rsidP="0043783B">
            <w:pPr>
              <w:jc w:val="center"/>
            </w:pPr>
            <w:r w:rsidRPr="007C51D6">
              <w:rPr>
                <w:color w:val="000000"/>
                <w:sz w:val="20"/>
                <w:szCs w:val="20"/>
              </w:rPr>
              <w:t>нет данных</w:t>
            </w:r>
          </w:p>
        </w:tc>
      </w:tr>
      <w:tr w:rsidR="00DF139B" w:rsidRPr="007C51D6" w:rsidTr="0043783B">
        <w:trPr>
          <w:trHeight w:val="20"/>
        </w:trPr>
        <w:tc>
          <w:tcPr>
            <w:tcW w:w="3681" w:type="dxa"/>
            <w:shd w:val="clear" w:color="auto" w:fill="auto"/>
            <w:noWrap/>
            <w:hideMark/>
          </w:tcPr>
          <w:p w:rsidR="00DF139B" w:rsidRPr="007C51D6" w:rsidRDefault="00DF139B" w:rsidP="0043783B">
            <w:pPr>
              <w:autoSpaceDE/>
              <w:autoSpaceDN/>
              <w:adjustRightInd/>
              <w:rPr>
                <w:color w:val="000000"/>
                <w:sz w:val="20"/>
                <w:szCs w:val="20"/>
              </w:rPr>
            </w:pPr>
            <w:r w:rsidRPr="007C51D6">
              <w:rPr>
                <w:color w:val="000000"/>
                <w:sz w:val="20"/>
                <w:szCs w:val="20"/>
              </w:rPr>
              <w:t>гортани (С32)</w:t>
            </w:r>
          </w:p>
        </w:tc>
        <w:tc>
          <w:tcPr>
            <w:tcW w:w="1256" w:type="dxa"/>
            <w:shd w:val="clear" w:color="auto" w:fill="auto"/>
            <w:noWrap/>
          </w:tcPr>
          <w:p w:rsidR="00DF139B" w:rsidRPr="007C51D6" w:rsidRDefault="00DF139B" w:rsidP="0043783B">
            <w:pPr>
              <w:jc w:val="center"/>
              <w:rPr>
                <w:color w:val="000000"/>
                <w:sz w:val="20"/>
                <w:szCs w:val="20"/>
              </w:rPr>
            </w:pPr>
            <w:r w:rsidRPr="007C51D6">
              <w:rPr>
                <w:color w:val="000000"/>
                <w:sz w:val="20"/>
                <w:szCs w:val="20"/>
              </w:rPr>
              <w:t>10</w:t>
            </w:r>
          </w:p>
        </w:tc>
        <w:tc>
          <w:tcPr>
            <w:tcW w:w="1275" w:type="dxa"/>
            <w:shd w:val="clear" w:color="auto" w:fill="auto"/>
            <w:noWrap/>
          </w:tcPr>
          <w:p w:rsidR="00DF139B" w:rsidRPr="007C51D6" w:rsidRDefault="00DF139B" w:rsidP="0043783B">
            <w:pPr>
              <w:jc w:val="center"/>
              <w:rPr>
                <w:color w:val="000000"/>
                <w:sz w:val="20"/>
                <w:szCs w:val="20"/>
              </w:rPr>
            </w:pPr>
            <w:r w:rsidRPr="007C51D6">
              <w:rPr>
                <w:color w:val="000000"/>
                <w:sz w:val="20"/>
                <w:szCs w:val="20"/>
              </w:rPr>
              <w:t>83</w:t>
            </w:r>
          </w:p>
        </w:tc>
        <w:tc>
          <w:tcPr>
            <w:tcW w:w="1276" w:type="dxa"/>
            <w:shd w:val="clear" w:color="auto" w:fill="auto"/>
            <w:noWrap/>
          </w:tcPr>
          <w:p w:rsidR="00DF139B" w:rsidRPr="007C51D6" w:rsidRDefault="00DF139B" w:rsidP="0043783B">
            <w:pPr>
              <w:jc w:val="center"/>
              <w:rPr>
                <w:color w:val="000000"/>
                <w:sz w:val="20"/>
                <w:szCs w:val="20"/>
              </w:rPr>
            </w:pPr>
            <w:r w:rsidRPr="007C51D6">
              <w:rPr>
                <w:color w:val="000000"/>
                <w:sz w:val="20"/>
                <w:szCs w:val="20"/>
              </w:rPr>
              <w:t>12.05</w:t>
            </w:r>
          </w:p>
        </w:tc>
        <w:tc>
          <w:tcPr>
            <w:tcW w:w="1276" w:type="dxa"/>
          </w:tcPr>
          <w:p w:rsidR="00DF139B" w:rsidRPr="007C51D6" w:rsidRDefault="00DF139B" w:rsidP="0043783B">
            <w:pPr>
              <w:jc w:val="center"/>
              <w:rPr>
                <w:color w:val="000000"/>
                <w:sz w:val="20"/>
                <w:szCs w:val="20"/>
              </w:rPr>
            </w:pPr>
            <w:r w:rsidRPr="007C51D6">
              <w:rPr>
                <w:color w:val="000000"/>
                <w:sz w:val="20"/>
                <w:szCs w:val="20"/>
              </w:rPr>
              <w:t>3</w:t>
            </w:r>
          </w:p>
        </w:tc>
        <w:tc>
          <w:tcPr>
            <w:tcW w:w="1276" w:type="dxa"/>
          </w:tcPr>
          <w:p w:rsidR="00DF139B" w:rsidRPr="007C51D6" w:rsidRDefault="00DF139B" w:rsidP="0043783B">
            <w:pPr>
              <w:jc w:val="center"/>
              <w:rPr>
                <w:color w:val="000000"/>
                <w:sz w:val="20"/>
                <w:szCs w:val="20"/>
              </w:rPr>
            </w:pPr>
            <w:r w:rsidRPr="007C51D6">
              <w:rPr>
                <w:color w:val="000000"/>
                <w:sz w:val="20"/>
                <w:szCs w:val="20"/>
              </w:rPr>
              <w:t>76</w:t>
            </w:r>
          </w:p>
        </w:tc>
        <w:tc>
          <w:tcPr>
            <w:tcW w:w="1275" w:type="dxa"/>
          </w:tcPr>
          <w:p w:rsidR="00DF139B" w:rsidRPr="007C51D6" w:rsidRDefault="00DF139B" w:rsidP="0043783B">
            <w:pPr>
              <w:jc w:val="center"/>
              <w:rPr>
                <w:color w:val="000000"/>
                <w:sz w:val="20"/>
                <w:szCs w:val="20"/>
              </w:rPr>
            </w:pPr>
            <w:r w:rsidRPr="007C51D6">
              <w:rPr>
                <w:color w:val="000000"/>
                <w:sz w:val="20"/>
                <w:szCs w:val="20"/>
              </w:rPr>
              <w:t>3,95</w:t>
            </w:r>
          </w:p>
        </w:tc>
        <w:tc>
          <w:tcPr>
            <w:tcW w:w="1276" w:type="dxa"/>
          </w:tcPr>
          <w:p w:rsidR="00DF139B" w:rsidRPr="007C51D6" w:rsidRDefault="00DF139B" w:rsidP="0043783B">
            <w:pPr>
              <w:jc w:val="center"/>
              <w:rPr>
                <w:color w:val="000000"/>
                <w:sz w:val="20"/>
                <w:szCs w:val="20"/>
              </w:rPr>
            </w:pPr>
            <w:r w:rsidRPr="007C51D6">
              <w:rPr>
                <w:color w:val="000000"/>
                <w:sz w:val="20"/>
                <w:szCs w:val="20"/>
              </w:rPr>
              <w:t>4</w:t>
            </w:r>
          </w:p>
        </w:tc>
        <w:tc>
          <w:tcPr>
            <w:tcW w:w="1276" w:type="dxa"/>
          </w:tcPr>
          <w:p w:rsidR="00DF139B" w:rsidRPr="007C51D6" w:rsidRDefault="00DF139B" w:rsidP="0043783B">
            <w:pPr>
              <w:jc w:val="center"/>
            </w:pPr>
            <w:r w:rsidRPr="007C51D6">
              <w:rPr>
                <w:color w:val="000000"/>
                <w:sz w:val="20"/>
                <w:szCs w:val="20"/>
              </w:rPr>
              <w:t>нет данных</w:t>
            </w:r>
          </w:p>
        </w:tc>
        <w:tc>
          <w:tcPr>
            <w:tcW w:w="1276" w:type="dxa"/>
          </w:tcPr>
          <w:p w:rsidR="00DF139B" w:rsidRPr="007C51D6" w:rsidRDefault="00DF139B" w:rsidP="0043783B">
            <w:pPr>
              <w:jc w:val="center"/>
            </w:pPr>
            <w:r w:rsidRPr="007C51D6">
              <w:rPr>
                <w:color w:val="000000"/>
                <w:sz w:val="20"/>
                <w:szCs w:val="20"/>
              </w:rPr>
              <w:t>нет данных</w:t>
            </w:r>
          </w:p>
        </w:tc>
      </w:tr>
      <w:tr w:rsidR="00DF139B" w:rsidRPr="007C51D6" w:rsidTr="0043783B">
        <w:trPr>
          <w:trHeight w:val="20"/>
        </w:trPr>
        <w:tc>
          <w:tcPr>
            <w:tcW w:w="3681" w:type="dxa"/>
            <w:shd w:val="clear" w:color="auto" w:fill="auto"/>
            <w:noWrap/>
            <w:hideMark/>
          </w:tcPr>
          <w:p w:rsidR="00DF139B" w:rsidRPr="007C51D6" w:rsidRDefault="00DF139B" w:rsidP="0043783B">
            <w:pPr>
              <w:autoSpaceDE/>
              <w:autoSpaceDN/>
              <w:adjustRightInd/>
              <w:rPr>
                <w:color w:val="000000"/>
                <w:sz w:val="20"/>
                <w:szCs w:val="20"/>
              </w:rPr>
            </w:pPr>
            <w:r w:rsidRPr="007C51D6">
              <w:rPr>
                <w:color w:val="000000"/>
                <w:sz w:val="20"/>
                <w:szCs w:val="20"/>
              </w:rPr>
              <w:t>ободочной кишки (С18)</w:t>
            </w:r>
          </w:p>
        </w:tc>
        <w:tc>
          <w:tcPr>
            <w:tcW w:w="1256" w:type="dxa"/>
            <w:shd w:val="clear" w:color="auto" w:fill="auto"/>
            <w:noWrap/>
          </w:tcPr>
          <w:p w:rsidR="00DF139B" w:rsidRPr="007C51D6" w:rsidRDefault="00DF139B" w:rsidP="0043783B">
            <w:pPr>
              <w:jc w:val="center"/>
              <w:rPr>
                <w:color w:val="000000"/>
                <w:sz w:val="20"/>
                <w:szCs w:val="20"/>
              </w:rPr>
            </w:pPr>
            <w:r w:rsidRPr="007C51D6">
              <w:rPr>
                <w:color w:val="000000"/>
                <w:sz w:val="20"/>
                <w:szCs w:val="20"/>
              </w:rPr>
              <w:t>80</w:t>
            </w:r>
          </w:p>
        </w:tc>
        <w:tc>
          <w:tcPr>
            <w:tcW w:w="1275" w:type="dxa"/>
            <w:shd w:val="clear" w:color="auto" w:fill="auto"/>
            <w:noWrap/>
          </w:tcPr>
          <w:p w:rsidR="00DF139B" w:rsidRPr="007C51D6" w:rsidRDefault="00DF139B" w:rsidP="0043783B">
            <w:pPr>
              <w:jc w:val="center"/>
              <w:rPr>
                <w:color w:val="000000"/>
                <w:sz w:val="20"/>
                <w:szCs w:val="20"/>
              </w:rPr>
            </w:pPr>
            <w:r w:rsidRPr="007C51D6">
              <w:rPr>
                <w:color w:val="000000"/>
                <w:sz w:val="20"/>
                <w:szCs w:val="20"/>
              </w:rPr>
              <w:t>545</w:t>
            </w:r>
          </w:p>
        </w:tc>
        <w:tc>
          <w:tcPr>
            <w:tcW w:w="1276" w:type="dxa"/>
            <w:shd w:val="clear" w:color="auto" w:fill="auto"/>
            <w:noWrap/>
          </w:tcPr>
          <w:p w:rsidR="00DF139B" w:rsidRPr="007C51D6" w:rsidRDefault="00DF139B" w:rsidP="0043783B">
            <w:pPr>
              <w:jc w:val="center"/>
              <w:rPr>
                <w:color w:val="000000"/>
                <w:sz w:val="20"/>
                <w:szCs w:val="20"/>
              </w:rPr>
            </w:pPr>
            <w:r w:rsidRPr="007C51D6">
              <w:rPr>
                <w:color w:val="000000"/>
                <w:sz w:val="20"/>
                <w:szCs w:val="20"/>
              </w:rPr>
              <w:t>14.68</w:t>
            </w:r>
          </w:p>
        </w:tc>
        <w:tc>
          <w:tcPr>
            <w:tcW w:w="1276" w:type="dxa"/>
          </w:tcPr>
          <w:p w:rsidR="00DF139B" w:rsidRPr="007C51D6" w:rsidRDefault="00DF139B" w:rsidP="0043783B">
            <w:pPr>
              <w:jc w:val="center"/>
              <w:rPr>
                <w:color w:val="000000"/>
                <w:sz w:val="20"/>
                <w:szCs w:val="20"/>
              </w:rPr>
            </w:pPr>
            <w:r w:rsidRPr="007C51D6">
              <w:rPr>
                <w:color w:val="000000"/>
                <w:sz w:val="20"/>
                <w:szCs w:val="20"/>
              </w:rPr>
              <w:t>101</w:t>
            </w:r>
          </w:p>
        </w:tc>
        <w:tc>
          <w:tcPr>
            <w:tcW w:w="1276" w:type="dxa"/>
          </w:tcPr>
          <w:p w:rsidR="00DF139B" w:rsidRPr="007C51D6" w:rsidRDefault="00DF139B" w:rsidP="0043783B">
            <w:pPr>
              <w:jc w:val="center"/>
              <w:rPr>
                <w:color w:val="000000"/>
                <w:sz w:val="20"/>
                <w:szCs w:val="20"/>
              </w:rPr>
            </w:pPr>
            <w:r w:rsidRPr="007C51D6">
              <w:rPr>
                <w:color w:val="000000"/>
                <w:sz w:val="20"/>
                <w:szCs w:val="20"/>
              </w:rPr>
              <w:t>446</w:t>
            </w:r>
          </w:p>
        </w:tc>
        <w:tc>
          <w:tcPr>
            <w:tcW w:w="1275" w:type="dxa"/>
          </w:tcPr>
          <w:p w:rsidR="00DF139B" w:rsidRPr="007C51D6" w:rsidRDefault="00DF139B" w:rsidP="0043783B">
            <w:pPr>
              <w:jc w:val="center"/>
              <w:rPr>
                <w:color w:val="000000"/>
                <w:sz w:val="20"/>
                <w:szCs w:val="20"/>
              </w:rPr>
            </w:pPr>
            <w:r w:rsidRPr="007C51D6">
              <w:rPr>
                <w:color w:val="000000"/>
                <w:sz w:val="20"/>
                <w:szCs w:val="20"/>
              </w:rPr>
              <w:t>22,65</w:t>
            </w:r>
          </w:p>
        </w:tc>
        <w:tc>
          <w:tcPr>
            <w:tcW w:w="1276" w:type="dxa"/>
          </w:tcPr>
          <w:p w:rsidR="00DF139B" w:rsidRPr="007C51D6" w:rsidRDefault="00DF139B" w:rsidP="0043783B">
            <w:pPr>
              <w:jc w:val="center"/>
              <w:rPr>
                <w:color w:val="000000"/>
                <w:sz w:val="20"/>
                <w:szCs w:val="20"/>
              </w:rPr>
            </w:pPr>
            <w:r w:rsidRPr="007C51D6">
              <w:rPr>
                <w:color w:val="000000"/>
                <w:sz w:val="20"/>
                <w:szCs w:val="20"/>
              </w:rPr>
              <w:t>102</w:t>
            </w:r>
          </w:p>
        </w:tc>
        <w:tc>
          <w:tcPr>
            <w:tcW w:w="1276" w:type="dxa"/>
          </w:tcPr>
          <w:p w:rsidR="00DF139B" w:rsidRPr="007C51D6" w:rsidRDefault="00DF139B" w:rsidP="0043783B">
            <w:pPr>
              <w:jc w:val="center"/>
            </w:pPr>
            <w:r w:rsidRPr="007C51D6">
              <w:rPr>
                <w:color w:val="000000"/>
                <w:sz w:val="20"/>
                <w:szCs w:val="20"/>
              </w:rPr>
              <w:t>нет данных</w:t>
            </w:r>
          </w:p>
        </w:tc>
        <w:tc>
          <w:tcPr>
            <w:tcW w:w="1276" w:type="dxa"/>
          </w:tcPr>
          <w:p w:rsidR="00DF139B" w:rsidRPr="007C51D6" w:rsidRDefault="00DF139B" w:rsidP="0043783B">
            <w:pPr>
              <w:jc w:val="center"/>
            </w:pPr>
            <w:r w:rsidRPr="007C51D6">
              <w:rPr>
                <w:color w:val="000000"/>
                <w:sz w:val="20"/>
                <w:szCs w:val="20"/>
              </w:rPr>
              <w:t>нет данных</w:t>
            </w:r>
          </w:p>
        </w:tc>
      </w:tr>
      <w:tr w:rsidR="00DF139B" w:rsidRPr="007C51D6" w:rsidTr="0043783B">
        <w:trPr>
          <w:trHeight w:val="20"/>
        </w:trPr>
        <w:tc>
          <w:tcPr>
            <w:tcW w:w="3681" w:type="dxa"/>
            <w:shd w:val="clear" w:color="auto" w:fill="auto"/>
            <w:noWrap/>
            <w:hideMark/>
          </w:tcPr>
          <w:p w:rsidR="00DF139B" w:rsidRPr="007C51D6" w:rsidRDefault="00DF139B" w:rsidP="0043783B">
            <w:pPr>
              <w:autoSpaceDE/>
              <w:autoSpaceDN/>
              <w:adjustRightInd/>
              <w:rPr>
                <w:color w:val="000000"/>
                <w:sz w:val="20"/>
                <w:szCs w:val="20"/>
              </w:rPr>
            </w:pPr>
            <w:r w:rsidRPr="007C51D6">
              <w:rPr>
                <w:color w:val="000000"/>
                <w:sz w:val="20"/>
                <w:szCs w:val="20"/>
              </w:rPr>
              <w:t>костей и суставных хрящей (С40 – 41)</w:t>
            </w:r>
          </w:p>
        </w:tc>
        <w:tc>
          <w:tcPr>
            <w:tcW w:w="1256" w:type="dxa"/>
            <w:shd w:val="clear" w:color="auto" w:fill="auto"/>
            <w:noWrap/>
          </w:tcPr>
          <w:p w:rsidR="00DF139B" w:rsidRPr="007C51D6" w:rsidRDefault="00DF139B" w:rsidP="0043783B">
            <w:pPr>
              <w:jc w:val="center"/>
              <w:rPr>
                <w:color w:val="000000"/>
                <w:sz w:val="20"/>
                <w:szCs w:val="20"/>
              </w:rPr>
            </w:pPr>
            <w:r w:rsidRPr="007C51D6">
              <w:rPr>
                <w:color w:val="000000"/>
                <w:sz w:val="20"/>
                <w:szCs w:val="20"/>
              </w:rPr>
              <w:t>3</w:t>
            </w:r>
          </w:p>
        </w:tc>
        <w:tc>
          <w:tcPr>
            <w:tcW w:w="1275" w:type="dxa"/>
            <w:shd w:val="clear" w:color="auto" w:fill="auto"/>
            <w:noWrap/>
          </w:tcPr>
          <w:p w:rsidR="00DF139B" w:rsidRPr="007C51D6" w:rsidRDefault="00DF139B" w:rsidP="0043783B">
            <w:pPr>
              <w:jc w:val="center"/>
              <w:rPr>
                <w:color w:val="000000"/>
                <w:sz w:val="20"/>
                <w:szCs w:val="20"/>
              </w:rPr>
            </w:pPr>
            <w:r w:rsidRPr="007C51D6">
              <w:rPr>
                <w:color w:val="000000"/>
                <w:sz w:val="20"/>
                <w:szCs w:val="20"/>
              </w:rPr>
              <w:t>28</w:t>
            </w:r>
          </w:p>
        </w:tc>
        <w:tc>
          <w:tcPr>
            <w:tcW w:w="1276" w:type="dxa"/>
            <w:shd w:val="clear" w:color="auto" w:fill="auto"/>
            <w:noWrap/>
          </w:tcPr>
          <w:p w:rsidR="00DF139B" w:rsidRPr="007C51D6" w:rsidRDefault="00DF139B" w:rsidP="0043783B">
            <w:pPr>
              <w:jc w:val="center"/>
              <w:rPr>
                <w:color w:val="000000"/>
                <w:sz w:val="20"/>
                <w:szCs w:val="20"/>
              </w:rPr>
            </w:pPr>
            <w:r w:rsidRPr="007C51D6">
              <w:rPr>
                <w:color w:val="000000"/>
                <w:sz w:val="20"/>
                <w:szCs w:val="20"/>
              </w:rPr>
              <w:t>10.71</w:t>
            </w:r>
          </w:p>
        </w:tc>
        <w:tc>
          <w:tcPr>
            <w:tcW w:w="1276" w:type="dxa"/>
          </w:tcPr>
          <w:p w:rsidR="00DF139B" w:rsidRPr="007C51D6" w:rsidRDefault="00DF139B" w:rsidP="0043783B">
            <w:pPr>
              <w:jc w:val="center"/>
              <w:rPr>
                <w:color w:val="000000"/>
                <w:sz w:val="20"/>
                <w:szCs w:val="20"/>
              </w:rPr>
            </w:pPr>
            <w:r w:rsidRPr="007C51D6">
              <w:rPr>
                <w:color w:val="000000"/>
                <w:sz w:val="20"/>
                <w:szCs w:val="20"/>
              </w:rPr>
              <w:t>3</w:t>
            </w:r>
          </w:p>
        </w:tc>
        <w:tc>
          <w:tcPr>
            <w:tcW w:w="1276" w:type="dxa"/>
          </w:tcPr>
          <w:p w:rsidR="00DF139B" w:rsidRPr="007C51D6" w:rsidRDefault="00DF139B" w:rsidP="0043783B">
            <w:pPr>
              <w:jc w:val="center"/>
              <w:rPr>
                <w:color w:val="000000"/>
                <w:sz w:val="20"/>
                <w:szCs w:val="20"/>
              </w:rPr>
            </w:pPr>
            <w:r w:rsidRPr="007C51D6">
              <w:rPr>
                <w:color w:val="000000"/>
                <w:sz w:val="20"/>
                <w:szCs w:val="20"/>
              </w:rPr>
              <w:t>16</w:t>
            </w:r>
          </w:p>
        </w:tc>
        <w:tc>
          <w:tcPr>
            <w:tcW w:w="1275" w:type="dxa"/>
          </w:tcPr>
          <w:p w:rsidR="00DF139B" w:rsidRPr="007C51D6" w:rsidRDefault="00DF139B" w:rsidP="0043783B">
            <w:pPr>
              <w:jc w:val="center"/>
              <w:rPr>
                <w:color w:val="000000"/>
                <w:sz w:val="20"/>
                <w:szCs w:val="20"/>
              </w:rPr>
            </w:pPr>
            <w:r w:rsidRPr="007C51D6">
              <w:rPr>
                <w:color w:val="000000"/>
                <w:sz w:val="20"/>
                <w:szCs w:val="20"/>
              </w:rPr>
              <w:t>18,75</w:t>
            </w:r>
          </w:p>
        </w:tc>
        <w:tc>
          <w:tcPr>
            <w:tcW w:w="1276" w:type="dxa"/>
          </w:tcPr>
          <w:p w:rsidR="00DF139B" w:rsidRPr="007C51D6" w:rsidRDefault="00DF139B" w:rsidP="0043783B">
            <w:pPr>
              <w:jc w:val="center"/>
              <w:rPr>
                <w:color w:val="000000"/>
                <w:sz w:val="20"/>
                <w:szCs w:val="20"/>
              </w:rPr>
            </w:pPr>
            <w:r w:rsidRPr="007C51D6">
              <w:rPr>
                <w:color w:val="000000"/>
                <w:sz w:val="20"/>
                <w:szCs w:val="20"/>
              </w:rPr>
              <w:t>1</w:t>
            </w:r>
          </w:p>
        </w:tc>
        <w:tc>
          <w:tcPr>
            <w:tcW w:w="1276" w:type="dxa"/>
          </w:tcPr>
          <w:p w:rsidR="00DF139B" w:rsidRPr="007C51D6" w:rsidRDefault="00DF139B" w:rsidP="0043783B">
            <w:pPr>
              <w:jc w:val="center"/>
            </w:pPr>
            <w:r w:rsidRPr="007C51D6">
              <w:rPr>
                <w:color w:val="000000"/>
                <w:sz w:val="20"/>
                <w:szCs w:val="20"/>
              </w:rPr>
              <w:t>нет данных</w:t>
            </w:r>
          </w:p>
        </w:tc>
        <w:tc>
          <w:tcPr>
            <w:tcW w:w="1276" w:type="dxa"/>
          </w:tcPr>
          <w:p w:rsidR="00DF139B" w:rsidRPr="007C51D6" w:rsidRDefault="00DF139B" w:rsidP="0043783B">
            <w:pPr>
              <w:jc w:val="center"/>
            </w:pPr>
            <w:r w:rsidRPr="007C51D6">
              <w:rPr>
                <w:color w:val="000000"/>
                <w:sz w:val="20"/>
                <w:szCs w:val="20"/>
              </w:rPr>
              <w:t>нет данных</w:t>
            </w:r>
          </w:p>
        </w:tc>
      </w:tr>
      <w:tr w:rsidR="00DF139B" w:rsidRPr="007C51D6" w:rsidTr="0043783B">
        <w:trPr>
          <w:trHeight w:val="20"/>
        </w:trPr>
        <w:tc>
          <w:tcPr>
            <w:tcW w:w="3681" w:type="dxa"/>
            <w:shd w:val="clear" w:color="auto" w:fill="auto"/>
            <w:noWrap/>
            <w:hideMark/>
          </w:tcPr>
          <w:p w:rsidR="00DF139B" w:rsidRPr="007C51D6" w:rsidRDefault="00DF139B" w:rsidP="0043783B">
            <w:pPr>
              <w:autoSpaceDE/>
              <w:autoSpaceDN/>
              <w:adjustRightInd/>
              <w:rPr>
                <w:color w:val="000000"/>
                <w:sz w:val="20"/>
                <w:szCs w:val="20"/>
              </w:rPr>
            </w:pPr>
            <w:r w:rsidRPr="007C51D6">
              <w:rPr>
                <w:color w:val="000000"/>
                <w:sz w:val="20"/>
                <w:szCs w:val="20"/>
              </w:rPr>
              <w:t>молочной железы (С50)</w:t>
            </w:r>
          </w:p>
        </w:tc>
        <w:tc>
          <w:tcPr>
            <w:tcW w:w="1256" w:type="dxa"/>
            <w:shd w:val="clear" w:color="auto" w:fill="auto"/>
            <w:noWrap/>
          </w:tcPr>
          <w:p w:rsidR="00DF139B" w:rsidRPr="007C51D6" w:rsidRDefault="00DF139B" w:rsidP="0043783B">
            <w:pPr>
              <w:jc w:val="center"/>
              <w:rPr>
                <w:color w:val="000000"/>
                <w:sz w:val="20"/>
                <w:szCs w:val="20"/>
              </w:rPr>
            </w:pPr>
            <w:r w:rsidRPr="007C51D6">
              <w:rPr>
                <w:color w:val="000000"/>
                <w:sz w:val="20"/>
                <w:szCs w:val="20"/>
              </w:rPr>
              <w:t>8</w:t>
            </w:r>
          </w:p>
        </w:tc>
        <w:tc>
          <w:tcPr>
            <w:tcW w:w="1275" w:type="dxa"/>
            <w:shd w:val="clear" w:color="auto" w:fill="auto"/>
            <w:noWrap/>
          </w:tcPr>
          <w:p w:rsidR="00DF139B" w:rsidRPr="007C51D6" w:rsidRDefault="00DF139B" w:rsidP="0043783B">
            <w:pPr>
              <w:jc w:val="center"/>
              <w:rPr>
                <w:color w:val="000000"/>
                <w:sz w:val="20"/>
                <w:szCs w:val="20"/>
              </w:rPr>
            </w:pPr>
            <w:r w:rsidRPr="007C51D6">
              <w:rPr>
                <w:color w:val="000000"/>
                <w:sz w:val="20"/>
                <w:szCs w:val="20"/>
              </w:rPr>
              <w:t>180</w:t>
            </w:r>
          </w:p>
        </w:tc>
        <w:tc>
          <w:tcPr>
            <w:tcW w:w="1276" w:type="dxa"/>
            <w:shd w:val="clear" w:color="auto" w:fill="auto"/>
            <w:noWrap/>
          </w:tcPr>
          <w:p w:rsidR="00DF139B" w:rsidRPr="007C51D6" w:rsidRDefault="00DF139B" w:rsidP="0043783B">
            <w:pPr>
              <w:jc w:val="center"/>
              <w:rPr>
                <w:color w:val="000000"/>
                <w:sz w:val="20"/>
                <w:szCs w:val="20"/>
              </w:rPr>
            </w:pPr>
            <w:r w:rsidRPr="007C51D6">
              <w:rPr>
                <w:color w:val="000000"/>
                <w:sz w:val="20"/>
                <w:szCs w:val="20"/>
              </w:rPr>
              <w:t>4.44</w:t>
            </w:r>
          </w:p>
        </w:tc>
        <w:tc>
          <w:tcPr>
            <w:tcW w:w="1276" w:type="dxa"/>
          </w:tcPr>
          <w:p w:rsidR="00DF139B" w:rsidRPr="007C51D6" w:rsidRDefault="00DF139B" w:rsidP="0043783B">
            <w:pPr>
              <w:jc w:val="center"/>
              <w:rPr>
                <w:color w:val="000000"/>
                <w:sz w:val="20"/>
                <w:szCs w:val="20"/>
              </w:rPr>
            </w:pPr>
            <w:r w:rsidRPr="007C51D6">
              <w:rPr>
                <w:color w:val="000000"/>
                <w:sz w:val="20"/>
                <w:szCs w:val="20"/>
              </w:rPr>
              <w:t>23</w:t>
            </w:r>
          </w:p>
        </w:tc>
        <w:tc>
          <w:tcPr>
            <w:tcW w:w="1276" w:type="dxa"/>
          </w:tcPr>
          <w:p w:rsidR="00DF139B" w:rsidRPr="007C51D6" w:rsidRDefault="00DF139B" w:rsidP="0043783B">
            <w:pPr>
              <w:jc w:val="center"/>
              <w:rPr>
                <w:color w:val="000000"/>
                <w:sz w:val="20"/>
                <w:szCs w:val="20"/>
              </w:rPr>
            </w:pPr>
            <w:r w:rsidRPr="007C51D6">
              <w:rPr>
                <w:color w:val="000000"/>
                <w:sz w:val="20"/>
                <w:szCs w:val="20"/>
              </w:rPr>
              <w:t>493</w:t>
            </w:r>
          </w:p>
        </w:tc>
        <w:tc>
          <w:tcPr>
            <w:tcW w:w="1275" w:type="dxa"/>
          </w:tcPr>
          <w:p w:rsidR="00DF139B" w:rsidRPr="007C51D6" w:rsidRDefault="00DF139B" w:rsidP="0043783B">
            <w:pPr>
              <w:jc w:val="center"/>
              <w:rPr>
                <w:color w:val="000000"/>
                <w:sz w:val="20"/>
                <w:szCs w:val="20"/>
              </w:rPr>
            </w:pPr>
            <w:r w:rsidRPr="007C51D6">
              <w:rPr>
                <w:color w:val="000000"/>
                <w:sz w:val="20"/>
                <w:szCs w:val="20"/>
              </w:rPr>
              <w:t>4,67</w:t>
            </w:r>
          </w:p>
        </w:tc>
        <w:tc>
          <w:tcPr>
            <w:tcW w:w="1276" w:type="dxa"/>
          </w:tcPr>
          <w:p w:rsidR="00DF139B" w:rsidRPr="007C51D6" w:rsidRDefault="00DF139B" w:rsidP="0043783B">
            <w:pPr>
              <w:jc w:val="center"/>
              <w:rPr>
                <w:color w:val="000000"/>
                <w:sz w:val="20"/>
                <w:szCs w:val="20"/>
              </w:rPr>
            </w:pPr>
            <w:r w:rsidRPr="007C51D6">
              <w:rPr>
                <w:color w:val="000000"/>
                <w:sz w:val="20"/>
                <w:szCs w:val="20"/>
              </w:rPr>
              <w:t>19</w:t>
            </w:r>
          </w:p>
        </w:tc>
        <w:tc>
          <w:tcPr>
            <w:tcW w:w="1276" w:type="dxa"/>
          </w:tcPr>
          <w:p w:rsidR="00DF139B" w:rsidRPr="007C51D6" w:rsidRDefault="00DF139B" w:rsidP="0043783B">
            <w:pPr>
              <w:jc w:val="center"/>
            </w:pPr>
            <w:r w:rsidRPr="007C51D6">
              <w:rPr>
                <w:color w:val="000000"/>
                <w:sz w:val="20"/>
                <w:szCs w:val="20"/>
              </w:rPr>
              <w:t>нет данных</w:t>
            </w:r>
          </w:p>
        </w:tc>
        <w:tc>
          <w:tcPr>
            <w:tcW w:w="1276" w:type="dxa"/>
          </w:tcPr>
          <w:p w:rsidR="00DF139B" w:rsidRPr="007C51D6" w:rsidRDefault="00DF139B" w:rsidP="0043783B">
            <w:pPr>
              <w:jc w:val="center"/>
            </w:pPr>
            <w:r w:rsidRPr="007C51D6">
              <w:rPr>
                <w:color w:val="000000"/>
                <w:sz w:val="20"/>
                <w:szCs w:val="20"/>
              </w:rPr>
              <w:t>нет данных</w:t>
            </w:r>
          </w:p>
        </w:tc>
      </w:tr>
      <w:tr w:rsidR="00DF139B" w:rsidRPr="007C51D6" w:rsidTr="0043783B">
        <w:trPr>
          <w:trHeight w:val="20"/>
        </w:trPr>
        <w:tc>
          <w:tcPr>
            <w:tcW w:w="3681" w:type="dxa"/>
            <w:shd w:val="clear" w:color="auto" w:fill="auto"/>
            <w:noWrap/>
            <w:hideMark/>
          </w:tcPr>
          <w:p w:rsidR="00DF139B" w:rsidRPr="007C51D6" w:rsidRDefault="00DF139B" w:rsidP="0043783B">
            <w:pPr>
              <w:autoSpaceDE/>
              <w:autoSpaceDN/>
              <w:adjustRightInd/>
              <w:rPr>
                <w:color w:val="000000"/>
                <w:sz w:val="20"/>
                <w:szCs w:val="20"/>
              </w:rPr>
            </w:pPr>
            <w:r w:rsidRPr="007C51D6">
              <w:rPr>
                <w:color w:val="000000"/>
                <w:sz w:val="20"/>
                <w:szCs w:val="20"/>
              </w:rPr>
              <w:t>почки (С64)</w:t>
            </w:r>
          </w:p>
        </w:tc>
        <w:tc>
          <w:tcPr>
            <w:tcW w:w="1256" w:type="dxa"/>
            <w:shd w:val="clear" w:color="auto" w:fill="auto"/>
            <w:noWrap/>
          </w:tcPr>
          <w:p w:rsidR="00DF139B" w:rsidRPr="007C51D6" w:rsidRDefault="00DF139B" w:rsidP="0043783B">
            <w:pPr>
              <w:jc w:val="center"/>
              <w:rPr>
                <w:color w:val="000000"/>
                <w:sz w:val="20"/>
                <w:szCs w:val="20"/>
              </w:rPr>
            </w:pPr>
            <w:r w:rsidRPr="007C51D6">
              <w:rPr>
                <w:color w:val="000000"/>
                <w:sz w:val="20"/>
                <w:szCs w:val="20"/>
              </w:rPr>
              <w:t>24</w:t>
            </w:r>
          </w:p>
        </w:tc>
        <w:tc>
          <w:tcPr>
            <w:tcW w:w="1275" w:type="dxa"/>
            <w:shd w:val="clear" w:color="auto" w:fill="auto"/>
            <w:noWrap/>
          </w:tcPr>
          <w:p w:rsidR="00DF139B" w:rsidRPr="007C51D6" w:rsidRDefault="00DF139B" w:rsidP="0043783B">
            <w:pPr>
              <w:jc w:val="center"/>
              <w:rPr>
                <w:color w:val="000000"/>
                <w:sz w:val="20"/>
                <w:szCs w:val="20"/>
              </w:rPr>
            </w:pPr>
            <w:r w:rsidRPr="007C51D6">
              <w:rPr>
                <w:color w:val="000000"/>
                <w:sz w:val="20"/>
                <w:szCs w:val="20"/>
              </w:rPr>
              <w:t>222</w:t>
            </w:r>
          </w:p>
        </w:tc>
        <w:tc>
          <w:tcPr>
            <w:tcW w:w="1276" w:type="dxa"/>
            <w:shd w:val="clear" w:color="auto" w:fill="auto"/>
            <w:noWrap/>
          </w:tcPr>
          <w:p w:rsidR="00DF139B" w:rsidRPr="007C51D6" w:rsidRDefault="00DF139B" w:rsidP="0043783B">
            <w:pPr>
              <w:jc w:val="center"/>
              <w:rPr>
                <w:color w:val="000000"/>
                <w:sz w:val="20"/>
                <w:szCs w:val="20"/>
              </w:rPr>
            </w:pPr>
            <w:r w:rsidRPr="007C51D6">
              <w:rPr>
                <w:color w:val="000000"/>
                <w:sz w:val="20"/>
                <w:szCs w:val="20"/>
              </w:rPr>
              <w:t>10.81</w:t>
            </w:r>
          </w:p>
        </w:tc>
        <w:tc>
          <w:tcPr>
            <w:tcW w:w="1276" w:type="dxa"/>
          </w:tcPr>
          <w:p w:rsidR="00DF139B" w:rsidRPr="007C51D6" w:rsidRDefault="00DF139B" w:rsidP="0043783B">
            <w:pPr>
              <w:jc w:val="center"/>
              <w:rPr>
                <w:color w:val="000000"/>
                <w:sz w:val="20"/>
                <w:szCs w:val="20"/>
              </w:rPr>
            </w:pPr>
            <w:r w:rsidRPr="007C51D6">
              <w:rPr>
                <w:color w:val="000000"/>
                <w:sz w:val="20"/>
                <w:szCs w:val="20"/>
              </w:rPr>
              <w:t>35</w:t>
            </w:r>
          </w:p>
        </w:tc>
        <w:tc>
          <w:tcPr>
            <w:tcW w:w="1276" w:type="dxa"/>
          </w:tcPr>
          <w:p w:rsidR="00DF139B" w:rsidRPr="007C51D6" w:rsidRDefault="00DF139B" w:rsidP="0043783B">
            <w:pPr>
              <w:jc w:val="center"/>
              <w:rPr>
                <w:color w:val="000000"/>
                <w:sz w:val="20"/>
                <w:szCs w:val="20"/>
              </w:rPr>
            </w:pPr>
            <w:r w:rsidRPr="007C51D6">
              <w:rPr>
                <w:color w:val="000000"/>
                <w:sz w:val="20"/>
                <w:szCs w:val="20"/>
              </w:rPr>
              <w:t>186</w:t>
            </w:r>
          </w:p>
        </w:tc>
        <w:tc>
          <w:tcPr>
            <w:tcW w:w="1275" w:type="dxa"/>
          </w:tcPr>
          <w:p w:rsidR="00DF139B" w:rsidRPr="007C51D6" w:rsidRDefault="00DF139B" w:rsidP="0043783B">
            <w:pPr>
              <w:jc w:val="center"/>
              <w:rPr>
                <w:color w:val="000000"/>
                <w:sz w:val="20"/>
                <w:szCs w:val="20"/>
              </w:rPr>
            </w:pPr>
            <w:r w:rsidRPr="007C51D6">
              <w:rPr>
                <w:color w:val="000000"/>
                <w:sz w:val="20"/>
                <w:szCs w:val="20"/>
              </w:rPr>
              <w:t>18,82</w:t>
            </w:r>
          </w:p>
        </w:tc>
        <w:tc>
          <w:tcPr>
            <w:tcW w:w="1276" w:type="dxa"/>
          </w:tcPr>
          <w:p w:rsidR="00DF139B" w:rsidRPr="007C51D6" w:rsidRDefault="00DF139B" w:rsidP="0043783B">
            <w:pPr>
              <w:jc w:val="center"/>
              <w:rPr>
                <w:color w:val="000000"/>
                <w:sz w:val="20"/>
                <w:szCs w:val="20"/>
              </w:rPr>
            </w:pPr>
            <w:r w:rsidRPr="007C51D6">
              <w:rPr>
                <w:color w:val="000000"/>
                <w:sz w:val="20"/>
                <w:szCs w:val="20"/>
              </w:rPr>
              <w:t>48</w:t>
            </w:r>
          </w:p>
        </w:tc>
        <w:tc>
          <w:tcPr>
            <w:tcW w:w="1276" w:type="dxa"/>
          </w:tcPr>
          <w:p w:rsidR="00DF139B" w:rsidRPr="007C51D6" w:rsidRDefault="00DF139B" w:rsidP="0043783B">
            <w:pPr>
              <w:jc w:val="center"/>
            </w:pPr>
            <w:r w:rsidRPr="007C51D6">
              <w:rPr>
                <w:color w:val="000000"/>
                <w:sz w:val="20"/>
                <w:szCs w:val="20"/>
              </w:rPr>
              <w:t>нет данных</w:t>
            </w:r>
          </w:p>
        </w:tc>
        <w:tc>
          <w:tcPr>
            <w:tcW w:w="1276" w:type="dxa"/>
          </w:tcPr>
          <w:p w:rsidR="00DF139B" w:rsidRPr="007C51D6" w:rsidRDefault="00DF139B" w:rsidP="0043783B">
            <w:pPr>
              <w:jc w:val="center"/>
            </w:pPr>
            <w:r w:rsidRPr="007C51D6">
              <w:rPr>
                <w:color w:val="000000"/>
                <w:sz w:val="20"/>
                <w:szCs w:val="20"/>
              </w:rPr>
              <w:t>нет данных</w:t>
            </w:r>
          </w:p>
        </w:tc>
      </w:tr>
      <w:tr w:rsidR="00DF139B" w:rsidRPr="007C51D6" w:rsidTr="0043783B">
        <w:trPr>
          <w:trHeight w:val="20"/>
        </w:trPr>
        <w:tc>
          <w:tcPr>
            <w:tcW w:w="3681" w:type="dxa"/>
            <w:shd w:val="clear" w:color="auto" w:fill="auto"/>
            <w:noWrap/>
            <w:hideMark/>
          </w:tcPr>
          <w:p w:rsidR="00DF139B" w:rsidRPr="007C51D6" w:rsidRDefault="00DF139B" w:rsidP="0043783B">
            <w:pPr>
              <w:autoSpaceDE/>
              <w:autoSpaceDN/>
              <w:adjustRightInd/>
              <w:rPr>
                <w:color w:val="000000"/>
                <w:sz w:val="20"/>
                <w:szCs w:val="20"/>
              </w:rPr>
            </w:pPr>
            <w:r w:rsidRPr="007C51D6">
              <w:rPr>
                <w:color w:val="000000"/>
                <w:sz w:val="20"/>
                <w:szCs w:val="20"/>
              </w:rPr>
              <w:t>злокачественные лимфомы (С81 – 85, 88, 90, 96)</w:t>
            </w:r>
          </w:p>
        </w:tc>
        <w:tc>
          <w:tcPr>
            <w:tcW w:w="1256" w:type="dxa"/>
            <w:shd w:val="clear" w:color="auto" w:fill="auto"/>
            <w:noWrap/>
          </w:tcPr>
          <w:p w:rsidR="00DF139B" w:rsidRPr="007C51D6" w:rsidRDefault="00DF139B" w:rsidP="0043783B">
            <w:pPr>
              <w:jc w:val="center"/>
              <w:rPr>
                <w:color w:val="000000"/>
                <w:sz w:val="20"/>
                <w:szCs w:val="20"/>
              </w:rPr>
            </w:pPr>
            <w:r w:rsidRPr="007C51D6">
              <w:rPr>
                <w:color w:val="000000"/>
                <w:sz w:val="20"/>
                <w:szCs w:val="20"/>
              </w:rPr>
              <w:t>39</w:t>
            </w:r>
          </w:p>
        </w:tc>
        <w:tc>
          <w:tcPr>
            <w:tcW w:w="1275" w:type="dxa"/>
            <w:shd w:val="clear" w:color="auto" w:fill="auto"/>
            <w:noWrap/>
          </w:tcPr>
          <w:p w:rsidR="00DF139B" w:rsidRPr="007C51D6" w:rsidRDefault="00DF139B" w:rsidP="0043783B">
            <w:pPr>
              <w:jc w:val="center"/>
              <w:rPr>
                <w:color w:val="000000"/>
                <w:sz w:val="20"/>
                <w:szCs w:val="20"/>
              </w:rPr>
            </w:pPr>
            <w:r w:rsidRPr="007C51D6">
              <w:rPr>
                <w:color w:val="000000"/>
                <w:sz w:val="20"/>
                <w:szCs w:val="20"/>
              </w:rPr>
              <w:t>221</w:t>
            </w:r>
          </w:p>
        </w:tc>
        <w:tc>
          <w:tcPr>
            <w:tcW w:w="1276" w:type="dxa"/>
            <w:shd w:val="clear" w:color="auto" w:fill="auto"/>
            <w:noWrap/>
          </w:tcPr>
          <w:p w:rsidR="00DF139B" w:rsidRPr="007C51D6" w:rsidRDefault="00DF139B" w:rsidP="0043783B">
            <w:pPr>
              <w:jc w:val="center"/>
              <w:rPr>
                <w:color w:val="000000"/>
                <w:sz w:val="20"/>
                <w:szCs w:val="20"/>
              </w:rPr>
            </w:pPr>
            <w:r w:rsidRPr="007C51D6">
              <w:rPr>
                <w:color w:val="000000"/>
                <w:sz w:val="20"/>
                <w:szCs w:val="20"/>
              </w:rPr>
              <w:t>17.65</w:t>
            </w:r>
          </w:p>
        </w:tc>
        <w:tc>
          <w:tcPr>
            <w:tcW w:w="1276" w:type="dxa"/>
          </w:tcPr>
          <w:p w:rsidR="00DF139B" w:rsidRPr="007C51D6" w:rsidRDefault="00DF139B" w:rsidP="0043783B">
            <w:pPr>
              <w:jc w:val="center"/>
              <w:rPr>
                <w:color w:val="000000"/>
                <w:sz w:val="20"/>
                <w:szCs w:val="20"/>
              </w:rPr>
            </w:pPr>
            <w:r w:rsidRPr="007C51D6">
              <w:rPr>
                <w:color w:val="000000"/>
                <w:sz w:val="20"/>
                <w:szCs w:val="20"/>
              </w:rPr>
              <w:t>32</w:t>
            </w:r>
          </w:p>
        </w:tc>
        <w:tc>
          <w:tcPr>
            <w:tcW w:w="1276" w:type="dxa"/>
          </w:tcPr>
          <w:p w:rsidR="00DF139B" w:rsidRPr="007C51D6" w:rsidRDefault="00DF139B" w:rsidP="0043783B">
            <w:pPr>
              <w:jc w:val="center"/>
              <w:rPr>
                <w:color w:val="000000"/>
                <w:sz w:val="20"/>
                <w:szCs w:val="20"/>
              </w:rPr>
            </w:pPr>
            <w:r w:rsidRPr="007C51D6">
              <w:rPr>
                <w:color w:val="000000"/>
                <w:sz w:val="20"/>
                <w:szCs w:val="20"/>
              </w:rPr>
              <w:t>226</w:t>
            </w:r>
          </w:p>
        </w:tc>
        <w:tc>
          <w:tcPr>
            <w:tcW w:w="1275" w:type="dxa"/>
          </w:tcPr>
          <w:p w:rsidR="00DF139B" w:rsidRPr="007C51D6" w:rsidRDefault="00DF139B" w:rsidP="0043783B">
            <w:pPr>
              <w:jc w:val="center"/>
              <w:rPr>
                <w:color w:val="000000"/>
                <w:sz w:val="20"/>
                <w:szCs w:val="20"/>
              </w:rPr>
            </w:pPr>
            <w:r w:rsidRPr="007C51D6">
              <w:rPr>
                <w:color w:val="000000"/>
                <w:sz w:val="20"/>
                <w:szCs w:val="20"/>
              </w:rPr>
              <w:t>14,16</w:t>
            </w:r>
          </w:p>
        </w:tc>
        <w:tc>
          <w:tcPr>
            <w:tcW w:w="1276" w:type="dxa"/>
          </w:tcPr>
          <w:p w:rsidR="00DF139B" w:rsidRPr="007C51D6" w:rsidRDefault="00DF139B" w:rsidP="0043783B">
            <w:pPr>
              <w:jc w:val="center"/>
              <w:rPr>
                <w:color w:val="000000"/>
                <w:sz w:val="20"/>
                <w:szCs w:val="20"/>
              </w:rPr>
            </w:pPr>
            <w:r w:rsidRPr="007C51D6">
              <w:rPr>
                <w:color w:val="000000"/>
                <w:sz w:val="20"/>
                <w:szCs w:val="20"/>
              </w:rPr>
              <w:t>30</w:t>
            </w:r>
          </w:p>
        </w:tc>
        <w:tc>
          <w:tcPr>
            <w:tcW w:w="1276" w:type="dxa"/>
          </w:tcPr>
          <w:p w:rsidR="00DF139B" w:rsidRPr="007C51D6" w:rsidRDefault="00DF139B" w:rsidP="0043783B">
            <w:pPr>
              <w:jc w:val="center"/>
            </w:pPr>
            <w:r w:rsidRPr="007C51D6">
              <w:rPr>
                <w:color w:val="000000"/>
                <w:sz w:val="20"/>
                <w:szCs w:val="20"/>
              </w:rPr>
              <w:t>нет данных</w:t>
            </w:r>
          </w:p>
        </w:tc>
        <w:tc>
          <w:tcPr>
            <w:tcW w:w="1276" w:type="dxa"/>
          </w:tcPr>
          <w:p w:rsidR="00DF139B" w:rsidRPr="007C51D6" w:rsidRDefault="00DF139B" w:rsidP="0043783B">
            <w:pPr>
              <w:jc w:val="center"/>
            </w:pPr>
            <w:r w:rsidRPr="007C51D6">
              <w:rPr>
                <w:color w:val="000000"/>
                <w:sz w:val="20"/>
                <w:szCs w:val="20"/>
              </w:rPr>
              <w:t>нет данных</w:t>
            </w:r>
          </w:p>
        </w:tc>
      </w:tr>
      <w:tr w:rsidR="00DF139B" w:rsidRPr="007C51D6" w:rsidTr="0043783B">
        <w:trPr>
          <w:trHeight w:val="20"/>
        </w:trPr>
        <w:tc>
          <w:tcPr>
            <w:tcW w:w="3681" w:type="dxa"/>
            <w:shd w:val="clear" w:color="auto" w:fill="auto"/>
            <w:noWrap/>
            <w:hideMark/>
          </w:tcPr>
          <w:p w:rsidR="00DF139B" w:rsidRPr="007C51D6" w:rsidRDefault="00DF139B" w:rsidP="0043783B">
            <w:pPr>
              <w:autoSpaceDE/>
              <w:autoSpaceDN/>
              <w:adjustRightInd/>
              <w:rPr>
                <w:color w:val="000000"/>
                <w:sz w:val="20"/>
                <w:szCs w:val="20"/>
              </w:rPr>
            </w:pPr>
            <w:r w:rsidRPr="007C51D6">
              <w:rPr>
                <w:color w:val="000000"/>
                <w:sz w:val="20"/>
                <w:szCs w:val="20"/>
              </w:rPr>
              <w:t>предстательной железы (С61)</w:t>
            </w:r>
          </w:p>
        </w:tc>
        <w:tc>
          <w:tcPr>
            <w:tcW w:w="1256" w:type="dxa"/>
            <w:shd w:val="clear" w:color="auto" w:fill="auto"/>
            <w:noWrap/>
          </w:tcPr>
          <w:p w:rsidR="00DF139B" w:rsidRPr="007C51D6" w:rsidRDefault="00DF139B" w:rsidP="0043783B">
            <w:pPr>
              <w:jc w:val="center"/>
              <w:rPr>
                <w:color w:val="000000"/>
                <w:sz w:val="20"/>
                <w:szCs w:val="20"/>
              </w:rPr>
            </w:pPr>
            <w:r w:rsidRPr="007C51D6">
              <w:rPr>
                <w:color w:val="000000"/>
                <w:sz w:val="20"/>
                <w:szCs w:val="20"/>
              </w:rPr>
              <w:t>16</w:t>
            </w:r>
          </w:p>
        </w:tc>
        <w:tc>
          <w:tcPr>
            <w:tcW w:w="1275" w:type="dxa"/>
            <w:shd w:val="clear" w:color="auto" w:fill="auto"/>
            <w:noWrap/>
          </w:tcPr>
          <w:p w:rsidR="00DF139B" w:rsidRPr="007C51D6" w:rsidRDefault="00DF139B" w:rsidP="0043783B">
            <w:pPr>
              <w:jc w:val="center"/>
              <w:rPr>
                <w:color w:val="000000"/>
                <w:sz w:val="20"/>
                <w:szCs w:val="20"/>
              </w:rPr>
            </w:pPr>
            <w:r w:rsidRPr="007C51D6">
              <w:rPr>
                <w:color w:val="000000"/>
                <w:sz w:val="20"/>
                <w:szCs w:val="20"/>
              </w:rPr>
              <w:t>413</w:t>
            </w:r>
          </w:p>
        </w:tc>
        <w:tc>
          <w:tcPr>
            <w:tcW w:w="1276" w:type="dxa"/>
            <w:shd w:val="clear" w:color="auto" w:fill="auto"/>
            <w:noWrap/>
          </w:tcPr>
          <w:p w:rsidR="00DF139B" w:rsidRPr="007C51D6" w:rsidRDefault="00DF139B" w:rsidP="0043783B">
            <w:pPr>
              <w:jc w:val="center"/>
              <w:rPr>
                <w:color w:val="000000"/>
                <w:sz w:val="20"/>
                <w:szCs w:val="20"/>
              </w:rPr>
            </w:pPr>
            <w:r w:rsidRPr="007C51D6">
              <w:rPr>
                <w:color w:val="000000"/>
                <w:sz w:val="20"/>
                <w:szCs w:val="20"/>
              </w:rPr>
              <w:t>3.87</w:t>
            </w:r>
          </w:p>
        </w:tc>
        <w:tc>
          <w:tcPr>
            <w:tcW w:w="1276" w:type="dxa"/>
          </w:tcPr>
          <w:p w:rsidR="00DF139B" w:rsidRPr="007C51D6" w:rsidRDefault="00DF139B" w:rsidP="0043783B">
            <w:pPr>
              <w:jc w:val="center"/>
              <w:rPr>
                <w:color w:val="000000"/>
                <w:sz w:val="20"/>
                <w:szCs w:val="20"/>
              </w:rPr>
            </w:pPr>
            <w:r w:rsidRPr="007C51D6">
              <w:rPr>
                <w:color w:val="000000"/>
                <w:sz w:val="20"/>
                <w:szCs w:val="20"/>
              </w:rPr>
              <w:t>32</w:t>
            </w:r>
          </w:p>
        </w:tc>
        <w:tc>
          <w:tcPr>
            <w:tcW w:w="1276" w:type="dxa"/>
          </w:tcPr>
          <w:p w:rsidR="00DF139B" w:rsidRPr="007C51D6" w:rsidRDefault="00DF139B" w:rsidP="0043783B">
            <w:pPr>
              <w:jc w:val="center"/>
              <w:rPr>
                <w:color w:val="000000"/>
                <w:sz w:val="20"/>
                <w:szCs w:val="20"/>
              </w:rPr>
            </w:pPr>
            <w:r w:rsidRPr="007C51D6">
              <w:rPr>
                <w:color w:val="000000"/>
                <w:sz w:val="20"/>
                <w:szCs w:val="20"/>
              </w:rPr>
              <w:t>331</w:t>
            </w:r>
          </w:p>
        </w:tc>
        <w:tc>
          <w:tcPr>
            <w:tcW w:w="1275" w:type="dxa"/>
          </w:tcPr>
          <w:p w:rsidR="00DF139B" w:rsidRPr="007C51D6" w:rsidRDefault="00DF139B" w:rsidP="0043783B">
            <w:pPr>
              <w:jc w:val="center"/>
              <w:rPr>
                <w:color w:val="000000"/>
                <w:sz w:val="20"/>
                <w:szCs w:val="20"/>
              </w:rPr>
            </w:pPr>
            <w:r w:rsidRPr="007C51D6">
              <w:rPr>
                <w:color w:val="000000"/>
                <w:sz w:val="20"/>
                <w:szCs w:val="20"/>
              </w:rPr>
              <w:t>9,67</w:t>
            </w:r>
          </w:p>
        </w:tc>
        <w:tc>
          <w:tcPr>
            <w:tcW w:w="1276" w:type="dxa"/>
          </w:tcPr>
          <w:p w:rsidR="00DF139B" w:rsidRPr="007C51D6" w:rsidRDefault="00DF139B" w:rsidP="0043783B">
            <w:pPr>
              <w:jc w:val="center"/>
              <w:rPr>
                <w:color w:val="000000"/>
                <w:sz w:val="20"/>
                <w:szCs w:val="20"/>
              </w:rPr>
            </w:pPr>
            <w:r w:rsidRPr="007C51D6">
              <w:rPr>
                <w:color w:val="000000"/>
                <w:sz w:val="20"/>
                <w:szCs w:val="20"/>
              </w:rPr>
              <w:t>29</w:t>
            </w:r>
          </w:p>
        </w:tc>
        <w:tc>
          <w:tcPr>
            <w:tcW w:w="1276" w:type="dxa"/>
          </w:tcPr>
          <w:p w:rsidR="00DF139B" w:rsidRPr="007C51D6" w:rsidRDefault="00DF139B" w:rsidP="0043783B">
            <w:pPr>
              <w:jc w:val="center"/>
            </w:pPr>
            <w:r w:rsidRPr="007C51D6">
              <w:rPr>
                <w:color w:val="000000"/>
                <w:sz w:val="20"/>
                <w:szCs w:val="20"/>
              </w:rPr>
              <w:t>нет данных</w:t>
            </w:r>
          </w:p>
        </w:tc>
        <w:tc>
          <w:tcPr>
            <w:tcW w:w="1276" w:type="dxa"/>
          </w:tcPr>
          <w:p w:rsidR="00DF139B" w:rsidRPr="007C51D6" w:rsidRDefault="00DF139B" w:rsidP="0043783B">
            <w:pPr>
              <w:jc w:val="center"/>
            </w:pPr>
            <w:r w:rsidRPr="007C51D6">
              <w:rPr>
                <w:color w:val="000000"/>
                <w:sz w:val="20"/>
                <w:szCs w:val="20"/>
              </w:rPr>
              <w:t>нет данных</w:t>
            </w:r>
          </w:p>
        </w:tc>
      </w:tr>
      <w:tr w:rsidR="00DF139B" w:rsidRPr="007C51D6" w:rsidTr="0043783B">
        <w:trPr>
          <w:trHeight w:val="20"/>
        </w:trPr>
        <w:tc>
          <w:tcPr>
            <w:tcW w:w="3681" w:type="dxa"/>
            <w:shd w:val="clear" w:color="auto" w:fill="auto"/>
            <w:noWrap/>
            <w:hideMark/>
          </w:tcPr>
          <w:p w:rsidR="00DF139B" w:rsidRPr="007C51D6" w:rsidRDefault="00DF139B" w:rsidP="0043783B">
            <w:pPr>
              <w:autoSpaceDE/>
              <w:autoSpaceDN/>
              <w:adjustRightInd/>
              <w:rPr>
                <w:color w:val="000000"/>
                <w:sz w:val="20"/>
                <w:szCs w:val="20"/>
              </w:rPr>
            </w:pPr>
            <w:r w:rsidRPr="007C51D6">
              <w:rPr>
                <w:color w:val="000000"/>
                <w:sz w:val="20"/>
                <w:szCs w:val="20"/>
              </w:rPr>
              <w:t>яичника (С56)</w:t>
            </w:r>
          </w:p>
        </w:tc>
        <w:tc>
          <w:tcPr>
            <w:tcW w:w="1256" w:type="dxa"/>
            <w:shd w:val="clear" w:color="auto" w:fill="auto"/>
            <w:noWrap/>
          </w:tcPr>
          <w:p w:rsidR="00DF139B" w:rsidRPr="007C51D6" w:rsidRDefault="00DF139B" w:rsidP="0043783B">
            <w:pPr>
              <w:jc w:val="center"/>
              <w:rPr>
                <w:color w:val="000000"/>
                <w:sz w:val="20"/>
                <w:szCs w:val="20"/>
              </w:rPr>
            </w:pPr>
            <w:r w:rsidRPr="007C51D6">
              <w:rPr>
                <w:color w:val="000000"/>
                <w:sz w:val="20"/>
                <w:szCs w:val="20"/>
              </w:rPr>
              <w:t>9</w:t>
            </w:r>
          </w:p>
        </w:tc>
        <w:tc>
          <w:tcPr>
            <w:tcW w:w="1275" w:type="dxa"/>
            <w:shd w:val="clear" w:color="auto" w:fill="auto"/>
            <w:noWrap/>
          </w:tcPr>
          <w:p w:rsidR="00DF139B" w:rsidRPr="007C51D6" w:rsidRDefault="00DF139B" w:rsidP="0043783B">
            <w:pPr>
              <w:jc w:val="center"/>
              <w:rPr>
                <w:color w:val="000000"/>
                <w:sz w:val="20"/>
                <w:szCs w:val="20"/>
              </w:rPr>
            </w:pPr>
            <w:r w:rsidRPr="007C51D6">
              <w:rPr>
                <w:color w:val="000000"/>
                <w:sz w:val="20"/>
                <w:szCs w:val="20"/>
              </w:rPr>
              <w:t>212</w:t>
            </w:r>
          </w:p>
        </w:tc>
        <w:tc>
          <w:tcPr>
            <w:tcW w:w="1276" w:type="dxa"/>
            <w:shd w:val="clear" w:color="auto" w:fill="auto"/>
            <w:noWrap/>
          </w:tcPr>
          <w:p w:rsidR="00DF139B" w:rsidRPr="007C51D6" w:rsidRDefault="00DF139B" w:rsidP="0043783B">
            <w:pPr>
              <w:jc w:val="center"/>
              <w:rPr>
                <w:color w:val="000000"/>
                <w:sz w:val="20"/>
                <w:szCs w:val="20"/>
              </w:rPr>
            </w:pPr>
            <w:r w:rsidRPr="007C51D6">
              <w:rPr>
                <w:color w:val="000000"/>
                <w:sz w:val="20"/>
                <w:szCs w:val="20"/>
              </w:rPr>
              <w:t>4.25</w:t>
            </w:r>
          </w:p>
        </w:tc>
        <w:tc>
          <w:tcPr>
            <w:tcW w:w="1276" w:type="dxa"/>
          </w:tcPr>
          <w:p w:rsidR="00DF139B" w:rsidRPr="007C51D6" w:rsidRDefault="00DF139B" w:rsidP="0043783B">
            <w:pPr>
              <w:jc w:val="center"/>
              <w:rPr>
                <w:color w:val="000000"/>
                <w:sz w:val="20"/>
                <w:szCs w:val="20"/>
              </w:rPr>
            </w:pPr>
            <w:r w:rsidRPr="007C51D6">
              <w:rPr>
                <w:color w:val="000000"/>
                <w:sz w:val="20"/>
                <w:szCs w:val="20"/>
              </w:rPr>
              <w:t>14</w:t>
            </w:r>
          </w:p>
        </w:tc>
        <w:tc>
          <w:tcPr>
            <w:tcW w:w="1276" w:type="dxa"/>
          </w:tcPr>
          <w:p w:rsidR="00DF139B" w:rsidRPr="007C51D6" w:rsidRDefault="00DF139B" w:rsidP="0043783B">
            <w:pPr>
              <w:jc w:val="center"/>
              <w:rPr>
                <w:color w:val="000000"/>
                <w:sz w:val="20"/>
                <w:szCs w:val="20"/>
              </w:rPr>
            </w:pPr>
            <w:r w:rsidRPr="007C51D6">
              <w:rPr>
                <w:color w:val="000000"/>
                <w:sz w:val="20"/>
                <w:szCs w:val="20"/>
              </w:rPr>
              <w:t>196</w:t>
            </w:r>
          </w:p>
        </w:tc>
        <w:tc>
          <w:tcPr>
            <w:tcW w:w="1275" w:type="dxa"/>
          </w:tcPr>
          <w:p w:rsidR="00DF139B" w:rsidRPr="007C51D6" w:rsidRDefault="00DF139B" w:rsidP="0043783B">
            <w:pPr>
              <w:jc w:val="center"/>
              <w:rPr>
                <w:color w:val="000000"/>
                <w:sz w:val="20"/>
                <w:szCs w:val="20"/>
              </w:rPr>
            </w:pPr>
            <w:r w:rsidRPr="007C51D6">
              <w:rPr>
                <w:color w:val="000000"/>
                <w:sz w:val="20"/>
                <w:szCs w:val="20"/>
              </w:rPr>
              <w:t>7,14</w:t>
            </w:r>
          </w:p>
        </w:tc>
        <w:tc>
          <w:tcPr>
            <w:tcW w:w="1276" w:type="dxa"/>
          </w:tcPr>
          <w:p w:rsidR="00DF139B" w:rsidRPr="007C51D6" w:rsidRDefault="00DF139B" w:rsidP="0043783B">
            <w:pPr>
              <w:jc w:val="center"/>
              <w:rPr>
                <w:color w:val="000000"/>
                <w:sz w:val="20"/>
                <w:szCs w:val="20"/>
              </w:rPr>
            </w:pPr>
            <w:r w:rsidRPr="007C51D6">
              <w:rPr>
                <w:color w:val="000000"/>
                <w:sz w:val="20"/>
                <w:szCs w:val="20"/>
              </w:rPr>
              <w:t>16</w:t>
            </w:r>
          </w:p>
        </w:tc>
        <w:tc>
          <w:tcPr>
            <w:tcW w:w="1276" w:type="dxa"/>
          </w:tcPr>
          <w:p w:rsidR="00DF139B" w:rsidRPr="007C51D6" w:rsidRDefault="00DF139B" w:rsidP="0043783B">
            <w:pPr>
              <w:jc w:val="center"/>
            </w:pPr>
            <w:r w:rsidRPr="007C51D6">
              <w:rPr>
                <w:color w:val="000000"/>
                <w:sz w:val="20"/>
                <w:szCs w:val="20"/>
              </w:rPr>
              <w:t>нет данных</w:t>
            </w:r>
          </w:p>
        </w:tc>
        <w:tc>
          <w:tcPr>
            <w:tcW w:w="1276" w:type="dxa"/>
          </w:tcPr>
          <w:p w:rsidR="00DF139B" w:rsidRPr="007C51D6" w:rsidRDefault="00DF139B" w:rsidP="0043783B">
            <w:pPr>
              <w:jc w:val="center"/>
            </w:pPr>
            <w:r w:rsidRPr="007C51D6">
              <w:rPr>
                <w:color w:val="000000"/>
                <w:sz w:val="20"/>
                <w:szCs w:val="20"/>
              </w:rPr>
              <w:t>нет данных</w:t>
            </w:r>
          </w:p>
        </w:tc>
      </w:tr>
      <w:tr w:rsidR="00DF139B" w:rsidRPr="007C51D6" w:rsidTr="0043783B">
        <w:trPr>
          <w:trHeight w:val="20"/>
        </w:trPr>
        <w:tc>
          <w:tcPr>
            <w:tcW w:w="3681" w:type="dxa"/>
            <w:shd w:val="clear" w:color="auto" w:fill="auto"/>
            <w:noWrap/>
            <w:hideMark/>
          </w:tcPr>
          <w:p w:rsidR="00DF139B" w:rsidRPr="007C51D6" w:rsidRDefault="00DF139B" w:rsidP="0043783B">
            <w:pPr>
              <w:autoSpaceDE/>
              <w:autoSpaceDN/>
              <w:adjustRightInd/>
              <w:rPr>
                <w:color w:val="000000"/>
                <w:sz w:val="20"/>
                <w:szCs w:val="20"/>
              </w:rPr>
            </w:pPr>
            <w:r w:rsidRPr="007C51D6">
              <w:rPr>
                <w:color w:val="000000"/>
                <w:sz w:val="20"/>
                <w:szCs w:val="20"/>
              </w:rPr>
              <w:t>шейки матки (С53)</w:t>
            </w:r>
          </w:p>
        </w:tc>
        <w:tc>
          <w:tcPr>
            <w:tcW w:w="1256" w:type="dxa"/>
            <w:shd w:val="clear" w:color="auto" w:fill="auto"/>
            <w:noWrap/>
          </w:tcPr>
          <w:p w:rsidR="00DF139B" w:rsidRPr="007C51D6" w:rsidRDefault="00DF139B" w:rsidP="0043783B">
            <w:pPr>
              <w:jc w:val="center"/>
              <w:rPr>
                <w:color w:val="000000"/>
                <w:sz w:val="20"/>
                <w:szCs w:val="20"/>
              </w:rPr>
            </w:pPr>
            <w:r w:rsidRPr="007C51D6">
              <w:rPr>
                <w:color w:val="000000"/>
                <w:sz w:val="20"/>
                <w:szCs w:val="20"/>
              </w:rPr>
              <w:t>4</w:t>
            </w:r>
          </w:p>
        </w:tc>
        <w:tc>
          <w:tcPr>
            <w:tcW w:w="1275" w:type="dxa"/>
            <w:shd w:val="clear" w:color="auto" w:fill="auto"/>
            <w:noWrap/>
          </w:tcPr>
          <w:p w:rsidR="00DF139B" w:rsidRPr="007C51D6" w:rsidRDefault="00DF139B" w:rsidP="0043783B">
            <w:pPr>
              <w:jc w:val="center"/>
              <w:rPr>
                <w:color w:val="000000"/>
                <w:sz w:val="20"/>
                <w:szCs w:val="20"/>
              </w:rPr>
            </w:pPr>
            <w:r w:rsidRPr="007C51D6">
              <w:rPr>
                <w:color w:val="000000"/>
                <w:sz w:val="20"/>
                <w:szCs w:val="20"/>
              </w:rPr>
              <w:t>155</w:t>
            </w:r>
          </w:p>
        </w:tc>
        <w:tc>
          <w:tcPr>
            <w:tcW w:w="1276" w:type="dxa"/>
            <w:shd w:val="clear" w:color="auto" w:fill="auto"/>
            <w:noWrap/>
          </w:tcPr>
          <w:p w:rsidR="00DF139B" w:rsidRPr="007C51D6" w:rsidRDefault="00DF139B" w:rsidP="0043783B">
            <w:pPr>
              <w:jc w:val="center"/>
              <w:rPr>
                <w:color w:val="000000"/>
                <w:sz w:val="20"/>
                <w:szCs w:val="20"/>
              </w:rPr>
            </w:pPr>
            <w:r w:rsidRPr="007C51D6">
              <w:rPr>
                <w:color w:val="000000"/>
                <w:sz w:val="20"/>
                <w:szCs w:val="20"/>
              </w:rPr>
              <w:t>2.58</w:t>
            </w:r>
          </w:p>
        </w:tc>
        <w:tc>
          <w:tcPr>
            <w:tcW w:w="1276" w:type="dxa"/>
          </w:tcPr>
          <w:p w:rsidR="00DF139B" w:rsidRPr="007C51D6" w:rsidRDefault="00DF139B" w:rsidP="0043783B">
            <w:pPr>
              <w:jc w:val="center"/>
              <w:rPr>
                <w:color w:val="000000"/>
                <w:sz w:val="20"/>
                <w:szCs w:val="20"/>
              </w:rPr>
            </w:pPr>
            <w:r w:rsidRPr="007C51D6">
              <w:rPr>
                <w:color w:val="000000"/>
                <w:sz w:val="20"/>
                <w:szCs w:val="20"/>
              </w:rPr>
              <w:t>1</w:t>
            </w:r>
          </w:p>
        </w:tc>
        <w:tc>
          <w:tcPr>
            <w:tcW w:w="1276" w:type="dxa"/>
          </w:tcPr>
          <w:p w:rsidR="00DF139B" w:rsidRPr="007C51D6" w:rsidRDefault="00DF139B" w:rsidP="0043783B">
            <w:pPr>
              <w:jc w:val="center"/>
              <w:rPr>
                <w:color w:val="000000"/>
                <w:sz w:val="20"/>
                <w:szCs w:val="20"/>
              </w:rPr>
            </w:pPr>
            <w:r w:rsidRPr="007C51D6">
              <w:rPr>
                <w:color w:val="000000"/>
                <w:sz w:val="20"/>
                <w:szCs w:val="20"/>
              </w:rPr>
              <w:t>120</w:t>
            </w:r>
          </w:p>
        </w:tc>
        <w:tc>
          <w:tcPr>
            <w:tcW w:w="1275" w:type="dxa"/>
          </w:tcPr>
          <w:p w:rsidR="00DF139B" w:rsidRPr="007C51D6" w:rsidRDefault="00DF139B" w:rsidP="0043783B">
            <w:pPr>
              <w:jc w:val="center"/>
              <w:rPr>
                <w:color w:val="000000"/>
                <w:sz w:val="20"/>
                <w:szCs w:val="20"/>
              </w:rPr>
            </w:pPr>
            <w:r w:rsidRPr="007C51D6">
              <w:rPr>
                <w:color w:val="000000"/>
                <w:sz w:val="20"/>
                <w:szCs w:val="20"/>
              </w:rPr>
              <w:t>0,83</w:t>
            </w:r>
          </w:p>
        </w:tc>
        <w:tc>
          <w:tcPr>
            <w:tcW w:w="1276" w:type="dxa"/>
          </w:tcPr>
          <w:p w:rsidR="00DF139B" w:rsidRPr="007C51D6" w:rsidRDefault="00DF139B" w:rsidP="0043783B">
            <w:pPr>
              <w:jc w:val="center"/>
              <w:rPr>
                <w:color w:val="000000"/>
                <w:sz w:val="20"/>
                <w:szCs w:val="20"/>
              </w:rPr>
            </w:pPr>
            <w:r w:rsidRPr="007C51D6">
              <w:rPr>
                <w:color w:val="000000"/>
                <w:sz w:val="20"/>
                <w:szCs w:val="20"/>
              </w:rPr>
              <w:t>7</w:t>
            </w:r>
          </w:p>
        </w:tc>
        <w:tc>
          <w:tcPr>
            <w:tcW w:w="1276" w:type="dxa"/>
          </w:tcPr>
          <w:p w:rsidR="00DF139B" w:rsidRPr="007C51D6" w:rsidRDefault="00DF139B" w:rsidP="0043783B">
            <w:pPr>
              <w:jc w:val="center"/>
            </w:pPr>
            <w:r w:rsidRPr="007C51D6">
              <w:rPr>
                <w:color w:val="000000"/>
                <w:sz w:val="20"/>
                <w:szCs w:val="20"/>
              </w:rPr>
              <w:t>нет данных</w:t>
            </w:r>
          </w:p>
        </w:tc>
        <w:tc>
          <w:tcPr>
            <w:tcW w:w="1276" w:type="dxa"/>
          </w:tcPr>
          <w:p w:rsidR="00DF139B" w:rsidRPr="007C51D6" w:rsidRDefault="00DF139B" w:rsidP="0043783B">
            <w:pPr>
              <w:jc w:val="center"/>
            </w:pPr>
            <w:r w:rsidRPr="007C51D6">
              <w:rPr>
                <w:color w:val="000000"/>
                <w:sz w:val="20"/>
                <w:szCs w:val="20"/>
              </w:rPr>
              <w:t>нет данных</w:t>
            </w:r>
          </w:p>
        </w:tc>
      </w:tr>
      <w:tr w:rsidR="008A139C" w:rsidRPr="007C51D6" w:rsidTr="0043783B">
        <w:trPr>
          <w:trHeight w:val="20"/>
        </w:trPr>
        <w:tc>
          <w:tcPr>
            <w:tcW w:w="3681" w:type="dxa"/>
            <w:shd w:val="clear" w:color="auto" w:fill="auto"/>
            <w:noWrap/>
            <w:hideMark/>
          </w:tcPr>
          <w:p w:rsidR="008A139C" w:rsidRPr="007C51D6" w:rsidRDefault="008A139C" w:rsidP="008A139C">
            <w:pPr>
              <w:autoSpaceDE/>
              <w:autoSpaceDN/>
              <w:adjustRightInd/>
              <w:rPr>
                <w:color w:val="000000"/>
                <w:sz w:val="20"/>
                <w:szCs w:val="20"/>
              </w:rPr>
            </w:pPr>
            <w:r w:rsidRPr="007C51D6">
              <w:rPr>
                <w:color w:val="000000"/>
                <w:sz w:val="20"/>
                <w:szCs w:val="20"/>
              </w:rPr>
              <w:t>щитовидной железы (С73)</w:t>
            </w:r>
          </w:p>
        </w:tc>
        <w:tc>
          <w:tcPr>
            <w:tcW w:w="1256" w:type="dxa"/>
            <w:shd w:val="clear" w:color="auto" w:fill="auto"/>
            <w:noWrap/>
          </w:tcPr>
          <w:p w:rsidR="008A139C" w:rsidRPr="007C51D6" w:rsidRDefault="008A139C" w:rsidP="008A139C">
            <w:pPr>
              <w:jc w:val="center"/>
              <w:rPr>
                <w:color w:val="000000"/>
                <w:sz w:val="20"/>
                <w:szCs w:val="20"/>
              </w:rPr>
            </w:pPr>
            <w:r w:rsidRPr="007C51D6">
              <w:rPr>
                <w:color w:val="000000"/>
                <w:sz w:val="20"/>
                <w:szCs w:val="20"/>
              </w:rPr>
              <w:t>5</w:t>
            </w:r>
          </w:p>
        </w:tc>
        <w:tc>
          <w:tcPr>
            <w:tcW w:w="1275" w:type="dxa"/>
            <w:shd w:val="clear" w:color="auto" w:fill="auto"/>
            <w:noWrap/>
          </w:tcPr>
          <w:p w:rsidR="008A139C" w:rsidRPr="007C51D6" w:rsidRDefault="008A139C" w:rsidP="008A139C">
            <w:pPr>
              <w:jc w:val="center"/>
              <w:rPr>
                <w:color w:val="000000"/>
                <w:sz w:val="20"/>
                <w:szCs w:val="20"/>
              </w:rPr>
            </w:pPr>
            <w:r w:rsidRPr="007C51D6">
              <w:rPr>
                <w:color w:val="000000"/>
                <w:sz w:val="20"/>
                <w:szCs w:val="20"/>
              </w:rPr>
              <w:t>32</w:t>
            </w:r>
          </w:p>
        </w:tc>
        <w:tc>
          <w:tcPr>
            <w:tcW w:w="1276" w:type="dxa"/>
            <w:shd w:val="clear" w:color="auto" w:fill="auto"/>
            <w:noWrap/>
          </w:tcPr>
          <w:p w:rsidR="008A139C" w:rsidRPr="007C51D6" w:rsidRDefault="008A139C" w:rsidP="008A139C">
            <w:pPr>
              <w:jc w:val="center"/>
              <w:rPr>
                <w:color w:val="000000"/>
                <w:sz w:val="20"/>
                <w:szCs w:val="20"/>
              </w:rPr>
            </w:pPr>
            <w:r w:rsidRPr="007C51D6">
              <w:rPr>
                <w:color w:val="000000"/>
                <w:sz w:val="20"/>
                <w:szCs w:val="20"/>
              </w:rPr>
              <w:t>15.63</w:t>
            </w:r>
          </w:p>
        </w:tc>
        <w:tc>
          <w:tcPr>
            <w:tcW w:w="1276" w:type="dxa"/>
          </w:tcPr>
          <w:p w:rsidR="008A139C" w:rsidRPr="007C51D6" w:rsidRDefault="008A139C" w:rsidP="008A139C">
            <w:pPr>
              <w:jc w:val="center"/>
              <w:rPr>
                <w:color w:val="000000"/>
                <w:sz w:val="20"/>
                <w:szCs w:val="20"/>
              </w:rPr>
            </w:pPr>
            <w:r w:rsidRPr="007C51D6">
              <w:rPr>
                <w:color w:val="000000"/>
                <w:sz w:val="20"/>
                <w:szCs w:val="20"/>
              </w:rPr>
              <w:t>5</w:t>
            </w:r>
          </w:p>
        </w:tc>
        <w:tc>
          <w:tcPr>
            <w:tcW w:w="1276" w:type="dxa"/>
          </w:tcPr>
          <w:p w:rsidR="008A139C" w:rsidRPr="007C51D6" w:rsidRDefault="008A139C" w:rsidP="008A139C">
            <w:pPr>
              <w:jc w:val="center"/>
              <w:rPr>
                <w:color w:val="000000"/>
                <w:sz w:val="20"/>
                <w:szCs w:val="20"/>
              </w:rPr>
            </w:pPr>
            <w:r w:rsidRPr="007C51D6">
              <w:rPr>
                <w:color w:val="000000"/>
                <w:sz w:val="20"/>
                <w:szCs w:val="20"/>
              </w:rPr>
              <w:t>19</w:t>
            </w:r>
          </w:p>
        </w:tc>
        <w:tc>
          <w:tcPr>
            <w:tcW w:w="1275" w:type="dxa"/>
          </w:tcPr>
          <w:p w:rsidR="008A139C" w:rsidRPr="007C51D6" w:rsidRDefault="008A139C" w:rsidP="008A139C">
            <w:pPr>
              <w:jc w:val="center"/>
              <w:rPr>
                <w:color w:val="000000"/>
                <w:sz w:val="20"/>
                <w:szCs w:val="20"/>
              </w:rPr>
            </w:pPr>
            <w:r w:rsidRPr="007C51D6">
              <w:rPr>
                <w:color w:val="000000"/>
                <w:sz w:val="20"/>
                <w:szCs w:val="20"/>
              </w:rPr>
              <w:t>26,32</w:t>
            </w:r>
          </w:p>
        </w:tc>
        <w:tc>
          <w:tcPr>
            <w:tcW w:w="1276" w:type="dxa"/>
          </w:tcPr>
          <w:p w:rsidR="008A139C" w:rsidRPr="007C51D6" w:rsidRDefault="008A139C" w:rsidP="008A139C">
            <w:pPr>
              <w:jc w:val="center"/>
              <w:rPr>
                <w:color w:val="000000"/>
                <w:sz w:val="20"/>
                <w:szCs w:val="20"/>
              </w:rPr>
            </w:pPr>
            <w:r w:rsidRPr="007C51D6">
              <w:rPr>
                <w:color w:val="000000"/>
                <w:sz w:val="20"/>
                <w:szCs w:val="20"/>
              </w:rPr>
              <w:t>9</w:t>
            </w:r>
          </w:p>
        </w:tc>
        <w:tc>
          <w:tcPr>
            <w:tcW w:w="1276" w:type="dxa"/>
          </w:tcPr>
          <w:p w:rsidR="008A139C" w:rsidRPr="007C51D6" w:rsidRDefault="008A139C" w:rsidP="008A139C">
            <w:pPr>
              <w:jc w:val="center"/>
            </w:pPr>
            <w:r w:rsidRPr="007C51D6">
              <w:rPr>
                <w:color w:val="000000"/>
                <w:sz w:val="20"/>
                <w:szCs w:val="20"/>
              </w:rPr>
              <w:t>нет данных</w:t>
            </w:r>
          </w:p>
        </w:tc>
        <w:tc>
          <w:tcPr>
            <w:tcW w:w="1276" w:type="dxa"/>
          </w:tcPr>
          <w:p w:rsidR="008A139C" w:rsidRPr="007C51D6" w:rsidRDefault="008A139C" w:rsidP="008A139C">
            <w:pPr>
              <w:jc w:val="center"/>
            </w:pPr>
            <w:r w:rsidRPr="007C51D6">
              <w:rPr>
                <w:color w:val="000000"/>
                <w:sz w:val="20"/>
                <w:szCs w:val="20"/>
              </w:rPr>
              <w:t>нет данных</w:t>
            </w:r>
          </w:p>
        </w:tc>
      </w:tr>
      <w:tr w:rsidR="008A139C" w:rsidRPr="007C51D6" w:rsidTr="0043783B">
        <w:trPr>
          <w:trHeight w:val="20"/>
        </w:trPr>
        <w:tc>
          <w:tcPr>
            <w:tcW w:w="3681" w:type="dxa"/>
            <w:shd w:val="clear" w:color="auto" w:fill="auto"/>
            <w:noWrap/>
            <w:hideMark/>
          </w:tcPr>
          <w:p w:rsidR="008A139C" w:rsidRPr="007C51D6" w:rsidRDefault="008A139C" w:rsidP="008A139C">
            <w:pPr>
              <w:autoSpaceDE/>
              <w:autoSpaceDN/>
              <w:adjustRightInd/>
              <w:rPr>
                <w:color w:val="000000"/>
                <w:sz w:val="20"/>
                <w:szCs w:val="20"/>
              </w:rPr>
            </w:pPr>
            <w:r w:rsidRPr="007C51D6">
              <w:rPr>
                <w:color w:val="000000"/>
                <w:sz w:val="20"/>
                <w:szCs w:val="20"/>
              </w:rPr>
              <w:t>мезотелиальной и других мягких тканей (С46.1,3,7 – 9,47,49)</w:t>
            </w:r>
          </w:p>
        </w:tc>
        <w:tc>
          <w:tcPr>
            <w:tcW w:w="1256" w:type="dxa"/>
            <w:shd w:val="clear" w:color="auto" w:fill="auto"/>
            <w:noWrap/>
          </w:tcPr>
          <w:p w:rsidR="008A139C" w:rsidRPr="007C51D6" w:rsidRDefault="008A139C" w:rsidP="008A139C">
            <w:pPr>
              <w:jc w:val="center"/>
              <w:rPr>
                <w:color w:val="000000"/>
                <w:sz w:val="20"/>
                <w:szCs w:val="20"/>
              </w:rPr>
            </w:pPr>
            <w:r w:rsidRPr="007C51D6">
              <w:rPr>
                <w:color w:val="000000"/>
                <w:sz w:val="20"/>
                <w:szCs w:val="20"/>
              </w:rPr>
              <w:t>0</w:t>
            </w:r>
          </w:p>
        </w:tc>
        <w:tc>
          <w:tcPr>
            <w:tcW w:w="1275" w:type="dxa"/>
            <w:shd w:val="clear" w:color="auto" w:fill="auto"/>
            <w:noWrap/>
          </w:tcPr>
          <w:p w:rsidR="008A139C" w:rsidRPr="007C51D6" w:rsidRDefault="008A139C" w:rsidP="008A139C">
            <w:pPr>
              <w:jc w:val="center"/>
              <w:rPr>
                <w:color w:val="000000"/>
                <w:sz w:val="20"/>
                <w:szCs w:val="20"/>
              </w:rPr>
            </w:pPr>
            <w:r w:rsidRPr="007C51D6">
              <w:rPr>
                <w:color w:val="000000"/>
                <w:sz w:val="20"/>
                <w:szCs w:val="20"/>
              </w:rPr>
              <w:t>63</w:t>
            </w:r>
          </w:p>
        </w:tc>
        <w:tc>
          <w:tcPr>
            <w:tcW w:w="1276" w:type="dxa"/>
            <w:shd w:val="clear" w:color="auto" w:fill="auto"/>
            <w:noWrap/>
          </w:tcPr>
          <w:p w:rsidR="008A139C" w:rsidRPr="007C51D6" w:rsidRDefault="008A139C" w:rsidP="008A139C">
            <w:pPr>
              <w:jc w:val="center"/>
              <w:rPr>
                <w:color w:val="000000"/>
                <w:sz w:val="20"/>
                <w:szCs w:val="20"/>
              </w:rPr>
            </w:pPr>
            <w:r w:rsidRPr="007C51D6">
              <w:rPr>
                <w:color w:val="000000"/>
                <w:sz w:val="20"/>
                <w:szCs w:val="20"/>
              </w:rPr>
              <w:t>0.00</w:t>
            </w:r>
          </w:p>
        </w:tc>
        <w:tc>
          <w:tcPr>
            <w:tcW w:w="1276" w:type="dxa"/>
          </w:tcPr>
          <w:p w:rsidR="008A139C" w:rsidRPr="007C51D6" w:rsidRDefault="008A139C" w:rsidP="008A139C">
            <w:pPr>
              <w:jc w:val="center"/>
              <w:rPr>
                <w:color w:val="000000"/>
                <w:sz w:val="20"/>
                <w:szCs w:val="20"/>
              </w:rPr>
            </w:pPr>
            <w:r w:rsidRPr="007C51D6">
              <w:rPr>
                <w:color w:val="000000"/>
                <w:sz w:val="20"/>
                <w:szCs w:val="20"/>
              </w:rPr>
              <w:t>0</w:t>
            </w:r>
          </w:p>
        </w:tc>
        <w:tc>
          <w:tcPr>
            <w:tcW w:w="1276" w:type="dxa"/>
          </w:tcPr>
          <w:p w:rsidR="008A139C" w:rsidRPr="007C51D6" w:rsidRDefault="008A139C" w:rsidP="008A139C">
            <w:pPr>
              <w:jc w:val="center"/>
              <w:rPr>
                <w:color w:val="000000"/>
                <w:sz w:val="20"/>
                <w:szCs w:val="20"/>
              </w:rPr>
            </w:pPr>
            <w:r w:rsidRPr="007C51D6">
              <w:rPr>
                <w:color w:val="000000"/>
                <w:sz w:val="20"/>
                <w:szCs w:val="20"/>
              </w:rPr>
              <w:t>39</w:t>
            </w:r>
          </w:p>
        </w:tc>
        <w:tc>
          <w:tcPr>
            <w:tcW w:w="1275" w:type="dxa"/>
          </w:tcPr>
          <w:p w:rsidR="008A139C" w:rsidRPr="007C51D6" w:rsidRDefault="008A139C" w:rsidP="008A139C">
            <w:pPr>
              <w:jc w:val="center"/>
              <w:rPr>
                <w:color w:val="000000"/>
                <w:sz w:val="20"/>
                <w:szCs w:val="20"/>
              </w:rPr>
            </w:pPr>
            <w:r w:rsidRPr="007C51D6">
              <w:rPr>
                <w:color w:val="000000"/>
                <w:sz w:val="20"/>
                <w:szCs w:val="20"/>
              </w:rPr>
              <w:t>0,00</w:t>
            </w:r>
          </w:p>
        </w:tc>
        <w:tc>
          <w:tcPr>
            <w:tcW w:w="1276" w:type="dxa"/>
          </w:tcPr>
          <w:p w:rsidR="008A139C" w:rsidRPr="007C51D6" w:rsidRDefault="008A139C" w:rsidP="008A139C">
            <w:pPr>
              <w:jc w:val="center"/>
              <w:rPr>
                <w:color w:val="000000"/>
                <w:sz w:val="20"/>
                <w:szCs w:val="20"/>
              </w:rPr>
            </w:pPr>
            <w:r w:rsidRPr="007C51D6">
              <w:rPr>
                <w:color w:val="000000"/>
                <w:sz w:val="20"/>
                <w:szCs w:val="20"/>
              </w:rPr>
              <w:t>6</w:t>
            </w:r>
          </w:p>
        </w:tc>
        <w:tc>
          <w:tcPr>
            <w:tcW w:w="1276" w:type="dxa"/>
          </w:tcPr>
          <w:p w:rsidR="008A139C" w:rsidRPr="007C51D6" w:rsidRDefault="008A139C" w:rsidP="008A139C">
            <w:pPr>
              <w:jc w:val="center"/>
            </w:pPr>
            <w:r w:rsidRPr="007C51D6">
              <w:rPr>
                <w:color w:val="000000"/>
                <w:sz w:val="20"/>
                <w:szCs w:val="20"/>
              </w:rPr>
              <w:t>нет данных</w:t>
            </w:r>
          </w:p>
        </w:tc>
        <w:tc>
          <w:tcPr>
            <w:tcW w:w="1276" w:type="dxa"/>
          </w:tcPr>
          <w:p w:rsidR="008A139C" w:rsidRPr="007C51D6" w:rsidRDefault="008A139C" w:rsidP="008A139C">
            <w:pPr>
              <w:jc w:val="center"/>
            </w:pPr>
            <w:r w:rsidRPr="007C51D6">
              <w:rPr>
                <w:color w:val="000000"/>
                <w:sz w:val="20"/>
                <w:szCs w:val="20"/>
              </w:rPr>
              <w:t>нет данных</w:t>
            </w:r>
          </w:p>
        </w:tc>
      </w:tr>
      <w:tr w:rsidR="008A139C" w:rsidRPr="007C51D6" w:rsidTr="0043783B">
        <w:trPr>
          <w:trHeight w:val="20"/>
        </w:trPr>
        <w:tc>
          <w:tcPr>
            <w:tcW w:w="3681" w:type="dxa"/>
            <w:shd w:val="clear" w:color="auto" w:fill="auto"/>
            <w:noWrap/>
            <w:hideMark/>
          </w:tcPr>
          <w:p w:rsidR="008A139C" w:rsidRPr="007C51D6" w:rsidRDefault="008A139C" w:rsidP="008A139C">
            <w:pPr>
              <w:autoSpaceDE/>
              <w:autoSpaceDN/>
              <w:adjustRightInd/>
              <w:rPr>
                <w:color w:val="000000"/>
                <w:sz w:val="20"/>
                <w:szCs w:val="20"/>
              </w:rPr>
            </w:pPr>
            <w:r w:rsidRPr="007C51D6">
              <w:rPr>
                <w:color w:val="000000"/>
                <w:sz w:val="20"/>
                <w:szCs w:val="20"/>
              </w:rPr>
              <w:t>мочевого пузыря (С67)</w:t>
            </w:r>
          </w:p>
        </w:tc>
        <w:tc>
          <w:tcPr>
            <w:tcW w:w="1256" w:type="dxa"/>
            <w:shd w:val="clear" w:color="auto" w:fill="auto"/>
            <w:noWrap/>
          </w:tcPr>
          <w:p w:rsidR="008A139C" w:rsidRPr="007C51D6" w:rsidRDefault="008A139C" w:rsidP="008A139C">
            <w:pPr>
              <w:jc w:val="center"/>
              <w:rPr>
                <w:color w:val="000000"/>
                <w:sz w:val="20"/>
                <w:szCs w:val="20"/>
              </w:rPr>
            </w:pPr>
            <w:r w:rsidRPr="007C51D6">
              <w:rPr>
                <w:color w:val="000000"/>
                <w:sz w:val="20"/>
                <w:szCs w:val="20"/>
              </w:rPr>
              <w:t>10</w:t>
            </w:r>
          </w:p>
        </w:tc>
        <w:tc>
          <w:tcPr>
            <w:tcW w:w="1275" w:type="dxa"/>
            <w:shd w:val="clear" w:color="auto" w:fill="auto"/>
            <w:noWrap/>
          </w:tcPr>
          <w:p w:rsidR="008A139C" w:rsidRPr="007C51D6" w:rsidRDefault="008A139C" w:rsidP="008A139C">
            <w:pPr>
              <w:jc w:val="center"/>
              <w:rPr>
                <w:color w:val="000000"/>
                <w:sz w:val="20"/>
                <w:szCs w:val="20"/>
              </w:rPr>
            </w:pPr>
            <w:r w:rsidRPr="007C51D6">
              <w:rPr>
                <w:color w:val="000000"/>
                <w:sz w:val="20"/>
                <w:szCs w:val="20"/>
              </w:rPr>
              <w:t>140</w:t>
            </w:r>
          </w:p>
        </w:tc>
        <w:tc>
          <w:tcPr>
            <w:tcW w:w="1276" w:type="dxa"/>
            <w:shd w:val="clear" w:color="auto" w:fill="auto"/>
            <w:noWrap/>
          </w:tcPr>
          <w:p w:rsidR="008A139C" w:rsidRPr="007C51D6" w:rsidRDefault="008A139C" w:rsidP="008A139C">
            <w:pPr>
              <w:jc w:val="center"/>
              <w:rPr>
                <w:color w:val="000000"/>
                <w:sz w:val="20"/>
                <w:szCs w:val="20"/>
              </w:rPr>
            </w:pPr>
            <w:r w:rsidRPr="007C51D6">
              <w:rPr>
                <w:color w:val="000000"/>
                <w:sz w:val="20"/>
                <w:szCs w:val="20"/>
              </w:rPr>
              <w:t>7.14</w:t>
            </w:r>
          </w:p>
        </w:tc>
        <w:tc>
          <w:tcPr>
            <w:tcW w:w="1276" w:type="dxa"/>
          </w:tcPr>
          <w:p w:rsidR="008A139C" w:rsidRPr="007C51D6" w:rsidRDefault="008A139C" w:rsidP="008A139C">
            <w:pPr>
              <w:jc w:val="center"/>
              <w:rPr>
                <w:color w:val="000000"/>
                <w:sz w:val="20"/>
                <w:szCs w:val="20"/>
              </w:rPr>
            </w:pPr>
            <w:r w:rsidRPr="007C51D6">
              <w:rPr>
                <w:color w:val="000000"/>
                <w:sz w:val="20"/>
                <w:szCs w:val="20"/>
              </w:rPr>
              <w:t>11</w:t>
            </w:r>
          </w:p>
        </w:tc>
        <w:tc>
          <w:tcPr>
            <w:tcW w:w="1276" w:type="dxa"/>
          </w:tcPr>
          <w:p w:rsidR="008A139C" w:rsidRPr="007C51D6" w:rsidRDefault="008A139C" w:rsidP="008A139C">
            <w:pPr>
              <w:jc w:val="center"/>
              <w:rPr>
                <w:color w:val="000000"/>
                <w:sz w:val="20"/>
                <w:szCs w:val="20"/>
              </w:rPr>
            </w:pPr>
            <w:r w:rsidRPr="007C51D6">
              <w:rPr>
                <w:color w:val="000000"/>
                <w:sz w:val="20"/>
                <w:szCs w:val="20"/>
              </w:rPr>
              <w:t>108</w:t>
            </w:r>
          </w:p>
        </w:tc>
        <w:tc>
          <w:tcPr>
            <w:tcW w:w="1275" w:type="dxa"/>
          </w:tcPr>
          <w:p w:rsidR="008A139C" w:rsidRPr="007C51D6" w:rsidRDefault="008A139C" w:rsidP="008A139C">
            <w:pPr>
              <w:jc w:val="center"/>
              <w:rPr>
                <w:color w:val="000000"/>
                <w:sz w:val="20"/>
                <w:szCs w:val="20"/>
              </w:rPr>
            </w:pPr>
            <w:r w:rsidRPr="007C51D6">
              <w:rPr>
                <w:color w:val="000000"/>
                <w:sz w:val="20"/>
                <w:szCs w:val="20"/>
              </w:rPr>
              <w:t>10,19</w:t>
            </w:r>
          </w:p>
        </w:tc>
        <w:tc>
          <w:tcPr>
            <w:tcW w:w="1276" w:type="dxa"/>
          </w:tcPr>
          <w:p w:rsidR="008A139C" w:rsidRPr="007C51D6" w:rsidRDefault="008A139C" w:rsidP="008A139C">
            <w:pPr>
              <w:jc w:val="center"/>
              <w:rPr>
                <w:color w:val="000000"/>
                <w:sz w:val="20"/>
                <w:szCs w:val="20"/>
              </w:rPr>
            </w:pPr>
            <w:r w:rsidRPr="007C51D6">
              <w:rPr>
                <w:color w:val="000000"/>
                <w:sz w:val="20"/>
                <w:szCs w:val="20"/>
              </w:rPr>
              <w:t>13</w:t>
            </w:r>
          </w:p>
        </w:tc>
        <w:tc>
          <w:tcPr>
            <w:tcW w:w="1276" w:type="dxa"/>
          </w:tcPr>
          <w:p w:rsidR="008A139C" w:rsidRPr="007C51D6" w:rsidRDefault="008A139C" w:rsidP="008A139C">
            <w:pPr>
              <w:jc w:val="center"/>
            </w:pPr>
            <w:r w:rsidRPr="007C51D6">
              <w:rPr>
                <w:color w:val="000000"/>
                <w:sz w:val="20"/>
                <w:szCs w:val="20"/>
              </w:rPr>
              <w:t>нет данных</w:t>
            </w:r>
          </w:p>
        </w:tc>
        <w:tc>
          <w:tcPr>
            <w:tcW w:w="1276" w:type="dxa"/>
          </w:tcPr>
          <w:p w:rsidR="008A139C" w:rsidRPr="007C51D6" w:rsidRDefault="008A139C" w:rsidP="008A139C">
            <w:pPr>
              <w:jc w:val="center"/>
            </w:pPr>
            <w:r w:rsidRPr="007C51D6">
              <w:rPr>
                <w:color w:val="000000"/>
                <w:sz w:val="20"/>
                <w:szCs w:val="20"/>
              </w:rPr>
              <w:t>нет данных</w:t>
            </w:r>
          </w:p>
        </w:tc>
      </w:tr>
      <w:tr w:rsidR="008A139C" w:rsidRPr="007C51D6" w:rsidTr="0043783B">
        <w:trPr>
          <w:trHeight w:val="20"/>
        </w:trPr>
        <w:tc>
          <w:tcPr>
            <w:tcW w:w="3681" w:type="dxa"/>
            <w:shd w:val="clear" w:color="auto" w:fill="auto"/>
            <w:noWrap/>
            <w:hideMark/>
          </w:tcPr>
          <w:p w:rsidR="008A139C" w:rsidRPr="007C51D6" w:rsidRDefault="008A139C" w:rsidP="008A139C">
            <w:pPr>
              <w:autoSpaceDE/>
              <w:autoSpaceDN/>
              <w:adjustRightInd/>
              <w:rPr>
                <w:color w:val="000000"/>
                <w:sz w:val="20"/>
                <w:szCs w:val="20"/>
              </w:rPr>
            </w:pPr>
            <w:r w:rsidRPr="007C51D6">
              <w:rPr>
                <w:color w:val="000000"/>
                <w:sz w:val="20"/>
                <w:szCs w:val="20"/>
              </w:rPr>
              <w:t>губы (С00)</w:t>
            </w:r>
          </w:p>
        </w:tc>
        <w:tc>
          <w:tcPr>
            <w:tcW w:w="1256" w:type="dxa"/>
            <w:shd w:val="clear" w:color="auto" w:fill="auto"/>
            <w:noWrap/>
          </w:tcPr>
          <w:p w:rsidR="008A139C" w:rsidRPr="007C51D6" w:rsidRDefault="008A139C" w:rsidP="008A139C">
            <w:pPr>
              <w:jc w:val="center"/>
              <w:rPr>
                <w:color w:val="000000"/>
                <w:sz w:val="20"/>
                <w:szCs w:val="20"/>
              </w:rPr>
            </w:pPr>
            <w:r w:rsidRPr="007C51D6">
              <w:rPr>
                <w:color w:val="000000"/>
                <w:sz w:val="20"/>
                <w:szCs w:val="20"/>
              </w:rPr>
              <w:t>0</w:t>
            </w:r>
          </w:p>
        </w:tc>
        <w:tc>
          <w:tcPr>
            <w:tcW w:w="1275" w:type="dxa"/>
            <w:shd w:val="clear" w:color="auto" w:fill="auto"/>
            <w:noWrap/>
          </w:tcPr>
          <w:p w:rsidR="008A139C" w:rsidRPr="007C51D6" w:rsidRDefault="008A139C" w:rsidP="008A139C">
            <w:pPr>
              <w:jc w:val="center"/>
              <w:rPr>
                <w:color w:val="000000"/>
                <w:sz w:val="20"/>
                <w:szCs w:val="20"/>
              </w:rPr>
            </w:pPr>
            <w:r w:rsidRPr="007C51D6">
              <w:rPr>
                <w:color w:val="000000"/>
                <w:sz w:val="20"/>
                <w:szCs w:val="20"/>
              </w:rPr>
              <w:t>19</w:t>
            </w:r>
          </w:p>
        </w:tc>
        <w:tc>
          <w:tcPr>
            <w:tcW w:w="1276" w:type="dxa"/>
            <w:shd w:val="clear" w:color="auto" w:fill="auto"/>
            <w:noWrap/>
          </w:tcPr>
          <w:p w:rsidR="008A139C" w:rsidRPr="007C51D6" w:rsidRDefault="008A139C" w:rsidP="008A139C">
            <w:pPr>
              <w:jc w:val="center"/>
              <w:rPr>
                <w:color w:val="000000"/>
                <w:sz w:val="20"/>
                <w:szCs w:val="20"/>
              </w:rPr>
            </w:pPr>
            <w:r w:rsidRPr="007C51D6">
              <w:rPr>
                <w:color w:val="000000"/>
                <w:sz w:val="20"/>
                <w:szCs w:val="20"/>
              </w:rPr>
              <w:t>0.00</w:t>
            </w:r>
          </w:p>
        </w:tc>
        <w:tc>
          <w:tcPr>
            <w:tcW w:w="1276" w:type="dxa"/>
          </w:tcPr>
          <w:p w:rsidR="008A139C" w:rsidRPr="007C51D6" w:rsidRDefault="008A139C" w:rsidP="008A139C">
            <w:pPr>
              <w:jc w:val="center"/>
              <w:rPr>
                <w:color w:val="000000"/>
                <w:sz w:val="20"/>
                <w:szCs w:val="20"/>
              </w:rPr>
            </w:pPr>
            <w:r w:rsidRPr="007C51D6">
              <w:rPr>
                <w:color w:val="000000"/>
                <w:sz w:val="20"/>
                <w:szCs w:val="20"/>
              </w:rPr>
              <w:t>0</w:t>
            </w:r>
          </w:p>
        </w:tc>
        <w:tc>
          <w:tcPr>
            <w:tcW w:w="1276" w:type="dxa"/>
          </w:tcPr>
          <w:p w:rsidR="008A139C" w:rsidRPr="007C51D6" w:rsidRDefault="008A139C" w:rsidP="008A139C">
            <w:pPr>
              <w:jc w:val="center"/>
              <w:rPr>
                <w:color w:val="000000"/>
                <w:sz w:val="20"/>
                <w:szCs w:val="20"/>
              </w:rPr>
            </w:pPr>
            <w:r w:rsidRPr="007C51D6">
              <w:rPr>
                <w:color w:val="000000"/>
                <w:sz w:val="20"/>
                <w:szCs w:val="20"/>
              </w:rPr>
              <w:t>5</w:t>
            </w:r>
          </w:p>
        </w:tc>
        <w:tc>
          <w:tcPr>
            <w:tcW w:w="1275" w:type="dxa"/>
          </w:tcPr>
          <w:p w:rsidR="008A139C" w:rsidRPr="007C51D6" w:rsidRDefault="008A139C" w:rsidP="008A139C">
            <w:pPr>
              <w:jc w:val="center"/>
              <w:rPr>
                <w:color w:val="000000"/>
                <w:sz w:val="20"/>
                <w:szCs w:val="20"/>
              </w:rPr>
            </w:pPr>
            <w:r w:rsidRPr="007C51D6">
              <w:rPr>
                <w:color w:val="000000"/>
                <w:sz w:val="20"/>
                <w:szCs w:val="20"/>
              </w:rPr>
              <w:t>0,00</w:t>
            </w:r>
          </w:p>
        </w:tc>
        <w:tc>
          <w:tcPr>
            <w:tcW w:w="1276" w:type="dxa"/>
          </w:tcPr>
          <w:p w:rsidR="008A139C" w:rsidRPr="007C51D6" w:rsidRDefault="008A139C" w:rsidP="008A139C">
            <w:pPr>
              <w:jc w:val="center"/>
              <w:rPr>
                <w:color w:val="000000"/>
                <w:sz w:val="20"/>
                <w:szCs w:val="20"/>
              </w:rPr>
            </w:pPr>
            <w:r w:rsidRPr="007C51D6">
              <w:rPr>
                <w:color w:val="000000"/>
                <w:sz w:val="20"/>
                <w:szCs w:val="20"/>
              </w:rPr>
              <w:t>0</w:t>
            </w:r>
          </w:p>
        </w:tc>
        <w:tc>
          <w:tcPr>
            <w:tcW w:w="1276" w:type="dxa"/>
          </w:tcPr>
          <w:p w:rsidR="008A139C" w:rsidRPr="007C51D6" w:rsidRDefault="008A139C" w:rsidP="008A139C">
            <w:pPr>
              <w:jc w:val="center"/>
            </w:pPr>
            <w:r w:rsidRPr="007C51D6">
              <w:rPr>
                <w:color w:val="000000"/>
                <w:sz w:val="20"/>
                <w:szCs w:val="20"/>
              </w:rPr>
              <w:t>нет данных</w:t>
            </w:r>
          </w:p>
        </w:tc>
        <w:tc>
          <w:tcPr>
            <w:tcW w:w="1276" w:type="dxa"/>
          </w:tcPr>
          <w:p w:rsidR="008A139C" w:rsidRPr="007C51D6" w:rsidRDefault="008A139C" w:rsidP="008A139C">
            <w:pPr>
              <w:jc w:val="center"/>
            </w:pPr>
            <w:r w:rsidRPr="007C51D6">
              <w:rPr>
                <w:color w:val="000000"/>
                <w:sz w:val="20"/>
                <w:szCs w:val="20"/>
              </w:rPr>
              <w:t>нет данных</w:t>
            </w:r>
          </w:p>
        </w:tc>
      </w:tr>
      <w:tr w:rsidR="008A139C" w:rsidRPr="007C51D6" w:rsidTr="0043783B">
        <w:trPr>
          <w:trHeight w:val="20"/>
        </w:trPr>
        <w:tc>
          <w:tcPr>
            <w:tcW w:w="3681" w:type="dxa"/>
            <w:shd w:val="clear" w:color="auto" w:fill="auto"/>
            <w:noWrap/>
            <w:hideMark/>
          </w:tcPr>
          <w:p w:rsidR="008A139C" w:rsidRPr="007C51D6" w:rsidRDefault="008A139C" w:rsidP="008A139C">
            <w:pPr>
              <w:autoSpaceDE/>
              <w:autoSpaceDN/>
              <w:adjustRightInd/>
              <w:rPr>
                <w:color w:val="000000"/>
                <w:sz w:val="20"/>
                <w:szCs w:val="20"/>
              </w:rPr>
            </w:pPr>
            <w:r w:rsidRPr="007C51D6">
              <w:rPr>
                <w:color w:val="000000"/>
                <w:sz w:val="20"/>
                <w:szCs w:val="20"/>
              </w:rPr>
              <w:t>тела матки (С54)</w:t>
            </w:r>
          </w:p>
        </w:tc>
        <w:tc>
          <w:tcPr>
            <w:tcW w:w="1256" w:type="dxa"/>
            <w:shd w:val="clear" w:color="auto" w:fill="auto"/>
            <w:noWrap/>
          </w:tcPr>
          <w:p w:rsidR="008A139C" w:rsidRPr="007C51D6" w:rsidRDefault="008A139C" w:rsidP="008A139C">
            <w:pPr>
              <w:jc w:val="center"/>
              <w:rPr>
                <w:color w:val="000000"/>
                <w:sz w:val="20"/>
                <w:szCs w:val="20"/>
              </w:rPr>
            </w:pPr>
            <w:r w:rsidRPr="007C51D6">
              <w:rPr>
                <w:color w:val="000000"/>
                <w:sz w:val="20"/>
                <w:szCs w:val="20"/>
              </w:rPr>
              <w:t>4</w:t>
            </w:r>
          </w:p>
        </w:tc>
        <w:tc>
          <w:tcPr>
            <w:tcW w:w="1275" w:type="dxa"/>
            <w:shd w:val="clear" w:color="auto" w:fill="auto"/>
            <w:noWrap/>
          </w:tcPr>
          <w:p w:rsidR="008A139C" w:rsidRPr="007C51D6" w:rsidRDefault="008A139C" w:rsidP="008A139C">
            <w:pPr>
              <w:jc w:val="center"/>
              <w:rPr>
                <w:color w:val="000000"/>
                <w:sz w:val="20"/>
                <w:szCs w:val="20"/>
              </w:rPr>
            </w:pPr>
            <w:r w:rsidRPr="007C51D6">
              <w:rPr>
                <w:color w:val="000000"/>
                <w:sz w:val="20"/>
                <w:szCs w:val="20"/>
              </w:rPr>
              <w:t>152</w:t>
            </w:r>
          </w:p>
        </w:tc>
        <w:tc>
          <w:tcPr>
            <w:tcW w:w="1276" w:type="dxa"/>
            <w:shd w:val="clear" w:color="auto" w:fill="auto"/>
            <w:noWrap/>
          </w:tcPr>
          <w:p w:rsidR="008A139C" w:rsidRPr="007C51D6" w:rsidRDefault="008A139C" w:rsidP="008A139C">
            <w:pPr>
              <w:jc w:val="center"/>
              <w:rPr>
                <w:color w:val="000000"/>
                <w:sz w:val="20"/>
                <w:szCs w:val="20"/>
              </w:rPr>
            </w:pPr>
            <w:r w:rsidRPr="007C51D6">
              <w:rPr>
                <w:color w:val="000000"/>
                <w:sz w:val="20"/>
                <w:szCs w:val="20"/>
              </w:rPr>
              <w:t>2.63</w:t>
            </w:r>
          </w:p>
        </w:tc>
        <w:tc>
          <w:tcPr>
            <w:tcW w:w="1276" w:type="dxa"/>
          </w:tcPr>
          <w:p w:rsidR="008A139C" w:rsidRPr="007C51D6" w:rsidRDefault="008A139C" w:rsidP="008A139C">
            <w:pPr>
              <w:jc w:val="center"/>
              <w:rPr>
                <w:color w:val="000000"/>
                <w:sz w:val="20"/>
                <w:szCs w:val="20"/>
              </w:rPr>
            </w:pPr>
            <w:r w:rsidRPr="007C51D6">
              <w:rPr>
                <w:color w:val="000000"/>
                <w:sz w:val="20"/>
                <w:szCs w:val="20"/>
              </w:rPr>
              <w:t>9</w:t>
            </w:r>
          </w:p>
        </w:tc>
        <w:tc>
          <w:tcPr>
            <w:tcW w:w="1276" w:type="dxa"/>
          </w:tcPr>
          <w:p w:rsidR="008A139C" w:rsidRPr="007C51D6" w:rsidRDefault="008A139C" w:rsidP="008A139C">
            <w:pPr>
              <w:jc w:val="center"/>
              <w:rPr>
                <w:color w:val="000000"/>
                <w:sz w:val="20"/>
                <w:szCs w:val="20"/>
              </w:rPr>
            </w:pPr>
            <w:r w:rsidRPr="007C51D6">
              <w:rPr>
                <w:color w:val="000000"/>
                <w:sz w:val="20"/>
                <w:szCs w:val="20"/>
              </w:rPr>
              <w:t>101</w:t>
            </w:r>
          </w:p>
        </w:tc>
        <w:tc>
          <w:tcPr>
            <w:tcW w:w="1275" w:type="dxa"/>
          </w:tcPr>
          <w:p w:rsidR="008A139C" w:rsidRPr="007C51D6" w:rsidRDefault="008A139C" w:rsidP="008A139C">
            <w:pPr>
              <w:jc w:val="center"/>
              <w:rPr>
                <w:color w:val="000000"/>
                <w:sz w:val="20"/>
                <w:szCs w:val="20"/>
              </w:rPr>
            </w:pPr>
            <w:r w:rsidRPr="007C51D6">
              <w:rPr>
                <w:color w:val="000000"/>
                <w:sz w:val="20"/>
                <w:szCs w:val="20"/>
              </w:rPr>
              <w:t>8,91</w:t>
            </w:r>
          </w:p>
        </w:tc>
        <w:tc>
          <w:tcPr>
            <w:tcW w:w="1276" w:type="dxa"/>
          </w:tcPr>
          <w:p w:rsidR="008A139C" w:rsidRPr="007C51D6" w:rsidRDefault="008A139C" w:rsidP="008A139C">
            <w:pPr>
              <w:jc w:val="center"/>
              <w:rPr>
                <w:color w:val="000000"/>
                <w:sz w:val="20"/>
                <w:szCs w:val="20"/>
              </w:rPr>
            </w:pPr>
            <w:r w:rsidRPr="007C51D6">
              <w:rPr>
                <w:color w:val="000000"/>
                <w:sz w:val="20"/>
                <w:szCs w:val="20"/>
              </w:rPr>
              <w:t>17</w:t>
            </w:r>
          </w:p>
        </w:tc>
        <w:tc>
          <w:tcPr>
            <w:tcW w:w="1276" w:type="dxa"/>
          </w:tcPr>
          <w:p w:rsidR="008A139C" w:rsidRPr="007C51D6" w:rsidRDefault="008A139C" w:rsidP="008A139C">
            <w:pPr>
              <w:jc w:val="center"/>
            </w:pPr>
            <w:r w:rsidRPr="007C51D6">
              <w:rPr>
                <w:color w:val="000000"/>
                <w:sz w:val="20"/>
                <w:szCs w:val="20"/>
              </w:rPr>
              <w:t>нет данных</w:t>
            </w:r>
          </w:p>
        </w:tc>
        <w:tc>
          <w:tcPr>
            <w:tcW w:w="1276" w:type="dxa"/>
          </w:tcPr>
          <w:p w:rsidR="008A139C" w:rsidRPr="007C51D6" w:rsidRDefault="008A139C" w:rsidP="008A139C">
            <w:pPr>
              <w:jc w:val="center"/>
            </w:pPr>
            <w:r w:rsidRPr="007C51D6">
              <w:rPr>
                <w:color w:val="000000"/>
                <w:sz w:val="20"/>
                <w:szCs w:val="20"/>
              </w:rPr>
              <w:t>нет данных</w:t>
            </w:r>
          </w:p>
        </w:tc>
      </w:tr>
      <w:tr w:rsidR="008A139C" w:rsidRPr="007C51D6" w:rsidTr="0043783B">
        <w:trPr>
          <w:trHeight w:val="20"/>
        </w:trPr>
        <w:tc>
          <w:tcPr>
            <w:tcW w:w="3681" w:type="dxa"/>
            <w:shd w:val="clear" w:color="auto" w:fill="auto"/>
            <w:noWrap/>
            <w:hideMark/>
          </w:tcPr>
          <w:p w:rsidR="008A139C" w:rsidRPr="007C51D6" w:rsidRDefault="008A139C" w:rsidP="008A139C">
            <w:pPr>
              <w:autoSpaceDE/>
              <w:autoSpaceDN/>
              <w:adjustRightInd/>
              <w:rPr>
                <w:color w:val="000000"/>
                <w:sz w:val="20"/>
                <w:szCs w:val="20"/>
              </w:rPr>
            </w:pPr>
            <w:r w:rsidRPr="007C51D6">
              <w:rPr>
                <w:color w:val="000000"/>
                <w:sz w:val="20"/>
                <w:szCs w:val="20"/>
              </w:rPr>
              <w:t>другие новообразования кожи (С44, С46.0)</w:t>
            </w:r>
          </w:p>
        </w:tc>
        <w:tc>
          <w:tcPr>
            <w:tcW w:w="1256" w:type="dxa"/>
            <w:shd w:val="clear" w:color="auto" w:fill="auto"/>
            <w:noWrap/>
          </w:tcPr>
          <w:p w:rsidR="008A139C" w:rsidRPr="007C51D6" w:rsidRDefault="008A139C" w:rsidP="008A139C">
            <w:pPr>
              <w:jc w:val="center"/>
              <w:rPr>
                <w:color w:val="000000"/>
                <w:sz w:val="20"/>
                <w:szCs w:val="20"/>
              </w:rPr>
            </w:pPr>
            <w:r w:rsidRPr="007C51D6">
              <w:rPr>
                <w:color w:val="000000"/>
                <w:sz w:val="20"/>
                <w:szCs w:val="20"/>
              </w:rPr>
              <w:t>3</w:t>
            </w:r>
          </w:p>
        </w:tc>
        <w:tc>
          <w:tcPr>
            <w:tcW w:w="1275" w:type="dxa"/>
            <w:shd w:val="clear" w:color="auto" w:fill="auto"/>
            <w:noWrap/>
          </w:tcPr>
          <w:p w:rsidR="008A139C" w:rsidRPr="007C51D6" w:rsidRDefault="008A139C" w:rsidP="008A139C">
            <w:pPr>
              <w:jc w:val="center"/>
              <w:rPr>
                <w:color w:val="000000"/>
                <w:sz w:val="20"/>
                <w:szCs w:val="20"/>
              </w:rPr>
            </w:pPr>
            <w:r w:rsidRPr="007C51D6">
              <w:rPr>
                <w:color w:val="000000"/>
                <w:sz w:val="20"/>
                <w:szCs w:val="20"/>
              </w:rPr>
              <w:t>55</w:t>
            </w:r>
          </w:p>
        </w:tc>
        <w:tc>
          <w:tcPr>
            <w:tcW w:w="1276" w:type="dxa"/>
            <w:shd w:val="clear" w:color="auto" w:fill="auto"/>
            <w:noWrap/>
          </w:tcPr>
          <w:p w:rsidR="008A139C" w:rsidRPr="007C51D6" w:rsidRDefault="008A139C" w:rsidP="008A139C">
            <w:pPr>
              <w:jc w:val="center"/>
              <w:rPr>
                <w:color w:val="000000"/>
                <w:sz w:val="20"/>
                <w:szCs w:val="20"/>
              </w:rPr>
            </w:pPr>
            <w:r w:rsidRPr="007C51D6">
              <w:rPr>
                <w:color w:val="000000"/>
                <w:sz w:val="20"/>
                <w:szCs w:val="20"/>
              </w:rPr>
              <w:t>5.45</w:t>
            </w:r>
          </w:p>
        </w:tc>
        <w:tc>
          <w:tcPr>
            <w:tcW w:w="1276" w:type="dxa"/>
          </w:tcPr>
          <w:p w:rsidR="008A139C" w:rsidRPr="007C51D6" w:rsidRDefault="008A139C" w:rsidP="008A139C">
            <w:pPr>
              <w:jc w:val="center"/>
              <w:rPr>
                <w:color w:val="000000"/>
                <w:sz w:val="20"/>
                <w:szCs w:val="20"/>
              </w:rPr>
            </w:pPr>
            <w:r w:rsidRPr="007C51D6">
              <w:rPr>
                <w:color w:val="000000"/>
                <w:sz w:val="20"/>
                <w:szCs w:val="20"/>
              </w:rPr>
              <w:t>4</w:t>
            </w:r>
          </w:p>
        </w:tc>
        <w:tc>
          <w:tcPr>
            <w:tcW w:w="1276" w:type="dxa"/>
          </w:tcPr>
          <w:p w:rsidR="008A139C" w:rsidRPr="007C51D6" w:rsidRDefault="008A139C" w:rsidP="008A139C">
            <w:pPr>
              <w:jc w:val="center"/>
              <w:rPr>
                <w:color w:val="000000"/>
                <w:sz w:val="20"/>
                <w:szCs w:val="20"/>
              </w:rPr>
            </w:pPr>
            <w:r w:rsidRPr="007C51D6">
              <w:rPr>
                <w:color w:val="000000"/>
                <w:sz w:val="20"/>
                <w:szCs w:val="20"/>
              </w:rPr>
              <w:t>25</w:t>
            </w:r>
          </w:p>
        </w:tc>
        <w:tc>
          <w:tcPr>
            <w:tcW w:w="1275" w:type="dxa"/>
          </w:tcPr>
          <w:p w:rsidR="008A139C" w:rsidRPr="007C51D6" w:rsidRDefault="008A139C" w:rsidP="008A139C">
            <w:pPr>
              <w:jc w:val="center"/>
              <w:rPr>
                <w:color w:val="000000"/>
                <w:sz w:val="20"/>
                <w:szCs w:val="20"/>
              </w:rPr>
            </w:pPr>
            <w:r w:rsidRPr="007C51D6">
              <w:rPr>
                <w:color w:val="000000"/>
                <w:sz w:val="20"/>
                <w:szCs w:val="20"/>
              </w:rPr>
              <w:t>16,00</w:t>
            </w:r>
          </w:p>
        </w:tc>
        <w:tc>
          <w:tcPr>
            <w:tcW w:w="1276" w:type="dxa"/>
          </w:tcPr>
          <w:p w:rsidR="008A139C" w:rsidRPr="007C51D6" w:rsidRDefault="008A139C" w:rsidP="008A139C">
            <w:pPr>
              <w:jc w:val="center"/>
              <w:rPr>
                <w:color w:val="000000"/>
                <w:sz w:val="20"/>
                <w:szCs w:val="20"/>
              </w:rPr>
            </w:pPr>
            <w:r w:rsidRPr="007C51D6">
              <w:rPr>
                <w:color w:val="000000"/>
                <w:sz w:val="20"/>
                <w:szCs w:val="20"/>
              </w:rPr>
              <w:t>2</w:t>
            </w:r>
          </w:p>
        </w:tc>
        <w:tc>
          <w:tcPr>
            <w:tcW w:w="1276" w:type="dxa"/>
          </w:tcPr>
          <w:p w:rsidR="008A139C" w:rsidRPr="007C51D6" w:rsidRDefault="008A139C" w:rsidP="008A139C">
            <w:pPr>
              <w:jc w:val="center"/>
            </w:pPr>
            <w:r w:rsidRPr="007C51D6">
              <w:rPr>
                <w:color w:val="000000"/>
                <w:sz w:val="20"/>
                <w:szCs w:val="20"/>
              </w:rPr>
              <w:t>нет данных</w:t>
            </w:r>
          </w:p>
        </w:tc>
        <w:tc>
          <w:tcPr>
            <w:tcW w:w="1276" w:type="dxa"/>
          </w:tcPr>
          <w:p w:rsidR="008A139C" w:rsidRPr="007C51D6" w:rsidRDefault="008A139C" w:rsidP="008A139C">
            <w:pPr>
              <w:jc w:val="center"/>
            </w:pPr>
            <w:r w:rsidRPr="007C51D6">
              <w:rPr>
                <w:color w:val="000000"/>
                <w:sz w:val="20"/>
                <w:szCs w:val="20"/>
              </w:rPr>
              <w:t>нет данных</w:t>
            </w:r>
          </w:p>
        </w:tc>
      </w:tr>
      <w:tr w:rsidR="008A139C" w:rsidRPr="007C51D6" w:rsidTr="00DF139B">
        <w:trPr>
          <w:trHeight w:val="20"/>
        </w:trPr>
        <w:tc>
          <w:tcPr>
            <w:tcW w:w="3681" w:type="dxa"/>
            <w:shd w:val="clear" w:color="auto" w:fill="auto"/>
            <w:noWrap/>
            <w:hideMark/>
          </w:tcPr>
          <w:p w:rsidR="008A139C" w:rsidRPr="007C51D6" w:rsidRDefault="008A139C" w:rsidP="008A139C">
            <w:pPr>
              <w:autoSpaceDE/>
              <w:autoSpaceDN/>
              <w:adjustRightInd/>
              <w:jc w:val="both"/>
              <w:rPr>
                <w:color w:val="000000"/>
                <w:sz w:val="20"/>
                <w:szCs w:val="20"/>
              </w:rPr>
            </w:pPr>
            <w:r w:rsidRPr="007C51D6">
              <w:rPr>
                <w:color w:val="000000"/>
                <w:sz w:val="20"/>
                <w:szCs w:val="20"/>
              </w:rPr>
              <w:t>прочие локализации</w:t>
            </w:r>
          </w:p>
        </w:tc>
        <w:tc>
          <w:tcPr>
            <w:tcW w:w="1256" w:type="dxa"/>
            <w:shd w:val="clear" w:color="auto" w:fill="auto"/>
            <w:noWrap/>
            <w:vAlign w:val="center"/>
          </w:tcPr>
          <w:p w:rsidR="008A139C" w:rsidRPr="007C51D6" w:rsidRDefault="008A139C" w:rsidP="008A139C">
            <w:pPr>
              <w:jc w:val="center"/>
              <w:rPr>
                <w:color w:val="000000"/>
                <w:sz w:val="20"/>
                <w:szCs w:val="20"/>
              </w:rPr>
            </w:pPr>
            <w:r w:rsidRPr="007C51D6">
              <w:rPr>
                <w:color w:val="000000"/>
                <w:sz w:val="20"/>
                <w:szCs w:val="20"/>
              </w:rPr>
              <w:t>169</w:t>
            </w:r>
          </w:p>
        </w:tc>
        <w:tc>
          <w:tcPr>
            <w:tcW w:w="1275" w:type="dxa"/>
            <w:shd w:val="clear" w:color="auto" w:fill="auto"/>
            <w:noWrap/>
            <w:vAlign w:val="center"/>
          </w:tcPr>
          <w:p w:rsidR="008A139C" w:rsidRPr="007C51D6" w:rsidRDefault="008A139C" w:rsidP="008A139C">
            <w:pPr>
              <w:jc w:val="center"/>
              <w:rPr>
                <w:color w:val="000000"/>
                <w:sz w:val="20"/>
                <w:szCs w:val="20"/>
              </w:rPr>
            </w:pPr>
            <w:r w:rsidRPr="007C51D6">
              <w:rPr>
                <w:color w:val="000000"/>
                <w:sz w:val="20"/>
                <w:szCs w:val="20"/>
              </w:rPr>
              <w:t>1220</w:t>
            </w:r>
          </w:p>
        </w:tc>
        <w:tc>
          <w:tcPr>
            <w:tcW w:w="1276" w:type="dxa"/>
            <w:shd w:val="clear" w:color="auto" w:fill="auto"/>
            <w:noWrap/>
            <w:vAlign w:val="center"/>
          </w:tcPr>
          <w:p w:rsidR="008A139C" w:rsidRPr="007C51D6" w:rsidRDefault="008A139C" w:rsidP="008A139C">
            <w:pPr>
              <w:jc w:val="center"/>
              <w:rPr>
                <w:color w:val="000000"/>
                <w:sz w:val="20"/>
                <w:szCs w:val="20"/>
              </w:rPr>
            </w:pPr>
            <w:r w:rsidRPr="007C51D6">
              <w:rPr>
                <w:color w:val="000000"/>
                <w:sz w:val="20"/>
                <w:szCs w:val="20"/>
              </w:rPr>
              <w:t>13.85</w:t>
            </w:r>
          </w:p>
        </w:tc>
        <w:tc>
          <w:tcPr>
            <w:tcW w:w="1276" w:type="dxa"/>
          </w:tcPr>
          <w:p w:rsidR="008A139C" w:rsidRPr="007C51D6" w:rsidRDefault="008A139C" w:rsidP="008A139C">
            <w:pPr>
              <w:jc w:val="center"/>
              <w:rPr>
                <w:color w:val="000000"/>
                <w:sz w:val="20"/>
                <w:szCs w:val="20"/>
              </w:rPr>
            </w:pPr>
            <w:r w:rsidRPr="007C51D6">
              <w:rPr>
                <w:color w:val="000000"/>
                <w:sz w:val="20"/>
                <w:szCs w:val="20"/>
              </w:rPr>
              <w:t>153</w:t>
            </w:r>
          </w:p>
        </w:tc>
        <w:tc>
          <w:tcPr>
            <w:tcW w:w="1276" w:type="dxa"/>
          </w:tcPr>
          <w:p w:rsidR="008A139C" w:rsidRPr="007C51D6" w:rsidRDefault="008A139C" w:rsidP="008A139C">
            <w:pPr>
              <w:jc w:val="center"/>
              <w:rPr>
                <w:color w:val="000000"/>
                <w:sz w:val="20"/>
                <w:szCs w:val="20"/>
              </w:rPr>
            </w:pPr>
            <w:r w:rsidRPr="007C51D6">
              <w:rPr>
                <w:color w:val="000000"/>
                <w:sz w:val="20"/>
                <w:szCs w:val="20"/>
              </w:rPr>
              <w:t>573</w:t>
            </w:r>
          </w:p>
        </w:tc>
        <w:tc>
          <w:tcPr>
            <w:tcW w:w="1275" w:type="dxa"/>
          </w:tcPr>
          <w:p w:rsidR="008A139C" w:rsidRPr="007C51D6" w:rsidRDefault="008A139C" w:rsidP="008A139C">
            <w:pPr>
              <w:jc w:val="center"/>
              <w:rPr>
                <w:color w:val="000000"/>
                <w:sz w:val="20"/>
                <w:szCs w:val="20"/>
              </w:rPr>
            </w:pPr>
            <w:r w:rsidRPr="007C51D6">
              <w:rPr>
                <w:color w:val="000000"/>
                <w:sz w:val="20"/>
                <w:szCs w:val="20"/>
              </w:rPr>
              <w:t>26,70</w:t>
            </w:r>
          </w:p>
        </w:tc>
        <w:tc>
          <w:tcPr>
            <w:tcW w:w="1276" w:type="dxa"/>
            <w:vAlign w:val="center"/>
          </w:tcPr>
          <w:p w:rsidR="008A139C" w:rsidRPr="007C51D6" w:rsidRDefault="008A139C" w:rsidP="008A139C">
            <w:pPr>
              <w:jc w:val="center"/>
              <w:rPr>
                <w:color w:val="000000"/>
                <w:sz w:val="20"/>
                <w:szCs w:val="20"/>
              </w:rPr>
            </w:pPr>
            <w:r w:rsidRPr="007C51D6">
              <w:rPr>
                <w:color w:val="000000"/>
                <w:sz w:val="20"/>
                <w:szCs w:val="20"/>
              </w:rPr>
              <w:t>152</w:t>
            </w:r>
          </w:p>
        </w:tc>
        <w:tc>
          <w:tcPr>
            <w:tcW w:w="1276" w:type="dxa"/>
          </w:tcPr>
          <w:p w:rsidR="008A139C" w:rsidRPr="007C51D6" w:rsidRDefault="008A139C" w:rsidP="008A139C">
            <w:r w:rsidRPr="007C51D6">
              <w:rPr>
                <w:color w:val="000000"/>
                <w:sz w:val="20"/>
                <w:szCs w:val="20"/>
              </w:rPr>
              <w:t>нет данных</w:t>
            </w:r>
          </w:p>
        </w:tc>
        <w:tc>
          <w:tcPr>
            <w:tcW w:w="1276" w:type="dxa"/>
          </w:tcPr>
          <w:p w:rsidR="008A139C" w:rsidRPr="007C51D6" w:rsidRDefault="008A139C" w:rsidP="008A139C">
            <w:r w:rsidRPr="007C51D6">
              <w:rPr>
                <w:color w:val="000000"/>
                <w:sz w:val="20"/>
                <w:szCs w:val="20"/>
              </w:rPr>
              <w:t>нет данных</w:t>
            </w:r>
          </w:p>
        </w:tc>
      </w:tr>
    </w:tbl>
    <w:p w:rsidR="001D71F6" w:rsidRPr="007C51D6" w:rsidRDefault="001D71F6">
      <w:pPr>
        <w:rPr>
          <w:sz w:val="2"/>
          <w:szCs w:val="2"/>
        </w:rPr>
      </w:pPr>
    </w:p>
    <w:p w:rsidR="0051702C" w:rsidRPr="007C51D6" w:rsidRDefault="0051702C" w:rsidP="001D3F2C">
      <w:pPr>
        <w:autoSpaceDE/>
        <w:autoSpaceDN/>
        <w:adjustRightInd/>
        <w:rPr>
          <w:rFonts w:eastAsia="Arial"/>
          <w:sz w:val="20"/>
          <w:szCs w:val="20"/>
        </w:rPr>
      </w:pPr>
    </w:p>
    <w:p w:rsidR="001D3F2C" w:rsidRPr="007C51D6" w:rsidRDefault="001E413C" w:rsidP="004A6001">
      <w:pPr>
        <w:autoSpaceDE/>
        <w:autoSpaceDN/>
        <w:adjustRightInd/>
        <w:ind w:firstLine="709"/>
        <w:rPr>
          <w:rFonts w:eastAsia="Arial"/>
          <w:sz w:val="28"/>
          <w:szCs w:val="28"/>
        </w:rPr>
      </w:pPr>
      <w:r w:rsidRPr="007C51D6">
        <w:rPr>
          <w:rFonts w:eastAsia="Arial"/>
          <w:sz w:val="20"/>
          <w:szCs w:val="20"/>
        </w:rPr>
        <w:t>*</w:t>
      </w:r>
      <w:r w:rsidR="001D3F2C" w:rsidRPr="007C51D6">
        <w:rPr>
          <w:rFonts w:eastAsia="Arial"/>
          <w:sz w:val="20"/>
          <w:szCs w:val="20"/>
        </w:rPr>
        <w:t>Представлены оперативные данные</w:t>
      </w:r>
      <w:r w:rsidR="001D71F6" w:rsidRPr="007C51D6">
        <w:rPr>
          <w:rFonts w:eastAsia="Arial"/>
          <w:sz w:val="20"/>
          <w:szCs w:val="20"/>
        </w:rPr>
        <w:t>.</w:t>
      </w:r>
    </w:p>
    <w:p w:rsidR="0002277E" w:rsidRPr="007C51D6" w:rsidRDefault="0002277E" w:rsidP="00813AD2">
      <w:pPr>
        <w:autoSpaceDE/>
        <w:autoSpaceDN/>
        <w:adjustRightInd/>
        <w:ind w:left="6373" w:firstLine="709"/>
        <w:jc w:val="right"/>
        <w:rPr>
          <w:rFonts w:eastAsia="Arial"/>
          <w:szCs w:val="28"/>
        </w:rPr>
      </w:pPr>
    </w:p>
    <w:p w:rsidR="00DD05CA" w:rsidRPr="007C51D6" w:rsidRDefault="00DD05CA" w:rsidP="00DD05CA">
      <w:pPr>
        <w:autoSpaceDE/>
        <w:autoSpaceDN/>
        <w:adjustRightInd/>
        <w:ind w:firstLine="709"/>
        <w:jc w:val="both"/>
        <w:rPr>
          <w:rFonts w:eastAsia="Arial"/>
          <w:sz w:val="28"/>
          <w:szCs w:val="28"/>
        </w:rPr>
      </w:pPr>
      <w:r w:rsidRPr="007C51D6">
        <w:rPr>
          <w:rFonts w:eastAsia="Arial"/>
          <w:sz w:val="28"/>
          <w:szCs w:val="28"/>
        </w:rPr>
        <w:t xml:space="preserve">В 2024 году зарегистрирован рост показателя </w:t>
      </w:r>
      <w:r w:rsidR="002F7358" w:rsidRPr="007C51D6">
        <w:rPr>
          <w:rFonts w:eastAsia="Arial"/>
          <w:sz w:val="28"/>
          <w:szCs w:val="28"/>
        </w:rPr>
        <w:t>«</w:t>
      </w:r>
      <w:r w:rsidR="004A6001" w:rsidRPr="007C51D6">
        <w:rPr>
          <w:rFonts w:eastAsia="Arial"/>
          <w:sz w:val="28"/>
          <w:szCs w:val="28"/>
        </w:rPr>
        <w:t>Д</w:t>
      </w:r>
      <w:r w:rsidRPr="007C51D6">
        <w:rPr>
          <w:rFonts w:eastAsia="Arial"/>
          <w:sz w:val="28"/>
          <w:szCs w:val="28"/>
        </w:rPr>
        <w:t>оля пациентов, умерших от ЗНО и не состоявших на учете в онкологических учреждениях, от общего числа пациентов, умерших от ЗНО</w:t>
      </w:r>
      <w:r w:rsidR="002F7358" w:rsidRPr="007C51D6">
        <w:rPr>
          <w:rFonts w:eastAsia="Arial"/>
          <w:sz w:val="28"/>
          <w:szCs w:val="28"/>
        </w:rPr>
        <w:t>»</w:t>
      </w:r>
      <w:r w:rsidRPr="007C51D6">
        <w:rPr>
          <w:rFonts w:eastAsia="Arial"/>
          <w:sz w:val="28"/>
          <w:szCs w:val="28"/>
        </w:rPr>
        <w:t xml:space="preserve">. </w:t>
      </w:r>
      <w:r w:rsidR="004A6001" w:rsidRPr="007C51D6">
        <w:rPr>
          <w:rFonts w:eastAsia="Arial"/>
          <w:sz w:val="28"/>
          <w:szCs w:val="28"/>
        </w:rPr>
        <w:t xml:space="preserve">Рост </w:t>
      </w:r>
      <w:r w:rsidRPr="007C51D6">
        <w:rPr>
          <w:rFonts w:eastAsia="Arial"/>
          <w:sz w:val="28"/>
          <w:szCs w:val="28"/>
        </w:rPr>
        <w:t xml:space="preserve">этого показателя зарегистрирован при ЗНО глотки, полости рта, </w:t>
      </w:r>
      <w:r w:rsidR="0043783B" w:rsidRPr="007C51D6">
        <w:rPr>
          <w:rFonts w:eastAsia="Arial"/>
          <w:sz w:val="28"/>
          <w:szCs w:val="28"/>
        </w:rPr>
        <w:t xml:space="preserve">пищевода, </w:t>
      </w:r>
      <w:r w:rsidR="0043783B" w:rsidRPr="007C51D6">
        <w:rPr>
          <w:color w:val="000000"/>
          <w:sz w:val="28"/>
          <w:szCs w:val="28"/>
        </w:rPr>
        <w:t xml:space="preserve">печени и внутрипеченочных желчных протоков, </w:t>
      </w:r>
      <w:r w:rsidRPr="007C51D6">
        <w:rPr>
          <w:color w:val="000000"/>
          <w:sz w:val="28"/>
          <w:szCs w:val="28"/>
        </w:rPr>
        <w:t xml:space="preserve">поджелудочной железы, трахеи, бронхов, легкого, желудка, </w:t>
      </w:r>
      <w:r w:rsidR="0043783B" w:rsidRPr="007C51D6">
        <w:rPr>
          <w:color w:val="000000"/>
          <w:sz w:val="28"/>
          <w:szCs w:val="28"/>
        </w:rPr>
        <w:t xml:space="preserve">ободочной кишки, </w:t>
      </w:r>
      <w:r w:rsidRPr="007C51D6">
        <w:rPr>
          <w:color w:val="000000"/>
          <w:sz w:val="28"/>
          <w:szCs w:val="28"/>
        </w:rPr>
        <w:t xml:space="preserve">прямой кишки, ректосигмоидного соединения, ануса, костей и суставных хрящей, молочной железы, </w:t>
      </w:r>
      <w:r w:rsidR="001A722D" w:rsidRPr="007C51D6">
        <w:rPr>
          <w:color w:val="000000"/>
          <w:sz w:val="28"/>
          <w:szCs w:val="28"/>
        </w:rPr>
        <w:t xml:space="preserve">почки, мочевого пузыря, </w:t>
      </w:r>
      <w:r w:rsidRPr="007C51D6">
        <w:rPr>
          <w:color w:val="000000"/>
          <w:sz w:val="28"/>
          <w:szCs w:val="28"/>
        </w:rPr>
        <w:t xml:space="preserve">предстательной железы, щитовидной железы, </w:t>
      </w:r>
      <w:r w:rsidR="001A722D" w:rsidRPr="007C51D6">
        <w:rPr>
          <w:color w:val="000000"/>
          <w:sz w:val="28"/>
          <w:szCs w:val="28"/>
        </w:rPr>
        <w:t xml:space="preserve">яичника, </w:t>
      </w:r>
      <w:r w:rsidRPr="007C51D6">
        <w:rPr>
          <w:color w:val="000000"/>
          <w:sz w:val="28"/>
          <w:szCs w:val="28"/>
        </w:rPr>
        <w:t>тела матки, раке кожи</w:t>
      </w:r>
      <w:r w:rsidR="00CC04B7" w:rsidRPr="007C51D6">
        <w:rPr>
          <w:color w:val="000000"/>
          <w:sz w:val="28"/>
          <w:szCs w:val="28"/>
        </w:rPr>
        <w:t xml:space="preserve"> (таблица 12.1)</w:t>
      </w:r>
      <w:r w:rsidRPr="007C51D6">
        <w:rPr>
          <w:color w:val="000000"/>
          <w:sz w:val="28"/>
          <w:szCs w:val="28"/>
        </w:rPr>
        <w:t>.</w:t>
      </w:r>
    </w:p>
    <w:p w:rsidR="00DD05CA" w:rsidRPr="007C51D6" w:rsidRDefault="00DD05CA" w:rsidP="00813AD2">
      <w:pPr>
        <w:autoSpaceDE/>
        <w:autoSpaceDN/>
        <w:adjustRightInd/>
        <w:ind w:left="6373" w:firstLine="709"/>
        <w:jc w:val="right"/>
        <w:rPr>
          <w:rFonts w:eastAsia="Arial"/>
          <w:szCs w:val="28"/>
        </w:rPr>
      </w:pPr>
    </w:p>
    <w:p w:rsidR="004D46BE" w:rsidRPr="007C51D6" w:rsidRDefault="004D46BE" w:rsidP="004D46BE">
      <w:pPr>
        <w:autoSpaceDE/>
        <w:autoSpaceDN/>
        <w:adjustRightInd/>
        <w:ind w:left="6372" w:firstLine="708"/>
        <w:jc w:val="right"/>
        <w:rPr>
          <w:rFonts w:eastAsia="Arial"/>
          <w:sz w:val="28"/>
          <w:szCs w:val="28"/>
        </w:rPr>
      </w:pPr>
      <w:r w:rsidRPr="007C51D6">
        <w:rPr>
          <w:rFonts w:eastAsia="Arial"/>
          <w:sz w:val="28"/>
          <w:szCs w:val="28"/>
        </w:rPr>
        <w:t xml:space="preserve">Таблица </w:t>
      </w:r>
      <w:r w:rsidR="0046074A" w:rsidRPr="007C51D6">
        <w:rPr>
          <w:rFonts w:eastAsia="Arial"/>
          <w:sz w:val="28"/>
          <w:szCs w:val="28"/>
        </w:rPr>
        <w:t>1</w:t>
      </w:r>
      <w:r w:rsidR="00CB2704" w:rsidRPr="007C51D6">
        <w:rPr>
          <w:rFonts w:eastAsia="Arial"/>
          <w:sz w:val="28"/>
          <w:szCs w:val="28"/>
        </w:rPr>
        <w:t>3</w:t>
      </w:r>
    </w:p>
    <w:p w:rsidR="004D46BE" w:rsidRPr="007C51D6" w:rsidRDefault="004D46BE" w:rsidP="00813AD2">
      <w:pPr>
        <w:autoSpaceDE/>
        <w:autoSpaceDN/>
        <w:adjustRightInd/>
        <w:ind w:left="6373" w:firstLine="709"/>
        <w:jc w:val="right"/>
        <w:rPr>
          <w:rFonts w:eastAsia="Arial"/>
          <w:sz w:val="28"/>
          <w:szCs w:val="28"/>
        </w:rPr>
      </w:pPr>
    </w:p>
    <w:p w:rsidR="004D46BE" w:rsidRPr="007C51D6" w:rsidRDefault="004D46BE" w:rsidP="004D46BE">
      <w:pPr>
        <w:autoSpaceDE/>
        <w:autoSpaceDN/>
        <w:adjustRightInd/>
        <w:jc w:val="center"/>
        <w:rPr>
          <w:rFonts w:eastAsia="Arial"/>
          <w:sz w:val="28"/>
          <w:szCs w:val="28"/>
        </w:rPr>
      </w:pPr>
      <w:r w:rsidRPr="007C51D6">
        <w:rPr>
          <w:rFonts w:eastAsia="Arial"/>
          <w:sz w:val="28"/>
          <w:szCs w:val="28"/>
        </w:rPr>
        <w:t xml:space="preserve">Динамика показателя </w:t>
      </w:r>
      <w:r w:rsidR="002F7358" w:rsidRPr="007C51D6">
        <w:rPr>
          <w:rFonts w:eastAsia="Arial"/>
          <w:sz w:val="28"/>
          <w:szCs w:val="28"/>
        </w:rPr>
        <w:t>«</w:t>
      </w:r>
      <w:r w:rsidRPr="007C51D6">
        <w:rPr>
          <w:rFonts w:eastAsia="Arial"/>
          <w:sz w:val="28"/>
          <w:szCs w:val="28"/>
        </w:rPr>
        <w:t xml:space="preserve">Летальность пациентов на </w:t>
      </w:r>
      <w:r w:rsidR="004169FC" w:rsidRPr="007C51D6">
        <w:rPr>
          <w:rFonts w:eastAsia="Arial"/>
          <w:sz w:val="28"/>
          <w:szCs w:val="28"/>
        </w:rPr>
        <w:t>первом</w:t>
      </w:r>
      <w:r w:rsidRPr="007C51D6">
        <w:rPr>
          <w:rFonts w:eastAsia="Arial"/>
          <w:sz w:val="28"/>
          <w:szCs w:val="28"/>
        </w:rPr>
        <w:t xml:space="preserve"> году жизни с момента установления диагноза</w:t>
      </w:r>
      <w:r w:rsidR="002F7358" w:rsidRPr="007C51D6">
        <w:rPr>
          <w:rFonts w:eastAsia="Arial"/>
          <w:sz w:val="28"/>
          <w:szCs w:val="28"/>
        </w:rPr>
        <w:t>»</w:t>
      </w:r>
    </w:p>
    <w:p w:rsidR="004D46BE" w:rsidRPr="007C51D6" w:rsidRDefault="004D46BE" w:rsidP="004D46BE">
      <w:pPr>
        <w:autoSpaceDE/>
        <w:autoSpaceDN/>
        <w:adjustRightInd/>
        <w:jc w:val="center"/>
        <w:rPr>
          <w:rFonts w:eastAsia="Arial"/>
          <w:sz w:val="28"/>
          <w:szCs w:val="28"/>
        </w:rPr>
      </w:pPr>
      <w:r w:rsidRPr="007C51D6">
        <w:rPr>
          <w:rFonts w:eastAsia="Arial"/>
          <w:sz w:val="28"/>
          <w:szCs w:val="28"/>
        </w:rPr>
        <w:t>в муниципальных образованиях Республики Татарстан в 201</w:t>
      </w:r>
      <w:r w:rsidR="00F602D4" w:rsidRPr="007C51D6">
        <w:rPr>
          <w:rFonts w:eastAsia="Arial"/>
          <w:sz w:val="28"/>
          <w:szCs w:val="28"/>
        </w:rPr>
        <w:t>6</w:t>
      </w:r>
      <w:r w:rsidRPr="007C51D6">
        <w:rPr>
          <w:rFonts w:eastAsia="Arial"/>
          <w:sz w:val="28"/>
          <w:szCs w:val="28"/>
        </w:rPr>
        <w:t xml:space="preserve"> – 202</w:t>
      </w:r>
      <w:r w:rsidR="00F602D4" w:rsidRPr="007C51D6">
        <w:rPr>
          <w:rFonts w:eastAsia="Arial"/>
          <w:sz w:val="28"/>
          <w:szCs w:val="28"/>
        </w:rPr>
        <w:t>5</w:t>
      </w:r>
      <w:r w:rsidRPr="007C51D6">
        <w:rPr>
          <w:rFonts w:eastAsia="Arial"/>
          <w:sz w:val="28"/>
          <w:szCs w:val="28"/>
        </w:rPr>
        <w:t xml:space="preserve"> годах </w:t>
      </w:r>
    </w:p>
    <w:p w:rsidR="0028241C" w:rsidRPr="007C51D6" w:rsidRDefault="0028241C" w:rsidP="004D46BE">
      <w:pPr>
        <w:autoSpaceDE/>
        <w:autoSpaceDN/>
        <w:adjustRightInd/>
        <w:spacing w:line="230" w:lineRule="auto"/>
        <w:rPr>
          <w:rFonts w:eastAsia="Arial"/>
          <w:szCs w:val="28"/>
        </w:rPr>
      </w:pPr>
    </w:p>
    <w:p w:rsidR="004A6001" w:rsidRDefault="004A6001" w:rsidP="004A6001">
      <w:pPr>
        <w:autoSpaceDE/>
        <w:autoSpaceDN/>
        <w:adjustRightInd/>
        <w:spacing w:line="230" w:lineRule="auto"/>
        <w:jc w:val="right"/>
        <w:rPr>
          <w:rFonts w:eastAsia="Arial"/>
          <w:sz w:val="20"/>
          <w:szCs w:val="20"/>
        </w:rPr>
      </w:pPr>
      <w:r w:rsidRPr="007C51D6">
        <w:rPr>
          <w:rFonts w:eastAsia="Arial"/>
          <w:sz w:val="20"/>
          <w:szCs w:val="20"/>
        </w:rPr>
        <w:t>(процентов)</w:t>
      </w:r>
    </w:p>
    <w:tbl>
      <w:tblPr>
        <w:tblW w:w="150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1134"/>
        <w:gridCol w:w="1012"/>
        <w:gridCol w:w="1012"/>
        <w:gridCol w:w="1011"/>
        <w:gridCol w:w="1012"/>
        <w:gridCol w:w="1012"/>
        <w:gridCol w:w="1109"/>
        <w:gridCol w:w="1103"/>
        <w:gridCol w:w="1077"/>
        <w:gridCol w:w="1077"/>
      </w:tblGrid>
      <w:tr w:rsidR="0028241C" w:rsidRPr="007C51D6" w:rsidTr="0028241C">
        <w:trPr>
          <w:trHeight w:val="20"/>
        </w:trPr>
        <w:tc>
          <w:tcPr>
            <w:tcW w:w="4531" w:type="dxa"/>
            <w:shd w:val="clear" w:color="auto" w:fill="auto"/>
          </w:tcPr>
          <w:p w:rsidR="0028241C" w:rsidRPr="007C51D6" w:rsidRDefault="0028241C" w:rsidP="00DC67CB">
            <w:pPr>
              <w:autoSpaceDE/>
              <w:autoSpaceDN/>
              <w:adjustRightInd/>
              <w:jc w:val="center"/>
              <w:rPr>
                <w:color w:val="000000"/>
                <w:sz w:val="20"/>
                <w:szCs w:val="20"/>
              </w:rPr>
            </w:pPr>
            <w:r w:rsidRPr="007C51D6">
              <w:rPr>
                <w:color w:val="000000"/>
                <w:sz w:val="20"/>
                <w:szCs w:val="20"/>
              </w:rPr>
              <w:t xml:space="preserve">Наименование муниципальных   районов </w:t>
            </w:r>
          </w:p>
          <w:p w:rsidR="0028241C" w:rsidRPr="007C51D6" w:rsidRDefault="0028241C" w:rsidP="00DC67CB">
            <w:pPr>
              <w:autoSpaceDE/>
              <w:autoSpaceDN/>
              <w:adjustRightInd/>
              <w:jc w:val="center"/>
              <w:rPr>
                <w:color w:val="000000"/>
                <w:sz w:val="20"/>
                <w:szCs w:val="20"/>
              </w:rPr>
            </w:pPr>
            <w:r w:rsidRPr="007C51D6">
              <w:rPr>
                <w:color w:val="000000"/>
                <w:sz w:val="20"/>
                <w:szCs w:val="20"/>
              </w:rPr>
              <w:t>и городских округов</w:t>
            </w:r>
          </w:p>
        </w:tc>
        <w:tc>
          <w:tcPr>
            <w:tcW w:w="1134" w:type="dxa"/>
            <w:shd w:val="clear" w:color="auto" w:fill="auto"/>
          </w:tcPr>
          <w:p w:rsidR="0028241C" w:rsidRPr="007C51D6" w:rsidRDefault="0028241C" w:rsidP="00DC67CB">
            <w:pPr>
              <w:autoSpaceDE/>
              <w:autoSpaceDN/>
              <w:adjustRightInd/>
              <w:jc w:val="center"/>
              <w:rPr>
                <w:color w:val="000000"/>
                <w:sz w:val="20"/>
                <w:szCs w:val="20"/>
              </w:rPr>
            </w:pPr>
            <w:r w:rsidRPr="007C51D6">
              <w:rPr>
                <w:rFonts w:eastAsia="Arial"/>
                <w:sz w:val="20"/>
                <w:szCs w:val="22"/>
              </w:rPr>
              <w:t>2016 г.</w:t>
            </w:r>
          </w:p>
        </w:tc>
        <w:tc>
          <w:tcPr>
            <w:tcW w:w="1012" w:type="dxa"/>
            <w:shd w:val="clear" w:color="auto" w:fill="auto"/>
          </w:tcPr>
          <w:p w:rsidR="0028241C" w:rsidRPr="007C51D6" w:rsidRDefault="0028241C" w:rsidP="00DC67CB">
            <w:pPr>
              <w:autoSpaceDE/>
              <w:autoSpaceDN/>
              <w:adjustRightInd/>
              <w:jc w:val="center"/>
              <w:rPr>
                <w:color w:val="000000"/>
                <w:sz w:val="20"/>
                <w:szCs w:val="20"/>
              </w:rPr>
            </w:pPr>
            <w:r w:rsidRPr="007C51D6">
              <w:rPr>
                <w:rFonts w:eastAsia="Arial"/>
                <w:sz w:val="20"/>
                <w:szCs w:val="22"/>
              </w:rPr>
              <w:t>2017 г.</w:t>
            </w:r>
          </w:p>
        </w:tc>
        <w:tc>
          <w:tcPr>
            <w:tcW w:w="1012" w:type="dxa"/>
            <w:shd w:val="clear" w:color="auto" w:fill="auto"/>
          </w:tcPr>
          <w:p w:rsidR="0028241C" w:rsidRPr="007C51D6" w:rsidRDefault="0028241C" w:rsidP="00DC67CB">
            <w:pPr>
              <w:autoSpaceDE/>
              <w:autoSpaceDN/>
              <w:adjustRightInd/>
              <w:jc w:val="center"/>
              <w:rPr>
                <w:color w:val="000000"/>
                <w:sz w:val="20"/>
                <w:szCs w:val="20"/>
              </w:rPr>
            </w:pPr>
            <w:r w:rsidRPr="007C51D6">
              <w:rPr>
                <w:rFonts w:eastAsia="Arial"/>
                <w:sz w:val="20"/>
                <w:szCs w:val="22"/>
              </w:rPr>
              <w:t>2018 г.</w:t>
            </w:r>
          </w:p>
        </w:tc>
        <w:tc>
          <w:tcPr>
            <w:tcW w:w="1011" w:type="dxa"/>
            <w:shd w:val="clear" w:color="auto" w:fill="auto"/>
          </w:tcPr>
          <w:p w:rsidR="0028241C" w:rsidRPr="007C51D6" w:rsidRDefault="0028241C" w:rsidP="00DC67CB">
            <w:pPr>
              <w:autoSpaceDE/>
              <w:autoSpaceDN/>
              <w:adjustRightInd/>
              <w:jc w:val="center"/>
              <w:rPr>
                <w:color w:val="000000"/>
                <w:sz w:val="20"/>
                <w:szCs w:val="20"/>
              </w:rPr>
            </w:pPr>
            <w:r w:rsidRPr="007C51D6">
              <w:rPr>
                <w:rFonts w:eastAsia="Arial"/>
                <w:sz w:val="20"/>
                <w:szCs w:val="22"/>
              </w:rPr>
              <w:t>2019 г.</w:t>
            </w:r>
          </w:p>
        </w:tc>
        <w:tc>
          <w:tcPr>
            <w:tcW w:w="1012" w:type="dxa"/>
            <w:shd w:val="clear" w:color="auto" w:fill="auto"/>
          </w:tcPr>
          <w:p w:rsidR="0028241C" w:rsidRPr="007C51D6" w:rsidRDefault="0028241C" w:rsidP="00DC67CB">
            <w:pPr>
              <w:autoSpaceDE/>
              <w:autoSpaceDN/>
              <w:adjustRightInd/>
              <w:jc w:val="center"/>
              <w:rPr>
                <w:color w:val="000000"/>
                <w:sz w:val="20"/>
                <w:szCs w:val="20"/>
              </w:rPr>
            </w:pPr>
            <w:r w:rsidRPr="007C51D6">
              <w:rPr>
                <w:rFonts w:eastAsia="Arial"/>
                <w:sz w:val="20"/>
                <w:szCs w:val="22"/>
              </w:rPr>
              <w:t>2020 г.</w:t>
            </w:r>
          </w:p>
        </w:tc>
        <w:tc>
          <w:tcPr>
            <w:tcW w:w="1012" w:type="dxa"/>
          </w:tcPr>
          <w:p w:rsidR="0028241C" w:rsidRPr="007C51D6" w:rsidRDefault="0028241C" w:rsidP="00DC67CB">
            <w:pPr>
              <w:autoSpaceDE/>
              <w:autoSpaceDN/>
              <w:adjustRightInd/>
              <w:jc w:val="center"/>
              <w:rPr>
                <w:color w:val="000000"/>
                <w:sz w:val="20"/>
                <w:szCs w:val="20"/>
              </w:rPr>
            </w:pPr>
            <w:r w:rsidRPr="007C51D6">
              <w:rPr>
                <w:rFonts w:eastAsia="Arial"/>
                <w:sz w:val="20"/>
                <w:szCs w:val="22"/>
              </w:rPr>
              <w:t>2021 г.</w:t>
            </w:r>
          </w:p>
        </w:tc>
        <w:tc>
          <w:tcPr>
            <w:tcW w:w="1109" w:type="dxa"/>
          </w:tcPr>
          <w:p w:rsidR="0028241C" w:rsidRPr="007C51D6" w:rsidRDefault="0028241C" w:rsidP="00DC67CB">
            <w:pPr>
              <w:autoSpaceDE/>
              <w:autoSpaceDN/>
              <w:adjustRightInd/>
              <w:jc w:val="center"/>
              <w:rPr>
                <w:color w:val="000000"/>
                <w:sz w:val="20"/>
                <w:szCs w:val="20"/>
              </w:rPr>
            </w:pPr>
            <w:r w:rsidRPr="007C51D6">
              <w:rPr>
                <w:rFonts w:eastAsia="Arial"/>
                <w:sz w:val="20"/>
                <w:szCs w:val="22"/>
              </w:rPr>
              <w:t>2022 г.</w:t>
            </w:r>
          </w:p>
        </w:tc>
        <w:tc>
          <w:tcPr>
            <w:tcW w:w="1103" w:type="dxa"/>
          </w:tcPr>
          <w:p w:rsidR="0028241C" w:rsidRPr="007C51D6" w:rsidRDefault="0028241C" w:rsidP="00DC67CB">
            <w:pPr>
              <w:autoSpaceDE/>
              <w:autoSpaceDN/>
              <w:adjustRightInd/>
              <w:jc w:val="center"/>
              <w:rPr>
                <w:rFonts w:eastAsia="Arial"/>
                <w:sz w:val="20"/>
                <w:szCs w:val="22"/>
              </w:rPr>
            </w:pPr>
            <w:r w:rsidRPr="007C51D6">
              <w:rPr>
                <w:rFonts w:eastAsia="Arial"/>
                <w:sz w:val="20"/>
                <w:szCs w:val="22"/>
              </w:rPr>
              <w:t>2023 г.</w:t>
            </w:r>
          </w:p>
        </w:tc>
        <w:tc>
          <w:tcPr>
            <w:tcW w:w="1077" w:type="dxa"/>
          </w:tcPr>
          <w:p w:rsidR="0028241C" w:rsidRPr="007C51D6" w:rsidRDefault="0028241C" w:rsidP="00DC67CB">
            <w:pPr>
              <w:autoSpaceDE/>
              <w:autoSpaceDN/>
              <w:adjustRightInd/>
              <w:jc w:val="center"/>
              <w:rPr>
                <w:rFonts w:eastAsia="Arial"/>
                <w:sz w:val="20"/>
                <w:szCs w:val="22"/>
              </w:rPr>
            </w:pPr>
            <w:r w:rsidRPr="007C51D6">
              <w:rPr>
                <w:rFonts w:eastAsia="Arial"/>
                <w:sz w:val="20"/>
                <w:szCs w:val="22"/>
              </w:rPr>
              <w:t>2024 г.</w:t>
            </w:r>
          </w:p>
        </w:tc>
        <w:tc>
          <w:tcPr>
            <w:tcW w:w="1077" w:type="dxa"/>
          </w:tcPr>
          <w:p w:rsidR="0028241C" w:rsidRPr="007C51D6" w:rsidRDefault="0028241C" w:rsidP="00DC67CB">
            <w:pPr>
              <w:autoSpaceDE/>
              <w:autoSpaceDN/>
              <w:adjustRightInd/>
              <w:jc w:val="center"/>
              <w:rPr>
                <w:rFonts w:eastAsia="Arial"/>
                <w:sz w:val="20"/>
                <w:szCs w:val="22"/>
              </w:rPr>
            </w:pPr>
            <w:r w:rsidRPr="007C51D6">
              <w:rPr>
                <w:rFonts w:eastAsia="Arial"/>
                <w:sz w:val="20"/>
                <w:szCs w:val="22"/>
              </w:rPr>
              <w:t>2025 г.*</w:t>
            </w:r>
          </w:p>
        </w:tc>
      </w:tr>
    </w:tbl>
    <w:p w:rsidR="0028241C" w:rsidRPr="007C51D6" w:rsidRDefault="0028241C" w:rsidP="0028241C">
      <w:pPr>
        <w:autoSpaceDE/>
        <w:autoSpaceDN/>
        <w:adjustRightInd/>
        <w:spacing w:line="72" w:lineRule="auto"/>
        <w:jc w:val="right"/>
        <w:rPr>
          <w:rFonts w:eastAsia="Arial"/>
          <w:sz w:val="20"/>
          <w:szCs w:val="20"/>
        </w:rPr>
      </w:pPr>
    </w:p>
    <w:tbl>
      <w:tblPr>
        <w:tblW w:w="150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1134"/>
        <w:gridCol w:w="1012"/>
        <w:gridCol w:w="1012"/>
        <w:gridCol w:w="1011"/>
        <w:gridCol w:w="1012"/>
        <w:gridCol w:w="1012"/>
        <w:gridCol w:w="1109"/>
        <w:gridCol w:w="1103"/>
        <w:gridCol w:w="1077"/>
        <w:gridCol w:w="1077"/>
      </w:tblGrid>
      <w:tr w:rsidR="00F602D4" w:rsidRPr="007C51D6" w:rsidTr="00F602D4">
        <w:trPr>
          <w:trHeight w:val="20"/>
          <w:tblHeader/>
        </w:trPr>
        <w:tc>
          <w:tcPr>
            <w:tcW w:w="4531" w:type="dxa"/>
            <w:shd w:val="clear" w:color="auto" w:fill="auto"/>
          </w:tcPr>
          <w:p w:rsidR="00F602D4" w:rsidRPr="007C51D6" w:rsidRDefault="00F602D4" w:rsidP="00F602D4">
            <w:pPr>
              <w:autoSpaceDE/>
              <w:autoSpaceDN/>
              <w:adjustRightInd/>
              <w:jc w:val="center"/>
              <w:rPr>
                <w:color w:val="000000"/>
                <w:sz w:val="20"/>
                <w:szCs w:val="20"/>
              </w:rPr>
            </w:pPr>
            <w:r w:rsidRPr="007C51D6">
              <w:rPr>
                <w:color w:val="000000"/>
                <w:sz w:val="20"/>
                <w:szCs w:val="20"/>
              </w:rPr>
              <w:t>1</w:t>
            </w:r>
          </w:p>
        </w:tc>
        <w:tc>
          <w:tcPr>
            <w:tcW w:w="1134" w:type="dxa"/>
            <w:shd w:val="clear" w:color="auto" w:fill="auto"/>
          </w:tcPr>
          <w:p w:rsidR="00F602D4" w:rsidRPr="007C51D6" w:rsidRDefault="00592896" w:rsidP="00592896">
            <w:pPr>
              <w:autoSpaceDE/>
              <w:autoSpaceDN/>
              <w:adjustRightInd/>
              <w:jc w:val="center"/>
              <w:rPr>
                <w:color w:val="000000"/>
                <w:sz w:val="20"/>
                <w:szCs w:val="20"/>
              </w:rPr>
            </w:pPr>
            <w:r w:rsidRPr="007C51D6">
              <w:rPr>
                <w:color w:val="000000"/>
                <w:sz w:val="20"/>
                <w:szCs w:val="20"/>
              </w:rPr>
              <w:t>2</w:t>
            </w:r>
          </w:p>
        </w:tc>
        <w:tc>
          <w:tcPr>
            <w:tcW w:w="1012" w:type="dxa"/>
            <w:shd w:val="clear" w:color="auto" w:fill="auto"/>
          </w:tcPr>
          <w:p w:rsidR="00F602D4" w:rsidRPr="007C51D6" w:rsidRDefault="00592896" w:rsidP="00592896">
            <w:pPr>
              <w:autoSpaceDE/>
              <w:autoSpaceDN/>
              <w:adjustRightInd/>
              <w:jc w:val="center"/>
              <w:rPr>
                <w:color w:val="000000"/>
                <w:sz w:val="20"/>
                <w:szCs w:val="20"/>
              </w:rPr>
            </w:pPr>
            <w:r w:rsidRPr="007C51D6">
              <w:rPr>
                <w:color w:val="000000"/>
                <w:sz w:val="20"/>
                <w:szCs w:val="20"/>
              </w:rPr>
              <w:t>3</w:t>
            </w:r>
          </w:p>
        </w:tc>
        <w:tc>
          <w:tcPr>
            <w:tcW w:w="1012" w:type="dxa"/>
            <w:shd w:val="clear" w:color="auto" w:fill="auto"/>
          </w:tcPr>
          <w:p w:rsidR="00F602D4" w:rsidRPr="007C51D6" w:rsidRDefault="00592896" w:rsidP="00592896">
            <w:pPr>
              <w:autoSpaceDE/>
              <w:autoSpaceDN/>
              <w:adjustRightInd/>
              <w:jc w:val="center"/>
              <w:rPr>
                <w:color w:val="000000"/>
                <w:sz w:val="20"/>
                <w:szCs w:val="20"/>
              </w:rPr>
            </w:pPr>
            <w:r w:rsidRPr="007C51D6">
              <w:rPr>
                <w:color w:val="000000"/>
                <w:sz w:val="20"/>
                <w:szCs w:val="20"/>
              </w:rPr>
              <w:t>4</w:t>
            </w:r>
          </w:p>
        </w:tc>
        <w:tc>
          <w:tcPr>
            <w:tcW w:w="1011" w:type="dxa"/>
            <w:shd w:val="clear" w:color="auto" w:fill="auto"/>
          </w:tcPr>
          <w:p w:rsidR="00F602D4" w:rsidRPr="007C51D6" w:rsidRDefault="00592896" w:rsidP="00592896">
            <w:pPr>
              <w:autoSpaceDE/>
              <w:autoSpaceDN/>
              <w:adjustRightInd/>
              <w:jc w:val="center"/>
              <w:rPr>
                <w:color w:val="000000"/>
                <w:sz w:val="20"/>
                <w:szCs w:val="20"/>
              </w:rPr>
            </w:pPr>
            <w:r w:rsidRPr="007C51D6">
              <w:rPr>
                <w:color w:val="000000"/>
                <w:sz w:val="20"/>
                <w:szCs w:val="20"/>
              </w:rPr>
              <w:t>5</w:t>
            </w:r>
          </w:p>
        </w:tc>
        <w:tc>
          <w:tcPr>
            <w:tcW w:w="1012" w:type="dxa"/>
            <w:shd w:val="clear" w:color="auto" w:fill="auto"/>
          </w:tcPr>
          <w:p w:rsidR="00F602D4" w:rsidRPr="007C51D6" w:rsidRDefault="00592896" w:rsidP="00592896">
            <w:pPr>
              <w:autoSpaceDE/>
              <w:autoSpaceDN/>
              <w:adjustRightInd/>
              <w:jc w:val="center"/>
              <w:rPr>
                <w:color w:val="000000"/>
                <w:sz w:val="20"/>
                <w:szCs w:val="20"/>
              </w:rPr>
            </w:pPr>
            <w:r w:rsidRPr="007C51D6">
              <w:rPr>
                <w:color w:val="000000"/>
                <w:sz w:val="20"/>
                <w:szCs w:val="20"/>
              </w:rPr>
              <w:t>6</w:t>
            </w:r>
          </w:p>
        </w:tc>
        <w:tc>
          <w:tcPr>
            <w:tcW w:w="1012" w:type="dxa"/>
          </w:tcPr>
          <w:p w:rsidR="00F602D4" w:rsidRPr="007C51D6" w:rsidRDefault="00592896" w:rsidP="00592896">
            <w:pPr>
              <w:autoSpaceDE/>
              <w:autoSpaceDN/>
              <w:adjustRightInd/>
              <w:jc w:val="center"/>
              <w:rPr>
                <w:color w:val="000000"/>
                <w:sz w:val="20"/>
                <w:szCs w:val="20"/>
              </w:rPr>
            </w:pPr>
            <w:r w:rsidRPr="007C51D6">
              <w:rPr>
                <w:color w:val="000000"/>
                <w:sz w:val="20"/>
                <w:szCs w:val="20"/>
              </w:rPr>
              <w:t>7</w:t>
            </w:r>
          </w:p>
        </w:tc>
        <w:tc>
          <w:tcPr>
            <w:tcW w:w="1109" w:type="dxa"/>
          </w:tcPr>
          <w:p w:rsidR="00F602D4" w:rsidRPr="007C51D6" w:rsidRDefault="00592896" w:rsidP="00592896">
            <w:pPr>
              <w:autoSpaceDE/>
              <w:autoSpaceDN/>
              <w:adjustRightInd/>
              <w:jc w:val="center"/>
              <w:rPr>
                <w:color w:val="000000"/>
                <w:sz w:val="20"/>
                <w:szCs w:val="22"/>
              </w:rPr>
            </w:pPr>
            <w:r w:rsidRPr="007C51D6">
              <w:rPr>
                <w:color w:val="000000"/>
                <w:sz w:val="20"/>
                <w:szCs w:val="22"/>
              </w:rPr>
              <w:t>8</w:t>
            </w:r>
          </w:p>
        </w:tc>
        <w:tc>
          <w:tcPr>
            <w:tcW w:w="1103" w:type="dxa"/>
          </w:tcPr>
          <w:p w:rsidR="00F602D4" w:rsidRPr="007C51D6" w:rsidRDefault="00592896" w:rsidP="00592896">
            <w:pPr>
              <w:autoSpaceDE/>
              <w:autoSpaceDN/>
              <w:adjustRightInd/>
              <w:jc w:val="center"/>
              <w:rPr>
                <w:color w:val="000000"/>
                <w:sz w:val="20"/>
                <w:szCs w:val="20"/>
              </w:rPr>
            </w:pPr>
            <w:r w:rsidRPr="007C51D6">
              <w:rPr>
                <w:color w:val="000000"/>
                <w:sz w:val="20"/>
                <w:szCs w:val="20"/>
              </w:rPr>
              <w:t>9</w:t>
            </w:r>
          </w:p>
        </w:tc>
        <w:tc>
          <w:tcPr>
            <w:tcW w:w="1077" w:type="dxa"/>
          </w:tcPr>
          <w:p w:rsidR="00F602D4" w:rsidRPr="007C51D6" w:rsidRDefault="00F602D4" w:rsidP="00592896">
            <w:pPr>
              <w:autoSpaceDE/>
              <w:autoSpaceDN/>
              <w:adjustRightInd/>
              <w:jc w:val="center"/>
              <w:rPr>
                <w:color w:val="000000"/>
                <w:sz w:val="20"/>
                <w:szCs w:val="20"/>
              </w:rPr>
            </w:pPr>
            <w:r w:rsidRPr="007C51D6">
              <w:rPr>
                <w:color w:val="000000"/>
                <w:sz w:val="20"/>
                <w:szCs w:val="20"/>
              </w:rPr>
              <w:t>1</w:t>
            </w:r>
            <w:r w:rsidR="00592896" w:rsidRPr="007C51D6">
              <w:rPr>
                <w:color w:val="000000"/>
                <w:sz w:val="20"/>
                <w:szCs w:val="20"/>
              </w:rPr>
              <w:t>0</w:t>
            </w:r>
          </w:p>
        </w:tc>
        <w:tc>
          <w:tcPr>
            <w:tcW w:w="1077" w:type="dxa"/>
          </w:tcPr>
          <w:p w:rsidR="00F602D4" w:rsidRPr="007C51D6" w:rsidRDefault="00592896" w:rsidP="00F602D4">
            <w:pPr>
              <w:autoSpaceDE/>
              <w:autoSpaceDN/>
              <w:adjustRightInd/>
              <w:jc w:val="center"/>
              <w:rPr>
                <w:color w:val="000000"/>
                <w:sz w:val="20"/>
                <w:szCs w:val="20"/>
              </w:rPr>
            </w:pPr>
            <w:r w:rsidRPr="007C51D6">
              <w:rPr>
                <w:color w:val="000000"/>
                <w:sz w:val="20"/>
                <w:szCs w:val="20"/>
              </w:rPr>
              <w:t>11</w:t>
            </w:r>
          </w:p>
        </w:tc>
      </w:tr>
      <w:tr w:rsidR="007541C1" w:rsidRPr="007C51D6" w:rsidTr="007541C1">
        <w:trPr>
          <w:trHeight w:val="20"/>
        </w:trPr>
        <w:tc>
          <w:tcPr>
            <w:tcW w:w="4531" w:type="dxa"/>
            <w:shd w:val="clear" w:color="auto" w:fill="auto"/>
            <w:hideMark/>
          </w:tcPr>
          <w:p w:rsidR="007541C1" w:rsidRPr="007C51D6" w:rsidRDefault="007541C1" w:rsidP="007541C1">
            <w:pPr>
              <w:autoSpaceDE/>
              <w:autoSpaceDN/>
              <w:adjustRightInd/>
              <w:rPr>
                <w:color w:val="000000"/>
                <w:sz w:val="20"/>
                <w:szCs w:val="20"/>
              </w:rPr>
            </w:pPr>
            <w:r w:rsidRPr="007C51D6">
              <w:rPr>
                <w:color w:val="000000"/>
                <w:sz w:val="20"/>
                <w:szCs w:val="20"/>
              </w:rPr>
              <w:t>Республика Татарстан</w:t>
            </w:r>
          </w:p>
        </w:tc>
        <w:tc>
          <w:tcPr>
            <w:tcW w:w="1134" w:type="dxa"/>
            <w:shd w:val="clear" w:color="auto" w:fill="auto"/>
          </w:tcPr>
          <w:p w:rsidR="007541C1" w:rsidRPr="007C51D6" w:rsidRDefault="007541C1" w:rsidP="007541C1">
            <w:pPr>
              <w:autoSpaceDE/>
              <w:autoSpaceDN/>
              <w:adjustRightInd/>
              <w:jc w:val="center"/>
              <w:rPr>
                <w:color w:val="000000"/>
                <w:sz w:val="20"/>
                <w:szCs w:val="20"/>
              </w:rPr>
            </w:pPr>
            <w:r w:rsidRPr="007C51D6">
              <w:rPr>
                <w:color w:val="000000"/>
                <w:sz w:val="20"/>
                <w:szCs w:val="20"/>
              </w:rPr>
              <w:t>26,9</w:t>
            </w:r>
          </w:p>
        </w:tc>
        <w:tc>
          <w:tcPr>
            <w:tcW w:w="1012" w:type="dxa"/>
            <w:shd w:val="clear" w:color="auto" w:fill="auto"/>
          </w:tcPr>
          <w:p w:rsidR="007541C1" w:rsidRPr="007C51D6" w:rsidRDefault="007541C1" w:rsidP="007541C1">
            <w:pPr>
              <w:autoSpaceDE/>
              <w:autoSpaceDN/>
              <w:adjustRightInd/>
              <w:jc w:val="center"/>
              <w:rPr>
                <w:color w:val="000000"/>
                <w:sz w:val="20"/>
                <w:szCs w:val="20"/>
              </w:rPr>
            </w:pPr>
            <w:r w:rsidRPr="007C51D6">
              <w:rPr>
                <w:color w:val="000000"/>
                <w:sz w:val="20"/>
                <w:szCs w:val="20"/>
              </w:rPr>
              <w:t>26,8</w:t>
            </w:r>
          </w:p>
        </w:tc>
        <w:tc>
          <w:tcPr>
            <w:tcW w:w="1012" w:type="dxa"/>
            <w:shd w:val="clear" w:color="auto" w:fill="auto"/>
          </w:tcPr>
          <w:p w:rsidR="007541C1" w:rsidRPr="007C51D6" w:rsidRDefault="007541C1" w:rsidP="007541C1">
            <w:pPr>
              <w:autoSpaceDE/>
              <w:autoSpaceDN/>
              <w:adjustRightInd/>
              <w:jc w:val="center"/>
              <w:rPr>
                <w:color w:val="000000"/>
                <w:sz w:val="20"/>
                <w:szCs w:val="20"/>
              </w:rPr>
            </w:pPr>
            <w:r w:rsidRPr="007C51D6">
              <w:rPr>
                <w:color w:val="000000"/>
                <w:sz w:val="20"/>
                <w:szCs w:val="20"/>
              </w:rPr>
              <w:t>25,1</w:t>
            </w:r>
          </w:p>
        </w:tc>
        <w:tc>
          <w:tcPr>
            <w:tcW w:w="1011" w:type="dxa"/>
            <w:shd w:val="clear" w:color="auto" w:fill="auto"/>
          </w:tcPr>
          <w:p w:rsidR="007541C1" w:rsidRPr="007C51D6" w:rsidRDefault="007541C1" w:rsidP="007541C1">
            <w:pPr>
              <w:autoSpaceDE/>
              <w:autoSpaceDN/>
              <w:adjustRightInd/>
              <w:jc w:val="center"/>
              <w:rPr>
                <w:color w:val="000000"/>
                <w:sz w:val="20"/>
                <w:szCs w:val="20"/>
              </w:rPr>
            </w:pPr>
            <w:r w:rsidRPr="007C51D6">
              <w:rPr>
                <w:color w:val="000000"/>
                <w:sz w:val="20"/>
                <w:szCs w:val="20"/>
              </w:rPr>
              <w:t>24,9</w:t>
            </w:r>
          </w:p>
        </w:tc>
        <w:tc>
          <w:tcPr>
            <w:tcW w:w="1012" w:type="dxa"/>
            <w:shd w:val="clear" w:color="auto" w:fill="auto"/>
          </w:tcPr>
          <w:p w:rsidR="007541C1" w:rsidRPr="007C51D6" w:rsidRDefault="007541C1" w:rsidP="007541C1">
            <w:pPr>
              <w:autoSpaceDE/>
              <w:autoSpaceDN/>
              <w:adjustRightInd/>
              <w:jc w:val="center"/>
              <w:rPr>
                <w:color w:val="000000"/>
                <w:sz w:val="20"/>
                <w:szCs w:val="20"/>
              </w:rPr>
            </w:pPr>
            <w:r w:rsidRPr="007C51D6">
              <w:rPr>
                <w:color w:val="000000"/>
                <w:sz w:val="20"/>
                <w:szCs w:val="20"/>
              </w:rPr>
              <w:t>22,3</w:t>
            </w:r>
          </w:p>
        </w:tc>
        <w:tc>
          <w:tcPr>
            <w:tcW w:w="1012" w:type="dxa"/>
          </w:tcPr>
          <w:p w:rsidR="007541C1" w:rsidRPr="007C51D6" w:rsidRDefault="007541C1" w:rsidP="007541C1">
            <w:pPr>
              <w:autoSpaceDE/>
              <w:autoSpaceDN/>
              <w:adjustRightInd/>
              <w:jc w:val="center"/>
              <w:rPr>
                <w:color w:val="000000"/>
                <w:sz w:val="20"/>
                <w:szCs w:val="20"/>
              </w:rPr>
            </w:pPr>
            <w:r w:rsidRPr="007C51D6">
              <w:rPr>
                <w:color w:val="000000"/>
                <w:sz w:val="20"/>
                <w:szCs w:val="20"/>
              </w:rPr>
              <w:t>21,5</w:t>
            </w:r>
          </w:p>
        </w:tc>
        <w:tc>
          <w:tcPr>
            <w:tcW w:w="1109" w:type="dxa"/>
          </w:tcPr>
          <w:p w:rsidR="007541C1" w:rsidRPr="007C51D6" w:rsidRDefault="007541C1" w:rsidP="007541C1">
            <w:pPr>
              <w:autoSpaceDE/>
              <w:autoSpaceDN/>
              <w:adjustRightInd/>
              <w:jc w:val="center"/>
              <w:rPr>
                <w:color w:val="000000"/>
                <w:sz w:val="20"/>
                <w:szCs w:val="20"/>
              </w:rPr>
            </w:pPr>
            <w:r w:rsidRPr="007C51D6">
              <w:rPr>
                <w:color w:val="000000"/>
                <w:sz w:val="20"/>
                <w:szCs w:val="20"/>
              </w:rPr>
              <w:t>19,3</w:t>
            </w:r>
          </w:p>
        </w:tc>
        <w:tc>
          <w:tcPr>
            <w:tcW w:w="1103" w:type="dxa"/>
          </w:tcPr>
          <w:p w:rsidR="007541C1" w:rsidRPr="007C51D6" w:rsidRDefault="007541C1" w:rsidP="007541C1">
            <w:pPr>
              <w:autoSpaceDE/>
              <w:autoSpaceDN/>
              <w:adjustRightInd/>
              <w:jc w:val="center"/>
              <w:rPr>
                <w:color w:val="000000"/>
                <w:sz w:val="20"/>
                <w:szCs w:val="20"/>
              </w:rPr>
            </w:pPr>
            <w:r w:rsidRPr="007C51D6">
              <w:rPr>
                <w:color w:val="000000"/>
                <w:sz w:val="20"/>
                <w:szCs w:val="20"/>
              </w:rPr>
              <w:t>19,2</w:t>
            </w:r>
          </w:p>
        </w:tc>
        <w:tc>
          <w:tcPr>
            <w:tcW w:w="1077" w:type="dxa"/>
          </w:tcPr>
          <w:p w:rsidR="007541C1" w:rsidRPr="007C51D6" w:rsidRDefault="007541C1" w:rsidP="007541C1">
            <w:pPr>
              <w:autoSpaceDE/>
              <w:autoSpaceDN/>
              <w:adjustRightInd/>
              <w:jc w:val="center"/>
              <w:rPr>
                <w:color w:val="000000"/>
                <w:sz w:val="20"/>
                <w:szCs w:val="20"/>
              </w:rPr>
            </w:pPr>
            <w:r w:rsidRPr="007C51D6">
              <w:rPr>
                <w:color w:val="000000"/>
                <w:sz w:val="20"/>
                <w:szCs w:val="20"/>
              </w:rPr>
              <w:t>19,1</w:t>
            </w:r>
          </w:p>
        </w:tc>
        <w:tc>
          <w:tcPr>
            <w:tcW w:w="1077" w:type="dxa"/>
            <w:vAlign w:val="center"/>
          </w:tcPr>
          <w:p w:rsidR="007541C1" w:rsidRPr="007C51D6" w:rsidRDefault="007541C1" w:rsidP="007541C1">
            <w:pPr>
              <w:widowControl/>
              <w:autoSpaceDE/>
              <w:autoSpaceDN/>
              <w:adjustRightInd/>
              <w:jc w:val="center"/>
              <w:rPr>
                <w:color w:val="000000"/>
                <w:sz w:val="20"/>
                <w:szCs w:val="20"/>
              </w:rPr>
            </w:pPr>
            <w:r w:rsidRPr="007C51D6">
              <w:rPr>
                <w:color w:val="000000"/>
                <w:sz w:val="20"/>
                <w:szCs w:val="20"/>
              </w:rPr>
              <w:t>17.9</w:t>
            </w:r>
          </w:p>
        </w:tc>
      </w:tr>
      <w:tr w:rsidR="007541C1" w:rsidRPr="007C51D6" w:rsidTr="007541C1">
        <w:trPr>
          <w:trHeight w:val="20"/>
        </w:trPr>
        <w:tc>
          <w:tcPr>
            <w:tcW w:w="4531" w:type="dxa"/>
            <w:shd w:val="clear" w:color="auto" w:fill="auto"/>
            <w:hideMark/>
          </w:tcPr>
          <w:p w:rsidR="007541C1" w:rsidRPr="007C51D6" w:rsidRDefault="007541C1" w:rsidP="007541C1">
            <w:pPr>
              <w:autoSpaceDE/>
              <w:autoSpaceDN/>
              <w:adjustRightInd/>
              <w:rPr>
                <w:color w:val="000000"/>
                <w:sz w:val="20"/>
                <w:szCs w:val="20"/>
              </w:rPr>
            </w:pPr>
            <w:r w:rsidRPr="007C51D6">
              <w:rPr>
                <w:color w:val="000000"/>
                <w:sz w:val="20"/>
                <w:szCs w:val="20"/>
              </w:rPr>
              <w:t>Агрызский</w:t>
            </w:r>
          </w:p>
        </w:tc>
        <w:tc>
          <w:tcPr>
            <w:tcW w:w="1134" w:type="dxa"/>
            <w:shd w:val="clear" w:color="auto" w:fill="auto"/>
            <w:vAlign w:val="center"/>
          </w:tcPr>
          <w:p w:rsidR="007541C1" w:rsidRPr="007C51D6" w:rsidRDefault="007541C1" w:rsidP="007541C1">
            <w:pPr>
              <w:jc w:val="center"/>
              <w:rPr>
                <w:color w:val="000000"/>
                <w:sz w:val="20"/>
                <w:szCs w:val="20"/>
              </w:rPr>
            </w:pPr>
            <w:r w:rsidRPr="007C51D6">
              <w:rPr>
                <w:color w:val="000000"/>
                <w:sz w:val="20"/>
                <w:szCs w:val="20"/>
              </w:rPr>
              <w:t>41,6</w:t>
            </w:r>
          </w:p>
        </w:tc>
        <w:tc>
          <w:tcPr>
            <w:tcW w:w="1012" w:type="dxa"/>
            <w:shd w:val="clear" w:color="auto" w:fill="auto"/>
            <w:vAlign w:val="center"/>
          </w:tcPr>
          <w:p w:rsidR="007541C1" w:rsidRPr="007C51D6" w:rsidRDefault="007541C1" w:rsidP="007541C1">
            <w:pPr>
              <w:jc w:val="center"/>
              <w:rPr>
                <w:color w:val="000000"/>
                <w:sz w:val="20"/>
                <w:szCs w:val="20"/>
              </w:rPr>
            </w:pPr>
            <w:r w:rsidRPr="007C51D6">
              <w:rPr>
                <w:color w:val="000000"/>
                <w:sz w:val="20"/>
                <w:szCs w:val="20"/>
              </w:rPr>
              <w:t>25,0</w:t>
            </w:r>
          </w:p>
        </w:tc>
        <w:tc>
          <w:tcPr>
            <w:tcW w:w="1012" w:type="dxa"/>
            <w:shd w:val="clear" w:color="auto" w:fill="auto"/>
            <w:vAlign w:val="center"/>
          </w:tcPr>
          <w:p w:rsidR="007541C1" w:rsidRPr="007C51D6" w:rsidRDefault="007541C1" w:rsidP="007541C1">
            <w:pPr>
              <w:jc w:val="center"/>
              <w:rPr>
                <w:color w:val="000000"/>
                <w:sz w:val="20"/>
                <w:szCs w:val="20"/>
              </w:rPr>
            </w:pPr>
            <w:r w:rsidRPr="007C51D6">
              <w:rPr>
                <w:color w:val="000000"/>
                <w:sz w:val="20"/>
                <w:szCs w:val="20"/>
              </w:rPr>
              <w:t>31,1</w:t>
            </w:r>
          </w:p>
        </w:tc>
        <w:tc>
          <w:tcPr>
            <w:tcW w:w="1011" w:type="dxa"/>
            <w:shd w:val="clear" w:color="auto" w:fill="auto"/>
            <w:vAlign w:val="center"/>
          </w:tcPr>
          <w:p w:rsidR="007541C1" w:rsidRPr="007C51D6" w:rsidRDefault="007541C1" w:rsidP="007541C1">
            <w:pPr>
              <w:autoSpaceDE/>
              <w:autoSpaceDN/>
              <w:adjustRightInd/>
              <w:jc w:val="center"/>
              <w:rPr>
                <w:color w:val="000000"/>
                <w:sz w:val="20"/>
                <w:szCs w:val="20"/>
              </w:rPr>
            </w:pPr>
            <w:r w:rsidRPr="007C51D6">
              <w:rPr>
                <w:color w:val="000000"/>
                <w:sz w:val="20"/>
                <w:szCs w:val="20"/>
              </w:rPr>
              <w:t>26,2</w:t>
            </w:r>
          </w:p>
        </w:tc>
        <w:tc>
          <w:tcPr>
            <w:tcW w:w="1012" w:type="dxa"/>
            <w:shd w:val="clear" w:color="auto" w:fill="auto"/>
            <w:vAlign w:val="center"/>
          </w:tcPr>
          <w:p w:rsidR="007541C1" w:rsidRPr="007C51D6" w:rsidRDefault="007541C1" w:rsidP="007541C1">
            <w:pPr>
              <w:jc w:val="center"/>
              <w:rPr>
                <w:color w:val="000000"/>
                <w:sz w:val="20"/>
                <w:szCs w:val="20"/>
              </w:rPr>
            </w:pPr>
            <w:r w:rsidRPr="007C51D6">
              <w:rPr>
                <w:color w:val="000000"/>
                <w:sz w:val="20"/>
                <w:szCs w:val="20"/>
              </w:rPr>
              <w:t>14,3</w:t>
            </w:r>
          </w:p>
        </w:tc>
        <w:tc>
          <w:tcPr>
            <w:tcW w:w="1012" w:type="dxa"/>
            <w:vAlign w:val="center"/>
          </w:tcPr>
          <w:p w:rsidR="007541C1" w:rsidRPr="007C51D6" w:rsidRDefault="007541C1" w:rsidP="007541C1">
            <w:pPr>
              <w:jc w:val="center"/>
              <w:rPr>
                <w:color w:val="000000"/>
                <w:sz w:val="20"/>
                <w:szCs w:val="20"/>
              </w:rPr>
            </w:pPr>
            <w:r w:rsidRPr="007C51D6">
              <w:rPr>
                <w:color w:val="000000"/>
                <w:sz w:val="20"/>
                <w:szCs w:val="20"/>
              </w:rPr>
              <w:t>11,8</w:t>
            </w:r>
          </w:p>
        </w:tc>
        <w:tc>
          <w:tcPr>
            <w:tcW w:w="1109" w:type="dxa"/>
            <w:vAlign w:val="center"/>
          </w:tcPr>
          <w:p w:rsidR="007541C1" w:rsidRPr="007C51D6" w:rsidRDefault="007541C1" w:rsidP="007541C1">
            <w:pPr>
              <w:jc w:val="center"/>
              <w:rPr>
                <w:color w:val="000000"/>
                <w:sz w:val="20"/>
                <w:szCs w:val="20"/>
              </w:rPr>
            </w:pPr>
            <w:r w:rsidRPr="007C51D6">
              <w:rPr>
                <w:color w:val="000000"/>
                <w:sz w:val="20"/>
                <w:szCs w:val="20"/>
              </w:rPr>
              <w:t>14,4</w:t>
            </w:r>
          </w:p>
        </w:tc>
        <w:tc>
          <w:tcPr>
            <w:tcW w:w="1103" w:type="dxa"/>
            <w:vAlign w:val="center"/>
          </w:tcPr>
          <w:p w:rsidR="007541C1" w:rsidRPr="007C51D6" w:rsidRDefault="007541C1" w:rsidP="007541C1">
            <w:pPr>
              <w:autoSpaceDE/>
              <w:autoSpaceDN/>
              <w:adjustRightInd/>
              <w:jc w:val="center"/>
              <w:rPr>
                <w:color w:val="000000"/>
                <w:sz w:val="20"/>
                <w:szCs w:val="20"/>
              </w:rPr>
            </w:pPr>
            <w:r w:rsidRPr="007C51D6">
              <w:rPr>
                <w:color w:val="000000"/>
                <w:sz w:val="20"/>
                <w:szCs w:val="20"/>
              </w:rPr>
              <w:t>23,3</w:t>
            </w:r>
          </w:p>
        </w:tc>
        <w:tc>
          <w:tcPr>
            <w:tcW w:w="1077" w:type="dxa"/>
            <w:vAlign w:val="center"/>
          </w:tcPr>
          <w:p w:rsidR="007541C1" w:rsidRPr="007C51D6" w:rsidRDefault="007541C1" w:rsidP="007541C1">
            <w:pPr>
              <w:jc w:val="center"/>
              <w:rPr>
                <w:color w:val="000000"/>
                <w:sz w:val="20"/>
                <w:szCs w:val="20"/>
              </w:rPr>
            </w:pPr>
            <w:r w:rsidRPr="007C51D6">
              <w:rPr>
                <w:color w:val="000000"/>
                <w:sz w:val="20"/>
                <w:szCs w:val="20"/>
              </w:rPr>
              <w:t>19,8</w:t>
            </w:r>
          </w:p>
        </w:tc>
        <w:tc>
          <w:tcPr>
            <w:tcW w:w="1077" w:type="dxa"/>
            <w:vAlign w:val="center"/>
          </w:tcPr>
          <w:p w:rsidR="007541C1" w:rsidRPr="007C51D6" w:rsidRDefault="007541C1" w:rsidP="007541C1">
            <w:pPr>
              <w:jc w:val="center"/>
              <w:rPr>
                <w:color w:val="000000"/>
                <w:sz w:val="20"/>
                <w:szCs w:val="20"/>
              </w:rPr>
            </w:pPr>
            <w:r w:rsidRPr="007C51D6">
              <w:rPr>
                <w:color w:val="000000"/>
                <w:sz w:val="20"/>
                <w:szCs w:val="20"/>
              </w:rPr>
              <w:t>19.2</w:t>
            </w:r>
          </w:p>
        </w:tc>
      </w:tr>
      <w:tr w:rsidR="007541C1" w:rsidRPr="007C51D6" w:rsidTr="007541C1">
        <w:trPr>
          <w:trHeight w:val="20"/>
        </w:trPr>
        <w:tc>
          <w:tcPr>
            <w:tcW w:w="4531" w:type="dxa"/>
            <w:shd w:val="clear" w:color="auto" w:fill="auto"/>
            <w:hideMark/>
          </w:tcPr>
          <w:p w:rsidR="007541C1" w:rsidRPr="007C51D6" w:rsidRDefault="007541C1" w:rsidP="007541C1">
            <w:pPr>
              <w:autoSpaceDE/>
              <w:autoSpaceDN/>
              <w:adjustRightInd/>
              <w:rPr>
                <w:color w:val="000000"/>
                <w:sz w:val="20"/>
                <w:szCs w:val="20"/>
              </w:rPr>
            </w:pPr>
            <w:r w:rsidRPr="007C51D6">
              <w:rPr>
                <w:color w:val="000000"/>
                <w:sz w:val="20"/>
                <w:szCs w:val="20"/>
              </w:rPr>
              <w:t>Азнакаевский</w:t>
            </w:r>
          </w:p>
        </w:tc>
        <w:tc>
          <w:tcPr>
            <w:tcW w:w="1134" w:type="dxa"/>
            <w:shd w:val="clear" w:color="auto" w:fill="auto"/>
            <w:vAlign w:val="center"/>
          </w:tcPr>
          <w:p w:rsidR="007541C1" w:rsidRPr="007C51D6" w:rsidRDefault="007541C1" w:rsidP="007541C1">
            <w:pPr>
              <w:jc w:val="center"/>
              <w:rPr>
                <w:color w:val="000000"/>
                <w:sz w:val="20"/>
                <w:szCs w:val="20"/>
              </w:rPr>
            </w:pPr>
            <w:r w:rsidRPr="007C51D6">
              <w:rPr>
                <w:color w:val="000000"/>
                <w:sz w:val="20"/>
                <w:szCs w:val="20"/>
              </w:rPr>
              <w:t>27,1</w:t>
            </w:r>
          </w:p>
        </w:tc>
        <w:tc>
          <w:tcPr>
            <w:tcW w:w="1012" w:type="dxa"/>
            <w:shd w:val="clear" w:color="auto" w:fill="auto"/>
            <w:vAlign w:val="center"/>
          </w:tcPr>
          <w:p w:rsidR="007541C1" w:rsidRPr="007C51D6" w:rsidRDefault="007541C1" w:rsidP="007541C1">
            <w:pPr>
              <w:jc w:val="center"/>
              <w:rPr>
                <w:color w:val="000000"/>
                <w:sz w:val="20"/>
                <w:szCs w:val="20"/>
              </w:rPr>
            </w:pPr>
            <w:r w:rsidRPr="007C51D6">
              <w:rPr>
                <w:color w:val="000000"/>
                <w:sz w:val="20"/>
                <w:szCs w:val="20"/>
              </w:rPr>
              <w:t>28,8</w:t>
            </w:r>
          </w:p>
        </w:tc>
        <w:tc>
          <w:tcPr>
            <w:tcW w:w="1012" w:type="dxa"/>
            <w:shd w:val="clear" w:color="auto" w:fill="auto"/>
            <w:vAlign w:val="center"/>
          </w:tcPr>
          <w:p w:rsidR="007541C1" w:rsidRPr="007C51D6" w:rsidRDefault="007541C1" w:rsidP="007541C1">
            <w:pPr>
              <w:jc w:val="center"/>
              <w:rPr>
                <w:color w:val="000000"/>
                <w:sz w:val="20"/>
                <w:szCs w:val="20"/>
              </w:rPr>
            </w:pPr>
            <w:r w:rsidRPr="007C51D6">
              <w:rPr>
                <w:color w:val="000000"/>
                <w:sz w:val="20"/>
                <w:szCs w:val="20"/>
              </w:rPr>
              <w:t>26,3</w:t>
            </w:r>
          </w:p>
        </w:tc>
        <w:tc>
          <w:tcPr>
            <w:tcW w:w="1011" w:type="dxa"/>
            <w:shd w:val="clear" w:color="auto" w:fill="auto"/>
            <w:vAlign w:val="center"/>
          </w:tcPr>
          <w:p w:rsidR="007541C1" w:rsidRPr="007C51D6" w:rsidRDefault="007541C1" w:rsidP="007541C1">
            <w:pPr>
              <w:jc w:val="center"/>
              <w:rPr>
                <w:color w:val="000000"/>
                <w:sz w:val="20"/>
                <w:szCs w:val="20"/>
              </w:rPr>
            </w:pPr>
            <w:r w:rsidRPr="007C51D6">
              <w:rPr>
                <w:color w:val="000000"/>
                <w:sz w:val="20"/>
                <w:szCs w:val="20"/>
              </w:rPr>
              <w:t>19,4</w:t>
            </w:r>
          </w:p>
        </w:tc>
        <w:tc>
          <w:tcPr>
            <w:tcW w:w="1012" w:type="dxa"/>
            <w:shd w:val="clear" w:color="auto" w:fill="auto"/>
            <w:vAlign w:val="center"/>
          </w:tcPr>
          <w:p w:rsidR="007541C1" w:rsidRPr="007C51D6" w:rsidRDefault="007541C1" w:rsidP="007541C1">
            <w:pPr>
              <w:jc w:val="center"/>
              <w:rPr>
                <w:color w:val="000000"/>
                <w:sz w:val="20"/>
                <w:szCs w:val="20"/>
              </w:rPr>
            </w:pPr>
            <w:r w:rsidRPr="007C51D6">
              <w:rPr>
                <w:color w:val="000000"/>
                <w:sz w:val="20"/>
                <w:szCs w:val="20"/>
              </w:rPr>
              <w:t>19,0</w:t>
            </w:r>
          </w:p>
        </w:tc>
        <w:tc>
          <w:tcPr>
            <w:tcW w:w="1012" w:type="dxa"/>
            <w:vAlign w:val="center"/>
          </w:tcPr>
          <w:p w:rsidR="007541C1" w:rsidRPr="007C51D6" w:rsidRDefault="007541C1" w:rsidP="007541C1">
            <w:pPr>
              <w:jc w:val="center"/>
              <w:rPr>
                <w:color w:val="000000"/>
                <w:sz w:val="20"/>
                <w:szCs w:val="20"/>
              </w:rPr>
            </w:pPr>
            <w:r w:rsidRPr="007C51D6">
              <w:rPr>
                <w:color w:val="000000"/>
                <w:sz w:val="20"/>
                <w:szCs w:val="20"/>
              </w:rPr>
              <w:t>18,9</w:t>
            </w:r>
          </w:p>
        </w:tc>
        <w:tc>
          <w:tcPr>
            <w:tcW w:w="1109" w:type="dxa"/>
            <w:vAlign w:val="center"/>
          </w:tcPr>
          <w:p w:rsidR="007541C1" w:rsidRPr="007C51D6" w:rsidRDefault="007541C1" w:rsidP="007541C1">
            <w:pPr>
              <w:jc w:val="center"/>
              <w:rPr>
                <w:color w:val="000000"/>
                <w:sz w:val="20"/>
                <w:szCs w:val="20"/>
              </w:rPr>
            </w:pPr>
            <w:r w:rsidRPr="007C51D6">
              <w:rPr>
                <w:color w:val="000000"/>
                <w:sz w:val="20"/>
                <w:szCs w:val="20"/>
              </w:rPr>
              <w:t>19,7</w:t>
            </w:r>
          </w:p>
        </w:tc>
        <w:tc>
          <w:tcPr>
            <w:tcW w:w="1103" w:type="dxa"/>
            <w:vAlign w:val="center"/>
          </w:tcPr>
          <w:p w:rsidR="007541C1" w:rsidRPr="007C51D6" w:rsidRDefault="007541C1" w:rsidP="007541C1">
            <w:pPr>
              <w:jc w:val="center"/>
              <w:rPr>
                <w:color w:val="000000"/>
                <w:sz w:val="20"/>
                <w:szCs w:val="20"/>
              </w:rPr>
            </w:pPr>
            <w:r w:rsidRPr="007C51D6">
              <w:rPr>
                <w:color w:val="000000"/>
                <w:sz w:val="20"/>
                <w:szCs w:val="20"/>
              </w:rPr>
              <w:t>18,8</w:t>
            </w:r>
          </w:p>
        </w:tc>
        <w:tc>
          <w:tcPr>
            <w:tcW w:w="1077" w:type="dxa"/>
            <w:vAlign w:val="center"/>
          </w:tcPr>
          <w:p w:rsidR="007541C1" w:rsidRPr="007C51D6" w:rsidRDefault="007541C1" w:rsidP="007541C1">
            <w:pPr>
              <w:jc w:val="center"/>
              <w:rPr>
                <w:color w:val="000000"/>
                <w:sz w:val="20"/>
                <w:szCs w:val="20"/>
              </w:rPr>
            </w:pPr>
            <w:r w:rsidRPr="007C51D6">
              <w:rPr>
                <w:color w:val="000000"/>
                <w:sz w:val="20"/>
                <w:szCs w:val="20"/>
              </w:rPr>
              <w:t>21,5</w:t>
            </w:r>
          </w:p>
        </w:tc>
        <w:tc>
          <w:tcPr>
            <w:tcW w:w="1077" w:type="dxa"/>
            <w:vAlign w:val="center"/>
          </w:tcPr>
          <w:p w:rsidR="007541C1" w:rsidRPr="007C51D6" w:rsidRDefault="007541C1" w:rsidP="007541C1">
            <w:pPr>
              <w:jc w:val="center"/>
              <w:rPr>
                <w:color w:val="000000"/>
                <w:sz w:val="20"/>
                <w:szCs w:val="20"/>
              </w:rPr>
            </w:pPr>
            <w:r w:rsidRPr="007C51D6">
              <w:rPr>
                <w:color w:val="000000"/>
                <w:sz w:val="20"/>
                <w:szCs w:val="20"/>
              </w:rPr>
              <w:t>25.7</w:t>
            </w:r>
          </w:p>
        </w:tc>
      </w:tr>
      <w:tr w:rsidR="007541C1" w:rsidRPr="007C51D6" w:rsidTr="007541C1">
        <w:trPr>
          <w:trHeight w:val="20"/>
        </w:trPr>
        <w:tc>
          <w:tcPr>
            <w:tcW w:w="4531" w:type="dxa"/>
            <w:shd w:val="clear" w:color="auto" w:fill="auto"/>
            <w:hideMark/>
          </w:tcPr>
          <w:p w:rsidR="007541C1" w:rsidRPr="007C51D6" w:rsidRDefault="007541C1" w:rsidP="007541C1">
            <w:pPr>
              <w:autoSpaceDE/>
              <w:autoSpaceDN/>
              <w:adjustRightInd/>
              <w:rPr>
                <w:color w:val="000000"/>
                <w:sz w:val="20"/>
                <w:szCs w:val="20"/>
              </w:rPr>
            </w:pPr>
            <w:r w:rsidRPr="007C51D6">
              <w:rPr>
                <w:color w:val="000000"/>
                <w:sz w:val="20"/>
                <w:szCs w:val="20"/>
              </w:rPr>
              <w:t>Аксубаевский</w:t>
            </w:r>
          </w:p>
        </w:tc>
        <w:tc>
          <w:tcPr>
            <w:tcW w:w="1134" w:type="dxa"/>
            <w:shd w:val="clear" w:color="auto" w:fill="auto"/>
            <w:vAlign w:val="center"/>
          </w:tcPr>
          <w:p w:rsidR="007541C1" w:rsidRPr="007C51D6" w:rsidRDefault="007541C1" w:rsidP="007541C1">
            <w:pPr>
              <w:jc w:val="center"/>
              <w:rPr>
                <w:color w:val="000000"/>
                <w:sz w:val="20"/>
                <w:szCs w:val="20"/>
              </w:rPr>
            </w:pPr>
            <w:r w:rsidRPr="007C51D6">
              <w:rPr>
                <w:color w:val="000000"/>
                <w:sz w:val="20"/>
                <w:szCs w:val="20"/>
              </w:rPr>
              <w:t>37,8</w:t>
            </w:r>
          </w:p>
        </w:tc>
        <w:tc>
          <w:tcPr>
            <w:tcW w:w="1012" w:type="dxa"/>
            <w:shd w:val="clear" w:color="auto" w:fill="auto"/>
            <w:vAlign w:val="center"/>
          </w:tcPr>
          <w:p w:rsidR="007541C1" w:rsidRPr="007C51D6" w:rsidRDefault="007541C1" w:rsidP="007541C1">
            <w:pPr>
              <w:jc w:val="center"/>
              <w:rPr>
                <w:color w:val="000000"/>
                <w:sz w:val="20"/>
                <w:szCs w:val="20"/>
              </w:rPr>
            </w:pPr>
            <w:r w:rsidRPr="007C51D6">
              <w:rPr>
                <w:color w:val="000000"/>
                <w:sz w:val="20"/>
                <w:szCs w:val="20"/>
              </w:rPr>
              <w:t>29,2</w:t>
            </w:r>
          </w:p>
        </w:tc>
        <w:tc>
          <w:tcPr>
            <w:tcW w:w="1012" w:type="dxa"/>
            <w:shd w:val="clear" w:color="auto" w:fill="auto"/>
            <w:vAlign w:val="center"/>
          </w:tcPr>
          <w:p w:rsidR="007541C1" w:rsidRPr="007C51D6" w:rsidRDefault="007541C1" w:rsidP="007541C1">
            <w:pPr>
              <w:jc w:val="center"/>
              <w:rPr>
                <w:color w:val="000000"/>
                <w:sz w:val="20"/>
                <w:szCs w:val="20"/>
              </w:rPr>
            </w:pPr>
            <w:r w:rsidRPr="007C51D6">
              <w:rPr>
                <w:color w:val="000000"/>
                <w:sz w:val="20"/>
                <w:szCs w:val="20"/>
              </w:rPr>
              <w:t>30,8</w:t>
            </w:r>
          </w:p>
        </w:tc>
        <w:tc>
          <w:tcPr>
            <w:tcW w:w="1011" w:type="dxa"/>
            <w:shd w:val="clear" w:color="auto" w:fill="auto"/>
            <w:vAlign w:val="center"/>
          </w:tcPr>
          <w:p w:rsidR="007541C1" w:rsidRPr="007C51D6" w:rsidRDefault="007541C1" w:rsidP="007541C1">
            <w:pPr>
              <w:jc w:val="center"/>
              <w:rPr>
                <w:color w:val="000000"/>
                <w:sz w:val="20"/>
                <w:szCs w:val="20"/>
              </w:rPr>
            </w:pPr>
            <w:r w:rsidRPr="007C51D6">
              <w:rPr>
                <w:color w:val="000000"/>
                <w:sz w:val="20"/>
                <w:szCs w:val="20"/>
              </w:rPr>
              <w:t>36,4</w:t>
            </w:r>
          </w:p>
        </w:tc>
        <w:tc>
          <w:tcPr>
            <w:tcW w:w="1012" w:type="dxa"/>
            <w:shd w:val="clear" w:color="auto" w:fill="auto"/>
            <w:vAlign w:val="center"/>
          </w:tcPr>
          <w:p w:rsidR="007541C1" w:rsidRPr="007C51D6" w:rsidRDefault="007541C1" w:rsidP="007541C1">
            <w:pPr>
              <w:jc w:val="center"/>
              <w:rPr>
                <w:color w:val="000000"/>
                <w:sz w:val="20"/>
                <w:szCs w:val="20"/>
              </w:rPr>
            </w:pPr>
            <w:r w:rsidRPr="007C51D6">
              <w:rPr>
                <w:color w:val="000000"/>
                <w:sz w:val="20"/>
                <w:szCs w:val="20"/>
              </w:rPr>
              <w:t>27,8</w:t>
            </w:r>
          </w:p>
        </w:tc>
        <w:tc>
          <w:tcPr>
            <w:tcW w:w="1012" w:type="dxa"/>
            <w:vAlign w:val="center"/>
          </w:tcPr>
          <w:p w:rsidR="007541C1" w:rsidRPr="007C51D6" w:rsidRDefault="007541C1" w:rsidP="007541C1">
            <w:pPr>
              <w:jc w:val="center"/>
              <w:rPr>
                <w:color w:val="000000"/>
                <w:sz w:val="20"/>
                <w:szCs w:val="20"/>
              </w:rPr>
            </w:pPr>
            <w:r w:rsidRPr="007C51D6">
              <w:rPr>
                <w:color w:val="000000"/>
                <w:sz w:val="20"/>
                <w:szCs w:val="20"/>
              </w:rPr>
              <w:t>24,7</w:t>
            </w:r>
          </w:p>
        </w:tc>
        <w:tc>
          <w:tcPr>
            <w:tcW w:w="1109" w:type="dxa"/>
            <w:vAlign w:val="center"/>
          </w:tcPr>
          <w:p w:rsidR="007541C1" w:rsidRPr="007C51D6" w:rsidRDefault="007541C1" w:rsidP="007541C1">
            <w:pPr>
              <w:jc w:val="center"/>
              <w:rPr>
                <w:color w:val="000000"/>
                <w:sz w:val="20"/>
                <w:szCs w:val="20"/>
              </w:rPr>
            </w:pPr>
            <w:r w:rsidRPr="007C51D6">
              <w:rPr>
                <w:color w:val="000000"/>
                <w:sz w:val="20"/>
                <w:szCs w:val="20"/>
              </w:rPr>
              <w:t>19,8</w:t>
            </w:r>
          </w:p>
        </w:tc>
        <w:tc>
          <w:tcPr>
            <w:tcW w:w="1103" w:type="dxa"/>
            <w:vAlign w:val="center"/>
          </w:tcPr>
          <w:p w:rsidR="007541C1" w:rsidRPr="007C51D6" w:rsidRDefault="007541C1" w:rsidP="007541C1">
            <w:pPr>
              <w:jc w:val="center"/>
              <w:rPr>
                <w:color w:val="000000"/>
                <w:sz w:val="20"/>
                <w:szCs w:val="20"/>
              </w:rPr>
            </w:pPr>
            <w:r w:rsidRPr="007C51D6">
              <w:rPr>
                <w:color w:val="000000"/>
                <w:sz w:val="20"/>
                <w:szCs w:val="20"/>
              </w:rPr>
              <w:t>31,9</w:t>
            </w:r>
          </w:p>
        </w:tc>
        <w:tc>
          <w:tcPr>
            <w:tcW w:w="1077" w:type="dxa"/>
            <w:vAlign w:val="center"/>
          </w:tcPr>
          <w:p w:rsidR="007541C1" w:rsidRPr="007C51D6" w:rsidRDefault="007541C1" w:rsidP="007541C1">
            <w:pPr>
              <w:jc w:val="center"/>
              <w:rPr>
                <w:color w:val="000000"/>
                <w:sz w:val="20"/>
                <w:szCs w:val="20"/>
              </w:rPr>
            </w:pPr>
            <w:r w:rsidRPr="007C51D6">
              <w:rPr>
                <w:color w:val="000000"/>
                <w:sz w:val="20"/>
                <w:szCs w:val="20"/>
              </w:rPr>
              <w:t>20,4</w:t>
            </w:r>
          </w:p>
        </w:tc>
        <w:tc>
          <w:tcPr>
            <w:tcW w:w="1077" w:type="dxa"/>
            <w:vAlign w:val="center"/>
          </w:tcPr>
          <w:p w:rsidR="007541C1" w:rsidRPr="007C51D6" w:rsidRDefault="007541C1" w:rsidP="007541C1">
            <w:pPr>
              <w:jc w:val="center"/>
              <w:rPr>
                <w:color w:val="000000"/>
                <w:sz w:val="20"/>
                <w:szCs w:val="20"/>
              </w:rPr>
            </w:pPr>
            <w:r w:rsidRPr="007C51D6">
              <w:rPr>
                <w:color w:val="000000"/>
                <w:sz w:val="20"/>
                <w:szCs w:val="20"/>
              </w:rPr>
              <w:t>23.9</w:t>
            </w:r>
          </w:p>
        </w:tc>
      </w:tr>
      <w:tr w:rsidR="007541C1" w:rsidRPr="007C51D6" w:rsidTr="007541C1">
        <w:trPr>
          <w:trHeight w:val="20"/>
        </w:trPr>
        <w:tc>
          <w:tcPr>
            <w:tcW w:w="4531" w:type="dxa"/>
            <w:shd w:val="clear" w:color="auto" w:fill="auto"/>
            <w:hideMark/>
          </w:tcPr>
          <w:p w:rsidR="007541C1" w:rsidRPr="007C51D6" w:rsidRDefault="007541C1" w:rsidP="007541C1">
            <w:pPr>
              <w:autoSpaceDE/>
              <w:autoSpaceDN/>
              <w:adjustRightInd/>
              <w:rPr>
                <w:color w:val="000000"/>
                <w:sz w:val="20"/>
                <w:szCs w:val="20"/>
              </w:rPr>
            </w:pPr>
            <w:r w:rsidRPr="007C51D6">
              <w:rPr>
                <w:color w:val="000000"/>
                <w:sz w:val="20"/>
                <w:szCs w:val="20"/>
              </w:rPr>
              <w:t>Актанышский</w:t>
            </w:r>
          </w:p>
        </w:tc>
        <w:tc>
          <w:tcPr>
            <w:tcW w:w="1134" w:type="dxa"/>
            <w:shd w:val="clear" w:color="auto" w:fill="auto"/>
            <w:vAlign w:val="center"/>
          </w:tcPr>
          <w:p w:rsidR="007541C1" w:rsidRPr="007C51D6" w:rsidRDefault="007541C1" w:rsidP="007541C1">
            <w:pPr>
              <w:jc w:val="center"/>
              <w:rPr>
                <w:color w:val="000000"/>
                <w:sz w:val="20"/>
                <w:szCs w:val="20"/>
              </w:rPr>
            </w:pPr>
            <w:r w:rsidRPr="007C51D6">
              <w:rPr>
                <w:color w:val="000000"/>
                <w:sz w:val="20"/>
                <w:szCs w:val="20"/>
              </w:rPr>
              <w:t>29,8</w:t>
            </w:r>
          </w:p>
        </w:tc>
        <w:tc>
          <w:tcPr>
            <w:tcW w:w="1012" w:type="dxa"/>
            <w:shd w:val="clear" w:color="auto" w:fill="auto"/>
            <w:vAlign w:val="center"/>
          </w:tcPr>
          <w:p w:rsidR="007541C1" w:rsidRPr="007C51D6" w:rsidRDefault="007541C1" w:rsidP="007541C1">
            <w:pPr>
              <w:jc w:val="center"/>
              <w:rPr>
                <w:color w:val="000000"/>
                <w:sz w:val="20"/>
                <w:szCs w:val="20"/>
              </w:rPr>
            </w:pPr>
            <w:r w:rsidRPr="007C51D6">
              <w:rPr>
                <w:color w:val="000000"/>
                <w:sz w:val="20"/>
                <w:szCs w:val="20"/>
              </w:rPr>
              <w:t>24,1</w:t>
            </w:r>
          </w:p>
        </w:tc>
        <w:tc>
          <w:tcPr>
            <w:tcW w:w="1012" w:type="dxa"/>
            <w:shd w:val="clear" w:color="auto" w:fill="auto"/>
            <w:vAlign w:val="center"/>
          </w:tcPr>
          <w:p w:rsidR="007541C1" w:rsidRPr="007C51D6" w:rsidRDefault="007541C1" w:rsidP="007541C1">
            <w:pPr>
              <w:jc w:val="center"/>
              <w:rPr>
                <w:color w:val="000000"/>
                <w:sz w:val="20"/>
                <w:szCs w:val="20"/>
              </w:rPr>
            </w:pPr>
            <w:r w:rsidRPr="007C51D6">
              <w:rPr>
                <w:color w:val="000000"/>
                <w:sz w:val="20"/>
                <w:szCs w:val="20"/>
              </w:rPr>
              <w:t>21,1</w:t>
            </w:r>
          </w:p>
        </w:tc>
        <w:tc>
          <w:tcPr>
            <w:tcW w:w="1011" w:type="dxa"/>
            <w:shd w:val="clear" w:color="auto" w:fill="auto"/>
            <w:vAlign w:val="center"/>
          </w:tcPr>
          <w:p w:rsidR="007541C1" w:rsidRPr="007C51D6" w:rsidRDefault="007541C1" w:rsidP="007541C1">
            <w:pPr>
              <w:jc w:val="center"/>
              <w:rPr>
                <w:color w:val="000000"/>
                <w:sz w:val="20"/>
                <w:szCs w:val="20"/>
              </w:rPr>
            </w:pPr>
            <w:r w:rsidRPr="007C51D6">
              <w:rPr>
                <w:color w:val="000000"/>
                <w:sz w:val="20"/>
                <w:szCs w:val="20"/>
              </w:rPr>
              <w:t>27,8</w:t>
            </w:r>
          </w:p>
        </w:tc>
        <w:tc>
          <w:tcPr>
            <w:tcW w:w="1012" w:type="dxa"/>
            <w:shd w:val="clear" w:color="auto" w:fill="auto"/>
            <w:vAlign w:val="center"/>
          </w:tcPr>
          <w:p w:rsidR="007541C1" w:rsidRPr="007C51D6" w:rsidRDefault="007541C1" w:rsidP="007541C1">
            <w:pPr>
              <w:jc w:val="center"/>
              <w:rPr>
                <w:color w:val="000000"/>
                <w:sz w:val="20"/>
                <w:szCs w:val="20"/>
              </w:rPr>
            </w:pPr>
            <w:r w:rsidRPr="007C51D6">
              <w:rPr>
                <w:color w:val="000000"/>
                <w:sz w:val="20"/>
                <w:szCs w:val="20"/>
              </w:rPr>
              <w:t>27,7</w:t>
            </w:r>
          </w:p>
        </w:tc>
        <w:tc>
          <w:tcPr>
            <w:tcW w:w="1012" w:type="dxa"/>
            <w:vAlign w:val="center"/>
          </w:tcPr>
          <w:p w:rsidR="007541C1" w:rsidRPr="007C51D6" w:rsidRDefault="007541C1" w:rsidP="007541C1">
            <w:pPr>
              <w:jc w:val="center"/>
              <w:rPr>
                <w:color w:val="000000"/>
                <w:sz w:val="20"/>
                <w:szCs w:val="20"/>
              </w:rPr>
            </w:pPr>
            <w:r w:rsidRPr="007C51D6">
              <w:rPr>
                <w:color w:val="000000"/>
                <w:sz w:val="20"/>
                <w:szCs w:val="20"/>
              </w:rPr>
              <w:t>20,7</w:t>
            </w:r>
          </w:p>
        </w:tc>
        <w:tc>
          <w:tcPr>
            <w:tcW w:w="1109" w:type="dxa"/>
            <w:vAlign w:val="center"/>
          </w:tcPr>
          <w:p w:rsidR="007541C1" w:rsidRPr="007C51D6" w:rsidRDefault="007541C1" w:rsidP="007541C1">
            <w:pPr>
              <w:jc w:val="center"/>
              <w:rPr>
                <w:color w:val="000000"/>
                <w:sz w:val="20"/>
                <w:szCs w:val="20"/>
              </w:rPr>
            </w:pPr>
            <w:r w:rsidRPr="007C51D6">
              <w:rPr>
                <w:color w:val="000000"/>
                <w:sz w:val="20"/>
                <w:szCs w:val="20"/>
              </w:rPr>
              <w:t>26,0</w:t>
            </w:r>
          </w:p>
        </w:tc>
        <w:tc>
          <w:tcPr>
            <w:tcW w:w="1103" w:type="dxa"/>
            <w:vAlign w:val="center"/>
          </w:tcPr>
          <w:p w:rsidR="007541C1" w:rsidRPr="007C51D6" w:rsidRDefault="007541C1" w:rsidP="007541C1">
            <w:pPr>
              <w:jc w:val="center"/>
              <w:rPr>
                <w:color w:val="000000"/>
                <w:sz w:val="20"/>
                <w:szCs w:val="20"/>
              </w:rPr>
            </w:pPr>
            <w:r w:rsidRPr="007C51D6">
              <w:rPr>
                <w:color w:val="000000"/>
                <w:sz w:val="20"/>
                <w:szCs w:val="20"/>
              </w:rPr>
              <w:t>9,6</w:t>
            </w:r>
          </w:p>
        </w:tc>
        <w:tc>
          <w:tcPr>
            <w:tcW w:w="1077" w:type="dxa"/>
            <w:vAlign w:val="center"/>
          </w:tcPr>
          <w:p w:rsidR="007541C1" w:rsidRPr="007C51D6" w:rsidRDefault="007541C1" w:rsidP="007541C1">
            <w:pPr>
              <w:jc w:val="center"/>
              <w:rPr>
                <w:color w:val="000000"/>
                <w:sz w:val="20"/>
                <w:szCs w:val="20"/>
              </w:rPr>
            </w:pPr>
            <w:r w:rsidRPr="007C51D6">
              <w:rPr>
                <w:color w:val="000000"/>
                <w:sz w:val="20"/>
                <w:szCs w:val="20"/>
              </w:rPr>
              <w:t>16,5</w:t>
            </w:r>
          </w:p>
        </w:tc>
        <w:tc>
          <w:tcPr>
            <w:tcW w:w="1077" w:type="dxa"/>
            <w:vAlign w:val="center"/>
          </w:tcPr>
          <w:p w:rsidR="007541C1" w:rsidRPr="007C51D6" w:rsidRDefault="007541C1" w:rsidP="007541C1">
            <w:pPr>
              <w:jc w:val="center"/>
              <w:rPr>
                <w:color w:val="000000"/>
                <w:sz w:val="20"/>
                <w:szCs w:val="20"/>
              </w:rPr>
            </w:pPr>
            <w:r w:rsidRPr="007C51D6">
              <w:rPr>
                <w:color w:val="000000"/>
                <w:sz w:val="20"/>
                <w:szCs w:val="20"/>
              </w:rPr>
              <w:t>19.8</w:t>
            </w:r>
          </w:p>
        </w:tc>
      </w:tr>
      <w:tr w:rsidR="007541C1" w:rsidRPr="007C51D6" w:rsidTr="007541C1">
        <w:trPr>
          <w:trHeight w:val="20"/>
        </w:trPr>
        <w:tc>
          <w:tcPr>
            <w:tcW w:w="4531" w:type="dxa"/>
            <w:shd w:val="clear" w:color="auto" w:fill="auto"/>
            <w:hideMark/>
          </w:tcPr>
          <w:p w:rsidR="007541C1" w:rsidRPr="007C51D6" w:rsidRDefault="007541C1" w:rsidP="007541C1">
            <w:pPr>
              <w:autoSpaceDE/>
              <w:autoSpaceDN/>
              <w:adjustRightInd/>
              <w:rPr>
                <w:color w:val="000000"/>
                <w:sz w:val="20"/>
                <w:szCs w:val="20"/>
              </w:rPr>
            </w:pPr>
            <w:r w:rsidRPr="007C51D6">
              <w:rPr>
                <w:color w:val="000000"/>
                <w:sz w:val="20"/>
                <w:szCs w:val="20"/>
              </w:rPr>
              <w:t>Алексеевский</w:t>
            </w:r>
          </w:p>
        </w:tc>
        <w:tc>
          <w:tcPr>
            <w:tcW w:w="1134" w:type="dxa"/>
            <w:shd w:val="clear" w:color="auto" w:fill="auto"/>
            <w:vAlign w:val="center"/>
          </w:tcPr>
          <w:p w:rsidR="007541C1" w:rsidRPr="007C51D6" w:rsidRDefault="007541C1" w:rsidP="007541C1">
            <w:pPr>
              <w:jc w:val="center"/>
              <w:rPr>
                <w:color w:val="000000"/>
                <w:sz w:val="20"/>
                <w:szCs w:val="20"/>
              </w:rPr>
            </w:pPr>
            <w:r w:rsidRPr="007C51D6">
              <w:rPr>
                <w:color w:val="000000"/>
                <w:sz w:val="20"/>
                <w:szCs w:val="20"/>
              </w:rPr>
              <w:t>31,2</w:t>
            </w:r>
          </w:p>
        </w:tc>
        <w:tc>
          <w:tcPr>
            <w:tcW w:w="1012" w:type="dxa"/>
            <w:shd w:val="clear" w:color="auto" w:fill="auto"/>
            <w:vAlign w:val="center"/>
          </w:tcPr>
          <w:p w:rsidR="007541C1" w:rsidRPr="007C51D6" w:rsidRDefault="007541C1" w:rsidP="007541C1">
            <w:pPr>
              <w:jc w:val="center"/>
              <w:rPr>
                <w:color w:val="000000"/>
                <w:sz w:val="20"/>
                <w:szCs w:val="20"/>
              </w:rPr>
            </w:pPr>
            <w:r w:rsidRPr="007C51D6">
              <w:rPr>
                <w:color w:val="000000"/>
                <w:sz w:val="20"/>
                <w:szCs w:val="20"/>
              </w:rPr>
              <w:t>32,2</w:t>
            </w:r>
          </w:p>
        </w:tc>
        <w:tc>
          <w:tcPr>
            <w:tcW w:w="1012" w:type="dxa"/>
            <w:shd w:val="clear" w:color="auto" w:fill="auto"/>
            <w:vAlign w:val="center"/>
          </w:tcPr>
          <w:p w:rsidR="007541C1" w:rsidRPr="007C51D6" w:rsidRDefault="007541C1" w:rsidP="007541C1">
            <w:pPr>
              <w:jc w:val="center"/>
              <w:rPr>
                <w:color w:val="000000"/>
                <w:sz w:val="20"/>
                <w:szCs w:val="20"/>
              </w:rPr>
            </w:pPr>
            <w:r w:rsidRPr="007C51D6">
              <w:rPr>
                <w:color w:val="000000"/>
                <w:sz w:val="20"/>
                <w:szCs w:val="20"/>
              </w:rPr>
              <w:t>31,2</w:t>
            </w:r>
          </w:p>
        </w:tc>
        <w:tc>
          <w:tcPr>
            <w:tcW w:w="1011" w:type="dxa"/>
            <w:shd w:val="clear" w:color="auto" w:fill="auto"/>
            <w:vAlign w:val="center"/>
          </w:tcPr>
          <w:p w:rsidR="007541C1" w:rsidRPr="007C51D6" w:rsidRDefault="007541C1" w:rsidP="007541C1">
            <w:pPr>
              <w:jc w:val="center"/>
              <w:rPr>
                <w:color w:val="000000"/>
                <w:sz w:val="20"/>
                <w:szCs w:val="20"/>
              </w:rPr>
            </w:pPr>
            <w:r w:rsidRPr="007C51D6">
              <w:rPr>
                <w:color w:val="000000"/>
                <w:sz w:val="20"/>
                <w:szCs w:val="20"/>
              </w:rPr>
              <w:t>26,7</w:t>
            </w:r>
          </w:p>
        </w:tc>
        <w:tc>
          <w:tcPr>
            <w:tcW w:w="1012" w:type="dxa"/>
            <w:shd w:val="clear" w:color="auto" w:fill="auto"/>
            <w:vAlign w:val="center"/>
          </w:tcPr>
          <w:p w:rsidR="007541C1" w:rsidRPr="007C51D6" w:rsidRDefault="007541C1" w:rsidP="007541C1">
            <w:pPr>
              <w:jc w:val="center"/>
              <w:rPr>
                <w:color w:val="000000"/>
                <w:sz w:val="20"/>
                <w:szCs w:val="20"/>
              </w:rPr>
            </w:pPr>
            <w:r w:rsidRPr="007C51D6">
              <w:rPr>
                <w:color w:val="000000"/>
                <w:sz w:val="20"/>
                <w:szCs w:val="20"/>
              </w:rPr>
              <w:t>25,7</w:t>
            </w:r>
          </w:p>
        </w:tc>
        <w:tc>
          <w:tcPr>
            <w:tcW w:w="1012" w:type="dxa"/>
            <w:vAlign w:val="center"/>
          </w:tcPr>
          <w:p w:rsidR="007541C1" w:rsidRPr="007C51D6" w:rsidRDefault="007541C1" w:rsidP="007541C1">
            <w:pPr>
              <w:jc w:val="center"/>
              <w:rPr>
                <w:color w:val="000000"/>
                <w:sz w:val="20"/>
                <w:szCs w:val="20"/>
              </w:rPr>
            </w:pPr>
            <w:r w:rsidRPr="007C51D6">
              <w:rPr>
                <w:color w:val="000000"/>
                <w:sz w:val="20"/>
                <w:szCs w:val="20"/>
              </w:rPr>
              <w:t>30,1</w:t>
            </w:r>
          </w:p>
        </w:tc>
        <w:tc>
          <w:tcPr>
            <w:tcW w:w="1109" w:type="dxa"/>
            <w:vAlign w:val="center"/>
          </w:tcPr>
          <w:p w:rsidR="007541C1" w:rsidRPr="007C51D6" w:rsidRDefault="007541C1" w:rsidP="007541C1">
            <w:pPr>
              <w:jc w:val="center"/>
              <w:rPr>
                <w:color w:val="000000"/>
                <w:sz w:val="20"/>
                <w:szCs w:val="20"/>
              </w:rPr>
            </w:pPr>
            <w:r w:rsidRPr="007C51D6">
              <w:rPr>
                <w:color w:val="000000"/>
                <w:sz w:val="20"/>
                <w:szCs w:val="20"/>
              </w:rPr>
              <w:t>23,3</w:t>
            </w:r>
          </w:p>
        </w:tc>
        <w:tc>
          <w:tcPr>
            <w:tcW w:w="1103" w:type="dxa"/>
            <w:vAlign w:val="center"/>
          </w:tcPr>
          <w:p w:rsidR="007541C1" w:rsidRPr="007C51D6" w:rsidRDefault="007541C1" w:rsidP="007541C1">
            <w:pPr>
              <w:jc w:val="center"/>
              <w:rPr>
                <w:color w:val="000000"/>
                <w:sz w:val="20"/>
                <w:szCs w:val="20"/>
              </w:rPr>
            </w:pPr>
            <w:r w:rsidRPr="007C51D6">
              <w:rPr>
                <w:color w:val="000000"/>
                <w:sz w:val="20"/>
                <w:szCs w:val="20"/>
              </w:rPr>
              <w:t>19,2</w:t>
            </w:r>
          </w:p>
        </w:tc>
        <w:tc>
          <w:tcPr>
            <w:tcW w:w="1077" w:type="dxa"/>
            <w:vAlign w:val="center"/>
          </w:tcPr>
          <w:p w:rsidR="007541C1" w:rsidRPr="007C51D6" w:rsidRDefault="007541C1" w:rsidP="007541C1">
            <w:pPr>
              <w:jc w:val="center"/>
              <w:rPr>
                <w:color w:val="000000"/>
                <w:sz w:val="20"/>
                <w:szCs w:val="20"/>
              </w:rPr>
            </w:pPr>
            <w:r w:rsidRPr="007C51D6">
              <w:rPr>
                <w:color w:val="000000"/>
                <w:sz w:val="20"/>
                <w:szCs w:val="20"/>
              </w:rPr>
              <w:t>23,1</w:t>
            </w:r>
          </w:p>
        </w:tc>
        <w:tc>
          <w:tcPr>
            <w:tcW w:w="1077" w:type="dxa"/>
            <w:vAlign w:val="center"/>
          </w:tcPr>
          <w:p w:rsidR="007541C1" w:rsidRPr="007C51D6" w:rsidRDefault="007541C1" w:rsidP="007541C1">
            <w:pPr>
              <w:jc w:val="center"/>
              <w:rPr>
                <w:color w:val="000000"/>
                <w:sz w:val="20"/>
                <w:szCs w:val="20"/>
              </w:rPr>
            </w:pPr>
            <w:r w:rsidRPr="007C51D6">
              <w:rPr>
                <w:color w:val="000000"/>
                <w:sz w:val="20"/>
                <w:szCs w:val="20"/>
              </w:rPr>
              <w:t>22.1</w:t>
            </w:r>
          </w:p>
        </w:tc>
      </w:tr>
      <w:tr w:rsidR="007541C1" w:rsidRPr="007C51D6" w:rsidTr="007541C1">
        <w:trPr>
          <w:trHeight w:val="20"/>
        </w:trPr>
        <w:tc>
          <w:tcPr>
            <w:tcW w:w="4531" w:type="dxa"/>
            <w:shd w:val="clear" w:color="auto" w:fill="auto"/>
            <w:hideMark/>
          </w:tcPr>
          <w:p w:rsidR="007541C1" w:rsidRPr="007C51D6" w:rsidRDefault="007541C1" w:rsidP="007541C1">
            <w:pPr>
              <w:autoSpaceDE/>
              <w:autoSpaceDN/>
              <w:adjustRightInd/>
              <w:rPr>
                <w:color w:val="000000"/>
                <w:sz w:val="20"/>
                <w:szCs w:val="20"/>
              </w:rPr>
            </w:pPr>
            <w:r w:rsidRPr="007C51D6">
              <w:rPr>
                <w:color w:val="000000"/>
                <w:sz w:val="20"/>
                <w:szCs w:val="20"/>
              </w:rPr>
              <w:t>Алькеевский</w:t>
            </w:r>
          </w:p>
        </w:tc>
        <w:tc>
          <w:tcPr>
            <w:tcW w:w="1134" w:type="dxa"/>
            <w:shd w:val="clear" w:color="auto" w:fill="auto"/>
            <w:vAlign w:val="center"/>
          </w:tcPr>
          <w:p w:rsidR="007541C1" w:rsidRPr="007C51D6" w:rsidRDefault="007541C1" w:rsidP="007541C1">
            <w:pPr>
              <w:jc w:val="center"/>
              <w:rPr>
                <w:color w:val="000000"/>
                <w:sz w:val="20"/>
                <w:szCs w:val="20"/>
              </w:rPr>
            </w:pPr>
            <w:r w:rsidRPr="007C51D6">
              <w:rPr>
                <w:color w:val="000000"/>
                <w:sz w:val="20"/>
                <w:szCs w:val="20"/>
              </w:rPr>
              <w:t>23,0</w:t>
            </w:r>
          </w:p>
        </w:tc>
        <w:tc>
          <w:tcPr>
            <w:tcW w:w="1012" w:type="dxa"/>
            <w:shd w:val="clear" w:color="auto" w:fill="auto"/>
            <w:vAlign w:val="center"/>
          </w:tcPr>
          <w:p w:rsidR="007541C1" w:rsidRPr="007C51D6" w:rsidRDefault="007541C1" w:rsidP="007541C1">
            <w:pPr>
              <w:jc w:val="center"/>
              <w:rPr>
                <w:color w:val="000000"/>
                <w:sz w:val="20"/>
                <w:szCs w:val="20"/>
              </w:rPr>
            </w:pPr>
            <w:r w:rsidRPr="007C51D6">
              <w:rPr>
                <w:color w:val="000000"/>
                <w:sz w:val="20"/>
                <w:szCs w:val="20"/>
              </w:rPr>
              <w:t>8,8</w:t>
            </w:r>
          </w:p>
        </w:tc>
        <w:tc>
          <w:tcPr>
            <w:tcW w:w="1012" w:type="dxa"/>
            <w:shd w:val="clear" w:color="auto" w:fill="auto"/>
            <w:vAlign w:val="center"/>
          </w:tcPr>
          <w:p w:rsidR="007541C1" w:rsidRPr="007C51D6" w:rsidRDefault="007541C1" w:rsidP="007541C1">
            <w:pPr>
              <w:jc w:val="center"/>
              <w:rPr>
                <w:color w:val="000000"/>
                <w:sz w:val="20"/>
                <w:szCs w:val="20"/>
              </w:rPr>
            </w:pPr>
            <w:r w:rsidRPr="007C51D6">
              <w:rPr>
                <w:color w:val="000000"/>
                <w:sz w:val="20"/>
                <w:szCs w:val="20"/>
              </w:rPr>
              <w:t>6,3</w:t>
            </w:r>
          </w:p>
        </w:tc>
        <w:tc>
          <w:tcPr>
            <w:tcW w:w="1011" w:type="dxa"/>
            <w:shd w:val="clear" w:color="auto" w:fill="auto"/>
            <w:vAlign w:val="center"/>
          </w:tcPr>
          <w:p w:rsidR="007541C1" w:rsidRPr="007C51D6" w:rsidRDefault="007541C1" w:rsidP="007541C1">
            <w:pPr>
              <w:jc w:val="center"/>
              <w:rPr>
                <w:color w:val="000000"/>
                <w:sz w:val="20"/>
                <w:szCs w:val="20"/>
              </w:rPr>
            </w:pPr>
            <w:r w:rsidRPr="007C51D6">
              <w:rPr>
                <w:color w:val="000000"/>
                <w:sz w:val="20"/>
                <w:szCs w:val="20"/>
              </w:rPr>
              <w:t>20,6</w:t>
            </w:r>
          </w:p>
        </w:tc>
        <w:tc>
          <w:tcPr>
            <w:tcW w:w="1012" w:type="dxa"/>
            <w:shd w:val="clear" w:color="auto" w:fill="auto"/>
            <w:vAlign w:val="center"/>
          </w:tcPr>
          <w:p w:rsidR="007541C1" w:rsidRPr="007C51D6" w:rsidRDefault="007541C1" w:rsidP="007541C1">
            <w:pPr>
              <w:jc w:val="center"/>
              <w:rPr>
                <w:color w:val="000000"/>
                <w:sz w:val="20"/>
                <w:szCs w:val="20"/>
              </w:rPr>
            </w:pPr>
            <w:r w:rsidRPr="007C51D6">
              <w:rPr>
                <w:color w:val="000000"/>
                <w:sz w:val="20"/>
                <w:szCs w:val="20"/>
              </w:rPr>
              <w:t>12,9</w:t>
            </w:r>
          </w:p>
        </w:tc>
        <w:tc>
          <w:tcPr>
            <w:tcW w:w="1012" w:type="dxa"/>
            <w:vAlign w:val="center"/>
          </w:tcPr>
          <w:p w:rsidR="007541C1" w:rsidRPr="007C51D6" w:rsidRDefault="007541C1" w:rsidP="007541C1">
            <w:pPr>
              <w:jc w:val="center"/>
              <w:rPr>
                <w:color w:val="000000"/>
                <w:sz w:val="20"/>
                <w:szCs w:val="20"/>
              </w:rPr>
            </w:pPr>
            <w:r w:rsidRPr="007C51D6">
              <w:rPr>
                <w:color w:val="000000"/>
                <w:sz w:val="20"/>
                <w:szCs w:val="20"/>
              </w:rPr>
              <w:t>19,7</w:t>
            </w:r>
          </w:p>
        </w:tc>
        <w:tc>
          <w:tcPr>
            <w:tcW w:w="1109" w:type="dxa"/>
            <w:vAlign w:val="center"/>
          </w:tcPr>
          <w:p w:rsidR="007541C1" w:rsidRPr="007C51D6" w:rsidRDefault="007541C1" w:rsidP="007541C1">
            <w:pPr>
              <w:jc w:val="center"/>
              <w:rPr>
                <w:color w:val="000000"/>
                <w:sz w:val="20"/>
                <w:szCs w:val="20"/>
              </w:rPr>
            </w:pPr>
            <w:r w:rsidRPr="007C51D6">
              <w:rPr>
                <w:color w:val="000000"/>
                <w:sz w:val="20"/>
                <w:szCs w:val="20"/>
              </w:rPr>
              <w:t>16,3</w:t>
            </w:r>
          </w:p>
        </w:tc>
        <w:tc>
          <w:tcPr>
            <w:tcW w:w="1103" w:type="dxa"/>
            <w:vAlign w:val="center"/>
          </w:tcPr>
          <w:p w:rsidR="007541C1" w:rsidRPr="007C51D6" w:rsidRDefault="007541C1" w:rsidP="007541C1">
            <w:pPr>
              <w:jc w:val="center"/>
              <w:rPr>
                <w:color w:val="000000"/>
                <w:sz w:val="20"/>
                <w:szCs w:val="20"/>
              </w:rPr>
            </w:pPr>
            <w:r w:rsidRPr="007C51D6">
              <w:rPr>
                <w:color w:val="000000"/>
                <w:sz w:val="20"/>
                <w:szCs w:val="20"/>
              </w:rPr>
              <w:t>23,7</w:t>
            </w:r>
          </w:p>
        </w:tc>
        <w:tc>
          <w:tcPr>
            <w:tcW w:w="1077" w:type="dxa"/>
            <w:vAlign w:val="center"/>
          </w:tcPr>
          <w:p w:rsidR="007541C1" w:rsidRPr="007C51D6" w:rsidRDefault="007541C1" w:rsidP="007541C1">
            <w:pPr>
              <w:jc w:val="center"/>
              <w:rPr>
                <w:color w:val="000000"/>
                <w:sz w:val="20"/>
                <w:szCs w:val="20"/>
              </w:rPr>
            </w:pPr>
            <w:r w:rsidRPr="007C51D6">
              <w:rPr>
                <w:color w:val="000000"/>
                <w:sz w:val="20"/>
                <w:szCs w:val="20"/>
              </w:rPr>
              <w:t>20,0</w:t>
            </w:r>
          </w:p>
        </w:tc>
        <w:tc>
          <w:tcPr>
            <w:tcW w:w="1077" w:type="dxa"/>
            <w:vAlign w:val="center"/>
          </w:tcPr>
          <w:p w:rsidR="007541C1" w:rsidRPr="007C51D6" w:rsidRDefault="007541C1" w:rsidP="007541C1">
            <w:pPr>
              <w:jc w:val="center"/>
              <w:rPr>
                <w:color w:val="000000"/>
                <w:sz w:val="20"/>
                <w:szCs w:val="20"/>
              </w:rPr>
            </w:pPr>
            <w:r w:rsidRPr="007C51D6">
              <w:rPr>
                <w:color w:val="000000"/>
                <w:sz w:val="20"/>
                <w:szCs w:val="20"/>
              </w:rPr>
              <w:t>20.0</w:t>
            </w:r>
          </w:p>
        </w:tc>
      </w:tr>
      <w:tr w:rsidR="007541C1" w:rsidRPr="007C51D6" w:rsidTr="007541C1">
        <w:trPr>
          <w:trHeight w:val="20"/>
        </w:trPr>
        <w:tc>
          <w:tcPr>
            <w:tcW w:w="4531" w:type="dxa"/>
            <w:shd w:val="clear" w:color="auto" w:fill="auto"/>
            <w:hideMark/>
          </w:tcPr>
          <w:p w:rsidR="007541C1" w:rsidRPr="007C51D6" w:rsidRDefault="007541C1" w:rsidP="007541C1">
            <w:pPr>
              <w:autoSpaceDE/>
              <w:autoSpaceDN/>
              <w:adjustRightInd/>
              <w:rPr>
                <w:color w:val="000000"/>
                <w:sz w:val="20"/>
                <w:szCs w:val="20"/>
              </w:rPr>
            </w:pPr>
            <w:r w:rsidRPr="007C51D6">
              <w:rPr>
                <w:color w:val="000000"/>
                <w:sz w:val="20"/>
                <w:szCs w:val="20"/>
              </w:rPr>
              <w:t>Альметьевский</w:t>
            </w:r>
          </w:p>
        </w:tc>
        <w:tc>
          <w:tcPr>
            <w:tcW w:w="1134" w:type="dxa"/>
            <w:shd w:val="clear" w:color="auto" w:fill="auto"/>
            <w:vAlign w:val="center"/>
          </w:tcPr>
          <w:p w:rsidR="007541C1" w:rsidRPr="007C51D6" w:rsidRDefault="007541C1" w:rsidP="007541C1">
            <w:pPr>
              <w:jc w:val="center"/>
              <w:rPr>
                <w:color w:val="000000"/>
                <w:sz w:val="20"/>
                <w:szCs w:val="20"/>
              </w:rPr>
            </w:pPr>
            <w:r w:rsidRPr="007C51D6">
              <w:rPr>
                <w:color w:val="000000"/>
                <w:sz w:val="20"/>
                <w:szCs w:val="20"/>
              </w:rPr>
              <w:t>29,4</w:t>
            </w:r>
          </w:p>
        </w:tc>
        <w:tc>
          <w:tcPr>
            <w:tcW w:w="1012" w:type="dxa"/>
            <w:shd w:val="clear" w:color="auto" w:fill="auto"/>
            <w:vAlign w:val="center"/>
          </w:tcPr>
          <w:p w:rsidR="007541C1" w:rsidRPr="007C51D6" w:rsidRDefault="007541C1" w:rsidP="007541C1">
            <w:pPr>
              <w:jc w:val="center"/>
              <w:rPr>
                <w:color w:val="000000"/>
                <w:sz w:val="20"/>
                <w:szCs w:val="20"/>
              </w:rPr>
            </w:pPr>
            <w:r w:rsidRPr="007C51D6">
              <w:rPr>
                <w:color w:val="000000"/>
                <w:sz w:val="20"/>
                <w:szCs w:val="20"/>
              </w:rPr>
              <w:t>25,1</w:t>
            </w:r>
          </w:p>
        </w:tc>
        <w:tc>
          <w:tcPr>
            <w:tcW w:w="1012" w:type="dxa"/>
            <w:shd w:val="clear" w:color="auto" w:fill="auto"/>
            <w:vAlign w:val="center"/>
          </w:tcPr>
          <w:p w:rsidR="007541C1" w:rsidRPr="007C51D6" w:rsidRDefault="007541C1" w:rsidP="007541C1">
            <w:pPr>
              <w:jc w:val="center"/>
              <w:rPr>
                <w:color w:val="000000"/>
                <w:sz w:val="20"/>
                <w:szCs w:val="20"/>
              </w:rPr>
            </w:pPr>
            <w:r w:rsidRPr="007C51D6">
              <w:rPr>
                <w:color w:val="000000"/>
                <w:sz w:val="20"/>
                <w:szCs w:val="20"/>
              </w:rPr>
              <w:t>22,6</w:t>
            </w:r>
          </w:p>
        </w:tc>
        <w:tc>
          <w:tcPr>
            <w:tcW w:w="1011" w:type="dxa"/>
            <w:shd w:val="clear" w:color="auto" w:fill="auto"/>
            <w:vAlign w:val="center"/>
          </w:tcPr>
          <w:p w:rsidR="007541C1" w:rsidRPr="007C51D6" w:rsidRDefault="007541C1" w:rsidP="007541C1">
            <w:pPr>
              <w:jc w:val="center"/>
              <w:rPr>
                <w:color w:val="000000"/>
                <w:sz w:val="20"/>
                <w:szCs w:val="20"/>
              </w:rPr>
            </w:pPr>
            <w:r w:rsidRPr="007C51D6">
              <w:rPr>
                <w:color w:val="000000"/>
                <w:sz w:val="20"/>
                <w:szCs w:val="20"/>
              </w:rPr>
              <w:t>24,0</w:t>
            </w:r>
          </w:p>
        </w:tc>
        <w:tc>
          <w:tcPr>
            <w:tcW w:w="1012" w:type="dxa"/>
            <w:shd w:val="clear" w:color="auto" w:fill="auto"/>
            <w:vAlign w:val="center"/>
          </w:tcPr>
          <w:p w:rsidR="007541C1" w:rsidRPr="007C51D6" w:rsidRDefault="007541C1" w:rsidP="007541C1">
            <w:pPr>
              <w:jc w:val="center"/>
              <w:rPr>
                <w:color w:val="000000"/>
                <w:sz w:val="20"/>
                <w:szCs w:val="20"/>
              </w:rPr>
            </w:pPr>
            <w:r w:rsidRPr="007C51D6">
              <w:rPr>
                <w:color w:val="000000"/>
                <w:sz w:val="20"/>
                <w:szCs w:val="20"/>
              </w:rPr>
              <w:t>22,3</w:t>
            </w:r>
          </w:p>
        </w:tc>
        <w:tc>
          <w:tcPr>
            <w:tcW w:w="1012" w:type="dxa"/>
            <w:vAlign w:val="center"/>
          </w:tcPr>
          <w:p w:rsidR="007541C1" w:rsidRPr="007C51D6" w:rsidRDefault="007541C1" w:rsidP="007541C1">
            <w:pPr>
              <w:jc w:val="center"/>
              <w:rPr>
                <w:color w:val="000000"/>
                <w:sz w:val="20"/>
                <w:szCs w:val="20"/>
              </w:rPr>
            </w:pPr>
            <w:r w:rsidRPr="007C51D6">
              <w:rPr>
                <w:color w:val="000000"/>
                <w:sz w:val="20"/>
                <w:szCs w:val="20"/>
              </w:rPr>
              <w:t>23,8</w:t>
            </w:r>
          </w:p>
        </w:tc>
        <w:tc>
          <w:tcPr>
            <w:tcW w:w="1109" w:type="dxa"/>
            <w:vAlign w:val="center"/>
          </w:tcPr>
          <w:p w:rsidR="007541C1" w:rsidRPr="007C51D6" w:rsidRDefault="007541C1" w:rsidP="007541C1">
            <w:pPr>
              <w:jc w:val="center"/>
              <w:rPr>
                <w:color w:val="000000"/>
                <w:sz w:val="20"/>
                <w:szCs w:val="20"/>
              </w:rPr>
            </w:pPr>
            <w:r w:rsidRPr="007C51D6">
              <w:rPr>
                <w:color w:val="000000"/>
                <w:sz w:val="20"/>
                <w:szCs w:val="20"/>
              </w:rPr>
              <w:t>18.9</w:t>
            </w:r>
          </w:p>
        </w:tc>
        <w:tc>
          <w:tcPr>
            <w:tcW w:w="1103" w:type="dxa"/>
            <w:vAlign w:val="center"/>
          </w:tcPr>
          <w:p w:rsidR="007541C1" w:rsidRPr="007C51D6" w:rsidRDefault="007541C1" w:rsidP="007541C1">
            <w:pPr>
              <w:jc w:val="center"/>
              <w:rPr>
                <w:color w:val="000000"/>
                <w:sz w:val="20"/>
                <w:szCs w:val="20"/>
              </w:rPr>
            </w:pPr>
            <w:r w:rsidRPr="007C51D6">
              <w:rPr>
                <w:color w:val="000000"/>
                <w:sz w:val="20"/>
                <w:szCs w:val="20"/>
              </w:rPr>
              <w:t>20,3</w:t>
            </w:r>
          </w:p>
        </w:tc>
        <w:tc>
          <w:tcPr>
            <w:tcW w:w="1077" w:type="dxa"/>
            <w:vAlign w:val="center"/>
          </w:tcPr>
          <w:p w:rsidR="007541C1" w:rsidRPr="007C51D6" w:rsidRDefault="007541C1" w:rsidP="007541C1">
            <w:pPr>
              <w:jc w:val="center"/>
              <w:rPr>
                <w:color w:val="000000"/>
                <w:sz w:val="20"/>
                <w:szCs w:val="20"/>
              </w:rPr>
            </w:pPr>
            <w:r w:rsidRPr="007C51D6">
              <w:rPr>
                <w:color w:val="000000"/>
                <w:sz w:val="20"/>
                <w:szCs w:val="20"/>
              </w:rPr>
              <w:t>18,5</w:t>
            </w:r>
          </w:p>
        </w:tc>
        <w:tc>
          <w:tcPr>
            <w:tcW w:w="1077" w:type="dxa"/>
            <w:vAlign w:val="center"/>
          </w:tcPr>
          <w:p w:rsidR="007541C1" w:rsidRPr="007C51D6" w:rsidRDefault="007541C1" w:rsidP="007541C1">
            <w:pPr>
              <w:jc w:val="center"/>
              <w:rPr>
                <w:color w:val="000000"/>
                <w:sz w:val="20"/>
                <w:szCs w:val="20"/>
              </w:rPr>
            </w:pPr>
            <w:r w:rsidRPr="007C51D6">
              <w:rPr>
                <w:color w:val="000000"/>
                <w:sz w:val="20"/>
                <w:szCs w:val="20"/>
              </w:rPr>
              <w:t>17.2</w:t>
            </w:r>
          </w:p>
        </w:tc>
      </w:tr>
      <w:tr w:rsidR="002E1D90" w:rsidRPr="007C51D6" w:rsidTr="007541C1">
        <w:trPr>
          <w:trHeight w:val="20"/>
        </w:trPr>
        <w:tc>
          <w:tcPr>
            <w:tcW w:w="4531" w:type="dxa"/>
            <w:shd w:val="clear" w:color="auto" w:fill="auto"/>
            <w:hideMark/>
          </w:tcPr>
          <w:p w:rsidR="002E1D90" w:rsidRPr="007C51D6" w:rsidRDefault="002E1D90" w:rsidP="002E1D90">
            <w:pPr>
              <w:autoSpaceDE/>
              <w:autoSpaceDN/>
              <w:adjustRightInd/>
              <w:rPr>
                <w:color w:val="000000"/>
                <w:sz w:val="20"/>
                <w:szCs w:val="20"/>
              </w:rPr>
            </w:pPr>
            <w:r w:rsidRPr="007C51D6">
              <w:rPr>
                <w:color w:val="000000"/>
                <w:sz w:val="20"/>
                <w:szCs w:val="20"/>
              </w:rPr>
              <w:t>Апастовский</w:t>
            </w:r>
          </w:p>
        </w:tc>
        <w:tc>
          <w:tcPr>
            <w:tcW w:w="1134" w:type="dxa"/>
            <w:shd w:val="clear" w:color="auto" w:fill="auto"/>
            <w:vAlign w:val="center"/>
          </w:tcPr>
          <w:p w:rsidR="002E1D90" w:rsidRPr="007C51D6" w:rsidRDefault="002E1D90" w:rsidP="002E1D90">
            <w:pPr>
              <w:jc w:val="center"/>
              <w:rPr>
                <w:color w:val="000000"/>
                <w:sz w:val="20"/>
                <w:szCs w:val="20"/>
              </w:rPr>
            </w:pPr>
            <w:r w:rsidRPr="007C51D6">
              <w:rPr>
                <w:color w:val="000000"/>
                <w:sz w:val="20"/>
                <w:szCs w:val="20"/>
              </w:rPr>
              <w:t>25,0</w:t>
            </w:r>
          </w:p>
        </w:tc>
        <w:tc>
          <w:tcPr>
            <w:tcW w:w="1012" w:type="dxa"/>
            <w:shd w:val="clear" w:color="auto" w:fill="auto"/>
            <w:vAlign w:val="center"/>
          </w:tcPr>
          <w:p w:rsidR="002E1D90" w:rsidRPr="007C51D6" w:rsidRDefault="002E1D90" w:rsidP="002E1D90">
            <w:pPr>
              <w:jc w:val="center"/>
              <w:rPr>
                <w:color w:val="000000"/>
                <w:sz w:val="20"/>
                <w:szCs w:val="20"/>
              </w:rPr>
            </w:pPr>
            <w:r w:rsidRPr="007C51D6">
              <w:rPr>
                <w:color w:val="000000"/>
                <w:sz w:val="20"/>
                <w:szCs w:val="20"/>
              </w:rPr>
              <w:t>33,3</w:t>
            </w:r>
          </w:p>
        </w:tc>
        <w:tc>
          <w:tcPr>
            <w:tcW w:w="1012" w:type="dxa"/>
            <w:shd w:val="clear" w:color="auto" w:fill="auto"/>
            <w:vAlign w:val="center"/>
          </w:tcPr>
          <w:p w:rsidR="002E1D90" w:rsidRPr="007C51D6" w:rsidRDefault="002E1D90" w:rsidP="002E1D90">
            <w:pPr>
              <w:jc w:val="center"/>
              <w:rPr>
                <w:color w:val="000000"/>
                <w:sz w:val="20"/>
                <w:szCs w:val="20"/>
              </w:rPr>
            </w:pPr>
            <w:r w:rsidRPr="007C51D6">
              <w:rPr>
                <w:color w:val="000000"/>
                <w:sz w:val="20"/>
                <w:szCs w:val="20"/>
              </w:rPr>
              <w:t>36,6</w:t>
            </w:r>
          </w:p>
        </w:tc>
        <w:tc>
          <w:tcPr>
            <w:tcW w:w="1011" w:type="dxa"/>
            <w:shd w:val="clear" w:color="auto" w:fill="auto"/>
            <w:vAlign w:val="center"/>
          </w:tcPr>
          <w:p w:rsidR="002E1D90" w:rsidRPr="007C51D6" w:rsidRDefault="002E1D90" w:rsidP="002E1D90">
            <w:pPr>
              <w:jc w:val="center"/>
              <w:rPr>
                <w:color w:val="000000"/>
                <w:sz w:val="20"/>
                <w:szCs w:val="20"/>
              </w:rPr>
            </w:pPr>
            <w:r w:rsidRPr="007C51D6">
              <w:rPr>
                <w:color w:val="000000"/>
                <w:sz w:val="20"/>
                <w:szCs w:val="20"/>
              </w:rPr>
              <w:t>28,2</w:t>
            </w:r>
          </w:p>
        </w:tc>
        <w:tc>
          <w:tcPr>
            <w:tcW w:w="1012" w:type="dxa"/>
            <w:shd w:val="clear" w:color="auto" w:fill="auto"/>
            <w:vAlign w:val="center"/>
          </w:tcPr>
          <w:p w:rsidR="002E1D90" w:rsidRPr="007C51D6" w:rsidRDefault="002E1D90" w:rsidP="002E1D90">
            <w:pPr>
              <w:jc w:val="center"/>
              <w:rPr>
                <w:color w:val="000000"/>
                <w:sz w:val="20"/>
                <w:szCs w:val="20"/>
              </w:rPr>
            </w:pPr>
            <w:r w:rsidRPr="007C51D6">
              <w:rPr>
                <w:color w:val="000000"/>
                <w:sz w:val="20"/>
                <w:szCs w:val="20"/>
              </w:rPr>
              <w:t>8,3</w:t>
            </w:r>
          </w:p>
        </w:tc>
        <w:tc>
          <w:tcPr>
            <w:tcW w:w="1012" w:type="dxa"/>
            <w:vAlign w:val="center"/>
          </w:tcPr>
          <w:p w:rsidR="002E1D90" w:rsidRPr="007C51D6" w:rsidRDefault="002E1D90" w:rsidP="002E1D90">
            <w:pPr>
              <w:jc w:val="center"/>
              <w:rPr>
                <w:color w:val="000000"/>
                <w:sz w:val="20"/>
                <w:szCs w:val="20"/>
              </w:rPr>
            </w:pPr>
            <w:r w:rsidRPr="007C51D6">
              <w:rPr>
                <w:color w:val="000000"/>
                <w:sz w:val="20"/>
                <w:szCs w:val="20"/>
              </w:rPr>
              <w:t>20,0</w:t>
            </w:r>
          </w:p>
        </w:tc>
        <w:tc>
          <w:tcPr>
            <w:tcW w:w="1109" w:type="dxa"/>
            <w:vAlign w:val="center"/>
          </w:tcPr>
          <w:p w:rsidR="002E1D90" w:rsidRPr="007C51D6" w:rsidRDefault="002E1D90" w:rsidP="002E1D90">
            <w:pPr>
              <w:jc w:val="center"/>
              <w:rPr>
                <w:color w:val="000000"/>
                <w:sz w:val="20"/>
                <w:szCs w:val="20"/>
              </w:rPr>
            </w:pPr>
            <w:r w:rsidRPr="007C51D6">
              <w:rPr>
                <w:color w:val="000000"/>
                <w:sz w:val="20"/>
                <w:szCs w:val="20"/>
              </w:rPr>
              <w:t>15,7</w:t>
            </w:r>
          </w:p>
        </w:tc>
        <w:tc>
          <w:tcPr>
            <w:tcW w:w="1103" w:type="dxa"/>
            <w:vAlign w:val="center"/>
          </w:tcPr>
          <w:p w:rsidR="002E1D90" w:rsidRPr="007C51D6" w:rsidRDefault="002E1D90" w:rsidP="002E1D90">
            <w:pPr>
              <w:jc w:val="center"/>
              <w:rPr>
                <w:color w:val="000000"/>
                <w:sz w:val="20"/>
                <w:szCs w:val="20"/>
              </w:rPr>
            </w:pPr>
            <w:r w:rsidRPr="007C51D6">
              <w:rPr>
                <w:color w:val="000000"/>
                <w:sz w:val="20"/>
                <w:szCs w:val="20"/>
              </w:rPr>
              <w:t>13,5</w:t>
            </w:r>
          </w:p>
        </w:tc>
        <w:tc>
          <w:tcPr>
            <w:tcW w:w="1077" w:type="dxa"/>
            <w:vAlign w:val="center"/>
          </w:tcPr>
          <w:p w:rsidR="002E1D90" w:rsidRPr="007C51D6" w:rsidRDefault="002E1D90" w:rsidP="002E1D90">
            <w:pPr>
              <w:jc w:val="center"/>
              <w:rPr>
                <w:color w:val="000000"/>
                <w:sz w:val="20"/>
                <w:szCs w:val="20"/>
              </w:rPr>
            </w:pPr>
            <w:r w:rsidRPr="007C51D6">
              <w:rPr>
                <w:color w:val="000000"/>
                <w:sz w:val="20"/>
                <w:szCs w:val="20"/>
              </w:rPr>
              <w:t>20,7</w:t>
            </w:r>
          </w:p>
        </w:tc>
        <w:tc>
          <w:tcPr>
            <w:tcW w:w="1077" w:type="dxa"/>
            <w:vAlign w:val="center"/>
          </w:tcPr>
          <w:p w:rsidR="002E1D90" w:rsidRPr="007C51D6" w:rsidRDefault="002E1D90" w:rsidP="002E1D90">
            <w:pPr>
              <w:jc w:val="center"/>
              <w:rPr>
                <w:color w:val="000000"/>
                <w:sz w:val="20"/>
                <w:szCs w:val="20"/>
              </w:rPr>
            </w:pPr>
            <w:r w:rsidRPr="007C51D6">
              <w:rPr>
                <w:color w:val="000000"/>
                <w:sz w:val="20"/>
                <w:szCs w:val="20"/>
              </w:rPr>
              <w:t>9.9</w:t>
            </w:r>
          </w:p>
        </w:tc>
      </w:tr>
      <w:tr w:rsidR="002E1D90" w:rsidRPr="007C51D6" w:rsidTr="007541C1">
        <w:trPr>
          <w:trHeight w:val="20"/>
        </w:trPr>
        <w:tc>
          <w:tcPr>
            <w:tcW w:w="4531" w:type="dxa"/>
            <w:shd w:val="clear" w:color="auto" w:fill="auto"/>
            <w:hideMark/>
          </w:tcPr>
          <w:p w:rsidR="002E1D90" w:rsidRPr="007C51D6" w:rsidRDefault="002E1D90" w:rsidP="002E1D90">
            <w:pPr>
              <w:autoSpaceDE/>
              <w:autoSpaceDN/>
              <w:adjustRightInd/>
              <w:rPr>
                <w:color w:val="000000"/>
                <w:sz w:val="20"/>
                <w:szCs w:val="20"/>
              </w:rPr>
            </w:pPr>
            <w:r w:rsidRPr="007C51D6">
              <w:rPr>
                <w:color w:val="000000"/>
                <w:sz w:val="20"/>
                <w:szCs w:val="20"/>
              </w:rPr>
              <w:t>Арский</w:t>
            </w:r>
          </w:p>
        </w:tc>
        <w:tc>
          <w:tcPr>
            <w:tcW w:w="1134" w:type="dxa"/>
            <w:shd w:val="clear" w:color="auto" w:fill="auto"/>
            <w:vAlign w:val="center"/>
          </w:tcPr>
          <w:p w:rsidR="002E1D90" w:rsidRPr="007C51D6" w:rsidRDefault="002E1D90" w:rsidP="002E1D90">
            <w:pPr>
              <w:jc w:val="center"/>
              <w:rPr>
                <w:color w:val="000000"/>
                <w:sz w:val="20"/>
                <w:szCs w:val="20"/>
              </w:rPr>
            </w:pPr>
            <w:r w:rsidRPr="007C51D6">
              <w:rPr>
                <w:color w:val="000000"/>
                <w:sz w:val="20"/>
                <w:szCs w:val="20"/>
              </w:rPr>
              <w:t>22,4</w:t>
            </w:r>
          </w:p>
        </w:tc>
        <w:tc>
          <w:tcPr>
            <w:tcW w:w="1012" w:type="dxa"/>
            <w:shd w:val="clear" w:color="auto" w:fill="auto"/>
            <w:vAlign w:val="center"/>
          </w:tcPr>
          <w:p w:rsidR="002E1D90" w:rsidRPr="007C51D6" w:rsidRDefault="002E1D90" w:rsidP="002E1D90">
            <w:pPr>
              <w:jc w:val="center"/>
              <w:rPr>
                <w:color w:val="000000"/>
                <w:sz w:val="20"/>
                <w:szCs w:val="20"/>
              </w:rPr>
            </w:pPr>
            <w:r w:rsidRPr="007C51D6">
              <w:rPr>
                <w:color w:val="000000"/>
                <w:sz w:val="20"/>
                <w:szCs w:val="20"/>
              </w:rPr>
              <w:t>22,8</w:t>
            </w:r>
          </w:p>
        </w:tc>
        <w:tc>
          <w:tcPr>
            <w:tcW w:w="1012" w:type="dxa"/>
            <w:shd w:val="clear" w:color="auto" w:fill="auto"/>
            <w:vAlign w:val="center"/>
          </w:tcPr>
          <w:p w:rsidR="002E1D90" w:rsidRPr="007C51D6" w:rsidRDefault="002E1D90" w:rsidP="002E1D90">
            <w:pPr>
              <w:jc w:val="center"/>
              <w:rPr>
                <w:color w:val="000000"/>
                <w:sz w:val="20"/>
                <w:szCs w:val="20"/>
              </w:rPr>
            </w:pPr>
            <w:r w:rsidRPr="007C51D6">
              <w:rPr>
                <w:color w:val="000000"/>
                <w:sz w:val="20"/>
                <w:szCs w:val="20"/>
              </w:rPr>
              <w:t>26,8</w:t>
            </w:r>
          </w:p>
        </w:tc>
        <w:tc>
          <w:tcPr>
            <w:tcW w:w="1011" w:type="dxa"/>
            <w:shd w:val="clear" w:color="auto" w:fill="auto"/>
            <w:vAlign w:val="center"/>
          </w:tcPr>
          <w:p w:rsidR="002E1D90" w:rsidRPr="007C51D6" w:rsidRDefault="002E1D90" w:rsidP="002E1D90">
            <w:pPr>
              <w:jc w:val="center"/>
              <w:rPr>
                <w:color w:val="000000"/>
                <w:sz w:val="20"/>
                <w:szCs w:val="20"/>
              </w:rPr>
            </w:pPr>
            <w:r w:rsidRPr="007C51D6">
              <w:rPr>
                <w:color w:val="000000"/>
                <w:sz w:val="20"/>
                <w:szCs w:val="20"/>
              </w:rPr>
              <w:t>22,2</w:t>
            </w:r>
          </w:p>
        </w:tc>
        <w:tc>
          <w:tcPr>
            <w:tcW w:w="1012" w:type="dxa"/>
            <w:shd w:val="clear" w:color="auto" w:fill="auto"/>
            <w:vAlign w:val="center"/>
          </w:tcPr>
          <w:p w:rsidR="002E1D90" w:rsidRPr="007C51D6" w:rsidRDefault="002E1D90" w:rsidP="002E1D90">
            <w:pPr>
              <w:jc w:val="center"/>
              <w:rPr>
                <w:color w:val="000000"/>
                <w:sz w:val="20"/>
                <w:szCs w:val="20"/>
              </w:rPr>
            </w:pPr>
            <w:r w:rsidRPr="007C51D6">
              <w:rPr>
                <w:color w:val="000000"/>
                <w:sz w:val="20"/>
                <w:szCs w:val="20"/>
              </w:rPr>
              <w:t>22,9</w:t>
            </w:r>
          </w:p>
        </w:tc>
        <w:tc>
          <w:tcPr>
            <w:tcW w:w="1012" w:type="dxa"/>
            <w:vAlign w:val="center"/>
          </w:tcPr>
          <w:p w:rsidR="002E1D90" w:rsidRPr="007C51D6" w:rsidRDefault="002E1D90" w:rsidP="002E1D90">
            <w:pPr>
              <w:jc w:val="center"/>
              <w:rPr>
                <w:color w:val="000000"/>
                <w:sz w:val="20"/>
                <w:szCs w:val="20"/>
              </w:rPr>
            </w:pPr>
            <w:r w:rsidRPr="007C51D6">
              <w:rPr>
                <w:color w:val="000000"/>
                <w:sz w:val="20"/>
                <w:szCs w:val="20"/>
              </w:rPr>
              <w:t>22,8</w:t>
            </w:r>
          </w:p>
        </w:tc>
        <w:tc>
          <w:tcPr>
            <w:tcW w:w="1109" w:type="dxa"/>
            <w:vAlign w:val="center"/>
          </w:tcPr>
          <w:p w:rsidR="002E1D90" w:rsidRPr="007C51D6" w:rsidRDefault="002E1D90" w:rsidP="002E1D90">
            <w:pPr>
              <w:jc w:val="center"/>
              <w:rPr>
                <w:color w:val="000000"/>
                <w:sz w:val="20"/>
                <w:szCs w:val="20"/>
              </w:rPr>
            </w:pPr>
            <w:r w:rsidRPr="007C51D6">
              <w:rPr>
                <w:color w:val="000000"/>
                <w:sz w:val="20"/>
                <w:szCs w:val="20"/>
              </w:rPr>
              <w:t>23,3</w:t>
            </w:r>
          </w:p>
        </w:tc>
        <w:tc>
          <w:tcPr>
            <w:tcW w:w="1103" w:type="dxa"/>
            <w:vAlign w:val="center"/>
          </w:tcPr>
          <w:p w:rsidR="002E1D90" w:rsidRPr="007C51D6" w:rsidRDefault="002E1D90" w:rsidP="002E1D90">
            <w:pPr>
              <w:jc w:val="center"/>
              <w:rPr>
                <w:color w:val="000000"/>
                <w:sz w:val="20"/>
                <w:szCs w:val="20"/>
              </w:rPr>
            </w:pPr>
            <w:r w:rsidRPr="007C51D6">
              <w:rPr>
                <w:color w:val="000000"/>
                <w:sz w:val="20"/>
                <w:szCs w:val="20"/>
              </w:rPr>
              <w:t>16,9</w:t>
            </w:r>
          </w:p>
        </w:tc>
        <w:tc>
          <w:tcPr>
            <w:tcW w:w="1077" w:type="dxa"/>
            <w:vAlign w:val="center"/>
          </w:tcPr>
          <w:p w:rsidR="002E1D90" w:rsidRPr="007C51D6" w:rsidRDefault="002E1D90" w:rsidP="002E1D90">
            <w:pPr>
              <w:jc w:val="center"/>
              <w:rPr>
                <w:color w:val="000000"/>
                <w:sz w:val="20"/>
                <w:szCs w:val="20"/>
              </w:rPr>
            </w:pPr>
            <w:r w:rsidRPr="007C51D6">
              <w:rPr>
                <w:color w:val="000000"/>
                <w:sz w:val="20"/>
                <w:szCs w:val="20"/>
              </w:rPr>
              <w:t>17,9</w:t>
            </w:r>
          </w:p>
        </w:tc>
        <w:tc>
          <w:tcPr>
            <w:tcW w:w="1077" w:type="dxa"/>
            <w:vAlign w:val="center"/>
          </w:tcPr>
          <w:p w:rsidR="002E1D90" w:rsidRPr="007C51D6" w:rsidRDefault="002E1D90" w:rsidP="002E1D90">
            <w:pPr>
              <w:jc w:val="center"/>
              <w:rPr>
                <w:color w:val="000000"/>
                <w:sz w:val="20"/>
                <w:szCs w:val="20"/>
              </w:rPr>
            </w:pPr>
            <w:r w:rsidRPr="007C51D6">
              <w:rPr>
                <w:color w:val="000000"/>
                <w:sz w:val="20"/>
                <w:szCs w:val="20"/>
              </w:rPr>
              <w:t>22.6</w:t>
            </w:r>
          </w:p>
        </w:tc>
      </w:tr>
      <w:tr w:rsidR="002E1D90" w:rsidRPr="007C51D6" w:rsidTr="007541C1">
        <w:trPr>
          <w:trHeight w:val="20"/>
        </w:trPr>
        <w:tc>
          <w:tcPr>
            <w:tcW w:w="4531" w:type="dxa"/>
            <w:shd w:val="clear" w:color="auto" w:fill="auto"/>
            <w:hideMark/>
          </w:tcPr>
          <w:p w:rsidR="002E1D90" w:rsidRPr="007C51D6" w:rsidRDefault="002E1D90" w:rsidP="002E1D90">
            <w:pPr>
              <w:autoSpaceDE/>
              <w:autoSpaceDN/>
              <w:adjustRightInd/>
              <w:rPr>
                <w:color w:val="000000"/>
                <w:sz w:val="20"/>
                <w:szCs w:val="20"/>
              </w:rPr>
            </w:pPr>
            <w:r w:rsidRPr="007C51D6">
              <w:rPr>
                <w:color w:val="000000"/>
                <w:sz w:val="20"/>
                <w:szCs w:val="20"/>
              </w:rPr>
              <w:t>Атнинский</w:t>
            </w:r>
          </w:p>
        </w:tc>
        <w:tc>
          <w:tcPr>
            <w:tcW w:w="1134" w:type="dxa"/>
            <w:shd w:val="clear" w:color="auto" w:fill="auto"/>
            <w:vAlign w:val="center"/>
          </w:tcPr>
          <w:p w:rsidR="002E1D90" w:rsidRPr="007C51D6" w:rsidRDefault="002E1D90" w:rsidP="002E1D90">
            <w:pPr>
              <w:jc w:val="center"/>
              <w:rPr>
                <w:color w:val="000000"/>
                <w:sz w:val="20"/>
                <w:szCs w:val="20"/>
              </w:rPr>
            </w:pPr>
            <w:r w:rsidRPr="007C51D6">
              <w:rPr>
                <w:color w:val="000000"/>
                <w:sz w:val="20"/>
                <w:szCs w:val="20"/>
              </w:rPr>
              <w:t>27,5</w:t>
            </w:r>
          </w:p>
        </w:tc>
        <w:tc>
          <w:tcPr>
            <w:tcW w:w="1012" w:type="dxa"/>
            <w:shd w:val="clear" w:color="auto" w:fill="auto"/>
            <w:vAlign w:val="center"/>
          </w:tcPr>
          <w:p w:rsidR="002E1D90" w:rsidRPr="007C51D6" w:rsidRDefault="002E1D90" w:rsidP="002E1D90">
            <w:pPr>
              <w:jc w:val="center"/>
              <w:rPr>
                <w:color w:val="000000"/>
                <w:sz w:val="20"/>
                <w:szCs w:val="20"/>
              </w:rPr>
            </w:pPr>
            <w:r w:rsidRPr="007C51D6">
              <w:rPr>
                <w:color w:val="000000"/>
                <w:sz w:val="20"/>
                <w:szCs w:val="20"/>
              </w:rPr>
              <w:t>35,0</w:t>
            </w:r>
          </w:p>
        </w:tc>
        <w:tc>
          <w:tcPr>
            <w:tcW w:w="1012" w:type="dxa"/>
            <w:shd w:val="clear" w:color="auto" w:fill="auto"/>
            <w:vAlign w:val="center"/>
          </w:tcPr>
          <w:p w:rsidR="002E1D90" w:rsidRPr="007C51D6" w:rsidRDefault="002E1D90" w:rsidP="002E1D90">
            <w:pPr>
              <w:jc w:val="center"/>
              <w:rPr>
                <w:color w:val="000000"/>
                <w:sz w:val="20"/>
                <w:szCs w:val="20"/>
              </w:rPr>
            </w:pPr>
            <w:r w:rsidRPr="007C51D6">
              <w:rPr>
                <w:color w:val="000000"/>
                <w:sz w:val="20"/>
                <w:szCs w:val="20"/>
              </w:rPr>
              <w:t>18,0</w:t>
            </w:r>
          </w:p>
        </w:tc>
        <w:tc>
          <w:tcPr>
            <w:tcW w:w="1011" w:type="dxa"/>
            <w:shd w:val="clear" w:color="auto" w:fill="auto"/>
            <w:vAlign w:val="center"/>
          </w:tcPr>
          <w:p w:rsidR="002E1D90" w:rsidRPr="007C51D6" w:rsidRDefault="002E1D90" w:rsidP="002E1D90">
            <w:pPr>
              <w:jc w:val="center"/>
              <w:rPr>
                <w:color w:val="000000"/>
                <w:sz w:val="20"/>
                <w:szCs w:val="20"/>
              </w:rPr>
            </w:pPr>
            <w:r w:rsidRPr="007C51D6">
              <w:rPr>
                <w:color w:val="000000"/>
                <w:sz w:val="20"/>
                <w:szCs w:val="20"/>
              </w:rPr>
              <w:t>16,3</w:t>
            </w:r>
          </w:p>
        </w:tc>
        <w:tc>
          <w:tcPr>
            <w:tcW w:w="1012" w:type="dxa"/>
            <w:shd w:val="clear" w:color="auto" w:fill="auto"/>
            <w:vAlign w:val="center"/>
          </w:tcPr>
          <w:p w:rsidR="002E1D90" w:rsidRPr="007C51D6" w:rsidRDefault="002E1D90" w:rsidP="002E1D90">
            <w:pPr>
              <w:jc w:val="center"/>
              <w:rPr>
                <w:color w:val="000000"/>
                <w:sz w:val="20"/>
                <w:szCs w:val="20"/>
              </w:rPr>
            </w:pPr>
            <w:r w:rsidRPr="007C51D6">
              <w:rPr>
                <w:color w:val="000000"/>
                <w:sz w:val="20"/>
                <w:szCs w:val="20"/>
              </w:rPr>
              <w:t>21,4</w:t>
            </w:r>
          </w:p>
        </w:tc>
        <w:tc>
          <w:tcPr>
            <w:tcW w:w="1012" w:type="dxa"/>
            <w:vAlign w:val="center"/>
          </w:tcPr>
          <w:p w:rsidR="002E1D90" w:rsidRPr="007C51D6" w:rsidRDefault="002E1D90" w:rsidP="002E1D90">
            <w:pPr>
              <w:jc w:val="center"/>
              <w:rPr>
                <w:color w:val="000000"/>
                <w:sz w:val="20"/>
                <w:szCs w:val="20"/>
              </w:rPr>
            </w:pPr>
            <w:r w:rsidRPr="007C51D6">
              <w:rPr>
                <w:color w:val="000000"/>
                <w:sz w:val="20"/>
                <w:szCs w:val="20"/>
              </w:rPr>
              <w:t>18,2</w:t>
            </w:r>
          </w:p>
        </w:tc>
        <w:tc>
          <w:tcPr>
            <w:tcW w:w="1109" w:type="dxa"/>
            <w:vAlign w:val="center"/>
          </w:tcPr>
          <w:p w:rsidR="002E1D90" w:rsidRPr="007C51D6" w:rsidRDefault="002E1D90" w:rsidP="002E1D90">
            <w:pPr>
              <w:jc w:val="center"/>
              <w:rPr>
                <w:color w:val="000000"/>
                <w:sz w:val="20"/>
                <w:szCs w:val="20"/>
              </w:rPr>
            </w:pPr>
            <w:r w:rsidRPr="007C51D6">
              <w:rPr>
                <w:color w:val="000000"/>
                <w:sz w:val="20"/>
                <w:szCs w:val="20"/>
              </w:rPr>
              <w:t>15,6</w:t>
            </w:r>
          </w:p>
        </w:tc>
        <w:tc>
          <w:tcPr>
            <w:tcW w:w="1103" w:type="dxa"/>
            <w:vAlign w:val="center"/>
          </w:tcPr>
          <w:p w:rsidR="002E1D90" w:rsidRPr="007C51D6" w:rsidRDefault="002E1D90" w:rsidP="002E1D90">
            <w:pPr>
              <w:jc w:val="center"/>
              <w:rPr>
                <w:color w:val="000000"/>
                <w:sz w:val="20"/>
                <w:szCs w:val="20"/>
              </w:rPr>
            </w:pPr>
            <w:r w:rsidRPr="007C51D6">
              <w:rPr>
                <w:color w:val="000000"/>
                <w:sz w:val="20"/>
                <w:szCs w:val="20"/>
              </w:rPr>
              <w:t>14,6</w:t>
            </w:r>
          </w:p>
        </w:tc>
        <w:tc>
          <w:tcPr>
            <w:tcW w:w="1077" w:type="dxa"/>
            <w:vAlign w:val="center"/>
          </w:tcPr>
          <w:p w:rsidR="002E1D90" w:rsidRPr="007C51D6" w:rsidRDefault="002E1D90" w:rsidP="002E1D90">
            <w:pPr>
              <w:jc w:val="center"/>
              <w:rPr>
                <w:color w:val="000000"/>
                <w:sz w:val="20"/>
                <w:szCs w:val="20"/>
              </w:rPr>
            </w:pPr>
            <w:r w:rsidRPr="007C51D6">
              <w:rPr>
                <w:color w:val="000000"/>
                <w:sz w:val="20"/>
                <w:szCs w:val="20"/>
              </w:rPr>
              <w:t>14,8</w:t>
            </w:r>
          </w:p>
        </w:tc>
        <w:tc>
          <w:tcPr>
            <w:tcW w:w="1077" w:type="dxa"/>
            <w:vAlign w:val="center"/>
          </w:tcPr>
          <w:p w:rsidR="002E1D90" w:rsidRPr="007C51D6" w:rsidRDefault="002E1D90" w:rsidP="002E1D90">
            <w:pPr>
              <w:jc w:val="center"/>
              <w:rPr>
                <w:color w:val="000000"/>
                <w:sz w:val="20"/>
                <w:szCs w:val="20"/>
              </w:rPr>
            </w:pPr>
            <w:r w:rsidRPr="007C51D6">
              <w:rPr>
                <w:color w:val="000000"/>
                <w:sz w:val="20"/>
                <w:szCs w:val="20"/>
              </w:rPr>
              <w:t>20.0</w:t>
            </w:r>
          </w:p>
        </w:tc>
      </w:tr>
      <w:tr w:rsidR="002E1D90" w:rsidRPr="007C51D6" w:rsidTr="007541C1">
        <w:trPr>
          <w:trHeight w:val="20"/>
        </w:trPr>
        <w:tc>
          <w:tcPr>
            <w:tcW w:w="4531" w:type="dxa"/>
            <w:shd w:val="clear" w:color="auto" w:fill="auto"/>
            <w:hideMark/>
          </w:tcPr>
          <w:p w:rsidR="002E1D90" w:rsidRPr="007C51D6" w:rsidRDefault="002E1D90" w:rsidP="002E1D90">
            <w:pPr>
              <w:autoSpaceDE/>
              <w:autoSpaceDN/>
              <w:adjustRightInd/>
              <w:rPr>
                <w:color w:val="000000"/>
                <w:sz w:val="20"/>
                <w:szCs w:val="20"/>
              </w:rPr>
            </w:pPr>
            <w:r w:rsidRPr="007C51D6">
              <w:rPr>
                <w:color w:val="000000"/>
                <w:sz w:val="20"/>
                <w:szCs w:val="20"/>
              </w:rPr>
              <w:t>Бавлинский</w:t>
            </w:r>
          </w:p>
        </w:tc>
        <w:tc>
          <w:tcPr>
            <w:tcW w:w="1134" w:type="dxa"/>
            <w:shd w:val="clear" w:color="auto" w:fill="auto"/>
            <w:vAlign w:val="center"/>
          </w:tcPr>
          <w:p w:rsidR="002E1D90" w:rsidRPr="007C51D6" w:rsidRDefault="002E1D90" w:rsidP="002E1D90">
            <w:pPr>
              <w:jc w:val="center"/>
              <w:rPr>
                <w:color w:val="000000"/>
                <w:sz w:val="20"/>
                <w:szCs w:val="20"/>
              </w:rPr>
            </w:pPr>
            <w:r w:rsidRPr="007C51D6">
              <w:rPr>
                <w:color w:val="000000"/>
                <w:sz w:val="20"/>
                <w:szCs w:val="20"/>
              </w:rPr>
              <w:t>31,4</w:t>
            </w:r>
          </w:p>
        </w:tc>
        <w:tc>
          <w:tcPr>
            <w:tcW w:w="1012" w:type="dxa"/>
            <w:shd w:val="clear" w:color="auto" w:fill="auto"/>
            <w:vAlign w:val="center"/>
          </w:tcPr>
          <w:p w:rsidR="002E1D90" w:rsidRPr="007C51D6" w:rsidRDefault="002E1D90" w:rsidP="002E1D90">
            <w:pPr>
              <w:jc w:val="center"/>
              <w:rPr>
                <w:color w:val="000000"/>
                <w:sz w:val="20"/>
                <w:szCs w:val="20"/>
              </w:rPr>
            </w:pPr>
            <w:r w:rsidRPr="007C51D6">
              <w:rPr>
                <w:color w:val="000000"/>
                <w:sz w:val="20"/>
                <w:szCs w:val="20"/>
              </w:rPr>
              <w:t>29,7</w:t>
            </w:r>
          </w:p>
        </w:tc>
        <w:tc>
          <w:tcPr>
            <w:tcW w:w="1012" w:type="dxa"/>
            <w:shd w:val="clear" w:color="auto" w:fill="auto"/>
            <w:vAlign w:val="center"/>
          </w:tcPr>
          <w:p w:rsidR="002E1D90" w:rsidRPr="007C51D6" w:rsidRDefault="002E1D90" w:rsidP="002E1D90">
            <w:pPr>
              <w:jc w:val="center"/>
              <w:rPr>
                <w:color w:val="000000"/>
                <w:sz w:val="20"/>
                <w:szCs w:val="20"/>
              </w:rPr>
            </w:pPr>
            <w:r w:rsidRPr="007C51D6">
              <w:rPr>
                <w:color w:val="000000"/>
                <w:sz w:val="20"/>
                <w:szCs w:val="20"/>
              </w:rPr>
              <w:t>24,7</w:t>
            </w:r>
          </w:p>
        </w:tc>
        <w:tc>
          <w:tcPr>
            <w:tcW w:w="1011" w:type="dxa"/>
            <w:shd w:val="clear" w:color="auto" w:fill="auto"/>
            <w:vAlign w:val="center"/>
          </w:tcPr>
          <w:p w:rsidR="002E1D90" w:rsidRPr="007C51D6" w:rsidRDefault="002E1D90" w:rsidP="002E1D90">
            <w:pPr>
              <w:jc w:val="center"/>
              <w:rPr>
                <w:color w:val="000000"/>
                <w:sz w:val="20"/>
                <w:szCs w:val="20"/>
              </w:rPr>
            </w:pPr>
            <w:r w:rsidRPr="007C51D6">
              <w:rPr>
                <w:color w:val="000000"/>
                <w:sz w:val="20"/>
                <w:szCs w:val="20"/>
              </w:rPr>
              <w:t>27,3</w:t>
            </w:r>
          </w:p>
        </w:tc>
        <w:tc>
          <w:tcPr>
            <w:tcW w:w="1012" w:type="dxa"/>
            <w:shd w:val="clear" w:color="auto" w:fill="auto"/>
            <w:vAlign w:val="center"/>
          </w:tcPr>
          <w:p w:rsidR="002E1D90" w:rsidRPr="007C51D6" w:rsidRDefault="002E1D90" w:rsidP="002E1D90">
            <w:pPr>
              <w:jc w:val="center"/>
              <w:rPr>
                <w:color w:val="000000"/>
                <w:sz w:val="20"/>
                <w:szCs w:val="20"/>
              </w:rPr>
            </w:pPr>
            <w:r w:rsidRPr="007C51D6">
              <w:rPr>
                <w:color w:val="000000"/>
                <w:sz w:val="20"/>
                <w:szCs w:val="20"/>
              </w:rPr>
              <w:t>29,1</w:t>
            </w:r>
          </w:p>
        </w:tc>
        <w:tc>
          <w:tcPr>
            <w:tcW w:w="1012" w:type="dxa"/>
            <w:vAlign w:val="center"/>
          </w:tcPr>
          <w:p w:rsidR="002E1D90" w:rsidRPr="007C51D6" w:rsidRDefault="002E1D90" w:rsidP="002E1D90">
            <w:pPr>
              <w:jc w:val="center"/>
              <w:rPr>
                <w:color w:val="000000"/>
                <w:sz w:val="20"/>
                <w:szCs w:val="20"/>
              </w:rPr>
            </w:pPr>
            <w:r w:rsidRPr="007C51D6">
              <w:rPr>
                <w:color w:val="000000"/>
                <w:sz w:val="20"/>
                <w:szCs w:val="20"/>
              </w:rPr>
              <w:t>26,9</w:t>
            </w:r>
          </w:p>
        </w:tc>
        <w:tc>
          <w:tcPr>
            <w:tcW w:w="1109" w:type="dxa"/>
            <w:vAlign w:val="center"/>
          </w:tcPr>
          <w:p w:rsidR="002E1D90" w:rsidRPr="007C51D6" w:rsidRDefault="002E1D90" w:rsidP="002E1D90">
            <w:pPr>
              <w:jc w:val="center"/>
              <w:rPr>
                <w:color w:val="000000"/>
                <w:sz w:val="20"/>
                <w:szCs w:val="20"/>
              </w:rPr>
            </w:pPr>
            <w:r w:rsidRPr="007C51D6">
              <w:rPr>
                <w:color w:val="000000"/>
                <w:sz w:val="20"/>
                <w:szCs w:val="20"/>
              </w:rPr>
              <w:t>23,4</w:t>
            </w:r>
          </w:p>
        </w:tc>
        <w:tc>
          <w:tcPr>
            <w:tcW w:w="1103" w:type="dxa"/>
            <w:vAlign w:val="center"/>
          </w:tcPr>
          <w:p w:rsidR="002E1D90" w:rsidRPr="007C51D6" w:rsidRDefault="002E1D90" w:rsidP="002E1D90">
            <w:pPr>
              <w:jc w:val="center"/>
              <w:rPr>
                <w:color w:val="000000"/>
                <w:sz w:val="20"/>
                <w:szCs w:val="20"/>
              </w:rPr>
            </w:pPr>
            <w:r w:rsidRPr="007C51D6">
              <w:rPr>
                <w:color w:val="000000"/>
                <w:sz w:val="20"/>
                <w:szCs w:val="20"/>
              </w:rPr>
              <w:t>15,9</w:t>
            </w:r>
          </w:p>
        </w:tc>
        <w:tc>
          <w:tcPr>
            <w:tcW w:w="1077" w:type="dxa"/>
            <w:vAlign w:val="center"/>
          </w:tcPr>
          <w:p w:rsidR="002E1D90" w:rsidRPr="007C51D6" w:rsidRDefault="002E1D90" w:rsidP="002E1D90">
            <w:pPr>
              <w:jc w:val="center"/>
              <w:rPr>
                <w:color w:val="000000"/>
                <w:sz w:val="20"/>
                <w:szCs w:val="20"/>
              </w:rPr>
            </w:pPr>
            <w:r w:rsidRPr="007C51D6">
              <w:rPr>
                <w:color w:val="000000"/>
                <w:sz w:val="20"/>
                <w:szCs w:val="20"/>
              </w:rPr>
              <w:t>16,8</w:t>
            </w:r>
          </w:p>
        </w:tc>
        <w:tc>
          <w:tcPr>
            <w:tcW w:w="1077" w:type="dxa"/>
            <w:vAlign w:val="center"/>
          </w:tcPr>
          <w:p w:rsidR="002E1D90" w:rsidRPr="007C51D6" w:rsidRDefault="002E1D90" w:rsidP="002E1D90">
            <w:pPr>
              <w:jc w:val="center"/>
              <w:rPr>
                <w:color w:val="000000"/>
                <w:sz w:val="20"/>
                <w:szCs w:val="20"/>
              </w:rPr>
            </w:pPr>
            <w:r w:rsidRPr="007C51D6">
              <w:rPr>
                <w:color w:val="000000"/>
                <w:sz w:val="20"/>
                <w:szCs w:val="20"/>
              </w:rPr>
              <w:t>16.5</w:t>
            </w:r>
          </w:p>
        </w:tc>
      </w:tr>
      <w:tr w:rsidR="002E1D90" w:rsidRPr="007C51D6" w:rsidTr="007541C1">
        <w:trPr>
          <w:trHeight w:val="20"/>
        </w:trPr>
        <w:tc>
          <w:tcPr>
            <w:tcW w:w="4531" w:type="dxa"/>
            <w:shd w:val="clear" w:color="auto" w:fill="auto"/>
            <w:hideMark/>
          </w:tcPr>
          <w:p w:rsidR="002E1D90" w:rsidRPr="007C51D6" w:rsidRDefault="002E1D90" w:rsidP="002E1D90">
            <w:pPr>
              <w:autoSpaceDE/>
              <w:autoSpaceDN/>
              <w:adjustRightInd/>
              <w:rPr>
                <w:color w:val="000000"/>
                <w:sz w:val="20"/>
                <w:szCs w:val="20"/>
              </w:rPr>
            </w:pPr>
            <w:r w:rsidRPr="007C51D6">
              <w:rPr>
                <w:color w:val="000000"/>
                <w:sz w:val="20"/>
                <w:szCs w:val="20"/>
              </w:rPr>
              <w:t>Балтасинский</w:t>
            </w:r>
          </w:p>
        </w:tc>
        <w:tc>
          <w:tcPr>
            <w:tcW w:w="1134" w:type="dxa"/>
            <w:shd w:val="clear" w:color="auto" w:fill="auto"/>
            <w:vAlign w:val="center"/>
          </w:tcPr>
          <w:p w:rsidR="002E1D90" w:rsidRPr="007C51D6" w:rsidRDefault="002E1D90" w:rsidP="002E1D90">
            <w:pPr>
              <w:jc w:val="center"/>
              <w:rPr>
                <w:color w:val="000000"/>
                <w:sz w:val="20"/>
                <w:szCs w:val="20"/>
              </w:rPr>
            </w:pPr>
            <w:r w:rsidRPr="007C51D6">
              <w:rPr>
                <w:color w:val="000000"/>
                <w:sz w:val="20"/>
                <w:szCs w:val="20"/>
              </w:rPr>
              <w:t>21,0</w:t>
            </w:r>
          </w:p>
        </w:tc>
        <w:tc>
          <w:tcPr>
            <w:tcW w:w="1012" w:type="dxa"/>
            <w:shd w:val="clear" w:color="auto" w:fill="auto"/>
            <w:vAlign w:val="center"/>
          </w:tcPr>
          <w:p w:rsidR="002E1D90" w:rsidRPr="007C51D6" w:rsidRDefault="002E1D90" w:rsidP="002E1D90">
            <w:pPr>
              <w:jc w:val="center"/>
              <w:rPr>
                <w:color w:val="000000"/>
                <w:sz w:val="20"/>
                <w:szCs w:val="20"/>
              </w:rPr>
            </w:pPr>
            <w:r w:rsidRPr="007C51D6">
              <w:rPr>
                <w:color w:val="000000"/>
                <w:sz w:val="20"/>
                <w:szCs w:val="20"/>
              </w:rPr>
              <w:t>27,1</w:t>
            </w:r>
          </w:p>
        </w:tc>
        <w:tc>
          <w:tcPr>
            <w:tcW w:w="1012" w:type="dxa"/>
            <w:shd w:val="clear" w:color="auto" w:fill="auto"/>
            <w:vAlign w:val="center"/>
          </w:tcPr>
          <w:p w:rsidR="002E1D90" w:rsidRPr="007C51D6" w:rsidRDefault="002E1D90" w:rsidP="002E1D90">
            <w:pPr>
              <w:jc w:val="center"/>
              <w:rPr>
                <w:color w:val="000000"/>
                <w:sz w:val="20"/>
                <w:szCs w:val="20"/>
              </w:rPr>
            </w:pPr>
            <w:r w:rsidRPr="007C51D6">
              <w:rPr>
                <w:color w:val="000000"/>
                <w:sz w:val="20"/>
                <w:szCs w:val="20"/>
              </w:rPr>
              <w:t>21,8</w:t>
            </w:r>
          </w:p>
        </w:tc>
        <w:tc>
          <w:tcPr>
            <w:tcW w:w="1011" w:type="dxa"/>
            <w:shd w:val="clear" w:color="auto" w:fill="auto"/>
            <w:vAlign w:val="center"/>
          </w:tcPr>
          <w:p w:rsidR="002E1D90" w:rsidRPr="007C51D6" w:rsidRDefault="002E1D90" w:rsidP="002E1D90">
            <w:pPr>
              <w:jc w:val="center"/>
              <w:rPr>
                <w:color w:val="000000"/>
                <w:sz w:val="20"/>
                <w:szCs w:val="20"/>
              </w:rPr>
            </w:pPr>
            <w:r w:rsidRPr="007C51D6">
              <w:rPr>
                <w:color w:val="000000"/>
                <w:sz w:val="20"/>
                <w:szCs w:val="20"/>
              </w:rPr>
              <w:t>32,0</w:t>
            </w:r>
          </w:p>
        </w:tc>
        <w:tc>
          <w:tcPr>
            <w:tcW w:w="1012" w:type="dxa"/>
            <w:shd w:val="clear" w:color="auto" w:fill="auto"/>
            <w:vAlign w:val="center"/>
          </w:tcPr>
          <w:p w:rsidR="002E1D90" w:rsidRPr="007C51D6" w:rsidRDefault="002E1D90" w:rsidP="002E1D90">
            <w:pPr>
              <w:jc w:val="center"/>
              <w:rPr>
                <w:color w:val="000000"/>
                <w:sz w:val="20"/>
                <w:szCs w:val="20"/>
              </w:rPr>
            </w:pPr>
            <w:r w:rsidRPr="007C51D6">
              <w:rPr>
                <w:color w:val="000000"/>
                <w:sz w:val="20"/>
                <w:szCs w:val="20"/>
              </w:rPr>
              <w:t>32,6</w:t>
            </w:r>
          </w:p>
        </w:tc>
        <w:tc>
          <w:tcPr>
            <w:tcW w:w="1012" w:type="dxa"/>
            <w:vAlign w:val="center"/>
          </w:tcPr>
          <w:p w:rsidR="002E1D90" w:rsidRPr="007C51D6" w:rsidRDefault="002E1D90" w:rsidP="002E1D90">
            <w:pPr>
              <w:jc w:val="center"/>
              <w:rPr>
                <w:color w:val="000000"/>
                <w:sz w:val="20"/>
                <w:szCs w:val="20"/>
              </w:rPr>
            </w:pPr>
            <w:r w:rsidRPr="007C51D6">
              <w:rPr>
                <w:color w:val="000000"/>
                <w:sz w:val="20"/>
                <w:szCs w:val="20"/>
              </w:rPr>
              <w:t>19,8</w:t>
            </w:r>
          </w:p>
        </w:tc>
        <w:tc>
          <w:tcPr>
            <w:tcW w:w="1109" w:type="dxa"/>
            <w:vAlign w:val="center"/>
          </w:tcPr>
          <w:p w:rsidR="002E1D90" w:rsidRPr="007C51D6" w:rsidRDefault="002E1D90" w:rsidP="002E1D90">
            <w:pPr>
              <w:jc w:val="center"/>
              <w:rPr>
                <w:color w:val="000000"/>
                <w:sz w:val="20"/>
                <w:szCs w:val="20"/>
              </w:rPr>
            </w:pPr>
            <w:r w:rsidRPr="007C51D6">
              <w:rPr>
                <w:color w:val="000000"/>
                <w:sz w:val="20"/>
                <w:szCs w:val="20"/>
              </w:rPr>
              <w:t>23,3</w:t>
            </w:r>
          </w:p>
        </w:tc>
        <w:tc>
          <w:tcPr>
            <w:tcW w:w="1103" w:type="dxa"/>
            <w:vAlign w:val="center"/>
          </w:tcPr>
          <w:p w:rsidR="002E1D90" w:rsidRPr="007C51D6" w:rsidRDefault="002E1D90" w:rsidP="002E1D90">
            <w:pPr>
              <w:jc w:val="center"/>
              <w:rPr>
                <w:color w:val="000000"/>
                <w:sz w:val="20"/>
                <w:szCs w:val="20"/>
              </w:rPr>
            </w:pPr>
            <w:r w:rsidRPr="007C51D6">
              <w:rPr>
                <w:color w:val="000000"/>
                <w:sz w:val="20"/>
                <w:szCs w:val="20"/>
              </w:rPr>
              <w:t>24,0</w:t>
            </w:r>
          </w:p>
        </w:tc>
        <w:tc>
          <w:tcPr>
            <w:tcW w:w="1077" w:type="dxa"/>
            <w:vAlign w:val="center"/>
          </w:tcPr>
          <w:p w:rsidR="002E1D90" w:rsidRPr="007C51D6" w:rsidRDefault="002E1D90" w:rsidP="002E1D90">
            <w:pPr>
              <w:jc w:val="center"/>
              <w:rPr>
                <w:color w:val="000000"/>
                <w:sz w:val="20"/>
                <w:szCs w:val="20"/>
              </w:rPr>
            </w:pPr>
            <w:r w:rsidRPr="007C51D6">
              <w:rPr>
                <w:color w:val="000000"/>
                <w:sz w:val="20"/>
                <w:szCs w:val="20"/>
              </w:rPr>
              <w:t>24,4</w:t>
            </w:r>
          </w:p>
        </w:tc>
        <w:tc>
          <w:tcPr>
            <w:tcW w:w="1077" w:type="dxa"/>
            <w:vAlign w:val="center"/>
          </w:tcPr>
          <w:p w:rsidR="002E1D90" w:rsidRPr="007C51D6" w:rsidRDefault="002E1D90" w:rsidP="002E1D90">
            <w:pPr>
              <w:jc w:val="center"/>
              <w:rPr>
                <w:color w:val="000000"/>
                <w:sz w:val="20"/>
                <w:szCs w:val="20"/>
              </w:rPr>
            </w:pPr>
            <w:r w:rsidRPr="007C51D6">
              <w:rPr>
                <w:color w:val="000000"/>
                <w:sz w:val="20"/>
                <w:szCs w:val="20"/>
              </w:rPr>
              <w:t>16.8</w:t>
            </w:r>
          </w:p>
        </w:tc>
      </w:tr>
      <w:tr w:rsidR="002E1D90" w:rsidRPr="007C51D6" w:rsidTr="007541C1">
        <w:trPr>
          <w:trHeight w:val="20"/>
        </w:trPr>
        <w:tc>
          <w:tcPr>
            <w:tcW w:w="4531" w:type="dxa"/>
            <w:shd w:val="clear" w:color="auto" w:fill="auto"/>
            <w:hideMark/>
          </w:tcPr>
          <w:p w:rsidR="002E1D90" w:rsidRPr="007C51D6" w:rsidRDefault="002E1D90" w:rsidP="002E1D90">
            <w:pPr>
              <w:autoSpaceDE/>
              <w:autoSpaceDN/>
              <w:adjustRightInd/>
              <w:rPr>
                <w:color w:val="000000"/>
                <w:sz w:val="20"/>
                <w:szCs w:val="20"/>
              </w:rPr>
            </w:pPr>
            <w:r w:rsidRPr="007C51D6">
              <w:rPr>
                <w:color w:val="000000"/>
                <w:sz w:val="20"/>
                <w:szCs w:val="20"/>
              </w:rPr>
              <w:t>Бугульминский</w:t>
            </w:r>
          </w:p>
        </w:tc>
        <w:tc>
          <w:tcPr>
            <w:tcW w:w="1134" w:type="dxa"/>
            <w:shd w:val="clear" w:color="auto" w:fill="auto"/>
            <w:vAlign w:val="center"/>
          </w:tcPr>
          <w:p w:rsidR="002E1D90" w:rsidRPr="007C51D6" w:rsidRDefault="002E1D90" w:rsidP="002E1D90">
            <w:pPr>
              <w:jc w:val="center"/>
              <w:rPr>
                <w:color w:val="000000"/>
                <w:sz w:val="20"/>
                <w:szCs w:val="20"/>
              </w:rPr>
            </w:pPr>
            <w:r w:rsidRPr="007C51D6">
              <w:rPr>
                <w:color w:val="000000"/>
                <w:sz w:val="20"/>
                <w:szCs w:val="20"/>
              </w:rPr>
              <w:t>32,6</w:t>
            </w:r>
          </w:p>
        </w:tc>
        <w:tc>
          <w:tcPr>
            <w:tcW w:w="1012" w:type="dxa"/>
            <w:shd w:val="clear" w:color="auto" w:fill="auto"/>
            <w:vAlign w:val="center"/>
          </w:tcPr>
          <w:p w:rsidR="002E1D90" w:rsidRPr="007C51D6" w:rsidRDefault="002E1D90" w:rsidP="002E1D90">
            <w:pPr>
              <w:jc w:val="center"/>
              <w:rPr>
                <w:color w:val="000000"/>
                <w:sz w:val="20"/>
                <w:szCs w:val="20"/>
              </w:rPr>
            </w:pPr>
            <w:r w:rsidRPr="007C51D6">
              <w:rPr>
                <w:color w:val="000000"/>
                <w:sz w:val="20"/>
                <w:szCs w:val="20"/>
              </w:rPr>
              <w:t>24,2</w:t>
            </w:r>
          </w:p>
        </w:tc>
        <w:tc>
          <w:tcPr>
            <w:tcW w:w="1012" w:type="dxa"/>
            <w:shd w:val="clear" w:color="auto" w:fill="auto"/>
            <w:vAlign w:val="center"/>
          </w:tcPr>
          <w:p w:rsidR="002E1D90" w:rsidRPr="007C51D6" w:rsidRDefault="002E1D90" w:rsidP="002E1D90">
            <w:pPr>
              <w:jc w:val="center"/>
              <w:rPr>
                <w:color w:val="000000"/>
                <w:sz w:val="20"/>
                <w:szCs w:val="20"/>
              </w:rPr>
            </w:pPr>
            <w:r w:rsidRPr="007C51D6">
              <w:rPr>
                <w:color w:val="000000"/>
                <w:sz w:val="20"/>
                <w:szCs w:val="20"/>
              </w:rPr>
              <w:t>23,6</w:t>
            </w:r>
          </w:p>
        </w:tc>
        <w:tc>
          <w:tcPr>
            <w:tcW w:w="1011" w:type="dxa"/>
            <w:shd w:val="clear" w:color="auto" w:fill="auto"/>
            <w:vAlign w:val="center"/>
          </w:tcPr>
          <w:p w:rsidR="002E1D90" w:rsidRPr="007C51D6" w:rsidRDefault="002E1D90" w:rsidP="002E1D90">
            <w:pPr>
              <w:jc w:val="center"/>
              <w:rPr>
                <w:color w:val="000000"/>
                <w:sz w:val="20"/>
                <w:szCs w:val="20"/>
              </w:rPr>
            </w:pPr>
            <w:r w:rsidRPr="007C51D6">
              <w:rPr>
                <w:color w:val="000000"/>
                <w:sz w:val="20"/>
                <w:szCs w:val="20"/>
              </w:rPr>
              <w:t>27,8</w:t>
            </w:r>
          </w:p>
        </w:tc>
        <w:tc>
          <w:tcPr>
            <w:tcW w:w="1012" w:type="dxa"/>
            <w:shd w:val="clear" w:color="auto" w:fill="auto"/>
            <w:vAlign w:val="center"/>
          </w:tcPr>
          <w:p w:rsidR="002E1D90" w:rsidRPr="007C51D6" w:rsidRDefault="002E1D90" w:rsidP="002E1D90">
            <w:pPr>
              <w:jc w:val="center"/>
              <w:rPr>
                <w:color w:val="000000"/>
                <w:sz w:val="20"/>
                <w:szCs w:val="20"/>
              </w:rPr>
            </w:pPr>
            <w:r w:rsidRPr="007C51D6">
              <w:rPr>
                <w:color w:val="000000"/>
                <w:sz w:val="20"/>
                <w:szCs w:val="20"/>
              </w:rPr>
              <w:t>17,1</w:t>
            </w:r>
          </w:p>
        </w:tc>
        <w:tc>
          <w:tcPr>
            <w:tcW w:w="1012" w:type="dxa"/>
            <w:vAlign w:val="center"/>
          </w:tcPr>
          <w:p w:rsidR="002E1D90" w:rsidRPr="007C51D6" w:rsidRDefault="002E1D90" w:rsidP="002E1D90">
            <w:pPr>
              <w:jc w:val="center"/>
              <w:rPr>
                <w:color w:val="000000"/>
                <w:sz w:val="20"/>
                <w:szCs w:val="20"/>
              </w:rPr>
            </w:pPr>
            <w:r w:rsidRPr="007C51D6">
              <w:rPr>
                <w:color w:val="000000"/>
                <w:sz w:val="20"/>
                <w:szCs w:val="20"/>
              </w:rPr>
              <w:t>19,5</w:t>
            </w:r>
          </w:p>
        </w:tc>
        <w:tc>
          <w:tcPr>
            <w:tcW w:w="1109" w:type="dxa"/>
            <w:vAlign w:val="center"/>
          </w:tcPr>
          <w:p w:rsidR="002E1D90" w:rsidRPr="007C51D6" w:rsidRDefault="002E1D90" w:rsidP="002E1D90">
            <w:pPr>
              <w:jc w:val="center"/>
              <w:rPr>
                <w:color w:val="000000"/>
                <w:sz w:val="20"/>
                <w:szCs w:val="20"/>
              </w:rPr>
            </w:pPr>
            <w:r w:rsidRPr="007C51D6">
              <w:rPr>
                <w:color w:val="000000"/>
                <w:sz w:val="20"/>
                <w:szCs w:val="20"/>
              </w:rPr>
              <w:t>17,5</w:t>
            </w:r>
          </w:p>
        </w:tc>
        <w:tc>
          <w:tcPr>
            <w:tcW w:w="1103" w:type="dxa"/>
            <w:vAlign w:val="center"/>
          </w:tcPr>
          <w:p w:rsidR="002E1D90" w:rsidRPr="007C51D6" w:rsidRDefault="002E1D90" w:rsidP="002E1D90">
            <w:pPr>
              <w:jc w:val="center"/>
              <w:rPr>
                <w:color w:val="000000"/>
                <w:sz w:val="20"/>
                <w:szCs w:val="20"/>
              </w:rPr>
            </w:pPr>
            <w:r w:rsidRPr="007C51D6">
              <w:rPr>
                <w:color w:val="000000"/>
                <w:sz w:val="20"/>
                <w:szCs w:val="20"/>
              </w:rPr>
              <w:t>25,4</w:t>
            </w:r>
          </w:p>
        </w:tc>
        <w:tc>
          <w:tcPr>
            <w:tcW w:w="1077" w:type="dxa"/>
            <w:vAlign w:val="center"/>
          </w:tcPr>
          <w:p w:rsidR="002E1D90" w:rsidRPr="007C51D6" w:rsidRDefault="002E1D90" w:rsidP="002E1D90">
            <w:pPr>
              <w:jc w:val="center"/>
              <w:rPr>
                <w:color w:val="000000"/>
                <w:sz w:val="20"/>
                <w:szCs w:val="20"/>
              </w:rPr>
            </w:pPr>
            <w:r w:rsidRPr="007C51D6">
              <w:rPr>
                <w:color w:val="000000"/>
                <w:sz w:val="20"/>
                <w:szCs w:val="20"/>
              </w:rPr>
              <w:t>18,4</w:t>
            </w:r>
          </w:p>
        </w:tc>
        <w:tc>
          <w:tcPr>
            <w:tcW w:w="1077" w:type="dxa"/>
            <w:vAlign w:val="center"/>
          </w:tcPr>
          <w:p w:rsidR="002E1D90" w:rsidRPr="007C51D6" w:rsidRDefault="002E1D90" w:rsidP="002E1D90">
            <w:pPr>
              <w:jc w:val="center"/>
              <w:rPr>
                <w:color w:val="000000"/>
                <w:sz w:val="20"/>
                <w:szCs w:val="20"/>
              </w:rPr>
            </w:pPr>
            <w:r w:rsidRPr="007C51D6">
              <w:rPr>
                <w:color w:val="000000"/>
                <w:sz w:val="20"/>
                <w:szCs w:val="20"/>
              </w:rPr>
              <w:t>26.7</w:t>
            </w:r>
          </w:p>
        </w:tc>
      </w:tr>
      <w:tr w:rsidR="002E1D90" w:rsidRPr="007C51D6" w:rsidTr="007541C1">
        <w:trPr>
          <w:trHeight w:val="20"/>
        </w:trPr>
        <w:tc>
          <w:tcPr>
            <w:tcW w:w="4531" w:type="dxa"/>
            <w:shd w:val="clear" w:color="auto" w:fill="auto"/>
            <w:hideMark/>
          </w:tcPr>
          <w:p w:rsidR="002E1D90" w:rsidRPr="007C51D6" w:rsidRDefault="002E1D90" w:rsidP="002E1D90">
            <w:pPr>
              <w:autoSpaceDE/>
              <w:autoSpaceDN/>
              <w:adjustRightInd/>
              <w:rPr>
                <w:color w:val="000000"/>
                <w:sz w:val="20"/>
                <w:szCs w:val="20"/>
              </w:rPr>
            </w:pPr>
            <w:r w:rsidRPr="007C51D6">
              <w:rPr>
                <w:color w:val="000000"/>
                <w:sz w:val="20"/>
                <w:szCs w:val="20"/>
              </w:rPr>
              <w:t>Буинский</w:t>
            </w:r>
          </w:p>
        </w:tc>
        <w:tc>
          <w:tcPr>
            <w:tcW w:w="1134" w:type="dxa"/>
            <w:shd w:val="clear" w:color="auto" w:fill="auto"/>
            <w:vAlign w:val="center"/>
          </w:tcPr>
          <w:p w:rsidR="002E1D90" w:rsidRPr="007C51D6" w:rsidRDefault="002E1D90" w:rsidP="002E1D90">
            <w:pPr>
              <w:jc w:val="center"/>
              <w:rPr>
                <w:color w:val="000000"/>
                <w:sz w:val="20"/>
                <w:szCs w:val="20"/>
              </w:rPr>
            </w:pPr>
            <w:r w:rsidRPr="007C51D6">
              <w:rPr>
                <w:color w:val="000000"/>
                <w:sz w:val="20"/>
                <w:szCs w:val="20"/>
              </w:rPr>
              <w:t>29,7</w:t>
            </w:r>
          </w:p>
        </w:tc>
        <w:tc>
          <w:tcPr>
            <w:tcW w:w="1012" w:type="dxa"/>
            <w:shd w:val="clear" w:color="auto" w:fill="auto"/>
            <w:vAlign w:val="center"/>
          </w:tcPr>
          <w:p w:rsidR="002E1D90" w:rsidRPr="007C51D6" w:rsidRDefault="002E1D90" w:rsidP="002E1D90">
            <w:pPr>
              <w:jc w:val="center"/>
              <w:rPr>
                <w:color w:val="000000"/>
                <w:sz w:val="20"/>
                <w:szCs w:val="20"/>
              </w:rPr>
            </w:pPr>
            <w:r w:rsidRPr="007C51D6">
              <w:rPr>
                <w:color w:val="000000"/>
                <w:sz w:val="20"/>
                <w:szCs w:val="20"/>
              </w:rPr>
              <w:t>17,5</w:t>
            </w:r>
          </w:p>
        </w:tc>
        <w:tc>
          <w:tcPr>
            <w:tcW w:w="1012" w:type="dxa"/>
            <w:shd w:val="clear" w:color="auto" w:fill="auto"/>
            <w:vAlign w:val="center"/>
          </w:tcPr>
          <w:p w:rsidR="002E1D90" w:rsidRPr="007C51D6" w:rsidRDefault="002E1D90" w:rsidP="002E1D90">
            <w:pPr>
              <w:jc w:val="center"/>
              <w:rPr>
                <w:color w:val="000000"/>
                <w:sz w:val="20"/>
                <w:szCs w:val="20"/>
              </w:rPr>
            </w:pPr>
            <w:r w:rsidRPr="007C51D6">
              <w:rPr>
                <w:color w:val="000000"/>
                <w:sz w:val="20"/>
                <w:szCs w:val="20"/>
              </w:rPr>
              <w:t>20,2</w:t>
            </w:r>
          </w:p>
        </w:tc>
        <w:tc>
          <w:tcPr>
            <w:tcW w:w="1011" w:type="dxa"/>
            <w:shd w:val="clear" w:color="auto" w:fill="auto"/>
            <w:vAlign w:val="center"/>
          </w:tcPr>
          <w:p w:rsidR="002E1D90" w:rsidRPr="007C51D6" w:rsidRDefault="002E1D90" w:rsidP="002E1D90">
            <w:pPr>
              <w:jc w:val="center"/>
              <w:rPr>
                <w:color w:val="000000"/>
                <w:sz w:val="20"/>
                <w:szCs w:val="20"/>
              </w:rPr>
            </w:pPr>
            <w:r w:rsidRPr="007C51D6">
              <w:rPr>
                <w:color w:val="000000"/>
                <w:sz w:val="20"/>
                <w:szCs w:val="20"/>
              </w:rPr>
              <w:t>21,5</w:t>
            </w:r>
          </w:p>
        </w:tc>
        <w:tc>
          <w:tcPr>
            <w:tcW w:w="1012" w:type="dxa"/>
            <w:shd w:val="clear" w:color="auto" w:fill="auto"/>
            <w:vAlign w:val="center"/>
          </w:tcPr>
          <w:p w:rsidR="002E1D90" w:rsidRPr="007C51D6" w:rsidRDefault="002E1D90" w:rsidP="002E1D90">
            <w:pPr>
              <w:jc w:val="center"/>
              <w:rPr>
                <w:color w:val="000000"/>
                <w:sz w:val="20"/>
                <w:szCs w:val="20"/>
              </w:rPr>
            </w:pPr>
            <w:r w:rsidRPr="007C51D6">
              <w:rPr>
                <w:color w:val="000000"/>
                <w:sz w:val="20"/>
                <w:szCs w:val="20"/>
              </w:rPr>
              <w:t>20,4</w:t>
            </w:r>
          </w:p>
        </w:tc>
        <w:tc>
          <w:tcPr>
            <w:tcW w:w="1012" w:type="dxa"/>
            <w:vAlign w:val="center"/>
          </w:tcPr>
          <w:p w:rsidR="002E1D90" w:rsidRPr="007C51D6" w:rsidRDefault="002E1D90" w:rsidP="002E1D90">
            <w:pPr>
              <w:jc w:val="center"/>
              <w:rPr>
                <w:color w:val="000000"/>
                <w:sz w:val="20"/>
                <w:szCs w:val="20"/>
              </w:rPr>
            </w:pPr>
            <w:r w:rsidRPr="007C51D6">
              <w:rPr>
                <w:color w:val="000000"/>
                <w:sz w:val="20"/>
                <w:szCs w:val="20"/>
              </w:rPr>
              <w:t>15,0</w:t>
            </w:r>
          </w:p>
        </w:tc>
        <w:tc>
          <w:tcPr>
            <w:tcW w:w="1109" w:type="dxa"/>
            <w:vAlign w:val="center"/>
          </w:tcPr>
          <w:p w:rsidR="002E1D90" w:rsidRPr="007C51D6" w:rsidRDefault="002E1D90" w:rsidP="002E1D90">
            <w:pPr>
              <w:jc w:val="center"/>
              <w:rPr>
                <w:color w:val="000000"/>
                <w:sz w:val="20"/>
                <w:szCs w:val="20"/>
              </w:rPr>
            </w:pPr>
            <w:r w:rsidRPr="007C51D6">
              <w:rPr>
                <w:color w:val="000000"/>
                <w:sz w:val="20"/>
                <w:szCs w:val="20"/>
              </w:rPr>
              <w:t>18,6</w:t>
            </w:r>
          </w:p>
        </w:tc>
        <w:tc>
          <w:tcPr>
            <w:tcW w:w="1103" w:type="dxa"/>
            <w:vAlign w:val="center"/>
          </w:tcPr>
          <w:p w:rsidR="002E1D90" w:rsidRPr="007C51D6" w:rsidRDefault="002E1D90" w:rsidP="002E1D90">
            <w:pPr>
              <w:jc w:val="center"/>
              <w:rPr>
                <w:color w:val="000000"/>
                <w:sz w:val="20"/>
                <w:szCs w:val="20"/>
              </w:rPr>
            </w:pPr>
            <w:r w:rsidRPr="007C51D6">
              <w:rPr>
                <w:color w:val="000000"/>
                <w:sz w:val="20"/>
                <w:szCs w:val="20"/>
              </w:rPr>
              <w:t>16,7</w:t>
            </w:r>
          </w:p>
        </w:tc>
        <w:tc>
          <w:tcPr>
            <w:tcW w:w="1077" w:type="dxa"/>
            <w:vAlign w:val="center"/>
          </w:tcPr>
          <w:p w:rsidR="002E1D90" w:rsidRPr="007C51D6" w:rsidRDefault="002E1D90" w:rsidP="002E1D90">
            <w:pPr>
              <w:jc w:val="center"/>
              <w:rPr>
                <w:color w:val="000000"/>
                <w:sz w:val="20"/>
                <w:szCs w:val="20"/>
              </w:rPr>
            </w:pPr>
            <w:r w:rsidRPr="007C51D6">
              <w:rPr>
                <w:color w:val="000000"/>
                <w:sz w:val="20"/>
                <w:szCs w:val="20"/>
              </w:rPr>
              <w:t>16,6</w:t>
            </w:r>
          </w:p>
        </w:tc>
        <w:tc>
          <w:tcPr>
            <w:tcW w:w="1077" w:type="dxa"/>
            <w:vAlign w:val="center"/>
          </w:tcPr>
          <w:p w:rsidR="002E1D90" w:rsidRPr="007C51D6" w:rsidRDefault="002E1D90" w:rsidP="002E1D90">
            <w:pPr>
              <w:jc w:val="center"/>
              <w:rPr>
                <w:color w:val="000000"/>
                <w:sz w:val="20"/>
                <w:szCs w:val="20"/>
              </w:rPr>
            </w:pPr>
            <w:r w:rsidRPr="007C51D6">
              <w:rPr>
                <w:color w:val="000000"/>
                <w:sz w:val="20"/>
                <w:szCs w:val="20"/>
              </w:rPr>
              <w:t>21.9</w:t>
            </w:r>
          </w:p>
        </w:tc>
      </w:tr>
      <w:tr w:rsidR="002E1D90" w:rsidRPr="007C51D6" w:rsidTr="007541C1">
        <w:trPr>
          <w:trHeight w:val="20"/>
        </w:trPr>
        <w:tc>
          <w:tcPr>
            <w:tcW w:w="4531" w:type="dxa"/>
            <w:shd w:val="clear" w:color="auto" w:fill="auto"/>
            <w:hideMark/>
          </w:tcPr>
          <w:p w:rsidR="002E1D90" w:rsidRPr="007C51D6" w:rsidRDefault="002E1D90" w:rsidP="002E1D90">
            <w:pPr>
              <w:autoSpaceDE/>
              <w:autoSpaceDN/>
              <w:adjustRightInd/>
              <w:rPr>
                <w:color w:val="000000"/>
                <w:sz w:val="20"/>
                <w:szCs w:val="20"/>
              </w:rPr>
            </w:pPr>
            <w:r w:rsidRPr="007C51D6">
              <w:rPr>
                <w:color w:val="000000"/>
                <w:sz w:val="20"/>
                <w:szCs w:val="20"/>
              </w:rPr>
              <w:t>Верхнеуслонский</w:t>
            </w:r>
          </w:p>
        </w:tc>
        <w:tc>
          <w:tcPr>
            <w:tcW w:w="1134" w:type="dxa"/>
            <w:shd w:val="clear" w:color="auto" w:fill="auto"/>
            <w:vAlign w:val="center"/>
          </w:tcPr>
          <w:p w:rsidR="002E1D90" w:rsidRPr="007C51D6" w:rsidRDefault="002E1D90" w:rsidP="002E1D90">
            <w:pPr>
              <w:jc w:val="center"/>
              <w:rPr>
                <w:color w:val="000000"/>
                <w:sz w:val="20"/>
                <w:szCs w:val="20"/>
              </w:rPr>
            </w:pPr>
            <w:r w:rsidRPr="007C51D6">
              <w:rPr>
                <w:color w:val="000000"/>
                <w:sz w:val="20"/>
                <w:szCs w:val="20"/>
              </w:rPr>
              <w:t>28,6</w:t>
            </w:r>
          </w:p>
        </w:tc>
        <w:tc>
          <w:tcPr>
            <w:tcW w:w="1012" w:type="dxa"/>
            <w:shd w:val="clear" w:color="auto" w:fill="auto"/>
            <w:vAlign w:val="center"/>
          </w:tcPr>
          <w:p w:rsidR="002E1D90" w:rsidRPr="007C51D6" w:rsidRDefault="002E1D90" w:rsidP="002E1D90">
            <w:pPr>
              <w:jc w:val="center"/>
              <w:rPr>
                <w:color w:val="000000"/>
                <w:sz w:val="20"/>
                <w:szCs w:val="20"/>
              </w:rPr>
            </w:pPr>
            <w:r w:rsidRPr="007C51D6">
              <w:rPr>
                <w:color w:val="000000"/>
                <w:sz w:val="20"/>
                <w:szCs w:val="20"/>
              </w:rPr>
              <w:t>37,3</w:t>
            </w:r>
          </w:p>
        </w:tc>
        <w:tc>
          <w:tcPr>
            <w:tcW w:w="1012" w:type="dxa"/>
            <w:shd w:val="clear" w:color="auto" w:fill="auto"/>
            <w:vAlign w:val="center"/>
          </w:tcPr>
          <w:p w:rsidR="002E1D90" w:rsidRPr="007C51D6" w:rsidRDefault="002E1D90" w:rsidP="002E1D90">
            <w:pPr>
              <w:jc w:val="center"/>
              <w:rPr>
                <w:color w:val="000000"/>
                <w:sz w:val="20"/>
                <w:szCs w:val="20"/>
              </w:rPr>
            </w:pPr>
            <w:r w:rsidRPr="007C51D6">
              <w:rPr>
                <w:color w:val="000000"/>
                <w:sz w:val="20"/>
                <w:szCs w:val="20"/>
              </w:rPr>
              <w:t>30,4</w:t>
            </w:r>
          </w:p>
        </w:tc>
        <w:tc>
          <w:tcPr>
            <w:tcW w:w="1011" w:type="dxa"/>
            <w:shd w:val="clear" w:color="auto" w:fill="auto"/>
            <w:vAlign w:val="center"/>
          </w:tcPr>
          <w:p w:rsidR="002E1D90" w:rsidRPr="007C51D6" w:rsidRDefault="002E1D90" w:rsidP="002E1D90">
            <w:pPr>
              <w:jc w:val="center"/>
              <w:rPr>
                <w:color w:val="000000"/>
                <w:sz w:val="20"/>
                <w:szCs w:val="20"/>
              </w:rPr>
            </w:pPr>
            <w:r w:rsidRPr="007C51D6">
              <w:rPr>
                <w:color w:val="000000"/>
                <w:sz w:val="20"/>
                <w:szCs w:val="20"/>
              </w:rPr>
              <w:t>31,7</w:t>
            </w:r>
          </w:p>
        </w:tc>
        <w:tc>
          <w:tcPr>
            <w:tcW w:w="1012" w:type="dxa"/>
            <w:shd w:val="clear" w:color="auto" w:fill="auto"/>
            <w:vAlign w:val="center"/>
          </w:tcPr>
          <w:p w:rsidR="002E1D90" w:rsidRPr="007C51D6" w:rsidRDefault="002E1D90" w:rsidP="002E1D90">
            <w:pPr>
              <w:jc w:val="center"/>
              <w:rPr>
                <w:color w:val="000000"/>
                <w:sz w:val="20"/>
                <w:szCs w:val="20"/>
              </w:rPr>
            </w:pPr>
            <w:r w:rsidRPr="007C51D6">
              <w:rPr>
                <w:color w:val="000000"/>
                <w:sz w:val="20"/>
                <w:szCs w:val="20"/>
              </w:rPr>
              <w:t>21,3</w:t>
            </w:r>
          </w:p>
        </w:tc>
        <w:tc>
          <w:tcPr>
            <w:tcW w:w="1012" w:type="dxa"/>
            <w:vAlign w:val="center"/>
          </w:tcPr>
          <w:p w:rsidR="002E1D90" w:rsidRPr="007C51D6" w:rsidRDefault="002E1D90" w:rsidP="002E1D90">
            <w:pPr>
              <w:jc w:val="center"/>
              <w:rPr>
                <w:color w:val="000000"/>
                <w:sz w:val="20"/>
                <w:szCs w:val="20"/>
              </w:rPr>
            </w:pPr>
            <w:r w:rsidRPr="007C51D6">
              <w:rPr>
                <w:color w:val="000000"/>
                <w:sz w:val="20"/>
                <w:szCs w:val="20"/>
              </w:rPr>
              <w:t>29,8</w:t>
            </w:r>
          </w:p>
        </w:tc>
        <w:tc>
          <w:tcPr>
            <w:tcW w:w="1109" w:type="dxa"/>
            <w:vAlign w:val="center"/>
          </w:tcPr>
          <w:p w:rsidR="002E1D90" w:rsidRPr="007C51D6" w:rsidRDefault="002E1D90" w:rsidP="002E1D90">
            <w:pPr>
              <w:jc w:val="center"/>
              <w:rPr>
                <w:color w:val="000000"/>
                <w:sz w:val="20"/>
                <w:szCs w:val="20"/>
              </w:rPr>
            </w:pPr>
            <w:r w:rsidRPr="007C51D6">
              <w:rPr>
                <w:color w:val="000000"/>
                <w:sz w:val="20"/>
                <w:szCs w:val="20"/>
              </w:rPr>
              <w:t>19,7</w:t>
            </w:r>
          </w:p>
        </w:tc>
        <w:tc>
          <w:tcPr>
            <w:tcW w:w="1103" w:type="dxa"/>
            <w:vAlign w:val="center"/>
          </w:tcPr>
          <w:p w:rsidR="002E1D90" w:rsidRPr="007C51D6" w:rsidRDefault="002E1D90" w:rsidP="002E1D90">
            <w:pPr>
              <w:jc w:val="center"/>
              <w:rPr>
                <w:color w:val="000000"/>
                <w:sz w:val="20"/>
                <w:szCs w:val="20"/>
              </w:rPr>
            </w:pPr>
            <w:r w:rsidRPr="007C51D6">
              <w:rPr>
                <w:color w:val="000000"/>
                <w:sz w:val="20"/>
                <w:szCs w:val="20"/>
              </w:rPr>
              <w:t>29,0</w:t>
            </w:r>
          </w:p>
        </w:tc>
        <w:tc>
          <w:tcPr>
            <w:tcW w:w="1077" w:type="dxa"/>
            <w:vAlign w:val="center"/>
          </w:tcPr>
          <w:p w:rsidR="002E1D90" w:rsidRPr="007C51D6" w:rsidRDefault="002E1D90" w:rsidP="002E1D90">
            <w:pPr>
              <w:jc w:val="center"/>
              <w:rPr>
                <w:color w:val="000000"/>
                <w:sz w:val="20"/>
                <w:szCs w:val="20"/>
              </w:rPr>
            </w:pPr>
            <w:r w:rsidRPr="007C51D6">
              <w:rPr>
                <w:color w:val="000000"/>
                <w:sz w:val="20"/>
                <w:szCs w:val="20"/>
              </w:rPr>
              <w:t>24,2</w:t>
            </w:r>
          </w:p>
        </w:tc>
        <w:tc>
          <w:tcPr>
            <w:tcW w:w="1077" w:type="dxa"/>
            <w:vAlign w:val="center"/>
          </w:tcPr>
          <w:p w:rsidR="002E1D90" w:rsidRPr="007C51D6" w:rsidRDefault="002E1D90" w:rsidP="002E1D90">
            <w:pPr>
              <w:jc w:val="center"/>
              <w:rPr>
                <w:color w:val="000000"/>
                <w:sz w:val="20"/>
                <w:szCs w:val="20"/>
              </w:rPr>
            </w:pPr>
            <w:r w:rsidRPr="007C51D6">
              <w:rPr>
                <w:color w:val="000000"/>
                <w:sz w:val="20"/>
                <w:szCs w:val="20"/>
              </w:rPr>
              <w:t>24.3</w:t>
            </w:r>
          </w:p>
        </w:tc>
      </w:tr>
      <w:tr w:rsidR="002E1D90" w:rsidRPr="007C51D6" w:rsidTr="007541C1">
        <w:trPr>
          <w:trHeight w:val="20"/>
        </w:trPr>
        <w:tc>
          <w:tcPr>
            <w:tcW w:w="4531" w:type="dxa"/>
            <w:shd w:val="clear" w:color="auto" w:fill="auto"/>
            <w:hideMark/>
          </w:tcPr>
          <w:p w:rsidR="002E1D90" w:rsidRPr="007C51D6" w:rsidRDefault="002E1D90" w:rsidP="002E1D90">
            <w:pPr>
              <w:autoSpaceDE/>
              <w:autoSpaceDN/>
              <w:adjustRightInd/>
              <w:rPr>
                <w:color w:val="000000"/>
                <w:sz w:val="20"/>
                <w:szCs w:val="20"/>
              </w:rPr>
            </w:pPr>
            <w:r w:rsidRPr="007C51D6">
              <w:rPr>
                <w:color w:val="000000"/>
                <w:sz w:val="20"/>
                <w:szCs w:val="20"/>
              </w:rPr>
              <w:t>Высокогорский</w:t>
            </w:r>
          </w:p>
        </w:tc>
        <w:tc>
          <w:tcPr>
            <w:tcW w:w="1134" w:type="dxa"/>
            <w:shd w:val="clear" w:color="auto" w:fill="auto"/>
            <w:vAlign w:val="center"/>
          </w:tcPr>
          <w:p w:rsidR="002E1D90" w:rsidRPr="007C51D6" w:rsidRDefault="002E1D90" w:rsidP="002E1D90">
            <w:pPr>
              <w:jc w:val="center"/>
              <w:rPr>
                <w:color w:val="000000"/>
                <w:sz w:val="20"/>
                <w:szCs w:val="20"/>
              </w:rPr>
            </w:pPr>
            <w:r w:rsidRPr="007C51D6">
              <w:rPr>
                <w:color w:val="000000"/>
                <w:sz w:val="20"/>
                <w:szCs w:val="20"/>
              </w:rPr>
              <w:t>25,7</w:t>
            </w:r>
          </w:p>
        </w:tc>
        <w:tc>
          <w:tcPr>
            <w:tcW w:w="1012" w:type="dxa"/>
            <w:shd w:val="clear" w:color="auto" w:fill="auto"/>
            <w:vAlign w:val="center"/>
          </w:tcPr>
          <w:p w:rsidR="002E1D90" w:rsidRPr="007C51D6" w:rsidRDefault="002E1D90" w:rsidP="002E1D90">
            <w:pPr>
              <w:jc w:val="center"/>
              <w:rPr>
                <w:color w:val="000000"/>
                <w:sz w:val="20"/>
                <w:szCs w:val="20"/>
              </w:rPr>
            </w:pPr>
            <w:r w:rsidRPr="007C51D6">
              <w:rPr>
                <w:color w:val="000000"/>
                <w:sz w:val="20"/>
                <w:szCs w:val="20"/>
              </w:rPr>
              <w:t>29,1</w:t>
            </w:r>
          </w:p>
        </w:tc>
        <w:tc>
          <w:tcPr>
            <w:tcW w:w="1012" w:type="dxa"/>
            <w:shd w:val="clear" w:color="auto" w:fill="auto"/>
            <w:vAlign w:val="center"/>
          </w:tcPr>
          <w:p w:rsidR="002E1D90" w:rsidRPr="007C51D6" w:rsidRDefault="002E1D90" w:rsidP="002E1D90">
            <w:pPr>
              <w:jc w:val="center"/>
              <w:rPr>
                <w:color w:val="000000"/>
                <w:sz w:val="20"/>
                <w:szCs w:val="20"/>
              </w:rPr>
            </w:pPr>
            <w:r w:rsidRPr="007C51D6">
              <w:rPr>
                <w:color w:val="000000"/>
                <w:sz w:val="20"/>
                <w:szCs w:val="20"/>
              </w:rPr>
              <w:t>31,3</w:t>
            </w:r>
          </w:p>
        </w:tc>
        <w:tc>
          <w:tcPr>
            <w:tcW w:w="1011" w:type="dxa"/>
            <w:shd w:val="clear" w:color="auto" w:fill="auto"/>
            <w:vAlign w:val="center"/>
          </w:tcPr>
          <w:p w:rsidR="002E1D90" w:rsidRPr="007C51D6" w:rsidRDefault="002E1D90" w:rsidP="002E1D90">
            <w:pPr>
              <w:jc w:val="center"/>
              <w:rPr>
                <w:color w:val="000000"/>
                <w:sz w:val="20"/>
                <w:szCs w:val="20"/>
              </w:rPr>
            </w:pPr>
            <w:r w:rsidRPr="007C51D6">
              <w:rPr>
                <w:color w:val="000000"/>
                <w:sz w:val="20"/>
                <w:szCs w:val="20"/>
              </w:rPr>
              <w:t>24,7</w:t>
            </w:r>
          </w:p>
        </w:tc>
        <w:tc>
          <w:tcPr>
            <w:tcW w:w="1012" w:type="dxa"/>
            <w:shd w:val="clear" w:color="auto" w:fill="auto"/>
            <w:vAlign w:val="center"/>
          </w:tcPr>
          <w:p w:rsidR="002E1D90" w:rsidRPr="007C51D6" w:rsidRDefault="002E1D90" w:rsidP="002E1D90">
            <w:pPr>
              <w:jc w:val="center"/>
              <w:rPr>
                <w:color w:val="000000"/>
                <w:sz w:val="20"/>
                <w:szCs w:val="20"/>
              </w:rPr>
            </w:pPr>
            <w:r w:rsidRPr="007C51D6">
              <w:rPr>
                <w:color w:val="000000"/>
                <w:sz w:val="20"/>
                <w:szCs w:val="20"/>
              </w:rPr>
              <w:t>38,0</w:t>
            </w:r>
          </w:p>
        </w:tc>
        <w:tc>
          <w:tcPr>
            <w:tcW w:w="1012" w:type="dxa"/>
            <w:vAlign w:val="center"/>
          </w:tcPr>
          <w:p w:rsidR="002E1D90" w:rsidRPr="007C51D6" w:rsidRDefault="002E1D90" w:rsidP="002E1D90">
            <w:pPr>
              <w:jc w:val="center"/>
              <w:rPr>
                <w:color w:val="000000"/>
                <w:sz w:val="20"/>
                <w:szCs w:val="20"/>
              </w:rPr>
            </w:pPr>
            <w:r w:rsidRPr="007C51D6">
              <w:rPr>
                <w:color w:val="000000"/>
                <w:sz w:val="20"/>
                <w:szCs w:val="20"/>
              </w:rPr>
              <w:t>26,1</w:t>
            </w:r>
          </w:p>
        </w:tc>
        <w:tc>
          <w:tcPr>
            <w:tcW w:w="1109" w:type="dxa"/>
            <w:vAlign w:val="center"/>
          </w:tcPr>
          <w:p w:rsidR="002E1D90" w:rsidRPr="007C51D6" w:rsidRDefault="002E1D90" w:rsidP="002E1D90">
            <w:pPr>
              <w:jc w:val="center"/>
              <w:rPr>
                <w:color w:val="000000"/>
                <w:sz w:val="20"/>
                <w:szCs w:val="20"/>
              </w:rPr>
            </w:pPr>
            <w:r w:rsidRPr="007C51D6">
              <w:rPr>
                <w:color w:val="000000"/>
                <w:sz w:val="20"/>
                <w:szCs w:val="20"/>
              </w:rPr>
              <w:t>25,9</w:t>
            </w:r>
          </w:p>
        </w:tc>
        <w:tc>
          <w:tcPr>
            <w:tcW w:w="1103" w:type="dxa"/>
            <w:vAlign w:val="center"/>
          </w:tcPr>
          <w:p w:rsidR="002E1D90" w:rsidRPr="007C51D6" w:rsidRDefault="002E1D90" w:rsidP="002E1D90">
            <w:pPr>
              <w:jc w:val="center"/>
              <w:rPr>
                <w:color w:val="000000"/>
                <w:sz w:val="20"/>
                <w:szCs w:val="20"/>
              </w:rPr>
            </w:pPr>
            <w:r w:rsidRPr="007C51D6">
              <w:rPr>
                <w:color w:val="000000"/>
                <w:sz w:val="20"/>
                <w:szCs w:val="20"/>
              </w:rPr>
              <w:t>25,0</w:t>
            </w:r>
          </w:p>
        </w:tc>
        <w:tc>
          <w:tcPr>
            <w:tcW w:w="1077" w:type="dxa"/>
            <w:vAlign w:val="center"/>
          </w:tcPr>
          <w:p w:rsidR="002E1D90" w:rsidRPr="007C51D6" w:rsidRDefault="002E1D90" w:rsidP="002E1D90">
            <w:pPr>
              <w:jc w:val="center"/>
              <w:rPr>
                <w:color w:val="000000"/>
                <w:sz w:val="20"/>
                <w:szCs w:val="20"/>
              </w:rPr>
            </w:pPr>
            <w:r w:rsidRPr="007C51D6">
              <w:rPr>
                <w:color w:val="000000"/>
                <w:sz w:val="20"/>
                <w:szCs w:val="20"/>
              </w:rPr>
              <w:t>23,3</w:t>
            </w:r>
          </w:p>
        </w:tc>
        <w:tc>
          <w:tcPr>
            <w:tcW w:w="1077" w:type="dxa"/>
            <w:vAlign w:val="center"/>
          </w:tcPr>
          <w:p w:rsidR="002E1D90" w:rsidRPr="007C51D6" w:rsidRDefault="002E1D90" w:rsidP="002E1D90">
            <w:pPr>
              <w:jc w:val="center"/>
              <w:rPr>
                <w:color w:val="000000"/>
                <w:sz w:val="20"/>
                <w:szCs w:val="20"/>
              </w:rPr>
            </w:pPr>
            <w:r w:rsidRPr="007C51D6">
              <w:rPr>
                <w:color w:val="000000"/>
                <w:sz w:val="20"/>
                <w:szCs w:val="20"/>
              </w:rPr>
              <w:t>20.0</w:t>
            </w:r>
          </w:p>
        </w:tc>
      </w:tr>
      <w:tr w:rsidR="002E1D90" w:rsidRPr="007C51D6" w:rsidTr="007541C1">
        <w:trPr>
          <w:trHeight w:val="20"/>
        </w:trPr>
        <w:tc>
          <w:tcPr>
            <w:tcW w:w="4531" w:type="dxa"/>
            <w:shd w:val="clear" w:color="auto" w:fill="auto"/>
            <w:hideMark/>
          </w:tcPr>
          <w:p w:rsidR="002E1D90" w:rsidRPr="007C51D6" w:rsidRDefault="002E1D90" w:rsidP="002E1D90">
            <w:pPr>
              <w:autoSpaceDE/>
              <w:autoSpaceDN/>
              <w:adjustRightInd/>
              <w:rPr>
                <w:color w:val="000000"/>
                <w:sz w:val="20"/>
                <w:szCs w:val="20"/>
              </w:rPr>
            </w:pPr>
            <w:r w:rsidRPr="007C51D6">
              <w:rPr>
                <w:color w:val="000000"/>
                <w:sz w:val="20"/>
                <w:szCs w:val="20"/>
              </w:rPr>
              <w:t>Дрожжановский</w:t>
            </w:r>
          </w:p>
        </w:tc>
        <w:tc>
          <w:tcPr>
            <w:tcW w:w="1134" w:type="dxa"/>
            <w:shd w:val="clear" w:color="auto" w:fill="auto"/>
            <w:vAlign w:val="center"/>
          </w:tcPr>
          <w:p w:rsidR="002E1D90" w:rsidRPr="007C51D6" w:rsidRDefault="002E1D90" w:rsidP="002E1D90">
            <w:pPr>
              <w:jc w:val="center"/>
              <w:rPr>
                <w:color w:val="000000"/>
                <w:sz w:val="20"/>
                <w:szCs w:val="20"/>
              </w:rPr>
            </w:pPr>
            <w:r w:rsidRPr="007C51D6">
              <w:rPr>
                <w:color w:val="000000"/>
                <w:sz w:val="20"/>
                <w:szCs w:val="20"/>
              </w:rPr>
              <w:t>29,0</w:t>
            </w:r>
          </w:p>
        </w:tc>
        <w:tc>
          <w:tcPr>
            <w:tcW w:w="1012" w:type="dxa"/>
            <w:shd w:val="clear" w:color="auto" w:fill="auto"/>
            <w:vAlign w:val="center"/>
          </w:tcPr>
          <w:p w:rsidR="002E1D90" w:rsidRPr="007C51D6" w:rsidRDefault="002E1D90" w:rsidP="002E1D90">
            <w:pPr>
              <w:jc w:val="center"/>
              <w:rPr>
                <w:color w:val="000000"/>
                <w:sz w:val="20"/>
                <w:szCs w:val="20"/>
              </w:rPr>
            </w:pPr>
            <w:r w:rsidRPr="007C51D6">
              <w:rPr>
                <w:color w:val="000000"/>
                <w:sz w:val="20"/>
                <w:szCs w:val="20"/>
              </w:rPr>
              <w:t>25,4</w:t>
            </w:r>
          </w:p>
        </w:tc>
        <w:tc>
          <w:tcPr>
            <w:tcW w:w="1012" w:type="dxa"/>
            <w:shd w:val="clear" w:color="auto" w:fill="auto"/>
            <w:vAlign w:val="center"/>
          </w:tcPr>
          <w:p w:rsidR="002E1D90" w:rsidRPr="007C51D6" w:rsidRDefault="002E1D90" w:rsidP="002E1D90">
            <w:pPr>
              <w:jc w:val="center"/>
              <w:rPr>
                <w:color w:val="000000"/>
                <w:sz w:val="20"/>
                <w:szCs w:val="20"/>
              </w:rPr>
            </w:pPr>
            <w:r w:rsidRPr="007C51D6">
              <w:rPr>
                <w:color w:val="000000"/>
                <w:sz w:val="20"/>
                <w:szCs w:val="20"/>
              </w:rPr>
              <w:t>32,8</w:t>
            </w:r>
          </w:p>
        </w:tc>
        <w:tc>
          <w:tcPr>
            <w:tcW w:w="1011" w:type="dxa"/>
            <w:shd w:val="clear" w:color="auto" w:fill="auto"/>
            <w:vAlign w:val="center"/>
          </w:tcPr>
          <w:p w:rsidR="002E1D90" w:rsidRPr="007C51D6" w:rsidRDefault="002E1D90" w:rsidP="002E1D90">
            <w:pPr>
              <w:jc w:val="center"/>
              <w:rPr>
                <w:color w:val="000000"/>
                <w:sz w:val="20"/>
                <w:szCs w:val="20"/>
              </w:rPr>
            </w:pPr>
            <w:r w:rsidRPr="007C51D6">
              <w:rPr>
                <w:color w:val="000000"/>
                <w:sz w:val="20"/>
                <w:szCs w:val="20"/>
              </w:rPr>
              <w:t>28,2</w:t>
            </w:r>
          </w:p>
        </w:tc>
        <w:tc>
          <w:tcPr>
            <w:tcW w:w="1012" w:type="dxa"/>
            <w:shd w:val="clear" w:color="auto" w:fill="auto"/>
            <w:vAlign w:val="center"/>
          </w:tcPr>
          <w:p w:rsidR="002E1D90" w:rsidRPr="007C51D6" w:rsidRDefault="002E1D90" w:rsidP="002E1D90">
            <w:pPr>
              <w:jc w:val="center"/>
              <w:rPr>
                <w:color w:val="000000"/>
                <w:sz w:val="20"/>
                <w:szCs w:val="20"/>
              </w:rPr>
            </w:pPr>
            <w:r w:rsidRPr="007C51D6">
              <w:rPr>
                <w:color w:val="000000"/>
                <w:sz w:val="20"/>
                <w:szCs w:val="20"/>
              </w:rPr>
              <w:t>28,4</w:t>
            </w:r>
          </w:p>
        </w:tc>
        <w:tc>
          <w:tcPr>
            <w:tcW w:w="1012" w:type="dxa"/>
            <w:vAlign w:val="center"/>
          </w:tcPr>
          <w:p w:rsidR="002E1D90" w:rsidRPr="007C51D6" w:rsidRDefault="002E1D90" w:rsidP="002E1D90">
            <w:pPr>
              <w:jc w:val="center"/>
              <w:rPr>
                <w:color w:val="000000"/>
                <w:sz w:val="20"/>
                <w:szCs w:val="20"/>
              </w:rPr>
            </w:pPr>
            <w:r w:rsidRPr="007C51D6">
              <w:rPr>
                <w:color w:val="000000"/>
                <w:sz w:val="20"/>
                <w:szCs w:val="20"/>
              </w:rPr>
              <w:t>23,6</w:t>
            </w:r>
          </w:p>
        </w:tc>
        <w:tc>
          <w:tcPr>
            <w:tcW w:w="1109" w:type="dxa"/>
            <w:vAlign w:val="center"/>
          </w:tcPr>
          <w:p w:rsidR="002E1D90" w:rsidRPr="007C51D6" w:rsidRDefault="002E1D90" w:rsidP="002E1D90">
            <w:pPr>
              <w:jc w:val="center"/>
              <w:rPr>
                <w:color w:val="000000"/>
                <w:sz w:val="20"/>
                <w:szCs w:val="20"/>
              </w:rPr>
            </w:pPr>
            <w:r w:rsidRPr="007C51D6">
              <w:rPr>
                <w:color w:val="000000"/>
                <w:sz w:val="20"/>
                <w:szCs w:val="20"/>
              </w:rPr>
              <w:t>29,7</w:t>
            </w:r>
          </w:p>
        </w:tc>
        <w:tc>
          <w:tcPr>
            <w:tcW w:w="1103" w:type="dxa"/>
            <w:vAlign w:val="center"/>
          </w:tcPr>
          <w:p w:rsidR="002E1D90" w:rsidRPr="007C51D6" w:rsidRDefault="002E1D90" w:rsidP="002E1D90">
            <w:pPr>
              <w:jc w:val="center"/>
              <w:rPr>
                <w:color w:val="000000"/>
                <w:sz w:val="20"/>
                <w:szCs w:val="20"/>
              </w:rPr>
            </w:pPr>
            <w:r w:rsidRPr="007C51D6">
              <w:rPr>
                <w:color w:val="000000"/>
                <w:sz w:val="20"/>
                <w:szCs w:val="20"/>
              </w:rPr>
              <w:t>27,1</w:t>
            </w:r>
          </w:p>
        </w:tc>
        <w:tc>
          <w:tcPr>
            <w:tcW w:w="1077" w:type="dxa"/>
            <w:vAlign w:val="center"/>
          </w:tcPr>
          <w:p w:rsidR="002E1D90" w:rsidRPr="007C51D6" w:rsidRDefault="002E1D90" w:rsidP="002E1D90">
            <w:pPr>
              <w:jc w:val="center"/>
              <w:rPr>
                <w:color w:val="000000"/>
                <w:sz w:val="20"/>
                <w:szCs w:val="20"/>
              </w:rPr>
            </w:pPr>
            <w:r w:rsidRPr="007C51D6">
              <w:rPr>
                <w:color w:val="000000"/>
                <w:sz w:val="20"/>
                <w:szCs w:val="20"/>
              </w:rPr>
              <w:t>18,4</w:t>
            </w:r>
          </w:p>
        </w:tc>
        <w:tc>
          <w:tcPr>
            <w:tcW w:w="1077" w:type="dxa"/>
            <w:vAlign w:val="center"/>
          </w:tcPr>
          <w:p w:rsidR="002E1D90" w:rsidRPr="007C51D6" w:rsidRDefault="002E1D90" w:rsidP="002E1D90">
            <w:pPr>
              <w:jc w:val="center"/>
              <w:rPr>
                <w:color w:val="000000"/>
                <w:sz w:val="20"/>
                <w:szCs w:val="20"/>
              </w:rPr>
            </w:pPr>
            <w:r w:rsidRPr="007C51D6">
              <w:rPr>
                <w:color w:val="000000"/>
                <w:sz w:val="20"/>
                <w:szCs w:val="20"/>
              </w:rPr>
              <w:t>22.4</w:t>
            </w:r>
          </w:p>
        </w:tc>
      </w:tr>
      <w:tr w:rsidR="002E1D90" w:rsidRPr="007C51D6" w:rsidTr="007541C1">
        <w:trPr>
          <w:trHeight w:val="20"/>
        </w:trPr>
        <w:tc>
          <w:tcPr>
            <w:tcW w:w="4531" w:type="dxa"/>
            <w:shd w:val="clear" w:color="auto" w:fill="auto"/>
            <w:hideMark/>
          </w:tcPr>
          <w:p w:rsidR="002E1D90" w:rsidRPr="007C51D6" w:rsidRDefault="002E1D90" w:rsidP="002E1D90">
            <w:pPr>
              <w:autoSpaceDE/>
              <w:autoSpaceDN/>
              <w:adjustRightInd/>
              <w:rPr>
                <w:color w:val="000000"/>
                <w:sz w:val="20"/>
                <w:szCs w:val="20"/>
              </w:rPr>
            </w:pPr>
            <w:r w:rsidRPr="007C51D6">
              <w:rPr>
                <w:color w:val="000000"/>
                <w:sz w:val="20"/>
                <w:szCs w:val="20"/>
              </w:rPr>
              <w:t>Елабужский</w:t>
            </w:r>
          </w:p>
        </w:tc>
        <w:tc>
          <w:tcPr>
            <w:tcW w:w="1134" w:type="dxa"/>
            <w:shd w:val="clear" w:color="auto" w:fill="auto"/>
            <w:vAlign w:val="center"/>
          </w:tcPr>
          <w:p w:rsidR="002E1D90" w:rsidRPr="007C51D6" w:rsidRDefault="002E1D90" w:rsidP="002E1D90">
            <w:pPr>
              <w:jc w:val="center"/>
              <w:rPr>
                <w:color w:val="000000"/>
                <w:sz w:val="20"/>
                <w:szCs w:val="20"/>
              </w:rPr>
            </w:pPr>
            <w:r w:rsidRPr="007C51D6">
              <w:rPr>
                <w:color w:val="000000"/>
                <w:sz w:val="20"/>
                <w:szCs w:val="20"/>
              </w:rPr>
              <w:t>22,6</w:t>
            </w:r>
          </w:p>
        </w:tc>
        <w:tc>
          <w:tcPr>
            <w:tcW w:w="1012" w:type="dxa"/>
            <w:shd w:val="clear" w:color="auto" w:fill="auto"/>
            <w:vAlign w:val="center"/>
          </w:tcPr>
          <w:p w:rsidR="002E1D90" w:rsidRPr="007C51D6" w:rsidRDefault="002E1D90" w:rsidP="002E1D90">
            <w:pPr>
              <w:jc w:val="center"/>
              <w:rPr>
                <w:color w:val="000000"/>
                <w:sz w:val="20"/>
                <w:szCs w:val="20"/>
              </w:rPr>
            </w:pPr>
            <w:r w:rsidRPr="007C51D6">
              <w:rPr>
                <w:color w:val="000000"/>
                <w:sz w:val="20"/>
                <w:szCs w:val="20"/>
              </w:rPr>
              <w:t>31,5</w:t>
            </w:r>
          </w:p>
        </w:tc>
        <w:tc>
          <w:tcPr>
            <w:tcW w:w="1012" w:type="dxa"/>
            <w:shd w:val="clear" w:color="auto" w:fill="auto"/>
            <w:vAlign w:val="center"/>
          </w:tcPr>
          <w:p w:rsidR="002E1D90" w:rsidRPr="007C51D6" w:rsidRDefault="002E1D90" w:rsidP="002E1D90">
            <w:pPr>
              <w:jc w:val="center"/>
              <w:rPr>
                <w:color w:val="000000"/>
                <w:sz w:val="20"/>
                <w:szCs w:val="20"/>
              </w:rPr>
            </w:pPr>
            <w:r w:rsidRPr="007C51D6">
              <w:rPr>
                <w:color w:val="000000"/>
                <w:sz w:val="20"/>
                <w:szCs w:val="20"/>
              </w:rPr>
              <w:t>22,5</w:t>
            </w:r>
          </w:p>
        </w:tc>
        <w:tc>
          <w:tcPr>
            <w:tcW w:w="1011" w:type="dxa"/>
            <w:shd w:val="clear" w:color="auto" w:fill="auto"/>
            <w:vAlign w:val="center"/>
          </w:tcPr>
          <w:p w:rsidR="002E1D90" w:rsidRPr="007C51D6" w:rsidRDefault="002E1D90" w:rsidP="002E1D90">
            <w:pPr>
              <w:jc w:val="center"/>
              <w:rPr>
                <w:color w:val="000000"/>
                <w:sz w:val="20"/>
                <w:szCs w:val="20"/>
              </w:rPr>
            </w:pPr>
            <w:r w:rsidRPr="007C51D6">
              <w:rPr>
                <w:color w:val="000000"/>
                <w:sz w:val="20"/>
                <w:szCs w:val="20"/>
              </w:rPr>
              <w:t>26,7</w:t>
            </w:r>
          </w:p>
        </w:tc>
        <w:tc>
          <w:tcPr>
            <w:tcW w:w="1012" w:type="dxa"/>
            <w:shd w:val="clear" w:color="auto" w:fill="auto"/>
            <w:vAlign w:val="center"/>
          </w:tcPr>
          <w:p w:rsidR="002E1D90" w:rsidRPr="007C51D6" w:rsidRDefault="002E1D90" w:rsidP="002E1D90">
            <w:pPr>
              <w:jc w:val="center"/>
              <w:rPr>
                <w:color w:val="000000"/>
                <w:sz w:val="20"/>
                <w:szCs w:val="20"/>
              </w:rPr>
            </w:pPr>
            <w:r w:rsidRPr="007C51D6">
              <w:rPr>
                <w:color w:val="000000"/>
                <w:sz w:val="20"/>
                <w:szCs w:val="20"/>
              </w:rPr>
              <w:t>29,2</w:t>
            </w:r>
          </w:p>
        </w:tc>
        <w:tc>
          <w:tcPr>
            <w:tcW w:w="1012" w:type="dxa"/>
            <w:vAlign w:val="center"/>
          </w:tcPr>
          <w:p w:rsidR="002E1D90" w:rsidRPr="007C51D6" w:rsidRDefault="002E1D90" w:rsidP="002E1D90">
            <w:pPr>
              <w:jc w:val="center"/>
              <w:rPr>
                <w:color w:val="000000"/>
                <w:sz w:val="20"/>
                <w:szCs w:val="20"/>
              </w:rPr>
            </w:pPr>
            <w:r w:rsidRPr="007C51D6">
              <w:rPr>
                <w:color w:val="000000"/>
                <w:sz w:val="20"/>
                <w:szCs w:val="20"/>
              </w:rPr>
              <w:t>22,1</w:t>
            </w:r>
          </w:p>
        </w:tc>
        <w:tc>
          <w:tcPr>
            <w:tcW w:w="1109" w:type="dxa"/>
            <w:vAlign w:val="center"/>
          </w:tcPr>
          <w:p w:rsidR="002E1D90" w:rsidRPr="007C51D6" w:rsidRDefault="002E1D90" w:rsidP="002E1D90">
            <w:pPr>
              <w:jc w:val="center"/>
              <w:rPr>
                <w:color w:val="000000"/>
                <w:sz w:val="20"/>
                <w:szCs w:val="20"/>
              </w:rPr>
            </w:pPr>
            <w:r w:rsidRPr="007C51D6">
              <w:rPr>
                <w:color w:val="000000"/>
                <w:sz w:val="20"/>
                <w:szCs w:val="20"/>
              </w:rPr>
              <w:t>21,0</w:t>
            </w:r>
          </w:p>
        </w:tc>
        <w:tc>
          <w:tcPr>
            <w:tcW w:w="1103" w:type="dxa"/>
            <w:vAlign w:val="center"/>
          </w:tcPr>
          <w:p w:rsidR="002E1D90" w:rsidRPr="007C51D6" w:rsidRDefault="002E1D90" w:rsidP="002E1D90">
            <w:pPr>
              <w:jc w:val="center"/>
              <w:rPr>
                <w:color w:val="000000"/>
                <w:sz w:val="20"/>
                <w:szCs w:val="20"/>
              </w:rPr>
            </w:pPr>
            <w:r w:rsidRPr="007C51D6">
              <w:rPr>
                <w:color w:val="000000"/>
                <w:sz w:val="20"/>
                <w:szCs w:val="20"/>
              </w:rPr>
              <w:t>17,1</w:t>
            </w:r>
          </w:p>
        </w:tc>
        <w:tc>
          <w:tcPr>
            <w:tcW w:w="1077" w:type="dxa"/>
            <w:vAlign w:val="center"/>
          </w:tcPr>
          <w:p w:rsidR="002E1D90" w:rsidRPr="007C51D6" w:rsidRDefault="002E1D90" w:rsidP="002E1D90">
            <w:pPr>
              <w:jc w:val="center"/>
              <w:rPr>
                <w:color w:val="000000"/>
                <w:sz w:val="20"/>
                <w:szCs w:val="20"/>
              </w:rPr>
            </w:pPr>
            <w:r w:rsidRPr="007C51D6">
              <w:rPr>
                <w:color w:val="000000"/>
                <w:sz w:val="20"/>
                <w:szCs w:val="20"/>
              </w:rPr>
              <w:t>16,3</w:t>
            </w:r>
          </w:p>
        </w:tc>
        <w:tc>
          <w:tcPr>
            <w:tcW w:w="1077" w:type="dxa"/>
            <w:vAlign w:val="center"/>
          </w:tcPr>
          <w:p w:rsidR="002E1D90" w:rsidRPr="007C51D6" w:rsidRDefault="002E1D90" w:rsidP="002E1D90">
            <w:pPr>
              <w:jc w:val="center"/>
              <w:rPr>
                <w:color w:val="000000"/>
                <w:sz w:val="20"/>
                <w:szCs w:val="20"/>
              </w:rPr>
            </w:pPr>
            <w:r w:rsidRPr="007C51D6">
              <w:rPr>
                <w:color w:val="000000"/>
                <w:sz w:val="20"/>
                <w:szCs w:val="20"/>
              </w:rPr>
              <w:t>17.2</w:t>
            </w:r>
          </w:p>
        </w:tc>
      </w:tr>
      <w:tr w:rsidR="002E1D90" w:rsidRPr="007C51D6" w:rsidTr="007541C1">
        <w:trPr>
          <w:trHeight w:val="20"/>
        </w:trPr>
        <w:tc>
          <w:tcPr>
            <w:tcW w:w="4531" w:type="dxa"/>
            <w:shd w:val="clear" w:color="auto" w:fill="auto"/>
            <w:hideMark/>
          </w:tcPr>
          <w:p w:rsidR="002E1D90" w:rsidRPr="007C51D6" w:rsidRDefault="002E1D90" w:rsidP="002E1D90">
            <w:pPr>
              <w:autoSpaceDE/>
              <w:autoSpaceDN/>
              <w:adjustRightInd/>
              <w:rPr>
                <w:color w:val="000000"/>
                <w:sz w:val="20"/>
                <w:szCs w:val="20"/>
              </w:rPr>
            </w:pPr>
            <w:r w:rsidRPr="007C51D6">
              <w:rPr>
                <w:color w:val="000000"/>
                <w:sz w:val="20"/>
                <w:szCs w:val="20"/>
              </w:rPr>
              <w:t>Заинский</w:t>
            </w:r>
          </w:p>
        </w:tc>
        <w:tc>
          <w:tcPr>
            <w:tcW w:w="1134" w:type="dxa"/>
            <w:shd w:val="clear" w:color="auto" w:fill="auto"/>
            <w:vAlign w:val="center"/>
          </w:tcPr>
          <w:p w:rsidR="002E1D90" w:rsidRPr="007C51D6" w:rsidRDefault="002E1D90" w:rsidP="002E1D90">
            <w:pPr>
              <w:jc w:val="center"/>
              <w:rPr>
                <w:color w:val="000000"/>
                <w:sz w:val="20"/>
                <w:szCs w:val="20"/>
              </w:rPr>
            </w:pPr>
            <w:r w:rsidRPr="007C51D6">
              <w:rPr>
                <w:color w:val="000000"/>
                <w:sz w:val="20"/>
                <w:szCs w:val="20"/>
              </w:rPr>
              <w:t>26,1</w:t>
            </w:r>
          </w:p>
        </w:tc>
        <w:tc>
          <w:tcPr>
            <w:tcW w:w="1012" w:type="dxa"/>
            <w:shd w:val="clear" w:color="auto" w:fill="auto"/>
            <w:vAlign w:val="center"/>
          </w:tcPr>
          <w:p w:rsidR="002E1D90" w:rsidRPr="007C51D6" w:rsidRDefault="002E1D90" w:rsidP="002E1D90">
            <w:pPr>
              <w:jc w:val="center"/>
              <w:rPr>
                <w:color w:val="000000"/>
                <w:sz w:val="20"/>
                <w:szCs w:val="20"/>
              </w:rPr>
            </w:pPr>
            <w:r w:rsidRPr="007C51D6">
              <w:rPr>
                <w:color w:val="000000"/>
                <w:sz w:val="20"/>
                <w:szCs w:val="20"/>
              </w:rPr>
              <w:t>27,9</w:t>
            </w:r>
          </w:p>
        </w:tc>
        <w:tc>
          <w:tcPr>
            <w:tcW w:w="1012" w:type="dxa"/>
            <w:shd w:val="clear" w:color="auto" w:fill="auto"/>
            <w:vAlign w:val="center"/>
          </w:tcPr>
          <w:p w:rsidR="002E1D90" w:rsidRPr="007C51D6" w:rsidRDefault="002E1D90" w:rsidP="002E1D90">
            <w:pPr>
              <w:jc w:val="center"/>
              <w:rPr>
                <w:color w:val="000000"/>
                <w:sz w:val="20"/>
                <w:szCs w:val="20"/>
              </w:rPr>
            </w:pPr>
            <w:r w:rsidRPr="007C51D6">
              <w:rPr>
                <w:color w:val="000000"/>
                <w:sz w:val="20"/>
                <w:szCs w:val="20"/>
              </w:rPr>
              <w:t>15,3</w:t>
            </w:r>
          </w:p>
        </w:tc>
        <w:tc>
          <w:tcPr>
            <w:tcW w:w="1011" w:type="dxa"/>
            <w:shd w:val="clear" w:color="auto" w:fill="auto"/>
            <w:vAlign w:val="center"/>
          </w:tcPr>
          <w:p w:rsidR="002E1D90" w:rsidRPr="007C51D6" w:rsidRDefault="002E1D90" w:rsidP="002E1D90">
            <w:pPr>
              <w:jc w:val="center"/>
              <w:rPr>
                <w:color w:val="000000"/>
                <w:sz w:val="20"/>
                <w:szCs w:val="20"/>
              </w:rPr>
            </w:pPr>
            <w:r w:rsidRPr="007C51D6">
              <w:rPr>
                <w:color w:val="000000"/>
                <w:sz w:val="20"/>
                <w:szCs w:val="20"/>
              </w:rPr>
              <w:t>17,6</w:t>
            </w:r>
          </w:p>
        </w:tc>
        <w:tc>
          <w:tcPr>
            <w:tcW w:w="1012" w:type="dxa"/>
            <w:shd w:val="clear" w:color="auto" w:fill="auto"/>
            <w:vAlign w:val="center"/>
          </w:tcPr>
          <w:p w:rsidR="002E1D90" w:rsidRPr="007C51D6" w:rsidRDefault="002E1D90" w:rsidP="002E1D90">
            <w:pPr>
              <w:jc w:val="center"/>
              <w:rPr>
                <w:color w:val="000000"/>
                <w:sz w:val="20"/>
                <w:szCs w:val="20"/>
              </w:rPr>
            </w:pPr>
            <w:r w:rsidRPr="007C51D6">
              <w:rPr>
                <w:color w:val="000000"/>
                <w:sz w:val="20"/>
                <w:szCs w:val="20"/>
              </w:rPr>
              <w:t>22,8</w:t>
            </w:r>
          </w:p>
        </w:tc>
        <w:tc>
          <w:tcPr>
            <w:tcW w:w="1012" w:type="dxa"/>
            <w:vAlign w:val="center"/>
          </w:tcPr>
          <w:p w:rsidR="002E1D90" w:rsidRPr="007C51D6" w:rsidRDefault="002E1D90" w:rsidP="002E1D90">
            <w:pPr>
              <w:jc w:val="center"/>
              <w:rPr>
                <w:color w:val="000000"/>
                <w:sz w:val="20"/>
                <w:szCs w:val="20"/>
              </w:rPr>
            </w:pPr>
            <w:r w:rsidRPr="007C51D6">
              <w:rPr>
                <w:color w:val="000000"/>
                <w:sz w:val="20"/>
                <w:szCs w:val="20"/>
              </w:rPr>
              <w:t>22,5</w:t>
            </w:r>
          </w:p>
        </w:tc>
        <w:tc>
          <w:tcPr>
            <w:tcW w:w="1109" w:type="dxa"/>
            <w:vAlign w:val="center"/>
          </w:tcPr>
          <w:p w:rsidR="002E1D90" w:rsidRPr="007C51D6" w:rsidRDefault="002E1D90" w:rsidP="002E1D90">
            <w:pPr>
              <w:jc w:val="center"/>
              <w:rPr>
                <w:color w:val="000000"/>
                <w:sz w:val="20"/>
                <w:szCs w:val="20"/>
              </w:rPr>
            </w:pPr>
            <w:r w:rsidRPr="007C51D6">
              <w:rPr>
                <w:color w:val="000000"/>
                <w:sz w:val="20"/>
                <w:szCs w:val="20"/>
              </w:rPr>
              <w:t>19,4</w:t>
            </w:r>
          </w:p>
        </w:tc>
        <w:tc>
          <w:tcPr>
            <w:tcW w:w="1103" w:type="dxa"/>
            <w:vAlign w:val="center"/>
          </w:tcPr>
          <w:p w:rsidR="002E1D90" w:rsidRPr="007C51D6" w:rsidRDefault="002E1D90" w:rsidP="002E1D90">
            <w:pPr>
              <w:jc w:val="center"/>
              <w:rPr>
                <w:color w:val="000000"/>
                <w:sz w:val="20"/>
                <w:szCs w:val="20"/>
              </w:rPr>
            </w:pPr>
            <w:r w:rsidRPr="007C51D6">
              <w:rPr>
                <w:color w:val="000000"/>
                <w:sz w:val="20"/>
                <w:szCs w:val="20"/>
              </w:rPr>
              <w:t>25,3</w:t>
            </w:r>
          </w:p>
        </w:tc>
        <w:tc>
          <w:tcPr>
            <w:tcW w:w="1077" w:type="dxa"/>
            <w:vAlign w:val="center"/>
          </w:tcPr>
          <w:p w:rsidR="002E1D90" w:rsidRPr="007C51D6" w:rsidRDefault="002E1D90" w:rsidP="002E1D90">
            <w:pPr>
              <w:jc w:val="center"/>
              <w:rPr>
                <w:color w:val="000000"/>
                <w:sz w:val="20"/>
                <w:szCs w:val="20"/>
              </w:rPr>
            </w:pPr>
            <w:r w:rsidRPr="007C51D6">
              <w:rPr>
                <w:color w:val="000000"/>
                <w:sz w:val="20"/>
                <w:szCs w:val="20"/>
              </w:rPr>
              <w:t>18,4</w:t>
            </w:r>
          </w:p>
        </w:tc>
        <w:tc>
          <w:tcPr>
            <w:tcW w:w="1077" w:type="dxa"/>
            <w:vAlign w:val="center"/>
          </w:tcPr>
          <w:p w:rsidR="002E1D90" w:rsidRPr="007C51D6" w:rsidRDefault="002E1D90" w:rsidP="002E1D90">
            <w:pPr>
              <w:jc w:val="center"/>
              <w:rPr>
                <w:color w:val="000000"/>
                <w:sz w:val="20"/>
                <w:szCs w:val="20"/>
              </w:rPr>
            </w:pPr>
            <w:r w:rsidRPr="007C51D6">
              <w:rPr>
                <w:color w:val="000000"/>
                <w:sz w:val="20"/>
                <w:szCs w:val="20"/>
              </w:rPr>
              <w:t>22.4</w:t>
            </w:r>
          </w:p>
        </w:tc>
      </w:tr>
      <w:tr w:rsidR="002E1D90" w:rsidRPr="007C51D6" w:rsidTr="007541C1">
        <w:trPr>
          <w:trHeight w:val="20"/>
        </w:trPr>
        <w:tc>
          <w:tcPr>
            <w:tcW w:w="4531" w:type="dxa"/>
            <w:shd w:val="clear" w:color="auto" w:fill="auto"/>
            <w:hideMark/>
          </w:tcPr>
          <w:p w:rsidR="002E1D90" w:rsidRPr="007C51D6" w:rsidRDefault="002E1D90" w:rsidP="002E1D90">
            <w:pPr>
              <w:autoSpaceDE/>
              <w:autoSpaceDN/>
              <w:adjustRightInd/>
              <w:rPr>
                <w:color w:val="000000"/>
                <w:sz w:val="20"/>
                <w:szCs w:val="20"/>
              </w:rPr>
            </w:pPr>
            <w:r w:rsidRPr="007C51D6">
              <w:rPr>
                <w:color w:val="000000"/>
                <w:sz w:val="20"/>
                <w:szCs w:val="20"/>
              </w:rPr>
              <w:t>Зеленодольский</w:t>
            </w:r>
          </w:p>
        </w:tc>
        <w:tc>
          <w:tcPr>
            <w:tcW w:w="1134" w:type="dxa"/>
            <w:shd w:val="clear" w:color="auto" w:fill="auto"/>
            <w:vAlign w:val="center"/>
          </w:tcPr>
          <w:p w:rsidR="002E1D90" w:rsidRPr="007C51D6" w:rsidRDefault="002E1D90" w:rsidP="002E1D90">
            <w:pPr>
              <w:jc w:val="center"/>
              <w:rPr>
                <w:color w:val="000000"/>
                <w:sz w:val="20"/>
                <w:szCs w:val="20"/>
              </w:rPr>
            </w:pPr>
            <w:r w:rsidRPr="007C51D6">
              <w:rPr>
                <w:color w:val="000000"/>
                <w:sz w:val="20"/>
                <w:szCs w:val="20"/>
              </w:rPr>
              <w:t>28,6</w:t>
            </w:r>
          </w:p>
        </w:tc>
        <w:tc>
          <w:tcPr>
            <w:tcW w:w="1012" w:type="dxa"/>
            <w:shd w:val="clear" w:color="auto" w:fill="auto"/>
            <w:vAlign w:val="center"/>
          </w:tcPr>
          <w:p w:rsidR="002E1D90" w:rsidRPr="007C51D6" w:rsidRDefault="002E1D90" w:rsidP="002E1D90">
            <w:pPr>
              <w:jc w:val="center"/>
              <w:rPr>
                <w:color w:val="000000"/>
                <w:sz w:val="20"/>
                <w:szCs w:val="20"/>
              </w:rPr>
            </w:pPr>
            <w:r w:rsidRPr="007C51D6">
              <w:rPr>
                <w:color w:val="000000"/>
                <w:sz w:val="20"/>
                <w:szCs w:val="20"/>
              </w:rPr>
              <w:t>28,3</w:t>
            </w:r>
          </w:p>
        </w:tc>
        <w:tc>
          <w:tcPr>
            <w:tcW w:w="1012" w:type="dxa"/>
            <w:shd w:val="clear" w:color="auto" w:fill="auto"/>
            <w:vAlign w:val="center"/>
          </w:tcPr>
          <w:p w:rsidR="002E1D90" w:rsidRPr="007C51D6" w:rsidRDefault="002E1D90" w:rsidP="002E1D90">
            <w:pPr>
              <w:jc w:val="center"/>
              <w:rPr>
                <w:color w:val="000000"/>
                <w:sz w:val="20"/>
                <w:szCs w:val="20"/>
              </w:rPr>
            </w:pPr>
            <w:r w:rsidRPr="007C51D6">
              <w:rPr>
                <w:color w:val="000000"/>
                <w:sz w:val="20"/>
                <w:szCs w:val="20"/>
              </w:rPr>
              <w:t>22,0</w:t>
            </w:r>
          </w:p>
        </w:tc>
        <w:tc>
          <w:tcPr>
            <w:tcW w:w="1011" w:type="dxa"/>
            <w:shd w:val="clear" w:color="auto" w:fill="auto"/>
            <w:vAlign w:val="center"/>
          </w:tcPr>
          <w:p w:rsidR="002E1D90" w:rsidRPr="007C51D6" w:rsidRDefault="002E1D90" w:rsidP="002E1D90">
            <w:pPr>
              <w:jc w:val="center"/>
              <w:rPr>
                <w:color w:val="000000"/>
                <w:sz w:val="20"/>
                <w:szCs w:val="20"/>
              </w:rPr>
            </w:pPr>
            <w:r w:rsidRPr="007C51D6">
              <w:rPr>
                <w:color w:val="000000"/>
                <w:sz w:val="20"/>
                <w:szCs w:val="20"/>
              </w:rPr>
              <w:t>28,5</w:t>
            </w:r>
          </w:p>
        </w:tc>
        <w:tc>
          <w:tcPr>
            <w:tcW w:w="1012" w:type="dxa"/>
            <w:shd w:val="clear" w:color="auto" w:fill="auto"/>
            <w:vAlign w:val="center"/>
          </w:tcPr>
          <w:p w:rsidR="002E1D90" w:rsidRPr="007C51D6" w:rsidRDefault="002E1D90" w:rsidP="002E1D90">
            <w:pPr>
              <w:jc w:val="center"/>
              <w:rPr>
                <w:color w:val="000000"/>
                <w:sz w:val="20"/>
                <w:szCs w:val="20"/>
              </w:rPr>
            </w:pPr>
            <w:r w:rsidRPr="007C51D6">
              <w:rPr>
                <w:color w:val="000000"/>
                <w:sz w:val="20"/>
                <w:szCs w:val="20"/>
              </w:rPr>
              <w:t>18,6</w:t>
            </w:r>
          </w:p>
        </w:tc>
        <w:tc>
          <w:tcPr>
            <w:tcW w:w="1012" w:type="dxa"/>
            <w:vAlign w:val="center"/>
          </w:tcPr>
          <w:p w:rsidR="002E1D90" w:rsidRPr="007C51D6" w:rsidRDefault="002E1D90" w:rsidP="002E1D90">
            <w:pPr>
              <w:jc w:val="center"/>
              <w:rPr>
                <w:color w:val="000000"/>
                <w:sz w:val="20"/>
                <w:szCs w:val="20"/>
              </w:rPr>
            </w:pPr>
            <w:r w:rsidRPr="007C51D6">
              <w:rPr>
                <w:color w:val="000000"/>
                <w:sz w:val="20"/>
                <w:szCs w:val="20"/>
              </w:rPr>
              <w:t>25,6</w:t>
            </w:r>
          </w:p>
        </w:tc>
        <w:tc>
          <w:tcPr>
            <w:tcW w:w="1109" w:type="dxa"/>
            <w:vAlign w:val="center"/>
          </w:tcPr>
          <w:p w:rsidR="002E1D90" w:rsidRPr="007C51D6" w:rsidRDefault="002E1D90" w:rsidP="002E1D90">
            <w:pPr>
              <w:jc w:val="center"/>
              <w:rPr>
                <w:color w:val="000000"/>
                <w:sz w:val="20"/>
                <w:szCs w:val="20"/>
              </w:rPr>
            </w:pPr>
            <w:r w:rsidRPr="007C51D6">
              <w:rPr>
                <w:color w:val="000000"/>
                <w:sz w:val="20"/>
                <w:szCs w:val="20"/>
              </w:rPr>
              <w:t>17,5</w:t>
            </w:r>
          </w:p>
        </w:tc>
        <w:tc>
          <w:tcPr>
            <w:tcW w:w="1103" w:type="dxa"/>
            <w:vAlign w:val="center"/>
          </w:tcPr>
          <w:p w:rsidR="002E1D90" w:rsidRPr="007C51D6" w:rsidRDefault="002E1D90" w:rsidP="002E1D90">
            <w:pPr>
              <w:jc w:val="center"/>
              <w:rPr>
                <w:color w:val="000000"/>
                <w:sz w:val="20"/>
                <w:szCs w:val="20"/>
              </w:rPr>
            </w:pPr>
            <w:r w:rsidRPr="007C51D6">
              <w:rPr>
                <w:color w:val="000000"/>
                <w:sz w:val="20"/>
                <w:szCs w:val="20"/>
              </w:rPr>
              <w:t>20,9</w:t>
            </w:r>
          </w:p>
        </w:tc>
        <w:tc>
          <w:tcPr>
            <w:tcW w:w="1077" w:type="dxa"/>
            <w:vAlign w:val="center"/>
          </w:tcPr>
          <w:p w:rsidR="002E1D90" w:rsidRPr="007C51D6" w:rsidRDefault="002E1D90" w:rsidP="002E1D90">
            <w:pPr>
              <w:jc w:val="center"/>
              <w:rPr>
                <w:color w:val="000000"/>
                <w:sz w:val="20"/>
                <w:szCs w:val="20"/>
              </w:rPr>
            </w:pPr>
            <w:r w:rsidRPr="007C51D6">
              <w:rPr>
                <w:color w:val="000000"/>
                <w:sz w:val="20"/>
                <w:szCs w:val="20"/>
              </w:rPr>
              <w:t>22,5</w:t>
            </w:r>
          </w:p>
        </w:tc>
        <w:tc>
          <w:tcPr>
            <w:tcW w:w="1077" w:type="dxa"/>
            <w:vAlign w:val="center"/>
          </w:tcPr>
          <w:p w:rsidR="002E1D90" w:rsidRPr="007C51D6" w:rsidRDefault="002E1D90" w:rsidP="002E1D90">
            <w:pPr>
              <w:jc w:val="center"/>
              <w:rPr>
                <w:color w:val="000000"/>
                <w:sz w:val="20"/>
                <w:szCs w:val="20"/>
              </w:rPr>
            </w:pPr>
            <w:r w:rsidRPr="007C51D6">
              <w:rPr>
                <w:color w:val="000000"/>
                <w:sz w:val="20"/>
                <w:szCs w:val="20"/>
              </w:rPr>
              <w:t>20.4</w:t>
            </w:r>
          </w:p>
        </w:tc>
      </w:tr>
      <w:tr w:rsidR="002E1D90" w:rsidRPr="007C51D6" w:rsidTr="007541C1">
        <w:trPr>
          <w:trHeight w:val="20"/>
        </w:trPr>
        <w:tc>
          <w:tcPr>
            <w:tcW w:w="4531" w:type="dxa"/>
            <w:shd w:val="clear" w:color="auto" w:fill="auto"/>
            <w:hideMark/>
          </w:tcPr>
          <w:p w:rsidR="002E1D90" w:rsidRPr="007C51D6" w:rsidRDefault="002E1D90" w:rsidP="002E1D90">
            <w:pPr>
              <w:autoSpaceDE/>
              <w:autoSpaceDN/>
              <w:adjustRightInd/>
              <w:rPr>
                <w:color w:val="000000"/>
                <w:sz w:val="20"/>
                <w:szCs w:val="20"/>
              </w:rPr>
            </w:pPr>
            <w:r w:rsidRPr="007C51D6">
              <w:rPr>
                <w:color w:val="000000"/>
                <w:sz w:val="20"/>
                <w:szCs w:val="20"/>
              </w:rPr>
              <w:t>Кайбицкий</w:t>
            </w:r>
          </w:p>
        </w:tc>
        <w:tc>
          <w:tcPr>
            <w:tcW w:w="1134" w:type="dxa"/>
            <w:shd w:val="clear" w:color="auto" w:fill="auto"/>
            <w:vAlign w:val="center"/>
          </w:tcPr>
          <w:p w:rsidR="002E1D90" w:rsidRPr="007C51D6" w:rsidRDefault="002E1D90" w:rsidP="002E1D90">
            <w:pPr>
              <w:jc w:val="center"/>
              <w:rPr>
                <w:color w:val="000000"/>
                <w:sz w:val="20"/>
                <w:szCs w:val="20"/>
              </w:rPr>
            </w:pPr>
            <w:r w:rsidRPr="007C51D6">
              <w:rPr>
                <w:color w:val="000000"/>
                <w:sz w:val="20"/>
                <w:szCs w:val="20"/>
              </w:rPr>
              <w:t>31,3</w:t>
            </w:r>
          </w:p>
        </w:tc>
        <w:tc>
          <w:tcPr>
            <w:tcW w:w="1012" w:type="dxa"/>
            <w:shd w:val="clear" w:color="auto" w:fill="auto"/>
            <w:vAlign w:val="center"/>
          </w:tcPr>
          <w:p w:rsidR="002E1D90" w:rsidRPr="007C51D6" w:rsidRDefault="002E1D90" w:rsidP="002E1D90">
            <w:pPr>
              <w:jc w:val="center"/>
              <w:rPr>
                <w:color w:val="000000"/>
                <w:sz w:val="20"/>
                <w:szCs w:val="20"/>
              </w:rPr>
            </w:pPr>
            <w:r w:rsidRPr="007C51D6">
              <w:rPr>
                <w:color w:val="000000"/>
                <w:sz w:val="20"/>
                <w:szCs w:val="20"/>
              </w:rPr>
              <w:t>15,3</w:t>
            </w:r>
          </w:p>
        </w:tc>
        <w:tc>
          <w:tcPr>
            <w:tcW w:w="1012" w:type="dxa"/>
            <w:shd w:val="clear" w:color="auto" w:fill="auto"/>
            <w:vAlign w:val="center"/>
          </w:tcPr>
          <w:p w:rsidR="002E1D90" w:rsidRPr="007C51D6" w:rsidRDefault="002E1D90" w:rsidP="002E1D90">
            <w:pPr>
              <w:jc w:val="center"/>
              <w:rPr>
                <w:color w:val="000000"/>
                <w:sz w:val="20"/>
                <w:szCs w:val="20"/>
              </w:rPr>
            </w:pPr>
            <w:r w:rsidRPr="007C51D6">
              <w:rPr>
                <w:color w:val="000000"/>
                <w:sz w:val="20"/>
                <w:szCs w:val="20"/>
              </w:rPr>
              <w:t>16,7</w:t>
            </w:r>
          </w:p>
        </w:tc>
        <w:tc>
          <w:tcPr>
            <w:tcW w:w="1011" w:type="dxa"/>
            <w:shd w:val="clear" w:color="auto" w:fill="auto"/>
            <w:vAlign w:val="center"/>
          </w:tcPr>
          <w:p w:rsidR="002E1D90" w:rsidRPr="007C51D6" w:rsidRDefault="002E1D90" w:rsidP="002E1D90">
            <w:pPr>
              <w:jc w:val="center"/>
              <w:rPr>
                <w:color w:val="000000"/>
                <w:sz w:val="20"/>
                <w:szCs w:val="20"/>
              </w:rPr>
            </w:pPr>
            <w:r w:rsidRPr="007C51D6">
              <w:rPr>
                <w:color w:val="000000"/>
                <w:sz w:val="20"/>
                <w:szCs w:val="20"/>
              </w:rPr>
              <w:t>15,1</w:t>
            </w:r>
          </w:p>
        </w:tc>
        <w:tc>
          <w:tcPr>
            <w:tcW w:w="1012" w:type="dxa"/>
            <w:shd w:val="clear" w:color="auto" w:fill="auto"/>
            <w:vAlign w:val="center"/>
          </w:tcPr>
          <w:p w:rsidR="002E1D90" w:rsidRPr="007C51D6" w:rsidRDefault="002E1D90" w:rsidP="002E1D90">
            <w:pPr>
              <w:jc w:val="center"/>
              <w:rPr>
                <w:color w:val="000000"/>
                <w:sz w:val="20"/>
                <w:szCs w:val="20"/>
              </w:rPr>
            </w:pPr>
            <w:r w:rsidRPr="007C51D6">
              <w:rPr>
                <w:color w:val="000000"/>
                <w:sz w:val="20"/>
                <w:szCs w:val="20"/>
              </w:rPr>
              <w:t>17,0</w:t>
            </w:r>
          </w:p>
        </w:tc>
        <w:tc>
          <w:tcPr>
            <w:tcW w:w="1012" w:type="dxa"/>
            <w:vAlign w:val="center"/>
          </w:tcPr>
          <w:p w:rsidR="002E1D90" w:rsidRPr="007C51D6" w:rsidRDefault="002E1D90" w:rsidP="002E1D90">
            <w:pPr>
              <w:jc w:val="center"/>
              <w:rPr>
                <w:color w:val="000000"/>
                <w:sz w:val="20"/>
                <w:szCs w:val="20"/>
              </w:rPr>
            </w:pPr>
            <w:r w:rsidRPr="007C51D6">
              <w:rPr>
                <w:color w:val="000000"/>
                <w:sz w:val="20"/>
                <w:szCs w:val="20"/>
              </w:rPr>
              <w:t>24,4</w:t>
            </w:r>
          </w:p>
        </w:tc>
        <w:tc>
          <w:tcPr>
            <w:tcW w:w="1109" w:type="dxa"/>
            <w:vAlign w:val="center"/>
          </w:tcPr>
          <w:p w:rsidR="002E1D90" w:rsidRPr="007C51D6" w:rsidRDefault="002E1D90" w:rsidP="002E1D90">
            <w:pPr>
              <w:jc w:val="center"/>
              <w:rPr>
                <w:color w:val="000000"/>
                <w:sz w:val="20"/>
                <w:szCs w:val="20"/>
              </w:rPr>
            </w:pPr>
            <w:r w:rsidRPr="007C51D6">
              <w:rPr>
                <w:color w:val="000000"/>
                <w:sz w:val="20"/>
                <w:szCs w:val="20"/>
              </w:rPr>
              <w:t>24,5</w:t>
            </w:r>
          </w:p>
        </w:tc>
        <w:tc>
          <w:tcPr>
            <w:tcW w:w="1103" w:type="dxa"/>
            <w:vAlign w:val="center"/>
          </w:tcPr>
          <w:p w:rsidR="002E1D90" w:rsidRPr="007C51D6" w:rsidRDefault="002E1D90" w:rsidP="002E1D90">
            <w:pPr>
              <w:jc w:val="center"/>
              <w:rPr>
                <w:color w:val="000000"/>
                <w:sz w:val="20"/>
                <w:szCs w:val="20"/>
              </w:rPr>
            </w:pPr>
            <w:r w:rsidRPr="007C51D6">
              <w:rPr>
                <w:color w:val="000000"/>
                <w:sz w:val="20"/>
                <w:szCs w:val="20"/>
              </w:rPr>
              <w:t>16,3</w:t>
            </w:r>
          </w:p>
        </w:tc>
        <w:tc>
          <w:tcPr>
            <w:tcW w:w="1077" w:type="dxa"/>
            <w:vAlign w:val="center"/>
          </w:tcPr>
          <w:p w:rsidR="002E1D90" w:rsidRPr="007C51D6" w:rsidRDefault="002E1D90" w:rsidP="002E1D90">
            <w:pPr>
              <w:jc w:val="center"/>
              <w:rPr>
                <w:color w:val="000000"/>
                <w:sz w:val="20"/>
                <w:szCs w:val="20"/>
              </w:rPr>
            </w:pPr>
            <w:r w:rsidRPr="007C51D6">
              <w:rPr>
                <w:color w:val="000000"/>
                <w:sz w:val="20"/>
                <w:szCs w:val="20"/>
              </w:rPr>
              <w:t>25,9</w:t>
            </w:r>
          </w:p>
        </w:tc>
        <w:tc>
          <w:tcPr>
            <w:tcW w:w="1077" w:type="dxa"/>
            <w:vAlign w:val="center"/>
          </w:tcPr>
          <w:p w:rsidR="002E1D90" w:rsidRPr="007C51D6" w:rsidRDefault="002E1D90" w:rsidP="002E1D90">
            <w:pPr>
              <w:jc w:val="center"/>
              <w:rPr>
                <w:color w:val="000000"/>
                <w:sz w:val="20"/>
                <w:szCs w:val="20"/>
              </w:rPr>
            </w:pPr>
            <w:r w:rsidRPr="007C51D6">
              <w:rPr>
                <w:color w:val="000000"/>
                <w:sz w:val="20"/>
                <w:szCs w:val="20"/>
              </w:rPr>
              <w:t>15.1</w:t>
            </w:r>
          </w:p>
        </w:tc>
      </w:tr>
      <w:tr w:rsidR="002E1D90" w:rsidRPr="007C51D6" w:rsidTr="007541C1">
        <w:trPr>
          <w:trHeight w:val="20"/>
        </w:trPr>
        <w:tc>
          <w:tcPr>
            <w:tcW w:w="4531" w:type="dxa"/>
            <w:shd w:val="clear" w:color="auto" w:fill="auto"/>
            <w:hideMark/>
          </w:tcPr>
          <w:p w:rsidR="002E1D90" w:rsidRPr="007C51D6" w:rsidRDefault="002E1D90" w:rsidP="002E1D90">
            <w:pPr>
              <w:autoSpaceDE/>
              <w:autoSpaceDN/>
              <w:adjustRightInd/>
              <w:rPr>
                <w:color w:val="000000"/>
                <w:sz w:val="20"/>
                <w:szCs w:val="20"/>
              </w:rPr>
            </w:pPr>
            <w:r w:rsidRPr="007C51D6">
              <w:rPr>
                <w:color w:val="000000"/>
                <w:sz w:val="20"/>
                <w:szCs w:val="20"/>
              </w:rPr>
              <w:t>Камско-Устьинский</w:t>
            </w:r>
          </w:p>
        </w:tc>
        <w:tc>
          <w:tcPr>
            <w:tcW w:w="1134" w:type="dxa"/>
            <w:shd w:val="clear" w:color="auto" w:fill="auto"/>
            <w:vAlign w:val="center"/>
          </w:tcPr>
          <w:p w:rsidR="002E1D90" w:rsidRPr="007C51D6" w:rsidRDefault="002E1D90" w:rsidP="002E1D90">
            <w:pPr>
              <w:jc w:val="center"/>
              <w:rPr>
                <w:color w:val="000000"/>
                <w:sz w:val="20"/>
                <w:szCs w:val="20"/>
              </w:rPr>
            </w:pPr>
            <w:r w:rsidRPr="007C51D6">
              <w:rPr>
                <w:color w:val="000000"/>
                <w:sz w:val="20"/>
                <w:szCs w:val="20"/>
              </w:rPr>
              <w:t>12,9</w:t>
            </w:r>
          </w:p>
        </w:tc>
        <w:tc>
          <w:tcPr>
            <w:tcW w:w="1012" w:type="dxa"/>
            <w:shd w:val="clear" w:color="auto" w:fill="auto"/>
            <w:vAlign w:val="center"/>
          </w:tcPr>
          <w:p w:rsidR="002E1D90" w:rsidRPr="007C51D6" w:rsidRDefault="002E1D90" w:rsidP="002E1D90">
            <w:pPr>
              <w:jc w:val="center"/>
              <w:rPr>
                <w:color w:val="000000"/>
                <w:sz w:val="20"/>
                <w:szCs w:val="20"/>
              </w:rPr>
            </w:pPr>
            <w:r w:rsidRPr="007C51D6">
              <w:rPr>
                <w:color w:val="000000"/>
                <w:sz w:val="20"/>
                <w:szCs w:val="20"/>
              </w:rPr>
              <w:t>19,2</w:t>
            </w:r>
          </w:p>
        </w:tc>
        <w:tc>
          <w:tcPr>
            <w:tcW w:w="1012" w:type="dxa"/>
            <w:shd w:val="clear" w:color="auto" w:fill="auto"/>
            <w:vAlign w:val="center"/>
          </w:tcPr>
          <w:p w:rsidR="002E1D90" w:rsidRPr="007C51D6" w:rsidRDefault="002E1D90" w:rsidP="002E1D90">
            <w:pPr>
              <w:jc w:val="center"/>
              <w:rPr>
                <w:color w:val="000000"/>
                <w:sz w:val="20"/>
                <w:szCs w:val="20"/>
              </w:rPr>
            </w:pPr>
            <w:r w:rsidRPr="007C51D6">
              <w:rPr>
                <w:color w:val="000000"/>
                <w:sz w:val="20"/>
                <w:szCs w:val="20"/>
              </w:rPr>
              <w:t>7,0</w:t>
            </w:r>
          </w:p>
        </w:tc>
        <w:tc>
          <w:tcPr>
            <w:tcW w:w="1011" w:type="dxa"/>
            <w:shd w:val="clear" w:color="auto" w:fill="auto"/>
            <w:vAlign w:val="center"/>
          </w:tcPr>
          <w:p w:rsidR="002E1D90" w:rsidRPr="007C51D6" w:rsidRDefault="002E1D90" w:rsidP="002E1D90">
            <w:pPr>
              <w:jc w:val="center"/>
              <w:rPr>
                <w:color w:val="000000"/>
                <w:sz w:val="20"/>
                <w:szCs w:val="20"/>
              </w:rPr>
            </w:pPr>
            <w:r w:rsidRPr="007C51D6">
              <w:rPr>
                <w:color w:val="000000"/>
                <w:sz w:val="20"/>
                <w:szCs w:val="20"/>
              </w:rPr>
              <w:t>6,7</w:t>
            </w:r>
          </w:p>
        </w:tc>
        <w:tc>
          <w:tcPr>
            <w:tcW w:w="1012" w:type="dxa"/>
            <w:shd w:val="clear" w:color="auto" w:fill="auto"/>
            <w:vAlign w:val="center"/>
          </w:tcPr>
          <w:p w:rsidR="002E1D90" w:rsidRPr="007C51D6" w:rsidRDefault="002E1D90" w:rsidP="002E1D90">
            <w:pPr>
              <w:jc w:val="center"/>
              <w:rPr>
                <w:color w:val="000000"/>
                <w:sz w:val="20"/>
                <w:szCs w:val="20"/>
              </w:rPr>
            </w:pPr>
            <w:r w:rsidRPr="007C51D6">
              <w:rPr>
                <w:color w:val="000000"/>
                <w:sz w:val="20"/>
                <w:szCs w:val="20"/>
              </w:rPr>
              <w:t>17,6</w:t>
            </w:r>
          </w:p>
        </w:tc>
        <w:tc>
          <w:tcPr>
            <w:tcW w:w="1012" w:type="dxa"/>
            <w:vAlign w:val="center"/>
          </w:tcPr>
          <w:p w:rsidR="002E1D90" w:rsidRPr="007C51D6" w:rsidRDefault="002E1D90" w:rsidP="002E1D90">
            <w:pPr>
              <w:jc w:val="center"/>
              <w:rPr>
                <w:color w:val="000000"/>
                <w:sz w:val="20"/>
                <w:szCs w:val="20"/>
              </w:rPr>
            </w:pPr>
            <w:r w:rsidRPr="007C51D6">
              <w:rPr>
                <w:color w:val="000000"/>
                <w:sz w:val="20"/>
                <w:szCs w:val="20"/>
              </w:rPr>
              <w:t>13,5</w:t>
            </w:r>
          </w:p>
        </w:tc>
        <w:tc>
          <w:tcPr>
            <w:tcW w:w="1109" w:type="dxa"/>
            <w:vAlign w:val="center"/>
          </w:tcPr>
          <w:p w:rsidR="002E1D90" w:rsidRPr="007C51D6" w:rsidRDefault="002E1D90" w:rsidP="002E1D90">
            <w:pPr>
              <w:jc w:val="center"/>
              <w:rPr>
                <w:color w:val="000000"/>
                <w:sz w:val="20"/>
                <w:szCs w:val="20"/>
              </w:rPr>
            </w:pPr>
            <w:r w:rsidRPr="007C51D6">
              <w:rPr>
                <w:color w:val="000000"/>
                <w:sz w:val="20"/>
                <w:szCs w:val="20"/>
              </w:rPr>
              <w:t>25,0</w:t>
            </w:r>
          </w:p>
        </w:tc>
        <w:tc>
          <w:tcPr>
            <w:tcW w:w="1103" w:type="dxa"/>
            <w:vAlign w:val="center"/>
          </w:tcPr>
          <w:p w:rsidR="002E1D90" w:rsidRPr="007C51D6" w:rsidRDefault="002E1D90" w:rsidP="002E1D90">
            <w:pPr>
              <w:jc w:val="center"/>
              <w:rPr>
                <w:color w:val="000000"/>
                <w:sz w:val="20"/>
                <w:szCs w:val="20"/>
              </w:rPr>
            </w:pPr>
            <w:r w:rsidRPr="007C51D6">
              <w:rPr>
                <w:color w:val="000000"/>
                <w:sz w:val="20"/>
                <w:szCs w:val="20"/>
              </w:rPr>
              <w:t>8,3</w:t>
            </w:r>
          </w:p>
        </w:tc>
        <w:tc>
          <w:tcPr>
            <w:tcW w:w="1077" w:type="dxa"/>
            <w:vAlign w:val="center"/>
          </w:tcPr>
          <w:p w:rsidR="002E1D90" w:rsidRPr="007C51D6" w:rsidRDefault="002E1D90" w:rsidP="002E1D90">
            <w:pPr>
              <w:jc w:val="center"/>
              <w:rPr>
                <w:color w:val="000000"/>
                <w:sz w:val="20"/>
                <w:szCs w:val="20"/>
              </w:rPr>
            </w:pPr>
            <w:r w:rsidRPr="007C51D6">
              <w:rPr>
                <w:color w:val="000000"/>
                <w:sz w:val="20"/>
                <w:szCs w:val="20"/>
              </w:rPr>
              <w:t>18,2</w:t>
            </w:r>
          </w:p>
        </w:tc>
        <w:tc>
          <w:tcPr>
            <w:tcW w:w="1077" w:type="dxa"/>
            <w:vAlign w:val="center"/>
          </w:tcPr>
          <w:p w:rsidR="002E1D90" w:rsidRPr="007C51D6" w:rsidRDefault="002E1D90" w:rsidP="002E1D90">
            <w:pPr>
              <w:jc w:val="center"/>
              <w:rPr>
                <w:color w:val="000000"/>
                <w:sz w:val="20"/>
                <w:szCs w:val="20"/>
              </w:rPr>
            </w:pPr>
            <w:r w:rsidRPr="007C51D6">
              <w:rPr>
                <w:color w:val="000000"/>
                <w:sz w:val="20"/>
                <w:szCs w:val="20"/>
              </w:rPr>
              <w:t>28.8</w:t>
            </w:r>
          </w:p>
        </w:tc>
      </w:tr>
      <w:tr w:rsidR="002E1D90" w:rsidRPr="007C51D6" w:rsidTr="007541C1">
        <w:trPr>
          <w:trHeight w:val="20"/>
        </w:trPr>
        <w:tc>
          <w:tcPr>
            <w:tcW w:w="4531" w:type="dxa"/>
            <w:shd w:val="clear" w:color="auto" w:fill="auto"/>
            <w:hideMark/>
          </w:tcPr>
          <w:p w:rsidR="002E1D90" w:rsidRPr="007C51D6" w:rsidRDefault="002E1D90" w:rsidP="002E1D90">
            <w:pPr>
              <w:autoSpaceDE/>
              <w:autoSpaceDN/>
              <w:adjustRightInd/>
              <w:rPr>
                <w:color w:val="000000"/>
                <w:sz w:val="20"/>
                <w:szCs w:val="20"/>
              </w:rPr>
            </w:pPr>
            <w:r w:rsidRPr="007C51D6">
              <w:rPr>
                <w:color w:val="000000"/>
                <w:sz w:val="20"/>
                <w:szCs w:val="20"/>
              </w:rPr>
              <w:t>Кукморский</w:t>
            </w:r>
          </w:p>
        </w:tc>
        <w:tc>
          <w:tcPr>
            <w:tcW w:w="1134" w:type="dxa"/>
            <w:shd w:val="clear" w:color="auto" w:fill="auto"/>
            <w:vAlign w:val="center"/>
          </w:tcPr>
          <w:p w:rsidR="002E1D90" w:rsidRPr="007C51D6" w:rsidRDefault="002E1D90" w:rsidP="002E1D90">
            <w:pPr>
              <w:jc w:val="center"/>
              <w:rPr>
                <w:color w:val="000000"/>
                <w:sz w:val="20"/>
                <w:szCs w:val="20"/>
              </w:rPr>
            </w:pPr>
            <w:r w:rsidRPr="007C51D6">
              <w:rPr>
                <w:color w:val="000000"/>
                <w:sz w:val="20"/>
                <w:szCs w:val="20"/>
              </w:rPr>
              <w:t>30,1</w:t>
            </w:r>
          </w:p>
        </w:tc>
        <w:tc>
          <w:tcPr>
            <w:tcW w:w="1012" w:type="dxa"/>
            <w:shd w:val="clear" w:color="auto" w:fill="auto"/>
            <w:vAlign w:val="center"/>
          </w:tcPr>
          <w:p w:rsidR="002E1D90" w:rsidRPr="007C51D6" w:rsidRDefault="002E1D90" w:rsidP="002E1D90">
            <w:pPr>
              <w:jc w:val="center"/>
              <w:rPr>
                <w:color w:val="000000"/>
                <w:sz w:val="20"/>
                <w:szCs w:val="20"/>
              </w:rPr>
            </w:pPr>
            <w:r w:rsidRPr="007C51D6">
              <w:rPr>
                <w:color w:val="000000"/>
                <w:sz w:val="20"/>
                <w:szCs w:val="20"/>
              </w:rPr>
              <w:t>29,2</w:t>
            </w:r>
          </w:p>
        </w:tc>
        <w:tc>
          <w:tcPr>
            <w:tcW w:w="1012" w:type="dxa"/>
            <w:shd w:val="clear" w:color="auto" w:fill="auto"/>
            <w:vAlign w:val="center"/>
          </w:tcPr>
          <w:p w:rsidR="002E1D90" w:rsidRPr="007C51D6" w:rsidRDefault="002E1D90" w:rsidP="002E1D90">
            <w:pPr>
              <w:jc w:val="center"/>
              <w:rPr>
                <w:color w:val="000000"/>
                <w:sz w:val="20"/>
                <w:szCs w:val="20"/>
              </w:rPr>
            </w:pPr>
            <w:r w:rsidRPr="007C51D6">
              <w:rPr>
                <w:color w:val="000000"/>
                <w:sz w:val="20"/>
                <w:szCs w:val="20"/>
              </w:rPr>
              <w:t>31,6</w:t>
            </w:r>
          </w:p>
        </w:tc>
        <w:tc>
          <w:tcPr>
            <w:tcW w:w="1011" w:type="dxa"/>
            <w:shd w:val="clear" w:color="auto" w:fill="auto"/>
            <w:vAlign w:val="center"/>
          </w:tcPr>
          <w:p w:rsidR="002E1D90" w:rsidRPr="007C51D6" w:rsidRDefault="002E1D90" w:rsidP="002E1D90">
            <w:pPr>
              <w:jc w:val="center"/>
              <w:rPr>
                <w:color w:val="000000"/>
                <w:sz w:val="20"/>
                <w:szCs w:val="20"/>
              </w:rPr>
            </w:pPr>
            <w:r w:rsidRPr="007C51D6">
              <w:rPr>
                <w:color w:val="000000"/>
                <w:sz w:val="20"/>
                <w:szCs w:val="20"/>
              </w:rPr>
              <w:t>23,3</w:t>
            </w:r>
          </w:p>
        </w:tc>
        <w:tc>
          <w:tcPr>
            <w:tcW w:w="1012" w:type="dxa"/>
            <w:shd w:val="clear" w:color="auto" w:fill="auto"/>
            <w:vAlign w:val="center"/>
          </w:tcPr>
          <w:p w:rsidR="002E1D90" w:rsidRPr="007C51D6" w:rsidRDefault="002E1D90" w:rsidP="002E1D90">
            <w:pPr>
              <w:jc w:val="center"/>
              <w:rPr>
                <w:color w:val="000000"/>
                <w:sz w:val="20"/>
                <w:szCs w:val="20"/>
              </w:rPr>
            </w:pPr>
            <w:r w:rsidRPr="007C51D6">
              <w:rPr>
                <w:color w:val="000000"/>
                <w:sz w:val="20"/>
                <w:szCs w:val="20"/>
              </w:rPr>
              <w:t>30,3</w:t>
            </w:r>
          </w:p>
        </w:tc>
        <w:tc>
          <w:tcPr>
            <w:tcW w:w="1012" w:type="dxa"/>
            <w:vAlign w:val="center"/>
          </w:tcPr>
          <w:p w:rsidR="002E1D90" w:rsidRPr="007C51D6" w:rsidRDefault="002E1D90" w:rsidP="002E1D90">
            <w:pPr>
              <w:jc w:val="center"/>
              <w:rPr>
                <w:color w:val="000000"/>
                <w:sz w:val="20"/>
                <w:szCs w:val="20"/>
              </w:rPr>
            </w:pPr>
            <w:r w:rsidRPr="007C51D6">
              <w:rPr>
                <w:color w:val="000000"/>
                <w:sz w:val="20"/>
                <w:szCs w:val="20"/>
              </w:rPr>
              <w:t>17,2</w:t>
            </w:r>
          </w:p>
        </w:tc>
        <w:tc>
          <w:tcPr>
            <w:tcW w:w="1109" w:type="dxa"/>
            <w:vAlign w:val="center"/>
          </w:tcPr>
          <w:p w:rsidR="002E1D90" w:rsidRPr="007C51D6" w:rsidRDefault="002E1D90" w:rsidP="002E1D90">
            <w:pPr>
              <w:jc w:val="center"/>
              <w:rPr>
                <w:color w:val="000000"/>
                <w:sz w:val="20"/>
                <w:szCs w:val="20"/>
              </w:rPr>
            </w:pPr>
            <w:r w:rsidRPr="007C51D6">
              <w:rPr>
                <w:color w:val="000000"/>
                <w:sz w:val="20"/>
                <w:szCs w:val="20"/>
              </w:rPr>
              <w:t>15,2</w:t>
            </w:r>
          </w:p>
        </w:tc>
        <w:tc>
          <w:tcPr>
            <w:tcW w:w="1103" w:type="dxa"/>
            <w:vAlign w:val="center"/>
          </w:tcPr>
          <w:p w:rsidR="002E1D90" w:rsidRPr="007C51D6" w:rsidRDefault="002E1D90" w:rsidP="002E1D90">
            <w:pPr>
              <w:jc w:val="center"/>
              <w:rPr>
                <w:color w:val="000000"/>
                <w:sz w:val="20"/>
                <w:szCs w:val="20"/>
              </w:rPr>
            </w:pPr>
            <w:r w:rsidRPr="007C51D6">
              <w:rPr>
                <w:color w:val="000000"/>
                <w:sz w:val="20"/>
                <w:szCs w:val="20"/>
              </w:rPr>
              <w:t>29,0</w:t>
            </w:r>
          </w:p>
        </w:tc>
        <w:tc>
          <w:tcPr>
            <w:tcW w:w="1077" w:type="dxa"/>
            <w:vAlign w:val="center"/>
          </w:tcPr>
          <w:p w:rsidR="002E1D90" w:rsidRPr="007C51D6" w:rsidRDefault="002E1D90" w:rsidP="002E1D90">
            <w:pPr>
              <w:jc w:val="center"/>
              <w:rPr>
                <w:color w:val="000000"/>
                <w:sz w:val="20"/>
                <w:szCs w:val="20"/>
              </w:rPr>
            </w:pPr>
            <w:r w:rsidRPr="007C51D6">
              <w:rPr>
                <w:color w:val="000000"/>
                <w:sz w:val="20"/>
                <w:szCs w:val="20"/>
              </w:rPr>
              <w:t>17,5</w:t>
            </w:r>
          </w:p>
        </w:tc>
        <w:tc>
          <w:tcPr>
            <w:tcW w:w="1077" w:type="dxa"/>
            <w:vAlign w:val="center"/>
          </w:tcPr>
          <w:p w:rsidR="002E1D90" w:rsidRPr="007C51D6" w:rsidRDefault="002E1D90" w:rsidP="002E1D90">
            <w:pPr>
              <w:jc w:val="center"/>
              <w:rPr>
                <w:color w:val="000000"/>
                <w:sz w:val="20"/>
                <w:szCs w:val="20"/>
              </w:rPr>
            </w:pPr>
            <w:r w:rsidRPr="007C51D6">
              <w:rPr>
                <w:color w:val="000000"/>
                <w:sz w:val="20"/>
                <w:szCs w:val="20"/>
              </w:rPr>
              <w:t>19.3</w:t>
            </w:r>
          </w:p>
        </w:tc>
      </w:tr>
      <w:tr w:rsidR="002E1D90" w:rsidRPr="007C51D6" w:rsidTr="007541C1">
        <w:trPr>
          <w:trHeight w:val="20"/>
        </w:trPr>
        <w:tc>
          <w:tcPr>
            <w:tcW w:w="4531" w:type="dxa"/>
            <w:shd w:val="clear" w:color="auto" w:fill="auto"/>
            <w:hideMark/>
          </w:tcPr>
          <w:p w:rsidR="002E1D90" w:rsidRPr="007C51D6" w:rsidRDefault="002E1D90" w:rsidP="002E1D90">
            <w:pPr>
              <w:autoSpaceDE/>
              <w:autoSpaceDN/>
              <w:adjustRightInd/>
              <w:rPr>
                <w:color w:val="000000"/>
                <w:sz w:val="20"/>
                <w:szCs w:val="20"/>
              </w:rPr>
            </w:pPr>
            <w:r w:rsidRPr="007C51D6">
              <w:rPr>
                <w:color w:val="000000"/>
                <w:sz w:val="20"/>
                <w:szCs w:val="20"/>
              </w:rPr>
              <w:t>Лаишевский</w:t>
            </w:r>
          </w:p>
        </w:tc>
        <w:tc>
          <w:tcPr>
            <w:tcW w:w="1134" w:type="dxa"/>
            <w:shd w:val="clear" w:color="auto" w:fill="auto"/>
            <w:vAlign w:val="center"/>
          </w:tcPr>
          <w:p w:rsidR="002E1D90" w:rsidRPr="007C51D6" w:rsidRDefault="002E1D90" w:rsidP="002E1D90">
            <w:pPr>
              <w:jc w:val="center"/>
              <w:rPr>
                <w:color w:val="000000"/>
                <w:sz w:val="20"/>
                <w:szCs w:val="20"/>
              </w:rPr>
            </w:pPr>
            <w:r w:rsidRPr="007C51D6">
              <w:rPr>
                <w:color w:val="000000"/>
                <w:sz w:val="20"/>
                <w:szCs w:val="20"/>
              </w:rPr>
              <w:t>22,6</w:t>
            </w:r>
          </w:p>
        </w:tc>
        <w:tc>
          <w:tcPr>
            <w:tcW w:w="1012" w:type="dxa"/>
            <w:shd w:val="clear" w:color="auto" w:fill="auto"/>
            <w:vAlign w:val="center"/>
          </w:tcPr>
          <w:p w:rsidR="002E1D90" w:rsidRPr="007C51D6" w:rsidRDefault="002E1D90" w:rsidP="002E1D90">
            <w:pPr>
              <w:jc w:val="center"/>
              <w:rPr>
                <w:color w:val="000000"/>
                <w:sz w:val="20"/>
                <w:szCs w:val="20"/>
              </w:rPr>
            </w:pPr>
            <w:r w:rsidRPr="007C51D6">
              <w:rPr>
                <w:color w:val="000000"/>
                <w:sz w:val="20"/>
                <w:szCs w:val="20"/>
              </w:rPr>
              <w:t>25,2</w:t>
            </w:r>
          </w:p>
        </w:tc>
        <w:tc>
          <w:tcPr>
            <w:tcW w:w="1012" w:type="dxa"/>
            <w:shd w:val="clear" w:color="auto" w:fill="auto"/>
            <w:vAlign w:val="center"/>
          </w:tcPr>
          <w:p w:rsidR="002E1D90" w:rsidRPr="007C51D6" w:rsidRDefault="002E1D90" w:rsidP="002E1D90">
            <w:pPr>
              <w:jc w:val="center"/>
              <w:rPr>
                <w:color w:val="000000"/>
                <w:sz w:val="20"/>
                <w:szCs w:val="20"/>
              </w:rPr>
            </w:pPr>
            <w:r w:rsidRPr="007C51D6">
              <w:rPr>
                <w:color w:val="000000"/>
                <w:sz w:val="20"/>
                <w:szCs w:val="20"/>
              </w:rPr>
              <w:t>31,3</w:t>
            </w:r>
          </w:p>
        </w:tc>
        <w:tc>
          <w:tcPr>
            <w:tcW w:w="1011" w:type="dxa"/>
            <w:shd w:val="clear" w:color="auto" w:fill="auto"/>
            <w:vAlign w:val="center"/>
          </w:tcPr>
          <w:p w:rsidR="002E1D90" w:rsidRPr="007C51D6" w:rsidRDefault="002E1D90" w:rsidP="002E1D90">
            <w:pPr>
              <w:jc w:val="center"/>
              <w:rPr>
                <w:color w:val="000000"/>
                <w:sz w:val="20"/>
                <w:szCs w:val="20"/>
              </w:rPr>
            </w:pPr>
            <w:r w:rsidRPr="007C51D6">
              <w:rPr>
                <w:color w:val="000000"/>
                <w:sz w:val="20"/>
                <w:szCs w:val="20"/>
              </w:rPr>
              <w:t>23,2</w:t>
            </w:r>
          </w:p>
        </w:tc>
        <w:tc>
          <w:tcPr>
            <w:tcW w:w="1012" w:type="dxa"/>
            <w:shd w:val="clear" w:color="auto" w:fill="auto"/>
            <w:vAlign w:val="center"/>
          </w:tcPr>
          <w:p w:rsidR="002E1D90" w:rsidRPr="007C51D6" w:rsidRDefault="002E1D90" w:rsidP="002E1D90">
            <w:pPr>
              <w:jc w:val="center"/>
              <w:rPr>
                <w:color w:val="000000"/>
                <w:sz w:val="20"/>
                <w:szCs w:val="20"/>
              </w:rPr>
            </w:pPr>
            <w:r w:rsidRPr="007C51D6">
              <w:rPr>
                <w:color w:val="000000"/>
                <w:sz w:val="20"/>
                <w:szCs w:val="20"/>
              </w:rPr>
              <w:t>20,3</w:t>
            </w:r>
          </w:p>
        </w:tc>
        <w:tc>
          <w:tcPr>
            <w:tcW w:w="1012" w:type="dxa"/>
            <w:vAlign w:val="center"/>
          </w:tcPr>
          <w:p w:rsidR="002E1D90" w:rsidRPr="007C51D6" w:rsidRDefault="002E1D90" w:rsidP="002E1D90">
            <w:pPr>
              <w:jc w:val="center"/>
              <w:rPr>
                <w:color w:val="000000"/>
                <w:sz w:val="20"/>
                <w:szCs w:val="20"/>
              </w:rPr>
            </w:pPr>
            <w:r w:rsidRPr="007C51D6">
              <w:rPr>
                <w:color w:val="000000"/>
                <w:sz w:val="20"/>
                <w:szCs w:val="20"/>
              </w:rPr>
              <w:t>26,5</w:t>
            </w:r>
          </w:p>
        </w:tc>
        <w:tc>
          <w:tcPr>
            <w:tcW w:w="1109" w:type="dxa"/>
            <w:vAlign w:val="center"/>
          </w:tcPr>
          <w:p w:rsidR="002E1D90" w:rsidRPr="007C51D6" w:rsidRDefault="002E1D90" w:rsidP="002E1D90">
            <w:pPr>
              <w:jc w:val="center"/>
              <w:rPr>
                <w:color w:val="000000"/>
                <w:sz w:val="20"/>
                <w:szCs w:val="20"/>
              </w:rPr>
            </w:pPr>
            <w:r w:rsidRPr="007C51D6">
              <w:rPr>
                <w:color w:val="000000"/>
                <w:sz w:val="20"/>
                <w:szCs w:val="20"/>
              </w:rPr>
              <w:t>20,9</w:t>
            </w:r>
          </w:p>
        </w:tc>
        <w:tc>
          <w:tcPr>
            <w:tcW w:w="1103" w:type="dxa"/>
            <w:vAlign w:val="center"/>
          </w:tcPr>
          <w:p w:rsidR="002E1D90" w:rsidRPr="007C51D6" w:rsidRDefault="002E1D90" w:rsidP="002E1D90">
            <w:pPr>
              <w:jc w:val="center"/>
              <w:rPr>
                <w:color w:val="000000"/>
                <w:sz w:val="20"/>
                <w:szCs w:val="20"/>
              </w:rPr>
            </w:pPr>
            <w:r w:rsidRPr="007C51D6">
              <w:rPr>
                <w:color w:val="000000"/>
                <w:sz w:val="20"/>
                <w:szCs w:val="20"/>
              </w:rPr>
              <w:t>20,9</w:t>
            </w:r>
          </w:p>
        </w:tc>
        <w:tc>
          <w:tcPr>
            <w:tcW w:w="1077" w:type="dxa"/>
            <w:vAlign w:val="center"/>
          </w:tcPr>
          <w:p w:rsidR="002E1D90" w:rsidRPr="007C51D6" w:rsidRDefault="002E1D90" w:rsidP="002E1D90">
            <w:pPr>
              <w:jc w:val="center"/>
              <w:rPr>
                <w:color w:val="000000"/>
                <w:sz w:val="20"/>
                <w:szCs w:val="20"/>
              </w:rPr>
            </w:pPr>
            <w:r w:rsidRPr="007C51D6">
              <w:rPr>
                <w:color w:val="000000"/>
                <w:sz w:val="20"/>
                <w:szCs w:val="20"/>
              </w:rPr>
              <w:t>22,4</w:t>
            </w:r>
          </w:p>
        </w:tc>
        <w:tc>
          <w:tcPr>
            <w:tcW w:w="1077" w:type="dxa"/>
            <w:vAlign w:val="center"/>
          </w:tcPr>
          <w:p w:rsidR="002E1D90" w:rsidRPr="007C51D6" w:rsidRDefault="002E1D90" w:rsidP="002E1D90">
            <w:pPr>
              <w:jc w:val="center"/>
              <w:rPr>
                <w:color w:val="000000"/>
                <w:sz w:val="20"/>
                <w:szCs w:val="20"/>
              </w:rPr>
            </w:pPr>
            <w:r w:rsidRPr="007C51D6">
              <w:rPr>
                <w:color w:val="000000"/>
                <w:sz w:val="20"/>
                <w:szCs w:val="20"/>
              </w:rPr>
              <w:t>21.2</w:t>
            </w:r>
          </w:p>
        </w:tc>
      </w:tr>
      <w:tr w:rsidR="002E1D90" w:rsidRPr="007C51D6" w:rsidTr="007541C1">
        <w:trPr>
          <w:trHeight w:val="20"/>
        </w:trPr>
        <w:tc>
          <w:tcPr>
            <w:tcW w:w="4531" w:type="dxa"/>
            <w:shd w:val="clear" w:color="auto" w:fill="auto"/>
            <w:hideMark/>
          </w:tcPr>
          <w:p w:rsidR="002E1D90" w:rsidRPr="007C51D6" w:rsidRDefault="002E1D90" w:rsidP="002E1D90">
            <w:pPr>
              <w:autoSpaceDE/>
              <w:autoSpaceDN/>
              <w:adjustRightInd/>
              <w:rPr>
                <w:color w:val="000000"/>
                <w:sz w:val="20"/>
                <w:szCs w:val="20"/>
              </w:rPr>
            </w:pPr>
            <w:r w:rsidRPr="007C51D6">
              <w:rPr>
                <w:color w:val="000000"/>
                <w:sz w:val="20"/>
                <w:szCs w:val="20"/>
              </w:rPr>
              <w:t>Лениногорский</w:t>
            </w:r>
          </w:p>
        </w:tc>
        <w:tc>
          <w:tcPr>
            <w:tcW w:w="1134" w:type="dxa"/>
            <w:shd w:val="clear" w:color="auto" w:fill="auto"/>
            <w:vAlign w:val="center"/>
          </w:tcPr>
          <w:p w:rsidR="002E1D90" w:rsidRPr="007C51D6" w:rsidRDefault="002E1D90" w:rsidP="002E1D90">
            <w:pPr>
              <w:jc w:val="center"/>
              <w:rPr>
                <w:color w:val="000000"/>
                <w:sz w:val="20"/>
                <w:szCs w:val="20"/>
              </w:rPr>
            </w:pPr>
            <w:r w:rsidRPr="007C51D6">
              <w:rPr>
                <w:color w:val="000000"/>
                <w:sz w:val="20"/>
                <w:szCs w:val="20"/>
              </w:rPr>
              <w:t>22,3</w:t>
            </w:r>
          </w:p>
        </w:tc>
        <w:tc>
          <w:tcPr>
            <w:tcW w:w="1012" w:type="dxa"/>
            <w:shd w:val="clear" w:color="auto" w:fill="auto"/>
            <w:vAlign w:val="center"/>
          </w:tcPr>
          <w:p w:rsidR="002E1D90" w:rsidRPr="007C51D6" w:rsidRDefault="002E1D90" w:rsidP="002E1D90">
            <w:pPr>
              <w:jc w:val="center"/>
              <w:rPr>
                <w:color w:val="000000"/>
                <w:sz w:val="20"/>
                <w:szCs w:val="20"/>
              </w:rPr>
            </w:pPr>
            <w:r w:rsidRPr="007C51D6">
              <w:rPr>
                <w:color w:val="000000"/>
                <w:sz w:val="20"/>
                <w:szCs w:val="20"/>
              </w:rPr>
              <w:t>26,8</w:t>
            </w:r>
          </w:p>
        </w:tc>
        <w:tc>
          <w:tcPr>
            <w:tcW w:w="1012" w:type="dxa"/>
            <w:shd w:val="clear" w:color="auto" w:fill="auto"/>
            <w:vAlign w:val="center"/>
          </w:tcPr>
          <w:p w:rsidR="002E1D90" w:rsidRPr="007C51D6" w:rsidRDefault="002E1D90" w:rsidP="002E1D90">
            <w:pPr>
              <w:jc w:val="center"/>
              <w:rPr>
                <w:color w:val="000000"/>
                <w:sz w:val="20"/>
                <w:szCs w:val="20"/>
              </w:rPr>
            </w:pPr>
            <w:r w:rsidRPr="007C51D6">
              <w:rPr>
                <w:color w:val="000000"/>
                <w:sz w:val="20"/>
                <w:szCs w:val="20"/>
              </w:rPr>
              <w:t>20,2</w:t>
            </w:r>
          </w:p>
        </w:tc>
        <w:tc>
          <w:tcPr>
            <w:tcW w:w="1011" w:type="dxa"/>
            <w:shd w:val="clear" w:color="auto" w:fill="auto"/>
            <w:vAlign w:val="center"/>
          </w:tcPr>
          <w:p w:rsidR="002E1D90" w:rsidRPr="007C51D6" w:rsidRDefault="002E1D90" w:rsidP="002E1D90">
            <w:pPr>
              <w:jc w:val="center"/>
              <w:rPr>
                <w:color w:val="000000"/>
                <w:sz w:val="20"/>
                <w:szCs w:val="20"/>
              </w:rPr>
            </w:pPr>
            <w:r w:rsidRPr="007C51D6">
              <w:rPr>
                <w:color w:val="000000"/>
                <w:sz w:val="20"/>
                <w:szCs w:val="20"/>
              </w:rPr>
              <w:t>24,0</w:t>
            </w:r>
          </w:p>
        </w:tc>
        <w:tc>
          <w:tcPr>
            <w:tcW w:w="1012" w:type="dxa"/>
            <w:shd w:val="clear" w:color="auto" w:fill="auto"/>
            <w:vAlign w:val="center"/>
          </w:tcPr>
          <w:p w:rsidR="002E1D90" w:rsidRPr="007C51D6" w:rsidRDefault="002E1D90" w:rsidP="002E1D90">
            <w:pPr>
              <w:jc w:val="center"/>
              <w:rPr>
                <w:color w:val="000000"/>
                <w:sz w:val="20"/>
                <w:szCs w:val="20"/>
              </w:rPr>
            </w:pPr>
            <w:r w:rsidRPr="007C51D6">
              <w:rPr>
                <w:color w:val="000000"/>
                <w:sz w:val="20"/>
                <w:szCs w:val="20"/>
              </w:rPr>
              <w:t>25,0</w:t>
            </w:r>
          </w:p>
        </w:tc>
        <w:tc>
          <w:tcPr>
            <w:tcW w:w="1012" w:type="dxa"/>
            <w:vAlign w:val="center"/>
          </w:tcPr>
          <w:p w:rsidR="002E1D90" w:rsidRPr="007C51D6" w:rsidRDefault="002E1D90" w:rsidP="002E1D90">
            <w:pPr>
              <w:jc w:val="center"/>
              <w:rPr>
                <w:color w:val="000000"/>
                <w:sz w:val="20"/>
                <w:szCs w:val="20"/>
              </w:rPr>
            </w:pPr>
            <w:r w:rsidRPr="007C51D6">
              <w:rPr>
                <w:color w:val="000000"/>
                <w:sz w:val="20"/>
                <w:szCs w:val="20"/>
              </w:rPr>
              <w:t>25,0</w:t>
            </w:r>
          </w:p>
        </w:tc>
        <w:tc>
          <w:tcPr>
            <w:tcW w:w="1109" w:type="dxa"/>
            <w:vAlign w:val="center"/>
          </w:tcPr>
          <w:p w:rsidR="002E1D90" w:rsidRPr="007C51D6" w:rsidRDefault="002E1D90" w:rsidP="002E1D90">
            <w:pPr>
              <w:jc w:val="center"/>
              <w:rPr>
                <w:color w:val="000000"/>
                <w:sz w:val="20"/>
                <w:szCs w:val="20"/>
              </w:rPr>
            </w:pPr>
            <w:r w:rsidRPr="007C51D6">
              <w:rPr>
                <w:color w:val="000000"/>
                <w:sz w:val="20"/>
                <w:szCs w:val="20"/>
              </w:rPr>
              <w:t>23,3</w:t>
            </w:r>
          </w:p>
        </w:tc>
        <w:tc>
          <w:tcPr>
            <w:tcW w:w="1103" w:type="dxa"/>
            <w:vAlign w:val="center"/>
          </w:tcPr>
          <w:p w:rsidR="002E1D90" w:rsidRPr="007C51D6" w:rsidRDefault="002E1D90" w:rsidP="002E1D90">
            <w:pPr>
              <w:jc w:val="center"/>
              <w:rPr>
                <w:color w:val="000000"/>
                <w:sz w:val="20"/>
                <w:szCs w:val="20"/>
              </w:rPr>
            </w:pPr>
            <w:r w:rsidRPr="007C51D6">
              <w:rPr>
                <w:color w:val="000000"/>
                <w:sz w:val="20"/>
                <w:szCs w:val="20"/>
              </w:rPr>
              <w:t>16,7</w:t>
            </w:r>
          </w:p>
        </w:tc>
        <w:tc>
          <w:tcPr>
            <w:tcW w:w="1077" w:type="dxa"/>
            <w:vAlign w:val="center"/>
          </w:tcPr>
          <w:p w:rsidR="002E1D90" w:rsidRPr="007C51D6" w:rsidRDefault="002E1D90" w:rsidP="002E1D90">
            <w:pPr>
              <w:jc w:val="center"/>
              <w:rPr>
                <w:color w:val="000000"/>
                <w:sz w:val="20"/>
                <w:szCs w:val="20"/>
              </w:rPr>
            </w:pPr>
            <w:r w:rsidRPr="007C51D6">
              <w:rPr>
                <w:color w:val="000000"/>
                <w:sz w:val="20"/>
                <w:szCs w:val="20"/>
              </w:rPr>
              <w:t>20,7</w:t>
            </w:r>
          </w:p>
        </w:tc>
        <w:tc>
          <w:tcPr>
            <w:tcW w:w="1077" w:type="dxa"/>
            <w:vAlign w:val="center"/>
          </w:tcPr>
          <w:p w:rsidR="002E1D90" w:rsidRPr="007C51D6" w:rsidRDefault="002E1D90" w:rsidP="002E1D90">
            <w:pPr>
              <w:jc w:val="center"/>
              <w:rPr>
                <w:color w:val="000000"/>
                <w:sz w:val="20"/>
                <w:szCs w:val="20"/>
              </w:rPr>
            </w:pPr>
            <w:r w:rsidRPr="007C51D6">
              <w:rPr>
                <w:color w:val="000000"/>
                <w:sz w:val="20"/>
                <w:szCs w:val="20"/>
              </w:rPr>
              <w:t>22.5</w:t>
            </w:r>
          </w:p>
        </w:tc>
      </w:tr>
      <w:tr w:rsidR="002E1D90" w:rsidRPr="007C51D6" w:rsidTr="007541C1">
        <w:trPr>
          <w:trHeight w:val="20"/>
        </w:trPr>
        <w:tc>
          <w:tcPr>
            <w:tcW w:w="4531" w:type="dxa"/>
            <w:shd w:val="clear" w:color="auto" w:fill="auto"/>
            <w:hideMark/>
          </w:tcPr>
          <w:p w:rsidR="002E1D90" w:rsidRPr="007C51D6" w:rsidRDefault="002E1D90" w:rsidP="002E1D90">
            <w:pPr>
              <w:autoSpaceDE/>
              <w:autoSpaceDN/>
              <w:adjustRightInd/>
              <w:rPr>
                <w:color w:val="000000"/>
                <w:sz w:val="20"/>
                <w:szCs w:val="20"/>
              </w:rPr>
            </w:pPr>
            <w:r w:rsidRPr="007C51D6">
              <w:rPr>
                <w:color w:val="000000"/>
                <w:sz w:val="20"/>
                <w:szCs w:val="20"/>
              </w:rPr>
              <w:t>Мамадышский</w:t>
            </w:r>
          </w:p>
        </w:tc>
        <w:tc>
          <w:tcPr>
            <w:tcW w:w="1134" w:type="dxa"/>
            <w:shd w:val="clear" w:color="auto" w:fill="auto"/>
            <w:vAlign w:val="center"/>
          </w:tcPr>
          <w:p w:rsidR="002E1D90" w:rsidRPr="007C51D6" w:rsidRDefault="002E1D90" w:rsidP="002E1D90">
            <w:pPr>
              <w:jc w:val="center"/>
              <w:rPr>
                <w:color w:val="000000"/>
                <w:sz w:val="20"/>
                <w:szCs w:val="20"/>
              </w:rPr>
            </w:pPr>
            <w:r w:rsidRPr="007C51D6">
              <w:rPr>
                <w:color w:val="000000"/>
                <w:sz w:val="20"/>
                <w:szCs w:val="20"/>
              </w:rPr>
              <w:t>27,3</w:t>
            </w:r>
          </w:p>
        </w:tc>
        <w:tc>
          <w:tcPr>
            <w:tcW w:w="1012" w:type="dxa"/>
            <w:shd w:val="clear" w:color="auto" w:fill="auto"/>
            <w:vAlign w:val="center"/>
          </w:tcPr>
          <w:p w:rsidR="002E1D90" w:rsidRPr="007C51D6" w:rsidRDefault="002E1D90" w:rsidP="002E1D90">
            <w:pPr>
              <w:jc w:val="center"/>
              <w:rPr>
                <w:color w:val="000000"/>
                <w:sz w:val="20"/>
                <w:szCs w:val="20"/>
              </w:rPr>
            </w:pPr>
            <w:r w:rsidRPr="007C51D6">
              <w:rPr>
                <w:color w:val="000000"/>
                <w:sz w:val="20"/>
                <w:szCs w:val="20"/>
              </w:rPr>
              <w:t>30,7</w:t>
            </w:r>
          </w:p>
        </w:tc>
        <w:tc>
          <w:tcPr>
            <w:tcW w:w="1012" w:type="dxa"/>
            <w:shd w:val="clear" w:color="auto" w:fill="auto"/>
            <w:vAlign w:val="center"/>
          </w:tcPr>
          <w:p w:rsidR="002E1D90" w:rsidRPr="007C51D6" w:rsidRDefault="002E1D90" w:rsidP="002E1D90">
            <w:pPr>
              <w:jc w:val="center"/>
              <w:rPr>
                <w:color w:val="000000"/>
                <w:sz w:val="20"/>
                <w:szCs w:val="20"/>
              </w:rPr>
            </w:pPr>
            <w:r w:rsidRPr="007C51D6">
              <w:rPr>
                <w:color w:val="000000"/>
                <w:sz w:val="20"/>
                <w:szCs w:val="20"/>
              </w:rPr>
              <w:t>27,9</w:t>
            </w:r>
          </w:p>
        </w:tc>
        <w:tc>
          <w:tcPr>
            <w:tcW w:w="1011" w:type="dxa"/>
            <w:shd w:val="clear" w:color="auto" w:fill="auto"/>
            <w:vAlign w:val="center"/>
          </w:tcPr>
          <w:p w:rsidR="002E1D90" w:rsidRPr="007C51D6" w:rsidRDefault="002E1D90" w:rsidP="002E1D90">
            <w:pPr>
              <w:jc w:val="center"/>
              <w:rPr>
                <w:color w:val="000000"/>
                <w:sz w:val="20"/>
                <w:szCs w:val="20"/>
              </w:rPr>
            </w:pPr>
            <w:r w:rsidRPr="007C51D6">
              <w:rPr>
                <w:color w:val="000000"/>
                <w:sz w:val="20"/>
                <w:szCs w:val="20"/>
              </w:rPr>
              <w:t>33,3</w:t>
            </w:r>
          </w:p>
        </w:tc>
        <w:tc>
          <w:tcPr>
            <w:tcW w:w="1012" w:type="dxa"/>
            <w:shd w:val="clear" w:color="auto" w:fill="auto"/>
            <w:vAlign w:val="center"/>
          </w:tcPr>
          <w:p w:rsidR="002E1D90" w:rsidRPr="007C51D6" w:rsidRDefault="002E1D90" w:rsidP="002E1D90">
            <w:pPr>
              <w:jc w:val="center"/>
              <w:rPr>
                <w:color w:val="000000"/>
                <w:sz w:val="20"/>
                <w:szCs w:val="20"/>
              </w:rPr>
            </w:pPr>
            <w:r w:rsidRPr="007C51D6">
              <w:rPr>
                <w:color w:val="000000"/>
                <w:sz w:val="20"/>
                <w:szCs w:val="20"/>
              </w:rPr>
              <w:t>27,0</w:t>
            </w:r>
          </w:p>
        </w:tc>
        <w:tc>
          <w:tcPr>
            <w:tcW w:w="1012" w:type="dxa"/>
            <w:vAlign w:val="center"/>
          </w:tcPr>
          <w:p w:rsidR="002E1D90" w:rsidRPr="007C51D6" w:rsidRDefault="002E1D90" w:rsidP="002E1D90">
            <w:pPr>
              <w:jc w:val="center"/>
              <w:rPr>
                <w:color w:val="000000"/>
                <w:sz w:val="20"/>
                <w:szCs w:val="20"/>
              </w:rPr>
            </w:pPr>
            <w:r w:rsidRPr="007C51D6">
              <w:rPr>
                <w:color w:val="000000"/>
                <w:sz w:val="20"/>
                <w:szCs w:val="20"/>
              </w:rPr>
              <w:t>12,1</w:t>
            </w:r>
          </w:p>
        </w:tc>
        <w:tc>
          <w:tcPr>
            <w:tcW w:w="1109" w:type="dxa"/>
            <w:vAlign w:val="center"/>
          </w:tcPr>
          <w:p w:rsidR="002E1D90" w:rsidRPr="007C51D6" w:rsidRDefault="002E1D90" w:rsidP="002E1D90">
            <w:pPr>
              <w:jc w:val="center"/>
              <w:rPr>
                <w:color w:val="000000"/>
                <w:sz w:val="20"/>
                <w:szCs w:val="20"/>
              </w:rPr>
            </w:pPr>
            <w:r w:rsidRPr="007C51D6">
              <w:rPr>
                <w:color w:val="000000"/>
                <w:sz w:val="20"/>
                <w:szCs w:val="20"/>
              </w:rPr>
              <w:t>11,9</w:t>
            </w:r>
          </w:p>
        </w:tc>
        <w:tc>
          <w:tcPr>
            <w:tcW w:w="1103" w:type="dxa"/>
            <w:vAlign w:val="center"/>
          </w:tcPr>
          <w:p w:rsidR="002E1D90" w:rsidRPr="007C51D6" w:rsidRDefault="002E1D90" w:rsidP="002E1D90">
            <w:pPr>
              <w:jc w:val="center"/>
              <w:rPr>
                <w:color w:val="000000"/>
                <w:sz w:val="20"/>
                <w:szCs w:val="20"/>
              </w:rPr>
            </w:pPr>
            <w:r w:rsidRPr="007C51D6">
              <w:rPr>
                <w:color w:val="000000"/>
                <w:sz w:val="20"/>
                <w:szCs w:val="20"/>
              </w:rPr>
              <w:t>9,8</w:t>
            </w:r>
          </w:p>
        </w:tc>
        <w:tc>
          <w:tcPr>
            <w:tcW w:w="1077" w:type="dxa"/>
            <w:vAlign w:val="center"/>
          </w:tcPr>
          <w:p w:rsidR="002E1D90" w:rsidRPr="007C51D6" w:rsidRDefault="002E1D90" w:rsidP="002E1D90">
            <w:pPr>
              <w:jc w:val="center"/>
              <w:rPr>
                <w:color w:val="000000"/>
                <w:sz w:val="20"/>
                <w:szCs w:val="20"/>
              </w:rPr>
            </w:pPr>
            <w:r w:rsidRPr="007C51D6">
              <w:rPr>
                <w:color w:val="000000"/>
                <w:sz w:val="20"/>
                <w:szCs w:val="20"/>
              </w:rPr>
              <w:t>10,8</w:t>
            </w:r>
          </w:p>
        </w:tc>
        <w:tc>
          <w:tcPr>
            <w:tcW w:w="1077" w:type="dxa"/>
            <w:vAlign w:val="center"/>
          </w:tcPr>
          <w:p w:rsidR="002E1D90" w:rsidRPr="007C51D6" w:rsidRDefault="002E1D90" w:rsidP="002E1D90">
            <w:pPr>
              <w:jc w:val="center"/>
              <w:rPr>
                <w:color w:val="000000"/>
                <w:sz w:val="20"/>
                <w:szCs w:val="20"/>
              </w:rPr>
            </w:pPr>
            <w:r w:rsidRPr="007C51D6">
              <w:rPr>
                <w:color w:val="000000"/>
                <w:sz w:val="20"/>
                <w:szCs w:val="20"/>
              </w:rPr>
              <w:t>18.6</w:t>
            </w:r>
          </w:p>
        </w:tc>
      </w:tr>
      <w:tr w:rsidR="002E1D90" w:rsidRPr="007C51D6" w:rsidTr="007541C1">
        <w:trPr>
          <w:trHeight w:val="20"/>
        </w:trPr>
        <w:tc>
          <w:tcPr>
            <w:tcW w:w="4531" w:type="dxa"/>
            <w:shd w:val="clear" w:color="auto" w:fill="auto"/>
            <w:hideMark/>
          </w:tcPr>
          <w:p w:rsidR="002E1D90" w:rsidRPr="007C51D6" w:rsidRDefault="002E1D90" w:rsidP="002E1D90">
            <w:pPr>
              <w:autoSpaceDE/>
              <w:autoSpaceDN/>
              <w:adjustRightInd/>
              <w:rPr>
                <w:color w:val="000000"/>
                <w:sz w:val="20"/>
                <w:szCs w:val="20"/>
              </w:rPr>
            </w:pPr>
            <w:r w:rsidRPr="007C51D6">
              <w:rPr>
                <w:color w:val="000000"/>
                <w:sz w:val="20"/>
                <w:szCs w:val="20"/>
              </w:rPr>
              <w:t>Менделеевский</w:t>
            </w:r>
          </w:p>
        </w:tc>
        <w:tc>
          <w:tcPr>
            <w:tcW w:w="1134" w:type="dxa"/>
            <w:shd w:val="clear" w:color="auto" w:fill="auto"/>
            <w:vAlign w:val="center"/>
          </w:tcPr>
          <w:p w:rsidR="002E1D90" w:rsidRPr="007C51D6" w:rsidRDefault="002E1D90" w:rsidP="002E1D90">
            <w:pPr>
              <w:jc w:val="center"/>
              <w:rPr>
                <w:color w:val="000000"/>
                <w:sz w:val="20"/>
                <w:szCs w:val="20"/>
              </w:rPr>
            </w:pPr>
            <w:r w:rsidRPr="007C51D6">
              <w:rPr>
                <w:color w:val="000000"/>
                <w:sz w:val="20"/>
                <w:szCs w:val="20"/>
              </w:rPr>
              <w:t>28,1</w:t>
            </w:r>
          </w:p>
        </w:tc>
        <w:tc>
          <w:tcPr>
            <w:tcW w:w="1012" w:type="dxa"/>
            <w:shd w:val="clear" w:color="auto" w:fill="auto"/>
            <w:vAlign w:val="center"/>
          </w:tcPr>
          <w:p w:rsidR="002E1D90" w:rsidRPr="007C51D6" w:rsidRDefault="002E1D90" w:rsidP="002E1D90">
            <w:pPr>
              <w:jc w:val="center"/>
              <w:rPr>
                <w:color w:val="000000"/>
                <w:sz w:val="20"/>
                <w:szCs w:val="20"/>
              </w:rPr>
            </w:pPr>
            <w:r w:rsidRPr="007C51D6">
              <w:rPr>
                <w:color w:val="000000"/>
                <w:sz w:val="20"/>
                <w:szCs w:val="20"/>
              </w:rPr>
              <w:t>41,4</w:t>
            </w:r>
          </w:p>
        </w:tc>
        <w:tc>
          <w:tcPr>
            <w:tcW w:w="1012" w:type="dxa"/>
            <w:shd w:val="clear" w:color="auto" w:fill="auto"/>
            <w:vAlign w:val="center"/>
          </w:tcPr>
          <w:p w:rsidR="002E1D90" w:rsidRPr="007C51D6" w:rsidRDefault="002E1D90" w:rsidP="002E1D90">
            <w:pPr>
              <w:jc w:val="center"/>
              <w:rPr>
                <w:color w:val="000000"/>
                <w:sz w:val="20"/>
                <w:szCs w:val="20"/>
              </w:rPr>
            </w:pPr>
            <w:r w:rsidRPr="007C51D6">
              <w:rPr>
                <w:color w:val="000000"/>
                <w:sz w:val="20"/>
                <w:szCs w:val="20"/>
              </w:rPr>
              <w:t>30,4</w:t>
            </w:r>
          </w:p>
        </w:tc>
        <w:tc>
          <w:tcPr>
            <w:tcW w:w="1011" w:type="dxa"/>
            <w:shd w:val="clear" w:color="auto" w:fill="auto"/>
            <w:vAlign w:val="center"/>
          </w:tcPr>
          <w:p w:rsidR="002E1D90" w:rsidRPr="007C51D6" w:rsidRDefault="002E1D90" w:rsidP="002E1D90">
            <w:pPr>
              <w:jc w:val="center"/>
              <w:rPr>
                <w:color w:val="000000"/>
                <w:sz w:val="20"/>
                <w:szCs w:val="20"/>
              </w:rPr>
            </w:pPr>
            <w:r w:rsidRPr="007C51D6">
              <w:rPr>
                <w:color w:val="000000"/>
                <w:sz w:val="20"/>
                <w:szCs w:val="20"/>
              </w:rPr>
              <w:t>33,9</w:t>
            </w:r>
          </w:p>
        </w:tc>
        <w:tc>
          <w:tcPr>
            <w:tcW w:w="1012" w:type="dxa"/>
            <w:shd w:val="clear" w:color="auto" w:fill="auto"/>
            <w:vAlign w:val="center"/>
          </w:tcPr>
          <w:p w:rsidR="002E1D90" w:rsidRPr="007C51D6" w:rsidRDefault="002E1D90" w:rsidP="002E1D90">
            <w:pPr>
              <w:jc w:val="center"/>
              <w:rPr>
                <w:color w:val="000000"/>
                <w:sz w:val="20"/>
                <w:szCs w:val="20"/>
              </w:rPr>
            </w:pPr>
            <w:r w:rsidRPr="007C51D6">
              <w:rPr>
                <w:color w:val="000000"/>
                <w:sz w:val="20"/>
                <w:szCs w:val="20"/>
              </w:rPr>
              <w:t>14,5</w:t>
            </w:r>
          </w:p>
        </w:tc>
        <w:tc>
          <w:tcPr>
            <w:tcW w:w="1012" w:type="dxa"/>
            <w:vAlign w:val="center"/>
          </w:tcPr>
          <w:p w:rsidR="002E1D90" w:rsidRPr="007C51D6" w:rsidRDefault="002E1D90" w:rsidP="002E1D90">
            <w:pPr>
              <w:jc w:val="center"/>
              <w:rPr>
                <w:color w:val="000000"/>
                <w:sz w:val="20"/>
                <w:szCs w:val="20"/>
              </w:rPr>
            </w:pPr>
            <w:r w:rsidRPr="007C51D6">
              <w:rPr>
                <w:color w:val="000000"/>
                <w:sz w:val="20"/>
                <w:szCs w:val="20"/>
              </w:rPr>
              <w:t>14,7</w:t>
            </w:r>
          </w:p>
        </w:tc>
        <w:tc>
          <w:tcPr>
            <w:tcW w:w="1109" w:type="dxa"/>
            <w:vAlign w:val="center"/>
          </w:tcPr>
          <w:p w:rsidR="002E1D90" w:rsidRPr="007C51D6" w:rsidRDefault="002E1D90" w:rsidP="002E1D90">
            <w:pPr>
              <w:jc w:val="center"/>
              <w:rPr>
                <w:color w:val="000000"/>
                <w:sz w:val="20"/>
                <w:szCs w:val="20"/>
              </w:rPr>
            </w:pPr>
            <w:r w:rsidRPr="007C51D6">
              <w:rPr>
                <w:color w:val="000000"/>
                <w:sz w:val="20"/>
                <w:szCs w:val="20"/>
              </w:rPr>
              <w:t>12,6</w:t>
            </w:r>
          </w:p>
        </w:tc>
        <w:tc>
          <w:tcPr>
            <w:tcW w:w="1103" w:type="dxa"/>
            <w:vAlign w:val="center"/>
          </w:tcPr>
          <w:p w:rsidR="002E1D90" w:rsidRPr="007C51D6" w:rsidRDefault="002E1D90" w:rsidP="002E1D90">
            <w:pPr>
              <w:jc w:val="center"/>
              <w:rPr>
                <w:color w:val="000000"/>
                <w:sz w:val="20"/>
                <w:szCs w:val="20"/>
              </w:rPr>
            </w:pPr>
            <w:r w:rsidRPr="007C51D6">
              <w:rPr>
                <w:color w:val="000000"/>
                <w:sz w:val="20"/>
                <w:szCs w:val="20"/>
              </w:rPr>
              <w:t>14,3</w:t>
            </w:r>
          </w:p>
        </w:tc>
        <w:tc>
          <w:tcPr>
            <w:tcW w:w="1077" w:type="dxa"/>
            <w:vAlign w:val="center"/>
          </w:tcPr>
          <w:p w:rsidR="002E1D90" w:rsidRPr="007C51D6" w:rsidRDefault="002E1D90" w:rsidP="002E1D90">
            <w:pPr>
              <w:jc w:val="center"/>
              <w:rPr>
                <w:color w:val="000000"/>
                <w:sz w:val="20"/>
                <w:szCs w:val="20"/>
              </w:rPr>
            </w:pPr>
            <w:r w:rsidRPr="007C51D6">
              <w:rPr>
                <w:color w:val="000000"/>
                <w:sz w:val="20"/>
                <w:szCs w:val="20"/>
              </w:rPr>
              <w:t>16,5</w:t>
            </w:r>
          </w:p>
        </w:tc>
        <w:tc>
          <w:tcPr>
            <w:tcW w:w="1077" w:type="dxa"/>
            <w:vAlign w:val="center"/>
          </w:tcPr>
          <w:p w:rsidR="002E1D90" w:rsidRPr="007C51D6" w:rsidRDefault="002E1D90" w:rsidP="002E1D90">
            <w:pPr>
              <w:jc w:val="center"/>
              <w:rPr>
                <w:color w:val="000000"/>
                <w:sz w:val="20"/>
                <w:szCs w:val="20"/>
              </w:rPr>
            </w:pPr>
            <w:r w:rsidRPr="007C51D6">
              <w:rPr>
                <w:color w:val="000000"/>
                <w:sz w:val="20"/>
                <w:szCs w:val="20"/>
              </w:rPr>
              <w:t>23.0</w:t>
            </w:r>
          </w:p>
        </w:tc>
      </w:tr>
      <w:tr w:rsidR="002E1D90" w:rsidRPr="007C51D6" w:rsidTr="007541C1">
        <w:trPr>
          <w:trHeight w:val="20"/>
        </w:trPr>
        <w:tc>
          <w:tcPr>
            <w:tcW w:w="4531" w:type="dxa"/>
            <w:shd w:val="clear" w:color="auto" w:fill="auto"/>
            <w:hideMark/>
          </w:tcPr>
          <w:p w:rsidR="002E1D90" w:rsidRPr="007C51D6" w:rsidRDefault="002E1D90" w:rsidP="002E1D90">
            <w:pPr>
              <w:autoSpaceDE/>
              <w:autoSpaceDN/>
              <w:adjustRightInd/>
              <w:rPr>
                <w:color w:val="000000"/>
                <w:sz w:val="20"/>
                <w:szCs w:val="20"/>
              </w:rPr>
            </w:pPr>
            <w:r w:rsidRPr="007C51D6">
              <w:rPr>
                <w:color w:val="000000"/>
                <w:sz w:val="20"/>
                <w:szCs w:val="20"/>
              </w:rPr>
              <w:t>Мензелинский</w:t>
            </w:r>
          </w:p>
        </w:tc>
        <w:tc>
          <w:tcPr>
            <w:tcW w:w="1134" w:type="dxa"/>
            <w:shd w:val="clear" w:color="auto" w:fill="auto"/>
            <w:vAlign w:val="center"/>
          </w:tcPr>
          <w:p w:rsidR="002E1D90" w:rsidRPr="007C51D6" w:rsidRDefault="002E1D90" w:rsidP="002E1D90">
            <w:pPr>
              <w:jc w:val="center"/>
              <w:rPr>
                <w:color w:val="000000"/>
                <w:sz w:val="20"/>
                <w:szCs w:val="20"/>
              </w:rPr>
            </w:pPr>
            <w:r w:rsidRPr="007C51D6">
              <w:rPr>
                <w:color w:val="000000"/>
                <w:sz w:val="20"/>
                <w:szCs w:val="20"/>
              </w:rPr>
              <w:t>28,7</w:t>
            </w:r>
          </w:p>
        </w:tc>
        <w:tc>
          <w:tcPr>
            <w:tcW w:w="1012" w:type="dxa"/>
            <w:shd w:val="clear" w:color="auto" w:fill="auto"/>
            <w:vAlign w:val="center"/>
          </w:tcPr>
          <w:p w:rsidR="002E1D90" w:rsidRPr="007C51D6" w:rsidRDefault="002E1D90" w:rsidP="002E1D90">
            <w:pPr>
              <w:jc w:val="center"/>
              <w:rPr>
                <w:color w:val="000000"/>
                <w:sz w:val="20"/>
                <w:szCs w:val="20"/>
              </w:rPr>
            </w:pPr>
            <w:r w:rsidRPr="007C51D6">
              <w:rPr>
                <w:color w:val="000000"/>
                <w:sz w:val="20"/>
                <w:szCs w:val="20"/>
              </w:rPr>
              <w:t>22,5</w:t>
            </w:r>
          </w:p>
        </w:tc>
        <w:tc>
          <w:tcPr>
            <w:tcW w:w="1012" w:type="dxa"/>
            <w:shd w:val="clear" w:color="auto" w:fill="auto"/>
            <w:vAlign w:val="center"/>
          </w:tcPr>
          <w:p w:rsidR="002E1D90" w:rsidRPr="007C51D6" w:rsidRDefault="002E1D90" w:rsidP="002E1D90">
            <w:pPr>
              <w:jc w:val="center"/>
              <w:rPr>
                <w:color w:val="000000"/>
                <w:sz w:val="20"/>
                <w:szCs w:val="20"/>
              </w:rPr>
            </w:pPr>
            <w:r w:rsidRPr="007C51D6">
              <w:rPr>
                <w:color w:val="000000"/>
                <w:sz w:val="20"/>
                <w:szCs w:val="20"/>
              </w:rPr>
              <w:t>19,0</w:t>
            </w:r>
          </w:p>
        </w:tc>
        <w:tc>
          <w:tcPr>
            <w:tcW w:w="1011" w:type="dxa"/>
            <w:shd w:val="clear" w:color="auto" w:fill="auto"/>
            <w:vAlign w:val="center"/>
          </w:tcPr>
          <w:p w:rsidR="002E1D90" w:rsidRPr="007C51D6" w:rsidRDefault="002E1D90" w:rsidP="002E1D90">
            <w:pPr>
              <w:jc w:val="center"/>
              <w:rPr>
                <w:color w:val="000000"/>
                <w:sz w:val="20"/>
                <w:szCs w:val="20"/>
              </w:rPr>
            </w:pPr>
            <w:r w:rsidRPr="007C51D6">
              <w:rPr>
                <w:color w:val="000000"/>
                <w:sz w:val="20"/>
                <w:szCs w:val="20"/>
              </w:rPr>
              <w:t>25,0</w:t>
            </w:r>
          </w:p>
        </w:tc>
        <w:tc>
          <w:tcPr>
            <w:tcW w:w="1012" w:type="dxa"/>
            <w:shd w:val="clear" w:color="auto" w:fill="auto"/>
            <w:vAlign w:val="center"/>
          </w:tcPr>
          <w:p w:rsidR="002E1D90" w:rsidRPr="007C51D6" w:rsidRDefault="002E1D90" w:rsidP="002E1D90">
            <w:pPr>
              <w:jc w:val="center"/>
              <w:rPr>
                <w:color w:val="000000"/>
                <w:sz w:val="20"/>
                <w:szCs w:val="20"/>
              </w:rPr>
            </w:pPr>
            <w:r w:rsidRPr="007C51D6">
              <w:rPr>
                <w:color w:val="000000"/>
                <w:sz w:val="20"/>
                <w:szCs w:val="20"/>
              </w:rPr>
              <w:t>15,4</w:t>
            </w:r>
          </w:p>
        </w:tc>
        <w:tc>
          <w:tcPr>
            <w:tcW w:w="1012" w:type="dxa"/>
            <w:vAlign w:val="center"/>
          </w:tcPr>
          <w:p w:rsidR="002E1D90" w:rsidRPr="007C51D6" w:rsidRDefault="002E1D90" w:rsidP="002E1D90">
            <w:pPr>
              <w:jc w:val="center"/>
              <w:rPr>
                <w:color w:val="000000"/>
                <w:sz w:val="20"/>
                <w:szCs w:val="20"/>
              </w:rPr>
            </w:pPr>
            <w:r w:rsidRPr="007C51D6">
              <w:rPr>
                <w:color w:val="000000"/>
                <w:sz w:val="20"/>
                <w:szCs w:val="20"/>
              </w:rPr>
              <w:t>4,4</w:t>
            </w:r>
          </w:p>
        </w:tc>
        <w:tc>
          <w:tcPr>
            <w:tcW w:w="1109" w:type="dxa"/>
            <w:vAlign w:val="center"/>
          </w:tcPr>
          <w:p w:rsidR="002E1D90" w:rsidRPr="007C51D6" w:rsidRDefault="002E1D90" w:rsidP="002E1D90">
            <w:pPr>
              <w:jc w:val="center"/>
              <w:rPr>
                <w:color w:val="000000"/>
                <w:sz w:val="20"/>
                <w:szCs w:val="20"/>
              </w:rPr>
            </w:pPr>
            <w:r w:rsidRPr="007C51D6">
              <w:rPr>
                <w:color w:val="000000"/>
                <w:sz w:val="20"/>
                <w:szCs w:val="20"/>
              </w:rPr>
              <w:t>9,9</w:t>
            </w:r>
          </w:p>
        </w:tc>
        <w:tc>
          <w:tcPr>
            <w:tcW w:w="1103" w:type="dxa"/>
            <w:vAlign w:val="center"/>
          </w:tcPr>
          <w:p w:rsidR="002E1D90" w:rsidRPr="007C51D6" w:rsidRDefault="002E1D90" w:rsidP="002E1D90">
            <w:pPr>
              <w:jc w:val="center"/>
              <w:rPr>
                <w:color w:val="000000"/>
                <w:sz w:val="20"/>
                <w:szCs w:val="20"/>
              </w:rPr>
            </w:pPr>
            <w:r w:rsidRPr="007C51D6">
              <w:rPr>
                <w:color w:val="000000"/>
                <w:sz w:val="20"/>
                <w:szCs w:val="20"/>
              </w:rPr>
              <w:t>9,9</w:t>
            </w:r>
          </w:p>
        </w:tc>
        <w:tc>
          <w:tcPr>
            <w:tcW w:w="1077" w:type="dxa"/>
            <w:vAlign w:val="center"/>
          </w:tcPr>
          <w:p w:rsidR="002E1D90" w:rsidRPr="007C51D6" w:rsidRDefault="002E1D90" w:rsidP="002E1D90">
            <w:pPr>
              <w:jc w:val="center"/>
              <w:rPr>
                <w:color w:val="000000"/>
                <w:sz w:val="20"/>
                <w:szCs w:val="20"/>
              </w:rPr>
            </w:pPr>
            <w:r w:rsidRPr="007C51D6">
              <w:rPr>
                <w:color w:val="000000"/>
                <w:sz w:val="20"/>
                <w:szCs w:val="20"/>
              </w:rPr>
              <w:t>10,0</w:t>
            </w:r>
          </w:p>
        </w:tc>
        <w:tc>
          <w:tcPr>
            <w:tcW w:w="1077" w:type="dxa"/>
            <w:vAlign w:val="center"/>
          </w:tcPr>
          <w:p w:rsidR="002E1D90" w:rsidRPr="007C51D6" w:rsidRDefault="002E1D90" w:rsidP="002E1D90">
            <w:pPr>
              <w:jc w:val="center"/>
              <w:rPr>
                <w:color w:val="000000"/>
                <w:sz w:val="20"/>
                <w:szCs w:val="20"/>
              </w:rPr>
            </w:pPr>
            <w:r w:rsidRPr="007C51D6">
              <w:rPr>
                <w:color w:val="000000"/>
                <w:sz w:val="20"/>
                <w:szCs w:val="20"/>
              </w:rPr>
              <w:t>9.2</w:t>
            </w:r>
          </w:p>
        </w:tc>
      </w:tr>
      <w:tr w:rsidR="002E1D90" w:rsidRPr="007C51D6" w:rsidTr="007541C1">
        <w:trPr>
          <w:trHeight w:val="20"/>
        </w:trPr>
        <w:tc>
          <w:tcPr>
            <w:tcW w:w="4531" w:type="dxa"/>
            <w:shd w:val="clear" w:color="auto" w:fill="auto"/>
            <w:hideMark/>
          </w:tcPr>
          <w:p w:rsidR="002E1D90" w:rsidRPr="007C51D6" w:rsidRDefault="002E1D90" w:rsidP="002E1D90">
            <w:pPr>
              <w:autoSpaceDE/>
              <w:autoSpaceDN/>
              <w:adjustRightInd/>
              <w:rPr>
                <w:color w:val="000000"/>
                <w:sz w:val="20"/>
                <w:szCs w:val="20"/>
              </w:rPr>
            </w:pPr>
            <w:r w:rsidRPr="007C51D6">
              <w:rPr>
                <w:color w:val="000000"/>
                <w:sz w:val="20"/>
                <w:szCs w:val="20"/>
              </w:rPr>
              <w:t>Муслюмовский</w:t>
            </w:r>
          </w:p>
        </w:tc>
        <w:tc>
          <w:tcPr>
            <w:tcW w:w="1134" w:type="dxa"/>
            <w:shd w:val="clear" w:color="auto" w:fill="auto"/>
            <w:vAlign w:val="center"/>
          </w:tcPr>
          <w:p w:rsidR="002E1D90" w:rsidRPr="007C51D6" w:rsidRDefault="002E1D90" w:rsidP="002E1D90">
            <w:pPr>
              <w:jc w:val="center"/>
              <w:rPr>
                <w:color w:val="000000"/>
                <w:sz w:val="20"/>
                <w:szCs w:val="20"/>
              </w:rPr>
            </w:pPr>
            <w:r w:rsidRPr="007C51D6">
              <w:rPr>
                <w:color w:val="000000"/>
                <w:sz w:val="20"/>
                <w:szCs w:val="20"/>
              </w:rPr>
              <w:t>27,0</w:t>
            </w:r>
          </w:p>
        </w:tc>
        <w:tc>
          <w:tcPr>
            <w:tcW w:w="1012" w:type="dxa"/>
            <w:shd w:val="clear" w:color="auto" w:fill="auto"/>
            <w:vAlign w:val="center"/>
          </w:tcPr>
          <w:p w:rsidR="002E1D90" w:rsidRPr="007C51D6" w:rsidRDefault="002E1D90" w:rsidP="002E1D90">
            <w:pPr>
              <w:jc w:val="center"/>
              <w:rPr>
                <w:color w:val="000000"/>
                <w:sz w:val="20"/>
                <w:szCs w:val="20"/>
              </w:rPr>
            </w:pPr>
            <w:r w:rsidRPr="007C51D6">
              <w:rPr>
                <w:color w:val="000000"/>
                <w:sz w:val="20"/>
                <w:szCs w:val="20"/>
              </w:rPr>
              <w:t>29,4</w:t>
            </w:r>
          </w:p>
        </w:tc>
        <w:tc>
          <w:tcPr>
            <w:tcW w:w="1012" w:type="dxa"/>
            <w:shd w:val="clear" w:color="auto" w:fill="auto"/>
            <w:vAlign w:val="center"/>
          </w:tcPr>
          <w:p w:rsidR="002E1D90" w:rsidRPr="007C51D6" w:rsidRDefault="002E1D90" w:rsidP="002E1D90">
            <w:pPr>
              <w:jc w:val="center"/>
              <w:rPr>
                <w:color w:val="000000"/>
                <w:sz w:val="20"/>
                <w:szCs w:val="20"/>
              </w:rPr>
            </w:pPr>
            <w:r w:rsidRPr="007C51D6">
              <w:rPr>
                <w:color w:val="000000"/>
                <w:sz w:val="20"/>
                <w:szCs w:val="20"/>
              </w:rPr>
              <w:t>45,8</w:t>
            </w:r>
          </w:p>
        </w:tc>
        <w:tc>
          <w:tcPr>
            <w:tcW w:w="1011" w:type="dxa"/>
            <w:shd w:val="clear" w:color="auto" w:fill="auto"/>
            <w:vAlign w:val="center"/>
          </w:tcPr>
          <w:p w:rsidR="002E1D90" w:rsidRPr="007C51D6" w:rsidRDefault="002E1D90" w:rsidP="002E1D90">
            <w:pPr>
              <w:jc w:val="center"/>
              <w:rPr>
                <w:color w:val="000000"/>
                <w:sz w:val="20"/>
                <w:szCs w:val="20"/>
              </w:rPr>
            </w:pPr>
            <w:r w:rsidRPr="007C51D6">
              <w:rPr>
                <w:color w:val="000000"/>
                <w:sz w:val="20"/>
                <w:szCs w:val="20"/>
              </w:rPr>
              <w:t>22,0</w:t>
            </w:r>
          </w:p>
        </w:tc>
        <w:tc>
          <w:tcPr>
            <w:tcW w:w="1012" w:type="dxa"/>
            <w:shd w:val="clear" w:color="auto" w:fill="auto"/>
            <w:vAlign w:val="center"/>
          </w:tcPr>
          <w:p w:rsidR="002E1D90" w:rsidRPr="007C51D6" w:rsidRDefault="002E1D90" w:rsidP="002E1D90">
            <w:pPr>
              <w:jc w:val="center"/>
              <w:rPr>
                <w:color w:val="000000"/>
                <w:sz w:val="20"/>
                <w:szCs w:val="20"/>
              </w:rPr>
            </w:pPr>
            <w:r w:rsidRPr="007C51D6">
              <w:rPr>
                <w:color w:val="000000"/>
                <w:sz w:val="20"/>
                <w:szCs w:val="20"/>
              </w:rPr>
              <w:t>30,0</w:t>
            </w:r>
          </w:p>
        </w:tc>
        <w:tc>
          <w:tcPr>
            <w:tcW w:w="1012" w:type="dxa"/>
            <w:vAlign w:val="center"/>
          </w:tcPr>
          <w:p w:rsidR="002E1D90" w:rsidRPr="007C51D6" w:rsidRDefault="002E1D90" w:rsidP="002E1D90">
            <w:pPr>
              <w:jc w:val="center"/>
              <w:rPr>
                <w:color w:val="000000"/>
                <w:sz w:val="20"/>
                <w:szCs w:val="20"/>
              </w:rPr>
            </w:pPr>
            <w:r w:rsidRPr="007C51D6">
              <w:rPr>
                <w:color w:val="000000"/>
                <w:sz w:val="20"/>
                <w:szCs w:val="20"/>
              </w:rPr>
              <w:t>30,0</w:t>
            </w:r>
          </w:p>
        </w:tc>
        <w:tc>
          <w:tcPr>
            <w:tcW w:w="1109" w:type="dxa"/>
            <w:vAlign w:val="center"/>
          </w:tcPr>
          <w:p w:rsidR="002E1D90" w:rsidRPr="007C51D6" w:rsidRDefault="002E1D90" w:rsidP="002E1D90">
            <w:pPr>
              <w:jc w:val="center"/>
              <w:rPr>
                <w:color w:val="000000"/>
                <w:sz w:val="20"/>
                <w:szCs w:val="20"/>
              </w:rPr>
            </w:pPr>
            <w:r w:rsidRPr="007C51D6">
              <w:rPr>
                <w:color w:val="000000"/>
                <w:sz w:val="20"/>
                <w:szCs w:val="20"/>
              </w:rPr>
              <w:t>27,9</w:t>
            </w:r>
          </w:p>
        </w:tc>
        <w:tc>
          <w:tcPr>
            <w:tcW w:w="1103" w:type="dxa"/>
            <w:vAlign w:val="center"/>
          </w:tcPr>
          <w:p w:rsidR="002E1D90" w:rsidRPr="007C51D6" w:rsidRDefault="002E1D90" w:rsidP="002E1D90">
            <w:pPr>
              <w:jc w:val="center"/>
              <w:rPr>
                <w:color w:val="000000"/>
                <w:sz w:val="20"/>
                <w:szCs w:val="20"/>
              </w:rPr>
            </w:pPr>
            <w:r w:rsidRPr="007C51D6">
              <w:rPr>
                <w:color w:val="000000"/>
                <w:sz w:val="20"/>
                <w:szCs w:val="20"/>
              </w:rPr>
              <w:t>26,1</w:t>
            </w:r>
          </w:p>
        </w:tc>
        <w:tc>
          <w:tcPr>
            <w:tcW w:w="1077" w:type="dxa"/>
            <w:vAlign w:val="center"/>
          </w:tcPr>
          <w:p w:rsidR="002E1D90" w:rsidRPr="007C51D6" w:rsidRDefault="002E1D90" w:rsidP="002E1D90">
            <w:pPr>
              <w:jc w:val="center"/>
              <w:rPr>
                <w:color w:val="000000"/>
                <w:sz w:val="20"/>
                <w:szCs w:val="20"/>
              </w:rPr>
            </w:pPr>
            <w:r w:rsidRPr="007C51D6">
              <w:rPr>
                <w:color w:val="000000"/>
                <w:sz w:val="20"/>
                <w:szCs w:val="20"/>
              </w:rPr>
              <w:t>18,6</w:t>
            </w:r>
          </w:p>
        </w:tc>
        <w:tc>
          <w:tcPr>
            <w:tcW w:w="1077" w:type="dxa"/>
            <w:vAlign w:val="center"/>
          </w:tcPr>
          <w:p w:rsidR="002E1D90" w:rsidRPr="007C51D6" w:rsidRDefault="002E1D90" w:rsidP="002E1D90">
            <w:pPr>
              <w:jc w:val="center"/>
              <w:rPr>
                <w:color w:val="000000"/>
                <w:sz w:val="20"/>
                <w:szCs w:val="20"/>
              </w:rPr>
            </w:pPr>
            <w:r w:rsidRPr="007C51D6">
              <w:rPr>
                <w:color w:val="000000"/>
                <w:sz w:val="20"/>
                <w:szCs w:val="20"/>
              </w:rPr>
              <w:t>15.8</w:t>
            </w:r>
          </w:p>
        </w:tc>
      </w:tr>
      <w:tr w:rsidR="002E1D90" w:rsidRPr="007C51D6" w:rsidTr="007541C1">
        <w:trPr>
          <w:trHeight w:val="20"/>
        </w:trPr>
        <w:tc>
          <w:tcPr>
            <w:tcW w:w="4531" w:type="dxa"/>
            <w:shd w:val="clear" w:color="auto" w:fill="auto"/>
            <w:hideMark/>
          </w:tcPr>
          <w:p w:rsidR="002E1D90" w:rsidRPr="007C51D6" w:rsidRDefault="002E1D90" w:rsidP="002E1D90">
            <w:pPr>
              <w:autoSpaceDE/>
              <w:autoSpaceDN/>
              <w:adjustRightInd/>
              <w:rPr>
                <w:color w:val="000000"/>
                <w:sz w:val="20"/>
                <w:szCs w:val="20"/>
              </w:rPr>
            </w:pPr>
            <w:r w:rsidRPr="007C51D6">
              <w:rPr>
                <w:color w:val="000000"/>
                <w:sz w:val="20"/>
                <w:szCs w:val="20"/>
              </w:rPr>
              <w:t>Нижнекамский</w:t>
            </w:r>
          </w:p>
        </w:tc>
        <w:tc>
          <w:tcPr>
            <w:tcW w:w="1134" w:type="dxa"/>
            <w:shd w:val="clear" w:color="auto" w:fill="auto"/>
            <w:vAlign w:val="center"/>
          </w:tcPr>
          <w:p w:rsidR="002E1D90" w:rsidRPr="007C51D6" w:rsidRDefault="002E1D90" w:rsidP="002E1D90">
            <w:pPr>
              <w:jc w:val="center"/>
              <w:rPr>
                <w:color w:val="000000"/>
                <w:sz w:val="20"/>
                <w:szCs w:val="20"/>
              </w:rPr>
            </w:pPr>
            <w:r w:rsidRPr="007C51D6">
              <w:rPr>
                <w:color w:val="000000"/>
                <w:sz w:val="20"/>
                <w:szCs w:val="20"/>
              </w:rPr>
              <w:t>26,2</w:t>
            </w:r>
          </w:p>
        </w:tc>
        <w:tc>
          <w:tcPr>
            <w:tcW w:w="1012" w:type="dxa"/>
            <w:shd w:val="clear" w:color="auto" w:fill="auto"/>
            <w:vAlign w:val="center"/>
          </w:tcPr>
          <w:p w:rsidR="002E1D90" w:rsidRPr="007C51D6" w:rsidRDefault="002E1D90" w:rsidP="002E1D90">
            <w:pPr>
              <w:jc w:val="center"/>
              <w:rPr>
                <w:color w:val="000000"/>
                <w:sz w:val="20"/>
                <w:szCs w:val="20"/>
              </w:rPr>
            </w:pPr>
            <w:r w:rsidRPr="007C51D6">
              <w:rPr>
                <w:color w:val="000000"/>
                <w:sz w:val="20"/>
                <w:szCs w:val="20"/>
              </w:rPr>
              <w:t>26,1</w:t>
            </w:r>
          </w:p>
        </w:tc>
        <w:tc>
          <w:tcPr>
            <w:tcW w:w="1012" w:type="dxa"/>
            <w:shd w:val="clear" w:color="auto" w:fill="auto"/>
            <w:vAlign w:val="center"/>
          </w:tcPr>
          <w:p w:rsidR="002E1D90" w:rsidRPr="007C51D6" w:rsidRDefault="002E1D90" w:rsidP="002E1D90">
            <w:pPr>
              <w:jc w:val="center"/>
              <w:rPr>
                <w:color w:val="000000"/>
                <w:sz w:val="20"/>
                <w:szCs w:val="20"/>
              </w:rPr>
            </w:pPr>
            <w:r w:rsidRPr="007C51D6">
              <w:rPr>
                <w:color w:val="000000"/>
                <w:sz w:val="20"/>
                <w:szCs w:val="20"/>
              </w:rPr>
              <w:t>24,6</w:t>
            </w:r>
          </w:p>
        </w:tc>
        <w:tc>
          <w:tcPr>
            <w:tcW w:w="1011" w:type="dxa"/>
            <w:shd w:val="clear" w:color="auto" w:fill="auto"/>
            <w:vAlign w:val="center"/>
          </w:tcPr>
          <w:p w:rsidR="002E1D90" w:rsidRPr="007C51D6" w:rsidRDefault="002E1D90" w:rsidP="002E1D90">
            <w:pPr>
              <w:jc w:val="center"/>
              <w:rPr>
                <w:color w:val="000000"/>
                <w:sz w:val="20"/>
                <w:szCs w:val="20"/>
              </w:rPr>
            </w:pPr>
            <w:r w:rsidRPr="007C51D6">
              <w:rPr>
                <w:color w:val="000000"/>
                <w:sz w:val="20"/>
                <w:szCs w:val="20"/>
              </w:rPr>
              <w:t>25,9</w:t>
            </w:r>
          </w:p>
        </w:tc>
        <w:tc>
          <w:tcPr>
            <w:tcW w:w="1012" w:type="dxa"/>
            <w:shd w:val="clear" w:color="auto" w:fill="auto"/>
            <w:vAlign w:val="center"/>
          </w:tcPr>
          <w:p w:rsidR="002E1D90" w:rsidRPr="007C51D6" w:rsidRDefault="002E1D90" w:rsidP="002E1D90">
            <w:pPr>
              <w:jc w:val="center"/>
              <w:rPr>
                <w:color w:val="000000"/>
                <w:sz w:val="20"/>
                <w:szCs w:val="20"/>
              </w:rPr>
            </w:pPr>
            <w:r w:rsidRPr="007C51D6">
              <w:rPr>
                <w:color w:val="000000"/>
                <w:sz w:val="20"/>
                <w:szCs w:val="20"/>
              </w:rPr>
              <w:t>24,0</w:t>
            </w:r>
          </w:p>
        </w:tc>
        <w:tc>
          <w:tcPr>
            <w:tcW w:w="1012" w:type="dxa"/>
            <w:vAlign w:val="center"/>
          </w:tcPr>
          <w:p w:rsidR="002E1D90" w:rsidRPr="007C51D6" w:rsidRDefault="002E1D90" w:rsidP="002E1D90">
            <w:pPr>
              <w:jc w:val="center"/>
              <w:rPr>
                <w:color w:val="000000"/>
                <w:sz w:val="20"/>
                <w:szCs w:val="20"/>
              </w:rPr>
            </w:pPr>
            <w:r w:rsidRPr="007C51D6">
              <w:rPr>
                <w:color w:val="000000"/>
                <w:sz w:val="20"/>
                <w:szCs w:val="20"/>
              </w:rPr>
              <w:t>21,9</w:t>
            </w:r>
          </w:p>
        </w:tc>
        <w:tc>
          <w:tcPr>
            <w:tcW w:w="1109" w:type="dxa"/>
            <w:vAlign w:val="center"/>
          </w:tcPr>
          <w:p w:rsidR="002E1D90" w:rsidRPr="007C51D6" w:rsidRDefault="002E1D90" w:rsidP="002E1D90">
            <w:pPr>
              <w:jc w:val="center"/>
              <w:rPr>
                <w:color w:val="000000"/>
                <w:sz w:val="20"/>
                <w:szCs w:val="20"/>
              </w:rPr>
            </w:pPr>
            <w:r w:rsidRPr="007C51D6">
              <w:rPr>
                <w:color w:val="000000"/>
                <w:sz w:val="20"/>
                <w:szCs w:val="20"/>
              </w:rPr>
              <w:t>22,3</w:t>
            </w:r>
          </w:p>
        </w:tc>
        <w:tc>
          <w:tcPr>
            <w:tcW w:w="1103" w:type="dxa"/>
            <w:vAlign w:val="center"/>
          </w:tcPr>
          <w:p w:rsidR="002E1D90" w:rsidRPr="007C51D6" w:rsidRDefault="002E1D90" w:rsidP="002E1D90">
            <w:pPr>
              <w:jc w:val="center"/>
              <w:rPr>
                <w:color w:val="000000"/>
                <w:sz w:val="20"/>
                <w:szCs w:val="20"/>
              </w:rPr>
            </w:pPr>
            <w:r w:rsidRPr="007C51D6">
              <w:rPr>
                <w:color w:val="000000"/>
                <w:sz w:val="20"/>
                <w:szCs w:val="20"/>
              </w:rPr>
              <w:t>20,9</w:t>
            </w:r>
          </w:p>
        </w:tc>
        <w:tc>
          <w:tcPr>
            <w:tcW w:w="1077" w:type="dxa"/>
            <w:vAlign w:val="center"/>
          </w:tcPr>
          <w:p w:rsidR="002E1D90" w:rsidRPr="007C51D6" w:rsidRDefault="002E1D90" w:rsidP="002E1D90">
            <w:pPr>
              <w:jc w:val="center"/>
              <w:rPr>
                <w:color w:val="000000"/>
                <w:sz w:val="20"/>
                <w:szCs w:val="20"/>
              </w:rPr>
            </w:pPr>
            <w:r w:rsidRPr="007C51D6">
              <w:rPr>
                <w:color w:val="000000"/>
                <w:sz w:val="20"/>
                <w:szCs w:val="20"/>
              </w:rPr>
              <w:t>21,2</w:t>
            </w:r>
          </w:p>
        </w:tc>
        <w:tc>
          <w:tcPr>
            <w:tcW w:w="1077" w:type="dxa"/>
            <w:vAlign w:val="center"/>
          </w:tcPr>
          <w:p w:rsidR="002E1D90" w:rsidRPr="007C51D6" w:rsidRDefault="002E1D90" w:rsidP="002E1D90">
            <w:pPr>
              <w:jc w:val="center"/>
              <w:rPr>
                <w:color w:val="000000"/>
                <w:sz w:val="20"/>
                <w:szCs w:val="20"/>
              </w:rPr>
            </w:pPr>
            <w:r w:rsidRPr="007C51D6">
              <w:rPr>
                <w:color w:val="000000"/>
                <w:sz w:val="20"/>
                <w:szCs w:val="20"/>
              </w:rPr>
              <w:t>16.5</w:t>
            </w:r>
          </w:p>
        </w:tc>
      </w:tr>
      <w:tr w:rsidR="002E1D90" w:rsidRPr="007C51D6" w:rsidTr="007541C1">
        <w:trPr>
          <w:trHeight w:val="20"/>
        </w:trPr>
        <w:tc>
          <w:tcPr>
            <w:tcW w:w="4531" w:type="dxa"/>
            <w:shd w:val="clear" w:color="auto" w:fill="auto"/>
            <w:hideMark/>
          </w:tcPr>
          <w:p w:rsidR="002E1D90" w:rsidRPr="007C51D6" w:rsidRDefault="002E1D90" w:rsidP="002E1D90">
            <w:pPr>
              <w:autoSpaceDE/>
              <w:autoSpaceDN/>
              <w:adjustRightInd/>
              <w:rPr>
                <w:color w:val="000000"/>
                <w:sz w:val="20"/>
                <w:szCs w:val="20"/>
              </w:rPr>
            </w:pPr>
            <w:r w:rsidRPr="007C51D6">
              <w:rPr>
                <w:color w:val="000000"/>
                <w:sz w:val="20"/>
                <w:szCs w:val="20"/>
              </w:rPr>
              <w:t>Новошешминский</w:t>
            </w:r>
          </w:p>
        </w:tc>
        <w:tc>
          <w:tcPr>
            <w:tcW w:w="1134" w:type="dxa"/>
            <w:shd w:val="clear" w:color="auto" w:fill="auto"/>
            <w:vAlign w:val="center"/>
          </w:tcPr>
          <w:p w:rsidR="002E1D90" w:rsidRPr="007C51D6" w:rsidRDefault="002E1D90" w:rsidP="002E1D90">
            <w:pPr>
              <w:jc w:val="center"/>
              <w:rPr>
                <w:color w:val="000000"/>
                <w:sz w:val="20"/>
                <w:szCs w:val="20"/>
              </w:rPr>
            </w:pPr>
            <w:r w:rsidRPr="007C51D6">
              <w:rPr>
                <w:color w:val="000000"/>
                <w:sz w:val="20"/>
                <w:szCs w:val="20"/>
              </w:rPr>
              <w:t>20,9</w:t>
            </w:r>
          </w:p>
        </w:tc>
        <w:tc>
          <w:tcPr>
            <w:tcW w:w="1012" w:type="dxa"/>
            <w:shd w:val="clear" w:color="auto" w:fill="auto"/>
            <w:vAlign w:val="center"/>
          </w:tcPr>
          <w:p w:rsidR="002E1D90" w:rsidRPr="007C51D6" w:rsidRDefault="002E1D90" w:rsidP="002E1D90">
            <w:pPr>
              <w:jc w:val="center"/>
              <w:rPr>
                <w:color w:val="000000"/>
                <w:sz w:val="20"/>
                <w:szCs w:val="20"/>
              </w:rPr>
            </w:pPr>
            <w:r w:rsidRPr="007C51D6">
              <w:rPr>
                <w:color w:val="000000"/>
                <w:sz w:val="20"/>
                <w:szCs w:val="20"/>
              </w:rPr>
              <w:t>20,4</w:t>
            </w:r>
          </w:p>
        </w:tc>
        <w:tc>
          <w:tcPr>
            <w:tcW w:w="1012" w:type="dxa"/>
            <w:shd w:val="clear" w:color="auto" w:fill="auto"/>
            <w:vAlign w:val="center"/>
          </w:tcPr>
          <w:p w:rsidR="002E1D90" w:rsidRPr="007C51D6" w:rsidRDefault="002E1D90" w:rsidP="002E1D90">
            <w:pPr>
              <w:jc w:val="center"/>
              <w:rPr>
                <w:color w:val="000000"/>
                <w:sz w:val="20"/>
                <w:szCs w:val="20"/>
              </w:rPr>
            </w:pPr>
            <w:r w:rsidRPr="007C51D6">
              <w:rPr>
                <w:color w:val="000000"/>
                <w:sz w:val="20"/>
                <w:szCs w:val="20"/>
              </w:rPr>
              <w:t>24,6</w:t>
            </w:r>
          </w:p>
        </w:tc>
        <w:tc>
          <w:tcPr>
            <w:tcW w:w="1011" w:type="dxa"/>
            <w:shd w:val="clear" w:color="auto" w:fill="auto"/>
            <w:vAlign w:val="center"/>
          </w:tcPr>
          <w:p w:rsidR="002E1D90" w:rsidRPr="007C51D6" w:rsidRDefault="002E1D90" w:rsidP="002E1D90">
            <w:pPr>
              <w:jc w:val="center"/>
              <w:rPr>
                <w:color w:val="000000"/>
                <w:sz w:val="20"/>
                <w:szCs w:val="20"/>
              </w:rPr>
            </w:pPr>
            <w:r w:rsidRPr="007C51D6">
              <w:rPr>
                <w:color w:val="000000"/>
                <w:sz w:val="20"/>
                <w:szCs w:val="20"/>
              </w:rPr>
              <w:t>19,4</w:t>
            </w:r>
          </w:p>
        </w:tc>
        <w:tc>
          <w:tcPr>
            <w:tcW w:w="1012" w:type="dxa"/>
            <w:shd w:val="clear" w:color="auto" w:fill="auto"/>
            <w:vAlign w:val="center"/>
          </w:tcPr>
          <w:p w:rsidR="002E1D90" w:rsidRPr="007C51D6" w:rsidRDefault="002E1D90" w:rsidP="002E1D90">
            <w:pPr>
              <w:jc w:val="center"/>
              <w:rPr>
                <w:color w:val="000000"/>
                <w:sz w:val="20"/>
                <w:szCs w:val="20"/>
              </w:rPr>
            </w:pPr>
            <w:r w:rsidRPr="007C51D6">
              <w:rPr>
                <w:color w:val="000000"/>
                <w:sz w:val="20"/>
                <w:szCs w:val="20"/>
              </w:rPr>
              <w:t>15,6</w:t>
            </w:r>
          </w:p>
        </w:tc>
        <w:tc>
          <w:tcPr>
            <w:tcW w:w="1012" w:type="dxa"/>
            <w:vAlign w:val="center"/>
          </w:tcPr>
          <w:p w:rsidR="002E1D90" w:rsidRPr="007C51D6" w:rsidRDefault="002E1D90" w:rsidP="002E1D90">
            <w:pPr>
              <w:jc w:val="center"/>
              <w:rPr>
                <w:color w:val="000000"/>
                <w:sz w:val="20"/>
                <w:szCs w:val="20"/>
              </w:rPr>
            </w:pPr>
            <w:r w:rsidRPr="007C51D6">
              <w:rPr>
                <w:color w:val="000000"/>
                <w:sz w:val="20"/>
                <w:szCs w:val="20"/>
              </w:rPr>
              <w:t>34,4</w:t>
            </w:r>
          </w:p>
        </w:tc>
        <w:tc>
          <w:tcPr>
            <w:tcW w:w="1109" w:type="dxa"/>
            <w:vAlign w:val="center"/>
          </w:tcPr>
          <w:p w:rsidR="002E1D90" w:rsidRPr="007C51D6" w:rsidRDefault="002E1D90" w:rsidP="002E1D90">
            <w:pPr>
              <w:jc w:val="center"/>
              <w:rPr>
                <w:color w:val="000000"/>
                <w:sz w:val="20"/>
                <w:szCs w:val="20"/>
              </w:rPr>
            </w:pPr>
            <w:r w:rsidRPr="007C51D6">
              <w:rPr>
                <w:color w:val="000000"/>
                <w:sz w:val="20"/>
                <w:szCs w:val="20"/>
              </w:rPr>
              <w:t>20,9</w:t>
            </w:r>
          </w:p>
        </w:tc>
        <w:tc>
          <w:tcPr>
            <w:tcW w:w="1103" w:type="dxa"/>
            <w:vAlign w:val="center"/>
          </w:tcPr>
          <w:p w:rsidR="002E1D90" w:rsidRPr="007C51D6" w:rsidRDefault="002E1D90" w:rsidP="002E1D90">
            <w:pPr>
              <w:jc w:val="center"/>
              <w:rPr>
                <w:color w:val="000000"/>
                <w:sz w:val="20"/>
                <w:szCs w:val="20"/>
              </w:rPr>
            </w:pPr>
            <w:r w:rsidRPr="007C51D6">
              <w:rPr>
                <w:color w:val="000000"/>
                <w:sz w:val="20"/>
                <w:szCs w:val="20"/>
              </w:rPr>
              <w:t>11,5</w:t>
            </w:r>
          </w:p>
        </w:tc>
        <w:tc>
          <w:tcPr>
            <w:tcW w:w="1077" w:type="dxa"/>
            <w:vAlign w:val="center"/>
          </w:tcPr>
          <w:p w:rsidR="002E1D90" w:rsidRPr="007C51D6" w:rsidRDefault="002E1D90" w:rsidP="002E1D90">
            <w:pPr>
              <w:jc w:val="center"/>
              <w:rPr>
                <w:color w:val="000000"/>
                <w:sz w:val="20"/>
                <w:szCs w:val="20"/>
              </w:rPr>
            </w:pPr>
            <w:r w:rsidRPr="007C51D6">
              <w:rPr>
                <w:color w:val="000000"/>
                <w:sz w:val="20"/>
                <w:szCs w:val="20"/>
              </w:rPr>
              <w:t>17,3</w:t>
            </w:r>
          </w:p>
        </w:tc>
        <w:tc>
          <w:tcPr>
            <w:tcW w:w="1077" w:type="dxa"/>
            <w:vAlign w:val="center"/>
          </w:tcPr>
          <w:p w:rsidR="002E1D90" w:rsidRPr="007C51D6" w:rsidRDefault="002E1D90" w:rsidP="002E1D90">
            <w:pPr>
              <w:jc w:val="center"/>
              <w:rPr>
                <w:color w:val="000000"/>
                <w:sz w:val="20"/>
                <w:szCs w:val="20"/>
              </w:rPr>
            </w:pPr>
            <w:r w:rsidRPr="007C51D6">
              <w:rPr>
                <w:color w:val="000000"/>
                <w:sz w:val="20"/>
                <w:szCs w:val="20"/>
              </w:rPr>
              <w:t>29.2</w:t>
            </w:r>
          </w:p>
        </w:tc>
      </w:tr>
      <w:tr w:rsidR="002E1D90" w:rsidRPr="007C51D6" w:rsidTr="007541C1">
        <w:trPr>
          <w:trHeight w:val="20"/>
        </w:trPr>
        <w:tc>
          <w:tcPr>
            <w:tcW w:w="4531" w:type="dxa"/>
            <w:shd w:val="clear" w:color="auto" w:fill="auto"/>
            <w:hideMark/>
          </w:tcPr>
          <w:p w:rsidR="002E1D90" w:rsidRPr="007C51D6" w:rsidRDefault="002E1D90" w:rsidP="002E1D90">
            <w:pPr>
              <w:autoSpaceDE/>
              <w:autoSpaceDN/>
              <w:adjustRightInd/>
              <w:rPr>
                <w:color w:val="000000"/>
                <w:sz w:val="20"/>
                <w:szCs w:val="20"/>
              </w:rPr>
            </w:pPr>
            <w:r w:rsidRPr="007C51D6">
              <w:rPr>
                <w:color w:val="000000"/>
                <w:sz w:val="20"/>
                <w:szCs w:val="20"/>
              </w:rPr>
              <w:t>Нурлатский</w:t>
            </w:r>
          </w:p>
        </w:tc>
        <w:tc>
          <w:tcPr>
            <w:tcW w:w="1134" w:type="dxa"/>
            <w:shd w:val="clear" w:color="auto" w:fill="auto"/>
            <w:vAlign w:val="center"/>
          </w:tcPr>
          <w:p w:rsidR="002E1D90" w:rsidRPr="007C51D6" w:rsidRDefault="002E1D90" w:rsidP="002E1D90">
            <w:pPr>
              <w:jc w:val="center"/>
              <w:rPr>
                <w:color w:val="000000"/>
                <w:sz w:val="20"/>
                <w:szCs w:val="20"/>
              </w:rPr>
            </w:pPr>
            <w:r w:rsidRPr="007C51D6">
              <w:rPr>
                <w:color w:val="000000"/>
                <w:sz w:val="20"/>
                <w:szCs w:val="20"/>
              </w:rPr>
              <w:t>26,6</w:t>
            </w:r>
          </w:p>
        </w:tc>
        <w:tc>
          <w:tcPr>
            <w:tcW w:w="1012" w:type="dxa"/>
            <w:shd w:val="clear" w:color="auto" w:fill="auto"/>
            <w:vAlign w:val="center"/>
          </w:tcPr>
          <w:p w:rsidR="002E1D90" w:rsidRPr="007C51D6" w:rsidRDefault="002E1D90" w:rsidP="002E1D90">
            <w:pPr>
              <w:jc w:val="center"/>
              <w:rPr>
                <w:color w:val="000000"/>
                <w:sz w:val="20"/>
                <w:szCs w:val="20"/>
              </w:rPr>
            </w:pPr>
            <w:r w:rsidRPr="007C51D6">
              <w:rPr>
                <w:color w:val="000000"/>
                <w:sz w:val="20"/>
                <w:szCs w:val="20"/>
              </w:rPr>
              <w:t>29,0</w:t>
            </w:r>
          </w:p>
        </w:tc>
        <w:tc>
          <w:tcPr>
            <w:tcW w:w="1012" w:type="dxa"/>
            <w:shd w:val="clear" w:color="auto" w:fill="auto"/>
            <w:vAlign w:val="center"/>
          </w:tcPr>
          <w:p w:rsidR="002E1D90" w:rsidRPr="007C51D6" w:rsidRDefault="002E1D90" w:rsidP="002E1D90">
            <w:pPr>
              <w:jc w:val="center"/>
              <w:rPr>
                <w:color w:val="000000"/>
                <w:sz w:val="20"/>
                <w:szCs w:val="20"/>
              </w:rPr>
            </w:pPr>
            <w:r w:rsidRPr="007C51D6">
              <w:rPr>
                <w:color w:val="000000"/>
                <w:sz w:val="20"/>
                <w:szCs w:val="20"/>
              </w:rPr>
              <w:t>29,3</w:t>
            </w:r>
          </w:p>
        </w:tc>
        <w:tc>
          <w:tcPr>
            <w:tcW w:w="1011" w:type="dxa"/>
            <w:shd w:val="clear" w:color="auto" w:fill="auto"/>
            <w:vAlign w:val="center"/>
          </w:tcPr>
          <w:p w:rsidR="002E1D90" w:rsidRPr="007C51D6" w:rsidRDefault="002E1D90" w:rsidP="002E1D90">
            <w:pPr>
              <w:jc w:val="center"/>
              <w:rPr>
                <w:color w:val="000000"/>
                <w:sz w:val="20"/>
                <w:szCs w:val="20"/>
              </w:rPr>
            </w:pPr>
            <w:r w:rsidRPr="007C51D6">
              <w:rPr>
                <w:color w:val="000000"/>
                <w:sz w:val="20"/>
                <w:szCs w:val="20"/>
              </w:rPr>
              <w:t>22,6</w:t>
            </w:r>
          </w:p>
        </w:tc>
        <w:tc>
          <w:tcPr>
            <w:tcW w:w="1012" w:type="dxa"/>
            <w:shd w:val="clear" w:color="auto" w:fill="auto"/>
            <w:vAlign w:val="center"/>
          </w:tcPr>
          <w:p w:rsidR="002E1D90" w:rsidRPr="007C51D6" w:rsidRDefault="002E1D90" w:rsidP="002E1D90">
            <w:pPr>
              <w:jc w:val="center"/>
              <w:rPr>
                <w:color w:val="000000"/>
                <w:sz w:val="20"/>
                <w:szCs w:val="20"/>
              </w:rPr>
            </w:pPr>
            <w:r w:rsidRPr="007C51D6">
              <w:rPr>
                <w:color w:val="000000"/>
                <w:sz w:val="20"/>
                <w:szCs w:val="20"/>
              </w:rPr>
              <w:t>28,2</w:t>
            </w:r>
          </w:p>
        </w:tc>
        <w:tc>
          <w:tcPr>
            <w:tcW w:w="1012" w:type="dxa"/>
            <w:vAlign w:val="center"/>
          </w:tcPr>
          <w:p w:rsidR="002E1D90" w:rsidRPr="007C51D6" w:rsidRDefault="002E1D90" w:rsidP="002E1D90">
            <w:pPr>
              <w:jc w:val="center"/>
              <w:rPr>
                <w:color w:val="000000"/>
                <w:sz w:val="20"/>
                <w:szCs w:val="20"/>
              </w:rPr>
            </w:pPr>
            <w:r w:rsidRPr="007C51D6">
              <w:rPr>
                <w:color w:val="000000"/>
                <w:sz w:val="20"/>
                <w:szCs w:val="20"/>
              </w:rPr>
              <w:t>29,0</w:t>
            </w:r>
          </w:p>
        </w:tc>
        <w:tc>
          <w:tcPr>
            <w:tcW w:w="1109" w:type="dxa"/>
            <w:vAlign w:val="center"/>
          </w:tcPr>
          <w:p w:rsidR="002E1D90" w:rsidRPr="007C51D6" w:rsidRDefault="002E1D90" w:rsidP="002E1D90">
            <w:pPr>
              <w:jc w:val="center"/>
              <w:rPr>
                <w:color w:val="000000"/>
                <w:sz w:val="20"/>
                <w:szCs w:val="20"/>
              </w:rPr>
            </w:pPr>
            <w:r w:rsidRPr="007C51D6">
              <w:rPr>
                <w:color w:val="000000"/>
                <w:sz w:val="20"/>
                <w:szCs w:val="20"/>
              </w:rPr>
              <w:t>18,8</w:t>
            </w:r>
          </w:p>
        </w:tc>
        <w:tc>
          <w:tcPr>
            <w:tcW w:w="1103" w:type="dxa"/>
            <w:vAlign w:val="center"/>
          </w:tcPr>
          <w:p w:rsidR="002E1D90" w:rsidRPr="007C51D6" w:rsidRDefault="002E1D90" w:rsidP="002E1D90">
            <w:pPr>
              <w:jc w:val="center"/>
              <w:rPr>
                <w:color w:val="000000"/>
                <w:sz w:val="20"/>
                <w:szCs w:val="20"/>
              </w:rPr>
            </w:pPr>
            <w:r w:rsidRPr="007C51D6">
              <w:rPr>
                <w:color w:val="000000"/>
                <w:sz w:val="20"/>
                <w:szCs w:val="20"/>
              </w:rPr>
              <w:t>29,4</w:t>
            </w:r>
          </w:p>
        </w:tc>
        <w:tc>
          <w:tcPr>
            <w:tcW w:w="1077" w:type="dxa"/>
            <w:vAlign w:val="center"/>
          </w:tcPr>
          <w:p w:rsidR="002E1D90" w:rsidRPr="007C51D6" w:rsidRDefault="002E1D90" w:rsidP="002E1D90">
            <w:pPr>
              <w:jc w:val="center"/>
              <w:rPr>
                <w:color w:val="000000"/>
                <w:sz w:val="20"/>
                <w:szCs w:val="20"/>
              </w:rPr>
            </w:pPr>
            <w:r w:rsidRPr="007C51D6">
              <w:rPr>
                <w:color w:val="000000"/>
                <w:sz w:val="20"/>
                <w:szCs w:val="20"/>
              </w:rPr>
              <w:t>15,3</w:t>
            </w:r>
          </w:p>
        </w:tc>
        <w:tc>
          <w:tcPr>
            <w:tcW w:w="1077" w:type="dxa"/>
            <w:vAlign w:val="center"/>
          </w:tcPr>
          <w:p w:rsidR="002E1D90" w:rsidRPr="007C51D6" w:rsidRDefault="002E1D90" w:rsidP="002E1D90">
            <w:pPr>
              <w:jc w:val="center"/>
              <w:rPr>
                <w:color w:val="000000"/>
                <w:sz w:val="20"/>
                <w:szCs w:val="20"/>
              </w:rPr>
            </w:pPr>
            <w:r w:rsidRPr="007C51D6">
              <w:rPr>
                <w:color w:val="000000"/>
                <w:sz w:val="20"/>
                <w:szCs w:val="20"/>
              </w:rPr>
              <w:t>17.9</w:t>
            </w:r>
          </w:p>
        </w:tc>
      </w:tr>
      <w:tr w:rsidR="002E1D90" w:rsidRPr="007C51D6" w:rsidTr="007541C1">
        <w:trPr>
          <w:trHeight w:val="20"/>
        </w:trPr>
        <w:tc>
          <w:tcPr>
            <w:tcW w:w="4531" w:type="dxa"/>
            <w:shd w:val="clear" w:color="auto" w:fill="auto"/>
          </w:tcPr>
          <w:p w:rsidR="002E1D90" w:rsidRPr="007C51D6" w:rsidRDefault="002E1D90" w:rsidP="002E1D90">
            <w:pPr>
              <w:autoSpaceDE/>
              <w:autoSpaceDN/>
              <w:adjustRightInd/>
              <w:rPr>
                <w:color w:val="000000"/>
                <w:sz w:val="20"/>
                <w:szCs w:val="20"/>
              </w:rPr>
            </w:pPr>
            <w:r w:rsidRPr="007C51D6">
              <w:rPr>
                <w:color w:val="000000"/>
                <w:sz w:val="20"/>
                <w:szCs w:val="20"/>
              </w:rPr>
              <w:t>Пестречинский</w:t>
            </w:r>
          </w:p>
        </w:tc>
        <w:tc>
          <w:tcPr>
            <w:tcW w:w="1134" w:type="dxa"/>
            <w:shd w:val="clear" w:color="auto" w:fill="auto"/>
            <w:vAlign w:val="center"/>
          </w:tcPr>
          <w:p w:rsidR="002E1D90" w:rsidRPr="007C51D6" w:rsidRDefault="002E1D90" w:rsidP="002E1D90">
            <w:pPr>
              <w:jc w:val="center"/>
              <w:rPr>
                <w:color w:val="000000"/>
                <w:sz w:val="20"/>
                <w:szCs w:val="20"/>
              </w:rPr>
            </w:pPr>
            <w:r w:rsidRPr="007C51D6">
              <w:rPr>
                <w:color w:val="000000"/>
                <w:sz w:val="20"/>
                <w:szCs w:val="20"/>
              </w:rPr>
              <w:t>28,6</w:t>
            </w:r>
          </w:p>
        </w:tc>
        <w:tc>
          <w:tcPr>
            <w:tcW w:w="1012" w:type="dxa"/>
            <w:shd w:val="clear" w:color="auto" w:fill="auto"/>
            <w:vAlign w:val="center"/>
          </w:tcPr>
          <w:p w:rsidR="002E1D90" w:rsidRPr="007C51D6" w:rsidRDefault="002E1D90" w:rsidP="002E1D90">
            <w:pPr>
              <w:jc w:val="center"/>
              <w:rPr>
                <w:color w:val="000000"/>
                <w:sz w:val="20"/>
                <w:szCs w:val="20"/>
              </w:rPr>
            </w:pPr>
            <w:r w:rsidRPr="007C51D6">
              <w:rPr>
                <w:color w:val="000000"/>
                <w:sz w:val="20"/>
                <w:szCs w:val="20"/>
              </w:rPr>
              <w:t>26,5</w:t>
            </w:r>
          </w:p>
        </w:tc>
        <w:tc>
          <w:tcPr>
            <w:tcW w:w="1012" w:type="dxa"/>
            <w:shd w:val="clear" w:color="auto" w:fill="auto"/>
            <w:vAlign w:val="center"/>
          </w:tcPr>
          <w:p w:rsidR="002E1D90" w:rsidRPr="007C51D6" w:rsidRDefault="002E1D90" w:rsidP="002E1D90">
            <w:pPr>
              <w:jc w:val="center"/>
              <w:rPr>
                <w:color w:val="000000"/>
                <w:sz w:val="20"/>
                <w:szCs w:val="20"/>
              </w:rPr>
            </w:pPr>
            <w:r w:rsidRPr="007C51D6">
              <w:rPr>
                <w:color w:val="000000"/>
                <w:sz w:val="20"/>
                <w:szCs w:val="20"/>
              </w:rPr>
              <w:t>24,3</w:t>
            </w:r>
          </w:p>
        </w:tc>
        <w:tc>
          <w:tcPr>
            <w:tcW w:w="1011" w:type="dxa"/>
            <w:shd w:val="clear" w:color="auto" w:fill="auto"/>
            <w:vAlign w:val="center"/>
          </w:tcPr>
          <w:p w:rsidR="002E1D90" w:rsidRPr="007C51D6" w:rsidRDefault="002E1D90" w:rsidP="002E1D90">
            <w:pPr>
              <w:jc w:val="center"/>
              <w:rPr>
                <w:color w:val="000000"/>
                <w:sz w:val="20"/>
                <w:szCs w:val="20"/>
              </w:rPr>
            </w:pPr>
            <w:r w:rsidRPr="007C51D6">
              <w:rPr>
                <w:color w:val="000000"/>
                <w:sz w:val="20"/>
                <w:szCs w:val="20"/>
              </w:rPr>
              <w:t>25,2</w:t>
            </w:r>
          </w:p>
        </w:tc>
        <w:tc>
          <w:tcPr>
            <w:tcW w:w="1012" w:type="dxa"/>
            <w:shd w:val="clear" w:color="auto" w:fill="auto"/>
            <w:vAlign w:val="center"/>
          </w:tcPr>
          <w:p w:rsidR="002E1D90" w:rsidRPr="007C51D6" w:rsidRDefault="002E1D90" w:rsidP="002E1D90">
            <w:pPr>
              <w:jc w:val="center"/>
              <w:rPr>
                <w:color w:val="000000"/>
                <w:sz w:val="20"/>
                <w:szCs w:val="20"/>
              </w:rPr>
            </w:pPr>
            <w:r w:rsidRPr="007C51D6">
              <w:rPr>
                <w:color w:val="000000"/>
                <w:sz w:val="20"/>
                <w:szCs w:val="20"/>
              </w:rPr>
              <w:t>15,0</w:t>
            </w:r>
          </w:p>
        </w:tc>
        <w:tc>
          <w:tcPr>
            <w:tcW w:w="1012" w:type="dxa"/>
            <w:vAlign w:val="center"/>
          </w:tcPr>
          <w:p w:rsidR="002E1D90" w:rsidRPr="007C51D6" w:rsidRDefault="002E1D90" w:rsidP="002E1D90">
            <w:pPr>
              <w:jc w:val="center"/>
              <w:rPr>
                <w:color w:val="000000"/>
                <w:sz w:val="20"/>
                <w:szCs w:val="20"/>
              </w:rPr>
            </w:pPr>
            <w:r w:rsidRPr="007C51D6">
              <w:rPr>
                <w:color w:val="000000"/>
                <w:sz w:val="20"/>
                <w:szCs w:val="20"/>
              </w:rPr>
              <w:t>24,2</w:t>
            </w:r>
          </w:p>
        </w:tc>
        <w:tc>
          <w:tcPr>
            <w:tcW w:w="1109" w:type="dxa"/>
            <w:vAlign w:val="center"/>
          </w:tcPr>
          <w:p w:rsidR="002E1D90" w:rsidRPr="007C51D6" w:rsidRDefault="002E1D90" w:rsidP="002E1D90">
            <w:pPr>
              <w:jc w:val="center"/>
              <w:rPr>
                <w:color w:val="000000"/>
                <w:sz w:val="20"/>
                <w:szCs w:val="20"/>
              </w:rPr>
            </w:pPr>
            <w:r w:rsidRPr="007C51D6">
              <w:rPr>
                <w:color w:val="000000"/>
                <w:sz w:val="20"/>
                <w:szCs w:val="20"/>
              </w:rPr>
              <w:t>17,6</w:t>
            </w:r>
          </w:p>
        </w:tc>
        <w:tc>
          <w:tcPr>
            <w:tcW w:w="1103" w:type="dxa"/>
            <w:vAlign w:val="center"/>
          </w:tcPr>
          <w:p w:rsidR="002E1D90" w:rsidRPr="007C51D6" w:rsidRDefault="002E1D90" w:rsidP="002E1D90">
            <w:pPr>
              <w:jc w:val="center"/>
              <w:rPr>
                <w:color w:val="000000"/>
                <w:sz w:val="20"/>
                <w:szCs w:val="20"/>
              </w:rPr>
            </w:pPr>
            <w:r w:rsidRPr="007C51D6">
              <w:rPr>
                <w:color w:val="000000"/>
                <w:sz w:val="20"/>
                <w:szCs w:val="20"/>
              </w:rPr>
              <w:t>23,8</w:t>
            </w:r>
          </w:p>
        </w:tc>
        <w:tc>
          <w:tcPr>
            <w:tcW w:w="1077" w:type="dxa"/>
            <w:vAlign w:val="center"/>
          </w:tcPr>
          <w:p w:rsidR="002E1D90" w:rsidRPr="007C51D6" w:rsidRDefault="002E1D90" w:rsidP="002E1D90">
            <w:pPr>
              <w:jc w:val="center"/>
              <w:rPr>
                <w:color w:val="000000"/>
                <w:sz w:val="20"/>
                <w:szCs w:val="20"/>
              </w:rPr>
            </w:pPr>
            <w:r w:rsidRPr="007C51D6">
              <w:rPr>
                <w:color w:val="000000"/>
                <w:sz w:val="20"/>
                <w:szCs w:val="20"/>
              </w:rPr>
              <w:t>21,6</w:t>
            </w:r>
          </w:p>
        </w:tc>
        <w:tc>
          <w:tcPr>
            <w:tcW w:w="1077" w:type="dxa"/>
            <w:vAlign w:val="center"/>
          </w:tcPr>
          <w:p w:rsidR="002E1D90" w:rsidRPr="007C51D6" w:rsidRDefault="002E1D90" w:rsidP="002E1D90">
            <w:pPr>
              <w:jc w:val="center"/>
              <w:rPr>
                <w:color w:val="000000"/>
                <w:sz w:val="20"/>
                <w:szCs w:val="20"/>
              </w:rPr>
            </w:pPr>
            <w:r w:rsidRPr="007C51D6">
              <w:rPr>
                <w:color w:val="000000"/>
                <w:sz w:val="20"/>
                <w:szCs w:val="20"/>
              </w:rPr>
              <w:t>13.1</w:t>
            </w:r>
          </w:p>
        </w:tc>
      </w:tr>
      <w:tr w:rsidR="002E1D90" w:rsidRPr="007C51D6" w:rsidTr="007541C1">
        <w:trPr>
          <w:trHeight w:val="20"/>
        </w:trPr>
        <w:tc>
          <w:tcPr>
            <w:tcW w:w="4531" w:type="dxa"/>
            <w:shd w:val="clear" w:color="auto" w:fill="auto"/>
          </w:tcPr>
          <w:p w:rsidR="002E1D90" w:rsidRPr="007C51D6" w:rsidRDefault="002E1D90" w:rsidP="002E1D90">
            <w:pPr>
              <w:autoSpaceDE/>
              <w:autoSpaceDN/>
              <w:adjustRightInd/>
              <w:rPr>
                <w:color w:val="000000"/>
                <w:sz w:val="20"/>
                <w:szCs w:val="20"/>
              </w:rPr>
            </w:pPr>
            <w:r w:rsidRPr="007C51D6">
              <w:rPr>
                <w:color w:val="000000"/>
                <w:sz w:val="20"/>
                <w:szCs w:val="20"/>
              </w:rPr>
              <w:t>Рыбно-Слободский</w:t>
            </w:r>
          </w:p>
        </w:tc>
        <w:tc>
          <w:tcPr>
            <w:tcW w:w="1134" w:type="dxa"/>
            <w:shd w:val="clear" w:color="auto" w:fill="auto"/>
            <w:vAlign w:val="center"/>
          </w:tcPr>
          <w:p w:rsidR="002E1D90" w:rsidRPr="007C51D6" w:rsidRDefault="002E1D90" w:rsidP="002E1D90">
            <w:pPr>
              <w:jc w:val="center"/>
              <w:rPr>
                <w:color w:val="000000"/>
                <w:sz w:val="20"/>
                <w:szCs w:val="20"/>
              </w:rPr>
            </w:pPr>
            <w:r w:rsidRPr="007C51D6">
              <w:rPr>
                <w:color w:val="000000"/>
                <w:sz w:val="20"/>
                <w:szCs w:val="20"/>
              </w:rPr>
              <w:t>22,2</w:t>
            </w:r>
          </w:p>
        </w:tc>
        <w:tc>
          <w:tcPr>
            <w:tcW w:w="1012" w:type="dxa"/>
            <w:shd w:val="clear" w:color="auto" w:fill="auto"/>
            <w:vAlign w:val="center"/>
          </w:tcPr>
          <w:p w:rsidR="002E1D90" w:rsidRPr="007C51D6" w:rsidRDefault="002E1D90" w:rsidP="002E1D90">
            <w:pPr>
              <w:jc w:val="center"/>
              <w:rPr>
                <w:color w:val="000000"/>
                <w:sz w:val="20"/>
                <w:szCs w:val="20"/>
              </w:rPr>
            </w:pPr>
            <w:r w:rsidRPr="007C51D6">
              <w:rPr>
                <w:color w:val="000000"/>
                <w:sz w:val="20"/>
                <w:szCs w:val="20"/>
              </w:rPr>
              <w:t>31,5</w:t>
            </w:r>
          </w:p>
        </w:tc>
        <w:tc>
          <w:tcPr>
            <w:tcW w:w="1012" w:type="dxa"/>
            <w:shd w:val="clear" w:color="auto" w:fill="auto"/>
            <w:vAlign w:val="center"/>
          </w:tcPr>
          <w:p w:rsidR="002E1D90" w:rsidRPr="007C51D6" w:rsidRDefault="002E1D90" w:rsidP="002E1D90">
            <w:pPr>
              <w:jc w:val="center"/>
              <w:rPr>
                <w:color w:val="000000"/>
                <w:sz w:val="20"/>
                <w:szCs w:val="20"/>
              </w:rPr>
            </w:pPr>
            <w:r w:rsidRPr="007C51D6">
              <w:rPr>
                <w:color w:val="000000"/>
                <w:sz w:val="20"/>
                <w:szCs w:val="20"/>
              </w:rPr>
              <w:t>28,7</w:t>
            </w:r>
          </w:p>
        </w:tc>
        <w:tc>
          <w:tcPr>
            <w:tcW w:w="1011" w:type="dxa"/>
            <w:shd w:val="clear" w:color="auto" w:fill="auto"/>
            <w:vAlign w:val="center"/>
          </w:tcPr>
          <w:p w:rsidR="002E1D90" w:rsidRPr="007C51D6" w:rsidRDefault="002E1D90" w:rsidP="002E1D90">
            <w:pPr>
              <w:jc w:val="center"/>
              <w:rPr>
                <w:color w:val="000000"/>
                <w:sz w:val="20"/>
                <w:szCs w:val="20"/>
              </w:rPr>
            </w:pPr>
            <w:r w:rsidRPr="007C51D6">
              <w:rPr>
                <w:color w:val="000000"/>
                <w:sz w:val="20"/>
                <w:szCs w:val="20"/>
              </w:rPr>
              <w:t>20,2</w:t>
            </w:r>
          </w:p>
        </w:tc>
        <w:tc>
          <w:tcPr>
            <w:tcW w:w="1012" w:type="dxa"/>
            <w:shd w:val="clear" w:color="auto" w:fill="auto"/>
            <w:vAlign w:val="center"/>
          </w:tcPr>
          <w:p w:rsidR="002E1D90" w:rsidRPr="007C51D6" w:rsidRDefault="002E1D90" w:rsidP="002E1D90">
            <w:pPr>
              <w:jc w:val="center"/>
              <w:rPr>
                <w:color w:val="000000"/>
                <w:sz w:val="20"/>
                <w:szCs w:val="20"/>
              </w:rPr>
            </w:pPr>
            <w:r w:rsidRPr="007C51D6">
              <w:rPr>
                <w:color w:val="000000"/>
                <w:sz w:val="20"/>
                <w:szCs w:val="20"/>
              </w:rPr>
              <w:t>25,8</w:t>
            </w:r>
          </w:p>
        </w:tc>
        <w:tc>
          <w:tcPr>
            <w:tcW w:w="1012" w:type="dxa"/>
            <w:vAlign w:val="center"/>
          </w:tcPr>
          <w:p w:rsidR="002E1D90" w:rsidRPr="007C51D6" w:rsidRDefault="002E1D90" w:rsidP="002E1D90">
            <w:pPr>
              <w:jc w:val="center"/>
              <w:rPr>
                <w:color w:val="000000"/>
                <w:sz w:val="20"/>
                <w:szCs w:val="20"/>
              </w:rPr>
            </w:pPr>
            <w:r w:rsidRPr="007C51D6">
              <w:rPr>
                <w:color w:val="000000"/>
                <w:sz w:val="20"/>
                <w:szCs w:val="20"/>
              </w:rPr>
              <w:t>20,2</w:t>
            </w:r>
          </w:p>
        </w:tc>
        <w:tc>
          <w:tcPr>
            <w:tcW w:w="1109" w:type="dxa"/>
            <w:vAlign w:val="center"/>
          </w:tcPr>
          <w:p w:rsidR="002E1D90" w:rsidRPr="007C51D6" w:rsidRDefault="002E1D90" w:rsidP="002E1D90">
            <w:pPr>
              <w:jc w:val="center"/>
              <w:rPr>
                <w:color w:val="000000"/>
                <w:sz w:val="20"/>
                <w:szCs w:val="20"/>
              </w:rPr>
            </w:pPr>
            <w:r w:rsidRPr="007C51D6">
              <w:rPr>
                <w:color w:val="000000"/>
                <w:sz w:val="20"/>
                <w:szCs w:val="20"/>
              </w:rPr>
              <w:t>16,7</w:t>
            </w:r>
          </w:p>
        </w:tc>
        <w:tc>
          <w:tcPr>
            <w:tcW w:w="1103" w:type="dxa"/>
            <w:vAlign w:val="center"/>
          </w:tcPr>
          <w:p w:rsidR="002E1D90" w:rsidRPr="007C51D6" w:rsidRDefault="002E1D90" w:rsidP="002E1D90">
            <w:pPr>
              <w:jc w:val="center"/>
              <w:rPr>
                <w:color w:val="000000"/>
                <w:sz w:val="20"/>
                <w:szCs w:val="20"/>
              </w:rPr>
            </w:pPr>
            <w:r w:rsidRPr="007C51D6">
              <w:rPr>
                <w:color w:val="000000"/>
                <w:sz w:val="20"/>
                <w:szCs w:val="20"/>
              </w:rPr>
              <w:t>19,6</w:t>
            </w:r>
          </w:p>
        </w:tc>
        <w:tc>
          <w:tcPr>
            <w:tcW w:w="1077" w:type="dxa"/>
            <w:vAlign w:val="center"/>
          </w:tcPr>
          <w:p w:rsidR="002E1D90" w:rsidRPr="007C51D6" w:rsidRDefault="002E1D90" w:rsidP="002E1D90">
            <w:pPr>
              <w:jc w:val="center"/>
              <w:rPr>
                <w:color w:val="000000"/>
                <w:sz w:val="20"/>
                <w:szCs w:val="20"/>
              </w:rPr>
            </w:pPr>
            <w:r w:rsidRPr="007C51D6">
              <w:rPr>
                <w:color w:val="000000"/>
                <w:sz w:val="20"/>
                <w:szCs w:val="20"/>
              </w:rPr>
              <w:t>22,4</w:t>
            </w:r>
          </w:p>
        </w:tc>
        <w:tc>
          <w:tcPr>
            <w:tcW w:w="1077" w:type="dxa"/>
            <w:vAlign w:val="center"/>
          </w:tcPr>
          <w:p w:rsidR="002E1D90" w:rsidRPr="007C51D6" w:rsidRDefault="002E1D90" w:rsidP="002E1D90">
            <w:pPr>
              <w:jc w:val="center"/>
              <w:rPr>
                <w:color w:val="000000"/>
                <w:sz w:val="20"/>
                <w:szCs w:val="20"/>
              </w:rPr>
            </w:pPr>
            <w:r w:rsidRPr="007C51D6">
              <w:rPr>
                <w:color w:val="000000"/>
                <w:sz w:val="20"/>
                <w:szCs w:val="20"/>
              </w:rPr>
              <w:t>22.7</w:t>
            </w:r>
          </w:p>
        </w:tc>
      </w:tr>
      <w:tr w:rsidR="002E1D90" w:rsidRPr="007C51D6" w:rsidTr="007541C1">
        <w:trPr>
          <w:trHeight w:val="20"/>
        </w:trPr>
        <w:tc>
          <w:tcPr>
            <w:tcW w:w="4531" w:type="dxa"/>
            <w:shd w:val="clear" w:color="auto" w:fill="auto"/>
            <w:hideMark/>
          </w:tcPr>
          <w:p w:rsidR="002E1D90" w:rsidRPr="007C51D6" w:rsidRDefault="002E1D90" w:rsidP="002E1D90">
            <w:pPr>
              <w:autoSpaceDE/>
              <w:autoSpaceDN/>
              <w:adjustRightInd/>
              <w:rPr>
                <w:color w:val="000000"/>
                <w:sz w:val="20"/>
                <w:szCs w:val="20"/>
              </w:rPr>
            </w:pPr>
            <w:r w:rsidRPr="007C51D6">
              <w:rPr>
                <w:color w:val="000000"/>
                <w:sz w:val="20"/>
                <w:szCs w:val="20"/>
              </w:rPr>
              <w:t>Сабинский</w:t>
            </w:r>
          </w:p>
        </w:tc>
        <w:tc>
          <w:tcPr>
            <w:tcW w:w="1134" w:type="dxa"/>
            <w:shd w:val="clear" w:color="auto" w:fill="auto"/>
            <w:vAlign w:val="center"/>
          </w:tcPr>
          <w:p w:rsidR="002E1D90" w:rsidRPr="007C51D6" w:rsidRDefault="002E1D90" w:rsidP="002E1D90">
            <w:pPr>
              <w:jc w:val="center"/>
              <w:rPr>
                <w:color w:val="000000"/>
                <w:sz w:val="20"/>
                <w:szCs w:val="20"/>
              </w:rPr>
            </w:pPr>
            <w:r w:rsidRPr="007C51D6">
              <w:rPr>
                <w:color w:val="000000"/>
                <w:sz w:val="20"/>
                <w:szCs w:val="20"/>
              </w:rPr>
              <w:t>14,4</w:t>
            </w:r>
          </w:p>
        </w:tc>
        <w:tc>
          <w:tcPr>
            <w:tcW w:w="1012" w:type="dxa"/>
            <w:shd w:val="clear" w:color="auto" w:fill="auto"/>
            <w:vAlign w:val="center"/>
          </w:tcPr>
          <w:p w:rsidR="002E1D90" w:rsidRPr="007C51D6" w:rsidRDefault="002E1D90" w:rsidP="002E1D90">
            <w:pPr>
              <w:jc w:val="center"/>
              <w:rPr>
                <w:color w:val="000000"/>
                <w:sz w:val="20"/>
                <w:szCs w:val="20"/>
              </w:rPr>
            </w:pPr>
            <w:r w:rsidRPr="007C51D6">
              <w:rPr>
                <w:color w:val="000000"/>
                <w:sz w:val="20"/>
                <w:szCs w:val="20"/>
              </w:rPr>
              <w:t>25,0</w:t>
            </w:r>
          </w:p>
        </w:tc>
        <w:tc>
          <w:tcPr>
            <w:tcW w:w="1012" w:type="dxa"/>
            <w:shd w:val="clear" w:color="auto" w:fill="auto"/>
            <w:vAlign w:val="center"/>
          </w:tcPr>
          <w:p w:rsidR="002E1D90" w:rsidRPr="007C51D6" w:rsidRDefault="002E1D90" w:rsidP="002E1D90">
            <w:pPr>
              <w:jc w:val="center"/>
              <w:rPr>
                <w:color w:val="000000"/>
                <w:sz w:val="20"/>
                <w:szCs w:val="20"/>
              </w:rPr>
            </w:pPr>
            <w:r w:rsidRPr="007C51D6">
              <w:rPr>
                <w:color w:val="000000"/>
                <w:sz w:val="20"/>
                <w:szCs w:val="20"/>
              </w:rPr>
              <w:t>26,5</w:t>
            </w:r>
          </w:p>
        </w:tc>
        <w:tc>
          <w:tcPr>
            <w:tcW w:w="1011" w:type="dxa"/>
            <w:shd w:val="clear" w:color="auto" w:fill="auto"/>
            <w:vAlign w:val="center"/>
          </w:tcPr>
          <w:p w:rsidR="002E1D90" w:rsidRPr="007C51D6" w:rsidRDefault="002E1D90" w:rsidP="002E1D90">
            <w:pPr>
              <w:jc w:val="center"/>
              <w:rPr>
                <w:color w:val="000000"/>
                <w:sz w:val="20"/>
                <w:szCs w:val="20"/>
              </w:rPr>
            </w:pPr>
            <w:r w:rsidRPr="007C51D6">
              <w:rPr>
                <w:color w:val="000000"/>
                <w:sz w:val="20"/>
                <w:szCs w:val="20"/>
              </w:rPr>
              <w:t>29,3</w:t>
            </w:r>
          </w:p>
        </w:tc>
        <w:tc>
          <w:tcPr>
            <w:tcW w:w="1012" w:type="dxa"/>
            <w:shd w:val="clear" w:color="auto" w:fill="auto"/>
            <w:vAlign w:val="center"/>
          </w:tcPr>
          <w:p w:rsidR="002E1D90" w:rsidRPr="007C51D6" w:rsidRDefault="002E1D90" w:rsidP="002E1D90">
            <w:pPr>
              <w:jc w:val="center"/>
              <w:rPr>
                <w:color w:val="000000"/>
                <w:sz w:val="20"/>
                <w:szCs w:val="20"/>
              </w:rPr>
            </w:pPr>
            <w:r w:rsidRPr="007C51D6">
              <w:rPr>
                <w:color w:val="000000"/>
                <w:sz w:val="20"/>
                <w:szCs w:val="20"/>
              </w:rPr>
              <w:t>26,2</w:t>
            </w:r>
          </w:p>
        </w:tc>
        <w:tc>
          <w:tcPr>
            <w:tcW w:w="1012" w:type="dxa"/>
            <w:vAlign w:val="center"/>
          </w:tcPr>
          <w:p w:rsidR="002E1D90" w:rsidRPr="007C51D6" w:rsidRDefault="002E1D90" w:rsidP="002E1D90">
            <w:pPr>
              <w:jc w:val="center"/>
              <w:rPr>
                <w:color w:val="000000"/>
                <w:sz w:val="20"/>
                <w:szCs w:val="20"/>
              </w:rPr>
            </w:pPr>
            <w:r w:rsidRPr="007C51D6">
              <w:rPr>
                <w:color w:val="000000"/>
                <w:sz w:val="20"/>
                <w:szCs w:val="20"/>
              </w:rPr>
              <w:t>19,8</w:t>
            </w:r>
          </w:p>
        </w:tc>
        <w:tc>
          <w:tcPr>
            <w:tcW w:w="1109" w:type="dxa"/>
            <w:vAlign w:val="center"/>
          </w:tcPr>
          <w:p w:rsidR="002E1D90" w:rsidRPr="007C51D6" w:rsidRDefault="002E1D90" w:rsidP="002E1D90">
            <w:pPr>
              <w:jc w:val="center"/>
              <w:rPr>
                <w:color w:val="000000"/>
                <w:sz w:val="20"/>
                <w:szCs w:val="20"/>
              </w:rPr>
            </w:pPr>
            <w:r w:rsidRPr="007C51D6">
              <w:rPr>
                <w:color w:val="000000"/>
                <w:sz w:val="20"/>
                <w:szCs w:val="20"/>
              </w:rPr>
              <w:t>20,6</w:t>
            </w:r>
          </w:p>
        </w:tc>
        <w:tc>
          <w:tcPr>
            <w:tcW w:w="1103" w:type="dxa"/>
            <w:vAlign w:val="center"/>
          </w:tcPr>
          <w:p w:rsidR="002E1D90" w:rsidRPr="007C51D6" w:rsidRDefault="002E1D90" w:rsidP="002E1D90">
            <w:pPr>
              <w:jc w:val="center"/>
              <w:rPr>
                <w:color w:val="000000"/>
                <w:sz w:val="20"/>
                <w:szCs w:val="20"/>
              </w:rPr>
            </w:pPr>
            <w:r w:rsidRPr="007C51D6">
              <w:rPr>
                <w:color w:val="000000"/>
                <w:sz w:val="20"/>
                <w:szCs w:val="20"/>
              </w:rPr>
              <w:t>16,7</w:t>
            </w:r>
          </w:p>
        </w:tc>
        <w:tc>
          <w:tcPr>
            <w:tcW w:w="1077" w:type="dxa"/>
            <w:vAlign w:val="center"/>
          </w:tcPr>
          <w:p w:rsidR="002E1D90" w:rsidRPr="007C51D6" w:rsidRDefault="002E1D90" w:rsidP="002E1D90">
            <w:pPr>
              <w:jc w:val="center"/>
              <w:rPr>
                <w:color w:val="000000"/>
                <w:sz w:val="20"/>
                <w:szCs w:val="20"/>
              </w:rPr>
            </w:pPr>
            <w:r w:rsidRPr="007C51D6">
              <w:rPr>
                <w:color w:val="000000"/>
                <w:sz w:val="20"/>
                <w:szCs w:val="20"/>
              </w:rPr>
              <w:t>13,7</w:t>
            </w:r>
          </w:p>
        </w:tc>
        <w:tc>
          <w:tcPr>
            <w:tcW w:w="1077" w:type="dxa"/>
            <w:vAlign w:val="center"/>
          </w:tcPr>
          <w:p w:rsidR="002E1D90" w:rsidRPr="007C51D6" w:rsidRDefault="002E1D90" w:rsidP="002E1D90">
            <w:pPr>
              <w:jc w:val="center"/>
              <w:rPr>
                <w:color w:val="000000"/>
                <w:sz w:val="20"/>
                <w:szCs w:val="20"/>
              </w:rPr>
            </w:pPr>
            <w:r w:rsidRPr="007C51D6">
              <w:rPr>
                <w:color w:val="000000"/>
                <w:sz w:val="20"/>
                <w:szCs w:val="20"/>
              </w:rPr>
              <w:t>21.1</w:t>
            </w:r>
          </w:p>
        </w:tc>
      </w:tr>
      <w:tr w:rsidR="002E1D90" w:rsidRPr="007C51D6" w:rsidTr="007541C1">
        <w:trPr>
          <w:trHeight w:val="20"/>
        </w:trPr>
        <w:tc>
          <w:tcPr>
            <w:tcW w:w="4531" w:type="dxa"/>
            <w:shd w:val="clear" w:color="auto" w:fill="auto"/>
            <w:hideMark/>
          </w:tcPr>
          <w:p w:rsidR="002E1D90" w:rsidRPr="007C51D6" w:rsidRDefault="002E1D90" w:rsidP="002E1D90">
            <w:pPr>
              <w:autoSpaceDE/>
              <w:autoSpaceDN/>
              <w:adjustRightInd/>
              <w:rPr>
                <w:color w:val="000000"/>
                <w:sz w:val="20"/>
                <w:szCs w:val="20"/>
              </w:rPr>
            </w:pPr>
            <w:r w:rsidRPr="007C51D6">
              <w:rPr>
                <w:color w:val="000000"/>
                <w:sz w:val="20"/>
                <w:szCs w:val="20"/>
              </w:rPr>
              <w:t>Сармановский</w:t>
            </w:r>
          </w:p>
        </w:tc>
        <w:tc>
          <w:tcPr>
            <w:tcW w:w="1134" w:type="dxa"/>
            <w:shd w:val="clear" w:color="auto" w:fill="auto"/>
            <w:vAlign w:val="center"/>
          </w:tcPr>
          <w:p w:rsidR="002E1D90" w:rsidRPr="007C51D6" w:rsidRDefault="002E1D90" w:rsidP="002E1D90">
            <w:pPr>
              <w:jc w:val="center"/>
              <w:rPr>
                <w:color w:val="000000"/>
                <w:sz w:val="20"/>
                <w:szCs w:val="20"/>
              </w:rPr>
            </w:pPr>
            <w:r w:rsidRPr="007C51D6">
              <w:rPr>
                <w:color w:val="000000"/>
                <w:sz w:val="20"/>
                <w:szCs w:val="20"/>
              </w:rPr>
              <w:t>24,0</w:t>
            </w:r>
          </w:p>
        </w:tc>
        <w:tc>
          <w:tcPr>
            <w:tcW w:w="1012" w:type="dxa"/>
            <w:shd w:val="clear" w:color="auto" w:fill="auto"/>
            <w:vAlign w:val="center"/>
          </w:tcPr>
          <w:p w:rsidR="002E1D90" w:rsidRPr="007C51D6" w:rsidRDefault="002E1D90" w:rsidP="002E1D90">
            <w:pPr>
              <w:jc w:val="center"/>
              <w:rPr>
                <w:color w:val="000000"/>
                <w:sz w:val="20"/>
                <w:szCs w:val="20"/>
              </w:rPr>
            </w:pPr>
            <w:r w:rsidRPr="007C51D6">
              <w:rPr>
                <w:color w:val="000000"/>
                <w:sz w:val="20"/>
                <w:szCs w:val="20"/>
              </w:rPr>
              <w:t>21,1</w:t>
            </w:r>
          </w:p>
        </w:tc>
        <w:tc>
          <w:tcPr>
            <w:tcW w:w="1012" w:type="dxa"/>
            <w:shd w:val="clear" w:color="auto" w:fill="auto"/>
            <w:vAlign w:val="center"/>
          </w:tcPr>
          <w:p w:rsidR="002E1D90" w:rsidRPr="007C51D6" w:rsidRDefault="002E1D90" w:rsidP="002E1D90">
            <w:pPr>
              <w:jc w:val="center"/>
              <w:rPr>
                <w:color w:val="000000"/>
                <w:sz w:val="20"/>
                <w:szCs w:val="20"/>
              </w:rPr>
            </w:pPr>
            <w:r w:rsidRPr="007C51D6">
              <w:rPr>
                <w:color w:val="000000"/>
                <w:sz w:val="20"/>
                <w:szCs w:val="20"/>
              </w:rPr>
              <w:t>14,7</w:t>
            </w:r>
          </w:p>
        </w:tc>
        <w:tc>
          <w:tcPr>
            <w:tcW w:w="1011" w:type="dxa"/>
            <w:shd w:val="clear" w:color="auto" w:fill="auto"/>
            <w:vAlign w:val="center"/>
          </w:tcPr>
          <w:p w:rsidR="002E1D90" w:rsidRPr="007C51D6" w:rsidRDefault="002E1D90" w:rsidP="002E1D90">
            <w:pPr>
              <w:jc w:val="center"/>
              <w:rPr>
                <w:color w:val="000000"/>
                <w:sz w:val="20"/>
                <w:szCs w:val="20"/>
              </w:rPr>
            </w:pPr>
            <w:r w:rsidRPr="007C51D6">
              <w:rPr>
                <w:color w:val="000000"/>
                <w:sz w:val="20"/>
                <w:szCs w:val="20"/>
              </w:rPr>
              <w:t>14,5</w:t>
            </w:r>
          </w:p>
        </w:tc>
        <w:tc>
          <w:tcPr>
            <w:tcW w:w="1012" w:type="dxa"/>
            <w:shd w:val="clear" w:color="auto" w:fill="auto"/>
            <w:vAlign w:val="center"/>
          </w:tcPr>
          <w:p w:rsidR="002E1D90" w:rsidRPr="007C51D6" w:rsidRDefault="002E1D90" w:rsidP="002E1D90">
            <w:pPr>
              <w:jc w:val="center"/>
              <w:rPr>
                <w:color w:val="000000"/>
                <w:sz w:val="20"/>
                <w:szCs w:val="20"/>
              </w:rPr>
            </w:pPr>
            <w:r w:rsidRPr="007C51D6">
              <w:rPr>
                <w:color w:val="000000"/>
                <w:sz w:val="20"/>
                <w:szCs w:val="20"/>
              </w:rPr>
              <w:t>13,1</w:t>
            </w:r>
          </w:p>
        </w:tc>
        <w:tc>
          <w:tcPr>
            <w:tcW w:w="1012" w:type="dxa"/>
            <w:vAlign w:val="center"/>
          </w:tcPr>
          <w:p w:rsidR="002E1D90" w:rsidRPr="007C51D6" w:rsidRDefault="002E1D90" w:rsidP="002E1D90">
            <w:pPr>
              <w:jc w:val="center"/>
              <w:rPr>
                <w:color w:val="000000"/>
                <w:sz w:val="20"/>
                <w:szCs w:val="20"/>
              </w:rPr>
            </w:pPr>
            <w:r w:rsidRPr="007C51D6">
              <w:rPr>
                <w:color w:val="000000"/>
                <w:sz w:val="20"/>
                <w:szCs w:val="20"/>
              </w:rPr>
              <w:t>11,7</w:t>
            </w:r>
          </w:p>
        </w:tc>
        <w:tc>
          <w:tcPr>
            <w:tcW w:w="1109" w:type="dxa"/>
            <w:vAlign w:val="center"/>
          </w:tcPr>
          <w:p w:rsidR="002E1D90" w:rsidRPr="007C51D6" w:rsidRDefault="002E1D90" w:rsidP="002E1D90">
            <w:pPr>
              <w:jc w:val="center"/>
              <w:rPr>
                <w:color w:val="000000"/>
                <w:sz w:val="20"/>
                <w:szCs w:val="20"/>
              </w:rPr>
            </w:pPr>
            <w:r w:rsidRPr="007C51D6">
              <w:rPr>
                <w:color w:val="000000"/>
                <w:sz w:val="20"/>
                <w:szCs w:val="20"/>
              </w:rPr>
              <w:t>6,2</w:t>
            </w:r>
          </w:p>
        </w:tc>
        <w:tc>
          <w:tcPr>
            <w:tcW w:w="1103" w:type="dxa"/>
            <w:vAlign w:val="center"/>
          </w:tcPr>
          <w:p w:rsidR="002E1D90" w:rsidRPr="007C51D6" w:rsidRDefault="002E1D90" w:rsidP="002E1D90">
            <w:pPr>
              <w:jc w:val="center"/>
              <w:rPr>
                <w:color w:val="000000"/>
                <w:sz w:val="20"/>
                <w:szCs w:val="20"/>
              </w:rPr>
            </w:pPr>
            <w:r w:rsidRPr="007C51D6">
              <w:rPr>
                <w:color w:val="000000"/>
                <w:sz w:val="20"/>
                <w:szCs w:val="20"/>
              </w:rPr>
              <w:t>15,1</w:t>
            </w:r>
          </w:p>
        </w:tc>
        <w:tc>
          <w:tcPr>
            <w:tcW w:w="1077" w:type="dxa"/>
            <w:vAlign w:val="center"/>
          </w:tcPr>
          <w:p w:rsidR="002E1D90" w:rsidRPr="007C51D6" w:rsidRDefault="002E1D90" w:rsidP="002E1D90">
            <w:pPr>
              <w:jc w:val="center"/>
              <w:rPr>
                <w:color w:val="000000"/>
                <w:sz w:val="20"/>
                <w:szCs w:val="20"/>
              </w:rPr>
            </w:pPr>
            <w:r w:rsidRPr="007C51D6">
              <w:rPr>
                <w:color w:val="000000"/>
                <w:sz w:val="20"/>
                <w:szCs w:val="20"/>
              </w:rPr>
              <w:t>14,7</w:t>
            </w:r>
          </w:p>
        </w:tc>
        <w:tc>
          <w:tcPr>
            <w:tcW w:w="1077" w:type="dxa"/>
            <w:vAlign w:val="center"/>
          </w:tcPr>
          <w:p w:rsidR="002E1D90" w:rsidRPr="007C51D6" w:rsidRDefault="002E1D90" w:rsidP="002E1D90">
            <w:pPr>
              <w:jc w:val="center"/>
              <w:rPr>
                <w:color w:val="000000"/>
                <w:sz w:val="20"/>
                <w:szCs w:val="20"/>
              </w:rPr>
            </w:pPr>
            <w:r w:rsidRPr="007C51D6">
              <w:rPr>
                <w:color w:val="000000"/>
                <w:sz w:val="20"/>
                <w:szCs w:val="20"/>
              </w:rPr>
              <w:t>19.4</w:t>
            </w:r>
          </w:p>
        </w:tc>
      </w:tr>
      <w:tr w:rsidR="002E1D90" w:rsidRPr="007C51D6" w:rsidTr="007541C1">
        <w:trPr>
          <w:trHeight w:val="20"/>
        </w:trPr>
        <w:tc>
          <w:tcPr>
            <w:tcW w:w="4531" w:type="dxa"/>
            <w:shd w:val="clear" w:color="auto" w:fill="auto"/>
            <w:hideMark/>
          </w:tcPr>
          <w:p w:rsidR="002E1D90" w:rsidRPr="007C51D6" w:rsidRDefault="002E1D90" w:rsidP="002E1D90">
            <w:pPr>
              <w:autoSpaceDE/>
              <w:autoSpaceDN/>
              <w:adjustRightInd/>
              <w:rPr>
                <w:color w:val="000000"/>
                <w:sz w:val="20"/>
                <w:szCs w:val="20"/>
              </w:rPr>
            </w:pPr>
            <w:r w:rsidRPr="007C51D6">
              <w:rPr>
                <w:color w:val="000000"/>
                <w:sz w:val="20"/>
                <w:szCs w:val="20"/>
              </w:rPr>
              <w:t>Спасский</w:t>
            </w:r>
          </w:p>
        </w:tc>
        <w:tc>
          <w:tcPr>
            <w:tcW w:w="1134" w:type="dxa"/>
            <w:shd w:val="clear" w:color="auto" w:fill="auto"/>
            <w:vAlign w:val="center"/>
          </w:tcPr>
          <w:p w:rsidR="002E1D90" w:rsidRPr="007C51D6" w:rsidRDefault="002E1D90" w:rsidP="002E1D90">
            <w:pPr>
              <w:jc w:val="center"/>
              <w:rPr>
                <w:color w:val="000000"/>
                <w:sz w:val="20"/>
                <w:szCs w:val="20"/>
              </w:rPr>
            </w:pPr>
            <w:r w:rsidRPr="007C51D6">
              <w:rPr>
                <w:color w:val="000000"/>
                <w:sz w:val="20"/>
                <w:szCs w:val="20"/>
              </w:rPr>
              <w:t>24,2</w:t>
            </w:r>
          </w:p>
        </w:tc>
        <w:tc>
          <w:tcPr>
            <w:tcW w:w="1012" w:type="dxa"/>
            <w:shd w:val="clear" w:color="auto" w:fill="auto"/>
            <w:vAlign w:val="center"/>
          </w:tcPr>
          <w:p w:rsidR="002E1D90" w:rsidRPr="007C51D6" w:rsidRDefault="002E1D90" w:rsidP="002E1D90">
            <w:pPr>
              <w:jc w:val="center"/>
              <w:rPr>
                <w:color w:val="000000"/>
                <w:sz w:val="20"/>
                <w:szCs w:val="20"/>
              </w:rPr>
            </w:pPr>
            <w:r w:rsidRPr="007C51D6">
              <w:rPr>
                <w:color w:val="000000"/>
                <w:sz w:val="20"/>
                <w:szCs w:val="20"/>
              </w:rPr>
              <w:t>19,5</w:t>
            </w:r>
          </w:p>
        </w:tc>
        <w:tc>
          <w:tcPr>
            <w:tcW w:w="1012" w:type="dxa"/>
            <w:shd w:val="clear" w:color="auto" w:fill="auto"/>
            <w:vAlign w:val="center"/>
          </w:tcPr>
          <w:p w:rsidR="002E1D90" w:rsidRPr="007C51D6" w:rsidRDefault="002E1D90" w:rsidP="002E1D90">
            <w:pPr>
              <w:jc w:val="center"/>
              <w:rPr>
                <w:color w:val="000000"/>
                <w:sz w:val="20"/>
                <w:szCs w:val="20"/>
              </w:rPr>
            </w:pPr>
            <w:r w:rsidRPr="007C51D6">
              <w:rPr>
                <w:color w:val="000000"/>
                <w:sz w:val="20"/>
                <w:szCs w:val="20"/>
              </w:rPr>
              <w:t>26,4</w:t>
            </w:r>
          </w:p>
        </w:tc>
        <w:tc>
          <w:tcPr>
            <w:tcW w:w="1011" w:type="dxa"/>
            <w:shd w:val="clear" w:color="auto" w:fill="auto"/>
            <w:vAlign w:val="center"/>
          </w:tcPr>
          <w:p w:rsidR="002E1D90" w:rsidRPr="007C51D6" w:rsidRDefault="002E1D90" w:rsidP="002E1D90">
            <w:pPr>
              <w:jc w:val="center"/>
              <w:rPr>
                <w:color w:val="000000"/>
                <w:sz w:val="20"/>
                <w:szCs w:val="20"/>
              </w:rPr>
            </w:pPr>
            <w:r w:rsidRPr="007C51D6">
              <w:rPr>
                <w:color w:val="000000"/>
                <w:sz w:val="20"/>
                <w:szCs w:val="20"/>
              </w:rPr>
              <w:t>19,8</w:t>
            </w:r>
          </w:p>
        </w:tc>
        <w:tc>
          <w:tcPr>
            <w:tcW w:w="1012" w:type="dxa"/>
            <w:shd w:val="clear" w:color="auto" w:fill="auto"/>
            <w:vAlign w:val="center"/>
          </w:tcPr>
          <w:p w:rsidR="002E1D90" w:rsidRPr="007C51D6" w:rsidRDefault="002E1D90" w:rsidP="002E1D90">
            <w:pPr>
              <w:jc w:val="center"/>
              <w:rPr>
                <w:color w:val="000000"/>
                <w:sz w:val="20"/>
                <w:szCs w:val="20"/>
              </w:rPr>
            </w:pPr>
            <w:r w:rsidRPr="007C51D6">
              <w:rPr>
                <w:color w:val="000000"/>
                <w:sz w:val="20"/>
                <w:szCs w:val="20"/>
              </w:rPr>
              <w:t>22,7</w:t>
            </w:r>
          </w:p>
        </w:tc>
        <w:tc>
          <w:tcPr>
            <w:tcW w:w="1012" w:type="dxa"/>
            <w:vAlign w:val="center"/>
          </w:tcPr>
          <w:p w:rsidR="002E1D90" w:rsidRPr="007C51D6" w:rsidRDefault="002E1D90" w:rsidP="002E1D90">
            <w:pPr>
              <w:jc w:val="center"/>
              <w:rPr>
                <w:color w:val="000000"/>
                <w:sz w:val="20"/>
                <w:szCs w:val="20"/>
              </w:rPr>
            </w:pPr>
            <w:r w:rsidRPr="007C51D6">
              <w:rPr>
                <w:color w:val="000000"/>
                <w:sz w:val="20"/>
                <w:szCs w:val="20"/>
              </w:rPr>
              <w:t>22,7</w:t>
            </w:r>
          </w:p>
        </w:tc>
        <w:tc>
          <w:tcPr>
            <w:tcW w:w="1109" w:type="dxa"/>
            <w:vAlign w:val="center"/>
          </w:tcPr>
          <w:p w:rsidR="002E1D90" w:rsidRPr="007C51D6" w:rsidRDefault="002E1D90" w:rsidP="002E1D90">
            <w:pPr>
              <w:jc w:val="center"/>
              <w:rPr>
                <w:color w:val="000000"/>
                <w:sz w:val="20"/>
                <w:szCs w:val="20"/>
              </w:rPr>
            </w:pPr>
            <w:r w:rsidRPr="007C51D6">
              <w:rPr>
                <w:color w:val="000000"/>
                <w:sz w:val="20"/>
                <w:szCs w:val="20"/>
              </w:rPr>
              <w:t>15,8</w:t>
            </w:r>
          </w:p>
        </w:tc>
        <w:tc>
          <w:tcPr>
            <w:tcW w:w="1103" w:type="dxa"/>
            <w:vAlign w:val="center"/>
          </w:tcPr>
          <w:p w:rsidR="002E1D90" w:rsidRPr="007C51D6" w:rsidRDefault="002E1D90" w:rsidP="002E1D90">
            <w:pPr>
              <w:jc w:val="center"/>
              <w:rPr>
                <w:color w:val="000000"/>
                <w:sz w:val="20"/>
                <w:szCs w:val="20"/>
              </w:rPr>
            </w:pPr>
            <w:r w:rsidRPr="007C51D6">
              <w:rPr>
                <w:color w:val="000000"/>
                <w:sz w:val="20"/>
                <w:szCs w:val="20"/>
              </w:rPr>
              <w:t>21,5</w:t>
            </w:r>
          </w:p>
        </w:tc>
        <w:tc>
          <w:tcPr>
            <w:tcW w:w="1077" w:type="dxa"/>
            <w:vAlign w:val="center"/>
          </w:tcPr>
          <w:p w:rsidR="002E1D90" w:rsidRPr="007C51D6" w:rsidRDefault="002E1D90" w:rsidP="002E1D90">
            <w:pPr>
              <w:jc w:val="center"/>
              <w:rPr>
                <w:color w:val="000000"/>
                <w:sz w:val="20"/>
                <w:szCs w:val="20"/>
              </w:rPr>
            </w:pPr>
            <w:r w:rsidRPr="007C51D6">
              <w:rPr>
                <w:color w:val="000000"/>
                <w:sz w:val="20"/>
                <w:szCs w:val="20"/>
              </w:rPr>
              <w:t>15,3</w:t>
            </w:r>
          </w:p>
        </w:tc>
        <w:tc>
          <w:tcPr>
            <w:tcW w:w="1077" w:type="dxa"/>
            <w:vAlign w:val="center"/>
          </w:tcPr>
          <w:p w:rsidR="002E1D90" w:rsidRPr="007C51D6" w:rsidRDefault="002E1D90" w:rsidP="002E1D90">
            <w:pPr>
              <w:jc w:val="center"/>
              <w:rPr>
                <w:color w:val="000000"/>
                <w:sz w:val="20"/>
                <w:szCs w:val="20"/>
              </w:rPr>
            </w:pPr>
            <w:r w:rsidRPr="007C51D6">
              <w:rPr>
                <w:color w:val="000000"/>
                <w:sz w:val="20"/>
                <w:szCs w:val="20"/>
              </w:rPr>
              <w:t>17.7</w:t>
            </w:r>
          </w:p>
        </w:tc>
      </w:tr>
      <w:tr w:rsidR="002E1D90" w:rsidRPr="007C51D6" w:rsidTr="007541C1">
        <w:trPr>
          <w:trHeight w:val="20"/>
        </w:trPr>
        <w:tc>
          <w:tcPr>
            <w:tcW w:w="4531" w:type="dxa"/>
            <w:shd w:val="clear" w:color="auto" w:fill="auto"/>
            <w:hideMark/>
          </w:tcPr>
          <w:p w:rsidR="002E1D90" w:rsidRPr="007C51D6" w:rsidRDefault="002E1D90" w:rsidP="002E1D90">
            <w:pPr>
              <w:autoSpaceDE/>
              <w:autoSpaceDN/>
              <w:adjustRightInd/>
              <w:rPr>
                <w:color w:val="000000"/>
                <w:sz w:val="20"/>
                <w:szCs w:val="20"/>
              </w:rPr>
            </w:pPr>
            <w:r w:rsidRPr="007C51D6">
              <w:rPr>
                <w:color w:val="000000"/>
                <w:sz w:val="20"/>
                <w:szCs w:val="20"/>
              </w:rPr>
              <w:t>Тетюшский</w:t>
            </w:r>
          </w:p>
        </w:tc>
        <w:tc>
          <w:tcPr>
            <w:tcW w:w="1134" w:type="dxa"/>
            <w:shd w:val="clear" w:color="auto" w:fill="auto"/>
            <w:vAlign w:val="center"/>
          </w:tcPr>
          <w:p w:rsidR="002E1D90" w:rsidRPr="007C51D6" w:rsidRDefault="002E1D90" w:rsidP="002E1D90">
            <w:pPr>
              <w:jc w:val="center"/>
              <w:rPr>
                <w:color w:val="000000"/>
                <w:sz w:val="20"/>
                <w:szCs w:val="20"/>
              </w:rPr>
            </w:pPr>
            <w:r w:rsidRPr="007C51D6">
              <w:rPr>
                <w:color w:val="000000"/>
                <w:sz w:val="20"/>
                <w:szCs w:val="20"/>
              </w:rPr>
              <w:t>20,8</w:t>
            </w:r>
          </w:p>
        </w:tc>
        <w:tc>
          <w:tcPr>
            <w:tcW w:w="1012" w:type="dxa"/>
            <w:shd w:val="clear" w:color="auto" w:fill="auto"/>
            <w:vAlign w:val="center"/>
          </w:tcPr>
          <w:p w:rsidR="002E1D90" w:rsidRPr="007C51D6" w:rsidRDefault="002E1D90" w:rsidP="002E1D90">
            <w:pPr>
              <w:jc w:val="center"/>
              <w:rPr>
                <w:color w:val="000000"/>
                <w:sz w:val="20"/>
                <w:szCs w:val="20"/>
              </w:rPr>
            </w:pPr>
            <w:r w:rsidRPr="007C51D6">
              <w:rPr>
                <w:color w:val="000000"/>
                <w:sz w:val="20"/>
                <w:szCs w:val="20"/>
              </w:rPr>
              <w:t>36,7</w:t>
            </w:r>
          </w:p>
        </w:tc>
        <w:tc>
          <w:tcPr>
            <w:tcW w:w="1012" w:type="dxa"/>
            <w:shd w:val="clear" w:color="auto" w:fill="auto"/>
            <w:vAlign w:val="center"/>
          </w:tcPr>
          <w:p w:rsidR="002E1D90" w:rsidRPr="007C51D6" w:rsidRDefault="002E1D90" w:rsidP="002E1D90">
            <w:pPr>
              <w:jc w:val="center"/>
              <w:rPr>
                <w:color w:val="000000"/>
                <w:sz w:val="20"/>
                <w:szCs w:val="20"/>
              </w:rPr>
            </w:pPr>
            <w:r w:rsidRPr="007C51D6">
              <w:rPr>
                <w:color w:val="000000"/>
                <w:sz w:val="20"/>
                <w:szCs w:val="20"/>
              </w:rPr>
              <w:t>34,4</w:t>
            </w:r>
          </w:p>
        </w:tc>
        <w:tc>
          <w:tcPr>
            <w:tcW w:w="1011" w:type="dxa"/>
            <w:shd w:val="clear" w:color="auto" w:fill="auto"/>
            <w:vAlign w:val="center"/>
          </w:tcPr>
          <w:p w:rsidR="002E1D90" w:rsidRPr="007C51D6" w:rsidRDefault="002E1D90" w:rsidP="002E1D90">
            <w:pPr>
              <w:jc w:val="center"/>
              <w:rPr>
                <w:color w:val="000000"/>
                <w:sz w:val="20"/>
                <w:szCs w:val="20"/>
              </w:rPr>
            </w:pPr>
            <w:r w:rsidRPr="007C51D6">
              <w:rPr>
                <w:color w:val="000000"/>
                <w:sz w:val="20"/>
                <w:szCs w:val="20"/>
              </w:rPr>
              <w:t>29,8</w:t>
            </w:r>
          </w:p>
        </w:tc>
        <w:tc>
          <w:tcPr>
            <w:tcW w:w="1012" w:type="dxa"/>
            <w:shd w:val="clear" w:color="auto" w:fill="auto"/>
            <w:vAlign w:val="center"/>
          </w:tcPr>
          <w:p w:rsidR="002E1D90" w:rsidRPr="007C51D6" w:rsidRDefault="002E1D90" w:rsidP="002E1D90">
            <w:pPr>
              <w:jc w:val="center"/>
              <w:rPr>
                <w:color w:val="000000"/>
                <w:sz w:val="20"/>
                <w:szCs w:val="20"/>
              </w:rPr>
            </w:pPr>
            <w:r w:rsidRPr="007C51D6">
              <w:rPr>
                <w:color w:val="000000"/>
                <w:sz w:val="20"/>
                <w:szCs w:val="20"/>
              </w:rPr>
              <w:t>24,2</w:t>
            </w:r>
          </w:p>
        </w:tc>
        <w:tc>
          <w:tcPr>
            <w:tcW w:w="1012" w:type="dxa"/>
            <w:vAlign w:val="center"/>
          </w:tcPr>
          <w:p w:rsidR="002E1D90" w:rsidRPr="007C51D6" w:rsidRDefault="002E1D90" w:rsidP="002E1D90">
            <w:pPr>
              <w:jc w:val="center"/>
              <w:rPr>
                <w:color w:val="000000"/>
                <w:sz w:val="20"/>
                <w:szCs w:val="20"/>
              </w:rPr>
            </w:pPr>
            <w:r w:rsidRPr="007C51D6">
              <w:rPr>
                <w:color w:val="000000"/>
                <w:sz w:val="20"/>
                <w:szCs w:val="20"/>
              </w:rPr>
              <w:t>26,1</w:t>
            </w:r>
          </w:p>
        </w:tc>
        <w:tc>
          <w:tcPr>
            <w:tcW w:w="1109" w:type="dxa"/>
            <w:vAlign w:val="center"/>
          </w:tcPr>
          <w:p w:rsidR="002E1D90" w:rsidRPr="007C51D6" w:rsidRDefault="002E1D90" w:rsidP="002E1D90">
            <w:pPr>
              <w:jc w:val="center"/>
              <w:rPr>
                <w:color w:val="000000"/>
                <w:sz w:val="20"/>
                <w:szCs w:val="20"/>
              </w:rPr>
            </w:pPr>
            <w:r w:rsidRPr="007C51D6">
              <w:rPr>
                <w:color w:val="000000"/>
                <w:sz w:val="20"/>
                <w:szCs w:val="20"/>
              </w:rPr>
              <w:t>15,7</w:t>
            </w:r>
          </w:p>
        </w:tc>
        <w:tc>
          <w:tcPr>
            <w:tcW w:w="1103" w:type="dxa"/>
            <w:vAlign w:val="center"/>
          </w:tcPr>
          <w:p w:rsidR="002E1D90" w:rsidRPr="007C51D6" w:rsidRDefault="002E1D90" w:rsidP="002E1D90">
            <w:pPr>
              <w:jc w:val="center"/>
              <w:rPr>
                <w:color w:val="000000"/>
                <w:sz w:val="20"/>
                <w:szCs w:val="20"/>
              </w:rPr>
            </w:pPr>
            <w:r w:rsidRPr="007C51D6">
              <w:rPr>
                <w:color w:val="000000"/>
                <w:sz w:val="20"/>
                <w:szCs w:val="20"/>
              </w:rPr>
              <w:t>19,2</w:t>
            </w:r>
          </w:p>
        </w:tc>
        <w:tc>
          <w:tcPr>
            <w:tcW w:w="1077" w:type="dxa"/>
            <w:vAlign w:val="center"/>
          </w:tcPr>
          <w:p w:rsidR="002E1D90" w:rsidRPr="007C51D6" w:rsidRDefault="002E1D90" w:rsidP="002E1D90">
            <w:pPr>
              <w:jc w:val="center"/>
              <w:rPr>
                <w:color w:val="000000"/>
                <w:sz w:val="20"/>
                <w:szCs w:val="20"/>
              </w:rPr>
            </w:pPr>
            <w:r w:rsidRPr="007C51D6">
              <w:rPr>
                <w:color w:val="000000"/>
                <w:sz w:val="20"/>
                <w:szCs w:val="20"/>
              </w:rPr>
              <w:t>20,4</w:t>
            </w:r>
          </w:p>
        </w:tc>
        <w:tc>
          <w:tcPr>
            <w:tcW w:w="1077" w:type="dxa"/>
            <w:vAlign w:val="center"/>
          </w:tcPr>
          <w:p w:rsidR="002E1D90" w:rsidRPr="007C51D6" w:rsidRDefault="002E1D90" w:rsidP="002E1D90">
            <w:pPr>
              <w:jc w:val="center"/>
              <w:rPr>
                <w:color w:val="000000"/>
                <w:sz w:val="20"/>
                <w:szCs w:val="20"/>
              </w:rPr>
            </w:pPr>
            <w:r w:rsidRPr="007C51D6">
              <w:rPr>
                <w:color w:val="000000"/>
                <w:sz w:val="20"/>
                <w:szCs w:val="20"/>
              </w:rPr>
              <w:t>26.3</w:t>
            </w:r>
          </w:p>
        </w:tc>
      </w:tr>
      <w:tr w:rsidR="002E1D90" w:rsidRPr="007C51D6" w:rsidTr="007541C1">
        <w:trPr>
          <w:trHeight w:val="20"/>
        </w:trPr>
        <w:tc>
          <w:tcPr>
            <w:tcW w:w="4531" w:type="dxa"/>
            <w:shd w:val="clear" w:color="auto" w:fill="auto"/>
            <w:hideMark/>
          </w:tcPr>
          <w:p w:rsidR="002E1D90" w:rsidRPr="007C51D6" w:rsidRDefault="002E1D90" w:rsidP="002E1D90">
            <w:pPr>
              <w:autoSpaceDE/>
              <w:autoSpaceDN/>
              <w:adjustRightInd/>
              <w:rPr>
                <w:color w:val="000000"/>
                <w:sz w:val="20"/>
                <w:szCs w:val="20"/>
              </w:rPr>
            </w:pPr>
            <w:r w:rsidRPr="007C51D6">
              <w:rPr>
                <w:color w:val="000000"/>
                <w:sz w:val="20"/>
                <w:szCs w:val="20"/>
              </w:rPr>
              <w:t>Тукаевский</w:t>
            </w:r>
          </w:p>
        </w:tc>
        <w:tc>
          <w:tcPr>
            <w:tcW w:w="1134" w:type="dxa"/>
            <w:shd w:val="clear" w:color="auto" w:fill="auto"/>
            <w:vAlign w:val="center"/>
          </w:tcPr>
          <w:p w:rsidR="002E1D90" w:rsidRPr="007C51D6" w:rsidRDefault="002E1D90" w:rsidP="002E1D90">
            <w:pPr>
              <w:jc w:val="center"/>
              <w:rPr>
                <w:color w:val="000000"/>
                <w:sz w:val="20"/>
                <w:szCs w:val="20"/>
              </w:rPr>
            </w:pPr>
            <w:r w:rsidRPr="007C51D6">
              <w:rPr>
                <w:color w:val="000000"/>
                <w:sz w:val="20"/>
                <w:szCs w:val="20"/>
              </w:rPr>
              <w:t>28,3</w:t>
            </w:r>
          </w:p>
        </w:tc>
        <w:tc>
          <w:tcPr>
            <w:tcW w:w="1012" w:type="dxa"/>
            <w:shd w:val="clear" w:color="auto" w:fill="auto"/>
            <w:vAlign w:val="center"/>
          </w:tcPr>
          <w:p w:rsidR="002E1D90" w:rsidRPr="007C51D6" w:rsidRDefault="002E1D90" w:rsidP="002E1D90">
            <w:pPr>
              <w:jc w:val="center"/>
              <w:rPr>
                <w:color w:val="000000"/>
                <w:sz w:val="20"/>
                <w:szCs w:val="20"/>
              </w:rPr>
            </w:pPr>
            <w:r w:rsidRPr="007C51D6">
              <w:rPr>
                <w:color w:val="000000"/>
                <w:sz w:val="20"/>
                <w:szCs w:val="20"/>
              </w:rPr>
              <w:t>19,4</w:t>
            </w:r>
          </w:p>
        </w:tc>
        <w:tc>
          <w:tcPr>
            <w:tcW w:w="1012" w:type="dxa"/>
            <w:shd w:val="clear" w:color="auto" w:fill="auto"/>
            <w:vAlign w:val="center"/>
          </w:tcPr>
          <w:p w:rsidR="002E1D90" w:rsidRPr="007C51D6" w:rsidRDefault="002E1D90" w:rsidP="002E1D90">
            <w:pPr>
              <w:jc w:val="center"/>
              <w:rPr>
                <w:color w:val="000000"/>
                <w:sz w:val="20"/>
                <w:szCs w:val="20"/>
              </w:rPr>
            </w:pPr>
            <w:r w:rsidRPr="007C51D6">
              <w:rPr>
                <w:color w:val="000000"/>
                <w:sz w:val="20"/>
                <w:szCs w:val="20"/>
              </w:rPr>
              <w:t>21,1</w:t>
            </w:r>
          </w:p>
        </w:tc>
        <w:tc>
          <w:tcPr>
            <w:tcW w:w="1011" w:type="dxa"/>
            <w:shd w:val="clear" w:color="auto" w:fill="auto"/>
            <w:vAlign w:val="center"/>
          </w:tcPr>
          <w:p w:rsidR="002E1D90" w:rsidRPr="007C51D6" w:rsidRDefault="002E1D90" w:rsidP="002E1D90">
            <w:pPr>
              <w:jc w:val="center"/>
              <w:rPr>
                <w:color w:val="000000"/>
                <w:sz w:val="20"/>
                <w:szCs w:val="20"/>
              </w:rPr>
            </w:pPr>
            <w:r w:rsidRPr="007C51D6">
              <w:rPr>
                <w:color w:val="000000"/>
                <w:sz w:val="20"/>
                <w:szCs w:val="20"/>
              </w:rPr>
              <w:t>21,4</w:t>
            </w:r>
          </w:p>
        </w:tc>
        <w:tc>
          <w:tcPr>
            <w:tcW w:w="1012" w:type="dxa"/>
            <w:shd w:val="clear" w:color="auto" w:fill="auto"/>
            <w:vAlign w:val="center"/>
          </w:tcPr>
          <w:p w:rsidR="002E1D90" w:rsidRPr="007C51D6" w:rsidRDefault="002E1D90" w:rsidP="002E1D90">
            <w:pPr>
              <w:jc w:val="center"/>
              <w:rPr>
                <w:color w:val="000000"/>
                <w:sz w:val="20"/>
                <w:szCs w:val="20"/>
              </w:rPr>
            </w:pPr>
            <w:r w:rsidRPr="007C51D6">
              <w:rPr>
                <w:color w:val="000000"/>
                <w:sz w:val="20"/>
                <w:szCs w:val="20"/>
              </w:rPr>
              <w:t>29,4</w:t>
            </w:r>
          </w:p>
        </w:tc>
        <w:tc>
          <w:tcPr>
            <w:tcW w:w="1012" w:type="dxa"/>
            <w:vAlign w:val="center"/>
          </w:tcPr>
          <w:p w:rsidR="002E1D90" w:rsidRPr="007C51D6" w:rsidRDefault="002E1D90" w:rsidP="002E1D90">
            <w:pPr>
              <w:jc w:val="center"/>
              <w:rPr>
                <w:color w:val="000000"/>
                <w:sz w:val="20"/>
                <w:szCs w:val="20"/>
              </w:rPr>
            </w:pPr>
            <w:r w:rsidRPr="007C51D6">
              <w:rPr>
                <w:color w:val="000000"/>
                <w:sz w:val="20"/>
                <w:szCs w:val="20"/>
              </w:rPr>
              <w:t>17,6</w:t>
            </w:r>
          </w:p>
        </w:tc>
        <w:tc>
          <w:tcPr>
            <w:tcW w:w="1109" w:type="dxa"/>
            <w:vAlign w:val="center"/>
          </w:tcPr>
          <w:p w:rsidR="002E1D90" w:rsidRPr="007C51D6" w:rsidRDefault="002E1D90" w:rsidP="002E1D90">
            <w:pPr>
              <w:jc w:val="center"/>
              <w:rPr>
                <w:color w:val="000000"/>
                <w:sz w:val="20"/>
                <w:szCs w:val="20"/>
              </w:rPr>
            </w:pPr>
            <w:r w:rsidRPr="007C51D6">
              <w:rPr>
                <w:color w:val="000000"/>
                <w:sz w:val="20"/>
                <w:szCs w:val="20"/>
              </w:rPr>
              <w:t>17,9</w:t>
            </w:r>
          </w:p>
        </w:tc>
        <w:tc>
          <w:tcPr>
            <w:tcW w:w="1103" w:type="dxa"/>
            <w:vAlign w:val="center"/>
          </w:tcPr>
          <w:p w:rsidR="002E1D90" w:rsidRPr="007C51D6" w:rsidRDefault="002E1D90" w:rsidP="002E1D90">
            <w:pPr>
              <w:jc w:val="center"/>
              <w:rPr>
                <w:color w:val="000000"/>
                <w:sz w:val="20"/>
                <w:szCs w:val="20"/>
              </w:rPr>
            </w:pPr>
            <w:r w:rsidRPr="007C51D6">
              <w:rPr>
                <w:color w:val="000000"/>
                <w:sz w:val="20"/>
                <w:szCs w:val="20"/>
              </w:rPr>
              <w:t>18,2</w:t>
            </w:r>
          </w:p>
        </w:tc>
        <w:tc>
          <w:tcPr>
            <w:tcW w:w="1077" w:type="dxa"/>
            <w:vAlign w:val="center"/>
          </w:tcPr>
          <w:p w:rsidR="002E1D90" w:rsidRPr="007C51D6" w:rsidRDefault="002E1D90" w:rsidP="002E1D90">
            <w:pPr>
              <w:jc w:val="center"/>
              <w:rPr>
                <w:color w:val="000000"/>
                <w:sz w:val="20"/>
                <w:szCs w:val="20"/>
              </w:rPr>
            </w:pPr>
            <w:r w:rsidRPr="007C51D6">
              <w:rPr>
                <w:color w:val="000000"/>
                <w:sz w:val="20"/>
                <w:szCs w:val="20"/>
              </w:rPr>
              <w:t>13,0</w:t>
            </w:r>
          </w:p>
        </w:tc>
        <w:tc>
          <w:tcPr>
            <w:tcW w:w="1077" w:type="dxa"/>
            <w:vAlign w:val="center"/>
          </w:tcPr>
          <w:p w:rsidR="002E1D90" w:rsidRPr="007C51D6" w:rsidRDefault="002E1D90" w:rsidP="002E1D90">
            <w:pPr>
              <w:jc w:val="center"/>
              <w:rPr>
                <w:color w:val="000000"/>
                <w:sz w:val="20"/>
                <w:szCs w:val="20"/>
              </w:rPr>
            </w:pPr>
            <w:r w:rsidRPr="007C51D6">
              <w:rPr>
                <w:color w:val="000000"/>
                <w:sz w:val="20"/>
                <w:szCs w:val="20"/>
              </w:rPr>
              <w:t>8.7</w:t>
            </w:r>
          </w:p>
        </w:tc>
      </w:tr>
      <w:tr w:rsidR="002E1D90" w:rsidRPr="007C51D6" w:rsidTr="007541C1">
        <w:trPr>
          <w:trHeight w:val="20"/>
        </w:trPr>
        <w:tc>
          <w:tcPr>
            <w:tcW w:w="4531" w:type="dxa"/>
            <w:shd w:val="clear" w:color="auto" w:fill="auto"/>
            <w:hideMark/>
          </w:tcPr>
          <w:p w:rsidR="002E1D90" w:rsidRPr="007C51D6" w:rsidRDefault="002E1D90" w:rsidP="002E1D90">
            <w:pPr>
              <w:autoSpaceDE/>
              <w:autoSpaceDN/>
              <w:adjustRightInd/>
              <w:rPr>
                <w:color w:val="000000"/>
                <w:sz w:val="20"/>
                <w:szCs w:val="20"/>
              </w:rPr>
            </w:pPr>
            <w:r w:rsidRPr="007C51D6">
              <w:rPr>
                <w:color w:val="000000"/>
                <w:sz w:val="20"/>
                <w:szCs w:val="20"/>
              </w:rPr>
              <w:t>Тюлячинский</w:t>
            </w:r>
          </w:p>
        </w:tc>
        <w:tc>
          <w:tcPr>
            <w:tcW w:w="1134" w:type="dxa"/>
            <w:shd w:val="clear" w:color="auto" w:fill="auto"/>
            <w:vAlign w:val="center"/>
          </w:tcPr>
          <w:p w:rsidR="002E1D90" w:rsidRPr="007C51D6" w:rsidRDefault="002E1D90" w:rsidP="002E1D90">
            <w:pPr>
              <w:jc w:val="center"/>
              <w:rPr>
                <w:color w:val="000000"/>
                <w:sz w:val="20"/>
                <w:szCs w:val="20"/>
              </w:rPr>
            </w:pPr>
            <w:r w:rsidRPr="007C51D6">
              <w:rPr>
                <w:color w:val="000000"/>
                <w:sz w:val="20"/>
                <w:szCs w:val="20"/>
              </w:rPr>
              <w:t>18,9</w:t>
            </w:r>
          </w:p>
        </w:tc>
        <w:tc>
          <w:tcPr>
            <w:tcW w:w="1012" w:type="dxa"/>
            <w:shd w:val="clear" w:color="auto" w:fill="auto"/>
            <w:vAlign w:val="center"/>
          </w:tcPr>
          <w:p w:rsidR="002E1D90" w:rsidRPr="007C51D6" w:rsidRDefault="002E1D90" w:rsidP="002E1D90">
            <w:pPr>
              <w:jc w:val="center"/>
              <w:rPr>
                <w:color w:val="000000"/>
                <w:sz w:val="20"/>
                <w:szCs w:val="20"/>
              </w:rPr>
            </w:pPr>
            <w:r w:rsidRPr="007C51D6">
              <w:rPr>
                <w:color w:val="000000"/>
                <w:sz w:val="20"/>
                <w:szCs w:val="20"/>
              </w:rPr>
              <w:t>30,9</w:t>
            </w:r>
          </w:p>
        </w:tc>
        <w:tc>
          <w:tcPr>
            <w:tcW w:w="1012" w:type="dxa"/>
            <w:shd w:val="clear" w:color="auto" w:fill="auto"/>
            <w:vAlign w:val="center"/>
          </w:tcPr>
          <w:p w:rsidR="002E1D90" w:rsidRPr="007C51D6" w:rsidRDefault="002E1D90" w:rsidP="002E1D90">
            <w:pPr>
              <w:jc w:val="center"/>
              <w:rPr>
                <w:color w:val="000000"/>
                <w:sz w:val="20"/>
                <w:szCs w:val="20"/>
              </w:rPr>
            </w:pPr>
            <w:r w:rsidRPr="007C51D6">
              <w:rPr>
                <w:color w:val="000000"/>
                <w:sz w:val="20"/>
                <w:szCs w:val="20"/>
              </w:rPr>
              <w:t>27,1</w:t>
            </w:r>
          </w:p>
        </w:tc>
        <w:tc>
          <w:tcPr>
            <w:tcW w:w="1011" w:type="dxa"/>
            <w:shd w:val="clear" w:color="auto" w:fill="auto"/>
            <w:vAlign w:val="center"/>
          </w:tcPr>
          <w:p w:rsidR="002E1D90" w:rsidRPr="007C51D6" w:rsidRDefault="002E1D90" w:rsidP="002E1D90">
            <w:pPr>
              <w:jc w:val="center"/>
              <w:rPr>
                <w:color w:val="000000"/>
                <w:sz w:val="20"/>
                <w:szCs w:val="20"/>
              </w:rPr>
            </w:pPr>
            <w:r w:rsidRPr="007C51D6">
              <w:rPr>
                <w:color w:val="000000"/>
                <w:sz w:val="20"/>
                <w:szCs w:val="20"/>
              </w:rPr>
              <w:t>30,2</w:t>
            </w:r>
          </w:p>
        </w:tc>
        <w:tc>
          <w:tcPr>
            <w:tcW w:w="1012" w:type="dxa"/>
            <w:shd w:val="clear" w:color="auto" w:fill="auto"/>
            <w:vAlign w:val="center"/>
          </w:tcPr>
          <w:p w:rsidR="002E1D90" w:rsidRPr="007C51D6" w:rsidRDefault="002E1D90" w:rsidP="002E1D90">
            <w:pPr>
              <w:jc w:val="center"/>
              <w:rPr>
                <w:color w:val="000000"/>
                <w:sz w:val="20"/>
                <w:szCs w:val="20"/>
              </w:rPr>
            </w:pPr>
            <w:r w:rsidRPr="007C51D6">
              <w:rPr>
                <w:color w:val="000000"/>
                <w:sz w:val="20"/>
                <w:szCs w:val="20"/>
              </w:rPr>
              <w:t>27,1</w:t>
            </w:r>
          </w:p>
        </w:tc>
        <w:tc>
          <w:tcPr>
            <w:tcW w:w="1012" w:type="dxa"/>
            <w:vAlign w:val="center"/>
          </w:tcPr>
          <w:p w:rsidR="002E1D90" w:rsidRPr="007C51D6" w:rsidRDefault="002E1D90" w:rsidP="002E1D90">
            <w:pPr>
              <w:jc w:val="center"/>
              <w:rPr>
                <w:color w:val="000000"/>
                <w:sz w:val="20"/>
                <w:szCs w:val="20"/>
              </w:rPr>
            </w:pPr>
            <w:r w:rsidRPr="007C51D6">
              <w:rPr>
                <w:color w:val="000000"/>
                <w:sz w:val="20"/>
                <w:szCs w:val="20"/>
              </w:rPr>
              <w:t>23,8</w:t>
            </w:r>
          </w:p>
        </w:tc>
        <w:tc>
          <w:tcPr>
            <w:tcW w:w="1109" w:type="dxa"/>
            <w:vAlign w:val="center"/>
          </w:tcPr>
          <w:p w:rsidR="002E1D90" w:rsidRPr="007C51D6" w:rsidRDefault="002E1D90" w:rsidP="002E1D90">
            <w:pPr>
              <w:jc w:val="center"/>
              <w:rPr>
                <w:color w:val="000000"/>
                <w:sz w:val="20"/>
                <w:szCs w:val="20"/>
              </w:rPr>
            </w:pPr>
            <w:r w:rsidRPr="007C51D6">
              <w:rPr>
                <w:color w:val="000000"/>
                <w:sz w:val="20"/>
                <w:szCs w:val="20"/>
              </w:rPr>
              <w:t>23,1</w:t>
            </w:r>
          </w:p>
        </w:tc>
        <w:tc>
          <w:tcPr>
            <w:tcW w:w="1103" w:type="dxa"/>
            <w:vAlign w:val="center"/>
          </w:tcPr>
          <w:p w:rsidR="002E1D90" w:rsidRPr="007C51D6" w:rsidRDefault="002E1D90" w:rsidP="002E1D90">
            <w:pPr>
              <w:jc w:val="center"/>
              <w:rPr>
                <w:color w:val="000000"/>
                <w:sz w:val="20"/>
                <w:szCs w:val="20"/>
              </w:rPr>
            </w:pPr>
            <w:r w:rsidRPr="007C51D6">
              <w:rPr>
                <w:color w:val="000000"/>
                <w:sz w:val="20"/>
                <w:szCs w:val="20"/>
              </w:rPr>
              <w:t>17,4</w:t>
            </w:r>
          </w:p>
        </w:tc>
        <w:tc>
          <w:tcPr>
            <w:tcW w:w="1077" w:type="dxa"/>
            <w:vAlign w:val="center"/>
          </w:tcPr>
          <w:p w:rsidR="002E1D90" w:rsidRPr="007C51D6" w:rsidRDefault="002E1D90" w:rsidP="002E1D90">
            <w:pPr>
              <w:jc w:val="center"/>
              <w:rPr>
                <w:color w:val="000000"/>
                <w:sz w:val="20"/>
                <w:szCs w:val="20"/>
              </w:rPr>
            </w:pPr>
            <w:r w:rsidRPr="007C51D6">
              <w:rPr>
                <w:color w:val="000000"/>
                <w:sz w:val="20"/>
                <w:szCs w:val="20"/>
              </w:rPr>
              <w:t>21,4</w:t>
            </w:r>
          </w:p>
        </w:tc>
        <w:tc>
          <w:tcPr>
            <w:tcW w:w="1077" w:type="dxa"/>
            <w:vAlign w:val="center"/>
          </w:tcPr>
          <w:p w:rsidR="002E1D90" w:rsidRPr="007C51D6" w:rsidRDefault="002E1D90" w:rsidP="002E1D90">
            <w:pPr>
              <w:jc w:val="center"/>
              <w:rPr>
                <w:color w:val="000000"/>
                <w:sz w:val="20"/>
                <w:szCs w:val="20"/>
              </w:rPr>
            </w:pPr>
            <w:r w:rsidRPr="007C51D6">
              <w:rPr>
                <w:color w:val="000000"/>
                <w:sz w:val="20"/>
                <w:szCs w:val="20"/>
              </w:rPr>
              <w:t>30.0</w:t>
            </w:r>
          </w:p>
        </w:tc>
      </w:tr>
      <w:tr w:rsidR="002E1D90" w:rsidRPr="007C51D6" w:rsidTr="007541C1">
        <w:trPr>
          <w:trHeight w:val="20"/>
        </w:trPr>
        <w:tc>
          <w:tcPr>
            <w:tcW w:w="4531" w:type="dxa"/>
            <w:shd w:val="clear" w:color="auto" w:fill="auto"/>
            <w:hideMark/>
          </w:tcPr>
          <w:p w:rsidR="002E1D90" w:rsidRPr="007C51D6" w:rsidRDefault="002E1D90" w:rsidP="002E1D90">
            <w:pPr>
              <w:autoSpaceDE/>
              <w:autoSpaceDN/>
              <w:adjustRightInd/>
              <w:rPr>
                <w:color w:val="000000"/>
                <w:sz w:val="20"/>
                <w:szCs w:val="20"/>
              </w:rPr>
            </w:pPr>
            <w:r w:rsidRPr="007C51D6">
              <w:rPr>
                <w:color w:val="000000"/>
                <w:sz w:val="20"/>
                <w:szCs w:val="20"/>
              </w:rPr>
              <w:t>Черемшанский</w:t>
            </w:r>
          </w:p>
        </w:tc>
        <w:tc>
          <w:tcPr>
            <w:tcW w:w="1134" w:type="dxa"/>
            <w:shd w:val="clear" w:color="auto" w:fill="auto"/>
            <w:vAlign w:val="center"/>
          </w:tcPr>
          <w:p w:rsidR="002E1D90" w:rsidRPr="007C51D6" w:rsidRDefault="002E1D90" w:rsidP="002E1D90">
            <w:pPr>
              <w:jc w:val="center"/>
              <w:rPr>
                <w:color w:val="000000"/>
                <w:sz w:val="20"/>
                <w:szCs w:val="20"/>
              </w:rPr>
            </w:pPr>
            <w:r w:rsidRPr="007C51D6">
              <w:rPr>
                <w:color w:val="000000"/>
                <w:sz w:val="20"/>
                <w:szCs w:val="20"/>
              </w:rPr>
              <w:t>24,7</w:t>
            </w:r>
          </w:p>
        </w:tc>
        <w:tc>
          <w:tcPr>
            <w:tcW w:w="1012" w:type="dxa"/>
            <w:shd w:val="clear" w:color="auto" w:fill="auto"/>
            <w:vAlign w:val="center"/>
          </w:tcPr>
          <w:p w:rsidR="002E1D90" w:rsidRPr="007C51D6" w:rsidRDefault="002E1D90" w:rsidP="002E1D90">
            <w:pPr>
              <w:jc w:val="center"/>
              <w:rPr>
                <w:color w:val="000000"/>
                <w:sz w:val="20"/>
                <w:szCs w:val="20"/>
              </w:rPr>
            </w:pPr>
            <w:r w:rsidRPr="007C51D6">
              <w:rPr>
                <w:color w:val="000000"/>
                <w:sz w:val="20"/>
                <w:szCs w:val="20"/>
              </w:rPr>
              <w:t>33,3</w:t>
            </w:r>
          </w:p>
        </w:tc>
        <w:tc>
          <w:tcPr>
            <w:tcW w:w="1012" w:type="dxa"/>
            <w:shd w:val="clear" w:color="auto" w:fill="auto"/>
            <w:vAlign w:val="center"/>
          </w:tcPr>
          <w:p w:rsidR="002E1D90" w:rsidRPr="007C51D6" w:rsidRDefault="002E1D90" w:rsidP="002E1D90">
            <w:pPr>
              <w:jc w:val="center"/>
              <w:rPr>
                <w:color w:val="000000"/>
                <w:sz w:val="20"/>
                <w:szCs w:val="20"/>
              </w:rPr>
            </w:pPr>
            <w:r w:rsidRPr="007C51D6">
              <w:rPr>
                <w:color w:val="000000"/>
                <w:sz w:val="20"/>
                <w:szCs w:val="20"/>
              </w:rPr>
              <w:t>28,1</w:t>
            </w:r>
          </w:p>
        </w:tc>
        <w:tc>
          <w:tcPr>
            <w:tcW w:w="1011" w:type="dxa"/>
            <w:shd w:val="clear" w:color="auto" w:fill="auto"/>
            <w:vAlign w:val="center"/>
          </w:tcPr>
          <w:p w:rsidR="002E1D90" w:rsidRPr="007C51D6" w:rsidRDefault="002E1D90" w:rsidP="002E1D90">
            <w:pPr>
              <w:jc w:val="center"/>
              <w:rPr>
                <w:color w:val="000000"/>
                <w:sz w:val="20"/>
                <w:szCs w:val="20"/>
              </w:rPr>
            </w:pPr>
            <w:r w:rsidRPr="007C51D6">
              <w:rPr>
                <w:color w:val="000000"/>
                <w:sz w:val="20"/>
                <w:szCs w:val="20"/>
              </w:rPr>
              <w:t>25,4</w:t>
            </w:r>
          </w:p>
        </w:tc>
        <w:tc>
          <w:tcPr>
            <w:tcW w:w="1012" w:type="dxa"/>
            <w:shd w:val="clear" w:color="auto" w:fill="auto"/>
            <w:vAlign w:val="center"/>
          </w:tcPr>
          <w:p w:rsidR="002E1D90" w:rsidRPr="007C51D6" w:rsidRDefault="002E1D90" w:rsidP="002E1D90">
            <w:pPr>
              <w:jc w:val="center"/>
              <w:rPr>
                <w:color w:val="000000"/>
                <w:sz w:val="20"/>
                <w:szCs w:val="20"/>
              </w:rPr>
            </w:pPr>
            <w:r w:rsidRPr="007C51D6">
              <w:rPr>
                <w:color w:val="000000"/>
                <w:sz w:val="20"/>
                <w:szCs w:val="20"/>
              </w:rPr>
              <w:t>33,3</w:t>
            </w:r>
          </w:p>
        </w:tc>
        <w:tc>
          <w:tcPr>
            <w:tcW w:w="1012" w:type="dxa"/>
            <w:vAlign w:val="center"/>
          </w:tcPr>
          <w:p w:rsidR="002E1D90" w:rsidRPr="007C51D6" w:rsidRDefault="002E1D90" w:rsidP="002E1D90">
            <w:pPr>
              <w:jc w:val="center"/>
              <w:rPr>
                <w:color w:val="000000"/>
                <w:sz w:val="20"/>
                <w:szCs w:val="20"/>
              </w:rPr>
            </w:pPr>
            <w:r w:rsidRPr="007C51D6">
              <w:rPr>
                <w:color w:val="000000"/>
                <w:sz w:val="20"/>
                <w:szCs w:val="20"/>
              </w:rPr>
              <w:t>19,7</w:t>
            </w:r>
          </w:p>
        </w:tc>
        <w:tc>
          <w:tcPr>
            <w:tcW w:w="1109" w:type="dxa"/>
            <w:vAlign w:val="center"/>
          </w:tcPr>
          <w:p w:rsidR="002E1D90" w:rsidRPr="007C51D6" w:rsidRDefault="002E1D90" w:rsidP="002E1D90">
            <w:pPr>
              <w:jc w:val="center"/>
              <w:rPr>
                <w:color w:val="000000"/>
                <w:sz w:val="20"/>
                <w:szCs w:val="20"/>
              </w:rPr>
            </w:pPr>
            <w:r w:rsidRPr="007C51D6">
              <w:rPr>
                <w:color w:val="000000"/>
                <w:sz w:val="20"/>
                <w:szCs w:val="20"/>
              </w:rPr>
              <w:t>25,4</w:t>
            </w:r>
          </w:p>
        </w:tc>
        <w:tc>
          <w:tcPr>
            <w:tcW w:w="1103" w:type="dxa"/>
            <w:vAlign w:val="center"/>
          </w:tcPr>
          <w:p w:rsidR="002E1D90" w:rsidRPr="007C51D6" w:rsidRDefault="002E1D90" w:rsidP="002E1D90">
            <w:pPr>
              <w:jc w:val="center"/>
              <w:rPr>
                <w:color w:val="000000"/>
                <w:sz w:val="20"/>
                <w:szCs w:val="20"/>
              </w:rPr>
            </w:pPr>
            <w:r w:rsidRPr="007C51D6">
              <w:rPr>
                <w:color w:val="000000"/>
                <w:sz w:val="20"/>
                <w:szCs w:val="20"/>
              </w:rPr>
              <w:t>16,7</w:t>
            </w:r>
          </w:p>
        </w:tc>
        <w:tc>
          <w:tcPr>
            <w:tcW w:w="1077" w:type="dxa"/>
            <w:vAlign w:val="center"/>
          </w:tcPr>
          <w:p w:rsidR="002E1D90" w:rsidRPr="007C51D6" w:rsidRDefault="002E1D90" w:rsidP="002E1D90">
            <w:pPr>
              <w:jc w:val="center"/>
              <w:rPr>
                <w:color w:val="000000"/>
                <w:sz w:val="20"/>
                <w:szCs w:val="20"/>
              </w:rPr>
            </w:pPr>
            <w:r w:rsidRPr="007C51D6">
              <w:rPr>
                <w:color w:val="000000"/>
                <w:sz w:val="20"/>
                <w:szCs w:val="20"/>
              </w:rPr>
              <w:t>22,2</w:t>
            </w:r>
          </w:p>
        </w:tc>
        <w:tc>
          <w:tcPr>
            <w:tcW w:w="1077" w:type="dxa"/>
            <w:vAlign w:val="center"/>
          </w:tcPr>
          <w:p w:rsidR="002E1D90" w:rsidRPr="007C51D6" w:rsidRDefault="002E1D90" w:rsidP="002E1D90">
            <w:pPr>
              <w:jc w:val="center"/>
              <w:rPr>
                <w:color w:val="000000"/>
                <w:sz w:val="20"/>
                <w:szCs w:val="20"/>
              </w:rPr>
            </w:pPr>
            <w:r w:rsidRPr="007C51D6">
              <w:rPr>
                <w:color w:val="000000"/>
                <w:sz w:val="20"/>
                <w:szCs w:val="20"/>
              </w:rPr>
              <w:t>13.4</w:t>
            </w:r>
          </w:p>
        </w:tc>
      </w:tr>
      <w:tr w:rsidR="002E1D90" w:rsidRPr="007C51D6" w:rsidTr="007541C1">
        <w:trPr>
          <w:trHeight w:val="20"/>
        </w:trPr>
        <w:tc>
          <w:tcPr>
            <w:tcW w:w="4531" w:type="dxa"/>
            <w:shd w:val="clear" w:color="auto" w:fill="auto"/>
            <w:hideMark/>
          </w:tcPr>
          <w:p w:rsidR="002E1D90" w:rsidRPr="007C51D6" w:rsidRDefault="002E1D90" w:rsidP="002E1D90">
            <w:pPr>
              <w:autoSpaceDE/>
              <w:autoSpaceDN/>
              <w:adjustRightInd/>
              <w:rPr>
                <w:color w:val="000000"/>
                <w:sz w:val="20"/>
                <w:szCs w:val="20"/>
              </w:rPr>
            </w:pPr>
            <w:r w:rsidRPr="007C51D6">
              <w:rPr>
                <w:color w:val="000000"/>
                <w:sz w:val="20"/>
                <w:szCs w:val="20"/>
              </w:rPr>
              <w:t>Чистопольский</w:t>
            </w:r>
          </w:p>
        </w:tc>
        <w:tc>
          <w:tcPr>
            <w:tcW w:w="1134" w:type="dxa"/>
            <w:shd w:val="clear" w:color="auto" w:fill="auto"/>
            <w:vAlign w:val="center"/>
          </w:tcPr>
          <w:p w:rsidR="002E1D90" w:rsidRPr="007C51D6" w:rsidRDefault="002E1D90" w:rsidP="002E1D90">
            <w:pPr>
              <w:jc w:val="center"/>
              <w:rPr>
                <w:color w:val="000000"/>
                <w:sz w:val="20"/>
                <w:szCs w:val="20"/>
              </w:rPr>
            </w:pPr>
            <w:r w:rsidRPr="007C51D6">
              <w:rPr>
                <w:color w:val="000000"/>
                <w:sz w:val="20"/>
                <w:szCs w:val="20"/>
              </w:rPr>
              <w:t>26,5</w:t>
            </w:r>
          </w:p>
        </w:tc>
        <w:tc>
          <w:tcPr>
            <w:tcW w:w="1012" w:type="dxa"/>
            <w:shd w:val="clear" w:color="auto" w:fill="auto"/>
            <w:vAlign w:val="center"/>
          </w:tcPr>
          <w:p w:rsidR="002E1D90" w:rsidRPr="007C51D6" w:rsidRDefault="002E1D90" w:rsidP="002E1D90">
            <w:pPr>
              <w:jc w:val="center"/>
              <w:rPr>
                <w:color w:val="000000"/>
                <w:sz w:val="20"/>
                <w:szCs w:val="20"/>
              </w:rPr>
            </w:pPr>
            <w:r w:rsidRPr="007C51D6">
              <w:rPr>
                <w:color w:val="000000"/>
                <w:sz w:val="20"/>
                <w:szCs w:val="20"/>
              </w:rPr>
              <w:t>31,1</w:t>
            </w:r>
          </w:p>
        </w:tc>
        <w:tc>
          <w:tcPr>
            <w:tcW w:w="1012" w:type="dxa"/>
            <w:shd w:val="clear" w:color="auto" w:fill="auto"/>
            <w:vAlign w:val="center"/>
          </w:tcPr>
          <w:p w:rsidR="002E1D90" w:rsidRPr="007C51D6" w:rsidRDefault="002E1D90" w:rsidP="002E1D90">
            <w:pPr>
              <w:jc w:val="center"/>
              <w:rPr>
                <w:color w:val="000000"/>
                <w:sz w:val="20"/>
                <w:szCs w:val="20"/>
              </w:rPr>
            </w:pPr>
            <w:r w:rsidRPr="007C51D6">
              <w:rPr>
                <w:color w:val="000000"/>
                <w:sz w:val="20"/>
                <w:szCs w:val="20"/>
              </w:rPr>
              <w:t>25,7</w:t>
            </w:r>
          </w:p>
        </w:tc>
        <w:tc>
          <w:tcPr>
            <w:tcW w:w="1011" w:type="dxa"/>
            <w:shd w:val="clear" w:color="auto" w:fill="auto"/>
            <w:vAlign w:val="center"/>
          </w:tcPr>
          <w:p w:rsidR="002E1D90" w:rsidRPr="007C51D6" w:rsidRDefault="002E1D90" w:rsidP="002E1D90">
            <w:pPr>
              <w:jc w:val="center"/>
              <w:rPr>
                <w:color w:val="000000"/>
                <w:sz w:val="20"/>
                <w:szCs w:val="20"/>
              </w:rPr>
            </w:pPr>
            <w:r w:rsidRPr="007C51D6">
              <w:rPr>
                <w:color w:val="000000"/>
                <w:sz w:val="20"/>
                <w:szCs w:val="20"/>
              </w:rPr>
              <w:t>20,5</w:t>
            </w:r>
          </w:p>
        </w:tc>
        <w:tc>
          <w:tcPr>
            <w:tcW w:w="1012" w:type="dxa"/>
            <w:shd w:val="clear" w:color="auto" w:fill="auto"/>
            <w:vAlign w:val="center"/>
          </w:tcPr>
          <w:p w:rsidR="002E1D90" w:rsidRPr="007C51D6" w:rsidRDefault="002E1D90" w:rsidP="002E1D90">
            <w:pPr>
              <w:jc w:val="center"/>
              <w:rPr>
                <w:color w:val="000000"/>
                <w:sz w:val="20"/>
                <w:szCs w:val="20"/>
              </w:rPr>
            </w:pPr>
            <w:r w:rsidRPr="007C51D6">
              <w:rPr>
                <w:color w:val="000000"/>
                <w:sz w:val="20"/>
                <w:szCs w:val="20"/>
              </w:rPr>
              <w:t>18,2</w:t>
            </w:r>
          </w:p>
        </w:tc>
        <w:tc>
          <w:tcPr>
            <w:tcW w:w="1012" w:type="dxa"/>
            <w:vAlign w:val="center"/>
          </w:tcPr>
          <w:p w:rsidR="002E1D90" w:rsidRPr="007C51D6" w:rsidRDefault="002E1D90" w:rsidP="002E1D90">
            <w:pPr>
              <w:jc w:val="center"/>
              <w:rPr>
                <w:color w:val="000000"/>
                <w:sz w:val="20"/>
                <w:szCs w:val="20"/>
              </w:rPr>
            </w:pPr>
            <w:r w:rsidRPr="007C51D6">
              <w:rPr>
                <w:color w:val="000000"/>
                <w:sz w:val="20"/>
                <w:szCs w:val="20"/>
              </w:rPr>
              <w:t>13,4</w:t>
            </w:r>
          </w:p>
        </w:tc>
        <w:tc>
          <w:tcPr>
            <w:tcW w:w="1109" w:type="dxa"/>
            <w:vAlign w:val="center"/>
          </w:tcPr>
          <w:p w:rsidR="002E1D90" w:rsidRPr="007C51D6" w:rsidRDefault="002E1D90" w:rsidP="002E1D90">
            <w:pPr>
              <w:jc w:val="center"/>
              <w:rPr>
                <w:color w:val="000000"/>
                <w:sz w:val="20"/>
                <w:szCs w:val="20"/>
              </w:rPr>
            </w:pPr>
            <w:r w:rsidRPr="007C51D6">
              <w:rPr>
                <w:color w:val="000000"/>
                <w:sz w:val="20"/>
                <w:szCs w:val="20"/>
              </w:rPr>
              <w:t>11,2</w:t>
            </w:r>
          </w:p>
        </w:tc>
        <w:tc>
          <w:tcPr>
            <w:tcW w:w="1103" w:type="dxa"/>
            <w:vAlign w:val="center"/>
          </w:tcPr>
          <w:p w:rsidR="002E1D90" w:rsidRPr="007C51D6" w:rsidRDefault="002E1D90" w:rsidP="002E1D90">
            <w:pPr>
              <w:jc w:val="center"/>
              <w:rPr>
                <w:color w:val="000000"/>
                <w:sz w:val="20"/>
                <w:szCs w:val="20"/>
              </w:rPr>
            </w:pPr>
            <w:r w:rsidRPr="007C51D6">
              <w:rPr>
                <w:color w:val="000000"/>
                <w:sz w:val="20"/>
                <w:szCs w:val="20"/>
              </w:rPr>
              <w:t>10,9</w:t>
            </w:r>
          </w:p>
        </w:tc>
        <w:tc>
          <w:tcPr>
            <w:tcW w:w="1077" w:type="dxa"/>
            <w:vAlign w:val="center"/>
          </w:tcPr>
          <w:p w:rsidR="002E1D90" w:rsidRPr="007C51D6" w:rsidRDefault="002E1D90" w:rsidP="002E1D90">
            <w:pPr>
              <w:jc w:val="center"/>
              <w:rPr>
                <w:color w:val="000000"/>
                <w:sz w:val="20"/>
                <w:szCs w:val="20"/>
              </w:rPr>
            </w:pPr>
            <w:r w:rsidRPr="007C51D6">
              <w:rPr>
                <w:color w:val="000000"/>
                <w:sz w:val="20"/>
                <w:szCs w:val="20"/>
              </w:rPr>
              <w:t>14,0</w:t>
            </w:r>
          </w:p>
        </w:tc>
        <w:tc>
          <w:tcPr>
            <w:tcW w:w="1077" w:type="dxa"/>
            <w:vAlign w:val="center"/>
          </w:tcPr>
          <w:p w:rsidR="002E1D90" w:rsidRPr="007C51D6" w:rsidRDefault="002E1D90" w:rsidP="002E1D90">
            <w:pPr>
              <w:jc w:val="center"/>
              <w:rPr>
                <w:color w:val="000000"/>
                <w:sz w:val="20"/>
                <w:szCs w:val="20"/>
              </w:rPr>
            </w:pPr>
            <w:r w:rsidRPr="007C51D6">
              <w:rPr>
                <w:color w:val="000000"/>
                <w:sz w:val="20"/>
                <w:szCs w:val="20"/>
              </w:rPr>
              <w:t>15.4</w:t>
            </w:r>
          </w:p>
        </w:tc>
      </w:tr>
      <w:tr w:rsidR="002E1D90" w:rsidRPr="007C51D6" w:rsidTr="007541C1">
        <w:trPr>
          <w:trHeight w:val="20"/>
        </w:trPr>
        <w:tc>
          <w:tcPr>
            <w:tcW w:w="4531" w:type="dxa"/>
            <w:shd w:val="clear" w:color="auto" w:fill="auto"/>
            <w:hideMark/>
          </w:tcPr>
          <w:p w:rsidR="002E1D90" w:rsidRPr="007C51D6" w:rsidRDefault="002E1D90" w:rsidP="002E1D90">
            <w:pPr>
              <w:autoSpaceDE/>
              <w:autoSpaceDN/>
              <w:adjustRightInd/>
              <w:rPr>
                <w:color w:val="000000"/>
                <w:sz w:val="20"/>
                <w:szCs w:val="20"/>
              </w:rPr>
            </w:pPr>
            <w:r w:rsidRPr="007C51D6">
              <w:rPr>
                <w:color w:val="000000"/>
                <w:sz w:val="20"/>
                <w:szCs w:val="20"/>
              </w:rPr>
              <w:t>Ютазинский</w:t>
            </w:r>
          </w:p>
        </w:tc>
        <w:tc>
          <w:tcPr>
            <w:tcW w:w="1134" w:type="dxa"/>
            <w:shd w:val="clear" w:color="auto" w:fill="auto"/>
            <w:vAlign w:val="center"/>
          </w:tcPr>
          <w:p w:rsidR="002E1D90" w:rsidRPr="007C51D6" w:rsidRDefault="002E1D90" w:rsidP="002E1D90">
            <w:pPr>
              <w:jc w:val="center"/>
              <w:rPr>
                <w:color w:val="000000"/>
                <w:sz w:val="20"/>
                <w:szCs w:val="20"/>
              </w:rPr>
            </w:pPr>
            <w:r w:rsidRPr="007C51D6">
              <w:rPr>
                <w:color w:val="000000"/>
                <w:sz w:val="20"/>
                <w:szCs w:val="20"/>
              </w:rPr>
              <w:t>23,5</w:t>
            </w:r>
          </w:p>
        </w:tc>
        <w:tc>
          <w:tcPr>
            <w:tcW w:w="1012" w:type="dxa"/>
            <w:shd w:val="clear" w:color="auto" w:fill="auto"/>
            <w:vAlign w:val="center"/>
          </w:tcPr>
          <w:p w:rsidR="002E1D90" w:rsidRPr="007C51D6" w:rsidRDefault="002E1D90" w:rsidP="002E1D90">
            <w:pPr>
              <w:jc w:val="center"/>
              <w:rPr>
                <w:color w:val="000000"/>
                <w:sz w:val="20"/>
                <w:szCs w:val="20"/>
              </w:rPr>
            </w:pPr>
            <w:r w:rsidRPr="007C51D6">
              <w:rPr>
                <w:color w:val="000000"/>
                <w:sz w:val="20"/>
                <w:szCs w:val="20"/>
              </w:rPr>
              <w:t>29,0</w:t>
            </w:r>
          </w:p>
        </w:tc>
        <w:tc>
          <w:tcPr>
            <w:tcW w:w="1012" w:type="dxa"/>
            <w:shd w:val="clear" w:color="auto" w:fill="auto"/>
            <w:vAlign w:val="center"/>
          </w:tcPr>
          <w:p w:rsidR="002E1D90" w:rsidRPr="007C51D6" w:rsidRDefault="002E1D90" w:rsidP="002E1D90">
            <w:pPr>
              <w:jc w:val="center"/>
              <w:rPr>
                <w:color w:val="000000"/>
                <w:sz w:val="20"/>
                <w:szCs w:val="20"/>
              </w:rPr>
            </w:pPr>
            <w:r w:rsidRPr="007C51D6">
              <w:rPr>
                <w:color w:val="000000"/>
                <w:sz w:val="20"/>
                <w:szCs w:val="20"/>
              </w:rPr>
              <w:t>34,8</w:t>
            </w:r>
          </w:p>
        </w:tc>
        <w:tc>
          <w:tcPr>
            <w:tcW w:w="1011" w:type="dxa"/>
            <w:shd w:val="clear" w:color="auto" w:fill="auto"/>
            <w:vAlign w:val="center"/>
          </w:tcPr>
          <w:p w:rsidR="002E1D90" w:rsidRPr="007C51D6" w:rsidRDefault="002E1D90" w:rsidP="002E1D90">
            <w:pPr>
              <w:jc w:val="center"/>
              <w:rPr>
                <w:color w:val="000000"/>
                <w:sz w:val="20"/>
                <w:szCs w:val="20"/>
              </w:rPr>
            </w:pPr>
            <w:r w:rsidRPr="007C51D6">
              <w:rPr>
                <w:color w:val="000000"/>
                <w:sz w:val="20"/>
                <w:szCs w:val="20"/>
              </w:rPr>
              <w:t>31,1</w:t>
            </w:r>
          </w:p>
        </w:tc>
        <w:tc>
          <w:tcPr>
            <w:tcW w:w="1012" w:type="dxa"/>
            <w:shd w:val="clear" w:color="auto" w:fill="auto"/>
            <w:vAlign w:val="center"/>
          </w:tcPr>
          <w:p w:rsidR="002E1D90" w:rsidRPr="007C51D6" w:rsidRDefault="002E1D90" w:rsidP="002E1D90">
            <w:pPr>
              <w:jc w:val="center"/>
              <w:rPr>
                <w:color w:val="000000"/>
                <w:sz w:val="20"/>
                <w:szCs w:val="20"/>
              </w:rPr>
            </w:pPr>
            <w:r w:rsidRPr="007C51D6">
              <w:rPr>
                <w:color w:val="000000"/>
                <w:sz w:val="20"/>
                <w:szCs w:val="20"/>
              </w:rPr>
              <w:t>21,0</w:t>
            </w:r>
          </w:p>
        </w:tc>
        <w:tc>
          <w:tcPr>
            <w:tcW w:w="1012" w:type="dxa"/>
            <w:vAlign w:val="center"/>
          </w:tcPr>
          <w:p w:rsidR="002E1D90" w:rsidRPr="007C51D6" w:rsidRDefault="002E1D90" w:rsidP="002E1D90">
            <w:pPr>
              <w:jc w:val="center"/>
              <w:rPr>
                <w:color w:val="000000"/>
                <w:sz w:val="20"/>
                <w:szCs w:val="20"/>
              </w:rPr>
            </w:pPr>
            <w:r w:rsidRPr="007C51D6">
              <w:rPr>
                <w:color w:val="000000"/>
                <w:sz w:val="20"/>
                <w:szCs w:val="20"/>
              </w:rPr>
              <w:t>28,6</w:t>
            </w:r>
          </w:p>
        </w:tc>
        <w:tc>
          <w:tcPr>
            <w:tcW w:w="1109" w:type="dxa"/>
            <w:vAlign w:val="center"/>
          </w:tcPr>
          <w:p w:rsidR="002E1D90" w:rsidRPr="007C51D6" w:rsidRDefault="002E1D90" w:rsidP="002E1D90">
            <w:pPr>
              <w:jc w:val="center"/>
              <w:rPr>
                <w:color w:val="000000"/>
                <w:sz w:val="20"/>
                <w:szCs w:val="20"/>
              </w:rPr>
            </w:pPr>
            <w:r w:rsidRPr="007C51D6">
              <w:rPr>
                <w:color w:val="000000"/>
                <w:sz w:val="20"/>
                <w:szCs w:val="20"/>
              </w:rPr>
              <w:t>20,6</w:t>
            </w:r>
          </w:p>
        </w:tc>
        <w:tc>
          <w:tcPr>
            <w:tcW w:w="1103" w:type="dxa"/>
            <w:vAlign w:val="center"/>
          </w:tcPr>
          <w:p w:rsidR="002E1D90" w:rsidRPr="007C51D6" w:rsidRDefault="002E1D90" w:rsidP="002E1D90">
            <w:pPr>
              <w:jc w:val="center"/>
              <w:rPr>
                <w:color w:val="000000"/>
                <w:sz w:val="20"/>
                <w:szCs w:val="20"/>
              </w:rPr>
            </w:pPr>
            <w:r w:rsidRPr="007C51D6">
              <w:rPr>
                <w:color w:val="000000"/>
                <w:sz w:val="20"/>
                <w:szCs w:val="20"/>
              </w:rPr>
              <w:t>16,1</w:t>
            </w:r>
          </w:p>
        </w:tc>
        <w:tc>
          <w:tcPr>
            <w:tcW w:w="1077" w:type="dxa"/>
            <w:vAlign w:val="center"/>
          </w:tcPr>
          <w:p w:rsidR="002E1D90" w:rsidRPr="007C51D6" w:rsidRDefault="002E1D90" w:rsidP="002E1D90">
            <w:pPr>
              <w:jc w:val="center"/>
              <w:rPr>
                <w:color w:val="000000"/>
                <w:sz w:val="20"/>
                <w:szCs w:val="20"/>
              </w:rPr>
            </w:pPr>
            <w:r w:rsidRPr="007C51D6">
              <w:rPr>
                <w:color w:val="000000"/>
                <w:sz w:val="20"/>
                <w:szCs w:val="20"/>
              </w:rPr>
              <w:t>22,4</w:t>
            </w:r>
          </w:p>
        </w:tc>
        <w:tc>
          <w:tcPr>
            <w:tcW w:w="1077" w:type="dxa"/>
            <w:vAlign w:val="center"/>
          </w:tcPr>
          <w:p w:rsidR="002E1D90" w:rsidRPr="007C51D6" w:rsidRDefault="002E1D90" w:rsidP="002E1D90">
            <w:pPr>
              <w:jc w:val="center"/>
              <w:rPr>
                <w:color w:val="000000"/>
                <w:sz w:val="20"/>
                <w:szCs w:val="20"/>
              </w:rPr>
            </w:pPr>
            <w:r w:rsidRPr="007C51D6">
              <w:rPr>
                <w:color w:val="000000"/>
                <w:sz w:val="20"/>
                <w:szCs w:val="20"/>
              </w:rPr>
              <w:t>23.4</w:t>
            </w:r>
          </w:p>
        </w:tc>
      </w:tr>
      <w:tr w:rsidR="002E1D90" w:rsidRPr="007C51D6" w:rsidTr="007541C1">
        <w:trPr>
          <w:trHeight w:val="20"/>
        </w:trPr>
        <w:tc>
          <w:tcPr>
            <w:tcW w:w="4531" w:type="dxa"/>
            <w:shd w:val="clear" w:color="auto" w:fill="auto"/>
            <w:hideMark/>
          </w:tcPr>
          <w:p w:rsidR="002E1D90" w:rsidRPr="007C51D6" w:rsidRDefault="002E1D90" w:rsidP="002E1D90">
            <w:pPr>
              <w:autoSpaceDE/>
              <w:autoSpaceDN/>
              <w:adjustRightInd/>
              <w:rPr>
                <w:color w:val="000000"/>
                <w:sz w:val="20"/>
                <w:szCs w:val="20"/>
              </w:rPr>
            </w:pPr>
            <w:r w:rsidRPr="007C51D6">
              <w:rPr>
                <w:color w:val="000000"/>
                <w:sz w:val="20"/>
                <w:szCs w:val="20"/>
              </w:rPr>
              <w:t>г.Набережные Челны</w:t>
            </w:r>
          </w:p>
        </w:tc>
        <w:tc>
          <w:tcPr>
            <w:tcW w:w="1134" w:type="dxa"/>
            <w:shd w:val="clear" w:color="auto" w:fill="auto"/>
            <w:vAlign w:val="center"/>
          </w:tcPr>
          <w:p w:rsidR="002E1D90" w:rsidRPr="007C51D6" w:rsidRDefault="002E1D90" w:rsidP="002E1D90">
            <w:pPr>
              <w:jc w:val="center"/>
              <w:rPr>
                <w:color w:val="000000"/>
                <w:sz w:val="20"/>
                <w:szCs w:val="20"/>
              </w:rPr>
            </w:pPr>
            <w:r w:rsidRPr="007C51D6">
              <w:rPr>
                <w:color w:val="000000"/>
                <w:sz w:val="20"/>
                <w:szCs w:val="20"/>
              </w:rPr>
              <w:t>25,5</w:t>
            </w:r>
          </w:p>
        </w:tc>
        <w:tc>
          <w:tcPr>
            <w:tcW w:w="1012" w:type="dxa"/>
            <w:shd w:val="clear" w:color="auto" w:fill="auto"/>
            <w:vAlign w:val="center"/>
          </w:tcPr>
          <w:p w:rsidR="002E1D90" w:rsidRPr="007C51D6" w:rsidRDefault="002E1D90" w:rsidP="002E1D90">
            <w:pPr>
              <w:jc w:val="center"/>
              <w:rPr>
                <w:color w:val="000000"/>
                <w:sz w:val="20"/>
                <w:szCs w:val="20"/>
              </w:rPr>
            </w:pPr>
            <w:r w:rsidRPr="007C51D6">
              <w:rPr>
                <w:color w:val="000000"/>
                <w:sz w:val="20"/>
                <w:szCs w:val="20"/>
              </w:rPr>
              <w:t>23,2</w:t>
            </w:r>
          </w:p>
        </w:tc>
        <w:tc>
          <w:tcPr>
            <w:tcW w:w="1012" w:type="dxa"/>
            <w:shd w:val="clear" w:color="auto" w:fill="auto"/>
            <w:vAlign w:val="center"/>
          </w:tcPr>
          <w:p w:rsidR="002E1D90" w:rsidRPr="007C51D6" w:rsidRDefault="002E1D90" w:rsidP="002E1D90">
            <w:pPr>
              <w:jc w:val="center"/>
              <w:rPr>
                <w:color w:val="000000"/>
                <w:sz w:val="20"/>
                <w:szCs w:val="20"/>
              </w:rPr>
            </w:pPr>
            <w:r w:rsidRPr="007C51D6">
              <w:rPr>
                <w:color w:val="000000"/>
                <w:sz w:val="20"/>
                <w:szCs w:val="20"/>
              </w:rPr>
              <w:t>23,5</w:t>
            </w:r>
          </w:p>
        </w:tc>
        <w:tc>
          <w:tcPr>
            <w:tcW w:w="1011" w:type="dxa"/>
            <w:shd w:val="clear" w:color="auto" w:fill="auto"/>
            <w:vAlign w:val="center"/>
          </w:tcPr>
          <w:p w:rsidR="002E1D90" w:rsidRPr="007C51D6" w:rsidRDefault="002E1D90" w:rsidP="002E1D90">
            <w:pPr>
              <w:jc w:val="center"/>
              <w:rPr>
                <w:color w:val="000000"/>
                <w:sz w:val="20"/>
                <w:szCs w:val="20"/>
              </w:rPr>
            </w:pPr>
            <w:r w:rsidRPr="007C51D6">
              <w:rPr>
                <w:color w:val="000000"/>
                <w:sz w:val="20"/>
                <w:szCs w:val="20"/>
              </w:rPr>
              <w:t>23,3</w:t>
            </w:r>
          </w:p>
        </w:tc>
        <w:tc>
          <w:tcPr>
            <w:tcW w:w="1012" w:type="dxa"/>
            <w:shd w:val="clear" w:color="auto" w:fill="auto"/>
            <w:vAlign w:val="center"/>
          </w:tcPr>
          <w:p w:rsidR="002E1D90" w:rsidRPr="007C51D6" w:rsidRDefault="002E1D90" w:rsidP="002E1D90">
            <w:pPr>
              <w:jc w:val="center"/>
              <w:rPr>
                <w:color w:val="000000"/>
                <w:sz w:val="20"/>
                <w:szCs w:val="20"/>
              </w:rPr>
            </w:pPr>
            <w:r w:rsidRPr="007C51D6">
              <w:rPr>
                <w:color w:val="000000"/>
                <w:sz w:val="20"/>
                <w:szCs w:val="20"/>
              </w:rPr>
              <w:t>20,9</w:t>
            </w:r>
          </w:p>
        </w:tc>
        <w:tc>
          <w:tcPr>
            <w:tcW w:w="1012" w:type="dxa"/>
            <w:vAlign w:val="center"/>
          </w:tcPr>
          <w:p w:rsidR="002E1D90" w:rsidRPr="007C51D6" w:rsidRDefault="002E1D90" w:rsidP="002E1D90">
            <w:pPr>
              <w:jc w:val="center"/>
              <w:rPr>
                <w:color w:val="000000"/>
                <w:sz w:val="20"/>
                <w:szCs w:val="20"/>
              </w:rPr>
            </w:pPr>
            <w:r w:rsidRPr="007C51D6">
              <w:rPr>
                <w:color w:val="000000"/>
                <w:sz w:val="20"/>
                <w:szCs w:val="20"/>
              </w:rPr>
              <w:t>19,7</w:t>
            </w:r>
          </w:p>
        </w:tc>
        <w:tc>
          <w:tcPr>
            <w:tcW w:w="1109" w:type="dxa"/>
            <w:vAlign w:val="center"/>
          </w:tcPr>
          <w:p w:rsidR="002E1D90" w:rsidRPr="007C51D6" w:rsidRDefault="002E1D90" w:rsidP="002E1D90">
            <w:pPr>
              <w:jc w:val="center"/>
              <w:rPr>
                <w:color w:val="000000"/>
                <w:sz w:val="20"/>
                <w:szCs w:val="20"/>
              </w:rPr>
            </w:pPr>
            <w:r w:rsidRPr="007C51D6">
              <w:rPr>
                <w:color w:val="000000"/>
                <w:sz w:val="20"/>
                <w:szCs w:val="20"/>
              </w:rPr>
              <w:t>17,4</w:t>
            </w:r>
          </w:p>
        </w:tc>
        <w:tc>
          <w:tcPr>
            <w:tcW w:w="1103" w:type="dxa"/>
            <w:vAlign w:val="center"/>
          </w:tcPr>
          <w:p w:rsidR="002E1D90" w:rsidRPr="007C51D6" w:rsidRDefault="002E1D90" w:rsidP="002E1D90">
            <w:pPr>
              <w:jc w:val="center"/>
              <w:rPr>
                <w:color w:val="000000"/>
                <w:sz w:val="20"/>
                <w:szCs w:val="20"/>
              </w:rPr>
            </w:pPr>
            <w:r w:rsidRPr="007C51D6">
              <w:rPr>
                <w:color w:val="000000"/>
                <w:sz w:val="20"/>
                <w:szCs w:val="20"/>
              </w:rPr>
              <w:t>16,3</w:t>
            </w:r>
          </w:p>
        </w:tc>
        <w:tc>
          <w:tcPr>
            <w:tcW w:w="1077" w:type="dxa"/>
            <w:vAlign w:val="center"/>
          </w:tcPr>
          <w:p w:rsidR="002E1D90" w:rsidRPr="007C51D6" w:rsidRDefault="002E1D90" w:rsidP="002E1D90">
            <w:pPr>
              <w:jc w:val="center"/>
              <w:rPr>
                <w:color w:val="000000"/>
                <w:sz w:val="20"/>
                <w:szCs w:val="20"/>
              </w:rPr>
            </w:pPr>
            <w:r w:rsidRPr="007C51D6">
              <w:rPr>
                <w:color w:val="000000"/>
                <w:sz w:val="20"/>
                <w:szCs w:val="20"/>
              </w:rPr>
              <w:t>16,0</w:t>
            </w:r>
          </w:p>
        </w:tc>
        <w:tc>
          <w:tcPr>
            <w:tcW w:w="1077" w:type="dxa"/>
            <w:vAlign w:val="center"/>
          </w:tcPr>
          <w:p w:rsidR="002E1D90" w:rsidRPr="007C51D6" w:rsidRDefault="002E1D90" w:rsidP="002E1D90">
            <w:pPr>
              <w:jc w:val="center"/>
              <w:rPr>
                <w:color w:val="000000"/>
                <w:sz w:val="20"/>
                <w:szCs w:val="20"/>
              </w:rPr>
            </w:pPr>
            <w:r w:rsidRPr="007C51D6">
              <w:rPr>
                <w:color w:val="000000"/>
                <w:sz w:val="20"/>
                <w:szCs w:val="20"/>
              </w:rPr>
              <w:t>16.4</w:t>
            </w:r>
          </w:p>
        </w:tc>
      </w:tr>
      <w:tr w:rsidR="0020643C" w:rsidRPr="007C51D6" w:rsidTr="007541C1">
        <w:trPr>
          <w:trHeight w:val="20"/>
        </w:trPr>
        <w:tc>
          <w:tcPr>
            <w:tcW w:w="4531" w:type="dxa"/>
            <w:shd w:val="clear" w:color="auto" w:fill="auto"/>
            <w:hideMark/>
          </w:tcPr>
          <w:p w:rsidR="0020643C" w:rsidRPr="007C51D6" w:rsidRDefault="0020643C" w:rsidP="0020643C">
            <w:pPr>
              <w:autoSpaceDE/>
              <w:autoSpaceDN/>
              <w:adjustRightInd/>
              <w:rPr>
                <w:color w:val="000000"/>
                <w:sz w:val="20"/>
                <w:szCs w:val="20"/>
              </w:rPr>
            </w:pPr>
            <w:r w:rsidRPr="007C51D6">
              <w:rPr>
                <w:color w:val="000000"/>
                <w:sz w:val="20"/>
                <w:szCs w:val="20"/>
              </w:rPr>
              <w:t>г.Казань</w:t>
            </w:r>
          </w:p>
        </w:tc>
        <w:tc>
          <w:tcPr>
            <w:tcW w:w="1134" w:type="dxa"/>
            <w:shd w:val="clear" w:color="auto" w:fill="auto"/>
            <w:vAlign w:val="center"/>
          </w:tcPr>
          <w:p w:rsidR="0020643C" w:rsidRPr="007C51D6" w:rsidRDefault="0020643C" w:rsidP="0020643C">
            <w:pPr>
              <w:jc w:val="center"/>
              <w:rPr>
                <w:color w:val="000000"/>
                <w:sz w:val="20"/>
                <w:szCs w:val="20"/>
              </w:rPr>
            </w:pPr>
            <w:r w:rsidRPr="007C51D6">
              <w:rPr>
                <w:color w:val="000000"/>
                <w:sz w:val="20"/>
                <w:szCs w:val="20"/>
              </w:rPr>
              <w:t>27,7</w:t>
            </w:r>
          </w:p>
        </w:tc>
        <w:tc>
          <w:tcPr>
            <w:tcW w:w="1012" w:type="dxa"/>
            <w:shd w:val="clear" w:color="auto" w:fill="auto"/>
            <w:vAlign w:val="center"/>
          </w:tcPr>
          <w:p w:rsidR="0020643C" w:rsidRPr="007C51D6" w:rsidRDefault="0020643C" w:rsidP="0020643C">
            <w:pPr>
              <w:jc w:val="center"/>
              <w:rPr>
                <w:color w:val="000000"/>
                <w:sz w:val="20"/>
                <w:szCs w:val="20"/>
              </w:rPr>
            </w:pPr>
            <w:r w:rsidRPr="007C51D6">
              <w:rPr>
                <w:color w:val="000000"/>
                <w:sz w:val="20"/>
                <w:szCs w:val="20"/>
              </w:rPr>
              <w:t>27,9</w:t>
            </w:r>
          </w:p>
        </w:tc>
        <w:tc>
          <w:tcPr>
            <w:tcW w:w="1012" w:type="dxa"/>
            <w:shd w:val="clear" w:color="auto" w:fill="auto"/>
            <w:vAlign w:val="center"/>
          </w:tcPr>
          <w:p w:rsidR="0020643C" w:rsidRPr="007C51D6" w:rsidRDefault="0020643C" w:rsidP="0020643C">
            <w:pPr>
              <w:jc w:val="center"/>
              <w:rPr>
                <w:color w:val="000000"/>
                <w:sz w:val="20"/>
                <w:szCs w:val="20"/>
              </w:rPr>
            </w:pPr>
            <w:r w:rsidRPr="007C51D6">
              <w:rPr>
                <w:color w:val="000000"/>
                <w:sz w:val="20"/>
                <w:szCs w:val="20"/>
              </w:rPr>
              <w:t>26,7</w:t>
            </w:r>
          </w:p>
        </w:tc>
        <w:tc>
          <w:tcPr>
            <w:tcW w:w="1011" w:type="dxa"/>
            <w:shd w:val="clear" w:color="auto" w:fill="auto"/>
            <w:vAlign w:val="center"/>
          </w:tcPr>
          <w:p w:rsidR="0020643C" w:rsidRPr="007C51D6" w:rsidRDefault="0020643C" w:rsidP="0020643C">
            <w:pPr>
              <w:jc w:val="center"/>
              <w:rPr>
                <w:color w:val="000000"/>
                <w:sz w:val="20"/>
                <w:szCs w:val="20"/>
              </w:rPr>
            </w:pPr>
            <w:r w:rsidRPr="007C51D6">
              <w:rPr>
                <w:color w:val="000000"/>
                <w:sz w:val="20"/>
                <w:szCs w:val="20"/>
              </w:rPr>
              <w:t>25,7</w:t>
            </w:r>
          </w:p>
        </w:tc>
        <w:tc>
          <w:tcPr>
            <w:tcW w:w="1012" w:type="dxa"/>
            <w:shd w:val="clear" w:color="auto" w:fill="auto"/>
            <w:vAlign w:val="center"/>
          </w:tcPr>
          <w:p w:rsidR="0020643C" w:rsidRPr="007C51D6" w:rsidRDefault="0020643C" w:rsidP="0020643C">
            <w:pPr>
              <w:jc w:val="center"/>
              <w:rPr>
                <w:color w:val="000000"/>
                <w:sz w:val="20"/>
                <w:szCs w:val="20"/>
              </w:rPr>
            </w:pPr>
            <w:r w:rsidRPr="007C51D6">
              <w:rPr>
                <w:color w:val="000000"/>
                <w:sz w:val="20"/>
                <w:szCs w:val="20"/>
              </w:rPr>
              <w:t>22,5</w:t>
            </w:r>
          </w:p>
        </w:tc>
        <w:tc>
          <w:tcPr>
            <w:tcW w:w="1012" w:type="dxa"/>
            <w:vAlign w:val="center"/>
          </w:tcPr>
          <w:p w:rsidR="0020643C" w:rsidRPr="007C51D6" w:rsidRDefault="0020643C" w:rsidP="0020643C">
            <w:pPr>
              <w:jc w:val="center"/>
              <w:rPr>
                <w:color w:val="000000"/>
                <w:sz w:val="20"/>
                <w:szCs w:val="20"/>
              </w:rPr>
            </w:pPr>
            <w:r w:rsidRPr="007C51D6">
              <w:rPr>
                <w:color w:val="000000"/>
                <w:sz w:val="20"/>
                <w:szCs w:val="20"/>
              </w:rPr>
              <w:t>20,0</w:t>
            </w:r>
          </w:p>
        </w:tc>
        <w:tc>
          <w:tcPr>
            <w:tcW w:w="1109" w:type="dxa"/>
            <w:vAlign w:val="center"/>
          </w:tcPr>
          <w:p w:rsidR="0020643C" w:rsidRPr="007C51D6" w:rsidRDefault="0020643C" w:rsidP="0020643C">
            <w:pPr>
              <w:jc w:val="center"/>
              <w:rPr>
                <w:color w:val="000000"/>
                <w:sz w:val="20"/>
                <w:szCs w:val="20"/>
              </w:rPr>
            </w:pPr>
            <w:r w:rsidRPr="007C51D6">
              <w:rPr>
                <w:color w:val="000000"/>
                <w:sz w:val="20"/>
                <w:szCs w:val="20"/>
              </w:rPr>
              <w:t>19,8</w:t>
            </w:r>
          </w:p>
        </w:tc>
        <w:tc>
          <w:tcPr>
            <w:tcW w:w="1103" w:type="dxa"/>
            <w:vAlign w:val="center"/>
          </w:tcPr>
          <w:p w:rsidR="0020643C" w:rsidRPr="007C51D6" w:rsidRDefault="0020643C" w:rsidP="0020643C">
            <w:pPr>
              <w:jc w:val="center"/>
              <w:rPr>
                <w:color w:val="000000"/>
                <w:sz w:val="20"/>
                <w:szCs w:val="20"/>
              </w:rPr>
            </w:pPr>
            <w:r w:rsidRPr="007C51D6">
              <w:rPr>
                <w:color w:val="000000"/>
                <w:sz w:val="20"/>
                <w:szCs w:val="20"/>
              </w:rPr>
              <w:t>17,5</w:t>
            </w:r>
          </w:p>
        </w:tc>
        <w:tc>
          <w:tcPr>
            <w:tcW w:w="1077" w:type="dxa"/>
            <w:vAlign w:val="center"/>
          </w:tcPr>
          <w:p w:rsidR="0020643C" w:rsidRPr="007C51D6" w:rsidRDefault="0020643C" w:rsidP="0020643C">
            <w:pPr>
              <w:jc w:val="center"/>
              <w:rPr>
                <w:color w:val="000000"/>
                <w:sz w:val="20"/>
                <w:szCs w:val="20"/>
              </w:rPr>
            </w:pPr>
            <w:r w:rsidRPr="007C51D6">
              <w:rPr>
                <w:color w:val="000000"/>
                <w:sz w:val="20"/>
                <w:szCs w:val="20"/>
              </w:rPr>
              <w:t>17,6</w:t>
            </w:r>
          </w:p>
        </w:tc>
        <w:tc>
          <w:tcPr>
            <w:tcW w:w="1077" w:type="dxa"/>
            <w:vAlign w:val="center"/>
          </w:tcPr>
          <w:p w:rsidR="0020643C" w:rsidRPr="007C51D6" w:rsidRDefault="0020643C" w:rsidP="0020643C">
            <w:pPr>
              <w:jc w:val="center"/>
              <w:rPr>
                <w:color w:val="000000"/>
                <w:sz w:val="20"/>
                <w:szCs w:val="20"/>
              </w:rPr>
            </w:pPr>
            <w:r w:rsidRPr="007C51D6">
              <w:rPr>
                <w:color w:val="000000"/>
                <w:sz w:val="20"/>
                <w:szCs w:val="20"/>
              </w:rPr>
              <w:t>16.9</w:t>
            </w:r>
          </w:p>
        </w:tc>
      </w:tr>
    </w:tbl>
    <w:p w:rsidR="00EC3653" w:rsidRPr="007C51D6" w:rsidRDefault="00EC3653">
      <w:pPr>
        <w:rPr>
          <w:sz w:val="2"/>
          <w:szCs w:val="2"/>
        </w:rPr>
      </w:pPr>
    </w:p>
    <w:p w:rsidR="000B5E3D" w:rsidRPr="007C51D6" w:rsidRDefault="000B5E3D" w:rsidP="004D46BE">
      <w:pPr>
        <w:autoSpaceDE/>
        <w:autoSpaceDN/>
        <w:adjustRightInd/>
        <w:ind w:right="-598"/>
        <w:rPr>
          <w:rFonts w:eastAsia="Arial"/>
          <w:sz w:val="20"/>
          <w:szCs w:val="20"/>
        </w:rPr>
      </w:pPr>
    </w:p>
    <w:p w:rsidR="004D46BE" w:rsidRPr="007C51D6" w:rsidRDefault="00EC3653" w:rsidP="004A6001">
      <w:pPr>
        <w:autoSpaceDE/>
        <w:autoSpaceDN/>
        <w:adjustRightInd/>
        <w:ind w:right="-598" w:firstLine="709"/>
        <w:rPr>
          <w:rFonts w:eastAsia="Arial"/>
          <w:sz w:val="28"/>
          <w:szCs w:val="28"/>
        </w:rPr>
      </w:pPr>
      <w:r w:rsidRPr="007C51D6">
        <w:rPr>
          <w:rFonts w:eastAsia="Arial"/>
          <w:sz w:val="20"/>
          <w:szCs w:val="20"/>
        </w:rPr>
        <w:t>*</w:t>
      </w:r>
      <w:r w:rsidR="004D46BE" w:rsidRPr="007C51D6">
        <w:rPr>
          <w:rFonts w:eastAsia="Arial"/>
          <w:sz w:val="20"/>
          <w:szCs w:val="20"/>
        </w:rPr>
        <w:t>Представлены оперативные данные</w:t>
      </w:r>
      <w:r w:rsidRPr="007C51D6">
        <w:rPr>
          <w:rFonts w:eastAsia="Arial"/>
          <w:sz w:val="20"/>
          <w:szCs w:val="20"/>
        </w:rPr>
        <w:t>.</w:t>
      </w:r>
    </w:p>
    <w:p w:rsidR="005A484F" w:rsidRPr="007C51D6" w:rsidRDefault="005A484F" w:rsidP="00813AD2">
      <w:pPr>
        <w:autoSpaceDE/>
        <w:autoSpaceDN/>
        <w:adjustRightInd/>
        <w:ind w:left="6373" w:firstLine="709"/>
        <w:jc w:val="right"/>
        <w:rPr>
          <w:rFonts w:eastAsia="Arial"/>
          <w:sz w:val="28"/>
          <w:szCs w:val="28"/>
        </w:rPr>
      </w:pPr>
    </w:p>
    <w:p w:rsidR="00DD05CA" w:rsidRPr="007C51D6" w:rsidRDefault="00DD05CA" w:rsidP="00DD05CA">
      <w:pPr>
        <w:autoSpaceDE/>
        <w:autoSpaceDN/>
        <w:adjustRightInd/>
        <w:ind w:firstLine="709"/>
        <w:jc w:val="both"/>
        <w:rPr>
          <w:rFonts w:eastAsia="Arial"/>
          <w:sz w:val="28"/>
          <w:szCs w:val="28"/>
        </w:rPr>
      </w:pPr>
      <w:r w:rsidRPr="007C51D6">
        <w:rPr>
          <w:rFonts w:eastAsia="Arial"/>
          <w:sz w:val="28"/>
          <w:szCs w:val="28"/>
        </w:rPr>
        <w:t>Доля больных, умерших в течение первого года после установления диагноза, из числа взятых на учет в предыдущем году, составила 1</w:t>
      </w:r>
      <w:r w:rsidR="007541C1" w:rsidRPr="007C51D6">
        <w:rPr>
          <w:rFonts w:eastAsia="Arial"/>
          <w:sz w:val="28"/>
          <w:szCs w:val="28"/>
        </w:rPr>
        <w:t>7</w:t>
      </w:r>
      <w:r w:rsidRPr="007C51D6">
        <w:rPr>
          <w:rFonts w:eastAsia="Arial"/>
          <w:sz w:val="28"/>
          <w:szCs w:val="28"/>
        </w:rPr>
        <w:t>,</w:t>
      </w:r>
      <w:r w:rsidR="007541C1" w:rsidRPr="007C51D6">
        <w:rPr>
          <w:rFonts w:eastAsia="Arial"/>
          <w:sz w:val="28"/>
          <w:szCs w:val="28"/>
        </w:rPr>
        <w:t>9</w:t>
      </w:r>
      <w:r w:rsidRPr="007C51D6">
        <w:rPr>
          <w:rFonts w:eastAsia="Arial"/>
          <w:sz w:val="28"/>
          <w:szCs w:val="28"/>
        </w:rPr>
        <w:t xml:space="preserve"> процента. </w:t>
      </w:r>
    </w:p>
    <w:p w:rsidR="00DD05CA" w:rsidRPr="007C51D6" w:rsidRDefault="00DD05CA" w:rsidP="00DD05CA">
      <w:pPr>
        <w:autoSpaceDE/>
        <w:autoSpaceDN/>
        <w:adjustRightInd/>
        <w:ind w:firstLine="709"/>
        <w:jc w:val="both"/>
        <w:rPr>
          <w:rFonts w:eastAsia="Arial"/>
          <w:sz w:val="28"/>
          <w:szCs w:val="28"/>
        </w:rPr>
      </w:pPr>
      <w:r w:rsidRPr="007C51D6">
        <w:rPr>
          <w:rFonts w:eastAsia="Arial"/>
          <w:sz w:val="28"/>
          <w:szCs w:val="28"/>
        </w:rPr>
        <w:t xml:space="preserve">За </w:t>
      </w:r>
      <w:r w:rsidR="004A6001" w:rsidRPr="007C51D6">
        <w:rPr>
          <w:rFonts w:eastAsia="Arial"/>
          <w:sz w:val="28"/>
          <w:szCs w:val="28"/>
        </w:rPr>
        <w:t>10-</w:t>
      </w:r>
      <w:r w:rsidRPr="007C51D6">
        <w:rPr>
          <w:rFonts w:eastAsia="Arial"/>
          <w:sz w:val="28"/>
          <w:szCs w:val="28"/>
        </w:rPr>
        <w:t>летний период (201</w:t>
      </w:r>
      <w:r w:rsidR="007541C1" w:rsidRPr="007C51D6">
        <w:rPr>
          <w:rFonts w:eastAsia="Arial"/>
          <w:sz w:val="28"/>
          <w:szCs w:val="28"/>
        </w:rPr>
        <w:t>6</w:t>
      </w:r>
      <w:r w:rsidRPr="007C51D6">
        <w:rPr>
          <w:rFonts w:eastAsia="Arial"/>
          <w:sz w:val="28"/>
          <w:szCs w:val="28"/>
        </w:rPr>
        <w:t xml:space="preserve"> – 202</w:t>
      </w:r>
      <w:r w:rsidR="007541C1" w:rsidRPr="007C51D6">
        <w:rPr>
          <w:rFonts w:eastAsia="Arial"/>
          <w:sz w:val="28"/>
          <w:szCs w:val="28"/>
        </w:rPr>
        <w:t>5</w:t>
      </w:r>
      <w:r w:rsidRPr="007C51D6">
        <w:rPr>
          <w:rFonts w:eastAsia="Arial"/>
          <w:sz w:val="28"/>
          <w:szCs w:val="28"/>
        </w:rPr>
        <w:t xml:space="preserve"> годы) темп </w:t>
      </w:r>
      <w:r w:rsidR="00D10534" w:rsidRPr="007C51D6">
        <w:rPr>
          <w:rFonts w:eastAsia="Arial"/>
          <w:sz w:val="28"/>
          <w:szCs w:val="28"/>
        </w:rPr>
        <w:t>убыли данного показателя составил</w:t>
      </w:r>
      <w:r w:rsidRPr="007C51D6">
        <w:rPr>
          <w:rFonts w:eastAsia="Arial"/>
          <w:sz w:val="28"/>
          <w:szCs w:val="28"/>
        </w:rPr>
        <w:t xml:space="preserve"> </w:t>
      </w:r>
      <w:r w:rsidR="00BF37CE" w:rsidRPr="007C51D6">
        <w:rPr>
          <w:rFonts w:eastAsia="Arial"/>
          <w:sz w:val="28"/>
          <w:szCs w:val="28"/>
        </w:rPr>
        <w:t>33</w:t>
      </w:r>
      <w:r w:rsidRPr="007C51D6">
        <w:rPr>
          <w:rFonts w:eastAsia="Arial"/>
          <w:sz w:val="28"/>
          <w:szCs w:val="28"/>
        </w:rPr>
        <w:t>,</w:t>
      </w:r>
      <w:r w:rsidR="00BF37CE" w:rsidRPr="007C51D6">
        <w:rPr>
          <w:rFonts w:eastAsia="Arial"/>
          <w:sz w:val="28"/>
          <w:szCs w:val="28"/>
        </w:rPr>
        <w:t>5</w:t>
      </w:r>
      <w:r w:rsidRPr="007C51D6">
        <w:rPr>
          <w:rFonts w:eastAsia="Arial"/>
          <w:sz w:val="28"/>
          <w:szCs w:val="28"/>
        </w:rPr>
        <w:t xml:space="preserve"> процента (</w:t>
      </w:r>
      <w:r w:rsidR="007541C1" w:rsidRPr="007C51D6">
        <w:rPr>
          <w:rFonts w:eastAsia="Arial"/>
          <w:sz w:val="28"/>
          <w:szCs w:val="28"/>
        </w:rPr>
        <w:t xml:space="preserve">в 2025 году – 17,9 процента, </w:t>
      </w:r>
      <w:r w:rsidRPr="007C51D6">
        <w:rPr>
          <w:rFonts w:eastAsia="Arial"/>
          <w:sz w:val="28"/>
          <w:szCs w:val="28"/>
        </w:rPr>
        <w:t>в 20</w:t>
      </w:r>
      <w:r w:rsidR="00BF37CE" w:rsidRPr="007C51D6">
        <w:rPr>
          <w:rFonts w:eastAsia="Arial"/>
          <w:sz w:val="28"/>
          <w:szCs w:val="28"/>
        </w:rPr>
        <w:t>16</w:t>
      </w:r>
      <w:r w:rsidRPr="007C51D6">
        <w:rPr>
          <w:rFonts w:eastAsia="Arial"/>
          <w:sz w:val="28"/>
          <w:szCs w:val="28"/>
        </w:rPr>
        <w:t xml:space="preserve"> году – </w:t>
      </w:r>
      <w:r w:rsidR="00BF37CE" w:rsidRPr="007C51D6">
        <w:rPr>
          <w:rFonts w:eastAsia="Arial"/>
          <w:sz w:val="28"/>
          <w:szCs w:val="28"/>
        </w:rPr>
        <w:t>26</w:t>
      </w:r>
      <w:r w:rsidRPr="007C51D6">
        <w:rPr>
          <w:rFonts w:eastAsia="Arial"/>
          <w:sz w:val="28"/>
          <w:szCs w:val="28"/>
        </w:rPr>
        <w:t>,</w:t>
      </w:r>
      <w:r w:rsidR="00BF37CE" w:rsidRPr="007C51D6">
        <w:rPr>
          <w:rFonts w:eastAsia="Arial"/>
          <w:sz w:val="28"/>
          <w:szCs w:val="28"/>
        </w:rPr>
        <w:t>9</w:t>
      </w:r>
      <w:r w:rsidR="007541C1" w:rsidRPr="007C51D6">
        <w:rPr>
          <w:rFonts w:eastAsia="Arial"/>
          <w:sz w:val="28"/>
          <w:szCs w:val="28"/>
        </w:rPr>
        <w:t xml:space="preserve"> процента</w:t>
      </w:r>
      <w:r w:rsidRPr="007C51D6">
        <w:rPr>
          <w:rFonts w:eastAsia="Arial"/>
          <w:sz w:val="28"/>
          <w:szCs w:val="28"/>
        </w:rPr>
        <w:t xml:space="preserve">). </w:t>
      </w:r>
    </w:p>
    <w:p w:rsidR="00DD05CA" w:rsidRPr="007C51D6" w:rsidRDefault="00DD05CA" w:rsidP="00DD05CA">
      <w:pPr>
        <w:autoSpaceDE/>
        <w:autoSpaceDN/>
        <w:adjustRightInd/>
        <w:ind w:firstLine="709"/>
        <w:jc w:val="both"/>
        <w:rPr>
          <w:rFonts w:eastAsia="Arial"/>
          <w:sz w:val="28"/>
          <w:szCs w:val="28"/>
        </w:rPr>
      </w:pPr>
      <w:r w:rsidRPr="007C51D6">
        <w:rPr>
          <w:rFonts w:eastAsia="Arial"/>
          <w:sz w:val="28"/>
          <w:szCs w:val="28"/>
        </w:rPr>
        <w:t>В 202</w:t>
      </w:r>
      <w:r w:rsidR="00B7368D" w:rsidRPr="007C51D6">
        <w:rPr>
          <w:rFonts w:eastAsia="Arial"/>
          <w:sz w:val="28"/>
          <w:szCs w:val="28"/>
        </w:rPr>
        <w:t>5</w:t>
      </w:r>
      <w:r w:rsidRPr="007C51D6">
        <w:rPr>
          <w:rFonts w:eastAsia="Arial"/>
          <w:sz w:val="28"/>
          <w:szCs w:val="28"/>
        </w:rPr>
        <w:t xml:space="preserve"> году наиболее неблагоприятные показатели летальности пациентов на первом году жизни с момента установления диагноза зарегистрированы в </w:t>
      </w:r>
      <w:r w:rsidR="00B7368D" w:rsidRPr="007C51D6">
        <w:rPr>
          <w:rFonts w:eastAsia="Arial"/>
          <w:sz w:val="28"/>
          <w:szCs w:val="28"/>
        </w:rPr>
        <w:t>Тюлячинском</w:t>
      </w:r>
      <w:r w:rsidRPr="007C51D6">
        <w:rPr>
          <w:rFonts w:eastAsia="Arial"/>
          <w:sz w:val="28"/>
          <w:szCs w:val="28"/>
        </w:rPr>
        <w:t xml:space="preserve"> (</w:t>
      </w:r>
      <w:r w:rsidR="00B7368D" w:rsidRPr="007C51D6">
        <w:rPr>
          <w:rFonts w:eastAsia="Arial"/>
          <w:sz w:val="28"/>
          <w:szCs w:val="28"/>
        </w:rPr>
        <w:t>30</w:t>
      </w:r>
      <w:r w:rsidRPr="007C51D6">
        <w:rPr>
          <w:rFonts w:eastAsia="Arial"/>
          <w:sz w:val="28"/>
          <w:szCs w:val="28"/>
        </w:rPr>
        <w:t>,</w:t>
      </w:r>
      <w:r w:rsidR="00B7368D" w:rsidRPr="007C51D6">
        <w:rPr>
          <w:rFonts w:eastAsia="Arial"/>
          <w:sz w:val="28"/>
          <w:szCs w:val="28"/>
        </w:rPr>
        <w:t>0</w:t>
      </w:r>
      <w:r w:rsidRPr="007C51D6">
        <w:rPr>
          <w:rFonts w:eastAsia="Arial"/>
          <w:sz w:val="28"/>
          <w:szCs w:val="28"/>
        </w:rPr>
        <w:t xml:space="preserve"> процента), </w:t>
      </w:r>
      <w:r w:rsidR="00B7368D" w:rsidRPr="007C51D6">
        <w:rPr>
          <w:rFonts w:eastAsia="Arial"/>
          <w:sz w:val="28"/>
          <w:szCs w:val="28"/>
        </w:rPr>
        <w:t>Новошешм</w:t>
      </w:r>
      <w:r w:rsidRPr="007C51D6">
        <w:rPr>
          <w:rFonts w:eastAsia="Arial"/>
          <w:sz w:val="28"/>
          <w:szCs w:val="28"/>
        </w:rPr>
        <w:t>инском (2</w:t>
      </w:r>
      <w:r w:rsidR="00B7368D" w:rsidRPr="007C51D6">
        <w:rPr>
          <w:rFonts w:eastAsia="Arial"/>
          <w:sz w:val="28"/>
          <w:szCs w:val="28"/>
        </w:rPr>
        <w:t>9</w:t>
      </w:r>
      <w:r w:rsidRPr="007C51D6">
        <w:rPr>
          <w:rFonts w:eastAsia="Arial"/>
          <w:sz w:val="28"/>
          <w:szCs w:val="28"/>
        </w:rPr>
        <w:t>,</w:t>
      </w:r>
      <w:r w:rsidR="00B7368D" w:rsidRPr="007C51D6">
        <w:rPr>
          <w:rFonts w:eastAsia="Arial"/>
          <w:sz w:val="28"/>
          <w:szCs w:val="28"/>
        </w:rPr>
        <w:t>2</w:t>
      </w:r>
      <w:r w:rsidRPr="007C51D6">
        <w:rPr>
          <w:rFonts w:eastAsia="Arial"/>
          <w:sz w:val="28"/>
          <w:szCs w:val="28"/>
        </w:rPr>
        <w:t xml:space="preserve"> процента), </w:t>
      </w:r>
      <w:r w:rsidR="00B7368D" w:rsidRPr="007C51D6">
        <w:rPr>
          <w:rFonts w:eastAsia="Arial"/>
          <w:sz w:val="28"/>
          <w:szCs w:val="28"/>
        </w:rPr>
        <w:t>Камско-Устьинском</w:t>
      </w:r>
      <w:r w:rsidRPr="007C51D6">
        <w:rPr>
          <w:rFonts w:eastAsia="Arial"/>
          <w:sz w:val="28"/>
          <w:szCs w:val="28"/>
        </w:rPr>
        <w:t xml:space="preserve"> (2</w:t>
      </w:r>
      <w:r w:rsidR="00B7368D" w:rsidRPr="007C51D6">
        <w:rPr>
          <w:rFonts w:eastAsia="Arial"/>
          <w:sz w:val="28"/>
          <w:szCs w:val="28"/>
        </w:rPr>
        <w:t>8</w:t>
      </w:r>
      <w:r w:rsidRPr="007C51D6">
        <w:rPr>
          <w:rFonts w:eastAsia="Arial"/>
          <w:sz w:val="28"/>
          <w:szCs w:val="28"/>
        </w:rPr>
        <w:t>,</w:t>
      </w:r>
      <w:r w:rsidR="00B7368D" w:rsidRPr="007C51D6">
        <w:rPr>
          <w:rFonts w:eastAsia="Arial"/>
          <w:sz w:val="28"/>
          <w:szCs w:val="28"/>
        </w:rPr>
        <w:t>8</w:t>
      </w:r>
      <w:r w:rsidRPr="007C51D6">
        <w:rPr>
          <w:rFonts w:eastAsia="Arial"/>
          <w:sz w:val="28"/>
          <w:szCs w:val="28"/>
        </w:rPr>
        <w:t xml:space="preserve"> процента), </w:t>
      </w:r>
      <w:r w:rsidR="00B7368D" w:rsidRPr="007C51D6">
        <w:rPr>
          <w:rFonts w:eastAsia="Arial"/>
          <w:sz w:val="28"/>
          <w:szCs w:val="28"/>
        </w:rPr>
        <w:t>Бугульмин</w:t>
      </w:r>
      <w:r w:rsidRPr="007C51D6">
        <w:rPr>
          <w:rFonts w:eastAsia="Arial"/>
          <w:sz w:val="28"/>
          <w:szCs w:val="28"/>
        </w:rPr>
        <w:t>ском (2</w:t>
      </w:r>
      <w:r w:rsidR="00B7368D" w:rsidRPr="007C51D6">
        <w:rPr>
          <w:rFonts w:eastAsia="Arial"/>
          <w:sz w:val="28"/>
          <w:szCs w:val="28"/>
        </w:rPr>
        <w:t>6</w:t>
      </w:r>
      <w:r w:rsidRPr="007C51D6">
        <w:rPr>
          <w:rFonts w:eastAsia="Arial"/>
          <w:sz w:val="28"/>
          <w:szCs w:val="28"/>
        </w:rPr>
        <w:t>,</w:t>
      </w:r>
      <w:r w:rsidR="00B7368D" w:rsidRPr="007C51D6">
        <w:rPr>
          <w:rFonts w:eastAsia="Arial"/>
          <w:sz w:val="28"/>
          <w:szCs w:val="28"/>
        </w:rPr>
        <w:t>7 процента</w:t>
      </w:r>
      <w:r w:rsidRPr="007C51D6">
        <w:rPr>
          <w:rFonts w:eastAsia="Arial"/>
          <w:sz w:val="28"/>
          <w:szCs w:val="28"/>
        </w:rPr>
        <w:t xml:space="preserve">), </w:t>
      </w:r>
      <w:r w:rsidR="00B7368D" w:rsidRPr="007C51D6">
        <w:rPr>
          <w:rFonts w:eastAsia="Arial"/>
          <w:sz w:val="28"/>
          <w:szCs w:val="28"/>
        </w:rPr>
        <w:t>Тетюш</w:t>
      </w:r>
      <w:r w:rsidRPr="007C51D6">
        <w:rPr>
          <w:rFonts w:eastAsia="Arial"/>
          <w:sz w:val="28"/>
          <w:szCs w:val="28"/>
        </w:rPr>
        <w:t>ском (2</w:t>
      </w:r>
      <w:r w:rsidR="00B7368D" w:rsidRPr="007C51D6">
        <w:rPr>
          <w:rFonts w:eastAsia="Arial"/>
          <w:sz w:val="28"/>
          <w:szCs w:val="28"/>
        </w:rPr>
        <w:t>6</w:t>
      </w:r>
      <w:r w:rsidRPr="007C51D6">
        <w:rPr>
          <w:rFonts w:eastAsia="Arial"/>
          <w:sz w:val="28"/>
          <w:szCs w:val="28"/>
        </w:rPr>
        <w:t>,</w:t>
      </w:r>
      <w:r w:rsidR="00B7368D" w:rsidRPr="007C51D6">
        <w:rPr>
          <w:rFonts w:eastAsia="Arial"/>
          <w:sz w:val="28"/>
          <w:szCs w:val="28"/>
        </w:rPr>
        <w:t>3</w:t>
      </w:r>
      <w:r w:rsidRPr="007C51D6">
        <w:rPr>
          <w:rFonts w:eastAsia="Arial"/>
          <w:sz w:val="28"/>
          <w:szCs w:val="28"/>
        </w:rPr>
        <w:t xml:space="preserve"> процента) м</w:t>
      </w:r>
      <w:r w:rsidR="000B5E3D" w:rsidRPr="007C51D6">
        <w:rPr>
          <w:rFonts w:eastAsia="Arial"/>
          <w:sz w:val="28"/>
          <w:szCs w:val="28"/>
        </w:rPr>
        <w:t>униципальных районах</w:t>
      </w:r>
      <w:r w:rsidR="00D928C1" w:rsidRPr="007C51D6">
        <w:rPr>
          <w:rFonts w:eastAsia="Arial"/>
          <w:sz w:val="28"/>
          <w:szCs w:val="28"/>
        </w:rPr>
        <w:t xml:space="preserve"> (таблица 13)</w:t>
      </w:r>
      <w:r w:rsidRPr="007C51D6">
        <w:rPr>
          <w:rFonts w:eastAsia="Arial"/>
          <w:sz w:val="28"/>
          <w:szCs w:val="28"/>
        </w:rPr>
        <w:t xml:space="preserve">. </w:t>
      </w:r>
    </w:p>
    <w:p w:rsidR="006F2E41" w:rsidRPr="007C51D6" w:rsidRDefault="006F2E41" w:rsidP="00DD05CA">
      <w:pPr>
        <w:autoSpaceDE/>
        <w:autoSpaceDN/>
        <w:adjustRightInd/>
        <w:ind w:firstLine="709"/>
        <w:jc w:val="both"/>
        <w:rPr>
          <w:rFonts w:eastAsia="Arial"/>
          <w:sz w:val="28"/>
          <w:szCs w:val="28"/>
        </w:rPr>
      </w:pPr>
    </w:p>
    <w:p w:rsidR="00000610" w:rsidRPr="007C51D6" w:rsidRDefault="00000610" w:rsidP="00945A90">
      <w:pPr>
        <w:autoSpaceDE/>
        <w:autoSpaceDN/>
        <w:adjustRightInd/>
        <w:ind w:left="6373" w:firstLine="709"/>
        <w:jc w:val="right"/>
        <w:rPr>
          <w:rFonts w:eastAsia="Arial"/>
          <w:sz w:val="28"/>
          <w:szCs w:val="28"/>
        </w:rPr>
      </w:pPr>
      <w:r w:rsidRPr="007C51D6">
        <w:rPr>
          <w:rFonts w:eastAsia="Arial"/>
          <w:sz w:val="28"/>
          <w:szCs w:val="28"/>
        </w:rPr>
        <w:t xml:space="preserve">Таблица </w:t>
      </w:r>
      <w:r w:rsidR="00BB3A22" w:rsidRPr="007C51D6">
        <w:rPr>
          <w:rFonts w:eastAsia="Arial"/>
          <w:sz w:val="28"/>
          <w:szCs w:val="28"/>
        </w:rPr>
        <w:t>1</w:t>
      </w:r>
      <w:r w:rsidR="00CB2704" w:rsidRPr="007C51D6">
        <w:rPr>
          <w:rFonts w:eastAsia="Arial"/>
          <w:sz w:val="28"/>
          <w:szCs w:val="28"/>
        </w:rPr>
        <w:t>4</w:t>
      </w:r>
    </w:p>
    <w:p w:rsidR="00813AD2" w:rsidRPr="007C51D6" w:rsidRDefault="00813AD2" w:rsidP="00813AD2">
      <w:pPr>
        <w:autoSpaceDE/>
        <w:autoSpaceDN/>
        <w:adjustRightInd/>
        <w:ind w:left="6372" w:right="111" w:firstLine="708"/>
        <w:jc w:val="right"/>
        <w:rPr>
          <w:rFonts w:eastAsia="Arial"/>
          <w:sz w:val="28"/>
          <w:szCs w:val="28"/>
        </w:rPr>
      </w:pPr>
    </w:p>
    <w:p w:rsidR="00000610" w:rsidRPr="007C51D6" w:rsidRDefault="00000610" w:rsidP="00813AD2">
      <w:pPr>
        <w:autoSpaceDE/>
        <w:autoSpaceDN/>
        <w:adjustRightInd/>
        <w:jc w:val="center"/>
        <w:rPr>
          <w:rFonts w:eastAsia="Arial"/>
          <w:sz w:val="28"/>
          <w:szCs w:val="28"/>
        </w:rPr>
      </w:pPr>
      <w:r w:rsidRPr="007C51D6">
        <w:rPr>
          <w:rFonts w:eastAsia="Arial"/>
          <w:sz w:val="28"/>
          <w:szCs w:val="28"/>
        </w:rPr>
        <w:t xml:space="preserve">Динамика показателя </w:t>
      </w:r>
      <w:r w:rsidR="002F7358" w:rsidRPr="007C51D6">
        <w:rPr>
          <w:rFonts w:eastAsia="Arial"/>
          <w:sz w:val="28"/>
          <w:szCs w:val="28"/>
        </w:rPr>
        <w:t>«</w:t>
      </w:r>
      <w:r w:rsidR="00BF29FA" w:rsidRPr="007C51D6">
        <w:rPr>
          <w:rFonts w:eastAsia="Arial"/>
          <w:sz w:val="28"/>
          <w:szCs w:val="28"/>
        </w:rPr>
        <w:t>Л</w:t>
      </w:r>
      <w:r w:rsidRPr="007C51D6">
        <w:rPr>
          <w:rFonts w:eastAsia="Arial"/>
          <w:sz w:val="28"/>
          <w:szCs w:val="28"/>
        </w:rPr>
        <w:t xml:space="preserve">етальность пациентов на </w:t>
      </w:r>
      <w:r w:rsidR="004169FC" w:rsidRPr="007C51D6">
        <w:rPr>
          <w:rFonts w:eastAsia="Arial"/>
          <w:sz w:val="28"/>
          <w:szCs w:val="28"/>
        </w:rPr>
        <w:t>первом</w:t>
      </w:r>
      <w:r w:rsidRPr="007C51D6">
        <w:rPr>
          <w:rFonts w:eastAsia="Arial"/>
          <w:sz w:val="28"/>
          <w:szCs w:val="28"/>
        </w:rPr>
        <w:t xml:space="preserve"> году жизни с момента установления диагноза</w:t>
      </w:r>
      <w:r w:rsidR="002F7358" w:rsidRPr="007C51D6">
        <w:rPr>
          <w:rFonts w:eastAsia="Arial"/>
          <w:sz w:val="28"/>
          <w:szCs w:val="28"/>
        </w:rPr>
        <w:t>»</w:t>
      </w:r>
      <w:r w:rsidRPr="007C51D6">
        <w:rPr>
          <w:rFonts w:eastAsia="Arial"/>
          <w:sz w:val="28"/>
          <w:szCs w:val="28"/>
        </w:rPr>
        <w:t xml:space="preserve"> </w:t>
      </w:r>
    </w:p>
    <w:p w:rsidR="004D46BE" w:rsidRPr="007C51D6" w:rsidRDefault="00000610" w:rsidP="00813AD2">
      <w:pPr>
        <w:autoSpaceDE/>
        <w:autoSpaceDN/>
        <w:adjustRightInd/>
        <w:jc w:val="center"/>
        <w:rPr>
          <w:rFonts w:eastAsia="Arial"/>
          <w:sz w:val="28"/>
          <w:szCs w:val="28"/>
        </w:rPr>
      </w:pPr>
      <w:r w:rsidRPr="007C51D6">
        <w:rPr>
          <w:rFonts w:eastAsia="Arial"/>
          <w:sz w:val="28"/>
          <w:szCs w:val="28"/>
        </w:rPr>
        <w:t xml:space="preserve">при различных локализациях </w:t>
      </w:r>
      <w:r w:rsidR="007F3AFB" w:rsidRPr="007C51D6">
        <w:rPr>
          <w:rFonts w:eastAsia="Arial"/>
          <w:sz w:val="28"/>
          <w:szCs w:val="28"/>
        </w:rPr>
        <w:t>ЗНО</w:t>
      </w:r>
      <w:r w:rsidRPr="007C51D6">
        <w:rPr>
          <w:rFonts w:eastAsia="Arial"/>
          <w:sz w:val="28"/>
          <w:szCs w:val="28"/>
        </w:rPr>
        <w:t xml:space="preserve"> в Республике Татарстан</w:t>
      </w:r>
      <w:r w:rsidR="004D46BE" w:rsidRPr="007C51D6">
        <w:rPr>
          <w:rFonts w:eastAsia="Arial"/>
          <w:sz w:val="28"/>
          <w:szCs w:val="28"/>
        </w:rPr>
        <w:t xml:space="preserve"> </w:t>
      </w:r>
    </w:p>
    <w:p w:rsidR="00000610" w:rsidRPr="007C51D6" w:rsidRDefault="004D46BE" w:rsidP="00813AD2">
      <w:pPr>
        <w:autoSpaceDE/>
        <w:autoSpaceDN/>
        <w:adjustRightInd/>
        <w:jc w:val="center"/>
        <w:rPr>
          <w:rFonts w:eastAsia="Arial"/>
          <w:sz w:val="28"/>
          <w:szCs w:val="28"/>
        </w:rPr>
      </w:pPr>
      <w:r w:rsidRPr="007C51D6">
        <w:rPr>
          <w:rFonts w:eastAsia="Arial"/>
          <w:sz w:val="28"/>
          <w:szCs w:val="28"/>
        </w:rPr>
        <w:t>в 201</w:t>
      </w:r>
      <w:r w:rsidR="008F062A" w:rsidRPr="007C51D6">
        <w:rPr>
          <w:rFonts w:eastAsia="Arial"/>
          <w:sz w:val="28"/>
          <w:szCs w:val="28"/>
        </w:rPr>
        <w:t>6</w:t>
      </w:r>
      <w:r w:rsidRPr="007C51D6">
        <w:rPr>
          <w:rFonts w:eastAsia="Arial"/>
          <w:sz w:val="28"/>
          <w:szCs w:val="28"/>
        </w:rPr>
        <w:t xml:space="preserve"> – 202</w:t>
      </w:r>
      <w:r w:rsidR="008F062A" w:rsidRPr="007C51D6">
        <w:rPr>
          <w:rFonts w:eastAsia="Arial"/>
          <w:sz w:val="28"/>
          <w:szCs w:val="28"/>
        </w:rPr>
        <w:t>5</w:t>
      </w:r>
      <w:r w:rsidRPr="007C51D6">
        <w:rPr>
          <w:rFonts w:eastAsia="Arial"/>
          <w:sz w:val="28"/>
          <w:szCs w:val="28"/>
        </w:rPr>
        <w:t xml:space="preserve"> годах </w:t>
      </w:r>
    </w:p>
    <w:p w:rsidR="00000610" w:rsidRPr="007C51D6" w:rsidRDefault="00000610" w:rsidP="00813AD2">
      <w:pPr>
        <w:autoSpaceDE/>
        <w:autoSpaceDN/>
        <w:adjustRightInd/>
        <w:ind w:left="1080"/>
        <w:rPr>
          <w:rFonts w:eastAsia="Arial"/>
          <w:sz w:val="28"/>
          <w:szCs w:val="28"/>
        </w:rPr>
      </w:pPr>
    </w:p>
    <w:p w:rsidR="009A1372" w:rsidRDefault="004A6001" w:rsidP="004A6001">
      <w:pPr>
        <w:autoSpaceDE/>
        <w:autoSpaceDN/>
        <w:adjustRightInd/>
        <w:ind w:left="1080"/>
        <w:jc w:val="right"/>
        <w:rPr>
          <w:rFonts w:eastAsia="Arial"/>
          <w:sz w:val="20"/>
          <w:szCs w:val="20"/>
        </w:rPr>
      </w:pPr>
      <w:r w:rsidRPr="007C51D6">
        <w:rPr>
          <w:rFonts w:eastAsia="Arial"/>
          <w:sz w:val="20"/>
          <w:szCs w:val="20"/>
        </w:rPr>
        <w:t>(процентов)</w:t>
      </w:r>
    </w:p>
    <w:p w:rsidR="002B1FCB" w:rsidRDefault="002B1FCB" w:rsidP="004A6001">
      <w:pPr>
        <w:autoSpaceDE/>
        <w:autoSpaceDN/>
        <w:adjustRightInd/>
        <w:ind w:left="1080"/>
        <w:jc w:val="right"/>
        <w:rPr>
          <w:rFonts w:eastAsia="Arial"/>
          <w:sz w:val="20"/>
          <w:szCs w:val="20"/>
        </w:rPr>
      </w:pPr>
    </w:p>
    <w:tbl>
      <w:tblPr>
        <w:tblStyle w:val="213"/>
        <w:tblW w:w="15282" w:type="dxa"/>
        <w:tblBorders>
          <w:bottom w:val="single" w:sz="4" w:space="0" w:color="auto"/>
        </w:tblBorders>
        <w:tblLayout w:type="fixed"/>
        <w:tblLook w:val="04A0" w:firstRow="1" w:lastRow="0" w:firstColumn="1" w:lastColumn="0" w:noHBand="0" w:noVBand="1"/>
      </w:tblPr>
      <w:tblGrid>
        <w:gridCol w:w="4528"/>
        <w:gridCol w:w="938"/>
        <w:gridCol w:w="1224"/>
        <w:gridCol w:w="1133"/>
        <w:gridCol w:w="1133"/>
        <w:gridCol w:w="1133"/>
        <w:gridCol w:w="948"/>
        <w:gridCol w:w="902"/>
        <w:gridCol w:w="911"/>
        <w:gridCol w:w="1216"/>
        <w:gridCol w:w="1216"/>
      </w:tblGrid>
      <w:tr w:rsidR="00556B2B" w:rsidRPr="007C51D6" w:rsidTr="00556B2B">
        <w:trPr>
          <w:trHeight w:val="20"/>
        </w:trPr>
        <w:tc>
          <w:tcPr>
            <w:tcW w:w="4528" w:type="dxa"/>
          </w:tcPr>
          <w:p w:rsidR="00556B2B" w:rsidRPr="007C51D6" w:rsidRDefault="00556B2B" w:rsidP="00DC67CB">
            <w:pPr>
              <w:autoSpaceDE/>
              <w:autoSpaceDN/>
              <w:adjustRightInd/>
              <w:jc w:val="center"/>
              <w:rPr>
                <w:rFonts w:eastAsia="Arial"/>
                <w:sz w:val="20"/>
                <w:szCs w:val="22"/>
              </w:rPr>
            </w:pPr>
            <w:r w:rsidRPr="007C51D6">
              <w:rPr>
                <w:rFonts w:eastAsia="Arial"/>
                <w:sz w:val="20"/>
                <w:szCs w:val="22"/>
              </w:rPr>
              <w:t xml:space="preserve">Локализация </w:t>
            </w:r>
            <w:r w:rsidRPr="007C51D6">
              <w:rPr>
                <w:rFonts w:eastAsia="Arial"/>
                <w:sz w:val="20"/>
                <w:szCs w:val="20"/>
              </w:rPr>
              <w:t>ЗНО</w:t>
            </w:r>
          </w:p>
        </w:tc>
        <w:tc>
          <w:tcPr>
            <w:tcW w:w="938" w:type="dxa"/>
          </w:tcPr>
          <w:p w:rsidR="00556B2B" w:rsidRPr="007C51D6" w:rsidRDefault="00556B2B" w:rsidP="00DC67CB">
            <w:pPr>
              <w:autoSpaceDE/>
              <w:autoSpaceDN/>
              <w:adjustRightInd/>
              <w:jc w:val="center"/>
              <w:rPr>
                <w:rFonts w:eastAsia="Arial"/>
                <w:sz w:val="20"/>
                <w:szCs w:val="22"/>
              </w:rPr>
            </w:pPr>
            <w:r w:rsidRPr="007C51D6">
              <w:rPr>
                <w:rFonts w:eastAsia="Arial"/>
                <w:sz w:val="20"/>
                <w:szCs w:val="22"/>
              </w:rPr>
              <w:t>2016 г.</w:t>
            </w:r>
          </w:p>
        </w:tc>
        <w:tc>
          <w:tcPr>
            <w:tcW w:w="1224" w:type="dxa"/>
          </w:tcPr>
          <w:p w:rsidR="00556B2B" w:rsidRPr="007C51D6" w:rsidRDefault="00556B2B" w:rsidP="00DC67CB">
            <w:pPr>
              <w:autoSpaceDE/>
              <w:autoSpaceDN/>
              <w:adjustRightInd/>
              <w:jc w:val="center"/>
              <w:rPr>
                <w:rFonts w:eastAsia="Arial"/>
                <w:sz w:val="20"/>
                <w:szCs w:val="22"/>
              </w:rPr>
            </w:pPr>
            <w:r w:rsidRPr="007C51D6">
              <w:rPr>
                <w:rFonts w:eastAsia="Arial"/>
                <w:sz w:val="20"/>
                <w:szCs w:val="22"/>
              </w:rPr>
              <w:t>2017 г.</w:t>
            </w:r>
          </w:p>
        </w:tc>
        <w:tc>
          <w:tcPr>
            <w:tcW w:w="1133" w:type="dxa"/>
          </w:tcPr>
          <w:p w:rsidR="00556B2B" w:rsidRPr="007C51D6" w:rsidRDefault="00556B2B" w:rsidP="00DC67CB">
            <w:pPr>
              <w:autoSpaceDE/>
              <w:autoSpaceDN/>
              <w:adjustRightInd/>
              <w:jc w:val="center"/>
              <w:rPr>
                <w:rFonts w:eastAsia="Arial"/>
                <w:sz w:val="20"/>
                <w:szCs w:val="22"/>
              </w:rPr>
            </w:pPr>
            <w:r w:rsidRPr="007C51D6">
              <w:rPr>
                <w:rFonts w:eastAsia="Arial"/>
                <w:sz w:val="20"/>
                <w:szCs w:val="22"/>
              </w:rPr>
              <w:t>2018 г.</w:t>
            </w:r>
          </w:p>
        </w:tc>
        <w:tc>
          <w:tcPr>
            <w:tcW w:w="1133" w:type="dxa"/>
          </w:tcPr>
          <w:p w:rsidR="00556B2B" w:rsidRPr="007C51D6" w:rsidRDefault="00556B2B" w:rsidP="00DC67CB">
            <w:pPr>
              <w:autoSpaceDE/>
              <w:autoSpaceDN/>
              <w:adjustRightInd/>
              <w:jc w:val="center"/>
              <w:rPr>
                <w:rFonts w:eastAsia="Arial"/>
                <w:sz w:val="20"/>
                <w:szCs w:val="22"/>
              </w:rPr>
            </w:pPr>
            <w:r w:rsidRPr="007C51D6">
              <w:rPr>
                <w:rFonts w:eastAsia="Arial"/>
                <w:sz w:val="20"/>
                <w:szCs w:val="22"/>
              </w:rPr>
              <w:t>2019 г.</w:t>
            </w:r>
          </w:p>
        </w:tc>
        <w:tc>
          <w:tcPr>
            <w:tcW w:w="1133" w:type="dxa"/>
          </w:tcPr>
          <w:p w:rsidR="00556B2B" w:rsidRPr="007C51D6" w:rsidRDefault="00556B2B" w:rsidP="00DC67CB">
            <w:pPr>
              <w:autoSpaceDE/>
              <w:autoSpaceDN/>
              <w:adjustRightInd/>
              <w:jc w:val="center"/>
              <w:rPr>
                <w:rFonts w:eastAsia="Arial"/>
                <w:sz w:val="20"/>
                <w:szCs w:val="22"/>
              </w:rPr>
            </w:pPr>
            <w:r w:rsidRPr="007C51D6">
              <w:rPr>
                <w:rFonts w:eastAsia="Arial"/>
                <w:sz w:val="20"/>
                <w:szCs w:val="22"/>
              </w:rPr>
              <w:t>2020 г.</w:t>
            </w:r>
          </w:p>
        </w:tc>
        <w:tc>
          <w:tcPr>
            <w:tcW w:w="948" w:type="dxa"/>
          </w:tcPr>
          <w:p w:rsidR="00556B2B" w:rsidRPr="007C51D6" w:rsidRDefault="00556B2B" w:rsidP="00DC67CB">
            <w:pPr>
              <w:autoSpaceDE/>
              <w:autoSpaceDN/>
              <w:adjustRightInd/>
              <w:jc w:val="center"/>
              <w:rPr>
                <w:rFonts w:eastAsia="Arial"/>
                <w:sz w:val="20"/>
                <w:szCs w:val="22"/>
              </w:rPr>
            </w:pPr>
            <w:r w:rsidRPr="007C51D6">
              <w:rPr>
                <w:rFonts w:eastAsia="Arial"/>
                <w:sz w:val="20"/>
                <w:szCs w:val="22"/>
              </w:rPr>
              <w:t>2021 г.</w:t>
            </w:r>
          </w:p>
        </w:tc>
        <w:tc>
          <w:tcPr>
            <w:tcW w:w="902" w:type="dxa"/>
          </w:tcPr>
          <w:p w:rsidR="00556B2B" w:rsidRPr="007C51D6" w:rsidRDefault="00556B2B" w:rsidP="00DC67CB">
            <w:pPr>
              <w:autoSpaceDE/>
              <w:autoSpaceDN/>
              <w:adjustRightInd/>
              <w:jc w:val="center"/>
              <w:rPr>
                <w:rFonts w:eastAsia="Arial"/>
                <w:sz w:val="20"/>
                <w:szCs w:val="22"/>
              </w:rPr>
            </w:pPr>
            <w:r w:rsidRPr="007C51D6">
              <w:rPr>
                <w:rFonts w:eastAsia="Arial"/>
                <w:sz w:val="20"/>
                <w:szCs w:val="22"/>
              </w:rPr>
              <w:t>2022 г.</w:t>
            </w:r>
          </w:p>
        </w:tc>
        <w:tc>
          <w:tcPr>
            <w:tcW w:w="911" w:type="dxa"/>
          </w:tcPr>
          <w:p w:rsidR="00556B2B" w:rsidRPr="007C51D6" w:rsidRDefault="00556B2B" w:rsidP="00DC67CB">
            <w:pPr>
              <w:autoSpaceDE/>
              <w:autoSpaceDN/>
              <w:adjustRightInd/>
              <w:jc w:val="center"/>
              <w:rPr>
                <w:rFonts w:eastAsia="Arial"/>
                <w:sz w:val="20"/>
                <w:szCs w:val="22"/>
              </w:rPr>
            </w:pPr>
            <w:r w:rsidRPr="007C51D6">
              <w:rPr>
                <w:rFonts w:eastAsia="Arial"/>
                <w:sz w:val="20"/>
                <w:szCs w:val="22"/>
              </w:rPr>
              <w:t>2023 г.</w:t>
            </w:r>
          </w:p>
        </w:tc>
        <w:tc>
          <w:tcPr>
            <w:tcW w:w="1216" w:type="dxa"/>
          </w:tcPr>
          <w:p w:rsidR="00556B2B" w:rsidRPr="007C51D6" w:rsidRDefault="00556B2B" w:rsidP="00DC67CB">
            <w:pPr>
              <w:autoSpaceDE/>
              <w:autoSpaceDN/>
              <w:adjustRightInd/>
              <w:jc w:val="center"/>
              <w:rPr>
                <w:rFonts w:eastAsia="Arial"/>
                <w:sz w:val="20"/>
                <w:szCs w:val="22"/>
              </w:rPr>
            </w:pPr>
            <w:r w:rsidRPr="007C51D6">
              <w:rPr>
                <w:rFonts w:eastAsia="Arial"/>
                <w:sz w:val="20"/>
                <w:szCs w:val="22"/>
              </w:rPr>
              <w:t>2024 г.</w:t>
            </w:r>
          </w:p>
        </w:tc>
        <w:tc>
          <w:tcPr>
            <w:tcW w:w="1216" w:type="dxa"/>
          </w:tcPr>
          <w:p w:rsidR="00556B2B" w:rsidRPr="007C51D6" w:rsidRDefault="00556B2B" w:rsidP="00DC67CB">
            <w:pPr>
              <w:autoSpaceDE/>
              <w:autoSpaceDN/>
              <w:adjustRightInd/>
              <w:jc w:val="center"/>
              <w:rPr>
                <w:rFonts w:eastAsia="Arial"/>
                <w:sz w:val="20"/>
                <w:szCs w:val="22"/>
              </w:rPr>
            </w:pPr>
            <w:r w:rsidRPr="007C51D6">
              <w:rPr>
                <w:rFonts w:eastAsia="Arial"/>
                <w:sz w:val="20"/>
                <w:szCs w:val="22"/>
              </w:rPr>
              <w:t>2025 г.*</w:t>
            </w:r>
          </w:p>
        </w:tc>
      </w:tr>
    </w:tbl>
    <w:p w:rsidR="00556B2B" w:rsidRDefault="00556B2B" w:rsidP="00556B2B">
      <w:pPr>
        <w:autoSpaceDE/>
        <w:autoSpaceDN/>
        <w:adjustRightInd/>
        <w:spacing w:line="72" w:lineRule="auto"/>
        <w:ind w:left="1077"/>
        <w:rPr>
          <w:rFonts w:eastAsia="Arial"/>
          <w:sz w:val="20"/>
          <w:szCs w:val="20"/>
        </w:rPr>
      </w:pPr>
    </w:p>
    <w:tbl>
      <w:tblPr>
        <w:tblStyle w:val="213"/>
        <w:tblW w:w="15282" w:type="dxa"/>
        <w:tblLayout w:type="fixed"/>
        <w:tblLook w:val="04A0" w:firstRow="1" w:lastRow="0" w:firstColumn="1" w:lastColumn="0" w:noHBand="0" w:noVBand="1"/>
      </w:tblPr>
      <w:tblGrid>
        <w:gridCol w:w="4528"/>
        <w:gridCol w:w="938"/>
        <w:gridCol w:w="1224"/>
        <w:gridCol w:w="1133"/>
        <w:gridCol w:w="1133"/>
        <w:gridCol w:w="1133"/>
        <w:gridCol w:w="948"/>
        <w:gridCol w:w="902"/>
        <w:gridCol w:w="911"/>
        <w:gridCol w:w="1216"/>
        <w:gridCol w:w="1209"/>
        <w:gridCol w:w="7"/>
      </w:tblGrid>
      <w:tr w:rsidR="009A1372" w:rsidRPr="007C51D6" w:rsidTr="009A1372">
        <w:trPr>
          <w:trHeight w:val="20"/>
          <w:tblHeader/>
        </w:trPr>
        <w:tc>
          <w:tcPr>
            <w:tcW w:w="4528" w:type="dxa"/>
            <w:tcBorders>
              <w:right w:val="single" w:sz="4" w:space="0" w:color="auto"/>
            </w:tcBorders>
          </w:tcPr>
          <w:p w:rsidR="009A1372" w:rsidRPr="007C51D6" w:rsidRDefault="009A1372" w:rsidP="009A1372">
            <w:pPr>
              <w:autoSpaceDE/>
              <w:autoSpaceDN/>
              <w:adjustRightInd/>
              <w:jc w:val="center"/>
              <w:rPr>
                <w:rFonts w:eastAsia="Arial"/>
                <w:sz w:val="20"/>
                <w:szCs w:val="22"/>
              </w:rPr>
            </w:pPr>
            <w:r w:rsidRPr="007C51D6">
              <w:rPr>
                <w:rFonts w:eastAsia="Arial"/>
                <w:sz w:val="20"/>
                <w:szCs w:val="22"/>
              </w:rPr>
              <w:t>1</w:t>
            </w:r>
          </w:p>
        </w:tc>
        <w:tc>
          <w:tcPr>
            <w:tcW w:w="938" w:type="dxa"/>
            <w:tcBorders>
              <w:left w:val="single" w:sz="4" w:space="0" w:color="auto"/>
            </w:tcBorders>
          </w:tcPr>
          <w:p w:rsidR="009A1372" w:rsidRPr="007C51D6" w:rsidRDefault="00592896" w:rsidP="00592896">
            <w:pPr>
              <w:autoSpaceDE/>
              <w:autoSpaceDN/>
              <w:adjustRightInd/>
              <w:jc w:val="center"/>
              <w:rPr>
                <w:rFonts w:eastAsia="Arial"/>
                <w:sz w:val="20"/>
                <w:szCs w:val="22"/>
              </w:rPr>
            </w:pPr>
            <w:r w:rsidRPr="007C51D6">
              <w:rPr>
                <w:rFonts w:eastAsia="Arial"/>
                <w:sz w:val="20"/>
                <w:szCs w:val="22"/>
              </w:rPr>
              <w:t>2</w:t>
            </w:r>
          </w:p>
        </w:tc>
        <w:tc>
          <w:tcPr>
            <w:tcW w:w="1224" w:type="dxa"/>
          </w:tcPr>
          <w:p w:rsidR="009A1372" w:rsidRPr="007C51D6" w:rsidRDefault="00592896" w:rsidP="00592896">
            <w:pPr>
              <w:autoSpaceDE/>
              <w:autoSpaceDN/>
              <w:adjustRightInd/>
              <w:jc w:val="center"/>
              <w:rPr>
                <w:rFonts w:eastAsia="Arial"/>
                <w:sz w:val="20"/>
                <w:szCs w:val="22"/>
              </w:rPr>
            </w:pPr>
            <w:r w:rsidRPr="007C51D6">
              <w:rPr>
                <w:rFonts w:eastAsia="Arial"/>
                <w:sz w:val="20"/>
                <w:szCs w:val="22"/>
              </w:rPr>
              <w:t>3</w:t>
            </w:r>
          </w:p>
        </w:tc>
        <w:tc>
          <w:tcPr>
            <w:tcW w:w="1133" w:type="dxa"/>
          </w:tcPr>
          <w:p w:rsidR="009A1372" w:rsidRPr="007C51D6" w:rsidRDefault="00592896" w:rsidP="00592896">
            <w:pPr>
              <w:autoSpaceDE/>
              <w:autoSpaceDN/>
              <w:adjustRightInd/>
              <w:jc w:val="center"/>
              <w:rPr>
                <w:rFonts w:eastAsia="Arial"/>
                <w:sz w:val="20"/>
                <w:szCs w:val="22"/>
              </w:rPr>
            </w:pPr>
            <w:r w:rsidRPr="007C51D6">
              <w:rPr>
                <w:rFonts w:eastAsia="Arial"/>
                <w:sz w:val="20"/>
                <w:szCs w:val="22"/>
              </w:rPr>
              <w:t>4</w:t>
            </w:r>
          </w:p>
        </w:tc>
        <w:tc>
          <w:tcPr>
            <w:tcW w:w="1133" w:type="dxa"/>
          </w:tcPr>
          <w:p w:rsidR="009A1372" w:rsidRPr="007C51D6" w:rsidRDefault="00592896" w:rsidP="00592896">
            <w:pPr>
              <w:autoSpaceDE/>
              <w:autoSpaceDN/>
              <w:adjustRightInd/>
              <w:jc w:val="center"/>
              <w:rPr>
                <w:rFonts w:eastAsia="Arial"/>
                <w:sz w:val="20"/>
                <w:szCs w:val="22"/>
              </w:rPr>
            </w:pPr>
            <w:r w:rsidRPr="007C51D6">
              <w:rPr>
                <w:rFonts w:eastAsia="Arial"/>
                <w:sz w:val="20"/>
                <w:szCs w:val="22"/>
              </w:rPr>
              <w:t>5</w:t>
            </w:r>
          </w:p>
        </w:tc>
        <w:tc>
          <w:tcPr>
            <w:tcW w:w="1133" w:type="dxa"/>
          </w:tcPr>
          <w:p w:rsidR="009A1372" w:rsidRPr="007C51D6" w:rsidRDefault="00592896" w:rsidP="00592896">
            <w:pPr>
              <w:autoSpaceDE/>
              <w:autoSpaceDN/>
              <w:adjustRightInd/>
              <w:jc w:val="center"/>
              <w:rPr>
                <w:rFonts w:eastAsia="Arial"/>
                <w:sz w:val="20"/>
                <w:szCs w:val="22"/>
              </w:rPr>
            </w:pPr>
            <w:r w:rsidRPr="007C51D6">
              <w:rPr>
                <w:rFonts w:eastAsia="Arial"/>
                <w:sz w:val="20"/>
                <w:szCs w:val="22"/>
              </w:rPr>
              <w:t>6</w:t>
            </w:r>
          </w:p>
        </w:tc>
        <w:tc>
          <w:tcPr>
            <w:tcW w:w="948" w:type="dxa"/>
          </w:tcPr>
          <w:p w:rsidR="009A1372" w:rsidRPr="007C51D6" w:rsidRDefault="00592896" w:rsidP="00592896">
            <w:pPr>
              <w:autoSpaceDE/>
              <w:autoSpaceDN/>
              <w:adjustRightInd/>
              <w:jc w:val="center"/>
              <w:rPr>
                <w:rFonts w:eastAsia="Arial"/>
                <w:sz w:val="20"/>
                <w:szCs w:val="22"/>
              </w:rPr>
            </w:pPr>
            <w:r w:rsidRPr="007C51D6">
              <w:rPr>
                <w:rFonts w:eastAsia="Arial"/>
                <w:sz w:val="20"/>
                <w:szCs w:val="22"/>
              </w:rPr>
              <w:t>7</w:t>
            </w:r>
          </w:p>
        </w:tc>
        <w:tc>
          <w:tcPr>
            <w:tcW w:w="902" w:type="dxa"/>
          </w:tcPr>
          <w:p w:rsidR="009A1372" w:rsidRPr="007C51D6" w:rsidRDefault="00592896" w:rsidP="00592896">
            <w:pPr>
              <w:autoSpaceDE/>
              <w:autoSpaceDN/>
              <w:adjustRightInd/>
              <w:jc w:val="center"/>
              <w:rPr>
                <w:rFonts w:eastAsia="Arial"/>
                <w:sz w:val="20"/>
                <w:szCs w:val="22"/>
              </w:rPr>
            </w:pPr>
            <w:r w:rsidRPr="007C51D6">
              <w:rPr>
                <w:rFonts w:eastAsia="Arial"/>
                <w:sz w:val="20"/>
                <w:szCs w:val="22"/>
              </w:rPr>
              <w:t>8</w:t>
            </w:r>
          </w:p>
        </w:tc>
        <w:tc>
          <w:tcPr>
            <w:tcW w:w="911" w:type="dxa"/>
            <w:tcBorders>
              <w:right w:val="single" w:sz="4" w:space="0" w:color="auto"/>
            </w:tcBorders>
          </w:tcPr>
          <w:p w:rsidR="009A1372" w:rsidRPr="007C51D6" w:rsidRDefault="00592896" w:rsidP="00592896">
            <w:pPr>
              <w:autoSpaceDE/>
              <w:autoSpaceDN/>
              <w:adjustRightInd/>
              <w:jc w:val="center"/>
              <w:rPr>
                <w:rFonts w:eastAsia="Arial"/>
                <w:sz w:val="20"/>
                <w:szCs w:val="22"/>
              </w:rPr>
            </w:pPr>
            <w:r w:rsidRPr="007C51D6">
              <w:rPr>
                <w:rFonts w:eastAsia="Arial"/>
                <w:sz w:val="20"/>
                <w:szCs w:val="22"/>
              </w:rPr>
              <w:t>9</w:t>
            </w:r>
          </w:p>
        </w:tc>
        <w:tc>
          <w:tcPr>
            <w:tcW w:w="1216" w:type="dxa"/>
            <w:tcBorders>
              <w:left w:val="single" w:sz="4" w:space="0" w:color="auto"/>
            </w:tcBorders>
          </w:tcPr>
          <w:p w:rsidR="009A1372" w:rsidRPr="007C51D6" w:rsidRDefault="009A1372" w:rsidP="00592896">
            <w:pPr>
              <w:autoSpaceDE/>
              <w:autoSpaceDN/>
              <w:adjustRightInd/>
              <w:jc w:val="center"/>
              <w:rPr>
                <w:rFonts w:eastAsia="Arial"/>
                <w:sz w:val="20"/>
                <w:szCs w:val="22"/>
              </w:rPr>
            </w:pPr>
            <w:r w:rsidRPr="007C51D6">
              <w:rPr>
                <w:rFonts w:eastAsia="Arial"/>
                <w:sz w:val="20"/>
                <w:szCs w:val="22"/>
              </w:rPr>
              <w:t>1</w:t>
            </w:r>
            <w:r w:rsidR="00592896" w:rsidRPr="007C51D6">
              <w:rPr>
                <w:rFonts w:eastAsia="Arial"/>
                <w:sz w:val="20"/>
                <w:szCs w:val="22"/>
              </w:rPr>
              <w:t>0</w:t>
            </w:r>
          </w:p>
        </w:tc>
        <w:tc>
          <w:tcPr>
            <w:tcW w:w="1216" w:type="dxa"/>
            <w:gridSpan w:val="2"/>
            <w:tcBorders>
              <w:left w:val="single" w:sz="4" w:space="0" w:color="auto"/>
            </w:tcBorders>
          </w:tcPr>
          <w:p w:rsidR="009A1372" w:rsidRPr="007C51D6" w:rsidRDefault="00592896" w:rsidP="009A1372">
            <w:pPr>
              <w:autoSpaceDE/>
              <w:autoSpaceDN/>
              <w:adjustRightInd/>
              <w:jc w:val="center"/>
              <w:rPr>
                <w:rFonts w:eastAsia="Arial"/>
                <w:sz w:val="20"/>
                <w:szCs w:val="22"/>
              </w:rPr>
            </w:pPr>
            <w:r w:rsidRPr="007C51D6">
              <w:rPr>
                <w:rFonts w:eastAsia="Arial"/>
                <w:sz w:val="20"/>
                <w:szCs w:val="22"/>
              </w:rPr>
              <w:t>11</w:t>
            </w:r>
          </w:p>
        </w:tc>
      </w:tr>
      <w:tr w:rsidR="00556B2B" w:rsidRPr="007C51D6" w:rsidTr="00DC67CB">
        <w:trPr>
          <w:trHeight w:val="20"/>
        </w:trPr>
        <w:tc>
          <w:tcPr>
            <w:tcW w:w="15282" w:type="dxa"/>
            <w:gridSpan w:val="12"/>
          </w:tcPr>
          <w:p w:rsidR="00556B2B" w:rsidRPr="007C51D6" w:rsidRDefault="00556B2B" w:rsidP="009A1372">
            <w:pPr>
              <w:jc w:val="center"/>
              <w:rPr>
                <w:color w:val="000000"/>
                <w:sz w:val="20"/>
                <w:szCs w:val="20"/>
              </w:rPr>
            </w:pPr>
            <w:r w:rsidRPr="007C51D6">
              <w:rPr>
                <w:color w:val="000000"/>
                <w:sz w:val="20"/>
                <w:szCs w:val="20"/>
              </w:rPr>
              <w:t>Мужчины</w:t>
            </w:r>
          </w:p>
        </w:tc>
      </w:tr>
      <w:tr w:rsidR="00B7368D" w:rsidRPr="007C51D6" w:rsidTr="006A40DD">
        <w:trPr>
          <w:trHeight w:val="20"/>
        </w:trPr>
        <w:tc>
          <w:tcPr>
            <w:tcW w:w="4528" w:type="dxa"/>
            <w:tcBorders>
              <w:right w:val="single" w:sz="4" w:space="0" w:color="auto"/>
            </w:tcBorders>
            <w:hideMark/>
          </w:tcPr>
          <w:p w:rsidR="00B7368D" w:rsidRPr="007C51D6" w:rsidRDefault="00B7368D" w:rsidP="00B7368D">
            <w:pPr>
              <w:autoSpaceDE/>
              <w:autoSpaceDN/>
              <w:adjustRightInd/>
              <w:jc w:val="both"/>
              <w:rPr>
                <w:color w:val="000000"/>
                <w:sz w:val="20"/>
                <w:szCs w:val="20"/>
              </w:rPr>
            </w:pPr>
            <w:r w:rsidRPr="007C51D6">
              <w:rPr>
                <w:color w:val="000000"/>
                <w:sz w:val="20"/>
                <w:szCs w:val="20"/>
              </w:rPr>
              <w:t xml:space="preserve">Всего, в том числе: </w:t>
            </w:r>
          </w:p>
        </w:tc>
        <w:tc>
          <w:tcPr>
            <w:tcW w:w="938" w:type="dxa"/>
            <w:tcBorders>
              <w:left w:val="single" w:sz="4" w:space="0" w:color="auto"/>
            </w:tcBorders>
            <w:hideMark/>
          </w:tcPr>
          <w:p w:rsidR="00B7368D" w:rsidRPr="007C51D6" w:rsidRDefault="00B7368D" w:rsidP="00B7368D">
            <w:pPr>
              <w:autoSpaceDE/>
              <w:autoSpaceDN/>
              <w:adjustRightInd/>
              <w:jc w:val="center"/>
              <w:rPr>
                <w:color w:val="000000"/>
                <w:sz w:val="20"/>
                <w:szCs w:val="20"/>
              </w:rPr>
            </w:pPr>
            <w:r w:rsidRPr="007C51D6">
              <w:rPr>
                <w:color w:val="000000"/>
                <w:sz w:val="20"/>
                <w:szCs w:val="20"/>
              </w:rPr>
              <w:t>35,95</w:t>
            </w:r>
          </w:p>
        </w:tc>
        <w:tc>
          <w:tcPr>
            <w:tcW w:w="1224" w:type="dxa"/>
            <w:noWrap/>
            <w:hideMark/>
          </w:tcPr>
          <w:p w:rsidR="00B7368D" w:rsidRPr="007C51D6" w:rsidRDefault="00B7368D" w:rsidP="00B7368D">
            <w:pPr>
              <w:autoSpaceDE/>
              <w:autoSpaceDN/>
              <w:adjustRightInd/>
              <w:jc w:val="center"/>
              <w:rPr>
                <w:bCs/>
                <w:sz w:val="20"/>
                <w:szCs w:val="20"/>
              </w:rPr>
            </w:pPr>
            <w:r w:rsidRPr="007C51D6">
              <w:rPr>
                <w:bCs/>
                <w:sz w:val="20"/>
                <w:szCs w:val="20"/>
              </w:rPr>
              <w:t>32,46</w:t>
            </w:r>
          </w:p>
        </w:tc>
        <w:tc>
          <w:tcPr>
            <w:tcW w:w="1133" w:type="dxa"/>
            <w:hideMark/>
          </w:tcPr>
          <w:p w:rsidR="00B7368D" w:rsidRPr="007C51D6" w:rsidRDefault="00B7368D" w:rsidP="00B7368D">
            <w:pPr>
              <w:autoSpaceDE/>
              <w:autoSpaceDN/>
              <w:adjustRightInd/>
              <w:jc w:val="center"/>
              <w:rPr>
                <w:color w:val="000000"/>
                <w:sz w:val="20"/>
                <w:szCs w:val="20"/>
              </w:rPr>
            </w:pPr>
            <w:r w:rsidRPr="007C51D6">
              <w:rPr>
                <w:color w:val="000000"/>
                <w:sz w:val="20"/>
                <w:szCs w:val="20"/>
              </w:rPr>
              <w:t>30,29</w:t>
            </w:r>
          </w:p>
        </w:tc>
        <w:tc>
          <w:tcPr>
            <w:tcW w:w="1133" w:type="dxa"/>
            <w:hideMark/>
          </w:tcPr>
          <w:p w:rsidR="00B7368D" w:rsidRPr="007C51D6" w:rsidRDefault="00B7368D" w:rsidP="00B7368D">
            <w:pPr>
              <w:autoSpaceDE/>
              <w:autoSpaceDN/>
              <w:adjustRightInd/>
              <w:jc w:val="center"/>
              <w:rPr>
                <w:color w:val="000000"/>
                <w:sz w:val="20"/>
                <w:szCs w:val="20"/>
              </w:rPr>
            </w:pPr>
            <w:r w:rsidRPr="007C51D6">
              <w:rPr>
                <w:color w:val="000000"/>
                <w:sz w:val="20"/>
                <w:szCs w:val="20"/>
              </w:rPr>
              <w:t>31,64</w:t>
            </w:r>
          </w:p>
        </w:tc>
        <w:tc>
          <w:tcPr>
            <w:tcW w:w="1133" w:type="dxa"/>
            <w:hideMark/>
          </w:tcPr>
          <w:p w:rsidR="00B7368D" w:rsidRPr="007C51D6" w:rsidRDefault="00B7368D" w:rsidP="00B7368D">
            <w:pPr>
              <w:autoSpaceDE/>
              <w:autoSpaceDN/>
              <w:adjustRightInd/>
              <w:jc w:val="center"/>
              <w:rPr>
                <w:color w:val="000000"/>
                <w:sz w:val="20"/>
                <w:szCs w:val="20"/>
              </w:rPr>
            </w:pPr>
            <w:r w:rsidRPr="007C51D6">
              <w:rPr>
                <w:color w:val="000000"/>
                <w:sz w:val="20"/>
                <w:szCs w:val="20"/>
              </w:rPr>
              <w:t>28,63</w:t>
            </w:r>
          </w:p>
        </w:tc>
        <w:tc>
          <w:tcPr>
            <w:tcW w:w="948" w:type="dxa"/>
          </w:tcPr>
          <w:p w:rsidR="00B7368D" w:rsidRPr="007C51D6" w:rsidRDefault="00B7368D" w:rsidP="00B7368D">
            <w:pPr>
              <w:autoSpaceDE/>
              <w:autoSpaceDN/>
              <w:adjustRightInd/>
              <w:jc w:val="center"/>
              <w:rPr>
                <w:color w:val="000000"/>
                <w:sz w:val="20"/>
                <w:szCs w:val="20"/>
              </w:rPr>
            </w:pPr>
            <w:r w:rsidRPr="007C51D6">
              <w:rPr>
                <w:color w:val="000000"/>
                <w:sz w:val="20"/>
                <w:szCs w:val="20"/>
              </w:rPr>
              <w:t>27,89</w:t>
            </w:r>
          </w:p>
        </w:tc>
        <w:tc>
          <w:tcPr>
            <w:tcW w:w="902" w:type="dxa"/>
          </w:tcPr>
          <w:p w:rsidR="00B7368D" w:rsidRPr="007C51D6" w:rsidRDefault="00B7368D" w:rsidP="00B7368D">
            <w:pPr>
              <w:autoSpaceDE/>
              <w:autoSpaceDN/>
              <w:adjustRightInd/>
              <w:jc w:val="center"/>
              <w:rPr>
                <w:color w:val="000000"/>
                <w:sz w:val="20"/>
                <w:szCs w:val="20"/>
              </w:rPr>
            </w:pPr>
            <w:r w:rsidRPr="007C51D6">
              <w:rPr>
                <w:color w:val="000000"/>
                <w:sz w:val="20"/>
                <w:szCs w:val="20"/>
              </w:rPr>
              <w:t>25,92</w:t>
            </w:r>
          </w:p>
        </w:tc>
        <w:tc>
          <w:tcPr>
            <w:tcW w:w="911" w:type="dxa"/>
            <w:tcBorders>
              <w:right w:val="single" w:sz="4" w:space="0" w:color="auto"/>
            </w:tcBorders>
          </w:tcPr>
          <w:p w:rsidR="00B7368D" w:rsidRPr="007C51D6" w:rsidRDefault="00B7368D" w:rsidP="00B7368D">
            <w:pPr>
              <w:autoSpaceDE/>
              <w:autoSpaceDN/>
              <w:adjustRightInd/>
              <w:jc w:val="center"/>
              <w:rPr>
                <w:color w:val="000000"/>
                <w:sz w:val="20"/>
                <w:szCs w:val="20"/>
              </w:rPr>
            </w:pPr>
            <w:r w:rsidRPr="007C51D6">
              <w:rPr>
                <w:color w:val="000000"/>
                <w:sz w:val="20"/>
                <w:szCs w:val="20"/>
              </w:rPr>
              <w:t>24,68</w:t>
            </w:r>
          </w:p>
        </w:tc>
        <w:tc>
          <w:tcPr>
            <w:tcW w:w="1216" w:type="dxa"/>
            <w:tcBorders>
              <w:left w:val="single" w:sz="4" w:space="0" w:color="auto"/>
            </w:tcBorders>
            <w:vAlign w:val="center"/>
          </w:tcPr>
          <w:p w:rsidR="00B7368D" w:rsidRPr="007C51D6" w:rsidRDefault="00B7368D" w:rsidP="00B7368D">
            <w:pPr>
              <w:widowControl/>
              <w:autoSpaceDE/>
              <w:autoSpaceDN/>
              <w:adjustRightInd/>
              <w:jc w:val="center"/>
              <w:rPr>
                <w:color w:val="000000"/>
                <w:sz w:val="20"/>
                <w:szCs w:val="20"/>
              </w:rPr>
            </w:pPr>
            <w:r w:rsidRPr="007C51D6">
              <w:rPr>
                <w:color w:val="000000"/>
                <w:sz w:val="20"/>
                <w:szCs w:val="20"/>
              </w:rPr>
              <w:t>24.36</w:t>
            </w:r>
          </w:p>
        </w:tc>
        <w:tc>
          <w:tcPr>
            <w:tcW w:w="1216" w:type="dxa"/>
            <w:gridSpan w:val="2"/>
            <w:tcBorders>
              <w:left w:val="single" w:sz="4" w:space="0" w:color="auto"/>
            </w:tcBorders>
            <w:vAlign w:val="center"/>
          </w:tcPr>
          <w:p w:rsidR="00B7368D" w:rsidRPr="007C51D6" w:rsidRDefault="00B7368D" w:rsidP="00B7368D">
            <w:pPr>
              <w:widowControl/>
              <w:autoSpaceDE/>
              <w:autoSpaceDN/>
              <w:adjustRightInd/>
              <w:jc w:val="center"/>
              <w:rPr>
                <w:color w:val="000000"/>
                <w:sz w:val="20"/>
                <w:szCs w:val="20"/>
              </w:rPr>
            </w:pPr>
            <w:r w:rsidRPr="007C51D6">
              <w:rPr>
                <w:color w:val="000000"/>
                <w:sz w:val="20"/>
                <w:szCs w:val="20"/>
              </w:rPr>
              <w:t>23.55</w:t>
            </w:r>
          </w:p>
        </w:tc>
      </w:tr>
      <w:tr w:rsidR="00B7368D" w:rsidRPr="007C51D6" w:rsidTr="006A40DD">
        <w:trPr>
          <w:trHeight w:val="20"/>
        </w:trPr>
        <w:tc>
          <w:tcPr>
            <w:tcW w:w="4528" w:type="dxa"/>
            <w:hideMark/>
          </w:tcPr>
          <w:p w:rsidR="00B7368D" w:rsidRPr="007C51D6" w:rsidRDefault="00B7368D" w:rsidP="00B7368D">
            <w:pPr>
              <w:autoSpaceDE/>
              <w:autoSpaceDN/>
              <w:adjustRightInd/>
              <w:jc w:val="both"/>
              <w:rPr>
                <w:color w:val="000000"/>
                <w:sz w:val="20"/>
                <w:szCs w:val="20"/>
              </w:rPr>
            </w:pPr>
            <w:r w:rsidRPr="007C51D6">
              <w:rPr>
                <w:color w:val="000000"/>
                <w:sz w:val="20"/>
                <w:szCs w:val="20"/>
              </w:rPr>
              <w:t>поджелудочной железы</w:t>
            </w:r>
          </w:p>
        </w:tc>
        <w:tc>
          <w:tcPr>
            <w:tcW w:w="938" w:type="dxa"/>
            <w:hideMark/>
          </w:tcPr>
          <w:p w:rsidR="00B7368D" w:rsidRPr="007C51D6" w:rsidRDefault="00B7368D" w:rsidP="00B7368D">
            <w:pPr>
              <w:autoSpaceDE/>
              <w:autoSpaceDN/>
              <w:adjustRightInd/>
              <w:jc w:val="center"/>
              <w:rPr>
                <w:color w:val="000000"/>
                <w:sz w:val="20"/>
                <w:szCs w:val="20"/>
              </w:rPr>
            </w:pPr>
            <w:r w:rsidRPr="007C51D6">
              <w:rPr>
                <w:color w:val="000000"/>
                <w:sz w:val="20"/>
                <w:szCs w:val="20"/>
              </w:rPr>
              <w:t>80,60</w:t>
            </w:r>
          </w:p>
        </w:tc>
        <w:tc>
          <w:tcPr>
            <w:tcW w:w="1224" w:type="dxa"/>
            <w:hideMark/>
          </w:tcPr>
          <w:p w:rsidR="00B7368D" w:rsidRPr="007C51D6" w:rsidRDefault="00B7368D" w:rsidP="00B7368D">
            <w:pPr>
              <w:autoSpaceDE/>
              <w:autoSpaceDN/>
              <w:adjustRightInd/>
              <w:jc w:val="center"/>
              <w:rPr>
                <w:color w:val="000000"/>
                <w:sz w:val="20"/>
                <w:szCs w:val="20"/>
              </w:rPr>
            </w:pPr>
            <w:r w:rsidRPr="007C51D6">
              <w:rPr>
                <w:color w:val="000000"/>
                <w:sz w:val="20"/>
                <w:szCs w:val="20"/>
              </w:rPr>
              <w:t>75,68</w:t>
            </w:r>
          </w:p>
        </w:tc>
        <w:tc>
          <w:tcPr>
            <w:tcW w:w="1133" w:type="dxa"/>
            <w:hideMark/>
          </w:tcPr>
          <w:p w:rsidR="00B7368D" w:rsidRPr="007C51D6" w:rsidRDefault="00B7368D" w:rsidP="00B7368D">
            <w:pPr>
              <w:autoSpaceDE/>
              <w:autoSpaceDN/>
              <w:adjustRightInd/>
              <w:jc w:val="center"/>
              <w:rPr>
                <w:color w:val="000000"/>
                <w:sz w:val="20"/>
                <w:szCs w:val="20"/>
              </w:rPr>
            </w:pPr>
            <w:r w:rsidRPr="007C51D6">
              <w:rPr>
                <w:color w:val="000000"/>
                <w:sz w:val="20"/>
                <w:szCs w:val="20"/>
              </w:rPr>
              <w:t>82,20</w:t>
            </w:r>
          </w:p>
        </w:tc>
        <w:tc>
          <w:tcPr>
            <w:tcW w:w="1133" w:type="dxa"/>
            <w:hideMark/>
          </w:tcPr>
          <w:p w:rsidR="00B7368D" w:rsidRPr="007C51D6" w:rsidRDefault="00B7368D" w:rsidP="00B7368D">
            <w:pPr>
              <w:autoSpaceDE/>
              <w:autoSpaceDN/>
              <w:adjustRightInd/>
              <w:jc w:val="center"/>
              <w:rPr>
                <w:color w:val="000000"/>
                <w:sz w:val="20"/>
                <w:szCs w:val="20"/>
              </w:rPr>
            </w:pPr>
            <w:r w:rsidRPr="007C51D6">
              <w:rPr>
                <w:color w:val="000000"/>
                <w:sz w:val="20"/>
                <w:szCs w:val="20"/>
              </w:rPr>
              <w:t>73,71</w:t>
            </w:r>
          </w:p>
        </w:tc>
        <w:tc>
          <w:tcPr>
            <w:tcW w:w="1133" w:type="dxa"/>
            <w:hideMark/>
          </w:tcPr>
          <w:p w:rsidR="00B7368D" w:rsidRPr="007C51D6" w:rsidRDefault="00B7368D" w:rsidP="00B7368D">
            <w:pPr>
              <w:autoSpaceDE/>
              <w:autoSpaceDN/>
              <w:adjustRightInd/>
              <w:jc w:val="center"/>
              <w:rPr>
                <w:color w:val="000000"/>
                <w:sz w:val="20"/>
                <w:szCs w:val="20"/>
              </w:rPr>
            </w:pPr>
            <w:r w:rsidRPr="007C51D6">
              <w:rPr>
                <w:color w:val="000000"/>
                <w:sz w:val="20"/>
                <w:szCs w:val="20"/>
              </w:rPr>
              <w:t>70,80</w:t>
            </w:r>
          </w:p>
        </w:tc>
        <w:tc>
          <w:tcPr>
            <w:tcW w:w="948" w:type="dxa"/>
          </w:tcPr>
          <w:p w:rsidR="00B7368D" w:rsidRPr="007C51D6" w:rsidRDefault="00B7368D" w:rsidP="00B7368D">
            <w:pPr>
              <w:jc w:val="center"/>
              <w:rPr>
                <w:color w:val="000000"/>
                <w:sz w:val="20"/>
                <w:szCs w:val="20"/>
              </w:rPr>
            </w:pPr>
            <w:r w:rsidRPr="007C51D6">
              <w:rPr>
                <w:color w:val="000000"/>
                <w:sz w:val="20"/>
                <w:szCs w:val="20"/>
              </w:rPr>
              <w:t>64,73</w:t>
            </w:r>
          </w:p>
        </w:tc>
        <w:tc>
          <w:tcPr>
            <w:tcW w:w="902" w:type="dxa"/>
          </w:tcPr>
          <w:p w:rsidR="00B7368D" w:rsidRPr="007C51D6" w:rsidRDefault="00B7368D" w:rsidP="00B7368D">
            <w:pPr>
              <w:jc w:val="center"/>
              <w:rPr>
                <w:color w:val="000000"/>
                <w:sz w:val="20"/>
                <w:szCs w:val="20"/>
              </w:rPr>
            </w:pPr>
            <w:r w:rsidRPr="007C51D6">
              <w:rPr>
                <w:color w:val="000000"/>
                <w:sz w:val="20"/>
                <w:szCs w:val="20"/>
              </w:rPr>
              <w:t>64,52</w:t>
            </w:r>
          </w:p>
        </w:tc>
        <w:tc>
          <w:tcPr>
            <w:tcW w:w="911" w:type="dxa"/>
          </w:tcPr>
          <w:p w:rsidR="00B7368D" w:rsidRPr="007C51D6" w:rsidRDefault="00B7368D" w:rsidP="00B7368D">
            <w:pPr>
              <w:jc w:val="center"/>
              <w:rPr>
                <w:color w:val="000000"/>
                <w:sz w:val="20"/>
                <w:szCs w:val="20"/>
              </w:rPr>
            </w:pPr>
            <w:r w:rsidRPr="007C51D6">
              <w:rPr>
                <w:color w:val="000000"/>
                <w:sz w:val="20"/>
                <w:szCs w:val="20"/>
              </w:rPr>
              <w:t>66,67</w:t>
            </w:r>
          </w:p>
        </w:tc>
        <w:tc>
          <w:tcPr>
            <w:tcW w:w="1216" w:type="dxa"/>
            <w:vAlign w:val="center"/>
          </w:tcPr>
          <w:p w:rsidR="00B7368D" w:rsidRPr="007C51D6" w:rsidRDefault="00B7368D" w:rsidP="00B7368D">
            <w:pPr>
              <w:jc w:val="center"/>
              <w:rPr>
                <w:color w:val="000000"/>
                <w:sz w:val="20"/>
                <w:szCs w:val="20"/>
              </w:rPr>
            </w:pPr>
            <w:r w:rsidRPr="007C51D6">
              <w:rPr>
                <w:color w:val="000000"/>
                <w:sz w:val="20"/>
                <w:szCs w:val="20"/>
              </w:rPr>
              <w:t>67.79</w:t>
            </w:r>
          </w:p>
        </w:tc>
        <w:tc>
          <w:tcPr>
            <w:tcW w:w="1216" w:type="dxa"/>
            <w:gridSpan w:val="2"/>
            <w:vAlign w:val="center"/>
          </w:tcPr>
          <w:p w:rsidR="00B7368D" w:rsidRPr="007C51D6" w:rsidRDefault="00B7368D" w:rsidP="00B7368D">
            <w:pPr>
              <w:jc w:val="center"/>
              <w:rPr>
                <w:color w:val="000000"/>
                <w:sz w:val="20"/>
                <w:szCs w:val="20"/>
              </w:rPr>
            </w:pPr>
            <w:r w:rsidRPr="007C51D6">
              <w:rPr>
                <w:color w:val="000000"/>
                <w:sz w:val="20"/>
                <w:szCs w:val="20"/>
              </w:rPr>
              <w:t>74.5</w:t>
            </w:r>
          </w:p>
        </w:tc>
      </w:tr>
      <w:tr w:rsidR="00B7368D" w:rsidRPr="007C51D6" w:rsidTr="006A40DD">
        <w:trPr>
          <w:trHeight w:val="20"/>
        </w:trPr>
        <w:tc>
          <w:tcPr>
            <w:tcW w:w="4528" w:type="dxa"/>
            <w:hideMark/>
          </w:tcPr>
          <w:p w:rsidR="00B7368D" w:rsidRPr="007C51D6" w:rsidRDefault="00B7368D" w:rsidP="00B7368D">
            <w:pPr>
              <w:autoSpaceDE/>
              <w:autoSpaceDN/>
              <w:adjustRightInd/>
              <w:jc w:val="both"/>
              <w:rPr>
                <w:color w:val="000000"/>
                <w:sz w:val="20"/>
                <w:szCs w:val="20"/>
              </w:rPr>
            </w:pPr>
            <w:r w:rsidRPr="007C51D6">
              <w:rPr>
                <w:color w:val="000000"/>
                <w:sz w:val="20"/>
                <w:szCs w:val="20"/>
              </w:rPr>
              <w:t>печени и внутрипеченочных желчных протоков</w:t>
            </w:r>
          </w:p>
        </w:tc>
        <w:tc>
          <w:tcPr>
            <w:tcW w:w="938" w:type="dxa"/>
            <w:hideMark/>
          </w:tcPr>
          <w:p w:rsidR="00B7368D" w:rsidRPr="007C51D6" w:rsidRDefault="00B7368D" w:rsidP="00B7368D">
            <w:pPr>
              <w:autoSpaceDE/>
              <w:autoSpaceDN/>
              <w:adjustRightInd/>
              <w:jc w:val="center"/>
              <w:rPr>
                <w:color w:val="000000"/>
                <w:sz w:val="20"/>
                <w:szCs w:val="20"/>
              </w:rPr>
            </w:pPr>
            <w:r w:rsidRPr="007C51D6">
              <w:rPr>
                <w:color w:val="000000"/>
                <w:sz w:val="20"/>
                <w:szCs w:val="20"/>
              </w:rPr>
              <w:t>85,29</w:t>
            </w:r>
          </w:p>
        </w:tc>
        <w:tc>
          <w:tcPr>
            <w:tcW w:w="1224" w:type="dxa"/>
            <w:hideMark/>
          </w:tcPr>
          <w:p w:rsidR="00B7368D" w:rsidRPr="007C51D6" w:rsidRDefault="00B7368D" w:rsidP="00B7368D">
            <w:pPr>
              <w:autoSpaceDE/>
              <w:autoSpaceDN/>
              <w:adjustRightInd/>
              <w:jc w:val="center"/>
              <w:rPr>
                <w:color w:val="000000"/>
                <w:sz w:val="20"/>
                <w:szCs w:val="20"/>
              </w:rPr>
            </w:pPr>
            <w:r w:rsidRPr="007C51D6">
              <w:rPr>
                <w:color w:val="000000"/>
                <w:sz w:val="20"/>
                <w:szCs w:val="20"/>
              </w:rPr>
              <w:t>82,43</w:t>
            </w:r>
          </w:p>
        </w:tc>
        <w:tc>
          <w:tcPr>
            <w:tcW w:w="1133" w:type="dxa"/>
            <w:hideMark/>
          </w:tcPr>
          <w:p w:rsidR="00B7368D" w:rsidRPr="007C51D6" w:rsidRDefault="00B7368D" w:rsidP="00B7368D">
            <w:pPr>
              <w:autoSpaceDE/>
              <w:autoSpaceDN/>
              <w:adjustRightInd/>
              <w:jc w:val="center"/>
              <w:rPr>
                <w:color w:val="000000"/>
                <w:sz w:val="20"/>
                <w:szCs w:val="20"/>
              </w:rPr>
            </w:pPr>
            <w:r w:rsidRPr="007C51D6">
              <w:rPr>
                <w:color w:val="000000"/>
                <w:sz w:val="20"/>
                <w:szCs w:val="20"/>
              </w:rPr>
              <w:t>76,19</w:t>
            </w:r>
          </w:p>
        </w:tc>
        <w:tc>
          <w:tcPr>
            <w:tcW w:w="1133" w:type="dxa"/>
            <w:hideMark/>
          </w:tcPr>
          <w:p w:rsidR="00B7368D" w:rsidRPr="007C51D6" w:rsidRDefault="00B7368D" w:rsidP="00B7368D">
            <w:pPr>
              <w:autoSpaceDE/>
              <w:autoSpaceDN/>
              <w:adjustRightInd/>
              <w:jc w:val="center"/>
              <w:rPr>
                <w:color w:val="000000"/>
                <w:sz w:val="20"/>
                <w:szCs w:val="20"/>
              </w:rPr>
            </w:pPr>
            <w:r w:rsidRPr="007C51D6">
              <w:rPr>
                <w:color w:val="000000"/>
                <w:sz w:val="20"/>
                <w:szCs w:val="20"/>
              </w:rPr>
              <w:t>65,00</w:t>
            </w:r>
          </w:p>
        </w:tc>
        <w:tc>
          <w:tcPr>
            <w:tcW w:w="1133" w:type="dxa"/>
            <w:hideMark/>
          </w:tcPr>
          <w:p w:rsidR="00B7368D" w:rsidRPr="007C51D6" w:rsidRDefault="00B7368D" w:rsidP="00B7368D">
            <w:pPr>
              <w:autoSpaceDE/>
              <w:autoSpaceDN/>
              <w:adjustRightInd/>
              <w:jc w:val="center"/>
              <w:rPr>
                <w:color w:val="000000"/>
                <w:sz w:val="20"/>
                <w:szCs w:val="20"/>
              </w:rPr>
            </w:pPr>
            <w:r w:rsidRPr="007C51D6">
              <w:rPr>
                <w:color w:val="000000"/>
                <w:sz w:val="20"/>
                <w:szCs w:val="20"/>
              </w:rPr>
              <w:t>64,20</w:t>
            </w:r>
          </w:p>
        </w:tc>
        <w:tc>
          <w:tcPr>
            <w:tcW w:w="948" w:type="dxa"/>
          </w:tcPr>
          <w:p w:rsidR="00B7368D" w:rsidRPr="007C51D6" w:rsidRDefault="00B7368D" w:rsidP="00B7368D">
            <w:pPr>
              <w:jc w:val="center"/>
              <w:rPr>
                <w:color w:val="000000"/>
                <w:sz w:val="20"/>
                <w:szCs w:val="20"/>
              </w:rPr>
            </w:pPr>
            <w:r w:rsidRPr="007C51D6">
              <w:rPr>
                <w:color w:val="000000"/>
                <w:sz w:val="20"/>
                <w:szCs w:val="20"/>
              </w:rPr>
              <w:t>58,33</w:t>
            </w:r>
          </w:p>
        </w:tc>
        <w:tc>
          <w:tcPr>
            <w:tcW w:w="902" w:type="dxa"/>
          </w:tcPr>
          <w:p w:rsidR="00B7368D" w:rsidRPr="007C51D6" w:rsidRDefault="00B7368D" w:rsidP="00B7368D">
            <w:pPr>
              <w:jc w:val="center"/>
              <w:rPr>
                <w:color w:val="000000"/>
                <w:sz w:val="20"/>
                <w:szCs w:val="20"/>
              </w:rPr>
            </w:pPr>
            <w:r w:rsidRPr="007C51D6">
              <w:rPr>
                <w:color w:val="000000"/>
                <w:sz w:val="20"/>
                <w:szCs w:val="20"/>
              </w:rPr>
              <w:t>63,86</w:t>
            </w:r>
          </w:p>
        </w:tc>
        <w:tc>
          <w:tcPr>
            <w:tcW w:w="911" w:type="dxa"/>
          </w:tcPr>
          <w:p w:rsidR="00B7368D" w:rsidRPr="007C51D6" w:rsidRDefault="00B7368D" w:rsidP="00B7368D">
            <w:pPr>
              <w:autoSpaceDE/>
              <w:autoSpaceDN/>
              <w:adjustRightInd/>
              <w:jc w:val="center"/>
              <w:rPr>
                <w:color w:val="000000"/>
                <w:sz w:val="20"/>
                <w:szCs w:val="20"/>
              </w:rPr>
            </w:pPr>
            <w:r w:rsidRPr="007C51D6">
              <w:rPr>
                <w:color w:val="000000"/>
                <w:sz w:val="20"/>
                <w:szCs w:val="20"/>
              </w:rPr>
              <w:t>60,81</w:t>
            </w:r>
          </w:p>
        </w:tc>
        <w:tc>
          <w:tcPr>
            <w:tcW w:w="1216" w:type="dxa"/>
            <w:vAlign w:val="center"/>
          </w:tcPr>
          <w:p w:rsidR="00B7368D" w:rsidRPr="007C51D6" w:rsidRDefault="00B7368D" w:rsidP="00B7368D">
            <w:pPr>
              <w:jc w:val="center"/>
              <w:rPr>
                <w:color w:val="000000"/>
                <w:sz w:val="20"/>
                <w:szCs w:val="20"/>
              </w:rPr>
            </w:pPr>
            <w:r w:rsidRPr="007C51D6">
              <w:rPr>
                <w:color w:val="000000"/>
                <w:sz w:val="20"/>
                <w:szCs w:val="20"/>
              </w:rPr>
              <w:t>57.98</w:t>
            </w:r>
          </w:p>
        </w:tc>
        <w:tc>
          <w:tcPr>
            <w:tcW w:w="1216" w:type="dxa"/>
            <w:gridSpan w:val="2"/>
            <w:vAlign w:val="center"/>
          </w:tcPr>
          <w:p w:rsidR="00B7368D" w:rsidRPr="007C51D6" w:rsidRDefault="00B7368D" w:rsidP="00B7368D">
            <w:pPr>
              <w:jc w:val="center"/>
              <w:rPr>
                <w:color w:val="000000"/>
                <w:sz w:val="20"/>
                <w:szCs w:val="20"/>
              </w:rPr>
            </w:pPr>
            <w:r w:rsidRPr="007C51D6">
              <w:rPr>
                <w:color w:val="000000"/>
                <w:sz w:val="20"/>
                <w:szCs w:val="20"/>
              </w:rPr>
              <w:t>54.24</w:t>
            </w:r>
          </w:p>
        </w:tc>
      </w:tr>
      <w:tr w:rsidR="00B7368D" w:rsidRPr="007C51D6" w:rsidTr="006A40DD">
        <w:trPr>
          <w:trHeight w:val="20"/>
        </w:trPr>
        <w:tc>
          <w:tcPr>
            <w:tcW w:w="4528" w:type="dxa"/>
            <w:hideMark/>
          </w:tcPr>
          <w:p w:rsidR="00B7368D" w:rsidRPr="007C51D6" w:rsidRDefault="00B7368D" w:rsidP="00B7368D">
            <w:pPr>
              <w:autoSpaceDE/>
              <w:autoSpaceDN/>
              <w:adjustRightInd/>
              <w:jc w:val="both"/>
              <w:rPr>
                <w:color w:val="000000"/>
                <w:sz w:val="20"/>
                <w:szCs w:val="20"/>
              </w:rPr>
            </w:pPr>
            <w:r w:rsidRPr="007C51D6">
              <w:rPr>
                <w:color w:val="000000"/>
                <w:sz w:val="20"/>
                <w:szCs w:val="20"/>
              </w:rPr>
              <w:t>пищевода</w:t>
            </w:r>
          </w:p>
        </w:tc>
        <w:tc>
          <w:tcPr>
            <w:tcW w:w="938" w:type="dxa"/>
            <w:hideMark/>
          </w:tcPr>
          <w:p w:rsidR="00B7368D" w:rsidRPr="007C51D6" w:rsidRDefault="00B7368D" w:rsidP="00B7368D">
            <w:pPr>
              <w:autoSpaceDE/>
              <w:autoSpaceDN/>
              <w:adjustRightInd/>
              <w:jc w:val="center"/>
              <w:rPr>
                <w:color w:val="000000"/>
                <w:sz w:val="20"/>
                <w:szCs w:val="20"/>
              </w:rPr>
            </w:pPr>
            <w:r w:rsidRPr="007C51D6">
              <w:rPr>
                <w:color w:val="000000"/>
                <w:sz w:val="20"/>
                <w:szCs w:val="20"/>
              </w:rPr>
              <w:t>71,68</w:t>
            </w:r>
          </w:p>
        </w:tc>
        <w:tc>
          <w:tcPr>
            <w:tcW w:w="1224" w:type="dxa"/>
            <w:hideMark/>
          </w:tcPr>
          <w:p w:rsidR="00B7368D" w:rsidRPr="007C51D6" w:rsidRDefault="00B7368D" w:rsidP="00B7368D">
            <w:pPr>
              <w:autoSpaceDE/>
              <w:autoSpaceDN/>
              <w:adjustRightInd/>
              <w:jc w:val="center"/>
              <w:rPr>
                <w:color w:val="000000"/>
                <w:sz w:val="20"/>
                <w:szCs w:val="20"/>
              </w:rPr>
            </w:pPr>
            <w:r w:rsidRPr="007C51D6">
              <w:rPr>
                <w:color w:val="000000"/>
                <w:sz w:val="20"/>
                <w:szCs w:val="20"/>
              </w:rPr>
              <w:t>57,21</w:t>
            </w:r>
          </w:p>
        </w:tc>
        <w:tc>
          <w:tcPr>
            <w:tcW w:w="1133" w:type="dxa"/>
            <w:hideMark/>
          </w:tcPr>
          <w:p w:rsidR="00B7368D" w:rsidRPr="007C51D6" w:rsidRDefault="00B7368D" w:rsidP="00B7368D">
            <w:pPr>
              <w:autoSpaceDE/>
              <w:autoSpaceDN/>
              <w:adjustRightInd/>
              <w:jc w:val="center"/>
              <w:rPr>
                <w:color w:val="000000"/>
                <w:sz w:val="20"/>
                <w:szCs w:val="20"/>
              </w:rPr>
            </w:pPr>
            <w:r w:rsidRPr="007C51D6">
              <w:rPr>
                <w:color w:val="000000"/>
                <w:sz w:val="20"/>
                <w:szCs w:val="20"/>
              </w:rPr>
              <w:t>61,58</w:t>
            </w:r>
          </w:p>
        </w:tc>
        <w:tc>
          <w:tcPr>
            <w:tcW w:w="1133" w:type="dxa"/>
            <w:hideMark/>
          </w:tcPr>
          <w:p w:rsidR="00B7368D" w:rsidRPr="007C51D6" w:rsidRDefault="00B7368D" w:rsidP="00B7368D">
            <w:pPr>
              <w:autoSpaceDE/>
              <w:autoSpaceDN/>
              <w:adjustRightInd/>
              <w:jc w:val="center"/>
              <w:rPr>
                <w:color w:val="000000"/>
                <w:sz w:val="20"/>
                <w:szCs w:val="20"/>
              </w:rPr>
            </w:pPr>
            <w:r w:rsidRPr="007C51D6">
              <w:rPr>
                <w:color w:val="000000"/>
                <w:sz w:val="20"/>
                <w:szCs w:val="20"/>
              </w:rPr>
              <w:t>56,44</w:t>
            </w:r>
          </w:p>
        </w:tc>
        <w:tc>
          <w:tcPr>
            <w:tcW w:w="1133" w:type="dxa"/>
            <w:hideMark/>
          </w:tcPr>
          <w:p w:rsidR="00B7368D" w:rsidRPr="007C51D6" w:rsidRDefault="00B7368D" w:rsidP="00B7368D">
            <w:pPr>
              <w:autoSpaceDE/>
              <w:autoSpaceDN/>
              <w:adjustRightInd/>
              <w:jc w:val="center"/>
              <w:rPr>
                <w:color w:val="000000"/>
                <w:sz w:val="20"/>
                <w:szCs w:val="20"/>
              </w:rPr>
            </w:pPr>
            <w:r w:rsidRPr="007C51D6">
              <w:rPr>
                <w:color w:val="000000"/>
                <w:sz w:val="20"/>
                <w:szCs w:val="20"/>
              </w:rPr>
              <w:t>56,86</w:t>
            </w:r>
          </w:p>
        </w:tc>
        <w:tc>
          <w:tcPr>
            <w:tcW w:w="948" w:type="dxa"/>
          </w:tcPr>
          <w:p w:rsidR="00B7368D" w:rsidRPr="007C51D6" w:rsidRDefault="00B7368D" w:rsidP="00B7368D">
            <w:pPr>
              <w:jc w:val="center"/>
              <w:rPr>
                <w:color w:val="000000"/>
                <w:sz w:val="20"/>
                <w:szCs w:val="20"/>
              </w:rPr>
            </w:pPr>
            <w:r w:rsidRPr="007C51D6">
              <w:rPr>
                <w:color w:val="000000"/>
                <w:sz w:val="20"/>
                <w:szCs w:val="20"/>
              </w:rPr>
              <w:t>55,68</w:t>
            </w:r>
          </w:p>
        </w:tc>
        <w:tc>
          <w:tcPr>
            <w:tcW w:w="902" w:type="dxa"/>
          </w:tcPr>
          <w:p w:rsidR="00B7368D" w:rsidRPr="007C51D6" w:rsidRDefault="00B7368D" w:rsidP="00B7368D">
            <w:pPr>
              <w:jc w:val="center"/>
              <w:rPr>
                <w:color w:val="000000"/>
                <w:sz w:val="20"/>
                <w:szCs w:val="20"/>
              </w:rPr>
            </w:pPr>
            <w:r w:rsidRPr="007C51D6">
              <w:rPr>
                <w:color w:val="000000"/>
                <w:sz w:val="20"/>
                <w:szCs w:val="20"/>
              </w:rPr>
              <w:t>51,83</w:t>
            </w:r>
          </w:p>
        </w:tc>
        <w:tc>
          <w:tcPr>
            <w:tcW w:w="911" w:type="dxa"/>
          </w:tcPr>
          <w:p w:rsidR="00B7368D" w:rsidRPr="007C51D6" w:rsidRDefault="00B7368D" w:rsidP="00B7368D">
            <w:pPr>
              <w:jc w:val="center"/>
              <w:rPr>
                <w:color w:val="000000"/>
                <w:sz w:val="20"/>
                <w:szCs w:val="20"/>
              </w:rPr>
            </w:pPr>
            <w:r w:rsidRPr="007C51D6">
              <w:rPr>
                <w:color w:val="000000"/>
                <w:sz w:val="20"/>
                <w:szCs w:val="20"/>
              </w:rPr>
              <w:t>47,55</w:t>
            </w:r>
          </w:p>
        </w:tc>
        <w:tc>
          <w:tcPr>
            <w:tcW w:w="1216" w:type="dxa"/>
            <w:vAlign w:val="center"/>
          </w:tcPr>
          <w:p w:rsidR="00B7368D" w:rsidRPr="007C51D6" w:rsidRDefault="00B7368D" w:rsidP="00B7368D">
            <w:pPr>
              <w:jc w:val="center"/>
              <w:rPr>
                <w:color w:val="000000"/>
                <w:sz w:val="20"/>
                <w:szCs w:val="20"/>
              </w:rPr>
            </w:pPr>
            <w:r w:rsidRPr="007C51D6">
              <w:rPr>
                <w:color w:val="000000"/>
                <w:sz w:val="20"/>
                <w:szCs w:val="20"/>
              </w:rPr>
              <w:t>55.65</w:t>
            </w:r>
          </w:p>
        </w:tc>
        <w:tc>
          <w:tcPr>
            <w:tcW w:w="1216" w:type="dxa"/>
            <w:gridSpan w:val="2"/>
            <w:vAlign w:val="center"/>
          </w:tcPr>
          <w:p w:rsidR="00B7368D" w:rsidRPr="007C51D6" w:rsidRDefault="00B7368D" w:rsidP="00B7368D">
            <w:pPr>
              <w:jc w:val="center"/>
              <w:rPr>
                <w:color w:val="000000"/>
                <w:sz w:val="20"/>
                <w:szCs w:val="20"/>
              </w:rPr>
            </w:pPr>
            <w:r w:rsidRPr="007C51D6">
              <w:rPr>
                <w:color w:val="000000"/>
                <w:sz w:val="20"/>
                <w:szCs w:val="20"/>
              </w:rPr>
              <w:t>50.57</w:t>
            </w:r>
          </w:p>
        </w:tc>
      </w:tr>
      <w:tr w:rsidR="00B7368D" w:rsidRPr="007C51D6" w:rsidTr="006A40DD">
        <w:trPr>
          <w:trHeight w:val="20"/>
        </w:trPr>
        <w:tc>
          <w:tcPr>
            <w:tcW w:w="4528" w:type="dxa"/>
            <w:hideMark/>
          </w:tcPr>
          <w:p w:rsidR="00B7368D" w:rsidRPr="007C51D6" w:rsidRDefault="00B7368D" w:rsidP="00B7368D">
            <w:pPr>
              <w:autoSpaceDE/>
              <w:autoSpaceDN/>
              <w:adjustRightInd/>
              <w:jc w:val="both"/>
              <w:rPr>
                <w:color w:val="000000"/>
                <w:sz w:val="20"/>
                <w:szCs w:val="20"/>
              </w:rPr>
            </w:pPr>
            <w:r w:rsidRPr="007C51D6">
              <w:rPr>
                <w:color w:val="000000"/>
                <w:sz w:val="20"/>
                <w:szCs w:val="20"/>
              </w:rPr>
              <w:t>трахеи, бронхов, легких</w:t>
            </w:r>
          </w:p>
        </w:tc>
        <w:tc>
          <w:tcPr>
            <w:tcW w:w="938" w:type="dxa"/>
            <w:hideMark/>
          </w:tcPr>
          <w:p w:rsidR="00B7368D" w:rsidRPr="007C51D6" w:rsidRDefault="00B7368D" w:rsidP="00B7368D">
            <w:pPr>
              <w:autoSpaceDE/>
              <w:autoSpaceDN/>
              <w:adjustRightInd/>
              <w:jc w:val="center"/>
              <w:rPr>
                <w:color w:val="000000"/>
                <w:sz w:val="20"/>
                <w:szCs w:val="20"/>
              </w:rPr>
            </w:pPr>
            <w:r w:rsidRPr="007C51D6">
              <w:rPr>
                <w:color w:val="000000"/>
                <w:sz w:val="20"/>
                <w:szCs w:val="20"/>
              </w:rPr>
              <w:t>65,23</w:t>
            </w:r>
          </w:p>
        </w:tc>
        <w:tc>
          <w:tcPr>
            <w:tcW w:w="1224" w:type="dxa"/>
            <w:hideMark/>
          </w:tcPr>
          <w:p w:rsidR="00B7368D" w:rsidRPr="007C51D6" w:rsidRDefault="00B7368D" w:rsidP="00B7368D">
            <w:pPr>
              <w:autoSpaceDE/>
              <w:autoSpaceDN/>
              <w:adjustRightInd/>
              <w:jc w:val="center"/>
              <w:rPr>
                <w:color w:val="000000"/>
                <w:sz w:val="20"/>
                <w:szCs w:val="20"/>
              </w:rPr>
            </w:pPr>
            <w:r w:rsidRPr="007C51D6">
              <w:rPr>
                <w:color w:val="000000"/>
                <w:sz w:val="20"/>
                <w:szCs w:val="20"/>
              </w:rPr>
              <w:t>61,75</w:t>
            </w:r>
          </w:p>
        </w:tc>
        <w:tc>
          <w:tcPr>
            <w:tcW w:w="1133" w:type="dxa"/>
            <w:hideMark/>
          </w:tcPr>
          <w:p w:rsidR="00B7368D" w:rsidRPr="007C51D6" w:rsidRDefault="00B7368D" w:rsidP="00B7368D">
            <w:pPr>
              <w:autoSpaceDE/>
              <w:autoSpaceDN/>
              <w:adjustRightInd/>
              <w:jc w:val="center"/>
              <w:rPr>
                <w:color w:val="000000"/>
                <w:sz w:val="20"/>
                <w:szCs w:val="20"/>
              </w:rPr>
            </w:pPr>
            <w:r w:rsidRPr="007C51D6">
              <w:rPr>
                <w:color w:val="000000"/>
                <w:sz w:val="20"/>
                <w:szCs w:val="20"/>
              </w:rPr>
              <w:t>55,91</w:t>
            </w:r>
          </w:p>
        </w:tc>
        <w:tc>
          <w:tcPr>
            <w:tcW w:w="1133" w:type="dxa"/>
            <w:hideMark/>
          </w:tcPr>
          <w:p w:rsidR="00B7368D" w:rsidRPr="007C51D6" w:rsidRDefault="00B7368D" w:rsidP="00B7368D">
            <w:pPr>
              <w:autoSpaceDE/>
              <w:autoSpaceDN/>
              <w:adjustRightInd/>
              <w:jc w:val="center"/>
              <w:rPr>
                <w:color w:val="000000"/>
                <w:sz w:val="20"/>
                <w:szCs w:val="20"/>
              </w:rPr>
            </w:pPr>
            <w:r w:rsidRPr="007C51D6">
              <w:rPr>
                <w:color w:val="000000"/>
                <w:sz w:val="20"/>
                <w:szCs w:val="20"/>
              </w:rPr>
              <w:t>54,91</w:t>
            </w:r>
          </w:p>
        </w:tc>
        <w:tc>
          <w:tcPr>
            <w:tcW w:w="1133" w:type="dxa"/>
            <w:hideMark/>
          </w:tcPr>
          <w:p w:rsidR="00B7368D" w:rsidRPr="007C51D6" w:rsidRDefault="00B7368D" w:rsidP="00B7368D">
            <w:pPr>
              <w:autoSpaceDE/>
              <w:autoSpaceDN/>
              <w:adjustRightInd/>
              <w:jc w:val="center"/>
              <w:rPr>
                <w:color w:val="000000"/>
                <w:sz w:val="20"/>
                <w:szCs w:val="20"/>
              </w:rPr>
            </w:pPr>
            <w:r w:rsidRPr="007C51D6">
              <w:rPr>
                <w:color w:val="000000"/>
                <w:sz w:val="20"/>
                <w:szCs w:val="20"/>
              </w:rPr>
              <w:t>48,83</w:t>
            </w:r>
          </w:p>
        </w:tc>
        <w:tc>
          <w:tcPr>
            <w:tcW w:w="948" w:type="dxa"/>
          </w:tcPr>
          <w:p w:rsidR="00B7368D" w:rsidRPr="007C51D6" w:rsidRDefault="00B7368D" w:rsidP="00B7368D">
            <w:pPr>
              <w:jc w:val="center"/>
              <w:rPr>
                <w:color w:val="000000"/>
                <w:sz w:val="20"/>
                <w:szCs w:val="20"/>
              </w:rPr>
            </w:pPr>
            <w:r w:rsidRPr="007C51D6">
              <w:rPr>
                <w:color w:val="000000"/>
                <w:sz w:val="20"/>
                <w:szCs w:val="20"/>
              </w:rPr>
              <w:t>47,77</w:t>
            </w:r>
          </w:p>
        </w:tc>
        <w:tc>
          <w:tcPr>
            <w:tcW w:w="902" w:type="dxa"/>
          </w:tcPr>
          <w:p w:rsidR="00B7368D" w:rsidRPr="007C51D6" w:rsidRDefault="00B7368D" w:rsidP="00B7368D">
            <w:pPr>
              <w:jc w:val="center"/>
              <w:rPr>
                <w:color w:val="000000"/>
                <w:sz w:val="20"/>
                <w:szCs w:val="20"/>
              </w:rPr>
            </w:pPr>
            <w:r w:rsidRPr="007C51D6">
              <w:rPr>
                <w:color w:val="000000"/>
                <w:sz w:val="20"/>
                <w:szCs w:val="20"/>
              </w:rPr>
              <w:t>51,03</w:t>
            </w:r>
          </w:p>
        </w:tc>
        <w:tc>
          <w:tcPr>
            <w:tcW w:w="911" w:type="dxa"/>
          </w:tcPr>
          <w:p w:rsidR="00B7368D" w:rsidRPr="007C51D6" w:rsidRDefault="00B7368D" w:rsidP="00B7368D">
            <w:pPr>
              <w:jc w:val="center"/>
              <w:rPr>
                <w:color w:val="000000"/>
                <w:sz w:val="20"/>
                <w:szCs w:val="20"/>
              </w:rPr>
            </w:pPr>
            <w:r w:rsidRPr="007C51D6">
              <w:rPr>
                <w:color w:val="000000"/>
                <w:sz w:val="20"/>
                <w:szCs w:val="20"/>
              </w:rPr>
              <w:t>46,23</w:t>
            </w:r>
          </w:p>
        </w:tc>
        <w:tc>
          <w:tcPr>
            <w:tcW w:w="1216" w:type="dxa"/>
            <w:vAlign w:val="center"/>
          </w:tcPr>
          <w:p w:rsidR="00B7368D" w:rsidRPr="007C51D6" w:rsidRDefault="00B7368D" w:rsidP="00B7368D">
            <w:pPr>
              <w:jc w:val="center"/>
              <w:rPr>
                <w:color w:val="000000"/>
                <w:sz w:val="20"/>
                <w:szCs w:val="20"/>
              </w:rPr>
            </w:pPr>
            <w:r w:rsidRPr="007C51D6">
              <w:rPr>
                <w:color w:val="000000"/>
                <w:sz w:val="20"/>
                <w:szCs w:val="20"/>
              </w:rPr>
              <w:t>46.08</w:t>
            </w:r>
          </w:p>
        </w:tc>
        <w:tc>
          <w:tcPr>
            <w:tcW w:w="1216" w:type="dxa"/>
            <w:gridSpan w:val="2"/>
            <w:vAlign w:val="center"/>
          </w:tcPr>
          <w:p w:rsidR="00B7368D" w:rsidRPr="007C51D6" w:rsidRDefault="00B7368D" w:rsidP="00B7368D">
            <w:pPr>
              <w:jc w:val="center"/>
              <w:rPr>
                <w:color w:val="000000"/>
                <w:sz w:val="20"/>
                <w:szCs w:val="20"/>
              </w:rPr>
            </w:pPr>
            <w:r w:rsidRPr="007C51D6">
              <w:rPr>
                <w:color w:val="000000"/>
                <w:sz w:val="20"/>
                <w:szCs w:val="20"/>
              </w:rPr>
              <w:t>47.7</w:t>
            </w:r>
          </w:p>
        </w:tc>
      </w:tr>
      <w:tr w:rsidR="00B7368D" w:rsidRPr="007C51D6" w:rsidTr="006A40DD">
        <w:trPr>
          <w:trHeight w:val="20"/>
        </w:trPr>
        <w:tc>
          <w:tcPr>
            <w:tcW w:w="4528" w:type="dxa"/>
          </w:tcPr>
          <w:p w:rsidR="00B7368D" w:rsidRPr="007C51D6" w:rsidRDefault="00B7368D" w:rsidP="00B7368D">
            <w:pPr>
              <w:autoSpaceDE/>
              <w:autoSpaceDN/>
              <w:adjustRightInd/>
              <w:jc w:val="both"/>
              <w:rPr>
                <w:color w:val="000000"/>
                <w:sz w:val="20"/>
                <w:szCs w:val="20"/>
              </w:rPr>
            </w:pPr>
            <w:r w:rsidRPr="007C51D6">
              <w:rPr>
                <w:color w:val="000000"/>
                <w:sz w:val="20"/>
                <w:szCs w:val="20"/>
              </w:rPr>
              <w:t>желудка</w:t>
            </w:r>
          </w:p>
        </w:tc>
        <w:tc>
          <w:tcPr>
            <w:tcW w:w="938" w:type="dxa"/>
          </w:tcPr>
          <w:p w:rsidR="00B7368D" w:rsidRPr="007C51D6" w:rsidRDefault="00B7368D" w:rsidP="00B7368D">
            <w:pPr>
              <w:autoSpaceDE/>
              <w:autoSpaceDN/>
              <w:adjustRightInd/>
              <w:jc w:val="center"/>
              <w:rPr>
                <w:color w:val="000000"/>
                <w:sz w:val="20"/>
                <w:szCs w:val="20"/>
              </w:rPr>
            </w:pPr>
            <w:r w:rsidRPr="007C51D6">
              <w:rPr>
                <w:color w:val="000000"/>
                <w:sz w:val="20"/>
                <w:szCs w:val="20"/>
              </w:rPr>
              <w:t>56,30</w:t>
            </w:r>
          </w:p>
        </w:tc>
        <w:tc>
          <w:tcPr>
            <w:tcW w:w="1224" w:type="dxa"/>
          </w:tcPr>
          <w:p w:rsidR="00B7368D" w:rsidRPr="007C51D6" w:rsidRDefault="00B7368D" w:rsidP="00B7368D">
            <w:pPr>
              <w:autoSpaceDE/>
              <w:autoSpaceDN/>
              <w:adjustRightInd/>
              <w:jc w:val="center"/>
              <w:rPr>
                <w:color w:val="000000"/>
                <w:sz w:val="20"/>
                <w:szCs w:val="20"/>
              </w:rPr>
            </w:pPr>
            <w:r w:rsidRPr="007C51D6">
              <w:rPr>
                <w:color w:val="000000"/>
                <w:sz w:val="20"/>
                <w:szCs w:val="20"/>
              </w:rPr>
              <w:t>52,73</w:t>
            </w:r>
          </w:p>
        </w:tc>
        <w:tc>
          <w:tcPr>
            <w:tcW w:w="1133" w:type="dxa"/>
          </w:tcPr>
          <w:p w:rsidR="00B7368D" w:rsidRPr="007C51D6" w:rsidRDefault="00B7368D" w:rsidP="00B7368D">
            <w:pPr>
              <w:autoSpaceDE/>
              <w:autoSpaceDN/>
              <w:adjustRightInd/>
              <w:jc w:val="center"/>
              <w:rPr>
                <w:color w:val="000000"/>
                <w:sz w:val="20"/>
                <w:szCs w:val="20"/>
              </w:rPr>
            </w:pPr>
            <w:r w:rsidRPr="007C51D6">
              <w:rPr>
                <w:color w:val="000000"/>
                <w:sz w:val="20"/>
                <w:szCs w:val="20"/>
              </w:rPr>
              <w:t>49,91</w:t>
            </w:r>
          </w:p>
        </w:tc>
        <w:tc>
          <w:tcPr>
            <w:tcW w:w="1133" w:type="dxa"/>
          </w:tcPr>
          <w:p w:rsidR="00B7368D" w:rsidRPr="007C51D6" w:rsidRDefault="00B7368D" w:rsidP="00B7368D">
            <w:pPr>
              <w:autoSpaceDE/>
              <w:autoSpaceDN/>
              <w:adjustRightInd/>
              <w:jc w:val="center"/>
              <w:rPr>
                <w:color w:val="000000"/>
                <w:sz w:val="20"/>
                <w:szCs w:val="20"/>
              </w:rPr>
            </w:pPr>
            <w:r w:rsidRPr="007C51D6">
              <w:rPr>
                <w:color w:val="000000"/>
                <w:sz w:val="20"/>
                <w:szCs w:val="20"/>
              </w:rPr>
              <w:t>48,42</w:t>
            </w:r>
          </w:p>
        </w:tc>
        <w:tc>
          <w:tcPr>
            <w:tcW w:w="1133" w:type="dxa"/>
          </w:tcPr>
          <w:p w:rsidR="00B7368D" w:rsidRPr="007C51D6" w:rsidRDefault="00B7368D" w:rsidP="00B7368D">
            <w:pPr>
              <w:autoSpaceDE/>
              <w:autoSpaceDN/>
              <w:adjustRightInd/>
              <w:jc w:val="center"/>
              <w:rPr>
                <w:color w:val="000000"/>
                <w:sz w:val="20"/>
                <w:szCs w:val="20"/>
              </w:rPr>
            </w:pPr>
            <w:r w:rsidRPr="007C51D6">
              <w:rPr>
                <w:color w:val="000000"/>
                <w:sz w:val="20"/>
                <w:szCs w:val="20"/>
              </w:rPr>
              <w:t>44,88</w:t>
            </w:r>
          </w:p>
        </w:tc>
        <w:tc>
          <w:tcPr>
            <w:tcW w:w="948" w:type="dxa"/>
          </w:tcPr>
          <w:p w:rsidR="00B7368D" w:rsidRPr="007C51D6" w:rsidRDefault="00B7368D" w:rsidP="00B7368D">
            <w:pPr>
              <w:jc w:val="center"/>
              <w:rPr>
                <w:color w:val="000000"/>
                <w:sz w:val="20"/>
                <w:szCs w:val="20"/>
              </w:rPr>
            </w:pPr>
            <w:r w:rsidRPr="007C51D6">
              <w:rPr>
                <w:color w:val="000000"/>
                <w:sz w:val="20"/>
                <w:szCs w:val="20"/>
              </w:rPr>
              <w:t>43,84</w:t>
            </w:r>
          </w:p>
        </w:tc>
        <w:tc>
          <w:tcPr>
            <w:tcW w:w="902" w:type="dxa"/>
          </w:tcPr>
          <w:p w:rsidR="00B7368D" w:rsidRPr="007C51D6" w:rsidRDefault="00B7368D" w:rsidP="00B7368D">
            <w:pPr>
              <w:jc w:val="center"/>
              <w:rPr>
                <w:color w:val="000000"/>
                <w:sz w:val="20"/>
                <w:szCs w:val="20"/>
              </w:rPr>
            </w:pPr>
            <w:r w:rsidRPr="007C51D6">
              <w:rPr>
                <w:color w:val="000000"/>
                <w:sz w:val="20"/>
                <w:szCs w:val="20"/>
              </w:rPr>
              <w:t>39,17</w:t>
            </w:r>
          </w:p>
        </w:tc>
        <w:tc>
          <w:tcPr>
            <w:tcW w:w="911" w:type="dxa"/>
          </w:tcPr>
          <w:p w:rsidR="00B7368D" w:rsidRPr="007C51D6" w:rsidRDefault="00B7368D" w:rsidP="00B7368D">
            <w:pPr>
              <w:jc w:val="center"/>
              <w:rPr>
                <w:color w:val="000000"/>
                <w:sz w:val="20"/>
                <w:szCs w:val="20"/>
              </w:rPr>
            </w:pPr>
            <w:r w:rsidRPr="007C51D6">
              <w:rPr>
                <w:color w:val="000000"/>
                <w:sz w:val="20"/>
                <w:szCs w:val="20"/>
              </w:rPr>
              <w:t>39,71</w:t>
            </w:r>
          </w:p>
        </w:tc>
        <w:tc>
          <w:tcPr>
            <w:tcW w:w="1216" w:type="dxa"/>
            <w:vAlign w:val="center"/>
          </w:tcPr>
          <w:p w:rsidR="00B7368D" w:rsidRPr="007C51D6" w:rsidRDefault="00B7368D" w:rsidP="00B7368D">
            <w:pPr>
              <w:jc w:val="center"/>
              <w:rPr>
                <w:color w:val="000000"/>
                <w:sz w:val="20"/>
                <w:szCs w:val="20"/>
              </w:rPr>
            </w:pPr>
            <w:r w:rsidRPr="007C51D6">
              <w:rPr>
                <w:color w:val="000000"/>
                <w:sz w:val="20"/>
                <w:szCs w:val="20"/>
              </w:rPr>
              <w:t>36.89</w:t>
            </w:r>
          </w:p>
        </w:tc>
        <w:tc>
          <w:tcPr>
            <w:tcW w:w="1216" w:type="dxa"/>
            <w:gridSpan w:val="2"/>
            <w:vAlign w:val="center"/>
          </w:tcPr>
          <w:p w:rsidR="00B7368D" w:rsidRPr="007C51D6" w:rsidRDefault="00B7368D" w:rsidP="00B7368D">
            <w:pPr>
              <w:jc w:val="center"/>
              <w:rPr>
                <w:color w:val="000000"/>
                <w:sz w:val="20"/>
                <w:szCs w:val="20"/>
              </w:rPr>
            </w:pPr>
            <w:r w:rsidRPr="007C51D6">
              <w:rPr>
                <w:color w:val="000000"/>
                <w:sz w:val="20"/>
                <w:szCs w:val="20"/>
              </w:rPr>
              <w:t>37.71</w:t>
            </w:r>
          </w:p>
        </w:tc>
      </w:tr>
      <w:tr w:rsidR="00B7368D" w:rsidRPr="007C51D6" w:rsidTr="006A40DD">
        <w:trPr>
          <w:trHeight w:val="20"/>
        </w:trPr>
        <w:tc>
          <w:tcPr>
            <w:tcW w:w="4528" w:type="dxa"/>
            <w:hideMark/>
          </w:tcPr>
          <w:p w:rsidR="00B7368D" w:rsidRPr="007C51D6" w:rsidRDefault="00B7368D" w:rsidP="00B7368D">
            <w:pPr>
              <w:autoSpaceDE/>
              <w:autoSpaceDN/>
              <w:adjustRightInd/>
              <w:jc w:val="both"/>
              <w:rPr>
                <w:color w:val="000000"/>
                <w:sz w:val="20"/>
                <w:szCs w:val="20"/>
              </w:rPr>
            </w:pPr>
            <w:r w:rsidRPr="007C51D6">
              <w:rPr>
                <w:color w:val="000000"/>
                <w:sz w:val="20"/>
                <w:szCs w:val="20"/>
              </w:rPr>
              <w:t>глотки</w:t>
            </w:r>
          </w:p>
        </w:tc>
        <w:tc>
          <w:tcPr>
            <w:tcW w:w="938" w:type="dxa"/>
            <w:hideMark/>
          </w:tcPr>
          <w:p w:rsidR="00B7368D" w:rsidRPr="007C51D6" w:rsidRDefault="00B7368D" w:rsidP="00B7368D">
            <w:pPr>
              <w:autoSpaceDE/>
              <w:autoSpaceDN/>
              <w:adjustRightInd/>
              <w:jc w:val="center"/>
              <w:rPr>
                <w:color w:val="000000"/>
                <w:sz w:val="20"/>
                <w:szCs w:val="20"/>
              </w:rPr>
            </w:pPr>
            <w:r w:rsidRPr="007C51D6">
              <w:rPr>
                <w:color w:val="000000"/>
                <w:sz w:val="20"/>
                <w:szCs w:val="20"/>
              </w:rPr>
              <w:t>49,40</w:t>
            </w:r>
          </w:p>
        </w:tc>
        <w:tc>
          <w:tcPr>
            <w:tcW w:w="1224" w:type="dxa"/>
            <w:hideMark/>
          </w:tcPr>
          <w:p w:rsidR="00B7368D" w:rsidRPr="007C51D6" w:rsidRDefault="00B7368D" w:rsidP="00B7368D">
            <w:pPr>
              <w:autoSpaceDE/>
              <w:autoSpaceDN/>
              <w:adjustRightInd/>
              <w:jc w:val="center"/>
              <w:rPr>
                <w:color w:val="000000"/>
                <w:sz w:val="20"/>
                <w:szCs w:val="20"/>
              </w:rPr>
            </w:pPr>
            <w:r w:rsidRPr="007C51D6">
              <w:rPr>
                <w:color w:val="000000"/>
                <w:sz w:val="20"/>
                <w:szCs w:val="20"/>
              </w:rPr>
              <w:t>41,38</w:t>
            </w:r>
          </w:p>
        </w:tc>
        <w:tc>
          <w:tcPr>
            <w:tcW w:w="1133" w:type="dxa"/>
            <w:hideMark/>
          </w:tcPr>
          <w:p w:rsidR="00B7368D" w:rsidRPr="007C51D6" w:rsidRDefault="00B7368D" w:rsidP="00B7368D">
            <w:pPr>
              <w:autoSpaceDE/>
              <w:autoSpaceDN/>
              <w:adjustRightInd/>
              <w:jc w:val="center"/>
              <w:rPr>
                <w:color w:val="000000"/>
                <w:sz w:val="20"/>
                <w:szCs w:val="20"/>
              </w:rPr>
            </w:pPr>
            <w:r w:rsidRPr="007C51D6">
              <w:rPr>
                <w:color w:val="000000"/>
                <w:sz w:val="20"/>
                <w:szCs w:val="20"/>
              </w:rPr>
              <w:t>41,56</w:t>
            </w:r>
          </w:p>
        </w:tc>
        <w:tc>
          <w:tcPr>
            <w:tcW w:w="1133" w:type="dxa"/>
            <w:hideMark/>
          </w:tcPr>
          <w:p w:rsidR="00B7368D" w:rsidRPr="007C51D6" w:rsidRDefault="00B7368D" w:rsidP="00B7368D">
            <w:pPr>
              <w:autoSpaceDE/>
              <w:autoSpaceDN/>
              <w:adjustRightInd/>
              <w:jc w:val="center"/>
              <w:rPr>
                <w:color w:val="000000"/>
                <w:sz w:val="20"/>
                <w:szCs w:val="20"/>
              </w:rPr>
            </w:pPr>
            <w:r w:rsidRPr="007C51D6">
              <w:rPr>
                <w:color w:val="000000"/>
                <w:sz w:val="20"/>
                <w:szCs w:val="20"/>
              </w:rPr>
              <w:t>47,47</w:t>
            </w:r>
          </w:p>
        </w:tc>
        <w:tc>
          <w:tcPr>
            <w:tcW w:w="1133" w:type="dxa"/>
            <w:hideMark/>
          </w:tcPr>
          <w:p w:rsidR="00B7368D" w:rsidRPr="007C51D6" w:rsidRDefault="00B7368D" w:rsidP="00B7368D">
            <w:pPr>
              <w:autoSpaceDE/>
              <w:autoSpaceDN/>
              <w:adjustRightInd/>
              <w:jc w:val="center"/>
              <w:rPr>
                <w:color w:val="000000"/>
                <w:sz w:val="20"/>
                <w:szCs w:val="20"/>
              </w:rPr>
            </w:pPr>
            <w:r w:rsidRPr="007C51D6">
              <w:rPr>
                <w:color w:val="000000"/>
                <w:sz w:val="20"/>
                <w:szCs w:val="20"/>
              </w:rPr>
              <w:t>37,63</w:t>
            </w:r>
          </w:p>
        </w:tc>
        <w:tc>
          <w:tcPr>
            <w:tcW w:w="948" w:type="dxa"/>
          </w:tcPr>
          <w:p w:rsidR="00B7368D" w:rsidRPr="007C51D6" w:rsidRDefault="00B7368D" w:rsidP="00B7368D">
            <w:pPr>
              <w:jc w:val="center"/>
              <w:rPr>
                <w:color w:val="000000"/>
                <w:sz w:val="20"/>
                <w:szCs w:val="20"/>
              </w:rPr>
            </w:pPr>
            <w:r w:rsidRPr="007C51D6">
              <w:rPr>
                <w:color w:val="000000"/>
                <w:sz w:val="20"/>
                <w:szCs w:val="20"/>
              </w:rPr>
              <w:t>37,70</w:t>
            </w:r>
          </w:p>
        </w:tc>
        <w:tc>
          <w:tcPr>
            <w:tcW w:w="902" w:type="dxa"/>
          </w:tcPr>
          <w:p w:rsidR="00B7368D" w:rsidRPr="007C51D6" w:rsidRDefault="00B7368D" w:rsidP="00B7368D">
            <w:pPr>
              <w:jc w:val="center"/>
              <w:rPr>
                <w:color w:val="000000"/>
                <w:sz w:val="20"/>
                <w:szCs w:val="20"/>
              </w:rPr>
            </w:pPr>
            <w:r w:rsidRPr="007C51D6">
              <w:rPr>
                <w:color w:val="000000"/>
                <w:sz w:val="20"/>
                <w:szCs w:val="20"/>
              </w:rPr>
              <w:t>29,35</w:t>
            </w:r>
          </w:p>
        </w:tc>
        <w:tc>
          <w:tcPr>
            <w:tcW w:w="911" w:type="dxa"/>
          </w:tcPr>
          <w:p w:rsidR="00B7368D" w:rsidRPr="007C51D6" w:rsidRDefault="00B7368D" w:rsidP="00B7368D">
            <w:pPr>
              <w:jc w:val="center"/>
              <w:rPr>
                <w:color w:val="000000"/>
                <w:sz w:val="20"/>
                <w:szCs w:val="20"/>
              </w:rPr>
            </w:pPr>
            <w:r w:rsidRPr="007C51D6">
              <w:rPr>
                <w:color w:val="000000"/>
                <w:sz w:val="20"/>
                <w:szCs w:val="20"/>
              </w:rPr>
              <w:t>29,76</w:t>
            </w:r>
          </w:p>
        </w:tc>
        <w:tc>
          <w:tcPr>
            <w:tcW w:w="1216" w:type="dxa"/>
            <w:vAlign w:val="center"/>
          </w:tcPr>
          <w:p w:rsidR="00B7368D" w:rsidRPr="007C51D6" w:rsidRDefault="00B7368D" w:rsidP="00B7368D">
            <w:pPr>
              <w:jc w:val="center"/>
              <w:rPr>
                <w:color w:val="000000"/>
                <w:sz w:val="20"/>
                <w:szCs w:val="20"/>
              </w:rPr>
            </w:pPr>
            <w:r w:rsidRPr="007C51D6">
              <w:rPr>
                <w:color w:val="000000"/>
                <w:sz w:val="20"/>
                <w:szCs w:val="20"/>
              </w:rPr>
              <w:t>41.30</w:t>
            </w:r>
          </w:p>
        </w:tc>
        <w:tc>
          <w:tcPr>
            <w:tcW w:w="1216" w:type="dxa"/>
            <w:gridSpan w:val="2"/>
            <w:vAlign w:val="center"/>
          </w:tcPr>
          <w:p w:rsidR="00B7368D" w:rsidRPr="007C51D6" w:rsidRDefault="00B7368D" w:rsidP="00B7368D">
            <w:pPr>
              <w:jc w:val="center"/>
              <w:rPr>
                <w:color w:val="000000"/>
                <w:sz w:val="20"/>
                <w:szCs w:val="20"/>
              </w:rPr>
            </w:pPr>
            <w:r w:rsidRPr="007C51D6">
              <w:rPr>
                <w:color w:val="000000"/>
                <w:sz w:val="20"/>
                <w:szCs w:val="20"/>
              </w:rPr>
              <w:t>38.89</w:t>
            </w:r>
          </w:p>
        </w:tc>
      </w:tr>
      <w:tr w:rsidR="00B7368D" w:rsidRPr="007C51D6" w:rsidTr="006A40DD">
        <w:trPr>
          <w:trHeight w:val="20"/>
        </w:trPr>
        <w:tc>
          <w:tcPr>
            <w:tcW w:w="4528" w:type="dxa"/>
          </w:tcPr>
          <w:p w:rsidR="00B7368D" w:rsidRPr="007C51D6" w:rsidRDefault="00B7368D" w:rsidP="00B7368D">
            <w:pPr>
              <w:autoSpaceDE/>
              <w:autoSpaceDN/>
              <w:adjustRightInd/>
              <w:jc w:val="both"/>
              <w:rPr>
                <w:color w:val="000000"/>
                <w:sz w:val="20"/>
                <w:szCs w:val="20"/>
              </w:rPr>
            </w:pPr>
            <w:r w:rsidRPr="007C51D6">
              <w:rPr>
                <w:color w:val="000000"/>
                <w:sz w:val="20"/>
                <w:szCs w:val="20"/>
              </w:rPr>
              <w:t xml:space="preserve">полости рта </w:t>
            </w:r>
          </w:p>
        </w:tc>
        <w:tc>
          <w:tcPr>
            <w:tcW w:w="938" w:type="dxa"/>
          </w:tcPr>
          <w:p w:rsidR="00B7368D" w:rsidRPr="007C51D6" w:rsidRDefault="00B7368D" w:rsidP="00B7368D">
            <w:pPr>
              <w:autoSpaceDE/>
              <w:autoSpaceDN/>
              <w:adjustRightInd/>
              <w:jc w:val="center"/>
              <w:rPr>
                <w:color w:val="000000"/>
                <w:sz w:val="20"/>
                <w:szCs w:val="20"/>
              </w:rPr>
            </w:pPr>
            <w:r w:rsidRPr="007C51D6">
              <w:rPr>
                <w:color w:val="000000"/>
                <w:sz w:val="20"/>
                <w:szCs w:val="20"/>
              </w:rPr>
              <w:t>38,40</w:t>
            </w:r>
          </w:p>
        </w:tc>
        <w:tc>
          <w:tcPr>
            <w:tcW w:w="1224" w:type="dxa"/>
          </w:tcPr>
          <w:p w:rsidR="00B7368D" w:rsidRPr="007C51D6" w:rsidRDefault="00B7368D" w:rsidP="00B7368D">
            <w:pPr>
              <w:autoSpaceDE/>
              <w:autoSpaceDN/>
              <w:adjustRightInd/>
              <w:jc w:val="center"/>
              <w:rPr>
                <w:color w:val="000000"/>
                <w:sz w:val="20"/>
                <w:szCs w:val="20"/>
              </w:rPr>
            </w:pPr>
            <w:r w:rsidRPr="007C51D6">
              <w:rPr>
                <w:color w:val="000000"/>
                <w:sz w:val="20"/>
                <w:szCs w:val="20"/>
              </w:rPr>
              <w:t>35,58</w:t>
            </w:r>
          </w:p>
        </w:tc>
        <w:tc>
          <w:tcPr>
            <w:tcW w:w="1133" w:type="dxa"/>
          </w:tcPr>
          <w:p w:rsidR="00B7368D" w:rsidRPr="007C51D6" w:rsidRDefault="00B7368D" w:rsidP="00B7368D">
            <w:pPr>
              <w:autoSpaceDE/>
              <w:autoSpaceDN/>
              <w:adjustRightInd/>
              <w:jc w:val="center"/>
              <w:rPr>
                <w:color w:val="000000"/>
                <w:sz w:val="20"/>
                <w:szCs w:val="20"/>
              </w:rPr>
            </w:pPr>
            <w:r w:rsidRPr="007C51D6">
              <w:rPr>
                <w:color w:val="000000"/>
                <w:sz w:val="20"/>
                <w:szCs w:val="20"/>
              </w:rPr>
              <w:t>37,11</w:t>
            </w:r>
          </w:p>
        </w:tc>
        <w:tc>
          <w:tcPr>
            <w:tcW w:w="1133" w:type="dxa"/>
          </w:tcPr>
          <w:p w:rsidR="00B7368D" w:rsidRPr="007C51D6" w:rsidRDefault="00B7368D" w:rsidP="00B7368D">
            <w:pPr>
              <w:autoSpaceDE/>
              <w:autoSpaceDN/>
              <w:adjustRightInd/>
              <w:jc w:val="center"/>
              <w:rPr>
                <w:color w:val="000000"/>
                <w:sz w:val="20"/>
                <w:szCs w:val="20"/>
              </w:rPr>
            </w:pPr>
            <w:r w:rsidRPr="007C51D6">
              <w:rPr>
                <w:color w:val="000000"/>
                <w:sz w:val="20"/>
                <w:szCs w:val="20"/>
              </w:rPr>
              <w:t>26,01</w:t>
            </w:r>
          </w:p>
        </w:tc>
        <w:tc>
          <w:tcPr>
            <w:tcW w:w="1133" w:type="dxa"/>
          </w:tcPr>
          <w:p w:rsidR="00B7368D" w:rsidRPr="007C51D6" w:rsidRDefault="00B7368D" w:rsidP="00B7368D">
            <w:pPr>
              <w:autoSpaceDE/>
              <w:autoSpaceDN/>
              <w:adjustRightInd/>
              <w:jc w:val="center"/>
              <w:rPr>
                <w:color w:val="000000"/>
                <w:sz w:val="20"/>
                <w:szCs w:val="20"/>
              </w:rPr>
            </w:pPr>
            <w:r w:rsidRPr="007C51D6">
              <w:rPr>
                <w:color w:val="000000"/>
                <w:sz w:val="20"/>
                <w:szCs w:val="20"/>
              </w:rPr>
              <w:t>34,42</w:t>
            </w:r>
          </w:p>
        </w:tc>
        <w:tc>
          <w:tcPr>
            <w:tcW w:w="948" w:type="dxa"/>
          </w:tcPr>
          <w:p w:rsidR="00B7368D" w:rsidRPr="007C51D6" w:rsidRDefault="00B7368D" w:rsidP="00B7368D">
            <w:pPr>
              <w:jc w:val="center"/>
              <w:rPr>
                <w:color w:val="000000"/>
                <w:sz w:val="20"/>
                <w:szCs w:val="20"/>
              </w:rPr>
            </w:pPr>
            <w:r w:rsidRPr="007C51D6">
              <w:rPr>
                <w:color w:val="000000"/>
                <w:sz w:val="20"/>
                <w:szCs w:val="20"/>
              </w:rPr>
              <w:t>30,50</w:t>
            </w:r>
          </w:p>
        </w:tc>
        <w:tc>
          <w:tcPr>
            <w:tcW w:w="902" w:type="dxa"/>
          </w:tcPr>
          <w:p w:rsidR="00B7368D" w:rsidRPr="007C51D6" w:rsidRDefault="00B7368D" w:rsidP="00B7368D">
            <w:pPr>
              <w:jc w:val="center"/>
              <w:rPr>
                <w:color w:val="000000"/>
                <w:sz w:val="20"/>
                <w:szCs w:val="20"/>
              </w:rPr>
            </w:pPr>
            <w:r w:rsidRPr="007C51D6">
              <w:rPr>
                <w:color w:val="000000"/>
                <w:sz w:val="20"/>
                <w:szCs w:val="20"/>
              </w:rPr>
              <w:t>32,00</w:t>
            </w:r>
          </w:p>
        </w:tc>
        <w:tc>
          <w:tcPr>
            <w:tcW w:w="911" w:type="dxa"/>
          </w:tcPr>
          <w:p w:rsidR="00B7368D" w:rsidRPr="007C51D6" w:rsidRDefault="00B7368D" w:rsidP="00B7368D">
            <w:pPr>
              <w:jc w:val="center"/>
              <w:rPr>
                <w:color w:val="000000"/>
                <w:sz w:val="20"/>
                <w:szCs w:val="20"/>
              </w:rPr>
            </w:pPr>
            <w:r w:rsidRPr="007C51D6">
              <w:rPr>
                <w:color w:val="000000"/>
                <w:sz w:val="20"/>
                <w:szCs w:val="20"/>
              </w:rPr>
              <w:t>28,48</w:t>
            </w:r>
          </w:p>
        </w:tc>
        <w:tc>
          <w:tcPr>
            <w:tcW w:w="1216" w:type="dxa"/>
            <w:vAlign w:val="center"/>
          </w:tcPr>
          <w:p w:rsidR="00B7368D" w:rsidRPr="007C51D6" w:rsidRDefault="00B7368D" w:rsidP="00B7368D">
            <w:pPr>
              <w:jc w:val="center"/>
              <w:rPr>
                <w:color w:val="000000"/>
                <w:sz w:val="20"/>
                <w:szCs w:val="20"/>
              </w:rPr>
            </w:pPr>
            <w:r w:rsidRPr="007C51D6">
              <w:rPr>
                <w:color w:val="000000"/>
                <w:sz w:val="20"/>
                <w:szCs w:val="20"/>
              </w:rPr>
              <w:t>28.85</w:t>
            </w:r>
          </w:p>
        </w:tc>
        <w:tc>
          <w:tcPr>
            <w:tcW w:w="1216" w:type="dxa"/>
            <w:gridSpan w:val="2"/>
            <w:vAlign w:val="center"/>
          </w:tcPr>
          <w:p w:rsidR="00B7368D" w:rsidRPr="007C51D6" w:rsidRDefault="00B7368D" w:rsidP="00B7368D">
            <w:pPr>
              <w:jc w:val="center"/>
              <w:rPr>
                <w:color w:val="000000"/>
                <w:sz w:val="20"/>
                <w:szCs w:val="20"/>
              </w:rPr>
            </w:pPr>
            <w:r w:rsidRPr="007C51D6">
              <w:rPr>
                <w:color w:val="000000"/>
                <w:sz w:val="20"/>
                <w:szCs w:val="20"/>
              </w:rPr>
              <w:t>31.2</w:t>
            </w:r>
          </w:p>
        </w:tc>
      </w:tr>
      <w:tr w:rsidR="00B7368D" w:rsidRPr="007C51D6" w:rsidTr="006A40DD">
        <w:trPr>
          <w:trHeight w:val="20"/>
        </w:trPr>
        <w:tc>
          <w:tcPr>
            <w:tcW w:w="4528" w:type="dxa"/>
          </w:tcPr>
          <w:p w:rsidR="00B7368D" w:rsidRPr="007C51D6" w:rsidRDefault="00B7368D" w:rsidP="00B7368D">
            <w:pPr>
              <w:autoSpaceDE/>
              <w:autoSpaceDN/>
              <w:adjustRightInd/>
              <w:jc w:val="both"/>
              <w:rPr>
                <w:color w:val="000000"/>
                <w:sz w:val="20"/>
                <w:szCs w:val="20"/>
              </w:rPr>
            </w:pPr>
            <w:r w:rsidRPr="007C51D6">
              <w:rPr>
                <w:color w:val="000000"/>
                <w:sz w:val="20"/>
                <w:szCs w:val="20"/>
              </w:rPr>
              <w:t>костей и суставных хрящей</w:t>
            </w:r>
          </w:p>
        </w:tc>
        <w:tc>
          <w:tcPr>
            <w:tcW w:w="938" w:type="dxa"/>
          </w:tcPr>
          <w:p w:rsidR="00B7368D" w:rsidRPr="007C51D6" w:rsidRDefault="00B7368D" w:rsidP="00B7368D">
            <w:pPr>
              <w:autoSpaceDE/>
              <w:autoSpaceDN/>
              <w:adjustRightInd/>
              <w:jc w:val="center"/>
              <w:rPr>
                <w:color w:val="000000"/>
                <w:sz w:val="20"/>
                <w:szCs w:val="20"/>
              </w:rPr>
            </w:pPr>
            <w:r w:rsidRPr="007C51D6">
              <w:rPr>
                <w:color w:val="000000"/>
                <w:sz w:val="20"/>
                <w:szCs w:val="20"/>
              </w:rPr>
              <w:t>23,53</w:t>
            </w:r>
          </w:p>
        </w:tc>
        <w:tc>
          <w:tcPr>
            <w:tcW w:w="1224" w:type="dxa"/>
          </w:tcPr>
          <w:p w:rsidR="00B7368D" w:rsidRPr="007C51D6" w:rsidRDefault="00B7368D" w:rsidP="00B7368D">
            <w:pPr>
              <w:autoSpaceDE/>
              <w:autoSpaceDN/>
              <w:adjustRightInd/>
              <w:jc w:val="center"/>
              <w:rPr>
                <w:color w:val="000000"/>
                <w:sz w:val="20"/>
                <w:szCs w:val="20"/>
              </w:rPr>
            </w:pPr>
            <w:r w:rsidRPr="007C51D6">
              <w:rPr>
                <w:color w:val="000000"/>
                <w:sz w:val="20"/>
                <w:szCs w:val="20"/>
              </w:rPr>
              <w:t>28,25</w:t>
            </w:r>
          </w:p>
        </w:tc>
        <w:tc>
          <w:tcPr>
            <w:tcW w:w="1133" w:type="dxa"/>
          </w:tcPr>
          <w:p w:rsidR="00B7368D" w:rsidRPr="007C51D6" w:rsidRDefault="00B7368D" w:rsidP="00B7368D">
            <w:pPr>
              <w:autoSpaceDE/>
              <w:autoSpaceDN/>
              <w:adjustRightInd/>
              <w:jc w:val="center"/>
              <w:rPr>
                <w:color w:val="000000"/>
                <w:sz w:val="20"/>
                <w:szCs w:val="20"/>
              </w:rPr>
            </w:pPr>
            <w:r w:rsidRPr="007C51D6">
              <w:rPr>
                <w:color w:val="000000"/>
                <w:sz w:val="20"/>
                <w:szCs w:val="20"/>
              </w:rPr>
              <w:t>33,33</w:t>
            </w:r>
          </w:p>
        </w:tc>
        <w:tc>
          <w:tcPr>
            <w:tcW w:w="1133" w:type="dxa"/>
          </w:tcPr>
          <w:p w:rsidR="00B7368D" w:rsidRPr="007C51D6" w:rsidRDefault="00B7368D" w:rsidP="00B7368D">
            <w:pPr>
              <w:autoSpaceDE/>
              <w:autoSpaceDN/>
              <w:adjustRightInd/>
              <w:jc w:val="center"/>
              <w:rPr>
                <w:color w:val="000000"/>
                <w:sz w:val="20"/>
                <w:szCs w:val="20"/>
              </w:rPr>
            </w:pPr>
            <w:r w:rsidRPr="007C51D6">
              <w:rPr>
                <w:color w:val="000000"/>
                <w:sz w:val="20"/>
                <w:szCs w:val="20"/>
              </w:rPr>
              <w:t>17,65</w:t>
            </w:r>
          </w:p>
        </w:tc>
        <w:tc>
          <w:tcPr>
            <w:tcW w:w="1133" w:type="dxa"/>
          </w:tcPr>
          <w:p w:rsidR="00B7368D" w:rsidRPr="007C51D6" w:rsidRDefault="00B7368D" w:rsidP="00B7368D">
            <w:pPr>
              <w:autoSpaceDE/>
              <w:autoSpaceDN/>
              <w:adjustRightInd/>
              <w:jc w:val="center"/>
              <w:rPr>
                <w:color w:val="000000"/>
                <w:sz w:val="20"/>
                <w:szCs w:val="20"/>
              </w:rPr>
            </w:pPr>
            <w:r w:rsidRPr="007C51D6">
              <w:rPr>
                <w:color w:val="000000"/>
                <w:sz w:val="20"/>
                <w:szCs w:val="20"/>
              </w:rPr>
              <w:t>28,57</w:t>
            </w:r>
          </w:p>
        </w:tc>
        <w:tc>
          <w:tcPr>
            <w:tcW w:w="948" w:type="dxa"/>
          </w:tcPr>
          <w:p w:rsidR="00B7368D" w:rsidRPr="007C51D6" w:rsidRDefault="00B7368D" w:rsidP="00B7368D">
            <w:pPr>
              <w:jc w:val="center"/>
              <w:rPr>
                <w:color w:val="000000"/>
                <w:sz w:val="20"/>
                <w:szCs w:val="20"/>
              </w:rPr>
            </w:pPr>
            <w:r w:rsidRPr="007C51D6">
              <w:rPr>
                <w:color w:val="000000"/>
                <w:sz w:val="20"/>
                <w:szCs w:val="20"/>
              </w:rPr>
              <w:t>25,00</w:t>
            </w:r>
          </w:p>
        </w:tc>
        <w:tc>
          <w:tcPr>
            <w:tcW w:w="902" w:type="dxa"/>
          </w:tcPr>
          <w:p w:rsidR="00B7368D" w:rsidRPr="007C51D6" w:rsidRDefault="00B7368D" w:rsidP="00B7368D">
            <w:pPr>
              <w:jc w:val="center"/>
              <w:rPr>
                <w:color w:val="000000"/>
                <w:sz w:val="20"/>
                <w:szCs w:val="20"/>
              </w:rPr>
            </w:pPr>
            <w:r w:rsidRPr="007C51D6">
              <w:rPr>
                <w:color w:val="000000"/>
                <w:sz w:val="20"/>
                <w:szCs w:val="20"/>
              </w:rPr>
              <w:t>18,75</w:t>
            </w:r>
          </w:p>
        </w:tc>
        <w:tc>
          <w:tcPr>
            <w:tcW w:w="911" w:type="dxa"/>
          </w:tcPr>
          <w:p w:rsidR="00B7368D" w:rsidRPr="007C51D6" w:rsidRDefault="00B7368D" w:rsidP="00B7368D">
            <w:pPr>
              <w:jc w:val="center"/>
              <w:rPr>
                <w:color w:val="000000"/>
                <w:sz w:val="20"/>
                <w:szCs w:val="20"/>
              </w:rPr>
            </w:pPr>
            <w:r w:rsidRPr="007C51D6">
              <w:rPr>
                <w:color w:val="000000"/>
                <w:sz w:val="20"/>
                <w:szCs w:val="20"/>
              </w:rPr>
              <w:t>25,00</w:t>
            </w:r>
          </w:p>
        </w:tc>
        <w:tc>
          <w:tcPr>
            <w:tcW w:w="1216" w:type="dxa"/>
            <w:vAlign w:val="center"/>
          </w:tcPr>
          <w:p w:rsidR="00B7368D" w:rsidRPr="007C51D6" w:rsidRDefault="00B7368D" w:rsidP="00B7368D">
            <w:pPr>
              <w:jc w:val="center"/>
              <w:rPr>
                <w:color w:val="000000"/>
                <w:sz w:val="20"/>
                <w:szCs w:val="20"/>
              </w:rPr>
            </w:pPr>
            <w:r w:rsidRPr="007C51D6">
              <w:rPr>
                <w:color w:val="000000"/>
                <w:sz w:val="20"/>
                <w:szCs w:val="20"/>
              </w:rPr>
              <w:t>20.00</w:t>
            </w:r>
          </w:p>
        </w:tc>
        <w:tc>
          <w:tcPr>
            <w:tcW w:w="1216" w:type="dxa"/>
            <w:gridSpan w:val="2"/>
            <w:vAlign w:val="center"/>
          </w:tcPr>
          <w:p w:rsidR="00B7368D" w:rsidRPr="007C51D6" w:rsidRDefault="00B7368D" w:rsidP="00B7368D">
            <w:pPr>
              <w:jc w:val="center"/>
              <w:rPr>
                <w:color w:val="000000"/>
                <w:sz w:val="20"/>
                <w:szCs w:val="20"/>
              </w:rPr>
            </w:pPr>
            <w:r w:rsidRPr="007C51D6">
              <w:rPr>
                <w:color w:val="000000"/>
                <w:sz w:val="20"/>
                <w:szCs w:val="20"/>
              </w:rPr>
              <w:t>18.18</w:t>
            </w:r>
          </w:p>
        </w:tc>
      </w:tr>
      <w:tr w:rsidR="00B7368D" w:rsidRPr="007C51D6" w:rsidTr="006A40DD">
        <w:trPr>
          <w:trHeight w:val="20"/>
        </w:trPr>
        <w:tc>
          <w:tcPr>
            <w:tcW w:w="4528" w:type="dxa"/>
            <w:hideMark/>
          </w:tcPr>
          <w:p w:rsidR="00B7368D" w:rsidRPr="007C51D6" w:rsidRDefault="00B7368D" w:rsidP="00B7368D">
            <w:pPr>
              <w:autoSpaceDE/>
              <w:autoSpaceDN/>
              <w:adjustRightInd/>
              <w:jc w:val="both"/>
              <w:rPr>
                <w:color w:val="000000"/>
                <w:sz w:val="20"/>
                <w:szCs w:val="20"/>
              </w:rPr>
            </w:pPr>
            <w:r w:rsidRPr="007C51D6">
              <w:rPr>
                <w:color w:val="000000"/>
                <w:sz w:val="20"/>
                <w:szCs w:val="20"/>
              </w:rPr>
              <w:t>злокачественные лимфомы</w:t>
            </w:r>
          </w:p>
        </w:tc>
        <w:tc>
          <w:tcPr>
            <w:tcW w:w="938" w:type="dxa"/>
            <w:hideMark/>
          </w:tcPr>
          <w:p w:rsidR="00B7368D" w:rsidRPr="007C51D6" w:rsidRDefault="00B7368D" w:rsidP="00B7368D">
            <w:pPr>
              <w:autoSpaceDE/>
              <w:autoSpaceDN/>
              <w:adjustRightInd/>
              <w:jc w:val="center"/>
              <w:rPr>
                <w:color w:val="000000"/>
                <w:sz w:val="20"/>
                <w:szCs w:val="20"/>
              </w:rPr>
            </w:pPr>
            <w:r w:rsidRPr="007C51D6">
              <w:rPr>
                <w:color w:val="000000"/>
                <w:sz w:val="20"/>
                <w:szCs w:val="20"/>
              </w:rPr>
              <w:t>27,33</w:t>
            </w:r>
          </w:p>
        </w:tc>
        <w:tc>
          <w:tcPr>
            <w:tcW w:w="1224" w:type="dxa"/>
            <w:hideMark/>
          </w:tcPr>
          <w:p w:rsidR="00B7368D" w:rsidRPr="007C51D6" w:rsidRDefault="00B7368D" w:rsidP="00B7368D">
            <w:pPr>
              <w:autoSpaceDE/>
              <w:autoSpaceDN/>
              <w:adjustRightInd/>
              <w:jc w:val="center"/>
              <w:rPr>
                <w:color w:val="000000"/>
                <w:sz w:val="20"/>
                <w:szCs w:val="20"/>
              </w:rPr>
            </w:pPr>
            <w:r w:rsidRPr="007C51D6">
              <w:rPr>
                <w:color w:val="000000"/>
                <w:sz w:val="20"/>
                <w:szCs w:val="20"/>
              </w:rPr>
              <w:t>20,12</w:t>
            </w:r>
          </w:p>
        </w:tc>
        <w:tc>
          <w:tcPr>
            <w:tcW w:w="1133" w:type="dxa"/>
            <w:hideMark/>
          </w:tcPr>
          <w:p w:rsidR="00B7368D" w:rsidRPr="007C51D6" w:rsidRDefault="00B7368D" w:rsidP="00B7368D">
            <w:pPr>
              <w:autoSpaceDE/>
              <w:autoSpaceDN/>
              <w:adjustRightInd/>
              <w:jc w:val="center"/>
              <w:rPr>
                <w:color w:val="000000"/>
                <w:sz w:val="20"/>
                <w:szCs w:val="20"/>
              </w:rPr>
            </w:pPr>
            <w:r w:rsidRPr="007C51D6">
              <w:rPr>
                <w:color w:val="000000"/>
                <w:sz w:val="20"/>
                <w:szCs w:val="20"/>
              </w:rPr>
              <w:t>22,58</w:t>
            </w:r>
          </w:p>
        </w:tc>
        <w:tc>
          <w:tcPr>
            <w:tcW w:w="1133" w:type="dxa"/>
            <w:hideMark/>
          </w:tcPr>
          <w:p w:rsidR="00B7368D" w:rsidRPr="007C51D6" w:rsidRDefault="00B7368D" w:rsidP="00B7368D">
            <w:pPr>
              <w:autoSpaceDE/>
              <w:autoSpaceDN/>
              <w:adjustRightInd/>
              <w:jc w:val="center"/>
              <w:rPr>
                <w:color w:val="000000"/>
                <w:sz w:val="20"/>
                <w:szCs w:val="20"/>
              </w:rPr>
            </w:pPr>
            <w:r w:rsidRPr="007C51D6">
              <w:rPr>
                <w:color w:val="000000"/>
                <w:sz w:val="20"/>
                <w:szCs w:val="20"/>
              </w:rPr>
              <w:t>28,57</w:t>
            </w:r>
          </w:p>
        </w:tc>
        <w:tc>
          <w:tcPr>
            <w:tcW w:w="1133" w:type="dxa"/>
            <w:hideMark/>
          </w:tcPr>
          <w:p w:rsidR="00B7368D" w:rsidRPr="007C51D6" w:rsidRDefault="00B7368D" w:rsidP="00B7368D">
            <w:pPr>
              <w:autoSpaceDE/>
              <w:autoSpaceDN/>
              <w:adjustRightInd/>
              <w:jc w:val="center"/>
              <w:rPr>
                <w:color w:val="000000"/>
                <w:sz w:val="20"/>
                <w:szCs w:val="20"/>
              </w:rPr>
            </w:pPr>
            <w:r w:rsidRPr="007C51D6">
              <w:rPr>
                <w:color w:val="000000"/>
                <w:sz w:val="20"/>
                <w:szCs w:val="20"/>
              </w:rPr>
              <w:t>26,15</w:t>
            </w:r>
          </w:p>
        </w:tc>
        <w:tc>
          <w:tcPr>
            <w:tcW w:w="948" w:type="dxa"/>
          </w:tcPr>
          <w:p w:rsidR="00B7368D" w:rsidRPr="007C51D6" w:rsidRDefault="00B7368D" w:rsidP="00B7368D">
            <w:pPr>
              <w:jc w:val="center"/>
              <w:rPr>
                <w:color w:val="000000"/>
                <w:sz w:val="20"/>
                <w:szCs w:val="20"/>
              </w:rPr>
            </w:pPr>
            <w:r w:rsidRPr="007C51D6">
              <w:rPr>
                <w:color w:val="000000"/>
                <w:sz w:val="20"/>
                <w:szCs w:val="20"/>
              </w:rPr>
              <w:t>21,20</w:t>
            </w:r>
          </w:p>
        </w:tc>
        <w:tc>
          <w:tcPr>
            <w:tcW w:w="902" w:type="dxa"/>
          </w:tcPr>
          <w:p w:rsidR="00B7368D" w:rsidRPr="007C51D6" w:rsidRDefault="00B7368D" w:rsidP="00B7368D">
            <w:pPr>
              <w:jc w:val="center"/>
              <w:rPr>
                <w:color w:val="000000"/>
                <w:sz w:val="20"/>
                <w:szCs w:val="20"/>
              </w:rPr>
            </w:pPr>
            <w:r w:rsidRPr="007C51D6">
              <w:rPr>
                <w:color w:val="000000"/>
                <w:sz w:val="20"/>
                <w:szCs w:val="20"/>
              </w:rPr>
              <w:t>20,74</w:t>
            </w:r>
          </w:p>
        </w:tc>
        <w:tc>
          <w:tcPr>
            <w:tcW w:w="911" w:type="dxa"/>
          </w:tcPr>
          <w:p w:rsidR="00B7368D" w:rsidRPr="007C51D6" w:rsidRDefault="00B7368D" w:rsidP="00B7368D">
            <w:pPr>
              <w:jc w:val="center"/>
              <w:rPr>
                <w:color w:val="000000"/>
                <w:sz w:val="20"/>
                <w:szCs w:val="20"/>
              </w:rPr>
            </w:pPr>
            <w:r w:rsidRPr="007C51D6">
              <w:rPr>
                <w:color w:val="000000"/>
                <w:sz w:val="20"/>
                <w:szCs w:val="20"/>
              </w:rPr>
              <w:t>25,71</w:t>
            </w:r>
          </w:p>
        </w:tc>
        <w:tc>
          <w:tcPr>
            <w:tcW w:w="1216" w:type="dxa"/>
            <w:vAlign w:val="center"/>
          </w:tcPr>
          <w:p w:rsidR="00B7368D" w:rsidRPr="007C51D6" w:rsidRDefault="00B7368D" w:rsidP="00B7368D">
            <w:pPr>
              <w:jc w:val="center"/>
              <w:rPr>
                <w:color w:val="000000"/>
                <w:sz w:val="20"/>
                <w:szCs w:val="20"/>
              </w:rPr>
            </w:pPr>
            <w:r w:rsidRPr="007C51D6">
              <w:rPr>
                <w:color w:val="000000"/>
                <w:sz w:val="20"/>
                <w:szCs w:val="20"/>
              </w:rPr>
              <w:t>23.61</w:t>
            </w:r>
          </w:p>
        </w:tc>
        <w:tc>
          <w:tcPr>
            <w:tcW w:w="1216" w:type="dxa"/>
            <w:gridSpan w:val="2"/>
            <w:vAlign w:val="center"/>
          </w:tcPr>
          <w:p w:rsidR="00B7368D" w:rsidRPr="007C51D6" w:rsidRDefault="00B7368D" w:rsidP="00B7368D">
            <w:pPr>
              <w:jc w:val="center"/>
              <w:rPr>
                <w:color w:val="000000"/>
                <w:sz w:val="20"/>
                <w:szCs w:val="20"/>
              </w:rPr>
            </w:pPr>
            <w:r w:rsidRPr="007C51D6">
              <w:rPr>
                <w:color w:val="000000"/>
                <w:sz w:val="20"/>
                <w:szCs w:val="20"/>
              </w:rPr>
              <w:t>23.35</w:t>
            </w:r>
          </w:p>
        </w:tc>
      </w:tr>
      <w:tr w:rsidR="00B93D5E" w:rsidRPr="007C51D6" w:rsidTr="006A40DD">
        <w:trPr>
          <w:trHeight w:val="20"/>
        </w:trPr>
        <w:tc>
          <w:tcPr>
            <w:tcW w:w="4528" w:type="dxa"/>
            <w:tcBorders>
              <w:right w:val="single" w:sz="4" w:space="0" w:color="auto"/>
            </w:tcBorders>
          </w:tcPr>
          <w:p w:rsidR="00B93D5E" w:rsidRPr="007C51D6" w:rsidRDefault="00B93D5E" w:rsidP="00B93D5E">
            <w:pPr>
              <w:autoSpaceDE/>
              <w:autoSpaceDN/>
              <w:adjustRightInd/>
              <w:jc w:val="both"/>
              <w:rPr>
                <w:color w:val="000000"/>
                <w:sz w:val="20"/>
                <w:szCs w:val="20"/>
              </w:rPr>
            </w:pPr>
            <w:r w:rsidRPr="007C51D6">
              <w:rPr>
                <w:color w:val="000000"/>
                <w:sz w:val="20"/>
                <w:szCs w:val="20"/>
              </w:rPr>
              <w:t>ободочной кишки</w:t>
            </w:r>
          </w:p>
        </w:tc>
        <w:tc>
          <w:tcPr>
            <w:tcW w:w="938" w:type="dxa"/>
            <w:tcBorders>
              <w:left w:val="single" w:sz="4" w:space="0" w:color="auto"/>
            </w:tcBorders>
          </w:tcPr>
          <w:p w:rsidR="00B93D5E" w:rsidRPr="007C51D6" w:rsidRDefault="00B93D5E" w:rsidP="00B93D5E">
            <w:pPr>
              <w:autoSpaceDE/>
              <w:autoSpaceDN/>
              <w:adjustRightInd/>
              <w:jc w:val="center"/>
              <w:rPr>
                <w:color w:val="000000"/>
                <w:sz w:val="20"/>
                <w:szCs w:val="20"/>
              </w:rPr>
            </w:pPr>
            <w:r w:rsidRPr="007C51D6">
              <w:rPr>
                <w:color w:val="000000"/>
                <w:sz w:val="20"/>
                <w:szCs w:val="20"/>
              </w:rPr>
              <w:t>33,64</w:t>
            </w:r>
          </w:p>
        </w:tc>
        <w:tc>
          <w:tcPr>
            <w:tcW w:w="1224" w:type="dxa"/>
          </w:tcPr>
          <w:p w:rsidR="00B93D5E" w:rsidRPr="007C51D6" w:rsidRDefault="00B93D5E" w:rsidP="00B93D5E">
            <w:pPr>
              <w:autoSpaceDE/>
              <w:autoSpaceDN/>
              <w:adjustRightInd/>
              <w:jc w:val="center"/>
              <w:rPr>
                <w:color w:val="000000"/>
                <w:sz w:val="20"/>
                <w:szCs w:val="20"/>
              </w:rPr>
            </w:pPr>
            <w:r w:rsidRPr="007C51D6">
              <w:rPr>
                <w:color w:val="000000"/>
                <w:sz w:val="20"/>
                <w:szCs w:val="20"/>
              </w:rPr>
              <w:t>28,25</w:t>
            </w:r>
          </w:p>
        </w:tc>
        <w:tc>
          <w:tcPr>
            <w:tcW w:w="1133" w:type="dxa"/>
          </w:tcPr>
          <w:p w:rsidR="00B93D5E" w:rsidRPr="007C51D6" w:rsidRDefault="00B93D5E" w:rsidP="00B93D5E">
            <w:pPr>
              <w:autoSpaceDE/>
              <w:autoSpaceDN/>
              <w:adjustRightInd/>
              <w:jc w:val="center"/>
              <w:rPr>
                <w:color w:val="000000"/>
                <w:sz w:val="20"/>
                <w:szCs w:val="20"/>
              </w:rPr>
            </w:pPr>
            <w:r w:rsidRPr="007C51D6">
              <w:rPr>
                <w:color w:val="000000"/>
                <w:sz w:val="20"/>
                <w:szCs w:val="20"/>
              </w:rPr>
              <w:t>25,36</w:t>
            </w:r>
          </w:p>
        </w:tc>
        <w:tc>
          <w:tcPr>
            <w:tcW w:w="1133" w:type="dxa"/>
          </w:tcPr>
          <w:p w:rsidR="00B93D5E" w:rsidRPr="007C51D6" w:rsidRDefault="00B93D5E" w:rsidP="00B93D5E">
            <w:pPr>
              <w:autoSpaceDE/>
              <w:autoSpaceDN/>
              <w:adjustRightInd/>
              <w:jc w:val="center"/>
              <w:rPr>
                <w:color w:val="000000"/>
                <w:sz w:val="20"/>
                <w:szCs w:val="20"/>
              </w:rPr>
            </w:pPr>
            <w:r w:rsidRPr="007C51D6">
              <w:rPr>
                <w:color w:val="000000"/>
                <w:sz w:val="20"/>
                <w:szCs w:val="20"/>
              </w:rPr>
              <w:t>24,02</w:t>
            </w:r>
          </w:p>
        </w:tc>
        <w:tc>
          <w:tcPr>
            <w:tcW w:w="1133" w:type="dxa"/>
          </w:tcPr>
          <w:p w:rsidR="00B93D5E" w:rsidRPr="007C51D6" w:rsidRDefault="00B93D5E" w:rsidP="00B93D5E">
            <w:pPr>
              <w:autoSpaceDE/>
              <w:autoSpaceDN/>
              <w:adjustRightInd/>
              <w:jc w:val="center"/>
              <w:rPr>
                <w:color w:val="000000"/>
                <w:sz w:val="20"/>
                <w:szCs w:val="20"/>
              </w:rPr>
            </w:pPr>
            <w:r w:rsidRPr="007C51D6">
              <w:rPr>
                <w:color w:val="000000"/>
                <w:sz w:val="20"/>
                <w:szCs w:val="20"/>
              </w:rPr>
              <w:t>20,49</w:t>
            </w:r>
          </w:p>
        </w:tc>
        <w:tc>
          <w:tcPr>
            <w:tcW w:w="948" w:type="dxa"/>
          </w:tcPr>
          <w:p w:rsidR="00B93D5E" w:rsidRPr="007C51D6" w:rsidRDefault="00B93D5E" w:rsidP="00B93D5E">
            <w:pPr>
              <w:jc w:val="center"/>
              <w:rPr>
                <w:color w:val="000000"/>
                <w:sz w:val="20"/>
                <w:szCs w:val="20"/>
              </w:rPr>
            </w:pPr>
            <w:r w:rsidRPr="007C51D6">
              <w:rPr>
                <w:color w:val="000000"/>
                <w:sz w:val="20"/>
                <w:szCs w:val="20"/>
              </w:rPr>
              <w:t>19,41</w:t>
            </w:r>
          </w:p>
        </w:tc>
        <w:tc>
          <w:tcPr>
            <w:tcW w:w="902" w:type="dxa"/>
          </w:tcPr>
          <w:p w:rsidR="00B93D5E" w:rsidRPr="007C51D6" w:rsidRDefault="00B93D5E" w:rsidP="00B93D5E">
            <w:pPr>
              <w:jc w:val="center"/>
              <w:rPr>
                <w:color w:val="000000"/>
                <w:sz w:val="20"/>
                <w:szCs w:val="20"/>
              </w:rPr>
            </w:pPr>
            <w:r w:rsidRPr="007C51D6">
              <w:rPr>
                <w:color w:val="000000"/>
                <w:sz w:val="20"/>
                <w:szCs w:val="20"/>
              </w:rPr>
              <w:t>16,80</w:t>
            </w:r>
          </w:p>
        </w:tc>
        <w:tc>
          <w:tcPr>
            <w:tcW w:w="911" w:type="dxa"/>
            <w:tcBorders>
              <w:right w:val="single" w:sz="4" w:space="0" w:color="auto"/>
            </w:tcBorders>
          </w:tcPr>
          <w:p w:rsidR="00B93D5E" w:rsidRPr="007C51D6" w:rsidRDefault="00B93D5E" w:rsidP="00B93D5E">
            <w:pPr>
              <w:jc w:val="center"/>
              <w:rPr>
                <w:color w:val="000000"/>
                <w:sz w:val="20"/>
                <w:szCs w:val="20"/>
              </w:rPr>
            </w:pPr>
            <w:r w:rsidRPr="007C51D6">
              <w:rPr>
                <w:color w:val="000000"/>
                <w:sz w:val="20"/>
                <w:szCs w:val="20"/>
              </w:rPr>
              <w:t>16,89</w:t>
            </w:r>
          </w:p>
        </w:tc>
        <w:tc>
          <w:tcPr>
            <w:tcW w:w="1216" w:type="dxa"/>
            <w:tcBorders>
              <w:left w:val="single" w:sz="4" w:space="0" w:color="auto"/>
            </w:tcBorders>
            <w:vAlign w:val="center"/>
          </w:tcPr>
          <w:p w:rsidR="00B93D5E" w:rsidRPr="007C51D6" w:rsidRDefault="00B93D5E" w:rsidP="00B93D5E">
            <w:pPr>
              <w:jc w:val="center"/>
              <w:rPr>
                <w:color w:val="000000"/>
                <w:sz w:val="20"/>
                <w:szCs w:val="20"/>
              </w:rPr>
            </w:pPr>
            <w:r w:rsidRPr="007C51D6">
              <w:rPr>
                <w:color w:val="000000"/>
                <w:sz w:val="20"/>
                <w:szCs w:val="20"/>
              </w:rPr>
              <w:t>13.39</w:t>
            </w:r>
          </w:p>
        </w:tc>
        <w:tc>
          <w:tcPr>
            <w:tcW w:w="1216" w:type="dxa"/>
            <w:gridSpan w:val="2"/>
            <w:tcBorders>
              <w:left w:val="single" w:sz="4" w:space="0" w:color="auto"/>
            </w:tcBorders>
            <w:vAlign w:val="center"/>
          </w:tcPr>
          <w:p w:rsidR="00B93D5E" w:rsidRPr="007C51D6" w:rsidRDefault="00B93D5E" w:rsidP="00B93D5E">
            <w:pPr>
              <w:jc w:val="center"/>
              <w:rPr>
                <w:color w:val="000000"/>
                <w:sz w:val="20"/>
                <w:szCs w:val="20"/>
              </w:rPr>
            </w:pPr>
            <w:r w:rsidRPr="007C51D6">
              <w:rPr>
                <w:color w:val="000000"/>
                <w:sz w:val="20"/>
                <w:szCs w:val="20"/>
              </w:rPr>
              <w:t>17.59</w:t>
            </w:r>
          </w:p>
        </w:tc>
      </w:tr>
      <w:tr w:rsidR="00556B2B" w:rsidRPr="007C51D6" w:rsidTr="00DC67CB">
        <w:trPr>
          <w:trHeight w:val="20"/>
        </w:trPr>
        <w:tc>
          <w:tcPr>
            <w:tcW w:w="15282" w:type="dxa"/>
            <w:gridSpan w:val="12"/>
          </w:tcPr>
          <w:p w:rsidR="00556B2B" w:rsidRPr="007C51D6" w:rsidRDefault="00556B2B" w:rsidP="00B93D5E">
            <w:pPr>
              <w:jc w:val="center"/>
              <w:rPr>
                <w:color w:val="000000"/>
                <w:sz w:val="20"/>
                <w:szCs w:val="20"/>
              </w:rPr>
            </w:pPr>
            <w:r w:rsidRPr="007C51D6">
              <w:rPr>
                <w:color w:val="000000"/>
                <w:sz w:val="20"/>
                <w:szCs w:val="20"/>
              </w:rPr>
              <w:t>Женщины</w:t>
            </w:r>
          </w:p>
        </w:tc>
      </w:tr>
      <w:tr w:rsidR="00B93D5E" w:rsidRPr="007C51D6" w:rsidTr="006A40DD">
        <w:trPr>
          <w:trHeight w:val="20"/>
        </w:trPr>
        <w:tc>
          <w:tcPr>
            <w:tcW w:w="4528" w:type="dxa"/>
            <w:tcBorders>
              <w:right w:val="single" w:sz="4" w:space="0" w:color="auto"/>
            </w:tcBorders>
            <w:hideMark/>
          </w:tcPr>
          <w:p w:rsidR="00B93D5E" w:rsidRPr="007C51D6" w:rsidRDefault="00B93D5E" w:rsidP="00B93D5E">
            <w:pPr>
              <w:autoSpaceDE/>
              <w:autoSpaceDN/>
              <w:adjustRightInd/>
              <w:jc w:val="both"/>
              <w:rPr>
                <w:color w:val="000000"/>
                <w:sz w:val="20"/>
                <w:szCs w:val="20"/>
              </w:rPr>
            </w:pPr>
            <w:r w:rsidRPr="007C51D6">
              <w:rPr>
                <w:color w:val="000000"/>
                <w:sz w:val="20"/>
                <w:szCs w:val="20"/>
              </w:rPr>
              <w:t xml:space="preserve">Всего, в том числе: </w:t>
            </w:r>
          </w:p>
        </w:tc>
        <w:tc>
          <w:tcPr>
            <w:tcW w:w="938" w:type="dxa"/>
            <w:tcBorders>
              <w:left w:val="single" w:sz="4" w:space="0" w:color="auto"/>
            </w:tcBorders>
            <w:hideMark/>
          </w:tcPr>
          <w:p w:rsidR="00B93D5E" w:rsidRPr="007C51D6" w:rsidRDefault="00B93D5E" w:rsidP="00B93D5E">
            <w:pPr>
              <w:autoSpaceDE/>
              <w:autoSpaceDN/>
              <w:adjustRightInd/>
              <w:jc w:val="center"/>
              <w:rPr>
                <w:color w:val="000000"/>
                <w:sz w:val="20"/>
                <w:szCs w:val="20"/>
              </w:rPr>
            </w:pPr>
            <w:r w:rsidRPr="007C51D6">
              <w:rPr>
                <w:color w:val="000000"/>
                <w:sz w:val="20"/>
                <w:szCs w:val="20"/>
              </w:rPr>
              <w:t>20,68</w:t>
            </w:r>
          </w:p>
        </w:tc>
        <w:tc>
          <w:tcPr>
            <w:tcW w:w="1224" w:type="dxa"/>
            <w:noWrap/>
            <w:hideMark/>
          </w:tcPr>
          <w:p w:rsidR="00B93D5E" w:rsidRPr="007C51D6" w:rsidRDefault="00B93D5E" w:rsidP="00B93D5E">
            <w:pPr>
              <w:autoSpaceDE/>
              <w:autoSpaceDN/>
              <w:adjustRightInd/>
              <w:jc w:val="center"/>
              <w:rPr>
                <w:bCs/>
                <w:sz w:val="20"/>
                <w:szCs w:val="20"/>
              </w:rPr>
            </w:pPr>
            <w:r w:rsidRPr="007C51D6">
              <w:rPr>
                <w:bCs/>
                <w:sz w:val="20"/>
                <w:szCs w:val="20"/>
              </w:rPr>
              <w:t>20,24</w:t>
            </w:r>
          </w:p>
        </w:tc>
        <w:tc>
          <w:tcPr>
            <w:tcW w:w="1133" w:type="dxa"/>
            <w:hideMark/>
          </w:tcPr>
          <w:p w:rsidR="00B93D5E" w:rsidRPr="007C51D6" w:rsidRDefault="00B93D5E" w:rsidP="00B93D5E">
            <w:pPr>
              <w:autoSpaceDE/>
              <w:autoSpaceDN/>
              <w:adjustRightInd/>
              <w:jc w:val="center"/>
              <w:rPr>
                <w:color w:val="000000"/>
                <w:sz w:val="20"/>
                <w:szCs w:val="20"/>
              </w:rPr>
            </w:pPr>
            <w:r w:rsidRPr="007C51D6">
              <w:rPr>
                <w:color w:val="000000"/>
                <w:sz w:val="20"/>
                <w:szCs w:val="20"/>
              </w:rPr>
              <w:t>19,15</w:t>
            </w:r>
          </w:p>
        </w:tc>
        <w:tc>
          <w:tcPr>
            <w:tcW w:w="1133" w:type="dxa"/>
            <w:hideMark/>
          </w:tcPr>
          <w:p w:rsidR="00B93D5E" w:rsidRPr="007C51D6" w:rsidRDefault="00B93D5E" w:rsidP="00B93D5E">
            <w:pPr>
              <w:autoSpaceDE/>
              <w:autoSpaceDN/>
              <w:adjustRightInd/>
              <w:jc w:val="center"/>
              <w:rPr>
                <w:color w:val="000000"/>
                <w:sz w:val="20"/>
                <w:szCs w:val="20"/>
              </w:rPr>
            </w:pPr>
            <w:r w:rsidRPr="007C51D6">
              <w:rPr>
                <w:color w:val="000000"/>
                <w:sz w:val="20"/>
                <w:szCs w:val="20"/>
              </w:rPr>
              <w:t>17,12</w:t>
            </w:r>
          </w:p>
        </w:tc>
        <w:tc>
          <w:tcPr>
            <w:tcW w:w="1133" w:type="dxa"/>
            <w:hideMark/>
          </w:tcPr>
          <w:p w:rsidR="00B93D5E" w:rsidRPr="007C51D6" w:rsidRDefault="00B93D5E" w:rsidP="00B93D5E">
            <w:pPr>
              <w:autoSpaceDE/>
              <w:autoSpaceDN/>
              <w:adjustRightInd/>
              <w:jc w:val="center"/>
              <w:rPr>
                <w:color w:val="000000"/>
                <w:sz w:val="20"/>
                <w:szCs w:val="20"/>
              </w:rPr>
            </w:pPr>
            <w:r w:rsidRPr="007C51D6">
              <w:rPr>
                <w:color w:val="000000"/>
                <w:sz w:val="20"/>
                <w:szCs w:val="20"/>
              </w:rPr>
              <w:t>15,25</w:t>
            </w:r>
          </w:p>
        </w:tc>
        <w:tc>
          <w:tcPr>
            <w:tcW w:w="948" w:type="dxa"/>
          </w:tcPr>
          <w:p w:rsidR="00B93D5E" w:rsidRPr="007C51D6" w:rsidRDefault="00B93D5E" w:rsidP="00B93D5E">
            <w:pPr>
              <w:autoSpaceDE/>
              <w:autoSpaceDN/>
              <w:adjustRightInd/>
              <w:jc w:val="center"/>
              <w:rPr>
                <w:color w:val="000000"/>
                <w:sz w:val="20"/>
                <w:szCs w:val="20"/>
              </w:rPr>
            </w:pPr>
            <w:r w:rsidRPr="007C51D6">
              <w:rPr>
                <w:color w:val="000000"/>
                <w:sz w:val="20"/>
                <w:szCs w:val="20"/>
              </w:rPr>
              <w:t>14,57</w:t>
            </w:r>
          </w:p>
        </w:tc>
        <w:tc>
          <w:tcPr>
            <w:tcW w:w="902" w:type="dxa"/>
          </w:tcPr>
          <w:p w:rsidR="00B93D5E" w:rsidRPr="007C51D6" w:rsidRDefault="00B93D5E" w:rsidP="00B93D5E">
            <w:pPr>
              <w:autoSpaceDE/>
              <w:autoSpaceDN/>
              <w:adjustRightInd/>
              <w:jc w:val="center"/>
              <w:rPr>
                <w:color w:val="000000"/>
                <w:sz w:val="20"/>
                <w:szCs w:val="20"/>
              </w:rPr>
            </w:pPr>
            <w:r w:rsidRPr="007C51D6">
              <w:rPr>
                <w:color w:val="000000"/>
                <w:sz w:val="20"/>
                <w:szCs w:val="20"/>
              </w:rPr>
              <w:t>14,00</w:t>
            </w:r>
          </w:p>
        </w:tc>
        <w:tc>
          <w:tcPr>
            <w:tcW w:w="911" w:type="dxa"/>
            <w:tcBorders>
              <w:right w:val="single" w:sz="4" w:space="0" w:color="auto"/>
            </w:tcBorders>
          </w:tcPr>
          <w:p w:rsidR="00B93D5E" w:rsidRPr="007C51D6" w:rsidRDefault="00B93D5E" w:rsidP="00B93D5E">
            <w:pPr>
              <w:autoSpaceDE/>
              <w:autoSpaceDN/>
              <w:adjustRightInd/>
              <w:jc w:val="center"/>
              <w:rPr>
                <w:color w:val="000000"/>
                <w:sz w:val="20"/>
                <w:szCs w:val="20"/>
              </w:rPr>
            </w:pPr>
            <w:r w:rsidRPr="007C51D6">
              <w:rPr>
                <w:color w:val="000000"/>
                <w:sz w:val="20"/>
                <w:szCs w:val="20"/>
              </w:rPr>
              <w:t>13,33</w:t>
            </w:r>
          </w:p>
        </w:tc>
        <w:tc>
          <w:tcPr>
            <w:tcW w:w="1216" w:type="dxa"/>
            <w:tcBorders>
              <w:left w:val="single" w:sz="4" w:space="0" w:color="auto"/>
            </w:tcBorders>
            <w:vAlign w:val="center"/>
          </w:tcPr>
          <w:p w:rsidR="00B93D5E" w:rsidRPr="007C51D6" w:rsidRDefault="00B93D5E" w:rsidP="00B93D5E">
            <w:pPr>
              <w:widowControl/>
              <w:autoSpaceDE/>
              <w:autoSpaceDN/>
              <w:adjustRightInd/>
              <w:jc w:val="center"/>
              <w:rPr>
                <w:color w:val="000000"/>
                <w:sz w:val="20"/>
                <w:szCs w:val="20"/>
              </w:rPr>
            </w:pPr>
            <w:r w:rsidRPr="007C51D6">
              <w:rPr>
                <w:color w:val="000000"/>
                <w:sz w:val="20"/>
                <w:szCs w:val="20"/>
              </w:rPr>
              <w:t>13.03</w:t>
            </w:r>
          </w:p>
        </w:tc>
        <w:tc>
          <w:tcPr>
            <w:tcW w:w="1216" w:type="dxa"/>
            <w:gridSpan w:val="2"/>
            <w:tcBorders>
              <w:left w:val="single" w:sz="4" w:space="0" w:color="auto"/>
            </w:tcBorders>
            <w:vAlign w:val="center"/>
          </w:tcPr>
          <w:p w:rsidR="00B93D5E" w:rsidRPr="007C51D6" w:rsidRDefault="00B93D5E" w:rsidP="00B93D5E">
            <w:pPr>
              <w:widowControl/>
              <w:autoSpaceDE/>
              <w:autoSpaceDN/>
              <w:adjustRightInd/>
              <w:jc w:val="center"/>
              <w:rPr>
                <w:color w:val="000000"/>
                <w:sz w:val="20"/>
                <w:szCs w:val="20"/>
              </w:rPr>
            </w:pPr>
            <w:r w:rsidRPr="007C51D6">
              <w:rPr>
                <w:color w:val="000000"/>
                <w:sz w:val="20"/>
                <w:szCs w:val="20"/>
              </w:rPr>
              <w:t>13.25</w:t>
            </w:r>
          </w:p>
        </w:tc>
      </w:tr>
      <w:tr w:rsidR="00B93D5E" w:rsidRPr="007C51D6" w:rsidTr="006A40DD">
        <w:trPr>
          <w:trHeight w:val="20"/>
        </w:trPr>
        <w:tc>
          <w:tcPr>
            <w:tcW w:w="4528" w:type="dxa"/>
            <w:hideMark/>
          </w:tcPr>
          <w:p w:rsidR="00B93D5E" w:rsidRPr="007C51D6" w:rsidRDefault="00B93D5E" w:rsidP="00B93D5E">
            <w:pPr>
              <w:autoSpaceDE/>
              <w:autoSpaceDN/>
              <w:adjustRightInd/>
              <w:jc w:val="both"/>
              <w:rPr>
                <w:color w:val="000000"/>
                <w:sz w:val="20"/>
                <w:szCs w:val="20"/>
              </w:rPr>
            </w:pPr>
            <w:r w:rsidRPr="007C51D6">
              <w:rPr>
                <w:color w:val="000000"/>
                <w:sz w:val="20"/>
                <w:szCs w:val="20"/>
              </w:rPr>
              <w:t>поджелудочной железы</w:t>
            </w:r>
          </w:p>
        </w:tc>
        <w:tc>
          <w:tcPr>
            <w:tcW w:w="938" w:type="dxa"/>
            <w:hideMark/>
          </w:tcPr>
          <w:p w:rsidR="00B93D5E" w:rsidRPr="007C51D6" w:rsidRDefault="00B93D5E" w:rsidP="00B93D5E">
            <w:pPr>
              <w:autoSpaceDE/>
              <w:autoSpaceDN/>
              <w:adjustRightInd/>
              <w:jc w:val="center"/>
              <w:rPr>
                <w:color w:val="000000"/>
                <w:sz w:val="20"/>
                <w:szCs w:val="20"/>
              </w:rPr>
            </w:pPr>
            <w:r w:rsidRPr="007C51D6">
              <w:rPr>
                <w:color w:val="000000"/>
                <w:sz w:val="20"/>
                <w:szCs w:val="20"/>
              </w:rPr>
              <w:t>79,78</w:t>
            </w:r>
          </w:p>
        </w:tc>
        <w:tc>
          <w:tcPr>
            <w:tcW w:w="1224" w:type="dxa"/>
            <w:hideMark/>
          </w:tcPr>
          <w:p w:rsidR="00B93D5E" w:rsidRPr="007C51D6" w:rsidRDefault="00B93D5E" w:rsidP="00B93D5E">
            <w:pPr>
              <w:autoSpaceDE/>
              <w:autoSpaceDN/>
              <w:adjustRightInd/>
              <w:jc w:val="center"/>
              <w:rPr>
                <w:color w:val="000000"/>
                <w:sz w:val="20"/>
                <w:szCs w:val="20"/>
              </w:rPr>
            </w:pPr>
            <w:r w:rsidRPr="007C51D6">
              <w:rPr>
                <w:color w:val="000000"/>
                <w:sz w:val="20"/>
                <w:szCs w:val="20"/>
              </w:rPr>
              <w:t>75,86</w:t>
            </w:r>
          </w:p>
        </w:tc>
        <w:tc>
          <w:tcPr>
            <w:tcW w:w="1133" w:type="dxa"/>
            <w:hideMark/>
          </w:tcPr>
          <w:p w:rsidR="00B93D5E" w:rsidRPr="007C51D6" w:rsidRDefault="00B93D5E" w:rsidP="00B93D5E">
            <w:pPr>
              <w:autoSpaceDE/>
              <w:autoSpaceDN/>
              <w:adjustRightInd/>
              <w:jc w:val="center"/>
              <w:rPr>
                <w:color w:val="000000"/>
                <w:sz w:val="20"/>
                <w:szCs w:val="20"/>
              </w:rPr>
            </w:pPr>
            <w:r w:rsidRPr="007C51D6">
              <w:rPr>
                <w:color w:val="000000"/>
                <w:sz w:val="20"/>
                <w:szCs w:val="20"/>
              </w:rPr>
              <w:t>76,67</w:t>
            </w:r>
          </w:p>
        </w:tc>
        <w:tc>
          <w:tcPr>
            <w:tcW w:w="1133" w:type="dxa"/>
            <w:hideMark/>
          </w:tcPr>
          <w:p w:rsidR="00B93D5E" w:rsidRPr="007C51D6" w:rsidRDefault="00B93D5E" w:rsidP="00B93D5E">
            <w:pPr>
              <w:autoSpaceDE/>
              <w:autoSpaceDN/>
              <w:adjustRightInd/>
              <w:jc w:val="center"/>
              <w:rPr>
                <w:color w:val="000000"/>
                <w:sz w:val="20"/>
                <w:szCs w:val="20"/>
              </w:rPr>
            </w:pPr>
            <w:r w:rsidRPr="007C51D6">
              <w:rPr>
                <w:color w:val="000000"/>
                <w:sz w:val="20"/>
                <w:szCs w:val="20"/>
              </w:rPr>
              <w:t>66,52</w:t>
            </w:r>
          </w:p>
        </w:tc>
        <w:tc>
          <w:tcPr>
            <w:tcW w:w="1133" w:type="dxa"/>
            <w:hideMark/>
          </w:tcPr>
          <w:p w:rsidR="00B93D5E" w:rsidRPr="007C51D6" w:rsidRDefault="00B93D5E" w:rsidP="00B93D5E">
            <w:pPr>
              <w:autoSpaceDE/>
              <w:autoSpaceDN/>
              <w:adjustRightInd/>
              <w:jc w:val="center"/>
              <w:rPr>
                <w:color w:val="000000"/>
                <w:sz w:val="20"/>
                <w:szCs w:val="20"/>
              </w:rPr>
            </w:pPr>
            <w:r w:rsidRPr="007C51D6">
              <w:rPr>
                <w:color w:val="000000"/>
                <w:sz w:val="20"/>
                <w:szCs w:val="20"/>
              </w:rPr>
              <w:t>59,59</w:t>
            </w:r>
          </w:p>
        </w:tc>
        <w:tc>
          <w:tcPr>
            <w:tcW w:w="948" w:type="dxa"/>
          </w:tcPr>
          <w:p w:rsidR="00B93D5E" w:rsidRPr="007C51D6" w:rsidRDefault="00B93D5E" w:rsidP="00B93D5E">
            <w:pPr>
              <w:jc w:val="center"/>
              <w:rPr>
                <w:color w:val="000000"/>
                <w:sz w:val="20"/>
                <w:szCs w:val="20"/>
              </w:rPr>
            </w:pPr>
            <w:r w:rsidRPr="007C51D6">
              <w:rPr>
                <w:color w:val="000000"/>
                <w:sz w:val="20"/>
                <w:szCs w:val="20"/>
              </w:rPr>
              <w:t>56,62</w:t>
            </w:r>
          </w:p>
        </w:tc>
        <w:tc>
          <w:tcPr>
            <w:tcW w:w="902" w:type="dxa"/>
          </w:tcPr>
          <w:p w:rsidR="00B93D5E" w:rsidRPr="007C51D6" w:rsidRDefault="00B93D5E" w:rsidP="00B93D5E">
            <w:pPr>
              <w:jc w:val="center"/>
              <w:rPr>
                <w:color w:val="000000"/>
                <w:sz w:val="20"/>
                <w:szCs w:val="20"/>
              </w:rPr>
            </w:pPr>
            <w:r w:rsidRPr="007C51D6">
              <w:rPr>
                <w:color w:val="000000"/>
                <w:sz w:val="20"/>
                <w:szCs w:val="20"/>
              </w:rPr>
              <w:t>72,16</w:t>
            </w:r>
          </w:p>
        </w:tc>
        <w:tc>
          <w:tcPr>
            <w:tcW w:w="911" w:type="dxa"/>
          </w:tcPr>
          <w:p w:rsidR="00B93D5E" w:rsidRPr="007C51D6" w:rsidRDefault="00B93D5E" w:rsidP="00B93D5E">
            <w:pPr>
              <w:jc w:val="center"/>
              <w:rPr>
                <w:color w:val="000000"/>
                <w:sz w:val="20"/>
                <w:szCs w:val="20"/>
              </w:rPr>
            </w:pPr>
            <w:r w:rsidRPr="007C51D6">
              <w:rPr>
                <w:color w:val="000000"/>
                <w:sz w:val="20"/>
                <w:szCs w:val="20"/>
              </w:rPr>
              <w:t>13,33</w:t>
            </w:r>
          </w:p>
        </w:tc>
        <w:tc>
          <w:tcPr>
            <w:tcW w:w="1216" w:type="dxa"/>
            <w:vAlign w:val="center"/>
          </w:tcPr>
          <w:p w:rsidR="00B93D5E" w:rsidRPr="007C51D6" w:rsidRDefault="00B93D5E" w:rsidP="00B93D5E">
            <w:pPr>
              <w:jc w:val="center"/>
              <w:rPr>
                <w:color w:val="000000"/>
                <w:sz w:val="20"/>
                <w:szCs w:val="20"/>
              </w:rPr>
            </w:pPr>
            <w:r w:rsidRPr="007C51D6">
              <w:rPr>
                <w:color w:val="000000"/>
                <w:sz w:val="20"/>
                <w:szCs w:val="20"/>
              </w:rPr>
              <w:t>63.20</w:t>
            </w:r>
          </w:p>
        </w:tc>
        <w:tc>
          <w:tcPr>
            <w:tcW w:w="1216" w:type="dxa"/>
            <w:gridSpan w:val="2"/>
            <w:vAlign w:val="center"/>
          </w:tcPr>
          <w:p w:rsidR="00B93D5E" w:rsidRPr="007C51D6" w:rsidRDefault="00B93D5E" w:rsidP="00B93D5E">
            <w:pPr>
              <w:jc w:val="center"/>
              <w:rPr>
                <w:color w:val="000000"/>
                <w:sz w:val="20"/>
                <w:szCs w:val="20"/>
              </w:rPr>
            </w:pPr>
            <w:r w:rsidRPr="007C51D6">
              <w:rPr>
                <w:color w:val="000000"/>
                <w:sz w:val="20"/>
                <w:szCs w:val="20"/>
              </w:rPr>
              <w:t>64.26</w:t>
            </w:r>
          </w:p>
        </w:tc>
      </w:tr>
      <w:tr w:rsidR="00B93D5E" w:rsidRPr="007C51D6" w:rsidTr="006A40DD">
        <w:trPr>
          <w:trHeight w:val="20"/>
        </w:trPr>
        <w:tc>
          <w:tcPr>
            <w:tcW w:w="4528" w:type="dxa"/>
          </w:tcPr>
          <w:p w:rsidR="00B93D5E" w:rsidRPr="007C51D6" w:rsidRDefault="00B93D5E" w:rsidP="00B93D5E">
            <w:pPr>
              <w:autoSpaceDE/>
              <w:autoSpaceDN/>
              <w:adjustRightInd/>
              <w:jc w:val="both"/>
              <w:rPr>
                <w:color w:val="000000"/>
                <w:sz w:val="20"/>
                <w:szCs w:val="20"/>
              </w:rPr>
            </w:pPr>
            <w:r w:rsidRPr="007C51D6">
              <w:rPr>
                <w:color w:val="000000"/>
                <w:sz w:val="20"/>
                <w:szCs w:val="20"/>
              </w:rPr>
              <w:t>пищевода</w:t>
            </w:r>
          </w:p>
        </w:tc>
        <w:tc>
          <w:tcPr>
            <w:tcW w:w="938" w:type="dxa"/>
          </w:tcPr>
          <w:p w:rsidR="00B93D5E" w:rsidRPr="007C51D6" w:rsidRDefault="00B93D5E" w:rsidP="00B93D5E">
            <w:pPr>
              <w:autoSpaceDE/>
              <w:autoSpaceDN/>
              <w:adjustRightInd/>
              <w:jc w:val="center"/>
              <w:rPr>
                <w:color w:val="000000"/>
                <w:sz w:val="20"/>
                <w:szCs w:val="20"/>
              </w:rPr>
            </w:pPr>
            <w:r w:rsidRPr="007C51D6">
              <w:rPr>
                <w:color w:val="000000"/>
                <w:sz w:val="20"/>
                <w:szCs w:val="20"/>
              </w:rPr>
              <w:t>54,10</w:t>
            </w:r>
          </w:p>
        </w:tc>
        <w:tc>
          <w:tcPr>
            <w:tcW w:w="1224" w:type="dxa"/>
          </w:tcPr>
          <w:p w:rsidR="00B93D5E" w:rsidRPr="007C51D6" w:rsidRDefault="00B93D5E" w:rsidP="00B93D5E">
            <w:pPr>
              <w:autoSpaceDE/>
              <w:autoSpaceDN/>
              <w:adjustRightInd/>
              <w:jc w:val="center"/>
              <w:rPr>
                <w:color w:val="000000"/>
                <w:sz w:val="20"/>
                <w:szCs w:val="20"/>
              </w:rPr>
            </w:pPr>
            <w:r w:rsidRPr="007C51D6">
              <w:rPr>
                <w:color w:val="000000"/>
                <w:sz w:val="20"/>
                <w:szCs w:val="20"/>
              </w:rPr>
              <w:t>60,29</w:t>
            </w:r>
          </w:p>
        </w:tc>
        <w:tc>
          <w:tcPr>
            <w:tcW w:w="1133" w:type="dxa"/>
          </w:tcPr>
          <w:p w:rsidR="00B93D5E" w:rsidRPr="007C51D6" w:rsidRDefault="00B93D5E" w:rsidP="00B93D5E">
            <w:pPr>
              <w:autoSpaceDE/>
              <w:autoSpaceDN/>
              <w:adjustRightInd/>
              <w:jc w:val="center"/>
              <w:rPr>
                <w:color w:val="000000"/>
                <w:sz w:val="20"/>
                <w:szCs w:val="20"/>
              </w:rPr>
            </w:pPr>
            <w:r w:rsidRPr="007C51D6">
              <w:rPr>
                <w:color w:val="000000"/>
                <w:sz w:val="20"/>
                <w:szCs w:val="20"/>
              </w:rPr>
              <w:t>60,53</w:t>
            </w:r>
          </w:p>
        </w:tc>
        <w:tc>
          <w:tcPr>
            <w:tcW w:w="1133" w:type="dxa"/>
          </w:tcPr>
          <w:p w:rsidR="00B93D5E" w:rsidRPr="007C51D6" w:rsidRDefault="00B93D5E" w:rsidP="00B93D5E">
            <w:pPr>
              <w:autoSpaceDE/>
              <w:autoSpaceDN/>
              <w:adjustRightInd/>
              <w:jc w:val="center"/>
              <w:rPr>
                <w:color w:val="000000"/>
                <w:sz w:val="20"/>
                <w:szCs w:val="20"/>
              </w:rPr>
            </w:pPr>
            <w:r w:rsidRPr="007C51D6">
              <w:rPr>
                <w:color w:val="000000"/>
                <w:sz w:val="20"/>
                <w:szCs w:val="20"/>
              </w:rPr>
              <w:t>41,67</w:t>
            </w:r>
          </w:p>
        </w:tc>
        <w:tc>
          <w:tcPr>
            <w:tcW w:w="1133" w:type="dxa"/>
          </w:tcPr>
          <w:p w:rsidR="00B93D5E" w:rsidRPr="007C51D6" w:rsidRDefault="00B93D5E" w:rsidP="00B93D5E">
            <w:pPr>
              <w:autoSpaceDE/>
              <w:autoSpaceDN/>
              <w:adjustRightInd/>
              <w:jc w:val="center"/>
              <w:rPr>
                <w:color w:val="000000"/>
                <w:sz w:val="20"/>
                <w:szCs w:val="20"/>
              </w:rPr>
            </w:pPr>
            <w:r w:rsidRPr="007C51D6">
              <w:rPr>
                <w:color w:val="000000"/>
                <w:sz w:val="20"/>
                <w:szCs w:val="20"/>
              </w:rPr>
              <w:t>53,85</w:t>
            </w:r>
          </w:p>
        </w:tc>
        <w:tc>
          <w:tcPr>
            <w:tcW w:w="948" w:type="dxa"/>
          </w:tcPr>
          <w:p w:rsidR="00B93D5E" w:rsidRPr="007C51D6" w:rsidRDefault="00B93D5E" w:rsidP="00B93D5E">
            <w:pPr>
              <w:jc w:val="center"/>
              <w:rPr>
                <w:color w:val="000000"/>
                <w:sz w:val="20"/>
                <w:szCs w:val="20"/>
              </w:rPr>
            </w:pPr>
            <w:r w:rsidRPr="007C51D6">
              <w:rPr>
                <w:color w:val="000000"/>
                <w:sz w:val="20"/>
                <w:szCs w:val="20"/>
              </w:rPr>
              <w:t>41,89</w:t>
            </w:r>
          </w:p>
        </w:tc>
        <w:tc>
          <w:tcPr>
            <w:tcW w:w="902" w:type="dxa"/>
          </w:tcPr>
          <w:p w:rsidR="00B93D5E" w:rsidRPr="007C51D6" w:rsidRDefault="00B93D5E" w:rsidP="00B93D5E">
            <w:pPr>
              <w:jc w:val="center"/>
              <w:rPr>
                <w:color w:val="000000"/>
                <w:sz w:val="20"/>
                <w:szCs w:val="20"/>
              </w:rPr>
            </w:pPr>
            <w:r w:rsidRPr="007C51D6">
              <w:rPr>
                <w:color w:val="000000"/>
                <w:sz w:val="20"/>
                <w:szCs w:val="20"/>
              </w:rPr>
              <w:t>44,00</w:t>
            </w:r>
          </w:p>
        </w:tc>
        <w:tc>
          <w:tcPr>
            <w:tcW w:w="911" w:type="dxa"/>
          </w:tcPr>
          <w:p w:rsidR="00B93D5E" w:rsidRPr="007C51D6" w:rsidRDefault="00B93D5E" w:rsidP="00B93D5E">
            <w:pPr>
              <w:jc w:val="center"/>
              <w:rPr>
                <w:color w:val="000000"/>
                <w:sz w:val="20"/>
                <w:szCs w:val="20"/>
              </w:rPr>
            </w:pPr>
            <w:r w:rsidRPr="007C51D6">
              <w:rPr>
                <w:color w:val="000000"/>
                <w:sz w:val="20"/>
                <w:szCs w:val="20"/>
              </w:rPr>
              <w:t>45,45</w:t>
            </w:r>
          </w:p>
        </w:tc>
        <w:tc>
          <w:tcPr>
            <w:tcW w:w="1216" w:type="dxa"/>
            <w:vAlign w:val="center"/>
          </w:tcPr>
          <w:p w:rsidR="00B93D5E" w:rsidRPr="007C51D6" w:rsidRDefault="00B93D5E" w:rsidP="00B93D5E">
            <w:pPr>
              <w:jc w:val="center"/>
              <w:rPr>
                <w:color w:val="000000"/>
                <w:sz w:val="20"/>
                <w:szCs w:val="20"/>
              </w:rPr>
            </w:pPr>
            <w:r w:rsidRPr="007C51D6">
              <w:rPr>
                <w:color w:val="000000"/>
                <w:sz w:val="20"/>
                <w:szCs w:val="20"/>
              </w:rPr>
              <w:t>54.17</w:t>
            </w:r>
          </w:p>
        </w:tc>
        <w:tc>
          <w:tcPr>
            <w:tcW w:w="1216" w:type="dxa"/>
            <w:gridSpan w:val="2"/>
            <w:vAlign w:val="center"/>
          </w:tcPr>
          <w:p w:rsidR="00B93D5E" w:rsidRPr="007C51D6" w:rsidRDefault="00B93D5E" w:rsidP="00B93D5E">
            <w:pPr>
              <w:jc w:val="center"/>
              <w:rPr>
                <w:color w:val="000000"/>
                <w:sz w:val="20"/>
                <w:szCs w:val="20"/>
              </w:rPr>
            </w:pPr>
            <w:r w:rsidRPr="007C51D6">
              <w:rPr>
                <w:color w:val="000000"/>
                <w:sz w:val="20"/>
                <w:szCs w:val="20"/>
              </w:rPr>
              <w:t>42.62</w:t>
            </w:r>
          </w:p>
        </w:tc>
      </w:tr>
      <w:tr w:rsidR="00B93D5E" w:rsidRPr="007C51D6" w:rsidTr="006A40DD">
        <w:trPr>
          <w:trHeight w:val="20"/>
        </w:trPr>
        <w:tc>
          <w:tcPr>
            <w:tcW w:w="4528" w:type="dxa"/>
            <w:hideMark/>
          </w:tcPr>
          <w:p w:rsidR="00B93D5E" w:rsidRPr="007C51D6" w:rsidRDefault="00B93D5E" w:rsidP="00B93D5E">
            <w:pPr>
              <w:autoSpaceDE/>
              <w:autoSpaceDN/>
              <w:adjustRightInd/>
              <w:jc w:val="both"/>
              <w:rPr>
                <w:color w:val="000000"/>
                <w:sz w:val="20"/>
                <w:szCs w:val="20"/>
              </w:rPr>
            </w:pPr>
            <w:r w:rsidRPr="007C51D6">
              <w:rPr>
                <w:color w:val="000000"/>
                <w:sz w:val="20"/>
                <w:szCs w:val="20"/>
              </w:rPr>
              <w:t>печени и внутрипеченочных желчных протоков</w:t>
            </w:r>
          </w:p>
        </w:tc>
        <w:tc>
          <w:tcPr>
            <w:tcW w:w="938" w:type="dxa"/>
            <w:hideMark/>
          </w:tcPr>
          <w:p w:rsidR="00B93D5E" w:rsidRPr="007C51D6" w:rsidRDefault="00B93D5E" w:rsidP="00B93D5E">
            <w:pPr>
              <w:autoSpaceDE/>
              <w:autoSpaceDN/>
              <w:adjustRightInd/>
              <w:jc w:val="center"/>
              <w:rPr>
                <w:color w:val="000000"/>
                <w:sz w:val="20"/>
                <w:szCs w:val="20"/>
              </w:rPr>
            </w:pPr>
            <w:r w:rsidRPr="007C51D6">
              <w:rPr>
                <w:color w:val="000000"/>
                <w:sz w:val="20"/>
                <w:szCs w:val="20"/>
              </w:rPr>
              <w:t>80,85</w:t>
            </w:r>
          </w:p>
        </w:tc>
        <w:tc>
          <w:tcPr>
            <w:tcW w:w="1224" w:type="dxa"/>
            <w:hideMark/>
          </w:tcPr>
          <w:p w:rsidR="00B93D5E" w:rsidRPr="007C51D6" w:rsidRDefault="00B93D5E" w:rsidP="00B93D5E">
            <w:pPr>
              <w:autoSpaceDE/>
              <w:autoSpaceDN/>
              <w:adjustRightInd/>
              <w:jc w:val="center"/>
              <w:rPr>
                <w:color w:val="000000"/>
                <w:sz w:val="20"/>
                <w:szCs w:val="20"/>
              </w:rPr>
            </w:pPr>
            <w:r w:rsidRPr="007C51D6">
              <w:rPr>
                <w:color w:val="000000"/>
                <w:sz w:val="20"/>
                <w:szCs w:val="20"/>
              </w:rPr>
              <w:t>83,64</w:t>
            </w:r>
          </w:p>
        </w:tc>
        <w:tc>
          <w:tcPr>
            <w:tcW w:w="1133" w:type="dxa"/>
            <w:hideMark/>
          </w:tcPr>
          <w:p w:rsidR="00B93D5E" w:rsidRPr="007C51D6" w:rsidRDefault="00B93D5E" w:rsidP="00B93D5E">
            <w:pPr>
              <w:autoSpaceDE/>
              <w:autoSpaceDN/>
              <w:adjustRightInd/>
              <w:jc w:val="center"/>
              <w:rPr>
                <w:color w:val="000000"/>
                <w:sz w:val="20"/>
                <w:szCs w:val="20"/>
              </w:rPr>
            </w:pPr>
            <w:r w:rsidRPr="007C51D6">
              <w:rPr>
                <w:color w:val="000000"/>
                <w:sz w:val="20"/>
                <w:szCs w:val="20"/>
              </w:rPr>
              <w:t>65,22</w:t>
            </w:r>
          </w:p>
        </w:tc>
        <w:tc>
          <w:tcPr>
            <w:tcW w:w="1133" w:type="dxa"/>
            <w:hideMark/>
          </w:tcPr>
          <w:p w:rsidR="00B93D5E" w:rsidRPr="007C51D6" w:rsidRDefault="00B93D5E" w:rsidP="00B93D5E">
            <w:pPr>
              <w:autoSpaceDE/>
              <w:autoSpaceDN/>
              <w:adjustRightInd/>
              <w:jc w:val="center"/>
              <w:rPr>
                <w:color w:val="000000"/>
                <w:sz w:val="20"/>
                <w:szCs w:val="20"/>
              </w:rPr>
            </w:pPr>
            <w:r w:rsidRPr="007C51D6">
              <w:rPr>
                <w:color w:val="000000"/>
                <w:sz w:val="20"/>
                <w:szCs w:val="20"/>
              </w:rPr>
              <w:t>52,17</w:t>
            </w:r>
          </w:p>
        </w:tc>
        <w:tc>
          <w:tcPr>
            <w:tcW w:w="1133" w:type="dxa"/>
            <w:hideMark/>
          </w:tcPr>
          <w:p w:rsidR="00B93D5E" w:rsidRPr="007C51D6" w:rsidRDefault="00B93D5E" w:rsidP="00B93D5E">
            <w:pPr>
              <w:autoSpaceDE/>
              <w:autoSpaceDN/>
              <w:adjustRightInd/>
              <w:jc w:val="center"/>
              <w:rPr>
                <w:color w:val="000000"/>
                <w:sz w:val="20"/>
                <w:szCs w:val="20"/>
              </w:rPr>
            </w:pPr>
            <w:r w:rsidRPr="007C51D6">
              <w:rPr>
                <w:color w:val="000000"/>
                <w:sz w:val="20"/>
                <w:szCs w:val="20"/>
              </w:rPr>
              <w:t>53,45</w:t>
            </w:r>
          </w:p>
        </w:tc>
        <w:tc>
          <w:tcPr>
            <w:tcW w:w="948" w:type="dxa"/>
          </w:tcPr>
          <w:p w:rsidR="00B93D5E" w:rsidRPr="007C51D6" w:rsidRDefault="00B93D5E" w:rsidP="00B93D5E">
            <w:pPr>
              <w:jc w:val="center"/>
              <w:rPr>
                <w:color w:val="000000"/>
                <w:sz w:val="20"/>
                <w:szCs w:val="20"/>
              </w:rPr>
            </w:pPr>
            <w:r w:rsidRPr="007C51D6">
              <w:rPr>
                <w:color w:val="000000"/>
                <w:sz w:val="20"/>
                <w:szCs w:val="20"/>
              </w:rPr>
              <w:t>59,38</w:t>
            </w:r>
          </w:p>
        </w:tc>
        <w:tc>
          <w:tcPr>
            <w:tcW w:w="902" w:type="dxa"/>
          </w:tcPr>
          <w:p w:rsidR="00B93D5E" w:rsidRPr="007C51D6" w:rsidRDefault="00B93D5E" w:rsidP="00B93D5E">
            <w:pPr>
              <w:jc w:val="center"/>
              <w:rPr>
                <w:color w:val="000000"/>
                <w:sz w:val="20"/>
                <w:szCs w:val="20"/>
              </w:rPr>
            </w:pPr>
            <w:r w:rsidRPr="007C51D6">
              <w:rPr>
                <w:color w:val="000000"/>
                <w:sz w:val="20"/>
                <w:szCs w:val="20"/>
              </w:rPr>
              <w:t>67,92</w:t>
            </w:r>
          </w:p>
        </w:tc>
        <w:tc>
          <w:tcPr>
            <w:tcW w:w="911" w:type="dxa"/>
          </w:tcPr>
          <w:p w:rsidR="00B93D5E" w:rsidRPr="007C51D6" w:rsidRDefault="00B93D5E" w:rsidP="00B93D5E">
            <w:pPr>
              <w:jc w:val="center"/>
              <w:rPr>
                <w:color w:val="000000"/>
                <w:sz w:val="20"/>
                <w:szCs w:val="20"/>
              </w:rPr>
            </w:pPr>
            <w:r w:rsidRPr="007C51D6">
              <w:rPr>
                <w:color w:val="000000"/>
                <w:sz w:val="20"/>
                <w:szCs w:val="20"/>
              </w:rPr>
              <w:t>64,15</w:t>
            </w:r>
          </w:p>
        </w:tc>
        <w:tc>
          <w:tcPr>
            <w:tcW w:w="1216" w:type="dxa"/>
            <w:vAlign w:val="center"/>
          </w:tcPr>
          <w:p w:rsidR="00B93D5E" w:rsidRPr="007C51D6" w:rsidRDefault="00B93D5E" w:rsidP="00B93D5E">
            <w:pPr>
              <w:jc w:val="center"/>
              <w:rPr>
                <w:color w:val="000000"/>
                <w:sz w:val="20"/>
                <w:szCs w:val="20"/>
              </w:rPr>
            </w:pPr>
            <w:r w:rsidRPr="007C51D6">
              <w:rPr>
                <w:color w:val="000000"/>
                <w:sz w:val="20"/>
                <w:szCs w:val="20"/>
              </w:rPr>
              <w:t>53.03</w:t>
            </w:r>
          </w:p>
        </w:tc>
        <w:tc>
          <w:tcPr>
            <w:tcW w:w="1216" w:type="dxa"/>
            <w:gridSpan w:val="2"/>
            <w:vAlign w:val="center"/>
          </w:tcPr>
          <w:p w:rsidR="00B93D5E" w:rsidRPr="007C51D6" w:rsidRDefault="00B93D5E" w:rsidP="00B93D5E">
            <w:pPr>
              <w:jc w:val="center"/>
              <w:rPr>
                <w:color w:val="000000"/>
                <w:sz w:val="20"/>
                <w:szCs w:val="20"/>
              </w:rPr>
            </w:pPr>
            <w:r w:rsidRPr="007C51D6">
              <w:rPr>
                <w:color w:val="000000"/>
                <w:sz w:val="20"/>
                <w:szCs w:val="20"/>
              </w:rPr>
              <w:t>66.67</w:t>
            </w:r>
          </w:p>
        </w:tc>
      </w:tr>
      <w:tr w:rsidR="00B93D5E" w:rsidRPr="007C51D6" w:rsidTr="006A40DD">
        <w:trPr>
          <w:trHeight w:val="20"/>
        </w:trPr>
        <w:tc>
          <w:tcPr>
            <w:tcW w:w="4528" w:type="dxa"/>
          </w:tcPr>
          <w:p w:rsidR="00B93D5E" w:rsidRPr="007C51D6" w:rsidRDefault="00B93D5E" w:rsidP="00B93D5E">
            <w:pPr>
              <w:autoSpaceDE/>
              <w:autoSpaceDN/>
              <w:adjustRightInd/>
              <w:jc w:val="both"/>
              <w:rPr>
                <w:color w:val="000000"/>
                <w:sz w:val="20"/>
                <w:szCs w:val="20"/>
              </w:rPr>
            </w:pPr>
            <w:r w:rsidRPr="007C51D6">
              <w:rPr>
                <w:color w:val="000000"/>
                <w:sz w:val="20"/>
                <w:szCs w:val="20"/>
              </w:rPr>
              <w:t>желудка</w:t>
            </w:r>
          </w:p>
        </w:tc>
        <w:tc>
          <w:tcPr>
            <w:tcW w:w="938" w:type="dxa"/>
          </w:tcPr>
          <w:p w:rsidR="00B93D5E" w:rsidRPr="007C51D6" w:rsidRDefault="00B93D5E" w:rsidP="00B93D5E">
            <w:pPr>
              <w:autoSpaceDE/>
              <w:autoSpaceDN/>
              <w:adjustRightInd/>
              <w:jc w:val="center"/>
              <w:rPr>
                <w:color w:val="000000"/>
                <w:sz w:val="20"/>
                <w:szCs w:val="20"/>
              </w:rPr>
            </w:pPr>
            <w:r w:rsidRPr="007C51D6">
              <w:rPr>
                <w:color w:val="000000"/>
                <w:sz w:val="20"/>
                <w:szCs w:val="20"/>
              </w:rPr>
              <w:t>54,29</w:t>
            </w:r>
          </w:p>
        </w:tc>
        <w:tc>
          <w:tcPr>
            <w:tcW w:w="1224" w:type="dxa"/>
          </w:tcPr>
          <w:p w:rsidR="00B93D5E" w:rsidRPr="007C51D6" w:rsidRDefault="00B93D5E" w:rsidP="00B93D5E">
            <w:pPr>
              <w:autoSpaceDE/>
              <w:autoSpaceDN/>
              <w:adjustRightInd/>
              <w:jc w:val="center"/>
              <w:rPr>
                <w:color w:val="000000"/>
                <w:sz w:val="20"/>
                <w:szCs w:val="20"/>
              </w:rPr>
            </w:pPr>
            <w:r w:rsidRPr="007C51D6">
              <w:rPr>
                <w:color w:val="000000"/>
                <w:sz w:val="20"/>
                <w:szCs w:val="20"/>
              </w:rPr>
              <w:t>53,50</w:t>
            </w:r>
          </w:p>
        </w:tc>
        <w:tc>
          <w:tcPr>
            <w:tcW w:w="1133" w:type="dxa"/>
          </w:tcPr>
          <w:p w:rsidR="00B93D5E" w:rsidRPr="007C51D6" w:rsidRDefault="00B93D5E" w:rsidP="00B93D5E">
            <w:pPr>
              <w:autoSpaceDE/>
              <w:autoSpaceDN/>
              <w:adjustRightInd/>
              <w:jc w:val="center"/>
              <w:rPr>
                <w:color w:val="000000"/>
                <w:sz w:val="20"/>
                <w:szCs w:val="20"/>
              </w:rPr>
            </w:pPr>
            <w:r w:rsidRPr="007C51D6">
              <w:rPr>
                <w:color w:val="000000"/>
                <w:sz w:val="20"/>
                <w:szCs w:val="20"/>
              </w:rPr>
              <w:t>54,08</w:t>
            </w:r>
          </w:p>
        </w:tc>
        <w:tc>
          <w:tcPr>
            <w:tcW w:w="1133" w:type="dxa"/>
          </w:tcPr>
          <w:p w:rsidR="00B93D5E" w:rsidRPr="007C51D6" w:rsidRDefault="00B93D5E" w:rsidP="00B93D5E">
            <w:pPr>
              <w:autoSpaceDE/>
              <w:autoSpaceDN/>
              <w:adjustRightInd/>
              <w:jc w:val="center"/>
              <w:rPr>
                <w:color w:val="000000"/>
                <w:sz w:val="20"/>
                <w:szCs w:val="20"/>
              </w:rPr>
            </w:pPr>
            <w:r w:rsidRPr="007C51D6">
              <w:rPr>
                <w:color w:val="000000"/>
                <w:sz w:val="20"/>
                <w:szCs w:val="20"/>
              </w:rPr>
              <w:t>39,73</w:t>
            </w:r>
          </w:p>
        </w:tc>
        <w:tc>
          <w:tcPr>
            <w:tcW w:w="1133" w:type="dxa"/>
          </w:tcPr>
          <w:p w:rsidR="00B93D5E" w:rsidRPr="007C51D6" w:rsidRDefault="00B93D5E" w:rsidP="00B93D5E">
            <w:pPr>
              <w:autoSpaceDE/>
              <w:autoSpaceDN/>
              <w:adjustRightInd/>
              <w:jc w:val="center"/>
              <w:rPr>
                <w:color w:val="000000"/>
                <w:sz w:val="20"/>
                <w:szCs w:val="20"/>
              </w:rPr>
            </w:pPr>
            <w:r w:rsidRPr="007C51D6">
              <w:rPr>
                <w:color w:val="000000"/>
                <w:sz w:val="20"/>
                <w:szCs w:val="20"/>
              </w:rPr>
              <w:t>35,63</w:t>
            </w:r>
          </w:p>
        </w:tc>
        <w:tc>
          <w:tcPr>
            <w:tcW w:w="948" w:type="dxa"/>
          </w:tcPr>
          <w:p w:rsidR="00B93D5E" w:rsidRPr="007C51D6" w:rsidRDefault="00B93D5E" w:rsidP="00B93D5E">
            <w:pPr>
              <w:jc w:val="center"/>
              <w:rPr>
                <w:color w:val="000000"/>
                <w:sz w:val="20"/>
                <w:szCs w:val="20"/>
              </w:rPr>
            </w:pPr>
            <w:r w:rsidRPr="007C51D6">
              <w:rPr>
                <w:color w:val="000000"/>
                <w:sz w:val="20"/>
                <w:szCs w:val="20"/>
              </w:rPr>
              <w:t>39,22</w:t>
            </w:r>
          </w:p>
        </w:tc>
        <w:tc>
          <w:tcPr>
            <w:tcW w:w="902" w:type="dxa"/>
          </w:tcPr>
          <w:p w:rsidR="00B93D5E" w:rsidRPr="007C51D6" w:rsidRDefault="00B93D5E" w:rsidP="00B93D5E">
            <w:pPr>
              <w:jc w:val="center"/>
              <w:rPr>
                <w:color w:val="000000"/>
                <w:sz w:val="20"/>
                <w:szCs w:val="20"/>
              </w:rPr>
            </w:pPr>
            <w:r w:rsidRPr="007C51D6">
              <w:rPr>
                <w:color w:val="000000"/>
                <w:sz w:val="20"/>
                <w:szCs w:val="20"/>
              </w:rPr>
              <w:t>40,75</w:t>
            </w:r>
          </w:p>
        </w:tc>
        <w:tc>
          <w:tcPr>
            <w:tcW w:w="911" w:type="dxa"/>
          </w:tcPr>
          <w:p w:rsidR="00B93D5E" w:rsidRPr="007C51D6" w:rsidRDefault="00B93D5E" w:rsidP="00B93D5E">
            <w:pPr>
              <w:jc w:val="center"/>
              <w:rPr>
                <w:color w:val="000000"/>
                <w:sz w:val="20"/>
                <w:szCs w:val="20"/>
              </w:rPr>
            </w:pPr>
            <w:r w:rsidRPr="007C51D6">
              <w:rPr>
                <w:color w:val="000000"/>
                <w:sz w:val="20"/>
                <w:szCs w:val="20"/>
              </w:rPr>
              <w:t>39,31</w:t>
            </w:r>
          </w:p>
        </w:tc>
        <w:tc>
          <w:tcPr>
            <w:tcW w:w="1216" w:type="dxa"/>
            <w:vAlign w:val="center"/>
          </w:tcPr>
          <w:p w:rsidR="00B93D5E" w:rsidRPr="007C51D6" w:rsidRDefault="00B93D5E" w:rsidP="00B93D5E">
            <w:pPr>
              <w:jc w:val="center"/>
              <w:rPr>
                <w:color w:val="000000"/>
                <w:sz w:val="20"/>
                <w:szCs w:val="20"/>
              </w:rPr>
            </w:pPr>
            <w:r w:rsidRPr="007C51D6">
              <w:rPr>
                <w:color w:val="000000"/>
                <w:sz w:val="20"/>
                <w:szCs w:val="20"/>
              </w:rPr>
              <w:t>34.66</w:t>
            </w:r>
          </w:p>
        </w:tc>
        <w:tc>
          <w:tcPr>
            <w:tcW w:w="1216" w:type="dxa"/>
            <w:gridSpan w:val="2"/>
            <w:vAlign w:val="center"/>
          </w:tcPr>
          <w:p w:rsidR="00B93D5E" w:rsidRPr="007C51D6" w:rsidRDefault="00B93D5E" w:rsidP="00B93D5E">
            <w:pPr>
              <w:jc w:val="center"/>
              <w:rPr>
                <w:color w:val="000000"/>
                <w:sz w:val="20"/>
                <w:szCs w:val="20"/>
              </w:rPr>
            </w:pPr>
            <w:r w:rsidRPr="007C51D6">
              <w:rPr>
                <w:color w:val="000000"/>
                <w:sz w:val="20"/>
                <w:szCs w:val="20"/>
              </w:rPr>
              <w:t>36.54</w:t>
            </w:r>
          </w:p>
        </w:tc>
      </w:tr>
      <w:tr w:rsidR="00B93D5E" w:rsidRPr="007C51D6" w:rsidTr="006A40DD">
        <w:trPr>
          <w:trHeight w:val="20"/>
        </w:trPr>
        <w:tc>
          <w:tcPr>
            <w:tcW w:w="4528" w:type="dxa"/>
            <w:hideMark/>
          </w:tcPr>
          <w:p w:rsidR="00B93D5E" w:rsidRPr="007C51D6" w:rsidRDefault="00B93D5E" w:rsidP="00B93D5E">
            <w:pPr>
              <w:autoSpaceDE/>
              <w:autoSpaceDN/>
              <w:adjustRightInd/>
              <w:jc w:val="both"/>
              <w:rPr>
                <w:color w:val="000000"/>
                <w:sz w:val="20"/>
                <w:szCs w:val="20"/>
              </w:rPr>
            </w:pPr>
            <w:r w:rsidRPr="007C51D6">
              <w:rPr>
                <w:color w:val="000000"/>
                <w:sz w:val="20"/>
                <w:szCs w:val="20"/>
              </w:rPr>
              <w:t>трахеи, бронхов, легких</w:t>
            </w:r>
          </w:p>
        </w:tc>
        <w:tc>
          <w:tcPr>
            <w:tcW w:w="938" w:type="dxa"/>
            <w:hideMark/>
          </w:tcPr>
          <w:p w:rsidR="00B93D5E" w:rsidRPr="007C51D6" w:rsidRDefault="00B93D5E" w:rsidP="00B93D5E">
            <w:pPr>
              <w:autoSpaceDE/>
              <w:autoSpaceDN/>
              <w:adjustRightInd/>
              <w:jc w:val="center"/>
              <w:rPr>
                <w:color w:val="000000"/>
                <w:sz w:val="20"/>
                <w:szCs w:val="20"/>
              </w:rPr>
            </w:pPr>
            <w:r w:rsidRPr="007C51D6">
              <w:rPr>
                <w:color w:val="000000"/>
                <w:sz w:val="20"/>
                <w:szCs w:val="20"/>
              </w:rPr>
              <w:t>48,97</w:t>
            </w:r>
          </w:p>
        </w:tc>
        <w:tc>
          <w:tcPr>
            <w:tcW w:w="1224" w:type="dxa"/>
            <w:noWrap/>
            <w:hideMark/>
          </w:tcPr>
          <w:p w:rsidR="00B93D5E" w:rsidRPr="007C51D6" w:rsidRDefault="00B93D5E" w:rsidP="00B93D5E">
            <w:pPr>
              <w:autoSpaceDE/>
              <w:autoSpaceDN/>
              <w:adjustRightInd/>
              <w:jc w:val="center"/>
              <w:rPr>
                <w:sz w:val="20"/>
                <w:szCs w:val="20"/>
              </w:rPr>
            </w:pPr>
            <w:r w:rsidRPr="007C51D6">
              <w:rPr>
                <w:sz w:val="20"/>
                <w:szCs w:val="20"/>
              </w:rPr>
              <w:t>43,77</w:t>
            </w:r>
          </w:p>
        </w:tc>
        <w:tc>
          <w:tcPr>
            <w:tcW w:w="1133" w:type="dxa"/>
            <w:hideMark/>
          </w:tcPr>
          <w:p w:rsidR="00B93D5E" w:rsidRPr="007C51D6" w:rsidRDefault="00B93D5E" w:rsidP="00B93D5E">
            <w:pPr>
              <w:autoSpaceDE/>
              <w:autoSpaceDN/>
              <w:adjustRightInd/>
              <w:jc w:val="center"/>
              <w:rPr>
                <w:color w:val="000000"/>
                <w:sz w:val="20"/>
                <w:szCs w:val="20"/>
              </w:rPr>
            </w:pPr>
            <w:r w:rsidRPr="007C51D6">
              <w:rPr>
                <w:color w:val="000000"/>
                <w:sz w:val="20"/>
                <w:szCs w:val="20"/>
              </w:rPr>
              <w:t>40,26</w:t>
            </w:r>
          </w:p>
        </w:tc>
        <w:tc>
          <w:tcPr>
            <w:tcW w:w="1133" w:type="dxa"/>
            <w:hideMark/>
          </w:tcPr>
          <w:p w:rsidR="00B93D5E" w:rsidRPr="007C51D6" w:rsidRDefault="00B93D5E" w:rsidP="00B93D5E">
            <w:pPr>
              <w:autoSpaceDE/>
              <w:autoSpaceDN/>
              <w:adjustRightInd/>
              <w:jc w:val="center"/>
              <w:rPr>
                <w:color w:val="000000"/>
                <w:sz w:val="20"/>
                <w:szCs w:val="20"/>
              </w:rPr>
            </w:pPr>
            <w:r w:rsidRPr="007C51D6">
              <w:rPr>
                <w:color w:val="000000"/>
                <w:sz w:val="20"/>
                <w:szCs w:val="20"/>
              </w:rPr>
              <w:t>35,13</w:t>
            </w:r>
          </w:p>
        </w:tc>
        <w:tc>
          <w:tcPr>
            <w:tcW w:w="1133" w:type="dxa"/>
            <w:hideMark/>
          </w:tcPr>
          <w:p w:rsidR="00B93D5E" w:rsidRPr="007C51D6" w:rsidRDefault="00B93D5E" w:rsidP="00B93D5E">
            <w:pPr>
              <w:autoSpaceDE/>
              <w:autoSpaceDN/>
              <w:adjustRightInd/>
              <w:jc w:val="center"/>
              <w:rPr>
                <w:color w:val="000000"/>
                <w:sz w:val="20"/>
                <w:szCs w:val="20"/>
              </w:rPr>
            </w:pPr>
            <w:r w:rsidRPr="007C51D6">
              <w:rPr>
                <w:color w:val="000000"/>
                <w:sz w:val="20"/>
                <w:szCs w:val="20"/>
              </w:rPr>
              <w:t>29,33</w:t>
            </w:r>
          </w:p>
        </w:tc>
        <w:tc>
          <w:tcPr>
            <w:tcW w:w="948" w:type="dxa"/>
          </w:tcPr>
          <w:p w:rsidR="00B93D5E" w:rsidRPr="007C51D6" w:rsidRDefault="00B93D5E" w:rsidP="00B93D5E">
            <w:pPr>
              <w:jc w:val="center"/>
              <w:rPr>
                <w:color w:val="000000"/>
                <w:sz w:val="20"/>
                <w:szCs w:val="20"/>
              </w:rPr>
            </w:pPr>
            <w:r w:rsidRPr="007C51D6">
              <w:rPr>
                <w:color w:val="000000"/>
                <w:sz w:val="20"/>
                <w:szCs w:val="20"/>
              </w:rPr>
              <w:t>29,27</w:t>
            </w:r>
          </w:p>
        </w:tc>
        <w:tc>
          <w:tcPr>
            <w:tcW w:w="902" w:type="dxa"/>
          </w:tcPr>
          <w:p w:rsidR="00B93D5E" w:rsidRPr="007C51D6" w:rsidRDefault="00B93D5E" w:rsidP="00B93D5E">
            <w:pPr>
              <w:jc w:val="center"/>
              <w:rPr>
                <w:color w:val="000000"/>
                <w:sz w:val="20"/>
                <w:szCs w:val="20"/>
              </w:rPr>
            </w:pPr>
            <w:r w:rsidRPr="007C51D6">
              <w:rPr>
                <w:color w:val="000000"/>
                <w:sz w:val="20"/>
                <w:szCs w:val="20"/>
              </w:rPr>
              <w:t>36,82</w:t>
            </w:r>
          </w:p>
        </w:tc>
        <w:tc>
          <w:tcPr>
            <w:tcW w:w="911" w:type="dxa"/>
          </w:tcPr>
          <w:p w:rsidR="00B93D5E" w:rsidRPr="007C51D6" w:rsidRDefault="00B93D5E" w:rsidP="00B93D5E">
            <w:pPr>
              <w:autoSpaceDE/>
              <w:autoSpaceDN/>
              <w:adjustRightInd/>
              <w:jc w:val="center"/>
              <w:rPr>
                <w:color w:val="000000"/>
                <w:sz w:val="20"/>
                <w:szCs w:val="20"/>
              </w:rPr>
            </w:pPr>
            <w:r w:rsidRPr="007C51D6">
              <w:rPr>
                <w:color w:val="000000"/>
                <w:sz w:val="20"/>
                <w:szCs w:val="20"/>
              </w:rPr>
              <w:t>26,64</w:t>
            </w:r>
          </w:p>
        </w:tc>
        <w:tc>
          <w:tcPr>
            <w:tcW w:w="1216" w:type="dxa"/>
            <w:vAlign w:val="center"/>
          </w:tcPr>
          <w:p w:rsidR="00B93D5E" w:rsidRPr="007C51D6" w:rsidRDefault="00B93D5E" w:rsidP="00B93D5E">
            <w:pPr>
              <w:jc w:val="center"/>
              <w:rPr>
                <w:color w:val="000000"/>
                <w:sz w:val="20"/>
                <w:szCs w:val="20"/>
              </w:rPr>
            </w:pPr>
            <w:r w:rsidRPr="007C51D6">
              <w:rPr>
                <w:color w:val="000000"/>
                <w:sz w:val="20"/>
                <w:szCs w:val="20"/>
              </w:rPr>
              <w:t>29.58</w:t>
            </w:r>
          </w:p>
        </w:tc>
        <w:tc>
          <w:tcPr>
            <w:tcW w:w="1216" w:type="dxa"/>
            <w:gridSpan w:val="2"/>
            <w:vAlign w:val="center"/>
          </w:tcPr>
          <w:p w:rsidR="00B93D5E" w:rsidRPr="007C51D6" w:rsidRDefault="00B93D5E" w:rsidP="00B93D5E">
            <w:pPr>
              <w:jc w:val="center"/>
              <w:rPr>
                <w:color w:val="000000"/>
                <w:sz w:val="20"/>
                <w:szCs w:val="20"/>
              </w:rPr>
            </w:pPr>
            <w:r w:rsidRPr="007C51D6">
              <w:rPr>
                <w:color w:val="000000"/>
                <w:sz w:val="20"/>
                <w:szCs w:val="20"/>
              </w:rPr>
              <w:t>31.41</w:t>
            </w:r>
          </w:p>
        </w:tc>
      </w:tr>
      <w:tr w:rsidR="00B93D5E" w:rsidRPr="007C51D6" w:rsidTr="006A40DD">
        <w:trPr>
          <w:trHeight w:val="20"/>
        </w:trPr>
        <w:tc>
          <w:tcPr>
            <w:tcW w:w="4528" w:type="dxa"/>
          </w:tcPr>
          <w:p w:rsidR="00B93D5E" w:rsidRPr="007C51D6" w:rsidRDefault="00B93D5E" w:rsidP="00B93D5E">
            <w:pPr>
              <w:autoSpaceDE/>
              <w:autoSpaceDN/>
              <w:adjustRightInd/>
              <w:jc w:val="both"/>
              <w:rPr>
                <w:color w:val="000000"/>
                <w:sz w:val="20"/>
                <w:szCs w:val="20"/>
              </w:rPr>
            </w:pPr>
            <w:r w:rsidRPr="007C51D6">
              <w:rPr>
                <w:color w:val="000000"/>
                <w:sz w:val="20"/>
                <w:szCs w:val="20"/>
              </w:rPr>
              <w:t>гортани</w:t>
            </w:r>
          </w:p>
        </w:tc>
        <w:tc>
          <w:tcPr>
            <w:tcW w:w="938" w:type="dxa"/>
          </w:tcPr>
          <w:p w:rsidR="00B93D5E" w:rsidRPr="007C51D6" w:rsidRDefault="00B93D5E" w:rsidP="00B93D5E">
            <w:pPr>
              <w:autoSpaceDE/>
              <w:autoSpaceDN/>
              <w:adjustRightInd/>
              <w:jc w:val="center"/>
              <w:rPr>
                <w:color w:val="000000"/>
                <w:sz w:val="20"/>
                <w:szCs w:val="20"/>
              </w:rPr>
            </w:pPr>
            <w:r w:rsidRPr="007C51D6">
              <w:rPr>
                <w:color w:val="000000"/>
                <w:sz w:val="20"/>
                <w:szCs w:val="20"/>
              </w:rPr>
              <w:t>50,00</w:t>
            </w:r>
          </w:p>
        </w:tc>
        <w:tc>
          <w:tcPr>
            <w:tcW w:w="1224" w:type="dxa"/>
          </w:tcPr>
          <w:p w:rsidR="00B93D5E" w:rsidRPr="007C51D6" w:rsidRDefault="00B93D5E" w:rsidP="00B93D5E">
            <w:pPr>
              <w:autoSpaceDE/>
              <w:autoSpaceDN/>
              <w:adjustRightInd/>
              <w:jc w:val="center"/>
              <w:rPr>
                <w:color w:val="000000"/>
                <w:sz w:val="20"/>
                <w:szCs w:val="20"/>
              </w:rPr>
            </w:pPr>
            <w:r w:rsidRPr="007C51D6">
              <w:rPr>
                <w:color w:val="000000"/>
                <w:sz w:val="20"/>
                <w:szCs w:val="20"/>
              </w:rPr>
              <w:t>0,00</w:t>
            </w:r>
          </w:p>
        </w:tc>
        <w:tc>
          <w:tcPr>
            <w:tcW w:w="1133" w:type="dxa"/>
          </w:tcPr>
          <w:p w:rsidR="00B93D5E" w:rsidRPr="007C51D6" w:rsidRDefault="00B93D5E" w:rsidP="00B93D5E">
            <w:pPr>
              <w:autoSpaceDE/>
              <w:autoSpaceDN/>
              <w:adjustRightInd/>
              <w:jc w:val="center"/>
              <w:rPr>
                <w:color w:val="000000"/>
                <w:sz w:val="20"/>
                <w:szCs w:val="20"/>
              </w:rPr>
            </w:pPr>
            <w:r w:rsidRPr="007C51D6">
              <w:rPr>
                <w:color w:val="000000"/>
                <w:sz w:val="20"/>
                <w:szCs w:val="20"/>
              </w:rPr>
              <w:t>0,00</w:t>
            </w:r>
          </w:p>
        </w:tc>
        <w:tc>
          <w:tcPr>
            <w:tcW w:w="1133" w:type="dxa"/>
          </w:tcPr>
          <w:p w:rsidR="00B93D5E" w:rsidRPr="007C51D6" w:rsidRDefault="00B93D5E" w:rsidP="00B93D5E">
            <w:pPr>
              <w:autoSpaceDE/>
              <w:autoSpaceDN/>
              <w:adjustRightInd/>
              <w:jc w:val="center"/>
              <w:rPr>
                <w:color w:val="000000"/>
                <w:sz w:val="20"/>
                <w:szCs w:val="20"/>
              </w:rPr>
            </w:pPr>
            <w:r w:rsidRPr="007C51D6">
              <w:rPr>
                <w:color w:val="000000"/>
                <w:sz w:val="20"/>
                <w:szCs w:val="20"/>
              </w:rPr>
              <w:t>9,09</w:t>
            </w:r>
          </w:p>
        </w:tc>
        <w:tc>
          <w:tcPr>
            <w:tcW w:w="1133" w:type="dxa"/>
          </w:tcPr>
          <w:p w:rsidR="00B93D5E" w:rsidRPr="007C51D6" w:rsidRDefault="00B93D5E" w:rsidP="00B93D5E">
            <w:pPr>
              <w:autoSpaceDE/>
              <w:autoSpaceDN/>
              <w:adjustRightInd/>
              <w:jc w:val="center"/>
              <w:rPr>
                <w:color w:val="000000"/>
                <w:sz w:val="20"/>
                <w:szCs w:val="20"/>
              </w:rPr>
            </w:pPr>
            <w:r w:rsidRPr="007C51D6">
              <w:rPr>
                <w:color w:val="000000"/>
                <w:sz w:val="20"/>
                <w:szCs w:val="20"/>
              </w:rPr>
              <w:t>25,00</w:t>
            </w:r>
          </w:p>
        </w:tc>
        <w:tc>
          <w:tcPr>
            <w:tcW w:w="948" w:type="dxa"/>
          </w:tcPr>
          <w:p w:rsidR="00B93D5E" w:rsidRPr="007C51D6" w:rsidRDefault="00B93D5E" w:rsidP="00B93D5E">
            <w:pPr>
              <w:jc w:val="center"/>
              <w:rPr>
                <w:color w:val="000000"/>
                <w:sz w:val="20"/>
                <w:szCs w:val="20"/>
              </w:rPr>
            </w:pPr>
            <w:r w:rsidRPr="007C51D6">
              <w:rPr>
                <w:color w:val="000000"/>
                <w:sz w:val="20"/>
                <w:szCs w:val="20"/>
              </w:rPr>
              <w:t>14,29</w:t>
            </w:r>
          </w:p>
        </w:tc>
        <w:tc>
          <w:tcPr>
            <w:tcW w:w="902" w:type="dxa"/>
          </w:tcPr>
          <w:p w:rsidR="00B93D5E" w:rsidRPr="007C51D6" w:rsidRDefault="00B93D5E" w:rsidP="00B93D5E">
            <w:pPr>
              <w:jc w:val="center"/>
              <w:rPr>
                <w:color w:val="000000"/>
                <w:sz w:val="20"/>
                <w:szCs w:val="20"/>
              </w:rPr>
            </w:pPr>
            <w:r w:rsidRPr="007C51D6">
              <w:rPr>
                <w:color w:val="000000"/>
                <w:sz w:val="20"/>
                <w:szCs w:val="20"/>
              </w:rPr>
              <w:t>12,50</w:t>
            </w:r>
          </w:p>
        </w:tc>
        <w:tc>
          <w:tcPr>
            <w:tcW w:w="911" w:type="dxa"/>
          </w:tcPr>
          <w:p w:rsidR="00B93D5E" w:rsidRPr="007C51D6" w:rsidRDefault="00B93D5E" w:rsidP="00B93D5E">
            <w:pPr>
              <w:jc w:val="center"/>
              <w:rPr>
                <w:color w:val="000000"/>
                <w:sz w:val="20"/>
                <w:szCs w:val="20"/>
              </w:rPr>
            </w:pPr>
            <w:r w:rsidRPr="007C51D6">
              <w:rPr>
                <w:color w:val="000000"/>
                <w:sz w:val="20"/>
                <w:szCs w:val="20"/>
              </w:rPr>
              <w:t>33,33</w:t>
            </w:r>
          </w:p>
        </w:tc>
        <w:tc>
          <w:tcPr>
            <w:tcW w:w="1216" w:type="dxa"/>
            <w:vAlign w:val="center"/>
          </w:tcPr>
          <w:p w:rsidR="00B93D5E" w:rsidRPr="007C51D6" w:rsidRDefault="00B93D5E" w:rsidP="00B93D5E">
            <w:pPr>
              <w:jc w:val="center"/>
              <w:rPr>
                <w:color w:val="000000"/>
                <w:sz w:val="20"/>
                <w:szCs w:val="20"/>
              </w:rPr>
            </w:pPr>
            <w:r w:rsidRPr="007C51D6">
              <w:rPr>
                <w:color w:val="000000"/>
                <w:sz w:val="20"/>
                <w:szCs w:val="20"/>
              </w:rPr>
              <w:t>36.36</w:t>
            </w:r>
          </w:p>
        </w:tc>
        <w:tc>
          <w:tcPr>
            <w:tcW w:w="1216" w:type="dxa"/>
            <w:gridSpan w:val="2"/>
            <w:vAlign w:val="center"/>
          </w:tcPr>
          <w:p w:rsidR="00B93D5E" w:rsidRPr="007C51D6" w:rsidRDefault="00B93D5E" w:rsidP="00B93D5E">
            <w:pPr>
              <w:jc w:val="center"/>
              <w:rPr>
                <w:color w:val="000000"/>
                <w:sz w:val="20"/>
                <w:szCs w:val="20"/>
              </w:rPr>
            </w:pPr>
            <w:r w:rsidRPr="007C51D6">
              <w:rPr>
                <w:color w:val="000000"/>
                <w:sz w:val="20"/>
                <w:szCs w:val="20"/>
              </w:rPr>
              <w:t>66.67</w:t>
            </w:r>
          </w:p>
        </w:tc>
      </w:tr>
      <w:tr w:rsidR="00B93D5E" w:rsidRPr="007C51D6" w:rsidTr="006A40DD">
        <w:trPr>
          <w:trHeight w:val="20"/>
        </w:trPr>
        <w:tc>
          <w:tcPr>
            <w:tcW w:w="4528" w:type="dxa"/>
          </w:tcPr>
          <w:p w:rsidR="00B93D5E" w:rsidRPr="007C51D6" w:rsidRDefault="00B93D5E" w:rsidP="00B93D5E">
            <w:pPr>
              <w:autoSpaceDE/>
              <w:autoSpaceDN/>
              <w:adjustRightInd/>
              <w:jc w:val="both"/>
              <w:rPr>
                <w:color w:val="000000"/>
                <w:sz w:val="20"/>
                <w:szCs w:val="20"/>
              </w:rPr>
            </w:pPr>
            <w:r w:rsidRPr="007C51D6">
              <w:rPr>
                <w:color w:val="000000"/>
                <w:sz w:val="20"/>
                <w:szCs w:val="20"/>
              </w:rPr>
              <w:t>злокачественные лимфомы</w:t>
            </w:r>
          </w:p>
        </w:tc>
        <w:tc>
          <w:tcPr>
            <w:tcW w:w="938" w:type="dxa"/>
          </w:tcPr>
          <w:p w:rsidR="00B93D5E" w:rsidRPr="007C51D6" w:rsidRDefault="00B93D5E" w:rsidP="00B93D5E">
            <w:pPr>
              <w:autoSpaceDE/>
              <w:autoSpaceDN/>
              <w:adjustRightInd/>
              <w:jc w:val="center"/>
              <w:rPr>
                <w:color w:val="000000"/>
                <w:sz w:val="20"/>
                <w:szCs w:val="20"/>
              </w:rPr>
            </w:pPr>
            <w:r w:rsidRPr="007C51D6">
              <w:rPr>
                <w:color w:val="000000"/>
                <w:sz w:val="20"/>
                <w:szCs w:val="20"/>
              </w:rPr>
              <w:t>24,12</w:t>
            </w:r>
          </w:p>
        </w:tc>
        <w:tc>
          <w:tcPr>
            <w:tcW w:w="1224" w:type="dxa"/>
          </w:tcPr>
          <w:p w:rsidR="00B93D5E" w:rsidRPr="007C51D6" w:rsidRDefault="00B93D5E" w:rsidP="00B93D5E">
            <w:pPr>
              <w:autoSpaceDE/>
              <w:autoSpaceDN/>
              <w:adjustRightInd/>
              <w:jc w:val="center"/>
              <w:rPr>
                <w:color w:val="000000"/>
                <w:sz w:val="20"/>
                <w:szCs w:val="20"/>
              </w:rPr>
            </w:pPr>
            <w:r w:rsidRPr="007C51D6">
              <w:rPr>
                <w:color w:val="000000"/>
                <w:sz w:val="20"/>
                <w:szCs w:val="20"/>
              </w:rPr>
              <w:t>21,21</w:t>
            </w:r>
          </w:p>
        </w:tc>
        <w:tc>
          <w:tcPr>
            <w:tcW w:w="1133" w:type="dxa"/>
          </w:tcPr>
          <w:p w:rsidR="00B93D5E" w:rsidRPr="007C51D6" w:rsidRDefault="00B93D5E" w:rsidP="00B93D5E">
            <w:pPr>
              <w:autoSpaceDE/>
              <w:autoSpaceDN/>
              <w:adjustRightInd/>
              <w:jc w:val="center"/>
              <w:rPr>
                <w:color w:val="000000"/>
                <w:sz w:val="20"/>
                <w:szCs w:val="20"/>
              </w:rPr>
            </w:pPr>
            <w:r w:rsidRPr="007C51D6">
              <w:rPr>
                <w:color w:val="000000"/>
                <w:sz w:val="20"/>
                <w:szCs w:val="20"/>
              </w:rPr>
              <w:t>23,88</w:t>
            </w:r>
          </w:p>
        </w:tc>
        <w:tc>
          <w:tcPr>
            <w:tcW w:w="1133" w:type="dxa"/>
          </w:tcPr>
          <w:p w:rsidR="00B93D5E" w:rsidRPr="007C51D6" w:rsidRDefault="00B93D5E" w:rsidP="00B93D5E">
            <w:pPr>
              <w:autoSpaceDE/>
              <w:autoSpaceDN/>
              <w:adjustRightInd/>
              <w:jc w:val="center"/>
              <w:rPr>
                <w:color w:val="000000"/>
                <w:sz w:val="20"/>
                <w:szCs w:val="20"/>
              </w:rPr>
            </w:pPr>
            <w:r w:rsidRPr="007C51D6">
              <w:rPr>
                <w:color w:val="000000"/>
                <w:sz w:val="20"/>
                <w:szCs w:val="20"/>
              </w:rPr>
              <w:t>27,96</w:t>
            </w:r>
          </w:p>
        </w:tc>
        <w:tc>
          <w:tcPr>
            <w:tcW w:w="1133" w:type="dxa"/>
          </w:tcPr>
          <w:p w:rsidR="00B93D5E" w:rsidRPr="007C51D6" w:rsidRDefault="00B93D5E" w:rsidP="00B93D5E">
            <w:pPr>
              <w:autoSpaceDE/>
              <w:autoSpaceDN/>
              <w:adjustRightInd/>
              <w:jc w:val="center"/>
              <w:rPr>
                <w:color w:val="000000"/>
                <w:sz w:val="20"/>
                <w:szCs w:val="20"/>
              </w:rPr>
            </w:pPr>
            <w:r w:rsidRPr="007C51D6">
              <w:rPr>
                <w:color w:val="000000"/>
                <w:sz w:val="20"/>
                <w:szCs w:val="20"/>
              </w:rPr>
              <w:t>21,64</w:t>
            </w:r>
          </w:p>
        </w:tc>
        <w:tc>
          <w:tcPr>
            <w:tcW w:w="948" w:type="dxa"/>
          </w:tcPr>
          <w:p w:rsidR="00B93D5E" w:rsidRPr="007C51D6" w:rsidRDefault="00B93D5E" w:rsidP="00B93D5E">
            <w:pPr>
              <w:jc w:val="center"/>
              <w:rPr>
                <w:color w:val="000000"/>
                <w:sz w:val="20"/>
                <w:szCs w:val="20"/>
              </w:rPr>
            </w:pPr>
            <w:r w:rsidRPr="007C51D6">
              <w:rPr>
                <w:color w:val="000000"/>
                <w:sz w:val="20"/>
                <w:szCs w:val="20"/>
              </w:rPr>
              <w:t>19,58</w:t>
            </w:r>
          </w:p>
        </w:tc>
        <w:tc>
          <w:tcPr>
            <w:tcW w:w="902" w:type="dxa"/>
          </w:tcPr>
          <w:p w:rsidR="00B93D5E" w:rsidRPr="007C51D6" w:rsidRDefault="00B93D5E" w:rsidP="00B93D5E">
            <w:pPr>
              <w:jc w:val="center"/>
              <w:rPr>
                <w:color w:val="000000"/>
                <w:sz w:val="20"/>
                <w:szCs w:val="20"/>
              </w:rPr>
            </w:pPr>
            <w:r w:rsidRPr="007C51D6">
              <w:rPr>
                <w:color w:val="000000"/>
                <w:sz w:val="20"/>
                <w:szCs w:val="20"/>
              </w:rPr>
              <w:t>20,69</w:t>
            </w:r>
          </w:p>
        </w:tc>
        <w:tc>
          <w:tcPr>
            <w:tcW w:w="911" w:type="dxa"/>
          </w:tcPr>
          <w:p w:rsidR="00B93D5E" w:rsidRPr="007C51D6" w:rsidRDefault="00B93D5E" w:rsidP="00B93D5E">
            <w:pPr>
              <w:jc w:val="center"/>
              <w:rPr>
                <w:color w:val="000000"/>
                <w:sz w:val="20"/>
                <w:szCs w:val="20"/>
              </w:rPr>
            </w:pPr>
            <w:r w:rsidRPr="007C51D6">
              <w:rPr>
                <w:color w:val="000000"/>
                <w:sz w:val="20"/>
                <w:szCs w:val="20"/>
              </w:rPr>
              <w:t>20,99</w:t>
            </w:r>
          </w:p>
        </w:tc>
        <w:tc>
          <w:tcPr>
            <w:tcW w:w="1216" w:type="dxa"/>
            <w:vAlign w:val="center"/>
          </w:tcPr>
          <w:p w:rsidR="00B93D5E" w:rsidRPr="007C51D6" w:rsidRDefault="00B93D5E" w:rsidP="00B93D5E">
            <w:pPr>
              <w:jc w:val="center"/>
              <w:rPr>
                <w:color w:val="000000"/>
                <w:sz w:val="20"/>
                <w:szCs w:val="20"/>
              </w:rPr>
            </w:pPr>
            <w:r w:rsidRPr="007C51D6">
              <w:rPr>
                <w:color w:val="000000"/>
                <w:sz w:val="20"/>
                <w:szCs w:val="20"/>
              </w:rPr>
              <w:t>18.68</w:t>
            </w:r>
          </w:p>
        </w:tc>
        <w:tc>
          <w:tcPr>
            <w:tcW w:w="1216" w:type="dxa"/>
            <w:gridSpan w:val="2"/>
            <w:vAlign w:val="center"/>
          </w:tcPr>
          <w:p w:rsidR="00B93D5E" w:rsidRPr="007C51D6" w:rsidRDefault="00B93D5E" w:rsidP="00B93D5E">
            <w:pPr>
              <w:jc w:val="center"/>
              <w:rPr>
                <w:color w:val="000000"/>
                <w:sz w:val="20"/>
                <w:szCs w:val="20"/>
              </w:rPr>
            </w:pPr>
            <w:r w:rsidRPr="007C51D6">
              <w:rPr>
                <w:color w:val="000000"/>
                <w:sz w:val="20"/>
                <w:szCs w:val="20"/>
              </w:rPr>
              <w:t>20.75</w:t>
            </w:r>
          </w:p>
        </w:tc>
      </w:tr>
      <w:tr w:rsidR="00B93D5E" w:rsidRPr="007C51D6" w:rsidTr="006A40DD">
        <w:trPr>
          <w:trHeight w:val="20"/>
        </w:trPr>
        <w:tc>
          <w:tcPr>
            <w:tcW w:w="4528" w:type="dxa"/>
            <w:hideMark/>
          </w:tcPr>
          <w:p w:rsidR="00B93D5E" w:rsidRPr="007C51D6" w:rsidRDefault="00B93D5E" w:rsidP="00B93D5E">
            <w:pPr>
              <w:autoSpaceDE/>
              <w:autoSpaceDN/>
              <w:adjustRightInd/>
              <w:jc w:val="both"/>
              <w:rPr>
                <w:color w:val="000000"/>
                <w:sz w:val="20"/>
                <w:szCs w:val="20"/>
              </w:rPr>
            </w:pPr>
            <w:r w:rsidRPr="007C51D6">
              <w:rPr>
                <w:color w:val="000000"/>
                <w:sz w:val="20"/>
                <w:szCs w:val="20"/>
              </w:rPr>
              <w:t>глотки</w:t>
            </w:r>
          </w:p>
        </w:tc>
        <w:tc>
          <w:tcPr>
            <w:tcW w:w="938" w:type="dxa"/>
            <w:hideMark/>
          </w:tcPr>
          <w:p w:rsidR="00B93D5E" w:rsidRPr="007C51D6" w:rsidRDefault="00B93D5E" w:rsidP="00B93D5E">
            <w:pPr>
              <w:autoSpaceDE/>
              <w:autoSpaceDN/>
              <w:adjustRightInd/>
              <w:jc w:val="center"/>
              <w:rPr>
                <w:color w:val="000000"/>
                <w:sz w:val="20"/>
                <w:szCs w:val="20"/>
              </w:rPr>
            </w:pPr>
            <w:r w:rsidRPr="007C51D6">
              <w:rPr>
                <w:color w:val="000000"/>
                <w:sz w:val="20"/>
                <w:szCs w:val="20"/>
              </w:rPr>
              <w:t>33,33</w:t>
            </w:r>
          </w:p>
        </w:tc>
        <w:tc>
          <w:tcPr>
            <w:tcW w:w="1224" w:type="dxa"/>
            <w:hideMark/>
          </w:tcPr>
          <w:p w:rsidR="00B93D5E" w:rsidRPr="007C51D6" w:rsidRDefault="00B93D5E" w:rsidP="00B93D5E">
            <w:pPr>
              <w:autoSpaceDE/>
              <w:autoSpaceDN/>
              <w:adjustRightInd/>
              <w:jc w:val="center"/>
              <w:rPr>
                <w:color w:val="000000"/>
                <w:sz w:val="20"/>
                <w:szCs w:val="20"/>
              </w:rPr>
            </w:pPr>
            <w:r w:rsidRPr="007C51D6">
              <w:rPr>
                <w:color w:val="000000"/>
                <w:sz w:val="20"/>
                <w:szCs w:val="20"/>
              </w:rPr>
              <w:t>13,33</w:t>
            </w:r>
          </w:p>
        </w:tc>
        <w:tc>
          <w:tcPr>
            <w:tcW w:w="1133" w:type="dxa"/>
            <w:hideMark/>
          </w:tcPr>
          <w:p w:rsidR="00B93D5E" w:rsidRPr="007C51D6" w:rsidRDefault="00B93D5E" w:rsidP="00B93D5E">
            <w:pPr>
              <w:autoSpaceDE/>
              <w:autoSpaceDN/>
              <w:adjustRightInd/>
              <w:jc w:val="center"/>
              <w:rPr>
                <w:color w:val="000000"/>
                <w:sz w:val="20"/>
                <w:szCs w:val="20"/>
              </w:rPr>
            </w:pPr>
            <w:r w:rsidRPr="007C51D6">
              <w:rPr>
                <w:color w:val="000000"/>
                <w:sz w:val="20"/>
                <w:szCs w:val="20"/>
              </w:rPr>
              <w:t>33,33</w:t>
            </w:r>
          </w:p>
        </w:tc>
        <w:tc>
          <w:tcPr>
            <w:tcW w:w="1133" w:type="dxa"/>
            <w:hideMark/>
          </w:tcPr>
          <w:p w:rsidR="00B93D5E" w:rsidRPr="007C51D6" w:rsidRDefault="00B93D5E" w:rsidP="00B93D5E">
            <w:pPr>
              <w:autoSpaceDE/>
              <w:autoSpaceDN/>
              <w:adjustRightInd/>
              <w:jc w:val="center"/>
              <w:rPr>
                <w:color w:val="000000"/>
                <w:sz w:val="20"/>
                <w:szCs w:val="20"/>
              </w:rPr>
            </w:pPr>
            <w:r w:rsidRPr="007C51D6">
              <w:rPr>
                <w:color w:val="000000"/>
                <w:sz w:val="20"/>
                <w:szCs w:val="20"/>
              </w:rPr>
              <w:t>80,00</w:t>
            </w:r>
          </w:p>
        </w:tc>
        <w:tc>
          <w:tcPr>
            <w:tcW w:w="1133" w:type="dxa"/>
            <w:hideMark/>
          </w:tcPr>
          <w:p w:rsidR="00B93D5E" w:rsidRPr="007C51D6" w:rsidRDefault="00B93D5E" w:rsidP="00B93D5E">
            <w:pPr>
              <w:autoSpaceDE/>
              <w:autoSpaceDN/>
              <w:adjustRightInd/>
              <w:jc w:val="center"/>
              <w:rPr>
                <w:color w:val="000000"/>
                <w:sz w:val="20"/>
                <w:szCs w:val="20"/>
              </w:rPr>
            </w:pPr>
            <w:r w:rsidRPr="007C51D6">
              <w:rPr>
                <w:color w:val="000000"/>
                <w:sz w:val="20"/>
                <w:szCs w:val="20"/>
              </w:rPr>
              <w:t>21,43</w:t>
            </w:r>
          </w:p>
        </w:tc>
        <w:tc>
          <w:tcPr>
            <w:tcW w:w="948" w:type="dxa"/>
          </w:tcPr>
          <w:p w:rsidR="00B93D5E" w:rsidRPr="007C51D6" w:rsidRDefault="00B93D5E" w:rsidP="00B93D5E">
            <w:pPr>
              <w:jc w:val="center"/>
              <w:rPr>
                <w:color w:val="000000"/>
                <w:sz w:val="20"/>
                <w:szCs w:val="20"/>
              </w:rPr>
            </w:pPr>
            <w:r w:rsidRPr="007C51D6">
              <w:rPr>
                <w:color w:val="000000"/>
                <w:sz w:val="20"/>
                <w:szCs w:val="20"/>
              </w:rPr>
              <w:t>38,89</w:t>
            </w:r>
          </w:p>
        </w:tc>
        <w:tc>
          <w:tcPr>
            <w:tcW w:w="902" w:type="dxa"/>
          </w:tcPr>
          <w:p w:rsidR="00B93D5E" w:rsidRPr="007C51D6" w:rsidRDefault="00B93D5E" w:rsidP="00B93D5E">
            <w:pPr>
              <w:jc w:val="center"/>
              <w:rPr>
                <w:color w:val="000000"/>
                <w:sz w:val="20"/>
                <w:szCs w:val="20"/>
              </w:rPr>
            </w:pPr>
            <w:r w:rsidRPr="007C51D6">
              <w:rPr>
                <w:color w:val="000000"/>
                <w:sz w:val="20"/>
                <w:szCs w:val="20"/>
              </w:rPr>
              <w:t>26,67</w:t>
            </w:r>
          </w:p>
        </w:tc>
        <w:tc>
          <w:tcPr>
            <w:tcW w:w="911" w:type="dxa"/>
          </w:tcPr>
          <w:p w:rsidR="00B93D5E" w:rsidRPr="007C51D6" w:rsidRDefault="00B93D5E" w:rsidP="00B93D5E">
            <w:pPr>
              <w:jc w:val="center"/>
              <w:rPr>
                <w:color w:val="000000"/>
                <w:sz w:val="20"/>
                <w:szCs w:val="20"/>
              </w:rPr>
            </w:pPr>
            <w:r w:rsidRPr="007C51D6">
              <w:rPr>
                <w:color w:val="000000"/>
                <w:sz w:val="20"/>
                <w:szCs w:val="20"/>
              </w:rPr>
              <w:t>26,32</w:t>
            </w:r>
          </w:p>
        </w:tc>
        <w:tc>
          <w:tcPr>
            <w:tcW w:w="1216" w:type="dxa"/>
            <w:vAlign w:val="center"/>
          </w:tcPr>
          <w:p w:rsidR="00B93D5E" w:rsidRPr="007C51D6" w:rsidRDefault="00B93D5E" w:rsidP="00B93D5E">
            <w:pPr>
              <w:jc w:val="center"/>
              <w:rPr>
                <w:color w:val="000000"/>
                <w:sz w:val="20"/>
                <w:szCs w:val="20"/>
              </w:rPr>
            </w:pPr>
            <w:r w:rsidRPr="007C51D6">
              <w:rPr>
                <w:color w:val="000000"/>
                <w:sz w:val="20"/>
                <w:szCs w:val="20"/>
              </w:rPr>
              <w:t>18.75</w:t>
            </w:r>
          </w:p>
        </w:tc>
        <w:tc>
          <w:tcPr>
            <w:tcW w:w="1216" w:type="dxa"/>
            <w:gridSpan w:val="2"/>
            <w:vAlign w:val="center"/>
          </w:tcPr>
          <w:p w:rsidR="00B93D5E" w:rsidRPr="007C51D6" w:rsidRDefault="00B93D5E" w:rsidP="00B93D5E">
            <w:pPr>
              <w:jc w:val="center"/>
              <w:rPr>
                <w:color w:val="000000"/>
                <w:sz w:val="20"/>
                <w:szCs w:val="20"/>
              </w:rPr>
            </w:pPr>
            <w:r w:rsidRPr="007C51D6">
              <w:rPr>
                <w:color w:val="000000"/>
                <w:sz w:val="20"/>
                <w:szCs w:val="20"/>
              </w:rPr>
              <w:t>28.57</w:t>
            </w:r>
          </w:p>
        </w:tc>
      </w:tr>
      <w:tr w:rsidR="00B93D5E" w:rsidRPr="007C51D6" w:rsidTr="006A40DD">
        <w:trPr>
          <w:trHeight w:val="20"/>
        </w:trPr>
        <w:tc>
          <w:tcPr>
            <w:tcW w:w="4528" w:type="dxa"/>
          </w:tcPr>
          <w:p w:rsidR="00B93D5E" w:rsidRPr="007C51D6" w:rsidRDefault="00B93D5E" w:rsidP="00B93D5E">
            <w:pPr>
              <w:autoSpaceDE/>
              <w:autoSpaceDN/>
              <w:adjustRightInd/>
              <w:jc w:val="both"/>
              <w:rPr>
                <w:color w:val="000000"/>
                <w:sz w:val="20"/>
                <w:szCs w:val="20"/>
              </w:rPr>
            </w:pPr>
            <w:r w:rsidRPr="007C51D6">
              <w:rPr>
                <w:color w:val="000000"/>
                <w:sz w:val="20"/>
                <w:szCs w:val="20"/>
              </w:rPr>
              <w:t xml:space="preserve">полости рта </w:t>
            </w:r>
          </w:p>
        </w:tc>
        <w:tc>
          <w:tcPr>
            <w:tcW w:w="938" w:type="dxa"/>
          </w:tcPr>
          <w:p w:rsidR="00B93D5E" w:rsidRPr="007C51D6" w:rsidRDefault="00B93D5E" w:rsidP="00B93D5E">
            <w:pPr>
              <w:autoSpaceDE/>
              <w:autoSpaceDN/>
              <w:adjustRightInd/>
              <w:jc w:val="center"/>
              <w:rPr>
                <w:color w:val="000000"/>
                <w:sz w:val="20"/>
                <w:szCs w:val="20"/>
              </w:rPr>
            </w:pPr>
            <w:r w:rsidRPr="007C51D6">
              <w:rPr>
                <w:color w:val="000000"/>
                <w:sz w:val="20"/>
                <w:szCs w:val="20"/>
              </w:rPr>
              <w:t>22,58</w:t>
            </w:r>
          </w:p>
        </w:tc>
        <w:tc>
          <w:tcPr>
            <w:tcW w:w="1224" w:type="dxa"/>
          </w:tcPr>
          <w:p w:rsidR="00B93D5E" w:rsidRPr="007C51D6" w:rsidRDefault="00B93D5E" w:rsidP="00B93D5E">
            <w:pPr>
              <w:autoSpaceDE/>
              <w:autoSpaceDN/>
              <w:adjustRightInd/>
              <w:jc w:val="center"/>
              <w:rPr>
                <w:color w:val="000000"/>
                <w:sz w:val="20"/>
                <w:szCs w:val="20"/>
              </w:rPr>
            </w:pPr>
            <w:r w:rsidRPr="007C51D6">
              <w:rPr>
                <w:color w:val="000000"/>
                <w:sz w:val="20"/>
                <w:szCs w:val="20"/>
              </w:rPr>
              <w:t>35,29</w:t>
            </w:r>
          </w:p>
        </w:tc>
        <w:tc>
          <w:tcPr>
            <w:tcW w:w="1133" w:type="dxa"/>
          </w:tcPr>
          <w:p w:rsidR="00B93D5E" w:rsidRPr="007C51D6" w:rsidRDefault="00B93D5E" w:rsidP="00B93D5E">
            <w:pPr>
              <w:autoSpaceDE/>
              <w:autoSpaceDN/>
              <w:adjustRightInd/>
              <w:jc w:val="center"/>
              <w:rPr>
                <w:color w:val="000000"/>
                <w:sz w:val="20"/>
                <w:szCs w:val="20"/>
              </w:rPr>
            </w:pPr>
            <w:r w:rsidRPr="007C51D6">
              <w:rPr>
                <w:color w:val="000000"/>
                <w:sz w:val="20"/>
                <w:szCs w:val="20"/>
              </w:rPr>
              <w:t>27,78</w:t>
            </w:r>
          </w:p>
        </w:tc>
        <w:tc>
          <w:tcPr>
            <w:tcW w:w="1133" w:type="dxa"/>
          </w:tcPr>
          <w:p w:rsidR="00B93D5E" w:rsidRPr="007C51D6" w:rsidRDefault="00B93D5E" w:rsidP="00B93D5E">
            <w:pPr>
              <w:autoSpaceDE/>
              <w:autoSpaceDN/>
              <w:adjustRightInd/>
              <w:jc w:val="center"/>
              <w:rPr>
                <w:color w:val="000000"/>
                <w:sz w:val="20"/>
                <w:szCs w:val="20"/>
              </w:rPr>
            </w:pPr>
            <w:r w:rsidRPr="007C51D6">
              <w:rPr>
                <w:color w:val="000000"/>
                <w:sz w:val="20"/>
                <w:szCs w:val="20"/>
              </w:rPr>
              <w:t>28,77</w:t>
            </w:r>
          </w:p>
        </w:tc>
        <w:tc>
          <w:tcPr>
            <w:tcW w:w="1133" w:type="dxa"/>
          </w:tcPr>
          <w:p w:rsidR="00B93D5E" w:rsidRPr="007C51D6" w:rsidRDefault="00B93D5E" w:rsidP="00B93D5E">
            <w:pPr>
              <w:autoSpaceDE/>
              <w:autoSpaceDN/>
              <w:adjustRightInd/>
              <w:jc w:val="center"/>
              <w:rPr>
                <w:color w:val="000000"/>
                <w:sz w:val="20"/>
                <w:szCs w:val="20"/>
              </w:rPr>
            </w:pPr>
            <w:r w:rsidRPr="007C51D6">
              <w:rPr>
                <w:color w:val="000000"/>
                <w:sz w:val="20"/>
                <w:szCs w:val="20"/>
              </w:rPr>
              <w:t>18,84</w:t>
            </w:r>
          </w:p>
        </w:tc>
        <w:tc>
          <w:tcPr>
            <w:tcW w:w="948" w:type="dxa"/>
          </w:tcPr>
          <w:p w:rsidR="00B93D5E" w:rsidRPr="007C51D6" w:rsidRDefault="00B93D5E" w:rsidP="00B93D5E">
            <w:pPr>
              <w:jc w:val="center"/>
              <w:rPr>
                <w:color w:val="000000"/>
                <w:sz w:val="20"/>
                <w:szCs w:val="20"/>
              </w:rPr>
            </w:pPr>
            <w:r w:rsidRPr="007C51D6">
              <w:rPr>
                <w:color w:val="000000"/>
                <w:sz w:val="20"/>
                <w:szCs w:val="20"/>
              </w:rPr>
              <w:t>19,51</w:t>
            </w:r>
          </w:p>
        </w:tc>
        <w:tc>
          <w:tcPr>
            <w:tcW w:w="902" w:type="dxa"/>
          </w:tcPr>
          <w:p w:rsidR="00B93D5E" w:rsidRPr="007C51D6" w:rsidRDefault="00B93D5E" w:rsidP="00B93D5E">
            <w:pPr>
              <w:jc w:val="center"/>
              <w:rPr>
                <w:color w:val="000000"/>
                <w:sz w:val="20"/>
                <w:szCs w:val="20"/>
              </w:rPr>
            </w:pPr>
            <w:r w:rsidRPr="007C51D6">
              <w:rPr>
                <w:color w:val="000000"/>
                <w:sz w:val="20"/>
                <w:szCs w:val="20"/>
              </w:rPr>
              <w:t>25,40</w:t>
            </w:r>
          </w:p>
        </w:tc>
        <w:tc>
          <w:tcPr>
            <w:tcW w:w="911" w:type="dxa"/>
          </w:tcPr>
          <w:p w:rsidR="00B93D5E" w:rsidRPr="007C51D6" w:rsidRDefault="00B93D5E" w:rsidP="00B93D5E">
            <w:pPr>
              <w:jc w:val="center"/>
              <w:rPr>
                <w:color w:val="000000"/>
                <w:sz w:val="20"/>
                <w:szCs w:val="20"/>
              </w:rPr>
            </w:pPr>
            <w:r w:rsidRPr="007C51D6">
              <w:rPr>
                <w:color w:val="000000"/>
                <w:sz w:val="20"/>
                <w:szCs w:val="20"/>
              </w:rPr>
              <w:t>13,41</w:t>
            </w:r>
          </w:p>
        </w:tc>
        <w:tc>
          <w:tcPr>
            <w:tcW w:w="1216" w:type="dxa"/>
            <w:vAlign w:val="center"/>
          </w:tcPr>
          <w:p w:rsidR="00B93D5E" w:rsidRPr="007C51D6" w:rsidRDefault="00B93D5E" w:rsidP="00B93D5E">
            <w:pPr>
              <w:jc w:val="center"/>
              <w:rPr>
                <w:color w:val="000000"/>
                <w:sz w:val="20"/>
                <w:szCs w:val="20"/>
              </w:rPr>
            </w:pPr>
            <w:r w:rsidRPr="007C51D6">
              <w:rPr>
                <w:color w:val="000000"/>
                <w:sz w:val="20"/>
                <w:szCs w:val="20"/>
              </w:rPr>
              <w:t>30.67</w:t>
            </w:r>
          </w:p>
        </w:tc>
        <w:tc>
          <w:tcPr>
            <w:tcW w:w="1216" w:type="dxa"/>
            <w:gridSpan w:val="2"/>
            <w:vAlign w:val="center"/>
          </w:tcPr>
          <w:p w:rsidR="00B93D5E" w:rsidRPr="007C51D6" w:rsidRDefault="00B93D5E" w:rsidP="00B93D5E">
            <w:pPr>
              <w:jc w:val="center"/>
              <w:rPr>
                <w:color w:val="000000"/>
                <w:sz w:val="20"/>
                <w:szCs w:val="20"/>
              </w:rPr>
            </w:pPr>
            <w:r w:rsidRPr="007C51D6">
              <w:rPr>
                <w:color w:val="000000"/>
                <w:sz w:val="20"/>
                <w:szCs w:val="20"/>
              </w:rPr>
              <w:t>21.74</w:t>
            </w:r>
          </w:p>
        </w:tc>
      </w:tr>
      <w:tr w:rsidR="00B93D5E" w:rsidRPr="007C51D6" w:rsidTr="006A40DD">
        <w:trPr>
          <w:trHeight w:val="20"/>
        </w:trPr>
        <w:tc>
          <w:tcPr>
            <w:tcW w:w="4528" w:type="dxa"/>
            <w:tcBorders>
              <w:right w:val="single" w:sz="4" w:space="0" w:color="auto"/>
            </w:tcBorders>
            <w:hideMark/>
          </w:tcPr>
          <w:p w:rsidR="00B93D5E" w:rsidRPr="007C51D6" w:rsidRDefault="00B93D5E" w:rsidP="00B93D5E">
            <w:pPr>
              <w:autoSpaceDE/>
              <w:autoSpaceDN/>
              <w:adjustRightInd/>
              <w:jc w:val="both"/>
              <w:rPr>
                <w:color w:val="000000"/>
                <w:sz w:val="20"/>
                <w:szCs w:val="20"/>
              </w:rPr>
            </w:pPr>
            <w:r w:rsidRPr="007C51D6">
              <w:rPr>
                <w:color w:val="000000"/>
                <w:sz w:val="20"/>
                <w:szCs w:val="20"/>
              </w:rPr>
              <w:t>яичника</w:t>
            </w:r>
          </w:p>
        </w:tc>
        <w:tc>
          <w:tcPr>
            <w:tcW w:w="938" w:type="dxa"/>
            <w:tcBorders>
              <w:left w:val="single" w:sz="4" w:space="0" w:color="auto"/>
              <w:right w:val="single" w:sz="4" w:space="0" w:color="auto"/>
            </w:tcBorders>
            <w:hideMark/>
          </w:tcPr>
          <w:p w:rsidR="00B93D5E" w:rsidRPr="007C51D6" w:rsidRDefault="00B93D5E" w:rsidP="00B93D5E">
            <w:pPr>
              <w:autoSpaceDE/>
              <w:autoSpaceDN/>
              <w:adjustRightInd/>
              <w:jc w:val="center"/>
              <w:rPr>
                <w:color w:val="000000"/>
                <w:sz w:val="20"/>
                <w:szCs w:val="20"/>
              </w:rPr>
            </w:pPr>
            <w:r w:rsidRPr="007C51D6">
              <w:rPr>
                <w:color w:val="000000"/>
                <w:sz w:val="20"/>
                <w:szCs w:val="20"/>
              </w:rPr>
              <w:t>25,36</w:t>
            </w:r>
          </w:p>
        </w:tc>
        <w:tc>
          <w:tcPr>
            <w:tcW w:w="1224" w:type="dxa"/>
            <w:tcBorders>
              <w:left w:val="single" w:sz="4" w:space="0" w:color="auto"/>
            </w:tcBorders>
            <w:hideMark/>
          </w:tcPr>
          <w:p w:rsidR="00B93D5E" w:rsidRPr="007C51D6" w:rsidRDefault="00B93D5E" w:rsidP="00B93D5E">
            <w:pPr>
              <w:autoSpaceDE/>
              <w:autoSpaceDN/>
              <w:adjustRightInd/>
              <w:jc w:val="center"/>
              <w:rPr>
                <w:color w:val="000000"/>
                <w:sz w:val="20"/>
                <w:szCs w:val="20"/>
              </w:rPr>
            </w:pPr>
            <w:r w:rsidRPr="007C51D6">
              <w:rPr>
                <w:color w:val="000000"/>
                <w:sz w:val="20"/>
                <w:szCs w:val="20"/>
              </w:rPr>
              <w:t>23,80</w:t>
            </w:r>
          </w:p>
        </w:tc>
        <w:tc>
          <w:tcPr>
            <w:tcW w:w="1133" w:type="dxa"/>
            <w:hideMark/>
          </w:tcPr>
          <w:p w:rsidR="00B93D5E" w:rsidRPr="007C51D6" w:rsidRDefault="00B93D5E" w:rsidP="00B93D5E">
            <w:pPr>
              <w:autoSpaceDE/>
              <w:autoSpaceDN/>
              <w:adjustRightInd/>
              <w:jc w:val="center"/>
              <w:rPr>
                <w:color w:val="000000"/>
                <w:sz w:val="20"/>
                <w:szCs w:val="20"/>
              </w:rPr>
            </w:pPr>
            <w:r w:rsidRPr="007C51D6">
              <w:rPr>
                <w:color w:val="000000"/>
                <w:sz w:val="20"/>
                <w:szCs w:val="20"/>
              </w:rPr>
              <w:t>25,08</w:t>
            </w:r>
          </w:p>
        </w:tc>
        <w:tc>
          <w:tcPr>
            <w:tcW w:w="1133" w:type="dxa"/>
            <w:hideMark/>
          </w:tcPr>
          <w:p w:rsidR="00B93D5E" w:rsidRPr="007C51D6" w:rsidRDefault="00B93D5E" w:rsidP="00B93D5E">
            <w:pPr>
              <w:autoSpaceDE/>
              <w:autoSpaceDN/>
              <w:adjustRightInd/>
              <w:jc w:val="center"/>
              <w:rPr>
                <w:color w:val="000000"/>
                <w:sz w:val="20"/>
                <w:szCs w:val="20"/>
              </w:rPr>
            </w:pPr>
            <w:r w:rsidRPr="007C51D6">
              <w:rPr>
                <w:color w:val="000000"/>
                <w:sz w:val="20"/>
                <w:szCs w:val="20"/>
              </w:rPr>
              <w:t>18,13</w:t>
            </w:r>
          </w:p>
        </w:tc>
        <w:tc>
          <w:tcPr>
            <w:tcW w:w="1133" w:type="dxa"/>
            <w:hideMark/>
          </w:tcPr>
          <w:p w:rsidR="00B93D5E" w:rsidRPr="007C51D6" w:rsidRDefault="00B93D5E" w:rsidP="00B93D5E">
            <w:pPr>
              <w:autoSpaceDE/>
              <w:autoSpaceDN/>
              <w:adjustRightInd/>
              <w:jc w:val="center"/>
              <w:rPr>
                <w:color w:val="000000"/>
                <w:sz w:val="20"/>
                <w:szCs w:val="20"/>
              </w:rPr>
            </w:pPr>
            <w:r w:rsidRPr="007C51D6">
              <w:rPr>
                <w:color w:val="000000"/>
                <w:sz w:val="20"/>
                <w:szCs w:val="20"/>
              </w:rPr>
              <w:t>17,36</w:t>
            </w:r>
          </w:p>
        </w:tc>
        <w:tc>
          <w:tcPr>
            <w:tcW w:w="948" w:type="dxa"/>
          </w:tcPr>
          <w:p w:rsidR="00B93D5E" w:rsidRPr="007C51D6" w:rsidRDefault="00B93D5E" w:rsidP="00B93D5E">
            <w:pPr>
              <w:jc w:val="center"/>
              <w:rPr>
                <w:color w:val="000000"/>
                <w:sz w:val="20"/>
                <w:szCs w:val="20"/>
              </w:rPr>
            </w:pPr>
            <w:r w:rsidRPr="007C51D6">
              <w:rPr>
                <w:color w:val="000000"/>
                <w:sz w:val="20"/>
                <w:szCs w:val="20"/>
              </w:rPr>
              <w:t>14,17</w:t>
            </w:r>
          </w:p>
        </w:tc>
        <w:tc>
          <w:tcPr>
            <w:tcW w:w="902" w:type="dxa"/>
          </w:tcPr>
          <w:p w:rsidR="00B93D5E" w:rsidRPr="007C51D6" w:rsidRDefault="00B93D5E" w:rsidP="00B93D5E">
            <w:pPr>
              <w:jc w:val="center"/>
              <w:rPr>
                <w:color w:val="000000"/>
                <w:sz w:val="20"/>
                <w:szCs w:val="20"/>
              </w:rPr>
            </w:pPr>
            <w:r w:rsidRPr="007C51D6">
              <w:rPr>
                <w:color w:val="000000"/>
                <w:sz w:val="20"/>
                <w:szCs w:val="20"/>
              </w:rPr>
              <w:t>14,41</w:t>
            </w:r>
          </w:p>
        </w:tc>
        <w:tc>
          <w:tcPr>
            <w:tcW w:w="911" w:type="dxa"/>
            <w:tcBorders>
              <w:right w:val="single" w:sz="4" w:space="0" w:color="auto"/>
            </w:tcBorders>
          </w:tcPr>
          <w:p w:rsidR="00B93D5E" w:rsidRPr="007C51D6" w:rsidRDefault="00B93D5E" w:rsidP="00B93D5E">
            <w:pPr>
              <w:jc w:val="center"/>
              <w:rPr>
                <w:color w:val="000000"/>
                <w:sz w:val="20"/>
                <w:szCs w:val="20"/>
              </w:rPr>
            </w:pPr>
            <w:r w:rsidRPr="007C51D6">
              <w:rPr>
                <w:color w:val="000000"/>
                <w:sz w:val="20"/>
                <w:szCs w:val="20"/>
              </w:rPr>
              <w:t>14,70</w:t>
            </w:r>
          </w:p>
        </w:tc>
        <w:tc>
          <w:tcPr>
            <w:tcW w:w="1216" w:type="dxa"/>
            <w:tcBorders>
              <w:left w:val="single" w:sz="4" w:space="0" w:color="auto"/>
            </w:tcBorders>
            <w:vAlign w:val="center"/>
          </w:tcPr>
          <w:p w:rsidR="00B93D5E" w:rsidRPr="007C51D6" w:rsidRDefault="00B93D5E" w:rsidP="00B93D5E">
            <w:pPr>
              <w:jc w:val="center"/>
              <w:rPr>
                <w:color w:val="000000"/>
                <w:sz w:val="20"/>
                <w:szCs w:val="20"/>
              </w:rPr>
            </w:pPr>
            <w:r w:rsidRPr="007C51D6">
              <w:rPr>
                <w:color w:val="000000"/>
                <w:sz w:val="20"/>
                <w:szCs w:val="20"/>
              </w:rPr>
              <w:t>18.02</w:t>
            </w:r>
          </w:p>
        </w:tc>
        <w:tc>
          <w:tcPr>
            <w:tcW w:w="1216" w:type="dxa"/>
            <w:gridSpan w:val="2"/>
            <w:tcBorders>
              <w:left w:val="single" w:sz="4" w:space="0" w:color="auto"/>
            </w:tcBorders>
            <w:vAlign w:val="center"/>
          </w:tcPr>
          <w:p w:rsidR="00B93D5E" w:rsidRPr="007C51D6" w:rsidRDefault="00B93D5E" w:rsidP="00B93D5E">
            <w:pPr>
              <w:jc w:val="center"/>
              <w:rPr>
                <w:color w:val="000000"/>
                <w:sz w:val="20"/>
                <w:szCs w:val="20"/>
              </w:rPr>
            </w:pPr>
            <w:r w:rsidRPr="007C51D6">
              <w:rPr>
                <w:color w:val="000000"/>
                <w:sz w:val="20"/>
                <w:szCs w:val="20"/>
              </w:rPr>
              <w:t>17.92</w:t>
            </w:r>
          </w:p>
        </w:tc>
      </w:tr>
      <w:tr w:rsidR="00556B2B" w:rsidRPr="007C51D6" w:rsidTr="00DC67CB">
        <w:trPr>
          <w:gridAfter w:val="1"/>
          <w:wAfter w:w="7" w:type="dxa"/>
          <w:trHeight w:val="20"/>
        </w:trPr>
        <w:tc>
          <w:tcPr>
            <w:tcW w:w="15275" w:type="dxa"/>
            <w:gridSpan w:val="11"/>
            <w:tcBorders>
              <w:right w:val="single" w:sz="4" w:space="0" w:color="auto"/>
            </w:tcBorders>
          </w:tcPr>
          <w:p w:rsidR="00556B2B" w:rsidRPr="007C51D6" w:rsidRDefault="00556B2B" w:rsidP="00B93D5E">
            <w:pPr>
              <w:jc w:val="center"/>
              <w:rPr>
                <w:color w:val="000000"/>
                <w:sz w:val="20"/>
                <w:szCs w:val="20"/>
              </w:rPr>
            </w:pPr>
            <w:r w:rsidRPr="007C51D6">
              <w:rPr>
                <w:color w:val="000000"/>
                <w:sz w:val="20"/>
                <w:szCs w:val="20"/>
              </w:rPr>
              <w:t>Оба пола</w:t>
            </w:r>
          </w:p>
        </w:tc>
      </w:tr>
      <w:tr w:rsidR="00B93D5E" w:rsidRPr="007C51D6" w:rsidTr="006A40DD">
        <w:trPr>
          <w:trHeight w:val="20"/>
        </w:trPr>
        <w:tc>
          <w:tcPr>
            <w:tcW w:w="4528" w:type="dxa"/>
            <w:tcBorders>
              <w:right w:val="single" w:sz="4" w:space="0" w:color="auto"/>
            </w:tcBorders>
            <w:hideMark/>
          </w:tcPr>
          <w:p w:rsidR="00B93D5E" w:rsidRPr="007C51D6" w:rsidRDefault="00B93D5E" w:rsidP="00B93D5E">
            <w:pPr>
              <w:autoSpaceDE/>
              <w:autoSpaceDN/>
              <w:adjustRightInd/>
              <w:jc w:val="both"/>
              <w:rPr>
                <w:color w:val="000000"/>
                <w:sz w:val="20"/>
                <w:szCs w:val="20"/>
              </w:rPr>
            </w:pPr>
            <w:r w:rsidRPr="007C51D6">
              <w:rPr>
                <w:color w:val="000000"/>
                <w:sz w:val="20"/>
                <w:szCs w:val="20"/>
              </w:rPr>
              <w:t xml:space="preserve">Всего, в том числе: </w:t>
            </w:r>
          </w:p>
        </w:tc>
        <w:tc>
          <w:tcPr>
            <w:tcW w:w="938" w:type="dxa"/>
            <w:tcBorders>
              <w:left w:val="single" w:sz="4" w:space="0" w:color="auto"/>
              <w:right w:val="single" w:sz="4" w:space="0" w:color="auto"/>
            </w:tcBorders>
          </w:tcPr>
          <w:p w:rsidR="00B93D5E" w:rsidRPr="007C51D6" w:rsidRDefault="00B93D5E" w:rsidP="00B93D5E">
            <w:pPr>
              <w:autoSpaceDE/>
              <w:autoSpaceDN/>
              <w:adjustRightInd/>
              <w:jc w:val="center"/>
              <w:rPr>
                <w:color w:val="000000"/>
                <w:sz w:val="20"/>
                <w:szCs w:val="20"/>
              </w:rPr>
            </w:pPr>
            <w:r w:rsidRPr="007C51D6">
              <w:rPr>
                <w:color w:val="000000"/>
                <w:sz w:val="20"/>
                <w:szCs w:val="20"/>
              </w:rPr>
              <w:t>26,9</w:t>
            </w:r>
          </w:p>
        </w:tc>
        <w:tc>
          <w:tcPr>
            <w:tcW w:w="1224" w:type="dxa"/>
            <w:tcBorders>
              <w:left w:val="single" w:sz="4" w:space="0" w:color="auto"/>
            </w:tcBorders>
          </w:tcPr>
          <w:p w:rsidR="00B93D5E" w:rsidRPr="007C51D6" w:rsidRDefault="00B93D5E" w:rsidP="00B93D5E">
            <w:pPr>
              <w:autoSpaceDE/>
              <w:autoSpaceDN/>
              <w:adjustRightInd/>
              <w:jc w:val="center"/>
              <w:rPr>
                <w:color w:val="000000"/>
                <w:sz w:val="20"/>
                <w:szCs w:val="20"/>
              </w:rPr>
            </w:pPr>
            <w:r w:rsidRPr="007C51D6">
              <w:rPr>
                <w:color w:val="000000"/>
                <w:sz w:val="20"/>
                <w:szCs w:val="20"/>
              </w:rPr>
              <w:t>26,8</w:t>
            </w:r>
          </w:p>
        </w:tc>
        <w:tc>
          <w:tcPr>
            <w:tcW w:w="1133" w:type="dxa"/>
          </w:tcPr>
          <w:p w:rsidR="00B93D5E" w:rsidRPr="007C51D6" w:rsidRDefault="00B93D5E" w:rsidP="00B93D5E">
            <w:pPr>
              <w:autoSpaceDE/>
              <w:autoSpaceDN/>
              <w:adjustRightInd/>
              <w:jc w:val="center"/>
              <w:rPr>
                <w:color w:val="000000"/>
                <w:sz w:val="20"/>
                <w:szCs w:val="20"/>
              </w:rPr>
            </w:pPr>
            <w:r w:rsidRPr="007C51D6">
              <w:rPr>
                <w:color w:val="000000"/>
                <w:sz w:val="20"/>
                <w:szCs w:val="20"/>
              </w:rPr>
              <w:t>25,1</w:t>
            </w:r>
          </w:p>
        </w:tc>
        <w:tc>
          <w:tcPr>
            <w:tcW w:w="1133" w:type="dxa"/>
          </w:tcPr>
          <w:p w:rsidR="00B93D5E" w:rsidRPr="007C51D6" w:rsidRDefault="00B93D5E" w:rsidP="00B93D5E">
            <w:pPr>
              <w:autoSpaceDE/>
              <w:autoSpaceDN/>
              <w:adjustRightInd/>
              <w:jc w:val="center"/>
              <w:rPr>
                <w:bCs/>
                <w:color w:val="000000"/>
                <w:sz w:val="20"/>
                <w:szCs w:val="20"/>
              </w:rPr>
            </w:pPr>
            <w:r w:rsidRPr="007C51D6">
              <w:rPr>
                <w:bCs/>
                <w:color w:val="000000"/>
                <w:sz w:val="20"/>
                <w:szCs w:val="20"/>
              </w:rPr>
              <w:t>24,9</w:t>
            </w:r>
          </w:p>
        </w:tc>
        <w:tc>
          <w:tcPr>
            <w:tcW w:w="1133" w:type="dxa"/>
            <w:hideMark/>
          </w:tcPr>
          <w:p w:rsidR="00B93D5E" w:rsidRPr="007C51D6" w:rsidRDefault="00B93D5E" w:rsidP="00B93D5E">
            <w:pPr>
              <w:autoSpaceDE/>
              <w:autoSpaceDN/>
              <w:adjustRightInd/>
              <w:jc w:val="center"/>
              <w:rPr>
                <w:color w:val="000000"/>
                <w:sz w:val="20"/>
                <w:szCs w:val="20"/>
              </w:rPr>
            </w:pPr>
            <w:r w:rsidRPr="007C51D6">
              <w:rPr>
                <w:color w:val="000000"/>
                <w:sz w:val="20"/>
                <w:szCs w:val="20"/>
              </w:rPr>
              <w:t>22,3</w:t>
            </w:r>
          </w:p>
        </w:tc>
        <w:tc>
          <w:tcPr>
            <w:tcW w:w="948" w:type="dxa"/>
          </w:tcPr>
          <w:p w:rsidR="00B93D5E" w:rsidRPr="007C51D6" w:rsidRDefault="00B93D5E" w:rsidP="00B93D5E">
            <w:pPr>
              <w:autoSpaceDE/>
              <w:autoSpaceDN/>
              <w:adjustRightInd/>
              <w:jc w:val="center"/>
              <w:rPr>
                <w:color w:val="000000"/>
                <w:sz w:val="20"/>
                <w:szCs w:val="20"/>
              </w:rPr>
            </w:pPr>
            <w:r w:rsidRPr="007C51D6">
              <w:rPr>
                <w:color w:val="000000"/>
                <w:sz w:val="20"/>
                <w:szCs w:val="20"/>
              </w:rPr>
              <w:t>21,5</w:t>
            </w:r>
          </w:p>
        </w:tc>
        <w:tc>
          <w:tcPr>
            <w:tcW w:w="902" w:type="dxa"/>
          </w:tcPr>
          <w:p w:rsidR="00B93D5E" w:rsidRPr="007C51D6" w:rsidRDefault="00B93D5E" w:rsidP="00B93D5E">
            <w:pPr>
              <w:autoSpaceDE/>
              <w:autoSpaceDN/>
              <w:adjustRightInd/>
              <w:jc w:val="center"/>
              <w:rPr>
                <w:color w:val="000000"/>
                <w:sz w:val="20"/>
                <w:szCs w:val="20"/>
              </w:rPr>
            </w:pPr>
            <w:r w:rsidRPr="007C51D6">
              <w:rPr>
                <w:color w:val="000000"/>
                <w:sz w:val="20"/>
                <w:szCs w:val="20"/>
              </w:rPr>
              <w:t>19,30</w:t>
            </w:r>
          </w:p>
        </w:tc>
        <w:tc>
          <w:tcPr>
            <w:tcW w:w="911" w:type="dxa"/>
            <w:tcBorders>
              <w:right w:val="single" w:sz="4" w:space="0" w:color="auto"/>
            </w:tcBorders>
          </w:tcPr>
          <w:p w:rsidR="00B93D5E" w:rsidRPr="007C51D6" w:rsidRDefault="00B93D5E" w:rsidP="00B93D5E">
            <w:pPr>
              <w:autoSpaceDE/>
              <w:autoSpaceDN/>
              <w:adjustRightInd/>
              <w:jc w:val="center"/>
              <w:rPr>
                <w:color w:val="000000"/>
                <w:sz w:val="20"/>
                <w:szCs w:val="20"/>
              </w:rPr>
            </w:pPr>
            <w:r w:rsidRPr="007C51D6">
              <w:rPr>
                <w:color w:val="000000"/>
                <w:sz w:val="20"/>
                <w:szCs w:val="20"/>
              </w:rPr>
              <w:t>19,2</w:t>
            </w:r>
          </w:p>
        </w:tc>
        <w:tc>
          <w:tcPr>
            <w:tcW w:w="1216" w:type="dxa"/>
            <w:tcBorders>
              <w:left w:val="single" w:sz="4" w:space="0" w:color="auto"/>
            </w:tcBorders>
          </w:tcPr>
          <w:p w:rsidR="00B93D5E" w:rsidRPr="007C51D6" w:rsidRDefault="00B93D5E" w:rsidP="00B93D5E">
            <w:pPr>
              <w:autoSpaceDE/>
              <w:autoSpaceDN/>
              <w:adjustRightInd/>
              <w:jc w:val="center"/>
              <w:rPr>
                <w:color w:val="000000"/>
                <w:sz w:val="20"/>
                <w:szCs w:val="20"/>
              </w:rPr>
            </w:pPr>
            <w:r w:rsidRPr="007C51D6">
              <w:rPr>
                <w:color w:val="000000"/>
                <w:sz w:val="20"/>
                <w:szCs w:val="20"/>
              </w:rPr>
              <w:t>19,10</w:t>
            </w:r>
          </w:p>
        </w:tc>
        <w:tc>
          <w:tcPr>
            <w:tcW w:w="1216" w:type="dxa"/>
            <w:gridSpan w:val="2"/>
            <w:tcBorders>
              <w:left w:val="single" w:sz="4" w:space="0" w:color="auto"/>
            </w:tcBorders>
            <w:vAlign w:val="center"/>
          </w:tcPr>
          <w:p w:rsidR="00B93D5E" w:rsidRPr="007C51D6" w:rsidRDefault="00B93D5E" w:rsidP="00B93D5E">
            <w:pPr>
              <w:widowControl/>
              <w:autoSpaceDE/>
              <w:autoSpaceDN/>
              <w:adjustRightInd/>
              <w:jc w:val="center"/>
              <w:rPr>
                <w:color w:val="000000"/>
                <w:sz w:val="20"/>
                <w:szCs w:val="20"/>
              </w:rPr>
            </w:pPr>
            <w:r w:rsidRPr="007C51D6">
              <w:rPr>
                <w:color w:val="000000"/>
                <w:sz w:val="20"/>
                <w:szCs w:val="20"/>
              </w:rPr>
              <w:t>17.94</w:t>
            </w:r>
          </w:p>
        </w:tc>
      </w:tr>
      <w:tr w:rsidR="00B93D5E" w:rsidRPr="007C51D6" w:rsidTr="006A40DD">
        <w:trPr>
          <w:trHeight w:val="20"/>
        </w:trPr>
        <w:tc>
          <w:tcPr>
            <w:tcW w:w="4528" w:type="dxa"/>
            <w:tcBorders>
              <w:right w:val="single" w:sz="4" w:space="0" w:color="auto"/>
            </w:tcBorders>
          </w:tcPr>
          <w:p w:rsidR="00B93D5E" w:rsidRPr="007C51D6" w:rsidRDefault="00B93D5E" w:rsidP="00B93D5E">
            <w:pPr>
              <w:autoSpaceDE/>
              <w:autoSpaceDN/>
              <w:adjustRightInd/>
              <w:jc w:val="both"/>
              <w:rPr>
                <w:color w:val="000000"/>
                <w:sz w:val="20"/>
                <w:szCs w:val="20"/>
              </w:rPr>
            </w:pPr>
            <w:r w:rsidRPr="007C51D6">
              <w:rPr>
                <w:color w:val="000000"/>
                <w:sz w:val="20"/>
                <w:szCs w:val="20"/>
              </w:rPr>
              <w:t>поджелудочной железы</w:t>
            </w:r>
          </w:p>
        </w:tc>
        <w:tc>
          <w:tcPr>
            <w:tcW w:w="938" w:type="dxa"/>
            <w:tcBorders>
              <w:left w:val="single" w:sz="4" w:space="0" w:color="auto"/>
              <w:right w:val="single" w:sz="4" w:space="0" w:color="auto"/>
            </w:tcBorders>
          </w:tcPr>
          <w:p w:rsidR="00B93D5E" w:rsidRPr="007C51D6" w:rsidRDefault="00B93D5E" w:rsidP="00B93D5E">
            <w:pPr>
              <w:autoSpaceDE/>
              <w:autoSpaceDN/>
              <w:adjustRightInd/>
              <w:jc w:val="center"/>
              <w:rPr>
                <w:color w:val="000000"/>
                <w:sz w:val="20"/>
                <w:szCs w:val="20"/>
              </w:rPr>
            </w:pPr>
            <w:r w:rsidRPr="007C51D6">
              <w:rPr>
                <w:color w:val="000000"/>
                <w:sz w:val="20"/>
                <w:szCs w:val="20"/>
              </w:rPr>
              <w:t>78,4</w:t>
            </w:r>
          </w:p>
        </w:tc>
        <w:tc>
          <w:tcPr>
            <w:tcW w:w="1224" w:type="dxa"/>
            <w:tcBorders>
              <w:left w:val="single" w:sz="4" w:space="0" w:color="auto"/>
            </w:tcBorders>
          </w:tcPr>
          <w:p w:rsidR="00B93D5E" w:rsidRPr="007C51D6" w:rsidRDefault="00B93D5E" w:rsidP="00B93D5E">
            <w:pPr>
              <w:autoSpaceDE/>
              <w:autoSpaceDN/>
              <w:adjustRightInd/>
              <w:jc w:val="center"/>
              <w:rPr>
                <w:color w:val="000000"/>
                <w:sz w:val="20"/>
                <w:szCs w:val="20"/>
              </w:rPr>
            </w:pPr>
            <w:r w:rsidRPr="007C51D6">
              <w:rPr>
                <w:color w:val="000000"/>
                <w:sz w:val="20"/>
                <w:szCs w:val="20"/>
              </w:rPr>
              <w:t>80,9</w:t>
            </w:r>
          </w:p>
        </w:tc>
        <w:tc>
          <w:tcPr>
            <w:tcW w:w="1133" w:type="dxa"/>
          </w:tcPr>
          <w:p w:rsidR="00B93D5E" w:rsidRPr="007C51D6" w:rsidRDefault="00B93D5E" w:rsidP="00B93D5E">
            <w:pPr>
              <w:autoSpaceDE/>
              <w:autoSpaceDN/>
              <w:adjustRightInd/>
              <w:jc w:val="center"/>
              <w:rPr>
                <w:color w:val="000000"/>
                <w:sz w:val="20"/>
                <w:szCs w:val="20"/>
              </w:rPr>
            </w:pPr>
            <w:r w:rsidRPr="007C51D6">
              <w:rPr>
                <w:color w:val="000000"/>
                <w:sz w:val="20"/>
                <w:szCs w:val="20"/>
              </w:rPr>
              <w:t>80,9</w:t>
            </w:r>
          </w:p>
        </w:tc>
        <w:tc>
          <w:tcPr>
            <w:tcW w:w="1133" w:type="dxa"/>
          </w:tcPr>
          <w:p w:rsidR="00B93D5E" w:rsidRPr="007C51D6" w:rsidRDefault="00B93D5E" w:rsidP="00B93D5E">
            <w:pPr>
              <w:autoSpaceDE/>
              <w:autoSpaceDN/>
              <w:adjustRightInd/>
              <w:jc w:val="center"/>
              <w:rPr>
                <w:color w:val="000000"/>
                <w:sz w:val="20"/>
                <w:szCs w:val="20"/>
              </w:rPr>
            </w:pPr>
            <w:r w:rsidRPr="007C51D6">
              <w:rPr>
                <w:color w:val="000000"/>
                <w:sz w:val="20"/>
                <w:szCs w:val="20"/>
              </w:rPr>
              <w:t>83,3</w:t>
            </w:r>
          </w:p>
        </w:tc>
        <w:tc>
          <w:tcPr>
            <w:tcW w:w="1133" w:type="dxa"/>
          </w:tcPr>
          <w:p w:rsidR="00B93D5E" w:rsidRPr="007C51D6" w:rsidRDefault="00B93D5E" w:rsidP="00B93D5E">
            <w:pPr>
              <w:autoSpaceDE/>
              <w:autoSpaceDN/>
              <w:adjustRightInd/>
              <w:jc w:val="center"/>
              <w:rPr>
                <w:color w:val="000000"/>
                <w:sz w:val="20"/>
                <w:szCs w:val="20"/>
              </w:rPr>
            </w:pPr>
            <w:r w:rsidRPr="007C51D6">
              <w:rPr>
                <w:color w:val="000000"/>
                <w:sz w:val="20"/>
                <w:szCs w:val="20"/>
              </w:rPr>
              <w:t>73,6</w:t>
            </w:r>
          </w:p>
        </w:tc>
        <w:tc>
          <w:tcPr>
            <w:tcW w:w="948" w:type="dxa"/>
          </w:tcPr>
          <w:p w:rsidR="00B93D5E" w:rsidRPr="007C51D6" w:rsidRDefault="00B93D5E" w:rsidP="00B93D5E">
            <w:pPr>
              <w:autoSpaceDE/>
              <w:autoSpaceDN/>
              <w:adjustRightInd/>
              <w:jc w:val="center"/>
              <w:rPr>
                <w:color w:val="000000"/>
                <w:sz w:val="20"/>
                <w:szCs w:val="20"/>
              </w:rPr>
            </w:pPr>
            <w:r w:rsidRPr="007C51D6">
              <w:rPr>
                <w:color w:val="000000"/>
                <w:sz w:val="20"/>
                <w:szCs w:val="20"/>
              </w:rPr>
              <w:t>64,0</w:t>
            </w:r>
          </w:p>
        </w:tc>
        <w:tc>
          <w:tcPr>
            <w:tcW w:w="902" w:type="dxa"/>
          </w:tcPr>
          <w:p w:rsidR="00B93D5E" w:rsidRPr="007C51D6" w:rsidRDefault="00B93D5E" w:rsidP="00B93D5E">
            <w:pPr>
              <w:jc w:val="center"/>
              <w:rPr>
                <w:color w:val="000000"/>
                <w:sz w:val="20"/>
                <w:szCs w:val="20"/>
              </w:rPr>
            </w:pPr>
            <w:r w:rsidRPr="007C51D6">
              <w:rPr>
                <w:color w:val="000000"/>
                <w:sz w:val="20"/>
                <w:szCs w:val="20"/>
              </w:rPr>
              <w:t>68,42</w:t>
            </w:r>
          </w:p>
        </w:tc>
        <w:tc>
          <w:tcPr>
            <w:tcW w:w="911" w:type="dxa"/>
            <w:tcBorders>
              <w:right w:val="single" w:sz="4" w:space="0" w:color="auto"/>
            </w:tcBorders>
          </w:tcPr>
          <w:p w:rsidR="00B93D5E" w:rsidRPr="007C51D6" w:rsidRDefault="00B93D5E" w:rsidP="00B93D5E">
            <w:pPr>
              <w:jc w:val="center"/>
              <w:rPr>
                <w:color w:val="000000"/>
                <w:sz w:val="20"/>
                <w:szCs w:val="20"/>
              </w:rPr>
            </w:pPr>
            <w:r w:rsidRPr="007C51D6">
              <w:rPr>
                <w:color w:val="000000"/>
                <w:sz w:val="20"/>
                <w:szCs w:val="20"/>
              </w:rPr>
              <w:t>71,9</w:t>
            </w:r>
          </w:p>
        </w:tc>
        <w:tc>
          <w:tcPr>
            <w:tcW w:w="1216" w:type="dxa"/>
            <w:tcBorders>
              <w:left w:val="single" w:sz="4" w:space="0" w:color="auto"/>
            </w:tcBorders>
          </w:tcPr>
          <w:p w:rsidR="00B93D5E" w:rsidRPr="007C51D6" w:rsidRDefault="00B93D5E" w:rsidP="00B93D5E">
            <w:pPr>
              <w:jc w:val="center"/>
              <w:rPr>
                <w:color w:val="000000"/>
                <w:sz w:val="20"/>
                <w:szCs w:val="20"/>
              </w:rPr>
            </w:pPr>
            <w:r w:rsidRPr="007C51D6">
              <w:rPr>
                <w:color w:val="000000"/>
                <w:sz w:val="20"/>
                <w:szCs w:val="20"/>
              </w:rPr>
              <w:t>72,11</w:t>
            </w:r>
          </w:p>
        </w:tc>
        <w:tc>
          <w:tcPr>
            <w:tcW w:w="1216" w:type="dxa"/>
            <w:gridSpan w:val="2"/>
            <w:tcBorders>
              <w:left w:val="single" w:sz="4" w:space="0" w:color="auto"/>
            </w:tcBorders>
            <w:vAlign w:val="center"/>
          </w:tcPr>
          <w:p w:rsidR="00B93D5E" w:rsidRPr="007C51D6" w:rsidRDefault="00B93D5E" w:rsidP="00B93D5E">
            <w:pPr>
              <w:jc w:val="center"/>
              <w:rPr>
                <w:color w:val="000000"/>
                <w:sz w:val="20"/>
                <w:szCs w:val="20"/>
              </w:rPr>
            </w:pPr>
            <w:r w:rsidRPr="007C51D6">
              <w:rPr>
                <w:color w:val="000000"/>
                <w:sz w:val="20"/>
                <w:szCs w:val="20"/>
              </w:rPr>
              <w:t>68.97</w:t>
            </w:r>
          </w:p>
        </w:tc>
      </w:tr>
      <w:tr w:rsidR="00B93D5E" w:rsidRPr="007C51D6" w:rsidTr="006A40DD">
        <w:trPr>
          <w:trHeight w:val="20"/>
        </w:trPr>
        <w:tc>
          <w:tcPr>
            <w:tcW w:w="4528" w:type="dxa"/>
            <w:tcBorders>
              <w:right w:val="single" w:sz="4" w:space="0" w:color="auto"/>
            </w:tcBorders>
          </w:tcPr>
          <w:p w:rsidR="00B93D5E" w:rsidRPr="007C51D6" w:rsidRDefault="00B93D5E" w:rsidP="00B93D5E">
            <w:pPr>
              <w:autoSpaceDE/>
              <w:autoSpaceDN/>
              <w:adjustRightInd/>
              <w:jc w:val="both"/>
              <w:rPr>
                <w:color w:val="000000"/>
                <w:sz w:val="20"/>
                <w:szCs w:val="20"/>
              </w:rPr>
            </w:pPr>
            <w:r w:rsidRPr="007C51D6">
              <w:rPr>
                <w:color w:val="000000"/>
                <w:sz w:val="20"/>
                <w:szCs w:val="20"/>
              </w:rPr>
              <w:t>печени и внутрипеченочных желчных протоков</w:t>
            </w:r>
          </w:p>
        </w:tc>
        <w:tc>
          <w:tcPr>
            <w:tcW w:w="938" w:type="dxa"/>
            <w:tcBorders>
              <w:left w:val="single" w:sz="4" w:space="0" w:color="auto"/>
              <w:right w:val="single" w:sz="4" w:space="0" w:color="auto"/>
            </w:tcBorders>
          </w:tcPr>
          <w:p w:rsidR="00B93D5E" w:rsidRPr="007C51D6" w:rsidRDefault="00B93D5E" w:rsidP="00B93D5E">
            <w:pPr>
              <w:autoSpaceDE/>
              <w:autoSpaceDN/>
              <w:adjustRightInd/>
              <w:jc w:val="center"/>
              <w:rPr>
                <w:color w:val="000000"/>
                <w:sz w:val="20"/>
                <w:szCs w:val="20"/>
              </w:rPr>
            </w:pPr>
            <w:r w:rsidRPr="007C51D6">
              <w:rPr>
                <w:color w:val="000000"/>
                <w:sz w:val="20"/>
                <w:szCs w:val="20"/>
              </w:rPr>
              <w:t>73,3</w:t>
            </w:r>
          </w:p>
        </w:tc>
        <w:tc>
          <w:tcPr>
            <w:tcW w:w="1224" w:type="dxa"/>
            <w:tcBorders>
              <w:left w:val="single" w:sz="4" w:space="0" w:color="auto"/>
            </w:tcBorders>
          </w:tcPr>
          <w:p w:rsidR="00B93D5E" w:rsidRPr="007C51D6" w:rsidRDefault="00B93D5E" w:rsidP="00B93D5E">
            <w:pPr>
              <w:autoSpaceDE/>
              <w:autoSpaceDN/>
              <w:adjustRightInd/>
              <w:jc w:val="center"/>
              <w:rPr>
                <w:color w:val="000000"/>
                <w:sz w:val="20"/>
                <w:szCs w:val="20"/>
              </w:rPr>
            </w:pPr>
            <w:r w:rsidRPr="007C51D6">
              <w:rPr>
                <w:color w:val="000000"/>
                <w:sz w:val="20"/>
                <w:szCs w:val="20"/>
              </w:rPr>
              <w:t>81,7</w:t>
            </w:r>
          </w:p>
        </w:tc>
        <w:tc>
          <w:tcPr>
            <w:tcW w:w="1133" w:type="dxa"/>
          </w:tcPr>
          <w:p w:rsidR="00B93D5E" w:rsidRPr="007C51D6" w:rsidRDefault="00B93D5E" w:rsidP="00B93D5E">
            <w:pPr>
              <w:autoSpaceDE/>
              <w:autoSpaceDN/>
              <w:adjustRightInd/>
              <w:jc w:val="center"/>
              <w:rPr>
                <w:color w:val="000000"/>
                <w:sz w:val="20"/>
                <w:szCs w:val="20"/>
              </w:rPr>
            </w:pPr>
            <w:r w:rsidRPr="007C51D6">
              <w:rPr>
                <w:color w:val="000000"/>
                <w:sz w:val="20"/>
                <w:szCs w:val="20"/>
              </w:rPr>
              <w:t>86,3</w:t>
            </w:r>
          </w:p>
        </w:tc>
        <w:tc>
          <w:tcPr>
            <w:tcW w:w="1133" w:type="dxa"/>
          </w:tcPr>
          <w:p w:rsidR="00B93D5E" w:rsidRPr="007C51D6" w:rsidRDefault="00B93D5E" w:rsidP="00B93D5E">
            <w:pPr>
              <w:autoSpaceDE/>
              <w:autoSpaceDN/>
              <w:adjustRightInd/>
              <w:jc w:val="center"/>
              <w:rPr>
                <w:color w:val="000000"/>
                <w:sz w:val="20"/>
                <w:szCs w:val="20"/>
              </w:rPr>
            </w:pPr>
            <w:r w:rsidRPr="007C51D6">
              <w:rPr>
                <w:color w:val="000000"/>
                <w:sz w:val="20"/>
                <w:szCs w:val="20"/>
              </w:rPr>
              <w:t>70,8</w:t>
            </w:r>
          </w:p>
        </w:tc>
        <w:tc>
          <w:tcPr>
            <w:tcW w:w="1133" w:type="dxa"/>
          </w:tcPr>
          <w:p w:rsidR="00B93D5E" w:rsidRPr="007C51D6" w:rsidRDefault="00B93D5E" w:rsidP="00B93D5E">
            <w:pPr>
              <w:autoSpaceDE/>
              <w:autoSpaceDN/>
              <w:adjustRightInd/>
              <w:jc w:val="center"/>
              <w:rPr>
                <w:color w:val="000000"/>
                <w:sz w:val="20"/>
                <w:szCs w:val="20"/>
              </w:rPr>
            </w:pPr>
            <w:r w:rsidRPr="007C51D6">
              <w:rPr>
                <w:color w:val="000000"/>
                <w:sz w:val="20"/>
                <w:szCs w:val="20"/>
              </w:rPr>
              <w:t>63,3</w:t>
            </w:r>
          </w:p>
        </w:tc>
        <w:tc>
          <w:tcPr>
            <w:tcW w:w="948" w:type="dxa"/>
          </w:tcPr>
          <w:p w:rsidR="00B93D5E" w:rsidRPr="007C51D6" w:rsidRDefault="00B93D5E" w:rsidP="00B93D5E">
            <w:pPr>
              <w:autoSpaceDE/>
              <w:autoSpaceDN/>
              <w:adjustRightInd/>
              <w:jc w:val="center"/>
              <w:rPr>
                <w:color w:val="000000"/>
                <w:sz w:val="20"/>
                <w:szCs w:val="20"/>
              </w:rPr>
            </w:pPr>
            <w:r w:rsidRPr="007C51D6">
              <w:rPr>
                <w:color w:val="000000"/>
                <w:sz w:val="20"/>
                <w:szCs w:val="20"/>
              </w:rPr>
              <w:t>60,4</w:t>
            </w:r>
          </w:p>
        </w:tc>
        <w:tc>
          <w:tcPr>
            <w:tcW w:w="902" w:type="dxa"/>
          </w:tcPr>
          <w:p w:rsidR="00B93D5E" w:rsidRPr="007C51D6" w:rsidRDefault="00B93D5E" w:rsidP="00B93D5E">
            <w:pPr>
              <w:jc w:val="center"/>
              <w:rPr>
                <w:color w:val="000000"/>
                <w:sz w:val="20"/>
                <w:szCs w:val="20"/>
              </w:rPr>
            </w:pPr>
            <w:r w:rsidRPr="007C51D6">
              <w:rPr>
                <w:color w:val="000000"/>
                <w:sz w:val="20"/>
                <w:szCs w:val="20"/>
              </w:rPr>
              <w:t>65,44</w:t>
            </w:r>
          </w:p>
        </w:tc>
        <w:tc>
          <w:tcPr>
            <w:tcW w:w="911" w:type="dxa"/>
            <w:tcBorders>
              <w:right w:val="single" w:sz="4" w:space="0" w:color="auto"/>
            </w:tcBorders>
          </w:tcPr>
          <w:p w:rsidR="00B93D5E" w:rsidRPr="007C51D6" w:rsidRDefault="00B93D5E" w:rsidP="00B93D5E">
            <w:pPr>
              <w:jc w:val="center"/>
              <w:rPr>
                <w:color w:val="000000"/>
                <w:sz w:val="20"/>
                <w:szCs w:val="20"/>
              </w:rPr>
            </w:pPr>
            <w:r w:rsidRPr="007C51D6">
              <w:rPr>
                <w:color w:val="000000"/>
                <w:sz w:val="20"/>
                <w:szCs w:val="20"/>
              </w:rPr>
              <w:t>65,3</w:t>
            </w:r>
          </w:p>
        </w:tc>
        <w:tc>
          <w:tcPr>
            <w:tcW w:w="1216" w:type="dxa"/>
            <w:tcBorders>
              <w:left w:val="single" w:sz="4" w:space="0" w:color="auto"/>
            </w:tcBorders>
          </w:tcPr>
          <w:p w:rsidR="00B93D5E" w:rsidRPr="007C51D6" w:rsidRDefault="00B93D5E" w:rsidP="00B93D5E">
            <w:pPr>
              <w:jc w:val="center"/>
              <w:rPr>
                <w:color w:val="000000"/>
                <w:sz w:val="20"/>
                <w:szCs w:val="20"/>
              </w:rPr>
            </w:pPr>
            <w:r w:rsidRPr="007C51D6">
              <w:rPr>
                <w:color w:val="000000"/>
                <w:sz w:val="20"/>
                <w:szCs w:val="20"/>
              </w:rPr>
              <w:t>60,82</w:t>
            </w:r>
          </w:p>
        </w:tc>
        <w:tc>
          <w:tcPr>
            <w:tcW w:w="1216" w:type="dxa"/>
            <w:gridSpan w:val="2"/>
            <w:tcBorders>
              <w:left w:val="single" w:sz="4" w:space="0" w:color="auto"/>
            </w:tcBorders>
            <w:vAlign w:val="center"/>
          </w:tcPr>
          <w:p w:rsidR="00B93D5E" w:rsidRPr="007C51D6" w:rsidRDefault="00B93D5E" w:rsidP="00B93D5E">
            <w:pPr>
              <w:jc w:val="center"/>
              <w:rPr>
                <w:color w:val="000000"/>
                <w:sz w:val="20"/>
                <w:szCs w:val="20"/>
              </w:rPr>
            </w:pPr>
            <w:r w:rsidRPr="007C51D6">
              <w:rPr>
                <w:color w:val="000000"/>
                <w:sz w:val="20"/>
                <w:szCs w:val="20"/>
              </w:rPr>
              <w:t>58.56</w:t>
            </w:r>
          </w:p>
        </w:tc>
      </w:tr>
      <w:tr w:rsidR="00B93D5E" w:rsidRPr="007C51D6" w:rsidTr="006A40DD">
        <w:trPr>
          <w:trHeight w:val="20"/>
        </w:trPr>
        <w:tc>
          <w:tcPr>
            <w:tcW w:w="4528" w:type="dxa"/>
            <w:tcBorders>
              <w:right w:val="single" w:sz="4" w:space="0" w:color="auto"/>
            </w:tcBorders>
          </w:tcPr>
          <w:p w:rsidR="00B93D5E" w:rsidRPr="007C51D6" w:rsidRDefault="00B93D5E" w:rsidP="00B93D5E">
            <w:pPr>
              <w:autoSpaceDE/>
              <w:autoSpaceDN/>
              <w:adjustRightInd/>
              <w:jc w:val="both"/>
              <w:rPr>
                <w:color w:val="000000"/>
                <w:sz w:val="20"/>
                <w:szCs w:val="20"/>
              </w:rPr>
            </w:pPr>
            <w:r w:rsidRPr="007C51D6">
              <w:rPr>
                <w:color w:val="000000"/>
                <w:sz w:val="20"/>
                <w:szCs w:val="20"/>
              </w:rPr>
              <w:t>пищевода</w:t>
            </w:r>
          </w:p>
        </w:tc>
        <w:tc>
          <w:tcPr>
            <w:tcW w:w="938" w:type="dxa"/>
            <w:tcBorders>
              <w:left w:val="single" w:sz="4" w:space="0" w:color="auto"/>
              <w:right w:val="single" w:sz="4" w:space="0" w:color="auto"/>
            </w:tcBorders>
          </w:tcPr>
          <w:p w:rsidR="00B93D5E" w:rsidRPr="007C51D6" w:rsidRDefault="00B93D5E" w:rsidP="00B93D5E">
            <w:pPr>
              <w:autoSpaceDE/>
              <w:autoSpaceDN/>
              <w:adjustRightInd/>
              <w:jc w:val="center"/>
              <w:rPr>
                <w:color w:val="000000"/>
                <w:sz w:val="20"/>
                <w:szCs w:val="20"/>
              </w:rPr>
            </w:pPr>
            <w:r w:rsidRPr="007C51D6">
              <w:rPr>
                <w:color w:val="000000"/>
                <w:sz w:val="20"/>
                <w:szCs w:val="20"/>
              </w:rPr>
              <w:t>64,4</w:t>
            </w:r>
          </w:p>
        </w:tc>
        <w:tc>
          <w:tcPr>
            <w:tcW w:w="1224" w:type="dxa"/>
            <w:tcBorders>
              <w:left w:val="single" w:sz="4" w:space="0" w:color="auto"/>
            </w:tcBorders>
          </w:tcPr>
          <w:p w:rsidR="00B93D5E" w:rsidRPr="007C51D6" w:rsidRDefault="00B93D5E" w:rsidP="00B93D5E">
            <w:pPr>
              <w:autoSpaceDE/>
              <w:autoSpaceDN/>
              <w:adjustRightInd/>
              <w:jc w:val="center"/>
              <w:rPr>
                <w:color w:val="000000"/>
                <w:sz w:val="20"/>
                <w:szCs w:val="20"/>
              </w:rPr>
            </w:pPr>
            <w:r w:rsidRPr="007C51D6">
              <w:rPr>
                <w:color w:val="000000"/>
                <w:sz w:val="20"/>
                <w:szCs w:val="20"/>
              </w:rPr>
              <w:t>66,2</w:t>
            </w:r>
          </w:p>
        </w:tc>
        <w:tc>
          <w:tcPr>
            <w:tcW w:w="1133" w:type="dxa"/>
          </w:tcPr>
          <w:p w:rsidR="00B93D5E" w:rsidRPr="007C51D6" w:rsidRDefault="00B93D5E" w:rsidP="00B93D5E">
            <w:pPr>
              <w:autoSpaceDE/>
              <w:autoSpaceDN/>
              <w:adjustRightInd/>
              <w:jc w:val="center"/>
              <w:rPr>
                <w:color w:val="000000"/>
                <w:sz w:val="20"/>
                <w:szCs w:val="20"/>
              </w:rPr>
            </w:pPr>
            <w:r w:rsidRPr="007C51D6">
              <w:rPr>
                <w:color w:val="000000"/>
                <w:sz w:val="20"/>
                <w:szCs w:val="20"/>
              </w:rPr>
              <w:t>62,3</w:t>
            </w:r>
          </w:p>
        </w:tc>
        <w:tc>
          <w:tcPr>
            <w:tcW w:w="1133" w:type="dxa"/>
          </w:tcPr>
          <w:p w:rsidR="00B93D5E" w:rsidRPr="007C51D6" w:rsidRDefault="00B93D5E" w:rsidP="00B93D5E">
            <w:pPr>
              <w:autoSpaceDE/>
              <w:autoSpaceDN/>
              <w:adjustRightInd/>
              <w:jc w:val="center"/>
              <w:rPr>
                <w:color w:val="000000"/>
                <w:sz w:val="20"/>
                <w:szCs w:val="20"/>
              </w:rPr>
            </w:pPr>
            <w:r w:rsidRPr="007C51D6">
              <w:rPr>
                <w:color w:val="000000"/>
                <w:sz w:val="20"/>
                <w:szCs w:val="20"/>
              </w:rPr>
              <w:t>62,5</w:t>
            </w:r>
          </w:p>
        </w:tc>
        <w:tc>
          <w:tcPr>
            <w:tcW w:w="1133" w:type="dxa"/>
          </w:tcPr>
          <w:p w:rsidR="00B93D5E" w:rsidRPr="007C51D6" w:rsidRDefault="00B93D5E" w:rsidP="00B93D5E">
            <w:pPr>
              <w:autoSpaceDE/>
              <w:autoSpaceDN/>
              <w:adjustRightInd/>
              <w:jc w:val="center"/>
              <w:rPr>
                <w:color w:val="000000"/>
                <w:sz w:val="20"/>
                <w:szCs w:val="20"/>
              </w:rPr>
            </w:pPr>
            <w:r w:rsidRPr="007C51D6">
              <w:rPr>
                <w:color w:val="000000"/>
                <w:sz w:val="20"/>
                <w:szCs w:val="20"/>
              </w:rPr>
              <w:t>56,5</w:t>
            </w:r>
          </w:p>
        </w:tc>
        <w:tc>
          <w:tcPr>
            <w:tcW w:w="948" w:type="dxa"/>
          </w:tcPr>
          <w:p w:rsidR="00B93D5E" w:rsidRPr="007C51D6" w:rsidRDefault="00B93D5E" w:rsidP="00B93D5E">
            <w:pPr>
              <w:autoSpaceDE/>
              <w:autoSpaceDN/>
              <w:adjustRightInd/>
              <w:jc w:val="center"/>
              <w:rPr>
                <w:color w:val="000000"/>
                <w:sz w:val="20"/>
                <w:szCs w:val="20"/>
              </w:rPr>
            </w:pPr>
            <w:r w:rsidRPr="007C51D6">
              <w:rPr>
                <w:color w:val="000000"/>
                <w:sz w:val="20"/>
                <w:szCs w:val="20"/>
              </w:rPr>
              <w:t>53,2</w:t>
            </w:r>
          </w:p>
        </w:tc>
        <w:tc>
          <w:tcPr>
            <w:tcW w:w="902" w:type="dxa"/>
          </w:tcPr>
          <w:p w:rsidR="00B93D5E" w:rsidRPr="007C51D6" w:rsidRDefault="00B93D5E" w:rsidP="00B93D5E">
            <w:pPr>
              <w:jc w:val="center"/>
              <w:rPr>
                <w:color w:val="000000"/>
                <w:sz w:val="20"/>
                <w:szCs w:val="20"/>
              </w:rPr>
            </w:pPr>
            <w:r w:rsidRPr="007C51D6">
              <w:rPr>
                <w:color w:val="000000"/>
                <w:sz w:val="20"/>
                <w:szCs w:val="20"/>
              </w:rPr>
              <w:t>49,62</w:t>
            </w:r>
          </w:p>
        </w:tc>
        <w:tc>
          <w:tcPr>
            <w:tcW w:w="911" w:type="dxa"/>
            <w:tcBorders>
              <w:right w:val="single" w:sz="4" w:space="0" w:color="auto"/>
            </w:tcBorders>
          </w:tcPr>
          <w:p w:rsidR="00B93D5E" w:rsidRPr="007C51D6" w:rsidRDefault="00B93D5E" w:rsidP="00B93D5E">
            <w:pPr>
              <w:jc w:val="center"/>
              <w:rPr>
                <w:color w:val="000000"/>
                <w:sz w:val="20"/>
                <w:szCs w:val="20"/>
              </w:rPr>
            </w:pPr>
            <w:r w:rsidRPr="007C51D6">
              <w:rPr>
                <w:color w:val="000000"/>
                <w:sz w:val="20"/>
                <w:szCs w:val="20"/>
              </w:rPr>
              <w:t>48,3</w:t>
            </w:r>
          </w:p>
        </w:tc>
        <w:tc>
          <w:tcPr>
            <w:tcW w:w="1216" w:type="dxa"/>
            <w:tcBorders>
              <w:left w:val="single" w:sz="4" w:space="0" w:color="auto"/>
            </w:tcBorders>
          </w:tcPr>
          <w:p w:rsidR="00B93D5E" w:rsidRPr="007C51D6" w:rsidRDefault="00B93D5E" w:rsidP="00B93D5E">
            <w:pPr>
              <w:jc w:val="center"/>
              <w:rPr>
                <w:color w:val="000000"/>
                <w:sz w:val="20"/>
                <w:szCs w:val="20"/>
              </w:rPr>
            </w:pPr>
            <w:r w:rsidRPr="007C51D6">
              <w:rPr>
                <w:color w:val="000000"/>
                <w:sz w:val="20"/>
                <w:szCs w:val="20"/>
              </w:rPr>
              <w:t>59,86</w:t>
            </w:r>
          </w:p>
        </w:tc>
        <w:tc>
          <w:tcPr>
            <w:tcW w:w="1216" w:type="dxa"/>
            <w:gridSpan w:val="2"/>
            <w:tcBorders>
              <w:left w:val="single" w:sz="4" w:space="0" w:color="auto"/>
            </w:tcBorders>
            <w:vAlign w:val="center"/>
          </w:tcPr>
          <w:p w:rsidR="00B93D5E" w:rsidRPr="007C51D6" w:rsidRDefault="00B93D5E" w:rsidP="00B93D5E">
            <w:pPr>
              <w:jc w:val="center"/>
              <w:rPr>
                <w:color w:val="000000"/>
                <w:sz w:val="20"/>
                <w:szCs w:val="20"/>
              </w:rPr>
            </w:pPr>
            <w:r w:rsidRPr="007C51D6">
              <w:rPr>
                <w:color w:val="000000"/>
                <w:sz w:val="20"/>
                <w:szCs w:val="20"/>
              </w:rPr>
              <w:t>48.52</w:t>
            </w:r>
          </w:p>
        </w:tc>
      </w:tr>
      <w:tr w:rsidR="00B93D5E" w:rsidRPr="007C51D6" w:rsidTr="006A40DD">
        <w:trPr>
          <w:trHeight w:val="20"/>
        </w:trPr>
        <w:tc>
          <w:tcPr>
            <w:tcW w:w="4528" w:type="dxa"/>
            <w:tcBorders>
              <w:right w:val="single" w:sz="4" w:space="0" w:color="auto"/>
            </w:tcBorders>
            <w:hideMark/>
          </w:tcPr>
          <w:p w:rsidR="00B93D5E" w:rsidRPr="007C51D6" w:rsidRDefault="00B93D5E" w:rsidP="00B93D5E">
            <w:pPr>
              <w:autoSpaceDE/>
              <w:autoSpaceDN/>
              <w:adjustRightInd/>
              <w:jc w:val="both"/>
              <w:rPr>
                <w:color w:val="000000"/>
                <w:sz w:val="20"/>
                <w:szCs w:val="20"/>
              </w:rPr>
            </w:pPr>
            <w:r w:rsidRPr="007C51D6">
              <w:rPr>
                <w:color w:val="000000"/>
                <w:sz w:val="20"/>
                <w:szCs w:val="20"/>
              </w:rPr>
              <w:t>трахеи, бронхов, легких</w:t>
            </w:r>
          </w:p>
        </w:tc>
        <w:tc>
          <w:tcPr>
            <w:tcW w:w="938" w:type="dxa"/>
            <w:tcBorders>
              <w:left w:val="single" w:sz="4" w:space="0" w:color="auto"/>
              <w:right w:val="single" w:sz="4" w:space="0" w:color="auto"/>
            </w:tcBorders>
          </w:tcPr>
          <w:p w:rsidR="00B93D5E" w:rsidRPr="007C51D6" w:rsidRDefault="00B93D5E" w:rsidP="00B93D5E">
            <w:pPr>
              <w:autoSpaceDE/>
              <w:autoSpaceDN/>
              <w:adjustRightInd/>
              <w:jc w:val="center"/>
              <w:rPr>
                <w:color w:val="000000"/>
                <w:sz w:val="20"/>
                <w:szCs w:val="20"/>
              </w:rPr>
            </w:pPr>
            <w:r w:rsidRPr="007C51D6">
              <w:rPr>
                <w:color w:val="000000"/>
                <w:sz w:val="20"/>
                <w:szCs w:val="20"/>
              </w:rPr>
              <w:t>57,2</w:t>
            </w:r>
          </w:p>
        </w:tc>
        <w:tc>
          <w:tcPr>
            <w:tcW w:w="1224" w:type="dxa"/>
            <w:tcBorders>
              <w:left w:val="single" w:sz="4" w:space="0" w:color="auto"/>
            </w:tcBorders>
          </w:tcPr>
          <w:p w:rsidR="00B93D5E" w:rsidRPr="007C51D6" w:rsidRDefault="00B93D5E" w:rsidP="00B93D5E">
            <w:pPr>
              <w:autoSpaceDE/>
              <w:autoSpaceDN/>
              <w:adjustRightInd/>
              <w:jc w:val="center"/>
              <w:rPr>
                <w:color w:val="000000"/>
                <w:sz w:val="20"/>
                <w:szCs w:val="20"/>
              </w:rPr>
            </w:pPr>
            <w:r w:rsidRPr="007C51D6">
              <w:rPr>
                <w:color w:val="000000"/>
                <w:sz w:val="20"/>
                <w:szCs w:val="20"/>
              </w:rPr>
              <w:t>61,2</w:t>
            </w:r>
          </w:p>
        </w:tc>
        <w:tc>
          <w:tcPr>
            <w:tcW w:w="1133" w:type="dxa"/>
          </w:tcPr>
          <w:p w:rsidR="00B93D5E" w:rsidRPr="007C51D6" w:rsidRDefault="00B93D5E" w:rsidP="00B93D5E">
            <w:pPr>
              <w:autoSpaceDE/>
              <w:autoSpaceDN/>
              <w:adjustRightInd/>
              <w:jc w:val="center"/>
              <w:rPr>
                <w:color w:val="000000"/>
                <w:sz w:val="20"/>
                <w:szCs w:val="20"/>
              </w:rPr>
            </w:pPr>
            <w:r w:rsidRPr="007C51D6">
              <w:rPr>
                <w:color w:val="000000"/>
                <w:sz w:val="20"/>
                <w:szCs w:val="20"/>
              </w:rPr>
              <w:t>61,9</w:t>
            </w:r>
          </w:p>
        </w:tc>
        <w:tc>
          <w:tcPr>
            <w:tcW w:w="1133" w:type="dxa"/>
          </w:tcPr>
          <w:p w:rsidR="00B93D5E" w:rsidRPr="007C51D6" w:rsidRDefault="00B93D5E" w:rsidP="00B93D5E">
            <w:pPr>
              <w:autoSpaceDE/>
              <w:autoSpaceDN/>
              <w:adjustRightInd/>
              <w:jc w:val="center"/>
              <w:rPr>
                <w:color w:val="000000"/>
                <w:sz w:val="20"/>
                <w:szCs w:val="20"/>
              </w:rPr>
            </w:pPr>
            <w:r w:rsidRPr="007C51D6">
              <w:rPr>
                <w:color w:val="000000"/>
                <w:sz w:val="20"/>
                <w:szCs w:val="20"/>
              </w:rPr>
              <w:t>56,1</w:t>
            </w:r>
          </w:p>
        </w:tc>
        <w:tc>
          <w:tcPr>
            <w:tcW w:w="1133" w:type="dxa"/>
            <w:hideMark/>
          </w:tcPr>
          <w:p w:rsidR="00B93D5E" w:rsidRPr="007C51D6" w:rsidRDefault="00B93D5E" w:rsidP="00B93D5E">
            <w:pPr>
              <w:autoSpaceDE/>
              <w:autoSpaceDN/>
              <w:adjustRightInd/>
              <w:jc w:val="center"/>
              <w:rPr>
                <w:color w:val="000000"/>
                <w:sz w:val="20"/>
                <w:szCs w:val="20"/>
              </w:rPr>
            </w:pPr>
            <w:r w:rsidRPr="007C51D6">
              <w:rPr>
                <w:color w:val="000000"/>
                <w:sz w:val="20"/>
                <w:szCs w:val="20"/>
              </w:rPr>
              <w:t>54,1</w:t>
            </w:r>
          </w:p>
        </w:tc>
        <w:tc>
          <w:tcPr>
            <w:tcW w:w="948" w:type="dxa"/>
          </w:tcPr>
          <w:p w:rsidR="00B93D5E" w:rsidRPr="007C51D6" w:rsidRDefault="00B93D5E" w:rsidP="00B93D5E">
            <w:pPr>
              <w:autoSpaceDE/>
              <w:autoSpaceDN/>
              <w:adjustRightInd/>
              <w:jc w:val="center"/>
              <w:rPr>
                <w:color w:val="000000"/>
                <w:sz w:val="20"/>
                <w:szCs w:val="20"/>
              </w:rPr>
            </w:pPr>
            <w:r w:rsidRPr="007C51D6">
              <w:rPr>
                <w:color w:val="000000"/>
                <w:sz w:val="20"/>
                <w:szCs w:val="20"/>
              </w:rPr>
              <w:t>46,5</w:t>
            </w:r>
          </w:p>
        </w:tc>
        <w:tc>
          <w:tcPr>
            <w:tcW w:w="902" w:type="dxa"/>
          </w:tcPr>
          <w:p w:rsidR="00B93D5E" w:rsidRPr="007C51D6" w:rsidRDefault="00B93D5E" w:rsidP="00B93D5E">
            <w:pPr>
              <w:jc w:val="center"/>
              <w:rPr>
                <w:color w:val="000000"/>
                <w:sz w:val="20"/>
                <w:szCs w:val="20"/>
              </w:rPr>
            </w:pPr>
            <w:r w:rsidRPr="007C51D6">
              <w:rPr>
                <w:color w:val="000000"/>
                <w:sz w:val="20"/>
                <w:szCs w:val="20"/>
              </w:rPr>
              <w:t>47,84</w:t>
            </w:r>
          </w:p>
        </w:tc>
        <w:tc>
          <w:tcPr>
            <w:tcW w:w="911" w:type="dxa"/>
            <w:tcBorders>
              <w:right w:val="single" w:sz="4" w:space="0" w:color="auto"/>
            </w:tcBorders>
          </w:tcPr>
          <w:p w:rsidR="00B93D5E" w:rsidRPr="007C51D6" w:rsidRDefault="00B93D5E" w:rsidP="00B93D5E">
            <w:pPr>
              <w:jc w:val="center"/>
              <w:rPr>
                <w:color w:val="000000"/>
                <w:sz w:val="20"/>
                <w:szCs w:val="20"/>
              </w:rPr>
            </w:pPr>
            <w:r w:rsidRPr="007C51D6">
              <w:rPr>
                <w:color w:val="000000"/>
                <w:sz w:val="20"/>
                <w:szCs w:val="20"/>
              </w:rPr>
              <w:t>44,1</w:t>
            </w:r>
          </w:p>
        </w:tc>
        <w:tc>
          <w:tcPr>
            <w:tcW w:w="1216" w:type="dxa"/>
            <w:tcBorders>
              <w:left w:val="single" w:sz="4" w:space="0" w:color="auto"/>
            </w:tcBorders>
          </w:tcPr>
          <w:p w:rsidR="00B93D5E" w:rsidRPr="007C51D6" w:rsidRDefault="00B93D5E" w:rsidP="00B93D5E">
            <w:pPr>
              <w:jc w:val="center"/>
              <w:rPr>
                <w:color w:val="000000"/>
                <w:sz w:val="20"/>
                <w:szCs w:val="20"/>
              </w:rPr>
            </w:pPr>
            <w:r w:rsidRPr="007C51D6">
              <w:rPr>
                <w:color w:val="000000"/>
                <w:sz w:val="20"/>
                <w:szCs w:val="20"/>
              </w:rPr>
              <w:t>45,64</w:t>
            </w:r>
          </w:p>
        </w:tc>
        <w:tc>
          <w:tcPr>
            <w:tcW w:w="1216" w:type="dxa"/>
            <w:gridSpan w:val="2"/>
            <w:tcBorders>
              <w:left w:val="single" w:sz="4" w:space="0" w:color="auto"/>
            </w:tcBorders>
            <w:vAlign w:val="center"/>
          </w:tcPr>
          <w:p w:rsidR="00B93D5E" w:rsidRPr="007C51D6" w:rsidRDefault="00B93D5E" w:rsidP="00B93D5E">
            <w:pPr>
              <w:jc w:val="center"/>
              <w:rPr>
                <w:color w:val="000000"/>
                <w:sz w:val="20"/>
                <w:szCs w:val="20"/>
              </w:rPr>
            </w:pPr>
            <w:r w:rsidRPr="007C51D6">
              <w:rPr>
                <w:color w:val="000000"/>
                <w:sz w:val="20"/>
                <w:szCs w:val="20"/>
              </w:rPr>
              <w:t>43.49</w:t>
            </w:r>
          </w:p>
        </w:tc>
      </w:tr>
      <w:tr w:rsidR="00B93D5E" w:rsidRPr="007C51D6" w:rsidTr="006A40DD">
        <w:trPr>
          <w:trHeight w:val="20"/>
        </w:trPr>
        <w:tc>
          <w:tcPr>
            <w:tcW w:w="4528" w:type="dxa"/>
            <w:tcBorders>
              <w:right w:val="single" w:sz="4" w:space="0" w:color="auto"/>
            </w:tcBorders>
          </w:tcPr>
          <w:p w:rsidR="00B93D5E" w:rsidRPr="007C51D6" w:rsidRDefault="00B93D5E" w:rsidP="00B93D5E">
            <w:pPr>
              <w:autoSpaceDE/>
              <w:autoSpaceDN/>
              <w:adjustRightInd/>
              <w:jc w:val="both"/>
              <w:rPr>
                <w:color w:val="000000"/>
                <w:sz w:val="20"/>
                <w:szCs w:val="20"/>
              </w:rPr>
            </w:pPr>
            <w:r w:rsidRPr="007C51D6">
              <w:rPr>
                <w:color w:val="000000"/>
                <w:sz w:val="20"/>
                <w:szCs w:val="20"/>
              </w:rPr>
              <w:t>глотка</w:t>
            </w:r>
          </w:p>
        </w:tc>
        <w:tc>
          <w:tcPr>
            <w:tcW w:w="938" w:type="dxa"/>
            <w:tcBorders>
              <w:left w:val="single" w:sz="4" w:space="0" w:color="auto"/>
              <w:right w:val="single" w:sz="4" w:space="0" w:color="auto"/>
            </w:tcBorders>
          </w:tcPr>
          <w:p w:rsidR="00B93D5E" w:rsidRPr="007C51D6" w:rsidRDefault="00B93D5E" w:rsidP="00B93D5E">
            <w:pPr>
              <w:autoSpaceDE/>
              <w:autoSpaceDN/>
              <w:adjustRightInd/>
              <w:jc w:val="center"/>
              <w:rPr>
                <w:color w:val="000000"/>
                <w:sz w:val="20"/>
                <w:szCs w:val="20"/>
              </w:rPr>
            </w:pPr>
            <w:r w:rsidRPr="007C51D6">
              <w:rPr>
                <w:color w:val="000000"/>
                <w:sz w:val="20"/>
                <w:szCs w:val="20"/>
              </w:rPr>
              <w:t>43,0</w:t>
            </w:r>
          </w:p>
        </w:tc>
        <w:tc>
          <w:tcPr>
            <w:tcW w:w="1224" w:type="dxa"/>
            <w:tcBorders>
              <w:left w:val="single" w:sz="4" w:space="0" w:color="auto"/>
            </w:tcBorders>
          </w:tcPr>
          <w:p w:rsidR="00B93D5E" w:rsidRPr="007C51D6" w:rsidRDefault="00B93D5E" w:rsidP="00B93D5E">
            <w:pPr>
              <w:autoSpaceDE/>
              <w:autoSpaceDN/>
              <w:adjustRightInd/>
              <w:jc w:val="center"/>
              <w:rPr>
                <w:color w:val="000000"/>
                <w:sz w:val="20"/>
                <w:szCs w:val="20"/>
              </w:rPr>
            </w:pPr>
            <w:r w:rsidRPr="007C51D6">
              <w:rPr>
                <w:color w:val="000000"/>
                <w:sz w:val="20"/>
                <w:szCs w:val="20"/>
              </w:rPr>
              <w:t>47,4</w:t>
            </w:r>
          </w:p>
        </w:tc>
        <w:tc>
          <w:tcPr>
            <w:tcW w:w="1133" w:type="dxa"/>
          </w:tcPr>
          <w:p w:rsidR="00B93D5E" w:rsidRPr="007C51D6" w:rsidRDefault="00B93D5E" w:rsidP="00B93D5E">
            <w:pPr>
              <w:autoSpaceDE/>
              <w:autoSpaceDN/>
              <w:adjustRightInd/>
              <w:jc w:val="center"/>
              <w:rPr>
                <w:color w:val="000000"/>
                <w:sz w:val="20"/>
                <w:szCs w:val="20"/>
              </w:rPr>
            </w:pPr>
            <w:r w:rsidRPr="007C51D6">
              <w:rPr>
                <w:color w:val="000000"/>
                <w:sz w:val="20"/>
                <w:szCs w:val="20"/>
              </w:rPr>
              <w:t>39,2</w:t>
            </w:r>
          </w:p>
        </w:tc>
        <w:tc>
          <w:tcPr>
            <w:tcW w:w="1133" w:type="dxa"/>
          </w:tcPr>
          <w:p w:rsidR="00B93D5E" w:rsidRPr="007C51D6" w:rsidRDefault="00B93D5E" w:rsidP="00B93D5E">
            <w:pPr>
              <w:autoSpaceDE/>
              <w:autoSpaceDN/>
              <w:adjustRightInd/>
              <w:jc w:val="center"/>
              <w:rPr>
                <w:color w:val="000000"/>
                <w:sz w:val="20"/>
                <w:szCs w:val="20"/>
              </w:rPr>
            </w:pPr>
            <w:r w:rsidRPr="007C51D6">
              <w:rPr>
                <w:color w:val="000000"/>
                <w:sz w:val="20"/>
                <w:szCs w:val="20"/>
              </w:rPr>
              <w:t>42,5</w:t>
            </w:r>
          </w:p>
        </w:tc>
        <w:tc>
          <w:tcPr>
            <w:tcW w:w="1133" w:type="dxa"/>
          </w:tcPr>
          <w:p w:rsidR="00B93D5E" w:rsidRPr="007C51D6" w:rsidRDefault="00B93D5E" w:rsidP="00B93D5E">
            <w:pPr>
              <w:autoSpaceDE/>
              <w:autoSpaceDN/>
              <w:adjustRightInd/>
              <w:jc w:val="center"/>
              <w:rPr>
                <w:color w:val="000000"/>
                <w:sz w:val="20"/>
                <w:szCs w:val="20"/>
              </w:rPr>
            </w:pPr>
            <w:r w:rsidRPr="007C51D6">
              <w:rPr>
                <w:color w:val="000000"/>
                <w:sz w:val="20"/>
                <w:szCs w:val="20"/>
              </w:rPr>
              <w:t>51,4</w:t>
            </w:r>
          </w:p>
        </w:tc>
        <w:tc>
          <w:tcPr>
            <w:tcW w:w="948" w:type="dxa"/>
          </w:tcPr>
          <w:p w:rsidR="00B93D5E" w:rsidRPr="007C51D6" w:rsidRDefault="00B93D5E" w:rsidP="00B93D5E">
            <w:pPr>
              <w:autoSpaceDE/>
              <w:autoSpaceDN/>
              <w:adjustRightInd/>
              <w:jc w:val="center"/>
              <w:rPr>
                <w:color w:val="000000"/>
                <w:sz w:val="20"/>
                <w:szCs w:val="20"/>
              </w:rPr>
            </w:pPr>
            <w:r w:rsidRPr="007C51D6">
              <w:rPr>
                <w:color w:val="000000"/>
                <w:sz w:val="20"/>
                <w:szCs w:val="20"/>
              </w:rPr>
              <w:t>39,5</w:t>
            </w:r>
          </w:p>
        </w:tc>
        <w:tc>
          <w:tcPr>
            <w:tcW w:w="902" w:type="dxa"/>
          </w:tcPr>
          <w:p w:rsidR="00B93D5E" w:rsidRPr="007C51D6" w:rsidRDefault="00B93D5E" w:rsidP="00B93D5E">
            <w:pPr>
              <w:jc w:val="center"/>
              <w:rPr>
                <w:color w:val="000000"/>
                <w:sz w:val="20"/>
                <w:szCs w:val="20"/>
              </w:rPr>
            </w:pPr>
            <w:r w:rsidRPr="007C51D6">
              <w:rPr>
                <w:color w:val="000000"/>
                <w:sz w:val="20"/>
                <w:szCs w:val="20"/>
              </w:rPr>
              <w:t>28,97</w:t>
            </w:r>
          </w:p>
        </w:tc>
        <w:tc>
          <w:tcPr>
            <w:tcW w:w="911" w:type="dxa"/>
            <w:tcBorders>
              <w:right w:val="single" w:sz="4" w:space="0" w:color="auto"/>
            </w:tcBorders>
          </w:tcPr>
          <w:p w:rsidR="00B93D5E" w:rsidRPr="007C51D6" w:rsidRDefault="00B93D5E" w:rsidP="00B93D5E">
            <w:pPr>
              <w:jc w:val="center"/>
              <w:rPr>
                <w:color w:val="000000"/>
                <w:sz w:val="20"/>
                <w:szCs w:val="20"/>
              </w:rPr>
            </w:pPr>
            <w:r w:rsidRPr="007C51D6">
              <w:rPr>
                <w:color w:val="000000"/>
                <w:sz w:val="20"/>
                <w:szCs w:val="20"/>
              </w:rPr>
              <w:t>31,9</w:t>
            </w:r>
          </w:p>
        </w:tc>
        <w:tc>
          <w:tcPr>
            <w:tcW w:w="1216" w:type="dxa"/>
            <w:tcBorders>
              <w:left w:val="single" w:sz="4" w:space="0" w:color="auto"/>
            </w:tcBorders>
          </w:tcPr>
          <w:p w:rsidR="00B93D5E" w:rsidRPr="007C51D6" w:rsidRDefault="00B93D5E" w:rsidP="00B93D5E">
            <w:pPr>
              <w:jc w:val="center"/>
              <w:rPr>
                <w:color w:val="000000"/>
                <w:sz w:val="20"/>
                <w:szCs w:val="20"/>
              </w:rPr>
            </w:pPr>
            <w:r w:rsidRPr="007C51D6">
              <w:rPr>
                <w:color w:val="000000"/>
                <w:sz w:val="20"/>
                <w:szCs w:val="20"/>
              </w:rPr>
              <w:t>42,27</w:t>
            </w:r>
          </w:p>
        </w:tc>
        <w:tc>
          <w:tcPr>
            <w:tcW w:w="1216" w:type="dxa"/>
            <w:gridSpan w:val="2"/>
            <w:tcBorders>
              <w:left w:val="single" w:sz="4" w:space="0" w:color="auto"/>
            </w:tcBorders>
            <w:vAlign w:val="center"/>
          </w:tcPr>
          <w:p w:rsidR="00B93D5E" w:rsidRPr="007C51D6" w:rsidRDefault="00B93D5E" w:rsidP="00B93D5E">
            <w:pPr>
              <w:jc w:val="center"/>
              <w:rPr>
                <w:color w:val="000000"/>
                <w:sz w:val="20"/>
                <w:szCs w:val="20"/>
              </w:rPr>
            </w:pPr>
            <w:r w:rsidRPr="007C51D6">
              <w:rPr>
                <w:color w:val="000000"/>
                <w:sz w:val="20"/>
                <w:szCs w:val="20"/>
              </w:rPr>
              <w:t>37.21</w:t>
            </w:r>
          </w:p>
        </w:tc>
      </w:tr>
      <w:tr w:rsidR="00B93D5E" w:rsidRPr="007C51D6" w:rsidTr="006A40DD">
        <w:trPr>
          <w:trHeight w:val="20"/>
        </w:trPr>
        <w:tc>
          <w:tcPr>
            <w:tcW w:w="4528" w:type="dxa"/>
            <w:tcBorders>
              <w:right w:val="single" w:sz="4" w:space="0" w:color="auto"/>
            </w:tcBorders>
            <w:hideMark/>
          </w:tcPr>
          <w:p w:rsidR="00B93D5E" w:rsidRPr="007C51D6" w:rsidRDefault="00B93D5E" w:rsidP="00B93D5E">
            <w:pPr>
              <w:autoSpaceDE/>
              <w:autoSpaceDN/>
              <w:adjustRightInd/>
              <w:jc w:val="both"/>
              <w:rPr>
                <w:color w:val="000000"/>
                <w:sz w:val="20"/>
                <w:szCs w:val="20"/>
              </w:rPr>
            </w:pPr>
            <w:r w:rsidRPr="007C51D6">
              <w:rPr>
                <w:color w:val="000000"/>
                <w:sz w:val="20"/>
                <w:szCs w:val="20"/>
              </w:rPr>
              <w:t>желудка</w:t>
            </w:r>
          </w:p>
        </w:tc>
        <w:tc>
          <w:tcPr>
            <w:tcW w:w="938" w:type="dxa"/>
            <w:tcBorders>
              <w:left w:val="single" w:sz="4" w:space="0" w:color="auto"/>
              <w:right w:val="single" w:sz="4" w:space="0" w:color="auto"/>
            </w:tcBorders>
          </w:tcPr>
          <w:p w:rsidR="00B93D5E" w:rsidRPr="007C51D6" w:rsidRDefault="00B93D5E" w:rsidP="00B93D5E">
            <w:pPr>
              <w:autoSpaceDE/>
              <w:autoSpaceDN/>
              <w:adjustRightInd/>
              <w:jc w:val="center"/>
              <w:rPr>
                <w:color w:val="000000"/>
                <w:sz w:val="20"/>
                <w:szCs w:val="20"/>
              </w:rPr>
            </w:pPr>
            <w:r w:rsidRPr="007C51D6">
              <w:rPr>
                <w:color w:val="000000"/>
                <w:sz w:val="20"/>
                <w:szCs w:val="20"/>
              </w:rPr>
              <w:t>54,9</w:t>
            </w:r>
          </w:p>
        </w:tc>
        <w:tc>
          <w:tcPr>
            <w:tcW w:w="1224" w:type="dxa"/>
            <w:tcBorders>
              <w:left w:val="single" w:sz="4" w:space="0" w:color="auto"/>
            </w:tcBorders>
          </w:tcPr>
          <w:p w:rsidR="00B93D5E" w:rsidRPr="007C51D6" w:rsidRDefault="00B93D5E" w:rsidP="00B93D5E">
            <w:pPr>
              <w:autoSpaceDE/>
              <w:autoSpaceDN/>
              <w:adjustRightInd/>
              <w:jc w:val="center"/>
              <w:rPr>
                <w:color w:val="000000"/>
                <w:sz w:val="20"/>
                <w:szCs w:val="20"/>
              </w:rPr>
            </w:pPr>
            <w:r w:rsidRPr="007C51D6">
              <w:rPr>
                <w:color w:val="000000"/>
                <w:sz w:val="20"/>
                <w:szCs w:val="20"/>
              </w:rPr>
              <w:t>54,0</w:t>
            </w:r>
          </w:p>
        </w:tc>
        <w:tc>
          <w:tcPr>
            <w:tcW w:w="1133" w:type="dxa"/>
          </w:tcPr>
          <w:p w:rsidR="00B93D5E" w:rsidRPr="007C51D6" w:rsidRDefault="00B93D5E" w:rsidP="00B93D5E">
            <w:pPr>
              <w:autoSpaceDE/>
              <w:autoSpaceDN/>
              <w:adjustRightInd/>
              <w:jc w:val="center"/>
              <w:rPr>
                <w:color w:val="000000"/>
                <w:sz w:val="20"/>
                <w:szCs w:val="20"/>
              </w:rPr>
            </w:pPr>
            <w:r w:rsidRPr="007C51D6">
              <w:rPr>
                <w:color w:val="000000"/>
                <w:sz w:val="20"/>
                <w:szCs w:val="20"/>
              </w:rPr>
              <w:t>54,9</w:t>
            </w:r>
          </w:p>
        </w:tc>
        <w:tc>
          <w:tcPr>
            <w:tcW w:w="1133" w:type="dxa"/>
          </w:tcPr>
          <w:p w:rsidR="00B93D5E" w:rsidRPr="007C51D6" w:rsidRDefault="00B93D5E" w:rsidP="00B93D5E">
            <w:pPr>
              <w:autoSpaceDE/>
              <w:autoSpaceDN/>
              <w:adjustRightInd/>
              <w:jc w:val="center"/>
              <w:rPr>
                <w:color w:val="000000"/>
                <w:sz w:val="20"/>
                <w:szCs w:val="20"/>
              </w:rPr>
            </w:pPr>
            <w:r w:rsidRPr="007C51D6">
              <w:rPr>
                <w:color w:val="000000"/>
                <w:sz w:val="20"/>
                <w:szCs w:val="20"/>
              </w:rPr>
              <w:t>54,1</w:t>
            </w:r>
          </w:p>
        </w:tc>
        <w:tc>
          <w:tcPr>
            <w:tcW w:w="1133" w:type="dxa"/>
            <w:hideMark/>
          </w:tcPr>
          <w:p w:rsidR="00B93D5E" w:rsidRPr="007C51D6" w:rsidRDefault="00B93D5E" w:rsidP="00B93D5E">
            <w:pPr>
              <w:autoSpaceDE/>
              <w:autoSpaceDN/>
              <w:adjustRightInd/>
              <w:jc w:val="center"/>
              <w:rPr>
                <w:color w:val="000000"/>
                <w:sz w:val="20"/>
                <w:szCs w:val="20"/>
              </w:rPr>
            </w:pPr>
            <w:r w:rsidRPr="007C51D6">
              <w:rPr>
                <w:color w:val="000000"/>
                <w:sz w:val="20"/>
                <w:szCs w:val="20"/>
              </w:rPr>
              <w:t>46,4</w:t>
            </w:r>
          </w:p>
        </w:tc>
        <w:tc>
          <w:tcPr>
            <w:tcW w:w="948" w:type="dxa"/>
          </w:tcPr>
          <w:p w:rsidR="00B93D5E" w:rsidRPr="007C51D6" w:rsidRDefault="00B93D5E" w:rsidP="00B93D5E">
            <w:pPr>
              <w:autoSpaceDE/>
              <w:autoSpaceDN/>
              <w:adjustRightInd/>
              <w:jc w:val="center"/>
              <w:rPr>
                <w:color w:val="000000"/>
                <w:sz w:val="20"/>
                <w:szCs w:val="20"/>
              </w:rPr>
            </w:pPr>
            <w:r w:rsidRPr="007C51D6">
              <w:rPr>
                <w:color w:val="000000"/>
                <w:sz w:val="20"/>
                <w:szCs w:val="20"/>
              </w:rPr>
              <w:t>43,8</w:t>
            </w:r>
          </w:p>
        </w:tc>
        <w:tc>
          <w:tcPr>
            <w:tcW w:w="902" w:type="dxa"/>
          </w:tcPr>
          <w:p w:rsidR="00B93D5E" w:rsidRPr="007C51D6" w:rsidRDefault="00B93D5E" w:rsidP="00B93D5E">
            <w:pPr>
              <w:jc w:val="center"/>
              <w:rPr>
                <w:color w:val="000000"/>
                <w:sz w:val="20"/>
                <w:szCs w:val="20"/>
              </w:rPr>
            </w:pPr>
            <w:r w:rsidRPr="007C51D6">
              <w:rPr>
                <w:color w:val="000000"/>
                <w:sz w:val="20"/>
                <w:szCs w:val="20"/>
              </w:rPr>
              <w:t>39,81</w:t>
            </w:r>
          </w:p>
        </w:tc>
        <w:tc>
          <w:tcPr>
            <w:tcW w:w="911" w:type="dxa"/>
            <w:tcBorders>
              <w:right w:val="single" w:sz="4" w:space="0" w:color="auto"/>
            </w:tcBorders>
          </w:tcPr>
          <w:p w:rsidR="00B93D5E" w:rsidRPr="007C51D6" w:rsidRDefault="00B93D5E" w:rsidP="00B93D5E">
            <w:pPr>
              <w:jc w:val="center"/>
              <w:rPr>
                <w:color w:val="000000"/>
                <w:sz w:val="20"/>
                <w:szCs w:val="20"/>
              </w:rPr>
            </w:pPr>
            <w:r w:rsidRPr="007C51D6">
              <w:rPr>
                <w:color w:val="000000"/>
                <w:sz w:val="20"/>
                <w:szCs w:val="20"/>
              </w:rPr>
              <w:t>41,7</w:t>
            </w:r>
          </w:p>
        </w:tc>
        <w:tc>
          <w:tcPr>
            <w:tcW w:w="1216" w:type="dxa"/>
            <w:tcBorders>
              <w:left w:val="single" w:sz="4" w:space="0" w:color="auto"/>
            </w:tcBorders>
          </w:tcPr>
          <w:p w:rsidR="00B93D5E" w:rsidRPr="007C51D6" w:rsidRDefault="00B93D5E" w:rsidP="00B93D5E">
            <w:pPr>
              <w:jc w:val="center"/>
              <w:rPr>
                <w:color w:val="000000"/>
                <w:sz w:val="20"/>
                <w:szCs w:val="20"/>
              </w:rPr>
            </w:pPr>
            <w:r w:rsidRPr="007C51D6">
              <w:rPr>
                <w:color w:val="000000"/>
                <w:sz w:val="20"/>
                <w:szCs w:val="20"/>
              </w:rPr>
              <w:t>38,58</w:t>
            </w:r>
          </w:p>
        </w:tc>
        <w:tc>
          <w:tcPr>
            <w:tcW w:w="1216" w:type="dxa"/>
            <w:gridSpan w:val="2"/>
            <w:tcBorders>
              <w:left w:val="single" w:sz="4" w:space="0" w:color="auto"/>
            </w:tcBorders>
            <w:vAlign w:val="center"/>
          </w:tcPr>
          <w:p w:rsidR="00B93D5E" w:rsidRPr="007C51D6" w:rsidRDefault="00B93D5E" w:rsidP="00B93D5E">
            <w:pPr>
              <w:jc w:val="center"/>
              <w:rPr>
                <w:color w:val="000000"/>
                <w:sz w:val="20"/>
                <w:szCs w:val="20"/>
              </w:rPr>
            </w:pPr>
            <w:r w:rsidRPr="007C51D6">
              <w:rPr>
                <w:color w:val="000000"/>
                <w:sz w:val="20"/>
                <w:szCs w:val="20"/>
              </w:rPr>
              <w:t>37.20</w:t>
            </w:r>
          </w:p>
        </w:tc>
      </w:tr>
      <w:tr w:rsidR="00B93D5E" w:rsidRPr="007C51D6" w:rsidTr="006A40DD">
        <w:trPr>
          <w:trHeight w:val="20"/>
        </w:trPr>
        <w:tc>
          <w:tcPr>
            <w:tcW w:w="4528" w:type="dxa"/>
            <w:tcBorders>
              <w:right w:val="single" w:sz="4" w:space="0" w:color="auto"/>
            </w:tcBorders>
          </w:tcPr>
          <w:p w:rsidR="00B93D5E" w:rsidRPr="007C51D6" w:rsidRDefault="00B93D5E" w:rsidP="00B93D5E">
            <w:pPr>
              <w:autoSpaceDE/>
              <w:autoSpaceDN/>
              <w:adjustRightInd/>
              <w:jc w:val="both"/>
              <w:rPr>
                <w:color w:val="000000"/>
                <w:sz w:val="20"/>
                <w:szCs w:val="20"/>
              </w:rPr>
            </w:pPr>
            <w:r w:rsidRPr="007C51D6">
              <w:rPr>
                <w:color w:val="000000"/>
                <w:sz w:val="20"/>
                <w:szCs w:val="20"/>
              </w:rPr>
              <w:t>злокачественные лимфомы</w:t>
            </w:r>
          </w:p>
        </w:tc>
        <w:tc>
          <w:tcPr>
            <w:tcW w:w="938" w:type="dxa"/>
            <w:tcBorders>
              <w:left w:val="single" w:sz="4" w:space="0" w:color="auto"/>
              <w:right w:val="single" w:sz="4" w:space="0" w:color="auto"/>
            </w:tcBorders>
          </w:tcPr>
          <w:p w:rsidR="00B93D5E" w:rsidRPr="007C51D6" w:rsidRDefault="00B93D5E" w:rsidP="00B93D5E">
            <w:pPr>
              <w:autoSpaceDE/>
              <w:autoSpaceDN/>
              <w:adjustRightInd/>
              <w:jc w:val="center"/>
              <w:rPr>
                <w:color w:val="000000"/>
                <w:sz w:val="20"/>
                <w:szCs w:val="20"/>
              </w:rPr>
            </w:pPr>
            <w:r w:rsidRPr="007C51D6">
              <w:rPr>
                <w:color w:val="000000"/>
                <w:sz w:val="20"/>
                <w:szCs w:val="20"/>
              </w:rPr>
              <w:t>25,2</w:t>
            </w:r>
          </w:p>
        </w:tc>
        <w:tc>
          <w:tcPr>
            <w:tcW w:w="1224" w:type="dxa"/>
            <w:tcBorders>
              <w:left w:val="single" w:sz="4" w:space="0" w:color="auto"/>
            </w:tcBorders>
          </w:tcPr>
          <w:p w:rsidR="00B93D5E" w:rsidRPr="007C51D6" w:rsidRDefault="00B93D5E" w:rsidP="00B93D5E">
            <w:pPr>
              <w:autoSpaceDE/>
              <w:autoSpaceDN/>
              <w:adjustRightInd/>
              <w:jc w:val="center"/>
              <w:rPr>
                <w:color w:val="000000"/>
                <w:sz w:val="20"/>
                <w:szCs w:val="20"/>
              </w:rPr>
            </w:pPr>
            <w:r w:rsidRPr="007C51D6">
              <w:rPr>
                <w:color w:val="000000"/>
                <w:sz w:val="20"/>
                <w:szCs w:val="20"/>
              </w:rPr>
              <w:t>24,7</w:t>
            </w:r>
          </w:p>
        </w:tc>
        <w:tc>
          <w:tcPr>
            <w:tcW w:w="1133" w:type="dxa"/>
          </w:tcPr>
          <w:p w:rsidR="00B93D5E" w:rsidRPr="007C51D6" w:rsidRDefault="00B93D5E" w:rsidP="00B93D5E">
            <w:pPr>
              <w:autoSpaceDE/>
              <w:autoSpaceDN/>
              <w:adjustRightInd/>
              <w:jc w:val="center"/>
              <w:rPr>
                <w:color w:val="000000"/>
                <w:sz w:val="20"/>
                <w:szCs w:val="20"/>
              </w:rPr>
            </w:pPr>
            <w:r w:rsidRPr="007C51D6">
              <w:rPr>
                <w:color w:val="000000"/>
                <w:sz w:val="20"/>
                <w:szCs w:val="20"/>
              </w:rPr>
              <w:t>21,5</w:t>
            </w:r>
          </w:p>
        </w:tc>
        <w:tc>
          <w:tcPr>
            <w:tcW w:w="1133" w:type="dxa"/>
          </w:tcPr>
          <w:p w:rsidR="00B93D5E" w:rsidRPr="007C51D6" w:rsidRDefault="00B93D5E" w:rsidP="00B93D5E">
            <w:pPr>
              <w:autoSpaceDE/>
              <w:autoSpaceDN/>
              <w:adjustRightInd/>
              <w:jc w:val="center"/>
              <w:rPr>
                <w:color w:val="000000"/>
                <w:sz w:val="20"/>
                <w:szCs w:val="20"/>
              </w:rPr>
            </w:pPr>
            <w:r w:rsidRPr="007C51D6">
              <w:rPr>
                <w:color w:val="000000"/>
                <w:sz w:val="20"/>
                <w:szCs w:val="20"/>
              </w:rPr>
              <w:t>23,8</w:t>
            </w:r>
          </w:p>
        </w:tc>
        <w:tc>
          <w:tcPr>
            <w:tcW w:w="1133" w:type="dxa"/>
          </w:tcPr>
          <w:p w:rsidR="00B93D5E" w:rsidRPr="007C51D6" w:rsidRDefault="00B93D5E" w:rsidP="00B93D5E">
            <w:pPr>
              <w:autoSpaceDE/>
              <w:autoSpaceDN/>
              <w:adjustRightInd/>
              <w:jc w:val="center"/>
              <w:rPr>
                <w:color w:val="000000"/>
                <w:sz w:val="20"/>
                <w:szCs w:val="20"/>
              </w:rPr>
            </w:pPr>
            <w:r w:rsidRPr="007C51D6">
              <w:rPr>
                <w:color w:val="000000"/>
                <w:sz w:val="20"/>
                <w:szCs w:val="20"/>
              </w:rPr>
              <w:t>30,5</w:t>
            </w:r>
          </w:p>
        </w:tc>
        <w:tc>
          <w:tcPr>
            <w:tcW w:w="948" w:type="dxa"/>
          </w:tcPr>
          <w:p w:rsidR="00B93D5E" w:rsidRPr="007C51D6" w:rsidRDefault="00B93D5E" w:rsidP="00B93D5E">
            <w:pPr>
              <w:autoSpaceDE/>
              <w:autoSpaceDN/>
              <w:adjustRightInd/>
              <w:jc w:val="center"/>
              <w:rPr>
                <w:color w:val="000000"/>
                <w:sz w:val="20"/>
                <w:szCs w:val="20"/>
              </w:rPr>
            </w:pPr>
            <w:r w:rsidRPr="007C51D6">
              <w:rPr>
                <w:color w:val="000000"/>
                <w:sz w:val="20"/>
                <w:szCs w:val="20"/>
              </w:rPr>
              <w:t>21,3</w:t>
            </w:r>
          </w:p>
        </w:tc>
        <w:tc>
          <w:tcPr>
            <w:tcW w:w="902" w:type="dxa"/>
          </w:tcPr>
          <w:p w:rsidR="00B93D5E" w:rsidRPr="007C51D6" w:rsidRDefault="00B93D5E" w:rsidP="00B93D5E">
            <w:pPr>
              <w:jc w:val="center"/>
              <w:rPr>
                <w:color w:val="000000"/>
                <w:sz w:val="20"/>
                <w:szCs w:val="20"/>
              </w:rPr>
            </w:pPr>
            <w:r w:rsidRPr="007C51D6">
              <w:rPr>
                <w:color w:val="000000"/>
                <w:sz w:val="20"/>
                <w:szCs w:val="20"/>
              </w:rPr>
              <w:t>20,71</w:t>
            </w:r>
          </w:p>
        </w:tc>
        <w:tc>
          <w:tcPr>
            <w:tcW w:w="911" w:type="dxa"/>
            <w:tcBorders>
              <w:right w:val="single" w:sz="4" w:space="0" w:color="auto"/>
            </w:tcBorders>
          </w:tcPr>
          <w:p w:rsidR="00B93D5E" w:rsidRPr="007C51D6" w:rsidRDefault="00B93D5E" w:rsidP="00B93D5E">
            <w:pPr>
              <w:jc w:val="center"/>
              <w:rPr>
                <w:color w:val="000000"/>
                <w:sz w:val="20"/>
                <w:szCs w:val="20"/>
              </w:rPr>
            </w:pPr>
            <w:r w:rsidRPr="007C51D6">
              <w:rPr>
                <w:color w:val="000000"/>
                <w:sz w:val="20"/>
                <w:szCs w:val="20"/>
              </w:rPr>
              <w:t>24,8</w:t>
            </w:r>
          </w:p>
        </w:tc>
        <w:tc>
          <w:tcPr>
            <w:tcW w:w="1216" w:type="dxa"/>
            <w:tcBorders>
              <w:left w:val="single" w:sz="4" w:space="0" w:color="auto"/>
            </w:tcBorders>
          </w:tcPr>
          <w:p w:rsidR="00B93D5E" w:rsidRPr="007C51D6" w:rsidRDefault="00B93D5E" w:rsidP="00B93D5E">
            <w:pPr>
              <w:jc w:val="center"/>
              <w:rPr>
                <w:color w:val="000000"/>
                <w:sz w:val="20"/>
                <w:szCs w:val="20"/>
              </w:rPr>
            </w:pPr>
            <w:r w:rsidRPr="007C51D6">
              <w:rPr>
                <w:color w:val="000000"/>
                <w:sz w:val="20"/>
                <w:szCs w:val="20"/>
              </w:rPr>
              <w:t>22,69</w:t>
            </w:r>
          </w:p>
        </w:tc>
        <w:tc>
          <w:tcPr>
            <w:tcW w:w="1216" w:type="dxa"/>
            <w:gridSpan w:val="2"/>
            <w:tcBorders>
              <w:left w:val="single" w:sz="4" w:space="0" w:color="auto"/>
            </w:tcBorders>
            <w:vAlign w:val="center"/>
          </w:tcPr>
          <w:p w:rsidR="00B93D5E" w:rsidRPr="007C51D6" w:rsidRDefault="00B93D5E" w:rsidP="00B93D5E">
            <w:pPr>
              <w:jc w:val="center"/>
              <w:rPr>
                <w:color w:val="000000"/>
                <w:sz w:val="20"/>
                <w:szCs w:val="20"/>
              </w:rPr>
            </w:pPr>
            <w:r w:rsidRPr="007C51D6">
              <w:rPr>
                <w:color w:val="000000"/>
                <w:sz w:val="20"/>
                <w:szCs w:val="20"/>
              </w:rPr>
              <w:t>21.88</w:t>
            </w:r>
          </w:p>
        </w:tc>
      </w:tr>
      <w:tr w:rsidR="00B93D5E" w:rsidRPr="007C51D6" w:rsidTr="006A40DD">
        <w:trPr>
          <w:trHeight w:val="20"/>
        </w:trPr>
        <w:tc>
          <w:tcPr>
            <w:tcW w:w="4528" w:type="dxa"/>
            <w:tcBorders>
              <w:right w:val="single" w:sz="4" w:space="0" w:color="auto"/>
            </w:tcBorders>
          </w:tcPr>
          <w:p w:rsidR="00B93D5E" w:rsidRPr="007C51D6" w:rsidRDefault="00B93D5E" w:rsidP="00B93D5E">
            <w:pPr>
              <w:autoSpaceDE/>
              <w:autoSpaceDN/>
              <w:adjustRightInd/>
              <w:jc w:val="both"/>
              <w:rPr>
                <w:color w:val="000000"/>
                <w:sz w:val="20"/>
                <w:szCs w:val="20"/>
              </w:rPr>
            </w:pPr>
            <w:r w:rsidRPr="007C51D6">
              <w:rPr>
                <w:color w:val="000000"/>
                <w:sz w:val="20"/>
                <w:szCs w:val="20"/>
              </w:rPr>
              <w:t xml:space="preserve">полость рта </w:t>
            </w:r>
          </w:p>
        </w:tc>
        <w:tc>
          <w:tcPr>
            <w:tcW w:w="938" w:type="dxa"/>
            <w:tcBorders>
              <w:left w:val="single" w:sz="4" w:space="0" w:color="auto"/>
              <w:right w:val="single" w:sz="4" w:space="0" w:color="auto"/>
            </w:tcBorders>
          </w:tcPr>
          <w:p w:rsidR="00B93D5E" w:rsidRPr="007C51D6" w:rsidRDefault="00B93D5E" w:rsidP="00B93D5E">
            <w:pPr>
              <w:autoSpaceDE/>
              <w:autoSpaceDN/>
              <w:adjustRightInd/>
              <w:jc w:val="center"/>
              <w:rPr>
                <w:color w:val="000000"/>
                <w:sz w:val="20"/>
                <w:szCs w:val="20"/>
              </w:rPr>
            </w:pPr>
            <w:r w:rsidRPr="007C51D6">
              <w:rPr>
                <w:color w:val="000000"/>
                <w:sz w:val="20"/>
                <w:szCs w:val="20"/>
              </w:rPr>
              <w:t>39,3</w:t>
            </w:r>
          </w:p>
        </w:tc>
        <w:tc>
          <w:tcPr>
            <w:tcW w:w="1224" w:type="dxa"/>
            <w:tcBorders>
              <w:left w:val="single" w:sz="4" w:space="0" w:color="auto"/>
            </w:tcBorders>
          </w:tcPr>
          <w:p w:rsidR="00B93D5E" w:rsidRPr="007C51D6" w:rsidRDefault="00B93D5E" w:rsidP="00B93D5E">
            <w:pPr>
              <w:autoSpaceDE/>
              <w:autoSpaceDN/>
              <w:adjustRightInd/>
              <w:jc w:val="center"/>
              <w:rPr>
                <w:color w:val="000000"/>
                <w:sz w:val="20"/>
                <w:szCs w:val="20"/>
              </w:rPr>
            </w:pPr>
            <w:r w:rsidRPr="007C51D6">
              <w:rPr>
                <w:color w:val="000000"/>
                <w:sz w:val="20"/>
                <w:szCs w:val="20"/>
              </w:rPr>
              <w:t>32,3</w:t>
            </w:r>
          </w:p>
        </w:tc>
        <w:tc>
          <w:tcPr>
            <w:tcW w:w="1133" w:type="dxa"/>
          </w:tcPr>
          <w:p w:rsidR="00B93D5E" w:rsidRPr="007C51D6" w:rsidRDefault="00B93D5E" w:rsidP="00B93D5E">
            <w:pPr>
              <w:autoSpaceDE/>
              <w:autoSpaceDN/>
              <w:adjustRightInd/>
              <w:jc w:val="center"/>
              <w:rPr>
                <w:color w:val="000000"/>
                <w:sz w:val="20"/>
                <w:szCs w:val="20"/>
              </w:rPr>
            </w:pPr>
            <w:r w:rsidRPr="007C51D6">
              <w:rPr>
                <w:color w:val="000000"/>
                <w:sz w:val="20"/>
                <w:szCs w:val="20"/>
              </w:rPr>
              <w:t>36,5</w:t>
            </w:r>
          </w:p>
        </w:tc>
        <w:tc>
          <w:tcPr>
            <w:tcW w:w="1133" w:type="dxa"/>
          </w:tcPr>
          <w:p w:rsidR="00B93D5E" w:rsidRPr="007C51D6" w:rsidRDefault="00B93D5E" w:rsidP="00B93D5E">
            <w:pPr>
              <w:autoSpaceDE/>
              <w:autoSpaceDN/>
              <w:adjustRightInd/>
              <w:jc w:val="center"/>
              <w:rPr>
                <w:color w:val="000000"/>
                <w:sz w:val="20"/>
                <w:szCs w:val="20"/>
              </w:rPr>
            </w:pPr>
            <w:r w:rsidRPr="007C51D6">
              <w:rPr>
                <w:color w:val="000000"/>
                <w:sz w:val="20"/>
                <w:szCs w:val="20"/>
              </w:rPr>
              <w:t>35,6</w:t>
            </w:r>
          </w:p>
        </w:tc>
        <w:tc>
          <w:tcPr>
            <w:tcW w:w="1133" w:type="dxa"/>
          </w:tcPr>
          <w:p w:rsidR="00B93D5E" w:rsidRPr="007C51D6" w:rsidRDefault="00B93D5E" w:rsidP="00B93D5E">
            <w:pPr>
              <w:autoSpaceDE/>
              <w:autoSpaceDN/>
              <w:adjustRightInd/>
              <w:jc w:val="center"/>
              <w:rPr>
                <w:color w:val="000000"/>
                <w:sz w:val="20"/>
                <w:szCs w:val="20"/>
              </w:rPr>
            </w:pPr>
            <w:r w:rsidRPr="007C51D6">
              <w:rPr>
                <w:color w:val="000000"/>
                <w:sz w:val="20"/>
                <w:szCs w:val="20"/>
              </w:rPr>
              <w:t>29,1</w:t>
            </w:r>
          </w:p>
        </w:tc>
        <w:tc>
          <w:tcPr>
            <w:tcW w:w="948" w:type="dxa"/>
          </w:tcPr>
          <w:p w:rsidR="00B93D5E" w:rsidRPr="007C51D6" w:rsidRDefault="00B93D5E" w:rsidP="00B93D5E">
            <w:pPr>
              <w:autoSpaceDE/>
              <w:autoSpaceDN/>
              <w:adjustRightInd/>
              <w:jc w:val="center"/>
              <w:rPr>
                <w:color w:val="000000"/>
                <w:sz w:val="20"/>
                <w:szCs w:val="20"/>
              </w:rPr>
            </w:pPr>
            <w:r w:rsidRPr="007C51D6">
              <w:rPr>
                <w:color w:val="000000"/>
                <w:sz w:val="20"/>
                <w:szCs w:val="20"/>
              </w:rPr>
              <w:t>27,4</w:t>
            </w:r>
          </w:p>
        </w:tc>
        <w:tc>
          <w:tcPr>
            <w:tcW w:w="902" w:type="dxa"/>
          </w:tcPr>
          <w:p w:rsidR="00B93D5E" w:rsidRPr="007C51D6" w:rsidRDefault="00B93D5E" w:rsidP="00B93D5E">
            <w:pPr>
              <w:jc w:val="center"/>
              <w:rPr>
                <w:color w:val="000000"/>
                <w:sz w:val="20"/>
                <w:szCs w:val="20"/>
              </w:rPr>
            </w:pPr>
            <w:r w:rsidRPr="007C51D6">
              <w:rPr>
                <w:color w:val="000000"/>
                <w:sz w:val="20"/>
                <w:szCs w:val="20"/>
              </w:rPr>
              <w:t>30,05</w:t>
            </w:r>
          </w:p>
        </w:tc>
        <w:tc>
          <w:tcPr>
            <w:tcW w:w="911" w:type="dxa"/>
            <w:tcBorders>
              <w:right w:val="single" w:sz="4" w:space="0" w:color="auto"/>
            </w:tcBorders>
          </w:tcPr>
          <w:p w:rsidR="00B93D5E" w:rsidRPr="007C51D6" w:rsidRDefault="00B93D5E" w:rsidP="00B93D5E">
            <w:pPr>
              <w:jc w:val="center"/>
              <w:rPr>
                <w:color w:val="000000"/>
                <w:sz w:val="20"/>
                <w:szCs w:val="20"/>
              </w:rPr>
            </w:pPr>
            <w:r w:rsidRPr="007C51D6">
              <w:rPr>
                <w:color w:val="000000"/>
                <w:sz w:val="20"/>
                <w:szCs w:val="20"/>
              </w:rPr>
              <w:t>24,2</w:t>
            </w:r>
          </w:p>
        </w:tc>
        <w:tc>
          <w:tcPr>
            <w:tcW w:w="1216" w:type="dxa"/>
            <w:tcBorders>
              <w:left w:val="single" w:sz="4" w:space="0" w:color="auto"/>
            </w:tcBorders>
          </w:tcPr>
          <w:p w:rsidR="00B93D5E" w:rsidRPr="007C51D6" w:rsidRDefault="00B93D5E" w:rsidP="00B93D5E">
            <w:pPr>
              <w:jc w:val="center"/>
              <w:rPr>
                <w:color w:val="000000"/>
                <w:sz w:val="20"/>
                <w:szCs w:val="20"/>
              </w:rPr>
            </w:pPr>
            <w:r w:rsidRPr="007C51D6">
              <w:rPr>
                <w:color w:val="000000"/>
                <w:sz w:val="20"/>
                <w:szCs w:val="20"/>
              </w:rPr>
              <w:t>30,36</w:t>
            </w:r>
          </w:p>
        </w:tc>
        <w:tc>
          <w:tcPr>
            <w:tcW w:w="1216" w:type="dxa"/>
            <w:gridSpan w:val="2"/>
            <w:tcBorders>
              <w:left w:val="single" w:sz="4" w:space="0" w:color="auto"/>
            </w:tcBorders>
            <w:vAlign w:val="center"/>
          </w:tcPr>
          <w:p w:rsidR="00B93D5E" w:rsidRPr="007C51D6" w:rsidRDefault="00B93D5E" w:rsidP="00B93D5E">
            <w:pPr>
              <w:jc w:val="center"/>
              <w:rPr>
                <w:color w:val="000000"/>
                <w:sz w:val="20"/>
                <w:szCs w:val="20"/>
              </w:rPr>
            </w:pPr>
            <w:r w:rsidRPr="007C51D6">
              <w:rPr>
                <w:color w:val="000000"/>
                <w:sz w:val="20"/>
                <w:szCs w:val="20"/>
              </w:rPr>
              <w:t>27.19</w:t>
            </w:r>
          </w:p>
        </w:tc>
      </w:tr>
      <w:tr w:rsidR="00B93D5E" w:rsidRPr="007C51D6" w:rsidTr="006A40DD">
        <w:trPr>
          <w:trHeight w:val="20"/>
        </w:trPr>
        <w:tc>
          <w:tcPr>
            <w:tcW w:w="4528" w:type="dxa"/>
            <w:tcBorders>
              <w:right w:val="single" w:sz="4" w:space="0" w:color="auto"/>
            </w:tcBorders>
          </w:tcPr>
          <w:p w:rsidR="00B93D5E" w:rsidRPr="007C51D6" w:rsidRDefault="00B93D5E" w:rsidP="00B93D5E">
            <w:pPr>
              <w:autoSpaceDE/>
              <w:autoSpaceDN/>
              <w:adjustRightInd/>
              <w:jc w:val="both"/>
              <w:rPr>
                <w:color w:val="000000"/>
                <w:sz w:val="20"/>
                <w:szCs w:val="20"/>
              </w:rPr>
            </w:pPr>
            <w:r w:rsidRPr="007C51D6">
              <w:rPr>
                <w:color w:val="000000"/>
                <w:sz w:val="20"/>
                <w:szCs w:val="20"/>
              </w:rPr>
              <w:t>лейкемия</w:t>
            </w:r>
          </w:p>
        </w:tc>
        <w:tc>
          <w:tcPr>
            <w:tcW w:w="938" w:type="dxa"/>
            <w:tcBorders>
              <w:left w:val="single" w:sz="4" w:space="0" w:color="auto"/>
              <w:right w:val="single" w:sz="4" w:space="0" w:color="auto"/>
            </w:tcBorders>
          </w:tcPr>
          <w:p w:rsidR="00B93D5E" w:rsidRPr="007C51D6" w:rsidRDefault="00B93D5E" w:rsidP="00B93D5E">
            <w:pPr>
              <w:autoSpaceDE/>
              <w:autoSpaceDN/>
              <w:adjustRightInd/>
              <w:jc w:val="center"/>
              <w:rPr>
                <w:color w:val="000000"/>
                <w:sz w:val="20"/>
                <w:szCs w:val="20"/>
              </w:rPr>
            </w:pPr>
            <w:r w:rsidRPr="007C51D6">
              <w:rPr>
                <w:color w:val="000000"/>
                <w:sz w:val="20"/>
                <w:szCs w:val="20"/>
              </w:rPr>
              <w:t>16,4</w:t>
            </w:r>
          </w:p>
        </w:tc>
        <w:tc>
          <w:tcPr>
            <w:tcW w:w="1224" w:type="dxa"/>
            <w:tcBorders>
              <w:left w:val="single" w:sz="4" w:space="0" w:color="auto"/>
            </w:tcBorders>
          </w:tcPr>
          <w:p w:rsidR="00B93D5E" w:rsidRPr="007C51D6" w:rsidRDefault="00B93D5E" w:rsidP="00B93D5E">
            <w:pPr>
              <w:autoSpaceDE/>
              <w:autoSpaceDN/>
              <w:adjustRightInd/>
              <w:jc w:val="center"/>
              <w:rPr>
                <w:color w:val="000000"/>
                <w:sz w:val="20"/>
                <w:szCs w:val="20"/>
              </w:rPr>
            </w:pPr>
            <w:r w:rsidRPr="007C51D6">
              <w:rPr>
                <w:color w:val="000000"/>
                <w:sz w:val="20"/>
                <w:szCs w:val="20"/>
              </w:rPr>
              <w:t>17,1</w:t>
            </w:r>
          </w:p>
        </w:tc>
        <w:tc>
          <w:tcPr>
            <w:tcW w:w="1133" w:type="dxa"/>
          </w:tcPr>
          <w:p w:rsidR="00B93D5E" w:rsidRPr="007C51D6" w:rsidRDefault="00B93D5E" w:rsidP="00B93D5E">
            <w:pPr>
              <w:autoSpaceDE/>
              <w:autoSpaceDN/>
              <w:adjustRightInd/>
              <w:jc w:val="center"/>
              <w:rPr>
                <w:color w:val="000000"/>
                <w:sz w:val="20"/>
                <w:szCs w:val="20"/>
              </w:rPr>
            </w:pPr>
            <w:r w:rsidRPr="007C51D6">
              <w:rPr>
                <w:color w:val="000000"/>
                <w:sz w:val="20"/>
                <w:szCs w:val="20"/>
              </w:rPr>
              <w:t>25,6</w:t>
            </w:r>
          </w:p>
        </w:tc>
        <w:tc>
          <w:tcPr>
            <w:tcW w:w="1133" w:type="dxa"/>
          </w:tcPr>
          <w:p w:rsidR="00B93D5E" w:rsidRPr="007C51D6" w:rsidRDefault="00B93D5E" w:rsidP="00B93D5E">
            <w:pPr>
              <w:autoSpaceDE/>
              <w:autoSpaceDN/>
              <w:adjustRightInd/>
              <w:jc w:val="center"/>
              <w:rPr>
                <w:color w:val="000000"/>
                <w:sz w:val="20"/>
                <w:szCs w:val="20"/>
              </w:rPr>
            </w:pPr>
            <w:r w:rsidRPr="007C51D6">
              <w:rPr>
                <w:color w:val="000000"/>
                <w:sz w:val="20"/>
                <w:szCs w:val="20"/>
              </w:rPr>
              <w:t>22,2</w:t>
            </w:r>
          </w:p>
        </w:tc>
        <w:tc>
          <w:tcPr>
            <w:tcW w:w="1133" w:type="dxa"/>
          </w:tcPr>
          <w:p w:rsidR="00B93D5E" w:rsidRPr="007C51D6" w:rsidRDefault="00B93D5E" w:rsidP="00B93D5E">
            <w:pPr>
              <w:autoSpaceDE/>
              <w:autoSpaceDN/>
              <w:adjustRightInd/>
              <w:jc w:val="center"/>
              <w:rPr>
                <w:color w:val="000000"/>
                <w:sz w:val="20"/>
                <w:szCs w:val="20"/>
              </w:rPr>
            </w:pPr>
            <w:r w:rsidRPr="007C51D6">
              <w:rPr>
                <w:color w:val="000000"/>
                <w:sz w:val="20"/>
                <w:szCs w:val="20"/>
              </w:rPr>
              <w:t>28,4</w:t>
            </w:r>
          </w:p>
        </w:tc>
        <w:tc>
          <w:tcPr>
            <w:tcW w:w="948" w:type="dxa"/>
          </w:tcPr>
          <w:p w:rsidR="00B93D5E" w:rsidRPr="007C51D6" w:rsidRDefault="00B93D5E" w:rsidP="00B93D5E">
            <w:pPr>
              <w:autoSpaceDE/>
              <w:autoSpaceDN/>
              <w:adjustRightInd/>
              <w:jc w:val="center"/>
              <w:rPr>
                <w:color w:val="000000"/>
                <w:sz w:val="20"/>
                <w:szCs w:val="20"/>
              </w:rPr>
            </w:pPr>
            <w:r w:rsidRPr="007C51D6">
              <w:rPr>
                <w:color w:val="000000"/>
                <w:sz w:val="20"/>
                <w:szCs w:val="20"/>
              </w:rPr>
              <w:t>23,0</w:t>
            </w:r>
          </w:p>
        </w:tc>
        <w:tc>
          <w:tcPr>
            <w:tcW w:w="902" w:type="dxa"/>
          </w:tcPr>
          <w:p w:rsidR="00B93D5E" w:rsidRPr="007C51D6" w:rsidRDefault="00B93D5E" w:rsidP="00B93D5E">
            <w:pPr>
              <w:jc w:val="center"/>
              <w:rPr>
                <w:color w:val="000000"/>
                <w:sz w:val="20"/>
                <w:szCs w:val="20"/>
              </w:rPr>
            </w:pPr>
            <w:r w:rsidRPr="007C51D6">
              <w:rPr>
                <w:color w:val="000000"/>
                <w:sz w:val="20"/>
                <w:szCs w:val="20"/>
              </w:rPr>
              <w:t>24,92</w:t>
            </w:r>
          </w:p>
        </w:tc>
        <w:tc>
          <w:tcPr>
            <w:tcW w:w="911" w:type="dxa"/>
            <w:tcBorders>
              <w:right w:val="single" w:sz="4" w:space="0" w:color="auto"/>
            </w:tcBorders>
          </w:tcPr>
          <w:p w:rsidR="00B93D5E" w:rsidRPr="007C51D6" w:rsidRDefault="00B93D5E" w:rsidP="00B93D5E">
            <w:pPr>
              <w:jc w:val="center"/>
              <w:rPr>
                <w:color w:val="000000"/>
                <w:sz w:val="20"/>
                <w:szCs w:val="20"/>
              </w:rPr>
            </w:pPr>
            <w:r w:rsidRPr="007C51D6">
              <w:rPr>
                <w:color w:val="000000"/>
                <w:sz w:val="20"/>
                <w:szCs w:val="20"/>
              </w:rPr>
              <w:t>10,4</w:t>
            </w:r>
          </w:p>
        </w:tc>
        <w:tc>
          <w:tcPr>
            <w:tcW w:w="1216" w:type="dxa"/>
            <w:tcBorders>
              <w:left w:val="single" w:sz="4" w:space="0" w:color="auto"/>
            </w:tcBorders>
          </w:tcPr>
          <w:p w:rsidR="00B93D5E" w:rsidRPr="007C51D6" w:rsidRDefault="00B93D5E" w:rsidP="00B93D5E">
            <w:pPr>
              <w:jc w:val="center"/>
              <w:rPr>
                <w:color w:val="000000"/>
                <w:sz w:val="20"/>
                <w:szCs w:val="20"/>
              </w:rPr>
            </w:pPr>
            <w:r w:rsidRPr="007C51D6">
              <w:rPr>
                <w:color w:val="000000"/>
                <w:sz w:val="20"/>
                <w:szCs w:val="20"/>
              </w:rPr>
              <w:t>13,19</w:t>
            </w:r>
          </w:p>
        </w:tc>
        <w:tc>
          <w:tcPr>
            <w:tcW w:w="1216" w:type="dxa"/>
            <w:gridSpan w:val="2"/>
            <w:tcBorders>
              <w:left w:val="single" w:sz="4" w:space="0" w:color="auto"/>
            </w:tcBorders>
            <w:vAlign w:val="center"/>
          </w:tcPr>
          <w:p w:rsidR="00B93D5E" w:rsidRPr="007C51D6" w:rsidRDefault="00B93D5E" w:rsidP="00B93D5E">
            <w:pPr>
              <w:jc w:val="center"/>
              <w:rPr>
                <w:color w:val="000000"/>
                <w:sz w:val="20"/>
                <w:szCs w:val="20"/>
              </w:rPr>
            </w:pPr>
            <w:r w:rsidRPr="007C51D6">
              <w:rPr>
                <w:color w:val="000000"/>
                <w:sz w:val="20"/>
                <w:szCs w:val="20"/>
              </w:rPr>
              <w:t>11.95</w:t>
            </w:r>
          </w:p>
        </w:tc>
      </w:tr>
      <w:tr w:rsidR="00B93D5E" w:rsidRPr="007C51D6" w:rsidTr="006A40DD">
        <w:trPr>
          <w:trHeight w:val="20"/>
        </w:trPr>
        <w:tc>
          <w:tcPr>
            <w:tcW w:w="4528" w:type="dxa"/>
            <w:tcBorders>
              <w:right w:val="single" w:sz="4" w:space="0" w:color="auto"/>
            </w:tcBorders>
          </w:tcPr>
          <w:p w:rsidR="00B93D5E" w:rsidRPr="007C51D6" w:rsidRDefault="00B93D5E" w:rsidP="00B93D5E">
            <w:pPr>
              <w:autoSpaceDE/>
              <w:autoSpaceDN/>
              <w:adjustRightInd/>
              <w:jc w:val="both"/>
              <w:rPr>
                <w:color w:val="000000"/>
                <w:sz w:val="20"/>
                <w:szCs w:val="20"/>
              </w:rPr>
            </w:pPr>
            <w:r w:rsidRPr="007C51D6">
              <w:rPr>
                <w:color w:val="000000"/>
                <w:sz w:val="20"/>
                <w:szCs w:val="20"/>
              </w:rPr>
              <w:t>гортани</w:t>
            </w:r>
          </w:p>
        </w:tc>
        <w:tc>
          <w:tcPr>
            <w:tcW w:w="938" w:type="dxa"/>
            <w:tcBorders>
              <w:left w:val="single" w:sz="4" w:space="0" w:color="auto"/>
              <w:right w:val="single" w:sz="4" w:space="0" w:color="auto"/>
            </w:tcBorders>
          </w:tcPr>
          <w:p w:rsidR="00B93D5E" w:rsidRPr="007C51D6" w:rsidRDefault="00B93D5E" w:rsidP="00B93D5E">
            <w:pPr>
              <w:autoSpaceDE/>
              <w:autoSpaceDN/>
              <w:adjustRightInd/>
              <w:jc w:val="center"/>
              <w:rPr>
                <w:color w:val="000000"/>
                <w:sz w:val="20"/>
                <w:szCs w:val="20"/>
              </w:rPr>
            </w:pPr>
            <w:r w:rsidRPr="007C51D6">
              <w:rPr>
                <w:color w:val="000000"/>
                <w:sz w:val="20"/>
                <w:szCs w:val="20"/>
              </w:rPr>
              <w:t>23,3</w:t>
            </w:r>
          </w:p>
        </w:tc>
        <w:tc>
          <w:tcPr>
            <w:tcW w:w="1224" w:type="dxa"/>
            <w:tcBorders>
              <w:left w:val="single" w:sz="4" w:space="0" w:color="auto"/>
            </w:tcBorders>
          </w:tcPr>
          <w:p w:rsidR="00B93D5E" w:rsidRPr="007C51D6" w:rsidRDefault="00B93D5E" w:rsidP="00B93D5E">
            <w:pPr>
              <w:autoSpaceDE/>
              <w:autoSpaceDN/>
              <w:adjustRightInd/>
              <w:jc w:val="center"/>
              <w:rPr>
                <w:color w:val="000000"/>
                <w:sz w:val="20"/>
                <w:szCs w:val="20"/>
              </w:rPr>
            </w:pPr>
            <w:r w:rsidRPr="007C51D6">
              <w:rPr>
                <w:color w:val="000000"/>
                <w:sz w:val="20"/>
                <w:szCs w:val="20"/>
              </w:rPr>
              <w:t>18,3</w:t>
            </w:r>
          </w:p>
        </w:tc>
        <w:tc>
          <w:tcPr>
            <w:tcW w:w="1133" w:type="dxa"/>
          </w:tcPr>
          <w:p w:rsidR="00B93D5E" w:rsidRPr="007C51D6" w:rsidRDefault="00B93D5E" w:rsidP="00B93D5E">
            <w:pPr>
              <w:autoSpaceDE/>
              <w:autoSpaceDN/>
              <w:adjustRightInd/>
              <w:jc w:val="center"/>
              <w:rPr>
                <w:color w:val="000000"/>
                <w:sz w:val="20"/>
                <w:szCs w:val="20"/>
              </w:rPr>
            </w:pPr>
            <w:r w:rsidRPr="007C51D6">
              <w:rPr>
                <w:color w:val="000000"/>
                <w:sz w:val="20"/>
                <w:szCs w:val="20"/>
              </w:rPr>
              <w:t>15,0</w:t>
            </w:r>
          </w:p>
        </w:tc>
        <w:tc>
          <w:tcPr>
            <w:tcW w:w="1133" w:type="dxa"/>
          </w:tcPr>
          <w:p w:rsidR="00B93D5E" w:rsidRPr="007C51D6" w:rsidRDefault="00B93D5E" w:rsidP="00B93D5E">
            <w:pPr>
              <w:autoSpaceDE/>
              <w:autoSpaceDN/>
              <w:adjustRightInd/>
              <w:jc w:val="center"/>
              <w:rPr>
                <w:color w:val="000000"/>
                <w:sz w:val="20"/>
                <w:szCs w:val="20"/>
              </w:rPr>
            </w:pPr>
            <w:r w:rsidRPr="007C51D6">
              <w:rPr>
                <w:color w:val="000000"/>
                <w:sz w:val="20"/>
                <w:szCs w:val="20"/>
              </w:rPr>
              <w:t>18,8</w:t>
            </w:r>
          </w:p>
        </w:tc>
        <w:tc>
          <w:tcPr>
            <w:tcW w:w="1133" w:type="dxa"/>
          </w:tcPr>
          <w:p w:rsidR="00B93D5E" w:rsidRPr="007C51D6" w:rsidRDefault="00B93D5E" w:rsidP="00B93D5E">
            <w:pPr>
              <w:autoSpaceDE/>
              <w:autoSpaceDN/>
              <w:adjustRightInd/>
              <w:jc w:val="center"/>
              <w:rPr>
                <w:color w:val="000000"/>
                <w:sz w:val="20"/>
                <w:szCs w:val="20"/>
              </w:rPr>
            </w:pPr>
            <w:r w:rsidRPr="007C51D6">
              <w:rPr>
                <w:color w:val="000000"/>
                <w:sz w:val="20"/>
                <w:szCs w:val="20"/>
              </w:rPr>
              <w:t>24,4</w:t>
            </w:r>
          </w:p>
        </w:tc>
        <w:tc>
          <w:tcPr>
            <w:tcW w:w="948" w:type="dxa"/>
          </w:tcPr>
          <w:p w:rsidR="00B93D5E" w:rsidRPr="007C51D6" w:rsidRDefault="00B93D5E" w:rsidP="00B93D5E">
            <w:pPr>
              <w:autoSpaceDE/>
              <w:autoSpaceDN/>
              <w:adjustRightInd/>
              <w:jc w:val="center"/>
              <w:rPr>
                <w:color w:val="000000"/>
                <w:sz w:val="20"/>
                <w:szCs w:val="20"/>
              </w:rPr>
            </w:pPr>
            <w:r w:rsidRPr="007C51D6">
              <w:rPr>
                <w:color w:val="000000"/>
                <w:sz w:val="20"/>
                <w:szCs w:val="20"/>
              </w:rPr>
              <w:t>18,6</w:t>
            </w:r>
          </w:p>
        </w:tc>
        <w:tc>
          <w:tcPr>
            <w:tcW w:w="902" w:type="dxa"/>
          </w:tcPr>
          <w:p w:rsidR="00B93D5E" w:rsidRPr="007C51D6" w:rsidRDefault="00B93D5E" w:rsidP="00B93D5E">
            <w:pPr>
              <w:jc w:val="center"/>
              <w:rPr>
                <w:color w:val="000000"/>
                <w:sz w:val="20"/>
                <w:szCs w:val="20"/>
              </w:rPr>
            </w:pPr>
            <w:r w:rsidRPr="007C51D6">
              <w:rPr>
                <w:color w:val="000000"/>
                <w:sz w:val="20"/>
                <w:szCs w:val="20"/>
              </w:rPr>
              <w:t>18,95</w:t>
            </w:r>
          </w:p>
        </w:tc>
        <w:tc>
          <w:tcPr>
            <w:tcW w:w="911" w:type="dxa"/>
            <w:tcBorders>
              <w:right w:val="single" w:sz="4" w:space="0" w:color="auto"/>
            </w:tcBorders>
          </w:tcPr>
          <w:p w:rsidR="00B93D5E" w:rsidRPr="007C51D6" w:rsidRDefault="00B93D5E" w:rsidP="00B93D5E">
            <w:pPr>
              <w:jc w:val="center"/>
              <w:rPr>
                <w:color w:val="000000"/>
                <w:sz w:val="20"/>
                <w:szCs w:val="20"/>
              </w:rPr>
            </w:pPr>
            <w:r w:rsidRPr="007C51D6">
              <w:rPr>
                <w:color w:val="000000"/>
                <w:sz w:val="20"/>
                <w:szCs w:val="20"/>
              </w:rPr>
              <w:t>21,6</w:t>
            </w:r>
          </w:p>
        </w:tc>
        <w:tc>
          <w:tcPr>
            <w:tcW w:w="1216" w:type="dxa"/>
            <w:tcBorders>
              <w:left w:val="single" w:sz="4" w:space="0" w:color="auto"/>
            </w:tcBorders>
          </w:tcPr>
          <w:p w:rsidR="00B93D5E" w:rsidRPr="007C51D6" w:rsidRDefault="00B93D5E" w:rsidP="00B93D5E">
            <w:pPr>
              <w:jc w:val="center"/>
              <w:rPr>
                <w:color w:val="000000"/>
                <w:sz w:val="20"/>
                <w:szCs w:val="20"/>
              </w:rPr>
            </w:pPr>
            <w:r w:rsidRPr="007C51D6">
              <w:rPr>
                <w:color w:val="000000"/>
                <w:sz w:val="20"/>
                <w:szCs w:val="20"/>
              </w:rPr>
              <w:t>18,49</w:t>
            </w:r>
          </w:p>
        </w:tc>
        <w:tc>
          <w:tcPr>
            <w:tcW w:w="1216" w:type="dxa"/>
            <w:gridSpan w:val="2"/>
            <w:tcBorders>
              <w:left w:val="single" w:sz="4" w:space="0" w:color="auto"/>
            </w:tcBorders>
            <w:vAlign w:val="center"/>
          </w:tcPr>
          <w:p w:rsidR="00B93D5E" w:rsidRPr="007C51D6" w:rsidRDefault="00B93D5E" w:rsidP="00B93D5E">
            <w:pPr>
              <w:jc w:val="center"/>
              <w:rPr>
                <w:color w:val="000000"/>
                <w:sz w:val="20"/>
                <w:szCs w:val="20"/>
              </w:rPr>
            </w:pPr>
            <w:r w:rsidRPr="007C51D6">
              <w:rPr>
                <w:color w:val="000000"/>
                <w:sz w:val="20"/>
                <w:szCs w:val="20"/>
              </w:rPr>
              <w:t>26.19</w:t>
            </w:r>
          </w:p>
        </w:tc>
      </w:tr>
    </w:tbl>
    <w:p w:rsidR="006F2E41" w:rsidRPr="007C51D6" w:rsidRDefault="006F2E41">
      <w:pPr>
        <w:rPr>
          <w:sz w:val="2"/>
          <w:szCs w:val="2"/>
        </w:rPr>
      </w:pPr>
    </w:p>
    <w:p w:rsidR="003D0655" w:rsidRPr="007C51D6" w:rsidRDefault="003D0655" w:rsidP="00011F64">
      <w:pPr>
        <w:autoSpaceDE/>
        <w:autoSpaceDN/>
        <w:adjustRightInd/>
        <w:ind w:right="-598"/>
        <w:rPr>
          <w:rFonts w:eastAsia="Arial"/>
          <w:sz w:val="20"/>
          <w:szCs w:val="20"/>
        </w:rPr>
      </w:pPr>
    </w:p>
    <w:p w:rsidR="00011F64" w:rsidRPr="007C51D6" w:rsidRDefault="003D0655" w:rsidP="00BB4665">
      <w:pPr>
        <w:autoSpaceDE/>
        <w:autoSpaceDN/>
        <w:adjustRightInd/>
        <w:ind w:right="-598" w:firstLine="709"/>
        <w:rPr>
          <w:rFonts w:eastAsia="Arial"/>
          <w:sz w:val="28"/>
          <w:szCs w:val="28"/>
        </w:rPr>
      </w:pPr>
      <w:r w:rsidRPr="007C51D6">
        <w:rPr>
          <w:rFonts w:eastAsia="Arial"/>
          <w:sz w:val="20"/>
          <w:szCs w:val="20"/>
        </w:rPr>
        <w:t>*</w:t>
      </w:r>
      <w:r w:rsidR="00011F64" w:rsidRPr="007C51D6">
        <w:rPr>
          <w:rFonts w:eastAsia="Arial"/>
          <w:sz w:val="20"/>
          <w:szCs w:val="20"/>
        </w:rPr>
        <w:t>Представлены оперативные данные</w:t>
      </w:r>
      <w:r w:rsidRPr="007C51D6">
        <w:rPr>
          <w:rFonts w:eastAsia="Arial"/>
          <w:sz w:val="20"/>
          <w:szCs w:val="20"/>
        </w:rPr>
        <w:t>.</w:t>
      </w:r>
    </w:p>
    <w:p w:rsidR="006C3162" w:rsidRPr="007C51D6" w:rsidRDefault="006C3162" w:rsidP="00A63965">
      <w:pPr>
        <w:autoSpaceDE/>
        <w:autoSpaceDN/>
        <w:adjustRightInd/>
        <w:ind w:left="6373" w:firstLine="709"/>
        <w:jc w:val="right"/>
        <w:rPr>
          <w:rFonts w:eastAsia="Arial"/>
          <w:sz w:val="28"/>
          <w:szCs w:val="28"/>
        </w:rPr>
      </w:pPr>
    </w:p>
    <w:p w:rsidR="002F20A6" w:rsidRPr="007C51D6" w:rsidRDefault="002F20A6" w:rsidP="002F20A6">
      <w:pPr>
        <w:autoSpaceDE/>
        <w:autoSpaceDN/>
        <w:adjustRightInd/>
        <w:ind w:firstLine="709"/>
        <w:jc w:val="both"/>
        <w:rPr>
          <w:rFonts w:eastAsia="Arial"/>
          <w:sz w:val="28"/>
          <w:szCs w:val="28"/>
        </w:rPr>
      </w:pPr>
      <w:r w:rsidRPr="007C51D6">
        <w:rPr>
          <w:rFonts w:eastAsia="Arial"/>
          <w:sz w:val="28"/>
          <w:szCs w:val="28"/>
        </w:rPr>
        <w:t>В 202</w:t>
      </w:r>
      <w:r w:rsidR="00E84C0D" w:rsidRPr="007C51D6">
        <w:rPr>
          <w:rFonts w:eastAsia="Arial"/>
          <w:sz w:val="28"/>
          <w:szCs w:val="28"/>
        </w:rPr>
        <w:t>5</w:t>
      </w:r>
      <w:r w:rsidRPr="007C51D6">
        <w:rPr>
          <w:rFonts w:eastAsia="Arial"/>
          <w:sz w:val="28"/>
          <w:szCs w:val="28"/>
        </w:rPr>
        <w:t xml:space="preserve"> году по отношению к 201</w:t>
      </w:r>
      <w:r w:rsidR="00E84C0D" w:rsidRPr="007C51D6">
        <w:rPr>
          <w:rFonts w:eastAsia="Arial"/>
          <w:sz w:val="28"/>
          <w:szCs w:val="28"/>
        </w:rPr>
        <w:t>6</w:t>
      </w:r>
      <w:r w:rsidRPr="007C51D6">
        <w:rPr>
          <w:rFonts w:eastAsia="Arial"/>
          <w:sz w:val="28"/>
          <w:szCs w:val="28"/>
        </w:rPr>
        <w:t xml:space="preserve"> году зарегистрировано снижение показателей летальности пациентов на первом году жизни с момента установления диагноза среди населения республики </w:t>
      </w:r>
      <w:r w:rsidR="003D0655" w:rsidRPr="007C51D6">
        <w:rPr>
          <w:rFonts w:eastAsia="Arial"/>
          <w:sz w:val="28"/>
          <w:szCs w:val="28"/>
        </w:rPr>
        <w:t>–</w:t>
      </w:r>
      <w:r w:rsidRPr="007C51D6">
        <w:rPr>
          <w:rFonts w:eastAsia="Arial"/>
          <w:sz w:val="28"/>
          <w:szCs w:val="28"/>
        </w:rPr>
        <w:t xml:space="preserve"> при ЗНО печени и внутрипеченочных желчных протоков (на </w:t>
      </w:r>
      <w:r w:rsidR="00E84C0D" w:rsidRPr="007C51D6">
        <w:rPr>
          <w:rFonts w:eastAsia="Arial"/>
          <w:sz w:val="28"/>
          <w:szCs w:val="28"/>
        </w:rPr>
        <w:t>14</w:t>
      </w:r>
      <w:r w:rsidRPr="007C51D6">
        <w:rPr>
          <w:rFonts w:eastAsia="Arial"/>
          <w:sz w:val="28"/>
          <w:szCs w:val="28"/>
        </w:rPr>
        <w:t>,</w:t>
      </w:r>
      <w:r w:rsidR="00E84C0D" w:rsidRPr="007C51D6">
        <w:rPr>
          <w:rFonts w:eastAsia="Arial"/>
          <w:sz w:val="28"/>
          <w:szCs w:val="28"/>
        </w:rPr>
        <w:t>7</w:t>
      </w:r>
      <w:r w:rsidRPr="007C51D6">
        <w:rPr>
          <w:rFonts w:eastAsia="Arial"/>
          <w:sz w:val="28"/>
          <w:szCs w:val="28"/>
        </w:rPr>
        <w:t xml:space="preserve"> процента), желудка (на 1</w:t>
      </w:r>
      <w:r w:rsidR="00E84C0D" w:rsidRPr="007C51D6">
        <w:rPr>
          <w:rFonts w:eastAsia="Arial"/>
          <w:sz w:val="28"/>
          <w:szCs w:val="28"/>
        </w:rPr>
        <w:t>7</w:t>
      </w:r>
      <w:r w:rsidRPr="007C51D6">
        <w:rPr>
          <w:rFonts w:eastAsia="Arial"/>
          <w:sz w:val="28"/>
          <w:szCs w:val="28"/>
        </w:rPr>
        <w:t>,</w:t>
      </w:r>
      <w:r w:rsidR="00E84C0D" w:rsidRPr="007C51D6">
        <w:rPr>
          <w:rFonts w:eastAsia="Arial"/>
          <w:sz w:val="28"/>
          <w:szCs w:val="28"/>
        </w:rPr>
        <w:t>7</w:t>
      </w:r>
      <w:r w:rsidRPr="007C51D6">
        <w:rPr>
          <w:rFonts w:eastAsia="Arial"/>
          <w:sz w:val="28"/>
          <w:szCs w:val="28"/>
        </w:rPr>
        <w:t xml:space="preserve"> процента), трахеи, бронхов, легких (на 11,</w:t>
      </w:r>
      <w:r w:rsidR="00E84C0D" w:rsidRPr="007C51D6">
        <w:rPr>
          <w:rFonts w:eastAsia="Arial"/>
          <w:sz w:val="28"/>
          <w:szCs w:val="28"/>
        </w:rPr>
        <w:t>6</w:t>
      </w:r>
      <w:r w:rsidRPr="007C51D6">
        <w:rPr>
          <w:rFonts w:eastAsia="Arial"/>
          <w:sz w:val="28"/>
          <w:szCs w:val="28"/>
        </w:rPr>
        <w:t xml:space="preserve"> процента), полости рта (на </w:t>
      </w:r>
      <w:r w:rsidR="00E84C0D" w:rsidRPr="007C51D6">
        <w:rPr>
          <w:rFonts w:eastAsia="Arial"/>
          <w:sz w:val="28"/>
          <w:szCs w:val="28"/>
        </w:rPr>
        <w:t>12,1</w:t>
      </w:r>
      <w:r w:rsidRPr="007C51D6">
        <w:rPr>
          <w:rFonts w:eastAsia="Arial"/>
          <w:sz w:val="28"/>
          <w:szCs w:val="28"/>
        </w:rPr>
        <w:t xml:space="preserve"> процента), поджелудочной железы (на </w:t>
      </w:r>
      <w:r w:rsidR="00E84C0D" w:rsidRPr="007C51D6">
        <w:rPr>
          <w:rFonts w:eastAsia="Arial"/>
          <w:sz w:val="28"/>
          <w:szCs w:val="28"/>
        </w:rPr>
        <w:t>9</w:t>
      </w:r>
      <w:r w:rsidRPr="007C51D6">
        <w:rPr>
          <w:rFonts w:eastAsia="Arial"/>
          <w:sz w:val="28"/>
          <w:szCs w:val="28"/>
        </w:rPr>
        <w:t xml:space="preserve">,4 процента), лейкемии (на </w:t>
      </w:r>
      <w:r w:rsidR="00E84C0D" w:rsidRPr="007C51D6">
        <w:rPr>
          <w:rFonts w:eastAsia="Arial"/>
          <w:sz w:val="28"/>
          <w:szCs w:val="28"/>
        </w:rPr>
        <w:t>4</w:t>
      </w:r>
      <w:r w:rsidRPr="007C51D6">
        <w:rPr>
          <w:rFonts w:eastAsia="Arial"/>
          <w:sz w:val="28"/>
          <w:szCs w:val="28"/>
        </w:rPr>
        <w:t>,</w:t>
      </w:r>
      <w:r w:rsidR="00E84C0D" w:rsidRPr="007C51D6">
        <w:rPr>
          <w:rFonts w:eastAsia="Arial"/>
          <w:sz w:val="28"/>
          <w:szCs w:val="28"/>
        </w:rPr>
        <w:t>5</w:t>
      </w:r>
      <w:r w:rsidRPr="007C51D6">
        <w:rPr>
          <w:rFonts w:eastAsia="Arial"/>
          <w:sz w:val="28"/>
          <w:szCs w:val="28"/>
        </w:rPr>
        <w:t xml:space="preserve"> процента), пищевода (на 1</w:t>
      </w:r>
      <w:r w:rsidR="000D1EFC" w:rsidRPr="007C51D6">
        <w:rPr>
          <w:rFonts w:eastAsia="Arial"/>
          <w:sz w:val="28"/>
          <w:szCs w:val="28"/>
        </w:rPr>
        <w:t>5</w:t>
      </w:r>
      <w:r w:rsidRPr="007C51D6">
        <w:rPr>
          <w:rFonts w:eastAsia="Arial"/>
          <w:sz w:val="28"/>
          <w:szCs w:val="28"/>
        </w:rPr>
        <w:t xml:space="preserve">,9 процента), глотки (на </w:t>
      </w:r>
      <w:r w:rsidR="000D1EFC" w:rsidRPr="007C51D6">
        <w:rPr>
          <w:rFonts w:eastAsia="Arial"/>
          <w:sz w:val="28"/>
          <w:szCs w:val="28"/>
        </w:rPr>
        <w:t>5</w:t>
      </w:r>
      <w:r w:rsidRPr="007C51D6">
        <w:rPr>
          <w:rFonts w:eastAsia="Arial"/>
          <w:sz w:val="28"/>
          <w:szCs w:val="28"/>
        </w:rPr>
        <w:t>,</w:t>
      </w:r>
      <w:r w:rsidR="000D1EFC" w:rsidRPr="007C51D6">
        <w:rPr>
          <w:rFonts w:eastAsia="Arial"/>
          <w:sz w:val="28"/>
          <w:szCs w:val="28"/>
        </w:rPr>
        <w:t>8</w:t>
      </w:r>
      <w:r w:rsidRPr="007C51D6">
        <w:rPr>
          <w:rFonts w:eastAsia="Arial"/>
          <w:sz w:val="28"/>
          <w:szCs w:val="28"/>
        </w:rPr>
        <w:t xml:space="preserve"> процента)</w:t>
      </w:r>
      <w:r w:rsidR="000D1EFC" w:rsidRPr="007C51D6">
        <w:rPr>
          <w:rFonts w:eastAsia="Arial"/>
          <w:sz w:val="28"/>
          <w:szCs w:val="28"/>
        </w:rPr>
        <w:t>, злокачественных лимфомах (на 3,3 процента)</w:t>
      </w:r>
      <w:r w:rsidRPr="007C51D6">
        <w:rPr>
          <w:rFonts w:eastAsia="Arial"/>
          <w:sz w:val="28"/>
          <w:szCs w:val="28"/>
        </w:rPr>
        <w:t xml:space="preserve">. </w:t>
      </w:r>
    </w:p>
    <w:p w:rsidR="002F20A6" w:rsidRPr="007C51D6" w:rsidRDefault="002F20A6" w:rsidP="002F20A6">
      <w:pPr>
        <w:autoSpaceDE/>
        <w:autoSpaceDN/>
        <w:adjustRightInd/>
        <w:ind w:firstLine="709"/>
        <w:jc w:val="both"/>
        <w:rPr>
          <w:rFonts w:eastAsia="Arial"/>
          <w:sz w:val="28"/>
          <w:szCs w:val="28"/>
        </w:rPr>
      </w:pPr>
      <w:r w:rsidRPr="007C51D6">
        <w:rPr>
          <w:rFonts w:eastAsia="Arial"/>
          <w:sz w:val="28"/>
          <w:szCs w:val="28"/>
        </w:rPr>
        <w:t xml:space="preserve">Одновременно зарегистрирован рост показателя летальности пациентов на первом году жизни с момента установления диагноза </w:t>
      </w:r>
      <w:r w:rsidR="000D1EFC" w:rsidRPr="007C51D6">
        <w:rPr>
          <w:rFonts w:eastAsia="Arial"/>
          <w:sz w:val="28"/>
          <w:szCs w:val="28"/>
        </w:rPr>
        <w:t>ЗНО гортани</w:t>
      </w:r>
      <w:r w:rsidR="00C82B44" w:rsidRPr="007C51D6">
        <w:rPr>
          <w:rFonts w:eastAsia="Arial"/>
          <w:sz w:val="28"/>
          <w:szCs w:val="28"/>
        </w:rPr>
        <w:t xml:space="preserve"> (на </w:t>
      </w:r>
      <w:r w:rsidR="000D1EFC" w:rsidRPr="007C51D6">
        <w:rPr>
          <w:rFonts w:eastAsia="Arial"/>
          <w:sz w:val="28"/>
          <w:szCs w:val="28"/>
        </w:rPr>
        <w:t>2</w:t>
      </w:r>
      <w:r w:rsidR="00C82B44" w:rsidRPr="007C51D6">
        <w:rPr>
          <w:rFonts w:eastAsia="Arial"/>
          <w:sz w:val="28"/>
          <w:szCs w:val="28"/>
        </w:rPr>
        <w:t>,</w:t>
      </w:r>
      <w:r w:rsidR="000D1EFC" w:rsidRPr="007C51D6">
        <w:rPr>
          <w:rFonts w:eastAsia="Arial"/>
          <w:sz w:val="28"/>
          <w:szCs w:val="28"/>
        </w:rPr>
        <w:t>9</w:t>
      </w:r>
      <w:r w:rsidR="00C82B44" w:rsidRPr="007C51D6">
        <w:rPr>
          <w:rFonts w:eastAsia="Arial"/>
          <w:sz w:val="28"/>
          <w:szCs w:val="28"/>
        </w:rPr>
        <w:t xml:space="preserve"> процента) (</w:t>
      </w:r>
      <w:r w:rsidR="00D928C1" w:rsidRPr="007C51D6">
        <w:rPr>
          <w:rFonts w:eastAsia="Arial"/>
          <w:sz w:val="28"/>
          <w:szCs w:val="28"/>
        </w:rPr>
        <w:t>таблица 14</w:t>
      </w:r>
      <w:r w:rsidR="00C82B44" w:rsidRPr="007C51D6">
        <w:rPr>
          <w:rFonts w:eastAsia="Arial"/>
          <w:sz w:val="28"/>
          <w:szCs w:val="28"/>
        </w:rPr>
        <w:t>)</w:t>
      </w:r>
      <w:r w:rsidR="00D928C1" w:rsidRPr="007C51D6">
        <w:rPr>
          <w:rFonts w:eastAsia="Arial"/>
          <w:sz w:val="28"/>
          <w:szCs w:val="28"/>
        </w:rPr>
        <w:t>.</w:t>
      </w:r>
    </w:p>
    <w:p w:rsidR="00000610" w:rsidRPr="007C51D6" w:rsidRDefault="00000610" w:rsidP="00A63965">
      <w:pPr>
        <w:autoSpaceDE/>
        <w:autoSpaceDN/>
        <w:adjustRightInd/>
        <w:ind w:left="6373" w:firstLine="709"/>
        <w:jc w:val="right"/>
        <w:rPr>
          <w:rFonts w:eastAsia="Arial"/>
          <w:sz w:val="28"/>
          <w:szCs w:val="28"/>
        </w:rPr>
      </w:pPr>
      <w:r w:rsidRPr="007C51D6">
        <w:rPr>
          <w:rFonts w:eastAsia="Arial"/>
          <w:sz w:val="28"/>
          <w:szCs w:val="28"/>
        </w:rPr>
        <w:t xml:space="preserve">Таблица </w:t>
      </w:r>
      <w:r w:rsidR="00BB3A22" w:rsidRPr="007C51D6">
        <w:rPr>
          <w:rFonts w:eastAsia="Arial"/>
          <w:sz w:val="28"/>
          <w:szCs w:val="28"/>
        </w:rPr>
        <w:t>1</w:t>
      </w:r>
      <w:r w:rsidR="00CB2704" w:rsidRPr="007C51D6">
        <w:rPr>
          <w:rFonts w:eastAsia="Arial"/>
          <w:sz w:val="28"/>
          <w:szCs w:val="28"/>
        </w:rPr>
        <w:t>5</w:t>
      </w:r>
    </w:p>
    <w:p w:rsidR="00AE4D9A" w:rsidRPr="007C51D6" w:rsidRDefault="00AE4D9A" w:rsidP="00193F3A">
      <w:pPr>
        <w:autoSpaceDE/>
        <w:autoSpaceDN/>
        <w:adjustRightInd/>
        <w:jc w:val="center"/>
        <w:rPr>
          <w:rFonts w:eastAsia="Arial"/>
          <w:sz w:val="28"/>
          <w:szCs w:val="28"/>
        </w:rPr>
      </w:pPr>
    </w:p>
    <w:p w:rsidR="00193F3A" w:rsidRPr="007C51D6" w:rsidRDefault="00193F3A" w:rsidP="00193F3A">
      <w:pPr>
        <w:autoSpaceDE/>
        <w:autoSpaceDN/>
        <w:adjustRightInd/>
        <w:jc w:val="center"/>
        <w:rPr>
          <w:rFonts w:eastAsia="Arial"/>
          <w:sz w:val="28"/>
          <w:szCs w:val="28"/>
        </w:rPr>
      </w:pPr>
      <w:r w:rsidRPr="007C51D6">
        <w:rPr>
          <w:rFonts w:eastAsia="Arial"/>
          <w:sz w:val="28"/>
          <w:szCs w:val="28"/>
        </w:rPr>
        <w:t>Динамика показателя смертности от новообразований, относящи</w:t>
      </w:r>
      <w:r w:rsidR="00BB4665" w:rsidRPr="007C51D6">
        <w:rPr>
          <w:rFonts w:eastAsia="Arial"/>
          <w:sz w:val="28"/>
          <w:szCs w:val="28"/>
        </w:rPr>
        <w:t>х</w:t>
      </w:r>
      <w:r w:rsidRPr="007C51D6">
        <w:rPr>
          <w:rFonts w:eastAsia="Arial"/>
          <w:sz w:val="28"/>
          <w:szCs w:val="28"/>
        </w:rPr>
        <w:t xml:space="preserve">ся к кодам </w:t>
      </w:r>
      <w:r w:rsidRPr="007C51D6">
        <w:rPr>
          <w:rFonts w:eastAsia="Arial"/>
          <w:sz w:val="28"/>
          <w:szCs w:val="28"/>
          <w:lang w:val="en-US"/>
        </w:rPr>
        <w:t>D</w:t>
      </w:r>
      <w:r w:rsidRPr="007C51D6">
        <w:rPr>
          <w:rFonts w:eastAsia="Arial"/>
          <w:sz w:val="28"/>
          <w:szCs w:val="28"/>
        </w:rPr>
        <w:t>00</w:t>
      </w:r>
      <w:r w:rsidR="00BB4665" w:rsidRPr="007C51D6">
        <w:rPr>
          <w:rFonts w:eastAsia="Arial"/>
          <w:sz w:val="28"/>
          <w:szCs w:val="28"/>
        </w:rPr>
        <w:t xml:space="preserve"> – </w:t>
      </w:r>
      <w:r w:rsidRPr="007C51D6">
        <w:rPr>
          <w:rFonts w:eastAsia="Arial"/>
          <w:sz w:val="28"/>
          <w:szCs w:val="28"/>
          <w:lang w:val="en-US"/>
        </w:rPr>
        <w:t>D</w:t>
      </w:r>
      <w:r w:rsidRPr="007C51D6">
        <w:rPr>
          <w:rFonts w:eastAsia="Arial"/>
          <w:sz w:val="28"/>
          <w:szCs w:val="28"/>
        </w:rPr>
        <w:t xml:space="preserve">48, </w:t>
      </w:r>
    </w:p>
    <w:p w:rsidR="00160DB2" w:rsidRPr="007C51D6" w:rsidRDefault="00193F3A" w:rsidP="004B7A07">
      <w:pPr>
        <w:autoSpaceDE/>
        <w:autoSpaceDN/>
        <w:adjustRightInd/>
        <w:jc w:val="center"/>
        <w:rPr>
          <w:rFonts w:eastAsia="Arial"/>
          <w:sz w:val="28"/>
          <w:szCs w:val="28"/>
        </w:rPr>
      </w:pPr>
      <w:r w:rsidRPr="007C51D6">
        <w:rPr>
          <w:rFonts w:eastAsia="Arial"/>
          <w:sz w:val="28"/>
          <w:szCs w:val="28"/>
        </w:rPr>
        <w:t>в Республике</w:t>
      </w:r>
      <w:r w:rsidR="004169FC" w:rsidRPr="007C51D6">
        <w:rPr>
          <w:rFonts w:eastAsia="Arial"/>
          <w:sz w:val="28"/>
          <w:szCs w:val="28"/>
        </w:rPr>
        <w:t xml:space="preserve"> Татарстан в 201</w:t>
      </w:r>
      <w:r w:rsidR="00952F41" w:rsidRPr="007C51D6">
        <w:rPr>
          <w:rFonts w:eastAsia="Arial"/>
          <w:sz w:val="28"/>
          <w:szCs w:val="28"/>
        </w:rPr>
        <w:t>6</w:t>
      </w:r>
      <w:r w:rsidR="004169FC" w:rsidRPr="007C51D6">
        <w:rPr>
          <w:rFonts w:eastAsia="Arial"/>
          <w:sz w:val="28"/>
          <w:szCs w:val="28"/>
        </w:rPr>
        <w:t xml:space="preserve"> – 202</w:t>
      </w:r>
      <w:r w:rsidR="00952F41" w:rsidRPr="007C51D6">
        <w:rPr>
          <w:rFonts w:eastAsia="Arial"/>
          <w:sz w:val="28"/>
          <w:szCs w:val="28"/>
        </w:rPr>
        <w:t>5</w:t>
      </w:r>
      <w:r w:rsidR="004169FC" w:rsidRPr="007C51D6">
        <w:rPr>
          <w:rFonts w:eastAsia="Arial"/>
          <w:sz w:val="28"/>
          <w:szCs w:val="28"/>
        </w:rPr>
        <w:t xml:space="preserve"> годах </w:t>
      </w:r>
      <w:r w:rsidRPr="007C51D6">
        <w:rPr>
          <w:rFonts w:eastAsia="Arial"/>
          <w:sz w:val="28"/>
          <w:szCs w:val="28"/>
        </w:rPr>
        <w:t>(</w:t>
      </w:r>
      <w:r w:rsidR="007F3AFB" w:rsidRPr="007C51D6">
        <w:rPr>
          <w:rFonts w:eastAsia="Arial"/>
          <w:sz w:val="28"/>
          <w:szCs w:val="28"/>
        </w:rPr>
        <w:t>«</w:t>
      </w:r>
      <w:r w:rsidRPr="007C51D6">
        <w:rPr>
          <w:rFonts w:eastAsia="Arial"/>
          <w:sz w:val="28"/>
          <w:szCs w:val="28"/>
        </w:rPr>
        <w:t>грубый</w:t>
      </w:r>
      <w:r w:rsidR="007F3AFB" w:rsidRPr="007C51D6">
        <w:rPr>
          <w:rFonts w:eastAsia="Arial"/>
          <w:sz w:val="28"/>
          <w:szCs w:val="28"/>
        </w:rPr>
        <w:t>»</w:t>
      </w:r>
      <w:r w:rsidRPr="007C51D6">
        <w:rPr>
          <w:rFonts w:eastAsia="Arial"/>
          <w:sz w:val="28"/>
          <w:szCs w:val="28"/>
        </w:rPr>
        <w:t xml:space="preserve"> показатель)</w:t>
      </w:r>
    </w:p>
    <w:p w:rsidR="00BB4665" w:rsidRPr="007C51D6" w:rsidRDefault="00BB4665" w:rsidP="004B7A07">
      <w:pPr>
        <w:autoSpaceDE/>
        <w:autoSpaceDN/>
        <w:adjustRightInd/>
        <w:jc w:val="center"/>
      </w:pPr>
    </w:p>
    <w:p w:rsidR="00B50E72" w:rsidRDefault="00BB4665" w:rsidP="00BB4665">
      <w:pPr>
        <w:jc w:val="right"/>
        <w:rPr>
          <w:rFonts w:eastAsia="Arial"/>
          <w:sz w:val="20"/>
          <w:szCs w:val="20"/>
        </w:rPr>
      </w:pPr>
      <w:r w:rsidRPr="007C51D6">
        <w:rPr>
          <w:rFonts w:eastAsia="Arial"/>
          <w:sz w:val="20"/>
          <w:szCs w:val="20"/>
        </w:rPr>
        <w:t>(случаев на 100 тыс.населения)</w:t>
      </w:r>
    </w:p>
    <w:p w:rsidR="002B1FCB" w:rsidRDefault="002B1FCB" w:rsidP="00BB4665">
      <w:pPr>
        <w:jc w:val="right"/>
        <w:rPr>
          <w:rFonts w:eastAsia="Arial"/>
          <w:sz w:val="20"/>
          <w:szCs w:val="20"/>
        </w:rPr>
      </w:pPr>
    </w:p>
    <w:tbl>
      <w:tblPr>
        <w:tblW w:w="14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1276"/>
        <w:gridCol w:w="1303"/>
        <w:gridCol w:w="1134"/>
        <w:gridCol w:w="1361"/>
        <w:gridCol w:w="992"/>
        <w:gridCol w:w="851"/>
        <w:gridCol w:w="850"/>
        <w:gridCol w:w="851"/>
        <w:gridCol w:w="829"/>
        <w:gridCol w:w="907"/>
        <w:gridCol w:w="907"/>
      </w:tblGrid>
      <w:tr w:rsidR="002B1FCB" w:rsidRPr="007C51D6" w:rsidTr="002B1FCB">
        <w:trPr>
          <w:trHeight w:val="20"/>
          <w:jc w:val="center"/>
        </w:trPr>
        <w:tc>
          <w:tcPr>
            <w:tcW w:w="3539" w:type="dxa"/>
            <w:shd w:val="clear" w:color="auto" w:fill="auto"/>
            <w:noWrap/>
          </w:tcPr>
          <w:p w:rsidR="002B1FCB" w:rsidRPr="007C51D6" w:rsidRDefault="002B1FCB" w:rsidP="00DC67CB">
            <w:pPr>
              <w:autoSpaceDE/>
              <w:autoSpaceDN/>
              <w:adjustRightInd/>
              <w:jc w:val="center"/>
              <w:rPr>
                <w:color w:val="000000"/>
                <w:sz w:val="20"/>
                <w:szCs w:val="20"/>
              </w:rPr>
            </w:pPr>
            <w:r w:rsidRPr="007C51D6">
              <w:rPr>
                <w:color w:val="000000"/>
                <w:sz w:val="20"/>
                <w:szCs w:val="20"/>
              </w:rPr>
              <w:t>Локализация новообразований</w:t>
            </w:r>
          </w:p>
        </w:tc>
        <w:tc>
          <w:tcPr>
            <w:tcW w:w="1276" w:type="dxa"/>
            <w:shd w:val="clear" w:color="auto" w:fill="auto"/>
            <w:noWrap/>
          </w:tcPr>
          <w:p w:rsidR="002B1FCB" w:rsidRPr="007C51D6" w:rsidRDefault="002B1FCB" w:rsidP="00DC67CB">
            <w:pPr>
              <w:autoSpaceDE/>
              <w:autoSpaceDN/>
              <w:adjustRightInd/>
              <w:jc w:val="center"/>
              <w:rPr>
                <w:bCs/>
                <w:sz w:val="20"/>
                <w:szCs w:val="20"/>
              </w:rPr>
            </w:pPr>
            <w:r w:rsidRPr="007C51D6">
              <w:rPr>
                <w:bCs/>
                <w:sz w:val="20"/>
                <w:szCs w:val="20"/>
              </w:rPr>
              <w:t xml:space="preserve">Коды по </w:t>
            </w:r>
          </w:p>
          <w:p w:rsidR="002B1FCB" w:rsidRPr="007C51D6" w:rsidRDefault="002B1FCB" w:rsidP="00DC67CB">
            <w:pPr>
              <w:autoSpaceDE/>
              <w:autoSpaceDN/>
              <w:adjustRightInd/>
              <w:jc w:val="center"/>
              <w:rPr>
                <w:rFonts w:eastAsia="Arial"/>
                <w:sz w:val="20"/>
                <w:szCs w:val="20"/>
              </w:rPr>
            </w:pPr>
            <w:r w:rsidRPr="007C51D6">
              <w:rPr>
                <w:bCs/>
                <w:sz w:val="20"/>
                <w:szCs w:val="20"/>
              </w:rPr>
              <w:t>МКБ-10</w:t>
            </w:r>
          </w:p>
        </w:tc>
        <w:tc>
          <w:tcPr>
            <w:tcW w:w="1303" w:type="dxa"/>
          </w:tcPr>
          <w:p w:rsidR="002B1FCB" w:rsidRPr="007C51D6" w:rsidRDefault="002B1FCB" w:rsidP="00DC67CB">
            <w:pPr>
              <w:autoSpaceDE/>
              <w:autoSpaceDN/>
              <w:adjustRightInd/>
              <w:jc w:val="center"/>
              <w:rPr>
                <w:bCs/>
                <w:sz w:val="20"/>
                <w:szCs w:val="20"/>
              </w:rPr>
            </w:pPr>
            <w:r w:rsidRPr="007C51D6">
              <w:rPr>
                <w:bCs/>
                <w:sz w:val="20"/>
                <w:szCs w:val="20"/>
              </w:rPr>
              <w:t>2016 г.</w:t>
            </w:r>
          </w:p>
        </w:tc>
        <w:tc>
          <w:tcPr>
            <w:tcW w:w="1134" w:type="dxa"/>
          </w:tcPr>
          <w:p w:rsidR="002B1FCB" w:rsidRPr="007C51D6" w:rsidRDefault="002B1FCB" w:rsidP="00DC67CB">
            <w:pPr>
              <w:autoSpaceDE/>
              <w:autoSpaceDN/>
              <w:adjustRightInd/>
              <w:jc w:val="center"/>
              <w:rPr>
                <w:bCs/>
                <w:sz w:val="20"/>
                <w:szCs w:val="20"/>
              </w:rPr>
            </w:pPr>
            <w:r w:rsidRPr="007C51D6">
              <w:rPr>
                <w:bCs/>
                <w:sz w:val="20"/>
                <w:szCs w:val="20"/>
              </w:rPr>
              <w:t>2017 г.</w:t>
            </w:r>
          </w:p>
        </w:tc>
        <w:tc>
          <w:tcPr>
            <w:tcW w:w="1361" w:type="dxa"/>
          </w:tcPr>
          <w:p w:rsidR="002B1FCB" w:rsidRPr="007C51D6" w:rsidRDefault="002B1FCB" w:rsidP="00DC67CB">
            <w:pPr>
              <w:autoSpaceDE/>
              <w:autoSpaceDN/>
              <w:adjustRightInd/>
              <w:jc w:val="center"/>
              <w:rPr>
                <w:bCs/>
                <w:sz w:val="20"/>
                <w:szCs w:val="20"/>
              </w:rPr>
            </w:pPr>
            <w:r w:rsidRPr="007C51D6">
              <w:rPr>
                <w:bCs/>
                <w:sz w:val="20"/>
                <w:szCs w:val="20"/>
              </w:rPr>
              <w:t>2018 г.</w:t>
            </w:r>
          </w:p>
        </w:tc>
        <w:tc>
          <w:tcPr>
            <w:tcW w:w="992" w:type="dxa"/>
          </w:tcPr>
          <w:p w:rsidR="002B1FCB" w:rsidRPr="007C51D6" w:rsidRDefault="002B1FCB" w:rsidP="00DC67CB">
            <w:pPr>
              <w:autoSpaceDE/>
              <w:autoSpaceDN/>
              <w:adjustRightInd/>
              <w:jc w:val="center"/>
              <w:rPr>
                <w:bCs/>
                <w:sz w:val="20"/>
                <w:szCs w:val="20"/>
              </w:rPr>
            </w:pPr>
            <w:r w:rsidRPr="007C51D6">
              <w:rPr>
                <w:bCs/>
                <w:sz w:val="20"/>
                <w:szCs w:val="20"/>
              </w:rPr>
              <w:t>2019 г.</w:t>
            </w:r>
          </w:p>
        </w:tc>
        <w:tc>
          <w:tcPr>
            <w:tcW w:w="851" w:type="dxa"/>
          </w:tcPr>
          <w:p w:rsidR="002B1FCB" w:rsidRPr="007C51D6" w:rsidRDefault="002B1FCB" w:rsidP="00DC67CB">
            <w:pPr>
              <w:autoSpaceDE/>
              <w:autoSpaceDN/>
              <w:adjustRightInd/>
              <w:jc w:val="center"/>
              <w:rPr>
                <w:bCs/>
                <w:sz w:val="20"/>
                <w:szCs w:val="20"/>
              </w:rPr>
            </w:pPr>
            <w:r w:rsidRPr="007C51D6">
              <w:rPr>
                <w:bCs/>
                <w:sz w:val="20"/>
                <w:szCs w:val="20"/>
              </w:rPr>
              <w:t>2020 г.</w:t>
            </w:r>
          </w:p>
        </w:tc>
        <w:tc>
          <w:tcPr>
            <w:tcW w:w="850" w:type="dxa"/>
          </w:tcPr>
          <w:p w:rsidR="002B1FCB" w:rsidRPr="007C51D6" w:rsidRDefault="002B1FCB" w:rsidP="00DC67CB">
            <w:pPr>
              <w:autoSpaceDE/>
              <w:autoSpaceDN/>
              <w:adjustRightInd/>
              <w:jc w:val="center"/>
              <w:rPr>
                <w:bCs/>
                <w:sz w:val="20"/>
                <w:szCs w:val="20"/>
              </w:rPr>
            </w:pPr>
            <w:r w:rsidRPr="007C51D6">
              <w:rPr>
                <w:bCs/>
                <w:sz w:val="20"/>
                <w:szCs w:val="20"/>
              </w:rPr>
              <w:t>2021 г</w:t>
            </w:r>
          </w:p>
        </w:tc>
        <w:tc>
          <w:tcPr>
            <w:tcW w:w="851" w:type="dxa"/>
          </w:tcPr>
          <w:p w:rsidR="002B1FCB" w:rsidRPr="007C51D6" w:rsidRDefault="002B1FCB" w:rsidP="00DC67CB">
            <w:pPr>
              <w:autoSpaceDE/>
              <w:autoSpaceDN/>
              <w:adjustRightInd/>
              <w:jc w:val="center"/>
              <w:rPr>
                <w:bCs/>
                <w:sz w:val="20"/>
                <w:szCs w:val="20"/>
              </w:rPr>
            </w:pPr>
            <w:r w:rsidRPr="007C51D6">
              <w:rPr>
                <w:bCs/>
                <w:sz w:val="20"/>
                <w:szCs w:val="20"/>
              </w:rPr>
              <w:t>2022 г.</w:t>
            </w:r>
          </w:p>
        </w:tc>
        <w:tc>
          <w:tcPr>
            <w:tcW w:w="829" w:type="dxa"/>
          </w:tcPr>
          <w:p w:rsidR="002B1FCB" w:rsidRPr="007C51D6" w:rsidRDefault="002B1FCB" w:rsidP="00DC67CB">
            <w:pPr>
              <w:autoSpaceDE/>
              <w:autoSpaceDN/>
              <w:adjustRightInd/>
              <w:jc w:val="center"/>
              <w:rPr>
                <w:bCs/>
                <w:sz w:val="20"/>
                <w:szCs w:val="20"/>
              </w:rPr>
            </w:pPr>
            <w:r w:rsidRPr="007C51D6">
              <w:rPr>
                <w:bCs/>
                <w:sz w:val="20"/>
                <w:szCs w:val="20"/>
              </w:rPr>
              <w:t>2023 г.</w:t>
            </w:r>
          </w:p>
        </w:tc>
        <w:tc>
          <w:tcPr>
            <w:tcW w:w="907" w:type="dxa"/>
          </w:tcPr>
          <w:p w:rsidR="002B1FCB" w:rsidRPr="007C51D6" w:rsidRDefault="002B1FCB" w:rsidP="00DC67CB">
            <w:pPr>
              <w:autoSpaceDE/>
              <w:autoSpaceDN/>
              <w:adjustRightInd/>
              <w:jc w:val="center"/>
              <w:rPr>
                <w:bCs/>
                <w:sz w:val="20"/>
                <w:szCs w:val="20"/>
              </w:rPr>
            </w:pPr>
            <w:r w:rsidRPr="007C51D6">
              <w:rPr>
                <w:bCs/>
                <w:sz w:val="20"/>
                <w:szCs w:val="20"/>
              </w:rPr>
              <w:t>2024 г.</w:t>
            </w:r>
          </w:p>
        </w:tc>
        <w:tc>
          <w:tcPr>
            <w:tcW w:w="907" w:type="dxa"/>
          </w:tcPr>
          <w:p w:rsidR="002B1FCB" w:rsidRPr="007C51D6" w:rsidRDefault="002B1FCB" w:rsidP="00DC67CB">
            <w:pPr>
              <w:autoSpaceDE/>
              <w:autoSpaceDN/>
              <w:adjustRightInd/>
              <w:jc w:val="center"/>
              <w:rPr>
                <w:bCs/>
                <w:sz w:val="20"/>
                <w:szCs w:val="20"/>
              </w:rPr>
            </w:pPr>
            <w:r w:rsidRPr="007C51D6">
              <w:rPr>
                <w:bCs/>
                <w:sz w:val="20"/>
                <w:szCs w:val="20"/>
              </w:rPr>
              <w:t>2025 г.</w:t>
            </w:r>
          </w:p>
        </w:tc>
      </w:tr>
    </w:tbl>
    <w:p w:rsidR="002B1FCB" w:rsidRDefault="002B1FCB" w:rsidP="002B1FCB">
      <w:pPr>
        <w:spacing w:line="72" w:lineRule="auto"/>
        <w:rPr>
          <w:rFonts w:eastAsia="Arial"/>
          <w:sz w:val="20"/>
          <w:szCs w:val="20"/>
        </w:rPr>
      </w:pPr>
    </w:p>
    <w:tbl>
      <w:tblPr>
        <w:tblW w:w="14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1276"/>
        <w:gridCol w:w="1303"/>
        <w:gridCol w:w="1134"/>
        <w:gridCol w:w="1361"/>
        <w:gridCol w:w="992"/>
        <w:gridCol w:w="851"/>
        <w:gridCol w:w="850"/>
        <w:gridCol w:w="851"/>
        <w:gridCol w:w="829"/>
        <w:gridCol w:w="907"/>
        <w:gridCol w:w="907"/>
      </w:tblGrid>
      <w:tr w:rsidR="00592896" w:rsidRPr="007C51D6" w:rsidTr="00B93D5E">
        <w:trPr>
          <w:cantSplit/>
          <w:trHeight w:val="20"/>
          <w:tblHeader/>
          <w:jc w:val="center"/>
        </w:trPr>
        <w:tc>
          <w:tcPr>
            <w:tcW w:w="3539" w:type="dxa"/>
            <w:shd w:val="clear" w:color="auto" w:fill="auto"/>
            <w:noWrap/>
          </w:tcPr>
          <w:p w:rsidR="00592896" w:rsidRPr="007C51D6" w:rsidRDefault="00592896" w:rsidP="00592896">
            <w:pPr>
              <w:autoSpaceDE/>
              <w:autoSpaceDN/>
              <w:adjustRightInd/>
              <w:jc w:val="center"/>
              <w:rPr>
                <w:color w:val="000000"/>
                <w:sz w:val="20"/>
                <w:szCs w:val="20"/>
              </w:rPr>
            </w:pPr>
            <w:r w:rsidRPr="007C51D6">
              <w:rPr>
                <w:color w:val="000000"/>
                <w:sz w:val="20"/>
                <w:szCs w:val="20"/>
              </w:rPr>
              <w:t>1</w:t>
            </w:r>
          </w:p>
        </w:tc>
        <w:tc>
          <w:tcPr>
            <w:tcW w:w="1276" w:type="dxa"/>
            <w:shd w:val="clear" w:color="auto" w:fill="auto"/>
            <w:noWrap/>
          </w:tcPr>
          <w:p w:rsidR="00592896" w:rsidRPr="007C51D6" w:rsidRDefault="00592896" w:rsidP="00592896">
            <w:pPr>
              <w:autoSpaceDE/>
              <w:autoSpaceDN/>
              <w:adjustRightInd/>
              <w:jc w:val="center"/>
              <w:rPr>
                <w:rFonts w:eastAsia="Arial"/>
                <w:sz w:val="20"/>
                <w:szCs w:val="20"/>
              </w:rPr>
            </w:pPr>
            <w:r w:rsidRPr="007C51D6">
              <w:rPr>
                <w:rFonts w:eastAsia="Arial"/>
                <w:sz w:val="20"/>
                <w:szCs w:val="20"/>
              </w:rPr>
              <w:t>2</w:t>
            </w:r>
          </w:p>
        </w:tc>
        <w:tc>
          <w:tcPr>
            <w:tcW w:w="1303" w:type="dxa"/>
          </w:tcPr>
          <w:p w:rsidR="00592896" w:rsidRPr="007C51D6" w:rsidRDefault="00592896" w:rsidP="00592896">
            <w:pPr>
              <w:autoSpaceDE/>
              <w:autoSpaceDN/>
              <w:adjustRightInd/>
              <w:jc w:val="center"/>
              <w:rPr>
                <w:bCs/>
                <w:color w:val="000000"/>
                <w:sz w:val="20"/>
                <w:szCs w:val="20"/>
              </w:rPr>
            </w:pPr>
            <w:r w:rsidRPr="007C51D6">
              <w:rPr>
                <w:bCs/>
                <w:color w:val="000000"/>
                <w:sz w:val="20"/>
                <w:szCs w:val="20"/>
              </w:rPr>
              <w:t>3</w:t>
            </w:r>
          </w:p>
        </w:tc>
        <w:tc>
          <w:tcPr>
            <w:tcW w:w="1134" w:type="dxa"/>
          </w:tcPr>
          <w:p w:rsidR="00592896" w:rsidRPr="007C51D6" w:rsidRDefault="00592896" w:rsidP="00592896">
            <w:pPr>
              <w:autoSpaceDE/>
              <w:autoSpaceDN/>
              <w:adjustRightInd/>
              <w:jc w:val="center"/>
              <w:rPr>
                <w:bCs/>
                <w:color w:val="000000"/>
                <w:sz w:val="20"/>
                <w:szCs w:val="20"/>
              </w:rPr>
            </w:pPr>
            <w:r w:rsidRPr="007C51D6">
              <w:rPr>
                <w:bCs/>
                <w:color w:val="000000"/>
                <w:sz w:val="20"/>
                <w:szCs w:val="20"/>
              </w:rPr>
              <w:t>4</w:t>
            </w:r>
          </w:p>
        </w:tc>
        <w:tc>
          <w:tcPr>
            <w:tcW w:w="1361" w:type="dxa"/>
          </w:tcPr>
          <w:p w:rsidR="00592896" w:rsidRPr="007C51D6" w:rsidRDefault="00592896" w:rsidP="00592896">
            <w:pPr>
              <w:autoSpaceDE/>
              <w:autoSpaceDN/>
              <w:adjustRightInd/>
              <w:jc w:val="center"/>
              <w:rPr>
                <w:bCs/>
                <w:color w:val="000000"/>
                <w:sz w:val="20"/>
                <w:szCs w:val="20"/>
              </w:rPr>
            </w:pPr>
            <w:r w:rsidRPr="007C51D6">
              <w:rPr>
                <w:bCs/>
                <w:color w:val="000000"/>
                <w:sz w:val="20"/>
                <w:szCs w:val="20"/>
              </w:rPr>
              <w:t>5</w:t>
            </w:r>
          </w:p>
        </w:tc>
        <w:tc>
          <w:tcPr>
            <w:tcW w:w="992" w:type="dxa"/>
          </w:tcPr>
          <w:p w:rsidR="00592896" w:rsidRPr="007C51D6" w:rsidRDefault="00592896" w:rsidP="00592896">
            <w:pPr>
              <w:autoSpaceDE/>
              <w:autoSpaceDN/>
              <w:adjustRightInd/>
              <w:jc w:val="center"/>
              <w:rPr>
                <w:bCs/>
                <w:color w:val="000000"/>
                <w:sz w:val="20"/>
                <w:szCs w:val="20"/>
              </w:rPr>
            </w:pPr>
            <w:r w:rsidRPr="007C51D6">
              <w:rPr>
                <w:bCs/>
                <w:color w:val="000000"/>
                <w:sz w:val="20"/>
                <w:szCs w:val="20"/>
              </w:rPr>
              <w:t>6</w:t>
            </w:r>
          </w:p>
        </w:tc>
        <w:tc>
          <w:tcPr>
            <w:tcW w:w="851" w:type="dxa"/>
          </w:tcPr>
          <w:p w:rsidR="00592896" w:rsidRPr="007C51D6" w:rsidRDefault="00592896" w:rsidP="00592896">
            <w:pPr>
              <w:autoSpaceDE/>
              <w:autoSpaceDN/>
              <w:adjustRightInd/>
              <w:jc w:val="center"/>
              <w:rPr>
                <w:bCs/>
                <w:color w:val="000000"/>
                <w:sz w:val="20"/>
                <w:szCs w:val="20"/>
              </w:rPr>
            </w:pPr>
            <w:r w:rsidRPr="007C51D6">
              <w:rPr>
                <w:bCs/>
                <w:color w:val="000000"/>
                <w:sz w:val="20"/>
                <w:szCs w:val="20"/>
              </w:rPr>
              <w:t>7</w:t>
            </w:r>
          </w:p>
        </w:tc>
        <w:tc>
          <w:tcPr>
            <w:tcW w:w="850" w:type="dxa"/>
          </w:tcPr>
          <w:p w:rsidR="00592896" w:rsidRPr="007C51D6" w:rsidRDefault="00592896" w:rsidP="00592896">
            <w:pPr>
              <w:autoSpaceDE/>
              <w:autoSpaceDN/>
              <w:adjustRightInd/>
              <w:jc w:val="center"/>
              <w:rPr>
                <w:bCs/>
                <w:color w:val="000000"/>
                <w:sz w:val="20"/>
                <w:szCs w:val="20"/>
              </w:rPr>
            </w:pPr>
            <w:r w:rsidRPr="007C51D6">
              <w:rPr>
                <w:bCs/>
                <w:color w:val="000000"/>
                <w:sz w:val="20"/>
                <w:szCs w:val="20"/>
              </w:rPr>
              <w:t>8</w:t>
            </w:r>
          </w:p>
        </w:tc>
        <w:tc>
          <w:tcPr>
            <w:tcW w:w="851" w:type="dxa"/>
          </w:tcPr>
          <w:p w:rsidR="00592896" w:rsidRPr="007C51D6" w:rsidRDefault="00592896" w:rsidP="00592896">
            <w:pPr>
              <w:autoSpaceDE/>
              <w:autoSpaceDN/>
              <w:adjustRightInd/>
              <w:jc w:val="center"/>
              <w:rPr>
                <w:bCs/>
                <w:color w:val="000000"/>
                <w:sz w:val="20"/>
                <w:szCs w:val="20"/>
              </w:rPr>
            </w:pPr>
            <w:r w:rsidRPr="007C51D6">
              <w:rPr>
                <w:bCs/>
                <w:color w:val="000000"/>
                <w:sz w:val="20"/>
                <w:szCs w:val="20"/>
              </w:rPr>
              <w:t>9</w:t>
            </w:r>
          </w:p>
        </w:tc>
        <w:tc>
          <w:tcPr>
            <w:tcW w:w="829" w:type="dxa"/>
          </w:tcPr>
          <w:p w:rsidR="00592896" w:rsidRPr="007C51D6" w:rsidRDefault="00592896" w:rsidP="00592896">
            <w:pPr>
              <w:autoSpaceDE/>
              <w:autoSpaceDN/>
              <w:adjustRightInd/>
              <w:jc w:val="center"/>
              <w:rPr>
                <w:sz w:val="20"/>
                <w:szCs w:val="20"/>
              </w:rPr>
            </w:pPr>
            <w:r w:rsidRPr="007C51D6">
              <w:rPr>
                <w:sz w:val="20"/>
                <w:szCs w:val="20"/>
              </w:rPr>
              <w:t>10</w:t>
            </w:r>
          </w:p>
        </w:tc>
        <w:tc>
          <w:tcPr>
            <w:tcW w:w="907" w:type="dxa"/>
          </w:tcPr>
          <w:p w:rsidR="00592896" w:rsidRPr="007C51D6" w:rsidRDefault="00592896" w:rsidP="00592896">
            <w:pPr>
              <w:autoSpaceDE/>
              <w:autoSpaceDN/>
              <w:adjustRightInd/>
              <w:jc w:val="center"/>
              <w:rPr>
                <w:bCs/>
                <w:color w:val="000000"/>
                <w:sz w:val="20"/>
                <w:szCs w:val="20"/>
              </w:rPr>
            </w:pPr>
            <w:r w:rsidRPr="007C51D6">
              <w:rPr>
                <w:bCs/>
                <w:color w:val="000000"/>
                <w:sz w:val="20"/>
                <w:szCs w:val="20"/>
              </w:rPr>
              <w:t>11</w:t>
            </w:r>
          </w:p>
        </w:tc>
        <w:tc>
          <w:tcPr>
            <w:tcW w:w="907" w:type="dxa"/>
          </w:tcPr>
          <w:p w:rsidR="00592896" w:rsidRPr="007C51D6" w:rsidRDefault="00592896" w:rsidP="00592896">
            <w:pPr>
              <w:autoSpaceDE/>
              <w:autoSpaceDN/>
              <w:adjustRightInd/>
              <w:jc w:val="center"/>
              <w:rPr>
                <w:bCs/>
                <w:color w:val="000000"/>
                <w:sz w:val="20"/>
                <w:szCs w:val="20"/>
              </w:rPr>
            </w:pPr>
            <w:r w:rsidRPr="007C51D6">
              <w:rPr>
                <w:bCs/>
                <w:color w:val="000000"/>
                <w:sz w:val="20"/>
                <w:szCs w:val="20"/>
              </w:rPr>
              <w:t>12</w:t>
            </w:r>
          </w:p>
        </w:tc>
      </w:tr>
      <w:tr w:rsidR="00592896" w:rsidRPr="007C51D6" w:rsidTr="00B93D5E">
        <w:trPr>
          <w:cantSplit/>
          <w:trHeight w:val="20"/>
          <w:jc w:val="center"/>
        </w:trPr>
        <w:tc>
          <w:tcPr>
            <w:tcW w:w="3539" w:type="dxa"/>
            <w:shd w:val="clear" w:color="auto" w:fill="auto"/>
            <w:noWrap/>
          </w:tcPr>
          <w:p w:rsidR="00592896" w:rsidRPr="007C51D6" w:rsidRDefault="00592896" w:rsidP="00592896">
            <w:pPr>
              <w:autoSpaceDE/>
              <w:autoSpaceDN/>
              <w:adjustRightInd/>
              <w:rPr>
                <w:color w:val="000000"/>
                <w:sz w:val="20"/>
                <w:szCs w:val="20"/>
              </w:rPr>
            </w:pPr>
            <w:r w:rsidRPr="007C51D6">
              <w:rPr>
                <w:color w:val="000000"/>
                <w:sz w:val="20"/>
                <w:szCs w:val="20"/>
              </w:rPr>
              <w:t xml:space="preserve">Всего, в том числе: </w:t>
            </w:r>
          </w:p>
        </w:tc>
        <w:tc>
          <w:tcPr>
            <w:tcW w:w="1276" w:type="dxa"/>
            <w:shd w:val="clear" w:color="auto" w:fill="auto"/>
            <w:noWrap/>
          </w:tcPr>
          <w:p w:rsidR="00592896" w:rsidRPr="007C51D6" w:rsidRDefault="00592896" w:rsidP="00592896">
            <w:pPr>
              <w:autoSpaceDE/>
              <w:autoSpaceDN/>
              <w:adjustRightInd/>
              <w:jc w:val="center"/>
              <w:rPr>
                <w:color w:val="000000"/>
                <w:sz w:val="20"/>
                <w:szCs w:val="20"/>
              </w:rPr>
            </w:pPr>
            <w:r w:rsidRPr="007C51D6">
              <w:rPr>
                <w:rFonts w:eastAsia="Arial"/>
                <w:sz w:val="20"/>
                <w:szCs w:val="20"/>
              </w:rPr>
              <w:t>D00 – D48</w:t>
            </w:r>
          </w:p>
        </w:tc>
        <w:tc>
          <w:tcPr>
            <w:tcW w:w="1303" w:type="dxa"/>
          </w:tcPr>
          <w:p w:rsidR="00592896" w:rsidRPr="007C51D6" w:rsidRDefault="00592896" w:rsidP="00592896">
            <w:pPr>
              <w:autoSpaceDE/>
              <w:autoSpaceDN/>
              <w:adjustRightInd/>
              <w:jc w:val="center"/>
              <w:rPr>
                <w:bCs/>
                <w:color w:val="000000"/>
                <w:sz w:val="20"/>
                <w:szCs w:val="20"/>
              </w:rPr>
            </w:pPr>
            <w:r w:rsidRPr="007C51D6">
              <w:rPr>
                <w:bCs/>
                <w:color w:val="000000"/>
                <w:sz w:val="20"/>
                <w:szCs w:val="20"/>
              </w:rPr>
              <w:t>нет</w:t>
            </w:r>
          </w:p>
          <w:p w:rsidR="00592896" w:rsidRPr="007C51D6" w:rsidRDefault="00592896" w:rsidP="00592896">
            <w:pPr>
              <w:autoSpaceDE/>
              <w:autoSpaceDN/>
              <w:adjustRightInd/>
              <w:jc w:val="center"/>
              <w:rPr>
                <w:bCs/>
                <w:color w:val="000000"/>
                <w:sz w:val="20"/>
                <w:szCs w:val="20"/>
              </w:rPr>
            </w:pPr>
            <w:r w:rsidRPr="007C51D6">
              <w:rPr>
                <w:bCs/>
                <w:color w:val="000000"/>
                <w:sz w:val="20"/>
                <w:szCs w:val="20"/>
              </w:rPr>
              <w:t>данных</w:t>
            </w:r>
          </w:p>
        </w:tc>
        <w:tc>
          <w:tcPr>
            <w:tcW w:w="1134" w:type="dxa"/>
          </w:tcPr>
          <w:p w:rsidR="00592896" w:rsidRPr="007C51D6" w:rsidRDefault="00592896" w:rsidP="00592896">
            <w:pPr>
              <w:autoSpaceDE/>
              <w:autoSpaceDN/>
              <w:adjustRightInd/>
              <w:jc w:val="center"/>
              <w:rPr>
                <w:bCs/>
                <w:color w:val="000000"/>
                <w:sz w:val="20"/>
                <w:szCs w:val="20"/>
              </w:rPr>
            </w:pPr>
            <w:r w:rsidRPr="007C51D6">
              <w:rPr>
                <w:bCs/>
                <w:color w:val="000000"/>
                <w:sz w:val="20"/>
                <w:szCs w:val="20"/>
              </w:rPr>
              <w:t>нет</w:t>
            </w:r>
          </w:p>
          <w:p w:rsidR="00592896" w:rsidRPr="007C51D6" w:rsidRDefault="00592896" w:rsidP="00592896">
            <w:pPr>
              <w:autoSpaceDE/>
              <w:autoSpaceDN/>
              <w:adjustRightInd/>
              <w:jc w:val="center"/>
              <w:rPr>
                <w:bCs/>
                <w:color w:val="000000"/>
                <w:sz w:val="20"/>
                <w:szCs w:val="20"/>
              </w:rPr>
            </w:pPr>
            <w:r w:rsidRPr="007C51D6">
              <w:rPr>
                <w:bCs/>
                <w:color w:val="000000"/>
                <w:sz w:val="20"/>
                <w:szCs w:val="20"/>
              </w:rPr>
              <w:t>данных</w:t>
            </w:r>
          </w:p>
        </w:tc>
        <w:tc>
          <w:tcPr>
            <w:tcW w:w="1361" w:type="dxa"/>
          </w:tcPr>
          <w:p w:rsidR="00592896" w:rsidRPr="007C51D6" w:rsidRDefault="00592896" w:rsidP="00592896">
            <w:pPr>
              <w:autoSpaceDE/>
              <w:autoSpaceDN/>
              <w:adjustRightInd/>
              <w:jc w:val="center"/>
              <w:rPr>
                <w:bCs/>
                <w:color w:val="000000"/>
                <w:sz w:val="20"/>
                <w:szCs w:val="20"/>
              </w:rPr>
            </w:pPr>
            <w:r w:rsidRPr="007C51D6">
              <w:rPr>
                <w:bCs/>
                <w:color w:val="000000"/>
                <w:sz w:val="20"/>
                <w:szCs w:val="20"/>
              </w:rPr>
              <w:t>нет</w:t>
            </w:r>
          </w:p>
          <w:p w:rsidR="00592896" w:rsidRPr="007C51D6" w:rsidRDefault="00592896" w:rsidP="00592896">
            <w:pPr>
              <w:autoSpaceDE/>
              <w:autoSpaceDN/>
              <w:adjustRightInd/>
              <w:jc w:val="center"/>
              <w:rPr>
                <w:bCs/>
                <w:color w:val="000000"/>
                <w:sz w:val="20"/>
                <w:szCs w:val="20"/>
              </w:rPr>
            </w:pPr>
            <w:r w:rsidRPr="007C51D6">
              <w:rPr>
                <w:bCs/>
                <w:color w:val="000000"/>
                <w:sz w:val="20"/>
                <w:szCs w:val="20"/>
              </w:rPr>
              <w:t>данных</w:t>
            </w:r>
          </w:p>
        </w:tc>
        <w:tc>
          <w:tcPr>
            <w:tcW w:w="992" w:type="dxa"/>
          </w:tcPr>
          <w:p w:rsidR="00592896" w:rsidRPr="007C51D6" w:rsidRDefault="00592896" w:rsidP="00592896">
            <w:pPr>
              <w:autoSpaceDE/>
              <w:autoSpaceDN/>
              <w:adjustRightInd/>
              <w:jc w:val="center"/>
              <w:rPr>
                <w:color w:val="000000"/>
                <w:sz w:val="20"/>
                <w:szCs w:val="20"/>
              </w:rPr>
            </w:pPr>
            <w:r w:rsidRPr="007C51D6">
              <w:rPr>
                <w:color w:val="000000"/>
                <w:sz w:val="20"/>
                <w:szCs w:val="20"/>
              </w:rPr>
              <w:t>1,95</w:t>
            </w:r>
          </w:p>
        </w:tc>
        <w:tc>
          <w:tcPr>
            <w:tcW w:w="851" w:type="dxa"/>
          </w:tcPr>
          <w:p w:rsidR="00592896" w:rsidRPr="007C51D6" w:rsidRDefault="00592896" w:rsidP="00592896">
            <w:pPr>
              <w:jc w:val="center"/>
              <w:rPr>
                <w:color w:val="000000"/>
                <w:sz w:val="20"/>
                <w:szCs w:val="20"/>
              </w:rPr>
            </w:pPr>
            <w:r w:rsidRPr="007C51D6">
              <w:rPr>
                <w:color w:val="000000"/>
                <w:sz w:val="20"/>
                <w:szCs w:val="20"/>
              </w:rPr>
              <w:t>2,31</w:t>
            </w:r>
          </w:p>
        </w:tc>
        <w:tc>
          <w:tcPr>
            <w:tcW w:w="850" w:type="dxa"/>
          </w:tcPr>
          <w:p w:rsidR="00592896" w:rsidRPr="007C51D6" w:rsidRDefault="00592896" w:rsidP="00592896">
            <w:pPr>
              <w:jc w:val="center"/>
              <w:rPr>
                <w:color w:val="000000"/>
                <w:sz w:val="20"/>
                <w:szCs w:val="20"/>
              </w:rPr>
            </w:pPr>
            <w:r w:rsidRPr="007C51D6">
              <w:rPr>
                <w:color w:val="000000"/>
                <w:sz w:val="20"/>
                <w:szCs w:val="20"/>
              </w:rPr>
              <w:t>2,47</w:t>
            </w:r>
          </w:p>
        </w:tc>
        <w:tc>
          <w:tcPr>
            <w:tcW w:w="851" w:type="dxa"/>
          </w:tcPr>
          <w:p w:rsidR="00592896" w:rsidRPr="007C51D6" w:rsidRDefault="00592896" w:rsidP="00592896">
            <w:pPr>
              <w:jc w:val="center"/>
              <w:rPr>
                <w:color w:val="000000"/>
                <w:sz w:val="20"/>
                <w:szCs w:val="20"/>
              </w:rPr>
            </w:pPr>
            <w:r w:rsidRPr="007C51D6">
              <w:rPr>
                <w:color w:val="000000"/>
                <w:sz w:val="20"/>
                <w:szCs w:val="20"/>
              </w:rPr>
              <w:t>2,28</w:t>
            </w:r>
          </w:p>
        </w:tc>
        <w:tc>
          <w:tcPr>
            <w:tcW w:w="829" w:type="dxa"/>
          </w:tcPr>
          <w:p w:rsidR="00592896" w:rsidRPr="007C51D6" w:rsidRDefault="00592896" w:rsidP="00592896">
            <w:pPr>
              <w:jc w:val="center"/>
              <w:rPr>
                <w:color w:val="000000"/>
                <w:sz w:val="20"/>
                <w:szCs w:val="20"/>
              </w:rPr>
            </w:pPr>
            <w:r w:rsidRPr="007C51D6">
              <w:rPr>
                <w:color w:val="000000"/>
                <w:sz w:val="20"/>
                <w:szCs w:val="20"/>
              </w:rPr>
              <w:t>1,85</w:t>
            </w:r>
          </w:p>
        </w:tc>
        <w:tc>
          <w:tcPr>
            <w:tcW w:w="907" w:type="dxa"/>
          </w:tcPr>
          <w:p w:rsidR="00592896" w:rsidRPr="007C51D6" w:rsidRDefault="00592896" w:rsidP="00592896">
            <w:pPr>
              <w:jc w:val="center"/>
              <w:rPr>
                <w:color w:val="000000"/>
                <w:sz w:val="20"/>
                <w:szCs w:val="20"/>
              </w:rPr>
            </w:pPr>
            <w:r w:rsidRPr="007C51D6">
              <w:rPr>
                <w:color w:val="000000"/>
                <w:sz w:val="20"/>
                <w:szCs w:val="20"/>
              </w:rPr>
              <w:t>2,60</w:t>
            </w:r>
          </w:p>
        </w:tc>
        <w:tc>
          <w:tcPr>
            <w:tcW w:w="907" w:type="dxa"/>
          </w:tcPr>
          <w:p w:rsidR="00592896" w:rsidRPr="007C51D6" w:rsidRDefault="00592896" w:rsidP="00592896">
            <w:pPr>
              <w:autoSpaceDE/>
              <w:autoSpaceDN/>
              <w:adjustRightInd/>
              <w:jc w:val="center"/>
              <w:rPr>
                <w:bCs/>
                <w:color w:val="000000"/>
                <w:sz w:val="20"/>
                <w:szCs w:val="20"/>
              </w:rPr>
            </w:pPr>
            <w:r w:rsidRPr="007C51D6">
              <w:rPr>
                <w:bCs/>
                <w:color w:val="000000"/>
                <w:sz w:val="20"/>
                <w:szCs w:val="20"/>
              </w:rPr>
              <w:t>нет</w:t>
            </w:r>
          </w:p>
          <w:p w:rsidR="00592896" w:rsidRPr="007C51D6" w:rsidRDefault="00592896" w:rsidP="00592896">
            <w:pPr>
              <w:autoSpaceDE/>
              <w:autoSpaceDN/>
              <w:adjustRightInd/>
              <w:jc w:val="center"/>
              <w:rPr>
                <w:bCs/>
                <w:color w:val="000000"/>
                <w:sz w:val="20"/>
                <w:szCs w:val="20"/>
              </w:rPr>
            </w:pPr>
            <w:r w:rsidRPr="007C51D6">
              <w:rPr>
                <w:bCs/>
                <w:color w:val="000000"/>
                <w:sz w:val="20"/>
                <w:szCs w:val="20"/>
              </w:rPr>
              <w:t>данных</w:t>
            </w:r>
          </w:p>
        </w:tc>
      </w:tr>
      <w:tr w:rsidR="00592896" w:rsidRPr="007C51D6" w:rsidTr="00B93D5E">
        <w:trPr>
          <w:cantSplit/>
          <w:trHeight w:val="20"/>
          <w:jc w:val="center"/>
        </w:trPr>
        <w:tc>
          <w:tcPr>
            <w:tcW w:w="3539" w:type="dxa"/>
            <w:shd w:val="clear" w:color="auto" w:fill="auto"/>
            <w:noWrap/>
          </w:tcPr>
          <w:p w:rsidR="00592896" w:rsidRPr="007C51D6" w:rsidRDefault="00592896" w:rsidP="00592896">
            <w:pPr>
              <w:autoSpaceDE/>
              <w:autoSpaceDN/>
              <w:adjustRightInd/>
              <w:jc w:val="both"/>
              <w:rPr>
                <w:rFonts w:eastAsia="Arial"/>
                <w:sz w:val="20"/>
                <w:szCs w:val="20"/>
              </w:rPr>
            </w:pPr>
            <w:r w:rsidRPr="007C51D6">
              <w:rPr>
                <w:color w:val="333333"/>
                <w:sz w:val="20"/>
                <w:szCs w:val="20"/>
              </w:rPr>
              <w:t>карцинома in situ полости рта, пищевода и желудка</w:t>
            </w:r>
          </w:p>
        </w:tc>
        <w:tc>
          <w:tcPr>
            <w:tcW w:w="1276" w:type="dxa"/>
            <w:shd w:val="clear" w:color="auto" w:fill="auto"/>
            <w:noWrap/>
          </w:tcPr>
          <w:p w:rsidR="00592896" w:rsidRPr="007C51D6" w:rsidRDefault="00592896" w:rsidP="00592896">
            <w:pPr>
              <w:autoSpaceDE/>
              <w:autoSpaceDN/>
              <w:adjustRightInd/>
              <w:jc w:val="center"/>
              <w:rPr>
                <w:rFonts w:eastAsia="Arial"/>
                <w:sz w:val="20"/>
                <w:szCs w:val="20"/>
                <w:lang w:val="en-US"/>
              </w:rPr>
            </w:pPr>
            <w:r w:rsidRPr="007C51D6">
              <w:rPr>
                <w:rFonts w:eastAsia="Arial"/>
                <w:sz w:val="20"/>
                <w:szCs w:val="20"/>
                <w:lang w:val="en-US"/>
              </w:rPr>
              <w:t>D00</w:t>
            </w:r>
          </w:p>
        </w:tc>
        <w:tc>
          <w:tcPr>
            <w:tcW w:w="1303" w:type="dxa"/>
          </w:tcPr>
          <w:p w:rsidR="00592896" w:rsidRPr="007C51D6" w:rsidRDefault="00592896" w:rsidP="00592896">
            <w:pPr>
              <w:autoSpaceDE/>
              <w:autoSpaceDN/>
              <w:adjustRightInd/>
              <w:jc w:val="center"/>
              <w:rPr>
                <w:bCs/>
                <w:color w:val="000000"/>
                <w:sz w:val="20"/>
                <w:szCs w:val="20"/>
              </w:rPr>
            </w:pPr>
            <w:r w:rsidRPr="007C51D6">
              <w:rPr>
                <w:bCs/>
                <w:color w:val="000000"/>
                <w:sz w:val="20"/>
                <w:szCs w:val="20"/>
              </w:rPr>
              <w:t>нет</w:t>
            </w:r>
          </w:p>
          <w:p w:rsidR="00592896" w:rsidRPr="007C51D6" w:rsidRDefault="00592896" w:rsidP="00592896">
            <w:pPr>
              <w:autoSpaceDE/>
              <w:autoSpaceDN/>
              <w:adjustRightInd/>
              <w:jc w:val="center"/>
              <w:rPr>
                <w:bCs/>
                <w:color w:val="000000"/>
                <w:sz w:val="20"/>
                <w:szCs w:val="20"/>
              </w:rPr>
            </w:pPr>
            <w:r w:rsidRPr="007C51D6">
              <w:rPr>
                <w:bCs/>
                <w:color w:val="000000"/>
                <w:sz w:val="20"/>
                <w:szCs w:val="20"/>
              </w:rPr>
              <w:t>данных</w:t>
            </w:r>
          </w:p>
        </w:tc>
        <w:tc>
          <w:tcPr>
            <w:tcW w:w="1134" w:type="dxa"/>
          </w:tcPr>
          <w:p w:rsidR="00592896" w:rsidRPr="007C51D6" w:rsidRDefault="00592896" w:rsidP="00592896">
            <w:pPr>
              <w:autoSpaceDE/>
              <w:autoSpaceDN/>
              <w:adjustRightInd/>
              <w:jc w:val="center"/>
              <w:rPr>
                <w:bCs/>
                <w:color w:val="000000"/>
                <w:sz w:val="20"/>
                <w:szCs w:val="20"/>
              </w:rPr>
            </w:pPr>
            <w:r w:rsidRPr="007C51D6">
              <w:rPr>
                <w:bCs/>
                <w:color w:val="000000"/>
                <w:sz w:val="20"/>
                <w:szCs w:val="20"/>
              </w:rPr>
              <w:t>нет</w:t>
            </w:r>
          </w:p>
          <w:p w:rsidR="00592896" w:rsidRPr="007C51D6" w:rsidRDefault="00592896" w:rsidP="00592896">
            <w:pPr>
              <w:autoSpaceDE/>
              <w:autoSpaceDN/>
              <w:adjustRightInd/>
              <w:jc w:val="center"/>
              <w:rPr>
                <w:bCs/>
                <w:color w:val="000000"/>
                <w:sz w:val="20"/>
                <w:szCs w:val="20"/>
              </w:rPr>
            </w:pPr>
            <w:r w:rsidRPr="007C51D6">
              <w:rPr>
                <w:bCs/>
                <w:color w:val="000000"/>
                <w:sz w:val="20"/>
                <w:szCs w:val="20"/>
              </w:rPr>
              <w:t>данных</w:t>
            </w:r>
          </w:p>
        </w:tc>
        <w:tc>
          <w:tcPr>
            <w:tcW w:w="1361" w:type="dxa"/>
          </w:tcPr>
          <w:p w:rsidR="00592896" w:rsidRPr="007C51D6" w:rsidRDefault="00592896" w:rsidP="00592896">
            <w:pPr>
              <w:autoSpaceDE/>
              <w:autoSpaceDN/>
              <w:adjustRightInd/>
              <w:jc w:val="center"/>
              <w:rPr>
                <w:bCs/>
                <w:color w:val="000000"/>
                <w:sz w:val="20"/>
                <w:szCs w:val="20"/>
              </w:rPr>
            </w:pPr>
            <w:r w:rsidRPr="007C51D6">
              <w:rPr>
                <w:bCs/>
                <w:color w:val="000000"/>
                <w:sz w:val="20"/>
                <w:szCs w:val="20"/>
              </w:rPr>
              <w:t>нет</w:t>
            </w:r>
          </w:p>
          <w:p w:rsidR="00592896" w:rsidRPr="007C51D6" w:rsidRDefault="00592896" w:rsidP="00592896">
            <w:pPr>
              <w:autoSpaceDE/>
              <w:autoSpaceDN/>
              <w:adjustRightInd/>
              <w:jc w:val="center"/>
              <w:rPr>
                <w:bCs/>
                <w:color w:val="000000"/>
                <w:sz w:val="20"/>
                <w:szCs w:val="20"/>
              </w:rPr>
            </w:pPr>
            <w:r w:rsidRPr="007C51D6">
              <w:rPr>
                <w:bCs/>
                <w:color w:val="000000"/>
                <w:sz w:val="20"/>
                <w:szCs w:val="20"/>
              </w:rPr>
              <w:t>данных</w:t>
            </w:r>
          </w:p>
        </w:tc>
        <w:tc>
          <w:tcPr>
            <w:tcW w:w="992" w:type="dxa"/>
          </w:tcPr>
          <w:p w:rsidR="00592896" w:rsidRPr="007C51D6" w:rsidRDefault="00592896" w:rsidP="00592896">
            <w:pPr>
              <w:jc w:val="center"/>
              <w:rPr>
                <w:color w:val="000000"/>
                <w:sz w:val="20"/>
                <w:szCs w:val="20"/>
              </w:rPr>
            </w:pPr>
            <w:r w:rsidRPr="007C51D6">
              <w:rPr>
                <w:color w:val="000000"/>
                <w:sz w:val="20"/>
                <w:szCs w:val="20"/>
              </w:rPr>
              <w:t>0,00</w:t>
            </w:r>
          </w:p>
        </w:tc>
        <w:tc>
          <w:tcPr>
            <w:tcW w:w="851" w:type="dxa"/>
          </w:tcPr>
          <w:p w:rsidR="00592896" w:rsidRPr="007C51D6" w:rsidRDefault="00592896" w:rsidP="00592896">
            <w:pPr>
              <w:jc w:val="center"/>
              <w:rPr>
                <w:color w:val="000000"/>
                <w:sz w:val="20"/>
                <w:szCs w:val="20"/>
              </w:rPr>
            </w:pPr>
            <w:r w:rsidRPr="007C51D6">
              <w:rPr>
                <w:color w:val="000000"/>
                <w:sz w:val="20"/>
                <w:szCs w:val="20"/>
              </w:rPr>
              <w:t>0,00</w:t>
            </w:r>
          </w:p>
        </w:tc>
        <w:tc>
          <w:tcPr>
            <w:tcW w:w="850" w:type="dxa"/>
          </w:tcPr>
          <w:p w:rsidR="00592896" w:rsidRPr="007C51D6" w:rsidRDefault="00592896" w:rsidP="00592896">
            <w:pPr>
              <w:jc w:val="center"/>
              <w:rPr>
                <w:color w:val="000000"/>
                <w:sz w:val="20"/>
                <w:szCs w:val="20"/>
              </w:rPr>
            </w:pPr>
            <w:r w:rsidRPr="007C51D6">
              <w:rPr>
                <w:color w:val="000000"/>
                <w:sz w:val="20"/>
                <w:szCs w:val="20"/>
              </w:rPr>
              <w:t>0,00</w:t>
            </w:r>
          </w:p>
        </w:tc>
        <w:tc>
          <w:tcPr>
            <w:tcW w:w="851" w:type="dxa"/>
          </w:tcPr>
          <w:p w:rsidR="00592896" w:rsidRPr="007C51D6" w:rsidRDefault="00592896" w:rsidP="00592896">
            <w:pPr>
              <w:jc w:val="center"/>
              <w:rPr>
                <w:color w:val="000000"/>
                <w:sz w:val="20"/>
                <w:szCs w:val="20"/>
              </w:rPr>
            </w:pPr>
            <w:r w:rsidRPr="007C51D6">
              <w:rPr>
                <w:color w:val="000000"/>
                <w:sz w:val="20"/>
                <w:szCs w:val="20"/>
              </w:rPr>
              <w:t>0,00</w:t>
            </w:r>
          </w:p>
        </w:tc>
        <w:tc>
          <w:tcPr>
            <w:tcW w:w="829" w:type="dxa"/>
          </w:tcPr>
          <w:p w:rsidR="00592896" w:rsidRPr="007C51D6" w:rsidRDefault="00592896" w:rsidP="00592896">
            <w:pPr>
              <w:jc w:val="center"/>
              <w:rPr>
                <w:color w:val="000000"/>
                <w:sz w:val="20"/>
                <w:szCs w:val="20"/>
              </w:rPr>
            </w:pPr>
            <w:r w:rsidRPr="007C51D6">
              <w:rPr>
                <w:color w:val="000000"/>
                <w:sz w:val="20"/>
                <w:szCs w:val="20"/>
              </w:rPr>
              <w:t>0,00</w:t>
            </w:r>
          </w:p>
        </w:tc>
        <w:tc>
          <w:tcPr>
            <w:tcW w:w="907" w:type="dxa"/>
          </w:tcPr>
          <w:p w:rsidR="00592896" w:rsidRPr="007C51D6" w:rsidRDefault="00592896" w:rsidP="00592896">
            <w:pPr>
              <w:jc w:val="center"/>
              <w:rPr>
                <w:color w:val="000000"/>
                <w:sz w:val="20"/>
                <w:szCs w:val="20"/>
              </w:rPr>
            </w:pPr>
            <w:r w:rsidRPr="007C51D6">
              <w:rPr>
                <w:color w:val="000000"/>
                <w:sz w:val="20"/>
                <w:szCs w:val="20"/>
              </w:rPr>
              <w:t>0,00</w:t>
            </w:r>
          </w:p>
        </w:tc>
        <w:tc>
          <w:tcPr>
            <w:tcW w:w="907" w:type="dxa"/>
          </w:tcPr>
          <w:p w:rsidR="00592896" w:rsidRPr="007C51D6" w:rsidRDefault="00592896" w:rsidP="00592896">
            <w:pPr>
              <w:autoSpaceDE/>
              <w:autoSpaceDN/>
              <w:adjustRightInd/>
              <w:jc w:val="center"/>
              <w:rPr>
                <w:bCs/>
                <w:color w:val="000000"/>
                <w:sz w:val="20"/>
                <w:szCs w:val="20"/>
              </w:rPr>
            </w:pPr>
            <w:r w:rsidRPr="007C51D6">
              <w:rPr>
                <w:bCs/>
                <w:color w:val="000000"/>
                <w:sz w:val="20"/>
                <w:szCs w:val="20"/>
              </w:rPr>
              <w:t>нет</w:t>
            </w:r>
          </w:p>
          <w:p w:rsidR="00592896" w:rsidRPr="007C51D6" w:rsidRDefault="00592896" w:rsidP="00592896">
            <w:pPr>
              <w:autoSpaceDE/>
              <w:autoSpaceDN/>
              <w:adjustRightInd/>
              <w:jc w:val="center"/>
              <w:rPr>
                <w:bCs/>
                <w:color w:val="000000"/>
                <w:sz w:val="20"/>
                <w:szCs w:val="20"/>
              </w:rPr>
            </w:pPr>
            <w:r w:rsidRPr="007C51D6">
              <w:rPr>
                <w:bCs/>
                <w:color w:val="000000"/>
                <w:sz w:val="20"/>
                <w:szCs w:val="20"/>
              </w:rPr>
              <w:t>данных</w:t>
            </w:r>
          </w:p>
        </w:tc>
      </w:tr>
      <w:tr w:rsidR="00592896" w:rsidRPr="007C51D6" w:rsidTr="00B93D5E">
        <w:trPr>
          <w:cantSplit/>
          <w:trHeight w:val="20"/>
          <w:jc w:val="center"/>
        </w:trPr>
        <w:tc>
          <w:tcPr>
            <w:tcW w:w="3539" w:type="dxa"/>
            <w:shd w:val="clear" w:color="auto" w:fill="auto"/>
            <w:noWrap/>
          </w:tcPr>
          <w:p w:rsidR="00592896" w:rsidRPr="007C51D6" w:rsidRDefault="00592896" w:rsidP="00592896">
            <w:pPr>
              <w:autoSpaceDE/>
              <w:autoSpaceDN/>
              <w:adjustRightInd/>
              <w:jc w:val="both"/>
              <w:rPr>
                <w:rFonts w:eastAsia="Arial"/>
                <w:sz w:val="20"/>
                <w:szCs w:val="20"/>
              </w:rPr>
            </w:pPr>
            <w:r w:rsidRPr="007C51D6">
              <w:rPr>
                <w:color w:val="333333"/>
                <w:sz w:val="20"/>
                <w:szCs w:val="20"/>
              </w:rPr>
              <w:t>карцинома in situ других и неуточненных органов пищеварения</w:t>
            </w:r>
          </w:p>
        </w:tc>
        <w:tc>
          <w:tcPr>
            <w:tcW w:w="1276" w:type="dxa"/>
            <w:shd w:val="clear" w:color="auto" w:fill="auto"/>
            <w:noWrap/>
          </w:tcPr>
          <w:p w:rsidR="00592896" w:rsidRPr="007C51D6" w:rsidRDefault="00592896" w:rsidP="00592896">
            <w:pPr>
              <w:autoSpaceDE/>
              <w:autoSpaceDN/>
              <w:adjustRightInd/>
              <w:jc w:val="center"/>
              <w:rPr>
                <w:rFonts w:eastAsia="Arial"/>
                <w:sz w:val="20"/>
                <w:szCs w:val="20"/>
              </w:rPr>
            </w:pPr>
            <w:r w:rsidRPr="007C51D6">
              <w:rPr>
                <w:rFonts w:eastAsia="Arial"/>
                <w:sz w:val="20"/>
                <w:szCs w:val="20"/>
                <w:lang w:val="en-US"/>
              </w:rPr>
              <w:t>D01</w:t>
            </w:r>
          </w:p>
        </w:tc>
        <w:tc>
          <w:tcPr>
            <w:tcW w:w="1303" w:type="dxa"/>
          </w:tcPr>
          <w:p w:rsidR="00592896" w:rsidRPr="007C51D6" w:rsidRDefault="00592896" w:rsidP="00592896">
            <w:pPr>
              <w:autoSpaceDE/>
              <w:autoSpaceDN/>
              <w:adjustRightInd/>
              <w:jc w:val="center"/>
              <w:rPr>
                <w:bCs/>
                <w:color w:val="000000"/>
                <w:sz w:val="20"/>
                <w:szCs w:val="20"/>
              </w:rPr>
            </w:pPr>
            <w:r w:rsidRPr="007C51D6">
              <w:rPr>
                <w:bCs/>
                <w:color w:val="000000"/>
                <w:sz w:val="20"/>
                <w:szCs w:val="20"/>
              </w:rPr>
              <w:t>нет</w:t>
            </w:r>
          </w:p>
          <w:p w:rsidR="00592896" w:rsidRPr="007C51D6" w:rsidRDefault="00592896" w:rsidP="00592896">
            <w:pPr>
              <w:autoSpaceDE/>
              <w:autoSpaceDN/>
              <w:adjustRightInd/>
              <w:jc w:val="center"/>
              <w:rPr>
                <w:bCs/>
                <w:color w:val="000000"/>
                <w:sz w:val="20"/>
                <w:szCs w:val="20"/>
              </w:rPr>
            </w:pPr>
            <w:r w:rsidRPr="007C51D6">
              <w:rPr>
                <w:bCs/>
                <w:color w:val="000000"/>
                <w:sz w:val="20"/>
                <w:szCs w:val="20"/>
              </w:rPr>
              <w:t>данных</w:t>
            </w:r>
          </w:p>
        </w:tc>
        <w:tc>
          <w:tcPr>
            <w:tcW w:w="1134" w:type="dxa"/>
          </w:tcPr>
          <w:p w:rsidR="00592896" w:rsidRPr="007C51D6" w:rsidRDefault="00592896" w:rsidP="00592896">
            <w:pPr>
              <w:autoSpaceDE/>
              <w:autoSpaceDN/>
              <w:adjustRightInd/>
              <w:jc w:val="center"/>
              <w:rPr>
                <w:bCs/>
                <w:color w:val="000000"/>
                <w:sz w:val="20"/>
                <w:szCs w:val="20"/>
              </w:rPr>
            </w:pPr>
            <w:r w:rsidRPr="007C51D6">
              <w:rPr>
                <w:bCs/>
                <w:color w:val="000000"/>
                <w:sz w:val="20"/>
                <w:szCs w:val="20"/>
              </w:rPr>
              <w:t>нет</w:t>
            </w:r>
          </w:p>
          <w:p w:rsidR="00592896" w:rsidRPr="007C51D6" w:rsidRDefault="00592896" w:rsidP="00592896">
            <w:pPr>
              <w:autoSpaceDE/>
              <w:autoSpaceDN/>
              <w:adjustRightInd/>
              <w:jc w:val="center"/>
              <w:rPr>
                <w:bCs/>
                <w:color w:val="000000"/>
                <w:sz w:val="20"/>
                <w:szCs w:val="20"/>
              </w:rPr>
            </w:pPr>
            <w:r w:rsidRPr="007C51D6">
              <w:rPr>
                <w:bCs/>
                <w:color w:val="000000"/>
                <w:sz w:val="20"/>
                <w:szCs w:val="20"/>
              </w:rPr>
              <w:t>данных</w:t>
            </w:r>
          </w:p>
        </w:tc>
        <w:tc>
          <w:tcPr>
            <w:tcW w:w="1361" w:type="dxa"/>
          </w:tcPr>
          <w:p w:rsidR="00592896" w:rsidRPr="007C51D6" w:rsidRDefault="00592896" w:rsidP="00592896">
            <w:pPr>
              <w:autoSpaceDE/>
              <w:autoSpaceDN/>
              <w:adjustRightInd/>
              <w:jc w:val="center"/>
              <w:rPr>
                <w:bCs/>
                <w:color w:val="000000"/>
                <w:sz w:val="20"/>
                <w:szCs w:val="20"/>
              </w:rPr>
            </w:pPr>
            <w:r w:rsidRPr="007C51D6">
              <w:rPr>
                <w:bCs/>
                <w:color w:val="000000"/>
                <w:sz w:val="20"/>
                <w:szCs w:val="20"/>
              </w:rPr>
              <w:t>нет</w:t>
            </w:r>
          </w:p>
          <w:p w:rsidR="00592896" w:rsidRPr="007C51D6" w:rsidRDefault="00592896" w:rsidP="00592896">
            <w:pPr>
              <w:autoSpaceDE/>
              <w:autoSpaceDN/>
              <w:adjustRightInd/>
              <w:jc w:val="center"/>
              <w:rPr>
                <w:bCs/>
                <w:color w:val="000000"/>
                <w:sz w:val="20"/>
                <w:szCs w:val="20"/>
              </w:rPr>
            </w:pPr>
            <w:r w:rsidRPr="007C51D6">
              <w:rPr>
                <w:bCs/>
                <w:color w:val="000000"/>
                <w:sz w:val="20"/>
                <w:szCs w:val="20"/>
              </w:rPr>
              <w:t>данных</w:t>
            </w:r>
          </w:p>
        </w:tc>
        <w:tc>
          <w:tcPr>
            <w:tcW w:w="992" w:type="dxa"/>
          </w:tcPr>
          <w:p w:rsidR="00592896" w:rsidRPr="007C51D6" w:rsidRDefault="00592896" w:rsidP="00592896">
            <w:pPr>
              <w:jc w:val="center"/>
              <w:rPr>
                <w:color w:val="000000"/>
                <w:sz w:val="20"/>
                <w:szCs w:val="20"/>
              </w:rPr>
            </w:pPr>
            <w:r w:rsidRPr="007C51D6">
              <w:rPr>
                <w:color w:val="000000"/>
                <w:sz w:val="20"/>
                <w:szCs w:val="20"/>
              </w:rPr>
              <w:t>0,00</w:t>
            </w:r>
          </w:p>
        </w:tc>
        <w:tc>
          <w:tcPr>
            <w:tcW w:w="851" w:type="dxa"/>
          </w:tcPr>
          <w:p w:rsidR="00592896" w:rsidRPr="007C51D6" w:rsidRDefault="00592896" w:rsidP="00592896">
            <w:pPr>
              <w:jc w:val="center"/>
              <w:rPr>
                <w:color w:val="000000"/>
                <w:sz w:val="20"/>
                <w:szCs w:val="20"/>
              </w:rPr>
            </w:pPr>
            <w:r w:rsidRPr="007C51D6">
              <w:rPr>
                <w:color w:val="000000"/>
                <w:sz w:val="20"/>
                <w:szCs w:val="20"/>
              </w:rPr>
              <w:t>0,00</w:t>
            </w:r>
          </w:p>
        </w:tc>
        <w:tc>
          <w:tcPr>
            <w:tcW w:w="850" w:type="dxa"/>
          </w:tcPr>
          <w:p w:rsidR="00592896" w:rsidRPr="007C51D6" w:rsidRDefault="00592896" w:rsidP="00592896">
            <w:pPr>
              <w:jc w:val="center"/>
              <w:rPr>
                <w:color w:val="000000"/>
                <w:sz w:val="20"/>
                <w:szCs w:val="20"/>
              </w:rPr>
            </w:pPr>
            <w:r w:rsidRPr="007C51D6">
              <w:rPr>
                <w:color w:val="000000"/>
                <w:sz w:val="20"/>
                <w:szCs w:val="20"/>
              </w:rPr>
              <w:t>0,00</w:t>
            </w:r>
          </w:p>
        </w:tc>
        <w:tc>
          <w:tcPr>
            <w:tcW w:w="851" w:type="dxa"/>
          </w:tcPr>
          <w:p w:rsidR="00592896" w:rsidRPr="007C51D6" w:rsidRDefault="00592896" w:rsidP="00592896">
            <w:pPr>
              <w:jc w:val="center"/>
              <w:rPr>
                <w:color w:val="000000"/>
                <w:sz w:val="20"/>
                <w:szCs w:val="20"/>
              </w:rPr>
            </w:pPr>
            <w:r w:rsidRPr="007C51D6">
              <w:rPr>
                <w:color w:val="000000"/>
                <w:sz w:val="20"/>
                <w:szCs w:val="20"/>
              </w:rPr>
              <w:t>0,00</w:t>
            </w:r>
          </w:p>
        </w:tc>
        <w:tc>
          <w:tcPr>
            <w:tcW w:w="829" w:type="dxa"/>
          </w:tcPr>
          <w:p w:rsidR="00592896" w:rsidRPr="007C51D6" w:rsidRDefault="00592896" w:rsidP="00592896">
            <w:pPr>
              <w:jc w:val="center"/>
              <w:rPr>
                <w:color w:val="000000"/>
                <w:sz w:val="20"/>
                <w:szCs w:val="20"/>
              </w:rPr>
            </w:pPr>
            <w:r w:rsidRPr="007C51D6">
              <w:rPr>
                <w:color w:val="000000"/>
                <w:sz w:val="20"/>
                <w:szCs w:val="20"/>
              </w:rPr>
              <w:t>0,00</w:t>
            </w:r>
          </w:p>
        </w:tc>
        <w:tc>
          <w:tcPr>
            <w:tcW w:w="907" w:type="dxa"/>
          </w:tcPr>
          <w:p w:rsidR="00592896" w:rsidRPr="007C51D6" w:rsidRDefault="00592896" w:rsidP="00592896">
            <w:pPr>
              <w:jc w:val="center"/>
              <w:rPr>
                <w:color w:val="000000"/>
                <w:sz w:val="20"/>
                <w:szCs w:val="20"/>
              </w:rPr>
            </w:pPr>
            <w:r w:rsidRPr="007C51D6">
              <w:rPr>
                <w:color w:val="000000"/>
                <w:sz w:val="20"/>
                <w:szCs w:val="20"/>
              </w:rPr>
              <w:t>0,00</w:t>
            </w:r>
          </w:p>
        </w:tc>
        <w:tc>
          <w:tcPr>
            <w:tcW w:w="907" w:type="dxa"/>
          </w:tcPr>
          <w:p w:rsidR="00592896" w:rsidRPr="007C51D6" w:rsidRDefault="00592896" w:rsidP="00592896">
            <w:pPr>
              <w:autoSpaceDE/>
              <w:autoSpaceDN/>
              <w:adjustRightInd/>
              <w:jc w:val="center"/>
              <w:rPr>
                <w:bCs/>
                <w:color w:val="000000"/>
                <w:sz w:val="20"/>
                <w:szCs w:val="20"/>
              </w:rPr>
            </w:pPr>
            <w:r w:rsidRPr="007C51D6">
              <w:rPr>
                <w:bCs/>
                <w:color w:val="000000"/>
                <w:sz w:val="20"/>
                <w:szCs w:val="20"/>
              </w:rPr>
              <w:t>нет</w:t>
            </w:r>
          </w:p>
          <w:p w:rsidR="00592896" w:rsidRPr="007C51D6" w:rsidRDefault="00592896" w:rsidP="00592896">
            <w:pPr>
              <w:autoSpaceDE/>
              <w:autoSpaceDN/>
              <w:adjustRightInd/>
              <w:jc w:val="center"/>
              <w:rPr>
                <w:bCs/>
                <w:color w:val="000000"/>
                <w:sz w:val="20"/>
                <w:szCs w:val="20"/>
              </w:rPr>
            </w:pPr>
            <w:r w:rsidRPr="007C51D6">
              <w:rPr>
                <w:bCs/>
                <w:color w:val="000000"/>
                <w:sz w:val="20"/>
                <w:szCs w:val="20"/>
              </w:rPr>
              <w:t>данных</w:t>
            </w:r>
          </w:p>
        </w:tc>
      </w:tr>
      <w:tr w:rsidR="00592896" w:rsidRPr="007C51D6" w:rsidTr="00B93D5E">
        <w:trPr>
          <w:cantSplit/>
          <w:trHeight w:val="20"/>
          <w:jc w:val="center"/>
        </w:trPr>
        <w:tc>
          <w:tcPr>
            <w:tcW w:w="3539" w:type="dxa"/>
            <w:shd w:val="clear" w:color="auto" w:fill="auto"/>
            <w:noWrap/>
          </w:tcPr>
          <w:p w:rsidR="00592896" w:rsidRPr="007C51D6" w:rsidRDefault="00592896" w:rsidP="00592896">
            <w:pPr>
              <w:autoSpaceDE/>
              <w:autoSpaceDN/>
              <w:adjustRightInd/>
              <w:jc w:val="both"/>
              <w:rPr>
                <w:rFonts w:eastAsia="Arial"/>
                <w:sz w:val="20"/>
                <w:szCs w:val="20"/>
              </w:rPr>
            </w:pPr>
            <w:r w:rsidRPr="007C51D6">
              <w:rPr>
                <w:color w:val="333333"/>
                <w:sz w:val="20"/>
                <w:szCs w:val="20"/>
              </w:rPr>
              <w:t>карцинома in situ среднего уха и органов дыхания</w:t>
            </w:r>
          </w:p>
        </w:tc>
        <w:tc>
          <w:tcPr>
            <w:tcW w:w="1276" w:type="dxa"/>
            <w:shd w:val="clear" w:color="auto" w:fill="auto"/>
            <w:noWrap/>
          </w:tcPr>
          <w:p w:rsidR="00592896" w:rsidRPr="007C51D6" w:rsidRDefault="00592896" w:rsidP="00592896">
            <w:pPr>
              <w:autoSpaceDE/>
              <w:autoSpaceDN/>
              <w:adjustRightInd/>
              <w:jc w:val="center"/>
              <w:rPr>
                <w:rFonts w:eastAsia="Arial"/>
                <w:sz w:val="20"/>
                <w:szCs w:val="20"/>
              </w:rPr>
            </w:pPr>
            <w:r w:rsidRPr="007C51D6">
              <w:rPr>
                <w:rFonts w:eastAsia="Arial"/>
                <w:sz w:val="20"/>
                <w:szCs w:val="20"/>
                <w:lang w:val="en-US"/>
              </w:rPr>
              <w:t>D02</w:t>
            </w:r>
          </w:p>
        </w:tc>
        <w:tc>
          <w:tcPr>
            <w:tcW w:w="1303" w:type="dxa"/>
          </w:tcPr>
          <w:p w:rsidR="00592896" w:rsidRPr="007C51D6" w:rsidRDefault="00592896" w:rsidP="00592896">
            <w:pPr>
              <w:autoSpaceDE/>
              <w:autoSpaceDN/>
              <w:adjustRightInd/>
              <w:jc w:val="center"/>
              <w:rPr>
                <w:bCs/>
                <w:color w:val="000000"/>
                <w:sz w:val="20"/>
                <w:szCs w:val="20"/>
              </w:rPr>
            </w:pPr>
            <w:r w:rsidRPr="007C51D6">
              <w:rPr>
                <w:bCs/>
                <w:color w:val="000000"/>
                <w:sz w:val="20"/>
                <w:szCs w:val="20"/>
              </w:rPr>
              <w:t>нет</w:t>
            </w:r>
          </w:p>
          <w:p w:rsidR="00592896" w:rsidRPr="007C51D6" w:rsidRDefault="00592896" w:rsidP="00592896">
            <w:pPr>
              <w:autoSpaceDE/>
              <w:autoSpaceDN/>
              <w:adjustRightInd/>
              <w:jc w:val="center"/>
              <w:rPr>
                <w:bCs/>
                <w:color w:val="000000"/>
                <w:sz w:val="20"/>
                <w:szCs w:val="20"/>
              </w:rPr>
            </w:pPr>
            <w:r w:rsidRPr="007C51D6">
              <w:rPr>
                <w:bCs/>
                <w:color w:val="000000"/>
                <w:sz w:val="20"/>
                <w:szCs w:val="20"/>
              </w:rPr>
              <w:t>данных</w:t>
            </w:r>
          </w:p>
        </w:tc>
        <w:tc>
          <w:tcPr>
            <w:tcW w:w="1134" w:type="dxa"/>
          </w:tcPr>
          <w:p w:rsidR="00592896" w:rsidRPr="007C51D6" w:rsidRDefault="00592896" w:rsidP="00592896">
            <w:pPr>
              <w:autoSpaceDE/>
              <w:autoSpaceDN/>
              <w:adjustRightInd/>
              <w:jc w:val="center"/>
              <w:rPr>
                <w:bCs/>
                <w:color w:val="000000"/>
                <w:sz w:val="20"/>
                <w:szCs w:val="20"/>
              </w:rPr>
            </w:pPr>
            <w:r w:rsidRPr="007C51D6">
              <w:rPr>
                <w:bCs/>
                <w:color w:val="000000"/>
                <w:sz w:val="20"/>
                <w:szCs w:val="20"/>
              </w:rPr>
              <w:t>нет</w:t>
            </w:r>
          </w:p>
          <w:p w:rsidR="00592896" w:rsidRPr="007C51D6" w:rsidRDefault="00592896" w:rsidP="00592896">
            <w:pPr>
              <w:autoSpaceDE/>
              <w:autoSpaceDN/>
              <w:adjustRightInd/>
              <w:jc w:val="center"/>
              <w:rPr>
                <w:bCs/>
                <w:color w:val="000000"/>
                <w:sz w:val="20"/>
                <w:szCs w:val="20"/>
              </w:rPr>
            </w:pPr>
            <w:r w:rsidRPr="007C51D6">
              <w:rPr>
                <w:bCs/>
                <w:color w:val="000000"/>
                <w:sz w:val="20"/>
                <w:szCs w:val="20"/>
              </w:rPr>
              <w:t>данных</w:t>
            </w:r>
          </w:p>
        </w:tc>
        <w:tc>
          <w:tcPr>
            <w:tcW w:w="1361" w:type="dxa"/>
          </w:tcPr>
          <w:p w:rsidR="00592896" w:rsidRPr="007C51D6" w:rsidRDefault="00592896" w:rsidP="00592896">
            <w:pPr>
              <w:autoSpaceDE/>
              <w:autoSpaceDN/>
              <w:adjustRightInd/>
              <w:jc w:val="center"/>
              <w:rPr>
                <w:bCs/>
                <w:color w:val="000000"/>
                <w:sz w:val="20"/>
                <w:szCs w:val="20"/>
              </w:rPr>
            </w:pPr>
            <w:r w:rsidRPr="007C51D6">
              <w:rPr>
                <w:bCs/>
                <w:color w:val="000000"/>
                <w:sz w:val="20"/>
                <w:szCs w:val="20"/>
              </w:rPr>
              <w:t>нет</w:t>
            </w:r>
          </w:p>
          <w:p w:rsidR="00592896" w:rsidRPr="007C51D6" w:rsidRDefault="00592896" w:rsidP="00592896">
            <w:pPr>
              <w:autoSpaceDE/>
              <w:autoSpaceDN/>
              <w:adjustRightInd/>
              <w:jc w:val="center"/>
              <w:rPr>
                <w:bCs/>
                <w:color w:val="000000"/>
                <w:sz w:val="20"/>
                <w:szCs w:val="20"/>
              </w:rPr>
            </w:pPr>
            <w:r w:rsidRPr="007C51D6">
              <w:rPr>
                <w:bCs/>
                <w:color w:val="000000"/>
                <w:sz w:val="20"/>
                <w:szCs w:val="20"/>
              </w:rPr>
              <w:t>данных</w:t>
            </w:r>
          </w:p>
        </w:tc>
        <w:tc>
          <w:tcPr>
            <w:tcW w:w="992" w:type="dxa"/>
          </w:tcPr>
          <w:p w:rsidR="00592896" w:rsidRPr="007C51D6" w:rsidRDefault="00592896" w:rsidP="00592896">
            <w:pPr>
              <w:jc w:val="center"/>
              <w:rPr>
                <w:color w:val="000000"/>
                <w:sz w:val="20"/>
                <w:szCs w:val="20"/>
              </w:rPr>
            </w:pPr>
            <w:r w:rsidRPr="007C51D6">
              <w:rPr>
                <w:color w:val="000000"/>
                <w:sz w:val="20"/>
                <w:szCs w:val="20"/>
              </w:rPr>
              <w:t>0,00</w:t>
            </w:r>
          </w:p>
        </w:tc>
        <w:tc>
          <w:tcPr>
            <w:tcW w:w="851" w:type="dxa"/>
          </w:tcPr>
          <w:p w:rsidR="00592896" w:rsidRPr="007C51D6" w:rsidRDefault="00592896" w:rsidP="00592896">
            <w:pPr>
              <w:jc w:val="center"/>
              <w:rPr>
                <w:color w:val="000000"/>
                <w:sz w:val="20"/>
                <w:szCs w:val="20"/>
              </w:rPr>
            </w:pPr>
            <w:r w:rsidRPr="007C51D6">
              <w:rPr>
                <w:color w:val="000000"/>
                <w:sz w:val="20"/>
                <w:szCs w:val="20"/>
              </w:rPr>
              <w:t>0,00</w:t>
            </w:r>
          </w:p>
        </w:tc>
        <w:tc>
          <w:tcPr>
            <w:tcW w:w="850" w:type="dxa"/>
          </w:tcPr>
          <w:p w:rsidR="00592896" w:rsidRPr="007C51D6" w:rsidRDefault="00592896" w:rsidP="00592896">
            <w:pPr>
              <w:jc w:val="center"/>
              <w:rPr>
                <w:color w:val="000000"/>
                <w:sz w:val="20"/>
                <w:szCs w:val="20"/>
              </w:rPr>
            </w:pPr>
            <w:r w:rsidRPr="007C51D6">
              <w:rPr>
                <w:color w:val="000000"/>
                <w:sz w:val="20"/>
                <w:szCs w:val="20"/>
              </w:rPr>
              <w:t>0,00</w:t>
            </w:r>
          </w:p>
        </w:tc>
        <w:tc>
          <w:tcPr>
            <w:tcW w:w="851" w:type="dxa"/>
          </w:tcPr>
          <w:p w:rsidR="00592896" w:rsidRPr="007C51D6" w:rsidRDefault="00592896" w:rsidP="00592896">
            <w:pPr>
              <w:jc w:val="center"/>
              <w:rPr>
                <w:color w:val="000000"/>
                <w:sz w:val="20"/>
                <w:szCs w:val="20"/>
              </w:rPr>
            </w:pPr>
            <w:r w:rsidRPr="007C51D6">
              <w:rPr>
                <w:color w:val="000000"/>
                <w:sz w:val="20"/>
                <w:szCs w:val="20"/>
              </w:rPr>
              <w:t>0,00</w:t>
            </w:r>
          </w:p>
        </w:tc>
        <w:tc>
          <w:tcPr>
            <w:tcW w:w="829" w:type="dxa"/>
          </w:tcPr>
          <w:p w:rsidR="00592896" w:rsidRPr="007C51D6" w:rsidRDefault="00592896" w:rsidP="00592896">
            <w:pPr>
              <w:jc w:val="center"/>
              <w:rPr>
                <w:color w:val="000000"/>
                <w:sz w:val="20"/>
                <w:szCs w:val="20"/>
              </w:rPr>
            </w:pPr>
            <w:r w:rsidRPr="007C51D6">
              <w:rPr>
                <w:color w:val="000000"/>
                <w:sz w:val="20"/>
                <w:szCs w:val="20"/>
              </w:rPr>
              <w:t>0,00</w:t>
            </w:r>
          </w:p>
        </w:tc>
        <w:tc>
          <w:tcPr>
            <w:tcW w:w="907" w:type="dxa"/>
          </w:tcPr>
          <w:p w:rsidR="00592896" w:rsidRPr="007C51D6" w:rsidRDefault="00592896" w:rsidP="00592896">
            <w:pPr>
              <w:jc w:val="center"/>
              <w:rPr>
                <w:color w:val="000000"/>
                <w:sz w:val="20"/>
                <w:szCs w:val="20"/>
              </w:rPr>
            </w:pPr>
            <w:r w:rsidRPr="007C51D6">
              <w:rPr>
                <w:color w:val="000000"/>
                <w:sz w:val="20"/>
                <w:szCs w:val="20"/>
              </w:rPr>
              <w:t>0,00</w:t>
            </w:r>
          </w:p>
        </w:tc>
        <w:tc>
          <w:tcPr>
            <w:tcW w:w="907" w:type="dxa"/>
          </w:tcPr>
          <w:p w:rsidR="00592896" w:rsidRPr="007C51D6" w:rsidRDefault="00592896" w:rsidP="00592896">
            <w:pPr>
              <w:autoSpaceDE/>
              <w:autoSpaceDN/>
              <w:adjustRightInd/>
              <w:jc w:val="center"/>
              <w:rPr>
                <w:bCs/>
                <w:color w:val="000000"/>
                <w:sz w:val="20"/>
                <w:szCs w:val="20"/>
              </w:rPr>
            </w:pPr>
            <w:r w:rsidRPr="007C51D6">
              <w:rPr>
                <w:bCs/>
                <w:color w:val="000000"/>
                <w:sz w:val="20"/>
                <w:szCs w:val="20"/>
              </w:rPr>
              <w:t>нет</w:t>
            </w:r>
          </w:p>
          <w:p w:rsidR="00592896" w:rsidRPr="007C51D6" w:rsidRDefault="00592896" w:rsidP="00592896">
            <w:pPr>
              <w:autoSpaceDE/>
              <w:autoSpaceDN/>
              <w:adjustRightInd/>
              <w:jc w:val="center"/>
              <w:rPr>
                <w:bCs/>
                <w:color w:val="000000"/>
                <w:sz w:val="20"/>
                <w:szCs w:val="20"/>
              </w:rPr>
            </w:pPr>
            <w:r w:rsidRPr="007C51D6">
              <w:rPr>
                <w:bCs/>
                <w:color w:val="000000"/>
                <w:sz w:val="20"/>
                <w:szCs w:val="20"/>
              </w:rPr>
              <w:t>данных</w:t>
            </w:r>
          </w:p>
        </w:tc>
      </w:tr>
      <w:tr w:rsidR="00592896" w:rsidRPr="007C51D6" w:rsidTr="00B93D5E">
        <w:trPr>
          <w:cantSplit/>
          <w:trHeight w:val="20"/>
          <w:jc w:val="center"/>
        </w:trPr>
        <w:tc>
          <w:tcPr>
            <w:tcW w:w="3539" w:type="dxa"/>
            <w:shd w:val="clear" w:color="auto" w:fill="auto"/>
            <w:noWrap/>
          </w:tcPr>
          <w:p w:rsidR="00592896" w:rsidRPr="007C51D6" w:rsidRDefault="00592896" w:rsidP="00592896">
            <w:pPr>
              <w:autoSpaceDE/>
              <w:autoSpaceDN/>
              <w:adjustRightInd/>
              <w:jc w:val="both"/>
              <w:rPr>
                <w:rFonts w:eastAsia="Arial"/>
                <w:sz w:val="20"/>
                <w:szCs w:val="20"/>
              </w:rPr>
            </w:pPr>
            <w:r w:rsidRPr="007C51D6">
              <w:rPr>
                <w:color w:val="333333"/>
                <w:sz w:val="20"/>
                <w:szCs w:val="20"/>
              </w:rPr>
              <w:t>меланома in situ</w:t>
            </w:r>
          </w:p>
        </w:tc>
        <w:tc>
          <w:tcPr>
            <w:tcW w:w="1276" w:type="dxa"/>
            <w:shd w:val="clear" w:color="auto" w:fill="auto"/>
            <w:noWrap/>
          </w:tcPr>
          <w:p w:rsidR="00592896" w:rsidRPr="007C51D6" w:rsidRDefault="00592896" w:rsidP="00592896">
            <w:pPr>
              <w:autoSpaceDE/>
              <w:autoSpaceDN/>
              <w:adjustRightInd/>
              <w:jc w:val="center"/>
              <w:rPr>
                <w:rFonts w:eastAsia="Arial"/>
                <w:sz w:val="20"/>
                <w:szCs w:val="20"/>
              </w:rPr>
            </w:pPr>
            <w:r w:rsidRPr="007C51D6">
              <w:rPr>
                <w:rFonts w:eastAsia="Arial"/>
                <w:sz w:val="20"/>
                <w:szCs w:val="20"/>
                <w:lang w:val="en-US"/>
              </w:rPr>
              <w:t>D03</w:t>
            </w:r>
          </w:p>
        </w:tc>
        <w:tc>
          <w:tcPr>
            <w:tcW w:w="1303" w:type="dxa"/>
          </w:tcPr>
          <w:p w:rsidR="00592896" w:rsidRPr="007C51D6" w:rsidRDefault="00592896" w:rsidP="00592896">
            <w:pPr>
              <w:autoSpaceDE/>
              <w:autoSpaceDN/>
              <w:adjustRightInd/>
              <w:jc w:val="center"/>
              <w:rPr>
                <w:bCs/>
                <w:color w:val="000000"/>
                <w:sz w:val="20"/>
                <w:szCs w:val="20"/>
              </w:rPr>
            </w:pPr>
            <w:r w:rsidRPr="007C51D6">
              <w:rPr>
                <w:bCs/>
                <w:color w:val="000000"/>
                <w:sz w:val="20"/>
                <w:szCs w:val="20"/>
              </w:rPr>
              <w:t>нет</w:t>
            </w:r>
          </w:p>
          <w:p w:rsidR="00592896" w:rsidRPr="007C51D6" w:rsidRDefault="00592896" w:rsidP="00592896">
            <w:pPr>
              <w:autoSpaceDE/>
              <w:autoSpaceDN/>
              <w:adjustRightInd/>
              <w:jc w:val="center"/>
              <w:rPr>
                <w:bCs/>
                <w:color w:val="000000"/>
                <w:sz w:val="20"/>
                <w:szCs w:val="20"/>
              </w:rPr>
            </w:pPr>
            <w:r w:rsidRPr="007C51D6">
              <w:rPr>
                <w:bCs/>
                <w:color w:val="000000"/>
                <w:sz w:val="20"/>
                <w:szCs w:val="20"/>
              </w:rPr>
              <w:t>данных</w:t>
            </w:r>
          </w:p>
        </w:tc>
        <w:tc>
          <w:tcPr>
            <w:tcW w:w="1134" w:type="dxa"/>
          </w:tcPr>
          <w:p w:rsidR="00592896" w:rsidRPr="007C51D6" w:rsidRDefault="00592896" w:rsidP="00592896">
            <w:pPr>
              <w:autoSpaceDE/>
              <w:autoSpaceDN/>
              <w:adjustRightInd/>
              <w:jc w:val="center"/>
              <w:rPr>
                <w:bCs/>
                <w:color w:val="000000"/>
                <w:sz w:val="20"/>
                <w:szCs w:val="20"/>
              </w:rPr>
            </w:pPr>
            <w:r w:rsidRPr="007C51D6">
              <w:rPr>
                <w:bCs/>
                <w:color w:val="000000"/>
                <w:sz w:val="20"/>
                <w:szCs w:val="20"/>
              </w:rPr>
              <w:t>нет</w:t>
            </w:r>
          </w:p>
          <w:p w:rsidR="00592896" w:rsidRPr="007C51D6" w:rsidRDefault="00592896" w:rsidP="00592896">
            <w:pPr>
              <w:autoSpaceDE/>
              <w:autoSpaceDN/>
              <w:adjustRightInd/>
              <w:jc w:val="center"/>
              <w:rPr>
                <w:bCs/>
                <w:color w:val="000000"/>
                <w:sz w:val="20"/>
                <w:szCs w:val="20"/>
              </w:rPr>
            </w:pPr>
            <w:r w:rsidRPr="007C51D6">
              <w:rPr>
                <w:bCs/>
                <w:color w:val="000000"/>
                <w:sz w:val="20"/>
                <w:szCs w:val="20"/>
              </w:rPr>
              <w:t>данных</w:t>
            </w:r>
          </w:p>
        </w:tc>
        <w:tc>
          <w:tcPr>
            <w:tcW w:w="1361" w:type="dxa"/>
          </w:tcPr>
          <w:p w:rsidR="00592896" w:rsidRPr="007C51D6" w:rsidRDefault="00592896" w:rsidP="00592896">
            <w:pPr>
              <w:autoSpaceDE/>
              <w:autoSpaceDN/>
              <w:adjustRightInd/>
              <w:jc w:val="center"/>
              <w:rPr>
                <w:bCs/>
                <w:color w:val="000000"/>
                <w:sz w:val="20"/>
                <w:szCs w:val="20"/>
              </w:rPr>
            </w:pPr>
            <w:r w:rsidRPr="007C51D6">
              <w:rPr>
                <w:bCs/>
                <w:color w:val="000000"/>
                <w:sz w:val="20"/>
                <w:szCs w:val="20"/>
              </w:rPr>
              <w:t>нет</w:t>
            </w:r>
          </w:p>
          <w:p w:rsidR="00592896" w:rsidRPr="007C51D6" w:rsidRDefault="00592896" w:rsidP="00592896">
            <w:pPr>
              <w:autoSpaceDE/>
              <w:autoSpaceDN/>
              <w:adjustRightInd/>
              <w:jc w:val="center"/>
              <w:rPr>
                <w:bCs/>
                <w:color w:val="000000"/>
                <w:sz w:val="20"/>
                <w:szCs w:val="20"/>
              </w:rPr>
            </w:pPr>
            <w:r w:rsidRPr="007C51D6">
              <w:rPr>
                <w:bCs/>
                <w:color w:val="000000"/>
                <w:sz w:val="20"/>
                <w:szCs w:val="20"/>
              </w:rPr>
              <w:t>данных</w:t>
            </w:r>
          </w:p>
        </w:tc>
        <w:tc>
          <w:tcPr>
            <w:tcW w:w="992" w:type="dxa"/>
          </w:tcPr>
          <w:p w:rsidR="00592896" w:rsidRPr="007C51D6" w:rsidRDefault="00592896" w:rsidP="00592896">
            <w:pPr>
              <w:jc w:val="center"/>
              <w:rPr>
                <w:color w:val="000000"/>
                <w:sz w:val="20"/>
                <w:szCs w:val="20"/>
              </w:rPr>
            </w:pPr>
            <w:r w:rsidRPr="007C51D6">
              <w:rPr>
                <w:color w:val="000000"/>
                <w:sz w:val="20"/>
                <w:szCs w:val="20"/>
              </w:rPr>
              <w:t>0,00</w:t>
            </w:r>
          </w:p>
        </w:tc>
        <w:tc>
          <w:tcPr>
            <w:tcW w:w="851" w:type="dxa"/>
          </w:tcPr>
          <w:p w:rsidR="00592896" w:rsidRPr="007C51D6" w:rsidRDefault="00592896" w:rsidP="00592896">
            <w:pPr>
              <w:jc w:val="center"/>
              <w:rPr>
                <w:color w:val="000000"/>
                <w:sz w:val="20"/>
                <w:szCs w:val="20"/>
              </w:rPr>
            </w:pPr>
            <w:r w:rsidRPr="007C51D6">
              <w:rPr>
                <w:color w:val="000000"/>
                <w:sz w:val="20"/>
                <w:szCs w:val="20"/>
              </w:rPr>
              <w:t>0,00</w:t>
            </w:r>
          </w:p>
        </w:tc>
        <w:tc>
          <w:tcPr>
            <w:tcW w:w="850" w:type="dxa"/>
          </w:tcPr>
          <w:p w:rsidR="00592896" w:rsidRPr="007C51D6" w:rsidRDefault="00592896" w:rsidP="00592896">
            <w:pPr>
              <w:jc w:val="center"/>
              <w:rPr>
                <w:color w:val="000000"/>
                <w:sz w:val="20"/>
                <w:szCs w:val="20"/>
              </w:rPr>
            </w:pPr>
            <w:r w:rsidRPr="007C51D6">
              <w:rPr>
                <w:color w:val="000000"/>
                <w:sz w:val="20"/>
                <w:szCs w:val="20"/>
              </w:rPr>
              <w:t>0,00</w:t>
            </w:r>
          </w:p>
        </w:tc>
        <w:tc>
          <w:tcPr>
            <w:tcW w:w="851" w:type="dxa"/>
          </w:tcPr>
          <w:p w:rsidR="00592896" w:rsidRPr="007C51D6" w:rsidRDefault="00592896" w:rsidP="00592896">
            <w:pPr>
              <w:jc w:val="center"/>
              <w:rPr>
                <w:color w:val="000000"/>
                <w:sz w:val="20"/>
                <w:szCs w:val="20"/>
              </w:rPr>
            </w:pPr>
            <w:r w:rsidRPr="007C51D6">
              <w:rPr>
                <w:color w:val="000000"/>
                <w:sz w:val="20"/>
                <w:szCs w:val="20"/>
              </w:rPr>
              <w:t>0,00</w:t>
            </w:r>
          </w:p>
        </w:tc>
        <w:tc>
          <w:tcPr>
            <w:tcW w:w="829" w:type="dxa"/>
          </w:tcPr>
          <w:p w:rsidR="00592896" w:rsidRPr="007C51D6" w:rsidRDefault="00592896" w:rsidP="00592896">
            <w:pPr>
              <w:jc w:val="center"/>
              <w:rPr>
                <w:color w:val="000000"/>
                <w:sz w:val="20"/>
                <w:szCs w:val="20"/>
              </w:rPr>
            </w:pPr>
            <w:r w:rsidRPr="007C51D6">
              <w:rPr>
                <w:color w:val="000000"/>
                <w:sz w:val="20"/>
                <w:szCs w:val="20"/>
              </w:rPr>
              <w:t>0,00</w:t>
            </w:r>
          </w:p>
        </w:tc>
        <w:tc>
          <w:tcPr>
            <w:tcW w:w="907" w:type="dxa"/>
          </w:tcPr>
          <w:p w:rsidR="00592896" w:rsidRPr="007C51D6" w:rsidRDefault="00592896" w:rsidP="00592896">
            <w:pPr>
              <w:jc w:val="center"/>
              <w:rPr>
                <w:color w:val="000000"/>
                <w:sz w:val="20"/>
                <w:szCs w:val="20"/>
              </w:rPr>
            </w:pPr>
            <w:r w:rsidRPr="007C51D6">
              <w:rPr>
                <w:color w:val="000000"/>
                <w:sz w:val="20"/>
                <w:szCs w:val="20"/>
              </w:rPr>
              <w:t>0,00</w:t>
            </w:r>
          </w:p>
        </w:tc>
        <w:tc>
          <w:tcPr>
            <w:tcW w:w="907" w:type="dxa"/>
          </w:tcPr>
          <w:p w:rsidR="00592896" w:rsidRPr="007C51D6" w:rsidRDefault="00592896" w:rsidP="00592896">
            <w:pPr>
              <w:autoSpaceDE/>
              <w:autoSpaceDN/>
              <w:adjustRightInd/>
              <w:jc w:val="center"/>
              <w:rPr>
                <w:bCs/>
                <w:color w:val="000000"/>
                <w:sz w:val="20"/>
                <w:szCs w:val="20"/>
              </w:rPr>
            </w:pPr>
            <w:r w:rsidRPr="007C51D6">
              <w:rPr>
                <w:bCs/>
                <w:color w:val="000000"/>
                <w:sz w:val="20"/>
                <w:szCs w:val="20"/>
              </w:rPr>
              <w:t>нет</w:t>
            </w:r>
          </w:p>
          <w:p w:rsidR="00592896" w:rsidRPr="007C51D6" w:rsidRDefault="00592896" w:rsidP="00592896">
            <w:pPr>
              <w:autoSpaceDE/>
              <w:autoSpaceDN/>
              <w:adjustRightInd/>
              <w:jc w:val="center"/>
              <w:rPr>
                <w:bCs/>
                <w:color w:val="000000"/>
                <w:sz w:val="20"/>
                <w:szCs w:val="20"/>
              </w:rPr>
            </w:pPr>
            <w:r w:rsidRPr="007C51D6">
              <w:rPr>
                <w:bCs/>
                <w:color w:val="000000"/>
                <w:sz w:val="20"/>
                <w:szCs w:val="20"/>
              </w:rPr>
              <w:t>данных</w:t>
            </w:r>
          </w:p>
        </w:tc>
      </w:tr>
      <w:tr w:rsidR="00592896" w:rsidRPr="007C51D6" w:rsidTr="00B93D5E">
        <w:trPr>
          <w:cantSplit/>
          <w:trHeight w:val="20"/>
          <w:jc w:val="center"/>
        </w:trPr>
        <w:tc>
          <w:tcPr>
            <w:tcW w:w="3539" w:type="dxa"/>
            <w:shd w:val="clear" w:color="auto" w:fill="auto"/>
            <w:noWrap/>
          </w:tcPr>
          <w:p w:rsidR="00592896" w:rsidRPr="007C51D6" w:rsidRDefault="00592896" w:rsidP="00592896">
            <w:pPr>
              <w:autoSpaceDE/>
              <w:autoSpaceDN/>
              <w:adjustRightInd/>
              <w:jc w:val="both"/>
              <w:rPr>
                <w:rFonts w:eastAsia="Arial"/>
                <w:sz w:val="20"/>
                <w:szCs w:val="20"/>
              </w:rPr>
            </w:pPr>
            <w:r w:rsidRPr="007C51D6">
              <w:rPr>
                <w:rFonts w:eastAsia="Arial"/>
                <w:sz w:val="20"/>
                <w:szCs w:val="20"/>
              </w:rPr>
              <w:t xml:space="preserve">карцинома </w:t>
            </w:r>
            <w:r w:rsidRPr="007C51D6">
              <w:rPr>
                <w:color w:val="333333"/>
                <w:sz w:val="20"/>
                <w:szCs w:val="20"/>
              </w:rPr>
              <w:t>in situ кожи</w:t>
            </w:r>
          </w:p>
        </w:tc>
        <w:tc>
          <w:tcPr>
            <w:tcW w:w="1276" w:type="dxa"/>
            <w:shd w:val="clear" w:color="auto" w:fill="auto"/>
            <w:noWrap/>
          </w:tcPr>
          <w:p w:rsidR="00592896" w:rsidRPr="007C51D6" w:rsidRDefault="00592896" w:rsidP="00592896">
            <w:pPr>
              <w:jc w:val="center"/>
            </w:pPr>
            <w:r w:rsidRPr="007C51D6">
              <w:rPr>
                <w:rFonts w:eastAsia="Arial"/>
                <w:sz w:val="20"/>
                <w:szCs w:val="20"/>
                <w:lang w:val="en-US"/>
              </w:rPr>
              <w:t>D04</w:t>
            </w:r>
          </w:p>
        </w:tc>
        <w:tc>
          <w:tcPr>
            <w:tcW w:w="1303" w:type="dxa"/>
          </w:tcPr>
          <w:p w:rsidR="00592896" w:rsidRPr="007C51D6" w:rsidRDefault="00592896" w:rsidP="00592896">
            <w:pPr>
              <w:autoSpaceDE/>
              <w:autoSpaceDN/>
              <w:adjustRightInd/>
              <w:jc w:val="center"/>
              <w:rPr>
                <w:bCs/>
                <w:color w:val="000000"/>
                <w:sz w:val="20"/>
                <w:szCs w:val="20"/>
              </w:rPr>
            </w:pPr>
            <w:r w:rsidRPr="007C51D6">
              <w:rPr>
                <w:bCs/>
                <w:color w:val="000000"/>
                <w:sz w:val="20"/>
                <w:szCs w:val="20"/>
              </w:rPr>
              <w:t>нет</w:t>
            </w:r>
          </w:p>
          <w:p w:rsidR="00592896" w:rsidRPr="007C51D6" w:rsidRDefault="00592896" w:rsidP="00592896">
            <w:pPr>
              <w:autoSpaceDE/>
              <w:autoSpaceDN/>
              <w:adjustRightInd/>
              <w:jc w:val="center"/>
              <w:rPr>
                <w:bCs/>
                <w:color w:val="000000"/>
                <w:sz w:val="20"/>
                <w:szCs w:val="20"/>
              </w:rPr>
            </w:pPr>
            <w:r w:rsidRPr="007C51D6">
              <w:rPr>
                <w:bCs/>
                <w:color w:val="000000"/>
                <w:sz w:val="20"/>
                <w:szCs w:val="20"/>
              </w:rPr>
              <w:t>данных</w:t>
            </w:r>
          </w:p>
        </w:tc>
        <w:tc>
          <w:tcPr>
            <w:tcW w:w="1134" w:type="dxa"/>
          </w:tcPr>
          <w:p w:rsidR="00592896" w:rsidRPr="007C51D6" w:rsidRDefault="00592896" w:rsidP="00592896">
            <w:pPr>
              <w:autoSpaceDE/>
              <w:autoSpaceDN/>
              <w:adjustRightInd/>
              <w:jc w:val="center"/>
              <w:rPr>
                <w:bCs/>
                <w:color w:val="000000"/>
                <w:sz w:val="20"/>
                <w:szCs w:val="20"/>
              </w:rPr>
            </w:pPr>
            <w:r w:rsidRPr="007C51D6">
              <w:rPr>
                <w:bCs/>
                <w:color w:val="000000"/>
                <w:sz w:val="20"/>
                <w:szCs w:val="20"/>
              </w:rPr>
              <w:t>нет</w:t>
            </w:r>
          </w:p>
          <w:p w:rsidR="00592896" w:rsidRPr="007C51D6" w:rsidRDefault="00592896" w:rsidP="00592896">
            <w:pPr>
              <w:autoSpaceDE/>
              <w:autoSpaceDN/>
              <w:adjustRightInd/>
              <w:jc w:val="center"/>
              <w:rPr>
                <w:bCs/>
                <w:color w:val="000000"/>
                <w:sz w:val="20"/>
                <w:szCs w:val="20"/>
              </w:rPr>
            </w:pPr>
            <w:r w:rsidRPr="007C51D6">
              <w:rPr>
                <w:bCs/>
                <w:color w:val="000000"/>
                <w:sz w:val="20"/>
                <w:szCs w:val="20"/>
              </w:rPr>
              <w:t>данных</w:t>
            </w:r>
          </w:p>
        </w:tc>
        <w:tc>
          <w:tcPr>
            <w:tcW w:w="1361" w:type="dxa"/>
          </w:tcPr>
          <w:p w:rsidR="00592896" w:rsidRPr="007C51D6" w:rsidRDefault="00592896" w:rsidP="00592896">
            <w:pPr>
              <w:autoSpaceDE/>
              <w:autoSpaceDN/>
              <w:adjustRightInd/>
              <w:jc w:val="center"/>
              <w:rPr>
                <w:bCs/>
                <w:color w:val="000000"/>
                <w:sz w:val="20"/>
                <w:szCs w:val="20"/>
              </w:rPr>
            </w:pPr>
            <w:r w:rsidRPr="007C51D6">
              <w:rPr>
                <w:bCs/>
                <w:color w:val="000000"/>
                <w:sz w:val="20"/>
                <w:szCs w:val="20"/>
              </w:rPr>
              <w:t>нет</w:t>
            </w:r>
          </w:p>
          <w:p w:rsidR="00592896" w:rsidRPr="007C51D6" w:rsidRDefault="00592896" w:rsidP="00592896">
            <w:pPr>
              <w:autoSpaceDE/>
              <w:autoSpaceDN/>
              <w:adjustRightInd/>
              <w:jc w:val="center"/>
              <w:rPr>
                <w:bCs/>
                <w:color w:val="000000"/>
                <w:sz w:val="20"/>
                <w:szCs w:val="20"/>
              </w:rPr>
            </w:pPr>
            <w:r w:rsidRPr="007C51D6">
              <w:rPr>
                <w:bCs/>
                <w:color w:val="000000"/>
                <w:sz w:val="20"/>
                <w:szCs w:val="20"/>
              </w:rPr>
              <w:t>данных</w:t>
            </w:r>
          </w:p>
        </w:tc>
        <w:tc>
          <w:tcPr>
            <w:tcW w:w="992" w:type="dxa"/>
          </w:tcPr>
          <w:p w:rsidR="00592896" w:rsidRPr="007C51D6" w:rsidRDefault="00592896" w:rsidP="00592896">
            <w:pPr>
              <w:jc w:val="center"/>
              <w:rPr>
                <w:color w:val="000000"/>
                <w:sz w:val="20"/>
                <w:szCs w:val="20"/>
              </w:rPr>
            </w:pPr>
            <w:r w:rsidRPr="007C51D6">
              <w:rPr>
                <w:color w:val="000000"/>
                <w:sz w:val="20"/>
                <w:szCs w:val="20"/>
              </w:rPr>
              <w:t>0,00</w:t>
            </w:r>
          </w:p>
        </w:tc>
        <w:tc>
          <w:tcPr>
            <w:tcW w:w="851" w:type="dxa"/>
          </w:tcPr>
          <w:p w:rsidR="00592896" w:rsidRPr="007C51D6" w:rsidRDefault="00592896" w:rsidP="00592896">
            <w:pPr>
              <w:jc w:val="center"/>
              <w:rPr>
                <w:color w:val="000000"/>
                <w:sz w:val="20"/>
                <w:szCs w:val="20"/>
              </w:rPr>
            </w:pPr>
            <w:r w:rsidRPr="007C51D6">
              <w:rPr>
                <w:color w:val="000000"/>
                <w:sz w:val="20"/>
                <w:szCs w:val="20"/>
              </w:rPr>
              <w:t>0,00</w:t>
            </w:r>
          </w:p>
        </w:tc>
        <w:tc>
          <w:tcPr>
            <w:tcW w:w="850" w:type="dxa"/>
          </w:tcPr>
          <w:p w:rsidR="00592896" w:rsidRPr="007C51D6" w:rsidRDefault="00592896" w:rsidP="00592896">
            <w:pPr>
              <w:jc w:val="center"/>
              <w:rPr>
                <w:color w:val="000000"/>
                <w:sz w:val="20"/>
                <w:szCs w:val="20"/>
              </w:rPr>
            </w:pPr>
            <w:r w:rsidRPr="007C51D6">
              <w:rPr>
                <w:color w:val="000000"/>
                <w:sz w:val="20"/>
                <w:szCs w:val="20"/>
              </w:rPr>
              <w:t>0,00</w:t>
            </w:r>
          </w:p>
        </w:tc>
        <w:tc>
          <w:tcPr>
            <w:tcW w:w="851" w:type="dxa"/>
          </w:tcPr>
          <w:p w:rsidR="00592896" w:rsidRPr="007C51D6" w:rsidRDefault="00592896" w:rsidP="00592896">
            <w:pPr>
              <w:jc w:val="center"/>
              <w:rPr>
                <w:color w:val="000000"/>
                <w:sz w:val="20"/>
                <w:szCs w:val="20"/>
              </w:rPr>
            </w:pPr>
            <w:r w:rsidRPr="007C51D6">
              <w:rPr>
                <w:color w:val="000000"/>
                <w:sz w:val="20"/>
                <w:szCs w:val="20"/>
              </w:rPr>
              <w:t>0,00</w:t>
            </w:r>
          </w:p>
        </w:tc>
        <w:tc>
          <w:tcPr>
            <w:tcW w:w="829" w:type="dxa"/>
          </w:tcPr>
          <w:p w:rsidR="00592896" w:rsidRPr="007C51D6" w:rsidRDefault="00592896" w:rsidP="00592896">
            <w:pPr>
              <w:jc w:val="center"/>
              <w:rPr>
                <w:color w:val="000000"/>
                <w:sz w:val="20"/>
                <w:szCs w:val="20"/>
              </w:rPr>
            </w:pPr>
            <w:r w:rsidRPr="007C51D6">
              <w:rPr>
                <w:color w:val="000000"/>
                <w:sz w:val="20"/>
                <w:szCs w:val="20"/>
              </w:rPr>
              <w:t>0,00</w:t>
            </w:r>
          </w:p>
        </w:tc>
        <w:tc>
          <w:tcPr>
            <w:tcW w:w="907" w:type="dxa"/>
          </w:tcPr>
          <w:p w:rsidR="00592896" w:rsidRPr="007C51D6" w:rsidRDefault="00592896" w:rsidP="00592896">
            <w:pPr>
              <w:jc w:val="center"/>
              <w:rPr>
                <w:color w:val="000000"/>
                <w:sz w:val="20"/>
                <w:szCs w:val="20"/>
              </w:rPr>
            </w:pPr>
            <w:r w:rsidRPr="007C51D6">
              <w:rPr>
                <w:color w:val="000000"/>
                <w:sz w:val="20"/>
                <w:szCs w:val="20"/>
              </w:rPr>
              <w:t>0,00</w:t>
            </w:r>
          </w:p>
        </w:tc>
        <w:tc>
          <w:tcPr>
            <w:tcW w:w="907" w:type="dxa"/>
          </w:tcPr>
          <w:p w:rsidR="00592896" w:rsidRPr="007C51D6" w:rsidRDefault="00592896" w:rsidP="00592896">
            <w:pPr>
              <w:autoSpaceDE/>
              <w:autoSpaceDN/>
              <w:adjustRightInd/>
              <w:jc w:val="center"/>
              <w:rPr>
                <w:bCs/>
                <w:color w:val="000000"/>
                <w:sz w:val="20"/>
                <w:szCs w:val="20"/>
              </w:rPr>
            </w:pPr>
            <w:r w:rsidRPr="007C51D6">
              <w:rPr>
                <w:bCs/>
                <w:color w:val="000000"/>
                <w:sz w:val="20"/>
                <w:szCs w:val="20"/>
              </w:rPr>
              <w:t>нет</w:t>
            </w:r>
          </w:p>
          <w:p w:rsidR="00592896" w:rsidRPr="007C51D6" w:rsidRDefault="00592896" w:rsidP="00592896">
            <w:pPr>
              <w:autoSpaceDE/>
              <w:autoSpaceDN/>
              <w:adjustRightInd/>
              <w:jc w:val="center"/>
              <w:rPr>
                <w:bCs/>
                <w:color w:val="000000"/>
                <w:sz w:val="20"/>
                <w:szCs w:val="20"/>
              </w:rPr>
            </w:pPr>
            <w:r w:rsidRPr="007C51D6">
              <w:rPr>
                <w:bCs/>
                <w:color w:val="000000"/>
                <w:sz w:val="20"/>
                <w:szCs w:val="20"/>
              </w:rPr>
              <w:t>данных</w:t>
            </w:r>
          </w:p>
        </w:tc>
      </w:tr>
      <w:tr w:rsidR="00592896" w:rsidRPr="007C51D6" w:rsidTr="00B93D5E">
        <w:trPr>
          <w:cantSplit/>
          <w:trHeight w:val="20"/>
          <w:jc w:val="center"/>
        </w:trPr>
        <w:tc>
          <w:tcPr>
            <w:tcW w:w="3539" w:type="dxa"/>
            <w:shd w:val="clear" w:color="auto" w:fill="auto"/>
            <w:noWrap/>
          </w:tcPr>
          <w:p w:rsidR="00592896" w:rsidRPr="007C51D6" w:rsidRDefault="00592896" w:rsidP="00592896">
            <w:pPr>
              <w:autoSpaceDE/>
              <w:autoSpaceDN/>
              <w:adjustRightInd/>
              <w:jc w:val="both"/>
              <w:rPr>
                <w:color w:val="333333"/>
                <w:sz w:val="20"/>
                <w:szCs w:val="20"/>
              </w:rPr>
            </w:pPr>
            <w:r w:rsidRPr="007C51D6">
              <w:rPr>
                <w:color w:val="333333"/>
                <w:sz w:val="20"/>
                <w:szCs w:val="20"/>
              </w:rPr>
              <w:t>карцинома in situ молочной железы</w:t>
            </w:r>
          </w:p>
          <w:p w:rsidR="00592896" w:rsidRPr="007C51D6" w:rsidRDefault="00592896" w:rsidP="00592896">
            <w:pPr>
              <w:autoSpaceDE/>
              <w:autoSpaceDN/>
              <w:adjustRightInd/>
              <w:jc w:val="both"/>
              <w:rPr>
                <w:rFonts w:eastAsia="Arial"/>
                <w:sz w:val="20"/>
                <w:szCs w:val="20"/>
              </w:rPr>
            </w:pPr>
          </w:p>
        </w:tc>
        <w:tc>
          <w:tcPr>
            <w:tcW w:w="1276" w:type="dxa"/>
            <w:shd w:val="clear" w:color="auto" w:fill="auto"/>
            <w:noWrap/>
          </w:tcPr>
          <w:p w:rsidR="00592896" w:rsidRPr="007C51D6" w:rsidRDefault="00592896" w:rsidP="00592896">
            <w:pPr>
              <w:jc w:val="center"/>
            </w:pPr>
            <w:r w:rsidRPr="007C51D6">
              <w:rPr>
                <w:rFonts w:eastAsia="Arial"/>
                <w:sz w:val="20"/>
                <w:szCs w:val="20"/>
                <w:lang w:val="en-US"/>
              </w:rPr>
              <w:t>D05</w:t>
            </w:r>
          </w:p>
        </w:tc>
        <w:tc>
          <w:tcPr>
            <w:tcW w:w="1303" w:type="dxa"/>
          </w:tcPr>
          <w:p w:rsidR="00592896" w:rsidRPr="007C51D6" w:rsidRDefault="00592896" w:rsidP="00592896">
            <w:pPr>
              <w:autoSpaceDE/>
              <w:autoSpaceDN/>
              <w:adjustRightInd/>
              <w:jc w:val="center"/>
              <w:rPr>
                <w:bCs/>
                <w:color w:val="000000"/>
                <w:sz w:val="20"/>
                <w:szCs w:val="20"/>
              </w:rPr>
            </w:pPr>
            <w:r w:rsidRPr="007C51D6">
              <w:rPr>
                <w:bCs/>
                <w:color w:val="000000"/>
                <w:sz w:val="20"/>
                <w:szCs w:val="20"/>
              </w:rPr>
              <w:t>нет</w:t>
            </w:r>
          </w:p>
          <w:p w:rsidR="00592896" w:rsidRPr="007C51D6" w:rsidRDefault="00592896" w:rsidP="00592896">
            <w:pPr>
              <w:autoSpaceDE/>
              <w:autoSpaceDN/>
              <w:adjustRightInd/>
              <w:jc w:val="center"/>
              <w:rPr>
                <w:bCs/>
                <w:color w:val="000000"/>
                <w:sz w:val="20"/>
                <w:szCs w:val="20"/>
              </w:rPr>
            </w:pPr>
            <w:r w:rsidRPr="007C51D6">
              <w:rPr>
                <w:bCs/>
                <w:color w:val="000000"/>
                <w:sz w:val="20"/>
                <w:szCs w:val="20"/>
              </w:rPr>
              <w:t>данных</w:t>
            </w:r>
          </w:p>
        </w:tc>
        <w:tc>
          <w:tcPr>
            <w:tcW w:w="1134" w:type="dxa"/>
          </w:tcPr>
          <w:p w:rsidR="00592896" w:rsidRPr="007C51D6" w:rsidRDefault="00592896" w:rsidP="00592896">
            <w:pPr>
              <w:autoSpaceDE/>
              <w:autoSpaceDN/>
              <w:adjustRightInd/>
              <w:jc w:val="center"/>
              <w:rPr>
                <w:bCs/>
                <w:color w:val="000000"/>
                <w:sz w:val="20"/>
                <w:szCs w:val="20"/>
              </w:rPr>
            </w:pPr>
            <w:r w:rsidRPr="007C51D6">
              <w:rPr>
                <w:bCs/>
                <w:color w:val="000000"/>
                <w:sz w:val="20"/>
                <w:szCs w:val="20"/>
              </w:rPr>
              <w:t>нет</w:t>
            </w:r>
          </w:p>
          <w:p w:rsidR="00592896" w:rsidRPr="007C51D6" w:rsidRDefault="00592896" w:rsidP="00592896">
            <w:pPr>
              <w:autoSpaceDE/>
              <w:autoSpaceDN/>
              <w:adjustRightInd/>
              <w:jc w:val="center"/>
              <w:rPr>
                <w:bCs/>
                <w:color w:val="000000"/>
                <w:sz w:val="20"/>
                <w:szCs w:val="20"/>
              </w:rPr>
            </w:pPr>
            <w:r w:rsidRPr="007C51D6">
              <w:rPr>
                <w:bCs/>
                <w:color w:val="000000"/>
                <w:sz w:val="20"/>
                <w:szCs w:val="20"/>
              </w:rPr>
              <w:t>данных</w:t>
            </w:r>
          </w:p>
        </w:tc>
        <w:tc>
          <w:tcPr>
            <w:tcW w:w="1361" w:type="dxa"/>
          </w:tcPr>
          <w:p w:rsidR="00592896" w:rsidRPr="007C51D6" w:rsidRDefault="00592896" w:rsidP="00592896">
            <w:pPr>
              <w:autoSpaceDE/>
              <w:autoSpaceDN/>
              <w:adjustRightInd/>
              <w:jc w:val="center"/>
              <w:rPr>
                <w:bCs/>
                <w:color w:val="000000"/>
                <w:sz w:val="20"/>
                <w:szCs w:val="20"/>
              </w:rPr>
            </w:pPr>
            <w:r w:rsidRPr="007C51D6">
              <w:rPr>
                <w:bCs/>
                <w:color w:val="000000"/>
                <w:sz w:val="20"/>
                <w:szCs w:val="20"/>
              </w:rPr>
              <w:t>нет</w:t>
            </w:r>
          </w:p>
          <w:p w:rsidR="00592896" w:rsidRPr="007C51D6" w:rsidRDefault="00592896" w:rsidP="00592896">
            <w:pPr>
              <w:autoSpaceDE/>
              <w:autoSpaceDN/>
              <w:adjustRightInd/>
              <w:jc w:val="center"/>
              <w:rPr>
                <w:bCs/>
                <w:color w:val="000000"/>
                <w:sz w:val="20"/>
                <w:szCs w:val="20"/>
              </w:rPr>
            </w:pPr>
            <w:r w:rsidRPr="007C51D6">
              <w:rPr>
                <w:bCs/>
                <w:color w:val="000000"/>
                <w:sz w:val="20"/>
                <w:szCs w:val="20"/>
              </w:rPr>
              <w:t>данных</w:t>
            </w:r>
          </w:p>
        </w:tc>
        <w:tc>
          <w:tcPr>
            <w:tcW w:w="992" w:type="dxa"/>
          </w:tcPr>
          <w:p w:rsidR="00592896" w:rsidRPr="007C51D6" w:rsidRDefault="00592896" w:rsidP="00592896">
            <w:pPr>
              <w:jc w:val="center"/>
              <w:rPr>
                <w:color w:val="000000"/>
                <w:sz w:val="20"/>
                <w:szCs w:val="20"/>
              </w:rPr>
            </w:pPr>
            <w:r w:rsidRPr="007C51D6">
              <w:rPr>
                <w:color w:val="000000"/>
                <w:sz w:val="20"/>
                <w:szCs w:val="20"/>
              </w:rPr>
              <w:t>0,00</w:t>
            </w:r>
          </w:p>
        </w:tc>
        <w:tc>
          <w:tcPr>
            <w:tcW w:w="851" w:type="dxa"/>
          </w:tcPr>
          <w:p w:rsidR="00592896" w:rsidRPr="007C51D6" w:rsidRDefault="00592896" w:rsidP="00592896">
            <w:pPr>
              <w:jc w:val="center"/>
              <w:rPr>
                <w:color w:val="000000"/>
                <w:sz w:val="20"/>
                <w:szCs w:val="20"/>
              </w:rPr>
            </w:pPr>
            <w:r w:rsidRPr="007C51D6">
              <w:rPr>
                <w:color w:val="000000"/>
                <w:sz w:val="20"/>
                <w:szCs w:val="20"/>
              </w:rPr>
              <w:t>0,00</w:t>
            </w:r>
          </w:p>
        </w:tc>
        <w:tc>
          <w:tcPr>
            <w:tcW w:w="850" w:type="dxa"/>
          </w:tcPr>
          <w:p w:rsidR="00592896" w:rsidRPr="007C51D6" w:rsidRDefault="00592896" w:rsidP="00592896">
            <w:pPr>
              <w:jc w:val="center"/>
              <w:rPr>
                <w:color w:val="000000"/>
                <w:sz w:val="20"/>
                <w:szCs w:val="20"/>
              </w:rPr>
            </w:pPr>
            <w:r w:rsidRPr="007C51D6">
              <w:rPr>
                <w:color w:val="000000"/>
                <w:sz w:val="20"/>
                <w:szCs w:val="20"/>
              </w:rPr>
              <w:t>0,00</w:t>
            </w:r>
          </w:p>
        </w:tc>
        <w:tc>
          <w:tcPr>
            <w:tcW w:w="851" w:type="dxa"/>
          </w:tcPr>
          <w:p w:rsidR="00592896" w:rsidRPr="007C51D6" w:rsidRDefault="00592896" w:rsidP="00592896">
            <w:pPr>
              <w:jc w:val="center"/>
              <w:rPr>
                <w:color w:val="000000"/>
                <w:sz w:val="20"/>
                <w:szCs w:val="20"/>
              </w:rPr>
            </w:pPr>
            <w:r w:rsidRPr="007C51D6">
              <w:rPr>
                <w:color w:val="000000"/>
                <w:sz w:val="20"/>
                <w:szCs w:val="20"/>
              </w:rPr>
              <w:t>0,00</w:t>
            </w:r>
          </w:p>
        </w:tc>
        <w:tc>
          <w:tcPr>
            <w:tcW w:w="829" w:type="dxa"/>
          </w:tcPr>
          <w:p w:rsidR="00592896" w:rsidRPr="007C51D6" w:rsidRDefault="00592896" w:rsidP="00592896">
            <w:pPr>
              <w:jc w:val="center"/>
              <w:rPr>
                <w:color w:val="000000"/>
                <w:sz w:val="20"/>
                <w:szCs w:val="20"/>
              </w:rPr>
            </w:pPr>
            <w:r w:rsidRPr="007C51D6">
              <w:rPr>
                <w:color w:val="000000"/>
                <w:sz w:val="20"/>
                <w:szCs w:val="20"/>
              </w:rPr>
              <w:t>0,00</w:t>
            </w:r>
          </w:p>
        </w:tc>
        <w:tc>
          <w:tcPr>
            <w:tcW w:w="907" w:type="dxa"/>
          </w:tcPr>
          <w:p w:rsidR="00592896" w:rsidRPr="007C51D6" w:rsidRDefault="00592896" w:rsidP="00592896">
            <w:pPr>
              <w:jc w:val="center"/>
              <w:rPr>
                <w:color w:val="000000"/>
                <w:sz w:val="20"/>
                <w:szCs w:val="20"/>
              </w:rPr>
            </w:pPr>
            <w:r w:rsidRPr="007C51D6">
              <w:rPr>
                <w:color w:val="000000"/>
                <w:sz w:val="20"/>
                <w:szCs w:val="20"/>
              </w:rPr>
              <w:t>0,00</w:t>
            </w:r>
          </w:p>
        </w:tc>
        <w:tc>
          <w:tcPr>
            <w:tcW w:w="907" w:type="dxa"/>
          </w:tcPr>
          <w:p w:rsidR="00592896" w:rsidRPr="007C51D6" w:rsidRDefault="00592896" w:rsidP="00592896">
            <w:pPr>
              <w:autoSpaceDE/>
              <w:autoSpaceDN/>
              <w:adjustRightInd/>
              <w:jc w:val="center"/>
              <w:rPr>
                <w:bCs/>
                <w:color w:val="000000"/>
                <w:sz w:val="20"/>
                <w:szCs w:val="20"/>
              </w:rPr>
            </w:pPr>
            <w:r w:rsidRPr="007C51D6">
              <w:rPr>
                <w:bCs/>
                <w:color w:val="000000"/>
                <w:sz w:val="20"/>
                <w:szCs w:val="20"/>
              </w:rPr>
              <w:t>нет</w:t>
            </w:r>
          </w:p>
          <w:p w:rsidR="00592896" w:rsidRPr="007C51D6" w:rsidRDefault="00592896" w:rsidP="00592896">
            <w:pPr>
              <w:autoSpaceDE/>
              <w:autoSpaceDN/>
              <w:adjustRightInd/>
              <w:jc w:val="center"/>
              <w:rPr>
                <w:bCs/>
                <w:color w:val="000000"/>
                <w:sz w:val="20"/>
                <w:szCs w:val="20"/>
              </w:rPr>
            </w:pPr>
            <w:r w:rsidRPr="007C51D6">
              <w:rPr>
                <w:bCs/>
                <w:color w:val="000000"/>
                <w:sz w:val="20"/>
                <w:szCs w:val="20"/>
              </w:rPr>
              <w:t>данных</w:t>
            </w:r>
          </w:p>
        </w:tc>
      </w:tr>
      <w:tr w:rsidR="00592896" w:rsidRPr="007C51D6" w:rsidTr="00B93D5E">
        <w:trPr>
          <w:cantSplit/>
          <w:trHeight w:val="20"/>
          <w:jc w:val="center"/>
        </w:trPr>
        <w:tc>
          <w:tcPr>
            <w:tcW w:w="3539" w:type="dxa"/>
            <w:shd w:val="clear" w:color="auto" w:fill="auto"/>
            <w:noWrap/>
          </w:tcPr>
          <w:p w:rsidR="00592896" w:rsidRPr="007C51D6" w:rsidRDefault="00592896" w:rsidP="00592896">
            <w:pPr>
              <w:autoSpaceDE/>
              <w:autoSpaceDN/>
              <w:adjustRightInd/>
              <w:jc w:val="both"/>
              <w:rPr>
                <w:rFonts w:eastAsia="Arial"/>
                <w:sz w:val="20"/>
                <w:szCs w:val="20"/>
              </w:rPr>
            </w:pPr>
            <w:r w:rsidRPr="007C51D6">
              <w:rPr>
                <w:color w:val="333333"/>
                <w:sz w:val="20"/>
                <w:szCs w:val="20"/>
              </w:rPr>
              <w:t>карцинома in situ шейки матки</w:t>
            </w:r>
          </w:p>
        </w:tc>
        <w:tc>
          <w:tcPr>
            <w:tcW w:w="1276" w:type="dxa"/>
            <w:shd w:val="clear" w:color="auto" w:fill="auto"/>
            <w:noWrap/>
          </w:tcPr>
          <w:p w:rsidR="00592896" w:rsidRPr="007C51D6" w:rsidRDefault="00592896" w:rsidP="00592896">
            <w:pPr>
              <w:jc w:val="center"/>
            </w:pPr>
            <w:r w:rsidRPr="007C51D6">
              <w:rPr>
                <w:rFonts w:eastAsia="Arial"/>
                <w:sz w:val="20"/>
                <w:szCs w:val="20"/>
                <w:lang w:val="en-US"/>
              </w:rPr>
              <w:t>D06</w:t>
            </w:r>
          </w:p>
        </w:tc>
        <w:tc>
          <w:tcPr>
            <w:tcW w:w="1303" w:type="dxa"/>
          </w:tcPr>
          <w:p w:rsidR="00592896" w:rsidRPr="007C51D6" w:rsidRDefault="00592896" w:rsidP="00592896">
            <w:pPr>
              <w:autoSpaceDE/>
              <w:autoSpaceDN/>
              <w:adjustRightInd/>
              <w:jc w:val="center"/>
              <w:rPr>
                <w:bCs/>
                <w:color w:val="000000"/>
                <w:sz w:val="20"/>
                <w:szCs w:val="20"/>
              </w:rPr>
            </w:pPr>
            <w:r w:rsidRPr="007C51D6">
              <w:rPr>
                <w:bCs/>
                <w:color w:val="000000"/>
                <w:sz w:val="20"/>
                <w:szCs w:val="20"/>
              </w:rPr>
              <w:t>нет</w:t>
            </w:r>
          </w:p>
          <w:p w:rsidR="00592896" w:rsidRPr="007C51D6" w:rsidRDefault="00592896" w:rsidP="00592896">
            <w:pPr>
              <w:autoSpaceDE/>
              <w:autoSpaceDN/>
              <w:adjustRightInd/>
              <w:jc w:val="center"/>
              <w:rPr>
                <w:bCs/>
                <w:color w:val="000000"/>
                <w:sz w:val="20"/>
                <w:szCs w:val="20"/>
              </w:rPr>
            </w:pPr>
            <w:r w:rsidRPr="007C51D6">
              <w:rPr>
                <w:bCs/>
                <w:color w:val="000000"/>
                <w:sz w:val="20"/>
                <w:szCs w:val="20"/>
              </w:rPr>
              <w:t>данных</w:t>
            </w:r>
          </w:p>
        </w:tc>
        <w:tc>
          <w:tcPr>
            <w:tcW w:w="1134" w:type="dxa"/>
          </w:tcPr>
          <w:p w:rsidR="00592896" w:rsidRPr="007C51D6" w:rsidRDefault="00592896" w:rsidP="00592896">
            <w:pPr>
              <w:autoSpaceDE/>
              <w:autoSpaceDN/>
              <w:adjustRightInd/>
              <w:jc w:val="center"/>
              <w:rPr>
                <w:bCs/>
                <w:color w:val="000000"/>
                <w:sz w:val="20"/>
                <w:szCs w:val="20"/>
              </w:rPr>
            </w:pPr>
            <w:r w:rsidRPr="007C51D6">
              <w:rPr>
                <w:bCs/>
                <w:color w:val="000000"/>
                <w:sz w:val="20"/>
                <w:szCs w:val="20"/>
              </w:rPr>
              <w:t>нет</w:t>
            </w:r>
          </w:p>
          <w:p w:rsidR="00592896" w:rsidRPr="007C51D6" w:rsidRDefault="00592896" w:rsidP="00592896">
            <w:pPr>
              <w:autoSpaceDE/>
              <w:autoSpaceDN/>
              <w:adjustRightInd/>
              <w:jc w:val="center"/>
              <w:rPr>
                <w:bCs/>
                <w:color w:val="000000"/>
                <w:sz w:val="20"/>
                <w:szCs w:val="20"/>
              </w:rPr>
            </w:pPr>
            <w:r w:rsidRPr="007C51D6">
              <w:rPr>
                <w:bCs/>
                <w:color w:val="000000"/>
                <w:sz w:val="20"/>
                <w:szCs w:val="20"/>
              </w:rPr>
              <w:t>данных</w:t>
            </w:r>
          </w:p>
        </w:tc>
        <w:tc>
          <w:tcPr>
            <w:tcW w:w="1361" w:type="dxa"/>
          </w:tcPr>
          <w:p w:rsidR="00592896" w:rsidRPr="007C51D6" w:rsidRDefault="00592896" w:rsidP="00592896">
            <w:pPr>
              <w:autoSpaceDE/>
              <w:autoSpaceDN/>
              <w:adjustRightInd/>
              <w:jc w:val="center"/>
              <w:rPr>
                <w:bCs/>
                <w:color w:val="000000"/>
                <w:sz w:val="20"/>
                <w:szCs w:val="20"/>
              </w:rPr>
            </w:pPr>
            <w:r w:rsidRPr="007C51D6">
              <w:rPr>
                <w:bCs/>
                <w:color w:val="000000"/>
                <w:sz w:val="20"/>
                <w:szCs w:val="20"/>
              </w:rPr>
              <w:t>нет</w:t>
            </w:r>
          </w:p>
          <w:p w:rsidR="00592896" w:rsidRPr="007C51D6" w:rsidRDefault="00592896" w:rsidP="00592896">
            <w:pPr>
              <w:autoSpaceDE/>
              <w:autoSpaceDN/>
              <w:adjustRightInd/>
              <w:jc w:val="center"/>
              <w:rPr>
                <w:bCs/>
                <w:color w:val="000000"/>
                <w:sz w:val="20"/>
                <w:szCs w:val="20"/>
              </w:rPr>
            </w:pPr>
            <w:r w:rsidRPr="007C51D6">
              <w:rPr>
                <w:bCs/>
                <w:color w:val="000000"/>
                <w:sz w:val="20"/>
                <w:szCs w:val="20"/>
              </w:rPr>
              <w:t>данных</w:t>
            </w:r>
          </w:p>
        </w:tc>
        <w:tc>
          <w:tcPr>
            <w:tcW w:w="992" w:type="dxa"/>
          </w:tcPr>
          <w:p w:rsidR="00592896" w:rsidRPr="007C51D6" w:rsidRDefault="00592896" w:rsidP="00592896">
            <w:pPr>
              <w:jc w:val="center"/>
              <w:rPr>
                <w:color w:val="000000"/>
                <w:sz w:val="20"/>
                <w:szCs w:val="20"/>
              </w:rPr>
            </w:pPr>
            <w:r w:rsidRPr="007C51D6">
              <w:rPr>
                <w:color w:val="000000"/>
                <w:sz w:val="20"/>
                <w:szCs w:val="20"/>
              </w:rPr>
              <w:t>0,00</w:t>
            </w:r>
          </w:p>
        </w:tc>
        <w:tc>
          <w:tcPr>
            <w:tcW w:w="851" w:type="dxa"/>
          </w:tcPr>
          <w:p w:rsidR="00592896" w:rsidRPr="007C51D6" w:rsidRDefault="00592896" w:rsidP="00592896">
            <w:pPr>
              <w:jc w:val="center"/>
              <w:rPr>
                <w:color w:val="000000"/>
                <w:sz w:val="20"/>
                <w:szCs w:val="20"/>
              </w:rPr>
            </w:pPr>
            <w:r w:rsidRPr="007C51D6">
              <w:rPr>
                <w:color w:val="000000"/>
                <w:sz w:val="20"/>
                <w:szCs w:val="20"/>
              </w:rPr>
              <w:t>0,00</w:t>
            </w:r>
          </w:p>
        </w:tc>
        <w:tc>
          <w:tcPr>
            <w:tcW w:w="850" w:type="dxa"/>
          </w:tcPr>
          <w:p w:rsidR="00592896" w:rsidRPr="007C51D6" w:rsidRDefault="00592896" w:rsidP="00592896">
            <w:pPr>
              <w:jc w:val="center"/>
              <w:rPr>
                <w:color w:val="000000"/>
                <w:sz w:val="20"/>
                <w:szCs w:val="20"/>
              </w:rPr>
            </w:pPr>
            <w:r w:rsidRPr="007C51D6">
              <w:rPr>
                <w:color w:val="000000"/>
                <w:sz w:val="20"/>
                <w:szCs w:val="20"/>
              </w:rPr>
              <w:t>0,00</w:t>
            </w:r>
          </w:p>
        </w:tc>
        <w:tc>
          <w:tcPr>
            <w:tcW w:w="851" w:type="dxa"/>
          </w:tcPr>
          <w:p w:rsidR="00592896" w:rsidRPr="007C51D6" w:rsidRDefault="00592896" w:rsidP="00592896">
            <w:pPr>
              <w:jc w:val="center"/>
              <w:rPr>
                <w:color w:val="000000"/>
                <w:sz w:val="20"/>
                <w:szCs w:val="20"/>
              </w:rPr>
            </w:pPr>
            <w:r w:rsidRPr="007C51D6">
              <w:rPr>
                <w:color w:val="000000"/>
                <w:sz w:val="20"/>
                <w:szCs w:val="20"/>
              </w:rPr>
              <w:t>0,00</w:t>
            </w:r>
          </w:p>
        </w:tc>
        <w:tc>
          <w:tcPr>
            <w:tcW w:w="829" w:type="dxa"/>
          </w:tcPr>
          <w:p w:rsidR="00592896" w:rsidRPr="007C51D6" w:rsidRDefault="00592896" w:rsidP="00592896">
            <w:pPr>
              <w:jc w:val="center"/>
              <w:rPr>
                <w:color w:val="000000"/>
                <w:sz w:val="20"/>
                <w:szCs w:val="20"/>
              </w:rPr>
            </w:pPr>
            <w:r w:rsidRPr="007C51D6">
              <w:rPr>
                <w:color w:val="000000"/>
                <w:sz w:val="20"/>
                <w:szCs w:val="20"/>
              </w:rPr>
              <w:t>0,00</w:t>
            </w:r>
          </w:p>
        </w:tc>
        <w:tc>
          <w:tcPr>
            <w:tcW w:w="907" w:type="dxa"/>
          </w:tcPr>
          <w:p w:rsidR="00592896" w:rsidRPr="007C51D6" w:rsidRDefault="00592896" w:rsidP="00592896">
            <w:pPr>
              <w:jc w:val="center"/>
              <w:rPr>
                <w:color w:val="000000"/>
                <w:sz w:val="20"/>
                <w:szCs w:val="20"/>
              </w:rPr>
            </w:pPr>
            <w:r w:rsidRPr="007C51D6">
              <w:rPr>
                <w:color w:val="000000"/>
                <w:sz w:val="20"/>
                <w:szCs w:val="20"/>
              </w:rPr>
              <w:t>0,00</w:t>
            </w:r>
          </w:p>
        </w:tc>
        <w:tc>
          <w:tcPr>
            <w:tcW w:w="907" w:type="dxa"/>
          </w:tcPr>
          <w:p w:rsidR="00592896" w:rsidRPr="007C51D6" w:rsidRDefault="00592896" w:rsidP="00592896">
            <w:pPr>
              <w:autoSpaceDE/>
              <w:autoSpaceDN/>
              <w:adjustRightInd/>
              <w:jc w:val="center"/>
              <w:rPr>
                <w:bCs/>
                <w:color w:val="000000"/>
                <w:sz w:val="20"/>
                <w:szCs w:val="20"/>
              </w:rPr>
            </w:pPr>
            <w:r w:rsidRPr="007C51D6">
              <w:rPr>
                <w:bCs/>
                <w:color w:val="000000"/>
                <w:sz w:val="20"/>
                <w:szCs w:val="20"/>
              </w:rPr>
              <w:t>нет</w:t>
            </w:r>
          </w:p>
          <w:p w:rsidR="00592896" w:rsidRPr="007C51D6" w:rsidRDefault="00592896" w:rsidP="00592896">
            <w:pPr>
              <w:autoSpaceDE/>
              <w:autoSpaceDN/>
              <w:adjustRightInd/>
              <w:jc w:val="center"/>
              <w:rPr>
                <w:bCs/>
                <w:color w:val="000000"/>
                <w:sz w:val="20"/>
                <w:szCs w:val="20"/>
              </w:rPr>
            </w:pPr>
            <w:r w:rsidRPr="007C51D6">
              <w:rPr>
                <w:bCs/>
                <w:color w:val="000000"/>
                <w:sz w:val="20"/>
                <w:szCs w:val="20"/>
              </w:rPr>
              <w:t>данных</w:t>
            </w:r>
          </w:p>
        </w:tc>
      </w:tr>
      <w:tr w:rsidR="00592896" w:rsidRPr="007C51D6" w:rsidTr="00B93D5E">
        <w:trPr>
          <w:cantSplit/>
          <w:trHeight w:val="20"/>
          <w:jc w:val="center"/>
        </w:trPr>
        <w:tc>
          <w:tcPr>
            <w:tcW w:w="3539" w:type="dxa"/>
            <w:shd w:val="clear" w:color="auto" w:fill="auto"/>
            <w:noWrap/>
          </w:tcPr>
          <w:p w:rsidR="00592896" w:rsidRPr="007C51D6" w:rsidRDefault="00592896" w:rsidP="00592896">
            <w:pPr>
              <w:autoSpaceDE/>
              <w:autoSpaceDN/>
              <w:adjustRightInd/>
              <w:jc w:val="both"/>
              <w:rPr>
                <w:rFonts w:eastAsia="Arial"/>
                <w:sz w:val="20"/>
                <w:szCs w:val="20"/>
              </w:rPr>
            </w:pPr>
            <w:r w:rsidRPr="007C51D6">
              <w:rPr>
                <w:color w:val="333333"/>
                <w:sz w:val="20"/>
                <w:szCs w:val="20"/>
              </w:rPr>
              <w:t>карцинома in situ других и неуточненных половых органов</w:t>
            </w:r>
          </w:p>
        </w:tc>
        <w:tc>
          <w:tcPr>
            <w:tcW w:w="1276" w:type="dxa"/>
            <w:shd w:val="clear" w:color="auto" w:fill="auto"/>
            <w:noWrap/>
          </w:tcPr>
          <w:p w:rsidR="00592896" w:rsidRPr="007C51D6" w:rsidRDefault="00592896" w:rsidP="00592896">
            <w:pPr>
              <w:jc w:val="center"/>
            </w:pPr>
            <w:r w:rsidRPr="007C51D6">
              <w:rPr>
                <w:rFonts w:eastAsia="Arial"/>
                <w:sz w:val="20"/>
                <w:szCs w:val="20"/>
                <w:lang w:val="en-US"/>
              </w:rPr>
              <w:t>D07</w:t>
            </w:r>
          </w:p>
        </w:tc>
        <w:tc>
          <w:tcPr>
            <w:tcW w:w="1303" w:type="dxa"/>
          </w:tcPr>
          <w:p w:rsidR="00592896" w:rsidRPr="007C51D6" w:rsidRDefault="00592896" w:rsidP="00592896">
            <w:pPr>
              <w:autoSpaceDE/>
              <w:autoSpaceDN/>
              <w:adjustRightInd/>
              <w:jc w:val="center"/>
              <w:rPr>
                <w:bCs/>
                <w:color w:val="000000"/>
                <w:sz w:val="20"/>
                <w:szCs w:val="20"/>
              </w:rPr>
            </w:pPr>
            <w:r w:rsidRPr="007C51D6">
              <w:rPr>
                <w:bCs/>
                <w:color w:val="000000"/>
                <w:sz w:val="20"/>
                <w:szCs w:val="20"/>
              </w:rPr>
              <w:t>нет</w:t>
            </w:r>
          </w:p>
          <w:p w:rsidR="00592896" w:rsidRPr="007C51D6" w:rsidRDefault="00592896" w:rsidP="00592896">
            <w:pPr>
              <w:autoSpaceDE/>
              <w:autoSpaceDN/>
              <w:adjustRightInd/>
              <w:jc w:val="center"/>
              <w:rPr>
                <w:bCs/>
                <w:color w:val="000000"/>
                <w:sz w:val="20"/>
                <w:szCs w:val="20"/>
              </w:rPr>
            </w:pPr>
            <w:r w:rsidRPr="007C51D6">
              <w:rPr>
                <w:bCs/>
                <w:color w:val="000000"/>
                <w:sz w:val="20"/>
                <w:szCs w:val="20"/>
              </w:rPr>
              <w:t>данных</w:t>
            </w:r>
          </w:p>
        </w:tc>
        <w:tc>
          <w:tcPr>
            <w:tcW w:w="1134" w:type="dxa"/>
          </w:tcPr>
          <w:p w:rsidR="00592896" w:rsidRPr="007C51D6" w:rsidRDefault="00592896" w:rsidP="00592896">
            <w:pPr>
              <w:autoSpaceDE/>
              <w:autoSpaceDN/>
              <w:adjustRightInd/>
              <w:jc w:val="center"/>
              <w:rPr>
                <w:bCs/>
                <w:color w:val="000000"/>
                <w:sz w:val="20"/>
                <w:szCs w:val="20"/>
              </w:rPr>
            </w:pPr>
            <w:r w:rsidRPr="007C51D6">
              <w:rPr>
                <w:bCs/>
                <w:color w:val="000000"/>
                <w:sz w:val="20"/>
                <w:szCs w:val="20"/>
              </w:rPr>
              <w:t>нет</w:t>
            </w:r>
          </w:p>
          <w:p w:rsidR="00592896" w:rsidRPr="007C51D6" w:rsidRDefault="00592896" w:rsidP="00592896">
            <w:pPr>
              <w:autoSpaceDE/>
              <w:autoSpaceDN/>
              <w:adjustRightInd/>
              <w:jc w:val="center"/>
              <w:rPr>
                <w:bCs/>
                <w:color w:val="000000"/>
                <w:sz w:val="20"/>
                <w:szCs w:val="20"/>
              </w:rPr>
            </w:pPr>
            <w:r w:rsidRPr="007C51D6">
              <w:rPr>
                <w:bCs/>
                <w:color w:val="000000"/>
                <w:sz w:val="20"/>
                <w:szCs w:val="20"/>
              </w:rPr>
              <w:t>данных</w:t>
            </w:r>
          </w:p>
        </w:tc>
        <w:tc>
          <w:tcPr>
            <w:tcW w:w="1361" w:type="dxa"/>
          </w:tcPr>
          <w:p w:rsidR="00592896" w:rsidRPr="007C51D6" w:rsidRDefault="00592896" w:rsidP="00592896">
            <w:pPr>
              <w:autoSpaceDE/>
              <w:autoSpaceDN/>
              <w:adjustRightInd/>
              <w:jc w:val="center"/>
              <w:rPr>
                <w:bCs/>
                <w:color w:val="000000"/>
                <w:sz w:val="20"/>
                <w:szCs w:val="20"/>
              </w:rPr>
            </w:pPr>
            <w:r w:rsidRPr="007C51D6">
              <w:rPr>
                <w:bCs/>
                <w:color w:val="000000"/>
                <w:sz w:val="20"/>
                <w:szCs w:val="20"/>
              </w:rPr>
              <w:t>нет</w:t>
            </w:r>
          </w:p>
          <w:p w:rsidR="00592896" w:rsidRPr="007C51D6" w:rsidRDefault="00592896" w:rsidP="00592896">
            <w:pPr>
              <w:autoSpaceDE/>
              <w:autoSpaceDN/>
              <w:adjustRightInd/>
              <w:jc w:val="center"/>
              <w:rPr>
                <w:bCs/>
                <w:color w:val="000000"/>
                <w:sz w:val="20"/>
                <w:szCs w:val="20"/>
              </w:rPr>
            </w:pPr>
            <w:r w:rsidRPr="007C51D6">
              <w:rPr>
                <w:bCs/>
                <w:color w:val="000000"/>
                <w:sz w:val="20"/>
                <w:szCs w:val="20"/>
              </w:rPr>
              <w:t>данных</w:t>
            </w:r>
          </w:p>
        </w:tc>
        <w:tc>
          <w:tcPr>
            <w:tcW w:w="992" w:type="dxa"/>
          </w:tcPr>
          <w:p w:rsidR="00592896" w:rsidRPr="007C51D6" w:rsidRDefault="00592896" w:rsidP="00592896">
            <w:pPr>
              <w:jc w:val="center"/>
              <w:rPr>
                <w:color w:val="000000"/>
                <w:sz w:val="20"/>
                <w:szCs w:val="20"/>
              </w:rPr>
            </w:pPr>
            <w:r w:rsidRPr="007C51D6">
              <w:rPr>
                <w:color w:val="000000"/>
                <w:sz w:val="20"/>
                <w:szCs w:val="20"/>
              </w:rPr>
              <w:t>0,00</w:t>
            </w:r>
          </w:p>
        </w:tc>
        <w:tc>
          <w:tcPr>
            <w:tcW w:w="851" w:type="dxa"/>
          </w:tcPr>
          <w:p w:rsidR="00592896" w:rsidRPr="007C51D6" w:rsidRDefault="00592896" w:rsidP="00592896">
            <w:pPr>
              <w:jc w:val="center"/>
              <w:rPr>
                <w:color w:val="000000"/>
                <w:sz w:val="20"/>
                <w:szCs w:val="20"/>
              </w:rPr>
            </w:pPr>
            <w:r w:rsidRPr="007C51D6">
              <w:rPr>
                <w:color w:val="000000"/>
                <w:sz w:val="20"/>
                <w:szCs w:val="20"/>
              </w:rPr>
              <w:t>0,00</w:t>
            </w:r>
          </w:p>
        </w:tc>
        <w:tc>
          <w:tcPr>
            <w:tcW w:w="850" w:type="dxa"/>
          </w:tcPr>
          <w:p w:rsidR="00592896" w:rsidRPr="007C51D6" w:rsidRDefault="00592896" w:rsidP="00592896">
            <w:pPr>
              <w:jc w:val="center"/>
              <w:rPr>
                <w:color w:val="000000"/>
                <w:sz w:val="20"/>
                <w:szCs w:val="20"/>
              </w:rPr>
            </w:pPr>
            <w:r w:rsidRPr="007C51D6">
              <w:rPr>
                <w:color w:val="000000"/>
                <w:sz w:val="20"/>
                <w:szCs w:val="20"/>
              </w:rPr>
              <w:t>0,00</w:t>
            </w:r>
          </w:p>
        </w:tc>
        <w:tc>
          <w:tcPr>
            <w:tcW w:w="851" w:type="dxa"/>
          </w:tcPr>
          <w:p w:rsidR="00592896" w:rsidRPr="007C51D6" w:rsidRDefault="00592896" w:rsidP="00592896">
            <w:pPr>
              <w:jc w:val="center"/>
              <w:rPr>
                <w:color w:val="000000"/>
                <w:sz w:val="20"/>
                <w:szCs w:val="20"/>
              </w:rPr>
            </w:pPr>
            <w:r w:rsidRPr="007C51D6">
              <w:rPr>
                <w:color w:val="000000"/>
                <w:sz w:val="20"/>
                <w:szCs w:val="20"/>
              </w:rPr>
              <w:t>0,00</w:t>
            </w:r>
          </w:p>
        </w:tc>
        <w:tc>
          <w:tcPr>
            <w:tcW w:w="829" w:type="dxa"/>
          </w:tcPr>
          <w:p w:rsidR="00592896" w:rsidRPr="007C51D6" w:rsidRDefault="00592896" w:rsidP="00592896">
            <w:pPr>
              <w:jc w:val="center"/>
              <w:rPr>
                <w:color w:val="000000"/>
                <w:sz w:val="20"/>
                <w:szCs w:val="20"/>
              </w:rPr>
            </w:pPr>
            <w:r w:rsidRPr="007C51D6">
              <w:rPr>
                <w:color w:val="000000"/>
                <w:sz w:val="20"/>
                <w:szCs w:val="20"/>
              </w:rPr>
              <w:t>0,00</w:t>
            </w:r>
          </w:p>
        </w:tc>
        <w:tc>
          <w:tcPr>
            <w:tcW w:w="907" w:type="dxa"/>
          </w:tcPr>
          <w:p w:rsidR="00592896" w:rsidRPr="007C51D6" w:rsidRDefault="00592896" w:rsidP="00592896">
            <w:pPr>
              <w:jc w:val="center"/>
              <w:rPr>
                <w:color w:val="000000"/>
                <w:sz w:val="20"/>
                <w:szCs w:val="20"/>
              </w:rPr>
            </w:pPr>
            <w:r w:rsidRPr="007C51D6">
              <w:rPr>
                <w:color w:val="000000"/>
                <w:sz w:val="20"/>
                <w:szCs w:val="20"/>
              </w:rPr>
              <w:t>0,00</w:t>
            </w:r>
          </w:p>
        </w:tc>
        <w:tc>
          <w:tcPr>
            <w:tcW w:w="907" w:type="dxa"/>
          </w:tcPr>
          <w:p w:rsidR="00592896" w:rsidRPr="007C51D6" w:rsidRDefault="00592896" w:rsidP="00592896">
            <w:pPr>
              <w:autoSpaceDE/>
              <w:autoSpaceDN/>
              <w:adjustRightInd/>
              <w:jc w:val="center"/>
              <w:rPr>
                <w:bCs/>
                <w:color w:val="000000"/>
                <w:sz w:val="20"/>
                <w:szCs w:val="20"/>
              </w:rPr>
            </w:pPr>
            <w:r w:rsidRPr="007C51D6">
              <w:rPr>
                <w:bCs/>
                <w:color w:val="000000"/>
                <w:sz w:val="20"/>
                <w:szCs w:val="20"/>
              </w:rPr>
              <w:t>нет</w:t>
            </w:r>
          </w:p>
          <w:p w:rsidR="00592896" w:rsidRPr="007C51D6" w:rsidRDefault="00592896" w:rsidP="00592896">
            <w:pPr>
              <w:autoSpaceDE/>
              <w:autoSpaceDN/>
              <w:adjustRightInd/>
              <w:jc w:val="center"/>
              <w:rPr>
                <w:bCs/>
                <w:color w:val="000000"/>
                <w:sz w:val="20"/>
                <w:szCs w:val="20"/>
              </w:rPr>
            </w:pPr>
            <w:r w:rsidRPr="007C51D6">
              <w:rPr>
                <w:bCs/>
                <w:color w:val="000000"/>
                <w:sz w:val="20"/>
                <w:szCs w:val="20"/>
              </w:rPr>
              <w:t>данных</w:t>
            </w:r>
          </w:p>
        </w:tc>
      </w:tr>
      <w:tr w:rsidR="00592896" w:rsidRPr="007C51D6" w:rsidTr="00B93D5E">
        <w:trPr>
          <w:cantSplit/>
          <w:trHeight w:val="20"/>
          <w:jc w:val="center"/>
        </w:trPr>
        <w:tc>
          <w:tcPr>
            <w:tcW w:w="3539" w:type="dxa"/>
            <w:shd w:val="clear" w:color="auto" w:fill="auto"/>
            <w:noWrap/>
          </w:tcPr>
          <w:p w:rsidR="00592896" w:rsidRPr="007C51D6" w:rsidRDefault="00592896" w:rsidP="00592896">
            <w:pPr>
              <w:autoSpaceDE/>
              <w:autoSpaceDN/>
              <w:adjustRightInd/>
              <w:jc w:val="both"/>
              <w:rPr>
                <w:rFonts w:eastAsia="Arial"/>
                <w:sz w:val="20"/>
                <w:szCs w:val="20"/>
              </w:rPr>
            </w:pPr>
            <w:r w:rsidRPr="007C51D6">
              <w:rPr>
                <w:color w:val="333333"/>
                <w:sz w:val="20"/>
                <w:szCs w:val="20"/>
              </w:rPr>
              <w:t>карцинома in situ других и неуточненных локализаций</w:t>
            </w:r>
          </w:p>
        </w:tc>
        <w:tc>
          <w:tcPr>
            <w:tcW w:w="1276" w:type="dxa"/>
            <w:shd w:val="clear" w:color="auto" w:fill="auto"/>
            <w:noWrap/>
          </w:tcPr>
          <w:p w:rsidR="00592896" w:rsidRPr="007C51D6" w:rsidRDefault="00592896" w:rsidP="00592896">
            <w:pPr>
              <w:jc w:val="center"/>
            </w:pPr>
            <w:r w:rsidRPr="007C51D6">
              <w:rPr>
                <w:rFonts w:eastAsia="Arial"/>
                <w:sz w:val="20"/>
                <w:szCs w:val="20"/>
                <w:lang w:val="en-US"/>
              </w:rPr>
              <w:t>D09</w:t>
            </w:r>
          </w:p>
        </w:tc>
        <w:tc>
          <w:tcPr>
            <w:tcW w:w="1303" w:type="dxa"/>
          </w:tcPr>
          <w:p w:rsidR="00592896" w:rsidRPr="007C51D6" w:rsidRDefault="00592896" w:rsidP="00592896">
            <w:pPr>
              <w:autoSpaceDE/>
              <w:autoSpaceDN/>
              <w:adjustRightInd/>
              <w:jc w:val="center"/>
              <w:rPr>
                <w:bCs/>
                <w:color w:val="000000"/>
                <w:sz w:val="20"/>
                <w:szCs w:val="20"/>
              </w:rPr>
            </w:pPr>
            <w:r w:rsidRPr="007C51D6">
              <w:rPr>
                <w:bCs/>
                <w:color w:val="000000"/>
                <w:sz w:val="20"/>
                <w:szCs w:val="20"/>
              </w:rPr>
              <w:t>нет</w:t>
            </w:r>
          </w:p>
          <w:p w:rsidR="00592896" w:rsidRPr="007C51D6" w:rsidRDefault="00592896" w:rsidP="00592896">
            <w:pPr>
              <w:autoSpaceDE/>
              <w:autoSpaceDN/>
              <w:adjustRightInd/>
              <w:jc w:val="center"/>
              <w:rPr>
                <w:bCs/>
                <w:color w:val="000000"/>
                <w:sz w:val="20"/>
                <w:szCs w:val="20"/>
              </w:rPr>
            </w:pPr>
            <w:r w:rsidRPr="007C51D6">
              <w:rPr>
                <w:bCs/>
                <w:color w:val="000000"/>
                <w:sz w:val="20"/>
                <w:szCs w:val="20"/>
              </w:rPr>
              <w:t>данных</w:t>
            </w:r>
          </w:p>
        </w:tc>
        <w:tc>
          <w:tcPr>
            <w:tcW w:w="1134" w:type="dxa"/>
          </w:tcPr>
          <w:p w:rsidR="00592896" w:rsidRPr="007C51D6" w:rsidRDefault="00592896" w:rsidP="00592896">
            <w:pPr>
              <w:autoSpaceDE/>
              <w:autoSpaceDN/>
              <w:adjustRightInd/>
              <w:jc w:val="center"/>
              <w:rPr>
                <w:bCs/>
                <w:color w:val="000000"/>
                <w:sz w:val="20"/>
                <w:szCs w:val="20"/>
              </w:rPr>
            </w:pPr>
            <w:r w:rsidRPr="007C51D6">
              <w:rPr>
                <w:bCs/>
                <w:color w:val="000000"/>
                <w:sz w:val="20"/>
                <w:szCs w:val="20"/>
              </w:rPr>
              <w:t>нет</w:t>
            </w:r>
          </w:p>
          <w:p w:rsidR="00592896" w:rsidRPr="007C51D6" w:rsidRDefault="00592896" w:rsidP="00592896">
            <w:pPr>
              <w:autoSpaceDE/>
              <w:autoSpaceDN/>
              <w:adjustRightInd/>
              <w:jc w:val="center"/>
              <w:rPr>
                <w:bCs/>
                <w:color w:val="000000"/>
                <w:sz w:val="20"/>
                <w:szCs w:val="20"/>
              </w:rPr>
            </w:pPr>
            <w:r w:rsidRPr="007C51D6">
              <w:rPr>
                <w:bCs/>
                <w:color w:val="000000"/>
                <w:sz w:val="20"/>
                <w:szCs w:val="20"/>
              </w:rPr>
              <w:t>данных</w:t>
            </w:r>
          </w:p>
        </w:tc>
        <w:tc>
          <w:tcPr>
            <w:tcW w:w="1361" w:type="dxa"/>
          </w:tcPr>
          <w:p w:rsidR="00592896" w:rsidRPr="007C51D6" w:rsidRDefault="00592896" w:rsidP="00592896">
            <w:pPr>
              <w:autoSpaceDE/>
              <w:autoSpaceDN/>
              <w:adjustRightInd/>
              <w:jc w:val="center"/>
              <w:rPr>
                <w:bCs/>
                <w:color w:val="000000"/>
                <w:sz w:val="20"/>
                <w:szCs w:val="20"/>
              </w:rPr>
            </w:pPr>
            <w:r w:rsidRPr="007C51D6">
              <w:rPr>
                <w:bCs/>
                <w:color w:val="000000"/>
                <w:sz w:val="20"/>
                <w:szCs w:val="20"/>
              </w:rPr>
              <w:t>нет</w:t>
            </w:r>
          </w:p>
          <w:p w:rsidR="00592896" w:rsidRPr="007C51D6" w:rsidRDefault="00592896" w:rsidP="00592896">
            <w:pPr>
              <w:autoSpaceDE/>
              <w:autoSpaceDN/>
              <w:adjustRightInd/>
              <w:jc w:val="center"/>
              <w:rPr>
                <w:bCs/>
                <w:color w:val="000000"/>
                <w:sz w:val="20"/>
                <w:szCs w:val="20"/>
              </w:rPr>
            </w:pPr>
            <w:r w:rsidRPr="007C51D6">
              <w:rPr>
                <w:bCs/>
                <w:color w:val="000000"/>
                <w:sz w:val="20"/>
                <w:szCs w:val="20"/>
              </w:rPr>
              <w:t>данных</w:t>
            </w:r>
          </w:p>
        </w:tc>
        <w:tc>
          <w:tcPr>
            <w:tcW w:w="992" w:type="dxa"/>
          </w:tcPr>
          <w:p w:rsidR="00592896" w:rsidRPr="007C51D6" w:rsidRDefault="00592896" w:rsidP="00592896">
            <w:pPr>
              <w:jc w:val="center"/>
              <w:rPr>
                <w:color w:val="000000"/>
                <w:sz w:val="20"/>
                <w:szCs w:val="20"/>
              </w:rPr>
            </w:pPr>
            <w:r w:rsidRPr="007C51D6">
              <w:rPr>
                <w:color w:val="000000"/>
                <w:sz w:val="20"/>
                <w:szCs w:val="20"/>
              </w:rPr>
              <w:t>0,00</w:t>
            </w:r>
          </w:p>
        </w:tc>
        <w:tc>
          <w:tcPr>
            <w:tcW w:w="851" w:type="dxa"/>
          </w:tcPr>
          <w:p w:rsidR="00592896" w:rsidRPr="007C51D6" w:rsidRDefault="00592896" w:rsidP="00592896">
            <w:pPr>
              <w:jc w:val="center"/>
              <w:rPr>
                <w:color w:val="000000"/>
                <w:sz w:val="20"/>
                <w:szCs w:val="20"/>
              </w:rPr>
            </w:pPr>
            <w:r w:rsidRPr="007C51D6">
              <w:rPr>
                <w:color w:val="000000"/>
                <w:sz w:val="20"/>
                <w:szCs w:val="20"/>
              </w:rPr>
              <w:t>0,00</w:t>
            </w:r>
          </w:p>
        </w:tc>
        <w:tc>
          <w:tcPr>
            <w:tcW w:w="850" w:type="dxa"/>
          </w:tcPr>
          <w:p w:rsidR="00592896" w:rsidRPr="007C51D6" w:rsidRDefault="00592896" w:rsidP="00592896">
            <w:pPr>
              <w:jc w:val="center"/>
              <w:rPr>
                <w:color w:val="000000"/>
                <w:sz w:val="20"/>
                <w:szCs w:val="20"/>
              </w:rPr>
            </w:pPr>
            <w:r w:rsidRPr="007C51D6">
              <w:rPr>
                <w:color w:val="000000"/>
                <w:sz w:val="20"/>
                <w:szCs w:val="20"/>
              </w:rPr>
              <w:t>0,00</w:t>
            </w:r>
          </w:p>
        </w:tc>
        <w:tc>
          <w:tcPr>
            <w:tcW w:w="851" w:type="dxa"/>
          </w:tcPr>
          <w:p w:rsidR="00592896" w:rsidRPr="007C51D6" w:rsidRDefault="00592896" w:rsidP="00592896">
            <w:pPr>
              <w:jc w:val="center"/>
              <w:rPr>
                <w:color w:val="000000"/>
                <w:sz w:val="20"/>
                <w:szCs w:val="20"/>
              </w:rPr>
            </w:pPr>
            <w:r w:rsidRPr="007C51D6">
              <w:rPr>
                <w:color w:val="000000"/>
                <w:sz w:val="20"/>
                <w:szCs w:val="20"/>
              </w:rPr>
              <w:t>0,00</w:t>
            </w:r>
          </w:p>
        </w:tc>
        <w:tc>
          <w:tcPr>
            <w:tcW w:w="829" w:type="dxa"/>
          </w:tcPr>
          <w:p w:rsidR="00592896" w:rsidRPr="007C51D6" w:rsidRDefault="00592896" w:rsidP="00592896">
            <w:pPr>
              <w:jc w:val="center"/>
              <w:rPr>
                <w:color w:val="000000"/>
                <w:sz w:val="20"/>
                <w:szCs w:val="20"/>
              </w:rPr>
            </w:pPr>
            <w:r w:rsidRPr="007C51D6">
              <w:rPr>
                <w:color w:val="000000"/>
                <w:sz w:val="20"/>
                <w:szCs w:val="20"/>
              </w:rPr>
              <w:t>0,00</w:t>
            </w:r>
          </w:p>
        </w:tc>
        <w:tc>
          <w:tcPr>
            <w:tcW w:w="907" w:type="dxa"/>
          </w:tcPr>
          <w:p w:rsidR="00592896" w:rsidRPr="007C51D6" w:rsidRDefault="00592896" w:rsidP="00592896">
            <w:pPr>
              <w:jc w:val="center"/>
              <w:rPr>
                <w:color w:val="000000"/>
                <w:sz w:val="20"/>
                <w:szCs w:val="20"/>
              </w:rPr>
            </w:pPr>
            <w:r w:rsidRPr="007C51D6">
              <w:rPr>
                <w:color w:val="000000"/>
                <w:sz w:val="20"/>
                <w:szCs w:val="20"/>
              </w:rPr>
              <w:t>0,00</w:t>
            </w:r>
          </w:p>
        </w:tc>
        <w:tc>
          <w:tcPr>
            <w:tcW w:w="907" w:type="dxa"/>
          </w:tcPr>
          <w:p w:rsidR="00592896" w:rsidRPr="007C51D6" w:rsidRDefault="00592896" w:rsidP="00592896">
            <w:pPr>
              <w:autoSpaceDE/>
              <w:autoSpaceDN/>
              <w:adjustRightInd/>
              <w:jc w:val="center"/>
              <w:rPr>
                <w:bCs/>
                <w:color w:val="000000"/>
                <w:sz w:val="20"/>
                <w:szCs w:val="20"/>
              </w:rPr>
            </w:pPr>
            <w:r w:rsidRPr="007C51D6">
              <w:rPr>
                <w:bCs/>
                <w:color w:val="000000"/>
                <w:sz w:val="20"/>
                <w:szCs w:val="20"/>
              </w:rPr>
              <w:t>нет</w:t>
            </w:r>
          </w:p>
          <w:p w:rsidR="00592896" w:rsidRPr="007C51D6" w:rsidRDefault="00592896" w:rsidP="00592896">
            <w:pPr>
              <w:autoSpaceDE/>
              <w:autoSpaceDN/>
              <w:adjustRightInd/>
              <w:jc w:val="center"/>
              <w:rPr>
                <w:bCs/>
                <w:color w:val="000000"/>
                <w:sz w:val="20"/>
                <w:szCs w:val="20"/>
              </w:rPr>
            </w:pPr>
            <w:r w:rsidRPr="007C51D6">
              <w:rPr>
                <w:bCs/>
                <w:color w:val="000000"/>
                <w:sz w:val="20"/>
                <w:szCs w:val="20"/>
              </w:rPr>
              <w:t>данных</w:t>
            </w:r>
          </w:p>
        </w:tc>
      </w:tr>
      <w:tr w:rsidR="00592896" w:rsidRPr="007C51D6" w:rsidTr="00B93D5E">
        <w:trPr>
          <w:cantSplit/>
          <w:trHeight w:val="20"/>
          <w:jc w:val="center"/>
        </w:trPr>
        <w:tc>
          <w:tcPr>
            <w:tcW w:w="3539" w:type="dxa"/>
            <w:shd w:val="clear" w:color="auto" w:fill="auto"/>
            <w:noWrap/>
          </w:tcPr>
          <w:p w:rsidR="00592896" w:rsidRPr="007C51D6" w:rsidRDefault="00592896" w:rsidP="00592896">
            <w:pPr>
              <w:autoSpaceDE/>
              <w:autoSpaceDN/>
              <w:adjustRightInd/>
              <w:jc w:val="both"/>
              <w:rPr>
                <w:rFonts w:eastAsia="Arial"/>
                <w:sz w:val="20"/>
                <w:szCs w:val="20"/>
              </w:rPr>
            </w:pPr>
            <w:r w:rsidRPr="007C51D6">
              <w:rPr>
                <w:color w:val="333333"/>
                <w:sz w:val="20"/>
                <w:szCs w:val="20"/>
              </w:rPr>
              <w:t>доброкачественное новообразование рта и глотки</w:t>
            </w:r>
          </w:p>
        </w:tc>
        <w:tc>
          <w:tcPr>
            <w:tcW w:w="1276" w:type="dxa"/>
            <w:shd w:val="clear" w:color="auto" w:fill="auto"/>
            <w:noWrap/>
          </w:tcPr>
          <w:p w:rsidR="00592896" w:rsidRPr="007C51D6" w:rsidRDefault="00592896" w:rsidP="00592896">
            <w:pPr>
              <w:jc w:val="center"/>
            </w:pPr>
            <w:r w:rsidRPr="007C51D6">
              <w:rPr>
                <w:rFonts w:eastAsia="Arial"/>
                <w:sz w:val="20"/>
                <w:szCs w:val="20"/>
                <w:lang w:val="en-US"/>
              </w:rPr>
              <w:t>D10</w:t>
            </w:r>
          </w:p>
        </w:tc>
        <w:tc>
          <w:tcPr>
            <w:tcW w:w="1303" w:type="dxa"/>
          </w:tcPr>
          <w:p w:rsidR="00592896" w:rsidRPr="007C51D6" w:rsidRDefault="00592896" w:rsidP="00592896">
            <w:pPr>
              <w:autoSpaceDE/>
              <w:autoSpaceDN/>
              <w:adjustRightInd/>
              <w:jc w:val="center"/>
              <w:rPr>
                <w:bCs/>
                <w:color w:val="000000"/>
                <w:sz w:val="20"/>
                <w:szCs w:val="20"/>
              </w:rPr>
            </w:pPr>
            <w:r w:rsidRPr="007C51D6">
              <w:rPr>
                <w:bCs/>
                <w:color w:val="000000"/>
                <w:sz w:val="20"/>
                <w:szCs w:val="20"/>
              </w:rPr>
              <w:t>нет</w:t>
            </w:r>
          </w:p>
          <w:p w:rsidR="00592896" w:rsidRPr="007C51D6" w:rsidRDefault="00592896" w:rsidP="00592896">
            <w:pPr>
              <w:autoSpaceDE/>
              <w:autoSpaceDN/>
              <w:adjustRightInd/>
              <w:jc w:val="center"/>
              <w:rPr>
                <w:bCs/>
                <w:color w:val="000000"/>
                <w:sz w:val="20"/>
                <w:szCs w:val="20"/>
              </w:rPr>
            </w:pPr>
            <w:r w:rsidRPr="007C51D6">
              <w:rPr>
                <w:bCs/>
                <w:color w:val="000000"/>
                <w:sz w:val="20"/>
                <w:szCs w:val="20"/>
              </w:rPr>
              <w:t>данных</w:t>
            </w:r>
          </w:p>
        </w:tc>
        <w:tc>
          <w:tcPr>
            <w:tcW w:w="1134" w:type="dxa"/>
          </w:tcPr>
          <w:p w:rsidR="00592896" w:rsidRPr="007C51D6" w:rsidRDefault="00592896" w:rsidP="00592896">
            <w:pPr>
              <w:autoSpaceDE/>
              <w:autoSpaceDN/>
              <w:adjustRightInd/>
              <w:jc w:val="center"/>
              <w:rPr>
                <w:bCs/>
                <w:color w:val="000000"/>
                <w:sz w:val="20"/>
                <w:szCs w:val="20"/>
              </w:rPr>
            </w:pPr>
            <w:r w:rsidRPr="007C51D6">
              <w:rPr>
                <w:bCs/>
                <w:color w:val="000000"/>
                <w:sz w:val="20"/>
                <w:szCs w:val="20"/>
              </w:rPr>
              <w:t>нет</w:t>
            </w:r>
          </w:p>
          <w:p w:rsidR="00592896" w:rsidRPr="007C51D6" w:rsidRDefault="00592896" w:rsidP="00592896">
            <w:pPr>
              <w:autoSpaceDE/>
              <w:autoSpaceDN/>
              <w:adjustRightInd/>
              <w:jc w:val="center"/>
              <w:rPr>
                <w:bCs/>
                <w:color w:val="000000"/>
                <w:sz w:val="20"/>
                <w:szCs w:val="20"/>
              </w:rPr>
            </w:pPr>
            <w:r w:rsidRPr="007C51D6">
              <w:rPr>
                <w:bCs/>
                <w:color w:val="000000"/>
                <w:sz w:val="20"/>
                <w:szCs w:val="20"/>
              </w:rPr>
              <w:t>данных</w:t>
            </w:r>
          </w:p>
        </w:tc>
        <w:tc>
          <w:tcPr>
            <w:tcW w:w="1361" w:type="dxa"/>
          </w:tcPr>
          <w:p w:rsidR="00592896" w:rsidRPr="007C51D6" w:rsidRDefault="00592896" w:rsidP="00592896">
            <w:pPr>
              <w:autoSpaceDE/>
              <w:autoSpaceDN/>
              <w:adjustRightInd/>
              <w:jc w:val="center"/>
              <w:rPr>
                <w:bCs/>
                <w:color w:val="000000"/>
                <w:sz w:val="20"/>
                <w:szCs w:val="20"/>
              </w:rPr>
            </w:pPr>
            <w:r w:rsidRPr="007C51D6">
              <w:rPr>
                <w:bCs/>
                <w:color w:val="000000"/>
                <w:sz w:val="20"/>
                <w:szCs w:val="20"/>
              </w:rPr>
              <w:t>нет</w:t>
            </w:r>
          </w:p>
          <w:p w:rsidR="00592896" w:rsidRPr="007C51D6" w:rsidRDefault="00592896" w:rsidP="00592896">
            <w:pPr>
              <w:autoSpaceDE/>
              <w:autoSpaceDN/>
              <w:adjustRightInd/>
              <w:jc w:val="center"/>
              <w:rPr>
                <w:bCs/>
                <w:color w:val="000000"/>
                <w:sz w:val="20"/>
                <w:szCs w:val="20"/>
              </w:rPr>
            </w:pPr>
            <w:r w:rsidRPr="007C51D6">
              <w:rPr>
                <w:bCs/>
                <w:color w:val="000000"/>
                <w:sz w:val="20"/>
                <w:szCs w:val="20"/>
              </w:rPr>
              <w:t>данных</w:t>
            </w:r>
          </w:p>
        </w:tc>
        <w:tc>
          <w:tcPr>
            <w:tcW w:w="992" w:type="dxa"/>
          </w:tcPr>
          <w:p w:rsidR="00592896" w:rsidRPr="007C51D6" w:rsidRDefault="00592896" w:rsidP="00592896">
            <w:pPr>
              <w:jc w:val="center"/>
              <w:rPr>
                <w:color w:val="000000"/>
                <w:sz w:val="20"/>
                <w:szCs w:val="20"/>
              </w:rPr>
            </w:pPr>
            <w:r w:rsidRPr="007C51D6">
              <w:rPr>
                <w:color w:val="000000"/>
                <w:sz w:val="20"/>
                <w:szCs w:val="20"/>
              </w:rPr>
              <w:t>0,00</w:t>
            </w:r>
          </w:p>
        </w:tc>
        <w:tc>
          <w:tcPr>
            <w:tcW w:w="851" w:type="dxa"/>
          </w:tcPr>
          <w:p w:rsidR="00592896" w:rsidRPr="007C51D6" w:rsidRDefault="00592896" w:rsidP="00592896">
            <w:pPr>
              <w:jc w:val="center"/>
              <w:rPr>
                <w:color w:val="000000"/>
                <w:sz w:val="20"/>
                <w:szCs w:val="20"/>
              </w:rPr>
            </w:pPr>
            <w:r w:rsidRPr="007C51D6">
              <w:rPr>
                <w:color w:val="000000"/>
                <w:sz w:val="20"/>
                <w:szCs w:val="20"/>
              </w:rPr>
              <w:t>0,00</w:t>
            </w:r>
          </w:p>
        </w:tc>
        <w:tc>
          <w:tcPr>
            <w:tcW w:w="850" w:type="dxa"/>
          </w:tcPr>
          <w:p w:rsidR="00592896" w:rsidRPr="007C51D6" w:rsidRDefault="00592896" w:rsidP="00592896">
            <w:pPr>
              <w:jc w:val="center"/>
              <w:rPr>
                <w:color w:val="000000"/>
                <w:sz w:val="20"/>
                <w:szCs w:val="20"/>
              </w:rPr>
            </w:pPr>
            <w:r w:rsidRPr="007C51D6">
              <w:rPr>
                <w:color w:val="000000"/>
                <w:sz w:val="20"/>
                <w:szCs w:val="20"/>
              </w:rPr>
              <w:t>0,00</w:t>
            </w:r>
          </w:p>
        </w:tc>
        <w:tc>
          <w:tcPr>
            <w:tcW w:w="851" w:type="dxa"/>
          </w:tcPr>
          <w:p w:rsidR="00592896" w:rsidRPr="007C51D6" w:rsidRDefault="00592896" w:rsidP="00592896">
            <w:pPr>
              <w:jc w:val="center"/>
              <w:rPr>
                <w:color w:val="000000"/>
                <w:sz w:val="20"/>
                <w:szCs w:val="20"/>
              </w:rPr>
            </w:pPr>
            <w:r w:rsidRPr="007C51D6">
              <w:rPr>
                <w:color w:val="000000"/>
                <w:sz w:val="20"/>
                <w:szCs w:val="20"/>
              </w:rPr>
              <w:t>0,00</w:t>
            </w:r>
          </w:p>
        </w:tc>
        <w:tc>
          <w:tcPr>
            <w:tcW w:w="829" w:type="dxa"/>
          </w:tcPr>
          <w:p w:rsidR="00592896" w:rsidRPr="007C51D6" w:rsidRDefault="00592896" w:rsidP="00592896">
            <w:pPr>
              <w:jc w:val="center"/>
              <w:rPr>
                <w:color w:val="000000"/>
                <w:sz w:val="20"/>
                <w:szCs w:val="20"/>
              </w:rPr>
            </w:pPr>
            <w:r w:rsidRPr="007C51D6">
              <w:rPr>
                <w:color w:val="000000"/>
                <w:sz w:val="20"/>
                <w:szCs w:val="20"/>
              </w:rPr>
              <w:t>0,00</w:t>
            </w:r>
          </w:p>
        </w:tc>
        <w:tc>
          <w:tcPr>
            <w:tcW w:w="907" w:type="dxa"/>
          </w:tcPr>
          <w:p w:rsidR="00592896" w:rsidRPr="007C51D6" w:rsidRDefault="00592896" w:rsidP="00592896">
            <w:pPr>
              <w:jc w:val="center"/>
              <w:rPr>
                <w:color w:val="000000"/>
                <w:sz w:val="20"/>
                <w:szCs w:val="20"/>
              </w:rPr>
            </w:pPr>
            <w:r w:rsidRPr="007C51D6">
              <w:rPr>
                <w:color w:val="000000"/>
                <w:sz w:val="20"/>
                <w:szCs w:val="20"/>
              </w:rPr>
              <w:t>0,00</w:t>
            </w:r>
          </w:p>
        </w:tc>
        <w:tc>
          <w:tcPr>
            <w:tcW w:w="907" w:type="dxa"/>
          </w:tcPr>
          <w:p w:rsidR="00592896" w:rsidRPr="007C51D6" w:rsidRDefault="00592896" w:rsidP="00592896">
            <w:pPr>
              <w:autoSpaceDE/>
              <w:autoSpaceDN/>
              <w:adjustRightInd/>
              <w:jc w:val="center"/>
              <w:rPr>
                <w:bCs/>
                <w:color w:val="000000"/>
                <w:sz w:val="20"/>
                <w:szCs w:val="20"/>
              </w:rPr>
            </w:pPr>
            <w:r w:rsidRPr="007C51D6">
              <w:rPr>
                <w:bCs/>
                <w:color w:val="000000"/>
                <w:sz w:val="20"/>
                <w:szCs w:val="20"/>
              </w:rPr>
              <w:t>нет</w:t>
            </w:r>
          </w:p>
          <w:p w:rsidR="00592896" w:rsidRPr="007C51D6" w:rsidRDefault="00592896" w:rsidP="00592896">
            <w:pPr>
              <w:autoSpaceDE/>
              <w:autoSpaceDN/>
              <w:adjustRightInd/>
              <w:jc w:val="center"/>
              <w:rPr>
                <w:bCs/>
                <w:color w:val="000000"/>
                <w:sz w:val="20"/>
                <w:szCs w:val="20"/>
              </w:rPr>
            </w:pPr>
            <w:r w:rsidRPr="007C51D6">
              <w:rPr>
                <w:bCs/>
                <w:color w:val="000000"/>
                <w:sz w:val="20"/>
                <w:szCs w:val="20"/>
              </w:rPr>
              <w:t>данных</w:t>
            </w:r>
          </w:p>
        </w:tc>
      </w:tr>
      <w:tr w:rsidR="00592896" w:rsidRPr="007C51D6" w:rsidTr="00B93D5E">
        <w:trPr>
          <w:cantSplit/>
          <w:trHeight w:val="20"/>
          <w:jc w:val="center"/>
        </w:trPr>
        <w:tc>
          <w:tcPr>
            <w:tcW w:w="3539" w:type="dxa"/>
            <w:shd w:val="clear" w:color="auto" w:fill="auto"/>
            <w:noWrap/>
          </w:tcPr>
          <w:p w:rsidR="00592896" w:rsidRPr="007C51D6" w:rsidRDefault="00592896" w:rsidP="00592896">
            <w:pPr>
              <w:autoSpaceDE/>
              <w:autoSpaceDN/>
              <w:adjustRightInd/>
              <w:jc w:val="both"/>
              <w:rPr>
                <w:rFonts w:eastAsia="Arial"/>
                <w:sz w:val="20"/>
                <w:szCs w:val="20"/>
              </w:rPr>
            </w:pPr>
            <w:r w:rsidRPr="007C51D6">
              <w:rPr>
                <w:color w:val="333333"/>
                <w:sz w:val="20"/>
                <w:szCs w:val="20"/>
              </w:rPr>
              <w:t>доброкачественное новообразование больших слюнных желез</w:t>
            </w:r>
          </w:p>
        </w:tc>
        <w:tc>
          <w:tcPr>
            <w:tcW w:w="1276" w:type="dxa"/>
            <w:shd w:val="clear" w:color="auto" w:fill="auto"/>
            <w:noWrap/>
          </w:tcPr>
          <w:p w:rsidR="00592896" w:rsidRPr="007C51D6" w:rsidRDefault="00592896" w:rsidP="00592896">
            <w:pPr>
              <w:jc w:val="center"/>
            </w:pPr>
            <w:r w:rsidRPr="007C51D6">
              <w:rPr>
                <w:rFonts w:eastAsia="Arial"/>
                <w:sz w:val="20"/>
                <w:szCs w:val="20"/>
                <w:lang w:val="en-US"/>
              </w:rPr>
              <w:t>D11</w:t>
            </w:r>
          </w:p>
        </w:tc>
        <w:tc>
          <w:tcPr>
            <w:tcW w:w="1303" w:type="dxa"/>
          </w:tcPr>
          <w:p w:rsidR="00592896" w:rsidRPr="007C51D6" w:rsidRDefault="00592896" w:rsidP="00592896">
            <w:pPr>
              <w:autoSpaceDE/>
              <w:autoSpaceDN/>
              <w:adjustRightInd/>
              <w:jc w:val="center"/>
              <w:rPr>
                <w:bCs/>
                <w:color w:val="000000"/>
                <w:sz w:val="20"/>
                <w:szCs w:val="20"/>
              </w:rPr>
            </w:pPr>
            <w:r w:rsidRPr="007C51D6">
              <w:rPr>
                <w:bCs/>
                <w:color w:val="000000"/>
                <w:sz w:val="20"/>
                <w:szCs w:val="20"/>
              </w:rPr>
              <w:t>нет</w:t>
            </w:r>
          </w:p>
          <w:p w:rsidR="00592896" w:rsidRPr="007C51D6" w:rsidRDefault="00592896" w:rsidP="00592896">
            <w:pPr>
              <w:autoSpaceDE/>
              <w:autoSpaceDN/>
              <w:adjustRightInd/>
              <w:jc w:val="center"/>
              <w:rPr>
                <w:bCs/>
                <w:color w:val="000000"/>
                <w:sz w:val="20"/>
                <w:szCs w:val="20"/>
              </w:rPr>
            </w:pPr>
            <w:r w:rsidRPr="007C51D6">
              <w:rPr>
                <w:bCs/>
                <w:color w:val="000000"/>
                <w:sz w:val="20"/>
                <w:szCs w:val="20"/>
              </w:rPr>
              <w:t>данных</w:t>
            </w:r>
          </w:p>
        </w:tc>
        <w:tc>
          <w:tcPr>
            <w:tcW w:w="1134" w:type="dxa"/>
          </w:tcPr>
          <w:p w:rsidR="00592896" w:rsidRPr="007C51D6" w:rsidRDefault="00592896" w:rsidP="00592896">
            <w:pPr>
              <w:autoSpaceDE/>
              <w:autoSpaceDN/>
              <w:adjustRightInd/>
              <w:jc w:val="center"/>
              <w:rPr>
                <w:bCs/>
                <w:color w:val="000000"/>
                <w:sz w:val="20"/>
                <w:szCs w:val="20"/>
              </w:rPr>
            </w:pPr>
            <w:r w:rsidRPr="007C51D6">
              <w:rPr>
                <w:bCs/>
                <w:color w:val="000000"/>
                <w:sz w:val="20"/>
                <w:szCs w:val="20"/>
              </w:rPr>
              <w:t>нет</w:t>
            </w:r>
          </w:p>
          <w:p w:rsidR="00592896" w:rsidRPr="007C51D6" w:rsidRDefault="00592896" w:rsidP="00592896">
            <w:pPr>
              <w:autoSpaceDE/>
              <w:autoSpaceDN/>
              <w:adjustRightInd/>
              <w:jc w:val="center"/>
              <w:rPr>
                <w:bCs/>
                <w:color w:val="000000"/>
                <w:sz w:val="20"/>
                <w:szCs w:val="20"/>
              </w:rPr>
            </w:pPr>
            <w:r w:rsidRPr="007C51D6">
              <w:rPr>
                <w:bCs/>
                <w:color w:val="000000"/>
                <w:sz w:val="20"/>
                <w:szCs w:val="20"/>
              </w:rPr>
              <w:t>данных</w:t>
            </w:r>
          </w:p>
        </w:tc>
        <w:tc>
          <w:tcPr>
            <w:tcW w:w="1361" w:type="dxa"/>
          </w:tcPr>
          <w:p w:rsidR="00592896" w:rsidRPr="007C51D6" w:rsidRDefault="00592896" w:rsidP="00592896">
            <w:pPr>
              <w:autoSpaceDE/>
              <w:autoSpaceDN/>
              <w:adjustRightInd/>
              <w:jc w:val="center"/>
              <w:rPr>
                <w:bCs/>
                <w:color w:val="000000"/>
                <w:sz w:val="20"/>
                <w:szCs w:val="20"/>
              </w:rPr>
            </w:pPr>
            <w:r w:rsidRPr="007C51D6">
              <w:rPr>
                <w:bCs/>
                <w:color w:val="000000"/>
                <w:sz w:val="20"/>
                <w:szCs w:val="20"/>
              </w:rPr>
              <w:t>нет</w:t>
            </w:r>
          </w:p>
          <w:p w:rsidR="00592896" w:rsidRPr="007C51D6" w:rsidRDefault="00592896" w:rsidP="00592896">
            <w:pPr>
              <w:autoSpaceDE/>
              <w:autoSpaceDN/>
              <w:adjustRightInd/>
              <w:jc w:val="center"/>
              <w:rPr>
                <w:bCs/>
                <w:color w:val="000000"/>
                <w:sz w:val="20"/>
                <w:szCs w:val="20"/>
              </w:rPr>
            </w:pPr>
            <w:r w:rsidRPr="007C51D6">
              <w:rPr>
                <w:bCs/>
                <w:color w:val="000000"/>
                <w:sz w:val="20"/>
                <w:szCs w:val="20"/>
              </w:rPr>
              <w:t>данных</w:t>
            </w:r>
          </w:p>
        </w:tc>
        <w:tc>
          <w:tcPr>
            <w:tcW w:w="992" w:type="dxa"/>
          </w:tcPr>
          <w:p w:rsidR="00592896" w:rsidRPr="007C51D6" w:rsidRDefault="00592896" w:rsidP="00592896">
            <w:pPr>
              <w:jc w:val="center"/>
              <w:rPr>
                <w:color w:val="000000"/>
                <w:sz w:val="20"/>
                <w:szCs w:val="20"/>
              </w:rPr>
            </w:pPr>
            <w:r w:rsidRPr="007C51D6">
              <w:rPr>
                <w:color w:val="000000"/>
                <w:sz w:val="20"/>
                <w:szCs w:val="20"/>
              </w:rPr>
              <w:t>0,00</w:t>
            </w:r>
          </w:p>
        </w:tc>
        <w:tc>
          <w:tcPr>
            <w:tcW w:w="851" w:type="dxa"/>
          </w:tcPr>
          <w:p w:rsidR="00592896" w:rsidRPr="007C51D6" w:rsidRDefault="00592896" w:rsidP="00592896">
            <w:pPr>
              <w:jc w:val="center"/>
              <w:rPr>
                <w:color w:val="000000"/>
                <w:sz w:val="20"/>
                <w:szCs w:val="20"/>
              </w:rPr>
            </w:pPr>
            <w:r w:rsidRPr="007C51D6">
              <w:rPr>
                <w:color w:val="000000"/>
                <w:sz w:val="20"/>
                <w:szCs w:val="20"/>
              </w:rPr>
              <w:t>0,00</w:t>
            </w:r>
          </w:p>
        </w:tc>
        <w:tc>
          <w:tcPr>
            <w:tcW w:w="850" w:type="dxa"/>
          </w:tcPr>
          <w:p w:rsidR="00592896" w:rsidRPr="007C51D6" w:rsidRDefault="00592896" w:rsidP="00592896">
            <w:pPr>
              <w:jc w:val="center"/>
              <w:rPr>
                <w:color w:val="000000"/>
                <w:sz w:val="20"/>
                <w:szCs w:val="20"/>
              </w:rPr>
            </w:pPr>
            <w:r w:rsidRPr="007C51D6">
              <w:rPr>
                <w:color w:val="000000"/>
                <w:sz w:val="20"/>
                <w:szCs w:val="20"/>
              </w:rPr>
              <w:t>0,00</w:t>
            </w:r>
          </w:p>
        </w:tc>
        <w:tc>
          <w:tcPr>
            <w:tcW w:w="851" w:type="dxa"/>
          </w:tcPr>
          <w:p w:rsidR="00592896" w:rsidRPr="007C51D6" w:rsidRDefault="00592896" w:rsidP="00592896">
            <w:pPr>
              <w:jc w:val="center"/>
              <w:rPr>
                <w:color w:val="000000"/>
                <w:sz w:val="20"/>
                <w:szCs w:val="20"/>
              </w:rPr>
            </w:pPr>
            <w:r w:rsidRPr="007C51D6">
              <w:rPr>
                <w:color w:val="000000"/>
                <w:sz w:val="20"/>
                <w:szCs w:val="20"/>
              </w:rPr>
              <w:t>0,00</w:t>
            </w:r>
          </w:p>
        </w:tc>
        <w:tc>
          <w:tcPr>
            <w:tcW w:w="829" w:type="dxa"/>
          </w:tcPr>
          <w:p w:rsidR="00592896" w:rsidRPr="007C51D6" w:rsidRDefault="00592896" w:rsidP="00592896">
            <w:pPr>
              <w:jc w:val="center"/>
              <w:rPr>
                <w:color w:val="000000"/>
                <w:sz w:val="20"/>
                <w:szCs w:val="20"/>
              </w:rPr>
            </w:pPr>
            <w:r w:rsidRPr="007C51D6">
              <w:rPr>
                <w:color w:val="000000"/>
                <w:sz w:val="20"/>
                <w:szCs w:val="20"/>
              </w:rPr>
              <w:t>0,00</w:t>
            </w:r>
          </w:p>
        </w:tc>
        <w:tc>
          <w:tcPr>
            <w:tcW w:w="907" w:type="dxa"/>
          </w:tcPr>
          <w:p w:rsidR="00592896" w:rsidRPr="007C51D6" w:rsidRDefault="00592896" w:rsidP="00592896">
            <w:pPr>
              <w:jc w:val="center"/>
              <w:rPr>
                <w:color w:val="000000"/>
                <w:sz w:val="20"/>
                <w:szCs w:val="20"/>
              </w:rPr>
            </w:pPr>
            <w:r w:rsidRPr="007C51D6">
              <w:rPr>
                <w:color w:val="000000"/>
                <w:sz w:val="20"/>
                <w:szCs w:val="20"/>
              </w:rPr>
              <w:t>0,00</w:t>
            </w:r>
          </w:p>
        </w:tc>
        <w:tc>
          <w:tcPr>
            <w:tcW w:w="907" w:type="dxa"/>
          </w:tcPr>
          <w:p w:rsidR="00592896" w:rsidRPr="007C51D6" w:rsidRDefault="00592896" w:rsidP="00592896">
            <w:pPr>
              <w:autoSpaceDE/>
              <w:autoSpaceDN/>
              <w:adjustRightInd/>
              <w:jc w:val="center"/>
              <w:rPr>
                <w:bCs/>
                <w:color w:val="000000"/>
                <w:sz w:val="20"/>
                <w:szCs w:val="20"/>
              </w:rPr>
            </w:pPr>
            <w:r w:rsidRPr="007C51D6">
              <w:rPr>
                <w:bCs/>
                <w:color w:val="000000"/>
                <w:sz w:val="20"/>
                <w:szCs w:val="20"/>
              </w:rPr>
              <w:t>нет</w:t>
            </w:r>
          </w:p>
          <w:p w:rsidR="00592896" w:rsidRPr="007C51D6" w:rsidRDefault="00592896" w:rsidP="00592896">
            <w:pPr>
              <w:autoSpaceDE/>
              <w:autoSpaceDN/>
              <w:adjustRightInd/>
              <w:jc w:val="center"/>
              <w:rPr>
                <w:bCs/>
                <w:color w:val="000000"/>
                <w:sz w:val="20"/>
                <w:szCs w:val="20"/>
              </w:rPr>
            </w:pPr>
            <w:r w:rsidRPr="007C51D6">
              <w:rPr>
                <w:bCs/>
                <w:color w:val="000000"/>
                <w:sz w:val="20"/>
                <w:szCs w:val="20"/>
              </w:rPr>
              <w:t>данных</w:t>
            </w:r>
          </w:p>
        </w:tc>
      </w:tr>
      <w:tr w:rsidR="00592896" w:rsidRPr="007C51D6" w:rsidTr="00B93D5E">
        <w:trPr>
          <w:cantSplit/>
          <w:trHeight w:val="20"/>
          <w:jc w:val="center"/>
        </w:trPr>
        <w:tc>
          <w:tcPr>
            <w:tcW w:w="3539" w:type="dxa"/>
            <w:shd w:val="clear" w:color="auto" w:fill="auto"/>
            <w:noWrap/>
          </w:tcPr>
          <w:p w:rsidR="00592896" w:rsidRPr="007C51D6" w:rsidRDefault="00592896" w:rsidP="00592896">
            <w:pPr>
              <w:autoSpaceDE/>
              <w:autoSpaceDN/>
              <w:adjustRightInd/>
              <w:jc w:val="both"/>
              <w:rPr>
                <w:sz w:val="20"/>
                <w:szCs w:val="20"/>
              </w:rPr>
            </w:pPr>
            <w:r w:rsidRPr="007C51D6">
              <w:rPr>
                <w:rFonts w:eastAsia="Arial"/>
                <w:sz w:val="20"/>
                <w:szCs w:val="20"/>
              </w:rPr>
              <w:t>д</w:t>
            </w:r>
            <w:hyperlink r:id="rId10" w:history="1">
              <w:r w:rsidRPr="007C51D6">
                <w:rPr>
                  <w:rFonts w:eastAsia="Arial"/>
                  <w:bCs/>
                  <w:sz w:val="20"/>
                  <w:szCs w:val="20"/>
                </w:rPr>
                <w:t>оброкачественное новообразование ободочной кишки, прямой кишки, ануса и анального канала</w:t>
              </w:r>
            </w:hyperlink>
          </w:p>
        </w:tc>
        <w:tc>
          <w:tcPr>
            <w:tcW w:w="1276" w:type="dxa"/>
            <w:shd w:val="clear" w:color="auto" w:fill="auto"/>
            <w:noWrap/>
          </w:tcPr>
          <w:p w:rsidR="00592896" w:rsidRPr="007C51D6" w:rsidRDefault="00592896" w:rsidP="00592896">
            <w:pPr>
              <w:autoSpaceDE/>
              <w:autoSpaceDN/>
              <w:adjustRightInd/>
              <w:jc w:val="center"/>
              <w:rPr>
                <w:color w:val="000000"/>
                <w:sz w:val="20"/>
                <w:szCs w:val="20"/>
              </w:rPr>
            </w:pPr>
            <w:r w:rsidRPr="007C51D6">
              <w:rPr>
                <w:rFonts w:eastAsia="Arial"/>
                <w:sz w:val="20"/>
                <w:szCs w:val="20"/>
              </w:rPr>
              <w:t xml:space="preserve">D12 </w:t>
            </w:r>
          </w:p>
        </w:tc>
        <w:tc>
          <w:tcPr>
            <w:tcW w:w="1303" w:type="dxa"/>
          </w:tcPr>
          <w:p w:rsidR="00592896" w:rsidRPr="007C51D6" w:rsidRDefault="00592896" w:rsidP="00592896">
            <w:pPr>
              <w:autoSpaceDE/>
              <w:autoSpaceDN/>
              <w:adjustRightInd/>
              <w:jc w:val="center"/>
              <w:rPr>
                <w:bCs/>
                <w:color w:val="000000"/>
                <w:sz w:val="20"/>
                <w:szCs w:val="20"/>
              </w:rPr>
            </w:pPr>
            <w:r w:rsidRPr="007C51D6">
              <w:rPr>
                <w:bCs/>
                <w:color w:val="000000"/>
                <w:sz w:val="20"/>
                <w:szCs w:val="20"/>
              </w:rPr>
              <w:t>нет</w:t>
            </w:r>
          </w:p>
          <w:p w:rsidR="00592896" w:rsidRPr="007C51D6" w:rsidRDefault="00592896" w:rsidP="00592896">
            <w:pPr>
              <w:autoSpaceDE/>
              <w:autoSpaceDN/>
              <w:adjustRightInd/>
              <w:jc w:val="center"/>
              <w:rPr>
                <w:bCs/>
                <w:color w:val="000000"/>
                <w:sz w:val="20"/>
                <w:szCs w:val="20"/>
              </w:rPr>
            </w:pPr>
            <w:r w:rsidRPr="007C51D6">
              <w:rPr>
                <w:bCs/>
                <w:color w:val="000000"/>
                <w:sz w:val="20"/>
                <w:szCs w:val="20"/>
              </w:rPr>
              <w:t>данных</w:t>
            </w:r>
          </w:p>
        </w:tc>
        <w:tc>
          <w:tcPr>
            <w:tcW w:w="1134" w:type="dxa"/>
          </w:tcPr>
          <w:p w:rsidR="00592896" w:rsidRPr="007C51D6" w:rsidRDefault="00592896" w:rsidP="00592896">
            <w:pPr>
              <w:autoSpaceDE/>
              <w:autoSpaceDN/>
              <w:adjustRightInd/>
              <w:jc w:val="center"/>
              <w:rPr>
                <w:bCs/>
                <w:color w:val="000000"/>
                <w:sz w:val="20"/>
                <w:szCs w:val="20"/>
              </w:rPr>
            </w:pPr>
            <w:r w:rsidRPr="007C51D6">
              <w:rPr>
                <w:bCs/>
                <w:color w:val="000000"/>
                <w:sz w:val="20"/>
                <w:szCs w:val="20"/>
              </w:rPr>
              <w:t>нет</w:t>
            </w:r>
          </w:p>
          <w:p w:rsidR="00592896" w:rsidRPr="007C51D6" w:rsidRDefault="00592896" w:rsidP="00592896">
            <w:pPr>
              <w:autoSpaceDE/>
              <w:autoSpaceDN/>
              <w:adjustRightInd/>
              <w:jc w:val="center"/>
              <w:rPr>
                <w:bCs/>
                <w:color w:val="000000"/>
                <w:sz w:val="20"/>
                <w:szCs w:val="20"/>
              </w:rPr>
            </w:pPr>
            <w:r w:rsidRPr="007C51D6">
              <w:rPr>
                <w:bCs/>
                <w:color w:val="000000"/>
                <w:sz w:val="20"/>
                <w:szCs w:val="20"/>
              </w:rPr>
              <w:t>данных</w:t>
            </w:r>
          </w:p>
        </w:tc>
        <w:tc>
          <w:tcPr>
            <w:tcW w:w="1361" w:type="dxa"/>
          </w:tcPr>
          <w:p w:rsidR="00592896" w:rsidRPr="007C51D6" w:rsidRDefault="00592896" w:rsidP="00592896">
            <w:pPr>
              <w:autoSpaceDE/>
              <w:autoSpaceDN/>
              <w:adjustRightInd/>
              <w:jc w:val="center"/>
              <w:rPr>
                <w:bCs/>
                <w:color w:val="000000"/>
                <w:sz w:val="20"/>
                <w:szCs w:val="20"/>
              </w:rPr>
            </w:pPr>
            <w:r w:rsidRPr="007C51D6">
              <w:rPr>
                <w:bCs/>
                <w:color w:val="000000"/>
                <w:sz w:val="20"/>
                <w:szCs w:val="20"/>
              </w:rPr>
              <w:t>нет</w:t>
            </w:r>
          </w:p>
          <w:p w:rsidR="00592896" w:rsidRPr="007C51D6" w:rsidRDefault="00592896" w:rsidP="00592896">
            <w:pPr>
              <w:autoSpaceDE/>
              <w:autoSpaceDN/>
              <w:adjustRightInd/>
              <w:jc w:val="center"/>
              <w:rPr>
                <w:bCs/>
                <w:color w:val="000000"/>
                <w:sz w:val="20"/>
                <w:szCs w:val="20"/>
              </w:rPr>
            </w:pPr>
            <w:r w:rsidRPr="007C51D6">
              <w:rPr>
                <w:bCs/>
                <w:color w:val="000000"/>
                <w:sz w:val="20"/>
                <w:szCs w:val="20"/>
              </w:rPr>
              <w:t>данных</w:t>
            </w:r>
          </w:p>
        </w:tc>
        <w:tc>
          <w:tcPr>
            <w:tcW w:w="992" w:type="dxa"/>
          </w:tcPr>
          <w:p w:rsidR="00592896" w:rsidRPr="007C51D6" w:rsidRDefault="00592896" w:rsidP="00592896">
            <w:pPr>
              <w:jc w:val="center"/>
              <w:rPr>
                <w:color w:val="000000"/>
                <w:sz w:val="20"/>
                <w:szCs w:val="20"/>
              </w:rPr>
            </w:pPr>
            <w:r w:rsidRPr="007C51D6">
              <w:rPr>
                <w:color w:val="000000"/>
                <w:sz w:val="20"/>
                <w:szCs w:val="20"/>
              </w:rPr>
              <w:t>0,03</w:t>
            </w:r>
          </w:p>
        </w:tc>
        <w:tc>
          <w:tcPr>
            <w:tcW w:w="851" w:type="dxa"/>
          </w:tcPr>
          <w:p w:rsidR="00592896" w:rsidRPr="007C51D6" w:rsidRDefault="00592896" w:rsidP="00592896">
            <w:pPr>
              <w:jc w:val="center"/>
              <w:rPr>
                <w:color w:val="000000"/>
                <w:sz w:val="20"/>
                <w:szCs w:val="20"/>
              </w:rPr>
            </w:pPr>
            <w:r w:rsidRPr="007C51D6">
              <w:rPr>
                <w:color w:val="000000"/>
                <w:sz w:val="20"/>
                <w:szCs w:val="20"/>
              </w:rPr>
              <w:t>0,10</w:t>
            </w:r>
          </w:p>
        </w:tc>
        <w:tc>
          <w:tcPr>
            <w:tcW w:w="850" w:type="dxa"/>
          </w:tcPr>
          <w:p w:rsidR="00592896" w:rsidRPr="007C51D6" w:rsidRDefault="00592896" w:rsidP="00592896">
            <w:pPr>
              <w:jc w:val="center"/>
              <w:rPr>
                <w:color w:val="000000"/>
                <w:sz w:val="20"/>
                <w:szCs w:val="20"/>
              </w:rPr>
            </w:pPr>
            <w:r w:rsidRPr="007C51D6">
              <w:rPr>
                <w:color w:val="000000"/>
                <w:sz w:val="20"/>
                <w:szCs w:val="20"/>
              </w:rPr>
              <w:t>0,13</w:t>
            </w:r>
          </w:p>
        </w:tc>
        <w:tc>
          <w:tcPr>
            <w:tcW w:w="851" w:type="dxa"/>
          </w:tcPr>
          <w:p w:rsidR="00592896" w:rsidRPr="007C51D6" w:rsidRDefault="00592896" w:rsidP="00592896">
            <w:pPr>
              <w:jc w:val="center"/>
              <w:rPr>
                <w:color w:val="000000"/>
                <w:sz w:val="20"/>
                <w:szCs w:val="20"/>
              </w:rPr>
            </w:pPr>
            <w:r w:rsidRPr="007C51D6">
              <w:rPr>
                <w:color w:val="000000"/>
                <w:sz w:val="20"/>
                <w:szCs w:val="20"/>
              </w:rPr>
              <w:t>0,05</w:t>
            </w:r>
          </w:p>
        </w:tc>
        <w:tc>
          <w:tcPr>
            <w:tcW w:w="829" w:type="dxa"/>
          </w:tcPr>
          <w:p w:rsidR="00592896" w:rsidRPr="007C51D6" w:rsidRDefault="00592896" w:rsidP="00592896">
            <w:pPr>
              <w:jc w:val="center"/>
              <w:rPr>
                <w:color w:val="000000"/>
                <w:sz w:val="20"/>
                <w:szCs w:val="20"/>
              </w:rPr>
            </w:pPr>
            <w:r w:rsidRPr="007C51D6">
              <w:rPr>
                <w:color w:val="000000"/>
                <w:sz w:val="20"/>
                <w:szCs w:val="20"/>
              </w:rPr>
              <w:t>0,05</w:t>
            </w:r>
          </w:p>
        </w:tc>
        <w:tc>
          <w:tcPr>
            <w:tcW w:w="907" w:type="dxa"/>
          </w:tcPr>
          <w:p w:rsidR="00592896" w:rsidRPr="007C51D6" w:rsidRDefault="00592896" w:rsidP="00592896">
            <w:pPr>
              <w:jc w:val="center"/>
              <w:rPr>
                <w:color w:val="000000"/>
                <w:sz w:val="20"/>
                <w:szCs w:val="20"/>
              </w:rPr>
            </w:pPr>
            <w:r w:rsidRPr="007C51D6">
              <w:rPr>
                <w:color w:val="000000"/>
                <w:sz w:val="20"/>
                <w:szCs w:val="20"/>
              </w:rPr>
              <w:t>0,00</w:t>
            </w:r>
          </w:p>
        </w:tc>
        <w:tc>
          <w:tcPr>
            <w:tcW w:w="907" w:type="dxa"/>
          </w:tcPr>
          <w:p w:rsidR="00592896" w:rsidRPr="007C51D6" w:rsidRDefault="00592896" w:rsidP="00592896">
            <w:pPr>
              <w:autoSpaceDE/>
              <w:autoSpaceDN/>
              <w:adjustRightInd/>
              <w:jc w:val="center"/>
              <w:rPr>
                <w:bCs/>
                <w:color w:val="000000"/>
                <w:sz w:val="20"/>
                <w:szCs w:val="20"/>
              </w:rPr>
            </w:pPr>
            <w:r w:rsidRPr="007C51D6">
              <w:rPr>
                <w:bCs/>
                <w:color w:val="000000"/>
                <w:sz w:val="20"/>
                <w:szCs w:val="20"/>
              </w:rPr>
              <w:t>нет</w:t>
            </w:r>
          </w:p>
          <w:p w:rsidR="00592896" w:rsidRPr="007C51D6" w:rsidRDefault="00592896" w:rsidP="00592896">
            <w:pPr>
              <w:autoSpaceDE/>
              <w:autoSpaceDN/>
              <w:adjustRightInd/>
              <w:jc w:val="center"/>
              <w:rPr>
                <w:bCs/>
                <w:color w:val="000000"/>
                <w:sz w:val="20"/>
                <w:szCs w:val="20"/>
              </w:rPr>
            </w:pPr>
            <w:r w:rsidRPr="007C51D6">
              <w:rPr>
                <w:bCs/>
                <w:color w:val="000000"/>
                <w:sz w:val="20"/>
                <w:szCs w:val="20"/>
              </w:rPr>
              <w:t>данных</w:t>
            </w:r>
          </w:p>
        </w:tc>
      </w:tr>
      <w:tr w:rsidR="001E3FBE" w:rsidRPr="007C51D6" w:rsidTr="00B93D5E">
        <w:trPr>
          <w:cantSplit/>
          <w:trHeight w:val="20"/>
          <w:jc w:val="center"/>
        </w:trPr>
        <w:tc>
          <w:tcPr>
            <w:tcW w:w="3539" w:type="dxa"/>
            <w:shd w:val="clear" w:color="auto" w:fill="auto"/>
            <w:noWrap/>
          </w:tcPr>
          <w:p w:rsidR="001E3FBE" w:rsidRPr="007C51D6" w:rsidRDefault="001E3FBE" w:rsidP="001E3FBE">
            <w:pPr>
              <w:autoSpaceDE/>
              <w:autoSpaceDN/>
              <w:adjustRightInd/>
              <w:jc w:val="both"/>
              <w:rPr>
                <w:sz w:val="20"/>
                <w:szCs w:val="20"/>
              </w:rPr>
            </w:pPr>
            <w:r w:rsidRPr="007C51D6">
              <w:rPr>
                <w:rFonts w:eastAsia="Arial"/>
                <w:sz w:val="20"/>
                <w:szCs w:val="20"/>
              </w:rPr>
              <w:t>д</w:t>
            </w:r>
            <w:hyperlink r:id="rId11" w:history="1">
              <w:r w:rsidRPr="007C51D6">
                <w:rPr>
                  <w:rFonts w:eastAsia="Arial"/>
                  <w:bCs/>
                  <w:sz w:val="20"/>
                  <w:szCs w:val="20"/>
                </w:rPr>
                <w:t xml:space="preserve">оброкачественное новообразование </w:t>
              </w:r>
            </w:hyperlink>
            <w:hyperlink r:id="rId12" w:history="1">
              <w:r w:rsidRPr="007C51D6">
                <w:rPr>
                  <w:rFonts w:eastAsia="Arial"/>
                  <w:bCs/>
                  <w:sz w:val="20"/>
                  <w:szCs w:val="20"/>
                </w:rPr>
                <w:t xml:space="preserve"> других и неточно обозначенных органов пищеварения</w:t>
              </w:r>
            </w:hyperlink>
          </w:p>
        </w:tc>
        <w:tc>
          <w:tcPr>
            <w:tcW w:w="1276" w:type="dxa"/>
            <w:shd w:val="clear" w:color="auto" w:fill="auto"/>
            <w:noWrap/>
          </w:tcPr>
          <w:p w:rsidR="001E3FBE" w:rsidRPr="007C51D6" w:rsidRDefault="001E3FBE" w:rsidP="001E3FBE">
            <w:pPr>
              <w:autoSpaceDE/>
              <w:autoSpaceDN/>
              <w:adjustRightInd/>
              <w:jc w:val="center"/>
              <w:rPr>
                <w:rFonts w:eastAsia="Arial"/>
                <w:sz w:val="20"/>
                <w:szCs w:val="20"/>
              </w:rPr>
            </w:pPr>
            <w:r w:rsidRPr="007C51D6">
              <w:rPr>
                <w:rFonts w:eastAsia="Arial"/>
                <w:sz w:val="20"/>
                <w:szCs w:val="20"/>
              </w:rPr>
              <w:t>D13</w:t>
            </w:r>
          </w:p>
        </w:tc>
        <w:tc>
          <w:tcPr>
            <w:tcW w:w="1303" w:type="dxa"/>
          </w:tcPr>
          <w:p w:rsidR="001E3FBE" w:rsidRPr="007C51D6" w:rsidRDefault="001E3FBE" w:rsidP="001E3FBE">
            <w:pPr>
              <w:autoSpaceDE/>
              <w:autoSpaceDN/>
              <w:adjustRightInd/>
              <w:jc w:val="center"/>
              <w:rPr>
                <w:bCs/>
                <w:color w:val="000000"/>
                <w:sz w:val="20"/>
                <w:szCs w:val="20"/>
              </w:rPr>
            </w:pPr>
            <w:r w:rsidRPr="007C51D6">
              <w:rPr>
                <w:bCs/>
                <w:color w:val="000000"/>
                <w:sz w:val="20"/>
                <w:szCs w:val="20"/>
              </w:rPr>
              <w:t>нет</w:t>
            </w:r>
          </w:p>
          <w:p w:rsidR="001E3FBE" w:rsidRPr="007C51D6" w:rsidRDefault="001E3FBE" w:rsidP="001E3FBE">
            <w:pPr>
              <w:autoSpaceDE/>
              <w:autoSpaceDN/>
              <w:adjustRightInd/>
              <w:jc w:val="center"/>
              <w:rPr>
                <w:bCs/>
                <w:color w:val="000000"/>
                <w:sz w:val="20"/>
                <w:szCs w:val="20"/>
              </w:rPr>
            </w:pPr>
            <w:r w:rsidRPr="007C51D6">
              <w:rPr>
                <w:bCs/>
                <w:color w:val="000000"/>
                <w:sz w:val="20"/>
                <w:szCs w:val="20"/>
              </w:rPr>
              <w:t>данных</w:t>
            </w:r>
          </w:p>
        </w:tc>
        <w:tc>
          <w:tcPr>
            <w:tcW w:w="1134" w:type="dxa"/>
          </w:tcPr>
          <w:p w:rsidR="001E3FBE" w:rsidRPr="007C51D6" w:rsidRDefault="001E3FBE" w:rsidP="001E3FBE">
            <w:pPr>
              <w:autoSpaceDE/>
              <w:autoSpaceDN/>
              <w:adjustRightInd/>
              <w:jc w:val="center"/>
              <w:rPr>
                <w:bCs/>
                <w:color w:val="000000"/>
                <w:sz w:val="20"/>
                <w:szCs w:val="20"/>
              </w:rPr>
            </w:pPr>
            <w:r w:rsidRPr="007C51D6">
              <w:rPr>
                <w:bCs/>
                <w:color w:val="000000"/>
                <w:sz w:val="20"/>
                <w:szCs w:val="20"/>
              </w:rPr>
              <w:t>нет</w:t>
            </w:r>
          </w:p>
          <w:p w:rsidR="001E3FBE" w:rsidRPr="007C51D6" w:rsidRDefault="001E3FBE" w:rsidP="001E3FBE">
            <w:pPr>
              <w:autoSpaceDE/>
              <w:autoSpaceDN/>
              <w:adjustRightInd/>
              <w:jc w:val="center"/>
              <w:rPr>
                <w:bCs/>
                <w:color w:val="000000"/>
                <w:sz w:val="20"/>
                <w:szCs w:val="20"/>
              </w:rPr>
            </w:pPr>
            <w:r w:rsidRPr="007C51D6">
              <w:rPr>
                <w:bCs/>
                <w:color w:val="000000"/>
                <w:sz w:val="20"/>
                <w:szCs w:val="20"/>
              </w:rPr>
              <w:t>данных</w:t>
            </w:r>
          </w:p>
        </w:tc>
        <w:tc>
          <w:tcPr>
            <w:tcW w:w="1361" w:type="dxa"/>
          </w:tcPr>
          <w:p w:rsidR="001E3FBE" w:rsidRPr="007C51D6" w:rsidRDefault="001E3FBE" w:rsidP="001E3FBE">
            <w:pPr>
              <w:autoSpaceDE/>
              <w:autoSpaceDN/>
              <w:adjustRightInd/>
              <w:jc w:val="center"/>
              <w:rPr>
                <w:bCs/>
                <w:color w:val="000000"/>
                <w:sz w:val="20"/>
                <w:szCs w:val="20"/>
              </w:rPr>
            </w:pPr>
            <w:r w:rsidRPr="007C51D6">
              <w:rPr>
                <w:bCs/>
                <w:color w:val="000000"/>
                <w:sz w:val="20"/>
                <w:szCs w:val="20"/>
              </w:rPr>
              <w:t>нет</w:t>
            </w:r>
          </w:p>
          <w:p w:rsidR="001E3FBE" w:rsidRPr="007C51D6" w:rsidRDefault="001E3FBE" w:rsidP="001E3FBE">
            <w:pPr>
              <w:autoSpaceDE/>
              <w:autoSpaceDN/>
              <w:adjustRightInd/>
              <w:jc w:val="center"/>
              <w:rPr>
                <w:bCs/>
                <w:color w:val="000000"/>
                <w:sz w:val="20"/>
                <w:szCs w:val="20"/>
              </w:rPr>
            </w:pPr>
            <w:r w:rsidRPr="007C51D6">
              <w:rPr>
                <w:bCs/>
                <w:color w:val="000000"/>
                <w:sz w:val="20"/>
                <w:szCs w:val="20"/>
              </w:rPr>
              <w:t>данных</w:t>
            </w:r>
          </w:p>
        </w:tc>
        <w:tc>
          <w:tcPr>
            <w:tcW w:w="992" w:type="dxa"/>
          </w:tcPr>
          <w:p w:rsidR="001E3FBE" w:rsidRPr="007C51D6" w:rsidRDefault="001E3FBE" w:rsidP="001E3FBE">
            <w:pPr>
              <w:jc w:val="center"/>
              <w:rPr>
                <w:color w:val="000000"/>
                <w:sz w:val="20"/>
                <w:szCs w:val="20"/>
              </w:rPr>
            </w:pPr>
            <w:r w:rsidRPr="007C51D6">
              <w:rPr>
                <w:color w:val="000000"/>
                <w:sz w:val="20"/>
                <w:szCs w:val="20"/>
              </w:rPr>
              <w:t>0,08</w:t>
            </w:r>
          </w:p>
        </w:tc>
        <w:tc>
          <w:tcPr>
            <w:tcW w:w="851" w:type="dxa"/>
          </w:tcPr>
          <w:p w:rsidR="001E3FBE" w:rsidRPr="007C51D6" w:rsidRDefault="001E3FBE" w:rsidP="001E3FBE">
            <w:pPr>
              <w:jc w:val="center"/>
              <w:rPr>
                <w:color w:val="000000"/>
                <w:sz w:val="20"/>
                <w:szCs w:val="20"/>
              </w:rPr>
            </w:pPr>
            <w:r w:rsidRPr="007C51D6">
              <w:rPr>
                <w:color w:val="000000"/>
                <w:sz w:val="20"/>
                <w:szCs w:val="20"/>
              </w:rPr>
              <w:t>0,10</w:t>
            </w:r>
          </w:p>
        </w:tc>
        <w:tc>
          <w:tcPr>
            <w:tcW w:w="850" w:type="dxa"/>
          </w:tcPr>
          <w:p w:rsidR="001E3FBE" w:rsidRPr="007C51D6" w:rsidRDefault="001E3FBE" w:rsidP="001E3FBE">
            <w:pPr>
              <w:jc w:val="center"/>
              <w:rPr>
                <w:color w:val="000000"/>
                <w:sz w:val="20"/>
                <w:szCs w:val="20"/>
              </w:rPr>
            </w:pPr>
            <w:r w:rsidRPr="007C51D6">
              <w:rPr>
                <w:color w:val="000000"/>
                <w:sz w:val="20"/>
                <w:szCs w:val="20"/>
              </w:rPr>
              <w:t>0,05</w:t>
            </w:r>
          </w:p>
        </w:tc>
        <w:tc>
          <w:tcPr>
            <w:tcW w:w="851" w:type="dxa"/>
          </w:tcPr>
          <w:p w:rsidR="001E3FBE" w:rsidRPr="007C51D6" w:rsidRDefault="001E3FBE" w:rsidP="001E3FBE">
            <w:pPr>
              <w:jc w:val="center"/>
              <w:rPr>
                <w:color w:val="000000"/>
                <w:sz w:val="20"/>
                <w:szCs w:val="20"/>
              </w:rPr>
            </w:pPr>
            <w:r w:rsidRPr="007C51D6">
              <w:rPr>
                <w:color w:val="000000"/>
                <w:sz w:val="20"/>
                <w:szCs w:val="20"/>
              </w:rPr>
              <w:t>0,08</w:t>
            </w:r>
          </w:p>
        </w:tc>
        <w:tc>
          <w:tcPr>
            <w:tcW w:w="829" w:type="dxa"/>
          </w:tcPr>
          <w:p w:rsidR="001E3FBE" w:rsidRPr="007C51D6" w:rsidRDefault="001E3FBE" w:rsidP="001E3FBE">
            <w:pPr>
              <w:jc w:val="center"/>
              <w:rPr>
                <w:color w:val="000000"/>
                <w:sz w:val="20"/>
                <w:szCs w:val="20"/>
              </w:rPr>
            </w:pPr>
            <w:r w:rsidRPr="007C51D6">
              <w:rPr>
                <w:color w:val="000000"/>
                <w:sz w:val="20"/>
                <w:szCs w:val="20"/>
              </w:rPr>
              <w:t>0,05</w:t>
            </w:r>
          </w:p>
        </w:tc>
        <w:tc>
          <w:tcPr>
            <w:tcW w:w="907" w:type="dxa"/>
          </w:tcPr>
          <w:p w:rsidR="001E3FBE" w:rsidRPr="007C51D6" w:rsidRDefault="001E3FBE" w:rsidP="001E3FBE">
            <w:pPr>
              <w:jc w:val="center"/>
              <w:rPr>
                <w:color w:val="000000"/>
                <w:sz w:val="20"/>
                <w:szCs w:val="20"/>
              </w:rPr>
            </w:pPr>
            <w:r w:rsidRPr="007C51D6">
              <w:rPr>
                <w:color w:val="000000"/>
                <w:sz w:val="20"/>
                <w:szCs w:val="20"/>
              </w:rPr>
              <w:t>0,02</w:t>
            </w:r>
          </w:p>
        </w:tc>
        <w:tc>
          <w:tcPr>
            <w:tcW w:w="907" w:type="dxa"/>
          </w:tcPr>
          <w:p w:rsidR="001E3FBE" w:rsidRPr="007C51D6" w:rsidRDefault="001E3FBE" w:rsidP="001E3FBE">
            <w:pPr>
              <w:autoSpaceDE/>
              <w:autoSpaceDN/>
              <w:adjustRightInd/>
              <w:jc w:val="center"/>
              <w:rPr>
                <w:bCs/>
                <w:color w:val="000000"/>
                <w:sz w:val="20"/>
                <w:szCs w:val="20"/>
              </w:rPr>
            </w:pPr>
            <w:r w:rsidRPr="007C51D6">
              <w:rPr>
                <w:bCs/>
                <w:color w:val="000000"/>
                <w:sz w:val="20"/>
                <w:szCs w:val="20"/>
              </w:rPr>
              <w:t>нет</w:t>
            </w:r>
          </w:p>
          <w:p w:rsidR="001E3FBE" w:rsidRPr="007C51D6" w:rsidRDefault="001E3FBE" w:rsidP="001E3FBE">
            <w:pPr>
              <w:autoSpaceDE/>
              <w:autoSpaceDN/>
              <w:adjustRightInd/>
              <w:jc w:val="center"/>
              <w:rPr>
                <w:bCs/>
                <w:color w:val="000000"/>
                <w:sz w:val="20"/>
                <w:szCs w:val="20"/>
              </w:rPr>
            </w:pPr>
            <w:r w:rsidRPr="007C51D6">
              <w:rPr>
                <w:bCs/>
                <w:color w:val="000000"/>
                <w:sz w:val="20"/>
                <w:szCs w:val="20"/>
              </w:rPr>
              <w:t>данных</w:t>
            </w:r>
          </w:p>
        </w:tc>
      </w:tr>
      <w:tr w:rsidR="001E3FBE" w:rsidRPr="007C51D6" w:rsidTr="00B93D5E">
        <w:trPr>
          <w:cantSplit/>
          <w:trHeight w:val="20"/>
          <w:jc w:val="center"/>
        </w:trPr>
        <w:tc>
          <w:tcPr>
            <w:tcW w:w="3539" w:type="dxa"/>
            <w:shd w:val="clear" w:color="auto" w:fill="auto"/>
            <w:noWrap/>
          </w:tcPr>
          <w:p w:rsidR="001E3FBE" w:rsidRPr="007C51D6" w:rsidRDefault="00B41962" w:rsidP="001E3FBE">
            <w:pPr>
              <w:autoSpaceDE/>
              <w:autoSpaceDN/>
              <w:adjustRightInd/>
              <w:jc w:val="both"/>
              <w:rPr>
                <w:sz w:val="20"/>
                <w:szCs w:val="20"/>
              </w:rPr>
            </w:pPr>
            <w:hyperlink r:id="rId13" w:history="1">
              <w:r w:rsidR="001E3FBE" w:rsidRPr="007C51D6">
                <w:rPr>
                  <w:rFonts w:eastAsia="Arial"/>
                  <w:bCs/>
                  <w:sz w:val="20"/>
                  <w:szCs w:val="20"/>
                </w:rPr>
                <w:t>доброкачественное новообразование среднего уха и органов дыхания</w:t>
              </w:r>
            </w:hyperlink>
          </w:p>
        </w:tc>
        <w:tc>
          <w:tcPr>
            <w:tcW w:w="1276" w:type="dxa"/>
            <w:shd w:val="clear" w:color="auto" w:fill="auto"/>
            <w:noWrap/>
          </w:tcPr>
          <w:p w:rsidR="001E3FBE" w:rsidRPr="007C51D6" w:rsidRDefault="001E3FBE" w:rsidP="001E3FBE">
            <w:pPr>
              <w:autoSpaceDE/>
              <w:autoSpaceDN/>
              <w:adjustRightInd/>
              <w:jc w:val="center"/>
              <w:rPr>
                <w:color w:val="000000"/>
                <w:sz w:val="20"/>
                <w:szCs w:val="20"/>
              </w:rPr>
            </w:pPr>
            <w:r w:rsidRPr="007C51D6">
              <w:rPr>
                <w:rFonts w:eastAsia="Arial"/>
                <w:sz w:val="20"/>
                <w:szCs w:val="20"/>
              </w:rPr>
              <w:t>D14</w:t>
            </w:r>
          </w:p>
        </w:tc>
        <w:tc>
          <w:tcPr>
            <w:tcW w:w="1303" w:type="dxa"/>
          </w:tcPr>
          <w:p w:rsidR="001E3FBE" w:rsidRPr="007C51D6" w:rsidRDefault="001E3FBE" w:rsidP="001E3FBE">
            <w:pPr>
              <w:autoSpaceDE/>
              <w:autoSpaceDN/>
              <w:adjustRightInd/>
              <w:jc w:val="center"/>
              <w:rPr>
                <w:bCs/>
                <w:color w:val="000000"/>
                <w:sz w:val="20"/>
                <w:szCs w:val="20"/>
              </w:rPr>
            </w:pPr>
            <w:r w:rsidRPr="007C51D6">
              <w:rPr>
                <w:bCs/>
                <w:color w:val="000000"/>
                <w:sz w:val="20"/>
                <w:szCs w:val="20"/>
              </w:rPr>
              <w:t>нет</w:t>
            </w:r>
          </w:p>
          <w:p w:rsidR="001E3FBE" w:rsidRPr="007C51D6" w:rsidRDefault="001E3FBE" w:rsidP="001E3FBE">
            <w:pPr>
              <w:autoSpaceDE/>
              <w:autoSpaceDN/>
              <w:adjustRightInd/>
              <w:jc w:val="center"/>
              <w:rPr>
                <w:bCs/>
                <w:color w:val="000000"/>
                <w:sz w:val="20"/>
                <w:szCs w:val="20"/>
              </w:rPr>
            </w:pPr>
            <w:r w:rsidRPr="007C51D6">
              <w:rPr>
                <w:bCs/>
                <w:color w:val="000000"/>
                <w:sz w:val="20"/>
                <w:szCs w:val="20"/>
              </w:rPr>
              <w:t>данных</w:t>
            </w:r>
          </w:p>
        </w:tc>
        <w:tc>
          <w:tcPr>
            <w:tcW w:w="1134" w:type="dxa"/>
          </w:tcPr>
          <w:p w:rsidR="001E3FBE" w:rsidRPr="007C51D6" w:rsidRDefault="001E3FBE" w:rsidP="001E3FBE">
            <w:pPr>
              <w:autoSpaceDE/>
              <w:autoSpaceDN/>
              <w:adjustRightInd/>
              <w:jc w:val="center"/>
              <w:rPr>
                <w:bCs/>
                <w:color w:val="000000"/>
                <w:sz w:val="20"/>
                <w:szCs w:val="20"/>
              </w:rPr>
            </w:pPr>
            <w:r w:rsidRPr="007C51D6">
              <w:rPr>
                <w:bCs/>
                <w:color w:val="000000"/>
                <w:sz w:val="20"/>
                <w:szCs w:val="20"/>
              </w:rPr>
              <w:t>нет</w:t>
            </w:r>
          </w:p>
          <w:p w:rsidR="001E3FBE" w:rsidRPr="007C51D6" w:rsidRDefault="001E3FBE" w:rsidP="001E3FBE">
            <w:pPr>
              <w:autoSpaceDE/>
              <w:autoSpaceDN/>
              <w:adjustRightInd/>
              <w:jc w:val="center"/>
              <w:rPr>
                <w:bCs/>
                <w:color w:val="000000"/>
                <w:sz w:val="20"/>
                <w:szCs w:val="20"/>
              </w:rPr>
            </w:pPr>
            <w:r w:rsidRPr="007C51D6">
              <w:rPr>
                <w:bCs/>
                <w:color w:val="000000"/>
                <w:sz w:val="20"/>
                <w:szCs w:val="20"/>
              </w:rPr>
              <w:t>данных</w:t>
            </w:r>
          </w:p>
        </w:tc>
        <w:tc>
          <w:tcPr>
            <w:tcW w:w="1361" w:type="dxa"/>
          </w:tcPr>
          <w:p w:rsidR="001E3FBE" w:rsidRPr="007C51D6" w:rsidRDefault="001E3FBE" w:rsidP="001E3FBE">
            <w:pPr>
              <w:autoSpaceDE/>
              <w:autoSpaceDN/>
              <w:adjustRightInd/>
              <w:jc w:val="center"/>
              <w:rPr>
                <w:bCs/>
                <w:color w:val="000000"/>
                <w:sz w:val="20"/>
                <w:szCs w:val="20"/>
              </w:rPr>
            </w:pPr>
            <w:r w:rsidRPr="007C51D6">
              <w:rPr>
                <w:bCs/>
                <w:color w:val="000000"/>
                <w:sz w:val="20"/>
                <w:szCs w:val="20"/>
              </w:rPr>
              <w:t>нет</w:t>
            </w:r>
          </w:p>
          <w:p w:rsidR="001E3FBE" w:rsidRPr="007C51D6" w:rsidRDefault="001E3FBE" w:rsidP="001E3FBE">
            <w:pPr>
              <w:autoSpaceDE/>
              <w:autoSpaceDN/>
              <w:adjustRightInd/>
              <w:jc w:val="center"/>
              <w:rPr>
                <w:bCs/>
                <w:color w:val="000000"/>
                <w:sz w:val="20"/>
                <w:szCs w:val="20"/>
              </w:rPr>
            </w:pPr>
            <w:r w:rsidRPr="007C51D6">
              <w:rPr>
                <w:bCs/>
                <w:color w:val="000000"/>
                <w:sz w:val="20"/>
                <w:szCs w:val="20"/>
              </w:rPr>
              <w:t>данных</w:t>
            </w:r>
          </w:p>
        </w:tc>
        <w:tc>
          <w:tcPr>
            <w:tcW w:w="992" w:type="dxa"/>
          </w:tcPr>
          <w:p w:rsidR="001E3FBE" w:rsidRPr="007C51D6" w:rsidRDefault="001E3FBE" w:rsidP="001E3FBE">
            <w:pPr>
              <w:jc w:val="center"/>
              <w:rPr>
                <w:color w:val="000000"/>
                <w:sz w:val="20"/>
                <w:szCs w:val="20"/>
              </w:rPr>
            </w:pPr>
            <w:r w:rsidRPr="007C51D6">
              <w:rPr>
                <w:color w:val="000000"/>
                <w:sz w:val="20"/>
                <w:szCs w:val="20"/>
              </w:rPr>
              <w:t>0,03</w:t>
            </w:r>
          </w:p>
        </w:tc>
        <w:tc>
          <w:tcPr>
            <w:tcW w:w="851" w:type="dxa"/>
          </w:tcPr>
          <w:p w:rsidR="001E3FBE" w:rsidRPr="007C51D6" w:rsidRDefault="001E3FBE" w:rsidP="001E3FBE">
            <w:pPr>
              <w:jc w:val="center"/>
              <w:rPr>
                <w:color w:val="000000"/>
                <w:sz w:val="20"/>
                <w:szCs w:val="20"/>
              </w:rPr>
            </w:pPr>
            <w:r w:rsidRPr="007C51D6">
              <w:rPr>
                <w:color w:val="000000"/>
                <w:sz w:val="20"/>
                <w:szCs w:val="20"/>
              </w:rPr>
              <w:t>0,00</w:t>
            </w:r>
          </w:p>
        </w:tc>
        <w:tc>
          <w:tcPr>
            <w:tcW w:w="850" w:type="dxa"/>
          </w:tcPr>
          <w:p w:rsidR="001E3FBE" w:rsidRPr="007C51D6" w:rsidRDefault="001E3FBE" w:rsidP="001E3FBE">
            <w:pPr>
              <w:jc w:val="center"/>
              <w:rPr>
                <w:color w:val="000000"/>
                <w:sz w:val="20"/>
                <w:szCs w:val="20"/>
              </w:rPr>
            </w:pPr>
            <w:r w:rsidRPr="007C51D6">
              <w:rPr>
                <w:color w:val="000000"/>
                <w:sz w:val="20"/>
                <w:szCs w:val="20"/>
              </w:rPr>
              <w:t>0,00</w:t>
            </w:r>
          </w:p>
        </w:tc>
        <w:tc>
          <w:tcPr>
            <w:tcW w:w="851" w:type="dxa"/>
          </w:tcPr>
          <w:p w:rsidR="001E3FBE" w:rsidRPr="007C51D6" w:rsidRDefault="001E3FBE" w:rsidP="001E3FBE">
            <w:pPr>
              <w:jc w:val="center"/>
              <w:rPr>
                <w:color w:val="000000"/>
                <w:sz w:val="20"/>
                <w:szCs w:val="20"/>
              </w:rPr>
            </w:pPr>
            <w:r w:rsidRPr="007C51D6">
              <w:rPr>
                <w:color w:val="000000"/>
                <w:sz w:val="20"/>
                <w:szCs w:val="20"/>
              </w:rPr>
              <w:t>0,00</w:t>
            </w:r>
          </w:p>
        </w:tc>
        <w:tc>
          <w:tcPr>
            <w:tcW w:w="829" w:type="dxa"/>
          </w:tcPr>
          <w:p w:rsidR="001E3FBE" w:rsidRPr="007C51D6" w:rsidRDefault="001E3FBE" w:rsidP="001E3FBE">
            <w:pPr>
              <w:jc w:val="center"/>
              <w:rPr>
                <w:color w:val="000000"/>
                <w:sz w:val="20"/>
                <w:szCs w:val="20"/>
              </w:rPr>
            </w:pPr>
            <w:r w:rsidRPr="007C51D6">
              <w:rPr>
                <w:color w:val="000000"/>
                <w:sz w:val="20"/>
                <w:szCs w:val="20"/>
              </w:rPr>
              <w:t>0,02</w:t>
            </w:r>
          </w:p>
        </w:tc>
        <w:tc>
          <w:tcPr>
            <w:tcW w:w="907" w:type="dxa"/>
          </w:tcPr>
          <w:p w:rsidR="001E3FBE" w:rsidRPr="007C51D6" w:rsidRDefault="001E3FBE" w:rsidP="001E3FBE">
            <w:pPr>
              <w:jc w:val="center"/>
              <w:rPr>
                <w:color w:val="000000"/>
                <w:sz w:val="20"/>
                <w:szCs w:val="20"/>
              </w:rPr>
            </w:pPr>
            <w:r w:rsidRPr="007C51D6">
              <w:rPr>
                <w:color w:val="000000"/>
                <w:sz w:val="20"/>
                <w:szCs w:val="20"/>
              </w:rPr>
              <w:t>0,02</w:t>
            </w:r>
          </w:p>
        </w:tc>
        <w:tc>
          <w:tcPr>
            <w:tcW w:w="907" w:type="dxa"/>
          </w:tcPr>
          <w:p w:rsidR="001E3FBE" w:rsidRPr="007C51D6" w:rsidRDefault="001E3FBE" w:rsidP="001E3FBE">
            <w:pPr>
              <w:autoSpaceDE/>
              <w:autoSpaceDN/>
              <w:adjustRightInd/>
              <w:jc w:val="center"/>
              <w:rPr>
                <w:bCs/>
                <w:color w:val="000000"/>
                <w:sz w:val="20"/>
                <w:szCs w:val="20"/>
              </w:rPr>
            </w:pPr>
            <w:r w:rsidRPr="007C51D6">
              <w:rPr>
                <w:bCs/>
                <w:color w:val="000000"/>
                <w:sz w:val="20"/>
                <w:szCs w:val="20"/>
              </w:rPr>
              <w:t>нет</w:t>
            </w:r>
          </w:p>
          <w:p w:rsidR="001E3FBE" w:rsidRPr="007C51D6" w:rsidRDefault="001E3FBE" w:rsidP="001E3FBE">
            <w:pPr>
              <w:autoSpaceDE/>
              <w:autoSpaceDN/>
              <w:adjustRightInd/>
              <w:jc w:val="center"/>
              <w:rPr>
                <w:bCs/>
                <w:color w:val="000000"/>
                <w:sz w:val="20"/>
                <w:szCs w:val="20"/>
              </w:rPr>
            </w:pPr>
            <w:r w:rsidRPr="007C51D6">
              <w:rPr>
                <w:bCs/>
                <w:color w:val="000000"/>
                <w:sz w:val="20"/>
                <w:szCs w:val="20"/>
              </w:rPr>
              <w:t>данных</w:t>
            </w:r>
          </w:p>
        </w:tc>
      </w:tr>
      <w:tr w:rsidR="001E3FBE" w:rsidRPr="007C51D6" w:rsidTr="00B93D5E">
        <w:trPr>
          <w:cantSplit/>
          <w:trHeight w:val="20"/>
          <w:jc w:val="center"/>
        </w:trPr>
        <w:tc>
          <w:tcPr>
            <w:tcW w:w="3539" w:type="dxa"/>
            <w:shd w:val="clear" w:color="auto" w:fill="auto"/>
            <w:noWrap/>
          </w:tcPr>
          <w:p w:rsidR="001E3FBE" w:rsidRPr="007C51D6" w:rsidRDefault="001E3FBE" w:rsidP="001E3FBE">
            <w:pPr>
              <w:autoSpaceDE/>
              <w:autoSpaceDN/>
              <w:adjustRightInd/>
              <w:jc w:val="both"/>
              <w:rPr>
                <w:sz w:val="20"/>
                <w:szCs w:val="20"/>
              </w:rPr>
            </w:pPr>
            <w:r w:rsidRPr="007C51D6">
              <w:rPr>
                <w:color w:val="333333"/>
                <w:sz w:val="20"/>
                <w:szCs w:val="20"/>
              </w:rPr>
              <w:t>доброкачественное новообразование других и неуточненных органов грудной клетки</w:t>
            </w:r>
          </w:p>
        </w:tc>
        <w:tc>
          <w:tcPr>
            <w:tcW w:w="1276" w:type="dxa"/>
            <w:shd w:val="clear" w:color="auto" w:fill="auto"/>
            <w:noWrap/>
          </w:tcPr>
          <w:p w:rsidR="001E3FBE" w:rsidRPr="007C51D6" w:rsidRDefault="001E3FBE" w:rsidP="001E3FBE">
            <w:pPr>
              <w:autoSpaceDE/>
              <w:autoSpaceDN/>
              <w:adjustRightInd/>
              <w:jc w:val="center"/>
              <w:rPr>
                <w:rFonts w:eastAsia="Arial"/>
                <w:sz w:val="20"/>
                <w:szCs w:val="20"/>
              </w:rPr>
            </w:pPr>
            <w:r w:rsidRPr="007C51D6">
              <w:rPr>
                <w:rFonts w:eastAsia="Arial"/>
                <w:sz w:val="20"/>
                <w:szCs w:val="20"/>
              </w:rPr>
              <w:t>D15</w:t>
            </w:r>
          </w:p>
        </w:tc>
        <w:tc>
          <w:tcPr>
            <w:tcW w:w="1303" w:type="dxa"/>
          </w:tcPr>
          <w:p w:rsidR="001E3FBE" w:rsidRPr="007C51D6" w:rsidRDefault="001E3FBE" w:rsidP="001E3FBE">
            <w:pPr>
              <w:autoSpaceDE/>
              <w:autoSpaceDN/>
              <w:adjustRightInd/>
              <w:jc w:val="center"/>
              <w:rPr>
                <w:bCs/>
                <w:color w:val="000000"/>
                <w:sz w:val="20"/>
                <w:szCs w:val="20"/>
              </w:rPr>
            </w:pPr>
            <w:r w:rsidRPr="007C51D6">
              <w:rPr>
                <w:bCs/>
                <w:color w:val="000000"/>
                <w:sz w:val="20"/>
                <w:szCs w:val="20"/>
              </w:rPr>
              <w:t>нет</w:t>
            </w:r>
          </w:p>
          <w:p w:rsidR="001E3FBE" w:rsidRPr="007C51D6" w:rsidRDefault="001E3FBE" w:rsidP="001E3FBE">
            <w:pPr>
              <w:autoSpaceDE/>
              <w:autoSpaceDN/>
              <w:adjustRightInd/>
              <w:jc w:val="center"/>
              <w:rPr>
                <w:bCs/>
                <w:color w:val="000000"/>
                <w:sz w:val="20"/>
                <w:szCs w:val="20"/>
              </w:rPr>
            </w:pPr>
            <w:r w:rsidRPr="007C51D6">
              <w:rPr>
                <w:bCs/>
                <w:color w:val="000000"/>
                <w:sz w:val="20"/>
                <w:szCs w:val="20"/>
              </w:rPr>
              <w:t>данных</w:t>
            </w:r>
          </w:p>
        </w:tc>
        <w:tc>
          <w:tcPr>
            <w:tcW w:w="1134" w:type="dxa"/>
          </w:tcPr>
          <w:p w:rsidR="001E3FBE" w:rsidRPr="007C51D6" w:rsidRDefault="001E3FBE" w:rsidP="001E3FBE">
            <w:pPr>
              <w:autoSpaceDE/>
              <w:autoSpaceDN/>
              <w:adjustRightInd/>
              <w:jc w:val="center"/>
              <w:rPr>
                <w:bCs/>
                <w:color w:val="000000"/>
                <w:sz w:val="20"/>
                <w:szCs w:val="20"/>
              </w:rPr>
            </w:pPr>
            <w:r w:rsidRPr="007C51D6">
              <w:rPr>
                <w:bCs/>
                <w:color w:val="000000"/>
                <w:sz w:val="20"/>
                <w:szCs w:val="20"/>
              </w:rPr>
              <w:t>нет</w:t>
            </w:r>
          </w:p>
          <w:p w:rsidR="001E3FBE" w:rsidRPr="007C51D6" w:rsidRDefault="001E3FBE" w:rsidP="001E3FBE">
            <w:pPr>
              <w:autoSpaceDE/>
              <w:autoSpaceDN/>
              <w:adjustRightInd/>
              <w:jc w:val="center"/>
              <w:rPr>
                <w:bCs/>
                <w:color w:val="000000"/>
                <w:sz w:val="20"/>
                <w:szCs w:val="20"/>
              </w:rPr>
            </w:pPr>
            <w:r w:rsidRPr="007C51D6">
              <w:rPr>
                <w:bCs/>
                <w:color w:val="000000"/>
                <w:sz w:val="20"/>
                <w:szCs w:val="20"/>
              </w:rPr>
              <w:t>данных</w:t>
            </w:r>
          </w:p>
        </w:tc>
        <w:tc>
          <w:tcPr>
            <w:tcW w:w="1361" w:type="dxa"/>
          </w:tcPr>
          <w:p w:rsidR="001E3FBE" w:rsidRPr="007C51D6" w:rsidRDefault="001E3FBE" w:rsidP="001E3FBE">
            <w:pPr>
              <w:autoSpaceDE/>
              <w:autoSpaceDN/>
              <w:adjustRightInd/>
              <w:jc w:val="center"/>
              <w:rPr>
                <w:bCs/>
                <w:color w:val="000000"/>
                <w:sz w:val="20"/>
                <w:szCs w:val="20"/>
              </w:rPr>
            </w:pPr>
            <w:r w:rsidRPr="007C51D6">
              <w:rPr>
                <w:bCs/>
                <w:color w:val="000000"/>
                <w:sz w:val="20"/>
                <w:szCs w:val="20"/>
              </w:rPr>
              <w:t>нет</w:t>
            </w:r>
          </w:p>
          <w:p w:rsidR="001E3FBE" w:rsidRPr="007C51D6" w:rsidRDefault="001E3FBE" w:rsidP="001E3FBE">
            <w:pPr>
              <w:autoSpaceDE/>
              <w:autoSpaceDN/>
              <w:adjustRightInd/>
              <w:jc w:val="center"/>
              <w:rPr>
                <w:bCs/>
                <w:color w:val="000000"/>
                <w:sz w:val="20"/>
                <w:szCs w:val="20"/>
              </w:rPr>
            </w:pPr>
            <w:r w:rsidRPr="007C51D6">
              <w:rPr>
                <w:bCs/>
                <w:color w:val="000000"/>
                <w:sz w:val="20"/>
                <w:szCs w:val="20"/>
              </w:rPr>
              <w:t>данных</w:t>
            </w:r>
          </w:p>
        </w:tc>
        <w:tc>
          <w:tcPr>
            <w:tcW w:w="992" w:type="dxa"/>
          </w:tcPr>
          <w:p w:rsidR="001E3FBE" w:rsidRPr="007C51D6" w:rsidRDefault="001E3FBE" w:rsidP="001E3FBE">
            <w:pPr>
              <w:jc w:val="center"/>
              <w:rPr>
                <w:color w:val="000000"/>
                <w:sz w:val="20"/>
                <w:szCs w:val="20"/>
              </w:rPr>
            </w:pPr>
            <w:r w:rsidRPr="007C51D6">
              <w:rPr>
                <w:color w:val="000000"/>
                <w:sz w:val="20"/>
                <w:szCs w:val="20"/>
              </w:rPr>
              <w:t>0,00</w:t>
            </w:r>
          </w:p>
        </w:tc>
        <w:tc>
          <w:tcPr>
            <w:tcW w:w="851" w:type="dxa"/>
          </w:tcPr>
          <w:p w:rsidR="001E3FBE" w:rsidRPr="007C51D6" w:rsidRDefault="001E3FBE" w:rsidP="001E3FBE">
            <w:pPr>
              <w:jc w:val="center"/>
              <w:rPr>
                <w:color w:val="000000"/>
                <w:sz w:val="20"/>
                <w:szCs w:val="20"/>
              </w:rPr>
            </w:pPr>
            <w:r w:rsidRPr="007C51D6">
              <w:rPr>
                <w:color w:val="000000"/>
                <w:sz w:val="20"/>
                <w:szCs w:val="20"/>
              </w:rPr>
              <w:t>0,00</w:t>
            </w:r>
          </w:p>
        </w:tc>
        <w:tc>
          <w:tcPr>
            <w:tcW w:w="850" w:type="dxa"/>
          </w:tcPr>
          <w:p w:rsidR="001E3FBE" w:rsidRPr="007C51D6" w:rsidRDefault="001E3FBE" w:rsidP="001E3FBE">
            <w:pPr>
              <w:jc w:val="center"/>
              <w:rPr>
                <w:color w:val="000000"/>
                <w:sz w:val="20"/>
                <w:szCs w:val="20"/>
              </w:rPr>
            </w:pPr>
            <w:r w:rsidRPr="007C51D6">
              <w:rPr>
                <w:color w:val="000000"/>
                <w:sz w:val="20"/>
                <w:szCs w:val="20"/>
              </w:rPr>
              <w:t>0,08</w:t>
            </w:r>
          </w:p>
        </w:tc>
        <w:tc>
          <w:tcPr>
            <w:tcW w:w="851" w:type="dxa"/>
          </w:tcPr>
          <w:p w:rsidR="001E3FBE" w:rsidRPr="007C51D6" w:rsidRDefault="001E3FBE" w:rsidP="001E3FBE">
            <w:pPr>
              <w:jc w:val="center"/>
              <w:rPr>
                <w:color w:val="000000"/>
                <w:sz w:val="20"/>
                <w:szCs w:val="20"/>
              </w:rPr>
            </w:pPr>
            <w:r w:rsidRPr="007C51D6">
              <w:rPr>
                <w:color w:val="000000"/>
                <w:sz w:val="20"/>
                <w:szCs w:val="20"/>
              </w:rPr>
              <w:t>0,00</w:t>
            </w:r>
          </w:p>
        </w:tc>
        <w:tc>
          <w:tcPr>
            <w:tcW w:w="829" w:type="dxa"/>
          </w:tcPr>
          <w:p w:rsidR="001E3FBE" w:rsidRPr="007C51D6" w:rsidRDefault="001E3FBE" w:rsidP="001E3FBE">
            <w:pPr>
              <w:jc w:val="center"/>
              <w:rPr>
                <w:color w:val="000000"/>
                <w:sz w:val="20"/>
                <w:szCs w:val="20"/>
              </w:rPr>
            </w:pPr>
            <w:r w:rsidRPr="007C51D6">
              <w:rPr>
                <w:color w:val="000000"/>
                <w:sz w:val="20"/>
                <w:szCs w:val="20"/>
              </w:rPr>
              <w:t>0,02</w:t>
            </w:r>
          </w:p>
        </w:tc>
        <w:tc>
          <w:tcPr>
            <w:tcW w:w="907" w:type="dxa"/>
          </w:tcPr>
          <w:p w:rsidR="001E3FBE" w:rsidRPr="007C51D6" w:rsidRDefault="001E3FBE" w:rsidP="001E3FBE">
            <w:pPr>
              <w:jc w:val="center"/>
              <w:rPr>
                <w:color w:val="000000"/>
                <w:sz w:val="20"/>
                <w:szCs w:val="20"/>
              </w:rPr>
            </w:pPr>
            <w:r w:rsidRPr="007C51D6">
              <w:rPr>
                <w:color w:val="000000"/>
                <w:sz w:val="20"/>
                <w:szCs w:val="20"/>
              </w:rPr>
              <w:t>0,02</w:t>
            </w:r>
          </w:p>
        </w:tc>
        <w:tc>
          <w:tcPr>
            <w:tcW w:w="907" w:type="dxa"/>
          </w:tcPr>
          <w:p w:rsidR="001E3FBE" w:rsidRPr="007C51D6" w:rsidRDefault="001E3FBE" w:rsidP="001E3FBE">
            <w:pPr>
              <w:autoSpaceDE/>
              <w:autoSpaceDN/>
              <w:adjustRightInd/>
              <w:jc w:val="center"/>
              <w:rPr>
                <w:bCs/>
                <w:color w:val="000000"/>
                <w:sz w:val="20"/>
                <w:szCs w:val="20"/>
              </w:rPr>
            </w:pPr>
            <w:r w:rsidRPr="007C51D6">
              <w:rPr>
                <w:bCs/>
                <w:color w:val="000000"/>
                <w:sz w:val="20"/>
                <w:szCs w:val="20"/>
              </w:rPr>
              <w:t>нет</w:t>
            </w:r>
          </w:p>
          <w:p w:rsidR="001E3FBE" w:rsidRPr="007C51D6" w:rsidRDefault="001E3FBE" w:rsidP="001E3FBE">
            <w:pPr>
              <w:autoSpaceDE/>
              <w:autoSpaceDN/>
              <w:adjustRightInd/>
              <w:jc w:val="center"/>
              <w:rPr>
                <w:bCs/>
                <w:color w:val="000000"/>
                <w:sz w:val="20"/>
                <w:szCs w:val="20"/>
              </w:rPr>
            </w:pPr>
            <w:r w:rsidRPr="007C51D6">
              <w:rPr>
                <w:bCs/>
                <w:color w:val="000000"/>
                <w:sz w:val="20"/>
                <w:szCs w:val="20"/>
              </w:rPr>
              <w:t>данных</w:t>
            </w:r>
          </w:p>
        </w:tc>
      </w:tr>
      <w:tr w:rsidR="001E3FBE" w:rsidRPr="007C51D6" w:rsidTr="00B93D5E">
        <w:trPr>
          <w:cantSplit/>
          <w:trHeight w:val="20"/>
          <w:jc w:val="center"/>
        </w:trPr>
        <w:tc>
          <w:tcPr>
            <w:tcW w:w="3539" w:type="dxa"/>
            <w:shd w:val="clear" w:color="auto" w:fill="auto"/>
            <w:noWrap/>
          </w:tcPr>
          <w:p w:rsidR="001E3FBE" w:rsidRPr="007C51D6" w:rsidRDefault="00B41962" w:rsidP="001E3FBE">
            <w:pPr>
              <w:autoSpaceDE/>
              <w:autoSpaceDN/>
              <w:adjustRightInd/>
              <w:jc w:val="both"/>
              <w:rPr>
                <w:sz w:val="20"/>
                <w:szCs w:val="20"/>
              </w:rPr>
            </w:pPr>
            <w:hyperlink r:id="rId14" w:history="1">
              <w:r w:rsidR="001E3FBE" w:rsidRPr="007C51D6">
                <w:rPr>
                  <w:rFonts w:eastAsia="Arial"/>
                  <w:bCs/>
                  <w:sz w:val="20"/>
                  <w:szCs w:val="20"/>
                </w:rPr>
                <w:t>доброкачественное новообразование костей и суставных хрящей</w:t>
              </w:r>
            </w:hyperlink>
          </w:p>
        </w:tc>
        <w:tc>
          <w:tcPr>
            <w:tcW w:w="1276" w:type="dxa"/>
            <w:shd w:val="clear" w:color="auto" w:fill="auto"/>
            <w:noWrap/>
          </w:tcPr>
          <w:p w:rsidR="001E3FBE" w:rsidRPr="007C51D6" w:rsidRDefault="001E3FBE" w:rsidP="001E3FBE">
            <w:pPr>
              <w:autoSpaceDE/>
              <w:autoSpaceDN/>
              <w:adjustRightInd/>
              <w:jc w:val="center"/>
              <w:rPr>
                <w:color w:val="000000"/>
                <w:sz w:val="20"/>
                <w:szCs w:val="20"/>
              </w:rPr>
            </w:pPr>
            <w:r w:rsidRPr="007C51D6">
              <w:rPr>
                <w:rFonts w:eastAsia="Arial"/>
                <w:sz w:val="20"/>
                <w:szCs w:val="20"/>
              </w:rPr>
              <w:t>D16</w:t>
            </w:r>
          </w:p>
        </w:tc>
        <w:tc>
          <w:tcPr>
            <w:tcW w:w="1303" w:type="dxa"/>
          </w:tcPr>
          <w:p w:rsidR="001E3FBE" w:rsidRPr="007C51D6" w:rsidRDefault="001E3FBE" w:rsidP="001E3FBE">
            <w:pPr>
              <w:autoSpaceDE/>
              <w:autoSpaceDN/>
              <w:adjustRightInd/>
              <w:jc w:val="center"/>
              <w:rPr>
                <w:bCs/>
                <w:color w:val="000000"/>
                <w:sz w:val="20"/>
                <w:szCs w:val="20"/>
              </w:rPr>
            </w:pPr>
            <w:r w:rsidRPr="007C51D6">
              <w:rPr>
                <w:bCs/>
                <w:color w:val="000000"/>
                <w:sz w:val="20"/>
                <w:szCs w:val="20"/>
              </w:rPr>
              <w:t>нет</w:t>
            </w:r>
          </w:p>
          <w:p w:rsidR="001E3FBE" w:rsidRPr="007C51D6" w:rsidRDefault="001E3FBE" w:rsidP="001E3FBE">
            <w:pPr>
              <w:autoSpaceDE/>
              <w:autoSpaceDN/>
              <w:adjustRightInd/>
              <w:jc w:val="center"/>
              <w:rPr>
                <w:bCs/>
                <w:color w:val="000000"/>
                <w:sz w:val="20"/>
                <w:szCs w:val="20"/>
              </w:rPr>
            </w:pPr>
            <w:r w:rsidRPr="007C51D6">
              <w:rPr>
                <w:bCs/>
                <w:color w:val="000000"/>
                <w:sz w:val="20"/>
                <w:szCs w:val="20"/>
              </w:rPr>
              <w:t>данных</w:t>
            </w:r>
          </w:p>
        </w:tc>
        <w:tc>
          <w:tcPr>
            <w:tcW w:w="1134" w:type="dxa"/>
          </w:tcPr>
          <w:p w:rsidR="001E3FBE" w:rsidRPr="007C51D6" w:rsidRDefault="001E3FBE" w:rsidP="001E3FBE">
            <w:pPr>
              <w:autoSpaceDE/>
              <w:autoSpaceDN/>
              <w:adjustRightInd/>
              <w:jc w:val="center"/>
              <w:rPr>
                <w:bCs/>
                <w:color w:val="000000"/>
                <w:sz w:val="20"/>
                <w:szCs w:val="20"/>
              </w:rPr>
            </w:pPr>
            <w:r w:rsidRPr="007C51D6">
              <w:rPr>
                <w:bCs/>
                <w:color w:val="000000"/>
                <w:sz w:val="20"/>
                <w:szCs w:val="20"/>
              </w:rPr>
              <w:t>нет</w:t>
            </w:r>
          </w:p>
          <w:p w:rsidR="001E3FBE" w:rsidRPr="007C51D6" w:rsidRDefault="001E3FBE" w:rsidP="001E3FBE">
            <w:pPr>
              <w:autoSpaceDE/>
              <w:autoSpaceDN/>
              <w:adjustRightInd/>
              <w:jc w:val="center"/>
              <w:rPr>
                <w:bCs/>
                <w:color w:val="000000"/>
                <w:sz w:val="20"/>
                <w:szCs w:val="20"/>
              </w:rPr>
            </w:pPr>
            <w:r w:rsidRPr="007C51D6">
              <w:rPr>
                <w:bCs/>
                <w:color w:val="000000"/>
                <w:sz w:val="20"/>
                <w:szCs w:val="20"/>
              </w:rPr>
              <w:t>данных</w:t>
            </w:r>
          </w:p>
        </w:tc>
        <w:tc>
          <w:tcPr>
            <w:tcW w:w="1361" w:type="dxa"/>
          </w:tcPr>
          <w:p w:rsidR="001E3FBE" w:rsidRPr="007C51D6" w:rsidRDefault="001E3FBE" w:rsidP="001E3FBE">
            <w:pPr>
              <w:autoSpaceDE/>
              <w:autoSpaceDN/>
              <w:adjustRightInd/>
              <w:jc w:val="center"/>
              <w:rPr>
                <w:bCs/>
                <w:color w:val="000000"/>
                <w:sz w:val="20"/>
                <w:szCs w:val="20"/>
              </w:rPr>
            </w:pPr>
            <w:r w:rsidRPr="007C51D6">
              <w:rPr>
                <w:bCs/>
                <w:color w:val="000000"/>
                <w:sz w:val="20"/>
                <w:szCs w:val="20"/>
              </w:rPr>
              <w:t>нет</w:t>
            </w:r>
          </w:p>
          <w:p w:rsidR="001E3FBE" w:rsidRPr="007C51D6" w:rsidRDefault="001E3FBE" w:rsidP="001E3FBE">
            <w:pPr>
              <w:autoSpaceDE/>
              <w:autoSpaceDN/>
              <w:adjustRightInd/>
              <w:jc w:val="center"/>
              <w:rPr>
                <w:bCs/>
                <w:color w:val="000000"/>
                <w:sz w:val="20"/>
                <w:szCs w:val="20"/>
              </w:rPr>
            </w:pPr>
            <w:r w:rsidRPr="007C51D6">
              <w:rPr>
                <w:bCs/>
                <w:color w:val="000000"/>
                <w:sz w:val="20"/>
                <w:szCs w:val="20"/>
              </w:rPr>
              <w:t>данных</w:t>
            </w:r>
          </w:p>
        </w:tc>
        <w:tc>
          <w:tcPr>
            <w:tcW w:w="992" w:type="dxa"/>
          </w:tcPr>
          <w:p w:rsidR="001E3FBE" w:rsidRPr="007C51D6" w:rsidRDefault="001E3FBE" w:rsidP="001E3FBE">
            <w:pPr>
              <w:jc w:val="center"/>
              <w:rPr>
                <w:color w:val="000000"/>
                <w:sz w:val="20"/>
                <w:szCs w:val="20"/>
              </w:rPr>
            </w:pPr>
            <w:r w:rsidRPr="007C51D6">
              <w:rPr>
                <w:color w:val="000000"/>
                <w:sz w:val="20"/>
                <w:szCs w:val="20"/>
              </w:rPr>
              <w:t>0,05</w:t>
            </w:r>
          </w:p>
        </w:tc>
        <w:tc>
          <w:tcPr>
            <w:tcW w:w="851" w:type="dxa"/>
          </w:tcPr>
          <w:p w:rsidR="001E3FBE" w:rsidRPr="007C51D6" w:rsidRDefault="001E3FBE" w:rsidP="001E3FBE">
            <w:pPr>
              <w:jc w:val="center"/>
              <w:rPr>
                <w:color w:val="000000"/>
                <w:sz w:val="20"/>
                <w:szCs w:val="20"/>
              </w:rPr>
            </w:pPr>
            <w:r w:rsidRPr="007C51D6">
              <w:rPr>
                <w:color w:val="000000"/>
                <w:sz w:val="20"/>
                <w:szCs w:val="20"/>
              </w:rPr>
              <w:t>0,00</w:t>
            </w:r>
          </w:p>
        </w:tc>
        <w:tc>
          <w:tcPr>
            <w:tcW w:w="850" w:type="dxa"/>
          </w:tcPr>
          <w:p w:rsidR="001E3FBE" w:rsidRPr="007C51D6" w:rsidRDefault="001E3FBE" w:rsidP="001E3FBE">
            <w:pPr>
              <w:jc w:val="center"/>
              <w:rPr>
                <w:color w:val="000000"/>
                <w:sz w:val="20"/>
                <w:szCs w:val="20"/>
              </w:rPr>
            </w:pPr>
            <w:r w:rsidRPr="007C51D6">
              <w:rPr>
                <w:color w:val="000000"/>
                <w:sz w:val="20"/>
                <w:szCs w:val="20"/>
              </w:rPr>
              <w:t>0,00</w:t>
            </w:r>
          </w:p>
        </w:tc>
        <w:tc>
          <w:tcPr>
            <w:tcW w:w="851" w:type="dxa"/>
          </w:tcPr>
          <w:p w:rsidR="001E3FBE" w:rsidRPr="007C51D6" w:rsidRDefault="001E3FBE" w:rsidP="001E3FBE">
            <w:pPr>
              <w:jc w:val="center"/>
              <w:rPr>
                <w:color w:val="000000"/>
                <w:sz w:val="20"/>
                <w:szCs w:val="20"/>
              </w:rPr>
            </w:pPr>
            <w:r w:rsidRPr="007C51D6">
              <w:rPr>
                <w:color w:val="000000"/>
                <w:sz w:val="20"/>
                <w:szCs w:val="20"/>
              </w:rPr>
              <w:t>0,00</w:t>
            </w:r>
          </w:p>
        </w:tc>
        <w:tc>
          <w:tcPr>
            <w:tcW w:w="829" w:type="dxa"/>
          </w:tcPr>
          <w:p w:rsidR="001E3FBE" w:rsidRPr="007C51D6" w:rsidRDefault="001E3FBE" w:rsidP="001E3FBE">
            <w:pPr>
              <w:jc w:val="center"/>
              <w:rPr>
                <w:color w:val="000000"/>
                <w:sz w:val="20"/>
                <w:szCs w:val="20"/>
              </w:rPr>
            </w:pPr>
            <w:r w:rsidRPr="007C51D6">
              <w:rPr>
                <w:color w:val="000000"/>
                <w:sz w:val="20"/>
                <w:szCs w:val="20"/>
              </w:rPr>
              <w:t>0,00</w:t>
            </w:r>
          </w:p>
        </w:tc>
        <w:tc>
          <w:tcPr>
            <w:tcW w:w="907" w:type="dxa"/>
          </w:tcPr>
          <w:p w:rsidR="001E3FBE" w:rsidRPr="007C51D6" w:rsidRDefault="001E3FBE" w:rsidP="001E3FBE">
            <w:pPr>
              <w:jc w:val="center"/>
              <w:rPr>
                <w:color w:val="000000"/>
                <w:sz w:val="20"/>
                <w:szCs w:val="20"/>
              </w:rPr>
            </w:pPr>
            <w:r w:rsidRPr="007C51D6">
              <w:rPr>
                <w:color w:val="000000"/>
                <w:sz w:val="20"/>
                <w:szCs w:val="20"/>
              </w:rPr>
              <w:t>0,02</w:t>
            </w:r>
          </w:p>
        </w:tc>
        <w:tc>
          <w:tcPr>
            <w:tcW w:w="907" w:type="dxa"/>
          </w:tcPr>
          <w:p w:rsidR="001E3FBE" w:rsidRPr="007C51D6" w:rsidRDefault="001E3FBE" w:rsidP="001E3FBE">
            <w:pPr>
              <w:autoSpaceDE/>
              <w:autoSpaceDN/>
              <w:adjustRightInd/>
              <w:jc w:val="center"/>
              <w:rPr>
                <w:bCs/>
                <w:color w:val="000000"/>
                <w:sz w:val="20"/>
                <w:szCs w:val="20"/>
              </w:rPr>
            </w:pPr>
            <w:r w:rsidRPr="007C51D6">
              <w:rPr>
                <w:bCs/>
                <w:color w:val="000000"/>
                <w:sz w:val="20"/>
                <w:szCs w:val="20"/>
              </w:rPr>
              <w:t>нет</w:t>
            </w:r>
          </w:p>
          <w:p w:rsidR="001E3FBE" w:rsidRPr="007C51D6" w:rsidRDefault="001E3FBE" w:rsidP="001E3FBE">
            <w:pPr>
              <w:autoSpaceDE/>
              <w:autoSpaceDN/>
              <w:adjustRightInd/>
              <w:jc w:val="center"/>
              <w:rPr>
                <w:bCs/>
                <w:color w:val="000000"/>
                <w:sz w:val="20"/>
                <w:szCs w:val="20"/>
              </w:rPr>
            </w:pPr>
            <w:r w:rsidRPr="007C51D6">
              <w:rPr>
                <w:bCs/>
                <w:color w:val="000000"/>
                <w:sz w:val="20"/>
                <w:szCs w:val="20"/>
              </w:rPr>
              <w:t>данных</w:t>
            </w:r>
          </w:p>
        </w:tc>
      </w:tr>
      <w:tr w:rsidR="001E3FBE" w:rsidRPr="007C51D6" w:rsidTr="00B93D5E">
        <w:trPr>
          <w:cantSplit/>
          <w:trHeight w:val="20"/>
          <w:jc w:val="center"/>
        </w:trPr>
        <w:tc>
          <w:tcPr>
            <w:tcW w:w="3539" w:type="dxa"/>
            <w:shd w:val="clear" w:color="auto" w:fill="auto"/>
            <w:noWrap/>
          </w:tcPr>
          <w:p w:rsidR="001E3FBE" w:rsidRPr="007C51D6" w:rsidRDefault="00B41962" w:rsidP="001E3FBE">
            <w:pPr>
              <w:autoSpaceDE/>
              <w:autoSpaceDN/>
              <w:adjustRightInd/>
              <w:jc w:val="both"/>
              <w:rPr>
                <w:sz w:val="20"/>
                <w:szCs w:val="20"/>
              </w:rPr>
            </w:pPr>
            <w:hyperlink r:id="rId15" w:history="1">
              <w:r w:rsidR="001E3FBE" w:rsidRPr="007C51D6">
                <w:rPr>
                  <w:rFonts w:eastAsia="Arial"/>
                  <w:bCs/>
                  <w:sz w:val="20"/>
                  <w:szCs w:val="20"/>
                </w:rPr>
                <w:t>доброкачественное новообразование жировой ткани</w:t>
              </w:r>
            </w:hyperlink>
            <w:r w:rsidR="001E3FBE" w:rsidRPr="007C51D6">
              <w:rPr>
                <w:rFonts w:eastAsia="Arial"/>
                <w:sz w:val="20"/>
                <w:szCs w:val="20"/>
              </w:rPr>
              <w:t xml:space="preserve"> </w:t>
            </w:r>
          </w:p>
        </w:tc>
        <w:tc>
          <w:tcPr>
            <w:tcW w:w="1276" w:type="dxa"/>
            <w:shd w:val="clear" w:color="auto" w:fill="auto"/>
            <w:noWrap/>
          </w:tcPr>
          <w:p w:rsidR="001E3FBE" w:rsidRPr="007C51D6" w:rsidRDefault="001E3FBE" w:rsidP="001E3FBE">
            <w:pPr>
              <w:autoSpaceDE/>
              <w:autoSpaceDN/>
              <w:adjustRightInd/>
              <w:jc w:val="center"/>
              <w:rPr>
                <w:color w:val="000000"/>
                <w:sz w:val="20"/>
                <w:szCs w:val="20"/>
              </w:rPr>
            </w:pPr>
            <w:r w:rsidRPr="007C51D6">
              <w:rPr>
                <w:rFonts w:eastAsia="Arial"/>
                <w:sz w:val="20"/>
                <w:szCs w:val="20"/>
              </w:rPr>
              <w:t xml:space="preserve">D17 </w:t>
            </w:r>
          </w:p>
        </w:tc>
        <w:tc>
          <w:tcPr>
            <w:tcW w:w="1303" w:type="dxa"/>
          </w:tcPr>
          <w:p w:rsidR="001E3FBE" w:rsidRPr="007C51D6" w:rsidRDefault="001E3FBE" w:rsidP="001E3FBE">
            <w:pPr>
              <w:autoSpaceDE/>
              <w:autoSpaceDN/>
              <w:adjustRightInd/>
              <w:jc w:val="center"/>
              <w:rPr>
                <w:bCs/>
                <w:color w:val="000000"/>
                <w:sz w:val="20"/>
                <w:szCs w:val="20"/>
              </w:rPr>
            </w:pPr>
            <w:r w:rsidRPr="007C51D6">
              <w:rPr>
                <w:bCs/>
                <w:color w:val="000000"/>
                <w:sz w:val="20"/>
                <w:szCs w:val="20"/>
              </w:rPr>
              <w:t>нет</w:t>
            </w:r>
          </w:p>
          <w:p w:rsidR="001E3FBE" w:rsidRPr="007C51D6" w:rsidRDefault="001E3FBE" w:rsidP="001E3FBE">
            <w:pPr>
              <w:autoSpaceDE/>
              <w:autoSpaceDN/>
              <w:adjustRightInd/>
              <w:jc w:val="center"/>
              <w:rPr>
                <w:bCs/>
                <w:color w:val="000000"/>
                <w:sz w:val="20"/>
                <w:szCs w:val="20"/>
              </w:rPr>
            </w:pPr>
            <w:r w:rsidRPr="007C51D6">
              <w:rPr>
                <w:bCs/>
                <w:color w:val="000000"/>
                <w:sz w:val="20"/>
                <w:szCs w:val="20"/>
              </w:rPr>
              <w:t>данных</w:t>
            </w:r>
          </w:p>
        </w:tc>
        <w:tc>
          <w:tcPr>
            <w:tcW w:w="1134" w:type="dxa"/>
          </w:tcPr>
          <w:p w:rsidR="001E3FBE" w:rsidRPr="007C51D6" w:rsidRDefault="001E3FBE" w:rsidP="001E3FBE">
            <w:pPr>
              <w:autoSpaceDE/>
              <w:autoSpaceDN/>
              <w:adjustRightInd/>
              <w:jc w:val="center"/>
              <w:rPr>
                <w:bCs/>
                <w:color w:val="000000"/>
                <w:sz w:val="20"/>
                <w:szCs w:val="20"/>
              </w:rPr>
            </w:pPr>
            <w:r w:rsidRPr="007C51D6">
              <w:rPr>
                <w:bCs/>
                <w:color w:val="000000"/>
                <w:sz w:val="20"/>
                <w:szCs w:val="20"/>
              </w:rPr>
              <w:t>нет</w:t>
            </w:r>
          </w:p>
          <w:p w:rsidR="001E3FBE" w:rsidRPr="007C51D6" w:rsidRDefault="001E3FBE" w:rsidP="001E3FBE">
            <w:pPr>
              <w:autoSpaceDE/>
              <w:autoSpaceDN/>
              <w:adjustRightInd/>
              <w:jc w:val="center"/>
              <w:rPr>
                <w:bCs/>
                <w:color w:val="000000"/>
                <w:sz w:val="20"/>
                <w:szCs w:val="20"/>
              </w:rPr>
            </w:pPr>
            <w:r w:rsidRPr="007C51D6">
              <w:rPr>
                <w:bCs/>
                <w:color w:val="000000"/>
                <w:sz w:val="20"/>
                <w:szCs w:val="20"/>
              </w:rPr>
              <w:t>данных</w:t>
            </w:r>
          </w:p>
        </w:tc>
        <w:tc>
          <w:tcPr>
            <w:tcW w:w="1361" w:type="dxa"/>
          </w:tcPr>
          <w:p w:rsidR="001E3FBE" w:rsidRPr="007C51D6" w:rsidRDefault="001E3FBE" w:rsidP="001E3FBE">
            <w:pPr>
              <w:autoSpaceDE/>
              <w:autoSpaceDN/>
              <w:adjustRightInd/>
              <w:jc w:val="center"/>
              <w:rPr>
                <w:bCs/>
                <w:color w:val="000000"/>
                <w:sz w:val="20"/>
                <w:szCs w:val="20"/>
              </w:rPr>
            </w:pPr>
            <w:r w:rsidRPr="007C51D6">
              <w:rPr>
                <w:bCs/>
                <w:color w:val="000000"/>
                <w:sz w:val="20"/>
                <w:szCs w:val="20"/>
              </w:rPr>
              <w:t>нет</w:t>
            </w:r>
          </w:p>
          <w:p w:rsidR="001E3FBE" w:rsidRPr="007C51D6" w:rsidRDefault="001E3FBE" w:rsidP="001E3FBE">
            <w:pPr>
              <w:autoSpaceDE/>
              <w:autoSpaceDN/>
              <w:adjustRightInd/>
              <w:jc w:val="center"/>
              <w:rPr>
                <w:bCs/>
                <w:color w:val="000000"/>
                <w:sz w:val="20"/>
                <w:szCs w:val="20"/>
              </w:rPr>
            </w:pPr>
            <w:r w:rsidRPr="007C51D6">
              <w:rPr>
                <w:bCs/>
                <w:color w:val="000000"/>
                <w:sz w:val="20"/>
                <w:szCs w:val="20"/>
              </w:rPr>
              <w:t>данных</w:t>
            </w:r>
          </w:p>
        </w:tc>
        <w:tc>
          <w:tcPr>
            <w:tcW w:w="992" w:type="dxa"/>
          </w:tcPr>
          <w:p w:rsidR="001E3FBE" w:rsidRPr="007C51D6" w:rsidRDefault="001E3FBE" w:rsidP="001E3FBE">
            <w:pPr>
              <w:jc w:val="center"/>
              <w:rPr>
                <w:color w:val="000000"/>
                <w:sz w:val="20"/>
                <w:szCs w:val="20"/>
              </w:rPr>
            </w:pPr>
            <w:r w:rsidRPr="007C51D6">
              <w:rPr>
                <w:color w:val="000000"/>
                <w:sz w:val="20"/>
                <w:szCs w:val="20"/>
              </w:rPr>
              <w:t>0,00</w:t>
            </w:r>
          </w:p>
        </w:tc>
        <w:tc>
          <w:tcPr>
            <w:tcW w:w="851" w:type="dxa"/>
          </w:tcPr>
          <w:p w:rsidR="001E3FBE" w:rsidRPr="007C51D6" w:rsidRDefault="001E3FBE" w:rsidP="001E3FBE">
            <w:pPr>
              <w:jc w:val="center"/>
              <w:rPr>
                <w:color w:val="000000"/>
                <w:sz w:val="20"/>
                <w:szCs w:val="20"/>
              </w:rPr>
            </w:pPr>
            <w:r w:rsidRPr="007C51D6">
              <w:rPr>
                <w:color w:val="000000"/>
                <w:sz w:val="20"/>
                <w:szCs w:val="20"/>
              </w:rPr>
              <w:t>0,03</w:t>
            </w:r>
          </w:p>
        </w:tc>
        <w:tc>
          <w:tcPr>
            <w:tcW w:w="850" w:type="dxa"/>
          </w:tcPr>
          <w:p w:rsidR="001E3FBE" w:rsidRPr="007C51D6" w:rsidRDefault="001E3FBE" w:rsidP="001E3FBE">
            <w:pPr>
              <w:jc w:val="center"/>
              <w:rPr>
                <w:color w:val="000000"/>
                <w:sz w:val="20"/>
                <w:szCs w:val="20"/>
              </w:rPr>
            </w:pPr>
            <w:r w:rsidRPr="007C51D6">
              <w:rPr>
                <w:color w:val="000000"/>
                <w:sz w:val="20"/>
                <w:szCs w:val="20"/>
              </w:rPr>
              <w:t>0,00</w:t>
            </w:r>
          </w:p>
        </w:tc>
        <w:tc>
          <w:tcPr>
            <w:tcW w:w="851" w:type="dxa"/>
          </w:tcPr>
          <w:p w:rsidR="001E3FBE" w:rsidRPr="007C51D6" w:rsidRDefault="001E3FBE" w:rsidP="001E3FBE">
            <w:pPr>
              <w:jc w:val="center"/>
              <w:rPr>
                <w:color w:val="000000"/>
                <w:sz w:val="20"/>
                <w:szCs w:val="20"/>
              </w:rPr>
            </w:pPr>
            <w:r w:rsidRPr="007C51D6">
              <w:rPr>
                <w:color w:val="000000"/>
                <w:sz w:val="20"/>
                <w:szCs w:val="20"/>
              </w:rPr>
              <w:t>0,00</w:t>
            </w:r>
          </w:p>
        </w:tc>
        <w:tc>
          <w:tcPr>
            <w:tcW w:w="829" w:type="dxa"/>
          </w:tcPr>
          <w:p w:rsidR="001E3FBE" w:rsidRPr="007C51D6" w:rsidRDefault="001E3FBE" w:rsidP="001E3FBE">
            <w:pPr>
              <w:jc w:val="center"/>
              <w:rPr>
                <w:color w:val="000000"/>
                <w:sz w:val="20"/>
                <w:szCs w:val="20"/>
              </w:rPr>
            </w:pPr>
            <w:r w:rsidRPr="007C51D6">
              <w:rPr>
                <w:color w:val="000000"/>
                <w:sz w:val="20"/>
                <w:szCs w:val="20"/>
              </w:rPr>
              <w:t>0,02</w:t>
            </w:r>
          </w:p>
        </w:tc>
        <w:tc>
          <w:tcPr>
            <w:tcW w:w="907" w:type="dxa"/>
          </w:tcPr>
          <w:p w:rsidR="001E3FBE" w:rsidRPr="007C51D6" w:rsidRDefault="001E3FBE" w:rsidP="001E3FBE">
            <w:pPr>
              <w:jc w:val="center"/>
              <w:rPr>
                <w:color w:val="000000"/>
                <w:sz w:val="20"/>
                <w:szCs w:val="20"/>
              </w:rPr>
            </w:pPr>
            <w:r w:rsidRPr="007C51D6">
              <w:rPr>
                <w:color w:val="000000"/>
                <w:sz w:val="20"/>
                <w:szCs w:val="20"/>
              </w:rPr>
              <w:t>0,00</w:t>
            </w:r>
          </w:p>
        </w:tc>
        <w:tc>
          <w:tcPr>
            <w:tcW w:w="907" w:type="dxa"/>
          </w:tcPr>
          <w:p w:rsidR="001E3FBE" w:rsidRPr="007C51D6" w:rsidRDefault="001E3FBE" w:rsidP="001E3FBE">
            <w:pPr>
              <w:autoSpaceDE/>
              <w:autoSpaceDN/>
              <w:adjustRightInd/>
              <w:jc w:val="center"/>
              <w:rPr>
                <w:bCs/>
                <w:color w:val="000000"/>
                <w:sz w:val="20"/>
                <w:szCs w:val="20"/>
              </w:rPr>
            </w:pPr>
            <w:r w:rsidRPr="007C51D6">
              <w:rPr>
                <w:bCs/>
                <w:color w:val="000000"/>
                <w:sz w:val="20"/>
                <w:szCs w:val="20"/>
              </w:rPr>
              <w:t>нет</w:t>
            </w:r>
          </w:p>
          <w:p w:rsidR="001E3FBE" w:rsidRPr="007C51D6" w:rsidRDefault="001E3FBE" w:rsidP="001E3FBE">
            <w:pPr>
              <w:autoSpaceDE/>
              <w:autoSpaceDN/>
              <w:adjustRightInd/>
              <w:jc w:val="center"/>
              <w:rPr>
                <w:bCs/>
                <w:color w:val="000000"/>
                <w:sz w:val="20"/>
                <w:szCs w:val="20"/>
              </w:rPr>
            </w:pPr>
            <w:r w:rsidRPr="007C51D6">
              <w:rPr>
                <w:bCs/>
                <w:color w:val="000000"/>
                <w:sz w:val="20"/>
                <w:szCs w:val="20"/>
              </w:rPr>
              <w:t>данных</w:t>
            </w:r>
          </w:p>
        </w:tc>
      </w:tr>
      <w:tr w:rsidR="001E3FBE" w:rsidRPr="007C51D6" w:rsidTr="00B93D5E">
        <w:trPr>
          <w:cantSplit/>
          <w:trHeight w:val="20"/>
          <w:jc w:val="center"/>
        </w:trPr>
        <w:tc>
          <w:tcPr>
            <w:tcW w:w="3539" w:type="dxa"/>
            <w:shd w:val="clear" w:color="auto" w:fill="auto"/>
            <w:noWrap/>
          </w:tcPr>
          <w:p w:rsidR="001E3FBE" w:rsidRPr="007C51D6" w:rsidRDefault="00B41962" w:rsidP="001E3FBE">
            <w:pPr>
              <w:rPr>
                <w:sz w:val="20"/>
                <w:szCs w:val="20"/>
              </w:rPr>
            </w:pPr>
            <w:hyperlink r:id="rId16" w:history="1">
              <w:r w:rsidR="001E3FBE" w:rsidRPr="007C51D6">
                <w:rPr>
                  <w:rFonts w:eastAsia="Arial"/>
                  <w:bCs/>
                  <w:sz w:val="20"/>
                  <w:szCs w:val="20"/>
                </w:rPr>
                <w:t>гемангиома и лимфангиома любой локализации</w:t>
              </w:r>
            </w:hyperlink>
            <w:r w:rsidR="001E3FBE" w:rsidRPr="007C51D6">
              <w:rPr>
                <w:rFonts w:eastAsia="Arial"/>
                <w:sz w:val="20"/>
                <w:szCs w:val="20"/>
              </w:rPr>
              <w:t xml:space="preserve"> </w:t>
            </w:r>
          </w:p>
        </w:tc>
        <w:tc>
          <w:tcPr>
            <w:tcW w:w="1276" w:type="dxa"/>
            <w:shd w:val="clear" w:color="auto" w:fill="auto"/>
            <w:noWrap/>
          </w:tcPr>
          <w:p w:rsidR="001E3FBE" w:rsidRPr="007C51D6" w:rsidRDefault="001E3FBE" w:rsidP="001E3FBE">
            <w:pPr>
              <w:autoSpaceDE/>
              <w:autoSpaceDN/>
              <w:adjustRightInd/>
              <w:jc w:val="center"/>
              <w:rPr>
                <w:rFonts w:eastAsia="Arial"/>
                <w:sz w:val="20"/>
                <w:szCs w:val="20"/>
              </w:rPr>
            </w:pPr>
            <w:r w:rsidRPr="007C51D6">
              <w:rPr>
                <w:rFonts w:eastAsia="Arial"/>
                <w:sz w:val="20"/>
                <w:szCs w:val="20"/>
              </w:rPr>
              <w:t>D18</w:t>
            </w:r>
          </w:p>
        </w:tc>
        <w:tc>
          <w:tcPr>
            <w:tcW w:w="1303" w:type="dxa"/>
          </w:tcPr>
          <w:p w:rsidR="001E3FBE" w:rsidRPr="007C51D6" w:rsidRDefault="001E3FBE" w:rsidP="001E3FBE">
            <w:pPr>
              <w:autoSpaceDE/>
              <w:autoSpaceDN/>
              <w:adjustRightInd/>
              <w:jc w:val="center"/>
              <w:rPr>
                <w:bCs/>
                <w:color w:val="000000"/>
                <w:sz w:val="20"/>
                <w:szCs w:val="20"/>
              </w:rPr>
            </w:pPr>
            <w:r w:rsidRPr="007C51D6">
              <w:rPr>
                <w:bCs/>
                <w:color w:val="000000"/>
                <w:sz w:val="20"/>
                <w:szCs w:val="20"/>
              </w:rPr>
              <w:t>нет</w:t>
            </w:r>
          </w:p>
          <w:p w:rsidR="001E3FBE" w:rsidRPr="007C51D6" w:rsidRDefault="001E3FBE" w:rsidP="001E3FBE">
            <w:pPr>
              <w:autoSpaceDE/>
              <w:autoSpaceDN/>
              <w:adjustRightInd/>
              <w:jc w:val="center"/>
              <w:rPr>
                <w:bCs/>
                <w:color w:val="000000"/>
                <w:sz w:val="20"/>
                <w:szCs w:val="20"/>
              </w:rPr>
            </w:pPr>
            <w:r w:rsidRPr="007C51D6">
              <w:rPr>
                <w:bCs/>
                <w:color w:val="000000"/>
                <w:sz w:val="20"/>
                <w:szCs w:val="20"/>
              </w:rPr>
              <w:t>данных</w:t>
            </w:r>
          </w:p>
        </w:tc>
        <w:tc>
          <w:tcPr>
            <w:tcW w:w="1134" w:type="dxa"/>
          </w:tcPr>
          <w:p w:rsidR="001E3FBE" w:rsidRPr="007C51D6" w:rsidRDefault="001E3FBE" w:rsidP="001E3FBE">
            <w:pPr>
              <w:autoSpaceDE/>
              <w:autoSpaceDN/>
              <w:adjustRightInd/>
              <w:jc w:val="center"/>
              <w:rPr>
                <w:bCs/>
                <w:color w:val="000000"/>
                <w:sz w:val="20"/>
                <w:szCs w:val="20"/>
              </w:rPr>
            </w:pPr>
            <w:r w:rsidRPr="007C51D6">
              <w:rPr>
                <w:bCs/>
                <w:color w:val="000000"/>
                <w:sz w:val="20"/>
                <w:szCs w:val="20"/>
              </w:rPr>
              <w:t>нет</w:t>
            </w:r>
          </w:p>
          <w:p w:rsidR="001E3FBE" w:rsidRPr="007C51D6" w:rsidRDefault="001E3FBE" w:rsidP="001E3FBE">
            <w:pPr>
              <w:autoSpaceDE/>
              <w:autoSpaceDN/>
              <w:adjustRightInd/>
              <w:jc w:val="center"/>
              <w:rPr>
                <w:bCs/>
                <w:color w:val="000000"/>
                <w:sz w:val="20"/>
                <w:szCs w:val="20"/>
              </w:rPr>
            </w:pPr>
            <w:r w:rsidRPr="007C51D6">
              <w:rPr>
                <w:bCs/>
                <w:color w:val="000000"/>
                <w:sz w:val="20"/>
                <w:szCs w:val="20"/>
              </w:rPr>
              <w:t>данных</w:t>
            </w:r>
          </w:p>
        </w:tc>
        <w:tc>
          <w:tcPr>
            <w:tcW w:w="1361" w:type="dxa"/>
          </w:tcPr>
          <w:p w:rsidR="001E3FBE" w:rsidRPr="007C51D6" w:rsidRDefault="001E3FBE" w:rsidP="001E3FBE">
            <w:pPr>
              <w:autoSpaceDE/>
              <w:autoSpaceDN/>
              <w:adjustRightInd/>
              <w:jc w:val="center"/>
              <w:rPr>
                <w:bCs/>
                <w:color w:val="000000"/>
                <w:sz w:val="20"/>
                <w:szCs w:val="20"/>
              </w:rPr>
            </w:pPr>
            <w:r w:rsidRPr="007C51D6">
              <w:rPr>
                <w:bCs/>
                <w:color w:val="000000"/>
                <w:sz w:val="20"/>
                <w:szCs w:val="20"/>
              </w:rPr>
              <w:t>нет</w:t>
            </w:r>
          </w:p>
          <w:p w:rsidR="001E3FBE" w:rsidRPr="007C51D6" w:rsidRDefault="001E3FBE" w:rsidP="001E3FBE">
            <w:pPr>
              <w:autoSpaceDE/>
              <w:autoSpaceDN/>
              <w:adjustRightInd/>
              <w:jc w:val="center"/>
              <w:rPr>
                <w:bCs/>
                <w:color w:val="000000"/>
                <w:sz w:val="20"/>
                <w:szCs w:val="20"/>
              </w:rPr>
            </w:pPr>
            <w:r w:rsidRPr="007C51D6">
              <w:rPr>
                <w:bCs/>
                <w:color w:val="000000"/>
                <w:sz w:val="20"/>
                <w:szCs w:val="20"/>
              </w:rPr>
              <w:t>данных</w:t>
            </w:r>
          </w:p>
        </w:tc>
        <w:tc>
          <w:tcPr>
            <w:tcW w:w="992" w:type="dxa"/>
          </w:tcPr>
          <w:p w:rsidR="001E3FBE" w:rsidRPr="007C51D6" w:rsidRDefault="001E3FBE" w:rsidP="001E3FBE">
            <w:pPr>
              <w:jc w:val="center"/>
              <w:rPr>
                <w:color w:val="000000"/>
                <w:sz w:val="20"/>
                <w:szCs w:val="20"/>
              </w:rPr>
            </w:pPr>
            <w:r w:rsidRPr="007C51D6">
              <w:rPr>
                <w:color w:val="000000"/>
                <w:sz w:val="20"/>
                <w:szCs w:val="20"/>
              </w:rPr>
              <w:t>0,00</w:t>
            </w:r>
          </w:p>
        </w:tc>
        <w:tc>
          <w:tcPr>
            <w:tcW w:w="851" w:type="dxa"/>
          </w:tcPr>
          <w:p w:rsidR="001E3FBE" w:rsidRPr="007C51D6" w:rsidRDefault="001E3FBE" w:rsidP="001E3FBE">
            <w:pPr>
              <w:jc w:val="center"/>
              <w:rPr>
                <w:color w:val="000000"/>
                <w:sz w:val="20"/>
                <w:szCs w:val="20"/>
              </w:rPr>
            </w:pPr>
            <w:r w:rsidRPr="007C51D6">
              <w:rPr>
                <w:color w:val="000000"/>
                <w:sz w:val="20"/>
                <w:szCs w:val="20"/>
              </w:rPr>
              <w:t>0,05</w:t>
            </w:r>
          </w:p>
        </w:tc>
        <w:tc>
          <w:tcPr>
            <w:tcW w:w="850" w:type="dxa"/>
          </w:tcPr>
          <w:p w:rsidR="001E3FBE" w:rsidRPr="007C51D6" w:rsidRDefault="001E3FBE" w:rsidP="001E3FBE">
            <w:pPr>
              <w:jc w:val="center"/>
              <w:rPr>
                <w:color w:val="000000"/>
                <w:sz w:val="20"/>
                <w:szCs w:val="20"/>
              </w:rPr>
            </w:pPr>
            <w:r w:rsidRPr="007C51D6">
              <w:rPr>
                <w:color w:val="000000"/>
                <w:sz w:val="20"/>
                <w:szCs w:val="20"/>
              </w:rPr>
              <w:t>0,05</w:t>
            </w:r>
          </w:p>
        </w:tc>
        <w:tc>
          <w:tcPr>
            <w:tcW w:w="851" w:type="dxa"/>
          </w:tcPr>
          <w:p w:rsidR="001E3FBE" w:rsidRPr="007C51D6" w:rsidRDefault="001E3FBE" w:rsidP="001E3FBE">
            <w:pPr>
              <w:jc w:val="center"/>
              <w:rPr>
                <w:color w:val="000000"/>
                <w:sz w:val="20"/>
                <w:szCs w:val="20"/>
              </w:rPr>
            </w:pPr>
            <w:r w:rsidRPr="007C51D6">
              <w:rPr>
                <w:color w:val="000000"/>
                <w:sz w:val="20"/>
                <w:szCs w:val="20"/>
              </w:rPr>
              <w:t>0,03</w:t>
            </w:r>
          </w:p>
        </w:tc>
        <w:tc>
          <w:tcPr>
            <w:tcW w:w="829" w:type="dxa"/>
          </w:tcPr>
          <w:p w:rsidR="001E3FBE" w:rsidRPr="007C51D6" w:rsidRDefault="001E3FBE" w:rsidP="001E3FBE">
            <w:pPr>
              <w:jc w:val="center"/>
              <w:rPr>
                <w:color w:val="000000"/>
                <w:sz w:val="20"/>
                <w:szCs w:val="20"/>
              </w:rPr>
            </w:pPr>
            <w:r w:rsidRPr="007C51D6">
              <w:rPr>
                <w:color w:val="000000"/>
                <w:sz w:val="20"/>
                <w:szCs w:val="20"/>
              </w:rPr>
              <w:t>0,05</w:t>
            </w:r>
          </w:p>
        </w:tc>
        <w:tc>
          <w:tcPr>
            <w:tcW w:w="907" w:type="dxa"/>
          </w:tcPr>
          <w:p w:rsidR="001E3FBE" w:rsidRPr="007C51D6" w:rsidRDefault="001E3FBE" w:rsidP="001E3FBE">
            <w:pPr>
              <w:jc w:val="center"/>
              <w:rPr>
                <w:color w:val="000000"/>
                <w:sz w:val="20"/>
                <w:szCs w:val="20"/>
              </w:rPr>
            </w:pPr>
            <w:r w:rsidRPr="007C51D6">
              <w:rPr>
                <w:color w:val="000000"/>
                <w:sz w:val="20"/>
                <w:szCs w:val="20"/>
              </w:rPr>
              <w:t>0,02</w:t>
            </w:r>
          </w:p>
        </w:tc>
        <w:tc>
          <w:tcPr>
            <w:tcW w:w="907" w:type="dxa"/>
          </w:tcPr>
          <w:p w:rsidR="001E3FBE" w:rsidRPr="007C51D6" w:rsidRDefault="001E3FBE" w:rsidP="001E3FBE">
            <w:pPr>
              <w:autoSpaceDE/>
              <w:autoSpaceDN/>
              <w:adjustRightInd/>
              <w:jc w:val="center"/>
              <w:rPr>
                <w:bCs/>
                <w:color w:val="000000"/>
                <w:sz w:val="20"/>
                <w:szCs w:val="20"/>
              </w:rPr>
            </w:pPr>
            <w:r w:rsidRPr="007C51D6">
              <w:rPr>
                <w:bCs/>
                <w:color w:val="000000"/>
                <w:sz w:val="20"/>
                <w:szCs w:val="20"/>
              </w:rPr>
              <w:t>нет</w:t>
            </w:r>
          </w:p>
          <w:p w:rsidR="001E3FBE" w:rsidRPr="007C51D6" w:rsidRDefault="001E3FBE" w:rsidP="001E3FBE">
            <w:pPr>
              <w:autoSpaceDE/>
              <w:autoSpaceDN/>
              <w:adjustRightInd/>
              <w:jc w:val="center"/>
              <w:rPr>
                <w:bCs/>
                <w:color w:val="000000"/>
                <w:sz w:val="20"/>
                <w:szCs w:val="20"/>
              </w:rPr>
            </w:pPr>
            <w:r w:rsidRPr="007C51D6">
              <w:rPr>
                <w:bCs/>
                <w:color w:val="000000"/>
                <w:sz w:val="20"/>
                <w:szCs w:val="20"/>
              </w:rPr>
              <w:t>данных</w:t>
            </w:r>
          </w:p>
        </w:tc>
      </w:tr>
      <w:tr w:rsidR="001E3FBE" w:rsidRPr="007C51D6" w:rsidTr="00B93D5E">
        <w:trPr>
          <w:cantSplit/>
          <w:trHeight w:val="20"/>
          <w:jc w:val="center"/>
        </w:trPr>
        <w:tc>
          <w:tcPr>
            <w:tcW w:w="3539" w:type="dxa"/>
            <w:shd w:val="clear" w:color="auto" w:fill="auto"/>
            <w:noWrap/>
          </w:tcPr>
          <w:p w:rsidR="001E3FBE" w:rsidRPr="007C51D6" w:rsidRDefault="00B41962" w:rsidP="001E3FBE">
            <w:pPr>
              <w:rPr>
                <w:sz w:val="20"/>
                <w:szCs w:val="20"/>
              </w:rPr>
            </w:pPr>
            <w:hyperlink r:id="rId17" w:history="1">
              <w:r w:rsidR="001E3FBE" w:rsidRPr="007C51D6">
                <w:rPr>
                  <w:rFonts w:eastAsia="Arial"/>
                  <w:bCs/>
                  <w:sz w:val="20"/>
                  <w:szCs w:val="20"/>
                </w:rPr>
                <w:t>доброкачественное новообразование мезотелиальной ткани</w:t>
              </w:r>
            </w:hyperlink>
          </w:p>
        </w:tc>
        <w:tc>
          <w:tcPr>
            <w:tcW w:w="1276" w:type="dxa"/>
            <w:shd w:val="clear" w:color="auto" w:fill="auto"/>
            <w:noWrap/>
          </w:tcPr>
          <w:p w:rsidR="001E3FBE" w:rsidRPr="007C51D6" w:rsidRDefault="001E3FBE" w:rsidP="001E3FBE">
            <w:pPr>
              <w:autoSpaceDE/>
              <w:autoSpaceDN/>
              <w:adjustRightInd/>
              <w:jc w:val="center"/>
              <w:rPr>
                <w:rFonts w:eastAsia="Arial"/>
                <w:sz w:val="20"/>
                <w:szCs w:val="20"/>
              </w:rPr>
            </w:pPr>
            <w:r w:rsidRPr="007C51D6">
              <w:rPr>
                <w:rFonts w:eastAsia="Arial"/>
                <w:sz w:val="20"/>
                <w:szCs w:val="20"/>
              </w:rPr>
              <w:t>D19</w:t>
            </w:r>
          </w:p>
        </w:tc>
        <w:tc>
          <w:tcPr>
            <w:tcW w:w="1303" w:type="dxa"/>
          </w:tcPr>
          <w:p w:rsidR="001E3FBE" w:rsidRPr="007C51D6" w:rsidRDefault="001E3FBE" w:rsidP="001E3FBE">
            <w:pPr>
              <w:autoSpaceDE/>
              <w:autoSpaceDN/>
              <w:adjustRightInd/>
              <w:jc w:val="center"/>
              <w:rPr>
                <w:bCs/>
                <w:color w:val="000000"/>
                <w:sz w:val="20"/>
                <w:szCs w:val="20"/>
              </w:rPr>
            </w:pPr>
            <w:r w:rsidRPr="007C51D6">
              <w:rPr>
                <w:bCs/>
                <w:color w:val="000000"/>
                <w:sz w:val="20"/>
                <w:szCs w:val="20"/>
              </w:rPr>
              <w:t>нет</w:t>
            </w:r>
          </w:p>
          <w:p w:rsidR="001E3FBE" w:rsidRPr="007C51D6" w:rsidRDefault="001E3FBE" w:rsidP="001E3FBE">
            <w:pPr>
              <w:autoSpaceDE/>
              <w:autoSpaceDN/>
              <w:adjustRightInd/>
              <w:jc w:val="center"/>
              <w:rPr>
                <w:bCs/>
                <w:color w:val="000000"/>
                <w:sz w:val="20"/>
                <w:szCs w:val="20"/>
              </w:rPr>
            </w:pPr>
            <w:r w:rsidRPr="007C51D6">
              <w:rPr>
                <w:bCs/>
                <w:color w:val="000000"/>
                <w:sz w:val="20"/>
                <w:szCs w:val="20"/>
              </w:rPr>
              <w:t>данных</w:t>
            </w:r>
          </w:p>
        </w:tc>
        <w:tc>
          <w:tcPr>
            <w:tcW w:w="1134" w:type="dxa"/>
          </w:tcPr>
          <w:p w:rsidR="001E3FBE" w:rsidRPr="007C51D6" w:rsidRDefault="001E3FBE" w:rsidP="001E3FBE">
            <w:pPr>
              <w:autoSpaceDE/>
              <w:autoSpaceDN/>
              <w:adjustRightInd/>
              <w:jc w:val="center"/>
              <w:rPr>
                <w:bCs/>
                <w:color w:val="000000"/>
                <w:sz w:val="20"/>
                <w:szCs w:val="20"/>
              </w:rPr>
            </w:pPr>
            <w:r w:rsidRPr="007C51D6">
              <w:rPr>
                <w:bCs/>
                <w:color w:val="000000"/>
                <w:sz w:val="20"/>
                <w:szCs w:val="20"/>
              </w:rPr>
              <w:t>нет</w:t>
            </w:r>
          </w:p>
          <w:p w:rsidR="001E3FBE" w:rsidRPr="007C51D6" w:rsidRDefault="001E3FBE" w:rsidP="001E3FBE">
            <w:pPr>
              <w:autoSpaceDE/>
              <w:autoSpaceDN/>
              <w:adjustRightInd/>
              <w:jc w:val="center"/>
              <w:rPr>
                <w:bCs/>
                <w:color w:val="000000"/>
                <w:sz w:val="20"/>
                <w:szCs w:val="20"/>
              </w:rPr>
            </w:pPr>
            <w:r w:rsidRPr="007C51D6">
              <w:rPr>
                <w:bCs/>
                <w:color w:val="000000"/>
                <w:sz w:val="20"/>
                <w:szCs w:val="20"/>
              </w:rPr>
              <w:t>данных</w:t>
            </w:r>
          </w:p>
        </w:tc>
        <w:tc>
          <w:tcPr>
            <w:tcW w:w="1361" w:type="dxa"/>
          </w:tcPr>
          <w:p w:rsidR="001E3FBE" w:rsidRPr="007C51D6" w:rsidRDefault="001E3FBE" w:rsidP="001E3FBE">
            <w:pPr>
              <w:autoSpaceDE/>
              <w:autoSpaceDN/>
              <w:adjustRightInd/>
              <w:jc w:val="center"/>
              <w:rPr>
                <w:bCs/>
                <w:color w:val="000000"/>
                <w:sz w:val="20"/>
                <w:szCs w:val="20"/>
              </w:rPr>
            </w:pPr>
            <w:r w:rsidRPr="007C51D6">
              <w:rPr>
                <w:bCs/>
                <w:color w:val="000000"/>
                <w:sz w:val="20"/>
                <w:szCs w:val="20"/>
              </w:rPr>
              <w:t>нет</w:t>
            </w:r>
          </w:p>
          <w:p w:rsidR="001E3FBE" w:rsidRPr="007C51D6" w:rsidRDefault="001E3FBE" w:rsidP="001E3FBE">
            <w:pPr>
              <w:autoSpaceDE/>
              <w:autoSpaceDN/>
              <w:adjustRightInd/>
              <w:jc w:val="center"/>
              <w:rPr>
                <w:bCs/>
                <w:color w:val="000000"/>
                <w:sz w:val="20"/>
                <w:szCs w:val="20"/>
              </w:rPr>
            </w:pPr>
            <w:r w:rsidRPr="007C51D6">
              <w:rPr>
                <w:bCs/>
                <w:color w:val="000000"/>
                <w:sz w:val="20"/>
                <w:szCs w:val="20"/>
              </w:rPr>
              <w:t>данных</w:t>
            </w:r>
          </w:p>
        </w:tc>
        <w:tc>
          <w:tcPr>
            <w:tcW w:w="992" w:type="dxa"/>
          </w:tcPr>
          <w:p w:rsidR="001E3FBE" w:rsidRPr="007C51D6" w:rsidRDefault="001E3FBE" w:rsidP="001E3FBE">
            <w:pPr>
              <w:jc w:val="center"/>
              <w:rPr>
                <w:color w:val="000000"/>
                <w:sz w:val="20"/>
                <w:szCs w:val="20"/>
              </w:rPr>
            </w:pPr>
            <w:r w:rsidRPr="007C51D6">
              <w:rPr>
                <w:color w:val="000000"/>
                <w:sz w:val="20"/>
                <w:szCs w:val="20"/>
              </w:rPr>
              <w:t>0,00</w:t>
            </w:r>
          </w:p>
        </w:tc>
        <w:tc>
          <w:tcPr>
            <w:tcW w:w="851" w:type="dxa"/>
          </w:tcPr>
          <w:p w:rsidR="001E3FBE" w:rsidRPr="007C51D6" w:rsidRDefault="001E3FBE" w:rsidP="001E3FBE">
            <w:pPr>
              <w:jc w:val="center"/>
              <w:rPr>
                <w:color w:val="000000"/>
                <w:sz w:val="20"/>
                <w:szCs w:val="20"/>
              </w:rPr>
            </w:pPr>
            <w:r w:rsidRPr="007C51D6">
              <w:rPr>
                <w:color w:val="000000"/>
                <w:sz w:val="20"/>
                <w:szCs w:val="20"/>
              </w:rPr>
              <w:t>0,03</w:t>
            </w:r>
          </w:p>
        </w:tc>
        <w:tc>
          <w:tcPr>
            <w:tcW w:w="850" w:type="dxa"/>
          </w:tcPr>
          <w:p w:rsidR="001E3FBE" w:rsidRPr="007C51D6" w:rsidRDefault="001E3FBE" w:rsidP="001E3FBE">
            <w:pPr>
              <w:jc w:val="center"/>
              <w:rPr>
                <w:color w:val="000000"/>
                <w:sz w:val="20"/>
                <w:szCs w:val="20"/>
              </w:rPr>
            </w:pPr>
            <w:r w:rsidRPr="007C51D6">
              <w:rPr>
                <w:color w:val="000000"/>
                <w:sz w:val="20"/>
                <w:szCs w:val="20"/>
              </w:rPr>
              <w:t>0,00</w:t>
            </w:r>
          </w:p>
        </w:tc>
        <w:tc>
          <w:tcPr>
            <w:tcW w:w="851" w:type="dxa"/>
          </w:tcPr>
          <w:p w:rsidR="001E3FBE" w:rsidRPr="007C51D6" w:rsidRDefault="001E3FBE" w:rsidP="001E3FBE">
            <w:pPr>
              <w:jc w:val="center"/>
              <w:rPr>
                <w:color w:val="000000"/>
                <w:sz w:val="20"/>
                <w:szCs w:val="20"/>
              </w:rPr>
            </w:pPr>
            <w:r w:rsidRPr="007C51D6">
              <w:rPr>
                <w:color w:val="000000"/>
                <w:sz w:val="20"/>
                <w:szCs w:val="20"/>
              </w:rPr>
              <w:t>0,00</w:t>
            </w:r>
          </w:p>
        </w:tc>
        <w:tc>
          <w:tcPr>
            <w:tcW w:w="829" w:type="dxa"/>
          </w:tcPr>
          <w:p w:rsidR="001E3FBE" w:rsidRPr="007C51D6" w:rsidRDefault="001E3FBE" w:rsidP="001E3FBE">
            <w:pPr>
              <w:jc w:val="center"/>
              <w:rPr>
                <w:color w:val="000000"/>
                <w:sz w:val="20"/>
                <w:szCs w:val="20"/>
              </w:rPr>
            </w:pPr>
            <w:r w:rsidRPr="007C51D6">
              <w:rPr>
                <w:color w:val="000000"/>
                <w:sz w:val="20"/>
                <w:szCs w:val="20"/>
              </w:rPr>
              <w:t>0,00</w:t>
            </w:r>
          </w:p>
        </w:tc>
        <w:tc>
          <w:tcPr>
            <w:tcW w:w="907" w:type="dxa"/>
          </w:tcPr>
          <w:p w:rsidR="001E3FBE" w:rsidRPr="007C51D6" w:rsidRDefault="001E3FBE" w:rsidP="001E3FBE">
            <w:pPr>
              <w:jc w:val="center"/>
              <w:rPr>
                <w:color w:val="000000"/>
                <w:sz w:val="20"/>
                <w:szCs w:val="20"/>
              </w:rPr>
            </w:pPr>
            <w:r w:rsidRPr="007C51D6">
              <w:rPr>
                <w:color w:val="000000"/>
                <w:sz w:val="20"/>
                <w:szCs w:val="20"/>
              </w:rPr>
              <w:t>0,00</w:t>
            </w:r>
          </w:p>
        </w:tc>
        <w:tc>
          <w:tcPr>
            <w:tcW w:w="907" w:type="dxa"/>
          </w:tcPr>
          <w:p w:rsidR="001E3FBE" w:rsidRPr="007C51D6" w:rsidRDefault="001E3FBE" w:rsidP="001E3FBE">
            <w:pPr>
              <w:autoSpaceDE/>
              <w:autoSpaceDN/>
              <w:adjustRightInd/>
              <w:jc w:val="center"/>
              <w:rPr>
                <w:bCs/>
                <w:color w:val="000000"/>
                <w:sz w:val="20"/>
                <w:szCs w:val="20"/>
              </w:rPr>
            </w:pPr>
            <w:r w:rsidRPr="007C51D6">
              <w:rPr>
                <w:bCs/>
                <w:color w:val="000000"/>
                <w:sz w:val="20"/>
                <w:szCs w:val="20"/>
              </w:rPr>
              <w:t>нет</w:t>
            </w:r>
          </w:p>
          <w:p w:rsidR="001E3FBE" w:rsidRPr="007C51D6" w:rsidRDefault="001E3FBE" w:rsidP="001E3FBE">
            <w:pPr>
              <w:autoSpaceDE/>
              <w:autoSpaceDN/>
              <w:adjustRightInd/>
              <w:jc w:val="center"/>
              <w:rPr>
                <w:bCs/>
                <w:color w:val="000000"/>
                <w:sz w:val="20"/>
                <w:szCs w:val="20"/>
              </w:rPr>
            </w:pPr>
            <w:r w:rsidRPr="007C51D6">
              <w:rPr>
                <w:bCs/>
                <w:color w:val="000000"/>
                <w:sz w:val="20"/>
                <w:szCs w:val="20"/>
              </w:rPr>
              <w:t>данных</w:t>
            </w:r>
          </w:p>
        </w:tc>
      </w:tr>
      <w:tr w:rsidR="001E3FBE" w:rsidRPr="007C51D6" w:rsidTr="00B93D5E">
        <w:trPr>
          <w:cantSplit/>
          <w:trHeight w:val="20"/>
          <w:jc w:val="center"/>
        </w:trPr>
        <w:tc>
          <w:tcPr>
            <w:tcW w:w="3539" w:type="dxa"/>
            <w:shd w:val="clear" w:color="auto" w:fill="auto"/>
            <w:noWrap/>
          </w:tcPr>
          <w:p w:rsidR="001E3FBE" w:rsidRPr="007C51D6" w:rsidRDefault="001E3FBE" w:rsidP="001E3FBE">
            <w:pPr>
              <w:autoSpaceDE/>
              <w:autoSpaceDN/>
              <w:adjustRightInd/>
              <w:jc w:val="both"/>
              <w:rPr>
                <w:sz w:val="20"/>
                <w:szCs w:val="20"/>
              </w:rPr>
            </w:pPr>
            <w:r w:rsidRPr="007C51D6">
              <w:rPr>
                <w:color w:val="333333"/>
                <w:sz w:val="20"/>
                <w:szCs w:val="20"/>
              </w:rPr>
              <w:t>доброкачественное новообразование мягких тканей забрюшинного пространства и брюшины</w:t>
            </w:r>
          </w:p>
        </w:tc>
        <w:tc>
          <w:tcPr>
            <w:tcW w:w="1276" w:type="dxa"/>
            <w:shd w:val="clear" w:color="auto" w:fill="auto"/>
            <w:noWrap/>
          </w:tcPr>
          <w:p w:rsidR="001E3FBE" w:rsidRPr="007C51D6" w:rsidRDefault="001E3FBE" w:rsidP="001E3FBE">
            <w:pPr>
              <w:jc w:val="center"/>
            </w:pPr>
            <w:r w:rsidRPr="007C51D6">
              <w:rPr>
                <w:rFonts w:eastAsia="Arial"/>
                <w:sz w:val="20"/>
                <w:szCs w:val="20"/>
              </w:rPr>
              <w:t>D20</w:t>
            </w:r>
          </w:p>
        </w:tc>
        <w:tc>
          <w:tcPr>
            <w:tcW w:w="1303" w:type="dxa"/>
          </w:tcPr>
          <w:p w:rsidR="001E3FBE" w:rsidRPr="007C51D6" w:rsidRDefault="001E3FBE" w:rsidP="001E3FBE">
            <w:pPr>
              <w:autoSpaceDE/>
              <w:autoSpaceDN/>
              <w:adjustRightInd/>
              <w:jc w:val="center"/>
              <w:rPr>
                <w:bCs/>
                <w:color w:val="000000"/>
                <w:sz w:val="20"/>
                <w:szCs w:val="20"/>
              </w:rPr>
            </w:pPr>
            <w:r w:rsidRPr="007C51D6">
              <w:rPr>
                <w:bCs/>
                <w:color w:val="000000"/>
                <w:sz w:val="20"/>
                <w:szCs w:val="20"/>
              </w:rPr>
              <w:t>нет</w:t>
            </w:r>
          </w:p>
          <w:p w:rsidR="001E3FBE" w:rsidRPr="007C51D6" w:rsidRDefault="001E3FBE" w:rsidP="001E3FBE">
            <w:pPr>
              <w:autoSpaceDE/>
              <w:autoSpaceDN/>
              <w:adjustRightInd/>
              <w:jc w:val="center"/>
              <w:rPr>
                <w:bCs/>
                <w:color w:val="000000"/>
                <w:sz w:val="20"/>
                <w:szCs w:val="20"/>
              </w:rPr>
            </w:pPr>
            <w:r w:rsidRPr="007C51D6">
              <w:rPr>
                <w:bCs/>
                <w:color w:val="000000"/>
                <w:sz w:val="20"/>
                <w:szCs w:val="20"/>
              </w:rPr>
              <w:t>данных</w:t>
            </w:r>
          </w:p>
        </w:tc>
        <w:tc>
          <w:tcPr>
            <w:tcW w:w="1134" w:type="dxa"/>
          </w:tcPr>
          <w:p w:rsidR="001E3FBE" w:rsidRPr="007C51D6" w:rsidRDefault="001E3FBE" w:rsidP="001E3FBE">
            <w:pPr>
              <w:autoSpaceDE/>
              <w:autoSpaceDN/>
              <w:adjustRightInd/>
              <w:jc w:val="center"/>
              <w:rPr>
                <w:bCs/>
                <w:color w:val="000000"/>
                <w:sz w:val="20"/>
                <w:szCs w:val="20"/>
              </w:rPr>
            </w:pPr>
            <w:r w:rsidRPr="007C51D6">
              <w:rPr>
                <w:bCs/>
                <w:color w:val="000000"/>
                <w:sz w:val="20"/>
                <w:szCs w:val="20"/>
              </w:rPr>
              <w:t>нет</w:t>
            </w:r>
          </w:p>
          <w:p w:rsidR="001E3FBE" w:rsidRPr="007C51D6" w:rsidRDefault="001E3FBE" w:rsidP="001E3FBE">
            <w:pPr>
              <w:autoSpaceDE/>
              <w:autoSpaceDN/>
              <w:adjustRightInd/>
              <w:jc w:val="center"/>
              <w:rPr>
                <w:bCs/>
                <w:color w:val="000000"/>
                <w:sz w:val="20"/>
                <w:szCs w:val="20"/>
              </w:rPr>
            </w:pPr>
            <w:r w:rsidRPr="007C51D6">
              <w:rPr>
                <w:bCs/>
                <w:color w:val="000000"/>
                <w:sz w:val="20"/>
                <w:szCs w:val="20"/>
              </w:rPr>
              <w:t>данных</w:t>
            </w:r>
          </w:p>
        </w:tc>
        <w:tc>
          <w:tcPr>
            <w:tcW w:w="1361" w:type="dxa"/>
          </w:tcPr>
          <w:p w:rsidR="001E3FBE" w:rsidRPr="007C51D6" w:rsidRDefault="001E3FBE" w:rsidP="001E3FBE">
            <w:pPr>
              <w:autoSpaceDE/>
              <w:autoSpaceDN/>
              <w:adjustRightInd/>
              <w:jc w:val="center"/>
              <w:rPr>
                <w:bCs/>
                <w:color w:val="000000"/>
                <w:sz w:val="20"/>
                <w:szCs w:val="20"/>
              </w:rPr>
            </w:pPr>
            <w:r w:rsidRPr="007C51D6">
              <w:rPr>
                <w:bCs/>
                <w:color w:val="000000"/>
                <w:sz w:val="20"/>
                <w:szCs w:val="20"/>
              </w:rPr>
              <w:t>нет</w:t>
            </w:r>
          </w:p>
          <w:p w:rsidR="001E3FBE" w:rsidRPr="007C51D6" w:rsidRDefault="001E3FBE" w:rsidP="001E3FBE">
            <w:pPr>
              <w:autoSpaceDE/>
              <w:autoSpaceDN/>
              <w:adjustRightInd/>
              <w:jc w:val="center"/>
              <w:rPr>
                <w:bCs/>
                <w:color w:val="000000"/>
                <w:sz w:val="20"/>
                <w:szCs w:val="20"/>
              </w:rPr>
            </w:pPr>
            <w:r w:rsidRPr="007C51D6">
              <w:rPr>
                <w:bCs/>
                <w:color w:val="000000"/>
                <w:sz w:val="20"/>
                <w:szCs w:val="20"/>
              </w:rPr>
              <w:t>данных</w:t>
            </w:r>
          </w:p>
        </w:tc>
        <w:tc>
          <w:tcPr>
            <w:tcW w:w="992" w:type="dxa"/>
          </w:tcPr>
          <w:p w:rsidR="001E3FBE" w:rsidRPr="007C51D6" w:rsidRDefault="001E3FBE" w:rsidP="001E3FBE">
            <w:pPr>
              <w:jc w:val="center"/>
              <w:rPr>
                <w:color w:val="000000"/>
                <w:sz w:val="20"/>
                <w:szCs w:val="20"/>
              </w:rPr>
            </w:pPr>
            <w:r w:rsidRPr="007C51D6">
              <w:rPr>
                <w:color w:val="000000"/>
                <w:sz w:val="20"/>
                <w:szCs w:val="20"/>
              </w:rPr>
              <w:t>0,00</w:t>
            </w:r>
          </w:p>
        </w:tc>
        <w:tc>
          <w:tcPr>
            <w:tcW w:w="851" w:type="dxa"/>
          </w:tcPr>
          <w:p w:rsidR="001E3FBE" w:rsidRPr="007C51D6" w:rsidRDefault="001E3FBE" w:rsidP="001E3FBE">
            <w:pPr>
              <w:jc w:val="center"/>
              <w:rPr>
                <w:color w:val="000000"/>
                <w:sz w:val="20"/>
                <w:szCs w:val="20"/>
              </w:rPr>
            </w:pPr>
            <w:r w:rsidRPr="007C51D6">
              <w:rPr>
                <w:color w:val="000000"/>
                <w:sz w:val="20"/>
                <w:szCs w:val="20"/>
              </w:rPr>
              <w:t>0,00</w:t>
            </w:r>
          </w:p>
        </w:tc>
        <w:tc>
          <w:tcPr>
            <w:tcW w:w="850" w:type="dxa"/>
          </w:tcPr>
          <w:p w:rsidR="001E3FBE" w:rsidRPr="007C51D6" w:rsidRDefault="001E3FBE" w:rsidP="001E3FBE">
            <w:pPr>
              <w:jc w:val="center"/>
              <w:rPr>
                <w:color w:val="000000"/>
                <w:sz w:val="20"/>
                <w:szCs w:val="20"/>
              </w:rPr>
            </w:pPr>
            <w:r w:rsidRPr="007C51D6">
              <w:rPr>
                <w:color w:val="000000"/>
                <w:sz w:val="20"/>
                <w:szCs w:val="20"/>
              </w:rPr>
              <w:t>0,00</w:t>
            </w:r>
          </w:p>
        </w:tc>
        <w:tc>
          <w:tcPr>
            <w:tcW w:w="851" w:type="dxa"/>
          </w:tcPr>
          <w:p w:rsidR="001E3FBE" w:rsidRPr="007C51D6" w:rsidRDefault="001E3FBE" w:rsidP="001E3FBE">
            <w:pPr>
              <w:jc w:val="center"/>
              <w:rPr>
                <w:color w:val="000000"/>
                <w:sz w:val="20"/>
                <w:szCs w:val="20"/>
              </w:rPr>
            </w:pPr>
            <w:r w:rsidRPr="007C51D6">
              <w:rPr>
                <w:color w:val="000000"/>
                <w:sz w:val="20"/>
                <w:szCs w:val="20"/>
              </w:rPr>
              <w:t>0,00</w:t>
            </w:r>
          </w:p>
        </w:tc>
        <w:tc>
          <w:tcPr>
            <w:tcW w:w="829" w:type="dxa"/>
          </w:tcPr>
          <w:p w:rsidR="001E3FBE" w:rsidRPr="007C51D6" w:rsidRDefault="001E3FBE" w:rsidP="001E3FBE">
            <w:pPr>
              <w:jc w:val="center"/>
              <w:rPr>
                <w:color w:val="000000"/>
                <w:sz w:val="20"/>
                <w:szCs w:val="20"/>
              </w:rPr>
            </w:pPr>
            <w:r w:rsidRPr="007C51D6">
              <w:rPr>
                <w:color w:val="000000"/>
                <w:sz w:val="20"/>
                <w:szCs w:val="20"/>
              </w:rPr>
              <w:t>0,00</w:t>
            </w:r>
          </w:p>
        </w:tc>
        <w:tc>
          <w:tcPr>
            <w:tcW w:w="907" w:type="dxa"/>
          </w:tcPr>
          <w:p w:rsidR="001E3FBE" w:rsidRPr="007C51D6" w:rsidRDefault="001E3FBE" w:rsidP="001E3FBE">
            <w:pPr>
              <w:jc w:val="center"/>
              <w:rPr>
                <w:color w:val="000000"/>
                <w:sz w:val="20"/>
                <w:szCs w:val="20"/>
              </w:rPr>
            </w:pPr>
            <w:r w:rsidRPr="007C51D6">
              <w:rPr>
                <w:color w:val="000000"/>
                <w:sz w:val="20"/>
                <w:szCs w:val="20"/>
              </w:rPr>
              <w:t>0,00</w:t>
            </w:r>
          </w:p>
        </w:tc>
        <w:tc>
          <w:tcPr>
            <w:tcW w:w="907" w:type="dxa"/>
          </w:tcPr>
          <w:p w:rsidR="001E3FBE" w:rsidRPr="007C51D6" w:rsidRDefault="001E3FBE" w:rsidP="001E3FBE">
            <w:pPr>
              <w:autoSpaceDE/>
              <w:autoSpaceDN/>
              <w:adjustRightInd/>
              <w:jc w:val="center"/>
              <w:rPr>
                <w:bCs/>
                <w:color w:val="000000"/>
                <w:sz w:val="20"/>
                <w:szCs w:val="20"/>
              </w:rPr>
            </w:pPr>
            <w:r w:rsidRPr="007C51D6">
              <w:rPr>
                <w:bCs/>
                <w:color w:val="000000"/>
                <w:sz w:val="20"/>
                <w:szCs w:val="20"/>
              </w:rPr>
              <w:t>нет</w:t>
            </w:r>
          </w:p>
          <w:p w:rsidR="001E3FBE" w:rsidRPr="007C51D6" w:rsidRDefault="001E3FBE" w:rsidP="001E3FBE">
            <w:pPr>
              <w:autoSpaceDE/>
              <w:autoSpaceDN/>
              <w:adjustRightInd/>
              <w:jc w:val="center"/>
              <w:rPr>
                <w:bCs/>
                <w:color w:val="000000"/>
                <w:sz w:val="20"/>
                <w:szCs w:val="20"/>
              </w:rPr>
            </w:pPr>
            <w:r w:rsidRPr="007C51D6">
              <w:rPr>
                <w:bCs/>
                <w:color w:val="000000"/>
                <w:sz w:val="20"/>
                <w:szCs w:val="20"/>
              </w:rPr>
              <w:t>данных</w:t>
            </w:r>
          </w:p>
        </w:tc>
      </w:tr>
      <w:tr w:rsidR="001E3FBE" w:rsidRPr="007C51D6" w:rsidTr="00B93D5E">
        <w:trPr>
          <w:cantSplit/>
          <w:trHeight w:val="20"/>
          <w:jc w:val="center"/>
        </w:trPr>
        <w:tc>
          <w:tcPr>
            <w:tcW w:w="3539" w:type="dxa"/>
            <w:shd w:val="clear" w:color="auto" w:fill="auto"/>
            <w:noWrap/>
          </w:tcPr>
          <w:p w:rsidR="001E3FBE" w:rsidRPr="007C51D6" w:rsidRDefault="001E3FBE" w:rsidP="001E3FBE">
            <w:pPr>
              <w:autoSpaceDE/>
              <w:autoSpaceDN/>
              <w:adjustRightInd/>
              <w:jc w:val="both"/>
              <w:rPr>
                <w:sz w:val="20"/>
                <w:szCs w:val="20"/>
              </w:rPr>
            </w:pPr>
            <w:r w:rsidRPr="007C51D6">
              <w:rPr>
                <w:color w:val="333333"/>
                <w:sz w:val="20"/>
                <w:szCs w:val="20"/>
              </w:rPr>
              <w:t>другие доброкачественные новообразования соединительной и других мягких тканей</w:t>
            </w:r>
          </w:p>
        </w:tc>
        <w:tc>
          <w:tcPr>
            <w:tcW w:w="1276" w:type="dxa"/>
            <w:shd w:val="clear" w:color="auto" w:fill="auto"/>
            <w:noWrap/>
          </w:tcPr>
          <w:p w:rsidR="001E3FBE" w:rsidRPr="007C51D6" w:rsidRDefault="001E3FBE" w:rsidP="001E3FBE">
            <w:pPr>
              <w:jc w:val="center"/>
            </w:pPr>
            <w:r w:rsidRPr="007C51D6">
              <w:rPr>
                <w:rFonts w:eastAsia="Arial"/>
                <w:sz w:val="20"/>
                <w:szCs w:val="20"/>
              </w:rPr>
              <w:t>D21</w:t>
            </w:r>
          </w:p>
        </w:tc>
        <w:tc>
          <w:tcPr>
            <w:tcW w:w="1303" w:type="dxa"/>
          </w:tcPr>
          <w:p w:rsidR="001E3FBE" w:rsidRPr="007C51D6" w:rsidRDefault="001E3FBE" w:rsidP="001E3FBE">
            <w:pPr>
              <w:autoSpaceDE/>
              <w:autoSpaceDN/>
              <w:adjustRightInd/>
              <w:jc w:val="center"/>
              <w:rPr>
                <w:bCs/>
                <w:color w:val="000000"/>
                <w:sz w:val="20"/>
                <w:szCs w:val="20"/>
              </w:rPr>
            </w:pPr>
            <w:r w:rsidRPr="007C51D6">
              <w:rPr>
                <w:bCs/>
                <w:color w:val="000000"/>
                <w:sz w:val="20"/>
                <w:szCs w:val="20"/>
              </w:rPr>
              <w:t>нет</w:t>
            </w:r>
          </w:p>
          <w:p w:rsidR="001E3FBE" w:rsidRPr="007C51D6" w:rsidRDefault="001E3FBE" w:rsidP="001E3FBE">
            <w:pPr>
              <w:autoSpaceDE/>
              <w:autoSpaceDN/>
              <w:adjustRightInd/>
              <w:jc w:val="center"/>
              <w:rPr>
                <w:bCs/>
                <w:color w:val="000000"/>
                <w:sz w:val="20"/>
                <w:szCs w:val="20"/>
              </w:rPr>
            </w:pPr>
            <w:r w:rsidRPr="007C51D6">
              <w:rPr>
                <w:bCs/>
                <w:color w:val="000000"/>
                <w:sz w:val="20"/>
                <w:szCs w:val="20"/>
              </w:rPr>
              <w:t>данных</w:t>
            </w:r>
          </w:p>
        </w:tc>
        <w:tc>
          <w:tcPr>
            <w:tcW w:w="1134" w:type="dxa"/>
          </w:tcPr>
          <w:p w:rsidR="001E3FBE" w:rsidRPr="007C51D6" w:rsidRDefault="001E3FBE" w:rsidP="001E3FBE">
            <w:pPr>
              <w:autoSpaceDE/>
              <w:autoSpaceDN/>
              <w:adjustRightInd/>
              <w:jc w:val="center"/>
              <w:rPr>
                <w:bCs/>
                <w:color w:val="000000"/>
                <w:sz w:val="20"/>
                <w:szCs w:val="20"/>
              </w:rPr>
            </w:pPr>
            <w:r w:rsidRPr="007C51D6">
              <w:rPr>
                <w:bCs/>
                <w:color w:val="000000"/>
                <w:sz w:val="20"/>
                <w:szCs w:val="20"/>
              </w:rPr>
              <w:t>нет</w:t>
            </w:r>
          </w:p>
          <w:p w:rsidR="001E3FBE" w:rsidRPr="007C51D6" w:rsidRDefault="001E3FBE" w:rsidP="001E3FBE">
            <w:pPr>
              <w:autoSpaceDE/>
              <w:autoSpaceDN/>
              <w:adjustRightInd/>
              <w:jc w:val="center"/>
              <w:rPr>
                <w:bCs/>
                <w:color w:val="000000"/>
                <w:sz w:val="20"/>
                <w:szCs w:val="20"/>
              </w:rPr>
            </w:pPr>
            <w:r w:rsidRPr="007C51D6">
              <w:rPr>
                <w:bCs/>
                <w:color w:val="000000"/>
                <w:sz w:val="20"/>
                <w:szCs w:val="20"/>
              </w:rPr>
              <w:t>данных</w:t>
            </w:r>
          </w:p>
        </w:tc>
        <w:tc>
          <w:tcPr>
            <w:tcW w:w="1361" w:type="dxa"/>
          </w:tcPr>
          <w:p w:rsidR="001E3FBE" w:rsidRPr="007C51D6" w:rsidRDefault="001E3FBE" w:rsidP="001E3FBE">
            <w:pPr>
              <w:autoSpaceDE/>
              <w:autoSpaceDN/>
              <w:adjustRightInd/>
              <w:jc w:val="center"/>
              <w:rPr>
                <w:bCs/>
                <w:color w:val="000000"/>
                <w:sz w:val="20"/>
                <w:szCs w:val="20"/>
              </w:rPr>
            </w:pPr>
            <w:r w:rsidRPr="007C51D6">
              <w:rPr>
                <w:bCs/>
                <w:color w:val="000000"/>
                <w:sz w:val="20"/>
                <w:szCs w:val="20"/>
              </w:rPr>
              <w:t>нет</w:t>
            </w:r>
          </w:p>
          <w:p w:rsidR="001E3FBE" w:rsidRPr="007C51D6" w:rsidRDefault="001E3FBE" w:rsidP="001E3FBE">
            <w:pPr>
              <w:autoSpaceDE/>
              <w:autoSpaceDN/>
              <w:adjustRightInd/>
              <w:jc w:val="center"/>
              <w:rPr>
                <w:bCs/>
                <w:color w:val="000000"/>
                <w:sz w:val="20"/>
                <w:szCs w:val="20"/>
              </w:rPr>
            </w:pPr>
            <w:r w:rsidRPr="007C51D6">
              <w:rPr>
                <w:bCs/>
                <w:color w:val="000000"/>
                <w:sz w:val="20"/>
                <w:szCs w:val="20"/>
              </w:rPr>
              <w:t>данных</w:t>
            </w:r>
          </w:p>
        </w:tc>
        <w:tc>
          <w:tcPr>
            <w:tcW w:w="992" w:type="dxa"/>
          </w:tcPr>
          <w:p w:rsidR="001E3FBE" w:rsidRPr="007C51D6" w:rsidRDefault="001E3FBE" w:rsidP="001E3FBE">
            <w:pPr>
              <w:jc w:val="center"/>
              <w:rPr>
                <w:color w:val="000000"/>
                <w:sz w:val="20"/>
                <w:szCs w:val="20"/>
              </w:rPr>
            </w:pPr>
            <w:r w:rsidRPr="007C51D6">
              <w:rPr>
                <w:color w:val="000000"/>
                <w:sz w:val="20"/>
                <w:szCs w:val="20"/>
              </w:rPr>
              <w:t>0,00</w:t>
            </w:r>
          </w:p>
        </w:tc>
        <w:tc>
          <w:tcPr>
            <w:tcW w:w="851" w:type="dxa"/>
          </w:tcPr>
          <w:p w:rsidR="001E3FBE" w:rsidRPr="007C51D6" w:rsidRDefault="001E3FBE" w:rsidP="001E3FBE">
            <w:pPr>
              <w:jc w:val="center"/>
              <w:rPr>
                <w:color w:val="000000"/>
                <w:sz w:val="20"/>
                <w:szCs w:val="20"/>
              </w:rPr>
            </w:pPr>
            <w:r w:rsidRPr="007C51D6">
              <w:rPr>
                <w:color w:val="000000"/>
                <w:sz w:val="20"/>
                <w:szCs w:val="20"/>
              </w:rPr>
              <w:t>0,00</w:t>
            </w:r>
          </w:p>
        </w:tc>
        <w:tc>
          <w:tcPr>
            <w:tcW w:w="850" w:type="dxa"/>
          </w:tcPr>
          <w:p w:rsidR="001E3FBE" w:rsidRPr="007C51D6" w:rsidRDefault="001E3FBE" w:rsidP="001E3FBE">
            <w:pPr>
              <w:jc w:val="center"/>
              <w:rPr>
                <w:color w:val="000000"/>
                <w:sz w:val="20"/>
                <w:szCs w:val="20"/>
              </w:rPr>
            </w:pPr>
            <w:r w:rsidRPr="007C51D6">
              <w:rPr>
                <w:color w:val="000000"/>
                <w:sz w:val="20"/>
                <w:szCs w:val="20"/>
              </w:rPr>
              <w:t>0,00</w:t>
            </w:r>
          </w:p>
        </w:tc>
        <w:tc>
          <w:tcPr>
            <w:tcW w:w="851" w:type="dxa"/>
          </w:tcPr>
          <w:p w:rsidR="001E3FBE" w:rsidRPr="007C51D6" w:rsidRDefault="001E3FBE" w:rsidP="001E3FBE">
            <w:pPr>
              <w:jc w:val="center"/>
              <w:rPr>
                <w:color w:val="000000"/>
                <w:sz w:val="20"/>
                <w:szCs w:val="20"/>
              </w:rPr>
            </w:pPr>
            <w:r w:rsidRPr="007C51D6">
              <w:rPr>
                <w:color w:val="000000"/>
                <w:sz w:val="20"/>
                <w:szCs w:val="20"/>
              </w:rPr>
              <w:t>0,03</w:t>
            </w:r>
          </w:p>
        </w:tc>
        <w:tc>
          <w:tcPr>
            <w:tcW w:w="829" w:type="dxa"/>
          </w:tcPr>
          <w:p w:rsidR="001E3FBE" w:rsidRPr="007C51D6" w:rsidRDefault="001E3FBE" w:rsidP="001E3FBE">
            <w:pPr>
              <w:jc w:val="center"/>
              <w:rPr>
                <w:color w:val="000000"/>
                <w:sz w:val="20"/>
                <w:szCs w:val="20"/>
              </w:rPr>
            </w:pPr>
            <w:r w:rsidRPr="007C51D6">
              <w:rPr>
                <w:color w:val="000000"/>
                <w:sz w:val="20"/>
                <w:szCs w:val="20"/>
              </w:rPr>
              <w:t>0,00</w:t>
            </w:r>
          </w:p>
        </w:tc>
        <w:tc>
          <w:tcPr>
            <w:tcW w:w="907" w:type="dxa"/>
          </w:tcPr>
          <w:p w:rsidR="001E3FBE" w:rsidRPr="007C51D6" w:rsidRDefault="001E3FBE" w:rsidP="001E3FBE">
            <w:pPr>
              <w:jc w:val="center"/>
              <w:rPr>
                <w:color w:val="000000"/>
                <w:sz w:val="20"/>
                <w:szCs w:val="20"/>
              </w:rPr>
            </w:pPr>
            <w:r w:rsidRPr="007C51D6">
              <w:rPr>
                <w:color w:val="000000"/>
                <w:sz w:val="20"/>
                <w:szCs w:val="20"/>
              </w:rPr>
              <w:t>0,00</w:t>
            </w:r>
          </w:p>
        </w:tc>
        <w:tc>
          <w:tcPr>
            <w:tcW w:w="907" w:type="dxa"/>
          </w:tcPr>
          <w:p w:rsidR="001E3FBE" w:rsidRPr="007C51D6" w:rsidRDefault="001E3FBE" w:rsidP="001E3FBE">
            <w:pPr>
              <w:autoSpaceDE/>
              <w:autoSpaceDN/>
              <w:adjustRightInd/>
              <w:jc w:val="center"/>
              <w:rPr>
                <w:bCs/>
                <w:color w:val="000000"/>
                <w:sz w:val="20"/>
                <w:szCs w:val="20"/>
              </w:rPr>
            </w:pPr>
            <w:r w:rsidRPr="007C51D6">
              <w:rPr>
                <w:bCs/>
                <w:color w:val="000000"/>
                <w:sz w:val="20"/>
                <w:szCs w:val="20"/>
              </w:rPr>
              <w:t>нет</w:t>
            </w:r>
          </w:p>
          <w:p w:rsidR="001E3FBE" w:rsidRPr="007C51D6" w:rsidRDefault="001E3FBE" w:rsidP="001E3FBE">
            <w:pPr>
              <w:autoSpaceDE/>
              <w:autoSpaceDN/>
              <w:adjustRightInd/>
              <w:jc w:val="center"/>
              <w:rPr>
                <w:bCs/>
                <w:color w:val="000000"/>
                <w:sz w:val="20"/>
                <w:szCs w:val="20"/>
              </w:rPr>
            </w:pPr>
            <w:r w:rsidRPr="007C51D6">
              <w:rPr>
                <w:bCs/>
                <w:color w:val="000000"/>
                <w:sz w:val="20"/>
                <w:szCs w:val="20"/>
              </w:rPr>
              <w:t>данных</w:t>
            </w:r>
          </w:p>
        </w:tc>
      </w:tr>
      <w:tr w:rsidR="001E3FBE" w:rsidRPr="007C51D6" w:rsidTr="00B93D5E">
        <w:trPr>
          <w:cantSplit/>
          <w:trHeight w:val="20"/>
          <w:jc w:val="center"/>
        </w:trPr>
        <w:tc>
          <w:tcPr>
            <w:tcW w:w="3539" w:type="dxa"/>
            <w:shd w:val="clear" w:color="auto" w:fill="auto"/>
            <w:noWrap/>
          </w:tcPr>
          <w:p w:rsidR="001E3FBE" w:rsidRPr="007C51D6" w:rsidRDefault="001E3FBE" w:rsidP="001E3FBE">
            <w:pPr>
              <w:autoSpaceDE/>
              <w:autoSpaceDN/>
              <w:adjustRightInd/>
              <w:jc w:val="both"/>
              <w:rPr>
                <w:sz w:val="20"/>
                <w:szCs w:val="20"/>
              </w:rPr>
            </w:pPr>
            <w:r w:rsidRPr="007C51D6">
              <w:rPr>
                <w:sz w:val="20"/>
                <w:szCs w:val="20"/>
              </w:rPr>
              <w:t>м</w:t>
            </w:r>
            <w:hyperlink r:id="rId18" w:history="1">
              <w:r w:rsidRPr="007C51D6">
                <w:rPr>
                  <w:rStyle w:val="a9"/>
                  <w:rFonts w:ascii="Times New Roman" w:hAnsi="Times New Roman"/>
                  <w:color w:val="auto"/>
                  <w:sz w:val="20"/>
                  <w:szCs w:val="20"/>
                  <w:u w:val="none"/>
                </w:rPr>
                <w:t>еланоформный невус</w:t>
              </w:r>
            </w:hyperlink>
          </w:p>
        </w:tc>
        <w:tc>
          <w:tcPr>
            <w:tcW w:w="1276" w:type="dxa"/>
            <w:shd w:val="clear" w:color="auto" w:fill="auto"/>
            <w:noWrap/>
          </w:tcPr>
          <w:p w:rsidR="001E3FBE" w:rsidRPr="007C51D6" w:rsidRDefault="001E3FBE" w:rsidP="001E3FBE">
            <w:pPr>
              <w:jc w:val="center"/>
            </w:pPr>
            <w:r w:rsidRPr="007C51D6">
              <w:rPr>
                <w:rFonts w:eastAsia="Arial"/>
                <w:sz w:val="20"/>
                <w:szCs w:val="20"/>
              </w:rPr>
              <w:t>D22</w:t>
            </w:r>
          </w:p>
        </w:tc>
        <w:tc>
          <w:tcPr>
            <w:tcW w:w="1303" w:type="dxa"/>
          </w:tcPr>
          <w:p w:rsidR="001E3FBE" w:rsidRPr="007C51D6" w:rsidRDefault="001E3FBE" w:rsidP="001E3FBE">
            <w:pPr>
              <w:autoSpaceDE/>
              <w:autoSpaceDN/>
              <w:adjustRightInd/>
              <w:jc w:val="center"/>
              <w:rPr>
                <w:bCs/>
                <w:color w:val="000000"/>
                <w:sz w:val="20"/>
                <w:szCs w:val="20"/>
              </w:rPr>
            </w:pPr>
            <w:r w:rsidRPr="007C51D6">
              <w:rPr>
                <w:bCs/>
                <w:color w:val="000000"/>
                <w:sz w:val="20"/>
                <w:szCs w:val="20"/>
              </w:rPr>
              <w:t>нет</w:t>
            </w:r>
          </w:p>
          <w:p w:rsidR="001E3FBE" w:rsidRPr="007C51D6" w:rsidRDefault="001E3FBE" w:rsidP="001E3FBE">
            <w:pPr>
              <w:autoSpaceDE/>
              <w:autoSpaceDN/>
              <w:adjustRightInd/>
              <w:jc w:val="center"/>
              <w:rPr>
                <w:bCs/>
                <w:color w:val="000000"/>
                <w:sz w:val="20"/>
                <w:szCs w:val="20"/>
              </w:rPr>
            </w:pPr>
            <w:r w:rsidRPr="007C51D6">
              <w:rPr>
                <w:bCs/>
                <w:color w:val="000000"/>
                <w:sz w:val="20"/>
                <w:szCs w:val="20"/>
              </w:rPr>
              <w:t>данных</w:t>
            </w:r>
          </w:p>
        </w:tc>
        <w:tc>
          <w:tcPr>
            <w:tcW w:w="1134" w:type="dxa"/>
          </w:tcPr>
          <w:p w:rsidR="001E3FBE" w:rsidRPr="007C51D6" w:rsidRDefault="001E3FBE" w:rsidP="001E3FBE">
            <w:pPr>
              <w:autoSpaceDE/>
              <w:autoSpaceDN/>
              <w:adjustRightInd/>
              <w:jc w:val="center"/>
              <w:rPr>
                <w:bCs/>
                <w:color w:val="000000"/>
                <w:sz w:val="20"/>
                <w:szCs w:val="20"/>
              </w:rPr>
            </w:pPr>
            <w:r w:rsidRPr="007C51D6">
              <w:rPr>
                <w:bCs/>
                <w:color w:val="000000"/>
                <w:sz w:val="20"/>
                <w:szCs w:val="20"/>
              </w:rPr>
              <w:t>нет</w:t>
            </w:r>
          </w:p>
          <w:p w:rsidR="001E3FBE" w:rsidRPr="007C51D6" w:rsidRDefault="001E3FBE" w:rsidP="001E3FBE">
            <w:pPr>
              <w:autoSpaceDE/>
              <w:autoSpaceDN/>
              <w:adjustRightInd/>
              <w:jc w:val="center"/>
              <w:rPr>
                <w:bCs/>
                <w:color w:val="000000"/>
                <w:sz w:val="20"/>
                <w:szCs w:val="20"/>
              </w:rPr>
            </w:pPr>
            <w:r w:rsidRPr="007C51D6">
              <w:rPr>
                <w:bCs/>
                <w:color w:val="000000"/>
                <w:sz w:val="20"/>
                <w:szCs w:val="20"/>
              </w:rPr>
              <w:t>данных</w:t>
            </w:r>
          </w:p>
        </w:tc>
        <w:tc>
          <w:tcPr>
            <w:tcW w:w="1361" w:type="dxa"/>
          </w:tcPr>
          <w:p w:rsidR="001E3FBE" w:rsidRPr="007C51D6" w:rsidRDefault="001E3FBE" w:rsidP="001E3FBE">
            <w:pPr>
              <w:autoSpaceDE/>
              <w:autoSpaceDN/>
              <w:adjustRightInd/>
              <w:jc w:val="center"/>
              <w:rPr>
                <w:bCs/>
                <w:color w:val="000000"/>
                <w:sz w:val="20"/>
                <w:szCs w:val="20"/>
              </w:rPr>
            </w:pPr>
            <w:r w:rsidRPr="007C51D6">
              <w:rPr>
                <w:bCs/>
                <w:color w:val="000000"/>
                <w:sz w:val="20"/>
                <w:szCs w:val="20"/>
              </w:rPr>
              <w:t>нет</w:t>
            </w:r>
          </w:p>
          <w:p w:rsidR="001E3FBE" w:rsidRPr="007C51D6" w:rsidRDefault="001E3FBE" w:rsidP="001E3FBE">
            <w:pPr>
              <w:autoSpaceDE/>
              <w:autoSpaceDN/>
              <w:adjustRightInd/>
              <w:jc w:val="center"/>
              <w:rPr>
                <w:bCs/>
                <w:color w:val="000000"/>
                <w:sz w:val="20"/>
                <w:szCs w:val="20"/>
              </w:rPr>
            </w:pPr>
            <w:r w:rsidRPr="007C51D6">
              <w:rPr>
                <w:bCs/>
                <w:color w:val="000000"/>
                <w:sz w:val="20"/>
                <w:szCs w:val="20"/>
              </w:rPr>
              <w:t>данных</w:t>
            </w:r>
          </w:p>
        </w:tc>
        <w:tc>
          <w:tcPr>
            <w:tcW w:w="992" w:type="dxa"/>
          </w:tcPr>
          <w:p w:rsidR="001E3FBE" w:rsidRPr="007C51D6" w:rsidRDefault="001E3FBE" w:rsidP="001E3FBE">
            <w:pPr>
              <w:jc w:val="center"/>
              <w:rPr>
                <w:color w:val="000000"/>
                <w:sz w:val="20"/>
                <w:szCs w:val="20"/>
              </w:rPr>
            </w:pPr>
            <w:r w:rsidRPr="007C51D6">
              <w:rPr>
                <w:color w:val="000000"/>
                <w:sz w:val="20"/>
                <w:szCs w:val="20"/>
              </w:rPr>
              <w:t>0,00</w:t>
            </w:r>
          </w:p>
        </w:tc>
        <w:tc>
          <w:tcPr>
            <w:tcW w:w="851" w:type="dxa"/>
          </w:tcPr>
          <w:p w:rsidR="001E3FBE" w:rsidRPr="007C51D6" w:rsidRDefault="001E3FBE" w:rsidP="001E3FBE">
            <w:pPr>
              <w:jc w:val="center"/>
              <w:rPr>
                <w:color w:val="000000"/>
                <w:sz w:val="20"/>
                <w:szCs w:val="20"/>
              </w:rPr>
            </w:pPr>
            <w:r w:rsidRPr="007C51D6">
              <w:rPr>
                <w:color w:val="000000"/>
                <w:sz w:val="20"/>
                <w:szCs w:val="20"/>
              </w:rPr>
              <w:t>0,00</w:t>
            </w:r>
          </w:p>
        </w:tc>
        <w:tc>
          <w:tcPr>
            <w:tcW w:w="850" w:type="dxa"/>
          </w:tcPr>
          <w:p w:rsidR="001E3FBE" w:rsidRPr="007C51D6" w:rsidRDefault="001E3FBE" w:rsidP="001E3FBE">
            <w:pPr>
              <w:jc w:val="center"/>
              <w:rPr>
                <w:color w:val="000000"/>
                <w:sz w:val="20"/>
                <w:szCs w:val="20"/>
              </w:rPr>
            </w:pPr>
            <w:r w:rsidRPr="007C51D6">
              <w:rPr>
                <w:color w:val="000000"/>
                <w:sz w:val="20"/>
                <w:szCs w:val="20"/>
              </w:rPr>
              <w:t>0,00</w:t>
            </w:r>
          </w:p>
        </w:tc>
        <w:tc>
          <w:tcPr>
            <w:tcW w:w="851" w:type="dxa"/>
          </w:tcPr>
          <w:p w:rsidR="001E3FBE" w:rsidRPr="007C51D6" w:rsidRDefault="001E3FBE" w:rsidP="001E3FBE">
            <w:pPr>
              <w:jc w:val="center"/>
              <w:rPr>
                <w:color w:val="000000"/>
                <w:sz w:val="20"/>
                <w:szCs w:val="20"/>
              </w:rPr>
            </w:pPr>
            <w:r w:rsidRPr="007C51D6">
              <w:rPr>
                <w:color w:val="000000"/>
                <w:sz w:val="20"/>
                <w:szCs w:val="20"/>
              </w:rPr>
              <w:t>0,00</w:t>
            </w:r>
          </w:p>
        </w:tc>
        <w:tc>
          <w:tcPr>
            <w:tcW w:w="829" w:type="dxa"/>
          </w:tcPr>
          <w:p w:rsidR="001E3FBE" w:rsidRPr="007C51D6" w:rsidRDefault="001E3FBE" w:rsidP="001E3FBE">
            <w:pPr>
              <w:jc w:val="center"/>
              <w:rPr>
                <w:color w:val="000000"/>
                <w:sz w:val="20"/>
                <w:szCs w:val="20"/>
              </w:rPr>
            </w:pPr>
            <w:r w:rsidRPr="007C51D6">
              <w:rPr>
                <w:color w:val="000000"/>
                <w:sz w:val="20"/>
                <w:szCs w:val="20"/>
              </w:rPr>
              <w:t>0,00</w:t>
            </w:r>
          </w:p>
        </w:tc>
        <w:tc>
          <w:tcPr>
            <w:tcW w:w="907" w:type="dxa"/>
          </w:tcPr>
          <w:p w:rsidR="001E3FBE" w:rsidRPr="007C51D6" w:rsidRDefault="001E3FBE" w:rsidP="001E3FBE">
            <w:pPr>
              <w:jc w:val="center"/>
              <w:rPr>
                <w:color w:val="000000"/>
                <w:sz w:val="20"/>
                <w:szCs w:val="20"/>
              </w:rPr>
            </w:pPr>
            <w:r w:rsidRPr="007C51D6">
              <w:rPr>
                <w:color w:val="000000"/>
                <w:sz w:val="20"/>
                <w:szCs w:val="20"/>
              </w:rPr>
              <w:t>0,00</w:t>
            </w:r>
          </w:p>
        </w:tc>
        <w:tc>
          <w:tcPr>
            <w:tcW w:w="907" w:type="dxa"/>
          </w:tcPr>
          <w:p w:rsidR="001E3FBE" w:rsidRPr="007C51D6" w:rsidRDefault="001E3FBE" w:rsidP="001E3FBE">
            <w:pPr>
              <w:autoSpaceDE/>
              <w:autoSpaceDN/>
              <w:adjustRightInd/>
              <w:jc w:val="center"/>
              <w:rPr>
                <w:bCs/>
                <w:color w:val="000000"/>
                <w:sz w:val="20"/>
                <w:szCs w:val="20"/>
              </w:rPr>
            </w:pPr>
            <w:r w:rsidRPr="007C51D6">
              <w:rPr>
                <w:bCs/>
                <w:color w:val="000000"/>
                <w:sz w:val="20"/>
                <w:szCs w:val="20"/>
              </w:rPr>
              <w:t>нет</w:t>
            </w:r>
          </w:p>
          <w:p w:rsidR="001E3FBE" w:rsidRPr="007C51D6" w:rsidRDefault="001E3FBE" w:rsidP="001E3FBE">
            <w:pPr>
              <w:autoSpaceDE/>
              <w:autoSpaceDN/>
              <w:adjustRightInd/>
              <w:jc w:val="center"/>
              <w:rPr>
                <w:bCs/>
                <w:color w:val="000000"/>
                <w:sz w:val="20"/>
                <w:szCs w:val="20"/>
              </w:rPr>
            </w:pPr>
            <w:r w:rsidRPr="007C51D6">
              <w:rPr>
                <w:bCs/>
                <w:color w:val="000000"/>
                <w:sz w:val="20"/>
                <w:szCs w:val="20"/>
              </w:rPr>
              <w:t>данных</w:t>
            </w:r>
          </w:p>
        </w:tc>
      </w:tr>
      <w:tr w:rsidR="001E3FBE" w:rsidRPr="007C51D6" w:rsidTr="00B93D5E">
        <w:trPr>
          <w:cantSplit/>
          <w:trHeight w:val="20"/>
          <w:jc w:val="center"/>
        </w:trPr>
        <w:tc>
          <w:tcPr>
            <w:tcW w:w="3539" w:type="dxa"/>
            <w:shd w:val="clear" w:color="auto" w:fill="auto"/>
            <w:noWrap/>
          </w:tcPr>
          <w:p w:rsidR="001E3FBE" w:rsidRPr="007C51D6" w:rsidRDefault="001E3FBE" w:rsidP="001E3FBE">
            <w:pPr>
              <w:autoSpaceDE/>
              <w:autoSpaceDN/>
              <w:adjustRightInd/>
              <w:jc w:val="both"/>
              <w:rPr>
                <w:sz w:val="20"/>
                <w:szCs w:val="20"/>
              </w:rPr>
            </w:pPr>
            <w:r w:rsidRPr="007C51D6">
              <w:rPr>
                <w:sz w:val="20"/>
                <w:szCs w:val="20"/>
              </w:rPr>
              <w:t>д</w:t>
            </w:r>
            <w:hyperlink r:id="rId19" w:history="1">
              <w:r w:rsidRPr="007C51D6">
                <w:rPr>
                  <w:rStyle w:val="a9"/>
                  <w:rFonts w:ascii="Times New Roman" w:hAnsi="Times New Roman"/>
                  <w:color w:val="auto"/>
                  <w:sz w:val="20"/>
                  <w:szCs w:val="20"/>
                  <w:u w:val="none"/>
                </w:rPr>
                <w:t>ругие доброкачественные новообразования кожи</w:t>
              </w:r>
            </w:hyperlink>
          </w:p>
        </w:tc>
        <w:tc>
          <w:tcPr>
            <w:tcW w:w="1276" w:type="dxa"/>
            <w:shd w:val="clear" w:color="auto" w:fill="auto"/>
            <w:noWrap/>
          </w:tcPr>
          <w:p w:rsidR="001E3FBE" w:rsidRPr="007C51D6" w:rsidRDefault="001E3FBE" w:rsidP="001E3FBE">
            <w:pPr>
              <w:jc w:val="center"/>
            </w:pPr>
            <w:r w:rsidRPr="007C51D6">
              <w:rPr>
                <w:rFonts w:eastAsia="Arial"/>
                <w:sz w:val="20"/>
                <w:szCs w:val="20"/>
              </w:rPr>
              <w:t>D23</w:t>
            </w:r>
          </w:p>
        </w:tc>
        <w:tc>
          <w:tcPr>
            <w:tcW w:w="1303" w:type="dxa"/>
          </w:tcPr>
          <w:p w:rsidR="001E3FBE" w:rsidRPr="007C51D6" w:rsidRDefault="001E3FBE" w:rsidP="001E3FBE">
            <w:pPr>
              <w:autoSpaceDE/>
              <w:autoSpaceDN/>
              <w:adjustRightInd/>
              <w:jc w:val="center"/>
              <w:rPr>
                <w:bCs/>
                <w:color w:val="000000"/>
                <w:sz w:val="20"/>
                <w:szCs w:val="20"/>
              </w:rPr>
            </w:pPr>
            <w:r w:rsidRPr="007C51D6">
              <w:rPr>
                <w:bCs/>
                <w:color w:val="000000"/>
                <w:sz w:val="20"/>
                <w:szCs w:val="20"/>
              </w:rPr>
              <w:t>нет</w:t>
            </w:r>
          </w:p>
          <w:p w:rsidR="001E3FBE" w:rsidRPr="007C51D6" w:rsidRDefault="001E3FBE" w:rsidP="001E3FBE">
            <w:pPr>
              <w:autoSpaceDE/>
              <w:autoSpaceDN/>
              <w:adjustRightInd/>
              <w:jc w:val="center"/>
              <w:rPr>
                <w:bCs/>
                <w:color w:val="000000"/>
                <w:sz w:val="20"/>
                <w:szCs w:val="20"/>
              </w:rPr>
            </w:pPr>
            <w:r w:rsidRPr="007C51D6">
              <w:rPr>
                <w:bCs/>
                <w:color w:val="000000"/>
                <w:sz w:val="20"/>
                <w:szCs w:val="20"/>
              </w:rPr>
              <w:t>данных</w:t>
            </w:r>
          </w:p>
        </w:tc>
        <w:tc>
          <w:tcPr>
            <w:tcW w:w="1134" w:type="dxa"/>
          </w:tcPr>
          <w:p w:rsidR="001E3FBE" w:rsidRPr="007C51D6" w:rsidRDefault="001E3FBE" w:rsidP="001E3FBE">
            <w:pPr>
              <w:autoSpaceDE/>
              <w:autoSpaceDN/>
              <w:adjustRightInd/>
              <w:jc w:val="center"/>
              <w:rPr>
                <w:bCs/>
                <w:color w:val="000000"/>
                <w:sz w:val="20"/>
                <w:szCs w:val="20"/>
              </w:rPr>
            </w:pPr>
            <w:r w:rsidRPr="007C51D6">
              <w:rPr>
                <w:bCs/>
                <w:color w:val="000000"/>
                <w:sz w:val="20"/>
                <w:szCs w:val="20"/>
              </w:rPr>
              <w:t>нет</w:t>
            </w:r>
          </w:p>
          <w:p w:rsidR="001E3FBE" w:rsidRPr="007C51D6" w:rsidRDefault="001E3FBE" w:rsidP="001E3FBE">
            <w:pPr>
              <w:autoSpaceDE/>
              <w:autoSpaceDN/>
              <w:adjustRightInd/>
              <w:jc w:val="center"/>
              <w:rPr>
                <w:bCs/>
                <w:color w:val="000000"/>
                <w:sz w:val="20"/>
                <w:szCs w:val="20"/>
              </w:rPr>
            </w:pPr>
            <w:r w:rsidRPr="007C51D6">
              <w:rPr>
                <w:bCs/>
                <w:color w:val="000000"/>
                <w:sz w:val="20"/>
                <w:szCs w:val="20"/>
              </w:rPr>
              <w:t>данных</w:t>
            </w:r>
          </w:p>
        </w:tc>
        <w:tc>
          <w:tcPr>
            <w:tcW w:w="1361" w:type="dxa"/>
          </w:tcPr>
          <w:p w:rsidR="001E3FBE" w:rsidRPr="007C51D6" w:rsidRDefault="001E3FBE" w:rsidP="001E3FBE">
            <w:pPr>
              <w:autoSpaceDE/>
              <w:autoSpaceDN/>
              <w:adjustRightInd/>
              <w:jc w:val="center"/>
              <w:rPr>
                <w:bCs/>
                <w:color w:val="000000"/>
                <w:sz w:val="20"/>
                <w:szCs w:val="20"/>
              </w:rPr>
            </w:pPr>
            <w:r w:rsidRPr="007C51D6">
              <w:rPr>
                <w:bCs/>
                <w:color w:val="000000"/>
                <w:sz w:val="20"/>
                <w:szCs w:val="20"/>
              </w:rPr>
              <w:t>нет</w:t>
            </w:r>
          </w:p>
          <w:p w:rsidR="001E3FBE" w:rsidRPr="007C51D6" w:rsidRDefault="001E3FBE" w:rsidP="001E3FBE">
            <w:pPr>
              <w:autoSpaceDE/>
              <w:autoSpaceDN/>
              <w:adjustRightInd/>
              <w:jc w:val="center"/>
              <w:rPr>
                <w:bCs/>
                <w:color w:val="000000"/>
                <w:sz w:val="20"/>
                <w:szCs w:val="20"/>
              </w:rPr>
            </w:pPr>
            <w:r w:rsidRPr="007C51D6">
              <w:rPr>
                <w:bCs/>
                <w:color w:val="000000"/>
                <w:sz w:val="20"/>
                <w:szCs w:val="20"/>
              </w:rPr>
              <w:t>данных</w:t>
            </w:r>
          </w:p>
        </w:tc>
        <w:tc>
          <w:tcPr>
            <w:tcW w:w="992" w:type="dxa"/>
          </w:tcPr>
          <w:p w:rsidR="001E3FBE" w:rsidRPr="007C51D6" w:rsidRDefault="001E3FBE" w:rsidP="001E3FBE">
            <w:pPr>
              <w:jc w:val="center"/>
              <w:rPr>
                <w:color w:val="000000"/>
                <w:sz w:val="20"/>
                <w:szCs w:val="20"/>
              </w:rPr>
            </w:pPr>
            <w:r w:rsidRPr="007C51D6">
              <w:rPr>
                <w:color w:val="000000"/>
                <w:sz w:val="20"/>
                <w:szCs w:val="20"/>
              </w:rPr>
              <w:t>0,00</w:t>
            </w:r>
          </w:p>
        </w:tc>
        <w:tc>
          <w:tcPr>
            <w:tcW w:w="851" w:type="dxa"/>
          </w:tcPr>
          <w:p w:rsidR="001E3FBE" w:rsidRPr="007C51D6" w:rsidRDefault="001E3FBE" w:rsidP="001E3FBE">
            <w:pPr>
              <w:jc w:val="center"/>
              <w:rPr>
                <w:color w:val="000000"/>
                <w:sz w:val="20"/>
                <w:szCs w:val="20"/>
              </w:rPr>
            </w:pPr>
            <w:r w:rsidRPr="007C51D6">
              <w:rPr>
                <w:color w:val="000000"/>
                <w:sz w:val="20"/>
                <w:szCs w:val="20"/>
              </w:rPr>
              <w:t>0,00</w:t>
            </w:r>
          </w:p>
        </w:tc>
        <w:tc>
          <w:tcPr>
            <w:tcW w:w="850" w:type="dxa"/>
          </w:tcPr>
          <w:p w:rsidR="001E3FBE" w:rsidRPr="007C51D6" w:rsidRDefault="001E3FBE" w:rsidP="001E3FBE">
            <w:pPr>
              <w:jc w:val="center"/>
              <w:rPr>
                <w:color w:val="000000"/>
                <w:sz w:val="20"/>
                <w:szCs w:val="20"/>
              </w:rPr>
            </w:pPr>
            <w:r w:rsidRPr="007C51D6">
              <w:rPr>
                <w:color w:val="000000"/>
                <w:sz w:val="20"/>
                <w:szCs w:val="20"/>
              </w:rPr>
              <w:t>0,00</w:t>
            </w:r>
          </w:p>
        </w:tc>
        <w:tc>
          <w:tcPr>
            <w:tcW w:w="851" w:type="dxa"/>
          </w:tcPr>
          <w:p w:rsidR="001E3FBE" w:rsidRPr="007C51D6" w:rsidRDefault="001E3FBE" w:rsidP="001E3FBE">
            <w:pPr>
              <w:jc w:val="center"/>
              <w:rPr>
                <w:color w:val="000000"/>
                <w:sz w:val="20"/>
                <w:szCs w:val="20"/>
              </w:rPr>
            </w:pPr>
            <w:r w:rsidRPr="007C51D6">
              <w:rPr>
                <w:color w:val="000000"/>
                <w:sz w:val="20"/>
                <w:szCs w:val="20"/>
              </w:rPr>
              <w:t>0,00</w:t>
            </w:r>
          </w:p>
        </w:tc>
        <w:tc>
          <w:tcPr>
            <w:tcW w:w="829" w:type="dxa"/>
          </w:tcPr>
          <w:p w:rsidR="001E3FBE" w:rsidRPr="007C51D6" w:rsidRDefault="001E3FBE" w:rsidP="001E3FBE">
            <w:pPr>
              <w:jc w:val="center"/>
              <w:rPr>
                <w:color w:val="000000"/>
                <w:sz w:val="20"/>
                <w:szCs w:val="20"/>
              </w:rPr>
            </w:pPr>
            <w:r w:rsidRPr="007C51D6">
              <w:rPr>
                <w:color w:val="000000"/>
                <w:sz w:val="20"/>
                <w:szCs w:val="20"/>
              </w:rPr>
              <w:t>0,00</w:t>
            </w:r>
          </w:p>
        </w:tc>
        <w:tc>
          <w:tcPr>
            <w:tcW w:w="907" w:type="dxa"/>
          </w:tcPr>
          <w:p w:rsidR="001E3FBE" w:rsidRPr="007C51D6" w:rsidRDefault="001E3FBE" w:rsidP="001E3FBE">
            <w:pPr>
              <w:jc w:val="center"/>
              <w:rPr>
                <w:color w:val="000000"/>
                <w:sz w:val="20"/>
                <w:szCs w:val="20"/>
              </w:rPr>
            </w:pPr>
            <w:r w:rsidRPr="007C51D6">
              <w:rPr>
                <w:color w:val="000000"/>
                <w:sz w:val="20"/>
                <w:szCs w:val="20"/>
              </w:rPr>
              <w:t>0,00</w:t>
            </w:r>
          </w:p>
        </w:tc>
        <w:tc>
          <w:tcPr>
            <w:tcW w:w="907" w:type="dxa"/>
          </w:tcPr>
          <w:p w:rsidR="001E3FBE" w:rsidRPr="007C51D6" w:rsidRDefault="001E3FBE" w:rsidP="001E3FBE">
            <w:pPr>
              <w:autoSpaceDE/>
              <w:autoSpaceDN/>
              <w:adjustRightInd/>
              <w:jc w:val="center"/>
              <w:rPr>
                <w:bCs/>
                <w:color w:val="000000"/>
                <w:sz w:val="20"/>
                <w:szCs w:val="20"/>
              </w:rPr>
            </w:pPr>
            <w:r w:rsidRPr="007C51D6">
              <w:rPr>
                <w:bCs/>
                <w:color w:val="000000"/>
                <w:sz w:val="20"/>
                <w:szCs w:val="20"/>
              </w:rPr>
              <w:t>нет</w:t>
            </w:r>
          </w:p>
          <w:p w:rsidR="001E3FBE" w:rsidRPr="007C51D6" w:rsidRDefault="001E3FBE" w:rsidP="001E3FBE">
            <w:pPr>
              <w:autoSpaceDE/>
              <w:autoSpaceDN/>
              <w:adjustRightInd/>
              <w:jc w:val="center"/>
              <w:rPr>
                <w:bCs/>
                <w:color w:val="000000"/>
                <w:sz w:val="20"/>
                <w:szCs w:val="20"/>
              </w:rPr>
            </w:pPr>
            <w:r w:rsidRPr="007C51D6">
              <w:rPr>
                <w:bCs/>
                <w:color w:val="000000"/>
                <w:sz w:val="20"/>
                <w:szCs w:val="20"/>
              </w:rPr>
              <w:t>данных</w:t>
            </w:r>
          </w:p>
        </w:tc>
      </w:tr>
      <w:tr w:rsidR="001E3FBE" w:rsidRPr="007C51D6" w:rsidTr="00B93D5E">
        <w:trPr>
          <w:cantSplit/>
          <w:trHeight w:val="20"/>
          <w:jc w:val="center"/>
        </w:trPr>
        <w:tc>
          <w:tcPr>
            <w:tcW w:w="3539" w:type="dxa"/>
            <w:shd w:val="clear" w:color="auto" w:fill="auto"/>
            <w:noWrap/>
          </w:tcPr>
          <w:p w:rsidR="001E3FBE" w:rsidRPr="007C51D6" w:rsidRDefault="00B41962" w:rsidP="001E3FBE">
            <w:pPr>
              <w:autoSpaceDE/>
              <w:autoSpaceDN/>
              <w:adjustRightInd/>
              <w:jc w:val="both"/>
              <w:rPr>
                <w:sz w:val="20"/>
                <w:szCs w:val="20"/>
              </w:rPr>
            </w:pPr>
            <w:hyperlink r:id="rId20" w:history="1">
              <w:r w:rsidR="001E3FBE" w:rsidRPr="007C51D6">
                <w:rPr>
                  <w:rStyle w:val="a9"/>
                  <w:rFonts w:ascii="Times New Roman" w:hAnsi="Times New Roman"/>
                  <w:color w:val="auto"/>
                  <w:sz w:val="20"/>
                  <w:szCs w:val="20"/>
                  <w:u w:val="none"/>
                </w:rPr>
                <w:t>доброкачественное новообразование молочной железы (в том числе фиброаденома)</w:t>
              </w:r>
            </w:hyperlink>
          </w:p>
        </w:tc>
        <w:tc>
          <w:tcPr>
            <w:tcW w:w="1276" w:type="dxa"/>
            <w:shd w:val="clear" w:color="auto" w:fill="auto"/>
            <w:noWrap/>
          </w:tcPr>
          <w:p w:rsidR="001E3FBE" w:rsidRPr="007C51D6" w:rsidRDefault="001E3FBE" w:rsidP="001E3FBE">
            <w:pPr>
              <w:jc w:val="center"/>
            </w:pPr>
            <w:r w:rsidRPr="007C51D6">
              <w:rPr>
                <w:rFonts w:eastAsia="Arial"/>
                <w:sz w:val="20"/>
                <w:szCs w:val="20"/>
              </w:rPr>
              <w:t>D24</w:t>
            </w:r>
          </w:p>
        </w:tc>
        <w:tc>
          <w:tcPr>
            <w:tcW w:w="1303" w:type="dxa"/>
          </w:tcPr>
          <w:p w:rsidR="001E3FBE" w:rsidRPr="007C51D6" w:rsidRDefault="001E3FBE" w:rsidP="001E3FBE">
            <w:pPr>
              <w:autoSpaceDE/>
              <w:autoSpaceDN/>
              <w:adjustRightInd/>
              <w:jc w:val="center"/>
              <w:rPr>
                <w:bCs/>
                <w:color w:val="000000"/>
                <w:sz w:val="20"/>
                <w:szCs w:val="20"/>
              </w:rPr>
            </w:pPr>
            <w:r w:rsidRPr="007C51D6">
              <w:rPr>
                <w:bCs/>
                <w:color w:val="000000"/>
                <w:sz w:val="20"/>
                <w:szCs w:val="20"/>
              </w:rPr>
              <w:t>нет</w:t>
            </w:r>
          </w:p>
          <w:p w:rsidR="001E3FBE" w:rsidRPr="007C51D6" w:rsidRDefault="001E3FBE" w:rsidP="001E3FBE">
            <w:pPr>
              <w:autoSpaceDE/>
              <w:autoSpaceDN/>
              <w:adjustRightInd/>
              <w:jc w:val="center"/>
              <w:rPr>
                <w:bCs/>
                <w:color w:val="000000"/>
                <w:sz w:val="20"/>
                <w:szCs w:val="20"/>
              </w:rPr>
            </w:pPr>
            <w:r w:rsidRPr="007C51D6">
              <w:rPr>
                <w:bCs/>
                <w:color w:val="000000"/>
                <w:sz w:val="20"/>
                <w:szCs w:val="20"/>
              </w:rPr>
              <w:t>данных</w:t>
            </w:r>
          </w:p>
        </w:tc>
        <w:tc>
          <w:tcPr>
            <w:tcW w:w="1134" w:type="dxa"/>
          </w:tcPr>
          <w:p w:rsidR="001E3FBE" w:rsidRPr="007C51D6" w:rsidRDefault="001E3FBE" w:rsidP="001E3FBE">
            <w:pPr>
              <w:autoSpaceDE/>
              <w:autoSpaceDN/>
              <w:adjustRightInd/>
              <w:jc w:val="center"/>
              <w:rPr>
                <w:bCs/>
                <w:color w:val="000000"/>
                <w:sz w:val="20"/>
                <w:szCs w:val="20"/>
              </w:rPr>
            </w:pPr>
            <w:r w:rsidRPr="007C51D6">
              <w:rPr>
                <w:bCs/>
                <w:color w:val="000000"/>
                <w:sz w:val="20"/>
                <w:szCs w:val="20"/>
              </w:rPr>
              <w:t>нет</w:t>
            </w:r>
          </w:p>
          <w:p w:rsidR="001E3FBE" w:rsidRPr="007C51D6" w:rsidRDefault="001E3FBE" w:rsidP="001E3FBE">
            <w:pPr>
              <w:autoSpaceDE/>
              <w:autoSpaceDN/>
              <w:adjustRightInd/>
              <w:jc w:val="center"/>
              <w:rPr>
                <w:bCs/>
                <w:color w:val="000000"/>
                <w:sz w:val="20"/>
                <w:szCs w:val="20"/>
              </w:rPr>
            </w:pPr>
            <w:r w:rsidRPr="007C51D6">
              <w:rPr>
                <w:bCs/>
                <w:color w:val="000000"/>
                <w:sz w:val="20"/>
                <w:szCs w:val="20"/>
              </w:rPr>
              <w:t>данных</w:t>
            </w:r>
          </w:p>
        </w:tc>
        <w:tc>
          <w:tcPr>
            <w:tcW w:w="1361" w:type="dxa"/>
          </w:tcPr>
          <w:p w:rsidR="001E3FBE" w:rsidRPr="007C51D6" w:rsidRDefault="001E3FBE" w:rsidP="001E3FBE">
            <w:pPr>
              <w:autoSpaceDE/>
              <w:autoSpaceDN/>
              <w:adjustRightInd/>
              <w:jc w:val="center"/>
              <w:rPr>
                <w:bCs/>
                <w:color w:val="000000"/>
                <w:sz w:val="20"/>
                <w:szCs w:val="20"/>
              </w:rPr>
            </w:pPr>
            <w:r w:rsidRPr="007C51D6">
              <w:rPr>
                <w:bCs/>
                <w:color w:val="000000"/>
                <w:sz w:val="20"/>
                <w:szCs w:val="20"/>
              </w:rPr>
              <w:t>нет</w:t>
            </w:r>
          </w:p>
          <w:p w:rsidR="001E3FBE" w:rsidRPr="007C51D6" w:rsidRDefault="001E3FBE" w:rsidP="001E3FBE">
            <w:pPr>
              <w:autoSpaceDE/>
              <w:autoSpaceDN/>
              <w:adjustRightInd/>
              <w:jc w:val="center"/>
              <w:rPr>
                <w:bCs/>
                <w:color w:val="000000"/>
                <w:sz w:val="20"/>
                <w:szCs w:val="20"/>
              </w:rPr>
            </w:pPr>
            <w:r w:rsidRPr="007C51D6">
              <w:rPr>
                <w:bCs/>
                <w:color w:val="000000"/>
                <w:sz w:val="20"/>
                <w:szCs w:val="20"/>
              </w:rPr>
              <w:t>данных</w:t>
            </w:r>
          </w:p>
        </w:tc>
        <w:tc>
          <w:tcPr>
            <w:tcW w:w="992" w:type="dxa"/>
          </w:tcPr>
          <w:p w:rsidR="001E3FBE" w:rsidRPr="007C51D6" w:rsidRDefault="001E3FBE" w:rsidP="001E3FBE">
            <w:pPr>
              <w:jc w:val="center"/>
              <w:rPr>
                <w:color w:val="000000"/>
                <w:sz w:val="20"/>
                <w:szCs w:val="20"/>
              </w:rPr>
            </w:pPr>
            <w:r w:rsidRPr="007C51D6">
              <w:rPr>
                <w:color w:val="000000"/>
                <w:sz w:val="20"/>
                <w:szCs w:val="20"/>
              </w:rPr>
              <w:t>0,00</w:t>
            </w:r>
          </w:p>
        </w:tc>
        <w:tc>
          <w:tcPr>
            <w:tcW w:w="851" w:type="dxa"/>
          </w:tcPr>
          <w:p w:rsidR="001E3FBE" w:rsidRPr="007C51D6" w:rsidRDefault="001E3FBE" w:rsidP="001E3FBE">
            <w:pPr>
              <w:jc w:val="center"/>
              <w:rPr>
                <w:color w:val="000000"/>
                <w:sz w:val="20"/>
                <w:szCs w:val="20"/>
              </w:rPr>
            </w:pPr>
            <w:r w:rsidRPr="007C51D6">
              <w:rPr>
                <w:color w:val="000000"/>
                <w:sz w:val="20"/>
                <w:szCs w:val="20"/>
              </w:rPr>
              <w:t>0,00</w:t>
            </w:r>
          </w:p>
        </w:tc>
        <w:tc>
          <w:tcPr>
            <w:tcW w:w="850" w:type="dxa"/>
          </w:tcPr>
          <w:p w:rsidR="001E3FBE" w:rsidRPr="007C51D6" w:rsidRDefault="001E3FBE" w:rsidP="001E3FBE">
            <w:pPr>
              <w:jc w:val="center"/>
              <w:rPr>
                <w:color w:val="000000"/>
                <w:sz w:val="20"/>
                <w:szCs w:val="20"/>
              </w:rPr>
            </w:pPr>
            <w:r w:rsidRPr="007C51D6">
              <w:rPr>
                <w:color w:val="000000"/>
                <w:sz w:val="20"/>
                <w:szCs w:val="20"/>
              </w:rPr>
              <w:t>0,00</w:t>
            </w:r>
          </w:p>
        </w:tc>
        <w:tc>
          <w:tcPr>
            <w:tcW w:w="851" w:type="dxa"/>
          </w:tcPr>
          <w:p w:rsidR="001E3FBE" w:rsidRPr="007C51D6" w:rsidRDefault="001E3FBE" w:rsidP="001E3FBE">
            <w:pPr>
              <w:jc w:val="center"/>
              <w:rPr>
                <w:color w:val="000000"/>
                <w:sz w:val="20"/>
                <w:szCs w:val="20"/>
              </w:rPr>
            </w:pPr>
            <w:r w:rsidRPr="007C51D6">
              <w:rPr>
                <w:color w:val="000000"/>
                <w:sz w:val="20"/>
                <w:szCs w:val="20"/>
              </w:rPr>
              <w:t>0,00</w:t>
            </w:r>
          </w:p>
        </w:tc>
        <w:tc>
          <w:tcPr>
            <w:tcW w:w="829" w:type="dxa"/>
          </w:tcPr>
          <w:p w:rsidR="001E3FBE" w:rsidRPr="007C51D6" w:rsidRDefault="001E3FBE" w:rsidP="001E3FBE">
            <w:pPr>
              <w:jc w:val="center"/>
              <w:rPr>
                <w:color w:val="000000"/>
                <w:sz w:val="20"/>
                <w:szCs w:val="20"/>
              </w:rPr>
            </w:pPr>
            <w:r w:rsidRPr="007C51D6">
              <w:rPr>
                <w:color w:val="000000"/>
                <w:sz w:val="20"/>
                <w:szCs w:val="20"/>
              </w:rPr>
              <w:t>0,00</w:t>
            </w:r>
          </w:p>
        </w:tc>
        <w:tc>
          <w:tcPr>
            <w:tcW w:w="907" w:type="dxa"/>
          </w:tcPr>
          <w:p w:rsidR="001E3FBE" w:rsidRPr="007C51D6" w:rsidRDefault="001E3FBE" w:rsidP="001E3FBE">
            <w:pPr>
              <w:jc w:val="center"/>
              <w:rPr>
                <w:color w:val="000000"/>
                <w:sz w:val="20"/>
                <w:szCs w:val="20"/>
              </w:rPr>
            </w:pPr>
            <w:r w:rsidRPr="007C51D6">
              <w:rPr>
                <w:color w:val="000000"/>
                <w:sz w:val="20"/>
                <w:szCs w:val="20"/>
              </w:rPr>
              <w:t>0,00</w:t>
            </w:r>
          </w:p>
        </w:tc>
        <w:tc>
          <w:tcPr>
            <w:tcW w:w="907" w:type="dxa"/>
          </w:tcPr>
          <w:p w:rsidR="001E3FBE" w:rsidRPr="007C51D6" w:rsidRDefault="001E3FBE" w:rsidP="001E3FBE">
            <w:pPr>
              <w:autoSpaceDE/>
              <w:autoSpaceDN/>
              <w:adjustRightInd/>
              <w:jc w:val="center"/>
              <w:rPr>
                <w:bCs/>
                <w:color w:val="000000"/>
                <w:sz w:val="20"/>
                <w:szCs w:val="20"/>
              </w:rPr>
            </w:pPr>
            <w:r w:rsidRPr="007C51D6">
              <w:rPr>
                <w:bCs/>
                <w:color w:val="000000"/>
                <w:sz w:val="20"/>
                <w:szCs w:val="20"/>
              </w:rPr>
              <w:t>нет</w:t>
            </w:r>
          </w:p>
          <w:p w:rsidR="001E3FBE" w:rsidRPr="007C51D6" w:rsidRDefault="001E3FBE" w:rsidP="001E3FBE">
            <w:pPr>
              <w:autoSpaceDE/>
              <w:autoSpaceDN/>
              <w:adjustRightInd/>
              <w:jc w:val="center"/>
              <w:rPr>
                <w:bCs/>
                <w:color w:val="000000"/>
                <w:sz w:val="20"/>
                <w:szCs w:val="20"/>
              </w:rPr>
            </w:pPr>
            <w:r w:rsidRPr="007C51D6">
              <w:rPr>
                <w:bCs/>
                <w:color w:val="000000"/>
                <w:sz w:val="20"/>
                <w:szCs w:val="20"/>
              </w:rPr>
              <w:t>данных</w:t>
            </w:r>
          </w:p>
        </w:tc>
      </w:tr>
      <w:tr w:rsidR="001E3FBE" w:rsidRPr="007C51D6" w:rsidTr="00B93D5E">
        <w:trPr>
          <w:cantSplit/>
          <w:trHeight w:val="20"/>
          <w:jc w:val="center"/>
        </w:trPr>
        <w:tc>
          <w:tcPr>
            <w:tcW w:w="3539" w:type="dxa"/>
            <w:shd w:val="clear" w:color="auto" w:fill="auto"/>
            <w:noWrap/>
          </w:tcPr>
          <w:p w:rsidR="001E3FBE" w:rsidRPr="007C51D6" w:rsidRDefault="00B41962" w:rsidP="001E3FBE">
            <w:pPr>
              <w:autoSpaceDE/>
              <w:autoSpaceDN/>
              <w:adjustRightInd/>
              <w:jc w:val="both"/>
              <w:rPr>
                <w:sz w:val="20"/>
                <w:szCs w:val="20"/>
              </w:rPr>
            </w:pPr>
            <w:hyperlink r:id="rId21" w:history="1">
              <w:r w:rsidR="001E3FBE" w:rsidRPr="007C51D6">
                <w:rPr>
                  <w:rFonts w:eastAsia="Arial"/>
                  <w:bCs/>
                  <w:sz w:val="20"/>
                  <w:szCs w:val="20"/>
                </w:rPr>
                <w:t>лейомиома матки</w:t>
              </w:r>
            </w:hyperlink>
            <w:r w:rsidR="001E3FBE" w:rsidRPr="007C51D6">
              <w:rPr>
                <w:rFonts w:eastAsia="Arial"/>
                <w:sz w:val="20"/>
                <w:szCs w:val="20"/>
              </w:rPr>
              <w:t xml:space="preserve"> </w:t>
            </w:r>
          </w:p>
        </w:tc>
        <w:tc>
          <w:tcPr>
            <w:tcW w:w="1276" w:type="dxa"/>
            <w:shd w:val="clear" w:color="auto" w:fill="auto"/>
            <w:noWrap/>
          </w:tcPr>
          <w:p w:rsidR="001E3FBE" w:rsidRPr="007C51D6" w:rsidRDefault="001E3FBE" w:rsidP="001E3FBE">
            <w:pPr>
              <w:autoSpaceDE/>
              <w:autoSpaceDN/>
              <w:adjustRightInd/>
              <w:jc w:val="center"/>
              <w:rPr>
                <w:color w:val="000000"/>
                <w:sz w:val="20"/>
                <w:szCs w:val="20"/>
              </w:rPr>
            </w:pPr>
            <w:r w:rsidRPr="007C51D6">
              <w:rPr>
                <w:rFonts w:eastAsia="Arial"/>
                <w:sz w:val="20"/>
                <w:szCs w:val="20"/>
              </w:rPr>
              <w:t>D25</w:t>
            </w:r>
          </w:p>
        </w:tc>
        <w:tc>
          <w:tcPr>
            <w:tcW w:w="1303" w:type="dxa"/>
          </w:tcPr>
          <w:p w:rsidR="001E3FBE" w:rsidRPr="007C51D6" w:rsidRDefault="001E3FBE" w:rsidP="001E3FBE">
            <w:pPr>
              <w:autoSpaceDE/>
              <w:autoSpaceDN/>
              <w:adjustRightInd/>
              <w:jc w:val="center"/>
              <w:rPr>
                <w:bCs/>
                <w:color w:val="000000"/>
                <w:sz w:val="20"/>
                <w:szCs w:val="20"/>
              </w:rPr>
            </w:pPr>
            <w:r w:rsidRPr="007C51D6">
              <w:rPr>
                <w:bCs/>
                <w:color w:val="000000"/>
                <w:sz w:val="20"/>
                <w:szCs w:val="20"/>
              </w:rPr>
              <w:t>нет</w:t>
            </w:r>
          </w:p>
          <w:p w:rsidR="001E3FBE" w:rsidRPr="007C51D6" w:rsidRDefault="001E3FBE" w:rsidP="001E3FBE">
            <w:pPr>
              <w:autoSpaceDE/>
              <w:autoSpaceDN/>
              <w:adjustRightInd/>
              <w:jc w:val="center"/>
              <w:rPr>
                <w:bCs/>
                <w:color w:val="000000"/>
                <w:sz w:val="20"/>
                <w:szCs w:val="20"/>
              </w:rPr>
            </w:pPr>
            <w:r w:rsidRPr="007C51D6">
              <w:rPr>
                <w:bCs/>
                <w:color w:val="000000"/>
                <w:sz w:val="20"/>
                <w:szCs w:val="20"/>
              </w:rPr>
              <w:t>данных</w:t>
            </w:r>
          </w:p>
        </w:tc>
        <w:tc>
          <w:tcPr>
            <w:tcW w:w="1134" w:type="dxa"/>
          </w:tcPr>
          <w:p w:rsidR="001E3FBE" w:rsidRPr="007C51D6" w:rsidRDefault="001E3FBE" w:rsidP="001E3FBE">
            <w:pPr>
              <w:autoSpaceDE/>
              <w:autoSpaceDN/>
              <w:adjustRightInd/>
              <w:jc w:val="center"/>
              <w:rPr>
                <w:bCs/>
                <w:color w:val="000000"/>
                <w:sz w:val="20"/>
                <w:szCs w:val="20"/>
              </w:rPr>
            </w:pPr>
            <w:r w:rsidRPr="007C51D6">
              <w:rPr>
                <w:bCs/>
                <w:color w:val="000000"/>
                <w:sz w:val="20"/>
                <w:szCs w:val="20"/>
              </w:rPr>
              <w:t>нет</w:t>
            </w:r>
          </w:p>
          <w:p w:rsidR="001E3FBE" w:rsidRPr="007C51D6" w:rsidRDefault="001E3FBE" w:rsidP="001E3FBE">
            <w:pPr>
              <w:autoSpaceDE/>
              <w:autoSpaceDN/>
              <w:adjustRightInd/>
              <w:jc w:val="center"/>
              <w:rPr>
                <w:bCs/>
                <w:color w:val="000000"/>
                <w:sz w:val="20"/>
                <w:szCs w:val="20"/>
              </w:rPr>
            </w:pPr>
            <w:r w:rsidRPr="007C51D6">
              <w:rPr>
                <w:bCs/>
                <w:color w:val="000000"/>
                <w:sz w:val="20"/>
                <w:szCs w:val="20"/>
              </w:rPr>
              <w:t>данных</w:t>
            </w:r>
          </w:p>
        </w:tc>
        <w:tc>
          <w:tcPr>
            <w:tcW w:w="1361" w:type="dxa"/>
          </w:tcPr>
          <w:p w:rsidR="001E3FBE" w:rsidRPr="007C51D6" w:rsidRDefault="001E3FBE" w:rsidP="001E3FBE">
            <w:pPr>
              <w:autoSpaceDE/>
              <w:autoSpaceDN/>
              <w:adjustRightInd/>
              <w:jc w:val="center"/>
              <w:rPr>
                <w:bCs/>
                <w:color w:val="000000"/>
                <w:sz w:val="20"/>
                <w:szCs w:val="20"/>
              </w:rPr>
            </w:pPr>
            <w:r w:rsidRPr="007C51D6">
              <w:rPr>
                <w:bCs/>
                <w:color w:val="000000"/>
                <w:sz w:val="20"/>
                <w:szCs w:val="20"/>
              </w:rPr>
              <w:t>нет</w:t>
            </w:r>
          </w:p>
          <w:p w:rsidR="001E3FBE" w:rsidRPr="007C51D6" w:rsidRDefault="001E3FBE" w:rsidP="001E3FBE">
            <w:pPr>
              <w:autoSpaceDE/>
              <w:autoSpaceDN/>
              <w:adjustRightInd/>
              <w:jc w:val="center"/>
              <w:rPr>
                <w:bCs/>
                <w:color w:val="000000"/>
                <w:sz w:val="20"/>
                <w:szCs w:val="20"/>
              </w:rPr>
            </w:pPr>
            <w:r w:rsidRPr="007C51D6">
              <w:rPr>
                <w:bCs/>
                <w:color w:val="000000"/>
                <w:sz w:val="20"/>
                <w:szCs w:val="20"/>
              </w:rPr>
              <w:t>данных</w:t>
            </w:r>
          </w:p>
        </w:tc>
        <w:tc>
          <w:tcPr>
            <w:tcW w:w="992" w:type="dxa"/>
          </w:tcPr>
          <w:p w:rsidR="001E3FBE" w:rsidRPr="007C51D6" w:rsidRDefault="001E3FBE" w:rsidP="001E3FBE">
            <w:pPr>
              <w:jc w:val="center"/>
              <w:rPr>
                <w:color w:val="000000"/>
                <w:sz w:val="20"/>
                <w:szCs w:val="20"/>
              </w:rPr>
            </w:pPr>
            <w:r w:rsidRPr="007C51D6">
              <w:rPr>
                <w:color w:val="000000"/>
                <w:sz w:val="20"/>
                <w:szCs w:val="20"/>
              </w:rPr>
              <w:t>0,03</w:t>
            </w:r>
          </w:p>
        </w:tc>
        <w:tc>
          <w:tcPr>
            <w:tcW w:w="851" w:type="dxa"/>
          </w:tcPr>
          <w:p w:rsidR="001E3FBE" w:rsidRPr="007C51D6" w:rsidRDefault="001E3FBE" w:rsidP="001E3FBE">
            <w:pPr>
              <w:jc w:val="center"/>
              <w:rPr>
                <w:color w:val="000000"/>
                <w:sz w:val="20"/>
                <w:szCs w:val="20"/>
              </w:rPr>
            </w:pPr>
            <w:r w:rsidRPr="007C51D6">
              <w:rPr>
                <w:color w:val="000000"/>
                <w:sz w:val="20"/>
                <w:szCs w:val="20"/>
              </w:rPr>
              <w:t>0,00</w:t>
            </w:r>
          </w:p>
        </w:tc>
        <w:tc>
          <w:tcPr>
            <w:tcW w:w="850" w:type="dxa"/>
          </w:tcPr>
          <w:p w:rsidR="001E3FBE" w:rsidRPr="007C51D6" w:rsidRDefault="001E3FBE" w:rsidP="001E3FBE">
            <w:pPr>
              <w:jc w:val="center"/>
              <w:rPr>
                <w:color w:val="000000"/>
                <w:sz w:val="20"/>
                <w:szCs w:val="20"/>
              </w:rPr>
            </w:pPr>
            <w:r w:rsidRPr="007C51D6">
              <w:rPr>
                <w:color w:val="000000"/>
                <w:sz w:val="20"/>
                <w:szCs w:val="20"/>
              </w:rPr>
              <w:t>0,00</w:t>
            </w:r>
          </w:p>
        </w:tc>
        <w:tc>
          <w:tcPr>
            <w:tcW w:w="851" w:type="dxa"/>
          </w:tcPr>
          <w:p w:rsidR="001E3FBE" w:rsidRPr="007C51D6" w:rsidRDefault="001E3FBE" w:rsidP="001E3FBE">
            <w:pPr>
              <w:jc w:val="center"/>
              <w:rPr>
                <w:color w:val="000000"/>
                <w:sz w:val="20"/>
                <w:szCs w:val="20"/>
              </w:rPr>
            </w:pPr>
            <w:r w:rsidRPr="007C51D6">
              <w:rPr>
                <w:color w:val="000000"/>
                <w:sz w:val="20"/>
                <w:szCs w:val="20"/>
              </w:rPr>
              <w:t>0,00</w:t>
            </w:r>
          </w:p>
        </w:tc>
        <w:tc>
          <w:tcPr>
            <w:tcW w:w="829" w:type="dxa"/>
          </w:tcPr>
          <w:p w:rsidR="001E3FBE" w:rsidRPr="007C51D6" w:rsidRDefault="001E3FBE" w:rsidP="001E3FBE">
            <w:pPr>
              <w:jc w:val="center"/>
              <w:rPr>
                <w:color w:val="000000"/>
                <w:sz w:val="20"/>
                <w:szCs w:val="20"/>
              </w:rPr>
            </w:pPr>
            <w:r w:rsidRPr="007C51D6">
              <w:rPr>
                <w:color w:val="000000"/>
                <w:sz w:val="20"/>
                <w:szCs w:val="20"/>
              </w:rPr>
              <w:t>0,02</w:t>
            </w:r>
          </w:p>
        </w:tc>
        <w:tc>
          <w:tcPr>
            <w:tcW w:w="907" w:type="dxa"/>
          </w:tcPr>
          <w:p w:rsidR="001E3FBE" w:rsidRPr="007C51D6" w:rsidRDefault="001E3FBE" w:rsidP="001E3FBE">
            <w:pPr>
              <w:jc w:val="center"/>
              <w:rPr>
                <w:color w:val="000000"/>
                <w:sz w:val="20"/>
                <w:szCs w:val="20"/>
              </w:rPr>
            </w:pPr>
            <w:r w:rsidRPr="007C51D6">
              <w:rPr>
                <w:color w:val="000000"/>
                <w:sz w:val="20"/>
                <w:szCs w:val="20"/>
              </w:rPr>
              <w:t>0,00</w:t>
            </w:r>
          </w:p>
        </w:tc>
        <w:tc>
          <w:tcPr>
            <w:tcW w:w="907" w:type="dxa"/>
          </w:tcPr>
          <w:p w:rsidR="001E3FBE" w:rsidRPr="007C51D6" w:rsidRDefault="001E3FBE" w:rsidP="001E3FBE">
            <w:pPr>
              <w:autoSpaceDE/>
              <w:autoSpaceDN/>
              <w:adjustRightInd/>
              <w:jc w:val="center"/>
              <w:rPr>
                <w:bCs/>
                <w:color w:val="000000"/>
                <w:sz w:val="20"/>
                <w:szCs w:val="20"/>
              </w:rPr>
            </w:pPr>
            <w:r w:rsidRPr="007C51D6">
              <w:rPr>
                <w:bCs/>
                <w:color w:val="000000"/>
                <w:sz w:val="20"/>
                <w:szCs w:val="20"/>
              </w:rPr>
              <w:t>нет</w:t>
            </w:r>
          </w:p>
          <w:p w:rsidR="001E3FBE" w:rsidRPr="007C51D6" w:rsidRDefault="001E3FBE" w:rsidP="001E3FBE">
            <w:pPr>
              <w:autoSpaceDE/>
              <w:autoSpaceDN/>
              <w:adjustRightInd/>
              <w:jc w:val="center"/>
              <w:rPr>
                <w:bCs/>
                <w:color w:val="000000"/>
                <w:sz w:val="20"/>
                <w:szCs w:val="20"/>
              </w:rPr>
            </w:pPr>
            <w:r w:rsidRPr="007C51D6">
              <w:rPr>
                <w:bCs/>
                <w:color w:val="000000"/>
                <w:sz w:val="20"/>
                <w:szCs w:val="20"/>
              </w:rPr>
              <w:t>данных</w:t>
            </w:r>
          </w:p>
        </w:tc>
      </w:tr>
      <w:tr w:rsidR="001E3FBE" w:rsidRPr="007C51D6" w:rsidTr="00B93D5E">
        <w:trPr>
          <w:cantSplit/>
          <w:trHeight w:val="20"/>
          <w:jc w:val="center"/>
        </w:trPr>
        <w:tc>
          <w:tcPr>
            <w:tcW w:w="3539" w:type="dxa"/>
            <w:shd w:val="clear" w:color="auto" w:fill="auto"/>
            <w:noWrap/>
          </w:tcPr>
          <w:p w:rsidR="001E3FBE" w:rsidRPr="007C51D6" w:rsidRDefault="001E3FBE" w:rsidP="001E3FBE">
            <w:pPr>
              <w:autoSpaceDE/>
              <w:autoSpaceDN/>
              <w:adjustRightInd/>
              <w:jc w:val="both"/>
              <w:rPr>
                <w:sz w:val="20"/>
                <w:szCs w:val="20"/>
              </w:rPr>
            </w:pPr>
            <w:r w:rsidRPr="007C51D6">
              <w:rPr>
                <w:rFonts w:eastAsia="Arial"/>
                <w:sz w:val="20"/>
                <w:szCs w:val="20"/>
              </w:rPr>
              <w:t>д</w:t>
            </w:r>
            <w:hyperlink r:id="rId22" w:history="1">
              <w:r w:rsidRPr="007C51D6">
                <w:rPr>
                  <w:rFonts w:eastAsia="Arial"/>
                  <w:bCs/>
                  <w:sz w:val="20"/>
                  <w:szCs w:val="20"/>
                </w:rPr>
                <w:t>ругие доброкачественные новообразования матки</w:t>
              </w:r>
            </w:hyperlink>
            <w:r w:rsidRPr="007C51D6">
              <w:rPr>
                <w:rFonts w:eastAsia="Arial"/>
                <w:sz w:val="20"/>
                <w:szCs w:val="20"/>
              </w:rPr>
              <w:t xml:space="preserve"> </w:t>
            </w:r>
          </w:p>
        </w:tc>
        <w:tc>
          <w:tcPr>
            <w:tcW w:w="1276" w:type="dxa"/>
            <w:shd w:val="clear" w:color="auto" w:fill="auto"/>
            <w:noWrap/>
          </w:tcPr>
          <w:p w:rsidR="001E3FBE" w:rsidRPr="007C51D6" w:rsidRDefault="001E3FBE" w:rsidP="001E3FBE">
            <w:pPr>
              <w:autoSpaceDE/>
              <w:autoSpaceDN/>
              <w:adjustRightInd/>
              <w:jc w:val="center"/>
              <w:rPr>
                <w:rFonts w:eastAsia="Arial"/>
                <w:sz w:val="20"/>
                <w:szCs w:val="20"/>
              </w:rPr>
            </w:pPr>
            <w:r w:rsidRPr="007C51D6">
              <w:rPr>
                <w:rFonts w:eastAsia="Arial"/>
                <w:sz w:val="20"/>
                <w:szCs w:val="20"/>
              </w:rPr>
              <w:t>D26</w:t>
            </w:r>
          </w:p>
        </w:tc>
        <w:tc>
          <w:tcPr>
            <w:tcW w:w="1303" w:type="dxa"/>
          </w:tcPr>
          <w:p w:rsidR="001E3FBE" w:rsidRPr="007C51D6" w:rsidRDefault="001E3FBE" w:rsidP="001E3FBE">
            <w:pPr>
              <w:autoSpaceDE/>
              <w:autoSpaceDN/>
              <w:adjustRightInd/>
              <w:jc w:val="center"/>
              <w:rPr>
                <w:bCs/>
                <w:color w:val="000000"/>
                <w:sz w:val="20"/>
                <w:szCs w:val="20"/>
              </w:rPr>
            </w:pPr>
            <w:r w:rsidRPr="007C51D6">
              <w:rPr>
                <w:bCs/>
                <w:color w:val="000000"/>
                <w:sz w:val="20"/>
                <w:szCs w:val="20"/>
              </w:rPr>
              <w:t>нет</w:t>
            </w:r>
          </w:p>
          <w:p w:rsidR="001E3FBE" w:rsidRPr="007C51D6" w:rsidRDefault="001E3FBE" w:rsidP="001E3FBE">
            <w:pPr>
              <w:autoSpaceDE/>
              <w:autoSpaceDN/>
              <w:adjustRightInd/>
              <w:jc w:val="center"/>
              <w:rPr>
                <w:bCs/>
                <w:color w:val="000000"/>
                <w:sz w:val="20"/>
                <w:szCs w:val="20"/>
              </w:rPr>
            </w:pPr>
            <w:r w:rsidRPr="007C51D6">
              <w:rPr>
                <w:bCs/>
                <w:color w:val="000000"/>
                <w:sz w:val="20"/>
                <w:szCs w:val="20"/>
              </w:rPr>
              <w:t>данных</w:t>
            </w:r>
          </w:p>
        </w:tc>
        <w:tc>
          <w:tcPr>
            <w:tcW w:w="1134" w:type="dxa"/>
          </w:tcPr>
          <w:p w:rsidR="001E3FBE" w:rsidRPr="007C51D6" w:rsidRDefault="001E3FBE" w:rsidP="001E3FBE">
            <w:pPr>
              <w:autoSpaceDE/>
              <w:autoSpaceDN/>
              <w:adjustRightInd/>
              <w:jc w:val="center"/>
              <w:rPr>
                <w:bCs/>
                <w:color w:val="000000"/>
                <w:sz w:val="20"/>
                <w:szCs w:val="20"/>
              </w:rPr>
            </w:pPr>
            <w:r w:rsidRPr="007C51D6">
              <w:rPr>
                <w:bCs/>
                <w:color w:val="000000"/>
                <w:sz w:val="20"/>
                <w:szCs w:val="20"/>
              </w:rPr>
              <w:t>нет</w:t>
            </w:r>
          </w:p>
          <w:p w:rsidR="001E3FBE" w:rsidRPr="007C51D6" w:rsidRDefault="001E3FBE" w:rsidP="001E3FBE">
            <w:pPr>
              <w:autoSpaceDE/>
              <w:autoSpaceDN/>
              <w:adjustRightInd/>
              <w:jc w:val="center"/>
              <w:rPr>
                <w:bCs/>
                <w:color w:val="000000"/>
                <w:sz w:val="20"/>
                <w:szCs w:val="20"/>
              </w:rPr>
            </w:pPr>
            <w:r w:rsidRPr="007C51D6">
              <w:rPr>
                <w:bCs/>
                <w:color w:val="000000"/>
                <w:sz w:val="20"/>
                <w:szCs w:val="20"/>
              </w:rPr>
              <w:t>данных</w:t>
            </w:r>
          </w:p>
        </w:tc>
        <w:tc>
          <w:tcPr>
            <w:tcW w:w="1361" w:type="dxa"/>
          </w:tcPr>
          <w:p w:rsidR="001E3FBE" w:rsidRPr="007C51D6" w:rsidRDefault="001E3FBE" w:rsidP="001E3FBE">
            <w:pPr>
              <w:autoSpaceDE/>
              <w:autoSpaceDN/>
              <w:adjustRightInd/>
              <w:jc w:val="center"/>
              <w:rPr>
                <w:bCs/>
                <w:color w:val="000000"/>
                <w:sz w:val="20"/>
                <w:szCs w:val="20"/>
              </w:rPr>
            </w:pPr>
            <w:r w:rsidRPr="007C51D6">
              <w:rPr>
                <w:bCs/>
                <w:color w:val="000000"/>
                <w:sz w:val="20"/>
                <w:szCs w:val="20"/>
              </w:rPr>
              <w:t>нет</w:t>
            </w:r>
          </w:p>
          <w:p w:rsidR="001E3FBE" w:rsidRPr="007C51D6" w:rsidRDefault="001E3FBE" w:rsidP="001E3FBE">
            <w:pPr>
              <w:autoSpaceDE/>
              <w:autoSpaceDN/>
              <w:adjustRightInd/>
              <w:jc w:val="center"/>
              <w:rPr>
                <w:bCs/>
                <w:color w:val="000000"/>
                <w:sz w:val="20"/>
                <w:szCs w:val="20"/>
              </w:rPr>
            </w:pPr>
            <w:r w:rsidRPr="007C51D6">
              <w:rPr>
                <w:bCs/>
                <w:color w:val="000000"/>
                <w:sz w:val="20"/>
                <w:szCs w:val="20"/>
              </w:rPr>
              <w:t>данных</w:t>
            </w:r>
          </w:p>
        </w:tc>
        <w:tc>
          <w:tcPr>
            <w:tcW w:w="992" w:type="dxa"/>
          </w:tcPr>
          <w:p w:rsidR="001E3FBE" w:rsidRPr="007C51D6" w:rsidRDefault="001E3FBE" w:rsidP="001E3FBE">
            <w:pPr>
              <w:jc w:val="center"/>
              <w:rPr>
                <w:color w:val="000000"/>
                <w:sz w:val="20"/>
                <w:szCs w:val="20"/>
              </w:rPr>
            </w:pPr>
            <w:r w:rsidRPr="007C51D6">
              <w:rPr>
                <w:color w:val="000000"/>
                <w:sz w:val="20"/>
                <w:szCs w:val="20"/>
              </w:rPr>
              <w:t>0,03</w:t>
            </w:r>
          </w:p>
        </w:tc>
        <w:tc>
          <w:tcPr>
            <w:tcW w:w="851" w:type="dxa"/>
          </w:tcPr>
          <w:p w:rsidR="001E3FBE" w:rsidRPr="007C51D6" w:rsidRDefault="001E3FBE" w:rsidP="001E3FBE">
            <w:pPr>
              <w:jc w:val="center"/>
              <w:rPr>
                <w:color w:val="000000"/>
                <w:sz w:val="20"/>
                <w:szCs w:val="20"/>
              </w:rPr>
            </w:pPr>
            <w:r w:rsidRPr="007C51D6">
              <w:rPr>
                <w:color w:val="000000"/>
                <w:sz w:val="20"/>
                <w:szCs w:val="20"/>
              </w:rPr>
              <w:t>0,00</w:t>
            </w:r>
          </w:p>
        </w:tc>
        <w:tc>
          <w:tcPr>
            <w:tcW w:w="850" w:type="dxa"/>
          </w:tcPr>
          <w:p w:rsidR="001E3FBE" w:rsidRPr="007C51D6" w:rsidRDefault="001E3FBE" w:rsidP="001E3FBE">
            <w:pPr>
              <w:jc w:val="center"/>
              <w:rPr>
                <w:color w:val="000000"/>
                <w:sz w:val="20"/>
                <w:szCs w:val="20"/>
              </w:rPr>
            </w:pPr>
            <w:r w:rsidRPr="007C51D6">
              <w:rPr>
                <w:color w:val="000000"/>
                <w:sz w:val="20"/>
                <w:szCs w:val="20"/>
              </w:rPr>
              <w:t>0,00</w:t>
            </w:r>
          </w:p>
        </w:tc>
        <w:tc>
          <w:tcPr>
            <w:tcW w:w="851" w:type="dxa"/>
          </w:tcPr>
          <w:p w:rsidR="001E3FBE" w:rsidRPr="007C51D6" w:rsidRDefault="001E3FBE" w:rsidP="001E3FBE">
            <w:pPr>
              <w:jc w:val="center"/>
              <w:rPr>
                <w:color w:val="000000"/>
                <w:sz w:val="20"/>
                <w:szCs w:val="20"/>
              </w:rPr>
            </w:pPr>
            <w:r w:rsidRPr="007C51D6">
              <w:rPr>
                <w:color w:val="000000"/>
                <w:sz w:val="20"/>
                <w:szCs w:val="20"/>
              </w:rPr>
              <w:t>0,00</w:t>
            </w:r>
          </w:p>
        </w:tc>
        <w:tc>
          <w:tcPr>
            <w:tcW w:w="829" w:type="dxa"/>
          </w:tcPr>
          <w:p w:rsidR="001E3FBE" w:rsidRPr="007C51D6" w:rsidRDefault="001E3FBE" w:rsidP="001E3FBE">
            <w:pPr>
              <w:jc w:val="center"/>
              <w:rPr>
                <w:color w:val="000000"/>
                <w:sz w:val="20"/>
                <w:szCs w:val="20"/>
              </w:rPr>
            </w:pPr>
            <w:r w:rsidRPr="007C51D6">
              <w:rPr>
                <w:color w:val="000000"/>
                <w:sz w:val="20"/>
                <w:szCs w:val="20"/>
              </w:rPr>
              <w:t>0,00</w:t>
            </w:r>
          </w:p>
        </w:tc>
        <w:tc>
          <w:tcPr>
            <w:tcW w:w="907" w:type="dxa"/>
          </w:tcPr>
          <w:p w:rsidR="001E3FBE" w:rsidRPr="007C51D6" w:rsidRDefault="001E3FBE" w:rsidP="001E3FBE">
            <w:pPr>
              <w:jc w:val="center"/>
              <w:rPr>
                <w:color w:val="000000"/>
                <w:sz w:val="20"/>
                <w:szCs w:val="20"/>
              </w:rPr>
            </w:pPr>
            <w:r w:rsidRPr="007C51D6">
              <w:rPr>
                <w:color w:val="000000"/>
                <w:sz w:val="20"/>
                <w:szCs w:val="20"/>
              </w:rPr>
              <w:t>0,00</w:t>
            </w:r>
          </w:p>
        </w:tc>
        <w:tc>
          <w:tcPr>
            <w:tcW w:w="907" w:type="dxa"/>
          </w:tcPr>
          <w:p w:rsidR="001E3FBE" w:rsidRPr="007C51D6" w:rsidRDefault="001E3FBE" w:rsidP="001E3FBE">
            <w:pPr>
              <w:autoSpaceDE/>
              <w:autoSpaceDN/>
              <w:adjustRightInd/>
              <w:jc w:val="center"/>
              <w:rPr>
                <w:bCs/>
                <w:color w:val="000000"/>
                <w:sz w:val="20"/>
                <w:szCs w:val="20"/>
              </w:rPr>
            </w:pPr>
            <w:r w:rsidRPr="007C51D6">
              <w:rPr>
                <w:bCs/>
                <w:color w:val="000000"/>
                <w:sz w:val="20"/>
                <w:szCs w:val="20"/>
              </w:rPr>
              <w:t>нет</w:t>
            </w:r>
          </w:p>
          <w:p w:rsidR="001E3FBE" w:rsidRPr="007C51D6" w:rsidRDefault="001E3FBE" w:rsidP="001E3FBE">
            <w:pPr>
              <w:autoSpaceDE/>
              <w:autoSpaceDN/>
              <w:adjustRightInd/>
              <w:jc w:val="center"/>
              <w:rPr>
                <w:bCs/>
                <w:color w:val="000000"/>
                <w:sz w:val="20"/>
                <w:szCs w:val="20"/>
              </w:rPr>
            </w:pPr>
            <w:r w:rsidRPr="007C51D6">
              <w:rPr>
                <w:bCs/>
                <w:color w:val="000000"/>
                <w:sz w:val="20"/>
                <w:szCs w:val="20"/>
              </w:rPr>
              <w:t>данных</w:t>
            </w:r>
          </w:p>
        </w:tc>
      </w:tr>
      <w:tr w:rsidR="001E3FBE" w:rsidRPr="007C51D6" w:rsidTr="00B93D5E">
        <w:trPr>
          <w:cantSplit/>
          <w:trHeight w:val="20"/>
          <w:jc w:val="center"/>
        </w:trPr>
        <w:tc>
          <w:tcPr>
            <w:tcW w:w="3539" w:type="dxa"/>
            <w:shd w:val="clear" w:color="auto" w:fill="auto"/>
            <w:noWrap/>
          </w:tcPr>
          <w:p w:rsidR="001E3FBE" w:rsidRPr="007C51D6" w:rsidRDefault="00B41962" w:rsidP="001E3FBE">
            <w:pPr>
              <w:autoSpaceDE/>
              <w:autoSpaceDN/>
              <w:adjustRightInd/>
              <w:jc w:val="both"/>
              <w:rPr>
                <w:sz w:val="20"/>
                <w:szCs w:val="20"/>
              </w:rPr>
            </w:pPr>
            <w:hyperlink r:id="rId23" w:history="1">
              <w:r w:rsidR="001E3FBE" w:rsidRPr="007C51D6">
                <w:rPr>
                  <w:rFonts w:eastAsia="Arial"/>
                  <w:bCs/>
                  <w:sz w:val="20"/>
                  <w:szCs w:val="20"/>
                </w:rPr>
                <w:t xml:space="preserve">доброкачественные новообразования </w:t>
              </w:r>
            </w:hyperlink>
            <w:r w:rsidR="001E3FBE" w:rsidRPr="007C51D6">
              <w:rPr>
                <w:rFonts w:eastAsia="Arial"/>
                <w:bCs/>
                <w:sz w:val="20"/>
                <w:szCs w:val="20"/>
              </w:rPr>
              <w:t xml:space="preserve">яичника </w:t>
            </w:r>
          </w:p>
        </w:tc>
        <w:tc>
          <w:tcPr>
            <w:tcW w:w="1276" w:type="dxa"/>
            <w:shd w:val="clear" w:color="auto" w:fill="auto"/>
            <w:noWrap/>
          </w:tcPr>
          <w:p w:rsidR="001E3FBE" w:rsidRPr="007C51D6" w:rsidRDefault="001E3FBE" w:rsidP="001E3FBE">
            <w:pPr>
              <w:jc w:val="center"/>
            </w:pPr>
            <w:r w:rsidRPr="007C51D6">
              <w:rPr>
                <w:rFonts w:eastAsia="Arial"/>
                <w:sz w:val="20"/>
                <w:szCs w:val="20"/>
              </w:rPr>
              <w:t>D27</w:t>
            </w:r>
          </w:p>
        </w:tc>
        <w:tc>
          <w:tcPr>
            <w:tcW w:w="1303" w:type="dxa"/>
          </w:tcPr>
          <w:p w:rsidR="001E3FBE" w:rsidRPr="007C51D6" w:rsidRDefault="001E3FBE" w:rsidP="001E3FBE">
            <w:pPr>
              <w:autoSpaceDE/>
              <w:autoSpaceDN/>
              <w:adjustRightInd/>
              <w:jc w:val="center"/>
              <w:rPr>
                <w:bCs/>
                <w:color w:val="000000"/>
                <w:sz w:val="20"/>
                <w:szCs w:val="20"/>
              </w:rPr>
            </w:pPr>
            <w:r w:rsidRPr="007C51D6">
              <w:rPr>
                <w:bCs/>
                <w:color w:val="000000"/>
                <w:sz w:val="20"/>
                <w:szCs w:val="20"/>
              </w:rPr>
              <w:t>нет</w:t>
            </w:r>
          </w:p>
          <w:p w:rsidR="001E3FBE" w:rsidRPr="007C51D6" w:rsidRDefault="001E3FBE" w:rsidP="001E3FBE">
            <w:pPr>
              <w:autoSpaceDE/>
              <w:autoSpaceDN/>
              <w:adjustRightInd/>
              <w:jc w:val="center"/>
              <w:rPr>
                <w:bCs/>
                <w:color w:val="000000"/>
                <w:sz w:val="20"/>
                <w:szCs w:val="20"/>
              </w:rPr>
            </w:pPr>
            <w:r w:rsidRPr="007C51D6">
              <w:rPr>
                <w:bCs/>
                <w:color w:val="000000"/>
                <w:sz w:val="20"/>
                <w:szCs w:val="20"/>
              </w:rPr>
              <w:t>данных</w:t>
            </w:r>
          </w:p>
        </w:tc>
        <w:tc>
          <w:tcPr>
            <w:tcW w:w="1134" w:type="dxa"/>
          </w:tcPr>
          <w:p w:rsidR="001E3FBE" w:rsidRPr="007C51D6" w:rsidRDefault="001E3FBE" w:rsidP="001E3FBE">
            <w:pPr>
              <w:autoSpaceDE/>
              <w:autoSpaceDN/>
              <w:adjustRightInd/>
              <w:jc w:val="center"/>
              <w:rPr>
                <w:bCs/>
                <w:color w:val="000000"/>
                <w:sz w:val="20"/>
                <w:szCs w:val="20"/>
              </w:rPr>
            </w:pPr>
            <w:r w:rsidRPr="007C51D6">
              <w:rPr>
                <w:bCs/>
                <w:color w:val="000000"/>
                <w:sz w:val="20"/>
                <w:szCs w:val="20"/>
              </w:rPr>
              <w:t>нет</w:t>
            </w:r>
          </w:p>
          <w:p w:rsidR="001E3FBE" w:rsidRPr="007C51D6" w:rsidRDefault="001E3FBE" w:rsidP="001E3FBE">
            <w:pPr>
              <w:autoSpaceDE/>
              <w:autoSpaceDN/>
              <w:adjustRightInd/>
              <w:jc w:val="center"/>
              <w:rPr>
                <w:bCs/>
                <w:color w:val="000000"/>
                <w:sz w:val="20"/>
                <w:szCs w:val="20"/>
              </w:rPr>
            </w:pPr>
            <w:r w:rsidRPr="007C51D6">
              <w:rPr>
                <w:bCs/>
                <w:color w:val="000000"/>
                <w:sz w:val="20"/>
                <w:szCs w:val="20"/>
              </w:rPr>
              <w:t>данных</w:t>
            </w:r>
          </w:p>
        </w:tc>
        <w:tc>
          <w:tcPr>
            <w:tcW w:w="1361" w:type="dxa"/>
          </w:tcPr>
          <w:p w:rsidR="001E3FBE" w:rsidRPr="007C51D6" w:rsidRDefault="001E3FBE" w:rsidP="001E3FBE">
            <w:pPr>
              <w:autoSpaceDE/>
              <w:autoSpaceDN/>
              <w:adjustRightInd/>
              <w:jc w:val="center"/>
              <w:rPr>
                <w:bCs/>
                <w:color w:val="000000"/>
                <w:sz w:val="20"/>
                <w:szCs w:val="20"/>
              </w:rPr>
            </w:pPr>
            <w:r w:rsidRPr="007C51D6">
              <w:rPr>
                <w:bCs/>
                <w:color w:val="000000"/>
                <w:sz w:val="20"/>
                <w:szCs w:val="20"/>
              </w:rPr>
              <w:t>нет</w:t>
            </w:r>
          </w:p>
          <w:p w:rsidR="001E3FBE" w:rsidRPr="007C51D6" w:rsidRDefault="001E3FBE" w:rsidP="001E3FBE">
            <w:pPr>
              <w:autoSpaceDE/>
              <w:autoSpaceDN/>
              <w:adjustRightInd/>
              <w:jc w:val="center"/>
              <w:rPr>
                <w:bCs/>
                <w:color w:val="000000"/>
                <w:sz w:val="20"/>
                <w:szCs w:val="20"/>
              </w:rPr>
            </w:pPr>
            <w:r w:rsidRPr="007C51D6">
              <w:rPr>
                <w:bCs/>
                <w:color w:val="000000"/>
                <w:sz w:val="20"/>
                <w:szCs w:val="20"/>
              </w:rPr>
              <w:t>данных</w:t>
            </w:r>
          </w:p>
        </w:tc>
        <w:tc>
          <w:tcPr>
            <w:tcW w:w="992" w:type="dxa"/>
          </w:tcPr>
          <w:p w:rsidR="001E3FBE" w:rsidRPr="007C51D6" w:rsidRDefault="001E3FBE" w:rsidP="001E3FBE">
            <w:pPr>
              <w:jc w:val="center"/>
              <w:rPr>
                <w:color w:val="000000"/>
                <w:sz w:val="20"/>
                <w:szCs w:val="20"/>
              </w:rPr>
            </w:pPr>
            <w:r w:rsidRPr="007C51D6">
              <w:rPr>
                <w:color w:val="000000"/>
                <w:sz w:val="20"/>
                <w:szCs w:val="20"/>
              </w:rPr>
              <w:t>0,03</w:t>
            </w:r>
          </w:p>
        </w:tc>
        <w:tc>
          <w:tcPr>
            <w:tcW w:w="851" w:type="dxa"/>
          </w:tcPr>
          <w:p w:rsidR="001E3FBE" w:rsidRPr="007C51D6" w:rsidRDefault="001E3FBE" w:rsidP="001E3FBE">
            <w:pPr>
              <w:jc w:val="center"/>
              <w:rPr>
                <w:color w:val="000000"/>
                <w:sz w:val="20"/>
                <w:szCs w:val="20"/>
              </w:rPr>
            </w:pPr>
            <w:r w:rsidRPr="007C51D6">
              <w:rPr>
                <w:color w:val="000000"/>
                <w:sz w:val="20"/>
                <w:szCs w:val="20"/>
              </w:rPr>
              <w:t>0,08</w:t>
            </w:r>
          </w:p>
        </w:tc>
        <w:tc>
          <w:tcPr>
            <w:tcW w:w="850" w:type="dxa"/>
          </w:tcPr>
          <w:p w:rsidR="001E3FBE" w:rsidRPr="007C51D6" w:rsidRDefault="001E3FBE" w:rsidP="001E3FBE">
            <w:pPr>
              <w:jc w:val="center"/>
              <w:rPr>
                <w:color w:val="000000"/>
                <w:sz w:val="20"/>
                <w:szCs w:val="20"/>
              </w:rPr>
            </w:pPr>
            <w:r w:rsidRPr="007C51D6">
              <w:rPr>
                <w:color w:val="000000"/>
                <w:sz w:val="20"/>
                <w:szCs w:val="20"/>
              </w:rPr>
              <w:t>0,00</w:t>
            </w:r>
          </w:p>
        </w:tc>
        <w:tc>
          <w:tcPr>
            <w:tcW w:w="851" w:type="dxa"/>
          </w:tcPr>
          <w:p w:rsidR="001E3FBE" w:rsidRPr="007C51D6" w:rsidRDefault="001E3FBE" w:rsidP="001E3FBE">
            <w:pPr>
              <w:jc w:val="center"/>
              <w:rPr>
                <w:color w:val="000000"/>
                <w:sz w:val="20"/>
                <w:szCs w:val="20"/>
              </w:rPr>
            </w:pPr>
            <w:r w:rsidRPr="007C51D6">
              <w:rPr>
                <w:color w:val="000000"/>
                <w:sz w:val="20"/>
                <w:szCs w:val="20"/>
              </w:rPr>
              <w:t>0,03</w:t>
            </w:r>
          </w:p>
        </w:tc>
        <w:tc>
          <w:tcPr>
            <w:tcW w:w="829" w:type="dxa"/>
          </w:tcPr>
          <w:p w:rsidR="001E3FBE" w:rsidRPr="007C51D6" w:rsidRDefault="001E3FBE" w:rsidP="001E3FBE">
            <w:pPr>
              <w:jc w:val="center"/>
              <w:rPr>
                <w:color w:val="000000"/>
                <w:sz w:val="20"/>
                <w:szCs w:val="20"/>
              </w:rPr>
            </w:pPr>
            <w:r w:rsidRPr="007C51D6">
              <w:rPr>
                <w:color w:val="000000"/>
                <w:sz w:val="20"/>
                <w:szCs w:val="20"/>
              </w:rPr>
              <w:t>0,00</w:t>
            </w:r>
          </w:p>
        </w:tc>
        <w:tc>
          <w:tcPr>
            <w:tcW w:w="907" w:type="dxa"/>
          </w:tcPr>
          <w:p w:rsidR="001E3FBE" w:rsidRPr="007C51D6" w:rsidRDefault="001E3FBE" w:rsidP="001E3FBE">
            <w:pPr>
              <w:jc w:val="center"/>
              <w:rPr>
                <w:color w:val="000000"/>
                <w:sz w:val="20"/>
                <w:szCs w:val="20"/>
              </w:rPr>
            </w:pPr>
            <w:r w:rsidRPr="007C51D6">
              <w:rPr>
                <w:color w:val="000000"/>
                <w:sz w:val="20"/>
                <w:szCs w:val="20"/>
              </w:rPr>
              <w:t>0,02</w:t>
            </w:r>
          </w:p>
        </w:tc>
        <w:tc>
          <w:tcPr>
            <w:tcW w:w="907" w:type="dxa"/>
          </w:tcPr>
          <w:p w:rsidR="001E3FBE" w:rsidRPr="007C51D6" w:rsidRDefault="001E3FBE" w:rsidP="001E3FBE">
            <w:pPr>
              <w:autoSpaceDE/>
              <w:autoSpaceDN/>
              <w:adjustRightInd/>
              <w:jc w:val="center"/>
              <w:rPr>
                <w:bCs/>
                <w:color w:val="000000"/>
                <w:sz w:val="20"/>
                <w:szCs w:val="20"/>
              </w:rPr>
            </w:pPr>
            <w:r w:rsidRPr="007C51D6">
              <w:rPr>
                <w:bCs/>
                <w:color w:val="000000"/>
                <w:sz w:val="20"/>
                <w:szCs w:val="20"/>
              </w:rPr>
              <w:t>нет</w:t>
            </w:r>
          </w:p>
          <w:p w:rsidR="001E3FBE" w:rsidRPr="007C51D6" w:rsidRDefault="001E3FBE" w:rsidP="001E3FBE">
            <w:pPr>
              <w:autoSpaceDE/>
              <w:autoSpaceDN/>
              <w:adjustRightInd/>
              <w:jc w:val="center"/>
              <w:rPr>
                <w:bCs/>
                <w:color w:val="000000"/>
                <w:sz w:val="20"/>
                <w:szCs w:val="20"/>
              </w:rPr>
            </w:pPr>
            <w:r w:rsidRPr="007C51D6">
              <w:rPr>
                <w:bCs/>
                <w:color w:val="000000"/>
                <w:sz w:val="20"/>
                <w:szCs w:val="20"/>
              </w:rPr>
              <w:t>данных</w:t>
            </w:r>
          </w:p>
        </w:tc>
      </w:tr>
      <w:tr w:rsidR="001E3FBE" w:rsidRPr="007C51D6" w:rsidTr="00B93D5E">
        <w:trPr>
          <w:cantSplit/>
          <w:trHeight w:val="20"/>
          <w:jc w:val="center"/>
        </w:trPr>
        <w:tc>
          <w:tcPr>
            <w:tcW w:w="3539" w:type="dxa"/>
            <w:shd w:val="clear" w:color="auto" w:fill="auto"/>
            <w:noWrap/>
          </w:tcPr>
          <w:p w:rsidR="001E3FBE" w:rsidRPr="007C51D6" w:rsidRDefault="001E3FBE" w:rsidP="001E3FBE">
            <w:pPr>
              <w:autoSpaceDE/>
              <w:autoSpaceDN/>
              <w:adjustRightInd/>
              <w:jc w:val="both"/>
              <w:rPr>
                <w:sz w:val="20"/>
                <w:szCs w:val="20"/>
              </w:rPr>
            </w:pPr>
            <w:r w:rsidRPr="007C51D6">
              <w:rPr>
                <w:color w:val="333333"/>
                <w:sz w:val="20"/>
                <w:szCs w:val="20"/>
              </w:rPr>
              <w:t>доброкачественное новообразование других и неуточненных женских половых органов</w:t>
            </w:r>
          </w:p>
        </w:tc>
        <w:tc>
          <w:tcPr>
            <w:tcW w:w="1276" w:type="dxa"/>
            <w:shd w:val="clear" w:color="auto" w:fill="auto"/>
            <w:noWrap/>
          </w:tcPr>
          <w:p w:rsidR="001E3FBE" w:rsidRPr="007C51D6" w:rsidRDefault="001E3FBE" w:rsidP="001E3FBE">
            <w:pPr>
              <w:jc w:val="center"/>
            </w:pPr>
            <w:r w:rsidRPr="007C51D6">
              <w:rPr>
                <w:rFonts w:eastAsia="Arial"/>
                <w:sz w:val="20"/>
                <w:szCs w:val="20"/>
              </w:rPr>
              <w:t>D28</w:t>
            </w:r>
          </w:p>
        </w:tc>
        <w:tc>
          <w:tcPr>
            <w:tcW w:w="1303" w:type="dxa"/>
          </w:tcPr>
          <w:p w:rsidR="001E3FBE" w:rsidRPr="007C51D6" w:rsidRDefault="001E3FBE" w:rsidP="001E3FBE">
            <w:pPr>
              <w:autoSpaceDE/>
              <w:autoSpaceDN/>
              <w:adjustRightInd/>
              <w:jc w:val="center"/>
              <w:rPr>
                <w:bCs/>
                <w:color w:val="000000"/>
                <w:sz w:val="20"/>
                <w:szCs w:val="20"/>
              </w:rPr>
            </w:pPr>
            <w:r w:rsidRPr="007C51D6">
              <w:rPr>
                <w:bCs/>
                <w:color w:val="000000"/>
                <w:sz w:val="20"/>
                <w:szCs w:val="20"/>
              </w:rPr>
              <w:t>нет</w:t>
            </w:r>
          </w:p>
          <w:p w:rsidR="001E3FBE" w:rsidRPr="007C51D6" w:rsidRDefault="001E3FBE" w:rsidP="001E3FBE">
            <w:pPr>
              <w:autoSpaceDE/>
              <w:autoSpaceDN/>
              <w:adjustRightInd/>
              <w:jc w:val="center"/>
              <w:rPr>
                <w:bCs/>
                <w:color w:val="000000"/>
                <w:sz w:val="20"/>
                <w:szCs w:val="20"/>
              </w:rPr>
            </w:pPr>
            <w:r w:rsidRPr="007C51D6">
              <w:rPr>
                <w:bCs/>
                <w:color w:val="000000"/>
                <w:sz w:val="20"/>
                <w:szCs w:val="20"/>
              </w:rPr>
              <w:t>данных</w:t>
            </w:r>
          </w:p>
        </w:tc>
        <w:tc>
          <w:tcPr>
            <w:tcW w:w="1134" w:type="dxa"/>
          </w:tcPr>
          <w:p w:rsidR="001E3FBE" w:rsidRPr="007C51D6" w:rsidRDefault="001E3FBE" w:rsidP="001E3FBE">
            <w:pPr>
              <w:autoSpaceDE/>
              <w:autoSpaceDN/>
              <w:adjustRightInd/>
              <w:jc w:val="center"/>
              <w:rPr>
                <w:bCs/>
                <w:color w:val="000000"/>
                <w:sz w:val="20"/>
                <w:szCs w:val="20"/>
              </w:rPr>
            </w:pPr>
            <w:r w:rsidRPr="007C51D6">
              <w:rPr>
                <w:bCs/>
                <w:color w:val="000000"/>
                <w:sz w:val="20"/>
                <w:szCs w:val="20"/>
              </w:rPr>
              <w:t>нет</w:t>
            </w:r>
          </w:p>
          <w:p w:rsidR="001E3FBE" w:rsidRPr="007C51D6" w:rsidRDefault="001E3FBE" w:rsidP="001E3FBE">
            <w:pPr>
              <w:autoSpaceDE/>
              <w:autoSpaceDN/>
              <w:adjustRightInd/>
              <w:jc w:val="center"/>
              <w:rPr>
                <w:bCs/>
                <w:color w:val="000000"/>
                <w:sz w:val="20"/>
                <w:szCs w:val="20"/>
              </w:rPr>
            </w:pPr>
            <w:r w:rsidRPr="007C51D6">
              <w:rPr>
                <w:bCs/>
                <w:color w:val="000000"/>
                <w:sz w:val="20"/>
                <w:szCs w:val="20"/>
              </w:rPr>
              <w:t>данных</w:t>
            </w:r>
          </w:p>
        </w:tc>
        <w:tc>
          <w:tcPr>
            <w:tcW w:w="1361" w:type="dxa"/>
          </w:tcPr>
          <w:p w:rsidR="001E3FBE" w:rsidRPr="007C51D6" w:rsidRDefault="001E3FBE" w:rsidP="001E3FBE">
            <w:pPr>
              <w:autoSpaceDE/>
              <w:autoSpaceDN/>
              <w:adjustRightInd/>
              <w:jc w:val="center"/>
              <w:rPr>
                <w:bCs/>
                <w:color w:val="000000"/>
                <w:sz w:val="20"/>
                <w:szCs w:val="20"/>
              </w:rPr>
            </w:pPr>
            <w:r w:rsidRPr="007C51D6">
              <w:rPr>
                <w:bCs/>
                <w:color w:val="000000"/>
                <w:sz w:val="20"/>
                <w:szCs w:val="20"/>
              </w:rPr>
              <w:t>нет</w:t>
            </w:r>
          </w:p>
          <w:p w:rsidR="001E3FBE" w:rsidRPr="007C51D6" w:rsidRDefault="001E3FBE" w:rsidP="001E3FBE">
            <w:pPr>
              <w:autoSpaceDE/>
              <w:autoSpaceDN/>
              <w:adjustRightInd/>
              <w:jc w:val="center"/>
              <w:rPr>
                <w:bCs/>
                <w:color w:val="000000"/>
                <w:sz w:val="20"/>
                <w:szCs w:val="20"/>
              </w:rPr>
            </w:pPr>
            <w:r w:rsidRPr="007C51D6">
              <w:rPr>
                <w:bCs/>
                <w:color w:val="000000"/>
                <w:sz w:val="20"/>
                <w:szCs w:val="20"/>
              </w:rPr>
              <w:t>данных</w:t>
            </w:r>
          </w:p>
        </w:tc>
        <w:tc>
          <w:tcPr>
            <w:tcW w:w="992" w:type="dxa"/>
          </w:tcPr>
          <w:p w:rsidR="001E3FBE" w:rsidRPr="007C51D6" w:rsidRDefault="001E3FBE" w:rsidP="001E3FBE">
            <w:pPr>
              <w:jc w:val="center"/>
              <w:rPr>
                <w:color w:val="000000"/>
                <w:sz w:val="20"/>
                <w:szCs w:val="20"/>
              </w:rPr>
            </w:pPr>
            <w:r w:rsidRPr="007C51D6">
              <w:rPr>
                <w:color w:val="000000"/>
                <w:sz w:val="20"/>
                <w:szCs w:val="20"/>
              </w:rPr>
              <w:t>0,00</w:t>
            </w:r>
          </w:p>
        </w:tc>
        <w:tc>
          <w:tcPr>
            <w:tcW w:w="851" w:type="dxa"/>
          </w:tcPr>
          <w:p w:rsidR="001E3FBE" w:rsidRPr="007C51D6" w:rsidRDefault="001E3FBE" w:rsidP="001E3FBE">
            <w:pPr>
              <w:jc w:val="center"/>
              <w:rPr>
                <w:color w:val="000000"/>
                <w:sz w:val="20"/>
                <w:szCs w:val="20"/>
              </w:rPr>
            </w:pPr>
            <w:r w:rsidRPr="007C51D6">
              <w:rPr>
                <w:color w:val="000000"/>
                <w:sz w:val="20"/>
                <w:szCs w:val="20"/>
              </w:rPr>
              <w:t>0,00</w:t>
            </w:r>
          </w:p>
        </w:tc>
        <w:tc>
          <w:tcPr>
            <w:tcW w:w="850" w:type="dxa"/>
          </w:tcPr>
          <w:p w:rsidR="001E3FBE" w:rsidRPr="007C51D6" w:rsidRDefault="001E3FBE" w:rsidP="001E3FBE">
            <w:pPr>
              <w:jc w:val="center"/>
              <w:rPr>
                <w:color w:val="000000"/>
                <w:sz w:val="20"/>
                <w:szCs w:val="20"/>
              </w:rPr>
            </w:pPr>
            <w:r w:rsidRPr="007C51D6">
              <w:rPr>
                <w:color w:val="000000"/>
                <w:sz w:val="20"/>
                <w:szCs w:val="20"/>
              </w:rPr>
              <w:t>0,00</w:t>
            </w:r>
          </w:p>
        </w:tc>
        <w:tc>
          <w:tcPr>
            <w:tcW w:w="851" w:type="dxa"/>
          </w:tcPr>
          <w:p w:rsidR="001E3FBE" w:rsidRPr="007C51D6" w:rsidRDefault="001E3FBE" w:rsidP="001E3FBE">
            <w:pPr>
              <w:jc w:val="center"/>
              <w:rPr>
                <w:color w:val="000000"/>
                <w:sz w:val="20"/>
                <w:szCs w:val="20"/>
              </w:rPr>
            </w:pPr>
            <w:r w:rsidRPr="007C51D6">
              <w:rPr>
                <w:color w:val="000000"/>
                <w:sz w:val="20"/>
                <w:szCs w:val="20"/>
              </w:rPr>
              <w:t>0,00</w:t>
            </w:r>
          </w:p>
        </w:tc>
        <w:tc>
          <w:tcPr>
            <w:tcW w:w="829" w:type="dxa"/>
          </w:tcPr>
          <w:p w:rsidR="001E3FBE" w:rsidRPr="007C51D6" w:rsidRDefault="001E3FBE" w:rsidP="001E3FBE">
            <w:pPr>
              <w:jc w:val="center"/>
              <w:rPr>
                <w:color w:val="000000"/>
                <w:sz w:val="20"/>
                <w:szCs w:val="20"/>
              </w:rPr>
            </w:pPr>
            <w:r w:rsidRPr="007C51D6">
              <w:rPr>
                <w:color w:val="000000"/>
                <w:sz w:val="20"/>
                <w:szCs w:val="20"/>
              </w:rPr>
              <w:t>0,00</w:t>
            </w:r>
          </w:p>
        </w:tc>
        <w:tc>
          <w:tcPr>
            <w:tcW w:w="907" w:type="dxa"/>
          </w:tcPr>
          <w:p w:rsidR="001E3FBE" w:rsidRPr="007C51D6" w:rsidRDefault="001E3FBE" w:rsidP="001E3FBE">
            <w:pPr>
              <w:jc w:val="center"/>
              <w:rPr>
                <w:color w:val="000000"/>
                <w:sz w:val="20"/>
                <w:szCs w:val="20"/>
              </w:rPr>
            </w:pPr>
            <w:r w:rsidRPr="007C51D6">
              <w:rPr>
                <w:color w:val="000000"/>
                <w:sz w:val="20"/>
                <w:szCs w:val="20"/>
              </w:rPr>
              <w:t>0,00</w:t>
            </w:r>
          </w:p>
        </w:tc>
        <w:tc>
          <w:tcPr>
            <w:tcW w:w="907" w:type="dxa"/>
          </w:tcPr>
          <w:p w:rsidR="001E3FBE" w:rsidRPr="007C51D6" w:rsidRDefault="001E3FBE" w:rsidP="001E3FBE">
            <w:pPr>
              <w:autoSpaceDE/>
              <w:autoSpaceDN/>
              <w:adjustRightInd/>
              <w:jc w:val="center"/>
              <w:rPr>
                <w:bCs/>
                <w:color w:val="000000"/>
                <w:sz w:val="20"/>
                <w:szCs w:val="20"/>
              </w:rPr>
            </w:pPr>
            <w:r w:rsidRPr="007C51D6">
              <w:rPr>
                <w:bCs/>
                <w:color w:val="000000"/>
                <w:sz w:val="20"/>
                <w:szCs w:val="20"/>
              </w:rPr>
              <w:t>нет</w:t>
            </w:r>
          </w:p>
          <w:p w:rsidR="001E3FBE" w:rsidRPr="007C51D6" w:rsidRDefault="001E3FBE" w:rsidP="001E3FBE">
            <w:pPr>
              <w:autoSpaceDE/>
              <w:autoSpaceDN/>
              <w:adjustRightInd/>
              <w:jc w:val="center"/>
              <w:rPr>
                <w:bCs/>
                <w:color w:val="000000"/>
                <w:sz w:val="20"/>
                <w:szCs w:val="20"/>
              </w:rPr>
            </w:pPr>
            <w:r w:rsidRPr="007C51D6">
              <w:rPr>
                <w:bCs/>
                <w:color w:val="000000"/>
                <w:sz w:val="20"/>
                <w:szCs w:val="20"/>
              </w:rPr>
              <w:t>данных</w:t>
            </w:r>
          </w:p>
        </w:tc>
      </w:tr>
      <w:tr w:rsidR="001E3FBE" w:rsidRPr="007C51D6" w:rsidTr="00B93D5E">
        <w:trPr>
          <w:cantSplit/>
          <w:trHeight w:val="20"/>
          <w:jc w:val="center"/>
        </w:trPr>
        <w:tc>
          <w:tcPr>
            <w:tcW w:w="3539" w:type="dxa"/>
            <w:shd w:val="clear" w:color="auto" w:fill="auto"/>
            <w:noWrap/>
          </w:tcPr>
          <w:p w:rsidR="001E3FBE" w:rsidRPr="007C51D6" w:rsidRDefault="001E3FBE" w:rsidP="001E3FBE">
            <w:pPr>
              <w:autoSpaceDE/>
              <w:autoSpaceDN/>
              <w:adjustRightInd/>
              <w:jc w:val="both"/>
              <w:rPr>
                <w:sz w:val="20"/>
                <w:szCs w:val="20"/>
              </w:rPr>
            </w:pPr>
            <w:r w:rsidRPr="007C51D6">
              <w:rPr>
                <w:color w:val="333333"/>
                <w:sz w:val="20"/>
                <w:szCs w:val="20"/>
              </w:rPr>
              <w:t>доброкачественное новообразование мужских половых органов</w:t>
            </w:r>
          </w:p>
        </w:tc>
        <w:tc>
          <w:tcPr>
            <w:tcW w:w="1276" w:type="dxa"/>
            <w:shd w:val="clear" w:color="auto" w:fill="auto"/>
            <w:noWrap/>
          </w:tcPr>
          <w:p w:rsidR="001E3FBE" w:rsidRPr="007C51D6" w:rsidRDefault="001E3FBE" w:rsidP="001E3FBE">
            <w:pPr>
              <w:jc w:val="center"/>
            </w:pPr>
            <w:r w:rsidRPr="007C51D6">
              <w:rPr>
                <w:rFonts w:eastAsia="Arial"/>
                <w:sz w:val="20"/>
                <w:szCs w:val="20"/>
              </w:rPr>
              <w:t>D29</w:t>
            </w:r>
          </w:p>
        </w:tc>
        <w:tc>
          <w:tcPr>
            <w:tcW w:w="1303" w:type="dxa"/>
          </w:tcPr>
          <w:p w:rsidR="001E3FBE" w:rsidRPr="007C51D6" w:rsidRDefault="001E3FBE" w:rsidP="001E3FBE">
            <w:pPr>
              <w:autoSpaceDE/>
              <w:autoSpaceDN/>
              <w:adjustRightInd/>
              <w:jc w:val="center"/>
              <w:rPr>
                <w:bCs/>
                <w:color w:val="000000"/>
                <w:sz w:val="20"/>
                <w:szCs w:val="20"/>
              </w:rPr>
            </w:pPr>
            <w:r w:rsidRPr="007C51D6">
              <w:rPr>
                <w:bCs/>
                <w:color w:val="000000"/>
                <w:sz w:val="20"/>
                <w:szCs w:val="20"/>
              </w:rPr>
              <w:t>нет</w:t>
            </w:r>
          </w:p>
          <w:p w:rsidR="001E3FBE" w:rsidRPr="007C51D6" w:rsidRDefault="001E3FBE" w:rsidP="001E3FBE">
            <w:pPr>
              <w:autoSpaceDE/>
              <w:autoSpaceDN/>
              <w:adjustRightInd/>
              <w:jc w:val="center"/>
              <w:rPr>
                <w:bCs/>
                <w:color w:val="000000"/>
                <w:sz w:val="20"/>
                <w:szCs w:val="20"/>
              </w:rPr>
            </w:pPr>
            <w:r w:rsidRPr="007C51D6">
              <w:rPr>
                <w:bCs/>
                <w:color w:val="000000"/>
                <w:sz w:val="20"/>
                <w:szCs w:val="20"/>
              </w:rPr>
              <w:t>данных</w:t>
            </w:r>
          </w:p>
        </w:tc>
        <w:tc>
          <w:tcPr>
            <w:tcW w:w="1134" w:type="dxa"/>
          </w:tcPr>
          <w:p w:rsidR="001E3FBE" w:rsidRPr="007C51D6" w:rsidRDefault="001E3FBE" w:rsidP="001E3FBE">
            <w:pPr>
              <w:autoSpaceDE/>
              <w:autoSpaceDN/>
              <w:adjustRightInd/>
              <w:jc w:val="center"/>
              <w:rPr>
                <w:bCs/>
                <w:color w:val="000000"/>
                <w:sz w:val="20"/>
                <w:szCs w:val="20"/>
              </w:rPr>
            </w:pPr>
            <w:r w:rsidRPr="007C51D6">
              <w:rPr>
                <w:bCs/>
                <w:color w:val="000000"/>
                <w:sz w:val="20"/>
                <w:szCs w:val="20"/>
              </w:rPr>
              <w:t>нет</w:t>
            </w:r>
          </w:p>
          <w:p w:rsidR="001E3FBE" w:rsidRPr="007C51D6" w:rsidRDefault="001E3FBE" w:rsidP="001E3FBE">
            <w:pPr>
              <w:autoSpaceDE/>
              <w:autoSpaceDN/>
              <w:adjustRightInd/>
              <w:jc w:val="center"/>
              <w:rPr>
                <w:bCs/>
                <w:color w:val="000000"/>
                <w:sz w:val="20"/>
                <w:szCs w:val="20"/>
              </w:rPr>
            </w:pPr>
            <w:r w:rsidRPr="007C51D6">
              <w:rPr>
                <w:bCs/>
                <w:color w:val="000000"/>
                <w:sz w:val="20"/>
                <w:szCs w:val="20"/>
              </w:rPr>
              <w:t>данных</w:t>
            </w:r>
          </w:p>
        </w:tc>
        <w:tc>
          <w:tcPr>
            <w:tcW w:w="1361" w:type="dxa"/>
          </w:tcPr>
          <w:p w:rsidR="001E3FBE" w:rsidRPr="007C51D6" w:rsidRDefault="001E3FBE" w:rsidP="001E3FBE">
            <w:pPr>
              <w:autoSpaceDE/>
              <w:autoSpaceDN/>
              <w:adjustRightInd/>
              <w:jc w:val="center"/>
              <w:rPr>
                <w:bCs/>
                <w:color w:val="000000"/>
                <w:sz w:val="20"/>
                <w:szCs w:val="20"/>
              </w:rPr>
            </w:pPr>
            <w:r w:rsidRPr="007C51D6">
              <w:rPr>
                <w:bCs/>
                <w:color w:val="000000"/>
                <w:sz w:val="20"/>
                <w:szCs w:val="20"/>
              </w:rPr>
              <w:t>нет</w:t>
            </w:r>
          </w:p>
          <w:p w:rsidR="001E3FBE" w:rsidRPr="007C51D6" w:rsidRDefault="001E3FBE" w:rsidP="001E3FBE">
            <w:pPr>
              <w:autoSpaceDE/>
              <w:autoSpaceDN/>
              <w:adjustRightInd/>
              <w:jc w:val="center"/>
              <w:rPr>
                <w:bCs/>
                <w:color w:val="000000"/>
                <w:sz w:val="20"/>
                <w:szCs w:val="20"/>
              </w:rPr>
            </w:pPr>
            <w:r w:rsidRPr="007C51D6">
              <w:rPr>
                <w:bCs/>
                <w:color w:val="000000"/>
                <w:sz w:val="20"/>
                <w:szCs w:val="20"/>
              </w:rPr>
              <w:t>данных</w:t>
            </w:r>
          </w:p>
        </w:tc>
        <w:tc>
          <w:tcPr>
            <w:tcW w:w="992" w:type="dxa"/>
          </w:tcPr>
          <w:p w:rsidR="001E3FBE" w:rsidRPr="007C51D6" w:rsidRDefault="001E3FBE" w:rsidP="001E3FBE">
            <w:pPr>
              <w:jc w:val="center"/>
              <w:rPr>
                <w:color w:val="000000"/>
                <w:sz w:val="20"/>
                <w:szCs w:val="20"/>
              </w:rPr>
            </w:pPr>
            <w:r w:rsidRPr="007C51D6">
              <w:rPr>
                <w:color w:val="000000"/>
                <w:sz w:val="20"/>
                <w:szCs w:val="20"/>
              </w:rPr>
              <w:t>0,10</w:t>
            </w:r>
          </w:p>
        </w:tc>
        <w:tc>
          <w:tcPr>
            <w:tcW w:w="851" w:type="dxa"/>
          </w:tcPr>
          <w:p w:rsidR="001E3FBE" w:rsidRPr="007C51D6" w:rsidRDefault="001E3FBE" w:rsidP="001E3FBE">
            <w:pPr>
              <w:jc w:val="center"/>
              <w:rPr>
                <w:color w:val="000000"/>
                <w:sz w:val="20"/>
                <w:szCs w:val="20"/>
              </w:rPr>
            </w:pPr>
            <w:r w:rsidRPr="007C51D6">
              <w:rPr>
                <w:color w:val="000000"/>
                <w:sz w:val="20"/>
                <w:szCs w:val="20"/>
              </w:rPr>
              <w:t>0,03</w:t>
            </w:r>
          </w:p>
        </w:tc>
        <w:tc>
          <w:tcPr>
            <w:tcW w:w="850" w:type="dxa"/>
          </w:tcPr>
          <w:p w:rsidR="001E3FBE" w:rsidRPr="007C51D6" w:rsidRDefault="001E3FBE" w:rsidP="001E3FBE">
            <w:pPr>
              <w:jc w:val="center"/>
              <w:rPr>
                <w:color w:val="000000"/>
                <w:sz w:val="20"/>
                <w:szCs w:val="20"/>
              </w:rPr>
            </w:pPr>
            <w:r w:rsidRPr="007C51D6">
              <w:rPr>
                <w:color w:val="000000"/>
                <w:sz w:val="20"/>
                <w:szCs w:val="20"/>
              </w:rPr>
              <w:t>0,08</w:t>
            </w:r>
          </w:p>
        </w:tc>
        <w:tc>
          <w:tcPr>
            <w:tcW w:w="851" w:type="dxa"/>
          </w:tcPr>
          <w:p w:rsidR="001E3FBE" w:rsidRPr="007C51D6" w:rsidRDefault="001E3FBE" w:rsidP="001E3FBE">
            <w:pPr>
              <w:jc w:val="center"/>
              <w:rPr>
                <w:color w:val="000000"/>
                <w:sz w:val="20"/>
                <w:szCs w:val="20"/>
              </w:rPr>
            </w:pPr>
            <w:r w:rsidRPr="007C51D6">
              <w:rPr>
                <w:color w:val="000000"/>
                <w:sz w:val="20"/>
                <w:szCs w:val="20"/>
              </w:rPr>
              <w:t>0,23</w:t>
            </w:r>
          </w:p>
        </w:tc>
        <w:tc>
          <w:tcPr>
            <w:tcW w:w="829" w:type="dxa"/>
          </w:tcPr>
          <w:p w:rsidR="001E3FBE" w:rsidRPr="007C51D6" w:rsidRDefault="001E3FBE" w:rsidP="001E3FBE">
            <w:pPr>
              <w:jc w:val="center"/>
              <w:rPr>
                <w:color w:val="000000"/>
                <w:sz w:val="20"/>
                <w:szCs w:val="20"/>
              </w:rPr>
            </w:pPr>
            <w:r w:rsidRPr="007C51D6">
              <w:rPr>
                <w:color w:val="000000"/>
                <w:sz w:val="20"/>
                <w:szCs w:val="20"/>
              </w:rPr>
              <w:t>0,07</w:t>
            </w:r>
          </w:p>
        </w:tc>
        <w:tc>
          <w:tcPr>
            <w:tcW w:w="907" w:type="dxa"/>
          </w:tcPr>
          <w:p w:rsidR="001E3FBE" w:rsidRPr="007C51D6" w:rsidRDefault="001E3FBE" w:rsidP="001E3FBE">
            <w:pPr>
              <w:jc w:val="center"/>
              <w:rPr>
                <w:color w:val="000000"/>
                <w:sz w:val="20"/>
                <w:szCs w:val="20"/>
              </w:rPr>
            </w:pPr>
            <w:r w:rsidRPr="007C51D6">
              <w:rPr>
                <w:color w:val="000000"/>
                <w:sz w:val="20"/>
                <w:szCs w:val="20"/>
              </w:rPr>
              <w:t>0,10</w:t>
            </w:r>
          </w:p>
        </w:tc>
        <w:tc>
          <w:tcPr>
            <w:tcW w:w="907" w:type="dxa"/>
          </w:tcPr>
          <w:p w:rsidR="001E3FBE" w:rsidRPr="007C51D6" w:rsidRDefault="001E3FBE" w:rsidP="001E3FBE">
            <w:pPr>
              <w:autoSpaceDE/>
              <w:autoSpaceDN/>
              <w:adjustRightInd/>
              <w:jc w:val="center"/>
              <w:rPr>
                <w:bCs/>
                <w:color w:val="000000"/>
                <w:sz w:val="20"/>
                <w:szCs w:val="20"/>
              </w:rPr>
            </w:pPr>
            <w:r w:rsidRPr="007C51D6">
              <w:rPr>
                <w:bCs/>
                <w:color w:val="000000"/>
                <w:sz w:val="20"/>
                <w:szCs w:val="20"/>
              </w:rPr>
              <w:t>нет</w:t>
            </w:r>
          </w:p>
          <w:p w:rsidR="001E3FBE" w:rsidRPr="007C51D6" w:rsidRDefault="001E3FBE" w:rsidP="001E3FBE">
            <w:pPr>
              <w:autoSpaceDE/>
              <w:autoSpaceDN/>
              <w:adjustRightInd/>
              <w:jc w:val="center"/>
              <w:rPr>
                <w:bCs/>
                <w:color w:val="000000"/>
                <w:sz w:val="20"/>
                <w:szCs w:val="20"/>
              </w:rPr>
            </w:pPr>
            <w:r w:rsidRPr="007C51D6">
              <w:rPr>
                <w:bCs/>
                <w:color w:val="000000"/>
                <w:sz w:val="20"/>
                <w:szCs w:val="20"/>
              </w:rPr>
              <w:t>данных</w:t>
            </w:r>
          </w:p>
        </w:tc>
      </w:tr>
      <w:tr w:rsidR="001E3FBE" w:rsidRPr="007C51D6" w:rsidTr="00B93D5E">
        <w:trPr>
          <w:cantSplit/>
          <w:trHeight w:val="20"/>
          <w:jc w:val="center"/>
        </w:trPr>
        <w:tc>
          <w:tcPr>
            <w:tcW w:w="3539" w:type="dxa"/>
            <w:shd w:val="clear" w:color="auto" w:fill="auto"/>
            <w:noWrap/>
          </w:tcPr>
          <w:p w:rsidR="001E3FBE" w:rsidRPr="007C51D6" w:rsidRDefault="001E3FBE" w:rsidP="001E3FBE">
            <w:pPr>
              <w:autoSpaceDE/>
              <w:autoSpaceDN/>
              <w:adjustRightInd/>
              <w:jc w:val="both"/>
              <w:rPr>
                <w:color w:val="333333"/>
                <w:sz w:val="20"/>
                <w:szCs w:val="20"/>
              </w:rPr>
            </w:pPr>
            <w:r w:rsidRPr="007C51D6">
              <w:rPr>
                <w:color w:val="333333"/>
                <w:sz w:val="20"/>
                <w:szCs w:val="20"/>
              </w:rPr>
              <w:t>доброкачественные новообразования мочевых органов</w:t>
            </w:r>
          </w:p>
        </w:tc>
        <w:tc>
          <w:tcPr>
            <w:tcW w:w="1276" w:type="dxa"/>
            <w:shd w:val="clear" w:color="auto" w:fill="auto"/>
            <w:noWrap/>
          </w:tcPr>
          <w:p w:rsidR="001E3FBE" w:rsidRPr="007C51D6" w:rsidRDefault="001E3FBE" w:rsidP="001E3FBE">
            <w:pPr>
              <w:jc w:val="center"/>
            </w:pPr>
            <w:r w:rsidRPr="007C51D6">
              <w:rPr>
                <w:rFonts w:eastAsia="Arial"/>
                <w:sz w:val="20"/>
                <w:szCs w:val="20"/>
              </w:rPr>
              <w:t>D30</w:t>
            </w:r>
          </w:p>
        </w:tc>
        <w:tc>
          <w:tcPr>
            <w:tcW w:w="1303" w:type="dxa"/>
          </w:tcPr>
          <w:p w:rsidR="001E3FBE" w:rsidRPr="007C51D6" w:rsidRDefault="001E3FBE" w:rsidP="001E3FBE">
            <w:pPr>
              <w:autoSpaceDE/>
              <w:autoSpaceDN/>
              <w:adjustRightInd/>
              <w:jc w:val="center"/>
              <w:rPr>
                <w:bCs/>
                <w:color w:val="000000"/>
                <w:sz w:val="20"/>
                <w:szCs w:val="20"/>
              </w:rPr>
            </w:pPr>
            <w:r w:rsidRPr="007C51D6">
              <w:rPr>
                <w:bCs/>
                <w:color w:val="000000"/>
                <w:sz w:val="20"/>
                <w:szCs w:val="20"/>
              </w:rPr>
              <w:t>нет</w:t>
            </w:r>
          </w:p>
          <w:p w:rsidR="001E3FBE" w:rsidRPr="007C51D6" w:rsidRDefault="001E3FBE" w:rsidP="001E3FBE">
            <w:pPr>
              <w:autoSpaceDE/>
              <w:autoSpaceDN/>
              <w:adjustRightInd/>
              <w:jc w:val="center"/>
              <w:rPr>
                <w:bCs/>
                <w:color w:val="000000"/>
                <w:sz w:val="20"/>
                <w:szCs w:val="20"/>
              </w:rPr>
            </w:pPr>
            <w:r w:rsidRPr="007C51D6">
              <w:rPr>
                <w:bCs/>
                <w:color w:val="000000"/>
                <w:sz w:val="20"/>
                <w:szCs w:val="20"/>
              </w:rPr>
              <w:t>данных</w:t>
            </w:r>
          </w:p>
        </w:tc>
        <w:tc>
          <w:tcPr>
            <w:tcW w:w="1134" w:type="dxa"/>
          </w:tcPr>
          <w:p w:rsidR="001E3FBE" w:rsidRPr="007C51D6" w:rsidRDefault="001E3FBE" w:rsidP="001E3FBE">
            <w:pPr>
              <w:autoSpaceDE/>
              <w:autoSpaceDN/>
              <w:adjustRightInd/>
              <w:jc w:val="center"/>
              <w:rPr>
                <w:bCs/>
                <w:color w:val="000000"/>
                <w:sz w:val="20"/>
                <w:szCs w:val="20"/>
              </w:rPr>
            </w:pPr>
            <w:r w:rsidRPr="007C51D6">
              <w:rPr>
                <w:bCs/>
                <w:color w:val="000000"/>
                <w:sz w:val="20"/>
                <w:szCs w:val="20"/>
              </w:rPr>
              <w:t>нет</w:t>
            </w:r>
          </w:p>
          <w:p w:rsidR="001E3FBE" w:rsidRPr="007C51D6" w:rsidRDefault="001E3FBE" w:rsidP="001E3FBE">
            <w:pPr>
              <w:autoSpaceDE/>
              <w:autoSpaceDN/>
              <w:adjustRightInd/>
              <w:jc w:val="center"/>
              <w:rPr>
                <w:bCs/>
                <w:color w:val="000000"/>
                <w:sz w:val="20"/>
                <w:szCs w:val="20"/>
              </w:rPr>
            </w:pPr>
            <w:r w:rsidRPr="007C51D6">
              <w:rPr>
                <w:bCs/>
                <w:color w:val="000000"/>
                <w:sz w:val="20"/>
                <w:szCs w:val="20"/>
              </w:rPr>
              <w:t>данных</w:t>
            </w:r>
          </w:p>
        </w:tc>
        <w:tc>
          <w:tcPr>
            <w:tcW w:w="1361" w:type="dxa"/>
          </w:tcPr>
          <w:p w:rsidR="001E3FBE" w:rsidRPr="007C51D6" w:rsidRDefault="001E3FBE" w:rsidP="001E3FBE">
            <w:pPr>
              <w:autoSpaceDE/>
              <w:autoSpaceDN/>
              <w:adjustRightInd/>
              <w:jc w:val="center"/>
              <w:rPr>
                <w:bCs/>
                <w:color w:val="000000"/>
                <w:sz w:val="20"/>
                <w:szCs w:val="20"/>
              </w:rPr>
            </w:pPr>
            <w:r w:rsidRPr="007C51D6">
              <w:rPr>
                <w:bCs/>
                <w:color w:val="000000"/>
                <w:sz w:val="20"/>
                <w:szCs w:val="20"/>
              </w:rPr>
              <w:t>нет</w:t>
            </w:r>
          </w:p>
          <w:p w:rsidR="001E3FBE" w:rsidRPr="007C51D6" w:rsidRDefault="001E3FBE" w:rsidP="001E3FBE">
            <w:pPr>
              <w:autoSpaceDE/>
              <w:autoSpaceDN/>
              <w:adjustRightInd/>
              <w:jc w:val="center"/>
              <w:rPr>
                <w:bCs/>
                <w:color w:val="000000"/>
                <w:sz w:val="20"/>
                <w:szCs w:val="20"/>
              </w:rPr>
            </w:pPr>
            <w:r w:rsidRPr="007C51D6">
              <w:rPr>
                <w:bCs/>
                <w:color w:val="000000"/>
                <w:sz w:val="20"/>
                <w:szCs w:val="20"/>
              </w:rPr>
              <w:t>данных</w:t>
            </w:r>
          </w:p>
        </w:tc>
        <w:tc>
          <w:tcPr>
            <w:tcW w:w="992" w:type="dxa"/>
          </w:tcPr>
          <w:p w:rsidR="001E3FBE" w:rsidRPr="007C51D6" w:rsidRDefault="001E3FBE" w:rsidP="001E3FBE">
            <w:pPr>
              <w:jc w:val="center"/>
              <w:rPr>
                <w:color w:val="000000"/>
                <w:sz w:val="20"/>
                <w:szCs w:val="20"/>
              </w:rPr>
            </w:pPr>
            <w:r w:rsidRPr="007C51D6">
              <w:rPr>
                <w:color w:val="000000"/>
                <w:sz w:val="20"/>
                <w:szCs w:val="20"/>
              </w:rPr>
              <w:t>0,00</w:t>
            </w:r>
          </w:p>
        </w:tc>
        <w:tc>
          <w:tcPr>
            <w:tcW w:w="851" w:type="dxa"/>
          </w:tcPr>
          <w:p w:rsidR="001E3FBE" w:rsidRPr="007C51D6" w:rsidRDefault="001E3FBE" w:rsidP="001E3FBE">
            <w:pPr>
              <w:jc w:val="center"/>
              <w:rPr>
                <w:color w:val="000000"/>
                <w:sz w:val="20"/>
                <w:szCs w:val="20"/>
              </w:rPr>
            </w:pPr>
            <w:r w:rsidRPr="007C51D6">
              <w:rPr>
                <w:color w:val="000000"/>
                <w:sz w:val="20"/>
                <w:szCs w:val="20"/>
              </w:rPr>
              <w:t>0,00</w:t>
            </w:r>
          </w:p>
        </w:tc>
        <w:tc>
          <w:tcPr>
            <w:tcW w:w="850" w:type="dxa"/>
          </w:tcPr>
          <w:p w:rsidR="001E3FBE" w:rsidRPr="007C51D6" w:rsidRDefault="001E3FBE" w:rsidP="001E3FBE">
            <w:pPr>
              <w:jc w:val="center"/>
              <w:rPr>
                <w:color w:val="000000"/>
                <w:sz w:val="20"/>
                <w:szCs w:val="20"/>
              </w:rPr>
            </w:pPr>
            <w:r w:rsidRPr="007C51D6">
              <w:rPr>
                <w:color w:val="000000"/>
                <w:sz w:val="20"/>
                <w:szCs w:val="20"/>
              </w:rPr>
              <w:t>0,00</w:t>
            </w:r>
          </w:p>
        </w:tc>
        <w:tc>
          <w:tcPr>
            <w:tcW w:w="851" w:type="dxa"/>
          </w:tcPr>
          <w:p w:rsidR="001E3FBE" w:rsidRPr="007C51D6" w:rsidRDefault="001E3FBE" w:rsidP="001E3FBE">
            <w:pPr>
              <w:jc w:val="center"/>
              <w:rPr>
                <w:color w:val="000000"/>
                <w:sz w:val="20"/>
                <w:szCs w:val="20"/>
              </w:rPr>
            </w:pPr>
            <w:r w:rsidRPr="007C51D6">
              <w:rPr>
                <w:color w:val="000000"/>
                <w:sz w:val="20"/>
                <w:szCs w:val="20"/>
              </w:rPr>
              <w:t>0,03</w:t>
            </w:r>
          </w:p>
        </w:tc>
        <w:tc>
          <w:tcPr>
            <w:tcW w:w="829" w:type="dxa"/>
          </w:tcPr>
          <w:p w:rsidR="001E3FBE" w:rsidRPr="007C51D6" w:rsidRDefault="001E3FBE" w:rsidP="001E3FBE">
            <w:pPr>
              <w:jc w:val="center"/>
              <w:rPr>
                <w:color w:val="000000"/>
                <w:sz w:val="20"/>
                <w:szCs w:val="20"/>
              </w:rPr>
            </w:pPr>
            <w:r w:rsidRPr="007C51D6">
              <w:rPr>
                <w:color w:val="000000"/>
                <w:sz w:val="20"/>
                <w:szCs w:val="20"/>
              </w:rPr>
              <w:t>0,02</w:t>
            </w:r>
          </w:p>
        </w:tc>
        <w:tc>
          <w:tcPr>
            <w:tcW w:w="907" w:type="dxa"/>
          </w:tcPr>
          <w:p w:rsidR="001E3FBE" w:rsidRPr="007C51D6" w:rsidRDefault="001E3FBE" w:rsidP="001E3FBE">
            <w:pPr>
              <w:jc w:val="center"/>
              <w:rPr>
                <w:color w:val="000000"/>
                <w:sz w:val="20"/>
                <w:szCs w:val="20"/>
              </w:rPr>
            </w:pPr>
            <w:r w:rsidRPr="007C51D6">
              <w:rPr>
                <w:color w:val="000000"/>
                <w:sz w:val="20"/>
                <w:szCs w:val="20"/>
              </w:rPr>
              <w:t>0,00</w:t>
            </w:r>
          </w:p>
        </w:tc>
        <w:tc>
          <w:tcPr>
            <w:tcW w:w="907" w:type="dxa"/>
          </w:tcPr>
          <w:p w:rsidR="001E3FBE" w:rsidRPr="007C51D6" w:rsidRDefault="001E3FBE" w:rsidP="001E3FBE">
            <w:pPr>
              <w:autoSpaceDE/>
              <w:autoSpaceDN/>
              <w:adjustRightInd/>
              <w:jc w:val="center"/>
              <w:rPr>
                <w:bCs/>
                <w:color w:val="000000"/>
                <w:sz w:val="20"/>
                <w:szCs w:val="20"/>
              </w:rPr>
            </w:pPr>
            <w:r w:rsidRPr="007C51D6">
              <w:rPr>
                <w:bCs/>
                <w:color w:val="000000"/>
                <w:sz w:val="20"/>
                <w:szCs w:val="20"/>
              </w:rPr>
              <w:t>нет</w:t>
            </w:r>
          </w:p>
          <w:p w:rsidR="001E3FBE" w:rsidRPr="007C51D6" w:rsidRDefault="001E3FBE" w:rsidP="001E3FBE">
            <w:pPr>
              <w:autoSpaceDE/>
              <w:autoSpaceDN/>
              <w:adjustRightInd/>
              <w:jc w:val="center"/>
              <w:rPr>
                <w:bCs/>
                <w:color w:val="000000"/>
                <w:sz w:val="20"/>
                <w:szCs w:val="20"/>
              </w:rPr>
            </w:pPr>
            <w:r w:rsidRPr="007C51D6">
              <w:rPr>
                <w:bCs/>
                <w:color w:val="000000"/>
                <w:sz w:val="20"/>
                <w:szCs w:val="20"/>
              </w:rPr>
              <w:t>данных</w:t>
            </w:r>
          </w:p>
        </w:tc>
      </w:tr>
      <w:tr w:rsidR="001E3FBE" w:rsidRPr="007C51D6" w:rsidTr="00B93D5E">
        <w:trPr>
          <w:cantSplit/>
          <w:trHeight w:val="20"/>
          <w:jc w:val="center"/>
        </w:trPr>
        <w:tc>
          <w:tcPr>
            <w:tcW w:w="3539" w:type="dxa"/>
            <w:shd w:val="clear" w:color="auto" w:fill="auto"/>
            <w:noWrap/>
          </w:tcPr>
          <w:p w:rsidR="001E3FBE" w:rsidRPr="007C51D6" w:rsidRDefault="001E3FBE" w:rsidP="001E3FBE">
            <w:pPr>
              <w:autoSpaceDE/>
              <w:autoSpaceDN/>
              <w:adjustRightInd/>
              <w:jc w:val="both"/>
              <w:rPr>
                <w:color w:val="333333"/>
                <w:sz w:val="20"/>
                <w:szCs w:val="20"/>
              </w:rPr>
            </w:pPr>
            <w:r w:rsidRPr="007C51D6">
              <w:rPr>
                <w:color w:val="333333"/>
                <w:sz w:val="20"/>
                <w:szCs w:val="20"/>
              </w:rPr>
              <w:t>доброкачественное новообразование глаза и его придаточного аппарата</w:t>
            </w:r>
          </w:p>
        </w:tc>
        <w:tc>
          <w:tcPr>
            <w:tcW w:w="1276" w:type="dxa"/>
            <w:shd w:val="clear" w:color="auto" w:fill="auto"/>
            <w:noWrap/>
          </w:tcPr>
          <w:p w:rsidR="001E3FBE" w:rsidRPr="007C51D6" w:rsidRDefault="001E3FBE" w:rsidP="001E3FBE">
            <w:pPr>
              <w:jc w:val="center"/>
            </w:pPr>
            <w:r w:rsidRPr="007C51D6">
              <w:rPr>
                <w:rFonts w:eastAsia="Arial"/>
                <w:sz w:val="20"/>
                <w:szCs w:val="20"/>
              </w:rPr>
              <w:t>D31</w:t>
            </w:r>
          </w:p>
        </w:tc>
        <w:tc>
          <w:tcPr>
            <w:tcW w:w="1303" w:type="dxa"/>
          </w:tcPr>
          <w:p w:rsidR="001E3FBE" w:rsidRPr="007C51D6" w:rsidRDefault="001E3FBE" w:rsidP="001E3FBE">
            <w:pPr>
              <w:autoSpaceDE/>
              <w:autoSpaceDN/>
              <w:adjustRightInd/>
              <w:jc w:val="center"/>
              <w:rPr>
                <w:bCs/>
                <w:color w:val="000000"/>
                <w:sz w:val="20"/>
                <w:szCs w:val="20"/>
              </w:rPr>
            </w:pPr>
            <w:r w:rsidRPr="007C51D6">
              <w:rPr>
                <w:bCs/>
                <w:color w:val="000000"/>
                <w:sz w:val="20"/>
                <w:szCs w:val="20"/>
              </w:rPr>
              <w:t>нет</w:t>
            </w:r>
          </w:p>
          <w:p w:rsidR="001E3FBE" w:rsidRPr="007C51D6" w:rsidRDefault="001E3FBE" w:rsidP="001E3FBE">
            <w:pPr>
              <w:autoSpaceDE/>
              <w:autoSpaceDN/>
              <w:adjustRightInd/>
              <w:jc w:val="center"/>
              <w:rPr>
                <w:bCs/>
                <w:color w:val="000000"/>
                <w:sz w:val="20"/>
                <w:szCs w:val="20"/>
              </w:rPr>
            </w:pPr>
            <w:r w:rsidRPr="007C51D6">
              <w:rPr>
                <w:bCs/>
                <w:color w:val="000000"/>
                <w:sz w:val="20"/>
                <w:szCs w:val="20"/>
              </w:rPr>
              <w:t>данных</w:t>
            </w:r>
          </w:p>
        </w:tc>
        <w:tc>
          <w:tcPr>
            <w:tcW w:w="1134" w:type="dxa"/>
          </w:tcPr>
          <w:p w:rsidR="001E3FBE" w:rsidRPr="007C51D6" w:rsidRDefault="001E3FBE" w:rsidP="001E3FBE">
            <w:pPr>
              <w:autoSpaceDE/>
              <w:autoSpaceDN/>
              <w:adjustRightInd/>
              <w:jc w:val="center"/>
              <w:rPr>
                <w:bCs/>
                <w:color w:val="000000"/>
                <w:sz w:val="20"/>
                <w:szCs w:val="20"/>
              </w:rPr>
            </w:pPr>
            <w:r w:rsidRPr="007C51D6">
              <w:rPr>
                <w:bCs/>
                <w:color w:val="000000"/>
                <w:sz w:val="20"/>
                <w:szCs w:val="20"/>
              </w:rPr>
              <w:t>нет</w:t>
            </w:r>
          </w:p>
          <w:p w:rsidR="001E3FBE" w:rsidRPr="007C51D6" w:rsidRDefault="001E3FBE" w:rsidP="001E3FBE">
            <w:pPr>
              <w:autoSpaceDE/>
              <w:autoSpaceDN/>
              <w:adjustRightInd/>
              <w:jc w:val="center"/>
              <w:rPr>
                <w:bCs/>
                <w:color w:val="000000"/>
                <w:sz w:val="20"/>
                <w:szCs w:val="20"/>
              </w:rPr>
            </w:pPr>
            <w:r w:rsidRPr="007C51D6">
              <w:rPr>
                <w:bCs/>
                <w:color w:val="000000"/>
                <w:sz w:val="20"/>
                <w:szCs w:val="20"/>
              </w:rPr>
              <w:t>данных</w:t>
            </w:r>
          </w:p>
        </w:tc>
        <w:tc>
          <w:tcPr>
            <w:tcW w:w="1361" w:type="dxa"/>
          </w:tcPr>
          <w:p w:rsidR="001E3FBE" w:rsidRPr="007C51D6" w:rsidRDefault="001E3FBE" w:rsidP="001E3FBE">
            <w:pPr>
              <w:autoSpaceDE/>
              <w:autoSpaceDN/>
              <w:adjustRightInd/>
              <w:jc w:val="center"/>
              <w:rPr>
                <w:bCs/>
                <w:color w:val="000000"/>
                <w:sz w:val="20"/>
                <w:szCs w:val="20"/>
              </w:rPr>
            </w:pPr>
            <w:r w:rsidRPr="007C51D6">
              <w:rPr>
                <w:bCs/>
                <w:color w:val="000000"/>
                <w:sz w:val="20"/>
                <w:szCs w:val="20"/>
              </w:rPr>
              <w:t>нет</w:t>
            </w:r>
          </w:p>
          <w:p w:rsidR="001E3FBE" w:rsidRPr="007C51D6" w:rsidRDefault="001E3FBE" w:rsidP="001E3FBE">
            <w:pPr>
              <w:autoSpaceDE/>
              <w:autoSpaceDN/>
              <w:adjustRightInd/>
              <w:jc w:val="center"/>
              <w:rPr>
                <w:bCs/>
                <w:color w:val="000000"/>
                <w:sz w:val="20"/>
                <w:szCs w:val="20"/>
              </w:rPr>
            </w:pPr>
            <w:r w:rsidRPr="007C51D6">
              <w:rPr>
                <w:bCs/>
                <w:color w:val="000000"/>
                <w:sz w:val="20"/>
                <w:szCs w:val="20"/>
              </w:rPr>
              <w:t>данных</w:t>
            </w:r>
          </w:p>
        </w:tc>
        <w:tc>
          <w:tcPr>
            <w:tcW w:w="992" w:type="dxa"/>
          </w:tcPr>
          <w:p w:rsidR="001E3FBE" w:rsidRPr="007C51D6" w:rsidRDefault="001E3FBE" w:rsidP="001E3FBE">
            <w:pPr>
              <w:jc w:val="center"/>
              <w:rPr>
                <w:color w:val="000000"/>
                <w:sz w:val="20"/>
                <w:szCs w:val="20"/>
              </w:rPr>
            </w:pPr>
            <w:r w:rsidRPr="007C51D6">
              <w:rPr>
                <w:color w:val="000000"/>
                <w:sz w:val="20"/>
                <w:szCs w:val="20"/>
              </w:rPr>
              <w:t>0,00</w:t>
            </w:r>
          </w:p>
        </w:tc>
        <w:tc>
          <w:tcPr>
            <w:tcW w:w="851" w:type="dxa"/>
          </w:tcPr>
          <w:p w:rsidR="001E3FBE" w:rsidRPr="007C51D6" w:rsidRDefault="001E3FBE" w:rsidP="001E3FBE">
            <w:pPr>
              <w:jc w:val="center"/>
              <w:rPr>
                <w:color w:val="000000"/>
                <w:sz w:val="20"/>
                <w:szCs w:val="20"/>
              </w:rPr>
            </w:pPr>
            <w:r w:rsidRPr="007C51D6">
              <w:rPr>
                <w:color w:val="000000"/>
                <w:sz w:val="20"/>
                <w:szCs w:val="20"/>
              </w:rPr>
              <w:t>0,00</w:t>
            </w:r>
          </w:p>
        </w:tc>
        <w:tc>
          <w:tcPr>
            <w:tcW w:w="850" w:type="dxa"/>
          </w:tcPr>
          <w:p w:rsidR="001E3FBE" w:rsidRPr="007C51D6" w:rsidRDefault="001E3FBE" w:rsidP="001E3FBE">
            <w:pPr>
              <w:jc w:val="center"/>
              <w:rPr>
                <w:color w:val="000000"/>
                <w:sz w:val="20"/>
                <w:szCs w:val="20"/>
              </w:rPr>
            </w:pPr>
            <w:r w:rsidRPr="007C51D6">
              <w:rPr>
                <w:color w:val="000000"/>
                <w:sz w:val="20"/>
                <w:szCs w:val="20"/>
              </w:rPr>
              <w:t>0,00</w:t>
            </w:r>
          </w:p>
        </w:tc>
        <w:tc>
          <w:tcPr>
            <w:tcW w:w="851" w:type="dxa"/>
          </w:tcPr>
          <w:p w:rsidR="001E3FBE" w:rsidRPr="007C51D6" w:rsidRDefault="001E3FBE" w:rsidP="001E3FBE">
            <w:pPr>
              <w:jc w:val="center"/>
              <w:rPr>
                <w:color w:val="000000"/>
                <w:sz w:val="20"/>
                <w:szCs w:val="20"/>
              </w:rPr>
            </w:pPr>
            <w:r w:rsidRPr="007C51D6">
              <w:rPr>
                <w:color w:val="000000"/>
                <w:sz w:val="20"/>
                <w:szCs w:val="20"/>
              </w:rPr>
              <w:t>0,00</w:t>
            </w:r>
          </w:p>
        </w:tc>
        <w:tc>
          <w:tcPr>
            <w:tcW w:w="829" w:type="dxa"/>
          </w:tcPr>
          <w:p w:rsidR="001E3FBE" w:rsidRPr="007C51D6" w:rsidRDefault="001E3FBE" w:rsidP="001E3FBE">
            <w:pPr>
              <w:jc w:val="center"/>
              <w:rPr>
                <w:color w:val="000000"/>
                <w:sz w:val="20"/>
                <w:szCs w:val="20"/>
              </w:rPr>
            </w:pPr>
            <w:r w:rsidRPr="007C51D6">
              <w:rPr>
                <w:color w:val="000000"/>
                <w:sz w:val="20"/>
                <w:szCs w:val="20"/>
              </w:rPr>
              <w:t>0,00</w:t>
            </w:r>
          </w:p>
        </w:tc>
        <w:tc>
          <w:tcPr>
            <w:tcW w:w="907" w:type="dxa"/>
          </w:tcPr>
          <w:p w:rsidR="001E3FBE" w:rsidRPr="007C51D6" w:rsidRDefault="001E3FBE" w:rsidP="001E3FBE">
            <w:pPr>
              <w:jc w:val="center"/>
              <w:rPr>
                <w:color w:val="000000"/>
                <w:sz w:val="20"/>
                <w:szCs w:val="20"/>
              </w:rPr>
            </w:pPr>
            <w:r w:rsidRPr="007C51D6">
              <w:rPr>
                <w:color w:val="000000"/>
                <w:sz w:val="20"/>
                <w:szCs w:val="20"/>
              </w:rPr>
              <w:t>0,00</w:t>
            </w:r>
          </w:p>
        </w:tc>
        <w:tc>
          <w:tcPr>
            <w:tcW w:w="907" w:type="dxa"/>
          </w:tcPr>
          <w:p w:rsidR="001E3FBE" w:rsidRPr="007C51D6" w:rsidRDefault="001E3FBE" w:rsidP="001E3FBE">
            <w:pPr>
              <w:autoSpaceDE/>
              <w:autoSpaceDN/>
              <w:adjustRightInd/>
              <w:jc w:val="center"/>
              <w:rPr>
                <w:bCs/>
                <w:color w:val="000000"/>
                <w:sz w:val="20"/>
                <w:szCs w:val="20"/>
              </w:rPr>
            </w:pPr>
            <w:r w:rsidRPr="007C51D6">
              <w:rPr>
                <w:bCs/>
                <w:color w:val="000000"/>
                <w:sz w:val="20"/>
                <w:szCs w:val="20"/>
              </w:rPr>
              <w:t>нет</w:t>
            </w:r>
          </w:p>
          <w:p w:rsidR="001E3FBE" w:rsidRPr="007C51D6" w:rsidRDefault="001E3FBE" w:rsidP="001E3FBE">
            <w:pPr>
              <w:autoSpaceDE/>
              <w:autoSpaceDN/>
              <w:adjustRightInd/>
              <w:jc w:val="center"/>
              <w:rPr>
                <w:bCs/>
                <w:color w:val="000000"/>
                <w:sz w:val="20"/>
                <w:szCs w:val="20"/>
              </w:rPr>
            </w:pPr>
            <w:r w:rsidRPr="007C51D6">
              <w:rPr>
                <w:bCs/>
                <w:color w:val="000000"/>
                <w:sz w:val="20"/>
                <w:szCs w:val="20"/>
              </w:rPr>
              <w:t>данных</w:t>
            </w:r>
          </w:p>
        </w:tc>
      </w:tr>
      <w:tr w:rsidR="001E3FBE" w:rsidRPr="007C51D6" w:rsidTr="00B93D5E">
        <w:trPr>
          <w:cantSplit/>
          <w:trHeight w:val="20"/>
          <w:jc w:val="center"/>
        </w:trPr>
        <w:tc>
          <w:tcPr>
            <w:tcW w:w="3539" w:type="dxa"/>
            <w:shd w:val="clear" w:color="auto" w:fill="auto"/>
            <w:noWrap/>
          </w:tcPr>
          <w:p w:rsidR="001E3FBE" w:rsidRPr="007C51D6" w:rsidRDefault="00B41962" w:rsidP="001E3FBE">
            <w:pPr>
              <w:autoSpaceDE/>
              <w:autoSpaceDN/>
              <w:adjustRightInd/>
              <w:jc w:val="both"/>
              <w:rPr>
                <w:sz w:val="20"/>
                <w:szCs w:val="20"/>
              </w:rPr>
            </w:pPr>
            <w:hyperlink r:id="rId24" w:history="1">
              <w:r w:rsidR="001E3FBE" w:rsidRPr="007C51D6">
                <w:rPr>
                  <w:rFonts w:eastAsia="Arial"/>
                  <w:bCs/>
                  <w:sz w:val="20"/>
                  <w:szCs w:val="20"/>
                </w:rPr>
                <w:t>доброкачественное новообразование мозговых оболочек</w:t>
              </w:r>
            </w:hyperlink>
            <w:r w:rsidR="001E3FBE" w:rsidRPr="007C51D6">
              <w:rPr>
                <w:rFonts w:eastAsia="Arial"/>
                <w:sz w:val="20"/>
                <w:szCs w:val="20"/>
              </w:rPr>
              <w:t xml:space="preserve"> </w:t>
            </w:r>
          </w:p>
        </w:tc>
        <w:tc>
          <w:tcPr>
            <w:tcW w:w="1276" w:type="dxa"/>
            <w:shd w:val="clear" w:color="auto" w:fill="auto"/>
            <w:noWrap/>
          </w:tcPr>
          <w:p w:rsidR="001E3FBE" w:rsidRPr="007C51D6" w:rsidRDefault="001E3FBE" w:rsidP="001E3FBE">
            <w:pPr>
              <w:autoSpaceDE/>
              <w:autoSpaceDN/>
              <w:adjustRightInd/>
              <w:jc w:val="center"/>
              <w:rPr>
                <w:color w:val="000000"/>
                <w:sz w:val="20"/>
                <w:szCs w:val="20"/>
              </w:rPr>
            </w:pPr>
            <w:r w:rsidRPr="007C51D6">
              <w:rPr>
                <w:rFonts w:eastAsia="Arial"/>
                <w:sz w:val="20"/>
                <w:szCs w:val="20"/>
              </w:rPr>
              <w:t>D32</w:t>
            </w:r>
          </w:p>
        </w:tc>
        <w:tc>
          <w:tcPr>
            <w:tcW w:w="1303" w:type="dxa"/>
          </w:tcPr>
          <w:p w:rsidR="001E3FBE" w:rsidRPr="007C51D6" w:rsidRDefault="001E3FBE" w:rsidP="001E3FBE">
            <w:pPr>
              <w:autoSpaceDE/>
              <w:autoSpaceDN/>
              <w:adjustRightInd/>
              <w:jc w:val="center"/>
              <w:rPr>
                <w:bCs/>
                <w:color w:val="000000"/>
                <w:sz w:val="20"/>
                <w:szCs w:val="20"/>
              </w:rPr>
            </w:pPr>
            <w:r w:rsidRPr="007C51D6">
              <w:rPr>
                <w:bCs/>
                <w:color w:val="000000"/>
                <w:sz w:val="20"/>
                <w:szCs w:val="20"/>
              </w:rPr>
              <w:t>нет</w:t>
            </w:r>
          </w:p>
          <w:p w:rsidR="001E3FBE" w:rsidRPr="007C51D6" w:rsidRDefault="001E3FBE" w:rsidP="001E3FBE">
            <w:pPr>
              <w:autoSpaceDE/>
              <w:autoSpaceDN/>
              <w:adjustRightInd/>
              <w:jc w:val="center"/>
              <w:rPr>
                <w:bCs/>
                <w:color w:val="000000"/>
                <w:sz w:val="20"/>
                <w:szCs w:val="20"/>
              </w:rPr>
            </w:pPr>
            <w:r w:rsidRPr="007C51D6">
              <w:rPr>
                <w:bCs/>
                <w:color w:val="000000"/>
                <w:sz w:val="20"/>
                <w:szCs w:val="20"/>
              </w:rPr>
              <w:t>данных</w:t>
            </w:r>
          </w:p>
        </w:tc>
        <w:tc>
          <w:tcPr>
            <w:tcW w:w="1134" w:type="dxa"/>
          </w:tcPr>
          <w:p w:rsidR="001E3FBE" w:rsidRPr="007C51D6" w:rsidRDefault="001E3FBE" w:rsidP="001E3FBE">
            <w:pPr>
              <w:autoSpaceDE/>
              <w:autoSpaceDN/>
              <w:adjustRightInd/>
              <w:jc w:val="center"/>
              <w:rPr>
                <w:bCs/>
                <w:color w:val="000000"/>
                <w:sz w:val="20"/>
                <w:szCs w:val="20"/>
              </w:rPr>
            </w:pPr>
            <w:r w:rsidRPr="007C51D6">
              <w:rPr>
                <w:bCs/>
                <w:color w:val="000000"/>
                <w:sz w:val="20"/>
                <w:szCs w:val="20"/>
              </w:rPr>
              <w:t>нет</w:t>
            </w:r>
          </w:p>
          <w:p w:rsidR="001E3FBE" w:rsidRPr="007C51D6" w:rsidRDefault="001E3FBE" w:rsidP="001E3FBE">
            <w:pPr>
              <w:autoSpaceDE/>
              <w:autoSpaceDN/>
              <w:adjustRightInd/>
              <w:jc w:val="center"/>
              <w:rPr>
                <w:bCs/>
                <w:color w:val="000000"/>
                <w:sz w:val="20"/>
                <w:szCs w:val="20"/>
              </w:rPr>
            </w:pPr>
            <w:r w:rsidRPr="007C51D6">
              <w:rPr>
                <w:bCs/>
                <w:color w:val="000000"/>
                <w:sz w:val="20"/>
                <w:szCs w:val="20"/>
              </w:rPr>
              <w:t>данных</w:t>
            </w:r>
          </w:p>
        </w:tc>
        <w:tc>
          <w:tcPr>
            <w:tcW w:w="1361" w:type="dxa"/>
          </w:tcPr>
          <w:p w:rsidR="001E3FBE" w:rsidRPr="007C51D6" w:rsidRDefault="001E3FBE" w:rsidP="001E3FBE">
            <w:pPr>
              <w:autoSpaceDE/>
              <w:autoSpaceDN/>
              <w:adjustRightInd/>
              <w:jc w:val="center"/>
              <w:rPr>
                <w:bCs/>
                <w:color w:val="000000"/>
                <w:sz w:val="20"/>
                <w:szCs w:val="20"/>
              </w:rPr>
            </w:pPr>
            <w:r w:rsidRPr="007C51D6">
              <w:rPr>
                <w:bCs/>
                <w:color w:val="000000"/>
                <w:sz w:val="20"/>
                <w:szCs w:val="20"/>
              </w:rPr>
              <w:t>нет</w:t>
            </w:r>
          </w:p>
          <w:p w:rsidR="001E3FBE" w:rsidRPr="007C51D6" w:rsidRDefault="001E3FBE" w:rsidP="001E3FBE">
            <w:pPr>
              <w:autoSpaceDE/>
              <w:autoSpaceDN/>
              <w:adjustRightInd/>
              <w:jc w:val="center"/>
              <w:rPr>
                <w:bCs/>
                <w:color w:val="000000"/>
                <w:sz w:val="20"/>
                <w:szCs w:val="20"/>
              </w:rPr>
            </w:pPr>
            <w:r w:rsidRPr="007C51D6">
              <w:rPr>
                <w:bCs/>
                <w:color w:val="000000"/>
                <w:sz w:val="20"/>
                <w:szCs w:val="20"/>
              </w:rPr>
              <w:t>данных</w:t>
            </w:r>
          </w:p>
        </w:tc>
        <w:tc>
          <w:tcPr>
            <w:tcW w:w="992" w:type="dxa"/>
          </w:tcPr>
          <w:p w:rsidR="001E3FBE" w:rsidRPr="007C51D6" w:rsidRDefault="001E3FBE" w:rsidP="001E3FBE">
            <w:pPr>
              <w:jc w:val="center"/>
              <w:rPr>
                <w:color w:val="000000"/>
                <w:sz w:val="20"/>
                <w:szCs w:val="20"/>
              </w:rPr>
            </w:pPr>
            <w:r w:rsidRPr="007C51D6">
              <w:rPr>
                <w:color w:val="000000"/>
                <w:sz w:val="20"/>
                <w:szCs w:val="20"/>
              </w:rPr>
              <w:t>0,36</w:t>
            </w:r>
          </w:p>
        </w:tc>
        <w:tc>
          <w:tcPr>
            <w:tcW w:w="851" w:type="dxa"/>
          </w:tcPr>
          <w:p w:rsidR="001E3FBE" w:rsidRPr="007C51D6" w:rsidRDefault="001E3FBE" w:rsidP="001E3FBE">
            <w:pPr>
              <w:jc w:val="center"/>
              <w:rPr>
                <w:color w:val="000000"/>
                <w:sz w:val="20"/>
                <w:szCs w:val="20"/>
              </w:rPr>
            </w:pPr>
            <w:r w:rsidRPr="007C51D6">
              <w:rPr>
                <w:color w:val="000000"/>
                <w:sz w:val="20"/>
                <w:szCs w:val="20"/>
              </w:rPr>
              <w:t>0,33</w:t>
            </w:r>
          </w:p>
        </w:tc>
        <w:tc>
          <w:tcPr>
            <w:tcW w:w="850" w:type="dxa"/>
          </w:tcPr>
          <w:p w:rsidR="001E3FBE" w:rsidRPr="007C51D6" w:rsidRDefault="001E3FBE" w:rsidP="001E3FBE">
            <w:pPr>
              <w:jc w:val="center"/>
              <w:rPr>
                <w:color w:val="000000"/>
                <w:sz w:val="20"/>
                <w:szCs w:val="20"/>
              </w:rPr>
            </w:pPr>
            <w:r w:rsidRPr="007C51D6">
              <w:rPr>
                <w:color w:val="000000"/>
                <w:sz w:val="20"/>
                <w:szCs w:val="20"/>
              </w:rPr>
              <w:t>0,46</w:t>
            </w:r>
          </w:p>
        </w:tc>
        <w:tc>
          <w:tcPr>
            <w:tcW w:w="851" w:type="dxa"/>
          </w:tcPr>
          <w:p w:rsidR="001E3FBE" w:rsidRPr="007C51D6" w:rsidRDefault="001E3FBE" w:rsidP="001E3FBE">
            <w:pPr>
              <w:jc w:val="center"/>
              <w:rPr>
                <w:color w:val="000000"/>
                <w:sz w:val="20"/>
                <w:szCs w:val="20"/>
              </w:rPr>
            </w:pPr>
            <w:r w:rsidRPr="007C51D6">
              <w:rPr>
                <w:color w:val="000000"/>
                <w:sz w:val="20"/>
                <w:szCs w:val="20"/>
              </w:rPr>
              <w:t>0,25</w:t>
            </w:r>
          </w:p>
        </w:tc>
        <w:tc>
          <w:tcPr>
            <w:tcW w:w="829" w:type="dxa"/>
          </w:tcPr>
          <w:p w:rsidR="001E3FBE" w:rsidRPr="007C51D6" w:rsidRDefault="001E3FBE" w:rsidP="001E3FBE">
            <w:pPr>
              <w:jc w:val="center"/>
              <w:rPr>
                <w:color w:val="000000"/>
                <w:sz w:val="20"/>
                <w:szCs w:val="20"/>
              </w:rPr>
            </w:pPr>
            <w:r w:rsidRPr="007C51D6">
              <w:rPr>
                <w:color w:val="000000"/>
                <w:sz w:val="20"/>
                <w:szCs w:val="20"/>
              </w:rPr>
              <w:t>0,27</w:t>
            </w:r>
          </w:p>
        </w:tc>
        <w:tc>
          <w:tcPr>
            <w:tcW w:w="907" w:type="dxa"/>
          </w:tcPr>
          <w:p w:rsidR="001E3FBE" w:rsidRPr="007C51D6" w:rsidRDefault="001E3FBE" w:rsidP="001E3FBE">
            <w:pPr>
              <w:jc w:val="center"/>
              <w:rPr>
                <w:color w:val="000000"/>
                <w:sz w:val="20"/>
                <w:szCs w:val="20"/>
              </w:rPr>
            </w:pPr>
            <w:r w:rsidRPr="007C51D6">
              <w:rPr>
                <w:color w:val="000000"/>
                <w:sz w:val="20"/>
                <w:szCs w:val="20"/>
              </w:rPr>
              <w:t>0,62</w:t>
            </w:r>
          </w:p>
        </w:tc>
        <w:tc>
          <w:tcPr>
            <w:tcW w:w="907" w:type="dxa"/>
          </w:tcPr>
          <w:p w:rsidR="001E3FBE" w:rsidRPr="007C51D6" w:rsidRDefault="001E3FBE" w:rsidP="001E3FBE">
            <w:pPr>
              <w:autoSpaceDE/>
              <w:autoSpaceDN/>
              <w:adjustRightInd/>
              <w:jc w:val="center"/>
              <w:rPr>
                <w:bCs/>
                <w:color w:val="000000"/>
                <w:sz w:val="20"/>
                <w:szCs w:val="20"/>
              </w:rPr>
            </w:pPr>
            <w:r w:rsidRPr="007C51D6">
              <w:rPr>
                <w:bCs/>
                <w:color w:val="000000"/>
                <w:sz w:val="20"/>
                <w:szCs w:val="20"/>
              </w:rPr>
              <w:t>нет</w:t>
            </w:r>
          </w:p>
          <w:p w:rsidR="001E3FBE" w:rsidRPr="007C51D6" w:rsidRDefault="001E3FBE" w:rsidP="001E3FBE">
            <w:pPr>
              <w:autoSpaceDE/>
              <w:autoSpaceDN/>
              <w:adjustRightInd/>
              <w:jc w:val="center"/>
              <w:rPr>
                <w:bCs/>
                <w:color w:val="000000"/>
                <w:sz w:val="20"/>
                <w:szCs w:val="20"/>
              </w:rPr>
            </w:pPr>
            <w:r w:rsidRPr="007C51D6">
              <w:rPr>
                <w:bCs/>
                <w:color w:val="000000"/>
                <w:sz w:val="20"/>
                <w:szCs w:val="20"/>
              </w:rPr>
              <w:t>данных</w:t>
            </w:r>
          </w:p>
        </w:tc>
      </w:tr>
      <w:tr w:rsidR="001E3FBE" w:rsidRPr="007C51D6" w:rsidTr="00B93D5E">
        <w:trPr>
          <w:cantSplit/>
          <w:trHeight w:val="20"/>
          <w:jc w:val="center"/>
        </w:trPr>
        <w:tc>
          <w:tcPr>
            <w:tcW w:w="3539" w:type="dxa"/>
            <w:shd w:val="clear" w:color="auto" w:fill="auto"/>
            <w:noWrap/>
          </w:tcPr>
          <w:p w:rsidR="001E3FBE" w:rsidRPr="007C51D6" w:rsidRDefault="00B41962" w:rsidP="001E3FBE">
            <w:pPr>
              <w:autoSpaceDE/>
              <w:autoSpaceDN/>
              <w:adjustRightInd/>
              <w:jc w:val="both"/>
              <w:rPr>
                <w:sz w:val="20"/>
                <w:szCs w:val="20"/>
              </w:rPr>
            </w:pPr>
            <w:hyperlink r:id="rId25" w:history="1">
              <w:r w:rsidR="001E3FBE" w:rsidRPr="007C51D6">
                <w:rPr>
                  <w:rFonts w:eastAsia="Arial"/>
                  <w:bCs/>
                  <w:sz w:val="20"/>
                  <w:szCs w:val="20"/>
                </w:rPr>
                <w:t xml:space="preserve">доброкачественное новообразование </w:t>
              </w:r>
            </w:hyperlink>
            <w:hyperlink r:id="rId26" w:history="1">
              <w:r w:rsidR="001E3FBE" w:rsidRPr="007C51D6">
                <w:rPr>
                  <w:rFonts w:eastAsia="Arial"/>
                  <w:bCs/>
                  <w:sz w:val="20"/>
                  <w:szCs w:val="20"/>
                </w:rPr>
                <w:t>головного мозга и других отделов центральной нервной системы</w:t>
              </w:r>
            </w:hyperlink>
          </w:p>
        </w:tc>
        <w:tc>
          <w:tcPr>
            <w:tcW w:w="1276" w:type="dxa"/>
            <w:shd w:val="clear" w:color="auto" w:fill="auto"/>
            <w:noWrap/>
          </w:tcPr>
          <w:p w:rsidR="001E3FBE" w:rsidRPr="007C51D6" w:rsidRDefault="001E3FBE" w:rsidP="001E3FBE">
            <w:pPr>
              <w:autoSpaceDE/>
              <w:autoSpaceDN/>
              <w:adjustRightInd/>
              <w:jc w:val="center"/>
              <w:rPr>
                <w:rFonts w:eastAsia="Arial"/>
                <w:sz w:val="20"/>
                <w:szCs w:val="20"/>
              </w:rPr>
            </w:pPr>
            <w:r w:rsidRPr="007C51D6">
              <w:rPr>
                <w:rFonts w:eastAsia="Arial"/>
                <w:sz w:val="20"/>
                <w:szCs w:val="20"/>
              </w:rPr>
              <w:t>D33</w:t>
            </w:r>
          </w:p>
        </w:tc>
        <w:tc>
          <w:tcPr>
            <w:tcW w:w="1303" w:type="dxa"/>
          </w:tcPr>
          <w:p w:rsidR="001E3FBE" w:rsidRPr="007C51D6" w:rsidRDefault="001E3FBE" w:rsidP="001E3FBE">
            <w:pPr>
              <w:autoSpaceDE/>
              <w:autoSpaceDN/>
              <w:adjustRightInd/>
              <w:jc w:val="center"/>
              <w:rPr>
                <w:bCs/>
                <w:color w:val="000000"/>
                <w:sz w:val="20"/>
                <w:szCs w:val="20"/>
              </w:rPr>
            </w:pPr>
            <w:r w:rsidRPr="007C51D6">
              <w:rPr>
                <w:bCs/>
                <w:color w:val="000000"/>
                <w:sz w:val="20"/>
                <w:szCs w:val="20"/>
              </w:rPr>
              <w:t>нет</w:t>
            </w:r>
          </w:p>
          <w:p w:rsidR="001E3FBE" w:rsidRPr="007C51D6" w:rsidRDefault="001E3FBE" w:rsidP="001E3FBE">
            <w:pPr>
              <w:autoSpaceDE/>
              <w:autoSpaceDN/>
              <w:adjustRightInd/>
              <w:jc w:val="center"/>
              <w:rPr>
                <w:bCs/>
                <w:color w:val="000000"/>
                <w:sz w:val="20"/>
                <w:szCs w:val="20"/>
              </w:rPr>
            </w:pPr>
            <w:r w:rsidRPr="007C51D6">
              <w:rPr>
                <w:bCs/>
                <w:color w:val="000000"/>
                <w:sz w:val="20"/>
                <w:szCs w:val="20"/>
              </w:rPr>
              <w:t>данных</w:t>
            </w:r>
          </w:p>
        </w:tc>
        <w:tc>
          <w:tcPr>
            <w:tcW w:w="1134" w:type="dxa"/>
          </w:tcPr>
          <w:p w:rsidR="001E3FBE" w:rsidRPr="007C51D6" w:rsidRDefault="001E3FBE" w:rsidP="001E3FBE">
            <w:pPr>
              <w:autoSpaceDE/>
              <w:autoSpaceDN/>
              <w:adjustRightInd/>
              <w:jc w:val="center"/>
              <w:rPr>
                <w:bCs/>
                <w:color w:val="000000"/>
                <w:sz w:val="20"/>
                <w:szCs w:val="20"/>
              </w:rPr>
            </w:pPr>
            <w:r w:rsidRPr="007C51D6">
              <w:rPr>
                <w:bCs/>
                <w:color w:val="000000"/>
                <w:sz w:val="20"/>
                <w:szCs w:val="20"/>
              </w:rPr>
              <w:t>нет</w:t>
            </w:r>
          </w:p>
          <w:p w:rsidR="001E3FBE" w:rsidRPr="007C51D6" w:rsidRDefault="001E3FBE" w:rsidP="001E3FBE">
            <w:pPr>
              <w:autoSpaceDE/>
              <w:autoSpaceDN/>
              <w:adjustRightInd/>
              <w:jc w:val="center"/>
              <w:rPr>
                <w:bCs/>
                <w:color w:val="000000"/>
                <w:sz w:val="20"/>
                <w:szCs w:val="20"/>
              </w:rPr>
            </w:pPr>
            <w:r w:rsidRPr="007C51D6">
              <w:rPr>
                <w:bCs/>
                <w:color w:val="000000"/>
                <w:sz w:val="20"/>
                <w:szCs w:val="20"/>
              </w:rPr>
              <w:t>данных</w:t>
            </w:r>
          </w:p>
        </w:tc>
        <w:tc>
          <w:tcPr>
            <w:tcW w:w="1361" w:type="dxa"/>
          </w:tcPr>
          <w:p w:rsidR="001E3FBE" w:rsidRPr="007C51D6" w:rsidRDefault="001E3FBE" w:rsidP="001E3FBE">
            <w:pPr>
              <w:autoSpaceDE/>
              <w:autoSpaceDN/>
              <w:adjustRightInd/>
              <w:jc w:val="center"/>
              <w:rPr>
                <w:bCs/>
                <w:color w:val="000000"/>
                <w:sz w:val="20"/>
                <w:szCs w:val="20"/>
              </w:rPr>
            </w:pPr>
            <w:r w:rsidRPr="007C51D6">
              <w:rPr>
                <w:bCs/>
                <w:color w:val="000000"/>
                <w:sz w:val="20"/>
                <w:szCs w:val="20"/>
              </w:rPr>
              <w:t>нет</w:t>
            </w:r>
          </w:p>
          <w:p w:rsidR="001E3FBE" w:rsidRPr="007C51D6" w:rsidRDefault="001E3FBE" w:rsidP="001E3FBE">
            <w:pPr>
              <w:autoSpaceDE/>
              <w:autoSpaceDN/>
              <w:adjustRightInd/>
              <w:jc w:val="center"/>
              <w:rPr>
                <w:bCs/>
                <w:color w:val="000000"/>
                <w:sz w:val="20"/>
                <w:szCs w:val="20"/>
              </w:rPr>
            </w:pPr>
            <w:r w:rsidRPr="007C51D6">
              <w:rPr>
                <w:bCs/>
                <w:color w:val="000000"/>
                <w:sz w:val="20"/>
                <w:szCs w:val="20"/>
              </w:rPr>
              <w:t>данных</w:t>
            </w:r>
          </w:p>
        </w:tc>
        <w:tc>
          <w:tcPr>
            <w:tcW w:w="992" w:type="dxa"/>
          </w:tcPr>
          <w:p w:rsidR="001E3FBE" w:rsidRPr="007C51D6" w:rsidRDefault="001E3FBE" w:rsidP="001E3FBE">
            <w:pPr>
              <w:jc w:val="center"/>
              <w:rPr>
                <w:color w:val="000000"/>
                <w:sz w:val="20"/>
                <w:szCs w:val="20"/>
              </w:rPr>
            </w:pPr>
            <w:r w:rsidRPr="007C51D6">
              <w:rPr>
                <w:color w:val="000000"/>
                <w:sz w:val="20"/>
                <w:szCs w:val="20"/>
              </w:rPr>
              <w:t>0,31</w:t>
            </w:r>
          </w:p>
        </w:tc>
        <w:tc>
          <w:tcPr>
            <w:tcW w:w="851" w:type="dxa"/>
          </w:tcPr>
          <w:p w:rsidR="001E3FBE" w:rsidRPr="007C51D6" w:rsidRDefault="001E3FBE" w:rsidP="001E3FBE">
            <w:pPr>
              <w:jc w:val="center"/>
              <w:rPr>
                <w:color w:val="000000"/>
                <w:sz w:val="20"/>
                <w:szCs w:val="20"/>
              </w:rPr>
            </w:pPr>
            <w:r w:rsidRPr="007C51D6">
              <w:rPr>
                <w:color w:val="000000"/>
                <w:sz w:val="20"/>
                <w:szCs w:val="20"/>
              </w:rPr>
              <w:t>0,28</w:t>
            </w:r>
          </w:p>
        </w:tc>
        <w:tc>
          <w:tcPr>
            <w:tcW w:w="850" w:type="dxa"/>
          </w:tcPr>
          <w:p w:rsidR="001E3FBE" w:rsidRPr="007C51D6" w:rsidRDefault="001E3FBE" w:rsidP="001E3FBE">
            <w:pPr>
              <w:jc w:val="center"/>
              <w:rPr>
                <w:color w:val="000000"/>
                <w:sz w:val="20"/>
                <w:szCs w:val="20"/>
              </w:rPr>
            </w:pPr>
            <w:r w:rsidRPr="007C51D6">
              <w:rPr>
                <w:color w:val="000000"/>
                <w:sz w:val="20"/>
                <w:szCs w:val="20"/>
              </w:rPr>
              <w:t>0,41</w:t>
            </w:r>
          </w:p>
        </w:tc>
        <w:tc>
          <w:tcPr>
            <w:tcW w:w="851" w:type="dxa"/>
          </w:tcPr>
          <w:p w:rsidR="001E3FBE" w:rsidRPr="007C51D6" w:rsidRDefault="001E3FBE" w:rsidP="001E3FBE">
            <w:pPr>
              <w:jc w:val="center"/>
              <w:rPr>
                <w:color w:val="000000"/>
                <w:sz w:val="20"/>
                <w:szCs w:val="20"/>
              </w:rPr>
            </w:pPr>
            <w:r w:rsidRPr="007C51D6">
              <w:rPr>
                <w:color w:val="000000"/>
                <w:sz w:val="20"/>
                <w:szCs w:val="20"/>
              </w:rPr>
              <w:t>0,38</w:t>
            </w:r>
          </w:p>
        </w:tc>
        <w:tc>
          <w:tcPr>
            <w:tcW w:w="829" w:type="dxa"/>
          </w:tcPr>
          <w:p w:rsidR="001E3FBE" w:rsidRPr="007C51D6" w:rsidRDefault="001E3FBE" w:rsidP="001E3FBE">
            <w:pPr>
              <w:jc w:val="center"/>
              <w:rPr>
                <w:color w:val="000000"/>
                <w:sz w:val="20"/>
                <w:szCs w:val="20"/>
              </w:rPr>
            </w:pPr>
            <w:r w:rsidRPr="007C51D6">
              <w:rPr>
                <w:color w:val="000000"/>
                <w:sz w:val="20"/>
                <w:szCs w:val="20"/>
              </w:rPr>
              <w:t>0,27</w:t>
            </w:r>
          </w:p>
        </w:tc>
        <w:tc>
          <w:tcPr>
            <w:tcW w:w="907" w:type="dxa"/>
          </w:tcPr>
          <w:p w:rsidR="001E3FBE" w:rsidRPr="007C51D6" w:rsidRDefault="001E3FBE" w:rsidP="001E3FBE">
            <w:pPr>
              <w:jc w:val="center"/>
              <w:rPr>
                <w:color w:val="000000"/>
                <w:sz w:val="20"/>
                <w:szCs w:val="20"/>
              </w:rPr>
            </w:pPr>
            <w:r w:rsidRPr="007C51D6">
              <w:rPr>
                <w:color w:val="000000"/>
                <w:sz w:val="20"/>
                <w:szCs w:val="20"/>
              </w:rPr>
              <w:t>0,55</w:t>
            </w:r>
          </w:p>
        </w:tc>
        <w:tc>
          <w:tcPr>
            <w:tcW w:w="907" w:type="dxa"/>
          </w:tcPr>
          <w:p w:rsidR="001E3FBE" w:rsidRPr="007C51D6" w:rsidRDefault="001E3FBE" w:rsidP="001E3FBE">
            <w:pPr>
              <w:autoSpaceDE/>
              <w:autoSpaceDN/>
              <w:adjustRightInd/>
              <w:jc w:val="center"/>
              <w:rPr>
                <w:bCs/>
                <w:color w:val="000000"/>
                <w:sz w:val="20"/>
                <w:szCs w:val="20"/>
              </w:rPr>
            </w:pPr>
            <w:r w:rsidRPr="007C51D6">
              <w:rPr>
                <w:bCs/>
                <w:color w:val="000000"/>
                <w:sz w:val="20"/>
                <w:szCs w:val="20"/>
              </w:rPr>
              <w:t>нет</w:t>
            </w:r>
          </w:p>
          <w:p w:rsidR="001E3FBE" w:rsidRPr="007C51D6" w:rsidRDefault="001E3FBE" w:rsidP="001E3FBE">
            <w:pPr>
              <w:autoSpaceDE/>
              <w:autoSpaceDN/>
              <w:adjustRightInd/>
              <w:jc w:val="center"/>
              <w:rPr>
                <w:bCs/>
                <w:color w:val="000000"/>
                <w:sz w:val="20"/>
                <w:szCs w:val="20"/>
              </w:rPr>
            </w:pPr>
            <w:r w:rsidRPr="007C51D6">
              <w:rPr>
                <w:bCs/>
                <w:color w:val="000000"/>
                <w:sz w:val="20"/>
                <w:szCs w:val="20"/>
              </w:rPr>
              <w:t>данных</w:t>
            </w:r>
          </w:p>
        </w:tc>
      </w:tr>
      <w:tr w:rsidR="001E3FBE" w:rsidRPr="007C51D6" w:rsidTr="00B93D5E">
        <w:trPr>
          <w:cantSplit/>
          <w:trHeight w:val="20"/>
          <w:jc w:val="center"/>
        </w:trPr>
        <w:tc>
          <w:tcPr>
            <w:tcW w:w="3539" w:type="dxa"/>
            <w:shd w:val="clear" w:color="auto" w:fill="auto"/>
            <w:noWrap/>
          </w:tcPr>
          <w:p w:rsidR="001E3FBE" w:rsidRPr="007C51D6" w:rsidRDefault="001E3FBE" w:rsidP="001E3FBE">
            <w:pPr>
              <w:autoSpaceDE/>
              <w:autoSpaceDN/>
              <w:adjustRightInd/>
              <w:jc w:val="both"/>
              <w:rPr>
                <w:sz w:val="20"/>
                <w:szCs w:val="20"/>
              </w:rPr>
            </w:pPr>
            <w:r w:rsidRPr="007C51D6">
              <w:rPr>
                <w:color w:val="333333"/>
                <w:sz w:val="20"/>
                <w:szCs w:val="20"/>
              </w:rPr>
              <w:t>доброкачественное новообразование щитовидной железы</w:t>
            </w:r>
          </w:p>
        </w:tc>
        <w:tc>
          <w:tcPr>
            <w:tcW w:w="1276" w:type="dxa"/>
            <w:shd w:val="clear" w:color="auto" w:fill="auto"/>
            <w:noWrap/>
          </w:tcPr>
          <w:p w:rsidR="001E3FBE" w:rsidRPr="007C51D6" w:rsidRDefault="001E3FBE" w:rsidP="001E3FBE">
            <w:pPr>
              <w:autoSpaceDE/>
              <w:autoSpaceDN/>
              <w:adjustRightInd/>
              <w:jc w:val="center"/>
              <w:rPr>
                <w:rFonts w:eastAsia="Arial"/>
                <w:sz w:val="20"/>
                <w:szCs w:val="20"/>
              </w:rPr>
            </w:pPr>
            <w:r w:rsidRPr="007C51D6">
              <w:rPr>
                <w:rFonts w:eastAsia="Arial"/>
                <w:sz w:val="20"/>
                <w:szCs w:val="20"/>
              </w:rPr>
              <w:t>D34</w:t>
            </w:r>
          </w:p>
        </w:tc>
        <w:tc>
          <w:tcPr>
            <w:tcW w:w="1303" w:type="dxa"/>
          </w:tcPr>
          <w:p w:rsidR="001E3FBE" w:rsidRPr="007C51D6" w:rsidRDefault="001E3FBE" w:rsidP="001E3FBE">
            <w:pPr>
              <w:autoSpaceDE/>
              <w:autoSpaceDN/>
              <w:adjustRightInd/>
              <w:jc w:val="center"/>
              <w:rPr>
                <w:bCs/>
                <w:color w:val="000000"/>
                <w:sz w:val="20"/>
                <w:szCs w:val="20"/>
              </w:rPr>
            </w:pPr>
            <w:r w:rsidRPr="007C51D6">
              <w:rPr>
                <w:bCs/>
                <w:color w:val="000000"/>
                <w:sz w:val="20"/>
                <w:szCs w:val="20"/>
              </w:rPr>
              <w:t>нет</w:t>
            </w:r>
          </w:p>
          <w:p w:rsidR="001E3FBE" w:rsidRPr="007C51D6" w:rsidRDefault="001E3FBE" w:rsidP="001E3FBE">
            <w:pPr>
              <w:autoSpaceDE/>
              <w:autoSpaceDN/>
              <w:adjustRightInd/>
              <w:jc w:val="center"/>
              <w:rPr>
                <w:bCs/>
                <w:color w:val="000000"/>
                <w:sz w:val="20"/>
                <w:szCs w:val="20"/>
              </w:rPr>
            </w:pPr>
            <w:r w:rsidRPr="007C51D6">
              <w:rPr>
                <w:bCs/>
                <w:color w:val="000000"/>
                <w:sz w:val="20"/>
                <w:szCs w:val="20"/>
              </w:rPr>
              <w:t>данных</w:t>
            </w:r>
          </w:p>
        </w:tc>
        <w:tc>
          <w:tcPr>
            <w:tcW w:w="1134" w:type="dxa"/>
          </w:tcPr>
          <w:p w:rsidR="001E3FBE" w:rsidRPr="007C51D6" w:rsidRDefault="001E3FBE" w:rsidP="001E3FBE">
            <w:pPr>
              <w:autoSpaceDE/>
              <w:autoSpaceDN/>
              <w:adjustRightInd/>
              <w:jc w:val="center"/>
              <w:rPr>
                <w:bCs/>
                <w:color w:val="000000"/>
                <w:sz w:val="20"/>
                <w:szCs w:val="20"/>
              </w:rPr>
            </w:pPr>
            <w:r w:rsidRPr="007C51D6">
              <w:rPr>
                <w:bCs/>
                <w:color w:val="000000"/>
                <w:sz w:val="20"/>
                <w:szCs w:val="20"/>
              </w:rPr>
              <w:t>нет</w:t>
            </w:r>
          </w:p>
          <w:p w:rsidR="001E3FBE" w:rsidRPr="007C51D6" w:rsidRDefault="001E3FBE" w:rsidP="001E3FBE">
            <w:pPr>
              <w:autoSpaceDE/>
              <w:autoSpaceDN/>
              <w:adjustRightInd/>
              <w:jc w:val="center"/>
              <w:rPr>
                <w:bCs/>
                <w:color w:val="000000"/>
                <w:sz w:val="20"/>
                <w:szCs w:val="20"/>
              </w:rPr>
            </w:pPr>
            <w:r w:rsidRPr="007C51D6">
              <w:rPr>
                <w:bCs/>
                <w:color w:val="000000"/>
                <w:sz w:val="20"/>
                <w:szCs w:val="20"/>
              </w:rPr>
              <w:t>данных</w:t>
            </w:r>
          </w:p>
        </w:tc>
        <w:tc>
          <w:tcPr>
            <w:tcW w:w="1361" w:type="dxa"/>
          </w:tcPr>
          <w:p w:rsidR="001E3FBE" w:rsidRPr="007C51D6" w:rsidRDefault="001E3FBE" w:rsidP="001E3FBE">
            <w:pPr>
              <w:autoSpaceDE/>
              <w:autoSpaceDN/>
              <w:adjustRightInd/>
              <w:jc w:val="center"/>
              <w:rPr>
                <w:bCs/>
                <w:color w:val="000000"/>
                <w:sz w:val="20"/>
                <w:szCs w:val="20"/>
              </w:rPr>
            </w:pPr>
            <w:r w:rsidRPr="007C51D6">
              <w:rPr>
                <w:bCs/>
                <w:color w:val="000000"/>
                <w:sz w:val="20"/>
                <w:szCs w:val="20"/>
              </w:rPr>
              <w:t>нет</w:t>
            </w:r>
          </w:p>
          <w:p w:rsidR="001E3FBE" w:rsidRPr="007C51D6" w:rsidRDefault="001E3FBE" w:rsidP="001E3FBE">
            <w:pPr>
              <w:autoSpaceDE/>
              <w:autoSpaceDN/>
              <w:adjustRightInd/>
              <w:jc w:val="center"/>
              <w:rPr>
                <w:bCs/>
                <w:color w:val="000000"/>
                <w:sz w:val="20"/>
                <w:szCs w:val="20"/>
              </w:rPr>
            </w:pPr>
            <w:r w:rsidRPr="007C51D6">
              <w:rPr>
                <w:bCs/>
                <w:color w:val="000000"/>
                <w:sz w:val="20"/>
                <w:szCs w:val="20"/>
              </w:rPr>
              <w:t>данных</w:t>
            </w:r>
          </w:p>
        </w:tc>
        <w:tc>
          <w:tcPr>
            <w:tcW w:w="992" w:type="dxa"/>
          </w:tcPr>
          <w:p w:rsidR="001E3FBE" w:rsidRPr="007C51D6" w:rsidRDefault="001E3FBE" w:rsidP="001E3FBE">
            <w:pPr>
              <w:jc w:val="center"/>
              <w:rPr>
                <w:color w:val="000000"/>
                <w:sz w:val="20"/>
                <w:szCs w:val="20"/>
              </w:rPr>
            </w:pPr>
            <w:r w:rsidRPr="007C51D6">
              <w:rPr>
                <w:color w:val="000000"/>
                <w:sz w:val="20"/>
                <w:szCs w:val="20"/>
              </w:rPr>
              <w:t>0,00</w:t>
            </w:r>
          </w:p>
        </w:tc>
        <w:tc>
          <w:tcPr>
            <w:tcW w:w="851" w:type="dxa"/>
          </w:tcPr>
          <w:p w:rsidR="001E3FBE" w:rsidRPr="007C51D6" w:rsidRDefault="001E3FBE" w:rsidP="001E3FBE">
            <w:pPr>
              <w:jc w:val="center"/>
              <w:rPr>
                <w:color w:val="000000"/>
                <w:sz w:val="20"/>
                <w:szCs w:val="20"/>
              </w:rPr>
            </w:pPr>
            <w:r w:rsidRPr="007C51D6">
              <w:rPr>
                <w:color w:val="000000"/>
                <w:sz w:val="20"/>
                <w:szCs w:val="20"/>
              </w:rPr>
              <w:t>0,00</w:t>
            </w:r>
          </w:p>
        </w:tc>
        <w:tc>
          <w:tcPr>
            <w:tcW w:w="850" w:type="dxa"/>
          </w:tcPr>
          <w:p w:rsidR="001E3FBE" w:rsidRPr="007C51D6" w:rsidRDefault="001E3FBE" w:rsidP="001E3FBE">
            <w:pPr>
              <w:jc w:val="center"/>
              <w:rPr>
                <w:color w:val="000000"/>
                <w:sz w:val="20"/>
                <w:szCs w:val="20"/>
              </w:rPr>
            </w:pPr>
            <w:r w:rsidRPr="007C51D6">
              <w:rPr>
                <w:color w:val="000000"/>
                <w:sz w:val="20"/>
                <w:szCs w:val="20"/>
              </w:rPr>
              <w:t>0,05</w:t>
            </w:r>
          </w:p>
        </w:tc>
        <w:tc>
          <w:tcPr>
            <w:tcW w:w="851" w:type="dxa"/>
          </w:tcPr>
          <w:p w:rsidR="001E3FBE" w:rsidRPr="007C51D6" w:rsidRDefault="001E3FBE" w:rsidP="001E3FBE">
            <w:pPr>
              <w:jc w:val="center"/>
              <w:rPr>
                <w:color w:val="000000"/>
                <w:sz w:val="20"/>
                <w:szCs w:val="20"/>
              </w:rPr>
            </w:pPr>
            <w:r w:rsidRPr="007C51D6">
              <w:rPr>
                <w:color w:val="000000"/>
                <w:sz w:val="20"/>
                <w:szCs w:val="20"/>
              </w:rPr>
              <w:t>0,03</w:t>
            </w:r>
          </w:p>
        </w:tc>
        <w:tc>
          <w:tcPr>
            <w:tcW w:w="829" w:type="dxa"/>
          </w:tcPr>
          <w:p w:rsidR="001E3FBE" w:rsidRPr="007C51D6" w:rsidRDefault="001E3FBE" w:rsidP="001E3FBE">
            <w:pPr>
              <w:jc w:val="center"/>
              <w:rPr>
                <w:color w:val="000000"/>
                <w:sz w:val="20"/>
                <w:szCs w:val="20"/>
              </w:rPr>
            </w:pPr>
            <w:r w:rsidRPr="007C51D6">
              <w:rPr>
                <w:color w:val="000000"/>
                <w:sz w:val="20"/>
                <w:szCs w:val="20"/>
              </w:rPr>
              <w:t>0,00</w:t>
            </w:r>
          </w:p>
        </w:tc>
        <w:tc>
          <w:tcPr>
            <w:tcW w:w="907" w:type="dxa"/>
          </w:tcPr>
          <w:p w:rsidR="001E3FBE" w:rsidRPr="007C51D6" w:rsidRDefault="001E3FBE" w:rsidP="001E3FBE">
            <w:pPr>
              <w:jc w:val="center"/>
              <w:rPr>
                <w:color w:val="000000"/>
                <w:sz w:val="20"/>
                <w:szCs w:val="20"/>
              </w:rPr>
            </w:pPr>
            <w:r w:rsidRPr="007C51D6">
              <w:rPr>
                <w:color w:val="000000"/>
                <w:sz w:val="20"/>
                <w:szCs w:val="20"/>
              </w:rPr>
              <w:t>0,00</w:t>
            </w:r>
          </w:p>
        </w:tc>
        <w:tc>
          <w:tcPr>
            <w:tcW w:w="907" w:type="dxa"/>
          </w:tcPr>
          <w:p w:rsidR="001E3FBE" w:rsidRPr="007C51D6" w:rsidRDefault="001E3FBE" w:rsidP="001E3FBE">
            <w:pPr>
              <w:autoSpaceDE/>
              <w:autoSpaceDN/>
              <w:adjustRightInd/>
              <w:jc w:val="center"/>
              <w:rPr>
                <w:bCs/>
                <w:color w:val="000000"/>
                <w:sz w:val="20"/>
                <w:szCs w:val="20"/>
              </w:rPr>
            </w:pPr>
            <w:r w:rsidRPr="007C51D6">
              <w:rPr>
                <w:bCs/>
                <w:color w:val="000000"/>
                <w:sz w:val="20"/>
                <w:szCs w:val="20"/>
              </w:rPr>
              <w:t>нет</w:t>
            </w:r>
          </w:p>
          <w:p w:rsidR="001E3FBE" w:rsidRPr="007C51D6" w:rsidRDefault="001E3FBE" w:rsidP="001E3FBE">
            <w:pPr>
              <w:autoSpaceDE/>
              <w:autoSpaceDN/>
              <w:adjustRightInd/>
              <w:jc w:val="center"/>
              <w:rPr>
                <w:bCs/>
                <w:color w:val="000000"/>
                <w:sz w:val="20"/>
                <w:szCs w:val="20"/>
              </w:rPr>
            </w:pPr>
            <w:r w:rsidRPr="007C51D6">
              <w:rPr>
                <w:bCs/>
                <w:color w:val="000000"/>
                <w:sz w:val="20"/>
                <w:szCs w:val="20"/>
              </w:rPr>
              <w:t>данных</w:t>
            </w:r>
          </w:p>
        </w:tc>
      </w:tr>
      <w:tr w:rsidR="001E3FBE" w:rsidRPr="007C51D6" w:rsidTr="00B93D5E">
        <w:trPr>
          <w:cantSplit/>
          <w:trHeight w:val="20"/>
          <w:jc w:val="center"/>
        </w:trPr>
        <w:tc>
          <w:tcPr>
            <w:tcW w:w="3539" w:type="dxa"/>
            <w:shd w:val="clear" w:color="auto" w:fill="auto"/>
            <w:noWrap/>
          </w:tcPr>
          <w:p w:rsidR="001E3FBE" w:rsidRPr="007C51D6" w:rsidRDefault="00B41962" w:rsidP="001E3FBE">
            <w:pPr>
              <w:autoSpaceDE/>
              <w:autoSpaceDN/>
              <w:adjustRightInd/>
              <w:jc w:val="both"/>
              <w:rPr>
                <w:sz w:val="20"/>
                <w:szCs w:val="20"/>
              </w:rPr>
            </w:pPr>
            <w:hyperlink r:id="rId27" w:history="1">
              <w:r w:rsidR="001E3FBE" w:rsidRPr="007C51D6">
                <w:rPr>
                  <w:rFonts w:eastAsia="Arial"/>
                  <w:bCs/>
                  <w:sz w:val="20"/>
                  <w:szCs w:val="20"/>
                </w:rPr>
                <w:t>доброкачественное новообразование других и неуточненных эндокринных желез</w:t>
              </w:r>
            </w:hyperlink>
          </w:p>
        </w:tc>
        <w:tc>
          <w:tcPr>
            <w:tcW w:w="1276" w:type="dxa"/>
            <w:shd w:val="clear" w:color="auto" w:fill="auto"/>
            <w:noWrap/>
          </w:tcPr>
          <w:p w:rsidR="001E3FBE" w:rsidRPr="007C51D6" w:rsidRDefault="001E3FBE" w:rsidP="001E3FBE">
            <w:pPr>
              <w:autoSpaceDE/>
              <w:autoSpaceDN/>
              <w:adjustRightInd/>
              <w:jc w:val="center"/>
              <w:rPr>
                <w:color w:val="000000"/>
                <w:sz w:val="20"/>
                <w:szCs w:val="20"/>
              </w:rPr>
            </w:pPr>
            <w:r w:rsidRPr="007C51D6">
              <w:rPr>
                <w:rFonts w:eastAsia="Arial"/>
                <w:sz w:val="20"/>
                <w:szCs w:val="20"/>
              </w:rPr>
              <w:t>D35</w:t>
            </w:r>
          </w:p>
        </w:tc>
        <w:tc>
          <w:tcPr>
            <w:tcW w:w="1303" w:type="dxa"/>
          </w:tcPr>
          <w:p w:rsidR="001E3FBE" w:rsidRPr="007C51D6" w:rsidRDefault="001E3FBE" w:rsidP="001E3FBE">
            <w:pPr>
              <w:autoSpaceDE/>
              <w:autoSpaceDN/>
              <w:adjustRightInd/>
              <w:jc w:val="center"/>
              <w:rPr>
                <w:bCs/>
                <w:color w:val="000000"/>
                <w:sz w:val="20"/>
                <w:szCs w:val="20"/>
              </w:rPr>
            </w:pPr>
            <w:r w:rsidRPr="007C51D6">
              <w:rPr>
                <w:bCs/>
                <w:color w:val="000000"/>
                <w:sz w:val="20"/>
                <w:szCs w:val="20"/>
              </w:rPr>
              <w:t>нет</w:t>
            </w:r>
          </w:p>
          <w:p w:rsidR="001E3FBE" w:rsidRPr="007C51D6" w:rsidRDefault="001E3FBE" w:rsidP="001E3FBE">
            <w:pPr>
              <w:autoSpaceDE/>
              <w:autoSpaceDN/>
              <w:adjustRightInd/>
              <w:jc w:val="center"/>
              <w:rPr>
                <w:bCs/>
                <w:color w:val="000000"/>
                <w:sz w:val="20"/>
                <w:szCs w:val="20"/>
              </w:rPr>
            </w:pPr>
            <w:r w:rsidRPr="007C51D6">
              <w:rPr>
                <w:bCs/>
                <w:color w:val="000000"/>
                <w:sz w:val="20"/>
                <w:szCs w:val="20"/>
              </w:rPr>
              <w:t>данных</w:t>
            </w:r>
          </w:p>
        </w:tc>
        <w:tc>
          <w:tcPr>
            <w:tcW w:w="1134" w:type="dxa"/>
          </w:tcPr>
          <w:p w:rsidR="001E3FBE" w:rsidRPr="007C51D6" w:rsidRDefault="001E3FBE" w:rsidP="001E3FBE">
            <w:pPr>
              <w:autoSpaceDE/>
              <w:autoSpaceDN/>
              <w:adjustRightInd/>
              <w:jc w:val="center"/>
              <w:rPr>
                <w:bCs/>
                <w:color w:val="000000"/>
                <w:sz w:val="20"/>
                <w:szCs w:val="20"/>
              </w:rPr>
            </w:pPr>
            <w:r w:rsidRPr="007C51D6">
              <w:rPr>
                <w:bCs/>
                <w:color w:val="000000"/>
                <w:sz w:val="20"/>
                <w:szCs w:val="20"/>
              </w:rPr>
              <w:t>нет</w:t>
            </w:r>
          </w:p>
          <w:p w:rsidR="001E3FBE" w:rsidRPr="007C51D6" w:rsidRDefault="001E3FBE" w:rsidP="001E3FBE">
            <w:pPr>
              <w:autoSpaceDE/>
              <w:autoSpaceDN/>
              <w:adjustRightInd/>
              <w:jc w:val="center"/>
              <w:rPr>
                <w:bCs/>
                <w:color w:val="000000"/>
                <w:sz w:val="20"/>
                <w:szCs w:val="20"/>
              </w:rPr>
            </w:pPr>
            <w:r w:rsidRPr="007C51D6">
              <w:rPr>
                <w:bCs/>
                <w:color w:val="000000"/>
                <w:sz w:val="20"/>
                <w:szCs w:val="20"/>
              </w:rPr>
              <w:t>данных</w:t>
            </w:r>
          </w:p>
        </w:tc>
        <w:tc>
          <w:tcPr>
            <w:tcW w:w="1361" w:type="dxa"/>
          </w:tcPr>
          <w:p w:rsidR="001E3FBE" w:rsidRPr="007C51D6" w:rsidRDefault="001E3FBE" w:rsidP="001E3FBE">
            <w:pPr>
              <w:autoSpaceDE/>
              <w:autoSpaceDN/>
              <w:adjustRightInd/>
              <w:jc w:val="center"/>
              <w:rPr>
                <w:bCs/>
                <w:color w:val="000000"/>
                <w:sz w:val="20"/>
                <w:szCs w:val="20"/>
              </w:rPr>
            </w:pPr>
            <w:r w:rsidRPr="007C51D6">
              <w:rPr>
                <w:bCs/>
                <w:color w:val="000000"/>
                <w:sz w:val="20"/>
                <w:szCs w:val="20"/>
              </w:rPr>
              <w:t>нет</w:t>
            </w:r>
          </w:p>
          <w:p w:rsidR="001E3FBE" w:rsidRPr="007C51D6" w:rsidRDefault="001E3FBE" w:rsidP="001E3FBE">
            <w:pPr>
              <w:autoSpaceDE/>
              <w:autoSpaceDN/>
              <w:adjustRightInd/>
              <w:jc w:val="center"/>
              <w:rPr>
                <w:bCs/>
                <w:color w:val="000000"/>
                <w:sz w:val="20"/>
                <w:szCs w:val="20"/>
              </w:rPr>
            </w:pPr>
            <w:r w:rsidRPr="007C51D6">
              <w:rPr>
                <w:bCs/>
                <w:color w:val="000000"/>
                <w:sz w:val="20"/>
                <w:szCs w:val="20"/>
              </w:rPr>
              <w:t>данных</w:t>
            </w:r>
          </w:p>
        </w:tc>
        <w:tc>
          <w:tcPr>
            <w:tcW w:w="992" w:type="dxa"/>
          </w:tcPr>
          <w:p w:rsidR="001E3FBE" w:rsidRPr="007C51D6" w:rsidRDefault="001E3FBE" w:rsidP="001E3FBE">
            <w:pPr>
              <w:jc w:val="center"/>
              <w:rPr>
                <w:color w:val="000000"/>
                <w:sz w:val="20"/>
                <w:szCs w:val="20"/>
              </w:rPr>
            </w:pPr>
            <w:r w:rsidRPr="007C51D6">
              <w:rPr>
                <w:color w:val="000000"/>
                <w:sz w:val="20"/>
                <w:szCs w:val="20"/>
              </w:rPr>
              <w:t>0,03</w:t>
            </w:r>
          </w:p>
        </w:tc>
        <w:tc>
          <w:tcPr>
            <w:tcW w:w="851" w:type="dxa"/>
          </w:tcPr>
          <w:p w:rsidR="001E3FBE" w:rsidRPr="007C51D6" w:rsidRDefault="001E3FBE" w:rsidP="001E3FBE">
            <w:pPr>
              <w:jc w:val="center"/>
              <w:rPr>
                <w:color w:val="000000"/>
                <w:sz w:val="20"/>
                <w:szCs w:val="20"/>
              </w:rPr>
            </w:pPr>
            <w:r w:rsidRPr="007C51D6">
              <w:rPr>
                <w:color w:val="000000"/>
                <w:sz w:val="20"/>
                <w:szCs w:val="20"/>
              </w:rPr>
              <w:t>0,10</w:t>
            </w:r>
          </w:p>
        </w:tc>
        <w:tc>
          <w:tcPr>
            <w:tcW w:w="850" w:type="dxa"/>
          </w:tcPr>
          <w:p w:rsidR="001E3FBE" w:rsidRPr="007C51D6" w:rsidRDefault="001E3FBE" w:rsidP="001E3FBE">
            <w:pPr>
              <w:jc w:val="center"/>
              <w:rPr>
                <w:color w:val="000000"/>
                <w:sz w:val="20"/>
                <w:szCs w:val="20"/>
              </w:rPr>
            </w:pPr>
            <w:r w:rsidRPr="007C51D6">
              <w:rPr>
                <w:color w:val="000000"/>
                <w:sz w:val="20"/>
                <w:szCs w:val="20"/>
              </w:rPr>
              <w:t>0,00</w:t>
            </w:r>
          </w:p>
        </w:tc>
        <w:tc>
          <w:tcPr>
            <w:tcW w:w="851" w:type="dxa"/>
          </w:tcPr>
          <w:p w:rsidR="001E3FBE" w:rsidRPr="007C51D6" w:rsidRDefault="001E3FBE" w:rsidP="001E3FBE">
            <w:pPr>
              <w:jc w:val="center"/>
              <w:rPr>
                <w:color w:val="000000"/>
                <w:sz w:val="20"/>
                <w:szCs w:val="20"/>
              </w:rPr>
            </w:pPr>
            <w:r w:rsidRPr="007C51D6">
              <w:rPr>
                <w:color w:val="000000"/>
                <w:sz w:val="20"/>
                <w:szCs w:val="20"/>
              </w:rPr>
              <w:t>0,05</w:t>
            </w:r>
          </w:p>
        </w:tc>
        <w:tc>
          <w:tcPr>
            <w:tcW w:w="829" w:type="dxa"/>
          </w:tcPr>
          <w:p w:rsidR="001E3FBE" w:rsidRPr="007C51D6" w:rsidRDefault="001E3FBE" w:rsidP="001E3FBE">
            <w:pPr>
              <w:jc w:val="center"/>
              <w:rPr>
                <w:color w:val="000000"/>
                <w:sz w:val="20"/>
                <w:szCs w:val="20"/>
              </w:rPr>
            </w:pPr>
            <w:r w:rsidRPr="007C51D6">
              <w:rPr>
                <w:color w:val="000000"/>
                <w:sz w:val="20"/>
                <w:szCs w:val="20"/>
              </w:rPr>
              <w:t>0,05</w:t>
            </w:r>
          </w:p>
        </w:tc>
        <w:tc>
          <w:tcPr>
            <w:tcW w:w="907" w:type="dxa"/>
          </w:tcPr>
          <w:p w:rsidR="001E3FBE" w:rsidRPr="007C51D6" w:rsidRDefault="001E3FBE" w:rsidP="001E3FBE">
            <w:pPr>
              <w:jc w:val="center"/>
              <w:rPr>
                <w:color w:val="000000"/>
                <w:sz w:val="20"/>
                <w:szCs w:val="20"/>
              </w:rPr>
            </w:pPr>
            <w:r w:rsidRPr="007C51D6">
              <w:rPr>
                <w:color w:val="000000"/>
                <w:sz w:val="20"/>
                <w:szCs w:val="20"/>
              </w:rPr>
              <w:t>0,12</w:t>
            </w:r>
          </w:p>
        </w:tc>
        <w:tc>
          <w:tcPr>
            <w:tcW w:w="907" w:type="dxa"/>
          </w:tcPr>
          <w:p w:rsidR="001E3FBE" w:rsidRPr="007C51D6" w:rsidRDefault="001E3FBE" w:rsidP="001E3FBE">
            <w:pPr>
              <w:autoSpaceDE/>
              <w:autoSpaceDN/>
              <w:adjustRightInd/>
              <w:jc w:val="center"/>
              <w:rPr>
                <w:bCs/>
                <w:color w:val="000000"/>
                <w:sz w:val="20"/>
                <w:szCs w:val="20"/>
              </w:rPr>
            </w:pPr>
            <w:r w:rsidRPr="007C51D6">
              <w:rPr>
                <w:bCs/>
                <w:color w:val="000000"/>
                <w:sz w:val="20"/>
                <w:szCs w:val="20"/>
              </w:rPr>
              <w:t>нет</w:t>
            </w:r>
          </w:p>
          <w:p w:rsidR="001E3FBE" w:rsidRPr="007C51D6" w:rsidRDefault="001E3FBE" w:rsidP="001E3FBE">
            <w:pPr>
              <w:autoSpaceDE/>
              <w:autoSpaceDN/>
              <w:adjustRightInd/>
              <w:jc w:val="center"/>
              <w:rPr>
                <w:bCs/>
                <w:color w:val="000000"/>
                <w:sz w:val="20"/>
                <w:szCs w:val="20"/>
              </w:rPr>
            </w:pPr>
            <w:r w:rsidRPr="007C51D6">
              <w:rPr>
                <w:bCs/>
                <w:color w:val="000000"/>
                <w:sz w:val="20"/>
                <w:szCs w:val="20"/>
              </w:rPr>
              <w:t>данных</w:t>
            </w:r>
          </w:p>
        </w:tc>
      </w:tr>
      <w:tr w:rsidR="001E3FBE" w:rsidRPr="007C51D6" w:rsidTr="00B93D5E">
        <w:trPr>
          <w:cantSplit/>
          <w:trHeight w:val="20"/>
          <w:jc w:val="center"/>
        </w:trPr>
        <w:tc>
          <w:tcPr>
            <w:tcW w:w="3539" w:type="dxa"/>
            <w:shd w:val="clear" w:color="auto" w:fill="auto"/>
            <w:noWrap/>
          </w:tcPr>
          <w:p w:rsidR="001E3FBE" w:rsidRPr="007C51D6" w:rsidRDefault="001E3FBE" w:rsidP="001E3FBE">
            <w:pPr>
              <w:autoSpaceDE/>
              <w:autoSpaceDN/>
              <w:adjustRightInd/>
              <w:jc w:val="both"/>
              <w:rPr>
                <w:sz w:val="20"/>
                <w:szCs w:val="20"/>
              </w:rPr>
            </w:pPr>
            <w:r w:rsidRPr="007C51D6">
              <w:rPr>
                <w:color w:val="333333"/>
                <w:sz w:val="20"/>
                <w:szCs w:val="20"/>
              </w:rPr>
              <w:t>доброкачественное новообразование других и неуточненных локализаций</w:t>
            </w:r>
          </w:p>
        </w:tc>
        <w:tc>
          <w:tcPr>
            <w:tcW w:w="1276" w:type="dxa"/>
            <w:shd w:val="clear" w:color="auto" w:fill="auto"/>
            <w:noWrap/>
          </w:tcPr>
          <w:p w:rsidR="001E3FBE" w:rsidRPr="007C51D6" w:rsidRDefault="001E3FBE" w:rsidP="001E3FBE">
            <w:pPr>
              <w:autoSpaceDE/>
              <w:autoSpaceDN/>
              <w:adjustRightInd/>
              <w:jc w:val="center"/>
              <w:rPr>
                <w:rFonts w:eastAsia="Arial"/>
                <w:sz w:val="20"/>
                <w:szCs w:val="20"/>
              </w:rPr>
            </w:pPr>
            <w:r w:rsidRPr="007C51D6">
              <w:rPr>
                <w:rFonts w:eastAsia="Arial"/>
                <w:sz w:val="20"/>
                <w:szCs w:val="20"/>
              </w:rPr>
              <w:t>D36</w:t>
            </w:r>
          </w:p>
        </w:tc>
        <w:tc>
          <w:tcPr>
            <w:tcW w:w="1303" w:type="dxa"/>
          </w:tcPr>
          <w:p w:rsidR="001E3FBE" w:rsidRPr="007C51D6" w:rsidRDefault="001E3FBE" w:rsidP="001E3FBE">
            <w:pPr>
              <w:autoSpaceDE/>
              <w:autoSpaceDN/>
              <w:adjustRightInd/>
              <w:jc w:val="center"/>
              <w:rPr>
                <w:bCs/>
                <w:color w:val="000000"/>
                <w:sz w:val="20"/>
                <w:szCs w:val="20"/>
              </w:rPr>
            </w:pPr>
            <w:r w:rsidRPr="007C51D6">
              <w:rPr>
                <w:bCs/>
                <w:color w:val="000000"/>
                <w:sz w:val="20"/>
                <w:szCs w:val="20"/>
              </w:rPr>
              <w:t>нет</w:t>
            </w:r>
          </w:p>
          <w:p w:rsidR="001E3FBE" w:rsidRPr="007C51D6" w:rsidRDefault="001E3FBE" w:rsidP="001E3FBE">
            <w:pPr>
              <w:autoSpaceDE/>
              <w:autoSpaceDN/>
              <w:adjustRightInd/>
              <w:jc w:val="center"/>
              <w:rPr>
                <w:bCs/>
                <w:color w:val="000000"/>
                <w:sz w:val="20"/>
                <w:szCs w:val="20"/>
              </w:rPr>
            </w:pPr>
            <w:r w:rsidRPr="007C51D6">
              <w:rPr>
                <w:bCs/>
                <w:color w:val="000000"/>
                <w:sz w:val="20"/>
                <w:szCs w:val="20"/>
              </w:rPr>
              <w:t>данных</w:t>
            </w:r>
          </w:p>
        </w:tc>
        <w:tc>
          <w:tcPr>
            <w:tcW w:w="1134" w:type="dxa"/>
          </w:tcPr>
          <w:p w:rsidR="001E3FBE" w:rsidRPr="007C51D6" w:rsidRDefault="001E3FBE" w:rsidP="001E3FBE">
            <w:pPr>
              <w:autoSpaceDE/>
              <w:autoSpaceDN/>
              <w:adjustRightInd/>
              <w:jc w:val="center"/>
              <w:rPr>
                <w:bCs/>
                <w:color w:val="000000"/>
                <w:sz w:val="20"/>
                <w:szCs w:val="20"/>
              </w:rPr>
            </w:pPr>
            <w:r w:rsidRPr="007C51D6">
              <w:rPr>
                <w:bCs/>
                <w:color w:val="000000"/>
                <w:sz w:val="20"/>
                <w:szCs w:val="20"/>
              </w:rPr>
              <w:t>нет</w:t>
            </w:r>
          </w:p>
          <w:p w:rsidR="001E3FBE" w:rsidRPr="007C51D6" w:rsidRDefault="001E3FBE" w:rsidP="001E3FBE">
            <w:pPr>
              <w:autoSpaceDE/>
              <w:autoSpaceDN/>
              <w:adjustRightInd/>
              <w:jc w:val="center"/>
              <w:rPr>
                <w:bCs/>
                <w:color w:val="000000"/>
                <w:sz w:val="20"/>
                <w:szCs w:val="20"/>
              </w:rPr>
            </w:pPr>
            <w:r w:rsidRPr="007C51D6">
              <w:rPr>
                <w:bCs/>
                <w:color w:val="000000"/>
                <w:sz w:val="20"/>
                <w:szCs w:val="20"/>
              </w:rPr>
              <w:t>данных</w:t>
            </w:r>
          </w:p>
        </w:tc>
        <w:tc>
          <w:tcPr>
            <w:tcW w:w="1361" w:type="dxa"/>
          </w:tcPr>
          <w:p w:rsidR="001E3FBE" w:rsidRPr="007C51D6" w:rsidRDefault="001E3FBE" w:rsidP="001E3FBE">
            <w:pPr>
              <w:autoSpaceDE/>
              <w:autoSpaceDN/>
              <w:adjustRightInd/>
              <w:jc w:val="center"/>
              <w:rPr>
                <w:bCs/>
                <w:color w:val="000000"/>
                <w:sz w:val="20"/>
                <w:szCs w:val="20"/>
              </w:rPr>
            </w:pPr>
            <w:r w:rsidRPr="007C51D6">
              <w:rPr>
                <w:bCs/>
                <w:color w:val="000000"/>
                <w:sz w:val="20"/>
                <w:szCs w:val="20"/>
              </w:rPr>
              <w:t>нет</w:t>
            </w:r>
          </w:p>
          <w:p w:rsidR="001E3FBE" w:rsidRPr="007C51D6" w:rsidRDefault="001E3FBE" w:rsidP="001E3FBE">
            <w:pPr>
              <w:autoSpaceDE/>
              <w:autoSpaceDN/>
              <w:adjustRightInd/>
              <w:jc w:val="center"/>
              <w:rPr>
                <w:bCs/>
                <w:color w:val="000000"/>
                <w:sz w:val="20"/>
                <w:szCs w:val="20"/>
              </w:rPr>
            </w:pPr>
            <w:r w:rsidRPr="007C51D6">
              <w:rPr>
                <w:bCs/>
                <w:color w:val="000000"/>
                <w:sz w:val="20"/>
                <w:szCs w:val="20"/>
              </w:rPr>
              <w:t>данных</w:t>
            </w:r>
          </w:p>
        </w:tc>
        <w:tc>
          <w:tcPr>
            <w:tcW w:w="992" w:type="dxa"/>
          </w:tcPr>
          <w:p w:rsidR="001E3FBE" w:rsidRPr="007C51D6" w:rsidRDefault="001E3FBE" w:rsidP="001E3FBE">
            <w:pPr>
              <w:jc w:val="center"/>
              <w:rPr>
                <w:color w:val="000000"/>
                <w:sz w:val="20"/>
                <w:szCs w:val="20"/>
              </w:rPr>
            </w:pPr>
            <w:r w:rsidRPr="007C51D6">
              <w:rPr>
                <w:color w:val="000000"/>
                <w:sz w:val="20"/>
                <w:szCs w:val="20"/>
              </w:rPr>
              <w:t>0,00</w:t>
            </w:r>
          </w:p>
        </w:tc>
        <w:tc>
          <w:tcPr>
            <w:tcW w:w="851" w:type="dxa"/>
          </w:tcPr>
          <w:p w:rsidR="001E3FBE" w:rsidRPr="007C51D6" w:rsidRDefault="001E3FBE" w:rsidP="001E3FBE">
            <w:pPr>
              <w:jc w:val="center"/>
              <w:rPr>
                <w:color w:val="000000"/>
                <w:sz w:val="20"/>
                <w:szCs w:val="20"/>
              </w:rPr>
            </w:pPr>
            <w:r w:rsidRPr="007C51D6">
              <w:rPr>
                <w:color w:val="000000"/>
                <w:sz w:val="20"/>
                <w:szCs w:val="20"/>
              </w:rPr>
              <w:t>0,00</w:t>
            </w:r>
          </w:p>
        </w:tc>
        <w:tc>
          <w:tcPr>
            <w:tcW w:w="850" w:type="dxa"/>
          </w:tcPr>
          <w:p w:rsidR="001E3FBE" w:rsidRPr="007C51D6" w:rsidRDefault="001E3FBE" w:rsidP="001E3FBE">
            <w:pPr>
              <w:jc w:val="center"/>
              <w:rPr>
                <w:color w:val="000000"/>
                <w:sz w:val="20"/>
                <w:szCs w:val="20"/>
              </w:rPr>
            </w:pPr>
            <w:r w:rsidRPr="007C51D6">
              <w:rPr>
                <w:color w:val="000000"/>
                <w:sz w:val="20"/>
                <w:szCs w:val="20"/>
              </w:rPr>
              <w:t>0,00</w:t>
            </w:r>
          </w:p>
        </w:tc>
        <w:tc>
          <w:tcPr>
            <w:tcW w:w="851" w:type="dxa"/>
          </w:tcPr>
          <w:p w:rsidR="001E3FBE" w:rsidRPr="007C51D6" w:rsidRDefault="001E3FBE" w:rsidP="001E3FBE">
            <w:pPr>
              <w:jc w:val="center"/>
              <w:rPr>
                <w:color w:val="000000"/>
                <w:sz w:val="20"/>
                <w:szCs w:val="20"/>
              </w:rPr>
            </w:pPr>
            <w:r w:rsidRPr="007C51D6">
              <w:rPr>
                <w:color w:val="000000"/>
                <w:sz w:val="20"/>
                <w:szCs w:val="20"/>
              </w:rPr>
              <w:t>0,00</w:t>
            </w:r>
          </w:p>
        </w:tc>
        <w:tc>
          <w:tcPr>
            <w:tcW w:w="829" w:type="dxa"/>
          </w:tcPr>
          <w:p w:rsidR="001E3FBE" w:rsidRPr="007C51D6" w:rsidRDefault="001E3FBE" w:rsidP="001E3FBE">
            <w:pPr>
              <w:jc w:val="center"/>
              <w:rPr>
                <w:color w:val="000000"/>
                <w:sz w:val="20"/>
                <w:szCs w:val="20"/>
              </w:rPr>
            </w:pPr>
            <w:r w:rsidRPr="007C51D6">
              <w:rPr>
                <w:color w:val="000000"/>
                <w:sz w:val="20"/>
                <w:szCs w:val="20"/>
              </w:rPr>
              <w:t>0,00</w:t>
            </w:r>
          </w:p>
        </w:tc>
        <w:tc>
          <w:tcPr>
            <w:tcW w:w="907" w:type="dxa"/>
          </w:tcPr>
          <w:p w:rsidR="001E3FBE" w:rsidRPr="007C51D6" w:rsidRDefault="001E3FBE" w:rsidP="001E3FBE">
            <w:pPr>
              <w:jc w:val="center"/>
              <w:rPr>
                <w:color w:val="000000"/>
                <w:sz w:val="20"/>
                <w:szCs w:val="20"/>
              </w:rPr>
            </w:pPr>
            <w:r w:rsidRPr="007C51D6">
              <w:rPr>
                <w:color w:val="000000"/>
                <w:sz w:val="20"/>
                <w:szCs w:val="20"/>
              </w:rPr>
              <w:t>0,00</w:t>
            </w:r>
          </w:p>
        </w:tc>
        <w:tc>
          <w:tcPr>
            <w:tcW w:w="907" w:type="dxa"/>
          </w:tcPr>
          <w:p w:rsidR="001E3FBE" w:rsidRPr="007C51D6" w:rsidRDefault="001E3FBE" w:rsidP="001E3FBE">
            <w:pPr>
              <w:autoSpaceDE/>
              <w:autoSpaceDN/>
              <w:adjustRightInd/>
              <w:jc w:val="center"/>
              <w:rPr>
                <w:bCs/>
                <w:color w:val="000000"/>
                <w:sz w:val="20"/>
                <w:szCs w:val="20"/>
              </w:rPr>
            </w:pPr>
            <w:r w:rsidRPr="007C51D6">
              <w:rPr>
                <w:bCs/>
                <w:color w:val="000000"/>
                <w:sz w:val="20"/>
                <w:szCs w:val="20"/>
              </w:rPr>
              <w:t>нет</w:t>
            </w:r>
          </w:p>
          <w:p w:rsidR="001E3FBE" w:rsidRPr="007C51D6" w:rsidRDefault="001E3FBE" w:rsidP="001E3FBE">
            <w:pPr>
              <w:autoSpaceDE/>
              <w:autoSpaceDN/>
              <w:adjustRightInd/>
              <w:jc w:val="center"/>
              <w:rPr>
                <w:bCs/>
                <w:color w:val="000000"/>
                <w:sz w:val="20"/>
                <w:szCs w:val="20"/>
              </w:rPr>
            </w:pPr>
            <w:r w:rsidRPr="007C51D6">
              <w:rPr>
                <w:bCs/>
                <w:color w:val="000000"/>
                <w:sz w:val="20"/>
                <w:szCs w:val="20"/>
              </w:rPr>
              <w:t>данных</w:t>
            </w:r>
          </w:p>
        </w:tc>
      </w:tr>
      <w:tr w:rsidR="001E3FBE" w:rsidRPr="007C51D6" w:rsidTr="00B93D5E">
        <w:trPr>
          <w:cantSplit/>
          <w:trHeight w:val="20"/>
          <w:jc w:val="center"/>
        </w:trPr>
        <w:tc>
          <w:tcPr>
            <w:tcW w:w="3539" w:type="dxa"/>
            <w:shd w:val="clear" w:color="auto" w:fill="auto"/>
            <w:noWrap/>
          </w:tcPr>
          <w:p w:rsidR="001E3FBE" w:rsidRPr="007C51D6" w:rsidRDefault="00B41962" w:rsidP="001E3FBE">
            <w:pPr>
              <w:autoSpaceDE/>
              <w:autoSpaceDN/>
              <w:adjustRightInd/>
              <w:jc w:val="both"/>
              <w:rPr>
                <w:sz w:val="20"/>
                <w:szCs w:val="20"/>
              </w:rPr>
            </w:pPr>
            <w:hyperlink r:id="rId28" w:history="1">
              <w:r w:rsidR="001E3FBE" w:rsidRPr="007C51D6">
                <w:rPr>
                  <w:rFonts w:eastAsia="Arial"/>
                  <w:bCs/>
                  <w:sz w:val="20"/>
                  <w:szCs w:val="20"/>
                </w:rPr>
                <w:t>новообразование неопределенного или неизвестного характера полости рта и органов пищеварения</w:t>
              </w:r>
            </w:hyperlink>
          </w:p>
        </w:tc>
        <w:tc>
          <w:tcPr>
            <w:tcW w:w="1276" w:type="dxa"/>
            <w:shd w:val="clear" w:color="auto" w:fill="auto"/>
            <w:noWrap/>
          </w:tcPr>
          <w:p w:rsidR="001E3FBE" w:rsidRPr="007C51D6" w:rsidRDefault="001E3FBE" w:rsidP="001E3FBE">
            <w:pPr>
              <w:autoSpaceDE/>
              <w:autoSpaceDN/>
              <w:adjustRightInd/>
              <w:jc w:val="center"/>
              <w:rPr>
                <w:color w:val="000000"/>
                <w:sz w:val="20"/>
                <w:szCs w:val="20"/>
              </w:rPr>
            </w:pPr>
            <w:r w:rsidRPr="007C51D6">
              <w:rPr>
                <w:rFonts w:eastAsia="Arial"/>
                <w:sz w:val="20"/>
                <w:szCs w:val="20"/>
              </w:rPr>
              <w:t>D37</w:t>
            </w:r>
          </w:p>
        </w:tc>
        <w:tc>
          <w:tcPr>
            <w:tcW w:w="1303" w:type="dxa"/>
          </w:tcPr>
          <w:p w:rsidR="001E3FBE" w:rsidRPr="007C51D6" w:rsidRDefault="001E3FBE" w:rsidP="001E3FBE">
            <w:pPr>
              <w:autoSpaceDE/>
              <w:autoSpaceDN/>
              <w:adjustRightInd/>
              <w:jc w:val="center"/>
              <w:rPr>
                <w:bCs/>
                <w:color w:val="000000"/>
                <w:sz w:val="20"/>
                <w:szCs w:val="20"/>
              </w:rPr>
            </w:pPr>
            <w:r w:rsidRPr="007C51D6">
              <w:rPr>
                <w:bCs/>
                <w:color w:val="000000"/>
                <w:sz w:val="20"/>
                <w:szCs w:val="20"/>
              </w:rPr>
              <w:t>нет</w:t>
            </w:r>
          </w:p>
          <w:p w:rsidR="001E3FBE" w:rsidRPr="007C51D6" w:rsidRDefault="001E3FBE" w:rsidP="001E3FBE">
            <w:pPr>
              <w:autoSpaceDE/>
              <w:autoSpaceDN/>
              <w:adjustRightInd/>
              <w:jc w:val="center"/>
              <w:rPr>
                <w:bCs/>
                <w:color w:val="000000"/>
                <w:sz w:val="20"/>
                <w:szCs w:val="20"/>
              </w:rPr>
            </w:pPr>
            <w:r w:rsidRPr="007C51D6">
              <w:rPr>
                <w:bCs/>
                <w:color w:val="000000"/>
                <w:sz w:val="20"/>
                <w:szCs w:val="20"/>
              </w:rPr>
              <w:t>данных</w:t>
            </w:r>
          </w:p>
        </w:tc>
        <w:tc>
          <w:tcPr>
            <w:tcW w:w="1134" w:type="dxa"/>
          </w:tcPr>
          <w:p w:rsidR="001E3FBE" w:rsidRPr="007C51D6" w:rsidRDefault="001E3FBE" w:rsidP="001E3FBE">
            <w:pPr>
              <w:autoSpaceDE/>
              <w:autoSpaceDN/>
              <w:adjustRightInd/>
              <w:jc w:val="center"/>
              <w:rPr>
                <w:bCs/>
                <w:color w:val="000000"/>
                <w:sz w:val="20"/>
                <w:szCs w:val="20"/>
              </w:rPr>
            </w:pPr>
            <w:r w:rsidRPr="007C51D6">
              <w:rPr>
                <w:bCs/>
                <w:color w:val="000000"/>
                <w:sz w:val="20"/>
                <w:szCs w:val="20"/>
              </w:rPr>
              <w:t>нет</w:t>
            </w:r>
          </w:p>
          <w:p w:rsidR="001E3FBE" w:rsidRPr="007C51D6" w:rsidRDefault="001E3FBE" w:rsidP="001E3FBE">
            <w:pPr>
              <w:autoSpaceDE/>
              <w:autoSpaceDN/>
              <w:adjustRightInd/>
              <w:jc w:val="center"/>
              <w:rPr>
                <w:bCs/>
                <w:color w:val="000000"/>
                <w:sz w:val="20"/>
                <w:szCs w:val="20"/>
              </w:rPr>
            </w:pPr>
            <w:r w:rsidRPr="007C51D6">
              <w:rPr>
                <w:bCs/>
                <w:color w:val="000000"/>
                <w:sz w:val="20"/>
                <w:szCs w:val="20"/>
              </w:rPr>
              <w:t>данных</w:t>
            </w:r>
          </w:p>
        </w:tc>
        <w:tc>
          <w:tcPr>
            <w:tcW w:w="1361" w:type="dxa"/>
          </w:tcPr>
          <w:p w:rsidR="001E3FBE" w:rsidRPr="007C51D6" w:rsidRDefault="001E3FBE" w:rsidP="001E3FBE">
            <w:pPr>
              <w:autoSpaceDE/>
              <w:autoSpaceDN/>
              <w:adjustRightInd/>
              <w:jc w:val="center"/>
              <w:rPr>
                <w:bCs/>
                <w:color w:val="000000"/>
                <w:sz w:val="20"/>
                <w:szCs w:val="20"/>
              </w:rPr>
            </w:pPr>
            <w:r w:rsidRPr="007C51D6">
              <w:rPr>
                <w:bCs/>
                <w:color w:val="000000"/>
                <w:sz w:val="20"/>
                <w:szCs w:val="20"/>
              </w:rPr>
              <w:t>нет</w:t>
            </w:r>
          </w:p>
          <w:p w:rsidR="001E3FBE" w:rsidRPr="007C51D6" w:rsidRDefault="001E3FBE" w:rsidP="001E3FBE">
            <w:pPr>
              <w:autoSpaceDE/>
              <w:autoSpaceDN/>
              <w:adjustRightInd/>
              <w:jc w:val="center"/>
              <w:rPr>
                <w:bCs/>
                <w:color w:val="000000"/>
                <w:sz w:val="20"/>
                <w:szCs w:val="20"/>
              </w:rPr>
            </w:pPr>
            <w:r w:rsidRPr="007C51D6">
              <w:rPr>
                <w:bCs/>
                <w:color w:val="000000"/>
                <w:sz w:val="20"/>
                <w:szCs w:val="20"/>
              </w:rPr>
              <w:t>данных</w:t>
            </w:r>
          </w:p>
        </w:tc>
        <w:tc>
          <w:tcPr>
            <w:tcW w:w="992" w:type="dxa"/>
          </w:tcPr>
          <w:p w:rsidR="001E3FBE" w:rsidRPr="007C51D6" w:rsidRDefault="001E3FBE" w:rsidP="001E3FBE">
            <w:pPr>
              <w:jc w:val="center"/>
              <w:rPr>
                <w:color w:val="000000"/>
                <w:sz w:val="20"/>
                <w:szCs w:val="20"/>
              </w:rPr>
            </w:pPr>
            <w:r w:rsidRPr="007C51D6">
              <w:rPr>
                <w:color w:val="000000"/>
                <w:sz w:val="20"/>
                <w:szCs w:val="20"/>
              </w:rPr>
              <w:t>0,08</w:t>
            </w:r>
          </w:p>
        </w:tc>
        <w:tc>
          <w:tcPr>
            <w:tcW w:w="851" w:type="dxa"/>
          </w:tcPr>
          <w:p w:rsidR="001E3FBE" w:rsidRPr="007C51D6" w:rsidRDefault="001E3FBE" w:rsidP="001E3FBE">
            <w:pPr>
              <w:jc w:val="center"/>
              <w:rPr>
                <w:color w:val="000000"/>
                <w:sz w:val="20"/>
                <w:szCs w:val="20"/>
              </w:rPr>
            </w:pPr>
            <w:r w:rsidRPr="007C51D6">
              <w:rPr>
                <w:color w:val="000000"/>
                <w:sz w:val="20"/>
                <w:szCs w:val="20"/>
              </w:rPr>
              <w:t>0,18</w:t>
            </w:r>
          </w:p>
        </w:tc>
        <w:tc>
          <w:tcPr>
            <w:tcW w:w="850" w:type="dxa"/>
          </w:tcPr>
          <w:p w:rsidR="001E3FBE" w:rsidRPr="007C51D6" w:rsidRDefault="001E3FBE" w:rsidP="001E3FBE">
            <w:pPr>
              <w:jc w:val="center"/>
              <w:rPr>
                <w:color w:val="000000"/>
                <w:sz w:val="20"/>
                <w:szCs w:val="20"/>
              </w:rPr>
            </w:pPr>
            <w:r w:rsidRPr="007C51D6">
              <w:rPr>
                <w:color w:val="000000"/>
                <w:sz w:val="20"/>
                <w:szCs w:val="20"/>
              </w:rPr>
              <w:t>0,10</w:t>
            </w:r>
          </w:p>
        </w:tc>
        <w:tc>
          <w:tcPr>
            <w:tcW w:w="851" w:type="dxa"/>
          </w:tcPr>
          <w:p w:rsidR="001E3FBE" w:rsidRPr="007C51D6" w:rsidRDefault="001E3FBE" w:rsidP="001E3FBE">
            <w:pPr>
              <w:jc w:val="center"/>
              <w:rPr>
                <w:color w:val="000000"/>
                <w:sz w:val="20"/>
                <w:szCs w:val="20"/>
              </w:rPr>
            </w:pPr>
            <w:r w:rsidRPr="007C51D6">
              <w:rPr>
                <w:color w:val="000000"/>
                <w:sz w:val="20"/>
                <w:szCs w:val="20"/>
              </w:rPr>
              <w:t>0,03</w:t>
            </w:r>
          </w:p>
        </w:tc>
        <w:tc>
          <w:tcPr>
            <w:tcW w:w="829" w:type="dxa"/>
          </w:tcPr>
          <w:p w:rsidR="001E3FBE" w:rsidRPr="007C51D6" w:rsidRDefault="001E3FBE" w:rsidP="001E3FBE">
            <w:pPr>
              <w:jc w:val="center"/>
              <w:rPr>
                <w:color w:val="000000"/>
                <w:sz w:val="20"/>
                <w:szCs w:val="20"/>
              </w:rPr>
            </w:pPr>
            <w:r w:rsidRPr="007C51D6">
              <w:rPr>
                <w:color w:val="000000"/>
                <w:sz w:val="20"/>
                <w:szCs w:val="20"/>
              </w:rPr>
              <w:t>0,05</w:t>
            </w:r>
          </w:p>
        </w:tc>
        <w:tc>
          <w:tcPr>
            <w:tcW w:w="907" w:type="dxa"/>
          </w:tcPr>
          <w:p w:rsidR="001E3FBE" w:rsidRPr="007C51D6" w:rsidRDefault="001E3FBE" w:rsidP="001E3FBE">
            <w:pPr>
              <w:jc w:val="center"/>
              <w:rPr>
                <w:color w:val="000000"/>
                <w:sz w:val="20"/>
                <w:szCs w:val="20"/>
              </w:rPr>
            </w:pPr>
            <w:r w:rsidRPr="007C51D6">
              <w:rPr>
                <w:color w:val="000000"/>
                <w:sz w:val="20"/>
                <w:szCs w:val="20"/>
              </w:rPr>
              <w:t>0,05</w:t>
            </w:r>
          </w:p>
        </w:tc>
        <w:tc>
          <w:tcPr>
            <w:tcW w:w="907" w:type="dxa"/>
          </w:tcPr>
          <w:p w:rsidR="001E3FBE" w:rsidRPr="007C51D6" w:rsidRDefault="001E3FBE" w:rsidP="001E3FBE">
            <w:pPr>
              <w:autoSpaceDE/>
              <w:autoSpaceDN/>
              <w:adjustRightInd/>
              <w:jc w:val="center"/>
              <w:rPr>
                <w:bCs/>
                <w:color w:val="000000"/>
                <w:sz w:val="20"/>
                <w:szCs w:val="20"/>
              </w:rPr>
            </w:pPr>
            <w:r w:rsidRPr="007C51D6">
              <w:rPr>
                <w:bCs/>
                <w:color w:val="000000"/>
                <w:sz w:val="20"/>
                <w:szCs w:val="20"/>
              </w:rPr>
              <w:t>нет</w:t>
            </w:r>
          </w:p>
          <w:p w:rsidR="001E3FBE" w:rsidRPr="007C51D6" w:rsidRDefault="001E3FBE" w:rsidP="001E3FBE">
            <w:pPr>
              <w:autoSpaceDE/>
              <w:autoSpaceDN/>
              <w:adjustRightInd/>
              <w:jc w:val="center"/>
              <w:rPr>
                <w:bCs/>
                <w:color w:val="000000"/>
                <w:sz w:val="20"/>
                <w:szCs w:val="20"/>
              </w:rPr>
            </w:pPr>
            <w:r w:rsidRPr="007C51D6">
              <w:rPr>
                <w:bCs/>
                <w:color w:val="000000"/>
                <w:sz w:val="20"/>
                <w:szCs w:val="20"/>
              </w:rPr>
              <w:t>данных</w:t>
            </w:r>
          </w:p>
        </w:tc>
      </w:tr>
      <w:tr w:rsidR="001E3FBE" w:rsidRPr="007C51D6" w:rsidTr="00B93D5E">
        <w:trPr>
          <w:cantSplit/>
          <w:trHeight w:val="20"/>
          <w:jc w:val="center"/>
        </w:trPr>
        <w:tc>
          <w:tcPr>
            <w:tcW w:w="3539" w:type="dxa"/>
            <w:shd w:val="clear" w:color="auto" w:fill="auto"/>
            <w:noWrap/>
          </w:tcPr>
          <w:p w:rsidR="001E3FBE" w:rsidRPr="007C51D6" w:rsidRDefault="00B41962" w:rsidP="001E3FBE">
            <w:pPr>
              <w:autoSpaceDE/>
              <w:autoSpaceDN/>
              <w:adjustRightInd/>
              <w:jc w:val="both"/>
              <w:rPr>
                <w:bCs/>
                <w:sz w:val="20"/>
                <w:szCs w:val="20"/>
              </w:rPr>
            </w:pPr>
            <w:hyperlink r:id="rId29" w:history="1">
              <w:r w:rsidR="001E3FBE" w:rsidRPr="007C51D6">
                <w:rPr>
                  <w:rFonts w:eastAsia="Arial"/>
                  <w:bCs/>
                  <w:sz w:val="20"/>
                  <w:szCs w:val="20"/>
                </w:rPr>
                <w:t>новообразование неопределенного или неизвестного характера среднего уха, органов дыхания и грудной клетки</w:t>
              </w:r>
            </w:hyperlink>
          </w:p>
        </w:tc>
        <w:tc>
          <w:tcPr>
            <w:tcW w:w="1276" w:type="dxa"/>
            <w:shd w:val="clear" w:color="auto" w:fill="auto"/>
            <w:noWrap/>
            <w:hideMark/>
          </w:tcPr>
          <w:p w:rsidR="001E3FBE" w:rsidRPr="007C51D6" w:rsidRDefault="001E3FBE" w:rsidP="001E3FBE">
            <w:pPr>
              <w:autoSpaceDE/>
              <w:autoSpaceDN/>
              <w:adjustRightInd/>
              <w:jc w:val="center"/>
              <w:rPr>
                <w:bCs/>
                <w:sz w:val="20"/>
                <w:szCs w:val="20"/>
              </w:rPr>
            </w:pPr>
            <w:r w:rsidRPr="007C51D6">
              <w:rPr>
                <w:rFonts w:eastAsia="Arial"/>
                <w:sz w:val="20"/>
                <w:szCs w:val="20"/>
              </w:rPr>
              <w:t>D38</w:t>
            </w:r>
          </w:p>
        </w:tc>
        <w:tc>
          <w:tcPr>
            <w:tcW w:w="1303" w:type="dxa"/>
          </w:tcPr>
          <w:p w:rsidR="001E3FBE" w:rsidRPr="007C51D6" w:rsidRDefault="001E3FBE" w:rsidP="001E3FBE">
            <w:pPr>
              <w:autoSpaceDE/>
              <w:autoSpaceDN/>
              <w:adjustRightInd/>
              <w:jc w:val="center"/>
              <w:rPr>
                <w:bCs/>
                <w:color w:val="000000"/>
                <w:sz w:val="20"/>
                <w:szCs w:val="20"/>
              </w:rPr>
            </w:pPr>
            <w:r w:rsidRPr="007C51D6">
              <w:rPr>
                <w:bCs/>
                <w:color w:val="000000"/>
                <w:sz w:val="20"/>
                <w:szCs w:val="20"/>
              </w:rPr>
              <w:t>нет</w:t>
            </w:r>
          </w:p>
          <w:p w:rsidR="001E3FBE" w:rsidRPr="007C51D6" w:rsidRDefault="001E3FBE" w:rsidP="001E3FBE">
            <w:pPr>
              <w:autoSpaceDE/>
              <w:autoSpaceDN/>
              <w:adjustRightInd/>
              <w:jc w:val="center"/>
              <w:rPr>
                <w:bCs/>
                <w:color w:val="000000"/>
                <w:sz w:val="20"/>
                <w:szCs w:val="20"/>
              </w:rPr>
            </w:pPr>
            <w:r w:rsidRPr="007C51D6">
              <w:rPr>
                <w:bCs/>
                <w:color w:val="000000"/>
                <w:sz w:val="20"/>
                <w:szCs w:val="20"/>
              </w:rPr>
              <w:t>данных</w:t>
            </w:r>
          </w:p>
        </w:tc>
        <w:tc>
          <w:tcPr>
            <w:tcW w:w="1134" w:type="dxa"/>
          </w:tcPr>
          <w:p w:rsidR="001E3FBE" w:rsidRPr="007C51D6" w:rsidRDefault="001E3FBE" w:rsidP="001E3FBE">
            <w:pPr>
              <w:autoSpaceDE/>
              <w:autoSpaceDN/>
              <w:adjustRightInd/>
              <w:jc w:val="center"/>
              <w:rPr>
                <w:bCs/>
                <w:color w:val="000000"/>
                <w:sz w:val="20"/>
                <w:szCs w:val="20"/>
              </w:rPr>
            </w:pPr>
            <w:r w:rsidRPr="007C51D6">
              <w:rPr>
                <w:bCs/>
                <w:color w:val="000000"/>
                <w:sz w:val="20"/>
                <w:szCs w:val="20"/>
              </w:rPr>
              <w:t>нет</w:t>
            </w:r>
          </w:p>
          <w:p w:rsidR="001E3FBE" w:rsidRPr="007C51D6" w:rsidRDefault="001E3FBE" w:rsidP="001E3FBE">
            <w:pPr>
              <w:autoSpaceDE/>
              <w:autoSpaceDN/>
              <w:adjustRightInd/>
              <w:jc w:val="center"/>
              <w:rPr>
                <w:bCs/>
                <w:color w:val="000000"/>
                <w:sz w:val="20"/>
                <w:szCs w:val="20"/>
              </w:rPr>
            </w:pPr>
            <w:r w:rsidRPr="007C51D6">
              <w:rPr>
                <w:bCs/>
                <w:color w:val="000000"/>
                <w:sz w:val="20"/>
                <w:szCs w:val="20"/>
              </w:rPr>
              <w:t>данных</w:t>
            </w:r>
          </w:p>
        </w:tc>
        <w:tc>
          <w:tcPr>
            <w:tcW w:w="1361" w:type="dxa"/>
          </w:tcPr>
          <w:p w:rsidR="001E3FBE" w:rsidRPr="007C51D6" w:rsidRDefault="001E3FBE" w:rsidP="001E3FBE">
            <w:pPr>
              <w:autoSpaceDE/>
              <w:autoSpaceDN/>
              <w:adjustRightInd/>
              <w:jc w:val="center"/>
              <w:rPr>
                <w:bCs/>
                <w:color w:val="000000"/>
                <w:sz w:val="20"/>
                <w:szCs w:val="20"/>
              </w:rPr>
            </w:pPr>
            <w:r w:rsidRPr="007C51D6">
              <w:rPr>
                <w:bCs/>
                <w:color w:val="000000"/>
                <w:sz w:val="20"/>
                <w:szCs w:val="20"/>
              </w:rPr>
              <w:t>нет</w:t>
            </w:r>
          </w:p>
          <w:p w:rsidR="001E3FBE" w:rsidRPr="007C51D6" w:rsidRDefault="001E3FBE" w:rsidP="001E3FBE">
            <w:pPr>
              <w:autoSpaceDE/>
              <w:autoSpaceDN/>
              <w:adjustRightInd/>
              <w:jc w:val="center"/>
              <w:rPr>
                <w:bCs/>
                <w:color w:val="000000"/>
                <w:sz w:val="20"/>
                <w:szCs w:val="20"/>
              </w:rPr>
            </w:pPr>
            <w:r w:rsidRPr="007C51D6">
              <w:rPr>
                <w:bCs/>
                <w:color w:val="000000"/>
                <w:sz w:val="20"/>
                <w:szCs w:val="20"/>
              </w:rPr>
              <w:t>данных</w:t>
            </w:r>
          </w:p>
        </w:tc>
        <w:tc>
          <w:tcPr>
            <w:tcW w:w="992" w:type="dxa"/>
          </w:tcPr>
          <w:p w:rsidR="001E3FBE" w:rsidRPr="007C51D6" w:rsidRDefault="001E3FBE" w:rsidP="001E3FBE">
            <w:pPr>
              <w:jc w:val="center"/>
              <w:rPr>
                <w:color w:val="000000"/>
                <w:sz w:val="20"/>
                <w:szCs w:val="20"/>
              </w:rPr>
            </w:pPr>
            <w:r w:rsidRPr="007C51D6">
              <w:rPr>
                <w:color w:val="000000"/>
                <w:sz w:val="20"/>
                <w:szCs w:val="20"/>
              </w:rPr>
              <w:t>0,08</w:t>
            </w:r>
          </w:p>
        </w:tc>
        <w:tc>
          <w:tcPr>
            <w:tcW w:w="851" w:type="dxa"/>
          </w:tcPr>
          <w:p w:rsidR="001E3FBE" w:rsidRPr="007C51D6" w:rsidRDefault="001E3FBE" w:rsidP="001E3FBE">
            <w:pPr>
              <w:jc w:val="center"/>
              <w:rPr>
                <w:color w:val="000000"/>
                <w:sz w:val="20"/>
                <w:szCs w:val="20"/>
              </w:rPr>
            </w:pPr>
            <w:r w:rsidRPr="007C51D6">
              <w:rPr>
                <w:color w:val="000000"/>
                <w:sz w:val="20"/>
                <w:szCs w:val="20"/>
              </w:rPr>
              <w:t>0,05</w:t>
            </w:r>
          </w:p>
        </w:tc>
        <w:tc>
          <w:tcPr>
            <w:tcW w:w="850" w:type="dxa"/>
          </w:tcPr>
          <w:p w:rsidR="001E3FBE" w:rsidRPr="007C51D6" w:rsidRDefault="001E3FBE" w:rsidP="001E3FBE">
            <w:pPr>
              <w:jc w:val="center"/>
              <w:rPr>
                <w:color w:val="000000"/>
                <w:sz w:val="20"/>
                <w:szCs w:val="20"/>
              </w:rPr>
            </w:pPr>
            <w:r w:rsidRPr="007C51D6">
              <w:rPr>
                <w:color w:val="000000"/>
                <w:sz w:val="20"/>
                <w:szCs w:val="20"/>
              </w:rPr>
              <w:t>0,10</w:t>
            </w:r>
          </w:p>
        </w:tc>
        <w:tc>
          <w:tcPr>
            <w:tcW w:w="851" w:type="dxa"/>
          </w:tcPr>
          <w:p w:rsidR="001E3FBE" w:rsidRPr="007C51D6" w:rsidRDefault="001E3FBE" w:rsidP="001E3FBE">
            <w:pPr>
              <w:jc w:val="center"/>
              <w:rPr>
                <w:color w:val="000000"/>
                <w:sz w:val="20"/>
                <w:szCs w:val="20"/>
              </w:rPr>
            </w:pPr>
            <w:r w:rsidRPr="007C51D6">
              <w:rPr>
                <w:color w:val="000000"/>
                <w:sz w:val="20"/>
                <w:szCs w:val="20"/>
              </w:rPr>
              <w:t>0,03</w:t>
            </w:r>
          </w:p>
        </w:tc>
        <w:tc>
          <w:tcPr>
            <w:tcW w:w="829" w:type="dxa"/>
          </w:tcPr>
          <w:p w:rsidR="001E3FBE" w:rsidRPr="007C51D6" w:rsidRDefault="001E3FBE" w:rsidP="001E3FBE">
            <w:pPr>
              <w:jc w:val="center"/>
              <w:rPr>
                <w:color w:val="000000"/>
                <w:sz w:val="20"/>
                <w:szCs w:val="20"/>
              </w:rPr>
            </w:pPr>
            <w:r w:rsidRPr="007C51D6">
              <w:rPr>
                <w:color w:val="000000"/>
                <w:sz w:val="20"/>
                <w:szCs w:val="20"/>
              </w:rPr>
              <w:t>0,02</w:t>
            </w:r>
          </w:p>
        </w:tc>
        <w:tc>
          <w:tcPr>
            <w:tcW w:w="907" w:type="dxa"/>
          </w:tcPr>
          <w:p w:rsidR="001E3FBE" w:rsidRPr="007C51D6" w:rsidRDefault="001E3FBE" w:rsidP="001E3FBE">
            <w:pPr>
              <w:jc w:val="center"/>
              <w:rPr>
                <w:color w:val="000000"/>
                <w:sz w:val="20"/>
                <w:szCs w:val="20"/>
              </w:rPr>
            </w:pPr>
            <w:r w:rsidRPr="007C51D6">
              <w:rPr>
                <w:color w:val="000000"/>
                <w:sz w:val="20"/>
                <w:szCs w:val="20"/>
              </w:rPr>
              <w:t>0,00</w:t>
            </w:r>
          </w:p>
        </w:tc>
        <w:tc>
          <w:tcPr>
            <w:tcW w:w="907" w:type="dxa"/>
          </w:tcPr>
          <w:p w:rsidR="001E3FBE" w:rsidRPr="007C51D6" w:rsidRDefault="001E3FBE" w:rsidP="001E3FBE">
            <w:pPr>
              <w:autoSpaceDE/>
              <w:autoSpaceDN/>
              <w:adjustRightInd/>
              <w:jc w:val="center"/>
              <w:rPr>
                <w:bCs/>
                <w:color w:val="000000"/>
                <w:sz w:val="20"/>
                <w:szCs w:val="20"/>
              </w:rPr>
            </w:pPr>
            <w:r w:rsidRPr="007C51D6">
              <w:rPr>
                <w:bCs/>
                <w:color w:val="000000"/>
                <w:sz w:val="20"/>
                <w:szCs w:val="20"/>
              </w:rPr>
              <w:t>нет</w:t>
            </w:r>
          </w:p>
          <w:p w:rsidR="001E3FBE" w:rsidRPr="007C51D6" w:rsidRDefault="001E3FBE" w:rsidP="001E3FBE">
            <w:pPr>
              <w:autoSpaceDE/>
              <w:autoSpaceDN/>
              <w:adjustRightInd/>
              <w:jc w:val="center"/>
              <w:rPr>
                <w:bCs/>
                <w:color w:val="000000"/>
                <w:sz w:val="20"/>
                <w:szCs w:val="20"/>
              </w:rPr>
            </w:pPr>
            <w:r w:rsidRPr="007C51D6">
              <w:rPr>
                <w:bCs/>
                <w:color w:val="000000"/>
                <w:sz w:val="20"/>
                <w:szCs w:val="20"/>
              </w:rPr>
              <w:t>данных</w:t>
            </w:r>
          </w:p>
        </w:tc>
      </w:tr>
      <w:tr w:rsidR="001E3FBE" w:rsidRPr="007C51D6" w:rsidTr="00B93D5E">
        <w:trPr>
          <w:cantSplit/>
          <w:trHeight w:val="20"/>
          <w:jc w:val="center"/>
        </w:trPr>
        <w:tc>
          <w:tcPr>
            <w:tcW w:w="3539" w:type="dxa"/>
            <w:shd w:val="clear" w:color="auto" w:fill="auto"/>
            <w:noWrap/>
          </w:tcPr>
          <w:p w:rsidR="001E3FBE" w:rsidRPr="007C51D6" w:rsidRDefault="001E3FBE" w:rsidP="001E3FBE">
            <w:pPr>
              <w:autoSpaceDE/>
              <w:autoSpaceDN/>
              <w:adjustRightInd/>
              <w:jc w:val="both"/>
              <w:rPr>
                <w:sz w:val="20"/>
                <w:szCs w:val="20"/>
              </w:rPr>
            </w:pPr>
            <w:r w:rsidRPr="007C51D6">
              <w:rPr>
                <w:color w:val="333333"/>
                <w:sz w:val="20"/>
                <w:szCs w:val="20"/>
              </w:rPr>
              <w:t>новообразование неопределенного или неизвестного характера женских половых органов</w:t>
            </w:r>
          </w:p>
        </w:tc>
        <w:tc>
          <w:tcPr>
            <w:tcW w:w="1276" w:type="dxa"/>
            <w:shd w:val="clear" w:color="auto" w:fill="auto"/>
            <w:noWrap/>
          </w:tcPr>
          <w:p w:rsidR="001E3FBE" w:rsidRPr="007C51D6" w:rsidRDefault="001E3FBE" w:rsidP="001E3FBE">
            <w:pPr>
              <w:jc w:val="center"/>
            </w:pPr>
            <w:r w:rsidRPr="007C51D6">
              <w:rPr>
                <w:rFonts w:eastAsia="Arial"/>
                <w:sz w:val="20"/>
                <w:szCs w:val="20"/>
              </w:rPr>
              <w:t>D39</w:t>
            </w:r>
          </w:p>
        </w:tc>
        <w:tc>
          <w:tcPr>
            <w:tcW w:w="1303" w:type="dxa"/>
          </w:tcPr>
          <w:p w:rsidR="001E3FBE" w:rsidRPr="007C51D6" w:rsidRDefault="001E3FBE" w:rsidP="001E3FBE">
            <w:pPr>
              <w:autoSpaceDE/>
              <w:autoSpaceDN/>
              <w:adjustRightInd/>
              <w:jc w:val="center"/>
              <w:rPr>
                <w:bCs/>
                <w:color w:val="000000"/>
                <w:sz w:val="20"/>
                <w:szCs w:val="20"/>
              </w:rPr>
            </w:pPr>
            <w:r w:rsidRPr="007C51D6">
              <w:rPr>
                <w:bCs/>
                <w:color w:val="000000"/>
                <w:sz w:val="20"/>
                <w:szCs w:val="20"/>
              </w:rPr>
              <w:t>нет</w:t>
            </w:r>
          </w:p>
          <w:p w:rsidR="001E3FBE" w:rsidRPr="007C51D6" w:rsidRDefault="001E3FBE" w:rsidP="001E3FBE">
            <w:pPr>
              <w:autoSpaceDE/>
              <w:autoSpaceDN/>
              <w:adjustRightInd/>
              <w:jc w:val="center"/>
              <w:rPr>
                <w:bCs/>
                <w:color w:val="000000"/>
                <w:sz w:val="20"/>
                <w:szCs w:val="20"/>
              </w:rPr>
            </w:pPr>
            <w:r w:rsidRPr="007C51D6">
              <w:rPr>
                <w:bCs/>
                <w:color w:val="000000"/>
                <w:sz w:val="20"/>
                <w:szCs w:val="20"/>
              </w:rPr>
              <w:t>данных</w:t>
            </w:r>
          </w:p>
        </w:tc>
        <w:tc>
          <w:tcPr>
            <w:tcW w:w="1134" w:type="dxa"/>
          </w:tcPr>
          <w:p w:rsidR="001E3FBE" w:rsidRPr="007C51D6" w:rsidRDefault="001E3FBE" w:rsidP="001E3FBE">
            <w:pPr>
              <w:autoSpaceDE/>
              <w:autoSpaceDN/>
              <w:adjustRightInd/>
              <w:jc w:val="center"/>
              <w:rPr>
                <w:bCs/>
                <w:color w:val="000000"/>
                <w:sz w:val="20"/>
                <w:szCs w:val="20"/>
              </w:rPr>
            </w:pPr>
            <w:r w:rsidRPr="007C51D6">
              <w:rPr>
                <w:bCs/>
                <w:color w:val="000000"/>
                <w:sz w:val="20"/>
                <w:szCs w:val="20"/>
              </w:rPr>
              <w:t>нет</w:t>
            </w:r>
          </w:p>
          <w:p w:rsidR="001E3FBE" w:rsidRPr="007C51D6" w:rsidRDefault="001E3FBE" w:rsidP="001E3FBE">
            <w:pPr>
              <w:autoSpaceDE/>
              <w:autoSpaceDN/>
              <w:adjustRightInd/>
              <w:jc w:val="center"/>
              <w:rPr>
                <w:bCs/>
                <w:color w:val="000000"/>
                <w:sz w:val="20"/>
                <w:szCs w:val="20"/>
              </w:rPr>
            </w:pPr>
            <w:r w:rsidRPr="007C51D6">
              <w:rPr>
                <w:bCs/>
                <w:color w:val="000000"/>
                <w:sz w:val="20"/>
                <w:szCs w:val="20"/>
              </w:rPr>
              <w:t>данных</w:t>
            </w:r>
          </w:p>
        </w:tc>
        <w:tc>
          <w:tcPr>
            <w:tcW w:w="1361" w:type="dxa"/>
          </w:tcPr>
          <w:p w:rsidR="001E3FBE" w:rsidRPr="007C51D6" w:rsidRDefault="001E3FBE" w:rsidP="001E3FBE">
            <w:pPr>
              <w:autoSpaceDE/>
              <w:autoSpaceDN/>
              <w:adjustRightInd/>
              <w:jc w:val="center"/>
              <w:rPr>
                <w:bCs/>
                <w:color w:val="000000"/>
                <w:sz w:val="20"/>
                <w:szCs w:val="20"/>
              </w:rPr>
            </w:pPr>
            <w:r w:rsidRPr="007C51D6">
              <w:rPr>
                <w:bCs/>
                <w:color w:val="000000"/>
                <w:sz w:val="20"/>
                <w:szCs w:val="20"/>
              </w:rPr>
              <w:t>нет</w:t>
            </w:r>
          </w:p>
          <w:p w:rsidR="001E3FBE" w:rsidRPr="007C51D6" w:rsidRDefault="001E3FBE" w:rsidP="001E3FBE">
            <w:pPr>
              <w:autoSpaceDE/>
              <w:autoSpaceDN/>
              <w:adjustRightInd/>
              <w:jc w:val="center"/>
              <w:rPr>
                <w:bCs/>
                <w:color w:val="000000"/>
                <w:sz w:val="20"/>
                <w:szCs w:val="20"/>
              </w:rPr>
            </w:pPr>
            <w:r w:rsidRPr="007C51D6">
              <w:rPr>
                <w:bCs/>
                <w:color w:val="000000"/>
                <w:sz w:val="20"/>
                <w:szCs w:val="20"/>
              </w:rPr>
              <w:t>данных</w:t>
            </w:r>
          </w:p>
        </w:tc>
        <w:tc>
          <w:tcPr>
            <w:tcW w:w="992" w:type="dxa"/>
          </w:tcPr>
          <w:p w:rsidR="001E3FBE" w:rsidRPr="007C51D6" w:rsidRDefault="001E3FBE" w:rsidP="001E3FBE">
            <w:pPr>
              <w:jc w:val="center"/>
              <w:rPr>
                <w:color w:val="000000"/>
                <w:sz w:val="20"/>
                <w:szCs w:val="20"/>
              </w:rPr>
            </w:pPr>
            <w:r w:rsidRPr="007C51D6">
              <w:rPr>
                <w:color w:val="000000"/>
                <w:sz w:val="20"/>
                <w:szCs w:val="20"/>
              </w:rPr>
              <w:t>0,00</w:t>
            </w:r>
          </w:p>
        </w:tc>
        <w:tc>
          <w:tcPr>
            <w:tcW w:w="851" w:type="dxa"/>
          </w:tcPr>
          <w:p w:rsidR="001E3FBE" w:rsidRPr="007C51D6" w:rsidRDefault="001E3FBE" w:rsidP="001E3FBE">
            <w:pPr>
              <w:jc w:val="center"/>
              <w:rPr>
                <w:color w:val="000000"/>
                <w:sz w:val="20"/>
                <w:szCs w:val="20"/>
              </w:rPr>
            </w:pPr>
            <w:r w:rsidRPr="007C51D6">
              <w:rPr>
                <w:color w:val="000000"/>
                <w:sz w:val="20"/>
                <w:szCs w:val="20"/>
              </w:rPr>
              <w:t>0,00</w:t>
            </w:r>
          </w:p>
        </w:tc>
        <w:tc>
          <w:tcPr>
            <w:tcW w:w="850" w:type="dxa"/>
          </w:tcPr>
          <w:p w:rsidR="001E3FBE" w:rsidRPr="007C51D6" w:rsidRDefault="001E3FBE" w:rsidP="001E3FBE">
            <w:pPr>
              <w:jc w:val="center"/>
              <w:rPr>
                <w:color w:val="000000"/>
                <w:sz w:val="20"/>
                <w:szCs w:val="20"/>
              </w:rPr>
            </w:pPr>
            <w:r w:rsidRPr="007C51D6">
              <w:rPr>
                <w:color w:val="000000"/>
                <w:sz w:val="20"/>
                <w:szCs w:val="20"/>
              </w:rPr>
              <w:t>0,00</w:t>
            </w:r>
          </w:p>
        </w:tc>
        <w:tc>
          <w:tcPr>
            <w:tcW w:w="851" w:type="dxa"/>
          </w:tcPr>
          <w:p w:rsidR="001E3FBE" w:rsidRPr="007C51D6" w:rsidRDefault="001E3FBE" w:rsidP="001E3FBE">
            <w:pPr>
              <w:jc w:val="center"/>
              <w:rPr>
                <w:color w:val="000000"/>
                <w:sz w:val="20"/>
                <w:szCs w:val="20"/>
              </w:rPr>
            </w:pPr>
            <w:r w:rsidRPr="007C51D6">
              <w:rPr>
                <w:color w:val="000000"/>
                <w:sz w:val="20"/>
                <w:szCs w:val="20"/>
              </w:rPr>
              <w:t>0,03</w:t>
            </w:r>
          </w:p>
        </w:tc>
        <w:tc>
          <w:tcPr>
            <w:tcW w:w="829" w:type="dxa"/>
          </w:tcPr>
          <w:p w:rsidR="001E3FBE" w:rsidRPr="007C51D6" w:rsidRDefault="001E3FBE" w:rsidP="001E3FBE">
            <w:pPr>
              <w:jc w:val="center"/>
              <w:rPr>
                <w:color w:val="000000"/>
                <w:sz w:val="20"/>
                <w:szCs w:val="20"/>
              </w:rPr>
            </w:pPr>
            <w:r w:rsidRPr="007C51D6">
              <w:rPr>
                <w:color w:val="000000"/>
                <w:sz w:val="20"/>
                <w:szCs w:val="20"/>
              </w:rPr>
              <w:t>0,00</w:t>
            </w:r>
          </w:p>
        </w:tc>
        <w:tc>
          <w:tcPr>
            <w:tcW w:w="907" w:type="dxa"/>
          </w:tcPr>
          <w:p w:rsidR="001E3FBE" w:rsidRPr="007C51D6" w:rsidRDefault="001E3FBE" w:rsidP="001E3FBE">
            <w:pPr>
              <w:jc w:val="center"/>
              <w:rPr>
                <w:color w:val="000000"/>
                <w:sz w:val="20"/>
                <w:szCs w:val="20"/>
              </w:rPr>
            </w:pPr>
            <w:r w:rsidRPr="007C51D6">
              <w:rPr>
                <w:color w:val="000000"/>
                <w:sz w:val="20"/>
                <w:szCs w:val="20"/>
              </w:rPr>
              <w:t>0,02</w:t>
            </w:r>
          </w:p>
        </w:tc>
        <w:tc>
          <w:tcPr>
            <w:tcW w:w="907" w:type="dxa"/>
          </w:tcPr>
          <w:p w:rsidR="001E3FBE" w:rsidRPr="007C51D6" w:rsidRDefault="001E3FBE" w:rsidP="001E3FBE">
            <w:pPr>
              <w:autoSpaceDE/>
              <w:autoSpaceDN/>
              <w:adjustRightInd/>
              <w:jc w:val="center"/>
              <w:rPr>
                <w:bCs/>
                <w:color w:val="000000"/>
                <w:sz w:val="20"/>
                <w:szCs w:val="20"/>
              </w:rPr>
            </w:pPr>
            <w:r w:rsidRPr="007C51D6">
              <w:rPr>
                <w:bCs/>
                <w:color w:val="000000"/>
                <w:sz w:val="20"/>
                <w:szCs w:val="20"/>
              </w:rPr>
              <w:t>нет</w:t>
            </w:r>
          </w:p>
          <w:p w:rsidR="001E3FBE" w:rsidRPr="007C51D6" w:rsidRDefault="001E3FBE" w:rsidP="001E3FBE">
            <w:pPr>
              <w:autoSpaceDE/>
              <w:autoSpaceDN/>
              <w:adjustRightInd/>
              <w:jc w:val="center"/>
              <w:rPr>
                <w:bCs/>
                <w:color w:val="000000"/>
                <w:sz w:val="20"/>
                <w:szCs w:val="20"/>
              </w:rPr>
            </w:pPr>
            <w:r w:rsidRPr="007C51D6">
              <w:rPr>
                <w:bCs/>
                <w:color w:val="000000"/>
                <w:sz w:val="20"/>
                <w:szCs w:val="20"/>
              </w:rPr>
              <w:t>данных</w:t>
            </w:r>
          </w:p>
        </w:tc>
      </w:tr>
      <w:tr w:rsidR="001E3FBE" w:rsidRPr="007C51D6" w:rsidTr="00B93D5E">
        <w:trPr>
          <w:cantSplit/>
          <w:trHeight w:val="20"/>
          <w:jc w:val="center"/>
        </w:trPr>
        <w:tc>
          <w:tcPr>
            <w:tcW w:w="3539" w:type="dxa"/>
            <w:shd w:val="clear" w:color="auto" w:fill="auto"/>
            <w:noWrap/>
          </w:tcPr>
          <w:p w:rsidR="001E3FBE" w:rsidRPr="007C51D6" w:rsidRDefault="001E3FBE" w:rsidP="001E3FBE">
            <w:pPr>
              <w:autoSpaceDE/>
              <w:autoSpaceDN/>
              <w:adjustRightInd/>
              <w:jc w:val="both"/>
              <w:rPr>
                <w:sz w:val="20"/>
                <w:szCs w:val="20"/>
              </w:rPr>
            </w:pPr>
            <w:r w:rsidRPr="007C51D6">
              <w:rPr>
                <w:color w:val="333333"/>
                <w:sz w:val="20"/>
                <w:szCs w:val="20"/>
              </w:rPr>
              <w:t>новообразование неопределенного или неизвестного характера мужских половых органов</w:t>
            </w:r>
          </w:p>
        </w:tc>
        <w:tc>
          <w:tcPr>
            <w:tcW w:w="1276" w:type="dxa"/>
            <w:shd w:val="clear" w:color="auto" w:fill="auto"/>
            <w:noWrap/>
          </w:tcPr>
          <w:p w:rsidR="001E3FBE" w:rsidRPr="007C51D6" w:rsidRDefault="001E3FBE" w:rsidP="001E3FBE">
            <w:pPr>
              <w:jc w:val="center"/>
            </w:pPr>
            <w:r w:rsidRPr="007C51D6">
              <w:rPr>
                <w:rFonts w:eastAsia="Arial"/>
                <w:sz w:val="20"/>
                <w:szCs w:val="20"/>
              </w:rPr>
              <w:t>D40</w:t>
            </w:r>
          </w:p>
        </w:tc>
        <w:tc>
          <w:tcPr>
            <w:tcW w:w="1303" w:type="dxa"/>
          </w:tcPr>
          <w:p w:rsidR="001E3FBE" w:rsidRPr="007C51D6" w:rsidRDefault="001E3FBE" w:rsidP="001E3FBE">
            <w:pPr>
              <w:autoSpaceDE/>
              <w:autoSpaceDN/>
              <w:adjustRightInd/>
              <w:jc w:val="center"/>
              <w:rPr>
                <w:bCs/>
                <w:color w:val="000000"/>
                <w:sz w:val="20"/>
                <w:szCs w:val="20"/>
              </w:rPr>
            </w:pPr>
            <w:r w:rsidRPr="007C51D6">
              <w:rPr>
                <w:bCs/>
                <w:color w:val="000000"/>
                <w:sz w:val="20"/>
                <w:szCs w:val="20"/>
              </w:rPr>
              <w:t>нет</w:t>
            </w:r>
          </w:p>
          <w:p w:rsidR="001E3FBE" w:rsidRPr="007C51D6" w:rsidRDefault="001E3FBE" w:rsidP="001E3FBE">
            <w:pPr>
              <w:autoSpaceDE/>
              <w:autoSpaceDN/>
              <w:adjustRightInd/>
              <w:jc w:val="center"/>
              <w:rPr>
                <w:bCs/>
                <w:color w:val="000000"/>
                <w:sz w:val="20"/>
                <w:szCs w:val="20"/>
              </w:rPr>
            </w:pPr>
            <w:r w:rsidRPr="007C51D6">
              <w:rPr>
                <w:bCs/>
                <w:color w:val="000000"/>
                <w:sz w:val="20"/>
                <w:szCs w:val="20"/>
              </w:rPr>
              <w:t>данных</w:t>
            </w:r>
          </w:p>
        </w:tc>
        <w:tc>
          <w:tcPr>
            <w:tcW w:w="1134" w:type="dxa"/>
          </w:tcPr>
          <w:p w:rsidR="001E3FBE" w:rsidRPr="007C51D6" w:rsidRDefault="001E3FBE" w:rsidP="001E3FBE">
            <w:pPr>
              <w:autoSpaceDE/>
              <w:autoSpaceDN/>
              <w:adjustRightInd/>
              <w:jc w:val="center"/>
              <w:rPr>
                <w:bCs/>
                <w:color w:val="000000"/>
                <w:sz w:val="20"/>
                <w:szCs w:val="20"/>
              </w:rPr>
            </w:pPr>
            <w:r w:rsidRPr="007C51D6">
              <w:rPr>
                <w:bCs/>
                <w:color w:val="000000"/>
                <w:sz w:val="20"/>
                <w:szCs w:val="20"/>
              </w:rPr>
              <w:t>нет</w:t>
            </w:r>
          </w:p>
          <w:p w:rsidR="001E3FBE" w:rsidRPr="007C51D6" w:rsidRDefault="001E3FBE" w:rsidP="001E3FBE">
            <w:pPr>
              <w:autoSpaceDE/>
              <w:autoSpaceDN/>
              <w:adjustRightInd/>
              <w:jc w:val="center"/>
              <w:rPr>
                <w:bCs/>
                <w:color w:val="000000"/>
                <w:sz w:val="20"/>
                <w:szCs w:val="20"/>
              </w:rPr>
            </w:pPr>
            <w:r w:rsidRPr="007C51D6">
              <w:rPr>
                <w:bCs/>
                <w:color w:val="000000"/>
                <w:sz w:val="20"/>
                <w:szCs w:val="20"/>
              </w:rPr>
              <w:t>данных</w:t>
            </w:r>
          </w:p>
        </w:tc>
        <w:tc>
          <w:tcPr>
            <w:tcW w:w="1361" w:type="dxa"/>
          </w:tcPr>
          <w:p w:rsidR="001E3FBE" w:rsidRPr="007C51D6" w:rsidRDefault="001E3FBE" w:rsidP="001E3FBE">
            <w:pPr>
              <w:autoSpaceDE/>
              <w:autoSpaceDN/>
              <w:adjustRightInd/>
              <w:jc w:val="center"/>
              <w:rPr>
                <w:bCs/>
                <w:color w:val="000000"/>
                <w:sz w:val="20"/>
                <w:szCs w:val="20"/>
              </w:rPr>
            </w:pPr>
            <w:r w:rsidRPr="007C51D6">
              <w:rPr>
                <w:bCs/>
                <w:color w:val="000000"/>
                <w:sz w:val="20"/>
                <w:szCs w:val="20"/>
              </w:rPr>
              <w:t>нет</w:t>
            </w:r>
          </w:p>
          <w:p w:rsidR="001E3FBE" w:rsidRPr="007C51D6" w:rsidRDefault="001E3FBE" w:rsidP="001E3FBE">
            <w:pPr>
              <w:autoSpaceDE/>
              <w:autoSpaceDN/>
              <w:adjustRightInd/>
              <w:jc w:val="center"/>
              <w:rPr>
                <w:bCs/>
                <w:color w:val="000000"/>
                <w:sz w:val="20"/>
                <w:szCs w:val="20"/>
              </w:rPr>
            </w:pPr>
            <w:r w:rsidRPr="007C51D6">
              <w:rPr>
                <w:bCs/>
                <w:color w:val="000000"/>
                <w:sz w:val="20"/>
                <w:szCs w:val="20"/>
              </w:rPr>
              <w:t>данных</w:t>
            </w:r>
          </w:p>
        </w:tc>
        <w:tc>
          <w:tcPr>
            <w:tcW w:w="992" w:type="dxa"/>
          </w:tcPr>
          <w:p w:rsidR="001E3FBE" w:rsidRPr="007C51D6" w:rsidRDefault="001E3FBE" w:rsidP="001E3FBE">
            <w:pPr>
              <w:jc w:val="center"/>
              <w:rPr>
                <w:color w:val="000000"/>
                <w:sz w:val="20"/>
                <w:szCs w:val="20"/>
              </w:rPr>
            </w:pPr>
            <w:r w:rsidRPr="007C51D6">
              <w:rPr>
                <w:color w:val="000000"/>
                <w:sz w:val="20"/>
                <w:szCs w:val="20"/>
              </w:rPr>
              <w:t>0,00</w:t>
            </w:r>
          </w:p>
        </w:tc>
        <w:tc>
          <w:tcPr>
            <w:tcW w:w="851" w:type="dxa"/>
          </w:tcPr>
          <w:p w:rsidR="001E3FBE" w:rsidRPr="007C51D6" w:rsidRDefault="001E3FBE" w:rsidP="001E3FBE">
            <w:pPr>
              <w:jc w:val="center"/>
              <w:rPr>
                <w:color w:val="000000"/>
                <w:sz w:val="20"/>
                <w:szCs w:val="20"/>
              </w:rPr>
            </w:pPr>
            <w:r w:rsidRPr="007C51D6">
              <w:rPr>
                <w:color w:val="000000"/>
                <w:sz w:val="20"/>
                <w:szCs w:val="20"/>
              </w:rPr>
              <w:t>0,00</w:t>
            </w:r>
          </w:p>
        </w:tc>
        <w:tc>
          <w:tcPr>
            <w:tcW w:w="850" w:type="dxa"/>
          </w:tcPr>
          <w:p w:rsidR="001E3FBE" w:rsidRPr="007C51D6" w:rsidRDefault="001E3FBE" w:rsidP="001E3FBE">
            <w:pPr>
              <w:jc w:val="center"/>
              <w:rPr>
                <w:color w:val="000000"/>
                <w:sz w:val="20"/>
                <w:szCs w:val="20"/>
              </w:rPr>
            </w:pPr>
            <w:r w:rsidRPr="007C51D6">
              <w:rPr>
                <w:color w:val="000000"/>
                <w:sz w:val="20"/>
                <w:szCs w:val="20"/>
              </w:rPr>
              <w:t>0,00</w:t>
            </w:r>
          </w:p>
        </w:tc>
        <w:tc>
          <w:tcPr>
            <w:tcW w:w="851" w:type="dxa"/>
          </w:tcPr>
          <w:p w:rsidR="001E3FBE" w:rsidRPr="007C51D6" w:rsidRDefault="001E3FBE" w:rsidP="001E3FBE">
            <w:pPr>
              <w:jc w:val="center"/>
              <w:rPr>
                <w:color w:val="000000"/>
                <w:sz w:val="20"/>
                <w:szCs w:val="20"/>
              </w:rPr>
            </w:pPr>
            <w:r w:rsidRPr="007C51D6">
              <w:rPr>
                <w:color w:val="000000"/>
                <w:sz w:val="20"/>
                <w:szCs w:val="20"/>
              </w:rPr>
              <w:t>0,00</w:t>
            </w:r>
          </w:p>
        </w:tc>
        <w:tc>
          <w:tcPr>
            <w:tcW w:w="829" w:type="dxa"/>
          </w:tcPr>
          <w:p w:rsidR="001E3FBE" w:rsidRPr="007C51D6" w:rsidRDefault="001E3FBE" w:rsidP="001E3FBE">
            <w:pPr>
              <w:jc w:val="center"/>
              <w:rPr>
                <w:color w:val="000000"/>
                <w:sz w:val="20"/>
                <w:szCs w:val="20"/>
              </w:rPr>
            </w:pPr>
            <w:r w:rsidRPr="007C51D6">
              <w:rPr>
                <w:color w:val="000000"/>
                <w:sz w:val="20"/>
                <w:szCs w:val="20"/>
              </w:rPr>
              <w:t>0,00</w:t>
            </w:r>
          </w:p>
        </w:tc>
        <w:tc>
          <w:tcPr>
            <w:tcW w:w="907" w:type="dxa"/>
          </w:tcPr>
          <w:p w:rsidR="001E3FBE" w:rsidRPr="007C51D6" w:rsidRDefault="001E3FBE" w:rsidP="001E3FBE">
            <w:pPr>
              <w:jc w:val="center"/>
              <w:rPr>
                <w:color w:val="000000"/>
                <w:sz w:val="20"/>
                <w:szCs w:val="20"/>
              </w:rPr>
            </w:pPr>
            <w:r w:rsidRPr="007C51D6">
              <w:rPr>
                <w:color w:val="000000"/>
                <w:sz w:val="20"/>
                <w:szCs w:val="20"/>
              </w:rPr>
              <w:t>0,05</w:t>
            </w:r>
          </w:p>
        </w:tc>
        <w:tc>
          <w:tcPr>
            <w:tcW w:w="907" w:type="dxa"/>
          </w:tcPr>
          <w:p w:rsidR="001E3FBE" w:rsidRPr="007C51D6" w:rsidRDefault="001E3FBE" w:rsidP="001E3FBE">
            <w:pPr>
              <w:autoSpaceDE/>
              <w:autoSpaceDN/>
              <w:adjustRightInd/>
              <w:jc w:val="center"/>
              <w:rPr>
                <w:bCs/>
                <w:color w:val="000000"/>
                <w:sz w:val="20"/>
                <w:szCs w:val="20"/>
              </w:rPr>
            </w:pPr>
            <w:r w:rsidRPr="007C51D6">
              <w:rPr>
                <w:bCs/>
                <w:color w:val="000000"/>
                <w:sz w:val="20"/>
                <w:szCs w:val="20"/>
              </w:rPr>
              <w:t>нет</w:t>
            </w:r>
          </w:p>
          <w:p w:rsidR="001E3FBE" w:rsidRPr="007C51D6" w:rsidRDefault="001E3FBE" w:rsidP="001E3FBE">
            <w:pPr>
              <w:autoSpaceDE/>
              <w:autoSpaceDN/>
              <w:adjustRightInd/>
              <w:jc w:val="center"/>
              <w:rPr>
                <w:bCs/>
                <w:color w:val="000000"/>
                <w:sz w:val="20"/>
                <w:szCs w:val="20"/>
              </w:rPr>
            </w:pPr>
            <w:r w:rsidRPr="007C51D6">
              <w:rPr>
                <w:bCs/>
                <w:color w:val="000000"/>
                <w:sz w:val="20"/>
                <w:szCs w:val="20"/>
              </w:rPr>
              <w:t>данных</w:t>
            </w:r>
          </w:p>
        </w:tc>
      </w:tr>
      <w:tr w:rsidR="001E3FBE" w:rsidRPr="007C51D6" w:rsidTr="00B93D5E">
        <w:trPr>
          <w:cantSplit/>
          <w:trHeight w:val="20"/>
          <w:jc w:val="center"/>
        </w:trPr>
        <w:tc>
          <w:tcPr>
            <w:tcW w:w="3539" w:type="dxa"/>
            <w:shd w:val="clear" w:color="auto" w:fill="auto"/>
            <w:noWrap/>
          </w:tcPr>
          <w:p w:rsidR="001E3FBE" w:rsidRPr="007C51D6" w:rsidRDefault="00B41962" w:rsidP="001E3FBE">
            <w:pPr>
              <w:autoSpaceDE/>
              <w:autoSpaceDN/>
              <w:adjustRightInd/>
              <w:jc w:val="both"/>
              <w:rPr>
                <w:bCs/>
                <w:sz w:val="20"/>
                <w:szCs w:val="20"/>
              </w:rPr>
            </w:pPr>
            <w:hyperlink r:id="rId30" w:history="1">
              <w:r w:rsidR="001E3FBE" w:rsidRPr="007C51D6">
                <w:rPr>
                  <w:rFonts w:eastAsia="Arial"/>
                  <w:bCs/>
                  <w:sz w:val="20"/>
                  <w:szCs w:val="20"/>
                </w:rPr>
                <w:t>новообразование неопределенного или неизвестного характера мочевых органов</w:t>
              </w:r>
            </w:hyperlink>
          </w:p>
        </w:tc>
        <w:tc>
          <w:tcPr>
            <w:tcW w:w="1276" w:type="dxa"/>
            <w:shd w:val="clear" w:color="auto" w:fill="auto"/>
            <w:noWrap/>
          </w:tcPr>
          <w:p w:rsidR="001E3FBE" w:rsidRPr="007C51D6" w:rsidRDefault="001E3FBE" w:rsidP="001E3FBE">
            <w:pPr>
              <w:autoSpaceDE/>
              <w:autoSpaceDN/>
              <w:adjustRightInd/>
              <w:jc w:val="center"/>
              <w:rPr>
                <w:rFonts w:eastAsia="Arial"/>
                <w:sz w:val="20"/>
                <w:szCs w:val="20"/>
              </w:rPr>
            </w:pPr>
            <w:r w:rsidRPr="007C51D6">
              <w:rPr>
                <w:rFonts w:eastAsia="Arial"/>
                <w:sz w:val="20"/>
                <w:szCs w:val="20"/>
              </w:rPr>
              <w:t>D41</w:t>
            </w:r>
          </w:p>
        </w:tc>
        <w:tc>
          <w:tcPr>
            <w:tcW w:w="1303" w:type="dxa"/>
          </w:tcPr>
          <w:p w:rsidR="001E3FBE" w:rsidRPr="007C51D6" w:rsidRDefault="001E3FBE" w:rsidP="001E3FBE">
            <w:pPr>
              <w:autoSpaceDE/>
              <w:autoSpaceDN/>
              <w:adjustRightInd/>
              <w:jc w:val="center"/>
              <w:rPr>
                <w:bCs/>
                <w:color w:val="000000"/>
                <w:sz w:val="20"/>
                <w:szCs w:val="20"/>
              </w:rPr>
            </w:pPr>
            <w:r w:rsidRPr="007C51D6">
              <w:rPr>
                <w:bCs/>
                <w:color w:val="000000"/>
                <w:sz w:val="20"/>
                <w:szCs w:val="20"/>
              </w:rPr>
              <w:t>нет</w:t>
            </w:r>
          </w:p>
          <w:p w:rsidR="001E3FBE" w:rsidRPr="007C51D6" w:rsidRDefault="001E3FBE" w:rsidP="001E3FBE">
            <w:pPr>
              <w:autoSpaceDE/>
              <w:autoSpaceDN/>
              <w:adjustRightInd/>
              <w:jc w:val="center"/>
              <w:rPr>
                <w:bCs/>
                <w:color w:val="000000"/>
                <w:sz w:val="20"/>
                <w:szCs w:val="20"/>
              </w:rPr>
            </w:pPr>
            <w:r w:rsidRPr="007C51D6">
              <w:rPr>
                <w:bCs/>
                <w:color w:val="000000"/>
                <w:sz w:val="20"/>
                <w:szCs w:val="20"/>
              </w:rPr>
              <w:t>данных</w:t>
            </w:r>
          </w:p>
        </w:tc>
        <w:tc>
          <w:tcPr>
            <w:tcW w:w="1134" w:type="dxa"/>
          </w:tcPr>
          <w:p w:rsidR="001E3FBE" w:rsidRPr="007C51D6" w:rsidRDefault="001E3FBE" w:rsidP="001E3FBE">
            <w:pPr>
              <w:autoSpaceDE/>
              <w:autoSpaceDN/>
              <w:adjustRightInd/>
              <w:jc w:val="center"/>
              <w:rPr>
                <w:bCs/>
                <w:color w:val="000000"/>
                <w:sz w:val="20"/>
                <w:szCs w:val="20"/>
              </w:rPr>
            </w:pPr>
            <w:r w:rsidRPr="007C51D6">
              <w:rPr>
                <w:bCs/>
                <w:color w:val="000000"/>
                <w:sz w:val="20"/>
                <w:szCs w:val="20"/>
              </w:rPr>
              <w:t>нет</w:t>
            </w:r>
          </w:p>
          <w:p w:rsidR="001E3FBE" w:rsidRPr="007C51D6" w:rsidRDefault="001E3FBE" w:rsidP="001E3FBE">
            <w:pPr>
              <w:autoSpaceDE/>
              <w:autoSpaceDN/>
              <w:adjustRightInd/>
              <w:jc w:val="center"/>
              <w:rPr>
                <w:bCs/>
                <w:color w:val="000000"/>
                <w:sz w:val="20"/>
                <w:szCs w:val="20"/>
              </w:rPr>
            </w:pPr>
            <w:r w:rsidRPr="007C51D6">
              <w:rPr>
                <w:bCs/>
                <w:color w:val="000000"/>
                <w:sz w:val="20"/>
                <w:szCs w:val="20"/>
              </w:rPr>
              <w:t>данных</w:t>
            </w:r>
          </w:p>
        </w:tc>
        <w:tc>
          <w:tcPr>
            <w:tcW w:w="1361" w:type="dxa"/>
          </w:tcPr>
          <w:p w:rsidR="001E3FBE" w:rsidRPr="007C51D6" w:rsidRDefault="001E3FBE" w:rsidP="001E3FBE">
            <w:pPr>
              <w:autoSpaceDE/>
              <w:autoSpaceDN/>
              <w:adjustRightInd/>
              <w:jc w:val="center"/>
              <w:rPr>
                <w:bCs/>
                <w:color w:val="000000"/>
                <w:sz w:val="20"/>
                <w:szCs w:val="20"/>
              </w:rPr>
            </w:pPr>
            <w:r w:rsidRPr="007C51D6">
              <w:rPr>
                <w:bCs/>
                <w:color w:val="000000"/>
                <w:sz w:val="20"/>
                <w:szCs w:val="20"/>
              </w:rPr>
              <w:t>нет</w:t>
            </w:r>
          </w:p>
          <w:p w:rsidR="001E3FBE" w:rsidRPr="007C51D6" w:rsidRDefault="001E3FBE" w:rsidP="001E3FBE">
            <w:pPr>
              <w:autoSpaceDE/>
              <w:autoSpaceDN/>
              <w:adjustRightInd/>
              <w:jc w:val="center"/>
              <w:rPr>
                <w:bCs/>
                <w:color w:val="000000"/>
                <w:sz w:val="20"/>
                <w:szCs w:val="20"/>
              </w:rPr>
            </w:pPr>
            <w:r w:rsidRPr="007C51D6">
              <w:rPr>
                <w:bCs/>
                <w:color w:val="000000"/>
                <w:sz w:val="20"/>
                <w:szCs w:val="20"/>
              </w:rPr>
              <w:t>данных</w:t>
            </w:r>
          </w:p>
        </w:tc>
        <w:tc>
          <w:tcPr>
            <w:tcW w:w="992" w:type="dxa"/>
          </w:tcPr>
          <w:p w:rsidR="001E3FBE" w:rsidRPr="007C51D6" w:rsidRDefault="001E3FBE" w:rsidP="001E3FBE">
            <w:pPr>
              <w:jc w:val="center"/>
              <w:rPr>
                <w:color w:val="000000"/>
                <w:sz w:val="20"/>
                <w:szCs w:val="20"/>
              </w:rPr>
            </w:pPr>
            <w:r w:rsidRPr="007C51D6">
              <w:rPr>
                <w:color w:val="000000"/>
                <w:sz w:val="20"/>
                <w:szCs w:val="20"/>
              </w:rPr>
              <w:t>0,05</w:t>
            </w:r>
          </w:p>
        </w:tc>
        <w:tc>
          <w:tcPr>
            <w:tcW w:w="851" w:type="dxa"/>
          </w:tcPr>
          <w:p w:rsidR="001E3FBE" w:rsidRPr="007C51D6" w:rsidRDefault="001E3FBE" w:rsidP="001E3FBE">
            <w:pPr>
              <w:jc w:val="center"/>
              <w:rPr>
                <w:color w:val="000000"/>
                <w:sz w:val="20"/>
                <w:szCs w:val="20"/>
              </w:rPr>
            </w:pPr>
            <w:r w:rsidRPr="007C51D6">
              <w:rPr>
                <w:color w:val="000000"/>
                <w:sz w:val="20"/>
                <w:szCs w:val="20"/>
              </w:rPr>
              <w:t>0,05</w:t>
            </w:r>
          </w:p>
        </w:tc>
        <w:tc>
          <w:tcPr>
            <w:tcW w:w="850" w:type="dxa"/>
          </w:tcPr>
          <w:p w:rsidR="001E3FBE" w:rsidRPr="007C51D6" w:rsidRDefault="001E3FBE" w:rsidP="001E3FBE">
            <w:pPr>
              <w:jc w:val="center"/>
              <w:rPr>
                <w:color w:val="000000"/>
                <w:sz w:val="20"/>
                <w:szCs w:val="20"/>
              </w:rPr>
            </w:pPr>
            <w:r w:rsidRPr="007C51D6">
              <w:rPr>
                <w:color w:val="000000"/>
                <w:sz w:val="20"/>
                <w:szCs w:val="20"/>
              </w:rPr>
              <w:t>0,03</w:t>
            </w:r>
          </w:p>
        </w:tc>
        <w:tc>
          <w:tcPr>
            <w:tcW w:w="851" w:type="dxa"/>
          </w:tcPr>
          <w:p w:rsidR="001E3FBE" w:rsidRPr="007C51D6" w:rsidRDefault="001E3FBE" w:rsidP="001E3FBE">
            <w:pPr>
              <w:jc w:val="center"/>
              <w:rPr>
                <w:color w:val="000000"/>
                <w:sz w:val="20"/>
                <w:szCs w:val="20"/>
              </w:rPr>
            </w:pPr>
            <w:r w:rsidRPr="007C51D6">
              <w:rPr>
                <w:color w:val="000000"/>
                <w:sz w:val="20"/>
                <w:szCs w:val="20"/>
              </w:rPr>
              <w:t>0,05</w:t>
            </w:r>
          </w:p>
        </w:tc>
        <w:tc>
          <w:tcPr>
            <w:tcW w:w="829" w:type="dxa"/>
          </w:tcPr>
          <w:p w:rsidR="001E3FBE" w:rsidRPr="007C51D6" w:rsidRDefault="001E3FBE" w:rsidP="001E3FBE">
            <w:pPr>
              <w:jc w:val="center"/>
              <w:rPr>
                <w:color w:val="000000"/>
                <w:sz w:val="20"/>
                <w:szCs w:val="20"/>
              </w:rPr>
            </w:pPr>
            <w:r w:rsidRPr="007C51D6">
              <w:rPr>
                <w:color w:val="000000"/>
                <w:sz w:val="20"/>
                <w:szCs w:val="20"/>
              </w:rPr>
              <w:t>0,00</w:t>
            </w:r>
          </w:p>
        </w:tc>
        <w:tc>
          <w:tcPr>
            <w:tcW w:w="907" w:type="dxa"/>
          </w:tcPr>
          <w:p w:rsidR="001E3FBE" w:rsidRPr="007C51D6" w:rsidRDefault="001E3FBE" w:rsidP="001E3FBE">
            <w:pPr>
              <w:jc w:val="center"/>
              <w:rPr>
                <w:color w:val="000000"/>
                <w:sz w:val="20"/>
                <w:szCs w:val="20"/>
              </w:rPr>
            </w:pPr>
            <w:r w:rsidRPr="007C51D6">
              <w:rPr>
                <w:color w:val="000000"/>
                <w:sz w:val="20"/>
                <w:szCs w:val="20"/>
              </w:rPr>
              <w:t>0,00</w:t>
            </w:r>
          </w:p>
        </w:tc>
        <w:tc>
          <w:tcPr>
            <w:tcW w:w="907" w:type="dxa"/>
          </w:tcPr>
          <w:p w:rsidR="001E3FBE" w:rsidRPr="007C51D6" w:rsidRDefault="001E3FBE" w:rsidP="001E3FBE">
            <w:pPr>
              <w:autoSpaceDE/>
              <w:autoSpaceDN/>
              <w:adjustRightInd/>
              <w:jc w:val="center"/>
              <w:rPr>
                <w:bCs/>
                <w:color w:val="000000"/>
                <w:sz w:val="20"/>
                <w:szCs w:val="20"/>
              </w:rPr>
            </w:pPr>
            <w:r w:rsidRPr="007C51D6">
              <w:rPr>
                <w:bCs/>
                <w:color w:val="000000"/>
                <w:sz w:val="20"/>
                <w:szCs w:val="20"/>
              </w:rPr>
              <w:t>нет</w:t>
            </w:r>
          </w:p>
          <w:p w:rsidR="001E3FBE" w:rsidRPr="007C51D6" w:rsidRDefault="001E3FBE" w:rsidP="001E3FBE">
            <w:pPr>
              <w:autoSpaceDE/>
              <w:autoSpaceDN/>
              <w:adjustRightInd/>
              <w:jc w:val="center"/>
              <w:rPr>
                <w:bCs/>
                <w:color w:val="000000"/>
                <w:sz w:val="20"/>
                <w:szCs w:val="20"/>
              </w:rPr>
            </w:pPr>
            <w:r w:rsidRPr="007C51D6">
              <w:rPr>
                <w:bCs/>
                <w:color w:val="000000"/>
                <w:sz w:val="20"/>
                <w:szCs w:val="20"/>
              </w:rPr>
              <w:t>данных</w:t>
            </w:r>
          </w:p>
        </w:tc>
      </w:tr>
      <w:tr w:rsidR="001E3FBE" w:rsidRPr="007C51D6" w:rsidTr="00B93D5E">
        <w:trPr>
          <w:cantSplit/>
          <w:trHeight w:val="20"/>
          <w:jc w:val="center"/>
        </w:trPr>
        <w:tc>
          <w:tcPr>
            <w:tcW w:w="3539" w:type="dxa"/>
            <w:shd w:val="clear" w:color="auto" w:fill="auto"/>
            <w:noWrap/>
          </w:tcPr>
          <w:p w:rsidR="001E3FBE" w:rsidRPr="007C51D6" w:rsidRDefault="00B41962" w:rsidP="001E3FBE">
            <w:pPr>
              <w:autoSpaceDE/>
              <w:autoSpaceDN/>
              <w:adjustRightInd/>
              <w:jc w:val="both"/>
              <w:rPr>
                <w:bCs/>
                <w:sz w:val="20"/>
                <w:szCs w:val="20"/>
              </w:rPr>
            </w:pPr>
            <w:hyperlink r:id="rId31" w:history="1">
              <w:r w:rsidR="001E3FBE" w:rsidRPr="007C51D6">
                <w:rPr>
                  <w:rFonts w:eastAsia="Arial"/>
                  <w:bCs/>
                  <w:sz w:val="20"/>
                  <w:szCs w:val="20"/>
                </w:rPr>
                <w:t>новообразование неопределенного или неизвестного характера мозговых оболочек</w:t>
              </w:r>
            </w:hyperlink>
            <w:r w:rsidR="001E3FBE" w:rsidRPr="007C51D6">
              <w:rPr>
                <w:rFonts w:eastAsia="Arial"/>
                <w:sz w:val="20"/>
                <w:szCs w:val="20"/>
              </w:rPr>
              <w:t xml:space="preserve"> </w:t>
            </w:r>
          </w:p>
        </w:tc>
        <w:tc>
          <w:tcPr>
            <w:tcW w:w="1276" w:type="dxa"/>
            <w:shd w:val="clear" w:color="auto" w:fill="auto"/>
            <w:noWrap/>
          </w:tcPr>
          <w:p w:rsidR="001E3FBE" w:rsidRPr="007C51D6" w:rsidRDefault="001E3FBE" w:rsidP="001E3FBE">
            <w:pPr>
              <w:autoSpaceDE/>
              <w:autoSpaceDN/>
              <w:adjustRightInd/>
              <w:jc w:val="center"/>
              <w:rPr>
                <w:rFonts w:eastAsia="Arial"/>
                <w:sz w:val="20"/>
                <w:szCs w:val="20"/>
              </w:rPr>
            </w:pPr>
            <w:r w:rsidRPr="007C51D6">
              <w:rPr>
                <w:rFonts w:eastAsia="Arial"/>
                <w:sz w:val="20"/>
                <w:szCs w:val="20"/>
              </w:rPr>
              <w:t>D42</w:t>
            </w:r>
          </w:p>
        </w:tc>
        <w:tc>
          <w:tcPr>
            <w:tcW w:w="1303" w:type="dxa"/>
          </w:tcPr>
          <w:p w:rsidR="001E3FBE" w:rsidRPr="007C51D6" w:rsidRDefault="001E3FBE" w:rsidP="001E3FBE">
            <w:pPr>
              <w:autoSpaceDE/>
              <w:autoSpaceDN/>
              <w:adjustRightInd/>
              <w:jc w:val="center"/>
              <w:rPr>
                <w:bCs/>
                <w:color w:val="000000"/>
                <w:sz w:val="20"/>
                <w:szCs w:val="20"/>
              </w:rPr>
            </w:pPr>
            <w:r w:rsidRPr="007C51D6">
              <w:rPr>
                <w:bCs/>
                <w:color w:val="000000"/>
                <w:sz w:val="20"/>
                <w:szCs w:val="20"/>
              </w:rPr>
              <w:t>нет</w:t>
            </w:r>
          </w:p>
          <w:p w:rsidR="001E3FBE" w:rsidRPr="007C51D6" w:rsidRDefault="001E3FBE" w:rsidP="001E3FBE">
            <w:pPr>
              <w:autoSpaceDE/>
              <w:autoSpaceDN/>
              <w:adjustRightInd/>
              <w:jc w:val="center"/>
              <w:rPr>
                <w:bCs/>
                <w:color w:val="000000"/>
                <w:sz w:val="20"/>
                <w:szCs w:val="20"/>
              </w:rPr>
            </w:pPr>
            <w:r w:rsidRPr="007C51D6">
              <w:rPr>
                <w:bCs/>
                <w:color w:val="000000"/>
                <w:sz w:val="20"/>
                <w:szCs w:val="20"/>
              </w:rPr>
              <w:t>данных</w:t>
            </w:r>
          </w:p>
        </w:tc>
        <w:tc>
          <w:tcPr>
            <w:tcW w:w="1134" w:type="dxa"/>
          </w:tcPr>
          <w:p w:rsidR="001E3FBE" w:rsidRPr="007C51D6" w:rsidRDefault="001E3FBE" w:rsidP="001E3FBE">
            <w:pPr>
              <w:autoSpaceDE/>
              <w:autoSpaceDN/>
              <w:adjustRightInd/>
              <w:jc w:val="center"/>
              <w:rPr>
                <w:bCs/>
                <w:color w:val="000000"/>
                <w:sz w:val="20"/>
                <w:szCs w:val="20"/>
              </w:rPr>
            </w:pPr>
            <w:r w:rsidRPr="007C51D6">
              <w:rPr>
                <w:bCs/>
                <w:color w:val="000000"/>
                <w:sz w:val="20"/>
                <w:szCs w:val="20"/>
              </w:rPr>
              <w:t>нет</w:t>
            </w:r>
          </w:p>
          <w:p w:rsidR="001E3FBE" w:rsidRPr="007C51D6" w:rsidRDefault="001E3FBE" w:rsidP="001E3FBE">
            <w:pPr>
              <w:autoSpaceDE/>
              <w:autoSpaceDN/>
              <w:adjustRightInd/>
              <w:jc w:val="center"/>
              <w:rPr>
                <w:bCs/>
                <w:color w:val="000000"/>
                <w:sz w:val="20"/>
                <w:szCs w:val="20"/>
              </w:rPr>
            </w:pPr>
            <w:r w:rsidRPr="007C51D6">
              <w:rPr>
                <w:bCs/>
                <w:color w:val="000000"/>
                <w:sz w:val="20"/>
                <w:szCs w:val="20"/>
              </w:rPr>
              <w:t>данных</w:t>
            </w:r>
          </w:p>
        </w:tc>
        <w:tc>
          <w:tcPr>
            <w:tcW w:w="1361" w:type="dxa"/>
          </w:tcPr>
          <w:p w:rsidR="001E3FBE" w:rsidRPr="007C51D6" w:rsidRDefault="001E3FBE" w:rsidP="001E3FBE">
            <w:pPr>
              <w:autoSpaceDE/>
              <w:autoSpaceDN/>
              <w:adjustRightInd/>
              <w:jc w:val="center"/>
              <w:rPr>
                <w:bCs/>
                <w:color w:val="000000"/>
                <w:sz w:val="20"/>
                <w:szCs w:val="20"/>
              </w:rPr>
            </w:pPr>
            <w:r w:rsidRPr="007C51D6">
              <w:rPr>
                <w:bCs/>
                <w:color w:val="000000"/>
                <w:sz w:val="20"/>
                <w:szCs w:val="20"/>
              </w:rPr>
              <w:t>нет</w:t>
            </w:r>
          </w:p>
          <w:p w:rsidR="001E3FBE" w:rsidRPr="007C51D6" w:rsidRDefault="001E3FBE" w:rsidP="001E3FBE">
            <w:pPr>
              <w:autoSpaceDE/>
              <w:autoSpaceDN/>
              <w:adjustRightInd/>
              <w:jc w:val="center"/>
              <w:rPr>
                <w:bCs/>
                <w:color w:val="000000"/>
                <w:sz w:val="20"/>
                <w:szCs w:val="20"/>
              </w:rPr>
            </w:pPr>
            <w:r w:rsidRPr="007C51D6">
              <w:rPr>
                <w:bCs/>
                <w:color w:val="000000"/>
                <w:sz w:val="20"/>
                <w:szCs w:val="20"/>
              </w:rPr>
              <w:t>данных</w:t>
            </w:r>
          </w:p>
        </w:tc>
        <w:tc>
          <w:tcPr>
            <w:tcW w:w="992" w:type="dxa"/>
          </w:tcPr>
          <w:p w:rsidR="001E3FBE" w:rsidRPr="007C51D6" w:rsidRDefault="001E3FBE" w:rsidP="001E3FBE">
            <w:pPr>
              <w:jc w:val="center"/>
              <w:rPr>
                <w:color w:val="000000"/>
                <w:sz w:val="20"/>
                <w:szCs w:val="20"/>
              </w:rPr>
            </w:pPr>
            <w:r w:rsidRPr="007C51D6">
              <w:rPr>
                <w:color w:val="000000"/>
                <w:sz w:val="20"/>
                <w:szCs w:val="20"/>
              </w:rPr>
              <w:t>0,03</w:t>
            </w:r>
          </w:p>
        </w:tc>
        <w:tc>
          <w:tcPr>
            <w:tcW w:w="851" w:type="dxa"/>
          </w:tcPr>
          <w:p w:rsidR="001E3FBE" w:rsidRPr="007C51D6" w:rsidRDefault="001E3FBE" w:rsidP="001E3FBE">
            <w:pPr>
              <w:jc w:val="center"/>
              <w:rPr>
                <w:color w:val="000000"/>
                <w:sz w:val="20"/>
                <w:szCs w:val="20"/>
              </w:rPr>
            </w:pPr>
            <w:r w:rsidRPr="007C51D6">
              <w:rPr>
                <w:color w:val="000000"/>
                <w:sz w:val="20"/>
                <w:szCs w:val="20"/>
              </w:rPr>
              <w:t>0,03</w:t>
            </w:r>
          </w:p>
        </w:tc>
        <w:tc>
          <w:tcPr>
            <w:tcW w:w="850" w:type="dxa"/>
          </w:tcPr>
          <w:p w:rsidR="001E3FBE" w:rsidRPr="007C51D6" w:rsidRDefault="001E3FBE" w:rsidP="001E3FBE">
            <w:pPr>
              <w:jc w:val="center"/>
              <w:rPr>
                <w:color w:val="000000"/>
                <w:sz w:val="20"/>
                <w:szCs w:val="20"/>
              </w:rPr>
            </w:pPr>
            <w:r w:rsidRPr="007C51D6">
              <w:rPr>
                <w:color w:val="000000"/>
                <w:sz w:val="20"/>
                <w:szCs w:val="20"/>
              </w:rPr>
              <w:t>0,00</w:t>
            </w:r>
          </w:p>
        </w:tc>
        <w:tc>
          <w:tcPr>
            <w:tcW w:w="851" w:type="dxa"/>
          </w:tcPr>
          <w:p w:rsidR="001E3FBE" w:rsidRPr="007C51D6" w:rsidRDefault="001E3FBE" w:rsidP="001E3FBE">
            <w:pPr>
              <w:jc w:val="center"/>
              <w:rPr>
                <w:color w:val="000000"/>
                <w:sz w:val="20"/>
                <w:szCs w:val="20"/>
              </w:rPr>
            </w:pPr>
            <w:r w:rsidRPr="007C51D6">
              <w:rPr>
                <w:color w:val="000000"/>
                <w:sz w:val="20"/>
                <w:szCs w:val="20"/>
              </w:rPr>
              <w:t>0,00</w:t>
            </w:r>
          </w:p>
        </w:tc>
        <w:tc>
          <w:tcPr>
            <w:tcW w:w="829" w:type="dxa"/>
          </w:tcPr>
          <w:p w:rsidR="001E3FBE" w:rsidRPr="007C51D6" w:rsidRDefault="001E3FBE" w:rsidP="001E3FBE">
            <w:pPr>
              <w:jc w:val="center"/>
              <w:rPr>
                <w:color w:val="000000"/>
                <w:sz w:val="20"/>
                <w:szCs w:val="20"/>
              </w:rPr>
            </w:pPr>
            <w:r w:rsidRPr="007C51D6">
              <w:rPr>
                <w:color w:val="000000"/>
                <w:sz w:val="20"/>
                <w:szCs w:val="20"/>
              </w:rPr>
              <w:t>0,07</w:t>
            </w:r>
          </w:p>
        </w:tc>
        <w:tc>
          <w:tcPr>
            <w:tcW w:w="907" w:type="dxa"/>
          </w:tcPr>
          <w:p w:rsidR="001E3FBE" w:rsidRPr="007C51D6" w:rsidRDefault="001E3FBE" w:rsidP="001E3FBE">
            <w:pPr>
              <w:jc w:val="center"/>
              <w:rPr>
                <w:color w:val="000000"/>
                <w:sz w:val="20"/>
                <w:szCs w:val="20"/>
              </w:rPr>
            </w:pPr>
            <w:r w:rsidRPr="007C51D6">
              <w:rPr>
                <w:color w:val="000000"/>
                <w:sz w:val="20"/>
                <w:szCs w:val="20"/>
              </w:rPr>
              <w:t>0,07</w:t>
            </w:r>
          </w:p>
        </w:tc>
        <w:tc>
          <w:tcPr>
            <w:tcW w:w="907" w:type="dxa"/>
          </w:tcPr>
          <w:p w:rsidR="001E3FBE" w:rsidRPr="007C51D6" w:rsidRDefault="001E3FBE" w:rsidP="001E3FBE">
            <w:pPr>
              <w:autoSpaceDE/>
              <w:autoSpaceDN/>
              <w:adjustRightInd/>
              <w:jc w:val="center"/>
              <w:rPr>
                <w:bCs/>
                <w:color w:val="000000"/>
                <w:sz w:val="20"/>
                <w:szCs w:val="20"/>
              </w:rPr>
            </w:pPr>
            <w:r w:rsidRPr="007C51D6">
              <w:rPr>
                <w:bCs/>
                <w:color w:val="000000"/>
                <w:sz w:val="20"/>
                <w:szCs w:val="20"/>
              </w:rPr>
              <w:t>нет</w:t>
            </w:r>
          </w:p>
          <w:p w:rsidR="001E3FBE" w:rsidRPr="007C51D6" w:rsidRDefault="001E3FBE" w:rsidP="001E3FBE">
            <w:pPr>
              <w:autoSpaceDE/>
              <w:autoSpaceDN/>
              <w:adjustRightInd/>
              <w:jc w:val="center"/>
              <w:rPr>
                <w:bCs/>
                <w:color w:val="000000"/>
                <w:sz w:val="20"/>
                <w:szCs w:val="20"/>
              </w:rPr>
            </w:pPr>
            <w:r w:rsidRPr="007C51D6">
              <w:rPr>
                <w:bCs/>
                <w:color w:val="000000"/>
                <w:sz w:val="20"/>
                <w:szCs w:val="20"/>
              </w:rPr>
              <w:t>данных</w:t>
            </w:r>
          </w:p>
        </w:tc>
      </w:tr>
      <w:tr w:rsidR="001E3FBE" w:rsidRPr="007C51D6" w:rsidTr="00B93D5E">
        <w:trPr>
          <w:cantSplit/>
          <w:trHeight w:val="20"/>
          <w:jc w:val="center"/>
        </w:trPr>
        <w:tc>
          <w:tcPr>
            <w:tcW w:w="3539" w:type="dxa"/>
            <w:shd w:val="clear" w:color="auto" w:fill="auto"/>
            <w:noWrap/>
          </w:tcPr>
          <w:p w:rsidR="001E3FBE" w:rsidRPr="007C51D6" w:rsidRDefault="00B41962" w:rsidP="001E3FBE">
            <w:pPr>
              <w:autoSpaceDE/>
              <w:autoSpaceDN/>
              <w:adjustRightInd/>
              <w:jc w:val="both"/>
              <w:rPr>
                <w:sz w:val="20"/>
                <w:szCs w:val="20"/>
              </w:rPr>
            </w:pPr>
            <w:hyperlink r:id="rId32" w:history="1">
              <w:r w:rsidR="001E3FBE" w:rsidRPr="007C51D6">
                <w:rPr>
                  <w:rFonts w:eastAsia="Arial"/>
                  <w:bCs/>
                  <w:sz w:val="20"/>
                  <w:szCs w:val="20"/>
                </w:rPr>
                <w:t xml:space="preserve">новообразование неопределенного или неизвестного характера </w:t>
              </w:r>
            </w:hyperlink>
            <w:hyperlink r:id="rId33" w:history="1">
              <w:r w:rsidR="001E3FBE" w:rsidRPr="007C51D6">
                <w:rPr>
                  <w:rFonts w:eastAsia="Arial"/>
                  <w:bCs/>
                  <w:sz w:val="20"/>
                  <w:szCs w:val="20"/>
                </w:rPr>
                <w:t>головного мозга и центральной нервной системы</w:t>
              </w:r>
            </w:hyperlink>
          </w:p>
        </w:tc>
        <w:tc>
          <w:tcPr>
            <w:tcW w:w="1276" w:type="dxa"/>
            <w:shd w:val="clear" w:color="auto" w:fill="auto"/>
            <w:noWrap/>
          </w:tcPr>
          <w:p w:rsidR="001E3FBE" w:rsidRPr="007C51D6" w:rsidRDefault="001E3FBE" w:rsidP="001E3FBE">
            <w:pPr>
              <w:autoSpaceDE/>
              <w:autoSpaceDN/>
              <w:adjustRightInd/>
              <w:jc w:val="center"/>
              <w:rPr>
                <w:rFonts w:eastAsia="Arial"/>
                <w:sz w:val="20"/>
                <w:szCs w:val="20"/>
              </w:rPr>
            </w:pPr>
            <w:r w:rsidRPr="007C51D6">
              <w:rPr>
                <w:rFonts w:eastAsia="Arial"/>
                <w:sz w:val="20"/>
                <w:szCs w:val="20"/>
              </w:rPr>
              <w:t>D43</w:t>
            </w:r>
          </w:p>
        </w:tc>
        <w:tc>
          <w:tcPr>
            <w:tcW w:w="1303" w:type="dxa"/>
          </w:tcPr>
          <w:p w:rsidR="001E3FBE" w:rsidRPr="007C51D6" w:rsidRDefault="001E3FBE" w:rsidP="001E3FBE">
            <w:pPr>
              <w:autoSpaceDE/>
              <w:autoSpaceDN/>
              <w:adjustRightInd/>
              <w:jc w:val="center"/>
              <w:rPr>
                <w:bCs/>
                <w:color w:val="000000"/>
                <w:sz w:val="20"/>
                <w:szCs w:val="20"/>
              </w:rPr>
            </w:pPr>
            <w:r w:rsidRPr="007C51D6">
              <w:rPr>
                <w:bCs/>
                <w:color w:val="000000"/>
                <w:sz w:val="20"/>
                <w:szCs w:val="20"/>
              </w:rPr>
              <w:t>нет</w:t>
            </w:r>
          </w:p>
          <w:p w:rsidR="001E3FBE" w:rsidRPr="007C51D6" w:rsidRDefault="001E3FBE" w:rsidP="001E3FBE">
            <w:pPr>
              <w:autoSpaceDE/>
              <w:autoSpaceDN/>
              <w:adjustRightInd/>
              <w:jc w:val="center"/>
              <w:rPr>
                <w:bCs/>
                <w:color w:val="000000"/>
                <w:sz w:val="20"/>
                <w:szCs w:val="20"/>
              </w:rPr>
            </w:pPr>
            <w:r w:rsidRPr="007C51D6">
              <w:rPr>
                <w:bCs/>
                <w:color w:val="000000"/>
                <w:sz w:val="20"/>
                <w:szCs w:val="20"/>
              </w:rPr>
              <w:t>данных</w:t>
            </w:r>
          </w:p>
        </w:tc>
        <w:tc>
          <w:tcPr>
            <w:tcW w:w="1134" w:type="dxa"/>
          </w:tcPr>
          <w:p w:rsidR="001E3FBE" w:rsidRPr="007C51D6" w:rsidRDefault="001E3FBE" w:rsidP="001E3FBE">
            <w:pPr>
              <w:autoSpaceDE/>
              <w:autoSpaceDN/>
              <w:adjustRightInd/>
              <w:jc w:val="center"/>
              <w:rPr>
                <w:bCs/>
                <w:color w:val="000000"/>
                <w:sz w:val="20"/>
                <w:szCs w:val="20"/>
              </w:rPr>
            </w:pPr>
            <w:r w:rsidRPr="007C51D6">
              <w:rPr>
                <w:bCs/>
                <w:color w:val="000000"/>
                <w:sz w:val="20"/>
                <w:szCs w:val="20"/>
              </w:rPr>
              <w:t>нет</w:t>
            </w:r>
          </w:p>
          <w:p w:rsidR="001E3FBE" w:rsidRPr="007C51D6" w:rsidRDefault="001E3FBE" w:rsidP="001E3FBE">
            <w:pPr>
              <w:autoSpaceDE/>
              <w:autoSpaceDN/>
              <w:adjustRightInd/>
              <w:jc w:val="center"/>
              <w:rPr>
                <w:bCs/>
                <w:color w:val="000000"/>
                <w:sz w:val="20"/>
                <w:szCs w:val="20"/>
              </w:rPr>
            </w:pPr>
            <w:r w:rsidRPr="007C51D6">
              <w:rPr>
                <w:bCs/>
                <w:color w:val="000000"/>
                <w:sz w:val="20"/>
                <w:szCs w:val="20"/>
              </w:rPr>
              <w:t>данных</w:t>
            </w:r>
          </w:p>
        </w:tc>
        <w:tc>
          <w:tcPr>
            <w:tcW w:w="1361" w:type="dxa"/>
          </w:tcPr>
          <w:p w:rsidR="001E3FBE" w:rsidRPr="007C51D6" w:rsidRDefault="001E3FBE" w:rsidP="001E3FBE">
            <w:pPr>
              <w:autoSpaceDE/>
              <w:autoSpaceDN/>
              <w:adjustRightInd/>
              <w:jc w:val="center"/>
              <w:rPr>
                <w:bCs/>
                <w:color w:val="000000"/>
                <w:sz w:val="20"/>
                <w:szCs w:val="20"/>
              </w:rPr>
            </w:pPr>
            <w:r w:rsidRPr="007C51D6">
              <w:rPr>
                <w:bCs/>
                <w:color w:val="000000"/>
                <w:sz w:val="20"/>
                <w:szCs w:val="20"/>
              </w:rPr>
              <w:t>нет</w:t>
            </w:r>
          </w:p>
          <w:p w:rsidR="001E3FBE" w:rsidRPr="007C51D6" w:rsidRDefault="001E3FBE" w:rsidP="001E3FBE">
            <w:pPr>
              <w:autoSpaceDE/>
              <w:autoSpaceDN/>
              <w:adjustRightInd/>
              <w:jc w:val="center"/>
              <w:rPr>
                <w:bCs/>
                <w:color w:val="000000"/>
                <w:sz w:val="20"/>
                <w:szCs w:val="20"/>
              </w:rPr>
            </w:pPr>
            <w:r w:rsidRPr="007C51D6">
              <w:rPr>
                <w:bCs/>
                <w:color w:val="000000"/>
                <w:sz w:val="20"/>
                <w:szCs w:val="20"/>
              </w:rPr>
              <w:t>данных</w:t>
            </w:r>
          </w:p>
        </w:tc>
        <w:tc>
          <w:tcPr>
            <w:tcW w:w="992" w:type="dxa"/>
          </w:tcPr>
          <w:p w:rsidR="001E3FBE" w:rsidRPr="007C51D6" w:rsidRDefault="001E3FBE" w:rsidP="001E3FBE">
            <w:pPr>
              <w:jc w:val="center"/>
              <w:rPr>
                <w:color w:val="000000"/>
                <w:sz w:val="20"/>
                <w:szCs w:val="20"/>
              </w:rPr>
            </w:pPr>
            <w:r w:rsidRPr="007C51D6">
              <w:rPr>
                <w:color w:val="000000"/>
                <w:sz w:val="20"/>
                <w:szCs w:val="20"/>
              </w:rPr>
              <w:t>0,13</w:t>
            </w:r>
          </w:p>
        </w:tc>
        <w:tc>
          <w:tcPr>
            <w:tcW w:w="851" w:type="dxa"/>
          </w:tcPr>
          <w:p w:rsidR="001E3FBE" w:rsidRPr="007C51D6" w:rsidRDefault="001E3FBE" w:rsidP="001E3FBE">
            <w:pPr>
              <w:jc w:val="center"/>
              <w:rPr>
                <w:color w:val="000000"/>
                <w:sz w:val="20"/>
                <w:szCs w:val="20"/>
              </w:rPr>
            </w:pPr>
            <w:r w:rsidRPr="007C51D6">
              <w:rPr>
                <w:color w:val="000000"/>
                <w:sz w:val="20"/>
                <w:szCs w:val="20"/>
              </w:rPr>
              <w:t>0,31</w:t>
            </w:r>
          </w:p>
        </w:tc>
        <w:tc>
          <w:tcPr>
            <w:tcW w:w="850" w:type="dxa"/>
          </w:tcPr>
          <w:p w:rsidR="001E3FBE" w:rsidRPr="007C51D6" w:rsidRDefault="001E3FBE" w:rsidP="001E3FBE">
            <w:pPr>
              <w:jc w:val="center"/>
              <w:rPr>
                <w:color w:val="000000"/>
                <w:sz w:val="20"/>
                <w:szCs w:val="20"/>
              </w:rPr>
            </w:pPr>
            <w:r w:rsidRPr="007C51D6">
              <w:rPr>
                <w:color w:val="000000"/>
                <w:sz w:val="20"/>
                <w:szCs w:val="20"/>
              </w:rPr>
              <w:t>0,33</w:t>
            </w:r>
          </w:p>
        </w:tc>
        <w:tc>
          <w:tcPr>
            <w:tcW w:w="851" w:type="dxa"/>
          </w:tcPr>
          <w:p w:rsidR="001E3FBE" w:rsidRPr="007C51D6" w:rsidRDefault="001E3FBE" w:rsidP="001E3FBE">
            <w:pPr>
              <w:jc w:val="center"/>
              <w:rPr>
                <w:color w:val="000000"/>
                <w:sz w:val="20"/>
                <w:szCs w:val="20"/>
              </w:rPr>
            </w:pPr>
            <w:r w:rsidRPr="007C51D6">
              <w:rPr>
                <w:color w:val="000000"/>
                <w:sz w:val="20"/>
                <w:szCs w:val="20"/>
              </w:rPr>
              <w:t>0,15</w:t>
            </w:r>
          </w:p>
        </w:tc>
        <w:tc>
          <w:tcPr>
            <w:tcW w:w="829" w:type="dxa"/>
          </w:tcPr>
          <w:p w:rsidR="001E3FBE" w:rsidRPr="007C51D6" w:rsidRDefault="001E3FBE" w:rsidP="001E3FBE">
            <w:pPr>
              <w:jc w:val="center"/>
              <w:rPr>
                <w:color w:val="000000"/>
                <w:sz w:val="20"/>
                <w:szCs w:val="20"/>
              </w:rPr>
            </w:pPr>
            <w:r w:rsidRPr="007C51D6">
              <w:rPr>
                <w:color w:val="000000"/>
                <w:sz w:val="20"/>
                <w:szCs w:val="20"/>
              </w:rPr>
              <w:t>0,25</w:t>
            </w:r>
          </w:p>
        </w:tc>
        <w:tc>
          <w:tcPr>
            <w:tcW w:w="907" w:type="dxa"/>
          </w:tcPr>
          <w:p w:rsidR="001E3FBE" w:rsidRPr="007C51D6" w:rsidRDefault="001E3FBE" w:rsidP="001E3FBE">
            <w:pPr>
              <w:jc w:val="center"/>
              <w:rPr>
                <w:color w:val="000000"/>
                <w:sz w:val="20"/>
                <w:szCs w:val="20"/>
              </w:rPr>
            </w:pPr>
            <w:r w:rsidRPr="007C51D6">
              <w:rPr>
                <w:color w:val="000000"/>
                <w:sz w:val="20"/>
                <w:szCs w:val="20"/>
              </w:rPr>
              <w:t>0,27</w:t>
            </w:r>
          </w:p>
        </w:tc>
        <w:tc>
          <w:tcPr>
            <w:tcW w:w="907" w:type="dxa"/>
          </w:tcPr>
          <w:p w:rsidR="001E3FBE" w:rsidRPr="007C51D6" w:rsidRDefault="001E3FBE" w:rsidP="001E3FBE">
            <w:pPr>
              <w:autoSpaceDE/>
              <w:autoSpaceDN/>
              <w:adjustRightInd/>
              <w:jc w:val="center"/>
              <w:rPr>
                <w:bCs/>
                <w:color w:val="000000"/>
                <w:sz w:val="20"/>
                <w:szCs w:val="20"/>
              </w:rPr>
            </w:pPr>
            <w:r w:rsidRPr="007C51D6">
              <w:rPr>
                <w:bCs/>
                <w:color w:val="000000"/>
                <w:sz w:val="20"/>
                <w:szCs w:val="20"/>
              </w:rPr>
              <w:t>нет</w:t>
            </w:r>
          </w:p>
          <w:p w:rsidR="001E3FBE" w:rsidRPr="007C51D6" w:rsidRDefault="001E3FBE" w:rsidP="001E3FBE">
            <w:pPr>
              <w:autoSpaceDE/>
              <w:autoSpaceDN/>
              <w:adjustRightInd/>
              <w:jc w:val="center"/>
              <w:rPr>
                <w:bCs/>
                <w:color w:val="000000"/>
                <w:sz w:val="20"/>
                <w:szCs w:val="20"/>
              </w:rPr>
            </w:pPr>
            <w:r w:rsidRPr="007C51D6">
              <w:rPr>
                <w:bCs/>
                <w:color w:val="000000"/>
                <w:sz w:val="20"/>
                <w:szCs w:val="20"/>
              </w:rPr>
              <w:t>данных</w:t>
            </w:r>
          </w:p>
        </w:tc>
      </w:tr>
      <w:tr w:rsidR="001E3FBE" w:rsidRPr="007C51D6" w:rsidTr="00B93D5E">
        <w:trPr>
          <w:cantSplit/>
          <w:trHeight w:val="20"/>
          <w:jc w:val="center"/>
        </w:trPr>
        <w:tc>
          <w:tcPr>
            <w:tcW w:w="3539" w:type="dxa"/>
            <w:shd w:val="clear" w:color="auto" w:fill="auto"/>
            <w:noWrap/>
          </w:tcPr>
          <w:p w:rsidR="001E3FBE" w:rsidRPr="007C51D6" w:rsidRDefault="001E3FBE" w:rsidP="001E3FBE">
            <w:pPr>
              <w:autoSpaceDE/>
              <w:autoSpaceDN/>
              <w:adjustRightInd/>
              <w:jc w:val="both"/>
              <w:rPr>
                <w:sz w:val="20"/>
                <w:szCs w:val="20"/>
              </w:rPr>
            </w:pPr>
            <w:r w:rsidRPr="007C51D6">
              <w:rPr>
                <w:color w:val="333333"/>
                <w:sz w:val="20"/>
                <w:szCs w:val="20"/>
              </w:rPr>
              <w:t>новообразование неопределенного или неизвестного характера эндокринных желез</w:t>
            </w:r>
          </w:p>
        </w:tc>
        <w:tc>
          <w:tcPr>
            <w:tcW w:w="1276" w:type="dxa"/>
            <w:shd w:val="clear" w:color="auto" w:fill="auto"/>
            <w:noWrap/>
          </w:tcPr>
          <w:p w:rsidR="001E3FBE" w:rsidRPr="007C51D6" w:rsidRDefault="001E3FBE" w:rsidP="001E3FBE">
            <w:pPr>
              <w:autoSpaceDE/>
              <w:autoSpaceDN/>
              <w:adjustRightInd/>
              <w:jc w:val="center"/>
              <w:rPr>
                <w:rFonts w:eastAsia="Arial"/>
                <w:sz w:val="20"/>
                <w:szCs w:val="20"/>
              </w:rPr>
            </w:pPr>
            <w:r w:rsidRPr="007C51D6">
              <w:rPr>
                <w:rFonts w:eastAsia="Arial"/>
                <w:sz w:val="20"/>
                <w:szCs w:val="20"/>
              </w:rPr>
              <w:t>D44</w:t>
            </w:r>
          </w:p>
        </w:tc>
        <w:tc>
          <w:tcPr>
            <w:tcW w:w="1303" w:type="dxa"/>
          </w:tcPr>
          <w:p w:rsidR="001E3FBE" w:rsidRPr="007C51D6" w:rsidRDefault="001E3FBE" w:rsidP="001E3FBE">
            <w:pPr>
              <w:autoSpaceDE/>
              <w:autoSpaceDN/>
              <w:adjustRightInd/>
              <w:jc w:val="center"/>
              <w:rPr>
                <w:bCs/>
                <w:color w:val="000000"/>
                <w:sz w:val="20"/>
                <w:szCs w:val="20"/>
              </w:rPr>
            </w:pPr>
            <w:r w:rsidRPr="007C51D6">
              <w:rPr>
                <w:bCs/>
                <w:color w:val="000000"/>
                <w:sz w:val="20"/>
                <w:szCs w:val="20"/>
              </w:rPr>
              <w:t>нет</w:t>
            </w:r>
          </w:p>
          <w:p w:rsidR="001E3FBE" w:rsidRPr="007C51D6" w:rsidRDefault="001E3FBE" w:rsidP="001E3FBE">
            <w:pPr>
              <w:autoSpaceDE/>
              <w:autoSpaceDN/>
              <w:adjustRightInd/>
              <w:jc w:val="center"/>
              <w:rPr>
                <w:bCs/>
                <w:color w:val="000000"/>
                <w:sz w:val="20"/>
                <w:szCs w:val="20"/>
              </w:rPr>
            </w:pPr>
            <w:r w:rsidRPr="007C51D6">
              <w:rPr>
                <w:bCs/>
                <w:color w:val="000000"/>
                <w:sz w:val="20"/>
                <w:szCs w:val="20"/>
              </w:rPr>
              <w:t>данных</w:t>
            </w:r>
          </w:p>
        </w:tc>
        <w:tc>
          <w:tcPr>
            <w:tcW w:w="1134" w:type="dxa"/>
          </w:tcPr>
          <w:p w:rsidR="001E3FBE" w:rsidRPr="007C51D6" w:rsidRDefault="001E3FBE" w:rsidP="001E3FBE">
            <w:pPr>
              <w:autoSpaceDE/>
              <w:autoSpaceDN/>
              <w:adjustRightInd/>
              <w:jc w:val="center"/>
              <w:rPr>
                <w:bCs/>
                <w:color w:val="000000"/>
                <w:sz w:val="20"/>
                <w:szCs w:val="20"/>
              </w:rPr>
            </w:pPr>
            <w:r w:rsidRPr="007C51D6">
              <w:rPr>
                <w:bCs/>
                <w:color w:val="000000"/>
                <w:sz w:val="20"/>
                <w:szCs w:val="20"/>
              </w:rPr>
              <w:t>нет</w:t>
            </w:r>
          </w:p>
          <w:p w:rsidR="001E3FBE" w:rsidRPr="007C51D6" w:rsidRDefault="001E3FBE" w:rsidP="001E3FBE">
            <w:pPr>
              <w:autoSpaceDE/>
              <w:autoSpaceDN/>
              <w:adjustRightInd/>
              <w:jc w:val="center"/>
              <w:rPr>
                <w:bCs/>
                <w:color w:val="000000"/>
                <w:sz w:val="20"/>
                <w:szCs w:val="20"/>
              </w:rPr>
            </w:pPr>
            <w:r w:rsidRPr="007C51D6">
              <w:rPr>
                <w:bCs/>
                <w:color w:val="000000"/>
                <w:sz w:val="20"/>
                <w:szCs w:val="20"/>
              </w:rPr>
              <w:t>данных</w:t>
            </w:r>
          </w:p>
        </w:tc>
        <w:tc>
          <w:tcPr>
            <w:tcW w:w="1361" w:type="dxa"/>
          </w:tcPr>
          <w:p w:rsidR="001E3FBE" w:rsidRPr="007C51D6" w:rsidRDefault="001E3FBE" w:rsidP="001E3FBE">
            <w:pPr>
              <w:autoSpaceDE/>
              <w:autoSpaceDN/>
              <w:adjustRightInd/>
              <w:jc w:val="center"/>
              <w:rPr>
                <w:bCs/>
                <w:color w:val="000000"/>
                <w:sz w:val="20"/>
                <w:szCs w:val="20"/>
              </w:rPr>
            </w:pPr>
            <w:r w:rsidRPr="007C51D6">
              <w:rPr>
                <w:bCs/>
                <w:color w:val="000000"/>
                <w:sz w:val="20"/>
                <w:szCs w:val="20"/>
              </w:rPr>
              <w:t>нет</w:t>
            </w:r>
          </w:p>
          <w:p w:rsidR="001E3FBE" w:rsidRPr="007C51D6" w:rsidRDefault="001E3FBE" w:rsidP="001E3FBE">
            <w:pPr>
              <w:autoSpaceDE/>
              <w:autoSpaceDN/>
              <w:adjustRightInd/>
              <w:jc w:val="center"/>
              <w:rPr>
                <w:bCs/>
                <w:color w:val="000000"/>
                <w:sz w:val="20"/>
                <w:szCs w:val="20"/>
              </w:rPr>
            </w:pPr>
            <w:r w:rsidRPr="007C51D6">
              <w:rPr>
                <w:bCs/>
                <w:color w:val="000000"/>
                <w:sz w:val="20"/>
                <w:szCs w:val="20"/>
              </w:rPr>
              <w:t>данных</w:t>
            </w:r>
          </w:p>
        </w:tc>
        <w:tc>
          <w:tcPr>
            <w:tcW w:w="992" w:type="dxa"/>
          </w:tcPr>
          <w:p w:rsidR="001E3FBE" w:rsidRPr="007C51D6" w:rsidRDefault="001E3FBE" w:rsidP="001E3FBE">
            <w:pPr>
              <w:jc w:val="center"/>
              <w:rPr>
                <w:color w:val="000000"/>
                <w:sz w:val="20"/>
                <w:szCs w:val="20"/>
              </w:rPr>
            </w:pPr>
            <w:r w:rsidRPr="007C51D6">
              <w:rPr>
                <w:color w:val="000000"/>
                <w:sz w:val="20"/>
                <w:szCs w:val="20"/>
              </w:rPr>
              <w:t>0,00</w:t>
            </w:r>
          </w:p>
        </w:tc>
        <w:tc>
          <w:tcPr>
            <w:tcW w:w="851" w:type="dxa"/>
          </w:tcPr>
          <w:p w:rsidR="001E3FBE" w:rsidRPr="007C51D6" w:rsidRDefault="001E3FBE" w:rsidP="001E3FBE">
            <w:pPr>
              <w:jc w:val="center"/>
              <w:rPr>
                <w:color w:val="000000"/>
                <w:sz w:val="20"/>
                <w:szCs w:val="20"/>
              </w:rPr>
            </w:pPr>
            <w:r w:rsidRPr="007C51D6">
              <w:rPr>
                <w:color w:val="000000"/>
                <w:sz w:val="20"/>
                <w:szCs w:val="20"/>
              </w:rPr>
              <w:t>0,00</w:t>
            </w:r>
          </w:p>
        </w:tc>
        <w:tc>
          <w:tcPr>
            <w:tcW w:w="850" w:type="dxa"/>
          </w:tcPr>
          <w:p w:rsidR="001E3FBE" w:rsidRPr="007C51D6" w:rsidRDefault="001E3FBE" w:rsidP="001E3FBE">
            <w:pPr>
              <w:jc w:val="center"/>
              <w:rPr>
                <w:color w:val="000000"/>
                <w:sz w:val="20"/>
                <w:szCs w:val="20"/>
              </w:rPr>
            </w:pPr>
            <w:r w:rsidRPr="007C51D6">
              <w:rPr>
                <w:color w:val="000000"/>
                <w:sz w:val="20"/>
                <w:szCs w:val="20"/>
              </w:rPr>
              <w:t>0,05</w:t>
            </w:r>
          </w:p>
        </w:tc>
        <w:tc>
          <w:tcPr>
            <w:tcW w:w="851" w:type="dxa"/>
          </w:tcPr>
          <w:p w:rsidR="001E3FBE" w:rsidRPr="007C51D6" w:rsidRDefault="001E3FBE" w:rsidP="001E3FBE">
            <w:pPr>
              <w:jc w:val="center"/>
              <w:rPr>
                <w:color w:val="000000"/>
                <w:sz w:val="20"/>
                <w:szCs w:val="20"/>
              </w:rPr>
            </w:pPr>
            <w:r w:rsidRPr="007C51D6">
              <w:rPr>
                <w:color w:val="000000"/>
                <w:sz w:val="20"/>
                <w:szCs w:val="20"/>
              </w:rPr>
              <w:t>0,05</w:t>
            </w:r>
          </w:p>
        </w:tc>
        <w:tc>
          <w:tcPr>
            <w:tcW w:w="829" w:type="dxa"/>
          </w:tcPr>
          <w:p w:rsidR="001E3FBE" w:rsidRPr="007C51D6" w:rsidRDefault="001E3FBE" w:rsidP="001E3FBE">
            <w:pPr>
              <w:jc w:val="center"/>
              <w:rPr>
                <w:color w:val="000000"/>
                <w:sz w:val="20"/>
                <w:szCs w:val="20"/>
              </w:rPr>
            </w:pPr>
            <w:r w:rsidRPr="007C51D6">
              <w:rPr>
                <w:color w:val="000000"/>
                <w:sz w:val="20"/>
                <w:szCs w:val="20"/>
              </w:rPr>
              <w:t>0,02</w:t>
            </w:r>
          </w:p>
        </w:tc>
        <w:tc>
          <w:tcPr>
            <w:tcW w:w="907" w:type="dxa"/>
          </w:tcPr>
          <w:p w:rsidR="001E3FBE" w:rsidRPr="007C51D6" w:rsidRDefault="001E3FBE" w:rsidP="001E3FBE">
            <w:pPr>
              <w:jc w:val="center"/>
              <w:rPr>
                <w:color w:val="000000"/>
                <w:sz w:val="20"/>
                <w:szCs w:val="20"/>
              </w:rPr>
            </w:pPr>
            <w:r w:rsidRPr="007C51D6">
              <w:rPr>
                <w:color w:val="000000"/>
                <w:sz w:val="20"/>
                <w:szCs w:val="20"/>
              </w:rPr>
              <w:t>0,02</w:t>
            </w:r>
          </w:p>
        </w:tc>
        <w:tc>
          <w:tcPr>
            <w:tcW w:w="907" w:type="dxa"/>
          </w:tcPr>
          <w:p w:rsidR="001E3FBE" w:rsidRPr="007C51D6" w:rsidRDefault="001E3FBE" w:rsidP="001E3FBE">
            <w:pPr>
              <w:autoSpaceDE/>
              <w:autoSpaceDN/>
              <w:adjustRightInd/>
              <w:jc w:val="center"/>
              <w:rPr>
                <w:bCs/>
                <w:color w:val="000000"/>
                <w:sz w:val="20"/>
                <w:szCs w:val="20"/>
              </w:rPr>
            </w:pPr>
            <w:r w:rsidRPr="007C51D6">
              <w:rPr>
                <w:bCs/>
                <w:color w:val="000000"/>
                <w:sz w:val="20"/>
                <w:szCs w:val="20"/>
              </w:rPr>
              <w:t>нет</w:t>
            </w:r>
          </w:p>
          <w:p w:rsidR="001E3FBE" w:rsidRPr="007C51D6" w:rsidRDefault="001E3FBE" w:rsidP="001E3FBE">
            <w:pPr>
              <w:autoSpaceDE/>
              <w:autoSpaceDN/>
              <w:adjustRightInd/>
              <w:jc w:val="center"/>
              <w:rPr>
                <w:bCs/>
                <w:color w:val="000000"/>
                <w:sz w:val="20"/>
                <w:szCs w:val="20"/>
              </w:rPr>
            </w:pPr>
            <w:r w:rsidRPr="007C51D6">
              <w:rPr>
                <w:bCs/>
                <w:color w:val="000000"/>
                <w:sz w:val="20"/>
                <w:szCs w:val="20"/>
              </w:rPr>
              <w:t>данных</w:t>
            </w:r>
          </w:p>
        </w:tc>
      </w:tr>
      <w:tr w:rsidR="001E3FBE" w:rsidRPr="007C51D6" w:rsidTr="00B93D5E">
        <w:trPr>
          <w:cantSplit/>
          <w:trHeight w:val="20"/>
          <w:jc w:val="center"/>
        </w:trPr>
        <w:tc>
          <w:tcPr>
            <w:tcW w:w="3539" w:type="dxa"/>
            <w:shd w:val="clear" w:color="auto" w:fill="auto"/>
            <w:noWrap/>
          </w:tcPr>
          <w:p w:rsidR="001E3FBE" w:rsidRPr="007C51D6" w:rsidRDefault="001E3FBE" w:rsidP="001E3FBE">
            <w:pPr>
              <w:autoSpaceDE/>
              <w:autoSpaceDN/>
              <w:adjustRightInd/>
              <w:jc w:val="both"/>
              <w:rPr>
                <w:bCs/>
                <w:sz w:val="20"/>
                <w:szCs w:val="20"/>
              </w:rPr>
            </w:pPr>
            <w:r w:rsidRPr="007C51D6">
              <w:rPr>
                <w:rFonts w:eastAsia="Arial"/>
                <w:bCs/>
                <w:sz w:val="20"/>
                <w:szCs w:val="20"/>
              </w:rPr>
              <w:t xml:space="preserve">полицитемия истинная </w:t>
            </w:r>
          </w:p>
        </w:tc>
        <w:tc>
          <w:tcPr>
            <w:tcW w:w="1276" w:type="dxa"/>
            <w:shd w:val="clear" w:color="auto" w:fill="auto"/>
            <w:noWrap/>
          </w:tcPr>
          <w:p w:rsidR="001E3FBE" w:rsidRPr="007C51D6" w:rsidRDefault="001E3FBE" w:rsidP="001E3FBE">
            <w:pPr>
              <w:autoSpaceDE/>
              <w:autoSpaceDN/>
              <w:adjustRightInd/>
              <w:jc w:val="center"/>
              <w:rPr>
                <w:rFonts w:eastAsia="Arial"/>
                <w:sz w:val="20"/>
                <w:szCs w:val="20"/>
              </w:rPr>
            </w:pPr>
            <w:r w:rsidRPr="007C51D6">
              <w:rPr>
                <w:rFonts w:eastAsia="Arial"/>
                <w:sz w:val="20"/>
                <w:szCs w:val="20"/>
              </w:rPr>
              <w:t>D45</w:t>
            </w:r>
          </w:p>
        </w:tc>
        <w:tc>
          <w:tcPr>
            <w:tcW w:w="1303" w:type="dxa"/>
          </w:tcPr>
          <w:p w:rsidR="001E3FBE" w:rsidRPr="007C51D6" w:rsidRDefault="001E3FBE" w:rsidP="001E3FBE">
            <w:pPr>
              <w:autoSpaceDE/>
              <w:autoSpaceDN/>
              <w:adjustRightInd/>
              <w:jc w:val="center"/>
              <w:rPr>
                <w:bCs/>
                <w:color w:val="000000"/>
                <w:sz w:val="20"/>
                <w:szCs w:val="20"/>
              </w:rPr>
            </w:pPr>
            <w:r w:rsidRPr="007C51D6">
              <w:rPr>
                <w:bCs/>
                <w:color w:val="000000"/>
                <w:sz w:val="20"/>
                <w:szCs w:val="20"/>
              </w:rPr>
              <w:t>нет</w:t>
            </w:r>
          </w:p>
          <w:p w:rsidR="001E3FBE" w:rsidRPr="007C51D6" w:rsidRDefault="001E3FBE" w:rsidP="001E3FBE">
            <w:pPr>
              <w:autoSpaceDE/>
              <w:autoSpaceDN/>
              <w:adjustRightInd/>
              <w:jc w:val="center"/>
              <w:rPr>
                <w:bCs/>
                <w:color w:val="000000"/>
                <w:sz w:val="20"/>
                <w:szCs w:val="20"/>
              </w:rPr>
            </w:pPr>
            <w:r w:rsidRPr="007C51D6">
              <w:rPr>
                <w:bCs/>
                <w:color w:val="000000"/>
                <w:sz w:val="20"/>
                <w:szCs w:val="20"/>
              </w:rPr>
              <w:t>данных</w:t>
            </w:r>
          </w:p>
        </w:tc>
        <w:tc>
          <w:tcPr>
            <w:tcW w:w="1134" w:type="dxa"/>
          </w:tcPr>
          <w:p w:rsidR="001E3FBE" w:rsidRPr="007C51D6" w:rsidRDefault="001E3FBE" w:rsidP="001E3FBE">
            <w:pPr>
              <w:autoSpaceDE/>
              <w:autoSpaceDN/>
              <w:adjustRightInd/>
              <w:jc w:val="center"/>
              <w:rPr>
                <w:bCs/>
                <w:color w:val="000000"/>
                <w:sz w:val="20"/>
                <w:szCs w:val="20"/>
              </w:rPr>
            </w:pPr>
            <w:r w:rsidRPr="007C51D6">
              <w:rPr>
                <w:bCs/>
                <w:color w:val="000000"/>
                <w:sz w:val="20"/>
                <w:szCs w:val="20"/>
              </w:rPr>
              <w:t>нет</w:t>
            </w:r>
          </w:p>
          <w:p w:rsidR="001E3FBE" w:rsidRPr="007C51D6" w:rsidRDefault="001E3FBE" w:rsidP="001E3FBE">
            <w:pPr>
              <w:autoSpaceDE/>
              <w:autoSpaceDN/>
              <w:adjustRightInd/>
              <w:jc w:val="center"/>
              <w:rPr>
                <w:bCs/>
                <w:color w:val="000000"/>
                <w:sz w:val="20"/>
                <w:szCs w:val="20"/>
              </w:rPr>
            </w:pPr>
            <w:r w:rsidRPr="007C51D6">
              <w:rPr>
                <w:bCs/>
                <w:color w:val="000000"/>
                <w:sz w:val="20"/>
                <w:szCs w:val="20"/>
              </w:rPr>
              <w:t>данных</w:t>
            </w:r>
          </w:p>
        </w:tc>
        <w:tc>
          <w:tcPr>
            <w:tcW w:w="1361" w:type="dxa"/>
          </w:tcPr>
          <w:p w:rsidR="001E3FBE" w:rsidRPr="007C51D6" w:rsidRDefault="001E3FBE" w:rsidP="001E3FBE">
            <w:pPr>
              <w:autoSpaceDE/>
              <w:autoSpaceDN/>
              <w:adjustRightInd/>
              <w:jc w:val="center"/>
              <w:rPr>
                <w:bCs/>
                <w:color w:val="000000"/>
                <w:sz w:val="20"/>
                <w:szCs w:val="20"/>
              </w:rPr>
            </w:pPr>
            <w:r w:rsidRPr="007C51D6">
              <w:rPr>
                <w:bCs/>
                <w:color w:val="000000"/>
                <w:sz w:val="20"/>
                <w:szCs w:val="20"/>
              </w:rPr>
              <w:t>нет</w:t>
            </w:r>
          </w:p>
          <w:p w:rsidR="001E3FBE" w:rsidRPr="007C51D6" w:rsidRDefault="001E3FBE" w:rsidP="001E3FBE">
            <w:pPr>
              <w:autoSpaceDE/>
              <w:autoSpaceDN/>
              <w:adjustRightInd/>
              <w:jc w:val="center"/>
              <w:rPr>
                <w:bCs/>
                <w:color w:val="000000"/>
                <w:sz w:val="20"/>
                <w:szCs w:val="20"/>
              </w:rPr>
            </w:pPr>
            <w:r w:rsidRPr="007C51D6">
              <w:rPr>
                <w:bCs/>
                <w:color w:val="000000"/>
                <w:sz w:val="20"/>
                <w:szCs w:val="20"/>
              </w:rPr>
              <w:t>данных</w:t>
            </w:r>
          </w:p>
        </w:tc>
        <w:tc>
          <w:tcPr>
            <w:tcW w:w="992" w:type="dxa"/>
          </w:tcPr>
          <w:p w:rsidR="001E3FBE" w:rsidRPr="007C51D6" w:rsidRDefault="001E3FBE" w:rsidP="001E3FBE">
            <w:pPr>
              <w:jc w:val="center"/>
              <w:rPr>
                <w:color w:val="000000"/>
                <w:sz w:val="20"/>
                <w:szCs w:val="20"/>
              </w:rPr>
            </w:pPr>
            <w:r w:rsidRPr="007C51D6">
              <w:rPr>
                <w:color w:val="000000"/>
                <w:sz w:val="20"/>
                <w:szCs w:val="20"/>
              </w:rPr>
              <w:t>0,03</w:t>
            </w:r>
          </w:p>
        </w:tc>
        <w:tc>
          <w:tcPr>
            <w:tcW w:w="851" w:type="dxa"/>
          </w:tcPr>
          <w:p w:rsidR="001E3FBE" w:rsidRPr="007C51D6" w:rsidRDefault="001E3FBE" w:rsidP="001E3FBE">
            <w:pPr>
              <w:jc w:val="center"/>
              <w:rPr>
                <w:color w:val="000000"/>
                <w:sz w:val="20"/>
                <w:szCs w:val="20"/>
              </w:rPr>
            </w:pPr>
            <w:r w:rsidRPr="007C51D6">
              <w:rPr>
                <w:color w:val="000000"/>
                <w:sz w:val="20"/>
                <w:szCs w:val="20"/>
              </w:rPr>
              <w:t>0,05</w:t>
            </w:r>
          </w:p>
        </w:tc>
        <w:tc>
          <w:tcPr>
            <w:tcW w:w="850" w:type="dxa"/>
          </w:tcPr>
          <w:p w:rsidR="001E3FBE" w:rsidRPr="007C51D6" w:rsidRDefault="001E3FBE" w:rsidP="001E3FBE">
            <w:pPr>
              <w:jc w:val="center"/>
              <w:rPr>
                <w:color w:val="000000"/>
                <w:sz w:val="20"/>
                <w:szCs w:val="20"/>
              </w:rPr>
            </w:pPr>
            <w:r w:rsidRPr="007C51D6">
              <w:rPr>
                <w:color w:val="000000"/>
                <w:sz w:val="20"/>
                <w:szCs w:val="20"/>
              </w:rPr>
              <w:t>0,08</w:t>
            </w:r>
          </w:p>
        </w:tc>
        <w:tc>
          <w:tcPr>
            <w:tcW w:w="851" w:type="dxa"/>
          </w:tcPr>
          <w:p w:rsidR="001E3FBE" w:rsidRPr="007C51D6" w:rsidRDefault="001E3FBE" w:rsidP="001E3FBE">
            <w:pPr>
              <w:jc w:val="center"/>
              <w:rPr>
                <w:color w:val="000000"/>
                <w:sz w:val="20"/>
                <w:szCs w:val="20"/>
              </w:rPr>
            </w:pPr>
            <w:r w:rsidRPr="007C51D6">
              <w:rPr>
                <w:color w:val="000000"/>
                <w:sz w:val="20"/>
                <w:szCs w:val="20"/>
              </w:rPr>
              <w:t>0,05</w:t>
            </w:r>
          </w:p>
        </w:tc>
        <w:tc>
          <w:tcPr>
            <w:tcW w:w="829" w:type="dxa"/>
          </w:tcPr>
          <w:p w:rsidR="001E3FBE" w:rsidRPr="007C51D6" w:rsidRDefault="001E3FBE" w:rsidP="001E3FBE">
            <w:pPr>
              <w:jc w:val="center"/>
              <w:rPr>
                <w:color w:val="000000"/>
                <w:sz w:val="20"/>
                <w:szCs w:val="20"/>
              </w:rPr>
            </w:pPr>
            <w:r w:rsidRPr="007C51D6">
              <w:rPr>
                <w:color w:val="000000"/>
                <w:sz w:val="20"/>
                <w:szCs w:val="20"/>
              </w:rPr>
              <w:t>0,00</w:t>
            </w:r>
          </w:p>
        </w:tc>
        <w:tc>
          <w:tcPr>
            <w:tcW w:w="907" w:type="dxa"/>
          </w:tcPr>
          <w:p w:rsidR="001E3FBE" w:rsidRPr="007C51D6" w:rsidRDefault="001E3FBE" w:rsidP="001E3FBE">
            <w:pPr>
              <w:jc w:val="center"/>
              <w:rPr>
                <w:color w:val="000000"/>
                <w:sz w:val="20"/>
                <w:szCs w:val="20"/>
              </w:rPr>
            </w:pPr>
            <w:r w:rsidRPr="007C51D6">
              <w:rPr>
                <w:color w:val="000000"/>
                <w:sz w:val="20"/>
                <w:szCs w:val="20"/>
              </w:rPr>
              <w:t>0,02</w:t>
            </w:r>
          </w:p>
        </w:tc>
        <w:tc>
          <w:tcPr>
            <w:tcW w:w="907" w:type="dxa"/>
          </w:tcPr>
          <w:p w:rsidR="001E3FBE" w:rsidRPr="007C51D6" w:rsidRDefault="001E3FBE" w:rsidP="001E3FBE">
            <w:pPr>
              <w:autoSpaceDE/>
              <w:autoSpaceDN/>
              <w:adjustRightInd/>
              <w:jc w:val="center"/>
              <w:rPr>
                <w:bCs/>
                <w:color w:val="000000"/>
                <w:sz w:val="20"/>
                <w:szCs w:val="20"/>
              </w:rPr>
            </w:pPr>
            <w:r w:rsidRPr="007C51D6">
              <w:rPr>
                <w:bCs/>
                <w:color w:val="000000"/>
                <w:sz w:val="20"/>
                <w:szCs w:val="20"/>
              </w:rPr>
              <w:t>нет</w:t>
            </w:r>
          </w:p>
          <w:p w:rsidR="001E3FBE" w:rsidRPr="007C51D6" w:rsidRDefault="001E3FBE" w:rsidP="001E3FBE">
            <w:pPr>
              <w:autoSpaceDE/>
              <w:autoSpaceDN/>
              <w:adjustRightInd/>
              <w:jc w:val="center"/>
              <w:rPr>
                <w:bCs/>
                <w:color w:val="000000"/>
                <w:sz w:val="20"/>
                <w:szCs w:val="20"/>
              </w:rPr>
            </w:pPr>
            <w:r w:rsidRPr="007C51D6">
              <w:rPr>
                <w:bCs/>
                <w:color w:val="000000"/>
                <w:sz w:val="20"/>
                <w:szCs w:val="20"/>
              </w:rPr>
              <w:t>данных</w:t>
            </w:r>
          </w:p>
        </w:tc>
      </w:tr>
      <w:tr w:rsidR="001E3FBE" w:rsidRPr="007C51D6" w:rsidTr="00B93D5E">
        <w:trPr>
          <w:cantSplit/>
          <w:trHeight w:val="20"/>
          <w:jc w:val="center"/>
        </w:trPr>
        <w:tc>
          <w:tcPr>
            <w:tcW w:w="3539" w:type="dxa"/>
            <w:shd w:val="clear" w:color="auto" w:fill="auto"/>
            <w:noWrap/>
          </w:tcPr>
          <w:p w:rsidR="001E3FBE" w:rsidRPr="007C51D6" w:rsidRDefault="00B41962" w:rsidP="001E3FBE">
            <w:pPr>
              <w:autoSpaceDE/>
              <w:autoSpaceDN/>
              <w:adjustRightInd/>
              <w:jc w:val="both"/>
              <w:rPr>
                <w:rFonts w:eastAsia="Arial"/>
                <w:bCs/>
                <w:sz w:val="20"/>
                <w:szCs w:val="20"/>
              </w:rPr>
            </w:pPr>
            <w:hyperlink r:id="rId34" w:history="1">
              <w:r w:rsidR="001E3FBE" w:rsidRPr="007C51D6">
                <w:rPr>
                  <w:rFonts w:eastAsia="Arial"/>
                  <w:bCs/>
                  <w:sz w:val="20"/>
                  <w:szCs w:val="20"/>
                </w:rPr>
                <w:t>миелодиспластические синдромы</w:t>
              </w:r>
            </w:hyperlink>
          </w:p>
        </w:tc>
        <w:tc>
          <w:tcPr>
            <w:tcW w:w="1276" w:type="dxa"/>
            <w:shd w:val="clear" w:color="auto" w:fill="auto"/>
            <w:noWrap/>
          </w:tcPr>
          <w:p w:rsidR="001E3FBE" w:rsidRPr="007C51D6" w:rsidRDefault="001E3FBE" w:rsidP="001E3FBE">
            <w:pPr>
              <w:autoSpaceDE/>
              <w:autoSpaceDN/>
              <w:adjustRightInd/>
              <w:jc w:val="center"/>
              <w:rPr>
                <w:rFonts w:eastAsia="Arial"/>
                <w:sz w:val="20"/>
                <w:szCs w:val="20"/>
              </w:rPr>
            </w:pPr>
            <w:r w:rsidRPr="007C51D6">
              <w:rPr>
                <w:rFonts w:eastAsia="Arial"/>
                <w:sz w:val="20"/>
                <w:szCs w:val="20"/>
              </w:rPr>
              <w:t>D46</w:t>
            </w:r>
          </w:p>
        </w:tc>
        <w:tc>
          <w:tcPr>
            <w:tcW w:w="1303" w:type="dxa"/>
          </w:tcPr>
          <w:p w:rsidR="001E3FBE" w:rsidRPr="007C51D6" w:rsidRDefault="001E3FBE" w:rsidP="001E3FBE">
            <w:pPr>
              <w:autoSpaceDE/>
              <w:autoSpaceDN/>
              <w:adjustRightInd/>
              <w:jc w:val="center"/>
              <w:rPr>
                <w:bCs/>
                <w:color w:val="000000"/>
                <w:sz w:val="20"/>
                <w:szCs w:val="20"/>
              </w:rPr>
            </w:pPr>
            <w:r w:rsidRPr="007C51D6">
              <w:rPr>
                <w:bCs/>
                <w:color w:val="000000"/>
                <w:sz w:val="20"/>
                <w:szCs w:val="20"/>
              </w:rPr>
              <w:t>нет</w:t>
            </w:r>
          </w:p>
          <w:p w:rsidR="001E3FBE" w:rsidRPr="007C51D6" w:rsidRDefault="001E3FBE" w:rsidP="001E3FBE">
            <w:pPr>
              <w:autoSpaceDE/>
              <w:autoSpaceDN/>
              <w:adjustRightInd/>
              <w:jc w:val="center"/>
              <w:rPr>
                <w:bCs/>
                <w:color w:val="000000"/>
                <w:sz w:val="20"/>
                <w:szCs w:val="20"/>
              </w:rPr>
            </w:pPr>
            <w:r w:rsidRPr="007C51D6">
              <w:rPr>
                <w:bCs/>
                <w:color w:val="000000"/>
                <w:sz w:val="20"/>
                <w:szCs w:val="20"/>
              </w:rPr>
              <w:t>данных</w:t>
            </w:r>
          </w:p>
        </w:tc>
        <w:tc>
          <w:tcPr>
            <w:tcW w:w="1134" w:type="dxa"/>
          </w:tcPr>
          <w:p w:rsidR="001E3FBE" w:rsidRPr="007C51D6" w:rsidRDefault="001E3FBE" w:rsidP="001E3FBE">
            <w:pPr>
              <w:autoSpaceDE/>
              <w:autoSpaceDN/>
              <w:adjustRightInd/>
              <w:jc w:val="center"/>
              <w:rPr>
                <w:bCs/>
                <w:color w:val="000000"/>
                <w:sz w:val="20"/>
                <w:szCs w:val="20"/>
              </w:rPr>
            </w:pPr>
            <w:r w:rsidRPr="007C51D6">
              <w:rPr>
                <w:bCs/>
                <w:color w:val="000000"/>
                <w:sz w:val="20"/>
                <w:szCs w:val="20"/>
              </w:rPr>
              <w:t>нет</w:t>
            </w:r>
          </w:p>
          <w:p w:rsidR="001E3FBE" w:rsidRPr="007C51D6" w:rsidRDefault="001E3FBE" w:rsidP="001E3FBE">
            <w:pPr>
              <w:autoSpaceDE/>
              <w:autoSpaceDN/>
              <w:adjustRightInd/>
              <w:jc w:val="center"/>
              <w:rPr>
                <w:bCs/>
                <w:color w:val="000000"/>
                <w:sz w:val="20"/>
                <w:szCs w:val="20"/>
              </w:rPr>
            </w:pPr>
            <w:r w:rsidRPr="007C51D6">
              <w:rPr>
                <w:bCs/>
                <w:color w:val="000000"/>
                <w:sz w:val="20"/>
                <w:szCs w:val="20"/>
              </w:rPr>
              <w:t>данных</w:t>
            </w:r>
          </w:p>
        </w:tc>
        <w:tc>
          <w:tcPr>
            <w:tcW w:w="1361" w:type="dxa"/>
          </w:tcPr>
          <w:p w:rsidR="001E3FBE" w:rsidRPr="007C51D6" w:rsidRDefault="001E3FBE" w:rsidP="001E3FBE">
            <w:pPr>
              <w:autoSpaceDE/>
              <w:autoSpaceDN/>
              <w:adjustRightInd/>
              <w:jc w:val="center"/>
              <w:rPr>
                <w:bCs/>
                <w:color w:val="000000"/>
                <w:sz w:val="20"/>
                <w:szCs w:val="20"/>
              </w:rPr>
            </w:pPr>
            <w:r w:rsidRPr="007C51D6">
              <w:rPr>
                <w:bCs/>
                <w:color w:val="000000"/>
                <w:sz w:val="20"/>
                <w:szCs w:val="20"/>
              </w:rPr>
              <w:t>нет</w:t>
            </w:r>
          </w:p>
          <w:p w:rsidR="001E3FBE" w:rsidRPr="007C51D6" w:rsidRDefault="001E3FBE" w:rsidP="001E3FBE">
            <w:pPr>
              <w:autoSpaceDE/>
              <w:autoSpaceDN/>
              <w:adjustRightInd/>
              <w:jc w:val="center"/>
              <w:rPr>
                <w:bCs/>
                <w:color w:val="000000"/>
                <w:sz w:val="20"/>
                <w:szCs w:val="20"/>
              </w:rPr>
            </w:pPr>
            <w:r w:rsidRPr="007C51D6">
              <w:rPr>
                <w:bCs/>
                <w:color w:val="000000"/>
                <w:sz w:val="20"/>
                <w:szCs w:val="20"/>
              </w:rPr>
              <w:t>данных</w:t>
            </w:r>
          </w:p>
        </w:tc>
        <w:tc>
          <w:tcPr>
            <w:tcW w:w="992" w:type="dxa"/>
          </w:tcPr>
          <w:p w:rsidR="001E3FBE" w:rsidRPr="007C51D6" w:rsidRDefault="001E3FBE" w:rsidP="001E3FBE">
            <w:pPr>
              <w:jc w:val="center"/>
              <w:rPr>
                <w:color w:val="000000"/>
                <w:sz w:val="20"/>
                <w:szCs w:val="20"/>
              </w:rPr>
            </w:pPr>
            <w:r w:rsidRPr="007C51D6">
              <w:rPr>
                <w:color w:val="000000"/>
                <w:sz w:val="20"/>
                <w:szCs w:val="20"/>
              </w:rPr>
              <w:t>0,26</w:t>
            </w:r>
          </w:p>
        </w:tc>
        <w:tc>
          <w:tcPr>
            <w:tcW w:w="851" w:type="dxa"/>
          </w:tcPr>
          <w:p w:rsidR="001E3FBE" w:rsidRPr="007C51D6" w:rsidRDefault="001E3FBE" w:rsidP="001E3FBE">
            <w:pPr>
              <w:jc w:val="center"/>
              <w:rPr>
                <w:color w:val="000000"/>
                <w:sz w:val="20"/>
                <w:szCs w:val="20"/>
              </w:rPr>
            </w:pPr>
            <w:r w:rsidRPr="007C51D6">
              <w:rPr>
                <w:color w:val="000000"/>
                <w:sz w:val="20"/>
                <w:szCs w:val="20"/>
              </w:rPr>
              <w:t>0,31</w:t>
            </w:r>
          </w:p>
        </w:tc>
        <w:tc>
          <w:tcPr>
            <w:tcW w:w="850" w:type="dxa"/>
          </w:tcPr>
          <w:p w:rsidR="001E3FBE" w:rsidRPr="007C51D6" w:rsidRDefault="001E3FBE" w:rsidP="001E3FBE">
            <w:pPr>
              <w:jc w:val="center"/>
              <w:rPr>
                <w:color w:val="000000"/>
                <w:sz w:val="20"/>
                <w:szCs w:val="20"/>
              </w:rPr>
            </w:pPr>
            <w:r w:rsidRPr="007C51D6">
              <w:rPr>
                <w:color w:val="000000"/>
                <w:sz w:val="20"/>
                <w:szCs w:val="20"/>
              </w:rPr>
              <w:t>0,28</w:t>
            </w:r>
          </w:p>
        </w:tc>
        <w:tc>
          <w:tcPr>
            <w:tcW w:w="851" w:type="dxa"/>
          </w:tcPr>
          <w:p w:rsidR="001E3FBE" w:rsidRPr="007C51D6" w:rsidRDefault="001E3FBE" w:rsidP="001E3FBE">
            <w:pPr>
              <w:jc w:val="center"/>
              <w:rPr>
                <w:color w:val="000000"/>
                <w:sz w:val="20"/>
                <w:szCs w:val="20"/>
              </w:rPr>
            </w:pPr>
            <w:r w:rsidRPr="007C51D6">
              <w:rPr>
                <w:color w:val="000000"/>
                <w:sz w:val="20"/>
                <w:szCs w:val="20"/>
              </w:rPr>
              <w:t>0,35</w:t>
            </w:r>
          </w:p>
        </w:tc>
        <w:tc>
          <w:tcPr>
            <w:tcW w:w="829" w:type="dxa"/>
          </w:tcPr>
          <w:p w:rsidR="001E3FBE" w:rsidRPr="007C51D6" w:rsidRDefault="001E3FBE" w:rsidP="001E3FBE">
            <w:pPr>
              <w:jc w:val="center"/>
              <w:rPr>
                <w:color w:val="000000"/>
                <w:sz w:val="20"/>
                <w:szCs w:val="20"/>
              </w:rPr>
            </w:pPr>
            <w:r w:rsidRPr="007C51D6">
              <w:rPr>
                <w:color w:val="000000"/>
                <w:sz w:val="20"/>
                <w:szCs w:val="20"/>
              </w:rPr>
              <w:t>0,12</w:t>
            </w:r>
          </w:p>
        </w:tc>
        <w:tc>
          <w:tcPr>
            <w:tcW w:w="907" w:type="dxa"/>
          </w:tcPr>
          <w:p w:rsidR="001E3FBE" w:rsidRPr="007C51D6" w:rsidRDefault="001E3FBE" w:rsidP="001E3FBE">
            <w:pPr>
              <w:jc w:val="center"/>
              <w:rPr>
                <w:color w:val="000000"/>
                <w:sz w:val="20"/>
                <w:szCs w:val="20"/>
              </w:rPr>
            </w:pPr>
            <w:r w:rsidRPr="007C51D6">
              <w:rPr>
                <w:color w:val="000000"/>
                <w:sz w:val="20"/>
                <w:szCs w:val="20"/>
              </w:rPr>
              <w:t>0,20</w:t>
            </w:r>
          </w:p>
        </w:tc>
        <w:tc>
          <w:tcPr>
            <w:tcW w:w="907" w:type="dxa"/>
          </w:tcPr>
          <w:p w:rsidR="001E3FBE" w:rsidRPr="007C51D6" w:rsidRDefault="001E3FBE" w:rsidP="001E3FBE">
            <w:pPr>
              <w:autoSpaceDE/>
              <w:autoSpaceDN/>
              <w:adjustRightInd/>
              <w:jc w:val="center"/>
              <w:rPr>
                <w:bCs/>
                <w:color w:val="000000"/>
                <w:sz w:val="20"/>
                <w:szCs w:val="20"/>
              </w:rPr>
            </w:pPr>
            <w:r w:rsidRPr="007C51D6">
              <w:rPr>
                <w:bCs/>
                <w:color w:val="000000"/>
                <w:sz w:val="20"/>
                <w:szCs w:val="20"/>
              </w:rPr>
              <w:t>нет</w:t>
            </w:r>
          </w:p>
          <w:p w:rsidR="001E3FBE" w:rsidRPr="007C51D6" w:rsidRDefault="001E3FBE" w:rsidP="001E3FBE">
            <w:pPr>
              <w:autoSpaceDE/>
              <w:autoSpaceDN/>
              <w:adjustRightInd/>
              <w:jc w:val="center"/>
              <w:rPr>
                <w:bCs/>
                <w:color w:val="000000"/>
                <w:sz w:val="20"/>
                <w:szCs w:val="20"/>
              </w:rPr>
            </w:pPr>
            <w:r w:rsidRPr="007C51D6">
              <w:rPr>
                <w:bCs/>
                <w:color w:val="000000"/>
                <w:sz w:val="20"/>
                <w:szCs w:val="20"/>
              </w:rPr>
              <w:t>данных</w:t>
            </w:r>
          </w:p>
        </w:tc>
      </w:tr>
      <w:tr w:rsidR="001E3FBE" w:rsidRPr="007C51D6" w:rsidTr="00B93D5E">
        <w:trPr>
          <w:cantSplit/>
          <w:trHeight w:val="20"/>
          <w:jc w:val="center"/>
        </w:trPr>
        <w:tc>
          <w:tcPr>
            <w:tcW w:w="3539" w:type="dxa"/>
            <w:shd w:val="clear" w:color="auto" w:fill="auto"/>
            <w:noWrap/>
          </w:tcPr>
          <w:p w:rsidR="001E3FBE" w:rsidRPr="007C51D6" w:rsidRDefault="00B41962" w:rsidP="001E3FBE">
            <w:pPr>
              <w:autoSpaceDE/>
              <w:autoSpaceDN/>
              <w:adjustRightInd/>
              <w:jc w:val="both"/>
              <w:rPr>
                <w:rFonts w:eastAsia="Arial"/>
                <w:bCs/>
                <w:sz w:val="20"/>
                <w:szCs w:val="20"/>
              </w:rPr>
            </w:pPr>
            <w:hyperlink r:id="rId35" w:history="1">
              <w:r w:rsidR="001E3FBE" w:rsidRPr="007C51D6">
                <w:rPr>
                  <w:rFonts w:eastAsia="Arial"/>
                  <w:bCs/>
                  <w:sz w:val="20"/>
                  <w:szCs w:val="20"/>
                </w:rPr>
                <w:t>другие новообразования неопределенного или неизвестного характера лимфоидной, кроветворной и родственных им тканей</w:t>
              </w:r>
            </w:hyperlink>
          </w:p>
        </w:tc>
        <w:tc>
          <w:tcPr>
            <w:tcW w:w="1276" w:type="dxa"/>
            <w:shd w:val="clear" w:color="auto" w:fill="auto"/>
            <w:noWrap/>
          </w:tcPr>
          <w:p w:rsidR="001E3FBE" w:rsidRPr="007C51D6" w:rsidRDefault="001E3FBE" w:rsidP="001E3FBE">
            <w:pPr>
              <w:autoSpaceDE/>
              <w:autoSpaceDN/>
              <w:adjustRightInd/>
              <w:jc w:val="center"/>
              <w:rPr>
                <w:rFonts w:eastAsia="Arial"/>
                <w:sz w:val="20"/>
                <w:szCs w:val="20"/>
              </w:rPr>
            </w:pPr>
            <w:r w:rsidRPr="007C51D6">
              <w:rPr>
                <w:rFonts w:eastAsia="Arial"/>
                <w:sz w:val="20"/>
                <w:szCs w:val="20"/>
              </w:rPr>
              <w:t>D47</w:t>
            </w:r>
          </w:p>
        </w:tc>
        <w:tc>
          <w:tcPr>
            <w:tcW w:w="1303" w:type="dxa"/>
          </w:tcPr>
          <w:p w:rsidR="001E3FBE" w:rsidRPr="007C51D6" w:rsidRDefault="001E3FBE" w:rsidP="001E3FBE">
            <w:pPr>
              <w:autoSpaceDE/>
              <w:autoSpaceDN/>
              <w:adjustRightInd/>
              <w:jc w:val="center"/>
              <w:rPr>
                <w:bCs/>
                <w:color w:val="000000"/>
                <w:sz w:val="20"/>
                <w:szCs w:val="20"/>
              </w:rPr>
            </w:pPr>
            <w:r w:rsidRPr="007C51D6">
              <w:rPr>
                <w:bCs/>
                <w:color w:val="000000"/>
                <w:sz w:val="20"/>
                <w:szCs w:val="20"/>
              </w:rPr>
              <w:t>нет</w:t>
            </w:r>
          </w:p>
          <w:p w:rsidR="001E3FBE" w:rsidRPr="007C51D6" w:rsidRDefault="001E3FBE" w:rsidP="001E3FBE">
            <w:pPr>
              <w:autoSpaceDE/>
              <w:autoSpaceDN/>
              <w:adjustRightInd/>
              <w:jc w:val="center"/>
              <w:rPr>
                <w:bCs/>
                <w:color w:val="000000"/>
                <w:sz w:val="20"/>
                <w:szCs w:val="20"/>
              </w:rPr>
            </w:pPr>
            <w:r w:rsidRPr="007C51D6">
              <w:rPr>
                <w:bCs/>
                <w:color w:val="000000"/>
                <w:sz w:val="20"/>
                <w:szCs w:val="20"/>
              </w:rPr>
              <w:t>данных</w:t>
            </w:r>
          </w:p>
        </w:tc>
        <w:tc>
          <w:tcPr>
            <w:tcW w:w="1134" w:type="dxa"/>
          </w:tcPr>
          <w:p w:rsidR="001E3FBE" w:rsidRPr="007C51D6" w:rsidRDefault="001E3FBE" w:rsidP="001E3FBE">
            <w:pPr>
              <w:autoSpaceDE/>
              <w:autoSpaceDN/>
              <w:adjustRightInd/>
              <w:jc w:val="center"/>
              <w:rPr>
                <w:bCs/>
                <w:color w:val="000000"/>
                <w:sz w:val="20"/>
                <w:szCs w:val="20"/>
              </w:rPr>
            </w:pPr>
            <w:r w:rsidRPr="007C51D6">
              <w:rPr>
                <w:bCs/>
                <w:color w:val="000000"/>
                <w:sz w:val="20"/>
                <w:szCs w:val="20"/>
              </w:rPr>
              <w:t>нет</w:t>
            </w:r>
          </w:p>
          <w:p w:rsidR="001E3FBE" w:rsidRPr="007C51D6" w:rsidRDefault="001E3FBE" w:rsidP="001E3FBE">
            <w:pPr>
              <w:autoSpaceDE/>
              <w:autoSpaceDN/>
              <w:adjustRightInd/>
              <w:jc w:val="center"/>
              <w:rPr>
                <w:bCs/>
                <w:color w:val="000000"/>
                <w:sz w:val="20"/>
                <w:szCs w:val="20"/>
              </w:rPr>
            </w:pPr>
            <w:r w:rsidRPr="007C51D6">
              <w:rPr>
                <w:bCs/>
                <w:color w:val="000000"/>
                <w:sz w:val="20"/>
                <w:szCs w:val="20"/>
              </w:rPr>
              <w:t>данных</w:t>
            </w:r>
          </w:p>
        </w:tc>
        <w:tc>
          <w:tcPr>
            <w:tcW w:w="1361" w:type="dxa"/>
          </w:tcPr>
          <w:p w:rsidR="001E3FBE" w:rsidRPr="007C51D6" w:rsidRDefault="001E3FBE" w:rsidP="001E3FBE">
            <w:pPr>
              <w:autoSpaceDE/>
              <w:autoSpaceDN/>
              <w:adjustRightInd/>
              <w:jc w:val="center"/>
              <w:rPr>
                <w:bCs/>
                <w:color w:val="000000"/>
                <w:sz w:val="20"/>
                <w:szCs w:val="20"/>
              </w:rPr>
            </w:pPr>
            <w:r w:rsidRPr="007C51D6">
              <w:rPr>
                <w:bCs/>
                <w:color w:val="000000"/>
                <w:sz w:val="20"/>
                <w:szCs w:val="20"/>
              </w:rPr>
              <w:t>нет</w:t>
            </w:r>
          </w:p>
          <w:p w:rsidR="001E3FBE" w:rsidRPr="007C51D6" w:rsidRDefault="001E3FBE" w:rsidP="001E3FBE">
            <w:pPr>
              <w:autoSpaceDE/>
              <w:autoSpaceDN/>
              <w:adjustRightInd/>
              <w:jc w:val="center"/>
              <w:rPr>
                <w:bCs/>
                <w:color w:val="000000"/>
                <w:sz w:val="20"/>
                <w:szCs w:val="20"/>
              </w:rPr>
            </w:pPr>
            <w:r w:rsidRPr="007C51D6">
              <w:rPr>
                <w:bCs/>
                <w:color w:val="000000"/>
                <w:sz w:val="20"/>
                <w:szCs w:val="20"/>
              </w:rPr>
              <w:t>данных</w:t>
            </w:r>
          </w:p>
        </w:tc>
        <w:tc>
          <w:tcPr>
            <w:tcW w:w="992" w:type="dxa"/>
          </w:tcPr>
          <w:p w:rsidR="001E3FBE" w:rsidRPr="007C51D6" w:rsidRDefault="001E3FBE" w:rsidP="001E3FBE">
            <w:pPr>
              <w:jc w:val="center"/>
              <w:rPr>
                <w:color w:val="000000"/>
                <w:sz w:val="20"/>
                <w:szCs w:val="20"/>
              </w:rPr>
            </w:pPr>
            <w:r w:rsidRPr="007C51D6">
              <w:rPr>
                <w:color w:val="000000"/>
                <w:sz w:val="20"/>
                <w:szCs w:val="20"/>
              </w:rPr>
              <w:t>0,23</w:t>
            </w:r>
          </w:p>
        </w:tc>
        <w:tc>
          <w:tcPr>
            <w:tcW w:w="851" w:type="dxa"/>
          </w:tcPr>
          <w:p w:rsidR="001E3FBE" w:rsidRPr="007C51D6" w:rsidRDefault="001E3FBE" w:rsidP="001E3FBE">
            <w:pPr>
              <w:jc w:val="center"/>
              <w:rPr>
                <w:color w:val="000000"/>
                <w:sz w:val="20"/>
                <w:szCs w:val="20"/>
              </w:rPr>
            </w:pPr>
            <w:r w:rsidRPr="007C51D6">
              <w:rPr>
                <w:color w:val="000000"/>
                <w:sz w:val="20"/>
                <w:szCs w:val="20"/>
              </w:rPr>
              <w:t>0,18</w:t>
            </w:r>
          </w:p>
        </w:tc>
        <w:tc>
          <w:tcPr>
            <w:tcW w:w="850" w:type="dxa"/>
          </w:tcPr>
          <w:p w:rsidR="001E3FBE" w:rsidRPr="007C51D6" w:rsidRDefault="001E3FBE" w:rsidP="001E3FBE">
            <w:pPr>
              <w:jc w:val="center"/>
              <w:rPr>
                <w:color w:val="000000"/>
                <w:sz w:val="20"/>
                <w:szCs w:val="20"/>
              </w:rPr>
            </w:pPr>
            <w:r w:rsidRPr="007C51D6">
              <w:rPr>
                <w:color w:val="000000"/>
                <w:sz w:val="20"/>
                <w:szCs w:val="20"/>
              </w:rPr>
              <w:t>0,15</w:t>
            </w:r>
          </w:p>
        </w:tc>
        <w:tc>
          <w:tcPr>
            <w:tcW w:w="851" w:type="dxa"/>
          </w:tcPr>
          <w:p w:rsidR="001E3FBE" w:rsidRPr="007C51D6" w:rsidRDefault="001E3FBE" w:rsidP="001E3FBE">
            <w:pPr>
              <w:jc w:val="center"/>
              <w:rPr>
                <w:color w:val="000000"/>
                <w:sz w:val="20"/>
                <w:szCs w:val="20"/>
              </w:rPr>
            </w:pPr>
            <w:r w:rsidRPr="007C51D6">
              <w:rPr>
                <w:color w:val="000000"/>
                <w:sz w:val="20"/>
                <w:szCs w:val="20"/>
              </w:rPr>
              <w:t>0,35</w:t>
            </w:r>
          </w:p>
        </w:tc>
        <w:tc>
          <w:tcPr>
            <w:tcW w:w="829" w:type="dxa"/>
          </w:tcPr>
          <w:p w:rsidR="001E3FBE" w:rsidRPr="007C51D6" w:rsidRDefault="001E3FBE" w:rsidP="001E3FBE">
            <w:pPr>
              <w:jc w:val="center"/>
              <w:rPr>
                <w:color w:val="000000"/>
                <w:sz w:val="20"/>
                <w:szCs w:val="20"/>
              </w:rPr>
            </w:pPr>
            <w:r w:rsidRPr="007C51D6">
              <w:rPr>
                <w:color w:val="000000"/>
                <w:sz w:val="20"/>
                <w:szCs w:val="20"/>
              </w:rPr>
              <w:t>0,32</w:t>
            </w:r>
          </w:p>
        </w:tc>
        <w:tc>
          <w:tcPr>
            <w:tcW w:w="907" w:type="dxa"/>
          </w:tcPr>
          <w:p w:rsidR="001E3FBE" w:rsidRPr="007C51D6" w:rsidRDefault="001E3FBE" w:rsidP="001E3FBE">
            <w:pPr>
              <w:jc w:val="center"/>
              <w:rPr>
                <w:color w:val="000000"/>
                <w:sz w:val="20"/>
                <w:szCs w:val="20"/>
              </w:rPr>
            </w:pPr>
            <w:r w:rsidRPr="007C51D6">
              <w:rPr>
                <w:color w:val="000000"/>
                <w:sz w:val="20"/>
                <w:szCs w:val="20"/>
              </w:rPr>
              <w:t>0,27</w:t>
            </w:r>
          </w:p>
        </w:tc>
        <w:tc>
          <w:tcPr>
            <w:tcW w:w="907" w:type="dxa"/>
          </w:tcPr>
          <w:p w:rsidR="001E3FBE" w:rsidRPr="007C51D6" w:rsidRDefault="001E3FBE" w:rsidP="001E3FBE">
            <w:pPr>
              <w:autoSpaceDE/>
              <w:autoSpaceDN/>
              <w:adjustRightInd/>
              <w:jc w:val="center"/>
              <w:rPr>
                <w:bCs/>
                <w:color w:val="000000"/>
                <w:sz w:val="20"/>
                <w:szCs w:val="20"/>
              </w:rPr>
            </w:pPr>
            <w:r w:rsidRPr="007C51D6">
              <w:rPr>
                <w:bCs/>
                <w:color w:val="000000"/>
                <w:sz w:val="20"/>
                <w:szCs w:val="20"/>
              </w:rPr>
              <w:t>нет</w:t>
            </w:r>
          </w:p>
          <w:p w:rsidR="001E3FBE" w:rsidRPr="007C51D6" w:rsidRDefault="001E3FBE" w:rsidP="001E3FBE">
            <w:pPr>
              <w:autoSpaceDE/>
              <w:autoSpaceDN/>
              <w:adjustRightInd/>
              <w:jc w:val="center"/>
              <w:rPr>
                <w:bCs/>
                <w:color w:val="000000"/>
                <w:sz w:val="20"/>
                <w:szCs w:val="20"/>
              </w:rPr>
            </w:pPr>
            <w:r w:rsidRPr="007C51D6">
              <w:rPr>
                <w:bCs/>
                <w:color w:val="000000"/>
                <w:sz w:val="20"/>
                <w:szCs w:val="20"/>
              </w:rPr>
              <w:t>данных</w:t>
            </w:r>
          </w:p>
        </w:tc>
      </w:tr>
      <w:tr w:rsidR="001E3FBE" w:rsidRPr="007C51D6" w:rsidTr="00B93D5E">
        <w:trPr>
          <w:cantSplit/>
          <w:trHeight w:val="20"/>
          <w:jc w:val="center"/>
        </w:trPr>
        <w:tc>
          <w:tcPr>
            <w:tcW w:w="3539" w:type="dxa"/>
            <w:shd w:val="clear" w:color="auto" w:fill="auto"/>
            <w:noWrap/>
          </w:tcPr>
          <w:p w:rsidR="001E3FBE" w:rsidRPr="007C51D6" w:rsidRDefault="00B41962" w:rsidP="001E3FBE">
            <w:pPr>
              <w:autoSpaceDE/>
              <w:autoSpaceDN/>
              <w:adjustRightInd/>
              <w:jc w:val="both"/>
              <w:rPr>
                <w:rFonts w:eastAsia="Arial"/>
                <w:bCs/>
                <w:sz w:val="20"/>
                <w:szCs w:val="20"/>
              </w:rPr>
            </w:pPr>
            <w:hyperlink r:id="rId36" w:history="1">
              <w:r w:rsidR="001E3FBE" w:rsidRPr="007C51D6">
                <w:rPr>
                  <w:rFonts w:eastAsia="Arial"/>
                  <w:bCs/>
                  <w:sz w:val="20"/>
                  <w:szCs w:val="20"/>
                </w:rPr>
                <w:t>новообразование неопределенного или неизвестного характера других и неуточненных локализаций</w:t>
              </w:r>
            </w:hyperlink>
          </w:p>
        </w:tc>
        <w:tc>
          <w:tcPr>
            <w:tcW w:w="1276" w:type="dxa"/>
            <w:shd w:val="clear" w:color="auto" w:fill="auto"/>
            <w:noWrap/>
          </w:tcPr>
          <w:p w:rsidR="001E3FBE" w:rsidRPr="007C51D6" w:rsidRDefault="001E3FBE" w:rsidP="001E3FBE">
            <w:pPr>
              <w:autoSpaceDE/>
              <w:autoSpaceDN/>
              <w:adjustRightInd/>
              <w:jc w:val="center"/>
              <w:rPr>
                <w:rFonts w:eastAsia="Arial"/>
                <w:sz w:val="20"/>
                <w:szCs w:val="20"/>
              </w:rPr>
            </w:pPr>
            <w:r w:rsidRPr="007C51D6">
              <w:rPr>
                <w:rFonts w:eastAsia="Arial"/>
                <w:sz w:val="20"/>
                <w:szCs w:val="20"/>
              </w:rPr>
              <w:t>D48</w:t>
            </w:r>
          </w:p>
        </w:tc>
        <w:tc>
          <w:tcPr>
            <w:tcW w:w="1303" w:type="dxa"/>
          </w:tcPr>
          <w:p w:rsidR="001E3FBE" w:rsidRPr="007C51D6" w:rsidRDefault="001E3FBE" w:rsidP="001E3FBE">
            <w:pPr>
              <w:autoSpaceDE/>
              <w:autoSpaceDN/>
              <w:adjustRightInd/>
              <w:jc w:val="center"/>
              <w:rPr>
                <w:bCs/>
                <w:color w:val="000000"/>
                <w:sz w:val="20"/>
                <w:szCs w:val="20"/>
              </w:rPr>
            </w:pPr>
            <w:r w:rsidRPr="007C51D6">
              <w:rPr>
                <w:bCs/>
                <w:color w:val="000000"/>
                <w:sz w:val="20"/>
                <w:szCs w:val="20"/>
              </w:rPr>
              <w:t>нет</w:t>
            </w:r>
          </w:p>
          <w:p w:rsidR="001E3FBE" w:rsidRPr="007C51D6" w:rsidRDefault="001E3FBE" w:rsidP="001E3FBE">
            <w:pPr>
              <w:autoSpaceDE/>
              <w:autoSpaceDN/>
              <w:adjustRightInd/>
              <w:jc w:val="center"/>
              <w:rPr>
                <w:bCs/>
                <w:color w:val="000000"/>
                <w:sz w:val="20"/>
                <w:szCs w:val="20"/>
              </w:rPr>
            </w:pPr>
            <w:r w:rsidRPr="007C51D6">
              <w:rPr>
                <w:bCs/>
                <w:color w:val="000000"/>
                <w:sz w:val="20"/>
                <w:szCs w:val="20"/>
              </w:rPr>
              <w:t>данных</w:t>
            </w:r>
          </w:p>
        </w:tc>
        <w:tc>
          <w:tcPr>
            <w:tcW w:w="1134" w:type="dxa"/>
          </w:tcPr>
          <w:p w:rsidR="001E3FBE" w:rsidRPr="007C51D6" w:rsidRDefault="001E3FBE" w:rsidP="001E3FBE">
            <w:pPr>
              <w:autoSpaceDE/>
              <w:autoSpaceDN/>
              <w:adjustRightInd/>
              <w:jc w:val="center"/>
              <w:rPr>
                <w:bCs/>
                <w:color w:val="000000"/>
                <w:sz w:val="20"/>
                <w:szCs w:val="20"/>
              </w:rPr>
            </w:pPr>
            <w:r w:rsidRPr="007C51D6">
              <w:rPr>
                <w:bCs/>
                <w:color w:val="000000"/>
                <w:sz w:val="20"/>
                <w:szCs w:val="20"/>
              </w:rPr>
              <w:t>нет</w:t>
            </w:r>
          </w:p>
          <w:p w:rsidR="001E3FBE" w:rsidRPr="007C51D6" w:rsidRDefault="001E3FBE" w:rsidP="001E3FBE">
            <w:pPr>
              <w:autoSpaceDE/>
              <w:autoSpaceDN/>
              <w:adjustRightInd/>
              <w:jc w:val="center"/>
              <w:rPr>
                <w:bCs/>
                <w:color w:val="000000"/>
                <w:sz w:val="20"/>
                <w:szCs w:val="20"/>
              </w:rPr>
            </w:pPr>
            <w:r w:rsidRPr="007C51D6">
              <w:rPr>
                <w:bCs/>
                <w:color w:val="000000"/>
                <w:sz w:val="20"/>
                <w:szCs w:val="20"/>
              </w:rPr>
              <w:t>данных</w:t>
            </w:r>
          </w:p>
        </w:tc>
        <w:tc>
          <w:tcPr>
            <w:tcW w:w="1361" w:type="dxa"/>
          </w:tcPr>
          <w:p w:rsidR="001E3FBE" w:rsidRPr="007C51D6" w:rsidRDefault="001E3FBE" w:rsidP="001E3FBE">
            <w:pPr>
              <w:autoSpaceDE/>
              <w:autoSpaceDN/>
              <w:adjustRightInd/>
              <w:jc w:val="center"/>
              <w:rPr>
                <w:bCs/>
                <w:color w:val="000000"/>
                <w:sz w:val="20"/>
                <w:szCs w:val="20"/>
              </w:rPr>
            </w:pPr>
            <w:r w:rsidRPr="007C51D6">
              <w:rPr>
                <w:bCs/>
                <w:color w:val="000000"/>
                <w:sz w:val="20"/>
                <w:szCs w:val="20"/>
              </w:rPr>
              <w:t>нет</w:t>
            </w:r>
          </w:p>
          <w:p w:rsidR="001E3FBE" w:rsidRPr="007C51D6" w:rsidRDefault="001E3FBE" w:rsidP="001E3FBE">
            <w:pPr>
              <w:autoSpaceDE/>
              <w:autoSpaceDN/>
              <w:adjustRightInd/>
              <w:jc w:val="center"/>
              <w:rPr>
                <w:bCs/>
                <w:color w:val="000000"/>
                <w:sz w:val="20"/>
                <w:szCs w:val="20"/>
              </w:rPr>
            </w:pPr>
            <w:r w:rsidRPr="007C51D6">
              <w:rPr>
                <w:bCs/>
                <w:color w:val="000000"/>
                <w:sz w:val="20"/>
                <w:szCs w:val="20"/>
              </w:rPr>
              <w:t>данных</w:t>
            </w:r>
          </w:p>
        </w:tc>
        <w:tc>
          <w:tcPr>
            <w:tcW w:w="992" w:type="dxa"/>
          </w:tcPr>
          <w:p w:rsidR="001E3FBE" w:rsidRPr="007C51D6" w:rsidRDefault="001E3FBE" w:rsidP="001E3FBE">
            <w:pPr>
              <w:jc w:val="center"/>
              <w:rPr>
                <w:color w:val="000000"/>
                <w:sz w:val="20"/>
                <w:szCs w:val="20"/>
              </w:rPr>
            </w:pPr>
            <w:r w:rsidRPr="007C51D6">
              <w:rPr>
                <w:color w:val="000000"/>
                <w:sz w:val="20"/>
                <w:szCs w:val="20"/>
              </w:rPr>
              <w:t>0,03</w:t>
            </w:r>
          </w:p>
        </w:tc>
        <w:tc>
          <w:tcPr>
            <w:tcW w:w="851" w:type="dxa"/>
          </w:tcPr>
          <w:p w:rsidR="001E3FBE" w:rsidRPr="007C51D6" w:rsidRDefault="001E3FBE" w:rsidP="001E3FBE">
            <w:pPr>
              <w:jc w:val="center"/>
              <w:rPr>
                <w:color w:val="000000"/>
                <w:sz w:val="20"/>
                <w:szCs w:val="20"/>
              </w:rPr>
            </w:pPr>
            <w:r w:rsidRPr="007C51D6">
              <w:rPr>
                <w:color w:val="000000"/>
                <w:sz w:val="20"/>
                <w:szCs w:val="20"/>
              </w:rPr>
              <w:t>0,03</w:t>
            </w:r>
          </w:p>
        </w:tc>
        <w:tc>
          <w:tcPr>
            <w:tcW w:w="850" w:type="dxa"/>
          </w:tcPr>
          <w:p w:rsidR="001E3FBE" w:rsidRPr="007C51D6" w:rsidRDefault="001E3FBE" w:rsidP="001E3FBE">
            <w:pPr>
              <w:jc w:val="center"/>
              <w:rPr>
                <w:color w:val="000000"/>
                <w:sz w:val="20"/>
                <w:szCs w:val="20"/>
              </w:rPr>
            </w:pPr>
            <w:r w:rsidRPr="007C51D6">
              <w:rPr>
                <w:color w:val="000000"/>
                <w:sz w:val="20"/>
                <w:szCs w:val="20"/>
              </w:rPr>
              <w:t>0,03</w:t>
            </w:r>
          </w:p>
        </w:tc>
        <w:tc>
          <w:tcPr>
            <w:tcW w:w="851" w:type="dxa"/>
          </w:tcPr>
          <w:p w:rsidR="001E3FBE" w:rsidRPr="007C51D6" w:rsidRDefault="001E3FBE" w:rsidP="001E3FBE">
            <w:pPr>
              <w:jc w:val="center"/>
              <w:rPr>
                <w:color w:val="000000"/>
                <w:sz w:val="20"/>
                <w:szCs w:val="20"/>
              </w:rPr>
            </w:pPr>
            <w:r w:rsidRPr="007C51D6">
              <w:rPr>
                <w:color w:val="000000"/>
                <w:sz w:val="20"/>
                <w:szCs w:val="20"/>
              </w:rPr>
              <w:t>0,03</w:t>
            </w:r>
          </w:p>
        </w:tc>
        <w:tc>
          <w:tcPr>
            <w:tcW w:w="829" w:type="dxa"/>
          </w:tcPr>
          <w:p w:rsidR="001E3FBE" w:rsidRPr="007C51D6" w:rsidRDefault="001E3FBE" w:rsidP="001E3FBE">
            <w:pPr>
              <w:jc w:val="center"/>
              <w:rPr>
                <w:color w:val="000000"/>
                <w:sz w:val="20"/>
                <w:szCs w:val="20"/>
              </w:rPr>
            </w:pPr>
            <w:r w:rsidRPr="007C51D6">
              <w:rPr>
                <w:color w:val="000000"/>
                <w:sz w:val="20"/>
                <w:szCs w:val="20"/>
              </w:rPr>
              <w:t>0,02</w:t>
            </w:r>
          </w:p>
        </w:tc>
        <w:tc>
          <w:tcPr>
            <w:tcW w:w="907" w:type="dxa"/>
          </w:tcPr>
          <w:p w:rsidR="001E3FBE" w:rsidRPr="007C51D6" w:rsidRDefault="001E3FBE" w:rsidP="001E3FBE">
            <w:pPr>
              <w:jc w:val="center"/>
              <w:rPr>
                <w:color w:val="000000"/>
                <w:sz w:val="20"/>
                <w:szCs w:val="20"/>
              </w:rPr>
            </w:pPr>
            <w:r w:rsidRPr="007C51D6">
              <w:rPr>
                <w:color w:val="000000"/>
                <w:sz w:val="20"/>
                <w:szCs w:val="20"/>
              </w:rPr>
              <w:t>0,05</w:t>
            </w:r>
          </w:p>
        </w:tc>
        <w:tc>
          <w:tcPr>
            <w:tcW w:w="907" w:type="dxa"/>
          </w:tcPr>
          <w:p w:rsidR="001E3FBE" w:rsidRPr="007C51D6" w:rsidRDefault="001E3FBE" w:rsidP="001E3FBE">
            <w:pPr>
              <w:autoSpaceDE/>
              <w:autoSpaceDN/>
              <w:adjustRightInd/>
              <w:jc w:val="center"/>
              <w:rPr>
                <w:bCs/>
                <w:color w:val="000000"/>
                <w:sz w:val="20"/>
                <w:szCs w:val="20"/>
              </w:rPr>
            </w:pPr>
            <w:r w:rsidRPr="007C51D6">
              <w:rPr>
                <w:bCs/>
                <w:color w:val="000000"/>
                <w:sz w:val="20"/>
                <w:szCs w:val="20"/>
              </w:rPr>
              <w:t>нет</w:t>
            </w:r>
          </w:p>
          <w:p w:rsidR="001E3FBE" w:rsidRPr="007C51D6" w:rsidRDefault="001E3FBE" w:rsidP="001E3FBE">
            <w:pPr>
              <w:autoSpaceDE/>
              <w:autoSpaceDN/>
              <w:adjustRightInd/>
              <w:jc w:val="center"/>
              <w:rPr>
                <w:bCs/>
                <w:color w:val="000000"/>
                <w:sz w:val="20"/>
                <w:szCs w:val="20"/>
              </w:rPr>
            </w:pPr>
            <w:r w:rsidRPr="007C51D6">
              <w:rPr>
                <w:bCs/>
                <w:color w:val="000000"/>
                <w:sz w:val="20"/>
                <w:szCs w:val="20"/>
              </w:rPr>
              <w:t>данных</w:t>
            </w:r>
          </w:p>
        </w:tc>
      </w:tr>
    </w:tbl>
    <w:p w:rsidR="003D0655" w:rsidRPr="007C51D6" w:rsidRDefault="003D0655">
      <w:pPr>
        <w:rPr>
          <w:sz w:val="2"/>
          <w:szCs w:val="2"/>
        </w:rPr>
      </w:pPr>
    </w:p>
    <w:p w:rsidR="004B7A07" w:rsidRPr="007C51D6" w:rsidRDefault="004B7A07"/>
    <w:p w:rsidR="002F20A6" w:rsidRPr="007C51D6" w:rsidRDefault="002F20A6" w:rsidP="00C82B44">
      <w:pPr>
        <w:autoSpaceDE/>
        <w:autoSpaceDN/>
        <w:adjustRightInd/>
        <w:ind w:firstLine="709"/>
        <w:jc w:val="both"/>
        <w:rPr>
          <w:rFonts w:eastAsia="Arial"/>
          <w:sz w:val="28"/>
          <w:szCs w:val="28"/>
        </w:rPr>
      </w:pPr>
      <w:r w:rsidRPr="007C51D6">
        <w:rPr>
          <w:rFonts w:eastAsia="Arial"/>
          <w:sz w:val="28"/>
          <w:szCs w:val="28"/>
        </w:rPr>
        <w:t xml:space="preserve">Число умерших в 2024 году от новообразований, относящихся к кодам D00 – D48, составило 104 человека. В структуре причин смерти в данной группе больных первое место занимают </w:t>
      </w:r>
      <w:hyperlink r:id="rId37" w:history="1">
        <w:r w:rsidRPr="007C51D6">
          <w:rPr>
            <w:rFonts w:eastAsia="Arial"/>
            <w:bCs/>
            <w:sz w:val="28"/>
            <w:szCs w:val="28"/>
          </w:rPr>
          <w:t>доброкачественные новообразования мозговых оболочек</w:t>
        </w:r>
      </w:hyperlink>
      <w:r w:rsidRPr="007C51D6">
        <w:rPr>
          <w:rFonts w:eastAsia="Arial"/>
          <w:sz w:val="28"/>
          <w:szCs w:val="28"/>
        </w:rPr>
        <w:t xml:space="preserve">, </w:t>
      </w:r>
      <w:hyperlink r:id="rId38" w:history="1">
        <w:r w:rsidRPr="007C51D6">
          <w:rPr>
            <w:rFonts w:eastAsia="Arial"/>
            <w:bCs/>
            <w:sz w:val="28"/>
            <w:szCs w:val="28"/>
          </w:rPr>
          <w:t>головного мозга и других отделов центральной нервной системы</w:t>
        </w:r>
      </w:hyperlink>
      <w:r w:rsidRPr="007C51D6">
        <w:rPr>
          <w:rFonts w:eastAsia="Arial"/>
          <w:sz w:val="28"/>
          <w:szCs w:val="28"/>
        </w:rPr>
        <w:t xml:space="preserve"> (24,0 процента), второе место – доброкачественное новообразование головного мозга и других отделов центральной нервной системы (21,2 процента), третье место – </w:t>
      </w:r>
      <w:hyperlink r:id="rId39" w:history="1">
        <w:r w:rsidRPr="007C51D6">
          <w:rPr>
            <w:rFonts w:eastAsia="Arial"/>
            <w:bCs/>
            <w:sz w:val="28"/>
            <w:szCs w:val="28"/>
          </w:rPr>
          <w:t xml:space="preserve">новообразования неопределенного или неизвестного характера </w:t>
        </w:r>
        <w:r w:rsidRPr="007C51D6">
          <w:rPr>
            <w:rFonts w:eastAsia="Arial"/>
            <w:sz w:val="28"/>
            <w:szCs w:val="28"/>
          </w:rPr>
          <w:t xml:space="preserve">головного мозга и других отделов центральной нервной системы </w:t>
        </w:r>
      </w:hyperlink>
      <w:r w:rsidRPr="007C51D6">
        <w:rPr>
          <w:rFonts w:eastAsia="Arial"/>
          <w:bCs/>
          <w:sz w:val="28"/>
          <w:szCs w:val="28"/>
        </w:rPr>
        <w:t xml:space="preserve">(10,6 </w:t>
      </w:r>
      <w:r w:rsidRPr="007C51D6">
        <w:rPr>
          <w:rFonts w:eastAsia="Arial"/>
          <w:sz w:val="28"/>
          <w:szCs w:val="28"/>
        </w:rPr>
        <w:t>процента). Регистрируется тенденция к росту смертности от этих локализаций новообразований</w:t>
      </w:r>
      <w:r w:rsidR="00D928C1" w:rsidRPr="007C51D6">
        <w:rPr>
          <w:rFonts w:eastAsia="Arial"/>
          <w:sz w:val="28"/>
          <w:szCs w:val="28"/>
        </w:rPr>
        <w:t xml:space="preserve"> (таблица 15)</w:t>
      </w:r>
      <w:r w:rsidRPr="007C51D6">
        <w:rPr>
          <w:rFonts w:eastAsia="Arial"/>
          <w:sz w:val="28"/>
          <w:szCs w:val="28"/>
        </w:rPr>
        <w:t xml:space="preserve">. </w:t>
      </w:r>
    </w:p>
    <w:p w:rsidR="00C82B44" w:rsidRPr="007C51D6" w:rsidRDefault="00C82B44" w:rsidP="002F20A6">
      <w:pPr>
        <w:autoSpaceDE/>
        <w:autoSpaceDN/>
        <w:adjustRightInd/>
        <w:ind w:firstLine="709"/>
        <w:jc w:val="both"/>
        <w:rPr>
          <w:rFonts w:eastAsia="Arial"/>
          <w:sz w:val="28"/>
          <w:szCs w:val="28"/>
        </w:rPr>
      </w:pPr>
    </w:p>
    <w:p w:rsidR="00C82B44" w:rsidRPr="007C51D6" w:rsidRDefault="00C82B44" w:rsidP="002F20A6">
      <w:pPr>
        <w:autoSpaceDE/>
        <w:autoSpaceDN/>
        <w:adjustRightInd/>
        <w:ind w:firstLine="709"/>
        <w:jc w:val="both"/>
        <w:rPr>
          <w:rFonts w:eastAsia="Arial"/>
          <w:sz w:val="28"/>
          <w:szCs w:val="28"/>
        </w:rPr>
      </w:pPr>
    </w:p>
    <w:p w:rsidR="006377FF" w:rsidRPr="007C51D6" w:rsidRDefault="006377FF" w:rsidP="002F20A6">
      <w:pPr>
        <w:autoSpaceDE/>
        <w:autoSpaceDN/>
        <w:adjustRightInd/>
        <w:ind w:firstLine="709"/>
        <w:jc w:val="both"/>
        <w:rPr>
          <w:rFonts w:eastAsia="Arial"/>
          <w:sz w:val="28"/>
          <w:szCs w:val="28"/>
        </w:rPr>
        <w:sectPr w:rsidR="006377FF" w:rsidRPr="007C51D6" w:rsidSect="007B1867">
          <w:type w:val="continuous"/>
          <w:pgSz w:w="16838" w:h="11906" w:orient="landscape"/>
          <w:pgMar w:top="1134" w:right="567" w:bottom="1134" w:left="1134" w:header="709" w:footer="709" w:gutter="0"/>
          <w:cols w:space="708"/>
          <w:docGrid w:linePitch="360"/>
        </w:sectPr>
      </w:pPr>
    </w:p>
    <w:p w:rsidR="006377FF" w:rsidRPr="007C51D6" w:rsidRDefault="006377FF" w:rsidP="00BB4665">
      <w:pPr>
        <w:ind w:left="7799"/>
        <w:jc w:val="right"/>
        <w:rPr>
          <w:rFonts w:eastAsia="Arial"/>
          <w:sz w:val="28"/>
          <w:szCs w:val="28"/>
        </w:rPr>
      </w:pPr>
      <w:r w:rsidRPr="007C51D6">
        <w:rPr>
          <w:rFonts w:eastAsia="Arial"/>
          <w:sz w:val="28"/>
          <w:szCs w:val="28"/>
        </w:rPr>
        <w:t xml:space="preserve">Таблица 15.1 </w:t>
      </w:r>
    </w:p>
    <w:p w:rsidR="00130D76" w:rsidRPr="007C51D6" w:rsidRDefault="006377FF" w:rsidP="00E22635">
      <w:pPr>
        <w:spacing w:line="233" w:lineRule="auto"/>
        <w:jc w:val="center"/>
        <w:rPr>
          <w:rFonts w:eastAsia="Arial"/>
          <w:sz w:val="28"/>
          <w:szCs w:val="28"/>
        </w:rPr>
      </w:pPr>
      <w:r w:rsidRPr="007C51D6">
        <w:rPr>
          <w:rFonts w:eastAsia="Arial"/>
          <w:sz w:val="28"/>
          <w:szCs w:val="28"/>
        </w:rPr>
        <w:t xml:space="preserve">Динамика доли случаев </w:t>
      </w:r>
      <w:r w:rsidR="00D10534" w:rsidRPr="007C51D6">
        <w:rPr>
          <w:rFonts w:eastAsia="Arial"/>
          <w:sz w:val="28"/>
          <w:szCs w:val="28"/>
        </w:rPr>
        <w:t>ЗНО</w:t>
      </w:r>
      <w:r w:rsidRPr="007C51D6">
        <w:rPr>
          <w:rFonts w:eastAsia="Arial"/>
          <w:sz w:val="28"/>
          <w:szCs w:val="28"/>
        </w:rPr>
        <w:t xml:space="preserve">, выявленных активно, от общего числа впервые </w:t>
      </w:r>
    </w:p>
    <w:p w:rsidR="006377FF" w:rsidRPr="007C51D6" w:rsidRDefault="006377FF" w:rsidP="00E22635">
      <w:pPr>
        <w:spacing w:line="233" w:lineRule="auto"/>
        <w:jc w:val="center"/>
        <w:rPr>
          <w:rFonts w:eastAsia="Arial"/>
          <w:sz w:val="28"/>
          <w:szCs w:val="28"/>
        </w:rPr>
      </w:pPr>
      <w:r w:rsidRPr="007C51D6">
        <w:rPr>
          <w:rFonts w:eastAsia="Arial"/>
          <w:sz w:val="28"/>
          <w:szCs w:val="28"/>
        </w:rPr>
        <w:t xml:space="preserve">выявленных случаев, оба пола, все локализации (С00-96) </w:t>
      </w:r>
    </w:p>
    <w:p w:rsidR="00BB4665" w:rsidRPr="007C51D6" w:rsidRDefault="00BB4665" w:rsidP="00E22635">
      <w:pPr>
        <w:spacing w:line="233" w:lineRule="auto"/>
        <w:jc w:val="center"/>
        <w:rPr>
          <w:rFonts w:eastAsia="Arial"/>
          <w:sz w:val="28"/>
          <w:szCs w:val="28"/>
        </w:rPr>
      </w:pPr>
    </w:p>
    <w:p w:rsidR="00BB4665" w:rsidRPr="007C51D6" w:rsidRDefault="00BB4665" w:rsidP="00E22635">
      <w:pPr>
        <w:spacing w:line="233" w:lineRule="auto"/>
        <w:jc w:val="right"/>
        <w:rPr>
          <w:rFonts w:eastAsia="Arial"/>
        </w:rPr>
      </w:pPr>
      <w:r w:rsidRPr="007C51D6">
        <w:rPr>
          <w:rFonts w:eastAsia="Arial"/>
        </w:rPr>
        <w:t>(процентов)</w:t>
      </w:r>
    </w:p>
    <w:tbl>
      <w:tblPr>
        <w:tblStyle w:val="af1"/>
        <w:tblW w:w="0" w:type="auto"/>
        <w:tblLook w:val="04A0" w:firstRow="1" w:lastRow="0" w:firstColumn="1" w:lastColumn="0" w:noHBand="0" w:noVBand="1"/>
      </w:tblPr>
      <w:tblGrid>
        <w:gridCol w:w="1413"/>
        <w:gridCol w:w="852"/>
        <w:gridCol w:w="853"/>
        <w:gridCol w:w="852"/>
        <w:gridCol w:w="853"/>
        <w:gridCol w:w="853"/>
        <w:gridCol w:w="852"/>
        <w:gridCol w:w="853"/>
        <w:gridCol w:w="852"/>
        <w:gridCol w:w="853"/>
        <w:gridCol w:w="853"/>
      </w:tblGrid>
      <w:tr w:rsidR="00082CC2" w:rsidRPr="007C51D6" w:rsidTr="00082CC2">
        <w:trPr>
          <w:trHeight w:val="20"/>
        </w:trPr>
        <w:tc>
          <w:tcPr>
            <w:tcW w:w="1413" w:type="dxa"/>
          </w:tcPr>
          <w:p w:rsidR="00082CC2" w:rsidRPr="007C51D6" w:rsidRDefault="00082CC2" w:rsidP="00E22635">
            <w:pPr>
              <w:spacing w:line="233" w:lineRule="auto"/>
              <w:jc w:val="both"/>
              <w:rPr>
                <w:rFonts w:eastAsia="Arial"/>
              </w:rPr>
            </w:pPr>
            <w:r w:rsidRPr="007C51D6">
              <w:rPr>
                <w:rFonts w:eastAsia="Arial"/>
              </w:rPr>
              <w:t>Год</w:t>
            </w:r>
          </w:p>
        </w:tc>
        <w:tc>
          <w:tcPr>
            <w:tcW w:w="852" w:type="dxa"/>
          </w:tcPr>
          <w:p w:rsidR="00082CC2" w:rsidRPr="007C51D6" w:rsidRDefault="00082CC2" w:rsidP="00E22635">
            <w:pPr>
              <w:spacing w:line="233" w:lineRule="auto"/>
              <w:jc w:val="center"/>
              <w:rPr>
                <w:rFonts w:eastAsia="Arial"/>
              </w:rPr>
            </w:pPr>
            <w:r w:rsidRPr="007C51D6">
              <w:rPr>
                <w:rFonts w:eastAsia="Arial"/>
              </w:rPr>
              <w:t>2016</w:t>
            </w:r>
          </w:p>
        </w:tc>
        <w:tc>
          <w:tcPr>
            <w:tcW w:w="853" w:type="dxa"/>
          </w:tcPr>
          <w:p w:rsidR="00082CC2" w:rsidRPr="007C51D6" w:rsidRDefault="00082CC2" w:rsidP="00E22635">
            <w:pPr>
              <w:spacing w:line="233" w:lineRule="auto"/>
              <w:jc w:val="center"/>
              <w:rPr>
                <w:rFonts w:eastAsia="Arial"/>
              </w:rPr>
            </w:pPr>
            <w:r w:rsidRPr="007C51D6">
              <w:rPr>
                <w:rFonts w:eastAsia="Arial"/>
              </w:rPr>
              <w:t>2017</w:t>
            </w:r>
          </w:p>
        </w:tc>
        <w:tc>
          <w:tcPr>
            <w:tcW w:w="852" w:type="dxa"/>
          </w:tcPr>
          <w:p w:rsidR="00082CC2" w:rsidRPr="007C51D6" w:rsidRDefault="00082CC2" w:rsidP="00E22635">
            <w:pPr>
              <w:spacing w:line="233" w:lineRule="auto"/>
              <w:jc w:val="center"/>
              <w:rPr>
                <w:rFonts w:eastAsia="Arial"/>
              </w:rPr>
            </w:pPr>
            <w:r w:rsidRPr="007C51D6">
              <w:rPr>
                <w:rFonts w:eastAsia="Arial"/>
              </w:rPr>
              <w:t>2018</w:t>
            </w:r>
          </w:p>
        </w:tc>
        <w:tc>
          <w:tcPr>
            <w:tcW w:w="853" w:type="dxa"/>
          </w:tcPr>
          <w:p w:rsidR="00082CC2" w:rsidRPr="007C51D6" w:rsidRDefault="00082CC2" w:rsidP="00E22635">
            <w:pPr>
              <w:spacing w:line="233" w:lineRule="auto"/>
              <w:jc w:val="center"/>
              <w:rPr>
                <w:rFonts w:eastAsia="Arial"/>
              </w:rPr>
            </w:pPr>
            <w:r w:rsidRPr="007C51D6">
              <w:rPr>
                <w:rFonts w:eastAsia="Arial"/>
              </w:rPr>
              <w:t>2019</w:t>
            </w:r>
          </w:p>
        </w:tc>
        <w:tc>
          <w:tcPr>
            <w:tcW w:w="853" w:type="dxa"/>
          </w:tcPr>
          <w:p w:rsidR="00082CC2" w:rsidRPr="007C51D6" w:rsidRDefault="00082CC2" w:rsidP="00E22635">
            <w:pPr>
              <w:spacing w:line="233" w:lineRule="auto"/>
              <w:jc w:val="center"/>
              <w:rPr>
                <w:rFonts w:eastAsia="Arial"/>
              </w:rPr>
            </w:pPr>
            <w:r w:rsidRPr="007C51D6">
              <w:rPr>
                <w:rFonts w:eastAsia="Arial"/>
              </w:rPr>
              <w:t>2020</w:t>
            </w:r>
          </w:p>
        </w:tc>
        <w:tc>
          <w:tcPr>
            <w:tcW w:w="852" w:type="dxa"/>
          </w:tcPr>
          <w:p w:rsidR="00082CC2" w:rsidRPr="007C51D6" w:rsidRDefault="00082CC2" w:rsidP="00E22635">
            <w:pPr>
              <w:spacing w:line="233" w:lineRule="auto"/>
              <w:jc w:val="center"/>
              <w:rPr>
                <w:rFonts w:eastAsia="Arial"/>
              </w:rPr>
            </w:pPr>
            <w:r w:rsidRPr="007C51D6">
              <w:rPr>
                <w:rFonts w:eastAsia="Arial"/>
              </w:rPr>
              <w:t>2021</w:t>
            </w:r>
          </w:p>
        </w:tc>
        <w:tc>
          <w:tcPr>
            <w:tcW w:w="853" w:type="dxa"/>
          </w:tcPr>
          <w:p w:rsidR="00082CC2" w:rsidRPr="007C51D6" w:rsidRDefault="00082CC2" w:rsidP="00E22635">
            <w:pPr>
              <w:spacing w:line="233" w:lineRule="auto"/>
              <w:jc w:val="center"/>
              <w:rPr>
                <w:rFonts w:eastAsia="Arial"/>
              </w:rPr>
            </w:pPr>
            <w:r w:rsidRPr="007C51D6">
              <w:rPr>
                <w:rFonts w:eastAsia="Arial"/>
              </w:rPr>
              <w:t>2022</w:t>
            </w:r>
          </w:p>
        </w:tc>
        <w:tc>
          <w:tcPr>
            <w:tcW w:w="852" w:type="dxa"/>
          </w:tcPr>
          <w:p w:rsidR="00082CC2" w:rsidRPr="007C51D6" w:rsidRDefault="00082CC2" w:rsidP="00E22635">
            <w:pPr>
              <w:spacing w:line="233" w:lineRule="auto"/>
              <w:jc w:val="center"/>
              <w:rPr>
                <w:rFonts w:eastAsia="Arial"/>
              </w:rPr>
            </w:pPr>
            <w:r w:rsidRPr="007C51D6">
              <w:rPr>
                <w:rFonts w:eastAsia="Arial"/>
              </w:rPr>
              <w:t>2023</w:t>
            </w:r>
          </w:p>
        </w:tc>
        <w:tc>
          <w:tcPr>
            <w:tcW w:w="853" w:type="dxa"/>
          </w:tcPr>
          <w:p w:rsidR="00082CC2" w:rsidRPr="007C51D6" w:rsidRDefault="00082CC2" w:rsidP="00E22635">
            <w:pPr>
              <w:spacing w:line="233" w:lineRule="auto"/>
              <w:jc w:val="center"/>
              <w:rPr>
                <w:rFonts w:eastAsia="Arial"/>
              </w:rPr>
            </w:pPr>
            <w:r w:rsidRPr="007C51D6">
              <w:rPr>
                <w:rFonts w:eastAsia="Arial"/>
              </w:rPr>
              <w:t>2024</w:t>
            </w:r>
          </w:p>
        </w:tc>
        <w:tc>
          <w:tcPr>
            <w:tcW w:w="853" w:type="dxa"/>
          </w:tcPr>
          <w:p w:rsidR="00082CC2" w:rsidRPr="007C51D6" w:rsidRDefault="00082CC2" w:rsidP="00E22635">
            <w:pPr>
              <w:spacing w:line="233" w:lineRule="auto"/>
              <w:jc w:val="center"/>
              <w:rPr>
                <w:rFonts w:eastAsia="Arial"/>
              </w:rPr>
            </w:pPr>
            <w:r w:rsidRPr="007C51D6">
              <w:rPr>
                <w:rFonts w:eastAsia="Arial"/>
              </w:rPr>
              <w:t>2025</w:t>
            </w:r>
            <w:r w:rsidR="00AE2108" w:rsidRPr="007C51D6">
              <w:rPr>
                <w:rFonts w:eastAsia="Arial"/>
              </w:rPr>
              <w:t>*</w:t>
            </w:r>
          </w:p>
        </w:tc>
      </w:tr>
      <w:tr w:rsidR="00082CC2" w:rsidRPr="007C51D6" w:rsidTr="00082CC2">
        <w:trPr>
          <w:trHeight w:val="20"/>
        </w:trPr>
        <w:tc>
          <w:tcPr>
            <w:tcW w:w="1413" w:type="dxa"/>
          </w:tcPr>
          <w:p w:rsidR="00082CC2" w:rsidRPr="007C51D6" w:rsidRDefault="00082CC2" w:rsidP="00E22635">
            <w:pPr>
              <w:spacing w:line="233" w:lineRule="auto"/>
              <w:jc w:val="center"/>
              <w:rPr>
                <w:rFonts w:eastAsia="Arial"/>
              </w:rPr>
            </w:pPr>
            <w:r w:rsidRPr="007C51D6">
              <w:rPr>
                <w:rFonts w:eastAsia="Arial"/>
              </w:rPr>
              <w:t>Показатель</w:t>
            </w:r>
          </w:p>
        </w:tc>
        <w:tc>
          <w:tcPr>
            <w:tcW w:w="852" w:type="dxa"/>
          </w:tcPr>
          <w:p w:rsidR="00082CC2" w:rsidRPr="007C51D6" w:rsidRDefault="00082CC2" w:rsidP="00E22635">
            <w:pPr>
              <w:spacing w:line="233" w:lineRule="auto"/>
              <w:jc w:val="center"/>
              <w:rPr>
                <w:rFonts w:eastAsia="Arial"/>
              </w:rPr>
            </w:pPr>
            <w:r w:rsidRPr="007C51D6">
              <w:rPr>
                <w:rFonts w:eastAsia="Arial"/>
              </w:rPr>
              <w:t>17,3</w:t>
            </w:r>
          </w:p>
        </w:tc>
        <w:tc>
          <w:tcPr>
            <w:tcW w:w="853" w:type="dxa"/>
          </w:tcPr>
          <w:p w:rsidR="00082CC2" w:rsidRPr="007C51D6" w:rsidRDefault="00082CC2" w:rsidP="00E22635">
            <w:pPr>
              <w:spacing w:line="233" w:lineRule="auto"/>
              <w:jc w:val="center"/>
              <w:rPr>
                <w:rFonts w:eastAsia="Arial"/>
              </w:rPr>
            </w:pPr>
            <w:r w:rsidRPr="007C51D6">
              <w:rPr>
                <w:rFonts w:eastAsia="Arial"/>
              </w:rPr>
              <w:t>26,3</w:t>
            </w:r>
          </w:p>
        </w:tc>
        <w:tc>
          <w:tcPr>
            <w:tcW w:w="852" w:type="dxa"/>
          </w:tcPr>
          <w:p w:rsidR="00082CC2" w:rsidRPr="007C51D6" w:rsidRDefault="00082CC2" w:rsidP="00E22635">
            <w:pPr>
              <w:spacing w:line="233" w:lineRule="auto"/>
              <w:jc w:val="center"/>
              <w:rPr>
                <w:rFonts w:eastAsia="Arial"/>
              </w:rPr>
            </w:pPr>
            <w:r w:rsidRPr="007C51D6">
              <w:rPr>
                <w:rFonts w:eastAsia="Arial"/>
              </w:rPr>
              <w:t>29,4</w:t>
            </w:r>
          </w:p>
        </w:tc>
        <w:tc>
          <w:tcPr>
            <w:tcW w:w="853" w:type="dxa"/>
          </w:tcPr>
          <w:p w:rsidR="00082CC2" w:rsidRPr="007C51D6" w:rsidRDefault="00082CC2" w:rsidP="00E22635">
            <w:pPr>
              <w:spacing w:line="233" w:lineRule="auto"/>
              <w:jc w:val="center"/>
              <w:rPr>
                <w:rFonts w:eastAsia="Arial"/>
              </w:rPr>
            </w:pPr>
            <w:r w:rsidRPr="007C51D6">
              <w:rPr>
                <w:rFonts w:eastAsia="Arial"/>
              </w:rPr>
              <w:t>20,3</w:t>
            </w:r>
          </w:p>
        </w:tc>
        <w:tc>
          <w:tcPr>
            <w:tcW w:w="853" w:type="dxa"/>
          </w:tcPr>
          <w:p w:rsidR="00082CC2" w:rsidRPr="007C51D6" w:rsidRDefault="00082CC2" w:rsidP="00E22635">
            <w:pPr>
              <w:spacing w:line="233" w:lineRule="auto"/>
              <w:jc w:val="center"/>
              <w:rPr>
                <w:rFonts w:eastAsia="Arial"/>
              </w:rPr>
            </w:pPr>
            <w:r w:rsidRPr="007C51D6">
              <w:rPr>
                <w:rFonts w:eastAsia="Arial"/>
              </w:rPr>
              <w:t>13,7</w:t>
            </w:r>
          </w:p>
        </w:tc>
        <w:tc>
          <w:tcPr>
            <w:tcW w:w="852" w:type="dxa"/>
          </w:tcPr>
          <w:p w:rsidR="00082CC2" w:rsidRPr="007C51D6" w:rsidRDefault="00082CC2" w:rsidP="00E22635">
            <w:pPr>
              <w:spacing w:line="233" w:lineRule="auto"/>
              <w:jc w:val="center"/>
              <w:rPr>
                <w:rFonts w:eastAsia="Arial"/>
              </w:rPr>
            </w:pPr>
            <w:r w:rsidRPr="007C51D6">
              <w:rPr>
                <w:rFonts w:eastAsia="Arial"/>
              </w:rPr>
              <w:t>10,9</w:t>
            </w:r>
          </w:p>
        </w:tc>
        <w:tc>
          <w:tcPr>
            <w:tcW w:w="853" w:type="dxa"/>
          </w:tcPr>
          <w:p w:rsidR="00082CC2" w:rsidRPr="007C51D6" w:rsidRDefault="00082CC2" w:rsidP="00E22635">
            <w:pPr>
              <w:spacing w:line="233" w:lineRule="auto"/>
              <w:jc w:val="center"/>
              <w:rPr>
                <w:rFonts w:eastAsia="Arial"/>
              </w:rPr>
            </w:pPr>
            <w:r w:rsidRPr="007C51D6">
              <w:rPr>
                <w:rFonts w:eastAsia="Arial"/>
              </w:rPr>
              <w:t>24,8</w:t>
            </w:r>
          </w:p>
        </w:tc>
        <w:tc>
          <w:tcPr>
            <w:tcW w:w="852" w:type="dxa"/>
          </w:tcPr>
          <w:p w:rsidR="00082CC2" w:rsidRPr="007C51D6" w:rsidRDefault="00082CC2" w:rsidP="00E22635">
            <w:pPr>
              <w:spacing w:line="233" w:lineRule="auto"/>
              <w:jc w:val="center"/>
              <w:rPr>
                <w:rFonts w:eastAsia="Arial"/>
              </w:rPr>
            </w:pPr>
            <w:r w:rsidRPr="007C51D6">
              <w:rPr>
                <w:rFonts w:eastAsia="Arial"/>
              </w:rPr>
              <w:t>25,0</w:t>
            </w:r>
          </w:p>
        </w:tc>
        <w:tc>
          <w:tcPr>
            <w:tcW w:w="853" w:type="dxa"/>
          </w:tcPr>
          <w:p w:rsidR="00082CC2" w:rsidRPr="007C51D6" w:rsidRDefault="00082CC2" w:rsidP="00E22635">
            <w:pPr>
              <w:spacing w:line="233" w:lineRule="auto"/>
              <w:jc w:val="center"/>
              <w:rPr>
                <w:rFonts w:eastAsia="Arial"/>
              </w:rPr>
            </w:pPr>
            <w:r w:rsidRPr="007C51D6">
              <w:rPr>
                <w:rFonts w:eastAsia="Arial"/>
              </w:rPr>
              <w:t>25,2</w:t>
            </w:r>
          </w:p>
        </w:tc>
        <w:tc>
          <w:tcPr>
            <w:tcW w:w="853" w:type="dxa"/>
          </w:tcPr>
          <w:p w:rsidR="00082CC2" w:rsidRPr="007C51D6" w:rsidRDefault="00AE2108" w:rsidP="00E22635">
            <w:pPr>
              <w:spacing w:line="233" w:lineRule="auto"/>
              <w:jc w:val="center"/>
              <w:rPr>
                <w:rFonts w:eastAsia="Arial"/>
              </w:rPr>
            </w:pPr>
            <w:r w:rsidRPr="007C51D6">
              <w:rPr>
                <w:rFonts w:eastAsia="Arial"/>
              </w:rPr>
              <w:t>16,4</w:t>
            </w:r>
          </w:p>
        </w:tc>
      </w:tr>
    </w:tbl>
    <w:p w:rsidR="006377FF" w:rsidRPr="007C51D6" w:rsidRDefault="006377FF" w:rsidP="00E22635">
      <w:pPr>
        <w:spacing w:line="233" w:lineRule="auto"/>
        <w:jc w:val="both"/>
        <w:rPr>
          <w:rFonts w:eastAsia="Arial"/>
          <w:sz w:val="28"/>
          <w:szCs w:val="28"/>
        </w:rPr>
      </w:pPr>
    </w:p>
    <w:p w:rsidR="00AE2108" w:rsidRPr="007C51D6" w:rsidRDefault="00AE2108" w:rsidP="00E22635">
      <w:pPr>
        <w:autoSpaceDE/>
        <w:autoSpaceDN/>
        <w:adjustRightInd/>
        <w:spacing w:line="233" w:lineRule="auto"/>
        <w:ind w:right="-598" w:firstLine="709"/>
        <w:rPr>
          <w:rFonts w:eastAsia="Arial"/>
          <w:sz w:val="28"/>
          <w:szCs w:val="28"/>
        </w:rPr>
      </w:pPr>
      <w:r w:rsidRPr="007C51D6">
        <w:rPr>
          <w:rFonts w:eastAsia="Arial"/>
          <w:sz w:val="20"/>
          <w:szCs w:val="20"/>
        </w:rPr>
        <w:t>*Представлены оперативные данные.</w:t>
      </w:r>
    </w:p>
    <w:p w:rsidR="00AE2108" w:rsidRPr="007C51D6" w:rsidRDefault="00AE2108" w:rsidP="00E22635">
      <w:pPr>
        <w:spacing w:line="233" w:lineRule="auto"/>
        <w:jc w:val="both"/>
        <w:rPr>
          <w:rFonts w:eastAsia="Arial"/>
          <w:sz w:val="28"/>
          <w:szCs w:val="28"/>
        </w:rPr>
      </w:pPr>
    </w:p>
    <w:p w:rsidR="006A40DD" w:rsidRPr="00BB4665" w:rsidRDefault="006A40DD" w:rsidP="00E22635">
      <w:pPr>
        <w:spacing w:line="233" w:lineRule="auto"/>
        <w:ind w:firstLine="709"/>
        <w:jc w:val="both"/>
        <w:rPr>
          <w:rFonts w:eastAsia="Arial"/>
          <w:sz w:val="28"/>
          <w:szCs w:val="28"/>
        </w:rPr>
      </w:pPr>
      <w:r w:rsidRPr="007C51D6">
        <w:rPr>
          <w:rFonts w:eastAsia="Arial"/>
          <w:sz w:val="28"/>
          <w:szCs w:val="28"/>
        </w:rPr>
        <w:t xml:space="preserve">За рассматриваемый период отмечено </w:t>
      </w:r>
      <w:r w:rsidR="00AE2108" w:rsidRPr="007C51D6">
        <w:rPr>
          <w:rFonts w:eastAsia="Arial"/>
          <w:sz w:val="28"/>
          <w:szCs w:val="28"/>
        </w:rPr>
        <w:t xml:space="preserve">колебание </w:t>
      </w:r>
      <w:r w:rsidRPr="007C51D6">
        <w:rPr>
          <w:rFonts w:eastAsia="Arial"/>
          <w:sz w:val="28"/>
          <w:szCs w:val="28"/>
        </w:rPr>
        <w:t xml:space="preserve">показателя </w:t>
      </w:r>
      <w:r w:rsidR="00AE2108" w:rsidRPr="007C51D6">
        <w:rPr>
          <w:rFonts w:eastAsia="Arial"/>
          <w:sz w:val="28"/>
          <w:szCs w:val="28"/>
        </w:rPr>
        <w:t xml:space="preserve">«доля случаев ЗНО, выявленных активно, от общего числа впервые выявленных случаев» </w:t>
      </w:r>
      <w:r w:rsidRPr="007C51D6">
        <w:rPr>
          <w:rFonts w:eastAsia="Arial"/>
          <w:sz w:val="28"/>
          <w:szCs w:val="28"/>
        </w:rPr>
        <w:t xml:space="preserve">в различные годы. Минимальный уровень показателя отмечен в 2021 году (10,9 процента), </w:t>
      </w:r>
      <w:r w:rsidR="00AE2108" w:rsidRPr="007C51D6">
        <w:rPr>
          <w:rFonts w:eastAsia="Arial"/>
          <w:sz w:val="28"/>
          <w:szCs w:val="28"/>
        </w:rPr>
        <w:t xml:space="preserve">что </w:t>
      </w:r>
      <w:r w:rsidRPr="007C51D6">
        <w:rPr>
          <w:rFonts w:eastAsia="Arial"/>
          <w:sz w:val="28"/>
          <w:szCs w:val="28"/>
        </w:rPr>
        <w:t>связано со снижением эффективности профилактических мероприятий в связи с пандемией новой коронавирусной инфекции (COVID-19) в указанном году. Максимальный уровень показателя зафиксирован в 2018 году (29,4 процента) (таблица 15.1).</w:t>
      </w:r>
    </w:p>
    <w:p w:rsidR="0060233B" w:rsidRDefault="0060233B" w:rsidP="00E22635">
      <w:pPr>
        <w:spacing w:line="233" w:lineRule="auto"/>
        <w:ind w:left="7799"/>
        <w:jc w:val="right"/>
        <w:rPr>
          <w:rFonts w:eastAsia="Arial"/>
          <w:sz w:val="28"/>
          <w:szCs w:val="28"/>
        </w:rPr>
      </w:pPr>
    </w:p>
    <w:p w:rsidR="006377FF" w:rsidRDefault="006377FF" w:rsidP="00E22635">
      <w:pPr>
        <w:spacing w:line="233" w:lineRule="auto"/>
        <w:ind w:left="7799"/>
        <w:jc w:val="right"/>
        <w:rPr>
          <w:rFonts w:eastAsia="Arial"/>
          <w:sz w:val="28"/>
          <w:szCs w:val="28"/>
        </w:rPr>
      </w:pPr>
      <w:r w:rsidRPr="00D10534">
        <w:rPr>
          <w:rFonts w:eastAsia="Arial"/>
          <w:sz w:val="28"/>
          <w:szCs w:val="28"/>
        </w:rPr>
        <w:t>Таблица 15.2</w:t>
      </w:r>
      <w:r>
        <w:rPr>
          <w:rFonts w:eastAsia="Arial"/>
          <w:sz w:val="28"/>
          <w:szCs w:val="28"/>
        </w:rPr>
        <w:t xml:space="preserve"> </w:t>
      </w:r>
    </w:p>
    <w:p w:rsidR="00130D76" w:rsidRPr="0047440B" w:rsidRDefault="006377FF" w:rsidP="00E22635">
      <w:pPr>
        <w:spacing w:line="233" w:lineRule="auto"/>
        <w:jc w:val="center"/>
        <w:rPr>
          <w:rFonts w:eastAsia="Arial"/>
          <w:sz w:val="28"/>
          <w:szCs w:val="28"/>
        </w:rPr>
      </w:pPr>
      <w:r w:rsidRPr="0047440B">
        <w:rPr>
          <w:rFonts w:eastAsia="Arial"/>
          <w:sz w:val="28"/>
          <w:szCs w:val="28"/>
        </w:rPr>
        <w:t xml:space="preserve">Динамика показателя морфологической верификации </w:t>
      </w:r>
      <w:r w:rsidR="00D10534" w:rsidRPr="0047440B">
        <w:rPr>
          <w:rFonts w:eastAsia="Arial"/>
          <w:sz w:val="28"/>
          <w:szCs w:val="28"/>
        </w:rPr>
        <w:t>ЗНО</w:t>
      </w:r>
      <w:r w:rsidRPr="0047440B">
        <w:rPr>
          <w:rFonts w:eastAsia="Arial"/>
          <w:sz w:val="28"/>
          <w:szCs w:val="28"/>
        </w:rPr>
        <w:t xml:space="preserve"> среди всех впервые</w:t>
      </w:r>
    </w:p>
    <w:p w:rsidR="006377FF" w:rsidRPr="0047440B" w:rsidRDefault="006377FF" w:rsidP="00E22635">
      <w:pPr>
        <w:spacing w:line="233" w:lineRule="auto"/>
        <w:jc w:val="center"/>
        <w:rPr>
          <w:rFonts w:eastAsia="Arial"/>
          <w:sz w:val="28"/>
          <w:szCs w:val="28"/>
        </w:rPr>
      </w:pPr>
      <w:r w:rsidRPr="0047440B">
        <w:rPr>
          <w:rFonts w:eastAsia="Arial"/>
          <w:sz w:val="28"/>
          <w:szCs w:val="28"/>
        </w:rPr>
        <w:t xml:space="preserve"> выявленных случаев, оба пола, все локализации (С00-96) </w:t>
      </w:r>
    </w:p>
    <w:p w:rsidR="006377FF" w:rsidRPr="0047440B" w:rsidRDefault="006377FF" w:rsidP="00E22635">
      <w:pPr>
        <w:spacing w:line="233" w:lineRule="auto"/>
        <w:jc w:val="both"/>
        <w:rPr>
          <w:rFonts w:eastAsia="Arial"/>
          <w:sz w:val="28"/>
          <w:szCs w:val="28"/>
        </w:rPr>
      </w:pPr>
    </w:p>
    <w:p w:rsidR="00BB4665" w:rsidRPr="0047440B" w:rsidRDefault="00BB4665" w:rsidP="00E22635">
      <w:pPr>
        <w:spacing w:line="233" w:lineRule="auto"/>
        <w:jc w:val="right"/>
        <w:rPr>
          <w:rFonts w:eastAsia="Arial"/>
        </w:rPr>
      </w:pPr>
      <w:r w:rsidRPr="0047440B">
        <w:rPr>
          <w:rFonts w:eastAsia="Arial"/>
        </w:rPr>
        <w:t>(процентов)</w:t>
      </w:r>
    </w:p>
    <w:tbl>
      <w:tblPr>
        <w:tblStyle w:val="af1"/>
        <w:tblW w:w="10353" w:type="dxa"/>
        <w:tblLook w:val="04A0" w:firstRow="1" w:lastRow="0" w:firstColumn="1" w:lastColumn="0" w:noHBand="0" w:noVBand="1"/>
      </w:tblPr>
      <w:tblGrid>
        <w:gridCol w:w="1411"/>
        <w:gridCol w:w="914"/>
        <w:gridCol w:w="914"/>
        <w:gridCol w:w="914"/>
        <w:gridCol w:w="914"/>
        <w:gridCol w:w="914"/>
        <w:gridCol w:w="914"/>
        <w:gridCol w:w="914"/>
        <w:gridCol w:w="914"/>
        <w:gridCol w:w="814"/>
        <w:gridCol w:w="816"/>
      </w:tblGrid>
      <w:tr w:rsidR="00082CC2" w:rsidRPr="0047440B" w:rsidTr="00AE2108">
        <w:tc>
          <w:tcPr>
            <w:tcW w:w="1411" w:type="dxa"/>
          </w:tcPr>
          <w:p w:rsidR="00082CC2" w:rsidRPr="0047440B" w:rsidRDefault="00082CC2" w:rsidP="00E22635">
            <w:pPr>
              <w:spacing w:line="233" w:lineRule="auto"/>
              <w:jc w:val="both"/>
              <w:rPr>
                <w:rFonts w:eastAsia="Arial"/>
              </w:rPr>
            </w:pPr>
            <w:r w:rsidRPr="0047440B">
              <w:rPr>
                <w:rFonts w:eastAsia="Arial"/>
              </w:rPr>
              <w:t>Год</w:t>
            </w:r>
          </w:p>
        </w:tc>
        <w:tc>
          <w:tcPr>
            <w:tcW w:w="914" w:type="dxa"/>
          </w:tcPr>
          <w:p w:rsidR="00082CC2" w:rsidRPr="0047440B" w:rsidRDefault="00082CC2" w:rsidP="00E22635">
            <w:pPr>
              <w:spacing w:line="233" w:lineRule="auto"/>
              <w:jc w:val="center"/>
              <w:rPr>
                <w:rFonts w:eastAsia="Arial"/>
              </w:rPr>
            </w:pPr>
            <w:r w:rsidRPr="0047440B">
              <w:rPr>
                <w:rFonts w:eastAsia="Arial"/>
              </w:rPr>
              <w:t>2016</w:t>
            </w:r>
          </w:p>
        </w:tc>
        <w:tc>
          <w:tcPr>
            <w:tcW w:w="914" w:type="dxa"/>
          </w:tcPr>
          <w:p w:rsidR="00082CC2" w:rsidRPr="0047440B" w:rsidRDefault="00082CC2" w:rsidP="00E22635">
            <w:pPr>
              <w:spacing w:line="233" w:lineRule="auto"/>
              <w:jc w:val="center"/>
              <w:rPr>
                <w:rFonts w:eastAsia="Arial"/>
              </w:rPr>
            </w:pPr>
            <w:r w:rsidRPr="0047440B">
              <w:rPr>
                <w:rFonts w:eastAsia="Arial"/>
              </w:rPr>
              <w:t>2017</w:t>
            </w:r>
          </w:p>
        </w:tc>
        <w:tc>
          <w:tcPr>
            <w:tcW w:w="914" w:type="dxa"/>
          </w:tcPr>
          <w:p w:rsidR="00082CC2" w:rsidRPr="0047440B" w:rsidRDefault="00082CC2" w:rsidP="00E22635">
            <w:pPr>
              <w:spacing w:line="233" w:lineRule="auto"/>
              <w:jc w:val="center"/>
              <w:rPr>
                <w:rFonts w:eastAsia="Arial"/>
              </w:rPr>
            </w:pPr>
            <w:r w:rsidRPr="0047440B">
              <w:rPr>
                <w:rFonts w:eastAsia="Arial"/>
              </w:rPr>
              <w:t>2018</w:t>
            </w:r>
          </w:p>
        </w:tc>
        <w:tc>
          <w:tcPr>
            <w:tcW w:w="914" w:type="dxa"/>
          </w:tcPr>
          <w:p w:rsidR="00082CC2" w:rsidRPr="0047440B" w:rsidRDefault="00082CC2" w:rsidP="00E22635">
            <w:pPr>
              <w:spacing w:line="233" w:lineRule="auto"/>
              <w:jc w:val="center"/>
              <w:rPr>
                <w:rFonts w:eastAsia="Arial"/>
              </w:rPr>
            </w:pPr>
            <w:r w:rsidRPr="0047440B">
              <w:rPr>
                <w:rFonts w:eastAsia="Arial"/>
              </w:rPr>
              <w:t>2019</w:t>
            </w:r>
          </w:p>
        </w:tc>
        <w:tc>
          <w:tcPr>
            <w:tcW w:w="914" w:type="dxa"/>
          </w:tcPr>
          <w:p w:rsidR="00082CC2" w:rsidRPr="0047440B" w:rsidRDefault="00082CC2" w:rsidP="00E22635">
            <w:pPr>
              <w:spacing w:line="233" w:lineRule="auto"/>
              <w:jc w:val="center"/>
              <w:rPr>
                <w:rFonts w:eastAsia="Arial"/>
              </w:rPr>
            </w:pPr>
            <w:r w:rsidRPr="0047440B">
              <w:rPr>
                <w:rFonts w:eastAsia="Arial"/>
              </w:rPr>
              <w:t>2020</w:t>
            </w:r>
          </w:p>
        </w:tc>
        <w:tc>
          <w:tcPr>
            <w:tcW w:w="914" w:type="dxa"/>
          </w:tcPr>
          <w:p w:rsidR="00082CC2" w:rsidRPr="0047440B" w:rsidRDefault="00082CC2" w:rsidP="00E22635">
            <w:pPr>
              <w:spacing w:line="233" w:lineRule="auto"/>
              <w:jc w:val="center"/>
              <w:rPr>
                <w:rFonts w:eastAsia="Arial"/>
              </w:rPr>
            </w:pPr>
            <w:r w:rsidRPr="0047440B">
              <w:rPr>
                <w:rFonts w:eastAsia="Arial"/>
              </w:rPr>
              <w:t>2021</w:t>
            </w:r>
          </w:p>
        </w:tc>
        <w:tc>
          <w:tcPr>
            <w:tcW w:w="914" w:type="dxa"/>
          </w:tcPr>
          <w:p w:rsidR="00082CC2" w:rsidRPr="0047440B" w:rsidRDefault="00082CC2" w:rsidP="00E22635">
            <w:pPr>
              <w:spacing w:line="233" w:lineRule="auto"/>
              <w:jc w:val="center"/>
              <w:rPr>
                <w:rFonts w:eastAsia="Arial"/>
              </w:rPr>
            </w:pPr>
            <w:r w:rsidRPr="0047440B">
              <w:rPr>
                <w:rFonts w:eastAsia="Arial"/>
              </w:rPr>
              <w:t>2022</w:t>
            </w:r>
          </w:p>
        </w:tc>
        <w:tc>
          <w:tcPr>
            <w:tcW w:w="914" w:type="dxa"/>
          </w:tcPr>
          <w:p w:rsidR="00082CC2" w:rsidRPr="0047440B" w:rsidRDefault="00082CC2" w:rsidP="00E22635">
            <w:pPr>
              <w:spacing w:line="233" w:lineRule="auto"/>
              <w:jc w:val="center"/>
              <w:rPr>
                <w:rFonts w:eastAsia="Arial"/>
              </w:rPr>
            </w:pPr>
            <w:r w:rsidRPr="0047440B">
              <w:rPr>
                <w:rFonts w:eastAsia="Arial"/>
              </w:rPr>
              <w:t>2023</w:t>
            </w:r>
          </w:p>
        </w:tc>
        <w:tc>
          <w:tcPr>
            <w:tcW w:w="814" w:type="dxa"/>
          </w:tcPr>
          <w:p w:rsidR="00082CC2" w:rsidRPr="0047440B" w:rsidRDefault="00082CC2" w:rsidP="00E22635">
            <w:pPr>
              <w:spacing w:line="233" w:lineRule="auto"/>
              <w:jc w:val="center"/>
              <w:rPr>
                <w:rFonts w:eastAsia="Arial"/>
              </w:rPr>
            </w:pPr>
            <w:r w:rsidRPr="0047440B">
              <w:rPr>
                <w:rFonts w:eastAsia="Arial"/>
              </w:rPr>
              <w:t>2024</w:t>
            </w:r>
          </w:p>
        </w:tc>
        <w:tc>
          <w:tcPr>
            <w:tcW w:w="816" w:type="dxa"/>
          </w:tcPr>
          <w:p w:rsidR="00082CC2" w:rsidRPr="0047440B" w:rsidRDefault="00082CC2" w:rsidP="00E22635">
            <w:pPr>
              <w:spacing w:line="233" w:lineRule="auto"/>
              <w:jc w:val="center"/>
              <w:rPr>
                <w:rFonts w:eastAsia="Arial"/>
              </w:rPr>
            </w:pPr>
            <w:r w:rsidRPr="0047440B">
              <w:rPr>
                <w:rFonts w:eastAsia="Arial"/>
              </w:rPr>
              <w:t>2025</w:t>
            </w:r>
            <w:r w:rsidR="00AE2108" w:rsidRPr="0047440B">
              <w:rPr>
                <w:rFonts w:eastAsia="Arial"/>
              </w:rPr>
              <w:t>*</w:t>
            </w:r>
          </w:p>
        </w:tc>
      </w:tr>
      <w:tr w:rsidR="00082CC2" w:rsidRPr="0047440B" w:rsidTr="00AE2108">
        <w:tc>
          <w:tcPr>
            <w:tcW w:w="1411" w:type="dxa"/>
          </w:tcPr>
          <w:p w:rsidR="00082CC2" w:rsidRPr="0047440B" w:rsidRDefault="00082CC2" w:rsidP="00E22635">
            <w:pPr>
              <w:spacing w:line="233" w:lineRule="auto"/>
              <w:jc w:val="center"/>
              <w:rPr>
                <w:rFonts w:eastAsia="Arial"/>
              </w:rPr>
            </w:pPr>
            <w:r w:rsidRPr="0047440B">
              <w:rPr>
                <w:rFonts w:eastAsia="Arial"/>
              </w:rPr>
              <w:t>Показатель</w:t>
            </w:r>
          </w:p>
        </w:tc>
        <w:tc>
          <w:tcPr>
            <w:tcW w:w="914" w:type="dxa"/>
          </w:tcPr>
          <w:p w:rsidR="00082CC2" w:rsidRPr="0047440B" w:rsidRDefault="00082CC2" w:rsidP="00E22635">
            <w:pPr>
              <w:spacing w:line="233" w:lineRule="auto"/>
              <w:jc w:val="center"/>
              <w:rPr>
                <w:rFonts w:eastAsia="Arial"/>
              </w:rPr>
            </w:pPr>
            <w:r w:rsidRPr="0047440B">
              <w:rPr>
                <w:rFonts w:eastAsia="Arial"/>
              </w:rPr>
              <w:t>89,3</w:t>
            </w:r>
          </w:p>
        </w:tc>
        <w:tc>
          <w:tcPr>
            <w:tcW w:w="914" w:type="dxa"/>
          </w:tcPr>
          <w:p w:rsidR="00082CC2" w:rsidRPr="0047440B" w:rsidRDefault="00082CC2" w:rsidP="00E22635">
            <w:pPr>
              <w:spacing w:line="233" w:lineRule="auto"/>
              <w:jc w:val="center"/>
              <w:rPr>
                <w:rFonts w:eastAsia="Arial"/>
              </w:rPr>
            </w:pPr>
            <w:r w:rsidRPr="0047440B">
              <w:rPr>
                <w:rFonts w:eastAsia="Arial"/>
              </w:rPr>
              <w:t>88,9</w:t>
            </w:r>
          </w:p>
        </w:tc>
        <w:tc>
          <w:tcPr>
            <w:tcW w:w="914" w:type="dxa"/>
          </w:tcPr>
          <w:p w:rsidR="00082CC2" w:rsidRPr="0047440B" w:rsidRDefault="00082CC2" w:rsidP="00E22635">
            <w:pPr>
              <w:spacing w:line="233" w:lineRule="auto"/>
              <w:jc w:val="center"/>
              <w:rPr>
                <w:rFonts w:eastAsia="Arial"/>
              </w:rPr>
            </w:pPr>
            <w:r w:rsidRPr="0047440B">
              <w:rPr>
                <w:rFonts w:eastAsia="Arial"/>
              </w:rPr>
              <w:t>88,2</w:t>
            </w:r>
          </w:p>
        </w:tc>
        <w:tc>
          <w:tcPr>
            <w:tcW w:w="914" w:type="dxa"/>
          </w:tcPr>
          <w:p w:rsidR="00082CC2" w:rsidRPr="0047440B" w:rsidRDefault="00082CC2" w:rsidP="00E22635">
            <w:pPr>
              <w:spacing w:line="233" w:lineRule="auto"/>
              <w:jc w:val="center"/>
              <w:rPr>
                <w:rFonts w:eastAsia="Arial"/>
              </w:rPr>
            </w:pPr>
            <w:r w:rsidRPr="0047440B">
              <w:rPr>
                <w:rFonts w:eastAsia="Arial"/>
              </w:rPr>
              <w:t>91,3</w:t>
            </w:r>
          </w:p>
        </w:tc>
        <w:tc>
          <w:tcPr>
            <w:tcW w:w="914" w:type="dxa"/>
          </w:tcPr>
          <w:p w:rsidR="00082CC2" w:rsidRPr="0047440B" w:rsidRDefault="00082CC2" w:rsidP="00E22635">
            <w:pPr>
              <w:spacing w:line="233" w:lineRule="auto"/>
              <w:jc w:val="center"/>
              <w:rPr>
                <w:rFonts w:eastAsia="Arial"/>
              </w:rPr>
            </w:pPr>
            <w:r w:rsidRPr="0047440B">
              <w:rPr>
                <w:rFonts w:eastAsia="Arial"/>
              </w:rPr>
              <w:t>92,7</w:t>
            </w:r>
          </w:p>
        </w:tc>
        <w:tc>
          <w:tcPr>
            <w:tcW w:w="914" w:type="dxa"/>
          </w:tcPr>
          <w:p w:rsidR="00082CC2" w:rsidRPr="0047440B" w:rsidRDefault="00082CC2" w:rsidP="00E22635">
            <w:pPr>
              <w:spacing w:line="233" w:lineRule="auto"/>
              <w:jc w:val="center"/>
              <w:rPr>
                <w:rFonts w:eastAsia="Arial"/>
              </w:rPr>
            </w:pPr>
            <w:r w:rsidRPr="0047440B">
              <w:rPr>
                <w:rFonts w:eastAsia="Arial"/>
              </w:rPr>
              <w:t>94,7</w:t>
            </w:r>
          </w:p>
        </w:tc>
        <w:tc>
          <w:tcPr>
            <w:tcW w:w="914" w:type="dxa"/>
          </w:tcPr>
          <w:p w:rsidR="00082CC2" w:rsidRPr="0047440B" w:rsidRDefault="00082CC2" w:rsidP="00E22635">
            <w:pPr>
              <w:spacing w:line="233" w:lineRule="auto"/>
              <w:jc w:val="center"/>
              <w:rPr>
                <w:rFonts w:eastAsia="Arial"/>
              </w:rPr>
            </w:pPr>
            <w:r w:rsidRPr="0047440B">
              <w:rPr>
                <w:rFonts w:eastAsia="Arial"/>
              </w:rPr>
              <w:t>95,8</w:t>
            </w:r>
          </w:p>
        </w:tc>
        <w:tc>
          <w:tcPr>
            <w:tcW w:w="914" w:type="dxa"/>
          </w:tcPr>
          <w:p w:rsidR="00082CC2" w:rsidRPr="0047440B" w:rsidRDefault="00082CC2" w:rsidP="00E22635">
            <w:pPr>
              <w:spacing w:line="233" w:lineRule="auto"/>
              <w:jc w:val="center"/>
              <w:rPr>
                <w:rFonts w:eastAsia="Arial"/>
              </w:rPr>
            </w:pPr>
            <w:r w:rsidRPr="0047440B">
              <w:rPr>
                <w:rFonts w:eastAsia="Arial"/>
              </w:rPr>
              <w:t>95,5</w:t>
            </w:r>
          </w:p>
        </w:tc>
        <w:tc>
          <w:tcPr>
            <w:tcW w:w="814" w:type="dxa"/>
          </w:tcPr>
          <w:p w:rsidR="00082CC2" w:rsidRPr="0047440B" w:rsidRDefault="00082CC2" w:rsidP="00E22635">
            <w:pPr>
              <w:spacing w:line="233" w:lineRule="auto"/>
              <w:jc w:val="center"/>
              <w:rPr>
                <w:rFonts w:eastAsia="Arial"/>
              </w:rPr>
            </w:pPr>
            <w:r w:rsidRPr="0047440B">
              <w:rPr>
                <w:rFonts w:eastAsia="Arial"/>
              </w:rPr>
              <w:t>96,5</w:t>
            </w:r>
          </w:p>
        </w:tc>
        <w:tc>
          <w:tcPr>
            <w:tcW w:w="816" w:type="dxa"/>
          </w:tcPr>
          <w:p w:rsidR="00082CC2" w:rsidRPr="0047440B" w:rsidRDefault="00AE2108" w:rsidP="00E22635">
            <w:pPr>
              <w:spacing w:line="233" w:lineRule="auto"/>
              <w:jc w:val="center"/>
              <w:rPr>
                <w:rFonts w:eastAsia="Arial"/>
              </w:rPr>
            </w:pPr>
            <w:r w:rsidRPr="0047440B">
              <w:rPr>
                <w:rFonts w:eastAsia="Arial"/>
              </w:rPr>
              <w:t>99,76</w:t>
            </w:r>
          </w:p>
        </w:tc>
      </w:tr>
    </w:tbl>
    <w:p w:rsidR="00AE2108" w:rsidRPr="0047440B" w:rsidRDefault="00AE2108" w:rsidP="00E22635">
      <w:pPr>
        <w:spacing w:line="233" w:lineRule="auto"/>
        <w:jc w:val="both"/>
        <w:rPr>
          <w:rFonts w:eastAsia="Arial"/>
          <w:sz w:val="28"/>
          <w:szCs w:val="28"/>
        </w:rPr>
      </w:pPr>
    </w:p>
    <w:p w:rsidR="00AE2108" w:rsidRPr="0047440B" w:rsidRDefault="00AE2108" w:rsidP="00E22635">
      <w:pPr>
        <w:autoSpaceDE/>
        <w:autoSpaceDN/>
        <w:adjustRightInd/>
        <w:spacing w:line="233" w:lineRule="auto"/>
        <w:ind w:right="-598" w:firstLine="709"/>
        <w:rPr>
          <w:rFonts w:eastAsia="Arial"/>
          <w:sz w:val="28"/>
          <w:szCs w:val="28"/>
        </w:rPr>
      </w:pPr>
      <w:r w:rsidRPr="0047440B">
        <w:rPr>
          <w:rFonts w:eastAsia="Arial"/>
          <w:sz w:val="20"/>
          <w:szCs w:val="20"/>
        </w:rPr>
        <w:t>*Представлены оперативные данные.</w:t>
      </w:r>
    </w:p>
    <w:p w:rsidR="002F20A6" w:rsidRPr="0047440B" w:rsidRDefault="002F20A6" w:rsidP="00E22635">
      <w:pPr>
        <w:spacing w:line="233" w:lineRule="auto"/>
        <w:ind w:firstLine="709"/>
      </w:pPr>
    </w:p>
    <w:p w:rsidR="006A40DD" w:rsidRPr="0047440B" w:rsidRDefault="006A40DD" w:rsidP="00E22635">
      <w:pPr>
        <w:pStyle w:val="af9"/>
        <w:spacing w:line="233" w:lineRule="auto"/>
        <w:ind w:left="0" w:firstLine="709"/>
        <w:contextualSpacing w:val="0"/>
        <w:jc w:val="both"/>
        <w:rPr>
          <w:sz w:val="28"/>
          <w:szCs w:val="28"/>
          <w:lang w:val="ru-RU"/>
        </w:rPr>
      </w:pPr>
      <w:r w:rsidRPr="0047440B">
        <w:rPr>
          <w:sz w:val="28"/>
          <w:szCs w:val="28"/>
          <w:lang w:val="ru-RU"/>
        </w:rPr>
        <w:t xml:space="preserve">За рассматриваемый период произошло увеличение показателя на </w:t>
      </w:r>
      <w:r w:rsidR="00AE2108" w:rsidRPr="0047440B">
        <w:rPr>
          <w:sz w:val="28"/>
          <w:szCs w:val="28"/>
          <w:lang w:val="ru-RU"/>
        </w:rPr>
        <w:t>11</w:t>
      </w:r>
      <w:r w:rsidRPr="0047440B">
        <w:rPr>
          <w:sz w:val="28"/>
          <w:szCs w:val="28"/>
          <w:lang w:val="ru-RU"/>
        </w:rPr>
        <w:t>,</w:t>
      </w:r>
      <w:r w:rsidR="00AE2108" w:rsidRPr="0047440B">
        <w:rPr>
          <w:sz w:val="28"/>
          <w:szCs w:val="28"/>
          <w:lang w:val="ru-RU"/>
        </w:rPr>
        <w:t>7</w:t>
      </w:r>
      <w:r w:rsidRPr="0047440B">
        <w:rPr>
          <w:sz w:val="28"/>
          <w:szCs w:val="28"/>
          <w:lang w:val="ru-RU"/>
        </w:rPr>
        <w:t xml:space="preserve"> процента.  С 2019 года наблюдается устойчивый рост показателя (таблица 15.2). </w:t>
      </w:r>
    </w:p>
    <w:p w:rsidR="007B1867" w:rsidRPr="0047440B" w:rsidRDefault="00887958" w:rsidP="00E22635">
      <w:pPr>
        <w:pStyle w:val="af9"/>
        <w:spacing w:line="233" w:lineRule="auto"/>
        <w:ind w:left="0" w:firstLine="709"/>
        <w:contextualSpacing w:val="0"/>
        <w:jc w:val="both"/>
        <w:rPr>
          <w:sz w:val="28"/>
          <w:szCs w:val="28"/>
          <w:lang w:val="ru-RU"/>
        </w:rPr>
      </w:pPr>
      <w:bookmarkStart w:id="3" w:name="_Hlk60146170"/>
      <w:r w:rsidRPr="0047440B">
        <w:rPr>
          <w:sz w:val="28"/>
          <w:szCs w:val="28"/>
          <w:lang w:val="ru-RU"/>
        </w:rPr>
        <w:t>1</w:t>
      </w:r>
      <w:r w:rsidR="00FB4B54" w:rsidRPr="0047440B">
        <w:rPr>
          <w:sz w:val="28"/>
          <w:szCs w:val="28"/>
          <w:lang w:val="ru-RU"/>
        </w:rPr>
        <w:t>.</w:t>
      </w:r>
      <w:r w:rsidRPr="0047440B">
        <w:rPr>
          <w:sz w:val="28"/>
          <w:szCs w:val="28"/>
          <w:lang w:val="ru-RU"/>
        </w:rPr>
        <w:t>4</w:t>
      </w:r>
      <w:r w:rsidR="00FB4B54" w:rsidRPr="0047440B">
        <w:rPr>
          <w:sz w:val="28"/>
          <w:szCs w:val="28"/>
          <w:lang w:val="ru-RU"/>
        </w:rPr>
        <w:t>.</w:t>
      </w:r>
      <w:r w:rsidR="00A47AA3" w:rsidRPr="0047440B">
        <w:rPr>
          <w:sz w:val="28"/>
          <w:szCs w:val="28"/>
          <w:lang w:val="ru-RU"/>
        </w:rPr>
        <w:t xml:space="preserve"> </w:t>
      </w:r>
      <w:r w:rsidR="007B1867" w:rsidRPr="0047440B">
        <w:rPr>
          <w:sz w:val="28"/>
          <w:szCs w:val="28"/>
        </w:rPr>
        <w:t>Текущая ситуация по реализации мероприятий по первичной и вторичной профилактике онкологических заболеваний</w:t>
      </w:r>
      <w:r w:rsidR="00181549" w:rsidRPr="0047440B">
        <w:rPr>
          <w:sz w:val="28"/>
          <w:szCs w:val="28"/>
          <w:lang w:val="ru-RU"/>
        </w:rPr>
        <w:t xml:space="preserve">. </w:t>
      </w:r>
    </w:p>
    <w:bookmarkEnd w:id="3"/>
    <w:p w:rsidR="003239F0" w:rsidRPr="0047440B" w:rsidRDefault="00F73DEE" w:rsidP="00E22635">
      <w:pPr>
        <w:spacing w:line="233" w:lineRule="auto"/>
        <w:ind w:firstLine="709"/>
        <w:jc w:val="both"/>
        <w:rPr>
          <w:rFonts w:eastAsia="Arial"/>
          <w:sz w:val="28"/>
          <w:szCs w:val="28"/>
        </w:rPr>
      </w:pPr>
      <w:r w:rsidRPr="0047440B">
        <w:rPr>
          <w:rFonts w:eastAsia="Arial"/>
          <w:sz w:val="28"/>
          <w:szCs w:val="28"/>
        </w:rPr>
        <w:t>С</w:t>
      </w:r>
      <w:r w:rsidR="003239F0" w:rsidRPr="0047440B">
        <w:rPr>
          <w:rFonts w:eastAsia="Arial"/>
          <w:sz w:val="28"/>
          <w:szCs w:val="28"/>
        </w:rPr>
        <w:t xml:space="preserve"> 20</w:t>
      </w:r>
      <w:r w:rsidR="00A41835" w:rsidRPr="0047440B">
        <w:rPr>
          <w:rFonts w:eastAsia="Arial"/>
          <w:sz w:val="28"/>
          <w:szCs w:val="28"/>
        </w:rPr>
        <w:t>1</w:t>
      </w:r>
      <w:r w:rsidR="004A6AE5" w:rsidRPr="0047440B">
        <w:rPr>
          <w:rFonts w:eastAsia="Arial"/>
          <w:sz w:val="28"/>
          <w:szCs w:val="28"/>
        </w:rPr>
        <w:t>6</w:t>
      </w:r>
      <w:r w:rsidR="003239F0" w:rsidRPr="0047440B">
        <w:rPr>
          <w:rFonts w:eastAsia="Arial"/>
          <w:sz w:val="28"/>
          <w:szCs w:val="28"/>
        </w:rPr>
        <w:t xml:space="preserve"> по 202</w:t>
      </w:r>
      <w:r w:rsidR="004A6AE5" w:rsidRPr="0047440B">
        <w:rPr>
          <w:rFonts w:eastAsia="Arial"/>
          <w:sz w:val="28"/>
          <w:szCs w:val="28"/>
        </w:rPr>
        <w:t>5</w:t>
      </w:r>
      <w:r w:rsidR="003239F0" w:rsidRPr="0047440B">
        <w:rPr>
          <w:rFonts w:eastAsia="Arial"/>
          <w:sz w:val="28"/>
          <w:szCs w:val="28"/>
        </w:rPr>
        <w:t xml:space="preserve"> год мероприятиями по первичной профилактике рака охвачено </w:t>
      </w:r>
      <w:r w:rsidR="001F617E" w:rsidRPr="0047440B">
        <w:rPr>
          <w:rFonts w:eastAsia="Arial"/>
          <w:sz w:val="28"/>
          <w:szCs w:val="28"/>
        </w:rPr>
        <w:t>14</w:t>
      </w:r>
      <w:r w:rsidR="008D2183" w:rsidRPr="0047440B">
        <w:rPr>
          <w:rFonts w:eastAsia="Arial"/>
          <w:sz w:val="28"/>
          <w:szCs w:val="28"/>
        </w:rPr>
        <w:t xml:space="preserve"> 731 218 </w:t>
      </w:r>
      <w:r w:rsidR="003239F0" w:rsidRPr="0047440B">
        <w:rPr>
          <w:rFonts w:eastAsia="Arial"/>
          <w:sz w:val="28"/>
          <w:szCs w:val="28"/>
        </w:rPr>
        <w:t xml:space="preserve">человек. Наглядный агитационно-информационный материал издан в количестве 259 500 единиц, ежегодно на каналах республиканского телевидения около 500 раз осуществлялась трансляция видеороликов (по 15 секунд) по первичной профилактике рака. </w:t>
      </w:r>
    </w:p>
    <w:p w:rsidR="00155605" w:rsidRPr="0047440B" w:rsidRDefault="003239F0" w:rsidP="00E22635">
      <w:pPr>
        <w:spacing w:line="233" w:lineRule="auto"/>
        <w:ind w:firstLine="709"/>
        <w:jc w:val="both"/>
        <w:rPr>
          <w:rFonts w:eastAsia="Arial"/>
          <w:sz w:val="28"/>
          <w:szCs w:val="28"/>
        </w:rPr>
      </w:pPr>
      <w:r w:rsidRPr="0047440B">
        <w:rPr>
          <w:rFonts w:eastAsia="Arial"/>
          <w:sz w:val="28"/>
          <w:szCs w:val="28"/>
        </w:rPr>
        <w:t xml:space="preserve">В республике регулярно проводятся мероприятия по формированию у населения модели здорового образа жизни. Осуществляются массовые акции, направленные на пропаганду здорового питания, физической активности, отказа от вредных привычек. </w:t>
      </w:r>
    </w:p>
    <w:p w:rsidR="003239F0" w:rsidRPr="0047440B" w:rsidRDefault="003239F0" w:rsidP="00E22635">
      <w:pPr>
        <w:spacing w:line="233" w:lineRule="auto"/>
        <w:ind w:firstLine="709"/>
        <w:jc w:val="both"/>
        <w:rPr>
          <w:rFonts w:eastAsia="Arial"/>
          <w:sz w:val="28"/>
          <w:szCs w:val="28"/>
        </w:rPr>
      </w:pPr>
      <w:r w:rsidRPr="0047440B">
        <w:rPr>
          <w:rFonts w:eastAsia="Arial"/>
          <w:sz w:val="28"/>
          <w:szCs w:val="28"/>
        </w:rPr>
        <w:t>В 202</w:t>
      </w:r>
      <w:r w:rsidR="008D2183" w:rsidRPr="0047440B">
        <w:rPr>
          <w:rFonts w:eastAsia="Arial"/>
          <w:sz w:val="28"/>
          <w:szCs w:val="28"/>
        </w:rPr>
        <w:t>5</w:t>
      </w:r>
      <w:r w:rsidRPr="0047440B">
        <w:rPr>
          <w:rFonts w:eastAsia="Arial"/>
          <w:sz w:val="28"/>
          <w:szCs w:val="28"/>
        </w:rPr>
        <w:t xml:space="preserve"> году число медицинских работников, обученных методике профилактики заболеваний и укреплению здоровья, составило </w:t>
      </w:r>
      <w:r w:rsidR="00BC448A" w:rsidRPr="0047440B">
        <w:rPr>
          <w:rFonts w:eastAsia="Arial"/>
          <w:sz w:val="28"/>
          <w:szCs w:val="28"/>
        </w:rPr>
        <w:t xml:space="preserve">6 </w:t>
      </w:r>
      <w:r w:rsidR="008D2183" w:rsidRPr="0047440B">
        <w:rPr>
          <w:rFonts w:eastAsia="Arial"/>
          <w:sz w:val="28"/>
          <w:szCs w:val="28"/>
        </w:rPr>
        <w:t>693</w:t>
      </w:r>
      <w:r w:rsidRPr="0047440B">
        <w:rPr>
          <w:rFonts w:eastAsia="Arial"/>
          <w:sz w:val="28"/>
          <w:szCs w:val="28"/>
        </w:rPr>
        <w:t xml:space="preserve"> человек, охват населения информированием по основам здорового образа жизни составил </w:t>
      </w:r>
      <w:r w:rsidR="009204FB" w:rsidRPr="0047440B">
        <w:rPr>
          <w:rFonts w:eastAsia="Arial"/>
          <w:sz w:val="28"/>
          <w:szCs w:val="28"/>
        </w:rPr>
        <w:t>1 766 902 (</w:t>
      </w:r>
      <w:r w:rsidR="008D2183" w:rsidRPr="0047440B">
        <w:rPr>
          <w:rFonts w:eastAsia="Arial"/>
          <w:sz w:val="28"/>
          <w:szCs w:val="28"/>
        </w:rPr>
        <w:t>76,3</w:t>
      </w:r>
      <w:r w:rsidRPr="0047440B">
        <w:rPr>
          <w:rFonts w:eastAsia="Arial"/>
          <w:sz w:val="28"/>
          <w:szCs w:val="28"/>
        </w:rPr>
        <w:t xml:space="preserve"> процента от численности взрослого населения</w:t>
      </w:r>
      <w:r w:rsidR="009204FB" w:rsidRPr="0047440B">
        <w:rPr>
          <w:rFonts w:eastAsia="Arial"/>
          <w:sz w:val="28"/>
          <w:szCs w:val="28"/>
        </w:rPr>
        <w:t xml:space="preserve"> </w:t>
      </w:r>
      <w:r w:rsidR="003D1E82" w:rsidRPr="0047440B">
        <w:rPr>
          <w:rFonts w:eastAsia="Arial"/>
          <w:sz w:val="28"/>
          <w:szCs w:val="28"/>
        </w:rPr>
        <w:t xml:space="preserve">– </w:t>
      </w:r>
      <w:r w:rsidR="008D2183" w:rsidRPr="0047440B">
        <w:rPr>
          <w:rFonts w:eastAsia="Arial"/>
          <w:sz w:val="28"/>
          <w:szCs w:val="28"/>
        </w:rPr>
        <w:t>2 314 930</w:t>
      </w:r>
      <w:r w:rsidRPr="0047440B">
        <w:rPr>
          <w:rFonts w:eastAsia="Arial"/>
          <w:sz w:val="28"/>
          <w:szCs w:val="28"/>
        </w:rPr>
        <w:t xml:space="preserve"> человек). </w:t>
      </w:r>
    </w:p>
    <w:p w:rsidR="005B0E2F" w:rsidRPr="0047440B" w:rsidRDefault="003239F0" w:rsidP="00E22635">
      <w:pPr>
        <w:spacing w:line="233" w:lineRule="auto"/>
        <w:ind w:firstLine="709"/>
        <w:jc w:val="both"/>
        <w:rPr>
          <w:rFonts w:eastAsia="Arial"/>
          <w:sz w:val="28"/>
          <w:szCs w:val="28"/>
        </w:rPr>
        <w:sectPr w:rsidR="005B0E2F" w:rsidRPr="0047440B" w:rsidSect="00130D76">
          <w:pgSz w:w="11906" w:h="16838"/>
          <w:pgMar w:top="1134" w:right="567" w:bottom="1134" w:left="1134" w:header="709" w:footer="709" w:gutter="0"/>
          <w:cols w:space="708"/>
          <w:docGrid w:linePitch="360"/>
        </w:sectPr>
      </w:pPr>
      <w:r w:rsidRPr="0047440B">
        <w:rPr>
          <w:rFonts w:eastAsia="Arial"/>
          <w:sz w:val="28"/>
          <w:szCs w:val="28"/>
        </w:rPr>
        <w:t>Информация о проведенных в 201</w:t>
      </w:r>
      <w:r w:rsidR="00CB7EDB" w:rsidRPr="0047440B">
        <w:rPr>
          <w:rFonts w:eastAsia="Arial"/>
          <w:sz w:val="28"/>
          <w:szCs w:val="28"/>
        </w:rPr>
        <w:t>4</w:t>
      </w:r>
      <w:r w:rsidRPr="0047440B">
        <w:rPr>
          <w:rFonts w:eastAsia="Arial"/>
          <w:sz w:val="28"/>
          <w:szCs w:val="28"/>
        </w:rPr>
        <w:t xml:space="preserve"> – 202</w:t>
      </w:r>
      <w:r w:rsidR="00CB7EDB" w:rsidRPr="0047440B">
        <w:rPr>
          <w:rFonts w:eastAsia="Arial"/>
          <w:sz w:val="28"/>
          <w:szCs w:val="28"/>
        </w:rPr>
        <w:t>4</w:t>
      </w:r>
      <w:r w:rsidRPr="0047440B">
        <w:rPr>
          <w:rFonts w:eastAsia="Arial"/>
          <w:sz w:val="28"/>
          <w:szCs w:val="28"/>
        </w:rPr>
        <w:t xml:space="preserve"> годах профилактических мероприятиях представлена в таблиц</w:t>
      </w:r>
      <w:r w:rsidR="001A7BC2" w:rsidRPr="0047440B">
        <w:rPr>
          <w:rFonts w:eastAsia="Arial"/>
          <w:sz w:val="28"/>
          <w:szCs w:val="28"/>
        </w:rPr>
        <w:t>е</w:t>
      </w:r>
      <w:r w:rsidRPr="0047440B">
        <w:rPr>
          <w:rFonts w:eastAsia="Arial"/>
          <w:sz w:val="28"/>
          <w:szCs w:val="28"/>
        </w:rPr>
        <w:t xml:space="preserve"> </w:t>
      </w:r>
      <w:r w:rsidR="005B0E2F" w:rsidRPr="0047440B">
        <w:rPr>
          <w:rFonts w:eastAsia="Arial"/>
          <w:sz w:val="28"/>
          <w:szCs w:val="28"/>
        </w:rPr>
        <w:t>15.3</w:t>
      </w:r>
      <w:r w:rsidR="00067293" w:rsidRPr="0047440B">
        <w:rPr>
          <w:rFonts w:eastAsia="Arial"/>
          <w:sz w:val="28"/>
          <w:szCs w:val="28"/>
        </w:rPr>
        <w:t>.</w:t>
      </w:r>
    </w:p>
    <w:p w:rsidR="00234D8A" w:rsidRPr="0047440B" w:rsidRDefault="005B0E2F" w:rsidP="00826010">
      <w:pPr>
        <w:tabs>
          <w:tab w:val="left" w:pos="14459"/>
        </w:tabs>
        <w:ind w:left="13183"/>
        <w:jc w:val="right"/>
        <w:rPr>
          <w:rFonts w:eastAsia="Arial"/>
          <w:sz w:val="28"/>
          <w:szCs w:val="28"/>
        </w:rPr>
      </w:pPr>
      <w:r w:rsidRPr="0047440B">
        <w:rPr>
          <w:rFonts w:eastAsia="Arial"/>
          <w:sz w:val="28"/>
          <w:szCs w:val="28"/>
        </w:rPr>
        <w:t>Таблица 15.3</w:t>
      </w:r>
    </w:p>
    <w:p w:rsidR="00234D8A" w:rsidRPr="0047440B" w:rsidRDefault="00234D8A" w:rsidP="00234D8A">
      <w:pPr>
        <w:rPr>
          <w:rFonts w:eastAsia="Arial"/>
          <w:sz w:val="28"/>
          <w:szCs w:val="28"/>
        </w:rPr>
      </w:pPr>
    </w:p>
    <w:p w:rsidR="00234D8A" w:rsidRPr="0047440B" w:rsidRDefault="00234D8A" w:rsidP="00234D8A">
      <w:pPr>
        <w:jc w:val="center"/>
        <w:rPr>
          <w:rFonts w:eastAsia="Arial"/>
          <w:sz w:val="28"/>
          <w:szCs w:val="28"/>
        </w:rPr>
      </w:pPr>
      <w:r w:rsidRPr="0047440B">
        <w:rPr>
          <w:rFonts w:eastAsia="Arial"/>
          <w:sz w:val="28"/>
          <w:szCs w:val="28"/>
        </w:rPr>
        <w:t>Число лиц, вовлеченных в мероприятия по первичной профилактике рака</w:t>
      </w:r>
    </w:p>
    <w:p w:rsidR="007B1867" w:rsidRPr="0047440B" w:rsidRDefault="007B1867" w:rsidP="00234D8A">
      <w:pPr>
        <w:jc w:val="both"/>
        <w:rPr>
          <w:rFonts w:eastAsia="Arial"/>
        </w:rPr>
      </w:pPr>
    </w:p>
    <w:tbl>
      <w:tblPr>
        <w:tblW w:w="148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2381"/>
        <w:gridCol w:w="1242"/>
        <w:gridCol w:w="1242"/>
        <w:gridCol w:w="1242"/>
        <w:gridCol w:w="1242"/>
        <w:gridCol w:w="1242"/>
        <w:gridCol w:w="1242"/>
        <w:gridCol w:w="1242"/>
        <w:gridCol w:w="1242"/>
        <w:gridCol w:w="1242"/>
        <w:gridCol w:w="1242"/>
      </w:tblGrid>
      <w:tr w:rsidR="005C0645" w:rsidRPr="0047440B" w:rsidTr="005C0645">
        <w:trPr>
          <w:tblHeader/>
        </w:trPr>
        <w:tc>
          <w:tcPr>
            <w:tcW w:w="2381" w:type="dxa"/>
            <w:shd w:val="clear" w:color="auto" w:fill="auto"/>
          </w:tcPr>
          <w:p w:rsidR="005C0645" w:rsidRPr="0047440B" w:rsidRDefault="005C0645" w:rsidP="005C0645">
            <w:pPr>
              <w:jc w:val="center"/>
              <w:rPr>
                <w:rFonts w:eastAsia="Arial"/>
              </w:rPr>
            </w:pPr>
            <w:r w:rsidRPr="0047440B">
              <w:t>Показатель</w:t>
            </w:r>
          </w:p>
        </w:tc>
        <w:tc>
          <w:tcPr>
            <w:tcW w:w="1242" w:type="dxa"/>
          </w:tcPr>
          <w:p w:rsidR="005C0645" w:rsidRPr="0047440B" w:rsidRDefault="005C0645" w:rsidP="005C0645">
            <w:pPr>
              <w:jc w:val="center"/>
              <w:rPr>
                <w:rFonts w:eastAsia="Arial"/>
              </w:rPr>
            </w:pPr>
            <w:r w:rsidRPr="0047440B">
              <w:t>2016 г.</w:t>
            </w:r>
          </w:p>
        </w:tc>
        <w:tc>
          <w:tcPr>
            <w:tcW w:w="1242" w:type="dxa"/>
          </w:tcPr>
          <w:p w:rsidR="005C0645" w:rsidRPr="0047440B" w:rsidRDefault="005C0645" w:rsidP="005C0645">
            <w:pPr>
              <w:jc w:val="center"/>
              <w:rPr>
                <w:rFonts w:eastAsia="Arial"/>
              </w:rPr>
            </w:pPr>
            <w:r w:rsidRPr="0047440B">
              <w:t>2017 г.</w:t>
            </w:r>
          </w:p>
        </w:tc>
        <w:tc>
          <w:tcPr>
            <w:tcW w:w="1242" w:type="dxa"/>
          </w:tcPr>
          <w:p w:rsidR="005C0645" w:rsidRPr="0047440B" w:rsidRDefault="005C0645" w:rsidP="005C0645">
            <w:pPr>
              <w:jc w:val="center"/>
              <w:rPr>
                <w:rFonts w:eastAsia="Arial"/>
              </w:rPr>
            </w:pPr>
            <w:r w:rsidRPr="0047440B">
              <w:t>2018 г.</w:t>
            </w:r>
          </w:p>
        </w:tc>
        <w:tc>
          <w:tcPr>
            <w:tcW w:w="1242" w:type="dxa"/>
          </w:tcPr>
          <w:p w:rsidR="005C0645" w:rsidRPr="0047440B" w:rsidRDefault="005C0645" w:rsidP="005C0645">
            <w:pPr>
              <w:jc w:val="center"/>
              <w:rPr>
                <w:rFonts w:eastAsia="Arial"/>
              </w:rPr>
            </w:pPr>
            <w:r w:rsidRPr="0047440B">
              <w:rPr>
                <w:rFonts w:eastAsia="Arial"/>
              </w:rPr>
              <w:t>2019 г.</w:t>
            </w:r>
          </w:p>
        </w:tc>
        <w:tc>
          <w:tcPr>
            <w:tcW w:w="1242" w:type="dxa"/>
          </w:tcPr>
          <w:p w:rsidR="005C0645" w:rsidRPr="0047440B" w:rsidRDefault="005C0645" w:rsidP="005C0645">
            <w:pPr>
              <w:jc w:val="center"/>
              <w:rPr>
                <w:rFonts w:eastAsia="Arial"/>
              </w:rPr>
            </w:pPr>
            <w:r w:rsidRPr="0047440B">
              <w:t>2020 г.</w:t>
            </w:r>
          </w:p>
        </w:tc>
        <w:tc>
          <w:tcPr>
            <w:tcW w:w="1242" w:type="dxa"/>
          </w:tcPr>
          <w:p w:rsidR="005C0645" w:rsidRPr="0047440B" w:rsidRDefault="005C0645" w:rsidP="005C0645">
            <w:pPr>
              <w:jc w:val="center"/>
              <w:rPr>
                <w:rFonts w:eastAsia="Arial"/>
              </w:rPr>
            </w:pPr>
            <w:r w:rsidRPr="0047440B">
              <w:rPr>
                <w:rFonts w:eastAsia="Arial"/>
              </w:rPr>
              <w:t>2021 г.</w:t>
            </w:r>
          </w:p>
        </w:tc>
        <w:tc>
          <w:tcPr>
            <w:tcW w:w="1242" w:type="dxa"/>
          </w:tcPr>
          <w:p w:rsidR="005C0645" w:rsidRPr="0047440B" w:rsidRDefault="005C0645" w:rsidP="005C0645">
            <w:pPr>
              <w:jc w:val="center"/>
              <w:rPr>
                <w:rFonts w:eastAsia="Arial"/>
              </w:rPr>
            </w:pPr>
            <w:r w:rsidRPr="0047440B">
              <w:rPr>
                <w:rFonts w:eastAsia="Arial"/>
              </w:rPr>
              <w:t>2022 г.</w:t>
            </w:r>
          </w:p>
        </w:tc>
        <w:tc>
          <w:tcPr>
            <w:tcW w:w="1242" w:type="dxa"/>
          </w:tcPr>
          <w:p w:rsidR="005C0645" w:rsidRPr="0047440B" w:rsidRDefault="005C0645" w:rsidP="005C0645">
            <w:pPr>
              <w:jc w:val="center"/>
              <w:rPr>
                <w:rFonts w:eastAsia="Arial"/>
              </w:rPr>
            </w:pPr>
            <w:r w:rsidRPr="0047440B">
              <w:rPr>
                <w:rFonts w:eastAsia="Arial"/>
              </w:rPr>
              <w:t>2023 г.</w:t>
            </w:r>
          </w:p>
        </w:tc>
        <w:tc>
          <w:tcPr>
            <w:tcW w:w="1242" w:type="dxa"/>
          </w:tcPr>
          <w:p w:rsidR="005C0645" w:rsidRPr="0047440B" w:rsidRDefault="005C0645" w:rsidP="005C0645">
            <w:pPr>
              <w:jc w:val="center"/>
              <w:rPr>
                <w:rFonts w:eastAsia="Arial"/>
              </w:rPr>
            </w:pPr>
            <w:r w:rsidRPr="0047440B">
              <w:rPr>
                <w:rFonts w:eastAsia="Arial"/>
              </w:rPr>
              <w:t>2024 г.</w:t>
            </w:r>
          </w:p>
        </w:tc>
        <w:tc>
          <w:tcPr>
            <w:tcW w:w="1242" w:type="dxa"/>
          </w:tcPr>
          <w:p w:rsidR="005C0645" w:rsidRPr="0047440B" w:rsidRDefault="005C0645" w:rsidP="005C0645">
            <w:pPr>
              <w:jc w:val="center"/>
              <w:rPr>
                <w:rFonts w:eastAsia="Arial"/>
              </w:rPr>
            </w:pPr>
            <w:r w:rsidRPr="0047440B">
              <w:rPr>
                <w:rFonts w:eastAsia="Arial"/>
              </w:rPr>
              <w:t>2025 г.</w:t>
            </w:r>
          </w:p>
        </w:tc>
      </w:tr>
      <w:tr w:rsidR="005C0645" w:rsidRPr="0047440B" w:rsidTr="005C0645">
        <w:tc>
          <w:tcPr>
            <w:tcW w:w="2381" w:type="dxa"/>
            <w:shd w:val="clear" w:color="auto" w:fill="auto"/>
          </w:tcPr>
          <w:p w:rsidR="005C0645" w:rsidRPr="0047440B" w:rsidRDefault="005C0645" w:rsidP="005C0645">
            <w:pPr>
              <w:jc w:val="both"/>
              <w:rPr>
                <w:rFonts w:eastAsia="Arial"/>
              </w:rPr>
            </w:pPr>
            <w:r w:rsidRPr="0047440B">
              <w:rPr>
                <w:rFonts w:eastAsia="Arial"/>
              </w:rPr>
              <w:t>Число лиц, обученных основам здорового образа жизни</w:t>
            </w:r>
          </w:p>
        </w:tc>
        <w:tc>
          <w:tcPr>
            <w:tcW w:w="1242" w:type="dxa"/>
          </w:tcPr>
          <w:p w:rsidR="005C0645" w:rsidRPr="0047440B" w:rsidRDefault="005C0645" w:rsidP="005C0645">
            <w:pPr>
              <w:ind w:left="-113" w:right="-113"/>
              <w:jc w:val="center"/>
              <w:rPr>
                <w:rFonts w:eastAsia="Arial"/>
              </w:rPr>
            </w:pPr>
            <w:r w:rsidRPr="0047440B">
              <w:rPr>
                <w:rFonts w:eastAsia="Arial"/>
              </w:rPr>
              <w:t>1 104 190</w:t>
            </w:r>
          </w:p>
        </w:tc>
        <w:tc>
          <w:tcPr>
            <w:tcW w:w="1242" w:type="dxa"/>
          </w:tcPr>
          <w:p w:rsidR="005C0645" w:rsidRPr="0047440B" w:rsidRDefault="005C0645" w:rsidP="005C0645">
            <w:pPr>
              <w:ind w:left="-113" w:right="-113"/>
              <w:jc w:val="center"/>
              <w:rPr>
                <w:rFonts w:eastAsia="Arial"/>
              </w:rPr>
            </w:pPr>
            <w:r w:rsidRPr="0047440B">
              <w:rPr>
                <w:rFonts w:eastAsia="Arial"/>
              </w:rPr>
              <w:t>1 596 219</w:t>
            </w:r>
          </w:p>
        </w:tc>
        <w:tc>
          <w:tcPr>
            <w:tcW w:w="1242" w:type="dxa"/>
          </w:tcPr>
          <w:p w:rsidR="005C0645" w:rsidRPr="0047440B" w:rsidRDefault="005C0645" w:rsidP="005C0645">
            <w:pPr>
              <w:ind w:left="-113" w:right="-113"/>
              <w:jc w:val="center"/>
              <w:rPr>
                <w:rFonts w:eastAsia="Arial"/>
              </w:rPr>
            </w:pPr>
            <w:r w:rsidRPr="0047440B">
              <w:rPr>
                <w:rFonts w:eastAsia="Arial"/>
              </w:rPr>
              <w:t>1 427 942</w:t>
            </w:r>
          </w:p>
        </w:tc>
        <w:tc>
          <w:tcPr>
            <w:tcW w:w="1242" w:type="dxa"/>
          </w:tcPr>
          <w:p w:rsidR="005C0645" w:rsidRPr="0047440B" w:rsidRDefault="005C0645" w:rsidP="005C0645">
            <w:pPr>
              <w:ind w:left="-113" w:right="-113"/>
              <w:jc w:val="center"/>
              <w:rPr>
                <w:rFonts w:eastAsia="Arial"/>
              </w:rPr>
            </w:pPr>
            <w:r w:rsidRPr="0047440B">
              <w:rPr>
                <w:rFonts w:eastAsia="Arial"/>
              </w:rPr>
              <w:t>1 522 813</w:t>
            </w:r>
          </w:p>
        </w:tc>
        <w:tc>
          <w:tcPr>
            <w:tcW w:w="1242" w:type="dxa"/>
          </w:tcPr>
          <w:p w:rsidR="005C0645" w:rsidRPr="0047440B" w:rsidRDefault="005C0645" w:rsidP="005C0645">
            <w:pPr>
              <w:ind w:left="-113" w:right="-113"/>
              <w:jc w:val="center"/>
              <w:rPr>
                <w:rFonts w:eastAsia="Arial"/>
              </w:rPr>
            </w:pPr>
            <w:r w:rsidRPr="0047440B">
              <w:rPr>
                <w:rFonts w:eastAsia="Arial"/>
              </w:rPr>
              <w:t>1 182 809</w:t>
            </w:r>
          </w:p>
        </w:tc>
        <w:tc>
          <w:tcPr>
            <w:tcW w:w="1242" w:type="dxa"/>
          </w:tcPr>
          <w:p w:rsidR="005C0645" w:rsidRPr="0047440B" w:rsidRDefault="005C0645" w:rsidP="005C0645">
            <w:pPr>
              <w:ind w:left="-113" w:right="-113"/>
              <w:jc w:val="center"/>
              <w:rPr>
                <w:rFonts w:eastAsia="Arial"/>
              </w:rPr>
            </w:pPr>
            <w:r w:rsidRPr="0047440B">
              <w:rPr>
                <w:rFonts w:eastAsia="Arial"/>
              </w:rPr>
              <w:t>1 304 413</w:t>
            </w:r>
          </w:p>
        </w:tc>
        <w:tc>
          <w:tcPr>
            <w:tcW w:w="1242" w:type="dxa"/>
          </w:tcPr>
          <w:p w:rsidR="005C0645" w:rsidRPr="0047440B" w:rsidRDefault="005C0645" w:rsidP="005C0645">
            <w:pPr>
              <w:ind w:left="-113" w:right="-113"/>
              <w:jc w:val="center"/>
              <w:rPr>
                <w:rFonts w:eastAsia="Arial"/>
              </w:rPr>
            </w:pPr>
            <w:r w:rsidRPr="0047440B">
              <w:rPr>
                <w:rFonts w:eastAsia="Arial"/>
              </w:rPr>
              <w:t>1 479 212</w:t>
            </w:r>
          </w:p>
        </w:tc>
        <w:tc>
          <w:tcPr>
            <w:tcW w:w="1242" w:type="dxa"/>
          </w:tcPr>
          <w:p w:rsidR="005C0645" w:rsidRPr="0047440B" w:rsidRDefault="005C0645" w:rsidP="005C0645">
            <w:pPr>
              <w:ind w:left="-113" w:right="-113"/>
              <w:jc w:val="center"/>
              <w:rPr>
                <w:rFonts w:eastAsia="Arial"/>
              </w:rPr>
            </w:pPr>
            <w:r w:rsidRPr="0047440B">
              <w:rPr>
                <w:rFonts w:eastAsia="Arial"/>
              </w:rPr>
              <w:t>1 607 889</w:t>
            </w:r>
          </w:p>
        </w:tc>
        <w:tc>
          <w:tcPr>
            <w:tcW w:w="1242" w:type="dxa"/>
          </w:tcPr>
          <w:p w:rsidR="005C0645" w:rsidRPr="0047440B" w:rsidRDefault="005C0645" w:rsidP="005C0645">
            <w:pPr>
              <w:ind w:left="-113" w:right="-113"/>
              <w:jc w:val="center"/>
              <w:rPr>
                <w:rFonts w:eastAsia="Arial"/>
              </w:rPr>
            </w:pPr>
            <w:r w:rsidRPr="0047440B">
              <w:rPr>
                <w:rFonts w:eastAsia="Arial"/>
              </w:rPr>
              <w:t>1 738 829</w:t>
            </w:r>
          </w:p>
        </w:tc>
        <w:tc>
          <w:tcPr>
            <w:tcW w:w="1242" w:type="dxa"/>
          </w:tcPr>
          <w:p w:rsidR="005C0645" w:rsidRPr="0047440B" w:rsidRDefault="005C0645" w:rsidP="005C0645">
            <w:pPr>
              <w:ind w:left="-113" w:right="-113"/>
              <w:jc w:val="center"/>
              <w:rPr>
                <w:rFonts w:eastAsia="Arial"/>
              </w:rPr>
            </w:pPr>
            <w:r w:rsidRPr="0047440B">
              <w:rPr>
                <w:rFonts w:eastAsia="Arial"/>
              </w:rPr>
              <w:t>1 766 902</w:t>
            </w:r>
          </w:p>
        </w:tc>
      </w:tr>
      <w:tr w:rsidR="005C0645" w:rsidRPr="0047440B" w:rsidTr="005C0645">
        <w:tc>
          <w:tcPr>
            <w:tcW w:w="2381" w:type="dxa"/>
            <w:shd w:val="clear" w:color="auto" w:fill="auto"/>
          </w:tcPr>
          <w:p w:rsidR="005C0645" w:rsidRPr="0047440B" w:rsidRDefault="005C0645" w:rsidP="005C0645">
            <w:pPr>
              <w:jc w:val="both"/>
              <w:rPr>
                <w:rFonts w:eastAsia="Arial"/>
              </w:rPr>
            </w:pPr>
            <w:r w:rsidRPr="0047440B">
              <w:rPr>
                <w:rFonts w:eastAsia="Arial"/>
              </w:rPr>
              <w:t>Число проведенных массовых мероприятий</w:t>
            </w:r>
          </w:p>
        </w:tc>
        <w:tc>
          <w:tcPr>
            <w:tcW w:w="1242" w:type="dxa"/>
          </w:tcPr>
          <w:p w:rsidR="005C0645" w:rsidRPr="0047440B" w:rsidRDefault="005C0645" w:rsidP="005C0645">
            <w:pPr>
              <w:ind w:left="-113" w:right="-113"/>
              <w:jc w:val="center"/>
              <w:rPr>
                <w:rFonts w:eastAsia="Arial"/>
              </w:rPr>
            </w:pPr>
            <w:r w:rsidRPr="0047440B">
              <w:rPr>
                <w:rFonts w:eastAsia="Arial"/>
              </w:rPr>
              <w:t>3 122</w:t>
            </w:r>
          </w:p>
        </w:tc>
        <w:tc>
          <w:tcPr>
            <w:tcW w:w="1242" w:type="dxa"/>
          </w:tcPr>
          <w:p w:rsidR="005C0645" w:rsidRPr="0047440B" w:rsidRDefault="005C0645" w:rsidP="005C0645">
            <w:pPr>
              <w:ind w:left="-113" w:right="-113"/>
              <w:jc w:val="center"/>
              <w:rPr>
                <w:rFonts w:eastAsia="Arial"/>
              </w:rPr>
            </w:pPr>
            <w:r w:rsidRPr="0047440B">
              <w:rPr>
                <w:rFonts w:eastAsia="Arial"/>
              </w:rPr>
              <w:t>3 037</w:t>
            </w:r>
          </w:p>
        </w:tc>
        <w:tc>
          <w:tcPr>
            <w:tcW w:w="1242" w:type="dxa"/>
          </w:tcPr>
          <w:p w:rsidR="005C0645" w:rsidRPr="0047440B" w:rsidRDefault="005C0645" w:rsidP="005C0645">
            <w:pPr>
              <w:ind w:left="-113" w:right="-113"/>
              <w:jc w:val="center"/>
              <w:rPr>
                <w:rFonts w:eastAsia="Arial"/>
              </w:rPr>
            </w:pPr>
            <w:r w:rsidRPr="0047440B">
              <w:rPr>
                <w:rFonts w:eastAsia="Arial"/>
              </w:rPr>
              <w:t>3 091</w:t>
            </w:r>
          </w:p>
        </w:tc>
        <w:tc>
          <w:tcPr>
            <w:tcW w:w="1242" w:type="dxa"/>
          </w:tcPr>
          <w:p w:rsidR="005C0645" w:rsidRPr="0047440B" w:rsidRDefault="005C0645" w:rsidP="005C0645">
            <w:pPr>
              <w:ind w:left="-113" w:right="-113"/>
              <w:jc w:val="center"/>
              <w:rPr>
                <w:rFonts w:eastAsia="Arial"/>
              </w:rPr>
            </w:pPr>
            <w:r w:rsidRPr="0047440B">
              <w:rPr>
                <w:rFonts w:eastAsia="Arial"/>
              </w:rPr>
              <w:t>3 520</w:t>
            </w:r>
          </w:p>
        </w:tc>
        <w:tc>
          <w:tcPr>
            <w:tcW w:w="1242" w:type="dxa"/>
          </w:tcPr>
          <w:p w:rsidR="005C0645" w:rsidRPr="0047440B" w:rsidRDefault="005C0645" w:rsidP="005C0645">
            <w:pPr>
              <w:ind w:left="-113" w:right="-113"/>
              <w:jc w:val="center"/>
              <w:rPr>
                <w:rFonts w:eastAsia="Arial"/>
              </w:rPr>
            </w:pPr>
            <w:r w:rsidRPr="0047440B">
              <w:rPr>
                <w:rFonts w:eastAsia="Arial"/>
              </w:rPr>
              <w:t>2 946</w:t>
            </w:r>
          </w:p>
        </w:tc>
        <w:tc>
          <w:tcPr>
            <w:tcW w:w="1242" w:type="dxa"/>
          </w:tcPr>
          <w:p w:rsidR="005C0645" w:rsidRPr="0047440B" w:rsidRDefault="005C0645" w:rsidP="005C0645">
            <w:pPr>
              <w:ind w:left="-113" w:right="-113"/>
              <w:jc w:val="center"/>
              <w:rPr>
                <w:rFonts w:eastAsia="Arial"/>
              </w:rPr>
            </w:pPr>
            <w:r w:rsidRPr="0047440B">
              <w:rPr>
                <w:rFonts w:eastAsia="Arial"/>
              </w:rPr>
              <w:t>3 423</w:t>
            </w:r>
          </w:p>
        </w:tc>
        <w:tc>
          <w:tcPr>
            <w:tcW w:w="1242" w:type="dxa"/>
          </w:tcPr>
          <w:p w:rsidR="005C0645" w:rsidRPr="0047440B" w:rsidRDefault="005C0645" w:rsidP="005C0645">
            <w:pPr>
              <w:ind w:left="-113" w:right="-113"/>
              <w:jc w:val="center"/>
              <w:rPr>
                <w:rFonts w:eastAsia="Arial"/>
              </w:rPr>
            </w:pPr>
            <w:r w:rsidRPr="0047440B">
              <w:rPr>
                <w:rFonts w:eastAsia="Arial"/>
              </w:rPr>
              <w:t>11 550</w:t>
            </w:r>
          </w:p>
        </w:tc>
        <w:tc>
          <w:tcPr>
            <w:tcW w:w="1242" w:type="dxa"/>
          </w:tcPr>
          <w:p w:rsidR="005C0645" w:rsidRPr="0047440B" w:rsidRDefault="005C0645" w:rsidP="005C0645">
            <w:pPr>
              <w:ind w:left="-113" w:right="-113"/>
              <w:jc w:val="center"/>
              <w:rPr>
                <w:rFonts w:eastAsia="Arial"/>
              </w:rPr>
            </w:pPr>
            <w:r w:rsidRPr="0047440B">
              <w:rPr>
                <w:rFonts w:eastAsia="Arial"/>
              </w:rPr>
              <w:t>3 292</w:t>
            </w:r>
          </w:p>
        </w:tc>
        <w:tc>
          <w:tcPr>
            <w:tcW w:w="1242" w:type="dxa"/>
          </w:tcPr>
          <w:p w:rsidR="005C0645" w:rsidRPr="0047440B" w:rsidRDefault="005C0645" w:rsidP="005C0645">
            <w:pPr>
              <w:ind w:left="-113" w:right="-113"/>
              <w:jc w:val="center"/>
              <w:rPr>
                <w:rFonts w:eastAsia="Arial"/>
              </w:rPr>
            </w:pPr>
            <w:r w:rsidRPr="0047440B">
              <w:rPr>
                <w:rFonts w:eastAsia="Arial"/>
              </w:rPr>
              <w:t>3 811</w:t>
            </w:r>
          </w:p>
        </w:tc>
        <w:tc>
          <w:tcPr>
            <w:tcW w:w="1242" w:type="dxa"/>
          </w:tcPr>
          <w:p w:rsidR="005C0645" w:rsidRPr="0047440B" w:rsidRDefault="005C0645" w:rsidP="005C0645">
            <w:pPr>
              <w:ind w:left="-113" w:right="-113"/>
              <w:jc w:val="center"/>
              <w:rPr>
                <w:rFonts w:eastAsia="Arial"/>
              </w:rPr>
            </w:pPr>
            <w:r w:rsidRPr="0047440B">
              <w:rPr>
                <w:rFonts w:eastAsia="Arial"/>
              </w:rPr>
              <w:t>4 423</w:t>
            </w:r>
          </w:p>
        </w:tc>
      </w:tr>
      <w:tr w:rsidR="005C0645" w:rsidRPr="0047440B" w:rsidTr="005C0645">
        <w:tc>
          <w:tcPr>
            <w:tcW w:w="2381" w:type="dxa"/>
            <w:shd w:val="clear" w:color="auto" w:fill="auto"/>
          </w:tcPr>
          <w:p w:rsidR="005C0645" w:rsidRPr="0047440B" w:rsidRDefault="005C0645" w:rsidP="005C0645">
            <w:pPr>
              <w:jc w:val="both"/>
              <w:rPr>
                <w:rFonts w:eastAsia="Arial"/>
              </w:rPr>
            </w:pPr>
            <w:r w:rsidRPr="0047440B">
              <w:rPr>
                <w:rFonts w:eastAsia="Arial"/>
              </w:rPr>
              <w:t>Число лиц, участвующих в массовых мероприятиях</w:t>
            </w:r>
          </w:p>
        </w:tc>
        <w:tc>
          <w:tcPr>
            <w:tcW w:w="1242" w:type="dxa"/>
          </w:tcPr>
          <w:p w:rsidR="005C0645" w:rsidRPr="0047440B" w:rsidRDefault="005C0645" w:rsidP="005C0645">
            <w:pPr>
              <w:ind w:left="-113" w:right="-113"/>
              <w:jc w:val="center"/>
              <w:rPr>
                <w:rFonts w:eastAsia="Arial"/>
              </w:rPr>
            </w:pPr>
            <w:r w:rsidRPr="0047440B">
              <w:rPr>
                <w:rFonts w:eastAsia="Arial"/>
              </w:rPr>
              <w:t>149 434</w:t>
            </w:r>
          </w:p>
        </w:tc>
        <w:tc>
          <w:tcPr>
            <w:tcW w:w="1242" w:type="dxa"/>
          </w:tcPr>
          <w:p w:rsidR="005C0645" w:rsidRPr="0047440B" w:rsidRDefault="005C0645" w:rsidP="005C0645">
            <w:pPr>
              <w:ind w:left="-113" w:right="-113"/>
              <w:jc w:val="center"/>
              <w:rPr>
                <w:rFonts w:eastAsia="Arial"/>
              </w:rPr>
            </w:pPr>
            <w:r w:rsidRPr="0047440B">
              <w:rPr>
                <w:rFonts w:eastAsia="Arial"/>
              </w:rPr>
              <w:t>146 427</w:t>
            </w:r>
          </w:p>
        </w:tc>
        <w:tc>
          <w:tcPr>
            <w:tcW w:w="1242" w:type="dxa"/>
          </w:tcPr>
          <w:p w:rsidR="005C0645" w:rsidRPr="0047440B" w:rsidRDefault="005C0645" w:rsidP="005C0645">
            <w:pPr>
              <w:ind w:left="-113" w:right="-113"/>
              <w:jc w:val="center"/>
              <w:rPr>
                <w:rFonts w:eastAsia="Arial"/>
              </w:rPr>
            </w:pPr>
            <w:r w:rsidRPr="0047440B">
              <w:rPr>
                <w:rFonts w:eastAsia="Arial"/>
              </w:rPr>
              <w:t>139 547</w:t>
            </w:r>
          </w:p>
        </w:tc>
        <w:tc>
          <w:tcPr>
            <w:tcW w:w="1242" w:type="dxa"/>
          </w:tcPr>
          <w:p w:rsidR="005C0645" w:rsidRPr="0047440B" w:rsidRDefault="005C0645" w:rsidP="005C0645">
            <w:pPr>
              <w:ind w:left="-113" w:right="-113"/>
              <w:jc w:val="center"/>
              <w:rPr>
                <w:rFonts w:eastAsia="Arial"/>
              </w:rPr>
            </w:pPr>
            <w:r w:rsidRPr="0047440B">
              <w:rPr>
                <w:rFonts w:eastAsia="Arial"/>
              </w:rPr>
              <w:t>191 692</w:t>
            </w:r>
          </w:p>
        </w:tc>
        <w:tc>
          <w:tcPr>
            <w:tcW w:w="1242" w:type="dxa"/>
          </w:tcPr>
          <w:p w:rsidR="005C0645" w:rsidRPr="0047440B" w:rsidRDefault="005C0645" w:rsidP="005C0645">
            <w:pPr>
              <w:ind w:left="-113" w:right="-113"/>
              <w:jc w:val="center"/>
              <w:rPr>
                <w:rFonts w:eastAsia="Arial"/>
              </w:rPr>
            </w:pPr>
            <w:r w:rsidRPr="0047440B">
              <w:rPr>
                <w:rFonts w:eastAsia="Arial"/>
              </w:rPr>
              <w:t>193 525</w:t>
            </w:r>
          </w:p>
        </w:tc>
        <w:tc>
          <w:tcPr>
            <w:tcW w:w="1242" w:type="dxa"/>
          </w:tcPr>
          <w:p w:rsidR="005C0645" w:rsidRPr="0047440B" w:rsidRDefault="005C0645" w:rsidP="005C0645">
            <w:pPr>
              <w:ind w:left="-113" w:right="-113"/>
              <w:jc w:val="center"/>
              <w:rPr>
                <w:rFonts w:eastAsia="Arial"/>
              </w:rPr>
            </w:pPr>
            <w:r w:rsidRPr="0047440B">
              <w:rPr>
                <w:rFonts w:eastAsia="Arial"/>
              </w:rPr>
              <w:t>161 815</w:t>
            </w:r>
          </w:p>
        </w:tc>
        <w:tc>
          <w:tcPr>
            <w:tcW w:w="1242" w:type="dxa"/>
          </w:tcPr>
          <w:p w:rsidR="005C0645" w:rsidRPr="0047440B" w:rsidRDefault="005C0645" w:rsidP="005C0645">
            <w:pPr>
              <w:ind w:left="-113" w:right="-113"/>
              <w:jc w:val="center"/>
              <w:rPr>
                <w:rFonts w:eastAsia="Arial"/>
              </w:rPr>
            </w:pPr>
            <w:r w:rsidRPr="0047440B">
              <w:rPr>
                <w:rFonts w:eastAsia="Arial"/>
              </w:rPr>
              <w:t>220 205</w:t>
            </w:r>
          </w:p>
        </w:tc>
        <w:tc>
          <w:tcPr>
            <w:tcW w:w="1242" w:type="dxa"/>
          </w:tcPr>
          <w:p w:rsidR="005C0645" w:rsidRPr="0047440B" w:rsidRDefault="005C0645" w:rsidP="005C0645">
            <w:pPr>
              <w:ind w:left="-113" w:right="-113"/>
              <w:jc w:val="center"/>
              <w:rPr>
                <w:rFonts w:eastAsia="Arial"/>
              </w:rPr>
            </w:pPr>
            <w:r w:rsidRPr="0047440B">
              <w:rPr>
                <w:rFonts w:eastAsia="Arial"/>
              </w:rPr>
              <w:t>211 220</w:t>
            </w:r>
          </w:p>
          <w:p w:rsidR="005C0645" w:rsidRPr="0047440B" w:rsidRDefault="005C0645" w:rsidP="005C0645">
            <w:pPr>
              <w:ind w:left="-113" w:right="-113"/>
              <w:jc w:val="center"/>
              <w:rPr>
                <w:rFonts w:eastAsia="Arial"/>
              </w:rPr>
            </w:pPr>
          </w:p>
        </w:tc>
        <w:tc>
          <w:tcPr>
            <w:tcW w:w="1242" w:type="dxa"/>
          </w:tcPr>
          <w:p w:rsidR="005C0645" w:rsidRPr="0047440B" w:rsidRDefault="005C0645" w:rsidP="005C0645">
            <w:pPr>
              <w:ind w:left="-113" w:right="-113"/>
              <w:jc w:val="center"/>
              <w:rPr>
                <w:rFonts w:eastAsia="Arial"/>
              </w:rPr>
            </w:pPr>
            <w:r w:rsidRPr="0047440B">
              <w:rPr>
                <w:rFonts w:eastAsia="Arial"/>
              </w:rPr>
              <w:t>260 323</w:t>
            </w:r>
          </w:p>
        </w:tc>
        <w:tc>
          <w:tcPr>
            <w:tcW w:w="1242" w:type="dxa"/>
          </w:tcPr>
          <w:p w:rsidR="005C0645" w:rsidRPr="0047440B" w:rsidRDefault="005C0645" w:rsidP="005C0645">
            <w:pPr>
              <w:ind w:left="-113" w:right="-113"/>
              <w:jc w:val="center"/>
              <w:rPr>
                <w:rFonts w:eastAsia="Arial"/>
              </w:rPr>
            </w:pPr>
            <w:r w:rsidRPr="0047440B">
              <w:rPr>
                <w:rFonts w:eastAsia="Arial"/>
              </w:rPr>
              <w:t>295 411</w:t>
            </w:r>
          </w:p>
        </w:tc>
      </w:tr>
      <w:tr w:rsidR="005C0645" w:rsidRPr="0047440B" w:rsidTr="005C0645">
        <w:tc>
          <w:tcPr>
            <w:tcW w:w="2381" w:type="dxa"/>
            <w:shd w:val="clear" w:color="auto" w:fill="auto"/>
          </w:tcPr>
          <w:p w:rsidR="005C0645" w:rsidRPr="0047440B" w:rsidRDefault="005C0645" w:rsidP="005C0645">
            <w:pPr>
              <w:jc w:val="both"/>
              <w:rPr>
                <w:rFonts w:eastAsia="Arial"/>
              </w:rPr>
            </w:pPr>
            <w:r w:rsidRPr="0047440B">
              <w:rPr>
                <w:rFonts w:eastAsia="Arial"/>
              </w:rPr>
              <w:t>Число медицинских работников, обученных методике профилактики заболеваний и укрепления здоровья</w:t>
            </w:r>
          </w:p>
        </w:tc>
        <w:tc>
          <w:tcPr>
            <w:tcW w:w="1242" w:type="dxa"/>
          </w:tcPr>
          <w:p w:rsidR="005C0645" w:rsidRPr="0047440B" w:rsidRDefault="005C0645" w:rsidP="005C0645">
            <w:pPr>
              <w:ind w:left="-113" w:right="-113"/>
              <w:jc w:val="center"/>
              <w:rPr>
                <w:rFonts w:eastAsia="Arial"/>
              </w:rPr>
            </w:pPr>
            <w:r w:rsidRPr="0047440B">
              <w:rPr>
                <w:rFonts w:eastAsia="Arial"/>
              </w:rPr>
              <w:t>2 503</w:t>
            </w:r>
          </w:p>
        </w:tc>
        <w:tc>
          <w:tcPr>
            <w:tcW w:w="1242" w:type="dxa"/>
          </w:tcPr>
          <w:p w:rsidR="005C0645" w:rsidRPr="0047440B" w:rsidRDefault="005C0645" w:rsidP="005C0645">
            <w:pPr>
              <w:ind w:left="-113" w:right="-113"/>
              <w:jc w:val="center"/>
              <w:rPr>
                <w:rFonts w:eastAsia="Arial"/>
              </w:rPr>
            </w:pPr>
            <w:r w:rsidRPr="0047440B">
              <w:rPr>
                <w:rFonts w:eastAsia="Arial"/>
              </w:rPr>
              <w:t>2 527</w:t>
            </w:r>
          </w:p>
        </w:tc>
        <w:tc>
          <w:tcPr>
            <w:tcW w:w="1242" w:type="dxa"/>
          </w:tcPr>
          <w:p w:rsidR="005C0645" w:rsidRPr="0047440B" w:rsidRDefault="005C0645" w:rsidP="005C0645">
            <w:pPr>
              <w:ind w:left="-113" w:right="-113"/>
              <w:jc w:val="center"/>
              <w:rPr>
                <w:rFonts w:eastAsia="Arial"/>
              </w:rPr>
            </w:pPr>
            <w:r w:rsidRPr="0047440B">
              <w:rPr>
                <w:rFonts w:eastAsia="Arial"/>
              </w:rPr>
              <w:t>2 232</w:t>
            </w:r>
          </w:p>
        </w:tc>
        <w:tc>
          <w:tcPr>
            <w:tcW w:w="1242" w:type="dxa"/>
          </w:tcPr>
          <w:p w:rsidR="005C0645" w:rsidRPr="0047440B" w:rsidRDefault="005C0645" w:rsidP="005C0645">
            <w:pPr>
              <w:ind w:left="-113" w:right="-113"/>
              <w:jc w:val="center"/>
              <w:rPr>
                <w:rFonts w:eastAsia="Arial"/>
              </w:rPr>
            </w:pPr>
            <w:r w:rsidRPr="0047440B">
              <w:rPr>
                <w:rFonts w:eastAsia="Arial"/>
              </w:rPr>
              <w:t>2 632</w:t>
            </w:r>
          </w:p>
        </w:tc>
        <w:tc>
          <w:tcPr>
            <w:tcW w:w="1242" w:type="dxa"/>
          </w:tcPr>
          <w:p w:rsidR="005C0645" w:rsidRPr="0047440B" w:rsidRDefault="005C0645" w:rsidP="005C0645">
            <w:pPr>
              <w:ind w:left="-113" w:right="-113"/>
              <w:jc w:val="center"/>
              <w:rPr>
                <w:rFonts w:eastAsia="Arial"/>
              </w:rPr>
            </w:pPr>
            <w:r w:rsidRPr="0047440B">
              <w:rPr>
                <w:rFonts w:eastAsia="Arial"/>
              </w:rPr>
              <w:t>2 196</w:t>
            </w:r>
          </w:p>
        </w:tc>
        <w:tc>
          <w:tcPr>
            <w:tcW w:w="1242" w:type="dxa"/>
          </w:tcPr>
          <w:p w:rsidR="005C0645" w:rsidRPr="0047440B" w:rsidRDefault="005C0645" w:rsidP="005C0645">
            <w:pPr>
              <w:ind w:left="-113" w:right="-113"/>
              <w:jc w:val="center"/>
              <w:rPr>
                <w:rFonts w:eastAsia="Arial"/>
              </w:rPr>
            </w:pPr>
            <w:r w:rsidRPr="0047440B">
              <w:rPr>
                <w:rFonts w:eastAsia="Arial"/>
              </w:rPr>
              <w:t>1 930</w:t>
            </w:r>
          </w:p>
        </w:tc>
        <w:tc>
          <w:tcPr>
            <w:tcW w:w="1242" w:type="dxa"/>
          </w:tcPr>
          <w:p w:rsidR="005C0645" w:rsidRPr="0047440B" w:rsidRDefault="005C0645" w:rsidP="005C0645">
            <w:pPr>
              <w:ind w:left="-113" w:right="-113"/>
              <w:jc w:val="center"/>
              <w:rPr>
                <w:rFonts w:eastAsia="Arial"/>
              </w:rPr>
            </w:pPr>
            <w:r w:rsidRPr="0047440B">
              <w:rPr>
                <w:rFonts w:eastAsia="Arial"/>
              </w:rPr>
              <w:t>3 213</w:t>
            </w:r>
          </w:p>
        </w:tc>
        <w:tc>
          <w:tcPr>
            <w:tcW w:w="1242" w:type="dxa"/>
          </w:tcPr>
          <w:p w:rsidR="005C0645" w:rsidRPr="0047440B" w:rsidRDefault="005C0645" w:rsidP="005C0645">
            <w:pPr>
              <w:ind w:left="-113" w:right="-113"/>
              <w:jc w:val="center"/>
              <w:rPr>
                <w:rFonts w:eastAsia="Arial"/>
              </w:rPr>
            </w:pPr>
            <w:r w:rsidRPr="0047440B">
              <w:rPr>
                <w:rFonts w:eastAsia="Arial"/>
              </w:rPr>
              <w:t>3 966</w:t>
            </w:r>
          </w:p>
        </w:tc>
        <w:tc>
          <w:tcPr>
            <w:tcW w:w="1242" w:type="dxa"/>
          </w:tcPr>
          <w:p w:rsidR="005C0645" w:rsidRPr="0047440B" w:rsidRDefault="005C0645" w:rsidP="005C0645">
            <w:pPr>
              <w:ind w:left="-113" w:right="-113"/>
              <w:jc w:val="center"/>
              <w:rPr>
                <w:rFonts w:eastAsia="Arial"/>
              </w:rPr>
            </w:pPr>
            <w:r w:rsidRPr="0047440B">
              <w:rPr>
                <w:rFonts w:eastAsia="Arial"/>
              </w:rPr>
              <w:t>6 918</w:t>
            </w:r>
          </w:p>
        </w:tc>
        <w:tc>
          <w:tcPr>
            <w:tcW w:w="1242" w:type="dxa"/>
          </w:tcPr>
          <w:p w:rsidR="005C0645" w:rsidRPr="0047440B" w:rsidRDefault="005C0645" w:rsidP="005C0645">
            <w:pPr>
              <w:ind w:left="-113" w:right="-113"/>
              <w:jc w:val="center"/>
              <w:rPr>
                <w:rFonts w:eastAsia="Arial"/>
              </w:rPr>
            </w:pPr>
            <w:r w:rsidRPr="0047440B">
              <w:rPr>
                <w:rFonts w:eastAsia="Arial"/>
              </w:rPr>
              <w:t>6 693</w:t>
            </w:r>
          </w:p>
        </w:tc>
      </w:tr>
    </w:tbl>
    <w:p w:rsidR="00234D8A" w:rsidRPr="0047440B" w:rsidRDefault="00234D8A" w:rsidP="00234D8A">
      <w:pPr>
        <w:jc w:val="both"/>
        <w:rPr>
          <w:rFonts w:eastAsia="Arial"/>
        </w:rPr>
      </w:pPr>
    </w:p>
    <w:p w:rsidR="00234D8A" w:rsidRPr="0047440B" w:rsidRDefault="00234D8A" w:rsidP="00234D8A">
      <w:pPr>
        <w:jc w:val="both"/>
        <w:rPr>
          <w:rFonts w:eastAsia="Arial"/>
        </w:rPr>
      </w:pPr>
    </w:p>
    <w:p w:rsidR="007B1867" w:rsidRPr="0047440B" w:rsidRDefault="007B1867" w:rsidP="00B15E9E">
      <w:pPr>
        <w:ind w:firstLine="709"/>
        <w:jc w:val="both"/>
        <w:rPr>
          <w:rFonts w:eastAsia="Arial"/>
        </w:rPr>
      </w:pPr>
    </w:p>
    <w:p w:rsidR="007B1867" w:rsidRPr="0047440B" w:rsidRDefault="007B1867" w:rsidP="007B1867">
      <w:pPr>
        <w:rPr>
          <w:rFonts w:eastAsia="Arial"/>
        </w:rPr>
        <w:sectPr w:rsidR="007B1867" w:rsidRPr="0047440B" w:rsidSect="00826010">
          <w:pgSz w:w="16838" w:h="11906" w:orient="landscape"/>
          <w:pgMar w:top="1134" w:right="567" w:bottom="1134" w:left="1134" w:header="709" w:footer="709" w:gutter="0"/>
          <w:cols w:space="708"/>
          <w:docGrid w:linePitch="360"/>
        </w:sectPr>
      </w:pPr>
    </w:p>
    <w:p w:rsidR="003239F0" w:rsidRPr="0047440B" w:rsidRDefault="003239F0" w:rsidP="00E4174D">
      <w:pPr>
        <w:spacing w:line="235" w:lineRule="auto"/>
        <w:ind w:firstLine="709"/>
        <w:jc w:val="both"/>
        <w:rPr>
          <w:rFonts w:eastAsia="Arial"/>
          <w:sz w:val="28"/>
          <w:szCs w:val="28"/>
        </w:rPr>
      </w:pPr>
      <w:r w:rsidRPr="0047440B">
        <w:rPr>
          <w:sz w:val="28"/>
          <w:szCs w:val="28"/>
        </w:rPr>
        <w:t>Г</w:t>
      </w:r>
      <w:r w:rsidR="00115E66" w:rsidRPr="0047440B">
        <w:rPr>
          <w:sz w:val="28"/>
          <w:szCs w:val="28"/>
        </w:rPr>
        <w:t xml:space="preserve">осударственное автономное учреждение здравоохранения </w:t>
      </w:r>
      <w:r w:rsidR="002F7358" w:rsidRPr="0047440B">
        <w:rPr>
          <w:rFonts w:eastAsia="Arial"/>
          <w:sz w:val="28"/>
          <w:szCs w:val="28"/>
        </w:rPr>
        <w:t>«</w:t>
      </w:r>
      <w:r w:rsidRPr="0047440B">
        <w:rPr>
          <w:rFonts w:eastAsia="Arial"/>
          <w:sz w:val="28"/>
          <w:szCs w:val="28"/>
        </w:rPr>
        <w:t>Республиканский клинический онкологический диспансер Министерства здравоохранения Респуб</w:t>
      </w:r>
      <w:r w:rsidR="00E4174D" w:rsidRPr="0047440B">
        <w:rPr>
          <w:rFonts w:eastAsia="Arial"/>
          <w:sz w:val="28"/>
          <w:szCs w:val="28"/>
        </w:rPr>
        <w:t>-</w:t>
      </w:r>
      <w:r w:rsidR="00E4174D" w:rsidRPr="0047440B">
        <w:rPr>
          <w:rFonts w:eastAsia="Arial"/>
          <w:sz w:val="28"/>
          <w:szCs w:val="28"/>
        </w:rPr>
        <w:br/>
      </w:r>
      <w:r w:rsidRPr="0047440B">
        <w:rPr>
          <w:rFonts w:eastAsia="Arial"/>
          <w:sz w:val="28"/>
          <w:szCs w:val="28"/>
        </w:rPr>
        <w:t xml:space="preserve">лики Татарстан имени профессора </w:t>
      </w:r>
      <w:r w:rsidR="00405B19" w:rsidRPr="0047440B">
        <w:rPr>
          <w:rFonts w:eastAsia="Arial"/>
          <w:sz w:val="28"/>
          <w:szCs w:val="28"/>
        </w:rPr>
        <w:t>М.З.Сигала</w:t>
      </w:r>
      <w:r w:rsidR="002F7358" w:rsidRPr="0047440B">
        <w:rPr>
          <w:rFonts w:eastAsia="Arial"/>
          <w:sz w:val="28"/>
          <w:szCs w:val="28"/>
        </w:rPr>
        <w:t>»</w:t>
      </w:r>
      <w:r w:rsidRPr="0047440B">
        <w:rPr>
          <w:rFonts w:eastAsia="Arial"/>
          <w:sz w:val="28"/>
          <w:szCs w:val="28"/>
        </w:rPr>
        <w:t xml:space="preserve"> </w:t>
      </w:r>
      <w:r w:rsidR="006A35AD" w:rsidRPr="0047440B">
        <w:rPr>
          <w:rFonts w:eastAsia="Arial"/>
          <w:sz w:val="28"/>
          <w:szCs w:val="28"/>
        </w:rPr>
        <w:t xml:space="preserve">(далее – ГАУЗ </w:t>
      </w:r>
      <w:r w:rsidR="002F7358" w:rsidRPr="0047440B">
        <w:rPr>
          <w:rFonts w:eastAsia="Arial"/>
          <w:sz w:val="28"/>
          <w:szCs w:val="28"/>
        </w:rPr>
        <w:t>«</w:t>
      </w:r>
      <w:r w:rsidR="00E4174D" w:rsidRPr="0047440B">
        <w:rPr>
          <w:rFonts w:eastAsia="Arial"/>
          <w:sz w:val="28"/>
          <w:szCs w:val="28"/>
        </w:rPr>
        <w:t>РКОД МЗ РТ им.</w:t>
      </w:r>
      <w:r w:rsidR="006A35AD" w:rsidRPr="0047440B">
        <w:rPr>
          <w:rFonts w:eastAsia="Arial"/>
          <w:sz w:val="28"/>
          <w:szCs w:val="28"/>
        </w:rPr>
        <w:t>проф.М.З.Сигала</w:t>
      </w:r>
      <w:r w:rsidR="002F7358" w:rsidRPr="0047440B">
        <w:rPr>
          <w:rFonts w:eastAsia="Arial"/>
          <w:sz w:val="28"/>
          <w:szCs w:val="28"/>
        </w:rPr>
        <w:t>»</w:t>
      </w:r>
      <w:r w:rsidR="006A35AD" w:rsidRPr="0047440B">
        <w:rPr>
          <w:rFonts w:eastAsia="Arial"/>
          <w:sz w:val="28"/>
          <w:szCs w:val="28"/>
        </w:rPr>
        <w:t xml:space="preserve">) </w:t>
      </w:r>
      <w:r w:rsidRPr="0047440B">
        <w:rPr>
          <w:rFonts w:eastAsia="Arial"/>
          <w:sz w:val="28"/>
          <w:szCs w:val="28"/>
        </w:rPr>
        <w:t xml:space="preserve">активно участвует в формировании здорового образа жизни населения, мотивации граждан на своевременное посещение медицинских организаций, повышении приверженности населения к сохранению своего здоровья. </w:t>
      </w:r>
    </w:p>
    <w:p w:rsidR="003239F0" w:rsidRPr="0047440B" w:rsidRDefault="003239F0" w:rsidP="00E4174D">
      <w:pPr>
        <w:spacing w:line="235" w:lineRule="auto"/>
        <w:ind w:firstLine="709"/>
        <w:jc w:val="both"/>
        <w:rPr>
          <w:sz w:val="28"/>
          <w:szCs w:val="28"/>
        </w:rPr>
      </w:pPr>
      <w:r w:rsidRPr="0047440B">
        <w:rPr>
          <w:sz w:val="28"/>
          <w:szCs w:val="28"/>
        </w:rPr>
        <w:t xml:space="preserve">На официальных аккаунтах </w:t>
      </w:r>
      <w:r w:rsidR="006A35AD" w:rsidRPr="0047440B">
        <w:rPr>
          <w:rFonts w:eastAsia="Arial"/>
          <w:sz w:val="28"/>
          <w:szCs w:val="28"/>
        </w:rPr>
        <w:t xml:space="preserve">ГАУЗ </w:t>
      </w:r>
      <w:r w:rsidR="002F7358" w:rsidRPr="0047440B">
        <w:rPr>
          <w:rFonts w:eastAsia="Arial"/>
          <w:sz w:val="28"/>
          <w:szCs w:val="28"/>
        </w:rPr>
        <w:t>«</w:t>
      </w:r>
      <w:r w:rsidR="006A35AD" w:rsidRPr="0047440B">
        <w:rPr>
          <w:rFonts w:eastAsia="Arial"/>
          <w:sz w:val="28"/>
          <w:szCs w:val="28"/>
        </w:rPr>
        <w:t>РКОД МЗ</w:t>
      </w:r>
      <w:r w:rsidR="00E4174D" w:rsidRPr="0047440B">
        <w:rPr>
          <w:rFonts w:eastAsia="Arial"/>
          <w:sz w:val="28"/>
          <w:szCs w:val="28"/>
        </w:rPr>
        <w:t xml:space="preserve"> РТ им.проф.</w:t>
      </w:r>
      <w:r w:rsidR="006A35AD" w:rsidRPr="0047440B">
        <w:rPr>
          <w:rFonts w:eastAsia="Arial"/>
          <w:sz w:val="28"/>
          <w:szCs w:val="28"/>
        </w:rPr>
        <w:t>М.З.Сигала</w:t>
      </w:r>
      <w:r w:rsidR="002F7358" w:rsidRPr="0047440B">
        <w:rPr>
          <w:rFonts w:eastAsia="Arial"/>
          <w:sz w:val="28"/>
          <w:szCs w:val="28"/>
        </w:rPr>
        <w:t>»</w:t>
      </w:r>
      <w:r w:rsidRPr="0047440B">
        <w:rPr>
          <w:sz w:val="28"/>
          <w:szCs w:val="28"/>
        </w:rPr>
        <w:t xml:space="preserve"> (</w:t>
      </w:r>
      <w:r w:rsidR="000F5C81" w:rsidRPr="0047440B">
        <w:rPr>
          <w:sz w:val="28"/>
          <w:szCs w:val="28"/>
        </w:rPr>
        <w:t>ВК</w:t>
      </w:r>
      <w:r w:rsidR="009D6939" w:rsidRPr="0047440B">
        <w:rPr>
          <w:sz w:val="28"/>
          <w:szCs w:val="28"/>
        </w:rPr>
        <w:t xml:space="preserve">онтакте, </w:t>
      </w:r>
      <w:r w:rsidR="007536E2" w:rsidRPr="0047440B">
        <w:rPr>
          <w:sz w:val="28"/>
          <w:szCs w:val="28"/>
        </w:rPr>
        <w:t>Телеграм</w:t>
      </w:r>
      <w:r w:rsidRPr="0047440B">
        <w:rPr>
          <w:sz w:val="28"/>
          <w:szCs w:val="28"/>
        </w:rPr>
        <w:t xml:space="preserve">, официальный сайт </w:t>
      </w:r>
      <w:r w:rsidR="006A35AD" w:rsidRPr="0047440B">
        <w:rPr>
          <w:rFonts w:eastAsia="Arial"/>
          <w:sz w:val="28"/>
          <w:szCs w:val="28"/>
        </w:rPr>
        <w:t xml:space="preserve">ГАУЗ </w:t>
      </w:r>
      <w:r w:rsidR="002F7358" w:rsidRPr="0047440B">
        <w:rPr>
          <w:rFonts w:eastAsia="Arial"/>
          <w:sz w:val="28"/>
          <w:szCs w:val="28"/>
        </w:rPr>
        <w:t>«</w:t>
      </w:r>
      <w:r w:rsidR="00E4174D" w:rsidRPr="0047440B">
        <w:rPr>
          <w:rFonts w:eastAsia="Arial"/>
          <w:sz w:val="28"/>
          <w:szCs w:val="28"/>
        </w:rPr>
        <w:t>РКОД МЗ РТ им.проф.</w:t>
      </w:r>
      <w:r w:rsidR="006A35AD" w:rsidRPr="0047440B">
        <w:rPr>
          <w:rFonts w:eastAsia="Arial"/>
          <w:sz w:val="28"/>
          <w:szCs w:val="28"/>
        </w:rPr>
        <w:t>М.З.Сигала</w:t>
      </w:r>
      <w:r w:rsidR="002F7358" w:rsidRPr="0047440B">
        <w:rPr>
          <w:rFonts w:eastAsia="Arial"/>
          <w:sz w:val="28"/>
          <w:szCs w:val="28"/>
        </w:rPr>
        <w:t>»</w:t>
      </w:r>
      <w:r w:rsidRPr="0047440B">
        <w:rPr>
          <w:sz w:val="28"/>
          <w:szCs w:val="28"/>
        </w:rPr>
        <w:t xml:space="preserve">) ежемесячно размещаются мотивационные публикации о профилактике, факторах риска, лечении и необходимом перечне исследований для ранней диагностики определенных видов онкологических заболеваний согласно календарю мирового онкологического сообщества, в котором каждый месяц посвящен повышению осведомленности по определенной локализации ЗНО. </w:t>
      </w:r>
    </w:p>
    <w:p w:rsidR="003239F0" w:rsidRPr="0047440B" w:rsidRDefault="003239F0" w:rsidP="00E4174D">
      <w:pPr>
        <w:spacing w:line="235" w:lineRule="auto"/>
        <w:ind w:firstLine="709"/>
        <w:jc w:val="both"/>
        <w:rPr>
          <w:sz w:val="28"/>
          <w:szCs w:val="28"/>
        </w:rPr>
      </w:pPr>
      <w:r w:rsidRPr="0047440B">
        <w:rPr>
          <w:sz w:val="28"/>
          <w:szCs w:val="28"/>
        </w:rPr>
        <w:t>Проводятся информационные кампании на каналах телевидения, радио, в печатных и электронных средствах массовой информации для повышения осведомленности населения о различных видах онкологических заболеваний с целью привлечения внимания к необходимости ранней диагностики ЗНО.</w:t>
      </w:r>
    </w:p>
    <w:p w:rsidR="003239F0" w:rsidRPr="0047440B" w:rsidRDefault="003239F0" w:rsidP="00E4174D">
      <w:pPr>
        <w:spacing w:line="235" w:lineRule="auto"/>
        <w:ind w:firstLine="709"/>
        <w:jc w:val="both"/>
        <w:rPr>
          <w:sz w:val="28"/>
          <w:szCs w:val="28"/>
        </w:rPr>
      </w:pPr>
      <w:r w:rsidRPr="0047440B">
        <w:rPr>
          <w:sz w:val="28"/>
          <w:szCs w:val="28"/>
        </w:rPr>
        <w:t xml:space="preserve">В информационно-телекоммуникационной сети </w:t>
      </w:r>
      <w:r w:rsidR="002F7358" w:rsidRPr="0047440B">
        <w:rPr>
          <w:sz w:val="28"/>
          <w:szCs w:val="28"/>
        </w:rPr>
        <w:t>«</w:t>
      </w:r>
      <w:r w:rsidRPr="0047440B">
        <w:rPr>
          <w:sz w:val="28"/>
          <w:szCs w:val="28"/>
        </w:rPr>
        <w:t>Интернет</w:t>
      </w:r>
      <w:r w:rsidR="002F7358" w:rsidRPr="0047440B">
        <w:rPr>
          <w:sz w:val="28"/>
          <w:szCs w:val="28"/>
        </w:rPr>
        <w:t>»</w:t>
      </w:r>
      <w:r w:rsidRPr="0047440B">
        <w:rPr>
          <w:sz w:val="28"/>
          <w:szCs w:val="28"/>
        </w:rPr>
        <w:t xml:space="preserve"> размещаются мотивационно-информационные баннеры за счет информационных партнеров. </w:t>
      </w:r>
    </w:p>
    <w:p w:rsidR="003239F0" w:rsidRPr="0047440B" w:rsidRDefault="003239F0" w:rsidP="00E4174D">
      <w:pPr>
        <w:spacing w:line="235" w:lineRule="auto"/>
        <w:ind w:firstLine="709"/>
        <w:jc w:val="both"/>
        <w:rPr>
          <w:sz w:val="28"/>
          <w:szCs w:val="28"/>
        </w:rPr>
      </w:pPr>
      <w:r w:rsidRPr="0047440B">
        <w:rPr>
          <w:sz w:val="28"/>
          <w:szCs w:val="28"/>
        </w:rPr>
        <w:t xml:space="preserve">Проводятся ежемесячно информационно-просветительские мероприятия в рамках </w:t>
      </w:r>
      <w:r w:rsidR="007536E2" w:rsidRPr="0047440B">
        <w:rPr>
          <w:sz w:val="28"/>
          <w:szCs w:val="28"/>
        </w:rPr>
        <w:t>ш</w:t>
      </w:r>
      <w:r w:rsidRPr="0047440B">
        <w:rPr>
          <w:sz w:val="28"/>
          <w:szCs w:val="28"/>
        </w:rPr>
        <w:t xml:space="preserve">колы для пациентов. Актуальный диалог врачей-специалистов с пациентами и их родственниками позволяет укрепить доверие между пациентом и врачом, наладить необходимое сотрудничество на благо пациента. </w:t>
      </w:r>
    </w:p>
    <w:p w:rsidR="003239F0" w:rsidRPr="0047440B" w:rsidRDefault="003239F0" w:rsidP="00E4174D">
      <w:pPr>
        <w:spacing w:line="235" w:lineRule="auto"/>
        <w:ind w:firstLine="709"/>
        <w:jc w:val="both"/>
        <w:rPr>
          <w:sz w:val="28"/>
          <w:szCs w:val="28"/>
        </w:rPr>
      </w:pPr>
      <w:r w:rsidRPr="0047440B">
        <w:rPr>
          <w:sz w:val="28"/>
          <w:szCs w:val="28"/>
        </w:rPr>
        <w:t xml:space="preserve">Планируется проведение лекций по пропаганде здорового образа жизни, первичной профилактике </w:t>
      </w:r>
      <w:r w:rsidR="007536E2" w:rsidRPr="0047440B">
        <w:rPr>
          <w:sz w:val="28"/>
          <w:szCs w:val="28"/>
        </w:rPr>
        <w:t>ЗНО</w:t>
      </w:r>
      <w:r w:rsidRPr="0047440B">
        <w:rPr>
          <w:sz w:val="28"/>
          <w:szCs w:val="28"/>
        </w:rPr>
        <w:t xml:space="preserve"> и необходимости своевременного прохождения диспансеризации для учеников школ Республики Татарстан, сотрудников 10 предприятий. </w:t>
      </w:r>
    </w:p>
    <w:p w:rsidR="00E4174D" w:rsidRPr="0047440B" w:rsidRDefault="00E4174D" w:rsidP="00E4174D">
      <w:pPr>
        <w:spacing w:line="235" w:lineRule="auto"/>
        <w:ind w:firstLine="709"/>
        <w:jc w:val="both"/>
        <w:rPr>
          <w:rFonts w:eastAsia="Arial"/>
          <w:sz w:val="28"/>
          <w:szCs w:val="28"/>
        </w:rPr>
      </w:pPr>
    </w:p>
    <w:p w:rsidR="003239F0" w:rsidRPr="0047440B" w:rsidRDefault="003239F0" w:rsidP="00E4174D">
      <w:pPr>
        <w:spacing w:line="235" w:lineRule="auto"/>
        <w:ind w:firstLine="709"/>
        <w:jc w:val="both"/>
        <w:rPr>
          <w:rFonts w:eastAsia="Arial"/>
          <w:sz w:val="28"/>
          <w:szCs w:val="28"/>
        </w:rPr>
      </w:pPr>
      <w:r w:rsidRPr="0047440B">
        <w:rPr>
          <w:rFonts w:eastAsia="Arial"/>
          <w:sz w:val="28"/>
          <w:szCs w:val="28"/>
        </w:rPr>
        <w:t xml:space="preserve">Комплекс мер первичной профилактики онкологических заболеваний предусматривает мотивацию населения к своевременному прохождению диспансеризации и скрининговых программ: </w:t>
      </w:r>
    </w:p>
    <w:p w:rsidR="003239F0" w:rsidRPr="0047440B" w:rsidRDefault="003239F0" w:rsidP="00E4174D">
      <w:pPr>
        <w:spacing w:line="235" w:lineRule="auto"/>
        <w:ind w:firstLine="709"/>
        <w:jc w:val="both"/>
        <w:rPr>
          <w:rFonts w:eastAsia="Arial"/>
          <w:sz w:val="28"/>
          <w:szCs w:val="28"/>
        </w:rPr>
      </w:pPr>
      <w:r w:rsidRPr="0047440B">
        <w:rPr>
          <w:rFonts w:eastAsia="Arial"/>
          <w:sz w:val="28"/>
          <w:szCs w:val="28"/>
        </w:rPr>
        <w:t xml:space="preserve">использование мобильных маммографов для максимального охвата населения на местах (отдаленные населенные пункты, крупные предприятия республики), сроки реализации </w:t>
      </w:r>
      <w:r w:rsidRPr="0047440B">
        <w:rPr>
          <w:sz w:val="28"/>
          <w:szCs w:val="28"/>
        </w:rPr>
        <w:t>–</w:t>
      </w:r>
      <w:r w:rsidRPr="0047440B">
        <w:rPr>
          <w:rFonts w:eastAsia="Arial"/>
          <w:sz w:val="28"/>
          <w:szCs w:val="28"/>
        </w:rPr>
        <w:t xml:space="preserve"> ежемесячно; </w:t>
      </w:r>
    </w:p>
    <w:p w:rsidR="003239F0" w:rsidRPr="0047440B" w:rsidRDefault="003239F0" w:rsidP="00E4174D">
      <w:pPr>
        <w:spacing w:line="235" w:lineRule="auto"/>
        <w:ind w:firstLine="709"/>
        <w:jc w:val="both"/>
        <w:rPr>
          <w:rFonts w:eastAsia="Arial"/>
          <w:sz w:val="28"/>
          <w:szCs w:val="28"/>
        </w:rPr>
      </w:pPr>
      <w:r w:rsidRPr="0047440B">
        <w:rPr>
          <w:rFonts w:eastAsia="Arial"/>
          <w:sz w:val="28"/>
          <w:szCs w:val="28"/>
        </w:rPr>
        <w:t xml:space="preserve">организация двухсменной работы рентгенлаборантов, участвующих в проведении обследований в рамках </w:t>
      </w:r>
      <w:r w:rsidR="00185811">
        <w:rPr>
          <w:sz w:val="28"/>
          <w:szCs w:val="28"/>
        </w:rPr>
        <w:t>диспансеризации определенных групп взрослого населения</w:t>
      </w:r>
      <w:r w:rsidR="00185811" w:rsidRPr="0047440B">
        <w:rPr>
          <w:rFonts w:eastAsia="Arial"/>
          <w:sz w:val="28"/>
          <w:szCs w:val="28"/>
        </w:rPr>
        <w:t xml:space="preserve"> </w:t>
      </w:r>
      <w:r w:rsidRPr="0047440B">
        <w:rPr>
          <w:rFonts w:eastAsia="Arial"/>
          <w:sz w:val="28"/>
          <w:szCs w:val="28"/>
        </w:rPr>
        <w:t>с включением в график работы субботних дней;</w:t>
      </w:r>
    </w:p>
    <w:p w:rsidR="003239F0" w:rsidRPr="0047440B" w:rsidRDefault="003239F0" w:rsidP="00E4174D">
      <w:pPr>
        <w:spacing w:line="235" w:lineRule="auto"/>
        <w:ind w:firstLine="709"/>
        <w:jc w:val="both"/>
        <w:rPr>
          <w:rFonts w:eastAsia="Arial"/>
          <w:sz w:val="28"/>
          <w:szCs w:val="28"/>
        </w:rPr>
      </w:pPr>
      <w:r w:rsidRPr="0047440B">
        <w:rPr>
          <w:rFonts w:eastAsia="Arial"/>
          <w:sz w:val="28"/>
          <w:szCs w:val="28"/>
        </w:rPr>
        <w:t xml:space="preserve">контроль за соблюдением и исполнением методического руководства: приказ Министерства здравоохранения Республики Татарстан от </w:t>
      </w:r>
      <w:r w:rsidR="00B16A0E" w:rsidRPr="0047440B">
        <w:rPr>
          <w:rFonts w:eastAsia="Arial"/>
          <w:sz w:val="28"/>
          <w:szCs w:val="28"/>
        </w:rPr>
        <w:t>07.08.2023</w:t>
      </w:r>
      <w:r w:rsidRPr="0047440B">
        <w:rPr>
          <w:rFonts w:eastAsia="Arial"/>
          <w:sz w:val="28"/>
          <w:szCs w:val="28"/>
        </w:rPr>
        <w:t xml:space="preserve"> № 1</w:t>
      </w:r>
      <w:r w:rsidR="00B16A0E" w:rsidRPr="0047440B">
        <w:rPr>
          <w:rFonts w:eastAsia="Arial"/>
          <w:sz w:val="28"/>
          <w:szCs w:val="28"/>
        </w:rPr>
        <w:t>759</w:t>
      </w:r>
      <w:r w:rsidRPr="0047440B">
        <w:rPr>
          <w:rFonts w:eastAsia="Arial"/>
          <w:sz w:val="28"/>
          <w:szCs w:val="28"/>
        </w:rPr>
        <w:t xml:space="preserve"> </w:t>
      </w:r>
      <w:r w:rsidR="002F7358" w:rsidRPr="0047440B">
        <w:rPr>
          <w:rFonts w:eastAsia="Arial"/>
          <w:sz w:val="28"/>
          <w:szCs w:val="28"/>
        </w:rPr>
        <w:t>«</w:t>
      </w:r>
      <w:r w:rsidRPr="0047440B">
        <w:rPr>
          <w:rFonts w:eastAsia="Arial"/>
          <w:sz w:val="28"/>
          <w:szCs w:val="28"/>
        </w:rPr>
        <w:t>О совершенствовании работы по раннему выявлению онкологических заболеваний</w:t>
      </w:r>
      <w:r w:rsidR="002F7358" w:rsidRPr="0047440B">
        <w:rPr>
          <w:rFonts w:eastAsia="Arial"/>
          <w:sz w:val="28"/>
          <w:szCs w:val="28"/>
        </w:rPr>
        <w:t>»</w:t>
      </w:r>
      <w:r w:rsidRPr="0047440B">
        <w:rPr>
          <w:rFonts w:eastAsia="Arial"/>
          <w:sz w:val="28"/>
          <w:szCs w:val="28"/>
        </w:rPr>
        <w:t>;</w:t>
      </w:r>
    </w:p>
    <w:p w:rsidR="003239F0" w:rsidRPr="0047440B" w:rsidRDefault="003239F0" w:rsidP="00E4174D">
      <w:pPr>
        <w:spacing w:line="235" w:lineRule="auto"/>
        <w:ind w:firstLine="709"/>
        <w:jc w:val="both"/>
        <w:rPr>
          <w:rFonts w:eastAsia="Arial"/>
          <w:sz w:val="28"/>
          <w:szCs w:val="28"/>
        </w:rPr>
      </w:pPr>
      <w:r w:rsidRPr="0047440B">
        <w:rPr>
          <w:rFonts w:eastAsia="Arial"/>
          <w:sz w:val="28"/>
          <w:szCs w:val="28"/>
        </w:rPr>
        <w:t xml:space="preserve">анализ показателей численности населения, завершившего диспансеризацию (первый и второй этапы), проводят ответственные лица медицинских организаций республики, осуществляющие </w:t>
      </w:r>
      <w:r w:rsidR="00185811">
        <w:rPr>
          <w:sz w:val="28"/>
          <w:szCs w:val="28"/>
        </w:rPr>
        <w:t>диспансеризацию определенных групп взрослого населения</w:t>
      </w:r>
      <w:r w:rsidRPr="0047440B">
        <w:rPr>
          <w:rFonts w:eastAsia="Arial"/>
          <w:sz w:val="28"/>
          <w:szCs w:val="28"/>
        </w:rPr>
        <w:t xml:space="preserve">. Создана единая база граждан с выявленными отклонениями при обследовании, проведенном в централизованных лабораториях в рамках онкоскрининга при </w:t>
      </w:r>
      <w:r w:rsidR="00185811">
        <w:rPr>
          <w:sz w:val="28"/>
          <w:szCs w:val="28"/>
        </w:rPr>
        <w:t>диспансеризации определенных групп взрослого населения</w:t>
      </w:r>
      <w:r w:rsidRPr="0047440B">
        <w:rPr>
          <w:rFonts w:eastAsia="Arial"/>
          <w:sz w:val="28"/>
          <w:szCs w:val="28"/>
        </w:rPr>
        <w:t xml:space="preserve">. Выполняется ежемесячный персонифицированный мониторинг прохождения данной группой лиц дополнительных обследований в зависимости от выявленной патологии с направлением отчетов в </w:t>
      </w:r>
      <w:r w:rsidR="006A35AD" w:rsidRPr="0047440B">
        <w:rPr>
          <w:rFonts w:eastAsia="Arial"/>
          <w:sz w:val="28"/>
          <w:szCs w:val="28"/>
        </w:rPr>
        <w:t xml:space="preserve">ГАУЗ </w:t>
      </w:r>
      <w:r w:rsidR="002F7358" w:rsidRPr="0047440B">
        <w:rPr>
          <w:rFonts w:eastAsia="Arial"/>
          <w:sz w:val="28"/>
          <w:szCs w:val="28"/>
        </w:rPr>
        <w:t>«</w:t>
      </w:r>
      <w:r w:rsidR="00E4174D" w:rsidRPr="0047440B">
        <w:rPr>
          <w:rFonts w:eastAsia="Arial"/>
          <w:sz w:val="28"/>
          <w:szCs w:val="28"/>
        </w:rPr>
        <w:t>РКОД МЗ РТ им.проф.</w:t>
      </w:r>
      <w:r w:rsidR="006A35AD" w:rsidRPr="0047440B">
        <w:rPr>
          <w:rFonts w:eastAsia="Arial"/>
          <w:sz w:val="28"/>
          <w:szCs w:val="28"/>
        </w:rPr>
        <w:t>М.З.Сигала</w:t>
      </w:r>
      <w:r w:rsidR="002F7358" w:rsidRPr="0047440B">
        <w:rPr>
          <w:rFonts w:eastAsia="Arial"/>
          <w:sz w:val="28"/>
          <w:szCs w:val="28"/>
        </w:rPr>
        <w:t>»</w:t>
      </w:r>
      <w:r w:rsidRPr="0047440B">
        <w:rPr>
          <w:rFonts w:eastAsia="Arial"/>
          <w:sz w:val="28"/>
          <w:szCs w:val="28"/>
        </w:rPr>
        <w:t>. Планируемое повышение численности населения, прошедшего вт</w:t>
      </w:r>
      <w:r w:rsidR="00A23935" w:rsidRPr="0047440B">
        <w:rPr>
          <w:rFonts w:eastAsia="Arial"/>
          <w:sz w:val="28"/>
          <w:szCs w:val="28"/>
        </w:rPr>
        <w:t xml:space="preserve">орой этап обследований, с 50 до </w:t>
      </w:r>
      <w:r w:rsidRPr="0047440B">
        <w:rPr>
          <w:rFonts w:eastAsia="Arial"/>
          <w:sz w:val="28"/>
          <w:szCs w:val="28"/>
        </w:rPr>
        <w:t xml:space="preserve">85 процентов. </w:t>
      </w:r>
    </w:p>
    <w:p w:rsidR="003239F0" w:rsidRPr="0047440B" w:rsidRDefault="003239F0" w:rsidP="00E4174D">
      <w:pPr>
        <w:spacing w:line="235" w:lineRule="auto"/>
        <w:ind w:firstLine="709"/>
        <w:jc w:val="both"/>
        <w:rPr>
          <w:sz w:val="28"/>
          <w:szCs w:val="28"/>
        </w:rPr>
      </w:pPr>
      <w:r w:rsidRPr="0047440B">
        <w:rPr>
          <w:sz w:val="28"/>
          <w:szCs w:val="28"/>
        </w:rPr>
        <w:t>Для пропаганды формирования здорового образа жизни населения необходимо использовать широкий спектр разнообразных средств, таких как средства массовой информации – печатные и интернет-издания, радио, телевидение, а также возможности социальных сетей.</w:t>
      </w:r>
    </w:p>
    <w:p w:rsidR="003239F0" w:rsidRPr="0047440B" w:rsidRDefault="00B81145" w:rsidP="00E4174D">
      <w:pPr>
        <w:spacing w:line="235" w:lineRule="auto"/>
        <w:ind w:firstLine="709"/>
        <w:jc w:val="both"/>
        <w:rPr>
          <w:sz w:val="28"/>
          <w:szCs w:val="28"/>
        </w:rPr>
      </w:pPr>
      <w:r w:rsidRPr="0047440B">
        <w:rPr>
          <w:sz w:val="28"/>
          <w:szCs w:val="28"/>
        </w:rPr>
        <w:t xml:space="preserve">Осуществляются </w:t>
      </w:r>
      <w:r w:rsidR="003239F0" w:rsidRPr="0047440B">
        <w:rPr>
          <w:sz w:val="28"/>
          <w:szCs w:val="28"/>
        </w:rPr>
        <w:t xml:space="preserve">ежемесячно выступления ведущих специалистов </w:t>
      </w:r>
      <w:r w:rsidR="009B548C" w:rsidRPr="0047440B">
        <w:rPr>
          <w:sz w:val="28"/>
          <w:szCs w:val="28"/>
        </w:rPr>
        <w:t>по</w:t>
      </w:r>
      <w:r w:rsidR="003239F0" w:rsidRPr="0047440B">
        <w:rPr>
          <w:sz w:val="28"/>
          <w:szCs w:val="28"/>
        </w:rPr>
        <w:t xml:space="preserve"> лечени</w:t>
      </w:r>
      <w:r w:rsidR="009B548C" w:rsidRPr="0047440B">
        <w:rPr>
          <w:sz w:val="28"/>
          <w:szCs w:val="28"/>
        </w:rPr>
        <w:t>ю</w:t>
      </w:r>
      <w:r w:rsidR="003239F0" w:rsidRPr="0047440B">
        <w:rPr>
          <w:sz w:val="28"/>
          <w:szCs w:val="28"/>
        </w:rPr>
        <w:t xml:space="preserve"> </w:t>
      </w:r>
      <w:r w:rsidR="00F23301" w:rsidRPr="0047440B">
        <w:rPr>
          <w:sz w:val="28"/>
          <w:szCs w:val="28"/>
        </w:rPr>
        <w:t>ЗНО</w:t>
      </w:r>
      <w:r w:rsidR="003239F0" w:rsidRPr="0047440B">
        <w:rPr>
          <w:sz w:val="28"/>
          <w:szCs w:val="28"/>
        </w:rPr>
        <w:t xml:space="preserve"> для осведомленности об онкологическом заболевании, для привлечения внимания к необходимости своевременной диагностики </w:t>
      </w:r>
      <w:r w:rsidR="00F23301" w:rsidRPr="0047440B">
        <w:rPr>
          <w:sz w:val="28"/>
          <w:szCs w:val="28"/>
        </w:rPr>
        <w:t>ЗНО</w:t>
      </w:r>
      <w:r w:rsidR="003239F0" w:rsidRPr="0047440B">
        <w:rPr>
          <w:sz w:val="28"/>
          <w:szCs w:val="28"/>
        </w:rPr>
        <w:t xml:space="preserve"> путем диспансеризации и пропаганды здорового образа жизни среди населения в различных средствах массовой информации.</w:t>
      </w:r>
    </w:p>
    <w:p w:rsidR="003239F0" w:rsidRPr="0047440B" w:rsidRDefault="003239F0" w:rsidP="00E4174D">
      <w:pPr>
        <w:spacing w:line="235" w:lineRule="auto"/>
        <w:ind w:firstLine="709"/>
        <w:jc w:val="both"/>
        <w:rPr>
          <w:sz w:val="28"/>
          <w:szCs w:val="28"/>
        </w:rPr>
      </w:pPr>
      <w:r w:rsidRPr="0047440B">
        <w:rPr>
          <w:sz w:val="28"/>
          <w:szCs w:val="28"/>
        </w:rPr>
        <w:t>Темы для работы со средствами массовой информации выбираются согласно календарю мирового онкологического сообщества, в котором каждый месяц посвящен повышению осведомленности об определенной локализации ЗНО.</w:t>
      </w:r>
    </w:p>
    <w:p w:rsidR="003239F0" w:rsidRPr="0047440B" w:rsidRDefault="003239F0" w:rsidP="00E4174D">
      <w:pPr>
        <w:spacing w:line="235" w:lineRule="auto"/>
        <w:ind w:firstLine="709"/>
        <w:jc w:val="both"/>
        <w:rPr>
          <w:sz w:val="28"/>
          <w:szCs w:val="28"/>
        </w:rPr>
      </w:pPr>
      <w:r w:rsidRPr="0047440B">
        <w:rPr>
          <w:sz w:val="28"/>
          <w:szCs w:val="28"/>
        </w:rPr>
        <w:t xml:space="preserve">Отдельную роль в жизни большинства населения занимают социальные сети, которые являются быстрым способом передачи информации. В социальных сетях предполагаются 3 – 4 публикации ежемесячно: информационные мотивационные посты о профилактике, о факторах риска, лечении и необходимом перечне исследований для ранней диагностики </w:t>
      </w:r>
      <w:r w:rsidRPr="0047440B">
        <w:rPr>
          <w:rFonts w:eastAsia="Arial"/>
          <w:sz w:val="28"/>
          <w:szCs w:val="28"/>
        </w:rPr>
        <w:t>ЗНО</w:t>
      </w:r>
      <w:r w:rsidRPr="0047440B">
        <w:rPr>
          <w:sz w:val="28"/>
          <w:szCs w:val="28"/>
        </w:rPr>
        <w:t xml:space="preserve"> и необходимости прохождения диспансеризации.</w:t>
      </w:r>
    </w:p>
    <w:p w:rsidR="003239F0" w:rsidRPr="0047440B" w:rsidRDefault="003239F0" w:rsidP="00E4174D">
      <w:pPr>
        <w:spacing w:line="235" w:lineRule="auto"/>
        <w:ind w:firstLine="709"/>
        <w:jc w:val="both"/>
        <w:rPr>
          <w:sz w:val="28"/>
          <w:szCs w:val="28"/>
        </w:rPr>
      </w:pPr>
      <w:r w:rsidRPr="0047440B">
        <w:rPr>
          <w:sz w:val="28"/>
          <w:szCs w:val="28"/>
        </w:rPr>
        <w:t xml:space="preserve">Календарь осведомленности о </w:t>
      </w:r>
      <w:r w:rsidR="007536E2" w:rsidRPr="0047440B">
        <w:rPr>
          <w:rFonts w:eastAsia="Arial"/>
          <w:sz w:val="28"/>
          <w:szCs w:val="28"/>
        </w:rPr>
        <w:t>ЗНО</w:t>
      </w:r>
      <w:r w:rsidRPr="0047440B">
        <w:rPr>
          <w:sz w:val="28"/>
          <w:szCs w:val="28"/>
        </w:rPr>
        <w:t xml:space="preserve">: </w:t>
      </w:r>
    </w:p>
    <w:p w:rsidR="003239F0" w:rsidRPr="0047440B" w:rsidRDefault="003239F0" w:rsidP="00E4174D">
      <w:pPr>
        <w:spacing w:line="235" w:lineRule="auto"/>
        <w:ind w:firstLine="709"/>
        <w:jc w:val="both"/>
        <w:rPr>
          <w:sz w:val="28"/>
          <w:szCs w:val="28"/>
        </w:rPr>
      </w:pPr>
      <w:r w:rsidRPr="0047440B">
        <w:rPr>
          <w:sz w:val="28"/>
          <w:szCs w:val="28"/>
        </w:rPr>
        <w:t xml:space="preserve">4 февраля – Всемирный день борьбы с раком; </w:t>
      </w:r>
    </w:p>
    <w:p w:rsidR="003239F0" w:rsidRPr="0047440B" w:rsidRDefault="003239F0" w:rsidP="00E4174D">
      <w:pPr>
        <w:spacing w:line="235" w:lineRule="auto"/>
        <w:ind w:firstLine="709"/>
        <w:jc w:val="both"/>
        <w:rPr>
          <w:sz w:val="28"/>
          <w:szCs w:val="28"/>
        </w:rPr>
      </w:pPr>
      <w:r w:rsidRPr="0047440B">
        <w:rPr>
          <w:sz w:val="28"/>
          <w:szCs w:val="28"/>
        </w:rPr>
        <w:t xml:space="preserve">март – месяц осведомленности о колоректальном раке; </w:t>
      </w:r>
    </w:p>
    <w:p w:rsidR="003239F0" w:rsidRPr="0047440B" w:rsidRDefault="003239F0" w:rsidP="00E4174D">
      <w:pPr>
        <w:spacing w:line="235" w:lineRule="auto"/>
        <w:ind w:firstLine="709"/>
        <w:jc w:val="both"/>
        <w:rPr>
          <w:sz w:val="28"/>
          <w:szCs w:val="28"/>
        </w:rPr>
      </w:pPr>
      <w:r w:rsidRPr="0047440B">
        <w:rPr>
          <w:sz w:val="28"/>
          <w:szCs w:val="28"/>
        </w:rPr>
        <w:t xml:space="preserve">апрель – месяц осведомленности о раке пищевода; </w:t>
      </w:r>
    </w:p>
    <w:p w:rsidR="003239F0" w:rsidRPr="0047440B" w:rsidRDefault="003239F0" w:rsidP="00E4174D">
      <w:pPr>
        <w:spacing w:line="235" w:lineRule="auto"/>
        <w:ind w:firstLine="709"/>
        <w:jc w:val="both"/>
        <w:rPr>
          <w:sz w:val="28"/>
          <w:szCs w:val="28"/>
        </w:rPr>
      </w:pPr>
      <w:r w:rsidRPr="0047440B">
        <w:rPr>
          <w:sz w:val="28"/>
          <w:szCs w:val="28"/>
        </w:rPr>
        <w:t xml:space="preserve">май – месяц осведомленности о раке кожи; </w:t>
      </w:r>
    </w:p>
    <w:p w:rsidR="003239F0" w:rsidRPr="0047440B" w:rsidRDefault="003239F0" w:rsidP="00E4174D">
      <w:pPr>
        <w:spacing w:line="235" w:lineRule="auto"/>
        <w:ind w:firstLine="709"/>
        <w:jc w:val="both"/>
        <w:rPr>
          <w:sz w:val="28"/>
          <w:szCs w:val="28"/>
        </w:rPr>
      </w:pPr>
      <w:r w:rsidRPr="0047440B">
        <w:rPr>
          <w:sz w:val="28"/>
          <w:szCs w:val="28"/>
        </w:rPr>
        <w:t xml:space="preserve">17 мая – </w:t>
      </w:r>
      <w:r w:rsidR="007536E2" w:rsidRPr="0047440B">
        <w:rPr>
          <w:sz w:val="28"/>
          <w:szCs w:val="28"/>
        </w:rPr>
        <w:t>В</w:t>
      </w:r>
      <w:r w:rsidRPr="0047440B">
        <w:rPr>
          <w:sz w:val="28"/>
          <w:szCs w:val="28"/>
        </w:rPr>
        <w:t xml:space="preserve">семирный день борьбы с меланомой; </w:t>
      </w:r>
    </w:p>
    <w:p w:rsidR="003239F0" w:rsidRPr="0047440B" w:rsidRDefault="003239F0" w:rsidP="00E4174D">
      <w:pPr>
        <w:spacing w:line="235" w:lineRule="auto"/>
        <w:ind w:firstLine="709"/>
        <w:jc w:val="both"/>
        <w:rPr>
          <w:sz w:val="28"/>
          <w:szCs w:val="28"/>
        </w:rPr>
      </w:pPr>
      <w:r w:rsidRPr="0047440B">
        <w:rPr>
          <w:sz w:val="28"/>
          <w:szCs w:val="28"/>
        </w:rPr>
        <w:t xml:space="preserve">июль – месяц осведомленности о саркоме; </w:t>
      </w:r>
    </w:p>
    <w:p w:rsidR="003239F0" w:rsidRPr="0047440B" w:rsidRDefault="003239F0" w:rsidP="00E4174D">
      <w:pPr>
        <w:spacing w:line="235" w:lineRule="auto"/>
        <w:ind w:firstLine="709"/>
        <w:jc w:val="both"/>
        <w:rPr>
          <w:sz w:val="28"/>
          <w:szCs w:val="28"/>
        </w:rPr>
      </w:pPr>
      <w:r w:rsidRPr="0047440B">
        <w:rPr>
          <w:sz w:val="28"/>
          <w:szCs w:val="28"/>
        </w:rPr>
        <w:t xml:space="preserve">сентябрь – месяц осведомленности о раке яичников; </w:t>
      </w:r>
    </w:p>
    <w:p w:rsidR="003239F0" w:rsidRPr="0047440B" w:rsidRDefault="003239F0" w:rsidP="00E4174D">
      <w:pPr>
        <w:spacing w:line="235" w:lineRule="auto"/>
        <w:ind w:firstLine="709"/>
        <w:jc w:val="both"/>
        <w:rPr>
          <w:sz w:val="28"/>
          <w:szCs w:val="28"/>
        </w:rPr>
      </w:pPr>
      <w:r w:rsidRPr="0047440B">
        <w:rPr>
          <w:sz w:val="28"/>
          <w:szCs w:val="28"/>
        </w:rPr>
        <w:t xml:space="preserve">октябрь – месяц осведомленности о раке молочной железы; </w:t>
      </w:r>
    </w:p>
    <w:p w:rsidR="003239F0" w:rsidRPr="0047440B" w:rsidRDefault="003239F0" w:rsidP="00E4174D">
      <w:pPr>
        <w:spacing w:line="235" w:lineRule="auto"/>
        <w:ind w:firstLine="709"/>
        <w:jc w:val="both"/>
        <w:rPr>
          <w:sz w:val="28"/>
          <w:szCs w:val="28"/>
        </w:rPr>
      </w:pPr>
      <w:r w:rsidRPr="0047440B">
        <w:rPr>
          <w:sz w:val="28"/>
          <w:szCs w:val="28"/>
        </w:rPr>
        <w:t xml:space="preserve">15 октября – </w:t>
      </w:r>
      <w:r w:rsidR="009B548C" w:rsidRPr="0047440B">
        <w:rPr>
          <w:sz w:val="28"/>
          <w:szCs w:val="28"/>
        </w:rPr>
        <w:t>В</w:t>
      </w:r>
      <w:r w:rsidRPr="0047440B">
        <w:rPr>
          <w:sz w:val="28"/>
          <w:szCs w:val="28"/>
        </w:rPr>
        <w:t xml:space="preserve">семирный день борьбы с раком груди; </w:t>
      </w:r>
    </w:p>
    <w:p w:rsidR="003239F0" w:rsidRPr="0047440B" w:rsidRDefault="003239F0" w:rsidP="00E4174D">
      <w:pPr>
        <w:spacing w:line="235" w:lineRule="auto"/>
        <w:ind w:firstLine="709"/>
        <w:jc w:val="both"/>
        <w:rPr>
          <w:sz w:val="28"/>
          <w:szCs w:val="28"/>
        </w:rPr>
      </w:pPr>
      <w:r w:rsidRPr="0047440B">
        <w:rPr>
          <w:sz w:val="28"/>
          <w:szCs w:val="28"/>
        </w:rPr>
        <w:t>ноябрь – месяц осведомленности о раке предстательной железы.</w:t>
      </w:r>
    </w:p>
    <w:p w:rsidR="003239F0" w:rsidRPr="0047440B" w:rsidRDefault="003239F0" w:rsidP="00E4174D">
      <w:pPr>
        <w:spacing w:line="235" w:lineRule="auto"/>
        <w:ind w:firstLine="709"/>
        <w:jc w:val="both"/>
        <w:rPr>
          <w:sz w:val="28"/>
          <w:szCs w:val="28"/>
        </w:rPr>
      </w:pPr>
      <w:r w:rsidRPr="0047440B">
        <w:rPr>
          <w:sz w:val="28"/>
          <w:szCs w:val="28"/>
        </w:rPr>
        <w:t>С целью формирования положительного образа врача-онколога, онкологического медицинского учреждения и повышения мотивации и приверженности к лечению пациентов с подтвержденным диагнозом ЗНО в социальных сетях ежемесячно публикуются 3 – 4 статьи о сотрудниках диспансера, их заслугах, о вкладе, который они вносят в работу онкологической службы Республики Татарстан, а также о работе отделений.</w:t>
      </w:r>
    </w:p>
    <w:p w:rsidR="003239F0" w:rsidRPr="0047440B" w:rsidRDefault="003239F0" w:rsidP="00E4174D">
      <w:pPr>
        <w:spacing w:line="235" w:lineRule="auto"/>
        <w:ind w:firstLine="709"/>
        <w:jc w:val="both"/>
        <w:rPr>
          <w:sz w:val="28"/>
          <w:szCs w:val="28"/>
        </w:rPr>
      </w:pPr>
      <w:r w:rsidRPr="0047440B">
        <w:rPr>
          <w:sz w:val="28"/>
          <w:szCs w:val="28"/>
        </w:rPr>
        <w:t xml:space="preserve">Также для работы в этом направлении планируется внесение изменений в брендбук </w:t>
      </w:r>
      <w:r w:rsidR="006A35AD" w:rsidRPr="0047440B">
        <w:rPr>
          <w:rFonts w:eastAsia="Arial"/>
          <w:sz w:val="28"/>
          <w:szCs w:val="28"/>
        </w:rPr>
        <w:t xml:space="preserve">ГАУЗ </w:t>
      </w:r>
      <w:r w:rsidR="002F7358" w:rsidRPr="0047440B">
        <w:rPr>
          <w:rFonts w:eastAsia="Arial"/>
          <w:sz w:val="28"/>
          <w:szCs w:val="28"/>
        </w:rPr>
        <w:t>«</w:t>
      </w:r>
      <w:r w:rsidR="00E4174D" w:rsidRPr="0047440B">
        <w:rPr>
          <w:rFonts w:eastAsia="Arial"/>
          <w:sz w:val="28"/>
          <w:szCs w:val="28"/>
        </w:rPr>
        <w:t>РКОД МЗ РТ им.проф.</w:t>
      </w:r>
      <w:r w:rsidR="006A35AD" w:rsidRPr="0047440B">
        <w:rPr>
          <w:rFonts w:eastAsia="Arial"/>
          <w:sz w:val="28"/>
          <w:szCs w:val="28"/>
        </w:rPr>
        <w:t>М.З.Сигала</w:t>
      </w:r>
      <w:r w:rsidR="002F7358" w:rsidRPr="0047440B">
        <w:rPr>
          <w:rFonts w:eastAsia="Arial"/>
          <w:sz w:val="28"/>
          <w:szCs w:val="28"/>
        </w:rPr>
        <w:t>»</w:t>
      </w:r>
      <w:r w:rsidRPr="0047440B">
        <w:rPr>
          <w:sz w:val="28"/>
          <w:szCs w:val="28"/>
        </w:rPr>
        <w:t xml:space="preserve">. </w:t>
      </w:r>
    </w:p>
    <w:p w:rsidR="003239F0" w:rsidRPr="0047440B" w:rsidRDefault="003239F0" w:rsidP="00E4174D">
      <w:pPr>
        <w:ind w:firstLine="709"/>
        <w:jc w:val="both"/>
        <w:rPr>
          <w:sz w:val="28"/>
          <w:szCs w:val="28"/>
        </w:rPr>
      </w:pPr>
      <w:r w:rsidRPr="0047440B">
        <w:rPr>
          <w:sz w:val="28"/>
          <w:szCs w:val="28"/>
        </w:rPr>
        <w:t xml:space="preserve">Успех лечения пациента </w:t>
      </w:r>
      <w:r w:rsidR="00F03ECC" w:rsidRPr="0047440B">
        <w:rPr>
          <w:sz w:val="28"/>
          <w:szCs w:val="28"/>
        </w:rPr>
        <w:t xml:space="preserve">с онкологическим заболеванием </w:t>
      </w:r>
      <w:r w:rsidRPr="0047440B">
        <w:rPr>
          <w:sz w:val="28"/>
          <w:szCs w:val="28"/>
        </w:rPr>
        <w:t>обеспечивается психологическим комфортом пациента, именно поэтому обновленный брендбук ставит пациента в центр системы оказания онкологической помощи в республике. Единый корпоративный стиль</w:t>
      </w:r>
      <w:r w:rsidR="00F03ECC" w:rsidRPr="0047440B">
        <w:rPr>
          <w:sz w:val="28"/>
          <w:szCs w:val="28"/>
        </w:rPr>
        <w:t xml:space="preserve"> </w:t>
      </w:r>
      <w:r w:rsidRPr="0047440B">
        <w:rPr>
          <w:sz w:val="28"/>
          <w:szCs w:val="28"/>
        </w:rPr>
        <w:t xml:space="preserve">в </w:t>
      </w:r>
      <w:r w:rsidR="006A35AD" w:rsidRPr="0047440B">
        <w:rPr>
          <w:rFonts w:eastAsia="Arial"/>
          <w:sz w:val="28"/>
          <w:szCs w:val="28"/>
        </w:rPr>
        <w:t xml:space="preserve">ГАУЗ </w:t>
      </w:r>
      <w:r w:rsidR="002F7358" w:rsidRPr="0047440B">
        <w:rPr>
          <w:rFonts w:eastAsia="Arial"/>
          <w:sz w:val="28"/>
          <w:szCs w:val="28"/>
        </w:rPr>
        <w:t>«</w:t>
      </w:r>
      <w:r w:rsidR="00E4174D" w:rsidRPr="0047440B">
        <w:rPr>
          <w:rFonts w:eastAsia="Arial"/>
          <w:sz w:val="28"/>
          <w:szCs w:val="28"/>
        </w:rPr>
        <w:t>РКОД МЗ РТ им.проф.</w:t>
      </w:r>
      <w:r w:rsidR="006A35AD" w:rsidRPr="0047440B">
        <w:rPr>
          <w:rFonts w:eastAsia="Arial"/>
          <w:sz w:val="28"/>
          <w:szCs w:val="28"/>
        </w:rPr>
        <w:t>М.З.Сигала</w:t>
      </w:r>
      <w:r w:rsidR="002F7358" w:rsidRPr="0047440B">
        <w:rPr>
          <w:rFonts w:eastAsia="Arial"/>
          <w:sz w:val="28"/>
          <w:szCs w:val="28"/>
        </w:rPr>
        <w:t>»</w:t>
      </w:r>
      <w:r w:rsidRPr="0047440B">
        <w:rPr>
          <w:sz w:val="28"/>
          <w:szCs w:val="28"/>
        </w:rPr>
        <w:t xml:space="preserve"> (дресс-код, навигация, оформление внутренних и внешних интерьеров, официальный сайт и социальные сети) позволяет сформирова</w:t>
      </w:r>
      <w:r w:rsidR="00F23301" w:rsidRPr="0047440B">
        <w:rPr>
          <w:sz w:val="28"/>
          <w:szCs w:val="28"/>
        </w:rPr>
        <w:t xml:space="preserve">ть единый положительный образ </w:t>
      </w:r>
      <w:r w:rsidRPr="0047440B">
        <w:rPr>
          <w:sz w:val="28"/>
          <w:szCs w:val="28"/>
        </w:rPr>
        <w:t>врач</w:t>
      </w:r>
      <w:r w:rsidR="00F23301" w:rsidRPr="0047440B">
        <w:rPr>
          <w:sz w:val="28"/>
          <w:szCs w:val="28"/>
        </w:rPr>
        <w:t>а</w:t>
      </w:r>
      <w:r w:rsidRPr="0047440B">
        <w:rPr>
          <w:sz w:val="28"/>
          <w:szCs w:val="28"/>
        </w:rPr>
        <w:t>-онколог</w:t>
      </w:r>
      <w:r w:rsidR="00F23301" w:rsidRPr="0047440B">
        <w:rPr>
          <w:sz w:val="28"/>
          <w:szCs w:val="28"/>
        </w:rPr>
        <w:t>а</w:t>
      </w:r>
      <w:r w:rsidRPr="0047440B">
        <w:rPr>
          <w:sz w:val="28"/>
          <w:szCs w:val="28"/>
        </w:rPr>
        <w:t xml:space="preserve"> и систем</w:t>
      </w:r>
      <w:r w:rsidR="00F23301" w:rsidRPr="0047440B">
        <w:rPr>
          <w:sz w:val="28"/>
          <w:szCs w:val="28"/>
        </w:rPr>
        <w:t>ы</w:t>
      </w:r>
      <w:r w:rsidRPr="0047440B">
        <w:rPr>
          <w:sz w:val="28"/>
          <w:szCs w:val="28"/>
        </w:rPr>
        <w:t xml:space="preserve"> оказания онкологической помощи в целом. </w:t>
      </w:r>
    </w:p>
    <w:p w:rsidR="003239F0" w:rsidRPr="0047440B" w:rsidRDefault="003239F0" w:rsidP="00E4174D">
      <w:pPr>
        <w:ind w:firstLine="709"/>
        <w:jc w:val="both"/>
        <w:rPr>
          <w:sz w:val="28"/>
          <w:szCs w:val="28"/>
        </w:rPr>
      </w:pPr>
      <w:r w:rsidRPr="0047440B">
        <w:rPr>
          <w:sz w:val="28"/>
          <w:szCs w:val="28"/>
        </w:rPr>
        <w:t xml:space="preserve">В дополнение к изменениям в брендбуке планируется внесение изменений в речевые модули для сотрудников </w:t>
      </w:r>
      <w:r w:rsidR="006A35AD" w:rsidRPr="0047440B">
        <w:rPr>
          <w:rFonts w:eastAsia="Arial"/>
          <w:sz w:val="28"/>
          <w:szCs w:val="28"/>
        </w:rPr>
        <w:t xml:space="preserve">ГАУЗ </w:t>
      </w:r>
      <w:r w:rsidR="002F7358" w:rsidRPr="0047440B">
        <w:rPr>
          <w:rFonts w:eastAsia="Arial"/>
          <w:sz w:val="28"/>
          <w:szCs w:val="28"/>
        </w:rPr>
        <w:t>«</w:t>
      </w:r>
      <w:r w:rsidR="00E4174D" w:rsidRPr="0047440B">
        <w:rPr>
          <w:rFonts w:eastAsia="Arial"/>
          <w:sz w:val="28"/>
          <w:szCs w:val="28"/>
        </w:rPr>
        <w:t>РКОД МЗ РТ им.проф.</w:t>
      </w:r>
      <w:r w:rsidR="006A35AD" w:rsidRPr="0047440B">
        <w:rPr>
          <w:rFonts w:eastAsia="Arial"/>
          <w:sz w:val="28"/>
          <w:szCs w:val="28"/>
        </w:rPr>
        <w:t>М.З.Сигала</w:t>
      </w:r>
      <w:r w:rsidR="002F7358" w:rsidRPr="0047440B">
        <w:rPr>
          <w:rFonts w:eastAsia="Arial"/>
          <w:sz w:val="28"/>
          <w:szCs w:val="28"/>
        </w:rPr>
        <w:t>»</w:t>
      </w:r>
      <w:r w:rsidRPr="0047440B">
        <w:rPr>
          <w:sz w:val="28"/>
          <w:szCs w:val="28"/>
        </w:rPr>
        <w:t xml:space="preserve">, создание </w:t>
      </w:r>
      <w:r w:rsidR="002F7358" w:rsidRPr="0047440B">
        <w:rPr>
          <w:sz w:val="28"/>
          <w:szCs w:val="28"/>
        </w:rPr>
        <w:t>«</w:t>
      </w:r>
      <w:r w:rsidRPr="0047440B">
        <w:rPr>
          <w:sz w:val="28"/>
          <w:szCs w:val="28"/>
        </w:rPr>
        <w:t>дружелюбного</w:t>
      </w:r>
      <w:r w:rsidR="002F7358" w:rsidRPr="0047440B">
        <w:rPr>
          <w:sz w:val="28"/>
          <w:szCs w:val="28"/>
        </w:rPr>
        <w:t>»</w:t>
      </w:r>
      <w:r w:rsidRPr="0047440B">
        <w:rPr>
          <w:sz w:val="28"/>
          <w:szCs w:val="28"/>
        </w:rPr>
        <w:t xml:space="preserve"> сайта с простым и понятным интерфейсом, а также обновление интерьеров диспансера. </w:t>
      </w:r>
    </w:p>
    <w:p w:rsidR="003239F0" w:rsidRPr="0047440B" w:rsidRDefault="003239F0" w:rsidP="00E4174D">
      <w:pPr>
        <w:ind w:firstLine="709"/>
        <w:jc w:val="both"/>
        <w:rPr>
          <w:rFonts w:eastAsia="Arial"/>
          <w:sz w:val="28"/>
          <w:szCs w:val="28"/>
        </w:rPr>
      </w:pPr>
    </w:p>
    <w:p w:rsidR="003239F0" w:rsidRPr="0047440B" w:rsidRDefault="003239F0" w:rsidP="00E4174D">
      <w:pPr>
        <w:ind w:firstLine="709"/>
        <w:jc w:val="both"/>
        <w:rPr>
          <w:rFonts w:eastAsia="Arial"/>
          <w:sz w:val="28"/>
          <w:szCs w:val="28"/>
        </w:rPr>
      </w:pPr>
      <w:r w:rsidRPr="0047440B">
        <w:rPr>
          <w:rFonts w:eastAsia="Arial"/>
          <w:sz w:val="28"/>
          <w:szCs w:val="28"/>
        </w:rPr>
        <w:t>Комплекс мер вторичной профилактики онкологических заболеваний:</w:t>
      </w:r>
    </w:p>
    <w:p w:rsidR="003239F0" w:rsidRPr="0047440B" w:rsidRDefault="003239F0" w:rsidP="00E4174D">
      <w:pPr>
        <w:ind w:firstLine="709"/>
        <w:jc w:val="both"/>
        <w:rPr>
          <w:rFonts w:eastAsia="Arial"/>
          <w:sz w:val="28"/>
          <w:szCs w:val="28"/>
        </w:rPr>
      </w:pPr>
      <w:r w:rsidRPr="0047440B">
        <w:rPr>
          <w:rFonts w:eastAsia="Arial"/>
          <w:sz w:val="28"/>
          <w:szCs w:val="28"/>
        </w:rPr>
        <w:t xml:space="preserve">ежегодно проводится около </w:t>
      </w:r>
      <w:r w:rsidR="0041463D" w:rsidRPr="0047440B">
        <w:rPr>
          <w:rFonts w:eastAsia="Arial"/>
          <w:sz w:val="28"/>
          <w:szCs w:val="28"/>
        </w:rPr>
        <w:t>500</w:t>
      </w:r>
      <w:r w:rsidRPr="0047440B">
        <w:rPr>
          <w:rFonts w:eastAsia="Arial"/>
          <w:sz w:val="28"/>
          <w:szCs w:val="28"/>
        </w:rPr>
        <w:t xml:space="preserve"> тысяч маммографических исследований женщин, подлежащих скринингу, в том числе в ходе </w:t>
      </w:r>
      <w:r w:rsidR="00185811">
        <w:rPr>
          <w:sz w:val="28"/>
          <w:szCs w:val="28"/>
        </w:rPr>
        <w:t>диспансеризации определенных групп взрослого населения</w:t>
      </w:r>
      <w:r w:rsidRPr="0047440B">
        <w:rPr>
          <w:rFonts w:eastAsia="Arial"/>
          <w:sz w:val="28"/>
          <w:szCs w:val="28"/>
        </w:rPr>
        <w:t xml:space="preserve">; </w:t>
      </w:r>
    </w:p>
    <w:p w:rsidR="003239F0" w:rsidRPr="0047440B" w:rsidRDefault="003239F0" w:rsidP="00E4174D">
      <w:pPr>
        <w:ind w:firstLine="709"/>
        <w:jc w:val="both"/>
        <w:rPr>
          <w:rFonts w:eastAsia="Arial"/>
          <w:sz w:val="28"/>
          <w:szCs w:val="28"/>
        </w:rPr>
      </w:pPr>
      <w:r w:rsidRPr="0047440B">
        <w:rPr>
          <w:rFonts w:eastAsia="Arial"/>
          <w:sz w:val="28"/>
          <w:szCs w:val="28"/>
        </w:rPr>
        <w:t xml:space="preserve">ежегодно проводится около </w:t>
      </w:r>
      <w:r w:rsidR="0041463D" w:rsidRPr="0047440B">
        <w:rPr>
          <w:rFonts w:eastAsia="Arial"/>
          <w:sz w:val="28"/>
          <w:szCs w:val="28"/>
        </w:rPr>
        <w:t>565</w:t>
      </w:r>
      <w:r w:rsidRPr="0047440B">
        <w:rPr>
          <w:rFonts w:eastAsia="Arial"/>
          <w:sz w:val="28"/>
          <w:szCs w:val="28"/>
        </w:rPr>
        <w:t xml:space="preserve"> тысяч исследований кала на скрытую кровь количественным иммунотурбидиметрическим методом при </w:t>
      </w:r>
      <w:r w:rsidR="00185811">
        <w:rPr>
          <w:sz w:val="28"/>
          <w:szCs w:val="28"/>
        </w:rPr>
        <w:t>диспансеризации определенных групп взрослого населения</w:t>
      </w:r>
      <w:r w:rsidRPr="0047440B">
        <w:rPr>
          <w:rFonts w:eastAsia="Arial"/>
          <w:sz w:val="28"/>
          <w:szCs w:val="28"/>
        </w:rPr>
        <w:t xml:space="preserve">; </w:t>
      </w:r>
    </w:p>
    <w:p w:rsidR="003239F0" w:rsidRPr="0047440B" w:rsidRDefault="003239F0" w:rsidP="00E4174D">
      <w:pPr>
        <w:ind w:firstLine="709"/>
        <w:jc w:val="both"/>
        <w:rPr>
          <w:rFonts w:eastAsia="Arial"/>
          <w:sz w:val="28"/>
          <w:szCs w:val="28"/>
        </w:rPr>
      </w:pPr>
      <w:r w:rsidRPr="0047440B">
        <w:rPr>
          <w:rFonts w:eastAsia="Arial"/>
          <w:sz w:val="28"/>
          <w:szCs w:val="28"/>
        </w:rPr>
        <w:t xml:space="preserve">ежегодно проводится около </w:t>
      </w:r>
      <w:r w:rsidR="0041463D" w:rsidRPr="0047440B">
        <w:rPr>
          <w:rFonts w:eastAsia="Arial"/>
          <w:sz w:val="28"/>
          <w:szCs w:val="28"/>
        </w:rPr>
        <w:t>47</w:t>
      </w:r>
      <w:r w:rsidRPr="0047440B">
        <w:rPr>
          <w:rFonts w:eastAsia="Arial"/>
          <w:sz w:val="28"/>
          <w:szCs w:val="28"/>
        </w:rPr>
        <w:t xml:space="preserve"> тысяч исследований простатспецифического антигена иммунохемилюминисцентным методом; </w:t>
      </w:r>
    </w:p>
    <w:p w:rsidR="003239F0" w:rsidRPr="0047440B" w:rsidRDefault="003239F0" w:rsidP="00E4174D">
      <w:pPr>
        <w:ind w:firstLine="709"/>
        <w:jc w:val="both"/>
        <w:rPr>
          <w:rFonts w:eastAsia="Arial"/>
          <w:sz w:val="28"/>
          <w:szCs w:val="28"/>
        </w:rPr>
      </w:pPr>
      <w:r w:rsidRPr="0047440B">
        <w:rPr>
          <w:rFonts w:eastAsia="Arial"/>
          <w:sz w:val="28"/>
          <w:szCs w:val="28"/>
        </w:rPr>
        <w:t xml:space="preserve">ежегодно проводится </w:t>
      </w:r>
      <w:r w:rsidR="0080345E" w:rsidRPr="0047440B">
        <w:rPr>
          <w:rFonts w:eastAsia="Arial"/>
          <w:sz w:val="28"/>
          <w:szCs w:val="28"/>
        </w:rPr>
        <w:t xml:space="preserve">более </w:t>
      </w:r>
      <w:r w:rsidR="0041463D" w:rsidRPr="0047440B">
        <w:rPr>
          <w:rFonts w:eastAsia="Arial"/>
          <w:sz w:val="28"/>
          <w:szCs w:val="28"/>
        </w:rPr>
        <w:t>660</w:t>
      </w:r>
      <w:r w:rsidR="005864A0" w:rsidRPr="0047440B">
        <w:rPr>
          <w:rFonts w:eastAsia="Arial"/>
          <w:sz w:val="28"/>
          <w:szCs w:val="28"/>
        </w:rPr>
        <w:t xml:space="preserve"> </w:t>
      </w:r>
      <w:r w:rsidRPr="0047440B">
        <w:rPr>
          <w:rFonts w:eastAsia="Arial"/>
          <w:sz w:val="28"/>
          <w:szCs w:val="28"/>
        </w:rPr>
        <w:t xml:space="preserve">тысяч </w:t>
      </w:r>
      <w:r w:rsidR="0080345E" w:rsidRPr="0047440B">
        <w:rPr>
          <w:rFonts w:eastAsia="Arial"/>
          <w:sz w:val="28"/>
          <w:szCs w:val="28"/>
        </w:rPr>
        <w:t xml:space="preserve">скрининговых </w:t>
      </w:r>
      <w:r w:rsidRPr="0047440B">
        <w:rPr>
          <w:rFonts w:eastAsia="Arial"/>
          <w:sz w:val="28"/>
          <w:szCs w:val="28"/>
        </w:rPr>
        <w:t>цитологических исследований мазков с шейки матки при посещении смотровых кабинетов</w:t>
      </w:r>
      <w:r w:rsidR="00A00E40" w:rsidRPr="0047440B">
        <w:rPr>
          <w:rFonts w:eastAsia="Arial"/>
          <w:sz w:val="28"/>
          <w:szCs w:val="28"/>
        </w:rPr>
        <w:t xml:space="preserve"> в рамках </w:t>
      </w:r>
      <w:r w:rsidR="00CC5747" w:rsidRPr="0047440B">
        <w:rPr>
          <w:color w:val="000000" w:themeColor="text1"/>
          <w:sz w:val="28"/>
          <w:szCs w:val="28"/>
        </w:rPr>
        <w:t>Программы государственных гарантий бесплатного оказания гражданам медицинской помощи на территории Республики Татарстан</w:t>
      </w:r>
      <w:r w:rsidR="009E6A0C" w:rsidRPr="0047440B">
        <w:rPr>
          <w:rFonts w:eastAsia="Arial"/>
          <w:sz w:val="28"/>
          <w:szCs w:val="28"/>
        </w:rPr>
        <w:t>. За период 201</w:t>
      </w:r>
      <w:r w:rsidR="00636838" w:rsidRPr="0047440B">
        <w:rPr>
          <w:rFonts w:eastAsia="Arial"/>
          <w:sz w:val="28"/>
          <w:szCs w:val="28"/>
        </w:rPr>
        <w:t>6</w:t>
      </w:r>
      <w:r w:rsidR="005864A0" w:rsidRPr="0047440B">
        <w:rPr>
          <w:rFonts w:eastAsia="Arial"/>
          <w:sz w:val="28"/>
          <w:szCs w:val="28"/>
        </w:rPr>
        <w:t xml:space="preserve"> </w:t>
      </w:r>
      <w:r w:rsidR="005864A0" w:rsidRPr="0047440B">
        <w:rPr>
          <w:sz w:val="28"/>
          <w:szCs w:val="28"/>
        </w:rPr>
        <w:t xml:space="preserve">– </w:t>
      </w:r>
      <w:r w:rsidR="009E6A0C" w:rsidRPr="0047440B">
        <w:rPr>
          <w:rFonts w:eastAsia="Arial"/>
          <w:sz w:val="28"/>
          <w:szCs w:val="28"/>
        </w:rPr>
        <w:t>202</w:t>
      </w:r>
      <w:r w:rsidR="0041463D" w:rsidRPr="0047440B">
        <w:rPr>
          <w:rFonts w:eastAsia="Arial"/>
          <w:sz w:val="28"/>
          <w:szCs w:val="28"/>
        </w:rPr>
        <w:t>5</w:t>
      </w:r>
      <w:r w:rsidR="009E6A0C" w:rsidRPr="0047440B">
        <w:rPr>
          <w:rFonts w:eastAsia="Arial"/>
          <w:sz w:val="28"/>
          <w:szCs w:val="28"/>
        </w:rPr>
        <w:t xml:space="preserve"> год</w:t>
      </w:r>
      <w:r w:rsidR="00F03ECC" w:rsidRPr="0047440B">
        <w:rPr>
          <w:rFonts w:eastAsia="Arial"/>
          <w:sz w:val="28"/>
          <w:szCs w:val="28"/>
        </w:rPr>
        <w:t>ов</w:t>
      </w:r>
      <w:r w:rsidR="009E6A0C" w:rsidRPr="0047440B">
        <w:rPr>
          <w:rFonts w:eastAsia="Arial"/>
          <w:sz w:val="28"/>
          <w:szCs w:val="28"/>
        </w:rPr>
        <w:t xml:space="preserve"> количество женщин, охваченных цитологическим скринингом рак</w:t>
      </w:r>
      <w:r w:rsidR="00F03ECC" w:rsidRPr="0047440B">
        <w:rPr>
          <w:rFonts w:eastAsia="Arial"/>
          <w:sz w:val="28"/>
          <w:szCs w:val="28"/>
        </w:rPr>
        <w:t>а</w:t>
      </w:r>
      <w:r w:rsidR="009E6A0C" w:rsidRPr="0047440B">
        <w:rPr>
          <w:rFonts w:eastAsia="Arial"/>
          <w:sz w:val="28"/>
          <w:szCs w:val="28"/>
        </w:rPr>
        <w:t xml:space="preserve"> шейки матки, увеличилось на </w:t>
      </w:r>
      <w:r w:rsidR="00636838" w:rsidRPr="0047440B">
        <w:rPr>
          <w:rFonts w:eastAsia="Arial"/>
          <w:sz w:val="28"/>
          <w:szCs w:val="28"/>
        </w:rPr>
        <w:t>14,0</w:t>
      </w:r>
      <w:r w:rsidR="005864A0" w:rsidRPr="0047440B">
        <w:rPr>
          <w:rFonts w:eastAsia="Arial"/>
          <w:sz w:val="28"/>
          <w:szCs w:val="28"/>
        </w:rPr>
        <w:t xml:space="preserve"> процента</w:t>
      </w:r>
      <w:r w:rsidR="009E6A0C" w:rsidRPr="0047440B">
        <w:rPr>
          <w:rFonts w:eastAsia="Arial"/>
          <w:sz w:val="28"/>
          <w:szCs w:val="28"/>
        </w:rPr>
        <w:t xml:space="preserve">, число выявленных случаев рака шейки матки возросло </w:t>
      </w:r>
      <w:r w:rsidR="00636838" w:rsidRPr="0047440B">
        <w:rPr>
          <w:rFonts w:eastAsia="Arial"/>
          <w:sz w:val="28"/>
          <w:szCs w:val="28"/>
        </w:rPr>
        <w:t>на 24,8</w:t>
      </w:r>
      <w:r w:rsidR="009E6A0C" w:rsidRPr="0047440B">
        <w:rPr>
          <w:rFonts w:eastAsia="Arial"/>
          <w:sz w:val="28"/>
          <w:szCs w:val="28"/>
        </w:rPr>
        <w:t xml:space="preserve"> </w:t>
      </w:r>
      <w:r w:rsidR="00636838" w:rsidRPr="0047440B">
        <w:rPr>
          <w:rFonts w:eastAsia="Arial"/>
          <w:sz w:val="28"/>
          <w:szCs w:val="28"/>
        </w:rPr>
        <w:t>процента</w:t>
      </w:r>
      <w:r w:rsidR="009E6A0C" w:rsidRPr="0047440B">
        <w:rPr>
          <w:rFonts w:eastAsia="Arial"/>
          <w:sz w:val="28"/>
          <w:szCs w:val="28"/>
        </w:rPr>
        <w:t xml:space="preserve"> </w:t>
      </w:r>
      <w:r w:rsidRPr="0047440B">
        <w:rPr>
          <w:rFonts w:eastAsia="Arial"/>
          <w:sz w:val="28"/>
          <w:szCs w:val="28"/>
        </w:rPr>
        <w:t xml:space="preserve">(таблица </w:t>
      </w:r>
      <w:r w:rsidR="0041463D" w:rsidRPr="0047440B">
        <w:rPr>
          <w:rFonts w:eastAsia="Arial"/>
          <w:sz w:val="28"/>
          <w:szCs w:val="28"/>
        </w:rPr>
        <w:t>15.4</w:t>
      </w:r>
      <w:r w:rsidRPr="0047440B">
        <w:rPr>
          <w:rFonts w:eastAsia="Arial"/>
          <w:sz w:val="28"/>
          <w:szCs w:val="28"/>
        </w:rPr>
        <w:t>);</w:t>
      </w:r>
    </w:p>
    <w:p w:rsidR="00A443F1" w:rsidRPr="0047440B" w:rsidRDefault="003239F0" w:rsidP="00E4174D">
      <w:pPr>
        <w:ind w:firstLine="709"/>
        <w:jc w:val="both"/>
        <w:rPr>
          <w:rFonts w:eastAsia="Arial"/>
          <w:sz w:val="28"/>
          <w:szCs w:val="28"/>
        </w:rPr>
      </w:pPr>
      <w:r w:rsidRPr="0047440B">
        <w:rPr>
          <w:rFonts w:eastAsia="Arial"/>
          <w:sz w:val="28"/>
          <w:szCs w:val="28"/>
        </w:rPr>
        <w:t xml:space="preserve">с 2013 года в Республике Татарстан осуществляются медицинские осмотры в рамках </w:t>
      </w:r>
      <w:r w:rsidR="00185811">
        <w:rPr>
          <w:sz w:val="28"/>
          <w:szCs w:val="28"/>
        </w:rPr>
        <w:t>диспансеризации определенных групп взрослого населения</w:t>
      </w:r>
      <w:r w:rsidRPr="0047440B">
        <w:rPr>
          <w:rFonts w:eastAsia="Arial"/>
          <w:sz w:val="28"/>
          <w:szCs w:val="28"/>
        </w:rPr>
        <w:t xml:space="preserve">. </w:t>
      </w:r>
    </w:p>
    <w:p w:rsidR="003239F0" w:rsidRPr="0047440B" w:rsidRDefault="00A443F1" w:rsidP="00E4174D">
      <w:pPr>
        <w:ind w:firstLine="709"/>
        <w:jc w:val="both"/>
        <w:rPr>
          <w:rFonts w:eastAsia="Arial"/>
        </w:rPr>
      </w:pPr>
      <w:r w:rsidRPr="0047440B">
        <w:rPr>
          <w:rFonts w:eastAsia="Arial"/>
          <w:sz w:val="28"/>
          <w:szCs w:val="28"/>
        </w:rPr>
        <w:t>За период 201</w:t>
      </w:r>
      <w:r w:rsidR="00636838" w:rsidRPr="0047440B">
        <w:rPr>
          <w:rFonts w:eastAsia="Arial"/>
          <w:sz w:val="28"/>
          <w:szCs w:val="28"/>
        </w:rPr>
        <w:t>6</w:t>
      </w:r>
      <w:r w:rsidR="005864A0" w:rsidRPr="0047440B">
        <w:rPr>
          <w:rFonts w:eastAsia="Arial"/>
          <w:sz w:val="28"/>
          <w:szCs w:val="28"/>
        </w:rPr>
        <w:t xml:space="preserve"> </w:t>
      </w:r>
      <w:r w:rsidR="005864A0" w:rsidRPr="0047440B">
        <w:rPr>
          <w:sz w:val="28"/>
          <w:szCs w:val="28"/>
        </w:rPr>
        <w:t>–</w:t>
      </w:r>
      <w:r w:rsidR="005864A0" w:rsidRPr="0047440B">
        <w:rPr>
          <w:rFonts w:eastAsia="Arial"/>
          <w:sz w:val="28"/>
          <w:szCs w:val="28"/>
        </w:rPr>
        <w:t xml:space="preserve"> </w:t>
      </w:r>
      <w:r w:rsidRPr="0047440B">
        <w:rPr>
          <w:rFonts w:eastAsia="Arial"/>
          <w:sz w:val="28"/>
          <w:szCs w:val="28"/>
        </w:rPr>
        <w:t>202</w:t>
      </w:r>
      <w:r w:rsidR="00636838" w:rsidRPr="0047440B">
        <w:rPr>
          <w:rFonts w:eastAsia="Arial"/>
          <w:sz w:val="28"/>
          <w:szCs w:val="28"/>
        </w:rPr>
        <w:t>5</w:t>
      </w:r>
      <w:r w:rsidRPr="0047440B">
        <w:rPr>
          <w:rFonts w:eastAsia="Arial"/>
          <w:sz w:val="28"/>
          <w:szCs w:val="28"/>
        </w:rPr>
        <w:t xml:space="preserve"> год</w:t>
      </w:r>
      <w:r w:rsidR="00F03ECC" w:rsidRPr="0047440B">
        <w:rPr>
          <w:rFonts w:eastAsia="Arial"/>
          <w:sz w:val="28"/>
          <w:szCs w:val="28"/>
        </w:rPr>
        <w:t>ов</w:t>
      </w:r>
      <w:r w:rsidRPr="0047440B">
        <w:rPr>
          <w:rFonts w:eastAsia="Arial"/>
          <w:sz w:val="28"/>
          <w:szCs w:val="28"/>
        </w:rPr>
        <w:t xml:space="preserve"> количество лиц, прошедших профилактические медицинские осмотры и </w:t>
      </w:r>
      <w:r w:rsidR="00185811">
        <w:rPr>
          <w:sz w:val="28"/>
          <w:szCs w:val="28"/>
        </w:rPr>
        <w:t>диспансеризации определенных групп взрослого населения</w:t>
      </w:r>
      <w:r w:rsidR="00F23301" w:rsidRPr="0047440B">
        <w:rPr>
          <w:rFonts w:eastAsia="Arial"/>
          <w:sz w:val="28"/>
          <w:szCs w:val="28"/>
        </w:rPr>
        <w:t>,</w:t>
      </w:r>
      <w:r w:rsidRPr="0047440B">
        <w:rPr>
          <w:rFonts w:eastAsia="Arial"/>
          <w:sz w:val="28"/>
          <w:szCs w:val="28"/>
        </w:rPr>
        <w:t xml:space="preserve"> </w:t>
      </w:r>
      <w:r w:rsidR="00DF42B1" w:rsidRPr="0047440B">
        <w:rPr>
          <w:rFonts w:eastAsia="Arial"/>
          <w:sz w:val="28"/>
          <w:szCs w:val="28"/>
        </w:rPr>
        <w:t xml:space="preserve">снизилось на 2,6 </w:t>
      </w:r>
      <w:r w:rsidR="005864A0" w:rsidRPr="0047440B">
        <w:rPr>
          <w:rFonts w:eastAsia="Arial"/>
          <w:sz w:val="28"/>
          <w:szCs w:val="28"/>
        </w:rPr>
        <w:t>процента</w:t>
      </w:r>
      <w:r w:rsidRPr="0047440B">
        <w:rPr>
          <w:rFonts w:eastAsia="Arial"/>
          <w:sz w:val="28"/>
          <w:szCs w:val="28"/>
        </w:rPr>
        <w:t xml:space="preserve">. Число выявленных </w:t>
      </w:r>
      <w:r w:rsidR="00F03ECC" w:rsidRPr="0047440B">
        <w:rPr>
          <w:rFonts w:eastAsia="Arial"/>
          <w:sz w:val="28"/>
          <w:szCs w:val="28"/>
        </w:rPr>
        <w:t>ЗНО</w:t>
      </w:r>
      <w:r w:rsidRPr="0047440B">
        <w:rPr>
          <w:rFonts w:eastAsia="Arial"/>
          <w:sz w:val="28"/>
          <w:szCs w:val="28"/>
        </w:rPr>
        <w:t xml:space="preserve"> за тот же период увеличилось на </w:t>
      </w:r>
      <w:r w:rsidR="00185811">
        <w:rPr>
          <w:rFonts w:eastAsia="Arial"/>
          <w:sz w:val="28"/>
          <w:szCs w:val="28"/>
        </w:rPr>
        <w:br/>
      </w:r>
      <w:r w:rsidR="00BF31D8" w:rsidRPr="0047440B">
        <w:rPr>
          <w:rFonts w:eastAsia="Arial"/>
          <w:sz w:val="28"/>
          <w:szCs w:val="28"/>
        </w:rPr>
        <w:t>3</w:t>
      </w:r>
      <w:r w:rsidR="009268DA" w:rsidRPr="0047440B">
        <w:rPr>
          <w:rFonts w:eastAsia="Arial"/>
          <w:sz w:val="28"/>
          <w:szCs w:val="28"/>
        </w:rPr>
        <w:t>6</w:t>
      </w:r>
      <w:r w:rsidR="00BF31D8" w:rsidRPr="0047440B">
        <w:rPr>
          <w:rFonts w:eastAsia="Arial"/>
          <w:sz w:val="28"/>
          <w:szCs w:val="28"/>
        </w:rPr>
        <w:t>,</w:t>
      </w:r>
      <w:r w:rsidR="009268DA" w:rsidRPr="0047440B">
        <w:rPr>
          <w:rFonts w:eastAsia="Arial"/>
          <w:sz w:val="28"/>
          <w:szCs w:val="28"/>
        </w:rPr>
        <w:t>8</w:t>
      </w:r>
      <w:r w:rsidR="005864A0" w:rsidRPr="0047440B">
        <w:rPr>
          <w:rFonts w:eastAsia="Arial"/>
          <w:sz w:val="28"/>
          <w:szCs w:val="28"/>
        </w:rPr>
        <w:t xml:space="preserve"> процента</w:t>
      </w:r>
      <w:r w:rsidRPr="0047440B">
        <w:rPr>
          <w:rFonts w:eastAsia="Arial"/>
          <w:sz w:val="28"/>
          <w:szCs w:val="28"/>
        </w:rPr>
        <w:t xml:space="preserve">. </w:t>
      </w:r>
      <w:r w:rsidR="003239F0" w:rsidRPr="0047440B">
        <w:rPr>
          <w:rFonts w:eastAsia="Arial"/>
          <w:sz w:val="28"/>
          <w:szCs w:val="28"/>
        </w:rPr>
        <w:t xml:space="preserve">Информация о количестве обследованных граждан и выявленных случаях </w:t>
      </w:r>
      <w:r w:rsidR="00F23301" w:rsidRPr="0047440B">
        <w:rPr>
          <w:rFonts w:eastAsia="Arial"/>
          <w:sz w:val="28"/>
          <w:szCs w:val="28"/>
        </w:rPr>
        <w:t>ЗНО</w:t>
      </w:r>
      <w:r w:rsidRPr="0047440B">
        <w:rPr>
          <w:rFonts w:eastAsia="Arial"/>
          <w:sz w:val="28"/>
          <w:szCs w:val="28"/>
        </w:rPr>
        <w:t xml:space="preserve"> в абсолютных значениях и в процентах от числа обследованных </w:t>
      </w:r>
      <w:r w:rsidR="001A58DA" w:rsidRPr="0047440B">
        <w:rPr>
          <w:rFonts w:eastAsia="Arial"/>
          <w:sz w:val="28"/>
          <w:szCs w:val="28"/>
        </w:rPr>
        <w:t>граждан</w:t>
      </w:r>
      <w:r w:rsidR="003239F0" w:rsidRPr="0047440B">
        <w:rPr>
          <w:rFonts w:eastAsia="Arial"/>
          <w:sz w:val="28"/>
          <w:szCs w:val="28"/>
        </w:rPr>
        <w:t xml:space="preserve"> приведена в таблиц</w:t>
      </w:r>
      <w:r w:rsidR="00932660" w:rsidRPr="0047440B">
        <w:rPr>
          <w:rFonts w:eastAsia="Arial"/>
          <w:sz w:val="28"/>
          <w:szCs w:val="28"/>
        </w:rPr>
        <w:t xml:space="preserve">ах </w:t>
      </w:r>
      <w:r w:rsidR="00067293" w:rsidRPr="0047440B">
        <w:rPr>
          <w:rFonts w:eastAsia="Arial"/>
          <w:sz w:val="28"/>
          <w:szCs w:val="28"/>
        </w:rPr>
        <w:t>15.</w:t>
      </w:r>
      <w:r w:rsidR="00871A9E" w:rsidRPr="0047440B">
        <w:rPr>
          <w:rFonts w:eastAsia="Arial"/>
          <w:sz w:val="28"/>
          <w:szCs w:val="28"/>
        </w:rPr>
        <w:t>5</w:t>
      </w:r>
      <w:r w:rsidR="00F31ADB" w:rsidRPr="0047440B">
        <w:rPr>
          <w:rFonts w:eastAsia="Arial"/>
          <w:sz w:val="28"/>
          <w:szCs w:val="28"/>
        </w:rPr>
        <w:t xml:space="preserve"> </w:t>
      </w:r>
      <w:r w:rsidR="00F31ADB" w:rsidRPr="0047440B">
        <w:rPr>
          <w:sz w:val="28"/>
          <w:szCs w:val="28"/>
        </w:rPr>
        <w:t>–</w:t>
      </w:r>
      <w:r w:rsidR="00067293" w:rsidRPr="0047440B">
        <w:rPr>
          <w:rFonts w:eastAsia="Arial"/>
          <w:sz w:val="28"/>
          <w:szCs w:val="28"/>
        </w:rPr>
        <w:t>15.</w:t>
      </w:r>
      <w:r w:rsidR="00086A71" w:rsidRPr="0047440B">
        <w:rPr>
          <w:rFonts w:eastAsia="Arial"/>
          <w:sz w:val="28"/>
          <w:szCs w:val="28"/>
        </w:rPr>
        <w:t>6</w:t>
      </w:r>
      <w:r w:rsidR="00067293" w:rsidRPr="0047440B">
        <w:rPr>
          <w:rFonts w:eastAsia="Arial"/>
          <w:sz w:val="28"/>
          <w:szCs w:val="28"/>
        </w:rPr>
        <w:t>.</w:t>
      </w:r>
      <w:r w:rsidR="001A58DA" w:rsidRPr="0047440B">
        <w:rPr>
          <w:rFonts w:eastAsia="Arial"/>
          <w:sz w:val="28"/>
          <w:szCs w:val="28"/>
        </w:rPr>
        <w:t xml:space="preserve"> </w:t>
      </w:r>
    </w:p>
    <w:p w:rsidR="003239F0" w:rsidRPr="0047440B" w:rsidRDefault="003239F0" w:rsidP="003239F0">
      <w:pPr>
        <w:rPr>
          <w:rFonts w:eastAsia="Arial"/>
        </w:rPr>
        <w:sectPr w:rsidR="003239F0" w:rsidRPr="0047440B" w:rsidSect="00E4174D">
          <w:headerReference w:type="first" r:id="rId40"/>
          <w:pgSz w:w="12240" w:h="15840"/>
          <w:pgMar w:top="1134" w:right="567" w:bottom="1134" w:left="1134" w:header="720" w:footer="720" w:gutter="0"/>
          <w:cols w:space="720"/>
          <w:docGrid w:linePitch="326"/>
        </w:sectPr>
      </w:pPr>
    </w:p>
    <w:p w:rsidR="002B5C66" w:rsidRPr="0047440B" w:rsidRDefault="002B5C66" w:rsidP="005349DA">
      <w:pPr>
        <w:ind w:left="12037" w:firstLine="153"/>
        <w:jc w:val="right"/>
        <w:rPr>
          <w:rFonts w:eastAsia="Arial"/>
          <w:sz w:val="28"/>
          <w:szCs w:val="28"/>
        </w:rPr>
      </w:pPr>
    </w:p>
    <w:p w:rsidR="005349DA" w:rsidRPr="0047440B" w:rsidRDefault="005349DA" w:rsidP="005349DA">
      <w:pPr>
        <w:ind w:left="12037" w:firstLine="153"/>
        <w:jc w:val="right"/>
        <w:rPr>
          <w:rFonts w:eastAsia="Arial"/>
          <w:sz w:val="28"/>
          <w:szCs w:val="28"/>
        </w:rPr>
      </w:pPr>
      <w:r w:rsidRPr="0047440B">
        <w:rPr>
          <w:rFonts w:eastAsia="Arial"/>
          <w:sz w:val="28"/>
          <w:szCs w:val="28"/>
        </w:rPr>
        <w:t xml:space="preserve">Таблица </w:t>
      </w:r>
      <w:r w:rsidR="0035639D" w:rsidRPr="0047440B">
        <w:rPr>
          <w:rFonts w:eastAsia="Arial"/>
          <w:sz w:val="28"/>
          <w:szCs w:val="28"/>
        </w:rPr>
        <w:t>15.4</w:t>
      </w:r>
    </w:p>
    <w:p w:rsidR="005349DA" w:rsidRPr="0047440B" w:rsidRDefault="005349DA" w:rsidP="00B76DBE">
      <w:pPr>
        <w:jc w:val="center"/>
        <w:rPr>
          <w:rFonts w:eastAsia="Arial"/>
          <w:sz w:val="28"/>
          <w:szCs w:val="28"/>
        </w:rPr>
      </w:pPr>
    </w:p>
    <w:p w:rsidR="00B76DBE" w:rsidRPr="0047440B" w:rsidRDefault="00B76DBE" w:rsidP="00B76DBE">
      <w:pPr>
        <w:jc w:val="center"/>
        <w:rPr>
          <w:rFonts w:eastAsia="Arial"/>
          <w:sz w:val="28"/>
          <w:szCs w:val="28"/>
        </w:rPr>
      </w:pPr>
      <w:r w:rsidRPr="0047440B">
        <w:rPr>
          <w:rFonts w:eastAsia="Arial"/>
          <w:sz w:val="28"/>
          <w:szCs w:val="28"/>
        </w:rPr>
        <w:t xml:space="preserve">Проведение мероприятий по </w:t>
      </w:r>
      <w:r w:rsidR="00B9626A" w:rsidRPr="0047440B">
        <w:rPr>
          <w:rFonts w:eastAsia="Arial"/>
          <w:sz w:val="28"/>
          <w:szCs w:val="28"/>
        </w:rPr>
        <w:t xml:space="preserve">скринингу </w:t>
      </w:r>
      <w:r w:rsidR="00025A0B" w:rsidRPr="0047440B">
        <w:rPr>
          <w:rFonts w:eastAsia="Arial"/>
          <w:sz w:val="28"/>
          <w:szCs w:val="28"/>
        </w:rPr>
        <w:t xml:space="preserve">рака шейки матки </w:t>
      </w:r>
      <w:r w:rsidRPr="0047440B">
        <w:rPr>
          <w:rFonts w:eastAsia="Arial"/>
          <w:sz w:val="28"/>
          <w:szCs w:val="28"/>
        </w:rPr>
        <w:t>в Республике Татарстан</w:t>
      </w:r>
    </w:p>
    <w:p w:rsidR="007F3AFB" w:rsidRPr="0047440B" w:rsidRDefault="007F3AFB" w:rsidP="007F3AFB">
      <w:pPr>
        <w:jc w:val="right"/>
        <w:rPr>
          <w:rFonts w:eastAsia="Arial"/>
          <w:sz w:val="20"/>
          <w:szCs w:val="20"/>
        </w:rPr>
      </w:pPr>
    </w:p>
    <w:p w:rsidR="00B76DBE" w:rsidRPr="0047440B" w:rsidRDefault="007F3AFB" w:rsidP="007F3AFB">
      <w:pPr>
        <w:jc w:val="right"/>
        <w:rPr>
          <w:rFonts w:eastAsia="Arial"/>
          <w:sz w:val="20"/>
          <w:szCs w:val="20"/>
        </w:rPr>
      </w:pPr>
      <w:r w:rsidRPr="0047440B">
        <w:rPr>
          <w:rFonts w:eastAsia="Arial"/>
          <w:sz w:val="20"/>
          <w:szCs w:val="20"/>
        </w:rPr>
        <w:t>(единиц)</w:t>
      </w:r>
    </w:p>
    <w:tbl>
      <w:tblPr>
        <w:tblW w:w="14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3539"/>
        <w:gridCol w:w="1276"/>
        <w:gridCol w:w="992"/>
        <w:gridCol w:w="1134"/>
        <w:gridCol w:w="1134"/>
        <w:gridCol w:w="992"/>
        <w:gridCol w:w="993"/>
        <w:gridCol w:w="992"/>
        <w:gridCol w:w="992"/>
        <w:gridCol w:w="992"/>
        <w:gridCol w:w="1077"/>
      </w:tblGrid>
      <w:tr w:rsidR="0041463D" w:rsidRPr="0047440B" w:rsidTr="00633E24">
        <w:trPr>
          <w:trHeight w:val="20"/>
        </w:trPr>
        <w:tc>
          <w:tcPr>
            <w:tcW w:w="3539" w:type="dxa"/>
            <w:shd w:val="clear" w:color="auto" w:fill="auto"/>
          </w:tcPr>
          <w:p w:rsidR="0041463D" w:rsidRPr="0047440B" w:rsidRDefault="0041463D" w:rsidP="0041463D">
            <w:pPr>
              <w:jc w:val="center"/>
              <w:rPr>
                <w:rFonts w:eastAsia="Arial"/>
                <w:sz w:val="20"/>
                <w:szCs w:val="20"/>
              </w:rPr>
            </w:pPr>
            <w:r w:rsidRPr="0047440B">
              <w:rPr>
                <w:rFonts w:eastAsia="Arial"/>
                <w:sz w:val="20"/>
                <w:szCs w:val="20"/>
              </w:rPr>
              <w:t>Показатель</w:t>
            </w:r>
          </w:p>
        </w:tc>
        <w:tc>
          <w:tcPr>
            <w:tcW w:w="1276" w:type="dxa"/>
          </w:tcPr>
          <w:p w:rsidR="0041463D" w:rsidRPr="0047440B" w:rsidRDefault="0041463D" w:rsidP="0041463D">
            <w:pPr>
              <w:jc w:val="center"/>
              <w:rPr>
                <w:rFonts w:eastAsia="Arial"/>
                <w:sz w:val="20"/>
                <w:szCs w:val="20"/>
              </w:rPr>
            </w:pPr>
            <w:r w:rsidRPr="0047440B">
              <w:rPr>
                <w:rFonts w:eastAsia="Arial"/>
                <w:sz w:val="20"/>
                <w:szCs w:val="20"/>
              </w:rPr>
              <w:t>2016 г.</w:t>
            </w:r>
          </w:p>
        </w:tc>
        <w:tc>
          <w:tcPr>
            <w:tcW w:w="992" w:type="dxa"/>
          </w:tcPr>
          <w:p w:rsidR="0041463D" w:rsidRPr="0047440B" w:rsidRDefault="0041463D" w:rsidP="0041463D">
            <w:pPr>
              <w:jc w:val="center"/>
              <w:rPr>
                <w:rFonts w:eastAsia="Arial"/>
                <w:sz w:val="20"/>
                <w:szCs w:val="20"/>
              </w:rPr>
            </w:pPr>
            <w:r w:rsidRPr="0047440B">
              <w:rPr>
                <w:rFonts w:eastAsia="Arial"/>
                <w:sz w:val="20"/>
                <w:szCs w:val="20"/>
              </w:rPr>
              <w:t>2017 г.</w:t>
            </w:r>
          </w:p>
        </w:tc>
        <w:tc>
          <w:tcPr>
            <w:tcW w:w="1134" w:type="dxa"/>
          </w:tcPr>
          <w:p w:rsidR="0041463D" w:rsidRPr="0047440B" w:rsidRDefault="0041463D" w:rsidP="0041463D">
            <w:pPr>
              <w:jc w:val="center"/>
              <w:rPr>
                <w:rFonts w:eastAsia="Arial"/>
                <w:sz w:val="20"/>
                <w:szCs w:val="20"/>
              </w:rPr>
            </w:pPr>
            <w:r w:rsidRPr="0047440B">
              <w:rPr>
                <w:rFonts w:eastAsia="Arial"/>
                <w:sz w:val="20"/>
                <w:szCs w:val="20"/>
              </w:rPr>
              <w:t>2018 г.</w:t>
            </w:r>
          </w:p>
        </w:tc>
        <w:tc>
          <w:tcPr>
            <w:tcW w:w="1134" w:type="dxa"/>
          </w:tcPr>
          <w:p w:rsidR="0041463D" w:rsidRPr="0047440B" w:rsidRDefault="0041463D" w:rsidP="0041463D">
            <w:pPr>
              <w:jc w:val="center"/>
              <w:rPr>
                <w:rFonts w:eastAsia="Arial"/>
                <w:sz w:val="20"/>
                <w:szCs w:val="20"/>
              </w:rPr>
            </w:pPr>
            <w:r w:rsidRPr="0047440B">
              <w:rPr>
                <w:rFonts w:eastAsia="Arial"/>
                <w:sz w:val="20"/>
                <w:szCs w:val="20"/>
              </w:rPr>
              <w:t>2019 г.</w:t>
            </w:r>
          </w:p>
        </w:tc>
        <w:tc>
          <w:tcPr>
            <w:tcW w:w="992" w:type="dxa"/>
          </w:tcPr>
          <w:p w:rsidR="0041463D" w:rsidRPr="0047440B" w:rsidRDefault="0041463D" w:rsidP="0041463D">
            <w:pPr>
              <w:jc w:val="center"/>
              <w:rPr>
                <w:rFonts w:eastAsia="Arial"/>
                <w:sz w:val="20"/>
                <w:szCs w:val="20"/>
              </w:rPr>
            </w:pPr>
            <w:r w:rsidRPr="0047440B">
              <w:rPr>
                <w:rFonts w:eastAsia="Arial"/>
                <w:sz w:val="20"/>
                <w:szCs w:val="20"/>
              </w:rPr>
              <w:t>2020 г.</w:t>
            </w:r>
          </w:p>
        </w:tc>
        <w:tc>
          <w:tcPr>
            <w:tcW w:w="993" w:type="dxa"/>
          </w:tcPr>
          <w:p w:rsidR="0041463D" w:rsidRPr="0047440B" w:rsidRDefault="0041463D" w:rsidP="0041463D">
            <w:pPr>
              <w:jc w:val="center"/>
              <w:rPr>
                <w:rFonts w:eastAsia="Arial"/>
                <w:sz w:val="20"/>
                <w:szCs w:val="20"/>
              </w:rPr>
            </w:pPr>
            <w:r w:rsidRPr="0047440B">
              <w:rPr>
                <w:rFonts w:eastAsia="Arial"/>
                <w:sz w:val="20"/>
                <w:szCs w:val="20"/>
              </w:rPr>
              <w:t>2021 г.</w:t>
            </w:r>
          </w:p>
        </w:tc>
        <w:tc>
          <w:tcPr>
            <w:tcW w:w="992" w:type="dxa"/>
            <w:shd w:val="clear" w:color="auto" w:fill="auto"/>
          </w:tcPr>
          <w:p w:rsidR="0041463D" w:rsidRPr="0047440B" w:rsidRDefault="0041463D" w:rsidP="0041463D">
            <w:pPr>
              <w:jc w:val="center"/>
              <w:rPr>
                <w:rFonts w:eastAsia="Arial"/>
                <w:sz w:val="20"/>
                <w:szCs w:val="20"/>
              </w:rPr>
            </w:pPr>
            <w:r w:rsidRPr="0047440B">
              <w:rPr>
                <w:rFonts w:eastAsia="Arial"/>
                <w:sz w:val="20"/>
                <w:szCs w:val="20"/>
              </w:rPr>
              <w:t>2022 г.</w:t>
            </w:r>
          </w:p>
        </w:tc>
        <w:tc>
          <w:tcPr>
            <w:tcW w:w="992" w:type="dxa"/>
            <w:shd w:val="clear" w:color="auto" w:fill="auto"/>
          </w:tcPr>
          <w:p w:rsidR="0041463D" w:rsidRPr="0047440B" w:rsidRDefault="0041463D" w:rsidP="0041463D">
            <w:pPr>
              <w:jc w:val="center"/>
              <w:rPr>
                <w:rFonts w:eastAsia="Arial"/>
                <w:sz w:val="20"/>
                <w:szCs w:val="20"/>
              </w:rPr>
            </w:pPr>
            <w:r w:rsidRPr="0047440B">
              <w:rPr>
                <w:rFonts w:eastAsia="Arial"/>
                <w:sz w:val="20"/>
                <w:szCs w:val="20"/>
              </w:rPr>
              <w:t>2023 г.</w:t>
            </w:r>
          </w:p>
        </w:tc>
        <w:tc>
          <w:tcPr>
            <w:tcW w:w="992" w:type="dxa"/>
          </w:tcPr>
          <w:p w:rsidR="0041463D" w:rsidRPr="0047440B" w:rsidRDefault="0041463D" w:rsidP="0041463D">
            <w:pPr>
              <w:jc w:val="center"/>
              <w:rPr>
                <w:rFonts w:eastAsia="Arial"/>
                <w:sz w:val="20"/>
                <w:szCs w:val="20"/>
              </w:rPr>
            </w:pPr>
            <w:r w:rsidRPr="0047440B">
              <w:rPr>
                <w:rFonts w:eastAsia="Arial"/>
                <w:sz w:val="20"/>
                <w:szCs w:val="20"/>
              </w:rPr>
              <w:t>2024 г.</w:t>
            </w:r>
          </w:p>
        </w:tc>
        <w:tc>
          <w:tcPr>
            <w:tcW w:w="1077" w:type="dxa"/>
          </w:tcPr>
          <w:p w:rsidR="0041463D" w:rsidRPr="0047440B" w:rsidRDefault="0041463D" w:rsidP="0041463D">
            <w:pPr>
              <w:jc w:val="center"/>
              <w:rPr>
                <w:rFonts w:eastAsia="Arial"/>
                <w:sz w:val="20"/>
                <w:szCs w:val="20"/>
              </w:rPr>
            </w:pPr>
            <w:r w:rsidRPr="0047440B">
              <w:rPr>
                <w:rFonts w:eastAsia="Arial"/>
                <w:sz w:val="20"/>
                <w:szCs w:val="20"/>
              </w:rPr>
              <w:t>2025 г.</w:t>
            </w:r>
          </w:p>
        </w:tc>
      </w:tr>
      <w:tr w:rsidR="0041463D" w:rsidRPr="0047440B" w:rsidTr="00633E24">
        <w:trPr>
          <w:trHeight w:val="20"/>
        </w:trPr>
        <w:tc>
          <w:tcPr>
            <w:tcW w:w="3539" w:type="dxa"/>
            <w:shd w:val="clear" w:color="auto" w:fill="auto"/>
          </w:tcPr>
          <w:p w:rsidR="0041463D" w:rsidRPr="0047440B" w:rsidRDefault="0041463D" w:rsidP="0041463D">
            <w:pPr>
              <w:jc w:val="both"/>
              <w:rPr>
                <w:rFonts w:eastAsia="Arial"/>
                <w:sz w:val="20"/>
                <w:szCs w:val="20"/>
              </w:rPr>
            </w:pPr>
            <w:r w:rsidRPr="0047440B">
              <w:rPr>
                <w:rFonts w:eastAsia="Arial"/>
                <w:sz w:val="20"/>
                <w:szCs w:val="20"/>
              </w:rPr>
              <w:t>Обследовано методом цитологического скрининга на рак шейки матки</w:t>
            </w:r>
          </w:p>
        </w:tc>
        <w:tc>
          <w:tcPr>
            <w:tcW w:w="1276" w:type="dxa"/>
          </w:tcPr>
          <w:p w:rsidR="0041463D" w:rsidRPr="0047440B" w:rsidRDefault="0041463D" w:rsidP="0041463D">
            <w:pPr>
              <w:jc w:val="center"/>
              <w:rPr>
                <w:rFonts w:eastAsia="Arial"/>
                <w:sz w:val="20"/>
                <w:szCs w:val="20"/>
              </w:rPr>
            </w:pPr>
            <w:r w:rsidRPr="0047440B">
              <w:rPr>
                <w:rFonts w:eastAsia="Arial"/>
                <w:sz w:val="20"/>
                <w:szCs w:val="20"/>
              </w:rPr>
              <w:t>585 412</w:t>
            </w:r>
          </w:p>
        </w:tc>
        <w:tc>
          <w:tcPr>
            <w:tcW w:w="992" w:type="dxa"/>
          </w:tcPr>
          <w:p w:rsidR="0041463D" w:rsidRPr="0047440B" w:rsidRDefault="0041463D" w:rsidP="0041463D">
            <w:pPr>
              <w:jc w:val="center"/>
              <w:rPr>
                <w:rFonts w:eastAsia="Arial"/>
                <w:sz w:val="20"/>
                <w:szCs w:val="20"/>
              </w:rPr>
            </w:pPr>
            <w:r w:rsidRPr="0047440B">
              <w:rPr>
                <w:rFonts w:eastAsia="Arial"/>
                <w:sz w:val="20"/>
                <w:szCs w:val="20"/>
              </w:rPr>
              <w:t>594 648</w:t>
            </w:r>
          </w:p>
        </w:tc>
        <w:tc>
          <w:tcPr>
            <w:tcW w:w="1134" w:type="dxa"/>
          </w:tcPr>
          <w:p w:rsidR="0041463D" w:rsidRPr="0047440B" w:rsidRDefault="0041463D" w:rsidP="0041463D">
            <w:pPr>
              <w:jc w:val="center"/>
              <w:rPr>
                <w:rFonts w:eastAsia="Arial"/>
                <w:sz w:val="20"/>
                <w:szCs w:val="20"/>
              </w:rPr>
            </w:pPr>
            <w:r w:rsidRPr="0047440B">
              <w:rPr>
                <w:rFonts w:eastAsia="Arial"/>
                <w:sz w:val="20"/>
                <w:szCs w:val="20"/>
              </w:rPr>
              <w:t>488 861</w:t>
            </w:r>
          </w:p>
        </w:tc>
        <w:tc>
          <w:tcPr>
            <w:tcW w:w="1134" w:type="dxa"/>
          </w:tcPr>
          <w:p w:rsidR="0041463D" w:rsidRPr="0047440B" w:rsidRDefault="0041463D" w:rsidP="0041463D">
            <w:pPr>
              <w:jc w:val="center"/>
              <w:rPr>
                <w:rFonts w:eastAsia="Arial"/>
                <w:sz w:val="20"/>
                <w:szCs w:val="20"/>
              </w:rPr>
            </w:pPr>
            <w:r w:rsidRPr="0047440B">
              <w:rPr>
                <w:rFonts w:eastAsia="Arial"/>
                <w:sz w:val="20"/>
                <w:szCs w:val="20"/>
              </w:rPr>
              <w:t>559 196</w:t>
            </w:r>
          </w:p>
        </w:tc>
        <w:tc>
          <w:tcPr>
            <w:tcW w:w="992" w:type="dxa"/>
          </w:tcPr>
          <w:p w:rsidR="0041463D" w:rsidRPr="0047440B" w:rsidRDefault="0041463D" w:rsidP="0041463D">
            <w:pPr>
              <w:jc w:val="center"/>
              <w:rPr>
                <w:rFonts w:eastAsia="Arial"/>
                <w:sz w:val="20"/>
                <w:szCs w:val="20"/>
              </w:rPr>
            </w:pPr>
            <w:r w:rsidRPr="0047440B">
              <w:rPr>
                <w:rFonts w:eastAsia="Arial"/>
                <w:sz w:val="20"/>
                <w:szCs w:val="20"/>
              </w:rPr>
              <w:t>480 289</w:t>
            </w:r>
          </w:p>
        </w:tc>
        <w:tc>
          <w:tcPr>
            <w:tcW w:w="993" w:type="dxa"/>
          </w:tcPr>
          <w:p w:rsidR="0041463D" w:rsidRPr="0047440B" w:rsidRDefault="0041463D" w:rsidP="0041463D">
            <w:pPr>
              <w:jc w:val="center"/>
              <w:rPr>
                <w:rFonts w:eastAsia="Arial"/>
                <w:sz w:val="20"/>
                <w:szCs w:val="20"/>
              </w:rPr>
            </w:pPr>
            <w:r w:rsidRPr="0047440B">
              <w:rPr>
                <w:rFonts w:eastAsia="Arial"/>
                <w:sz w:val="20"/>
                <w:szCs w:val="20"/>
              </w:rPr>
              <w:t>419 777</w:t>
            </w:r>
          </w:p>
        </w:tc>
        <w:tc>
          <w:tcPr>
            <w:tcW w:w="992" w:type="dxa"/>
            <w:shd w:val="clear" w:color="auto" w:fill="auto"/>
          </w:tcPr>
          <w:p w:rsidR="0041463D" w:rsidRPr="0047440B" w:rsidRDefault="0041463D" w:rsidP="0041463D">
            <w:pPr>
              <w:jc w:val="center"/>
              <w:rPr>
                <w:rFonts w:eastAsia="Arial"/>
                <w:sz w:val="20"/>
                <w:szCs w:val="20"/>
              </w:rPr>
            </w:pPr>
            <w:r w:rsidRPr="0047440B">
              <w:rPr>
                <w:rFonts w:eastAsia="Arial"/>
                <w:sz w:val="20"/>
                <w:szCs w:val="20"/>
              </w:rPr>
              <w:t>501 720</w:t>
            </w:r>
          </w:p>
        </w:tc>
        <w:tc>
          <w:tcPr>
            <w:tcW w:w="992" w:type="dxa"/>
            <w:shd w:val="clear" w:color="auto" w:fill="auto"/>
          </w:tcPr>
          <w:p w:rsidR="0041463D" w:rsidRPr="0047440B" w:rsidRDefault="0041463D" w:rsidP="0041463D">
            <w:pPr>
              <w:jc w:val="center"/>
              <w:rPr>
                <w:rFonts w:eastAsia="Arial"/>
                <w:sz w:val="20"/>
                <w:szCs w:val="20"/>
              </w:rPr>
            </w:pPr>
            <w:r w:rsidRPr="0047440B">
              <w:rPr>
                <w:rFonts w:eastAsia="Arial"/>
                <w:sz w:val="20"/>
                <w:szCs w:val="20"/>
              </w:rPr>
              <w:t>512 040</w:t>
            </w:r>
          </w:p>
        </w:tc>
        <w:tc>
          <w:tcPr>
            <w:tcW w:w="992" w:type="dxa"/>
          </w:tcPr>
          <w:p w:rsidR="0041463D" w:rsidRPr="0047440B" w:rsidRDefault="0041463D" w:rsidP="0041463D">
            <w:pPr>
              <w:jc w:val="center"/>
              <w:rPr>
                <w:rFonts w:eastAsia="Arial"/>
                <w:sz w:val="20"/>
                <w:szCs w:val="20"/>
              </w:rPr>
            </w:pPr>
            <w:r w:rsidRPr="0047440B">
              <w:rPr>
                <w:rFonts w:eastAsia="Arial"/>
                <w:sz w:val="20"/>
                <w:szCs w:val="20"/>
              </w:rPr>
              <w:t>561 267</w:t>
            </w:r>
          </w:p>
        </w:tc>
        <w:tc>
          <w:tcPr>
            <w:tcW w:w="1077" w:type="dxa"/>
          </w:tcPr>
          <w:p w:rsidR="0041463D" w:rsidRPr="0047440B" w:rsidRDefault="0041463D" w:rsidP="0041463D">
            <w:pPr>
              <w:jc w:val="center"/>
              <w:rPr>
                <w:rFonts w:eastAsia="Arial"/>
                <w:sz w:val="20"/>
                <w:szCs w:val="20"/>
              </w:rPr>
            </w:pPr>
            <w:r w:rsidRPr="0047440B">
              <w:rPr>
                <w:rFonts w:eastAsia="Arial"/>
                <w:sz w:val="20"/>
                <w:szCs w:val="20"/>
              </w:rPr>
              <w:t>667 118</w:t>
            </w:r>
          </w:p>
        </w:tc>
      </w:tr>
      <w:tr w:rsidR="0041463D" w:rsidRPr="0047440B" w:rsidTr="00633E24">
        <w:trPr>
          <w:trHeight w:val="20"/>
        </w:trPr>
        <w:tc>
          <w:tcPr>
            <w:tcW w:w="3539" w:type="dxa"/>
            <w:shd w:val="clear" w:color="auto" w:fill="auto"/>
          </w:tcPr>
          <w:p w:rsidR="0041463D" w:rsidRPr="0047440B" w:rsidRDefault="0041463D" w:rsidP="0041463D">
            <w:pPr>
              <w:jc w:val="both"/>
              <w:rPr>
                <w:rFonts w:eastAsia="Arial"/>
                <w:sz w:val="20"/>
                <w:szCs w:val="20"/>
              </w:rPr>
            </w:pPr>
            <w:r w:rsidRPr="0047440B">
              <w:rPr>
                <w:rFonts w:eastAsia="Arial"/>
                <w:sz w:val="20"/>
                <w:szCs w:val="20"/>
              </w:rPr>
              <w:t xml:space="preserve">Выявлено рака шейки матки </w:t>
            </w:r>
          </w:p>
        </w:tc>
        <w:tc>
          <w:tcPr>
            <w:tcW w:w="1276" w:type="dxa"/>
          </w:tcPr>
          <w:p w:rsidR="0041463D" w:rsidRPr="0047440B" w:rsidRDefault="0041463D" w:rsidP="0041463D">
            <w:pPr>
              <w:jc w:val="center"/>
              <w:rPr>
                <w:rFonts w:eastAsia="Arial"/>
                <w:sz w:val="20"/>
                <w:szCs w:val="20"/>
              </w:rPr>
            </w:pPr>
            <w:r w:rsidRPr="0047440B">
              <w:rPr>
                <w:rFonts w:eastAsia="Arial"/>
                <w:sz w:val="20"/>
                <w:szCs w:val="20"/>
              </w:rPr>
              <w:t>141</w:t>
            </w:r>
          </w:p>
        </w:tc>
        <w:tc>
          <w:tcPr>
            <w:tcW w:w="992" w:type="dxa"/>
          </w:tcPr>
          <w:p w:rsidR="0041463D" w:rsidRPr="0047440B" w:rsidRDefault="0041463D" w:rsidP="0041463D">
            <w:pPr>
              <w:jc w:val="center"/>
              <w:rPr>
                <w:rFonts w:eastAsia="Arial"/>
                <w:sz w:val="20"/>
                <w:szCs w:val="20"/>
              </w:rPr>
            </w:pPr>
            <w:r w:rsidRPr="0047440B">
              <w:rPr>
                <w:rFonts w:eastAsia="Arial"/>
                <w:sz w:val="20"/>
                <w:szCs w:val="20"/>
              </w:rPr>
              <w:t>172</w:t>
            </w:r>
          </w:p>
        </w:tc>
        <w:tc>
          <w:tcPr>
            <w:tcW w:w="1134" w:type="dxa"/>
          </w:tcPr>
          <w:p w:rsidR="0041463D" w:rsidRPr="0047440B" w:rsidRDefault="0041463D" w:rsidP="0041463D">
            <w:pPr>
              <w:jc w:val="center"/>
              <w:rPr>
                <w:rFonts w:eastAsia="Arial"/>
                <w:sz w:val="20"/>
                <w:szCs w:val="20"/>
              </w:rPr>
            </w:pPr>
            <w:r w:rsidRPr="0047440B">
              <w:rPr>
                <w:rFonts w:eastAsia="Arial"/>
                <w:sz w:val="20"/>
                <w:szCs w:val="20"/>
              </w:rPr>
              <w:t>115</w:t>
            </w:r>
          </w:p>
        </w:tc>
        <w:tc>
          <w:tcPr>
            <w:tcW w:w="1134" w:type="dxa"/>
          </w:tcPr>
          <w:p w:rsidR="0041463D" w:rsidRPr="0047440B" w:rsidRDefault="0041463D" w:rsidP="0041463D">
            <w:pPr>
              <w:jc w:val="center"/>
              <w:rPr>
                <w:rFonts w:eastAsia="Arial"/>
                <w:sz w:val="20"/>
                <w:szCs w:val="20"/>
              </w:rPr>
            </w:pPr>
            <w:r w:rsidRPr="0047440B">
              <w:rPr>
                <w:rFonts w:eastAsia="Arial"/>
                <w:sz w:val="20"/>
                <w:szCs w:val="20"/>
              </w:rPr>
              <w:t>204</w:t>
            </w:r>
          </w:p>
        </w:tc>
        <w:tc>
          <w:tcPr>
            <w:tcW w:w="992" w:type="dxa"/>
          </w:tcPr>
          <w:p w:rsidR="0041463D" w:rsidRPr="0047440B" w:rsidRDefault="0041463D" w:rsidP="0041463D">
            <w:pPr>
              <w:jc w:val="center"/>
              <w:rPr>
                <w:rFonts w:eastAsia="Arial"/>
                <w:sz w:val="20"/>
                <w:szCs w:val="20"/>
              </w:rPr>
            </w:pPr>
            <w:r w:rsidRPr="0047440B">
              <w:rPr>
                <w:rFonts w:eastAsia="Arial"/>
                <w:sz w:val="20"/>
                <w:szCs w:val="20"/>
              </w:rPr>
              <w:t>118</w:t>
            </w:r>
          </w:p>
        </w:tc>
        <w:tc>
          <w:tcPr>
            <w:tcW w:w="993" w:type="dxa"/>
          </w:tcPr>
          <w:p w:rsidR="0041463D" w:rsidRPr="0047440B" w:rsidRDefault="0041463D" w:rsidP="0041463D">
            <w:pPr>
              <w:jc w:val="center"/>
              <w:rPr>
                <w:rFonts w:eastAsia="Arial"/>
                <w:sz w:val="20"/>
                <w:szCs w:val="20"/>
              </w:rPr>
            </w:pPr>
            <w:r w:rsidRPr="0047440B">
              <w:rPr>
                <w:rFonts w:eastAsia="Arial"/>
                <w:sz w:val="20"/>
                <w:szCs w:val="20"/>
              </w:rPr>
              <w:t>110</w:t>
            </w:r>
          </w:p>
        </w:tc>
        <w:tc>
          <w:tcPr>
            <w:tcW w:w="992" w:type="dxa"/>
            <w:shd w:val="clear" w:color="auto" w:fill="auto"/>
          </w:tcPr>
          <w:p w:rsidR="0041463D" w:rsidRPr="0047440B" w:rsidRDefault="0041463D" w:rsidP="0041463D">
            <w:pPr>
              <w:jc w:val="center"/>
              <w:rPr>
                <w:rFonts w:eastAsia="Arial"/>
                <w:sz w:val="20"/>
                <w:szCs w:val="20"/>
              </w:rPr>
            </w:pPr>
            <w:r w:rsidRPr="0047440B">
              <w:rPr>
                <w:rFonts w:eastAsia="Arial"/>
                <w:sz w:val="20"/>
                <w:szCs w:val="20"/>
              </w:rPr>
              <w:t>194</w:t>
            </w:r>
          </w:p>
        </w:tc>
        <w:tc>
          <w:tcPr>
            <w:tcW w:w="992" w:type="dxa"/>
            <w:shd w:val="clear" w:color="auto" w:fill="auto"/>
          </w:tcPr>
          <w:p w:rsidR="0041463D" w:rsidRPr="0047440B" w:rsidRDefault="0041463D" w:rsidP="0041463D">
            <w:pPr>
              <w:jc w:val="center"/>
              <w:rPr>
                <w:rFonts w:eastAsia="Arial"/>
                <w:sz w:val="20"/>
                <w:szCs w:val="20"/>
              </w:rPr>
            </w:pPr>
            <w:r w:rsidRPr="0047440B">
              <w:rPr>
                <w:rFonts w:eastAsia="Arial"/>
                <w:sz w:val="20"/>
                <w:szCs w:val="20"/>
              </w:rPr>
              <w:t>157</w:t>
            </w:r>
          </w:p>
        </w:tc>
        <w:tc>
          <w:tcPr>
            <w:tcW w:w="992" w:type="dxa"/>
          </w:tcPr>
          <w:p w:rsidR="0041463D" w:rsidRPr="0047440B" w:rsidRDefault="0041463D" w:rsidP="0041463D">
            <w:pPr>
              <w:jc w:val="center"/>
              <w:rPr>
                <w:rFonts w:eastAsia="Arial"/>
                <w:sz w:val="20"/>
                <w:szCs w:val="20"/>
              </w:rPr>
            </w:pPr>
            <w:r w:rsidRPr="0047440B">
              <w:rPr>
                <w:rFonts w:eastAsia="Arial"/>
                <w:sz w:val="20"/>
                <w:szCs w:val="20"/>
              </w:rPr>
              <w:t>192</w:t>
            </w:r>
          </w:p>
        </w:tc>
        <w:tc>
          <w:tcPr>
            <w:tcW w:w="1077" w:type="dxa"/>
          </w:tcPr>
          <w:p w:rsidR="0041463D" w:rsidRPr="0047440B" w:rsidRDefault="0041463D" w:rsidP="0041463D">
            <w:pPr>
              <w:jc w:val="center"/>
              <w:rPr>
                <w:rFonts w:eastAsia="Arial"/>
                <w:sz w:val="20"/>
                <w:szCs w:val="20"/>
              </w:rPr>
            </w:pPr>
            <w:r w:rsidRPr="0047440B">
              <w:rPr>
                <w:rFonts w:eastAsia="Arial"/>
                <w:sz w:val="20"/>
                <w:szCs w:val="20"/>
              </w:rPr>
              <w:t>176</w:t>
            </w:r>
          </w:p>
        </w:tc>
      </w:tr>
    </w:tbl>
    <w:p w:rsidR="00B76DBE" w:rsidRPr="0047440B" w:rsidRDefault="00B76DBE" w:rsidP="00B76DBE">
      <w:pPr>
        <w:rPr>
          <w:rFonts w:eastAsia="Arial"/>
          <w:sz w:val="28"/>
          <w:szCs w:val="28"/>
        </w:rPr>
      </w:pPr>
    </w:p>
    <w:p w:rsidR="002B5C66" w:rsidRPr="0047440B" w:rsidRDefault="002B5C66" w:rsidP="002B5C66">
      <w:pPr>
        <w:ind w:left="12037" w:firstLine="153"/>
        <w:jc w:val="right"/>
        <w:rPr>
          <w:rFonts w:eastAsia="Arial"/>
          <w:sz w:val="28"/>
          <w:szCs w:val="28"/>
        </w:rPr>
      </w:pPr>
      <w:r w:rsidRPr="0047440B">
        <w:rPr>
          <w:rFonts w:eastAsia="Arial"/>
          <w:sz w:val="28"/>
          <w:szCs w:val="28"/>
        </w:rPr>
        <w:t>Таблица 15.5</w:t>
      </w:r>
    </w:p>
    <w:p w:rsidR="002B5C66" w:rsidRPr="0047440B" w:rsidRDefault="002B5C66" w:rsidP="002B5C66">
      <w:pPr>
        <w:rPr>
          <w:rFonts w:eastAsia="Arial"/>
          <w:sz w:val="28"/>
          <w:szCs w:val="28"/>
        </w:rPr>
      </w:pPr>
    </w:p>
    <w:p w:rsidR="002B5C66" w:rsidRPr="0047440B" w:rsidRDefault="002B5C66" w:rsidP="002B5C66">
      <w:pPr>
        <w:jc w:val="center"/>
        <w:rPr>
          <w:rFonts w:eastAsia="Arial"/>
          <w:sz w:val="28"/>
          <w:szCs w:val="28"/>
        </w:rPr>
      </w:pPr>
      <w:r w:rsidRPr="0047440B">
        <w:rPr>
          <w:rFonts w:eastAsia="Arial"/>
          <w:sz w:val="28"/>
          <w:szCs w:val="28"/>
        </w:rPr>
        <w:t>Проведение мероприятий по раннему выявлению новообразований в Республике Татарстан</w:t>
      </w:r>
    </w:p>
    <w:p w:rsidR="002B5C66" w:rsidRPr="0047440B" w:rsidRDefault="002B5C66" w:rsidP="002B5C66">
      <w:pPr>
        <w:jc w:val="center"/>
        <w:rPr>
          <w:rFonts w:eastAsia="Arial"/>
          <w:sz w:val="28"/>
          <w:szCs w:val="28"/>
        </w:rPr>
      </w:pPr>
      <w:r w:rsidRPr="0047440B">
        <w:rPr>
          <w:rFonts w:eastAsia="Arial"/>
          <w:sz w:val="28"/>
          <w:szCs w:val="28"/>
        </w:rPr>
        <w:t xml:space="preserve">в рамках профилактических медицинских осмотров и </w:t>
      </w:r>
      <w:r w:rsidR="00185811">
        <w:rPr>
          <w:sz w:val="28"/>
          <w:szCs w:val="28"/>
        </w:rPr>
        <w:t>диспансеризации определенных групп взрослого населения</w:t>
      </w:r>
      <w:r w:rsidR="00185811" w:rsidRPr="0047440B">
        <w:rPr>
          <w:rFonts w:eastAsia="Arial"/>
          <w:sz w:val="28"/>
          <w:szCs w:val="28"/>
        </w:rPr>
        <w:t xml:space="preserve"> </w:t>
      </w:r>
    </w:p>
    <w:p w:rsidR="002B5C66" w:rsidRPr="0047440B" w:rsidRDefault="002B5C66" w:rsidP="002B5C66">
      <w:pPr>
        <w:jc w:val="right"/>
        <w:rPr>
          <w:rFonts w:eastAsia="Arial"/>
          <w:sz w:val="18"/>
          <w:szCs w:val="18"/>
        </w:rPr>
      </w:pPr>
      <w:r w:rsidRPr="0047440B">
        <w:rPr>
          <w:rFonts w:eastAsia="Arial"/>
          <w:sz w:val="18"/>
          <w:szCs w:val="18"/>
        </w:rPr>
        <w:t>(единиц)</w:t>
      </w:r>
    </w:p>
    <w:tbl>
      <w:tblPr>
        <w:tblW w:w="14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2830"/>
        <w:gridCol w:w="1276"/>
        <w:gridCol w:w="1276"/>
        <w:gridCol w:w="1276"/>
        <w:gridCol w:w="1077"/>
        <w:gridCol w:w="1077"/>
        <w:gridCol w:w="1077"/>
        <w:gridCol w:w="1077"/>
        <w:gridCol w:w="1077"/>
        <w:gridCol w:w="1077"/>
        <w:gridCol w:w="1020"/>
      </w:tblGrid>
      <w:tr w:rsidR="002B5C66" w:rsidRPr="0047440B" w:rsidTr="00C15BBD">
        <w:trPr>
          <w:trHeight w:val="20"/>
        </w:trPr>
        <w:tc>
          <w:tcPr>
            <w:tcW w:w="2830" w:type="dxa"/>
            <w:shd w:val="clear" w:color="auto" w:fill="auto"/>
          </w:tcPr>
          <w:p w:rsidR="002B5C66" w:rsidRPr="0047440B" w:rsidRDefault="002B5C66" w:rsidP="002B5C66">
            <w:pPr>
              <w:jc w:val="center"/>
              <w:rPr>
                <w:rFonts w:eastAsia="Arial"/>
                <w:sz w:val="18"/>
                <w:szCs w:val="18"/>
              </w:rPr>
            </w:pPr>
            <w:r w:rsidRPr="0047440B">
              <w:rPr>
                <w:rFonts w:eastAsia="Arial"/>
                <w:sz w:val="18"/>
                <w:szCs w:val="18"/>
              </w:rPr>
              <w:t>Показатель</w:t>
            </w:r>
          </w:p>
        </w:tc>
        <w:tc>
          <w:tcPr>
            <w:tcW w:w="1276" w:type="dxa"/>
          </w:tcPr>
          <w:p w:rsidR="002B5C66" w:rsidRPr="0047440B" w:rsidRDefault="002B5C66" w:rsidP="002B5C66">
            <w:pPr>
              <w:jc w:val="center"/>
              <w:rPr>
                <w:rFonts w:eastAsia="Arial"/>
                <w:sz w:val="18"/>
                <w:szCs w:val="18"/>
              </w:rPr>
            </w:pPr>
            <w:r w:rsidRPr="0047440B">
              <w:rPr>
                <w:rFonts w:eastAsia="Arial"/>
                <w:sz w:val="18"/>
                <w:szCs w:val="18"/>
              </w:rPr>
              <w:t>2016 г.</w:t>
            </w:r>
          </w:p>
        </w:tc>
        <w:tc>
          <w:tcPr>
            <w:tcW w:w="1276" w:type="dxa"/>
          </w:tcPr>
          <w:p w:rsidR="002B5C66" w:rsidRPr="0047440B" w:rsidRDefault="002B5C66" w:rsidP="002B5C66">
            <w:pPr>
              <w:jc w:val="center"/>
              <w:rPr>
                <w:rFonts w:eastAsia="Arial"/>
                <w:sz w:val="18"/>
                <w:szCs w:val="18"/>
              </w:rPr>
            </w:pPr>
            <w:r w:rsidRPr="0047440B">
              <w:rPr>
                <w:rFonts w:eastAsia="Arial"/>
                <w:sz w:val="18"/>
                <w:szCs w:val="18"/>
              </w:rPr>
              <w:t>2017 г.</w:t>
            </w:r>
          </w:p>
        </w:tc>
        <w:tc>
          <w:tcPr>
            <w:tcW w:w="1276" w:type="dxa"/>
          </w:tcPr>
          <w:p w:rsidR="002B5C66" w:rsidRPr="0047440B" w:rsidRDefault="002B5C66" w:rsidP="002B5C66">
            <w:pPr>
              <w:jc w:val="center"/>
              <w:rPr>
                <w:rFonts w:eastAsia="Arial"/>
                <w:sz w:val="18"/>
                <w:szCs w:val="18"/>
              </w:rPr>
            </w:pPr>
            <w:r w:rsidRPr="0047440B">
              <w:rPr>
                <w:rFonts w:eastAsia="Arial"/>
                <w:sz w:val="18"/>
                <w:szCs w:val="18"/>
              </w:rPr>
              <w:t>2018 г.</w:t>
            </w:r>
          </w:p>
        </w:tc>
        <w:tc>
          <w:tcPr>
            <w:tcW w:w="1077" w:type="dxa"/>
          </w:tcPr>
          <w:p w:rsidR="002B5C66" w:rsidRPr="0047440B" w:rsidRDefault="002B5C66" w:rsidP="002B5C66">
            <w:pPr>
              <w:jc w:val="center"/>
              <w:rPr>
                <w:rFonts w:eastAsia="Arial"/>
                <w:sz w:val="18"/>
                <w:szCs w:val="18"/>
              </w:rPr>
            </w:pPr>
            <w:r w:rsidRPr="0047440B">
              <w:rPr>
                <w:rFonts w:eastAsia="Arial"/>
                <w:sz w:val="18"/>
                <w:szCs w:val="18"/>
              </w:rPr>
              <w:t>2019 г.</w:t>
            </w:r>
          </w:p>
        </w:tc>
        <w:tc>
          <w:tcPr>
            <w:tcW w:w="1077" w:type="dxa"/>
          </w:tcPr>
          <w:p w:rsidR="002B5C66" w:rsidRPr="0047440B" w:rsidRDefault="002B5C66" w:rsidP="002B5C66">
            <w:pPr>
              <w:jc w:val="center"/>
              <w:rPr>
                <w:rFonts w:eastAsia="Arial"/>
                <w:sz w:val="18"/>
                <w:szCs w:val="18"/>
              </w:rPr>
            </w:pPr>
            <w:r w:rsidRPr="0047440B">
              <w:rPr>
                <w:rFonts w:eastAsia="Arial"/>
                <w:sz w:val="18"/>
                <w:szCs w:val="18"/>
              </w:rPr>
              <w:t>2020 г.</w:t>
            </w:r>
          </w:p>
        </w:tc>
        <w:tc>
          <w:tcPr>
            <w:tcW w:w="1077" w:type="dxa"/>
          </w:tcPr>
          <w:p w:rsidR="002B5C66" w:rsidRPr="0047440B" w:rsidRDefault="002B5C66" w:rsidP="002B5C66">
            <w:pPr>
              <w:jc w:val="center"/>
              <w:rPr>
                <w:rFonts w:eastAsia="Arial"/>
                <w:sz w:val="18"/>
                <w:szCs w:val="18"/>
              </w:rPr>
            </w:pPr>
            <w:r w:rsidRPr="0047440B">
              <w:rPr>
                <w:rFonts w:eastAsia="Arial"/>
                <w:sz w:val="18"/>
                <w:szCs w:val="18"/>
              </w:rPr>
              <w:t>2021 г.</w:t>
            </w:r>
          </w:p>
        </w:tc>
        <w:tc>
          <w:tcPr>
            <w:tcW w:w="1077" w:type="dxa"/>
            <w:shd w:val="clear" w:color="auto" w:fill="auto"/>
          </w:tcPr>
          <w:p w:rsidR="002B5C66" w:rsidRPr="0047440B" w:rsidRDefault="002B5C66" w:rsidP="002B5C66">
            <w:pPr>
              <w:jc w:val="center"/>
              <w:rPr>
                <w:rFonts w:eastAsia="Arial"/>
                <w:sz w:val="18"/>
                <w:szCs w:val="18"/>
              </w:rPr>
            </w:pPr>
            <w:r w:rsidRPr="0047440B">
              <w:rPr>
                <w:rFonts w:eastAsia="Arial"/>
                <w:sz w:val="18"/>
                <w:szCs w:val="18"/>
              </w:rPr>
              <w:t>2022 г.</w:t>
            </w:r>
          </w:p>
        </w:tc>
        <w:tc>
          <w:tcPr>
            <w:tcW w:w="1077" w:type="dxa"/>
            <w:shd w:val="clear" w:color="auto" w:fill="auto"/>
          </w:tcPr>
          <w:p w:rsidR="002B5C66" w:rsidRPr="0047440B" w:rsidRDefault="002B5C66" w:rsidP="002B5C66">
            <w:pPr>
              <w:jc w:val="center"/>
              <w:rPr>
                <w:rFonts w:eastAsia="Arial"/>
                <w:sz w:val="18"/>
                <w:szCs w:val="18"/>
              </w:rPr>
            </w:pPr>
            <w:r w:rsidRPr="0047440B">
              <w:rPr>
                <w:rFonts w:eastAsia="Arial"/>
                <w:sz w:val="18"/>
                <w:szCs w:val="18"/>
              </w:rPr>
              <w:t>2023 г.</w:t>
            </w:r>
          </w:p>
        </w:tc>
        <w:tc>
          <w:tcPr>
            <w:tcW w:w="1077" w:type="dxa"/>
          </w:tcPr>
          <w:p w:rsidR="002B5C66" w:rsidRPr="0047440B" w:rsidRDefault="002B5C66" w:rsidP="002B5C66">
            <w:pPr>
              <w:jc w:val="center"/>
              <w:rPr>
                <w:rFonts w:eastAsia="Arial"/>
                <w:sz w:val="18"/>
                <w:szCs w:val="18"/>
              </w:rPr>
            </w:pPr>
            <w:r w:rsidRPr="0047440B">
              <w:rPr>
                <w:rFonts w:eastAsia="Arial"/>
                <w:sz w:val="18"/>
                <w:szCs w:val="18"/>
              </w:rPr>
              <w:t>2024 г.</w:t>
            </w:r>
          </w:p>
        </w:tc>
        <w:tc>
          <w:tcPr>
            <w:tcW w:w="1020" w:type="dxa"/>
          </w:tcPr>
          <w:p w:rsidR="002B5C66" w:rsidRPr="0047440B" w:rsidRDefault="002B5C66" w:rsidP="002B5C66">
            <w:pPr>
              <w:jc w:val="center"/>
              <w:rPr>
                <w:rFonts w:eastAsia="Arial"/>
                <w:sz w:val="18"/>
                <w:szCs w:val="18"/>
              </w:rPr>
            </w:pPr>
            <w:r w:rsidRPr="0047440B">
              <w:rPr>
                <w:rFonts w:eastAsia="Arial"/>
                <w:sz w:val="18"/>
                <w:szCs w:val="18"/>
              </w:rPr>
              <w:t>2025 г.</w:t>
            </w:r>
          </w:p>
        </w:tc>
      </w:tr>
      <w:tr w:rsidR="002B5C66" w:rsidRPr="0047440B" w:rsidTr="00C15BBD">
        <w:trPr>
          <w:trHeight w:val="20"/>
        </w:trPr>
        <w:tc>
          <w:tcPr>
            <w:tcW w:w="2830" w:type="dxa"/>
            <w:shd w:val="clear" w:color="auto" w:fill="auto"/>
          </w:tcPr>
          <w:p w:rsidR="002B5C66" w:rsidRPr="0047440B" w:rsidRDefault="002B5C66" w:rsidP="002B5C66">
            <w:pPr>
              <w:jc w:val="both"/>
              <w:rPr>
                <w:rFonts w:eastAsia="Arial"/>
                <w:sz w:val="18"/>
                <w:szCs w:val="18"/>
              </w:rPr>
            </w:pPr>
            <w:r w:rsidRPr="0047440B">
              <w:rPr>
                <w:rFonts w:eastAsia="Arial"/>
                <w:sz w:val="18"/>
                <w:szCs w:val="18"/>
              </w:rPr>
              <w:t xml:space="preserve">Осмотрено с целью выявления онкологической патологии, всего </w:t>
            </w:r>
          </w:p>
        </w:tc>
        <w:tc>
          <w:tcPr>
            <w:tcW w:w="1276" w:type="dxa"/>
            <w:shd w:val="clear" w:color="auto" w:fill="auto"/>
          </w:tcPr>
          <w:p w:rsidR="002B5C66" w:rsidRPr="0047440B" w:rsidRDefault="002B5C66" w:rsidP="002B5C66">
            <w:pPr>
              <w:jc w:val="center"/>
              <w:rPr>
                <w:rFonts w:eastAsia="Arial"/>
                <w:sz w:val="18"/>
                <w:szCs w:val="18"/>
              </w:rPr>
            </w:pPr>
            <w:r w:rsidRPr="0047440B">
              <w:rPr>
                <w:rFonts w:eastAsia="Arial"/>
                <w:sz w:val="18"/>
                <w:szCs w:val="18"/>
              </w:rPr>
              <w:t>1 533 649</w:t>
            </w:r>
          </w:p>
        </w:tc>
        <w:tc>
          <w:tcPr>
            <w:tcW w:w="1276" w:type="dxa"/>
            <w:shd w:val="clear" w:color="auto" w:fill="auto"/>
          </w:tcPr>
          <w:p w:rsidR="002B5C66" w:rsidRPr="0047440B" w:rsidRDefault="002B5C66" w:rsidP="002B5C66">
            <w:pPr>
              <w:jc w:val="center"/>
              <w:rPr>
                <w:rFonts w:eastAsia="Arial"/>
                <w:sz w:val="18"/>
                <w:szCs w:val="18"/>
              </w:rPr>
            </w:pPr>
            <w:r w:rsidRPr="0047440B">
              <w:rPr>
                <w:rFonts w:eastAsia="Arial"/>
                <w:sz w:val="18"/>
                <w:szCs w:val="18"/>
              </w:rPr>
              <w:t>1 389 897</w:t>
            </w:r>
          </w:p>
        </w:tc>
        <w:tc>
          <w:tcPr>
            <w:tcW w:w="1276" w:type="dxa"/>
            <w:shd w:val="clear" w:color="auto" w:fill="auto"/>
          </w:tcPr>
          <w:p w:rsidR="002B5C66" w:rsidRPr="0047440B" w:rsidRDefault="002B5C66" w:rsidP="002B5C66">
            <w:pPr>
              <w:jc w:val="center"/>
              <w:rPr>
                <w:rFonts w:eastAsia="Arial"/>
                <w:sz w:val="18"/>
                <w:szCs w:val="18"/>
              </w:rPr>
            </w:pPr>
            <w:r w:rsidRPr="0047440B">
              <w:rPr>
                <w:rFonts w:eastAsia="Arial"/>
                <w:sz w:val="18"/>
                <w:szCs w:val="18"/>
              </w:rPr>
              <w:t>1 355 331</w:t>
            </w:r>
          </w:p>
        </w:tc>
        <w:tc>
          <w:tcPr>
            <w:tcW w:w="1077" w:type="dxa"/>
            <w:shd w:val="clear" w:color="auto" w:fill="auto"/>
          </w:tcPr>
          <w:p w:rsidR="002B5C66" w:rsidRPr="0047440B" w:rsidRDefault="002B5C66" w:rsidP="002B5C66">
            <w:pPr>
              <w:jc w:val="center"/>
              <w:rPr>
                <w:rFonts w:eastAsia="Arial"/>
                <w:sz w:val="18"/>
                <w:szCs w:val="18"/>
              </w:rPr>
            </w:pPr>
            <w:r w:rsidRPr="0047440B">
              <w:rPr>
                <w:rFonts w:eastAsia="Arial"/>
                <w:sz w:val="18"/>
                <w:szCs w:val="18"/>
              </w:rPr>
              <w:t>1 441 027</w:t>
            </w:r>
          </w:p>
        </w:tc>
        <w:tc>
          <w:tcPr>
            <w:tcW w:w="1077" w:type="dxa"/>
            <w:shd w:val="clear" w:color="auto" w:fill="auto"/>
          </w:tcPr>
          <w:p w:rsidR="002B5C66" w:rsidRPr="0047440B" w:rsidRDefault="002B5C66" w:rsidP="002B5C66">
            <w:pPr>
              <w:jc w:val="center"/>
              <w:rPr>
                <w:rFonts w:eastAsia="Arial"/>
                <w:sz w:val="18"/>
                <w:szCs w:val="18"/>
              </w:rPr>
            </w:pPr>
            <w:r w:rsidRPr="0047440B">
              <w:rPr>
                <w:rFonts w:eastAsia="Arial"/>
                <w:sz w:val="18"/>
                <w:szCs w:val="18"/>
              </w:rPr>
              <w:t>1 042 464</w:t>
            </w:r>
          </w:p>
        </w:tc>
        <w:tc>
          <w:tcPr>
            <w:tcW w:w="1077" w:type="dxa"/>
            <w:shd w:val="clear" w:color="auto" w:fill="auto"/>
          </w:tcPr>
          <w:p w:rsidR="002B5C66" w:rsidRPr="0047440B" w:rsidRDefault="002B5C66" w:rsidP="002B5C66">
            <w:pPr>
              <w:jc w:val="center"/>
              <w:rPr>
                <w:rFonts w:eastAsia="Arial"/>
                <w:sz w:val="18"/>
                <w:szCs w:val="18"/>
              </w:rPr>
            </w:pPr>
            <w:r w:rsidRPr="0047440B">
              <w:rPr>
                <w:rFonts w:eastAsia="Arial"/>
                <w:sz w:val="18"/>
                <w:szCs w:val="18"/>
              </w:rPr>
              <w:t>1 178 773</w:t>
            </w:r>
          </w:p>
        </w:tc>
        <w:tc>
          <w:tcPr>
            <w:tcW w:w="1077" w:type="dxa"/>
          </w:tcPr>
          <w:p w:rsidR="002B5C66" w:rsidRPr="0047440B" w:rsidRDefault="002B5C66" w:rsidP="002B5C66">
            <w:pPr>
              <w:jc w:val="center"/>
              <w:rPr>
                <w:rFonts w:eastAsia="Arial"/>
                <w:sz w:val="18"/>
                <w:szCs w:val="18"/>
              </w:rPr>
            </w:pPr>
            <w:r w:rsidRPr="0047440B">
              <w:rPr>
                <w:rFonts w:eastAsia="Arial"/>
                <w:sz w:val="18"/>
                <w:szCs w:val="18"/>
              </w:rPr>
              <w:t>1 372 392</w:t>
            </w:r>
          </w:p>
        </w:tc>
        <w:tc>
          <w:tcPr>
            <w:tcW w:w="1077" w:type="dxa"/>
          </w:tcPr>
          <w:p w:rsidR="002B5C66" w:rsidRPr="0047440B" w:rsidRDefault="002B5C66" w:rsidP="002B5C66">
            <w:pPr>
              <w:jc w:val="center"/>
              <w:rPr>
                <w:rFonts w:eastAsia="Arial"/>
                <w:sz w:val="18"/>
                <w:szCs w:val="18"/>
              </w:rPr>
            </w:pPr>
            <w:r w:rsidRPr="0047440B">
              <w:rPr>
                <w:rFonts w:eastAsia="Arial"/>
                <w:sz w:val="18"/>
                <w:szCs w:val="18"/>
              </w:rPr>
              <w:t>1 111 683</w:t>
            </w:r>
          </w:p>
        </w:tc>
        <w:tc>
          <w:tcPr>
            <w:tcW w:w="1077" w:type="dxa"/>
          </w:tcPr>
          <w:p w:rsidR="002B5C66" w:rsidRPr="0047440B" w:rsidRDefault="002B5C66" w:rsidP="002B5C66">
            <w:pPr>
              <w:jc w:val="center"/>
              <w:rPr>
                <w:rFonts w:eastAsia="Arial"/>
                <w:sz w:val="18"/>
                <w:szCs w:val="18"/>
              </w:rPr>
            </w:pPr>
            <w:r w:rsidRPr="0047440B">
              <w:rPr>
                <w:rFonts w:eastAsia="Arial"/>
                <w:sz w:val="18"/>
                <w:szCs w:val="18"/>
              </w:rPr>
              <w:t>1 505 263</w:t>
            </w:r>
          </w:p>
        </w:tc>
        <w:tc>
          <w:tcPr>
            <w:tcW w:w="1020" w:type="dxa"/>
          </w:tcPr>
          <w:p w:rsidR="002B5C66" w:rsidRPr="0047440B" w:rsidRDefault="002B5C66" w:rsidP="002B5C66">
            <w:pPr>
              <w:jc w:val="center"/>
              <w:rPr>
                <w:rFonts w:eastAsia="Arial"/>
                <w:sz w:val="18"/>
                <w:szCs w:val="18"/>
              </w:rPr>
            </w:pPr>
            <w:r w:rsidRPr="0047440B">
              <w:rPr>
                <w:rFonts w:eastAsia="Arial"/>
                <w:sz w:val="18"/>
                <w:szCs w:val="18"/>
              </w:rPr>
              <w:t>1 494 306</w:t>
            </w:r>
          </w:p>
        </w:tc>
      </w:tr>
      <w:tr w:rsidR="002B5C66" w:rsidRPr="0047440B" w:rsidTr="00C15BBD">
        <w:trPr>
          <w:trHeight w:val="20"/>
        </w:trPr>
        <w:tc>
          <w:tcPr>
            <w:tcW w:w="2830" w:type="dxa"/>
            <w:shd w:val="clear" w:color="auto" w:fill="auto"/>
          </w:tcPr>
          <w:p w:rsidR="002B5C66" w:rsidRPr="0047440B" w:rsidRDefault="002B5C66" w:rsidP="002B5C66">
            <w:pPr>
              <w:jc w:val="both"/>
              <w:rPr>
                <w:rFonts w:eastAsia="Arial"/>
                <w:sz w:val="18"/>
                <w:szCs w:val="18"/>
              </w:rPr>
            </w:pPr>
            <w:r w:rsidRPr="0047440B">
              <w:rPr>
                <w:rFonts w:eastAsia="Arial"/>
                <w:sz w:val="18"/>
                <w:szCs w:val="18"/>
              </w:rPr>
              <w:t>Выявлено ЗНО, в том числе:</w:t>
            </w:r>
          </w:p>
        </w:tc>
        <w:tc>
          <w:tcPr>
            <w:tcW w:w="1276" w:type="dxa"/>
            <w:shd w:val="clear" w:color="auto" w:fill="auto"/>
          </w:tcPr>
          <w:p w:rsidR="002B5C66" w:rsidRPr="0047440B" w:rsidRDefault="002B5C66" w:rsidP="002B5C66">
            <w:pPr>
              <w:jc w:val="center"/>
              <w:rPr>
                <w:rFonts w:eastAsia="Arial"/>
                <w:sz w:val="18"/>
                <w:szCs w:val="18"/>
              </w:rPr>
            </w:pPr>
            <w:r w:rsidRPr="0047440B">
              <w:rPr>
                <w:rFonts w:eastAsia="Arial"/>
                <w:sz w:val="18"/>
                <w:szCs w:val="18"/>
              </w:rPr>
              <w:t>2 374</w:t>
            </w:r>
          </w:p>
        </w:tc>
        <w:tc>
          <w:tcPr>
            <w:tcW w:w="1276" w:type="dxa"/>
            <w:shd w:val="clear" w:color="auto" w:fill="auto"/>
          </w:tcPr>
          <w:p w:rsidR="002B5C66" w:rsidRPr="0047440B" w:rsidRDefault="002B5C66" w:rsidP="002B5C66">
            <w:pPr>
              <w:jc w:val="center"/>
              <w:rPr>
                <w:rFonts w:eastAsia="Arial"/>
                <w:sz w:val="18"/>
                <w:szCs w:val="18"/>
              </w:rPr>
            </w:pPr>
            <w:r w:rsidRPr="0047440B">
              <w:rPr>
                <w:rFonts w:eastAsia="Arial"/>
                <w:sz w:val="18"/>
                <w:szCs w:val="18"/>
              </w:rPr>
              <w:t>3 656</w:t>
            </w:r>
          </w:p>
        </w:tc>
        <w:tc>
          <w:tcPr>
            <w:tcW w:w="1276" w:type="dxa"/>
            <w:shd w:val="clear" w:color="auto" w:fill="auto"/>
          </w:tcPr>
          <w:p w:rsidR="002B5C66" w:rsidRPr="0047440B" w:rsidRDefault="002B5C66" w:rsidP="002B5C66">
            <w:pPr>
              <w:jc w:val="center"/>
              <w:rPr>
                <w:rFonts w:eastAsia="Arial"/>
                <w:sz w:val="18"/>
                <w:szCs w:val="18"/>
              </w:rPr>
            </w:pPr>
            <w:r w:rsidRPr="0047440B">
              <w:rPr>
                <w:rFonts w:eastAsia="Arial"/>
                <w:sz w:val="18"/>
                <w:szCs w:val="18"/>
              </w:rPr>
              <w:t>4 162</w:t>
            </w:r>
          </w:p>
        </w:tc>
        <w:tc>
          <w:tcPr>
            <w:tcW w:w="1077" w:type="dxa"/>
            <w:shd w:val="clear" w:color="auto" w:fill="auto"/>
          </w:tcPr>
          <w:p w:rsidR="002B5C66" w:rsidRPr="0047440B" w:rsidRDefault="002B5C66" w:rsidP="002B5C66">
            <w:pPr>
              <w:jc w:val="center"/>
              <w:rPr>
                <w:rFonts w:eastAsia="Arial"/>
                <w:sz w:val="18"/>
                <w:szCs w:val="18"/>
              </w:rPr>
            </w:pPr>
            <w:r w:rsidRPr="0047440B">
              <w:rPr>
                <w:rFonts w:eastAsia="Arial"/>
                <w:sz w:val="18"/>
                <w:szCs w:val="18"/>
              </w:rPr>
              <w:t>2 941</w:t>
            </w:r>
          </w:p>
        </w:tc>
        <w:tc>
          <w:tcPr>
            <w:tcW w:w="1077" w:type="dxa"/>
            <w:shd w:val="clear" w:color="auto" w:fill="auto"/>
          </w:tcPr>
          <w:p w:rsidR="002B5C66" w:rsidRPr="0047440B" w:rsidRDefault="002B5C66" w:rsidP="002B5C66">
            <w:pPr>
              <w:jc w:val="center"/>
              <w:rPr>
                <w:rFonts w:eastAsia="Arial"/>
                <w:sz w:val="18"/>
                <w:szCs w:val="18"/>
              </w:rPr>
            </w:pPr>
            <w:r w:rsidRPr="0047440B">
              <w:rPr>
                <w:rFonts w:eastAsia="Arial"/>
                <w:sz w:val="18"/>
                <w:szCs w:val="18"/>
              </w:rPr>
              <w:t>1 742</w:t>
            </w:r>
          </w:p>
        </w:tc>
        <w:tc>
          <w:tcPr>
            <w:tcW w:w="1077" w:type="dxa"/>
            <w:shd w:val="clear" w:color="auto" w:fill="auto"/>
          </w:tcPr>
          <w:p w:rsidR="002B5C66" w:rsidRPr="0047440B" w:rsidRDefault="002B5C66" w:rsidP="002B5C66">
            <w:pPr>
              <w:jc w:val="center"/>
              <w:rPr>
                <w:rFonts w:eastAsia="Arial"/>
                <w:sz w:val="18"/>
                <w:szCs w:val="18"/>
              </w:rPr>
            </w:pPr>
            <w:r w:rsidRPr="0047440B">
              <w:rPr>
                <w:rFonts w:eastAsia="Arial"/>
                <w:sz w:val="18"/>
                <w:szCs w:val="18"/>
              </w:rPr>
              <w:t>1 578</w:t>
            </w:r>
          </w:p>
        </w:tc>
        <w:tc>
          <w:tcPr>
            <w:tcW w:w="1077" w:type="dxa"/>
          </w:tcPr>
          <w:p w:rsidR="002B5C66" w:rsidRPr="0047440B" w:rsidRDefault="002B5C66" w:rsidP="002B5C66">
            <w:pPr>
              <w:jc w:val="center"/>
              <w:rPr>
                <w:rFonts w:eastAsia="Arial"/>
                <w:sz w:val="18"/>
                <w:szCs w:val="18"/>
              </w:rPr>
            </w:pPr>
            <w:r w:rsidRPr="0047440B">
              <w:rPr>
                <w:rFonts w:eastAsia="Arial"/>
                <w:sz w:val="18"/>
                <w:szCs w:val="18"/>
              </w:rPr>
              <w:t>4 037</w:t>
            </w:r>
          </w:p>
        </w:tc>
        <w:tc>
          <w:tcPr>
            <w:tcW w:w="1077" w:type="dxa"/>
          </w:tcPr>
          <w:p w:rsidR="002B5C66" w:rsidRPr="0047440B" w:rsidRDefault="002B5C66" w:rsidP="002B5C66">
            <w:pPr>
              <w:jc w:val="center"/>
              <w:rPr>
                <w:rFonts w:eastAsia="Arial"/>
                <w:sz w:val="18"/>
                <w:szCs w:val="18"/>
              </w:rPr>
            </w:pPr>
            <w:r w:rsidRPr="0047440B">
              <w:rPr>
                <w:rFonts w:eastAsia="Arial"/>
                <w:sz w:val="18"/>
                <w:szCs w:val="18"/>
              </w:rPr>
              <w:t>2 602</w:t>
            </w:r>
          </w:p>
        </w:tc>
        <w:tc>
          <w:tcPr>
            <w:tcW w:w="1077" w:type="dxa"/>
          </w:tcPr>
          <w:p w:rsidR="002B5C66" w:rsidRPr="0047440B" w:rsidRDefault="002B5C66" w:rsidP="002B5C66">
            <w:pPr>
              <w:jc w:val="center"/>
              <w:rPr>
                <w:rFonts w:eastAsia="Arial"/>
                <w:sz w:val="18"/>
                <w:szCs w:val="18"/>
              </w:rPr>
            </w:pPr>
            <w:r w:rsidRPr="0047440B">
              <w:rPr>
                <w:rFonts w:eastAsia="Arial"/>
                <w:sz w:val="18"/>
                <w:szCs w:val="18"/>
              </w:rPr>
              <w:t>3 211</w:t>
            </w:r>
          </w:p>
        </w:tc>
        <w:tc>
          <w:tcPr>
            <w:tcW w:w="1020" w:type="dxa"/>
          </w:tcPr>
          <w:p w:rsidR="002B5C66" w:rsidRPr="0047440B" w:rsidRDefault="002B5C66" w:rsidP="002B5C66">
            <w:pPr>
              <w:jc w:val="center"/>
              <w:rPr>
                <w:rFonts w:eastAsia="Arial"/>
                <w:sz w:val="18"/>
                <w:szCs w:val="18"/>
              </w:rPr>
            </w:pPr>
            <w:r w:rsidRPr="0047440B">
              <w:rPr>
                <w:rFonts w:eastAsia="Arial"/>
                <w:sz w:val="18"/>
                <w:szCs w:val="18"/>
              </w:rPr>
              <w:t>3 173</w:t>
            </w:r>
          </w:p>
        </w:tc>
      </w:tr>
      <w:tr w:rsidR="002B5C66" w:rsidRPr="0047440B" w:rsidTr="00C15BBD">
        <w:trPr>
          <w:trHeight w:val="20"/>
        </w:trPr>
        <w:tc>
          <w:tcPr>
            <w:tcW w:w="2830" w:type="dxa"/>
            <w:shd w:val="clear" w:color="auto" w:fill="auto"/>
          </w:tcPr>
          <w:p w:rsidR="002B5C66" w:rsidRPr="0047440B" w:rsidRDefault="002B5C66" w:rsidP="002B5C66">
            <w:pPr>
              <w:jc w:val="both"/>
              <w:rPr>
                <w:rFonts w:eastAsia="Arial"/>
                <w:sz w:val="18"/>
                <w:szCs w:val="18"/>
              </w:rPr>
            </w:pPr>
            <w:r w:rsidRPr="0047440B">
              <w:rPr>
                <w:rFonts w:eastAsia="Arial"/>
                <w:sz w:val="18"/>
                <w:szCs w:val="18"/>
              </w:rPr>
              <w:t>губы</w:t>
            </w:r>
          </w:p>
        </w:tc>
        <w:tc>
          <w:tcPr>
            <w:tcW w:w="1276" w:type="dxa"/>
            <w:shd w:val="clear" w:color="auto" w:fill="auto"/>
          </w:tcPr>
          <w:p w:rsidR="002B5C66" w:rsidRPr="0047440B" w:rsidRDefault="002B5C66" w:rsidP="002B5C66">
            <w:pPr>
              <w:jc w:val="center"/>
              <w:rPr>
                <w:rFonts w:eastAsia="Arial"/>
                <w:sz w:val="18"/>
                <w:szCs w:val="18"/>
              </w:rPr>
            </w:pPr>
            <w:r w:rsidRPr="0047440B">
              <w:rPr>
                <w:rFonts w:eastAsia="Arial"/>
                <w:sz w:val="18"/>
                <w:szCs w:val="18"/>
              </w:rPr>
              <w:t>24</w:t>
            </w:r>
          </w:p>
        </w:tc>
        <w:tc>
          <w:tcPr>
            <w:tcW w:w="1276" w:type="dxa"/>
            <w:shd w:val="clear" w:color="auto" w:fill="auto"/>
          </w:tcPr>
          <w:p w:rsidR="002B5C66" w:rsidRPr="0047440B" w:rsidRDefault="002B5C66" w:rsidP="002B5C66">
            <w:pPr>
              <w:jc w:val="center"/>
              <w:rPr>
                <w:rFonts w:eastAsia="Arial"/>
                <w:sz w:val="18"/>
                <w:szCs w:val="18"/>
              </w:rPr>
            </w:pPr>
            <w:r w:rsidRPr="0047440B">
              <w:rPr>
                <w:rFonts w:eastAsia="Arial"/>
                <w:sz w:val="18"/>
                <w:szCs w:val="18"/>
              </w:rPr>
              <w:t>18</w:t>
            </w:r>
          </w:p>
        </w:tc>
        <w:tc>
          <w:tcPr>
            <w:tcW w:w="1276" w:type="dxa"/>
            <w:shd w:val="clear" w:color="auto" w:fill="auto"/>
          </w:tcPr>
          <w:p w:rsidR="002B5C66" w:rsidRPr="0047440B" w:rsidRDefault="002B5C66" w:rsidP="002B5C66">
            <w:pPr>
              <w:jc w:val="center"/>
              <w:rPr>
                <w:rFonts w:eastAsia="Arial"/>
                <w:sz w:val="18"/>
                <w:szCs w:val="18"/>
              </w:rPr>
            </w:pPr>
            <w:r w:rsidRPr="0047440B">
              <w:rPr>
                <w:rFonts w:eastAsia="Arial"/>
                <w:sz w:val="18"/>
                <w:szCs w:val="18"/>
              </w:rPr>
              <w:t>30</w:t>
            </w:r>
          </w:p>
        </w:tc>
        <w:tc>
          <w:tcPr>
            <w:tcW w:w="1077" w:type="dxa"/>
            <w:shd w:val="clear" w:color="auto" w:fill="auto"/>
          </w:tcPr>
          <w:p w:rsidR="002B5C66" w:rsidRPr="0047440B" w:rsidRDefault="002B5C66" w:rsidP="002B5C66">
            <w:pPr>
              <w:jc w:val="center"/>
              <w:rPr>
                <w:rFonts w:eastAsia="Arial"/>
                <w:sz w:val="18"/>
                <w:szCs w:val="18"/>
              </w:rPr>
            </w:pPr>
            <w:r w:rsidRPr="0047440B">
              <w:rPr>
                <w:rFonts w:eastAsia="Arial"/>
                <w:sz w:val="18"/>
                <w:szCs w:val="18"/>
              </w:rPr>
              <w:t>17</w:t>
            </w:r>
          </w:p>
        </w:tc>
        <w:tc>
          <w:tcPr>
            <w:tcW w:w="1077" w:type="dxa"/>
            <w:shd w:val="clear" w:color="auto" w:fill="auto"/>
          </w:tcPr>
          <w:p w:rsidR="002B5C66" w:rsidRPr="0047440B" w:rsidRDefault="002B5C66" w:rsidP="002B5C66">
            <w:pPr>
              <w:jc w:val="center"/>
              <w:rPr>
                <w:rFonts w:eastAsia="Arial"/>
                <w:sz w:val="18"/>
                <w:szCs w:val="18"/>
              </w:rPr>
            </w:pPr>
            <w:r w:rsidRPr="0047440B">
              <w:rPr>
                <w:rFonts w:eastAsia="Arial"/>
                <w:sz w:val="18"/>
                <w:szCs w:val="18"/>
              </w:rPr>
              <w:t>14</w:t>
            </w:r>
          </w:p>
        </w:tc>
        <w:tc>
          <w:tcPr>
            <w:tcW w:w="1077" w:type="dxa"/>
            <w:shd w:val="clear" w:color="auto" w:fill="auto"/>
          </w:tcPr>
          <w:p w:rsidR="002B5C66" w:rsidRPr="0047440B" w:rsidRDefault="002B5C66" w:rsidP="002B5C66">
            <w:pPr>
              <w:jc w:val="center"/>
              <w:rPr>
                <w:rFonts w:eastAsia="Arial"/>
                <w:sz w:val="18"/>
                <w:szCs w:val="18"/>
              </w:rPr>
            </w:pPr>
            <w:r w:rsidRPr="0047440B">
              <w:rPr>
                <w:rFonts w:eastAsia="Arial"/>
                <w:sz w:val="18"/>
                <w:szCs w:val="18"/>
              </w:rPr>
              <w:t>5</w:t>
            </w:r>
          </w:p>
        </w:tc>
        <w:tc>
          <w:tcPr>
            <w:tcW w:w="1077" w:type="dxa"/>
          </w:tcPr>
          <w:p w:rsidR="002B5C66" w:rsidRPr="0047440B" w:rsidRDefault="002B5C66" w:rsidP="002B5C66">
            <w:pPr>
              <w:jc w:val="center"/>
              <w:rPr>
                <w:rFonts w:eastAsia="Arial"/>
                <w:sz w:val="18"/>
                <w:szCs w:val="18"/>
              </w:rPr>
            </w:pPr>
            <w:r w:rsidRPr="0047440B">
              <w:rPr>
                <w:rFonts w:eastAsia="Arial"/>
                <w:sz w:val="18"/>
                <w:szCs w:val="18"/>
              </w:rPr>
              <w:t>20</w:t>
            </w:r>
          </w:p>
        </w:tc>
        <w:tc>
          <w:tcPr>
            <w:tcW w:w="1077" w:type="dxa"/>
          </w:tcPr>
          <w:p w:rsidR="002B5C66" w:rsidRPr="0047440B" w:rsidRDefault="002B5C66" w:rsidP="002B5C66">
            <w:pPr>
              <w:jc w:val="center"/>
              <w:rPr>
                <w:rFonts w:eastAsia="Arial"/>
                <w:sz w:val="18"/>
                <w:szCs w:val="18"/>
              </w:rPr>
            </w:pPr>
            <w:r w:rsidRPr="0047440B">
              <w:rPr>
                <w:rFonts w:eastAsia="Arial"/>
                <w:sz w:val="18"/>
                <w:szCs w:val="18"/>
              </w:rPr>
              <w:t>9</w:t>
            </w:r>
          </w:p>
        </w:tc>
        <w:tc>
          <w:tcPr>
            <w:tcW w:w="1077" w:type="dxa"/>
          </w:tcPr>
          <w:p w:rsidR="002B5C66" w:rsidRPr="0047440B" w:rsidRDefault="002B5C66" w:rsidP="002B5C66">
            <w:pPr>
              <w:jc w:val="center"/>
              <w:rPr>
                <w:rFonts w:eastAsia="Arial"/>
                <w:sz w:val="18"/>
                <w:szCs w:val="18"/>
              </w:rPr>
            </w:pPr>
            <w:r w:rsidRPr="0047440B">
              <w:rPr>
                <w:rFonts w:eastAsia="Arial"/>
                <w:sz w:val="18"/>
                <w:szCs w:val="18"/>
              </w:rPr>
              <w:t>12</w:t>
            </w:r>
          </w:p>
        </w:tc>
        <w:tc>
          <w:tcPr>
            <w:tcW w:w="1020" w:type="dxa"/>
          </w:tcPr>
          <w:p w:rsidR="002B5C66" w:rsidRPr="0047440B" w:rsidRDefault="00C15BBD" w:rsidP="002B5C66">
            <w:pPr>
              <w:jc w:val="center"/>
              <w:rPr>
                <w:rFonts w:eastAsia="Arial"/>
                <w:sz w:val="18"/>
                <w:szCs w:val="18"/>
              </w:rPr>
            </w:pPr>
            <w:r w:rsidRPr="0047440B">
              <w:rPr>
                <w:rFonts w:eastAsia="Arial"/>
                <w:sz w:val="18"/>
                <w:szCs w:val="18"/>
              </w:rPr>
              <w:t>6</w:t>
            </w:r>
          </w:p>
        </w:tc>
      </w:tr>
      <w:tr w:rsidR="002B5C66" w:rsidRPr="0047440B" w:rsidTr="00C15BBD">
        <w:trPr>
          <w:trHeight w:val="20"/>
        </w:trPr>
        <w:tc>
          <w:tcPr>
            <w:tcW w:w="2830" w:type="dxa"/>
            <w:shd w:val="clear" w:color="auto" w:fill="auto"/>
          </w:tcPr>
          <w:p w:rsidR="002B5C66" w:rsidRPr="0047440B" w:rsidRDefault="002B5C66" w:rsidP="002B5C66">
            <w:pPr>
              <w:jc w:val="both"/>
              <w:rPr>
                <w:rFonts w:eastAsia="Arial"/>
                <w:sz w:val="18"/>
                <w:szCs w:val="18"/>
              </w:rPr>
            </w:pPr>
            <w:r w:rsidRPr="0047440B">
              <w:rPr>
                <w:rFonts w:eastAsia="Arial"/>
                <w:sz w:val="18"/>
                <w:szCs w:val="18"/>
              </w:rPr>
              <w:t xml:space="preserve">полости рта </w:t>
            </w:r>
          </w:p>
        </w:tc>
        <w:tc>
          <w:tcPr>
            <w:tcW w:w="1276" w:type="dxa"/>
            <w:shd w:val="clear" w:color="auto" w:fill="auto"/>
          </w:tcPr>
          <w:p w:rsidR="002B5C66" w:rsidRPr="0047440B" w:rsidRDefault="002B5C66" w:rsidP="002B5C66">
            <w:pPr>
              <w:jc w:val="center"/>
              <w:rPr>
                <w:rFonts w:eastAsia="Arial"/>
                <w:sz w:val="18"/>
                <w:szCs w:val="18"/>
              </w:rPr>
            </w:pPr>
            <w:r w:rsidRPr="0047440B">
              <w:rPr>
                <w:rFonts w:eastAsia="Arial"/>
                <w:sz w:val="18"/>
                <w:szCs w:val="18"/>
              </w:rPr>
              <w:t>25</w:t>
            </w:r>
          </w:p>
        </w:tc>
        <w:tc>
          <w:tcPr>
            <w:tcW w:w="1276" w:type="dxa"/>
            <w:shd w:val="clear" w:color="auto" w:fill="auto"/>
          </w:tcPr>
          <w:p w:rsidR="002B5C66" w:rsidRPr="0047440B" w:rsidRDefault="002B5C66" w:rsidP="002B5C66">
            <w:pPr>
              <w:jc w:val="center"/>
              <w:rPr>
                <w:rFonts w:eastAsia="Arial"/>
                <w:sz w:val="18"/>
                <w:szCs w:val="18"/>
              </w:rPr>
            </w:pPr>
            <w:r w:rsidRPr="0047440B">
              <w:rPr>
                <w:rFonts w:eastAsia="Arial"/>
                <w:sz w:val="18"/>
                <w:szCs w:val="18"/>
              </w:rPr>
              <w:t>38</w:t>
            </w:r>
          </w:p>
        </w:tc>
        <w:tc>
          <w:tcPr>
            <w:tcW w:w="1276" w:type="dxa"/>
            <w:shd w:val="clear" w:color="auto" w:fill="auto"/>
          </w:tcPr>
          <w:p w:rsidR="002B5C66" w:rsidRPr="0047440B" w:rsidRDefault="002B5C66" w:rsidP="002B5C66">
            <w:pPr>
              <w:jc w:val="center"/>
              <w:rPr>
                <w:rFonts w:eastAsia="Arial"/>
                <w:sz w:val="18"/>
                <w:szCs w:val="18"/>
              </w:rPr>
            </w:pPr>
            <w:r w:rsidRPr="0047440B">
              <w:rPr>
                <w:rFonts w:eastAsia="Arial"/>
                <w:sz w:val="18"/>
                <w:szCs w:val="18"/>
              </w:rPr>
              <w:t>42</w:t>
            </w:r>
          </w:p>
        </w:tc>
        <w:tc>
          <w:tcPr>
            <w:tcW w:w="1077" w:type="dxa"/>
            <w:shd w:val="clear" w:color="auto" w:fill="auto"/>
          </w:tcPr>
          <w:p w:rsidR="002B5C66" w:rsidRPr="0047440B" w:rsidRDefault="002B5C66" w:rsidP="002B5C66">
            <w:pPr>
              <w:jc w:val="center"/>
              <w:rPr>
                <w:rFonts w:eastAsia="Arial"/>
                <w:sz w:val="18"/>
                <w:szCs w:val="18"/>
              </w:rPr>
            </w:pPr>
            <w:r w:rsidRPr="0047440B">
              <w:rPr>
                <w:rFonts w:eastAsia="Arial"/>
                <w:sz w:val="18"/>
                <w:szCs w:val="18"/>
              </w:rPr>
              <w:t>29</w:t>
            </w:r>
          </w:p>
        </w:tc>
        <w:tc>
          <w:tcPr>
            <w:tcW w:w="1077" w:type="dxa"/>
            <w:shd w:val="clear" w:color="auto" w:fill="auto"/>
          </w:tcPr>
          <w:p w:rsidR="002B5C66" w:rsidRPr="0047440B" w:rsidRDefault="002B5C66" w:rsidP="002B5C66">
            <w:pPr>
              <w:jc w:val="center"/>
              <w:rPr>
                <w:rFonts w:eastAsia="Arial"/>
                <w:sz w:val="18"/>
                <w:szCs w:val="18"/>
              </w:rPr>
            </w:pPr>
            <w:r w:rsidRPr="0047440B">
              <w:rPr>
                <w:rFonts w:eastAsia="Arial"/>
                <w:sz w:val="18"/>
                <w:szCs w:val="18"/>
              </w:rPr>
              <w:t>15</w:t>
            </w:r>
          </w:p>
        </w:tc>
        <w:tc>
          <w:tcPr>
            <w:tcW w:w="1077" w:type="dxa"/>
            <w:shd w:val="clear" w:color="auto" w:fill="auto"/>
          </w:tcPr>
          <w:p w:rsidR="002B5C66" w:rsidRPr="0047440B" w:rsidRDefault="002B5C66" w:rsidP="002B5C66">
            <w:pPr>
              <w:jc w:val="center"/>
              <w:rPr>
                <w:rFonts w:eastAsia="Arial"/>
                <w:sz w:val="18"/>
                <w:szCs w:val="18"/>
              </w:rPr>
            </w:pPr>
            <w:r w:rsidRPr="0047440B">
              <w:rPr>
                <w:rFonts w:eastAsia="Arial"/>
                <w:sz w:val="18"/>
                <w:szCs w:val="18"/>
              </w:rPr>
              <w:t>8</w:t>
            </w:r>
          </w:p>
        </w:tc>
        <w:tc>
          <w:tcPr>
            <w:tcW w:w="1077" w:type="dxa"/>
          </w:tcPr>
          <w:p w:rsidR="002B5C66" w:rsidRPr="0047440B" w:rsidRDefault="002B5C66" w:rsidP="002B5C66">
            <w:pPr>
              <w:jc w:val="center"/>
              <w:rPr>
                <w:rFonts w:eastAsia="Arial"/>
                <w:sz w:val="18"/>
                <w:szCs w:val="18"/>
              </w:rPr>
            </w:pPr>
            <w:r w:rsidRPr="0047440B">
              <w:rPr>
                <w:rFonts w:eastAsia="Arial"/>
                <w:sz w:val="18"/>
                <w:szCs w:val="18"/>
              </w:rPr>
              <w:t>44</w:t>
            </w:r>
          </w:p>
        </w:tc>
        <w:tc>
          <w:tcPr>
            <w:tcW w:w="1077" w:type="dxa"/>
          </w:tcPr>
          <w:p w:rsidR="002B5C66" w:rsidRPr="0047440B" w:rsidRDefault="002B5C66" w:rsidP="002B5C66">
            <w:pPr>
              <w:jc w:val="center"/>
              <w:rPr>
                <w:rFonts w:eastAsia="Arial"/>
                <w:sz w:val="18"/>
                <w:szCs w:val="18"/>
              </w:rPr>
            </w:pPr>
            <w:r w:rsidRPr="0047440B">
              <w:rPr>
                <w:rFonts w:eastAsia="Arial"/>
                <w:sz w:val="18"/>
                <w:szCs w:val="18"/>
              </w:rPr>
              <w:t>32</w:t>
            </w:r>
          </w:p>
        </w:tc>
        <w:tc>
          <w:tcPr>
            <w:tcW w:w="1077" w:type="dxa"/>
          </w:tcPr>
          <w:p w:rsidR="002B5C66" w:rsidRPr="0047440B" w:rsidRDefault="002B5C66" w:rsidP="002B5C66">
            <w:pPr>
              <w:jc w:val="center"/>
              <w:rPr>
                <w:rFonts w:eastAsia="Arial"/>
                <w:sz w:val="18"/>
                <w:szCs w:val="18"/>
              </w:rPr>
            </w:pPr>
            <w:r w:rsidRPr="0047440B">
              <w:rPr>
                <w:rFonts w:eastAsia="Arial"/>
                <w:sz w:val="18"/>
                <w:szCs w:val="18"/>
              </w:rPr>
              <w:t>28</w:t>
            </w:r>
          </w:p>
        </w:tc>
        <w:tc>
          <w:tcPr>
            <w:tcW w:w="1020" w:type="dxa"/>
          </w:tcPr>
          <w:p w:rsidR="002B5C66" w:rsidRPr="0047440B" w:rsidRDefault="00C15BBD" w:rsidP="002B5C66">
            <w:pPr>
              <w:jc w:val="center"/>
              <w:rPr>
                <w:rFonts w:eastAsia="Arial"/>
                <w:sz w:val="18"/>
                <w:szCs w:val="18"/>
              </w:rPr>
            </w:pPr>
            <w:r w:rsidRPr="0047440B">
              <w:rPr>
                <w:rFonts w:eastAsia="Arial"/>
                <w:sz w:val="18"/>
                <w:szCs w:val="18"/>
              </w:rPr>
              <w:t>16</w:t>
            </w:r>
          </w:p>
        </w:tc>
      </w:tr>
      <w:tr w:rsidR="002B5C66" w:rsidRPr="0047440B" w:rsidTr="00C15BBD">
        <w:trPr>
          <w:trHeight w:val="20"/>
        </w:trPr>
        <w:tc>
          <w:tcPr>
            <w:tcW w:w="2830" w:type="dxa"/>
            <w:shd w:val="clear" w:color="auto" w:fill="auto"/>
          </w:tcPr>
          <w:p w:rsidR="002B5C66" w:rsidRPr="0047440B" w:rsidRDefault="002B5C66" w:rsidP="002B5C66">
            <w:pPr>
              <w:jc w:val="both"/>
              <w:rPr>
                <w:rFonts w:eastAsia="Arial"/>
                <w:sz w:val="18"/>
                <w:szCs w:val="18"/>
              </w:rPr>
            </w:pPr>
            <w:r w:rsidRPr="0047440B">
              <w:rPr>
                <w:rFonts w:eastAsia="Arial"/>
                <w:sz w:val="18"/>
                <w:szCs w:val="18"/>
              </w:rPr>
              <w:t>глотки</w:t>
            </w:r>
          </w:p>
        </w:tc>
        <w:tc>
          <w:tcPr>
            <w:tcW w:w="1276" w:type="dxa"/>
            <w:shd w:val="clear" w:color="auto" w:fill="auto"/>
          </w:tcPr>
          <w:p w:rsidR="002B5C66" w:rsidRPr="0047440B" w:rsidRDefault="002B5C66" w:rsidP="002B5C66">
            <w:pPr>
              <w:jc w:val="center"/>
              <w:rPr>
                <w:rFonts w:eastAsia="Arial"/>
                <w:sz w:val="18"/>
                <w:szCs w:val="18"/>
              </w:rPr>
            </w:pPr>
            <w:r w:rsidRPr="0047440B">
              <w:rPr>
                <w:rFonts w:eastAsia="Arial"/>
                <w:sz w:val="18"/>
                <w:szCs w:val="18"/>
              </w:rPr>
              <w:t>11</w:t>
            </w:r>
          </w:p>
        </w:tc>
        <w:tc>
          <w:tcPr>
            <w:tcW w:w="1276" w:type="dxa"/>
            <w:shd w:val="clear" w:color="auto" w:fill="auto"/>
          </w:tcPr>
          <w:p w:rsidR="002B5C66" w:rsidRPr="0047440B" w:rsidRDefault="002B5C66" w:rsidP="002B5C66">
            <w:pPr>
              <w:jc w:val="center"/>
              <w:rPr>
                <w:rFonts w:eastAsia="Arial"/>
                <w:sz w:val="18"/>
                <w:szCs w:val="18"/>
              </w:rPr>
            </w:pPr>
            <w:r w:rsidRPr="0047440B">
              <w:rPr>
                <w:rFonts w:eastAsia="Arial"/>
                <w:sz w:val="18"/>
                <w:szCs w:val="18"/>
              </w:rPr>
              <w:t>18</w:t>
            </w:r>
          </w:p>
        </w:tc>
        <w:tc>
          <w:tcPr>
            <w:tcW w:w="1276" w:type="dxa"/>
            <w:shd w:val="clear" w:color="auto" w:fill="auto"/>
          </w:tcPr>
          <w:p w:rsidR="002B5C66" w:rsidRPr="0047440B" w:rsidRDefault="002B5C66" w:rsidP="002B5C66">
            <w:pPr>
              <w:jc w:val="center"/>
              <w:rPr>
                <w:rFonts w:eastAsia="Arial"/>
                <w:sz w:val="18"/>
                <w:szCs w:val="18"/>
              </w:rPr>
            </w:pPr>
            <w:r w:rsidRPr="0047440B">
              <w:rPr>
                <w:rFonts w:eastAsia="Arial"/>
                <w:sz w:val="18"/>
                <w:szCs w:val="18"/>
              </w:rPr>
              <w:t>12</w:t>
            </w:r>
          </w:p>
        </w:tc>
        <w:tc>
          <w:tcPr>
            <w:tcW w:w="1077" w:type="dxa"/>
            <w:shd w:val="clear" w:color="auto" w:fill="auto"/>
          </w:tcPr>
          <w:p w:rsidR="002B5C66" w:rsidRPr="0047440B" w:rsidRDefault="002B5C66" w:rsidP="002B5C66">
            <w:pPr>
              <w:jc w:val="center"/>
              <w:rPr>
                <w:rFonts w:eastAsia="Arial"/>
                <w:sz w:val="18"/>
                <w:szCs w:val="18"/>
              </w:rPr>
            </w:pPr>
            <w:r w:rsidRPr="0047440B">
              <w:rPr>
                <w:rFonts w:eastAsia="Arial"/>
                <w:sz w:val="18"/>
                <w:szCs w:val="18"/>
              </w:rPr>
              <w:t>6</w:t>
            </w:r>
          </w:p>
        </w:tc>
        <w:tc>
          <w:tcPr>
            <w:tcW w:w="1077" w:type="dxa"/>
            <w:shd w:val="clear" w:color="auto" w:fill="auto"/>
          </w:tcPr>
          <w:p w:rsidR="002B5C66" w:rsidRPr="0047440B" w:rsidRDefault="002B5C66" w:rsidP="002B5C66">
            <w:pPr>
              <w:jc w:val="center"/>
              <w:rPr>
                <w:rFonts w:eastAsia="Arial"/>
                <w:sz w:val="18"/>
                <w:szCs w:val="18"/>
              </w:rPr>
            </w:pPr>
            <w:r w:rsidRPr="0047440B">
              <w:rPr>
                <w:rFonts w:eastAsia="Arial"/>
                <w:sz w:val="18"/>
                <w:szCs w:val="18"/>
              </w:rPr>
              <w:t>2</w:t>
            </w:r>
          </w:p>
        </w:tc>
        <w:tc>
          <w:tcPr>
            <w:tcW w:w="1077" w:type="dxa"/>
            <w:shd w:val="clear" w:color="auto" w:fill="auto"/>
          </w:tcPr>
          <w:p w:rsidR="002B5C66" w:rsidRPr="0047440B" w:rsidRDefault="002B5C66" w:rsidP="002B5C66">
            <w:pPr>
              <w:jc w:val="center"/>
              <w:rPr>
                <w:rFonts w:eastAsia="Arial"/>
                <w:sz w:val="18"/>
                <w:szCs w:val="18"/>
              </w:rPr>
            </w:pPr>
            <w:r w:rsidRPr="0047440B">
              <w:rPr>
                <w:rFonts w:eastAsia="Arial"/>
                <w:sz w:val="18"/>
                <w:szCs w:val="18"/>
              </w:rPr>
              <w:t>3</w:t>
            </w:r>
          </w:p>
        </w:tc>
        <w:tc>
          <w:tcPr>
            <w:tcW w:w="1077" w:type="dxa"/>
          </w:tcPr>
          <w:p w:rsidR="002B5C66" w:rsidRPr="0047440B" w:rsidRDefault="002B5C66" w:rsidP="002B5C66">
            <w:pPr>
              <w:jc w:val="center"/>
              <w:rPr>
                <w:rFonts w:eastAsia="Arial"/>
                <w:sz w:val="18"/>
                <w:szCs w:val="18"/>
              </w:rPr>
            </w:pPr>
            <w:r w:rsidRPr="0047440B">
              <w:rPr>
                <w:rFonts w:eastAsia="Arial"/>
                <w:sz w:val="18"/>
                <w:szCs w:val="18"/>
              </w:rPr>
              <w:t>14</w:t>
            </w:r>
          </w:p>
        </w:tc>
        <w:tc>
          <w:tcPr>
            <w:tcW w:w="1077" w:type="dxa"/>
          </w:tcPr>
          <w:p w:rsidR="002B5C66" w:rsidRPr="0047440B" w:rsidRDefault="002B5C66" w:rsidP="002B5C66">
            <w:pPr>
              <w:jc w:val="center"/>
              <w:rPr>
                <w:rFonts w:eastAsia="Arial"/>
                <w:sz w:val="18"/>
                <w:szCs w:val="18"/>
              </w:rPr>
            </w:pPr>
            <w:r w:rsidRPr="0047440B">
              <w:rPr>
                <w:rFonts w:eastAsia="Arial"/>
                <w:sz w:val="18"/>
                <w:szCs w:val="18"/>
              </w:rPr>
              <w:t>19</w:t>
            </w:r>
          </w:p>
        </w:tc>
        <w:tc>
          <w:tcPr>
            <w:tcW w:w="1077" w:type="dxa"/>
          </w:tcPr>
          <w:p w:rsidR="002B5C66" w:rsidRPr="0047440B" w:rsidRDefault="002B5C66" w:rsidP="002B5C66">
            <w:pPr>
              <w:jc w:val="center"/>
              <w:rPr>
                <w:rFonts w:eastAsia="Arial"/>
                <w:sz w:val="18"/>
                <w:szCs w:val="18"/>
              </w:rPr>
            </w:pPr>
            <w:r w:rsidRPr="0047440B">
              <w:rPr>
                <w:rFonts w:eastAsia="Arial"/>
                <w:sz w:val="18"/>
                <w:szCs w:val="18"/>
              </w:rPr>
              <w:t>18</w:t>
            </w:r>
          </w:p>
        </w:tc>
        <w:tc>
          <w:tcPr>
            <w:tcW w:w="1020" w:type="dxa"/>
          </w:tcPr>
          <w:p w:rsidR="002B5C66" w:rsidRPr="0047440B" w:rsidRDefault="00C15BBD" w:rsidP="002B5C66">
            <w:pPr>
              <w:jc w:val="center"/>
              <w:rPr>
                <w:rFonts w:eastAsia="Arial"/>
                <w:sz w:val="18"/>
                <w:szCs w:val="18"/>
              </w:rPr>
            </w:pPr>
            <w:r w:rsidRPr="0047440B">
              <w:rPr>
                <w:rFonts w:eastAsia="Arial"/>
                <w:sz w:val="18"/>
                <w:szCs w:val="18"/>
              </w:rPr>
              <w:t>7</w:t>
            </w:r>
          </w:p>
        </w:tc>
      </w:tr>
      <w:tr w:rsidR="002B5C66" w:rsidRPr="0047440B" w:rsidTr="00C15BBD">
        <w:trPr>
          <w:trHeight w:val="20"/>
        </w:trPr>
        <w:tc>
          <w:tcPr>
            <w:tcW w:w="2830" w:type="dxa"/>
            <w:shd w:val="clear" w:color="auto" w:fill="auto"/>
          </w:tcPr>
          <w:p w:rsidR="002B5C66" w:rsidRPr="0047440B" w:rsidRDefault="002B5C66" w:rsidP="002B5C66">
            <w:pPr>
              <w:jc w:val="both"/>
              <w:rPr>
                <w:rFonts w:eastAsia="Arial"/>
                <w:sz w:val="18"/>
                <w:szCs w:val="18"/>
              </w:rPr>
            </w:pPr>
            <w:r w:rsidRPr="0047440B">
              <w:rPr>
                <w:rFonts w:eastAsia="Arial"/>
                <w:sz w:val="18"/>
                <w:szCs w:val="18"/>
              </w:rPr>
              <w:t>ободочной кишки</w:t>
            </w:r>
          </w:p>
        </w:tc>
        <w:tc>
          <w:tcPr>
            <w:tcW w:w="1276" w:type="dxa"/>
            <w:shd w:val="clear" w:color="auto" w:fill="auto"/>
          </w:tcPr>
          <w:p w:rsidR="002B5C66" w:rsidRPr="0047440B" w:rsidRDefault="002B5C66" w:rsidP="002B5C66">
            <w:pPr>
              <w:jc w:val="center"/>
              <w:rPr>
                <w:rFonts w:eastAsia="Arial"/>
                <w:sz w:val="18"/>
                <w:szCs w:val="18"/>
              </w:rPr>
            </w:pPr>
            <w:r w:rsidRPr="0047440B">
              <w:rPr>
                <w:rFonts w:eastAsia="Arial"/>
                <w:sz w:val="18"/>
                <w:szCs w:val="18"/>
              </w:rPr>
              <w:t>108</w:t>
            </w:r>
          </w:p>
        </w:tc>
        <w:tc>
          <w:tcPr>
            <w:tcW w:w="1276" w:type="dxa"/>
            <w:shd w:val="clear" w:color="auto" w:fill="auto"/>
          </w:tcPr>
          <w:p w:rsidR="002B5C66" w:rsidRPr="0047440B" w:rsidRDefault="002B5C66" w:rsidP="002B5C66">
            <w:pPr>
              <w:jc w:val="center"/>
              <w:rPr>
                <w:rFonts w:eastAsia="Arial"/>
                <w:sz w:val="18"/>
                <w:szCs w:val="18"/>
              </w:rPr>
            </w:pPr>
            <w:r w:rsidRPr="0047440B">
              <w:rPr>
                <w:rFonts w:eastAsia="Arial"/>
                <w:sz w:val="18"/>
                <w:szCs w:val="18"/>
              </w:rPr>
              <w:t>204</w:t>
            </w:r>
          </w:p>
        </w:tc>
        <w:tc>
          <w:tcPr>
            <w:tcW w:w="1276" w:type="dxa"/>
            <w:shd w:val="clear" w:color="auto" w:fill="auto"/>
          </w:tcPr>
          <w:p w:rsidR="002B5C66" w:rsidRPr="0047440B" w:rsidRDefault="002B5C66" w:rsidP="002B5C66">
            <w:pPr>
              <w:jc w:val="center"/>
              <w:rPr>
                <w:rFonts w:eastAsia="Arial"/>
                <w:sz w:val="18"/>
                <w:szCs w:val="18"/>
              </w:rPr>
            </w:pPr>
            <w:r w:rsidRPr="0047440B">
              <w:rPr>
                <w:rFonts w:eastAsia="Arial"/>
                <w:sz w:val="18"/>
                <w:szCs w:val="18"/>
              </w:rPr>
              <w:t>261</w:t>
            </w:r>
          </w:p>
        </w:tc>
        <w:tc>
          <w:tcPr>
            <w:tcW w:w="1077" w:type="dxa"/>
            <w:shd w:val="clear" w:color="auto" w:fill="auto"/>
          </w:tcPr>
          <w:p w:rsidR="002B5C66" w:rsidRPr="0047440B" w:rsidRDefault="002B5C66" w:rsidP="002B5C66">
            <w:pPr>
              <w:jc w:val="center"/>
              <w:rPr>
                <w:rFonts w:eastAsia="Arial"/>
                <w:sz w:val="18"/>
                <w:szCs w:val="18"/>
              </w:rPr>
            </w:pPr>
            <w:r w:rsidRPr="0047440B">
              <w:rPr>
                <w:rFonts w:eastAsia="Arial"/>
                <w:sz w:val="18"/>
                <w:szCs w:val="18"/>
              </w:rPr>
              <w:t>211</w:t>
            </w:r>
          </w:p>
        </w:tc>
        <w:tc>
          <w:tcPr>
            <w:tcW w:w="1077" w:type="dxa"/>
            <w:shd w:val="clear" w:color="auto" w:fill="auto"/>
          </w:tcPr>
          <w:p w:rsidR="002B5C66" w:rsidRPr="0047440B" w:rsidRDefault="002B5C66" w:rsidP="002B5C66">
            <w:pPr>
              <w:jc w:val="center"/>
              <w:rPr>
                <w:rFonts w:eastAsia="Arial"/>
                <w:sz w:val="18"/>
                <w:szCs w:val="18"/>
              </w:rPr>
            </w:pPr>
            <w:r w:rsidRPr="0047440B">
              <w:rPr>
                <w:rFonts w:eastAsia="Arial"/>
                <w:sz w:val="18"/>
                <w:szCs w:val="18"/>
              </w:rPr>
              <w:t>133</w:t>
            </w:r>
          </w:p>
        </w:tc>
        <w:tc>
          <w:tcPr>
            <w:tcW w:w="1077" w:type="dxa"/>
            <w:shd w:val="clear" w:color="auto" w:fill="auto"/>
          </w:tcPr>
          <w:p w:rsidR="002B5C66" w:rsidRPr="0047440B" w:rsidRDefault="002B5C66" w:rsidP="002B5C66">
            <w:pPr>
              <w:jc w:val="center"/>
              <w:rPr>
                <w:rFonts w:eastAsia="Arial"/>
                <w:sz w:val="18"/>
                <w:szCs w:val="18"/>
              </w:rPr>
            </w:pPr>
            <w:r w:rsidRPr="0047440B">
              <w:rPr>
                <w:rFonts w:eastAsia="Arial"/>
                <w:sz w:val="18"/>
                <w:szCs w:val="18"/>
              </w:rPr>
              <w:t>154</w:t>
            </w:r>
          </w:p>
        </w:tc>
        <w:tc>
          <w:tcPr>
            <w:tcW w:w="1077" w:type="dxa"/>
          </w:tcPr>
          <w:p w:rsidR="002B5C66" w:rsidRPr="0047440B" w:rsidRDefault="002B5C66" w:rsidP="002B5C66">
            <w:pPr>
              <w:jc w:val="center"/>
              <w:rPr>
                <w:rFonts w:eastAsia="Arial"/>
                <w:sz w:val="18"/>
                <w:szCs w:val="18"/>
              </w:rPr>
            </w:pPr>
            <w:r w:rsidRPr="0047440B">
              <w:rPr>
                <w:rFonts w:eastAsia="Arial"/>
                <w:sz w:val="18"/>
                <w:szCs w:val="18"/>
              </w:rPr>
              <w:t>319</w:t>
            </w:r>
          </w:p>
        </w:tc>
        <w:tc>
          <w:tcPr>
            <w:tcW w:w="1077" w:type="dxa"/>
          </w:tcPr>
          <w:p w:rsidR="002B5C66" w:rsidRPr="0047440B" w:rsidRDefault="002B5C66" w:rsidP="002B5C66">
            <w:pPr>
              <w:jc w:val="center"/>
              <w:rPr>
                <w:rFonts w:eastAsia="Arial"/>
                <w:sz w:val="18"/>
                <w:szCs w:val="18"/>
              </w:rPr>
            </w:pPr>
            <w:r w:rsidRPr="0047440B">
              <w:rPr>
                <w:rFonts w:eastAsia="Arial"/>
                <w:sz w:val="18"/>
                <w:szCs w:val="18"/>
              </w:rPr>
              <w:t>285</w:t>
            </w:r>
          </w:p>
        </w:tc>
        <w:tc>
          <w:tcPr>
            <w:tcW w:w="1077" w:type="dxa"/>
          </w:tcPr>
          <w:p w:rsidR="002B5C66" w:rsidRPr="0047440B" w:rsidRDefault="002B5C66" w:rsidP="002B5C66">
            <w:pPr>
              <w:jc w:val="center"/>
              <w:rPr>
                <w:rFonts w:eastAsia="Arial"/>
                <w:sz w:val="18"/>
                <w:szCs w:val="18"/>
              </w:rPr>
            </w:pPr>
            <w:r w:rsidRPr="0047440B">
              <w:rPr>
                <w:rFonts w:eastAsia="Arial"/>
                <w:sz w:val="18"/>
                <w:szCs w:val="18"/>
              </w:rPr>
              <w:t>333</w:t>
            </w:r>
          </w:p>
        </w:tc>
        <w:tc>
          <w:tcPr>
            <w:tcW w:w="1020" w:type="dxa"/>
          </w:tcPr>
          <w:p w:rsidR="002B5C66" w:rsidRPr="0047440B" w:rsidRDefault="00C15BBD" w:rsidP="002B5C66">
            <w:pPr>
              <w:jc w:val="center"/>
              <w:rPr>
                <w:rFonts w:eastAsia="Arial"/>
                <w:sz w:val="18"/>
                <w:szCs w:val="18"/>
              </w:rPr>
            </w:pPr>
            <w:r w:rsidRPr="0047440B">
              <w:rPr>
                <w:rFonts w:eastAsia="Arial"/>
                <w:sz w:val="18"/>
                <w:szCs w:val="18"/>
              </w:rPr>
              <w:t>611</w:t>
            </w:r>
          </w:p>
        </w:tc>
      </w:tr>
      <w:tr w:rsidR="002B5C66" w:rsidRPr="0047440B" w:rsidTr="00C15BBD">
        <w:trPr>
          <w:trHeight w:val="20"/>
        </w:trPr>
        <w:tc>
          <w:tcPr>
            <w:tcW w:w="2830" w:type="dxa"/>
            <w:shd w:val="clear" w:color="auto" w:fill="auto"/>
          </w:tcPr>
          <w:p w:rsidR="002B5C66" w:rsidRPr="0047440B" w:rsidRDefault="002B5C66" w:rsidP="002B5C66">
            <w:pPr>
              <w:jc w:val="both"/>
              <w:rPr>
                <w:rFonts w:eastAsia="Arial"/>
                <w:sz w:val="18"/>
                <w:szCs w:val="18"/>
              </w:rPr>
            </w:pPr>
            <w:r w:rsidRPr="0047440B">
              <w:rPr>
                <w:rFonts w:eastAsia="Arial"/>
                <w:sz w:val="18"/>
                <w:szCs w:val="18"/>
              </w:rPr>
              <w:t>прямой кишки</w:t>
            </w:r>
          </w:p>
        </w:tc>
        <w:tc>
          <w:tcPr>
            <w:tcW w:w="1276" w:type="dxa"/>
            <w:shd w:val="clear" w:color="auto" w:fill="auto"/>
          </w:tcPr>
          <w:p w:rsidR="002B5C66" w:rsidRPr="0047440B" w:rsidRDefault="002B5C66" w:rsidP="002B5C66">
            <w:pPr>
              <w:jc w:val="center"/>
              <w:rPr>
                <w:rFonts w:eastAsia="Arial"/>
                <w:sz w:val="18"/>
                <w:szCs w:val="18"/>
              </w:rPr>
            </w:pPr>
            <w:r w:rsidRPr="0047440B">
              <w:rPr>
                <w:rFonts w:eastAsia="Arial"/>
                <w:sz w:val="18"/>
                <w:szCs w:val="18"/>
              </w:rPr>
              <w:t>124</w:t>
            </w:r>
          </w:p>
        </w:tc>
        <w:tc>
          <w:tcPr>
            <w:tcW w:w="1276" w:type="dxa"/>
            <w:shd w:val="clear" w:color="auto" w:fill="auto"/>
          </w:tcPr>
          <w:p w:rsidR="002B5C66" w:rsidRPr="0047440B" w:rsidRDefault="002B5C66" w:rsidP="002B5C66">
            <w:pPr>
              <w:jc w:val="center"/>
              <w:rPr>
                <w:rFonts w:eastAsia="Arial"/>
                <w:sz w:val="18"/>
                <w:szCs w:val="18"/>
              </w:rPr>
            </w:pPr>
            <w:r w:rsidRPr="0047440B">
              <w:rPr>
                <w:rFonts w:eastAsia="Arial"/>
                <w:sz w:val="18"/>
                <w:szCs w:val="18"/>
              </w:rPr>
              <w:t>217</w:t>
            </w:r>
          </w:p>
        </w:tc>
        <w:tc>
          <w:tcPr>
            <w:tcW w:w="1276" w:type="dxa"/>
            <w:shd w:val="clear" w:color="auto" w:fill="auto"/>
          </w:tcPr>
          <w:p w:rsidR="002B5C66" w:rsidRPr="0047440B" w:rsidRDefault="002B5C66" w:rsidP="002B5C66">
            <w:pPr>
              <w:jc w:val="center"/>
              <w:rPr>
                <w:rFonts w:eastAsia="Arial"/>
                <w:sz w:val="18"/>
                <w:szCs w:val="18"/>
              </w:rPr>
            </w:pPr>
            <w:r w:rsidRPr="0047440B">
              <w:rPr>
                <w:rFonts w:eastAsia="Arial"/>
                <w:sz w:val="18"/>
                <w:szCs w:val="18"/>
              </w:rPr>
              <w:t>285</w:t>
            </w:r>
          </w:p>
        </w:tc>
        <w:tc>
          <w:tcPr>
            <w:tcW w:w="1077" w:type="dxa"/>
            <w:shd w:val="clear" w:color="auto" w:fill="auto"/>
          </w:tcPr>
          <w:p w:rsidR="002B5C66" w:rsidRPr="0047440B" w:rsidRDefault="002B5C66" w:rsidP="002B5C66">
            <w:pPr>
              <w:jc w:val="center"/>
              <w:rPr>
                <w:rFonts w:eastAsia="Arial"/>
                <w:sz w:val="18"/>
                <w:szCs w:val="18"/>
              </w:rPr>
            </w:pPr>
            <w:r w:rsidRPr="0047440B">
              <w:rPr>
                <w:rFonts w:eastAsia="Arial"/>
                <w:sz w:val="18"/>
                <w:szCs w:val="18"/>
              </w:rPr>
              <w:t>210</w:t>
            </w:r>
          </w:p>
        </w:tc>
        <w:tc>
          <w:tcPr>
            <w:tcW w:w="1077" w:type="dxa"/>
            <w:shd w:val="clear" w:color="auto" w:fill="auto"/>
          </w:tcPr>
          <w:p w:rsidR="002B5C66" w:rsidRPr="0047440B" w:rsidRDefault="002B5C66" w:rsidP="002B5C66">
            <w:pPr>
              <w:jc w:val="center"/>
              <w:rPr>
                <w:rFonts w:eastAsia="Arial"/>
                <w:sz w:val="18"/>
                <w:szCs w:val="18"/>
              </w:rPr>
            </w:pPr>
            <w:r w:rsidRPr="0047440B">
              <w:rPr>
                <w:rFonts w:eastAsia="Arial"/>
                <w:sz w:val="18"/>
                <w:szCs w:val="18"/>
              </w:rPr>
              <w:t>97</w:t>
            </w:r>
          </w:p>
        </w:tc>
        <w:tc>
          <w:tcPr>
            <w:tcW w:w="1077" w:type="dxa"/>
            <w:shd w:val="clear" w:color="auto" w:fill="auto"/>
          </w:tcPr>
          <w:p w:rsidR="002B5C66" w:rsidRPr="0047440B" w:rsidRDefault="002B5C66" w:rsidP="002B5C66">
            <w:pPr>
              <w:jc w:val="center"/>
              <w:rPr>
                <w:rFonts w:eastAsia="Arial"/>
                <w:sz w:val="18"/>
                <w:szCs w:val="18"/>
              </w:rPr>
            </w:pPr>
            <w:r w:rsidRPr="0047440B">
              <w:rPr>
                <w:rFonts w:eastAsia="Arial"/>
                <w:sz w:val="18"/>
                <w:szCs w:val="18"/>
              </w:rPr>
              <w:t>146</w:t>
            </w:r>
          </w:p>
        </w:tc>
        <w:tc>
          <w:tcPr>
            <w:tcW w:w="1077" w:type="dxa"/>
          </w:tcPr>
          <w:p w:rsidR="002B5C66" w:rsidRPr="0047440B" w:rsidRDefault="002B5C66" w:rsidP="002B5C66">
            <w:pPr>
              <w:jc w:val="center"/>
              <w:rPr>
                <w:rFonts w:eastAsia="Arial"/>
                <w:sz w:val="18"/>
                <w:szCs w:val="18"/>
              </w:rPr>
            </w:pPr>
            <w:r w:rsidRPr="0047440B">
              <w:rPr>
                <w:rFonts w:eastAsia="Arial"/>
                <w:sz w:val="18"/>
                <w:szCs w:val="18"/>
              </w:rPr>
              <w:t>281</w:t>
            </w:r>
          </w:p>
        </w:tc>
        <w:tc>
          <w:tcPr>
            <w:tcW w:w="1077" w:type="dxa"/>
          </w:tcPr>
          <w:p w:rsidR="002B5C66" w:rsidRPr="0047440B" w:rsidRDefault="002B5C66" w:rsidP="002B5C66">
            <w:pPr>
              <w:jc w:val="center"/>
              <w:rPr>
                <w:rFonts w:eastAsia="Arial"/>
                <w:sz w:val="18"/>
                <w:szCs w:val="18"/>
              </w:rPr>
            </w:pPr>
            <w:r w:rsidRPr="0047440B">
              <w:rPr>
                <w:rFonts w:eastAsia="Arial"/>
                <w:sz w:val="18"/>
                <w:szCs w:val="18"/>
              </w:rPr>
              <w:t>226</w:t>
            </w:r>
          </w:p>
        </w:tc>
        <w:tc>
          <w:tcPr>
            <w:tcW w:w="1077" w:type="dxa"/>
          </w:tcPr>
          <w:p w:rsidR="002B5C66" w:rsidRPr="0047440B" w:rsidRDefault="002B5C66" w:rsidP="002B5C66">
            <w:pPr>
              <w:jc w:val="center"/>
              <w:rPr>
                <w:rFonts w:eastAsia="Arial"/>
                <w:sz w:val="18"/>
                <w:szCs w:val="18"/>
              </w:rPr>
            </w:pPr>
            <w:r w:rsidRPr="0047440B">
              <w:rPr>
                <w:rFonts w:eastAsia="Arial"/>
                <w:sz w:val="18"/>
                <w:szCs w:val="18"/>
              </w:rPr>
              <w:t>306</w:t>
            </w:r>
          </w:p>
        </w:tc>
        <w:tc>
          <w:tcPr>
            <w:tcW w:w="1020" w:type="dxa"/>
          </w:tcPr>
          <w:p w:rsidR="002B5C66" w:rsidRPr="0047440B" w:rsidRDefault="00C15BBD" w:rsidP="002B5C66">
            <w:pPr>
              <w:jc w:val="center"/>
              <w:rPr>
                <w:rFonts w:eastAsia="Arial"/>
                <w:sz w:val="18"/>
                <w:szCs w:val="18"/>
              </w:rPr>
            </w:pPr>
            <w:r w:rsidRPr="0047440B">
              <w:rPr>
                <w:rFonts w:eastAsia="Arial"/>
                <w:sz w:val="18"/>
                <w:szCs w:val="18"/>
              </w:rPr>
              <w:t>434</w:t>
            </w:r>
          </w:p>
        </w:tc>
      </w:tr>
      <w:tr w:rsidR="002B5C66" w:rsidRPr="0047440B" w:rsidTr="00C15BBD">
        <w:trPr>
          <w:trHeight w:val="20"/>
        </w:trPr>
        <w:tc>
          <w:tcPr>
            <w:tcW w:w="2830" w:type="dxa"/>
            <w:shd w:val="clear" w:color="auto" w:fill="auto"/>
          </w:tcPr>
          <w:p w:rsidR="002B5C66" w:rsidRPr="0047440B" w:rsidRDefault="002B5C66" w:rsidP="002B5C66">
            <w:pPr>
              <w:jc w:val="both"/>
              <w:rPr>
                <w:rFonts w:eastAsia="Arial"/>
                <w:sz w:val="18"/>
                <w:szCs w:val="18"/>
              </w:rPr>
            </w:pPr>
            <w:r w:rsidRPr="0047440B">
              <w:rPr>
                <w:rFonts w:eastAsia="Arial"/>
                <w:sz w:val="18"/>
                <w:szCs w:val="18"/>
              </w:rPr>
              <w:t>легкого</w:t>
            </w:r>
          </w:p>
        </w:tc>
        <w:tc>
          <w:tcPr>
            <w:tcW w:w="1276" w:type="dxa"/>
            <w:shd w:val="clear" w:color="auto" w:fill="auto"/>
            <w:vAlign w:val="center"/>
          </w:tcPr>
          <w:p w:rsidR="002B5C66" w:rsidRPr="0047440B" w:rsidRDefault="00E34615" w:rsidP="00E34615">
            <w:pPr>
              <w:jc w:val="center"/>
              <w:rPr>
                <w:color w:val="000000"/>
                <w:sz w:val="18"/>
                <w:szCs w:val="18"/>
              </w:rPr>
            </w:pPr>
            <w:r w:rsidRPr="0047440B">
              <w:rPr>
                <w:color w:val="000000"/>
                <w:sz w:val="18"/>
                <w:szCs w:val="18"/>
              </w:rPr>
              <w:t>214</w:t>
            </w:r>
          </w:p>
        </w:tc>
        <w:tc>
          <w:tcPr>
            <w:tcW w:w="1276" w:type="dxa"/>
            <w:shd w:val="clear" w:color="auto" w:fill="auto"/>
            <w:vAlign w:val="center"/>
          </w:tcPr>
          <w:p w:rsidR="002B5C66" w:rsidRPr="0047440B" w:rsidRDefault="002B5C66" w:rsidP="002B5C66">
            <w:pPr>
              <w:jc w:val="center"/>
              <w:rPr>
                <w:color w:val="000000"/>
                <w:sz w:val="18"/>
                <w:szCs w:val="18"/>
              </w:rPr>
            </w:pPr>
            <w:r w:rsidRPr="0047440B">
              <w:rPr>
                <w:color w:val="000000"/>
                <w:sz w:val="18"/>
                <w:szCs w:val="18"/>
              </w:rPr>
              <w:t>70</w:t>
            </w:r>
          </w:p>
        </w:tc>
        <w:tc>
          <w:tcPr>
            <w:tcW w:w="1276" w:type="dxa"/>
            <w:shd w:val="clear" w:color="auto" w:fill="auto"/>
            <w:vAlign w:val="center"/>
          </w:tcPr>
          <w:p w:rsidR="002B5C66" w:rsidRPr="0047440B" w:rsidRDefault="002B5C66" w:rsidP="002B5C66">
            <w:pPr>
              <w:jc w:val="center"/>
              <w:rPr>
                <w:color w:val="000000"/>
                <w:sz w:val="18"/>
                <w:szCs w:val="18"/>
              </w:rPr>
            </w:pPr>
            <w:r w:rsidRPr="0047440B">
              <w:rPr>
                <w:color w:val="000000"/>
                <w:sz w:val="18"/>
                <w:szCs w:val="18"/>
              </w:rPr>
              <w:t>75</w:t>
            </w:r>
          </w:p>
        </w:tc>
        <w:tc>
          <w:tcPr>
            <w:tcW w:w="1077" w:type="dxa"/>
            <w:shd w:val="clear" w:color="auto" w:fill="auto"/>
            <w:vAlign w:val="center"/>
          </w:tcPr>
          <w:p w:rsidR="002B5C66" w:rsidRPr="0047440B" w:rsidRDefault="002B5C66" w:rsidP="002B5C66">
            <w:pPr>
              <w:jc w:val="center"/>
              <w:rPr>
                <w:color w:val="000000"/>
                <w:sz w:val="18"/>
                <w:szCs w:val="18"/>
              </w:rPr>
            </w:pPr>
            <w:r w:rsidRPr="0047440B">
              <w:rPr>
                <w:color w:val="000000"/>
                <w:sz w:val="18"/>
                <w:szCs w:val="18"/>
              </w:rPr>
              <w:t>56</w:t>
            </w:r>
          </w:p>
        </w:tc>
        <w:tc>
          <w:tcPr>
            <w:tcW w:w="1077" w:type="dxa"/>
            <w:shd w:val="clear" w:color="auto" w:fill="auto"/>
            <w:vAlign w:val="center"/>
          </w:tcPr>
          <w:p w:rsidR="002B5C66" w:rsidRPr="0047440B" w:rsidRDefault="002B5C66" w:rsidP="002B5C66">
            <w:pPr>
              <w:jc w:val="center"/>
              <w:rPr>
                <w:color w:val="000000"/>
                <w:sz w:val="18"/>
                <w:szCs w:val="18"/>
              </w:rPr>
            </w:pPr>
            <w:r w:rsidRPr="0047440B">
              <w:rPr>
                <w:color w:val="000000"/>
                <w:sz w:val="18"/>
                <w:szCs w:val="18"/>
              </w:rPr>
              <w:t>31</w:t>
            </w:r>
          </w:p>
        </w:tc>
        <w:tc>
          <w:tcPr>
            <w:tcW w:w="1077" w:type="dxa"/>
            <w:shd w:val="clear" w:color="auto" w:fill="auto"/>
            <w:vAlign w:val="center"/>
          </w:tcPr>
          <w:p w:rsidR="002B5C66" w:rsidRPr="0047440B" w:rsidRDefault="002B5C66" w:rsidP="002B5C66">
            <w:pPr>
              <w:jc w:val="center"/>
              <w:rPr>
                <w:color w:val="000000"/>
                <w:sz w:val="18"/>
                <w:szCs w:val="18"/>
              </w:rPr>
            </w:pPr>
            <w:r w:rsidRPr="0047440B">
              <w:rPr>
                <w:color w:val="000000"/>
                <w:sz w:val="18"/>
                <w:szCs w:val="18"/>
              </w:rPr>
              <w:t>20</w:t>
            </w:r>
          </w:p>
        </w:tc>
        <w:tc>
          <w:tcPr>
            <w:tcW w:w="1077" w:type="dxa"/>
            <w:shd w:val="clear" w:color="auto" w:fill="auto"/>
            <w:vAlign w:val="center"/>
          </w:tcPr>
          <w:p w:rsidR="002B5C66" w:rsidRPr="0047440B" w:rsidRDefault="002B5C66" w:rsidP="002B5C66">
            <w:pPr>
              <w:jc w:val="center"/>
              <w:rPr>
                <w:color w:val="000000"/>
                <w:sz w:val="18"/>
                <w:szCs w:val="18"/>
              </w:rPr>
            </w:pPr>
            <w:r w:rsidRPr="0047440B">
              <w:rPr>
                <w:color w:val="000000"/>
                <w:sz w:val="18"/>
                <w:szCs w:val="18"/>
              </w:rPr>
              <w:t>202</w:t>
            </w:r>
          </w:p>
        </w:tc>
        <w:tc>
          <w:tcPr>
            <w:tcW w:w="1077" w:type="dxa"/>
            <w:shd w:val="clear" w:color="auto" w:fill="auto"/>
            <w:vAlign w:val="center"/>
          </w:tcPr>
          <w:p w:rsidR="002B5C66" w:rsidRPr="0047440B" w:rsidRDefault="002B5C66" w:rsidP="002B5C66">
            <w:pPr>
              <w:jc w:val="center"/>
              <w:rPr>
                <w:color w:val="000000"/>
                <w:sz w:val="18"/>
                <w:szCs w:val="18"/>
              </w:rPr>
            </w:pPr>
            <w:r w:rsidRPr="0047440B">
              <w:rPr>
                <w:color w:val="000000"/>
                <w:sz w:val="18"/>
                <w:szCs w:val="18"/>
              </w:rPr>
              <w:t>202</w:t>
            </w:r>
          </w:p>
        </w:tc>
        <w:tc>
          <w:tcPr>
            <w:tcW w:w="1077" w:type="dxa"/>
            <w:shd w:val="clear" w:color="auto" w:fill="auto"/>
            <w:vAlign w:val="center"/>
          </w:tcPr>
          <w:p w:rsidR="002B5C66" w:rsidRPr="0047440B" w:rsidRDefault="002B5C66" w:rsidP="002B5C66">
            <w:pPr>
              <w:jc w:val="center"/>
              <w:rPr>
                <w:color w:val="000000"/>
                <w:sz w:val="18"/>
                <w:szCs w:val="18"/>
              </w:rPr>
            </w:pPr>
            <w:r w:rsidRPr="0047440B">
              <w:rPr>
                <w:color w:val="000000"/>
                <w:sz w:val="18"/>
                <w:szCs w:val="18"/>
              </w:rPr>
              <w:t>204</w:t>
            </w:r>
          </w:p>
        </w:tc>
        <w:tc>
          <w:tcPr>
            <w:tcW w:w="1020" w:type="dxa"/>
            <w:shd w:val="clear" w:color="auto" w:fill="auto"/>
            <w:vAlign w:val="center"/>
          </w:tcPr>
          <w:p w:rsidR="002B5C66" w:rsidRPr="0047440B" w:rsidRDefault="00C15BBD" w:rsidP="002B5C66">
            <w:pPr>
              <w:jc w:val="center"/>
              <w:rPr>
                <w:color w:val="000000"/>
                <w:sz w:val="18"/>
                <w:szCs w:val="18"/>
              </w:rPr>
            </w:pPr>
            <w:r w:rsidRPr="0047440B">
              <w:rPr>
                <w:color w:val="000000"/>
                <w:sz w:val="18"/>
                <w:szCs w:val="18"/>
              </w:rPr>
              <w:t>244</w:t>
            </w:r>
          </w:p>
        </w:tc>
      </w:tr>
      <w:tr w:rsidR="002B5C66" w:rsidRPr="0047440B" w:rsidTr="00C15BBD">
        <w:trPr>
          <w:trHeight w:val="20"/>
        </w:trPr>
        <w:tc>
          <w:tcPr>
            <w:tcW w:w="2830" w:type="dxa"/>
            <w:shd w:val="clear" w:color="auto" w:fill="auto"/>
          </w:tcPr>
          <w:p w:rsidR="002B5C66" w:rsidRPr="0047440B" w:rsidRDefault="002B5C66" w:rsidP="002B5C66">
            <w:pPr>
              <w:jc w:val="both"/>
              <w:rPr>
                <w:rFonts w:eastAsia="Arial"/>
                <w:sz w:val="18"/>
                <w:szCs w:val="18"/>
              </w:rPr>
            </w:pPr>
            <w:r w:rsidRPr="0047440B">
              <w:rPr>
                <w:rFonts w:eastAsia="Arial"/>
                <w:sz w:val="18"/>
                <w:szCs w:val="18"/>
              </w:rPr>
              <w:t>меланомы кожи</w:t>
            </w:r>
          </w:p>
        </w:tc>
        <w:tc>
          <w:tcPr>
            <w:tcW w:w="1276" w:type="dxa"/>
            <w:shd w:val="clear" w:color="auto" w:fill="auto"/>
          </w:tcPr>
          <w:p w:rsidR="002B5C66" w:rsidRPr="0047440B" w:rsidRDefault="002B5C66" w:rsidP="002B5C66">
            <w:pPr>
              <w:jc w:val="center"/>
              <w:rPr>
                <w:rFonts w:eastAsia="Arial"/>
                <w:sz w:val="18"/>
                <w:szCs w:val="18"/>
              </w:rPr>
            </w:pPr>
            <w:r w:rsidRPr="0047440B">
              <w:rPr>
                <w:rFonts w:eastAsia="Arial"/>
                <w:sz w:val="18"/>
                <w:szCs w:val="18"/>
              </w:rPr>
              <w:t>35</w:t>
            </w:r>
          </w:p>
        </w:tc>
        <w:tc>
          <w:tcPr>
            <w:tcW w:w="1276" w:type="dxa"/>
            <w:shd w:val="clear" w:color="auto" w:fill="auto"/>
          </w:tcPr>
          <w:p w:rsidR="002B5C66" w:rsidRPr="0047440B" w:rsidRDefault="002B5C66" w:rsidP="002B5C66">
            <w:pPr>
              <w:jc w:val="center"/>
              <w:rPr>
                <w:rFonts w:eastAsia="Arial"/>
                <w:sz w:val="18"/>
                <w:szCs w:val="18"/>
              </w:rPr>
            </w:pPr>
            <w:r w:rsidRPr="0047440B">
              <w:rPr>
                <w:rFonts w:eastAsia="Arial"/>
                <w:sz w:val="18"/>
                <w:szCs w:val="18"/>
              </w:rPr>
              <w:t>36</w:t>
            </w:r>
          </w:p>
        </w:tc>
        <w:tc>
          <w:tcPr>
            <w:tcW w:w="1276" w:type="dxa"/>
            <w:shd w:val="clear" w:color="auto" w:fill="auto"/>
          </w:tcPr>
          <w:p w:rsidR="002B5C66" w:rsidRPr="0047440B" w:rsidRDefault="002B5C66" w:rsidP="002B5C66">
            <w:pPr>
              <w:jc w:val="center"/>
              <w:rPr>
                <w:rFonts w:eastAsia="Arial"/>
                <w:sz w:val="18"/>
                <w:szCs w:val="18"/>
              </w:rPr>
            </w:pPr>
            <w:r w:rsidRPr="0047440B">
              <w:rPr>
                <w:rFonts w:eastAsia="Arial"/>
                <w:sz w:val="18"/>
                <w:szCs w:val="18"/>
              </w:rPr>
              <w:t>51</w:t>
            </w:r>
          </w:p>
        </w:tc>
        <w:tc>
          <w:tcPr>
            <w:tcW w:w="1077" w:type="dxa"/>
            <w:shd w:val="clear" w:color="auto" w:fill="auto"/>
          </w:tcPr>
          <w:p w:rsidR="002B5C66" w:rsidRPr="0047440B" w:rsidRDefault="002B5C66" w:rsidP="002B5C66">
            <w:pPr>
              <w:jc w:val="center"/>
              <w:rPr>
                <w:rFonts w:eastAsia="Arial"/>
                <w:sz w:val="18"/>
                <w:szCs w:val="18"/>
              </w:rPr>
            </w:pPr>
            <w:r w:rsidRPr="0047440B">
              <w:rPr>
                <w:rFonts w:eastAsia="Arial"/>
                <w:sz w:val="18"/>
                <w:szCs w:val="18"/>
              </w:rPr>
              <w:t>30</w:t>
            </w:r>
          </w:p>
        </w:tc>
        <w:tc>
          <w:tcPr>
            <w:tcW w:w="1077" w:type="dxa"/>
            <w:shd w:val="clear" w:color="auto" w:fill="auto"/>
          </w:tcPr>
          <w:p w:rsidR="002B5C66" w:rsidRPr="0047440B" w:rsidRDefault="002B5C66" w:rsidP="002B5C66">
            <w:pPr>
              <w:jc w:val="center"/>
              <w:rPr>
                <w:rFonts w:eastAsia="Arial"/>
                <w:sz w:val="18"/>
                <w:szCs w:val="18"/>
              </w:rPr>
            </w:pPr>
            <w:r w:rsidRPr="0047440B">
              <w:rPr>
                <w:rFonts w:eastAsia="Arial"/>
                <w:sz w:val="18"/>
                <w:szCs w:val="18"/>
              </w:rPr>
              <w:t>16</w:t>
            </w:r>
          </w:p>
        </w:tc>
        <w:tc>
          <w:tcPr>
            <w:tcW w:w="1077" w:type="dxa"/>
            <w:shd w:val="clear" w:color="auto" w:fill="auto"/>
          </w:tcPr>
          <w:p w:rsidR="002B5C66" w:rsidRPr="0047440B" w:rsidRDefault="002B5C66" w:rsidP="002B5C66">
            <w:pPr>
              <w:jc w:val="center"/>
              <w:rPr>
                <w:rFonts w:eastAsia="Arial"/>
                <w:sz w:val="18"/>
                <w:szCs w:val="18"/>
              </w:rPr>
            </w:pPr>
            <w:r w:rsidRPr="0047440B">
              <w:rPr>
                <w:rFonts w:eastAsia="Arial"/>
                <w:sz w:val="18"/>
                <w:szCs w:val="18"/>
              </w:rPr>
              <w:t>13</w:t>
            </w:r>
          </w:p>
        </w:tc>
        <w:tc>
          <w:tcPr>
            <w:tcW w:w="1077" w:type="dxa"/>
          </w:tcPr>
          <w:p w:rsidR="002B5C66" w:rsidRPr="0047440B" w:rsidRDefault="002B5C66" w:rsidP="002B5C66">
            <w:pPr>
              <w:jc w:val="center"/>
              <w:rPr>
                <w:rFonts w:eastAsia="Arial"/>
                <w:sz w:val="18"/>
                <w:szCs w:val="18"/>
              </w:rPr>
            </w:pPr>
            <w:r w:rsidRPr="0047440B">
              <w:rPr>
                <w:rFonts w:eastAsia="Arial"/>
                <w:sz w:val="18"/>
                <w:szCs w:val="18"/>
              </w:rPr>
              <w:t>33</w:t>
            </w:r>
          </w:p>
        </w:tc>
        <w:tc>
          <w:tcPr>
            <w:tcW w:w="1077" w:type="dxa"/>
          </w:tcPr>
          <w:p w:rsidR="002B5C66" w:rsidRPr="0047440B" w:rsidRDefault="002B5C66" w:rsidP="002B5C66">
            <w:pPr>
              <w:jc w:val="center"/>
              <w:rPr>
                <w:rFonts w:eastAsia="Arial"/>
                <w:sz w:val="18"/>
                <w:szCs w:val="18"/>
              </w:rPr>
            </w:pPr>
            <w:r w:rsidRPr="0047440B">
              <w:rPr>
                <w:rFonts w:eastAsia="Arial"/>
                <w:sz w:val="18"/>
                <w:szCs w:val="18"/>
              </w:rPr>
              <w:t>39</w:t>
            </w:r>
          </w:p>
        </w:tc>
        <w:tc>
          <w:tcPr>
            <w:tcW w:w="1077" w:type="dxa"/>
          </w:tcPr>
          <w:p w:rsidR="002B5C66" w:rsidRPr="0047440B" w:rsidRDefault="002B5C66" w:rsidP="002B5C66">
            <w:pPr>
              <w:jc w:val="center"/>
              <w:rPr>
                <w:rFonts w:eastAsia="Arial"/>
                <w:sz w:val="18"/>
                <w:szCs w:val="18"/>
              </w:rPr>
            </w:pPr>
            <w:r w:rsidRPr="0047440B">
              <w:rPr>
                <w:rFonts w:eastAsia="Arial"/>
                <w:sz w:val="18"/>
                <w:szCs w:val="18"/>
              </w:rPr>
              <w:t>49</w:t>
            </w:r>
          </w:p>
        </w:tc>
        <w:tc>
          <w:tcPr>
            <w:tcW w:w="1020" w:type="dxa"/>
          </w:tcPr>
          <w:p w:rsidR="002B5C66" w:rsidRPr="0047440B" w:rsidRDefault="00C15BBD" w:rsidP="002B5C66">
            <w:pPr>
              <w:jc w:val="center"/>
              <w:rPr>
                <w:rFonts w:eastAsia="Arial"/>
                <w:sz w:val="18"/>
                <w:szCs w:val="18"/>
              </w:rPr>
            </w:pPr>
            <w:r w:rsidRPr="0047440B">
              <w:rPr>
                <w:rFonts w:eastAsia="Arial"/>
                <w:sz w:val="18"/>
                <w:szCs w:val="18"/>
              </w:rPr>
              <w:t>25</w:t>
            </w:r>
          </w:p>
        </w:tc>
      </w:tr>
      <w:tr w:rsidR="002B5C66" w:rsidRPr="0047440B" w:rsidTr="00C15BBD">
        <w:trPr>
          <w:trHeight w:val="20"/>
        </w:trPr>
        <w:tc>
          <w:tcPr>
            <w:tcW w:w="2830" w:type="dxa"/>
            <w:shd w:val="clear" w:color="auto" w:fill="auto"/>
          </w:tcPr>
          <w:p w:rsidR="002B5C66" w:rsidRPr="0047440B" w:rsidRDefault="002B5C66" w:rsidP="002B5C66">
            <w:pPr>
              <w:jc w:val="both"/>
              <w:rPr>
                <w:rFonts w:eastAsia="Arial"/>
                <w:sz w:val="18"/>
                <w:szCs w:val="18"/>
              </w:rPr>
            </w:pPr>
            <w:r w:rsidRPr="0047440B">
              <w:rPr>
                <w:rFonts w:eastAsia="Arial"/>
                <w:sz w:val="18"/>
                <w:szCs w:val="18"/>
              </w:rPr>
              <w:t>кожи</w:t>
            </w:r>
          </w:p>
        </w:tc>
        <w:tc>
          <w:tcPr>
            <w:tcW w:w="1276" w:type="dxa"/>
            <w:shd w:val="clear" w:color="auto" w:fill="auto"/>
          </w:tcPr>
          <w:p w:rsidR="002B5C66" w:rsidRPr="0047440B" w:rsidRDefault="002B5C66" w:rsidP="002B5C66">
            <w:pPr>
              <w:jc w:val="center"/>
              <w:rPr>
                <w:rFonts w:eastAsia="Arial"/>
                <w:sz w:val="18"/>
                <w:szCs w:val="18"/>
              </w:rPr>
            </w:pPr>
            <w:r w:rsidRPr="0047440B">
              <w:rPr>
                <w:rFonts w:eastAsia="Arial"/>
                <w:sz w:val="18"/>
                <w:szCs w:val="18"/>
              </w:rPr>
              <w:t>331</w:t>
            </w:r>
          </w:p>
        </w:tc>
        <w:tc>
          <w:tcPr>
            <w:tcW w:w="1276" w:type="dxa"/>
            <w:shd w:val="clear" w:color="auto" w:fill="auto"/>
          </w:tcPr>
          <w:p w:rsidR="002B5C66" w:rsidRPr="0047440B" w:rsidRDefault="002B5C66" w:rsidP="002B5C66">
            <w:pPr>
              <w:jc w:val="center"/>
              <w:rPr>
                <w:rFonts w:eastAsia="Arial"/>
                <w:sz w:val="18"/>
                <w:szCs w:val="18"/>
              </w:rPr>
            </w:pPr>
            <w:r w:rsidRPr="0047440B">
              <w:rPr>
                <w:rFonts w:eastAsia="Arial"/>
                <w:sz w:val="18"/>
                <w:szCs w:val="18"/>
              </w:rPr>
              <w:t>459</w:t>
            </w:r>
          </w:p>
        </w:tc>
        <w:tc>
          <w:tcPr>
            <w:tcW w:w="1276" w:type="dxa"/>
            <w:shd w:val="clear" w:color="auto" w:fill="auto"/>
          </w:tcPr>
          <w:p w:rsidR="002B5C66" w:rsidRPr="0047440B" w:rsidRDefault="002B5C66" w:rsidP="002B5C66">
            <w:pPr>
              <w:jc w:val="center"/>
              <w:rPr>
                <w:rFonts w:eastAsia="Arial"/>
                <w:sz w:val="18"/>
                <w:szCs w:val="18"/>
              </w:rPr>
            </w:pPr>
            <w:r w:rsidRPr="0047440B">
              <w:rPr>
                <w:rFonts w:eastAsia="Arial"/>
                <w:sz w:val="18"/>
                <w:szCs w:val="18"/>
              </w:rPr>
              <w:t>608</w:t>
            </w:r>
          </w:p>
        </w:tc>
        <w:tc>
          <w:tcPr>
            <w:tcW w:w="1077" w:type="dxa"/>
            <w:shd w:val="clear" w:color="auto" w:fill="auto"/>
          </w:tcPr>
          <w:p w:rsidR="002B5C66" w:rsidRPr="0047440B" w:rsidRDefault="002B5C66" w:rsidP="002B5C66">
            <w:pPr>
              <w:jc w:val="center"/>
              <w:rPr>
                <w:rFonts w:eastAsia="Arial"/>
                <w:sz w:val="18"/>
                <w:szCs w:val="18"/>
              </w:rPr>
            </w:pPr>
            <w:r w:rsidRPr="0047440B">
              <w:rPr>
                <w:rFonts w:eastAsia="Arial"/>
                <w:sz w:val="18"/>
                <w:szCs w:val="18"/>
              </w:rPr>
              <w:t>386</w:t>
            </w:r>
          </w:p>
        </w:tc>
        <w:tc>
          <w:tcPr>
            <w:tcW w:w="1077" w:type="dxa"/>
            <w:shd w:val="clear" w:color="auto" w:fill="auto"/>
          </w:tcPr>
          <w:p w:rsidR="002B5C66" w:rsidRPr="0047440B" w:rsidRDefault="002B5C66" w:rsidP="002B5C66">
            <w:pPr>
              <w:jc w:val="center"/>
              <w:rPr>
                <w:rFonts w:eastAsia="Arial"/>
                <w:sz w:val="18"/>
                <w:szCs w:val="18"/>
              </w:rPr>
            </w:pPr>
            <w:r w:rsidRPr="0047440B">
              <w:rPr>
                <w:rFonts w:eastAsia="Arial"/>
                <w:sz w:val="18"/>
                <w:szCs w:val="18"/>
              </w:rPr>
              <w:t>213</w:t>
            </w:r>
          </w:p>
        </w:tc>
        <w:tc>
          <w:tcPr>
            <w:tcW w:w="1077" w:type="dxa"/>
            <w:shd w:val="clear" w:color="auto" w:fill="auto"/>
          </w:tcPr>
          <w:p w:rsidR="002B5C66" w:rsidRPr="0047440B" w:rsidRDefault="002B5C66" w:rsidP="002B5C66">
            <w:pPr>
              <w:jc w:val="center"/>
              <w:rPr>
                <w:rFonts w:eastAsia="Arial"/>
                <w:sz w:val="18"/>
                <w:szCs w:val="18"/>
              </w:rPr>
            </w:pPr>
            <w:r w:rsidRPr="0047440B">
              <w:rPr>
                <w:rFonts w:eastAsia="Arial"/>
                <w:sz w:val="18"/>
                <w:szCs w:val="18"/>
              </w:rPr>
              <w:t>160</w:t>
            </w:r>
          </w:p>
        </w:tc>
        <w:tc>
          <w:tcPr>
            <w:tcW w:w="1077" w:type="dxa"/>
          </w:tcPr>
          <w:p w:rsidR="002B5C66" w:rsidRPr="0047440B" w:rsidRDefault="002B5C66" w:rsidP="002B5C66">
            <w:pPr>
              <w:jc w:val="center"/>
              <w:rPr>
                <w:rFonts w:eastAsia="Arial"/>
                <w:sz w:val="18"/>
                <w:szCs w:val="18"/>
              </w:rPr>
            </w:pPr>
            <w:r w:rsidRPr="0047440B">
              <w:rPr>
                <w:rFonts w:eastAsia="Arial"/>
                <w:sz w:val="18"/>
                <w:szCs w:val="18"/>
              </w:rPr>
              <w:t>497</w:t>
            </w:r>
          </w:p>
        </w:tc>
        <w:tc>
          <w:tcPr>
            <w:tcW w:w="1077" w:type="dxa"/>
          </w:tcPr>
          <w:p w:rsidR="002B5C66" w:rsidRPr="0047440B" w:rsidRDefault="002B5C66" w:rsidP="002B5C66">
            <w:pPr>
              <w:jc w:val="center"/>
              <w:rPr>
                <w:rFonts w:eastAsia="Arial"/>
                <w:sz w:val="18"/>
                <w:szCs w:val="18"/>
              </w:rPr>
            </w:pPr>
            <w:r w:rsidRPr="0047440B">
              <w:rPr>
                <w:rFonts w:eastAsia="Arial"/>
                <w:sz w:val="18"/>
                <w:szCs w:val="18"/>
              </w:rPr>
              <w:t>339</w:t>
            </w:r>
          </w:p>
        </w:tc>
        <w:tc>
          <w:tcPr>
            <w:tcW w:w="1077" w:type="dxa"/>
          </w:tcPr>
          <w:p w:rsidR="002B5C66" w:rsidRPr="0047440B" w:rsidRDefault="002B5C66" w:rsidP="002B5C66">
            <w:pPr>
              <w:jc w:val="center"/>
              <w:rPr>
                <w:rFonts w:eastAsia="Arial"/>
                <w:sz w:val="18"/>
                <w:szCs w:val="18"/>
              </w:rPr>
            </w:pPr>
            <w:r w:rsidRPr="0047440B">
              <w:rPr>
                <w:rFonts w:eastAsia="Arial"/>
                <w:sz w:val="18"/>
                <w:szCs w:val="18"/>
              </w:rPr>
              <w:t>410</w:t>
            </w:r>
          </w:p>
        </w:tc>
        <w:tc>
          <w:tcPr>
            <w:tcW w:w="1020" w:type="dxa"/>
          </w:tcPr>
          <w:p w:rsidR="002B5C66" w:rsidRPr="0047440B" w:rsidRDefault="00C15BBD" w:rsidP="002B5C66">
            <w:pPr>
              <w:jc w:val="center"/>
              <w:rPr>
                <w:rFonts w:eastAsia="Arial"/>
                <w:sz w:val="18"/>
                <w:szCs w:val="18"/>
              </w:rPr>
            </w:pPr>
            <w:r w:rsidRPr="0047440B">
              <w:rPr>
                <w:rFonts w:eastAsia="Arial"/>
                <w:sz w:val="18"/>
                <w:szCs w:val="18"/>
              </w:rPr>
              <w:t>225</w:t>
            </w:r>
          </w:p>
        </w:tc>
      </w:tr>
      <w:tr w:rsidR="002B5C66" w:rsidRPr="0047440B" w:rsidTr="00C15BBD">
        <w:trPr>
          <w:trHeight w:val="20"/>
        </w:trPr>
        <w:tc>
          <w:tcPr>
            <w:tcW w:w="2830" w:type="dxa"/>
            <w:shd w:val="clear" w:color="auto" w:fill="auto"/>
          </w:tcPr>
          <w:p w:rsidR="002B5C66" w:rsidRPr="0047440B" w:rsidRDefault="002B5C66" w:rsidP="002B5C66">
            <w:pPr>
              <w:jc w:val="both"/>
              <w:rPr>
                <w:rFonts w:eastAsia="Arial"/>
                <w:sz w:val="18"/>
                <w:szCs w:val="18"/>
              </w:rPr>
            </w:pPr>
            <w:r w:rsidRPr="0047440B">
              <w:rPr>
                <w:rFonts w:eastAsia="Arial"/>
                <w:sz w:val="18"/>
                <w:szCs w:val="18"/>
              </w:rPr>
              <w:t>молочной железы</w:t>
            </w:r>
          </w:p>
        </w:tc>
        <w:tc>
          <w:tcPr>
            <w:tcW w:w="1276" w:type="dxa"/>
            <w:shd w:val="clear" w:color="auto" w:fill="auto"/>
          </w:tcPr>
          <w:p w:rsidR="002B5C66" w:rsidRPr="0047440B" w:rsidRDefault="002B5C66" w:rsidP="002B5C66">
            <w:pPr>
              <w:jc w:val="center"/>
              <w:rPr>
                <w:rFonts w:eastAsia="Arial"/>
                <w:sz w:val="18"/>
                <w:szCs w:val="18"/>
              </w:rPr>
            </w:pPr>
            <w:r w:rsidRPr="0047440B">
              <w:rPr>
                <w:rFonts w:eastAsia="Arial"/>
                <w:sz w:val="18"/>
                <w:szCs w:val="18"/>
              </w:rPr>
              <w:t>409</w:t>
            </w:r>
          </w:p>
        </w:tc>
        <w:tc>
          <w:tcPr>
            <w:tcW w:w="1276" w:type="dxa"/>
            <w:shd w:val="clear" w:color="auto" w:fill="auto"/>
          </w:tcPr>
          <w:p w:rsidR="002B5C66" w:rsidRPr="0047440B" w:rsidRDefault="002B5C66" w:rsidP="002B5C66">
            <w:pPr>
              <w:jc w:val="center"/>
              <w:rPr>
                <w:rFonts w:eastAsia="Arial"/>
                <w:sz w:val="18"/>
                <w:szCs w:val="18"/>
              </w:rPr>
            </w:pPr>
            <w:r w:rsidRPr="0047440B">
              <w:rPr>
                <w:rFonts w:eastAsia="Arial"/>
                <w:sz w:val="18"/>
                <w:szCs w:val="18"/>
              </w:rPr>
              <w:t>563</w:t>
            </w:r>
          </w:p>
        </w:tc>
        <w:tc>
          <w:tcPr>
            <w:tcW w:w="1276" w:type="dxa"/>
            <w:shd w:val="clear" w:color="auto" w:fill="auto"/>
          </w:tcPr>
          <w:p w:rsidR="002B5C66" w:rsidRPr="0047440B" w:rsidRDefault="002B5C66" w:rsidP="002B5C66">
            <w:pPr>
              <w:jc w:val="center"/>
              <w:rPr>
                <w:rFonts w:eastAsia="Arial"/>
                <w:sz w:val="18"/>
                <w:szCs w:val="18"/>
              </w:rPr>
            </w:pPr>
            <w:r w:rsidRPr="0047440B">
              <w:rPr>
                <w:rFonts w:eastAsia="Arial"/>
                <w:sz w:val="18"/>
                <w:szCs w:val="18"/>
              </w:rPr>
              <w:t>706</w:t>
            </w:r>
          </w:p>
        </w:tc>
        <w:tc>
          <w:tcPr>
            <w:tcW w:w="1077" w:type="dxa"/>
            <w:shd w:val="clear" w:color="auto" w:fill="auto"/>
          </w:tcPr>
          <w:p w:rsidR="002B5C66" w:rsidRPr="0047440B" w:rsidRDefault="002B5C66" w:rsidP="002B5C66">
            <w:pPr>
              <w:jc w:val="center"/>
              <w:rPr>
                <w:rFonts w:eastAsia="Arial"/>
                <w:sz w:val="18"/>
                <w:szCs w:val="18"/>
              </w:rPr>
            </w:pPr>
            <w:r w:rsidRPr="0047440B">
              <w:rPr>
                <w:rFonts w:eastAsia="Arial"/>
                <w:sz w:val="18"/>
                <w:szCs w:val="18"/>
              </w:rPr>
              <w:t>604</w:t>
            </w:r>
          </w:p>
        </w:tc>
        <w:tc>
          <w:tcPr>
            <w:tcW w:w="1077" w:type="dxa"/>
            <w:shd w:val="clear" w:color="auto" w:fill="auto"/>
          </w:tcPr>
          <w:p w:rsidR="002B5C66" w:rsidRPr="0047440B" w:rsidRDefault="002B5C66" w:rsidP="002B5C66">
            <w:pPr>
              <w:jc w:val="center"/>
              <w:rPr>
                <w:rFonts w:eastAsia="Arial"/>
                <w:sz w:val="18"/>
                <w:szCs w:val="18"/>
              </w:rPr>
            </w:pPr>
            <w:r w:rsidRPr="0047440B">
              <w:rPr>
                <w:rFonts w:eastAsia="Arial"/>
                <w:sz w:val="18"/>
                <w:szCs w:val="18"/>
              </w:rPr>
              <w:t>421</w:t>
            </w:r>
          </w:p>
        </w:tc>
        <w:tc>
          <w:tcPr>
            <w:tcW w:w="1077" w:type="dxa"/>
            <w:shd w:val="clear" w:color="auto" w:fill="auto"/>
          </w:tcPr>
          <w:p w:rsidR="002B5C66" w:rsidRPr="0047440B" w:rsidRDefault="002B5C66" w:rsidP="002B5C66">
            <w:pPr>
              <w:jc w:val="center"/>
              <w:rPr>
                <w:rFonts w:eastAsia="Arial"/>
                <w:sz w:val="18"/>
                <w:szCs w:val="18"/>
              </w:rPr>
            </w:pPr>
            <w:r w:rsidRPr="0047440B">
              <w:rPr>
                <w:rFonts w:eastAsia="Arial"/>
                <w:sz w:val="18"/>
                <w:szCs w:val="18"/>
              </w:rPr>
              <w:t>442</w:t>
            </w:r>
          </w:p>
        </w:tc>
        <w:tc>
          <w:tcPr>
            <w:tcW w:w="1077" w:type="dxa"/>
          </w:tcPr>
          <w:p w:rsidR="002B5C66" w:rsidRPr="0047440B" w:rsidRDefault="002B5C66" w:rsidP="002B5C66">
            <w:pPr>
              <w:jc w:val="center"/>
              <w:rPr>
                <w:rFonts w:eastAsia="Arial"/>
                <w:sz w:val="18"/>
                <w:szCs w:val="18"/>
              </w:rPr>
            </w:pPr>
            <w:r w:rsidRPr="0047440B">
              <w:rPr>
                <w:rFonts w:eastAsia="Arial"/>
                <w:sz w:val="18"/>
                <w:szCs w:val="18"/>
              </w:rPr>
              <w:t>676</w:t>
            </w:r>
          </w:p>
        </w:tc>
        <w:tc>
          <w:tcPr>
            <w:tcW w:w="1077" w:type="dxa"/>
          </w:tcPr>
          <w:p w:rsidR="002B5C66" w:rsidRPr="0047440B" w:rsidRDefault="002B5C66" w:rsidP="002B5C66">
            <w:pPr>
              <w:jc w:val="center"/>
              <w:rPr>
                <w:rFonts w:eastAsia="Arial"/>
                <w:sz w:val="18"/>
                <w:szCs w:val="18"/>
              </w:rPr>
            </w:pPr>
            <w:r w:rsidRPr="0047440B">
              <w:rPr>
                <w:rFonts w:eastAsia="Arial"/>
                <w:sz w:val="18"/>
                <w:szCs w:val="18"/>
              </w:rPr>
              <w:t>491</w:t>
            </w:r>
          </w:p>
        </w:tc>
        <w:tc>
          <w:tcPr>
            <w:tcW w:w="1077" w:type="dxa"/>
          </w:tcPr>
          <w:p w:rsidR="002B5C66" w:rsidRPr="0047440B" w:rsidRDefault="002B5C66" w:rsidP="002B5C66">
            <w:pPr>
              <w:jc w:val="center"/>
              <w:rPr>
                <w:rFonts w:eastAsia="Arial"/>
                <w:sz w:val="18"/>
                <w:szCs w:val="18"/>
              </w:rPr>
            </w:pPr>
            <w:r w:rsidRPr="0047440B">
              <w:rPr>
                <w:rFonts w:eastAsia="Arial"/>
                <w:sz w:val="18"/>
                <w:szCs w:val="18"/>
              </w:rPr>
              <w:t>660</w:t>
            </w:r>
          </w:p>
        </w:tc>
        <w:tc>
          <w:tcPr>
            <w:tcW w:w="1020" w:type="dxa"/>
          </w:tcPr>
          <w:p w:rsidR="002B5C66" w:rsidRPr="0047440B" w:rsidRDefault="00C15BBD" w:rsidP="002B5C66">
            <w:pPr>
              <w:jc w:val="center"/>
              <w:rPr>
                <w:rFonts w:eastAsia="Arial"/>
                <w:sz w:val="18"/>
                <w:szCs w:val="18"/>
              </w:rPr>
            </w:pPr>
            <w:r w:rsidRPr="0047440B">
              <w:rPr>
                <w:rFonts w:eastAsia="Arial"/>
                <w:sz w:val="18"/>
                <w:szCs w:val="18"/>
              </w:rPr>
              <w:t>539</w:t>
            </w:r>
          </w:p>
        </w:tc>
      </w:tr>
      <w:tr w:rsidR="002B5C66" w:rsidRPr="0047440B" w:rsidTr="00C15BBD">
        <w:trPr>
          <w:trHeight w:val="20"/>
        </w:trPr>
        <w:tc>
          <w:tcPr>
            <w:tcW w:w="2830" w:type="dxa"/>
            <w:shd w:val="clear" w:color="auto" w:fill="auto"/>
          </w:tcPr>
          <w:p w:rsidR="002B5C66" w:rsidRPr="0047440B" w:rsidRDefault="002B5C66" w:rsidP="002B5C66">
            <w:pPr>
              <w:jc w:val="both"/>
              <w:rPr>
                <w:rFonts w:eastAsia="Arial"/>
                <w:sz w:val="18"/>
                <w:szCs w:val="18"/>
              </w:rPr>
            </w:pPr>
            <w:r w:rsidRPr="0047440B">
              <w:rPr>
                <w:rFonts w:eastAsia="Arial"/>
                <w:sz w:val="18"/>
                <w:szCs w:val="18"/>
              </w:rPr>
              <w:t>шейки матки</w:t>
            </w:r>
          </w:p>
        </w:tc>
        <w:tc>
          <w:tcPr>
            <w:tcW w:w="1276" w:type="dxa"/>
            <w:shd w:val="clear" w:color="auto" w:fill="auto"/>
          </w:tcPr>
          <w:p w:rsidR="002B5C66" w:rsidRPr="0047440B" w:rsidRDefault="002B5C66" w:rsidP="002B5C66">
            <w:pPr>
              <w:jc w:val="center"/>
              <w:rPr>
                <w:rFonts w:eastAsia="Arial"/>
                <w:sz w:val="18"/>
                <w:szCs w:val="18"/>
              </w:rPr>
            </w:pPr>
            <w:r w:rsidRPr="0047440B">
              <w:rPr>
                <w:rFonts w:eastAsia="Arial"/>
                <w:sz w:val="18"/>
                <w:szCs w:val="18"/>
              </w:rPr>
              <w:t>88</w:t>
            </w:r>
          </w:p>
        </w:tc>
        <w:tc>
          <w:tcPr>
            <w:tcW w:w="1276" w:type="dxa"/>
            <w:shd w:val="clear" w:color="auto" w:fill="auto"/>
          </w:tcPr>
          <w:p w:rsidR="002B5C66" w:rsidRPr="0047440B" w:rsidRDefault="002B5C66" w:rsidP="002B5C66">
            <w:pPr>
              <w:jc w:val="center"/>
              <w:rPr>
                <w:rFonts w:eastAsia="Arial"/>
                <w:sz w:val="18"/>
                <w:szCs w:val="18"/>
              </w:rPr>
            </w:pPr>
            <w:r w:rsidRPr="0047440B">
              <w:rPr>
                <w:rFonts w:eastAsia="Arial"/>
                <w:sz w:val="18"/>
                <w:szCs w:val="18"/>
              </w:rPr>
              <w:t>134</w:t>
            </w:r>
          </w:p>
        </w:tc>
        <w:tc>
          <w:tcPr>
            <w:tcW w:w="1276" w:type="dxa"/>
            <w:shd w:val="clear" w:color="auto" w:fill="auto"/>
          </w:tcPr>
          <w:p w:rsidR="002B5C66" w:rsidRPr="0047440B" w:rsidRDefault="002B5C66" w:rsidP="002B5C66">
            <w:pPr>
              <w:jc w:val="center"/>
              <w:rPr>
                <w:rFonts w:eastAsia="Arial"/>
                <w:sz w:val="18"/>
                <w:szCs w:val="18"/>
              </w:rPr>
            </w:pPr>
            <w:r w:rsidRPr="0047440B">
              <w:rPr>
                <w:rFonts w:eastAsia="Arial"/>
                <w:sz w:val="18"/>
                <w:szCs w:val="18"/>
              </w:rPr>
              <w:t>180</w:t>
            </w:r>
          </w:p>
        </w:tc>
        <w:tc>
          <w:tcPr>
            <w:tcW w:w="1077" w:type="dxa"/>
            <w:shd w:val="clear" w:color="auto" w:fill="auto"/>
          </w:tcPr>
          <w:p w:rsidR="002B5C66" w:rsidRPr="0047440B" w:rsidRDefault="002B5C66" w:rsidP="002B5C66">
            <w:pPr>
              <w:jc w:val="center"/>
              <w:rPr>
                <w:rFonts w:eastAsia="Arial"/>
                <w:sz w:val="18"/>
                <w:szCs w:val="18"/>
              </w:rPr>
            </w:pPr>
            <w:r w:rsidRPr="0047440B">
              <w:rPr>
                <w:rFonts w:eastAsia="Arial"/>
                <w:sz w:val="18"/>
                <w:szCs w:val="18"/>
              </w:rPr>
              <w:t>123</w:t>
            </w:r>
          </w:p>
        </w:tc>
        <w:tc>
          <w:tcPr>
            <w:tcW w:w="1077" w:type="dxa"/>
            <w:shd w:val="clear" w:color="auto" w:fill="auto"/>
          </w:tcPr>
          <w:p w:rsidR="002B5C66" w:rsidRPr="0047440B" w:rsidRDefault="002B5C66" w:rsidP="002B5C66">
            <w:pPr>
              <w:jc w:val="center"/>
              <w:rPr>
                <w:rFonts w:eastAsia="Arial"/>
                <w:sz w:val="18"/>
                <w:szCs w:val="18"/>
              </w:rPr>
            </w:pPr>
            <w:r w:rsidRPr="0047440B">
              <w:rPr>
                <w:rFonts w:eastAsia="Arial"/>
                <w:sz w:val="18"/>
                <w:szCs w:val="18"/>
              </w:rPr>
              <w:t>87</w:t>
            </w:r>
          </w:p>
        </w:tc>
        <w:tc>
          <w:tcPr>
            <w:tcW w:w="1077" w:type="dxa"/>
            <w:shd w:val="clear" w:color="auto" w:fill="auto"/>
          </w:tcPr>
          <w:p w:rsidR="002B5C66" w:rsidRPr="0047440B" w:rsidRDefault="002B5C66" w:rsidP="002B5C66">
            <w:pPr>
              <w:jc w:val="center"/>
              <w:rPr>
                <w:rFonts w:eastAsia="Arial"/>
                <w:sz w:val="18"/>
                <w:szCs w:val="18"/>
              </w:rPr>
            </w:pPr>
            <w:r w:rsidRPr="0047440B">
              <w:rPr>
                <w:rFonts w:eastAsia="Arial"/>
                <w:sz w:val="18"/>
                <w:szCs w:val="18"/>
              </w:rPr>
              <w:t>88</w:t>
            </w:r>
          </w:p>
        </w:tc>
        <w:tc>
          <w:tcPr>
            <w:tcW w:w="1077" w:type="dxa"/>
          </w:tcPr>
          <w:p w:rsidR="002B5C66" w:rsidRPr="0047440B" w:rsidRDefault="002B5C66" w:rsidP="002B5C66">
            <w:pPr>
              <w:jc w:val="center"/>
              <w:rPr>
                <w:rFonts w:eastAsia="Arial"/>
                <w:sz w:val="18"/>
                <w:szCs w:val="18"/>
              </w:rPr>
            </w:pPr>
            <w:r w:rsidRPr="0047440B">
              <w:rPr>
                <w:rFonts w:eastAsia="Arial"/>
                <w:sz w:val="18"/>
                <w:szCs w:val="18"/>
              </w:rPr>
              <w:t>135</w:t>
            </w:r>
          </w:p>
        </w:tc>
        <w:tc>
          <w:tcPr>
            <w:tcW w:w="1077" w:type="dxa"/>
          </w:tcPr>
          <w:p w:rsidR="002B5C66" w:rsidRPr="0047440B" w:rsidRDefault="002B5C66" w:rsidP="002B5C66">
            <w:pPr>
              <w:jc w:val="center"/>
              <w:rPr>
                <w:rFonts w:eastAsia="Arial"/>
                <w:sz w:val="18"/>
                <w:szCs w:val="18"/>
              </w:rPr>
            </w:pPr>
            <w:r w:rsidRPr="0047440B">
              <w:rPr>
                <w:rFonts w:eastAsia="Arial"/>
                <w:sz w:val="18"/>
                <w:szCs w:val="18"/>
              </w:rPr>
              <w:t>63</w:t>
            </w:r>
          </w:p>
        </w:tc>
        <w:tc>
          <w:tcPr>
            <w:tcW w:w="1077" w:type="dxa"/>
          </w:tcPr>
          <w:p w:rsidR="002B5C66" w:rsidRPr="0047440B" w:rsidRDefault="002B5C66" w:rsidP="002B5C66">
            <w:pPr>
              <w:jc w:val="center"/>
              <w:rPr>
                <w:rFonts w:eastAsia="Arial"/>
                <w:sz w:val="18"/>
                <w:szCs w:val="18"/>
              </w:rPr>
            </w:pPr>
            <w:r w:rsidRPr="0047440B">
              <w:rPr>
                <w:rFonts w:eastAsia="Arial"/>
                <w:sz w:val="18"/>
                <w:szCs w:val="18"/>
              </w:rPr>
              <w:t>104</w:t>
            </w:r>
          </w:p>
        </w:tc>
        <w:tc>
          <w:tcPr>
            <w:tcW w:w="1020" w:type="dxa"/>
          </w:tcPr>
          <w:p w:rsidR="002B5C66" w:rsidRPr="0047440B" w:rsidRDefault="00C15BBD" w:rsidP="002B5C66">
            <w:pPr>
              <w:jc w:val="center"/>
              <w:rPr>
                <w:rFonts w:eastAsia="Arial"/>
                <w:sz w:val="18"/>
                <w:szCs w:val="18"/>
              </w:rPr>
            </w:pPr>
            <w:r w:rsidRPr="0047440B">
              <w:rPr>
                <w:rFonts w:eastAsia="Arial"/>
                <w:sz w:val="18"/>
                <w:szCs w:val="18"/>
              </w:rPr>
              <w:t>176</w:t>
            </w:r>
          </w:p>
        </w:tc>
      </w:tr>
      <w:tr w:rsidR="002B5C66" w:rsidRPr="0047440B" w:rsidTr="00C15BBD">
        <w:trPr>
          <w:trHeight w:val="20"/>
        </w:trPr>
        <w:tc>
          <w:tcPr>
            <w:tcW w:w="2830" w:type="dxa"/>
            <w:shd w:val="clear" w:color="auto" w:fill="auto"/>
          </w:tcPr>
          <w:p w:rsidR="002B5C66" w:rsidRPr="0047440B" w:rsidRDefault="002B5C66" w:rsidP="002B5C66">
            <w:pPr>
              <w:jc w:val="both"/>
              <w:rPr>
                <w:rFonts w:eastAsia="Arial"/>
                <w:sz w:val="18"/>
                <w:szCs w:val="18"/>
              </w:rPr>
            </w:pPr>
            <w:r w:rsidRPr="0047440B">
              <w:rPr>
                <w:rFonts w:eastAsia="Arial"/>
                <w:sz w:val="18"/>
                <w:szCs w:val="18"/>
              </w:rPr>
              <w:t>предстательной железы</w:t>
            </w:r>
          </w:p>
        </w:tc>
        <w:tc>
          <w:tcPr>
            <w:tcW w:w="1276" w:type="dxa"/>
            <w:shd w:val="clear" w:color="auto" w:fill="auto"/>
          </w:tcPr>
          <w:p w:rsidR="002B5C66" w:rsidRPr="0047440B" w:rsidRDefault="002B5C66" w:rsidP="002B5C66">
            <w:pPr>
              <w:jc w:val="center"/>
              <w:rPr>
                <w:rFonts w:eastAsia="Arial"/>
                <w:sz w:val="18"/>
                <w:szCs w:val="18"/>
              </w:rPr>
            </w:pPr>
            <w:r w:rsidRPr="0047440B">
              <w:rPr>
                <w:rFonts w:eastAsia="Arial"/>
                <w:sz w:val="18"/>
                <w:szCs w:val="18"/>
              </w:rPr>
              <w:t>423</w:t>
            </w:r>
          </w:p>
        </w:tc>
        <w:tc>
          <w:tcPr>
            <w:tcW w:w="1276" w:type="dxa"/>
            <w:shd w:val="clear" w:color="auto" w:fill="auto"/>
          </w:tcPr>
          <w:p w:rsidR="002B5C66" w:rsidRPr="0047440B" w:rsidRDefault="002B5C66" w:rsidP="002B5C66">
            <w:pPr>
              <w:jc w:val="center"/>
              <w:rPr>
                <w:rFonts w:eastAsia="Arial"/>
                <w:sz w:val="18"/>
                <w:szCs w:val="18"/>
              </w:rPr>
            </w:pPr>
            <w:r w:rsidRPr="0047440B">
              <w:rPr>
                <w:rFonts w:eastAsia="Arial"/>
                <w:sz w:val="18"/>
                <w:szCs w:val="18"/>
              </w:rPr>
              <w:t>557</w:t>
            </w:r>
          </w:p>
        </w:tc>
        <w:tc>
          <w:tcPr>
            <w:tcW w:w="1276" w:type="dxa"/>
            <w:shd w:val="clear" w:color="auto" w:fill="auto"/>
          </w:tcPr>
          <w:p w:rsidR="002B5C66" w:rsidRPr="0047440B" w:rsidRDefault="002B5C66" w:rsidP="002B5C66">
            <w:pPr>
              <w:jc w:val="center"/>
              <w:rPr>
                <w:rFonts w:eastAsia="Arial"/>
                <w:sz w:val="18"/>
                <w:szCs w:val="18"/>
              </w:rPr>
            </w:pPr>
            <w:r w:rsidRPr="0047440B">
              <w:rPr>
                <w:rFonts w:eastAsia="Arial"/>
                <w:sz w:val="18"/>
                <w:szCs w:val="18"/>
              </w:rPr>
              <w:t>308</w:t>
            </w:r>
          </w:p>
        </w:tc>
        <w:tc>
          <w:tcPr>
            <w:tcW w:w="1077" w:type="dxa"/>
            <w:shd w:val="clear" w:color="auto" w:fill="auto"/>
          </w:tcPr>
          <w:p w:rsidR="002B5C66" w:rsidRPr="0047440B" w:rsidRDefault="002B5C66" w:rsidP="002B5C66">
            <w:pPr>
              <w:jc w:val="center"/>
              <w:rPr>
                <w:rFonts w:eastAsia="Arial"/>
                <w:sz w:val="18"/>
                <w:szCs w:val="18"/>
              </w:rPr>
            </w:pPr>
            <w:r w:rsidRPr="0047440B">
              <w:rPr>
                <w:rFonts w:eastAsia="Arial"/>
                <w:sz w:val="18"/>
                <w:szCs w:val="18"/>
              </w:rPr>
              <w:t>185</w:t>
            </w:r>
          </w:p>
        </w:tc>
        <w:tc>
          <w:tcPr>
            <w:tcW w:w="1077" w:type="dxa"/>
            <w:shd w:val="clear" w:color="auto" w:fill="auto"/>
          </w:tcPr>
          <w:p w:rsidR="002B5C66" w:rsidRPr="0047440B" w:rsidRDefault="002B5C66" w:rsidP="002B5C66">
            <w:pPr>
              <w:jc w:val="center"/>
              <w:rPr>
                <w:rFonts w:eastAsia="Arial"/>
                <w:sz w:val="18"/>
                <w:szCs w:val="18"/>
              </w:rPr>
            </w:pPr>
            <w:r w:rsidRPr="0047440B">
              <w:rPr>
                <w:rFonts w:eastAsia="Arial"/>
                <w:sz w:val="18"/>
                <w:szCs w:val="18"/>
              </w:rPr>
              <w:t>114</w:t>
            </w:r>
          </w:p>
        </w:tc>
        <w:tc>
          <w:tcPr>
            <w:tcW w:w="1077" w:type="dxa"/>
            <w:shd w:val="clear" w:color="auto" w:fill="auto"/>
          </w:tcPr>
          <w:p w:rsidR="002B5C66" w:rsidRPr="0047440B" w:rsidRDefault="002B5C66" w:rsidP="002B5C66">
            <w:pPr>
              <w:jc w:val="center"/>
              <w:rPr>
                <w:rFonts w:eastAsia="Arial"/>
                <w:sz w:val="18"/>
                <w:szCs w:val="18"/>
              </w:rPr>
            </w:pPr>
            <w:r w:rsidRPr="0047440B">
              <w:rPr>
                <w:rFonts w:eastAsia="Arial"/>
                <w:sz w:val="18"/>
                <w:szCs w:val="18"/>
              </w:rPr>
              <w:t>83</w:t>
            </w:r>
          </w:p>
        </w:tc>
        <w:tc>
          <w:tcPr>
            <w:tcW w:w="1077" w:type="dxa"/>
          </w:tcPr>
          <w:p w:rsidR="002B5C66" w:rsidRPr="0047440B" w:rsidRDefault="002B5C66" w:rsidP="002B5C66">
            <w:pPr>
              <w:jc w:val="center"/>
              <w:rPr>
                <w:rFonts w:eastAsia="Arial"/>
                <w:sz w:val="18"/>
                <w:szCs w:val="18"/>
              </w:rPr>
            </w:pPr>
            <w:r w:rsidRPr="0047440B">
              <w:rPr>
                <w:rFonts w:eastAsia="Arial"/>
                <w:sz w:val="18"/>
                <w:szCs w:val="18"/>
              </w:rPr>
              <w:t>349</w:t>
            </w:r>
          </w:p>
        </w:tc>
        <w:tc>
          <w:tcPr>
            <w:tcW w:w="1077" w:type="dxa"/>
          </w:tcPr>
          <w:p w:rsidR="002B5C66" w:rsidRPr="0047440B" w:rsidRDefault="002B5C66" w:rsidP="002B5C66">
            <w:pPr>
              <w:jc w:val="center"/>
              <w:rPr>
                <w:rFonts w:eastAsia="Arial"/>
                <w:sz w:val="18"/>
                <w:szCs w:val="18"/>
              </w:rPr>
            </w:pPr>
            <w:r w:rsidRPr="0047440B">
              <w:rPr>
                <w:rFonts w:eastAsia="Arial"/>
                <w:sz w:val="18"/>
                <w:szCs w:val="18"/>
              </w:rPr>
              <w:t>223</w:t>
            </w:r>
          </w:p>
        </w:tc>
        <w:tc>
          <w:tcPr>
            <w:tcW w:w="1077" w:type="dxa"/>
          </w:tcPr>
          <w:p w:rsidR="002B5C66" w:rsidRPr="0047440B" w:rsidRDefault="002B5C66" w:rsidP="002B5C66">
            <w:pPr>
              <w:jc w:val="center"/>
              <w:rPr>
                <w:rFonts w:eastAsia="Arial"/>
                <w:sz w:val="18"/>
                <w:szCs w:val="18"/>
              </w:rPr>
            </w:pPr>
            <w:r w:rsidRPr="0047440B">
              <w:rPr>
                <w:rFonts w:eastAsia="Arial"/>
                <w:sz w:val="18"/>
                <w:szCs w:val="18"/>
              </w:rPr>
              <w:t>270</w:t>
            </w:r>
          </w:p>
        </w:tc>
        <w:tc>
          <w:tcPr>
            <w:tcW w:w="1020" w:type="dxa"/>
          </w:tcPr>
          <w:p w:rsidR="002B5C66" w:rsidRPr="0047440B" w:rsidRDefault="00F43272" w:rsidP="002B5C66">
            <w:pPr>
              <w:jc w:val="center"/>
              <w:rPr>
                <w:rFonts w:eastAsia="Arial"/>
                <w:sz w:val="18"/>
                <w:szCs w:val="18"/>
              </w:rPr>
            </w:pPr>
            <w:r w:rsidRPr="0047440B">
              <w:rPr>
                <w:rFonts w:eastAsia="Arial"/>
                <w:sz w:val="18"/>
                <w:szCs w:val="18"/>
              </w:rPr>
              <w:t>384</w:t>
            </w:r>
          </w:p>
        </w:tc>
      </w:tr>
      <w:tr w:rsidR="002B5C66" w:rsidRPr="0047440B" w:rsidTr="00C15BBD">
        <w:trPr>
          <w:trHeight w:val="20"/>
        </w:trPr>
        <w:tc>
          <w:tcPr>
            <w:tcW w:w="2830" w:type="dxa"/>
            <w:shd w:val="clear" w:color="auto" w:fill="auto"/>
          </w:tcPr>
          <w:p w:rsidR="002B5C66" w:rsidRPr="0047440B" w:rsidRDefault="002B5C66" w:rsidP="002B5C66">
            <w:pPr>
              <w:jc w:val="both"/>
              <w:rPr>
                <w:rFonts w:eastAsia="Arial"/>
                <w:sz w:val="18"/>
                <w:szCs w:val="18"/>
              </w:rPr>
            </w:pPr>
            <w:r w:rsidRPr="0047440B">
              <w:rPr>
                <w:rFonts w:eastAsia="Arial"/>
                <w:sz w:val="18"/>
                <w:szCs w:val="18"/>
              </w:rPr>
              <w:t>щитовидной железы</w:t>
            </w:r>
          </w:p>
        </w:tc>
        <w:tc>
          <w:tcPr>
            <w:tcW w:w="1276" w:type="dxa"/>
            <w:shd w:val="clear" w:color="auto" w:fill="auto"/>
          </w:tcPr>
          <w:p w:rsidR="002B5C66" w:rsidRPr="0047440B" w:rsidRDefault="002B5C66" w:rsidP="002B5C66">
            <w:pPr>
              <w:jc w:val="center"/>
              <w:rPr>
                <w:rFonts w:eastAsia="Arial"/>
                <w:sz w:val="18"/>
                <w:szCs w:val="18"/>
              </w:rPr>
            </w:pPr>
            <w:r w:rsidRPr="0047440B">
              <w:rPr>
                <w:rFonts w:eastAsia="Arial"/>
                <w:sz w:val="18"/>
                <w:szCs w:val="18"/>
              </w:rPr>
              <w:t>36</w:t>
            </w:r>
          </w:p>
        </w:tc>
        <w:tc>
          <w:tcPr>
            <w:tcW w:w="1276" w:type="dxa"/>
            <w:shd w:val="clear" w:color="auto" w:fill="auto"/>
          </w:tcPr>
          <w:p w:rsidR="002B5C66" w:rsidRPr="0047440B" w:rsidRDefault="002B5C66" w:rsidP="002B5C66">
            <w:pPr>
              <w:jc w:val="center"/>
              <w:rPr>
                <w:rFonts w:eastAsia="Arial"/>
                <w:sz w:val="18"/>
                <w:szCs w:val="18"/>
              </w:rPr>
            </w:pPr>
            <w:r w:rsidRPr="0047440B">
              <w:rPr>
                <w:rFonts w:eastAsia="Arial"/>
                <w:sz w:val="18"/>
                <w:szCs w:val="18"/>
              </w:rPr>
              <w:t>44</w:t>
            </w:r>
          </w:p>
        </w:tc>
        <w:tc>
          <w:tcPr>
            <w:tcW w:w="1276" w:type="dxa"/>
            <w:shd w:val="clear" w:color="auto" w:fill="auto"/>
          </w:tcPr>
          <w:p w:rsidR="002B5C66" w:rsidRPr="0047440B" w:rsidRDefault="002B5C66" w:rsidP="002B5C66">
            <w:pPr>
              <w:jc w:val="center"/>
              <w:rPr>
                <w:rFonts w:eastAsia="Arial"/>
                <w:sz w:val="18"/>
                <w:szCs w:val="18"/>
              </w:rPr>
            </w:pPr>
            <w:r w:rsidRPr="0047440B">
              <w:rPr>
                <w:rFonts w:eastAsia="Arial"/>
                <w:sz w:val="18"/>
                <w:szCs w:val="18"/>
              </w:rPr>
              <w:t>87</w:t>
            </w:r>
          </w:p>
        </w:tc>
        <w:tc>
          <w:tcPr>
            <w:tcW w:w="1077" w:type="dxa"/>
            <w:shd w:val="clear" w:color="auto" w:fill="auto"/>
          </w:tcPr>
          <w:p w:rsidR="002B5C66" w:rsidRPr="0047440B" w:rsidRDefault="002B5C66" w:rsidP="002B5C66">
            <w:pPr>
              <w:jc w:val="center"/>
              <w:rPr>
                <w:rFonts w:eastAsia="Arial"/>
                <w:sz w:val="18"/>
                <w:szCs w:val="18"/>
              </w:rPr>
            </w:pPr>
            <w:r w:rsidRPr="0047440B">
              <w:rPr>
                <w:rFonts w:eastAsia="Arial"/>
                <w:sz w:val="18"/>
                <w:szCs w:val="18"/>
              </w:rPr>
              <w:t>78</w:t>
            </w:r>
          </w:p>
        </w:tc>
        <w:tc>
          <w:tcPr>
            <w:tcW w:w="1077" w:type="dxa"/>
            <w:shd w:val="clear" w:color="auto" w:fill="auto"/>
          </w:tcPr>
          <w:p w:rsidR="002B5C66" w:rsidRPr="0047440B" w:rsidRDefault="002B5C66" w:rsidP="002B5C66">
            <w:pPr>
              <w:jc w:val="center"/>
              <w:rPr>
                <w:rFonts w:eastAsia="Arial"/>
                <w:sz w:val="18"/>
                <w:szCs w:val="18"/>
              </w:rPr>
            </w:pPr>
            <w:r w:rsidRPr="0047440B">
              <w:rPr>
                <w:rFonts w:eastAsia="Arial"/>
                <w:sz w:val="18"/>
                <w:szCs w:val="18"/>
              </w:rPr>
              <w:t>31</w:t>
            </w:r>
          </w:p>
        </w:tc>
        <w:tc>
          <w:tcPr>
            <w:tcW w:w="1077" w:type="dxa"/>
            <w:shd w:val="clear" w:color="auto" w:fill="auto"/>
          </w:tcPr>
          <w:p w:rsidR="002B5C66" w:rsidRPr="0047440B" w:rsidRDefault="002B5C66" w:rsidP="002B5C66">
            <w:pPr>
              <w:jc w:val="center"/>
              <w:rPr>
                <w:rFonts w:eastAsia="Arial"/>
                <w:sz w:val="18"/>
                <w:szCs w:val="18"/>
              </w:rPr>
            </w:pPr>
            <w:r w:rsidRPr="0047440B">
              <w:rPr>
                <w:rFonts w:eastAsia="Arial"/>
                <w:sz w:val="18"/>
                <w:szCs w:val="18"/>
              </w:rPr>
              <w:t>22</w:t>
            </w:r>
          </w:p>
        </w:tc>
        <w:tc>
          <w:tcPr>
            <w:tcW w:w="1077" w:type="dxa"/>
          </w:tcPr>
          <w:p w:rsidR="002B5C66" w:rsidRPr="0047440B" w:rsidRDefault="002B5C66" w:rsidP="002B5C66">
            <w:pPr>
              <w:jc w:val="center"/>
              <w:rPr>
                <w:rFonts w:eastAsia="Arial"/>
                <w:sz w:val="18"/>
                <w:szCs w:val="18"/>
              </w:rPr>
            </w:pPr>
            <w:r w:rsidRPr="0047440B">
              <w:rPr>
                <w:rFonts w:eastAsia="Arial"/>
                <w:sz w:val="18"/>
                <w:szCs w:val="18"/>
              </w:rPr>
              <w:t>76</w:t>
            </w:r>
          </w:p>
        </w:tc>
        <w:tc>
          <w:tcPr>
            <w:tcW w:w="1077" w:type="dxa"/>
          </w:tcPr>
          <w:p w:rsidR="002B5C66" w:rsidRPr="0047440B" w:rsidRDefault="002B5C66" w:rsidP="002B5C66">
            <w:pPr>
              <w:jc w:val="center"/>
              <w:rPr>
                <w:rFonts w:eastAsia="Arial"/>
                <w:sz w:val="18"/>
                <w:szCs w:val="18"/>
              </w:rPr>
            </w:pPr>
            <w:r w:rsidRPr="0047440B">
              <w:rPr>
                <w:rFonts w:eastAsia="Arial"/>
                <w:sz w:val="18"/>
                <w:szCs w:val="18"/>
              </w:rPr>
              <w:t>66</w:t>
            </w:r>
          </w:p>
        </w:tc>
        <w:tc>
          <w:tcPr>
            <w:tcW w:w="1077" w:type="dxa"/>
          </w:tcPr>
          <w:p w:rsidR="002B5C66" w:rsidRPr="0047440B" w:rsidRDefault="002B5C66" w:rsidP="002B5C66">
            <w:pPr>
              <w:jc w:val="center"/>
              <w:rPr>
                <w:rFonts w:eastAsia="Arial"/>
                <w:sz w:val="18"/>
                <w:szCs w:val="18"/>
              </w:rPr>
            </w:pPr>
            <w:r w:rsidRPr="0047440B">
              <w:rPr>
                <w:rFonts w:eastAsia="Arial"/>
                <w:sz w:val="18"/>
                <w:szCs w:val="18"/>
              </w:rPr>
              <w:t>109</w:t>
            </w:r>
          </w:p>
        </w:tc>
        <w:tc>
          <w:tcPr>
            <w:tcW w:w="1020" w:type="dxa"/>
          </w:tcPr>
          <w:p w:rsidR="002B5C66" w:rsidRPr="0047440B" w:rsidRDefault="00F43272" w:rsidP="002B5C66">
            <w:pPr>
              <w:jc w:val="center"/>
              <w:rPr>
                <w:rFonts w:eastAsia="Arial"/>
                <w:sz w:val="18"/>
                <w:szCs w:val="18"/>
              </w:rPr>
            </w:pPr>
            <w:r w:rsidRPr="0047440B">
              <w:rPr>
                <w:rFonts w:eastAsia="Arial"/>
                <w:sz w:val="18"/>
                <w:szCs w:val="18"/>
              </w:rPr>
              <w:t>66</w:t>
            </w:r>
          </w:p>
        </w:tc>
      </w:tr>
    </w:tbl>
    <w:p w:rsidR="002B5C66" w:rsidRPr="0047440B" w:rsidRDefault="002B5C66" w:rsidP="002B5C66"/>
    <w:p w:rsidR="002B5C66" w:rsidRPr="0047440B" w:rsidRDefault="002B5C66" w:rsidP="002B5C66">
      <w:pPr>
        <w:ind w:left="12053" w:firstLine="709"/>
        <w:jc w:val="center"/>
        <w:rPr>
          <w:sz w:val="28"/>
          <w:szCs w:val="28"/>
        </w:rPr>
      </w:pPr>
    </w:p>
    <w:p w:rsidR="002B5C66" w:rsidRPr="0047440B" w:rsidRDefault="002B5C66" w:rsidP="002B5C66">
      <w:pPr>
        <w:ind w:left="12053"/>
        <w:jc w:val="right"/>
        <w:rPr>
          <w:sz w:val="28"/>
          <w:szCs w:val="28"/>
        </w:rPr>
      </w:pPr>
      <w:r w:rsidRPr="0047440B">
        <w:rPr>
          <w:sz w:val="28"/>
          <w:szCs w:val="28"/>
        </w:rPr>
        <w:t>Таблица 15.6</w:t>
      </w:r>
    </w:p>
    <w:p w:rsidR="002B5C66" w:rsidRPr="0047440B" w:rsidRDefault="002B5C66" w:rsidP="002B5C66">
      <w:pPr>
        <w:ind w:left="12053" w:firstLine="709"/>
        <w:jc w:val="center"/>
        <w:rPr>
          <w:sz w:val="28"/>
          <w:szCs w:val="28"/>
        </w:rPr>
      </w:pPr>
    </w:p>
    <w:p w:rsidR="00185811" w:rsidRDefault="002B5C66" w:rsidP="002B5C66">
      <w:pPr>
        <w:jc w:val="center"/>
        <w:rPr>
          <w:sz w:val="28"/>
          <w:szCs w:val="28"/>
        </w:rPr>
      </w:pPr>
      <w:r w:rsidRPr="0047440B">
        <w:rPr>
          <w:sz w:val="28"/>
          <w:szCs w:val="28"/>
        </w:rPr>
        <w:t xml:space="preserve">Доля впервые выявленных случаев ЗНО при скрининговых программах, в том числе в рамках </w:t>
      </w:r>
      <w:r w:rsidR="00185811">
        <w:rPr>
          <w:sz w:val="28"/>
          <w:szCs w:val="28"/>
        </w:rPr>
        <w:t xml:space="preserve">диспансеризации </w:t>
      </w:r>
    </w:p>
    <w:p w:rsidR="002B5C66" w:rsidRDefault="00185811" w:rsidP="002B5C66">
      <w:pPr>
        <w:jc w:val="center"/>
        <w:rPr>
          <w:rFonts w:eastAsia="Arial"/>
          <w:sz w:val="28"/>
          <w:szCs w:val="28"/>
        </w:rPr>
      </w:pPr>
      <w:r>
        <w:rPr>
          <w:sz w:val="28"/>
          <w:szCs w:val="28"/>
        </w:rPr>
        <w:t>определенных групп взрослого населения</w:t>
      </w:r>
      <w:r w:rsidR="002B5C66" w:rsidRPr="0047440B">
        <w:rPr>
          <w:rFonts w:eastAsia="Arial"/>
          <w:sz w:val="28"/>
          <w:szCs w:val="28"/>
        </w:rPr>
        <w:t>,</w:t>
      </w:r>
      <w:r>
        <w:rPr>
          <w:rFonts w:eastAsia="Arial"/>
          <w:sz w:val="28"/>
          <w:szCs w:val="28"/>
        </w:rPr>
        <w:t xml:space="preserve"> </w:t>
      </w:r>
      <w:r w:rsidR="003131C8" w:rsidRPr="0047440B">
        <w:rPr>
          <w:sz w:val="28"/>
          <w:szCs w:val="28"/>
        </w:rPr>
        <w:t>среди</w:t>
      </w:r>
      <w:r w:rsidR="002B5C66" w:rsidRPr="0047440B">
        <w:rPr>
          <w:sz w:val="28"/>
          <w:szCs w:val="28"/>
        </w:rPr>
        <w:t xml:space="preserve"> лиц, прошедших профилактический медицинский осмотр и (или) </w:t>
      </w:r>
      <w:r>
        <w:rPr>
          <w:sz w:val="28"/>
          <w:szCs w:val="28"/>
        </w:rPr>
        <w:t>диспансеризацию определенных групп взрослого населения</w:t>
      </w:r>
      <w:r w:rsidRPr="0047440B">
        <w:rPr>
          <w:rFonts w:eastAsia="Arial"/>
          <w:sz w:val="28"/>
          <w:szCs w:val="28"/>
        </w:rPr>
        <w:t xml:space="preserve"> </w:t>
      </w:r>
    </w:p>
    <w:p w:rsidR="00185811" w:rsidRPr="0047440B" w:rsidRDefault="00185811" w:rsidP="002B5C66">
      <w:pPr>
        <w:jc w:val="center"/>
        <w:rPr>
          <w:sz w:val="28"/>
          <w:szCs w:val="28"/>
        </w:rPr>
      </w:pPr>
    </w:p>
    <w:tbl>
      <w:tblPr>
        <w:tblW w:w="14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2122"/>
        <w:gridCol w:w="992"/>
        <w:gridCol w:w="1134"/>
        <w:gridCol w:w="992"/>
        <w:gridCol w:w="1134"/>
        <w:gridCol w:w="1129"/>
        <w:gridCol w:w="1134"/>
        <w:gridCol w:w="992"/>
        <w:gridCol w:w="1134"/>
        <w:gridCol w:w="1134"/>
        <w:gridCol w:w="1134"/>
        <w:gridCol w:w="1140"/>
      </w:tblGrid>
      <w:tr w:rsidR="002B5C66" w:rsidRPr="0047440B" w:rsidTr="00C15BBD">
        <w:trPr>
          <w:trHeight w:val="20"/>
        </w:trPr>
        <w:tc>
          <w:tcPr>
            <w:tcW w:w="2122" w:type="dxa"/>
            <w:shd w:val="clear" w:color="auto" w:fill="auto"/>
          </w:tcPr>
          <w:p w:rsidR="002B5C66" w:rsidRPr="0047440B" w:rsidRDefault="002B5C66" w:rsidP="002B5C66">
            <w:pPr>
              <w:jc w:val="center"/>
              <w:rPr>
                <w:rFonts w:eastAsia="Arial"/>
                <w:sz w:val="18"/>
                <w:szCs w:val="18"/>
              </w:rPr>
            </w:pPr>
            <w:r w:rsidRPr="0047440B">
              <w:rPr>
                <w:rFonts w:eastAsia="Arial"/>
                <w:sz w:val="18"/>
                <w:szCs w:val="18"/>
              </w:rPr>
              <w:t>Показатель</w:t>
            </w:r>
          </w:p>
        </w:tc>
        <w:tc>
          <w:tcPr>
            <w:tcW w:w="992" w:type="dxa"/>
          </w:tcPr>
          <w:p w:rsidR="002B5C66" w:rsidRPr="0047440B" w:rsidRDefault="002B5C66" w:rsidP="002B5C66">
            <w:pPr>
              <w:jc w:val="center"/>
              <w:rPr>
                <w:rFonts w:eastAsia="Arial"/>
                <w:sz w:val="18"/>
                <w:szCs w:val="18"/>
              </w:rPr>
            </w:pPr>
            <w:r w:rsidRPr="0047440B">
              <w:rPr>
                <w:rFonts w:eastAsia="Arial"/>
                <w:sz w:val="18"/>
                <w:szCs w:val="18"/>
              </w:rPr>
              <w:t>2016 г.</w:t>
            </w:r>
          </w:p>
        </w:tc>
        <w:tc>
          <w:tcPr>
            <w:tcW w:w="1134" w:type="dxa"/>
          </w:tcPr>
          <w:p w:rsidR="002B5C66" w:rsidRPr="0047440B" w:rsidRDefault="002B5C66" w:rsidP="002B5C66">
            <w:pPr>
              <w:jc w:val="center"/>
              <w:rPr>
                <w:rFonts w:eastAsia="Arial"/>
                <w:sz w:val="18"/>
                <w:szCs w:val="18"/>
              </w:rPr>
            </w:pPr>
            <w:r w:rsidRPr="0047440B">
              <w:rPr>
                <w:rFonts w:eastAsia="Arial"/>
                <w:sz w:val="18"/>
                <w:szCs w:val="18"/>
              </w:rPr>
              <w:t>2017 г.</w:t>
            </w:r>
          </w:p>
        </w:tc>
        <w:tc>
          <w:tcPr>
            <w:tcW w:w="992" w:type="dxa"/>
          </w:tcPr>
          <w:p w:rsidR="002B5C66" w:rsidRPr="0047440B" w:rsidRDefault="002B5C66" w:rsidP="002B5C66">
            <w:pPr>
              <w:jc w:val="center"/>
              <w:rPr>
                <w:rFonts w:eastAsia="Arial"/>
                <w:sz w:val="18"/>
                <w:szCs w:val="18"/>
              </w:rPr>
            </w:pPr>
            <w:r w:rsidRPr="0047440B">
              <w:rPr>
                <w:rFonts w:eastAsia="Arial"/>
                <w:sz w:val="18"/>
                <w:szCs w:val="18"/>
              </w:rPr>
              <w:t>2018 г.</w:t>
            </w:r>
          </w:p>
        </w:tc>
        <w:tc>
          <w:tcPr>
            <w:tcW w:w="1134" w:type="dxa"/>
          </w:tcPr>
          <w:p w:rsidR="002B5C66" w:rsidRPr="0047440B" w:rsidRDefault="002B5C66" w:rsidP="002B5C66">
            <w:pPr>
              <w:jc w:val="center"/>
              <w:rPr>
                <w:rFonts w:eastAsia="Arial"/>
                <w:sz w:val="18"/>
                <w:szCs w:val="18"/>
              </w:rPr>
            </w:pPr>
            <w:r w:rsidRPr="0047440B">
              <w:rPr>
                <w:rFonts w:eastAsia="Arial"/>
                <w:sz w:val="18"/>
                <w:szCs w:val="18"/>
              </w:rPr>
              <w:t>2019 г.</w:t>
            </w:r>
          </w:p>
        </w:tc>
        <w:tc>
          <w:tcPr>
            <w:tcW w:w="1129" w:type="dxa"/>
          </w:tcPr>
          <w:p w:rsidR="002B5C66" w:rsidRPr="0047440B" w:rsidRDefault="002B5C66" w:rsidP="002B5C66">
            <w:pPr>
              <w:jc w:val="center"/>
              <w:rPr>
                <w:rFonts w:eastAsia="Arial"/>
                <w:sz w:val="18"/>
                <w:szCs w:val="18"/>
              </w:rPr>
            </w:pPr>
            <w:r w:rsidRPr="0047440B">
              <w:rPr>
                <w:rFonts w:eastAsia="Arial"/>
                <w:sz w:val="18"/>
                <w:szCs w:val="18"/>
              </w:rPr>
              <w:t>2020 г.</w:t>
            </w:r>
          </w:p>
        </w:tc>
        <w:tc>
          <w:tcPr>
            <w:tcW w:w="1134" w:type="dxa"/>
          </w:tcPr>
          <w:p w:rsidR="002B5C66" w:rsidRPr="0047440B" w:rsidRDefault="002B5C66" w:rsidP="002B5C66">
            <w:pPr>
              <w:jc w:val="center"/>
              <w:rPr>
                <w:rFonts w:eastAsia="Arial"/>
                <w:sz w:val="18"/>
                <w:szCs w:val="18"/>
              </w:rPr>
            </w:pPr>
            <w:r w:rsidRPr="0047440B">
              <w:rPr>
                <w:rFonts w:eastAsia="Arial"/>
                <w:sz w:val="18"/>
                <w:szCs w:val="18"/>
              </w:rPr>
              <w:t>2021 г.</w:t>
            </w:r>
          </w:p>
        </w:tc>
        <w:tc>
          <w:tcPr>
            <w:tcW w:w="992" w:type="dxa"/>
            <w:shd w:val="clear" w:color="auto" w:fill="auto"/>
          </w:tcPr>
          <w:p w:rsidR="002B5C66" w:rsidRPr="0047440B" w:rsidRDefault="002B5C66" w:rsidP="002B5C66">
            <w:pPr>
              <w:jc w:val="center"/>
              <w:rPr>
                <w:rFonts w:eastAsia="Arial"/>
                <w:sz w:val="18"/>
                <w:szCs w:val="18"/>
              </w:rPr>
            </w:pPr>
            <w:r w:rsidRPr="0047440B">
              <w:rPr>
                <w:rFonts w:eastAsia="Arial"/>
                <w:sz w:val="18"/>
                <w:szCs w:val="18"/>
              </w:rPr>
              <w:t>2022 г.</w:t>
            </w:r>
          </w:p>
        </w:tc>
        <w:tc>
          <w:tcPr>
            <w:tcW w:w="1134" w:type="dxa"/>
            <w:shd w:val="clear" w:color="auto" w:fill="auto"/>
          </w:tcPr>
          <w:p w:rsidR="002B5C66" w:rsidRPr="0047440B" w:rsidRDefault="002B5C66" w:rsidP="002B5C66">
            <w:pPr>
              <w:jc w:val="center"/>
              <w:rPr>
                <w:rFonts w:eastAsia="Arial"/>
                <w:sz w:val="18"/>
                <w:szCs w:val="18"/>
              </w:rPr>
            </w:pPr>
            <w:r w:rsidRPr="0047440B">
              <w:rPr>
                <w:rFonts w:eastAsia="Arial"/>
                <w:sz w:val="18"/>
                <w:szCs w:val="18"/>
              </w:rPr>
              <w:t>2023 г.</w:t>
            </w:r>
          </w:p>
        </w:tc>
        <w:tc>
          <w:tcPr>
            <w:tcW w:w="1134" w:type="dxa"/>
          </w:tcPr>
          <w:p w:rsidR="002B5C66" w:rsidRPr="0047440B" w:rsidRDefault="002B5C66" w:rsidP="002B5C66">
            <w:pPr>
              <w:jc w:val="center"/>
              <w:rPr>
                <w:rFonts w:eastAsia="Arial"/>
                <w:sz w:val="18"/>
                <w:szCs w:val="18"/>
              </w:rPr>
            </w:pPr>
            <w:r w:rsidRPr="0047440B">
              <w:rPr>
                <w:rFonts w:eastAsia="Arial"/>
                <w:sz w:val="18"/>
                <w:szCs w:val="18"/>
              </w:rPr>
              <w:t>2024 г.</w:t>
            </w:r>
          </w:p>
        </w:tc>
        <w:tc>
          <w:tcPr>
            <w:tcW w:w="1134" w:type="dxa"/>
          </w:tcPr>
          <w:p w:rsidR="002B5C66" w:rsidRPr="0047440B" w:rsidRDefault="002B5C66" w:rsidP="002B5C66">
            <w:pPr>
              <w:jc w:val="center"/>
              <w:rPr>
                <w:rFonts w:eastAsia="Arial"/>
                <w:sz w:val="18"/>
                <w:szCs w:val="18"/>
              </w:rPr>
            </w:pPr>
            <w:r w:rsidRPr="0047440B">
              <w:rPr>
                <w:rFonts w:eastAsia="Arial"/>
                <w:sz w:val="18"/>
                <w:szCs w:val="18"/>
              </w:rPr>
              <w:t xml:space="preserve">2025 г. </w:t>
            </w:r>
          </w:p>
        </w:tc>
        <w:tc>
          <w:tcPr>
            <w:tcW w:w="1140" w:type="dxa"/>
          </w:tcPr>
          <w:p w:rsidR="002B5C66" w:rsidRPr="0047440B" w:rsidRDefault="002B5C66" w:rsidP="002B5C66">
            <w:pPr>
              <w:autoSpaceDE/>
              <w:autoSpaceDN/>
              <w:adjustRightInd/>
              <w:jc w:val="center"/>
              <w:rPr>
                <w:color w:val="000000"/>
                <w:sz w:val="18"/>
                <w:szCs w:val="18"/>
              </w:rPr>
            </w:pPr>
            <w:r w:rsidRPr="0047440B">
              <w:rPr>
                <w:color w:val="000000"/>
                <w:sz w:val="18"/>
                <w:szCs w:val="18"/>
              </w:rPr>
              <w:t>Динамика, процентов</w:t>
            </w:r>
          </w:p>
        </w:tc>
      </w:tr>
      <w:tr w:rsidR="00E34615" w:rsidRPr="0047440B" w:rsidTr="00DC67CB">
        <w:trPr>
          <w:trHeight w:val="20"/>
        </w:trPr>
        <w:tc>
          <w:tcPr>
            <w:tcW w:w="2122" w:type="dxa"/>
            <w:shd w:val="clear" w:color="auto" w:fill="auto"/>
          </w:tcPr>
          <w:p w:rsidR="00E34615" w:rsidRPr="0047440B" w:rsidRDefault="00E34615" w:rsidP="00E34615">
            <w:pPr>
              <w:jc w:val="both"/>
              <w:rPr>
                <w:rFonts w:eastAsia="Arial"/>
                <w:sz w:val="18"/>
                <w:szCs w:val="18"/>
              </w:rPr>
            </w:pPr>
            <w:r w:rsidRPr="0047440B">
              <w:rPr>
                <w:rFonts w:eastAsia="Arial"/>
                <w:sz w:val="18"/>
                <w:szCs w:val="18"/>
              </w:rPr>
              <w:t xml:space="preserve">Осмотрено с целью выявления онкологической патологии, человек </w:t>
            </w:r>
          </w:p>
        </w:tc>
        <w:tc>
          <w:tcPr>
            <w:tcW w:w="992" w:type="dxa"/>
            <w:shd w:val="clear" w:color="auto" w:fill="auto"/>
          </w:tcPr>
          <w:p w:rsidR="00E34615" w:rsidRPr="0047440B" w:rsidRDefault="00E34615" w:rsidP="00E34615">
            <w:pPr>
              <w:jc w:val="center"/>
              <w:rPr>
                <w:rFonts w:eastAsia="Arial"/>
                <w:sz w:val="18"/>
                <w:szCs w:val="18"/>
              </w:rPr>
            </w:pPr>
            <w:r w:rsidRPr="0047440B">
              <w:rPr>
                <w:rFonts w:eastAsia="Arial"/>
                <w:sz w:val="18"/>
                <w:szCs w:val="18"/>
              </w:rPr>
              <w:t>1 533 649</w:t>
            </w:r>
          </w:p>
        </w:tc>
        <w:tc>
          <w:tcPr>
            <w:tcW w:w="1134" w:type="dxa"/>
            <w:shd w:val="clear" w:color="auto" w:fill="auto"/>
          </w:tcPr>
          <w:p w:rsidR="00E34615" w:rsidRPr="0047440B" w:rsidRDefault="00E34615" w:rsidP="00E34615">
            <w:pPr>
              <w:jc w:val="center"/>
              <w:rPr>
                <w:rFonts w:eastAsia="Arial"/>
                <w:sz w:val="18"/>
                <w:szCs w:val="18"/>
              </w:rPr>
            </w:pPr>
            <w:r w:rsidRPr="0047440B">
              <w:rPr>
                <w:rFonts w:eastAsia="Arial"/>
                <w:sz w:val="18"/>
                <w:szCs w:val="18"/>
              </w:rPr>
              <w:t>1 389 897</w:t>
            </w:r>
          </w:p>
        </w:tc>
        <w:tc>
          <w:tcPr>
            <w:tcW w:w="992" w:type="dxa"/>
            <w:shd w:val="clear" w:color="auto" w:fill="auto"/>
          </w:tcPr>
          <w:p w:rsidR="00E34615" w:rsidRPr="0047440B" w:rsidRDefault="00E34615" w:rsidP="00E34615">
            <w:pPr>
              <w:jc w:val="center"/>
              <w:rPr>
                <w:rFonts w:eastAsia="Arial"/>
                <w:sz w:val="18"/>
                <w:szCs w:val="18"/>
              </w:rPr>
            </w:pPr>
            <w:r w:rsidRPr="0047440B">
              <w:rPr>
                <w:rFonts w:eastAsia="Arial"/>
                <w:sz w:val="18"/>
                <w:szCs w:val="18"/>
              </w:rPr>
              <w:t>1 355 331</w:t>
            </w:r>
          </w:p>
        </w:tc>
        <w:tc>
          <w:tcPr>
            <w:tcW w:w="1134" w:type="dxa"/>
            <w:shd w:val="clear" w:color="auto" w:fill="auto"/>
          </w:tcPr>
          <w:p w:rsidR="00E34615" w:rsidRPr="0047440B" w:rsidRDefault="00E34615" w:rsidP="00E34615">
            <w:pPr>
              <w:jc w:val="center"/>
              <w:rPr>
                <w:rFonts w:eastAsia="Arial"/>
                <w:sz w:val="18"/>
                <w:szCs w:val="18"/>
              </w:rPr>
            </w:pPr>
            <w:r w:rsidRPr="0047440B">
              <w:rPr>
                <w:rFonts w:eastAsia="Arial"/>
                <w:sz w:val="18"/>
                <w:szCs w:val="18"/>
              </w:rPr>
              <w:t>1 441 027</w:t>
            </w:r>
          </w:p>
        </w:tc>
        <w:tc>
          <w:tcPr>
            <w:tcW w:w="1129" w:type="dxa"/>
            <w:shd w:val="clear" w:color="auto" w:fill="auto"/>
          </w:tcPr>
          <w:p w:rsidR="00E34615" w:rsidRPr="0047440B" w:rsidRDefault="00E34615" w:rsidP="00E34615">
            <w:pPr>
              <w:jc w:val="center"/>
              <w:rPr>
                <w:rFonts w:eastAsia="Arial"/>
                <w:sz w:val="18"/>
                <w:szCs w:val="18"/>
              </w:rPr>
            </w:pPr>
            <w:r w:rsidRPr="0047440B">
              <w:rPr>
                <w:rFonts w:eastAsia="Arial"/>
                <w:sz w:val="18"/>
                <w:szCs w:val="18"/>
              </w:rPr>
              <w:t>1 042 464</w:t>
            </w:r>
          </w:p>
        </w:tc>
        <w:tc>
          <w:tcPr>
            <w:tcW w:w="1134" w:type="dxa"/>
            <w:shd w:val="clear" w:color="auto" w:fill="auto"/>
          </w:tcPr>
          <w:p w:rsidR="00E34615" w:rsidRPr="0047440B" w:rsidRDefault="00E34615" w:rsidP="00E34615">
            <w:pPr>
              <w:jc w:val="center"/>
              <w:rPr>
                <w:rFonts w:eastAsia="Arial"/>
                <w:sz w:val="18"/>
                <w:szCs w:val="18"/>
              </w:rPr>
            </w:pPr>
            <w:r w:rsidRPr="0047440B">
              <w:rPr>
                <w:rFonts w:eastAsia="Arial"/>
                <w:sz w:val="18"/>
                <w:szCs w:val="18"/>
              </w:rPr>
              <w:t>1 178 773</w:t>
            </w:r>
          </w:p>
        </w:tc>
        <w:tc>
          <w:tcPr>
            <w:tcW w:w="992" w:type="dxa"/>
          </w:tcPr>
          <w:p w:rsidR="00E34615" w:rsidRPr="0047440B" w:rsidRDefault="00E34615" w:rsidP="00E34615">
            <w:pPr>
              <w:jc w:val="center"/>
              <w:rPr>
                <w:rFonts w:eastAsia="Arial"/>
                <w:sz w:val="18"/>
                <w:szCs w:val="18"/>
              </w:rPr>
            </w:pPr>
            <w:r w:rsidRPr="0047440B">
              <w:rPr>
                <w:rFonts w:eastAsia="Arial"/>
                <w:sz w:val="18"/>
                <w:szCs w:val="18"/>
              </w:rPr>
              <w:t>1 372 392</w:t>
            </w:r>
          </w:p>
        </w:tc>
        <w:tc>
          <w:tcPr>
            <w:tcW w:w="1134" w:type="dxa"/>
          </w:tcPr>
          <w:p w:rsidR="00E34615" w:rsidRPr="0047440B" w:rsidRDefault="00E34615" w:rsidP="00E34615">
            <w:pPr>
              <w:jc w:val="center"/>
              <w:rPr>
                <w:rFonts w:eastAsia="Arial"/>
                <w:sz w:val="18"/>
                <w:szCs w:val="18"/>
              </w:rPr>
            </w:pPr>
            <w:r w:rsidRPr="0047440B">
              <w:rPr>
                <w:rFonts w:eastAsia="Arial"/>
                <w:sz w:val="18"/>
                <w:szCs w:val="18"/>
              </w:rPr>
              <w:t>1 111 683</w:t>
            </w:r>
          </w:p>
        </w:tc>
        <w:tc>
          <w:tcPr>
            <w:tcW w:w="1134" w:type="dxa"/>
            <w:tcBorders>
              <w:top w:val="single" w:sz="4" w:space="0" w:color="auto"/>
              <w:bottom w:val="single" w:sz="4" w:space="0" w:color="auto"/>
              <w:right w:val="single" w:sz="4" w:space="0" w:color="auto"/>
            </w:tcBorders>
          </w:tcPr>
          <w:p w:rsidR="00E34615" w:rsidRPr="0047440B" w:rsidRDefault="00E34615" w:rsidP="00E34615">
            <w:pPr>
              <w:jc w:val="center"/>
              <w:rPr>
                <w:rFonts w:eastAsia="Arial"/>
                <w:sz w:val="18"/>
                <w:szCs w:val="18"/>
              </w:rPr>
            </w:pPr>
            <w:r w:rsidRPr="0047440B">
              <w:rPr>
                <w:rFonts w:eastAsia="Arial"/>
                <w:sz w:val="18"/>
                <w:szCs w:val="18"/>
              </w:rPr>
              <w:t>1 505 263</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34615" w:rsidRPr="0047440B" w:rsidRDefault="00E34615" w:rsidP="00E34615">
            <w:pPr>
              <w:widowControl/>
              <w:autoSpaceDE/>
              <w:autoSpaceDN/>
              <w:adjustRightInd/>
              <w:jc w:val="center"/>
              <w:rPr>
                <w:color w:val="000000"/>
                <w:sz w:val="18"/>
                <w:szCs w:val="18"/>
              </w:rPr>
            </w:pPr>
            <w:r w:rsidRPr="0047440B">
              <w:rPr>
                <w:rFonts w:eastAsia="Arial"/>
                <w:color w:val="000000"/>
                <w:sz w:val="18"/>
                <w:szCs w:val="18"/>
              </w:rPr>
              <w:t>1 494 306</w:t>
            </w:r>
          </w:p>
        </w:tc>
        <w:tc>
          <w:tcPr>
            <w:tcW w:w="1140" w:type="dxa"/>
            <w:tcBorders>
              <w:left w:val="single" w:sz="4" w:space="0" w:color="auto"/>
            </w:tcBorders>
          </w:tcPr>
          <w:p w:rsidR="00E34615" w:rsidRPr="0047440B" w:rsidRDefault="00F6052B" w:rsidP="00E34615">
            <w:pPr>
              <w:jc w:val="center"/>
              <w:rPr>
                <w:color w:val="000000"/>
                <w:sz w:val="18"/>
                <w:szCs w:val="18"/>
              </w:rPr>
            </w:pPr>
            <w:r>
              <w:rPr>
                <w:color w:val="000000"/>
                <w:sz w:val="18"/>
                <w:szCs w:val="18"/>
              </w:rPr>
              <w:t>-</w:t>
            </w:r>
          </w:p>
        </w:tc>
      </w:tr>
      <w:tr w:rsidR="00703511" w:rsidRPr="0047440B" w:rsidTr="00F6052B">
        <w:trPr>
          <w:trHeight w:val="20"/>
        </w:trPr>
        <w:tc>
          <w:tcPr>
            <w:tcW w:w="2122" w:type="dxa"/>
            <w:shd w:val="clear" w:color="auto" w:fill="auto"/>
          </w:tcPr>
          <w:p w:rsidR="00703511" w:rsidRPr="0047440B" w:rsidRDefault="00703511" w:rsidP="00703511">
            <w:pPr>
              <w:jc w:val="both"/>
              <w:rPr>
                <w:rFonts w:eastAsia="Arial"/>
                <w:sz w:val="18"/>
                <w:szCs w:val="18"/>
              </w:rPr>
            </w:pPr>
            <w:r w:rsidRPr="0047440B">
              <w:rPr>
                <w:rFonts w:eastAsia="Arial"/>
                <w:sz w:val="18"/>
                <w:szCs w:val="18"/>
              </w:rPr>
              <w:t>Выявлено злокачественных новообразований, процентов, в том числе:</w:t>
            </w:r>
          </w:p>
        </w:tc>
        <w:tc>
          <w:tcPr>
            <w:tcW w:w="992" w:type="dxa"/>
            <w:tcBorders>
              <w:top w:val="single" w:sz="4" w:space="0" w:color="auto"/>
              <w:left w:val="nil"/>
              <w:bottom w:val="single" w:sz="4" w:space="0" w:color="auto"/>
              <w:right w:val="single" w:sz="4" w:space="0" w:color="auto"/>
            </w:tcBorders>
            <w:shd w:val="clear" w:color="auto" w:fill="auto"/>
          </w:tcPr>
          <w:p w:rsidR="00703511" w:rsidRPr="0047440B" w:rsidRDefault="00703511" w:rsidP="00703511">
            <w:pPr>
              <w:jc w:val="center"/>
              <w:rPr>
                <w:color w:val="000000"/>
                <w:sz w:val="18"/>
                <w:szCs w:val="18"/>
              </w:rPr>
            </w:pPr>
            <w:r w:rsidRPr="0047440B">
              <w:rPr>
                <w:color w:val="000000"/>
                <w:sz w:val="18"/>
                <w:szCs w:val="18"/>
              </w:rPr>
              <w:t>0,155</w:t>
            </w:r>
          </w:p>
        </w:tc>
        <w:tc>
          <w:tcPr>
            <w:tcW w:w="1134" w:type="dxa"/>
            <w:tcBorders>
              <w:top w:val="single" w:sz="4" w:space="0" w:color="auto"/>
              <w:left w:val="nil"/>
              <w:bottom w:val="single" w:sz="4" w:space="0" w:color="auto"/>
              <w:right w:val="single" w:sz="4" w:space="0" w:color="auto"/>
            </w:tcBorders>
            <w:shd w:val="clear" w:color="auto" w:fill="auto"/>
          </w:tcPr>
          <w:p w:rsidR="00703511" w:rsidRPr="0047440B" w:rsidRDefault="00703511" w:rsidP="00703511">
            <w:pPr>
              <w:jc w:val="center"/>
              <w:rPr>
                <w:color w:val="000000"/>
                <w:sz w:val="18"/>
                <w:szCs w:val="18"/>
              </w:rPr>
            </w:pPr>
            <w:r w:rsidRPr="0047440B">
              <w:rPr>
                <w:color w:val="000000"/>
                <w:sz w:val="18"/>
                <w:szCs w:val="18"/>
              </w:rPr>
              <w:t>0,263</w:t>
            </w:r>
          </w:p>
        </w:tc>
        <w:tc>
          <w:tcPr>
            <w:tcW w:w="992" w:type="dxa"/>
            <w:tcBorders>
              <w:top w:val="single" w:sz="4" w:space="0" w:color="auto"/>
              <w:left w:val="nil"/>
              <w:bottom w:val="single" w:sz="4" w:space="0" w:color="auto"/>
              <w:right w:val="single" w:sz="4" w:space="0" w:color="auto"/>
            </w:tcBorders>
            <w:shd w:val="clear" w:color="auto" w:fill="auto"/>
          </w:tcPr>
          <w:p w:rsidR="00703511" w:rsidRPr="0047440B" w:rsidRDefault="00703511" w:rsidP="00703511">
            <w:pPr>
              <w:jc w:val="center"/>
              <w:rPr>
                <w:color w:val="000000"/>
                <w:sz w:val="18"/>
                <w:szCs w:val="18"/>
              </w:rPr>
            </w:pPr>
            <w:r w:rsidRPr="0047440B">
              <w:rPr>
                <w:color w:val="000000"/>
                <w:sz w:val="18"/>
                <w:szCs w:val="18"/>
              </w:rPr>
              <w:t>0,307</w:t>
            </w:r>
          </w:p>
        </w:tc>
        <w:tc>
          <w:tcPr>
            <w:tcW w:w="1134" w:type="dxa"/>
            <w:tcBorders>
              <w:top w:val="single" w:sz="4" w:space="0" w:color="auto"/>
              <w:left w:val="nil"/>
              <w:bottom w:val="single" w:sz="4" w:space="0" w:color="auto"/>
              <w:right w:val="single" w:sz="4" w:space="0" w:color="auto"/>
            </w:tcBorders>
            <w:shd w:val="clear" w:color="auto" w:fill="auto"/>
          </w:tcPr>
          <w:p w:rsidR="00703511" w:rsidRPr="0047440B" w:rsidRDefault="00703511" w:rsidP="00703511">
            <w:pPr>
              <w:jc w:val="center"/>
              <w:rPr>
                <w:color w:val="000000"/>
                <w:sz w:val="18"/>
                <w:szCs w:val="18"/>
              </w:rPr>
            </w:pPr>
            <w:r w:rsidRPr="0047440B">
              <w:rPr>
                <w:color w:val="000000"/>
                <w:sz w:val="18"/>
                <w:szCs w:val="18"/>
              </w:rPr>
              <w:t>0,204</w:t>
            </w:r>
          </w:p>
        </w:tc>
        <w:tc>
          <w:tcPr>
            <w:tcW w:w="1129" w:type="dxa"/>
            <w:tcBorders>
              <w:top w:val="single" w:sz="4" w:space="0" w:color="auto"/>
              <w:left w:val="nil"/>
              <w:bottom w:val="single" w:sz="4" w:space="0" w:color="auto"/>
              <w:right w:val="single" w:sz="4" w:space="0" w:color="auto"/>
            </w:tcBorders>
            <w:shd w:val="clear" w:color="auto" w:fill="auto"/>
          </w:tcPr>
          <w:p w:rsidR="00703511" w:rsidRPr="0047440B" w:rsidRDefault="00703511" w:rsidP="00703511">
            <w:pPr>
              <w:jc w:val="center"/>
              <w:rPr>
                <w:color w:val="000000"/>
                <w:sz w:val="18"/>
                <w:szCs w:val="18"/>
              </w:rPr>
            </w:pPr>
            <w:r w:rsidRPr="0047440B">
              <w:rPr>
                <w:color w:val="000000"/>
                <w:sz w:val="18"/>
                <w:szCs w:val="18"/>
              </w:rPr>
              <w:t>0,167</w:t>
            </w:r>
          </w:p>
        </w:tc>
        <w:tc>
          <w:tcPr>
            <w:tcW w:w="1134" w:type="dxa"/>
            <w:tcBorders>
              <w:top w:val="single" w:sz="4" w:space="0" w:color="auto"/>
              <w:left w:val="nil"/>
              <w:bottom w:val="single" w:sz="4" w:space="0" w:color="auto"/>
              <w:right w:val="single" w:sz="4" w:space="0" w:color="auto"/>
            </w:tcBorders>
            <w:shd w:val="clear" w:color="auto" w:fill="auto"/>
          </w:tcPr>
          <w:p w:rsidR="00703511" w:rsidRPr="0047440B" w:rsidRDefault="00703511" w:rsidP="00703511">
            <w:pPr>
              <w:jc w:val="center"/>
              <w:rPr>
                <w:color w:val="000000"/>
                <w:sz w:val="18"/>
                <w:szCs w:val="18"/>
              </w:rPr>
            </w:pPr>
            <w:r w:rsidRPr="0047440B">
              <w:rPr>
                <w:color w:val="000000"/>
                <w:sz w:val="18"/>
                <w:szCs w:val="18"/>
              </w:rPr>
              <w:t>0,134</w:t>
            </w:r>
          </w:p>
        </w:tc>
        <w:tc>
          <w:tcPr>
            <w:tcW w:w="992" w:type="dxa"/>
            <w:tcBorders>
              <w:top w:val="single" w:sz="4" w:space="0" w:color="auto"/>
              <w:left w:val="nil"/>
              <w:bottom w:val="single" w:sz="4" w:space="0" w:color="auto"/>
              <w:right w:val="single" w:sz="4" w:space="0" w:color="auto"/>
            </w:tcBorders>
            <w:shd w:val="clear" w:color="auto" w:fill="auto"/>
          </w:tcPr>
          <w:p w:rsidR="00703511" w:rsidRPr="0047440B" w:rsidRDefault="00703511" w:rsidP="00703511">
            <w:pPr>
              <w:jc w:val="center"/>
              <w:rPr>
                <w:color w:val="000000"/>
                <w:sz w:val="18"/>
                <w:szCs w:val="18"/>
              </w:rPr>
            </w:pPr>
            <w:r w:rsidRPr="0047440B">
              <w:rPr>
                <w:color w:val="000000"/>
                <w:sz w:val="18"/>
                <w:szCs w:val="18"/>
              </w:rPr>
              <w:t>0,294</w:t>
            </w:r>
          </w:p>
        </w:tc>
        <w:tc>
          <w:tcPr>
            <w:tcW w:w="1134" w:type="dxa"/>
            <w:tcBorders>
              <w:top w:val="single" w:sz="4" w:space="0" w:color="auto"/>
              <w:left w:val="nil"/>
              <w:bottom w:val="single" w:sz="4" w:space="0" w:color="auto"/>
              <w:right w:val="single" w:sz="4" w:space="0" w:color="auto"/>
            </w:tcBorders>
            <w:shd w:val="clear" w:color="auto" w:fill="auto"/>
          </w:tcPr>
          <w:p w:rsidR="00703511" w:rsidRPr="0047440B" w:rsidRDefault="00703511" w:rsidP="00703511">
            <w:pPr>
              <w:jc w:val="center"/>
              <w:rPr>
                <w:color w:val="000000"/>
                <w:sz w:val="18"/>
                <w:szCs w:val="18"/>
              </w:rPr>
            </w:pPr>
            <w:r w:rsidRPr="0047440B">
              <w:rPr>
                <w:color w:val="000000"/>
                <w:sz w:val="18"/>
                <w:szCs w:val="18"/>
              </w:rPr>
              <w:t>0,234</w:t>
            </w:r>
          </w:p>
        </w:tc>
        <w:tc>
          <w:tcPr>
            <w:tcW w:w="1134" w:type="dxa"/>
            <w:tcBorders>
              <w:top w:val="single" w:sz="4" w:space="0" w:color="auto"/>
              <w:left w:val="nil"/>
              <w:bottom w:val="single" w:sz="4" w:space="0" w:color="auto"/>
              <w:right w:val="single" w:sz="4" w:space="0" w:color="auto"/>
            </w:tcBorders>
            <w:shd w:val="clear" w:color="auto" w:fill="auto"/>
          </w:tcPr>
          <w:p w:rsidR="00703511" w:rsidRPr="0047440B" w:rsidRDefault="00703511" w:rsidP="00703511">
            <w:pPr>
              <w:jc w:val="center"/>
              <w:rPr>
                <w:color w:val="000000"/>
                <w:sz w:val="18"/>
                <w:szCs w:val="18"/>
              </w:rPr>
            </w:pPr>
            <w:r w:rsidRPr="0047440B">
              <w:rPr>
                <w:color w:val="000000"/>
                <w:sz w:val="18"/>
                <w:szCs w:val="18"/>
              </w:rPr>
              <w:t>0,213</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03511" w:rsidRPr="0047440B" w:rsidRDefault="00703511" w:rsidP="00703511">
            <w:pPr>
              <w:jc w:val="center"/>
              <w:rPr>
                <w:color w:val="000000"/>
                <w:sz w:val="18"/>
                <w:szCs w:val="18"/>
              </w:rPr>
            </w:pPr>
            <w:r w:rsidRPr="0047440B">
              <w:rPr>
                <w:color w:val="000000"/>
                <w:sz w:val="18"/>
                <w:szCs w:val="18"/>
              </w:rPr>
              <w:t>0,212</w:t>
            </w:r>
          </w:p>
        </w:tc>
        <w:tc>
          <w:tcPr>
            <w:tcW w:w="1140" w:type="dxa"/>
            <w:tcBorders>
              <w:top w:val="single" w:sz="4" w:space="0" w:color="auto"/>
              <w:left w:val="nil"/>
              <w:bottom w:val="single" w:sz="4" w:space="0" w:color="auto"/>
              <w:right w:val="single" w:sz="4" w:space="0" w:color="auto"/>
            </w:tcBorders>
            <w:shd w:val="clear" w:color="auto" w:fill="auto"/>
          </w:tcPr>
          <w:p w:rsidR="00703511" w:rsidRPr="0047440B" w:rsidRDefault="00703511" w:rsidP="00F10B2E">
            <w:pPr>
              <w:widowControl/>
              <w:autoSpaceDE/>
              <w:autoSpaceDN/>
              <w:adjustRightInd/>
              <w:jc w:val="center"/>
              <w:rPr>
                <w:color w:val="000000"/>
                <w:sz w:val="18"/>
                <w:szCs w:val="18"/>
              </w:rPr>
            </w:pPr>
            <w:r w:rsidRPr="0047440B">
              <w:rPr>
                <w:color w:val="000000"/>
                <w:sz w:val="18"/>
                <w:szCs w:val="18"/>
              </w:rPr>
              <w:t>36,77</w:t>
            </w:r>
          </w:p>
        </w:tc>
      </w:tr>
      <w:tr w:rsidR="00703511" w:rsidRPr="0047440B" w:rsidTr="00F6052B">
        <w:trPr>
          <w:trHeight w:val="20"/>
        </w:trPr>
        <w:tc>
          <w:tcPr>
            <w:tcW w:w="2122" w:type="dxa"/>
            <w:shd w:val="clear" w:color="auto" w:fill="auto"/>
          </w:tcPr>
          <w:p w:rsidR="00703511" w:rsidRPr="0047440B" w:rsidRDefault="00703511" w:rsidP="00703511">
            <w:pPr>
              <w:jc w:val="both"/>
              <w:rPr>
                <w:rFonts w:eastAsia="Arial"/>
                <w:sz w:val="18"/>
                <w:szCs w:val="18"/>
              </w:rPr>
            </w:pPr>
            <w:r w:rsidRPr="0047440B">
              <w:rPr>
                <w:rFonts w:eastAsia="Arial"/>
                <w:sz w:val="18"/>
                <w:szCs w:val="18"/>
              </w:rPr>
              <w:t>губы</w:t>
            </w:r>
          </w:p>
        </w:tc>
        <w:tc>
          <w:tcPr>
            <w:tcW w:w="992" w:type="dxa"/>
            <w:tcBorders>
              <w:top w:val="nil"/>
              <w:left w:val="nil"/>
              <w:bottom w:val="single" w:sz="4" w:space="0" w:color="auto"/>
              <w:right w:val="single" w:sz="4" w:space="0" w:color="auto"/>
            </w:tcBorders>
            <w:shd w:val="clear" w:color="auto" w:fill="auto"/>
          </w:tcPr>
          <w:p w:rsidR="00703511" w:rsidRPr="0047440B" w:rsidRDefault="00703511" w:rsidP="00703511">
            <w:pPr>
              <w:jc w:val="center"/>
              <w:rPr>
                <w:color w:val="000000"/>
                <w:sz w:val="18"/>
                <w:szCs w:val="18"/>
              </w:rPr>
            </w:pPr>
            <w:r w:rsidRPr="0047440B">
              <w:rPr>
                <w:color w:val="000000"/>
                <w:sz w:val="18"/>
                <w:szCs w:val="18"/>
              </w:rPr>
              <w:t>0,002</w:t>
            </w:r>
          </w:p>
        </w:tc>
        <w:tc>
          <w:tcPr>
            <w:tcW w:w="1134" w:type="dxa"/>
            <w:tcBorders>
              <w:top w:val="nil"/>
              <w:left w:val="nil"/>
              <w:bottom w:val="single" w:sz="4" w:space="0" w:color="auto"/>
              <w:right w:val="single" w:sz="4" w:space="0" w:color="auto"/>
            </w:tcBorders>
            <w:shd w:val="clear" w:color="auto" w:fill="auto"/>
          </w:tcPr>
          <w:p w:rsidR="00703511" w:rsidRPr="0047440B" w:rsidRDefault="00703511" w:rsidP="00703511">
            <w:pPr>
              <w:jc w:val="center"/>
              <w:rPr>
                <w:color w:val="000000"/>
                <w:sz w:val="18"/>
                <w:szCs w:val="18"/>
              </w:rPr>
            </w:pPr>
            <w:r w:rsidRPr="0047440B">
              <w:rPr>
                <w:color w:val="000000"/>
                <w:sz w:val="18"/>
                <w:szCs w:val="18"/>
              </w:rPr>
              <w:t>0,001</w:t>
            </w:r>
          </w:p>
        </w:tc>
        <w:tc>
          <w:tcPr>
            <w:tcW w:w="992" w:type="dxa"/>
            <w:tcBorders>
              <w:top w:val="nil"/>
              <w:left w:val="nil"/>
              <w:bottom w:val="single" w:sz="4" w:space="0" w:color="auto"/>
              <w:right w:val="single" w:sz="4" w:space="0" w:color="auto"/>
            </w:tcBorders>
            <w:shd w:val="clear" w:color="auto" w:fill="auto"/>
          </w:tcPr>
          <w:p w:rsidR="00703511" w:rsidRPr="0047440B" w:rsidRDefault="00703511" w:rsidP="00703511">
            <w:pPr>
              <w:jc w:val="center"/>
              <w:rPr>
                <w:color w:val="000000"/>
                <w:sz w:val="18"/>
                <w:szCs w:val="18"/>
              </w:rPr>
            </w:pPr>
            <w:r w:rsidRPr="0047440B">
              <w:rPr>
                <w:color w:val="000000"/>
                <w:sz w:val="18"/>
                <w:szCs w:val="18"/>
              </w:rPr>
              <w:t>0,002</w:t>
            </w:r>
          </w:p>
        </w:tc>
        <w:tc>
          <w:tcPr>
            <w:tcW w:w="1134" w:type="dxa"/>
            <w:tcBorders>
              <w:top w:val="nil"/>
              <w:left w:val="nil"/>
              <w:bottom w:val="single" w:sz="4" w:space="0" w:color="auto"/>
              <w:right w:val="single" w:sz="4" w:space="0" w:color="auto"/>
            </w:tcBorders>
            <w:shd w:val="clear" w:color="auto" w:fill="auto"/>
          </w:tcPr>
          <w:p w:rsidR="00703511" w:rsidRPr="0047440B" w:rsidRDefault="00703511" w:rsidP="00703511">
            <w:pPr>
              <w:jc w:val="center"/>
              <w:rPr>
                <w:color w:val="000000"/>
                <w:sz w:val="18"/>
                <w:szCs w:val="18"/>
              </w:rPr>
            </w:pPr>
            <w:r w:rsidRPr="0047440B">
              <w:rPr>
                <w:color w:val="000000"/>
                <w:sz w:val="18"/>
                <w:szCs w:val="18"/>
              </w:rPr>
              <w:t>0,001</w:t>
            </w:r>
          </w:p>
        </w:tc>
        <w:tc>
          <w:tcPr>
            <w:tcW w:w="1129" w:type="dxa"/>
            <w:tcBorders>
              <w:top w:val="nil"/>
              <w:left w:val="nil"/>
              <w:bottom w:val="single" w:sz="4" w:space="0" w:color="auto"/>
              <w:right w:val="single" w:sz="4" w:space="0" w:color="auto"/>
            </w:tcBorders>
            <w:shd w:val="clear" w:color="auto" w:fill="auto"/>
          </w:tcPr>
          <w:p w:rsidR="00703511" w:rsidRPr="0047440B" w:rsidRDefault="00703511" w:rsidP="00703511">
            <w:pPr>
              <w:jc w:val="center"/>
              <w:rPr>
                <w:color w:val="000000"/>
                <w:sz w:val="18"/>
                <w:szCs w:val="18"/>
              </w:rPr>
            </w:pPr>
            <w:r w:rsidRPr="0047440B">
              <w:rPr>
                <w:color w:val="000000"/>
                <w:sz w:val="18"/>
                <w:szCs w:val="18"/>
              </w:rPr>
              <w:t>0,001</w:t>
            </w:r>
          </w:p>
        </w:tc>
        <w:tc>
          <w:tcPr>
            <w:tcW w:w="1134" w:type="dxa"/>
            <w:tcBorders>
              <w:top w:val="nil"/>
              <w:left w:val="nil"/>
              <w:bottom w:val="single" w:sz="4" w:space="0" w:color="auto"/>
              <w:right w:val="single" w:sz="4" w:space="0" w:color="auto"/>
            </w:tcBorders>
            <w:shd w:val="clear" w:color="auto" w:fill="auto"/>
          </w:tcPr>
          <w:p w:rsidR="00703511" w:rsidRPr="0047440B" w:rsidRDefault="00703511" w:rsidP="00703511">
            <w:pPr>
              <w:jc w:val="center"/>
              <w:rPr>
                <w:color w:val="000000"/>
                <w:sz w:val="18"/>
                <w:szCs w:val="18"/>
              </w:rPr>
            </w:pPr>
            <w:r w:rsidRPr="0047440B">
              <w:rPr>
                <w:color w:val="000000"/>
                <w:sz w:val="18"/>
                <w:szCs w:val="18"/>
              </w:rPr>
              <w:t>0,000</w:t>
            </w:r>
          </w:p>
        </w:tc>
        <w:tc>
          <w:tcPr>
            <w:tcW w:w="992" w:type="dxa"/>
            <w:tcBorders>
              <w:top w:val="nil"/>
              <w:left w:val="nil"/>
              <w:bottom w:val="single" w:sz="4" w:space="0" w:color="auto"/>
              <w:right w:val="single" w:sz="4" w:space="0" w:color="auto"/>
            </w:tcBorders>
            <w:shd w:val="clear" w:color="auto" w:fill="auto"/>
          </w:tcPr>
          <w:p w:rsidR="00703511" w:rsidRPr="0047440B" w:rsidRDefault="00703511" w:rsidP="00703511">
            <w:pPr>
              <w:jc w:val="center"/>
              <w:rPr>
                <w:color w:val="000000"/>
                <w:sz w:val="18"/>
                <w:szCs w:val="18"/>
              </w:rPr>
            </w:pPr>
            <w:r w:rsidRPr="0047440B">
              <w:rPr>
                <w:color w:val="000000"/>
                <w:sz w:val="18"/>
                <w:szCs w:val="18"/>
              </w:rPr>
              <w:t>0,001</w:t>
            </w:r>
          </w:p>
        </w:tc>
        <w:tc>
          <w:tcPr>
            <w:tcW w:w="1134" w:type="dxa"/>
            <w:tcBorders>
              <w:top w:val="nil"/>
              <w:left w:val="nil"/>
              <w:bottom w:val="single" w:sz="4" w:space="0" w:color="auto"/>
              <w:right w:val="single" w:sz="4" w:space="0" w:color="auto"/>
            </w:tcBorders>
            <w:shd w:val="clear" w:color="auto" w:fill="auto"/>
          </w:tcPr>
          <w:p w:rsidR="00703511" w:rsidRPr="0047440B" w:rsidRDefault="00703511" w:rsidP="00703511">
            <w:pPr>
              <w:jc w:val="center"/>
              <w:rPr>
                <w:color w:val="000000"/>
                <w:sz w:val="18"/>
                <w:szCs w:val="18"/>
              </w:rPr>
            </w:pPr>
            <w:r w:rsidRPr="0047440B">
              <w:rPr>
                <w:color w:val="000000"/>
                <w:sz w:val="18"/>
                <w:szCs w:val="18"/>
              </w:rPr>
              <w:t>0,001</w:t>
            </w:r>
          </w:p>
        </w:tc>
        <w:tc>
          <w:tcPr>
            <w:tcW w:w="1134" w:type="dxa"/>
            <w:tcBorders>
              <w:top w:val="nil"/>
              <w:left w:val="nil"/>
              <w:bottom w:val="single" w:sz="4" w:space="0" w:color="auto"/>
              <w:right w:val="single" w:sz="4" w:space="0" w:color="auto"/>
            </w:tcBorders>
            <w:shd w:val="clear" w:color="auto" w:fill="auto"/>
          </w:tcPr>
          <w:p w:rsidR="00703511" w:rsidRPr="0047440B" w:rsidRDefault="00703511" w:rsidP="00703511">
            <w:pPr>
              <w:jc w:val="center"/>
              <w:rPr>
                <w:color w:val="000000"/>
                <w:sz w:val="18"/>
                <w:szCs w:val="18"/>
              </w:rPr>
            </w:pPr>
            <w:r w:rsidRPr="0047440B">
              <w:rPr>
                <w:color w:val="000000"/>
                <w:sz w:val="18"/>
                <w:szCs w:val="18"/>
              </w:rPr>
              <w:t>0,001</w:t>
            </w:r>
          </w:p>
        </w:tc>
        <w:tc>
          <w:tcPr>
            <w:tcW w:w="1134" w:type="dxa"/>
            <w:tcBorders>
              <w:top w:val="nil"/>
              <w:left w:val="single" w:sz="4" w:space="0" w:color="auto"/>
              <w:bottom w:val="single" w:sz="4" w:space="0" w:color="auto"/>
              <w:right w:val="single" w:sz="4" w:space="0" w:color="auto"/>
            </w:tcBorders>
            <w:shd w:val="clear" w:color="auto" w:fill="auto"/>
          </w:tcPr>
          <w:p w:rsidR="00703511" w:rsidRPr="0047440B" w:rsidRDefault="00703511" w:rsidP="00703511">
            <w:pPr>
              <w:jc w:val="center"/>
              <w:rPr>
                <w:color w:val="000000"/>
                <w:sz w:val="18"/>
                <w:szCs w:val="18"/>
              </w:rPr>
            </w:pPr>
            <w:r w:rsidRPr="0047440B">
              <w:rPr>
                <w:color w:val="000000"/>
                <w:sz w:val="18"/>
                <w:szCs w:val="18"/>
              </w:rPr>
              <w:t>0,0004</w:t>
            </w:r>
          </w:p>
        </w:tc>
        <w:tc>
          <w:tcPr>
            <w:tcW w:w="1140" w:type="dxa"/>
            <w:tcBorders>
              <w:top w:val="single" w:sz="4" w:space="0" w:color="auto"/>
              <w:left w:val="nil"/>
              <w:bottom w:val="single" w:sz="4" w:space="0" w:color="auto"/>
              <w:right w:val="single" w:sz="4" w:space="0" w:color="auto"/>
            </w:tcBorders>
            <w:shd w:val="clear" w:color="auto" w:fill="auto"/>
          </w:tcPr>
          <w:p w:rsidR="00703511" w:rsidRPr="0047440B" w:rsidRDefault="00703511" w:rsidP="00F10B2E">
            <w:pPr>
              <w:jc w:val="center"/>
              <w:rPr>
                <w:color w:val="000000"/>
                <w:sz w:val="18"/>
                <w:szCs w:val="18"/>
              </w:rPr>
            </w:pPr>
            <w:r w:rsidRPr="0047440B">
              <w:rPr>
                <w:color w:val="000000"/>
                <w:sz w:val="18"/>
                <w:szCs w:val="18"/>
              </w:rPr>
              <w:t>-80,00</w:t>
            </w:r>
          </w:p>
        </w:tc>
      </w:tr>
      <w:tr w:rsidR="00703511" w:rsidRPr="0047440B" w:rsidTr="00F6052B">
        <w:trPr>
          <w:trHeight w:val="20"/>
        </w:trPr>
        <w:tc>
          <w:tcPr>
            <w:tcW w:w="2122" w:type="dxa"/>
            <w:shd w:val="clear" w:color="auto" w:fill="auto"/>
          </w:tcPr>
          <w:p w:rsidR="00703511" w:rsidRPr="0047440B" w:rsidRDefault="00703511" w:rsidP="00703511">
            <w:pPr>
              <w:jc w:val="both"/>
              <w:rPr>
                <w:rFonts w:eastAsia="Arial"/>
                <w:sz w:val="18"/>
                <w:szCs w:val="18"/>
              </w:rPr>
            </w:pPr>
            <w:r w:rsidRPr="0047440B">
              <w:rPr>
                <w:rFonts w:eastAsia="Arial"/>
                <w:sz w:val="18"/>
                <w:szCs w:val="18"/>
              </w:rPr>
              <w:t xml:space="preserve">полости рта </w:t>
            </w:r>
          </w:p>
        </w:tc>
        <w:tc>
          <w:tcPr>
            <w:tcW w:w="992" w:type="dxa"/>
            <w:tcBorders>
              <w:top w:val="nil"/>
              <w:left w:val="nil"/>
              <w:bottom w:val="single" w:sz="4" w:space="0" w:color="auto"/>
              <w:right w:val="single" w:sz="4" w:space="0" w:color="auto"/>
            </w:tcBorders>
            <w:shd w:val="clear" w:color="auto" w:fill="auto"/>
          </w:tcPr>
          <w:p w:rsidR="00703511" w:rsidRPr="0047440B" w:rsidRDefault="00703511" w:rsidP="00703511">
            <w:pPr>
              <w:jc w:val="center"/>
              <w:rPr>
                <w:color w:val="000000"/>
                <w:sz w:val="18"/>
                <w:szCs w:val="18"/>
              </w:rPr>
            </w:pPr>
            <w:r w:rsidRPr="0047440B">
              <w:rPr>
                <w:color w:val="000000"/>
                <w:sz w:val="18"/>
                <w:szCs w:val="18"/>
              </w:rPr>
              <w:t>0,002</w:t>
            </w:r>
          </w:p>
        </w:tc>
        <w:tc>
          <w:tcPr>
            <w:tcW w:w="1134" w:type="dxa"/>
            <w:tcBorders>
              <w:top w:val="nil"/>
              <w:left w:val="nil"/>
              <w:bottom w:val="single" w:sz="4" w:space="0" w:color="auto"/>
              <w:right w:val="single" w:sz="4" w:space="0" w:color="auto"/>
            </w:tcBorders>
            <w:shd w:val="clear" w:color="auto" w:fill="auto"/>
          </w:tcPr>
          <w:p w:rsidR="00703511" w:rsidRPr="0047440B" w:rsidRDefault="00703511" w:rsidP="00703511">
            <w:pPr>
              <w:jc w:val="center"/>
              <w:rPr>
                <w:color w:val="000000"/>
                <w:sz w:val="18"/>
                <w:szCs w:val="18"/>
              </w:rPr>
            </w:pPr>
            <w:r w:rsidRPr="0047440B">
              <w:rPr>
                <w:color w:val="000000"/>
                <w:sz w:val="18"/>
                <w:szCs w:val="18"/>
              </w:rPr>
              <w:t>0,003</w:t>
            </w:r>
          </w:p>
        </w:tc>
        <w:tc>
          <w:tcPr>
            <w:tcW w:w="992" w:type="dxa"/>
            <w:tcBorders>
              <w:top w:val="nil"/>
              <w:left w:val="nil"/>
              <w:bottom w:val="single" w:sz="4" w:space="0" w:color="auto"/>
              <w:right w:val="single" w:sz="4" w:space="0" w:color="auto"/>
            </w:tcBorders>
            <w:shd w:val="clear" w:color="auto" w:fill="auto"/>
          </w:tcPr>
          <w:p w:rsidR="00703511" w:rsidRPr="0047440B" w:rsidRDefault="00703511" w:rsidP="00703511">
            <w:pPr>
              <w:jc w:val="center"/>
              <w:rPr>
                <w:color w:val="000000"/>
                <w:sz w:val="18"/>
                <w:szCs w:val="18"/>
              </w:rPr>
            </w:pPr>
            <w:r w:rsidRPr="0047440B">
              <w:rPr>
                <w:color w:val="000000"/>
                <w:sz w:val="18"/>
                <w:szCs w:val="18"/>
              </w:rPr>
              <w:t>0,003</w:t>
            </w:r>
          </w:p>
        </w:tc>
        <w:tc>
          <w:tcPr>
            <w:tcW w:w="1134" w:type="dxa"/>
            <w:tcBorders>
              <w:top w:val="nil"/>
              <w:left w:val="nil"/>
              <w:bottom w:val="single" w:sz="4" w:space="0" w:color="auto"/>
              <w:right w:val="single" w:sz="4" w:space="0" w:color="auto"/>
            </w:tcBorders>
            <w:shd w:val="clear" w:color="auto" w:fill="auto"/>
          </w:tcPr>
          <w:p w:rsidR="00703511" w:rsidRPr="0047440B" w:rsidRDefault="00703511" w:rsidP="00703511">
            <w:pPr>
              <w:jc w:val="center"/>
              <w:rPr>
                <w:color w:val="000000"/>
                <w:sz w:val="18"/>
                <w:szCs w:val="18"/>
              </w:rPr>
            </w:pPr>
            <w:r w:rsidRPr="0047440B">
              <w:rPr>
                <w:color w:val="000000"/>
                <w:sz w:val="18"/>
                <w:szCs w:val="18"/>
              </w:rPr>
              <w:t>0,002</w:t>
            </w:r>
          </w:p>
        </w:tc>
        <w:tc>
          <w:tcPr>
            <w:tcW w:w="1129" w:type="dxa"/>
            <w:tcBorders>
              <w:top w:val="nil"/>
              <w:left w:val="nil"/>
              <w:bottom w:val="single" w:sz="4" w:space="0" w:color="auto"/>
              <w:right w:val="single" w:sz="4" w:space="0" w:color="auto"/>
            </w:tcBorders>
            <w:shd w:val="clear" w:color="auto" w:fill="auto"/>
          </w:tcPr>
          <w:p w:rsidR="00703511" w:rsidRPr="0047440B" w:rsidRDefault="00703511" w:rsidP="00703511">
            <w:pPr>
              <w:jc w:val="center"/>
              <w:rPr>
                <w:color w:val="000000"/>
                <w:sz w:val="18"/>
                <w:szCs w:val="18"/>
              </w:rPr>
            </w:pPr>
            <w:r w:rsidRPr="0047440B">
              <w:rPr>
                <w:color w:val="000000"/>
                <w:sz w:val="18"/>
                <w:szCs w:val="18"/>
              </w:rPr>
              <w:t>0,001</w:t>
            </w:r>
          </w:p>
        </w:tc>
        <w:tc>
          <w:tcPr>
            <w:tcW w:w="1134" w:type="dxa"/>
            <w:tcBorders>
              <w:top w:val="nil"/>
              <w:left w:val="nil"/>
              <w:bottom w:val="single" w:sz="4" w:space="0" w:color="auto"/>
              <w:right w:val="single" w:sz="4" w:space="0" w:color="auto"/>
            </w:tcBorders>
            <w:shd w:val="clear" w:color="auto" w:fill="auto"/>
          </w:tcPr>
          <w:p w:rsidR="00703511" w:rsidRPr="0047440B" w:rsidRDefault="00703511" w:rsidP="00703511">
            <w:pPr>
              <w:jc w:val="center"/>
              <w:rPr>
                <w:color w:val="000000"/>
                <w:sz w:val="18"/>
                <w:szCs w:val="18"/>
              </w:rPr>
            </w:pPr>
            <w:r w:rsidRPr="0047440B">
              <w:rPr>
                <w:color w:val="000000"/>
                <w:sz w:val="18"/>
                <w:szCs w:val="18"/>
              </w:rPr>
              <w:t>0,001</w:t>
            </w:r>
          </w:p>
        </w:tc>
        <w:tc>
          <w:tcPr>
            <w:tcW w:w="992" w:type="dxa"/>
            <w:tcBorders>
              <w:top w:val="nil"/>
              <w:left w:val="nil"/>
              <w:bottom w:val="single" w:sz="4" w:space="0" w:color="auto"/>
              <w:right w:val="single" w:sz="4" w:space="0" w:color="auto"/>
            </w:tcBorders>
            <w:shd w:val="clear" w:color="auto" w:fill="auto"/>
          </w:tcPr>
          <w:p w:rsidR="00703511" w:rsidRPr="0047440B" w:rsidRDefault="00703511" w:rsidP="00703511">
            <w:pPr>
              <w:jc w:val="center"/>
              <w:rPr>
                <w:color w:val="000000"/>
                <w:sz w:val="18"/>
                <w:szCs w:val="18"/>
              </w:rPr>
            </w:pPr>
            <w:r w:rsidRPr="0047440B">
              <w:rPr>
                <w:color w:val="000000"/>
                <w:sz w:val="18"/>
                <w:szCs w:val="18"/>
              </w:rPr>
              <w:t>0,003</w:t>
            </w:r>
          </w:p>
        </w:tc>
        <w:tc>
          <w:tcPr>
            <w:tcW w:w="1134" w:type="dxa"/>
            <w:tcBorders>
              <w:top w:val="nil"/>
              <w:left w:val="nil"/>
              <w:bottom w:val="single" w:sz="4" w:space="0" w:color="auto"/>
              <w:right w:val="single" w:sz="4" w:space="0" w:color="auto"/>
            </w:tcBorders>
            <w:shd w:val="clear" w:color="auto" w:fill="auto"/>
          </w:tcPr>
          <w:p w:rsidR="00703511" w:rsidRPr="0047440B" w:rsidRDefault="00703511" w:rsidP="00703511">
            <w:pPr>
              <w:jc w:val="center"/>
              <w:rPr>
                <w:color w:val="000000"/>
                <w:sz w:val="18"/>
                <w:szCs w:val="18"/>
              </w:rPr>
            </w:pPr>
            <w:r w:rsidRPr="0047440B">
              <w:rPr>
                <w:color w:val="000000"/>
                <w:sz w:val="18"/>
                <w:szCs w:val="18"/>
              </w:rPr>
              <w:t>0,003</w:t>
            </w:r>
          </w:p>
        </w:tc>
        <w:tc>
          <w:tcPr>
            <w:tcW w:w="1134" w:type="dxa"/>
            <w:tcBorders>
              <w:top w:val="nil"/>
              <w:left w:val="nil"/>
              <w:bottom w:val="single" w:sz="4" w:space="0" w:color="auto"/>
              <w:right w:val="single" w:sz="4" w:space="0" w:color="auto"/>
            </w:tcBorders>
            <w:shd w:val="clear" w:color="auto" w:fill="auto"/>
          </w:tcPr>
          <w:p w:rsidR="00703511" w:rsidRPr="0047440B" w:rsidRDefault="00703511" w:rsidP="00703511">
            <w:pPr>
              <w:jc w:val="center"/>
              <w:rPr>
                <w:color w:val="000000"/>
                <w:sz w:val="18"/>
                <w:szCs w:val="18"/>
              </w:rPr>
            </w:pPr>
            <w:r w:rsidRPr="0047440B">
              <w:rPr>
                <w:color w:val="000000"/>
                <w:sz w:val="18"/>
                <w:szCs w:val="18"/>
              </w:rPr>
              <w:t>0,002</w:t>
            </w:r>
          </w:p>
        </w:tc>
        <w:tc>
          <w:tcPr>
            <w:tcW w:w="1134" w:type="dxa"/>
            <w:tcBorders>
              <w:top w:val="nil"/>
              <w:left w:val="single" w:sz="4" w:space="0" w:color="auto"/>
              <w:bottom w:val="single" w:sz="4" w:space="0" w:color="auto"/>
              <w:right w:val="single" w:sz="4" w:space="0" w:color="auto"/>
            </w:tcBorders>
            <w:shd w:val="clear" w:color="auto" w:fill="auto"/>
          </w:tcPr>
          <w:p w:rsidR="00703511" w:rsidRPr="0047440B" w:rsidRDefault="00703511" w:rsidP="00826C02">
            <w:pPr>
              <w:jc w:val="center"/>
              <w:rPr>
                <w:color w:val="000000"/>
                <w:sz w:val="18"/>
                <w:szCs w:val="18"/>
              </w:rPr>
            </w:pPr>
            <w:r w:rsidRPr="0047440B">
              <w:rPr>
                <w:color w:val="000000"/>
                <w:sz w:val="18"/>
                <w:szCs w:val="18"/>
              </w:rPr>
              <w:t>0,001</w:t>
            </w:r>
          </w:p>
        </w:tc>
        <w:tc>
          <w:tcPr>
            <w:tcW w:w="1140" w:type="dxa"/>
            <w:tcBorders>
              <w:top w:val="single" w:sz="4" w:space="0" w:color="auto"/>
              <w:left w:val="nil"/>
              <w:bottom w:val="single" w:sz="4" w:space="0" w:color="auto"/>
              <w:right w:val="single" w:sz="4" w:space="0" w:color="auto"/>
            </w:tcBorders>
            <w:shd w:val="clear" w:color="auto" w:fill="auto"/>
          </w:tcPr>
          <w:p w:rsidR="00703511" w:rsidRPr="0047440B" w:rsidRDefault="00703511" w:rsidP="00F10B2E">
            <w:pPr>
              <w:jc w:val="center"/>
              <w:rPr>
                <w:color w:val="000000"/>
                <w:sz w:val="18"/>
                <w:szCs w:val="18"/>
              </w:rPr>
            </w:pPr>
            <w:r w:rsidRPr="0047440B">
              <w:rPr>
                <w:color w:val="000000"/>
                <w:sz w:val="18"/>
                <w:szCs w:val="18"/>
              </w:rPr>
              <w:t>-45,00</w:t>
            </w:r>
          </w:p>
        </w:tc>
      </w:tr>
      <w:tr w:rsidR="00703511" w:rsidRPr="0047440B" w:rsidTr="00F6052B">
        <w:trPr>
          <w:trHeight w:val="20"/>
        </w:trPr>
        <w:tc>
          <w:tcPr>
            <w:tcW w:w="2122" w:type="dxa"/>
            <w:shd w:val="clear" w:color="auto" w:fill="auto"/>
          </w:tcPr>
          <w:p w:rsidR="00703511" w:rsidRPr="0047440B" w:rsidRDefault="00703511" w:rsidP="00703511">
            <w:pPr>
              <w:jc w:val="both"/>
              <w:rPr>
                <w:rFonts w:eastAsia="Arial"/>
                <w:sz w:val="18"/>
                <w:szCs w:val="18"/>
              </w:rPr>
            </w:pPr>
            <w:r w:rsidRPr="0047440B">
              <w:rPr>
                <w:rFonts w:eastAsia="Arial"/>
                <w:sz w:val="18"/>
                <w:szCs w:val="18"/>
              </w:rPr>
              <w:t>глотки</w:t>
            </w:r>
          </w:p>
        </w:tc>
        <w:tc>
          <w:tcPr>
            <w:tcW w:w="992" w:type="dxa"/>
            <w:tcBorders>
              <w:top w:val="nil"/>
              <w:left w:val="nil"/>
              <w:bottom w:val="single" w:sz="4" w:space="0" w:color="auto"/>
              <w:right w:val="single" w:sz="4" w:space="0" w:color="auto"/>
            </w:tcBorders>
            <w:shd w:val="clear" w:color="auto" w:fill="auto"/>
          </w:tcPr>
          <w:p w:rsidR="00703511" w:rsidRPr="0047440B" w:rsidRDefault="00703511" w:rsidP="00703511">
            <w:pPr>
              <w:jc w:val="center"/>
              <w:rPr>
                <w:color w:val="000000"/>
                <w:sz w:val="18"/>
                <w:szCs w:val="18"/>
              </w:rPr>
            </w:pPr>
            <w:r w:rsidRPr="0047440B">
              <w:rPr>
                <w:color w:val="000000"/>
                <w:sz w:val="18"/>
                <w:szCs w:val="18"/>
              </w:rPr>
              <w:t>0,001</w:t>
            </w:r>
          </w:p>
        </w:tc>
        <w:tc>
          <w:tcPr>
            <w:tcW w:w="1134" w:type="dxa"/>
            <w:tcBorders>
              <w:top w:val="nil"/>
              <w:left w:val="nil"/>
              <w:bottom w:val="single" w:sz="4" w:space="0" w:color="auto"/>
              <w:right w:val="single" w:sz="4" w:space="0" w:color="auto"/>
            </w:tcBorders>
            <w:shd w:val="clear" w:color="auto" w:fill="auto"/>
          </w:tcPr>
          <w:p w:rsidR="00703511" w:rsidRPr="0047440B" w:rsidRDefault="00703511" w:rsidP="00703511">
            <w:pPr>
              <w:jc w:val="center"/>
              <w:rPr>
                <w:color w:val="000000"/>
                <w:sz w:val="18"/>
                <w:szCs w:val="18"/>
              </w:rPr>
            </w:pPr>
            <w:r w:rsidRPr="0047440B">
              <w:rPr>
                <w:color w:val="000000"/>
                <w:sz w:val="18"/>
                <w:szCs w:val="18"/>
              </w:rPr>
              <w:t>0,001</w:t>
            </w:r>
          </w:p>
        </w:tc>
        <w:tc>
          <w:tcPr>
            <w:tcW w:w="992" w:type="dxa"/>
            <w:tcBorders>
              <w:top w:val="nil"/>
              <w:left w:val="nil"/>
              <w:bottom w:val="single" w:sz="4" w:space="0" w:color="auto"/>
              <w:right w:val="single" w:sz="4" w:space="0" w:color="auto"/>
            </w:tcBorders>
            <w:shd w:val="clear" w:color="auto" w:fill="auto"/>
          </w:tcPr>
          <w:p w:rsidR="00703511" w:rsidRPr="0047440B" w:rsidRDefault="00703511" w:rsidP="00703511">
            <w:pPr>
              <w:jc w:val="center"/>
              <w:rPr>
                <w:color w:val="000000"/>
                <w:sz w:val="18"/>
                <w:szCs w:val="18"/>
              </w:rPr>
            </w:pPr>
            <w:r w:rsidRPr="0047440B">
              <w:rPr>
                <w:color w:val="000000"/>
                <w:sz w:val="18"/>
                <w:szCs w:val="18"/>
              </w:rPr>
              <w:t>0,001</w:t>
            </w:r>
          </w:p>
        </w:tc>
        <w:tc>
          <w:tcPr>
            <w:tcW w:w="1134" w:type="dxa"/>
            <w:tcBorders>
              <w:top w:val="nil"/>
              <w:left w:val="nil"/>
              <w:bottom w:val="single" w:sz="4" w:space="0" w:color="auto"/>
              <w:right w:val="single" w:sz="4" w:space="0" w:color="auto"/>
            </w:tcBorders>
            <w:shd w:val="clear" w:color="auto" w:fill="auto"/>
          </w:tcPr>
          <w:p w:rsidR="00703511" w:rsidRPr="0047440B" w:rsidRDefault="00703511" w:rsidP="00703511">
            <w:pPr>
              <w:jc w:val="center"/>
              <w:rPr>
                <w:color w:val="000000"/>
                <w:sz w:val="18"/>
                <w:szCs w:val="18"/>
              </w:rPr>
            </w:pPr>
            <w:r w:rsidRPr="0047440B">
              <w:rPr>
                <w:color w:val="000000"/>
                <w:sz w:val="18"/>
                <w:szCs w:val="18"/>
              </w:rPr>
              <w:t>0,000</w:t>
            </w:r>
          </w:p>
        </w:tc>
        <w:tc>
          <w:tcPr>
            <w:tcW w:w="1129" w:type="dxa"/>
            <w:tcBorders>
              <w:top w:val="nil"/>
              <w:left w:val="nil"/>
              <w:bottom w:val="single" w:sz="4" w:space="0" w:color="auto"/>
              <w:right w:val="single" w:sz="4" w:space="0" w:color="auto"/>
            </w:tcBorders>
            <w:shd w:val="clear" w:color="auto" w:fill="auto"/>
          </w:tcPr>
          <w:p w:rsidR="00703511" w:rsidRPr="0047440B" w:rsidRDefault="00703511" w:rsidP="00703511">
            <w:pPr>
              <w:jc w:val="center"/>
              <w:rPr>
                <w:color w:val="000000"/>
                <w:sz w:val="18"/>
                <w:szCs w:val="18"/>
              </w:rPr>
            </w:pPr>
            <w:r w:rsidRPr="0047440B">
              <w:rPr>
                <w:color w:val="000000"/>
                <w:sz w:val="18"/>
                <w:szCs w:val="18"/>
              </w:rPr>
              <w:t>0,000</w:t>
            </w:r>
          </w:p>
        </w:tc>
        <w:tc>
          <w:tcPr>
            <w:tcW w:w="1134" w:type="dxa"/>
            <w:tcBorders>
              <w:top w:val="nil"/>
              <w:left w:val="nil"/>
              <w:bottom w:val="single" w:sz="4" w:space="0" w:color="auto"/>
              <w:right w:val="single" w:sz="4" w:space="0" w:color="auto"/>
            </w:tcBorders>
            <w:shd w:val="clear" w:color="auto" w:fill="auto"/>
          </w:tcPr>
          <w:p w:rsidR="00703511" w:rsidRPr="0047440B" w:rsidRDefault="00703511" w:rsidP="00703511">
            <w:pPr>
              <w:jc w:val="center"/>
              <w:rPr>
                <w:color w:val="000000"/>
                <w:sz w:val="18"/>
                <w:szCs w:val="18"/>
              </w:rPr>
            </w:pPr>
            <w:r w:rsidRPr="0047440B">
              <w:rPr>
                <w:color w:val="000000"/>
                <w:sz w:val="18"/>
                <w:szCs w:val="18"/>
              </w:rPr>
              <w:t>0,000</w:t>
            </w:r>
          </w:p>
        </w:tc>
        <w:tc>
          <w:tcPr>
            <w:tcW w:w="992" w:type="dxa"/>
            <w:tcBorders>
              <w:top w:val="nil"/>
              <w:left w:val="nil"/>
              <w:bottom w:val="single" w:sz="4" w:space="0" w:color="auto"/>
              <w:right w:val="single" w:sz="4" w:space="0" w:color="auto"/>
            </w:tcBorders>
            <w:shd w:val="clear" w:color="auto" w:fill="auto"/>
          </w:tcPr>
          <w:p w:rsidR="00703511" w:rsidRPr="0047440B" w:rsidRDefault="00703511" w:rsidP="00703511">
            <w:pPr>
              <w:jc w:val="center"/>
              <w:rPr>
                <w:color w:val="000000"/>
                <w:sz w:val="18"/>
                <w:szCs w:val="18"/>
              </w:rPr>
            </w:pPr>
            <w:r w:rsidRPr="0047440B">
              <w:rPr>
                <w:color w:val="000000"/>
                <w:sz w:val="18"/>
                <w:szCs w:val="18"/>
              </w:rPr>
              <w:t>0,001</w:t>
            </w:r>
          </w:p>
        </w:tc>
        <w:tc>
          <w:tcPr>
            <w:tcW w:w="1134" w:type="dxa"/>
            <w:tcBorders>
              <w:top w:val="nil"/>
              <w:left w:val="nil"/>
              <w:bottom w:val="single" w:sz="4" w:space="0" w:color="auto"/>
              <w:right w:val="single" w:sz="4" w:space="0" w:color="auto"/>
            </w:tcBorders>
            <w:shd w:val="clear" w:color="auto" w:fill="auto"/>
          </w:tcPr>
          <w:p w:rsidR="00703511" w:rsidRPr="0047440B" w:rsidRDefault="00703511" w:rsidP="00703511">
            <w:pPr>
              <w:jc w:val="center"/>
              <w:rPr>
                <w:color w:val="000000"/>
                <w:sz w:val="18"/>
                <w:szCs w:val="18"/>
              </w:rPr>
            </w:pPr>
            <w:r w:rsidRPr="0047440B">
              <w:rPr>
                <w:color w:val="000000"/>
                <w:sz w:val="18"/>
                <w:szCs w:val="18"/>
              </w:rPr>
              <w:t>0,002</w:t>
            </w:r>
          </w:p>
        </w:tc>
        <w:tc>
          <w:tcPr>
            <w:tcW w:w="1134" w:type="dxa"/>
            <w:tcBorders>
              <w:top w:val="nil"/>
              <w:left w:val="nil"/>
              <w:bottom w:val="single" w:sz="4" w:space="0" w:color="auto"/>
              <w:right w:val="single" w:sz="4" w:space="0" w:color="auto"/>
            </w:tcBorders>
            <w:shd w:val="clear" w:color="auto" w:fill="auto"/>
          </w:tcPr>
          <w:p w:rsidR="00703511" w:rsidRPr="0047440B" w:rsidRDefault="00703511" w:rsidP="00703511">
            <w:pPr>
              <w:jc w:val="center"/>
              <w:rPr>
                <w:color w:val="000000"/>
                <w:sz w:val="18"/>
                <w:szCs w:val="18"/>
              </w:rPr>
            </w:pPr>
            <w:r w:rsidRPr="0047440B">
              <w:rPr>
                <w:color w:val="000000"/>
                <w:sz w:val="18"/>
                <w:szCs w:val="18"/>
              </w:rPr>
              <w:t>0,001</w:t>
            </w:r>
          </w:p>
        </w:tc>
        <w:tc>
          <w:tcPr>
            <w:tcW w:w="1134" w:type="dxa"/>
            <w:tcBorders>
              <w:top w:val="nil"/>
              <w:left w:val="single" w:sz="4" w:space="0" w:color="auto"/>
              <w:bottom w:val="single" w:sz="4" w:space="0" w:color="auto"/>
              <w:right w:val="single" w:sz="4" w:space="0" w:color="auto"/>
            </w:tcBorders>
            <w:shd w:val="clear" w:color="auto" w:fill="auto"/>
          </w:tcPr>
          <w:p w:rsidR="00703511" w:rsidRPr="0047440B" w:rsidRDefault="00703511" w:rsidP="00826C02">
            <w:pPr>
              <w:jc w:val="center"/>
              <w:rPr>
                <w:color w:val="000000"/>
                <w:sz w:val="18"/>
                <w:szCs w:val="18"/>
              </w:rPr>
            </w:pPr>
            <w:r w:rsidRPr="0047440B">
              <w:rPr>
                <w:color w:val="000000"/>
                <w:sz w:val="18"/>
                <w:szCs w:val="18"/>
              </w:rPr>
              <w:t>0,00</w:t>
            </w:r>
            <w:r w:rsidR="00826C02" w:rsidRPr="0047440B">
              <w:rPr>
                <w:color w:val="000000"/>
                <w:sz w:val="18"/>
                <w:szCs w:val="18"/>
              </w:rPr>
              <w:t>1</w:t>
            </w:r>
          </w:p>
        </w:tc>
        <w:tc>
          <w:tcPr>
            <w:tcW w:w="1140" w:type="dxa"/>
            <w:tcBorders>
              <w:top w:val="single" w:sz="4" w:space="0" w:color="auto"/>
              <w:left w:val="nil"/>
              <w:bottom w:val="single" w:sz="4" w:space="0" w:color="auto"/>
              <w:right w:val="single" w:sz="4" w:space="0" w:color="auto"/>
            </w:tcBorders>
            <w:shd w:val="clear" w:color="auto" w:fill="auto"/>
          </w:tcPr>
          <w:p w:rsidR="00703511" w:rsidRPr="0047440B" w:rsidRDefault="00703511" w:rsidP="00F10B2E">
            <w:pPr>
              <w:jc w:val="center"/>
              <w:rPr>
                <w:color w:val="000000"/>
                <w:sz w:val="18"/>
                <w:szCs w:val="18"/>
              </w:rPr>
            </w:pPr>
            <w:r w:rsidRPr="0047440B">
              <w:rPr>
                <w:color w:val="000000"/>
                <w:sz w:val="18"/>
                <w:szCs w:val="18"/>
              </w:rPr>
              <w:t>-50,00</w:t>
            </w:r>
          </w:p>
        </w:tc>
      </w:tr>
      <w:tr w:rsidR="00703511" w:rsidRPr="0047440B" w:rsidTr="00F6052B">
        <w:trPr>
          <w:trHeight w:val="20"/>
        </w:trPr>
        <w:tc>
          <w:tcPr>
            <w:tcW w:w="2122" w:type="dxa"/>
            <w:tcBorders>
              <w:bottom w:val="single" w:sz="4" w:space="0" w:color="auto"/>
            </w:tcBorders>
            <w:shd w:val="clear" w:color="auto" w:fill="auto"/>
          </w:tcPr>
          <w:p w:rsidR="00703511" w:rsidRPr="0047440B" w:rsidRDefault="00703511" w:rsidP="00703511">
            <w:pPr>
              <w:jc w:val="both"/>
              <w:rPr>
                <w:rFonts w:eastAsia="Arial"/>
                <w:sz w:val="18"/>
                <w:szCs w:val="18"/>
              </w:rPr>
            </w:pPr>
            <w:r w:rsidRPr="0047440B">
              <w:rPr>
                <w:rFonts w:eastAsia="Arial"/>
                <w:sz w:val="18"/>
                <w:szCs w:val="18"/>
              </w:rPr>
              <w:t>ободочной кишки</w:t>
            </w:r>
          </w:p>
        </w:tc>
        <w:tc>
          <w:tcPr>
            <w:tcW w:w="992" w:type="dxa"/>
            <w:tcBorders>
              <w:top w:val="nil"/>
              <w:left w:val="nil"/>
              <w:bottom w:val="single" w:sz="4" w:space="0" w:color="auto"/>
              <w:right w:val="single" w:sz="4" w:space="0" w:color="auto"/>
            </w:tcBorders>
            <w:shd w:val="clear" w:color="auto" w:fill="auto"/>
          </w:tcPr>
          <w:p w:rsidR="00703511" w:rsidRPr="0047440B" w:rsidRDefault="00703511" w:rsidP="00703511">
            <w:pPr>
              <w:jc w:val="center"/>
              <w:rPr>
                <w:color w:val="000000"/>
                <w:sz w:val="18"/>
                <w:szCs w:val="18"/>
              </w:rPr>
            </w:pPr>
            <w:r w:rsidRPr="0047440B">
              <w:rPr>
                <w:color w:val="000000"/>
                <w:sz w:val="18"/>
                <w:szCs w:val="18"/>
              </w:rPr>
              <w:t>0,007</w:t>
            </w:r>
          </w:p>
        </w:tc>
        <w:tc>
          <w:tcPr>
            <w:tcW w:w="1134" w:type="dxa"/>
            <w:tcBorders>
              <w:top w:val="nil"/>
              <w:left w:val="nil"/>
              <w:bottom w:val="single" w:sz="4" w:space="0" w:color="auto"/>
              <w:right w:val="single" w:sz="4" w:space="0" w:color="auto"/>
            </w:tcBorders>
            <w:shd w:val="clear" w:color="auto" w:fill="auto"/>
          </w:tcPr>
          <w:p w:rsidR="00703511" w:rsidRPr="0047440B" w:rsidRDefault="00703511" w:rsidP="00703511">
            <w:pPr>
              <w:jc w:val="center"/>
              <w:rPr>
                <w:color w:val="000000"/>
                <w:sz w:val="18"/>
                <w:szCs w:val="18"/>
              </w:rPr>
            </w:pPr>
            <w:r w:rsidRPr="0047440B">
              <w:rPr>
                <w:color w:val="000000"/>
                <w:sz w:val="18"/>
                <w:szCs w:val="18"/>
              </w:rPr>
              <w:t>0,015</w:t>
            </w:r>
          </w:p>
        </w:tc>
        <w:tc>
          <w:tcPr>
            <w:tcW w:w="992" w:type="dxa"/>
            <w:tcBorders>
              <w:top w:val="nil"/>
              <w:left w:val="nil"/>
              <w:bottom w:val="single" w:sz="4" w:space="0" w:color="auto"/>
              <w:right w:val="single" w:sz="4" w:space="0" w:color="auto"/>
            </w:tcBorders>
            <w:shd w:val="clear" w:color="auto" w:fill="auto"/>
          </w:tcPr>
          <w:p w:rsidR="00703511" w:rsidRPr="0047440B" w:rsidRDefault="00703511" w:rsidP="00703511">
            <w:pPr>
              <w:jc w:val="center"/>
              <w:rPr>
                <w:color w:val="000000"/>
                <w:sz w:val="18"/>
                <w:szCs w:val="18"/>
              </w:rPr>
            </w:pPr>
            <w:r w:rsidRPr="0047440B">
              <w:rPr>
                <w:color w:val="000000"/>
                <w:sz w:val="18"/>
                <w:szCs w:val="18"/>
              </w:rPr>
              <w:t>0,019</w:t>
            </w:r>
          </w:p>
        </w:tc>
        <w:tc>
          <w:tcPr>
            <w:tcW w:w="1134" w:type="dxa"/>
            <w:tcBorders>
              <w:top w:val="nil"/>
              <w:left w:val="nil"/>
              <w:bottom w:val="single" w:sz="4" w:space="0" w:color="auto"/>
              <w:right w:val="single" w:sz="4" w:space="0" w:color="auto"/>
            </w:tcBorders>
            <w:shd w:val="clear" w:color="auto" w:fill="auto"/>
          </w:tcPr>
          <w:p w:rsidR="00703511" w:rsidRPr="0047440B" w:rsidRDefault="00703511" w:rsidP="00703511">
            <w:pPr>
              <w:jc w:val="center"/>
              <w:rPr>
                <w:color w:val="000000"/>
                <w:sz w:val="18"/>
                <w:szCs w:val="18"/>
              </w:rPr>
            </w:pPr>
            <w:r w:rsidRPr="0047440B">
              <w:rPr>
                <w:color w:val="000000"/>
                <w:sz w:val="18"/>
                <w:szCs w:val="18"/>
              </w:rPr>
              <w:t>0,015</w:t>
            </w:r>
          </w:p>
        </w:tc>
        <w:tc>
          <w:tcPr>
            <w:tcW w:w="1129" w:type="dxa"/>
            <w:tcBorders>
              <w:top w:val="nil"/>
              <w:left w:val="nil"/>
              <w:bottom w:val="single" w:sz="4" w:space="0" w:color="auto"/>
              <w:right w:val="single" w:sz="4" w:space="0" w:color="auto"/>
            </w:tcBorders>
            <w:shd w:val="clear" w:color="auto" w:fill="auto"/>
          </w:tcPr>
          <w:p w:rsidR="00703511" w:rsidRPr="0047440B" w:rsidRDefault="00703511" w:rsidP="00703511">
            <w:pPr>
              <w:jc w:val="center"/>
              <w:rPr>
                <w:color w:val="000000"/>
                <w:sz w:val="18"/>
                <w:szCs w:val="18"/>
              </w:rPr>
            </w:pPr>
            <w:r w:rsidRPr="0047440B">
              <w:rPr>
                <w:color w:val="000000"/>
                <w:sz w:val="18"/>
                <w:szCs w:val="18"/>
              </w:rPr>
              <w:t>0,013</w:t>
            </w:r>
          </w:p>
        </w:tc>
        <w:tc>
          <w:tcPr>
            <w:tcW w:w="1134" w:type="dxa"/>
            <w:tcBorders>
              <w:top w:val="nil"/>
              <w:left w:val="nil"/>
              <w:bottom w:val="single" w:sz="4" w:space="0" w:color="auto"/>
              <w:right w:val="single" w:sz="4" w:space="0" w:color="auto"/>
            </w:tcBorders>
            <w:shd w:val="clear" w:color="auto" w:fill="auto"/>
          </w:tcPr>
          <w:p w:rsidR="00703511" w:rsidRPr="0047440B" w:rsidRDefault="00703511" w:rsidP="00703511">
            <w:pPr>
              <w:jc w:val="center"/>
              <w:rPr>
                <w:color w:val="000000"/>
                <w:sz w:val="18"/>
                <w:szCs w:val="18"/>
              </w:rPr>
            </w:pPr>
            <w:r w:rsidRPr="0047440B">
              <w:rPr>
                <w:color w:val="000000"/>
                <w:sz w:val="18"/>
                <w:szCs w:val="18"/>
              </w:rPr>
              <w:t>0,013</w:t>
            </w:r>
          </w:p>
        </w:tc>
        <w:tc>
          <w:tcPr>
            <w:tcW w:w="992" w:type="dxa"/>
            <w:tcBorders>
              <w:top w:val="nil"/>
              <w:left w:val="nil"/>
              <w:bottom w:val="single" w:sz="4" w:space="0" w:color="auto"/>
              <w:right w:val="single" w:sz="4" w:space="0" w:color="auto"/>
            </w:tcBorders>
            <w:shd w:val="clear" w:color="auto" w:fill="auto"/>
          </w:tcPr>
          <w:p w:rsidR="00703511" w:rsidRPr="0047440B" w:rsidRDefault="00703511" w:rsidP="00703511">
            <w:pPr>
              <w:jc w:val="center"/>
              <w:rPr>
                <w:color w:val="000000"/>
                <w:sz w:val="18"/>
                <w:szCs w:val="18"/>
              </w:rPr>
            </w:pPr>
            <w:r w:rsidRPr="0047440B">
              <w:rPr>
                <w:color w:val="000000"/>
                <w:sz w:val="18"/>
                <w:szCs w:val="18"/>
              </w:rPr>
              <w:t>0,023</w:t>
            </w:r>
          </w:p>
        </w:tc>
        <w:tc>
          <w:tcPr>
            <w:tcW w:w="1134" w:type="dxa"/>
            <w:tcBorders>
              <w:top w:val="nil"/>
              <w:left w:val="nil"/>
              <w:bottom w:val="single" w:sz="4" w:space="0" w:color="auto"/>
              <w:right w:val="single" w:sz="4" w:space="0" w:color="auto"/>
            </w:tcBorders>
            <w:shd w:val="clear" w:color="auto" w:fill="auto"/>
          </w:tcPr>
          <w:p w:rsidR="00703511" w:rsidRPr="0047440B" w:rsidRDefault="00703511" w:rsidP="00703511">
            <w:pPr>
              <w:jc w:val="center"/>
              <w:rPr>
                <w:color w:val="000000"/>
                <w:sz w:val="18"/>
                <w:szCs w:val="18"/>
              </w:rPr>
            </w:pPr>
            <w:r w:rsidRPr="0047440B">
              <w:rPr>
                <w:color w:val="000000"/>
                <w:sz w:val="18"/>
                <w:szCs w:val="18"/>
              </w:rPr>
              <w:t>0,026</w:t>
            </w:r>
          </w:p>
        </w:tc>
        <w:tc>
          <w:tcPr>
            <w:tcW w:w="1134" w:type="dxa"/>
            <w:tcBorders>
              <w:top w:val="nil"/>
              <w:left w:val="nil"/>
              <w:bottom w:val="single" w:sz="4" w:space="0" w:color="auto"/>
              <w:right w:val="single" w:sz="4" w:space="0" w:color="auto"/>
            </w:tcBorders>
            <w:shd w:val="clear" w:color="auto" w:fill="auto"/>
          </w:tcPr>
          <w:p w:rsidR="00703511" w:rsidRPr="0047440B" w:rsidRDefault="00703511" w:rsidP="00703511">
            <w:pPr>
              <w:jc w:val="center"/>
              <w:rPr>
                <w:color w:val="000000"/>
                <w:sz w:val="18"/>
                <w:szCs w:val="18"/>
              </w:rPr>
            </w:pPr>
            <w:r w:rsidRPr="0047440B">
              <w:rPr>
                <w:color w:val="000000"/>
                <w:sz w:val="18"/>
                <w:szCs w:val="18"/>
              </w:rPr>
              <w:t>0,022</w:t>
            </w:r>
          </w:p>
        </w:tc>
        <w:tc>
          <w:tcPr>
            <w:tcW w:w="1134" w:type="dxa"/>
            <w:tcBorders>
              <w:top w:val="nil"/>
              <w:left w:val="single" w:sz="4" w:space="0" w:color="auto"/>
              <w:bottom w:val="single" w:sz="4" w:space="0" w:color="auto"/>
              <w:right w:val="single" w:sz="4" w:space="0" w:color="auto"/>
            </w:tcBorders>
            <w:shd w:val="clear" w:color="auto" w:fill="auto"/>
          </w:tcPr>
          <w:p w:rsidR="00703511" w:rsidRPr="0047440B" w:rsidRDefault="00703511" w:rsidP="00826C02">
            <w:pPr>
              <w:jc w:val="center"/>
              <w:rPr>
                <w:color w:val="000000"/>
                <w:sz w:val="18"/>
                <w:szCs w:val="18"/>
              </w:rPr>
            </w:pPr>
            <w:r w:rsidRPr="0047440B">
              <w:rPr>
                <w:color w:val="000000"/>
                <w:sz w:val="18"/>
                <w:szCs w:val="18"/>
              </w:rPr>
              <w:t>0,04</w:t>
            </w:r>
            <w:r w:rsidR="00826C02" w:rsidRPr="0047440B">
              <w:rPr>
                <w:color w:val="000000"/>
                <w:sz w:val="18"/>
                <w:szCs w:val="18"/>
              </w:rPr>
              <w:t>3</w:t>
            </w:r>
          </w:p>
        </w:tc>
        <w:tc>
          <w:tcPr>
            <w:tcW w:w="1140" w:type="dxa"/>
            <w:tcBorders>
              <w:top w:val="single" w:sz="4" w:space="0" w:color="auto"/>
              <w:left w:val="nil"/>
              <w:bottom w:val="single" w:sz="4" w:space="0" w:color="auto"/>
              <w:right w:val="single" w:sz="4" w:space="0" w:color="auto"/>
            </w:tcBorders>
            <w:shd w:val="clear" w:color="auto" w:fill="auto"/>
          </w:tcPr>
          <w:p w:rsidR="00703511" w:rsidRPr="0047440B" w:rsidRDefault="00703511" w:rsidP="00F10B2E">
            <w:pPr>
              <w:jc w:val="center"/>
              <w:rPr>
                <w:color w:val="000000"/>
                <w:sz w:val="18"/>
                <w:szCs w:val="18"/>
              </w:rPr>
            </w:pPr>
            <w:r w:rsidRPr="0047440B">
              <w:rPr>
                <w:color w:val="000000"/>
                <w:sz w:val="18"/>
                <w:szCs w:val="18"/>
              </w:rPr>
              <w:t>484,2</w:t>
            </w:r>
            <w:r w:rsidR="00F10B2E" w:rsidRPr="0047440B">
              <w:rPr>
                <w:color w:val="000000"/>
                <w:sz w:val="18"/>
                <w:szCs w:val="18"/>
              </w:rPr>
              <w:t>9</w:t>
            </w:r>
          </w:p>
        </w:tc>
      </w:tr>
      <w:tr w:rsidR="00703511" w:rsidRPr="0047440B" w:rsidTr="00F6052B">
        <w:trPr>
          <w:trHeight w:val="20"/>
        </w:trPr>
        <w:tc>
          <w:tcPr>
            <w:tcW w:w="2122" w:type="dxa"/>
            <w:tcBorders>
              <w:top w:val="single" w:sz="4" w:space="0" w:color="auto"/>
            </w:tcBorders>
            <w:shd w:val="clear" w:color="auto" w:fill="auto"/>
          </w:tcPr>
          <w:p w:rsidR="00703511" w:rsidRPr="0047440B" w:rsidRDefault="00703511" w:rsidP="00703511">
            <w:pPr>
              <w:jc w:val="both"/>
              <w:rPr>
                <w:rFonts w:eastAsia="Arial"/>
                <w:sz w:val="18"/>
                <w:szCs w:val="18"/>
              </w:rPr>
            </w:pPr>
            <w:r w:rsidRPr="0047440B">
              <w:rPr>
                <w:rFonts w:eastAsia="Arial"/>
                <w:sz w:val="18"/>
                <w:szCs w:val="18"/>
              </w:rPr>
              <w:t>прямой кишки</w:t>
            </w:r>
          </w:p>
        </w:tc>
        <w:tc>
          <w:tcPr>
            <w:tcW w:w="992" w:type="dxa"/>
            <w:tcBorders>
              <w:top w:val="single" w:sz="4" w:space="0" w:color="auto"/>
              <w:left w:val="nil"/>
              <w:bottom w:val="single" w:sz="4" w:space="0" w:color="auto"/>
              <w:right w:val="single" w:sz="4" w:space="0" w:color="auto"/>
            </w:tcBorders>
            <w:shd w:val="clear" w:color="auto" w:fill="auto"/>
          </w:tcPr>
          <w:p w:rsidR="00703511" w:rsidRPr="0047440B" w:rsidRDefault="00703511" w:rsidP="00703511">
            <w:pPr>
              <w:jc w:val="center"/>
              <w:rPr>
                <w:color w:val="000000"/>
                <w:sz w:val="18"/>
                <w:szCs w:val="18"/>
              </w:rPr>
            </w:pPr>
            <w:r w:rsidRPr="0047440B">
              <w:rPr>
                <w:color w:val="000000"/>
                <w:sz w:val="18"/>
                <w:szCs w:val="18"/>
              </w:rPr>
              <w:t>0,008</w:t>
            </w:r>
          </w:p>
        </w:tc>
        <w:tc>
          <w:tcPr>
            <w:tcW w:w="1134" w:type="dxa"/>
            <w:tcBorders>
              <w:top w:val="single" w:sz="4" w:space="0" w:color="auto"/>
              <w:left w:val="nil"/>
              <w:bottom w:val="single" w:sz="4" w:space="0" w:color="auto"/>
              <w:right w:val="single" w:sz="4" w:space="0" w:color="auto"/>
            </w:tcBorders>
            <w:shd w:val="clear" w:color="auto" w:fill="auto"/>
          </w:tcPr>
          <w:p w:rsidR="00703511" w:rsidRPr="0047440B" w:rsidRDefault="00703511" w:rsidP="00703511">
            <w:pPr>
              <w:jc w:val="center"/>
              <w:rPr>
                <w:color w:val="000000"/>
                <w:sz w:val="18"/>
                <w:szCs w:val="18"/>
              </w:rPr>
            </w:pPr>
            <w:r w:rsidRPr="0047440B">
              <w:rPr>
                <w:color w:val="000000"/>
                <w:sz w:val="18"/>
                <w:szCs w:val="18"/>
              </w:rPr>
              <w:t>0,016</w:t>
            </w:r>
          </w:p>
        </w:tc>
        <w:tc>
          <w:tcPr>
            <w:tcW w:w="992" w:type="dxa"/>
            <w:tcBorders>
              <w:top w:val="single" w:sz="4" w:space="0" w:color="auto"/>
              <w:left w:val="nil"/>
              <w:bottom w:val="single" w:sz="4" w:space="0" w:color="auto"/>
              <w:right w:val="single" w:sz="4" w:space="0" w:color="auto"/>
            </w:tcBorders>
            <w:shd w:val="clear" w:color="auto" w:fill="auto"/>
          </w:tcPr>
          <w:p w:rsidR="00703511" w:rsidRPr="0047440B" w:rsidRDefault="00703511" w:rsidP="00703511">
            <w:pPr>
              <w:jc w:val="center"/>
              <w:rPr>
                <w:color w:val="000000"/>
                <w:sz w:val="18"/>
                <w:szCs w:val="18"/>
              </w:rPr>
            </w:pPr>
            <w:r w:rsidRPr="0047440B">
              <w:rPr>
                <w:color w:val="000000"/>
                <w:sz w:val="18"/>
                <w:szCs w:val="18"/>
              </w:rPr>
              <w:t>0,021</w:t>
            </w:r>
          </w:p>
        </w:tc>
        <w:tc>
          <w:tcPr>
            <w:tcW w:w="1134" w:type="dxa"/>
            <w:tcBorders>
              <w:top w:val="single" w:sz="4" w:space="0" w:color="auto"/>
              <w:left w:val="nil"/>
              <w:bottom w:val="single" w:sz="4" w:space="0" w:color="auto"/>
              <w:right w:val="single" w:sz="4" w:space="0" w:color="auto"/>
            </w:tcBorders>
            <w:shd w:val="clear" w:color="auto" w:fill="auto"/>
          </w:tcPr>
          <w:p w:rsidR="00703511" w:rsidRPr="0047440B" w:rsidRDefault="00703511" w:rsidP="00703511">
            <w:pPr>
              <w:jc w:val="center"/>
              <w:rPr>
                <w:color w:val="000000"/>
                <w:sz w:val="18"/>
                <w:szCs w:val="18"/>
              </w:rPr>
            </w:pPr>
            <w:r w:rsidRPr="0047440B">
              <w:rPr>
                <w:color w:val="000000"/>
                <w:sz w:val="18"/>
                <w:szCs w:val="18"/>
              </w:rPr>
              <w:t>0,015</w:t>
            </w:r>
          </w:p>
        </w:tc>
        <w:tc>
          <w:tcPr>
            <w:tcW w:w="1129" w:type="dxa"/>
            <w:tcBorders>
              <w:top w:val="single" w:sz="4" w:space="0" w:color="auto"/>
              <w:left w:val="nil"/>
              <w:bottom w:val="single" w:sz="4" w:space="0" w:color="auto"/>
              <w:right w:val="single" w:sz="4" w:space="0" w:color="auto"/>
            </w:tcBorders>
            <w:shd w:val="clear" w:color="auto" w:fill="auto"/>
          </w:tcPr>
          <w:p w:rsidR="00703511" w:rsidRPr="0047440B" w:rsidRDefault="00703511" w:rsidP="00703511">
            <w:pPr>
              <w:jc w:val="center"/>
              <w:rPr>
                <w:color w:val="000000"/>
                <w:sz w:val="18"/>
                <w:szCs w:val="18"/>
              </w:rPr>
            </w:pPr>
            <w:r w:rsidRPr="0047440B">
              <w:rPr>
                <w:color w:val="000000"/>
                <w:sz w:val="18"/>
                <w:szCs w:val="18"/>
              </w:rPr>
              <w:t>0,009</w:t>
            </w:r>
          </w:p>
        </w:tc>
        <w:tc>
          <w:tcPr>
            <w:tcW w:w="1134" w:type="dxa"/>
            <w:tcBorders>
              <w:top w:val="single" w:sz="4" w:space="0" w:color="auto"/>
              <w:left w:val="nil"/>
              <w:bottom w:val="single" w:sz="4" w:space="0" w:color="auto"/>
              <w:right w:val="single" w:sz="4" w:space="0" w:color="auto"/>
            </w:tcBorders>
            <w:shd w:val="clear" w:color="auto" w:fill="auto"/>
          </w:tcPr>
          <w:p w:rsidR="00703511" w:rsidRPr="0047440B" w:rsidRDefault="00703511" w:rsidP="00703511">
            <w:pPr>
              <w:jc w:val="center"/>
              <w:rPr>
                <w:color w:val="000000"/>
                <w:sz w:val="18"/>
                <w:szCs w:val="18"/>
              </w:rPr>
            </w:pPr>
            <w:r w:rsidRPr="0047440B">
              <w:rPr>
                <w:color w:val="000000"/>
                <w:sz w:val="18"/>
                <w:szCs w:val="18"/>
              </w:rPr>
              <w:t>0,012</w:t>
            </w:r>
          </w:p>
        </w:tc>
        <w:tc>
          <w:tcPr>
            <w:tcW w:w="992" w:type="dxa"/>
            <w:tcBorders>
              <w:top w:val="single" w:sz="4" w:space="0" w:color="auto"/>
              <w:left w:val="nil"/>
              <w:bottom w:val="single" w:sz="4" w:space="0" w:color="auto"/>
              <w:right w:val="single" w:sz="4" w:space="0" w:color="auto"/>
            </w:tcBorders>
            <w:shd w:val="clear" w:color="auto" w:fill="auto"/>
          </w:tcPr>
          <w:p w:rsidR="00703511" w:rsidRPr="0047440B" w:rsidRDefault="00703511" w:rsidP="00703511">
            <w:pPr>
              <w:jc w:val="center"/>
              <w:rPr>
                <w:color w:val="000000"/>
                <w:sz w:val="18"/>
                <w:szCs w:val="18"/>
              </w:rPr>
            </w:pPr>
            <w:r w:rsidRPr="0047440B">
              <w:rPr>
                <w:color w:val="000000"/>
                <w:sz w:val="18"/>
                <w:szCs w:val="18"/>
              </w:rPr>
              <w:t>0,020</w:t>
            </w:r>
          </w:p>
        </w:tc>
        <w:tc>
          <w:tcPr>
            <w:tcW w:w="1134" w:type="dxa"/>
            <w:tcBorders>
              <w:top w:val="single" w:sz="4" w:space="0" w:color="auto"/>
              <w:left w:val="nil"/>
              <w:bottom w:val="single" w:sz="4" w:space="0" w:color="auto"/>
              <w:right w:val="single" w:sz="4" w:space="0" w:color="auto"/>
            </w:tcBorders>
            <w:shd w:val="clear" w:color="auto" w:fill="auto"/>
          </w:tcPr>
          <w:p w:rsidR="00703511" w:rsidRPr="0047440B" w:rsidRDefault="00703511" w:rsidP="00703511">
            <w:pPr>
              <w:jc w:val="center"/>
              <w:rPr>
                <w:color w:val="000000"/>
                <w:sz w:val="18"/>
                <w:szCs w:val="18"/>
              </w:rPr>
            </w:pPr>
            <w:r w:rsidRPr="0047440B">
              <w:rPr>
                <w:color w:val="000000"/>
                <w:sz w:val="18"/>
                <w:szCs w:val="18"/>
              </w:rPr>
              <w:t>0,020</w:t>
            </w:r>
          </w:p>
        </w:tc>
        <w:tc>
          <w:tcPr>
            <w:tcW w:w="1134" w:type="dxa"/>
            <w:tcBorders>
              <w:top w:val="single" w:sz="4" w:space="0" w:color="auto"/>
              <w:left w:val="nil"/>
              <w:bottom w:val="single" w:sz="4" w:space="0" w:color="auto"/>
              <w:right w:val="single" w:sz="4" w:space="0" w:color="auto"/>
            </w:tcBorders>
            <w:shd w:val="clear" w:color="auto" w:fill="auto"/>
          </w:tcPr>
          <w:p w:rsidR="00703511" w:rsidRPr="0047440B" w:rsidRDefault="00703511" w:rsidP="00703511">
            <w:pPr>
              <w:jc w:val="center"/>
              <w:rPr>
                <w:color w:val="000000"/>
                <w:sz w:val="18"/>
                <w:szCs w:val="18"/>
              </w:rPr>
            </w:pPr>
            <w:r w:rsidRPr="0047440B">
              <w:rPr>
                <w:color w:val="000000"/>
                <w:sz w:val="18"/>
                <w:szCs w:val="18"/>
              </w:rPr>
              <w:t>0,020</w:t>
            </w:r>
          </w:p>
        </w:tc>
        <w:tc>
          <w:tcPr>
            <w:tcW w:w="1134" w:type="dxa"/>
            <w:tcBorders>
              <w:top w:val="nil"/>
              <w:left w:val="single" w:sz="4" w:space="0" w:color="auto"/>
              <w:bottom w:val="single" w:sz="4" w:space="0" w:color="auto"/>
              <w:right w:val="single" w:sz="4" w:space="0" w:color="auto"/>
            </w:tcBorders>
            <w:shd w:val="clear" w:color="auto" w:fill="auto"/>
          </w:tcPr>
          <w:p w:rsidR="00703511" w:rsidRPr="0047440B" w:rsidRDefault="00703511" w:rsidP="00826C02">
            <w:pPr>
              <w:jc w:val="center"/>
              <w:rPr>
                <w:color w:val="000000"/>
                <w:sz w:val="18"/>
                <w:szCs w:val="18"/>
              </w:rPr>
            </w:pPr>
            <w:r w:rsidRPr="0047440B">
              <w:rPr>
                <w:color w:val="000000"/>
                <w:sz w:val="18"/>
                <w:szCs w:val="18"/>
              </w:rPr>
              <w:t>0,029</w:t>
            </w:r>
          </w:p>
        </w:tc>
        <w:tc>
          <w:tcPr>
            <w:tcW w:w="1140" w:type="dxa"/>
            <w:tcBorders>
              <w:top w:val="single" w:sz="4" w:space="0" w:color="auto"/>
              <w:left w:val="nil"/>
              <w:bottom w:val="single" w:sz="4" w:space="0" w:color="auto"/>
              <w:right w:val="single" w:sz="4" w:space="0" w:color="auto"/>
            </w:tcBorders>
            <w:shd w:val="clear" w:color="auto" w:fill="auto"/>
          </w:tcPr>
          <w:p w:rsidR="00703511" w:rsidRPr="0047440B" w:rsidRDefault="00703511" w:rsidP="00F10B2E">
            <w:pPr>
              <w:jc w:val="center"/>
              <w:rPr>
                <w:color w:val="000000"/>
                <w:sz w:val="18"/>
                <w:szCs w:val="18"/>
              </w:rPr>
            </w:pPr>
            <w:r w:rsidRPr="0047440B">
              <w:rPr>
                <w:color w:val="000000"/>
                <w:sz w:val="18"/>
                <w:szCs w:val="18"/>
              </w:rPr>
              <w:t>262,50</w:t>
            </w:r>
          </w:p>
        </w:tc>
      </w:tr>
      <w:tr w:rsidR="00703511" w:rsidRPr="0047440B" w:rsidTr="00F6052B">
        <w:trPr>
          <w:trHeight w:val="20"/>
        </w:trPr>
        <w:tc>
          <w:tcPr>
            <w:tcW w:w="2122" w:type="dxa"/>
            <w:tcBorders>
              <w:bottom w:val="single" w:sz="4" w:space="0" w:color="auto"/>
            </w:tcBorders>
            <w:shd w:val="clear" w:color="auto" w:fill="auto"/>
          </w:tcPr>
          <w:p w:rsidR="00703511" w:rsidRPr="0047440B" w:rsidRDefault="00703511" w:rsidP="00703511">
            <w:pPr>
              <w:jc w:val="both"/>
              <w:rPr>
                <w:rFonts w:eastAsia="Arial"/>
                <w:sz w:val="18"/>
                <w:szCs w:val="18"/>
              </w:rPr>
            </w:pPr>
            <w:r w:rsidRPr="0047440B">
              <w:rPr>
                <w:rFonts w:eastAsia="Arial"/>
                <w:sz w:val="18"/>
                <w:szCs w:val="18"/>
              </w:rPr>
              <w:t>легкого</w:t>
            </w:r>
          </w:p>
        </w:tc>
        <w:tc>
          <w:tcPr>
            <w:tcW w:w="992" w:type="dxa"/>
            <w:tcBorders>
              <w:top w:val="nil"/>
              <w:left w:val="nil"/>
              <w:bottom w:val="single" w:sz="4" w:space="0" w:color="auto"/>
              <w:right w:val="single" w:sz="4" w:space="0" w:color="auto"/>
            </w:tcBorders>
            <w:shd w:val="clear" w:color="auto" w:fill="auto"/>
          </w:tcPr>
          <w:p w:rsidR="00703511" w:rsidRPr="0047440B" w:rsidRDefault="00703511" w:rsidP="00703511">
            <w:pPr>
              <w:jc w:val="center"/>
              <w:rPr>
                <w:color w:val="000000"/>
                <w:sz w:val="18"/>
                <w:szCs w:val="18"/>
              </w:rPr>
            </w:pPr>
            <w:r w:rsidRPr="0047440B">
              <w:rPr>
                <w:color w:val="000000"/>
                <w:sz w:val="18"/>
                <w:szCs w:val="18"/>
              </w:rPr>
              <w:t>0,014</w:t>
            </w:r>
          </w:p>
        </w:tc>
        <w:tc>
          <w:tcPr>
            <w:tcW w:w="1134" w:type="dxa"/>
            <w:tcBorders>
              <w:top w:val="nil"/>
              <w:left w:val="nil"/>
              <w:bottom w:val="single" w:sz="4" w:space="0" w:color="auto"/>
              <w:right w:val="single" w:sz="4" w:space="0" w:color="auto"/>
            </w:tcBorders>
            <w:shd w:val="clear" w:color="auto" w:fill="auto"/>
          </w:tcPr>
          <w:p w:rsidR="00703511" w:rsidRPr="0047440B" w:rsidRDefault="00703511" w:rsidP="00703511">
            <w:pPr>
              <w:jc w:val="center"/>
              <w:rPr>
                <w:color w:val="000000"/>
                <w:sz w:val="18"/>
                <w:szCs w:val="18"/>
              </w:rPr>
            </w:pPr>
            <w:r w:rsidRPr="0047440B">
              <w:rPr>
                <w:color w:val="000000"/>
                <w:sz w:val="18"/>
                <w:szCs w:val="18"/>
              </w:rPr>
              <w:t>0,005</w:t>
            </w:r>
          </w:p>
        </w:tc>
        <w:tc>
          <w:tcPr>
            <w:tcW w:w="992" w:type="dxa"/>
            <w:tcBorders>
              <w:top w:val="nil"/>
              <w:left w:val="nil"/>
              <w:bottom w:val="single" w:sz="4" w:space="0" w:color="auto"/>
              <w:right w:val="single" w:sz="4" w:space="0" w:color="auto"/>
            </w:tcBorders>
            <w:shd w:val="clear" w:color="auto" w:fill="auto"/>
          </w:tcPr>
          <w:p w:rsidR="00703511" w:rsidRPr="0047440B" w:rsidRDefault="00703511" w:rsidP="00703511">
            <w:pPr>
              <w:jc w:val="center"/>
              <w:rPr>
                <w:color w:val="000000"/>
                <w:sz w:val="18"/>
                <w:szCs w:val="18"/>
              </w:rPr>
            </w:pPr>
            <w:r w:rsidRPr="0047440B">
              <w:rPr>
                <w:color w:val="000000"/>
                <w:sz w:val="18"/>
                <w:szCs w:val="18"/>
              </w:rPr>
              <w:t>0,006</w:t>
            </w:r>
          </w:p>
        </w:tc>
        <w:tc>
          <w:tcPr>
            <w:tcW w:w="1134" w:type="dxa"/>
            <w:tcBorders>
              <w:top w:val="nil"/>
              <w:left w:val="nil"/>
              <w:bottom w:val="single" w:sz="4" w:space="0" w:color="auto"/>
              <w:right w:val="single" w:sz="4" w:space="0" w:color="auto"/>
            </w:tcBorders>
            <w:shd w:val="clear" w:color="auto" w:fill="auto"/>
          </w:tcPr>
          <w:p w:rsidR="00703511" w:rsidRPr="0047440B" w:rsidRDefault="00703511" w:rsidP="00703511">
            <w:pPr>
              <w:jc w:val="center"/>
              <w:rPr>
                <w:color w:val="000000"/>
                <w:sz w:val="18"/>
                <w:szCs w:val="18"/>
              </w:rPr>
            </w:pPr>
            <w:r w:rsidRPr="0047440B">
              <w:rPr>
                <w:color w:val="000000"/>
                <w:sz w:val="18"/>
                <w:szCs w:val="18"/>
              </w:rPr>
              <w:t>0,004</w:t>
            </w:r>
          </w:p>
        </w:tc>
        <w:tc>
          <w:tcPr>
            <w:tcW w:w="1129" w:type="dxa"/>
            <w:tcBorders>
              <w:top w:val="nil"/>
              <w:left w:val="nil"/>
              <w:bottom w:val="single" w:sz="4" w:space="0" w:color="auto"/>
              <w:right w:val="single" w:sz="4" w:space="0" w:color="auto"/>
            </w:tcBorders>
            <w:shd w:val="clear" w:color="auto" w:fill="auto"/>
          </w:tcPr>
          <w:p w:rsidR="00703511" w:rsidRPr="0047440B" w:rsidRDefault="00703511" w:rsidP="00703511">
            <w:pPr>
              <w:jc w:val="center"/>
              <w:rPr>
                <w:color w:val="000000"/>
                <w:sz w:val="18"/>
                <w:szCs w:val="18"/>
              </w:rPr>
            </w:pPr>
            <w:r w:rsidRPr="0047440B">
              <w:rPr>
                <w:color w:val="000000"/>
                <w:sz w:val="18"/>
                <w:szCs w:val="18"/>
              </w:rPr>
              <w:t>0,003</w:t>
            </w:r>
          </w:p>
        </w:tc>
        <w:tc>
          <w:tcPr>
            <w:tcW w:w="1134" w:type="dxa"/>
            <w:tcBorders>
              <w:top w:val="nil"/>
              <w:left w:val="nil"/>
              <w:bottom w:val="single" w:sz="4" w:space="0" w:color="auto"/>
              <w:right w:val="single" w:sz="4" w:space="0" w:color="auto"/>
            </w:tcBorders>
            <w:shd w:val="clear" w:color="auto" w:fill="auto"/>
          </w:tcPr>
          <w:p w:rsidR="00703511" w:rsidRPr="0047440B" w:rsidRDefault="00703511" w:rsidP="00703511">
            <w:pPr>
              <w:jc w:val="center"/>
              <w:rPr>
                <w:color w:val="000000"/>
                <w:sz w:val="18"/>
                <w:szCs w:val="18"/>
              </w:rPr>
            </w:pPr>
            <w:r w:rsidRPr="0047440B">
              <w:rPr>
                <w:color w:val="000000"/>
                <w:sz w:val="18"/>
                <w:szCs w:val="18"/>
              </w:rPr>
              <w:t>0,002</w:t>
            </w:r>
          </w:p>
        </w:tc>
        <w:tc>
          <w:tcPr>
            <w:tcW w:w="992" w:type="dxa"/>
            <w:tcBorders>
              <w:top w:val="nil"/>
              <w:left w:val="nil"/>
              <w:bottom w:val="single" w:sz="4" w:space="0" w:color="auto"/>
              <w:right w:val="single" w:sz="4" w:space="0" w:color="auto"/>
            </w:tcBorders>
            <w:shd w:val="clear" w:color="auto" w:fill="auto"/>
          </w:tcPr>
          <w:p w:rsidR="00703511" w:rsidRPr="0047440B" w:rsidRDefault="00703511" w:rsidP="00703511">
            <w:pPr>
              <w:jc w:val="center"/>
              <w:rPr>
                <w:color w:val="000000"/>
                <w:sz w:val="18"/>
                <w:szCs w:val="18"/>
              </w:rPr>
            </w:pPr>
            <w:r w:rsidRPr="0047440B">
              <w:rPr>
                <w:color w:val="000000"/>
                <w:sz w:val="18"/>
                <w:szCs w:val="18"/>
              </w:rPr>
              <w:t>0,015</w:t>
            </w:r>
          </w:p>
        </w:tc>
        <w:tc>
          <w:tcPr>
            <w:tcW w:w="1134" w:type="dxa"/>
            <w:tcBorders>
              <w:top w:val="nil"/>
              <w:left w:val="nil"/>
              <w:bottom w:val="single" w:sz="4" w:space="0" w:color="auto"/>
              <w:right w:val="single" w:sz="4" w:space="0" w:color="auto"/>
            </w:tcBorders>
            <w:shd w:val="clear" w:color="auto" w:fill="auto"/>
          </w:tcPr>
          <w:p w:rsidR="00703511" w:rsidRPr="0047440B" w:rsidRDefault="00703511" w:rsidP="00703511">
            <w:pPr>
              <w:jc w:val="center"/>
              <w:rPr>
                <w:color w:val="000000"/>
                <w:sz w:val="18"/>
                <w:szCs w:val="18"/>
              </w:rPr>
            </w:pPr>
            <w:r w:rsidRPr="0047440B">
              <w:rPr>
                <w:color w:val="000000"/>
                <w:sz w:val="18"/>
                <w:szCs w:val="18"/>
              </w:rPr>
              <w:t>0,018</w:t>
            </w:r>
          </w:p>
        </w:tc>
        <w:tc>
          <w:tcPr>
            <w:tcW w:w="1134" w:type="dxa"/>
            <w:tcBorders>
              <w:top w:val="nil"/>
              <w:left w:val="nil"/>
              <w:bottom w:val="single" w:sz="4" w:space="0" w:color="auto"/>
              <w:right w:val="single" w:sz="4" w:space="0" w:color="auto"/>
            </w:tcBorders>
            <w:shd w:val="clear" w:color="auto" w:fill="auto"/>
          </w:tcPr>
          <w:p w:rsidR="00703511" w:rsidRPr="0047440B" w:rsidRDefault="00703511" w:rsidP="00703511">
            <w:pPr>
              <w:jc w:val="center"/>
              <w:rPr>
                <w:color w:val="000000"/>
                <w:sz w:val="18"/>
                <w:szCs w:val="18"/>
              </w:rPr>
            </w:pPr>
            <w:r w:rsidRPr="0047440B">
              <w:rPr>
                <w:color w:val="000000"/>
                <w:sz w:val="18"/>
                <w:szCs w:val="18"/>
              </w:rPr>
              <w:t>0,014</w:t>
            </w:r>
          </w:p>
        </w:tc>
        <w:tc>
          <w:tcPr>
            <w:tcW w:w="1134" w:type="dxa"/>
            <w:tcBorders>
              <w:top w:val="nil"/>
              <w:left w:val="single" w:sz="4" w:space="0" w:color="auto"/>
              <w:bottom w:val="single" w:sz="4" w:space="0" w:color="auto"/>
              <w:right w:val="single" w:sz="4" w:space="0" w:color="auto"/>
            </w:tcBorders>
            <w:shd w:val="clear" w:color="auto" w:fill="auto"/>
          </w:tcPr>
          <w:p w:rsidR="00703511" w:rsidRPr="0047440B" w:rsidRDefault="00703511" w:rsidP="00826C02">
            <w:pPr>
              <w:jc w:val="center"/>
              <w:rPr>
                <w:color w:val="000000"/>
                <w:sz w:val="18"/>
                <w:szCs w:val="18"/>
              </w:rPr>
            </w:pPr>
            <w:r w:rsidRPr="0047440B">
              <w:rPr>
                <w:color w:val="000000"/>
                <w:sz w:val="18"/>
                <w:szCs w:val="18"/>
              </w:rPr>
              <w:t>0,016</w:t>
            </w:r>
          </w:p>
        </w:tc>
        <w:tc>
          <w:tcPr>
            <w:tcW w:w="1140" w:type="dxa"/>
            <w:tcBorders>
              <w:top w:val="single" w:sz="4" w:space="0" w:color="auto"/>
              <w:left w:val="nil"/>
              <w:bottom w:val="single" w:sz="4" w:space="0" w:color="auto"/>
              <w:right w:val="single" w:sz="4" w:space="0" w:color="auto"/>
            </w:tcBorders>
            <w:shd w:val="clear" w:color="auto" w:fill="auto"/>
          </w:tcPr>
          <w:p w:rsidR="00703511" w:rsidRPr="0047440B" w:rsidRDefault="00703511" w:rsidP="00F10B2E">
            <w:pPr>
              <w:jc w:val="center"/>
              <w:rPr>
                <w:color w:val="000000"/>
                <w:sz w:val="18"/>
                <w:szCs w:val="18"/>
              </w:rPr>
            </w:pPr>
            <w:r w:rsidRPr="0047440B">
              <w:rPr>
                <w:color w:val="000000"/>
                <w:sz w:val="18"/>
                <w:szCs w:val="18"/>
              </w:rPr>
              <w:t>16,4</w:t>
            </w:r>
            <w:r w:rsidR="00F10B2E" w:rsidRPr="0047440B">
              <w:rPr>
                <w:color w:val="000000"/>
                <w:sz w:val="18"/>
                <w:szCs w:val="18"/>
              </w:rPr>
              <w:t>3</w:t>
            </w:r>
          </w:p>
        </w:tc>
      </w:tr>
      <w:tr w:rsidR="00703511" w:rsidRPr="0047440B" w:rsidTr="00F6052B">
        <w:trPr>
          <w:trHeight w:val="20"/>
        </w:trPr>
        <w:tc>
          <w:tcPr>
            <w:tcW w:w="2122" w:type="dxa"/>
            <w:tcBorders>
              <w:top w:val="single" w:sz="4" w:space="0" w:color="auto"/>
            </w:tcBorders>
            <w:shd w:val="clear" w:color="auto" w:fill="auto"/>
          </w:tcPr>
          <w:p w:rsidR="00703511" w:rsidRPr="0047440B" w:rsidRDefault="00703511" w:rsidP="00703511">
            <w:pPr>
              <w:jc w:val="both"/>
              <w:rPr>
                <w:rFonts w:eastAsia="Arial"/>
                <w:sz w:val="18"/>
                <w:szCs w:val="18"/>
              </w:rPr>
            </w:pPr>
            <w:r w:rsidRPr="0047440B">
              <w:rPr>
                <w:rFonts w:eastAsia="Arial"/>
                <w:sz w:val="18"/>
                <w:szCs w:val="18"/>
              </w:rPr>
              <w:t>меланомы кожи</w:t>
            </w:r>
          </w:p>
        </w:tc>
        <w:tc>
          <w:tcPr>
            <w:tcW w:w="992" w:type="dxa"/>
            <w:tcBorders>
              <w:top w:val="single" w:sz="4" w:space="0" w:color="auto"/>
              <w:left w:val="nil"/>
              <w:bottom w:val="single" w:sz="4" w:space="0" w:color="auto"/>
              <w:right w:val="single" w:sz="4" w:space="0" w:color="auto"/>
            </w:tcBorders>
            <w:shd w:val="clear" w:color="auto" w:fill="auto"/>
          </w:tcPr>
          <w:p w:rsidR="00703511" w:rsidRPr="0047440B" w:rsidRDefault="00703511" w:rsidP="00703511">
            <w:pPr>
              <w:jc w:val="center"/>
              <w:rPr>
                <w:color w:val="000000"/>
                <w:sz w:val="18"/>
                <w:szCs w:val="18"/>
              </w:rPr>
            </w:pPr>
            <w:r w:rsidRPr="0047440B">
              <w:rPr>
                <w:color w:val="000000"/>
                <w:sz w:val="18"/>
                <w:szCs w:val="18"/>
              </w:rPr>
              <w:t>0,002</w:t>
            </w:r>
          </w:p>
        </w:tc>
        <w:tc>
          <w:tcPr>
            <w:tcW w:w="1134" w:type="dxa"/>
            <w:tcBorders>
              <w:top w:val="single" w:sz="4" w:space="0" w:color="auto"/>
              <w:left w:val="nil"/>
              <w:bottom w:val="single" w:sz="4" w:space="0" w:color="auto"/>
              <w:right w:val="single" w:sz="4" w:space="0" w:color="auto"/>
            </w:tcBorders>
            <w:shd w:val="clear" w:color="auto" w:fill="auto"/>
          </w:tcPr>
          <w:p w:rsidR="00703511" w:rsidRPr="0047440B" w:rsidRDefault="00703511" w:rsidP="00703511">
            <w:pPr>
              <w:jc w:val="center"/>
              <w:rPr>
                <w:color w:val="000000"/>
                <w:sz w:val="18"/>
                <w:szCs w:val="18"/>
              </w:rPr>
            </w:pPr>
            <w:r w:rsidRPr="0047440B">
              <w:rPr>
                <w:color w:val="000000"/>
                <w:sz w:val="18"/>
                <w:szCs w:val="18"/>
              </w:rPr>
              <w:t>0,003</w:t>
            </w:r>
          </w:p>
        </w:tc>
        <w:tc>
          <w:tcPr>
            <w:tcW w:w="992" w:type="dxa"/>
            <w:tcBorders>
              <w:top w:val="single" w:sz="4" w:space="0" w:color="auto"/>
              <w:left w:val="nil"/>
              <w:bottom w:val="single" w:sz="4" w:space="0" w:color="auto"/>
              <w:right w:val="single" w:sz="4" w:space="0" w:color="auto"/>
            </w:tcBorders>
            <w:shd w:val="clear" w:color="auto" w:fill="auto"/>
          </w:tcPr>
          <w:p w:rsidR="00703511" w:rsidRPr="0047440B" w:rsidRDefault="00703511" w:rsidP="00703511">
            <w:pPr>
              <w:jc w:val="center"/>
              <w:rPr>
                <w:color w:val="000000"/>
                <w:sz w:val="18"/>
                <w:szCs w:val="18"/>
              </w:rPr>
            </w:pPr>
            <w:r w:rsidRPr="0047440B">
              <w:rPr>
                <w:color w:val="000000"/>
                <w:sz w:val="18"/>
                <w:szCs w:val="18"/>
              </w:rPr>
              <w:t>0,004</w:t>
            </w:r>
          </w:p>
        </w:tc>
        <w:tc>
          <w:tcPr>
            <w:tcW w:w="1134" w:type="dxa"/>
            <w:tcBorders>
              <w:top w:val="single" w:sz="4" w:space="0" w:color="auto"/>
              <w:left w:val="nil"/>
              <w:bottom w:val="single" w:sz="4" w:space="0" w:color="auto"/>
              <w:right w:val="single" w:sz="4" w:space="0" w:color="auto"/>
            </w:tcBorders>
            <w:shd w:val="clear" w:color="auto" w:fill="auto"/>
          </w:tcPr>
          <w:p w:rsidR="00703511" w:rsidRPr="0047440B" w:rsidRDefault="00703511" w:rsidP="00703511">
            <w:pPr>
              <w:jc w:val="center"/>
              <w:rPr>
                <w:color w:val="000000"/>
                <w:sz w:val="18"/>
                <w:szCs w:val="18"/>
              </w:rPr>
            </w:pPr>
            <w:r w:rsidRPr="0047440B">
              <w:rPr>
                <w:color w:val="000000"/>
                <w:sz w:val="18"/>
                <w:szCs w:val="18"/>
              </w:rPr>
              <w:t>0,002</w:t>
            </w:r>
          </w:p>
        </w:tc>
        <w:tc>
          <w:tcPr>
            <w:tcW w:w="1129" w:type="dxa"/>
            <w:tcBorders>
              <w:top w:val="single" w:sz="4" w:space="0" w:color="auto"/>
              <w:left w:val="nil"/>
              <w:bottom w:val="single" w:sz="4" w:space="0" w:color="auto"/>
              <w:right w:val="single" w:sz="4" w:space="0" w:color="auto"/>
            </w:tcBorders>
            <w:shd w:val="clear" w:color="auto" w:fill="auto"/>
          </w:tcPr>
          <w:p w:rsidR="00703511" w:rsidRPr="0047440B" w:rsidRDefault="00703511" w:rsidP="00703511">
            <w:pPr>
              <w:jc w:val="center"/>
              <w:rPr>
                <w:color w:val="000000"/>
                <w:sz w:val="18"/>
                <w:szCs w:val="18"/>
              </w:rPr>
            </w:pPr>
            <w:r w:rsidRPr="0047440B">
              <w:rPr>
                <w:color w:val="000000"/>
                <w:sz w:val="18"/>
                <w:szCs w:val="18"/>
              </w:rPr>
              <w:t>0,002</w:t>
            </w:r>
          </w:p>
        </w:tc>
        <w:tc>
          <w:tcPr>
            <w:tcW w:w="1134" w:type="dxa"/>
            <w:tcBorders>
              <w:top w:val="single" w:sz="4" w:space="0" w:color="auto"/>
              <w:left w:val="nil"/>
              <w:bottom w:val="single" w:sz="4" w:space="0" w:color="auto"/>
              <w:right w:val="single" w:sz="4" w:space="0" w:color="auto"/>
            </w:tcBorders>
            <w:shd w:val="clear" w:color="auto" w:fill="auto"/>
          </w:tcPr>
          <w:p w:rsidR="00703511" w:rsidRPr="0047440B" w:rsidRDefault="00703511" w:rsidP="00703511">
            <w:pPr>
              <w:jc w:val="center"/>
              <w:rPr>
                <w:color w:val="000000"/>
                <w:sz w:val="18"/>
                <w:szCs w:val="18"/>
              </w:rPr>
            </w:pPr>
            <w:r w:rsidRPr="0047440B">
              <w:rPr>
                <w:color w:val="000000"/>
                <w:sz w:val="18"/>
                <w:szCs w:val="18"/>
              </w:rPr>
              <w:t>0,001</w:t>
            </w:r>
          </w:p>
        </w:tc>
        <w:tc>
          <w:tcPr>
            <w:tcW w:w="992" w:type="dxa"/>
            <w:tcBorders>
              <w:top w:val="single" w:sz="4" w:space="0" w:color="auto"/>
              <w:left w:val="nil"/>
              <w:bottom w:val="single" w:sz="4" w:space="0" w:color="auto"/>
              <w:right w:val="single" w:sz="4" w:space="0" w:color="auto"/>
            </w:tcBorders>
            <w:shd w:val="clear" w:color="auto" w:fill="auto"/>
          </w:tcPr>
          <w:p w:rsidR="00703511" w:rsidRPr="0047440B" w:rsidRDefault="00703511" w:rsidP="00703511">
            <w:pPr>
              <w:jc w:val="center"/>
              <w:rPr>
                <w:color w:val="000000"/>
                <w:sz w:val="18"/>
                <w:szCs w:val="18"/>
              </w:rPr>
            </w:pPr>
            <w:r w:rsidRPr="0047440B">
              <w:rPr>
                <w:color w:val="000000"/>
                <w:sz w:val="18"/>
                <w:szCs w:val="18"/>
              </w:rPr>
              <w:t>0,002</w:t>
            </w:r>
          </w:p>
        </w:tc>
        <w:tc>
          <w:tcPr>
            <w:tcW w:w="1134" w:type="dxa"/>
            <w:tcBorders>
              <w:top w:val="single" w:sz="4" w:space="0" w:color="auto"/>
              <w:left w:val="nil"/>
              <w:bottom w:val="single" w:sz="4" w:space="0" w:color="auto"/>
              <w:right w:val="single" w:sz="4" w:space="0" w:color="auto"/>
            </w:tcBorders>
            <w:shd w:val="clear" w:color="auto" w:fill="auto"/>
          </w:tcPr>
          <w:p w:rsidR="00703511" w:rsidRPr="0047440B" w:rsidRDefault="00703511" w:rsidP="00703511">
            <w:pPr>
              <w:jc w:val="center"/>
              <w:rPr>
                <w:color w:val="000000"/>
                <w:sz w:val="18"/>
                <w:szCs w:val="18"/>
              </w:rPr>
            </w:pPr>
            <w:r w:rsidRPr="0047440B">
              <w:rPr>
                <w:color w:val="000000"/>
                <w:sz w:val="18"/>
                <w:szCs w:val="18"/>
              </w:rPr>
              <w:t>0,004</w:t>
            </w:r>
          </w:p>
        </w:tc>
        <w:tc>
          <w:tcPr>
            <w:tcW w:w="1134" w:type="dxa"/>
            <w:tcBorders>
              <w:top w:val="single" w:sz="4" w:space="0" w:color="auto"/>
              <w:left w:val="nil"/>
              <w:bottom w:val="single" w:sz="4" w:space="0" w:color="auto"/>
              <w:right w:val="single" w:sz="4" w:space="0" w:color="auto"/>
            </w:tcBorders>
            <w:shd w:val="clear" w:color="auto" w:fill="auto"/>
          </w:tcPr>
          <w:p w:rsidR="00703511" w:rsidRPr="0047440B" w:rsidRDefault="00703511" w:rsidP="00703511">
            <w:pPr>
              <w:jc w:val="center"/>
              <w:rPr>
                <w:color w:val="000000"/>
                <w:sz w:val="18"/>
                <w:szCs w:val="18"/>
              </w:rPr>
            </w:pPr>
            <w:r w:rsidRPr="0047440B">
              <w:rPr>
                <w:color w:val="000000"/>
                <w:sz w:val="18"/>
                <w:szCs w:val="18"/>
              </w:rPr>
              <w:t>0,003</w:t>
            </w:r>
          </w:p>
        </w:tc>
        <w:tc>
          <w:tcPr>
            <w:tcW w:w="1134" w:type="dxa"/>
            <w:tcBorders>
              <w:top w:val="nil"/>
              <w:left w:val="single" w:sz="4" w:space="0" w:color="auto"/>
              <w:bottom w:val="single" w:sz="4" w:space="0" w:color="auto"/>
              <w:right w:val="single" w:sz="4" w:space="0" w:color="auto"/>
            </w:tcBorders>
            <w:shd w:val="clear" w:color="auto" w:fill="auto"/>
          </w:tcPr>
          <w:p w:rsidR="00703511" w:rsidRPr="0047440B" w:rsidRDefault="00703511" w:rsidP="00826C02">
            <w:pPr>
              <w:jc w:val="center"/>
              <w:rPr>
                <w:color w:val="000000"/>
                <w:sz w:val="18"/>
                <w:szCs w:val="18"/>
              </w:rPr>
            </w:pPr>
            <w:r w:rsidRPr="0047440B">
              <w:rPr>
                <w:color w:val="000000"/>
                <w:sz w:val="18"/>
                <w:szCs w:val="18"/>
              </w:rPr>
              <w:t>0,00</w:t>
            </w:r>
            <w:r w:rsidR="00826C02" w:rsidRPr="0047440B">
              <w:rPr>
                <w:color w:val="000000"/>
                <w:sz w:val="18"/>
                <w:szCs w:val="18"/>
              </w:rPr>
              <w:t>2</w:t>
            </w:r>
          </w:p>
        </w:tc>
        <w:tc>
          <w:tcPr>
            <w:tcW w:w="1140" w:type="dxa"/>
            <w:tcBorders>
              <w:top w:val="single" w:sz="4" w:space="0" w:color="auto"/>
              <w:left w:val="nil"/>
              <w:bottom w:val="single" w:sz="4" w:space="0" w:color="auto"/>
              <w:right w:val="single" w:sz="4" w:space="0" w:color="auto"/>
            </w:tcBorders>
            <w:shd w:val="clear" w:color="auto" w:fill="auto"/>
          </w:tcPr>
          <w:p w:rsidR="00703511" w:rsidRPr="0047440B" w:rsidRDefault="00703511" w:rsidP="00F10B2E">
            <w:pPr>
              <w:jc w:val="center"/>
              <w:rPr>
                <w:color w:val="000000"/>
                <w:sz w:val="18"/>
                <w:szCs w:val="18"/>
              </w:rPr>
            </w:pPr>
            <w:r w:rsidRPr="0047440B">
              <w:rPr>
                <w:color w:val="000000"/>
                <w:sz w:val="18"/>
                <w:szCs w:val="18"/>
              </w:rPr>
              <w:t>-15,00</w:t>
            </w:r>
          </w:p>
        </w:tc>
      </w:tr>
      <w:tr w:rsidR="00703511" w:rsidRPr="0047440B" w:rsidTr="00F6052B">
        <w:trPr>
          <w:trHeight w:val="20"/>
        </w:trPr>
        <w:tc>
          <w:tcPr>
            <w:tcW w:w="2122" w:type="dxa"/>
            <w:shd w:val="clear" w:color="auto" w:fill="auto"/>
          </w:tcPr>
          <w:p w:rsidR="00703511" w:rsidRPr="0047440B" w:rsidRDefault="00703511" w:rsidP="00703511">
            <w:pPr>
              <w:jc w:val="both"/>
              <w:rPr>
                <w:rFonts w:eastAsia="Arial"/>
                <w:sz w:val="18"/>
                <w:szCs w:val="18"/>
              </w:rPr>
            </w:pPr>
            <w:r w:rsidRPr="0047440B">
              <w:rPr>
                <w:rFonts w:eastAsia="Arial"/>
                <w:sz w:val="18"/>
                <w:szCs w:val="18"/>
              </w:rPr>
              <w:t>кожи</w:t>
            </w:r>
          </w:p>
        </w:tc>
        <w:tc>
          <w:tcPr>
            <w:tcW w:w="992" w:type="dxa"/>
            <w:tcBorders>
              <w:top w:val="nil"/>
              <w:left w:val="nil"/>
              <w:bottom w:val="single" w:sz="4" w:space="0" w:color="auto"/>
              <w:right w:val="single" w:sz="4" w:space="0" w:color="auto"/>
            </w:tcBorders>
            <w:shd w:val="clear" w:color="auto" w:fill="auto"/>
          </w:tcPr>
          <w:p w:rsidR="00703511" w:rsidRPr="0047440B" w:rsidRDefault="00703511" w:rsidP="00703511">
            <w:pPr>
              <w:jc w:val="center"/>
              <w:rPr>
                <w:color w:val="000000"/>
                <w:sz w:val="18"/>
                <w:szCs w:val="18"/>
              </w:rPr>
            </w:pPr>
            <w:r w:rsidRPr="0047440B">
              <w:rPr>
                <w:color w:val="000000"/>
                <w:sz w:val="18"/>
                <w:szCs w:val="18"/>
              </w:rPr>
              <w:t>0,022</w:t>
            </w:r>
          </w:p>
        </w:tc>
        <w:tc>
          <w:tcPr>
            <w:tcW w:w="1134" w:type="dxa"/>
            <w:tcBorders>
              <w:top w:val="nil"/>
              <w:left w:val="nil"/>
              <w:bottom w:val="single" w:sz="4" w:space="0" w:color="auto"/>
              <w:right w:val="single" w:sz="4" w:space="0" w:color="auto"/>
            </w:tcBorders>
            <w:shd w:val="clear" w:color="auto" w:fill="auto"/>
          </w:tcPr>
          <w:p w:rsidR="00703511" w:rsidRPr="0047440B" w:rsidRDefault="00703511" w:rsidP="00703511">
            <w:pPr>
              <w:jc w:val="center"/>
              <w:rPr>
                <w:color w:val="000000"/>
                <w:sz w:val="18"/>
                <w:szCs w:val="18"/>
              </w:rPr>
            </w:pPr>
            <w:r w:rsidRPr="0047440B">
              <w:rPr>
                <w:color w:val="000000"/>
                <w:sz w:val="18"/>
                <w:szCs w:val="18"/>
              </w:rPr>
              <w:t>0,033</w:t>
            </w:r>
          </w:p>
        </w:tc>
        <w:tc>
          <w:tcPr>
            <w:tcW w:w="992" w:type="dxa"/>
            <w:tcBorders>
              <w:top w:val="nil"/>
              <w:left w:val="nil"/>
              <w:bottom w:val="single" w:sz="4" w:space="0" w:color="auto"/>
              <w:right w:val="single" w:sz="4" w:space="0" w:color="auto"/>
            </w:tcBorders>
            <w:shd w:val="clear" w:color="auto" w:fill="auto"/>
          </w:tcPr>
          <w:p w:rsidR="00703511" w:rsidRPr="0047440B" w:rsidRDefault="00703511" w:rsidP="00703511">
            <w:pPr>
              <w:jc w:val="center"/>
              <w:rPr>
                <w:color w:val="000000"/>
                <w:sz w:val="18"/>
                <w:szCs w:val="18"/>
              </w:rPr>
            </w:pPr>
            <w:r w:rsidRPr="0047440B">
              <w:rPr>
                <w:color w:val="000000"/>
                <w:sz w:val="18"/>
                <w:szCs w:val="18"/>
              </w:rPr>
              <w:t>0,045</w:t>
            </w:r>
          </w:p>
        </w:tc>
        <w:tc>
          <w:tcPr>
            <w:tcW w:w="1134" w:type="dxa"/>
            <w:tcBorders>
              <w:top w:val="nil"/>
              <w:left w:val="nil"/>
              <w:bottom w:val="single" w:sz="4" w:space="0" w:color="auto"/>
              <w:right w:val="single" w:sz="4" w:space="0" w:color="auto"/>
            </w:tcBorders>
            <w:shd w:val="clear" w:color="auto" w:fill="auto"/>
          </w:tcPr>
          <w:p w:rsidR="00703511" w:rsidRPr="0047440B" w:rsidRDefault="00703511" w:rsidP="00703511">
            <w:pPr>
              <w:jc w:val="center"/>
              <w:rPr>
                <w:color w:val="000000"/>
                <w:sz w:val="18"/>
                <w:szCs w:val="18"/>
              </w:rPr>
            </w:pPr>
            <w:r w:rsidRPr="0047440B">
              <w:rPr>
                <w:color w:val="000000"/>
                <w:sz w:val="18"/>
                <w:szCs w:val="18"/>
              </w:rPr>
              <w:t>0,027</w:t>
            </w:r>
          </w:p>
        </w:tc>
        <w:tc>
          <w:tcPr>
            <w:tcW w:w="1129" w:type="dxa"/>
            <w:tcBorders>
              <w:top w:val="nil"/>
              <w:left w:val="nil"/>
              <w:bottom w:val="single" w:sz="4" w:space="0" w:color="auto"/>
              <w:right w:val="single" w:sz="4" w:space="0" w:color="auto"/>
            </w:tcBorders>
            <w:shd w:val="clear" w:color="auto" w:fill="auto"/>
          </w:tcPr>
          <w:p w:rsidR="00703511" w:rsidRPr="0047440B" w:rsidRDefault="00703511" w:rsidP="00703511">
            <w:pPr>
              <w:jc w:val="center"/>
              <w:rPr>
                <w:color w:val="000000"/>
                <w:sz w:val="18"/>
                <w:szCs w:val="18"/>
              </w:rPr>
            </w:pPr>
            <w:r w:rsidRPr="0047440B">
              <w:rPr>
                <w:color w:val="000000"/>
                <w:sz w:val="18"/>
                <w:szCs w:val="18"/>
              </w:rPr>
              <w:t>0,020</w:t>
            </w:r>
          </w:p>
        </w:tc>
        <w:tc>
          <w:tcPr>
            <w:tcW w:w="1134" w:type="dxa"/>
            <w:tcBorders>
              <w:top w:val="nil"/>
              <w:left w:val="nil"/>
              <w:bottom w:val="single" w:sz="4" w:space="0" w:color="auto"/>
              <w:right w:val="single" w:sz="4" w:space="0" w:color="auto"/>
            </w:tcBorders>
            <w:shd w:val="clear" w:color="auto" w:fill="auto"/>
          </w:tcPr>
          <w:p w:rsidR="00703511" w:rsidRPr="0047440B" w:rsidRDefault="00703511" w:rsidP="00703511">
            <w:pPr>
              <w:jc w:val="center"/>
              <w:rPr>
                <w:color w:val="000000"/>
                <w:sz w:val="18"/>
                <w:szCs w:val="18"/>
              </w:rPr>
            </w:pPr>
            <w:r w:rsidRPr="0047440B">
              <w:rPr>
                <w:color w:val="000000"/>
                <w:sz w:val="18"/>
                <w:szCs w:val="18"/>
              </w:rPr>
              <w:t>0,014</w:t>
            </w:r>
          </w:p>
        </w:tc>
        <w:tc>
          <w:tcPr>
            <w:tcW w:w="992" w:type="dxa"/>
            <w:tcBorders>
              <w:top w:val="nil"/>
              <w:left w:val="nil"/>
              <w:bottom w:val="single" w:sz="4" w:space="0" w:color="auto"/>
              <w:right w:val="single" w:sz="4" w:space="0" w:color="auto"/>
            </w:tcBorders>
            <w:shd w:val="clear" w:color="auto" w:fill="auto"/>
          </w:tcPr>
          <w:p w:rsidR="00703511" w:rsidRPr="0047440B" w:rsidRDefault="00703511" w:rsidP="00703511">
            <w:pPr>
              <w:jc w:val="center"/>
              <w:rPr>
                <w:color w:val="000000"/>
                <w:sz w:val="18"/>
                <w:szCs w:val="18"/>
              </w:rPr>
            </w:pPr>
            <w:r w:rsidRPr="0047440B">
              <w:rPr>
                <w:color w:val="000000"/>
                <w:sz w:val="18"/>
                <w:szCs w:val="18"/>
              </w:rPr>
              <w:t>0,036</w:t>
            </w:r>
          </w:p>
        </w:tc>
        <w:tc>
          <w:tcPr>
            <w:tcW w:w="1134" w:type="dxa"/>
            <w:tcBorders>
              <w:top w:val="nil"/>
              <w:left w:val="nil"/>
              <w:bottom w:val="single" w:sz="4" w:space="0" w:color="auto"/>
              <w:right w:val="single" w:sz="4" w:space="0" w:color="auto"/>
            </w:tcBorders>
            <w:shd w:val="clear" w:color="auto" w:fill="auto"/>
          </w:tcPr>
          <w:p w:rsidR="00703511" w:rsidRPr="0047440B" w:rsidRDefault="00703511" w:rsidP="00703511">
            <w:pPr>
              <w:jc w:val="center"/>
              <w:rPr>
                <w:color w:val="000000"/>
                <w:sz w:val="18"/>
                <w:szCs w:val="18"/>
              </w:rPr>
            </w:pPr>
            <w:r w:rsidRPr="0047440B">
              <w:rPr>
                <w:color w:val="000000"/>
                <w:sz w:val="18"/>
                <w:szCs w:val="18"/>
              </w:rPr>
              <w:t>0,030</w:t>
            </w:r>
          </w:p>
        </w:tc>
        <w:tc>
          <w:tcPr>
            <w:tcW w:w="1134" w:type="dxa"/>
            <w:tcBorders>
              <w:top w:val="nil"/>
              <w:left w:val="nil"/>
              <w:bottom w:val="single" w:sz="4" w:space="0" w:color="auto"/>
              <w:right w:val="single" w:sz="4" w:space="0" w:color="auto"/>
            </w:tcBorders>
            <w:shd w:val="clear" w:color="auto" w:fill="auto"/>
          </w:tcPr>
          <w:p w:rsidR="00703511" w:rsidRPr="0047440B" w:rsidRDefault="00703511" w:rsidP="00703511">
            <w:pPr>
              <w:jc w:val="center"/>
              <w:rPr>
                <w:color w:val="000000"/>
                <w:sz w:val="18"/>
                <w:szCs w:val="18"/>
              </w:rPr>
            </w:pPr>
            <w:r w:rsidRPr="0047440B">
              <w:rPr>
                <w:color w:val="000000"/>
                <w:sz w:val="18"/>
                <w:szCs w:val="18"/>
              </w:rPr>
              <w:t>0,027</w:t>
            </w:r>
          </w:p>
        </w:tc>
        <w:tc>
          <w:tcPr>
            <w:tcW w:w="1134" w:type="dxa"/>
            <w:tcBorders>
              <w:top w:val="nil"/>
              <w:left w:val="single" w:sz="4" w:space="0" w:color="auto"/>
              <w:bottom w:val="single" w:sz="4" w:space="0" w:color="auto"/>
              <w:right w:val="single" w:sz="4" w:space="0" w:color="auto"/>
            </w:tcBorders>
            <w:shd w:val="clear" w:color="auto" w:fill="auto"/>
          </w:tcPr>
          <w:p w:rsidR="00703511" w:rsidRPr="0047440B" w:rsidRDefault="00703511" w:rsidP="00826C02">
            <w:pPr>
              <w:jc w:val="center"/>
              <w:rPr>
                <w:color w:val="000000"/>
                <w:sz w:val="18"/>
                <w:szCs w:val="18"/>
              </w:rPr>
            </w:pPr>
            <w:r w:rsidRPr="0047440B">
              <w:rPr>
                <w:color w:val="000000"/>
                <w:sz w:val="18"/>
                <w:szCs w:val="18"/>
              </w:rPr>
              <w:t>0,015</w:t>
            </w:r>
          </w:p>
        </w:tc>
        <w:tc>
          <w:tcPr>
            <w:tcW w:w="1140" w:type="dxa"/>
            <w:tcBorders>
              <w:top w:val="single" w:sz="4" w:space="0" w:color="auto"/>
              <w:left w:val="nil"/>
              <w:bottom w:val="single" w:sz="4" w:space="0" w:color="auto"/>
              <w:right w:val="single" w:sz="4" w:space="0" w:color="auto"/>
            </w:tcBorders>
            <w:shd w:val="clear" w:color="auto" w:fill="auto"/>
          </w:tcPr>
          <w:p w:rsidR="00703511" w:rsidRPr="0047440B" w:rsidRDefault="00703511" w:rsidP="00F10B2E">
            <w:pPr>
              <w:jc w:val="center"/>
              <w:rPr>
                <w:color w:val="000000"/>
                <w:sz w:val="18"/>
                <w:szCs w:val="18"/>
              </w:rPr>
            </w:pPr>
            <w:r w:rsidRPr="0047440B">
              <w:rPr>
                <w:color w:val="000000"/>
                <w:sz w:val="18"/>
                <w:szCs w:val="18"/>
              </w:rPr>
              <w:t>-31,3</w:t>
            </w:r>
            <w:r w:rsidR="00F10B2E" w:rsidRPr="0047440B">
              <w:rPr>
                <w:color w:val="000000"/>
                <w:sz w:val="18"/>
                <w:szCs w:val="18"/>
              </w:rPr>
              <w:t>7</w:t>
            </w:r>
          </w:p>
        </w:tc>
      </w:tr>
      <w:tr w:rsidR="00703511" w:rsidRPr="0047440B" w:rsidTr="00F6052B">
        <w:trPr>
          <w:trHeight w:val="20"/>
        </w:trPr>
        <w:tc>
          <w:tcPr>
            <w:tcW w:w="2122" w:type="dxa"/>
            <w:shd w:val="clear" w:color="auto" w:fill="auto"/>
          </w:tcPr>
          <w:p w:rsidR="00703511" w:rsidRPr="0047440B" w:rsidRDefault="00703511" w:rsidP="00703511">
            <w:pPr>
              <w:jc w:val="both"/>
              <w:rPr>
                <w:rFonts w:eastAsia="Arial"/>
                <w:sz w:val="18"/>
                <w:szCs w:val="18"/>
              </w:rPr>
            </w:pPr>
            <w:r w:rsidRPr="0047440B">
              <w:rPr>
                <w:rFonts w:eastAsia="Arial"/>
                <w:sz w:val="18"/>
                <w:szCs w:val="18"/>
              </w:rPr>
              <w:t>молочной железы</w:t>
            </w:r>
          </w:p>
        </w:tc>
        <w:tc>
          <w:tcPr>
            <w:tcW w:w="992" w:type="dxa"/>
            <w:tcBorders>
              <w:top w:val="nil"/>
              <w:left w:val="nil"/>
              <w:bottom w:val="single" w:sz="4" w:space="0" w:color="auto"/>
              <w:right w:val="single" w:sz="4" w:space="0" w:color="auto"/>
            </w:tcBorders>
            <w:shd w:val="clear" w:color="auto" w:fill="auto"/>
          </w:tcPr>
          <w:p w:rsidR="00703511" w:rsidRPr="0047440B" w:rsidRDefault="00703511" w:rsidP="00703511">
            <w:pPr>
              <w:jc w:val="center"/>
              <w:rPr>
                <w:color w:val="000000"/>
                <w:sz w:val="18"/>
                <w:szCs w:val="18"/>
              </w:rPr>
            </w:pPr>
            <w:r w:rsidRPr="0047440B">
              <w:rPr>
                <w:color w:val="000000"/>
                <w:sz w:val="18"/>
                <w:szCs w:val="18"/>
              </w:rPr>
              <w:t>0,027</w:t>
            </w:r>
          </w:p>
        </w:tc>
        <w:tc>
          <w:tcPr>
            <w:tcW w:w="1134" w:type="dxa"/>
            <w:tcBorders>
              <w:top w:val="nil"/>
              <w:left w:val="nil"/>
              <w:bottom w:val="single" w:sz="4" w:space="0" w:color="auto"/>
              <w:right w:val="single" w:sz="4" w:space="0" w:color="auto"/>
            </w:tcBorders>
            <w:shd w:val="clear" w:color="auto" w:fill="auto"/>
          </w:tcPr>
          <w:p w:rsidR="00703511" w:rsidRPr="0047440B" w:rsidRDefault="00703511" w:rsidP="00703511">
            <w:pPr>
              <w:jc w:val="center"/>
              <w:rPr>
                <w:color w:val="000000"/>
                <w:sz w:val="18"/>
                <w:szCs w:val="18"/>
              </w:rPr>
            </w:pPr>
            <w:r w:rsidRPr="0047440B">
              <w:rPr>
                <w:color w:val="000000"/>
                <w:sz w:val="18"/>
                <w:szCs w:val="18"/>
              </w:rPr>
              <w:t>0,041</w:t>
            </w:r>
          </w:p>
        </w:tc>
        <w:tc>
          <w:tcPr>
            <w:tcW w:w="992" w:type="dxa"/>
            <w:tcBorders>
              <w:top w:val="nil"/>
              <w:left w:val="nil"/>
              <w:bottom w:val="single" w:sz="4" w:space="0" w:color="auto"/>
              <w:right w:val="single" w:sz="4" w:space="0" w:color="auto"/>
            </w:tcBorders>
            <w:shd w:val="clear" w:color="auto" w:fill="auto"/>
          </w:tcPr>
          <w:p w:rsidR="00703511" w:rsidRPr="0047440B" w:rsidRDefault="00703511" w:rsidP="00703511">
            <w:pPr>
              <w:jc w:val="center"/>
              <w:rPr>
                <w:color w:val="000000"/>
                <w:sz w:val="18"/>
                <w:szCs w:val="18"/>
              </w:rPr>
            </w:pPr>
            <w:r w:rsidRPr="0047440B">
              <w:rPr>
                <w:color w:val="000000"/>
                <w:sz w:val="18"/>
                <w:szCs w:val="18"/>
              </w:rPr>
              <w:t>0,052</w:t>
            </w:r>
          </w:p>
        </w:tc>
        <w:tc>
          <w:tcPr>
            <w:tcW w:w="1134" w:type="dxa"/>
            <w:tcBorders>
              <w:top w:val="nil"/>
              <w:left w:val="nil"/>
              <w:bottom w:val="single" w:sz="4" w:space="0" w:color="auto"/>
              <w:right w:val="single" w:sz="4" w:space="0" w:color="auto"/>
            </w:tcBorders>
            <w:shd w:val="clear" w:color="auto" w:fill="auto"/>
          </w:tcPr>
          <w:p w:rsidR="00703511" w:rsidRPr="0047440B" w:rsidRDefault="00703511" w:rsidP="00703511">
            <w:pPr>
              <w:jc w:val="center"/>
              <w:rPr>
                <w:color w:val="000000"/>
                <w:sz w:val="18"/>
                <w:szCs w:val="18"/>
              </w:rPr>
            </w:pPr>
            <w:r w:rsidRPr="0047440B">
              <w:rPr>
                <w:color w:val="000000"/>
                <w:sz w:val="18"/>
                <w:szCs w:val="18"/>
              </w:rPr>
              <w:t>0,042</w:t>
            </w:r>
          </w:p>
        </w:tc>
        <w:tc>
          <w:tcPr>
            <w:tcW w:w="1129" w:type="dxa"/>
            <w:tcBorders>
              <w:top w:val="nil"/>
              <w:left w:val="nil"/>
              <w:bottom w:val="single" w:sz="4" w:space="0" w:color="auto"/>
              <w:right w:val="single" w:sz="4" w:space="0" w:color="auto"/>
            </w:tcBorders>
            <w:shd w:val="clear" w:color="auto" w:fill="auto"/>
          </w:tcPr>
          <w:p w:rsidR="00703511" w:rsidRPr="0047440B" w:rsidRDefault="00703511" w:rsidP="00703511">
            <w:pPr>
              <w:jc w:val="center"/>
              <w:rPr>
                <w:color w:val="000000"/>
                <w:sz w:val="18"/>
                <w:szCs w:val="18"/>
              </w:rPr>
            </w:pPr>
            <w:r w:rsidRPr="0047440B">
              <w:rPr>
                <w:color w:val="000000"/>
                <w:sz w:val="18"/>
                <w:szCs w:val="18"/>
              </w:rPr>
              <w:t>0,040</w:t>
            </w:r>
          </w:p>
        </w:tc>
        <w:tc>
          <w:tcPr>
            <w:tcW w:w="1134" w:type="dxa"/>
            <w:tcBorders>
              <w:top w:val="nil"/>
              <w:left w:val="nil"/>
              <w:bottom w:val="single" w:sz="4" w:space="0" w:color="auto"/>
              <w:right w:val="single" w:sz="4" w:space="0" w:color="auto"/>
            </w:tcBorders>
            <w:shd w:val="clear" w:color="auto" w:fill="auto"/>
          </w:tcPr>
          <w:p w:rsidR="00703511" w:rsidRPr="0047440B" w:rsidRDefault="00703511" w:rsidP="00703511">
            <w:pPr>
              <w:jc w:val="center"/>
              <w:rPr>
                <w:color w:val="000000"/>
                <w:sz w:val="18"/>
                <w:szCs w:val="18"/>
              </w:rPr>
            </w:pPr>
            <w:r w:rsidRPr="0047440B">
              <w:rPr>
                <w:color w:val="000000"/>
                <w:sz w:val="18"/>
                <w:szCs w:val="18"/>
              </w:rPr>
              <w:t>0,037</w:t>
            </w:r>
          </w:p>
        </w:tc>
        <w:tc>
          <w:tcPr>
            <w:tcW w:w="992" w:type="dxa"/>
            <w:tcBorders>
              <w:top w:val="nil"/>
              <w:left w:val="nil"/>
              <w:bottom w:val="single" w:sz="4" w:space="0" w:color="auto"/>
              <w:right w:val="single" w:sz="4" w:space="0" w:color="auto"/>
            </w:tcBorders>
            <w:shd w:val="clear" w:color="auto" w:fill="auto"/>
          </w:tcPr>
          <w:p w:rsidR="00703511" w:rsidRPr="0047440B" w:rsidRDefault="00703511" w:rsidP="00703511">
            <w:pPr>
              <w:jc w:val="center"/>
              <w:rPr>
                <w:color w:val="000000"/>
                <w:sz w:val="18"/>
                <w:szCs w:val="18"/>
              </w:rPr>
            </w:pPr>
            <w:r w:rsidRPr="0047440B">
              <w:rPr>
                <w:color w:val="000000"/>
                <w:sz w:val="18"/>
                <w:szCs w:val="18"/>
              </w:rPr>
              <w:t>0,049</w:t>
            </w:r>
          </w:p>
        </w:tc>
        <w:tc>
          <w:tcPr>
            <w:tcW w:w="1134" w:type="dxa"/>
            <w:tcBorders>
              <w:top w:val="nil"/>
              <w:left w:val="nil"/>
              <w:bottom w:val="single" w:sz="4" w:space="0" w:color="auto"/>
              <w:right w:val="single" w:sz="4" w:space="0" w:color="auto"/>
            </w:tcBorders>
            <w:shd w:val="clear" w:color="auto" w:fill="auto"/>
          </w:tcPr>
          <w:p w:rsidR="00703511" w:rsidRPr="0047440B" w:rsidRDefault="00703511" w:rsidP="00703511">
            <w:pPr>
              <w:jc w:val="center"/>
              <w:rPr>
                <w:color w:val="000000"/>
                <w:sz w:val="18"/>
                <w:szCs w:val="18"/>
              </w:rPr>
            </w:pPr>
            <w:r w:rsidRPr="0047440B">
              <w:rPr>
                <w:color w:val="000000"/>
                <w:sz w:val="18"/>
                <w:szCs w:val="18"/>
              </w:rPr>
              <w:t>0,044</w:t>
            </w:r>
          </w:p>
        </w:tc>
        <w:tc>
          <w:tcPr>
            <w:tcW w:w="1134" w:type="dxa"/>
            <w:tcBorders>
              <w:top w:val="nil"/>
              <w:left w:val="nil"/>
              <w:bottom w:val="single" w:sz="4" w:space="0" w:color="auto"/>
              <w:right w:val="single" w:sz="4" w:space="0" w:color="auto"/>
            </w:tcBorders>
            <w:shd w:val="clear" w:color="auto" w:fill="auto"/>
          </w:tcPr>
          <w:p w:rsidR="00703511" w:rsidRPr="0047440B" w:rsidRDefault="00703511" w:rsidP="00703511">
            <w:pPr>
              <w:jc w:val="center"/>
              <w:rPr>
                <w:color w:val="000000"/>
                <w:sz w:val="18"/>
                <w:szCs w:val="18"/>
              </w:rPr>
            </w:pPr>
            <w:r w:rsidRPr="0047440B">
              <w:rPr>
                <w:color w:val="000000"/>
                <w:sz w:val="18"/>
                <w:szCs w:val="18"/>
              </w:rPr>
              <w:t>0,044</w:t>
            </w:r>
          </w:p>
        </w:tc>
        <w:tc>
          <w:tcPr>
            <w:tcW w:w="1134" w:type="dxa"/>
            <w:tcBorders>
              <w:top w:val="nil"/>
              <w:left w:val="single" w:sz="4" w:space="0" w:color="auto"/>
              <w:bottom w:val="single" w:sz="4" w:space="0" w:color="auto"/>
              <w:right w:val="single" w:sz="4" w:space="0" w:color="auto"/>
            </w:tcBorders>
            <w:shd w:val="clear" w:color="auto" w:fill="auto"/>
          </w:tcPr>
          <w:p w:rsidR="00703511" w:rsidRPr="0047440B" w:rsidRDefault="00703511" w:rsidP="00826C02">
            <w:pPr>
              <w:jc w:val="center"/>
              <w:rPr>
                <w:color w:val="000000"/>
                <w:sz w:val="18"/>
                <w:szCs w:val="18"/>
              </w:rPr>
            </w:pPr>
            <w:r w:rsidRPr="0047440B">
              <w:rPr>
                <w:color w:val="000000"/>
                <w:sz w:val="18"/>
                <w:szCs w:val="18"/>
              </w:rPr>
              <w:t>0,036</w:t>
            </w:r>
          </w:p>
        </w:tc>
        <w:tc>
          <w:tcPr>
            <w:tcW w:w="1140" w:type="dxa"/>
            <w:tcBorders>
              <w:top w:val="single" w:sz="4" w:space="0" w:color="auto"/>
              <w:left w:val="nil"/>
              <w:bottom w:val="single" w:sz="4" w:space="0" w:color="auto"/>
              <w:right w:val="single" w:sz="4" w:space="0" w:color="auto"/>
            </w:tcBorders>
            <w:shd w:val="clear" w:color="auto" w:fill="auto"/>
          </w:tcPr>
          <w:p w:rsidR="00703511" w:rsidRPr="0047440B" w:rsidRDefault="00703511" w:rsidP="00F10B2E">
            <w:pPr>
              <w:jc w:val="center"/>
              <w:rPr>
                <w:color w:val="000000"/>
                <w:sz w:val="18"/>
                <w:szCs w:val="18"/>
              </w:rPr>
            </w:pPr>
            <w:r w:rsidRPr="0047440B">
              <w:rPr>
                <w:color w:val="000000"/>
                <w:sz w:val="18"/>
                <w:szCs w:val="18"/>
              </w:rPr>
              <w:t>33,7</w:t>
            </w:r>
            <w:r w:rsidR="00F10B2E" w:rsidRPr="0047440B">
              <w:rPr>
                <w:color w:val="000000"/>
                <w:sz w:val="18"/>
                <w:szCs w:val="18"/>
              </w:rPr>
              <w:t>1</w:t>
            </w:r>
          </w:p>
        </w:tc>
      </w:tr>
      <w:tr w:rsidR="00703511" w:rsidRPr="0047440B" w:rsidTr="00F6052B">
        <w:trPr>
          <w:trHeight w:val="20"/>
        </w:trPr>
        <w:tc>
          <w:tcPr>
            <w:tcW w:w="2122" w:type="dxa"/>
            <w:shd w:val="clear" w:color="auto" w:fill="auto"/>
          </w:tcPr>
          <w:p w:rsidR="00703511" w:rsidRPr="0047440B" w:rsidRDefault="00703511" w:rsidP="00703511">
            <w:pPr>
              <w:jc w:val="both"/>
              <w:rPr>
                <w:rFonts w:eastAsia="Arial"/>
                <w:sz w:val="18"/>
                <w:szCs w:val="18"/>
              </w:rPr>
            </w:pPr>
            <w:r w:rsidRPr="0047440B">
              <w:rPr>
                <w:rFonts w:eastAsia="Arial"/>
                <w:sz w:val="18"/>
                <w:szCs w:val="18"/>
              </w:rPr>
              <w:t>шейки матки</w:t>
            </w:r>
          </w:p>
        </w:tc>
        <w:tc>
          <w:tcPr>
            <w:tcW w:w="992" w:type="dxa"/>
            <w:tcBorders>
              <w:top w:val="nil"/>
              <w:left w:val="nil"/>
              <w:bottom w:val="single" w:sz="4" w:space="0" w:color="auto"/>
              <w:right w:val="single" w:sz="4" w:space="0" w:color="auto"/>
            </w:tcBorders>
            <w:shd w:val="clear" w:color="auto" w:fill="auto"/>
          </w:tcPr>
          <w:p w:rsidR="00703511" w:rsidRPr="0047440B" w:rsidRDefault="00703511" w:rsidP="00703511">
            <w:pPr>
              <w:jc w:val="center"/>
              <w:rPr>
                <w:color w:val="000000"/>
                <w:sz w:val="18"/>
                <w:szCs w:val="18"/>
              </w:rPr>
            </w:pPr>
            <w:r w:rsidRPr="0047440B">
              <w:rPr>
                <w:color w:val="000000"/>
                <w:sz w:val="18"/>
                <w:szCs w:val="18"/>
              </w:rPr>
              <w:t>0,006</w:t>
            </w:r>
          </w:p>
        </w:tc>
        <w:tc>
          <w:tcPr>
            <w:tcW w:w="1134" w:type="dxa"/>
            <w:tcBorders>
              <w:top w:val="nil"/>
              <w:left w:val="nil"/>
              <w:bottom w:val="single" w:sz="4" w:space="0" w:color="auto"/>
              <w:right w:val="single" w:sz="4" w:space="0" w:color="auto"/>
            </w:tcBorders>
            <w:shd w:val="clear" w:color="auto" w:fill="auto"/>
          </w:tcPr>
          <w:p w:rsidR="00703511" w:rsidRPr="0047440B" w:rsidRDefault="00703511" w:rsidP="00703511">
            <w:pPr>
              <w:jc w:val="center"/>
              <w:rPr>
                <w:color w:val="000000"/>
                <w:sz w:val="18"/>
                <w:szCs w:val="18"/>
              </w:rPr>
            </w:pPr>
            <w:r w:rsidRPr="0047440B">
              <w:rPr>
                <w:color w:val="000000"/>
                <w:sz w:val="18"/>
                <w:szCs w:val="18"/>
              </w:rPr>
              <w:t>0,010</w:t>
            </w:r>
          </w:p>
        </w:tc>
        <w:tc>
          <w:tcPr>
            <w:tcW w:w="992" w:type="dxa"/>
            <w:tcBorders>
              <w:top w:val="nil"/>
              <w:left w:val="nil"/>
              <w:bottom w:val="single" w:sz="4" w:space="0" w:color="auto"/>
              <w:right w:val="single" w:sz="4" w:space="0" w:color="auto"/>
            </w:tcBorders>
            <w:shd w:val="clear" w:color="auto" w:fill="auto"/>
          </w:tcPr>
          <w:p w:rsidR="00703511" w:rsidRPr="0047440B" w:rsidRDefault="00703511" w:rsidP="00703511">
            <w:pPr>
              <w:jc w:val="center"/>
              <w:rPr>
                <w:color w:val="000000"/>
                <w:sz w:val="18"/>
                <w:szCs w:val="18"/>
              </w:rPr>
            </w:pPr>
            <w:r w:rsidRPr="0047440B">
              <w:rPr>
                <w:color w:val="000000"/>
                <w:sz w:val="18"/>
                <w:szCs w:val="18"/>
              </w:rPr>
              <w:t>0,013</w:t>
            </w:r>
          </w:p>
        </w:tc>
        <w:tc>
          <w:tcPr>
            <w:tcW w:w="1134" w:type="dxa"/>
            <w:tcBorders>
              <w:top w:val="nil"/>
              <w:left w:val="nil"/>
              <w:bottom w:val="single" w:sz="4" w:space="0" w:color="auto"/>
              <w:right w:val="single" w:sz="4" w:space="0" w:color="auto"/>
            </w:tcBorders>
            <w:shd w:val="clear" w:color="auto" w:fill="auto"/>
          </w:tcPr>
          <w:p w:rsidR="00703511" w:rsidRPr="0047440B" w:rsidRDefault="00703511" w:rsidP="00703511">
            <w:pPr>
              <w:jc w:val="center"/>
              <w:rPr>
                <w:color w:val="000000"/>
                <w:sz w:val="18"/>
                <w:szCs w:val="18"/>
              </w:rPr>
            </w:pPr>
            <w:r w:rsidRPr="0047440B">
              <w:rPr>
                <w:color w:val="000000"/>
                <w:sz w:val="18"/>
                <w:szCs w:val="18"/>
              </w:rPr>
              <w:t>0,009</w:t>
            </w:r>
          </w:p>
        </w:tc>
        <w:tc>
          <w:tcPr>
            <w:tcW w:w="1129" w:type="dxa"/>
            <w:tcBorders>
              <w:top w:val="nil"/>
              <w:left w:val="nil"/>
              <w:bottom w:val="single" w:sz="4" w:space="0" w:color="auto"/>
              <w:right w:val="single" w:sz="4" w:space="0" w:color="auto"/>
            </w:tcBorders>
            <w:shd w:val="clear" w:color="auto" w:fill="auto"/>
          </w:tcPr>
          <w:p w:rsidR="00703511" w:rsidRPr="0047440B" w:rsidRDefault="00703511" w:rsidP="00703511">
            <w:pPr>
              <w:jc w:val="center"/>
              <w:rPr>
                <w:color w:val="000000"/>
                <w:sz w:val="18"/>
                <w:szCs w:val="18"/>
              </w:rPr>
            </w:pPr>
            <w:r w:rsidRPr="0047440B">
              <w:rPr>
                <w:color w:val="000000"/>
                <w:sz w:val="18"/>
                <w:szCs w:val="18"/>
              </w:rPr>
              <w:t>0,008</w:t>
            </w:r>
          </w:p>
        </w:tc>
        <w:tc>
          <w:tcPr>
            <w:tcW w:w="1134" w:type="dxa"/>
            <w:tcBorders>
              <w:top w:val="nil"/>
              <w:left w:val="nil"/>
              <w:bottom w:val="single" w:sz="4" w:space="0" w:color="auto"/>
              <w:right w:val="single" w:sz="4" w:space="0" w:color="auto"/>
            </w:tcBorders>
            <w:shd w:val="clear" w:color="auto" w:fill="auto"/>
          </w:tcPr>
          <w:p w:rsidR="00703511" w:rsidRPr="0047440B" w:rsidRDefault="00703511" w:rsidP="00703511">
            <w:pPr>
              <w:jc w:val="center"/>
              <w:rPr>
                <w:color w:val="000000"/>
                <w:sz w:val="18"/>
                <w:szCs w:val="18"/>
              </w:rPr>
            </w:pPr>
            <w:r w:rsidRPr="0047440B">
              <w:rPr>
                <w:color w:val="000000"/>
                <w:sz w:val="18"/>
                <w:szCs w:val="18"/>
              </w:rPr>
              <w:t>0,007</w:t>
            </w:r>
          </w:p>
        </w:tc>
        <w:tc>
          <w:tcPr>
            <w:tcW w:w="992" w:type="dxa"/>
            <w:tcBorders>
              <w:top w:val="nil"/>
              <w:left w:val="nil"/>
              <w:bottom w:val="single" w:sz="4" w:space="0" w:color="auto"/>
              <w:right w:val="single" w:sz="4" w:space="0" w:color="auto"/>
            </w:tcBorders>
            <w:shd w:val="clear" w:color="auto" w:fill="auto"/>
          </w:tcPr>
          <w:p w:rsidR="00703511" w:rsidRPr="0047440B" w:rsidRDefault="00703511" w:rsidP="00703511">
            <w:pPr>
              <w:jc w:val="center"/>
              <w:rPr>
                <w:color w:val="000000"/>
                <w:sz w:val="18"/>
                <w:szCs w:val="18"/>
              </w:rPr>
            </w:pPr>
            <w:r w:rsidRPr="0047440B">
              <w:rPr>
                <w:color w:val="000000"/>
                <w:sz w:val="18"/>
                <w:szCs w:val="18"/>
              </w:rPr>
              <w:t>0,010</w:t>
            </w:r>
          </w:p>
        </w:tc>
        <w:tc>
          <w:tcPr>
            <w:tcW w:w="1134" w:type="dxa"/>
            <w:tcBorders>
              <w:top w:val="nil"/>
              <w:left w:val="nil"/>
              <w:bottom w:val="single" w:sz="4" w:space="0" w:color="auto"/>
              <w:right w:val="single" w:sz="4" w:space="0" w:color="auto"/>
            </w:tcBorders>
            <w:shd w:val="clear" w:color="auto" w:fill="auto"/>
          </w:tcPr>
          <w:p w:rsidR="00703511" w:rsidRPr="0047440B" w:rsidRDefault="00703511" w:rsidP="00703511">
            <w:pPr>
              <w:jc w:val="center"/>
              <w:rPr>
                <w:color w:val="000000"/>
                <w:sz w:val="18"/>
                <w:szCs w:val="18"/>
              </w:rPr>
            </w:pPr>
            <w:r w:rsidRPr="0047440B">
              <w:rPr>
                <w:color w:val="000000"/>
                <w:sz w:val="18"/>
                <w:szCs w:val="18"/>
              </w:rPr>
              <w:t>0,006</w:t>
            </w:r>
          </w:p>
        </w:tc>
        <w:tc>
          <w:tcPr>
            <w:tcW w:w="1134" w:type="dxa"/>
            <w:tcBorders>
              <w:top w:val="nil"/>
              <w:left w:val="nil"/>
              <w:bottom w:val="single" w:sz="4" w:space="0" w:color="auto"/>
              <w:right w:val="single" w:sz="4" w:space="0" w:color="auto"/>
            </w:tcBorders>
            <w:shd w:val="clear" w:color="auto" w:fill="auto"/>
          </w:tcPr>
          <w:p w:rsidR="00703511" w:rsidRPr="0047440B" w:rsidRDefault="00703511" w:rsidP="00703511">
            <w:pPr>
              <w:jc w:val="center"/>
              <w:rPr>
                <w:color w:val="000000"/>
                <w:sz w:val="18"/>
                <w:szCs w:val="18"/>
              </w:rPr>
            </w:pPr>
            <w:r w:rsidRPr="0047440B">
              <w:rPr>
                <w:color w:val="000000"/>
                <w:sz w:val="18"/>
                <w:szCs w:val="18"/>
              </w:rPr>
              <w:t>0,007</w:t>
            </w:r>
          </w:p>
        </w:tc>
        <w:tc>
          <w:tcPr>
            <w:tcW w:w="1134" w:type="dxa"/>
            <w:tcBorders>
              <w:top w:val="nil"/>
              <w:left w:val="single" w:sz="4" w:space="0" w:color="auto"/>
              <w:bottom w:val="single" w:sz="4" w:space="0" w:color="auto"/>
              <w:right w:val="single" w:sz="4" w:space="0" w:color="auto"/>
            </w:tcBorders>
            <w:shd w:val="clear" w:color="auto" w:fill="auto"/>
          </w:tcPr>
          <w:p w:rsidR="00703511" w:rsidRPr="0047440B" w:rsidRDefault="00703511" w:rsidP="00826C02">
            <w:pPr>
              <w:jc w:val="center"/>
              <w:rPr>
                <w:color w:val="000000"/>
                <w:sz w:val="18"/>
                <w:szCs w:val="18"/>
              </w:rPr>
            </w:pPr>
            <w:r w:rsidRPr="0047440B">
              <w:rPr>
                <w:color w:val="000000"/>
                <w:sz w:val="18"/>
                <w:szCs w:val="18"/>
              </w:rPr>
              <w:t>0,01</w:t>
            </w:r>
            <w:r w:rsidR="00826C02" w:rsidRPr="0047440B">
              <w:rPr>
                <w:color w:val="000000"/>
                <w:sz w:val="18"/>
                <w:szCs w:val="18"/>
              </w:rPr>
              <w:t>2</w:t>
            </w:r>
          </w:p>
        </w:tc>
        <w:tc>
          <w:tcPr>
            <w:tcW w:w="1140" w:type="dxa"/>
            <w:tcBorders>
              <w:top w:val="single" w:sz="4" w:space="0" w:color="auto"/>
              <w:left w:val="nil"/>
              <w:bottom w:val="single" w:sz="4" w:space="0" w:color="auto"/>
              <w:right w:val="single" w:sz="4" w:space="0" w:color="auto"/>
            </w:tcBorders>
            <w:shd w:val="clear" w:color="auto" w:fill="auto"/>
          </w:tcPr>
          <w:p w:rsidR="00703511" w:rsidRPr="0047440B" w:rsidRDefault="00703511" w:rsidP="00F10B2E">
            <w:pPr>
              <w:jc w:val="center"/>
              <w:rPr>
                <w:color w:val="000000"/>
                <w:sz w:val="18"/>
                <w:szCs w:val="18"/>
              </w:rPr>
            </w:pPr>
            <w:r w:rsidRPr="0047440B">
              <w:rPr>
                <w:color w:val="000000"/>
                <w:sz w:val="18"/>
                <w:szCs w:val="18"/>
              </w:rPr>
              <w:t>96,6</w:t>
            </w:r>
            <w:r w:rsidR="00F10B2E" w:rsidRPr="0047440B">
              <w:rPr>
                <w:color w:val="000000"/>
                <w:sz w:val="18"/>
                <w:szCs w:val="18"/>
              </w:rPr>
              <w:t>7</w:t>
            </w:r>
          </w:p>
        </w:tc>
      </w:tr>
      <w:tr w:rsidR="00703511" w:rsidRPr="0047440B" w:rsidTr="00F6052B">
        <w:trPr>
          <w:trHeight w:val="20"/>
        </w:trPr>
        <w:tc>
          <w:tcPr>
            <w:tcW w:w="2122" w:type="dxa"/>
            <w:shd w:val="clear" w:color="auto" w:fill="auto"/>
          </w:tcPr>
          <w:p w:rsidR="00703511" w:rsidRPr="0047440B" w:rsidRDefault="00703511" w:rsidP="00703511">
            <w:pPr>
              <w:jc w:val="both"/>
              <w:rPr>
                <w:rFonts w:eastAsia="Arial"/>
                <w:sz w:val="18"/>
                <w:szCs w:val="18"/>
              </w:rPr>
            </w:pPr>
            <w:r w:rsidRPr="0047440B">
              <w:rPr>
                <w:rFonts w:eastAsia="Arial"/>
                <w:sz w:val="18"/>
                <w:szCs w:val="18"/>
              </w:rPr>
              <w:t>предстательной железы</w:t>
            </w:r>
          </w:p>
        </w:tc>
        <w:tc>
          <w:tcPr>
            <w:tcW w:w="992" w:type="dxa"/>
            <w:tcBorders>
              <w:top w:val="nil"/>
              <w:left w:val="nil"/>
              <w:bottom w:val="single" w:sz="4" w:space="0" w:color="auto"/>
              <w:right w:val="single" w:sz="4" w:space="0" w:color="auto"/>
            </w:tcBorders>
            <w:shd w:val="clear" w:color="auto" w:fill="auto"/>
          </w:tcPr>
          <w:p w:rsidR="00703511" w:rsidRPr="0047440B" w:rsidRDefault="00703511" w:rsidP="00703511">
            <w:pPr>
              <w:jc w:val="center"/>
              <w:rPr>
                <w:color w:val="000000"/>
                <w:sz w:val="18"/>
                <w:szCs w:val="18"/>
              </w:rPr>
            </w:pPr>
            <w:r w:rsidRPr="0047440B">
              <w:rPr>
                <w:color w:val="000000"/>
                <w:sz w:val="18"/>
                <w:szCs w:val="18"/>
              </w:rPr>
              <w:t>0,028</w:t>
            </w:r>
          </w:p>
        </w:tc>
        <w:tc>
          <w:tcPr>
            <w:tcW w:w="1134" w:type="dxa"/>
            <w:tcBorders>
              <w:top w:val="nil"/>
              <w:left w:val="nil"/>
              <w:bottom w:val="single" w:sz="4" w:space="0" w:color="auto"/>
              <w:right w:val="single" w:sz="4" w:space="0" w:color="auto"/>
            </w:tcBorders>
            <w:shd w:val="clear" w:color="auto" w:fill="auto"/>
          </w:tcPr>
          <w:p w:rsidR="00703511" w:rsidRPr="0047440B" w:rsidRDefault="00703511" w:rsidP="00703511">
            <w:pPr>
              <w:jc w:val="center"/>
              <w:rPr>
                <w:color w:val="000000"/>
                <w:sz w:val="18"/>
                <w:szCs w:val="18"/>
              </w:rPr>
            </w:pPr>
            <w:r w:rsidRPr="0047440B">
              <w:rPr>
                <w:color w:val="000000"/>
                <w:sz w:val="18"/>
                <w:szCs w:val="18"/>
              </w:rPr>
              <w:t>0,040</w:t>
            </w:r>
          </w:p>
        </w:tc>
        <w:tc>
          <w:tcPr>
            <w:tcW w:w="992" w:type="dxa"/>
            <w:tcBorders>
              <w:top w:val="nil"/>
              <w:left w:val="nil"/>
              <w:bottom w:val="single" w:sz="4" w:space="0" w:color="auto"/>
              <w:right w:val="single" w:sz="4" w:space="0" w:color="auto"/>
            </w:tcBorders>
            <w:shd w:val="clear" w:color="auto" w:fill="auto"/>
          </w:tcPr>
          <w:p w:rsidR="00703511" w:rsidRPr="0047440B" w:rsidRDefault="00703511" w:rsidP="00703511">
            <w:pPr>
              <w:jc w:val="center"/>
              <w:rPr>
                <w:color w:val="000000"/>
                <w:sz w:val="18"/>
                <w:szCs w:val="18"/>
              </w:rPr>
            </w:pPr>
            <w:r w:rsidRPr="0047440B">
              <w:rPr>
                <w:color w:val="000000"/>
                <w:sz w:val="18"/>
                <w:szCs w:val="18"/>
              </w:rPr>
              <w:t>0,023</w:t>
            </w:r>
          </w:p>
        </w:tc>
        <w:tc>
          <w:tcPr>
            <w:tcW w:w="1134" w:type="dxa"/>
            <w:tcBorders>
              <w:top w:val="nil"/>
              <w:left w:val="nil"/>
              <w:bottom w:val="single" w:sz="4" w:space="0" w:color="auto"/>
              <w:right w:val="single" w:sz="4" w:space="0" w:color="auto"/>
            </w:tcBorders>
            <w:shd w:val="clear" w:color="auto" w:fill="auto"/>
          </w:tcPr>
          <w:p w:rsidR="00703511" w:rsidRPr="0047440B" w:rsidRDefault="00703511" w:rsidP="00703511">
            <w:pPr>
              <w:jc w:val="center"/>
              <w:rPr>
                <w:color w:val="000000"/>
                <w:sz w:val="18"/>
                <w:szCs w:val="18"/>
              </w:rPr>
            </w:pPr>
            <w:r w:rsidRPr="0047440B">
              <w:rPr>
                <w:color w:val="000000"/>
                <w:sz w:val="18"/>
                <w:szCs w:val="18"/>
              </w:rPr>
              <w:t>0,013</w:t>
            </w:r>
          </w:p>
        </w:tc>
        <w:tc>
          <w:tcPr>
            <w:tcW w:w="1129" w:type="dxa"/>
            <w:tcBorders>
              <w:top w:val="nil"/>
              <w:left w:val="nil"/>
              <w:bottom w:val="single" w:sz="4" w:space="0" w:color="auto"/>
              <w:right w:val="single" w:sz="4" w:space="0" w:color="auto"/>
            </w:tcBorders>
            <w:shd w:val="clear" w:color="auto" w:fill="auto"/>
          </w:tcPr>
          <w:p w:rsidR="00703511" w:rsidRPr="0047440B" w:rsidRDefault="00703511" w:rsidP="00703511">
            <w:pPr>
              <w:jc w:val="center"/>
              <w:rPr>
                <w:color w:val="000000"/>
                <w:sz w:val="18"/>
                <w:szCs w:val="18"/>
              </w:rPr>
            </w:pPr>
            <w:r w:rsidRPr="0047440B">
              <w:rPr>
                <w:color w:val="000000"/>
                <w:sz w:val="18"/>
                <w:szCs w:val="18"/>
              </w:rPr>
              <w:t>0,011</w:t>
            </w:r>
          </w:p>
        </w:tc>
        <w:tc>
          <w:tcPr>
            <w:tcW w:w="1134" w:type="dxa"/>
            <w:tcBorders>
              <w:top w:val="nil"/>
              <w:left w:val="nil"/>
              <w:bottom w:val="single" w:sz="4" w:space="0" w:color="auto"/>
              <w:right w:val="single" w:sz="4" w:space="0" w:color="auto"/>
            </w:tcBorders>
            <w:shd w:val="clear" w:color="auto" w:fill="auto"/>
          </w:tcPr>
          <w:p w:rsidR="00703511" w:rsidRPr="0047440B" w:rsidRDefault="00703511" w:rsidP="00703511">
            <w:pPr>
              <w:jc w:val="center"/>
              <w:rPr>
                <w:color w:val="000000"/>
                <w:sz w:val="18"/>
                <w:szCs w:val="18"/>
              </w:rPr>
            </w:pPr>
            <w:r w:rsidRPr="0047440B">
              <w:rPr>
                <w:color w:val="000000"/>
                <w:sz w:val="18"/>
                <w:szCs w:val="18"/>
              </w:rPr>
              <w:t>0,007</w:t>
            </w:r>
          </w:p>
        </w:tc>
        <w:tc>
          <w:tcPr>
            <w:tcW w:w="992" w:type="dxa"/>
            <w:tcBorders>
              <w:top w:val="nil"/>
              <w:left w:val="nil"/>
              <w:bottom w:val="single" w:sz="4" w:space="0" w:color="auto"/>
              <w:right w:val="single" w:sz="4" w:space="0" w:color="auto"/>
            </w:tcBorders>
            <w:shd w:val="clear" w:color="auto" w:fill="auto"/>
          </w:tcPr>
          <w:p w:rsidR="00703511" w:rsidRPr="0047440B" w:rsidRDefault="00703511" w:rsidP="00703511">
            <w:pPr>
              <w:jc w:val="center"/>
              <w:rPr>
                <w:color w:val="000000"/>
                <w:sz w:val="18"/>
                <w:szCs w:val="18"/>
              </w:rPr>
            </w:pPr>
            <w:r w:rsidRPr="0047440B">
              <w:rPr>
                <w:color w:val="000000"/>
                <w:sz w:val="18"/>
                <w:szCs w:val="18"/>
              </w:rPr>
              <w:t>0,025</w:t>
            </w:r>
          </w:p>
        </w:tc>
        <w:tc>
          <w:tcPr>
            <w:tcW w:w="1134" w:type="dxa"/>
            <w:tcBorders>
              <w:top w:val="nil"/>
              <w:left w:val="nil"/>
              <w:bottom w:val="single" w:sz="4" w:space="0" w:color="auto"/>
              <w:right w:val="single" w:sz="4" w:space="0" w:color="auto"/>
            </w:tcBorders>
            <w:shd w:val="clear" w:color="auto" w:fill="auto"/>
          </w:tcPr>
          <w:p w:rsidR="00703511" w:rsidRPr="0047440B" w:rsidRDefault="00703511" w:rsidP="00703511">
            <w:pPr>
              <w:jc w:val="center"/>
              <w:rPr>
                <w:color w:val="000000"/>
                <w:sz w:val="18"/>
                <w:szCs w:val="18"/>
              </w:rPr>
            </w:pPr>
            <w:r w:rsidRPr="0047440B">
              <w:rPr>
                <w:color w:val="000000"/>
                <w:sz w:val="18"/>
                <w:szCs w:val="18"/>
              </w:rPr>
              <w:t>0,020</w:t>
            </w:r>
          </w:p>
        </w:tc>
        <w:tc>
          <w:tcPr>
            <w:tcW w:w="1134" w:type="dxa"/>
            <w:tcBorders>
              <w:top w:val="nil"/>
              <w:left w:val="nil"/>
              <w:bottom w:val="single" w:sz="4" w:space="0" w:color="auto"/>
              <w:right w:val="single" w:sz="4" w:space="0" w:color="auto"/>
            </w:tcBorders>
            <w:shd w:val="clear" w:color="auto" w:fill="auto"/>
          </w:tcPr>
          <w:p w:rsidR="00703511" w:rsidRPr="0047440B" w:rsidRDefault="00703511" w:rsidP="00703511">
            <w:pPr>
              <w:jc w:val="center"/>
              <w:rPr>
                <w:color w:val="000000"/>
                <w:sz w:val="18"/>
                <w:szCs w:val="18"/>
              </w:rPr>
            </w:pPr>
            <w:r w:rsidRPr="0047440B">
              <w:rPr>
                <w:color w:val="000000"/>
                <w:sz w:val="18"/>
                <w:szCs w:val="18"/>
              </w:rPr>
              <w:t>0,018</w:t>
            </w:r>
          </w:p>
        </w:tc>
        <w:tc>
          <w:tcPr>
            <w:tcW w:w="1134" w:type="dxa"/>
            <w:tcBorders>
              <w:top w:val="nil"/>
              <w:left w:val="single" w:sz="4" w:space="0" w:color="auto"/>
              <w:bottom w:val="single" w:sz="4" w:space="0" w:color="auto"/>
              <w:right w:val="single" w:sz="4" w:space="0" w:color="auto"/>
            </w:tcBorders>
            <w:shd w:val="clear" w:color="auto" w:fill="auto"/>
          </w:tcPr>
          <w:p w:rsidR="00703511" w:rsidRPr="0047440B" w:rsidRDefault="00703511" w:rsidP="00826C02">
            <w:pPr>
              <w:jc w:val="center"/>
              <w:rPr>
                <w:color w:val="000000"/>
                <w:sz w:val="18"/>
                <w:szCs w:val="18"/>
              </w:rPr>
            </w:pPr>
            <w:r w:rsidRPr="0047440B">
              <w:rPr>
                <w:color w:val="000000"/>
                <w:sz w:val="18"/>
                <w:szCs w:val="18"/>
              </w:rPr>
              <w:t>0,02</w:t>
            </w:r>
            <w:r w:rsidR="00826C02" w:rsidRPr="0047440B">
              <w:rPr>
                <w:color w:val="000000"/>
                <w:sz w:val="18"/>
                <w:szCs w:val="18"/>
              </w:rPr>
              <w:t>6</w:t>
            </w:r>
          </w:p>
        </w:tc>
        <w:tc>
          <w:tcPr>
            <w:tcW w:w="1140" w:type="dxa"/>
            <w:tcBorders>
              <w:top w:val="single" w:sz="4" w:space="0" w:color="auto"/>
              <w:left w:val="nil"/>
              <w:bottom w:val="single" w:sz="4" w:space="0" w:color="auto"/>
              <w:right w:val="single" w:sz="4" w:space="0" w:color="auto"/>
            </w:tcBorders>
            <w:shd w:val="clear" w:color="auto" w:fill="auto"/>
          </w:tcPr>
          <w:p w:rsidR="00703511" w:rsidRPr="0047440B" w:rsidRDefault="00703511" w:rsidP="00F10B2E">
            <w:pPr>
              <w:jc w:val="center"/>
              <w:rPr>
                <w:color w:val="000000"/>
                <w:sz w:val="18"/>
                <w:szCs w:val="18"/>
              </w:rPr>
            </w:pPr>
            <w:r w:rsidRPr="0047440B">
              <w:rPr>
                <w:color w:val="000000"/>
                <w:sz w:val="18"/>
                <w:szCs w:val="18"/>
              </w:rPr>
              <w:t>-8,21</w:t>
            </w:r>
          </w:p>
        </w:tc>
      </w:tr>
      <w:tr w:rsidR="00703511" w:rsidRPr="0047440B" w:rsidTr="00F6052B">
        <w:trPr>
          <w:trHeight w:val="20"/>
        </w:trPr>
        <w:tc>
          <w:tcPr>
            <w:tcW w:w="2122" w:type="dxa"/>
            <w:shd w:val="clear" w:color="auto" w:fill="auto"/>
          </w:tcPr>
          <w:p w:rsidR="00703511" w:rsidRPr="0047440B" w:rsidRDefault="00703511" w:rsidP="00703511">
            <w:pPr>
              <w:jc w:val="both"/>
              <w:rPr>
                <w:rFonts w:eastAsia="Arial"/>
                <w:sz w:val="18"/>
                <w:szCs w:val="18"/>
              </w:rPr>
            </w:pPr>
            <w:r w:rsidRPr="0047440B">
              <w:rPr>
                <w:rFonts w:eastAsia="Arial"/>
                <w:sz w:val="18"/>
                <w:szCs w:val="18"/>
              </w:rPr>
              <w:t>щитовидной железы</w:t>
            </w:r>
          </w:p>
        </w:tc>
        <w:tc>
          <w:tcPr>
            <w:tcW w:w="992" w:type="dxa"/>
            <w:tcBorders>
              <w:top w:val="nil"/>
              <w:left w:val="nil"/>
              <w:bottom w:val="single" w:sz="4" w:space="0" w:color="auto"/>
              <w:right w:val="single" w:sz="4" w:space="0" w:color="auto"/>
            </w:tcBorders>
            <w:shd w:val="clear" w:color="auto" w:fill="auto"/>
          </w:tcPr>
          <w:p w:rsidR="00703511" w:rsidRPr="0047440B" w:rsidRDefault="00703511" w:rsidP="00703511">
            <w:pPr>
              <w:jc w:val="center"/>
              <w:rPr>
                <w:color w:val="000000"/>
                <w:sz w:val="18"/>
                <w:szCs w:val="18"/>
              </w:rPr>
            </w:pPr>
            <w:r w:rsidRPr="0047440B">
              <w:rPr>
                <w:color w:val="000000"/>
                <w:sz w:val="18"/>
                <w:szCs w:val="18"/>
              </w:rPr>
              <w:t>0,002</w:t>
            </w:r>
          </w:p>
        </w:tc>
        <w:tc>
          <w:tcPr>
            <w:tcW w:w="1134" w:type="dxa"/>
            <w:tcBorders>
              <w:top w:val="nil"/>
              <w:left w:val="nil"/>
              <w:bottom w:val="single" w:sz="4" w:space="0" w:color="auto"/>
              <w:right w:val="single" w:sz="4" w:space="0" w:color="auto"/>
            </w:tcBorders>
            <w:shd w:val="clear" w:color="auto" w:fill="auto"/>
          </w:tcPr>
          <w:p w:rsidR="00703511" w:rsidRPr="0047440B" w:rsidRDefault="00703511" w:rsidP="00703511">
            <w:pPr>
              <w:jc w:val="center"/>
              <w:rPr>
                <w:color w:val="000000"/>
                <w:sz w:val="18"/>
                <w:szCs w:val="18"/>
              </w:rPr>
            </w:pPr>
            <w:r w:rsidRPr="0047440B">
              <w:rPr>
                <w:color w:val="000000"/>
                <w:sz w:val="18"/>
                <w:szCs w:val="18"/>
              </w:rPr>
              <w:t>0,003</w:t>
            </w:r>
          </w:p>
        </w:tc>
        <w:tc>
          <w:tcPr>
            <w:tcW w:w="992" w:type="dxa"/>
            <w:tcBorders>
              <w:top w:val="nil"/>
              <w:left w:val="nil"/>
              <w:bottom w:val="single" w:sz="4" w:space="0" w:color="auto"/>
              <w:right w:val="single" w:sz="4" w:space="0" w:color="auto"/>
            </w:tcBorders>
            <w:shd w:val="clear" w:color="auto" w:fill="auto"/>
          </w:tcPr>
          <w:p w:rsidR="00703511" w:rsidRPr="0047440B" w:rsidRDefault="00703511" w:rsidP="00703511">
            <w:pPr>
              <w:jc w:val="center"/>
              <w:rPr>
                <w:color w:val="000000"/>
                <w:sz w:val="18"/>
                <w:szCs w:val="18"/>
              </w:rPr>
            </w:pPr>
            <w:r w:rsidRPr="0047440B">
              <w:rPr>
                <w:color w:val="000000"/>
                <w:sz w:val="18"/>
                <w:szCs w:val="18"/>
              </w:rPr>
              <w:t>0,006</w:t>
            </w:r>
          </w:p>
        </w:tc>
        <w:tc>
          <w:tcPr>
            <w:tcW w:w="1134" w:type="dxa"/>
            <w:tcBorders>
              <w:top w:val="nil"/>
              <w:left w:val="nil"/>
              <w:bottom w:val="single" w:sz="4" w:space="0" w:color="auto"/>
              <w:right w:val="single" w:sz="4" w:space="0" w:color="auto"/>
            </w:tcBorders>
            <w:shd w:val="clear" w:color="auto" w:fill="auto"/>
          </w:tcPr>
          <w:p w:rsidR="00703511" w:rsidRPr="0047440B" w:rsidRDefault="00703511" w:rsidP="00703511">
            <w:pPr>
              <w:jc w:val="center"/>
              <w:rPr>
                <w:color w:val="000000"/>
                <w:sz w:val="18"/>
                <w:szCs w:val="18"/>
              </w:rPr>
            </w:pPr>
            <w:r w:rsidRPr="0047440B">
              <w:rPr>
                <w:color w:val="000000"/>
                <w:sz w:val="18"/>
                <w:szCs w:val="18"/>
              </w:rPr>
              <w:t>0,005</w:t>
            </w:r>
          </w:p>
        </w:tc>
        <w:tc>
          <w:tcPr>
            <w:tcW w:w="1129" w:type="dxa"/>
            <w:tcBorders>
              <w:top w:val="nil"/>
              <w:left w:val="nil"/>
              <w:bottom w:val="single" w:sz="4" w:space="0" w:color="auto"/>
              <w:right w:val="single" w:sz="4" w:space="0" w:color="auto"/>
            </w:tcBorders>
            <w:shd w:val="clear" w:color="auto" w:fill="auto"/>
          </w:tcPr>
          <w:p w:rsidR="00703511" w:rsidRPr="0047440B" w:rsidRDefault="00703511" w:rsidP="00703511">
            <w:pPr>
              <w:jc w:val="center"/>
              <w:rPr>
                <w:color w:val="000000"/>
                <w:sz w:val="18"/>
                <w:szCs w:val="18"/>
              </w:rPr>
            </w:pPr>
            <w:r w:rsidRPr="0047440B">
              <w:rPr>
                <w:color w:val="000000"/>
                <w:sz w:val="18"/>
                <w:szCs w:val="18"/>
              </w:rPr>
              <w:t>0,003</w:t>
            </w:r>
          </w:p>
        </w:tc>
        <w:tc>
          <w:tcPr>
            <w:tcW w:w="1134" w:type="dxa"/>
            <w:tcBorders>
              <w:top w:val="nil"/>
              <w:left w:val="nil"/>
              <w:bottom w:val="single" w:sz="4" w:space="0" w:color="auto"/>
              <w:right w:val="single" w:sz="4" w:space="0" w:color="auto"/>
            </w:tcBorders>
            <w:shd w:val="clear" w:color="auto" w:fill="auto"/>
          </w:tcPr>
          <w:p w:rsidR="00703511" w:rsidRPr="0047440B" w:rsidRDefault="00703511" w:rsidP="00703511">
            <w:pPr>
              <w:jc w:val="center"/>
              <w:rPr>
                <w:color w:val="000000"/>
                <w:sz w:val="18"/>
                <w:szCs w:val="18"/>
              </w:rPr>
            </w:pPr>
            <w:r w:rsidRPr="0047440B">
              <w:rPr>
                <w:color w:val="000000"/>
                <w:sz w:val="18"/>
                <w:szCs w:val="18"/>
              </w:rPr>
              <w:t>0,002</w:t>
            </w:r>
          </w:p>
        </w:tc>
        <w:tc>
          <w:tcPr>
            <w:tcW w:w="992" w:type="dxa"/>
            <w:tcBorders>
              <w:top w:val="nil"/>
              <w:left w:val="nil"/>
              <w:bottom w:val="single" w:sz="4" w:space="0" w:color="auto"/>
              <w:right w:val="single" w:sz="4" w:space="0" w:color="auto"/>
            </w:tcBorders>
            <w:shd w:val="clear" w:color="auto" w:fill="auto"/>
          </w:tcPr>
          <w:p w:rsidR="00703511" w:rsidRPr="0047440B" w:rsidRDefault="00703511" w:rsidP="00703511">
            <w:pPr>
              <w:jc w:val="center"/>
              <w:rPr>
                <w:color w:val="000000"/>
                <w:sz w:val="18"/>
                <w:szCs w:val="18"/>
              </w:rPr>
            </w:pPr>
            <w:r w:rsidRPr="0047440B">
              <w:rPr>
                <w:color w:val="000000"/>
                <w:sz w:val="18"/>
                <w:szCs w:val="18"/>
              </w:rPr>
              <w:t>0,006</w:t>
            </w:r>
          </w:p>
        </w:tc>
        <w:tc>
          <w:tcPr>
            <w:tcW w:w="1134" w:type="dxa"/>
            <w:tcBorders>
              <w:top w:val="nil"/>
              <w:left w:val="nil"/>
              <w:bottom w:val="single" w:sz="4" w:space="0" w:color="auto"/>
              <w:right w:val="single" w:sz="4" w:space="0" w:color="auto"/>
            </w:tcBorders>
            <w:shd w:val="clear" w:color="auto" w:fill="auto"/>
          </w:tcPr>
          <w:p w:rsidR="00703511" w:rsidRPr="0047440B" w:rsidRDefault="00703511" w:rsidP="00703511">
            <w:pPr>
              <w:jc w:val="center"/>
              <w:rPr>
                <w:color w:val="000000"/>
                <w:sz w:val="18"/>
                <w:szCs w:val="18"/>
              </w:rPr>
            </w:pPr>
            <w:r w:rsidRPr="0047440B">
              <w:rPr>
                <w:color w:val="000000"/>
                <w:sz w:val="18"/>
                <w:szCs w:val="18"/>
              </w:rPr>
              <w:t>0,006</w:t>
            </w:r>
          </w:p>
        </w:tc>
        <w:tc>
          <w:tcPr>
            <w:tcW w:w="1134" w:type="dxa"/>
            <w:tcBorders>
              <w:top w:val="nil"/>
              <w:left w:val="nil"/>
              <w:bottom w:val="single" w:sz="4" w:space="0" w:color="auto"/>
              <w:right w:val="single" w:sz="4" w:space="0" w:color="auto"/>
            </w:tcBorders>
            <w:shd w:val="clear" w:color="auto" w:fill="auto"/>
          </w:tcPr>
          <w:p w:rsidR="00703511" w:rsidRPr="0047440B" w:rsidRDefault="00703511" w:rsidP="00703511">
            <w:pPr>
              <w:jc w:val="center"/>
              <w:rPr>
                <w:color w:val="000000"/>
                <w:sz w:val="18"/>
                <w:szCs w:val="18"/>
              </w:rPr>
            </w:pPr>
            <w:r w:rsidRPr="0047440B">
              <w:rPr>
                <w:color w:val="000000"/>
                <w:sz w:val="18"/>
                <w:szCs w:val="18"/>
              </w:rPr>
              <w:t>0,007</w:t>
            </w:r>
          </w:p>
        </w:tc>
        <w:tc>
          <w:tcPr>
            <w:tcW w:w="1134" w:type="dxa"/>
            <w:tcBorders>
              <w:top w:val="nil"/>
              <w:left w:val="single" w:sz="4" w:space="0" w:color="auto"/>
              <w:bottom w:val="single" w:sz="4" w:space="0" w:color="auto"/>
              <w:right w:val="single" w:sz="4" w:space="0" w:color="auto"/>
            </w:tcBorders>
            <w:shd w:val="clear" w:color="auto" w:fill="auto"/>
          </w:tcPr>
          <w:p w:rsidR="00703511" w:rsidRPr="0047440B" w:rsidRDefault="00703511" w:rsidP="00826C02">
            <w:pPr>
              <w:jc w:val="center"/>
              <w:rPr>
                <w:color w:val="000000"/>
                <w:sz w:val="18"/>
                <w:szCs w:val="18"/>
              </w:rPr>
            </w:pPr>
            <w:r w:rsidRPr="0047440B">
              <w:rPr>
                <w:color w:val="000000"/>
                <w:sz w:val="18"/>
                <w:szCs w:val="18"/>
              </w:rPr>
              <w:t>0,004</w:t>
            </w:r>
          </w:p>
        </w:tc>
        <w:tc>
          <w:tcPr>
            <w:tcW w:w="1140" w:type="dxa"/>
            <w:tcBorders>
              <w:top w:val="single" w:sz="4" w:space="0" w:color="auto"/>
              <w:left w:val="nil"/>
              <w:bottom w:val="single" w:sz="4" w:space="0" w:color="auto"/>
              <w:right w:val="single" w:sz="4" w:space="0" w:color="auto"/>
            </w:tcBorders>
            <w:shd w:val="clear" w:color="auto" w:fill="auto"/>
          </w:tcPr>
          <w:p w:rsidR="00703511" w:rsidRPr="0047440B" w:rsidRDefault="00703511" w:rsidP="00F10B2E">
            <w:pPr>
              <w:jc w:val="center"/>
              <w:rPr>
                <w:color w:val="000000"/>
                <w:sz w:val="18"/>
                <w:szCs w:val="18"/>
              </w:rPr>
            </w:pPr>
            <w:r w:rsidRPr="0047440B">
              <w:rPr>
                <w:color w:val="000000"/>
                <w:sz w:val="18"/>
                <w:szCs w:val="18"/>
              </w:rPr>
              <w:t>120,00</w:t>
            </w:r>
          </w:p>
        </w:tc>
      </w:tr>
    </w:tbl>
    <w:p w:rsidR="002B5C66" w:rsidRPr="0047440B" w:rsidRDefault="002B5C66" w:rsidP="00182415">
      <w:pPr>
        <w:ind w:left="12037" w:firstLine="153"/>
        <w:jc w:val="right"/>
        <w:rPr>
          <w:rFonts w:eastAsia="Arial"/>
          <w:sz w:val="28"/>
          <w:szCs w:val="28"/>
        </w:rPr>
      </w:pPr>
    </w:p>
    <w:p w:rsidR="00F91647" w:rsidRPr="0047440B" w:rsidRDefault="00F91647" w:rsidP="002A6091">
      <w:pPr>
        <w:jc w:val="center"/>
        <w:rPr>
          <w:sz w:val="28"/>
          <w:szCs w:val="28"/>
        </w:rPr>
      </w:pPr>
    </w:p>
    <w:p w:rsidR="008D5586" w:rsidRPr="0047440B" w:rsidRDefault="008D5586" w:rsidP="002A6091">
      <w:pPr>
        <w:jc w:val="center"/>
        <w:rPr>
          <w:sz w:val="28"/>
          <w:szCs w:val="28"/>
        </w:rPr>
      </w:pPr>
    </w:p>
    <w:p w:rsidR="003D06F5" w:rsidRPr="0047440B" w:rsidRDefault="003D06F5" w:rsidP="003D06F5">
      <w:pPr>
        <w:jc w:val="center"/>
        <w:rPr>
          <w:sz w:val="28"/>
          <w:szCs w:val="28"/>
        </w:rPr>
        <w:sectPr w:rsidR="003D06F5" w:rsidRPr="0047440B" w:rsidSect="00B82439">
          <w:headerReference w:type="first" r:id="rId41"/>
          <w:pgSz w:w="15840" w:h="12240" w:orient="landscape"/>
          <w:pgMar w:top="1134" w:right="567" w:bottom="1134" w:left="1134" w:header="720" w:footer="720" w:gutter="0"/>
          <w:cols w:space="720"/>
          <w:docGrid w:linePitch="326"/>
        </w:sectPr>
      </w:pPr>
    </w:p>
    <w:p w:rsidR="00963609" w:rsidRPr="0047440B" w:rsidRDefault="00963609" w:rsidP="00963609">
      <w:pPr>
        <w:ind w:firstLine="708"/>
        <w:jc w:val="both"/>
        <w:rPr>
          <w:sz w:val="28"/>
          <w:szCs w:val="28"/>
        </w:rPr>
      </w:pPr>
      <w:r w:rsidRPr="0047440B">
        <w:rPr>
          <w:sz w:val="28"/>
          <w:szCs w:val="28"/>
        </w:rPr>
        <w:t>В Республике Татарстан в 66 медицинских организациях, осуществляющих оказание первичной медико-санитарной помощи населению, развернут</w:t>
      </w:r>
      <w:r w:rsidR="00AB5B0E" w:rsidRPr="0047440B">
        <w:rPr>
          <w:sz w:val="28"/>
          <w:szCs w:val="28"/>
        </w:rPr>
        <w:t>о</w:t>
      </w:r>
      <w:r w:rsidRPr="0047440B">
        <w:rPr>
          <w:sz w:val="28"/>
          <w:szCs w:val="28"/>
        </w:rPr>
        <w:t xml:space="preserve"> 12</w:t>
      </w:r>
      <w:r w:rsidR="00AB5B0E" w:rsidRPr="0047440B">
        <w:rPr>
          <w:sz w:val="28"/>
          <w:szCs w:val="28"/>
        </w:rPr>
        <w:t>4</w:t>
      </w:r>
      <w:r w:rsidRPr="0047440B">
        <w:rPr>
          <w:sz w:val="28"/>
          <w:szCs w:val="28"/>
        </w:rPr>
        <w:t xml:space="preserve"> смотров</w:t>
      </w:r>
      <w:r w:rsidR="00AB5B0E" w:rsidRPr="0047440B">
        <w:rPr>
          <w:sz w:val="28"/>
          <w:szCs w:val="28"/>
        </w:rPr>
        <w:t>ых</w:t>
      </w:r>
      <w:r w:rsidRPr="0047440B">
        <w:rPr>
          <w:sz w:val="28"/>
          <w:szCs w:val="28"/>
        </w:rPr>
        <w:t xml:space="preserve"> кабинет</w:t>
      </w:r>
      <w:r w:rsidR="00AB5B0E" w:rsidRPr="0047440B">
        <w:rPr>
          <w:sz w:val="28"/>
          <w:szCs w:val="28"/>
        </w:rPr>
        <w:t>а</w:t>
      </w:r>
      <w:r w:rsidRPr="0047440B">
        <w:rPr>
          <w:sz w:val="28"/>
          <w:szCs w:val="28"/>
        </w:rPr>
        <w:t>. Штатная численн</w:t>
      </w:r>
      <w:r w:rsidR="000639C2" w:rsidRPr="0047440B">
        <w:rPr>
          <w:sz w:val="28"/>
          <w:szCs w:val="28"/>
        </w:rPr>
        <w:t>ость акушерок составляет 15</w:t>
      </w:r>
      <w:r w:rsidR="00AB5B0E" w:rsidRPr="0047440B">
        <w:rPr>
          <w:sz w:val="28"/>
          <w:szCs w:val="28"/>
        </w:rPr>
        <w:t>3</w:t>
      </w:r>
      <w:r w:rsidR="000639C2" w:rsidRPr="0047440B">
        <w:rPr>
          <w:sz w:val="28"/>
          <w:szCs w:val="28"/>
        </w:rPr>
        <w:t>,</w:t>
      </w:r>
      <w:r w:rsidR="00AB5B0E" w:rsidRPr="0047440B">
        <w:rPr>
          <w:sz w:val="28"/>
          <w:szCs w:val="28"/>
        </w:rPr>
        <w:t>75</w:t>
      </w:r>
      <w:r w:rsidR="00892091" w:rsidRPr="0047440B">
        <w:rPr>
          <w:sz w:val="28"/>
          <w:szCs w:val="28"/>
        </w:rPr>
        <w:t>. Занято ставок 15</w:t>
      </w:r>
      <w:r w:rsidR="002A63C2" w:rsidRPr="0047440B">
        <w:rPr>
          <w:sz w:val="28"/>
          <w:szCs w:val="28"/>
        </w:rPr>
        <w:t>2</w:t>
      </w:r>
      <w:r w:rsidR="00892091" w:rsidRPr="0047440B">
        <w:rPr>
          <w:sz w:val="28"/>
          <w:szCs w:val="28"/>
        </w:rPr>
        <w:t>,</w:t>
      </w:r>
      <w:r w:rsidR="002A63C2" w:rsidRPr="0047440B">
        <w:rPr>
          <w:sz w:val="28"/>
          <w:szCs w:val="28"/>
        </w:rPr>
        <w:t>5</w:t>
      </w:r>
      <w:r w:rsidR="00892091" w:rsidRPr="0047440B">
        <w:rPr>
          <w:sz w:val="28"/>
          <w:szCs w:val="28"/>
        </w:rPr>
        <w:t xml:space="preserve">0. </w:t>
      </w:r>
      <w:r w:rsidRPr="0047440B">
        <w:rPr>
          <w:sz w:val="28"/>
          <w:szCs w:val="28"/>
        </w:rPr>
        <w:t xml:space="preserve">Укомплектованность </w:t>
      </w:r>
      <w:r w:rsidR="000639C2" w:rsidRPr="0047440B">
        <w:rPr>
          <w:sz w:val="28"/>
          <w:szCs w:val="28"/>
        </w:rPr>
        <w:t xml:space="preserve">кадрами акушерок составляет </w:t>
      </w:r>
      <w:r w:rsidR="00CE2B1D" w:rsidRPr="0047440B">
        <w:rPr>
          <w:sz w:val="28"/>
          <w:szCs w:val="28"/>
        </w:rPr>
        <w:t>9</w:t>
      </w:r>
      <w:r w:rsidR="00080DCA" w:rsidRPr="0047440B">
        <w:rPr>
          <w:sz w:val="28"/>
          <w:szCs w:val="28"/>
        </w:rPr>
        <w:t>9,2</w:t>
      </w:r>
      <w:r w:rsidRPr="0047440B">
        <w:rPr>
          <w:sz w:val="28"/>
          <w:szCs w:val="28"/>
        </w:rPr>
        <w:t xml:space="preserve"> процент</w:t>
      </w:r>
      <w:r w:rsidR="000639C2" w:rsidRPr="0047440B">
        <w:rPr>
          <w:sz w:val="28"/>
          <w:szCs w:val="28"/>
        </w:rPr>
        <w:t>ов</w:t>
      </w:r>
      <w:r w:rsidRPr="0047440B">
        <w:rPr>
          <w:sz w:val="28"/>
          <w:szCs w:val="28"/>
        </w:rPr>
        <w:t>. Число физических лиц составляет 14</w:t>
      </w:r>
      <w:r w:rsidR="00080DCA" w:rsidRPr="0047440B">
        <w:rPr>
          <w:sz w:val="28"/>
          <w:szCs w:val="28"/>
        </w:rPr>
        <w:t>4</w:t>
      </w:r>
      <w:r w:rsidR="00892091" w:rsidRPr="0047440B">
        <w:rPr>
          <w:sz w:val="28"/>
          <w:szCs w:val="28"/>
        </w:rPr>
        <w:t>.</w:t>
      </w:r>
      <w:r w:rsidRPr="0047440B">
        <w:rPr>
          <w:sz w:val="28"/>
          <w:szCs w:val="28"/>
        </w:rPr>
        <w:t xml:space="preserve"> Дефицит физических лиц составляет </w:t>
      </w:r>
      <w:r w:rsidR="00080DCA" w:rsidRPr="0047440B">
        <w:rPr>
          <w:sz w:val="28"/>
          <w:szCs w:val="28"/>
        </w:rPr>
        <w:t>9</w:t>
      </w:r>
      <w:r w:rsidRPr="0047440B">
        <w:rPr>
          <w:sz w:val="28"/>
          <w:szCs w:val="28"/>
        </w:rPr>
        <w:t xml:space="preserve"> медицинских работников. Численность прикрепленного населения на один смотровой кабинет в среднем составляет </w:t>
      </w:r>
      <w:r w:rsidRPr="0047440B">
        <w:rPr>
          <w:sz w:val="28"/>
          <w:szCs w:val="28"/>
        </w:rPr>
        <w:br/>
        <w:t>13 </w:t>
      </w:r>
      <w:r w:rsidR="002F37C2" w:rsidRPr="0047440B">
        <w:rPr>
          <w:sz w:val="28"/>
          <w:szCs w:val="28"/>
        </w:rPr>
        <w:t>584</w:t>
      </w:r>
      <w:r w:rsidRPr="0047440B">
        <w:rPr>
          <w:sz w:val="28"/>
          <w:szCs w:val="28"/>
        </w:rPr>
        <w:t xml:space="preserve"> человек</w:t>
      </w:r>
      <w:r w:rsidR="000639C2" w:rsidRPr="0047440B">
        <w:rPr>
          <w:sz w:val="28"/>
          <w:szCs w:val="28"/>
        </w:rPr>
        <w:t>а</w:t>
      </w:r>
      <w:r w:rsidRPr="0047440B">
        <w:rPr>
          <w:sz w:val="28"/>
          <w:szCs w:val="28"/>
        </w:rPr>
        <w:t>. Количество смен в среднем составляет 1,</w:t>
      </w:r>
      <w:r w:rsidR="002F37C2" w:rsidRPr="0047440B">
        <w:rPr>
          <w:sz w:val="28"/>
          <w:szCs w:val="28"/>
        </w:rPr>
        <w:t>57</w:t>
      </w:r>
      <w:r w:rsidR="00892091" w:rsidRPr="0047440B">
        <w:rPr>
          <w:sz w:val="28"/>
          <w:szCs w:val="28"/>
        </w:rPr>
        <w:t>.</w:t>
      </w:r>
      <w:r w:rsidRPr="0047440B">
        <w:rPr>
          <w:sz w:val="28"/>
          <w:szCs w:val="28"/>
        </w:rPr>
        <w:t xml:space="preserve"> </w:t>
      </w:r>
    </w:p>
    <w:p w:rsidR="00963609" w:rsidRPr="0047440B" w:rsidRDefault="00963609" w:rsidP="00963609">
      <w:pPr>
        <w:ind w:firstLine="708"/>
        <w:jc w:val="both"/>
        <w:rPr>
          <w:sz w:val="28"/>
          <w:szCs w:val="28"/>
        </w:rPr>
      </w:pPr>
      <w:r w:rsidRPr="0047440B">
        <w:rPr>
          <w:sz w:val="28"/>
          <w:szCs w:val="28"/>
        </w:rPr>
        <w:t>Информация в разрезе медицинских организаций Министерства здравоохранения Республики Татарстан представлена в таблице 15.7</w:t>
      </w:r>
      <w:r w:rsidR="005C0C4A" w:rsidRPr="0047440B">
        <w:rPr>
          <w:sz w:val="28"/>
          <w:szCs w:val="28"/>
        </w:rPr>
        <w:t>.</w:t>
      </w:r>
    </w:p>
    <w:p w:rsidR="00963609" w:rsidRPr="0047440B" w:rsidRDefault="00963609" w:rsidP="00963609">
      <w:pPr>
        <w:ind w:left="8930" w:firstLine="142"/>
        <w:jc w:val="right"/>
        <w:rPr>
          <w:sz w:val="28"/>
          <w:szCs w:val="28"/>
        </w:rPr>
      </w:pPr>
    </w:p>
    <w:p w:rsidR="00AB5B0E" w:rsidRPr="0047440B" w:rsidRDefault="00AB5B0E" w:rsidP="00281209">
      <w:pPr>
        <w:ind w:left="7788"/>
        <w:jc w:val="right"/>
        <w:rPr>
          <w:sz w:val="28"/>
          <w:szCs w:val="28"/>
        </w:rPr>
      </w:pPr>
      <w:r w:rsidRPr="0047440B">
        <w:rPr>
          <w:sz w:val="28"/>
          <w:szCs w:val="28"/>
        </w:rPr>
        <w:t>Таблица 15.7</w:t>
      </w:r>
    </w:p>
    <w:p w:rsidR="00AB5B0E" w:rsidRPr="0047440B" w:rsidRDefault="00AB5B0E" w:rsidP="00AB5B0E">
      <w:pPr>
        <w:ind w:left="8930" w:firstLine="142"/>
        <w:jc w:val="right"/>
        <w:rPr>
          <w:sz w:val="28"/>
          <w:szCs w:val="28"/>
        </w:rPr>
      </w:pPr>
    </w:p>
    <w:p w:rsidR="00AB5B0E" w:rsidRPr="0047440B" w:rsidRDefault="00AB5B0E" w:rsidP="00AB5B0E">
      <w:pPr>
        <w:jc w:val="center"/>
        <w:rPr>
          <w:sz w:val="28"/>
          <w:szCs w:val="28"/>
        </w:rPr>
      </w:pPr>
      <w:r w:rsidRPr="0047440B">
        <w:rPr>
          <w:sz w:val="28"/>
          <w:szCs w:val="28"/>
        </w:rPr>
        <w:t>Сведения о смотровых кабинетах в медицинских организациях</w:t>
      </w:r>
    </w:p>
    <w:p w:rsidR="00AB5B0E" w:rsidRDefault="00AB5B0E" w:rsidP="00AB5B0E">
      <w:pPr>
        <w:jc w:val="center"/>
        <w:rPr>
          <w:sz w:val="28"/>
          <w:szCs w:val="28"/>
        </w:rPr>
      </w:pPr>
      <w:r w:rsidRPr="0047440B">
        <w:rPr>
          <w:sz w:val="28"/>
          <w:szCs w:val="28"/>
        </w:rPr>
        <w:t>Республики Татарстан за 2025 год</w:t>
      </w:r>
    </w:p>
    <w:p w:rsidR="00F6052B" w:rsidRDefault="00F6052B" w:rsidP="00F6052B">
      <w:pPr>
        <w:rPr>
          <w:sz w:val="28"/>
          <w:szCs w:val="28"/>
        </w:rPr>
      </w:pPr>
    </w:p>
    <w:tbl>
      <w:tblPr>
        <w:tblW w:w="10773" w:type="dxa"/>
        <w:jc w:val="center"/>
        <w:tblLayout w:type="fixed"/>
        <w:tblLook w:val="04A0" w:firstRow="1" w:lastRow="0" w:firstColumn="1" w:lastColumn="0" w:noHBand="0" w:noVBand="1"/>
      </w:tblPr>
      <w:tblGrid>
        <w:gridCol w:w="486"/>
        <w:gridCol w:w="2917"/>
        <w:gridCol w:w="1233"/>
        <w:gridCol w:w="816"/>
        <w:gridCol w:w="792"/>
        <w:gridCol w:w="1239"/>
        <w:gridCol w:w="952"/>
        <w:gridCol w:w="1121"/>
        <w:gridCol w:w="1217"/>
      </w:tblGrid>
      <w:tr w:rsidR="00F6052B" w:rsidRPr="00F6052B" w:rsidTr="00DF204B">
        <w:trPr>
          <w:trHeight w:val="20"/>
          <w:jc w:val="center"/>
        </w:trPr>
        <w:tc>
          <w:tcPr>
            <w:tcW w:w="486" w:type="dxa"/>
            <w:tcBorders>
              <w:top w:val="single" w:sz="4" w:space="0" w:color="auto"/>
              <w:left w:val="single" w:sz="4" w:space="0" w:color="auto"/>
              <w:bottom w:val="single" w:sz="4" w:space="0" w:color="auto"/>
              <w:right w:val="single" w:sz="4" w:space="0" w:color="auto"/>
            </w:tcBorders>
            <w:shd w:val="clear" w:color="000000" w:fill="FFFFFF"/>
            <w:noWrap/>
          </w:tcPr>
          <w:p w:rsidR="00F6052B" w:rsidRPr="00F6052B" w:rsidRDefault="00F6052B" w:rsidP="00F6052B">
            <w:pPr>
              <w:autoSpaceDE/>
              <w:autoSpaceDN/>
              <w:adjustRightInd/>
              <w:jc w:val="center"/>
              <w:rPr>
                <w:color w:val="000000"/>
                <w:sz w:val="20"/>
                <w:szCs w:val="20"/>
              </w:rPr>
            </w:pPr>
            <w:r w:rsidRPr="00F6052B">
              <w:rPr>
                <w:color w:val="000000"/>
                <w:sz w:val="20"/>
                <w:szCs w:val="20"/>
              </w:rPr>
              <w:t>№</w:t>
            </w:r>
          </w:p>
          <w:p w:rsidR="00F6052B" w:rsidRPr="00F6052B" w:rsidRDefault="00F6052B" w:rsidP="00F6052B">
            <w:pPr>
              <w:autoSpaceDE/>
              <w:autoSpaceDN/>
              <w:adjustRightInd/>
              <w:jc w:val="center"/>
              <w:rPr>
                <w:color w:val="000000"/>
                <w:sz w:val="20"/>
                <w:szCs w:val="20"/>
              </w:rPr>
            </w:pPr>
            <w:r w:rsidRPr="00F6052B">
              <w:rPr>
                <w:color w:val="000000"/>
                <w:sz w:val="20"/>
                <w:szCs w:val="20"/>
              </w:rPr>
              <w:t>п/n</w:t>
            </w:r>
          </w:p>
        </w:tc>
        <w:tc>
          <w:tcPr>
            <w:tcW w:w="2917" w:type="dxa"/>
            <w:tcBorders>
              <w:top w:val="single" w:sz="4" w:space="0" w:color="auto"/>
              <w:left w:val="single" w:sz="4" w:space="0" w:color="auto"/>
              <w:bottom w:val="single" w:sz="4" w:space="0" w:color="auto"/>
              <w:right w:val="single" w:sz="4" w:space="0" w:color="auto"/>
            </w:tcBorders>
            <w:shd w:val="clear" w:color="auto" w:fill="auto"/>
          </w:tcPr>
          <w:p w:rsidR="00F6052B" w:rsidRPr="00F6052B" w:rsidRDefault="00F6052B" w:rsidP="00F6052B">
            <w:pPr>
              <w:widowControl/>
              <w:autoSpaceDE/>
              <w:autoSpaceDN/>
              <w:adjustRightInd/>
              <w:rPr>
                <w:color w:val="000000"/>
                <w:sz w:val="20"/>
                <w:szCs w:val="20"/>
              </w:rPr>
            </w:pPr>
            <w:r w:rsidRPr="00F6052B">
              <w:rPr>
                <w:color w:val="000000"/>
                <w:sz w:val="20"/>
                <w:szCs w:val="20"/>
              </w:rPr>
              <w:t>Наименование медицинских организаций</w:t>
            </w:r>
          </w:p>
        </w:tc>
        <w:tc>
          <w:tcPr>
            <w:tcW w:w="1233" w:type="dxa"/>
            <w:tcBorders>
              <w:top w:val="single" w:sz="4" w:space="0" w:color="auto"/>
              <w:left w:val="single" w:sz="4" w:space="0" w:color="auto"/>
              <w:bottom w:val="single" w:sz="4" w:space="0" w:color="auto"/>
              <w:right w:val="single" w:sz="4" w:space="0" w:color="auto"/>
            </w:tcBorders>
            <w:shd w:val="clear" w:color="auto" w:fill="auto"/>
            <w:noWrap/>
          </w:tcPr>
          <w:p w:rsidR="00F6052B" w:rsidRPr="00F6052B" w:rsidRDefault="00F6052B" w:rsidP="00F6052B">
            <w:pPr>
              <w:widowControl/>
              <w:autoSpaceDE/>
              <w:autoSpaceDN/>
              <w:adjustRightInd/>
              <w:jc w:val="center"/>
              <w:rPr>
                <w:color w:val="000000"/>
                <w:sz w:val="20"/>
                <w:szCs w:val="20"/>
              </w:rPr>
            </w:pPr>
            <w:r w:rsidRPr="00F6052B">
              <w:rPr>
                <w:color w:val="000000"/>
                <w:sz w:val="20"/>
                <w:szCs w:val="20"/>
              </w:rPr>
              <w:t>Число смотровых кабинетов</w:t>
            </w:r>
          </w:p>
        </w:tc>
        <w:tc>
          <w:tcPr>
            <w:tcW w:w="816" w:type="dxa"/>
            <w:tcBorders>
              <w:top w:val="single" w:sz="4" w:space="0" w:color="auto"/>
              <w:left w:val="single" w:sz="4" w:space="0" w:color="auto"/>
              <w:bottom w:val="single" w:sz="4" w:space="0" w:color="auto"/>
              <w:right w:val="single" w:sz="4" w:space="0" w:color="auto"/>
            </w:tcBorders>
            <w:shd w:val="clear" w:color="auto" w:fill="auto"/>
            <w:noWrap/>
          </w:tcPr>
          <w:p w:rsidR="00F6052B" w:rsidRPr="00F6052B" w:rsidRDefault="00F6052B" w:rsidP="00F6052B">
            <w:pPr>
              <w:widowControl/>
              <w:autoSpaceDE/>
              <w:autoSpaceDN/>
              <w:adjustRightInd/>
              <w:jc w:val="center"/>
              <w:rPr>
                <w:color w:val="000000"/>
                <w:sz w:val="20"/>
                <w:szCs w:val="20"/>
              </w:rPr>
            </w:pPr>
            <w:r w:rsidRPr="00F6052B">
              <w:rPr>
                <w:color w:val="000000"/>
                <w:sz w:val="20"/>
                <w:szCs w:val="20"/>
              </w:rPr>
              <w:t>Штаты</w:t>
            </w:r>
          </w:p>
        </w:tc>
        <w:tc>
          <w:tcPr>
            <w:tcW w:w="792" w:type="dxa"/>
            <w:tcBorders>
              <w:top w:val="single" w:sz="4" w:space="0" w:color="auto"/>
              <w:left w:val="nil"/>
              <w:bottom w:val="single" w:sz="4" w:space="0" w:color="auto"/>
              <w:right w:val="single" w:sz="4" w:space="0" w:color="auto"/>
            </w:tcBorders>
            <w:shd w:val="clear" w:color="auto" w:fill="auto"/>
            <w:noWrap/>
          </w:tcPr>
          <w:p w:rsidR="00F6052B" w:rsidRPr="00F6052B" w:rsidRDefault="00F6052B" w:rsidP="00F6052B">
            <w:pPr>
              <w:jc w:val="center"/>
              <w:rPr>
                <w:color w:val="000000"/>
                <w:sz w:val="20"/>
                <w:szCs w:val="20"/>
              </w:rPr>
            </w:pPr>
            <w:r w:rsidRPr="00F6052B">
              <w:rPr>
                <w:color w:val="000000"/>
                <w:sz w:val="20"/>
                <w:szCs w:val="20"/>
              </w:rPr>
              <w:t>Занято</w:t>
            </w:r>
          </w:p>
        </w:tc>
        <w:tc>
          <w:tcPr>
            <w:tcW w:w="1239" w:type="dxa"/>
            <w:tcBorders>
              <w:top w:val="single" w:sz="4" w:space="0" w:color="auto"/>
              <w:left w:val="single" w:sz="4" w:space="0" w:color="auto"/>
              <w:bottom w:val="single" w:sz="4" w:space="0" w:color="auto"/>
              <w:right w:val="single" w:sz="4" w:space="0" w:color="auto"/>
            </w:tcBorders>
            <w:shd w:val="clear" w:color="auto" w:fill="auto"/>
            <w:noWrap/>
          </w:tcPr>
          <w:p w:rsidR="00F6052B" w:rsidRPr="00F6052B" w:rsidRDefault="00F6052B" w:rsidP="00F6052B">
            <w:pPr>
              <w:widowControl/>
              <w:autoSpaceDE/>
              <w:autoSpaceDN/>
              <w:adjustRightInd/>
              <w:jc w:val="center"/>
              <w:rPr>
                <w:color w:val="000000"/>
                <w:sz w:val="20"/>
                <w:szCs w:val="20"/>
              </w:rPr>
            </w:pPr>
            <w:r w:rsidRPr="00F6052B">
              <w:rPr>
                <w:color w:val="000000"/>
                <w:sz w:val="20"/>
                <w:szCs w:val="20"/>
              </w:rPr>
              <w:t>Физические лица</w:t>
            </w:r>
          </w:p>
        </w:tc>
        <w:tc>
          <w:tcPr>
            <w:tcW w:w="952" w:type="dxa"/>
            <w:tcBorders>
              <w:top w:val="single" w:sz="4" w:space="0" w:color="auto"/>
              <w:left w:val="nil"/>
              <w:bottom w:val="single" w:sz="4" w:space="0" w:color="auto"/>
              <w:right w:val="single" w:sz="4" w:space="0" w:color="auto"/>
            </w:tcBorders>
            <w:shd w:val="clear" w:color="000000" w:fill="FFFFFF"/>
            <w:noWrap/>
          </w:tcPr>
          <w:p w:rsidR="00F6052B" w:rsidRPr="00F6052B" w:rsidRDefault="00F6052B" w:rsidP="00F6052B">
            <w:pPr>
              <w:autoSpaceDE/>
              <w:autoSpaceDN/>
              <w:adjustRightInd/>
              <w:jc w:val="center"/>
              <w:rPr>
                <w:color w:val="000000"/>
                <w:sz w:val="20"/>
                <w:szCs w:val="20"/>
              </w:rPr>
            </w:pPr>
            <w:r w:rsidRPr="00F6052B">
              <w:rPr>
                <w:color w:val="000000"/>
                <w:sz w:val="20"/>
                <w:szCs w:val="20"/>
              </w:rPr>
              <w:t>Обслуживаемое население</w:t>
            </w:r>
          </w:p>
        </w:tc>
        <w:tc>
          <w:tcPr>
            <w:tcW w:w="1121" w:type="dxa"/>
            <w:tcBorders>
              <w:top w:val="single" w:sz="4" w:space="0" w:color="auto"/>
              <w:left w:val="nil"/>
              <w:bottom w:val="single" w:sz="4" w:space="0" w:color="auto"/>
              <w:right w:val="single" w:sz="4" w:space="0" w:color="auto"/>
            </w:tcBorders>
            <w:shd w:val="clear" w:color="000000" w:fill="FFFFFF"/>
            <w:noWrap/>
          </w:tcPr>
          <w:p w:rsidR="00F6052B" w:rsidRPr="00F6052B" w:rsidRDefault="00F6052B" w:rsidP="00F6052B">
            <w:pPr>
              <w:autoSpaceDE/>
              <w:autoSpaceDN/>
              <w:adjustRightInd/>
              <w:jc w:val="center"/>
              <w:rPr>
                <w:color w:val="000000"/>
                <w:sz w:val="20"/>
                <w:szCs w:val="20"/>
              </w:rPr>
            </w:pPr>
            <w:r w:rsidRPr="00F6052B">
              <w:rPr>
                <w:color w:val="000000"/>
                <w:sz w:val="20"/>
                <w:szCs w:val="20"/>
              </w:rPr>
              <w:t>На один смотровой кабинет</w:t>
            </w:r>
          </w:p>
        </w:tc>
        <w:tc>
          <w:tcPr>
            <w:tcW w:w="1217" w:type="dxa"/>
            <w:tcBorders>
              <w:top w:val="single" w:sz="4" w:space="0" w:color="auto"/>
              <w:left w:val="nil"/>
              <w:bottom w:val="single" w:sz="4" w:space="0" w:color="auto"/>
              <w:right w:val="single" w:sz="4" w:space="0" w:color="auto"/>
            </w:tcBorders>
            <w:shd w:val="clear" w:color="000000" w:fill="FFFFFF"/>
          </w:tcPr>
          <w:p w:rsidR="00F6052B" w:rsidRPr="00F6052B" w:rsidRDefault="00F6052B" w:rsidP="00F6052B">
            <w:pPr>
              <w:autoSpaceDE/>
              <w:autoSpaceDN/>
              <w:adjustRightInd/>
              <w:jc w:val="center"/>
              <w:rPr>
                <w:color w:val="000000"/>
                <w:sz w:val="20"/>
                <w:szCs w:val="20"/>
              </w:rPr>
            </w:pPr>
            <w:r w:rsidRPr="00F6052B">
              <w:rPr>
                <w:color w:val="000000"/>
                <w:sz w:val="20"/>
                <w:szCs w:val="20"/>
              </w:rPr>
              <w:t>Количество смен</w:t>
            </w:r>
          </w:p>
        </w:tc>
      </w:tr>
    </w:tbl>
    <w:p w:rsidR="00F6052B" w:rsidRPr="0047440B" w:rsidRDefault="00F6052B" w:rsidP="00F6052B">
      <w:pPr>
        <w:spacing w:line="72" w:lineRule="auto"/>
        <w:rPr>
          <w:sz w:val="28"/>
          <w:szCs w:val="28"/>
        </w:rPr>
      </w:pPr>
    </w:p>
    <w:tbl>
      <w:tblPr>
        <w:tblW w:w="10773" w:type="dxa"/>
        <w:jc w:val="center"/>
        <w:tblLayout w:type="fixed"/>
        <w:tblLook w:val="04A0" w:firstRow="1" w:lastRow="0" w:firstColumn="1" w:lastColumn="0" w:noHBand="0" w:noVBand="1"/>
      </w:tblPr>
      <w:tblGrid>
        <w:gridCol w:w="486"/>
        <w:gridCol w:w="2917"/>
        <w:gridCol w:w="1233"/>
        <w:gridCol w:w="816"/>
        <w:gridCol w:w="792"/>
        <w:gridCol w:w="1239"/>
        <w:gridCol w:w="952"/>
        <w:gridCol w:w="1121"/>
        <w:gridCol w:w="1217"/>
      </w:tblGrid>
      <w:tr w:rsidR="00B21B24" w:rsidRPr="0047440B" w:rsidTr="007E4743">
        <w:trPr>
          <w:trHeight w:val="20"/>
          <w:tblHeader/>
          <w:jc w:val="center"/>
        </w:trPr>
        <w:tc>
          <w:tcPr>
            <w:tcW w:w="48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21B24" w:rsidRPr="00CD73DA" w:rsidRDefault="00B21B24" w:rsidP="00B21B24">
            <w:pPr>
              <w:autoSpaceDE/>
              <w:autoSpaceDN/>
              <w:adjustRightInd/>
              <w:jc w:val="center"/>
              <w:rPr>
                <w:color w:val="000000"/>
                <w:sz w:val="20"/>
                <w:szCs w:val="20"/>
              </w:rPr>
            </w:pPr>
            <w:r w:rsidRPr="00CD73DA">
              <w:rPr>
                <w:color w:val="000000"/>
                <w:sz w:val="20"/>
                <w:szCs w:val="20"/>
              </w:rPr>
              <w:t>1</w:t>
            </w:r>
          </w:p>
        </w:tc>
        <w:tc>
          <w:tcPr>
            <w:tcW w:w="2917" w:type="dxa"/>
            <w:tcBorders>
              <w:top w:val="single" w:sz="4" w:space="0" w:color="auto"/>
              <w:left w:val="single" w:sz="4" w:space="0" w:color="auto"/>
              <w:bottom w:val="single" w:sz="4" w:space="0" w:color="auto"/>
              <w:right w:val="single" w:sz="4" w:space="0" w:color="auto"/>
            </w:tcBorders>
            <w:shd w:val="clear" w:color="auto" w:fill="auto"/>
            <w:vAlign w:val="center"/>
          </w:tcPr>
          <w:p w:rsidR="00B21B24" w:rsidRPr="00CD73DA" w:rsidRDefault="00B21B24" w:rsidP="00B21B24">
            <w:pPr>
              <w:autoSpaceDE/>
              <w:autoSpaceDN/>
              <w:adjustRightInd/>
              <w:jc w:val="center"/>
              <w:rPr>
                <w:color w:val="000000"/>
                <w:sz w:val="20"/>
                <w:szCs w:val="20"/>
              </w:rPr>
            </w:pPr>
            <w:r w:rsidRPr="00CD73DA">
              <w:rPr>
                <w:color w:val="000000"/>
                <w:sz w:val="20"/>
                <w:szCs w:val="20"/>
              </w:rPr>
              <w:t>2</w:t>
            </w:r>
          </w:p>
        </w:tc>
        <w:tc>
          <w:tcPr>
            <w:tcW w:w="12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B21B24" w:rsidRPr="00CD73DA" w:rsidRDefault="00B21B24" w:rsidP="00B21B24">
            <w:pPr>
              <w:autoSpaceDE/>
              <w:autoSpaceDN/>
              <w:adjustRightInd/>
              <w:jc w:val="center"/>
              <w:rPr>
                <w:color w:val="000000"/>
                <w:sz w:val="20"/>
                <w:szCs w:val="20"/>
              </w:rPr>
            </w:pPr>
            <w:r w:rsidRPr="00CD73DA">
              <w:rPr>
                <w:color w:val="000000"/>
                <w:sz w:val="20"/>
                <w:szCs w:val="20"/>
              </w:rPr>
              <w:t>3</w:t>
            </w:r>
          </w:p>
        </w:tc>
        <w:tc>
          <w:tcPr>
            <w:tcW w:w="8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21B24" w:rsidRPr="00CD73DA" w:rsidRDefault="00B21B24" w:rsidP="00B21B24">
            <w:pPr>
              <w:autoSpaceDE/>
              <w:autoSpaceDN/>
              <w:adjustRightInd/>
              <w:jc w:val="center"/>
              <w:rPr>
                <w:color w:val="000000"/>
                <w:sz w:val="20"/>
                <w:szCs w:val="20"/>
              </w:rPr>
            </w:pPr>
            <w:r w:rsidRPr="00CD73DA">
              <w:rPr>
                <w:color w:val="000000"/>
                <w:sz w:val="20"/>
                <w:szCs w:val="20"/>
              </w:rPr>
              <w:t>4</w:t>
            </w:r>
          </w:p>
        </w:tc>
        <w:tc>
          <w:tcPr>
            <w:tcW w:w="792" w:type="dxa"/>
            <w:tcBorders>
              <w:top w:val="single" w:sz="4" w:space="0" w:color="auto"/>
              <w:left w:val="nil"/>
              <w:bottom w:val="single" w:sz="4" w:space="0" w:color="auto"/>
              <w:right w:val="single" w:sz="4" w:space="0" w:color="auto"/>
            </w:tcBorders>
            <w:shd w:val="clear" w:color="auto" w:fill="auto"/>
            <w:noWrap/>
            <w:vAlign w:val="center"/>
          </w:tcPr>
          <w:p w:rsidR="00B21B24" w:rsidRPr="00CD73DA" w:rsidRDefault="00B21B24" w:rsidP="00B21B24">
            <w:pPr>
              <w:autoSpaceDE/>
              <w:autoSpaceDN/>
              <w:adjustRightInd/>
              <w:jc w:val="center"/>
              <w:rPr>
                <w:color w:val="000000"/>
                <w:sz w:val="20"/>
                <w:szCs w:val="20"/>
              </w:rPr>
            </w:pPr>
            <w:r w:rsidRPr="00CD73DA">
              <w:rPr>
                <w:color w:val="000000"/>
                <w:sz w:val="20"/>
                <w:szCs w:val="20"/>
              </w:rPr>
              <w:t>5</w:t>
            </w:r>
          </w:p>
        </w:tc>
        <w:tc>
          <w:tcPr>
            <w:tcW w:w="1239" w:type="dxa"/>
            <w:tcBorders>
              <w:top w:val="single" w:sz="4" w:space="0" w:color="auto"/>
              <w:left w:val="single" w:sz="4" w:space="0" w:color="auto"/>
              <w:bottom w:val="single" w:sz="4" w:space="0" w:color="auto"/>
              <w:right w:val="single" w:sz="4" w:space="0" w:color="auto"/>
            </w:tcBorders>
            <w:shd w:val="clear" w:color="auto" w:fill="auto"/>
            <w:noWrap/>
            <w:vAlign w:val="center"/>
          </w:tcPr>
          <w:p w:rsidR="00B21B24" w:rsidRPr="00CD73DA" w:rsidRDefault="00B21B24" w:rsidP="00B21B24">
            <w:pPr>
              <w:autoSpaceDE/>
              <w:autoSpaceDN/>
              <w:adjustRightInd/>
              <w:jc w:val="center"/>
              <w:rPr>
                <w:color w:val="000000"/>
                <w:sz w:val="20"/>
                <w:szCs w:val="20"/>
              </w:rPr>
            </w:pPr>
            <w:r w:rsidRPr="00CD73DA">
              <w:rPr>
                <w:color w:val="000000"/>
                <w:sz w:val="20"/>
                <w:szCs w:val="20"/>
              </w:rPr>
              <w:t>6</w:t>
            </w:r>
          </w:p>
        </w:tc>
        <w:tc>
          <w:tcPr>
            <w:tcW w:w="952" w:type="dxa"/>
            <w:tcBorders>
              <w:top w:val="single" w:sz="4" w:space="0" w:color="auto"/>
              <w:left w:val="nil"/>
              <w:bottom w:val="single" w:sz="4" w:space="0" w:color="auto"/>
              <w:right w:val="single" w:sz="4" w:space="0" w:color="auto"/>
            </w:tcBorders>
            <w:shd w:val="clear" w:color="000000" w:fill="FFFFFF"/>
            <w:noWrap/>
            <w:vAlign w:val="center"/>
          </w:tcPr>
          <w:p w:rsidR="00B21B24" w:rsidRPr="00CD73DA" w:rsidRDefault="00B21B24" w:rsidP="00B21B24">
            <w:pPr>
              <w:autoSpaceDE/>
              <w:autoSpaceDN/>
              <w:adjustRightInd/>
              <w:jc w:val="center"/>
              <w:rPr>
                <w:color w:val="000000"/>
                <w:sz w:val="20"/>
                <w:szCs w:val="20"/>
              </w:rPr>
            </w:pPr>
            <w:r w:rsidRPr="00CD73DA">
              <w:rPr>
                <w:color w:val="000000"/>
                <w:sz w:val="20"/>
                <w:szCs w:val="20"/>
              </w:rPr>
              <w:t>7</w:t>
            </w:r>
          </w:p>
        </w:tc>
        <w:tc>
          <w:tcPr>
            <w:tcW w:w="1121" w:type="dxa"/>
            <w:tcBorders>
              <w:top w:val="single" w:sz="4" w:space="0" w:color="auto"/>
              <w:left w:val="nil"/>
              <w:bottom w:val="single" w:sz="4" w:space="0" w:color="auto"/>
              <w:right w:val="single" w:sz="4" w:space="0" w:color="auto"/>
            </w:tcBorders>
            <w:shd w:val="clear" w:color="000000" w:fill="FFFFFF"/>
            <w:noWrap/>
            <w:vAlign w:val="center"/>
          </w:tcPr>
          <w:p w:rsidR="00B21B24" w:rsidRPr="00CD73DA" w:rsidRDefault="00B21B24" w:rsidP="00B21B24">
            <w:pPr>
              <w:autoSpaceDE/>
              <w:autoSpaceDN/>
              <w:adjustRightInd/>
              <w:jc w:val="center"/>
              <w:rPr>
                <w:color w:val="000000"/>
                <w:sz w:val="20"/>
                <w:szCs w:val="20"/>
              </w:rPr>
            </w:pPr>
            <w:r w:rsidRPr="00CD73DA">
              <w:rPr>
                <w:color w:val="000000"/>
                <w:sz w:val="20"/>
                <w:szCs w:val="20"/>
              </w:rPr>
              <w:t>8</w:t>
            </w:r>
          </w:p>
        </w:tc>
        <w:tc>
          <w:tcPr>
            <w:tcW w:w="1217" w:type="dxa"/>
            <w:tcBorders>
              <w:top w:val="single" w:sz="4" w:space="0" w:color="auto"/>
              <w:left w:val="nil"/>
              <w:bottom w:val="single" w:sz="4" w:space="0" w:color="auto"/>
              <w:right w:val="single" w:sz="4" w:space="0" w:color="auto"/>
            </w:tcBorders>
            <w:shd w:val="clear" w:color="000000" w:fill="FFFFFF"/>
            <w:vAlign w:val="center"/>
          </w:tcPr>
          <w:p w:rsidR="00B21B24" w:rsidRPr="00CD73DA" w:rsidRDefault="00B21B24" w:rsidP="00B21B24">
            <w:pPr>
              <w:autoSpaceDE/>
              <w:autoSpaceDN/>
              <w:adjustRightInd/>
              <w:jc w:val="center"/>
              <w:rPr>
                <w:color w:val="000000"/>
                <w:sz w:val="20"/>
                <w:szCs w:val="20"/>
              </w:rPr>
            </w:pPr>
            <w:r w:rsidRPr="00CD73DA">
              <w:rPr>
                <w:color w:val="000000"/>
                <w:sz w:val="20"/>
                <w:szCs w:val="20"/>
              </w:rPr>
              <w:t>9</w:t>
            </w:r>
          </w:p>
        </w:tc>
      </w:tr>
      <w:tr w:rsidR="00B21B24" w:rsidRPr="0047440B" w:rsidTr="007E4743">
        <w:trPr>
          <w:trHeight w:val="20"/>
          <w:jc w:val="center"/>
        </w:trPr>
        <w:tc>
          <w:tcPr>
            <w:tcW w:w="486" w:type="dxa"/>
            <w:tcBorders>
              <w:top w:val="single" w:sz="4" w:space="0" w:color="auto"/>
              <w:left w:val="single" w:sz="4" w:space="0" w:color="auto"/>
              <w:bottom w:val="single" w:sz="4" w:space="0" w:color="auto"/>
              <w:right w:val="single" w:sz="4" w:space="0" w:color="auto"/>
            </w:tcBorders>
            <w:shd w:val="clear" w:color="000000" w:fill="FFFFFF"/>
            <w:noWrap/>
            <w:hideMark/>
          </w:tcPr>
          <w:p w:rsidR="00B21B24" w:rsidRPr="0047440B" w:rsidRDefault="00B21B24" w:rsidP="00B21B24">
            <w:pPr>
              <w:autoSpaceDE/>
              <w:autoSpaceDN/>
              <w:adjustRightInd/>
              <w:jc w:val="center"/>
              <w:rPr>
                <w:color w:val="000000"/>
                <w:sz w:val="20"/>
                <w:szCs w:val="20"/>
              </w:rPr>
            </w:pPr>
            <w:r w:rsidRPr="0047440B">
              <w:rPr>
                <w:color w:val="000000"/>
                <w:sz w:val="20"/>
                <w:szCs w:val="20"/>
              </w:rPr>
              <w:t>1.</w:t>
            </w:r>
          </w:p>
        </w:tc>
        <w:tc>
          <w:tcPr>
            <w:tcW w:w="2917" w:type="dxa"/>
            <w:tcBorders>
              <w:top w:val="single" w:sz="4" w:space="0" w:color="auto"/>
              <w:left w:val="single" w:sz="4" w:space="0" w:color="auto"/>
              <w:bottom w:val="single" w:sz="4" w:space="0" w:color="auto"/>
              <w:right w:val="single" w:sz="4" w:space="0" w:color="auto"/>
            </w:tcBorders>
            <w:shd w:val="clear" w:color="auto" w:fill="auto"/>
          </w:tcPr>
          <w:p w:rsidR="00B21B24" w:rsidRPr="0047440B" w:rsidRDefault="00B21B24" w:rsidP="00B21B24">
            <w:pPr>
              <w:widowControl/>
              <w:autoSpaceDE/>
              <w:autoSpaceDN/>
              <w:adjustRightInd/>
              <w:rPr>
                <w:color w:val="000000"/>
                <w:sz w:val="20"/>
                <w:szCs w:val="20"/>
              </w:rPr>
            </w:pPr>
            <w:r w:rsidRPr="0047440B">
              <w:rPr>
                <w:color w:val="000000"/>
                <w:sz w:val="20"/>
                <w:szCs w:val="20"/>
              </w:rPr>
              <w:t>ГАУЗ</w:t>
            </w:r>
            <w:r w:rsidRPr="0047440B">
              <w:rPr>
                <w:rStyle w:val="afe"/>
                <w:color w:val="000000"/>
                <w:sz w:val="20"/>
                <w:szCs w:val="20"/>
              </w:rPr>
              <w:footnoteReference w:id="1"/>
            </w:r>
            <w:r w:rsidRPr="0047440B">
              <w:rPr>
                <w:color w:val="000000"/>
                <w:sz w:val="20"/>
                <w:szCs w:val="20"/>
              </w:rPr>
              <w:t xml:space="preserve"> «Агрызская ЦРБ</w:t>
            </w:r>
            <w:r w:rsidRPr="0047440B">
              <w:rPr>
                <w:rStyle w:val="afe"/>
                <w:color w:val="000000"/>
                <w:sz w:val="20"/>
                <w:szCs w:val="20"/>
              </w:rPr>
              <w:footnoteReference w:id="2"/>
            </w:r>
            <w:r w:rsidRPr="0047440B">
              <w:rPr>
                <w:color w:val="000000"/>
                <w:sz w:val="20"/>
                <w:szCs w:val="20"/>
              </w:rPr>
              <w:t>»</w:t>
            </w:r>
          </w:p>
        </w:tc>
        <w:tc>
          <w:tcPr>
            <w:tcW w:w="1233" w:type="dxa"/>
            <w:tcBorders>
              <w:top w:val="single" w:sz="4" w:space="0" w:color="auto"/>
              <w:left w:val="single" w:sz="4" w:space="0" w:color="auto"/>
              <w:bottom w:val="single" w:sz="4" w:space="0" w:color="auto"/>
              <w:right w:val="single" w:sz="4" w:space="0" w:color="auto"/>
            </w:tcBorders>
            <w:shd w:val="clear" w:color="auto" w:fill="auto"/>
            <w:noWrap/>
          </w:tcPr>
          <w:p w:rsidR="00B21B24" w:rsidRPr="0047440B" w:rsidRDefault="00B21B24" w:rsidP="00B21B24">
            <w:pPr>
              <w:widowControl/>
              <w:autoSpaceDE/>
              <w:autoSpaceDN/>
              <w:adjustRightInd/>
              <w:jc w:val="center"/>
              <w:rPr>
                <w:color w:val="000000"/>
                <w:sz w:val="20"/>
                <w:szCs w:val="20"/>
              </w:rPr>
            </w:pPr>
            <w:r w:rsidRPr="0047440B">
              <w:rPr>
                <w:color w:val="000000"/>
                <w:sz w:val="20"/>
                <w:szCs w:val="20"/>
              </w:rPr>
              <w:t>1</w:t>
            </w:r>
          </w:p>
        </w:tc>
        <w:tc>
          <w:tcPr>
            <w:tcW w:w="816" w:type="dxa"/>
            <w:tcBorders>
              <w:top w:val="single" w:sz="4" w:space="0" w:color="auto"/>
              <w:left w:val="single" w:sz="4" w:space="0" w:color="auto"/>
              <w:bottom w:val="single" w:sz="4" w:space="0" w:color="auto"/>
              <w:right w:val="single" w:sz="4" w:space="0" w:color="auto"/>
            </w:tcBorders>
            <w:shd w:val="clear" w:color="auto" w:fill="auto"/>
            <w:noWrap/>
          </w:tcPr>
          <w:p w:rsidR="00B21B24" w:rsidRPr="0047440B" w:rsidRDefault="00B21B24" w:rsidP="00B21B24">
            <w:pPr>
              <w:widowControl/>
              <w:autoSpaceDE/>
              <w:autoSpaceDN/>
              <w:adjustRightInd/>
              <w:jc w:val="center"/>
              <w:rPr>
                <w:color w:val="000000"/>
                <w:sz w:val="20"/>
                <w:szCs w:val="20"/>
              </w:rPr>
            </w:pPr>
            <w:r w:rsidRPr="0047440B">
              <w:rPr>
                <w:color w:val="000000"/>
                <w:sz w:val="20"/>
                <w:szCs w:val="20"/>
              </w:rPr>
              <w:t>1,00</w:t>
            </w:r>
          </w:p>
        </w:tc>
        <w:tc>
          <w:tcPr>
            <w:tcW w:w="792" w:type="dxa"/>
            <w:tcBorders>
              <w:top w:val="single" w:sz="4" w:space="0" w:color="auto"/>
              <w:left w:val="single" w:sz="4" w:space="0" w:color="auto"/>
              <w:bottom w:val="single" w:sz="4" w:space="0" w:color="auto"/>
              <w:right w:val="single" w:sz="4" w:space="0" w:color="auto"/>
            </w:tcBorders>
            <w:shd w:val="clear" w:color="auto" w:fill="auto"/>
            <w:noWrap/>
          </w:tcPr>
          <w:p w:rsidR="00B21B24" w:rsidRPr="0047440B" w:rsidRDefault="00B21B24" w:rsidP="00B21B24">
            <w:pPr>
              <w:jc w:val="center"/>
              <w:rPr>
                <w:color w:val="000000"/>
                <w:sz w:val="20"/>
                <w:szCs w:val="20"/>
              </w:rPr>
            </w:pPr>
            <w:r w:rsidRPr="0047440B">
              <w:rPr>
                <w:color w:val="000000"/>
                <w:sz w:val="20"/>
                <w:szCs w:val="20"/>
              </w:rPr>
              <w:t>1,00</w:t>
            </w:r>
          </w:p>
        </w:tc>
        <w:tc>
          <w:tcPr>
            <w:tcW w:w="1239" w:type="dxa"/>
            <w:tcBorders>
              <w:top w:val="single" w:sz="4" w:space="0" w:color="auto"/>
              <w:left w:val="single" w:sz="4" w:space="0" w:color="auto"/>
              <w:bottom w:val="single" w:sz="4" w:space="0" w:color="auto"/>
              <w:right w:val="single" w:sz="4" w:space="0" w:color="auto"/>
            </w:tcBorders>
            <w:shd w:val="clear" w:color="auto" w:fill="auto"/>
            <w:noWrap/>
          </w:tcPr>
          <w:p w:rsidR="00B21B24" w:rsidRPr="0047440B" w:rsidRDefault="00B21B24" w:rsidP="00B21B24">
            <w:pPr>
              <w:widowControl/>
              <w:autoSpaceDE/>
              <w:autoSpaceDN/>
              <w:adjustRightInd/>
              <w:jc w:val="center"/>
              <w:rPr>
                <w:color w:val="000000"/>
                <w:sz w:val="20"/>
                <w:szCs w:val="20"/>
              </w:rPr>
            </w:pPr>
            <w:r w:rsidRPr="0047440B">
              <w:rPr>
                <w:color w:val="000000"/>
                <w:sz w:val="20"/>
                <w:szCs w:val="20"/>
              </w:rPr>
              <w:t>1</w:t>
            </w:r>
          </w:p>
        </w:tc>
        <w:tc>
          <w:tcPr>
            <w:tcW w:w="952" w:type="dxa"/>
            <w:tcBorders>
              <w:top w:val="single" w:sz="4" w:space="0" w:color="auto"/>
              <w:left w:val="single" w:sz="4" w:space="0" w:color="auto"/>
              <w:bottom w:val="single" w:sz="4" w:space="0" w:color="auto"/>
              <w:right w:val="single" w:sz="4" w:space="0" w:color="auto"/>
            </w:tcBorders>
            <w:shd w:val="clear" w:color="000000" w:fill="FFFFFF"/>
            <w:noWrap/>
          </w:tcPr>
          <w:p w:rsidR="00B21B24" w:rsidRPr="0047440B" w:rsidRDefault="00B21B24" w:rsidP="00B21B24">
            <w:pPr>
              <w:autoSpaceDE/>
              <w:autoSpaceDN/>
              <w:adjustRightInd/>
              <w:jc w:val="center"/>
              <w:rPr>
                <w:color w:val="000000"/>
                <w:sz w:val="20"/>
                <w:szCs w:val="20"/>
              </w:rPr>
            </w:pPr>
            <w:r w:rsidRPr="0047440B">
              <w:rPr>
                <w:color w:val="000000"/>
                <w:sz w:val="20"/>
                <w:szCs w:val="20"/>
              </w:rPr>
              <w:t>10 577</w:t>
            </w:r>
          </w:p>
        </w:tc>
        <w:tc>
          <w:tcPr>
            <w:tcW w:w="1121" w:type="dxa"/>
            <w:tcBorders>
              <w:top w:val="single" w:sz="4" w:space="0" w:color="auto"/>
              <w:left w:val="single" w:sz="4" w:space="0" w:color="auto"/>
              <w:bottom w:val="single" w:sz="4" w:space="0" w:color="auto"/>
              <w:right w:val="single" w:sz="4" w:space="0" w:color="auto"/>
            </w:tcBorders>
            <w:shd w:val="clear" w:color="000000" w:fill="FFFFFF"/>
            <w:noWrap/>
          </w:tcPr>
          <w:p w:rsidR="00B21B24" w:rsidRPr="0047440B" w:rsidRDefault="00B21B24" w:rsidP="00B21B24">
            <w:pPr>
              <w:autoSpaceDE/>
              <w:autoSpaceDN/>
              <w:adjustRightInd/>
              <w:jc w:val="center"/>
              <w:rPr>
                <w:color w:val="000000"/>
                <w:sz w:val="20"/>
                <w:szCs w:val="20"/>
              </w:rPr>
            </w:pPr>
            <w:r w:rsidRPr="0047440B">
              <w:rPr>
                <w:color w:val="000000"/>
                <w:sz w:val="20"/>
                <w:szCs w:val="20"/>
              </w:rPr>
              <w:t>10 577</w:t>
            </w:r>
          </w:p>
        </w:tc>
        <w:tc>
          <w:tcPr>
            <w:tcW w:w="1217" w:type="dxa"/>
            <w:tcBorders>
              <w:top w:val="single" w:sz="4" w:space="0" w:color="auto"/>
              <w:left w:val="single" w:sz="4" w:space="0" w:color="auto"/>
              <w:bottom w:val="single" w:sz="4" w:space="0" w:color="auto"/>
              <w:right w:val="single" w:sz="4" w:space="0" w:color="auto"/>
            </w:tcBorders>
            <w:shd w:val="clear" w:color="000000" w:fill="FFFFFF"/>
          </w:tcPr>
          <w:p w:rsidR="00B21B24" w:rsidRPr="0047440B" w:rsidRDefault="00B21B24" w:rsidP="00B21B24">
            <w:pPr>
              <w:autoSpaceDE/>
              <w:autoSpaceDN/>
              <w:adjustRightInd/>
              <w:jc w:val="center"/>
              <w:rPr>
                <w:color w:val="000000"/>
                <w:sz w:val="20"/>
                <w:szCs w:val="20"/>
              </w:rPr>
            </w:pPr>
            <w:r w:rsidRPr="0047440B">
              <w:rPr>
                <w:color w:val="000000"/>
                <w:sz w:val="20"/>
                <w:szCs w:val="20"/>
              </w:rPr>
              <w:t>1</w:t>
            </w:r>
          </w:p>
        </w:tc>
      </w:tr>
      <w:tr w:rsidR="00B21B24" w:rsidRPr="0047440B" w:rsidTr="007E4743">
        <w:trPr>
          <w:trHeight w:val="20"/>
          <w:jc w:val="center"/>
        </w:trPr>
        <w:tc>
          <w:tcPr>
            <w:tcW w:w="486" w:type="dxa"/>
            <w:tcBorders>
              <w:top w:val="single" w:sz="4" w:space="0" w:color="auto"/>
              <w:left w:val="single" w:sz="4" w:space="0" w:color="auto"/>
              <w:bottom w:val="single" w:sz="4" w:space="0" w:color="auto"/>
              <w:right w:val="single" w:sz="4" w:space="0" w:color="auto"/>
            </w:tcBorders>
            <w:shd w:val="clear" w:color="000000" w:fill="FFFFFF"/>
            <w:noWrap/>
            <w:hideMark/>
          </w:tcPr>
          <w:p w:rsidR="00B21B24" w:rsidRPr="0047440B" w:rsidRDefault="00B21B24" w:rsidP="00B21B24">
            <w:pPr>
              <w:autoSpaceDE/>
              <w:autoSpaceDN/>
              <w:adjustRightInd/>
              <w:jc w:val="center"/>
              <w:rPr>
                <w:color w:val="000000"/>
                <w:sz w:val="20"/>
                <w:szCs w:val="20"/>
              </w:rPr>
            </w:pPr>
            <w:r w:rsidRPr="0047440B">
              <w:rPr>
                <w:color w:val="000000"/>
                <w:sz w:val="20"/>
                <w:szCs w:val="20"/>
              </w:rPr>
              <w:t>2.</w:t>
            </w:r>
          </w:p>
        </w:tc>
        <w:tc>
          <w:tcPr>
            <w:tcW w:w="2917" w:type="dxa"/>
            <w:tcBorders>
              <w:top w:val="single" w:sz="4" w:space="0" w:color="auto"/>
              <w:left w:val="single" w:sz="4" w:space="0" w:color="auto"/>
              <w:bottom w:val="single" w:sz="4" w:space="0" w:color="auto"/>
              <w:right w:val="single" w:sz="4" w:space="0" w:color="auto"/>
            </w:tcBorders>
            <w:shd w:val="clear" w:color="auto" w:fill="auto"/>
          </w:tcPr>
          <w:p w:rsidR="00B21B24" w:rsidRPr="0047440B" w:rsidRDefault="00B21B24" w:rsidP="00B21B24">
            <w:pPr>
              <w:rPr>
                <w:color w:val="000000"/>
                <w:sz w:val="20"/>
                <w:szCs w:val="20"/>
              </w:rPr>
            </w:pPr>
            <w:r w:rsidRPr="0047440B">
              <w:rPr>
                <w:color w:val="000000"/>
                <w:sz w:val="20"/>
                <w:szCs w:val="20"/>
              </w:rPr>
              <w:t>ГАУЗ «Азнакаевская ЦРБ»</w:t>
            </w:r>
          </w:p>
        </w:tc>
        <w:tc>
          <w:tcPr>
            <w:tcW w:w="1233" w:type="dxa"/>
            <w:tcBorders>
              <w:top w:val="single" w:sz="4" w:space="0" w:color="auto"/>
              <w:left w:val="single" w:sz="4" w:space="0" w:color="auto"/>
              <w:bottom w:val="single" w:sz="4" w:space="0" w:color="auto"/>
              <w:right w:val="single" w:sz="4" w:space="0" w:color="auto"/>
            </w:tcBorders>
            <w:shd w:val="clear" w:color="auto" w:fill="auto"/>
            <w:noWrap/>
          </w:tcPr>
          <w:p w:rsidR="00B21B24" w:rsidRPr="0047440B" w:rsidRDefault="00B21B24" w:rsidP="00B21B24">
            <w:pPr>
              <w:jc w:val="center"/>
              <w:rPr>
                <w:color w:val="000000"/>
                <w:sz w:val="20"/>
                <w:szCs w:val="20"/>
              </w:rPr>
            </w:pPr>
            <w:r w:rsidRPr="0047440B">
              <w:rPr>
                <w:color w:val="000000"/>
                <w:sz w:val="20"/>
                <w:szCs w:val="20"/>
              </w:rPr>
              <w:t>4</w:t>
            </w:r>
          </w:p>
        </w:tc>
        <w:tc>
          <w:tcPr>
            <w:tcW w:w="816" w:type="dxa"/>
            <w:tcBorders>
              <w:top w:val="single" w:sz="4" w:space="0" w:color="auto"/>
              <w:left w:val="single" w:sz="4" w:space="0" w:color="auto"/>
              <w:bottom w:val="single" w:sz="4" w:space="0" w:color="auto"/>
              <w:right w:val="single" w:sz="4" w:space="0" w:color="auto"/>
            </w:tcBorders>
            <w:shd w:val="clear" w:color="auto" w:fill="auto"/>
            <w:noWrap/>
          </w:tcPr>
          <w:p w:rsidR="00B21B24" w:rsidRPr="0047440B" w:rsidRDefault="00B21B24" w:rsidP="00B21B24">
            <w:pPr>
              <w:jc w:val="center"/>
              <w:rPr>
                <w:color w:val="000000"/>
                <w:sz w:val="20"/>
                <w:szCs w:val="20"/>
              </w:rPr>
            </w:pPr>
            <w:r w:rsidRPr="0047440B">
              <w:rPr>
                <w:color w:val="000000"/>
                <w:sz w:val="20"/>
                <w:szCs w:val="20"/>
              </w:rPr>
              <w:t>4,50</w:t>
            </w:r>
          </w:p>
        </w:tc>
        <w:tc>
          <w:tcPr>
            <w:tcW w:w="792" w:type="dxa"/>
            <w:tcBorders>
              <w:top w:val="single" w:sz="4" w:space="0" w:color="auto"/>
              <w:left w:val="single" w:sz="4" w:space="0" w:color="auto"/>
              <w:bottom w:val="single" w:sz="4" w:space="0" w:color="auto"/>
              <w:right w:val="single" w:sz="4" w:space="0" w:color="auto"/>
            </w:tcBorders>
            <w:shd w:val="clear" w:color="auto" w:fill="auto"/>
            <w:noWrap/>
          </w:tcPr>
          <w:p w:rsidR="00B21B24" w:rsidRPr="0047440B" w:rsidRDefault="00B21B24" w:rsidP="00B21B24">
            <w:pPr>
              <w:jc w:val="center"/>
              <w:rPr>
                <w:color w:val="000000"/>
                <w:sz w:val="20"/>
                <w:szCs w:val="20"/>
              </w:rPr>
            </w:pPr>
            <w:r w:rsidRPr="0047440B">
              <w:rPr>
                <w:color w:val="000000"/>
                <w:sz w:val="20"/>
                <w:szCs w:val="20"/>
              </w:rPr>
              <w:t>4,50</w:t>
            </w:r>
          </w:p>
        </w:tc>
        <w:tc>
          <w:tcPr>
            <w:tcW w:w="1239" w:type="dxa"/>
            <w:tcBorders>
              <w:top w:val="single" w:sz="4" w:space="0" w:color="auto"/>
              <w:left w:val="single" w:sz="4" w:space="0" w:color="auto"/>
              <w:bottom w:val="single" w:sz="4" w:space="0" w:color="auto"/>
              <w:right w:val="single" w:sz="4" w:space="0" w:color="auto"/>
            </w:tcBorders>
            <w:shd w:val="clear" w:color="auto" w:fill="auto"/>
            <w:noWrap/>
          </w:tcPr>
          <w:p w:rsidR="00B21B24" w:rsidRPr="0047440B" w:rsidRDefault="00B21B24" w:rsidP="00B21B24">
            <w:pPr>
              <w:jc w:val="center"/>
              <w:rPr>
                <w:color w:val="000000"/>
                <w:sz w:val="20"/>
                <w:szCs w:val="20"/>
              </w:rPr>
            </w:pPr>
            <w:r w:rsidRPr="0047440B">
              <w:rPr>
                <w:color w:val="000000"/>
                <w:sz w:val="20"/>
                <w:szCs w:val="20"/>
              </w:rPr>
              <w:t>3</w:t>
            </w:r>
          </w:p>
        </w:tc>
        <w:tc>
          <w:tcPr>
            <w:tcW w:w="952" w:type="dxa"/>
            <w:tcBorders>
              <w:top w:val="single" w:sz="4" w:space="0" w:color="auto"/>
              <w:left w:val="single" w:sz="4" w:space="0" w:color="auto"/>
              <w:bottom w:val="single" w:sz="4" w:space="0" w:color="auto"/>
              <w:right w:val="single" w:sz="4" w:space="0" w:color="auto"/>
            </w:tcBorders>
            <w:shd w:val="clear" w:color="000000" w:fill="FFFFFF"/>
            <w:noWrap/>
          </w:tcPr>
          <w:p w:rsidR="00B21B24" w:rsidRPr="0047440B" w:rsidRDefault="00B21B24" w:rsidP="00B21B24">
            <w:pPr>
              <w:autoSpaceDE/>
              <w:autoSpaceDN/>
              <w:adjustRightInd/>
              <w:jc w:val="center"/>
              <w:rPr>
                <w:color w:val="000000"/>
                <w:sz w:val="20"/>
                <w:szCs w:val="20"/>
              </w:rPr>
            </w:pPr>
            <w:r w:rsidRPr="0047440B">
              <w:rPr>
                <w:color w:val="000000"/>
                <w:sz w:val="20"/>
                <w:szCs w:val="20"/>
              </w:rPr>
              <w:t>24 682</w:t>
            </w:r>
          </w:p>
        </w:tc>
        <w:tc>
          <w:tcPr>
            <w:tcW w:w="1121" w:type="dxa"/>
            <w:tcBorders>
              <w:top w:val="single" w:sz="4" w:space="0" w:color="auto"/>
              <w:left w:val="single" w:sz="4" w:space="0" w:color="auto"/>
              <w:bottom w:val="single" w:sz="4" w:space="0" w:color="auto"/>
              <w:right w:val="single" w:sz="4" w:space="0" w:color="auto"/>
            </w:tcBorders>
            <w:shd w:val="clear" w:color="000000" w:fill="FFFFFF"/>
            <w:noWrap/>
          </w:tcPr>
          <w:p w:rsidR="00B21B24" w:rsidRPr="0047440B" w:rsidRDefault="00B21B24" w:rsidP="00B21B24">
            <w:pPr>
              <w:autoSpaceDE/>
              <w:autoSpaceDN/>
              <w:adjustRightInd/>
              <w:jc w:val="center"/>
              <w:rPr>
                <w:color w:val="000000"/>
                <w:sz w:val="20"/>
                <w:szCs w:val="20"/>
              </w:rPr>
            </w:pPr>
            <w:r w:rsidRPr="0047440B">
              <w:rPr>
                <w:color w:val="000000"/>
                <w:sz w:val="20"/>
                <w:szCs w:val="20"/>
              </w:rPr>
              <w:t>6 171</w:t>
            </w:r>
          </w:p>
        </w:tc>
        <w:tc>
          <w:tcPr>
            <w:tcW w:w="1217" w:type="dxa"/>
            <w:tcBorders>
              <w:top w:val="single" w:sz="4" w:space="0" w:color="auto"/>
              <w:left w:val="single" w:sz="4" w:space="0" w:color="auto"/>
              <w:bottom w:val="single" w:sz="4" w:space="0" w:color="auto"/>
              <w:right w:val="single" w:sz="4" w:space="0" w:color="auto"/>
            </w:tcBorders>
            <w:shd w:val="clear" w:color="000000" w:fill="FFFFFF"/>
          </w:tcPr>
          <w:p w:rsidR="00B21B24" w:rsidRPr="0047440B" w:rsidRDefault="00B21B24" w:rsidP="00B21B24">
            <w:pPr>
              <w:autoSpaceDE/>
              <w:autoSpaceDN/>
              <w:adjustRightInd/>
              <w:jc w:val="center"/>
              <w:rPr>
                <w:color w:val="000000"/>
                <w:sz w:val="20"/>
                <w:szCs w:val="20"/>
              </w:rPr>
            </w:pPr>
            <w:r w:rsidRPr="0047440B">
              <w:rPr>
                <w:color w:val="000000"/>
                <w:sz w:val="20"/>
                <w:szCs w:val="20"/>
              </w:rPr>
              <w:t>1</w:t>
            </w:r>
          </w:p>
        </w:tc>
      </w:tr>
      <w:tr w:rsidR="00B21B24" w:rsidRPr="0047440B" w:rsidTr="007E4743">
        <w:trPr>
          <w:trHeight w:val="20"/>
          <w:jc w:val="center"/>
        </w:trPr>
        <w:tc>
          <w:tcPr>
            <w:tcW w:w="486" w:type="dxa"/>
            <w:tcBorders>
              <w:top w:val="single" w:sz="4" w:space="0" w:color="auto"/>
              <w:left w:val="single" w:sz="4" w:space="0" w:color="auto"/>
              <w:bottom w:val="single" w:sz="4" w:space="0" w:color="auto"/>
              <w:right w:val="single" w:sz="4" w:space="0" w:color="auto"/>
            </w:tcBorders>
            <w:shd w:val="clear" w:color="000000" w:fill="FFFFFF"/>
            <w:noWrap/>
            <w:hideMark/>
          </w:tcPr>
          <w:p w:rsidR="00B21B24" w:rsidRPr="0047440B" w:rsidRDefault="00B21B24" w:rsidP="00B21B24">
            <w:pPr>
              <w:autoSpaceDE/>
              <w:autoSpaceDN/>
              <w:adjustRightInd/>
              <w:jc w:val="center"/>
              <w:rPr>
                <w:color w:val="000000"/>
                <w:sz w:val="20"/>
                <w:szCs w:val="20"/>
              </w:rPr>
            </w:pPr>
            <w:r w:rsidRPr="0047440B">
              <w:rPr>
                <w:color w:val="000000"/>
                <w:sz w:val="20"/>
                <w:szCs w:val="20"/>
              </w:rPr>
              <w:t>3.</w:t>
            </w:r>
          </w:p>
        </w:tc>
        <w:tc>
          <w:tcPr>
            <w:tcW w:w="2917" w:type="dxa"/>
            <w:tcBorders>
              <w:top w:val="single" w:sz="4" w:space="0" w:color="auto"/>
              <w:left w:val="single" w:sz="4" w:space="0" w:color="auto"/>
              <w:bottom w:val="single" w:sz="4" w:space="0" w:color="auto"/>
              <w:right w:val="single" w:sz="4" w:space="0" w:color="auto"/>
            </w:tcBorders>
            <w:shd w:val="clear" w:color="auto" w:fill="auto"/>
          </w:tcPr>
          <w:p w:rsidR="00B21B24" w:rsidRPr="0047440B" w:rsidRDefault="00B21B24" w:rsidP="00B21B24">
            <w:pPr>
              <w:rPr>
                <w:color w:val="000000"/>
                <w:sz w:val="20"/>
                <w:szCs w:val="20"/>
              </w:rPr>
            </w:pPr>
            <w:r w:rsidRPr="0047440B">
              <w:rPr>
                <w:color w:val="000000"/>
                <w:sz w:val="20"/>
                <w:szCs w:val="20"/>
              </w:rPr>
              <w:t>ГАУЗ «Аксубаевская ЦРБ»</w:t>
            </w:r>
          </w:p>
        </w:tc>
        <w:tc>
          <w:tcPr>
            <w:tcW w:w="1233" w:type="dxa"/>
            <w:tcBorders>
              <w:top w:val="single" w:sz="4" w:space="0" w:color="auto"/>
              <w:left w:val="single" w:sz="4" w:space="0" w:color="auto"/>
              <w:bottom w:val="single" w:sz="4" w:space="0" w:color="auto"/>
              <w:right w:val="single" w:sz="4" w:space="0" w:color="auto"/>
            </w:tcBorders>
            <w:shd w:val="clear" w:color="auto" w:fill="auto"/>
            <w:noWrap/>
          </w:tcPr>
          <w:p w:rsidR="00B21B24" w:rsidRPr="0047440B" w:rsidRDefault="00B21B24" w:rsidP="00B21B24">
            <w:pPr>
              <w:jc w:val="center"/>
              <w:rPr>
                <w:color w:val="000000"/>
                <w:sz w:val="20"/>
                <w:szCs w:val="20"/>
              </w:rPr>
            </w:pPr>
            <w:r w:rsidRPr="0047440B">
              <w:rPr>
                <w:color w:val="000000"/>
                <w:sz w:val="20"/>
                <w:szCs w:val="20"/>
              </w:rPr>
              <w:t>2</w:t>
            </w:r>
          </w:p>
        </w:tc>
        <w:tc>
          <w:tcPr>
            <w:tcW w:w="816" w:type="dxa"/>
            <w:tcBorders>
              <w:top w:val="single" w:sz="4" w:space="0" w:color="auto"/>
              <w:left w:val="single" w:sz="4" w:space="0" w:color="auto"/>
              <w:bottom w:val="single" w:sz="4" w:space="0" w:color="auto"/>
              <w:right w:val="single" w:sz="4" w:space="0" w:color="auto"/>
            </w:tcBorders>
            <w:shd w:val="clear" w:color="auto" w:fill="auto"/>
            <w:noWrap/>
          </w:tcPr>
          <w:p w:rsidR="00B21B24" w:rsidRPr="0047440B" w:rsidRDefault="00B21B24" w:rsidP="00B21B24">
            <w:pPr>
              <w:jc w:val="center"/>
              <w:rPr>
                <w:color w:val="000000"/>
                <w:sz w:val="20"/>
                <w:szCs w:val="20"/>
              </w:rPr>
            </w:pPr>
            <w:r w:rsidRPr="0047440B">
              <w:rPr>
                <w:color w:val="000000"/>
                <w:sz w:val="20"/>
                <w:szCs w:val="20"/>
              </w:rPr>
              <w:t>2,00</w:t>
            </w:r>
          </w:p>
        </w:tc>
        <w:tc>
          <w:tcPr>
            <w:tcW w:w="792" w:type="dxa"/>
            <w:tcBorders>
              <w:top w:val="single" w:sz="4" w:space="0" w:color="auto"/>
              <w:left w:val="single" w:sz="4" w:space="0" w:color="auto"/>
              <w:bottom w:val="single" w:sz="4" w:space="0" w:color="auto"/>
              <w:right w:val="single" w:sz="4" w:space="0" w:color="auto"/>
            </w:tcBorders>
            <w:shd w:val="clear" w:color="auto" w:fill="auto"/>
            <w:noWrap/>
          </w:tcPr>
          <w:p w:rsidR="00B21B24" w:rsidRPr="0047440B" w:rsidRDefault="00B21B24" w:rsidP="00B21B24">
            <w:pPr>
              <w:jc w:val="center"/>
              <w:rPr>
                <w:color w:val="000000"/>
                <w:sz w:val="20"/>
                <w:szCs w:val="20"/>
              </w:rPr>
            </w:pPr>
            <w:r w:rsidRPr="0047440B">
              <w:rPr>
                <w:color w:val="000000"/>
                <w:sz w:val="20"/>
                <w:szCs w:val="20"/>
              </w:rPr>
              <w:t>2,00</w:t>
            </w:r>
          </w:p>
        </w:tc>
        <w:tc>
          <w:tcPr>
            <w:tcW w:w="1239" w:type="dxa"/>
            <w:tcBorders>
              <w:top w:val="single" w:sz="4" w:space="0" w:color="auto"/>
              <w:left w:val="single" w:sz="4" w:space="0" w:color="auto"/>
              <w:bottom w:val="single" w:sz="4" w:space="0" w:color="auto"/>
              <w:right w:val="single" w:sz="4" w:space="0" w:color="auto"/>
            </w:tcBorders>
            <w:shd w:val="clear" w:color="auto" w:fill="auto"/>
            <w:noWrap/>
          </w:tcPr>
          <w:p w:rsidR="00B21B24" w:rsidRPr="0047440B" w:rsidRDefault="00B21B24" w:rsidP="00B21B24">
            <w:pPr>
              <w:jc w:val="center"/>
              <w:rPr>
                <w:color w:val="000000"/>
                <w:sz w:val="20"/>
                <w:szCs w:val="20"/>
              </w:rPr>
            </w:pPr>
            <w:r w:rsidRPr="0047440B">
              <w:rPr>
                <w:color w:val="000000"/>
                <w:sz w:val="20"/>
                <w:szCs w:val="20"/>
              </w:rPr>
              <w:t>2</w:t>
            </w:r>
          </w:p>
        </w:tc>
        <w:tc>
          <w:tcPr>
            <w:tcW w:w="952" w:type="dxa"/>
            <w:tcBorders>
              <w:top w:val="single" w:sz="4" w:space="0" w:color="auto"/>
              <w:left w:val="single" w:sz="4" w:space="0" w:color="auto"/>
              <w:bottom w:val="single" w:sz="4" w:space="0" w:color="auto"/>
              <w:right w:val="single" w:sz="4" w:space="0" w:color="auto"/>
            </w:tcBorders>
            <w:shd w:val="clear" w:color="000000" w:fill="FFFFFF"/>
            <w:noWrap/>
          </w:tcPr>
          <w:p w:rsidR="00B21B24" w:rsidRPr="0047440B" w:rsidRDefault="00B21B24" w:rsidP="00B21B24">
            <w:pPr>
              <w:autoSpaceDE/>
              <w:autoSpaceDN/>
              <w:adjustRightInd/>
              <w:jc w:val="center"/>
              <w:rPr>
                <w:color w:val="000000"/>
                <w:sz w:val="20"/>
                <w:szCs w:val="20"/>
              </w:rPr>
            </w:pPr>
            <w:r w:rsidRPr="0047440B">
              <w:rPr>
                <w:color w:val="000000"/>
                <w:sz w:val="20"/>
                <w:szCs w:val="20"/>
              </w:rPr>
              <w:t>11 907</w:t>
            </w:r>
          </w:p>
        </w:tc>
        <w:tc>
          <w:tcPr>
            <w:tcW w:w="1121" w:type="dxa"/>
            <w:tcBorders>
              <w:top w:val="single" w:sz="4" w:space="0" w:color="auto"/>
              <w:left w:val="single" w:sz="4" w:space="0" w:color="auto"/>
              <w:bottom w:val="single" w:sz="4" w:space="0" w:color="auto"/>
              <w:right w:val="single" w:sz="4" w:space="0" w:color="auto"/>
            </w:tcBorders>
            <w:shd w:val="clear" w:color="000000" w:fill="FFFFFF"/>
            <w:noWrap/>
          </w:tcPr>
          <w:p w:rsidR="00B21B24" w:rsidRPr="0047440B" w:rsidRDefault="00B21B24" w:rsidP="00B21B24">
            <w:pPr>
              <w:autoSpaceDE/>
              <w:autoSpaceDN/>
              <w:adjustRightInd/>
              <w:jc w:val="center"/>
              <w:rPr>
                <w:color w:val="000000"/>
                <w:sz w:val="20"/>
                <w:szCs w:val="20"/>
              </w:rPr>
            </w:pPr>
            <w:r w:rsidRPr="0047440B">
              <w:rPr>
                <w:color w:val="000000"/>
                <w:sz w:val="20"/>
                <w:szCs w:val="20"/>
              </w:rPr>
              <w:t>5 954</w:t>
            </w:r>
          </w:p>
        </w:tc>
        <w:tc>
          <w:tcPr>
            <w:tcW w:w="1217" w:type="dxa"/>
            <w:tcBorders>
              <w:top w:val="single" w:sz="4" w:space="0" w:color="auto"/>
              <w:left w:val="single" w:sz="4" w:space="0" w:color="auto"/>
              <w:bottom w:val="single" w:sz="4" w:space="0" w:color="auto"/>
              <w:right w:val="single" w:sz="4" w:space="0" w:color="auto"/>
            </w:tcBorders>
            <w:shd w:val="clear" w:color="000000" w:fill="FFFFFF"/>
          </w:tcPr>
          <w:p w:rsidR="00B21B24" w:rsidRPr="0047440B" w:rsidRDefault="00B21B24" w:rsidP="00B21B24">
            <w:pPr>
              <w:autoSpaceDE/>
              <w:autoSpaceDN/>
              <w:adjustRightInd/>
              <w:jc w:val="center"/>
              <w:rPr>
                <w:color w:val="000000"/>
                <w:sz w:val="20"/>
                <w:szCs w:val="20"/>
              </w:rPr>
            </w:pPr>
            <w:r w:rsidRPr="0047440B">
              <w:rPr>
                <w:color w:val="000000"/>
                <w:sz w:val="20"/>
                <w:szCs w:val="20"/>
              </w:rPr>
              <w:t>1</w:t>
            </w:r>
          </w:p>
        </w:tc>
      </w:tr>
      <w:tr w:rsidR="00B21B24" w:rsidRPr="0047440B" w:rsidTr="007E4743">
        <w:trPr>
          <w:trHeight w:val="20"/>
          <w:jc w:val="center"/>
        </w:trPr>
        <w:tc>
          <w:tcPr>
            <w:tcW w:w="486" w:type="dxa"/>
            <w:tcBorders>
              <w:top w:val="single" w:sz="4" w:space="0" w:color="auto"/>
              <w:left w:val="single" w:sz="4" w:space="0" w:color="auto"/>
              <w:bottom w:val="single" w:sz="4" w:space="0" w:color="auto"/>
              <w:right w:val="single" w:sz="4" w:space="0" w:color="auto"/>
            </w:tcBorders>
            <w:shd w:val="clear" w:color="000000" w:fill="FFFFFF"/>
            <w:noWrap/>
            <w:hideMark/>
          </w:tcPr>
          <w:p w:rsidR="00B21B24" w:rsidRPr="0047440B" w:rsidRDefault="00B21B24" w:rsidP="00B21B24">
            <w:pPr>
              <w:autoSpaceDE/>
              <w:autoSpaceDN/>
              <w:adjustRightInd/>
              <w:jc w:val="center"/>
              <w:rPr>
                <w:color w:val="000000"/>
                <w:sz w:val="20"/>
                <w:szCs w:val="20"/>
              </w:rPr>
            </w:pPr>
            <w:r w:rsidRPr="0047440B">
              <w:rPr>
                <w:color w:val="000000"/>
                <w:sz w:val="20"/>
                <w:szCs w:val="20"/>
              </w:rPr>
              <w:t>4.</w:t>
            </w:r>
          </w:p>
        </w:tc>
        <w:tc>
          <w:tcPr>
            <w:tcW w:w="2917" w:type="dxa"/>
            <w:tcBorders>
              <w:top w:val="single" w:sz="4" w:space="0" w:color="auto"/>
              <w:left w:val="single" w:sz="4" w:space="0" w:color="auto"/>
              <w:bottom w:val="single" w:sz="4" w:space="0" w:color="auto"/>
              <w:right w:val="single" w:sz="4" w:space="0" w:color="auto"/>
            </w:tcBorders>
            <w:shd w:val="clear" w:color="auto" w:fill="auto"/>
          </w:tcPr>
          <w:p w:rsidR="00B21B24" w:rsidRPr="0047440B" w:rsidRDefault="00B21B24" w:rsidP="00B21B24">
            <w:pPr>
              <w:rPr>
                <w:color w:val="000000"/>
                <w:sz w:val="20"/>
                <w:szCs w:val="20"/>
              </w:rPr>
            </w:pPr>
            <w:r w:rsidRPr="0047440B">
              <w:rPr>
                <w:color w:val="000000"/>
                <w:sz w:val="20"/>
                <w:szCs w:val="20"/>
              </w:rPr>
              <w:t>ГАУЗ «Актанышская ЦРБ»</w:t>
            </w:r>
          </w:p>
        </w:tc>
        <w:tc>
          <w:tcPr>
            <w:tcW w:w="1233" w:type="dxa"/>
            <w:tcBorders>
              <w:top w:val="single" w:sz="4" w:space="0" w:color="auto"/>
              <w:left w:val="single" w:sz="4" w:space="0" w:color="auto"/>
              <w:bottom w:val="single" w:sz="4" w:space="0" w:color="auto"/>
              <w:right w:val="single" w:sz="4" w:space="0" w:color="auto"/>
            </w:tcBorders>
            <w:shd w:val="clear" w:color="auto" w:fill="auto"/>
            <w:noWrap/>
          </w:tcPr>
          <w:p w:rsidR="00B21B24" w:rsidRPr="0047440B" w:rsidRDefault="00B21B24" w:rsidP="00B21B24">
            <w:pPr>
              <w:jc w:val="center"/>
              <w:rPr>
                <w:color w:val="000000"/>
                <w:sz w:val="20"/>
                <w:szCs w:val="20"/>
              </w:rPr>
            </w:pPr>
            <w:r w:rsidRPr="0047440B">
              <w:rPr>
                <w:color w:val="000000"/>
                <w:sz w:val="20"/>
                <w:szCs w:val="20"/>
              </w:rPr>
              <w:t>1</w:t>
            </w:r>
          </w:p>
        </w:tc>
        <w:tc>
          <w:tcPr>
            <w:tcW w:w="816" w:type="dxa"/>
            <w:tcBorders>
              <w:top w:val="single" w:sz="4" w:space="0" w:color="auto"/>
              <w:left w:val="single" w:sz="4" w:space="0" w:color="auto"/>
              <w:bottom w:val="single" w:sz="4" w:space="0" w:color="auto"/>
              <w:right w:val="single" w:sz="4" w:space="0" w:color="auto"/>
            </w:tcBorders>
            <w:shd w:val="clear" w:color="auto" w:fill="auto"/>
            <w:noWrap/>
          </w:tcPr>
          <w:p w:rsidR="00B21B24" w:rsidRPr="0047440B" w:rsidRDefault="00B21B24" w:rsidP="00B21B24">
            <w:pPr>
              <w:jc w:val="center"/>
              <w:rPr>
                <w:color w:val="000000"/>
                <w:sz w:val="20"/>
                <w:szCs w:val="20"/>
              </w:rPr>
            </w:pPr>
            <w:r w:rsidRPr="0047440B">
              <w:rPr>
                <w:color w:val="000000"/>
                <w:sz w:val="20"/>
                <w:szCs w:val="20"/>
              </w:rPr>
              <w:t>1,00</w:t>
            </w:r>
          </w:p>
        </w:tc>
        <w:tc>
          <w:tcPr>
            <w:tcW w:w="792" w:type="dxa"/>
            <w:tcBorders>
              <w:top w:val="single" w:sz="4" w:space="0" w:color="auto"/>
              <w:left w:val="single" w:sz="4" w:space="0" w:color="auto"/>
              <w:bottom w:val="single" w:sz="4" w:space="0" w:color="auto"/>
              <w:right w:val="single" w:sz="4" w:space="0" w:color="auto"/>
            </w:tcBorders>
            <w:shd w:val="clear" w:color="auto" w:fill="auto"/>
            <w:noWrap/>
          </w:tcPr>
          <w:p w:rsidR="00B21B24" w:rsidRPr="0047440B" w:rsidRDefault="00B21B24" w:rsidP="00B21B24">
            <w:pPr>
              <w:jc w:val="center"/>
              <w:rPr>
                <w:color w:val="000000"/>
                <w:sz w:val="20"/>
                <w:szCs w:val="20"/>
              </w:rPr>
            </w:pPr>
            <w:r w:rsidRPr="0047440B">
              <w:rPr>
                <w:color w:val="000000"/>
                <w:sz w:val="20"/>
                <w:szCs w:val="20"/>
              </w:rPr>
              <w:t>1,00</w:t>
            </w:r>
          </w:p>
        </w:tc>
        <w:tc>
          <w:tcPr>
            <w:tcW w:w="1239" w:type="dxa"/>
            <w:tcBorders>
              <w:top w:val="single" w:sz="4" w:space="0" w:color="auto"/>
              <w:left w:val="single" w:sz="4" w:space="0" w:color="auto"/>
              <w:bottom w:val="single" w:sz="4" w:space="0" w:color="auto"/>
              <w:right w:val="single" w:sz="4" w:space="0" w:color="auto"/>
            </w:tcBorders>
            <w:shd w:val="clear" w:color="auto" w:fill="auto"/>
            <w:noWrap/>
          </w:tcPr>
          <w:p w:rsidR="00B21B24" w:rsidRPr="0047440B" w:rsidRDefault="00B21B24" w:rsidP="00B21B24">
            <w:pPr>
              <w:jc w:val="center"/>
              <w:rPr>
                <w:color w:val="000000"/>
                <w:sz w:val="20"/>
                <w:szCs w:val="20"/>
              </w:rPr>
            </w:pPr>
            <w:r w:rsidRPr="0047440B">
              <w:rPr>
                <w:color w:val="000000"/>
                <w:sz w:val="20"/>
                <w:szCs w:val="20"/>
              </w:rPr>
              <w:t>1</w:t>
            </w:r>
          </w:p>
        </w:tc>
        <w:tc>
          <w:tcPr>
            <w:tcW w:w="952" w:type="dxa"/>
            <w:tcBorders>
              <w:top w:val="single" w:sz="4" w:space="0" w:color="auto"/>
              <w:left w:val="single" w:sz="4" w:space="0" w:color="auto"/>
              <w:bottom w:val="single" w:sz="4" w:space="0" w:color="auto"/>
              <w:right w:val="single" w:sz="4" w:space="0" w:color="auto"/>
            </w:tcBorders>
            <w:shd w:val="clear" w:color="000000" w:fill="FFFFFF"/>
            <w:noWrap/>
          </w:tcPr>
          <w:p w:rsidR="00B21B24" w:rsidRPr="0047440B" w:rsidRDefault="00B21B24" w:rsidP="00B21B24">
            <w:pPr>
              <w:autoSpaceDE/>
              <w:autoSpaceDN/>
              <w:adjustRightInd/>
              <w:jc w:val="center"/>
              <w:rPr>
                <w:color w:val="000000"/>
                <w:sz w:val="20"/>
                <w:szCs w:val="20"/>
              </w:rPr>
            </w:pPr>
            <w:r w:rsidRPr="0047440B">
              <w:rPr>
                <w:color w:val="000000"/>
                <w:sz w:val="20"/>
                <w:szCs w:val="20"/>
              </w:rPr>
              <w:t>11 908</w:t>
            </w:r>
          </w:p>
        </w:tc>
        <w:tc>
          <w:tcPr>
            <w:tcW w:w="1121" w:type="dxa"/>
            <w:tcBorders>
              <w:top w:val="single" w:sz="4" w:space="0" w:color="auto"/>
              <w:left w:val="single" w:sz="4" w:space="0" w:color="auto"/>
              <w:bottom w:val="single" w:sz="4" w:space="0" w:color="auto"/>
              <w:right w:val="single" w:sz="4" w:space="0" w:color="auto"/>
            </w:tcBorders>
            <w:shd w:val="clear" w:color="000000" w:fill="FFFFFF"/>
            <w:noWrap/>
          </w:tcPr>
          <w:p w:rsidR="00B21B24" w:rsidRPr="0047440B" w:rsidRDefault="00B21B24" w:rsidP="00B21B24">
            <w:pPr>
              <w:autoSpaceDE/>
              <w:autoSpaceDN/>
              <w:adjustRightInd/>
              <w:jc w:val="center"/>
              <w:rPr>
                <w:color w:val="000000"/>
                <w:sz w:val="20"/>
                <w:szCs w:val="20"/>
              </w:rPr>
            </w:pPr>
            <w:r w:rsidRPr="0047440B">
              <w:rPr>
                <w:color w:val="000000"/>
                <w:sz w:val="20"/>
                <w:szCs w:val="20"/>
              </w:rPr>
              <w:t>11 908</w:t>
            </w:r>
          </w:p>
        </w:tc>
        <w:tc>
          <w:tcPr>
            <w:tcW w:w="1217" w:type="dxa"/>
            <w:tcBorders>
              <w:top w:val="single" w:sz="4" w:space="0" w:color="auto"/>
              <w:left w:val="single" w:sz="4" w:space="0" w:color="auto"/>
              <w:bottom w:val="single" w:sz="4" w:space="0" w:color="auto"/>
              <w:right w:val="single" w:sz="4" w:space="0" w:color="auto"/>
            </w:tcBorders>
            <w:shd w:val="clear" w:color="000000" w:fill="FFFFFF"/>
          </w:tcPr>
          <w:p w:rsidR="00B21B24" w:rsidRPr="0047440B" w:rsidRDefault="00B21B24" w:rsidP="00B21B24">
            <w:pPr>
              <w:autoSpaceDE/>
              <w:autoSpaceDN/>
              <w:adjustRightInd/>
              <w:jc w:val="center"/>
              <w:rPr>
                <w:color w:val="000000"/>
                <w:sz w:val="20"/>
                <w:szCs w:val="20"/>
              </w:rPr>
            </w:pPr>
            <w:r w:rsidRPr="0047440B">
              <w:rPr>
                <w:color w:val="000000"/>
                <w:sz w:val="20"/>
                <w:szCs w:val="20"/>
              </w:rPr>
              <w:t>1</w:t>
            </w:r>
          </w:p>
        </w:tc>
      </w:tr>
      <w:tr w:rsidR="00B21B24" w:rsidRPr="0047440B" w:rsidTr="007E4743">
        <w:trPr>
          <w:trHeight w:val="20"/>
          <w:jc w:val="center"/>
        </w:trPr>
        <w:tc>
          <w:tcPr>
            <w:tcW w:w="486" w:type="dxa"/>
            <w:tcBorders>
              <w:top w:val="single" w:sz="4" w:space="0" w:color="auto"/>
              <w:left w:val="single" w:sz="4" w:space="0" w:color="auto"/>
              <w:bottom w:val="single" w:sz="4" w:space="0" w:color="auto"/>
              <w:right w:val="single" w:sz="4" w:space="0" w:color="auto"/>
            </w:tcBorders>
            <w:shd w:val="clear" w:color="000000" w:fill="FFFFFF"/>
            <w:noWrap/>
            <w:hideMark/>
          </w:tcPr>
          <w:p w:rsidR="00B21B24" w:rsidRPr="0047440B" w:rsidRDefault="00B21B24" w:rsidP="00B21B24">
            <w:pPr>
              <w:autoSpaceDE/>
              <w:autoSpaceDN/>
              <w:adjustRightInd/>
              <w:jc w:val="center"/>
              <w:rPr>
                <w:color w:val="000000"/>
                <w:sz w:val="20"/>
                <w:szCs w:val="20"/>
              </w:rPr>
            </w:pPr>
            <w:r w:rsidRPr="0047440B">
              <w:rPr>
                <w:color w:val="000000"/>
                <w:sz w:val="20"/>
                <w:szCs w:val="20"/>
              </w:rPr>
              <w:t>5.</w:t>
            </w:r>
          </w:p>
        </w:tc>
        <w:tc>
          <w:tcPr>
            <w:tcW w:w="2917" w:type="dxa"/>
            <w:tcBorders>
              <w:top w:val="single" w:sz="4" w:space="0" w:color="auto"/>
              <w:left w:val="single" w:sz="4" w:space="0" w:color="auto"/>
              <w:bottom w:val="single" w:sz="4" w:space="0" w:color="auto"/>
              <w:right w:val="single" w:sz="4" w:space="0" w:color="auto"/>
            </w:tcBorders>
            <w:shd w:val="clear" w:color="auto" w:fill="auto"/>
          </w:tcPr>
          <w:p w:rsidR="00B21B24" w:rsidRPr="0047440B" w:rsidRDefault="00B21B24" w:rsidP="00B21B24">
            <w:pPr>
              <w:rPr>
                <w:color w:val="000000"/>
                <w:sz w:val="20"/>
                <w:szCs w:val="20"/>
              </w:rPr>
            </w:pPr>
            <w:r w:rsidRPr="0047440B">
              <w:rPr>
                <w:color w:val="000000"/>
                <w:sz w:val="20"/>
                <w:szCs w:val="20"/>
              </w:rPr>
              <w:t>ГАУЗ «Алексеевская ЦРБ»</w:t>
            </w:r>
          </w:p>
        </w:tc>
        <w:tc>
          <w:tcPr>
            <w:tcW w:w="1233" w:type="dxa"/>
            <w:tcBorders>
              <w:top w:val="single" w:sz="4" w:space="0" w:color="auto"/>
              <w:left w:val="single" w:sz="4" w:space="0" w:color="auto"/>
              <w:bottom w:val="single" w:sz="4" w:space="0" w:color="auto"/>
              <w:right w:val="single" w:sz="4" w:space="0" w:color="auto"/>
            </w:tcBorders>
            <w:shd w:val="clear" w:color="auto" w:fill="auto"/>
            <w:noWrap/>
          </w:tcPr>
          <w:p w:rsidR="00B21B24" w:rsidRPr="0047440B" w:rsidRDefault="00B21B24" w:rsidP="00B21B24">
            <w:pPr>
              <w:jc w:val="center"/>
              <w:rPr>
                <w:color w:val="000000"/>
                <w:sz w:val="20"/>
                <w:szCs w:val="20"/>
              </w:rPr>
            </w:pPr>
            <w:r w:rsidRPr="0047440B">
              <w:rPr>
                <w:color w:val="000000"/>
                <w:sz w:val="20"/>
                <w:szCs w:val="20"/>
              </w:rPr>
              <w:t>1</w:t>
            </w:r>
          </w:p>
        </w:tc>
        <w:tc>
          <w:tcPr>
            <w:tcW w:w="816" w:type="dxa"/>
            <w:tcBorders>
              <w:top w:val="single" w:sz="4" w:space="0" w:color="auto"/>
              <w:left w:val="single" w:sz="4" w:space="0" w:color="auto"/>
              <w:bottom w:val="single" w:sz="4" w:space="0" w:color="auto"/>
              <w:right w:val="single" w:sz="4" w:space="0" w:color="auto"/>
            </w:tcBorders>
            <w:shd w:val="clear" w:color="auto" w:fill="auto"/>
            <w:noWrap/>
          </w:tcPr>
          <w:p w:rsidR="00B21B24" w:rsidRPr="0047440B" w:rsidRDefault="00B21B24" w:rsidP="00B21B24">
            <w:pPr>
              <w:jc w:val="center"/>
              <w:rPr>
                <w:color w:val="000000"/>
                <w:sz w:val="20"/>
                <w:szCs w:val="20"/>
              </w:rPr>
            </w:pPr>
            <w:r w:rsidRPr="0047440B">
              <w:rPr>
                <w:color w:val="000000"/>
                <w:sz w:val="20"/>
                <w:szCs w:val="20"/>
              </w:rPr>
              <w:t>1,00</w:t>
            </w:r>
          </w:p>
        </w:tc>
        <w:tc>
          <w:tcPr>
            <w:tcW w:w="792" w:type="dxa"/>
            <w:tcBorders>
              <w:top w:val="single" w:sz="4" w:space="0" w:color="auto"/>
              <w:left w:val="single" w:sz="4" w:space="0" w:color="auto"/>
              <w:bottom w:val="single" w:sz="4" w:space="0" w:color="auto"/>
              <w:right w:val="single" w:sz="4" w:space="0" w:color="auto"/>
            </w:tcBorders>
            <w:shd w:val="clear" w:color="auto" w:fill="auto"/>
            <w:noWrap/>
          </w:tcPr>
          <w:p w:rsidR="00B21B24" w:rsidRPr="0047440B" w:rsidRDefault="00B21B24" w:rsidP="00B21B24">
            <w:pPr>
              <w:jc w:val="center"/>
              <w:rPr>
                <w:color w:val="000000"/>
                <w:sz w:val="20"/>
                <w:szCs w:val="20"/>
              </w:rPr>
            </w:pPr>
            <w:r w:rsidRPr="0047440B">
              <w:rPr>
                <w:color w:val="000000"/>
                <w:sz w:val="20"/>
                <w:szCs w:val="20"/>
              </w:rPr>
              <w:t>1,00</w:t>
            </w:r>
          </w:p>
        </w:tc>
        <w:tc>
          <w:tcPr>
            <w:tcW w:w="1239" w:type="dxa"/>
            <w:tcBorders>
              <w:top w:val="single" w:sz="4" w:space="0" w:color="auto"/>
              <w:left w:val="single" w:sz="4" w:space="0" w:color="auto"/>
              <w:bottom w:val="single" w:sz="4" w:space="0" w:color="auto"/>
              <w:right w:val="single" w:sz="4" w:space="0" w:color="auto"/>
            </w:tcBorders>
            <w:shd w:val="clear" w:color="auto" w:fill="auto"/>
            <w:noWrap/>
          </w:tcPr>
          <w:p w:rsidR="00B21B24" w:rsidRPr="0047440B" w:rsidRDefault="00B21B24" w:rsidP="00B21B24">
            <w:pPr>
              <w:jc w:val="center"/>
              <w:rPr>
                <w:color w:val="000000"/>
                <w:sz w:val="20"/>
                <w:szCs w:val="20"/>
              </w:rPr>
            </w:pPr>
            <w:r w:rsidRPr="0047440B">
              <w:rPr>
                <w:color w:val="000000"/>
                <w:sz w:val="20"/>
                <w:szCs w:val="20"/>
              </w:rPr>
              <w:t>1</w:t>
            </w:r>
          </w:p>
        </w:tc>
        <w:tc>
          <w:tcPr>
            <w:tcW w:w="952" w:type="dxa"/>
            <w:tcBorders>
              <w:top w:val="single" w:sz="4" w:space="0" w:color="auto"/>
              <w:left w:val="single" w:sz="4" w:space="0" w:color="auto"/>
              <w:bottom w:val="single" w:sz="4" w:space="0" w:color="auto"/>
              <w:right w:val="single" w:sz="4" w:space="0" w:color="auto"/>
            </w:tcBorders>
            <w:shd w:val="clear" w:color="000000" w:fill="FFFFFF"/>
            <w:noWrap/>
          </w:tcPr>
          <w:p w:rsidR="00B21B24" w:rsidRPr="0047440B" w:rsidRDefault="00B21B24" w:rsidP="00B21B24">
            <w:pPr>
              <w:autoSpaceDE/>
              <w:autoSpaceDN/>
              <w:adjustRightInd/>
              <w:jc w:val="center"/>
              <w:rPr>
                <w:color w:val="000000"/>
                <w:sz w:val="20"/>
                <w:szCs w:val="20"/>
              </w:rPr>
            </w:pPr>
            <w:r w:rsidRPr="0047440B">
              <w:rPr>
                <w:color w:val="000000"/>
                <w:sz w:val="20"/>
                <w:szCs w:val="20"/>
              </w:rPr>
              <w:t>2 729</w:t>
            </w:r>
          </w:p>
        </w:tc>
        <w:tc>
          <w:tcPr>
            <w:tcW w:w="1121" w:type="dxa"/>
            <w:tcBorders>
              <w:top w:val="single" w:sz="4" w:space="0" w:color="auto"/>
              <w:left w:val="single" w:sz="4" w:space="0" w:color="auto"/>
              <w:bottom w:val="single" w:sz="4" w:space="0" w:color="auto"/>
              <w:right w:val="single" w:sz="4" w:space="0" w:color="auto"/>
            </w:tcBorders>
            <w:shd w:val="clear" w:color="000000" w:fill="FFFFFF"/>
            <w:noWrap/>
          </w:tcPr>
          <w:p w:rsidR="00B21B24" w:rsidRPr="0047440B" w:rsidRDefault="00B21B24" w:rsidP="00B21B24">
            <w:pPr>
              <w:autoSpaceDE/>
              <w:autoSpaceDN/>
              <w:adjustRightInd/>
              <w:jc w:val="center"/>
              <w:rPr>
                <w:color w:val="000000"/>
                <w:sz w:val="20"/>
                <w:szCs w:val="20"/>
              </w:rPr>
            </w:pPr>
            <w:r w:rsidRPr="0047440B">
              <w:rPr>
                <w:color w:val="000000"/>
                <w:sz w:val="20"/>
                <w:szCs w:val="20"/>
              </w:rPr>
              <w:t>2 729</w:t>
            </w:r>
          </w:p>
        </w:tc>
        <w:tc>
          <w:tcPr>
            <w:tcW w:w="1217" w:type="dxa"/>
            <w:tcBorders>
              <w:top w:val="single" w:sz="4" w:space="0" w:color="auto"/>
              <w:left w:val="single" w:sz="4" w:space="0" w:color="auto"/>
              <w:bottom w:val="single" w:sz="4" w:space="0" w:color="auto"/>
              <w:right w:val="single" w:sz="4" w:space="0" w:color="auto"/>
            </w:tcBorders>
            <w:shd w:val="clear" w:color="000000" w:fill="FFFFFF"/>
          </w:tcPr>
          <w:p w:rsidR="00B21B24" w:rsidRPr="0047440B" w:rsidRDefault="00B21B24" w:rsidP="00B21B24">
            <w:pPr>
              <w:autoSpaceDE/>
              <w:autoSpaceDN/>
              <w:adjustRightInd/>
              <w:jc w:val="center"/>
              <w:rPr>
                <w:color w:val="000000"/>
                <w:sz w:val="20"/>
                <w:szCs w:val="20"/>
              </w:rPr>
            </w:pPr>
            <w:r w:rsidRPr="0047440B">
              <w:rPr>
                <w:color w:val="000000"/>
                <w:sz w:val="20"/>
                <w:szCs w:val="20"/>
              </w:rPr>
              <w:t>1</w:t>
            </w:r>
          </w:p>
        </w:tc>
      </w:tr>
      <w:tr w:rsidR="00B21B24" w:rsidRPr="0047440B" w:rsidTr="007E4743">
        <w:trPr>
          <w:trHeight w:val="20"/>
          <w:jc w:val="center"/>
        </w:trPr>
        <w:tc>
          <w:tcPr>
            <w:tcW w:w="486" w:type="dxa"/>
            <w:tcBorders>
              <w:top w:val="single" w:sz="4" w:space="0" w:color="auto"/>
              <w:left w:val="single" w:sz="4" w:space="0" w:color="auto"/>
              <w:bottom w:val="single" w:sz="4" w:space="0" w:color="auto"/>
              <w:right w:val="single" w:sz="4" w:space="0" w:color="auto"/>
            </w:tcBorders>
            <w:shd w:val="clear" w:color="000000" w:fill="FFFFFF"/>
            <w:noWrap/>
            <w:hideMark/>
          </w:tcPr>
          <w:p w:rsidR="00B21B24" w:rsidRPr="0047440B" w:rsidRDefault="00B21B24" w:rsidP="00B21B24">
            <w:pPr>
              <w:autoSpaceDE/>
              <w:autoSpaceDN/>
              <w:adjustRightInd/>
              <w:jc w:val="center"/>
              <w:rPr>
                <w:color w:val="000000"/>
                <w:sz w:val="20"/>
                <w:szCs w:val="20"/>
              </w:rPr>
            </w:pPr>
            <w:r w:rsidRPr="0047440B">
              <w:rPr>
                <w:color w:val="000000"/>
                <w:sz w:val="20"/>
                <w:szCs w:val="20"/>
              </w:rPr>
              <w:t>6.</w:t>
            </w:r>
          </w:p>
        </w:tc>
        <w:tc>
          <w:tcPr>
            <w:tcW w:w="2917" w:type="dxa"/>
            <w:tcBorders>
              <w:top w:val="single" w:sz="4" w:space="0" w:color="auto"/>
              <w:left w:val="single" w:sz="4" w:space="0" w:color="auto"/>
              <w:bottom w:val="single" w:sz="4" w:space="0" w:color="auto"/>
              <w:right w:val="single" w:sz="4" w:space="0" w:color="auto"/>
            </w:tcBorders>
            <w:shd w:val="clear" w:color="auto" w:fill="auto"/>
          </w:tcPr>
          <w:p w:rsidR="00B21B24" w:rsidRPr="0047440B" w:rsidRDefault="00B21B24" w:rsidP="00B21B24">
            <w:pPr>
              <w:rPr>
                <w:color w:val="000000"/>
                <w:sz w:val="20"/>
                <w:szCs w:val="20"/>
              </w:rPr>
            </w:pPr>
            <w:r w:rsidRPr="0047440B">
              <w:rPr>
                <w:color w:val="000000"/>
                <w:sz w:val="20"/>
                <w:szCs w:val="20"/>
              </w:rPr>
              <w:t>ГАУЗ «Базарно-Матакская ЦРБ»</w:t>
            </w:r>
          </w:p>
        </w:tc>
        <w:tc>
          <w:tcPr>
            <w:tcW w:w="1233" w:type="dxa"/>
            <w:tcBorders>
              <w:top w:val="single" w:sz="4" w:space="0" w:color="auto"/>
              <w:left w:val="single" w:sz="4" w:space="0" w:color="auto"/>
              <w:bottom w:val="single" w:sz="4" w:space="0" w:color="auto"/>
              <w:right w:val="single" w:sz="4" w:space="0" w:color="auto"/>
            </w:tcBorders>
            <w:shd w:val="clear" w:color="auto" w:fill="auto"/>
            <w:noWrap/>
          </w:tcPr>
          <w:p w:rsidR="00B21B24" w:rsidRPr="0047440B" w:rsidRDefault="00B21B24" w:rsidP="00B21B24">
            <w:pPr>
              <w:jc w:val="center"/>
              <w:rPr>
                <w:color w:val="000000"/>
                <w:sz w:val="20"/>
                <w:szCs w:val="20"/>
              </w:rPr>
            </w:pPr>
            <w:r w:rsidRPr="0047440B">
              <w:rPr>
                <w:color w:val="000000"/>
                <w:sz w:val="20"/>
                <w:szCs w:val="20"/>
              </w:rPr>
              <w:t>2</w:t>
            </w:r>
          </w:p>
        </w:tc>
        <w:tc>
          <w:tcPr>
            <w:tcW w:w="816" w:type="dxa"/>
            <w:tcBorders>
              <w:top w:val="single" w:sz="4" w:space="0" w:color="auto"/>
              <w:left w:val="single" w:sz="4" w:space="0" w:color="auto"/>
              <w:bottom w:val="single" w:sz="4" w:space="0" w:color="auto"/>
              <w:right w:val="single" w:sz="4" w:space="0" w:color="auto"/>
            </w:tcBorders>
            <w:shd w:val="clear" w:color="auto" w:fill="auto"/>
            <w:noWrap/>
          </w:tcPr>
          <w:p w:rsidR="00B21B24" w:rsidRPr="0047440B" w:rsidRDefault="00B21B24" w:rsidP="00B21B24">
            <w:pPr>
              <w:jc w:val="center"/>
              <w:rPr>
                <w:color w:val="000000"/>
                <w:sz w:val="20"/>
                <w:szCs w:val="20"/>
              </w:rPr>
            </w:pPr>
            <w:r w:rsidRPr="0047440B">
              <w:rPr>
                <w:color w:val="000000"/>
                <w:sz w:val="20"/>
                <w:szCs w:val="20"/>
              </w:rPr>
              <w:t>2,00</w:t>
            </w:r>
          </w:p>
        </w:tc>
        <w:tc>
          <w:tcPr>
            <w:tcW w:w="792" w:type="dxa"/>
            <w:tcBorders>
              <w:top w:val="single" w:sz="4" w:space="0" w:color="auto"/>
              <w:left w:val="single" w:sz="4" w:space="0" w:color="auto"/>
              <w:bottom w:val="single" w:sz="4" w:space="0" w:color="auto"/>
              <w:right w:val="single" w:sz="4" w:space="0" w:color="auto"/>
            </w:tcBorders>
            <w:shd w:val="clear" w:color="auto" w:fill="auto"/>
            <w:noWrap/>
          </w:tcPr>
          <w:p w:rsidR="00B21B24" w:rsidRPr="0047440B" w:rsidRDefault="00B21B24" w:rsidP="00B21B24">
            <w:pPr>
              <w:jc w:val="center"/>
              <w:rPr>
                <w:color w:val="000000"/>
                <w:sz w:val="20"/>
                <w:szCs w:val="20"/>
              </w:rPr>
            </w:pPr>
            <w:r w:rsidRPr="0047440B">
              <w:rPr>
                <w:color w:val="000000"/>
                <w:sz w:val="20"/>
                <w:szCs w:val="20"/>
              </w:rPr>
              <w:t>2,00</w:t>
            </w:r>
          </w:p>
        </w:tc>
        <w:tc>
          <w:tcPr>
            <w:tcW w:w="1239" w:type="dxa"/>
            <w:tcBorders>
              <w:top w:val="single" w:sz="4" w:space="0" w:color="auto"/>
              <w:left w:val="single" w:sz="4" w:space="0" w:color="auto"/>
              <w:bottom w:val="single" w:sz="4" w:space="0" w:color="auto"/>
              <w:right w:val="single" w:sz="4" w:space="0" w:color="auto"/>
            </w:tcBorders>
            <w:shd w:val="clear" w:color="auto" w:fill="auto"/>
            <w:noWrap/>
          </w:tcPr>
          <w:p w:rsidR="00B21B24" w:rsidRPr="0047440B" w:rsidRDefault="00B21B24" w:rsidP="00B21B24">
            <w:pPr>
              <w:jc w:val="center"/>
              <w:rPr>
                <w:color w:val="000000"/>
                <w:sz w:val="20"/>
                <w:szCs w:val="20"/>
              </w:rPr>
            </w:pPr>
            <w:r w:rsidRPr="0047440B">
              <w:rPr>
                <w:color w:val="000000"/>
                <w:sz w:val="20"/>
                <w:szCs w:val="20"/>
              </w:rPr>
              <w:t>2</w:t>
            </w:r>
          </w:p>
        </w:tc>
        <w:tc>
          <w:tcPr>
            <w:tcW w:w="952" w:type="dxa"/>
            <w:tcBorders>
              <w:top w:val="single" w:sz="4" w:space="0" w:color="auto"/>
              <w:left w:val="single" w:sz="4" w:space="0" w:color="auto"/>
              <w:bottom w:val="single" w:sz="4" w:space="0" w:color="auto"/>
              <w:right w:val="single" w:sz="4" w:space="0" w:color="auto"/>
            </w:tcBorders>
            <w:shd w:val="clear" w:color="000000" w:fill="FFFFFF"/>
            <w:noWrap/>
          </w:tcPr>
          <w:p w:rsidR="00B21B24" w:rsidRPr="0047440B" w:rsidRDefault="00B21B24" w:rsidP="00B21B24">
            <w:pPr>
              <w:autoSpaceDE/>
              <w:autoSpaceDN/>
              <w:adjustRightInd/>
              <w:jc w:val="center"/>
              <w:rPr>
                <w:color w:val="000000"/>
                <w:sz w:val="20"/>
                <w:szCs w:val="20"/>
              </w:rPr>
            </w:pPr>
            <w:r w:rsidRPr="0047440B">
              <w:rPr>
                <w:color w:val="000000"/>
                <w:sz w:val="20"/>
                <w:szCs w:val="20"/>
              </w:rPr>
              <w:t>3 510</w:t>
            </w:r>
          </w:p>
        </w:tc>
        <w:tc>
          <w:tcPr>
            <w:tcW w:w="1121" w:type="dxa"/>
            <w:tcBorders>
              <w:top w:val="single" w:sz="4" w:space="0" w:color="auto"/>
              <w:left w:val="single" w:sz="4" w:space="0" w:color="auto"/>
              <w:bottom w:val="single" w:sz="4" w:space="0" w:color="auto"/>
              <w:right w:val="single" w:sz="4" w:space="0" w:color="auto"/>
            </w:tcBorders>
            <w:shd w:val="clear" w:color="000000" w:fill="FFFFFF"/>
            <w:noWrap/>
          </w:tcPr>
          <w:p w:rsidR="00B21B24" w:rsidRPr="0047440B" w:rsidRDefault="00B21B24" w:rsidP="00B21B24">
            <w:pPr>
              <w:autoSpaceDE/>
              <w:autoSpaceDN/>
              <w:adjustRightInd/>
              <w:jc w:val="center"/>
              <w:rPr>
                <w:color w:val="000000"/>
                <w:sz w:val="20"/>
                <w:szCs w:val="20"/>
              </w:rPr>
            </w:pPr>
            <w:r w:rsidRPr="0047440B">
              <w:rPr>
                <w:color w:val="000000"/>
                <w:sz w:val="20"/>
                <w:szCs w:val="20"/>
              </w:rPr>
              <w:t>1 755</w:t>
            </w:r>
          </w:p>
        </w:tc>
        <w:tc>
          <w:tcPr>
            <w:tcW w:w="1217" w:type="dxa"/>
            <w:tcBorders>
              <w:top w:val="single" w:sz="4" w:space="0" w:color="auto"/>
              <w:left w:val="single" w:sz="4" w:space="0" w:color="auto"/>
              <w:bottom w:val="single" w:sz="4" w:space="0" w:color="auto"/>
              <w:right w:val="single" w:sz="4" w:space="0" w:color="auto"/>
            </w:tcBorders>
            <w:shd w:val="clear" w:color="000000" w:fill="FFFFFF"/>
          </w:tcPr>
          <w:p w:rsidR="00B21B24" w:rsidRPr="0047440B" w:rsidRDefault="00B21B24" w:rsidP="00B21B24">
            <w:pPr>
              <w:autoSpaceDE/>
              <w:autoSpaceDN/>
              <w:adjustRightInd/>
              <w:jc w:val="center"/>
              <w:rPr>
                <w:color w:val="000000"/>
                <w:sz w:val="20"/>
                <w:szCs w:val="20"/>
              </w:rPr>
            </w:pPr>
            <w:r w:rsidRPr="0047440B">
              <w:rPr>
                <w:color w:val="000000"/>
                <w:sz w:val="20"/>
                <w:szCs w:val="20"/>
              </w:rPr>
              <w:t>1</w:t>
            </w:r>
          </w:p>
        </w:tc>
      </w:tr>
      <w:tr w:rsidR="00B21B24" w:rsidRPr="0047440B" w:rsidTr="007E4743">
        <w:trPr>
          <w:trHeight w:val="20"/>
          <w:jc w:val="center"/>
        </w:trPr>
        <w:tc>
          <w:tcPr>
            <w:tcW w:w="486" w:type="dxa"/>
            <w:tcBorders>
              <w:top w:val="single" w:sz="4" w:space="0" w:color="auto"/>
              <w:left w:val="single" w:sz="4" w:space="0" w:color="auto"/>
              <w:bottom w:val="single" w:sz="4" w:space="0" w:color="auto"/>
              <w:right w:val="single" w:sz="4" w:space="0" w:color="auto"/>
            </w:tcBorders>
            <w:shd w:val="clear" w:color="000000" w:fill="FFFFFF"/>
            <w:noWrap/>
            <w:hideMark/>
          </w:tcPr>
          <w:p w:rsidR="00B21B24" w:rsidRPr="0047440B" w:rsidRDefault="00B21B24" w:rsidP="00B21B24">
            <w:pPr>
              <w:autoSpaceDE/>
              <w:autoSpaceDN/>
              <w:adjustRightInd/>
              <w:jc w:val="center"/>
              <w:rPr>
                <w:color w:val="000000"/>
                <w:sz w:val="20"/>
                <w:szCs w:val="20"/>
              </w:rPr>
            </w:pPr>
            <w:r w:rsidRPr="0047440B">
              <w:rPr>
                <w:color w:val="000000"/>
                <w:sz w:val="20"/>
                <w:szCs w:val="20"/>
              </w:rPr>
              <w:t>7.</w:t>
            </w:r>
          </w:p>
        </w:tc>
        <w:tc>
          <w:tcPr>
            <w:tcW w:w="2917" w:type="dxa"/>
            <w:tcBorders>
              <w:top w:val="single" w:sz="4" w:space="0" w:color="auto"/>
              <w:left w:val="single" w:sz="4" w:space="0" w:color="auto"/>
              <w:bottom w:val="single" w:sz="4" w:space="0" w:color="auto"/>
              <w:right w:val="single" w:sz="4" w:space="0" w:color="auto"/>
            </w:tcBorders>
            <w:shd w:val="clear" w:color="auto" w:fill="auto"/>
          </w:tcPr>
          <w:p w:rsidR="00B21B24" w:rsidRPr="0047440B" w:rsidRDefault="00B21B24" w:rsidP="00B21B24">
            <w:pPr>
              <w:rPr>
                <w:color w:val="000000"/>
                <w:sz w:val="20"/>
                <w:szCs w:val="20"/>
              </w:rPr>
            </w:pPr>
            <w:r w:rsidRPr="0047440B">
              <w:rPr>
                <w:color w:val="000000"/>
                <w:sz w:val="20"/>
                <w:szCs w:val="20"/>
              </w:rPr>
              <w:t>ГАУЗ «Альметьевская ЦРБ»</w:t>
            </w:r>
          </w:p>
        </w:tc>
        <w:tc>
          <w:tcPr>
            <w:tcW w:w="12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21B24" w:rsidRPr="0047440B" w:rsidRDefault="00B21B24" w:rsidP="00B21B24">
            <w:pPr>
              <w:jc w:val="center"/>
              <w:rPr>
                <w:color w:val="000000"/>
                <w:sz w:val="20"/>
                <w:szCs w:val="20"/>
              </w:rPr>
            </w:pPr>
            <w:r w:rsidRPr="0047440B">
              <w:rPr>
                <w:color w:val="000000"/>
                <w:sz w:val="20"/>
                <w:szCs w:val="20"/>
              </w:rPr>
              <w:t>7</w:t>
            </w:r>
          </w:p>
        </w:tc>
        <w:tc>
          <w:tcPr>
            <w:tcW w:w="816" w:type="dxa"/>
            <w:tcBorders>
              <w:top w:val="single" w:sz="4" w:space="0" w:color="auto"/>
              <w:left w:val="single" w:sz="4" w:space="0" w:color="auto"/>
              <w:bottom w:val="single" w:sz="4" w:space="0" w:color="auto"/>
              <w:right w:val="single" w:sz="4" w:space="0" w:color="auto"/>
            </w:tcBorders>
            <w:shd w:val="clear" w:color="auto" w:fill="auto"/>
            <w:noWrap/>
          </w:tcPr>
          <w:p w:rsidR="00B21B24" w:rsidRPr="0047440B" w:rsidRDefault="00B21B24" w:rsidP="00B21B24">
            <w:pPr>
              <w:jc w:val="center"/>
              <w:rPr>
                <w:color w:val="000000"/>
                <w:sz w:val="20"/>
                <w:szCs w:val="20"/>
              </w:rPr>
            </w:pPr>
            <w:r w:rsidRPr="0047440B">
              <w:rPr>
                <w:color w:val="000000"/>
                <w:sz w:val="20"/>
                <w:szCs w:val="20"/>
              </w:rPr>
              <w:t>8,50</w:t>
            </w:r>
          </w:p>
        </w:tc>
        <w:tc>
          <w:tcPr>
            <w:tcW w:w="792" w:type="dxa"/>
            <w:tcBorders>
              <w:top w:val="single" w:sz="4" w:space="0" w:color="auto"/>
              <w:left w:val="single" w:sz="4" w:space="0" w:color="auto"/>
              <w:bottom w:val="single" w:sz="4" w:space="0" w:color="auto"/>
              <w:right w:val="single" w:sz="4" w:space="0" w:color="auto"/>
            </w:tcBorders>
            <w:shd w:val="clear" w:color="auto" w:fill="auto"/>
            <w:noWrap/>
          </w:tcPr>
          <w:p w:rsidR="00B21B24" w:rsidRPr="0047440B" w:rsidRDefault="00B21B24" w:rsidP="00B21B24">
            <w:pPr>
              <w:jc w:val="center"/>
              <w:rPr>
                <w:color w:val="000000"/>
                <w:sz w:val="20"/>
                <w:szCs w:val="20"/>
              </w:rPr>
            </w:pPr>
            <w:r w:rsidRPr="0047440B">
              <w:rPr>
                <w:color w:val="000000"/>
                <w:sz w:val="20"/>
                <w:szCs w:val="20"/>
              </w:rPr>
              <w:t>8,50</w:t>
            </w:r>
          </w:p>
        </w:tc>
        <w:tc>
          <w:tcPr>
            <w:tcW w:w="1239" w:type="dxa"/>
            <w:tcBorders>
              <w:top w:val="single" w:sz="4" w:space="0" w:color="auto"/>
              <w:left w:val="single" w:sz="4" w:space="0" w:color="auto"/>
              <w:bottom w:val="single" w:sz="4" w:space="0" w:color="auto"/>
              <w:right w:val="single" w:sz="4" w:space="0" w:color="auto"/>
            </w:tcBorders>
            <w:shd w:val="clear" w:color="auto" w:fill="auto"/>
            <w:noWrap/>
          </w:tcPr>
          <w:p w:rsidR="00B21B24" w:rsidRPr="0047440B" w:rsidRDefault="00B21B24" w:rsidP="00B21B24">
            <w:pPr>
              <w:jc w:val="center"/>
              <w:rPr>
                <w:color w:val="000000"/>
                <w:sz w:val="20"/>
                <w:szCs w:val="20"/>
              </w:rPr>
            </w:pPr>
            <w:r w:rsidRPr="0047440B">
              <w:rPr>
                <w:color w:val="000000"/>
                <w:sz w:val="20"/>
                <w:szCs w:val="20"/>
              </w:rPr>
              <w:t>5</w:t>
            </w:r>
          </w:p>
        </w:tc>
        <w:tc>
          <w:tcPr>
            <w:tcW w:w="952" w:type="dxa"/>
            <w:tcBorders>
              <w:top w:val="single" w:sz="4" w:space="0" w:color="auto"/>
              <w:left w:val="single" w:sz="4" w:space="0" w:color="auto"/>
              <w:bottom w:val="single" w:sz="4" w:space="0" w:color="auto"/>
              <w:right w:val="single" w:sz="4" w:space="0" w:color="auto"/>
            </w:tcBorders>
            <w:shd w:val="clear" w:color="000000" w:fill="FFFFFF"/>
            <w:noWrap/>
          </w:tcPr>
          <w:p w:rsidR="00B21B24" w:rsidRPr="0047440B" w:rsidRDefault="00B21B24" w:rsidP="00B21B24">
            <w:pPr>
              <w:autoSpaceDE/>
              <w:autoSpaceDN/>
              <w:adjustRightInd/>
              <w:jc w:val="center"/>
              <w:rPr>
                <w:color w:val="000000"/>
                <w:sz w:val="20"/>
                <w:szCs w:val="20"/>
              </w:rPr>
            </w:pPr>
            <w:r w:rsidRPr="0047440B">
              <w:rPr>
                <w:color w:val="000000"/>
                <w:sz w:val="20"/>
                <w:szCs w:val="20"/>
              </w:rPr>
              <w:t>44 580</w:t>
            </w:r>
          </w:p>
        </w:tc>
        <w:tc>
          <w:tcPr>
            <w:tcW w:w="1121" w:type="dxa"/>
            <w:tcBorders>
              <w:top w:val="single" w:sz="4" w:space="0" w:color="auto"/>
              <w:left w:val="single" w:sz="4" w:space="0" w:color="auto"/>
              <w:bottom w:val="single" w:sz="4" w:space="0" w:color="auto"/>
              <w:right w:val="single" w:sz="4" w:space="0" w:color="auto"/>
            </w:tcBorders>
            <w:shd w:val="clear" w:color="000000" w:fill="FFFFFF"/>
            <w:noWrap/>
          </w:tcPr>
          <w:p w:rsidR="00B21B24" w:rsidRPr="0047440B" w:rsidRDefault="00B21B24" w:rsidP="00B21B24">
            <w:pPr>
              <w:autoSpaceDE/>
              <w:autoSpaceDN/>
              <w:adjustRightInd/>
              <w:jc w:val="center"/>
              <w:rPr>
                <w:color w:val="000000"/>
                <w:sz w:val="20"/>
                <w:szCs w:val="20"/>
              </w:rPr>
            </w:pPr>
            <w:r w:rsidRPr="0047440B">
              <w:rPr>
                <w:color w:val="000000"/>
                <w:sz w:val="20"/>
                <w:szCs w:val="20"/>
              </w:rPr>
              <w:t>6 369</w:t>
            </w:r>
          </w:p>
        </w:tc>
        <w:tc>
          <w:tcPr>
            <w:tcW w:w="1217" w:type="dxa"/>
            <w:tcBorders>
              <w:top w:val="single" w:sz="4" w:space="0" w:color="auto"/>
              <w:left w:val="single" w:sz="4" w:space="0" w:color="auto"/>
              <w:bottom w:val="single" w:sz="4" w:space="0" w:color="auto"/>
              <w:right w:val="single" w:sz="4" w:space="0" w:color="auto"/>
            </w:tcBorders>
            <w:shd w:val="clear" w:color="000000" w:fill="FFFFFF"/>
          </w:tcPr>
          <w:p w:rsidR="00B21B24" w:rsidRPr="0047440B" w:rsidRDefault="00B21B24" w:rsidP="00B21B24">
            <w:pPr>
              <w:autoSpaceDE/>
              <w:autoSpaceDN/>
              <w:adjustRightInd/>
              <w:jc w:val="center"/>
              <w:rPr>
                <w:color w:val="000000"/>
                <w:sz w:val="20"/>
                <w:szCs w:val="20"/>
              </w:rPr>
            </w:pPr>
            <w:r w:rsidRPr="0047440B">
              <w:rPr>
                <w:color w:val="000000"/>
                <w:sz w:val="20"/>
                <w:szCs w:val="20"/>
              </w:rPr>
              <w:t>1</w:t>
            </w:r>
          </w:p>
        </w:tc>
      </w:tr>
      <w:tr w:rsidR="00B21B24" w:rsidRPr="0047440B" w:rsidTr="007E4743">
        <w:trPr>
          <w:trHeight w:val="20"/>
          <w:jc w:val="center"/>
        </w:trPr>
        <w:tc>
          <w:tcPr>
            <w:tcW w:w="486" w:type="dxa"/>
            <w:tcBorders>
              <w:top w:val="single" w:sz="4" w:space="0" w:color="auto"/>
              <w:left w:val="single" w:sz="4" w:space="0" w:color="auto"/>
              <w:bottom w:val="single" w:sz="4" w:space="0" w:color="auto"/>
              <w:right w:val="single" w:sz="4" w:space="0" w:color="auto"/>
            </w:tcBorders>
            <w:shd w:val="clear" w:color="000000" w:fill="FFFFFF"/>
            <w:noWrap/>
            <w:hideMark/>
          </w:tcPr>
          <w:p w:rsidR="00B21B24" w:rsidRPr="0047440B" w:rsidRDefault="00B21B24" w:rsidP="00B21B24">
            <w:pPr>
              <w:autoSpaceDE/>
              <w:autoSpaceDN/>
              <w:adjustRightInd/>
              <w:jc w:val="center"/>
              <w:rPr>
                <w:color w:val="000000"/>
                <w:sz w:val="20"/>
                <w:szCs w:val="20"/>
              </w:rPr>
            </w:pPr>
            <w:r w:rsidRPr="0047440B">
              <w:rPr>
                <w:color w:val="000000"/>
                <w:sz w:val="20"/>
                <w:szCs w:val="20"/>
              </w:rPr>
              <w:t>8.</w:t>
            </w:r>
          </w:p>
        </w:tc>
        <w:tc>
          <w:tcPr>
            <w:tcW w:w="2917" w:type="dxa"/>
            <w:tcBorders>
              <w:top w:val="single" w:sz="4" w:space="0" w:color="auto"/>
              <w:left w:val="single" w:sz="4" w:space="0" w:color="auto"/>
              <w:bottom w:val="single" w:sz="4" w:space="0" w:color="auto"/>
              <w:right w:val="single" w:sz="4" w:space="0" w:color="auto"/>
            </w:tcBorders>
            <w:shd w:val="clear" w:color="auto" w:fill="auto"/>
          </w:tcPr>
          <w:p w:rsidR="00B21B24" w:rsidRPr="0047440B" w:rsidRDefault="00B21B24" w:rsidP="00B21B24">
            <w:pPr>
              <w:rPr>
                <w:color w:val="000000"/>
                <w:sz w:val="20"/>
                <w:szCs w:val="20"/>
              </w:rPr>
            </w:pPr>
            <w:r w:rsidRPr="0047440B">
              <w:rPr>
                <w:color w:val="000000"/>
                <w:sz w:val="20"/>
                <w:szCs w:val="20"/>
              </w:rPr>
              <w:t>ГАУЗ «Альметьевская поликлиника № 3»</w:t>
            </w:r>
          </w:p>
        </w:tc>
        <w:tc>
          <w:tcPr>
            <w:tcW w:w="12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21B24" w:rsidRPr="0047440B" w:rsidRDefault="00B21B24" w:rsidP="00B21B24">
            <w:pPr>
              <w:jc w:val="center"/>
              <w:rPr>
                <w:color w:val="000000"/>
                <w:sz w:val="20"/>
                <w:szCs w:val="20"/>
              </w:rPr>
            </w:pPr>
            <w:r w:rsidRPr="0047440B">
              <w:rPr>
                <w:color w:val="000000"/>
                <w:sz w:val="20"/>
                <w:szCs w:val="20"/>
              </w:rPr>
              <w:t>1</w:t>
            </w:r>
          </w:p>
        </w:tc>
        <w:tc>
          <w:tcPr>
            <w:tcW w:w="816" w:type="dxa"/>
            <w:tcBorders>
              <w:top w:val="single" w:sz="4" w:space="0" w:color="auto"/>
              <w:left w:val="single" w:sz="4" w:space="0" w:color="auto"/>
              <w:bottom w:val="single" w:sz="4" w:space="0" w:color="auto"/>
              <w:right w:val="single" w:sz="4" w:space="0" w:color="auto"/>
            </w:tcBorders>
            <w:shd w:val="clear" w:color="auto" w:fill="auto"/>
            <w:noWrap/>
          </w:tcPr>
          <w:p w:rsidR="00B21B24" w:rsidRPr="0047440B" w:rsidRDefault="00B21B24" w:rsidP="00B21B24">
            <w:pPr>
              <w:jc w:val="center"/>
              <w:rPr>
                <w:color w:val="000000"/>
                <w:sz w:val="20"/>
                <w:szCs w:val="20"/>
              </w:rPr>
            </w:pPr>
            <w:r w:rsidRPr="0047440B">
              <w:rPr>
                <w:color w:val="000000"/>
                <w:sz w:val="20"/>
                <w:szCs w:val="20"/>
              </w:rPr>
              <w:t>0,00</w:t>
            </w:r>
          </w:p>
        </w:tc>
        <w:tc>
          <w:tcPr>
            <w:tcW w:w="792" w:type="dxa"/>
            <w:tcBorders>
              <w:top w:val="single" w:sz="4" w:space="0" w:color="auto"/>
              <w:left w:val="single" w:sz="4" w:space="0" w:color="auto"/>
              <w:bottom w:val="single" w:sz="4" w:space="0" w:color="auto"/>
              <w:right w:val="single" w:sz="4" w:space="0" w:color="auto"/>
            </w:tcBorders>
            <w:shd w:val="clear" w:color="auto" w:fill="auto"/>
            <w:noWrap/>
          </w:tcPr>
          <w:p w:rsidR="00B21B24" w:rsidRPr="0047440B" w:rsidRDefault="00B21B24" w:rsidP="00B21B24">
            <w:pPr>
              <w:jc w:val="center"/>
              <w:rPr>
                <w:color w:val="000000"/>
                <w:sz w:val="20"/>
                <w:szCs w:val="20"/>
              </w:rPr>
            </w:pPr>
            <w:r w:rsidRPr="0047440B">
              <w:rPr>
                <w:color w:val="000000"/>
                <w:sz w:val="20"/>
                <w:szCs w:val="20"/>
              </w:rPr>
              <w:t>0,00</w:t>
            </w:r>
          </w:p>
        </w:tc>
        <w:tc>
          <w:tcPr>
            <w:tcW w:w="1239" w:type="dxa"/>
            <w:tcBorders>
              <w:top w:val="single" w:sz="4" w:space="0" w:color="auto"/>
              <w:left w:val="single" w:sz="4" w:space="0" w:color="auto"/>
              <w:bottom w:val="single" w:sz="4" w:space="0" w:color="auto"/>
              <w:right w:val="single" w:sz="4" w:space="0" w:color="auto"/>
            </w:tcBorders>
            <w:shd w:val="clear" w:color="auto" w:fill="auto"/>
            <w:noWrap/>
          </w:tcPr>
          <w:p w:rsidR="00B21B24" w:rsidRPr="0047440B" w:rsidRDefault="00B21B24" w:rsidP="00B21B24">
            <w:pPr>
              <w:jc w:val="center"/>
              <w:rPr>
                <w:color w:val="000000"/>
                <w:sz w:val="20"/>
                <w:szCs w:val="20"/>
              </w:rPr>
            </w:pPr>
            <w:r w:rsidRPr="0047440B">
              <w:rPr>
                <w:color w:val="000000"/>
                <w:sz w:val="20"/>
                <w:szCs w:val="20"/>
              </w:rPr>
              <w:t>0</w:t>
            </w:r>
          </w:p>
        </w:tc>
        <w:tc>
          <w:tcPr>
            <w:tcW w:w="952" w:type="dxa"/>
            <w:tcBorders>
              <w:top w:val="single" w:sz="4" w:space="0" w:color="auto"/>
              <w:left w:val="single" w:sz="4" w:space="0" w:color="auto"/>
              <w:bottom w:val="single" w:sz="4" w:space="0" w:color="auto"/>
              <w:right w:val="single" w:sz="4" w:space="0" w:color="auto"/>
            </w:tcBorders>
            <w:shd w:val="clear" w:color="000000" w:fill="FFFFFF"/>
            <w:noWrap/>
          </w:tcPr>
          <w:p w:rsidR="00B21B24" w:rsidRPr="0047440B" w:rsidRDefault="00B21B24" w:rsidP="00B21B24">
            <w:pPr>
              <w:autoSpaceDE/>
              <w:autoSpaceDN/>
              <w:adjustRightInd/>
              <w:jc w:val="center"/>
              <w:rPr>
                <w:color w:val="000000"/>
                <w:sz w:val="20"/>
                <w:szCs w:val="20"/>
              </w:rPr>
            </w:pPr>
            <w:r w:rsidRPr="0047440B">
              <w:rPr>
                <w:color w:val="000000"/>
                <w:sz w:val="20"/>
                <w:szCs w:val="20"/>
              </w:rPr>
              <w:t>10 257</w:t>
            </w:r>
          </w:p>
        </w:tc>
        <w:tc>
          <w:tcPr>
            <w:tcW w:w="1121" w:type="dxa"/>
            <w:tcBorders>
              <w:top w:val="single" w:sz="4" w:space="0" w:color="auto"/>
              <w:left w:val="single" w:sz="4" w:space="0" w:color="auto"/>
              <w:bottom w:val="single" w:sz="4" w:space="0" w:color="auto"/>
              <w:right w:val="single" w:sz="4" w:space="0" w:color="auto"/>
            </w:tcBorders>
            <w:shd w:val="clear" w:color="000000" w:fill="FFFFFF"/>
            <w:noWrap/>
          </w:tcPr>
          <w:p w:rsidR="00B21B24" w:rsidRPr="0047440B" w:rsidRDefault="00B21B24" w:rsidP="00B21B24">
            <w:pPr>
              <w:autoSpaceDE/>
              <w:autoSpaceDN/>
              <w:adjustRightInd/>
              <w:jc w:val="center"/>
              <w:rPr>
                <w:color w:val="000000"/>
                <w:sz w:val="20"/>
                <w:szCs w:val="20"/>
              </w:rPr>
            </w:pPr>
            <w:r w:rsidRPr="0047440B">
              <w:rPr>
                <w:color w:val="000000"/>
                <w:sz w:val="20"/>
                <w:szCs w:val="20"/>
              </w:rPr>
              <w:t>10 257</w:t>
            </w:r>
          </w:p>
        </w:tc>
        <w:tc>
          <w:tcPr>
            <w:tcW w:w="1217" w:type="dxa"/>
            <w:tcBorders>
              <w:top w:val="single" w:sz="4" w:space="0" w:color="auto"/>
              <w:left w:val="single" w:sz="4" w:space="0" w:color="auto"/>
              <w:bottom w:val="single" w:sz="4" w:space="0" w:color="auto"/>
              <w:right w:val="single" w:sz="4" w:space="0" w:color="auto"/>
            </w:tcBorders>
            <w:shd w:val="clear" w:color="000000" w:fill="FFFFFF"/>
          </w:tcPr>
          <w:p w:rsidR="00B21B24" w:rsidRPr="0047440B" w:rsidRDefault="00B21B24" w:rsidP="00B21B24">
            <w:pPr>
              <w:autoSpaceDE/>
              <w:autoSpaceDN/>
              <w:adjustRightInd/>
              <w:jc w:val="center"/>
              <w:rPr>
                <w:color w:val="000000"/>
                <w:sz w:val="20"/>
                <w:szCs w:val="20"/>
              </w:rPr>
            </w:pPr>
            <w:r w:rsidRPr="0047440B">
              <w:rPr>
                <w:color w:val="000000"/>
                <w:sz w:val="20"/>
                <w:szCs w:val="20"/>
              </w:rPr>
              <w:t>1</w:t>
            </w:r>
          </w:p>
        </w:tc>
      </w:tr>
      <w:tr w:rsidR="00B21B24" w:rsidRPr="0047440B" w:rsidTr="007E4743">
        <w:trPr>
          <w:trHeight w:val="20"/>
          <w:jc w:val="center"/>
        </w:trPr>
        <w:tc>
          <w:tcPr>
            <w:tcW w:w="486" w:type="dxa"/>
            <w:tcBorders>
              <w:top w:val="single" w:sz="4" w:space="0" w:color="auto"/>
              <w:left w:val="single" w:sz="4" w:space="0" w:color="auto"/>
              <w:bottom w:val="single" w:sz="4" w:space="0" w:color="auto"/>
              <w:right w:val="single" w:sz="4" w:space="0" w:color="auto"/>
            </w:tcBorders>
            <w:shd w:val="clear" w:color="000000" w:fill="FFFFFF"/>
            <w:noWrap/>
            <w:hideMark/>
          </w:tcPr>
          <w:p w:rsidR="00B21B24" w:rsidRPr="0047440B" w:rsidRDefault="00B21B24" w:rsidP="00B21B24">
            <w:pPr>
              <w:autoSpaceDE/>
              <w:autoSpaceDN/>
              <w:adjustRightInd/>
              <w:jc w:val="center"/>
              <w:rPr>
                <w:color w:val="000000"/>
                <w:sz w:val="20"/>
                <w:szCs w:val="20"/>
              </w:rPr>
            </w:pPr>
            <w:r w:rsidRPr="0047440B">
              <w:rPr>
                <w:color w:val="000000"/>
                <w:sz w:val="20"/>
                <w:szCs w:val="20"/>
              </w:rPr>
              <w:t>9.</w:t>
            </w:r>
          </w:p>
        </w:tc>
        <w:tc>
          <w:tcPr>
            <w:tcW w:w="2917" w:type="dxa"/>
            <w:tcBorders>
              <w:top w:val="single" w:sz="4" w:space="0" w:color="auto"/>
              <w:left w:val="single" w:sz="4" w:space="0" w:color="auto"/>
              <w:bottom w:val="single" w:sz="4" w:space="0" w:color="auto"/>
              <w:right w:val="single" w:sz="4" w:space="0" w:color="auto"/>
            </w:tcBorders>
            <w:shd w:val="clear" w:color="auto" w:fill="auto"/>
          </w:tcPr>
          <w:p w:rsidR="00B21B24" w:rsidRPr="0047440B" w:rsidRDefault="00B21B24" w:rsidP="00B21B24">
            <w:pPr>
              <w:rPr>
                <w:color w:val="000000"/>
                <w:sz w:val="20"/>
                <w:szCs w:val="20"/>
              </w:rPr>
            </w:pPr>
            <w:r w:rsidRPr="0047440B">
              <w:rPr>
                <w:color w:val="000000"/>
                <w:sz w:val="20"/>
                <w:szCs w:val="20"/>
              </w:rPr>
              <w:t>ГАУЗ «Альметьевская межрайонная многопрофильная больница»</w:t>
            </w:r>
          </w:p>
        </w:tc>
        <w:tc>
          <w:tcPr>
            <w:tcW w:w="1233" w:type="dxa"/>
            <w:tcBorders>
              <w:top w:val="single" w:sz="4" w:space="0" w:color="auto"/>
              <w:left w:val="single" w:sz="4" w:space="0" w:color="auto"/>
              <w:bottom w:val="single" w:sz="4" w:space="0" w:color="auto"/>
              <w:right w:val="single" w:sz="4" w:space="0" w:color="auto"/>
            </w:tcBorders>
            <w:shd w:val="clear" w:color="000000" w:fill="FFFFFF"/>
            <w:noWrap/>
          </w:tcPr>
          <w:p w:rsidR="00B21B24" w:rsidRPr="0047440B" w:rsidRDefault="00B21B24" w:rsidP="00B21B24">
            <w:pPr>
              <w:jc w:val="center"/>
              <w:rPr>
                <w:color w:val="000000"/>
                <w:sz w:val="20"/>
                <w:szCs w:val="20"/>
              </w:rPr>
            </w:pPr>
            <w:r w:rsidRPr="0047440B">
              <w:rPr>
                <w:color w:val="000000"/>
                <w:sz w:val="20"/>
                <w:szCs w:val="20"/>
              </w:rPr>
              <w:t>1</w:t>
            </w:r>
          </w:p>
        </w:tc>
        <w:tc>
          <w:tcPr>
            <w:tcW w:w="816" w:type="dxa"/>
            <w:tcBorders>
              <w:top w:val="single" w:sz="4" w:space="0" w:color="auto"/>
              <w:left w:val="single" w:sz="4" w:space="0" w:color="auto"/>
              <w:bottom w:val="single" w:sz="4" w:space="0" w:color="auto"/>
              <w:right w:val="single" w:sz="4" w:space="0" w:color="auto"/>
            </w:tcBorders>
            <w:shd w:val="clear" w:color="auto" w:fill="auto"/>
            <w:noWrap/>
          </w:tcPr>
          <w:p w:rsidR="00B21B24" w:rsidRPr="0047440B" w:rsidRDefault="00B21B24" w:rsidP="00B21B24">
            <w:pPr>
              <w:jc w:val="center"/>
              <w:rPr>
                <w:color w:val="000000"/>
                <w:sz w:val="20"/>
                <w:szCs w:val="20"/>
              </w:rPr>
            </w:pPr>
            <w:r w:rsidRPr="0047440B">
              <w:rPr>
                <w:color w:val="000000"/>
                <w:sz w:val="20"/>
                <w:szCs w:val="20"/>
              </w:rPr>
              <w:t>1,00</w:t>
            </w:r>
          </w:p>
        </w:tc>
        <w:tc>
          <w:tcPr>
            <w:tcW w:w="792" w:type="dxa"/>
            <w:tcBorders>
              <w:top w:val="single" w:sz="4" w:space="0" w:color="auto"/>
              <w:left w:val="single" w:sz="4" w:space="0" w:color="auto"/>
              <w:bottom w:val="single" w:sz="4" w:space="0" w:color="auto"/>
              <w:right w:val="single" w:sz="4" w:space="0" w:color="auto"/>
            </w:tcBorders>
            <w:shd w:val="clear" w:color="auto" w:fill="auto"/>
            <w:noWrap/>
          </w:tcPr>
          <w:p w:rsidR="00B21B24" w:rsidRPr="0047440B" w:rsidRDefault="00B21B24" w:rsidP="00B21B24">
            <w:pPr>
              <w:jc w:val="center"/>
              <w:rPr>
                <w:color w:val="000000"/>
                <w:sz w:val="20"/>
                <w:szCs w:val="20"/>
              </w:rPr>
            </w:pPr>
            <w:r w:rsidRPr="0047440B">
              <w:rPr>
                <w:color w:val="000000"/>
                <w:sz w:val="20"/>
                <w:szCs w:val="20"/>
              </w:rPr>
              <w:t>1,00</w:t>
            </w:r>
          </w:p>
        </w:tc>
        <w:tc>
          <w:tcPr>
            <w:tcW w:w="1239" w:type="dxa"/>
            <w:tcBorders>
              <w:top w:val="single" w:sz="4" w:space="0" w:color="auto"/>
              <w:left w:val="single" w:sz="4" w:space="0" w:color="auto"/>
              <w:bottom w:val="single" w:sz="4" w:space="0" w:color="auto"/>
              <w:right w:val="single" w:sz="4" w:space="0" w:color="auto"/>
            </w:tcBorders>
            <w:shd w:val="clear" w:color="auto" w:fill="auto"/>
            <w:noWrap/>
          </w:tcPr>
          <w:p w:rsidR="00B21B24" w:rsidRPr="0047440B" w:rsidRDefault="00B21B24" w:rsidP="00B21B24">
            <w:pPr>
              <w:jc w:val="center"/>
              <w:rPr>
                <w:color w:val="000000"/>
                <w:sz w:val="20"/>
                <w:szCs w:val="20"/>
              </w:rPr>
            </w:pPr>
            <w:r w:rsidRPr="0047440B">
              <w:rPr>
                <w:color w:val="000000"/>
                <w:sz w:val="20"/>
                <w:szCs w:val="20"/>
              </w:rPr>
              <w:t>1</w:t>
            </w:r>
          </w:p>
        </w:tc>
        <w:tc>
          <w:tcPr>
            <w:tcW w:w="952" w:type="dxa"/>
            <w:tcBorders>
              <w:top w:val="single" w:sz="4" w:space="0" w:color="auto"/>
              <w:left w:val="single" w:sz="4" w:space="0" w:color="auto"/>
              <w:bottom w:val="single" w:sz="4" w:space="0" w:color="auto"/>
              <w:right w:val="single" w:sz="4" w:space="0" w:color="auto"/>
            </w:tcBorders>
            <w:shd w:val="clear" w:color="000000" w:fill="FFFFFF"/>
            <w:noWrap/>
          </w:tcPr>
          <w:p w:rsidR="00B21B24" w:rsidRPr="0047440B" w:rsidRDefault="00B21B24" w:rsidP="00B21B24">
            <w:pPr>
              <w:autoSpaceDE/>
              <w:autoSpaceDN/>
              <w:adjustRightInd/>
              <w:jc w:val="center"/>
              <w:rPr>
                <w:color w:val="000000"/>
                <w:sz w:val="20"/>
                <w:szCs w:val="20"/>
              </w:rPr>
            </w:pPr>
            <w:r w:rsidRPr="0047440B">
              <w:rPr>
                <w:color w:val="000000"/>
                <w:sz w:val="20"/>
                <w:szCs w:val="20"/>
              </w:rPr>
              <w:t>12 684</w:t>
            </w:r>
          </w:p>
        </w:tc>
        <w:tc>
          <w:tcPr>
            <w:tcW w:w="1121" w:type="dxa"/>
            <w:tcBorders>
              <w:top w:val="single" w:sz="4" w:space="0" w:color="auto"/>
              <w:left w:val="single" w:sz="4" w:space="0" w:color="auto"/>
              <w:bottom w:val="single" w:sz="4" w:space="0" w:color="auto"/>
              <w:right w:val="single" w:sz="4" w:space="0" w:color="auto"/>
            </w:tcBorders>
            <w:shd w:val="clear" w:color="000000" w:fill="FFFFFF"/>
            <w:noWrap/>
          </w:tcPr>
          <w:p w:rsidR="00B21B24" w:rsidRPr="0047440B" w:rsidRDefault="00B21B24" w:rsidP="00B21B24">
            <w:pPr>
              <w:autoSpaceDE/>
              <w:autoSpaceDN/>
              <w:adjustRightInd/>
              <w:jc w:val="center"/>
              <w:rPr>
                <w:color w:val="000000"/>
                <w:sz w:val="20"/>
                <w:szCs w:val="20"/>
              </w:rPr>
            </w:pPr>
            <w:r w:rsidRPr="0047440B">
              <w:rPr>
                <w:color w:val="000000"/>
                <w:sz w:val="20"/>
                <w:szCs w:val="20"/>
              </w:rPr>
              <w:t>12 684</w:t>
            </w:r>
          </w:p>
        </w:tc>
        <w:tc>
          <w:tcPr>
            <w:tcW w:w="1217" w:type="dxa"/>
            <w:tcBorders>
              <w:top w:val="single" w:sz="4" w:space="0" w:color="auto"/>
              <w:left w:val="single" w:sz="4" w:space="0" w:color="auto"/>
              <w:bottom w:val="single" w:sz="4" w:space="0" w:color="auto"/>
              <w:right w:val="single" w:sz="4" w:space="0" w:color="auto"/>
            </w:tcBorders>
            <w:shd w:val="clear" w:color="000000" w:fill="FFFFFF"/>
          </w:tcPr>
          <w:p w:rsidR="00B21B24" w:rsidRPr="0047440B" w:rsidRDefault="00B21B24" w:rsidP="00B21B24">
            <w:pPr>
              <w:autoSpaceDE/>
              <w:autoSpaceDN/>
              <w:adjustRightInd/>
              <w:jc w:val="center"/>
              <w:rPr>
                <w:color w:val="000000"/>
                <w:sz w:val="20"/>
                <w:szCs w:val="20"/>
              </w:rPr>
            </w:pPr>
            <w:r w:rsidRPr="0047440B">
              <w:rPr>
                <w:color w:val="000000"/>
                <w:sz w:val="20"/>
                <w:szCs w:val="20"/>
              </w:rPr>
              <w:t>1</w:t>
            </w:r>
          </w:p>
        </w:tc>
      </w:tr>
      <w:tr w:rsidR="00B21B24" w:rsidRPr="0047440B" w:rsidTr="007E4743">
        <w:trPr>
          <w:trHeight w:val="20"/>
          <w:jc w:val="center"/>
        </w:trPr>
        <w:tc>
          <w:tcPr>
            <w:tcW w:w="486" w:type="dxa"/>
            <w:tcBorders>
              <w:top w:val="single" w:sz="4" w:space="0" w:color="auto"/>
              <w:left w:val="single" w:sz="4" w:space="0" w:color="auto"/>
              <w:bottom w:val="single" w:sz="4" w:space="0" w:color="auto"/>
              <w:right w:val="single" w:sz="4" w:space="0" w:color="auto"/>
            </w:tcBorders>
            <w:shd w:val="clear" w:color="000000" w:fill="FFFFFF"/>
            <w:noWrap/>
            <w:hideMark/>
          </w:tcPr>
          <w:p w:rsidR="00B21B24" w:rsidRPr="0047440B" w:rsidRDefault="00B21B24" w:rsidP="00B21B24">
            <w:pPr>
              <w:autoSpaceDE/>
              <w:autoSpaceDN/>
              <w:adjustRightInd/>
              <w:jc w:val="center"/>
              <w:rPr>
                <w:color w:val="000000"/>
                <w:sz w:val="20"/>
                <w:szCs w:val="20"/>
              </w:rPr>
            </w:pPr>
            <w:r w:rsidRPr="0047440B">
              <w:rPr>
                <w:color w:val="000000"/>
                <w:sz w:val="20"/>
                <w:szCs w:val="20"/>
              </w:rPr>
              <w:t>10.</w:t>
            </w:r>
          </w:p>
        </w:tc>
        <w:tc>
          <w:tcPr>
            <w:tcW w:w="2917" w:type="dxa"/>
            <w:tcBorders>
              <w:top w:val="single" w:sz="4" w:space="0" w:color="auto"/>
              <w:left w:val="single" w:sz="4" w:space="0" w:color="auto"/>
              <w:bottom w:val="single" w:sz="4" w:space="0" w:color="auto"/>
              <w:right w:val="single" w:sz="4" w:space="0" w:color="auto"/>
            </w:tcBorders>
            <w:shd w:val="clear" w:color="auto" w:fill="auto"/>
          </w:tcPr>
          <w:p w:rsidR="00B21B24" w:rsidRPr="0047440B" w:rsidRDefault="00B21B24" w:rsidP="00B21B24">
            <w:pPr>
              <w:rPr>
                <w:color w:val="000000"/>
                <w:sz w:val="20"/>
                <w:szCs w:val="20"/>
              </w:rPr>
            </w:pPr>
            <w:r w:rsidRPr="0047440B">
              <w:rPr>
                <w:color w:val="000000"/>
                <w:sz w:val="20"/>
                <w:szCs w:val="20"/>
              </w:rPr>
              <w:t>ГАУЗ «Арская ЦРБ»</w:t>
            </w:r>
          </w:p>
        </w:tc>
        <w:tc>
          <w:tcPr>
            <w:tcW w:w="12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21B24" w:rsidRPr="0047440B" w:rsidRDefault="00B21B24" w:rsidP="00B21B24">
            <w:pPr>
              <w:jc w:val="center"/>
              <w:rPr>
                <w:color w:val="000000"/>
                <w:sz w:val="20"/>
                <w:szCs w:val="20"/>
              </w:rPr>
            </w:pPr>
            <w:r w:rsidRPr="0047440B">
              <w:rPr>
                <w:color w:val="000000"/>
                <w:sz w:val="20"/>
                <w:szCs w:val="20"/>
              </w:rPr>
              <w:t>2</w:t>
            </w:r>
          </w:p>
        </w:tc>
        <w:tc>
          <w:tcPr>
            <w:tcW w:w="816" w:type="dxa"/>
            <w:tcBorders>
              <w:top w:val="single" w:sz="4" w:space="0" w:color="auto"/>
              <w:left w:val="single" w:sz="4" w:space="0" w:color="auto"/>
              <w:bottom w:val="single" w:sz="4" w:space="0" w:color="auto"/>
              <w:right w:val="single" w:sz="4" w:space="0" w:color="auto"/>
            </w:tcBorders>
            <w:shd w:val="clear" w:color="auto" w:fill="auto"/>
            <w:noWrap/>
          </w:tcPr>
          <w:p w:rsidR="00B21B24" w:rsidRPr="0047440B" w:rsidRDefault="00B21B24" w:rsidP="00B21B24">
            <w:pPr>
              <w:jc w:val="center"/>
              <w:rPr>
                <w:color w:val="000000"/>
                <w:sz w:val="20"/>
                <w:szCs w:val="20"/>
              </w:rPr>
            </w:pPr>
            <w:r w:rsidRPr="0047440B">
              <w:rPr>
                <w:color w:val="000000"/>
                <w:sz w:val="20"/>
                <w:szCs w:val="20"/>
              </w:rPr>
              <w:t>3,00</w:t>
            </w:r>
          </w:p>
        </w:tc>
        <w:tc>
          <w:tcPr>
            <w:tcW w:w="792" w:type="dxa"/>
            <w:tcBorders>
              <w:top w:val="single" w:sz="4" w:space="0" w:color="auto"/>
              <w:left w:val="single" w:sz="4" w:space="0" w:color="auto"/>
              <w:bottom w:val="single" w:sz="4" w:space="0" w:color="auto"/>
              <w:right w:val="single" w:sz="4" w:space="0" w:color="auto"/>
            </w:tcBorders>
            <w:shd w:val="clear" w:color="auto" w:fill="auto"/>
            <w:noWrap/>
          </w:tcPr>
          <w:p w:rsidR="00B21B24" w:rsidRPr="0047440B" w:rsidRDefault="00B21B24" w:rsidP="00B21B24">
            <w:pPr>
              <w:jc w:val="center"/>
              <w:rPr>
                <w:color w:val="000000"/>
                <w:sz w:val="20"/>
                <w:szCs w:val="20"/>
              </w:rPr>
            </w:pPr>
            <w:r w:rsidRPr="0047440B">
              <w:rPr>
                <w:color w:val="000000"/>
                <w:sz w:val="20"/>
                <w:szCs w:val="20"/>
              </w:rPr>
              <w:t>3,00</w:t>
            </w:r>
          </w:p>
        </w:tc>
        <w:tc>
          <w:tcPr>
            <w:tcW w:w="1239" w:type="dxa"/>
            <w:tcBorders>
              <w:top w:val="single" w:sz="4" w:space="0" w:color="auto"/>
              <w:left w:val="single" w:sz="4" w:space="0" w:color="auto"/>
              <w:bottom w:val="single" w:sz="4" w:space="0" w:color="auto"/>
              <w:right w:val="single" w:sz="4" w:space="0" w:color="auto"/>
            </w:tcBorders>
            <w:shd w:val="clear" w:color="auto" w:fill="auto"/>
            <w:noWrap/>
          </w:tcPr>
          <w:p w:rsidR="00B21B24" w:rsidRPr="0047440B" w:rsidRDefault="00B21B24" w:rsidP="00B21B24">
            <w:pPr>
              <w:jc w:val="center"/>
              <w:rPr>
                <w:color w:val="000000"/>
                <w:sz w:val="20"/>
                <w:szCs w:val="20"/>
              </w:rPr>
            </w:pPr>
            <w:r w:rsidRPr="0047440B">
              <w:rPr>
                <w:color w:val="000000"/>
                <w:sz w:val="20"/>
                <w:szCs w:val="20"/>
              </w:rPr>
              <w:t>3</w:t>
            </w:r>
          </w:p>
        </w:tc>
        <w:tc>
          <w:tcPr>
            <w:tcW w:w="952" w:type="dxa"/>
            <w:tcBorders>
              <w:top w:val="single" w:sz="4" w:space="0" w:color="auto"/>
              <w:left w:val="single" w:sz="4" w:space="0" w:color="auto"/>
              <w:bottom w:val="single" w:sz="4" w:space="0" w:color="auto"/>
              <w:right w:val="single" w:sz="4" w:space="0" w:color="auto"/>
            </w:tcBorders>
            <w:shd w:val="clear" w:color="000000" w:fill="FFFFFF"/>
            <w:noWrap/>
          </w:tcPr>
          <w:p w:rsidR="00B21B24" w:rsidRPr="0047440B" w:rsidRDefault="00B21B24" w:rsidP="00B21B24">
            <w:pPr>
              <w:autoSpaceDE/>
              <w:autoSpaceDN/>
              <w:adjustRightInd/>
              <w:jc w:val="center"/>
              <w:rPr>
                <w:color w:val="000000"/>
                <w:sz w:val="20"/>
                <w:szCs w:val="20"/>
              </w:rPr>
            </w:pPr>
            <w:r w:rsidRPr="0047440B">
              <w:rPr>
                <w:color w:val="000000"/>
                <w:sz w:val="20"/>
                <w:szCs w:val="20"/>
              </w:rPr>
              <w:t>21 225</w:t>
            </w:r>
          </w:p>
        </w:tc>
        <w:tc>
          <w:tcPr>
            <w:tcW w:w="1121" w:type="dxa"/>
            <w:tcBorders>
              <w:top w:val="single" w:sz="4" w:space="0" w:color="auto"/>
              <w:left w:val="single" w:sz="4" w:space="0" w:color="auto"/>
              <w:bottom w:val="single" w:sz="4" w:space="0" w:color="auto"/>
              <w:right w:val="single" w:sz="4" w:space="0" w:color="auto"/>
            </w:tcBorders>
            <w:shd w:val="clear" w:color="000000" w:fill="FFFFFF"/>
            <w:noWrap/>
          </w:tcPr>
          <w:p w:rsidR="00B21B24" w:rsidRPr="0047440B" w:rsidRDefault="00B21B24" w:rsidP="00B21B24">
            <w:pPr>
              <w:autoSpaceDE/>
              <w:autoSpaceDN/>
              <w:adjustRightInd/>
              <w:jc w:val="center"/>
              <w:rPr>
                <w:color w:val="000000"/>
                <w:sz w:val="20"/>
                <w:szCs w:val="20"/>
              </w:rPr>
            </w:pPr>
            <w:r w:rsidRPr="0047440B">
              <w:rPr>
                <w:color w:val="000000"/>
                <w:sz w:val="20"/>
                <w:szCs w:val="20"/>
              </w:rPr>
              <w:t>10 613</w:t>
            </w:r>
          </w:p>
        </w:tc>
        <w:tc>
          <w:tcPr>
            <w:tcW w:w="1217" w:type="dxa"/>
            <w:tcBorders>
              <w:top w:val="single" w:sz="4" w:space="0" w:color="auto"/>
              <w:left w:val="single" w:sz="4" w:space="0" w:color="auto"/>
              <w:bottom w:val="single" w:sz="4" w:space="0" w:color="auto"/>
              <w:right w:val="single" w:sz="4" w:space="0" w:color="auto"/>
            </w:tcBorders>
            <w:shd w:val="clear" w:color="000000" w:fill="FFFFFF"/>
          </w:tcPr>
          <w:p w:rsidR="00B21B24" w:rsidRPr="0047440B" w:rsidRDefault="00B21B24" w:rsidP="00B21B24">
            <w:pPr>
              <w:autoSpaceDE/>
              <w:autoSpaceDN/>
              <w:adjustRightInd/>
              <w:jc w:val="center"/>
              <w:rPr>
                <w:color w:val="000000"/>
                <w:sz w:val="20"/>
                <w:szCs w:val="20"/>
              </w:rPr>
            </w:pPr>
            <w:r w:rsidRPr="0047440B">
              <w:rPr>
                <w:color w:val="000000"/>
                <w:sz w:val="20"/>
                <w:szCs w:val="20"/>
              </w:rPr>
              <w:t>1</w:t>
            </w:r>
          </w:p>
        </w:tc>
      </w:tr>
      <w:tr w:rsidR="00B21B24" w:rsidRPr="0047440B" w:rsidTr="007E4743">
        <w:trPr>
          <w:trHeight w:val="20"/>
          <w:jc w:val="center"/>
        </w:trPr>
        <w:tc>
          <w:tcPr>
            <w:tcW w:w="486" w:type="dxa"/>
            <w:tcBorders>
              <w:top w:val="single" w:sz="4" w:space="0" w:color="auto"/>
              <w:left w:val="single" w:sz="4" w:space="0" w:color="auto"/>
              <w:bottom w:val="single" w:sz="4" w:space="0" w:color="auto"/>
              <w:right w:val="single" w:sz="4" w:space="0" w:color="auto"/>
            </w:tcBorders>
            <w:shd w:val="clear" w:color="000000" w:fill="FFFFFF"/>
            <w:noWrap/>
            <w:hideMark/>
          </w:tcPr>
          <w:p w:rsidR="00B21B24" w:rsidRPr="0047440B" w:rsidRDefault="00B21B24" w:rsidP="00B21B24">
            <w:pPr>
              <w:autoSpaceDE/>
              <w:autoSpaceDN/>
              <w:adjustRightInd/>
              <w:jc w:val="center"/>
              <w:rPr>
                <w:color w:val="000000"/>
                <w:sz w:val="20"/>
                <w:szCs w:val="20"/>
              </w:rPr>
            </w:pPr>
            <w:r w:rsidRPr="0047440B">
              <w:rPr>
                <w:color w:val="000000"/>
                <w:sz w:val="20"/>
                <w:szCs w:val="20"/>
              </w:rPr>
              <w:t>11.</w:t>
            </w:r>
          </w:p>
        </w:tc>
        <w:tc>
          <w:tcPr>
            <w:tcW w:w="2917" w:type="dxa"/>
            <w:tcBorders>
              <w:top w:val="single" w:sz="4" w:space="0" w:color="auto"/>
              <w:left w:val="single" w:sz="4" w:space="0" w:color="auto"/>
              <w:bottom w:val="single" w:sz="4" w:space="0" w:color="auto"/>
              <w:right w:val="single" w:sz="4" w:space="0" w:color="auto"/>
            </w:tcBorders>
            <w:shd w:val="clear" w:color="auto" w:fill="auto"/>
          </w:tcPr>
          <w:p w:rsidR="00B21B24" w:rsidRPr="0047440B" w:rsidRDefault="00B21B24" w:rsidP="00B21B24">
            <w:pPr>
              <w:rPr>
                <w:color w:val="000000"/>
                <w:sz w:val="20"/>
                <w:szCs w:val="20"/>
              </w:rPr>
            </w:pPr>
            <w:r w:rsidRPr="0047440B">
              <w:rPr>
                <w:color w:val="000000"/>
                <w:sz w:val="20"/>
                <w:szCs w:val="20"/>
              </w:rPr>
              <w:t>ГАУЗ «Балтасинская ЦРБ»</w:t>
            </w:r>
          </w:p>
        </w:tc>
        <w:tc>
          <w:tcPr>
            <w:tcW w:w="12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21B24" w:rsidRPr="0047440B" w:rsidRDefault="00B21B24" w:rsidP="00B21B24">
            <w:pPr>
              <w:jc w:val="center"/>
              <w:rPr>
                <w:color w:val="000000"/>
                <w:sz w:val="20"/>
                <w:szCs w:val="20"/>
              </w:rPr>
            </w:pPr>
            <w:r w:rsidRPr="0047440B">
              <w:rPr>
                <w:color w:val="000000"/>
                <w:sz w:val="20"/>
                <w:szCs w:val="20"/>
              </w:rPr>
              <w:t>2</w:t>
            </w:r>
          </w:p>
        </w:tc>
        <w:tc>
          <w:tcPr>
            <w:tcW w:w="816" w:type="dxa"/>
            <w:tcBorders>
              <w:top w:val="single" w:sz="4" w:space="0" w:color="auto"/>
              <w:left w:val="single" w:sz="4" w:space="0" w:color="auto"/>
              <w:bottom w:val="single" w:sz="4" w:space="0" w:color="auto"/>
              <w:right w:val="single" w:sz="4" w:space="0" w:color="auto"/>
            </w:tcBorders>
            <w:shd w:val="clear" w:color="auto" w:fill="auto"/>
            <w:noWrap/>
          </w:tcPr>
          <w:p w:rsidR="00B21B24" w:rsidRPr="0047440B" w:rsidRDefault="00B21B24" w:rsidP="00B21B24">
            <w:pPr>
              <w:jc w:val="center"/>
              <w:rPr>
                <w:color w:val="000000"/>
                <w:sz w:val="20"/>
                <w:szCs w:val="20"/>
              </w:rPr>
            </w:pPr>
            <w:r w:rsidRPr="0047440B">
              <w:rPr>
                <w:color w:val="000000"/>
                <w:sz w:val="20"/>
                <w:szCs w:val="20"/>
              </w:rPr>
              <w:t>2,00</w:t>
            </w:r>
          </w:p>
        </w:tc>
        <w:tc>
          <w:tcPr>
            <w:tcW w:w="792" w:type="dxa"/>
            <w:tcBorders>
              <w:top w:val="single" w:sz="4" w:space="0" w:color="auto"/>
              <w:left w:val="single" w:sz="4" w:space="0" w:color="auto"/>
              <w:bottom w:val="single" w:sz="4" w:space="0" w:color="auto"/>
              <w:right w:val="single" w:sz="4" w:space="0" w:color="auto"/>
            </w:tcBorders>
            <w:shd w:val="clear" w:color="auto" w:fill="auto"/>
            <w:noWrap/>
          </w:tcPr>
          <w:p w:rsidR="00B21B24" w:rsidRPr="0047440B" w:rsidRDefault="00B21B24" w:rsidP="00B21B24">
            <w:pPr>
              <w:jc w:val="center"/>
              <w:rPr>
                <w:color w:val="000000"/>
                <w:sz w:val="20"/>
                <w:szCs w:val="20"/>
              </w:rPr>
            </w:pPr>
            <w:r w:rsidRPr="0047440B">
              <w:rPr>
                <w:color w:val="000000"/>
                <w:sz w:val="20"/>
                <w:szCs w:val="20"/>
              </w:rPr>
              <w:t>2,00</w:t>
            </w:r>
          </w:p>
        </w:tc>
        <w:tc>
          <w:tcPr>
            <w:tcW w:w="1239" w:type="dxa"/>
            <w:tcBorders>
              <w:top w:val="single" w:sz="4" w:space="0" w:color="auto"/>
              <w:left w:val="single" w:sz="4" w:space="0" w:color="auto"/>
              <w:bottom w:val="single" w:sz="4" w:space="0" w:color="auto"/>
              <w:right w:val="single" w:sz="4" w:space="0" w:color="auto"/>
            </w:tcBorders>
            <w:shd w:val="clear" w:color="auto" w:fill="auto"/>
            <w:noWrap/>
          </w:tcPr>
          <w:p w:rsidR="00B21B24" w:rsidRPr="0047440B" w:rsidRDefault="00B21B24" w:rsidP="00B21B24">
            <w:pPr>
              <w:jc w:val="center"/>
              <w:rPr>
                <w:color w:val="000000"/>
                <w:sz w:val="20"/>
                <w:szCs w:val="20"/>
              </w:rPr>
            </w:pPr>
            <w:r w:rsidRPr="0047440B">
              <w:rPr>
                <w:color w:val="000000"/>
                <w:sz w:val="20"/>
                <w:szCs w:val="20"/>
              </w:rPr>
              <w:t>2</w:t>
            </w:r>
          </w:p>
        </w:tc>
        <w:tc>
          <w:tcPr>
            <w:tcW w:w="952" w:type="dxa"/>
            <w:tcBorders>
              <w:top w:val="single" w:sz="4" w:space="0" w:color="auto"/>
              <w:left w:val="single" w:sz="4" w:space="0" w:color="auto"/>
              <w:bottom w:val="single" w:sz="4" w:space="0" w:color="auto"/>
              <w:right w:val="single" w:sz="4" w:space="0" w:color="auto"/>
            </w:tcBorders>
            <w:shd w:val="clear" w:color="000000" w:fill="FFFFFF"/>
            <w:noWrap/>
          </w:tcPr>
          <w:p w:rsidR="00B21B24" w:rsidRPr="0047440B" w:rsidRDefault="00B21B24" w:rsidP="00B21B24">
            <w:pPr>
              <w:autoSpaceDE/>
              <w:autoSpaceDN/>
              <w:adjustRightInd/>
              <w:jc w:val="center"/>
              <w:rPr>
                <w:color w:val="000000"/>
                <w:sz w:val="20"/>
                <w:szCs w:val="20"/>
              </w:rPr>
            </w:pPr>
            <w:r w:rsidRPr="0047440B">
              <w:rPr>
                <w:color w:val="000000"/>
                <w:sz w:val="20"/>
                <w:szCs w:val="20"/>
              </w:rPr>
              <w:t>16 883</w:t>
            </w:r>
          </w:p>
        </w:tc>
        <w:tc>
          <w:tcPr>
            <w:tcW w:w="1121" w:type="dxa"/>
            <w:tcBorders>
              <w:top w:val="single" w:sz="4" w:space="0" w:color="auto"/>
              <w:left w:val="single" w:sz="4" w:space="0" w:color="auto"/>
              <w:bottom w:val="single" w:sz="4" w:space="0" w:color="auto"/>
              <w:right w:val="single" w:sz="4" w:space="0" w:color="auto"/>
            </w:tcBorders>
            <w:shd w:val="clear" w:color="000000" w:fill="FFFFFF"/>
            <w:noWrap/>
          </w:tcPr>
          <w:p w:rsidR="00B21B24" w:rsidRPr="0047440B" w:rsidRDefault="00B21B24" w:rsidP="00B21B24">
            <w:pPr>
              <w:autoSpaceDE/>
              <w:autoSpaceDN/>
              <w:adjustRightInd/>
              <w:jc w:val="center"/>
              <w:rPr>
                <w:color w:val="000000"/>
                <w:sz w:val="20"/>
                <w:szCs w:val="20"/>
              </w:rPr>
            </w:pPr>
            <w:r w:rsidRPr="0047440B">
              <w:rPr>
                <w:color w:val="000000"/>
                <w:sz w:val="20"/>
                <w:szCs w:val="20"/>
              </w:rPr>
              <w:t>8 442</w:t>
            </w:r>
          </w:p>
        </w:tc>
        <w:tc>
          <w:tcPr>
            <w:tcW w:w="1217" w:type="dxa"/>
            <w:tcBorders>
              <w:top w:val="single" w:sz="4" w:space="0" w:color="auto"/>
              <w:left w:val="single" w:sz="4" w:space="0" w:color="auto"/>
              <w:bottom w:val="single" w:sz="4" w:space="0" w:color="auto"/>
              <w:right w:val="single" w:sz="4" w:space="0" w:color="auto"/>
            </w:tcBorders>
            <w:shd w:val="clear" w:color="000000" w:fill="FFFFFF"/>
          </w:tcPr>
          <w:p w:rsidR="00B21B24" w:rsidRPr="0047440B" w:rsidRDefault="00B21B24" w:rsidP="00B21B24">
            <w:pPr>
              <w:autoSpaceDE/>
              <w:autoSpaceDN/>
              <w:adjustRightInd/>
              <w:jc w:val="center"/>
              <w:rPr>
                <w:color w:val="000000"/>
                <w:sz w:val="20"/>
                <w:szCs w:val="20"/>
              </w:rPr>
            </w:pPr>
            <w:r w:rsidRPr="0047440B">
              <w:rPr>
                <w:color w:val="000000"/>
                <w:sz w:val="20"/>
                <w:szCs w:val="20"/>
              </w:rPr>
              <w:t>1</w:t>
            </w:r>
          </w:p>
        </w:tc>
      </w:tr>
      <w:tr w:rsidR="00B21B24" w:rsidRPr="0047440B" w:rsidTr="007E4743">
        <w:trPr>
          <w:trHeight w:val="20"/>
          <w:jc w:val="center"/>
        </w:trPr>
        <w:tc>
          <w:tcPr>
            <w:tcW w:w="486" w:type="dxa"/>
            <w:tcBorders>
              <w:top w:val="single" w:sz="4" w:space="0" w:color="auto"/>
              <w:left w:val="single" w:sz="4" w:space="0" w:color="auto"/>
              <w:bottom w:val="single" w:sz="4" w:space="0" w:color="auto"/>
              <w:right w:val="single" w:sz="4" w:space="0" w:color="auto"/>
            </w:tcBorders>
            <w:shd w:val="clear" w:color="000000" w:fill="FFFFFF"/>
            <w:noWrap/>
            <w:hideMark/>
          </w:tcPr>
          <w:p w:rsidR="00B21B24" w:rsidRPr="0047440B" w:rsidRDefault="00B21B24" w:rsidP="00B21B24">
            <w:pPr>
              <w:autoSpaceDE/>
              <w:autoSpaceDN/>
              <w:adjustRightInd/>
              <w:jc w:val="center"/>
              <w:rPr>
                <w:color w:val="000000"/>
                <w:sz w:val="20"/>
                <w:szCs w:val="20"/>
              </w:rPr>
            </w:pPr>
            <w:r w:rsidRPr="0047440B">
              <w:rPr>
                <w:color w:val="000000"/>
                <w:sz w:val="20"/>
                <w:szCs w:val="20"/>
              </w:rPr>
              <w:t>12.</w:t>
            </w:r>
          </w:p>
        </w:tc>
        <w:tc>
          <w:tcPr>
            <w:tcW w:w="2917" w:type="dxa"/>
            <w:tcBorders>
              <w:top w:val="single" w:sz="4" w:space="0" w:color="auto"/>
              <w:left w:val="single" w:sz="4" w:space="0" w:color="auto"/>
              <w:bottom w:val="single" w:sz="4" w:space="0" w:color="auto"/>
              <w:right w:val="single" w:sz="4" w:space="0" w:color="auto"/>
            </w:tcBorders>
            <w:shd w:val="clear" w:color="auto" w:fill="auto"/>
          </w:tcPr>
          <w:p w:rsidR="00B21B24" w:rsidRPr="0047440B" w:rsidRDefault="00B21B24" w:rsidP="00B21B24">
            <w:pPr>
              <w:rPr>
                <w:color w:val="000000"/>
                <w:sz w:val="20"/>
                <w:szCs w:val="20"/>
              </w:rPr>
            </w:pPr>
            <w:r w:rsidRPr="0047440B">
              <w:rPr>
                <w:color w:val="000000"/>
                <w:sz w:val="20"/>
                <w:szCs w:val="20"/>
              </w:rPr>
              <w:t>ГАУЗ «Бугульминская ЦРБ»</w:t>
            </w:r>
          </w:p>
        </w:tc>
        <w:tc>
          <w:tcPr>
            <w:tcW w:w="12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21B24" w:rsidRPr="0047440B" w:rsidRDefault="00B21B24" w:rsidP="00B21B24">
            <w:pPr>
              <w:jc w:val="center"/>
              <w:rPr>
                <w:color w:val="000000"/>
                <w:sz w:val="20"/>
                <w:szCs w:val="20"/>
              </w:rPr>
            </w:pPr>
            <w:r w:rsidRPr="0047440B">
              <w:rPr>
                <w:color w:val="000000"/>
                <w:sz w:val="20"/>
                <w:szCs w:val="20"/>
              </w:rPr>
              <w:t>2</w:t>
            </w:r>
          </w:p>
        </w:tc>
        <w:tc>
          <w:tcPr>
            <w:tcW w:w="816" w:type="dxa"/>
            <w:tcBorders>
              <w:top w:val="single" w:sz="4" w:space="0" w:color="auto"/>
              <w:left w:val="single" w:sz="4" w:space="0" w:color="auto"/>
              <w:bottom w:val="single" w:sz="4" w:space="0" w:color="auto"/>
              <w:right w:val="single" w:sz="4" w:space="0" w:color="auto"/>
            </w:tcBorders>
            <w:shd w:val="clear" w:color="auto" w:fill="auto"/>
            <w:noWrap/>
          </w:tcPr>
          <w:p w:rsidR="00B21B24" w:rsidRPr="0047440B" w:rsidRDefault="00B21B24" w:rsidP="00B21B24">
            <w:pPr>
              <w:jc w:val="center"/>
              <w:rPr>
                <w:color w:val="000000"/>
                <w:sz w:val="20"/>
                <w:szCs w:val="20"/>
              </w:rPr>
            </w:pPr>
            <w:r w:rsidRPr="0047440B">
              <w:rPr>
                <w:color w:val="000000"/>
                <w:sz w:val="20"/>
                <w:szCs w:val="20"/>
              </w:rPr>
              <w:t>3,00</w:t>
            </w:r>
          </w:p>
        </w:tc>
        <w:tc>
          <w:tcPr>
            <w:tcW w:w="792" w:type="dxa"/>
            <w:tcBorders>
              <w:top w:val="single" w:sz="4" w:space="0" w:color="auto"/>
              <w:left w:val="single" w:sz="4" w:space="0" w:color="auto"/>
              <w:bottom w:val="single" w:sz="4" w:space="0" w:color="auto"/>
              <w:right w:val="single" w:sz="4" w:space="0" w:color="auto"/>
            </w:tcBorders>
            <w:shd w:val="clear" w:color="auto" w:fill="auto"/>
            <w:noWrap/>
          </w:tcPr>
          <w:p w:rsidR="00B21B24" w:rsidRPr="0047440B" w:rsidRDefault="00B21B24" w:rsidP="00B21B24">
            <w:pPr>
              <w:jc w:val="center"/>
              <w:rPr>
                <w:color w:val="000000"/>
                <w:sz w:val="20"/>
                <w:szCs w:val="20"/>
              </w:rPr>
            </w:pPr>
            <w:r w:rsidRPr="0047440B">
              <w:rPr>
                <w:color w:val="000000"/>
                <w:sz w:val="20"/>
                <w:szCs w:val="20"/>
              </w:rPr>
              <w:t>3,00</w:t>
            </w:r>
          </w:p>
        </w:tc>
        <w:tc>
          <w:tcPr>
            <w:tcW w:w="1239" w:type="dxa"/>
            <w:tcBorders>
              <w:top w:val="single" w:sz="4" w:space="0" w:color="auto"/>
              <w:left w:val="single" w:sz="4" w:space="0" w:color="auto"/>
              <w:bottom w:val="single" w:sz="4" w:space="0" w:color="auto"/>
              <w:right w:val="single" w:sz="4" w:space="0" w:color="auto"/>
            </w:tcBorders>
            <w:shd w:val="clear" w:color="auto" w:fill="auto"/>
            <w:noWrap/>
          </w:tcPr>
          <w:p w:rsidR="00B21B24" w:rsidRPr="0047440B" w:rsidRDefault="00B21B24" w:rsidP="00B21B24">
            <w:pPr>
              <w:jc w:val="center"/>
              <w:rPr>
                <w:color w:val="000000"/>
                <w:sz w:val="20"/>
                <w:szCs w:val="20"/>
              </w:rPr>
            </w:pPr>
            <w:r w:rsidRPr="0047440B">
              <w:rPr>
                <w:color w:val="000000"/>
                <w:sz w:val="20"/>
                <w:szCs w:val="20"/>
              </w:rPr>
              <w:t>3</w:t>
            </w:r>
          </w:p>
        </w:tc>
        <w:tc>
          <w:tcPr>
            <w:tcW w:w="952" w:type="dxa"/>
            <w:tcBorders>
              <w:top w:val="single" w:sz="4" w:space="0" w:color="auto"/>
              <w:left w:val="single" w:sz="4" w:space="0" w:color="auto"/>
              <w:bottom w:val="single" w:sz="4" w:space="0" w:color="auto"/>
              <w:right w:val="single" w:sz="4" w:space="0" w:color="auto"/>
            </w:tcBorders>
            <w:shd w:val="clear" w:color="000000" w:fill="FFFFFF"/>
            <w:noWrap/>
          </w:tcPr>
          <w:p w:rsidR="00B21B24" w:rsidRPr="0047440B" w:rsidRDefault="00B21B24" w:rsidP="00B21B24">
            <w:pPr>
              <w:autoSpaceDE/>
              <w:autoSpaceDN/>
              <w:adjustRightInd/>
              <w:jc w:val="center"/>
              <w:rPr>
                <w:color w:val="000000"/>
                <w:sz w:val="20"/>
                <w:szCs w:val="20"/>
              </w:rPr>
            </w:pPr>
            <w:r w:rsidRPr="0047440B">
              <w:rPr>
                <w:color w:val="000000"/>
                <w:sz w:val="20"/>
                <w:szCs w:val="20"/>
              </w:rPr>
              <w:t>3 768</w:t>
            </w:r>
          </w:p>
        </w:tc>
        <w:tc>
          <w:tcPr>
            <w:tcW w:w="1121" w:type="dxa"/>
            <w:tcBorders>
              <w:top w:val="single" w:sz="4" w:space="0" w:color="auto"/>
              <w:left w:val="single" w:sz="4" w:space="0" w:color="auto"/>
              <w:bottom w:val="single" w:sz="4" w:space="0" w:color="auto"/>
              <w:right w:val="single" w:sz="4" w:space="0" w:color="auto"/>
            </w:tcBorders>
            <w:shd w:val="clear" w:color="000000" w:fill="FFFFFF"/>
            <w:noWrap/>
          </w:tcPr>
          <w:p w:rsidR="00B21B24" w:rsidRPr="0047440B" w:rsidRDefault="00B21B24" w:rsidP="00B21B24">
            <w:pPr>
              <w:autoSpaceDE/>
              <w:autoSpaceDN/>
              <w:adjustRightInd/>
              <w:jc w:val="center"/>
              <w:rPr>
                <w:color w:val="000000"/>
                <w:sz w:val="20"/>
                <w:szCs w:val="20"/>
              </w:rPr>
            </w:pPr>
            <w:r w:rsidRPr="0047440B">
              <w:rPr>
                <w:color w:val="000000"/>
                <w:sz w:val="20"/>
                <w:szCs w:val="20"/>
              </w:rPr>
              <w:t>1 884</w:t>
            </w:r>
          </w:p>
        </w:tc>
        <w:tc>
          <w:tcPr>
            <w:tcW w:w="1217" w:type="dxa"/>
            <w:tcBorders>
              <w:top w:val="single" w:sz="4" w:space="0" w:color="auto"/>
              <w:left w:val="single" w:sz="4" w:space="0" w:color="auto"/>
              <w:bottom w:val="single" w:sz="4" w:space="0" w:color="auto"/>
              <w:right w:val="single" w:sz="4" w:space="0" w:color="auto"/>
            </w:tcBorders>
            <w:shd w:val="clear" w:color="000000" w:fill="FFFFFF"/>
          </w:tcPr>
          <w:p w:rsidR="00B21B24" w:rsidRPr="0047440B" w:rsidRDefault="00B21B24" w:rsidP="00B21B24">
            <w:pPr>
              <w:autoSpaceDE/>
              <w:autoSpaceDN/>
              <w:adjustRightInd/>
              <w:jc w:val="center"/>
              <w:rPr>
                <w:color w:val="000000"/>
                <w:sz w:val="20"/>
                <w:szCs w:val="20"/>
              </w:rPr>
            </w:pPr>
            <w:r w:rsidRPr="0047440B">
              <w:rPr>
                <w:color w:val="000000"/>
                <w:sz w:val="20"/>
                <w:szCs w:val="20"/>
              </w:rPr>
              <w:t>1</w:t>
            </w:r>
          </w:p>
        </w:tc>
      </w:tr>
      <w:tr w:rsidR="00B21B24" w:rsidRPr="0047440B" w:rsidTr="007E4743">
        <w:trPr>
          <w:trHeight w:val="20"/>
          <w:jc w:val="center"/>
        </w:trPr>
        <w:tc>
          <w:tcPr>
            <w:tcW w:w="486" w:type="dxa"/>
            <w:tcBorders>
              <w:top w:val="single" w:sz="4" w:space="0" w:color="auto"/>
              <w:left w:val="single" w:sz="4" w:space="0" w:color="auto"/>
              <w:bottom w:val="single" w:sz="4" w:space="0" w:color="auto"/>
              <w:right w:val="single" w:sz="4" w:space="0" w:color="auto"/>
            </w:tcBorders>
            <w:shd w:val="clear" w:color="000000" w:fill="FFFFFF"/>
            <w:noWrap/>
            <w:hideMark/>
          </w:tcPr>
          <w:p w:rsidR="00B21B24" w:rsidRPr="0047440B" w:rsidRDefault="00B21B24" w:rsidP="00B21B24">
            <w:pPr>
              <w:autoSpaceDE/>
              <w:autoSpaceDN/>
              <w:adjustRightInd/>
              <w:jc w:val="center"/>
              <w:rPr>
                <w:color w:val="000000"/>
                <w:sz w:val="20"/>
                <w:szCs w:val="20"/>
              </w:rPr>
            </w:pPr>
            <w:r w:rsidRPr="0047440B">
              <w:rPr>
                <w:color w:val="000000"/>
                <w:sz w:val="20"/>
                <w:szCs w:val="20"/>
              </w:rPr>
              <w:t>13.</w:t>
            </w:r>
          </w:p>
        </w:tc>
        <w:tc>
          <w:tcPr>
            <w:tcW w:w="2917" w:type="dxa"/>
            <w:tcBorders>
              <w:top w:val="single" w:sz="4" w:space="0" w:color="auto"/>
              <w:left w:val="single" w:sz="4" w:space="0" w:color="auto"/>
              <w:bottom w:val="single" w:sz="4" w:space="0" w:color="auto"/>
              <w:right w:val="single" w:sz="4" w:space="0" w:color="auto"/>
            </w:tcBorders>
            <w:shd w:val="clear" w:color="auto" w:fill="auto"/>
          </w:tcPr>
          <w:p w:rsidR="00B21B24" w:rsidRPr="0047440B" w:rsidRDefault="00B21B24" w:rsidP="00B21B24">
            <w:pPr>
              <w:rPr>
                <w:color w:val="000000"/>
                <w:sz w:val="20"/>
                <w:szCs w:val="20"/>
              </w:rPr>
            </w:pPr>
            <w:r w:rsidRPr="0047440B">
              <w:rPr>
                <w:color w:val="000000"/>
                <w:sz w:val="20"/>
                <w:szCs w:val="20"/>
              </w:rPr>
              <w:t>ГАУЗ «Буинская ЦРБ»</w:t>
            </w:r>
          </w:p>
        </w:tc>
        <w:tc>
          <w:tcPr>
            <w:tcW w:w="12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21B24" w:rsidRPr="0047440B" w:rsidRDefault="00B21B24" w:rsidP="00B21B24">
            <w:pPr>
              <w:jc w:val="center"/>
              <w:rPr>
                <w:color w:val="000000"/>
                <w:sz w:val="20"/>
                <w:szCs w:val="20"/>
              </w:rPr>
            </w:pPr>
            <w:r w:rsidRPr="0047440B">
              <w:rPr>
                <w:color w:val="000000"/>
                <w:sz w:val="20"/>
                <w:szCs w:val="20"/>
              </w:rPr>
              <w:t>1</w:t>
            </w:r>
          </w:p>
        </w:tc>
        <w:tc>
          <w:tcPr>
            <w:tcW w:w="816" w:type="dxa"/>
            <w:tcBorders>
              <w:top w:val="single" w:sz="4" w:space="0" w:color="auto"/>
              <w:left w:val="single" w:sz="4" w:space="0" w:color="auto"/>
              <w:bottom w:val="single" w:sz="4" w:space="0" w:color="auto"/>
              <w:right w:val="single" w:sz="4" w:space="0" w:color="auto"/>
            </w:tcBorders>
            <w:shd w:val="clear" w:color="auto" w:fill="auto"/>
            <w:noWrap/>
          </w:tcPr>
          <w:p w:rsidR="00B21B24" w:rsidRPr="0047440B" w:rsidRDefault="00B21B24" w:rsidP="00B21B24">
            <w:pPr>
              <w:jc w:val="center"/>
              <w:rPr>
                <w:color w:val="000000"/>
                <w:sz w:val="20"/>
                <w:szCs w:val="20"/>
              </w:rPr>
            </w:pPr>
            <w:r w:rsidRPr="0047440B">
              <w:rPr>
                <w:color w:val="000000"/>
                <w:sz w:val="20"/>
                <w:szCs w:val="20"/>
              </w:rPr>
              <w:t>1,00</w:t>
            </w:r>
          </w:p>
        </w:tc>
        <w:tc>
          <w:tcPr>
            <w:tcW w:w="792" w:type="dxa"/>
            <w:tcBorders>
              <w:top w:val="single" w:sz="4" w:space="0" w:color="auto"/>
              <w:left w:val="single" w:sz="4" w:space="0" w:color="auto"/>
              <w:bottom w:val="single" w:sz="4" w:space="0" w:color="auto"/>
              <w:right w:val="single" w:sz="4" w:space="0" w:color="auto"/>
            </w:tcBorders>
            <w:shd w:val="clear" w:color="auto" w:fill="auto"/>
            <w:noWrap/>
          </w:tcPr>
          <w:p w:rsidR="00B21B24" w:rsidRPr="0047440B" w:rsidRDefault="00B21B24" w:rsidP="00B21B24">
            <w:pPr>
              <w:jc w:val="center"/>
              <w:rPr>
                <w:color w:val="000000"/>
                <w:sz w:val="20"/>
                <w:szCs w:val="20"/>
              </w:rPr>
            </w:pPr>
            <w:r w:rsidRPr="0047440B">
              <w:rPr>
                <w:color w:val="000000"/>
                <w:sz w:val="20"/>
                <w:szCs w:val="20"/>
              </w:rPr>
              <w:t>1,00</w:t>
            </w:r>
          </w:p>
        </w:tc>
        <w:tc>
          <w:tcPr>
            <w:tcW w:w="1239" w:type="dxa"/>
            <w:tcBorders>
              <w:top w:val="single" w:sz="4" w:space="0" w:color="auto"/>
              <w:left w:val="single" w:sz="4" w:space="0" w:color="auto"/>
              <w:bottom w:val="single" w:sz="4" w:space="0" w:color="auto"/>
              <w:right w:val="single" w:sz="4" w:space="0" w:color="auto"/>
            </w:tcBorders>
            <w:shd w:val="clear" w:color="auto" w:fill="auto"/>
            <w:noWrap/>
          </w:tcPr>
          <w:p w:rsidR="00B21B24" w:rsidRPr="0047440B" w:rsidRDefault="00B21B24" w:rsidP="00B21B24">
            <w:pPr>
              <w:jc w:val="center"/>
              <w:rPr>
                <w:color w:val="000000"/>
                <w:sz w:val="20"/>
                <w:szCs w:val="20"/>
              </w:rPr>
            </w:pPr>
            <w:r w:rsidRPr="0047440B">
              <w:rPr>
                <w:color w:val="000000"/>
                <w:sz w:val="20"/>
                <w:szCs w:val="20"/>
              </w:rPr>
              <w:t>1</w:t>
            </w:r>
          </w:p>
        </w:tc>
        <w:tc>
          <w:tcPr>
            <w:tcW w:w="952" w:type="dxa"/>
            <w:tcBorders>
              <w:top w:val="single" w:sz="4" w:space="0" w:color="auto"/>
              <w:left w:val="single" w:sz="4" w:space="0" w:color="auto"/>
              <w:bottom w:val="single" w:sz="4" w:space="0" w:color="auto"/>
              <w:right w:val="single" w:sz="4" w:space="0" w:color="auto"/>
            </w:tcBorders>
            <w:shd w:val="clear" w:color="000000" w:fill="FFFFFF"/>
            <w:noWrap/>
          </w:tcPr>
          <w:p w:rsidR="00B21B24" w:rsidRPr="0047440B" w:rsidRDefault="00B21B24" w:rsidP="00B21B24">
            <w:pPr>
              <w:autoSpaceDE/>
              <w:autoSpaceDN/>
              <w:adjustRightInd/>
              <w:jc w:val="center"/>
              <w:rPr>
                <w:color w:val="000000"/>
                <w:sz w:val="20"/>
                <w:szCs w:val="20"/>
              </w:rPr>
            </w:pPr>
            <w:r w:rsidRPr="0047440B">
              <w:rPr>
                <w:color w:val="000000"/>
                <w:sz w:val="20"/>
                <w:szCs w:val="20"/>
              </w:rPr>
              <w:t>8 482</w:t>
            </w:r>
          </w:p>
        </w:tc>
        <w:tc>
          <w:tcPr>
            <w:tcW w:w="1121" w:type="dxa"/>
            <w:tcBorders>
              <w:top w:val="single" w:sz="4" w:space="0" w:color="auto"/>
              <w:left w:val="single" w:sz="4" w:space="0" w:color="auto"/>
              <w:bottom w:val="single" w:sz="4" w:space="0" w:color="auto"/>
              <w:right w:val="single" w:sz="4" w:space="0" w:color="auto"/>
            </w:tcBorders>
            <w:shd w:val="clear" w:color="000000" w:fill="FFFFFF"/>
            <w:noWrap/>
          </w:tcPr>
          <w:p w:rsidR="00B21B24" w:rsidRPr="0047440B" w:rsidRDefault="00B21B24" w:rsidP="00B21B24">
            <w:pPr>
              <w:autoSpaceDE/>
              <w:autoSpaceDN/>
              <w:adjustRightInd/>
              <w:jc w:val="center"/>
              <w:rPr>
                <w:color w:val="000000"/>
                <w:sz w:val="20"/>
                <w:szCs w:val="20"/>
              </w:rPr>
            </w:pPr>
            <w:r w:rsidRPr="0047440B">
              <w:rPr>
                <w:color w:val="000000"/>
                <w:sz w:val="20"/>
                <w:szCs w:val="20"/>
              </w:rPr>
              <w:t>8 482</w:t>
            </w:r>
          </w:p>
        </w:tc>
        <w:tc>
          <w:tcPr>
            <w:tcW w:w="1217" w:type="dxa"/>
            <w:tcBorders>
              <w:top w:val="single" w:sz="4" w:space="0" w:color="auto"/>
              <w:left w:val="single" w:sz="4" w:space="0" w:color="auto"/>
              <w:bottom w:val="single" w:sz="4" w:space="0" w:color="auto"/>
              <w:right w:val="single" w:sz="4" w:space="0" w:color="auto"/>
            </w:tcBorders>
            <w:shd w:val="clear" w:color="000000" w:fill="FFFFFF"/>
          </w:tcPr>
          <w:p w:rsidR="00B21B24" w:rsidRPr="0047440B" w:rsidRDefault="00B21B24" w:rsidP="00B21B24">
            <w:pPr>
              <w:autoSpaceDE/>
              <w:autoSpaceDN/>
              <w:adjustRightInd/>
              <w:jc w:val="center"/>
              <w:rPr>
                <w:color w:val="000000"/>
                <w:sz w:val="20"/>
                <w:szCs w:val="20"/>
              </w:rPr>
            </w:pPr>
            <w:r w:rsidRPr="0047440B">
              <w:rPr>
                <w:color w:val="000000"/>
                <w:sz w:val="20"/>
                <w:szCs w:val="20"/>
              </w:rPr>
              <w:t>2</w:t>
            </w:r>
          </w:p>
        </w:tc>
      </w:tr>
      <w:tr w:rsidR="00B21B24" w:rsidRPr="0047440B" w:rsidTr="007E4743">
        <w:trPr>
          <w:trHeight w:val="20"/>
          <w:jc w:val="center"/>
        </w:trPr>
        <w:tc>
          <w:tcPr>
            <w:tcW w:w="486" w:type="dxa"/>
            <w:tcBorders>
              <w:top w:val="single" w:sz="4" w:space="0" w:color="auto"/>
              <w:left w:val="single" w:sz="4" w:space="0" w:color="auto"/>
              <w:bottom w:val="single" w:sz="4" w:space="0" w:color="auto"/>
              <w:right w:val="single" w:sz="4" w:space="0" w:color="auto"/>
            </w:tcBorders>
            <w:shd w:val="clear" w:color="000000" w:fill="FFFFFF"/>
            <w:noWrap/>
            <w:hideMark/>
          </w:tcPr>
          <w:p w:rsidR="00B21B24" w:rsidRPr="0047440B" w:rsidRDefault="00B21B24" w:rsidP="00B21B24">
            <w:pPr>
              <w:autoSpaceDE/>
              <w:autoSpaceDN/>
              <w:adjustRightInd/>
              <w:jc w:val="center"/>
              <w:rPr>
                <w:color w:val="000000"/>
                <w:sz w:val="20"/>
                <w:szCs w:val="20"/>
              </w:rPr>
            </w:pPr>
            <w:r w:rsidRPr="0047440B">
              <w:rPr>
                <w:color w:val="000000"/>
                <w:sz w:val="20"/>
                <w:szCs w:val="20"/>
              </w:rPr>
              <w:t>14.</w:t>
            </w:r>
          </w:p>
        </w:tc>
        <w:tc>
          <w:tcPr>
            <w:tcW w:w="2917" w:type="dxa"/>
            <w:tcBorders>
              <w:top w:val="single" w:sz="4" w:space="0" w:color="auto"/>
              <w:left w:val="single" w:sz="4" w:space="0" w:color="auto"/>
              <w:bottom w:val="single" w:sz="4" w:space="0" w:color="auto"/>
              <w:right w:val="single" w:sz="4" w:space="0" w:color="auto"/>
            </w:tcBorders>
            <w:shd w:val="clear" w:color="auto" w:fill="auto"/>
          </w:tcPr>
          <w:p w:rsidR="00B21B24" w:rsidRPr="0047440B" w:rsidRDefault="00B21B24" w:rsidP="00B21B24">
            <w:pPr>
              <w:rPr>
                <w:color w:val="000000"/>
                <w:sz w:val="20"/>
                <w:szCs w:val="20"/>
              </w:rPr>
            </w:pPr>
            <w:r w:rsidRPr="0047440B">
              <w:rPr>
                <w:color w:val="000000"/>
                <w:sz w:val="20"/>
                <w:szCs w:val="20"/>
              </w:rPr>
              <w:t>ГАУЗ «Верхнеуслонская ЦРБ»</w:t>
            </w:r>
          </w:p>
        </w:tc>
        <w:tc>
          <w:tcPr>
            <w:tcW w:w="12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21B24" w:rsidRPr="0047440B" w:rsidRDefault="00B21B24" w:rsidP="00B21B24">
            <w:pPr>
              <w:jc w:val="center"/>
              <w:rPr>
                <w:color w:val="000000"/>
                <w:sz w:val="20"/>
                <w:szCs w:val="20"/>
              </w:rPr>
            </w:pPr>
            <w:r w:rsidRPr="0047440B">
              <w:rPr>
                <w:color w:val="000000"/>
                <w:sz w:val="20"/>
                <w:szCs w:val="20"/>
              </w:rPr>
              <w:t>1</w:t>
            </w:r>
          </w:p>
        </w:tc>
        <w:tc>
          <w:tcPr>
            <w:tcW w:w="816" w:type="dxa"/>
            <w:tcBorders>
              <w:top w:val="single" w:sz="4" w:space="0" w:color="auto"/>
              <w:left w:val="single" w:sz="4" w:space="0" w:color="auto"/>
              <w:bottom w:val="single" w:sz="4" w:space="0" w:color="auto"/>
              <w:right w:val="single" w:sz="4" w:space="0" w:color="auto"/>
            </w:tcBorders>
            <w:shd w:val="clear" w:color="auto" w:fill="auto"/>
            <w:noWrap/>
          </w:tcPr>
          <w:p w:rsidR="00B21B24" w:rsidRPr="0047440B" w:rsidRDefault="00B21B24" w:rsidP="00B21B24">
            <w:pPr>
              <w:jc w:val="center"/>
              <w:rPr>
                <w:color w:val="000000"/>
                <w:sz w:val="20"/>
                <w:szCs w:val="20"/>
              </w:rPr>
            </w:pPr>
            <w:r w:rsidRPr="0047440B">
              <w:rPr>
                <w:color w:val="000000"/>
                <w:sz w:val="20"/>
                <w:szCs w:val="20"/>
              </w:rPr>
              <w:t>2,00</w:t>
            </w:r>
          </w:p>
        </w:tc>
        <w:tc>
          <w:tcPr>
            <w:tcW w:w="792" w:type="dxa"/>
            <w:tcBorders>
              <w:top w:val="single" w:sz="4" w:space="0" w:color="auto"/>
              <w:left w:val="single" w:sz="4" w:space="0" w:color="auto"/>
              <w:bottom w:val="single" w:sz="4" w:space="0" w:color="auto"/>
              <w:right w:val="single" w:sz="4" w:space="0" w:color="auto"/>
            </w:tcBorders>
            <w:shd w:val="clear" w:color="auto" w:fill="auto"/>
            <w:noWrap/>
          </w:tcPr>
          <w:p w:rsidR="00B21B24" w:rsidRPr="0047440B" w:rsidRDefault="00B21B24" w:rsidP="00B21B24">
            <w:pPr>
              <w:jc w:val="center"/>
              <w:rPr>
                <w:color w:val="000000"/>
                <w:sz w:val="20"/>
                <w:szCs w:val="20"/>
              </w:rPr>
            </w:pPr>
            <w:r w:rsidRPr="0047440B">
              <w:rPr>
                <w:color w:val="000000"/>
                <w:sz w:val="20"/>
                <w:szCs w:val="20"/>
              </w:rPr>
              <w:t>2,00</w:t>
            </w:r>
          </w:p>
        </w:tc>
        <w:tc>
          <w:tcPr>
            <w:tcW w:w="1239" w:type="dxa"/>
            <w:tcBorders>
              <w:top w:val="single" w:sz="4" w:space="0" w:color="auto"/>
              <w:left w:val="single" w:sz="4" w:space="0" w:color="auto"/>
              <w:bottom w:val="single" w:sz="4" w:space="0" w:color="auto"/>
              <w:right w:val="single" w:sz="4" w:space="0" w:color="auto"/>
            </w:tcBorders>
            <w:shd w:val="clear" w:color="auto" w:fill="auto"/>
            <w:noWrap/>
          </w:tcPr>
          <w:p w:rsidR="00B21B24" w:rsidRPr="0047440B" w:rsidRDefault="00B21B24" w:rsidP="00B21B24">
            <w:pPr>
              <w:jc w:val="center"/>
              <w:rPr>
                <w:color w:val="000000"/>
                <w:sz w:val="20"/>
                <w:szCs w:val="20"/>
              </w:rPr>
            </w:pPr>
            <w:r w:rsidRPr="0047440B">
              <w:rPr>
                <w:color w:val="000000"/>
                <w:sz w:val="20"/>
                <w:szCs w:val="20"/>
              </w:rPr>
              <w:t>2</w:t>
            </w:r>
          </w:p>
        </w:tc>
        <w:tc>
          <w:tcPr>
            <w:tcW w:w="952" w:type="dxa"/>
            <w:tcBorders>
              <w:top w:val="single" w:sz="4" w:space="0" w:color="auto"/>
              <w:left w:val="single" w:sz="4" w:space="0" w:color="auto"/>
              <w:bottom w:val="single" w:sz="4" w:space="0" w:color="auto"/>
              <w:right w:val="single" w:sz="4" w:space="0" w:color="auto"/>
            </w:tcBorders>
            <w:shd w:val="clear" w:color="000000" w:fill="FFFFFF"/>
            <w:noWrap/>
          </w:tcPr>
          <w:p w:rsidR="00B21B24" w:rsidRPr="0047440B" w:rsidRDefault="00B21B24" w:rsidP="00B21B24">
            <w:pPr>
              <w:autoSpaceDE/>
              <w:autoSpaceDN/>
              <w:adjustRightInd/>
              <w:jc w:val="center"/>
              <w:rPr>
                <w:color w:val="000000"/>
                <w:sz w:val="20"/>
                <w:szCs w:val="20"/>
              </w:rPr>
            </w:pPr>
            <w:r w:rsidRPr="0047440B">
              <w:rPr>
                <w:color w:val="000000"/>
                <w:sz w:val="20"/>
                <w:szCs w:val="20"/>
              </w:rPr>
              <w:t>6 843</w:t>
            </w:r>
          </w:p>
        </w:tc>
        <w:tc>
          <w:tcPr>
            <w:tcW w:w="1121" w:type="dxa"/>
            <w:tcBorders>
              <w:top w:val="single" w:sz="4" w:space="0" w:color="auto"/>
              <w:left w:val="single" w:sz="4" w:space="0" w:color="auto"/>
              <w:bottom w:val="single" w:sz="4" w:space="0" w:color="auto"/>
              <w:right w:val="single" w:sz="4" w:space="0" w:color="auto"/>
            </w:tcBorders>
            <w:shd w:val="clear" w:color="000000" w:fill="FFFFFF"/>
            <w:noWrap/>
          </w:tcPr>
          <w:p w:rsidR="00B21B24" w:rsidRPr="0047440B" w:rsidRDefault="00B21B24" w:rsidP="00B21B24">
            <w:pPr>
              <w:autoSpaceDE/>
              <w:autoSpaceDN/>
              <w:adjustRightInd/>
              <w:jc w:val="center"/>
              <w:rPr>
                <w:color w:val="000000"/>
                <w:sz w:val="20"/>
                <w:szCs w:val="20"/>
              </w:rPr>
            </w:pPr>
            <w:r w:rsidRPr="0047440B">
              <w:rPr>
                <w:color w:val="000000"/>
                <w:sz w:val="20"/>
                <w:szCs w:val="20"/>
              </w:rPr>
              <w:t>6 843</w:t>
            </w:r>
          </w:p>
        </w:tc>
        <w:tc>
          <w:tcPr>
            <w:tcW w:w="1217" w:type="dxa"/>
            <w:tcBorders>
              <w:top w:val="single" w:sz="4" w:space="0" w:color="auto"/>
              <w:left w:val="single" w:sz="4" w:space="0" w:color="auto"/>
              <w:bottom w:val="single" w:sz="4" w:space="0" w:color="auto"/>
              <w:right w:val="single" w:sz="4" w:space="0" w:color="auto"/>
            </w:tcBorders>
            <w:shd w:val="clear" w:color="000000" w:fill="FFFFFF"/>
          </w:tcPr>
          <w:p w:rsidR="00B21B24" w:rsidRPr="0047440B" w:rsidRDefault="00B21B24" w:rsidP="00B21B24">
            <w:pPr>
              <w:autoSpaceDE/>
              <w:autoSpaceDN/>
              <w:adjustRightInd/>
              <w:jc w:val="center"/>
              <w:rPr>
                <w:color w:val="000000"/>
                <w:sz w:val="20"/>
                <w:szCs w:val="20"/>
              </w:rPr>
            </w:pPr>
            <w:r w:rsidRPr="0047440B">
              <w:rPr>
                <w:color w:val="000000"/>
                <w:sz w:val="20"/>
                <w:szCs w:val="20"/>
              </w:rPr>
              <w:t>1</w:t>
            </w:r>
          </w:p>
        </w:tc>
      </w:tr>
      <w:tr w:rsidR="00B21B24" w:rsidRPr="0047440B" w:rsidTr="007E4743">
        <w:trPr>
          <w:trHeight w:val="20"/>
          <w:jc w:val="center"/>
        </w:trPr>
        <w:tc>
          <w:tcPr>
            <w:tcW w:w="486" w:type="dxa"/>
            <w:tcBorders>
              <w:top w:val="single" w:sz="4" w:space="0" w:color="auto"/>
              <w:left w:val="single" w:sz="4" w:space="0" w:color="auto"/>
              <w:bottom w:val="single" w:sz="4" w:space="0" w:color="auto"/>
              <w:right w:val="single" w:sz="4" w:space="0" w:color="auto"/>
            </w:tcBorders>
            <w:shd w:val="clear" w:color="000000" w:fill="FFFFFF"/>
            <w:noWrap/>
            <w:hideMark/>
          </w:tcPr>
          <w:p w:rsidR="00B21B24" w:rsidRPr="0047440B" w:rsidRDefault="00B21B24" w:rsidP="00B21B24">
            <w:pPr>
              <w:autoSpaceDE/>
              <w:autoSpaceDN/>
              <w:adjustRightInd/>
              <w:jc w:val="center"/>
              <w:rPr>
                <w:color w:val="000000"/>
                <w:sz w:val="20"/>
                <w:szCs w:val="20"/>
              </w:rPr>
            </w:pPr>
            <w:r w:rsidRPr="0047440B">
              <w:rPr>
                <w:color w:val="000000"/>
                <w:sz w:val="20"/>
                <w:szCs w:val="20"/>
              </w:rPr>
              <w:t>15.</w:t>
            </w:r>
          </w:p>
        </w:tc>
        <w:tc>
          <w:tcPr>
            <w:tcW w:w="2917" w:type="dxa"/>
            <w:tcBorders>
              <w:top w:val="single" w:sz="4" w:space="0" w:color="auto"/>
              <w:left w:val="single" w:sz="4" w:space="0" w:color="auto"/>
              <w:bottom w:val="single" w:sz="4" w:space="0" w:color="auto"/>
              <w:right w:val="single" w:sz="4" w:space="0" w:color="auto"/>
            </w:tcBorders>
            <w:shd w:val="clear" w:color="auto" w:fill="auto"/>
          </w:tcPr>
          <w:p w:rsidR="00B21B24" w:rsidRPr="0047440B" w:rsidRDefault="00B21B24" w:rsidP="00B21B24">
            <w:pPr>
              <w:rPr>
                <w:color w:val="000000"/>
                <w:sz w:val="20"/>
                <w:szCs w:val="20"/>
              </w:rPr>
            </w:pPr>
            <w:r w:rsidRPr="0047440B">
              <w:rPr>
                <w:color w:val="000000"/>
                <w:sz w:val="20"/>
                <w:szCs w:val="20"/>
              </w:rPr>
              <w:t>ГАУЗ «Высокогорская ЦРБ»</w:t>
            </w:r>
          </w:p>
        </w:tc>
        <w:tc>
          <w:tcPr>
            <w:tcW w:w="12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21B24" w:rsidRPr="0047440B" w:rsidRDefault="00B21B24" w:rsidP="00B21B24">
            <w:pPr>
              <w:jc w:val="center"/>
              <w:rPr>
                <w:color w:val="000000"/>
                <w:sz w:val="20"/>
                <w:szCs w:val="20"/>
              </w:rPr>
            </w:pPr>
            <w:r w:rsidRPr="0047440B">
              <w:rPr>
                <w:color w:val="000000"/>
                <w:sz w:val="20"/>
                <w:szCs w:val="20"/>
              </w:rPr>
              <w:t>5</w:t>
            </w:r>
          </w:p>
        </w:tc>
        <w:tc>
          <w:tcPr>
            <w:tcW w:w="816" w:type="dxa"/>
            <w:tcBorders>
              <w:top w:val="single" w:sz="4" w:space="0" w:color="auto"/>
              <w:left w:val="single" w:sz="4" w:space="0" w:color="auto"/>
              <w:bottom w:val="single" w:sz="4" w:space="0" w:color="auto"/>
              <w:right w:val="single" w:sz="4" w:space="0" w:color="auto"/>
            </w:tcBorders>
            <w:shd w:val="clear" w:color="auto" w:fill="auto"/>
            <w:noWrap/>
          </w:tcPr>
          <w:p w:rsidR="00B21B24" w:rsidRPr="0047440B" w:rsidRDefault="00B21B24" w:rsidP="00B21B24">
            <w:pPr>
              <w:jc w:val="center"/>
              <w:rPr>
                <w:color w:val="000000"/>
                <w:sz w:val="20"/>
                <w:szCs w:val="20"/>
              </w:rPr>
            </w:pPr>
            <w:r w:rsidRPr="0047440B">
              <w:rPr>
                <w:color w:val="000000"/>
                <w:sz w:val="20"/>
                <w:szCs w:val="20"/>
              </w:rPr>
              <w:t>4,50</w:t>
            </w:r>
          </w:p>
        </w:tc>
        <w:tc>
          <w:tcPr>
            <w:tcW w:w="792" w:type="dxa"/>
            <w:tcBorders>
              <w:top w:val="single" w:sz="4" w:space="0" w:color="auto"/>
              <w:left w:val="single" w:sz="4" w:space="0" w:color="auto"/>
              <w:bottom w:val="single" w:sz="4" w:space="0" w:color="auto"/>
              <w:right w:val="single" w:sz="4" w:space="0" w:color="auto"/>
            </w:tcBorders>
            <w:shd w:val="clear" w:color="auto" w:fill="auto"/>
            <w:noWrap/>
          </w:tcPr>
          <w:p w:rsidR="00B21B24" w:rsidRPr="0047440B" w:rsidRDefault="00B21B24" w:rsidP="00B21B24">
            <w:pPr>
              <w:jc w:val="center"/>
              <w:rPr>
                <w:color w:val="000000"/>
                <w:sz w:val="20"/>
                <w:szCs w:val="20"/>
              </w:rPr>
            </w:pPr>
            <w:r w:rsidRPr="0047440B">
              <w:rPr>
                <w:color w:val="000000"/>
                <w:sz w:val="20"/>
                <w:szCs w:val="20"/>
              </w:rPr>
              <w:t>4,50</w:t>
            </w:r>
          </w:p>
        </w:tc>
        <w:tc>
          <w:tcPr>
            <w:tcW w:w="1239" w:type="dxa"/>
            <w:tcBorders>
              <w:top w:val="single" w:sz="4" w:space="0" w:color="auto"/>
              <w:left w:val="single" w:sz="4" w:space="0" w:color="auto"/>
              <w:bottom w:val="single" w:sz="4" w:space="0" w:color="auto"/>
              <w:right w:val="single" w:sz="4" w:space="0" w:color="auto"/>
            </w:tcBorders>
            <w:shd w:val="clear" w:color="auto" w:fill="auto"/>
            <w:noWrap/>
          </w:tcPr>
          <w:p w:rsidR="00B21B24" w:rsidRPr="0047440B" w:rsidRDefault="00B21B24" w:rsidP="00B21B24">
            <w:pPr>
              <w:jc w:val="center"/>
              <w:rPr>
                <w:color w:val="000000"/>
                <w:sz w:val="20"/>
                <w:szCs w:val="20"/>
              </w:rPr>
            </w:pPr>
            <w:r w:rsidRPr="0047440B">
              <w:rPr>
                <w:color w:val="000000"/>
                <w:sz w:val="20"/>
                <w:szCs w:val="20"/>
              </w:rPr>
              <w:t>6</w:t>
            </w:r>
          </w:p>
        </w:tc>
        <w:tc>
          <w:tcPr>
            <w:tcW w:w="952" w:type="dxa"/>
            <w:tcBorders>
              <w:top w:val="single" w:sz="4" w:space="0" w:color="auto"/>
              <w:left w:val="single" w:sz="4" w:space="0" w:color="auto"/>
              <w:bottom w:val="single" w:sz="4" w:space="0" w:color="auto"/>
              <w:right w:val="single" w:sz="4" w:space="0" w:color="auto"/>
            </w:tcBorders>
            <w:shd w:val="clear" w:color="000000" w:fill="FFFFFF"/>
            <w:noWrap/>
          </w:tcPr>
          <w:p w:rsidR="00B21B24" w:rsidRPr="0047440B" w:rsidRDefault="00B21B24" w:rsidP="00B21B24">
            <w:pPr>
              <w:autoSpaceDE/>
              <w:autoSpaceDN/>
              <w:adjustRightInd/>
              <w:jc w:val="center"/>
              <w:rPr>
                <w:color w:val="000000"/>
                <w:sz w:val="20"/>
                <w:szCs w:val="20"/>
              </w:rPr>
            </w:pPr>
            <w:r w:rsidRPr="0047440B">
              <w:rPr>
                <w:color w:val="000000"/>
                <w:sz w:val="20"/>
                <w:szCs w:val="20"/>
              </w:rPr>
              <w:t>21 929</w:t>
            </w:r>
          </w:p>
        </w:tc>
        <w:tc>
          <w:tcPr>
            <w:tcW w:w="1121" w:type="dxa"/>
            <w:tcBorders>
              <w:top w:val="single" w:sz="4" w:space="0" w:color="auto"/>
              <w:left w:val="single" w:sz="4" w:space="0" w:color="auto"/>
              <w:bottom w:val="single" w:sz="4" w:space="0" w:color="auto"/>
              <w:right w:val="single" w:sz="4" w:space="0" w:color="auto"/>
            </w:tcBorders>
            <w:shd w:val="clear" w:color="000000" w:fill="FFFFFF"/>
            <w:noWrap/>
          </w:tcPr>
          <w:p w:rsidR="00B21B24" w:rsidRPr="0047440B" w:rsidRDefault="00B21B24" w:rsidP="00B21B24">
            <w:pPr>
              <w:autoSpaceDE/>
              <w:autoSpaceDN/>
              <w:adjustRightInd/>
              <w:jc w:val="center"/>
              <w:rPr>
                <w:color w:val="000000"/>
                <w:sz w:val="20"/>
                <w:szCs w:val="20"/>
              </w:rPr>
            </w:pPr>
            <w:r w:rsidRPr="0047440B">
              <w:rPr>
                <w:color w:val="000000"/>
                <w:sz w:val="20"/>
                <w:szCs w:val="20"/>
              </w:rPr>
              <w:t>4 386</w:t>
            </w:r>
          </w:p>
        </w:tc>
        <w:tc>
          <w:tcPr>
            <w:tcW w:w="1217" w:type="dxa"/>
            <w:tcBorders>
              <w:top w:val="single" w:sz="4" w:space="0" w:color="auto"/>
              <w:left w:val="single" w:sz="4" w:space="0" w:color="auto"/>
              <w:bottom w:val="single" w:sz="4" w:space="0" w:color="auto"/>
              <w:right w:val="single" w:sz="4" w:space="0" w:color="auto"/>
            </w:tcBorders>
            <w:shd w:val="clear" w:color="000000" w:fill="FFFFFF"/>
          </w:tcPr>
          <w:p w:rsidR="00B21B24" w:rsidRPr="0047440B" w:rsidRDefault="00B21B24" w:rsidP="00B21B24">
            <w:pPr>
              <w:autoSpaceDE/>
              <w:autoSpaceDN/>
              <w:adjustRightInd/>
              <w:jc w:val="center"/>
              <w:rPr>
                <w:color w:val="000000"/>
                <w:sz w:val="20"/>
                <w:szCs w:val="20"/>
              </w:rPr>
            </w:pPr>
            <w:r w:rsidRPr="0047440B">
              <w:rPr>
                <w:color w:val="000000"/>
                <w:sz w:val="20"/>
                <w:szCs w:val="20"/>
              </w:rPr>
              <w:t>1</w:t>
            </w:r>
          </w:p>
        </w:tc>
      </w:tr>
      <w:tr w:rsidR="00B21B24" w:rsidRPr="0047440B" w:rsidTr="007E4743">
        <w:trPr>
          <w:trHeight w:val="20"/>
          <w:jc w:val="center"/>
        </w:trPr>
        <w:tc>
          <w:tcPr>
            <w:tcW w:w="486" w:type="dxa"/>
            <w:tcBorders>
              <w:top w:val="single" w:sz="4" w:space="0" w:color="auto"/>
              <w:left w:val="single" w:sz="4" w:space="0" w:color="auto"/>
              <w:bottom w:val="single" w:sz="4" w:space="0" w:color="auto"/>
              <w:right w:val="single" w:sz="4" w:space="0" w:color="auto"/>
            </w:tcBorders>
            <w:shd w:val="clear" w:color="000000" w:fill="FFFFFF"/>
            <w:noWrap/>
            <w:hideMark/>
          </w:tcPr>
          <w:p w:rsidR="00B21B24" w:rsidRPr="0047440B" w:rsidRDefault="00B21B24" w:rsidP="00B21B24">
            <w:pPr>
              <w:autoSpaceDE/>
              <w:autoSpaceDN/>
              <w:adjustRightInd/>
              <w:jc w:val="center"/>
              <w:rPr>
                <w:color w:val="000000"/>
                <w:sz w:val="20"/>
                <w:szCs w:val="20"/>
              </w:rPr>
            </w:pPr>
            <w:r w:rsidRPr="0047440B">
              <w:rPr>
                <w:color w:val="000000"/>
                <w:sz w:val="20"/>
                <w:szCs w:val="20"/>
              </w:rPr>
              <w:t>16.</w:t>
            </w:r>
          </w:p>
        </w:tc>
        <w:tc>
          <w:tcPr>
            <w:tcW w:w="2917" w:type="dxa"/>
            <w:tcBorders>
              <w:top w:val="single" w:sz="4" w:space="0" w:color="auto"/>
              <w:left w:val="single" w:sz="4" w:space="0" w:color="auto"/>
              <w:bottom w:val="single" w:sz="4" w:space="0" w:color="auto"/>
              <w:right w:val="single" w:sz="4" w:space="0" w:color="auto"/>
            </w:tcBorders>
            <w:shd w:val="clear" w:color="auto" w:fill="auto"/>
          </w:tcPr>
          <w:p w:rsidR="00B21B24" w:rsidRPr="0047440B" w:rsidRDefault="00B21B24" w:rsidP="00B21B24">
            <w:pPr>
              <w:rPr>
                <w:color w:val="000000"/>
                <w:sz w:val="20"/>
                <w:szCs w:val="20"/>
              </w:rPr>
            </w:pPr>
            <w:r w:rsidRPr="0047440B">
              <w:rPr>
                <w:color w:val="000000"/>
                <w:sz w:val="20"/>
                <w:szCs w:val="20"/>
              </w:rPr>
              <w:t>ГАУЗ «Дрожжановская ЦРБ»</w:t>
            </w:r>
          </w:p>
        </w:tc>
        <w:tc>
          <w:tcPr>
            <w:tcW w:w="12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21B24" w:rsidRPr="0047440B" w:rsidRDefault="00B21B24" w:rsidP="00B21B24">
            <w:pPr>
              <w:jc w:val="center"/>
              <w:rPr>
                <w:color w:val="000000"/>
                <w:sz w:val="20"/>
                <w:szCs w:val="20"/>
              </w:rPr>
            </w:pPr>
            <w:r w:rsidRPr="0047440B">
              <w:rPr>
                <w:color w:val="000000"/>
                <w:sz w:val="20"/>
                <w:szCs w:val="20"/>
              </w:rPr>
              <w:t>1</w:t>
            </w:r>
          </w:p>
        </w:tc>
        <w:tc>
          <w:tcPr>
            <w:tcW w:w="816" w:type="dxa"/>
            <w:tcBorders>
              <w:top w:val="single" w:sz="4" w:space="0" w:color="auto"/>
              <w:left w:val="single" w:sz="4" w:space="0" w:color="auto"/>
              <w:bottom w:val="single" w:sz="4" w:space="0" w:color="auto"/>
              <w:right w:val="single" w:sz="4" w:space="0" w:color="auto"/>
            </w:tcBorders>
            <w:shd w:val="clear" w:color="auto" w:fill="auto"/>
            <w:noWrap/>
          </w:tcPr>
          <w:p w:rsidR="00B21B24" w:rsidRPr="0047440B" w:rsidRDefault="00B21B24" w:rsidP="00B21B24">
            <w:pPr>
              <w:jc w:val="center"/>
              <w:rPr>
                <w:color w:val="000000"/>
                <w:sz w:val="20"/>
                <w:szCs w:val="20"/>
              </w:rPr>
            </w:pPr>
            <w:r w:rsidRPr="0047440B">
              <w:rPr>
                <w:color w:val="000000"/>
                <w:sz w:val="20"/>
                <w:szCs w:val="20"/>
              </w:rPr>
              <w:t>1,00</w:t>
            </w:r>
          </w:p>
        </w:tc>
        <w:tc>
          <w:tcPr>
            <w:tcW w:w="792" w:type="dxa"/>
            <w:tcBorders>
              <w:top w:val="single" w:sz="4" w:space="0" w:color="auto"/>
              <w:left w:val="single" w:sz="4" w:space="0" w:color="auto"/>
              <w:bottom w:val="single" w:sz="4" w:space="0" w:color="auto"/>
              <w:right w:val="single" w:sz="4" w:space="0" w:color="auto"/>
            </w:tcBorders>
            <w:shd w:val="clear" w:color="auto" w:fill="auto"/>
            <w:noWrap/>
          </w:tcPr>
          <w:p w:rsidR="00B21B24" w:rsidRPr="0047440B" w:rsidRDefault="00B21B24" w:rsidP="00B21B24">
            <w:pPr>
              <w:jc w:val="center"/>
              <w:rPr>
                <w:color w:val="000000"/>
                <w:sz w:val="20"/>
                <w:szCs w:val="20"/>
              </w:rPr>
            </w:pPr>
            <w:r w:rsidRPr="0047440B">
              <w:rPr>
                <w:color w:val="000000"/>
                <w:sz w:val="20"/>
                <w:szCs w:val="20"/>
              </w:rPr>
              <w:t>1,00</w:t>
            </w:r>
          </w:p>
        </w:tc>
        <w:tc>
          <w:tcPr>
            <w:tcW w:w="1239" w:type="dxa"/>
            <w:tcBorders>
              <w:top w:val="single" w:sz="4" w:space="0" w:color="auto"/>
              <w:left w:val="single" w:sz="4" w:space="0" w:color="auto"/>
              <w:bottom w:val="single" w:sz="4" w:space="0" w:color="auto"/>
              <w:right w:val="single" w:sz="4" w:space="0" w:color="auto"/>
            </w:tcBorders>
            <w:shd w:val="clear" w:color="auto" w:fill="auto"/>
            <w:noWrap/>
          </w:tcPr>
          <w:p w:rsidR="00B21B24" w:rsidRPr="0047440B" w:rsidRDefault="00B21B24" w:rsidP="00B21B24">
            <w:pPr>
              <w:jc w:val="center"/>
              <w:rPr>
                <w:color w:val="000000"/>
                <w:sz w:val="20"/>
                <w:szCs w:val="20"/>
              </w:rPr>
            </w:pPr>
            <w:r w:rsidRPr="0047440B">
              <w:rPr>
                <w:color w:val="000000"/>
                <w:sz w:val="20"/>
                <w:szCs w:val="20"/>
              </w:rPr>
              <w:t>1</w:t>
            </w:r>
          </w:p>
        </w:tc>
        <w:tc>
          <w:tcPr>
            <w:tcW w:w="952" w:type="dxa"/>
            <w:tcBorders>
              <w:top w:val="single" w:sz="4" w:space="0" w:color="auto"/>
              <w:left w:val="single" w:sz="4" w:space="0" w:color="auto"/>
              <w:bottom w:val="single" w:sz="4" w:space="0" w:color="auto"/>
              <w:right w:val="single" w:sz="4" w:space="0" w:color="auto"/>
            </w:tcBorders>
            <w:shd w:val="clear" w:color="000000" w:fill="FFFFFF"/>
            <w:noWrap/>
          </w:tcPr>
          <w:p w:rsidR="00B21B24" w:rsidRPr="0047440B" w:rsidRDefault="00B21B24" w:rsidP="00B21B24">
            <w:pPr>
              <w:autoSpaceDE/>
              <w:autoSpaceDN/>
              <w:adjustRightInd/>
              <w:jc w:val="center"/>
              <w:rPr>
                <w:color w:val="000000"/>
                <w:sz w:val="20"/>
                <w:szCs w:val="20"/>
              </w:rPr>
            </w:pPr>
            <w:r w:rsidRPr="0047440B">
              <w:rPr>
                <w:color w:val="000000"/>
                <w:sz w:val="20"/>
                <w:szCs w:val="20"/>
              </w:rPr>
              <w:t>9 167</w:t>
            </w:r>
          </w:p>
        </w:tc>
        <w:tc>
          <w:tcPr>
            <w:tcW w:w="1121" w:type="dxa"/>
            <w:tcBorders>
              <w:top w:val="single" w:sz="4" w:space="0" w:color="auto"/>
              <w:left w:val="single" w:sz="4" w:space="0" w:color="auto"/>
              <w:bottom w:val="single" w:sz="4" w:space="0" w:color="auto"/>
              <w:right w:val="single" w:sz="4" w:space="0" w:color="auto"/>
            </w:tcBorders>
            <w:shd w:val="clear" w:color="000000" w:fill="FFFFFF"/>
            <w:noWrap/>
          </w:tcPr>
          <w:p w:rsidR="00B21B24" w:rsidRPr="0047440B" w:rsidRDefault="00B21B24" w:rsidP="00B21B24">
            <w:pPr>
              <w:autoSpaceDE/>
              <w:autoSpaceDN/>
              <w:adjustRightInd/>
              <w:jc w:val="center"/>
              <w:rPr>
                <w:color w:val="000000"/>
                <w:sz w:val="20"/>
                <w:szCs w:val="20"/>
              </w:rPr>
            </w:pPr>
            <w:r w:rsidRPr="0047440B">
              <w:rPr>
                <w:color w:val="000000"/>
                <w:sz w:val="20"/>
                <w:szCs w:val="20"/>
              </w:rPr>
              <w:t>9 167</w:t>
            </w:r>
          </w:p>
        </w:tc>
        <w:tc>
          <w:tcPr>
            <w:tcW w:w="1217" w:type="dxa"/>
            <w:tcBorders>
              <w:top w:val="single" w:sz="4" w:space="0" w:color="auto"/>
              <w:left w:val="single" w:sz="4" w:space="0" w:color="auto"/>
              <w:bottom w:val="single" w:sz="4" w:space="0" w:color="auto"/>
              <w:right w:val="single" w:sz="4" w:space="0" w:color="auto"/>
            </w:tcBorders>
            <w:shd w:val="clear" w:color="000000" w:fill="FFFFFF"/>
          </w:tcPr>
          <w:p w:rsidR="00B21B24" w:rsidRPr="0047440B" w:rsidRDefault="00B21B24" w:rsidP="00B21B24">
            <w:pPr>
              <w:autoSpaceDE/>
              <w:autoSpaceDN/>
              <w:adjustRightInd/>
              <w:jc w:val="center"/>
              <w:rPr>
                <w:color w:val="000000"/>
                <w:sz w:val="20"/>
                <w:szCs w:val="20"/>
              </w:rPr>
            </w:pPr>
            <w:r w:rsidRPr="0047440B">
              <w:rPr>
                <w:color w:val="000000"/>
                <w:sz w:val="20"/>
                <w:szCs w:val="20"/>
              </w:rPr>
              <w:t>1</w:t>
            </w:r>
          </w:p>
        </w:tc>
      </w:tr>
      <w:tr w:rsidR="00B21B24" w:rsidRPr="0047440B" w:rsidTr="007E4743">
        <w:trPr>
          <w:trHeight w:val="20"/>
          <w:jc w:val="center"/>
        </w:trPr>
        <w:tc>
          <w:tcPr>
            <w:tcW w:w="486" w:type="dxa"/>
            <w:tcBorders>
              <w:top w:val="single" w:sz="4" w:space="0" w:color="auto"/>
              <w:left w:val="single" w:sz="4" w:space="0" w:color="auto"/>
              <w:bottom w:val="single" w:sz="4" w:space="0" w:color="auto"/>
              <w:right w:val="single" w:sz="4" w:space="0" w:color="auto"/>
            </w:tcBorders>
            <w:shd w:val="clear" w:color="000000" w:fill="FFFFFF"/>
            <w:noWrap/>
            <w:hideMark/>
          </w:tcPr>
          <w:p w:rsidR="00B21B24" w:rsidRPr="0047440B" w:rsidRDefault="00B21B24" w:rsidP="00B21B24">
            <w:pPr>
              <w:autoSpaceDE/>
              <w:autoSpaceDN/>
              <w:adjustRightInd/>
              <w:jc w:val="center"/>
              <w:rPr>
                <w:color w:val="000000"/>
                <w:sz w:val="20"/>
                <w:szCs w:val="20"/>
              </w:rPr>
            </w:pPr>
            <w:r w:rsidRPr="0047440B">
              <w:rPr>
                <w:color w:val="000000"/>
                <w:sz w:val="20"/>
                <w:szCs w:val="20"/>
              </w:rPr>
              <w:t>17.</w:t>
            </w:r>
          </w:p>
        </w:tc>
        <w:tc>
          <w:tcPr>
            <w:tcW w:w="2917" w:type="dxa"/>
            <w:tcBorders>
              <w:top w:val="single" w:sz="4" w:space="0" w:color="auto"/>
              <w:left w:val="single" w:sz="4" w:space="0" w:color="auto"/>
              <w:bottom w:val="single" w:sz="4" w:space="0" w:color="auto"/>
              <w:right w:val="single" w:sz="4" w:space="0" w:color="auto"/>
            </w:tcBorders>
            <w:shd w:val="clear" w:color="auto" w:fill="auto"/>
          </w:tcPr>
          <w:p w:rsidR="00B21B24" w:rsidRPr="0047440B" w:rsidRDefault="00B21B24" w:rsidP="00B21B24">
            <w:pPr>
              <w:rPr>
                <w:color w:val="000000"/>
                <w:sz w:val="20"/>
                <w:szCs w:val="20"/>
              </w:rPr>
            </w:pPr>
            <w:r w:rsidRPr="0047440B">
              <w:rPr>
                <w:color w:val="000000"/>
                <w:sz w:val="20"/>
                <w:szCs w:val="20"/>
              </w:rPr>
              <w:t xml:space="preserve">ГАУЗ «Елабужская ЦРБ» </w:t>
            </w:r>
          </w:p>
        </w:tc>
        <w:tc>
          <w:tcPr>
            <w:tcW w:w="12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21B24" w:rsidRPr="0047440B" w:rsidRDefault="00B21B24" w:rsidP="00B21B24">
            <w:pPr>
              <w:jc w:val="center"/>
              <w:rPr>
                <w:color w:val="000000"/>
                <w:sz w:val="20"/>
                <w:szCs w:val="20"/>
              </w:rPr>
            </w:pPr>
            <w:r w:rsidRPr="0047440B">
              <w:rPr>
                <w:color w:val="000000"/>
                <w:sz w:val="20"/>
                <w:szCs w:val="20"/>
              </w:rPr>
              <w:t>6</w:t>
            </w:r>
          </w:p>
        </w:tc>
        <w:tc>
          <w:tcPr>
            <w:tcW w:w="816" w:type="dxa"/>
            <w:tcBorders>
              <w:top w:val="single" w:sz="4" w:space="0" w:color="auto"/>
              <w:left w:val="single" w:sz="4" w:space="0" w:color="auto"/>
              <w:bottom w:val="single" w:sz="4" w:space="0" w:color="auto"/>
              <w:right w:val="single" w:sz="4" w:space="0" w:color="auto"/>
            </w:tcBorders>
            <w:shd w:val="clear" w:color="auto" w:fill="auto"/>
            <w:noWrap/>
          </w:tcPr>
          <w:p w:rsidR="00B21B24" w:rsidRPr="0047440B" w:rsidRDefault="00B21B24" w:rsidP="00B21B24">
            <w:pPr>
              <w:jc w:val="center"/>
              <w:rPr>
                <w:color w:val="000000"/>
                <w:sz w:val="20"/>
                <w:szCs w:val="20"/>
              </w:rPr>
            </w:pPr>
            <w:r w:rsidRPr="0047440B">
              <w:rPr>
                <w:color w:val="000000"/>
                <w:sz w:val="20"/>
                <w:szCs w:val="20"/>
              </w:rPr>
              <w:t>6,25</w:t>
            </w:r>
          </w:p>
        </w:tc>
        <w:tc>
          <w:tcPr>
            <w:tcW w:w="792" w:type="dxa"/>
            <w:tcBorders>
              <w:top w:val="single" w:sz="4" w:space="0" w:color="auto"/>
              <w:left w:val="single" w:sz="4" w:space="0" w:color="auto"/>
              <w:bottom w:val="single" w:sz="4" w:space="0" w:color="auto"/>
              <w:right w:val="single" w:sz="4" w:space="0" w:color="auto"/>
            </w:tcBorders>
            <w:shd w:val="clear" w:color="auto" w:fill="auto"/>
            <w:noWrap/>
          </w:tcPr>
          <w:p w:rsidR="00B21B24" w:rsidRPr="0047440B" w:rsidRDefault="00B21B24" w:rsidP="00B21B24">
            <w:pPr>
              <w:jc w:val="center"/>
              <w:rPr>
                <w:color w:val="000000"/>
                <w:sz w:val="20"/>
                <w:szCs w:val="20"/>
              </w:rPr>
            </w:pPr>
            <w:r w:rsidRPr="0047440B">
              <w:rPr>
                <w:color w:val="000000"/>
                <w:sz w:val="20"/>
                <w:szCs w:val="20"/>
              </w:rPr>
              <w:t>6,25</w:t>
            </w:r>
          </w:p>
        </w:tc>
        <w:tc>
          <w:tcPr>
            <w:tcW w:w="1239" w:type="dxa"/>
            <w:tcBorders>
              <w:top w:val="single" w:sz="4" w:space="0" w:color="auto"/>
              <w:left w:val="single" w:sz="4" w:space="0" w:color="auto"/>
              <w:bottom w:val="single" w:sz="4" w:space="0" w:color="auto"/>
              <w:right w:val="single" w:sz="4" w:space="0" w:color="auto"/>
            </w:tcBorders>
            <w:shd w:val="clear" w:color="auto" w:fill="auto"/>
            <w:noWrap/>
          </w:tcPr>
          <w:p w:rsidR="00B21B24" w:rsidRPr="0047440B" w:rsidRDefault="00B21B24" w:rsidP="00B21B24">
            <w:pPr>
              <w:jc w:val="center"/>
              <w:rPr>
                <w:color w:val="000000"/>
                <w:sz w:val="20"/>
                <w:szCs w:val="20"/>
              </w:rPr>
            </w:pPr>
            <w:r w:rsidRPr="0047440B">
              <w:rPr>
                <w:color w:val="000000"/>
                <w:sz w:val="20"/>
                <w:szCs w:val="20"/>
              </w:rPr>
              <w:t>7</w:t>
            </w:r>
          </w:p>
        </w:tc>
        <w:tc>
          <w:tcPr>
            <w:tcW w:w="952" w:type="dxa"/>
            <w:tcBorders>
              <w:top w:val="single" w:sz="4" w:space="0" w:color="auto"/>
              <w:left w:val="single" w:sz="4" w:space="0" w:color="auto"/>
              <w:bottom w:val="single" w:sz="4" w:space="0" w:color="auto"/>
              <w:right w:val="single" w:sz="4" w:space="0" w:color="auto"/>
            </w:tcBorders>
            <w:shd w:val="clear" w:color="000000" w:fill="FFFFFF"/>
            <w:noWrap/>
          </w:tcPr>
          <w:p w:rsidR="00B21B24" w:rsidRPr="0047440B" w:rsidRDefault="00B21B24" w:rsidP="00B21B24">
            <w:pPr>
              <w:autoSpaceDE/>
              <w:autoSpaceDN/>
              <w:adjustRightInd/>
              <w:jc w:val="center"/>
              <w:rPr>
                <w:color w:val="000000"/>
                <w:sz w:val="20"/>
                <w:szCs w:val="20"/>
              </w:rPr>
            </w:pPr>
            <w:r w:rsidRPr="0047440B">
              <w:rPr>
                <w:color w:val="000000"/>
                <w:sz w:val="20"/>
                <w:szCs w:val="20"/>
              </w:rPr>
              <w:t>36 114</w:t>
            </w:r>
          </w:p>
        </w:tc>
        <w:tc>
          <w:tcPr>
            <w:tcW w:w="1121" w:type="dxa"/>
            <w:tcBorders>
              <w:top w:val="single" w:sz="4" w:space="0" w:color="auto"/>
              <w:left w:val="single" w:sz="4" w:space="0" w:color="auto"/>
              <w:bottom w:val="single" w:sz="4" w:space="0" w:color="auto"/>
              <w:right w:val="single" w:sz="4" w:space="0" w:color="auto"/>
            </w:tcBorders>
            <w:shd w:val="clear" w:color="000000" w:fill="FFFFFF"/>
            <w:noWrap/>
          </w:tcPr>
          <w:p w:rsidR="00B21B24" w:rsidRPr="0047440B" w:rsidRDefault="00B21B24" w:rsidP="00B21B24">
            <w:pPr>
              <w:autoSpaceDE/>
              <w:autoSpaceDN/>
              <w:adjustRightInd/>
              <w:jc w:val="center"/>
              <w:rPr>
                <w:color w:val="000000"/>
                <w:sz w:val="20"/>
                <w:szCs w:val="20"/>
              </w:rPr>
            </w:pPr>
            <w:r w:rsidRPr="0047440B">
              <w:rPr>
                <w:color w:val="000000"/>
                <w:sz w:val="20"/>
                <w:szCs w:val="20"/>
              </w:rPr>
              <w:t>7 223</w:t>
            </w:r>
          </w:p>
        </w:tc>
        <w:tc>
          <w:tcPr>
            <w:tcW w:w="1217" w:type="dxa"/>
            <w:tcBorders>
              <w:top w:val="single" w:sz="4" w:space="0" w:color="auto"/>
              <w:left w:val="single" w:sz="4" w:space="0" w:color="auto"/>
              <w:bottom w:val="single" w:sz="4" w:space="0" w:color="auto"/>
              <w:right w:val="single" w:sz="4" w:space="0" w:color="auto"/>
            </w:tcBorders>
            <w:shd w:val="clear" w:color="000000" w:fill="FFFFFF"/>
          </w:tcPr>
          <w:p w:rsidR="00B21B24" w:rsidRPr="0047440B" w:rsidRDefault="00B21B24" w:rsidP="00B21B24">
            <w:pPr>
              <w:autoSpaceDE/>
              <w:autoSpaceDN/>
              <w:adjustRightInd/>
              <w:jc w:val="center"/>
              <w:rPr>
                <w:color w:val="000000"/>
                <w:sz w:val="20"/>
                <w:szCs w:val="20"/>
              </w:rPr>
            </w:pPr>
            <w:r w:rsidRPr="0047440B">
              <w:rPr>
                <w:color w:val="000000"/>
                <w:sz w:val="20"/>
                <w:szCs w:val="20"/>
              </w:rPr>
              <w:t>1</w:t>
            </w:r>
          </w:p>
        </w:tc>
      </w:tr>
      <w:tr w:rsidR="00B21B24" w:rsidRPr="0047440B" w:rsidTr="007E4743">
        <w:trPr>
          <w:trHeight w:val="20"/>
          <w:jc w:val="center"/>
        </w:trPr>
        <w:tc>
          <w:tcPr>
            <w:tcW w:w="486" w:type="dxa"/>
            <w:tcBorders>
              <w:top w:val="single" w:sz="4" w:space="0" w:color="auto"/>
              <w:left w:val="single" w:sz="4" w:space="0" w:color="auto"/>
              <w:bottom w:val="single" w:sz="4" w:space="0" w:color="auto"/>
              <w:right w:val="single" w:sz="4" w:space="0" w:color="auto"/>
            </w:tcBorders>
            <w:shd w:val="clear" w:color="000000" w:fill="FFFFFF"/>
            <w:noWrap/>
          </w:tcPr>
          <w:p w:rsidR="00B21B24" w:rsidRPr="0047440B" w:rsidRDefault="00B21B24" w:rsidP="00B21B24">
            <w:pPr>
              <w:autoSpaceDE/>
              <w:autoSpaceDN/>
              <w:adjustRightInd/>
              <w:jc w:val="center"/>
              <w:rPr>
                <w:color w:val="000000"/>
                <w:sz w:val="20"/>
                <w:szCs w:val="20"/>
              </w:rPr>
            </w:pPr>
            <w:r w:rsidRPr="0047440B">
              <w:rPr>
                <w:color w:val="000000"/>
                <w:sz w:val="20"/>
                <w:szCs w:val="20"/>
              </w:rPr>
              <w:t>18.</w:t>
            </w:r>
          </w:p>
        </w:tc>
        <w:tc>
          <w:tcPr>
            <w:tcW w:w="2917" w:type="dxa"/>
            <w:tcBorders>
              <w:top w:val="single" w:sz="4" w:space="0" w:color="auto"/>
              <w:left w:val="single" w:sz="4" w:space="0" w:color="auto"/>
              <w:bottom w:val="single" w:sz="4" w:space="0" w:color="auto"/>
              <w:right w:val="single" w:sz="4" w:space="0" w:color="auto"/>
            </w:tcBorders>
            <w:shd w:val="clear" w:color="auto" w:fill="auto"/>
          </w:tcPr>
          <w:p w:rsidR="00B21B24" w:rsidRPr="0047440B" w:rsidRDefault="00B21B24" w:rsidP="00B21B24">
            <w:pPr>
              <w:rPr>
                <w:color w:val="000000"/>
                <w:sz w:val="20"/>
                <w:szCs w:val="20"/>
              </w:rPr>
            </w:pPr>
            <w:r w:rsidRPr="0047440B">
              <w:rPr>
                <w:color w:val="000000"/>
                <w:sz w:val="20"/>
                <w:szCs w:val="20"/>
              </w:rPr>
              <w:t>ГАУЗ «Заинская ЦРБ»</w:t>
            </w:r>
          </w:p>
        </w:tc>
        <w:tc>
          <w:tcPr>
            <w:tcW w:w="12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21B24" w:rsidRPr="0047440B" w:rsidRDefault="00B21B24" w:rsidP="00B21B24">
            <w:pPr>
              <w:jc w:val="center"/>
              <w:rPr>
                <w:color w:val="000000"/>
                <w:sz w:val="20"/>
                <w:szCs w:val="20"/>
              </w:rPr>
            </w:pPr>
            <w:r w:rsidRPr="0047440B">
              <w:rPr>
                <w:color w:val="000000"/>
                <w:sz w:val="20"/>
                <w:szCs w:val="20"/>
              </w:rPr>
              <w:t>1</w:t>
            </w:r>
          </w:p>
        </w:tc>
        <w:tc>
          <w:tcPr>
            <w:tcW w:w="816" w:type="dxa"/>
            <w:tcBorders>
              <w:top w:val="single" w:sz="4" w:space="0" w:color="auto"/>
              <w:left w:val="single" w:sz="4" w:space="0" w:color="auto"/>
              <w:bottom w:val="single" w:sz="4" w:space="0" w:color="auto"/>
              <w:right w:val="single" w:sz="4" w:space="0" w:color="auto"/>
            </w:tcBorders>
            <w:shd w:val="clear" w:color="auto" w:fill="auto"/>
            <w:noWrap/>
          </w:tcPr>
          <w:p w:rsidR="00B21B24" w:rsidRPr="0047440B" w:rsidRDefault="00B21B24" w:rsidP="00B21B24">
            <w:pPr>
              <w:jc w:val="center"/>
              <w:rPr>
                <w:color w:val="000000"/>
                <w:sz w:val="20"/>
                <w:szCs w:val="20"/>
              </w:rPr>
            </w:pPr>
            <w:r w:rsidRPr="0047440B">
              <w:rPr>
                <w:color w:val="000000"/>
                <w:sz w:val="20"/>
                <w:szCs w:val="20"/>
              </w:rPr>
              <w:t>2,00</w:t>
            </w:r>
          </w:p>
        </w:tc>
        <w:tc>
          <w:tcPr>
            <w:tcW w:w="792" w:type="dxa"/>
            <w:tcBorders>
              <w:top w:val="single" w:sz="4" w:space="0" w:color="auto"/>
              <w:left w:val="single" w:sz="4" w:space="0" w:color="auto"/>
              <w:bottom w:val="single" w:sz="4" w:space="0" w:color="auto"/>
              <w:right w:val="single" w:sz="4" w:space="0" w:color="auto"/>
            </w:tcBorders>
            <w:shd w:val="clear" w:color="auto" w:fill="auto"/>
            <w:noWrap/>
          </w:tcPr>
          <w:p w:rsidR="00B21B24" w:rsidRPr="0047440B" w:rsidRDefault="00B21B24" w:rsidP="00B21B24">
            <w:pPr>
              <w:jc w:val="center"/>
              <w:rPr>
                <w:color w:val="000000"/>
                <w:sz w:val="20"/>
                <w:szCs w:val="20"/>
              </w:rPr>
            </w:pPr>
            <w:r w:rsidRPr="0047440B">
              <w:rPr>
                <w:color w:val="000000"/>
                <w:sz w:val="20"/>
                <w:szCs w:val="20"/>
              </w:rPr>
              <w:t>2,00</w:t>
            </w:r>
          </w:p>
        </w:tc>
        <w:tc>
          <w:tcPr>
            <w:tcW w:w="1239" w:type="dxa"/>
            <w:tcBorders>
              <w:top w:val="single" w:sz="4" w:space="0" w:color="auto"/>
              <w:left w:val="single" w:sz="4" w:space="0" w:color="auto"/>
              <w:bottom w:val="single" w:sz="4" w:space="0" w:color="auto"/>
              <w:right w:val="single" w:sz="4" w:space="0" w:color="auto"/>
            </w:tcBorders>
            <w:shd w:val="clear" w:color="auto" w:fill="auto"/>
            <w:noWrap/>
          </w:tcPr>
          <w:p w:rsidR="00B21B24" w:rsidRPr="0047440B" w:rsidRDefault="00B21B24" w:rsidP="00B21B24">
            <w:pPr>
              <w:jc w:val="center"/>
              <w:rPr>
                <w:color w:val="000000"/>
                <w:sz w:val="20"/>
                <w:szCs w:val="20"/>
              </w:rPr>
            </w:pPr>
            <w:r w:rsidRPr="0047440B">
              <w:rPr>
                <w:color w:val="000000"/>
                <w:sz w:val="20"/>
                <w:szCs w:val="20"/>
              </w:rPr>
              <w:t>2</w:t>
            </w:r>
          </w:p>
        </w:tc>
        <w:tc>
          <w:tcPr>
            <w:tcW w:w="952" w:type="dxa"/>
            <w:tcBorders>
              <w:top w:val="single" w:sz="4" w:space="0" w:color="auto"/>
              <w:left w:val="single" w:sz="4" w:space="0" w:color="auto"/>
              <w:bottom w:val="single" w:sz="4" w:space="0" w:color="auto"/>
              <w:right w:val="single" w:sz="4" w:space="0" w:color="auto"/>
            </w:tcBorders>
            <w:shd w:val="clear" w:color="000000" w:fill="FFFFFF"/>
            <w:noWrap/>
          </w:tcPr>
          <w:p w:rsidR="00B21B24" w:rsidRPr="0047440B" w:rsidRDefault="00B21B24" w:rsidP="00B21B24">
            <w:pPr>
              <w:autoSpaceDE/>
              <w:autoSpaceDN/>
              <w:adjustRightInd/>
              <w:jc w:val="center"/>
              <w:rPr>
                <w:color w:val="000000"/>
                <w:sz w:val="20"/>
                <w:szCs w:val="20"/>
              </w:rPr>
            </w:pPr>
            <w:r w:rsidRPr="0047440B">
              <w:rPr>
                <w:color w:val="000000"/>
                <w:sz w:val="20"/>
                <w:szCs w:val="20"/>
              </w:rPr>
              <w:t>22 852</w:t>
            </w:r>
          </w:p>
        </w:tc>
        <w:tc>
          <w:tcPr>
            <w:tcW w:w="1121" w:type="dxa"/>
            <w:tcBorders>
              <w:top w:val="single" w:sz="4" w:space="0" w:color="auto"/>
              <w:left w:val="single" w:sz="4" w:space="0" w:color="auto"/>
              <w:bottom w:val="single" w:sz="4" w:space="0" w:color="auto"/>
              <w:right w:val="single" w:sz="4" w:space="0" w:color="auto"/>
            </w:tcBorders>
            <w:shd w:val="clear" w:color="000000" w:fill="FFFFFF"/>
            <w:noWrap/>
          </w:tcPr>
          <w:p w:rsidR="00B21B24" w:rsidRPr="0047440B" w:rsidRDefault="00B21B24" w:rsidP="00B21B24">
            <w:pPr>
              <w:autoSpaceDE/>
              <w:autoSpaceDN/>
              <w:adjustRightInd/>
              <w:jc w:val="center"/>
              <w:rPr>
                <w:color w:val="000000"/>
                <w:sz w:val="20"/>
                <w:szCs w:val="20"/>
              </w:rPr>
            </w:pPr>
            <w:r w:rsidRPr="0047440B">
              <w:rPr>
                <w:color w:val="000000"/>
                <w:sz w:val="20"/>
                <w:szCs w:val="20"/>
              </w:rPr>
              <w:t>22 852</w:t>
            </w:r>
          </w:p>
        </w:tc>
        <w:tc>
          <w:tcPr>
            <w:tcW w:w="1217" w:type="dxa"/>
            <w:tcBorders>
              <w:top w:val="single" w:sz="4" w:space="0" w:color="auto"/>
              <w:left w:val="single" w:sz="4" w:space="0" w:color="auto"/>
              <w:bottom w:val="single" w:sz="4" w:space="0" w:color="auto"/>
              <w:right w:val="single" w:sz="4" w:space="0" w:color="auto"/>
            </w:tcBorders>
            <w:shd w:val="clear" w:color="000000" w:fill="FFFFFF"/>
          </w:tcPr>
          <w:p w:rsidR="00B21B24" w:rsidRPr="0047440B" w:rsidRDefault="00B21B24" w:rsidP="00B21B24">
            <w:pPr>
              <w:autoSpaceDE/>
              <w:autoSpaceDN/>
              <w:adjustRightInd/>
              <w:jc w:val="center"/>
              <w:rPr>
                <w:color w:val="000000"/>
                <w:sz w:val="20"/>
                <w:szCs w:val="20"/>
              </w:rPr>
            </w:pPr>
            <w:r w:rsidRPr="0047440B">
              <w:rPr>
                <w:color w:val="000000"/>
                <w:sz w:val="20"/>
                <w:szCs w:val="20"/>
              </w:rPr>
              <w:t>1</w:t>
            </w:r>
          </w:p>
        </w:tc>
      </w:tr>
      <w:tr w:rsidR="00B21B24" w:rsidRPr="0047440B" w:rsidTr="007E4743">
        <w:trPr>
          <w:trHeight w:val="20"/>
          <w:jc w:val="center"/>
        </w:trPr>
        <w:tc>
          <w:tcPr>
            <w:tcW w:w="486" w:type="dxa"/>
            <w:tcBorders>
              <w:top w:val="single" w:sz="4" w:space="0" w:color="auto"/>
              <w:left w:val="single" w:sz="4" w:space="0" w:color="auto"/>
              <w:bottom w:val="single" w:sz="4" w:space="0" w:color="auto"/>
              <w:right w:val="single" w:sz="4" w:space="0" w:color="auto"/>
            </w:tcBorders>
            <w:shd w:val="clear" w:color="000000" w:fill="FFFFFF"/>
            <w:noWrap/>
            <w:hideMark/>
          </w:tcPr>
          <w:p w:rsidR="00B21B24" w:rsidRPr="0047440B" w:rsidRDefault="00B21B24" w:rsidP="00B21B24">
            <w:pPr>
              <w:autoSpaceDE/>
              <w:autoSpaceDN/>
              <w:adjustRightInd/>
              <w:jc w:val="center"/>
              <w:rPr>
                <w:color w:val="000000"/>
                <w:sz w:val="20"/>
                <w:szCs w:val="20"/>
              </w:rPr>
            </w:pPr>
            <w:r w:rsidRPr="0047440B">
              <w:rPr>
                <w:color w:val="000000"/>
                <w:sz w:val="20"/>
                <w:szCs w:val="20"/>
              </w:rPr>
              <w:t>19.</w:t>
            </w:r>
          </w:p>
        </w:tc>
        <w:tc>
          <w:tcPr>
            <w:tcW w:w="2917" w:type="dxa"/>
            <w:tcBorders>
              <w:top w:val="single" w:sz="4" w:space="0" w:color="auto"/>
              <w:left w:val="single" w:sz="4" w:space="0" w:color="auto"/>
              <w:bottom w:val="single" w:sz="4" w:space="0" w:color="auto"/>
              <w:right w:val="single" w:sz="4" w:space="0" w:color="auto"/>
            </w:tcBorders>
            <w:shd w:val="clear" w:color="auto" w:fill="auto"/>
          </w:tcPr>
          <w:p w:rsidR="00B21B24" w:rsidRPr="0047440B" w:rsidRDefault="00B21B24" w:rsidP="00B21B24">
            <w:pPr>
              <w:rPr>
                <w:color w:val="000000"/>
                <w:sz w:val="20"/>
                <w:szCs w:val="20"/>
              </w:rPr>
            </w:pPr>
            <w:r w:rsidRPr="0047440B">
              <w:rPr>
                <w:color w:val="000000"/>
                <w:sz w:val="20"/>
                <w:szCs w:val="20"/>
              </w:rPr>
              <w:t>ГАУЗ «Зеленодольская ЦРБ»</w:t>
            </w:r>
          </w:p>
        </w:tc>
        <w:tc>
          <w:tcPr>
            <w:tcW w:w="12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21B24" w:rsidRPr="0047440B" w:rsidRDefault="00B21B24" w:rsidP="00B21B24">
            <w:pPr>
              <w:jc w:val="center"/>
              <w:rPr>
                <w:color w:val="000000"/>
                <w:sz w:val="20"/>
                <w:szCs w:val="20"/>
              </w:rPr>
            </w:pPr>
            <w:r w:rsidRPr="0047440B">
              <w:rPr>
                <w:color w:val="000000"/>
                <w:sz w:val="20"/>
                <w:szCs w:val="20"/>
              </w:rPr>
              <w:t>6</w:t>
            </w:r>
          </w:p>
        </w:tc>
        <w:tc>
          <w:tcPr>
            <w:tcW w:w="816" w:type="dxa"/>
            <w:tcBorders>
              <w:top w:val="single" w:sz="4" w:space="0" w:color="auto"/>
              <w:left w:val="single" w:sz="4" w:space="0" w:color="auto"/>
              <w:bottom w:val="single" w:sz="4" w:space="0" w:color="auto"/>
              <w:right w:val="single" w:sz="4" w:space="0" w:color="auto"/>
            </w:tcBorders>
            <w:shd w:val="clear" w:color="auto" w:fill="auto"/>
            <w:noWrap/>
          </w:tcPr>
          <w:p w:rsidR="00B21B24" w:rsidRPr="0047440B" w:rsidRDefault="00B21B24" w:rsidP="00B21B24">
            <w:pPr>
              <w:jc w:val="center"/>
              <w:rPr>
                <w:color w:val="000000"/>
                <w:sz w:val="20"/>
                <w:szCs w:val="20"/>
              </w:rPr>
            </w:pPr>
            <w:r w:rsidRPr="0047440B">
              <w:rPr>
                <w:color w:val="000000"/>
                <w:sz w:val="20"/>
                <w:szCs w:val="20"/>
              </w:rPr>
              <w:t>7,50</w:t>
            </w:r>
          </w:p>
        </w:tc>
        <w:tc>
          <w:tcPr>
            <w:tcW w:w="792" w:type="dxa"/>
            <w:tcBorders>
              <w:top w:val="single" w:sz="4" w:space="0" w:color="auto"/>
              <w:left w:val="single" w:sz="4" w:space="0" w:color="auto"/>
              <w:bottom w:val="single" w:sz="4" w:space="0" w:color="auto"/>
              <w:right w:val="single" w:sz="4" w:space="0" w:color="auto"/>
            </w:tcBorders>
            <w:shd w:val="clear" w:color="auto" w:fill="auto"/>
            <w:noWrap/>
          </w:tcPr>
          <w:p w:rsidR="00B21B24" w:rsidRPr="0047440B" w:rsidRDefault="00B21B24" w:rsidP="00B21B24">
            <w:pPr>
              <w:jc w:val="center"/>
              <w:rPr>
                <w:color w:val="000000"/>
                <w:sz w:val="20"/>
                <w:szCs w:val="20"/>
              </w:rPr>
            </w:pPr>
            <w:r w:rsidRPr="0047440B">
              <w:rPr>
                <w:color w:val="000000"/>
                <w:sz w:val="20"/>
                <w:szCs w:val="20"/>
              </w:rPr>
              <w:t>7,50</w:t>
            </w:r>
          </w:p>
        </w:tc>
        <w:tc>
          <w:tcPr>
            <w:tcW w:w="1239" w:type="dxa"/>
            <w:tcBorders>
              <w:top w:val="single" w:sz="4" w:space="0" w:color="auto"/>
              <w:left w:val="single" w:sz="4" w:space="0" w:color="auto"/>
              <w:bottom w:val="single" w:sz="4" w:space="0" w:color="auto"/>
              <w:right w:val="single" w:sz="4" w:space="0" w:color="auto"/>
            </w:tcBorders>
            <w:shd w:val="clear" w:color="auto" w:fill="auto"/>
            <w:noWrap/>
          </w:tcPr>
          <w:p w:rsidR="00B21B24" w:rsidRPr="0047440B" w:rsidRDefault="00B21B24" w:rsidP="00B21B24">
            <w:pPr>
              <w:jc w:val="center"/>
              <w:rPr>
                <w:color w:val="000000"/>
                <w:sz w:val="20"/>
                <w:szCs w:val="20"/>
              </w:rPr>
            </w:pPr>
            <w:r w:rsidRPr="0047440B">
              <w:rPr>
                <w:color w:val="000000"/>
                <w:sz w:val="20"/>
                <w:szCs w:val="20"/>
              </w:rPr>
              <w:t>6</w:t>
            </w:r>
          </w:p>
        </w:tc>
        <w:tc>
          <w:tcPr>
            <w:tcW w:w="952" w:type="dxa"/>
            <w:tcBorders>
              <w:top w:val="single" w:sz="4" w:space="0" w:color="auto"/>
              <w:left w:val="single" w:sz="4" w:space="0" w:color="auto"/>
              <w:bottom w:val="single" w:sz="4" w:space="0" w:color="auto"/>
              <w:right w:val="single" w:sz="4" w:space="0" w:color="auto"/>
            </w:tcBorders>
            <w:shd w:val="clear" w:color="000000" w:fill="FFFFFF"/>
            <w:noWrap/>
          </w:tcPr>
          <w:p w:rsidR="00B21B24" w:rsidRPr="0047440B" w:rsidRDefault="00B21B24" w:rsidP="00B21B24">
            <w:pPr>
              <w:autoSpaceDE/>
              <w:autoSpaceDN/>
              <w:adjustRightInd/>
              <w:jc w:val="center"/>
              <w:rPr>
                <w:color w:val="000000"/>
                <w:sz w:val="20"/>
                <w:szCs w:val="20"/>
              </w:rPr>
            </w:pPr>
            <w:r w:rsidRPr="0047440B">
              <w:rPr>
                <w:color w:val="000000"/>
                <w:sz w:val="20"/>
                <w:szCs w:val="20"/>
              </w:rPr>
              <w:t>49 202</w:t>
            </w:r>
          </w:p>
        </w:tc>
        <w:tc>
          <w:tcPr>
            <w:tcW w:w="1121" w:type="dxa"/>
            <w:tcBorders>
              <w:top w:val="single" w:sz="4" w:space="0" w:color="auto"/>
              <w:left w:val="single" w:sz="4" w:space="0" w:color="auto"/>
              <w:bottom w:val="single" w:sz="4" w:space="0" w:color="auto"/>
              <w:right w:val="single" w:sz="4" w:space="0" w:color="auto"/>
            </w:tcBorders>
            <w:shd w:val="clear" w:color="000000" w:fill="FFFFFF"/>
            <w:noWrap/>
          </w:tcPr>
          <w:p w:rsidR="00B21B24" w:rsidRPr="0047440B" w:rsidRDefault="00B21B24" w:rsidP="00B21B24">
            <w:pPr>
              <w:autoSpaceDE/>
              <w:autoSpaceDN/>
              <w:adjustRightInd/>
              <w:jc w:val="center"/>
              <w:rPr>
                <w:color w:val="000000"/>
                <w:sz w:val="20"/>
                <w:szCs w:val="20"/>
              </w:rPr>
            </w:pPr>
            <w:r w:rsidRPr="0047440B">
              <w:rPr>
                <w:color w:val="000000"/>
                <w:sz w:val="20"/>
                <w:szCs w:val="20"/>
              </w:rPr>
              <w:t>8 200</w:t>
            </w:r>
          </w:p>
        </w:tc>
        <w:tc>
          <w:tcPr>
            <w:tcW w:w="1217" w:type="dxa"/>
            <w:tcBorders>
              <w:top w:val="single" w:sz="4" w:space="0" w:color="auto"/>
              <w:left w:val="single" w:sz="4" w:space="0" w:color="auto"/>
              <w:bottom w:val="single" w:sz="4" w:space="0" w:color="auto"/>
              <w:right w:val="single" w:sz="4" w:space="0" w:color="auto"/>
            </w:tcBorders>
            <w:shd w:val="clear" w:color="000000" w:fill="FFFFFF"/>
          </w:tcPr>
          <w:p w:rsidR="00B21B24" w:rsidRPr="0047440B" w:rsidRDefault="00B21B24" w:rsidP="00B21B24">
            <w:pPr>
              <w:autoSpaceDE/>
              <w:autoSpaceDN/>
              <w:adjustRightInd/>
              <w:jc w:val="center"/>
              <w:rPr>
                <w:color w:val="000000"/>
                <w:sz w:val="20"/>
                <w:szCs w:val="20"/>
              </w:rPr>
            </w:pPr>
            <w:r w:rsidRPr="0047440B">
              <w:rPr>
                <w:color w:val="000000"/>
                <w:sz w:val="20"/>
                <w:szCs w:val="20"/>
              </w:rPr>
              <w:t>1</w:t>
            </w:r>
          </w:p>
        </w:tc>
      </w:tr>
      <w:tr w:rsidR="00B21B24" w:rsidRPr="0047440B" w:rsidTr="007E4743">
        <w:trPr>
          <w:trHeight w:val="20"/>
          <w:jc w:val="center"/>
        </w:trPr>
        <w:tc>
          <w:tcPr>
            <w:tcW w:w="486" w:type="dxa"/>
            <w:tcBorders>
              <w:top w:val="single" w:sz="4" w:space="0" w:color="auto"/>
              <w:left w:val="single" w:sz="4" w:space="0" w:color="auto"/>
              <w:bottom w:val="single" w:sz="4" w:space="0" w:color="auto"/>
              <w:right w:val="single" w:sz="4" w:space="0" w:color="auto"/>
            </w:tcBorders>
            <w:shd w:val="clear" w:color="000000" w:fill="FFFFFF"/>
            <w:noWrap/>
            <w:hideMark/>
          </w:tcPr>
          <w:p w:rsidR="00B21B24" w:rsidRPr="0047440B" w:rsidRDefault="00B21B24" w:rsidP="00B21B24">
            <w:pPr>
              <w:autoSpaceDE/>
              <w:autoSpaceDN/>
              <w:adjustRightInd/>
              <w:jc w:val="center"/>
              <w:rPr>
                <w:color w:val="000000"/>
                <w:sz w:val="20"/>
                <w:szCs w:val="20"/>
              </w:rPr>
            </w:pPr>
            <w:r w:rsidRPr="0047440B">
              <w:rPr>
                <w:color w:val="000000"/>
                <w:sz w:val="20"/>
                <w:szCs w:val="20"/>
              </w:rPr>
              <w:t>20.</w:t>
            </w:r>
          </w:p>
        </w:tc>
        <w:tc>
          <w:tcPr>
            <w:tcW w:w="2917" w:type="dxa"/>
            <w:tcBorders>
              <w:top w:val="single" w:sz="4" w:space="0" w:color="auto"/>
              <w:left w:val="single" w:sz="4" w:space="0" w:color="auto"/>
              <w:bottom w:val="single" w:sz="4" w:space="0" w:color="auto"/>
              <w:right w:val="single" w:sz="4" w:space="0" w:color="auto"/>
            </w:tcBorders>
            <w:shd w:val="clear" w:color="000000" w:fill="FFFFFF"/>
          </w:tcPr>
          <w:p w:rsidR="00B21B24" w:rsidRPr="0047440B" w:rsidRDefault="00B21B24" w:rsidP="00B21B24">
            <w:pPr>
              <w:autoSpaceDE/>
              <w:autoSpaceDN/>
              <w:adjustRightInd/>
              <w:jc w:val="both"/>
              <w:rPr>
                <w:color w:val="000000"/>
                <w:sz w:val="20"/>
                <w:szCs w:val="20"/>
              </w:rPr>
            </w:pPr>
            <w:r w:rsidRPr="0047440B">
              <w:rPr>
                <w:color w:val="000000"/>
                <w:sz w:val="20"/>
                <w:szCs w:val="20"/>
              </w:rPr>
              <w:t>ГАУЗ «Камско-Полянская районная больница»</w:t>
            </w:r>
          </w:p>
        </w:tc>
        <w:tc>
          <w:tcPr>
            <w:tcW w:w="1233" w:type="dxa"/>
            <w:tcBorders>
              <w:top w:val="single" w:sz="4" w:space="0" w:color="auto"/>
              <w:left w:val="single" w:sz="4" w:space="0" w:color="auto"/>
              <w:bottom w:val="single" w:sz="4" w:space="0" w:color="auto"/>
              <w:right w:val="single" w:sz="4" w:space="0" w:color="auto"/>
            </w:tcBorders>
            <w:shd w:val="clear" w:color="000000" w:fill="FFFFFF"/>
            <w:noWrap/>
          </w:tcPr>
          <w:p w:rsidR="00B21B24" w:rsidRPr="0047440B" w:rsidRDefault="00B21B24" w:rsidP="00B21B24">
            <w:pPr>
              <w:autoSpaceDE/>
              <w:autoSpaceDN/>
              <w:adjustRightInd/>
              <w:jc w:val="center"/>
              <w:rPr>
                <w:color w:val="000000"/>
                <w:sz w:val="20"/>
                <w:szCs w:val="20"/>
              </w:rPr>
            </w:pPr>
            <w:r w:rsidRPr="0047440B">
              <w:rPr>
                <w:color w:val="000000"/>
                <w:sz w:val="20"/>
                <w:szCs w:val="20"/>
              </w:rPr>
              <w:t>1</w:t>
            </w:r>
          </w:p>
        </w:tc>
        <w:tc>
          <w:tcPr>
            <w:tcW w:w="816" w:type="dxa"/>
            <w:tcBorders>
              <w:top w:val="single" w:sz="4" w:space="0" w:color="auto"/>
              <w:left w:val="single" w:sz="4" w:space="0" w:color="auto"/>
              <w:bottom w:val="single" w:sz="4" w:space="0" w:color="auto"/>
              <w:right w:val="single" w:sz="4" w:space="0" w:color="auto"/>
            </w:tcBorders>
            <w:shd w:val="clear" w:color="000000" w:fill="FFFFFF"/>
            <w:noWrap/>
          </w:tcPr>
          <w:p w:rsidR="00B21B24" w:rsidRPr="0047440B" w:rsidRDefault="00B21B24" w:rsidP="00B21B24">
            <w:pPr>
              <w:autoSpaceDE/>
              <w:autoSpaceDN/>
              <w:adjustRightInd/>
              <w:jc w:val="center"/>
              <w:rPr>
                <w:color w:val="000000"/>
                <w:sz w:val="20"/>
                <w:szCs w:val="20"/>
              </w:rPr>
            </w:pPr>
            <w:r w:rsidRPr="0047440B">
              <w:rPr>
                <w:color w:val="000000"/>
                <w:sz w:val="20"/>
                <w:szCs w:val="20"/>
              </w:rPr>
              <w:t>1,00</w:t>
            </w:r>
          </w:p>
        </w:tc>
        <w:tc>
          <w:tcPr>
            <w:tcW w:w="792" w:type="dxa"/>
            <w:tcBorders>
              <w:top w:val="single" w:sz="4" w:space="0" w:color="auto"/>
              <w:left w:val="single" w:sz="4" w:space="0" w:color="auto"/>
              <w:bottom w:val="single" w:sz="4" w:space="0" w:color="auto"/>
              <w:right w:val="single" w:sz="4" w:space="0" w:color="auto"/>
            </w:tcBorders>
            <w:shd w:val="clear" w:color="000000" w:fill="FFFFFF"/>
            <w:noWrap/>
          </w:tcPr>
          <w:p w:rsidR="00B21B24" w:rsidRPr="0047440B" w:rsidRDefault="00B21B24" w:rsidP="00B21B24">
            <w:pPr>
              <w:autoSpaceDE/>
              <w:autoSpaceDN/>
              <w:adjustRightInd/>
              <w:jc w:val="center"/>
              <w:rPr>
                <w:color w:val="000000"/>
                <w:sz w:val="20"/>
                <w:szCs w:val="20"/>
              </w:rPr>
            </w:pPr>
            <w:r w:rsidRPr="0047440B">
              <w:rPr>
                <w:color w:val="000000"/>
                <w:sz w:val="20"/>
                <w:szCs w:val="20"/>
              </w:rPr>
              <w:t>1,00</w:t>
            </w:r>
          </w:p>
        </w:tc>
        <w:tc>
          <w:tcPr>
            <w:tcW w:w="1239" w:type="dxa"/>
            <w:tcBorders>
              <w:top w:val="single" w:sz="4" w:space="0" w:color="auto"/>
              <w:left w:val="single" w:sz="4" w:space="0" w:color="auto"/>
              <w:bottom w:val="single" w:sz="4" w:space="0" w:color="auto"/>
              <w:right w:val="single" w:sz="4" w:space="0" w:color="auto"/>
            </w:tcBorders>
            <w:shd w:val="clear" w:color="000000" w:fill="FFFFFF"/>
            <w:noWrap/>
          </w:tcPr>
          <w:p w:rsidR="00B21B24" w:rsidRPr="0047440B" w:rsidRDefault="00B21B24" w:rsidP="00B21B24">
            <w:pPr>
              <w:autoSpaceDE/>
              <w:autoSpaceDN/>
              <w:adjustRightInd/>
              <w:jc w:val="center"/>
              <w:rPr>
                <w:color w:val="000000"/>
                <w:sz w:val="20"/>
                <w:szCs w:val="20"/>
              </w:rPr>
            </w:pPr>
            <w:r w:rsidRPr="0047440B">
              <w:rPr>
                <w:color w:val="000000"/>
                <w:sz w:val="20"/>
                <w:szCs w:val="20"/>
              </w:rPr>
              <w:t>1</w:t>
            </w:r>
          </w:p>
        </w:tc>
        <w:tc>
          <w:tcPr>
            <w:tcW w:w="952" w:type="dxa"/>
            <w:tcBorders>
              <w:top w:val="single" w:sz="4" w:space="0" w:color="auto"/>
              <w:left w:val="single" w:sz="4" w:space="0" w:color="auto"/>
              <w:bottom w:val="single" w:sz="4" w:space="0" w:color="auto"/>
              <w:right w:val="single" w:sz="4" w:space="0" w:color="auto"/>
            </w:tcBorders>
            <w:shd w:val="clear" w:color="000000" w:fill="FFFFFF"/>
            <w:noWrap/>
          </w:tcPr>
          <w:p w:rsidR="00B21B24" w:rsidRPr="0047440B" w:rsidRDefault="00B21B24" w:rsidP="00B21B24">
            <w:pPr>
              <w:autoSpaceDE/>
              <w:autoSpaceDN/>
              <w:adjustRightInd/>
              <w:jc w:val="center"/>
              <w:rPr>
                <w:color w:val="000000"/>
                <w:sz w:val="20"/>
                <w:szCs w:val="20"/>
              </w:rPr>
            </w:pPr>
            <w:r w:rsidRPr="0047440B">
              <w:rPr>
                <w:color w:val="000000"/>
                <w:sz w:val="20"/>
                <w:szCs w:val="20"/>
              </w:rPr>
              <w:t>18 520</w:t>
            </w:r>
          </w:p>
        </w:tc>
        <w:tc>
          <w:tcPr>
            <w:tcW w:w="1121" w:type="dxa"/>
            <w:tcBorders>
              <w:top w:val="single" w:sz="4" w:space="0" w:color="auto"/>
              <w:left w:val="single" w:sz="4" w:space="0" w:color="auto"/>
              <w:bottom w:val="single" w:sz="4" w:space="0" w:color="auto"/>
              <w:right w:val="single" w:sz="4" w:space="0" w:color="auto"/>
            </w:tcBorders>
            <w:shd w:val="clear" w:color="000000" w:fill="FFFFFF"/>
            <w:noWrap/>
          </w:tcPr>
          <w:p w:rsidR="00B21B24" w:rsidRPr="0047440B" w:rsidRDefault="00B21B24" w:rsidP="00B21B24">
            <w:pPr>
              <w:autoSpaceDE/>
              <w:autoSpaceDN/>
              <w:adjustRightInd/>
              <w:jc w:val="center"/>
              <w:rPr>
                <w:color w:val="000000"/>
                <w:sz w:val="20"/>
                <w:szCs w:val="20"/>
              </w:rPr>
            </w:pPr>
            <w:r w:rsidRPr="0047440B">
              <w:rPr>
                <w:color w:val="000000"/>
                <w:sz w:val="20"/>
                <w:szCs w:val="20"/>
              </w:rPr>
              <w:t>18 520</w:t>
            </w:r>
          </w:p>
        </w:tc>
        <w:tc>
          <w:tcPr>
            <w:tcW w:w="1217" w:type="dxa"/>
            <w:tcBorders>
              <w:top w:val="single" w:sz="4" w:space="0" w:color="auto"/>
              <w:left w:val="single" w:sz="4" w:space="0" w:color="auto"/>
              <w:bottom w:val="single" w:sz="4" w:space="0" w:color="auto"/>
              <w:right w:val="single" w:sz="4" w:space="0" w:color="auto"/>
            </w:tcBorders>
            <w:shd w:val="clear" w:color="000000" w:fill="FFFFFF"/>
          </w:tcPr>
          <w:p w:rsidR="00B21B24" w:rsidRPr="0047440B" w:rsidRDefault="00B21B24" w:rsidP="00B21B24">
            <w:pPr>
              <w:autoSpaceDE/>
              <w:autoSpaceDN/>
              <w:adjustRightInd/>
              <w:jc w:val="center"/>
              <w:rPr>
                <w:color w:val="000000"/>
                <w:sz w:val="20"/>
                <w:szCs w:val="20"/>
              </w:rPr>
            </w:pPr>
            <w:r w:rsidRPr="0047440B">
              <w:rPr>
                <w:color w:val="000000"/>
                <w:sz w:val="20"/>
                <w:szCs w:val="20"/>
              </w:rPr>
              <w:t>1</w:t>
            </w:r>
          </w:p>
        </w:tc>
      </w:tr>
      <w:tr w:rsidR="00B21B24" w:rsidRPr="0047440B" w:rsidTr="007E4743">
        <w:trPr>
          <w:trHeight w:val="20"/>
          <w:jc w:val="center"/>
        </w:trPr>
        <w:tc>
          <w:tcPr>
            <w:tcW w:w="486" w:type="dxa"/>
            <w:tcBorders>
              <w:top w:val="single" w:sz="4" w:space="0" w:color="auto"/>
              <w:left w:val="single" w:sz="4" w:space="0" w:color="auto"/>
              <w:bottom w:val="single" w:sz="4" w:space="0" w:color="auto"/>
              <w:right w:val="single" w:sz="4" w:space="0" w:color="auto"/>
            </w:tcBorders>
            <w:shd w:val="clear" w:color="000000" w:fill="FFFFFF"/>
            <w:noWrap/>
            <w:hideMark/>
          </w:tcPr>
          <w:p w:rsidR="00B21B24" w:rsidRPr="0047440B" w:rsidRDefault="00B21B24" w:rsidP="00B21B24">
            <w:pPr>
              <w:autoSpaceDE/>
              <w:autoSpaceDN/>
              <w:adjustRightInd/>
              <w:jc w:val="center"/>
              <w:rPr>
                <w:color w:val="000000"/>
                <w:sz w:val="20"/>
                <w:szCs w:val="20"/>
              </w:rPr>
            </w:pPr>
            <w:r w:rsidRPr="0047440B">
              <w:rPr>
                <w:color w:val="000000"/>
                <w:sz w:val="20"/>
                <w:szCs w:val="20"/>
              </w:rPr>
              <w:t>21.</w:t>
            </w:r>
          </w:p>
        </w:tc>
        <w:tc>
          <w:tcPr>
            <w:tcW w:w="2917" w:type="dxa"/>
            <w:tcBorders>
              <w:top w:val="single" w:sz="4" w:space="0" w:color="auto"/>
              <w:left w:val="single" w:sz="4" w:space="0" w:color="auto"/>
              <w:bottom w:val="single" w:sz="4" w:space="0" w:color="auto"/>
              <w:right w:val="single" w:sz="4" w:space="0" w:color="auto"/>
            </w:tcBorders>
            <w:shd w:val="clear" w:color="auto" w:fill="auto"/>
          </w:tcPr>
          <w:p w:rsidR="00B21B24" w:rsidRPr="0047440B" w:rsidRDefault="00B21B24" w:rsidP="00B21B24">
            <w:pPr>
              <w:rPr>
                <w:color w:val="000000"/>
                <w:sz w:val="20"/>
                <w:szCs w:val="20"/>
              </w:rPr>
            </w:pPr>
            <w:r w:rsidRPr="0047440B">
              <w:rPr>
                <w:color w:val="000000"/>
                <w:sz w:val="20"/>
                <w:szCs w:val="20"/>
              </w:rPr>
              <w:t>ГАУЗ «Камско-Устьинская ЦРБ»</w:t>
            </w:r>
          </w:p>
        </w:tc>
        <w:tc>
          <w:tcPr>
            <w:tcW w:w="12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21B24" w:rsidRPr="0047440B" w:rsidRDefault="00B21B24" w:rsidP="00B21B24">
            <w:pPr>
              <w:jc w:val="center"/>
              <w:rPr>
                <w:color w:val="000000"/>
                <w:sz w:val="20"/>
                <w:szCs w:val="20"/>
              </w:rPr>
            </w:pPr>
            <w:r w:rsidRPr="0047440B">
              <w:rPr>
                <w:color w:val="000000"/>
                <w:sz w:val="20"/>
                <w:szCs w:val="20"/>
              </w:rPr>
              <w:t>2</w:t>
            </w:r>
          </w:p>
        </w:tc>
        <w:tc>
          <w:tcPr>
            <w:tcW w:w="816" w:type="dxa"/>
            <w:tcBorders>
              <w:top w:val="single" w:sz="4" w:space="0" w:color="auto"/>
              <w:left w:val="single" w:sz="4" w:space="0" w:color="auto"/>
              <w:bottom w:val="single" w:sz="4" w:space="0" w:color="auto"/>
              <w:right w:val="single" w:sz="4" w:space="0" w:color="auto"/>
            </w:tcBorders>
            <w:shd w:val="clear" w:color="auto" w:fill="auto"/>
            <w:noWrap/>
          </w:tcPr>
          <w:p w:rsidR="00B21B24" w:rsidRPr="0047440B" w:rsidRDefault="00B21B24" w:rsidP="00B21B24">
            <w:pPr>
              <w:jc w:val="center"/>
              <w:rPr>
                <w:color w:val="000000"/>
                <w:sz w:val="20"/>
                <w:szCs w:val="20"/>
              </w:rPr>
            </w:pPr>
            <w:r w:rsidRPr="0047440B">
              <w:rPr>
                <w:color w:val="000000"/>
                <w:sz w:val="20"/>
                <w:szCs w:val="20"/>
              </w:rPr>
              <w:t>1,00</w:t>
            </w:r>
          </w:p>
        </w:tc>
        <w:tc>
          <w:tcPr>
            <w:tcW w:w="792" w:type="dxa"/>
            <w:tcBorders>
              <w:top w:val="single" w:sz="4" w:space="0" w:color="auto"/>
              <w:left w:val="single" w:sz="4" w:space="0" w:color="auto"/>
              <w:bottom w:val="single" w:sz="4" w:space="0" w:color="auto"/>
              <w:right w:val="single" w:sz="4" w:space="0" w:color="auto"/>
            </w:tcBorders>
            <w:shd w:val="clear" w:color="auto" w:fill="auto"/>
            <w:noWrap/>
          </w:tcPr>
          <w:p w:rsidR="00B21B24" w:rsidRPr="0047440B" w:rsidRDefault="00B21B24" w:rsidP="00B21B24">
            <w:pPr>
              <w:jc w:val="center"/>
              <w:rPr>
                <w:color w:val="000000"/>
                <w:sz w:val="20"/>
                <w:szCs w:val="20"/>
              </w:rPr>
            </w:pPr>
            <w:r w:rsidRPr="0047440B">
              <w:rPr>
                <w:color w:val="000000"/>
                <w:sz w:val="20"/>
                <w:szCs w:val="20"/>
              </w:rPr>
              <w:t>1,00</w:t>
            </w:r>
          </w:p>
        </w:tc>
        <w:tc>
          <w:tcPr>
            <w:tcW w:w="1239" w:type="dxa"/>
            <w:tcBorders>
              <w:top w:val="single" w:sz="4" w:space="0" w:color="auto"/>
              <w:left w:val="single" w:sz="4" w:space="0" w:color="auto"/>
              <w:bottom w:val="single" w:sz="4" w:space="0" w:color="auto"/>
              <w:right w:val="single" w:sz="4" w:space="0" w:color="auto"/>
            </w:tcBorders>
            <w:shd w:val="clear" w:color="auto" w:fill="auto"/>
            <w:noWrap/>
          </w:tcPr>
          <w:p w:rsidR="00B21B24" w:rsidRPr="0047440B" w:rsidRDefault="00B21B24" w:rsidP="00B21B24">
            <w:pPr>
              <w:jc w:val="center"/>
              <w:rPr>
                <w:color w:val="000000"/>
                <w:sz w:val="20"/>
                <w:szCs w:val="20"/>
              </w:rPr>
            </w:pPr>
            <w:r w:rsidRPr="0047440B">
              <w:rPr>
                <w:color w:val="000000"/>
                <w:sz w:val="20"/>
                <w:szCs w:val="20"/>
              </w:rPr>
              <w:t>1</w:t>
            </w:r>
          </w:p>
        </w:tc>
        <w:tc>
          <w:tcPr>
            <w:tcW w:w="952" w:type="dxa"/>
            <w:tcBorders>
              <w:top w:val="single" w:sz="4" w:space="0" w:color="auto"/>
              <w:left w:val="single" w:sz="4" w:space="0" w:color="auto"/>
              <w:bottom w:val="single" w:sz="4" w:space="0" w:color="auto"/>
              <w:right w:val="single" w:sz="4" w:space="0" w:color="auto"/>
            </w:tcBorders>
            <w:shd w:val="clear" w:color="000000" w:fill="FFFFFF"/>
            <w:noWrap/>
          </w:tcPr>
          <w:p w:rsidR="00B21B24" w:rsidRPr="0047440B" w:rsidRDefault="00B21B24" w:rsidP="00B21B24">
            <w:pPr>
              <w:autoSpaceDE/>
              <w:autoSpaceDN/>
              <w:adjustRightInd/>
              <w:jc w:val="center"/>
              <w:rPr>
                <w:color w:val="000000"/>
                <w:sz w:val="20"/>
                <w:szCs w:val="20"/>
              </w:rPr>
            </w:pPr>
            <w:r w:rsidRPr="0047440B">
              <w:rPr>
                <w:color w:val="000000"/>
                <w:sz w:val="20"/>
                <w:szCs w:val="20"/>
              </w:rPr>
              <w:t>6 106</w:t>
            </w:r>
          </w:p>
        </w:tc>
        <w:tc>
          <w:tcPr>
            <w:tcW w:w="1121" w:type="dxa"/>
            <w:tcBorders>
              <w:top w:val="single" w:sz="4" w:space="0" w:color="auto"/>
              <w:left w:val="single" w:sz="4" w:space="0" w:color="auto"/>
              <w:bottom w:val="single" w:sz="4" w:space="0" w:color="auto"/>
              <w:right w:val="single" w:sz="4" w:space="0" w:color="auto"/>
            </w:tcBorders>
            <w:shd w:val="clear" w:color="000000" w:fill="FFFFFF"/>
            <w:noWrap/>
          </w:tcPr>
          <w:p w:rsidR="00B21B24" w:rsidRPr="0047440B" w:rsidRDefault="00B21B24" w:rsidP="00B21B24">
            <w:pPr>
              <w:autoSpaceDE/>
              <w:autoSpaceDN/>
              <w:adjustRightInd/>
              <w:jc w:val="center"/>
              <w:rPr>
                <w:color w:val="000000"/>
                <w:sz w:val="20"/>
                <w:szCs w:val="20"/>
              </w:rPr>
            </w:pPr>
            <w:r w:rsidRPr="0047440B">
              <w:rPr>
                <w:color w:val="000000"/>
                <w:sz w:val="20"/>
                <w:szCs w:val="20"/>
              </w:rPr>
              <w:t>3 053</w:t>
            </w:r>
          </w:p>
        </w:tc>
        <w:tc>
          <w:tcPr>
            <w:tcW w:w="1217" w:type="dxa"/>
            <w:tcBorders>
              <w:top w:val="single" w:sz="4" w:space="0" w:color="auto"/>
              <w:left w:val="single" w:sz="4" w:space="0" w:color="auto"/>
              <w:bottom w:val="single" w:sz="4" w:space="0" w:color="auto"/>
              <w:right w:val="single" w:sz="4" w:space="0" w:color="auto"/>
            </w:tcBorders>
            <w:shd w:val="clear" w:color="000000" w:fill="FFFFFF"/>
          </w:tcPr>
          <w:p w:rsidR="00B21B24" w:rsidRPr="0047440B" w:rsidRDefault="00B21B24" w:rsidP="00B21B24">
            <w:pPr>
              <w:autoSpaceDE/>
              <w:autoSpaceDN/>
              <w:adjustRightInd/>
              <w:jc w:val="center"/>
              <w:rPr>
                <w:color w:val="000000"/>
                <w:sz w:val="20"/>
                <w:szCs w:val="20"/>
              </w:rPr>
            </w:pPr>
            <w:r w:rsidRPr="0047440B">
              <w:rPr>
                <w:color w:val="000000"/>
                <w:sz w:val="20"/>
                <w:szCs w:val="20"/>
              </w:rPr>
              <w:t>1</w:t>
            </w:r>
          </w:p>
        </w:tc>
      </w:tr>
      <w:tr w:rsidR="00B21B24" w:rsidRPr="0047440B" w:rsidTr="007E4743">
        <w:trPr>
          <w:trHeight w:val="20"/>
          <w:jc w:val="center"/>
        </w:trPr>
        <w:tc>
          <w:tcPr>
            <w:tcW w:w="486" w:type="dxa"/>
            <w:tcBorders>
              <w:top w:val="single" w:sz="4" w:space="0" w:color="auto"/>
              <w:left w:val="single" w:sz="4" w:space="0" w:color="auto"/>
              <w:bottom w:val="single" w:sz="4" w:space="0" w:color="auto"/>
              <w:right w:val="single" w:sz="4" w:space="0" w:color="auto"/>
            </w:tcBorders>
            <w:shd w:val="clear" w:color="000000" w:fill="FFFFFF"/>
            <w:noWrap/>
            <w:hideMark/>
          </w:tcPr>
          <w:p w:rsidR="00B21B24" w:rsidRPr="0047440B" w:rsidRDefault="00B21B24" w:rsidP="00B21B24">
            <w:pPr>
              <w:autoSpaceDE/>
              <w:autoSpaceDN/>
              <w:adjustRightInd/>
              <w:jc w:val="center"/>
              <w:rPr>
                <w:color w:val="000000"/>
                <w:sz w:val="20"/>
                <w:szCs w:val="20"/>
              </w:rPr>
            </w:pPr>
            <w:r w:rsidRPr="0047440B">
              <w:rPr>
                <w:color w:val="000000"/>
                <w:sz w:val="20"/>
                <w:szCs w:val="20"/>
              </w:rPr>
              <w:t>22.</w:t>
            </w:r>
          </w:p>
        </w:tc>
        <w:tc>
          <w:tcPr>
            <w:tcW w:w="2917" w:type="dxa"/>
            <w:tcBorders>
              <w:top w:val="single" w:sz="4" w:space="0" w:color="auto"/>
              <w:left w:val="single" w:sz="4" w:space="0" w:color="auto"/>
              <w:bottom w:val="single" w:sz="4" w:space="0" w:color="auto"/>
              <w:right w:val="single" w:sz="4" w:space="0" w:color="auto"/>
            </w:tcBorders>
            <w:shd w:val="clear" w:color="auto" w:fill="auto"/>
          </w:tcPr>
          <w:p w:rsidR="00B21B24" w:rsidRPr="0047440B" w:rsidRDefault="00B21B24" w:rsidP="00B21B24">
            <w:pPr>
              <w:rPr>
                <w:color w:val="000000"/>
                <w:sz w:val="20"/>
                <w:szCs w:val="20"/>
              </w:rPr>
            </w:pPr>
            <w:r w:rsidRPr="0047440B">
              <w:rPr>
                <w:color w:val="000000"/>
                <w:sz w:val="20"/>
                <w:szCs w:val="20"/>
              </w:rPr>
              <w:t>ГАУЗ «Кукморская ЦРБ»</w:t>
            </w:r>
          </w:p>
        </w:tc>
        <w:tc>
          <w:tcPr>
            <w:tcW w:w="12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21B24" w:rsidRPr="0047440B" w:rsidRDefault="00B21B24" w:rsidP="00B21B24">
            <w:pPr>
              <w:jc w:val="center"/>
              <w:rPr>
                <w:color w:val="000000"/>
                <w:sz w:val="20"/>
                <w:szCs w:val="20"/>
              </w:rPr>
            </w:pPr>
            <w:r w:rsidRPr="0047440B">
              <w:rPr>
                <w:color w:val="000000"/>
                <w:sz w:val="20"/>
                <w:szCs w:val="20"/>
              </w:rPr>
              <w:t>3</w:t>
            </w:r>
          </w:p>
        </w:tc>
        <w:tc>
          <w:tcPr>
            <w:tcW w:w="816" w:type="dxa"/>
            <w:tcBorders>
              <w:top w:val="single" w:sz="4" w:space="0" w:color="auto"/>
              <w:left w:val="single" w:sz="4" w:space="0" w:color="auto"/>
              <w:bottom w:val="single" w:sz="4" w:space="0" w:color="auto"/>
              <w:right w:val="single" w:sz="4" w:space="0" w:color="auto"/>
            </w:tcBorders>
            <w:shd w:val="clear" w:color="auto" w:fill="auto"/>
            <w:noWrap/>
          </w:tcPr>
          <w:p w:rsidR="00B21B24" w:rsidRPr="0047440B" w:rsidRDefault="00B21B24" w:rsidP="00B21B24">
            <w:pPr>
              <w:jc w:val="center"/>
              <w:rPr>
                <w:color w:val="000000"/>
                <w:sz w:val="20"/>
                <w:szCs w:val="20"/>
              </w:rPr>
            </w:pPr>
            <w:r w:rsidRPr="0047440B">
              <w:rPr>
                <w:color w:val="000000"/>
                <w:sz w:val="20"/>
                <w:szCs w:val="20"/>
              </w:rPr>
              <w:t>2,00</w:t>
            </w:r>
          </w:p>
        </w:tc>
        <w:tc>
          <w:tcPr>
            <w:tcW w:w="792" w:type="dxa"/>
            <w:tcBorders>
              <w:top w:val="single" w:sz="4" w:space="0" w:color="auto"/>
              <w:left w:val="nil"/>
              <w:bottom w:val="single" w:sz="4" w:space="0" w:color="auto"/>
              <w:right w:val="single" w:sz="4" w:space="0" w:color="auto"/>
            </w:tcBorders>
            <w:shd w:val="clear" w:color="auto" w:fill="auto"/>
            <w:noWrap/>
          </w:tcPr>
          <w:p w:rsidR="00B21B24" w:rsidRPr="0047440B" w:rsidRDefault="00B21B24" w:rsidP="00B21B24">
            <w:pPr>
              <w:jc w:val="center"/>
              <w:rPr>
                <w:color w:val="000000"/>
                <w:sz w:val="20"/>
                <w:szCs w:val="20"/>
              </w:rPr>
            </w:pPr>
            <w:r w:rsidRPr="0047440B">
              <w:rPr>
                <w:color w:val="000000"/>
                <w:sz w:val="20"/>
                <w:szCs w:val="20"/>
              </w:rPr>
              <w:t>2,00</w:t>
            </w:r>
          </w:p>
        </w:tc>
        <w:tc>
          <w:tcPr>
            <w:tcW w:w="1239" w:type="dxa"/>
            <w:tcBorders>
              <w:top w:val="single" w:sz="4" w:space="0" w:color="auto"/>
              <w:left w:val="single" w:sz="4" w:space="0" w:color="auto"/>
              <w:bottom w:val="single" w:sz="4" w:space="0" w:color="auto"/>
              <w:right w:val="single" w:sz="4" w:space="0" w:color="auto"/>
            </w:tcBorders>
            <w:shd w:val="clear" w:color="auto" w:fill="auto"/>
            <w:noWrap/>
          </w:tcPr>
          <w:p w:rsidR="00B21B24" w:rsidRPr="0047440B" w:rsidRDefault="00B21B24" w:rsidP="00B21B24">
            <w:pPr>
              <w:jc w:val="center"/>
              <w:rPr>
                <w:color w:val="000000"/>
                <w:sz w:val="20"/>
                <w:szCs w:val="20"/>
              </w:rPr>
            </w:pPr>
            <w:r w:rsidRPr="0047440B">
              <w:rPr>
                <w:color w:val="000000"/>
                <w:sz w:val="20"/>
                <w:szCs w:val="20"/>
              </w:rPr>
              <w:t>2</w:t>
            </w:r>
          </w:p>
        </w:tc>
        <w:tc>
          <w:tcPr>
            <w:tcW w:w="952" w:type="dxa"/>
            <w:tcBorders>
              <w:top w:val="single" w:sz="4" w:space="0" w:color="auto"/>
              <w:left w:val="nil"/>
              <w:bottom w:val="single" w:sz="4" w:space="0" w:color="auto"/>
              <w:right w:val="single" w:sz="4" w:space="0" w:color="auto"/>
            </w:tcBorders>
            <w:shd w:val="clear" w:color="000000" w:fill="FFFFFF"/>
            <w:noWrap/>
          </w:tcPr>
          <w:p w:rsidR="00B21B24" w:rsidRPr="0047440B" w:rsidRDefault="00B21B24" w:rsidP="00B21B24">
            <w:pPr>
              <w:autoSpaceDE/>
              <w:autoSpaceDN/>
              <w:adjustRightInd/>
              <w:jc w:val="center"/>
              <w:rPr>
                <w:color w:val="000000"/>
                <w:sz w:val="20"/>
                <w:szCs w:val="20"/>
              </w:rPr>
            </w:pPr>
            <w:r w:rsidRPr="0047440B">
              <w:rPr>
                <w:color w:val="000000"/>
                <w:sz w:val="20"/>
                <w:szCs w:val="20"/>
              </w:rPr>
              <w:t>20 416</w:t>
            </w:r>
          </w:p>
        </w:tc>
        <w:tc>
          <w:tcPr>
            <w:tcW w:w="1121" w:type="dxa"/>
            <w:tcBorders>
              <w:top w:val="single" w:sz="4" w:space="0" w:color="auto"/>
              <w:left w:val="nil"/>
              <w:bottom w:val="single" w:sz="4" w:space="0" w:color="auto"/>
              <w:right w:val="single" w:sz="4" w:space="0" w:color="auto"/>
            </w:tcBorders>
            <w:shd w:val="clear" w:color="000000" w:fill="FFFFFF"/>
            <w:noWrap/>
          </w:tcPr>
          <w:p w:rsidR="00B21B24" w:rsidRPr="0047440B" w:rsidRDefault="00B21B24" w:rsidP="00B21B24">
            <w:pPr>
              <w:autoSpaceDE/>
              <w:autoSpaceDN/>
              <w:adjustRightInd/>
              <w:jc w:val="center"/>
              <w:rPr>
                <w:color w:val="000000"/>
                <w:sz w:val="20"/>
                <w:szCs w:val="20"/>
              </w:rPr>
            </w:pPr>
            <w:r w:rsidRPr="0047440B">
              <w:rPr>
                <w:color w:val="000000"/>
                <w:sz w:val="20"/>
                <w:szCs w:val="20"/>
              </w:rPr>
              <w:t>6 805</w:t>
            </w:r>
          </w:p>
        </w:tc>
        <w:tc>
          <w:tcPr>
            <w:tcW w:w="1217" w:type="dxa"/>
            <w:tcBorders>
              <w:top w:val="single" w:sz="4" w:space="0" w:color="auto"/>
              <w:left w:val="nil"/>
              <w:bottom w:val="single" w:sz="4" w:space="0" w:color="auto"/>
              <w:right w:val="single" w:sz="4" w:space="0" w:color="auto"/>
            </w:tcBorders>
            <w:shd w:val="clear" w:color="000000" w:fill="FFFFFF"/>
          </w:tcPr>
          <w:p w:rsidR="00B21B24" w:rsidRPr="0047440B" w:rsidRDefault="00B21B24" w:rsidP="00B21B24">
            <w:pPr>
              <w:autoSpaceDE/>
              <w:autoSpaceDN/>
              <w:adjustRightInd/>
              <w:jc w:val="center"/>
              <w:rPr>
                <w:color w:val="000000"/>
                <w:sz w:val="20"/>
                <w:szCs w:val="20"/>
              </w:rPr>
            </w:pPr>
            <w:r w:rsidRPr="0047440B">
              <w:rPr>
                <w:color w:val="000000"/>
                <w:sz w:val="20"/>
                <w:szCs w:val="20"/>
              </w:rPr>
              <w:t>1</w:t>
            </w:r>
          </w:p>
        </w:tc>
      </w:tr>
      <w:tr w:rsidR="00B21B24" w:rsidRPr="0047440B" w:rsidTr="00E474AD">
        <w:trPr>
          <w:trHeight w:val="20"/>
          <w:jc w:val="center"/>
        </w:trPr>
        <w:tc>
          <w:tcPr>
            <w:tcW w:w="486" w:type="dxa"/>
            <w:tcBorders>
              <w:top w:val="nil"/>
              <w:left w:val="single" w:sz="4" w:space="0" w:color="auto"/>
              <w:bottom w:val="single" w:sz="4" w:space="0" w:color="auto"/>
              <w:right w:val="single" w:sz="4" w:space="0" w:color="auto"/>
            </w:tcBorders>
            <w:shd w:val="clear" w:color="000000" w:fill="FFFFFF"/>
            <w:noWrap/>
            <w:hideMark/>
          </w:tcPr>
          <w:p w:rsidR="00B21B24" w:rsidRPr="0047440B" w:rsidRDefault="00B21B24" w:rsidP="00B21B24">
            <w:pPr>
              <w:autoSpaceDE/>
              <w:autoSpaceDN/>
              <w:adjustRightInd/>
              <w:jc w:val="center"/>
              <w:rPr>
                <w:color w:val="000000"/>
                <w:sz w:val="20"/>
                <w:szCs w:val="20"/>
              </w:rPr>
            </w:pPr>
            <w:r w:rsidRPr="0047440B">
              <w:rPr>
                <w:color w:val="000000"/>
                <w:sz w:val="20"/>
                <w:szCs w:val="20"/>
              </w:rPr>
              <w:t>23.</w:t>
            </w:r>
          </w:p>
        </w:tc>
        <w:tc>
          <w:tcPr>
            <w:tcW w:w="2917" w:type="dxa"/>
            <w:tcBorders>
              <w:top w:val="nil"/>
              <w:left w:val="single" w:sz="4" w:space="0" w:color="auto"/>
              <w:bottom w:val="single" w:sz="4" w:space="0" w:color="auto"/>
              <w:right w:val="single" w:sz="4" w:space="0" w:color="auto"/>
            </w:tcBorders>
            <w:shd w:val="clear" w:color="auto" w:fill="auto"/>
          </w:tcPr>
          <w:p w:rsidR="00B21B24" w:rsidRPr="0047440B" w:rsidRDefault="00B21B24" w:rsidP="00B21B24">
            <w:pPr>
              <w:rPr>
                <w:color w:val="000000"/>
                <w:sz w:val="20"/>
                <w:szCs w:val="20"/>
              </w:rPr>
            </w:pPr>
            <w:r w:rsidRPr="0047440B">
              <w:rPr>
                <w:color w:val="000000"/>
                <w:sz w:val="20"/>
                <w:szCs w:val="20"/>
              </w:rPr>
              <w:t>ГАУЗ «Лаишевская ЦРБ»</w:t>
            </w:r>
          </w:p>
        </w:tc>
        <w:tc>
          <w:tcPr>
            <w:tcW w:w="1233" w:type="dxa"/>
            <w:tcBorders>
              <w:top w:val="nil"/>
              <w:left w:val="single" w:sz="4" w:space="0" w:color="auto"/>
              <w:bottom w:val="single" w:sz="4" w:space="0" w:color="auto"/>
              <w:right w:val="single" w:sz="4" w:space="0" w:color="auto"/>
            </w:tcBorders>
            <w:shd w:val="clear" w:color="000000" w:fill="FFFFFF"/>
            <w:noWrap/>
            <w:vAlign w:val="center"/>
          </w:tcPr>
          <w:p w:rsidR="00B21B24" w:rsidRPr="0047440B" w:rsidRDefault="00B21B24" w:rsidP="00B21B24">
            <w:pPr>
              <w:jc w:val="center"/>
              <w:rPr>
                <w:color w:val="000000"/>
                <w:sz w:val="20"/>
                <w:szCs w:val="20"/>
              </w:rPr>
            </w:pPr>
            <w:r w:rsidRPr="0047440B">
              <w:rPr>
                <w:color w:val="000000"/>
                <w:sz w:val="20"/>
                <w:szCs w:val="20"/>
              </w:rPr>
              <w:t>4</w:t>
            </w:r>
          </w:p>
        </w:tc>
        <w:tc>
          <w:tcPr>
            <w:tcW w:w="816" w:type="dxa"/>
            <w:tcBorders>
              <w:top w:val="nil"/>
              <w:left w:val="single" w:sz="4" w:space="0" w:color="auto"/>
              <w:bottom w:val="single" w:sz="4" w:space="0" w:color="auto"/>
              <w:right w:val="single" w:sz="4" w:space="0" w:color="auto"/>
            </w:tcBorders>
            <w:shd w:val="clear" w:color="auto" w:fill="auto"/>
            <w:noWrap/>
          </w:tcPr>
          <w:p w:rsidR="00B21B24" w:rsidRPr="0047440B" w:rsidRDefault="00B21B24" w:rsidP="00B21B24">
            <w:pPr>
              <w:jc w:val="center"/>
              <w:rPr>
                <w:color w:val="000000"/>
                <w:sz w:val="20"/>
                <w:szCs w:val="20"/>
              </w:rPr>
            </w:pPr>
            <w:r w:rsidRPr="0047440B">
              <w:rPr>
                <w:color w:val="000000"/>
                <w:sz w:val="20"/>
                <w:szCs w:val="20"/>
              </w:rPr>
              <w:t>5,00</w:t>
            </w:r>
          </w:p>
        </w:tc>
        <w:tc>
          <w:tcPr>
            <w:tcW w:w="792" w:type="dxa"/>
            <w:tcBorders>
              <w:top w:val="nil"/>
              <w:left w:val="nil"/>
              <w:bottom w:val="single" w:sz="4" w:space="0" w:color="auto"/>
              <w:right w:val="single" w:sz="4" w:space="0" w:color="auto"/>
            </w:tcBorders>
            <w:shd w:val="clear" w:color="auto" w:fill="auto"/>
            <w:noWrap/>
          </w:tcPr>
          <w:p w:rsidR="00B21B24" w:rsidRPr="0047440B" w:rsidRDefault="00B21B24" w:rsidP="00B21B24">
            <w:pPr>
              <w:jc w:val="center"/>
              <w:rPr>
                <w:color w:val="000000"/>
                <w:sz w:val="20"/>
                <w:szCs w:val="20"/>
              </w:rPr>
            </w:pPr>
            <w:r w:rsidRPr="0047440B">
              <w:rPr>
                <w:color w:val="000000"/>
                <w:sz w:val="20"/>
                <w:szCs w:val="20"/>
              </w:rPr>
              <w:t>5,00</w:t>
            </w:r>
          </w:p>
        </w:tc>
        <w:tc>
          <w:tcPr>
            <w:tcW w:w="1239" w:type="dxa"/>
            <w:tcBorders>
              <w:top w:val="nil"/>
              <w:left w:val="single" w:sz="4" w:space="0" w:color="auto"/>
              <w:bottom w:val="single" w:sz="4" w:space="0" w:color="auto"/>
              <w:right w:val="single" w:sz="4" w:space="0" w:color="auto"/>
            </w:tcBorders>
            <w:shd w:val="clear" w:color="auto" w:fill="auto"/>
            <w:noWrap/>
          </w:tcPr>
          <w:p w:rsidR="00B21B24" w:rsidRPr="0047440B" w:rsidRDefault="00B21B24" w:rsidP="00B21B24">
            <w:pPr>
              <w:jc w:val="center"/>
              <w:rPr>
                <w:color w:val="000000"/>
                <w:sz w:val="20"/>
                <w:szCs w:val="20"/>
              </w:rPr>
            </w:pPr>
            <w:r w:rsidRPr="0047440B">
              <w:rPr>
                <w:color w:val="000000"/>
                <w:sz w:val="20"/>
                <w:szCs w:val="20"/>
              </w:rPr>
              <w:t>4</w:t>
            </w:r>
          </w:p>
        </w:tc>
        <w:tc>
          <w:tcPr>
            <w:tcW w:w="952" w:type="dxa"/>
            <w:tcBorders>
              <w:top w:val="nil"/>
              <w:left w:val="nil"/>
              <w:bottom w:val="single" w:sz="4" w:space="0" w:color="auto"/>
              <w:right w:val="single" w:sz="4" w:space="0" w:color="auto"/>
            </w:tcBorders>
            <w:shd w:val="clear" w:color="000000" w:fill="FFFFFF"/>
            <w:noWrap/>
          </w:tcPr>
          <w:p w:rsidR="00B21B24" w:rsidRPr="0047440B" w:rsidRDefault="00B21B24" w:rsidP="00B21B24">
            <w:pPr>
              <w:autoSpaceDE/>
              <w:autoSpaceDN/>
              <w:adjustRightInd/>
              <w:jc w:val="center"/>
              <w:rPr>
                <w:color w:val="000000"/>
                <w:sz w:val="20"/>
                <w:szCs w:val="20"/>
              </w:rPr>
            </w:pPr>
            <w:r w:rsidRPr="0047440B">
              <w:rPr>
                <w:color w:val="000000"/>
                <w:sz w:val="20"/>
                <w:szCs w:val="20"/>
              </w:rPr>
              <w:t>19 635</w:t>
            </w:r>
          </w:p>
        </w:tc>
        <w:tc>
          <w:tcPr>
            <w:tcW w:w="1121" w:type="dxa"/>
            <w:tcBorders>
              <w:top w:val="nil"/>
              <w:left w:val="nil"/>
              <w:bottom w:val="single" w:sz="4" w:space="0" w:color="auto"/>
              <w:right w:val="single" w:sz="4" w:space="0" w:color="auto"/>
            </w:tcBorders>
            <w:shd w:val="clear" w:color="000000" w:fill="FFFFFF"/>
            <w:noWrap/>
          </w:tcPr>
          <w:p w:rsidR="00B21B24" w:rsidRPr="0047440B" w:rsidRDefault="00B21B24" w:rsidP="00B21B24">
            <w:pPr>
              <w:autoSpaceDE/>
              <w:autoSpaceDN/>
              <w:adjustRightInd/>
              <w:jc w:val="center"/>
              <w:rPr>
                <w:color w:val="000000"/>
                <w:sz w:val="20"/>
                <w:szCs w:val="20"/>
              </w:rPr>
            </w:pPr>
            <w:r w:rsidRPr="0047440B">
              <w:rPr>
                <w:color w:val="000000"/>
                <w:sz w:val="20"/>
                <w:szCs w:val="20"/>
              </w:rPr>
              <w:t>4 909</w:t>
            </w:r>
          </w:p>
        </w:tc>
        <w:tc>
          <w:tcPr>
            <w:tcW w:w="1217" w:type="dxa"/>
            <w:tcBorders>
              <w:top w:val="nil"/>
              <w:left w:val="nil"/>
              <w:bottom w:val="single" w:sz="4" w:space="0" w:color="auto"/>
              <w:right w:val="single" w:sz="4" w:space="0" w:color="auto"/>
            </w:tcBorders>
            <w:shd w:val="clear" w:color="000000" w:fill="FFFFFF"/>
          </w:tcPr>
          <w:p w:rsidR="00B21B24" w:rsidRPr="0047440B" w:rsidRDefault="00B21B24" w:rsidP="00B21B24">
            <w:pPr>
              <w:autoSpaceDE/>
              <w:autoSpaceDN/>
              <w:adjustRightInd/>
              <w:jc w:val="center"/>
              <w:rPr>
                <w:color w:val="000000"/>
                <w:sz w:val="20"/>
                <w:szCs w:val="20"/>
              </w:rPr>
            </w:pPr>
            <w:r w:rsidRPr="0047440B">
              <w:rPr>
                <w:color w:val="000000"/>
                <w:sz w:val="20"/>
                <w:szCs w:val="20"/>
              </w:rPr>
              <w:t>1</w:t>
            </w:r>
          </w:p>
        </w:tc>
      </w:tr>
      <w:tr w:rsidR="00B21B24" w:rsidRPr="0047440B" w:rsidTr="00E474AD">
        <w:trPr>
          <w:trHeight w:val="20"/>
          <w:jc w:val="center"/>
        </w:trPr>
        <w:tc>
          <w:tcPr>
            <w:tcW w:w="486" w:type="dxa"/>
            <w:tcBorders>
              <w:top w:val="nil"/>
              <w:left w:val="single" w:sz="4" w:space="0" w:color="auto"/>
              <w:bottom w:val="single" w:sz="4" w:space="0" w:color="auto"/>
              <w:right w:val="single" w:sz="4" w:space="0" w:color="auto"/>
            </w:tcBorders>
            <w:shd w:val="clear" w:color="000000" w:fill="FFFFFF"/>
            <w:noWrap/>
            <w:hideMark/>
          </w:tcPr>
          <w:p w:rsidR="00B21B24" w:rsidRPr="0047440B" w:rsidRDefault="00B21B24" w:rsidP="00B21B24">
            <w:pPr>
              <w:autoSpaceDE/>
              <w:autoSpaceDN/>
              <w:adjustRightInd/>
              <w:jc w:val="center"/>
              <w:rPr>
                <w:color w:val="000000"/>
                <w:sz w:val="20"/>
                <w:szCs w:val="20"/>
              </w:rPr>
            </w:pPr>
            <w:r w:rsidRPr="0047440B">
              <w:rPr>
                <w:color w:val="000000"/>
                <w:sz w:val="20"/>
                <w:szCs w:val="20"/>
              </w:rPr>
              <w:t>24.</w:t>
            </w:r>
          </w:p>
        </w:tc>
        <w:tc>
          <w:tcPr>
            <w:tcW w:w="2917" w:type="dxa"/>
            <w:tcBorders>
              <w:top w:val="nil"/>
              <w:left w:val="single" w:sz="4" w:space="0" w:color="auto"/>
              <w:bottom w:val="single" w:sz="4" w:space="0" w:color="auto"/>
              <w:right w:val="single" w:sz="4" w:space="0" w:color="auto"/>
            </w:tcBorders>
            <w:shd w:val="clear" w:color="auto" w:fill="auto"/>
          </w:tcPr>
          <w:p w:rsidR="00B21B24" w:rsidRPr="0047440B" w:rsidRDefault="00B21B24" w:rsidP="00B21B24">
            <w:pPr>
              <w:rPr>
                <w:color w:val="000000"/>
                <w:sz w:val="20"/>
                <w:szCs w:val="20"/>
              </w:rPr>
            </w:pPr>
            <w:r w:rsidRPr="0047440B">
              <w:rPr>
                <w:color w:val="000000"/>
                <w:sz w:val="20"/>
                <w:szCs w:val="20"/>
              </w:rPr>
              <w:t>ГАУЗ «Лениногорская ЦРБ»</w:t>
            </w:r>
          </w:p>
        </w:tc>
        <w:tc>
          <w:tcPr>
            <w:tcW w:w="1233" w:type="dxa"/>
            <w:tcBorders>
              <w:top w:val="nil"/>
              <w:left w:val="single" w:sz="4" w:space="0" w:color="auto"/>
              <w:bottom w:val="single" w:sz="4" w:space="0" w:color="auto"/>
              <w:right w:val="single" w:sz="4" w:space="0" w:color="auto"/>
            </w:tcBorders>
            <w:shd w:val="clear" w:color="000000" w:fill="FFFFFF"/>
            <w:noWrap/>
            <w:vAlign w:val="center"/>
          </w:tcPr>
          <w:p w:rsidR="00B21B24" w:rsidRPr="0047440B" w:rsidRDefault="00B21B24" w:rsidP="00B21B24">
            <w:pPr>
              <w:jc w:val="center"/>
              <w:rPr>
                <w:color w:val="000000"/>
                <w:sz w:val="20"/>
                <w:szCs w:val="20"/>
              </w:rPr>
            </w:pPr>
            <w:r w:rsidRPr="0047440B">
              <w:rPr>
                <w:color w:val="000000"/>
                <w:sz w:val="20"/>
                <w:szCs w:val="20"/>
              </w:rPr>
              <w:t>3</w:t>
            </w:r>
          </w:p>
        </w:tc>
        <w:tc>
          <w:tcPr>
            <w:tcW w:w="816" w:type="dxa"/>
            <w:tcBorders>
              <w:top w:val="nil"/>
              <w:left w:val="single" w:sz="4" w:space="0" w:color="auto"/>
              <w:bottom w:val="single" w:sz="4" w:space="0" w:color="auto"/>
              <w:right w:val="single" w:sz="4" w:space="0" w:color="auto"/>
            </w:tcBorders>
            <w:shd w:val="clear" w:color="auto" w:fill="auto"/>
            <w:noWrap/>
          </w:tcPr>
          <w:p w:rsidR="00B21B24" w:rsidRPr="0047440B" w:rsidRDefault="00B21B24" w:rsidP="00B21B24">
            <w:pPr>
              <w:jc w:val="center"/>
              <w:rPr>
                <w:color w:val="000000"/>
                <w:sz w:val="20"/>
                <w:szCs w:val="20"/>
              </w:rPr>
            </w:pPr>
            <w:r w:rsidRPr="0047440B">
              <w:rPr>
                <w:color w:val="000000"/>
                <w:sz w:val="20"/>
                <w:szCs w:val="20"/>
              </w:rPr>
              <w:t>3,00</w:t>
            </w:r>
          </w:p>
        </w:tc>
        <w:tc>
          <w:tcPr>
            <w:tcW w:w="792" w:type="dxa"/>
            <w:tcBorders>
              <w:top w:val="nil"/>
              <w:left w:val="nil"/>
              <w:bottom w:val="single" w:sz="4" w:space="0" w:color="auto"/>
              <w:right w:val="single" w:sz="4" w:space="0" w:color="auto"/>
            </w:tcBorders>
            <w:shd w:val="clear" w:color="auto" w:fill="auto"/>
            <w:noWrap/>
          </w:tcPr>
          <w:p w:rsidR="00B21B24" w:rsidRPr="0047440B" w:rsidRDefault="00B21B24" w:rsidP="00B21B24">
            <w:pPr>
              <w:jc w:val="center"/>
              <w:rPr>
                <w:color w:val="000000"/>
                <w:sz w:val="20"/>
                <w:szCs w:val="20"/>
              </w:rPr>
            </w:pPr>
            <w:r w:rsidRPr="0047440B">
              <w:rPr>
                <w:color w:val="000000"/>
                <w:sz w:val="20"/>
                <w:szCs w:val="20"/>
              </w:rPr>
              <w:t>3,00</w:t>
            </w:r>
          </w:p>
        </w:tc>
        <w:tc>
          <w:tcPr>
            <w:tcW w:w="1239" w:type="dxa"/>
            <w:tcBorders>
              <w:top w:val="nil"/>
              <w:left w:val="single" w:sz="4" w:space="0" w:color="auto"/>
              <w:bottom w:val="single" w:sz="4" w:space="0" w:color="auto"/>
              <w:right w:val="single" w:sz="4" w:space="0" w:color="auto"/>
            </w:tcBorders>
            <w:shd w:val="clear" w:color="auto" w:fill="auto"/>
            <w:noWrap/>
          </w:tcPr>
          <w:p w:rsidR="00B21B24" w:rsidRPr="0047440B" w:rsidRDefault="00B21B24" w:rsidP="00B21B24">
            <w:pPr>
              <w:jc w:val="center"/>
              <w:rPr>
                <w:color w:val="000000"/>
                <w:sz w:val="20"/>
                <w:szCs w:val="20"/>
              </w:rPr>
            </w:pPr>
            <w:r w:rsidRPr="0047440B">
              <w:rPr>
                <w:color w:val="000000"/>
                <w:sz w:val="20"/>
                <w:szCs w:val="20"/>
              </w:rPr>
              <w:t>3</w:t>
            </w:r>
          </w:p>
        </w:tc>
        <w:tc>
          <w:tcPr>
            <w:tcW w:w="952" w:type="dxa"/>
            <w:tcBorders>
              <w:top w:val="nil"/>
              <w:left w:val="nil"/>
              <w:bottom w:val="single" w:sz="4" w:space="0" w:color="auto"/>
              <w:right w:val="single" w:sz="4" w:space="0" w:color="auto"/>
            </w:tcBorders>
            <w:shd w:val="clear" w:color="000000" w:fill="FFFFFF"/>
            <w:noWrap/>
          </w:tcPr>
          <w:p w:rsidR="00B21B24" w:rsidRPr="0047440B" w:rsidRDefault="00B21B24" w:rsidP="00B21B24">
            <w:pPr>
              <w:autoSpaceDE/>
              <w:autoSpaceDN/>
              <w:adjustRightInd/>
              <w:jc w:val="center"/>
              <w:rPr>
                <w:color w:val="000000"/>
                <w:sz w:val="20"/>
                <w:szCs w:val="20"/>
              </w:rPr>
            </w:pPr>
            <w:r w:rsidRPr="0047440B">
              <w:rPr>
                <w:color w:val="000000"/>
                <w:sz w:val="20"/>
                <w:szCs w:val="20"/>
              </w:rPr>
              <w:t>27 140</w:t>
            </w:r>
          </w:p>
        </w:tc>
        <w:tc>
          <w:tcPr>
            <w:tcW w:w="1121" w:type="dxa"/>
            <w:tcBorders>
              <w:top w:val="nil"/>
              <w:left w:val="nil"/>
              <w:bottom w:val="single" w:sz="4" w:space="0" w:color="auto"/>
              <w:right w:val="single" w:sz="4" w:space="0" w:color="auto"/>
            </w:tcBorders>
            <w:shd w:val="clear" w:color="000000" w:fill="FFFFFF"/>
            <w:noWrap/>
          </w:tcPr>
          <w:p w:rsidR="00B21B24" w:rsidRPr="0047440B" w:rsidRDefault="00B21B24" w:rsidP="00B21B24">
            <w:pPr>
              <w:autoSpaceDE/>
              <w:autoSpaceDN/>
              <w:adjustRightInd/>
              <w:jc w:val="center"/>
              <w:rPr>
                <w:color w:val="000000"/>
                <w:sz w:val="20"/>
                <w:szCs w:val="20"/>
              </w:rPr>
            </w:pPr>
            <w:r w:rsidRPr="0047440B">
              <w:rPr>
                <w:color w:val="000000"/>
                <w:sz w:val="20"/>
                <w:szCs w:val="20"/>
              </w:rPr>
              <w:t>9 047</w:t>
            </w:r>
          </w:p>
        </w:tc>
        <w:tc>
          <w:tcPr>
            <w:tcW w:w="1217" w:type="dxa"/>
            <w:tcBorders>
              <w:top w:val="nil"/>
              <w:left w:val="nil"/>
              <w:bottom w:val="single" w:sz="4" w:space="0" w:color="auto"/>
              <w:right w:val="single" w:sz="4" w:space="0" w:color="auto"/>
            </w:tcBorders>
            <w:shd w:val="clear" w:color="000000" w:fill="FFFFFF"/>
          </w:tcPr>
          <w:p w:rsidR="00B21B24" w:rsidRPr="0047440B" w:rsidRDefault="00B21B24" w:rsidP="00B21B24">
            <w:pPr>
              <w:autoSpaceDE/>
              <w:autoSpaceDN/>
              <w:adjustRightInd/>
              <w:jc w:val="center"/>
              <w:rPr>
                <w:color w:val="000000"/>
                <w:sz w:val="20"/>
                <w:szCs w:val="20"/>
              </w:rPr>
            </w:pPr>
            <w:r w:rsidRPr="0047440B">
              <w:rPr>
                <w:color w:val="000000"/>
                <w:sz w:val="20"/>
                <w:szCs w:val="20"/>
              </w:rPr>
              <w:t>1</w:t>
            </w:r>
          </w:p>
        </w:tc>
      </w:tr>
      <w:tr w:rsidR="00B21B24" w:rsidRPr="0047440B" w:rsidTr="00E474AD">
        <w:trPr>
          <w:trHeight w:val="20"/>
          <w:jc w:val="center"/>
        </w:trPr>
        <w:tc>
          <w:tcPr>
            <w:tcW w:w="486" w:type="dxa"/>
            <w:tcBorders>
              <w:top w:val="nil"/>
              <w:left w:val="single" w:sz="4" w:space="0" w:color="auto"/>
              <w:bottom w:val="single" w:sz="4" w:space="0" w:color="auto"/>
              <w:right w:val="single" w:sz="4" w:space="0" w:color="auto"/>
            </w:tcBorders>
            <w:shd w:val="clear" w:color="000000" w:fill="FFFFFF"/>
            <w:noWrap/>
            <w:hideMark/>
          </w:tcPr>
          <w:p w:rsidR="00B21B24" w:rsidRPr="0047440B" w:rsidRDefault="00B21B24" w:rsidP="00B21B24">
            <w:pPr>
              <w:autoSpaceDE/>
              <w:autoSpaceDN/>
              <w:adjustRightInd/>
              <w:jc w:val="center"/>
              <w:rPr>
                <w:color w:val="000000"/>
                <w:sz w:val="20"/>
                <w:szCs w:val="20"/>
              </w:rPr>
            </w:pPr>
            <w:r w:rsidRPr="0047440B">
              <w:rPr>
                <w:color w:val="000000"/>
                <w:sz w:val="20"/>
                <w:szCs w:val="20"/>
              </w:rPr>
              <w:t>25.</w:t>
            </w:r>
          </w:p>
        </w:tc>
        <w:tc>
          <w:tcPr>
            <w:tcW w:w="2917" w:type="dxa"/>
            <w:tcBorders>
              <w:top w:val="nil"/>
              <w:left w:val="single" w:sz="4" w:space="0" w:color="auto"/>
              <w:bottom w:val="single" w:sz="4" w:space="0" w:color="auto"/>
              <w:right w:val="single" w:sz="4" w:space="0" w:color="auto"/>
            </w:tcBorders>
            <w:shd w:val="clear" w:color="auto" w:fill="auto"/>
          </w:tcPr>
          <w:p w:rsidR="00B21B24" w:rsidRPr="0047440B" w:rsidRDefault="00B21B24" w:rsidP="00B21B24">
            <w:pPr>
              <w:rPr>
                <w:color w:val="000000"/>
                <w:sz w:val="20"/>
                <w:szCs w:val="20"/>
              </w:rPr>
            </w:pPr>
            <w:r w:rsidRPr="0047440B">
              <w:rPr>
                <w:color w:val="000000"/>
                <w:sz w:val="20"/>
                <w:szCs w:val="20"/>
              </w:rPr>
              <w:t>ГАУЗ «Мамадышская ЦРБ»</w:t>
            </w:r>
          </w:p>
        </w:tc>
        <w:tc>
          <w:tcPr>
            <w:tcW w:w="1233" w:type="dxa"/>
            <w:tcBorders>
              <w:top w:val="nil"/>
              <w:left w:val="single" w:sz="4" w:space="0" w:color="auto"/>
              <w:bottom w:val="single" w:sz="4" w:space="0" w:color="auto"/>
              <w:right w:val="single" w:sz="4" w:space="0" w:color="auto"/>
            </w:tcBorders>
            <w:shd w:val="clear" w:color="000000" w:fill="FFFFFF"/>
            <w:noWrap/>
            <w:vAlign w:val="center"/>
          </w:tcPr>
          <w:p w:rsidR="00B21B24" w:rsidRPr="0047440B" w:rsidRDefault="00B21B24" w:rsidP="00B21B24">
            <w:pPr>
              <w:jc w:val="center"/>
              <w:rPr>
                <w:color w:val="000000"/>
                <w:sz w:val="20"/>
                <w:szCs w:val="20"/>
              </w:rPr>
            </w:pPr>
            <w:r w:rsidRPr="0047440B">
              <w:rPr>
                <w:color w:val="000000"/>
                <w:sz w:val="20"/>
                <w:szCs w:val="20"/>
              </w:rPr>
              <w:t>2</w:t>
            </w:r>
          </w:p>
        </w:tc>
        <w:tc>
          <w:tcPr>
            <w:tcW w:w="816" w:type="dxa"/>
            <w:tcBorders>
              <w:top w:val="nil"/>
              <w:left w:val="single" w:sz="4" w:space="0" w:color="auto"/>
              <w:bottom w:val="single" w:sz="4" w:space="0" w:color="auto"/>
              <w:right w:val="single" w:sz="4" w:space="0" w:color="auto"/>
            </w:tcBorders>
            <w:shd w:val="clear" w:color="auto" w:fill="auto"/>
            <w:noWrap/>
          </w:tcPr>
          <w:p w:rsidR="00B21B24" w:rsidRPr="0047440B" w:rsidRDefault="00B21B24" w:rsidP="00B21B24">
            <w:pPr>
              <w:jc w:val="center"/>
              <w:rPr>
                <w:color w:val="000000"/>
                <w:sz w:val="20"/>
                <w:szCs w:val="20"/>
              </w:rPr>
            </w:pPr>
            <w:r w:rsidRPr="0047440B">
              <w:rPr>
                <w:color w:val="000000"/>
                <w:sz w:val="20"/>
                <w:szCs w:val="20"/>
              </w:rPr>
              <w:t>1,75</w:t>
            </w:r>
          </w:p>
        </w:tc>
        <w:tc>
          <w:tcPr>
            <w:tcW w:w="792" w:type="dxa"/>
            <w:tcBorders>
              <w:top w:val="nil"/>
              <w:left w:val="nil"/>
              <w:bottom w:val="single" w:sz="4" w:space="0" w:color="auto"/>
              <w:right w:val="single" w:sz="4" w:space="0" w:color="auto"/>
            </w:tcBorders>
            <w:shd w:val="clear" w:color="auto" w:fill="auto"/>
            <w:noWrap/>
          </w:tcPr>
          <w:p w:rsidR="00B21B24" w:rsidRPr="0047440B" w:rsidRDefault="00B21B24" w:rsidP="00B21B24">
            <w:pPr>
              <w:jc w:val="center"/>
              <w:rPr>
                <w:color w:val="000000"/>
                <w:sz w:val="20"/>
                <w:szCs w:val="20"/>
              </w:rPr>
            </w:pPr>
            <w:r w:rsidRPr="0047440B">
              <w:rPr>
                <w:color w:val="000000"/>
                <w:sz w:val="20"/>
                <w:szCs w:val="20"/>
              </w:rPr>
              <w:t>1,75</w:t>
            </w:r>
          </w:p>
        </w:tc>
        <w:tc>
          <w:tcPr>
            <w:tcW w:w="1239" w:type="dxa"/>
            <w:tcBorders>
              <w:top w:val="nil"/>
              <w:left w:val="single" w:sz="4" w:space="0" w:color="auto"/>
              <w:bottom w:val="single" w:sz="4" w:space="0" w:color="auto"/>
              <w:right w:val="single" w:sz="4" w:space="0" w:color="auto"/>
            </w:tcBorders>
            <w:shd w:val="clear" w:color="auto" w:fill="auto"/>
            <w:noWrap/>
          </w:tcPr>
          <w:p w:rsidR="00B21B24" w:rsidRPr="0047440B" w:rsidRDefault="00B21B24" w:rsidP="00B21B24">
            <w:pPr>
              <w:jc w:val="center"/>
              <w:rPr>
                <w:color w:val="000000"/>
                <w:sz w:val="20"/>
                <w:szCs w:val="20"/>
              </w:rPr>
            </w:pPr>
            <w:r w:rsidRPr="0047440B">
              <w:rPr>
                <w:color w:val="000000"/>
                <w:sz w:val="20"/>
                <w:szCs w:val="20"/>
              </w:rPr>
              <w:t>2</w:t>
            </w:r>
          </w:p>
        </w:tc>
        <w:tc>
          <w:tcPr>
            <w:tcW w:w="952" w:type="dxa"/>
            <w:tcBorders>
              <w:top w:val="single" w:sz="4" w:space="0" w:color="auto"/>
              <w:left w:val="single" w:sz="4" w:space="0" w:color="auto"/>
              <w:bottom w:val="single" w:sz="4" w:space="0" w:color="auto"/>
              <w:right w:val="single" w:sz="4" w:space="0" w:color="auto"/>
            </w:tcBorders>
            <w:shd w:val="clear" w:color="000000" w:fill="FFFFFF"/>
            <w:noWrap/>
          </w:tcPr>
          <w:p w:rsidR="00B21B24" w:rsidRPr="0047440B" w:rsidRDefault="00B21B24" w:rsidP="00B21B24">
            <w:pPr>
              <w:autoSpaceDE/>
              <w:autoSpaceDN/>
              <w:adjustRightInd/>
              <w:jc w:val="center"/>
              <w:rPr>
                <w:color w:val="000000"/>
                <w:sz w:val="20"/>
                <w:szCs w:val="20"/>
              </w:rPr>
            </w:pPr>
            <w:r w:rsidRPr="0047440B">
              <w:rPr>
                <w:color w:val="000000"/>
                <w:sz w:val="20"/>
                <w:szCs w:val="20"/>
              </w:rPr>
              <w:t>18 567</w:t>
            </w:r>
          </w:p>
        </w:tc>
        <w:tc>
          <w:tcPr>
            <w:tcW w:w="1121" w:type="dxa"/>
            <w:tcBorders>
              <w:top w:val="single" w:sz="4" w:space="0" w:color="auto"/>
              <w:left w:val="single" w:sz="4" w:space="0" w:color="auto"/>
              <w:bottom w:val="single" w:sz="4" w:space="0" w:color="auto"/>
              <w:right w:val="single" w:sz="4" w:space="0" w:color="auto"/>
            </w:tcBorders>
            <w:shd w:val="clear" w:color="000000" w:fill="FFFFFF"/>
            <w:noWrap/>
          </w:tcPr>
          <w:p w:rsidR="00B21B24" w:rsidRPr="0047440B" w:rsidRDefault="00B21B24" w:rsidP="00B21B24">
            <w:pPr>
              <w:autoSpaceDE/>
              <w:autoSpaceDN/>
              <w:adjustRightInd/>
              <w:jc w:val="center"/>
              <w:rPr>
                <w:color w:val="000000"/>
                <w:sz w:val="20"/>
                <w:szCs w:val="20"/>
              </w:rPr>
            </w:pPr>
            <w:r w:rsidRPr="0047440B">
              <w:rPr>
                <w:color w:val="000000"/>
                <w:sz w:val="20"/>
                <w:szCs w:val="20"/>
              </w:rPr>
              <w:t>9 284</w:t>
            </w:r>
          </w:p>
        </w:tc>
        <w:tc>
          <w:tcPr>
            <w:tcW w:w="1217" w:type="dxa"/>
            <w:tcBorders>
              <w:top w:val="single" w:sz="4" w:space="0" w:color="auto"/>
              <w:left w:val="single" w:sz="4" w:space="0" w:color="auto"/>
              <w:bottom w:val="single" w:sz="4" w:space="0" w:color="auto"/>
              <w:right w:val="single" w:sz="4" w:space="0" w:color="auto"/>
            </w:tcBorders>
            <w:shd w:val="clear" w:color="000000" w:fill="FFFFFF"/>
          </w:tcPr>
          <w:p w:rsidR="00B21B24" w:rsidRPr="0047440B" w:rsidRDefault="00B21B24" w:rsidP="00B21B24">
            <w:pPr>
              <w:autoSpaceDE/>
              <w:autoSpaceDN/>
              <w:adjustRightInd/>
              <w:jc w:val="center"/>
              <w:rPr>
                <w:color w:val="000000"/>
                <w:sz w:val="20"/>
                <w:szCs w:val="20"/>
              </w:rPr>
            </w:pPr>
            <w:r w:rsidRPr="0047440B">
              <w:rPr>
                <w:color w:val="000000"/>
                <w:sz w:val="20"/>
                <w:szCs w:val="20"/>
              </w:rPr>
              <w:t>1</w:t>
            </w:r>
          </w:p>
        </w:tc>
      </w:tr>
      <w:tr w:rsidR="00B21B24" w:rsidRPr="0047440B" w:rsidTr="00E474AD">
        <w:trPr>
          <w:trHeight w:val="20"/>
          <w:jc w:val="center"/>
        </w:trPr>
        <w:tc>
          <w:tcPr>
            <w:tcW w:w="486" w:type="dxa"/>
            <w:tcBorders>
              <w:top w:val="nil"/>
              <w:left w:val="single" w:sz="4" w:space="0" w:color="auto"/>
              <w:bottom w:val="single" w:sz="4" w:space="0" w:color="auto"/>
              <w:right w:val="single" w:sz="4" w:space="0" w:color="auto"/>
            </w:tcBorders>
            <w:shd w:val="clear" w:color="000000" w:fill="FFFFFF"/>
            <w:noWrap/>
            <w:hideMark/>
          </w:tcPr>
          <w:p w:rsidR="00B21B24" w:rsidRPr="0047440B" w:rsidRDefault="00B21B24" w:rsidP="00B21B24">
            <w:pPr>
              <w:autoSpaceDE/>
              <w:autoSpaceDN/>
              <w:adjustRightInd/>
              <w:jc w:val="center"/>
              <w:rPr>
                <w:color w:val="000000"/>
                <w:sz w:val="20"/>
                <w:szCs w:val="20"/>
              </w:rPr>
            </w:pPr>
            <w:r w:rsidRPr="0047440B">
              <w:rPr>
                <w:color w:val="000000"/>
                <w:sz w:val="20"/>
                <w:szCs w:val="20"/>
              </w:rPr>
              <w:t>26.</w:t>
            </w:r>
          </w:p>
        </w:tc>
        <w:tc>
          <w:tcPr>
            <w:tcW w:w="2917" w:type="dxa"/>
            <w:tcBorders>
              <w:top w:val="nil"/>
              <w:left w:val="single" w:sz="4" w:space="0" w:color="auto"/>
              <w:bottom w:val="single" w:sz="4" w:space="0" w:color="auto"/>
              <w:right w:val="single" w:sz="4" w:space="0" w:color="auto"/>
            </w:tcBorders>
            <w:shd w:val="clear" w:color="auto" w:fill="auto"/>
          </w:tcPr>
          <w:p w:rsidR="00B21B24" w:rsidRPr="0047440B" w:rsidRDefault="00B21B24" w:rsidP="00B21B24">
            <w:pPr>
              <w:rPr>
                <w:color w:val="000000"/>
                <w:sz w:val="20"/>
                <w:szCs w:val="20"/>
              </w:rPr>
            </w:pPr>
            <w:r w:rsidRPr="0047440B">
              <w:rPr>
                <w:color w:val="000000"/>
                <w:sz w:val="20"/>
                <w:szCs w:val="20"/>
              </w:rPr>
              <w:t>ГАУЗ «Менделеевская ЦРБ»</w:t>
            </w:r>
          </w:p>
        </w:tc>
        <w:tc>
          <w:tcPr>
            <w:tcW w:w="1233" w:type="dxa"/>
            <w:tcBorders>
              <w:top w:val="nil"/>
              <w:left w:val="single" w:sz="4" w:space="0" w:color="auto"/>
              <w:bottom w:val="single" w:sz="4" w:space="0" w:color="auto"/>
              <w:right w:val="single" w:sz="4" w:space="0" w:color="auto"/>
            </w:tcBorders>
            <w:shd w:val="clear" w:color="000000" w:fill="FFFFFF"/>
            <w:noWrap/>
            <w:vAlign w:val="center"/>
          </w:tcPr>
          <w:p w:rsidR="00B21B24" w:rsidRPr="0047440B" w:rsidRDefault="00B21B24" w:rsidP="00B21B24">
            <w:pPr>
              <w:jc w:val="center"/>
              <w:rPr>
                <w:color w:val="000000"/>
                <w:sz w:val="20"/>
                <w:szCs w:val="20"/>
              </w:rPr>
            </w:pPr>
            <w:r w:rsidRPr="0047440B">
              <w:rPr>
                <w:color w:val="000000"/>
                <w:sz w:val="20"/>
                <w:szCs w:val="20"/>
              </w:rPr>
              <w:t>1</w:t>
            </w:r>
          </w:p>
        </w:tc>
        <w:tc>
          <w:tcPr>
            <w:tcW w:w="816" w:type="dxa"/>
            <w:tcBorders>
              <w:top w:val="nil"/>
              <w:left w:val="single" w:sz="4" w:space="0" w:color="auto"/>
              <w:bottom w:val="single" w:sz="4" w:space="0" w:color="auto"/>
              <w:right w:val="single" w:sz="4" w:space="0" w:color="auto"/>
            </w:tcBorders>
            <w:shd w:val="clear" w:color="auto" w:fill="auto"/>
            <w:noWrap/>
          </w:tcPr>
          <w:p w:rsidR="00B21B24" w:rsidRPr="0047440B" w:rsidRDefault="00B21B24" w:rsidP="00B21B24">
            <w:pPr>
              <w:jc w:val="center"/>
              <w:rPr>
                <w:color w:val="000000"/>
                <w:sz w:val="20"/>
                <w:szCs w:val="20"/>
              </w:rPr>
            </w:pPr>
            <w:r w:rsidRPr="0047440B">
              <w:rPr>
                <w:color w:val="000000"/>
                <w:sz w:val="20"/>
                <w:szCs w:val="20"/>
              </w:rPr>
              <w:t>1,00</w:t>
            </w:r>
          </w:p>
        </w:tc>
        <w:tc>
          <w:tcPr>
            <w:tcW w:w="792" w:type="dxa"/>
            <w:tcBorders>
              <w:top w:val="nil"/>
              <w:left w:val="nil"/>
              <w:bottom w:val="single" w:sz="4" w:space="0" w:color="auto"/>
              <w:right w:val="single" w:sz="4" w:space="0" w:color="auto"/>
            </w:tcBorders>
            <w:shd w:val="clear" w:color="auto" w:fill="auto"/>
            <w:noWrap/>
          </w:tcPr>
          <w:p w:rsidR="00B21B24" w:rsidRPr="0047440B" w:rsidRDefault="00B21B24" w:rsidP="00B21B24">
            <w:pPr>
              <w:jc w:val="center"/>
              <w:rPr>
                <w:color w:val="000000"/>
                <w:sz w:val="20"/>
                <w:szCs w:val="20"/>
              </w:rPr>
            </w:pPr>
            <w:r w:rsidRPr="0047440B">
              <w:rPr>
                <w:color w:val="000000"/>
                <w:sz w:val="20"/>
                <w:szCs w:val="20"/>
              </w:rPr>
              <w:t>1,00</w:t>
            </w:r>
          </w:p>
        </w:tc>
        <w:tc>
          <w:tcPr>
            <w:tcW w:w="1239" w:type="dxa"/>
            <w:tcBorders>
              <w:top w:val="nil"/>
              <w:left w:val="single" w:sz="4" w:space="0" w:color="auto"/>
              <w:bottom w:val="single" w:sz="4" w:space="0" w:color="auto"/>
              <w:right w:val="single" w:sz="4" w:space="0" w:color="auto"/>
            </w:tcBorders>
            <w:shd w:val="clear" w:color="auto" w:fill="auto"/>
            <w:noWrap/>
          </w:tcPr>
          <w:p w:rsidR="00B21B24" w:rsidRPr="0047440B" w:rsidRDefault="00B21B24" w:rsidP="00B21B24">
            <w:pPr>
              <w:jc w:val="center"/>
              <w:rPr>
                <w:color w:val="000000"/>
                <w:sz w:val="20"/>
                <w:szCs w:val="20"/>
              </w:rPr>
            </w:pPr>
            <w:r w:rsidRPr="0047440B">
              <w:rPr>
                <w:color w:val="000000"/>
                <w:sz w:val="20"/>
                <w:szCs w:val="20"/>
              </w:rPr>
              <w:t>1</w:t>
            </w:r>
          </w:p>
        </w:tc>
        <w:tc>
          <w:tcPr>
            <w:tcW w:w="952" w:type="dxa"/>
            <w:tcBorders>
              <w:top w:val="single" w:sz="4" w:space="0" w:color="auto"/>
              <w:left w:val="nil"/>
              <w:bottom w:val="single" w:sz="4" w:space="0" w:color="auto"/>
              <w:right w:val="single" w:sz="4" w:space="0" w:color="auto"/>
            </w:tcBorders>
            <w:shd w:val="clear" w:color="000000" w:fill="FFFFFF"/>
            <w:noWrap/>
          </w:tcPr>
          <w:p w:rsidR="00B21B24" w:rsidRPr="0047440B" w:rsidRDefault="00B21B24" w:rsidP="00B21B24">
            <w:pPr>
              <w:autoSpaceDE/>
              <w:autoSpaceDN/>
              <w:adjustRightInd/>
              <w:jc w:val="center"/>
              <w:rPr>
                <w:color w:val="000000"/>
                <w:sz w:val="20"/>
                <w:szCs w:val="20"/>
              </w:rPr>
            </w:pPr>
            <w:r w:rsidRPr="0047440B">
              <w:rPr>
                <w:color w:val="000000"/>
                <w:sz w:val="20"/>
                <w:szCs w:val="20"/>
              </w:rPr>
              <w:t>10 794</w:t>
            </w:r>
          </w:p>
        </w:tc>
        <w:tc>
          <w:tcPr>
            <w:tcW w:w="1121" w:type="dxa"/>
            <w:tcBorders>
              <w:top w:val="single" w:sz="4" w:space="0" w:color="auto"/>
              <w:left w:val="nil"/>
              <w:bottom w:val="single" w:sz="4" w:space="0" w:color="auto"/>
              <w:right w:val="single" w:sz="4" w:space="0" w:color="auto"/>
            </w:tcBorders>
            <w:shd w:val="clear" w:color="000000" w:fill="FFFFFF"/>
            <w:noWrap/>
          </w:tcPr>
          <w:p w:rsidR="00B21B24" w:rsidRPr="0047440B" w:rsidRDefault="00B21B24" w:rsidP="00B21B24">
            <w:pPr>
              <w:autoSpaceDE/>
              <w:autoSpaceDN/>
              <w:adjustRightInd/>
              <w:jc w:val="center"/>
              <w:rPr>
                <w:color w:val="000000"/>
                <w:sz w:val="20"/>
                <w:szCs w:val="20"/>
              </w:rPr>
            </w:pPr>
            <w:r w:rsidRPr="0047440B">
              <w:rPr>
                <w:color w:val="000000"/>
                <w:sz w:val="20"/>
                <w:szCs w:val="20"/>
              </w:rPr>
              <w:t>10 794</w:t>
            </w:r>
          </w:p>
        </w:tc>
        <w:tc>
          <w:tcPr>
            <w:tcW w:w="1217" w:type="dxa"/>
            <w:tcBorders>
              <w:top w:val="single" w:sz="4" w:space="0" w:color="auto"/>
              <w:left w:val="nil"/>
              <w:bottom w:val="single" w:sz="4" w:space="0" w:color="auto"/>
              <w:right w:val="single" w:sz="4" w:space="0" w:color="auto"/>
            </w:tcBorders>
            <w:shd w:val="clear" w:color="000000" w:fill="FFFFFF"/>
          </w:tcPr>
          <w:p w:rsidR="00B21B24" w:rsidRPr="0047440B" w:rsidRDefault="00B21B24" w:rsidP="00B21B24">
            <w:pPr>
              <w:autoSpaceDE/>
              <w:autoSpaceDN/>
              <w:adjustRightInd/>
              <w:jc w:val="center"/>
              <w:rPr>
                <w:color w:val="000000"/>
                <w:sz w:val="20"/>
                <w:szCs w:val="20"/>
              </w:rPr>
            </w:pPr>
            <w:r w:rsidRPr="0047440B">
              <w:rPr>
                <w:color w:val="000000"/>
                <w:sz w:val="20"/>
                <w:szCs w:val="20"/>
              </w:rPr>
              <w:t>1</w:t>
            </w:r>
          </w:p>
        </w:tc>
      </w:tr>
      <w:tr w:rsidR="00B21B24" w:rsidRPr="0047440B" w:rsidTr="00E474AD">
        <w:trPr>
          <w:trHeight w:val="20"/>
          <w:jc w:val="center"/>
        </w:trPr>
        <w:tc>
          <w:tcPr>
            <w:tcW w:w="486" w:type="dxa"/>
            <w:tcBorders>
              <w:top w:val="nil"/>
              <w:left w:val="single" w:sz="4" w:space="0" w:color="auto"/>
              <w:bottom w:val="single" w:sz="4" w:space="0" w:color="auto"/>
              <w:right w:val="single" w:sz="4" w:space="0" w:color="auto"/>
            </w:tcBorders>
            <w:shd w:val="clear" w:color="000000" w:fill="FFFFFF"/>
            <w:noWrap/>
            <w:hideMark/>
          </w:tcPr>
          <w:p w:rsidR="00B21B24" w:rsidRPr="0047440B" w:rsidRDefault="00B21B24" w:rsidP="00B21B24">
            <w:pPr>
              <w:autoSpaceDE/>
              <w:autoSpaceDN/>
              <w:adjustRightInd/>
              <w:jc w:val="center"/>
              <w:rPr>
                <w:color w:val="000000"/>
                <w:sz w:val="20"/>
                <w:szCs w:val="20"/>
              </w:rPr>
            </w:pPr>
            <w:r>
              <w:rPr>
                <w:color w:val="000000"/>
                <w:sz w:val="20"/>
                <w:szCs w:val="20"/>
              </w:rPr>
              <w:t>2</w:t>
            </w:r>
            <w:r w:rsidRPr="0047440B">
              <w:rPr>
                <w:color w:val="000000"/>
                <w:sz w:val="20"/>
                <w:szCs w:val="20"/>
              </w:rPr>
              <w:t>7.</w:t>
            </w:r>
          </w:p>
        </w:tc>
        <w:tc>
          <w:tcPr>
            <w:tcW w:w="2917" w:type="dxa"/>
            <w:tcBorders>
              <w:top w:val="nil"/>
              <w:left w:val="single" w:sz="4" w:space="0" w:color="auto"/>
              <w:bottom w:val="single" w:sz="4" w:space="0" w:color="auto"/>
              <w:right w:val="single" w:sz="4" w:space="0" w:color="auto"/>
            </w:tcBorders>
            <w:shd w:val="clear" w:color="auto" w:fill="auto"/>
          </w:tcPr>
          <w:p w:rsidR="00B21B24" w:rsidRPr="0047440B" w:rsidRDefault="00B21B24" w:rsidP="00B21B24">
            <w:pPr>
              <w:rPr>
                <w:color w:val="000000"/>
                <w:sz w:val="20"/>
                <w:szCs w:val="20"/>
              </w:rPr>
            </w:pPr>
            <w:r w:rsidRPr="0047440B">
              <w:rPr>
                <w:color w:val="000000"/>
                <w:sz w:val="20"/>
                <w:szCs w:val="20"/>
              </w:rPr>
              <w:t>ГАУЗ «Мензелинская ЦРБ»</w:t>
            </w:r>
          </w:p>
        </w:tc>
        <w:tc>
          <w:tcPr>
            <w:tcW w:w="1233" w:type="dxa"/>
            <w:tcBorders>
              <w:top w:val="nil"/>
              <w:left w:val="single" w:sz="4" w:space="0" w:color="auto"/>
              <w:bottom w:val="single" w:sz="4" w:space="0" w:color="auto"/>
              <w:right w:val="single" w:sz="4" w:space="0" w:color="auto"/>
            </w:tcBorders>
            <w:shd w:val="clear" w:color="000000" w:fill="FFFFFF"/>
            <w:noWrap/>
            <w:vAlign w:val="center"/>
          </w:tcPr>
          <w:p w:rsidR="00B21B24" w:rsidRPr="0047440B" w:rsidRDefault="00B21B24" w:rsidP="00B21B24">
            <w:pPr>
              <w:jc w:val="center"/>
              <w:rPr>
                <w:color w:val="000000"/>
                <w:sz w:val="20"/>
                <w:szCs w:val="20"/>
              </w:rPr>
            </w:pPr>
            <w:r w:rsidRPr="0047440B">
              <w:rPr>
                <w:color w:val="000000"/>
                <w:sz w:val="20"/>
                <w:szCs w:val="20"/>
              </w:rPr>
              <w:t>1</w:t>
            </w:r>
          </w:p>
        </w:tc>
        <w:tc>
          <w:tcPr>
            <w:tcW w:w="816" w:type="dxa"/>
            <w:tcBorders>
              <w:top w:val="nil"/>
              <w:left w:val="single" w:sz="4" w:space="0" w:color="auto"/>
              <w:bottom w:val="single" w:sz="4" w:space="0" w:color="auto"/>
              <w:right w:val="single" w:sz="4" w:space="0" w:color="auto"/>
            </w:tcBorders>
            <w:shd w:val="clear" w:color="auto" w:fill="auto"/>
            <w:noWrap/>
          </w:tcPr>
          <w:p w:rsidR="00B21B24" w:rsidRPr="0047440B" w:rsidRDefault="00B21B24" w:rsidP="00B21B24">
            <w:pPr>
              <w:jc w:val="center"/>
              <w:rPr>
                <w:color w:val="000000"/>
                <w:sz w:val="20"/>
                <w:szCs w:val="20"/>
              </w:rPr>
            </w:pPr>
            <w:r w:rsidRPr="0047440B">
              <w:rPr>
                <w:color w:val="000000"/>
                <w:sz w:val="20"/>
                <w:szCs w:val="20"/>
              </w:rPr>
              <w:t>1,00</w:t>
            </w:r>
          </w:p>
        </w:tc>
        <w:tc>
          <w:tcPr>
            <w:tcW w:w="792" w:type="dxa"/>
            <w:tcBorders>
              <w:top w:val="nil"/>
              <w:left w:val="nil"/>
              <w:bottom w:val="single" w:sz="4" w:space="0" w:color="auto"/>
              <w:right w:val="single" w:sz="4" w:space="0" w:color="auto"/>
            </w:tcBorders>
            <w:shd w:val="clear" w:color="auto" w:fill="auto"/>
            <w:noWrap/>
          </w:tcPr>
          <w:p w:rsidR="00B21B24" w:rsidRPr="0047440B" w:rsidRDefault="00B21B24" w:rsidP="00B21B24">
            <w:pPr>
              <w:jc w:val="center"/>
              <w:rPr>
                <w:color w:val="000000"/>
                <w:sz w:val="20"/>
                <w:szCs w:val="20"/>
              </w:rPr>
            </w:pPr>
            <w:r w:rsidRPr="0047440B">
              <w:rPr>
                <w:color w:val="000000"/>
                <w:sz w:val="20"/>
                <w:szCs w:val="20"/>
              </w:rPr>
              <w:t>1,00</w:t>
            </w:r>
          </w:p>
        </w:tc>
        <w:tc>
          <w:tcPr>
            <w:tcW w:w="1239" w:type="dxa"/>
            <w:tcBorders>
              <w:top w:val="nil"/>
              <w:left w:val="single" w:sz="4" w:space="0" w:color="auto"/>
              <w:bottom w:val="single" w:sz="4" w:space="0" w:color="auto"/>
              <w:right w:val="single" w:sz="4" w:space="0" w:color="auto"/>
            </w:tcBorders>
            <w:shd w:val="clear" w:color="auto" w:fill="auto"/>
            <w:noWrap/>
          </w:tcPr>
          <w:p w:rsidR="00B21B24" w:rsidRPr="0047440B" w:rsidRDefault="00B21B24" w:rsidP="00B21B24">
            <w:pPr>
              <w:jc w:val="center"/>
              <w:rPr>
                <w:color w:val="000000"/>
                <w:sz w:val="20"/>
                <w:szCs w:val="20"/>
              </w:rPr>
            </w:pPr>
            <w:r w:rsidRPr="0047440B">
              <w:rPr>
                <w:color w:val="000000"/>
                <w:sz w:val="20"/>
                <w:szCs w:val="20"/>
              </w:rPr>
              <w:t>1</w:t>
            </w:r>
          </w:p>
        </w:tc>
        <w:tc>
          <w:tcPr>
            <w:tcW w:w="952" w:type="dxa"/>
            <w:tcBorders>
              <w:top w:val="nil"/>
              <w:left w:val="nil"/>
              <w:bottom w:val="single" w:sz="4" w:space="0" w:color="auto"/>
              <w:right w:val="single" w:sz="4" w:space="0" w:color="auto"/>
            </w:tcBorders>
            <w:shd w:val="clear" w:color="000000" w:fill="FFFFFF"/>
            <w:noWrap/>
          </w:tcPr>
          <w:p w:rsidR="00B21B24" w:rsidRPr="0047440B" w:rsidRDefault="00B21B24" w:rsidP="00B21B24">
            <w:pPr>
              <w:autoSpaceDE/>
              <w:autoSpaceDN/>
              <w:adjustRightInd/>
              <w:jc w:val="center"/>
              <w:rPr>
                <w:color w:val="000000"/>
                <w:sz w:val="20"/>
                <w:szCs w:val="20"/>
              </w:rPr>
            </w:pPr>
            <w:r w:rsidRPr="0047440B">
              <w:rPr>
                <w:color w:val="000000"/>
                <w:sz w:val="20"/>
                <w:szCs w:val="20"/>
              </w:rPr>
              <w:t>11 528</w:t>
            </w:r>
          </w:p>
        </w:tc>
        <w:tc>
          <w:tcPr>
            <w:tcW w:w="1121" w:type="dxa"/>
            <w:tcBorders>
              <w:top w:val="nil"/>
              <w:left w:val="nil"/>
              <w:bottom w:val="single" w:sz="4" w:space="0" w:color="auto"/>
              <w:right w:val="single" w:sz="4" w:space="0" w:color="auto"/>
            </w:tcBorders>
            <w:shd w:val="clear" w:color="000000" w:fill="FFFFFF"/>
            <w:noWrap/>
          </w:tcPr>
          <w:p w:rsidR="00B21B24" w:rsidRPr="0047440B" w:rsidRDefault="00B21B24" w:rsidP="00B21B24">
            <w:pPr>
              <w:autoSpaceDE/>
              <w:autoSpaceDN/>
              <w:adjustRightInd/>
              <w:jc w:val="center"/>
              <w:rPr>
                <w:color w:val="000000"/>
                <w:sz w:val="20"/>
                <w:szCs w:val="20"/>
              </w:rPr>
            </w:pPr>
            <w:r w:rsidRPr="0047440B">
              <w:rPr>
                <w:color w:val="000000"/>
                <w:sz w:val="20"/>
                <w:szCs w:val="20"/>
              </w:rPr>
              <w:t>11 528</w:t>
            </w:r>
          </w:p>
        </w:tc>
        <w:tc>
          <w:tcPr>
            <w:tcW w:w="1217" w:type="dxa"/>
            <w:tcBorders>
              <w:top w:val="nil"/>
              <w:left w:val="nil"/>
              <w:bottom w:val="single" w:sz="4" w:space="0" w:color="auto"/>
              <w:right w:val="single" w:sz="4" w:space="0" w:color="auto"/>
            </w:tcBorders>
            <w:shd w:val="clear" w:color="000000" w:fill="FFFFFF"/>
          </w:tcPr>
          <w:p w:rsidR="00B21B24" w:rsidRPr="0047440B" w:rsidRDefault="00B21B24" w:rsidP="00B21B24">
            <w:pPr>
              <w:autoSpaceDE/>
              <w:autoSpaceDN/>
              <w:adjustRightInd/>
              <w:jc w:val="center"/>
              <w:rPr>
                <w:color w:val="000000"/>
                <w:sz w:val="20"/>
                <w:szCs w:val="20"/>
              </w:rPr>
            </w:pPr>
            <w:r w:rsidRPr="0047440B">
              <w:rPr>
                <w:color w:val="000000"/>
                <w:sz w:val="20"/>
                <w:szCs w:val="20"/>
              </w:rPr>
              <w:t>1</w:t>
            </w:r>
          </w:p>
        </w:tc>
      </w:tr>
      <w:tr w:rsidR="00B21B24" w:rsidRPr="0047440B" w:rsidTr="00E474AD">
        <w:trPr>
          <w:trHeight w:val="20"/>
          <w:jc w:val="center"/>
        </w:trPr>
        <w:tc>
          <w:tcPr>
            <w:tcW w:w="486" w:type="dxa"/>
            <w:tcBorders>
              <w:top w:val="nil"/>
              <w:left w:val="single" w:sz="4" w:space="0" w:color="auto"/>
              <w:bottom w:val="single" w:sz="4" w:space="0" w:color="auto"/>
              <w:right w:val="single" w:sz="4" w:space="0" w:color="auto"/>
            </w:tcBorders>
            <w:shd w:val="clear" w:color="000000" w:fill="FFFFFF"/>
            <w:noWrap/>
            <w:hideMark/>
          </w:tcPr>
          <w:p w:rsidR="00B21B24" w:rsidRPr="0047440B" w:rsidRDefault="00B21B24" w:rsidP="00B21B24">
            <w:pPr>
              <w:autoSpaceDE/>
              <w:autoSpaceDN/>
              <w:adjustRightInd/>
              <w:jc w:val="center"/>
              <w:rPr>
                <w:color w:val="000000"/>
                <w:sz w:val="20"/>
                <w:szCs w:val="20"/>
              </w:rPr>
            </w:pPr>
            <w:r w:rsidRPr="0047440B">
              <w:rPr>
                <w:color w:val="000000"/>
                <w:sz w:val="20"/>
                <w:szCs w:val="20"/>
              </w:rPr>
              <w:t>28.</w:t>
            </w:r>
          </w:p>
        </w:tc>
        <w:tc>
          <w:tcPr>
            <w:tcW w:w="2917" w:type="dxa"/>
            <w:tcBorders>
              <w:top w:val="nil"/>
              <w:left w:val="single" w:sz="4" w:space="0" w:color="auto"/>
              <w:bottom w:val="single" w:sz="4" w:space="0" w:color="auto"/>
              <w:right w:val="single" w:sz="4" w:space="0" w:color="auto"/>
            </w:tcBorders>
            <w:shd w:val="clear" w:color="auto" w:fill="auto"/>
          </w:tcPr>
          <w:p w:rsidR="00B21B24" w:rsidRPr="0047440B" w:rsidRDefault="00B21B24" w:rsidP="00B21B24">
            <w:pPr>
              <w:rPr>
                <w:color w:val="000000"/>
                <w:sz w:val="20"/>
                <w:szCs w:val="20"/>
              </w:rPr>
            </w:pPr>
            <w:r w:rsidRPr="0047440B">
              <w:rPr>
                <w:color w:val="000000"/>
                <w:sz w:val="20"/>
                <w:szCs w:val="20"/>
              </w:rPr>
              <w:t>ГАУЗ «Муслюмовская ЦРБ»</w:t>
            </w:r>
          </w:p>
        </w:tc>
        <w:tc>
          <w:tcPr>
            <w:tcW w:w="1233" w:type="dxa"/>
            <w:tcBorders>
              <w:top w:val="nil"/>
              <w:left w:val="single" w:sz="4" w:space="0" w:color="auto"/>
              <w:bottom w:val="single" w:sz="4" w:space="0" w:color="auto"/>
              <w:right w:val="single" w:sz="4" w:space="0" w:color="auto"/>
            </w:tcBorders>
            <w:shd w:val="clear" w:color="000000" w:fill="FFFFFF"/>
            <w:noWrap/>
            <w:vAlign w:val="center"/>
          </w:tcPr>
          <w:p w:rsidR="00B21B24" w:rsidRPr="0047440B" w:rsidRDefault="00B21B24" w:rsidP="00B21B24">
            <w:pPr>
              <w:jc w:val="center"/>
              <w:rPr>
                <w:color w:val="000000"/>
                <w:sz w:val="20"/>
                <w:szCs w:val="20"/>
              </w:rPr>
            </w:pPr>
            <w:r w:rsidRPr="0047440B">
              <w:rPr>
                <w:color w:val="000000"/>
                <w:sz w:val="20"/>
                <w:szCs w:val="20"/>
              </w:rPr>
              <w:t>1</w:t>
            </w:r>
          </w:p>
        </w:tc>
        <w:tc>
          <w:tcPr>
            <w:tcW w:w="816" w:type="dxa"/>
            <w:tcBorders>
              <w:top w:val="nil"/>
              <w:left w:val="single" w:sz="4" w:space="0" w:color="auto"/>
              <w:bottom w:val="single" w:sz="4" w:space="0" w:color="auto"/>
              <w:right w:val="single" w:sz="4" w:space="0" w:color="auto"/>
            </w:tcBorders>
            <w:shd w:val="clear" w:color="auto" w:fill="auto"/>
            <w:noWrap/>
          </w:tcPr>
          <w:p w:rsidR="00B21B24" w:rsidRPr="0047440B" w:rsidRDefault="00B21B24" w:rsidP="00B21B24">
            <w:pPr>
              <w:jc w:val="center"/>
              <w:rPr>
                <w:color w:val="000000"/>
                <w:sz w:val="20"/>
                <w:szCs w:val="20"/>
              </w:rPr>
            </w:pPr>
            <w:r w:rsidRPr="0047440B">
              <w:rPr>
                <w:color w:val="000000"/>
                <w:sz w:val="20"/>
                <w:szCs w:val="20"/>
              </w:rPr>
              <w:t>1,00</w:t>
            </w:r>
          </w:p>
        </w:tc>
        <w:tc>
          <w:tcPr>
            <w:tcW w:w="792" w:type="dxa"/>
            <w:tcBorders>
              <w:top w:val="nil"/>
              <w:left w:val="nil"/>
              <w:bottom w:val="single" w:sz="4" w:space="0" w:color="auto"/>
              <w:right w:val="single" w:sz="4" w:space="0" w:color="auto"/>
            </w:tcBorders>
            <w:shd w:val="clear" w:color="auto" w:fill="auto"/>
            <w:noWrap/>
          </w:tcPr>
          <w:p w:rsidR="00B21B24" w:rsidRPr="0047440B" w:rsidRDefault="00B21B24" w:rsidP="00B21B24">
            <w:pPr>
              <w:jc w:val="center"/>
              <w:rPr>
                <w:color w:val="000000"/>
                <w:sz w:val="20"/>
                <w:szCs w:val="20"/>
              </w:rPr>
            </w:pPr>
            <w:r w:rsidRPr="0047440B">
              <w:rPr>
                <w:color w:val="000000"/>
                <w:sz w:val="20"/>
                <w:szCs w:val="20"/>
              </w:rPr>
              <w:t>1,00</w:t>
            </w:r>
          </w:p>
        </w:tc>
        <w:tc>
          <w:tcPr>
            <w:tcW w:w="1239" w:type="dxa"/>
            <w:tcBorders>
              <w:top w:val="nil"/>
              <w:left w:val="single" w:sz="4" w:space="0" w:color="auto"/>
              <w:bottom w:val="single" w:sz="4" w:space="0" w:color="auto"/>
              <w:right w:val="single" w:sz="4" w:space="0" w:color="auto"/>
            </w:tcBorders>
            <w:shd w:val="clear" w:color="auto" w:fill="auto"/>
            <w:noWrap/>
          </w:tcPr>
          <w:p w:rsidR="00B21B24" w:rsidRPr="0047440B" w:rsidRDefault="00B21B24" w:rsidP="00B21B24">
            <w:pPr>
              <w:jc w:val="center"/>
              <w:rPr>
                <w:color w:val="000000"/>
                <w:sz w:val="20"/>
                <w:szCs w:val="20"/>
              </w:rPr>
            </w:pPr>
            <w:r w:rsidRPr="0047440B">
              <w:rPr>
                <w:color w:val="000000"/>
                <w:sz w:val="20"/>
                <w:szCs w:val="20"/>
              </w:rPr>
              <w:t>1</w:t>
            </w:r>
          </w:p>
        </w:tc>
        <w:tc>
          <w:tcPr>
            <w:tcW w:w="952" w:type="dxa"/>
            <w:tcBorders>
              <w:top w:val="nil"/>
              <w:left w:val="nil"/>
              <w:bottom w:val="single" w:sz="4" w:space="0" w:color="auto"/>
              <w:right w:val="single" w:sz="4" w:space="0" w:color="auto"/>
            </w:tcBorders>
            <w:shd w:val="clear" w:color="000000" w:fill="FFFFFF"/>
            <w:noWrap/>
          </w:tcPr>
          <w:p w:rsidR="00B21B24" w:rsidRPr="0047440B" w:rsidRDefault="00B21B24" w:rsidP="00B21B24">
            <w:pPr>
              <w:autoSpaceDE/>
              <w:autoSpaceDN/>
              <w:adjustRightInd/>
              <w:jc w:val="center"/>
              <w:rPr>
                <w:color w:val="000000"/>
                <w:sz w:val="20"/>
                <w:szCs w:val="20"/>
              </w:rPr>
            </w:pPr>
            <w:r w:rsidRPr="0047440B">
              <w:rPr>
                <w:color w:val="000000"/>
                <w:sz w:val="20"/>
                <w:szCs w:val="20"/>
              </w:rPr>
              <w:t>7 644</w:t>
            </w:r>
          </w:p>
        </w:tc>
        <w:tc>
          <w:tcPr>
            <w:tcW w:w="1121" w:type="dxa"/>
            <w:tcBorders>
              <w:top w:val="nil"/>
              <w:left w:val="nil"/>
              <w:bottom w:val="single" w:sz="4" w:space="0" w:color="auto"/>
              <w:right w:val="single" w:sz="4" w:space="0" w:color="auto"/>
            </w:tcBorders>
            <w:shd w:val="clear" w:color="000000" w:fill="FFFFFF"/>
            <w:noWrap/>
          </w:tcPr>
          <w:p w:rsidR="00B21B24" w:rsidRPr="0047440B" w:rsidRDefault="00B21B24" w:rsidP="00B21B24">
            <w:pPr>
              <w:autoSpaceDE/>
              <w:autoSpaceDN/>
              <w:adjustRightInd/>
              <w:jc w:val="center"/>
              <w:rPr>
                <w:color w:val="000000"/>
                <w:sz w:val="20"/>
                <w:szCs w:val="20"/>
              </w:rPr>
            </w:pPr>
            <w:r w:rsidRPr="0047440B">
              <w:rPr>
                <w:color w:val="000000"/>
                <w:sz w:val="20"/>
                <w:szCs w:val="20"/>
              </w:rPr>
              <w:t>7 644</w:t>
            </w:r>
          </w:p>
        </w:tc>
        <w:tc>
          <w:tcPr>
            <w:tcW w:w="1217" w:type="dxa"/>
            <w:tcBorders>
              <w:top w:val="nil"/>
              <w:left w:val="nil"/>
              <w:bottom w:val="single" w:sz="4" w:space="0" w:color="auto"/>
              <w:right w:val="single" w:sz="4" w:space="0" w:color="auto"/>
            </w:tcBorders>
            <w:shd w:val="clear" w:color="000000" w:fill="FFFFFF"/>
          </w:tcPr>
          <w:p w:rsidR="00B21B24" w:rsidRPr="0047440B" w:rsidRDefault="00B21B24" w:rsidP="00B21B24">
            <w:pPr>
              <w:autoSpaceDE/>
              <w:autoSpaceDN/>
              <w:adjustRightInd/>
              <w:jc w:val="center"/>
              <w:rPr>
                <w:color w:val="000000"/>
                <w:sz w:val="20"/>
                <w:szCs w:val="20"/>
              </w:rPr>
            </w:pPr>
            <w:r w:rsidRPr="0047440B">
              <w:rPr>
                <w:color w:val="000000"/>
                <w:sz w:val="20"/>
                <w:szCs w:val="20"/>
              </w:rPr>
              <w:t>1</w:t>
            </w:r>
          </w:p>
        </w:tc>
      </w:tr>
      <w:tr w:rsidR="00B21B24" w:rsidRPr="0047440B" w:rsidTr="00E474AD">
        <w:trPr>
          <w:trHeight w:val="20"/>
          <w:jc w:val="center"/>
        </w:trPr>
        <w:tc>
          <w:tcPr>
            <w:tcW w:w="486" w:type="dxa"/>
            <w:tcBorders>
              <w:top w:val="nil"/>
              <w:left w:val="single" w:sz="4" w:space="0" w:color="auto"/>
              <w:bottom w:val="single" w:sz="4" w:space="0" w:color="auto"/>
              <w:right w:val="single" w:sz="4" w:space="0" w:color="auto"/>
            </w:tcBorders>
            <w:shd w:val="clear" w:color="000000" w:fill="FFFFFF"/>
            <w:noWrap/>
            <w:hideMark/>
          </w:tcPr>
          <w:p w:rsidR="00B21B24" w:rsidRPr="0047440B" w:rsidRDefault="00B21B24" w:rsidP="00B21B24">
            <w:pPr>
              <w:autoSpaceDE/>
              <w:autoSpaceDN/>
              <w:adjustRightInd/>
              <w:jc w:val="center"/>
              <w:rPr>
                <w:color w:val="000000"/>
                <w:sz w:val="20"/>
                <w:szCs w:val="20"/>
              </w:rPr>
            </w:pPr>
            <w:r w:rsidRPr="0047440B">
              <w:rPr>
                <w:color w:val="000000"/>
                <w:sz w:val="20"/>
                <w:szCs w:val="20"/>
              </w:rPr>
              <w:t>29.</w:t>
            </w:r>
          </w:p>
        </w:tc>
        <w:tc>
          <w:tcPr>
            <w:tcW w:w="2917" w:type="dxa"/>
            <w:tcBorders>
              <w:top w:val="nil"/>
              <w:left w:val="single" w:sz="4" w:space="0" w:color="auto"/>
              <w:bottom w:val="single" w:sz="4" w:space="0" w:color="auto"/>
              <w:right w:val="single" w:sz="4" w:space="0" w:color="auto"/>
            </w:tcBorders>
            <w:shd w:val="clear" w:color="auto" w:fill="auto"/>
          </w:tcPr>
          <w:p w:rsidR="00B21B24" w:rsidRPr="0047440B" w:rsidRDefault="00B21B24" w:rsidP="00B21B24">
            <w:pPr>
              <w:rPr>
                <w:color w:val="000000"/>
                <w:sz w:val="20"/>
                <w:szCs w:val="20"/>
              </w:rPr>
            </w:pPr>
            <w:r w:rsidRPr="0047440B">
              <w:rPr>
                <w:color w:val="000000"/>
                <w:sz w:val="20"/>
                <w:szCs w:val="20"/>
              </w:rPr>
              <w:t>ГАУЗ «Нижнекамская ЦРМБ»</w:t>
            </w:r>
          </w:p>
        </w:tc>
        <w:tc>
          <w:tcPr>
            <w:tcW w:w="1233" w:type="dxa"/>
            <w:tcBorders>
              <w:top w:val="nil"/>
              <w:left w:val="single" w:sz="4" w:space="0" w:color="auto"/>
              <w:bottom w:val="single" w:sz="4" w:space="0" w:color="auto"/>
              <w:right w:val="single" w:sz="4" w:space="0" w:color="auto"/>
            </w:tcBorders>
            <w:shd w:val="clear" w:color="000000" w:fill="FFFFFF"/>
            <w:noWrap/>
            <w:vAlign w:val="center"/>
          </w:tcPr>
          <w:p w:rsidR="00B21B24" w:rsidRPr="0047440B" w:rsidRDefault="00B21B24" w:rsidP="00B21B24">
            <w:pPr>
              <w:jc w:val="center"/>
              <w:rPr>
                <w:color w:val="000000"/>
                <w:sz w:val="20"/>
                <w:szCs w:val="20"/>
              </w:rPr>
            </w:pPr>
            <w:r w:rsidRPr="0047440B">
              <w:rPr>
                <w:color w:val="000000"/>
                <w:sz w:val="20"/>
                <w:szCs w:val="20"/>
              </w:rPr>
              <w:t>3</w:t>
            </w:r>
          </w:p>
        </w:tc>
        <w:tc>
          <w:tcPr>
            <w:tcW w:w="816" w:type="dxa"/>
            <w:tcBorders>
              <w:top w:val="nil"/>
              <w:left w:val="single" w:sz="4" w:space="0" w:color="auto"/>
              <w:bottom w:val="single" w:sz="4" w:space="0" w:color="auto"/>
              <w:right w:val="single" w:sz="4" w:space="0" w:color="auto"/>
            </w:tcBorders>
            <w:shd w:val="clear" w:color="auto" w:fill="auto"/>
            <w:noWrap/>
          </w:tcPr>
          <w:p w:rsidR="00B21B24" w:rsidRPr="0047440B" w:rsidRDefault="00B21B24" w:rsidP="00B21B24">
            <w:pPr>
              <w:jc w:val="center"/>
              <w:rPr>
                <w:color w:val="000000"/>
                <w:sz w:val="20"/>
                <w:szCs w:val="20"/>
              </w:rPr>
            </w:pPr>
            <w:r w:rsidRPr="0047440B">
              <w:rPr>
                <w:color w:val="000000"/>
                <w:sz w:val="20"/>
                <w:szCs w:val="20"/>
              </w:rPr>
              <w:t>11,25</w:t>
            </w:r>
          </w:p>
        </w:tc>
        <w:tc>
          <w:tcPr>
            <w:tcW w:w="792" w:type="dxa"/>
            <w:tcBorders>
              <w:top w:val="nil"/>
              <w:left w:val="nil"/>
              <w:bottom w:val="single" w:sz="4" w:space="0" w:color="auto"/>
              <w:right w:val="single" w:sz="4" w:space="0" w:color="auto"/>
            </w:tcBorders>
            <w:shd w:val="clear" w:color="auto" w:fill="auto"/>
            <w:noWrap/>
          </w:tcPr>
          <w:p w:rsidR="00B21B24" w:rsidRPr="0047440B" w:rsidRDefault="00B21B24" w:rsidP="00B21B24">
            <w:pPr>
              <w:jc w:val="center"/>
              <w:rPr>
                <w:color w:val="000000"/>
                <w:sz w:val="20"/>
                <w:szCs w:val="20"/>
              </w:rPr>
            </w:pPr>
            <w:r w:rsidRPr="0047440B">
              <w:rPr>
                <w:color w:val="000000"/>
                <w:sz w:val="20"/>
                <w:szCs w:val="20"/>
              </w:rPr>
              <w:t>11,00</w:t>
            </w:r>
          </w:p>
        </w:tc>
        <w:tc>
          <w:tcPr>
            <w:tcW w:w="1239" w:type="dxa"/>
            <w:tcBorders>
              <w:top w:val="nil"/>
              <w:left w:val="single" w:sz="4" w:space="0" w:color="auto"/>
              <w:bottom w:val="single" w:sz="4" w:space="0" w:color="auto"/>
              <w:right w:val="single" w:sz="4" w:space="0" w:color="auto"/>
            </w:tcBorders>
            <w:shd w:val="clear" w:color="auto" w:fill="auto"/>
            <w:noWrap/>
          </w:tcPr>
          <w:p w:rsidR="00B21B24" w:rsidRPr="0047440B" w:rsidRDefault="00B21B24" w:rsidP="00B21B24">
            <w:pPr>
              <w:jc w:val="center"/>
              <w:rPr>
                <w:color w:val="000000"/>
                <w:sz w:val="20"/>
                <w:szCs w:val="20"/>
              </w:rPr>
            </w:pPr>
            <w:r w:rsidRPr="0047440B">
              <w:rPr>
                <w:color w:val="000000"/>
                <w:sz w:val="20"/>
                <w:szCs w:val="20"/>
              </w:rPr>
              <w:t>6</w:t>
            </w:r>
          </w:p>
        </w:tc>
        <w:tc>
          <w:tcPr>
            <w:tcW w:w="952" w:type="dxa"/>
            <w:tcBorders>
              <w:top w:val="nil"/>
              <w:left w:val="nil"/>
              <w:bottom w:val="single" w:sz="4" w:space="0" w:color="auto"/>
              <w:right w:val="single" w:sz="4" w:space="0" w:color="auto"/>
            </w:tcBorders>
            <w:shd w:val="clear" w:color="000000" w:fill="FFFFFF"/>
            <w:noWrap/>
          </w:tcPr>
          <w:p w:rsidR="00B21B24" w:rsidRPr="0047440B" w:rsidRDefault="00B21B24" w:rsidP="00B21B24">
            <w:pPr>
              <w:autoSpaceDE/>
              <w:autoSpaceDN/>
              <w:adjustRightInd/>
              <w:jc w:val="center"/>
              <w:rPr>
                <w:color w:val="000000"/>
                <w:sz w:val="20"/>
                <w:szCs w:val="20"/>
              </w:rPr>
            </w:pPr>
            <w:r w:rsidRPr="0047440B">
              <w:rPr>
                <w:color w:val="000000"/>
                <w:sz w:val="20"/>
                <w:szCs w:val="20"/>
              </w:rPr>
              <w:t>125 822</w:t>
            </w:r>
          </w:p>
        </w:tc>
        <w:tc>
          <w:tcPr>
            <w:tcW w:w="1121" w:type="dxa"/>
            <w:tcBorders>
              <w:top w:val="nil"/>
              <w:left w:val="nil"/>
              <w:bottom w:val="single" w:sz="4" w:space="0" w:color="auto"/>
              <w:right w:val="single" w:sz="4" w:space="0" w:color="auto"/>
            </w:tcBorders>
            <w:shd w:val="clear" w:color="000000" w:fill="FFFFFF"/>
            <w:noWrap/>
          </w:tcPr>
          <w:p w:rsidR="00B21B24" w:rsidRPr="0047440B" w:rsidRDefault="00B21B24" w:rsidP="00B21B24">
            <w:pPr>
              <w:autoSpaceDE/>
              <w:autoSpaceDN/>
              <w:adjustRightInd/>
              <w:jc w:val="center"/>
              <w:rPr>
                <w:color w:val="000000"/>
                <w:sz w:val="20"/>
                <w:szCs w:val="20"/>
              </w:rPr>
            </w:pPr>
            <w:r w:rsidRPr="0047440B">
              <w:rPr>
                <w:color w:val="000000"/>
                <w:sz w:val="20"/>
                <w:szCs w:val="20"/>
              </w:rPr>
              <w:t>41 941</w:t>
            </w:r>
          </w:p>
        </w:tc>
        <w:tc>
          <w:tcPr>
            <w:tcW w:w="1217" w:type="dxa"/>
            <w:tcBorders>
              <w:top w:val="nil"/>
              <w:left w:val="nil"/>
              <w:bottom w:val="single" w:sz="4" w:space="0" w:color="auto"/>
              <w:right w:val="single" w:sz="4" w:space="0" w:color="auto"/>
            </w:tcBorders>
            <w:shd w:val="clear" w:color="000000" w:fill="FFFFFF"/>
          </w:tcPr>
          <w:p w:rsidR="00B21B24" w:rsidRPr="0047440B" w:rsidRDefault="00B21B24" w:rsidP="00B21B24">
            <w:pPr>
              <w:autoSpaceDE/>
              <w:autoSpaceDN/>
              <w:adjustRightInd/>
              <w:jc w:val="center"/>
              <w:rPr>
                <w:color w:val="000000"/>
                <w:sz w:val="20"/>
                <w:szCs w:val="20"/>
              </w:rPr>
            </w:pPr>
            <w:r w:rsidRPr="0047440B">
              <w:rPr>
                <w:color w:val="000000"/>
                <w:sz w:val="20"/>
                <w:szCs w:val="20"/>
              </w:rPr>
              <w:t>1</w:t>
            </w:r>
          </w:p>
        </w:tc>
      </w:tr>
      <w:tr w:rsidR="00B21B24" w:rsidRPr="0047440B" w:rsidTr="00E474AD">
        <w:trPr>
          <w:trHeight w:val="20"/>
          <w:jc w:val="center"/>
        </w:trPr>
        <w:tc>
          <w:tcPr>
            <w:tcW w:w="486" w:type="dxa"/>
            <w:tcBorders>
              <w:top w:val="single" w:sz="4" w:space="0" w:color="auto"/>
              <w:left w:val="single" w:sz="4" w:space="0" w:color="auto"/>
              <w:bottom w:val="single" w:sz="4" w:space="0" w:color="auto"/>
              <w:right w:val="single" w:sz="4" w:space="0" w:color="auto"/>
            </w:tcBorders>
            <w:shd w:val="clear" w:color="000000" w:fill="FFFFFF"/>
            <w:noWrap/>
            <w:hideMark/>
          </w:tcPr>
          <w:p w:rsidR="00B21B24" w:rsidRPr="0047440B" w:rsidRDefault="00B21B24" w:rsidP="00B21B24">
            <w:pPr>
              <w:autoSpaceDE/>
              <w:autoSpaceDN/>
              <w:adjustRightInd/>
              <w:jc w:val="center"/>
              <w:rPr>
                <w:color w:val="000000"/>
                <w:sz w:val="20"/>
                <w:szCs w:val="20"/>
              </w:rPr>
            </w:pPr>
            <w:r w:rsidRPr="0047440B">
              <w:rPr>
                <w:color w:val="000000"/>
                <w:sz w:val="20"/>
                <w:szCs w:val="20"/>
              </w:rPr>
              <w:t>30.</w:t>
            </w:r>
          </w:p>
        </w:tc>
        <w:tc>
          <w:tcPr>
            <w:tcW w:w="2917" w:type="dxa"/>
            <w:tcBorders>
              <w:top w:val="nil"/>
              <w:left w:val="single" w:sz="4" w:space="0" w:color="auto"/>
              <w:bottom w:val="single" w:sz="4" w:space="0" w:color="auto"/>
              <w:right w:val="single" w:sz="4" w:space="0" w:color="auto"/>
            </w:tcBorders>
            <w:shd w:val="clear" w:color="auto" w:fill="auto"/>
          </w:tcPr>
          <w:p w:rsidR="00B21B24" w:rsidRPr="0047440B" w:rsidRDefault="00B21B24" w:rsidP="00B21B24">
            <w:pPr>
              <w:rPr>
                <w:color w:val="000000"/>
                <w:sz w:val="20"/>
                <w:szCs w:val="20"/>
              </w:rPr>
            </w:pPr>
            <w:r w:rsidRPr="0047440B">
              <w:rPr>
                <w:color w:val="000000"/>
                <w:sz w:val="20"/>
                <w:szCs w:val="20"/>
              </w:rPr>
              <w:t>ГАУЗ «Новошешминская ЦРБ»</w:t>
            </w:r>
          </w:p>
        </w:tc>
        <w:tc>
          <w:tcPr>
            <w:tcW w:w="1233" w:type="dxa"/>
            <w:tcBorders>
              <w:top w:val="nil"/>
              <w:left w:val="single" w:sz="4" w:space="0" w:color="auto"/>
              <w:bottom w:val="single" w:sz="4" w:space="0" w:color="auto"/>
              <w:right w:val="single" w:sz="4" w:space="0" w:color="auto"/>
            </w:tcBorders>
            <w:shd w:val="clear" w:color="000000" w:fill="FFFFFF"/>
            <w:noWrap/>
            <w:vAlign w:val="center"/>
          </w:tcPr>
          <w:p w:rsidR="00B21B24" w:rsidRPr="0047440B" w:rsidRDefault="00B21B24" w:rsidP="00B21B24">
            <w:pPr>
              <w:jc w:val="center"/>
              <w:rPr>
                <w:color w:val="000000"/>
                <w:sz w:val="20"/>
                <w:szCs w:val="20"/>
              </w:rPr>
            </w:pPr>
            <w:r w:rsidRPr="0047440B">
              <w:rPr>
                <w:color w:val="000000"/>
                <w:sz w:val="20"/>
                <w:szCs w:val="20"/>
              </w:rPr>
              <w:t>2</w:t>
            </w:r>
          </w:p>
        </w:tc>
        <w:tc>
          <w:tcPr>
            <w:tcW w:w="816" w:type="dxa"/>
            <w:tcBorders>
              <w:top w:val="nil"/>
              <w:left w:val="single" w:sz="4" w:space="0" w:color="auto"/>
              <w:bottom w:val="single" w:sz="4" w:space="0" w:color="auto"/>
              <w:right w:val="single" w:sz="4" w:space="0" w:color="auto"/>
            </w:tcBorders>
            <w:shd w:val="clear" w:color="auto" w:fill="auto"/>
            <w:noWrap/>
          </w:tcPr>
          <w:p w:rsidR="00B21B24" w:rsidRPr="0047440B" w:rsidRDefault="00B21B24" w:rsidP="00B21B24">
            <w:pPr>
              <w:jc w:val="center"/>
              <w:rPr>
                <w:color w:val="000000"/>
                <w:sz w:val="20"/>
                <w:szCs w:val="20"/>
              </w:rPr>
            </w:pPr>
            <w:r w:rsidRPr="0047440B">
              <w:rPr>
                <w:color w:val="000000"/>
                <w:sz w:val="20"/>
                <w:szCs w:val="20"/>
              </w:rPr>
              <w:t>2,00</w:t>
            </w:r>
          </w:p>
        </w:tc>
        <w:tc>
          <w:tcPr>
            <w:tcW w:w="792" w:type="dxa"/>
            <w:tcBorders>
              <w:top w:val="nil"/>
              <w:left w:val="nil"/>
              <w:bottom w:val="single" w:sz="4" w:space="0" w:color="auto"/>
              <w:right w:val="single" w:sz="4" w:space="0" w:color="auto"/>
            </w:tcBorders>
            <w:shd w:val="clear" w:color="auto" w:fill="auto"/>
            <w:noWrap/>
          </w:tcPr>
          <w:p w:rsidR="00B21B24" w:rsidRPr="0047440B" w:rsidRDefault="00B21B24" w:rsidP="00B21B24">
            <w:pPr>
              <w:jc w:val="center"/>
              <w:rPr>
                <w:color w:val="000000"/>
                <w:sz w:val="20"/>
                <w:szCs w:val="20"/>
              </w:rPr>
            </w:pPr>
            <w:r w:rsidRPr="0047440B">
              <w:rPr>
                <w:color w:val="000000"/>
                <w:sz w:val="20"/>
                <w:szCs w:val="20"/>
              </w:rPr>
              <w:t>2,00</w:t>
            </w:r>
          </w:p>
        </w:tc>
        <w:tc>
          <w:tcPr>
            <w:tcW w:w="1239" w:type="dxa"/>
            <w:tcBorders>
              <w:top w:val="nil"/>
              <w:left w:val="single" w:sz="4" w:space="0" w:color="auto"/>
              <w:bottom w:val="single" w:sz="4" w:space="0" w:color="auto"/>
              <w:right w:val="single" w:sz="4" w:space="0" w:color="auto"/>
            </w:tcBorders>
            <w:shd w:val="clear" w:color="auto" w:fill="auto"/>
            <w:noWrap/>
          </w:tcPr>
          <w:p w:rsidR="00B21B24" w:rsidRPr="0047440B" w:rsidRDefault="00B21B24" w:rsidP="00B21B24">
            <w:pPr>
              <w:jc w:val="center"/>
              <w:rPr>
                <w:color w:val="000000"/>
                <w:sz w:val="20"/>
                <w:szCs w:val="20"/>
              </w:rPr>
            </w:pPr>
            <w:r w:rsidRPr="0047440B">
              <w:rPr>
                <w:color w:val="000000"/>
                <w:sz w:val="20"/>
                <w:szCs w:val="20"/>
              </w:rPr>
              <w:t>2</w:t>
            </w:r>
          </w:p>
        </w:tc>
        <w:tc>
          <w:tcPr>
            <w:tcW w:w="952" w:type="dxa"/>
            <w:tcBorders>
              <w:top w:val="nil"/>
              <w:left w:val="nil"/>
              <w:bottom w:val="single" w:sz="4" w:space="0" w:color="auto"/>
              <w:right w:val="single" w:sz="4" w:space="0" w:color="auto"/>
            </w:tcBorders>
            <w:shd w:val="clear" w:color="000000" w:fill="FFFFFF"/>
            <w:noWrap/>
          </w:tcPr>
          <w:p w:rsidR="00B21B24" w:rsidRPr="0047440B" w:rsidRDefault="00B21B24" w:rsidP="00B21B24">
            <w:pPr>
              <w:autoSpaceDE/>
              <w:autoSpaceDN/>
              <w:adjustRightInd/>
              <w:jc w:val="center"/>
              <w:rPr>
                <w:color w:val="000000"/>
                <w:sz w:val="20"/>
                <w:szCs w:val="20"/>
              </w:rPr>
            </w:pPr>
            <w:r w:rsidRPr="0047440B">
              <w:rPr>
                <w:color w:val="000000"/>
                <w:sz w:val="20"/>
                <w:szCs w:val="20"/>
              </w:rPr>
              <w:t>5 073</w:t>
            </w:r>
          </w:p>
        </w:tc>
        <w:tc>
          <w:tcPr>
            <w:tcW w:w="1121" w:type="dxa"/>
            <w:tcBorders>
              <w:top w:val="nil"/>
              <w:left w:val="nil"/>
              <w:bottom w:val="single" w:sz="4" w:space="0" w:color="auto"/>
              <w:right w:val="single" w:sz="4" w:space="0" w:color="auto"/>
            </w:tcBorders>
            <w:shd w:val="clear" w:color="000000" w:fill="FFFFFF"/>
            <w:noWrap/>
          </w:tcPr>
          <w:p w:rsidR="00B21B24" w:rsidRPr="0047440B" w:rsidRDefault="00B21B24" w:rsidP="00B21B24">
            <w:pPr>
              <w:autoSpaceDE/>
              <w:autoSpaceDN/>
              <w:adjustRightInd/>
              <w:jc w:val="center"/>
              <w:rPr>
                <w:color w:val="000000"/>
                <w:sz w:val="20"/>
                <w:szCs w:val="20"/>
              </w:rPr>
            </w:pPr>
            <w:r w:rsidRPr="0047440B">
              <w:rPr>
                <w:color w:val="000000"/>
                <w:sz w:val="20"/>
                <w:szCs w:val="20"/>
              </w:rPr>
              <w:t>2 537</w:t>
            </w:r>
          </w:p>
        </w:tc>
        <w:tc>
          <w:tcPr>
            <w:tcW w:w="1217" w:type="dxa"/>
            <w:tcBorders>
              <w:top w:val="nil"/>
              <w:left w:val="nil"/>
              <w:bottom w:val="single" w:sz="4" w:space="0" w:color="auto"/>
              <w:right w:val="single" w:sz="4" w:space="0" w:color="auto"/>
            </w:tcBorders>
            <w:shd w:val="clear" w:color="000000" w:fill="FFFFFF"/>
          </w:tcPr>
          <w:p w:rsidR="00B21B24" w:rsidRPr="0047440B" w:rsidRDefault="00B21B24" w:rsidP="00B21B24">
            <w:pPr>
              <w:autoSpaceDE/>
              <w:autoSpaceDN/>
              <w:adjustRightInd/>
              <w:jc w:val="center"/>
              <w:rPr>
                <w:color w:val="000000"/>
                <w:sz w:val="20"/>
                <w:szCs w:val="20"/>
              </w:rPr>
            </w:pPr>
            <w:r w:rsidRPr="0047440B">
              <w:rPr>
                <w:color w:val="000000"/>
                <w:sz w:val="20"/>
                <w:szCs w:val="20"/>
              </w:rPr>
              <w:t>1</w:t>
            </w:r>
          </w:p>
        </w:tc>
      </w:tr>
      <w:tr w:rsidR="00B21B24" w:rsidRPr="0047440B" w:rsidTr="00E474AD">
        <w:trPr>
          <w:trHeight w:val="20"/>
          <w:jc w:val="center"/>
        </w:trPr>
        <w:tc>
          <w:tcPr>
            <w:tcW w:w="486" w:type="dxa"/>
            <w:tcBorders>
              <w:top w:val="single" w:sz="4" w:space="0" w:color="auto"/>
              <w:left w:val="single" w:sz="4" w:space="0" w:color="auto"/>
              <w:bottom w:val="single" w:sz="4" w:space="0" w:color="auto"/>
              <w:right w:val="single" w:sz="4" w:space="0" w:color="auto"/>
            </w:tcBorders>
            <w:shd w:val="clear" w:color="000000" w:fill="FFFFFF"/>
            <w:noWrap/>
            <w:hideMark/>
          </w:tcPr>
          <w:p w:rsidR="00B21B24" w:rsidRPr="0047440B" w:rsidRDefault="00B21B24" w:rsidP="00B21B24">
            <w:pPr>
              <w:autoSpaceDE/>
              <w:autoSpaceDN/>
              <w:adjustRightInd/>
              <w:jc w:val="center"/>
              <w:rPr>
                <w:color w:val="000000"/>
                <w:sz w:val="20"/>
                <w:szCs w:val="20"/>
              </w:rPr>
            </w:pPr>
            <w:r w:rsidRPr="0047440B">
              <w:rPr>
                <w:color w:val="000000"/>
                <w:sz w:val="20"/>
                <w:szCs w:val="20"/>
              </w:rPr>
              <w:t>31.</w:t>
            </w:r>
          </w:p>
        </w:tc>
        <w:tc>
          <w:tcPr>
            <w:tcW w:w="2917" w:type="dxa"/>
            <w:tcBorders>
              <w:top w:val="nil"/>
              <w:left w:val="single" w:sz="4" w:space="0" w:color="auto"/>
              <w:bottom w:val="single" w:sz="4" w:space="0" w:color="auto"/>
              <w:right w:val="single" w:sz="4" w:space="0" w:color="auto"/>
            </w:tcBorders>
            <w:shd w:val="clear" w:color="auto" w:fill="auto"/>
          </w:tcPr>
          <w:p w:rsidR="00B21B24" w:rsidRPr="0047440B" w:rsidRDefault="00B21B24" w:rsidP="00B21B24">
            <w:pPr>
              <w:rPr>
                <w:color w:val="000000"/>
                <w:sz w:val="20"/>
                <w:szCs w:val="20"/>
              </w:rPr>
            </w:pPr>
            <w:r w:rsidRPr="0047440B">
              <w:rPr>
                <w:color w:val="000000"/>
                <w:sz w:val="20"/>
                <w:szCs w:val="20"/>
              </w:rPr>
              <w:t>ГАУЗ «Нурлатская ЦРБ»</w:t>
            </w:r>
          </w:p>
        </w:tc>
        <w:tc>
          <w:tcPr>
            <w:tcW w:w="1233" w:type="dxa"/>
            <w:tcBorders>
              <w:top w:val="nil"/>
              <w:left w:val="single" w:sz="4" w:space="0" w:color="auto"/>
              <w:bottom w:val="single" w:sz="4" w:space="0" w:color="auto"/>
              <w:right w:val="single" w:sz="4" w:space="0" w:color="auto"/>
            </w:tcBorders>
            <w:shd w:val="clear" w:color="000000" w:fill="FFFFFF"/>
            <w:noWrap/>
            <w:vAlign w:val="center"/>
          </w:tcPr>
          <w:p w:rsidR="00B21B24" w:rsidRPr="0047440B" w:rsidRDefault="00B21B24" w:rsidP="00B21B24">
            <w:pPr>
              <w:jc w:val="center"/>
              <w:rPr>
                <w:color w:val="000000"/>
                <w:sz w:val="20"/>
                <w:szCs w:val="20"/>
              </w:rPr>
            </w:pPr>
            <w:r w:rsidRPr="0047440B">
              <w:rPr>
                <w:color w:val="000000"/>
                <w:sz w:val="20"/>
                <w:szCs w:val="20"/>
              </w:rPr>
              <w:t>3</w:t>
            </w:r>
          </w:p>
        </w:tc>
        <w:tc>
          <w:tcPr>
            <w:tcW w:w="816" w:type="dxa"/>
            <w:tcBorders>
              <w:top w:val="nil"/>
              <w:left w:val="single" w:sz="4" w:space="0" w:color="auto"/>
              <w:bottom w:val="single" w:sz="4" w:space="0" w:color="auto"/>
              <w:right w:val="single" w:sz="4" w:space="0" w:color="auto"/>
            </w:tcBorders>
            <w:shd w:val="clear" w:color="auto" w:fill="auto"/>
            <w:noWrap/>
          </w:tcPr>
          <w:p w:rsidR="00B21B24" w:rsidRPr="0047440B" w:rsidRDefault="00B21B24" w:rsidP="00B21B24">
            <w:pPr>
              <w:jc w:val="center"/>
              <w:rPr>
                <w:color w:val="000000"/>
                <w:sz w:val="20"/>
                <w:szCs w:val="20"/>
              </w:rPr>
            </w:pPr>
            <w:r w:rsidRPr="0047440B">
              <w:rPr>
                <w:color w:val="000000"/>
                <w:sz w:val="20"/>
                <w:szCs w:val="20"/>
              </w:rPr>
              <w:t>4,00</w:t>
            </w:r>
          </w:p>
        </w:tc>
        <w:tc>
          <w:tcPr>
            <w:tcW w:w="792" w:type="dxa"/>
            <w:tcBorders>
              <w:top w:val="nil"/>
              <w:left w:val="nil"/>
              <w:bottom w:val="single" w:sz="4" w:space="0" w:color="auto"/>
              <w:right w:val="single" w:sz="4" w:space="0" w:color="auto"/>
            </w:tcBorders>
            <w:shd w:val="clear" w:color="auto" w:fill="auto"/>
            <w:noWrap/>
          </w:tcPr>
          <w:p w:rsidR="00B21B24" w:rsidRPr="0047440B" w:rsidRDefault="00B21B24" w:rsidP="00B21B24">
            <w:pPr>
              <w:jc w:val="center"/>
              <w:rPr>
                <w:color w:val="000000"/>
                <w:sz w:val="20"/>
                <w:szCs w:val="20"/>
              </w:rPr>
            </w:pPr>
            <w:r w:rsidRPr="0047440B">
              <w:rPr>
                <w:color w:val="000000"/>
                <w:sz w:val="20"/>
                <w:szCs w:val="20"/>
              </w:rPr>
              <w:t>3,00</w:t>
            </w:r>
          </w:p>
        </w:tc>
        <w:tc>
          <w:tcPr>
            <w:tcW w:w="1239" w:type="dxa"/>
            <w:tcBorders>
              <w:top w:val="nil"/>
              <w:left w:val="single" w:sz="4" w:space="0" w:color="auto"/>
              <w:bottom w:val="single" w:sz="4" w:space="0" w:color="auto"/>
              <w:right w:val="single" w:sz="4" w:space="0" w:color="auto"/>
            </w:tcBorders>
            <w:shd w:val="clear" w:color="auto" w:fill="auto"/>
            <w:noWrap/>
          </w:tcPr>
          <w:p w:rsidR="00B21B24" w:rsidRPr="0047440B" w:rsidRDefault="00B21B24" w:rsidP="00B21B24">
            <w:pPr>
              <w:jc w:val="center"/>
              <w:rPr>
                <w:color w:val="000000"/>
                <w:sz w:val="20"/>
                <w:szCs w:val="20"/>
              </w:rPr>
            </w:pPr>
            <w:r w:rsidRPr="0047440B">
              <w:rPr>
                <w:color w:val="000000"/>
                <w:sz w:val="20"/>
                <w:szCs w:val="20"/>
              </w:rPr>
              <w:t>4</w:t>
            </w:r>
          </w:p>
        </w:tc>
        <w:tc>
          <w:tcPr>
            <w:tcW w:w="952" w:type="dxa"/>
            <w:tcBorders>
              <w:top w:val="nil"/>
              <w:left w:val="nil"/>
              <w:bottom w:val="single" w:sz="4" w:space="0" w:color="auto"/>
              <w:right w:val="single" w:sz="4" w:space="0" w:color="auto"/>
            </w:tcBorders>
            <w:shd w:val="clear" w:color="000000" w:fill="FFFFFF"/>
            <w:noWrap/>
          </w:tcPr>
          <w:p w:rsidR="00B21B24" w:rsidRPr="0047440B" w:rsidRDefault="00B21B24" w:rsidP="00B21B24">
            <w:pPr>
              <w:autoSpaceDE/>
              <w:autoSpaceDN/>
              <w:adjustRightInd/>
              <w:jc w:val="center"/>
              <w:rPr>
                <w:color w:val="000000"/>
                <w:sz w:val="20"/>
                <w:szCs w:val="20"/>
              </w:rPr>
            </w:pPr>
            <w:r w:rsidRPr="0047440B">
              <w:rPr>
                <w:color w:val="000000"/>
                <w:sz w:val="20"/>
                <w:szCs w:val="20"/>
              </w:rPr>
              <w:t>22 286</w:t>
            </w:r>
          </w:p>
        </w:tc>
        <w:tc>
          <w:tcPr>
            <w:tcW w:w="1121" w:type="dxa"/>
            <w:tcBorders>
              <w:top w:val="nil"/>
              <w:left w:val="nil"/>
              <w:bottom w:val="single" w:sz="4" w:space="0" w:color="auto"/>
              <w:right w:val="single" w:sz="4" w:space="0" w:color="auto"/>
            </w:tcBorders>
            <w:shd w:val="clear" w:color="000000" w:fill="FFFFFF"/>
            <w:noWrap/>
          </w:tcPr>
          <w:p w:rsidR="00B21B24" w:rsidRPr="0047440B" w:rsidRDefault="00B21B24" w:rsidP="00B21B24">
            <w:pPr>
              <w:autoSpaceDE/>
              <w:autoSpaceDN/>
              <w:adjustRightInd/>
              <w:jc w:val="center"/>
              <w:rPr>
                <w:color w:val="000000"/>
                <w:sz w:val="20"/>
                <w:szCs w:val="20"/>
              </w:rPr>
            </w:pPr>
            <w:r w:rsidRPr="0047440B">
              <w:rPr>
                <w:color w:val="000000"/>
                <w:sz w:val="20"/>
                <w:szCs w:val="20"/>
              </w:rPr>
              <w:t>7 429</w:t>
            </w:r>
          </w:p>
        </w:tc>
        <w:tc>
          <w:tcPr>
            <w:tcW w:w="1217" w:type="dxa"/>
            <w:tcBorders>
              <w:top w:val="nil"/>
              <w:left w:val="nil"/>
              <w:bottom w:val="single" w:sz="4" w:space="0" w:color="auto"/>
              <w:right w:val="single" w:sz="4" w:space="0" w:color="auto"/>
            </w:tcBorders>
            <w:shd w:val="clear" w:color="000000" w:fill="FFFFFF"/>
          </w:tcPr>
          <w:p w:rsidR="00B21B24" w:rsidRPr="0047440B" w:rsidRDefault="00B21B24" w:rsidP="00B21B24">
            <w:pPr>
              <w:autoSpaceDE/>
              <w:autoSpaceDN/>
              <w:adjustRightInd/>
              <w:jc w:val="center"/>
              <w:rPr>
                <w:color w:val="000000"/>
                <w:sz w:val="20"/>
                <w:szCs w:val="20"/>
              </w:rPr>
            </w:pPr>
            <w:r w:rsidRPr="0047440B">
              <w:rPr>
                <w:color w:val="000000"/>
                <w:sz w:val="20"/>
                <w:szCs w:val="20"/>
              </w:rPr>
              <w:t>1</w:t>
            </w:r>
          </w:p>
        </w:tc>
      </w:tr>
      <w:tr w:rsidR="00B21B24" w:rsidRPr="0047440B" w:rsidTr="00E474AD">
        <w:trPr>
          <w:trHeight w:val="20"/>
          <w:jc w:val="center"/>
        </w:trPr>
        <w:tc>
          <w:tcPr>
            <w:tcW w:w="486" w:type="dxa"/>
            <w:tcBorders>
              <w:top w:val="nil"/>
              <w:left w:val="single" w:sz="4" w:space="0" w:color="auto"/>
              <w:bottom w:val="single" w:sz="4" w:space="0" w:color="auto"/>
              <w:right w:val="single" w:sz="4" w:space="0" w:color="auto"/>
            </w:tcBorders>
            <w:shd w:val="clear" w:color="000000" w:fill="FFFFFF"/>
            <w:noWrap/>
            <w:hideMark/>
          </w:tcPr>
          <w:p w:rsidR="00B21B24" w:rsidRPr="0047440B" w:rsidRDefault="00B21B24" w:rsidP="00B21B24">
            <w:pPr>
              <w:autoSpaceDE/>
              <w:autoSpaceDN/>
              <w:adjustRightInd/>
              <w:jc w:val="center"/>
              <w:rPr>
                <w:color w:val="000000"/>
                <w:sz w:val="20"/>
                <w:szCs w:val="20"/>
              </w:rPr>
            </w:pPr>
            <w:r w:rsidRPr="0047440B">
              <w:rPr>
                <w:color w:val="000000"/>
                <w:sz w:val="20"/>
                <w:szCs w:val="20"/>
              </w:rPr>
              <w:t>32.</w:t>
            </w:r>
          </w:p>
        </w:tc>
        <w:tc>
          <w:tcPr>
            <w:tcW w:w="2917" w:type="dxa"/>
            <w:tcBorders>
              <w:top w:val="nil"/>
              <w:left w:val="single" w:sz="4" w:space="0" w:color="auto"/>
              <w:bottom w:val="single" w:sz="4" w:space="0" w:color="auto"/>
              <w:right w:val="single" w:sz="4" w:space="0" w:color="auto"/>
            </w:tcBorders>
            <w:shd w:val="clear" w:color="auto" w:fill="auto"/>
          </w:tcPr>
          <w:p w:rsidR="00B21B24" w:rsidRPr="0047440B" w:rsidRDefault="00B21B24" w:rsidP="00B21B24">
            <w:pPr>
              <w:rPr>
                <w:color w:val="000000"/>
                <w:sz w:val="20"/>
                <w:szCs w:val="20"/>
              </w:rPr>
            </w:pPr>
            <w:r w:rsidRPr="0047440B">
              <w:rPr>
                <w:color w:val="000000"/>
                <w:sz w:val="20"/>
                <w:szCs w:val="20"/>
              </w:rPr>
              <w:t>ГАУЗ «Пестречинская ЦРБ»</w:t>
            </w:r>
          </w:p>
        </w:tc>
        <w:tc>
          <w:tcPr>
            <w:tcW w:w="1233" w:type="dxa"/>
            <w:tcBorders>
              <w:top w:val="nil"/>
              <w:left w:val="single" w:sz="4" w:space="0" w:color="auto"/>
              <w:bottom w:val="single" w:sz="4" w:space="0" w:color="auto"/>
              <w:right w:val="single" w:sz="4" w:space="0" w:color="auto"/>
            </w:tcBorders>
            <w:shd w:val="clear" w:color="000000" w:fill="FFFFFF"/>
            <w:noWrap/>
            <w:vAlign w:val="center"/>
          </w:tcPr>
          <w:p w:rsidR="00B21B24" w:rsidRPr="0047440B" w:rsidRDefault="00B21B24" w:rsidP="00B21B24">
            <w:pPr>
              <w:jc w:val="center"/>
              <w:rPr>
                <w:color w:val="000000"/>
                <w:sz w:val="20"/>
                <w:szCs w:val="20"/>
              </w:rPr>
            </w:pPr>
            <w:r w:rsidRPr="0047440B">
              <w:rPr>
                <w:color w:val="000000"/>
                <w:sz w:val="20"/>
                <w:szCs w:val="20"/>
              </w:rPr>
              <w:t>3</w:t>
            </w:r>
          </w:p>
        </w:tc>
        <w:tc>
          <w:tcPr>
            <w:tcW w:w="816" w:type="dxa"/>
            <w:tcBorders>
              <w:top w:val="nil"/>
              <w:left w:val="single" w:sz="4" w:space="0" w:color="auto"/>
              <w:bottom w:val="single" w:sz="4" w:space="0" w:color="auto"/>
              <w:right w:val="single" w:sz="4" w:space="0" w:color="auto"/>
            </w:tcBorders>
            <w:shd w:val="clear" w:color="auto" w:fill="auto"/>
            <w:noWrap/>
          </w:tcPr>
          <w:p w:rsidR="00B21B24" w:rsidRPr="0047440B" w:rsidRDefault="00B21B24" w:rsidP="00B21B24">
            <w:pPr>
              <w:jc w:val="center"/>
              <w:rPr>
                <w:color w:val="000000"/>
                <w:sz w:val="20"/>
                <w:szCs w:val="20"/>
              </w:rPr>
            </w:pPr>
            <w:r w:rsidRPr="0047440B">
              <w:rPr>
                <w:color w:val="000000"/>
                <w:sz w:val="20"/>
                <w:szCs w:val="20"/>
              </w:rPr>
              <w:t>3,25</w:t>
            </w:r>
          </w:p>
        </w:tc>
        <w:tc>
          <w:tcPr>
            <w:tcW w:w="792" w:type="dxa"/>
            <w:tcBorders>
              <w:top w:val="nil"/>
              <w:left w:val="nil"/>
              <w:bottom w:val="single" w:sz="4" w:space="0" w:color="auto"/>
              <w:right w:val="single" w:sz="4" w:space="0" w:color="auto"/>
            </w:tcBorders>
            <w:shd w:val="clear" w:color="auto" w:fill="auto"/>
            <w:noWrap/>
          </w:tcPr>
          <w:p w:rsidR="00B21B24" w:rsidRPr="0047440B" w:rsidRDefault="00B21B24" w:rsidP="00B21B24">
            <w:pPr>
              <w:jc w:val="center"/>
              <w:rPr>
                <w:color w:val="000000"/>
                <w:sz w:val="20"/>
                <w:szCs w:val="20"/>
              </w:rPr>
            </w:pPr>
            <w:r w:rsidRPr="0047440B">
              <w:rPr>
                <w:color w:val="000000"/>
                <w:sz w:val="20"/>
                <w:szCs w:val="20"/>
              </w:rPr>
              <w:t>3,25</w:t>
            </w:r>
          </w:p>
        </w:tc>
        <w:tc>
          <w:tcPr>
            <w:tcW w:w="1239" w:type="dxa"/>
            <w:tcBorders>
              <w:top w:val="nil"/>
              <w:left w:val="single" w:sz="4" w:space="0" w:color="auto"/>
              <w:bottom w:val="single" w:sz="4" w:space="0" w:color="auto"/>
              <w:right w:val="single" w:sz="4" w:space="0" w:color="auto"/>
            </w:tcBorders>
            <w:shd w:val="clear" w:color="auto" w:fill="auto"/>
            <w:noWrap/>
          </w:tcPr>
          <w:p w:rsidR="00B21B24" w:rsidRPr="0047440B" w:rsidRDefault="00B21B24" w:rsidP="00B21B24">
            <w:pPr>
              <w:jc w:val="center"/>
              <w:rPr>
                <w:color w:val="000000"/>
                <w:sz w:val="20"/>
                <w:szCs w:val="20"/>
              </w:rPr>
            </w:pPr>
            <w:r w:rsidRPr="0047440B">
              <w:rPr>
                <w:color w:val="000000"/>
                <w:sz w:val="20"/>
                <w:szCs w:val="20"/>
              </w:rPr>
              <w:t>3</w:t>
            </w:r>
          </w:p>
        </w:tc>
        <w:tc>
          <w:tcPr>
            <w:tcW w:w="952" w:type="dxa"/>
            <w:tcBorders>
              <w:top w:val="nil"/>
              <w:left w:val="nil"/>
              <w:bottom w:val="single" w:sz="4" w:space="0" w:color="auto"/>
              <w:right w:val="single" w:sz="4" w:space="0" w:color="auto"/>
            </w:tcBorders>
            <w:shd w:val="clear" w:color="000000" w:fill="FFFFFF"/>
            <w:noWrap/>
          </w:tcPr>
          <w:p w:rsidR="00B21B24" w:rsidRPr="0047440B" w:rsidRDefault="00B21B24" w:rsidP="00B21B24">
            <w:pPr>
              <w:autoSpaceDE/>
              <w:autoSpaceDN/>
              <w:adjustRightInd/>
              <w:jc w:val="center"/>
              <w:rPr>
                <w:color w:val="000000"/>
                <w:sz w:val="20"/>
                <w:szCs w:val="20"/>
              </w:rPr>
            </w:pPr>
            <w:r w:rsidRPr="0047440B">
              <w:rPr>
                <w:color w:val="000000"/>
                <w:sz w:val="20"/>
                <w:szCs w:val="20"/>
              </w:rPr>
              <w:t>31 556</w:t>
            </w:r>
          </w:p>
        </w:tc>
        <w:tc>
          <w:tcPr>
            <w:tcW w:w="1121" w:type="dxa"/>
            <w:tcBorders>
              <w:top w:val="nil"/>
              <w:left w:val="nil"/>
              <w:bottom w:val="single" w:sz="4" w:space="0" w:color="auto"/>
              <w:right w:val="single" w:sz="4" w:space="0" w:color="auto"/>
            </w:tcBorders>
            <w:shd w:val="clear" w:color="000000" w:fill="FFFFFF"/>
            <w:noWrap/>
          </w:tcPr>
          <w:p w:rsidR="00B21B24" w:rsidRPr="0047440B" w:rsidRDefault="00B21B24" w:rsidP="00B21B24">
            <w:pPr>
              <w:autoSpaceDE/>
              <w:autoSpaceDN/>
              <w:adjustRightInd/>
              <w:jc w:val="center"/>
              <w:rPr>
                <w:color w:val="000000"/>
                <w:sz w:val="20"/>
                <w:szCs w:val="20"/>
              </w:rPr>
            </w:pPr>
            <w:r w:rsidRPr="0047440B">
              <w:rPr>
                <w:color w:val="000000"/>
                <w:sz w:val="20"/>
                <w:szCs w:val="20"/>
              </w:rPr>
              <w:t>7 889</w:t>
            </w:r>
          </w:p>
        </w:tc>
        <w:tc>
          <w:tcPr>
            <w:tcW w:w="1217" w:type="dxa"/>
            <w:tcBorders>
              <w:top w:val="nil"/>
              <w:left w:val="nil"/>
              <w:bottom w:val="single" w:sz="4" w:space="0" w:color="auto"/>
              <w:right w:val="single" w:sz="4" w:space="0" w:color="auto"/>
            </w:tcBorders>
            <w:shd w:val="clear" w:color="000000" w:fill="FFFFFF"/>
          </w:tcPr>
          <w:p w:rsidR="00B21B24" w:rsidRPr="0047440B" w:rsidRDefault="00B21B24" w:rsidP="00B21B24">
            <w:pPr>
              <w:autoSpaceDE/>
              <w:autoSpaceDN/>
              <w:adjustRightInd/>
              <w:jc w:val="center"/>
              <w:rPr>
                <w:color w:val="000000"/>
                <w:sz w:val="20"/>
                <w:szCs w:val="20"/>
              </w:rPr>
            </w:pPr>
            <w:r w:rsidRPr="0047440B">
              <w:rPr>
                <w:color w:val="000000"/>
                <w:sz w:val="20"/>
                <w:szCs w:val="20"/>
              </w:rPr>
              <w:t>1</w:t>
            </w:r>
          </w:p>
        </w:tc>
      </w:tr>
      <w:tr w:rsidR="00B21B24" w:rsidRPr="0047440B" w:rsidTr="00E474AD">
        <w:trPr>
          <w:trHeight w:val="20"/>
          <w:jc w:val="center"/>
        </w:trPr>
        <w:tc>
          <w:tcPr>
            <w:tcW w:w="486" w:type="dxa"/>
            <w:tcBorders>
              <w:top w:val="nil"/>
              <w:left w:val="single" w:sz="4" w:space="0" w:color="auto"/>
              <w:bottom w:val="single" w:sz="4" w:space="0" w:color="auto"/>
              <w:right w:val="single" w:sz="4" w:space="0" w:color="auto"/>
            </w:tcBorders>
            <w:shd w:val="clear" w:color="000000" w:fill="FFFFFF"/>
            <w:noWrap/>
            <w:hideMark/>
          </w:tcPr>
          <w:p w:rsidR="00B21B24" w:rsidRPr="0047440B" w:rsidRDefault="00B21B24" w:rsidP="00B21B24">
            <w:pPr>
              <w:autoSpaceDE/>
              <w:autoSpaceDN/>
              <w:adjustRightInd/>
              <w:jc w:val="center"/>
              <w:rPr>
                <w:color w:val="000000"/>
                <w:sz w:val="20"/>
                <w:szCs w:val="20"/>
              </w:rPr>
            </w:pPr>
            <w:r w:rsidRPr="0047440B">
              <w:rPr>
                <w:color w:val="000000"/>
                <w:sz w:val="20"/>
                <w:szCs w:val="20"/>
              </w:rPr>
              <w:t>33.</w:t>
            </w:r>
          </w:p>
        </w:tc>
        <w:tc>
          <w:tcPr>
            <w:tcW w:w="2917" w:type="dxa"/>
            <w:tcBorders>
              <w:top w:val="nil"/>
              <w:left w:val="single" w:sz="4" w:space="0" w:color="auto"/>
              <w:bottom w:val="single" w:sz="4" w:space="0" w:color="auto"/>
              <w:right w:val="single" w:sz="4" w:space="0" w:color="auto"/>
            </w:tcBorders>
            <w:shd w:val="clear" w:color="auto" w:fill="auto"/>
          </w:tcPr>
          <w:p w:rsidR="00B21B24" w:rsidRPr="0047440B" w:rsidRDefault="00B21B24" w:rsidP="00B21B24">
            <w:pPr>
              <w:rPr>
                <w:color w:val="000000"/>
                <w:sz w:val="20"/>
                <w:szCs w:val="20"/>
              </w:rPr>
            </w:pPr>
            <w:r w:rsidRPr="0047440B">
              <w:rPr>
                <w:color w:val="000000"/>
                <w:sz w:val="20"/>
                <w:szCs w:val="20"/>
              </w:rPr>
              <w:t>ГАУЗ «Рыбно-Слободская ЦРБ»</w:t>
            </w:r>
          </w:p>
        </w:tc>
        <w:tc>
          <w:tcPr>
            <w:tcW w:w="1233" w:type="dxa"/>
            <w:tcBorders>
              <w:top w:val="nil"/>
              <w:left w:val="single" w:sz="4" w:space="0" w:color="auto"/>
              <w:bottom w:val="single" w:sz="4" w:space="0" w:color="auto"/>
              <w:right w:val="single" w:sz="4" w:space="0" w:color="auto"/>
            </w:tcBorders>
            <w:shd w:val="clear" w:color="000000" w:fill="FFFFFF"/>
            <w:noWrap/>
            <w:vAlign w:val="center"/>
          </w:tcPr>
          <w:p w:rsidR="00B21B24" w:rsidRPr="0047440B" w:rsidRDefault="00B21B24" w:rsidP="00B21B24">
            <w:pPr>
              <w:jc w:val="center"/>
              <w:rPr>
                <w:color w:val="000000"/>
                <w:sz w:val="20"/>
                <w:szCs w:val="20"/>
              </w:rPr>
            </w:pPr>
            <w:r w:rsidRPr="0047440B">
              <w:rPr>
                <w:color w:val="000000"/>
                <w:sz w:val="20"/>
                <w:szCs w:val="20"/>
              </w:rPr>
              <w:t>2</w:t>
            </w:r>
          </w:p>
        </w:tc>
        <w:tc>
          <w:tcPr>
            <w:tcW w:w="816" w:type="dxa"/>
            <w:tcBorders>
              <w:top w:val="nil"/>
              <w:left w:val="single" w:sz="4" w:space="0" w:color="auto"/>
              <w:bottom w:val="single" w:sz="4" w:space="0" w:color="auto"/>
              <w:right w:val="single" w:sz="4" w:space="0" w:color="auto"/>
            </w:tcBorders>
            <w:shd w:val="clear" w:color="auto" w:fill="auto"/>
            <w:noWrap/>
          </w:tcPr>
          <w:p w:rsidR="00B21B24" w:rsidRPr="0047440B" w:rsidRDefault="00B21B24" w:rsidP="00B21B24">
            <w:pPr>
              <w:jc w:val="center"/>
              <w:rPr>
                <w:color w:val="000000"/>
                <w:sz w:val="20"/>
                <w:szCs w:val="20"/>
              </w:rPr>
            </w:pPr>
            <w:r w:rsidRPr="0047440B">
              <w:rPr>
                <w:color w:val="000000"/>
                <w:sz w:val="20"/>
                <w:szCs w:val="20"/>
              </w:rPr>
              <w:t>1,50</w:t>
            </w:r>
          </w:p>
        </w:tc>
        <w:tc>
          <w:tcPr>
            <w:tcW w:w="792" w:type="dxa"/>
            <w:tcBorders>
              <w:top w:val="nil"/>
              <w:left w:val="nil"/>
              <w:bottom w:val="single" w:sz="4" w:space="0" w:color="auto"/>
              <w:right w:val="single" w:sz="4" w:space="0" w:color="auto"/>
            </w:tcBorders>
            <w:shd w:val="clear" w:color="auto" w:fill="auto"/>
            <w:noWrap/>
          </w:tcPr>
          <w:p w:rsidR="00B21B24" w:rsidRPr="0047440B" w:rsidRDefault="00B21B24" w:rsidP="00B21B24">
            <w:pPr>
              <w:jc w:val="center"/>
              <w:rPr>
                <w:color w:val="000000"/>
                <w:sz w:val="20"/>
                <w:szCs w:val="20"/>
              </w:rPr>
            </w:pPr>
            <w:r w:rsidRPr="0047440B">
              <w:rPr>
                <w:color w:val="000000"/>
                <w:sz w:val="20"/>
                <w:szCs w:val="20"/>
              </w:rPr>
              <w:t>1,50</w:t>
            </w:r>
          </w:p>
        </w:tc>
        <w:tc>
          <w:tcPr>
            <w:tcW w:w="1239" w:type="dxa"/>
            <w:tcBorders>
              <w:top w:val="nil"/>
              <w:left w:val="single" w:sz="4" w:space="0" w:color="auto"/>
              <w:bottom w:val="single" w:sz="4" w:space="0" w:color="auto"/>
              <w:right w:val="single" w:sz="4" w:space="0" w:color="auto"/>
            </w:tcBorders>
            <w:shd w:val="clear" w:color="auto" w:fill="auto"/>
            <w:noWrap/>
          </w:tcPr>
          <w:p w:rsidR="00B21B24" w:rsidRPr="0047440B" w:rsidRDefault="00B21B24" w:rsidP="00B21B24">
            <w:pPr>
              <w:jc w:val="center"/>
              <w:rPr>
                <w:color w:val="000000"/>
                <w:sz w:val="20"/>
                <w:szCs w:val="20"/>
              </w:rPr>
            </w:pPr>
            <w:r w:rsidRPr="0047440B">
              <w:rPr>
                <w:color w:val="000000"/>
                <w:sz w:val="20"/>
                <w:szCs w:val="20"/>
              </w:rPr>
              <w:t>2</w:t>
            </w:r>
          </w:p>
        </w:tc>
        <w:tc>
          <w:tcPr>
            <w:tcW w:w="952" w:type="dxa"/>
            <w:tcBorders>
              <w:top w:val="single" w:sz="4" w:space="0" w:color="auto"/>
              <w:left w:val="single" w:sz="4" w:space="0" w:color="auto"/>
              <w:bottom w:val="single" w:sz="4" w:space="0" w:color="auto"/>
              <w:right w:val="single" w:sz="4" w:space="0" w:color="auto"/>
            </w:tcBorders>
            <w:shd w:val="clear" w:color="000000" w:fill="FFFFFF"/>
            <w:noWrap/>
          </w:tcPr>
          <w:p w:rsidR="00B21B24" w:rsidRPr="0047440B" w:rsidRDefault="00B21B24" w:rsidP="00B21B24">
            <w:pPr>
              <w:autoSpaceDE/>
              <w:autoSpaceDN/>
              <w:adjustRightInd/>
              <w:jc w:val="center"/>
              <w:rPr>
                <w:color w:val="000000"/>
                <w:sz w:val="20"/>
                <w:szCs w:val="20"/>
              </w:rPr>
            </w:pPr>
            <w:r w:rsidRPr="0047440B">
              <w:rPr>
                <w:color w:val="000000"/>
                <w:sz w:val="20"/>
                <w:szCs w:val="20"/>
              </w:rPr>
              <w:t>22 102</w:t>
            </w:r>
          </w:p>
        </w:tc>
        <w:tc>
          <w:tcPr>
            <w:tcW w:w="1121" w:type="dxa"/>
            <w:tcBorders>
              <w:top w:val="single" w:sz="4" w:space="0" w:color="auto"/>
              <w:left w:val="single" w:sz="4" w:space="0" w:color="auto"/>
              <w:bottom w:val="single" w:sz="4" w:space="0" w:color="auto"/>
              <w:right w:val="single" w:sz="4" w:space="0" w:color="auto"/>
            </w:tcBorders>
            <w:shd w:val="clear" w:color="000000" w:fill="FFFFFF"/>
            <w:noWrap/>
          </w:tcPr>
          <w:p w:rsidR="00B21B24" w:rsidRPr="0047440B" w:rsidRDefault="00B21B24" w:rsidP="00B21B24">
            <w:pPr>
              <w:autoSpaceDE/>
              <w:autoSpaceDN/>
              <w:adjustRightInd/>
              <w:jc w:val="center"/>
              <w:rPr>
                <w:color w:val="000000"/>
                <w:sz w:val="20"/>
                <w:szCs w:val="20"/>
              </w:rPr>
            </w:pPr>
            <w:r w:rsidRPr="0047440B">
              <w:rPr>
                <w:color w:val="000000"/>
                <w:sz w:val="20"/>
                <w:szCs w:val="20"/>
              </w:rPr>
              <w:t>11 051</w:t>
            </w:r>
          </w:p>
        </w:tc>
        <w:tc>
          <w:tcPr>
            <w:tcW w:w="1217" w:type="dxa"/>
            <w:tcBorders>
              <w:top w:val="single" w:sz="4" w:space="0" w:color="auto"/>
              <w:left w:val="single" w:sz="4" w:space="0" w:color="auto"/>
              <w:bottom w:val="single" w:sz="4" w:space="0" w:color="auto"/>
              <w:right w:val="single" w:sz="4" w:space="0" w:color="auto"/>
            </w:tcBorders>
            <w:shd w:val="clear" w:color="000000" w:fill="FFFFFF"/>
          </w:tcPr>
          <w:p w:rsidR="00B21B24" w:rsidRPr="0047440B" w:rsidRDefault="00B21B24" w:rsidP="00B21B24">
            <w:pPr>
              <w:autoSpaceDE/>
              <w:autoSpaceDN/>
              <w:adjustRightInd/>
              <w:jc w:val="center"/>
              <w:rPr>
                <w:color w:val="000000"/>
                <w:sz w:val="20"/>
                <w:szCs w:val="20"/>
              </w:rPr>
            </w:pPr>
            <w:r w:rsidRPr="0047440B">
              <w:rPr>
                <w:color w:val="000000"/>
                <w:sz w:val="20"/>
                <w:szCs w:val="20"/>
              </w:rPr>
              <w:t>1</w:t>
            </w:r>
          </w:p>
        </w:tc>
      </w:tr>
      <w:tr w:rsidR="00B21B24" w:rsidRPr="0047440B" w:rsidTr="00E474AD">
        <w:trPr>
          <w:trHeight w:val="20"/>
          <w:jc w:val="center"/>
        </w:trPr>
        <w:tc>
          <w:tcPr>
            <w:tcW w:w="486" w:type="dxa"/>
            <w:tcBorders>
              <w:top w:val="nil"/>
              <w:left w:val="single" w:sz="4" w:space="0" w:color="auto"/>
              <w:bottom w:val="single" w:sz="4" w:space="0" w:color="auto"/>
              <w:right w:val="single" w:sz="4" w:space="0" w:color="auto"/>
            </w:tcBorders>
            <w:shd w:val="clear" w:color="000000" w:fill="FFFFFF"/>
            <w:noWrap/>
            <w:hideMark/>
          </w:tcPr>
          <w:p w:rsidR="00B21B24" w:rsidRPr="0047440B" w:rsidRDefault="00B21B24" w:rsidP="00B21B24">
            <w:pPr>
              <w:autoSpaceDE/>
              <w:autoSpaceDN/>
              <w:adjustRightInd/>
              <w:jc w:val="center"/>
              <w:rPr>
                <w:color w:val="000000"/>
                <w:sz w:val="20"/>
                <w:szCs w:val="20"/>
              </w:rPr>
            </w:pPr>
            <w:r w:rsidRPr="0047440B">
              <w:rPr>
                <w:color w:val="000000"/>
                <w:sz w:val="20"/>
                <w:szCs w:val="20"/>
              </w:rPr>
              <w:t>34.</w:t>
            </w:r>
          </w:p>
        </w:tc>
        <w:tc>
          <w:tcPr>
            <w:tcW w:w="2917" w:type="dxa"/>
            <w:tcBorders>
              <w:top w:val="nil"/>
              <w:left w:val="single" w:sz="4" w:space="0" w:color="auto"/>
              <w:bottom w:val="single" w:sz="4" w:space="0" w:color="auto"/>
              <w:right w:val="single" w:sz="4" w:space="0" w:color="auto"/>
            </w:tcBorders>
            <w:shd w:val="clear" w:color="auto" w:fill="auto"/>
          </w:tcPr>
          <w:p w:rsidR="00B21B24" w:rsidRPr="0047440B" w:rsidRDefault="00B21B24" w:rsidP="00B21B24">
            <w:pPr>
              <w:rPr>
                <w:color w:val="000000"/>
                <w:sz w:val="20"/>
                <w:szCs w:val="20"/>
              </w:rPr>
            </w:pPr>
            <w:r w:rsidRPr="0047440B">
              <w:rPr>
                <w:color w:val="000000"/>
                <w:sz w:val="20"/>
                <w:szCs w:val="20"/>
              </w:rPr>
              <w:t>ГАУЗ «Сабинская ЦРБ»</w:t>
            </w:r>
          </w:p>
        </w:tc>
        <w:tc>
          <w:tcPr>
            <w:tcW w:w="1233" w:type="dxa"/>
            <w:tcBorders>
              <w:top w:val="nil"/>
              <w:left w:val="single" w:sz="4" w:space="0" w:color="auto"/>
              <w:bottom w:val="single" w:sz="4" w:space="0" w:color="auto"/>
              <w:right w:val="single" w:sz="4" w:space="0" w:color="auto"/>
            </w:tcBorders>
            <w:shd w:val="clear" w:color="000000" w:fill="FFFFFF"/>
            <w:noWrap/>
            <w:vAlign w:val="center"/>
          </w:tcPr>
          <w:p w:rsidR="00B21B24" w:rsidRPr="0047440B" w:rsidRDefault="00B21B24" w:rsidP="00B21B24">
            <w:pPr>
              <w:jc w:val="center"/>
              <w:rPr>
                <w:color w:val="000000"/>
                <w:sz w:val="20"/>
                <w:szCs w:val="20"/>
              </w:rPr>
            </w:pPr>
            <w:r w:rsidRPr="0047440B">
              <w:rPr>
                <w:color w:val="000000"/>
                <w:sz w:val="20"/>
                <w:szCs w:val="20"/>
              </w:rPr>
              <w:t>1</w:t>
            </w:r>
          </w:p>
        </w:tc>
        <w:tc>
          <w:tcPr>
            <w:tcW w:w="816" w:type="dxa"/>
            <w:tcBorders>
              <w:top w:val="nil"/>
              <w:left w:val="single" w:sz="4" w:space="0" w:color="auto"/>
              <w:bottom w:val="single" w:sz="4" w:space="0" w:color="auto"/>
              <w:right w:val="single" w:sz="4" w:space="0" w:color="auto"/>
            </w:tcBorders>
            <w:shd w:val="clear" w:color="auto" w:fill="auto"/>
            <w:noWrap/>
          </w:tcPr>
          <w:p w:rsidR="00B21B24" w:rsidRPr="0047440B" w:rsidRDefault="00B21B24" w:rsidP="00B21B24">
            <w:pPr>
              <w:jc w:val="center"/>
              <w:rPr>
                <w:color w:val="000000"/>
                <w:sz w:val="20"/>
                <w:szCs w:val="20"/>
              </w:rPr>
            </w:pPr>
            <w:r w:rsidRPr="0047440B">
              <w:rPr>
                <w:color w:val="000000"/>
                <w:sz w:val="20"/>
                <w:szCs w:val="20"/>
              </w:rPr>
              <w:t>1,00</w:t>
            </w:r>
          </w:p>
        </w:tc>
        <w:tc>
          <w:tcPr>
            <w:tcW w:w="792" w:type="dxa"/>
            <w:tcBorders>
              <w:top w:val="nil"/>
              <w:left w:val="nil"/>
              <w:bottom w:val="single" w:sz="4" w:space="0" w:color="auto"/>
              <w:right w:val="single" w:sz="4" w:space="0" w:color="auto"/>
            </w:tcBorders>
            <w:shd w:val="clear" w:color="auto" w:fill="auto"/>
            <w:noWrap/>
          </w:tcPr>
          <w:p w:rsidR="00B21B24" w:rsidRPr="0047440B" w:rsidRDefault="00B21B24" w:rsidP="00B21B24">
            <w:pPr>
              <w:jc w:val="center"/>
              <w:rPr>
                <w:color w:val="000000"/>
                <w:sz w:val="20"/>
                <w:szCs w:val="20"/>
              </w:rPr>
            </w:pPr>
            <w:r w:rsidRPr="0047440B">
              <w:rPr>
                <w:color w:val="000000"/>
                <w:sz w:val="20"/>
                <w:szCs w:val="20"/>
              </w:rPr>
              <w:t>1,00</w:t>
            </w:r>
          </w:p>
        </w:tc>
        <w:tc>
          <w:tcPr>
            <w:tcW w:w="1239" w:type="dxa"/>
            <w:tcBorders>
              <w:top w:val="nil"/>
              <w:left w:val="single" w:sz="4" w:space="0" w:color="auto"/>
              <w:bottom w:val="single" w:sz="4" w:space="0" w:color="auto"/>
              <w:right w:val="single" w:sz="4" w:space="0" w:color="auto"/>
            </w:tcBorders>
            <w:shd w:val="clear" w:color="auto" w:fill="auto"/>
            <w:noWrap/>
          </w:tcPr>
          <w:p w:rsidR="00B21B24" w:rsidRPr="0047440B" w:rsidRDefault="00B21B24" w:rsidP="00B21B24">
            <w:pPr>
              <w:jc w:val="center"/>
              <w:rPr>
                <w:color w:val="000000"/>
                <w:sz w:val="20"/>
                <w:szCs w:val="20"/>
              </w:rPr>
            </w:pPr>
            <w:r w:rsidRPr="0047440B">
              <w:rPr>
                <w:color w:val="000000"/>
                <w:sz w:val="20"/>
                <w:szCs w:val="20"/>
              </w:rPr>
              <w:t>1</w:t>
            </w:r>
          </w:p>
        </w:tc>
        <w:tc>
          <w:tcPr>
            <w:tcW w:w="952" w:type="dxa"/>
            <w:tcBorders>
              <w:top w:val="single" w:sz="4" w:space="0" w:color="auto"/>
              <w:left w:val="nil"/>
              <w:bottom w:val="single" w:sz="4" w:space="0" w:color="auto"/>
              <w:right w:val="single" w:sz="4" w:space="0" w:color="auto"/>
            </w:tcBorders>
            <w:shd w:val="clear" w:color="000000" w:fill="FFFFFF"/>
            <w:noWrap/>
          </w:tcPr>
          <w:p w:rsidR="00B21B24" w:rsidRPr="0047440B" w:rsidRDefault="00B21B24" w:rsidP="00B21B24">
            <w:pPr>
              <w:autoSpaceDE/>
              <w:autoSpaceDN/>
              <w:adjustRightInd/>
              <w:jc w:val="center"/>
              <w:rPr>
                <w:color w:val="000000"/>
                <w:sz w:val="20"/>
                <w:szCs w:val="20"/>
              </w:rPr>
            </w:pPr>
            <w:r w:rsidRPr="0047440B">
              <w:rPr>
                <w:color w:val="000000"/>
                <w:sz w:val="20"/>
                <w:szCs w:val="20"/>
              </w:rPr>
              <w:t>11 936</w:t>
            </w:r>
          </w:p>
        </w:tc>
        <w:tc>
          <w:tcPr>
            <w:tcW w:w="1121" w:type="dxa"/>
            <w:tcBorders>
              <w:top w:val="single" w:sz="4" w:space="0" w:color="auto"/>
              <w:left w:val="nil"/>
              <w:bottom w:val="single" w:sz="4" w:space="0" w:color="auto"/>
              <w:right w:val="single" w:sz="4" w:space="0" w:color="auto"/>
            </w:tcBorders>
            <w:shd w:val="clear" w:color="000000" w:fill="FFFFFF"/>
            <w:noWrap/>
          </w:tcPr>
          <w:p w:rsidR="00B21B24" w:rsidRPr="0047440B" w:rsidRDefault="00B21B24" w:rsidP="00B21B24">
            <w:pPr>
              <w:autoSpaceDE/>
              <w:autoSpaceDN/>
              <w:adjustRightInd/>
              <w:jc w:val="center"/>
              <w:rPr>
                <w:color w:val="000000"/>
                <w:sz w:val="20"/>
                <w:szCs w:val="20"/>
              </w:rPr>
            </w:pPr>
            <w:r w:rsidRPr="0047440B">
              <w:rPr>
                <w:color w:val="000000"/>
                <w:sz w:val="20"/>
                <w:szCs w:val="20"/>
              </w:rPr>
              <w:t>11 936</w:t>
            </w:r>
          </w:p>
        </w:tc>
        <w:tc>
          <w:tcPr>
            <w:tcW w:w="1217" w:type="dxa"/>
            <w:tcBorders>
              <w:top w:val="single" w:sz="4" w:space="0" w:color="auto"/>
              <w:left w:val="nil"/>
              <w:bottom w:val="single" w:sz="4" w:space="0" w:color="auto"/>
              <w:right w:val="single" w:sz="4" w:space="0" w:color="auto"/>
            </w:tcBorders>
            <w:shd w:val="clear" w:color="000000" w:fill="FFFFFF"/>
          </w:tcPr>
          <w:p w:rsidR="00B21B24" w:rsidRPr="0047440B" w:rsidRDefault="00B21B24" w:rsidP="00B21B24">
            <w:pPr>
              <w:autoSpaceDE/>
              <w:autoSpaceDN/>
              <w:adjustRightInd/>
              <w:jc w:val="center"/>
              <w:rPr>
                <w:color w:val="000000"/>
                <w:sz w:val="20"/>
                <w:szCs w:val="20"/>
              </w:rPr>
            </w:pPr>
            <w:r w:rsidRPr="0047440B">
              <w:rPr>
                <w:color w:val="000000"/>
                <w:sz w:val="20"/>
                <w:szCs w:val="20"/>
              </w:rPr>
              <w:t>1</w:t>
            </w:r>
          </w:p>
        </w:tc>
      </w:tr>
      <w:tr w:rsidR="00B21B24" w:rsidRPr="0047440B" w:rsidTr="00E474AD">
        <w:trPr>
          <w:trHeight w:val="20"/>
          <w:jc w:val="center"/>
        </w:trPr>
        <w:tc>
          <w:tcPr>
            <w:tcW w:w="486" w:type="dxa"/>
            <w:tcBorders>
              <w:top w:val="nil"/>
              <w:left w:val="single" w:sz="4" w:space="0" w:color="auto"/>
              <w:bottom w:val="single" w:sz="4" w:space="0" w:color="auto"/>
              <w:right w:val="single" w:sz="4" w:space="0" w:color="auto"/>
            </w:tcBorders>
            <w:shd w:val="clear" w:color="000000" w:fill="FFFFFF"/>
            <w:noWrap/>
            <w:hideMark/>
          </w:tcPr>
          <w:p w:rsidR="00B21B24" w:rsidRPr="0047440B" w:rsidRDefault="00B21B24" w:rsidP="00B21B24">
            <w:pPr>
              <w:autoSpaceDE/>
              <w:autoSpaceDN/>
              <w:adjustRightInd/>
              <w:jc w:val="center"/>
              <w:rPr>
                <w:color w:val="000000"/>
                <w:sz w:val="20"/>
                <w:szCs w:val="20"/>
              </w:rPr>
            </w:pPr>
            <w:r w:rsidRPr="0047440B">
              <w:rPr>
                <w:color w:val="000000"/>
                <w:sz w:val="20"/>
                <w:szCs w:val="20"/>
              </w:rPr>
              <w:t>35.</w:t>
            </w:r>
          </w:p>
        </w:tc>
        <w:tc>
          <w:tcPr>
            <w:tcW w:w="2917" w:type="dxa"/>
            <w:tcBorders>
              <w:top w:val="nil"/>
              <w:left w:val="single" w:sz="4" w:space="0" w:color="auto"/>
              <w:bottom w:val="single" w:sz="4" w:space="0" w:color="auto"/>
              <w:right w:val="single" w:sz="4" w:space="0" w:color="auto"/>
            </w:tcBorders>
            <w:shd w:val="clear" w:color="auto" w:fill="auto"/>
          </w:tcPr>
          <w:p w:rsidR="00B21B24" w:rsidRPr="0047440B" w:rsidRDefault="00B21B24" w:rsidP="00B21B24">
            <w:pPr>
              <w:rPr>
                <w:color w:val="000000"/>
                <w:sz w:val="20"/>
                <w:szCs w:val="20"/>
              </w:rPr>
            </w:pPr>
            <w:r w:rsidRPr="0047440B">
              <w:rPr>
                <w:color w:val="000000"/>
                <w:sz w:val="20"/>
                <w:szCs w:val="20"/>
              </w:rPr>
              <w:t>ГАУЗ «Сармановская ЦРБ»</w:t>
            </w:r>
          </w:p>
        </w:tc>
        <w:tc>
          <w:tcPr>
            <w:tcW w:w="1233" w:type="dxa"/>
            <w:tcBorders>
              <w:top w:val="nil"/>
              <w:left w:val="single" w:sz="4" w:space="0" w:color="auto"/>
              <w:bottom w:val="single" w:sz="4" w:space="0" w:color="auto"/>
              <w:right w:val="single" w:sz="4" w:space="0" w:color="auto"/>
            </w:tcBorders>
            <w:shd w:val="clear" w:color="000000" w:fill="FFFFFF"/>
            <w:noWrap/>
            <w:vAlign w:val="center"/>
          </w:tcPr>
          <w:p w:rsidR="00B21B24" w:rsidRPr="0047440B" w:rsidRDefault="00B21B24" w:rsidP="00B21B24">
            <w:pPr>
              <w:jc w:val="center"/>
              <w:rPr>
                <w:color w:val="000000"/>
                <w:sz w:val="20"/>
                <w:szCs w:val="20"/>
              </w:rPr>
            </w:pPr>
            <w:r w:rsidRPr="0047440B">
              <w:rPr>
                <w:color w:val="000000"/>
                <w:sz w:val="20"/>
                <w:szCs w:val="20"/>
              </w:rPr>
              <w:t>3</w:t>
            </w:r>
          </w:p>
        </w:tc>
        <w:tc>
          <w:tcPr>
            <w:tcW w:w="816" w:type="dxa"/>
            <w:tcBorders>
              <w:top w:val="nil"/>
              <w:left w:val="single" w:sz="4" w:space="0" w:color="auto"/>
              <w:bottom w:val="single" w:sz="4" w:space="0" w:color="auto"/>
              <w:right w:val="single" w:sz="4" w:space="0" w:color="auto"/>
            </w:tcBorders>
            <w:shd w:val="clear" w:color="auto" w:fill="auto"/>
            <w:noWrap/>
          </w:tcPr>
          <w:p w:rsidR="00B21B24" w:rsidRPr="0047440B" w:rsidRDefault="00B21B24" w:rsidP="00B21B24">
            <w:pPr>
              <w:jc w:val="center"/>
              <w:rPr>
                <w:color w:val="000000"/>
                <w:sz w:val="20"/>
                <w:szCs w:val="20"/>
              </w:rPr>
            </w:pPr>
            <w:r w:rsidRPr="0047440B">
              <w:rPr>
                <w:color w:val="000000"/>
                <w:sz w:val="20"/>
                <w:szCs w:val="20"/>
              </w:rPr>
              <w:t>2,00</w:t>
            </w:r>
          </w:p>
        </w:tc>
        <w:tc>
          <w:tcPr>
            <w:tcW w:w="792" w:type="dxa"/>
            <w:tcBorders>
              <w:top w:val="nil"/>
              <w:left w:val="nil"/>
              <w:bottom w:val="single" w:sz="4" w:space="0" w:color="auto"/>
              <w:right w:val="single" w:sz="4" w:space="0" w:color="auto"/>
            </w:tcBorders>
            <w:shd w:val="clear" w:color="auto" w:fill="auto"/>
            <w:noWrap/>
          </w:tcPr>
          <w:p w:rsidR="00B21B24" w:rsidRPr="0047440B" w:rsidRDefault="00B21B24" w:rsidP="00B21B24">
            <w:pPr>
              <w:jc w:val="center"/>
              <w:rPr>
                <w:color w:val="000000"/>
                <w:sz w:val="20"/>
                <w:szCs w:val="20"/>
              </w:rPr>
            </w:pPr>
            <w:r w:rsidRPr="0047440B">
              <w:rPr>
                <w:color w:val="000000"/>
                <w:sz w:val="20"/>
                <w:szCs w:val="20"/>
              </w:rPr>
              <w:t>2,00</w:t>
            </w:r>
          </w:p>
        </w:tc>
        <w:tc>
          <w:tcPr>
            <w:tcW w:w="1239" w:type="dxa"/>
            <w:tcBorders>
              <w:top w:val="nil"/>
              <w:left w:val="single" w:sz="4" w:space="0" w:color="auto"/>
              <w:bottom w:val="single" w:sz="4" w:space="0" w:color="auto"/>
              <w:right w:val="single" w:sz="4" w:space="0" w:color="auto"/>
            </w:tcBorders>
            <w:shd w:val="clear" w:color="auto" w:fill="auto"/>
            <w:noWrap/>
          </w:tcPr>
          <w:p w:rsidR="00B21B24" w:rsidRPr="0047440B" w:rsidRDefault="00B21B24" w:rsidP="00B21B24">
            <w:pPr>
              <w:jc w:val="center"/>
              <w:rPr>
                <w:color w:val="000000"/>
                <w:sz w:val="20"/>
                <w:szCs w:val="20"/>
              </w:rPr>
            </w:pPr>
            <w:r w:rsidRPr="0047440B">
              <w:rPr>
                <w:color w:val="000000"/>
                <w:sz w:val="20"/>
                <w:szCs w:val="20"/>
              </w:rPr>
              <w:t>2</w:t>
            </w:r>
          </w:p>
        </w:tc>
        <w:tc>
          <w:tcPr>
            <w:tcW w:w="952" w:type="dxa"/>
            <w:tcBorders>
              <w:top w:val="nil"/>
              <w:left w:val="nil"/>
              <w:bottom w:val="single" w:sz="4" w:space="0" w:color="auto"/>
              <w:right w:val="single" w:sz="4" w:space="0" w:color="auto"/>
            </w:tcBorders>
            <w:shd w:val="clear" w:color="000000" w:fill="FFFFFF"/>
            <w:noWrap/>
          </w:tcPr>
          <w:p w:rsidR="00B21B24" w:rsidRPr="0047440B" w:rsidRDefault="00B21B24" w:rsidP="00B21B24">
            <w:pPr>
              <w:autoSpaceDE/>
              <w:autoSpaceDN/>
              <w:adjustRightInd/>
              <w:jc w:val="center"/>
              <w:rPr>
                <w:color w:val="000000"/>
                <w:sz w:val="20"/>
                <w:szCs w:val="20"/>
              </w:rPr>
            </w:pPr>
            <w:r w:rsidRPr="0047440B">
              <w:rPr>
                <w:color w:val="000000"/>
                <w:sz w:val="20"/>
                <w:szCs w:val="20"/>
              </w:rPr>
              <w:t>26 099</w:t>
            </w:r>
          </w:p>
        </w:tc>
        <w:tc>
          <w:tcPr>
            <w:tcW w:w="1121" w:type="dxa"/>
            <w:tcBorders>
              <w:top w:val="nil"/>
              <w:left w:val="nil"/>
              <w:bottom w:val="single" w:sz="4" w:space="0" w:color="auto"/>
              <w:right w:val="single" w:sz="4" w:space="0" w:color="auto"/>
            </w:tcBorders>
            <w:shd w:val="clear" w:color="000000" w:fill="FFFFFF"/>
            <w:noWrap/>
          </w:tcPr>
          <w:p w:rsidR="00B21B24" w:rsidRPr="0047440B" w:rsidRDefault="00B21B24" w:rsidP="00B21B24">
            <w:pPr>
              <w:autoSpaceDE/>
              <w:autoSpaceDN/>
              <w:adjustRightInd/>
              <w:jc w:val="center"/>
              <w:rPr>
                <w:color w:val="000000"/>
                <w:sz w:val="20"/>
                <w:szCs w:val="20"/>
              </w:rPr>
            </w:pPr>
            <w:r w:rsidRPr="0047440B">
              <w:rPr>
                <w:color w:val="000000"/>
                <w:sz w:val="20"/>
                <w:szCs w:val="20"/>
              </w:rPr>
              <w:t>8 700</w:t>
            </w:r>
          </w:p>
        </w:tc>
        <w:tc>
          <w:tcPr>
            <w:tcW w:w="1217" w:type="dxa"/>
            <w:tcBorders>
              <w:top w:val="nil"/>
              <w:left w:val="nil"/>
              <w:bottom w:val="single" w:sz="4" w:space="0" w:color="auto"/>
              <w:right w:val="single" w:sz="4" w:space="0" w:color="auto"/>
            </w:tcBorders>
            <w:shd w:val="clear" w:color="000000" w:fill="FFFFFF"/>
          </w:tcPr>
          <w:p w:rsidR="00B21B24" w:rsidRPr="0047440B" w:rsidRDefault="00B21B24" w:rsidP="00B21B24">
            <w:pPr>
              <w:autoSpaceDE/>
              <w:autoSpaceDN/>
              <w:adjustRightInd/>
              <w:jc w:val="center"/>
              <w:rPr>
                <w:color w:val="000000"/>
                <w:sz w:val="20"/>
                <w:szCs w:val="20"/>
              </w:rPr>
            </w:pPr>
            <w:r w:rsidRPr="0047440B">
              <w:rPr>
                <w:color w:val="000000"/>
                <w:sz w:val="20"/>
                <w:szCs w:val="20"/>
              </w:rPr>
              <w:t>1</w:t>
            </w:r>
          </w:p>
        </w:tc>
      </w:tr>
      <w:tr w:rsidR="00B21B24" w:rsidRPr="0047440B" w:rsidTr="00E474AD">
        <w:trPr>
          <w:trHeight w:val="20"/>
          <w:jc w:val="center"/>
        </w:trPr>
        <w:tc>
          <w:tcPr>
            <w:tcW w:w="486" w:type="dxa"/>
            <w:tcBorders>
              <w:top w:val="nil"/>
              <w:left w:val="single" w:sz="4" w:space="0" w:color="auto"/>
              <w:bottom w:val="single" w:sz="4" w:space="0" w:color="auto"/>
              <w:right w:val="single" w:sz="4" w:space="0" w:color="auto"/>
            </w:tcBorders>
            <w:shd w:val="clear" w:color="000000" w:fill="FFFFFF"/>
            <w:noWrap/>
            <w:hideMark/>
          </w:tcPr>
          <w:p w:rsidR="00B21B24" w:rsidRPr="0047440B" w:rsidRDefault="00B21B24" w:rsidP="00B21B24">
            <w:pPr>
              <w:autoSpaceDE/>
              <w:autoSpaceDN/>
              <w:adjustRightInd/>
              <w:jc w:val="center"/>
              <w:rPr>
                <w:color w:val="000000"/>
                <w:sz w:val="20"/>
                <w:szCs w:val="20"/>
              </w:rPr>
            </w:pPr>
            <w:r w:rsidRPr="0047440B">
              <w:rPr>
                <w:color w:val="000000"/>
                <w:sz w:val="20"/>
                <w:szCs w:val="20"/>
              </w:rPr>
              <w:t>36.</w:t>
            </w:r>
          </w:p>
        </w:tc>
        <w:tc>
          <w:tcPr>
            <w:tcW w:w="2917" w:type="dxa"/>
            <w:tcBorders>
              <w:top w:val="nil"/>
              <w:left w:val="single" w:sz="4" w:space="0" w:color="auto"/>
              <w:bottom w:val="single" w:sz="4" w:space="0" w:color="auto"/>
              <w:right w:val="single" w:sz="4" w:space="0" w:color="auto"/>
            </w:tcBorders>
            <w:shd w:val="clear" w:color="auto" w:fill="auto"/>
          </w:tcPr>
          <w:p w:rsidR="00B21B24" w:rsidRPr="0047440B" w:rsidRDefault="00B21B24" w:rsidP="00B21B24">
            <w:pPr>
              <w:rPr>
                <w:color w:val="000000"/>
                <w:sz w:val="20"/>
                <w:szCs w:val="20"/>
              </w:rPr>
            </w:pPr>
            <w:r w:rsidRPr="0047440B">
              <w:rPr>
                <w:color w:val="000000"/>
                <w:sz w:val="20"/>
                <w:szCs w:val="20"/>
              </w:rPr>
              <w:t>ГАУЗ «Спасская ЦРБ»</w:t>
            </w:r>
          </w:p>
        </w:tc>
        <w:tc>
          <w:tcPr>
            <w:tcW w:w="1233" w:type="dxa"/>
            <w:tcBorders>
              <w:top w:val="nil"/>
              <w:left w:val="single" w:sz="4" w:space="0" w:color="auto"/>
              <w:bottom w:val="single" w:sz="4" w:space="0" w:color="auto"/>
              <w:right w:val="single" w:sz="4" w:space="0" w:color="auto"/>
            </w:tcBorders>
            <w:shd w:val="clear" w:color="000000" w:fill="FFFFFF"/>
            <w:noWrap/>
            <w:vAlign w:val="center"/>
          </w:tcPr>
          <w:p w:rsidR="00B21B24" w:rsidRPr="0047440B" w:rsidRDefault="00B21B24" w:rsidP="00B21B24">
            <w:pPr>
              <w:jc w:val="center"/>
              <w:rPr>
                <w:color w:val="000000"/>
                <w:sz w:val="20"/>
                <w:szCs w:val="20"/>
              </w:rPr>
            </w:pPr>
            <w:r w:rsidRPr="0047440B">
              <w:rPr>
                <w:color w:val="000000"/>
                <w:sz w:val="20"/>
                <w:szCs w:val="20"/>
              </w:rPr>
              <w:t>1</w:t>
            </w:r>
          </w:p>
        </w:tc>
        <w:tc>
          <w:tcPr>
            <w:tcW w:w="816" w:type="dxa"/>
            <w:tcBorders>
              <w:top w:val="nil"/>
              <w:left w:val="single" w:sz="4" w:space="0" w:color="auto"/>
              <w:bottom w:val="single" w:sz="4" w:space="0" w:color="auto"/>
              <w:right w:val="single" w:sz="4" w:space="0" w:color="auto"/>
            </w:tcBorders>
            <w:shd w:val="clear" w:color="auto" w:fill="auto"/>
            <w:noWrap/>
          </w:tcPr>
          <w:p w:rsidR="00B21B24" w:rsidRPr="0047440B" w:rsidRDefault="00B21B24" w:rsidP="00B21B24">
            <w:pPr>
              <w:jc w:val="center"/>
              <w:rPr>
                <w:color w:val="000000"/>
                <w:sz w:val="20"/>
                <w:szCs w:val="20"/>
              </w:rPr>
            </w:pPr>
            <w:r w:rsidRPr="0047440B">
              <w:rPr>
                <w:color w:val="000000"/>
                <w:sz w:val="20"/>
                <w:szCs w:val="20"/>
              </w:rPr>
              <w:t>0,00</w:t>
            </w:r>
          </w:p>
        </w:tc>
        <w:tc>
          <w:tcPr>
            <w:tcW w:w="792" w:type="dxa"/>
            <w:tcBorders>
              <w:top w:val="nil"/>
              <w:left w:val="nil"/>
              <w:bottom w:val="single" w:sz="4" w:space="0" w:color="auto"/>
              <w:right w:val="single" w:sz="4" w:space="0" w:color="auto"/>
            </w:tcBorders>
            <w:shd w:val="clear" w:color="auto" w:fill="auto"/>
            <w:noWrap/>
          </w:tcPr>
          <w:p w:rsidR="00B21B24" w:rsidRPr="0047440B" w:rsidRDefault="00B21B24" w:rsidP="00B21B24">
            <w:pPr>
              <w:jc w:val="center"/>
              <w:rPr>
                <w:color w:val="000000"/>
                <w:sz w:val="20"/>
                <w:szCs w:val="20"/>
              </w:rPr>
            </w:pPr>
            <w:r w:rsidRPr="0047440B">
              <w:rPr>
                <w:color w:val="000000"/>
                <w:sz w:val="20"/>
                <w:szCs w:val="20"/>
              </w:rPr>
              <w:t>0,00</w:t>
            </w:r>
          </w:p>
        </w:tc>
        <w:tc>
          <w:tcPr>
            <w:tcW w:w="1239" w:type="dxa"/>
            <w:tcBorders>
              <w:top w:val="nil"/>
              <w:left w:val="single" w:sz="4" w:space="0" w:color="auto"/>
              <w:bottom w:val="single" w:sz="4" w:space="0" w:color="auto"/>
              <w:right w:val="single" w:sz="4" w:space="0" w:color="auto"/>
            </w:tcBorders>
            <w:shd w:val="clear" w:color="auto" w:fill="auto"/>
            <w:noWrap/>
          </w:tcPr>
          <w:p w:rsidR="00B21B24" w:rsidRPr="0047440B" w:rsidRDefault="00B21B24" w:rsidP="00B21B24">
            <w:pPr>
              <w:jc w:val="center"/>
              <w:rPr>
                <w:color w:val="000000"/>
                <w:sz w:val="20"/>
                <w:szCs w:val="20"/>
              </w:rPr>
            </w:pPr>
            <w:r w:rsidRPr="0047440B">
              <w:rPr>
                <w:color w:val="000000"/>
                <w:sz w:val="20"/>
                <w:szCs w:val="20"/>
              </w:rPr>
              <w:t>0</w:t>
            </w:r>
          </w:p>
        </w:tc>
        <w:tc>
          <w:tcPr>
            <w:tcW w:w="952" w:type="dxa"/>
            <w:tcBorders>
              <w:top w:val="nil"/>
              <w:left w:val="nil"/>
              <w:bottom w:val="single" w:sz="4" w:space="0" w:color="auto"/>
              <w:right w:val="single" w:sz="4" w:space="0" w:color="auto"/>
            </w:tcBorders>
            <w:shd w:val="clear" w:color="000000" w:fill="FFFFFF"/>
            <w:noWrap/>
          </w:tcPr>
          <w:p w:rsidR="00B21B24" w:rsidRPr="0047440B" w:rsidRDefault="00B21B24" w:rsidP="00B21B24">
            <w:pPr>
              <w:autoSpaceDE/>
              <w:autoSpaceDN/>
              <w:adjustRightInd/>
              <w:jc w:val="center"/>
              <w:rPr>
                <w:color w:val="000000"/>
                <w:sz w:val="20"/>
                <w:szCs w:val="20"/>
              </w:rPr>
            </w:pPr>
            <w:r w:rsidRPr="0047440B">
              <w:rPr>
                <w:color w:val="000000"/>
                <w:sz w:val="20"/>
                <w:szCs w:val="20"/>
              </w:rPr>
              <w:t>7 511</w:t>
            </w:r>
          </w:p>
        </w:tc>
        <w:tc>
          <w:tcPr>
            <w:tcW w:w="1121" w:type="dxa"/>
            <w:tcBorders>
              <w:top w:val="nil"/>
              <w:left w:val="nil"/>
              <w:bottom w:val="single" w:sz="4" w:space="0" w:color="auto"/>
              <w:right w:val="single" w:sz="4" w:space="0" w:color="auto"/>
            </w:tcBorders>
            <w:shd w:val="clear" w:color="000000" w:fill="FFFFFF"/>
            <w:noWrap/>
          </w:tcPr>
          <w:p w:rsidR="00B21B24" w:rsidRPr="0047440B" w:rsidRDefault="00B21B24" w:rsidP="00B21B24">
            <w:pPr>
              <w:autoSpaceDE/>
              <w:autoSpaceDN/>
              <w:adjustRightInd/>
              <w:jc w:val="center"/>
              <w:rPr>
                <w:color w:val="000000"/>
                <w:sz w:val="20"/>
                <w:szCs w:val="20"/>
              </w:rPr>
            </w:pPr>
            <w:r w:rsidRPr="0047440B">
              <w:rPr>
                <w:color w:val="000000"/>
                <w:sz w:val="20"/>
                <w:szCs w:val="20"/>
              </w:rPr>
              <w:t>7 511</w:t>
            </w:r>
          </w:p>
        </w:tc>
        <w:tc>
          <w:tcPr>
            <w:tcW w:w="1217" w:type="dxa"/>
            <w:tcBorders>
              <w:top w:val="nil"/>
              <w:left w:val="nil"/>
              <w:bottom w:val="single" w:sz="4" w:space="0" w:color="auto"/>
              <w:right w:val="single" w:sz="4" w:space="0" w:color="auto"/>
            </w:tcBorders>
            <w:shd w:val="clear" w:color="000000" w:fill="FFFFFF"/>
          </w:tcPr>
          <w:p w:rsidR="00B21B24" w:rsidRPr="0047440B" w:rsidRDefault="00B21B24" w:rsidP="00B21B24">
            <w:pPr>
              <w:autoSpaceDE/>
              <w:autoSpaceDN/>
              <w:adjustRightInd/>
              <w:jc w:val="center"/>
              <w:rPr>
                <w:color w:val="000000"/>
                <w:sz w:val="20"/>
                <w:szCs w:val="20"/>
              </w:rPr>
            </w:pPr>
            <w:r w:rsidRPr="0047440B">
              <w:rPr>
                <w:color w:val="000000"/>
                <w:sz w:val="20"/>
                <w:szCs w:val="20"/>
              </w:rPr>
              <w:t>1</w:t>
            </w:r>
          </w:p>
        </w:tc>
      </w:tr>
      <w:tr w:rsidR="00B21B24" w:rsidRPr="0047440B" w:rsidTr="00E474AD">
        <w:trPr>
          <w:trHeight w:val="20"/>
          <w:jc w:val="center"/>
        </w:trPr>
        <w:tc>
          <w:tcPr>
            <w:tcW w:w="486" w:type="dxa"/>
            <w:tcBorders>
              <w:top w:val="nil"/>
              <w:left w:val="single" w:sz="4" w:space="0" w:color="auto"/>
              <w:bottom w:val="single" w:sz="4" w:space="0" w:color="auto"/>
              <w:right w:val="single" w:sz="4" w:space="0" w:color="auto"/>
            </w:tcBorders>
            <w:shd w:val="clear" w:color="000000" w:fill="FFFFFF"/>
            <w:noWrap/>
            <w:hideMark/>
          </w:tcPr>
          <w:p w:rsidR="00B21B24" w:rsidRPr="0047440B" w:rsidRDefault="00B21B24" w:rsidP="00B21B24">
            <w:pPr>
              <w:autoSpaceDE/>
              <w:autoSpaceDN/>
              <w:adjustRightInd/>
              <w:jc w:val="center"/>
              <w:rPr>
                <w:color w:val="000000"/>
                <w:sz w:val="20"/>
                <w:szCs w:val="20"/>
              </w:rPr>
            </w:pPr>
            <w:r w:rsidRPr="0047440B">
              <w:rPr>
                <w:color w:val="000000"/>
                <w:sz w:val="20"/>
                <w:szCs w:val="20"/>
              </w:rPr>
              <w:t>37.</w:t>
            </w:r>
          </w:p>
        </w:tc>
        <w:tc>
          <w:tcPr>
            <w:tcW w:w="2917" w:type="dxa"/>
            <w:tcBorders>
              <w:top w:val="nil"/>
              <w:left w:val="single" w:sz="4" w:space="0" w:color="auto"/>
              <w:bottom w:val="single" w:sz="4" w:space="0" w:color="auto"/>
              <w:right w:val="single" w:sz="4" w:space="0" w:color="auto"/>
            </w:tcBorders>
            <w:shd w:val="clear" w:color="auto" w:fill="auto"/>
          </w:tcPr>
          <w:p w:rsidR="00B21B24" w:rsidRPr="0047440B" w:rsidRDefault="00B21B24" w:rsidP="00B21B24">
            <w:pPr>
              <w:rPr>
                <w:color w:val="000000"/>
                <w:sz w:val="20"/>
                <w:szCs w:val="20"/>
              </w:rPr>
            </w:pPr>
            <w:r w:rsidRPr="0047440B">
              <w:rPr>
                <w:color w:val="000000"/>
                <w:sz w:val="20"/>
                <w:szCs w:val="20"/>
              </w:rPr>
              <w:t>ГАУЗ «Тетюшская ЦРБ»</w:t>
            </w:r>
          </w:p>
        </w:tc>
        <w:tc>
          <w:tcPr>
            <w:tcW w:w="1233" w:type="dxa"/>
            <w:tcBorders>
              <w:top w:val="nil"/>
              <w:left w:val="single" w:sz="4" w:space="0" w:color="auto"/>
              <w:bottom w:val="single" w:sz="4" w:space="0" w:color="auto"/>
              <w:right w:val="single" w:sz="4" w:space="0" w:color="auto"/>
            </w:tcBorders>
            <w:shd w:val="clear" w:color="000000" w:fill="FFFFFF"/>
            <w:noWrap/>
            <w:vAlign w:val="center"/>
          </w:tcPr>
          <w:p w:rsidR="00B21B24" w:rsidRPr="0047440B" w:rsidRDefault="00B21B24" w:rsidP="00B21B24">
            <w:pPr>
              <w:jc w:val="center"/>
              <w:rPr>
                <w:color w:val="000000"/>
                <w:sz w:val="20"/>
                <w:szCs w:val="20"/>
              </w:rPr>
            </w:pPr>
            <w:r w:rsidRPr="0047440B">
              <w:rPr>
                <w:color w:val="000000"/>
                <w:sz w:val="20"/>
                <w:szCs w:val="20"/>
              </w:rPr>
              <w:t>1</w:t>
            </w:r>
          </w:p>
        </w:tc>
        <w:tc>
          <w:tcPr>
            <w:tcW w:w="816" w:type="dxa"/>
            <w:tcBorders>
              <w:top w:val="nil"/>
              <w:left w:val="single" w:sz="4" w:space="0" w:color="auto"/>
              <w:bottom w:val="single" w:sz="4" w:space="0" w:color="auto"/>
              <w:right w:val="single" w:sz="4" w:space="0" w:color="auto"/>
            </w:tcBorders>
            <w:shd w:val="clear" w:color="auto" w:fill="auto"/>
            <w:noWrap/>
          </w:tcPr>
          <w:p w:rsidR="00B21B24" w:rsidRPr="0047440B" w:rsidRDefault="00B21B24" w:rsidP="00B21B24">
            <w:pPr>
              <w:jc w:val="center"/>
              <w:rPr>
                <w:color w:val="000000"/>
                <w:sz w:val="20"/>
                <w:szCs w:val="20"/>
              </w:rPr>
            </w:pPr>
            <w:r w:rsidRPr="0047440B">
              <w:rPr>
                <w:color w:val="000000"/>
                <w:sz w:val="20"/>
                <w:szCs w:val="20"/>
              </w:rPr>
              <w:t>1,00</w:t>
            </w:r>
          </w:p>
        </w:tc>
        <w:tc>
          <w:tcPr>
            <w:tcW w:w="792" w:type="dxa"/>
            <w:tcBorders>
              <w:top w:val="nil"/>
              <w:left w:val="nil"/>
              <w:bottom w:val="single" w:sz="4" w:space="0" w:color="auto"/>
              <w:right w:val="single" w:sz="4" w:space="0" w:color="auto"/>
            </w:tcBorders>
            <w:shd w:val="clear" w:color="auto" w:fill="auto"/>
            <w:noWrap/>
          </w:tcPr>
          <w:p w:rsidR="00B21B24" w:rsidRPr="0047440B" w:rsidRDefault="00B21B24" w:rsidP="00B21B24">
            <w:pPr>
              <w:jc w:val="center"/>
              <w:rPr>
                <w:color w:val="000000"/>
                <w:sz w:val="20"/>
                <w:szCs w:val="20"/>
              </w:rPr>
            </w:pPr>
            <w:r w:rsidRPr="0047440B">
              <w:rPr>
                <w:color w:val="000000"/>
                <w:sz w:val="20"/>
                <w:szCs w:val="20"/>
              </w:rPr>
              <w:t>1,00</w:t>
            </w:r>
          </w:p>
        </w:tc>
        <w:tc>
          <w:tcPr>
            <w:tcW w:w="1239" w:type="dxa"/>
            <w:tcBorders>
              <w:top w:val="nil"/>
              <w:left w:val="single" w:sz="4" w:space="0" w:color="auto"/>
              <w:bottom w:val="single" w:sz="4" w:space="0" w:color="auto"/>
              <w:right w:val="single" w:sz="4" w:space="0" w:color="auto"/>
            </w:tcBorders>
            <w:shd w:val="clear" w:color="auto" w:fill="auto"/>
            <w:noWrap/>
          </w:tcPr>
          <w:p w:rsidR="00B21B24" w:rsidRPr="0047440B" w:rsidRDefault="00B21B24" w:rsidP="00B21B24">
            <w:pPr>
              <w:jc w:val="center"/>
              <w:rPr>
                <w:color w:val="000000"/>
                <w:sz w:val="20"/>
                <w:szCs w:val="20"/>
              </w:rPr>
            </w:pPr>
            <w:r w:rsidRPr="0047440B">
              <w:rPr>
                <w:color w:val="000000"/>
                <w:sz w:val="20"/>
                <w:szCs w:val="20"/>
              </w:rPr>
              <w:t>1</w:t>
            </w:r>
          </w:p>
        </w:tc>
        <w:tc>
          <w:tcPr>
            <w:tcW w:w="952" w:type="dxa"/>
            <w:tcBorders>
              <w:top w:val="nil"/>
              <w:left w:val="nil"/>
              <w:bottom w:val="single" w:sz="4" w:space="0" w:color="auto"/>
              <w:right w:val="single" w:sz="4" w:space="0" w:color="auto"/>
            </w:tcBorders>
            <w:shd w:val="clear" w:color="000000" w:fill="FFFFFF"/>
            <w:noWrap/>
          </w:tcPr>
          <w:p w:rsidR="00B21B24" w:rsidRPr="0047440B" w:rsidRDefault="00B21B24" w:rsidP="00B21B24">
            <w:pPr>
              <w:autoSpaceDE/>
              <w:autoSpaceDN/>
              <w:adjustRightInd/>
              <w:jc w:val="center"/>
              <w:rPr>
                <w:color w:val="000000"/>
                <w:sz w:val="20"/>
                <w:szCs w:val="20"/>
              </w:rPr>
            </w:pPr>
            <w:r w:rsidRPr="0047440B">
              <w:rPr>
                <w:color w:val="000000"/>
                <w:sz w:val="20"/>
                <w:szCs w:val="20"/>
              </w:rPr>
              <w:t>1 106</w:t>
            </w:r>
          </w:p>
        </w:tc>
        <w:tc>
          <w:tcPr>
            <w:tcW w:w="1121" w:type="dxa"/>
            <w:tcBorders>
              <w:top w:val="nil"/>
              <w:left w:val="nil"/>
              <w:bottom w:val="single" w:sz="4" w:space="0" w:color="auto"/>
              <w:right w:val="single" w:sz="4" w:space="0" w:color="auto"/>
            </w:tcBorders>
            <w:shd w:val="clear" w:color="000000" w:fill="FFFFFF"/>
            <w:noWrap/>
          </w:tcPr>
          <w:p w:rsidR="00B21B24" w:rsidRPr="0047440B" w:rsidRDefault="00B21B24" w:rsidP="00B21B24">
            <w:pPr>
              <w:autoSpaceDE/>
              <w:autoSpaceDN/>
              <w:adjustRightInd/>
              <w:jc w:val="center"/>
              <w:rPr>
                <w:color w:val="000000"/>
                <w:sz w:val="20"/>
                <w:szCs w:val="20"/>
              </w:rPr>
            </w:pPr>
            <w:r w:rsidRPr="0047440B">
              <w:rPr>
                <w:color w:val="000000"/>
                <w:sz w:val="20"/>
                <w:szCs w:val="20"/>
              </w:rPr>
              <w:t>1 106</w:t>
            </w:r>
          </w:p>
        </w:tc>
        <w:tc>
          <w:tcPr>
            <w:tcW w:w="1217" w:type="dxa"/>
            <w:tcBorders>
              <w:top w:val="nil"/>
              <w:left w:val="nil"/>
              <w:bottom w:val="single" w:sz="4" w:space="0" w:color="auto"/>
              <w:right w:val="single" w:sz="4" w:space="0" w:color="auto"/>
            </w:tcBorders>
            <w:shd w:val="clear" w:color="000000" w:fill="FFFFFF"/>
          </w:tcPr>
          <w:p w:rsidR="00B21B24" w:rsidRPr="0047440B" w:rsidRDefault="00B21B24" w:rsidP="00B21B24">
            <w:pPr>
              <w:autoSpaceDE/>
              <w:autoSpaceDN/>
              <w:adjustRightInd/>
              <w:jc w:val="center"/>
              <w:rPr>
                <w:color w:val="000000"/>
                <w:sz w:val="20"/>
                <w:szCs w:val="20"/>
              </w:rPr>
            </w:pPr>
            <w:r w:rsidRPr="0047440B">
              <w:rPr>
                <w:color w:val="000000"/>
                <w:sz w:val="20"/>
                <w:szCs w:val="20"/>
              </w:rPr>
              <w:t>1</w:t>
            </w:r>
          </w:p>
        </w:tc>
      </w:tr>
      <w:tr w:rsidR="00B21B24" w:rsidRPr="0047440B" w:rsidTr="00E474AD">
        <w:trPr>
          <w:trHeight w:val="20"/>
          <w:jc w:val="center"/>
        </w:trPr>
        <w:tc>
          <w:tcPr>
            <w:tcW w:w="486" w:type="dxa"/>
            <w:tcBorders>
              <w:top w:val="nil"/>
              <w:left w:val="single" w:sz="4" w:space="0" w:color="auto"/>
              <w:bottom w:val="single" w:sz="4" w:space="0" w:color="auto"/>
              <w:right w:val="single" w:sz="4" w:space="0" w:color="auto"/>
            </w:tcBorders>
            <w:shd w:val="clear" w:color="000000" w:fill="FFFFFF"/>
            <w:noWrap/>
            <w:hideMark/>
          </w:tcPr>
          <w:p w:rsidR="00B21B24" w:rsidRPr="0047440B" w:rsidRDefault="00B21B24" w:rsidP="00B21B24">
            <w:pPr>
              <w:autoSpaceDE/>
              <w:autoSpaceDN/>
              <w:adjustRightInd/>
              <w:jc w:val="center"/>
              <w:rPr>
                <w:color w:val="000000"/>
                <w:sz w:val="20"/>
                <w:szCs w:val="20"/>
              </w:rPr>
            </w:pPr>
            <w:r w:rsidRPr="0047440B">
              <w:rPr>
                <w:color w:val="000000"/>
                <w:sz w:val="20"/>
                <w:szCs w:val="20"/>
              </w:rPr>
              <w:t>38.</w:t>
            </w:r>
          </w:p>
        </w:tc>
        <w:tc>
          <w:tcPr>
            <w:tcW w:w="2917" w:type="dxa"/>
            <w:tcBorders>
              <w:top w:val="nil"/>
              <w:left w:val="single" w:sz="4" w:space="0" w:color="auto"/>
              <w:bottom w:val="single" w:sz="4" w:space="0" w:color="auto"/>
              <w:right w:val="single" w:sz="4" w:space="0" w:color="auto"/>
            </w:tcBorders>
            <w:shd w:val="clear" w:color="auto" w:fill="auto"/>
          </w:tcPr>
          <w:p w:rsidR="00B21B24" w:rsidRPr="0047440B" w:rsidRDefault="00B21B24" w:rsidP="00B21B24">
            <w:pPr>
              <w:rPr>
                <w:color w:val="000000"/>
                <w:sz w:val="20"/>
                <w:szCs w:val="20"/>
              </w:rPr>
            </w:pPr>
            <w:r w:rsidRPr="0047440B">
              <w:rPr>
                <w:color w:val="000000"/>
                <w:sz w:val="20"/>
                <w:szCs w:val="20"/>
              </w:rPr>
              <w:t>ГАУЗ «Тукаевская ЦРБ»</w:t>
            </w:r>
          </w:p>
        </w:tc>
        <w:tc>
          <w:tcPr>
            <w:tcW w:w="1233" w:type="dxa"/>
            <w:tcBorders>
              <w:top w:val="nil"/>
              <w:left w:val="single" w:sz="4" w:space="0" w:color="auto"/>
              <w:bottom w:val="single" w:sz="4" w:space="0" w:color="auto"/>
              <w:right w:val="single" w:sz="4" w:space="0" w:color="auto"/>
            </w:tcBorders>
            <w:shd w:val="clear" w:color="000000" w:fill="FFFFFF"/>
            <w:noWrap/>
            <w:vAlign w:val="center"/>
          </w:tcPr>
          <w:p w:rsidR="00B21B24" w:rsidRPr="0047440B" w:rsidRDefault="00B21B24" w:rsidP="00B21B24">
            <w:pPr>
              <w:jc w:val="center"/>
              <w:rPr>
                <w:color w:val="000000"/>
                <w:sz w:val="20"/>
                <w:szCs w:val="20"/>
              </w:rPr>
            </w:pPr>
            <w:r w:rsidRPr="0047440B">
              <w:rPr>
                <w:color w:val="000000"/>
                <w:sz w:val="20"/>
                <w:szCs w:val="20"/>
              </w:rPr>
              <w:t>3</w:t>
            </w:r>
          </w:p>
        </w:tc>
        <w:tc>
          <w:tcPr>
            <w:tcW w:w="816" w:type="dxa"/>
            <w:tcBorders>
              <w:top w:val="nil"/>
              <w:left w:val="single" w:sz="4" w:space="0" w:color="auto"/>
              <w:bottom w:val="single" w:sz="4" w:space="0" w:color="auto"/>
              <w:right w:val="single" w:sz="4" w:space="0" w:color="auto"/>
            </w:tcBorders>
            <w:shd w:val="clear" w:color="auto" w:fill="auto"/>
            <w:noWrap/>
          </w:tcPr>
          <w:p w:rsidR="00B21B24" w:rsidRPr="0047440B" w:rsidRDefault="00B21B24" w:rsidP="00B21B24">
            <w:pPr>
              <w:jc w:val="center"/>
              <w:rPr>
                <w:color w:val="000000"/>
                <w:sz w:val="20"/>
                <w:szCs w:val="20"/>
              </w:rPr>
            </w:pPr>
            <w:r w:rsidRPr="0047440B">
              <w:rPr>
                <w:color w:val="000000"/>
                <w:sz w:val="20"/>
                <w:szCs w:val="20"/>
              </w:rPr>
              <w:t>4,00</w:t>
            </w:r>
          </w:p>
        </w:tc>
        <w:tc>
          <w:tcPr>
            <w:tcW w:w="792" w:type="dxa"/>
            <w:tcBorders>
              <w:top w:val="nil"/>
              <w:left w:val="nil"/>
              <w:bottom w:val="single" w:sz="4" w:space="0" w:color="auto"/>
              <w:right w:val="single" w:sz="4" w:space="0" w:color="auto"/>
            </w:tcBorders>
            <w:shd w:val="clear" w:color="auto" w:fill="auto"/>
            <w:noWrap/>
          </w:tcPr>
          <w:p w:rsidR="00B21B24" w:rsidRPr="0047440B" w:rsidRDefault="00B21B24" w:rsidP="00B21B24">
            <w:pPr>
              <w:jc w:val="center"/>
              <w:rPr>
                <w:color w:val="000000"/>
                <w:sz w:val="20"/>
                <w:szCs w:val="20"/>
              </w:rPr>
            </w:pPr>
            <w:r w:rsidRPr="0047440B">
              <w:rPr>
                <w:color w:val="000000"/>
                <w:sz w:val="20"/>
                <w:szCs w:val="20"/>
              </w:rPr>
              <w:t>4,00</w:t>
            </w:r>
          </w:p>
        </w:tc>
        <w:tc>
          <w:tcPr>
            <w:tcW w:w="1239" w:type="dxa"/>
            <w:tcBorders>
              <w:top w:val="nil"/>
              <w:left w:val="single" w:sz="4" w:space="0" w:color="auto"/>
              <w:bottom w:val="single" w:sz="4" w:space="0" w:color="auto"/>
              <w:right w:val="single" w:sz="4" w:space="0" w:color="auto"/>
            </w:tcBorders>
            <w:shd w:val="clear" w:color="auto" w:fill="auto"/>
            <w:noWrap/>
          </w:tcPr>
          <w:p w:rsidR="00B21B24" w:rsidRPr="0047440B" w:rsidRDefault="00B21B24" w:rsidP="00B21B24">
            <w:pPr>
              <w:jc w:val="center"/>
              <w:rPr>
                <w:color w:val="000000"/>
                <w:sz w:val="20"/>
                <w:szCs w:val="20"/>
              </w:rPr>
            </w:pPr>
            <w:r w:rsidRPr="0047440B">
              <w:rPr>
                <w:color w:val="000000"/>
                <w:sz w:val="20"/>
                <w:szCs w:val="20"/>
              </w:rPr>
              <w:t>3</w:t>
            </w:r>
          </w:p>
        </w:tc>
        <w:tc>
          <w:tcPr>
            <w:tcW w:w="952" w:type="dxa"/>
            <w:tcBorders>
              <w:top w:val="nil"/>
              <w:left w:val="nil"/>
              <w:bottom w:val="single" w:sz="4" w:space="0" w:color="auto"/>
              <w:right w:val="single" w:sz="4" w:space="0" w:color="auto"/>
            </w:tcBorders>
            <w:shd w:val="clear" w:color="000000" w:fill="FFFFFF"/>
            <w:noWrap/>
          </w:tcPr>
          <w:p w:rsidR="00B21B24" w:rsidRPr="0047440B" w:rsidRDefault="00B21B24" w:rsidP="00B21B24">
            <w:pPr>
              <w:autoSpaceDE/>
              <w:autoSpaceDN/>
              <w:adjustRightInd/>
              <w:jc w:val="center"/>
              <w:rPr>
                <w:color w:val="000000"/>
                <w:sz w:val="20"/>
                <w:szCs w:val="20"/>
              </w:rPr>
            </w:pPr>
            <w:r w:rsidRPr="0047440B">
              <w:rPr>
                <w:color w:val="000000"/>
                <w:sz w:val="20"/>
                <w:szCs w:val="20"/>
              </w:rPr>
              <w:t>17 263</w:t>
            </w:r>
          </w:p>
        </w:tc>
        <w:tc>
          <w:tcPr>
            <w:tcW w:w="1121" w:type="dxa"/>
            <w:tcBorders>
              <w:top w:val="nil"/>
              <w:left w:val="nil"/>
              <w:bottom w:val="single" w:sz="4" w:space="0" w:color="auto"/>
              <w:right w:val="single" w:sz="4" w:space="0" w:color="auto"/>
            </w:tcBorders>
            <w:shd w:val="clear" w:color="000000" w:fill="FFFFFF"/>
            <w:noWrap/>
          </w:tcPr>
          <w:p w:rsidR="00B21B24" w:rsidRPr="0047440B" w:rsidRDefault="00B21B24" w:rsidP="00B21B24">
            <w:pPr>
              <w:autoSpaceDE/>
              <w:autoSpaceDN/>
              <w:adjustRightInd/>
              <w:jc w:val="center"/>
              <w:rPr>
                <w:color w:val="000000"/>
                <w:sz w:val="20"/>
                <w:szCs w:val="20"/>
              </w:rPr>
            </w:pPr>
            <w:r w:rsidRPr="0047440B">
              <w:rPr>
                <w:color w:val="000000"/>
                <w:sz w:val="20"/>
                <w:szCs w:val="20"/>
              </w:rPr>
              <w:t>5 754</w:t>
            </w:r>
          </w:p>
        </w:tc>
        <w:tc>
          <w:tcPr>
            <w:tcW w:w="1217" w:type="dxa"/>
            <w:tcBorders>
              <w:top w:val="nil"/>
              <w:left w:val="nil"/>
              <w:bottom w:val="single" w:sz="4" w:space="0" w:color="auto"/>
              <w:right w:val="single" w:sz="4" w:space="0" w:color="auto"/>
            </w:tcBorders>
            <w:shd w:val="clear" w:color="000000" w:fill="FFFFFF"/>
          </w:tcPr>
          <w:p w:rsidR="00B21B24" w:rsidRPr="0047440B" w:rsidRDefault="00B21B24" w:rsidP="00B21B24">
            <w:pPr>
              <w:autoSpaceDE/>
              <w:autoSpaceDN/>
              <w:adjustRightInd/>
              <w:jc w:val="center"/>
              <w:rPr>
                <w:color w:val="000000"/>
                <w:sz w:val="20"/>
                <w:szCs w:val="20"/>
              </w:rPr>
            </w:pPr>
            <w:r w:rsidRPr="0047440B">
              <w:rPr>
                <w:color w:val="000000"/>
                <w:sz w:val="20"/>
                <w:szCs w:val="20"/>
              </w:rPr>
              <w:t>1</w:t>
            </w:r>
          </w:p>
        </w:tc>
      </w:tr>
      <w:tr w:rsidR="00B21B24" w:rsidRPr="0047440B" w:rsidTr="00E474AD">
        <w:trPr>
          <w:trHeight w:val="20"/>
          <w:jc w:val="center"/>
        </w:trPr>
        <w:tc>
          <w:tcPr>
            <w:tcW w:w="486" w:type="dxa"/>
            <w:tcBorders>
              <w:top w:val="nil"/>
              <w:left w:val="single" w:sz="4" w:space="0" w:color="auto"/>
              <w:bottom w:val="single" w:sz="4" w:space="0" w:color="auto"/>
              <w:right w:val="single" w:sz="4" w:space="0" w:color="auto"/>
            </w:tcBorders>
            <w:shd w:val="clear" w:color="000000" w:fill="FFFFFF"/>
            <w:noWrap/>
            <w:hideMark/>
          </w:tcPr>
          <w:p w:rsidR="00B21B24" w:rsidRPr="0047440B" w:rsidRDefault="00B21B24" w:rsidP="00B21B24">
            <w:pPr>
              <w:autoSpaceDE/>
              <w:autoSpaceDN/>
              <w:adjustRightInd/>
              <w:jc w:val="center"/>
              <w:rPr>
                <w:color w:val="000000"/>
                <w:sz w:val="20"/>
                <w:szCs w:val="20"/>
              </w:rPr>
            </w:pPr>
            <w:r w:rsidRPr="0047440B">
              <w:rPr>
                <w:color w:val="000000"/>
                <w:sz w:val="20"/>
                <w:szCs w:val="20"/>
              </w:rPr>
              <w:t>39.</w:t>
            </w:r>
          </w:p>
        </w:tc>
        <w:tc>
          <w:tcPr>
            <w:tcW w:w="2917" w:type="dxa"/>
            <w:tcBorders>
              <w:top w:val="nil"/>
              <w:left w:val="single" w:sz="4" w:space="0" w:color="auto"/>
              <w:bottom w:val="single" w:sz="4" w:space="0" w:color="auto"/>
              <w:right w:val="single" w:sz="4" w:space="0" w:color="auto"/>
            </w:tcBorders>
            <w:shd w:val="clear" w:color="auto" w:fill="auto"/>
          </w:tcPr>
          <w:p w:rsidR="00B21B24" w:rsidRPr="0047440B" w:rsidRDefault="00B21B24" w:rsidP="00B21B24">
            <w:pPr>
              <w:rPr>
                <w:color w:val="000000"/>
                <w:sz w:val="20"/>
                <w:szCs w:val="20"/>
              </w:rPr>
            </w:pPr>
            <w:r w:rsidRPr="0047440B">
              <w:rPr>
                <w:color w:val="000000"/>
                <w:sz w:val="20"/>
                <w:szCs w:val="20"/>
              </w:rPr>
              <w:t>ГАУЗ «Тюлячинская ЦРБ»</w:t>
            </w:r>
          </w:p>
        </w:tc>
        <w:tc>
          <w:tcPr>
            <w:tcW w:w="1233" w:type="dxa"/>
            <w:tcBorders>
              <w:top w:val="nil"/>
              <w:left w:val="single" w:sz="4" w:space="0" w:color="auto"/>
              <w:bottom w:val="single" w:sz="4" w:space="0" w:color="auto"/>
              <w:right w:val="single" w:sz="4" w:space="0" w:color="auto"/>
            </w:tcBorders>
            <w:shd w:val="clear" w:color="000000" w:fill="FFFFFF"/>
            <w:noWrap/>
            <w:vAlign w:val="center"/>
          </w:tcPr>
          <w:p w:rsidR="00B21B24" w:rsidRPr="0047440B" w:rsidRDefault="00B21B24" w:rsidP="00B21B24">
            <w:pPr>
              <w:jc w:val="center"/>
              <w:rPr>
                <w:color w:val="000000"/>
                <w:sz w:val="20"/>
                <w:szCs w:val="20"/>
              </w:rPr>
            </w:pPr>
            <w:r w:rsidRPr="0047440B">
              <w:rPr>
                <w:color w:val="000000"/>
                <w:sz w:val="20"/>
                <w:szCs w:val="20"/>
              </w:rPr>
              <w:t>1</w:t>
            </w:r>
          </w:p>
        </w:tc>
        <w:tc>
          <w:tcPr>
            <w:tcW w:w="816" w:type="dxa"/>
            <w:tcBorders>
              <w:top w:val="nil"/>
              <w:left w:val="single" w:sz="4" w:space="0" w:color="auto"/>
              <w:bottom w:val="single" w:sz="4" w:space="0" w:color="auto"/>
              <w:right w:val="single" w:sz="4" w:space="0" w:color="auto"/>
            </w:tcBorders>
            <w:shd w:val="clear" w:color="auto" w:fill="auto"/>
            <w:noWrap/>
          </w:tcPr>
          <w:p w:rsidR="00B21B24" w:rsidRPr="0047440B" w:rsidRDefault="00B21B24" w:rsidP="00B21B24">
            <w:pPr>
              <w:jc w:val="center"/>
              <w:rPr>
                <w:color w:val="000000"/>
                <w:sz w:val="20"/>
                <w:szCs w:val="20"/>
              </w:rPr>
            </w:pPr>
            <w:r w:rsidRPr="0047440B">
              <w:rPr>
                <w:color w:val="000000"/>
                <w:sz w:val="20"/>
                <w:szCs w:val="20"/>
              </w:rPr>
              <w:t>1,00</w:t>
            </w:r>
          </w:p>
        </w:tc>
        <w:tc>
          <w:tcPr>
            <w:tcW w:w="792" w:type="dxa"/>
            <w:tcBorders>
              <w:top w:val="nil"/>
              <w:left w:val="nil"/>
              <w:bottom w:val="single" w:sz="4" w:space="0" w:color="auto"/>
              <w:right w:val="single" w:sz="4" w:space="0" w:color="auto"/>
            </w:tcBorders>
            <w:shd w:val="clear" w:color="auto" w:fill="auto"/>
            <w:noWrap/>
          </w:tcPr>
          <w:p w:rsidR="00B21B24" w:rsidRPr="0047440B" w:rsidRDefault="00B21B24" w:rsidP="00B21B24">
            <w:pPr>
              <w:jc w:val="center"/>
              <w:rPr>
                <w:color w:val="000000"/>
                <w:sz w:val="20"/>
                <w:szCs w:val="20"/>
              </w:rPr>
            </w:pPr>
            <w:r w:rsidRPr="0047440B">
              <w:rPr>
                <w:color w:val="000000"/>
                <w:sz w:val="20"/>
                <w:szCs w:val="20"/>
              </w:rPr>
              <w:t>1,00</w:t>
            </w:r>
          </w:p>
        </w:tc>
        <w:tc>
          <w:tcPr>
            <w:tcW w:w="1239" w:type="dxa"/>
            <w:tcBorders>
              <w:top w:val="nil"/>
              <w:left w:val="single" w:sz="4" w:space="0" w:color="auto"/>
              <w:bottom w:val="single" w:sz="4" w:space="0" w:color="auto"/>
              <w:right w:val="single" w:sz="4" w:space="0" w:color="auto"/>
            </w:tcBorders>
            <w:shd w:val="clear" w:color="auto" w:fill="auto"/>
            <w:noWrap/>
          </w:tcPr>
          <w:p w:rsidR="00B21B24" w:rsidRPr="0047440B" w:rsidRDefault="00B21B24" w:rsidP="00B21B24">
            <w:pPr>
              <w:jc w:val="center"/>
              <w:rPr>
                <w:color w:val="000000"/>
                <w:sz w:val="20"/>
                <w:szCs w:val="20"/>
              </w:rPr>
            </w:pPr>
            <w:r w:rsidRPr="0047440B">
              <w:rPr>
                <w:color w:val="000000"/>
                <w:sz w:val="20"/>
                <w:szCs w:val="20"/>
              </w:rPr>
              <w:t>1</w:t>
            </w:r>
          </w:p>
        </w:tc>
        <w:tc>
          <w:tcPr>
            <w:tcW w:w="952" w:type="dxa"/>
            <w:tcBorders>
              <w:top w:val="nil"/>
              <w:left w:val="nil"/>
              <w:bottom w:val="single" w:sz="4" w:space="0" w:color="auto"/>
              <w:right w:val="single" w:sz="4" w:space="0" w:color="auto"/>
            </w:tcBorders>
            <w:shd w:val="clear" w:color="000000" w:fill="FFFFFF"/>
            <w:noWrap/>
          </w:tcPr>
          <w:p w:rsidR="00B21B24" w:rsidRPr="0047440B" w:rsidRDefault="00B21B24" w:rsidP="00B21B24">
            <w:pPr>
              <w:autoSpaceDE/>
              <w:autoSpaceDN/>
              <w:adjustRightInd/>
              <w:jc w:val="center"/>
              <w:rPr>
                <w:color w:val="000000"/>
                <w:sz w:val="20"/>
                <w:szCs w:val="20"/>
              </w:rPr>
            </w:pPr>
            <w:r w:rsidRPr="0047440B">
              <w:rPr>
                <w:color w:val="000000"/>
                <w:sz w:val="20"/>
                <w:szCs w:val="20"/>
              </w:rPr>
              <w:t>6 169</w:t>
            </w:r>
          </w:p>
        </w:tc>
        <w:tc>
          <w:tcPr>
            <w:tcW w:w="1121" w:type="dxa"/>
            <w:tcBorders>
              <w:top w:val="nil"/>
              <w:left w:val="nil"/>
              <w:bottom w:val="single" w:sz="4" w:space="0" w:color="auto"/>
              <w:right w:val="single" w:sz="4" w:space="0" w:color="auto"/>
            </w:tcBorders>
            <w:shd w:val="clear" w:color="000000" w:fill="FFFFFF"/>
            <w:noWrap/>
          </w:tcPr>
          <w:p w:rsidR="00B21B24" w:rsidRPr="0047440B" w:rsidRDefault="00B21B24" w:rsidP="00B21B24">
            <w:pPr>
              <w:autoSpaceDE/>
              <w:autoSpaceDN/>
              <w:adjustRightInd/>
              <w:jc w:val="center"/>
              <w:rPr>
                <w:color w:val="000000"/>
                <w:sz w:val="20"/>
                <w:szCs w:val="20"/>
              </w:rPr>
            </w:pPr>
            <w:r w:rsidRPr="0047440B">
              <w:rPr>
                <w:color w:val="000000"/>
                <w:sz w:val="20"/>
                <w:szCs w:val="20"/>
              </w:rPr>
              <w:t>6 169</w:t>
            </w:r>
          </w:p>
        </w:tc>
        <w:tc>
          <w:tcPr>
            <w:tcW w:w="1217" w:type="dxa"/>
            <w:tcBorders>
              <w:top w:val="nil"/>
              <w:left w:val="nil"/>
              <w:bottom w:val="single" w:sz="4" w:space="0" w:color="auto"/>
              <w:right w:val="single" w:sz="4" w:space="0" w:color="auto"/>
            </w:tcBorders>
            <w:shd w:val="clear" w:color="000000" w:fill="FFFFFF"/>
          </w:tcPr>
          <w:p w:rsidR="00B21B24" w:rsidRPr="0047440B" w:rsidRDefault="00B21B24" w:rsidP="00B21B24">
            <w:pPr>
              <w:autoSpaceDE/>
              <w:autoSpaceDN/>
              <w:adjustRightInd/>
              <w:jc w:val="center"/>
              <w:rPr>
                <w:color w:val="000000"/>
                <w:sz w:val="20"/>
                <w:szCs w:val="20"/>
              </w:rPr>
            </w:pPr>
            <w:r w:rsidRPr="0047440B">
              <w:rPr>
                <w:color w:val="000000"/>
                <w:sz w:val="20"/>
                <w:szCs w:val="20"/>
              </w:rPr>
              <w:t>1</w:t>
            </w:r>
          </w:p>
        </w:tc>
      </w:tr>
      <w:tr w:rsidR="00B21B24" w:rsidRPr="0047440B" w:rsidTr="00E474AD">
        <w:trPr>
          <w:trHeight w:val="20"/>
          <w:jc w:val="center"/>
        </w:trPr>
        <w:tc>
          <w:tcPr>
            <w:tcW w:w="486" w:type="dxa"/>
            <w:tcBorders>
              <w:top w:val="nil"/>
              <w:left w:val="single" w:sz="4" w:space="0" w:color="auto"/>
              <w:bottom w:val="single" w:sz="4" w:space="0" w:color="auto"/>
              <w:right w:val="single" w:sz="4" w:space="0" w:color="auto"/>
            </w:tcBorders>
            <w:shd w:val="clear" w:color="000000" w:fill="FFFFFF"/>
            <w:noWrap/>
            <w:hideMark/>
          </w:tcPr>
          <w:p w:rsidR="00B21B24" w:rsidRPr="0047440B" w:rsidRDefault="00B21B24" w:rsidP="00B21B24">
            <w:pPr>
              <w:autoSpaceDE/>
              <w:autoSpaceDN/>
              <w:adjustRightInd/>
              <w:spacing w:line="233" w:lineRule="auto"/>
              <w:jc w:val="center"/>
              <w:rPr>
                <w:color w:val="000000"/>
                <w:sz w:val="20"/>
                <w:szCs w:val="20"/>
              </w:rPr>
            </w:pPr>
            <w:r w:rsidRPr="0047440B">
              <w:rPr>
                <w:color w:val="000000"/>
                <w:sz w:val="20"/>
                <w:szCs w:val="20"/>
              </w:rPr>
              <w:t>40.</w:t>
            </w:r>
          </w:p>
        </w:tc>
        <w:tc>
          <w:tcPr>
            <w:tcW w:w="2917" w:type="dxa"/>
            <w:tcBorders>
              <w:top w:val="nil"/>
              <w:left w:val="single" w:sz="4" w:space="0" w:color="auto"/>
              <w:bottom w:val="single" w:sz="4" w:space="0" w:color="auto"/>
              <w:right w:val="single" w:sz="4" w:space="0" w:color="auto"/>
            </w:tcBorders>
            <w:shd w:val="clear" w:color="auto" w:fill="auto"/>
          </w:tcPr>
          <w:p w:rsidR="00B21B24" w:rsidRPr="0047440B" w:rsidRDefault="00B21B24" w:rsidP="00B21B24">
            <w:pPr>
              <w:rPr>
                <w:color w:val="000000"/>
                <w:sz w:val="20"/>
                <w:szCs w:val="20"/>
              </w:rPr>
            </w:pPr>
            <w:r w:rsidRPr="0047440B">
              <w:rPr>
                <w:color w:val="000000"/>
                <w:sz w:val="20"/>
                <w:szCs w:val="20"/>
              </w:rPr>
              <w:t>ГАУЗ «Черемшанская ЦРБ»</w:t>
            </w:r>
          </w:p>
        </w:tc>
        <w:tc>
          <w:tcPr>
            <w:tcW w:w="1233" w:type="dxa"/>
            <w:tcBorders>
              <w:top w:val="nil"/>
              <w:left w:val="nil"/>
              <w:bottom w:val="nil"/>
              <w:right w:val="single" w:sz="8" w:space="0" w:color="auto"/>
            </w:tcBorders>
            <w:shd w:val="clear" w:color="000000" w:fill="FFFFFF"/>
            <w:noWrap/>
            <w:vAlign w:val="center"/>
          </w:tcPr>
          <w:p w:rsidR="00B21B24" w:rsidRPr="0047440B" w:rsidRDefault="00B21B24" w:rsidP="00B21B24">
            <w:pPr>
              <w:jc w:val="center"/>
              <w:rPr>
                <w:color w:val="000000"/>
                <w:sz w:val="20"/>
                <w:szCs w:val="20"/>
              </w:rPr>
            </w:pPr>
            <w:r w:rsidRPr="0047440B">
              <w:rPr>
                <w:color w:val="000000"/>
                <w:sz w:val="20"/>
                <w:szCs w:val="20"/>
              </w:rPr>
              <w:t>1</w:t>
            </w:r>
          </w:p>
        </w:tc>
        <w:tc>
          <w:tcPr>
            <w:tcW w:w="816" w:type="dxa"/>
            <w:tcBorders>
              <w:top w:val="nil"/>
              <w:left w:val="single" w:sz="4" w:space="0" w:color="auto"/>
              <w:bottom w:val="single" w:sz="4" w:space="0" w:color="auto"/>
              <w:right w:val="single" w:sz="4" w:space="0" w:color="auto"/>
            </w:tcBorders>
            <w:shd w:val="clear" w:color="auto" w:fill="auto"/>
            <w:noWrap/>
          </w:tcPr>
          <w:p w:rsidR="00B21B24" w:rsidRPr="0047440B" w:rsidRDefault="00B21B24" w:rsidP="00B21B24">
            <w:pPr>
              <w:jc w:val="center"/>
              <w:rPr>
                <w:color w:val="000000"/>
                <w:sz w:val="20"/>
                <w:szCs w:val="20"/>
              </w:rPr>
            </w:pPr>
            <w:r w:rsidRPr="0047440B">
              <w:rPr>
                <w:color w:val="000000"/>
                <w:sz w:val="20"/>
                <w:szCs w:val="20"/>
              </w:rPr>
              <w:t>1,00</w:t>
            </w:r>
          </w:p>
        </w:tc>
        <w:tc>
          <w:tcPr>
            <w:tcW w:w="792" w:type="dxa"/>
            <w:tcBorders>
              <w:top w:val="nil"/>
              <w:left w:val="nil"/>
              <w:bottom w:val="single" w:sz="4" w:space="0" w:color="auto"/>
              <w:right w:val="single" w:sz="4" w:space="0" w:color="auto"/>
            </w:tcBorders>
            <w:shd w:val="clear" w:color="auto" w:fill="auto"/>
            <w:noWrap/>
          </w:tcPr>
          <w:p w:rsidR="00B21B24" w:rsidRPr="0047440B" w:rsidRDefault="00B21B24" w:rsidP="00B21B24">
            <w:pPr>
              <w:jc w:val="center"/>
              <w:rPr>
                <w:color w:val="000000"/>
                <w:sz w:val="20"/>
                <w:szCs w:val="20"/>
              </w:rPr>
            </w:pPr>
            <w:r w:rsidRPr="0047440B">
              <w:rPr>
                <w:color w:val="000000"/>
                <w:sz w:val="20"/>
                <w:szCs w:val="20"/>
              </w:rPr>
              <w:t>1,00</w:t>
            </w:r>
          </w:p>
        </w:tc>
        <w:tc>
          <w:tcPr>
            <w:tcW w:w="1239" w:type="dxa"/>
            <w:tcBorders>
              <w:top w:val="nil"/>
              <w:left w:val="single" w:sz="4" w:space="0" w:color="auto"/>
              <w:bottom w:val="single" w:sz="4" w:space="0" w:color="auto"/>
              <w:right w:val="single" w:sz="4" w:space="0" w:color="auto"/>
            </w:tcBorders>
            <w:shd w:val="clear" w:color="auto" w:fill="auto"/>
            <w:noWrap/>
          </w:tcPr>
          <w:p w:rsidR="00B21B24" w:rsidRPr="0047440B" w:rsidRDefault="00B21B24" w:rsidP="00B21B24">
            <w:pPr>
              <w:jc w:val="center"/>
              <w:rPr>
                <w:color w:val="000000"/>
                <w:sz w:val="20"/>
                <w:szCs w:val="20"/>
              </w:rPr>
            </w:pPr>
            <w:r w:rsidRPr="0047440B">
              <w:rPr>
                <w:color w:val="000000"/>
                <w:sz w:val="20"/>
                <w:szCs w:val="20"/>
              </w:rPr>
              <w:t>1</w:t>
            </w:r>
          </w:p>
        </w:tc>
        <w:tc>
          <w:tcPr>
            <w:tcW w:w="952" w:type="dxa"/>
            <w:tcBorders>
              <w:top w:val="nil"/>
              <w:left w:val="nil"/>
              <w:bottom w:val="single" w:sz="4" w:space="0" w:color="auto"/>
              <w:right w:val="single" w:sz="4" w:space="0" w:color="auto"/>
            </w:tcBorders>
            <w:shd w:val="clear" w:color="000000" w:fill="FFFFFF"/>
            <w:noWrap/>
          </w:tcPr>
          <w:p w:rsidR="00B21B24" w:rsidRPr="0047440B" w:rsidRDefault="00B21B24" w:rsidP="00B21B24">
            <w:pPr>
              <w:autoSpaceDE/>
              <w:autoSpaceDN/>
              <w:adjustRightInd/>
              <w:jc w:val="center"/>
              <w:rPr>
                <w:color w:val="000000"/>
                <w:sz w:val="20"/>
                <w:szCs w:val="20"/>
              </w:rPr>
            </w:pPr>
            <w:r w:rsidRPr="0047440B">
              <w:rPr>
                <w:color w:val="000000"/>
                <w:sz w:val="20"/>
                <w:szCs w:val="20"/>
              </w:rPr>
              <w:t>7 513</w:t>
            </w:r>
          </w:p>
        </w:tc>
        <w:tc>
          <w:tcPr>
            <w:tcW w:w="1121" w:type="dxa"/>
            <w:tcBorders>
              <w:top w:val="nil"/>
              <w:left w:val="nil"/>
              <w:bottom w:val="single" w:sz="4" w:space="0" w:color="auto"/>
              <w:right w:val="single" w:sz="4" w:space="0" w:color="auto"/>
            </w:tcBorders>
            <w:shd w:val="clear" w:color="000000" w:fill="FFFFFF"/>
            <w:noWrap/>
          </w:tcPr>
          <w:p w:rsidR="00B21B24" w:rsidRPr="0047440B" w:rsidRDefault="00B21B24" w:rsidP="00B21B24">
            <w:pPr>
              <w:autoSpaceDE/>
              <w:autoSpaceDN/>
              <w:adjustRightInd/>
              <w:jc w:val="center"/>
              <w:rPr>
                <w:color w:val="000000"/>
                <w:sz w:val="20"/>
                <w:szCs w:val="20"/>
              </w:rPr>
            </w:pPr>
            <w:r w:rsidRPr="0047440B">
              <w:rPr>
                <w:color w:val="000000"/>
                <w:sz w:val="20"/>
                <w:szCs w:val="20"/>
              </w:rPr>
              <w:t>7 513</w:t>
            </w:r>
          </w:p>
        </w:tc>
        <w:tc>
          <w:tcPr>
            <w:tcW w:w="1217" w:type="dxa"/>
            <w:tcBorders>
              <w:top w:val="nil"/>
              <w:left w:val="nil"/>
              <w:bottom w:val="single" w:sz="4" w:space="0" w:color="auto"/>
              <w:right w:val="single" w:sz="4" w:space="0" w:color="auto"/>
            </w:tcBorders>
            <w:shd w:val="clear" w:color="000000" w:fill="FFFFFF"/>
          </w:tcPr>
          <w:p w:rsidR="00B21B24" w:rsidRPr="0047440B" w:rsidRDefault="00B21B24" w:rsidP="00B21B24">
            <w:pPr>
              <w:autoSpaceDE/>
              <w:autoSpaceDN/>
              <w:adjustRightInd/>
              <w:jc w:val="center"/>
              <w:rPr>
                <w:color w:val="000000"/>
                <w:sz w:val="20"/>
                <w:szCs w:val="20"/>
              </w:rPr>
            </w:pPr>
            <w:r w:rsidRPr="0047440B">
              <w:rPr>
                <w:color w:val="000000"/>
                <w:sz w:val="20"/>
                <w:szCs w:val="20"/>
              </w:rPr>
              <w:t>1</w:t>
            </w:r>
          </w:p>
        </w:tc>
      </w:tr>
      <w:tr w:rsidR="00B21B24" w:rsidRPr="0047440B" w:rsidTr="00E474AD">
        <w:trPr>
          <w:trHeight w:val="20"/>
          <w:jc w:val="center"/>
        </w:trPr>
        <w:tc>
          <w:tcPr>
            <w:tcW w:w="486" w:type="dxa"/>
            <w:tcBorders>
              <w:top w:val="nil"/>
              <w:left w:val="single" w:sz="4" w:space="0" w:color="auto"/>
              <w:bottom w:val="single" w:sz="4" w:space="0" w:color="auto"/>
              <w:right w:val="single" w:sz="4" w:space="0" w:color="auto"/>
            </w:tcBorders>
            <w:shd w:val="clear" w:color="000000" w:fill="FFFFFF"/>
            <w:noWrap/>
            <w:hideMark/>
          </w:tcPr>
          <w:p w:rsidR="00B21B24" w:rsidRPr="0047440B" w:rsidRDefault="00B21B24" w:rsidP="00B21B24">
            <w:pPr>
              <w:autoSpaceDE/>
              <w:autoSpaceDN/>
              <w:adjustRightInd/>
              <w:spacing w:line="233" w:lineRule="auto"/>
              <w:jc w:val="center"/>
              <w:rPr>
                <w:color w:val="000000"/>
                <w:sz w:val="20"/>
                <w:szCs w:val="20"/>
              </w:rPr>
            </w:pPr>
            <w:r w:rsidRPr="0047440B">
              <w:rPr>
                <w:color w:val="000000"/>
                <w:sz w:val="20"/>
                <w:szCs w:val="20"/>
              </w:rPr>
              <w:t>41.</w:t>
            </w:r>
          </w:p>
        </w:tc>
        <w:tc>
          <w:tcPr>
            <w:tcW w:w="2917" w:type="dxa"/>
            <w:tcBorders>
              <w:top w:val="nil"/>
              <w:left w:val="single" w:sz="4" w:space="0" w:color="auto"/>
              <w:bottom w:val="single" w:sz="4" w:space="0" w:color="auto"/>
              <w:right w:val="single" w:sz="4" w:space="0" w:color="auto"/>
            </w:tcBorders>
            <w:shd w:val="clear" w:color="auto" w:fill="auto"/>
          </w:tcPr>
          <w:p w:rsidR="00B21B24" w:rsidRPr="0047440B" w:rsidRDefault="00B21B24" w:rsidP="00B21B24">
            <w:pPr>
              <w:rPr>
                <w:color w:val="000000"/>
                <w:sz w:val="20"/>
                <w:szCs w:val="20"/>
              </w:rPr>
            </w:pPr>
            <w:r w:rsidRPr="0047440B">
              <w:rPr>
                <w:color w:val="000000"/>
                <w:sz w:val="20"/>
                <w:szCs w:val="20"/>
              </w:rPr>
              <w:t>ГАУЗ «Чистопольская ЦРБ»</w:t>
            </w:r>
          </w:p>
        </w:tc>
        <w:tc>
          <w:tcPr>
            <w:tcW w:w="12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21B24" w:rsidRPr="0047440B" w:rsidRDefault="00B21B24" w:rsidP="00B21B24">
            <w:pPr>
              <w:jc w:val="center"/>
              <w:rPr>
                <w:color w:val="000000"/>
                <w:sz w:val="20"/>
                <w:szCs w:val="20"/>
              </w:rPr>
            </w:pPr>
            <w:r w:rsidRPr="0047440B">
              <w:rPr>
                <w:color w:val="000000"/>
                <w:sz w:val="20"/>
                <w:szCs w:val="20"/>
              </w:rPr>
              <w:t>2</w:t>
            </w:r>
          </w:p>
        </w:tc>
        <w:tc>
          <w:tcPr>
            <w:tcW w:w="816" w:type="dxa"/>
            <w:tcBorders>
              <w:top w:val="nil"/>
              <w:left w:val="single" w:sz="4" w:space="0" w:color="auto"/>
              <w:bottom w:val="single" w:sz="4" w:space="0" w:color="auto"/>
              <w:right w:val="single" w:sz="4" w:space="0" w:color="auto"/>
            </w:tcBorders>
            <w:shd w:val="clear" w:color="auto" w:fill="auto"/>
            <w:noWrap/>
          </w:tcPr>
          <w:p w:rsidR="00B21B24" w:rsidRPr="0047440B" w:rsidRDefault="00B21B24" w:rsidP="00B21B24">
            <w:pPr>
              <w:jc w:val="center"/>
              <w:rPr>
                <w:color w:val="000000"/>
                <w:sz w:val="20"/>
                <w:szCs w:val="20"/>
              </w:rPr>
            </w:pPr>
            <w:r w:rsidRPr="0047440B">
              <w:rPr>
                <w:color w:val="000000"/>
                <w:sz w:val="20"/>
                <w:szCs w:val="20"/>
              </w:rPr>
              <w:t>2,00</w:t>
            </w:r>
          </w:p>
        </w:tc>
        <w:tc>
          <w:tcPr>
            <w:tcW w:w="792" w:type="dxa"/>
            <w:tcBorders>
              <w:top w:val="nil"/>
              <w:left w:val="nil"/>
              <w:bottom w:val="single" w:sz="4" w:space="0" w:color="auto"/>
              <w:right w:val="single" w:sz="4" w:space="0" w:color="auto"/>
            </w:tcBorders>
            <w:shd w:val="clear" w:color="auto" w:fill="auto"/>
            <w:noWrap/>
          </w:tcPr>
          <w:p w:rsidR="00B21B24" w:rsidRPr="0047440B" w:rsidRDefault="00B21B24" w:rsidP="00B21B24">
            <w:pPr>
              <w:jc w:val="center"/>
              <w:rPr>
                <w:color w:val="000000"/>
                <w:sz w:val="20"/>
                <w:szCs w:val="20"/>
              </w:rPr>
            </w:pPr>
            <w:r w:rsidRPr="0047440B">
              <w:rPr>
                <w:color w:val="000000"/>
                <w:sz w:val="20"/>
                <w:szCs w:val="20"/>
              </w:rPr>
              <w:t>2,00</w:t>
            </w:r>
          </w:p>
        </w:tc>
        <w:tc>
          <w:tcPr>
            <w:tcW w:w="1239" w:type="dxa"/>
            <w:tcBorders>
              <w:top w:val="nil"/>
              <w:left w:val="single" w:sz="4" w:space="0" w:color="auto"/>
              <w:bottom w:val="single" w:sz="4" w:space="0" w:color="auto"/>
              <w:right w:val="single" w:sz="4" w:space="0" w:color="auto"/>
            </w:tcBorders>
            <w:shd w:val="clear" w:color="auto" w:fill="auto"/>
            <w:noWrap/>
          </w:tcPr>
          <w:p w:rsidR="00B21B24" w:rsidRPr="0047440B" w:rsidRDefault="00B21B24" w:rsidP="00B21B24">
            <w:pPr>
              <w:jc w:val="center"/>
              <w:rPr>
                <w:color w:val="000000"/>
                <w:sz w:val="20"/>
                <w:szCs w:val="20"/>
              </w:rPr>
            </w:pPr>
            <w:r w:rsidRPr="0047440B">
              <w:rPr>
                <w:color w:val="000000"/>
                <w:sz w:val="20"/>
                <w:szCs w:val="20"/>
              </w:rPr>
              <w:t>2</w:t>
            </w:r>
          </w:p>
        </w:tc>
        <w:tc>
          <w:tcPr>
            <w:tcW w:w="952" w:type="dxa"/>
            <w:tcBorders>
              <w:top w:val="nil"/>
              <w:left w:val="nil"/>
              <w:bottom w:val="single" w:sz="4" w:space="0" w:color="auto"/>
              <w:right w:val="single" w:sz="4" w:space="0" w:color="auto"/>
            </w:tcBorders>
            <w:shd w:val="clear" w:color="000000" w:fill="FFFFFF"/>
            <w:noWrap/>
          </w:tcPr>
          <w:p w:rsidR="00B21B24" w:rsidRPr="0047440B" w:rsidRDefault="00B21B24" w:rsidP="00B21B24">
            <w:pPr>
              <w:autoSpaceDE/>
              <w:autoSpaceDN/>
              <w:adjustRightInd/>
              <w:jc w:val="center"/>
              <w:rPr>
                <w:color w:val="000000"/>
                <w:sz w:val="20"/>
                <w:szCs w:val="20"/>
              </w:rPr>
            </w:pPr>
            <w:r w:rsidRPr="0047440B">
              <w:rPr>
                <w:color w:val="000000"/>
                <w:sz w:val="20"/>
                <w:szCs w:val="20"/>
              </w:rPr>
              <w:t>32 695</w:t>
            </w:r>
          </w:p>
        </w:tc>
        <w:tc>
          <w:tcPr>
            <w:tcW w:w="1121" w:type="dxa"/>
            <w:tcBorders>
              <w:top w:val="nil"/>
              <w:left w:val="nil"/>
              <w:bottom w:val="single" w:sz="4" w:space="0" w:color="auto"/>
              <w:right w:val="single" w:sz="4" w:space="0" w:color="auto"/>
            </w:tcBorders>
            <w:shd w:val="clear" w:color="000000" w:fill="FFFFFF"/>
            <w:noWrap/>
          </w:tcPr>
          <w:p w:rsidR="00B21B24" w:rsidRPr="0047440B" w:rsidRDefault="00B21B24" w:rsidP="00B21B24">
            <w:pPr>
              <w:autoSpaceDE/>
              <w:autoSpaceDN/>
              <w:adjustRightInd/>
              <w:jc w:val="center"/>
              <w:rPr>
                <w:color w:val="000000"/>
                <w:sz w:val="20"/>
                <w:szCs w:val="20"/>
              </w:rPr>
            </w:pPr>
            <w:r w:rsidRPr="0047440B">
              <w:rPr>
                <w:color w:val="000000"/>
                <w:sz w:val="20"/>
                <w:szCs w:val="20"/>
              </w:rPr>
              <w:t>32 695</w:t>
            </w:r>
          </w:p>
        </w:tc>
        <w:tc>
          <w:tcPr>
            <w:tcW w:w="1217" w:type="dxa"/>
            <w:tcBorders>
              <w:top w:val="nil"/>
              <w:left w:val="nil"/>
              <w:bottom w:val="single" w:sz="4" w:space="0" w:color="auto"/>
              <w:right w:val="single" w:sz="4" w:space="0" w:color="auto"/>
            </w:tcBorders>
            <w:shd w:val="clear" w:color="000000" w:fill="FFFFFF"/>
          </w:tcPr>
          <w:p w:rsidR="00B21B24" w:rsidRPr="0047440B" w:rsidRDefault="00B21B24" w:rsidP="00B21B24">
            <w:pPr>
              <w:autoSpaceDE/>
              <w:autoSpaceDN/>
              <w:adjustRightInd/>
              <w:jc w:val="center"/>
              <w:rPr>
                <w:color w:val="000000"/>
                <w:sz w:val="20"/>
                <w:szCs w:val="20"/>
              </w:rPr>
            </w:pPr>
            <w:r w:rsidRPr="0047440B">
              <w:rPr>
                <w:color w:val="000000"/>
                <w:sz w:val="20"/>
                <w:szCs w:val="20"/>
              </w:rPr>
              <w:t>1</w:t>
            </w:r>
          </w:p>
        </w:tc>
      </w:tr>
      <w:tr w:rsidR="00B21B24" w:rsidRPr="0047440B" w:rsidTr="00E474AD">
        <w:trPr>
          <w:trHeight w:val="20"/>
          <w:jc w:val="center"/>
        </w:trPr>
        <w:tc>
          <w:tcPr>
            <w:tcW w:w="486" w:type="dxa"/>
            <w:tcBorders>
              <w:top w:val="nil"/>
              <w:left w:val="single" w:sz="4" w:space="0" w:color="auto"/>
              <w:bottom w:val="single" w:sz="4" w:space="0" w:color="auto"/>
              <w:right w:val="single" w:sz="4" w:space="0" w:color="auto"/>
            </w:tcBorders>
            <w:shd w:val="clear" w:color="000000" w:fill="FFFFFF"/>
            <w:noWrap/>
            <w:hideMark/>
          </w:tcPr>
          <w:p w:rsidR="00B21B24" w:rsidRPr="0047440B" w:rsidRDefault="00B21B24" w:rsidP="00B21B24">
            <w:pPr>
              <w:autoSpaceDE/>
              <w:autoSpaceDN/>
              <w:adjustRightInd/>
              <w:spacing w:line="233" w:lineRule="auto"/>
              <w:jc w:val="center"/>
              <w:rPr>
                <w:color w:val="000000"/>
                <w:sz w:val="20"/>
                <w:szCs w:val="20"/>
              </w:rPr>
            </w:pPr>
            <w:r w:rsidRPr="0047440B">
              <w:rPr>
                <w:color w:val="000000"/>
                <w:sz w:val="20"/>
                <w:szCs w:val="20"/>
              </w:rPr>
              <w:t>42.</w:t>
            </w:r>
          </w:p>
        </w:tc>
        <w:tc>
          <w:tcPr>
            <w:tcW w:w="2917" w:type="dxa"/>
            <w:tcBorders>
              <w:top w:val="nil"/>
              <w:left w:val="single" w:sz="4" w:space="0" w:color="auto"/>
              <w:bottom w:val="single" w:sz="4" w:space="0" w:color="auto"/>
              <w:right w:val="single" w:sz="4" w:space="0" w:color="auto"/>
            </w:tcBorders>
            <w:shd w:val="clear" w:color="auto" w:fill="auto"/>
          </w:tcPr>
          <w:p w:rsidR="00B21B24" w:rsidRPr="0047440B" w:rsidRDefault="00B21B24" w:rsidP="00B21B24">
            <w:pPr>
              <w:rPr>
                <w:color w:val="000000"/>
                <w:sz w:val="20"/>
                <w:szCs w:val="20"/>
              </w:rPr>
            </w:pPr>
            <w:r w:rsidRPr="0047440B">
              <w:rPr>
                <w:color w:val="000000"/>
                <w:sz w:val="20"/>
                <w:szCs w:val="20"/>
              </w:rPr>
              <w:t>ГАУЗ «Уруссинская ЦРБ Ютазинского муниципального района»</w:t>
            </w:r>
          </w:p>
        </w:tc>
        <w:tc>
          <w:tcPr>
            <w:tcW w:w="1233" w:type="dxa"/>
            <w:tcBorders>
              <w:top w:val="nil"/>
              <w:left w:val="single" w:sz="4" w:space="0" w:color="auto"/>
              <w:bottom w:val="single" w:sz="4" w:space="0" w:color="auto"/>
              <w:right w:val="single" w:sz="4" w:space="0" w:color="auto"/>
            </w:tcBorders>
            <w:shd w:val="clear" w:color="000000" w:fill="FFFFFF"/>
            <w:noWrap/>
            <w:vAlign w:val="center"/>
          </w:tcPr>
          <w:p w:rsidR="00B21B24" w:rsidRPr="0047440B" w:rsidRDefault="00B21B24" w:rsidP="00B21B24">
            <w:pPr>
              <w:jc w:val="center"/>
              <w:rPr>
                <w:color w:val="000000"/>
                <w:sz w:val="20"/>
                <w:szCs w:val="20"/>
              </w:rPr>
            </w:pPr>
            <w:r w:rsidRPr="0047440B">
              <w:rPr>
                <w:color w:val="000000"/>
                <w:sz w:val="20"/>
                <w:szCs w:val="20"/>
              </w:rPr>
              <w:t>1</w:t>
            </w:r>
          </w:p>
        </w:tc>
        <w:tc>
          <w:tcPr>
            <w:tcW w:w="816" w:type="dxa"/>
            <w:tcBorders>
              <w:top w:val="nil"/>
              <w:left w:val="single" w:sz="4" w:space="0" w:color="auto"/>
              <w:bottom w:val="single" w:sz="4" w:space="0" w:color="auto"/>
              <w:right w:val="single" w:sz="4" w:space="0" w:color="auto"/>
            </w:tcBorders>
            <w:shd w:val="clear" w:color="auto" w:fill="auto"/>
            <w:noWrap/>
          </w:tcPr>
          <w:p w:rsidR="00B21B24" w:rsidRPr="0047440B" w:rsidRDefault="00B21B24" w:rsidP="00B21B24">
            <w:pPr>
              <w:jc w:val="center"/>
              <w:rPr>
                <w:color w:val="000000"/>
                <w:sz w:val="20"/>
                <w:szCs w:val="20"/>
              </w:rPr>
            </w:pPr>
            <w:r w:rsidRPr="0047440B">
              <w:rPr>
                <w:color w:val="000000"/>
                <w:sz w:val="20"/>
                <w:szCs w:val="20"/>
              </w:rPr>
              <w:t>1,00</w:t>
            </w:r>
          </w:p>
        </w:tc>
        <w:tc>
          <w:tcPr>
            <w:tcW w:w="792" w:type="dxa"/>
            <w:tcBorders>
              <w:top w:val="nil"/>
              <w:left w:val="nil"/>
              <w:bottom w:val="single" w:sz="4" w:space="0" w:color="auto"/>
              <w:right w:val="single" w:sz="4" w:space="0" w:color="auto"/>
            </w:tcBorders>
            <w:shd w:val="clear" w:color="auto" w:fill="auto"/>
            <w:noWrap/>
          </w:tcPr>
          <w:p w:rsidR="00B21B24" w:rsidRPr="0047440B" w:rsidRDefault="00B21B24" w:rsidP="00B21B24">
            <w:pPr>
              <w:jc w:val="center"/>
              <w:rPr>
                <w:color w:val="000000"/>
                <w:sz w:val="20"/>
                <w:szCs w:val="20"/>
              </w:rPr>
            </w:pPr>
            <w:r w:rsidRPr="0047440B">
              <w:rPr>
                <w:color w:val="000000"/>
                <w:sz w:val="20"/>
                <w:szCs w:val="20"/>
              </w:rPr>
              <w:t>1,00</w:t>
            </w:r>
          </w:p>
        </w:tc>
        <w:tc>
          <w:tcPr>
            <w:tcW w:w="1239" w:type="dxa"/>
            <w:tcBorders>
              <w:top w:val="nil"/>
              <w:left w:val="single" w:sz="4" w:space="0" w:color="auto"/>
              <w:bottom w:val="single" w:sz="4" w:space="0" w:color="auto"/>
              <w:right w:val="single" w:sz="4" w:space="0" w:color="auto"/>
            </w:tcBorders>
            <w:shd w:val="clear" w:color="auto" w:fill="auto"/>
            <w:noWrap/>
          </w:tcPr>
          <w:p w:rsidR="00B21B24" w:rsidRPr="0047440B" w:rsidRDefault="00B21B24" w:rsidP="00B21B24">
            <w:pPr>
              <w:jc w:val="center"/>
              <w:rPr>
                <w:color w:val="000000"/>
                <w:sz w:val="20"/>
                <w:szCs w:val="20"/>
              </w:rPr>
            </w:pPr>
            <w:r w:rsidRPr="0047440B">
              <w:rPr>
                <w:color w:val="000000"/>
                <w:sz w:val="20"/>
                <w:szCs w:val="20"/>
              </w:rPr>
              <w:t>1</w:t>
            </w:r>
          </w:p>
        </w:tc>
        <w:tc>
          <w:tcPr>
            <w:tcW w:w="952" w:type="dxa"/>
            <w:tcBorders>
              <w:top w:val="nil"/>
              <w:left w:val="nil"/>
              <w:bottom w:val="single" w:sz="4" w:space="0" w:color="auto"/>
              <w:right w:val="single" w:sz="4" w:space="0" w:color="auto"/>
            </w:tcBorders>
            <w:shd w:val="clear" w:color="000000" w:fill="FFFFFF"/>
            <w:noWrap/>
          </w:tcPr>
          <w:p w:rsidR="00B21B24" w:rsidRPr="0047440B" w:rsidRDefault="00B21B24" w:rsidP="00B21B24">
            <w:pPr>
              <w:autoSpaceDE/>
              <w:autoSpaceDN/>
              <w:adjustRightInd/>
              <w:jc w:val="center"/>
              <w:rPr>
                <w:color w:val="000000"/>
                <w:sz w:val="20"/>
                <w:szCs w:val="20"/>
              </w:rPr>
            </w:pPr>
            <w:r w:rsidRPr="0047440B">
              <w:rPr>
                <w:color w:val="000000"/>
                <w:sz w:val="20"/>
                <w:szCs w:val="20"/>
              </w:rPr>
              <w:t>8 056</w:t>
            </w:r>
          </w:p>
        </w:tc>
        <w:tc>
          <w:tcPr>
            <w:tcW w:w="1121" w:type="dxa"/>
            <w:tcBorders>
              <w:top w:val="nil"/>
              <w:left w:val="nil"/>
              <w:bottom w:val="single" w:sz="4" w:space="0" w:color="auto"/>
              <w:right w:val="single" w:sz="4" w:space="0" w:color="auto"/>
            </w:tcBorders>
            <w:shd w:val="clear" w:color="000000" w:fill="FFFFFF"/>
            <w:noWrap/>
          </w:tcPr>
          <w:p w:rsidR="00B21B24" w:rsidRPr="0047440B" w:rsidRDefault="00B21B24" w:rsidP="00B21B24">
            <w:pPr>
              <w:autoSpaceDE/>
              <w:autoSpaceDN/>
              <w:adjustRightInd/>
              <w:jc w:val="center"/>
              <w:rPr>
                <w:color w:val="000000"/>
                <w:sz w:val="20"/>
                <w:szCs w:val="20"/>
              </w:rPr>
            </w:pPr>
            <w:r w:rsidRPr="0047440B">
              <w:rPr>
                <w:color w:val="000000"/>
                <w:sz w:val="20"/>
                <w:szCs w:val="20"/>
              </w:rPr>
              <w:t>8 056</w:t>
            </w:r>
          </w:p>
        </w:tc>
        <w:tc>
          <w:tcPr>
            <w:tcW w:w="1217" w:type="dxa"/>
            <w:tcBorders>
              <w:top w:val="nil"/>
              <w:left w:val="nil"/>
              <w:bottom w:val="single" w:sz="4" w:space="0" w:color="auto"/>
              <w:right w:val="single" w:sz="4" w:space="0" w:color="auto"/>
            </w:tcBorders>
            <w:shd w:val="clear" w:color="000000" w:fill="FFFFFF"/>
          </w:tcPr>
          <w:p w:rsidR="00B21B24" w:rsidRPr="0047440B" w:rsidRDefault="00B21B24" w:rsidP="00B21B24">
            <w:pPr>
              <w:autoSpaceDE/>
              <w:autoSpaceDN/>
              <w:adjustRightInd/>
              <w:jc w:val="center"/>
              <w:rPr>
                <w:color w:val="000000"/>
                <w:sz w:val="20"/>
                <w:szCs w:val="20"/>
              </w:rPr>
            </w:pPr>
            <w:r w:rsidRPr="0047440B">
              <w:rPr>
                <w:color w:val="000000"/>
                <w:sz w:val="20"/>
                <w:szCs w:val="20"/>
              </w:rPr>
              <w:t>2</w:t>
            </w:r>
          </w:p>
        </w:tc>
      </w:tr>
      <w:tr w:rsidR="00B21B24" w:rsidRPr="0047440B" w:rsidTr="00E474AD">
        <w:trPr>
          <w:trHeight w:val="20"/>
          <w:jc w:val="center"/>
        </w:trPr>
        <w:tc>
          <w:tcPr>
            <w:tcW w:w="486" w:type="dxa"/>
            <w:tcBorders>
              <w:top w:val="nil"/>
              <w:left w:val="single" w:sz="4" w:space="0" w:color="auto"/>
              <w:bottom w:val="single" w:sz="4" w:space="0" w:color="auto"/>
              <w:right w:val="single" w:sz="4" w:space="0" w:color="auto"/>
            </w:tcBorders>
            <w:shd w:val="clear" w:color="000000" w:fill="FFFFFF"/>
            <w:noWrap/>
            <w:hideMark/>
          </w:tcPr>
          <w:p w:rsidR="00B21B24" w:rsidRPr="0047440B" w:rsidRDefault="00B21B24" w:rsidP="00B21B24">
            <w:pPr>
              <w:autoSpaceDE/>
              <w:autoSpaceDN/>
              <w:adjustRightInd/>
              <w:spacing w:line="233" w:lineRule="auto"/>
              <w:jc w:val="center"/>
              <w:rPr>
                <w:color w:val="000000"/>
                <w:sz w:val="20"/>
                <w:szCs w:val="20"/>
              </w:rPr>
            </w:pPr>
            <w:r w:rsidRPr="0047440B">
              <w:rPr>
                <w:color w:val="000000"/>
                <w:sz w:val="20"/>
                <w:szCs w:val="20"/>
              </w:rPr>
              <w:t>43.</w:t>
            </w:r>
          </w:p>
        </w:tc>
        <w:tc>
          <w:tcPr>
            <w:tcW w:w="2917" w:type="dxa"/>
            <w:tcBorders>
              <w:top w:val="nil"/>
              <w:left w:val="single" w:sz="4" w:space="0" w:color="auto"/>
              <w:bottom w:val="single" w:sz="4" w:space="0" w:color="auto"/>
              <w:right w:val="single" w:sz="4" w:space="0" w:color="auto"/>
            </w:tcBorders>
            <w:shd w:val="clear" w:color="auto" w:fill="auto"/>
          </w:tcPr>
          <w:p w:rsidR="00B21B24" w:rsidRPr="0047440B" w:rsidRDefault="00B21B24" w:rsidP="00B21B24">
            <w:pPr>
              <w:rPr>
                <w:color w:val="000000"/>
                <w:sz w:val="20"/>
                <w:szCs w:val="20"/>
              </w:rPr>
            </w:pPr>
            <w:r w:rsidRPr="0047440B">
              <w:rPr>
                <w:color w:val="000000"/>
                <w:sz w:val="20"/>
                <w:szCs w:val="20"/>
              </w:rPr>
              <w:t xml:space="preserve">ГАУЗ «Городская больница № 5» г.Набережные Челны (поликлиника № 5) </w:t>
            </w:r>
          </w:p>
        </w:tc>
        <w:tc>
          <w:tcPr>
            <w:tcW w:w="1233" w:type="dxa"/>
            <w:tcBorders>
              <w:top w:val="nil"/>
              <w:left w:val="single" w:sz="4" w:space="0" w:color="auto"/>
              <w:bottom w:val="single" w:sz="4" w:space="0" w:color="auto"/>
              <w:right w:val="single" w:sz="4" w:space="0" w:color="auto"/>
            </w:tcBorders>
            <w:shd w:val="clear" w:color="auto" w:fill="auto"/>
            <w:noWrap/>
          </w:tcPr>
          <w:p w:rsidR="00B21B24" w:rsidRPr="0047440B" w:rsidRDefault="00B21B24" w:rsidP="00B21B24">
            <w:pPr>
              <w:jc w:val="center"/>
              <w:rPr>
                <w:color w:val="000000"/>
                <w:sz w:val="20"/>
                <w:szCs w:val="20"/>
              </w:rPr>
            </w:pPr>
            <w:r w:rsidRPr="0047440B">
              <w:rPr>
                <w:color w:val="000000"/>
                <w:sz w:val="20"/>
                <w:szCs w:val="20"/>
              </w:rPr>
              <w:t>2</w:t>
            </w:r>
          </w:p>
        </w:tc>
        <w:tc>
          <w:tcPr>
            <w:tcW w:w="816" w:type="dxa"/>
            <w:tcBorders>
              <w:top w:val="nil"/>
              <w:left w:val="single" w:sz="4" w:space="0" w:color="auto"/>
              <w:bottom w:val="single" w:sz="4" w:space="0" w:color="auto"/>
              <w:right w:val="single" w:sz="4" w:space="0" w:color="auto"/>
            </w:tcBorders>
            <w:shd w:val="clear" w:color="auto" w:fill="auto"/>
            <w:noWrap/>
          </w:tcPr>
          <w:p w:rsidR="00B21B24" w:rsidRPr="0047440B" w:rsidRDefault="00B21B24" w:rsidP="00B21B24">
            <w:pPr>
              <w:jc w:val="center"/>
              <w:rPr>
                <w:color w:val="000000"/>
                <w:sz w:val="20"/>
                <w:szCs w:val="20"/>
              </w:rPr>
            </w:pPr>
            <w:r w:rsidRPr="0047440B">
              <w:rPr>
                <w:color w:val="000000"/>
                <w:sz w:val="20"/>
                <w:szCs w:val="20"/>
              </w:rPr>
              <w:t>2,00</w:t>
            </w:r>
          </w:p>
        </w:tc>
        <w:tc>
          <w:tcPr>
            <w:tcW w:w="792" w:type="dxa"/>
            <w:tcBorders>
              <w:top w:val="nil"/>
              <w:left w:val="nil"/>
              <w:bottom w:val="single" w:sz="4" w:space="0" w:color="auto"/>
              <w:right w:val="single" w:sz="4" w:space="0" w:color="auto"/>
            </w:tcBorders>
            <w:shd w:val="clear" w:color="auto" w:fill="auto"/>
            <w:noWrap/>
          </w:tcPr>
          <w:p w:rsidR="00B21B24" w:rsidRPr="0047440B" w:rsidRDefault="00B21B24" w:rsidP="00B21B24">
            <w:pPr>
              <w:jc w:val="center"/>
              <w:rPr>
                <w:color w:val="000000"/>
                <w:sz w:val="20"/>
                <w:szCs w:val="20"/>
              </w:rPr>
            </w:pPr>
            <w:r w:rsidRPr="0047440B">
              <w:rPr>
                <w:color w:val="000000"/>
                <w:sz w:val="20"/>
                <w:szCs w:val="20"/>
              </w:rPr>
              <w:t>2,00</w:t>
            </w:r>
          </w:p>
        </w:tc>
        <w:tc>
          <w:tcPr>
            <w:tcW w:w="1239" w:type="dxa"/>
            <w:tcBorders>
              <w:top w:val="nil"/>
              <w:left w:val="single" w:sz="4" w:space="0" w:color="auto"/>
              <w:bottom w:val="single" w:sz="4" w:space="0" w:color="auto"/>
              <w:right w:val="single" w:sz="4" w:space="0" w:color="auto"/>
            </w:tcBorders>
            <w:shd w:val="clear" w:color="auto" w:fill="auto"/>
            <w:noWrap/>
          </w:tcPr>
          <w:p w:rsidR="00B21B24" w:rsidRPr="0047440B" w:rsidRDefault="00B21B24" w:rsidP="00B21B24">
            <w:pPr>
              <w:jc w:val="center"/>
              <w:rPr>
                <w:color w:val="000000"/>
                <w:sz w:val="20"/>
                <w:szCs w:val="20"/>
              </w:rPr>
            </w:pPr>
            <w:r w:rsidRPr="0047440B">
              <w:rPr>
                <w:color w:val="000000"/>
                <w:sz w:val="20"/>
                <w:szCs w:val="20"/>
              </w:rPr>
              <w:t>2</w:t>
            </w:r>
          </w:p>
        </w:tc>
        <w:tc>
          <w:tcPr>
            <w:tcW w:w="952" w:type="dxa"/>
            <w:tcBorders>
              <w:top w:val="nil"/>
              <w:left w:val="nil"/>
              <w:bottom w:val="single" w:sz="4" w:space="0" w:color="auto"/>
              <w:right w:val="single" w:sz="4" w:space="0" w:color="auto"/>
            </w:tcBorders>
            <w:shd w:val="clear" w:color="000000" w:fill="FFFFFF"/>
            <w:noWrap/>
          </w:tcPr>
          <w:p w:rsidR="00B21B24" w:rsidRPr="0047440B" w:rsidRDefault="00B21B24" w:rsidP="00B21B24">
            <w:pPr>
              <w:autoSpaceDE/>
              <w:autoSpaceDN/>
              <w:adjustRightInd/>
              <w:spacing w:line="233" w:lineRule="auto"/>
              <w:jc w:val="center"/>
              <w:rPr>
                <w:color w:val="000000"/>
                <w:sz w:val="20"/>
                <w:szCs w:val="20"/>
              </w:rPr>
            </w:pPr>
            <w:r w:rsidRPr="0047440B">
              <w:rPr>
                <w:color w:val="000000"/>
                <w:sz w:val="20"/>
                <w:szCs w:val="20"/>
              </w:rPr>
              <w:t>53 615</w:t>
            </w:r>
          </w:p>
        </w:tc>
        <w:tc>
          <w:tcPr>
            <w:tcW w:w="1121" w:type="dxa"/>
            <w:tcBorders>
              <w:top w:val="nil"/>
              <w:left w:val="nil"/>
              <w:bottom w:val="single" w:sz="4" w:space="0" w:color="auto"/>
              <w:right w:val="single" w:sz="4" w:space="0" w:color="auto"/>
            </w:tcBorders>
            <w:shd w:val="clear" w:color="000000" w:fill="FFFFFF"/>
            <w:noWrap/>
          </w:tcPr>
          <w:p w:rsidR="00B21B24" w:rsidRPr="0047440B" w:rsidRDefault="00B21B24" w:rsidP="00B21B24">
            <w:pPr>
              <w:autoSpaceDE/>
              <w:autoSpaceDN/>
              <w:adjustRightInd/>
              <w:spacing w:line="233" w:lineRule="auto"/>
              <w:jc w:val="center"/>
              <w:rPr>
                <w:color w:val="000000"/>
                <w:sz w:val="20"/>
                <w:szCs w:val="20"/>
              </w:rPr>
            </w:pPr>
            <w:r w:rsidRPr="0047440B">
              <w:rPr>
                <w:color w:val="000000"/>
                <w:sz w:val="20"/>
                <w:szCs w:val="20"/>
              </w:rPr>
              <w:t>26 808</w:t>
            </w:r>
          </w:p>
        </w:tc>
        <w:tc>
          <w:tcPr>
            <w:tcW w:w="1217" w:type="dxa"/>
            <w:tcBorders>
              <w:top w:val="nil"/>
              <w:left w:val="nil"/>
              <w:bottom w:val="single" w:sz="4" w:space="0" w:color="auto"/>
              <w:right w:val="single" w:sz="4" w:space="0" w:color="auto"/>
            </w:tcBorders>
            <w:shd w:val="clear" w:color="000000" w:fill="FFFFFF"/>
          </w:tcPr>
          <w:p w:rsidR="00B21B24" w:rsidRPr="0047440B" w:rsidRDefault="00B21B24" w:rsidP="00B21B24">
            <w:pPr>
              <w:autoSpaceDE/>
              <w:autoSpaceDN/>
              <w:adjustRightInd/>
              <w:spacing w:line="233" w:lineRule="auto"/>
              <w:jc w:val="center"/>
              <w:rPr>
                <w:color w:val="000000"/>
                <w:sz w:val="20"/>
                <w:szCs w:val="20"/>
              </w:rPr>
            </w:pPr>
            <w:r w:rsidRPr="0047440B">
              <w:rPr>
                <w:color w:val="000000"/>
                <w:sz w:val="20"/>
                <w:szCs w:val="20"/>
              </w:rPr>
              <w:t>1</w:t>
            </w:r>
          </w:p>
        </w:tc>
      </w:tr>
      <w:tr w:rsidR="00B21B24" w:rsidRPr="0047440B" w:rsidTr="00E474AD">
        <w:trPr>
          <w:trHeight w:val="20"/>
          <w:jc w:val="center"/>
        </w:trPr>
        <w:tc>
          <w:tcPr>
            <w:tcW w:w="486" w:type="dxa"/>
            <w:tcBorders>
              <w:top w:val="nil"/>
              <w:left w:val="single" w:sz="4" w:space="0" w:color="auto"/>
              <w:bottom w:val="single" w:sz="4" w:space="0" w:color="auto"/>
              <w:right w:val="single" w:sz="4" w:space="0" w:color="auto"/>
            </w:tcBorders>
            <w:shd w:val="clear" w:color="000000" w:fill="FFFFFF"/>
            <w:noWrap/>
            <w:hideMark/>
          </w:tcPr>
          <w:p w:rsidR="00B21B24" w:rsidRPr="0047440B" w:rsidRDefault="00B21B24" w:rsidP="00B21B24">
            <w:pPr>
              <w:autoSpaceDE/>
              <w:autoSpaceDN/>
              <w:adjustRightInd/>
              <w:spacing w:line="233" w:lineRule="auto"/>
              <w:jc w:val="center"/>
              <w:rPr>
                <w:color w:val="000000"/>
                <w:sz w:val="20"/>
                <w:szCs w:val="20"/>
              </w:rPr>
            </w:pPr>
            <w:r w:rsidRPr="0047440B">
              <w:rPr>
                <w:color w:val="000000"/>
                <w:sz w:val="20"/>
                <w:szCs w:val="20"/>
              </w:rPr>
              <w:t>44.</w:t>
            </w:r>
          </w:p>
        </w:tc>
        <w:tc>
          <w:tcPr>
            <w:tcW w:w="2917" w:type="dxa"/>
            <w:tcBorders>
              <w:top w:val="nil"/>
              <w:left w:val="single" w:sz="4" w:space="0" w:color="auto"/>
              <w:bottom w:val="single" w:sz="4" w:space="0" w:color="auto"/>
              <w:right w:val="single" w:sz="4" w:space="0" w:color="auto"/>
            </w:tcBorders>
            <w:shd w:val="clear" w:color="auto" w:fill="auto"/>
          </w:tcPr>
          <w:p w:rsidR="00B21B24" w:rsidRPr="0047440B" w:rsidRDefault="00B21B24" w:rsidP="00B21B24">
            <w:pPr>
              <w:rPr>
                <w:color w:val="000000"/>
                <w:sz w:val="20"/>
                <w:szCs w:val="20"/>
              </w:rPr>
            </w:pPr>
            <w:r w:rsidRPr="0047440B">
              <w:rPr>
                <w:color w:val="000000"/>
                <w:sz w:val="20"/>
                <w:szCs w:val="20"/>
              </w:rPr>
              <w:t>ГАУЗ «Городская больница № 2» г.Набережные Челны</w:t>
            </w:r>
          </w:p>
        </w:tc>
        <w:tc>
          <w:tcPr>
            <w:tcW w:w="1233" w:type="dxa"/>
            <w:tcBorders>
              <w:top w:val="nil"/>
              <w:left w:val="single" w:sz="4" w:space="0" w:color="auto"/>
              <w:bottom w:val="single" w:sz="4" w:space="0" w:color="auto"/>
              <w:right w:val="single" w:sz="4" w:space="0" w:color="auto"/>
            </w:tcBorders>
            <w:shd w:val="clear" w:color="auto" w:fill="auto"/>
            <w:noWrap/>
          </w:tcPr>
          <w:p w:rsidR="00B21B24" w:rsidRPr="0047440B" w:rsidRDefault="00B21B24" w:rsidP="00B21B24">
            <w:pPr>
              <w:jc w:val="center"/>
              <w:rPr>
                <w:color w:val="000000"/>
                <w:sz w:val="20"/>
                <w:szCs w:val="20"/>
              </w:rPr>
            </w:pPr>
            <w:r w:rsidRPr="0047440B">
              <w:rPr>
                <w:color w:val="000000"/>
                <w:sz w:val="20"/>
                <w:szCs w:val="20"/>
              </w:rPr>
              <w:t>1</w:t>
            </w:r>
          </w:p>
        </w:tc>
        <w:tc>
          <w:tcPr>
            <w:tcW w:w="816" w:type="dxa"/>
            <w:tcBorders>
              <w:top w:val="nil"/>
              <w:left w:val="single" w:sz="4" w:space="0" w:color="auto"/>
              <w:bottom w:val="single" w:sz="4" w:space="0" w:color="auto"/>
              <w:right w:val="single" w:sz="4" w:space="0" w:color="auto"/>
            </w:tcBorders>
            <w:shd w:val="clear" w:color="auto" w:fill="auto"/>
            <w:noWrap/>
          </w:tcPr>
          <w:p w:rsidR="00B21B24" w:rsidRPr="0047440B" w:rsidRDefault="00B21B24" w:rsidP="00B21B24">
            <w:pPr>
              <w:jc w:val="center"/>
              <w:rPr>
                <w:color w:val="000000"/>
                <w:sz w:val="20"/>
                <w:szCs w:val="20"/>
              </w:rPr>
            </w:pPr>
            <w:r w:rsidRPr="0047440B">
              <w:rPr>
                <w:color w:val="000000"/>
                <w:sz w:val="20"/>
                <w:szCs w:val="20"/>
              </w:rPr>
              <w:t>1,00</w:t>
            </w:r>
          </w:p>
        </w:tc>
        <w:tc>
          <w:tcPr>
            <w:tcW w:w="792" w:type="dxa"/>
            <w:tcBorders>
              <w:top w:val="nil"/>
              <w:left w:val="nil"/>
              <w:bottom w:val="single" w:sz="4" w:space="0" w:color="auto"/>
              <w:right w:val="single" w:sz="4" w:space="0" w:color="auto"/>
            </w:tcBorders>
            <w:shd w:val="clear" w:color="auto" w:fill="auto"/>
            <w:noWrap/>
          </w:tcPr>
          <w:p w:rsidR="00B21B24" w:rsidRPr="0047440B" w:rsidRDefault="00B21B24" w:rsidP="00B21B24">
            <w:pPr>
              <w:jc w:val="center"/>
              <w:rPr>
                <w:color w:val="000000"/>
                <w:sz w:val="20"/>
                <w:szCs w:val="20"/>
              </w:rPr>
            </w:pPr>
            <w:r w:rsidRPr="0047440B">
              <w:rPr>
                <w:color w:val="000000"/>
                <w:sz w:val="20"/>
                <w:szCs w:val="20"/>
              </w:rPr>
              <w:t>1,00</w:t>
            </w:r>
          </w:p>
        </w:tc>
        <w:tc>
          <w:tcPr>
            <w:tcW w:w="1239" w:type="dxa"/>
            <w:tcBorders>
              <w:top w:val="nil"/>
              <w:left w:val="single" w:sz="4" w:space="0" w:color="auto"/>
              <w:bottom w:val="single" w:sz="4" w:space="0" w:color="auto"/>
              <w:right w:val="single" w:sz="4" w:space="0" w:color="auto"/>
            </w:tcBorders>
            <w:shd w:val="clear" w:color="auto" w:fill="auto"/>
            <w:noWrap/>
          </w:tcPr>
          <w:p w:rsidR="00B21B24" w:rsidRPr="0047440B" w:rsidRDefault="00B21B24" w:rsidP="00B21B24">
            <w:pPr>
              <w:jc w:val="center"/>
              <w:rPr>
                <w:color w:val="000000"/>
                <w:sz w:val="20"/>
                <w:szCs w:val="20"/>
              </w:rPr>
            </w:pPr>
            <w:r w:rsidRPr="0047440B">
              <w:rPr>
                <w:color w:val="000000"/>
                <w:sz w:val="20"/>
                <w:szCs w:val="20"/>
              </w:rPr>
              <w:t>1</w:t>
            </w:r>
          </w:p>
        </w:tc>
        <w:tc>
          <w:tcPr>
            <w:tcW w:w="952" w:type="dxa"/>
            <w:tcBorders>
              <w:top w:val="nil"/>
              <w:left w:val="nil"/>
              <w:bottom w:val="single" w:sz="4" w:space="0" w:color="auto"/>
              <w:right w:val="single" w:sz="4" w:space="0" w:color="auto"/>
            </w:tcBorders>
            <w:shd w:val="clear" w:color="000000" w:fill="FFFFFF"/>
            <w:noWrap/>
          </w:tcPr>
          <w:p w:rsidR="00B21B24" w:rsidRPr="0047440B" w:rsidRDefault="00B21B24" w:rsidP="00B21B24">
            <w:pPr>
              <w:autoSpaceDE/>
              <w:autoSpaceDN/>
              <w:adjustRightInd/>
              <w:spacing w:line="233" w:lineRule="auto"/>
              <w:jc w:val="center"/>
              <w:rPr>
                <w:color w:val="000000"/>
                <w:sz w:val="20"/>
                <w:szCs w:val="20"/>
              </w:rPr>
            </w:pPr>
            <w:r w:rsidRPr="0047440B">
              <w:rPr>
                <w:color w:val="000000"/>
                <w:sz w:val="20"/>
                <w:szCs w:val="20"/>
              </w:rPr>
              <w:t>26 215</w:t>
            </w:r>
          </w:p>
        </w:tc>
        <w:tc>
          <w:tcPr>
            <w:tcW w:w="1121" w:type="dxa"/>
            <w:tcBorders>
              <w:top w:val="nil"/>
              <w:left w:val="nil"/>
              <w:bottom w:val="single" w:sz="4" w:space="0" w:color="auto"/>
              <w:right w:val="single" w:sz="4" w:space="0" w:color="auto"/>
            </w:tcBorders>
            <w:shd w:val="clear" w:color="000000" w:fill="FFFFFF"/>
            <w:noWrap/>
          </w:tcPr>
          <w:p w:rsidR="00B21B24" w:rsidRPr="0047440B" w:rsidRDefault="00B21B24" w:rsidP="00B21B24">
            <w:pPr>
              <w:autoSpaceDE/>
              <w:autoSpaceDN/>
              <w:adjustRightInd/>
              <w:spacing w:line="233" w:lineRule="auto"/>
              <w:jc w:val="center"/>
              <w:rPr>
                <w:color w:val="000000"/>
                <w:sz w:val="20"/>
                <w:szCs w:val="20"/>
              </w:rPr>
            </w:pPr>
            <w:r w:rsidRPr="0047440B">
              <w:rPr>
                <w:color w:val="000000"/>
                <w:sz w:val="20"/>
                <w:szCs w:val="20"/>
              </w:rPr>
              <w:t>26 215</w:t>
            </w:r>
          </w:p>
        </w:tc>
        <w:tc>
          <w:tcPr>
            <w:tcW w:w="1217" w:type="dxa"/>
            <w:tcBorders>
              <w:top w:val="nil"/>
              <w:left w:val="nil"/>
              <w:bottom w:val="single" w:sz="4" w:space="0" w:color="auto"/>
              <w:right w:val="single" w:sz="4" w:space="0" w:color="auto"/>
            </w:tcBorders>
            <w:shd w:val="clear" w:color="000000" w:fill="FFFFFF"/>
          </w:tcPr>
          <w:p w:rsidR="00B21B24" w:rsidRPr="0047440B" w:rsidRDefault="00B21B24" w:rsidP="00B21B24">
            <w:pPr>
              <w:autoSpaceDE/>
              <w:autoSpaceDN/>
              <w:adjustRightInd/>
              <w:spacing w:line="233" w:lineRule="auto"/>
              <w:jc w:val="center"/>
              <w:rPr>
                <w:color w:val="000000"/>
                <w:sz w:val="20"/>
                <w:szCs w:val="20"/>
              </w:rPr>
            </w:pPr>
            <w:r w:rsidRPr="0047440B">
              <w:rPr>
                <w:color w:val="000000"/>
                <w:sz w:val="20"/>
                <w:szCs w:val="20"/>
              </w:rPr>
              <w:t>2</w:t>
            </w:r>
          </w:p>
        </w:tc>
      </w:tr>
      <w:tr w:rsidR="00B21B24" w:rsidRPr="0047440B" w:rsidTr="00E474AD">
        <w:trPr>
          <w:trHeight w:val="20"/>
          <w:jc w:val="center"/>
        </w:trPr>
        <w:tc>
          <w:tcPr>
            <w:tcW w:w="486" w:type="dxa"/>
            <w:tcBorders>
              <w:top w:val="nil"/>
              <w:left w:val="single" w:sz="4" w:space="0" w:color="auto"/>
              <w:bottom w:val="single" w:sz="4" w:space="0" w:color="auto"/>
              <w:right w:val="single" w:sz="4" w:space="0" w:color="auto"/>
            </w:tcBorders>
            <w:shd w:val="clear" w:color="000000" w:fill="FFFFFF"/>
            <w:noWrap/>
            <w:hideMark/>
          </w:tcPr>
          <w:p w:rsidR="00B21B24" w:rsidRPr="0047440B" w:rsidRDefault="00B21B24" w:rsidP="00B21B24">
            <w:pPr>
              <w:autoSpaceDE/>
              <w:autoSpaceDN/>
              <w:adjustRightInd/>
              <w:spacing w:line="233" w:lineRule="auto"/>
              <w:jc w:val="center"/>
              <w:rPr>
                <w:color w:val="000000"/>
                <w:sz w:val="20"/>
                <w:szCs w:val="20"/>
              </w:rPr>
            </w:pPr>
            <w:r w:rsidRPr="0047440B">
              <w:rPr>
                <w:color w:val="000000"/>
                <w:sz w:val="20"/>
                <w:szCs w:val="20"/>
              </w:rPr>
              <w:t>45.</w:t>
            </w:r>
          </w:p>
        </w:tc>
        <w:tc>
          <w:tcPr>
            <w:tcW w:w="2917" w:type="dxa"/>
            <w:tcBorders>
              <w:top w:val="nil"/>
              <w:left w:val="single" w:sz="4" w:space="0" w:color="auto"/>
              <w:bottom w:val="single" w:sz="4" w:space="0" w:color="auto"/>
              <w:right w:val="single" w:sz="4" w:space="0" w:color="auto"/>
            </w:tcBorders>
            <w:shd w:val="clear" w:color="auto" w:fill="auto"/>
          </w:tcPr>
          <w:p w:rsidR="00B21B24" w:rsidRPr="0047440B" w:rsidRDefault="00B21B24" w:rsidP="00B21B24">
            <w:pPr>
              <w:rPr>
                <w:color w:val="000000"/>
                <w:sz w:val="20"/>
                <w:szCs w:val="20"/>
              </w:rPr>
            </w:pPr>
            <w:r w:rsidRPr="0047440B">
              <w:rPr>
                <w:color w:val="000000"/>
                <w:sz w:val="20"/>
                <w:szCs w:val="20"/>
              </w:rPr>
              <w:t>ГАУЗ «Городская поликлиника № 4 им.Л.Н.Ганиевой» г.Набережные Челны</w:t>
            </w:r>
          </w:p>
        </w:tc>
        <w:tc>
          <w:tcPr>
            <w:tcW w:w="1233" w:type="dxa"/>
            <w:tcBorders>
              <w:top w:val="nil"/>
              <w:left w:val="single" w:sz="4" w:space="0" w:color="auto"/>
              <w:bottom w:val="single" w:sz="4" w:space="0" w:color="auto"/>
              <w:right w:val="single" w:sz="4" w:space="0" w:color="auto"/>
            </w:tcBorders>
            <w:shd w:val="clear" w:color="auto" w:fill="auto"/>
            <w:noWrap/>
          </w:tcPr>
          <w:p w:rsidR="00B21B24" w:rsidRPr="0047440B" w:rsidRDefault="00B21B24" w:rsidP="00B21B24">
            <w:pPr>
              <w:jc w:val="center"/>
              <w:rPr>
                <w:color w:val="000000"/>
                <w:sz w:val="20"/>
                <w:szCs w:val="20"/>
              </w:rPr>
            </w:pPr>
            <w:r w:rsidRPr="0047440B">
              <w:rPr>
                <w:color w:val="000000"/>
                <w:sz w:val="20"/>
                <w:szCs w:val="20"/>
              </w:rPr>
              <w:t>1</w:t>
            </w:r>
          </w:p>
        </w:tc>
        <w:tc>
          <w:tcPr>
            <w:tcW w:w="816" w:type="dxa"/>
            <w:tcBorders>
              <w:top w:val="nil"/>
              <w:left w:val="single" w:sz="4" w:space="0" w:color="auto"/>
              <w:bottom w:val="single" w:sz="4" w:space="0" w:color="auto"/>
              <w:right w:val="single" w:sz="4" w:space="0" w:color="auto"/>
            </w:tcBorders>
            <w:shd w:val="clear" w:color="auto" w:fill="auto"/>
            <w:noWrap/>
          </w:tcPr>
          <w:p w:rsidR="00B21B24" w:rsidRPr="0047440B" w:rsidRDefault="00B21B24" w:rsidP="00B21B24">
            <w:pPr>
              <w:jc w:val="center"/>
              <w:rPr>
                <w:color w:val="000000"/>
                <w:sz w:val="20"/>
                <w:szCs w:val="20"/>
              </w:rPr>
            </w:pPr>
            <w:r w:rsidRPr="0047440B">
              <w:rPr>
                <w:color w:val="000000"/>
                <w:sz w:val="20"/>
                <w:szCs w:val="20"/>
              </w:rPr>
              <w:t>2,00</w:t>
            </w:r>
          </w:p>
        </w:tc>
        <w:tc>
          <w:tcPr>
            <w:tcW w:w="792" w:type="dxa"/>
            <w:tcBorders>
              <w:top w:val="nil"/>
              <w:left w:val="nil"/>
              <w:bottom w:val="single" w:sz="4" w:space="0" w:color="auto"/>
              <w:right w:val="single" w:sz="4" w:space="0" w:color="auto"/>
            </w:tcBorders>
            <w:shd w:val="clear" w:color="auto" w:fill="auto"/>
            <w:noWrap/>
          </w:tcPr>
          <w:p w:rsidR="00B21B24" w:rsidRPr="0047440B" w:rsidRDefault="00B21B24" w:rsidP="00B21B24">
            <w:pPr>
              <w:jc w:val="center"/>
              <w:rPr>
                <w:color w:val="000000"/>
                <w:sz w:val="20"/>
                <w:szCs w:val="20"/>
              </w:rPr>
            </w:pPr>
            <w:r w:rsidRPr="0047440B">
              <w:rPr>
                <w:color w:val="000000"/>
                <w:sz w:val="20"/>
                <w:szCs w:val="20"/>
              </w:rPr>
              <w:t>2,00</w:t>
            </w:r>
          </w:p>
        </w:tc>
        <w:tc>
          <w:tcPr>
            <w:tcW w:w="1239" w:type="dxa"/>
            <w:tcBorders>
              <w:top w:val="nil"/>
              <w:left w:val="single" w:sz="4" w:space="0" w:color="auto"/>
              <w:bottom w:val="single" w:sz="4" w:space="0" w:color="auto"/>
              <w:right w:val="single" w:sz="4" w:space="0" w:color="auto"/>
            </w:tcBorders>
            <w:shd w:val="clear" w:color="auto" w:fill="auto"/>
            <w:noWrap/>
          </w:tcPr>
          <w:p w:rsidR="00B21B24" w:rsidRPr="0047440B" w:rsidRDefault="00B21B24" w:rsidP="00B21B24">
            <w:pPr>
              <w:jc w:val="center"/>
              <w:rPr>
                <w:color w:val="000000"/>
                <w:sz w:val="20"/>
                <w:szCs w:val="20"/>
              </w:rPr>
            </w:pPr>
            <w:r w:rsidRPr="0047440B">
              <w:rPr>
                <w:color w:val="000000"/>
                <w:sz w:val="20"/>
                <w:szCs w:val="20"/>
              </w:rPr>
              <w:t>2</w:t>
            </w:r>
          </w:p>
        </w:tc>
        <w:tc>
          <w:tcPr>
            <w:tcW w:w="952" w:type="dxa"/>
            <w:tcBorders>
              <w:top w:val="nil"/>
              <w:left w:val="nil"/>
              <w:bottom w:val="single" w:sz="4" w:space="0" w:color="auto"/>
              <w:right w:val="single" w:sz="4" w:space="0" w:color="auto"/>
            </w:tcBorders>
            <w:shd w:val="clear" w:color="000000" w:fill="FFFFFF"/>
            <w:noWrap/>
          </w:tcPr>
          <w:p w:rsidR="00B21B24" w:rsidRPr="0047440B" w:rsidRDefault="00B21B24" w:rsidP="00B21B24">
            <w:pPr>
              <w:autoSpaceDE/>
              <w:autoSpaceDN/>
              <w:adjustRightInd/>
              <w:spacing w:line="233" w:lineRule="auto"/>
              <w:jc w:val="center"/>
              <w:rPr>
                <w:color w:val="000000"/>
                <w:sz w:val="20"/>
                <w:szCs w:val="20"/>
              </w:rPr>
            </w:pPr>
            <w:r w:rsidRPr="0047440B">
              <w:rPr>
                <w:color w:val="000000"/>
                <w:sz w:val="20"/>
                <w:szCs w:val="20"/>
              </w:rPr>
              <w:t>31 998</w:t>
            </w:r>
          </w:p>
        </w:tc>
        <w:tc>
          <w:tcPr>
            <w:tcW w:w="1121" w:type="dxa"/>
            <w:tcBorders>
              <w:top w:val="nil"/>
              <w:left w:val="nil"/>
              <w:bottom w:val="single" w:sz="4" w:space="0" w:color="auto"/>
              <w:right w:val="single" w:sz="4" w:space="0" w:color="auto"/>
            </w:tcBorders>
            <w:shd w:val="clear" w:color="000000" w:fill="FFFFFF"/>
            <w:noWrap/>
          </w:tcPr>
          <w:p w:rsidR="00B21B24" w:rsidRPr="0047440B" w:rsidRDefault="00B21B24" w:rsidP="00B21B24">
            <w:pPr>
              <w:autoSpaceDE/>
              <w:autoSpaceDN/>
              <w:adjustRightInd/>
              <w:spacing w:line="233" w:lineRule="auto"/>
              <w:jc w:val="center"/>
              <w:rPr>
                <w:color w:val="000000"/>
                <w:sz w:val="20"/>
                <w:szCs w:val="20"/>
              </w:rPr>
            </w:pPr>
            <w:r w:rsidRPr="0047440B">
              <w:rPr>
                <w:color w:val="000000"/>
                <w:sz w:val="20"/>
                <w:szCs w:val="20"/>
              </w:rPr>
              <w:t>31 998</w:t>
            </w:r>
          </w:p>
        </w:tc>
        <w:tc>
          <w:tcPr>
            <w:tcW w:w="1217" w:type="dxa"/>
            <w:tcBorders>
              <w:top w:val="nil"/>
              <w:left w:val="nil"/>
              <w:bottom w:val="single" w:sz="4" w:space="0" w:color="auto"/>
              <w:right w:val="single" w:sz="4" w:space="0" w:color="auto"/>
            </w:tcBorders>
            <w:shd w:val="clear" w:color="000000" w:fill="FFFFFF"/>
          </w:tcPr>
          <w:p w:rsidR="00B21B24" w:rsidRPr="0047440B" w:rsidRDefault="00B21B24" w:rsidP="00B21B24">
            <w:pPr>
              <w:autoSpaceDE/>
              <w:autoSpaceDN/>
              <w:adjustRightInd/>
              <w:spacing w:line="233" w:lineRule="auto"/>
              <w:jc w:val="center"/>
              <w:rPr>
                <w:color w:val="000000"/>
                <w:sz w:val="20"/>
                <w:szCs w:val="20"/>
              </w:rPr>
            </w:pPr>
            <w:r w:rsidRPr="0047440B">
              <w:rPr>
                <w:color w:val="000000"/>
                <w:sz w:val="20"/>
                <w:szCs w:val="20"/>
              </w:rPr>
              <w:t>1</w:t>
            </w:r>
          </w:p>
        </w:tc>
      </w:tr>
      <w:tr w:rsidR="00B21B24" w:rsidRPr="0047440B" w:rsidTr="00E474AD">
        <w:trPr>
          <w:trHeight w:val="20"/>
          <w:jc w:val="center"/>
        </w:trPr>
        <w:tc>
          <w:tcPr>
            <w:tcW w:w="486" w:type="dxa"/>
            <w:tcBorders>
              <w:top w:val="nil"/>
              <w:left w:val="single" w:sz="4" w:space="0" w:color="auto"/>
              <w:bottom w:val="single" w:sz="4" w:space="0" w:color="auto"/>
              <w:right w:val="single" w:sz="4" w:space="0" w:color="auto"/>
            </w:tcBorders>
            <w:shd w:val="clear" w:color="000000" w:fill="FFFFFF"/>
            <w:noWrap/>
            <w:hideMark/>
          </w:tcPr>
          <w:p w:rsidR="00B21B24" w:rsidRPr="0047440B" w:rsidRDefault="00B21B24" w:rsidP="00B21B24">
            <w:pPr>
              <w:autoSpaceDE/>
              <w:autoSpaceDN/>
              <w:adjustRightInd/>
              <w:spacing w:line="233" w:lineRule="auto"/>
              <w:jc w:val="center"/>
              <w:rPr>
                <w:color w:val="000000"/>
                <w:sz w:val="20"/>
                <w:szCs w:val="20"/>
              </w:rPr>
            </w:pPr>
            <w:r w:rsidRPr="0047440B">
              <w:rPr>
                <w:color w:val="000000"/>
                <w:sz w:val="20"/>
                <w:szCs w:val="20"/>
              </w:rPr>
              <w:t>46.</w:t>
            </w:r>
          </w:p>
        </w:tc>
        <w:tc>
          <w:tcPr>
            <w:tcW w:w="2917" w:type="dxa"/>
            <w:tcBorders>
              <w:top w:val="nil"/>
              <w:left w:val="single" w:sz="4" w:space="0" w:color="auto"/>
              <w:bottom w:val="single" w:sz="4" w:space="0" w:color="auto"/>
              <w:right w:val="single" w:sz="4" w:space="0" w:color="auto"/>
            </w:tcBorders>
            <w:shd w:val="clear" w:color="auto" w:fill="auto"/>
          </w:tcPr>
          <w:p w:rsidR="00B21B24" w:rsidRPr="0047440B" w:rsidRDefault="00B21B24" w:rsidP="00B21B24">
            <w:pPr>
              <w:rPr>
                <w:color w:val="000000"/>
                <w:sz w:val="20"/>
                <w:szCs w:val="20"/>
              </w:rPr>
            </w:pPr>
            <w:r w:rsidRPr="0047440B">
              <w:rPr>
                <w:color w:val="000000"/>
                <w:sz w:val="20"/>
                <w:szCs w:val="20"/>
              </w:rPr>
              <w:t xml:space="preserve">ГАУЗ «Городская поликлиника № 3» г.Набережные Челны </w:t>
            </w:r>
          </w:p>
        </w:tc>
        <w:tc>
          <w:tcPr>
            <w:tcW w:w="1233" w:type="dxa"/>
            <w:tcBorders>
              <w:top w:val="nil"/>
              <w:left w:val="single" w:sz="4" w:space="0" w:color="auto"/>
              <w:bottom w:val="single" w:sz="4" w:space="0" w:color="auto"/>
              <w:right w:val="single" w:sz="4" w:space="0" w:color="auto"/>
            </w:tcBorders>
            <w:shd w:val="clear" w:color="auto" w:fill="auto"/>
            <w:noWrap/>
          </w:tcPr>
          <w:p w:rsidR="00B21B24" w:rsidRPr="0047440B" w:rsidRDefault="00B21B24" w:rsidP="00B21B24">
            <w:pPr>
              <w:jc w:val="center"/>
              <w:rPr>
                <w:color w:val="000000"/>
                <w:sz w:val="20"/>
                <w:szCs w:val="20"/>
              </w:rPr>
            </w:pPr>
            <w:r w:rsidRPr="0047440B">
              <w:rPr>
                <w:color w:val="000000"/>
                <w:sz w:val="20"/>
                <w:szCs w:val="20"/>
              </w:rPr>
              <w:t>1</w:t>
            </w:r>
          </w:p>
        </w:tc>
        <w:tc>
          <w:tcPr>
            <w:tcW w:w="816" w:type="dxa"/>
            <w:tcBorders>
              <w:top w:val="nil"/>
              <w:left w:val="single" w:sz="4" w:space="0" w:color="auto"/>
              <w:bottom w:val="single" w:sz="4" w:space="0" w:color="auto"/>
              <w:right w:val="single" w:sz="4" w:space="0" w:color="auto"/>
            </w:tcBorders>
            <w:shd w:val="clear" w:color="auto" w:fill="auto"/>
            <w:noWrap/>
          </w:tcPr>
          <w:p w:rsidR="00B21B24" w:rsidRPr="0047440B" w:rsidRDefault="00B21B24" w:rsidP="00B21B24">
            <w:pPr>
              <w:jc w:val="center"/>
              <w:rPr>
                <w:color w:val="000000"/>
                <w:sz w:val="20"/>
                <w:szCs w:val="20"/>
              </w:rPr>
            </w:pPr>
            <w:r w:rsidRPr="0047440B">
              <w:rPr>
                <w:color w:val="000000"/>
                <w:sz w:val="20"/>
                <w:szCs w:val="20"/>
              </w:rPr>
              <w:t>3,00</w:t>
            </w:r>
          </w:p>
        </w:tc>
        <w:tc>
          <w:tcPr>
            <w:tcW w:w="792" w:type="dxa"/>
            <w:tcBorders>
              <w:top w:val="nil"/>
              <w:left w:val="nil"/>
              <w:bottom w:val="single" w:sz="4" w:space="0" w:color="auto"/>
              <w:right w:val="single" w:sz="4" w:space="0" w:color="auto"/>
            </w:tcBorders>
            <w:shd w:val="clear" w:color="auto" w:fill="auto"/>
            <w:noWrap/>
          </w:tcPr>
          <w:p w:rsidR="00B21B24" w:rsidRPr="0047440B" w:rsidRDefault="00B21B24" w:rsidP="00B21B24">
            <w:pPr>
              <w:jc w:val="center"/>
              <w:rPr>
                <w:color w:val="000000"/>
                <w:sz w:val="20"/>
                <w:szCs w:val="20"/>
              </w:rPr>
            </w:pPr>
            <w:r w:rsidRPr="0047440B">
              <w:rPr>
                <w:color w:val="000000"/>
                <w:sz w:val="20"/>
                <w:szCs w:val="20"/>
              </w:rPr>
              <w:t>3,00</w:t>
            </w:r>
          </w:p>
        </w:tc>
        <w:tc>
          <w:tcPr>
            <w:tcW w:w="1239" w:type="dxa"/>
            <w:tcBorders>
              <w:top w:val="nil"/>
              <w:left w:val="single" w:sz="4" w:space="0" w:color="auto"/>
              <w:bottom w:val="single" w:sz="4" w:space="0" w:color="auto"/>
              <w:right w:val="single" w:sz="4" w:space="0" w:color="auto"/>
            </w:tcBorders>
            <w:shd w:val="clear" w:color="auto" w:fill="auto"/>
            <w:noWrap/>
          </w:tcPr>
          <w:p w:rsidR="00B21B24" w:rsidRPr="0047440B" w:rsidRDefault="00B21B24" w:rsidP="00B21B24">
            <w:pPr>
              <w:jc w:val="center"/>
              <w:rPr>
                <w:color w:val="000000"/>
                <w:sz w:val="20"/>
                <w:szCs w:val="20"/>
              </w:rPr>
            </w:pPr>
            <w:r w:rsidRPr="0047440B">
              <w:rPr>
                <w:color w:val="000000"/>
                <w:sz w:val="20"/>
                <w:szCs w:val="20"/>
              </w:rPr>
              <w:t>3</w:t>
            </w:r>
          </w:p>
        </w:tc>
        <w:tc>
          <w:tcPr>
            <w:tcW w:w="952" w:type="dxa"/>
            <w:tcBorders>
              <w:top w:val="nil"/>
              <w:left w:val="nil"/>
              <w:bottom w:val="single" w:sz="4" w:space="0" w:color="auto"/>
              <w:right w:val="single" w:sz="4" w:space="0" w:color="auto"/>
            </w:tcBorders>
            <w:shd w:val="clear" w:color="000000" w:fill="FFFFFF"/>
            <w:noWrap/>
          </w:tcPr>
          <w:p w:rsidR="00B21B24" w:rsidRPr="0047440B" w:rsidRDefault="00B21B24" w:rsidP="00B21B24">
            <w:pPr>
              <w:autoSpaceDE/>
              <w:autoSpaceDN/>
              <w:adjustRightInd/>
              <w:spacing w:line="233" w:lineRule="auto"/>
              <w:jc w:val="center"/>
              <w:rPr>
                <w:color w:val="000000"/>
                <w:sz w:val="20"/>
                <w:szCs w:val="20"/>
              </w:rPr>
            </w:pPr>
            <w:r w:rsidRPr="0047440B">
              <w:rPr>
                <w:color w:val="000000"/>
                <w:sz w:val="20"/>
                <w:szCs w:val="20"/>
              </w:rPr>
              <w:t>32 010</w:t>
            </w:r>
          </w:p>
        </w:tc>
        <w:tc>
          <w:tcPr>
            <w:tcW w:w="1121" w:type="dxa"/>
            <w:tcBorders>
              <w:top w:val="nil"/>
              <w:left w:val="nil"/>
              <w:bottom w:val="single" w:sz="4" w:space="0" w:color="auto"/>
              <w:right w:val="single" w:sz="4" w:space="0" w:color="auto"/>
            </w:tcBorders>
            <w:shd w:val="clear" w:color="000000" w:fill="FFFFFF"/>
            <w:noWrap/>
          </w:tcPr>
          <w:p w:rsidR="00B21B24" w:rsidRPr="0047440B" w:rsidRDefault="00B21B24" w:rsidP="00B21B24">
            <w:pPr>
              <w:autoSpaceDE/>
              <w:autoSpaceDN/>
              <w:adjustRightInd/>
              <w:spacing w:line="233" w:lineRule="auto"/>
              <w:jc w:val="center"/>
              <w:rPr>
                <w:color w:val="000000"/>
                <w:sz w:val="20"/>
                <w:szCs w:val="20"/>
              </w:rPr>
            </w:pPr>
            <w:r w:rsidRPr="0047440B">
              <w:rPr>
                <w:color w:val="000000"/>
                <w:sz w:val="20"/>
                <w:szCs w:val="20"/>
              </w:rPr>
              <w:t>32 010</w:t>
            </w:r>
          </w:p>
        </w:tc>
        <w:tc>
          <w:tcPr>
            <w:tcW w:w="1217" w:type="dxa"/>
            <w:tcBorders>
              <w:top w:val="nil"/>
              <w:left w:val="nil"/>
              <w:bottom w:val="single" w:sz="4" w:space="0" w:color="auto"/>
              <w:right w:val="single" w:sz="4" w:space="0" w:color="auto"/>
            </w:tcBorders>
            <w:shd w:val="clear" w:color="000000" w:fill="FFFFFF"/>
          </w:tcPr>
          <w:p w:rsidR="00B21B24" w:rsidRPr="0047440B" w:rsidRDefault="00B21B24" w:rsidP="00B21B24">
            <w:pPr>
              <w:autoSpaceDE/>
              <w:autoSpaceDN/>
              <w:adjustRightInd/>
              <w:spacing w:line="233" w:lineRule="auto"/>
              <w:jc w:val="center"/>
              <w:rPr>
                <w:color w:val="000000"/>
                <w:sz w:val="20"/>
                <w:szCs w:val="20"/>
              </w:rPr>
            </w:pPr>
            <w:r w:rsidRPr="0047440B">
              <w:rPr>
                <w:color w:val="000000"/>
                <w:sz w:val="20"/>
                <w:szCs w:val="20"/>
              </w:rPr>
              <w:t>2</w:t>
            </w:r>
          </w:p>
        </w:tc>
      </w:tr>
      <w:tr w:rsidR="00B21B24" w:rsidRPr="0047440B" w:rsidTr="00E474AD">
        <w:trPr>
          <w:trHeight w:val="20"/>
          <w:jc w:val="center"/>
        </w:trPr>
        <w:tc>
          <w:tcPr>
            <w:tcW w:w="486" w:type="dxa"/>
            <w:tcBorders>
              <w:top w:val="single" w:sz="4" w:space="0" w:color="auto"/>
              <w:left w:val="single" w:sz="4" w:space="0" w:color="auto"/>
              <w:bottom w:val="single" w:sz="4" w:space="0" w:color="auto"/>
              <w:right w:val="single" w:sz="4" w:space="0" w:color="auto"/>
            </w:tcBorders>
            <w:shd w:val="clear" w:color="000000" w:fill="FFFFFF"/>
            <w:noWrap/>
            <w:hideMark/>
          </w:tcPr>
          <w:p w:rsidR="00B21B24" w:rsidRPr="0047440B" w:rsidRDefault="00B21B24" w:rsidP="00B21B24">
            <w:pPr>
              <w:autoSpaceDE/>
              <w:autoSpaceDN/>
              <w:adjustRightInd/>
              <w:spacing w:line="233" w:lineRule="auto"/>
              <w:jc w:val="center"/>
              <w:rPr>
                <w:color w:val="000000"/>
                <w:sz w:val="20"/>
                <w:szCs w:val="20"/>
              </w:rPr>
            </w:pPr>
            <w:r w:rsidRPr="0047440B">
              <w:rPr>
                <w:color w:val="000000"/>
                <w:sz w:val="20"/>
                <w:szCs w:val="20"/>
              </w:rPr>
              <w:t>47.</w:t>
            </w:r>
          </w:p>
        </w:tc>
        <w:tc>
          <w:tcPr>
            <w:tcW w:w="2917" w:type="dxa"/>
            <w:tcBorders>
              <w:top w:val="nil"/>
              <w:left w:val="single" w:sz="4" w:space="0" w:color="auto"/>
              <w:bottom w:val="single" w:sz="4" w:space="0" w:color="auto"/>
              <w:right w:val="single" w:sz="4" w:space="0" w:color="auto"/>
            </w:tcBorders>
            <w:shd w:val="clear" w:color="auto" w:fill="auto"/>
          </w:tcPr>
          <w:p w:rsidR="00B21B24" w:rsidRPr="0047440B" w:rsidRDefault="00B21B24" w:rsidP="00B21B24">
            <w:pPr>
              <w:rPr>
                <w:color w:val="000000"/>
                <w:sz w:val="20"/>
                <w:szCs w:val="20"/>
              </w:rPr>
            </w:pPr>
            <w:r w:rsidRPr="0047440B">
              <w:rPr>
                <w:color w:val="000000"/>
                <w:sz w:val="20"/>
                <w:szCs w:val="20"/>
              </w:rPr>
              <w:t xml:space="preserve">ГАУЗ «Городская поликлиника № 6» г.Набережные Челны </w:t>
            </w:r>
          </w:p>
        </w:tc>
        <w:tc>
          <w:tcPr>
            <w:tcW w:w="1233" w:type="dxa"/>
            <w:tcBorders>
              <w:top w:val="nil"/>
              <w:left w:val="single" w:sz="4" w:space="0" w:color="auto"/>
              <w:bottom w:val="single" w:sz="4" w:space="0" w:color="auto"/>
              <w:right w:val="single" w:sz="4" w:space="0" w:color="auto"/>
            </w:tcBorders>
            <w:shd w:val="clear" w:color="auto" w:fill="auto"/>
            <w:noWrap/>
          </w:tcPr>
          <w:p w:rsidR="00B21B24" w:rsidRPr="0047440B" w:rsidRDefault="00B21B24" w:rsidP="00B21B24">
            <w:pPr>
              <w:jc w:val="center"/>
              <w:rPr>
                <w:color w:val="000000"/>
                <w:sz w:val="20"/>
                <w:szCs w:val="20"/>
              </w:rPr>
            </w:pPr>
            <w:r w:rsidRPr="0047440B">
              <w:rPr>
                <w:color w:val="000000"/>
                <w:sz w:val="20"/>
                <w:szCs w:val="20"/>
              </w:rPr>
              <w:t>1</w:t>
            </w:r>
          </w:p>
        </w:tc>
        <w:tc>
          <w:tcPr>
            <w:tcW w:w="816" w:type="dxa"/>
            <w:tcBorders>
              <w:top w:val="nil"/>
              <w:left w:val="single" w:sz="4" w:space="0" w:color="auto"/>
              <w:bottom w:val="single" w:sz="4" w:space="0" w:color="auto"/>
              <w:right w:val="single" w:sz="4" w:space="0" w:color="auto"/>
            </w:tcBorders>
            <w:shd w:val="clear" w:color="auto" w:fill="auto"/>
            <w:noWrap/>
          </w:tcPr>
          <w:p w:rsidR="00B21B24" w:rsidRPr="0047440B" w:rsidRDefault="00B21B24" w:rsidP="00B21B24">
            <w:pPr>
              <w:jc w:val="center"/>
              <w:rPr>
                <w:color w:val="000000"/>
                <w:sz w:val="20"/>
                <w:szCs w:val="20"/>
              </w:rPr>
            </w:pPr>
            <w:r w:rsidRPr="0047440B">
              <w:rPr>
                <w:color w:val="000000"/>
                <w:sz w:val="20"/>
                <w:szCs w:val="20"/>
              </w:rPr>
              <w:t>2,00</w:t>
            </w:r>
          </w:p>
        </w:tc>
        <w:tc>
          <w:tcPr>
            <w:tcW w:w="792" w:type="dxa"/>
            <w:tcBorders>
              <w:top w:val="nil"/>
              <w:left w:val="nil"/>
              <w:bottom w:val="single" w:sz="4" w:space="0" w:color="auto"/>
              <w:right w:val="single" w:sz="4" w:space="0" w:color="auto"/>
            </w:tcBorders>
            <w:shd w:val="clear" w:color="auto" w:fill="auto"/>
            <w:noWrap/>
          </w:tcPr>
          <w:p w:rsidR="00B21B24" w:rsidRPr="0047440B" w:rsidRDefault="00B21B24" w:rsidP="00B21B24">
            <w:pPr>
              <w:jc w:val="center"/>
              <w:rPr>
                <w:color w:val="000000"/>
                <w:sz w:val="20"/>
                <w:szCs w:val="20"/>
              </w:rPr>
            </w:pPr>
            <w:r w:rsidRPr="0047440B">
              <w:rPr>
                <w:color w:val="000000"/>
                <w:sz w:val="20"/>
                <w:szCs w:val="20"/>
              </w:rPr>
              <w:t>2,00</w:t>
            </w:r>
          </w:p>
        </w:tc>
        <w:tc>
          <w:tcPr>
            <w:tcW w:w="1239" w:type="dxa"/>
            <w:tcBorders>
              <w:top w:val="nil"/>
              <w:left w:val="single" w:sz="4" w:space="0" w:color="auto"/>
              <w:bottom w:val="single" w:sz="4" w:space="0" w:color="auto"/>
              <w:right w:val="single" w:sz="4" w:space="0" w:color="auto"/>
            </w:tcBorders>
            <w:shd w:val="clear" w:color="auto" w:fill="auto"/>
            <w:noWrap/>
          </w:tcPr>
          <w:p w:rsidR="00B21B24" w:rsidRPr="0047440B" w:rsidRDefault="00B21B24" w:rsidP="00B21B24">
            <w:pPr>
              <w:jc w:val="center"/>
              <w:rPr>
                <w:color w:val="000000"/>
                <w:sz w:val="20"/>
                <w:szCs w:val="20"/>
              </w:rPr>
            </w:pPr>
            <w:r w:rsidRPr="0047440B">
              <w:rPr>
                <w:color w:val="000000"/>
                <w:sz w:val="20"/>
                <w:szCs w:val="20"/>
              </w:rPr>
              <w:t>2</w:t>
            </w:r>
          </w:p>
        </w:tc>
        <w:tc>
          <w:tcPr>
            <w:tcW w:w="952" w:type="dxa"/>
            <w:tcBorders>
              <w:top w:val="single" w:sz="4" w:space="0" w:color="auto"/>
              <w:left w:val="single" w:sz="4" w:space="0" w:color="auto"/>
              <w:bottom w:val="single" w:sz="4" w:space="0" w:color="auto"/>
              <w:right w:val="single" w:sz="4" w:space="0" w:color="auto"/>
            </w:tcBorders>
            <w:shd w:val="clear" w:color="000000" w:fill="FFFFFF"/>
            <w:noWrap/>
          </w:tcPr>
          <w:p w:rsidR="00B21B24" w:rsidRPr="0047440B" w:rsidRDefault="00B21B24" w:rsidP="00B21B24">
            <w:pPr>
              <w:autoSpaceDE/>
              <w:autoSpaceDN/>
              <w:adjustRightInd/>
              <w:spacing w:line="233" w:lineRule="auto"/>
              <w:jc w:val="center"/>
              <w:rPr>
                <w:color w:val="000000"/>
                <w:sz w:val="20"/>
                <w:szCs w:val="20"/>
              </w:rPr>
            </w:pPr>
            <w:r w:rsidRPr="0047440B">
              <w:rPr>
                <w:color w:val="000000"/>
                <w:sz w:val="20"/>
                <w:szCs w:val="20"/>
              </w:rPr>
              <w:t>32 121</w:t>
            </w:r>
          </w:p>
        </w:tc>
        <w:tc>
          <w:tcPr>
            <w:tcW w:w="1121" w:type="dxa"/>
            <w:tcBorders>
              <w:top w:val="single" w:sz="4" w:space="0" w:color="auto"/>
              <w:left w:val="single" w:sz="4" w:space="0" w:color="auto"/>
              <w:bottom w:val="single" w:sz="4" w:space="0" w:color="auto"/>
              <w:right w:val="single" w:sz="4" w:space="0" w:color="auto"/>
            </w:tcBorders>
            <w:shd w:val="clear" w:color="000000" w:fill="FFFFFF"/>
            <w:noWrap/>
          </w:tcPr>
          <w:p w:rsidR="00B21B24" w:rsidRPr="0047440B" w:rsidRDefault="00B21B24" w:rsidP="00B21B24">
            <w:pPr>
              <w:autoSpaceDE/>
              <w:autoSpaceDN/>
              <w:adjustRightInd/>
              <w:spacing w:line="233" w:lineRule="auto"/>
              <w:jc w:val="center"/>
              <w:rPr>
                <w:color w:val="000000"/>
                <w:sz w:val="20"/>
                <w:szCs w:val="20"/>
              </w:rPr>
            </w:pPr>
            <w:r w:rsidRPr="0047440B">
              <w:rPr>
                <w:color w:val="000000"/>
                <w:sz w:val="20"/>
                <w:szCs w:val="20"/>
              </w:rPr>
              <w:t>32 121</w:t>
            </w:r>
          </w:p>
        </w:tc>
        <w:tc>
          <w:tcPr>
            <w:tcW w:w="1217" w:type="dxa"/>
            <w:tcBorders>
              <w:top w:val="single" w:sz="4" w:space="0" w:color="auto"/>
              <w:left w:val="single" w:sz="4" w:space="0" w:color="auto"/>
              <w:bottom w:val="single" w:sz="4" w:space="0" w:color="auto"/>
              <w:right w:val="single" w:sz="4" w:space="0" w:color="auto"/>
            </w:tcBorders>
            <w:shd w:val="clear" w:color="000000" w:fill="FFFFFF"/>
          </w:tcPr>
          <w:p w:rsidR="00B21B24" w:rsidRPr="0047440B" w:rsidRDefault="00B21B24" w:rsidP="00B21B24">
            <w:pPr>
              <w:autoSpaceDE/>
              <w:autoSpaceDN/>
              <w:adjustRightInd/>
              <w:spacing w:line="233" w:lineRule="auto"/>
              <w:jc w:val="center"/>
              <w:rPr>
                <w:color w:val="000000"/>
                <w:sz w:val="20"/>
                <w:szCs w:val="20"/>
              </w:rPr>
            </w:pPr>
            <w:r w:rsidRPr="0047440B">
              <w:rPr>
                <w:color w:val="000000"/>
                <w:sz w:val="20"/>
                <w:szCs w:val="20"/>
              </w:rPr>
              <w:t>1</w:t>
            </w:r>
          </w:p>
        </w:tc>
      </w:tr>
      <w:tr w:rsidR="00B21B24" w:rsidRPr="0047440B" w:rsidTr="00E474AD">
        <w:trPr>
          <w:trHeight w:val="20"/>
          <w:jc w:val="center"/>
        </w:trPr>
        <w:tc>
          <w:tcPr>
            <w:tcW w:w="486" w:type="dxa"/>
            <w:tcBorders>
              <w:top w:val="single" w:sz="4" w:space="0" w:color="auto"/>
              <w:left w:val="single" w:sz="4" w:space="0" w:color="auto"/>
              <w:bottom w:val="single" w:sz="4" w:space="0" w:color="auto"/>
              <w:right w:val="single" w:sz="4" w:space="0" w:color="auto"/>
            </w:tcBorders>
            <w:shd w:val="clear" w:color="000000" w:fill="FFFFFF"/>
            <w:noWrap/>
            <w:hideMark/>
          </w:tcPr>
          <w:p w:rsidR="00B21B24" w:rsidRPr="0047440B" w:rsidRDefault="00B21B24" w:rsidP="00B21B24">
            <w:pPr>
              <w:autoSpaceDE/>
              <w:autoSpaceDN/>
              <w:adjustRightInd/>
              <w:spacing w:line="233" w:lineRule="auto"/>
              <w:jc w:val="center"/>
              <w:rPr>
                <w:color w:val="000000"/>
                <w:sz w:val="20"/>
                <w:szCs w:val="20"/>
              </w:rPr>
            </w:pPr>
            <w:r w:rsidRPr="0047440B">
              <w:rPr>
                <w:color w:val="000000"/>
                <w:sz w:val="20"/>
                <w:szCs w:val="20"/>
              </w:rPr>
              <w:t>48.</w:t>
            </w:r>
          </w:p>
        </w:tc>
        <w:tc>
          <w:tcPr>
            <w:tcW w:w="2917" w:type="dxa"/>
            <w:tcBorders>
              <w:top w:val="nil"/>
              <w:left w:val="single" w:sz="4" w:space="0" w:color="auto"/>
              <w:bottom w:val="single" w:sz="4" w:space="0" w:color="auto"/>
              <w:right w:val="single" w:sz="4" w:space="0" w:color="auto"/>
            </w:tcBorders>
            <w:shd w:val="clear" w:color="auto" w:fill="auto"/>
          </w:tcPr>
          <w:p w:rsidR="00B21B24" w:rsidRPr="0047440B" w:rsidRDefault="00B21B24" w:rsidP="00B21B24">
            <w:pPr>
              <w:rPr>
                <w:color w:val="000000"/>
                <w:sz w:val="20"/>
                <w:szCs w:val="20"/>
              </w:rPr>
            </w:pPr>
            <w:r w:rsidRPr="0047440B">
              <w:rPr>
                <w:color w:val="000000"/>
                <w:sz w:val="20"/>
                <w:szCs w:val="20"/>
              </w:rPr>
              <w:t>ГАУЗ «Городская поликлиника № 7»  г.Набережные Челны</w:t>
            </w:r>
          </w:p>
        </w:tc>
        <w:tc>
          <w:tcPr>
            <w:tcW w:w="1233" w:type="dxa"/>
            <w:tcBorders>
              <w:top w:val="nil"/>
              <w:left w:val="single" w:sz="4" w:space="0" w:color="auto"/>
              <w:bottom w:val="single" w:sz="4" w:space="0" w:color="auto"/>
              <w:right w:val="single" w:sz="4" w:space="0" w:color="auto"/>
            </w:tcBorders>
            <w:shd w:val="clear" w:color="auto" w:fill="auto"/>
            <w:noWrap/>
          </w:tcPr>
          <w:p w:rsidR="00B21B24" w:rsidRPr="0047440B" w:rsidRDefault="00B21B24" w:rsidP="00B21B24">
            <w:pPr>
              <w:jc w:val="center"/>
              <w:rPr>
                <w:color w:val="000000"/>
                <w:sz w:val="20"/>
                <w:szCs w:val="20"/>
              </w:rPr>
            </w:pPr>
            <w:r w:rsidRPr="0047440B">
              <w:rPr>
                <w:color w:val="000000"/>
                <w:sz w:val="20"/>
                <w:szCs w:val="20"/>
              </w:rPr>
              <w:t>1</w:t>
            </w:r>
          </w:p>
        </w:tc>
        <w:tc>
          <w:tcPr>
            <w:tcW w:w="816" w:type="dxa"/>
            <w:tcBorders>
              <w:top w:val="nil"/>
              <w:left w:val="single" w:sz="4" w:space="0" w:color="auto"/>
              <w:bottom w:val="single" w:sz="4" w:space="0" w:color="auto"/>
              <w:right w:val="single" w:sz="4" w:space="0" w:color="auto"/>
            </w:tcBorders>
            <w:shd w:val="clear" w:color="auto" w:fill="auto"/>
            <w:noWrap/>
          </w:tcPr>
          <w:p w:rsidR="00B21B24" w:rsidRPr="0047440B" w:rsidRDefault="00B21B24" w:rsidP="00B21B24">
            <w:pPr>
              <w:jc w:val="center"/>
              <w:rPr>
                <w:color w:val="000000"/>
                <w:sz w:val="20"/>
                <w:szCs w:val="20"/>
              </w:rPr>
            </w:pPr>
            <w:r w:rsidRPr="0047440B">
              <w:rPr>
                <w:color w:val="000000"/>
                <w:sz w:val="20"/>
                <w:szCs w:val="20"/>
              </w:rPr>
              <w:t>2,00</w:t>
            </w:r>
          </w:p>
        </w:tc>
        <w:tc>
          <w:tcPr>
            <w:tcW w:w="792" w:type="dxa"/>
            <w:tcBorders>
              <w:top w:val="nil"/>
              <w:left w:val="nil"/>
              <w:bottom w:val="single" w:sz="4" w:space="0" w:color="auto"/>
              <w:right w:val="single" w:sz="4" w:space="0" w:color="auto"/>
            </w:tcBorders>
            <w:shd w:val="clear" w:color="auto" w:fill="auto"/>
            <w:noWrap/>
          </w:tcPr>
          <w:p w:rsidR="00B21B24" w:rsidRPr="0047440B" w:rsidRDefault="00B21B24" w:rsidP="00B21B24">
            <w:pPr>
              <w:jc w:val="center"/>
              <w:rPr>
                <w:color w:val="000000"/>
                <w:sz w:val="20"/>
                <w:szCs w:val="20"/>
              </w:rPr>
            </w:pPr>
            <w:r w:rsidRPr="0047440B">
              <w:rPr>
                <w:color w:val="000000"/>
                <w:sz w:val="20"/>
                <w:szCs w:val="20"/>
              </w:rPr>
              <w:t>2,00</w:t>
            </w:r>
          </w:p>
        </w:tc>
        <w:tc>
          <w:tcPr>
            <w:tcW w:w="1239" w:type="dxa"/>
            <w:tcBorders>
              <w:top w:val="nil"/>
              <w:left w:val="single" w:sz="4" w:space="0" w:color="auto"/>
              <w:bottom w:val="single" w:sz="4" w:space="0" w:color="auto"/>
              <w:right w:val="single" w:sz="4" w:space="0" w:color="auto"/>
            </w:tcBorders>
            <w:shd w:val="clear" w:color="auto" w:fill="auto"/>
            <w:noWrap/>
          </w:tcPr>
          <w:p w:rsidR="00B21B24" w:rsidRPr="0047440B" w:rsidRDefault="00B21B24" w:rsidP="00B21B24">
            <w:pPr>
              <w:jc w:val="center"/>
              <w:rPr>
                <w:color w:val="000000"/>
                <w:sz w:val="20"/>
                <w:szCs w:val="20"/>
              </w:rPr>
            </w:pPr>
            <w:r w:rsidRPr="0047440B">
              <w:rPr>
                <w:color w:val="000000"/>
                <w:sz w:val="20"/>
                <w:szCs w:val="20"/>
              </w:rPr>
              <w:t>2</w:t>
            </w:r>
          </w:p>
        </w:tc>
        <w:tc>
          <w:tcPr>
            <w:tcW w:w="952" w:type="dxa"/>
            <w:tcBorders>
              <w:top w:val="single" w:sz="4" w:space="0" w:color="auto"/>
              <w:left w:val="nil"/>
              <w:bottom w:val="single" w:sz="4" w:space="0" w:color="auto"/>
              <w:right w:val="single" w:sz="4" w:space="0" w:color="auto"/>
            </w:tcBorders>
            <w:shd w:val="clear" w:color="000000" w:fill="FFFFFF"/>
            <w:noWrap/>
          </w:tcPr>
          <w:p w:rsidR="00B21B24" w:rsidRPr="0047440B" w:rsidRDefault="00B21B24" w:rsidP="00B21B24">
            <w:pPr>
              <w:autoSpaceDE/>
              <w:autoSpaceDN/>
              <w:adjustRightInd/>
              <w:spacing w:line="233" w:lineRule="auto"/>
              <w:jc w:val="center"/>
              <w:rPr>
                <w:color w:val="000000"/>
                <w:sz w:val="20"/>
                <w:szCs w:val="20"/>
              </w:rPr>
            </w:pPr>
            <w:r w:rsidRPr="0047440B">
              <w:rPr>
                <w:color w:val="000000"/>
                <w:sz w:val="20"/>
                <w:szCs w:val="20"/>
              </w:rPr>
              <w:t>31 997</w:t>
            </w:r>
          </w:p>
        </w:tc>
        <w:tc>
          <w:tcPr>
            <w:tcW w:w="1121" w:type="dxa"/>
            <w:tcBorders>
              <w:top w:val="single" w:sz="4" w:space="0" w:color="auto"/>
              <w:left w:val="nil"/>
              <w:bottom w:val="single" w:sz="4" w:space="0" w:color="auto"/>
              <w:right w:val="single" w:sz="4" w:space="0" w:color="auto"/>
            </w:tcBorders>
            <w:shd w:val="clear" w:color="000000" w:fill="FFFFFF"/>
            <w:noWrap/>
          </w:tcPr>
          <w:p w:rsidR="00B21B24" w:rsidRPr="0047440B" w:rsidRDefault="00B21B24" w:rsidP="00B21B24">
            <w:pPr>
              <w:autoSpaceDE/>
              <w:autoSpaceDN/>
              <w:adjustRightInd/>
              <w:spacing w:line="233" w:lineRule="auto"/>
              <w:jc w:val="center"/>
              <w:rPr>
                <w:color w:val="000000"/>
                <w:sz w:val="20"/>
                <w:szCs w:val="20"/>
              </w:rPr>
            </w:pPr>
            <w:r w:rsidRPr="0047440B">
              <w:rPr>
                <w:color w:val="000000"/>
                <w:sz w:val="20"/>
                <w:szCs w:val="20"/>
              </w:rPr>
              <w:t>31 997</w:t>
            </w:r>
          </w:p>
        </w:tc>
        <w:tc>
          <w:tcPr>
            <w:tcW w:w="1217" w:type="dxa"/>
            <w:tcBorders>
              <w:top w:val="single" w:sz="4" w:space="0" w:color="auto"/>
              <w:left w:val="nil"/>
              <w:bottom w:val="single" w:sz="4" w:space="0" w:color="auto"/>
              <w:right w:val="single" w:sz="4" w:space="0" w:color="auto"/>
            </w:tcBorders>
            <w:shd w:val="clear" w:color="000000" w:fill="FFFFFF"/>
          </w:tcPr>
          <w:p w:rsidR="00B21B24" w:rsidRPr="0047440B" w:rsidRDefault="00B21B24" w:rsidP="00B21B24">
            <w:pPr>
              <w:autoSpaceDE/>
              <w:autoSpaceDN/>
              <w:adjustRightInd/>
              <w:spacing w:line="233" w:lineRule="auto"/>
              <w:jc w:val="center"/>
              <w:rPr>
                <w:color w:val="000000"/>
                <w:sz w:val="20"/>
                <w:szCs w:val="20"/>
              </w:rPr>
            </w:pPr>
            <w:r w:rsidRPr="0047440B">
              <w:rPr>
                <w:color w:val="000000"/>
                <w:sz w:val="20"/>
                <w:szCs w:val="20"/>
              </w:rPr>
              <w:t>2</w:t>
            </w:r>
          </w:p>
        </w:tc>
      </w:tr>
      <w:tr w:rsidR="00B21B24" w:rsidRPr="0047440B" w:rsidTr="00E474AD">
        <w:trPr>
          <w:trHeight w:val="20"/>
          <w:jc w:val="center"/>
        </w:trPr>
        <w:tc>
          <w:tcPr>
            <w:tcW w:w="486" w:type="dxa"/>
            <w:tcBorders>
              <w:top w:val="single" w:sz="4" w:space="0" w:color="auto"/>
              <w:left w:val="single" w:sz="4" w:space="0" w:color="auto"/>
              <w:bottom w:val="single" w:sz="4" w:space="0" w:color="auto"/>
              <w:right w:val="single" w:sz="4" w:space="0" w:color="auto"/>
            </w:tcBorders>
            <w:shd w:val="clear" w:color="000000" w:fill="FFFFFF"/>
            <w:noWrap/>
            <w:hideMark/>
          </w:tcPr>
          <w:p w:rsidR="00B21B24" w:rsidRPr="0047440B" w:rsidRDefault="00B21B24" w:rsidP="00B21B24">
            <w:pPr>
              <w:autoSpaceDE/>
              <w:autoSpaceDN/>
              <w:adjustRightInd/>
              <w:spacing w:line="233" w:lineRule="auto"/>
              <w:jc w:val="center"/>
              <w:rPr>
                <w:color w:val="000000"/>
                <w:sz w:val="20"/>
                <w:szCs w:val="20"/>
              </w:rPr>
            </w:pPr>
            <w:r w:rsidRPr="0047440B">
              <w:rPr>
                <w:color w:val="000000"/>
                <w:sz w:val="20"/>
                <w:szCs w:val="20"/>
              </w:rPr>
              <w:t>49.</w:t>
            </w:r>
          </w:p>
        </w:tc>
        <w:tc>
          <w:tcPr>
            <w:tcW w:w="2917" w:type="dxa"/>
            <w:tcBorders>
              <w:top w:val="nil"/>
              <w:left w:val="single" w:sz="4" w:space="0" w:color="auto"/>
              <w:bottom w:val="single" w:sz="4" w:space="0" w:color="auto"/>
              <w:right w:val="single" w:sz="4" w:space="0" w:color="auto"/>
            </w:tcBorders>
            <w:shd w:val="clear" w:color="auto" w:fill="auto"/>
          </w:tcPr>
          <w:p w:rsidR="00B21B24" w:rsidRPr="0047440B" w:rsidRDefault="00B21B24" w:rsidP="00B21B24">
            <w:pPr>
              <w:rPr>
                <w:color w:val="000000"/>
                <w:sz w:val="20"/>
                <w:szCs w:val="20"/>
              </w:rPr>
            </w:pPr>
            <w:r w:rsidRPr="0047440B">
              <w:rPr>
                <w:color w:val="000000"/>
                <w:sz w:val="20"/>
                <w:szCs w:val="20"/>
              </w:rPr>
              <w:t>ГАУЗ «Госпиталь для ветеранов войн» г.Набережные Челны</w:t>
            </w:r>
          </w:p>
        </w:tc>
        <w:tc>
          <w:tcPr>
            <w:tcW w:w="1233" w:type="dxa"/>
            <w:tcBorders>
              <w:top w:val="nil"/>
              <w:left w:val="single" w:sz="4" w:space="0" w:color="auto"/>
              <w:bottom w:val="single" w:sz="4" w:space="0" w:color="auto"/>
              <w:right w:val="single" w:sz="4" w:space="0" w:color="auto"/>
            </w:tcBorders>
            <w:shd w:val="clear" w:color="auto" w:fill="auto"/>
            <w:noWrap/>
          </w:tcPr>
          <w:p w:rsidR="00B21B24" w:rsidRPr="0047440B" w:rsidRDefault="00B21B24" w:rsidP="00B21B24">
            <w:pPr>
              <w:jc w:val="center"/>
              <w:rPr>
                <w:color w:val="000000"/>
                <w:sz w:val="20"/>
                <w:szCs w:val="20"/>
              </w:rPr>
            </w:pPr>
            <w:r w:rsidRPr="0047440B">
              <w:rPr>
                <w:color w:val="000000"/>
                <w:sz w:val="20"/>
                <w:szCs w:val="20"/>
              </w:rPr>
              <w:t>1</w:t>
            </w:r>
          </w:p>
        </w:tc>
        <w:tc>
          <w:tcPr>
            <w:tcW w:w="816" w:type="dxa"/>
            <w:tcBorders>
              <w:top w:val="nil"/>
              <w:left w:val="single" w:sz="4" w:space="0" w:color="auto"/>
              <w:bottom w:val="single" w:sz="4" w:space="0" w:color="auto"/>
              <w:right w:val="single" w:sz="4" w:space="0" w:color="auto"/>
            </w:tcBorders>
            <w:shd w:val="clear" w:color="auto" w:fill="auto"/>
            <w:noWrap/>
          </w:tcPr>
          <w:p w:rsidR="00B21B24" w:rsidRPr="0047440B" w:rsidRDefault="00B21B24" w:rsidP="00B21B24">
            <w:pPr>
              <w:jc w:val="center"/>
              <w:rPr>
                <w:color w:val="000000"/>
                <w:sz w:val="20"/>
                <w:szCs w:val="20"/>
              </w:rPr>
            </w:pPr>
            <w:r w:rsidRPr="0047440B">
              <w:rPr>
                <w:color w:val="000000"/>
                <w:sz w:val="20"/>
                <w:szCs w:val="20"/>
              </w:rPr>
              <w:t>2,00</w:t>
            </w:r>
          </w:p>
        </w:tc>
        <w:tc>
          <w:tcPr>
            <w:tcW w:w="792" w:type="dxa"/>
            <w:tcBorders>
              <w:top w:val="nil"/>
              <w:left w:val="nil"/>
              <w:bottom w:val="single" w:sz="4" w:space="0" w:color="auto"/>
              <w:right w:val="single" w:sz="4" w:space="0" w:color="auto"/>
            </w:tcBorders>
            <w:shd w:val="clear" w:color="auto" w:fill="auto"/>
            <w:noWrap/>
          </w:tcPr>
          <w:p w:rsidR="00B21B24" w:rsidRPr="0047440B" w:rsidRDefault="00B21B24" w:rsidP="00B21B24">
            <w:pPr>
              <w:jc w:val="center"/>
              <w:rPr>
                <w:color w:val="000000"/>
                <w:sz w:val="20"/>
                <w:szCs w:val="20"/>
              </w:rPr>
            </w:pPr>
            <w:r w:rsidRPr="0047440B">
              <w:rPr>
                <w:color w:val="000000"/>
                <w:sz w:val="20"/>
                <w:szCs w:val="20"/>
              </w:rPr>
              <w:t>2,00</w:t>
            </w:r>
          </w:p>
        </w:tc>
        <w:tc>
          <w:tcPr>
            <w:tcW w:w="1239" w:type="dxa"/>
            <w:tcBorders>
              <w:top w:val="nil"/>
              <w:left w:val="single" w:sz="4" w:space="0" w:color="auto"/>
              <w:bottom w:val="single" w:sz="4" w:space="0" w:color="auto"/>
              <w:right w:val="single" w:sz="4" w:space="0" w:color="auto"/>
            </w:tcBorders>
            <w:shd w:val="clear" w:color="auto" w:fill="auto"/>
            <w:noWrap/>
          </w:tcPr>
          <w:p w:rsidR="00B21B24" w:rsidRPr="0047440B" w:rsidRDefault="00B21B24" w:rsidP="00B21B24">
            <w:pPr>
              <w:jc w:val="center"/>
              <w:rPr>
                <w:color w:val="000000"/>
                <w:sz w:val="20"/>
                <w:szCs w:val="20"/>
              </w:rPr>
            </w:pPr>
            <w:r w:rsidRPr="0047440B">
              <w:rPr>
                <w:color w:val="000000"/>
                <w:sz w:val="20"/>
                <w:szCs w:val="20"/>
              </w:rPr>
              <w:t>3</w:t>
            </w:r>
          </w:p>
        </w:tc>
        <w:tc>
          <w:tcPr>
            <w:tcW w:w="952" w:type="dxa"/>
            <w:tcBorders>
              <w:top w:val="single" w:sz="4" w:space="0" w:color="auto"/>
              <w:left w:val="nil"/>
              <w:bottom w:val="single" w:sz="4" w:space="0" w:color="auto"/>
              <w:right w:val="single" w:sz="4" w:space="0" w:color="auto"/>
            </w:tcBorders>
            <w:shd w:val="clear" w:color="000000" w:fill="FFFFFF"/>
            <w:noWrap/>
          </w:tcPr>
          <w:p w:rsidR="00B21B24" w:rsidRPr="0047440B" w:rsidRDefault="00B21B24" w:rsidP="00B21B24">
            <w:pPr>
              <w:autoSpaceDE/>
              <w:autoSpaceDN/>
              <w:adjustRightInd/>
              <w:spacing w:line="233" w:lineRule="auto"/>
              <w:jc w:val="center"/>
              <w:rPr>
                <w:color w:val="000000"/>
                <w:sz w:val="20"/>
                <w:szCs w:val="20"/>
              </w:rPr>
            </w:pPr>
            <w:r w:rsidRPr="0047440B">
              <w:rPr>
                <w:color w:val="000000"/>
                <w:sz w:val="20"/>
                <w:szCs w:val="20"/>
              </w:rPr>
              <w:t>32 010</w:t>
            </w:r>
          </w:p>
        </w:tc>
        <w:tc>
          <w:tcPr>
            <w:tcW w:w="1121" w:type="dxa"/>
            <w:tcBorders>
              <w:top w:val="single" w:sz="4" w:space="0" w:color="auto"/>
              <w:left w:val="nil"/>
              <w:bottom w:val="single" w:sz="4" w:space="0" w:color="auto"/>
              <w:right w:val="single" w:sz="4" w:space="0" w:color="auto"/>
            </w:tcBorders>
            <w:shd w:val="clear" w:color="000000" w:fill="FFFFFF"/>
            <w:noWrap/>
          </w:tcPr>
          <w:p w:rsidR="00B21B24" w:rsidRPr="0047440B" w:rsidRDefault="00B21B24" w:rsidP="00B21B24">
            <w:pPr>
              <w:autoSpaceDE/>
              <w:autoSpaceDN/>
              <w:adjustRightInd/>
              <w:spacing w:line="233" w:lineRule="auto"/>
              <w:jc w:val="center"/>
              <w:rPr>
                <w:color w:val="000000"/>
                <w:sz w:val="20"/>
                <w:szCs w:val="20"/>
              </w:rPr>
            </w:pPr>
            <w:r w:rsidRPr="0047440B">
              <w:rPr>
                <w:color w:val="000000"/>
                <w:sz w:val="20"/>
                <w:szCs w:val="20"/>
              </w:rPr>
              <w:t>32 010</w:t>
            </w:r>
          </w:p>
        </w:tc>
        <w:tc>
          <w:tcPr>
            <w:tcW w:w="1217" w:type="dxa"/>
            <w:tcBorders>
              <w:top w:val="single" w:sz="4" w:space="0" w:color="auto"/>
              <w:left w:val="nil"/>
              <w:bottom w:val="single" w:sz="4" w:space="0" w:color="auto"/>
              <w:right w:val="single" w:sz="4" w:space="0" w:color="auto"/>
            </w:tcBorders>
            <w:shd w:val="clear" w:color="000000" w:fill="FFFFFF"/>
          </w:tcPr>
          <w:p w:rsidR="00B21B24" w:rsidRPr="0047440B" w:rsidRDefault="00B21B24" w:rsidP="00B21B24">
            <w:pPr>
              <w:autoSpaceDE/>
              <w:autoSpaceDN/>
              <w:adjustRightInd/>
              <w:spacing w:line="233" w:lineRule="auto"/>
              <w:jc w:val="center"/>
              <w:rPr>
                <w:color w:val="000000"/>
                <w:sz w:val="20"/>
                <w:szCs w:val="20"/>
              </w:rPr>
            </w:pPr>
            <w:r w:rsidRPr="0047440B">
              <w:rPr>
                <w:color w:val="000000"/>
                <w:sz w:val="20"/>
                <w:szCs w:val="20"/>
              </w:rPr>
              <w:t>2</w:t>
            </w:r>
          </w:p>
        </w:tc>
      </w:tr>
      <w:tr w:rsidR="00B21B24" w:rsidRPr="0047440B" w:rsidTr="00E474AD">
        <w:trPr>
          <w:trHeight w:val="20"/>
          <w:jc w:val="center"/>
        </w:trPr>
        <w:tc>
          <w:tcPr>
            <w:tcW w:w="486" w:type="dxa"/>
            <w:tcBorders>
              <w:top w:val="nil"/>
              <w:left w:val="single" w:sz="4" w:space="0" w:color="auto"/>
              <w:bottom w:val="single" w:sz="4" w:space="0" w:color="auto"/>
              <w:right w:val="single" w:sz="4" w:space="0" w:color="auto"/>
            </w:tcBorders>
            <w:shd w:val="clear" w:color="000000" w:fill="FFFFFF"/>
            <w:noWrap/>
          </w:tcPr>
          <w:p w:rsidR="00B21B24" w:rsidRPr="0047440B" w:rsidRDefault="00B21B24" w:rsidP="00B21B24">
            <w:pPr>
              <w:autoSpaceDE/>
              <w:autoSpaceDN/>
              <w:adjustRightInd/>
              <w:spacing w:line="233" w:lineRule="auto"/>
              <w:rPr>
                <w:color w:val="000000"/>
                <w:sz w:val="20"/>
                <w:szCs w:val="20"/>
              </w:rPr>
            </w:pPr>
            <w:r w:rsidRPr="0047440B">
              <w:rPr>
                <w:color w:val="000000"/>
                <w:sz w:val="20"/>
                <w:szCs w:val="20"/>
              </w:rPr>
              <w:t>50.</w:t>
            </w:r>
          </w:p>
        </w:tc>
        <w:tc>
          <w:tcPr>
            <w:tcW w:w="2917" w:type="dxa"/>
            <w:tcBorders>
              <w:top w:val="nil"/>
              <w:left w:val="single" w:sz="4" w:space="0" w:color="auto"/>
              <w:bottom w:val="single" w:sz="4" w:space="0" w:color="auto"/>
              <w:right w:val="single" w:sz="4" w:space="0" w:color="auto"/>
            </w:tcBorders>
            <w:shd w:val="clear" w:color="auto" w:fill="auto"/>
          </w:tcPr>
          <w:p w:rsidR="00B21B24" w:rsidRPr="0047440B" w:rsidRDefault="00B21B24" w:rsidP="00B21B24">
            <w:pPr>
              <w:rPr>
                <w:color w:val="000000"/>
                <w:sz w:val="20"/>
                <w:szCs w:val="20"/>
              </w:rPr>
            </w:pPr>
            <w:r w:rsidRPr="0047440B">
              <w:rPr>
                <w:color w:val="000000"/>
                <w:sz w:val="20"/>
                <w:szCs w:val="20"/>
              </w:rPr>
              <w:t xml:space="preserve">ГАУЗ «Городская больница № 11» г.Казани </w:t>
            </w:r>
          </w:p>
        </w:tc>
        <w:tc>
          <w:tcPr>
            <w:tcW w:w="1233" w:type="dxa"/>
            <w:tcBorders>
              <w:top w:val="nil"/>
              <w:left w:val="single" w:sz="4" w:space="0" w:color="auto"/>
              <w:bottom w:val="single" w:sz="4" w:space="0" w:color="auto"/>
              <w:right w:val="single" w:sz="4" w:space="0" w:color="auto"/>
            </w:tcBorders>
            <w:shd w:val="clear" w:color="auto" w:fill="auto"/>
            <w:noWrap/>
          </w:tcPr>
          <w:p w:rsidR="00B21B24" w:rsidRPr="0047440B" w:rsidRDefault="00B21B24" w:rsidP="00B21B24">
            <w:pPr>
              <w:jc w:val="center"/>
              <w:rPr>
                <w:color w:val="000000"/>
                <w:sz w:val="20"/>
                <w:szCs w:val="20"/>
              </w:rPr>
            </w:pPr>
            <w:r w:rsidRPr="0047440B">
              <w:rPr>
                <w:color w:val="000000"/>
                <w:sz w:val="20"/>
                <w:szCs w:val="20"/>
              </w:rPr>
              <w:t>2</w:t>
            </w:r>
          </w:p>
        </w:tc>
        <w:tc>
          <w:tcPr>
            <w:tcW w:w="816" w:type="dxa"/>
            <w:tcBorders>
              <w:top w:val="nil"/>
              <w:left w:val="single" w:sz="4" w:space="0" w:color="auto"/>
              <w:bottom w:val="single" w:sz="4" w:space="0" w:color="auto"/>
              <w:right w:val="single" w:sz="4" w:space="0" w:color="auto"/>
            </w:tcBorders>
            <w:shd w:val="clear" w:color="auto" w:fill="auto"/>
            <w:noWrap/>
          </w:tcPr>
          <w:p w:rsidR="00B21B24" w:rsidRPr="0047440B" w:rsidRDefault="00B21B24" w:rsidP="00B21B24">
            <w:pPr>
              <w:jc w:val="center"/>
              <w:rPr>
                <w:color w:val="000000"/>
                <w:sz w:val="20"/>
                <w:szCs w:val="20"/>
              </w:rPr>
            </w:pPr>
            <w:r w:rsidRPr="0047440B">
              <w:rPr>
                <w:color w:val="000000"/>
                <w:sz w:val="20"/>
                <w:szCs w:val="20"/>
              </w:rPr>
              <w:t>2,00</w:t>
            </w:r>
          </w:p>
        </w:tc>
        <w:tc>
          <w:tcPr>
            <w:tcW w:w="792" w:type="dxa"/>
            <w:tcBorders>
              <w:top w:val="nil"/>
              <w:left w:val="nil"/>
              <w:bottom w:val="single" w:sz="4" w:space="0" w:color="auto"/>
              <w:right w:val="single" w:sz="4" w:space="0" w:color="auto"/>
            </w:tcBorders>
            <w:shd w:val="clear" w:color="auto" w:fill="auto"/>
            <w:noWrap/>
          </w:tcPr>
          <w:p w:rsidR="00B21B24" w:rsidRPr="0047440B" w:rsidRDefault="00B21B24" w:rsidP="00B21B24">
            <w:pPr>
              <w:jc w:val="center"/>
              <w:rPr>
                <w:color w:val="000000"/>
                <w:sz w:val="20"/>
                <w:szCs w:val="20"/>
              </w:rPr>
            </w:pPr>
            <w:r w:rsidRPr="0047440B">
              <w:rPr>
                <w:color w:val="000000"/>
                <w:sz w:val="20"/>
                <w:szCs w:val="20"/>
              </w:rPr>
              <w:t>2,00</w:t>
            </w:r>
          </w:p>
        </w:tc>
        <w:tc>
          <w:tcPr>
            <w:tcW w:w="1239" w:type="dxa"/>
            <w:tcBorders>
              <w:top w:val="nil"/>
              <w:left w:val="single" w:sz="4" w:space="0" w:color="auto"/>
              <w:bottom w:val="single" w:sz="4" w:space="0" w:color="auto"/>
              <w:right w:val="single" w:sz="4" w:space="0" w:color="auto"/>
            </w:tcBorders>
            <w:shd w:val="clear" w:color="auto" w:fill="auto"/>
            <w:noWrap/>
          </w:tcPr>
          <w:p w:rsidR="00B21B24" w:rsidRPr="0047440B" w:rsidRDefault="00B21B24" w:rsidP="00B21B24">
            <w:pPr>
              <w:jc w:val="center"/>
              <w:rPr>
                <w:color w:val="000000"/>
                <w:sz w:val="20"/>
                <w:szCs w:val="20"/>
              </w:rPr>
            </w:pPr>
            <w:r w:rsidRPr="0047440B">
              <w:rPr>
                <w:color w:val="000000"/>
                <w:sz w:val="20"/>
                <w:szCs w:val="20"/>
              </w:rPr>
              <w:t>2</w:t>
            </w:r>
          </w:p>
        </w:tc>
        <w:tc>
          <w:tcPr>
            <w:tcW w:w="952" w:type="dxa"/>
            <w:tcBorders>
              <w:top w:val="nil"/>
              <w:left w:val="nil"/>
              <w:bottom w:val="single" w:sz="4" w:space="0" w:color="auto"/>
              <w:right w:val="single" w:sz="4" w:space="0" w:color="auto"/>
            </w:tcBorders>
            <w:shd w:val="clear" w:color="000000" w:fill="FFFFFF"/>
            <w:noWrap/>
          </w:tcPr>
          <w:p w:rsidR="00B21B24" w:rsidRPr="0047440B" w:rsidRDefault="00B21B24" w:rsidP="00B21B24">
            <w:pPr>
              <w:autoSpaceDE/>
              <w:autoSpaceDN/>
              <w:adjustRightInd/>
              <w:spacing w:line="233" w:lineRule="auto"/>
              <w:jc w:val="center"/>
              <w:rPr>
                <w:color w:val="000000"/>
                <w:sz w:val="20"/>
                <w:szCs w:val="20"/>
              </w:rPr>
            </w:pPr>
            <w:r w:rsidRPr="0047440B">
              <w:rPr>
                <w:color w:val="000000"/>
                <w:sz w:val="20"/>
                <w:szCs w:val="20"/>
              </w:rPr>
              <w:t>19 552</w:t>
            </w:r>
          </w:p>
        </w:tc>
        <w:tc>
          <w:tcPr>
            <w:tcW w:w="1121" w:type="dxa"/>
            <w:tcBorders>
              <w:top w:val="nil"/>
              <w:left w:val="nil"/>
              <w:bottom w:val="single" w:sz="4" w:space="0" w:color="auto"/>
              <w:right w:val="single" w:sz="4" w:space="0" w:color="auto"/>
            </w:tcBorders>
            <w:shd w:val="clear" w:color="000000" w:fill="FFFFFF"/>
            <w:noWrap/>
          </w:tcPr>
          <w:p w:rsidR="00B21B24" w:rsidRPr="0047440B" w:rsidRDefault="00B21B24" w:rsidP="00B21B24">
            <w:pPr>
              <w:autoSpaceDE/>
              <w:autoSpaceDN/>
              <w:adjustRightInd/>
              <w:spacing w:line="233" w:lineRule="auto"/>
              <w:jc w:val="center"/>
              <w:rPr>
                <w:color w:val="000000"/>
                <w:sz w:val="20"/>
                <w:szCs w:val="20"/>
              </w:rPr>
            </w:pPr>
            <w:r w:rsidRPr="0047440B">
              <w:rPr>
                <w:color w:val="000000"/>
                <w:sz w:val="20"/>
                <w:szCs w:val="20"/>
              </w:rPr>
              <w:t>9 776</w:t>
            </w:r>
          </w:p>
        </w:tc>
        <w:tc>
          <w:tcPr>
            <w:tcW w:w="1217" w:type="dxa"/>
            <w:tcBorders>
              <w:top w:val="nil"/>
              <w:left w:val="nil"/>
              <w:bottom w:val="single" w:sz="4" w:space="0" w:color="auto"/>
              <w:right w:val="single" w:sz="4" w:space="0" w:color="auto"/>
            </w:tcBorders>
            <w:shd w:val="clear" w:color="000000" w:fill="FFFFFF"/>
          </w:tcPr>
          <w:p w:rsidR="00B21B24" w:rsidRPr="0047440B" w:rsidRDefault="00B21B24" w:rsidP="00B21B24">
            <w:pPr>
              <w:autoSpaceDE/>
              <w:autoSpaceDN/>
              <w:adjustRightInd/>
              <w:spacing w:line="233" w:lineRule="auto"/>
              <w:jc w:val="center"/>
              <w:rPr>
                <w:color w:val="000000"/>
                <w:sz w:val="20"/>
                <w:szCs w:val="20"/>
              </w:rPr>
            </w:pPr>
            <w:r w:rsidRPr="0047440B">
              <w:rPr>
                <w:color w:val="000000"/>
                <w:sz w:val="20"/>
                <w:szCs w:val="20"/>
              </w:rPr>
              <w:t>2</w:t>
            </w:r>
          </w:p>
        </w:tc>
      </w:tr>
      <w:tr w:rsidR="00B21B24" w:rsidRPr="0047440B" w:rsidTr="00E474AD">
        <w:trPr>
          <w:trHeight w:val="20"/>
          <w:jc w:val="center"/>
        </w:trPr>
        <w:tc>
          <w:tcPr>
            <w:tcW w:w="486" w:type="dxa"/>
            <w:tcBorders>
              <w:top w:val="nil"/>
              <w:left w:val="single" w:sz="4" w:space="0" w:color="auto"/>
              <w:bottom w:val="single" w:sz="4" w:space="0" w:color="auto"/>
              <w:right w:val="single" w:sz="4" w:space="0" w:color="auto"/>
            </w:tcBorders>
            <w:shd w:val="clear" w:color="000000" w:fill="FFFFFF"/>
            <w:noWrap/>
          </w:tcPr>
          <w:p w:rsidR="00B21B24" w:rsidRPr="0047440B" w:rsidRDefault="00B21B24" w:rsidP="00B21B24">
            <w:pPr>
              <w:autoSpaceDE/>
              <w:autoSpaceDN/>
              <w:adjustRightInd/>
              <w:spacing w:line="233" w:lineRule="auto"/>
              <w:jc w:val="center"/>
              <w:rPr>
                <w:color w:val="000000"/>
                <w:sz w:val="20"/>
                <w:szCs w:val="20"/>
              </w:rPr>
            </w:pPr>
            <w:r w:rsidRPr="0047440B">
              <w:rPr>
                <w:color w:val="000000"/>
                <w:sz w:val="20"/>
                <w:szCs w:val="20"/>
              </w:rPr>
              <w:t>51.</w:t>
            </w:r>
          </w:p>
        </w:tc>
        <w:tc>
          <w:tcPr>
            <w:tcW w:w="2917" w:type="dxa"/>
            <w:tcBorders>
              <w:top w:val="nil"/>
              <w:left w:val="single" w:sz="4" w:space="0" w:color="auto"/>
              <w:bottom w:val="single" w:sz="4" w:space="0" w:color="auto"/>
              <w:right w:val="single" w:sz="4" w:space="0" w:color="auto"/>
            </w:tcBorders>
            <w:shd w:val="clear" w:color="auto" w:fill="auto"/>
          </w:tcPr>
          <w:p w:rsidR="00B21B24" w:rsidRPr="0047440B" w:rsidRDefault="00B21B24" w:rsidP="00B21B24">
            <w:pPr>
              <w:rPr>
                <w:color w:val="000000"/>
                <w:sz w:val="20"/>
                <w:szCs w:val="20"/>
              </w:rPr>
            </w:pPr>
            <w:r w:rsidRPr="0047440B">
              <w:rPr>
                <w:color w:val="000000"/>
                <w:sz w:val="20"/>
                <w:szCs w:val="20"/>
              </w:rPr>
              <w:t xml:space="preserve">ГАУЗ «Городская клиническая больница №16" г.Казани  </w:t>
            </w:r>
          </w:p>
        </w:tc>
        <w:tc>
          <w:tcPr>
            <w:tcW w:w="1233" w:type="dxa"/>
            <w:tcBorders>
              <w:top w:val="nil"/>
              <w:left w:val="single" w:sz="4" w:space="0" w:color="auto"/>
              <w:bottom w:val="single" w:sz="4" w:space="0" w:color="auto"/>
              <w:right w:val="single" w:sz="4" w:space="0" w:color="auto"/>
            </w:tcBorders>
            <w:shd w:val="clear" w:color="auto" w:fill="auto"/>
            <w:noWrap/>
          </w:tcPr>
          <w:p w:rsidR="00B21B24" w:rsidRPr="0047440B" w:rsidRDefault="00B21B24" w:rsidP="00B21B24">
            <w:pPr>
              <w:jc w:val="center"/>
              <w:rPr>
                <w:color w:val="000000"/>
                <w:sz w:val="20"/>
                <w:szCs w:val="20"/>
              </w:rPr>
            </w:pPr>
            <w:r w:rsidRPr="0047440B">
              <w:rPr>
                <w:color w:val="000000"/>
                <w:sz w:val="20"/>
                <w:szCs w:val="20"/>
              </w:rPr>
              <w:t>2</w:t>
            </w:r>
          </w:p>
        </w:tc>
        <w:tc>
          <w:tcPr>
            <w:tcW w:w="816" w:type="dxa"/>
            <w:tcBorders>
              <w:top w:val="nil"/>
              <w:left w:val="single" w:sz="4" w:space="0" w:color="auto"/>
              <w:bottom w:val="single" w:sz="4" w:space="0" w:color="auto"/>
              <w:right w:val="single" w:sz="4" w:space="0" w:color="auto"/>
            </w:tcBorders>
            <w:shd w:val="clear" w:color="auto" w:fill="auto"/>
            <w:noWrap/>
          </w:tcPr>
          <w:p w:rsidR="00B21B24" w:rsidRPr="0047440B" w:rsidRDefault="00B21B24" w:rsidP="00B21B24">
            <w:pPr>
              <w:jc w:val="center"/>
              <w:rPr>
                <w:color w:val="000000"/>
                <w:sz w:val="20"/>
                <w:szCs w:val="20"/>
              </w:rPr>
            </w:pPr>
            <w:r w:rsidRPr="0047440B">
              <w:rPr>
                <w:color w:val="000000"/>
                <w:sz w:val="20"/>
                <w:szCs w:val="20"/>
              </w:rPr>
              <w:t>3,00</w:t>
            </w:r>
          </w:p>
        </w:tc>
        <w:tc>
          <w:tcPr>
            <w:tcW w:w="792" w:type="dxa"/>
            <w:tcBorders>
              <w:top w:val="nil"/>
              <w:left w:val="nil"/>
              <w:bottom w:val="single" w:sz="4" w:space="0" w:color="auto"/>
              <w:right w:val="single" w:sz="4" w:space="0" w:color="auto"/>
            </w:tcBorders>
            <w:shd w:val="clear" w:color="auto" w:fill="auto"/>
            <w:noWrap/>
          </w:tcPr>
          <w:p w:rsidR="00B21B24" w:rsidRPr="0047440B" w:rsidRDefault="00B21B24" w:rsidP="00B21B24">
            <w:pPr>
              <w:jc w:val="center"/>
              <w:rPr>
                <w:color w:val="000000"/>
                <w:sz w:val="20"/>
                <w:szCs w:val="20"/>
              </w:rPr>
            </w:pPr>
            <w:r w:rsidRPr="0047440B">
              <w:rPr>
                <w:color w:val="000000"/>
                <w:sz w:val="20"/>
                <w:szCs w:val="20"/>
              </w:rPr>
              <w:t>3,00</w:t>
            </w:r>
          </w:p>
        </w:tc>
        <w:tc>
          <w:tcPr>
            <w:tcW w:w="1239" w:type="dxa"/>
            <w:tcBorders>
              <w:top w:val="nil"/>
              <w:left w:val="single" w:sz="4" w:space="0" w:color="auto"/>
              <w:bottom w:val="single" w:sz="4" w:space="0" w:color="auto"/>
              <w:right w:val="single" w:sz="4" w:space="0" w:color="auto"/>
            </w:tcBorders>
            <w:shd w:val="clear" w:color="auto" w:fill="auto"/>
            <w:noWrap/>
          </w:tcPr>
          <w:p w:rsidR="00B21B24" w:rsidRPr="0047440B" w:rsidRDefault="00B21B24" w:rsidP="00B21B24">
            <w:pPr>
              <w:jc w:val="center"/>
              <w:rPr>
                <w:color w:val="000000"/>
                <w:sz w:val="20"/>
                <w:szCs w:val="20"/>
              </w:rPr>
            </w:pPr>
            <w:r w:rsidRPr="0047440B">
              <w:rPr>
                <w:color w:val="000000"/>
                <w:sz w:val="20"/>
                <w:szCs w:val="20"/>
              </w:rPr>
              <w:t>3</w:t>
            </w:r>
          </w:p>
        </w:tc>
        <w:tc>
          <w:tcPr>
            <w:tcW w:w="952" w:type="dxa"/>
            <w:tcBorders>
              <w:top w:val="nil"/>
              <w:left w:val="nil"/>
              <w:bottom w:val="single" w:sz="4" w:space="0" w:color="auto"/>
              <w:right w:val="single" w:sz="4" w:space="0" w:color="auto"/>
            </w:tcBorders>
            <w:shd w:val="clear" w:color="000000" w:fill="FFFFFF"/>
            <w:noWrap/>
          </w:tcPr>
          <w:p w:rsidR="00B21B24" w:rsidRPr="0047440B" w:rsidRDefault="00B21B24" w:rsidP="00B21B24">
            <w:pPr>
              <w:autoSpaceDE/>
              <w:autoSpaceDN/>
              <w:adjustRightInd/>
              <w:spacing w:line="233" w:lineRule="auto"/>
              <w:jc w:val="center"/>
              <w:rPr>
                <w:color w:val="000000"/>
                <w:sz w:val="20"/>
                <w:szCs w:val="20"/>
              </w:rPr>
            </w:pPr>
            <w:r w:rsidRPr="0047440B">
              <w:rPr>
                <w:color w:val="000000"/>
                <w:sz w:val="20"/>
                <w:szCs w:val="20"/>
              </w:rPr>
              <w:t>55 503</w:t>
            </w:r>
          </w:p>
        </w:tc>
        <w:tc>
          <w:tcPr>
            <w:tcW w:w="1121" w:type="dxa"/>
            <w:tcBorders>
              <w:top w:val="nil"/>
              <w:left w:val="nil"/>
              <w:bottom w:val="single" w:sz="4" w:space="0" w:color="auto"/>
              <w:right w:val="single" w:sz="4" w:space="0" w:color="auto"/>
            </w:tcBorders>
            <w:shd w:val="clear" w:color="000000" w:fill="FFFFFF"/>
            <w:noWrap/>
          </w:tcPr>
          <w:p w:rsidR="00B21B24" w:rsidRPr="0047440B" w:rsidRDefault="00B21B24" w:rsidP="00B21B24">
            <w:pPr>
              <w:autoSpaceDE/>
              <w:autoSpaceDN/>
              <w:adjustRightInd/>
              <w:spacing w:line="233" w:lineRule="auto"/>
              <w:jc w:val="center"/>
              <w:rPr>
                <w:color w:val="000000"/>
                <w:sz w:val="20"/>
                <w:szCs w:val="20"/>
              </w:rPr>
            </w:pPr>
            <w:r w:rsidRPr="0047440B">
              <w:rPr>
                <w:color w:val="000000"/>
                <w:sz w:val="20"/>
                <w:szCs w:val="20"/>
              </w:rPr>
              <w:t>27 752</w:t>
            </w:r>
          </w:p>
        </w:tc>
        <w:tc>
          <w:tcPr>
            <w:tcW w:w="1217" w:type="dxa"/>
            <w:tcBorders>
              <w:top w:val="nil"/>
              <w:left w:val="nil"/>
              <w:bottom w:val="single" w:sz="4" w:space="0" w:color="auto"/>
              <w:right w:val="single" w:sz="4" w:space="0" w:color="auto"/>
            </w:tcBorders>
            <w:shd w:val="clear" w:color="000000" w:fill="FFFFFF"/>
          </w:tcPr>
          <w:p w:rsidR="00B21B24" w:rsidRPr="0047440B" w:rsidRDefault="00B21B24" w:rsidP="00B21B24">
            <w:pPr>
              <w:autoSpaceDE/>
              <w:autoSpaceDN/>
              <w:adjustRightInd/>
              <w:spacing w:line="233" w:lineRule="auto"/>
              <w:jc w:val="center"/>
              <w:rPr>
                <w:color w:val="000000"/>
                <w:sz w:val="20"/>
                <w:szCs w:val="20"/>
              </w:rPr>
            </w:pPr>
            <w:r w:rsidRPr="0047440B">
              <w:rPr>
                <w:color w:val="000000"/>
                <w:sz w:val="20"/>
                <w:szCs w:val="20"/>
              </w:rPr>
              <w:t>1</w:t>
            </w:r>
          </w:p>
        </w:tc>
      </w:tr>
      <w:tr w:rsidR="00B21B24" w:rsidRPr="0047440B" w:rsidTr="00E474AD">
        <w:trPr>
          <w:trHeight w:val="20"/>
          <w:jc w:val="center"/>
        </w:trPr>
        <w:tc>
          <w:tcPr>
            <w:tcW w:w="486" w:type="dxa"/>
            <w:tcBorders>
              <w:top w:val="nil"/>
              <w:left w:val="single" w:sz="4" w:space="0" w:color="auto"/>
              <w:bottom w:val="single" w:sz="4" w:space="0" w:color="auto"/>
              <w:right w:val="single" w:sz="4" w:space="0" w:color="auto"/>
            </w:tcBorders>
            <w:shd w:val="clear" w:color="000000" w:fill="FFFFFF"/>
            <w:noWrap/>
          </w:tcPr>
          <w:p w:rsidR="00B21B24" w:rsidRPr="0047440B" w:rsidRDefault="00B21B24" w:rsidP="00B21B24">
            <w:pPr>
              <w:autoSpaceDE/>
              <w:autoSpaceDN/>
              <w:adjustRightInd/>
              <w:spacing w:line="233" w:lineRule="auto"/>
              <w:jc w:val="center"/>
              <w:rPr>
                <w:color w:val="000000"/>
                <w:sz w:val="20"/>
                <w:szCs w:val="20"/>
              </w:rPr>
            </w:pPr>
            <w:r w:rsidRPr="0047440B">
              <w:rPr>
                <w:color w:val="000000"/>
                <w:sz w:val="20"/>
                <w:szCs w:val="20"/>
              </w:rPr>
              <w:t>52.</w:t>
            </w:r>
          </w:p>
        </w:tc>
        <w:tc>
          <w:tcPr>
            <w:tcW w:w="2917" w:type="dxa"/>
            <w:tcBorders>
              <w:top w:val="nil"/>
              <w:left w:val="single" w:sz="4" w:space="0" w:color="auto"/>
              <w:bottom w:val="single" w:sz="4" w:space="0" w:color="auto"/>
              <w:right w:val="single" w:sz="4" w:space="0" w:color="auto"/>
            </w:tcBorders>
            <w:shd w:val="clear" w:color="auto" w:fill="auto"/>
          </w:tcPr>
          <w:p w:rsidR="00B21B24" w:rsidRPr="0047440B" w:rsidRDefault="00B21B24" w:rsidP="00B21B24">
            <w:pPr>
              <w:rPr>
                <w:color w:val="000000"/>
                <w:sz w:val="20"/>
                <w:szCs w:val="20"/>
              </w:rPr>
            </w:pPr>
            <w:r w:rsidRPr="0047440B">
              <w:rPr>
                <w:color w:val="000000"/>
                <w:sz w:val="20"/>
                <w:szCs w:val="20"/>
              </w:rPr>
              <w:t>ГАУЗ «Городская клиническая больница № 7» г.Казани</w:t>
            </w:r>
          </w:p>
        </w:tc>
        <w:tc>
          <w:tcPr>
            <w:tcW w:w="1233" w:type="dxa"/>
            <w:tcBorders>
              <w:top w:val="nil"/>
              <w:left w:val="single" w:sz="4" w:space="0" w:color="auto"/>
              <w:bottom w:val="single" w:sz="4" w:space="0" w:color="auto"/>
              <w:right w:val="single" w:sz="4" w:space="0" w:color="auto"/>
            </w:tcBorders>
            <w:shd w:val="clear" w:color="auto" w:fill="auto"/>
            <w:noWrap/>
          </w:tcPr>
          <w:p w:rsidR="00B21B24" w:rsidRPr="0047440B" w:rsidRDefault="00B21B24" w:rsidP="00B21B24">
            <w:pPr>
              <w:jc w:val="center"/>
              <w:rPr>
                <w:color w:val="000000"/>
                <w:sz w:val="20"/>
                <w:szCs w:val="20"/>
              </w:rPr>
            </w:pPr>
            <w:r w:rsidRPr="0047440B">
              <w:rPr>
                <w:color w:val="000000"/>
                <w:sz w:val="20"/>
                <w:szCs w:val="20"/>
              </w:rPr>
              <w:t>1</w:t>
            </w:r>
          </w:p>
        </w:tc>
        <w:tc>
          <w:tcPr>
            <w:tcW w:w="816" w:type="dxa"/>
            <w:tcBorders>
              <w:top w:val="nil"/>
              <w:left w:val="single" w:sz="4" w:space="0" w:color="auto"/>
              <w:bottom w:val="single" w:sz="4" w:space="0" w:color="auto"/>
              <w:right w:val="single" w:sz="4" w:space="0" w:color="auto"/>
            </w:tcBorders>
            <w:shd w:val="clear" w:color="auto" w:fill="auto"/>
            <w:noWrap/>
          </w:tcPr>
          <w:p w:rsidR="00B21B24" w:rsidRPr="0047440B" w:rsidRDefault="00B21B24" w:rsidP="00B21B24">
            <w:pPr>
              <w:jc w:val="center"/>
              <w:rPr>
                <w:color w:val="000000"/>
                <w:sz w:val="20"/>
                <w:szCs w:val="20"/>
              </w:rPr>
            </w:pPr>
            <w:r w:rsidRPr="0047440B">
              <w:rPr>
                <w:color w:val="000000"/>
                <w:sz w:val="20"/>
                <w:szCs w:val="20"/>
              </w:rPr>
              <w:t>3,25</w:t>
            </w:r>
          </w:p>
        </w:tc>
        <w:tc>
          <w:tcPr>
            <w:tcW w:w="792" w:type="dxa"/>
            <w:tcBorders>
              <w:top w:val="nil"/>
              <w:left w:val="nil"/>
              <w:bottom w:val="single" w:sz="4" w:space="0" w:color="auto"/>
              <w:right w:val="single" w:sz="4" w:space="0" w:color="auto"/>
            </w:tcBorders>
            <w:shd w:val="clear" w:color="auto" w:fill="auto"/>
            <w:noWrap/>
          </w:tcPr>
          <w:p w:rsidR="00B21B24" w:rsidRPr="0047440B" w:rsidRDefault="00B21B24" w:rsidP="00B21B24">
            <w:pPr>
              <w:jc w:val="center"/>
              <w:rPr>
                <w:color w:val="000000"/>
                <w:sz w:val="20"/>
                <w:szCs w:val="20"/>
              </w:rPr>
            </w:pPr>
            <w:r w:rsidRPr="0047440B">
              <w:rPr>
                <w:color w:val="000000"/>
                <w:sz w:val="20"/>
                <w:szCs w:val="20"/>
              </w:rPr>
              <w:t>3,25</w:t>
            </w:r>
          </w:p>
        </w:tc>
        <w:tc>
          <w:tcPr>
            <w:tcW w:w="1239" w:type="dxa"/>
            <w:tcBorders>
              <w:top w:val="nil"/>
              <w:left w:val="single" w:sz="4" w:space="0" w:color="auto"/>
              <w:bottom w:val="single" w:sz="4" w:space="0" w:color="auto"/>
              <w:right w:val="single" w:sz="4" w:space="0" w:color="auto"/>
            </w:tcBorders>
            <w:shd w:val="clear" w:color="auto" w:fill="auto"/>
            <w:noWrap/>
          </w:tcPr>
          <w:p w:rsidR="00B21B24" w:rsidRPr="0047440B" w:rsidRDefault="00B21B24" w:rsidP="00B21B24">
            <w:pPr>
              <w:jc w:val="center"/>
              <w:rPr>
                <w:color w:val="000000"/>
                <w:sz w:val="20"/>
                <w:szCs w:val="20"/>
              </w:rPr>
            </w:pPr>
            <w:r w:rsidRPr="0047440B">
              <w:rPr>
                <w:color w:val="000000"/>
                <w:sz w:val="20"/>
                <w:szCs w:val="20"/>
              </w:rPr>
              <w:t>2</w:t>
            </w:r>
          </w:p>
        </w:tc>
        <w:tc>
          <w:tcPr>
            <w:tcW w:w="952" w:type="dxa"/>
            <w:tcBorders>
              <w:top w:val="nil"/>
              <w:left w:val="nil"/>
              <w:bottom w:val="single" w:sz="4" w:space="0" w:color="auto"/>
              <w:right w:val="single" w:sz="4" w:space="0" w:color="auto"/>
            </w:tcBorders>
            <w:shd w:val="clear" w:color="000000" w:fill="FFFFFF"/>
            <w:noWrap/>
          </w:tcPr>
          <w:p w:rsidR="00B21B24" w:rsidRPr="0047440B" w:rsidRDefault="00B21B24" w:rsidP="00B21B24">
            <w:pPr>
              <w:autoSpaceDE/>
              <w:autoSpaceDN/>
              <w:adjustRightInd/>
              <w:spacing w:line="233" w:lineRule="auto"/>
              <w:jc w:val="center"/>
              <w:rPr>
                <w:color w:val="000000"/>
                <w:sz w:val="20"/>
                <w:szCs w:val="20"/>
              </w:rPr>
            </w:pPr>
            <w:r w:rsidRPr="0047440B">
              <w:rPr>
                <w:color w:val="000000"/>
                <w:sz w:val="20"/>
                <w:szCs w:val="20"/>
              </w:rPr>
              <w:t>86 813</w:t>
            </w:r>
          </w:p>
        </w:tc>
        <w:tc>
          <w:tcPr>
            <w:tcW w:w="1121" w:type="dxa"/>
            <w:tcBorders>
              <w:top w:val="nil"/>
              <w:left w:val="nil"/>
              <w:bottom w:val="single" w:sz="4" w:space="0" w:color="auto"/>
              <w:right w:val="single" w:sz="4" w:space="0" w:color="auto"/>
            </w:tcBorders>
            <w:shd w:val="clear" w:color="000000" w:fill="FFFFFF"/>
            <w:noWrap/>
          </w:tcPr>
          <w:p w:rsidR="00B21B24" w:rsidRPr="0047440B" w:rsidRDefault="00B21B24" w:rsidP="00B21B24">
            <w:pPr>
              <w:autoSpaceDE/>
              <w:autoSpaceDN/>
              <w:adjustRightInd/>
              <w:spacing w:line="233" w:lineRule="auto"/>
              <w:jc w:val="center"/>
              <w:rPr>
                <w:color w:val="000000"/>
                <w:sz w:val="20"/>
                <w:szCs w:val="20"/>
              </w:rPr>
            </w:pPr>
            <w:r w:rsidRPr="0047440B">
              <w:rPr>
                <w:color w:val="000000"/>
                <w:sz w:val="20"/>
                <w:szCs w:val="20"/>
              </w:rPr>
              <w:t>86 813</w:t>
            </w:r>
          </w:p>
        </w:tc>
        <w:tc>
          <w:tcPr>
            <w:tcW w:w="1217" w:type="dxa"/>
            <w:tcBorders>
              <w:top w:val="nil"/>
              <w:left w:val="nil"/>
              <w:bottom w:val="single" w:sz="4" w:space="0" w:color="auto"/>
              <w:right w:val="single" w:sz="4" w:space="0" w:color="auto"/>
            </w:tcBorders>
            <w:shd w:val="clear" w:color="000000" w:fill="FFFFFF"/>
          </w:tcPr>
          <w:p w:rsidR="00B21B24" w:rsidRPr="0047440B" w:rsidRDefault="00B21B24" w:rsidP="00B21B24">
            <w:pPr>
              <w:autoSpaceDE/>
              <w:autoSpaceDN/>
              <w:adjustRightInd/>
              <w:spacing w:line="233" w:lineRule="auto"/>
              <w:jc w:val="center"/>
              <w:rPr>
                <w:color w:val="000000"/>
                <w:sz w:val="20"/>
                <w:szCs w:val="20"/>
              </w:rPr>
            </w:pPr>
            <w:r w:rsidRPr="0047440B">
              <w:rPr>
                <w:color w:val="000000"/>
                <w:sz w:val="20"/>
                <w:szCs w:val="20"/>
              </w:rPr>
              <w:t>2</w:t>
            </w:r>
          </w:p>
        </w:tc>
      </w:tr>
      <w:tr w:rsidR="00B21B24" w:rsidRPr="0047440B" w:rsidTr="00F6052B">
        <w:trPr>
          <w:trHeight w:val="20"/>
          <w:jc w:val="center"/>
        </w:trPr>
        <w:tc>
          <w:tcPr>
            <w:tcW w:w="486" w:type="dxa"/>
            <w:tcBorders>
              <w:top w:val="nil"/>
              <w:left w:val="single" w:sz="4" w:space="0" w:color="auto"/>
              <w:bottom w:val="single" w:sz="4" w:space="0" w:color="auto"/>
              <w:right w:val="single" w:sz="4" w:space="0" w:color="auto"/>
            </w:tcBorders>
            <w:shd w:val="clear" w:color="000000" w:fill="FFFFFF"/>
            <w:noWrap/>
          </w:tcPr>
          <w:p w:rsidR="00B21B24" w:rsidRPr="0047440B" w:rsidRDefault="00B21B24" w:rsidP="00B21B24">
            <w:pPr>
              <w:autoSpaceDE/>
              <w:autoSpaceDN/>
              <w:adjustRightInd/>
              <w:spacing w:line="233" w:lineRule="auto"/>
              <w:jc w:val="center"/>
              <w:rPr>
                <w:color w:val="000000"/>
                <w:sz w:val="20"/>
                <w:szCs w:val="20"/>
              </w:rPr>
            </w:pPr>
            <w:r w:rsidRPr="0047440B">
              <w:rPr>
                <w:color w:val="000000"/>
                <w:sz w:val="20"/>
                <w:szCs w:val="20"/>
              </w:rPr>
              <w:t>53.</w:t>
            </w:r>
          </w:p>
        </w:tc>
        <w:tc>
          <w:tcPr>
            <w:tcW w:w="2917" w:type="dxa"/>
            <w:tcBorders>
              <w:top w:val="nil"/>
              <w:left w:val="single" w:sz="4" w:space="0" w:color="auto"/>
              <w:bottom w:val="single" w:sz="4" w:space="0" w:color="auto"/>
              <w:right w:val="single" w:sz="4" w:space="0" w:color="auto"/>
            </w:tcBorders>
            <w:shd w:val="clear" w:color="auto" w:fill="auto"/>
          </w:tcPr>
          <w:p w:rsidR="00B21B24" w:rsidRPr="0047440B" w:rsidRDefault="00B21B24" w:rsidP="00B21B24">
            <w:pPr>
              <w:rPr>
                <w:color w:val="000000"/>
                <w:sz w:val="20"/>
                <w:szCs w:val="20"/>
              </w:rPr>
            </w:pPr>
            <w:r w:rsidRPr="0047440B">
              <w:rPr>
                <w:color w:val="000000"/>
                <w:sz w:val="20"/>
                <w:szCs w:val="20"/>
              </w:rPr>
              <w:t>ГАУЗ «Городская поликлиника № 10» г.Казани</w:t>
            </w:r>
          </w:p>
        </w:tc>
        <w:tc>
          <w:tcPr>
            <w:tcW w:w="1233" w:type="dxa"/>
            <w:tcBorders>
              <w:top w:val="nil"/>
              <w:left w:val="single" w:sz="4" w:space="0" w:color="auto"/>
              <w:bottom w:val="single" w:sz="4" w:space="0" w:color="auto"/>
              <w:right w:val="single" w:sz="4" w:space="0" w:color="auto"/>
            </w:tcBorders>
            <w:shd w:val="clear" w:color="auto" w:fill="auto"/>
            <w:noWrap/>
          </w:tcPr>
          <w:p w:rsidR="00B21B24" w:rsidRPr="0047440B" w:rsidRDefault="00B21B24" w:rsidP="00B21B24">
            <w:pPr>
              <w:jc w:val="center"/>
              <w:rPr>
                <w:color w:val="000000"/>
                <w:sz w:val="20"/>
                <w:szCs w:val="20"/>
              </w:rPr>
            </w:pPr>
            <w:r w:rsidRPr="0047440B">
              <w:rPr>
                <w:color w:val="000000"/>
                <w:sz w:val="20"/>
                <w:szCs w:val="20"/>
              </w:rPr>
              <w:t>1</w:t>
            </w:r>
          </w:p>
        </w:tc>
        <w:tc>
          <w:tcPr>
            <w:tcW w:w="816" w:type="dxa"/>
            <w:tcBorders>
              <w:top w:val="nil"/>
              <w:left w:val="single" w:sz="4" w:space="0" w:color="auto"/>
              <w:bottom w:val="single" w:sz="4" w:space="0" w:color="auto"/>
              <w:right w:val="single" w:sz="4" w:space="0" w:color="auto"/>
            </w:tcBorders>
            <w:shd w:val="clear" w:color="auto" w:fill="auto"/>
            <w:noWrap/>
          </w:tcPr>
          <w:p w:rsidR="00B21B24" w:rsidRPr="0047440B" w:rsidRDefault="00B21B24" w:rsidP="00B21B24">
            <w:pPr>
              <w:jc w:val="center"/>
              <w:rPr>
                <w:color w:val="000000"/>
                <w:sz w:val="20"/>
                <w:szCs w:val="20"/>
              </w:rPr>
            </w:pPr>
            <w:r w:rsidRPr="0047440B">
              <w:rPr>
                <w:color w:val="000000"/>
                <w:sz w:val="20"/>
                <w:szCs w:val="20"/>
              </w:rPr>
              <w:t>4,00</w:t>
            </w:r>
          </w:p>
        </w:tc>
        <w:tc>
          <w:tcPr>
            <w:tcW w:w="792" w:type="dxa"/>
            <w:tcBorders>
              <w:top w:val="nil"/>
              <w:left w:val="nil"/>
              <w:bottom w:val="single" w:sz="4" w:space="0" w:color="auto"/>
              <w:right w:val="single" w:sz="4" w:space="0" w:color="auto"/>
            </w:tcBorders>
            <w:shd w:val="clear" w:color="auto" w:fill="auto"/>
            <w:noWrap/>
          </w:tcPr>
          <w:p w:rsidR="00B21B24" w:rsidRPr="0047440B" w:rsidRDefault="00B21B24" w:rsidP="00B21B24">
            <w:pPr>
              <w:jc w:val="center"/>
              <w:rPr>
                <w:color w:val="000000"/>
                <w:sz w:val="20"/>
                <w:szCs w:val="20"/>
              </w:rPr>
            </w:pPr>
            <w:r w:rsidRPr="0047440B">
              <w:rPr>
                <w:color w:val="000000"/>
                <w:sz w:val="20"/>
                <w:szCs w:val="20"/>
              </w:rPr>
              <w:t>4,00</w:t>
            </w:r>
          </w:p>
        </w:tc>
        <w:tc>
          <w:tcPr>
            <w:tcW w:w="1239" w:type="dxa"/>
            <w:tcBorders>
              <w:top w:val="nil"/>
              <w:left w:val="single" w:sz="4" w:space="0" w:color="auto"/>
              <w:bottom w:val="single" w:sz="4" w:space="0" w:color="auto"/>
              <w:right w:val="single" w:sz="4" w:space="0" w:color="auto"/>
            </w:tcBorders>
            <w:shd w:val="clear" w:color="auto" w:fill="auto"/>
            <w:noWrap/>
          </w:tcPr>
          <w:p w:rsidR="00B21B24" w:rsidRPr="0047440B" w:rsidRDefault="00B21B24" w:rsidP="00B21B24">
            <w:pPr>
              <w:jc w:val="center"/>
              <w:rPr>
                <w:color w:val="000000"/>
                <w:sz w:val="20"/>
                <w:szCs w:val="20"/>
              </w:rPr>
            </w:pPr>
            <w:r w:rsidRPr="0047440B">
              <w:rPr>
                <w:color w:val="000000"/>
                <w:sz w:val="20"/>
                <w:szCs w:val="20"/>
              </w:rPr>
              <w:t>9</w:t>
            </w:r>
          </w:p>
        </w:tc>
        <w:tc>
          <w:tcPr>
            <w:tcW w:w="952" w:type="dxa"/>
            <w:tcBorders>
              <w:top w:val="nil"/>
              <w:left w:val="nil"/>
              <w:bottom w:val="single" w:sz="4" w:space="0" w:color="auto"/>
              <w:right w:val="single" w:sz="4" w:space="0" w:color="auto"/>
            </w:tcBorders>
            <w:shd w:val="clear" w:color="000000" w:fill="FFFFFF"/>
            <w:noWrap/>
          </w:tcPr>
          <w:p w:rsidR="00B21B24" w:rsidRPr="0047440B" w:rsidRDefault="00B21B24" w:rsidP="00B21B24">
            <w:pPr>
              <w:autoSpaceDE/>
              <w:autoSpaceDN/>
              <w:adjustRightInd/>
              <w:spacing w:line="233" w:lineRule="auto"/>
              <w:jc w:val="center"/>
              <w:rPr>
                <w:color w:val="000000"/>
                <w:sz w:val="20"/>
                <w:szCs w:val="20"/>
              </w:rPr>
            </w:pPr>
            <w:r w:rsidRPr="0047440B">
              <w:rPr>
                <w:color w:val="000000"/>
                <w:sz w:val="20"/>
                <w:szCs w:val="20"/>
              </w:rPr>
              <w:t>52 921</w:t>
            </w:r>
          </w:p>
        </w:tc>
        <w:tc>
          <w:tcPr>
            <w:tcW w:w="1121" w:type="dxa"/>
            <w:tcBorders>
              <w:top w:val="nil"/>
              <w:left w:val="nil"/>
              <w:bottom w:val="single" w:sz="4" w:space="0" w:color="auto"/>
              <w:right w:val="single" w:sz="4" w:space="0" w:color="auto"/>
            </w:tcBorders>
            <w:shd w:val="clear" w:color="000000" w:fill="FFFFFF"/>
            <w:noWrap/>
          </w:tcPr>
          <w:p w:rsidR="00B21B24" w:rsidRPr="0047440B" w:rsidRDefault="00B21B24" w:rsidP="00B21B24">
            <w:pPr>
              <w:autoSpaceDE/>
              <w:autoSpaceDN/>
              <w:adjustRightInd/>
              <w:spacing w:line="233" w:lineRule="auto"/>
              <w:jc w:val="center"/>
              <w:rPr>
                <w:color w:val="000000"/>
                <w:sz w:val="20"/>
                <w:szCs w:val="20"/>
              </w:rPr>
            </w:pPr>
            <w:r w:rsidRPr="0047440B">
              <w:rPr>
                <w:color w:val="000000"/>
                <w:sz w:val="20"/>
                <w:szCs w:val="20"/>
              </w:rPr>
              <w:t>52 921</w:t>
            </w:r>
          </w:p>
        </w:tc>
        <w:tc>
          <w:tcPr>
            <w:tcW w:w="1217" w:type="dxa"/>
            <w:tcBorders>
              <w:top w:val="nil"/>
              <w:left w:val="nil"/>
              <w:bottom w:val="single" w:sz="4" w:space="0" w:color="auto"/>
              <w:right w:val="single" w:sz="4" w:space="0" w:color="auto"/>
            </w:tcBorders>
            <w:shd w:val="clear" w:color="000000" w:fill="FFFFFF"/>
          </w:tcPr>
          <w:p w:rsidR="00B21B24" w:rsidRPr="0047440B" w:rsidRDefault="00B21B24" w:rsidP="00B21B24">
            <w:pPr>
              <w:autoSpaceDE/>
              <w:autoSpaceDN/>
              <w:adjustRightInd/>
              <w:spacing w:line="233" w:lineRule="auto"/>
              <w:jc w:val="center"/>
              <w:rPr>
                <w:color w:val="000000"/>
                <w:sz w:val="20"/>
                <w:szCs w:val="20"/>
              </w:rPr>
            </w:pPr>
            <w:r w:rsidRPr="0047440B">
              <w:rPr>
                <w:color w:val="000000"/>
                <w:sz w:val="20"/>
                <w:szCs w:val="20"/>
              </w:rPr>
              <w:t>2</w:t>
            </w:r>
          </w:p>
        </w:tc>
      </w:tr>
      <w:tr w:rsidR="00C40820" w:rsidRPr="0047440B" w:rsidTr="007E4743">
        <w:trPr>
          <w:trHeight w:val="20"/>
          <w:jc w:val="center"/>
        </w:trPr>
        <w:tc>
          <w:tcPr>
            <w:tcW w:w="486" w:type="dxa"/>
            <w:tcBorders>
              <w:top w:val="single" w:sz="4" w:space="0" w:color="auto"/>
              <w:left w:val="single" w:sz="4" w:space="0" w:color="auto"/>
              <w:bottom w:val="single" w:sz="4" w:space="0" w:color="auto"/>
              <w:right w:val="single" w:sz="4" w:space="0" w:color="auto"/>
            </w:tcBorders>
            <w:shd w:val="clear" w:color="000000" w:fill="FFFFFF"/>
            <w:noWrap/>
          </w:tcPr>
          <w:p w:rsidR="00C40820" w:rsidRPr="0047440B" w:rsidRDefault="00C40820" w:rsidP="00C40820">
            <w:pPr>
              <w:autoSpaceDE/>
              <w:autoSpaceDN/>
              <w:adjustRightInd/>
              <w:spacing w:line="233" w:lineRule="auto"/>
              <w:jc w:val="center"/>
              <w:rPr>
                <w:color w:val="000000"/>
                <w:sz w:val="20"/>
                <w:szCs w:val="20"/>
              </w:rPr>
            </w:pPr>
            <w:r w:rsidRPr="0047440B">
              <w:rPr>
                <w:color w:val="000000"/>
                <w:sz w:val="20"/>
                <w:szCs w:val="20"/>
              </w:rPr>
              <w:t>54.</w:t>
            </w:r>
          </w:p>
        </w:tc>
        <w:tc>
          <w:tcPr>
            <w:tcW w:w="2917" w:type="dxa"/>
            <w:tcBorders>
              <w:top w:val="single" w:sz="4" w:space="0" w:color="auto"/>
              <w:left w:val="single" w:sz="4" w:space="0" w:color="auto"/>
              <w:bottom w:val="single" w:sz="4" w:space="0" w:color="auto"/>
              <w:right w:val="single" w:sz="4" w:space="0" w:color="auto"/>
            </w:tcBorders>
            <w:shd w:val="clear" w:color="auto" w:fill="auto"/>
          </w:tcPr>
          <w:p w:rsidR="00C40820" w:rsidRPr="0047440B" w:rsidRDefault="00C40820" w:rsidP="00C40820">
            <w:pPr>
              <w:rPr>
                <w:color w:val="000000"/>
                <w:sz w:val="20"/>
                <w:szCs w:val="20"/>
              </w:rPr>
            </w:pPr>
            <w:r w:rsidRPr="0047440B">
              <w:rPr>
                <w:color w:val="000000"/>
                <w:sz w:val="20"/>
                <w:szCs w:val="20"/>
              </w:rPr>
              <w:t>ГАУЗ «Городская поликлиника № 18» г.Казани</w:t>
            </w:r>
          </w:p>
        </w:tc>
        <w:tc>
          <w:tcPr>
            <w:tcW w:w="1233" w:type="dxa"/>
            <w:tcBorders>
              <w:top w:val="single" w:sz="4" w:space="0" w:color="auto"/>
              <w:left w:val="single" w:sz="4" w:space="0" w:color="auto"/>
              <w:bottom w:val="single" w:sz="4" w:space="0" w:color="auto"/>
              <w:right w:val="single" w:sz="4" w:space="0" w:color="auto"/>
            </w:tcBorders>
            <w:shd w:val="clear" w:color="auto" w:fill="auto"/>
            <w:noWrap/>
          </w:tcPr>
          <w:p w:rsidR="00C40820" w:rsidRPr="0047440B" w:rsidRDefault="00C40820" w:rsidP="00C40820">
            <w:pPr>
              <w:jc w:val="center"/>
              <w:rPr>
                <w:color w:val="000000"/>
                <w:sz w:val="20"/>
                <w:szCs w:val="20"/>
              </w:rPr>
            </w:pPr>
            <w:r w:rsidRPr="0047440B">
              <w:rPr>
                <w:color w:val="000000"/>
                <w:sz w:val="20"/>
                <w:szCs w:val="20"/>
              </w:rPr>
              <w:t>1</w:t>
            </w:r>
          </w:p>
        </w:tc>
        <w:tc>
          <w:tcPr>
            <w:tcW w:w="816" w:type="dxa"/>
            <w:tcBorders>
              <w:top w:val="single" w:sz="4" w:space="0" w:color="auto"/>
              <w:left w:val="single" w:sz="4" w:space="0" w:color="auto"/>
              <w:bottom w:val="single" w:sz="4" w:space="0" w:color="auto"/>
              <w:right w:val="single" w:sz="4" w:space="0" w:color="auto"/>
            </w:tcBorders>
            <w:shd w:val="clear" w:color="auto" w:fill="auto"/>
            <w:noWrap/>
          </w:tcPr>
          <w:p w:rsidR="00C40820" w:rsidRPr="0047440B" w:rsidRDefault="00C40820" w:rsidP="00C40820">
            <w:pPr>
              <w:jc w:val="center"/>
              <w:rPr>
                <w:color w:val="000000"/>
                <w:sz w:val="20"/>
                <w:szCs w:val="20"/>
              </w:rPr>
            </w:pPr>
            <w:r w:rsidRPr="0047440B">
              <w:rPr>
                <w:color w:val="000000"/>
                <w:sz w:val="20"/>
                <w:szCs w:val="20"/>
              </w:rPr>
              <w:t>1,00</w:t>
            </w:r>
          </w:p>
        </w:tc>
        <w:tc>
          <w:tcPr>
            <w:tcW w:w="792" w:type="dxa"/>
            <w:tcBorders>
              <w:top w:val="single" w:sz="4" w:space="0" w:color="auto"/>
              <w:left w:val="nil"/>
              <w:bottom w:val="single" w:sz="4" w:space="0" w:color="auto"/>
              <w:right w:val="single" w:sz="4" w:space="0" w:color="auto"/>
            </w:tcBorders>
            <w:shd w:val="clear" w:color="auto" w:fill="auto"/>
            <w:noWrap/>
          </w:tcPr>
          <w:p w:rsidR="00C40820" w:rsidRPr="0047440B" w:rsidRDefault="00C40820" w:rsidP="00C40820">
            <w:pPr>
              <w:jc w:val="center"/>
              <w:rPr>
                <w:color w:val="000000"/>
                <w:sz w:val="20"/>
                <w:szCs w:val="20"/>
              </w:rPr>
            </w:pPr>
            <w:r w:rsidRPr="0047440B">
              <w:rPr>
                <w:color w:val="000000"/>
                <w:sz w:val="20"/>
                <w:szCs w:val="20"/>
              </w:rPr>
              <w:t>1,00</w:t>
            </w:r>
          </w:p>
        </w:tc>
        <w:tc>
          <w:tcPr>
            <w:tcW w:w="1239" w:type="dxa"/>
            <w:tcBorders>
              <w:top w:val="single" w:sz="4" w:space="0" w:color="auto"/>
              <w:left w:val="single" w:sz="4" w:space="0" w:color="auto"/>
              <w:bottom w:val="single" w:sz="4" w:space="0" w:color="auto"/>
              <w:right w:val="single" w:sz="4" w:space="0" w:color="auto"/>
            </w:tcBorders>
            <w:shd w:val="clear" w:color="auto" w:fill="auto"/>
            <w:noWrap/>
          </w:tcPr>
          <w:p w:rsidR="00C40820" w:rsidRPr="0047440B" w:rsidRDefault="00C40820" w:rsidP="00C40820">
            <w:pPr>
              <w:jc w:val="center"/>
              <w:rPr>
                <w:color w:val="000000"/>
                <w:sz w:val="20"/>
                <w:szCs w:val="20"/>
              </w:rPr>
            </w:pPr>
            <w:r w:rsidRPr="0047440B">
              <w:rPr>
                <w:color w:val="000000"/>
                <w:sz w:val="20"/>
                <w:szCs w:val="20"/>
              </w:rPr>
              <w:t>1</w:t>
            </w:r>
          </w:p>
        </w:tc>
        <w:tc>
          <w:tcPr>
            <w:tcW w:w="952" w:type="dxa"/>
            <w:tcBorders>
              <w:top w:val="single" w:sz="4" w:space="0" w:color="auto"/>
              <w:left w:val="nil"/>
              <w:bottom w:val="single" w:sz="4" w:space="0" w:color="auto"/>
              <w:right w:val="single" w:sz="4" w:space="0" w:color="auto"/>
            </w:tcBorders>
            <w:shd w:val="clear" w:color="000000" w:fill="FFFFFF"/>
            <w:noWrap/>
          </w:tcPr>
          <w:p w:rsidR="00C40820" w:rsidRPr="0047440B" w:rsidRDefault="00C40820" w:rsidP="00C40820">
            <w:pPr>
              <w:autoSpaceDE/>
              <w:autoSpaceDN/>
              <w:adjustRightInd/>
              <w:spacing w:line="233" w:lineRule="auto"/>
              <w:jc w:val="center"/>
              <w:rPr>
                <w:color w:val="000000"/>
                <w:sz w:val="20"/>
                <w:szCs w:val="20"/>
              </w:rPr>
            </w:pPr>
            <w:r w:rsidRPr="0047440B">
              <w:rPr>
                <w:color w:val="000000"/>
                <w:sz w:val="20"/>
                <w:szCs w:val="20"/>
              </w:rPr>
              <w:t>43 075</w:t>
            </w:r>
          </w:p>
        </w:tc>
        <w:tc>
          <w:tcPr>
            <w:tcW w:w="1121" w:type="dxa"/>
            <w:tcBorders>
              <w:top w:val="single" w:sz="4" w:space="0" w:color="auto"/>
              <w:left w:val="nil"/>
              <w:bottom w:val="single" w:sz="4" w:space="0" w:color="auto"/>
              <w:right w:val="single" w:sz="4" w:space="0" w:color="auto"/>
            </w:tcBorders>
            <w:shd w:val="clear" w:color="000000" w:fill="FFFFFF"/>
            <w:noWrap/>
          </w:tcPr>
          <w:p w:rsidR="00C40820" w:rsidRPr="0047440B" w:rsidRDefault="00C40820" w:rsidP="00C40820">
            <w:pPr>
              <w:autoSpaceDE/>
              <w:autoSpaceDN/>
              <w:adjustRightInd/>
              <w:spacing w:line="233" w:lineRule="auto"/>
              <w:jc w:val="center"/>
              <w:rPr>
                <w:color w:val="000000"/>
                <w:sz w:val="20"/>
                <w:szCs w:val="20"/>
              </w:rPr>
            </w:pPr>
            <w:r w:rsidRPr="0047440B">
              <w:rPr>
                <w:color w:val="000000"/>
                <w:sz w:val="20"/>
                <w:szCs w:val="20"/>
              </w:rPr>
              <w:t>43 075</w:t>
            </w:r>
          </w:p>
        </w:tc>
        <w:tc>
          <w:tcPr>
            <w:tcW w:w="1217" w:type="dxa"/>
            <w:tcBorders>
              <w:top w:val="single" w:sz="4" w:space="0" w:color="auto"/>
              <w:left w:val="nil"/>
              <w:bottom w:val="single" w:sz="4" w:space="0" w:color="auto"/>
              <w:right w:val="single" w:sz="4" w:space="0" w:color="auto"/>
            </w:tcBorders>
            <w:shd w:val="clear" w:color="000000" w:fill="FFFFFF"/>
          </w:tcPr>
          <w:p w:rsidR="00C40820" w:rsidRPr="0047440B" w:rsidRDefault="00C40820" w:rsidP="00C40820">
            <w:pPr>
              <w:autoSpaceDE/>
              <w:autoSpaceDN/>
              <w:adjustRightInd/>
              <w:spacing w:line="233" w:lineRule="auto"/>
              <w:jc w:val="center"/>
              <w:rPr>
                <w:color w:val="000000"/>
                <w:sz w:val="20"/>
                <w:szCs w:val="20"/>
              </w:rPr>
            </w:pPr>
            <w:r w:rsidRPr="0047440B">
              <w:rPr>
                <w:color w:val="000000"/>
                <w:sz w:val="20"/>
                <w:szCs w:val="20"/>
              </w:rPr>
              <w:t>2</w:t>
            </w:r>
          </w:p>
        </w:tc>
      </w:tr>
      <w:tr w:rsidR="00C40820" w:rsidRPr="0047440B" w:rsidTr="007E4743">
        <w:trPr>
          <w:trHeight w:val="20"/>
          <w:jc w:val="center"/>
        </w:trPr>
        <w:tc>
          <w:tcPr>
            <w:tcW w:w="486" w:type="dxa"/>
            <w:tcBorders>
              <w:top w:val="single" w:sz="4" w:space="0" w:color="auto"/>
              <w:left w:val="single" w:sz="4" w:space="0" w:color="auto"/>
              <w:bottom w:val="single" w:sz="4" w:space="0" w:color="auto"/>
              <w:right w:val="single" w:sz="4" w:space="0" w:color="auto"/>
            </w:tcBorders>
            <w:shd w:val="clear" w:color="000000" w:fill="FFFFFF"/>
            <w:noWrap/>
          </w:tcPr>
          <w:p w:rsidR="00C40820" w:rsidRPr="0047440B" w:rsidRDefault="00C40820" w:rsidP="00C40820">
            <w:pPr>
              <w:autoSpaceDE/>
              <w:autoSpaceDN/>
              <w:adjustRightInd/>
              <w:spacing w:line="233" w:lineRule="auto"/>
              <w:jc w:val="center"/>
              <w:rPr>
                <w:color w:val="000000"/>
                <w:sz w:val="20"/>
                <w:szCs w:val="20"/>
              </w:rPr>
            </w:pPr>
            <w:r w:rsidRPr="0047440B">
              <w:rPr>
                <w:color w:val="000000"/>
                <w:sz w:val="20"/>
                <w:szCs w:val="20"/>
              </w:rPr>
              <w:t>55.</w:t>
            </w:r>
          </w:p>
        </w:tc>
        <w:tc>
          <w:tcPr>
            <w:tcW w:w="2917" w:type="dxa"/>
            <w:tcBorders>
              <w:top w:val="single" w:sz="4" w:space="0" w:color="auto"/>
              <w:left w:val="single" w:sz="4" w:space="0" w:color="auto"/>
              <w:bottom w:val="single" w:sz="4" w:space="0" w:color="auto"/>
              <w:right w:val="single" w:sz="4" w:space="0" w:color="auto"/>
            </w:tcBorders>
            <w:shd w:val="clear" w:color="auto" w:fill="auto"/>
          </w:tcPr>
          <w:p w:rsidR="00C40820" w:rsidRPr="0047440B" w:rsidRDefault="00C40820" w:rsidP="00C40820">
            <w:pPr>
              <w:rPr>
                <w:color w:val="000000"/>
                <w:sz w:val="20"/>
                <w:szCs w:val="20"/>
              </w:rPr>
            </w:pPr>
            <w:r w:rsidRPr="0047440B">
              <w:rPr>
                <w:color w:val="000000"/>
                <w:sz w:val="20"/>
                <w:szCs w:val="20"/>
              </w:rPr>
              <w:t>ГАУЗ «Городская поликлиника № 20» г.Казани</w:t>
            </w:r>
          </w:p>
        </w:tc>
        <w:tc>
          <w:tcPr>
            <w:tcW w:w="1233" w:type="dxa"/>
            <w:tcBorders>
              <w:top w:val="single" w:sz="4" w:space="0" w:color="auto"/>
              <w:left w:val="single" w:sz="4" w:space="0" w:color="auto"/>
              <w:bottom w:val="single" w:sz="4" w:space="0" w:color="auto"/>
              <w:right w:val="single" w:sz="4" w:space="0" w:color="auto"/>
            </w:tcBorders>
            <w:shd w:val="clear" w:color="auto" w:fill="auto"/>
            <w:noWrap/>
          </w:tcPr>
          <w:p w:rsidR="00C40820" w:rsidRPr="0047440B" w:rsidRDefault="00C40820" w:rsidP="00C40820">
            <w:pPr>
              <w:jc w:val="center"/>
              <w:rPr>
                <w:color w:val="000000"/>
                <w:sz w:val="20"/>
                <w:szCs w:val="20"/>
              </w:rPr>
            </w:pPr>
            <w:r w:rsidRPr="0047440B">
              <w:rPr>
                <w:color w:val="000000"/>
                <w:sz w:val="20"/>
                <w:szCs w:val="20"/>
              </w:rPr>
              <w:t>1</w:t>
            </w:r>
          </w:p>
        </w:tc>
        <w:tc>
          <w:tcPr>
            <w:tcW w:w="816" w:type="dxa"/>
            <w:tcBorders>
              <w:top w:val="single" w:sz="4" w:space="0" w:color="auto"/>
              <w:left w:val="single" w:sz="4" w:space="0" w:color="auto"/>
              <w:bottom w:val="single" w:sz="4" w:space="0" w:color="auto"/>
              <w:right w:val="single" w:sz="4" w:space="0" w:color="auto"/>
            </w:tcBorders>
            <w:shd w:val="clear" w:color="auto" w:fill="auto"/>
            <w:noWrap/>
          </w:tcPr>
          <w:p w:rsidR="00C40820" w:rsidRPr="0047440B" w:rsidRDefault="00C40820" w:rsidP="00C40820">
            <w:pPr>
              <w:jc w:val="center"/>
              <w:rPr>
                <w:color w:val="000000"/>
                <w:sz w:val="20"/>
                <w:szCs w:val="20"/>
              </w:rPr>
            </w:pPr>
            <w:r w:rsidRPr="0047440B">
              <w:rPr>
                <w:color w:val="000000"/>
                <w:sz w:val="20"/>
                <w:szCs w:val="20"/>
              </w:rPr>
              <w:t>3,00</w:t>
            </w:r>
          </w:p>
        </w:tc>
        <w:tc>
          <w:tcPr>
            <w:tcW w:w="792" w:type="dxa"/>
            <w:tcBorders>
              <w:top w:val="single" w:sz="4" w:space="0" w:color="auto"/>
              <w:left w:val="nil"/>
              <w:bottom w:val="single" w:sz="4" w:space="0" w:color="auto"/>
              <w:right w:val="single" w:sz="4" w:space="0" w:color="auto"/>
            </w:tcBorders>
            <w:shd w:val="clear" w:color="auto" w:fill="auto"/>
            <w:noWrap/>
          </w:tcPr>
          <w:p w:rsidR="00C40820" w:rsidRPr="0047440B" w:rsidRDefault="00C40820" w:rsidP="00C40820">
            <w:pPr>
              <w:jc w:val="center"/>
              <w:rPr>
                <w:color w:val="000000"/>
                <w:sz w:val="20"/>
                <w:szCs w:val="20"/>
              </w:rPr>
            </w:pPr>
            <w:r w:rsidRPr="0047440B">
              <w:rPr>
                <w:color w:val="000000"/>
                <w:sz w:val="20"/>
                <w:szCs w:val="20"/>
              </w:rPr>
              <w:t>3,00</w:t>
            </w:r>
          </w:p>
        </w:tc>
        <w:tc>
          <w:tcPr>
            <w:tcW w:w="1239" w:type="dxa"/>
            <w:tcBorders>
              <w:top w:val="single" w:sz="4" w:space="0" w:color="auto"/>
              <w:left w:val="single" w:sz="4" w:space="0" w:color="auto"/>
              <w:bottom w:val="single" w:sz="4" w:space="0" w:color="auto"/>
              <w:right w:val="single" w:sz="4" w:space="0" w:color="auto"/>
            </w:tcBorders>
            <w:shd w:val="clear" w:color="auto" w:fill="auto"/>
            <w:noWrap/>
          </w:tcPr>
          <w:p w:rsidR="00C40820" w:rsidRPr="0047440B" w:rsidRDefault="00C40820" w:rsidP="00C40820">
            <w:pPr>
              <w:jc w:val="center"/>
              <w:rPr>
                <w:color w:val="000000"/>
                <w:sz w:val="20"/>
                <w:szCs w:val="20"/>
              </w:rPr>
            </w:pPr>
            <w:r w:rsidRPr="0047440B">
              <w:rPr>
                <w:color w:val="000000"/>
                <w:sz w:val="20"/>
                <w:szCs w:val="20"/>
              </w:rPr>
              <w:t>3</w:t>
            </w:r>
          </w:p>
        </w:tc>
        <w:tc>
          <w:tcPr>
            <w:tcW w:w="952" w:type="dxa"/>
            <w:tcBorders>
              <w:top w:val="single" w:sz="4" w:space="0" w:color="auto"/>
              <w:left w:val="nil"/>
              <w:bottom w:val="single" w:sz="4" w:space="0" w:color="auto"/>
              <w:right w:val="single" w:sz="4" w:space="0" w:color="auto"/>
            </w:tcBorders>
            <w:shd w:val="clear" w:color="000000" w:fill="FFFFFF"/>
            <w:noWrap/>
          </w:tcPr>
          <w:p w:rsidR="00C40820" w:rsidRPr="0047440B" w:rsidRDefault="00C40820" w:rsidP="00C40820">
            <w:pPr>
              <w:autoSpaceDE/>
              <w:autoSpaceDN/>
              <w:adjustRightInd/>
              <w:spacing w:line="233" w:lineRule="auto"/>
              <w:jc w:val="center"/>
              <w:rPr>
                <w:color w:val="000000"/>
                <w:sz w:val="20"/>
                <w:szCs w:val="20"/>
              </w:rPr>
            </w:pPr>
            <w:r w:rsidRPr="0047440B">
              <w:rPr>
                <w:color w:val="000000"/>
                <w:sz w:val="20"/>
                <w:szCs w:val="20"/>
              </w:rPr>
              <w:t>50 393</w:t>
            </w:r>
          </w:p>
        </w:tc>
        <w:tc>
          <w:tcPr>
            <w:tcW w:w="1121" w:type="dxa"/>
            <w:tcBorders>
              <w:top w:val="single" w:sz="4" w:space="0" w:color="auto"/>
              <w:left w:val="nil"/>
              <w:bottom w:val="single" w:sz="4" w:space="0" w:color="auto"/>
              <w:right w:val="single" w:sz="4" w:space="0" w:color="auto"/>
            </w:tcBorders>
            <w:shd w:val="clear" w:color="000000" w:fill="FFFFFF"/>
            <w:noWrap/>
          </w:tcPr>
          <w:p w:rsidR="00C40820" w:rsidRPr="0047440B" w:rsidRDefault="00C40820" w:rsidP="00C40820">
            <w:pPr>
              <w:autoSpaceDE/>
              <w:autoSpaceDN/>
              <w:adjustRightInd/>
              <w:spacing w:line="233" w:lineRule="auto"/>
              <w:jc w:val="center"/>
              <w:rPr>
                <w:color w:val="000000"/>
                <w:sz w:val="20"/>
                <w:szCs w:val="20"/>
              </w:rPr>
            </w:pPr>
            <w:r w:rsidRPr="0047440B">
              <w:rPr>
                <w:color w:val="000000"/>
                <w:sz w:val="20"/>
                <w:szCs w:val="20"/>
              </w:rPr>
              <w:t>50 393</w:t>
            </w:r>
          </w:p>
        </w:tc>
        <w:tc>
          <w:tcPr>
            <w:tcW w:w="1217" w:type="dxa"/>
            <w:tcBorders>
              <w:top w:val="single" w:sz="4" w:space="0" w:color="auto"/>
              <w:left w:val="nil"/>
              <w:bottom w:val="single" w:sz="4" w:space="0" w:color="auto"/>
              <w:right w:val="single" w:sz="4" w:space="0" w:color="auto"/>
            </w:tcBorders>
            <w:shd w:val="clear" w:color="000000" w:fill="FFFFFF"/>
          </w:tcPr>
          <w:p w:rsidR="00C40820" w:rsidRPr="0047440B" w:rsidRDefault="00C40820" w:rsidP="00C40820">
            <w:pPr>
              <w:autoSpaceDE/>
              <w:autoSpaceDN/>
              <w:adjustRightInd/>
              <w:spacing w:line="233" w:lineRule="auto"/>
              <w:jc w:val="center"/>
              <w:rPr>
                <w:color w:val="000000"/>
                <w:sz w:val="20"/>
                <w:szCs w:val="20"/>
              </w:rPr>
            </w:pPr>
            <w:r w:rsidRPr="0047440B">
              <w:rPr>
                <w:color w:val="000000"/>
                <w:sz w:val="20"/>
                <w:szCs w:val="20"/>
              </w:rPr>
              <w:t>2</w:t>
            </w:r>
          </w:p>
        </w:tc>
      </w:tr>
      <w:tr w:rsidR="00C40820" w:rsidRPr="0047440B" w:rsidTr="007E4743">
        <w:trPr>
          <w:trHeight w:val="20"/>
          <w:jc w:val="center"/>
        </w:trPr>
        <w:tc>
          <w:tcPr>
            <w:tcW w:w="486" w:type="dxa"/>
            <w:tcBorders>
              <w:top w:val="single" w:sz="4" w:space="0" w:color="auto"/>
              <w:left w:val="single" w:sz="4" w:space="0" w:color="auto"/>
              <w:bottom w:val="single" w:sz="4" w:space="0" w:color="auto"/>
              <w:right w:val="single" w:sz="4" w:space="0" w:color="auto"/>
            </w:tcBorders>
            <w:shd w:val="clear" w:color="000000" w:fill="FFFFFF"/>
            <w:noWrap/>
          </w:tcPr>
          <w:p w:rsidR="00C40820" w:rsidRPr="0047440B" w:rsidRDefault="00C40820" w:rsidP="00C40820">
            <w:pPr>
              <w:autoSpaceDE/>
              <w:autoSpaceDN/>
              <w:adjustRightInd/>
              <w:spacing w:line="233" w:lineRule="auto"/>
              <w:jc w:val="center"/>
              <w:rPr>
                <w:color w:val="000000"/>
                <w:sz w:val="20"/>
                <w:szCs w:val="20"/>
              </w:rPr>
            </w:pPr>
            <w:r w:rsidRPr="0047440B">
              <w:rPr>
                <w:color w:val="000000"/>
                <w:sz w:val="20"/>
                <w:szCs w:val="20"/>
              </w:rPr>
              <w:t>56.</w:t>
            </w:r>
          </w:p>
        </w:tc>
        <w:tc>
          <w:tcPr>
            <w:tcW w:w="2917" w:type="dxa"/>
            <w:tcBorders>
              <w:top w:val="single" w:sz="4" w:space="0" w:color="auto"/>
              <w:left w:val="single" w:sz="4" w:space="0" w:color="auto"/>
              <w:bottom w:val="single" w:sz="4" w:space="0" w:color="auto"/>
              <w:right w:val="single" w:sz="4" w:space="0" w:color="auto"/>
            </w:tcBorders>
            <w:shd w:val="clear" w:color="auto" w:fill="auto"/>
          </w:tcPr>
          <w:p w:rsidR="00C40820" w:rsidRPr="0047440B" w:rsidRDefault="00C40820" w:rsidP="00C40820">
            <w:pPr>
              <w:rPr>
                <w:color w:val="000000"/>
                <w:sz w:val="20"/>
                <w:szCs w:val="20"/>
              </w:rPr>
            </w:pPr>
            <w:r w:rsidRPr="0047440B">
              <w:rPr>
                <w:color w:val="000000"/>
                <w:sz w:val="20"/>
                <w:szCs w:val="20"/>
              </w:rPr>
              <w:t>ГАУЗ «Городская поликлиника № 21» г.Казани</w:t>
            </w:r>
          </w:p>
        </w:tc>
        <w:tc>
          <w:tcPr>
            <w:tcW w:w="1233" w:type="dxa"/>
            <w:tcBorders>
              <w:top w:val="single" w:sz="4" w:space="0" w:color="auto"/>
              <w:left w:val="single" w:sz="4" w:space="0" w:color="auto"/>
              <w:bottom w:val="single" w:sz="4" w:space="0" w:color="auto"/>
              <w:right w:val="single" w:sz="4" w:space="0" w:color="auto"/>
            </w:tcBorders>
            <w:shd w:val="clear" w:color="auto" w:fill="auto"/>
            <w:noWrap/>
          </w:tcPr>
          <w:p w:rsidR="00C40820" w:rsidRPr="0047440B" w:rsidRDefault="00C40820" w:rsidP="00C40820">
            <w:pPr>
              <w:jc w:val="center"/>
              <w:rPr>
                <w:color w:val="000000"/>
                <w:sz w:val="20"/>
                <w:szCs w:val="20"/>
              </w:rPr>
            </w:pPr>
            <w:r w:rsidRPr="0047440B">
              <w:rPr>
                <w:color w:val="000000"/>
                <w:sz w:val="20"/>
                <w:szCs w:val="20"/>
              </w:rPr>
              <w:t>1</w:t>
            </w:r>
          </w:p>
        </w:tc>
        <w:tc>
          <w:tcPr>
            <w:tcW w:w="816" w:type="dxa"/>
            <w:tcBorders>
              <w:top w:val="single" w:sz="4" w:space="0" w:color="auto"/>
              <w:left w:val="single" w:sz="4" w:space="0" w:color="auto"/>
              <w:bottom w:val="single" w:sz="4" w:space="0" w:color="auto"/>
              <w:right w:val="single" w:sz="4" w:space="0" w:color="auto"/>
            </w:tcBorders>
            <w:shd w:val="clear" w:color="auto" w:fill="auto"/>
            <w:noWrap/>
          </w:tcPr>
          <w:p w:rsidR="00C40820" w:rsidRPr="0047440B" w:rsidRDefault="00C40820" w:rsidP="00C40820">
            <w:pPr>
              <w:jc w:val="center"/>
              <w:rPr>
                <w:color w:val="000000"/>
                <w:sz w:val="20"/>
                <w:szCs w:val="20"/>
              </w:rPr>
            </w:pPr>
            <w:r w:rsidRPr="0047440B">
              <w:rPr>
                <w:color w:val="000000"/>
                <w:sz w:val="20"/>
                <w:szCs w:val="20"/>
              </w:rPr>
              <w:t>2,00</w:t>
            </w:r>
          </w:p>
        </w:tc>
        <w:tc>
          <w:tcPr>
            <w:tcW w:w="792" w:type="dxa"/>
            <w:tcBorders>
              <w:top w:val="single" w:sz="4" w:space="0" w:color="auto"/>
              <w:left w:val="nil"/>
              <w:bottom w:val="single" w:sz="4" w:space="0" w:color="auto"/>
              <w:right w:val="single" w:sz="4" w:space="0" w:color="auto"/>
            </w:tcBorders>
            <w:shd w:val="clear" w:color="auto" w:fill="auto"/>
            <w:noWrap/>
          </w:tcPr>
          <w:p w:rsidR="00C40820" w:rsidRPr="0047440B" w:rsidRDefault="00C40820" w:rsidP="00C40820">
            <w:pPr>
              <w:jc w:val="center"/>
              <w:rPr>
                <w:color w:val="000000"/>
                <w:sz w:val="20"/>
                <w:szCs w:val="20"/>
              </w:rPr>
            </w:pPr>
            <w:r w:rsidRPr="0047440B">
              <w:rPr>
                <w:color w:val="000000"/>
                <w:sz w:val="20"/>
                <w:szCs w:val="20"/>
              </w:rPr>
              <w:t>2,00</w:t>
            </w:r>
          </w:p>
        </w:tc>
        <w:tc>
          <w:tcPr>
            <w:tcW w:w="1239" w:type="dxa"/>
            <w:tcBorders>
              <w:top w:val="single" w:sz="4" w:space="0" w:color="auto"/>
              <w:left w:val="single" w:sz="4" w:space="0" w:color="auto"/>
              <w:bottom w:val="single" w:sz="4" w:space="0" w:color="auto"/>
              <w:right w:val="single" w:sz="4" w:space="0" w:color="auto"/>
            </w:tcBorders>
            <w:shd w:val="clear" w:color="auto" w:fill="auto"/>
            <w:noWrap/>
          </w:tcPr>
          <w:p w:rsidR="00C40820" w:rsidRPr="0047440B" w:rsidRDefault="00C40820" w:rsidP="00C40820">
            <w:pPr>
              <w:jc w:val="center"/>
              <w:rPr>
                <w:color w:val="000000"/>
                <w:sz w:val="20"/>
                <w:szCs w:val="20"/>
              </w:rPr>
            </w:pPr>
            <w:r w:rsidRPr="0047440B">
              <w:rPr>
                <w:color w:val="000000"/>
                <w:sz w:val="20"/>
                <w:szCs w:val="20"/>
              </w:rPr>
              <w:t>2</w:t>
            </w:r>
          </w:p>
        </w:tc>
        <w:tc>
          <w:tcPr>
            <w:tcW w:w="952" w:type="dxa"/>
            <w:tcBorders>
              <w:top w:val="single" w:sz="4" w:space="0" w:color="auto"/>
              <w:left w:val="nil"/>
              <w:bottom w:val="single" w:sz="4" w:space="0" w:color="auto"/>
              <w:right w:val="single" w:sz="4" w:space="0" w:color="auto"/>
            </w:tcBorders>
            <w:shd w:val="clear" w:color="000000" w:fill="FFFFFF"/>
            <w:noWrap/>
          </w:tcPr>
          <w:p w:rsidR="00C40820" w:rsidRPr="0047440B" w:rsidRDefault="00C40820" w:rsidP="00C40820">
            <w:pPr>
              <w:autoSpaceDE/>
              <w:autoSpaceDN/>
              <w:adjustRightInd/>
              <w:jc w:val="center"/>
              <w:rPr>
                <w:color w:val="000000"/>
                <w:sz w:val="20"/>
                <w:szCs w:val="20"/>
              </w:rPr>
            </w:pPr>
            <w:r w:rsidRPr="0047440B">
              <w:rPr>
                <w:color w:val="000000"/>
                <w:sz w:val="20"/>
                <w:szCs w:val="20"/>
              </w:rPr>
              <w:t>57 229</w:t>
            </w:r>
          </w:p>
        </w:tc>
        <w:tc>
          <w:tcPr>
            <w:tcW w:w="1121" w:type="dxa"/>
            <w:tcBorders>
              <w:top w:val="single" w:sz="4" w:space="0" w:color="auto"/>
              <w:left w:val="nil"/>
              <w:bottom w:val="single" w:sz="4" w:space="0" w:color="auto"/>
              <w:right w:val="single" w:sz="4" w:space="0" w:color="auto"/>
            </w:tcBorders>
            <w:shd w:val="clear" w:color="000000" w:fill="FFFFFF"/>
            <w:noWrap/>
          </w:tcPr>
          <w:p w:rsidR="00C40820" w:rsidRPr="0047440B" w:rsidRDefault="00C40820" w:rsidP="00C40820">
            <w:pPr>
              <w:autoSpaceDE/>
              <w:autoSpaceDN/>
              <w:adjustRightInd/>
              <w:jc w:val="center"/>
              <w:rPr>
                <w:color w:val="000000"/>
                <w:sz w:val="20"/>
                <w:szCs w:val="20"/>
              </w:rPr>
            </w:pPr>
            <w:r w:rsidRPr="0047440B">
              <w:rPr>
                <w:color w:val="000000"/>
                <w:sz w:val="20"/>
                <w:szCs w:val="20"/>
              </w:rPr>
              <w:t>57 229</w:t>
            </w:r>
          </w:p>
        </w:tc>
        <w:tc>
          <w:tcPr>
            <w:tcW w:w="1217" w:type="dxa"/>
            <w:tcBorders>
              <w:top w:val="single" w:sz="4" w:space="0" w:color="auto"/>
              <w:left w:val="nil"/>
              <w:bottom w:val="single" w:sz="4" w:space="0" w:color="auto"/>
              <w:right w:val="single" w:sz="4" w:space="0" w:color="auto"/>
            </w:tcBorders>
            <w:shd w:val="clear" w:color="000000" w:fill="FFFFFF"/>
          </w:tcPr>
          <w:p w:rsidR="00C40820" w:rsidRPr="0047440B" w:rsidRDefault="00C40820" w:rsidP="00C40820">
            <w:pPr>
              <w:autoSpaceDE/>
              <w:autoSpaceDN/>
              <w:adjustRightInd/>
              <w:jc w:val="center"/>
              <w:rPr>
                <w:color w:val="000000"/>
                <w:sz w:val="20"/>
                <w:szCs w:val="20"/>
              </w:rPr>
            </w:pPr>
            <w:r w:rsidRPr="0047440B">
              <w:rPr>
                <w:color w:val="000000"/>
                <w:sz w:val="20"/>
                <w:szCs w:val="20"/>
              </w:rPr>
              <w:t>1</w:t>
            </w:r>
          </w:p>
        </w:tc>
      </w:tr>
      <w:tr w:rsidR="00C40820" w:rsidRPr="0047440B" w:rsidTr="007E4743">
        <w:trPr>
          <w:trHeight w:val="20"/>
          <w:jc w:val="center"/>
        </w:trPr>
        <w:tc>
          <w:tcPr>
            <w:tcW w:w="486" w:type="dxa"/>
            <w:tcBorders>
              <w:top w:val="single" w:sz="4" w:space="0" w:color="auto"/>
              <w:left w:val="single" w:sz="4" w:space="0" w:color="auto"/>
              <w:bottom w:val="single" w:sz="4" w:space="0" w:color="auto"/>
              <w:right w:val="single" w:sz="4" w:space="0" w:color="auto"/>
            </w:tcBorders>
            <w:shd w:val="clear" w:color="000000" w:fill="FFFFFF"/>
            <w:noWrap/>
          </w:tcPr>
          <w:p w:rsidR="00C40820" w:rsidRPr="0047440B" w:rsidRDefault="00C40820" w:rsidP="00C40820">
            <w:pPr>
              <w:autoSpaceDE/>
              <w:autoSpaceDN/>
              <w:adjustRightInd/>
              <w:spacing w:line="233" w:lineRule="auto"/>
              <w:jc w:val="center"/>
              <w:rPr>
                <w:color w:val="000000"/>
                <w:sz w:val="20"/>
                <w:szCs w:val="20"/>
              </w:rPr>
            </w:pPr>
            <w:r w:rsidRPr="0047440B">
              <w:rPr>
                <w:color w:val="000000"/>
                <w:sz w:val="20"/>
                <w:szCs w:val="20"/>
              </w:rPr>
              <w:t>57.</w:t>
            </w:r>
          </w:p>
        </w:tc>
        <w:tc>
          <w:tcPr>
            <w:tcW w:w="2917" w:type="dxa"/>
            <w:tcBorders>
              <w:top w:val="single" w:sz="4" w:space="0" w:color="auto"/>
              <w:left w:val="single" w:sz="4" w:space="0" w:color="auto"/>
              <w:bottom w:val="single" w:sz="4" w:space="0" w:color="auto"/>
              <w:right w:val="single" w:sz="4" w:space="0" w:color="auto"/>
            </w:tcBorders>
            <w:shd w:val="clear" w:color="auto" w:fill="auto"/>
          </w:tcPr>
          <w:p w:rsidR="00C40820" w:rsidRPr="0047440B" w:rsidRDefault="00C40820" w:rsidP="00C40820">
            <w:pPr>
              <w:rPr>
                <w:color w:val="000000"/>
                <w:sz w:val="20"/>
                <w:szCs w:val="20"/>
              </w:rPr>
            </w:pPr>
            <w:r w:rsidRPr="0047440B">
              <w:rPr>
                <w:color w:val="000000"/>
                <w:sz w:val="20"/>
                <w:szCs w:val="20"/>
              </w:rPr>
              <w:t>ГАУЗ «Городская поликлиника № 7» г.Казани</w:t>
            </w:r>
          </w:p>
        </w:tc>
        <w:tc>
          <w:tcPr>
            <w:tcW w:w="1233" w:type="dxa"/>
            <w:tcBorders>
              <w:top w:val="single" w:sz="4" w:space="0" w:color="auto"/>
              <w:left w:val="single" w:sz="4" w:space="0" w:color="auto"/>
              <w:bottom w:val="single" w:sz="4" w:space="0" w:color="auto"/>
              <w:right w:val="single" w:sz="4" w:space="0" w:color="auto"/>
            </w:tcBorders>
            <w:shd w:val="clear" w:color="auto" w:fill="auto"/>
            <w:noWrap/>
          </w:tcPr>
          <w:p w:rsidR="00C40820" w:rsidRPr="0047440B" w:rsidRDefault="00C40820" w:rsidP="00C40820">
            <w:pPr>
              <w:jc w:val="center"/>
              <w:rPr>
                <w:color w:val="000000"/>
                <w:sz w:val="20"/>
                <w:szCs w:val="20"/>
              </w:rPr>
            </w:pPr>
            <w:r w:rsidRPr="0047440B">
              <w:rPr>
                <w:color w:val="000000"/>
                <w:sz w:val="20"/>
                <w:szCs w:val="20"/>
              </w:rPr>
              <w:t>1</w:t>
            </w:r>
          </w:p>
        </w:tc>
        <w:tc>
          <w:tcPr>
            <w:tcW w:w="816" w:type="dxa"/>
            <w:tcBorders>
              <w:top w:val="single" w:sz="4" w:space="0" w:color="auto"/>
              <w:left w:val="single" w:sz="4" w:space="0" w:color="auto"/>
              <w:bottom w:val="single" w:sz="4" w:space="0" w:color="auto"/>
              <w:right w:val="single" w:sz="4" w:space="0" w:color="auto"/>
            </w:tcBorders>
            <w:shd w:val="clear" w:color="auto" w:fill="auto"/>
            <w:noWrap/>
          </w:tcPr>
          <w:p w:rsidR="00C40820" w:rsidRPr="0047440B" w:rsidRDefault="00C40820" w:rsidP="00C40820">
            <w:pPr>
              <w:jc w:val="center"/>
              <w:rPr>
                <w:color w:val="000000"/>
                <w:sz w:val="20"/>
                <w:szCs w:val="20"/>
              </w:rPr>
            </w:pPr>
            <w:r w:rsidRPr="0047440B">
              <w:rPr>
                <w:color w:val="000000"/>
                <w:sz w:val="20"/>
                <w:szCs w:val="20"/>
              </w:rPr>
              <w:t>1,00</w:t>
            </w:r>
          </w:p>
        </w:tc>
        <w:tc>
          <w:tcPr>
            <w:tcW w:w="792" w:type="dxa"/>
            <w:tcBorders>
              <w:top w:val="single" w:sz="4" w:space="0" w:color="auto"/>
              <w:left w:val="nil"/>
              <w:bottom w:val="single" w:sz="4" w:space="0" w:color="auto"/>
              <w:right w:val="single" w:sz="4" w:space="0" w:color="auto"/>
            </w:tcBorders>
            <w:shd w:val="clear" w:color="auto" w:fill="auto"/>
            <w:noWrap/>
          </w:tcPr>
          <w:p w:rsidR="00C40820" w:rsidRPr="0047440B" w:rsidRDefault="00C40820" w:rsidP="00C40820">
            <w:pPr>
              <w:jc w:val="center"/>
              <w:rPr>
                <w:color w:val="000000"/>
                <w:sz w:val="20"/>
                <w:szCs w:val="20"/>
              </w:rPr>
            </w:pPr>
            <w:r w:rsidRPr="0047440B">
              <w:rPr>
                <w:color w:val="000000"/>
                <w:sz w:val="20"/>
                <w:szCs w:val="20"/>
              </w:rPr>
              <w:t>1,00</w:t>
            </w:r>
          </w:p>
        </w:tc>
        <w:tc>
          <w:tcPr>
            <w:tcW w:w="1239" w:type="dxa"/>
            <w:tcBorders>
              <w:top w:val="single" w:sz="4" w:space="0" w:color="auto"/>
              <w:left w:val="single" w:sz="4" w:space="0" w:color="auto"/>
              <w:bottom w:val="single" w:sz="4" w:space="0" w:color="auto"/>
              <w:right w:val="single" w:sz="4" w:space="0" w:color="auto"/>
            </w:tcBorders>
            <w:shd w:val="clear" w:color="auto" w:fill="auto"/>
            <w:noWrap/>
          </w:tcPr>
          <w:p w:rsidR="00C40820" w:rsidRPr="0047440B" w:rsidRDefault="00C40820" w:rsidP="00C40820">
            <w:pPr>
              <w:jc w:val="center"/>
              <w:rPr>
                <w:color w:val="000000"/>
                <w:sz w:val="20"/>
                <w:szCs w:val="20"/>
              </w:rPr>
            </w:pPr>
            <w:r w:rsidRPr="0047440B">
              <w:rPr>
                <w:color w:val="000000"/>
                <w:sz w:val="20"/>
                <w:szCs w:val="20"/>
              </w:rPr>
              <w:t>1</w:t>
            </w:r>
          </w:p>
        </w:tc>
        <w:tc>
          <w:tcPr>
            <w:tcW w:w="952" w:type="dxa"/>
            <w:tcBorders>
              <w:top w:val="single" w:sz="4" w:space="0" w:color="auto"/>
              <w:left w:val="nil"/>
              <w:bottom w:val="single" w:sz="4" w:space="0" w:color="auto"/>
              <w:right w:val="single" w:sz="4" w:space="0" w:color="auto"/>
            </w:tcBorders>
            <w:shd w:val="clear" w:color="000000" w:fill="FFFFFF"/>
            <w:noWrap/>
          </w:tcPr>
          <w:p w:rsidR="00C40820" w:rsidRPr="0047440B" w:rsidRDefault="00C40820" w:rsidP="00C40820">
            <w:pPr>
              <w:autoSpaceDE/>
              <w:autoSpaceDN/>
              <w:adjustRightInd/>
              <w:jc w:val="center"/>
              <w:rPr>
                <w:color w:val="000000"/>
                <w:sz w:val="20"/>
                <w:szCs w:val="20"/>
              </w:rPr>
            </w:pPr>
            <w:r w:rsidRPr="0047440B">
              <w:rPr>
                <w:color w:val="000000"/>
                <w:sz w:val="20"/>
                <w:szCs w:val="20"/>
              </w:rPr>
              <w:t>35 602</w:t>
            </w:r>
          </w:p>
        </w:tc>
        <w:tc>
          <w:tcPr>
            <w:tcW w:w="1121" w:type="dxa"/>
            <w:tcBorders>
              <w:top w:val="single" w:sz="4" w:space="0" w:color="auto"/>
              <w:left w:val="nil"/>
              <w:bottom w:val="single" w:sz="4" w:space="0" w:color="auto"/>
              <w:right w:val="single" w:sz="4" w:space="0" w:color="auto"/>
            </w:tcBorders>
            <w:shd w:val="clear" w:color="000000" w:fill="FFFFFF"/>
            <w:noWrap/>
          </w:tcPr>
          <w:p w:rsidR="00C40820" w:rsidRPr="0047440B" w:rsidRDefault="00C40820" w:rsidP="00C40820">
            <w:pPr>
              <w:autoSpaceDE/>
              <w:autoSpaceDN/>
              <w:adjustRightInd/>
              <w:jc w:val="center"/>
              <w:rPr>
                <w:color w:val="000000"/>
                <w:sz w:val="20"/>
                <w:szCs w:val="20"/>
              </w:rPr>
            </w:pPr>
            <w:r w:rsidRPr="0047440B">
              <w:rPr>
                <w:color w:val="000000"/>
                <w:sz w:val="20"/>
                <w:szCs w:val="20"/>
              </w:rPr>
              <w:t>35 602</w:t>
            </w:r>
          </w:p>
        </w:tc>
        <w:tc>
          <w:tcPr>
            <w:tcW w:w="1217" w:type="dxa"/>
            <w:tcBorders>
              <w:top w:val="single" w:sz="4" w:space="0" w:color="auto"/>
              <w:left w:val="nil"/>
              <w:bottom w:val="single" w:sz="4" w:space="0" w:color="auto"/>
              <w:right w:val="single" w:sz="4" w:space="0" w:color="auto"/>
            </w:tcBorders>
            <w:shd w:val="clear" w:color="000000" w:fill="FFFFFF"/>
          </w:tcPr>
          <w:p w:rsidR="00C40820" w:rsidRPr="0047440B" w:rsidRDefault="00C40820" w:rsidP="00C40820">
            <w:pPr>
              <w:autoSpaceDE/>
              <w:autoSpaceDN/>
              <w:adjustRightInd/>
              <w:jc w:val="center"/>
              <w:rPr>
                <w:color w:val="000000"/>
                <w:sz w:val="20"/>
                <w:szCs w:val="20"/>
              </w:rPr>
            </w:pPr>
            <w:r w:rsidRPr="0047440B">
              <w:rPr>
                <w:color w:val="000000"/>
                <w:sz w:val="20"/>
                <w:szCs w:val="20"/>
              </w:rPr>
              <w:t>2</w:t>
            </w:r>
          </w:p>
        </w:tc>
      </w:tr>
      <w:tr w:rsidR="00C40820" w:rsidRPr="0047440B" w:rsidTr="007E4743">
        <w:trPr>
          <w:trHeight w:val="20"/>
          <w:jc w:val="center"/>
        </w:trPr>
        <w:tc>
          <w:tcPr>
            <w:tcW w:w="486" w:type="dxa"/>
            <w:tcBorders>
              <w:top w:val="single" w:sz="4" w:space="0" w:color="auto"/>
              <w:left w:val="single" w:sz="4" w:space="0" w:color="auto"/>
              <w:bottom w:val="single" w:sz="4" w:space="0" w:color="auto"/>
              <w:right w:val="single" w:sz="4" w:space="0" w:color="auto"/>
            </w:tcBorders>
            <w:shd w:val="clear" w:color="000000" w:fill="FFFFFF"/>
            <w:noWrap/>
          </w:tcPr>
          <w:p w:rsidR="00C40820" w:rsidRPr="0047440B" w:rsidRDefault="00C40820" w:rsidP="00C40820">
            <w:pPr>
              <w:autoSpaceDE/>
              <w:autoSpaceDN/>
              <w:adjustRightInd/>
              <w:spacing w:line="233" w:lineRule="auto"/>
              <w:jc w:val="center"/>
              <w:rPr>
                <w:color w:val="000000"/>
                <w:sz w:val="20"/>
                <w:szCs w:val="20"/>
              </w:rPr>
            </w:pPr>
            <w:r w:rsidRPr="0047440B">
              <w:rPr>
                <w:color w:val="000000"/>
                <w:sz w:val="20"/>
                <w:szCs w:val="20"/>
              </w:rPr>
              <w:t>58.</w:t>
            </w:r>
          </w:p>
        </w:tc>
        <w:tc>
          <w:tcPr>
            <w:tcW w:w="2917" w:type="dxa"/>
            <w:tcBorders>
              <w:top w:val="single" w:sz="4" w:space="0" w:color="auto"/>
              <w:left w:val="single" w:sz="4" w:space="0" w:color="auto"/>
              <w:bottom w:val="single" w:sz="4" w:space="0" w:color="auto"/>
              <w:right w:val="single" w:sz="4" w:space="0" w:color="auto"/>
            </w:tcBorders>
            <w:shd w:val="clear" w:color="auto" w:fill="auto"/>
          </w:tcPr>
          <w:p w:rsidR="00C40820" w:rsidRPr="0047440B" w:rsidRDefault="00C40820" w:rsidP="00C40820">
            <w:pPr>
              <w:rPr>
                <w:color w:val="000000"/>
                <w:sz w:val="20"/>
                <w:szCs w:val="20"/>
              </w:rPr>
            </w:pPr>
            <w:r w:rsidRPr="0047440B">
              <w:rPr>
                <w:color w:val="000000"/>
                <w:sz w:val="20"/>
                <w:szCs w:val="20"/>
              </w:rPr>
              <w:t>ГАУЗ «Городская поликлиника № 8» г.Казани</w:t>
            </w:r>
          </w:p>
        </w:tc>
        <w:tc>
          <w:tcPr>
            <w:tcW w:w="1233" w:type="dxa"/>
            <w:tcBorders>
              <w:top w:val="single" w:sz="4" w:space="0" w:color="auto"/>
              <w:left w:val="single" w:sz="4" w:space="0" w:color="auto"/>
              <w:bottom w:val="single" w:sz="4" w:space="0" w:color="auto"/>
              <w:right w:val="single" w:sz="4" w:space="0" w:color="auto"/>
            </w:tcBorders>
            <w:shd w:val="clear" w:color="auto" w:fill="auto"/>
            <w:noWrap/>
          </w:tcPr>
          <w:p w:rsidR="00C40820" w:rsidRPr="0047440B" w:rsidRDefault="00C40820" w:rsidP="00C40820">
            <w:pPr>
              <w:jc w:val="center"/>
              <w:rPr>
                <w:color w:val="000000"/>
                <w:sz w:val="20"/>
                <w:szCs w:val="20"/>
              </w:rPr>
            </w:pPr>
            <w:r w:rsidRPr="0047440B">
              <w:rPr>
                <w:color w:val="000000"/>
                <w:sz w:val="20"/>
                <w:szCs w:val="20"/>
              </w:rPr>
              <w:t>2</w:t>
            </w:r>
          </w:p>
        </w:tc>
        <w:tc>
          <w:tcPr>
            <w:tcW w:w="816" w:type="dxa"/>
            <w:tcBorders>
              <w:top w:val="single" w:sz="4" w:space="0" w:color="auto"/>
              <w:left w:val="single" w:sz="4" w:space="0" w:color="auto"/>
              <w:bottom w:val="single" w:sz="4" w:space="0" w:color="auto"/>
              <w:right w:val="single" w:sz="4" w:space="0" w:color="auto"/>
            </w:tcBorders>
            <w:shd w:val="clear" w:color="auto" w:fill="auto"/>
            <w:noWrap/>
          </w:tcPr>
          <w:p w:rsidR="00C40820" w:rsidRPr="0047440B" w:rsidRDefault="00C40820" w:rsidP="00C40820">
            <w:pPr>
              <w:jc w:val="center"/>
              <w:rPr>
                <w:color w:val="000000"/>
                <w:sz w:val="20"/>
                <w:szCs w:val="20"/>
              </w:rPr>
            </w:pPr>
            <w:r w:rsidRPr="0047440B">
              <w:rPr>
                <w:color w:val="000000"/>
                <w:sz w:val="20"/>
                <w:szCs w:val="20"/>
              </w:rPr>
              <w:t>2,00</w:t>
            </w:r>
          </w:p>
        </w:tc>
        <w:tc>
          <w:tcPr>
            <w:tcW w:w="792" w:type="dxa"/>
            <w:tcBorders>
              <w:top w:val="single" w:sz="4" w:space="0" w:color="auto"/>
              <w:left w:val="nil"/>
              <w:bottom w:val="single" w:sz="4" w:space="0" w:color="auto"/>
              <w:right w:val="single" w:sz="4" w:space="0" w:color="auto"/>
            </w:tcBorders>
            <w:shd w:val="clear" w:color="auto" w:fill="auto"/>
            <w:noWrap/>
          </w:tcPr>
          <w:p w:rsidR="00C40820" w:rsidRPr="0047440B" w:rsidRDefault="00C40820" w:rsidP="00C40820">
            <w:pPr>
              <w:jc w:val="center"/>
              <w:rPr>
                <w:color w:val="000000"/>
                <w:sz w:val="20"/>
                <w:szCs w:val="20"/>
              </w:rPr>
            </w:pPr>
            <w:r w:rsidRPr="0047440B">
              <w:rPr>
                <w:color w:val="000000"/>
                <w:sz w:val="20"/>
                <w:szCs w:val="20"/>
              </w:rPr>
              <w:t>2,00</w:t>
            </w:r>
          </w:p>
        </w:tc>
        <w:tc>
          <w:tcPr>
            <w:tcW w:w="1239" w:type="dxa"/>
            <w:tcBorders>
              <w:top w:val="single" w:sz="4" w:space="0" w:color="auto"/>
              <w:left w:val="single" w:sz="4" w:space="0" w:color="auto"/>
              <w:bottom w:val="single" w:sz="4" w:space="0" w:color="auto"/>
              <w:right w:val="single" w:sz="4" w:space="0" w:color="auto"/>
            </w:tcBorders>
            <w:shd w:val="clear" w:color="auto" w:fill="auto"/>
            <w:noWrap/>
          </w:tcPr>
          <w:p w:rsidR="00C40820" w:rsidRPr="0047440B" w:rsidRDefault="00C40820" w:rsidP="00C40820">
            <w:pPr>
              <w:jc w:val="center"/>
              <w:rPr>
                <w:color w:val="000000"/>
                <w:sz w:val="20"/>
                <w:szCs w:val="20"/>
              </w:rPr>
            </w:pPr>
            <w:r w:rsidRPr="0047440B">
              <w:rPr>
                <w:color w:val="000000"/>
                <w:sz w:val="20"/>
                <w:szCs w:val="20"/>
              </w:rPr>
              <w:t>2</w:t>
            </w:r>
          </w:p>
        </w:tc>
        <w:tc>
          <w:tcPr>
            <w:tcW w:w="952" w:type="dxa"/>
            <w:tcBorders>
              <w:top w:val="single" w:sz="4" w:space="0" w:color="auto"/>
              <w:left w:val="nil"/>
              <w:bottom w:val="single" w:sz="4" w:space="0" w:color="auto"/>
              <w:right w:val="single" w:sz="4" w:space="0" w:color="auto"/>
            </w:tcBorders>
            <w:shd w:val="clear" w:color="000000" w:fill="FFFFFF"/>
            <w:noWrap/>
          </w:tcPr>
          <w:p w:rsidR="00C40820" w:rsidRPr="0047440B" w:rsidRDefault="00C40820" w:rsidP="00C40820">
            <w:pPr>
              <w:autoSpaceDE/>
              <w:autoSpaceDN/>
              <w:adjustRightInd/>
              <w:jc w:val="center"/>
              <w:rPr>
                <w:color w:val="000000"/>
                <w:sz w:val="20"/>
                <w:szCs w:val="20"/>
              </w:rPr>
            </w:pPr>
            <w:r w:rsidRPr="0047440B">
              <w:rPr>
                <w:color w:val="000000"/>
                <w:sz w:val="20"/>
                <w:szCs w:val="20"/>
              </w:rPr>
              <w:t>39 722</w:t>
            </w:r>
          </w:p>
        </w:tc>
        <w:tc>
          <w:tcPr>
            <w:tcW w:w="1121" w:type="dxa"/>
            <w:tcBorders>
              <w:top w:val="single" w:sz="4" w:space="0" w:color="auto"/>
              <w:left w:val="nil"/>
              <w:bottom w:val="single" w:sz="4" w:space="0" w:color="auto"/>
              <w:right w:val="single" w:sz="4" w:space="0" w:color="auto"/>
            </w:tcBorders>
            <w:shd w:val="clear" w:color="000000" w:fill="FFFFFF"/>
            <w:noWrap/>
          </w:tcPr>
          <w:p w:rsidR="00C40820" w:rsidRPr="0047440B" w:rsidRDefault="00C40820" w:rsidP="00C40820">
            <w:pPr>
              <w:autoSpaceDE/>
              <w:autoSpaceDN/>
              <w:adjustRightInd/>
              <w:jc w:val="center"/>
              <w:rPr>
                <w:color w:val="000000"/>
                <w:sz w:val="20"/>
                <w:szCs w:val="20"/>
              </w:rPr>
            </w:pPr>
            <w:r w:rsidRPr="0047440B">
              <w:rPr>
                <w:color w:val="000000"/>
                <w:sz w:val="20"/>
                <w:szCs w:val="20"/>
              </w:rPr>
              <w:t>19 861</w:t>
            </w:r>
          </w:p>
        </w:tc>
        <w:tc>
          <w:tcPr>
            <w:tcW w:w="1217" w:type="dxa"/>
            <w:tcBorders>
              <w:top w:val="single" w:sz="4" w:space="0" w:color="auto"/>
              <w:left w:val="nil"/>
              <w:bottom w:val="single" w:sz="4" w:space="0" w:color="auto"/>
              <w:right w:val="single" w:sz="4" w:space="0" w:color="auto"/>
            </w:tcBorders>
            <w:shd w:val="clear" w:color="000000" w:fill="FFFFFF"/>
          </w:tcPr>
          <w:p w:rsidR="00C40820" w:rsidRPr="0047440B" w:rsidRDefault="00C40820" w:rsidP="00C40820">
            <w:pPr>
              <w:autoSpaceDE/>
              <w:autoSpaceDN/>
              <w:adjustRightInd/>
              <w:jc w:val="center"/>
              <w:rPr>
                <w:color w:val="000000"/>
                <w:sz w:val="20"/>
                <w:szCs w:val="20"/>
              </w:rPr>
            </w:pPr>
            <w:r w:rsidRPr="0047440B">
              <w:rPr>
                <w:color w:val="000000"/>
                <w:sz w:val="20"/>
                <w:szCs w:val="20"/>
              </w:rPr>
              <w:t>2</w:t>
            </w:r>
          </w:p>
        </w:tc>
      </w:tr>
      <w:tr w:rsidR="00C40820" w:rsidRPr="0047440B" w:rsidTr="007E4743">
        <w:trPr>
          <w:trHeight w:val="20"/>
          <w:jc w:val="center"/>
        </w:trPr>
        <w:tc>
          <w:tcPr>
            <w:tcW w:w="486" w:type="dxa"/>
            <w:tcBorders>
              <w:top w:val="single" w:sz="4" w:space="0" w:color="auto"/>
              <w:left w:val="single" w:sz="4" w:space="0" w:color="auto"/>
              <w:bottom w:val="single" w:sz="4" w:space="0" w:color="auto"/>
              <w:right w:val="single" w:sz="4" w:space="0" w:color="auto"/>
            </w:tcBorders>
            <w:shd w:val="clear" w:color="000000" w:fill="FFFFFF"/>
            <w:noWrap/>
          </w:tcPr>
          <w:p w:rsidR="00C40820" w:rsidRPr="0047440B" w:rsidRDefault="00C40820" w:rsidP="00C40820">
            <w:pPr>
              <w:autoSpaceDE/>
              <w:autoSpaceDN/>
              <w:adjustRightInd/>
              <w:spacing w:line="233" w:lineRule="auto"/>
              <w:jc w:val="center"/>
              <w:rPr>
                <w:color w:val="000000"/>
                <w:sz w:val="20"/>
                <w:szCs w:val="20"/>
              </w:rPr>
            </w:pPr>
            <w:r w:rsidRPr="0047440B">
              <w:rPr>
                <w:color w:val="000000"/>
                <w:sz w:val="20"/>
                <w:szCs w:val="20"/>
              </w:rPr>
              <w:t>59.</w:t>
            </w:r>
          </w:p>
        </w:tc>
        <w:tc>
          <w:tcPr>
            <w:tcW w:w="2917" w:type="dxa"/>
            <w:tcBorders>
              <w:top w:val="single" w:sz="4" w:space="0" w:color="auto"/>
              <w:left w:val="single" w:sz="4" w:space="0" w:color="auto"/>
              <w:bottom w:val="single" w:sz="4" w:space="0" w:color="auto"/>
              <w:right w:val="single" w:sz="4" w:space="0" w:color="auto"/>
            </w:tcBorders>
            <w:shd w:val="clear" w:color="auto" w:fill="auto"/>
          </w:tcPr>
          <w:p w:rsidR="00C40820" w:rsidRPr="0047440B" w:rsidRDefault="00C40820" w:rsidP="00C40820">
            <w:pPr>
              <w:rPr>
                <w:color w:val="000000"/>
                <w:sz w:val="20"/>
                <w:szCs w:val="20"/>
              </w:rPr>
            </w:pPr>
            <w:r w:rsidRPr="0047440B">
              <w:rPr>
                <w:color w:val="000000"/>
                <w:sz w:val="20"/>
                <w:szCs w:val="20"/>
              </w:rPr>
              <w:t>ГАУЗ «Клиническая больница № 2» г.Казани</w:t>
            </w:r>
          </w:p>
        </w:tc>
        <w:tc>
          <w:tcPr>
            <w:tcW w:w="1233" w:type="dxa"/>
            <w:tcBorders>
              <w:top w:val="single" w:sz="4" w:space="0" w:color="auto"/>
              <w:left w:val="single" w:sz="4" w:space="0" w:color="auto"/>
              <w:bottom w:val="single" w:sz="4" w:space="0" w:color="auto"/>
              <w:right w:val="single" w:sz="4" w:space="0" w:color="auto"/>
            </w:tcBorders>
            <w:shd w:val="clear" w:color="auto" w:fill="auto"/>
            <w:noWrap/>
          </w:tcPr>
          <w:p w:rsidR="00C40820" w:rsidRPr="0047440B" w:rsidRDefault="00C40820" w:rsidP="00C40820">
            <w:pPr>
              <w:jc w:val="center"/>
              <w:rPr>
                <w:color w:val="000000"/>
                <w:sz w:val="20"/>
                <w:szCs w:val="20"/>
              </w:rPr>
            </w:pPr>
            <w:r w:rsidRPr="0047440B">
              <w:rPr>
                <w:color w:val="000000"/>
                <w:sz w:val="20"/>
                <w:szCs w:val="20"/>
              </w:rPr>
              <w:t>4</w:t>
            </w:r>
          </w:p>
        </w:tc>
        <w:tc>
          <w:tcPr>
            <w:tcW w:w="816" w:type="dxa"/>
            <w:tcBorders>
              <w:top w:val="single" w:sz="4" w:space="0" w:color="auto"/>
              <w:left w:val="single" w:sz="4" w:space="0" w:color="auto"/>
              <w:bottom w:val="single" w:sz="4" w:space="0" w:color="auto"/>
              <w:right w:val="single" w:sz="4" w:space="0" w:color="auto"/>
            </w:tcBorders>
            <w:shd w:val="clear" w:color="auto" w:fill="auto"/>
            <w:noWrap/>
          </w:tcPr>
          <w:p w:rsidR="00C40820" w:rsidRPr="0047440B" w:rsidRDefault="00C40820" w:rsidP="00C40820">
            <w:pPr>
              <w:jc w:val="center"/>
              <w:rPr>
                <w:color w:val="000000"/>
                <w:sz w:val="20"/>
                <w:szCs w:val="20"/>
              </w:rPr>
            </w:pPr>
            <w:r w:rsidRPr="0047440B">
              <w:rPr>
                <w:color w:val="000000"/>
                <w:sz w:val="20"/>
                <w:szCs w:val="20"/>
              </w:rPr>
              <w:t>4,00</w:t>
            </w:r>
          </w:p>
        </w:tc>
        <w:tc>
          <w:tcPr>
            <w:tcW w:w="792" w:type="dxa"/>
            <w:tcBorders>
              <w:top w:val="single" w:sz="4" w:space="0" w:color="auto"/>
              <w:left w:val="nil"/>
              <w:bottom w:val="single" w:sz="4" w:space="0" w:color="auto"/>
              <w:right w:val="single" w:sz="4" w:space="0" w:color="auto"/>
            </w:tcBorders>
            <w:shd w:val="clear" w:color="auto" w:fill="auto"/>
            <w:noWrap/>
          </w:tcPr>
          <w:p w:rsidR="00C40820" w:rsidRPr="0047440B" w:rsidRDefault="00C40820" w:rsidP="00C40820">
            <w:pPr>
              <w:jc w:val="center"/>
              <w:rPr>
                <w:color w:val="000000"/>
                <w:sz w:val="20"/>
                <w:szCs w:val="20"/>
              </w:rPr>
            </w:pPr>
            <w:r w:rsidRPr="0047440B">
              <w:rPr>
                <w:color w:val="000000"/>
                <w:sz w:val="20"/>
                <w:szCs w:val="20"/>
              </w:rPr>
              <w:t>4,00</w:t>
            </w:r>
          </w:p>
        </w:tc>
        <w:tc>
          <w:tcPr>
            <w:tcW w:w="1239" w:type="dxa"/>
            <w:tcBorders>
              <w:top w:val="single" w:sz="4" w:space="0" w:color="auto"/>
              <w:left w:val="single" w:sz="4" w:space="0" w:color="auto"/>
              <w:bottom w:val="single" w:sz="4" w:space="0" w:color="auto"/>
              <w:right w:val="single" w:sz="4" w:space="0" w:color="auto"/>
            </w:tcBorders>
            <w:shd w:val="clear" w:color="auto" w:fill="auto"/>
            <w:noWrap/>
          </w:tcPr>
          <w:p w:rsidR="00C40820" w:rsidRPr="0047440B" w:rsidRDefault="00C40820" w:rsidP="00C40820">
            <w:pPr>
              <w:jc w:val="center"/>
              <w:rPr>
                <w:color w:val="000000"/>
                <w:sz w:val="20"/>
                <w:szCs w:val="20"/>
              </w:rPr>
            </w:pPr>
            <w:r w:rsidRPr="0047440B">
              <w:rPr>
                <w:color w:val="000000"/>
                <w:sz w:val="20"/>
                <w:szCs w:val="20"/>
              </w:rPr>
              <w:t>2</w:t>
            </w:r>
          </w:p>
        </w:tc>
        <w:tc>
          <w:tcPr>
            <w:tcW w:w="952" w:type="dxa"/>
            <w:tcBorders>
              <w:top w:val="single" w:sz="4" w:space="0" w:color="auto"/>
              <w:left w:val="nil"/>
              <w:bottom w:val="single" w:sz="4" w:space="0" w:color="auto"/>
              <w:right w:val="single" w:sz="4" w:space="0" w:color="auto"/>
            </w:tcBorders>
            <w:shd w:val="clear" w:color="000000" w:fill="FFFFFF"/>
            <w:noWrap/>
          </w:tcPr>
          <w:p w:rsidR="00C40820" w:rsidRPr="0047440B" w:rsidRDefault="00C40820" w:rsidP="00C40820">
            <w:pPr>
              <w:autoSpaceDE/>
              <w:autoSpaceDN/>
              <w:adjustRightInd/>
              <w:jc w:val="center"/>
              <w:rPr>
                <w:color w:val="000000"/>
                <w:sz w:val="20"/>
                <w:szCs w:val="20"/>
              </w:rPr>
            </w:pPr>
            <w:r w:rsidRPr="0047440B">
              <w:rPr>
                <w:color w:val="000000"/>
                <w:sz w:val="20"/>
                <w:szCs w:val="20"/>
              </w:rPr>
              <w:t>67 532</w:t>
            </w:r>
          </w:p>
        </w:tc>
        <w:tc>
          <w:tcPr>
            <w:tcW w:w="1121" w:type="dxa"/>
            <w:tcBorders>
              <w:top w:val="single" w:sz="4" w:space="0" w:color="auto"/>
              <w:left w:val="nil"/>
              <w:bottom w:val="single" w:sz="4" w:space="0" w:color="auto"/>
              <w:right w:val="single" w:sz="4" w:space="0" w:color="auto"/>
            </w:tcBorders>
            <w:shd w:val="clear" w:color="000000" w:fill="FFFFFF"/>
            <w:noWrap/>
          </w:tcPr>
          <w:p w:rsidR="00C40820" w:rsidRPr="0047440B" w:rsidRDefault="00C40820" w:rsidP="00C40820">
            <w:pPr>
              <w:autoSpaceDE/>
              <w:autoSpaceDN/>
              <w:adjustRightInd/>
              <w:jc w:val="center"/>
              <w:rPr>
                <w:color w:val="000000"/>
                <w:sz w:val="20"/>
                <w:szCs w:val="20"/>
              </w:rPr>
            </w:pPr>
            <w:r w:rsidRPr="0047440B">
              <w:rPr>
                <w:color w:val="000000"/>
                <w:sz w:val="20"/>
                <w:szCs w:val="20"/>
              </w:rPr>
              <w:t>16 883</w:t>
            </w:r>
          </w:p>
        </w:tc>
        <w:tc>
          <w:tcPr>
            <w:tcW w:w="1217" w:type="dxa"/>
            <w:tcBorders>
              <w:top w:val="single" w:sz="4" w:space="0" w:color="auto"/>
              <w:left w:val="nil"/>
              <w:bottom w:val="single" w:sz="4" w:space="0" w:color="auto"/>
              <w:right w:val="single" w:sz="4" w:space="0" w:color="auto"/>
            </w:tcBorders>
            <w:shd w:val="clear" w:color="000000" w:fill="FFFFFF"/>
          </w:tcPr>
          <w:p w:rsidR="00C40820" w:rsidRPr="0047440B" w:rsidRDefault="00C40820" w:rsidP="00C40820">
            <w:pPr>
              <w:autoSpaceDE/>
              <w:autoSpaceDN/>
              <w:adjustRightInd/>
              <w:jc w:val="center"/>
              <w:rPr>
                <w:color w:val="000000"/>
                <w:sz w:val="20"/>
                <w:szCs w:val="20"/>
              </w:rPr>
            </w:pPr>
            <w:r w:rsidRPr="0047440B">
              <w:rPr>
                <w:color w:val="000000"/>
                <w:sz w:val="20"/>
                <w:szCs w:val="20"/>
              </w:rPr>
              <w:t>1</w:t>
            </w:r>
          </w:p>
        </w:tc>
      </w:tr>
      <w:tr w:rsidR="00C40820" w:rsidRPr="0047440B" w:rsidTr="007E4743">
        <w:trPr>
          <w:trHeight w:val="20"/>
          <w:jc w:val="center"/>
        </w:trPr>
        <w:tc>
          <w:tcPr>
            <w:tcW w:w="486" w:type="dxa"/>
            <w:tcBorders>
              <w:top w:val="single" w:sz="4" w:space="0" w:color="auto"/>
              <w:left w:val="single" w:sz="4" w:space="0" w:color="auto"/>
              <w:bottom w:val="single" w:sz="4" w:space="0" w:color="auto"/>
              <w:right w:val="single" w:sz="4" w:space="0" w:color="auto"/>
            </w:tcBorders>
            <w:shd w:val="clear" w:color="000000" w:fill="FFFFFF"/>
            <w:noWrap/>
          </w:tcPr>
          <w:p w:rsidR="00C40820" w:rsidRPr="0047440B" w:rsidRDefault="00C40820" w:rsidP="00C40820">
            <w:pPr>
              <w:autoSpaceDE/>
              <w:autoSpaceDN/>
              <w:adjustRightInd/>
              <w:spacing w:line="233" w:lineRule="auto"/>
              <w:jc w:val="center"/>
              <w:rPr>
                <w:color w:val="000000"/>
                <w:sz w:val="20"/>
                <w:szCs w:val="20"/>
              </w:rPr>
            </w:pPr>
            <w:r w:rsidRPr="0047440B">
              <w:rPr>
                <w:color w:val="000000"/>
                <w:sz w:val="20"/>
                <w:szCs w:val="20"/>
              </w:rPr>
              <w:t>60.</w:t>
            </w:r>
          </w:p>
        </w:tc>
        <w:tc>
          <w:tcPr>
            <w:tcW w:w="2917" w:type="dxa"/>
            <w:tcBorders>
              <w:top w:val="single" w:sz="4" w:space="0" w:color="auto"/>
              <w:left w:val="single" w:sz="4" w:space="0" w:color="auto"/>
              <w:bottom w:val="single" w:sz="4" w:space="0" w:color="auto"/>
              <w:right w:val="single" w:sz="4" w:space="0" w:color="auto"/>
            </w:tcBorders>
            <w:shd w:val="clear" w:color="auto" w:fill="auto"/>
          </w:tcPr>
          <w:p w:rsidR="00C40820" w:rsidRPr="0047440B" w:rsidRDefault="00C40820" w:rsidP="00C40820">
            <w:pPr>
              <w:rPr>
                <w:color w:val="000000"/>
                <w:sz w:val="20"/>
                <w:szCs w:val="20"/>
              </w:rPr>
            </w:pPr>
            <w:r w:rsidRPr="0047440B">
              <w:rPr>
                <w:color w:val="000000"/>
                <w:sz w:val="20"/>
                <w:szCs w:val="20"/>
              </w:rPr>
              <w:t>ГАУЗ «Клиника медицинского университета» г.Казани</w:t>
            </w:r>
          </w:p>
        </w:tc>
        <w:tc>
          <w:tcPr>
            <w:tcW w:w="1233" w:type="dxa"/>
            <w:tcBorders>
              <w:top w:val="single" w:sz="4" w:space="0" w:color="auto"/>
              <w:left w:val="single" w:sz="4" w:space="0" w:color="auto"/>
              <w:bottom w:val="single" w:sz="4" w:space="0" w:color="auto"/>
              <w:right w:val="single" w:sz="4" w:space="0" w:color="auto"/>
            </w:tcBorders>
            <w:shd w:val="clear" w:color="auto" w:fill="auto"/>
            <w:noWrap/>
          </w:tcPr>
          <w:p w:rsidR="00C40820" w:rsidRPr="0047440B" w:rsidRDefault="00C40820" w:rsidP="00C40820">
            <w:pPr>
              <w:jc w:val="center"/>
              <w:rPr>
                <w:color w:val="000000"/>
                <w:sz w:val="20"/>
                <w:szCs w:val="20"/>
              </w:rPr>
            </w:pPr>
            <w:r w:rsidRPr="0047440B">
              <w:rPr>
                <w:color w:val="000000"/>
                <w:sz w:val="20"/>
                <w:szCs w:val="20"/>
              </w:rPr>
              <w:t>2</w:t>
            </w:r>
          </w:p>
        </w:tc>
        <w:tc>
          <w:tcPr>
            <w:tcW w:w="816" w:type="dxa"/>
            <w:tcBorders>
              <w:top w:val="single" w:sz="4" w:space="0" w:color="auto"/>
              <w:left w:val="single" w:sz="4" w:space="0" w:color="auto"/>
              <w:bottom w:val="single" w:sz="4" w:space="0" w:color="auto"/>
              <w:right w:val="single" w:sz="4" w:space="0" w:color="auto"/>
            </w:tcBorders>
            <w:shd w:val="clear" w:color="auto" w:fill="auto"/>
            <w:noWrap/>
          </w:tcPr>
          <w:p w:rsidR="00C40820" w:rsidRPr="0047440B" w:rsidRDefault="00C40820" w:rsidP="00C40820">
            <w:pPr>
              <w:jc w:val="center"/>
              <w:rPr>
                <w:color w:val="000000"/>
                <w:sz w:val="20"/>
                <w:szCs w:val="20"/>
              </w:rPr>
            </w:pPr>
            <w:r w:rsidRPr="0047440B">
              <w:rPr>
                <w:color w:val="000000"/>
                <w:sz w:val="20"/>
                <w:szCs w:val="20"/>
              </w:rPr>
              <w:t>2,00</w:t>
            </w:r>
          </w:p>
        </w:tc>
        <w:tc>
          <w:tcPr>
            <w:tcW w:w="792" w:type="dxa"/>
            <w:tcBorders>
              <w:top w:val="single" w:sz="4" w:space="0" w:color="auto"/>
              <w:left w:val="nil"/>
              <w:bottom w:val="single" w:sz="4" w:space="0" w:color="auto"/>
              <w:right w:val="single" w:sz="4" w:space="0" w:color="auto"/>
            </w:tcBorders>
            <w:shd w:val="clear" w:color="auto" w:fill="auto"/>
            <w:noWrap/>
          </w:tcPr>
          <w:p w:rsidR="00C40820" w:rsidRPr="0047440B" w:rsidRDefault="00C40820" w:rsidP="00C40820">
            <w:pPr>
              <w:jc w:val="center"/>
              <w:rPr>
                <w:color w:val="000000"/>
                <w:sz w:val="20"/>
                <w:szCs w:val="20"/>
              </w:rPr>
            </w:pPr>
            <w:r w:rsidRPr="0047440B">
              <w:rPr>
                <w:color w:val="000000"/>
                <w:sz w:val="20"/>
                <w:szCs w:val="20"/>
              </w:rPr>
              <w:t>2,00</w:t>
            </w:r>
          </w:p>
        </w:tc>
        <w:tc>
          <w:tcPr>
            <w:tcW w:w="1239" w:type="dxa"/>
            <w:tcBorders>
              <w:top w:val="single" w:sz="4" w:space="0" w:color="auto"/>
              <w:left w:val="single" w:sz="4" w:space="0" w:color="auto"/>
              <w:bottom w:val="single" w:sz="4" w:space="0" w:color="auto"/>
              <w:right w:val="single" w:sz="4" w:space="0" w:color="auto"/>
            </w:tcBorders>
            <w:shd w:val="clear" w:color="auto" w:fill="auto"/>
            <w:noWrap/>
          </w:tcPr>
          <w:p w:rsidR="00C40820" w:rsidRPr="0047440B" w:rsidRDefault="00C40820" w:rsidP="00C40820">
            <w:pPr>
              <w:jc w:val="center"/>
              <w:rPr>
                <w:color w:val="000000"/>
                <w:sz w:val="20"/>
                <w:szCs w:val="20"/>
              </w:rPr>
            </w:pPr>
            <w:r w:rsidRPr="0047440B">
              <w:rPr>
                <w:color w:val="000000"/>
                <w:sz w:val="20"/>
                <w:szCs w:val="20"/>
              </w:rPr>
              <w:t>2</w:t>
            </w:r>
          </w:p>
        </w:tc>
        <w:tc>
          <w:tcPr>
            <w:tcW w:w="952" w:type="dxa"/>
            <w:tcBorders>
              <w:top w:val="single" w:sz="4" w:space="0" w:color="auto"/>
              <w:left w:val="nil"/>
              <w:bottom w:val="single" w:sz="4" w:space="0" w:color="auto"/>
              <w:right w:val="single" w:sz="4" w:space="0" w:color="auto"/>
            </w:tcBorders>
            <w:shd w:val="clear" w:color="000000" w:fill="FFFFFF"/>
            <w:noWrap/>
          </w:tcPr>
          <w:p w:rsidR="00C40820" w:rsidRPr="0047440B" w:rsidRDefault="00C40820" w:rsidP="00C40820">
            <w:pPr>
              <w:autoSpaceDE/>
              <w:autoSpaceDN/>
              <w:adjustRightInd/>
              <w:jc w:val="center"/>
              <w:rPr>
                <w:color w:val="000000"/>
                <w:sz w:val="20"/>
                <w:szCs w:val="20"/>
              </w:rPr>
            </w:pPr>
            <w:r w:rsidRPr="0047440B">
              <w:rPr>
                <w:color w:val="000000"/>
                <w:sz w:val="20"/>
                <w:szCs w:val="20"/>
              </w:rPr>
              <w:t>15 968</w:t>
            </w:r>
          </w:p>
        </w:tc>
        <w:tc>
          <w:tcPr>
            <w:tcW w:w="1121" w:type="dxa"/>
            <w:tcBorders>
              <w:top w:val="single" w:sz="4" w:space="0" w:color="auto"/>
              <w:left w:val="nil"/>
              <w:bottom w:val="single" w:sz="4" w:space="0" w:color="auto"/>
              <w:right w:val="single" w:sz="4" w:space="0" w:color="auto"/>
            </w:tcBorders>
            <w:shd w:val="clear" w:color="000000" w:fill="FFFFFF"/>
            <w:noWrap/>
          </w:tcPr>
          <w:p w:rsidR="00C40820" w:rsidRPr="0047440B" w:rsidRDefault="00C40820" w:rsidP="00C40820">
            <w:pPr>
              <w:autoSpaceDE/>
              <w:autoSpaceDN/>
              <w:adjustRightInd/>
              <w:jc w:val="center"/>
              <w:rPr>
                <w:color w:val="000000"/>
                <w:sz w:val="20"/>
                <w:szCs w:val="20"/>
              </w:rPr>
            </w:pPr>
            <w:r w:rsidRPr="0047440B">
              <w:rPr>
                <w:color w:val="000000"/>
                <w:sz w:val="20"/>
                <w:szCs w:val="20"/>
              </w:rPr>
              <w:t>7 984</w:t>
            </w:r>
          </w:p>
        </w:tc>
        <w:tc>
          <w:tcPr>
            <w:tcW w:w="1217" w:type="dxa"/>
            <w:tcBorders>
              <w:top w:val="single" w:sz="4" w:space="0" w:color="auto"/>
              <w:left w:val="nil"/>
              <w:bottom w:val="single" w:sz="4" w:space="0" w:color="auto"/>
              <w:right w:val="single" w:sz="4" w:space="0" w:color="auto"/>
            </w:tcBorders>
            <w:shd w:val="clear" w:color="000000" w:fill="FFFFFF"/>
          </w:tcPr>
          <w:p w:rsidR="00C40820" w:rsidRPr="0047440B" w:rsidRDefault="00C40820" w:rsidP="00C40820">
            <w:pPr>
              <w:autoSpaceDE/>
              <w:autoSpaceDN/>
              <w:adjustRightInd/>
              <w:jc w:val="center"/>
              <w:rPr>
                <w:color w:val="000000"/>
                <w:sz w:val="20"/>
                <w:szCs w:val="20"/>
              </w:rPr>
            </w:pPr>
            <w:r w:rsidRPr="0047440B">
              <w:rPr>
                <w:color w:val="000000"/>
                <w:sz w:val="20"/>
                <w:szCs w:val="20"/>
              </w:rPr>
              <w:t>1</w:t>
            </w:r>
          </w:p>
        </w:tc>
      </w:tr>
      <w:tr w:rsidR="00C40820" w:rsidRPr="0047440B" w:rsidTr="007E4743">
        <w:trPr>
          <w:trHeight w:val="20"/>
          <w:jc w:val="center"/>
        </w:trPr>
        <w:tc>
          <w:tcPr>
            <w:tcW w:w="486" w:type="dxa"/>
            <w:tcBorders>
              <w:top w:val="single" w:sz="4" w:space="0" w:color="auto"/>
              <w:left w:val="single" w:sz="4" w:space="0" w:color="auto"/>
              <w:bottom w:val="single" w:sz="4" w:space="0" w:color="auto"/>
              <w:right w:val="single" w:sz="4" w:space="0" w:color="auto"/>
            </w:tcBorders>
            <w:shd w:val="clear" w:color="000000" w:fill="FFFFFF"/>
            <w:noWrap/>
          </w:tcPr>
          <w:p w:rsidR="00C40820" w:rsidRPr="0047440B" w:rsidRDefault="00C40820" w:rsidP="00C40820">
            <w:pPr>
              <w:autoSpaceDE/>
              <w:autoSpaceDN/>
              <w:adjustRightInd/>
              <w:spacing w:line="233" w:lineRule="auto"/>
              <w:jc w:val="center"/>
              <w:rPr>
                <w:color w:val="000000"/>
                <w:sz w:val="20"/>
                <w:szCs w:val="20"/>
              </w:rPr>
            </w:pPr>
            <w:r w:rsidRPr="0047440B">
              <w:rPr>
                <w:color w:val="000000"/>
                <w:sz w:val="20"/>
                <w:szCs w:val="20"/>
              </w:rPr>
              <w:t>61.</w:t>
            </w:r>
          </w:p>
        </w:tc>
        <w:tc>
          <w:tcPr>
            <w:tcW w:w="2917" w:type="dxa"/>
            <w:tcBorders>
              <w:top w:val="single" w:sz="4" w:space="0" w:color="auto"/>
              <w:left w:val="single" w:sz="4" w:space="0" w:color="auto"/>
              <w:bottom w:val="single" w:sz="4" w:space="0" w:color="auto"/>
              <w:right w:val="single" w:sz="4" w:space="0" w:color="auto"/>
            </w:tcBorders>
            <w:shd w:val="clear" w:color="auto" w:fill="auto"/>
          </w:tcPr>
          <w:p w:rsidR="00C40820" w:rsidRPr="0047440B" w:rsidRDefault="00C40820" w:rsidP="00C40820">
            <w:pPr>
              <w:rPr>
                <w:color w:val="000000"/>
                <w:sz w:val="20"/>
                <w:szCs w:val="20"/>
              </w:rPr>
            </w:pPr>
            <w:r w:rsidRPr="0047440B">
              <w:rPr>
                <w:color w:val="000000"/>
                <w:sz w:val="20"/>
                <w:szCs w:val="20"/>
              </w:rPr>
              <w:t>ГАУЗ «Центральная городская клиническая больница № 18 им.проф.К.Ш.Зыятдинова» г.Казани</w:t>
            </w:r>
          </w:p>
        </w:tc>
        <w:tc>
          <w:tcPr>
            <w:tcW w:w="1233" w:type="dxa"/>
            <w:tcBorders>
              <w:top w:val="single" w:sz="4" w:space="0" w:color="auto"/>
              <w:left w:val="single" w:sz="4" w:space="0" w:color="auto"/>
              <w:bottom w:val="single" w:sz="4" w:space="0" w:color="auto"/>
              <w:right w:val="single" w:sz="4" w:space="0" w:color="auto"/>
            </w:tcBorders>
            <w:shd w:val="clear" w:color="auto" w:fill="auto"/>
            <w:noWrap/>
          </w:tcPr>
          <w:p w:rsidR="00C40820" w:rsidRPr="0047440B" w:rsidRDefault="00C40820" w:rsidP="00C40820">
            <w:pPr>
              <w:jc w:val="center"/>
              <w:rPr>
                <w:color w:val="000000"/>
                <w:sz w:val="20"/>
                <w:szCs w:val="20"/>
              </w:rPr>
            </w:pPr>
            <w:r w:rsidRPr="0047440B">
              <w:rPr>
                <w:color w:val="000000"/>
                <w:sz w:val="20"/>
                <w:szCs w:val="20"/>
              </w:rPr>
              <w:t>2</w:t>
            </w:r>
          </w:p>
        </w:tc>
        <w:tc>
          <w:tcPr>
            <w:tcW w:w="816" w:type="dxa"/>
            <w:tcBorders>
              <w:top w:val="single" w:sz="4" w:space="0" w:color="auto"/>
              <w:left w:val="single" w:sz="4" w:space="0" w:color="auto"/>
              <w:bottom w:val="single" w:sz="4" w:space="0" w:color="auto"/>
              <w:right w:val="single" w:sz="4" w:space="0" w:color="auto"/>
            </w:tcBorders>
            <w:shd w:val="clear" w:color="auto" w:fill="auto"/>
            <w:noWrap/>
          </w:tcPr>
          <w:p w:rsidR="00C40820" w:rsidRPr="0047440B" w:rsidRDefault="00C40820" w:rsidP="00C40820">
            <w:pPr>
              <w:jc w:val="center"/>
              <w:rPr>
                <w:color w:val="000000"/>
                <w:sz w:val="20"/>
                <w:szCs w:val="20"/>
              </w:rPr>
            </w:pPr>
            <w:r w:rsidRPr="0047440B">
              <w:rPr>
                <w:color w:val="000000"/>
                <w:sz w:val="20"/>
                <w:szCs w:val="20"/>
              </w:rPr>
              <w:t>2,00</w:t>
            </w:r>
          </w:p>
        </w:tc>
        <w:tc>
          <w:tcPr>
            <w:tcW w:w="792" w:type="dxa"/>
            <w:tcBorders>
              <w:top w:val="single" w:sz="4" w:space="0" w:color="auto"/>
              <w:left w:val="nil"/>
              <w:bottom w:val="single" w:sz="4" w:space="0" w:color="auto"/>
              <w:right w:val="single" w:sz="4" w:space="0" w:color="auto"/>
            </w:tcBorders>
            <w:shd w:val="clear" w:color="auto" w:fill="auto"/>
            <w:noWrap/>
          </w:tcPr>
          <w:p w:rsidR="00C40820" w:rsidRPr="0047440B" w:rsidRDefault="00C40820" w:rsidP="00C40820">
            <w:pPr>
              <w:jc w:val="center"/>
              <w:rPr>
                <w:color w:val="000000"/>
                <w:sz w:val="20"/>
                <w:szCs w:val="20"/>
              </w:rPr>
            </w:pPr>
            <w:r w:rsidRPr="0047440B">
              <w:rPr>
                <w:color w:val="000000"/>
                <w:sz w:val="20"/>
                <w:szCs w:val="20"/>
              </w:rPr>
              <w:t>2,00</w:t>
            </w:r>
          </w:p>
        </w:tc>
        <w:tc>
          <w:tcPr>
            <w:tcW w:w="1239" w:type="dxa"/>
            <w:tcBorders>
              <w:top w:val="single" w:sz="4" w:space="0" w:color="auto"/>
              <w:left w:val="single" w:sz="4" w:space="0" w:color="auto"/>
              <w:bottom w:val="single" w:sz="4" w:space="0" w:color="auto"/>
              <w:right w:val="single" w:sz="4" w:space="0" w:color="auto"/>
            </w:tcBorders>
            <w:shd w:val="clear" w:color="auto" w:fill="auto"/>
            <w:noWrap/>
          </w:tcPr>
          <w:p w:rsidR="00C40820" w:rsidRPr="0047440B" w:rsidRDefault="00C40820" w:rsidP="00C40820">
            <w:pPr>
              <w:jc w:val="center"/>
              <w:rPr>
                <w:color w:val="000000"/>
                <w:sz w:val="20"/>
                <w:szCs w:val="20"/>
              </w:rPr>
            </w:pPr>
            <w:r w:rsidRPr="0047440B">
              <w:rPr>
                <w:color w:val="000000"/>
                <w:sz w:val="20"/>
                <w:szCs w:val="20"/>
              </w:rPr>
              <w:t>1</w:t>
            </w:r>
          </w:p>
        </w:tc>
        <w:tc>
          <w:tcPr>
            <w:tcW w:w="952" w:type="dxa"/>
            <w:tcBorders>
              <w:top w:val="single" w:sz="4" w:space="0" w:color="auto"/>
              <w:left w:val="nil"/>
              <w:bottom w:val="single" w:sz="4" w:space="0" w:color="auto"/>
              <w:right w:val="single" w:sz="4" w:space="0" w:color="auto"/>
            </w:tcBorders>
            <w:shd w:val="clear" w:color="000000" w:fill="FFFFFF"/>
            <w:noWrap/>
          </w:tcPr>
          <w:p w:rsidR="00C40820" w:rsidRPr="0047440B" w:rsidRDefault="00C40820" w:rsidP="00C40820">
            <w:pPr>
              <w:autoSpaceDE/>
              <w:autoSpaceDN/>
              <w:adjustRightInd/>
              <w:jc w:val="center"/>
              <w:rPr>
                <w:color w:val="000000"/>
                <w:sz w:val="20"/>
                <w:szCs w:val="20"/>
              </w:rPr>
            </w:pPr>
            <w:r w:rsidRPr="0047440B">
              <w:rPr>
                <w:color w:val="000000"/>
                <w:sz w:val="20"/>
                <w:szCs w:val="20"/>
              </w:rPr>
              <w:t>30 780</w:t>
            </w:r>
          </w:p>
        </w:tc>
        <w:tc>
          <w:tcPr>
            <w:tcW w:w="1121" w:type="dxa"/>
            <w:tcBorders>
              <w:top w:val="single" w:sz="4" w:space="0" w:color="auto"/>
              <w:left w:val="nil"/>
              <w:bottom w:val="single" w:sz="4" w:space="0" w:color="auto"/>
              <w:right w:val="single" w:sz="4" w:space="0" w:color="auto"/>
            </w:tcBorders>
            <w:shd w:val="clear" w:color="000000" w:fill="FFFFFF"/>
            <w:noWrap/>
          </w:tcPr>
          <w:p w:rsidR="00C40820" w:rsidRPr="0047440B" w:rsidRDefault="00C40820" w:rsidP="00C40820">
            <w:pPr>
              <w:autoSpaceDE/>
              <w:autoSpaceDN/>
              <w:adjustRightInd/>
              <w:jc w:val="center"/>
              <w:rPr>
                <w:color w:val="000000"/>
                <w:sz w:val="20"/>
                <w:szCs w:val="20"/>
              </w:rPr>
            </w:pPr>
            <w:r w:rsidRPr="0047440B">
              <w:rPr>
                <w:color w:val="000000"/>
                <w:sz w:val="20"/>
                <w:szCs w:val="20"/>
              </w:rPr>
              <w:t>15 390</w:t>
            </w:r>
          </w:p>
        </w:tc>
        <w:tc>
          <w:tcPr>
            <w:tcW w:w="1217" w:type="dxa"/>
            <w:tcBorders>
              <w:top w:val="single" w:sz="4" w:space="0" w:color="auto"/>
              <w:left w:val="nil"/>
              <w:bottom w:val="single" w:sz="4" w:space="0" w:color="auto"/>
              <w:right w:val="single" w:sz="4" w:space="0" w:color="auto"/>
            </w:tcBorders>
            <w:shd w:val="clear" w:color="000000" w:fill="FFFFFF"/>
          </w:tcPr>
          <w:p w:rsidR="00C40820" w:rsidRPr="0047440B" w:rsidRDefault="00C40820" w:rsidP="00C40820">
            <w:pPr>
              <w:autoSpaceDE/>
              <w:autoSpaceDN/>
              <w:adjustRightInd/>
              <w:jc w:val="center"/>
              <w:rPr>
                <w:color w:val="000000"/>
                <w:sz w:val="20"/>
                <w:szCs w:val="20"/>
              </w:rPr>
            </w:pPr>
            <w:r w:rsidRPr="0047440B">
              <w:rPr>
                <w:color w:val="000000"/>
                <w:sz w:val="20"/>
                <w:szCs w:val="20"/>
              </w:rPr>
              <w:t>1</w:t>
            </w:r>
          </w:p>
        </w:tc>
      </w:tr>
      <w:tr w:rsidR="00C40820" w:rsidRPr="0047440B" w:rsidTr="007E4743">
        <w:trPr>
          <w:trHeight w:val="20"/>
          <w:jc w:val="center"/>
        </w:trPr>
        <w:tc>
          <w:tcPr>
            <w:tcW w:w="486" w:type="dxa"/>
            <w:tcBorders>
              <w:top w:val="single" w:sz="4" w:space="0" w:color="auto"/>
              <w:left w:val="single" w:sz="4" w:space="0" w:color="auto"/>
              <w:bottom w:val="single" w:sz="4" w:space="0" w:color="auto"/>
              <w:right w:val="single" w:sz="4" w:space="0" w:color="auto"/>
            </w:tcBorders>
            <w:shd w:val="clear" w:color="000000" w:fill="FFFFFF"/>
            <w:noWrap/>
          </w:tcPr>
          <w:p w:rsidR="00C40820" w:rsidRPr="0047440B" w:rsidRDefault="00C40820" w:rsidP="00C40820">
            <w:pPr>
              <w:autoSpaceDE/>
              <w:autoSpaceDN/>
              <w:adjustRightInd/>
              <w:spacing w:line="233" w:lineRule="auto"/>
              <w:jc w:val="center"/>
              <w:rPr>
                <w:color w:val="000000"/>
                <w:sz w:val="20"/>
                <w:szCs w:val="20"/>
              </w:rPr>
            </w:pPr>
            <w:r w:rsidRPr="0047440B">
              <w:rPr>
                <w:color w:val="000000"/>
                <w:sz w:val="20"/>
                <w:szCs w:val="20"/>
              </w:rPr>
              <w:t>62.</w:t>
            </w:r>
          </w:p>
        </w:tc>
        <w:tc>
          <w:tcPr>
            <w:tcW w:w="2917" w:type="dxa"/>
            <w:tcBorders>
              <w:top w:val="single" w:sz="4" w:space="0" w:color="auto"/>
              <w:left w:val="single" w:sz="4" w:space="0" w:color="auto"/>
              <w:bottom w:val="single" w:sz="4" w:space="0" w:color="auto"/>
              <w:right w:val="single" w:sz="4" w:space="0" w:color="auto"/>
            </w:tcBorders>
            <w:shd w:val="clear" w:color="auto" w:fill="auto"/>
          </w:tcPr>
          <w:p w:rsidR="00C40820" w:rsidRPr="0047440B" w:rsidRDefault="00C40820" w:rsidP="00C40820">
            <w:pPr>
              <w:rPr>
                <w:color w:val="000000"/>
                <w:sz w:val="20"/>
                <w:szCs w:val="20"/>
              </w:rPr>
            </w:pPr>
            <w:r w:rsidRPr="0047440B">
              <w:rPr>
                <w:color w:val="000000"/>
                <w:sz w:val="20"/>
                <w:szCs w:val="20"/>
              </w:rPr>
              <w:t>ГАУЗ «Госпиталь для ветеранов войн» г.Казани</w:t>
            </w:r>
          </w:p>
        </w:tc>
        <w:tc>
          <w:tcPr>
            <w:tcW w:w="1233" w:type="dxa"/>
            <w:tcBorders>
              <w:top w:val="single" w:sz="4" w:space="0" w:color="auto"/>
              <w:left w:val="single" w:sz="4" w:space="0" w:color="auto"/>
              <w:bottom w:val="single" w:sz="4" w:space="0" w:color="auto"/>
              <w:right w:val="single" w:sz="4" w:space="0" w:color="auto"/>
            </w:tcBorders>
            <w:shd w:val="clear" w:color="auto" w:fill="auto"/>
            <w:noWrap/>
          </w:tcPr>
          <w:p w:rsidR="00C40820" w:rsidRPr="0047440B" w:rsidRDefault="00C40820" w:rsidP="00C40820">
            <w:pPr>
              <w:jc w:val="center"/>
              <w:rPr>
                <w:color w:val="000000"/>
                <w:sz w:val="20"/>
                <w:szCs w:val="20"/>
              </w:rPr>
            </w:pPr>
            <w:r w:rsidRPr="0047440B">
              <w:rPr>
                <w:color w:val="000000"/>
                <w:sz w:val="20"/>
                <w:szCs w:val="20"/>
              </w:rPr>
              <w:t>1</w:t>
            </w:r>
          </w:p>
        </w:tc>
        <w:tc>
          <w:tcPr>
            <w:tcW w:w="816" w:type="dxa"/>
            <w:tcBorders>
              <w:top w:val="single" w:sz="4" w:space="0" w:color="auto"/>
              <w:left w:val="single" w:sz="4" w:space="0" w:color="auto"/>
              <w:bottom w:val="single" w:sz="4" w:space="0" w:color="auto"/>
              <w:right w:val="single" w:sz="4" w:space="0" w:color="auto"/>
            </w:tcBorders>
            <w:shd w:val="clear" w:color="auto" w:fill="auto"/>
            <w:noWrap/>
          </w:tcPr>
          <w:p w:rsidR="00C40820" w:rsidRPr="0047440B" w:rsidRDefault="00C40820" w:rsidP="00C40820">
            <w:pPr>
              <w:jc w:val="center"/>
              <w:rPr>
                <w:color w:val="000000"/>
                <w:sz w:val="20"/>
                <w:szCs w:val="20"/>
              </w:rPr>
            </w:pPr>
            <w:r w:rsidRPr="0047440B">
              <w:rPr>
                <w:color w:val="000000"/>
                <w:sz w:val="20"/>
                <w:szCs w:val="20"/>
              </w:rPr>
              <w:t>1,00</w:t>
            </w:r>
          </w:p>
        </w:tc>
        <w:tc>
          <w:tcPr>
            <w:tcW w:w="792" w:type="dxa"/>
            <w:tcBorders>
              <w:top w:val="single" w:sz="4" w:space="0" w:color="auto"/>
              <w:left w:val="nil"/>
              <w:bottom w:val="single" w:sz="4" w:space="0" w:color="auto"/>
              <w:right w:val="single" w:sz="4" w:space="0" w:color="auto"/>
            </w:tcBorders>
            <w:shd w:val="clear" w:color="auto" w:fill="auto"/>
            <w:noWrap/>
          </w:tcPr>
          <w:p w:rsidR="00C40820" w:rsidRPr="0047440B" w:rsidRDefault="00C40820" w:rsidP="00C40820">
            <w:pPr>
              <w:jc w:val="center"/>
              <w:rPr>
                <w:color w:val="000000"/>
                <w:sz w:val="20"/>
                <w:szCs w:val="20"/>
              </w:rPr>
            </w:pPr>
            <w:r w:rsidRPr="0047440B">
              <w:rPr>
                <w:color w:val="000000"/>
                <w:sz w:val="20"/>
                <w:szCs w:val="20"/>
              </w:rPr>
              <w:t>1,00</w:t>
            </w:r>
          </w:p>
        </w:tc>
        <w:tc>
          <w:tcPr>
            <w:tcW w:w="1239" w:type="dxa"/>
            <w:tcBorders>
              <w:top w:val="single" w:sz="4" w:space="0" w:color="auto"/>
              <w:left w:val="single" w:sz="4" w:space="0" w:color="auto"/>
              <w:bottom w:val="single" w:sz="4" w:space="0" w:color="auto"/>
              <w:right w:val="single" w:sz="4" w:space="0" w:color="auto"/>
            </w:tcBorders>
            <w:shd w:val="clear" w:color="auto" w:fill="auto"/>
            <w:noWrap/>
          </w:tcPr>
          <w:p w:rsidR="00C40820" w:rsidRPr="0047440B" w:rsidRDefault="00C40820" w:rsidP="00C40820">
            <w:pPr>
              <w:jc w:val="center"/>
              <w:rPr>
                <w:color w:val="000000"/>
                <w:sz w:val="20"/>
                <w:szCs w:val="20"/>
              </w:rPr>
            </w:pPr>
            <w:r w:rsidRPr="0047440B">
              <w:rPr>
                <w:color w:val="000000"/>
                <w:sz w:val="20"/>
                <w:szCs w:val="20"/>
              </w:rPr>
              <w:t>1</w:t>
            </w:r>
          </w:p>
        </w:tc>
        <w:tc>
          <w:tcPr>
            <w:tcW w:w="952" w:type="dxa"/>
            <w:tcBorders>
              <w:top w:val="single" w:sz="4" w:space="0" w:color="auto"/>
              <w:left w:val="nil"/>
              <w:bottom w:val="single" w:sz="4" w:space="0" w:color="auto"/>
              <w:right w:val="single" w:sz="4" w:space="0" w:color="auto"/>
            </w:tcBorders>
            <w:shd w:val="clear" w:color="000000" w:fill="FFFFFF"/>
            <w:noWrap/>
          </w:tcPr>
          <w:p w:rsidR="00C40820" w:rsidRPr="0047440B" w:rsidRDefault="00C40820" w:rsidP="00C40820">
            <w:pPr>
              <w:autoSpaceDE/>
              <w:autoSpaceDN/>
              <w:adjustRightInd/>
              <w:jc w:val="center"/>
              <w:rPr>
                <w:color w:val="000000"/>
                <w:sz w:val="20"/>
                <w:szCs w:val="20"/>
              </w:rPr>
            </w:pPr>
            <w:r w:rsidRPr="0047440B">
              <w:rPr>
                <w:color w:val="000000"/>
                <w:sz w:val="20"/>
                <w:szCs w:val="20"/>
              </w:rPr>
              <w:t>12 860</w:t>
            </w:r>
          </w:p>
        </w:tc>
        <w:tc>
          <w:tcPr>
            <w:tcW w:w="1121" w:type="dxa"/>
            <w:tcBorders>
              <w:top w:val="single" w:sz="4" w:space="0" w:color="auto"/>
              <w:left w:val="nil"/>
              <w:bottom w:val="single" w:sz="4" w:space="0" w:color="auto"/>
              <w:right w:val="single" w:sz="4" w:space="0" w:color="auto"/>
            </w:tcBorders>
            <w:shd w:val="clear" w:color="000000" w:fill="FFFFFF"/>
            <w:noWrap/>
          </w:tcPr>
          <w:p w:rsidR="00C40820" w:rsidRPr="0047440B" w:rsidRDefault="00C40820" w:rsidP="00C40820">
            <w:pPr>
              <w:autoSpaceDE/>
              <w:autoSpaceDN/>
              <w:adjustRightInd/>
              <w:jc w:val="center"/>
              <w:rPr>
                <w:color w:val="000000"/>
                <w:sz w:val="20"/>
                <w:szCs w:val="20"/>
              </w:rPr>
            </w:pPr>
            <w:r w:rsidRPr="0047440B">
              <w:rPr>
                <w:color w:val="000000"/>
                <w:sz w:val="20"/>
                <w:szCs w:val="20"/>
              </w:rPr>
              <w:t>12 860</w:t>
            </w:r>
          </w:p>
        </w:tc>
        <w:tc>
          <w:tcPr>
            <w:tcW w:w="1217" w:type="dxa"/>
            <w:tcBorders>
              <w:top w:val="single" w:sz="4" w:space="0" w:color="auto"/>
              <w:left w:val="nil"/>
              <w:bottom w:val="single" w:sz="4" w:space="0" w:color="auto"/>
              <w:right w:val="single" w:sz="4" w:space="0" w:color="auto"/>
            </w:tcBorders>
            <w:shd w:val="clear" w:color="000000" w:fill="FFFFFF"/>
          </w:tcPr>
          <w:p w:rsidR="00C40820" w:rsidRPr="0047440B" w:rsidRDefault="00C40820" w:rsidP="00C40820">
            <w:pPr>
              <w:autoSpaceDE/>
              <w:autoSpaceDN/>
              <w:adjustRightInd/>
              <w:jc w:val="center"/>
              <w:rPr>
                <w:color w:val="000000"/>
                <w:sz w:val="20"/>
                <w:szCs w:val="20"/>
              </w:rPr>
            </w:pPr>
            <w:r w:rsidRPr="0047440B">
              <w:rPr>
                <w:color w:val="000000"/>
                <w:sz w:val="20"/>
                <w:szCs w:val="20"/>
              </w:rPr>
              <w:t>2</w:t>
            </w:r>
          </w:p>
        </w:tc>
      </w:tr>
      <w:tr w:rsidR="00C40820" w:rsidRPr="0047440B" w:rsidTr="007E4743">
        <w:trPr>
          <w:trHeight w:val="20"/>
          <w:jc w:val="center"/>
        </w:trPr>
        <w:tc>
          <w:tcPr>
            <w:tcW w:w="486" w:type="dxa"/>
            <w:tcBorders>
              <w:top w:val="single" w:sz="4" w:space="0" w:color="auto"/>
              <w:left w:val="single" w:sz="4" w:space="0" w:color="auto"/>
              <w:bottom w:val="single" w:sz="4" w:space="0" w:color="auto"/>
              <w:right w:val="single" w:sz="4" w:space="0" w:color="auto"/>
            </w:tcBorders>
            <w:shd w:val="clear" w:color="000000" w:fill="FFFFFF"/>
            <w:noWrap/>
          </w:tcPr>
          <w:p w:rsidR="00C40820" w:rsidRPr="0047440B" w:rsidRDefault="00C40820" w:rsidP="00C40820">
            <w:pPr>
              <w:autoSpaceDE/>
              <w:autoSpaceDN/>
              <w:adjustRightInd/>
              <w:spacing w:line="233" w:lineRule="auto"/>
              <w:jc w:val="center"/>
              <w:rPr>
                <w:color w:val="000000"/>
                <w:sz w:val="20"/>
                <w:szCs w:val="20"/>
              </w:rPr>
            </w:pPr>
            <w:r w:rsidRPr="0047440B">
              <w:rPr>
                <w:color w:val="000000"/>
                <w:sz w:val="20"/>
                <w:szCs w:val="20"/>
              </w:rPr>
              <w:t>63.</w:t>
            </w:r>
          </w:p>
        </w:tc>
        <w:tc>
          <w:tcPr>
            <w:tcW w:w="2917" w:type="dxa"/>
            <w:tcBorders>
              <w:top w:val="single" w:sz="4" w:space="0" w:color="auto"/>
              <w:left w:val="single" w:sz="4" w:space="0" w:color="auto"/>
              <w:bottom w:val="single" w:sz="4" w:space="0" w:color="auto"/>
              <w:right w:val="single" w:sz="4" w:space="0" w:color="auto"/>
            </w:tcBorders>
            <w:shd w:val="clear" w:color="auto" w:fill="auto"/>
          </w:tcPr>
          <w:p w:rsidR="00C40820" w:rsidRPr="0047440B" w:rsidRDefault="00C40820" w:rsidP="00C40820">
            <w:pPr>
              <w:rPr>
                <w:color w:val="000000"/>
                <w:sz w:val="20"/>
                <w:szCs w:val="20"/>
              </w:rPr>
            </w:pPr>
            <w:r w:rsidRPr="0047440B">
              <w:rPr>
                <w:color w:val="000000"/>
                <w:sz w:val="20"/>
                <w:szCs w:val="20"/>
              </w:rPr>
              <w:t>МСЧ ФГАОУ ВО «К(П)ФУ</w:t>
            </w:r>
            <w:r w:rsidRPr="0047440B">
              <w:rPr>
                <w:rStyle w:val="afe"/>
                <w:color w:val="000000"/>
                <w:sz w:val="20"/>
                <w:szCs w:val="20"/>
              </w:rPr>
              <w:footnoteReference w:id="3"/>
            </w:r>
            <w:r w:rsidRPr="0047440B">
              <w:rPr>
                <w:color w:val="000000"/>
                <w:sz w:val="20"/>
                <w:szCs w:val="20"/>
              </w:rPr>
              <w:t>»</w:t>
            </w:r>
          </w:p>
        </w:tc>
        <w:tc>
          <w:tcPr>
            <w:tcW w:w="1233" w:type="dxa"/>
            <w:tcBorders>
              <w:top w:val="single" w:sz="4" w:space="0" w:color="auto"/>
              <w:left w:val="single" w:sz="4" w:space="0" w:color="auto"/>
              <w:bottom w:val="single" w:sz="4" w:space="0" w:color="auto"/>
              <w:right w:val="single" w:sz="4" w:space="0" w:color="auto"/>
            </w:tcBorders>
            <w:shd w:val="clear" w:color="auto" w:fill="auto"/>
            <w:noWrap/>
          </w:tcPr>
          <w:p w:rsidR="00C40820" w:rsidRPr="0047440B" w:rsidRDefault="00C40820" w:rsidP="00C40820">
            <w:pPr>
              <w:jc w:val="center"/>
              <w:rPr>
                <w:color w:val="000000"/>
                <w:sz w:val="20"/>
                <w:szCs w:val="20"/>
              </w:rPr>
            </w:pPr>
            <w:r w:rsidRPr="0047440B">
              <w:rPr>
                <w:color w:val="000000"/>
                <w:sz w:val="20"/>
                <w:szCs w:val="20"/>
              </w:rPr>
              <w:t>1</w:t>
            </w:r>
          </w:p>
        </w:tc>
        <w:tc>
          <w:tcPr>
            <w:tcW w:w="816" w:type="dxa"/>
            <w:tcBorders>
              <w:top w:val="single" w:sz="4" w:space="0" w:color="auto"/>
              <w:left w:val="single" w:sz="4" w:space="0" w:color="auto"/>
              <w:bottom w:val="single" w:sz="4" w:space="0" w:color="auto"/>
              <w:right w:val="single" w:sz="4" w:space="0" w:color="auto"/>
            </w:tcBorders>
            <w:shd w:val="clear" w:color="auto" w:fill="auto"/>
            <w:noWrap/>
          </w:tcPr>
          <w:p w:rsidR="00C40820" w:rsidRPr="0047440B" w:rsidRDefault="00C40820" w:rsidP="00C40820">
            <w:pPr>
              <w:jc w:val="center"/>
              <w:rPr>
                <w:color w:val="000000"/>
                <w:sz w:val="20"/>
                <w:szCs w:val="20"/>
              </w:rPr>
            </w:pPr>
            <w:r w:rsidRPr="0047440B">
              <w:rPr>
                <w:color w:val="000000"/>
                <w:sz w:val="20"/>
                <w:szCs w:val="20"/>
              </w:rPr>
              <w:t>2,00</w:t>
            </w:r>
          </w:p>
        </w:tc>
        <w:tc>
          <w:tcPr>
            <w:tcW w:w="792" w:type="dxa"/>
            <w:tcBorders>
              <w:top w:val="single" w:sz="4" w:space="0" w:color="auto"/>
              <w:left w:val="nil"/>
              <w:bottom w:val="single" w:sz="4" w:space="0" w:color="auto"/>
              <w:right w:val="single" w:sz="4" w:space="0" w:color="auto"/>
            </w:tcBorders>
            <w:shd w:val="clear" w:color="auto" w:fill="auto"/>
            <w:noWrap/>
          </w:tcPr>
          <w:p w:rsidR="00C40820" w:rsidRPr="0047440B" w:rsidRDefault="00C40820" w:rsidP="00C40820">
            <w:pPr>
              <w:jc w:val="center"/>
              <w:rPr>
                <w:color w:val="000000"/>
                <w:sz w:val="20"/>
                <w:szCs w:val="20"/>
              </w:rPr>
            </w:pPr>
            <w:r w:rsidRPr="0047440B">
              <w:rPr>
                <w:color w:val="000000"/>
                <w:sz w:val="20"/>
                <w:szCs w:val="20"/>
              </w:rPr>
              <w:t>2,00</w:t>
            </w:r>
          </w:p>
        </w:tc>
        <w:tc>
          <w:tcPr>
            <w:tcW w:w="1239" w:type="dxa"/>
            <w:tcBorders>
              <w:top w:val="single" w:sz="4" w:space="0" w:color="auto"/>
              <w:left w:val="single" w:sz="4" w:space="0" w:color="auto"/>
              <w:bottom w:val="single" w:sz="4" w:space="0" w:color="auto"/>
              <w:right w:val="single" w:sz="4" w:space="0" w:color="auto"/>
            </w:tcBorders>
            <w:shd w:val="clear" w:color="auto" w:fill="auto"/>
            <w:noWrap/>
          </w:tcPr>
          <w:p w:rsidR="00C40820" w:rsidRPr="0047440B" w:rsidRDefault="00C40820" w:rsidP="00C40820">
            <w:pPr>
              <w:jc w:val="center"/>
              <w:rPr>
                <w:color w:val="000000"/>
                <w:sz w:val="20"/>
                <w:szCs w:val="20"/>
              </w:rPr>
            </w:pPr>
            <w:r w:rsidRPr="0047440B">
              <w:rPr>
                <w:color w:val="000000"/>
                <w:sz w:val="20"/>
                <w:szCs w:val="20"/>
              </w:rPr>
              <w:t>2</w:t>
            </w:r>
          </w:p>
        </w:tc>
        <w:tc>
          <w:tcPr>
            <w:tcW w:w="952" w:type="dxa"/>
            <w:tcBorders>
              <w:top w:val="single" w:sz="4" w:space="0" w:color="auto"/>
              <w:left w:val="nil"/>
              <w:bottom w:val="single" w:sz="4" w:space="0" w:color="auto"/>
              <w:right w:val="single" w:sz="4" w:space="0" w:color="auto"/>
            </w:tcBorders>
            <w:shd w:val="clear" w:color="000000" w:fill="FFFFFF"/>
            <w:noWrap/>
          </w:tcPr>
          <w:p w:rsidR="00C40820" w:rsidRPr="0047440B" w:rsidRDefault="00C40820" w:rsidP="00C40820">
            <w:pPr>
              <w:autoSpaceDE/>
              <w:autoSpaceDN/>
              <w:adjustRightInd/>
              <w:jc w:val="center"/>
              <w:rPr>
                <w:color w:val="000000"/>
                <w:sz w:val="20"/>
                <w:szCs w:val="20"/>
              </w:rPr>
            </w:pPr>
            <w:r w:rsidRPr="0047440B">
              <w:rPr>
                <w:color w:val="000000"/>
                <w:sz w:val="20"/>
                <w:szCs w:val="20"/>
              </w:rPr>
              <w:t>27 218</w:t>
            </w:r>
          </w:p>
        </w:tc>
        <w:tc>
          <w:tcPr>
            <w:tcW w:w="1121" w:type="dxa"/>
            <w:tcBorders>
              <w:top w:val="single" w:sz="4" w:space="0" w:color="auto"/>
              <w:left w:val="nil"/>
              <w:bottom w:val="single" w:sz="4" w:space="0" w:color="auto"/>
              <w:right w:val="single" w:sz="4" w:space="0" w:color="auto"/>
            </w:tcBorders>
            <w:shd w:val="clear" w:color="000000" w:fill="FFFFFF"/>
            <w:noWrap/>
          </w:tcPr>
          <w:p w:rsidR="00C40820" w:rsidRPr="0047440B" w:rsidRDefault="00C40820" w:rsidP="00C40820">
            <w:pPr>
              <w:autoSpaceDE/>
              <w:autoSpaceDN/>
              <w:adjustRightInd/>
              <w:jc w:val="center"/>
              <w:rPr>
                <w:color w:val="000000"/>
                <w:sz w:val="20"/>
                <w:szCs w:val="20"/>
              </w:rPr>
            </w:pPr>
            <w:r w:rsidRPr="0047440B">
              <w:rPr>
                <w:color w:val="000000"/>
                <w:sz w:val="20"/>
                <w:szCs w:val="20"/>
              </w:rPr>
              <w:t>27 218</w:t>
            </w:r>
          </w:p>
        </w:tc>
        <w:tc>
          <w:tcPr>
            <w:tcW w:w="1217" w:type="dxa"/>
            <w:tcBorders>
              <w:top w:val="single" w:sz="4" w:space="0" w:color="auto"/>
              <w:left w:val="nil"/>
              <w:bottom w:val="single" w:sz="4" w:space="0" w:color="auto"/>
              <w:right w:val="single" w:sz="4" w:space="0" w:color="auto"/>
            </w:tcBorders>
            <w:shd w:val="clear" w:color="000000" w:fill="FFFFFF"/>
          </w:tcPr>
          <w:p w:rsidR="00C40820" w:rsidRPr="0047440B" w:rsidRDefault="00C40820" w:rsidP="00C40820">
            <w:pPr>
              <w:autoSpaceDE/>
              <w:autoSpaceDN/>
              <w:adjustRightInd/>
              <w:jc w:val="center"/>
              <w:rPr>
                <w:color w:val="000000"/>
                <w:sz w:val="20"/>
                <w:szCs w:val="20"/>
              </w:rPr>
            </w:pPr>
            <w:r w:rsidRPr="0047440B">
              <w:rPr>
                <w:color w:val="000000"/>
                <w:sz w:val="20"/>
                <w:szCs w:val="20"/>
              </w:rPr>
              <w:t>1</w:t>
            </w:r>
          </w:p>
        </w:tc>
      </w:tr>
      <w:tr w:rsidR="00C40820" w:rsidRPr="0047440B" w:rsidTr="007E4743">
        <w:trPr>
          <w:trHeight w:val="20"/>
          <w:jc w:val="center"/>
        </w:trPr>
        <w:tc>
          <w:tcPr>
            <w:tcW w:w="486" w:type="dxa"/>
            <w:tcBorders>
              <w:top w:val="single" w:sz="4" w:space="0" w:color="auto"/>
              <w:left w:val="single" w:sz="4" w:space="0" w:color="auto"/>
              <w:bottom w:val="single" w:sz="4" w:space="0" w:color="auto"/>
              <w:right w:val="single" w:sz="4" w:space="0" w:color="auto"/>
            </w:tcBorders>
            <w:shd w:val="clear" w:color="000000" w:fill="FFFFFF"/>
            <w:noWrap/>
          </w:tcPr>
          <w:p w:rsidR="00C40820" w:rsidRPr="0047440B" w:rsidRDefault="00C40820" w:rsidP="00C40820">
            <w:pPr>
              <w:autoSpaceDE/>
              <w:autoSpaceDN/>
              <w:adjustRightInd/>
              <w:spacing w:line="233" w:lineRule="auto"/>
              <w:jc w:val="center"/>
              <w:rPr>
                <w:color w:val="000000"/>
                <w:sz w:val="20"/>
                <w:szCs w:val="20"/>
              </w:rPr>
            </w:pPr>
            <w:r w:rsidRPr="0047440B">
              <w:rPr>
                <w:color w:val="000000"/>
                <w:sz w:val="20"/>
                <w:szCs w:val="20"/>
              </w:rPr>
              <w:t>64.</w:t>
            </w:r>
          </w:p>
        </w:tc>
        <w:tc>
          <w:tcPr>
            <w:tcW w:w="2917" w:type="dxa"/>
            <w:tcBorders>
              <w:top w:val="single" w:sz="4" w:space="0" w:color="auto"/>
              <w:left w:val="single" w:sz="4" w:space="0" w:color="auto"/>
              <w:bottom w:val="single" w:sz="4" w:space="0" w:color="auto"/>
              <w:right w:val="single" w:sz="4" w:space="0" w:color="auto"/>
            </w:tcBorders>
            <w:shd w:val="clear" w:color="auto" w:fill="auto"/>
          </w:tcPr>
          <w:p w:rsidR="00C40820" w:rsidRPr="0047440B" w:rsidRDefault="00C40820" w:rsidP="00C40820">
            <w:pPr>
              <w:rPr>
                <w:color w:val="000000"/>
                <w:sz w:val="20"/>
                <w:szCs w:val="20"/>
              </w:rPr>
            </w:pPr>
            <w:r w:rsidRPr="0047440B">
              <w:rPr>
                <w:color w:val="000000"/>
                <w:sz w:val="20"/>
                <w:szCs w:val="20"/>
              </w:rPr>
              <w:t>ЗАО «Консультативно-диагностический центр Авиастроительного района»</w:t>
            </w:r>
          </w:p>
        </w:tc>
        <w:tc>
          <w:tcPr>
            <w:tcW w:w="1233" w:type="dxa"/>
            <w:tcBorders>
              <w:top w:val="single" w:sz="4" w:space="0" w:color="auto"/>
              <w:left w:val="single" w:sz="4" w:space="0" w:color="auto"/>
              <w:bottom w:val="single" w:sz="4" w:space="0" w:color="auto"/>
              <w:right w:val="single" w:sz="4" w:space="0" w:color="auto"/>
            </w:tcBorders>
            <w:shd w:val="clear" w:color="auto" w:fill="auto"/>
            <w:noWrap/>
          </w:tcPr>
          <w:p w:rsidR="00C40820" w:rsidRPr="0047440B" w:rsidRDefault="00C40820" w:rsidP="00C40820">
            <w:pPr>
              <w:jc w:val="center"/>
              <w:rPr>
                <w:color w:val="000000"/>
                <w:sz w:val="20"/>
                <w:szCs w:val="20"/>
              </w:rPr>
            </w:pPr>
            <w:r w:rsidRPr="0047440B">
              <w:rPr>
                <w:color w:val="000000"/>
                <w:sz w:val="20"/>
                <w:szCs w:val="20"/>
              </w:rPr>
              <w:t>1</w:t>
            </w:r>
          </w:p>
        </w:tc>
        <w:tc>
          <w:tcPr>
            <w:tcW w:w="816" w:type="dxa"/>
            <w:tcBorders>
              <w:top w:val="single" w:sz="4" w:space="0" w:color="auto"/>
              <w:left w:val="single" w:sz="4" w:space="0" w:color="auto"/>
              <w:bottom w:val="single" w:sz="4" w:space="0" w:color="auto"/>
              <w:right w:val="single" w:sz="4" w:space="0" w:color="auto"/>
            </w:tcBorders>
            <w:shd w:val="clear" w:color="auto" w:fill="auto"/>
            <w:noWrap/>
          </w:tcPr>
          <w:p w:rsidR="00C40820" w:rsidRPr="0047440B" w:rsidRDefault="00C40820" w:rsidP="00C40820">
            <w:pPr>
              <w:jc w:val="center"/>
              <w:rPr>
                <w:color w:val="000000"/>
                <w:sz w:val="20"/>
                <w:szCs w:val="20"/>
              </w:rPr>
            </w:pPr>
            <w:r w:rsidRPr="0047440B">
              <w:rPr>
                <w:color w:val="000000"/>
                <w:sz w:val="20"/>
                <w:szCs w:val="20"/>
              </w:rPr>
              <w:t>1,00</w:t>
            </w:r>
          </w:p>
        </w:tc>
        <w:tc>
          <w:tcPr>
            <w:tcW w:w="792" w:type="dxa"/>
            <w:tcBorders>
              <w:top w:val="single" w:sz="4" w:space="0" w:color="auto"/>
              <w:left w:val="nil"/>
              <w:bottom w:val="single" w:sz="4" w:space="0" w:color="auto"/>
              <w:right w:val="single" w:sz="4" w:space="0" w:color="auto"/>
            </w:tcBorders>
            <w:shd w:val="clear" w:color="auto" w:fill="auto"/>
            <w:noWrap/>
          </w:tcPr>
          <w:p w:rsidR="00C40820" w:rsidRPr="0047440B" w:rsidRDefault="00C40820" w:rsidP="00C40820">
            <w:pPr>
              <w:jc w:val="center"/>
              <w:rPr>
                <w:color w:val="000000"/>
                <w:sz w:val="20"/>
                <w:szCs w:val="20"/>
              </w:rPr>
            </w:pPr>
            <w:r w:rsidRPr="0047440B">
              <w:rPr>
                <w:color w:val="000000"/>
                <w:sz w:val="20"/>
                <w:szCs w:val="20"/>
              </w:rPr>
              <w:t>1,00</w:t>
            </w:r>
          </w:p>
        </w:tc>
        <w:tc>
          <w:tcPr>
            <w:tcW w:w="1239" w:type="dxa"/>
            <w:tcBorders>
              <w:top w:val="single" w:sz="4" w:space="0" w:color="auto"/>
              <w:left w:val="single" w:sz="4" w:space="0" w:color="auto"/>
              <w:bottom w:val="single" w:sz="4" w:space="0" w:color="auto"/>
              <w:right w:val="single" w:sz="4" w:space="0" w:color="auto"/>
            </w:tcBorders>
            <w:shd w:val="clear" w:color="auto" w:fill="auto"/>
            <w:noWrap/>
          </w:tcPr>
          <w:p w:rsidR="00C40820" w:rsidRPr="0047440B" w:rsidRDefault="00C40820" w:rsidP="00C40820">
            <w:pPr>
              <w:jc w:val="center"/>
              <w:rPr>
                <w:color w:val="000000"/>
                <w:sz w:val="20"/>
                <w:szCs w:val="20"/>
              </w:rPr>
            </w:pPr>
            <w:r w:rsidRPr="0047440B">
              <w:rPr>
                <w:color w:val="000000"/>
                <w:sz w:val="20"/>
                <w:szCs w:val="20"/>
              </w:rPr>
              <w:t>1</w:t>
            </w:r>
          </w:p>
        </w:tc>
        <w:tc>
          <w:tcPr>
            <w:tcW w:w="952" w:type="dxa"/>
            <w:tcBorders>
              <w:top w:val="single" w:sz="4" w:space="0" w:color="auto"/>
              <w:left w:val="nil"/>
              <w:bottom w:val="single" w:sz="4" w:space="0" w:color="auto"/>
              <w:right w:val="single" w:sz="4" w:space="0" w:color="auto"/>
            </w:tcBorders>
            <w:shd w:val="clear" w:color="000000" w:fill="FFFFFF"/>
            <w:noWrap/>
          </w:tcPr>
          <w:p w:rsidR="00C40820" w:rsidRPr="0047440B" w:rsidRDefault="00C40820" w:rsidP="00C40820">
            <w:pPr>
              <w:autoSpaceDE/>
              <w:autoSpaceDN/>
              <w:adjustRightInd/>
              <w:spacing w:line="233" w:lineRule="auto"/>
              <w:jc w:val="center"/>
              <w:rPr>
                <w:color w:val="000000"/>
                <w:sz w:val="20"/>
                <w:szCs w:val="20"/>
              </w:rPr>
            </w:pPr>
            <w:r w:rsidRPr="0047440B">
              <w:rPr>
                <w:color w:val="000000"/>
                <w:sz w:val="20"/>
                <w:szCs w:val="20"/>
              </w:rPr>
              <w:t>16 513</w:t>
            </w:r>
          </w:p>
        </w:tc>
        <w:tc>
          <w:tcPr>
            <w:tcW w:w="1121" w:type="dxa"/>
            <w:tcBorders>
              <w:top w:val="single" w:sz="4" w:space="0" w:color="auto"/>
              <w:left w:val="nil"/>
              <w:bottom w:val="single" w:sz="4" w:space="0" w:color="auto"/>
              <w:right w:val="single" w:sz="4" w:space="0" w:color="auto"/>
            </w:tcBorders>
            <w:shd w:val="clear" w:color="000000" w:fill="FFFFFF"/>
            <w:noWrap/>
          </w:tcPr>
          <w:p w:rsidR="00C40820" w:rsidRPr="0047440B" w:rsidRDefault="00C40820" w:rsidP="00C40820">
            <w:pPr>
              <w:autoSpaceDE/>
              <w:autoSpaceDN/>
              <w:adjustRightInd/>
              <w:spacing w:line="233" w:lineRule="auto"/>
              <w:jc w:val="center"/>
              <w:rPr>
                <w:color w:val="000000"/>
                <w:sz w:val="20"/>
                <w:szCs w:val="20"/>
              </w:rPr>
            </w:pPr>
            <w:r w:rsidRPr="0047440B">
              <w:rPr>
                <w:color w:val="000000"/>
                <w:sz w:val="20"/>
                <w:szCs w:val="20"/>
              </w:rPr>
              <w:t>16 513</w:t>
            </w:r>
          </w:p>
        </w:tc>
        <w:tc>
          <w:tcPr>
            <w:tcW w:w="1217" w:type="dxa"/>
            <w:tcBorders>
              <w:top w:val="single" w:sz="4" w:space="0" w:color="auto"/>
              <w:left w:val="nil"/>
              <w:bottom w:val="single" w:sz="4" w:space="0" w:color="auto"/>
              <w:right w:val="single" w:sz="4" w:space="0" w:color="auto"/>
            </w:tcBorders>
            <w:shd w:val="clear" w:color="000000" w:fill="FFFFFF"/>
          </w:tcPr>
          <w:p w:rsidR="00C40820" w:rsidRPr="0047440B" w:rsidRDefault="00C40820" w:rsidP="00C40820">
            <w:pPr>
              <w:autoSpaceDE/>
              <w:autoSpaceDN/>
              <w:adjustRightInd/>
              <w:spacing w:line="233" w:lineRule="auto"/>
              <w:jc w:val="center"/>
              <w:rPr>
                <w:color w:val="000000"/>
                <w:sz w:val="20"/>
                <w:szCs w:val="20"/>
              </w:rPr>
            </w:pPr>
            <w:r w:rsidRPr="0047440B">
              <w:rPr>
                <w:color w:val="000000"/>
                <w:sz w:val="20"/>
                <w:szCs w:val="20"/>
              </w:rPr>
              <w:t>1</w:t>
            </w:r>
          </w:p>
        </w:tc>
      </w:tr>
      <w:tr w:rsidR="00C40820" w:rsidRPr="0047440B" w:rsidTr="00E474AD">
        <w:trPr>
          <w:trHeight w:val="20"/>
          <w:jc w:val="center"/>
        </w:trPr>
        <w:tc>
          <w:tcPr>
            <w:tcW w:w="486" w:type="dxa"/>
            <w:tcBorders>
              <w:top w:val="single" w:sz="4" w:space="0" w:color="auto"/>
              <w:left w:val="single" w:sz="4" w:space="0" w:color="auto"/>
              <w:bottom w:val="single" w:sz="4" w:space="0" w:color="auto"/>
              <w:right w:val="single" w:sz="4" w:space="0" w:color="auto"/>
            </w:tcBorders>
            <w:shd w:val="clear" w:color="000000" w:fill="FFFFFF"/>
            <w:noWrap/>
          </w:tcPr>
          <w:p w:rsidR="00C40820" w:rsidRPr="0047440B" w:rsidRDefault="00C40820" w:rsidP="00C40820">
            <w:pPr>
              <w:autoSpaceDE/>
              <w:autoSpaceDN/>
              <w:adjustRightInd/>
              <w:spacing w:line="233" w:lineRule="auto"/>
              <w:jc w:val="center"/>
              <w:rPr>
                <w:color w:val="000000"/>
                <w:sz w:val="20"/>
                <w:szCs w:val="20"/>
              </w:rPr>
            </w:pPr>
            <w:r w:rsidRPr="0047440B">
              <w:rPr>
                <w:color w:val="000000"/>
                <w:sz w:val="20"/>
                <w:szCs w:val="20"/>
              </w:rPr>
              <w:t>65.</w:t>
            </w:r>
          </w:p>
        </w:tc>
        <w:tc>
          <w:tcPr>
            <w:tcW w:w="2917" w:type="dxa"/>
            <w:tcBorders>
              <w:top w:val="single" w:sz="4" w:space="0" w:color="auto"/>
              <w:left w:val="single" w:sz="4" w:space="0" w:color="auto"/>
              <w:bottom w:val="single" w:sz="4" w:space="0" w:color="auto"/>
              <w:right w:val="single" w:sz="4" w:space="0" w:color="auto"/>
            </w:tcBorders>
            <w:shd w:val="clear" w:color="auto" w:fill="auto"/>
          </w:tcPr>
          <w:p w:rsidR="00C40820" w:rsidRPr="0047440B" w:rsidRDefault="00C40820" w:rsidP="00C40820">
            <w:pPr>
              <w:rPr>
                <w:color w:val="000000"/>
                <w:sz w:val="20"/>
                <w:szCs w:val="20"/>
              </w:rPr>
            </w:pPr>
            <w:r w:rsidRPr="0047440B">
              <w:rPr>
                <w:color w:val="000000"/>
                <w:sz w:val="20"/>
                <w:szCs w:val="20"/>
              </w:rPr>
              <w:t xml:space="preserve">ГАУЗ «Городская клиническая больница №12" г.Казани </w:t>
            </w:r>
          </w:p>
        </w:tc>
        <w:tc>
          <w:tcPr>
            <w:tcW w:w="1233" w:type="dxa"/>
            <w:tcBorders>
              <w:top w:val="single" w:sz="4" w:space="0" w:color="auto"/>
              <w:left w:val="single" w:sz="4" w:space="0" w:color="auto"/>
              <w:bottom w:val="single" w:sz="4" w:space="0" w:color="auto"/>
              <w:right w:val="single" w:sz="4" w:space="0" w:color="auto"/>
            </w:tcBorders>
            <w:shd w:val="clear" w:color="auto" w:fill="auto"/>
            <w:noWrap/>
          </w:tcPr>
          <w:p w:rsidR="00C40820" w:rsidRPr="0047440B" w:rsidRDefault="00C40820" w:rsidP="00C40820">
            <w:pPr>
              <w:jc w:val="center"/>
              <w:rPr>
                <w:color w:val="000000"/>
                <w:sz w:val="20"/>
                <w:szCs w:val="20"/>
              </w:rPr>
            </w:pPr>
            <w:r w:rsidRPr="0047440B">
              <w:rPr>
                <w:color w:val="000000"/>
                <w:sz w:val="20"/>
                <w:szCs w:val="20"/>
              </w:rPr>
              <w:t>1</w:t>
            </w:r>
          </w:p>
        </w:tc>
        <w:tc>
          <w:tcPr>
            <w:tcW w:w="816" w:type="dxa"/>
            <w:tcBorders>
              <w:top w:val="single" w:sz="4" w:space="0" w:color="auto"/>
              <w:left w:val="single" w:sz="4" w:space="0" w:color="auto"/>
              <w:bottom w:val="single" w:sz="4" w:space="0" w:color="auto"/>
              <w:right w:val="single" w:sz="4" w:space="0" w:color="auto"/>
            </w:tcBorders>
            <w:shd w:val="clear" w:color="auto" w:fill="auto"/>
            <w:noWrap/>
          </w:tcPr>
          <w:p w:rsidR="00C40820" w:rsidRPr="0047440B" w:rsidRDefault="00C40820" w:rsidP="00C40820">
            <w:pPr>
              <w:jc w:val="center"/>
              <w:rPr>
                <w:color w:val="000000"/>
                <w:sz w:val="20"/>
                <w:szCs w:val="20"/>
              </w:rPr>
            </w:pPr>
            <w:r w:rsidRPr="0047440B">
              <w:rPr>
                <w:color w:val="000000"/>
                <w:sz w:val="20"/>
                <w:szCs w:val="20"/>
              </w:rPr>
              <w:t>1,50</w:t>
            </w:r>
          </w:p>
        </w:tc>
        <w:tc>
          <w:tcPr>
            <w:tcW w:w="792" w:type="dxa"/>
            <w:tcBorders>
              <w:top w:val="single" w:sz="4" w:space="0" w:color="auto"/>
              <w:left w:val="nil"/>
              <w:bottom w:val="single" w:sz="4" w:space="0" w:color="auto"/>
              <w:right w:val="single" w:sz="4" w:space="0" w:color="auto"/>
            </w:tcBorders>
            <w:shd w:val="clear" w:color="auto" w:fill="auto"/>
            <w:noWrap/>
          </w:tcPr>
          <w:p w:rsidR="00C40820" w:rsidRPr="0047440B" w:rsidRDefault="00C40820" w:rsidP="00C40820">
            <w:pPr>
              <w:jc w:val="center"/>
              <w:rPr>
                <w:color w:val="000000"/>
                <w:sz w:val="20"/>
                <w:szCs w:val="20"/>
              </w:rPr>
            </w:pPr>
            <w:r w:rsidRPr="0047440B">
              <w:rPr>
                <w:color w:val="000000"/>
                <w:sz w:val="20"/>
                <w:szCs w:val="20"/>
              </w:rPr>
              <w:t>1,50</w:t>
            </w:r>
          </w:p>
        </w:tc>
        <w:tc>
          <w:tcPr>
            <w:tcW w:w="1239" w:type="dxa"/>
            <w:tcBorders>
              <w:top w:val="single" w:sz="4" w:space="0" w:color="auto"/>
              <w:left w:val="single" w:sz="4" w:space="0" w:color="auto"/>
              <w:bottom w:val="single" w:sz="4" w:space="0" w:color="auto"/>
              <w:right w:val="single" w:sz="4" w:space="0" w:color="auto"/>
            </w:tcBorders>
            <w:shd w:val="clear" w:color="auto" w:fill="auto"/>
            <w:noWrap/>
          </w:tcPr>
          <w:p w:rsidR="00C40820" w:rsidRPr="0047440B" w:rsidRDefault="00C40820" w:rsidP="00C40820">
            <w:pPr>
              <w:jc w:val="center"/>
              <w:rPr>
                <w:color w:val="000000"/>
                <w:sz w:val="20"/>
                <w:szCs w:val="20"/>
              </w:rPr>
            </w:pPr>
            <w:r w:rsidRPr="0047440B">
              <w:rPr>
                <w:color w:val="000000"/>
                <w:sz w:val="20"/>
                <w:szCs w:val="20"/>
              </w:rPr>
              <w:t>1</w:t>
            </w:r>
          </w:p>
        </w:tc>
        <w:tc>
          <w:tcPr>
            <w:tcW w:w="952" w:type="dxa"/>
            <w:tcBorders>
              <w:top w:val="single" w:sz="4" w:space="0" w:color="auto"/>
              <w:left w:val="nil"/>
              <w:bottom w:val="single" w:sz="4" w:space="0" w:color="auto"/>
              <w:right w:val="single" w:sz="4" w:space="0" w:color="auto"/>
            </w:tcBorders>
            <w:shd w:val="clear" w:color="000000" w:fill="FFFFFF"/>
            <w:noWrap/>
          </w:tcPr>
          <w:p w:rsidR="00C40820" w:rsidRPr="0047440B" w:rsidRDefault="00C40820" w:rsidP="00C40820">
            <w:pPr>
              <w:autoSpaceDE/>
              <w:autoSpaceDN/>
              <w:adjustRightInd/>
              <w:spacing w:line="233" w:lineRule="auto"/>
              <w:jc w:val="center"/>
              <w:rPr>
                <w:color w:val="000000"/>
                <w:sz w:val="20"/>
                <w:szCs w:val="20"/>
              </w:rPr>
            </w:pPr>
            <w:r w:rsidRPr="0047440B">
              <w:rPr>
                <w:color w:val="000000"/>
                <w:sz w:val="20"/>
                <w:szCs w:val="20"/>
              </w:rPr>
              <w:t>37 900</w:t>
            </w:r>
          </w:p>
        </w:tc>
        <w:tc>
          <w:tcPr>
            <w:tcW w:w="1121" w:type="dxa"/>
            <w:tcBorders>
              <w:top w:val="single" w:sz="4" w:space="0" w:color="auto"/>
              <w:left w:val="nil"/>
              <w:bottom w:val="single" w:sz="4" w:space="0" w:color="auto"/>
              <w:right w:val="single" w:sz="4" w:space="0" w:color="auto"/>
            </w:tcBorders>
            <w:shd w:val="clear" w:color="000000" w:fill="FFFFFF"/>
            <w:noWrap/>
          </w:tcPr>
          <w:p w:rsidR="00C40820" w:rsidRPr="0047440B" w:rsidRDefault="00C40820" w:rsidP="00C40820">
            <w:pPr>
              <w:autoSpaceDE/>
              <w:autoSpaceDN/>
              <w:adjustRightInd/>
              <w:spacing w:line="233" w:lineRule="auto"/>
              <w:jc w:val="center"/>
              <w:rPr>
                <w:color w:val="000000"/>
                <w:sz w:val="20"/>
                <w:szCs w:val="20"/>
              </w:rPr>
            </w:pPr>
            <w:r w:rsidRPr="0047440B">
              <w:rPr>
                <w:color w:val="000000"/>
                <w:sz w:val="20"/>
                <w:szCs w:val="20"/>
              </w:rPr>
              <w:t>37 900</w:t>
            </w:r>
          </w:p>
        </w:tc>
        <w:tc>
          <w:tcPr>
            <w:tcW w:w="1217" w:type="dxa"/>
            <w:tcBorders>
              <w:top w:val="single" w:sz="4" w:space="0" w:color="auto"/>
              <w:left w:val="nil"/>
              <w:bottom w:val="single" w:sz="4" w:space="0" w:color="auto"/>
              <w:right w:val="single" w:sz="4" w:space="0" w:color="auto"/>
            </w:tcBorders>
            <w:shd w:val="clear" w:color="000000" w:fill="FFFFFF"/>
          </w:tcPr>
          <w:p w:rsidR="00C40820" w:rsidRPr="0047440B" w:rsidRDefault="00C40820" w:rsidP="00C40820">
            <w:pPr>
              <w:autoSpaceDE/>
              <w:autoSpaceDN/>
              <w:adjustRightInd/>
              <w:spacing w:line="233" w:lineRule="auto"/>
              <w:jc w:val="center"/>
              <w:rPr>
                <w:color w:val="000000"/>
                <w:sz w:val="20"/>
                <w:szCs w:val="20"/>
              </w:rPr>
            </w:pPr>
            <w:r w:rsidRPr="0047440B">
              <w:rPr>
                <w:color w:val="000000"/>
                <w:sz w:val="20"/>
                <w:szCs w:val="20"/>
              </w:rPr>
              <w:t>1</w:t>
            </w:r>
          </w:p>
        </w:tc>
      </w:tr>
      <w:tr w:rsidR="00C40820" w:rsidRPr="00E96B7B" w:rsidTr="007E4743">
        <w:trPr>
          <w:trHeight w:val="20"/>
          <w:jc w:val="center"/>
        </w:trPr>
        <w:tc>
          <w:tcPr>
            <w:tcW w:w="486" w:type="dxa"/>
            <w:tcBorders>
              <w:top w:val="single" w:sz="4" w:space="0" w:color="auto"/>
              <w:left w:val="single" w:sz="4" w:space="0" w:color="auto"/>
              <w:bottom w:val="single" w:sz="4" w:space="0" w:color="auto"/>
              <w:right w:val="single" w:sz="4" w:space="0" w:color="auto"/>
            </w:tcBorders>
            <w:shd w:val="clear" w:color="000000" w:fill="FFFFFF"/>
            <w:noWrap/>
          </w:tcPr>
          <w:p w:rsidR="00C40820" w:rsidRPr="0047440B" w:rsidRDefault="00C40820" w:rsidP="00C40820">
            <w:pPr>
              <w:autoSpaceDE/>
              <w:autoSpaceDN/>
              <w:adjustRightInd/>
              <w:spacing w:line="233" w:lineRule="auto"/>
              <w:jc w:val="center"/>
              <w:rPr>
                <w:color w:val="000000"/>
                <w:sz w:val="20"/>
                <w:szCs w:val="20"/>
              </w:rPr>
            </w:pPr>
          </w:p>
        </w:tc>
        <w:tc>
          <w:tcPr>
            <w:tcW w:w="2917" w:type="dxa"/>
            <w:tcBorders>
              <w:top w:val="single" w:sz="4" w:space="0" w:color="auto"/>
              <w:left w:val="single" w:sz="4" w:space="0" w:color="auto"/>
              <w:bottom w:val="single" w:sz="4" w:space="0" w:color="auto"/>
              <w:right w:val="single" w:sz="4" w:space="0" w:color="auto"/>
            </w:tcBorders>
            <w:shd w:val="clear" w:color="auto" w:fill="auto"/>
          </w:tcPr>
          <w:p w:rsidR="00C40820" w:rsidRPr="0047440B" w:rsidRDefault="00C40820" w:rsidP="00C40820">
            <w:pPr>
              <w:rPr>
                <w:color w:val="000000"/>
                <w:sz w:val="20"/>
                <w:szCs w:val="20"/>
              </w:rPr>
            </w:pPr>
            <w:r w:rsidRPr="0047440B">
              <w:rPr>
                <w:color w:val="000000"/>
                <w:sz w:val="20"/>
                <w:szCs w:val="20"/>
              </w:rPr>
              <w:t>Итого</w:t>
            </w:r>
          </w:p>
        </w:tc>
        <w:tc>
          <w:tcPr>
            <w:tcW w:w="1233" w:type="dxa"/>
            <w:tcBorders>
              <w:top w:val="single" w:sz="4" w:space="0" w:color="auto"/>
              <w:left w:val="single" w:sz="4" w:space="0" w:color="auto"/>
              <w:bottom w:val="single" w:sz="4" w:space="0" w:color="auto"/>
              <w:right w:val="single" w:sz="4" w:space="0" w:color="auto"/>
            </w:tcBorders>
            <w:shd w:val="clear" w:color="auto" w:fill="auto"/>
            <w:noWrap/>
          </w:tcPr>
          <w:p w:rsidR="00C40820" w:rsidRPr="0047440B" w:rsidRDefault="00C40820" w:rsidP="00C40820">
            <w:pPr>
              <w:widowControl/>
              <w:autoSpaceDE/>
              <w:autoSpaceDN/>
              <w:adjustRightInd/>
              <w:jc w:val="center"/>
              <w:rPr>
                <w:color w:val="000000"/>
                <w:sz w:val="20"/>
                <w:szCs w:val="20"/>
              </w:rPr>
            </w:pPr>
            <w:r w:rsidRPr="0047440B">
              <w:rPr>
                <w:color w:val="000000"/>
                <w:sz w:val="20"/>
                <w:szCs w:val="20"/>
              </w:rPr>
              <w:t>124</w:t>
            </w:r>
          </w:p>
        </w:tc>
        <w:tc>
          <w:tcPr>
            <w:tcW w:w="816" w:type="dxa"/>
            <w:tcBorders>
              <w:top w:val="single" w:sz="4" w:space="0" w:color="auto"/>
              <w:left w:val="single" w:sz="4" w:space="0" w:color="auto"/>
              <w:bottom w:val="single" w:sz="4" w:space="0" w:color="auto"/>
              <w:right w:val="single" w:sz="4" w:space="0" w:color="auto"/>
            </w:tcBorders>
            <w:shd w:val="clear" w:color="auto" w:fill="auto"/>
            <w:noWrap/>
          </w:tcPr>
          <w:p w:rsidR="00C40820" w:rsidRPr="0047440B" w:rsidRDefault="00C40820" w:rsidP="00C40820">
            <w:pPr>
              <w:jc w:val="center"/>
              <w:rPr>
                <w:color w:val="000000"/>
                <w:sz w:val="20"/>
                <w:szCs w:val="20"/>
              </w:rPr>
            </w:pPr>
            <w:r w:rsidRPr="0047440B">
              <w:rPr>
                <w:color w:val="000000"/>
                <w:sz w:val="20"/>
                <w:szCs w:val="20"/>
              </w:rPr>
              <w:t>153,75</w:t>
            </w:r>
          </w:p>
        </w:tc>
        <w:tc>
          <w:tcPr>
            <w:tcW w:w="792" w:type="dxa"/>
            <w:tcBorders>
              <w:top w:val="single" w:sz="4" w:space="0" w:color="auto"/>
              <w:left w:val="single" w:sz="4" w:space="0" w:color="auto"/>
              <w:bottom w:val="single" w:sz="4" w:space="0" w:color="auto"/>
              <w:right w:val="single" w:sz="4" w:space="0" w:color="auto"/>
            </w:tcBorders>
            <w:shd w:val="clear" w:color="auto" w:fill="auto"/>
            <w:noWrap/>
          </w:tcPr>
          <w:p w:rsidR="00C40820" w:rsidRPr="0047440B" w:rsidRDefault="00C40820" w:rsidP="00C40820">
            <w:pPr>
              <w:jc w:val="center"/>
              <w:rPr>
                <w:color w:val="000000"/>
                <w:sz w:val="20"/>
                <w:szCs w:val="20"/>
              </w:rPr>
            </w:pPr>
            <w:r w:rsidRPr="0047440B">
              <w:rPr>
                <w:color w:val="000000"/>
                <w:sz w:val="20"/>
                <w:szCs w:val="20"/>
              </w:rPr>
              <w:t>152,50</w:t>
            </w:r>
          </w:p>
        </w:tc>
        <w:tc>
          <w:tcPr>
            <w:tcW w:w="1239" w:type="dxa"/>
            <w:tcBorders>
              <w:top w:val="single" w:sz="4" w:space="0" w:color="auto"/>
              <w:left w:val="single" w:sz="4" w:space="0" w:color="auto"/>
              <w:bottom w:val="single" w:sz="4" w:space="0" w:color="auto"/>
              <w:right w:val="single" w:sz="4" w:space="0" w:color="auto"/>
            </w:tcBorders>
            <w:shd w:val="clear" w:color="auto" w:fill="auto"/>
            <w:noWrap/>
          </w:tcPr>
          <w:p w:rsidR="00C40820" w:rsidRPr="0047440B" w:rsidRDefault="00C40820" w:rsidP="00C40820">
            <w:pPr>
              <w:jc w:val="center"/>
              <w:rPr>
                <w:color w:val="000000"/>
                <w:sz w:val="20"/>
                <w:szCs w:val="20"/>
              </w:rPr>
            </w:pPr>
            <w:r w:rsidRPr="0047440B">
              <w:rPr>
                <w:color w:val="000000"/>
                <w:sz w:val="20"/>
                <w:szCs w:val="20"/>
              </w:rPr>
              <w:t>144</w:t>
            </w:r>
          </w:p>
        </w:tc>
        <w:tc>
          <w:tcPr>
            <w:tcW w:w="952" w:type="dxa"/>
            <w:tcBorders>
              <w:top w:val="single" w:sz="4" w:space="0" w:color="auto"/>
              <w:left w:val="single" w:sz="4" w:space="0" w:color="auto"/>
              <w:bottom w:val="single" w:sz="4" w:space="0" w:color="auto"/>
              <w:right w:val="single" w:sz="4" w:space="0" w:color="auto"/>
            </w:tcBorders>
            <w:shd w:val="clear" w:color="auto" w:fill="auto"/>
            <w:noWrap/>
          </w:tcPr>
          <w:p w:rsidR="00C40820" w:rsidRPr="0047440B" w:rsidRDefault="00C40820" w:rsidP="00C40820">
            <w:pPr>
              <w:jc w:val="center"/>
              <w:rPr>
                <w:color w:val="000000"/>
                <w:sz w:val="20"/>
                <w:szCs w:val="20"/>
              </w:rPr>
            </w:pPr>
            <w:r w:rsidRPr="0047440B">
              <w:rPr>
                <w:color w:val="000000"/>
                <w:sz w:val="20"/>
                <w:szCs w:val="20"/>
              </w:rPr>
              <w:t>1 684 383</w:t>
            </w:r>
          </w:p>
        </w:tc>
        <w:tc>
          <w:tcPr>
            <w:tcW w:w="1121" w:type="dxa"/>
            <w:tcBorders>
              <w:top w:val="single" w:sz="4" w:space="0" w:color="auto"/>
              <w:left w:val="single" w:sz="4" w:space="0" w:color="auto"/>
              <w:bottom w:val="single" w:sz="4" w:space="0" w:color="auto"/>
              <w:right w:val="single" w:sz="4" w:space="0" w:color="auto"/>
            </w:tcBorders>
            <w:shd w:val="clear" w:color="auto" w:fill="auto"/>
            <w:noWrap/>
          </w:tcPr>
          <w:p w:rsidR="00C40820" w:rsidRPr="0047440B" w:rsidRDefault="00C40820" w:rsidP="00C40820">
            <w:pPr>
              <w:jc w:val="center"/>
              <w:rPr>
                <w:color w:val="000000"/>
                <w:sz w:val="20"/>
                <w:szCs w:val="20"/>
              </w:rPr>
            </w:pPr>
            <w:r w:rsidRPr="0047440B">
              <w:rPr>
                <w:color w:val="000000"/>
                <w:sz w:val="20"/>
                <w:szCs w:val="20"/>
              </w:rPr>
              <w:t>13 584</w:t>
            </w:r>
          </w:p>
        </w:tc>
        <w:tc>
          <w:tcPr>
            <w:tcW w:w="1217" w:type="dxa"/>
            <w:tcBorders>
              <w:top w:val="single" w:sz="4" w:space="0" w:color="auto"/>
              <w:left w:val="single" w:sz="4" w:space="0" w:color="auto"/>
              <w:bottom w:val="single" w:sz="4" w:space="0" w:color="auto"/>
              <w:right w:val="single" w:sz="4" w:space="0" w:color="auto"/>
            </w:tcBorders>
            <w:shd w:val="clear" w:color="auto" w:fill="auto"/>
          </w:tcPr>
          <w:p w:rsidR="00C40820" w:rsidRDefault="00C40820" w:rsidP="00C40820">
            <w:pPr>
              <w:jc w:val="center"/>
              <w:rPr>
                <w:color w:val="000000"/>
                <w:sz w:val="20"/>
                <w:szCs w:val="20"/>
              </w:rPr>
            </w:pPr>
            <w:r w:rsidRPr="0047440B">
              <w:rPr>
                <w:color w:val="000000"/>
                <w:sz w:val="20"/>
                <w:szCs w:val="20"/>
              </w:rPr>
              <w:t>1,57</w:t>
            </w:r>
          </w:p>
        </w:tc>
      </w:tr>
    </w:tbl>
    <w:p w:rsidR="00E474AD" w:rsidRDefault="00E474AD" w:rsidP="00E474AD">
      <w:pPr>
        <w:spacing w:line="233" w:lineRule="auto"/>
        <w:ind w:firstLine="709"/>
        <w:jc w:val="both"/>
        <w:rPr>
          <w:color w:val="000000"/>
        </w:rPr>
      </w:pPr>
    </w:p>
    <w:p w:rsidR="00963609" w:rsidRPr="00DE16F2" w:rsidRDefault="00963609" w:rsidP="007E4743">
      <w:pPr>
        <w:spacing w:line="233" w:lineRule="auto"/>
        <w:ind w:firstLine="709"/>
        <w:jc w:val="both"/>
        <w:rPr>
          <w:sz w:val="28"/>
          <w:szCs w:val="28"/>
        </w:rPr>
      </w:pPr>
      <w:r w:rsidRPr="00DE16F2">
        <w:rPr>
          <w:sz w:val="28"/>
          <w:szCs w:val="28"/>
        </w:rPr>
        <w:t xml:space="preserve">Деятельность смотровых кабинетов осуществляется в соответствии с приказом Министерства здравоохранения Республики Татарстан от </w:t>
      </w:r>
      <w:r w:rsidR="009865C5" w:rsidRPr="00DE16F2">
        <w:rPr>
          <w:sz w:val="28"/>
          <w:szCs w:val="28"/>
        </w:rPr>
        <w:t>07.</w:t>
      </w:r>
      <w:r w:rsidRPr="00DE16F2">
        <w:rPr>
          <w:sz w:val="28"/>
          <w:szCs w:val="28"/>
        </w:rPr>
        <w:t>0</w:t>
      </w:r>
      <w:r w:rsidR="009865C5" w:rsidRPr="00DE16F2">
        <w:rPr>
          <w:sz w:val="28"/>
          <w:szCs w:val="28"/>
        </w:rPr>
        <w:t>8</w:t>
      </w:r>
      <w:r w:rsidR="00482333" w:rsidRPr="00DE16F2">
        <w:rPr>
          <w:sz w:val="28"/>
          <w:szCs w:val="28"/>
        </w:rPr>
        <w:t>.</w:t>
      </w:r>
      <w:r w:rsidRPr="00DE16F2">
        <w:rPr>
          <w:sz w:val="28"/>
          <w:szCs w:val="28"/>
        </w:rPr>
        <w:t>20</w:t>
      </w:r>
      <w:r w:rsidR="009865C5" w:rsidRPr="00DE16F2">
        <w:rPr>
          <w:sz w:val="28"/>
          <w:szCs w:val="28"/>
        </w:rPr>
        <w:t>23</w:t>
      </w:r>
      <w:r w:rsidRPr="00DE16F2">
        <w:rPr>
          <w:sz w:val="28"/>
          <w:szCs w:val="28"/>
        </w:rPr>
        <w:t xml:space="preserve"> № </w:t>
      </w:r>
      <w:r w:rsidR="009865C5" w:rsidRPr="00DE16F2">
        <w:rPr>
          <w:sz w:val="28"/>
          <w:szCs w:val="28"/>
        </w:rPr>
        <w:t>1759</w:t>
      </w:r>
      <w:r w:rsidRPr="00DE16F2">
        <w:rPr>
          <w:sz w:val="28"/>
          <w:szCs w:val="28"/>
        </w:rPr>
        <w:t xml:space="preserve"> «О</w:t>
      </w:r>
      <w:r w:rsidR="009865C5" w:rsidRPr="00DE16F2">
        <w:rPr>
          <w:sz w:val="28"/>
          <w:szCs w:val="28"/>
        </w:rPr>
        <w:t xml:space="preserve"> совершенствовании работы по раннему выявлению онкологических заболеваний»</w:t>
      </w:r>
      <w:r w:rsidR="00C87105" w:rsidRPr="00DE16F2">
        <w:rPr>
          <w:sz w:val="28"/>
          <w:szCs w:val="28"/>
        </w:rPr>
        <w:t>.</w:t>
      </w:r>
      <w:r w:rsidR="009865C5" w:rsidRPr="00DE16F2">
        <w:rPr>
          <w:sz w:val="28"/>
          <w:szCs w:val="28"/>
        </w:rPr>
        <w:t xml:space="preserve"> </w:t>
      </w:r>
      <w:r w:rsidRPr="00DE16F2">
        <w:rPr>
          <w:sz w:val="28"/>
          <w:szCs w:val="28"/>
        </w:rPr>
        <w:t>Приказом утверждено положение о смотровом кабинете:</w:t>
      </w:r>
    </w:p>
    <w:p w:rsidR="00963609" w:rsidRPr="00DE16F2" w:rsidRDefault="00963609" w:rsidP="007E4743">
      <w:pPr>
        <w:spacing w:line="233" w:lineRule="auto"/>
        <w:ind w:firstLine="709"/>
        <w:jc w:val="both"/>
        <w:rPr>
          <w:sz w:val="28"/>
          <w:szCs w:val="28"/>
        </w:rPr>
      </w:pPr>
      <w:r w:rsidRPr="00DE16F2">
        <w:rPr>
          <w:sz w:val="28"/>
          <w:szCs w:val="28"/>
        </w:rPr>
        <w:t>1</w:t>
      </w:r>
      <w:r w:rsidR="004C34A2" w:rsidRPr="00DE16F2">
        <w:rPr>
          <w:sz w:val="28"/>
          <w:szCs w:val="28"/>
        </w:rPr>
        <w:t>.</w:t>
      </w:r>
      <w:r w:rsidRPr="00DE16F2">
        <w:rPr>
          <w:sz w:val="28"/>
          <w:szCs w:val="28"/>
        </w:rPr>
        <w:t xml:space="preserve"> Смотровой кабинет организуется в установленном порядке в амбулаторно-поликлиническом учреждении как структурное подразделение данного учреждения и работает в режиме учреждения.</w:t>
      </w:r>
    </w:p>
    <w:p w:rsidR="00963609" w:rsidRPr="00DE16F2" w:rsidRDefault="00963609" w:rsidP="007E4743">
      <w:pPr>
        <w:spacing w:line="233" w:lineRule="auto"/>
        <w:ind w:firstLine="709"/>
        <w:jc w:val="both"/>
        <w:rPr>
          <w:sz w:val="28"/>
          <w:szCs w:val="28"/>
        </w:rPr>
      </w:pPr>
      <w:r w:rsidRPr="00DE16F2">
        <w:rPr>
          <w:sz w:val="28"/>
          <w:szCs w:val="28"/>
        </w:rPr>
        <w:t>2</w:t>
      </w:r>
      <w:r w:rsidR="005A19FB" w:rsidRPr="00DE16F2">
        <w:rPr>
          <w:sz w:val="28"/>
          <w:szCs w:val="28"/>
        </w:rPr>
        <w:t>.</w:t>
      </w:r>
      <w:r w:rsidRPr="00DE16F2">
        <w:rPr>
          <w:sz w:val="28"/>
          <w:szCs w:val="28"/>
        </w:rPr>
        <w:t xml:space="preserve"> </w:t>
      </w:r>
      <w:r w:rsidR="00331B49">
        <w:rPr>
          <w:sz w:val="28"/>
          <w:szCs w:val="28"/>
        </w:rPr>
        <w:t>Смотровой кабинет</w:t>
      </w:r>
      <w:r w:rsidR="00331B49" w:rsidRPr="00DE16F2">
        <w:rPr>
          <w:sz w:val="28"/>
          <w:szCs w:val="28"/>
        </w:rPr>
        <w:t xml:space="preserve"> </w:t>
      </w:r>
      <w:r w:rsidRPr="00DE16F2">
        <w:rPr>
          <w:sz w:val="28"/>
          <w:szCs w:val="28"/>
        </w:rPr>
        <w:t xml:space="preserve">размещается в отдельной комнате в соответствии с требованиями </w:t>
      </w:r>
      <w:r w:rsidR="008E4CB5" w:rsidRPr="00DE16F2">
        <w:rPr>
          <w:color w:val="444444"/>
          <w:sz w:val="28"/>
          <w:szCs w:val="28"/>
          <w:shd w:val="clear" w:color="auto" w:fill="FFFFFF"/>
        </w:rPr>
        <w:t>СП 2.1.3678-20</w:t>
      </w:r>
      <w:r w:rsidRPr="00DE16F2">
        <w:rPr>
          <w:sz w:val="28"/>
          <w:szCs w:val="28"/>
        </w:rPr>
        <w:t>, оснащается специальным оборудованием и инструментарием.</w:t>
      </w:r>
    </w:p>
    <w:p w:rsidR="00963609" w:rsidRPr="003B3020" w:rsidRDefault="00963609" w:rsidP="007E4743">
      <w:pPr>
        <w:spacing w:line="233" w:lineRule="auto"/>
        <w:ind w:firstLine="709"/>
        <w:jc w:val="both"/>
        <w:rPr>
          <w:sz w:val="28"/>
          <w:szCs w:val="28"/>
        </w:rPr>
      </w:pPr>
      <w:r w:rsidRPr="00DE16F2">
        <w:rPr>
          <w:sz w:val="28"/>
          <w:szCs w:val="28"/>
        </w:rPr>
        <w:t>3</w:t>
      </w:r>
      <w:r w:rsidR="005A19FB" w:rsidRPr="00DE16F2">
        <w:rPr>
          <w:sz w:val="28"/>
          <w:szCs w:val="28"/>
        </w:rPr>
        <w:t>.</w:t>
      </w:r>
      <w:r w:rsidRPr="00DE16F2">
        <w:rPr>
          <w:sz w:val="28"/>
          <w:szCs w:val="28"/>
        </w:rPr>
        <w:t xml:space="preserve"> Работу в </w:t>
      </w:r>
      <w:r w:rsidR="00331B49">
        <w:rPr>
          <w:sz w:val="28"/>
          <w:szCs w:val="28"/>
        </w:rPr>
        <w:t>смотровом</w:t>
      </w:r>
      <w:r w:rsidR="00331B49" w:rsidRPr="00DE16F2">
        <w:rPr>
          <w:sz w:val="28"/>
          <w:szCs w:val="28"/>
        </w:rPr>
        <w:t xml:space="preserve"> </w:t>
      </w:r>
      <w:r w:rsidRPr="00DE16F2">
        <w:rPr>
          <w:sz w:val="28"/>
          <w:szCs w:val="28"/>
        </w:rPr>
        <w:t>кабинете осуществляет средний медицинский работник, прошедший специальную подготовку, в том числе по онкологии, и имеющий соответствующий сертификат.</w:t>
      </w:r>
    </w:p>
    <w:p w:rsidR="00963609" w:rsidRPr="003B3020" w:rsidRDefault="00963609" w:rsidP="007E4743">
      <w:pPr>
        <w:spacing w:line="233" w:lineRule="auto"/>
        <w:ind w:firstLine="709"/>
        <w:jc w:val="both"/>
        <w:rPr>
          <w:sz w:val="28"/>
          <w:szCs w:val="28"/>
        </w:rPr>
      </w:pPr>
      <w:r w:rsidRPr="003B3020">
        <w:rPr>
          <w:sz w:val="28"/>
          <w:szCs w:val="28"/>
        </w:rPr>
        <w:t>4</w:t>
      </w:r>
      <w:r w:rsidR="005A19FB">
        <w:rPr>
          <w:sz w:val="28"/>
          <w:szCs w:val="28"/>
        </w:rPr>
        <w:t>.</w:t>
      </w:r>
      <w:r w:rsidRPr="003B3020">
        <w:rPr>
          <w:sz w:val="28"/>
          <w:szCs w:val="28"/>
        </w:rPr>
        <w:t xml:space="preserve"> Руководство и контроль за деятельностью </w:t>
      </w:r>
      <w:r w:rsidR="00331B49">
        <w:rPr>
          <w:sz w:val="28"/>
          <w:szCs w:val="28"/>
        </w:rPr>
        <w:t>смотрового</w:t>
      </w:r>
      <w:r w:rsidR="00331B49" w:rsidRPr="003B3020">
        <w:rPr>
          <w:sz w:val="28"/>
          <w:szCs w:val="28"/>
        </w:rPr>
        <w:t xml:space="preserve"> </w:t>
      </w:r>
      <w:r w:rsidRPr="003B3020">
        <w:rPr>
          <w:sz w:val="28"/>
          <w:szCs w:val="28"/>
        </w:rPr>
        <w:t>кабинета, работой и уровнем профессиональной подготовки медицинских специалистов осуществляет заведующий структурным подразделением, в состав которого входит смотровой кабинет.</w:t>
      </w:r>
    </w:p>
    <w:p w:rsidR="00963609" w:rsidRPr="003B3020" w:rsidRDefault="00963609" w:rsidP="007E4743">
      <w:pPr>
        <w:pStyle w:val="af8"/>
        <w:spacing w:line="233" w:lineRule="auto"/>
        <w:ind w:firstLine="709"/>
        <w:jc w:val="both"/>
        <w:rPr>
          <w:sz w:val="28"/>
          <w:szCs w:val="28"/>
        </w:rPr>
      </w:pPr>
      <w:r w:rsidRPr="003B3020">
        <w:rPr>
          <w:rFonts w:ascii="Times New Roman" w:hAnsi="Times New Roman" w:cs="Times New Roman"/>
          <w:sz w:val="28"/>
          <w:szCs w:val="28"/>
        </w:rPr>
        <w:t>5</w:t>
      </w:r>
      <w:r w:rsidR="005A19FB">
        <w:rPr>
          <w:rFonts w:ascii="Times New Roman" w:hAnsi="Times New Roman" w:cs="Times New Roman"/>
          <w:sz w:val="28"/>
          <w:szCs w:val="28"/>
        </w:rPr>
        <w:t>.</w:t>
      </w:r>
      <w:r w:rsidRPr="003B3020">
        <w:rPr>
          <w:rFonts w:ascii="Times New Roman" w:hAnsi="Times New Roman" w:cs="Times New Roman"/>
          <w:sz w:val="28"/>
          <w:szCs w:val="28"/>
        </w:rPr>
        <w:t xml:space="preserve"> Методическое руководство работой </w:t>
      </w:r>
      <w:r w:rsidR="00331B49">
        <w:rPr>
          <w:sz w:val="28"/>
          <w:szCs w:val="28"/>
        </w:rPr>
        <w:t>смотрового</w:t>
      </w:r>
      <w:r w:rsidR="00331B49" w:rsidRPr="003B3020">
        <w:rPr>
          <w:rFonts w:ascii="Times New Roman" w:hAnsi="Times New Roman" w:cs="Times New Roman"/>
          <w:sz w:val="28"/>
          <w:szCs w:val="28"/>
        </w:rPr>
        <w:t xml:space="preserve"> </w:t>
      </w:r>
      <w:r w:rsidRPr="003B3020">
        <w:rPr>
          <w:rFonts w:ascii="Times New Roman" w:hAnsi="Times New Roman" w:cs="Times New Roman"/>
          <w:sz w:val="28"/>
          <w:szCs w:val="28"/>
        </w:rPr>
        <w:t>кабинета осуществляет районный онколог, при</w:t>
      </w:r>
      <w:r w:rsidRPr="003B3020">
        <w:rPr>
          <w:sz w:val="28"/>
          <w:szCs w:val="28"/>
        </w:rPr>
        <w:t xml:space="preserve"> его отсутствии – назначенный врач-онколог ГАУЗ </w:t>
      </w:r>
      <w:r w:rsidRPr="003B3020">
        <w:rPr>
          <w:rFonts w:ascii="Times New Roman" w:eastAsia="Arial" w:hAnsi="Times New Roman" w:cs="Times New Roman"/>
          <w:sz w:val="28"/>
          <w:szCs w:val="28"/>
        </w:rPr>
        <w:t>«РКОД МЗ РТ им.проф.М.З.Сигала»</w:t>
      </w:r>
      <w:r w:rsidRPr="003B3020">
        <w:rPr>
          <w:rFonts w:ascii="Times New Roman" w:hAnsi="Times New Roman" w:cs="Times New Roman"/>
          <w:sz w:val="28"/>
          <w:szCs w:val="28"/>
        </w:rPr>
        <w:t>.</w:t>
      </w:r>
    </w:p>
    <w:p w:rsidR="00963609" w:rsidRPr="003B3020" w:rsidRDefault="00963609" w:rsidP="007E4743">
      <w:pPr>
        <w:spacing w:line="233" w:lineRule="auto"/>
        <w:ind w:firstLine="709"/>
        <w:jc w:val="both"/>
        <w:rPr>
          <w:sz w:val="28"/>
          <w:szCs w:val="28"/>
        </w:rPr>
      </w:pPr>
      <w:r w:rsidRPr="003B3020">
        <w:rPr>
          <w:sz w:val="28"/>
          <w:szCs w:val="28"/>
        </w:rPr>
        <w:t>6</w:t>
      </w:r>
      <w:r w:rsidR="005A19FB">
        <w:rPr>
          <w:sz w:val="28"/>
          <w:szCs w:val="28"/>
        </w:rPr>
        <w:t>.</w:t>
      </w:r>
      <w:r w:rsidRPr="003B3020">
        <w:rPr>
          <w:sz w:val="28"/>
          <w:szCs w:val="28"/>
        </w:rPr>
        <w:t xml:space="preserve"> </w:t>
      </w:r>
      <w:r w:rsidR="00331B49">
        <w:rPr>
          <w:sz w:val="28"/>
          <w:szCs w:val="28"/>
        </w:rPr>
        <w:t>Смотровой кабинет</w:t>
      </w:r>
      <w:r w:rsidR="00331B49" w:rsidRPr="003B3020">
        <w:rPr>
          <w:sz w:val="28"/>
          <w:szCs w:val="28"/>
        </w:rPr>
        <w:t xml:space="preserve"> </w:t>
      </w:r>
      <w:r w:rsidRPr="003B3020">
        <w:rPr>
          <w:sz w:val="28"/>
          <w:szCs w:val="28"/>
        </w:rPr>
        <w:t>осуществляет:</w:t>
      </w:r>
    </w:p>
    <w:p w:rsidR="00963609" w:rsidRPr="003B3020" w:rsidRDefault="00963609" w:rsidP="007E4743">
      <w:pPr>
        <w:spacing w:line="233" w:lineRule="auto"/>
        <w:ind w:firstLine="709"/>
        <w:jc w:val="both"/>
        <w:rPr>
          <w:sz w:val="28"/>
          <w:szCs w:val="28"/>
        </w:rPr>
      </w:pPr>
      <w:r w:rsidRPr="003B3020">
        <w:rPr>
          <w:sz w:val="28"/>
          <w:szCs w:val="28"/>
        </w:rPr>
        <w:t xml:space="preserve">доврачебный опрос пациентов; </w:t>
      </w:r>
    </w:p>
    <w:p w:rsidR="00963609" w:rsidRPr="003B3020" w:rsidRDefault="00963609" w:rsidP="007E4743">
      <w:pPr>
        <w:spacing w:line="233" w:lineRule="auto"/>
        <w:ind w:firstLine="709"/>
        <w:jc w:val="both"/>
        <w:rPr>
          <w:sz w:val="28"/>
          <w:szCs w:val="28"/>
        </w:rPr>
      </w:pPr>
      <w:r w:rsidRPr="003B3020">
        <w:rPr>
          <w:sz w:val="28"/>
          <w:szCs w:val="28"/>
        </w:rPr>
        <w:t>профилактический осмотр пациентов, впервые обратившихся в течение года в амбулаторно-поликлиническое учреждение на предмет раннего выявления хронических, предопухолевых и опухолевых заболеваний видимых локализаций;</w:t>
      </w:r>
    </w:p>
    <w:p w:rsidR="00963609" w:rsidRPr="003B3020" w:rsidRDefault="00963609" w:rsidP="007E4743">
      <w:pPr>
        <w:spacing w:line="233" w:lineRule="auto"/>
        <w:ind w:firstLine="709"/>
        <w:jc w:val="both"/>
        <w:rPr>
          <w:sz w:val="28"/>
          <w:szCs w:val="28"/>
        </w:rPr>
      </w:pPr>
      <w:r w:rsidRPr="003B3020">
        <w:rPr>
          <w:sz w:val="28"/>
          <w:szCs w:val="28"/>
        </w:rPr>
        <w:t>направление всех женщин, впервые обратившихся в текущем году в амбулаторно-поликлиническое учреждение, в женскую консультацию для проведения цитологического скрининга по выявлению патологии шейки матки</w:t>
      </w:r>
      <w:r w:rsidR="007F3AFB">
        <w:rPr>
          <w:sz w:val="28"/>
          <w:szCs w:val="28"/>
        </w:rPr>
        <w:t>,</w:t>
      </w:r>
      <w:r w:rsidRPr="003B3020">
        <w:rPr>
          <w:sz w:val="28"/>
          <w:szCs w:val="28"/>
        </w:rPr>
        <w:t xml:space="preserve"> и лиц с выявленной патологией видимой локализации к соответствующему медицинскому специалисту для уточнения диагноза и организации лечения;</w:t>
      </w:r>
    </w:p>
    <w:p w:rsidR="00963609" w:rsidRPr="003B3020" w:rsidRDefault="00963609" w:rsidP="007E4743">
      <w:pPr>
        <w:spacing w:line="233" w:lineRule="auto"/>
        <w:ind w:firstLine="709"/>
        <w:jc w:val="both"/>
        <w:rPr>
          <w:sz w:val="28"/>
          <w:szCs w:val="28"/>
        </w:rPr>
      </w:pPr>
      <w:r w:rsidRPr="003B3020">
        <w:rPr>
          <w:sz w:val="28"/>
          <w:szCs w:val="28"/>
        </w:rPr>
        <w:t>обязательное взятие мазков на степень чистоты, мазков с цервикального канала и шейки матки на цитологию у всех женщин, обратившихся в кабинет</w:t>
      </w:r>
      <w:r w:rsidR="00AE5740">
        <w:rPr>
          <w:sz w:val="28"/>
          <w:szCs w:val="28"/>
        </w:rPr>
        <w:t>,</w:t>
      </w:r>
      <w:r w:rsidRPr="003B3020">
        <w:rPr>
          <w:sz w:val="28"/>
          <w:szCs w:val="28"/>
        </w:rPr>
        <w:t xml:space="preserve"> и направление их </w:t>
      </w:r>
      <w:r w:rsidR="00566780">
        <w:rPr>
          <w:sz w:val="28"/>
          <w:szCs w:val="28"/>
        </w:rPr>
        <w:br/>
      </w:r>
      <w:r w:rsidRPr="003B3020">
        <w:rPr>
          <w:sz w:val="28"/>
          <w:szCs w:val="28"/>
        </w:rPr>
        <w:t>в соответствующую цитологическую лабораторию для исследования;</w:t>
      </w:r>
    </w:p>
    <w:p w:rsidR="00963609" w:rsidRPr="003B3020" w:rsidRDefault="00963609" w:rsidP="007E4743">
      <w:pPr>
        <w:spacing w:line="233" w:lineRule="auto"/>
        <w:ind w:firstLine="709"/>
        <w:jc w:val="both"/>
        <w:rPr>
          <w:sz w:val="28"/>
          <w:szCs w:val="28"/>
        </w:rPr>
      </w:pPr>
      <w:r w:rsidRPr="003B3020">
        <w:rPr>
          <w:sz w:val="28"/>
          <w:szCs w:val="28"/>
        </w:rPr>
        <w:t>учет и регистрацию результатов проведенных профилактических осмотров по установленным формам первичной медицинской документации;</w:t>
      </w:r>
    </w:p>
    <w:p w:rsidR="00963609" w:rsidRPr="003B3020" w:rsidRDefault="00963609" w:rsidP="007E4743">
      <w:pPr>
        <w:spacing w:line="233" w:lineRule="auto"/>
        <w:ind w:firstLine="709"/>
        <w:jc w:val="both"/>
        <w:rPr>
          <w:sz w:val="28"/>
          <w:szCs w:val="28"/>
        </w:rPr>
      </w:pPr>
      <w:r w:rsidRPr="003B3020">
        <w:rPr>
          <w:sz w:val="28"/>
          <w:szCs w:val="28"/>
        </w:rPr>
        <w:t>проведение работы по гигиеническому образованию и воспитанию населения.</w:t>
      </w:r>
    </w:p>
    <w:p w:rsidR="00963609" w:rsidRPr="003B3020" w:rsidRDefault="00963609" w:rsidP="007E4743">
      <w:pPr>
        <w:spacing w:line="233" w:lineRule="auto"/>
        <w:ind w:firstLine="709"/>
        <w:jc w:val="both"/>
        <w:rPr>
          <w:sz w:val="28"/>
          <w:szCs w:val="28"/>
        </w:rPr>
      </w:pPr>
      <w:r w:rsidRPr="003B3020">
        <w:rPr>
          <w:sz w:val="28"/>
          <w:szCs w:val="28"/>
        </w:rPr>
        <w:t>Примечания:</w:t>
      </w:r>
    </w:p>
    <w:p w:rsidR="003B0699" w:rsidRPr="00AE5740" w:rsidRDefault="003B0699" w:rsidP="007E4743">
      <w:pPr>
        <w:spacing w:line="233" w:lineRule="auto"/>
        <w:ind w:firstLine="709"/>
        <w:jc w:val="both"/>
        <w:rPr>
          <w:sz w:val="28"/>
          <w:szCs w:val="28"/>
        </w:rPr>
      </w:pPr>
      <w:r w:rsidRPr="00AE5740">
        <w:rPr>
          <w:sz w:val="28"/>
          <w:szCs w:val="28"/>
        </w:rPr>
        <w:t>профилактический осмотр женщин (текущий) включает осмотр кожных покровов и видимых слизистых оболочек, осмотр и пальпацию молочных желез, щитовидной железы, живота, периферических лимфатических узлов, осмотр в зеркалах шейки матки и влагалища, бимануальное обследование матки и придатков, пальцевое обследование прямой кишки женщинам старше 40 лет и при наличии жалоб;</w:t>
      </w:r>
    </w:p>
    <w:p w:rsidR="003B0699" w:rsidRPr="00AE5740" w:rsidRDefault="003B0699" w:rsidP="007E4743">
      <w:pPr>
        <w:spacing w:line="233" w:lineRule="auto"/>
        <w:ind w:firstLine="709"/>
        <w:jc w:val="both"/>
        <w:rPr>
          <w:sz w:val="28"/>
          <w:szCs w:val="28"/>
        </w:rPr>
      </w:pPr>
      <w:r w:rsidRPr="00AE5740">
        <w:rPr>
          <w:sz w:val="28"/>
          <w:szCs w:val="28"/>
        </w:rPr>
        <w:t>профилактический осмотр мужчин (текущий) включает осмотр кожных покровов и видимых слизистых оболочек, осмотр и пальпацию области наружных половых органов, области грудных желез, щитовидной железы, живота, периферических лимфатических узлов, пальцевое обследование прямой кишки и области предстательной железы</w:t>
      </w:r>
      <w:r w:rsidR="005A19FB" w:rsidRPr="00AE5740">
        <w:rPr>
          <w:sz w:val="28"/>
          <w:szCs w:val="28"/>
        </w:rPr>
        <w:t>.</w:t>
      </w:r>
    </w:p>
    <w:p w:rsidR="003B0699" w:rsidRPr="00052010" w:rsidRDefault="003B0699" w:rsidP="007E4743">
      <w:pPr>
        <w:spacing w:line="233" w:lineRule="auto"/>
        <w:ind w:firstLine="709"/>
        <w:jc w:val="both"/>
        <w:rPr>
          <w:sz w:val="28"/>
          <w:szCs w:val="28"/>
          <w:highlight w:val="green"/>
        </w:rPr>
      </w:pPr>
    </w:p>
    <w:p w:rsidR="00A47AA3" w:rsidRPr="002272FA" w:rsidRDefault="00887958" w:rsidP="007E4743">
      <w:pPr>
        <w:pStyle w:val="af9"/>
        <w:spacing w:line="233" w:lineRule="auto"/>
        <w:ind w:left="0" w:firstLine="709"/>
        <w:contextualSpacing w:val="0"/>
        <w:rPr>
          <w:sz w:val="28"/>
          <w:szCs w:val="28"/>
          <w:lang w:val="ru-RU"/>
        </w:rPr>
      </w:pPr>
      <w:r w:rsidRPr="002272FA">
        <w:rPr>
          <w:sz w:val="28"/>
          <w:szCs w:val="28"/>
          <w:lang w:val="ru-RU"/>
        </w:rPr>
        <w:t>1</w:t>
      </w:r>
      <w:r w:rsidR="00FB4B54" w:rsidRPr="002272FA">
        <w:rPr>
          <w:sz w:val="28"/>
          <w:szCs w:val="28"/>
          <w:lang w:val="ru-RU"/>
        </w:rPr>
        <w:t>.</w:t>
      </w:r>
      <w:r w:rsidRPr="002272FA">
        <w:rPr>
          <w:sz w:val="28"/>
          <w:szCs w:val="28"/>
          <w:lang w:val="ru-RU"/>
        </w:rPr>
        <w:t>5</w:t>
      </w:r>
      <w:r w:rsidR="00FB4B54" w:rsidRPr="002272FA">
        <w:rPr>
          <w:sz w:val="28"/>
          <w:szCs w:val="28"/>
          <w:lang w:val="ru-RU"/>
        </w:rPr>
        <w:t>.</w:t>
      </w:r>
      <w:r w:rsidR="00A47AA3" w:rsidRPr="002272FA">
        <w:rPr>
          <w:sz w:val="28"/>
          <w:szCs w:val="28"/>
          <w:lang w:val="ru-RU"/>
        </w:rPr>
        <w:t> Текущее состояние ресурсной базы онкологической службы.</w:t>
      </w:r>
    </w:p>
    <w:p w:rsidR="007C0520" w:rsidRPr="00091230" w:rsidRDefault="001B6A80" w:rsidP="007E4743">
      <w:pPr>
        <w:spacing w:line="233" w:lineRule="auto"/>
        <w:ind w:firstLine="709"/>
        <w:jc w:val="both"/>
        <w:rPr>
          <w:sz w:val="28"/>
          <w:szCs w:val="28"/>
        </w:rPr>
      </w:pPr>
      <w:r w:rsidRPr="00091230">
        <w:rPr>
          <w:sz w:val="28"/>
          <w:szCs w:val="28"/>
        </w:rPr>
        <w:t xml:space="preserve">В Республике Татарстан сформирована трехуровневая система оказания медицинской помощи пациентам с онкологическими заболеваниями. </w:t>
      </w:r>
    </w:p>
    <w:p w:rsidR="0098622E" w:rsidRPr="00091230" w:rsidRDefault="0098622E" w:rsidP="007E4743">
      <w:pPr>
        <w:spacing w:line="233" w:lineRule="auto"/>
        <w:ind w:firstLine="709"/>
        <w:jc w:val="both"/>
        <w:rPr>
          <w:sz w:val="28"/>
          <w:szCs w:val="28"/>
        </w:rPr>
      </w:pPr>
      <w:r w:rsidRPr="00091230">
        <w:rPr>
          <w:sz w:val="28"/>
          <w:szCs w:val="28"/>
        </w:rPr>
        <w:t xml:space="preserve">Первый уровень представлен </w:t>
      </w:r>
      <w:r w:rsidR="00C379E1">
        <w:rPr>
          <w:sz w:val="28"/>
          <w:szCs w:val="28"/>
        </w:rPr>
        <w:t xml:space="preserve">62 </w:t>
      </w:r>
      <w:r w:rsidRPr="00091230">
        <w:rPr>
          <w:sz w:val="28"/>
          <w:szCs w:val="28"/>
        </w:rPr>
        <w:t xml:space="preserve">первичными онкологическими кабинетами на базе </w:t>
      </w:r>
      <w:r w:rsidR="00331B49">
        <w:rPr>
          <w:sz w:val="28"/>
          <w:szCs w:val="28"/>
        </w:rPr>
        <w:t xml:space="preserve">центральных районных больниц (далее – </w:t>
      </w:r>
      <w:r w:rsidR="00115E66">
        <w:rPr>
          <w:sz w:val="28"/>
          <w:szCs w:val="28"/>
        </w:rPr>
        <w:t>ЦРБ</w:t>
      </w:r>
      <w:r w:rsidR="00331B49">
        <w:rPr>
          <w:sz w:val="28"/>
          <w:szCs w:val="28"/>
        </w:rPr>
        <w:t>)</w:t>
      </w:r>
      <w:r w:rsidRPr="00091230">
        <w:rPr>
          <w:sz w:val="28"/>
          <w:szCs w:val="28"/>
        </w:rPr>
        <w:t xml:space="preserve"> и самостоятельных полик</w:t>
      </w:r>
      <w:r w:rsidR="00115E66">
        <w:rPr>
          <w:sz w:val="28"/>
          <w:szCs w:val="28"/>
        </w:rPr>
        <w:t>линик,</w:t>
      </w:r>
      <w:r w:rsidR="00AE5740">
        <w:rPr>
          <w:sz w:val="28"/>
          <w:szCs w:val="28"/>
        </w:rPr>
        <w:t xml:space="preserve"> </w:t>
      </w:r>
      <w:r w:rsidR="00115E66">
        <w:rPr>
          <w:sz w:val="28"/>
          <w:szCs w:val="28"/>
        </w:rPr>
        <w:t xml:space="preserve">а также </w:t>
      </w:r>
      <w:r w:rsidR="00C379E1">
        <w:rPr>
          <w:sz w:val="28"/>
          <w:szCs w:val="28"/>
        </w:rPr>
        <w:t xml:space="preserve">9 </w:t>
      </w:r>
      <w:r w:rsidR="00115E66">
        <w:rPr>
          <w:sz w:val="28"/>
          <w:szCs w:val="28"/>
        </w:rPr>
        <w:t>центрами ам</w:t>
      </w:r>
      <w:r w:rsidRPr="00091230">
        <w:rPr>
          <w:sz w:val="28"/>
          <w:szCs w:val="28"/>
        </w:rPr>
        <w:t>булаторной онкологической помощи</w:t>
      </w:r>
      <w:r w:rsidR="00206E4D">
        <w:rPr>
          <w:sz w:val="28"/>
          <w:szCs w:val="28"/>
        </w:rPr>
        <w:t xml:space="preserve"> </w:t>
      </w:r>
      <w:r w:rsidR="00C379E1">
        <w:rPr>
          <w:sz w:val="28"/>
          <w:szCs w:val="28"/>
        </w:rPr>
        <w:t>в части амбулаторного приема</w:t>
      </w:r>
      <w:r w:rsidRPr="00091230">
        <w:rPr>
          <w:sz w:val="28"/>
          <w:szCs w:val="28"/>
        </w:rPr>
        <w:t>.</w:t>
      </w:r>
    </w:p>
    <w:p w:rsidR="0098622E" w:rsidRPr="00091230" w:rsidRDefault="0098622E" w:rsidP="007E4743">
      <w:pPr>
        <w:spacing w:line="233" w:lineRule="auto"/>
        <w:ind w:firstLine="709"/>
        <w:jc w:val="both"/>
        <w:rPr>
          <w:sz w:val="28"/>
          <w:szCs w:val="28"/>
        </w:rPr>
      </w:pPr>
      <w:r w:rsidRPr="00091230">
        <w:rPr>
          <w:sz w:val="28"/>
          <w:szCs w:val="28"/>
        </w:rPr>
        <w:t xml:space="preserve">Второй уровень представлен дневными стационарами </w:t>
      </w:r>
      <w:r w:rsidR="00B10899">
        <w:rPr>
          <w:sz w:val="28"/>
          <w:szCs w:val="28"/>
        </w:rPr>
        <w:t xml:space="preserve">9 </w:t>
      </w:r>
      <w:r w:rsidR="005534FF">
        <w:rPr>
          <w:sz w:val="28"/>
          <w:szCs w:val="28"/>
        </w:rPr>
        <w:t xml:space="preserve">центров амбулаторной онкологической помощи </w:t>
      </w:r>
      <w:r w:rsidRPr="00091230">
        <w:rPr>
          <w:sz w:val="28"/>
          <w:szCs w:val="28"/>
        </w:rPr>
        <w:t>в части лекарственног</w:t>
      </w:r>
      <w:r w:rsidR="00B10899">
        <w:rPr>
          <w:sz w:val="28"/>
          <w:szCs w:val="28"/>
        </w:rPr>
        <w:t>о противоопухолевого лечения</w:t>
      </w:r>
      <w:r w:rsidRPr="00091230">
        <w:rPr>
          <w:sz w:val="28"/>
          <w:szCs w:val="28"/>
        </w:rPr>
        <w:t>, дневными стационарами для лекарственного противо</w:t>
      </w:r>
      <w:r w:rsidR="00115E66">
        <w:rPr>
          <w:sz w:val="28"/>
          <w:szCs w:val="28"/>
        </w:rPr>
        <w:t>опухолевого лечения при поликли</w:t>
      </w:r>
      <w:r w:rsidRPr="00091230">
        <w:rPr>
          <w:sz w:val="28"/>
          <w:szCs w:val="28"/>
        </w:rPr>
        <w:t xml:space="preserve">никах </w:t>
      </w:r>
      <w:r w:rsidR="00B10899">
        <w:rPr>
          <w:sz w:val="28"/>
          <w:szCs w:val="28"/>
        </w:rPr>
        <w:t xml:space="preserve">2 </w:t>
      </w:r>
      <w:r w:rsidR="00115E66">
        <w:rPr>
          <w:sz w:val="28"/>
          <w:szCs w:val="28"/>
        </w:rPr>
        <w:t>ЦРБ</w:t>
      </w:r>
      <w:r w:rsidRPr="00091230">
        <w:rPr>
          <w:sz w:val="28"/>
          <w:szCs w:val="28"/>
        </w:rPr>
        <w:t>, стационарн</w:t>
      </w:r>
      <w:r w:rsidR="00115E66">
        <w:rPr>
          <w:sz w:val="28"/>
          <w:szCs w:val="28"/>
        </w:rPr>
        <w:t>ы</w:t>
      </w:r>
      <w:r w:rsidRPr="00091230">
        <w:rPr>
          <w:sz w:val="28"/>
          <w:szCs w:val="28"/>
        </w:rPr>
        <w:t xml:space="preserve">ми онкологическими отделениями на базе </w:t>
      </w:r>
      <w:r w:rsidR="00B10899">
        <w:rPr>
          <w:sz w:val="28"/>
          <w:szCs w:val="28"/>
        </w:rPr>
        <w:t xml:space="preserve">2 </w:t>
      </w:r>
      <w:r w:rsidR="00115E66">
        <w:rPr>
          <w:sz w:val="28"/>
          <w:szCs w:val="28"/>
        </w:rPr>
        <w:t>ЦРБ</w:t>
      </w:r>
      <w:r w:rsidRPr="00091230">
        <w:rPr>
          <w:sz w:val="28"/>
          <w:szCs w:val="28"/>
        </w:rPr>
        <w:t>.</w:t>
      </w:r>
    </w:p>
    <w:p w:rsidR="00A643BD" w:rsidRPr="00091230" w:rsidRDefault="0098622E" w:rsidP="007E4743">
      <w:pPr>
        <w:spacing w:line="233" w:lineRule="auto"/>
        <w:ind w:firstLine="709"/>
        <w:jc w:val="both"/>
        <w:rPr>
          <w:sz w:val="28"/>
          <w:szCs w:val="28"/>
          <w:lang w:val="x-none"/>
        </w:rPr>
      </w:pPr>
      <w:r w:rsidRPr="007E4743">
        <w:rPr>
          <w:sz w:val="28"/>
          <w:szCs w:val="28"/>
        </w:rPr>
        <w:t xml:space="preserve">Третий уровень представлен </w:t>
      </w:r>
      <w:r w:rsidR="002B3817" w:rsidRPr="007E4743">
        <w:rPr>
          <w:rFonts w:eastAsia="Arial"/>
          <w:sz w:val="28"/>
          <w:szCs w:val="28"/>
        </w:rPr>
        <w:t xml:space="preserve">ГАУЗ </w:t>
      </w:r>
      <w:r w:rsidR="002F7358" w:rsidRPr="007E4743">
        <w:rPr>
          <w:rFonts w:eastAsia="Arial"/>
          <w:sz w:val="28"/>
          <w:szCs w:val="28"/>
        </w:rPr>
        <w:t>«</w:t>
      </w:r>
      <w:r w:rsidR="00566780" w:rsidRPr="007E4743">
        <w:rPr>
          <w:rFonts w:eastAsia="Arial"/>
          <w:sz w:val="28"/>
          <w:szCs w:val="28"/>
        </w:rPr>
        <w:t>РКОД МЗ РТ им.</w:t>
      </w:r>
      <w:r w:rsidR="002B3817" w:rsidRPr="007E4743">
        <w:rPr>
          <w:rFonts w:eastAsia="Arial"/>
          <w:sz w:val="28"/>
          <w:szCs w:val="28"/>
        </w:rPr>
        <w:t>проф.М.З.Сигала</w:t>
      </w:r>
      <w:r w:rsidR="002F7358" w:rsidRPr="007E4743">
        <w:rPr>
          <w:rFonts w:eastAsia="Arial"/>
          <w:sz w:val="28"/>
          <w:szCs w:val="28"/>
        </w:rPr>
        <w:t>»</w:t>
      </w:r>
      <w:r w:rsidRPr="007E4743">
        <w:rPr>
          <w:sz w:val="28"/>
          <w:szCs w:val="28"/>
        </w:rPr>
        <w:t xml:space="preserve"> и его </w:t>
      </w:r>
      <w:r w:rsidR="00422B25" w:rsidRPr="007E4743">
        <w:rPr>
          <w:sz w:val="28"/>
          <w:szCs w:val="28"/>
        </w:rPr>
        <w:t>тремя</w:t>
      </w:r>
      <w:r w:rsidR="00C5673C" w:rsidRPr="007E4743">
        <w:rPr>
          <w:sz w:val="28"/>
          <w:szCs w:val="28"/>
        </w:rPr>
        <w:t xml:space="preserve"> </w:t>
      </w:r>
      <w:r w:rsidRPr="007E4743">
        <w:rPr>
          <w:sz w:val="28"/>
          <w:szCs w:val="28"/>
        </w:rPr>
        <w:t>филиалами в г</w:t>
      </w:r>
      <w:r w:rsidR="00C5673C" w:rsidRPr="007E4743">
        <w:rPr>
          <w:sz w:val="28"/>
          <w:szCs w:val="28"/>
        </w:rPr>
        <w:t xml:space="preserve">ородах </w:t>
      </w:r>
      <w:r w:rsidRPr="007E4743">
        <w:rPr>
          <w:sz w:val="28"/>
          <w:szCs w:val="28"/>
        </w:rPr>
        <w:t>Альметьевск</w:t>
      </w:r>
      <w:r w:rsidR="00115E66" w:rsidRPr="007E4743">
        <w:rPr>
          <w:sz w:val="28"/>
          <w:szCs w:val="28"/>
        </w:rPr>
        <w:t>е</w:t>
      </w:r>
      <w:r w:rsidR="00422B25" w:rsidRPr="007E4743">
        <w:rPr>
          <w:sz w:val="28"/>
          <w:szCs w:val="28"/>
        </w:rPr>
        <w:t>,</w:t>
      </w:r>
      <w:r w:rsidRPr="007E4743">
        <w:rPr>
          <w:sz w:val="28"/>
          <w:szCs w:val="28"/>
        </w:rPr>
        <w:t xml:space="preserve"> Набережны</w:t>
      </w:r>
      <w:r w:rsidR="00AE5740" w:rsidRPr="007E4743">
        <w:rPr>
          <w:sz w:val="28"/>
          <w:szCs w:val="28"/>
        </w:rPr>
        <w:t>е</w:t>
      </w:r>
      <w:r w:rsidRPr="007E4743">
        <w:rPr>
          <w:sz w:val="28"/>
          <w:szCs w:val="28"/>
        </w:rPr>
        <w:t xml:space="preserve"> Челн</w:t>
      </w:r>
      <w:r w:rsidR="00AE5740" w:rsidRPr="007E4743">
        <w:rPr>
          <w:sz w:val="28"/>
          <w:szCs w:val="28"/>
        </w:rPr>
        <w:t>ы</w:t>
      </w:r>
      <w:r w:rsidR="00422B25" w:rsidRPr="007E4743">
        <w:rPr>
          <w:sz w:val="28"/>
          <w:szCs w:val="28"/>
        </w:rPr>
        <w:t xml:space="preserve"> и Нижнекамске</w:t>
      </w:r>
      <w:r w:rsidRPr="007E4743">
        <w:rPr>
          <w:sz w:val="28"/>
          <w:szCs w:val="28"/>
        </w:rPr>
        <w:t>.</w:t>
      </w:r>
      <w:r w:rsidR="0000121A" w:rsidRPr="00091230">
        <w:rPr>
          <w:sz w:val="28"/>
          <w:szCs w:val="28"/>
        </w:rPr>
        <w:t xml:space="preserve"> Информация об указанных медицински</w:t>
      </w:r>
      <w:r w:rsidR="00AE5740">
        <w:rPr>
          <w:sz w:val="28"/>
          <w:szCs w:val="28"/>
        </w:rPr>
        <w:t>х</w:t>
      </w:r>
      <w:r w:rsidR="0000121A" w:rsidRPr="00091230">
        <w:rPr>
          <w:sz w:val="28"/>
          <w:szCs w:val="28"/>
        </w:rPr>
        <w:t xml:space="preserve"> организациях содержится </w:t>
      </w:r>
      <w:r w:rsidR="0000121A" w:rsidRPr="00DE16F2">
        <w:rPr>
          <w:sz w:val="28"/>
          <w:szCs w:val="28"/>
        </w:rPr>
        <w:t xml:space="preserve">в таблице </w:t>
      </w:r>
      <w:r w:rsidR="003F157B" w:rsidRPr="00DE16F2">
        <w:rPr>
          <w:sz w:val="28"/>
          <w:szCs w:val="28"/>
        </w:rPr>
        <w:t>16</w:t>
      </w:r>
      <w:r w:rsidR="00985986" w:rsidRPr="00DE16F2">
        <w:rPr>
          <w:sz w:val="28"/>
          <w:szCs w:val="28"/>
        </w:rPr>
        <w:t>.</w:t>
      </w:r>
      <w:r w:rsidR="00655FD3">
        <w:rPr>
          <w:sz w:val="28"/>
          <w:szCs w:val="28"/>
        </w:rPr>
        <w:t xml:space="preserve"> </w:t>
      </w:r>
    </w:p>
    <w:p w:rsidR="00D7496C" w:rsidRPr="00091230" w:rsidRDefault="00D7496C" w:rsidP="00A643BD">
      <w:pPr>
        <w:rPr>
          <w:sz w:val="28"/>
          <w:szCs w:val="28"/>
        </w:rPr>
        <w:sectPr w:rsidR="00D7496C" w:rsidRPr="00091230" w:rsidSect="00B21B24">
          <w:type w:val="continuous"/>
          <w:pgSz w:w="12240" w:h="15840"/>
          <w:pgMar w:top="1134" w:right="567" w:bottom="1134" w:left="1134" w:header="720" w:footer="720" w:gutter="0"/>
          <w:cols w:space="720"/>
          <w:docGrid w:linePitch="326"/>
        </w:sectPr>
      </w:pPr>
    </w:p>
    <w:p w:rsidR="00290A66" w:rsidRDefault="00290A66" w:rsidP="00894D08">
      <w:pPr>
        <w:ind w:left="9926" w:firstLine="709"/>
        <w:jc w:val="right"/>
        <w:rPr>
          <w:sz w:val="28"/>
          <w:szCs w:val="28"/>
        </w:rPr>
      </w:pPr>
      <w:r w:rsidRPr="00DE16F2">
        <w:rPr>
          <w:sz w:val="28"/>
          <w:szCs w:val="28"/>
        </w:rPr>
        <w:t>Таблица</w:t>
      </w:r>
      <w:r w:rsidR="00B90C4F" w:rsidRPr="00DE16F2">
        <w:rPr>
          <w:sz w:val="28"/>
          <w:szCs w:val="28"/>
        </w:rPr>
        <w:t xml:space="preserve"> 16</w:t>
      </w:r>
    </w:p>
    <w:p w:rsidR="00290A66" w:rsidRDefault="00290A66" w:rsidP="00290A66">
      <w:pPr>
        <w:ind w:left="9926" w:firstLine="709"/>
        <w:jc w:val="center"/>
        <w:rPr>
          <w:sz w:val="28"/>
          <w:szCs w:val="28"/>
        </w:rPr>
      </w:pPr>
    </w:p>
    <w:p w:rsidR="00290A66" w:rsidRDefault="00290A66" w:rsidP="00290A66">
      <w:pPr>
        <w:pStyle w:val="af9"/>
        <w:ind w:left="0" w:firstLine="709"/>
        <w:contextualSpacing w:val="0"/>
        <w:jc w:val="center"/>
        <w:rPr>
          <w:sz w:val="28"/>
          <w:szCs w:val="28"/>
        </w:rPr>
      </w:pPr>
      <w:r w:rsidRPr="00091230">
        <w:rPr>
          <w:sz w:val="28"/>
          <w:szCs w:val="28"/>
        </w:rPr>
        <w:t xml:space="preserve">Трехуровневая система организации оказания медицинской помощи пациентам </w:t>
      </w:r>
    </w:p>
    <w:p w:rsidR="00290A66" w:rsidRPr="00091230" w:rsidRDefault="00290A66" w:rsidP="00290A66">
      <w:pPr>
        <w:pStyle w:val="af9"/>
        <w:ind w:left="0" w:firstLine="709"/>
        <w:contextualSpacing w:val="0"/>
        <w:jc w:val="center"/>
        <w:rPr>
          <w:sz w:val="28"/>
          <w:szCs w:val="28"/>
        </w:rPr>
      </w:pPr>
      <w:r w:rsidRPr="00091230">
        <w:rPr>
          <w:sz w:val="28"/>
          <w:szCs w:val="28"/>
        </w:rPr>
        <w:t>с онкологическими заболеваниями</w:t>
      </w:r>
    </w:p>
    <w:p w:rsidR="00290A66" w:rsidRDefault="00290A66" w:rsidP="00290A66">
      <w:pPr>
        <w:rPr>
          <w:sz w:val="28"/>
          <w:szCs w:val="28"/>
        </w:rPr>
      </w:pPr>
    </w:p>
    <w:tbl>
      <w:tblPr>
        <w:tblStyle w:val="af1"/>
        <w:tblW w:w="14130" w:type="dxa"/>
        <w:tblBorders>
          <w:bottom w:val="none" w:sz="0" w:space="0" w:color="auto"/>
        </w:tblBorders>
        <w:tblLayout w:type="fixed"/>
        <w:tblLook w:val="04A0" w:firstRow="1" w:lastRow="0" w:firstColumn="1" w:lastColumn="0" w:noHBand="0" w:noVBand="1"/>
      </w:tblPr>
      <w:tblGrid>
        <w:gridCol w:w="846"/>
        <w:gridCol w:w="4819"/>
        <w:gridCol w:w="3544"/>
        <w:gridCol w:w="4921"/>
      </w:tblGrid>
      <w:tr w:rsidR="00290A66" w:rsidRPr="00091230" w:rsidTr="000B1BA9">
        <w:trPr>
          <w:trHeight w:val="20"/>
        </w:trPr>
        <w:tc>
          <w:tcPr>
            <w:tcW w:w="846" w:type="dxa"/>
          </w:tcPr>
          <w:p w:rsidR="00290A66" w:rsidRPr="00091230" w:rsidRDefault="00290A66" w:rsidP="00894D08">
            <w:pPr>
              <w:pStyle w:val="af9"/>
              <w:ind w:left="0"/>
              <w:contextualSpacing w:val="0"/>
              <w:jc w:val="center"/>
              <w:rPr>
                <w:sz w:val="20"/>
                <w:szCs w:val="20"/>
                <w:lang w:val="ru-RU"/>
              </w:rPr>
            </w:pPr>
            <w:r w:rsidRPr="00091230">
              <w:rPr>
                <w:sz w:val="20"/>
                <w:szCs w:val="20"/>
                <w:lang w:val="ru-RU"/>
              </w:rPr>
              <w:t>№</w:t>
            </w:r>
          </w:p>
          <w:p w:rsidR="00290A66" w:rsidRPr="00091230" w:rsidRDefault="00563A36" w:rsidP="00894D08">
            <w:pPr>
              <w:pStyle w:val="af9"/>
              <w:ind w:left="0"/>
              <w:contextualSpacing w:val="0"/>
              <w:jc w:val="center"/>
              <w:rPr>
                <w:sz w:val="20"/>
                <w:szCs w:val="20"/>
                <w:lang w:val="ru-RU"/>
              </w:rPr>
            </w:pPr>
            <w:r>
              <w:rPr>
                <w:sz w:val="20"/>
                <w:szCs w:val="20"/>
                <w:lang w:val="ru-RU"/>
              </w:rPr>
              <w:t>п</w:t>
            </w:r>
            <w:r w:rsidR="00290A66" w:rsidRPr="00091230">
              <w:rPr>
                <w:sz w:val="20"/>
                <w:szCs w:val="20"/>
                <w:lang w:val="en-US"/>
              </w:rPr>
              <w:t>/</w:t>
            </w:r>
            <w:r w:rsidR="00290A66" w:rsidRPr="00091230">
              <w:rPr>
                <w:sz w:val="20"/>
                <w:szCs w:val="20"/>
                <w:lang w:val="ru-RU"/>
              </w:rPr>
              <w:t>п</w:t>
            </w:r>
          </w:p>
        </w:tc>
        <w:tc>
          <w:tcPr>
            <w:tcW w:w="4819" w:type="dxa"/>
          </w:tcPr>
          <w:p w:rsidR="00290A66" w:rsidRPr="00091230" w:rsidRDefault="00290A66" w:rsidP="00894D08">
            <w:pPr>
              <w:pStyle w:val="af9"/>
              <w:ind w:left="0"/>
              <w:contextualSpacing w:val="0"/>
              <w:jc w:val="center"/>
              <w:rPr>
                <w:sz w:val="20"/>
                <w:szCs w:val="20"/>
              </w:rPr>
            </w:pPr>
            <w:r w:rsidRPr="00091230">
              <w:rPr>
                <w:sz w:val="20"/>
                <w:szCs w:val="20"/>
              </w:rPr>
              <w:t>Наименование медицинской организации</w:t>
            </w:r>
          </w:p>
        </w:tc>
        <w:tc>
          <w:tcPr>
            <w:tcW w:w="3544" w:type="dxa"/>
          </w:tcPr>
          <w:p w:rsidR="00290A66" w:rsidRPr="00091230" w:rsidRDefault="00290A66" w:rsidP="00894D08">
            <w:pPr>
              <w:pStyle w:val="af9"/>
              <w:ind w:left="0"/>
              <w:contextualSpacing w:val="0"/>
              <w:jc w:val="center"/>
              <w:rPr>
                <w:sz w:val="20"/>
                <w:szCs w:val="20"/>
                <w:lang w:val="ru-RU"/>
              </w:rPr>
            </w:pPr>
            <w:r w:rsidRPr="00091230">
              <w:rPr>
                <w:sz w:val="20"/>
                <w:szCs w:val="20"/>
              </w:rPr>
              <w:t>Тип медицинской организации (онкологический диспансер, онкологическая больница, многопрофильная больница, поликлиника и т.д.)</w:t>
            </w:r>
          </w:p>
        </w:tc>
        <w:tc>
          <w:tcPr>
            <w:tcW w:w="4921" w:type="dxa"/>
          </w:tcPr>
          <w:p w:rsidR="00290A66" w:rsidRPr="00091230" w:rsidRDefault="00290A66" w:rsidP="00894D08">
            <w:pPr>
              <w:pStyle w:val="af9"/>
              <w:ind w:left="0"/>
              <w:contextualSpacing w:val="0"/>
              <w:jc w:val="center"/>
              <w:rPr>
                <w:sz w:val="20"/>
                <w:szCs w:val="20"/>
                <w:lang w:val="ru-RU"/>
              </w:rPr>
            </w:pPr>
            <w:r w:rsidRPr="00091230">
              <w:rPr>
                <w:sz w:val="20"/>
                <w:szCs w:val="20"/>
              </w:rPr>
              <w:t>Наименование структурного подразделения, кабинета</w:t>
            </w:r>
          </w:p>
        </w:tc>
      </w:tr>
    </w:tbl>
    <w:p w:rsidR="00D06F12" w:rsidRPr="00D06F12" w:rsidRDefault="00D06F12">
      <w:pPr>
        <w:rPr>
          <w:sz w:val="2"/>
          <w:szCs w:val="2"/>
        </w:rPr>
      </w:pPr>
    </w:p>
    <w:tbl>
      <w:tblPr>
        <w:tblStyle w:val="af1"/>
        <w:tblW w:w="14130" w:type="dxa"/>
        <w:tblLayout w:type="fixed"/>
        <w:tblLook w:val="04A0" w:firstRow="1" w:lastRow="0" w:firstColumn="1" w:lastColumn="0" w:noHBand="0" w:noVBand="1"/>
      </w:tblPr>
      <w:tblGrid>
        <w:gridCol w:w="846"/>
        <w:gridCol w:w="4819"/>
        <w:gridCol w:w="3544"/>
        <w:gridCol w:w="4921"/>
      </w:tblGrid>
      <w:tr w:rsidR="00290A66" w:rsidRPr="00091230" w:rsidTr="000B1BA9">
        <w:trPr>
          <w:trHeight w:val="20"/>
          <w:tblHeader/>
        </w:trPr>
        <w:tc>
          <w:tcPr>
            <w:tcW w:w="846" w:type="dxa"/>
          </w:tcPr>
          <w:p w:rsidR="00290A66" w:rsidRPr="00091230" w:rsidRDefault="00290A66" w:rsidP="00894D08">
            <w:pPr>
              <w:pStyle w:val="af9"/>
              <w:ind w:left="0"/>
              <w:contextualSpacing w:val="0"/>
              <w:jc w:val="center"/>
              <w:rPr>
                <w:sz w:val="20"/>
                <w:szCs w:val="20"/>
                <w:lang w:val="ru-RU"/>
              </w:rPr>
            </w:pPr>
            <w:r w:rsidRPr="00091230">
              <w:rPr>
                <w:sz w:val="20"/>
                <w:szCs w:val="20"/>
                <w:lang w:val="ru-RU"/>
              </w:rPr>
              <w:t>1</w:t>
            </w:r>
          </w:p>
        </w:tc>
        <w:tc>
          <w:tcPr>
            <w:tcW w:w="4819" w:type="dxa"/>
          </w:tcPr>
          <w:p w:rsidR="00290A66" w:rsidRPr="00091230" w:rsidRDefault="00290A66" w:rsidP="00894D08">
            <w:pPr>
              <w:pStyle w:val="af9"/>
              <w:ind w:left="0"/>
              <w:contextualSpacing w:val="0"/>
              <w:jc w:val="center"/>
              <w:rPr>
                <w:sz w:val="20"/>
                <w:szCs w:val="20"/>
                <w:lang w:val="ru-RU"/>
              </w:rPr>
            </w:pPr>
            <w:r w:rsidRPr="00091230">
              <w:rPr>
                <w:sz w:val="20"/>
                <w:szCs w:val="20"/>
                <w:lang w:val="ru-RU"/>
              </w:rPr>
              <w:t>2</w:t>
            </w:r>
          </w:p>
        </w:tc>
        <w:tc>
          <w:tcPr>
            <w:tcW w:w="3544" w:type="dxa"/>
          </w:tcPr>
          <w:p w:rsidR="00290A66" w:rsidRPr="00091230" w:rsidRDefault="00290A66" w:rsidP="00894D08">
            <w:pPr>
              <w:pStyle w:val="af9"/>
              <w:ind w:left="0"/>
              <w:contextualSpacing w:val="0"/>
              <w:jc w:val="center"/>
              <w:rPr>
                <w:sz w:val="20"/>
                <w:szCs w:val="20"/>
                <w:lang w:val="ru-RU"/>
              </w:rPr>
            </w:pPr>
            <w:r w:rsidRPr="00091230">
              <w:rPr>
                <w:sz w:val="20"/>
                <w:szCs w:val="20"/>
                <w:lang w:val="ru-RU"/>
              </w:rPr>
              <w:t>3</w:t>
            </w:r>
          </w:p>
        </w:tc>
        <w:tc>
          <w:tcPr>
            <w:tcW w:w="4921" w:type="dxa"/>
          </w:tcPr>
          <w:p w:rsidR="00290A66" w:rsidRPr="00091230" w:rsidRDefault="00290A66" w:rsidP="00894D08">
            <w:pPr>
              <w:pStyle w:val="af9"/>
              <w:ind w:left="0"/>
              <w:contextualSpacing w:val="0"/>
              <w:jc w:val="center"/>
              <w:rPr>
                <w:sz w:val="20"/>
                <w:szCs w:val="20"/>
                <w:lang w:val="ru-RU"/>
              </w:rPr>
            </w:pPr>
            <w:r w:rsidRPr="00091230">
              <w:rPr>
                <w:sz w:val="20"/>
                <w:szCs w:val="20"/>
                <w:lang w:val="ru-RU"/>
              </w:rPr>
              <w:t>4</w:t>
            </w:r>
          </w:p>
        </w:tc>
      </w:tr>
      <w:tr w:rsidR="00FC63EC" w:rsidRPr="00091230" w:rsidTr="00DF204B">
        <w:trPr>
          <w:trHeight w:val="20"/>
        </w:trPr>
        <w:tc>
          <w:tcPr>
            <w:tcW w:w="14130" w:type="dxa"/>
            <w:gridSpan w:val="4"/>
          </w:tcPr>
          <w:p w:rsidR="00FC63EC" w:rsidRPr="009D2BAB" w:rsidRDefault="00FC63EC" w:rsidP="000B1BA9">
            <w:pPr>
              <w:pStyle w:val="af9"/>
              <w:spacing w:before="40" w:after="40"/>
              <w:ind w:left="0"/>
              <w:contextualSpacing w:val="0"/>
              <w:jc w:val="center"/>
              <w:rPr>
                <w:sz w:val="20"/>
                <w:szCs w:val="20"/>
                <w:lang w:val="ru-RU"/>
              </w:rPr>
            </w:pPr>
            <w:r w:rsidRPr="009D2BAB">
              <w:rPr>
                <w:sz w:val="20"/>
                <w:szCs w:val="20"/>
                <w:lang w:val="en-US"/>
              </w:rPr>
              <w:t>I</w:t>
            </w:r>
            <w:r w:rsidRPr="009D2BAB">
              <w:rPr>
                <w:sz w:val="20"/>
                <w:szCs w:val="20"/>
              </w:rPr>
              <w:t xml:space="preserve"> уровень</w:t>
            </w:r>
          </w:p>
        </w:tc>
      </w:tr>
      <w:tr w:rsidR="00290A66" w:rsidRPr="00563A36" w:rsidTr="000B1BA9">
        <w:trPr>
          <w:trHeight w:val="20"/>
        </w:trPr>
        <w:tc>
          <w:tcPr>
            <w:tcW w:w="846" w:type="dxa"/>
          </w:tcPr>
          <w:p w:rsidR="00290A66" w:rsidRPr="00563A36" w:rsidRDefault="00290A66" w:rsidP="00894D08">
            <w:pPr>
              <w:jc w:val="center"/>
              <w:rPr>
                <w:color w:val="000000"/>
                <w:sz w:val="20"/>
                <w:szCs w:val="20"/>
              </w:rPr>
            </w:pPr>
            <w:r w:rsidRPr="00563A36">
              <w:rPr>
                <w:color w:val="000000"/>
                <w:sz w:val="20"/>
                <w:szCs w:val="20"/>
              </w:rPr>
              <w:t>1</w:t>
            </w:r>
            <w:r w:rsidR="00D06F12">
              <w:rPr>
                <w:color w:val="000000"/>
                <w:sz w:val="20"/>
                <w:szCs w:val="20"/>
              </w:rPr>
              <w:t>.</w:t>
            </w:r>
          </w:p>
        </w:tc>
        <w:tc>
          <w:tcPr>
            <w:tcW w:w="4819" w:type="dxa"/>
            <w:vAlign w:val="bottom"/>
          </w:tcPr>
          <w:p w:rsidR="00290A66" w:rsidRPr="00AE512E" w:rsidRDefault="00AE512E" w:rsidP="004D2021">
            <w:pPr>
              <w:jc w:val="both"/>
              <w:rPr>
                <w:color w:val="000000"/>
                <w:sz w:val="20"/>
                <w:szCs w:val="20"/>
              </w:rPr>
            </w:pPr>
            <w:r w:rsidRPr="00AE512E">
              <w:rPr>
                <w:rFonts w:eastAsia="Arial"/>
                <w:spacing w:val="-4"/>
                <w:sz w:val="20"/>
                <w:szCs w:val="20"/>
              </w:rPr>
              <w:t>Г</w:t>
            </w:r>
            <w:r w:rsidR="00290A66" w:rsidRPr="00AE512E">
              <w:rPr>
                <w:color w:val="000000"/>
                <w:sz w:val="20"/>
                <w:szCs w:val="20"/>
              </w:rPr>
              <w:t xml:space="preserve">АУЗ </w:t>
            </w:r>
            <w:r w:rsidR="002F7358">
              <w:rPr>
                <w:color w:val="000000"/>
                <w:sz w:val="20"/>
                <w:szCs w:val="20"/>
              </w:rPr>
              <w:t>«</w:t>
            </w:r>
            <w:r w:rsidR="00290A66" w:rsidRPr="00AE512E">
              <w:rPr>
                <w:color w:val="000000"/>
                <w:sz w:val="20"/>
                <w:szCs w:val="20"/>
              </w:rPr>
              <w:t>Агрызская ЦРБ</w:t>
            </w:r>
            <w:r w:rsidR="002F7358">
              <w:rPr>
                <w:color w:val="000000"/>
                <w:sz w:val="20"/>
                <w:szCs w:val="20"/>
              </w:rPr>
              <w:t>»</w:t>
            </w:r>
          </w:p>
        </w:tc>
        <w:tc>
          <w:tcPr>
            <w:tcW w:w="3544" w:type="dxa"/>
          </w:tcPr>
          <w:p w:rsidR="00290A66" w:rsidRPr="00563A36" w:rsidRDefault="00290A66" w:rsidP="00894D08">
            <w:pPr>
              <w:pStyle w:val="af9"/>
              <w:ind w:left="0"/>
              <w:contextualSpacing w:val="0"/>
              <w:jc w:val="center"/>
              <w:rPr>
                <w:sz w:val="20"/>
                <w:szCs w:val="20"/>
                <w:lang w:val="ru-RU"/>
              </w:rPr>
            </w:pPr>
            <w:r w:rsidRPr="00563A36">
              <w:rPr>
                <w:sz w:val="20"/>
                <w:szCs w:val="20"/>
              </w:rPr>
              <w:t>поликлиника</w:t>
            </w:r>
          </w:p>
        </w:tc>
        <w:tc>
          <w:tcPr>
            <w:tcW w:w="4921" w:type="dxa"/>
            <w:tcBorders>
              <w:top w:val="single" w:sz="4" w:space="0" w:color="auto"/>
              <w:left w:val="single" w:sz="4" w:space="0" w:color="auto"/>
              <w:bottom w:val="single" w:sz="4" w:space="0" w:color="auto"/>
              <w:right w:val="single" w:sz="4" w:space="0" w:color="auto"/>
            </w:tcBorders>
            <w:shd w:val="clear" w:color="000000" w:fill="FFFFFF"/>
          </w:tcPr>
          <w:p w:rsidR="00290A66" w:rsidRPr="00563A36" w:rsidRDefault="007C06B0" w:rsidP="00D06F12">
            <w:pPr>
              <w:autoSpaceDE/>
              <w:autoSpaceDN/>
              <w:adjustRightInd/>
              <w:jc w:val="both"/>
              <w:rPr>
                <w:color w:val="000000"/>
                <w:sz w:val="20"/>
                <w:szCs w:val="20"/>
              </w:rPr>
            </w:pPr>
            <w:r>
              <w:rPr>
                <w:color w:val="000000"/>
                <w:sz w:val="20"/>
                <w:szCs w:val="20"/>
              </w:rPr>
              <w:t>п</w:t>
            </w:r>
            <w:r w:rsidR="00290A66" w:rsidRPr="00563A36">
              <w:rPr>
                <w:color w:val="000000"/>
                <w:sz w:val="20"/>
                <w:szCs w:val="20"/>
              </w:rPr>
              <w:t>ервичный онкологический кабинет</w:t>
            </w:r>
          </w:p>
        </w:tc>
      </w:tr>
      <w:tr w:rsidR="00290A66" w:rsidRPr="00563A36" w:rsidTr="000B1BA9">
        <w:trPr>
          <w:trHeight w:val="20"/>
        </w:trPr>
        <w:tc>
          <w:tcPr>
            <w:tcW w:w="846" w:type="dxa"/>
          </w:tcPr>
          <w:p w:rsidR="00290A66" w:rsidRPr="00563A36" w:rsidRDefault="00290A66" w:rsidP="00894D08">
            <w:pPr>
              <w:jc w:val="center"/>
              <w:rPr>
                <w:color w:val="000000"/>
                <w:sz w:val="20"/>
                <w:szCs w:val="20"/>
              </w:rPr>
            </w:pPr>
            <w:r w:rsidRPr="00563A36">
              <w:rPr>
                <w:color w:val="000000"/>
                <w:sz w:val="20"/>
                <w:szCs w:val="20"/>
              </w:rPr>
              <w:t>2</w:t>
            </w:r>
            <w:r w:rsidR="00D06F12">
              <w:rPr>
                <w:color w:val="000000"/>
                <w:sz w:val="20"/>
                <w:szCs w:val="20"/>
              </w:rPr>
              <w:t>.</w:t>
            </w:r>
          </w:p>
        </w:tc>
        <w:tc>
          <w:tcPr>
            <w:tcW w:w="4819" w:type="dxa"/>
            <w:vAlign w:val="center"/>
          </w:tcPr>
          <w:p w:rsidR="00290A66" w:rsidRPr="00563A36" w:rsidRDefault="00290A66" w:rsidP="00D06F12">
            <w:pPr>
              <w:jc w:val="both"/>
              <w:rPr>
                <w:color w:val="000000"/>
                <w:sz w:val="20"/>
                <w:szCs w:val="20"/>
              </w:rPr>
            </w:pPr>
            <w:r w:rsidRPr="00563A36">
              <w:rPr>
                <w:color w:val="000000"/>
                <w:sz w:val="20"/>
                <w:szCs w:val="20"/>
              </w:rPr>
              <w:t xml:space="preserve">ГАУЗ </w:t>
            </w:r>
            <w:r w:rsidR="002F7358">
              <w:rPr>
                <w:color w:val="000000"/>
                <w:sz w:val="20"/>
                <w:szCs w:val="20"/>
              </w:rPr>
              <w:t>«</w:t>
            </w:r>
            <w:r w:rsidRPr="00563A36">
              <w:rPr>
                <w:color w:val="000000"/>
                <w:sz w:val="20"/>
                <w:szCs w:val="20"/>
              </w:rPr>
              <w:t>Азнакаевская ЦРБ</w:t>
            </w:r>
            <w:r w:rsidR="002F7358">
              <w:rPr>
                <w:color w:val="000000"/>
                <w:sz w:val="20"/>
                <w:szCs w:val="20"/>
              </w:rPr>
              <w:t>»</w:t>
            </w:r>
          </w:p>
        </w:tc>
        <w:tc>
          <w:tcPr>
            <w:tcW w:w="3544" w:type="dxa"/>
          </w:tcPr>
          <w:p w:rsidR="00290A66" w:rsidRPr="00563A36" w:rsidRDefault="00290A66" w:rsidP="00894D08">
            <w:pPr>
              <w:pStyle w:val="af9"/>
              <w:ind w:left="0"/>
              <w:contextualSpacing w:val="0"/>
              <w:jc w:val="center"/>
              <w:rPr>
                <w:sz w:val="20"/>
                <w:szCs w:val="20"/>
                <w:lang w:val="ru-RU"/>
              </w:rPr>
            </w:pPr>
            <w:r w:rsidRPr="00563A36">
              <w:rPr>
                <w:sz w:val="20"/>
                <w:szCs w:val="20"/>
              </w:rPr>
              <w:t>поликлиника</w:t>
            </w:r>
          </w:p>
        </w:tc>
        <w:tc>
          <w:tcPr>
            <w:tcW w:w="4921" w:type="dxa"/>
            <w:tcBorders>
              <w:top w:val="single" w:sz="4" w:space="0" w:color="auto"/>
              <w:left w:val="single" w:sz="4" w:space="0" w:color="auto"/>
              <w:bottom w:val="single" w:sz="4" w:space="0" w:color="auto"/>
              <w:right w:val="single" w:sz="4" w:space="0" w:color="auto"/>
            </w:tcBorders>
            <w:shd w:val="clear" w:color="000000" w:fill="FFFFFF"/>
          </w:tcPr>
          <w:p w:rsidR="00290A66" w:rsidRPr="00563A36" w:rsidRDefault="004D2021" w:rsidP="00D06F12">
            <w:pPr>
              <w:autoSpaceDE/>
              <w:autoSpaceDN/>
              <w:adjustRightInd/>
              <w:jc w:val="both"/>
              <w:rPr>
                <w:color w:val="000000"/>
                <w:sz w:val="20"/>
                <w:szCs w:val="20"/>
              </w:rPr>
            </w:pPr>
            <w:r>
              <w:rPr>
                <w:color w:val="000000"/>
                <w:sz w:val="20"/>
                <w:szCs w:val="20"/>
              </w:rPr>
              <w:t>п</w:t>
            </w:r>
            <w:r w:rsidR="00290A66" w:rsidRPr="00563A36">
              <w:rPr>
                <w:color w:val="000000"/>
                <w:sz w:val="20"/>
                <w:szCs w:val="20"/>
              </w:rPr>
              <w:t>ервичный онкологический кабинет</w:t>
            </w:r>
          </w:p>
        </w:tc>
      </w:tr>
      <w:tr w:rsidR="00290A66" w:rsidRPr="00563A36" w:rsidTr="000B1BA9">
        <w:trPr>
          <w:trHeight w:val="20"/>
        </w:trPr>
        <w:tc>
          <w:tcPr>
            <w:tcW w:w="846" w:type="dxa"/>
          </w:tcPr>
          <w:p w:rsidR="00290A66" w:rsidRPr="00563A36" w:rsidRDefault="00290A66" w:rsidP="00894D08">
            <w:pPr>
              <w:jc w:val="center"/>
              <w:rPr>
                <w:color w:val="000000"/>
                <w:sz w:val="20"/>
                <w:szCs w:val="20"/>
              </w:rPr>
            </w:pPr>
            <w:r w:rsidRPr="00563A36">
              <w:rPr>
                <w:color w:val="000000"/>
                <w:sz w:val="20"/>
                <w:szCs w:val="20"/>
              </w:rPr>
              <w:t>3</w:t>
            </w:r>
            <w:r w:rsidR="00D06F12">
              <w:rPr>
                <w:color w:val="000000"/>
                <w:sz w:val="20"/>
                <w:szCs w:val="20"/>
              </w:rPr>
              <w:t>.</w:t>
            </w:r>
          </w:p>
        </w:tc>
        <w:tc>
          <w:tcPr>
            <w:tcW w:w="4819" w:type="dxa"/>
            <w:vAlign w:val="center"/>
          </w:tcPr>
          <w:p w:rsidR="00290A66" w:rsidRPr="00563A36" w:rsidRDefault="00290A66" w:rsidP="00D06F12">
            <w:pPr>
              <w:jc w:val="both"/>
              <w:rPr>
                <w:color w:val="000000"/>
                <w:sz w:val="20"/>
                <w:szCs w:val="20"/>
              </w:rPr>
            </w:pPr>
            <w:r w:rsidRPr="00563A36">
              <w:rPr>
                <w:color w:val="000000"/>
                <w:sz w:val="20"/>
                <w:szCs w:val="20"/>
              </w:rPr>
              <w:t xml:space="preserve">ГАУЗ </w:t>
            </w:r>
            <w:r w:rsidR="002F7358">
              <w:rPr>
                <w:color w:val="000000"/>
                <w:sz w:val="20"/>
                <w:szCs w:val="20"/>
              </w:rPr>
              <w:t>«</w:t>
            </w:r>
            <w:r w:rsidRPr="00563A36">
              <w:rPr>
                <w:color w:val="000000"/>
                <w:sz w:val="20"/>
                <w:szCs w:val="20"/>
              </w:rPr>
              <w:t>Аксубаевская ЦРБ</w:t>
            </w:r>
            <w:r w:rsidR="002F7358">
              <w:rPr>
                <w:color w:val="000000"/>
                <w:sz w:val="20"/>
                <w:szCs w:val="20"/>
              </w:rPr>
              <w:t>»</w:t>
            </w:r>
          </w:p>
        </w:tc>
        <w:tc>
          <w:tcPr>
            <w:tcW w:w="3544" w:type="dxa"/>
          </w:tcPr>
          <w:p w:rsidR="00290A66" w:rsidRPr="00563A36" w:rsidRDefault="00290A66" w:rsidP="00894D08">
            <w:pPr>
              <w:pStyle w:val="af9"/>
              <w:ind w:left="0"/>
              <w:contextualSpacing w:val="0"/>
              <w:jc w:val="center"/>
              <w:rPr>
                <w:sz w:val="20"/>
                <w:szCs w:val="20"/>
                <w:lang w:val="ru-RU"/>
              </w:rPr>
            </w:pPr>
            <w:r w:rsidRPr="00563A36">
              <w:rPr>
                <w:sz w:val="20"/>
                <w:szCs w:val="20"/>
              </w:rPr>
              <w:t>поликлиника</w:t>
            </w:r>
          </w:p>
        </w:tc>
        <w:tc>
          <w:tcPr>
            <w:tcW w:w="4921" w:type="dxa"/>
            <w:tcBorders>
              <w:top w:val="single" w:sz="4" w:space="0" w:color="auto"/>
              <w:left w:val="single" w:sz="4" w:space="0" w:color="auto"/>
              <w:bottom w:val="single" w:sz="4" w:space="0" w:color="auto"/>
              <w:right w:val="single" w:sz="4" w:space="0" w:color="auto"/>
            </w:tcBorders>
            <w:shd w:val="clear" w:color="000000" w:fill="FFFFFF"/>
          </w:tcPr>
          <w:p w:rsidR="00290A66" w:rsidRPr="00563A36" w:rsidRDefault="004D2021" w:rsidP="00D06F12">
            <w:pPr>
              <w:autoSpaceDE/>
              <w:autoSpaceDN/>
              <w:adjustRightInd/>
              <w:jc w:val="both"/>
              <w:rPr>
                <w:color w:val="000000"/>
                <w:sz w:val="20"/>
                <w:szCs w:val="20"/>
              </w:rPr>
            </w:pPr>
            <w:r>
              <w:rPr>
                <w:color w:val="000000"/>
                <w:sz w:val="20"/>
                <w:szCs w:val="20"/>
              </w:rPr>
              <w:t>п</w:t>
            </w:r>
            <w:r w:rsidR="00290A66" w:rsidRPr="00563A36">
              <w:rPr>
                <w:color w:val="000000"/>
                <w:sz w:val="20"/>
                <w:szCs w:val="20"/>
              </w:rPr>
              <w:t>ервичный онкологический кабинет</w:t>
            </w:r>
          </w:p>
        </w:tc>
      </w:tr>
      <w:tr w:rsidR="00290A66" w:rsidRPr="00563A36" w:rsidTr="000B1BA9">
        <w:trPr>
          <w:trHeight w:val="20"/>
        </w:trPr>
        <w:tc>
          <w:tcPr>
            <w:tcW w:w="846" w:type="dxa"/>
          </w:tcPr>
          <w:p w:rsidR="00290A66" w:rsidRPr="00563A36" w:rsidRDefault="00290A66" w:rsidP="00894D08">
            <w:pPr>
              <w:jc w:val="center"/>
              <w:rPr>
                <w:color w:val="000000"/>
                <w:sz w:val="20"/>
                <w:szCs w:val="20"/>
              </w:rPr>
            </w:pPr>
            <w:r w:rsidRPr="00563A36">
              <w:rPr>
                <w:color w:val="000000"/>
                <w:sz w:val="20"/>
                <w:szCs w:val="20"/>
              </w:rPr>
              <w:t>4</w:t>
            </w:r>
            <w:r w:rsidR="00D06F12">
              <w:rPr>
                <w:color w:val="000000"/>
                <w:sz w:val="20"/>
                <w:szCs w:val="20"/>
              </w:rPr>
              <w:t>.</w:t>
            </w:r>
          </w:p>
        </w:tc>
        <w:tc>
          <w:tcPr>
            <w:tcW w:w="4819" w:type="dxa"/>
            <w:vAlign w:val="center"/>
          </w:tcPr>
          <w:p w:rsidR="00290A66" w:rsidRPr="00563A36" w:rsidRDefault="00290A66" w:rsidP="00D06F12">
            <w:pPr>
              <w:jc w:val="both"/>
              <w:rPr>
                <w:color w:val="000000"/>
                <w:sz w:val="20"/>
                <w:szCs w:val="20"/>
              </w:rPr>
            </w:pPr>
            <w:r w:rsidRPr="00563A36">
              <w:rPr>
                <w:color w:val="000000"/>
                <w:sz w:val="20"/>
                <w:szCs w:val="20"/>
              </w:rPr>
              <w:t xml:space="preserve">ГАУЗ </w:t>
            </w:r>
            <w:r w:rsidR="002F7358">
              <w:rPr>
                <w:color w:val="000000"/>
                <w:sz w:val="20"/>
                <w:szCs w:val="20"/>
              </w:rPr>
              <w:t>«</w:t>
            </w:r>
            <w:r w:rsidRPr="00563A36">
              <w:rPr>
                <w:color w:val="000000"/>
                <w:sz w:val="20"/>
                <w:szCs w:val="20"/>
              </w:rPr>
              <w:t>Актанышская ЦРБ</w:t>
            </w:r>
            <w:r w:rsidR="002F7358">
              <w:rPr>
                <w:color w:val="000000"/>
                <w:sz w:val="20"/>
                <w:szCs w:val="20"/>
              </w:rPr>
              <w:t>»</w:t>
            </w:r>
          </w:p>
        </w:tc>
        <w:tc>
          <w:tcPr>
            <w:tcW w:w="3544" w:type="dxa"/>
          </w:tcPr>
          <w:p w:rsidR="00290A66" w:rsidRPr="00563A36" w:rsidRDefault="00290A66" w:rsidP="00894D08">
            <w:pPr>
              <w:pStyle w:val="af9"/>
              <w:ind w:left="0"/>
              <w:contextualSpacing w:val="0"/>
              <w:jc w:val="center"/>
              <w:rPr>
                <w:sz w:val="20"/>
                <w:szCs w:val="20"/>
                <w:lang w:val="ru-RU"/>
              </w:rPr>
            </w:pPr>
            <w:r w:rsidRPr="00563A36">
              <w:rPr>
                <w:sz w:val="20"/>
                <w:szCs w:val="20"/>
              </w:rPr>
              <w:t>поликлиника</w:t>
            </w:r>
          </w:p>
        </w:tc>
        <w:tc>
          <w:tcPr>
            <w:tcW w:w="4921" w:type="dxa"/>
            <w:tcBorders>
              <w:top w:val="single" w:sz="4" w:space="0" w:color="auto"/>
              <w:left w:val="single" w:sz="4" w:space="0" w:color="auto"/>
              <w:bottom w:val="single" w:sz="4" w:space="0" w:color="auto"/>
              <w:right w:val="single" w:sz="4" w:space="0" w:color="auto"/>
            </w:tcBorders>
            <w:shd w:val="clear" w:color="000000" w:fill="FFFFFF"/>
          </w:tcPr>
          <w:p w:rsidR="00290A66" w:rsidRPr="00563A36" w:rsidRDefault="004D2021" w:rsidP="00D06F12">
            <w:pPr>
              <w:autoSpaceDE/>
              <w:autoSpaceDN/>
              <w:adjustRightInd/>
              <w:jc w:val="both"/>
              <w:rPr>
                <w:color w:val="000000"/>
                <w:sz w:val="20"/>
                <w:szCs w:val="20"/>
              </w:rPr>
            </w:pPr>
            <w:r>
              <w:rPr>
                <w:color w:val="000000"/>
                <w:sz w:val="20"/>
                <w:szCs w:val="20"/>
              </w:rPr>
              <w:t>п</w:t>
            </w:r>
            <w:r w:rsidR="00290A66" w:rsidRPr="00563A36">
              <w:rPr>
                <w:color w:val="000000"/>
                <w:sz w:val="20"/>
                <w:szCs w:val="20"/>
              </w:rPr>
              <w:t>ервичный онкологический кабинет</w:t>
            </w:r>
          </w:p>
        </w:tc>
      </w:tr>
      <w:tr w:rsidR="00290A66" w:rsidRPr="00563A36" w:rsidTr="000B1BA9">
        <w:trPr>
          <w:trHeight w:val="20"/>
        </w:trPr>
        <w:tc>
          <w:tcPr>
            <w:tcW w:w="846" w:type="dxa"/>
          </w:tcPr>
          <w:p w:rsidR="00290A66" w:rsidRPr="00563A36" w:rsidRDefault="00290A66" w:rsidP="00894D08">
            <w:pPr>
              <w:jc w:val="center"/>
              <w:rPr>
                <w:color w:val="000000"/>
                <w:sz w:val="20"/>
                <w:szCs w:val="20"/>
              </w:rPr>
            </w:pPr>
            <w:r w:rsidRPr="00563A36">
              <w:rPr>
                <w:color w:val="000000"/>
                <w:sz w:val="20"/>
                <w:szCs w:val="20"/>
              </w:rPr>
              <w:t>5</w:t>
            </w:r>
            <w:r w:rsidR="00D06F12">
              <w:rPr>
                <w:color w:val="000000"/>
                <w:sz w:val="20"/>
                <w:szCs w:val="20"/>
              </w:rPr>
              <w:t>.</w:t>
            </w:r>
          </w:p>
        </w:tc>
        <w:tc>
          <w:tcPr>
            <w:tcW w:w="4819" w:type="dxa"/>
            <w:vAlign w:val="center"/>
          </w:tcPr>
          <w:p w:rsidR="00290A66" w:rsidRPr="00563A36" w:rsidRDefault="00290A66" w:rsidP="00D06F12">
            <w:pPr>
              <w:jc w:val="both"/>
              <w:rPr>
                <w:color w:val="000000"/>
                <w:sz w:val="20"/>
                <w:szCs w:val="20"/>
              </w:rPr>
            </w:pPr>
            <w:r w:rsidRPr="00563A36">
              <w:rPr>
                <w:color w:val="000000"/>
                <w:sz w:val="20"/>
                <w:szCs w:val="20"/>
              </w:rPr>
              <w:t xml:space="preserve">ГАУЗ </w:t>
            </w:r>
            <w:r w:rsidR="002F7358">
              <w:rPr>
                <w:color w:val="000000"/>
                <w:sz w:val="20"/>
                <w:szCs w:val="20"/>
              </w:rPr>
              <w:t>«</w:t>
            </w:r>
            <w:r w:rsidRPr="00563A36">
              <w:rPr>
                <w:color w:val="000000"/>
                <w:sz w:val="20"/>
                <w:szCs w:val="20"/>
              </w:rPr>
              <w:t>Алексеевская ЦРБ</w:t>
            </w:r>
            <w:r w:rsidR="002F7358">
              <w:rPr>
                <w:color w:val="000000"/>
                <w:sz w:val="20"/>
                <w:szCs w:val="20"/>
              </w:rPr>
              <w:t>»</w:t>
            </w:r>
          </w:p>
        </w:tc>
        <w:tc>
          <w:tcPr>
            <w:tcW w:w="3544" w:type="dxa"/>
          </w:tcPr>
          <w:p w:rsidR="00290A66" w:rsidRPr="00563A36" w:rsidRDefault="00290A66" w:rsidP="00894D08">
            <w:pPr>
              <w:pStyle w:val="af9"/>
              <w:ind w:left="0"/>
              <w:contextualSpacing w:val="0"/>
              <w:jc w:val="center"/>
              <w:rPr>
                <w:sz w:val="20"/>
                <w:szCs w:val="20"/>
                <w:lang w:val="ru-RU"/>
              </w:rPr>
            </w:pPr>
            <w:r w:rsidRPr="00563A36">
              <w:rPr>
                <w:sz w:val="20"/>
                <w:szCs w:val="20"/>
              </w:rPr>
              <w:t>поликлиника</w:t>
            </w:r>
          </w:p>
        </w:tc>
        <w:tc>
          <w:tcPr>
            <w:tcW w:w="4921" w:type="dxa"/>
            <w:tcBorders>
              <w:top w:val="single" w:sz="4" w:space="0" w:color="auto"/>
              <w:left w:val="single" w:sz="4" w:space="0" w:color="auto"/>
              <w:bottom w:val="single" w:sz="4" w:space="0" w:color="auto"/>
              <w:right w:val="single" w:sz="4" w:space="0" w:color="auto"/>
            </w:tcBorders>
            <w:shd w:val="clear" w:color="000000" w:fill="FFFFFF"/>
          </w:tcPr>
          <w:p w:rsidR="00290A66" w:rsidRPr="00563A36" w:rsidRDefault="004D2021" w:rsidP="00D06F12">
            <w:pPr>
              <w:autoSpaceDE/>
              <w:autoSpaceDN/>
              <w:adjustRightInd/>
              <w:jc w:val="both"/>
              <w:rPr>
                <w:color w:val="000000"/>
                <w:sz w:val="20"/>
                <w:szCs w:val="20"/>
              </w:rPr>
            </w:pPr>
            <w:r>
              <w:rPr>
                <w:color w:val="000000"/>
                <w:sz w:val="20"/>
                <w:szCs w:val="20"/>
              </w:rPr>
              <w:t>п</w:t>
            </w:r>
            <w:r w:rsidR="00290A66" w:rsidRPr="00563A36">
              <w:rPr>
                <w:color w:val="000000"/>
                <w:sz w:val="20"/>
                <w:szCs w:val="20"/>
              </w:rPr>
              <w:t>ервичный онкологический кабинет</w:t>
            </w:r>
          </w:p>
        </w:tc>
      </w:tr>
      <w:tr w:rsidR="00290A66" w:rsidRPr="00563A36" w:rsidTr="000B1BA9">
        <w:trPr>
          <w:trHeight w:val="20"/>
        </w:trPr>
        <w:tc>
          <w:tcPr>
            <w:tcW w:w="846" w:type="dxa"/>
          </w:tcPr>
          <w:p w:rsidR="00290A66" w:rsidRPr="00563A36" w:rsidRDefault="00290A66" w:rsidP="00894D08">
            <w:pPr>
              <w:jc w:val="center"/>
              <w:rPr>
                <w:color w:val="000000"/>
                <w:sz w:val="20"/>
                <w:szCs w:val="20"/>
              </w:rPr>
            </w:pPr>
            <w:r w:rsidRPr="00563A36">
              <w:rPr>
                <w:color w:val="000000"/>
                <w:sz w:val="20"/>
                <w:szCs w:val="20"/>
              </w:rPr>
              <w:t>6</w:t>
            </w:r>
            <w:r w:rsidR="00D06F12">
              <w:rPr>
                <w:color w:val="000000"/>
                <w:sz w:val="20"/>
                <w:szCs w:val="20"/>
              </w:rPr>
              <w:t>.</w:t>
            </w:r>
          </w:p>
        </w:tc>
        <w:tc>
          <w:tcPr>
            <w:tcW w:w="4819" w:type="dxa"/>
            <w:vAlign w:val="center"/>
          </w:tcPr>
          <w:p w:rsidR="00290A66" w:rsidRPr="00563A36" w:rsidRDefault="00290A66" w:rsidP="00D06F12">
            <w:pPr>
              <w:jc w:val="both"/>
              <w:rPr>
                <w:color w:val="000000"/>
                <w:sz w:val="20"/>
                <w:szCs w:val="20"/>
              </w:rPr>
            </w:pPr>
            <w:r w:rsidRPr="00563A36">
              <w:rPr>
                <w:color w:val="000000"/>
                <w:sz w:val="20"/>
                <w:szCs w:val="20"/>
              </w:rPr>
              <w:t xml:space="preserve">ГАУЗ </w:t>
            </w:r>
            <w:r w:rsidR="002F7358">
              <w:rPr>
                <w:color w:val="000000"/>
                <w:sz w:val="20"/>
                <w:szCs w:val="20"/>
              </w:rPr>
              <w:t>«</w:t>
            </w:r>
            <w:r w:rsidRPr="00563A36">
              <w:rPr>
                <w:color w:val="000000"/>
                <w:sz w:val="20"/>
                <w:szCs w:val="20"/>
              </w:rPr>
              <w:t>Базарно-Матакская ЦРБ</w:t>
            </w:r>
            <w:r w:rsidR="002F7358">
              <w:rPr>
                <w:color w:val="000000"/>
                <w:sz w:val="20"/>
                <w:szCs w:val="20"/>
              </w:rPr>
              <w:t>»</w:t>
            </w:r>
          </w:p>
        </w:tc>
        <w:tc>
          <w:tcPr>
            <w:tcW w:w="3544" w:type="dxa"/>
          </w:tcPr>
          <w:p w:rsidR="00290A66" w:rsidRPr="00563A36" w:rsidRDefault="00290A66" w:rsidP="00894D08">
            <w:pPr>
              <w:pStyle w:val="af9"/>
              <w:ind w:left="0"/>
              <w:contextualSpacing w:val="0"/>
              <w:jc w:val="center"/>
              <w:rPr>
                <w:sz w:val="20"/>
                <w:szCs w:val="20"/>
                <w:lang w:val="ru-RU"/>
              </w:rPr>
            </w:pPr>
            <w:r w:rsidRPr="00563A36">
              <w:rPr>
                <w:sz w:val="20"/>
                <w:szCs w:val="20"/>
              </w:rPr>
              <w:t>поликлиника</w:t>
            </w:r>
          </w:p>
        </w:tc>
        <w:tc>
          <w:tcPr>
            <w:tcW w:w="4921" w:type="dxa"/>
            <w:tcBorders>
              <w:top w:val="single" w:sz="4" w:space="0" w:color="auto"/>
              <w:left w:val="single" w:sz="4" w:space="0" w:color="auto"/>
              <w:bottom w:val="single" w:sz="4" w:space="0" w:color="auto"/>
              <w:right w:val="single" w:sz="4" w:space="0" w:color="auto"/>
            </w:tcBorders>
            <w:shd w:val="clear" w:color="000000" w:fill="FFFFFF"/>
          </w:tcPr>
          <w:p w:rsidR="00290A66" w:rsidRPr="00563A36" w:rsidRDefault="004D2021" w:rsidP="00D06F12">
            <w:pPr>
              <w:autoSpaceDE/>
              <w:autoSpaceDN/>
              <w:adjustRightInd/>
              <w:jc w:val="both"/>
              <w:rPr>
                <w:color w:val="000000"/>
                <w:sz w:val="20"/>
                <w:szCs w:val="20"/>
              </w:rPr>
            </w:pPr>
            <w:r>
              <w:rPr>
                <w:color w:val="000000"/>
                <w:sz w:val="20"/>
                <w:szCs w:val="20"/>
              </w:rPr>
              <w:t>п</w:t>
            </w:r>
            <w:r w:rsidR="00290A66" w:rsidRPr="00563A36">
              <w:rPr>
                <w:color w:val="000000"/>
                <w:sz w:val="20"/>
                <w:szCs w:val="20"/>
              </w:rPr>
              <w:t>ервичный онкологический кабинет</w:t>
            </w:r>
          </w:p>
        </w:tc>
      </w:tr>
      <w:tr w:rsidR="00290A66" w:rsidRPr="00563A36" w:rsidTr="000B1BA9">
        <w:trPr>
          <w:trHeight w:val="20"/>
        </w:trPr>
        <w:tc>
          <w:tcPr>
            <w:tcW w:w="846" w:type="dxa"/>
          </w:tcPr>
          <w:p w:rsidR="00290A66" w:rsidRPr="00563A36" w:rsidRDefault="00290A66" w:rsidP="00894D08">
            <w:pPr>
              <w:jc w:val="center"/>
              <w:rPr>
                <w:color w:val="000000"/>
                <w:sz w:val="20"/>
                <w:szCs w:val="20"/>
              </w:rPr>
            </w:pPr>
            <w:r w:rsidRPr="00563A36">
              <w:rPr>
                <w:color w:val="000000"/>
                <w:sz w:val="20"/>
                <w:szCs w:val="20"/>
              </w:rPr>
              <w:t>7</w:t>
            </w:r>
            <w:r w:rsidR="00D06F12">
              <w:rPr>
                <w:color w:val="000000"/>
                <w:sz w:val="20"/>
                <w:szCs w:val="20"/>
              </w:rPr>
              <w:t>.</w:t>
            </w:r>
          </w:p>
        </w:tc>
        <w:tc>
          <w:tcPr>
            <w:tcW w:w="4819" w:type="dxa"/>
            <w:vAlign w:val="center"/>
          </w:tcPr>
          <w:p w:rsidR="00290A66" w:rsidRPr="00563A36" w:rsidRDefault="00290A66" w:rsidP="00D06F12">
            <w:pPr>
              <w:jc w:val="both"/>
              <w:rPr>
                <w:color w:val="000000"/>
                <w:sz w:val="20"/>
                <w:szCs w:val="20"/>
              </w:rPr>
            </w:pPr>
            <w:r w:rsidRPr="00563A36">
              <w:rPr>
                <w:color w:val="000000"/>
                <w:sz w:val="20"/>
                <w:szCs w:val="20"/>
              </w:rPr>
              <w:t xml:space="preserve">ГАУЗ </w:t>
            </w:r>
            <w:r w:rsidR="002F7358">
              <w:rPr>
                <w:color w:val="000000"/>
                <w:sz w:val="20"/>
                <w:szCs w:val="20"/>
              </w:rPr>
              <w:t>«</w:t>
            </w:r>
            <w:r w:rsidRPr="00563A36">
              <w:rPr>
                <w:color w:val="000000"/>
                <w:sz w:val="20"/>
                <w:szCs w:val="20"/>
              </w:rPr>
              <w:t>Альметьевская поликлиника № 3</w:t>
            </w:r>
            <w:r w:rsidR="002F7358">
              <w:rPr>
                <w:color w:val="000000"/>
                <w:sz w:val="20"/>
                <w:szCs w:val="20"/>
              </w:rPr>
              <w:t>»</w:t>
            </w:r>
          </w:p>
        </w:tc>
        <w:tc>
          <w:tcPr>
            <w:tcW w:w="3544" w:type="dxa"/>
          </w:tcPr>
          <w:p w:rsidR="00290A66" w:rsidRPr="00563A36" w:rsidRDefault="00290A66" w:rsidP="00894D08">
            <w:pPr>
              <w:pStyle w:val="af9"/>
              <w:ind w:left="0"/>
              <w:contextualSpacing w:val="0"/>
              <w:jc w:val="center"/>
              <w:rPr>
                <w:sz w:val="20"/>
                <w:szCs w:val="20"/>
                <w:lang w:val="ru-RU"/>
              </w:rPr>
            </w:pPr>
            <w:r w:rsidRPr="00563A36">
              <w:rPr>
                <w:sz w:val="20"/>
                <w:szCs w:val="20"/>
              </w:rPr>
              <w:t>поликлиника</w:t>
            </w:r>
          </w:p>
        </w:tc>
        <w:tc>
          <w:tcPr>
            <w:tcW w:w="4921" w:type="dxa"/>
            <w:tcBorders>
              <w:top w:val="single" w:sz="4" w:space="0" w:color="auto"/>
              <w:left w:val="single" w:sz="4" w:space="0" w:color="auto"/>
              <w:bottom w:val="single" w:sz="4" w:space="0" w:color="auto"/>
              <w:right w:val="single" w:sz="4" w:space="0" w:color="auto"/>
            </w:tcBorders>
            <w:shd w:val="clear" w:color="000000" w:fill="FFFFFF"/>
          </w:tcPr>
          <w:p w:rsidR="00290A66" w:rsidRPr="00563A36" w:rsidRDefault="004D2021" w:rsidP="00D06F12">
            <w:pPr>
              <w:autoSpaceDE/>
              <w:autoSpaceDN/>
              <w:adjustRightInd/>
              <w:jc w:val="both"/>
              <w:rPr>
                <w:color w:val="000000"/>
                <w:sz w:val="20"/>
                <w:szCs w:val="20"/>
              </w:rPr>
            </w:pPr>
            <w:r>
              <w:rPr>
                <w:color w:val="000000"/>
                <w:sz w:val="20"/>
                <w:szCs w:val="20"/>
              </w:rPr>
              <w:t>п</w:t>
            </w:r>
            <w:r w:rsidR="00290A66" w:rsidRPr="00563A36">
              <w:rPr>
                <w:color w:val="000000"/>
                <w:sz w:val="20"/>
                <w:szCs w:val="20"/>
              </w:rPr>
              <w:t>ервичный онкологический кабинет</w:t>
            </w:r>
          </w:p>
        </w:tc>
      </w:tr>
      <w:tr w:rsidR="00290A66" w:rsidRPr="00563A36" w:rsidTr="000B1BA9">
        <w:trPr>
          <w:trHeight w:val="20"/>
        </w:trPr>
        <w:tc>
          <w:tcPr>
            <w:tcW w:w="846" w:type="dxa"/>
          </w:tcPr>
          <w:p w:rsidR="00290A66" w:rsidRPr="00563A36" w:rsidRDefault="00290A66" w:rsidP="00894D08">
            <w:pPr>
              <w:jc w:val="center"/>
              <w:rPr>
                <w:color w:val="000000"/>
                <w:sz w:val="20"/>
                <w:szCs w:val="20"/>
              </w:rPr>
            </w:pPr>
            <w:r w:rsidRPr="00563A36">
              <w:rPr>
                <w:color w:val="000000"/>
                <w:sz w:val="20"/>
                <w:szCs w:val="20"/>
              </w:rPr>
              <w:t>8</w:t>
            </w:r>
            <w:r w:rsidR="00D06F12">
              <w:rPr>
                <w:color w:val="000000"/>
                <w:sz w:val="20"/>
                <w:szCs w:val="20"/>
              </w:rPr>
              <w:t>.</w:t>
            </w:r>
          </w:p>
        </w:tc>
        <w:tc>
          <w:tcPr>
            <w:tcW w:w="4819" w:type="dxa"/>
            <w:vAlign w:val="center"/>
          </w:tcPr>
          <w:p w:rsidR="00290A66" w:rsidRPr="00563A36" w:rsidRDefault="00290A66" w:rsidP="00D06F12">
            <w:pPr>
              <w:jc w:val="both"/>
              <w:rPr>
                <w:color w:val="000000"/>
                <w:sz w:val="20"/>
                <w:szCs w:val="20"/>
              </w:rPr>
            </w:pPr>
            <w:r w:rsidRPr="00563A36">
              <w:rPr>
                <w:color w:val="000000"/>
                <w:sz w:val="20"/>
                <w:szCs w:val="20"/>
              </w:rPr>
              <w:t xml:space="preserve">ГАУЗ </w:t>
            </w:r>
            <w:r w:rsidR="002F7358">
              <w:rPr>
                <w:color w:val="000000"/>
                <w:sz w:val="20"/>
                <w:szCs w:val="20"/>
              </w:rPr>
              <w:t>«</w:t>
            </w:r>
            <w:r w:rsidRPr="00563A36">
              <w:rPr>
                <w:color w:val="000000"/>
                <w:sz w:val="20"/>
                <w:szCs w:val="20"/>
              </w:rPr>
              <w:t>Альметьевская ЦРБ</w:t>
            </w:r>
            <w:r w:rsidR="002F7358">
              <w:rPr>
                <w:color w:val="000000"/>
                <w:sz w:val="20"/>
                <w:szCs w:val="20"/>
              </w:rPr>
              <w:t>»</w:t>
            </w:r>
          </w:p>
        </w:tc>
        <w:tc>
          <w:tcPr>
            <w:tcW w:w="3544" w:type="dxa"/>
          </w:tcPr>
          <w:p w:rsidR="00290A66" w:rsidRPr="00563A36" w:rsidRDefault="00290A66" w:rsidP="00894D08">
            <w:pPr>
              <w:pStyle w:val="af9"/>
              <w:ind w:left="0"/>
              <w:contextualSpacing w:val="0"/>
              <w:jc w:val="center"/>
              <w:rPr>
                <w:sz w:val="20"/>
                <w:szCs w:val="20"/>
                <w:lang w:val="ru-RU"/>
              </w:rPr>
            </w:pPr>
            <w:r w:rsidRPr="00563A36">
              <w:rPr>
                <w:sz w:val="20"/>
                <w:szCs w:val="20"/>
              </w:rPr>
              <w:t>поликлиника</w:t>
            </w:r>
          </w:p>
        </w:tc>
        <w:tc>
          <w:tcPr>
            <w:tcW w:w="4921" w:type="dxa"/>
            <w:tcBorders>
              <w:top w:val="single" w:sz="4" w:space="0" w:color="auto"/>
              <w:left w:val="single" w:sz="4" w:space="0" w:color="auto"/>
              <w:bottom w:val="single" w:sz="4" w:space="0" w:color="auto"/>
              <w:right w:val="single" w:sz="4" w:space="0" w:color="auto"/>
            </w:tcBorders>
            <w:shd w:val="clear" w:color="000000" w:fill="FFFFFF"/>
          </w:tcPr>
          <w:p w:rsidR="00290A66" w:rsidRPr="00563A36" w:rsidRDefault="004D2021" w:rsidP="00D06F12">
            <w:pPr>
              <w:autoSpaceDE/>
              <w:autoSpaceDN/>
              <w:adjustRightInd/>
              <w:jc w:val="both"/>
              <w:rPr>
                <w:color w:val="000000"/>
                <w:sz w:val="20"/>
                <w:szCs w:val="20"/>
              </w:rPr>
            </w:pPr>
            <w:r>
              <w:rPr>
                <w:color w:val="000000"/>
                <w:sz w:val="20"/>
                <w:szCs w:val="20"/>
              </w:rPr>
              <w:t>п</w:t>
            </w:r>
            <w:r w:rsidR="00290A66" w:rsidRPr="00563A36">
              <w:rPr>
                <w:color w:val="000000"/>
                <w:sz w:val="20"/>
                <w:szCs w:val="20"/>
              </w:rPr>
              <w:t>ервичный онкологический кабинет</w:t>
            </w:r>
          </w:p>
        </w:tc>
      </w:tr>
      <w:tr w:rsidR="00290A66" w:rsidRPr="00563A36" w:rsidTr="000B1BA9">
        <w:trPr>
          <w:trHeight w:val="20"/>
        </w:trPr>
        <w:tc>
          <w:tcPr>
            <w:tcW w:w="846" w:type="dxa"/>
          </w:tcPr>
          <w:p w:rsidR="00290A66" w:rsidRPr="00563A36" w:rsidRDefault="00290A66" w:rsidP="00894D08">
            <w:pPr>
              <w:jc w:val="center"/>
              <w:rPr>
                <w:color w:val="000000"/>
                <w:sz w:val="20"/>
                <w:szCs w:val="20"/>
              </w:rPr>
            </w:pPr>
            <w:r w:rsidRPr="00563A36">
              <w:rPr>
                <w:color w:val="000000"/>
                <w:sz w:val="20"/>
                <w:szCs w:val="20"/>
              </w:rPr>
              <w:t>9</w:t>
            </w:r>
            <w:r w:rsidR="00D06F12">
              <w:rPr>
                <w:color w:val="000000"/>
                <w:sz w:val="20"/>
                <w:szCs w:val="20"/>
              </w:rPr>
              <w:t>.</w:t>
            </w:r>
          </w:p>
        </w:tc>
        <w:tc>
          <w:tcPr>
            <w:tcW w:w="4819" w:type="dxa"/>
            <w:vAlign w:val="center"/>
          </w:tcPr>
          <w:p w:rsidR="00290A66" w:rsidRPr="00563A36" w:rsidRDefault="00290A66" w:rsidP="00D06F12">
            <w:pPr>
              <w:jc w:val="both"/>
              <w:rPr>
                <w:color w:val="000000"/>
                <w:sz w:val="20"/>
                <w:szCs w:val="20"/>
              </w:rPr>
            </w:pPr>
            <w:r w:rsidRPr="00563A36">
              <w:rPr>
                <w:color w:val="000000"/>
                <w:sz w:val="20"/>
                <w:szCs w:val="20"/>
              </w:rPr>
              <w:t xml:space="preserve">ГАУЗ </w:t>
            </w:r>
            <w:r w:rsidR="002F7358">
              <w:rPr>
                <w:color w:val="000000"/>
                <w:sz w:val="20"/>
                <w:szCs w:val="20"/>
              </w:rPr>
              <w:t>«</w:t>
            </w:r>
            <w:r w:rsidRPr="00563A36">
              <w:rPr>
                <w:color w:val="000000"/>
                <w:sz w:val="20"/>
                <w:szCs w:val="20"/>
              </w:rPr>
              <w:t xml:space="preserve">Альметьевская </w:t>
            </w:r>
            <w:r w:rsidR="00DF4963">
              <w:rPr>
                <w:color w:val="000000"/>
                <w:sz w:val="20"/>
                <w:szCs w:val="20"/>
              </w:rPr>
              <w:t>межрайонная многопрофильная больница</w:t>
            </w:r>
            <w:r w:rsidR="002F7358">
              <w:rPr>
                <w:color w:val="000000"/>
                <w:sz w:val="20"/>
                <w:szCs w:val="20"/>
              </w:rPr>
              <w:t>»</w:t>
            </w:r>
          </w:p>
        </w:tc>
        <w:tc>
          <w:tcPr>
            <w:tcW w:w="3544" w:type="dxa"/>
          </w:tcPr>
          <w:p w:rsidR="00290A66" w:rsidRPr="00563A36" w:rsidRDefault="00290A66" w:rsidP="00894D08">
            <w:pPr>
              <w:pStyle w:val="af9"/>
              <w:ind w:left="0"/>
              <w:contextualSpacing w:val="0"/>
              <w:jc w:val="center"/>
              <w:rPr>
                <w:sz w:val="20"/>
                <w:szCs w:val="20"/>
                <w:lang w:val="ru-RU"/>
              </w:rPr>
            </w:pPr>
            <w:r w:rsidRPr="00563A36">
              <w:rPr>
                <w:sz w:val="20"/>
                <w:szCs w:val="20"/>
              </w:rPr>
              <w:t>поликлиника</w:t>
            </w:r>
          </w:p>
        </w:tc>
        <w:tc>
          <w:tcPr>
            <w:tcW w:w="4921" w:type="dxa"/>
            <w:tcBorders>
              <w:top w:val="single" w:sz="4" w:space="0" w:color="auto"/>
              <w:left w:val="single" w:sz="4" w:space="0" w:color="auto"/>
              <w:bottom w:val="single" w:sz="4" w:space="0" w:color="auto"/>
              <w:right w:val="single" w:sz="4" w:space="0" w:color="auto"/>
            </w:tcBorders>
            <w:shd w:val="clear" w:color="000000" w:fill="FFFFFF"/>
          </w:tcPr>
          <w:p w:rsidR="00290A66" w:rsidRPr="00563A36" w:rsidRDefault="004D2021" w:rsidP="00D06F12">
            <w:pPr>
              <w:autoSpaceDE/>
              <w:autoSpaceDN/>
              <w:adjustRightInd/>
              <w:jc w:val="both"/>
              <w:rPr>
                <w:color w:val="000000"/>
                <w:sz w:val="20"/>
                <w:szCs w:val="20"/>
              </w:rPr>
            </w:pPr>
            <w:r>
              <w:rPr>
                <w:color w:val="000000"/>
                <w:sz w:val="20"/>
                <w:szCs w:val="20"/>
              </w:rPr>
              <w:t>п</w:t>
            </w:r>
            <w:r w:rsidR="00290A66" w:rsidRPr="00563A36">
              <w:rPr>
                <w:color w:val="000000"/>
                <w:sz w:val="20"/>
                <w:szCs w:val="20"/>
              </w:rPr>
              <w:t>ервичный онкологический кабинет</w:t>
            </w:r>
          </w:p>
        </w:tc>
      </w:tr>
      <w:tr w:rsidR="00290A66" w:rsidRPr="00563A36" w:rsidTr="000B1BA9">
        <w:trPr>
          <w:trHeight w:val="20"/>
        </w:trPr>
        <w:tc>
          <w:tcPr>
            <w:tcW w:w="846" w:type="dxa"/>
          </w:tcPr>
          <w:p w:rsidR="00290A66" w:rsidRPr="00563A36" w:rsidRDefault="00290A66" w:rsidP="00894D08">
            <w:pPr>
              <w:jc w:val="center"/>
              <w:rPr>
                <w:color w:val="000000"/>
                <w:sz w:val="20"/>
                <w:szCs w:val="20"/>
              </w:rPr>
            </w:pPr>
            <w:r w:rsidRPr="00563A36">
              <w:rPr>
                <w:color w:val="000000"/>
                <w:sz w:val="20"/>
                <w:szCs w:val="20"/>
              </w:rPr>
              <w:t>10</w:t>
            </w:r>
            <w:r w:rsidR="00D06F12">
              <w:rPr>
                <w:color w:val="000000"/>
                <w:sz w:val="20"/>
                <w:szCs w:val="20"/>
              </w:rPr>
              <w:t>.</w:t>
            </w:r>
          </w:p>
        </w:tc>
        <w:tc>
          <w:tcPr>
            <w:tcW w:w="4819" w:type="dxa"/>
            <w:vAlign w:val="center"/>
          </w:tcPr>
          <w:p w:rsidR="00290A66" w:rsidRPr="00563A36" w:rsidRDefault="00290A66" w:rsidP="00D06F12">
            <w:pPr>
              <w:jc w:val="both"/>
              <w:rPr>
                <w:color w:val="000000"/>
                <w:sz w:val="20"/>
                <w:szCs w:val="20"/>
              </w:rPr>
            </w:pPr>
            <w:r w:rsidRPr="00563A36">
              <w:rPr>
                <w:color w:val="000000"/>
                <w:sz w:val="20"/>
                <w:szCs w:val="20"/>
              </w:rPr>
              <w:t xml:space="preserve">ГАУЗ </w:t>
            </w:r>
            <w:r w:rsidR="002F7358">
              <w:rPr>
                <w:color w:val="000000"/>
                <w:sz w:val="20"/>
                <w:szCs w:val="20"/>
              </w:rPr>
              <w:t>«</w:t>
            </w:r>
            <w:r w:rsidRPr="00563A36">
              <w:rPr>
                <w:color w:val="000000"/>
                <w:sz w:val="20"/>
                <w:szCs w:val="20"/>
              </w:rPr>
              <w:t>Апастовская ЦРБ</w:t>
            </w:r>
            <w:r w:rsidR="002F7358">
              <w:rPr>
                <w:color w:val="000000"/>
                <w:sz w:val="20"/>
                <w:szCs w:val="20"/>
              </w:rPr>
              <w:t>»</w:t>
            </w:r>
          </w:p>
        </w:tc>
        <w:tc>
          <w:tcPr>
            <w:tcW w:w="3544" w:type="dxa"/>
          </w:tcPr>
          <w:p w:rsidR="00290A66" w:rsidRPr="00563A36" w:rsidRDefault="00290A66" w:rsidP="00894D08">
            <w:pPr>
              <w:pStyle w:val="af9"/>
              <w:ind w:left="0"/>
              <w:contextualSpacing w:val="0"/>
              <w:jc w:val="center"/>
              <w:rPr>
                <w:sz w:val="20"/>
                <w:szCs w:val="20"/>
                <w:lang w:val="ru-RU"/>
              </w:rPr>
            </w:pPr>
            <w:r w:rsidRPr="00563A36">
              <w:rPr>
                <w:sz w:val="20"/>
                <w:szCs w:val="20"/>
              </w:rPr>
              <w:t>поликлиника</w:t>
            </w:r>
          </w:p>
        </w:tc>
        <w:tc>
          <w:tcPr>
            <w:tcW w:w="4921" w:type="dxa"/>
            <w:tcBorders>
              <w:top w:val="single" w:sz="4" w:space="0" w:color="auto"/>
              <w:left w:val="single" w:sz="4" w:space="0" w:color="auto"/>
              <w:bottom w:val="single" w:sz="4" w:space="0" w:color="auto"/>
              <w:right w:val="single" w:sz="4" w:space="0" w:color="auto"/>
            </w:tcBorders>
            <w:shd w:val="clear" w:color="000000" w:fill="FFFFFF"/>
          </w:tcPr>
          <w:p w:rsidR="00290A66" w:rsidRPr="00563A36" w:rsidRDefault="004D2021" w:rsidP="00D06F12">
            <w:pPr>
              <w:autoSpaceDE/>
              <w:autoSpaceDN/>
              <w:adjustRightInd/>
              <w:jc w:val="both"/>
              <w:rPr>
                <w:color w:val="000000"/>
                <w:sz w:val="20"/>
                <w:szCs w:val="20"/>
              </w:rPr>
            </w:pPr>
            <w:r>
              <w:rPr>
                <w:color w:val="000000"/>
                <w:sz w:val="20"/>
                <w:szCs w:val="20"/>
              </w:rPr>
              <w:t>п</w:t>
            </w:r>
            <w:r w:rsidR="00290A66" w:rsidRPr="00563A36">
              <w:rPr>
                <w:color w:val="000000"/>
                <w:sz w:val="20"/>
                <w:szCs w:val="20"/>
              </w:rPr>
              <w:t>ервичный онкологический кабинет</w:t>
            </w:r>
          </w:p>
        </w:tc>
      </w:tr>
      <w:tr w:rsidR="00290A66" w:rsidRPr="00563A36" w:rsidTr="000B1BA9">
        <w:trPr>
          <w:trHeight w:val="20"/>
        </w:trPr>
        <w:tc>
          <w:tcPr>
            <w:tcW w:w="846" w:type="dxa"/>
          </w:tcPr>
          <w:p w:rsidR="00290A66" w:rsidRPr="00563A36" w:rsidRDefault="00290A66" w:rsidP="00894D08">
            <w:pPr>
              <w:jc w:val="center"/>
              <w:rPr>
                <w:color w:val="000000"/>
                <w:sz w:val="20"/>
                <w:szCs w:val="20"/>
              </w:rPr>
            </w:pPr>
            <w:r w:rsidRPr="00563A36">
              <w:rPr>
                <w:color w:val="000000"/>
                <w:sz w:val="20"/>
                <w:szCs w:val="20"/>
              </w:rPr>
              <w:t>11</w:t>
            </w:r>
            <w:r w:rsidR="00D06F12">
              <w:rPr>
                <w:color w:val="000000"/>
                <w:sz w:val="20"/>
                <w:szCs w:val="20"/>
              </w:rPr>
              <w:t>.</w:t>
            </w:r>
          </w:p>
        </w:tc>
        <w:tc>
          <w:tcPr>
            <w:tcW w:w="4819" w:type="dxa"/>
            <w:vAlign w:val="center"/>
          </w:tcPr>
          <w:p w:rsidR="00290A66" w:rsidRPr="00563A36" w:rsidRDefault="00290A66" w:rsidP="00D06F12">
            <w:pPr>
              <w:jc w:val="both"/>
              <w:rPr>
                <w:color w:val="000000"/>
                <w:sz w:val="20"/>
                <w:szCs w:val="20"/>
              </w:rPr>
            </w:pPr>
            <w:r w:rsidRPr="00563A36">
              <w:rPr>
                <w:color w:val="000000"/>
                <w:sz w:val="20"/>
                <w:szCs w:val="20"/>
              </w:rPr>
              <w:t xml:space="preserve">ГАУЗ </w:t>
            </w:r>
            <w:r w:rsidR="002F7358">
              <w:rPr>
                <w:color w:val="000000"/>
                <w:sz w:val="20"/>
                <w:szCs w:val="20"/>
              </w:rPr>
              <w:t>«</w:t>
            </w:r>
            <w:r w:rsidRPr="00563A36">
              <w:rPr>
                <w:color w:val="000000"/>
                <w:sz w:val="20"/>
                <w:szCs w:val="20"/>
              </w:rPr>
              <w:t>Атнинская ЦРБ</w:t>
            </w:r>
            <w:r w:rsidR="002F7358">
              <w:rPr>
                <w:color w:val="000000"/>
                <w:sz w:val="20"/>
                <w:szCs w:val="20"/>
              </w:rPr>
              <w:t>»</w:t>
            </w:r>
          </w:p>
        </w:tc>
        <w:tc>
          <w:tcPr>
            <w:tcW w:w="3544" w:type="dxa"/>
          </w:tcPr>
          <w:p w:rsidR="00290A66" w:rsidRPr="00563A36" w:rsidRDefault="00290A66" w:rsidP="00894D08">
            <w:pPr>
              <w:pStyle w:val="af9"/>
              <w:ind w:left="0"/>
              <w:contextualSpacing w:val="0"/>
              <w:jc w:val="center"/>
              <w:rPr>
                <w:sz w:val="20"/>
                <w:szCs w:val="20"/>
                <w:lang w:val="ru-RU"/>
              </w:rPr>
            </w:pPr>
            <w:r w:rsidRPr="00563A36">
              <w:rPr>
                <w:sz w:val="20"/>
                <w:szCs w:val="20"/>
              </w:rPr>
              <w:t>поликлиника</w:t>
            </w:r>
          </w:p>
        </w:tc>
        <w:tc>
          <w:tcPr>
            <w:tcW w:w="4921" w:type="dxa"/>
            <w:tcBorders>
              <w:top w:val="single" w:sz="4" w:space="0" w:color="auto"/>
              <w:left w:val="single" w:sz="4" w:space="0" w:color="auto"/>
              <w:bottom w:val="single" w:sz="4" w:space="0" w:color="auto"/>
              <w:right w:val="single" w:sz="4" w:space="0" w:color="auto"/>
            </w:tcBorders>
            <w:shd w:val="clear" w:color="000000" w:fill="FFFFFF"/>
          </w:tcPr>
          <w:p w:rsidR="00290A66" w:rsidRPr="00563A36" w:rsidRDefault="004D2021" w:rsidP="00D06F12">
            <w:pPr>
              <w:autoSpaceDE/>
              <w:autoSpaceDN/>
              <w:adjustRightInd/>
              <w:jc w:val="both"/>
              <w:rPr>
                <w:color w:val="000000"/>
                <w:sz w:val="20"/>
                <w:szCs w:val="20"/>
              </w:rPr>
            </w:pPr>
            <w:r>
              <w:rPr>
                <w:color w:val="000000"/>
                <w:sz w:val="20"/>
                <w:szCs w:val="20"/>
              </w:rPr>
              <w:t>п</w:t>
            </w:r>
            <w:r w:rsidR="00290A66" w:rsidRPr="00563A36">
              <w:rPr>
                <w:color w:val="000000"/>
                <w:sz w:val="20"/>
                <w:szCs w:val="20"/>
              </w:rPr>
              <w:t>ервичный онкологический кабинет</w:t>
            </w:r>
          </w:p>
        </w:tc>
      </w:tr>
      <w:tr w:rsidR="00290A66" w:rsidRPr="00563A36" w:rsidTr="000B1BA9">
        <w:trPr>
          <w:trHeight w:val="20"/>
        </w:trPr>
        <w:tc>
          <w:tcPr>
            <w:tcW w:w="846" w:type="dxa"/>
          </w:tcPr>
          <w:p w:rsidR="00290A66" w:rsidRPr="00563A36" w:rsidRDefault="00290A66" w:rsidP="00894D08">
            <w:pPr>
              <w:jc w:val="center"/>
              <w:rPr>
                <w:color w:val="000000"/>
                <w:sz w:val="20"/>
                <w:szCs w:val="20"/>
              </w:rPr>
            </w:pPr>
            <w:r w:rsidRPr="00563A36">
              <w:rPr>
                <w:color w:val="000000"/>
                <w:sz w:val="20"/>
                <w:szCs w:val="20"/>
              </w:rPr>
              <w:t>12</w:t>
            </w:r>
            <w:r w:rsidR="00D06F12">
              <w:rPr>
                <w:color w:val="000000"/>
                <w:sz w:val="20"/>
                <w:szCs w:val="20"/>
              </w:rPr>
              <w:t>.</w:t>
            </w:r>
          </w:p>
        </w:tc>
        <w:tc>
          <w:tcPr>
            <w:tcW w:w="4819" w:type="dxa"/>
            <w:vAlign w:val="center"/>
          </w:tcPr>
          <w:p w:rsidR="00290A66" w:rsidRPr="00563A36" w:rsidRDefault="00290A66" w:rsidP="00D06F12">
            <w:pPr>
              <w:jc w:val="both"/>
              <w:rPr>
                <w:color w:val="000000"/>
                <w:sz w:val="20"/>
                <w:szCs w:val="20"/>
              </w:rPr>
            </w:pPr>
            <w:r w:rsidRPr="00563A36">
              <w:rPr>
                <w:color w:val="000000"/>
                <w:sz w:val="20"/>
                <w:szCs w:val="20"/>
              </w:rPr>
              <w:t xml:space="preserve">ГАУЗ </w:t>
            </w:r>
            <w:r w:rsidR="002F7358">
              <w:rPr>
                <w:color w:val="000000"/>
                <w:sz w:val="20"/>
                <w:szCs w:val="20"/>
              </w:rPr>
              <w:t>«</w:t>
            </w:r>
            <w:r w:rsidRPr="00563A36">
              <w:rPr>
                <w:color w:val="000000"/>
                <w:sz w:val="20"/>
                <w:szCs w:val="20"/>
              </w:rPr>
              <w:t>Бавлинская ЦРБ</w:t>
            </w:r>
            <w:r w:rsidR="002F7358">
              <w:rPr>
                <w:color w:val="000000"/>
                <w:sz w:val="20"/>
                <w:szCs w:val="20"/>
              </w:rPr>
              <w:t>»</w:t>
            </w:r>
          </w:p>
        </w:tc>
        <w:tc>
          <w:tcPr>
            <w:tcW w:w="3544" w:type="dxa"/>
          </w:tcPr>
          <w:p w:rsidR="00290A66" w:rsidRPr="00563A36" w:rsidRDefault="00290A66" w:rsidP="00894D08">
            <w:pPr>
              <w:pStyle w:val="af9"/>
              <w:ind w:left="0"/>
              <w:contextualSpacing w:val="0"/>
              <w:jc w:val="center"/>
              <w:rPr>
                <w:sz w:val="20"/>
                <w:szCs w:val="20"/>
                <w:lang w:val="ru-RU"/>
              </w:rPr>
            </w:pPr>
            <w:r w:rsidRPr="00563A36">
              <w:rPr>
                <w:sz w:val="20"/>
                <w:szCs w:val="20"/>
              </w:rPr>
              <w:t>поликлиника</w:t>
            </w:r>
          </w:p>
        </w:tc>
        <w:tc>
          <w:tcPr>
            <w:tcW w:w="4921" w:type="dxa"/>
            <w:tcBorders>
              <w:top w:val="single" w:sz="4" w:space="0" w:color="auto"/>
              <w:left w:val="single" w:sz="4" w:space="0" w:color="auto"/>
              <w:bottom w:val="single" w:sz="4" w:space="0" w:color="auto"/>
              <w:right w:val="single" w:sz="4" w:space="0" w:color="auto"/>
            </w:tcBorders>
            <w:shd w:val="clear" w:color="000000" w:fill="FFFFFF"/>
          </w:tcPr>
          <w:p w:rsidR="00290A66" w:rsidRPr="00563A36" w:rsidRDefault="004D2021" w:rsidP="00D06F12">
            <w:pPr>
              <w:autoSpaceDE/>
              <w:autoSpaceDN/>
              <w:adjustRightInd/>
              <w:jc w:val="both"/>
              <w:rPr>
                <w:color w:val="000000"/>
                <w:sz w:val="20"/>
                <w:szCs w:val="20"/>
              </w:rPr>
            </w:pPr>
            <w:r>
              <w:rPr>
                <w:color w:val="000000"/>
                <w:sz w:val="20"/>
                <w:szCs w:val="20"/>
              </w:rPr>
              <w:t>п</w:t>
            </w:r>
            <w:r w:rsidR="00290A66" w:rsidRPr="00563A36">
              <w:rPr>
                <w:color w:val="000000"/>
                <w:sz w:val="20"/>
                <w:szCs w:val="20"/>
              </w:rPr>
              <w:t>ервичный онкологический кабинет</w:t>
            </w:r>
          </w:p>
        </w:tc>
      </w:tr>
      <w:tr w:rsidR="00290A66" w:rsidRPr="00563A36" w:rsidTr="000B1BA9">
        <w:trPr>
          <w:trHeight w:val="20"/>
        </w:trPr>
        <w:tc>
          <w:tcPr>
            <w:tcW w:w="846" w:type="dxa"/>
          </w:tcPr>
          <w:p w:rsidR="00290A66" w:rsidRPr="00563A36" w:rsidRDefault="00290A66" w:rsidP="00894D08">
            <w:pPr>
              <w:jc w:val="center"/>
              <w:rPr>
                <w:color w:val="000000"/>
                <w:sz w:val="20"/>
                <w:szCs w:val="20"/>
              </w:rPr>
            </w:pPr>
            <w:r w:rsidRPr="00563A36">
              <w:rPr>
                <w:color w:val="000000"/>
                <w:sz w:val="20"/>
                <w:szCs w:val="20"/>
              </w:rPr>
              <w:t>13</w:t>
            </w:r>
            <w:r w:rsidR="00D06F12">
              <w:rPr>
                <w:color w:val="000000"/>
                <w:sz w:val="20"/>
                <w:szCs w:val="20"/>
              </w:rPr>
              <w:t>.</w:t>
            </w:r>
          </w:p>
        </w:tc>
        <w:tc>
          <w:tcPr>
            <w:tcW w:w="4819" w:type="dxa"/>
            <w:vAlign w:val="center"/>
          </w:tcPr>
          <w:p w:rsidR="00290A66" w:rsidRPr="00563A36" w:rsidRDefault="00290A66" w:rsidP="00D06F12">
            <w:pPr>
              <w:jc w:val="both"/>
              <w:rPr>
                <w:color w:val="000000"/>
                <w:sz w:val="20"/>
                <w:szCs w:val="20"/>
              </w:rPr>
            </w:pPr>
            <w:r w:rsidRPr="00563A36">
              <w:rPr>
                <w:color w:val="000000"/>
                <w:sz w:val="20"/>
                <w:szCs w:val="20"/>
              </w:rPr>
              <w:t xml:space="preserve">ГАУЗ </w:t>
            </w:r>
            <w:r w:rsidR="002F7358">
              <w:rPr>
                <w:color w:val="000000"/>
                <w:sz w:val="20"/>
                <w:szCs w:val="20"/>
              </w:rPr>
              <w:t>«</w:t>
            </w:r>
            <w:r w:rsidRPr="00563A36">
              <w:rPr>
                <w:color w:val="000000"/>
                <w:sz w:val="20"/>
                <w:szCs w:val="20"/>
              </w:rPr>
              <w:t>Балтасинская ЦРБ</w:t>
            </w:r>
            <w:r w:rsidR="002F7358">
              <w:rPr>
                <w:color w:val="000000"/>
                <w:sz w:val="20"/>
                <w:szCs w:val="20"/>
              </w:rPr>
              <w:t>»</w:t>
            </w:r>
          </w:p>
        </w:tc>
        <w:tc>
          <w:tcPr>
            <w:tcW w:w="3544" w:type="dxa"/>
          </w:tcPr>
          <w:p w:rsidR="00290A66" w:rsidRPr="00563A36" w:rsidRDefault="00290A66" w:rsidP="00894D08">
            <w:pPr>
              <w:pStyle w:val="af9"/>
              <w:ind w:left="0"/>
              <w:contextualSpacing w:val="0"/>
              <w:jc w:val="center"/>
              <w:rPr>
                <w:sz w:val="20"/>
                <w:szCs w:val="20"/>
                <w:lang w:val="ru-RU"/>
              </w:rPr>
            </w:pPr>
            <w:r w:rsidRPr="00563A36">
              <w:rPr>
                <w:sz w:val="20"/>
                <w:szCs w:val="20"/>
              </w:rPr>
              <w:t>поликлиника</w:t>
            </w:r>
          </w:p>
        </w:tc>
        <w:tc>
          <w:tcPr>
            <w:tcW w:w="4921" w:type="dxa"/>
            <w:tcBorders>
              <w:top w:val="single" w:sz="4" w:space="0" w:color="auto"/>
              <w:left w:val="single" w:sz="4" w:space="0" w:color="auto"/>
              <w:bottom w:val="single" w:sz="4" w:space="0" w:color="auto"/>
              <w:right w:val="single" w:sz="4" w:space="0" w:color="auto"/>
            </w:tcBorders>
            <w:shd w:val="clear" w:color="000000" w:fill="FFFFFF"/>
          </w:tcPr>
          <w:p w:rsidR="00290A66" w:rsidRPr="00563A36" w:rsidRDefault="004D2021" w:rsidP="00D06F12">
            <w:pPr>
              <w:autoSpaceDE/>
              <w:autoSpaceDN/>
              <w:adjustRightInd/>
              <w:jc w:val="both"/>
              <w:rPr>
                <w:color w:val="000000"/>
                <w:sz w:val="20"/>
                <w:szCs w:val="20"/>
              </w:rPr>
            </w:pPr>
            <w:r>
              <w:rPr>
                <w:color w:val="000000"/>
                <w:sz w:val="20"/>
                <w:szCs w:val="20"/>
              </w:rPr>
              <w:t>п</w:t>
            </w:r>
            <w:r w:rsidR="00290A66" w:rsidRPr="00563A36">
              <w:rPr>
                <w:color w:val="000000"/>
                <w:sz w:val="20"/>
                <w:szCs w:val="20"/>
              </w:rPr>
              <w:t>ервичный онкологический кабинет</w:t>
            </w:r>
          </w:p>
        </w:tc>
      </w:tr>
      <w:tr w:rsidR="00290A66" w:rsidRPr="00563A36" w:rsidTr="000B1BA9">
        <w:trPr>
          <w:trHeight w:val="20"/>
        </w:trPr>
        <w:tc>
          <w:tcPr>
            <w:tcW w:w="846" w:type="dxa"/>
          </w:tcPr>
          <w:p w:rsidR="00290A66" w:rsidRPr="00563A36" w:rsidRDefault="00290A66" w:rsidP="00894D08">
            <w:pPr>
              <w:jc w:val="center"/>
              <w:rPr>
                <w:color w:val="000000"/>
                <w:sz w:val="20"/>
                <w:szCs w:val="20"/>
              </w:rPr>
            </w:pPr>
            <w:r w:rsidRPr="00563A36">
              <w:rPr>
                <w:color w:val="000000"/>
                <w:sz w:val="20"/>
                <w:szCs w:val="20"/>
              </w:rPr>
              <w:t>14</w:t>
            </w:r>
            <w:r w:rsidR="00D06F12">
              <w:rPr>
                <w:color w:val="000000"/>
                <w:sz w:val="20"/>
                <w:szCs w:val="20"/>
              </w:rPr>
              <w:t>.</w:t>
            </w:r>
          </w:p>
        </w:tc>
        <w:tc>
          <w:tcPr>
            <w:tcW w:w="4819" w:type="dxa"/>
            <w:vAlign w:val="center"/>
          </w:tcPr>
          <w:p w:rsidR="00290A66" w:rsidRPr="00563A36" w:rsidRDefault="00290A66" w:rsidP="00D06F12">
            <w:pPr>
              <w:jc w:val="both"/>
              <w:rPr>
                <w:color w:val="000000"/>
                <w:sz w:val="20"/>
                <w:szCs w:val="20"/>
              </w:rPr>
            </w:pPr>
            <w:r w:rsidRPr="00563A36">
              <w:rPr>
                <w:color w:val="000000"/>
                <w:sz w:val="20"/>
                <w:szCs w:val="20"/>
              </w:rPr>
              <w:t xml:space="preserve">ГАУЗ </w:t>
            </w:r>
            <w:r w:rsidR="002F7358">
              <w:rPr>
                <w:color w:val="000000"/>
                <w:sz w:val="20"/>
                <w:szCs w:val="20"/>
              </w:rPr>
              <w:t>«</w:t>
            </w:r>
            <w:r w:rsidRPr="00563A36">
              <w:rPr>
                <w:color w:val="000000"/>
                <w:sz w:val="20"/>
                <w:szCs w:val="20"/>
              </w:rPr>
              <w:t>Верхнеуслонская ЦРБ</w:t>
            </w:r>
            <w:r w:rsidR="002F7358">
              <w:rPr>
                <w:color w:val="000000"/>
                <w:sz w:val="20"/>
                <w:szCs w:val="20"/>
              </w:rPr>
              <w:t>»</w:t>
            </w:r>
          </w:p>
        </w:tc>
        <w:tc>
          <w:tcPr>
            <w:tcW w:w="3544" w:type="dxa"/>
          </w:tcPr>
          <w:p w:rsidR="00290A66" w:rsidRPr="00563A36" w:rsidRDefault="00290A66" w:rsidP="00894D08">
            <w:pPr>
              <w:pStyle w:val="af9"/>
              <w:ind w:left="0"/>
              <w:contextualSpacing w:val="0"/>
              <w:jc w:val="center"/>
              <w:rPr>
                <w:sz w:val="20"/>
                <w:szCs w:val="20"/>
                <w:lang w:val="ru-RU"/>
              </w:rPr>
            </w:pPr>
            <w:r w:rsidRPr="00563A36">
              <w:rPr>
                <w:sz w:val="20"/>
                <w:szCs w:val="20"/>
              </w:rPr>
              <w:t>поликлиника</w:t>
            </w:r>
          </w:p>
        </w:tc>
        <w:tc>
          <w:tcPr>
            <w:tcW w:w="4921" w:type="dxa"/>
            <w:tcBorders>
              <w:top w:val="single" w:sz="4" w:space="0" w:color="auto"/>
              <w:left w:val="single" w:sz="4" w:space="0" w:color="auto"/>
              <w:bottom w:val="single" w:sz="4" w:space="0" w:color="auto"/>
              <w:right w:val="single" w:sz="4" w:space="0" w:color="auto"/>
            </w:tcBorders>
            <w:shd w:val="clear" w:color="000000" w:fill="FFFFFF"/>
          </w:tcPr>
          <w:p w:rsidR="00290A66" w:rsidRPr="00563A36" w:rsidRDefault="004D2021" w:rsidP="00D06F12">
            <w:pPr>
              <w:autoSpaceDE/>
              <w:autoSpaceDN/>
              <w:adjustRightInd/>
              <w:jc w:val="both"/>
              <w:rPr>
                <w:color w:val="000000"/>
                <w:sz w:val="20"/>
                <w:szCs w:val="20"/>
              </w:rPr>
            </w:pPr>
            <w:r>
              <w:rPr>
                <w:color w:val="000000"/>
                <w:sz w:val="20"/>
                <w:szCs w:val="20"/>
              </w:rPr>
              <w:t>п</w:t>
            </w:r>
            <w:r w:rsidR="00290A66" w:rsidRPr="00563A36">
              <w:rPr>
                <w:color w:val="000000"/>
                <w:sz w:val="20"/>
                <w:szCs w:val="20"/>
              </w:rPr>
              <w:t>ервичный онкологический кабинет</w:t>
            </w:r>
          </w:p>
        </w:tc>
      </w:tr>
      <w:tr w:rsidR="00290A66" w:rsidRPr="00563A36" w:rsidTr="000B1BA9">
        <w:trPr>
          <w:trHeight w:val="20"/>
        </w:trPr>
        <w:tc>
          <w:tcPr>
            <w:tcW w:w="846" w:type="dxa"/>
          </w:tcPr>
          <w:p w:rsidR="00290A66" w:rsidRPr="00563A36" w:rsidRDefault="00290A66" w:rsidP="00894D08">
            <w:pPr>
              <w:jc w:val="center"/>
              <w:rPr>
                <w:color w:val="000000"/>
                <w:sz w:val="20"/>
                <w:szCs w:val="20"/>
              </w:rPr>
            </w:pPr>
            <w:r w:rsidRPr="00563A36">
              <w:rPr>
                <w:color w:val="000000"/>
                <w:sz w:val="20"/>
                <w:szCs w:val="20"/>
              </w:rPr>
              <w:t>15</w:t>
            </w:r>
            <w:r w:rsidR="00D06F12">
              <w:rPr>
                <w:color w:val="000000"/>
                <w:sz w:val="20"/>
                <w:szCs w:val="20"/>
              </w:rPr>
              <w:t>.</w:t>
            </w:r>
          </w:p>
        </w:tc>
        <w:tc>
          <w:tcPr>
            <w:tcW w:w="4819" w:type="dxa"/>
            <w:vAlign w:val="center"/>
          </w:tcPr>
          <w:p w:rsidR="00290A66" w:rsidRPr="00563A36" w:rsidRDefault="00290A66" w:rsidP="00D06F12">
            <w:pPr>
              <w:jc w:val="both"/>
              <w:rPr>
                <w:color w:val="000000"/>
                <w:sz w:val="20"/>
                <w:szCs w:val="20"/>
              </w:rPr>
            </w:pPr>
            <w:r w:rsidRPr="00563A36">
              <w:rPr>
                <w:color w:val="000000"/>
                <w:sz w:val="20"/>
                <w:szCs w:val="20"/>
              </w:rPr>
              <w:t xml:space="preserve">ГАУЗ </w:t>
            </w:r>
            <w:r w:rsidR="002F7358">
              <w:rPr>
                <w:color w:val="000000"/>
                <w:sz w:val="20"/>
                <w:szCs w:val="20"/>
              </w:rPr>
              <w:t>«</w:t>
            </w:r>
            <w:r w:rsidRPr="00563A36">
              <w:rPr>
                <w:color w:val="000000"/>
                <w:sz w:val="20"/>
                <w:szCs w:val="20"/>
              </w:rPr>
              <w:t>Высокогорская ЦРБ</w:t>
            </w:r>
            <w:r w:rsidR="002F7358">
              <w:rPr>
                <w:color w:val="000000"/>
                <w:sz w:val="20"/>
                <w:szCs w:val="20"/>
              </w:rPr>
              <w:t>»</w:t>
            </w:r>
          </w:p>
        </w:tc>
        <w:tc>
          <w:tcPr>
            <w:tcW w:w="3544" w:type="dxa"/>
          </w:tcPr>
          <w:p w:rsidR="00290A66" w:rsidRPr="00563A36" w:rsidRDefault="00290A66" w:rsidP="00894D08">
            <w:pPr>
              <w:pStyle w:val="af9"/>
              <w:ind w:left="0"/>
              <w:contextualSpacing w:val="0"/>
              <w:jc w:val="center"/>
              <w:rPr>
                <w:sz w:val="20"/>
                <w:szCs w:val="20"/>
                <w:lang w:val="ru-RU"/>
              </w:rPr>
            </w:pPr>
            <w:r w:rsidRPr="00563A36">
              <w:rPr>
                <w:sz w:val="20"/>
                <w:szCs w:val="20"/>
              </w:rPr>
              <w:t>поликлиника</w:t>
            </w:r>
          </w:p>
        </w:tc>
        <w:tc>
          <w:tcPr>
            <w:tcW w:w="4921" w:type="dxa"/>
            <w:tcBorders>
              <w:top w:val="single" w:sz="4" w:space="0" w:color="auto"/>
              <w:left w:val="single" w:sz="4" w:space="0" w:color="auto"/>
              <w:bottom w:val="single" w:sz="4" w:space="0" w:color="auto"/>
              <w:right w:val="single" w:sz="4" w:space="0" w:color="auto"/>
            </w:tcBorders>
            <w:shd w:val="clear" w:color="000000" w:fill="FFFFFF"/>
          </w:tcPr>
          <w:p w:rsidR="00290A66" w:rsidRPr="00563A36" w:rsidRDefault="004D2021" w:rsidP="00D06F12">
            <w:pPr>
              <w:autoSpaceDE/>
              <w:autoSpaceDN/>
              <w:adjustRightInd/>
              <w:jc w:val="both"/>
              <w:rPr>
                <w:color w:val="000000"/>
                <w:sz w:val="20"/>
                <w:szCs w:val="20"/>
              </w:rPr>
            </w:pPr>
            <w:r>
              <w:rPr>
                <w:color w:val="000000"/>
                <w:sz w:val="20"/>
                <w:szCs w:val="20"/>
              </w:rPr>
              <w:t>п</w:t>
            </w:r>
            <w:r w:rsidR="00290A66" w:rsidRPr="00563A36">
              <w:rPr>
                <w:color w:val="000000"/>
                <w:sz w:val="20"/>
                <w:szCs w:val="20"/>
              </w:rPr>
              <w:t>ервичный онкологический кабинет</w:t>
            </w:r>
          </w:p>
        </w:tc>
      </w:tr>
      <w:tr w:rsidR="00290A66" w:rsidRPr="00563A36" w:rsidTr="000B1BA9">
        <w:trPr>
          <w:trHeight w:val="20"/>
        </w:trPr>
        <w:tc>
          <w:tcPr>
            <w:tcW w:w="846" w:type="dxa"/>
          </w:tcPr>
          <w:p w:rsidR="00290A66" w:rsidRPr="00563A36" w:rsidRDefault="00290A66" w:rsidP="00894D08">
            <w:pPr>
              <w:jc w:val="center"/>
              <w:rPr>
                <w:color w:val="000000"/>
                <w:sz w:val="20"/>
                <w:szCs w:val="20"/>
              </w:rPr>
            </w:pPr>
            <w:r w:rsidRPr="00563A36">
              <w:rPr>
                <w:color w:val="000000"/>
                <w:sz w:val="20"/>
                <w:szCs w:val="20"/>
              </w:rPr>
              <w:t>16</w:t>
            </w:r>
            <w:r w:rsidR="00D06F12">
              <w:rPr>
                <w:color w:val="000000"/>
                <w:sz w:val="20"/>
                <w:szCs w:val="20"/>
              </w:rPr>
              <w:t>.</w:t>
            </w:r>
          </w:p>
        </w:tc>
        <w:tc>
          <w:tcPr>
            <w:tcW w:w="4819" w:type="dxa"/>
            <w:vAlign w:val="center"/>
          </w:tcPr>
          <w:p w:rsidR="00290A66" w:rsidRPr="00563A36" w:rsidRDefault="00290A66" w:rsidP="00D06F12">
            <w:pPr>
              <w:jc w:val="both"/>
              <w:rPr>
                <w:color w:val="000000"/>
                <w:sz w:val="20"/>
                <w:szCs w:val="20"/>
              </w:rPr>
            </w:pPr>
            <w:r w:rsidRPr="00563A36">
              <w:rPr>
                <w:color w:val="000000"/>
                <w:sz w:val="20"/>
                <w:szCs w:val="20"/>
              </w:rPr>
              <w:t xml:space="preserve">ГАУЗ </w:t>
            </w:r>
            <w:r w:rsidR="002F7358">
              <w:rPr>
                <w:color w:val="000000"/>
                <w:sz w:val="20"/>
                <w:szCs w:val="20"/>
              </w:rPr>
              <w:t>«</w:t>
            </w:r>
            <w:r w:rsidRPr="00563A36">
              <w:rPr>
                <w:color w:val="000000"/>
                <w:sz w:val="20"/>
                <w:szCs w:val="20"/>
              </w:rPr>
              <w:t>Дрожжановская ЦРБ</w:t>
            </w:r>
            <w:r w:rsidR="002F7358">
              <w:rPr>
                <w:color w:val="000000"/>
                <w:sz w:val="20"/>
                <w:szCs w:val="20"/>
              </w:rPr>
              <w:t>»</w:t>
            </w:r>
          </w:p>
        </w:tc>
        <w:tc>
          <w:tcPr>
            <w:tcW w:w="3544" w:type="dxa"/>
          </w:tcPr>
          <w:p w:rsidR="00290A66" w:rsidRPr="00563A36" w:rsidRDefault="00290A66" w:rsidP="00894D08">
            <w:pPr>
              <w:pStyle w:val="af9"/>
              <w:ind w:left="0"/>
              <w:contextualSpacing w:val="0"/>
              <w:jc w:val="center"/>
              <w:rPr>
                <w:sz w:val="20"/>
                <w:szCs w:val="20"/>
                <w:lang w:val="ru-RU"/>
              </w:rPr>
            </w:pPr>
            <w:r w:rsidRPr="00563A36">
              <w:rPr>
                <w:sz w:val="20"/>
                <w:szCs w:val="20"/>
              </w:rPr>
              <w:t>поликлиника</w:t>
            </w:r>
          </w:p>
        </w:tc>
        <w:tc>
          <w:tcPr>
            <w:tcW w:w="4921" w:type="dxa"/>
            <w:tcBorders>
              <w:top w:val="single" w:sz="4" w:space="0" w:color="auto"/>
              <w:left w:val="single" w:sz="4" w:space="0" w:color="auto"/>
              <w:bottom w:val="single" w:sz="4" w:space="0" w:color="auto"/>
              <w:right w:val="single" w:sz="4" w:space="0" w:color="auto"/>
            </w:tcBorders>
            <w:shd w:val="clear" w:color="000000" w:fill="FFFFFF"/>
          </w:tcPr>
          <w:p w:rsidR="00290A66" w:rsidRPr="00563A36" w:rsidRDefault="004D2021" w:rsidP="00D06F12">
            <w:pPr>
              <w:autoSpaceDE/>
              <w:autoSpaceDN/>
              <w:adjustRightInd/>
              <w:jc w:val="both"/>
              <w:rPr>
                <w:color w:val="000000"/>
                <w:sz w:val="20"/>
                <w:szCs w:val="20"/>
              </w:rPr>
            </w:pPr>
            <w:r>
              <w:rPr>
                <w:color w:val="000000"/>
                <w:sz w:val="20"/>
                <w:szCs w:val="20"/>
              </w:rPr>
              <w:t>п</w:t>
            </w:r>
            <w:r w:rsidR="00290A66" w:rsidRPr="00563A36">
              <w:rPr>
                <w:color w:val="000000"/>
                <w:sz w:val="20"/>
                <w:szCs w:val="20"/>
              </w:rPr>
              <w:t>ервичный онкологический кабинет</w:t>
            </w:r>
          </w:p>
        </w:tc>
      </w:tr>
      <w:tr w:rsidR="00290A66" w:rsidRPr="00563A36" w:rsidTr="000B1BA9">
        <w:trPr>
          <w:trHeight w:val="20"/>
        </w:trPr>
        <w:tc>
          <w:tcPr>
            <w:tcW w:w="846" w:type="dxa"/>
          </w:tcPr>
          <w:p w:rsidR="00290A66" w:rsidRPr="00563A36" w:rsidRDefault="00290A66" w:rsidP="00894D08">
            <w:pPr>
              <w:jc w:val="center"/>
              <w:rPr>
                <w:color w:val="000000"/>
                <w:sz w:val="20"/>
                <w:szCs w:val="20"/>
              </w:rPr>
            </w:pPr>
            <w:r w:rsidRPr="00563A36">
              <w:rPr>
                <w:color w:val="000000"/>
                <w:sz w:val="20"/>
                <w:szCs w:val="20"/>
              </w:rPr>
              <w:t>17</w:t>
            </w:r>
            <w:r w:rsidR="00D06F12">
              <w:rPr>
                <w:color w:val="000000"/>
                <w:sz w:val="20"/>
                <w:szCs w:val="20"/>
              </w:rPr>
              <w:t>.</w:t>
            </w:r>
          </w:p>
        </w:tc>
        <w:tc>
          <w:tcPr>
            <w:tcW w:w="4819" w:type="dxa"/>
            <w:vAlign w:val="center"/>
          </w:tcPr>
          <w:p w:rsidR="00290A66" w:rsidRPr="00563A36" w:rsidRDefault="00290A66" w:rsidP="00D06F12">
            <w:pPr>
              <w:jc w:val="both"/>
              <w:rPr>
                <w:color w:val="000000"/>
                <w:sz w:val="20"/>
                <w:szCs w:val="20"/>
              </w:rPr>
            </w:pPr>
            <w:r w:rsidRPr="00563A36">
              <w:rPr>
                <w:color w:val="000000"/>
                <w:sz w:val="20"/>
                <w:szCs w:val="20"/>
              </w:rPr>
              <w:t xml:space="preserve">ГАУЗ </w:t>
            </w:r>
            <w:r w:rsidR="002F7358">
              <w:rPr>
                <w:color w:val="000000"/>
                <w:sz w:val="20"/>
                <w:szCs w:val="20"/>
              </w:rPr>
              <w:t>«</w:t>
            </w:r>
            <w:r w:rsidRPr="00563A36">
              <w:rPr>
                <w:color w:val="000000"/>
                <w:sz w:val="20"/>
                <w:szCs w:val="20"/>
              </w:rPr>
              <w:t>Елабужская ЦРБ</w:t>
            </w:r>
            <w:r w:rsidR="002F7358">
              <w:rPr>
                <w:color w:val="000000"/>
                <w:sz w:val="20"/>
                <w:szCs w:val="20"/>
              </w:rPr>
              <w:t>»</w:t>
            </w:r>
            <w:r w:rsidRPr="00563A36">
              <w:rPr>
                <w:color w:val="000000"/>
                <w:sz w:val="20"/>
                <w:szCs w:val="20"/>
              </w:rPr>
              <w:t xml:space="preserve"> </w:t>
            </w:r>
          </w:p>
        </w:tc>
        <w:tc>
          <w:tcPr>
            <w:tcW w:w="3544" w:type="dxa"/>
          </w:tcPr>
          <w:p w:rsidR="00290A66" w:rsidRPr="00563A36" w:rsidRDefault="00290A66" w:rsidP="00894D08">
            <w:pPr>
              <w:pStyle w:val="af9"/>
              <w:ind w:left="0"/>
              <w:contextualSpacing w:val="0"/>
              <w:jc w:val="center"/>
              <w:rPr>
                <w:sz w:val="20"/>
                <w:szCs w:val="20"/>
                <w:lang w:val="ru-RU"/>
              </w:rPr>
            </w:pPr>
            <w:r w:rsidRPr="00563A36">
              <w:rPr>
                <w:sz w:val="20"/>
                <w:szCs w:val="20"/>
              </w:rPr>
              <w:t>поликлиника</w:t>
            </w:r>
          </w:p>
        </w:tc>
        <w:tc>
          <w:tcPr>
            <w:tcW w:w="4921" w:type="dxa"/>
            <w:tcBorders>
              <w:top w:val="single" w:sz="4" w:space="0" w:color="auto"/>
              <w:left w:val="single" w:sz="4" w:space="0" w:color="auto"/>
              <w:bottom w:val="single" w:sz="4" w:space="0" w:color="auto"/>
              <w:right w:val="single" w:sz="4" w:space="0" w:color="auto"/>
            </w:tcBorders>
            <w:shd w:val="clear" w:color="000000" w:fill="FFFFFF"/>
          </w:tcPr>
          <w:p w:rsidR="00290A66" w:rsidRPr="00563A36" w:rsidRDefault="004D2021" w:rsidP="00D06F12">
            <w:pPr>
              <w:autoSpaceDE/>
              <w:autoSpaceDN/>
              <w:adjustRightInd/>
              <w:jc w:val="both"/>
              <w:rPr>
                <w:color w:val="000000"/>
                <w:sz w:val="20"/>
                <w:szCs w:val="20"/>
              </w:rPr>
            </w:pPr>
            <w:r>
              <w:rPr>
                <w:color w:val="000000"/>
                <w:sz w:val="20"/>
                <w:szCs w:val="20"/>
              </w:rPr>
              <w:t>п</w:t>
            </w:r>
            <w:r w:rsidR="00290A66" w:rsidRPr="00563A36">
              <w:rPr>
                <w:color w:val="000000"/>
                <w:sz w:val="20"/>
                <w:szCs w:val="20"/>
              </w:rPr>
              <w:t>ервичный онкологический кабинет</w:t>
            </w:r>
          </w:p>
        </w:tc>
      </w:tr>
      <w:tr w:rsidR="00290A66" w:rsidRPr="00563A36" w:rsidTr="000B1BA9">
        <w:trPr>
          <w:trHeight w:val="20"/>
        </w:trPr>
        <w:tc>
          <w:tcPr>
            <w:tcW w:w="846" w:type="dxa"/>
          </w:tcPr>
          <w:p w:rsidR="00290A66" w:rsidRPr="00563A36" w:rsidRDefault="00290A66" w:rsidP="00894D08">
            <w:pPr>
              <w:jc w:val="center"/>
              <w:rPr>
                <w:color w:val="000000"/>
                <w:sz w:val="20"/>
                <w:szCs w:val="20"/>
              </w:rPr>
            </w:pPr>
            <w:r w:rsidRPr="00563A36">
              <w:rPr>
                <w:color w:val="000000"/>
                <w:sz w:val="20"/>
                <w:szCs w:val="20"/>
              </w:rPr>
              <w:t>18</w:t>
            </w:r>
            <w:r w:rsidR="00D06F12">
              <w:rPr>
                <w:color w:val="000000"/>
                <w:sz w:val="20"/>
                <w:szCs w:val="20"/>
              </w:rPr>
              <w:t>.</w:t>
            </w:r>
          </w:p>
        </w:tc>
        <w:tc>
          <w:tcPr>
            <w:tcW w:w="4819" w:type="dxa"/>
            <w:vAlign w:val="center"/>
          </w:tcPr>
          <w:p w:rsidR="00290A66" w:rsidRPr="00563A36" w:rsidRDefault="00290A66" w:rsidP="00D06F12">
            <w:pPr>
              <w:jc w:val="both"/>
              <w:rPr>
                <w:color w:val="000000"/>
                <w:sz w:val="20"/>
                <w:szCs w:val="20"/>
              </w:rPr>
            </w:pPr>
            <w:r w:rsidRPr="00563A36">
              <w:rPr>
                <w:color w:val="000000"/>
                <w:sz w:val="20"/>
                <w:szCs w:val="20"/>
              </w:rPr>
              <w:t xml:space="preserve">ГАУЗ </w:t>
            </w:r>
            <w:r w:rsidR="002F7358">
              <w:rPr>
                <w:color w:val="000000"/>
                <w:sz w:val="20"/>
                <w:szCs w:val="20"/>
              </w:rPr>
              <w:t>«</w:t>
            </w:r>
            <w:r w:rsidRPr="00563A36">
              <w:rPr>
                <w:color w:val="000000"/>
                <w:sz w:val="20"/>
                <w:szCs w:val="20"/>
              </w:rPr>
              <w:t>Заинская ЦРБ</w:t>
            </w:r>
            <w:r w:rsidR="002F7358">
              <w:rPr>
                <w:color w:val="000000"/>
                <w:sz w:val="20"/>
                <w:szCs w:val="20"/>
              </w:rPr>
              <w:t>»</w:t>
            </w:r>
          </w:p>
        </w:tc>
        <w:tc>
          <w:tcPr>
            <w:tcW w:w="3544" w:type="dxa"/>
          </w:tcPr>
          <w:p w:rsidR="00290A66" w:rsidRPr="00563A36" w:rsidRDefault="00290A66" w:rsidP="00894D08">
            <w:pPr>
              <w:pStyle w:val="af9"/>
              <w:ind w:left="0"/>
              <w:contextualSpacing w:val="0"/>
              <w:jc w:val="center"/>
              <w:rPr>
                <w:sz w:val="20"/>
                <w:szCs w:val="20"/>
                <w:lang w:val="ru-RU"/>
              </w:rPr>
            </w:pPr>
            <w:r w:rsidRPr="00563A36">
              <w:rPr>
                <w:sz w:val="20"/>
                <w:szCs w:val="20"/>
              </w:rPr>
              <w:t>поликлиника</w:t>
            </w:r>
          </w:p>
        </w:tc>
        <w:tc>
          <w:tcPr>
            <w:tcW w:w="4921" w:type="dxa"/>
            <w:tcBorders>
              <w:top w:val="single" w:sz="4" w:space="0" w:color="auto"/>
              <w:left w:val="single" w:sz="4" w:space="0" w:color="auto"/>
              <w:bottom w:val="single" w:sz="4" w:space="0" w:color="auto"/>
              <w:right w:val="single" w:sz="4" w:space="0" w:color="auto"/>
            </w:tcBorders>
            <w:shd w:val="clear" w:color="000000" w:fill="FFFFFF"/>
          </w:tcPr>
          <w:p w:rsidR="00290A66" w:rsidRPr="00563A36" w:rsidRDefault="004D2021" w:rsidP="00D06F12">
            <w:pPr>
              <w:autoSpaceDE/>
              <w:autoSpaceDN/>
              <w:adjustRightInd/>
              <w:jc w:val="both"/>
              <w:rPr>
                <w:color w:val="000000"/>
                <w:sz w:val="20"/>
                <w:szCs w:val="20"/>
              </w:rPr>
            </w:pPr>
            <w:r>
              <w:rPr>
                <w:color w:val="000000"/>
                <w:sz w:val="20"/>
                <w:szCs w:val="20"/>
              </w:rPr>
              <w:t>п</w:t>
            </w:r>
            <w:r w:rsidR="00290A66" w:rsidRPr="00563A36">
              <w:rPr>
                <w:color w:val="000000"/>
                <w:sz w:val="20"/>
                <w:szCs w:val="20"/>
              </w:rPr>
              <w:t>ервичный онкологический кабинет</w:t>
            </w:r>
          </w:p>
        </w:tc>
      </w:tr>
      <w:tr w:rsidR="00290A66" w:rsidRPr="00563A36" w:rsidTr="000B1BA9">
        <w:trPr>
          <w:trHeight w:val="20"/>
        </w:trPr>
        <w:tc>
          <w:tcPr>
            <w:tcW w:w="846" w:type="dxa"/>
          </w:tcPr>
          <w:p w:rsidR="00290A66" w:rsidRPr="00563A36" w:rsidRDefault="00290A66" w:rsidP="00894D08">
            <w:pPr>
              <w:jc w:val="center"/>
              <w:rPr>
                <w:color w:val="000000"/>
                <w:sz w:val="20"/>
                <w:szCs w:val="20"/>
              </w:rPr>
            </w:pPr>
            <w:r w:rsidRPr="00563A36">
              <w:rPr>
                <w:color w:val="000000"/>
                <w:sz w:val="20"/>
                <w:szCs w:val="20"/>
              </w:rPr>
              <w:t>19</w:t>
            </w:r>
            <w:r w:rsidR="00D06F12">
              <w:rPr>
                <w:color w:val="000000"/>
                <w:sz w:val="20"/>
                <w:szCs w:val="20"/>
              </w:rPr>
              <w:t>.</w:t>
            </w:r>
          </w:p>
        </w:tc>
        <w:tc>
          <w:tcPr>
            <w:tcW w:w="4819" w:type="dxa"/>
            <w:vAlign w:val="center"/>
          </w:tcPr>
          <w:p w:rsidR="00290A66" w:rsidRPr="00563A36" w:rsidRDefault="00290A66" w:rsidP="00D06F12">
            <w:pPr>
              <w:jc w:val="both"/>
              <w:rPr>
                <w:color w:val="000000"/>
                <w:sz w:val="20"/>
                <w:szCs w:val="20"/>
              </w:rPr>
            </w:pPr>
            <w:r w:rsidRPr="00563A36">
              <w:rPr>
                <w:color w:val="000000"/>
                <w:sz w:val="20"/>
                <w:szCs w:val="20"/>
              </w:rPr>
              <w:t xml:space="preserve">ГАУЗ </w:t>
            </w:r>
            <w:r w:rsidR="002F7358">
              <w:rPr>
                <w:color w:val="000000"/>
                <w:sz w:val="20"/>
                <w:szCs w:val="20"/>
              </w:rPr>
              <w:t>«</w:t>
            </w:r>
            <w:r w:rsidRPr="00563A36">
              <w:rPr>
                <w:color w:val="000000"/>
                <w:sz w:val="20"/>
                <w:szCs w:val="20"/>
              </w:rPr>
              <w:t>Кайбицкая ЦРБ</w:t>
            </w:r>
            <w:r w:rsidR="002F7358">
              <w:rPr>
                <w:color w:val="000000"/>
                <w:sz w:val="20"/>
                <w:szCs w:val="20"/>
              </w:rPr>
              <w:t>»</w:t>
            </w:r>
          </w:p>
        </w:tc>
        <w:tc>
          <w:tcPr>
            <w:tcW w:w="3544" w:type="dxa"/>
          </w:tcPr>
          <w:p w:rsidR="00290A66" w:rsidRPr="00563A36" w:rsidRDefault="00290A66" w:rsidP="00894D08">
            <w:pPr>
              <w:pStyle w:val="af9"/>
              <w:ind w:left="0"/>
              <w:contextualSpacing w:val="0"/>
              <w:jc w:val="center"/>
              <w:rPr>
                <w:sz w:val="20"/>
                <w:szCs w:val="20"/>
                <w:lang w:val="ru-RU"/>
              </w:rPr>
            </w:pPr>
            <w:r w:rsidRPr="00563A36">
              <w:rPr>
                <w:sz w:val="20"/>
                <w:szCs w:val="20"/>
              </w:rPr>
              <w:t>поликлиника</w:t>
            </w:r>
          </w:p>
        </w:tc>
        <w:tc>
          <w:tcPr>
            <w:tcW w:w="4921" w:type="dxa"/>
            <w:tcBorders>
              <w:top w:val="single" w:sz="4" w:space="0" w:color="auto"/>
              <w:left w:val="single" w:sz="4" w:space="0" w:color="auto"/>
              <w:bottom w:val="single" w:sz="4" w:space="0" w:color="auto"/>
              <w:right w:val="single" w:sz="4" w:space="0" w:color="auto"/>
            </w:tcBorders>
            <w:shd w:val="clear" w:color="000000" w:fill="FFFFFF"/>
          </w:tcPr>
          <w:p w:rsidR="00290A66" w:rsidRPr="00563A36" w:rsidRDefault="004D2021" w:rsidP="00D06F12">
            <w:pPr>
              <w:autoSpaceDE/>
              <w:autoSpaceDN/>
              <w:adjustRightInd/>
              <w:jc w:val="both"/>
              <w:rPr>
                <w:color w:val="000000"/>
                <w:sz w:val="20"/>
                <w:szCs w:val="20"/>
              </w:rPr>
            </w:pPr>
            <w:r>
              <w:rPr>
                <w:color w:val="000000"/>
                <w:sz w:val="20"/>
                <w:szCs w:val="20"/>
              </w:rPr>
              <w:t>п</w:t>
            </w:r>
            <w:r w:rsidR="00290A66" w:rsidRPr="00563A36">
              <w:rPr>
                <w:color w:val="000000"/>
                <w:sz w:val="20"/>
                <w:szCs w:val="20"/>
              </w:rPr>
              <w:t>ервичный онкологический кабинет</w:t>
            </w:r>
          </w:p>
        </w:tc>
      </w:tr>
      <w:tr w:rsidR="00290A66" w:rsidRPr="00563A36" w:rsidTr="000B1BA9">
        <w:trPr>
          <w:trHeight w:val="20"/>
        </w:trPr>
        <w:tc>
          <w:tcPr>
            <w:tcW w:w="846" w:type="dxa"/>
          </w:tcPr>
          <w:p w:rsidR="00290A66" w:rsidRPr="00563A36" w:rsidRDefault="00290A66" w:rsidP="00894D08">
            <w:pPr>
              <w:jc w:val="center"/>
              <w:rPr>
                <w:color w:val="000000"/>
                <w:sz w:val="20"/>
                <w:szCs w:val="20"/>
              </w:rPr>
            </w:pPr>
            <w:r w:rsidRPr="00563A36">
              <w:rPr>
                <w:color w:val="000000"/>
                <w:sz w:val="20"/>
                <w:szCs w:val="20"/>
              </w:rPr>
              <w:t>20</w:t>
            </w:r>
            <w:r w:rsidR="00D06F12">
              <w:rPr>
                <w:color w:val="000000"/>
                <w:sz w:val="20"/>
                <w:szCs w:val="20"/>
              </w:rPr>
              <w:t>.</w:t>
            </w:r>
          </w:p>
        </w:tc>
        <w:tc>
          <w:tcPr>
            <w:tcW w:w="4819" w:type="dxa"/>
            <w:vAlign w:val="center"/>
          </w:tcPr>
          <w:p w:rsidR="00290A66" w:rsidRPr="00563A36" w:rsidRDefault="00290A66" w:rsidP="00D06F12">
            <w:pPr>
              <w:jc w:val="both"/>
              <w:rPr>
                <w:color w:val="000000"/>
                <w:sz w:val="20"/>
                <w:szCs w:val="20"/>
              </w:rPr>
            </w:pPr>
            <w:r w:rsidRPr="00563A36">
              <w:rPr>
                <w:color w:val="000000"/>
                <w:sz w:val="20"/>
                <w:szCs w:val="20"/>
              </w:rPr>
              <w:t xml:space="preserve">ГАУЗ </w:t>
            </w:r>
            <w:r w:rsidR="002F7358">
              <w:rPr>
                <w:color w:val="000000"/>
                <w:sz w:val="20"/>
                <w:szCs w:val="20"/>
              </w:rPr>
              <w:t>«</w:t>
            </w:r>
            <w:r w:rsidRPr="00563A36">
              <w:rPr>
                <w:color w:val="000000"/>
                <w:sz w:val="20"/>
                <w:szCs w:val="20"/>
              </w:rPr>
              <w:t>Камско-Устьинская ЦРБ</w:t>
            </w:r>
            <w:r w:rsidR="002F7358">
              <w:rPr>
                <w:color w:val="000000"/>
                <w:sz w:val="20"/>
                <w:szCs w:val="20"/>
              </w:rPr>
              <w:t>»</w:t>
            </w:r>
          </w:p>
        </w:tc>
        <w:tc>
          <w:tcPr>
            <w:tcW w:w="3544" w:type="dxa"/>
          </w:tcPr>
          <w:p w:rsidR="00290A66" w:rsidRPr="00563A36" w:rsidRDefault="00290A66" w:rsidP="00894D08">
            <w:pPr>
              <w:pStyle w:val="af9"/>
              <w:ind w:left="0"/>
              <w:contextualSpacing w:val="0"/>
              <w:jc w:val="center"/>
              <w:rPr>
                <w:sz w:val="20"/>
                <w:szCs w:val="20"/>
                <w:lang w:val="ru-RU"/>
              </w:rPr>
            </w:pPr>
            <w:r w:rsidRPr="00563A36">
              <w:rPr>
                <w:sz w:val="20"/>
                <w:szCs w:val="20"/>
              </w:rPr>
              <w:t>поликлиника</w:t>
            </w:r>
          </w:p>
        </w:tc>
        <w:tc>
          <w:tcPr>
            <w:tcW w:w="4921" w:type="dxa"/>
            <w:tcBorders>
              <w:top w:val="single" w:sz="4" w:space="0" w:color="auto"/>
              <w:left w:val="single" w:sz="4" w:space="0" w:color="auto"/>
              <w:bottom w:val="single" w:sz="4" w:space="0" w:color="auto"/>
              <w:right w:val="single" w:sz="4" w:space="0" w:color="auto"/>
            </w:tcBorders>
            <w:shd w:val="clear" w:color="000000" w:fill="FFFFFF"/>
          </w:tcPr>
          <w:p w:rsidR="00290A66" w:rsidRPr="00563A36" w:rsidRDefault="004D2021" w:rsidP="00D06F12">
            <w:pPr>
              <w:autoSpaceDE/>
              <w:autoSpaceDN/>
              <w:adjustRightInd/>
              <w:jc w:val="both"/>
              <w:rPr>
                <w:color w:val="000000"/>
                <w:sz w:val="20"/>
                <w:szCs w:val="20"/>
              </w:rPr>
            </w:pPr>
            <w:r>
              <w:rPr>
                <w:color w:val="000000"/>
                <w:sz w:val="20"/>
                <w:szCs w:val="20"/>
              </w:rPr>
              <w:t>п</w:t>
            </w:r>
            <w:r w:rsidR="00290A66" w:rsidRPr="00563A36">
              <w:rPr>
                <w:color w:val="000000"/>
                <w:sz w:val="20"/>
                <w:szCs w:val="20"/>
              </w:rPr>
              <w:t>ервичный онкологический кабинет</w:t>
            </w:r>
          </w:p>
        </w:tc>
      </w:tr>
      <w:tr w:rsidR="00290A66" w:rsidRPr="00563A36" w:rsidTr="000B1BA9">
        <w:trPr>
          <w:trHeight w:val="20"/>
        </w:trPr>
        <w:tc>
          <w:tcPr>
            <w:tcW w:w="846" w:type="dxa"/>
          </w:tcPr>
          <w:p w:rsidR="00290A66" w:rsidRPr="00563A36" w:rsidRDefault="00290A66" w:rsidP="00894D08">
            <w:pPr>
              <w:jc w:val="center"/>
              <w:rPr>
                <w:color w:val="000000"/>
                <w:sz w:val="20"/>
                <w:szCs w:val="20"/>
              </w:rPr>
            </w:pPr>
            <w:r w:rsidRPr="00563A36">
              <w:rPr>
                <w:color w:val="000000"/>
                <w:sz w:val="20"/>
                <w:szCs w:val="20"/>
              </w:rPr>
              <w:t>21</w:t>
            </w:r>
            <w:r w:rsidR="00D06F12">
              <w:rPr>
                <w:color w:val="000000"/>
                <w:sz w:val="20"/>
                <w:szCs w:val="20"/>
              </w:rPr>
              <w:t>.</w:t>
            </w:r>
          </w:p>
        </w:tc>
        <w:tc>
          <w:tcPr>
            <w:tcW w:w="4819" w:type="dxa"/>
            <w:vAlign w:val="center"/>
          </w:tcPr>
          <w:p w:rsidR="00290A66" w:rsidRPr="00563A36" w:rsidRDefault="00290A66" w:rsidP="00D06F12">
            <w:pPr>
              <w:jc w:val="both"/>
              <w:rPr>
                <w:color w:val="000000"/>
                <w:sz w:val="20"/>
                <w:szCs w:val="20"/>
              </w:rPr>
            </w:pPr>
            <w:r w:rsidRPr="00563A36">
              <w:rPr>
                <w:color w:val="000000"/>
                <w:sz w:val="20"/>
                <w:szCs w:val="20"/>
              </w:rPr>
              <w:t xml:space="preserve">ГАУЗ </w:t>
            </w:r>
            <w:r w:rsidR="002F7358">
              <w:rPr>
                <w:color w:val="000000"/>
                <w:sz w:val="20"/>
                <w:szCs w:val="20"/>
              </w:rPr>
              <w:t>«</w:t>
            </w:r>
            <w:r w:rsidRPr="00563A36">
              <w:rPr>
                <w:color w:val="000000"/>
                <w:sz w:val="20"/>
                <w:szCs w:val="20"/>
              </w:rPr>
              <w:t>Кукморская ЦРБ</w:t>
            </w:r>
            <w:r w:rsidR="002F7358">
              <w:rPr>
                <w:color w:val="000000"/>
                <w:sz w:val="20"/>
                <w:szCs w:val="20"/>
              </w:rPr>
              <w:t>»</w:t>
            </w:r>
          </w:p>
        </w:tc>
        <w:tc>
          <w:tcPr>
            <w:tcW w:w="3544" w:type="dxa"/>
          </w:tcPr>
          <w:p w:rsidR="00290A66" w:rsidRPr="00563A36" w:rsidRDefault="00290A66" w:rsidP="00894D08">
            <w:pPr>
              <w:pStyle w:val="af9"/>
              <w:ind w:left="0"/>
              <w:contextualSpacing w:val="0"/>
              <w:jc w:val="center"/>
              <w:rPr>
                <w:sz w:val="20"/>
                <w:szCs w:val="20"/>
                <w:lang w:val="ru-RU"/>
              </w:rPr>
            </w:pPr>
            <w:r w:rsidRPr="00563A36">
              <w:rPr>
                <w:sz w:val="20"/>
                <w:szCs w:val="20"/>
              </w:rPr>
              <w:t>поликлиника</w:t>
            </w:r>
          </w:p>
        </w:tc>
        <w:tc>
          <w:tcPr>
            <w:tcW w:w="4921" w:type="dxa"/>
            <w:tcBorders>
              <w:top w:val="single" w:sz="4" w:space="0" w:color="auto"/>
              <w:left w:val="single" w:sz="4" w:space="0" w:color="auto"/>
              <w:bottom w:val="single" w:sz="4" w:space="0" w:color="auto"/>
              <w:right w:val="single" w:sz="4" w:space="0" w:color="auto"/>
            </w:tcBorders>
            <w:shd w:val="clear" w:color="000000" w:fill="FFFFFF"/>
          </w:tcPr>
          <w:p w:rsidR="00290A66" w:rsidRPr="00563A36" w:rsidRDefault="004D2021" w:rsidP="00D06F12">
            <w:pPr>
              <w:autoSpaceDE/>
              <w:autoSpaceDN/>
              <w:adjustRightInd/>
              <w:jc w:val="both"/>
              <w:rPr>
                <w:color w:val="000000"/>
                <w:sz w:val="20"/>
                <w:szCs w:val="20"/>
              </w:rPr>
            </w:pPr>
            <w:r>
              <w:rPr>
                <w:color w:val="000000"/>
                <w:sz w:val="20"/>
                <w:szCs w:val="20"/>
              </w:rPr>
              <w:t>п</w:t>
            </w:r>
            <w:r w:rsidR="00290A66" w:rsidRPr="00563A36">
              <w:rPr>
                <w:color w:val="000000"/>
                <w:sz w:val="20"/>
                <w:szCs w:val="20"/>
              </w:rPr>
              <w:t>ервичный онкологический кабинет</w:t>
            </w:r>
          </w:p>
        </w:tc>
      </w:tr>
      <w:tr w:rsidR="00290A66" w:rsidRPr="00563A36" w:rsidTr="000B1BA9">
        <w:trPr>
          <w:trHeight w:val="20"/>
        </w:trPr>
        <w:tc>
          <w:tcPr>
            <w:tcW w:w="846" w:type="dxa"/>
          </w:tcPr>
          <w:p w:rsidR="00290A66" w:rsidRPr="00563A36" w:rsidRDefault="00290A66" w:rsidP="00894D08">
            <w:pPr>
              <w:jc w:val="center"/>
              <w:rPr>
                <w:color w:val="000000"/>
                <w:sz w:val="20"/>
                <w:szCs w:val="20"/>
              </w:rPr>
            </w:pPr>
            <w:r w:rsidRPr="00563A36">
              <w:rPr>
                <w:color w:val="000000"/>
                <w:sz w:val="20"/>
                <w:szCs w:val="20"/>
              </w:rPr>
              <w:t>22</w:t>
            </w:r>
            <w:r w:rsidR="00D06F12">
              <w:rPr>
                <w:color w:val="000000"/>
                <w:sz w:val="20"/>
                <w:szCs w:val="20"/>
              </w:rPr>
              <w:t>.</w:t>
            </w:r>
          </w:p>
        </w:tc>
        <w:tc>
          <w:tcPr>
            <w:tcW w:w="4819" w:type="dxa"/>
            <w:vAlign w:val="center"/>
          </w:tcPr>
          <w:p w:rsidR="00290A66" w:rsidRPr="00563A36" w:rsidRDefault="00290A66" w:rsidP="00D06F12">
            <w:pPr>
              <w:jc w:val="both"/>
              <w:rPr>
                <w:color w:val="000000"/>
                <w:sz w:val="20"/>
                <w:szCs w:val="20"/>
              </w:rPr>
            </w:pPr>
            <w:r w:rsidRPr="00563A36">
              <w:rPr>
                <w:color w:val="000000"/>
                <w:sz w:val="20"/>
                <w:szCs w:val="20"/>
              </w:rPr>
              <w:t xml:space="preserve">ГАУЗ </w:t>
            </w:r>
            <w:r w:rsidR="002F7358">
              <w:rPr>
                <w:color w:val="000000"/>
                <w:sz w:val="20"/>
                <w:szCs w:val="20"/>
              </w:rPr>
              <w:t>«</w:t>
            </w:r>
            <w:r w:rsidRPr="00563A36">
              <w:rPr>
                <w:color w:val="000000"/>
                <w:sz w:val="20"/>
                <w:szCs w:val="20"/>
              </w:rPr>
              <w:t>Лаишевская ЦРБ</w:t>
            </w:r>
            <w:r w:rsidR="002F7358">
              <w:rPr>
                <w:color w:val="000000"/>
                <w:sz w:val="20"/>
                <w:szCs w:val="20"/>
              </w:rPr>
              <w:t>»</w:t>
            </w:r>
          </w:p>
        </w:tc>
        <w:tc>
          <w:tcPr>
            <w:tcW w:w="3544" w:type="dxa"/>
          </w:tcPr>
          <w:p w:rsidR="00290A66" w:rsidRPr="00563A36" w:rsidRDefault="00290A66" w:rsidP="00894D08">
            <w:pPr>
              <w:pStyle w:val="af9"/>
              <w:ind w:left="0"/>
              <w:contextualSpacing w:val="0"/>
              <w:jc w:val="center"/>
              <w:rPr>
                <w:sz w:val="20"/>
                <w:szCs w:val="20"/>
                <w:lang w:val="ru-RU"/>
              </w:rPr>
            </w:pPr>
            <w:r w:rsidRPr="00563A36">
              <w:rPr>
                <w:sz w:val="20"/>
                <w:szCs w:val="20"/>
              </w:rPr>
              <w:t>поликлиника</w:t>
            </w:r>
          </w:p>
        </w:tc>
        <w:tc>
          <w:tcPr>
            <w:tcW w:w="4921" w:type="dxa"/>
            <w:tcBorders>
              <w:top w:val="single" w:sz="4" w:space="0" w:color="auto"/>
              <w:left w:val="single" w:sz="4" w:space="0" w:color="auto"/>
              <w:bottom w:val="single" w:sz="4" w:space="0" w:color="auto"/>
              <w:right w:val="single" w:sz="4" w:space="0" w:color="auto"/>
            </w:tcBorders>
            <w:shd w:val="clear" w:color="000000" w:fill="FFFFFF"/>
          </w:tcPr>
          <w:p w:rsidR="00290A66" w:rsidRPr="00563A36" w:rsidRDefault="004D2021" w:rsidP="00D06F12">
            <w:pPr>
              <w:autoSpaceDE/>
              <w:autoSpaceDN/>
              <w:adjustRightInd/>
              <w:jc w:val="both"/>
              <w:rPr>
                <w:color w:val="000000"/>
                <w:sz w:val="20"/>
                <w:szCs w:val="20"/>
              </w:rPr>
            </w:pPr>
            <w:r>
              <w:rPr>
                <w:color w:val="000000"/>
                <w:sz w:val="20"/>
                <w:szCs w:val="20"/>
              </w:rPr>
              <w:t>п</w:t>
            </w:r>
            <w:r w:rsidR="00290A66" w:rsidRPr="00563A36">
              <w:rPr>
                <w:color w:val="000000"/>
                <w:sz w:val="20"/>
                <w:szCs w:val="20"/>
              </w:rPr>
              <w:t>ервичный онкологический кабинет</w:t>
            </w:r>
          </w:p>
        </w:tc>
      </w:tr>
      <w:tr w:rsidR="00563A36" w:rsidRPr="00563A36" w:rsidTr="000B1BA9">
        <w:trPr>
          <w:trHeight w:val="20"/>
        </w:trPr>
        <w:tc>
          <w:tcPr>
            <w:tcW w:w="846" w:type="dxa"/>
          </w:tcPr>
          <w:p w:rsidR="00563A36" w:rsidRPr="00563A36" w:rsidRDefault="00563A36" w:rsidP="00894D08">
            <w:pPr>
              <w:jc w:val="center"/>
              <w:rPr>
                <w:color w:val="000000"/>
                <w:sz w:val="20"/>
                <w:szCs w:val="20"/>
              </w:rPr>
            </w:pPr>
            <w:r w:rsidRPr="00563A36">
              <w:rPr>
                <w:color w:val="000000"/>
                <w:sz w:val="20"/>
                <w:szCs w:val="20"/>
              </w:rPr>
              <w:t>23</w:t>
            </w:r>
            <w:r w:rsidR="00D06F12">
              <w:rPr>
                <w:color w:val="000000"/>
                <w:sz w:val="20"/>
                <w:szCs w:val="20"/>
              </w:rPr>
              <w:t>.</w:t>
            </w:r>
          </w:p>
        </w:tc>
        <w:tc>
          <w:tcPr>
            <w:tcW w:w="4819" w:type="dxa"/>
            <w:vAlign w:val="center"/>
          </w:tcPr>
          <w:p w:rsidR="00563A36" w:rsidRPr="00563A36" w:rsidRDefault="00563A36" w:rsidP="00D06F12">
            <w:pPr>
              <w:jc w:val="both"/>
              <w:rPr>
                <w:color w:val="000000"/>
                <w:sz w:val="20"/>
                <w:szCs w:val="20"/>
              </w:rPr>
            </w:pPr>
            <w:r w:rsidRPr="00563A36">
              <w:rPr>
                <w:color w:val="000000"/>
                <w:sz w:val="20"/>
                <w:szCs w:val="20"/>
              </w:rPr>
              <w:t xml:space="preserve">ГАУЗ </w:t>
            </w:r>
            <w:r w:rsidR="002F7358">
              <w:rPr>
                <w:color w:val="000000"/>
                <w:sz w:val="20"/>
                <w:szCs w:val="20"/>
              </w:rPr>
              <w:t>«</w:t>
            </w:r>
            <w:r w:rsidRPr="00563A36">
              <w:rPr>
                <w:color w:val="000000"/>
                <w:sz w:val="20"/>
                <w:szCs w:val="20"/>
              </w:rPr>
              <w:t>Лениногорская ЦРБ</w:t>
            </w:r>
            <w:r w:rsidR="002F7358">
              <w:rPr>
                <w:color w:val="000000"/>
                <w:sz w:val="20"/>
                <w:szCs w:val="20"/>
              </w:rPr>
              <w:t>»</w:t>
            </w:r>
          </w:p>
        </w:tc>
        <w:tc>
          <w:tcPr>
            <w:tcW w:w="3544" w:type="dxa"/>
          </w:tcPr>
          <w:p w:rsidR="00563A36" w:rsidRPr="00563A36" w:rsidRDefault="00563A36" w:rsidP="00894D08">
            <w:pPr>
              <w:pStyle w:val="af9"/>
              <w:ind w:left="0"/>
              <w:contextualSpacing w:val="0"/>
              <w:jc w:val="center"/>
              <w:rPr>
                <w:sz w:val="20"/>
                <w:szCs w:val="20"/>
                <w:lang w:val="ru-RU"/>
              </w:rPr>
            </w:pPr>
            <w:r w:rsidRPr="00563A36">
              <w:rPr>
                <w:sz w:val="20"/>
                <w:szCs w:val="20"/>
              </w:rPr>
              <w:t>поликлиника</w:t>
            </w:r>
          </w:p>
        </w:tc>
        <w:tc>
          <w:tcPr>
            <w:tcW w:w="4921" w:type="dxa"/>
            <w:tcBorders>
              <w:top w:val="single" w:sz="4" w:space="0" w:color="auto"/>
              <w:left w:val="single" w:sz="4" w:space="0" w:color="auto"/>
              <w:bottom w:val="single" w:sz="4" w:space="0" w:color="auto"/>
              <w:right w:val="single" w:sz="4" w:space="0" w:color="auto"/>
            </w:tcBorders>
            <w:shd w:val="clear" w:color="000000" w:fill="FFFFFF"/>
          </w:tcPr>
          <w:p w:rsidR="00563A36" w:rsidRPr="00563A36" w:rsidRDefault="004D2021" w:rsidP="00D06F12">
            <w:pPr>
              <w:autoSpaceDE/>
              <w:autoSpaceDN/>
              <w:adjustRightInd/>
              <w:jc w:val="both"/>
              <w:rPr>
                <w:color w:val="000000"/>
                <w:sz w:val="20"/>
                <w:szCs w:val="20"/>
              </w:rPr>
            </w:pPr>
            <w:r>
              <w:rPr>
                <w:color w:val="000000"/>
                <w:sz w:val="20"/>
                <w:szCs w:val="20"/>
              </w:rPr>
              <w:t>п</w:t>
            </w:r>
            <w:r w:rsidR="00563A36" w:rsidRPr="00563A36">
              <w:rPr>
                <w:color w:val="000000"/>
                <w:sz w:val="20"/>
                <w:szCs w:val="20"/>
              </w:rPr>
              <w:t>ервичный онкологический кабинет</w:t>
            </w:r>
          </w:p>
        </w:tc>
      </w:tr>
      <w:tr w:rsidR="00563A36" w:rsidRPr="00563A36" w:rsidTr="000B1BA9">
        <w:trPr>
          <w:trHeight w:val="20"/>
        </w:trPr>
        <w:tc>
          <w:tcPr>
            <w:tcW w:w="846" w:type="dxa"/>
          </w:tcPr>
          <w:p w:rsidR="00563A36" w:rsidRPr="00563A36" w:rsidRDefault="00563A36" w:rsidP="00894D08">
            <w:pPr>
              <w:jc w:val="center"/>
              <w:rPr>
                <w:color w:val="000000"/>
                <w:sz w:val="20"/>
                <w:szCs w:val="20"/>
              </w:rPr>
            </w:pPr>
            <w:r w:rsidRPr="00563A36">
              <w:rPr>
                <w:color w:val="000000"/>
                <w:sz w:val="20"/>
                <w:szCs w:val="20"/>
              </w:rPr>
              <w:t>24</w:t>
            </w:r>
            <w:r w:rsidR="00D06F12">
              <w:rPr>
                <w:color w:val="000000"/>
                <w:sz w:val="20"/>
                <w:szCs w:val="20"/>
              </w:rPr>
              <w:t>.</w:t>
            </w:r>
          </w:p>
        </w:tc>
        <w:tc>
          <w:tcPr>
            <w:tcW w:w="4819" w:type="dxa"/>
            <w:vAlign w:val="center"/>
          </w:tcPr>
          <w:p w:rsidR="00563A36" w:rsidRPr="00563A36" w:rsidRDefault="00563A36" w:rsidP="00D06F12">
            <w:pPr>
              <w:jc w:val="both"/>
              <w:rPr>
                <w:color w:val="000000"/>
                <w:sz w:val="20"/>
                <w:szCs w:val="20"/>
              </w:rPr>
            </w:pPr>
            <w:r w:rsidRPr="00563A36">
              <w:rPr>
                <w:color w:val="000000"/>
                <w:sz w:val="20"/>
                <w:szCs w:val="20"/>
              </w:rPr>
              <w:t xml:space="preserve">ГАУЗ </w:t>
            </w:r>
            <w:r w:rsidR="002F7358">
              <w:rPr>
                <w:color w:val="000000"/>
                <w:sz w:val="20"/>
                <w:szCs w:val="20"/>
              </w:rPr>
              <w:t>«</w:t>
            </w:r>
            <w:r w:rsidRPr="00563A36">
              <w:rPr>
                <w:color w:val="000000"/>
                <w:sz w:val="20"/>
                <w:szCs w:val="20"/>
              </w:rPr>
              <w:t>Мамадышская ЦРБ</w:t>
            </w:r>
            <w:r w:rsidR="002F7358">
              <w:rPr>
                <w:color w:val="000000"/>
                <w:sz w:val="20"/>
                <w:szCs w:val="20"/>
              </w:rPr>
              <w:t>»</w:t>
            </w:r>
          </w:p>
        </w:tc>
        <w:tc>
          <w:tcPr>
            <w:tcW w:w="3544" w:type="dxa"/>
          </w:tcPr>
          <w:p w:rsidR="00563A36" w:rsidRPr="00563A36" w:rsidRDefault="00563A36" w:rsidP="00894D08">
            <w:pPr>
              <w:pStyle w:val="af9"/>
              <w:ind w:left="0"/>
              <w:contextualSpacing w:val="0"/>
              <w:jc w:val="center"/>
              <w:rPr>
                <w:sz w:val="20"/>
                <w:szCs w:val="20"/>
                <w:lang w:val="ru-RU"/>
              </w:rPr>
            </w:pPr>
            <w:r w:rsidRPr="00563A36">
              <w:rPr>
                <w:sz w:val="20"/>
                <w:szCs w:val="20"/>
              </w:rPr>
              <w:t>поликлиника</w:t>
            </w:r>
          </w:p>
        </w:tc>
        <w:tc>
          <w:tcPr>
            <w:tcW w:w="4921" w:type="dxa"/>
            <w:tcBorders>
              <w:top w:val="single" w:sz="4" w:space="0" w:color="auto"/>
              <w:left w:val="single" w:sz="4" w:space="0" w:color="auto"/>
              <w:bottom w:val="single" w:sz="4" w:space="0" w:color="auto"/>
              <w:right w:val="single" w:sz="4" w:space="0" w:color="auto"/>
            </w:tcBorders>
            <w:shd w:val="clear" w:color="000000" w:fill="FFFFFF"/>
          </w:tcPr>
          <w:p w:rsidR="00563A36" w:rsidRPr="00563A36" w:rsidRDefault="004D2021" w:rsidP="00D06F12">
            <w:pPr>
              <w:autoSpaceDE/>
              <w:autoSpaceDN/>
              <w:adjustRightInd/>
              <w:jc w:val="both"/>
              <w:rPr>
                <w:color w:val="000000"/>
                <w:sz w:val="20"/>
                <w:szCs w:val="20"/>
              </w:rPr>
            </w:pPr>
            <w:r>
              <w:rPr>
                <w:color w:val="000000"/>
                <w:sz w:val="20"/>
                <w:szCs w:val="20"/>
              </w:rPr>
              <w:t>п</w:t>
            </w:r>
            <w:r w:rsidR="00563A36" w:rsidRPr="00563A36">
              <w:rPr>
                <w:color w:val="000000"/>
                <w:sz w:val="20"/>
                <w:szCs w:val="20"/>
              </w:rPr>
              <w:t>ервичный онкологический кабинет</w:t>
            </w:r>
          </w:p>
        </w:tc>
      </w:tr>
      <w:tr w:rsidR="00563A36" w:rsidRPr="00563A36" w:rsidTr="000B1BA9">
        <w:trPr>
          <w:trHeight w:val="20"/>
        </w:trPr>
        <w:tc>
          <w:tcPr>
            <w:tcW w:w="846" w:type="dxa"/>
          </w:tcPr>
          <w:p w:rsidR="00563A36" w:rsidRPr="00563A36" w:rsidRDefault="00563A36" w:rsidP="00894D08">
            <w:pPr>
              <w:jc w:val="center"/>
              <w:rPr>
                <w:color w:val="000000"/>
                <w:sz w:val="20"/>
                <w:szCs w:val="20"/>
              </w:rPr>
            </w:pPr>
            <w:r w:rsidRPr="00563A36">
              <w:rPr>
                <w:color w:val="000000"/>
                <w:sz w:val="20"/>
                <w:szCs w:val="20"/>
              </w:rPr>
              <w:t>25</w:t>
            </w:r>
            <w:r w:rsidR="00D06F12">
              <w:rPr>
                <w:color w:val="000000"/>
                <w:sz w:val="20"/>
                <w:szCs w:val="20"/>
              </w:rPr>
              <w:t>.</w:t>
            </w:r>
          </w:p>
        </w:tc>
        <w:tc>
          <w:tcPr>
            <w:tcW w:w="4819" w:type="dxa"/>
            <w:vAlign w:val="center"/>
          </w:tcPr>
          <w:p w:rsidR="00563A36" w:rsidRPr="00563A36" w:rsidRDefault="00563A36" w:rsidP="00D06F12">
            <w:pPr>
              <w:jc w:val="both"/>
              <w:rPr>
                <w:color w:val="000000"/>
                <w:sz w:val="20"/>
                <w:szCs w:val="20"/>
              </w:rPr>
            </w:pPr>
            <w:r w:rsidRPr="00563A36">
              <w:rPr>
                <w:color w:val="000000"/>
                <w:sz w:val="20"/>
                <w:szCs w:val="20"/>
              </w:rPr>
              <w:t xml:space="preserve">ГАУЗ </w:t>
            </w:r>
            <w:r w:rsidR="002F7358">
              <w:rPr>
                <w:color w:val="000000"/>
                <w:sz w:val="20"/>
                <w:szCs w:val="20"/>
              </w:rPr>
              <w:t>«</w:t>
            </w:r>
            <w:r w:rsidRPr="00563A36">
              <w:rPr>
                <w:color w:val="000000"/>
                <w:sz w:val="20"/>
                <w:szCs w:val="20"/>
              </w:rPr>
              <w:t>Менделеевская ЦРБ</w:t>
            </w:r>
            <w:r w:rsidR="002F7358">
              <w:rPr>
                <w:color w:val="000000"/>
                <w:sz w:val="20"/>
                <w:szCs w:val="20"/>
              </w:rPr>
              <w:t>»</w:t>
            </w:r>
          </w:p>
        </w:tc>
        <w:tc>
          <w:tcPr>
            <w:tcW w:w="3544" w:type="dxa"/>
          </w:tcPr>
          <w:p w:rsidR="00563A36" w:rsidRPr="00563A36" w:rsidRDefault="00563A36" w:rsidP="00894D08">
            <w:pPr>
              <w:pStyle w:val="af9"/>
              <w:ind w:left="0"/>
              <w:contextualSpacing w:val="0"/>
              <w:jc w:val="center"/>
              <w:rPr>
                <w:sz w:val="20"/>
                <w:szCs w:val="20"/>
                <w:lang w:val="ru-RU"/>
              </w:rPr>
            </w:pPr>
            <w:r w:rsidRPr="00563A36">
              <w:rPr>
                <w:sz w:val="20"/>
                <w:szCs w:val="20"/>
              </w:rPr>
              <w:t>поликлиника</w:t>
            </w:r>
          </w:p>
        </w:tc>
        <w:tc>
          <w:tcPr>
            <w:tcW w:w="4921" w:type="dxa"/>
            <w:tcBorders>
              <w:top w:val="single" w:sz="4" w:space="0" w:color="auto"/>
              <w:left w:val="single" w:sz="4" w:space="0" w:color="auto"/>
              <w:bottom w:val="single" w:sz="4" w:space="0" w:color="auto"/>
              <w:right w:val="single" w:sz="4" w:space="0" w:color="auto"/>
            </w:tcBorders>
            <w:shd w:val="clear" w:color="000000" w:fill="FFFFFF"/>
          </w:tcPr>
          <w:p w:rsidR="00563A36" w:rsidRPr="00563A36" w:rsidRDefault="004D2021" w:rsidP="00D06F12">
            <w:pPr>
              <w:autoSpaceDE/>
              <w:autoSpaceDN/>
              <w:adjustRightInd/>
              <w:jc w:val="both"/>
              <w:rPr>
                <w:color w:val="000000"/>
                <w:sz w:val="20"/>
                <w:szCs w:val="20"/>
              </w:rPr>
            </w:pPr>
            <w:r>
              <w:rPr>
                <w:color w:val="000000"/>
                <w:sz w:val="20"/>
                <w:szCs w:val="20"/>
              </w:rPr>
              <w:t>п</w:t>
            </w:r>
            <w:r w:rsidR="00563A36" w:rsidRPr="00563A36">
              <w:rPr>
                <w:color w:val="000000"/>
                <w:sz w:val="20"/>
                <w:szCs w:val="20"/>
              </w:rPr>
              <w:t>ервичный онкологический кабинет</w:t>
            </w:r>
          </w:p>
        </w:tc>
      </w:tr>
      <w:tr w:rsidR="00563A36" w:rsidRPr="00563A36" w:rsidTr="000B1BA9">
        <w:trPr>
          <w:trHeight w:val="20"/>
        </w:trPr>
        <w:tc>
          <w:tcPr>
            <w:tcW w:w="846" w:type="dxa"/>
          </w:tcPr>
          <w:p w:rsidR="00563A36" w:rsidRPr="00563A36" w:rsidRDefault="00563A36" w:rsidP="00894D08">
            <w:pPr>
              <w:jc w:val="center"/>
              <w:rPr>
                <w:color w:val="000000"/>
                <w:sz w:val="20"/>
                <w:szCs w:val="20"/>
              </w:rPr>
            </w:pPr>
            <w:r w:rsidRPr="00563A36">
              <w:rPr>
                <w:color w:val="000000"/>
                <w:sz w:val="20"/>
                <w:szCs w:val="20"/>
              </w:rPr>
              <w:t>26</w:t>
            </w:r>
            <w:r w:rsidR="00D06F12">
              <w:rPr>
                <w:color w:val="000000"/>
                <w:sz w:val="20"/>
                <w:szCs w:val="20"/>
              </w:rPr>
              <w:t>.</w:t>
            </w:r>
          </w:p>
        </w:tc>
        <w:tc>
          <w:tcPr>
            <w:tcW w:w="4819" w:type="dxa"/>
            <w:vAlign w:val="center"/>
          </w:tcPr>
          <w:p w:rsidR="00563A36" w:rsidRPr="00563A36" w:rsidRDefault="00563A36" w:rsidP="00D06F12">
            <w:pPr>
              <w:jc w:val="both"/>
              <w:rPr>
                <w:color w:val="000000"/>
                <w:sz w:val="20"/>
                <w:szCs w:val="20"/>
              </w:rPr>
            </w:pPr>
            <w:r w:rsidRPr="00563A36">
              <w:rPr>
                <w:color w:val="000000"/>
                <w:sz w:val="20"/>
                <w:szCs w:val="20"/>
              </w:rPr>
              <w:t xml:space="preserve">ГАУЗ </w:t>
            </w:r>
            <w:r w:rsidR="002F7358">
              <w:rPr>
                <w:color w:val="000000"/>
                <w:sz w:val="20"/>
                <w:szCs w:val="20"/>
              </w:rPr>
              <w:t>«</w:t>
            </w:r>
            <w:r w:rsidRPr="00563A36">
              <w:rPr>
                <w:color w:val="000000"/>
                <w:sz w:val="20"/>
                <w:szCs w:val="20"/>
              </w:rPr>
              <w:t>Мензелинская ЦРБ</w:t>
            </w:r>
            <w:r w:rsidR="002F7358">
              <w:rPr>
                <w:color w:val="000000"/>
                <w:sz w:val="20"/>
                <w:szCs w:val="20"/>
              </w:rPr>
              <w:t>»</w:t>
            </w:r>
          </w:p>
        </w:tc>
        <w:tc>
          <w:tcPr>
            <w:tcW w:w="3544" w:type="dxa"/>
          </w:tcPr>
          <w:p w:rsidR="00563A36" w:rsidRPr="00563A36" w:rsidRDefault="00563A36" w:rsidP="00894D08">
            <w:pPr>
              <w:pStyle w:val="af9"/>
              <w:ind w:left="0"/>
              <w:contextualSpacing w:val="0"/>
              <w:jc w:val="center"/>
              <w:rPr>
                <w:sz w:val="20"/>
                <w:szCs w:val="20"/>
                <w:lang w:val="ru-RU"/>
              </w:rPr>
            </w:pPr>
            <w:r w:rsidRPr="00563A36">
              <w:rPr>
                <w:sz w:val="20"/>
                <w:szCs w:val="20"/>
              </w:rPr>
              <w:t>поликлиника</w:t>
            </w:r>
          </w:p>
        </w:tc>
        <w:tc>
          <w:tcPr>
            <w:tcW w:w="4921" w:type="dxa"/>
            <w:tcBorders>
              <w:top w:val="single" w:sz="4" w:space="0" w:color="auto"/>
              <w:left w:val="single" w:sz="4" w:space="0" w:color="auto"/>
              <w:bottom w:val="single" w:sz="4" w:space="0" w:color="auto"/>
              <w:right w:val="single" w:sz="4" w:space="0" w:color="auto"/>
            </w:tcBorders>
            <w:shd w:val="clear" w:color="000000" w:fill="FFFFFF"/>
          </w:tcPr>
          <w:p w:rsidR="00563A36" w:rsidRPr="00563A36" w:rsidRDefault="004D2021" w:rsidP="00D06F12">
            <w:pPr>
              <w:autoSpaceDE/>
              <w:autoSpaceDN/>
              <w:adjustRightInd/>
              <w:jc w:val="both"/>
              <w:rPr>
                <w:color w:val="000000"/>
                <w:sz w:val="20"/>
                <w:szCs w:val="20"/>
              </w:rPr>
            </w:pPr>
            <w:r>
              <w:rPr>
                <w:color w:val="000000"/>
                <w:sz w:val="20"/>
                <w:szCs w:val="20"/>
              </w:rPr>
              <w:t>п</w:t>
            </w:r>
            <w:r w:rsidR="00563A36" w:rsidRPr="00563A36">
              <w:rPr>
                <w:color w:val="000000"/>
                <w:sz w:val="20"/>
                <w:szCs w:val="20"/>
              </w:rPr>
              <w:t>ервичный онкологический кабинет</w:t>
            </w:r>
          </w:p>
        </w:tc>
      </w:tr>
      <w:tr w:rsidR="00563A36" w:rsidRPr="00563A36" w:rsidTr="000B1BA9">
        <w:trPr>
          <w:trHeight w:val="20"/>
        </w:trPr>
        <w:tc>
          <w:tcPr>
            <w:tcW w:w="846" w:type="dxa"/>
          </w:tcPr>
          <w:p w:rsidR="00563A36" w:rsidRPr="00563A36" w:rsidRDefault="00563A36" w:rsidP="00894D08">
            <w:pPr>
              <w:jc w:val="center"/>
              <w:rPr>
                <w:color w:val="000000"/>
                <w:sz w:val="20"/>
                <w:szCs w:val="20"/>
              </w:rPr>
            </w:pPr>
            <w:r w:rsidRPr="00563A36">
              <w:rPr>
                <w:color w:val="000000"/>
                <w:sz w:val="20"/>
                <w:szCs w:val="20"/>
              </w:rPr>
              <w:t>27</w:t>
            </w:r>
            <w:r w:rsidR="00D06F12">
              <w:rPr>
                <w:color w:val="000000"/>
                <w:sz w:val="20"/>
                <w:szCs w:val="20"/>
              </w:rPr>
              <w:t>.</w:t>
            </w:r>
          </w:p>
        </w:tc>
        <w:tc>
          <w:tcPr>
            <w:tcW w:w="4819" w:type="dxa"/>
            <w:vAlign w:val="center"/>
          </w:tcPr>
          <w:p w:rsidR="00563A36" w:rsidRPr="00563A36" w:rsidRDefault="00563A36" w:rsidP="00D06F12">
            <w:pPr>
              <w:jc w:val="both"/>
              <w:rPr>
                <w:color w:val="000000"/>
                <w:sz w:val="20"/>
                <w:szCs w:val="20"/>
              </w:rPr>
            </w:pPr>
            <w:r w:rsidRPr="00563A36">
              <w:rPr>
                <w:color w:val="000000"/>
                <w:sz w:val="20"/>
                <w:szCs w:val="20"/>
              </w:rPr>
              <w:t xml:space="preserve">ГАУЗ </w:t>
            </w:r>
            <w:r w:rsidR="002F7358">
              <w:rPr>
                <w:color w:val="000000"/>
                <w:sz w:val="20"/>
                <w:szCs w:val="20"/>
              </w:rPr>
              <w:t>«</w:t>
            </w:r>
            <w:r w:rsidRPr="00563A36">
              <w:rPr>
                <w:color w:val="000000"/>
                <w:sz w:val="20"/>
                <w:szCs w:val="20"/>
              </w:rPr>
              <w:t>Муслюмовская ЦРБ</w:t>
            </w:r>
            <w:r w:rsidR="002F7358">
              <w:rPr>
                <w:color w:val="000000"/>
                <w:sz w:val="20"/>
                <w:szCs w:val="20"/>
              </w:rPr>
              <w:t>»</w:t>
            </w:r>
          </w:p>
        </w:tc>
        <w:tc>
          <w:tcPr>
            <w:tcW w:w="3544" w:type="dxa"/>
          </w:tcPr>
          <w:p w:rsidR="00563A36" w:rsidRPr="00563A36" w:rsidRDefault="00563A36" w:rsidP="00894D08">
            <w:pPr>
              <w:pStyle w:val="af9"/>
              <w:ind w:left="0"/>
              <w:contextualSpacing w:val="0"/>
              <w:jc w:val="center"/>
              <w:rPr>
                <w:sz w:val="20"/>
                <w:szCs w:val="20"/>
                <w:lang w:val="ru-RU"/>
              </w:rPr>
            </w:pPr>
            <w:r w:rsidRPr="00563A36">
              <w:rPr>
                <w:sz w:val="20"/>
                <w:szCs w:val="20"/>
              </w:rPr>
              <w:t>поликлиника</w:t>
            </w:r>
          </w:p>
        </w:tc>
        <w:tc>
          <w:tcPr>
            <w:tcW w:w="4921" w:type="dxa"/>
            <w:tcBorders>
              <w:top w:val="single" w:sz="4" w:space="0" w:color="auto"/>
              <w:left w:val="single" w:sz="4" w:space="0" w:color="auto"/>
              <w:bottom w:val="single" w:sz="4" w:space="0" w:color="auto"/>
              <w:right w:val="single" w:sz="4" w:space="0" w:color="auto"/>
            </w:tcBorders>
            <w:shd w:val="clear" w:color="000000" w:fill="FFFFFF"/>
          </w:tcPr>
          <w:p w:rsidR="00563A36" w:rsidRPr="00563A36" w:rsidRDefault="004D2021" w:rsidP="00D06F12">
            <w:pPr>
              <w:autoSpaceDE/>
              <w:autoSpaceDN/>
              <w:adjustRightInd/>
              <w:jc w:val="both"/>
              <w:rPr>
                <w:color w:val="000000"/>
                <w:sz w:val="20"/>
                <w:szCs w:val="20"/>
              </w:rPr>
            </w:pPr>
            <w:r>
              <w:rPr>
                <w:color w:val="000000"/>
                <w:sz w:val="20"/>
                <w:szCs w:val="20"/>
              </w:rPr>
              <w:t>п</w:t>
            </w:r>
            <w:r w:rsidR="00563A36" w:rsidRPr="00563A36">
              <w:rPr>
                <w:color w:val="000000"/>
                <w:sz w:val="20"/>
                <w:szCs w:val="20"/>
              </w:rPr>
              <w:t>ервичный онкологический кабинет</w:t>
            </w:r>
          </w:p>
        </w:tc>
      </w:tr>
      <w:tr w:rsidR="00563A36" w:rsidRPr="00563A36" w:rsidTr="000B1BA9">
        <w:trPr>
          <w:trHeight w:val="20"/>
        </w:trPr>
        <w:tc>
          <w:tcPr>
            <w:tcW w:w="846" w:type="dxa"/>
          </w:tcPr>
          <w:p w:rsidR="00563A36" w:rsidRPr="00563A36" w:rsidRDefault="00563A36" w:rsidP="00894D08">
            <w:pPr>
              <w:jc w:val="center"/>
              <w:rPr>
                <w:color w:val="000000"/>
                <w:sz w:val="20"/>
                <w:szCs w:val="20"/>
              </w:rPr>
            </w:pPr>
            <w:r w:rsidRPr="00563A36">
              <w:rPr>
                <w:color w:val="000000"/>
                <w:sz w:val="20"/>
                <w:szCs w:val="20"/>
              </w:rPr>
              <w:t>28</w:t>
            </w:r>
            <w:r w:rsidR="00D06F12">
              <w:rPr>
                <w:color w:val="000000"/>
                <w:sz w:val="20"/>
                <w:szCs w:val="20"/>
              </w:rPr>
              <w:t>.</w:t>
            </w:r>
          </w:p>
        </w:tc>
        <w:tc>
          <w:tcPr>
            <w:tcW w:w="4819" w:type="dxa"/>
            <w:vAlign w:val="center"/>
          </w:tcPr>
          <w:p w:rsidR="00563A36" w:rsidRPr="00563A36" w:rsidRDefault="00563A36" w:rsidP="00D06F12">
            <w:pPr>
              <w:jc w:val="both"/>
              <w:rPr>
                <w:color w:val="000000"/>
                <w:sz w:val="20"/>
                <w:szCs w:val="20"/>
              </w:rPr>
            </w:pPr>
            <w:r w:rsidRPr="00563A36">
              <w:rPr>
                <w:color w:val="000000"/>
                <w:sz w:val="20"/>
                <w:szCs w:val="20"/>
              </w:rPr>
              <w:t xml:space="preserve">ГАУЗ </w:t>
            </w:r>
            <w:r w:rsidR="002F7358">
              <w:rPr>
                <w:color w:val="000000"/>
                <w:sz w:val="20"/>
                <w:szCs w:val="20"/>
              </w:rPr>
              <w:t>«</w:t>
            </w:r>
            <w:r w:rsidRPr="00563A36">
              <w:rPr>
                <w:color w:val="000000"/>
                <w:sz w:val="20"/>
                <w:szCs w:val="20"/>
              </w:rPr>
              <w:t>Новошешминская ЦРБ</w:t>
            </w:r>
            <w:r w:rsidR="002F7358">
              <w:rPr>
                <w:color w:val="000000"/>
                <w:sz w:val="20"/>
                <w:szCs w:val="20"/>
              </w:rPr>
              <w:t>»</w:t>
            </w:r>
          </w:p>
        </w:tc>
        <w:tc>
          <w:tcPr>
            <w:tcW w:w="3544" w:type="dxa"/>
          </w:tcPr>
          <w:p w:rsidR="00563A36" w:rsidRPr="00563A36" w:rsidRDefault="00563A36" w:rsidP="00894D08">
            <w:pPr>
              <w:pStyle w:val="af9"/>
              <w:ind w:left="0"/>
              <w:contextualSpacing w:val="0"/>
              <w:jc w:val="center"/>
              <w:rPr>
                <w:sz w:val="20"/>
                <w:szCs w:val="20"/>
                <w:lang w:val="ru-RU"/>
              </w:rPr>
            </w:pPr>
            <w:r w:rsidRPr="00563A36">
              <w:rPr>
                <w:sz w:val="20"/>
                <w:szCs w:val="20"/>
              </w:rPr>
              <w:t>поликлиника</w:t>
            </w:r>
          </w:p>
        </w:tc>
        <w:tc>
          <w:tcPr>
            <w:tcW w:w="4921" w:type="dxa"/>
            <w:tcBorders>
              <w:top w:val="single" w:sz="4" w:space="0" w:color="auto"/>
              <w:left w:val="single" w:sz="4" w:space="0" w:color="auto"/>
              <w:bottom w:val="single" w:sz="4" w:space="0" w:color="auto"/>
              <w:right w:val="single" w:sz="4" w:space="0" w:color="auto"/>
            </w:tcBorders>
            <w:shd w:val="clear" w:color="000000" w:fill="FFFFFF"/>
          </w:tcPr>
          <w:p w:rsidR="00563A36" w:rsidRPr="00563A36" w:rsidRDefault="004D2021" w:rsidP="00D06F12">
            <w:pPr>
              <w:autoSpaceDE/>
              <w:autoSpaceDN/>
              <w:adjustRightInd/>
              <w:jc w:val="both"/>
              <w:rPr>
                <w:color w:val="000000"/>
                <w:sz w:val="20"/>
                <w:szCs w:val="20"/>
              </w:rPr>
            </w:pPr>
            <w:r>
              <w:rPr>
                <w:color w:val="000000"/>
                <w:sz w:val="20"/>
                <w:szCs w:val="20"/>
              </w:rPr>
              <w:t>п</w:t>
            </w:r>
            <w:r w:rsidR="00563A36" w:rsidRPr="00563A36">
              <w:rPr>
                <w:color w:val="000000"/>
                <w:sz w:val="20"/>
                <w:szCs w:val="20"/>
              </w:rPr>
              <w:t>ервичный онкологический кабинет</w:t>
            </w:r>
          </w:p>
        </w:tc>
      </w:tr>
      <w:tr w:rsidR="00563A36" w:rsidRPr="00563A36" w:rsidTr="000B1BA9">
        <w:trPr>
          <w:trHeight w:val="20"/>
        </w:trPr>
        <w:tc>
          <w:tcPr>
            <w:tcW w:w="846" w:type="dxa"/>
          </w:tcPr>
          <w:p w:rsidR="00563A36" w:rsidRPr="00563A36" w:rsidRDefault="00563A36" w:rsidP="00894D08">
            <w:pPr>
              <w:jc w:val="center"/>
              <w:rPr>
                <w:color w:val="000000"/>
                <w:sz w:val="20"/>
                <w:szCs w:val="20"/>
              </w:rPr>
            </w:pPr>
            <w:r w:rsidRPr="00563A36">
              <w:rPr>
                <w:color w:val="000000"/>
                <w:sz w:val="20"/>
                <w:szCs w:val="20"/>
              </w:rPr>
              <w:t>29</w:t>
            </w:r>
            <w:r w:rsidR="00D06F12">
              <w:rPr>
                <w:color w:val="000000"/>
                <w:sz w:val="20"/>
                <w:szCs w:val="20"/>
              </w:rPr>
              <w:t>.</w:t>
            </w:r>
          </w:p>
        </w:tc>
        <w:tc>
          <w:tcPr>
            <w:tcW w:w="4819" w:type="dxa"/>
            <w:vAlign w:val="center"/>
          </w:tcPr>
          <w:p w:rsidR="00563A36" w:rsidRPr="00563A36" w:rsidRDefault="00563A36" w:rsidP="00D06F12">
            <w:pPr>
              <w:jc w:val="both"/>
              <w:rPr>
                <w:color w:val="000000"/>
                <w:sz w:val="20"/>
                <w:szCs w:val="20"/>
              </w:rPr>
            </w:pPr>
            <w:r w:rsidRPr="00563A36">
              <w:rPr>
                <w:color w:val="000000"/>
                <w:sz w:val="20"/>
                <w:szCs w:val="20"/>
              </w:rPr>
              <w:t xml:space="preserve">ГАУЗ </w:t>
            </w:r>
            <w:r w:rsidR="002F7358">
              <w:rPr>
                <w:color w:val="000000"/>
                <w:sz w:val="20"/>
                <w:szCs w:val="20"/>
              </w:rPr>
              <w:t>«</w:t>
            </w:r>
            <w:r w:rsidRPr="00563A36">
              <w:rPr>
                <w:color w:val="000000"/>
                <w:sz w:val="20"/>
                <w:szCs w:val="20"/>
              </w:rPr>
              <w:t>Нурлатская ЦРБ</w:t>
            </w:r>
            <w:r w:rsidR="002F7358">
              <w:rPr>
                <w:color w:val="000000"/>
                <w:sz w:val="20"/>
                <w:szCs w:val="20"/>
              </w:rPr>
              <w:t>»</w:t>
            </w:r>
          </w:p>
        </w:tc>
        <w:tc>
          <w:tcPr>
            <w:tcW w:w="3544" w:type="dxa"/>
          </w:tcPr>
          <w:p w:rsidR="00563A36" w:rsidRPr="00563A36" w:rsidRDefault="00563A36" w:rsidP="00894D08">
            <w:pPr>
              <w:pStyle w:val="af9"/>
              <w:ind w:left="0"/>
              <w:contextualSpacing w:val="0"/>
              <w:jc w:val="center"/>
              <w:rPr>
                <w:sz w:val="20"/>
                <w:szCs w:val="20"/>
                <w:lang w:val="ru-RU"/>
              </w:rPr>
            </w:pPr>
            <w:r w:rsidRPr="00563A36">
              <w:rPr>
                <w:sz w:val="20"/>
                <w:szCs w:val="20"/>
              </w:rPr>
              <w:t>поликлиника</w:t>
            </w:r>
          </w:p>
        </w:tc>
        <w:tc>
          <w:tcPr>
            <w:tcW w:w="4921" w:type="dxa"/>
            <w:tcBorders>
              <w:top w:val="single" w:sz="4" w:space="0" w:color="auto"/>
              <w:left w:val="single" w:sz="4" w:space="0" w:color="auto"/>
              <w:bottom w:val="single" w:sz="4" w:space="0" w:color="auto"/>
              <w:right w:val="single" w:sz="4" w:space="0" w:color="auto"/>
            </w:tcBorders>
            <w:shd w:val="clear" w:color="000000" w:fill="FFFFFF"/>
          </w:tcPr>
          <w:p w:rsidR="00563A36" w:rsidRPr="00563A36" w:rsidRDefault="004D2021" w:rsidP="00D06F12">
            <w:pPr>
              <w:autoSpaceDE/>
              <w:autoSpaceDN/>
              <w:adjustRightInd/>
              <w:jc w:val="both"/>
              <w:rPr>
                <w:color w:val="000000"/>
                <w:sz w:val="20"/>
                <w:szCs w:val="20"/>
              </w:rPr>
            </w:pPr>
            <w:r>
              <w:rPr>
                <w:color w:val="000000"/>
                <w:sz w:val="20"/>
                <w:szCs w:val="20"/>
              </w:rPr>
              <w:t>п</w:t>
            </w:r>
            <w:r w:rsidR="00563A36" w:rsidRPr="00563A36">
              <w:rPr>
                <w:color w:val="000000"/>
                <w:sz w:val="20"/>
                <w:szCs w:val="20"/>
              </w:rPr>
              <w:t>ервичный онкологический кабинет</w:t>
            </w:r>
          </w:p>
        </w:tc>
      </w:tr>
      <w:tr w:rsidR="00563A36" w:rsidRPr="00563A36" w:rsidTr="000B1BA9">
        <w:trPr>
          <w:trHeight w:val="20"/>
        </w:trPr>
        <w:tc>
          <w:tcPr>
            <w:tcW w:w="846" w:type="dxa"/>
          </w:tcPr>
          <w:p w:rsidR="00563A36" w:rsidRPr="00563A36" w:rsidRDefault="00563A36" w:rsidP="00894D08">
            <w:pPr>
              <w:jc w:val="center"/>
              <w:rPr>
                <w:color w:val="000000"/>
                <w:sz w:val="20"/>
                <w:szCs w:val="20"/>
              </w:rPr>
            </w:pPr>
            <w:r w:rsidRPr="00563A36">
              <w:rPr>
                <w:color w:val="000000"/>
                <w:sz w:val="20"/>
                <w:szCs w:val="20"/>
              </w:rPr>
              <w:t>30</w:t>
            </w:r>
            <w:r w:rsidR="00D06F12">
              <w:rPr>
                <w:color w:val="000000"/>
                <w:sz w:val="20"/>
                <w:szCs w:val="20"/>
              </w:rPr>
              <w:t>.</w:t>
            </w:r>
          </w:p>
        </w:tc>
        <w:tc>
          <w:tcPr>
            <w:tcW w:w="4819" w:type="dxa"/>
            <w:vAlign w:val="center"/>
          </w:tcPr>
          <w:p w:rsidR="00563A36" w:rsidRPr="00563A36" w:rsidRDefault="00563A36" w:rsidP="00D06F12">
            <w:pPr>
              <w:jc w:val="both"/>
              <w:rPr>
                <w:color w:val="000000"/>
                <w:sz w:val="20"/>
                <w:szCs w:val="20"/>
              </w:rPr>
            </w:pPr>
            <w:r w:rsidRPr="00563A36">
              <w:rPr>
                <w:color w:val="000000"/>
                <w:sz w:val="20"/>
                <w:szCs w:val="20"/>
              </w:rPr>
              <w:t xml:space="preserve">ГАУЗ </w:t>
            </w:r>
            <w:r w:rsidR="002F7358">
              <w:rPr>
                <w:color w:val="000000"/>
                <w:sz w:val="20"/>
                <w:szCs w:val="20"/>
              </w:rPr>
              <w:t>«</w:t>
            </w:r>
            <w:r w:rsidRPr="00563A36">
              <w:rPr>
                <w:color w:val="000000"/>
                <w:sz w:val="20"/>
                <w:szCs w:val="20"/>
              </w:rPr>
              <w:t>Пестречинская ЦРБ</w:t>
            </w:r>
            <w:r w:rsidR="002F7358">
              <w:rPr>
                <w:color w:val="000000"/>
                <w:sz w:val="20"/>
                <w:szCs w:val="20"/>
              </w:rPr>
              <w:t>»</w:t>
            </w:r>
          </w:p>
        </w:tc>
        <w:tc>
          <w:tcPr>
            <w:tcW w:w="3544" w:type="dxa"/>
          </w:tcPr>
          <w:p w:rsidR="00563A36" w:rsidRPr="00563A36" w:rsidRDefault="00563A36" w:rsidP="00894D08">
            <w:pPr>
              <w:pStyle w:val="af9"/>
              <w:ind w:left="0"/>
              <w:contextualSpacing w:val="0"/>
              <w:jc w:val="center"/>
              <w:rPr>
                <w:sz w:val="20"/>
                <w:szCs w:val="20"/>
                <w:lang w:val="ru-RU"/>
              </w:rPr>
            </w:pPr>
            <w:r w:rsidRPr="00563A36">
              <w:rPr>
                <w:sz w:val="20"/>
                <w:szCs w:val="20"/>
              </w:rPr>
              <w:t>поликлиника</w:t>
            </w:r>
          </w:p>
        </w:tc>
        <w:tc>
          <w:tcPr>
            <w:tcW w:w="4921" w:type="dxa"/>
            <w:tcBorders>
              <w:top w:val="single" w:sz="4" w:space="0" w:color="auto"/>
              <w:left w:val="single" w:sz="4" w:space="0" w:color="auto"/>
              <w:bottom w:val="single" w:sz="4" w:space="0" w:color="auto"/>
              <w:right w:val="single" w:sz="4" w:space="0" w:color="auto"/>
            </w:tcBorders>
            <w:shd w:val="clear" w:color="000000" w:fill="FFFFFF"/>
          </w:tcPr>
          <w:p w:rsidR="00563A36" w:rsidRPr="00563A36" w:rsidRDefault="004D2021" w:rsidP="00D06F12">
            <w:pPr>
              <w:autoSpaceDE/>
              <w:autoSpaceDN/>
              <w:adjustRightInd/>
              <w:jc w:val="both"/>
              <w:rPr>
                <w:color w:val="000000"/>
                <w:sz w:val="20"/>
                <w:szCs w:val="20"/>
              </w:rPr>
            </w:pPr>
            <w:r>
              <w:rPr>
                <w:color w:val="000000"/>
                <w:sz w:val="20"/>
                <w:szCs w:val="20"/>
              </w:rPr>
              <w:t>п</w:t>
            </w:r>
            <w:r w:rsidR="00563A36" w:rsidRPr="00563A36">
              <w:rPr>
                <w:color w:val="000000"/>
                <w:sz w:val="20"/>
                <w:szCs w:val="20"/>
              </w:rPr>
              <w:t>ервичный онкологический кабинет</w:t>
            </w:r>
          </w:p>
        </w:tc>
      </w:tr>
      <w:tr w:rsidR="00563A36" w:rsidRPr="00563A36" w:rsidTr="000B1BA9">
        <w:trPr>
          <w:trHeight w:val="20"/>
        </w:trPr>
        <w:tc>
          <w:tcPr>
            <w:tcW w:w="846" w:type="dxa"/>
          </w:tcPr>
          <w:p w:rsidR="00563A36" w:rsidRPr="00563A36" w:rsidRDefault="00563A36" w:rsidP="00894D08">
            <w:pPr>
              <w:jc w:val="center"/>
              <w:rPr>
                <w:color w:val="000000"/>
                <w:sz w:val="20"/>
                <w:szCs w:val="20"/>
              </w:rPr>
            </w:pPr>
            <w:r w:rsidRPr="00563A36">
              <w:rPr>
                <w:color w:val="000000"/>
                <w:sz w:val="20"/>
                <w:szCs w:val="20"/>
              </w:rPr>
              <w:t>31</w:t>
            </w:r>
            <w:r w:rsidR="00D06F12">
              <w:rPr>
                <w:color w:val="000000"/>
                <w:sz w:val="20"/>
                <w:szCs w:val="20"/>
              </w:rPr>
              <w:t>.</w:t>
            </w:r>
          </w:p>
        </w:tc>
        <w:tc>
          <w:tcPr>
            <w:tcW w:w="4819" w:type="dxa"/>
            <w:vAlign w:val="center"/>
          </w:tcPr>
          <w:p w:rsidR="00563A36" w:rsidRPr="00563A36" w:rsidRDefault="00563A36" w:rsidP="00D06F12">
            <w:pPr>
              <w:jc w:val="both"/>
              <w:rPr>
                <w:color w:val="000000"/>
                <w:sz w:val="20"/>
                <w:szCs w:val="20"/>
              </w:rPr>
            </w:pPr>
            <w:r w:rsidRPr="00563A36">
              <w:rPr>
                <w:color w:val="000000"/>
                <w:sz w:val="20"/>
                <w:szCs w:val="20"/>
              </w:rPr>
              <w:t xml:space="preserve">ГАУЗ </w:t>
            </w:r>
            <w:r w:rsidR="002F7358">
              <w:rPr>
                <w:color w:val="000000"/>
                <w:sz w:val="20"/>
                <w:szCs w:val="20"/>
              </w:rPr>
              <w:t>«</w:t>
            </w:r>
            <w:r w:rsidRPr="00563A36">
              <w:rPr>
                <w:color w:val="000000"/>
                <w:sz w:val="20"/>
                <w:szCs w:val="20"/>
              </w:rPr>
              <w:t>Рыбно-Слободская ЦРБ</w:t>
            </w:r>
            <w:r w:rsidR="002F7358">
              <w:rPr>
                <w:color w:val="000000"/>
                <w:sz w:val="20"/>
                <w:szCs w:val="20"/>
              </w:rPr>
              <w:t>»</w:t>
            </w:r>
          </w:p>
        </w:tc>
        <w:tc>
          <w:tcPr>
            <w:tcW w:w="3544" w:type="dxa"/>
          </w:tcPr>
          <w:p w:rsidR="00563A36" w:rsidRPr="00563A36" w:rsidRDefault="00563A36" w:rsidP="00894D08">
            <w:pPr>
              <w:pStyle w:val="af9"/>
              <w:ind w:left="0"/>
              <w:contextualSpacing w:val="0"/>
              <w:jc w:val="center"/>
              <w:rPr>
                <w:sz w:val="20"/>
                <w:szCs w:val="20"/>
                <w:lang w:val="ru-RU"/>
              </w:rPr>
            </w:pPr>
            <w:r w:rsidRPr="00563A36">
              <w:rPr>
                <w:sz w:val="20"/>
                <w:szCs w:val="20"/>
              </w:rPr>
              <w:t>поликлиника</w:t>
            </w:r>
          </w:p>
        </w:tc>
        <w:tc>
          <w:tcPr>
            <w:tcW w:w="4921" w:type="dxa"/>
            <w:tcBorders>
              <w:top w:val="single" w:sz="4" w:space="0" w:color="auto"/>
              <w:left w:val="single" w:sz="4" w:space="0" w:color="auto"/>
              <w:bottom w:val="single" w:sz="4" w:space="0" w:color="auto"/>
              <w:right w:val="single" w:sz="4" w:space="0" w:color="auto"/>
            </w:tcBorders>
            <w:shd w:val="clear" w:color="000000" w:fill="FFFFFF"/>
          </w:tcPr>
          <w:p w:rsidR="00563A36" w:rsidRPr="00563A36" w:rsidRDefault="004D2021" w:rsidP="00D06F12">
            <w:pPr>
              <w:autoSpaceDE/>
              <w:autoSpaceDN/>
              <w:adjustRightInd/>
              <w:jc w:val="both"/>
              <w:rPr>
                <w:color w:val="000000"/>
                <w:sz w:val="20"/>
                <w:szCs w:val="20"/>
              </w:rPr>
            </w:pPr>
            <w:r>
              <w:rPr>
                <w:color w:val="000000"/>
                <w:sz w:val="20"/>
                <w:szCs w:val="20"/>
              </w:rPr>
              <w:t>п</w:t>
            </w:r>
            <w:r w:rsidR="00563A36" w:rsidRPr="00563A36">
              <w:rPr>
                <w:color w:val="000000"/>
                <w:sz w:val="20"/>
                <w:szCs w:val="20"/>
              </w:rPr>
              <w:t>ервичный онкологический кабинет</w:t>
            </w:r>
          </w:p>
        </w:tc>
      </w:tr>
      <w:tr w:rsidR="00563A36" w:rsidRPr="00563A36" w:rsidTr="000B1BA9">
        <w:trPr>
          <w:trHeight w:val="20"/>
        </w:trPr>
        <w:tc>
          <w:tcPr>
            <w:tcW w:w="846" w:type="dxa"/>
          </w:tcPr>
          <w:p w:rsidR="00563A36" w:rsidRPr="00563A36" w:rsidRDefault="00563A36" w:rsidP="00894D08">
            <w:pPr>
              <w:jc w:val="center"/>
              <w:rPr>
                <w:color w:val="000000"/>
                <w:sz w:val="20"/>
                <w:szCs w:val="20"/>
              </w:rPr>
            </w:pPr>
            <w:r w:rsidRPr="00563A36">
              <w:rPr>
                <w:color w:val="000000"/>
                <w:sz w:val="20"/>
                <w:szCs w:val="20"/>
              </w:rPr>
              <w:t>32</w:t>
            </w:r>
            <w:r w:rsidR="00D06F12">
              <w:rPr>
                <w:color w:val="000000"/>
                <w:sz w:val="20"/>
                <w:szCs w:val="20"/>
              </w:rPr>
              <w:t>.</w:t>
            </w:r>
          </w:p>
        </w:tc>
        <w:tc>
          <w:tcPr>
            <w:tcW w:w="4819" w:type="dxa"/>
            <w:vAlign w:val="center"/>
          </w:tcPr>
          <w:p w:rsidR="00563A36" w:rsidRPr="00563A36" w:rsidRDefault="00563A36" w:rsidP="00D06F12">
            <w:pPr>
              <w:jc w:val="both"/>
              <w:rPr>
                <w:color w:val="000000"/>
                <w:sz w:val="20"/>
                <w:szCs w:val="20"/>
              </w:rPr>
            </w:pPr>
            <w:r w:rsidRPr="00563A36">
              <w:rPr>
                <w:color w:val="000000"/>
                <w:sz w:val="20"/>
                <w:szCs w:val="20"/>
              </w:rPr>
              <w:t xml:space="preserve">ГАУЗ </w:t>
            </w:r>
            <w:r w:rsidR="002F7358">
              <w:rPr>
                <w:color w:val="000000"/>
                <w:sz w:val="20"/>
                <w:szCs w:val="20"/>
              </w:rPr>
              <w:t>«</w:t>
            </w:r>
            <w:r w:rsidRPr="00563A36">
              <w:rPr>
                <w:color w:val="000000"/>
                <w:sz w:val="20"/>
                <w:szCs w:val="20"/>
              </w:rPr>
              <w:t>Сармановская ЦРБ</w:t>
            </w:r>
            <w:r w:rsidR="002F7358">
              <w:rPr>
                <w:color w:val="000000"/>
                <w:sz w:val="20"/>
                <w:szCs w:val="20"/>
              </w:rPr>
              <w:t>»</w:t>
            </w:r>
          </w:p>
        </w:tc>
        <w:tc>
          <w:tcPr>
            <w:tcW w:w="3544" w:type="dxa"/>
          </w:tcPr>
          <w:p w:rsidR="00563A36" w:rsidRPr="00563A36" w:rsidRDefault="00563A36" w:rsidP="00894D08">
            <w:pPr>
              <w:pStyle w:val="af9"/>
              <w:ind w:left="0"/>
              <w:contextualSpacing w:val="0"/>
              <w:jc w:val="center"/>
              <w:rPr>
                <w:sz w:val="20"/>
                <w:szCs w:val="20"/>
                <w:lang w:val="ru-RU"/>
              </w:rPr>
            </w:pPr>
            <w:r w:rsidRPr="00563A36">
              <w:rPr>
                <w:sz w:val="20"/>
                <w:szCs w:val="20"/>
              </w:rPr>
              <w:t>поликлиника</w:t>
            </w:r>
          </w:p>
        </w:tc>
        <w:tc>
          <w:tcPr>
            <w:tcW w:w="4921" w:type="dxa"/>
            <w:tcBorders>
              <w:top w:val="single" w:sz="4" w:space="0" w:color="auto"/>
              <w:left w:val="single" w:sz="4" w:space="0" w:color="auto"/>
              <w:bottom w:val="single" w:sz="4" w:space="0" w:color="auto"/>
              <w:right w:val="single" w:sz="4" w:space="0" w:color="auto"/>
            </w:tcBorders>
            <w:shd w:val="clear" w:color="000000" w:fill="FFFFFF"/>
          </w:tcPr>
          <w:p w:rsidR="00563A36" w:rsidRPr="00563A36" w:rsidRDefault="004D2021" w:rsidP="00D06F12">
            <w:pPr>
              <w:autoSpaceDE/>
              <w:autoSpaceDN/>
              <w:adjustRightInd/>
              <w:jc w:val="both"/>
              <w:rPr>
                <w:color w:val="000000"/>
                <w:sz w:val="20"/>
                <w:szCs w:val="20"/>
              </w:rPr>
            </w:pPr>
            <w:r>
              <w:rPr>
                <w:color w:val="000000"/>
                <w:sz w:val="20"/>
                <w:szCs w:val="20"/>
              </w:rPr>
              <w:t>п</w:t>
            </w:r>
            <w:r w:rsidR="00563A36" w:rsidRPr="00563A36">
              <w:rPr>
                <w:color w:val="000000"/>
                <w:sz w:val="20"/>
                <w:szCs w:val="20"/>
              </w:rPr>
              <w:t>ервичный онкологический кабинет</w:t>
            </w:r>
          </w:p>
        </w:tc>
      </w:tr>
      <w:tr w:rsidR="00563A36" w:rsidRPr="00563A36" w:rsidTr="000B1BA9">
        <w:trPr>
          <w:trHeight w:val="20"/>
        </w:trPr>
        <w:tc>
          <w:tcPr>
            <w:tcW w:w="846" w:type="dxa"/>
          </w:tcPr>
          <w:p w:rsidR="00563A36" w:rsidRPr="00563A36" w:rsidRDefault="00563A36" w:rsidP="00894D08">
            <w:pPr>
              <w:jc w:val="center"/>
              <w:rPr>
                <w:color w:val="000000"/>
                <w:sz w:val="20"/>
                <w:szCs w:val="20"/>
              </w:rPr>
            </w:pPr>
            <w:r w:rsidRPr="00563A36">
              <w:rPr>
                <w:color w:val="000000"/>
                <w:sz w:val="20"/>
                <w:szCs w:val="20"/>
              </w:rPr>
              <w:t>33</w:t>
            </w:r>
            <w:r w:rsidR="00D06F12">
              <w:rPr>
                <w:color w:val="000000"/>
                <w:sz w:val="20"/>
                <w:szCs w:val="20"/>
              </w:rPr>
              <w:t>.</w:t>
            </w:r>
          </w:p>
        </w:tc>
        <w:tc>
          <w:tcPr>
            <w:tcW w:w="4819" w:type="dxa"/>
            <w:vAlign w:val="center"/>
          </w:tcPr>
          <w:p w:rsidR="00563A36" w:rsidRPr="00563A36" w:rsidRDefault="00563A36" w:rsidP="00D06F12">
            <w:pPr>
              <w:jc w:val="both"/>
              <w:rPr>
                <w:color w:val="000000"/>
                <w:sz w:val="20"/>
                <w:szCs w:val="20"/>
              </w:rPr>
            </w:pPr>
            <w:r w:rsidRPr="00563A36">
              <w:rPr>
                <w:color w:val="000000"/>
                <w:sz w:val="20"/>
                <w:szCs w:val="20"/>
              </w:rPr>
              <w:t xml:space="preserve">ГАУЗ </w:t>
            </w:r>
            <w:r w:rsidR="002F7358">
              <w:rPr>
                <w:color w:val="000000"/>
                <w:sz w:val="20"/>
                <w:szCs w:val="20"/>
              </w:rPr>
              <w:t>«</w:t>
            </w:r>
            <w:r w:rsidRPr="00563A36">
              <w:rPr>
                <w:color w:val="000000"/>
                <w:sz w:val="20"/>
                <w:szCs w:val="20"/>
              </w:rPr>
              <w:t>Спасская ЦРБ</w:t>
            </w:r>
            <w:r w:rsidR="002F7358">
              <w:rPr>
                <w:color w:val="000000"/>
                <w:sz w:val="20"/>
                <w:szCs w:val="20"/>
              </w:rPr>
              <w:t>»</w:t>
            </w:r>
          </w:p>
        </w:tc>
        <w:tc>
          <w:tcPr>
            <w:tcW w:w="3544" w:type="dxa"/>
          </w:tcPr>
          <w:p w:rsidR="00563A36" w:rsidRPr="00563A36" w:rsidRDefault="00563A36" w:rsidP="00894D08">
            <w:pPr>
              <w:pStyle w:val="af9"/>
              <w:ind w:left="0"/>
              <w:contextualSpacing w:val="0"/>
              <w:jc w:val="center"/>
              <w:rPr>
                <w:sz w:val="20"/>
                <w:szCs w:val="20"/>
                <w:lang w:val="ru-RU"/>
              </w:rPr>
            </w:pPr>
            <w:r w:rsidRPr="00563A36">
              <w:rPr>
                <w:sz w:val="20"/>
                <w:szCs w:val="20"/>
              </w:rPr>
              <w:t>поликлиника</w:t>
            </w:r>
          </w:p>
        </w:tc>
        <w:tc>
          <w:tcPr>
            <w:tcW w:w="4921" w:type="dxa"/>
            <w:tcBorders>
              <w:top w:val="single" w:sz="4" w:space="0" w:color="auto"/>
              <w:left w:val="single" w:sz="4" w:space="0" w:color="auto"/>
              <w:bottom w:val="single" w:sz="4" w:space="0" w:color="auto"/>
              <w:right w:val="single" w:sz="4" w:space="0" w:color="auto"/>
            </w:tcBorders>
            <w:shd w:val="clear" w:color="000000" w:fill="FFFFFF"/>
          </w:tcPr>
          <w:p w:rsidR="00563A36" w:rsidRPr="00563A36" w:rsidRDefault="004D2021" w:rsidP="00D06F12">
            <w:pPr>
              <w:autoSpaceDE/>
              <w:autoSpaceDN/>
              <w:adjustRightInd/>
              <w:jc w:val="both"/>
              <w:rPr>
                <w:color w:val="000000"/>
                <w:sz w:val="20"/>
                <w:szCs w:val="20"/>
              </w:rPr>
            </w:pPr>
            <w:r>
              <w:rPr>
                <w:color w:val="000000"/>
                <w:sz w:val="20"/>
                <w:szCs w:val="20"/>
              </w:rPr>
              <w:t>п</w:t>
            </w:r>
            <w:r w:rsidR="00563A36" w:rsidRPr="00563A36">
              <w:rPr>
                <w:color w:val="000000"/>
                <w:sz w:val="20"/>
                <w:szCs w:val="20"/>
              </w:rPr>
              <w:t>ервичный онкологический кабинет</w:t>
            </w:r>
          </w:p>
        </w:tc>
      </w:tr>
      <w:tr w:rsidR="00563A36" w:rsidRPr="00563A36" w:rsidTr="000B1BA9">
        <w:trPr>
          <w:trHeight w:val="20"/>
        </w:trPr>
        <w:tc>
          <w:tcPr>
            <w:tcW w:w="846" w:type="dxa"/>
          </w:tcPr>
          <w:p w:rsidR="00563A36" w:rsidRPr="00563A36" w:rsidRDefault="00563A36" w:rsidP="00894D08">
            <w:pPr>
              <w:jc w:val="center"/>
              <w:rPr>
                <w:color w:val="000000"/>
                <w:sz w:val="20"/>
                <w:szCs w:val="20"/>
              </w:rPr>
            </w:pPr>
            <w:r w:rsidRPr="00563A36">
              <w:rPr>
                <w:color w:val="000000"/>
                <w:sz w:val="20"/>
                <w:szCs w:val="20"/>
              </w:rPr>
              <w:t>34</w:t>
            </w:r>
            <w:r w:rsidR="00D06F12">
              <w:rPr>
                <w:color w:val="000000"/>
                <w:sz w:val="20"/>
                <w:szCs w:val="20"/>
              </w:rPr>
              <w:t>.</w:t>
            </w:r>
          </w:p>
        </w:tc>
        <w:tc>
          <w:tcPr>
            <w:tcW w:w="4819" w:type="dxa"/>
            <w:vAlign w:val="center"/>
          </w:tcPr>
          <w:p w:rsidR="00563A36" w:rsidRPr="00563A36" w:rsidRDefault="00563A36" w:rsidP="00D06F12">
            <w:pPr>
              <w:jc w:val="both"/>
              <w:rPr>
                <w:color w:val="000000"/>
                <w:sz w:val="20"/>
                <w:szCs w:val="20"/>
              </w:rPr>
            </w:pPr>
            <w:r w:rsidRPr="00563A36">
              <w:rPr>
                <w:color w:val="000000"/>
                <w:sz w:val="20"/>
                <w:szCs w:val="20"/>
              </w:rPr>
              <w:t xml:space="preserve">ГАУЗ </w:t>
            </w:r>
            <w:r w:rsidR="002F7358">
              <w:rPr>
                <w:color w:val="000000"/>
                <w:sz w:val="20"/>
                <w:szCs w:val="20"/>
              </w:rPr>
              <w:t>«</w:t>
            </w:r>
            <w:r w:rsidRPr="00563A36">
              <w:rPr>
                <w:color w:val="000000"/>
                <w:sz w:val="20"/>
                <w:szCs w:val="20"/>
              </w:rPr>
              <w:t>Тетюшская ЦРБ</w:t>
            </w:r>
            <w:r w:rsidR="002F7358">
              <w:rPr>
                <w:color w:val="000000"/>
                <w:sz w:val="20"/>
                <w:szCs w:val="20"/>
              </w:rPr>
              <w:t>»</w:t>
            </w:r>
          </w:p>
        </w:tc>
        <w:tc>
          <w:tcPr>
            <w:tcW w:w="3544" w:type="dxa"/>
          </w:tcPr>
          <w:p w:rsidR="00563A36" w:rsidRPr="00563A36" w:rsidRDefault="00563A36" w:rsidP="00894D08">
            <w:pPr>
              <w:pStyle w:val="af9"/>
              <w:ind w:left="0"/>
              <w:contextualSpacing w:val="0"/>
              <w:jc w:val="center"/>
              <w:rPr>
                <w:sz w:val="20"/>
                <w:szCs w:val="20"/>
                <w:lang w:val="ru-RU"/>
              </w:rPr>
            </w:pPr>
            <w:r w:rsidRPr="00563A36">
              <w:rPr>
                <w:sz w:val="20"/>
                <w:szCs w:val="20"/>
              </w:rPr>
              <w:t>поликлиника</w:t>
            </w:r>
          </w:p>
        </w:tc>
        <w:tc>
          <w:tcPr>
            <w:tcW w:w="4921" w:type="dxa"/>
            <w:tcBorders>
              <w:top w:val="single" w:sz="4" w:space="0" w:color="auto"/>
              <w:left w:val="single" w:sz="4" w:space="0" w:color="auto"/>
              <w:bottom w:val="single" w:sz="4" w:space="0" w:color="auto"/>
              <w:right w:val="single" w:sz="4" w:space="0" w:color="auto"/>
            </w:tcBorders>
            <w:shd w:val="clear" w:color="000000" w:fill="FFFFFF"/>
          </w:tcPr>
          <w:p w:rsidR="00563A36" w:rsidRPr="00563A36" w:rsidRDefault="004D2021" w:rsidP="00D06F12">
            <w:pPr>
              <w:autoSpaceDE/>
              <w:autoSpaceDN/>
              <w:adjustRightInd/>
              <w:jc w:val="both"/>
              <w:rPr>
                <w:color w:val="000000"/>
                <w:sz w:val="20"/>
                <w:szCs w:val="20"/>
              </w:rPr>
            </w:pPr>
            <w:r>
              <w:rPr>
                <w:color w:val="000000"/>
                <w:sz w:val="20"/>
                <w:szCs w:val="20"/>
              </w:rPr>
              <w:t>п</w:t>
            </w:r>
            <w:r w:rsidR="00563A36" w:rsidRPr="00563A36">
              <w:rPr>
                <w:color w:val="000000"/>
                <w:sz w:val="20"/>
                <w:szCs w:val="20"/>
              </w:rPr>
              <w:t>ервичный онкологический кабинет</w:t>
            </w:r>
          </w:p>
        </w:tc>
      </w:tr>
      <w:tr w:rsidR="00563A36" w:rsidRPr="00563A36" w:rsidTr="000B1BA9">
        <w:trPr>
          <w:trHeight w:val="20"/>
        </w:trPr>
        <w:tc>
          <w:tcPr>
            <w:tcW w:w="846" w:type="dxa"/>
          </w:tcPr>
          <w:p w:rsidR="00563A36" w:rsidRPr="00563A36" w:rsidRDefault="00563A36" w:rsidP="00894D08">
            <w:pPr>
              <w:jc w:val="center"/>
              <w:rPr>
                <w:color w:val="000000"/>
                <w:sz w:val="20"/>
                <w:szCs w:val="20"/>
              </w:rPr>
            </w:pPr>
            <w:r w:rsidRPr="00563A36">
              <w:rPr>
                <w:color w:val="000000"/>
                <w:sz w:val="20"/>
                <w:szCs w:val="20"/>
              </w:rPr>
              <w:t>35</w:t>
            </w:r>
            <w:r w:rsidR="00D06F12">
              <w:rPr>
                <w:color w:val="000000"/>
                <w:sz w:val="20"/>
                <w:szCs w:val="20"/>
              </w:rPr>
              <w:t>.</w:t>
            </w:r>
          </w:p>
        </w:tc>
        <w:tc>
          <w:tcPr>
            <w:tcW w:w="4819" w:type="dxa"/>
            <w:vAlign w:val="center"/>
          </w:tcPr>
          <w:p w:rsidR="00563A36" w:rsidRPr="00563A36" w:rsidRDefault="00563A36" w:rsidP="00D06F12">
            <w:pPr>
              <w:jc w:val="both"/>
              <w:rPr>
                <w:color w:val="000000"/>
                <w:sz w:val="20"/>
                <w:szCs w:val="20"/>
              </w:rPr>
            </w:pPr>
            <w:r w:rsidRPr="00563A36">
              <w:rPr>
                <w:color w:val="000000"/>
                <w:sz w:val="20"/>
                <w:szCs w:val="20"/>
              </w:rPr>
              <w:t xml:space="preserve">ГАУЗ </w:t>
            </w:r>
            <w:r w:rsidR="002F7358">
              <w:rPr>
                <w:color w:val="000000"/>
                <w:sz w:val="20"/>
                <w:szCs w:val="20"/>
              </w:rPr>
              <w:t>«</w:t>
            </w:r>
            <w:r w:rsidRPr="00563A36">
              <w:rPr>
                <w:color w:val="000000"/>
                <w:sz w:val="20"/>
                <w:szCs w:val="20"/>
              </w:rPr>
              <w:t>Тукаевская ЦРБ</w:t>
            </w:r>
            <w:r w:rsidR="002F7358">
              <w:rPr>
                <w:color w:val="000000"/>
                <w:sz w:val="20"/>
                <w:szCs w:val="20"/>
              </w:rPr>
              <w:t>»</w:t>
            </w:r>
          </w:p>
        </w:tc>
        <w:tc>
          <w:tcPr>
            <w:tcW w:w="3544" w:type="dxa"/>
          </w:tcPr>
          <w:p w:rsidR="00563A36" w:rsidRPr="00563A36" w:rsidRDefault="00563A36" w:rsidP="00894D08">
            <w:pPr>
              <w:pStyle w:val="af9"/>
              <w:ind w:left="0"/>
              <w:contextualSpacing w:val="0"/>
              <w:jc w:val="center"/>
              <w:rPr>
                <w:sz w:val="20"/>
                <w:szCs w:val="20"/>
                <w:lang w:val="ru-RU"/>
              </w:rPr>
            </w:pPr>
            <w:r w:rsidRPr="00563A36">
              <w:rPr>
                <w:sz w:val="20"/>
                <w:szCs w:val="20"/>
              </w:rPr>
              <w:t>поликлиника</w:t>
            </w:r>
          </w:p>
        </w:tc>
        <w:tc>
          <w:tcPr>
            <w:tcW w:w="4921" w:type="dxa"/>
            <w:tcBorders>
              <w:top w:val="single" w:sz="4" w:space="0" w:color="auto"/>
              <w:left w:val="single" w:sz="4" w:space="0" w:color="auto"/>
              <w:bottom w:val="single" w:sz="4" w:space="0" w:color="auto"/>
              <w:right w:val="single" w:sz="4" w:space="0" w:color="auto"/>
            </w:tcBorders>
            <w:shd w:val="clear" w:color="000000" w:fill="FFFFFF"/>
          </w:tcPr>
          <w:p w:rsidR="00563A36" w:rsidRPr="00563A36" w:rsidRDefault="004D2021" w:rsidP="00D06F12">
            <w:pPr>
              <w:autoSpaceDE/>
              <w:autoSpaceDN/>
              <w:adjustRightInd/>
              <w:jc w:val="both"/>
              <w:rPr>
                <w:color w:val="000000"/>
                <w:sz w:val="20"/>
                <w:szCs w:val="20"/>
              </w:rPr>
            </w:pPr>
            <w:r>
              <w:rPr>
                <w:color w:val="000000"/>
                <w:sz w:val="20"/>
                <w:szCs w:val="20"/>
              </w:rPr>
              <w:t>п</w:t>
            </w:r>
            <w:r w:rsidR="00563A36" w:rsidRPr="00563A36">
              <w:rPr>
                <w:color w:val="000000"/>
                <w:sz w:val="20"/>
                <w:szCs w:val="20"/>
              </w:rPr>
              <w:t>ервичный онкологический кабинет</w:t>
            </w:r>
          </w:p>
        </w:tc>
      </w:tr>
      <w:tr w:rsidR="00563A36" w:rsidRPr="00563A36" w:rsidTr="000B1BA9">
        <w:trPr>
          <w:trHeight w:val="20"/>
        </w:trPr>
        <w:tc>
          <w:tcPr>
            <w:tcW w:w="846" w:type="dxa"/>
          </w:tcPr>
          <w:p w:rsidR="00563A36" w:rsidRPr="00563A36" w:rsidRDefault="00563A36" w:rsidP="00894D08">
            <w:pPr>
              <w:jc w:val="center"/>
              <w:rPr>
                <w:color w:val="000000"/>
                <w:sz w:val="20"/>
                <w:szCs w:val="20"/>
              </w:rPr>
            </w:pPr>
            <w:r w:rsidRPr="00563A36">
              <w:rPr>
                <w:color w:val="000000"/>
                <w:sz w:val="20"/>
                <w:szCs w:val="20"/>
              </w:rPr>
              <w:t>36</w:t>
            </w:r>
            <w:r w:rsidR="00D06F12">
              <w:rPr>
                <w:color w:val="000000"/>
                <w:sz w:val="20"/>
                <w:szCs w:val="20"/>
              </w:rPr>
              <w:t>.</w:t>
            </w:r>
          </w:p>
        </w:tc>
        <w:tc>
          <w:tcPr>
            <w:tcW w:w="4819" w:type="dxa"/>
            <w:vAlign w:val="center"/>
          </w:tcPr>
          <w:p w:rsidR="00563A36" w:rsidRPr="00563A36" w:rsidRDefault="00563A36" w:rsidP="00D06F12">
            <w:pPr>
              <w:jc w:val="both"/>
              <w:rPr>
                <w:color w:val="000000"/>
                <w:sz w:val="20"/>
                <w:szCs w:val="20"/>
              </w:rPr>
            </w:pPr>
            <w:r w:rsidRPr="00563A36">
              <w:rPr>
                <w:color w:val="000000"/>
                <w:sz w:val="20"/>
                <w:szCs w:val="20"/>
              </w:rPr>
              <w:t xml:space="preserve">ГАУЗ </w:t>
            </w:r>
            <w:r w:rsidR="002F7358">
              <w:rPr>
                <w:color w:val="000000"/>
                <w:sz w:val="20"/>
                <w:szCs w:val="20"/>
              </w:rPr>
              <w:t>«</w:t>
            </w:r>
            <w:r w:rsidRPr="00563A36">
              <w:rPr>
                <w:color w:val="000000"/>
                <w:sz w:val="20"/>
                <w:szCs w:val="20"/>
              </w:rPr>
              <w:t>Тюлячинская ЦРБ</w:t>
            </w:r>
            <w:r w:rsidR="002F7358">
              <w:rPr>
                <w:color w:val="000000"/>
                <w:sz w:val="20"/>
                <w:szCs w:val="20"/>
              </w:rPr>
              <w:t>»</w:t>
            </w:r>
          </w:p>
        </w:tc>
        <w:tc>
          <w:tcPr>
            <w:tcW w:w="3544" w:type="dxa"/>
          </w:tcPr>
          <w:p w:rsidR="00563A36" w:rsidRPr="00563A36" w:rsidRDefault="00563A36" w:rsidP="00894D08">
            <w:pPr>
              <w:pStyle w:val="af9"/>
              <w:ind w:left="0"/>
              <w:contextualSpacing w:val="0"/>
              <w:jc w:val="center"/>
              <w:rPr>
                <w:sz w:val="20"/>
                <w:szCs w:val="20"/>
                <w:lang w:val="ru-RU"/>
              </w:rPr>
            </w:pPr>
            <w:r w:rsidRPr="00563A36">
              <w:rPr>
                <w:sz w:val="20"/>
                <w:szCs w:val="20"/>
              </w:rPr>
              <w:t>поликлиника</w:t>
            </w:r>
          </w:p>
        </w:tc>
        <w:tc>
          <w:tcPr>
            <w:tcW w:w="4921" w:type="dxa"/>
            <w:tcBorders>
              <w:top w:val="single" w:sz="4" w:space="0" w:color="auto"/>
              <w:left w:val="single" w:sz="4" w:space="0" w:color="auto"/>
              <w:bottom w:val="single" w:sz="4" w:space="0" w:color="auto"/>
              <w:right w:val="single" w:sz="4" w:space="0" w:color="auto"/>
            </w:tcBorders>
            <w:shd w:val="clear" w:color="000000" w:fill="FFFFFF"/>
          </w:tcPr>
          <w:p w:rsidR="00563A36" w:rsidRPr="00563A36" w:rsidRDefault="004D2021" w:rsidP="00D06F12">
            <w:pPr>
              <w:autoSpaceDE/>
              <w:autoSpaceDN/>
              <w:adjustRightInd/>
              <w:jc w:val="both"/>
              <w:rPr>
                <w:color w:val="000000"/>
                <w:sz w:val="20"/>
                <w:szCs w:val="20"/>
              </w:rPr>
            </w:pPr>
            <w:r>
              <w:rPr>
                <w:color w:val="000000"/>
                <w:sz w:val="20"/>
                <w:szCs w:val="20"/>
              </w:rPr>
              <w:t>п</w:t>
            </w:r>
            <w:r w:rsidR="00563A36" w:rsidRPr="00563A36">
              <w:rPr>
                <w:color w:val="000000"/>
                <w:sz w:val="20"/>
                <w:szCs w:val="20"/>
              </w:rPr>
              <w:t>ервичный онкологический кабинет</w:t>
            </w:r>
          </w:p>
        </w:tc>
      </w:tr>
      <w:tr w:rsidR="00563A36" w:rsidRPr="00563A36" w:rsidTr="000B1BA9">
        <w:trPr>
          <w:trHeight w:val="20"/>
        </w:trPr>
        <w:tc>
          <w:tcPr>
            <w:tcW w:w="846" w:type="dxa"/>
          </w:tcPr>
          <w:p w:rsidR="00563A36" w:rsidRPr="00563A36" w:rsidRDefault="00563A36" w:rsidP="00894D08">
            <w:pPr>
              <w:jc w:val="center"/>
              <w:rPr>
                <w:color w:val="000000"/>
                <w:sz w:val="20"/>
                <w:szCs w:val="20"/>
              </w:rPr>
            </w:pPr>
            <w:r w:rsidRPr="00563A36">
              <w:rPr>
                <w:color w:val="000000"/>
                <w:sz w:val="20"/>
                <w:szCs w:val="20"/>
              </w:rPr>
              <w:t>37</w:t>
            </w:r>
            <w:r w:rsidR="00D06F12">
              <w:rPr>
                <w:color w:val="000000"/>
                <w:sz w:val="20"/>
                <w:szCs w:val="20"/>
              </w:rPr>
              <w:t>.</w:t>
            </w:r>
          </w:p>
        </w:tc>
        <w:tc>
          <w:tcPr>
            <w:tcW w:w="4819" w:type="dxa"/>
            <w:vAlign w:val="center"/>
          </w:tcPr>
          <w:p w:rsidR="00563A36" w:rsidRPr="00563A36" w:rsidRDefault="00563A36" w:rsidP="00D06F12">
            <w:pPr>
              <w:jc w:val="both"/>
              <w:rPr>
                <w:color w:val="000000"/>
                <w:sz w:val="20"/>
                <w:szCs w:val="20"/>
              </w:rPr>
            </w:pPr>
            <w:r w:rsidRPr="00563A36">
              <w:rPr>
                <w:color w:val="000000"/>
                <w:sz w:val="20"/>
                <w:szCs w:val="20"/>
              </w:rPr>
              <w:t xml:space="preserve">ГАУЗ </w:t>
            </w:r>
            <w:r w:rsidR="002F7358">
              <w:rPr>
                <w:color w:val="000000"/>
                <w:sz w:val="20"/>
                <w:szCs w:val="20"/>
              </w:rPr>
              <w:t>«</w:t>
            </w:r>
            <w:r w:rsidRPr="00563A36">
              <w:rPr>
                <w:color w:val="000000"/>
                <w:sz w:val="20"/>
                <w:szCs w:val="20"/>
              </w:rPr>
              <w:t>Черемшанская ЦРБ</w:t>
            </w:r>
            <w:r w:rsidR="002F7358">
              <w:rPr>
                <w:color w:val="000000"/>
                <w:sz w:val="20"/>
                <w:szCs w:val="20"/>
              </w:rPr>
              <w:t>»</w:t>
            </w:r>
          </w:p>
        </w:tc>
        <w:tc>
          <w:tcPr>
            <w:tcW w:w="3544" w:type="dxa"/>
          </w:tcPr>
          <w:p w:rsidR="00563A36" w:rsidRPr="00563A36" w:rsidRDefault="00563A36" w:rsidP="00894D08">
            <w:pPr>
              <w:pStyle w:val="af9"/>
              <w:ind w:left="0"/>
              <w:contextualSpacing w:val="0"/>
              <w:jc w:val="center"/>
              <w:rPr>
                <w:sz w:val="20"/>
                <w:szCs w:val="20"/>
                <w:lang w:val="ru-RU"/>
              </w:rPr>
            </w:pPr>
            <w:r w:rsidRPr="00563A36">
              <w:rPr>
                <w:sz w:val="20"/>
                <w:szCs w:val="20"/>
              </w:rPr>
              <w:t>поликлиника</w:t>
            </w:r>
          </w:p>
        </w:tc>
        <w:tc>
          <w:tcPr>
            <w:tcW w:w="4921" w:type="dxa"/>
            <w:tcBorders>
              <w:top w:val="single" w:sz="4" w:space="0" w:color="auto"/>
              <w:left w:val="single" w:sz="4" w:space="0" w:color="auto"/>
              <w:bottom w:val="single" w:sz="4" w:space="0" w:color="auto"/>
              <w:right w:val="single" w:sz="4" w:space="0" w:color="auto"/>
            </w:tcBorders>
            <w:shd w:val="clear" w:color="000000" w:fill="FFFFFF"/>
          </w:tcPr>
          <w:p w:rsidR="00563A36" w:rsidRPr="00563A36" w:rsidRDefault="004D2021" w:rsidP="00D06F12">
            <w:pPr>
              <w:autoSpaceDE/>
              <w:autoSpaceDN/>
              <w:adjustRightInd/>
              <w:jc w:val="both"/>
              <w:rPr>
                <w:color w:val="000000"/>
                <w:sz w:val="20"/>
                <w:szCs w:val="20"/>
              </w:rPr>
            </w:pPr>
            <w:r>
              <w:rPr>
                <w:color w:val="000000"/>
                <w:sz w:val="20"/>
                <w:szCs w:val="20"/>
              </w:rPr>
              <w:t>п</w:t>
            </w:r>
            <w:r w:rsidR="00563A36" w:rsidRPr="00563A36">
              <w:rPr>
                <w:color w:val="000000"/>
                <w:sz w:val="20"/>
                <w:szCs w:val="20"/>
              </w:rPr>
              <w:t>ервичный онкологический кабинет</w:t>
            </w:r>
          </w:p>
        </w:tc>
      </w:tr>
      <w:tr w:rsidR="00563A36" w:rsidRPr="00563A36" w:rsidTr="000B1BA9">
        <w:trPr>
          <w:trHeight w:val="20"/>
        </w:trPr>
        <w:tc>
          <w:tcPr>
            <w:tcW w:w="846" w:type="dxa"/>
          </w:tcPr>
          <w:p w:rsidR="00563A36" w:rsidRPr="00563A36" w:rsidRDefault="00563A36" w:rsidP="00894D08">
            <w:pPr>
              <w:jc w:val="center"/>
              <w:rPr>
                <w:color w:val="000000"/>
                <w:sz w:val="20"/>
                <w:szCs w:val="20"/>
              </w:rPr>
            </w:pPr>
            <w:r w:rsidRPr="00563A36">
              <w:rPr>
                <w:color w:val="000000"/>
                <w:sz w:val="20"/>
                <w:szCs w:val="20"/>
              </w:rPr>
              <w:t>38</w:t>
            </w:r>
            <w:r w:rsidR="00D06F12">
              <w:rPr>
                <w:color w:val="000000"/>
                <w:sz w:val="20"/>
                <w:szCs w:val="20"/>
              </w:rPr>
              <w:t>.</w:t>
            </w:r>
          </w:p>
        </w:tc>
        <w:tc>
          <w:tcPr>
            <w:tcW w:w="4819" w:type="dxa"/>
            <w:vAlign w:val="center"/>
          </w:tcPr>
          <w:p w:rsidR="00563A36" w:rsidRPr="00563A36" w:rsidRDefault="00563A36" w:rsidP="00D06F12">
            <w:pPr>
              <w:jc w:val="both"/>
              <w:rPr>
                <w:color w:val="000000"/>
                <w:sz w:val="20"/>
                <w:szCs w:val="20"/>
              </w:rPr>
            </w:pPr>
            <w:r w:rsidRPr="00563A36">
              <w:rPr>
                <w:color w:val="000000"/>
                <w:sz w:val="20"/>
                <w:szCs w:val="20"/>
              </w:rPr>
              <w:t xml:space="preserve">ГАУЗ </w:t>
            </w:r>
            <w:r w:rsidR="002F7358">
              <w:rPr>
                <w:color w:val="000000"/>
                <w:sz w:val="20"/>
                <w:szCs w:val="20"/>
              </w:rPr>
              <w:t>«</w:t>
            </w:r>
            <w:r w:rsidRPr="00563A36">
              <w:rPr>
                <w:color w:val="000000"/>
                <w:sz w:val="20"/>
                <w:szCs w:val="20"/>
              </w:rPr>
              <w:t>Уруссинская ЦРБ Ютазинского муниципального района</w:t>
            </w:r>
            <w:r w:rsidR="002F7358">
              <w:rPr>
                <w:color w:val="000000"/>
                <w:sz w:val="20"/>
                <w:szCs w:val="20"/>
              </w:rPr>
              <w:t>»</w:t>
            </w:r>
          </w:p>
        </w:tc>
        <w:tc>
          <w:tcPr>
            <w:tcW w:w="3544" w:type="dxa"/>
          </w:tcPr>
          <w:p w:rsidR="00563A36" w:rsidRPr="00563A36" w:rsidRDefault="00563A36" w:rsidP="00894D08">
            <w:pPr>
              <w:pStyle w:val="af9"/>
              <w:ind w:left="0"/>
              <w:contextualSpacing w:val="0"/>
              <w:jc w:val="center"/>
              <w:rPr>
                <w:sz w:val="20"/>
                <w:szCs w:val="20"/>
                <w:lang w:val="ru-RU"/>
              </w:rPr>
            </w:pPr>
            <w:r w:rsidRPr="00563A36">
              <w:rPr>
                <w:sz w:val="20"/>
                <w:szCs w:val="20"/>
              </w:rPr>
              <w:t>поликлиника</w:t>
            </w:r>
          </w:p>
        </w:tc>
        <w:tc>
          <w:tcPr>
            <w:tcW w:w="4921" w:type="dxa"/>
            <w:tcBorders>
              <w:top w:val="single" w:sz="4" w:space="0" w:color="auto"/>
              <w:left w:val="single" w:sz="4" w:space="0" w:color="auto"/>
              <w:bottom w:val="single" w:sz="4" w:space="0" w:color="auto"/>
              <w:right w:val="single" w:sz="4" w:space="0" w:color="auto"/>
            </w:tcBorders>
            <w:shd w:val="clear" w:color="000000" w:fill="FFFFFF"/>
          </w:tcPr>
          <w:p w:rsidR="00563A36" w:rsidRPr="00563A36" w:rsidRDefault="004D2021" w:rsidP="00D06F12">
            <w:pPr>
              <w:autoSpaceDE/>
              <w:autoSpaceDN/>
              <w:adjustRightInd/>
              <w:jc w:val="both"/>
              <w:rPr>
                <w:color w:val="000000"/>
                <w:sz w:val="20"/>
                <w:szCs w:val="20"/>
              </w:rPr>
            </w:pPr>
            <w:r>
              <w:rPr>
                <w:color w:val="000000"/>
                <w:sz w:val="20"/>
                <w:szCs w:val="20"/>
              </w:rPr>
              <w:t>п</w:t>
            </w:r>
            <w:r w:rsidR="00563A36" w:rsidRPr="00563A36">
              <w:rPr>
                <w:color w:val="000000"/>
                <w:sz w:val="20"/>
                <w:szCs w:val="20"/>
              </w:rPr>
              <w:t>ервичный онкологический кабинет</w:t>
            </w:r>
          </w:p>
        </w:tc>
      </w:tr>
      <w:tr w:rsidR="00563A36" w:rsidRPr="00563A36" w:rsidTr="000B1BA9">
        <w:trPr>
          <w:trHeight w:val="20"/>
        </w:trPr>
        <w:tc>
          <w:tcPr>
            <w:tcW w:w="846" w:type="dxa"/>
          </w:tcPr>
          <w:p w:rsidR="00563A36" w:rsidRPr="00563A36" w:rsidRDefault="00563A36" w:rsidP="00894D08">
            <w:pPr>
              <w:jc w:val="center"/>
              <w:rPr>
                <w:color w:val="000000"/>
                <w:sz w:val="20"/>
                <w:szCs w:val="20"/>
              </w:rPr>
            </w:pPr>
            <w:r w:rsidRPr="00563A36">
              <w:rPr>
                <w:color w:val="000000"/>
                <w:sz w:val="20"/>
                <w:szCs w:val="20"/>
              </w:rPr>
              <w:t>39</w:t>
            </w:r>
            <w:r w:rsidR="00D06F12">
              <w:rPr>
                <w:color w:val="000000"/>
                <w:sz w:val="20"/>
                <w:szCs w:val="20"/>
              </w:rPr>
              <w:t>.</w:t>
            </w:r>
          </w:p>
        </w:tc>
        <w:tc>
          <w:tcPr>
            <w:tcW w:w="4819" w:type="dxa"/>
            <w:vAlign w:val="center"/>
          </w:tcPr>
          <w:p w:rsidR="00563A36" w:rsidRPr="00563A36" w:rsidRDefault="00563A36" w:rsidP="00D06F12">
            <w:pPr>
              <w:jc w:val="both"/>
              <w:rPr>
                <w:color w:val="000000"/>
                <w:sz w:val="20"/>
                <w:szCs w:val="20"/>
              </w:rPr>
            </w:pPr>
            <w:r w:rsidRPr="00563A36">
              <w:rPr>
                <w:color w:val="000000"/>
                <w:sz w:val="20"/>
                <w:szCs w:val="20"/>
              </w:rPr>
              <w:t xml:space="preserve">ГАУЗ </w:t>
            </w:r>
            <w:r w:rsidR="002F7358">
              <w:rPr>
                <w:color w:val="000000"/>
                <w:sz w:val="20"/>
                <w:szCs w:val="20"/>
              </w:rPr>
              <w:t>«</w:t>
            </w:r>
            <w:r w:rsidRPr="00563A36">
              <w:rPr>
                <w:color w:val="000000"/>
                <w:sz w:val="20"/>
                <w:szCs w:val="20"/>
              </w:rPr>
              <w:t>Городская больница № 5</w:t>
            </w:r>
            <w:r w:rsidR="002F7358">
              <w:rPr>
                <w:color w:val="000000"/>
                <w:sz w:val="20"/>
                <w:szCs w:val="20"/>
              </w:rPr>
              <w:t>»</w:t>
            </w:r>
            <w:r w:rsidRPr="00563A36">
              <w:rPr>
                <w:color w:val="000000"/>
                <w:sz w:val="20"/>
                <w:szCs w:val="20"/>
              </w:rPr>
              <w:t xml:space="preserve"> г.Набережные Челны (поликлиника № 5) </w:t>
            </w:r>
          </w:p>
        </w:tc>
        <w:tc>
          <w:tcPr>
            <w:tcW w:w="3544" w:type="dxa"/>
          </w:tcPr>
          <w:p w:rsidR="00563A36" w:rsidRPr="00563A36" w:rsidRDefault="00563A36" w:rsidP="00894D08">
            <w:pPr>
              <w:pStyle w:val="af9"/>
              <w:ind w:left="0"/>
              <w:contextualSpacing w:val="0"/>
              <w:jc w:val="center"/>
              <w:rPr>
                <w:sz w:val="20"/>
                <w:szCs w:val="20"/>
                <w:lang w:val="ru-RU"/>
              </w:rPr>
            </w:pPr>
            <w:r w:rsidRPr="00563A36">
              <w:rPr>
                <w:sz w:val="20"/>
                <w:szCs w:val="20"/>
              </w:rPr>
              <w:t>поликлиника</w:t>
            </w:r>
          </w:p>
        </w:tc>
        <w:tc>
          <w:tcPr>
            <w:tcW w:w="4921" w:type="dxa"/>
            <w:tcBorders>
              <w:top w:val="single" w:sz="4" w:space="0" w:color="auto"/>
              <w:left w:val="single" w:sz="4" w:space="0" w:color="auto"/>
              <w:bottom w:val="single" w:sz="4" w:space="0" w:color="auto"/>
              <w:right w:val="single" w:sz="4" w:space="0" w:color="auto"/>
            </w:tcBorders>
            <w:shd w:val="clear" w:color="000000" w:fill="FFFFFF"/>
          </w:tcPr>
          <w:p w:rsidR="00563A36" w:rsidRPr="00563A36" w:rsidRDefault="004D2021" w:rsidP="00D06F12">
            <w:pPr>
              <w:autoSpaceDE/>
              <w:autoSpaceDN/>
              <w:adjustRightInd/>
              <w:jc w:val="both"/>
              <w:rPr>
                <w:color w:val="000000"/>
                <w:sz w:val="20"/>
                <w:szCs w:val="20"/>
              </w:rPr>
            </w:pPr>
            <w:r>
              <w:rPr>
                <w:color w:val="000000"/>
                <w:sz w:val="20"/>
                <w:szCs w:val="20"/>
              </w:rPr>
              <w:t>п</w:t>
            </w:r>
            <w:r w:rsidR="00563A36" w:rsidRPr="00563A36">
              <w:rPr>
                <w:color w:val="000000"/>
                <w:sz w:val="20"/>
                <w:szCs w:val="20"/>
              </w:rPr>
              <w:t>ервичный онкологический кабинет</w:t>
            </w:r>
          </w:p>
        </w:tc>
      </w:tr>
      <w:tr w:rsidR="00563A36" w:rsidRPr="00563A36" w:rsidTr="000B1BA9">
        <w:trPr>
          <w:trHeight w:val="20"/>
        </w:trPr>
        <w:tc>
          <w:tcPr>
            <w:tcW w:w="846" w:type="dxa"/>
          </w:tcPr>
          <w:p w:rsidR="00563A36" w:rsidRPr="00563A36" w:rsidRDefault="00563A36" w:rsidP="00894D08">
            <w:pPr>
              <w:jc w:val="center"/>
              <w:rPr>
                <w:color w:val="000000"/>
                <w:sz w:val="20"/>
                <w:szCs w:val="20"/>
              </w:rPr>
            </w:pPr>
            <w:r w:rsidRPr="00563A36">
              <w:rPr>
                <w:color w:val="000000"/>
                <w:sz w:val="20"/>
                <w:szCs w:val="20"/>
              </w:rPr>
              <w:t>40</w:t>
            </w:r>
            <w:r w:rsidR="00D06F12">
              <w:rPr>
                <w:color w:val="000000"/>
                <w:sz w:val="20"/>
                <w:szCs w:val="20"/>
              </w:rPr>
              <w:t>.</w:t>
            </w:r>
          </w:p>
        </w:tc>
        <w:tc>
          <w:tcPr>
            <w:tcW w:w="4819" w:type="dxa"/>
            <w:vAlign w:val="center"/>
          </w:tcPr>
          <w:p w:rsidR="00563A36" w:rsidRPr="00563A36" w:rsidRDefault="00563A36" w:rsidP="00D06F12">
            <w:pPr>
              <w:jc w:val="both"/>
              <w:rPr>
                <w:color w:val="000000"/>
                <w:sz w:val="20"/>
                <w:szCs w:val="20"/>
              </w:rPr>
            </w:pPr>
            <w:r w:rsidRPr="00563A36">
              <w:rPr>
                <w:color w:val="000000"/>
                <w:sz w:val="20"/>
                <w:szCs w:val="20"/>
              </w:rPr>
              <w:t xml:space="preserve">ГАУЗ </w:t>
            </w:r>
            <w:r w:rsidR="002F7358">
              <w:rPr>
                <w:color w:val="000000"/>
                <w:sz w:val="20"/>
                <w:szCs w:val="20"/>
              </w:rPr>
              <w:t>«</w:t>
            </w:r>
            <w:r w:rsidRPr="00563A36">
              <w:rPr>
                <w:color w:val="000000"/>
                <w:sz w:val="20"/>
                <w:szCs w:val="20"/>
              </w:rPr>
              <w:t>Городская больница № 5</w:t>
            </w:r>
            <w:r w:rsidR="002F7358">
              <w:rPr>
                <w:color w:val="000000"/>
                <w:sz w:val="20"/>
                <w:szCs w:val="20"/>
              </w:rPr>
              <w:t>»</w:t>
            </w:r>
            <w:r w:rsidRPr="00563A36">
              <w:rPr>
                <w:color w:val="000000"/>
                <w:sz w:val="20"/>
                <w:szCs w:val="20"/>
              </w:rPr>
              <w:t xml:space="preserve"> г.Набережные Челны (поликлиника № 9) </w:t>
            </w:r>
          </w:p>
        </w:tc>
        <w:tc>
          <w:tcPr>
            <w:tcW w:w="3544" w:type="dxa"/>
          </w:tcPr>
          <w:p w:rsidR="00563A36" w:rsidRPr="00563A36" w:rsidRDefault="00563A36" w:rsidP="00894D08">
            <w:pPr>
              <w:pStyle w:val="af9"/>
              <w:ind w:left="0"/>
              <w:contextualSpacing w:val="0"/>
              <w:jc w:val="center"/>
              <w:rPr>
                <w:sz w:val="20"/>
                <w:szCs w:val="20"/>
                <w:lang w:val="ru-RU"/>
              </w:rPr>
            </w:pPr>
            <w:r w:rsidRPr="00563A36">
              <w:rPr>
                <w:sz w:val="20"/>
                <w:szCs w:val="20"/>
              </w:rPr>
              <w:t>поликлиника</w:t>
            </w:r>
          </w:p>
        </w:tc>
        <w:tc>
          <w:tcPr>
            <w:tcW w:w="4921" w:type="dxa"/>
            <w:tcBorders>
              <w:top w:val="single" w:sz="4" w:space="0" w:color="auto"/>
              <w:left w:val="single" w:sz="4" w:space="0" w:color="auto"/>
              <w:bottom w:val="single" w:sz="4" w:space="0" w:color="auto"/>
              <w:right w:val="single" w:sz="4" w:space="0" w:color="auto"/>
            </w:tcBorders>
            <w:shd w:val="clear" w:color="000000" w:fill="FFFFFF"/>
          </w:tcPr>
          <w:p w:rsidR="00563A36" w:rsidRPr="00563A36" w:rsidRDefault="004D2021" w:rsidP="00D06F12">
            <w:pPr>
              <w:autoSpaceDE/>
              <w:autoSpaceDN/>
              <w:adjustRightInd/>
              <w:jc w:val="both"/>
              <w:rPr>
                <w:color w:val="000000"/>
                <w:sz w:val="20"/>
                <w:szCs w:val="20"/>
              </w:rPr>
            </w:pPr>
            <w:r>
              <w:rPr>
                <w:color w:val="000000"/>
                <w:sz w:val="20"/>
                <w:szCs w:val="20"/>
              </w:rPr>
              <w:t>п</w:t>
            </w:r>
            <w:r w:rsidR="00563A36" w:rsidRPr="00563A36">
              <w:rPr>
                <w:color w:val="000000"/>
                <w:sz w:val="20"/>
                <w:szCs w:val="20"/>
              </w:rPr>
              <w:t>ервичный онкологический кабинет</w:t>
            </w:r>
          </w:p>
        </w:tc>
      </w:tr>
      <w:tr w:rsidR="00563A36" w:rsidRPr="00563A36" w:rsidTr="000B1BA9">
        <w:trPr>
          <w:trHeight w:val="20"/>
        </w:trPr>
        <w:tc>
          <w:tcPr>
            <w:tcW w:w="846" w:type="dxa"/>
          </w:tcPr>
          <w:p w:rsidR="00563A36" w:rsidRPr="00563A36" w:rsidRDefault="00563A36" w:rsidP="00894D08">
            <w:pPr>
              <w:jc w:val="center"/>
              <w:rPr>
                <w:color w:val="000000"/>
                <w:sz w:val="20"/>
                <w:szCs w:val="20"/>
              </w:rPr>
            </w:pPr>
            <w:r w:rsidRPr="00563A36">
              <w:rPr>
                <w:color w:val="000000"/>
                <w:sz w:val="20"/>
                <w:szCs w:val="20"/>
              </w:rPr>
              <w:t>41</w:t>
            </w:r>
            <w:r w:rsidR="00D06F12">
              <w:rPr>
                <w:color w:val="000000"/>
                <w:sz w:val="20"/>
                <w:szCs w:val="20"/>
              </w:rPr>
              <w:t>.</w:t>
            </w:r>
          </w:p>
        </w:tc>
        <w:tc>
          <w:tcPr>
            <w:tcW w:w="4819" w:type="dxa"/>
            <w:vAlign w:val="center"/>
          </w:tcPr>
          <w:p w:rsidR="00563A36" w:rsidRPr="00563A36" w:rsidRDefault="00563A36" w:rsidP="00D06F12">
            <w:pPr>
              <w:jc w:val="both"/>
              <w:rPr>
                <w:color w:val="000000"/>
                <w:sz w:val="20"/>
                <w:szCs w:val="20"/>
              </w:rPr>
            </w:pPr>
            <w:r w:rsidRPr="00563A36">
              <w:rPr>
                <w:color w:val="000000"/>
                <w:sz w:val="20"/>
                <w:szCs w:val="20"/>
              </w:rPr>
              <w:t xml:space="preserve">ГАУЗ </w:t>
            </w:r>
            <w:r w:rsidR="002F7358">
              <w:rPr>
                <w:color w:val="000000"/>
                <w:sz w:val="20"/>
                <w:szCs w:val="20"/>
              </w:rPr>
              <w:t>«</w:t>
            </w:r>
            <w:r w:rsidRPr="00563A36">
              <w:rPr>
                <w:color w:val="000000"/>
                <w:sz w:val="20"/>
                <w:szCs w:val="20"/>
              </w:rPr>
              <w:t>Городская больница № 2</w:t>
            </w:r>
            <w:r w:rsidR="002F7358">
              <w:rPr>
                <w:color w:val="000000"/>
                <w:sz w:val="20"/>
                <w:szCs w:val="20"/>
              </w:rPr>
              <w:t>»</w:t>
            </w:r>
            <w:r w:rsidRPr="00563A36">
              <w:rPr>
                <w:color w:val="000000"/>
                <w:sz w:val="20"/>
                <w:szCs w:val="20"/>
              </w:rPr>
              <w:t xml:space="preserve"> г.Набережные Челны</w:t>
            </w:r>
          </w:p>
        </w:tc>
        <w:tc>
          <w:tcPr>
            <w:tcW w:w="3544" w:type="dxa"/>
          </w:tcPr>
          <w:p w:rsidR="00563A36" w:rsidRPr="00563A36" w:rsidRDefault="00563A36" w:rsidP="00894D08">
            <w:pPr>
              <w:pStyle w:val="af9"/>
              <w:ind w:left="0"/>
              <w:contextualSpacing w:val="0"/>
              <w:jc w:val="center"/>
              <w:rPr>
                <w:sz w:val="20"/>
                <w:szCs w:val="20"/>
                <w:lang w:val="ru-RU"/>
              </w:rPr>
            </w:pPr>
            <w:r w:rsidRPr="00563A36">
              <w:rPr>
                <w:sz w:val="20"/>
                <w:szCs w:val="20"/>
              </w:rPr>
              <w:t>поликлиника</w:t>
            </w:r>
          </w:p>
        </w:tc>
        <w:tc>
          <w:tcPr>
            <w:tcW w:w="4921" w:type="dxa"/>
            <w:tcBorders>
              <w:top w:val="single" w:sz="4" w:space="0" w:color="auto"/>
              <w:left w:val="single" w:sz="4" w:space="0" w:color="auto"/>
              <w:bottom w:val="single" w:sz="4" w:space="0" w:color="auto"/>
              <w:right w:val="single" w:sz="4" w:space="0" w:color="auto"/>
            </w:tcBorders>
            <w:shd w:val="clear" w:color="000000" w:fill="FFFFFF"/>
          </w:tcPr>
          <w:p w:rsidR="00563A36" w:rsidRPr="00563A36" w:rsidRDefault="004D2021" w:rsidP="00D06F12">
            <w:pPr>
              <w:autoSpaceDE/>
              <w:autoSpaceDN/>
              <w:adjustRightInd/>
              <w:jc w:val="both"/>
              <w:rPr>
                <w:color w:val="000000"/>
                <w:sz w:val="20"/>
                <w:szCs w:val="20"/>
              </w:rPr>
            </w:pPr>
            <w:r>
              <w:rPr>
                <w:color w:val="000000"/>
                <w:sz w:val="20"/>
                <w:szCs w:val="20"/>
              </w:rPr>
              <w:t>п</w:t>
            </w:r>
            <w:r w:rsidR="00563A36" w:rsidRPr="00563A36">
              <w:rPr>
                <w:color w:val="000000"/>
                <w:sz w:val="20"/>
                <w:szCs w:val="20"/>
              </w:rPr>
              <w:t>ервичный онкологический кабинет</w:t>
            </w:r>
          </w:p>
        </w:tc>
      </w:tr>
      <w:tr w:rsidR="00563A36" w:rsidRPr="00563A36" w:rsidTr="000B1BA9">
        <w:trPr>
          <w:trHeight w:val="20"/>
        </w:trPr>
        <w:tc>
          <w:tcPr>
            <w:tcW w:w="846" w:type="dxa"/>
          </w:tcPr>
          <w:p w:rsidR="00563A36" w:rsidRPr="00563A36" w:rsidRDefault="00563A36" w:rsidP="00894D08">
            <w:pPr>
              <w:jc w:val="center"/>
              <w:rPr>
                <w:color w:val="000000"/>
                <w:sz w:val="20"/>
                <w:szCs w:val="20"/>
              </w:rPr>
            </w:pPr>
            <w:r w:rsidRPr="00563A36">
              <w:rPr>
                <w:color w:val="000000"/>
                <w:sz w:val="20"/>
                <w:szCs w:val="20"/>
              </w:rPr>
              <w:t>42</w:t>
            </w:r>
            <w:r w:rsidR="00D06F12">
              <w:rPr>
                <w:color w:val="000000"/>
                <w:sz w:val="20"/>
                <w:szCs w:val="20"/>
              </w:rPr>
              <w:t>.</w:t>
            </w:r>
          </w:p>
        </w:tc>
        <w:tc>
          <w:tcPr>
            <w:tcW w:w="4819" w:type="dxa"/>
            <w:vAlign w:val="center"/>
          </w:tcPr>
          <w:p w:rsidR="00563A36" w:rsidRPr="00563A36" w:rsidRDefault="00563A36" w:rsidP="00D06F12">
            <w:pPr>
              <w:jc w:val="both"/>
              <w:rPr>
                <w:color w:val="000000"/>
                <w:sz w:val="20"/>
                <w:szCs w:val="20"/>
              </w:rPr>
            </w:pPr>
            <w:r w:rsidRPr="00563A36">
              <w:rPr>
                <w:color w:val="000000"/>
                <w:sz w:val="20"/>
                <w:szCs w:val="20"/>
              </w:rPr>
              <w:t xml:space="preserve">ГАУЗ </w:t>
            </w:r>
            <w:r w:rsidR="002F7358">
              <w:rPr>
                <w:color w:val="000000"/>
                <w:sz w:val="20"/>
                <w:szCs w:val="20"/>
              </w:rPr>
              <w:t>«</w:t>
            </w:r>
            <w:r w:rsidRPr="00563A36">
              <w:rPr>
                <w:color w:val="000000"/>
                <w:sz w:val="20"/>
                <w:szCs w:val="20"/>
              </w:rPr>
              <w:t>Городская</w:t>
            </w:r>
            <w:r w:rsidR="00CC5747">
              <w:rPr>
                <w:color w:val="000000"/>
                <w:sz w:val="20"/>
                <w:szCs w:val="20"/>
              </w:rPr>
              <w:t xml:space="preserve"> </w:t>
            </w:r>
            <w:r w:rsidRPr="00563A36">
              <w:rPr>
                <w:color w:val="000000"/>
                <w:sz w:val="20"/>
                <w:szCs w:val="20"/>
              </w:rPr>
              <w:t>поликлиника № 4 им.Л.Н.Ганиевой</w:t>
            </w:r>
            <w:r w:rsidR="002F7358">
              <w:rPr>
                <w:color w:val="000000"/>
                <w:sz w:val="20"/>
                <w:szCs w:val="20"/>
              </w:rPr>
              <w:t>»</w:t>
            </w:r>
            <w:r w:rsidRPr="00563A36">
              <w:rPr>
                <w:color w:val="000000"/>
                <w:sz w:val="20"/>
                <w:szCs w:val="20"/>
              </w:rPr>
              <w:t xml:space="preserve"> г.Набережные Челны</w:t>
            </w:r>
          </w:p>
        </w:tc>
        <w:tc>
          <w:tcPr>
            <w:tcW w:w="3544" w:type="dxa"/>
          </w:tcPr>
          <w:p w:rsidR="00563A36" w:rsidRPr="00563A36" w:rsidRDefault="00563A36" w:rsidP="00894D08">
            <w:pPr>
              <w:pStyle w:val="af9"/>
              <w:ind w:left="0"/>
              <w:contextualSpacing w:val="0"/>
              <w:jc w:val="center"/>
              <w:rPr>
                <w:sz w:val="20"/>
                <w:szCs w:val="20"/>
                <w:lang w:val="ru-RU"/>
              </w:rPr>
            </w:pPr>
            <w:r w:rsidRPr="00563A36">
              <w:rPr>
                <w:sz w:val="20"/>
                <w:szCs w:val="20"/>
              </w:rPr>
              <w:t>поликлиника</w:t>
            </w:r>
          </w:p>
        </w:tc>
        <w:tc>
          <w:tcPr>
            <w:tcW w:w="4921" w:type="dxa"/>
            <w:tcBorders>
              <w:top w:val="single" w:sz="4" w:space="0" w:color="auto"/>
              <w:left w:val="single" w:sz="4" w:space="0" w:color="auto"/>
              <w:bottom w:val="single" w:sz="4" w:space="0" w:color="auto"/>
              <w:right w:val="single" w:sz="4" w:space="0" w:color="auto"/>
            </w:tcBorders>
            <w:shd w:val="clear" w:color="000000" w:fill="FFFFFF"/>
          </w:tcPr>
          <w:p w:rsidR="00563A36" w:rsidRPr="00563A36" w:rsidRDefault="004D2021" w:rsidP="00D06F12">
            <w:pPr>
              <w:autoSpaceDE/>
              <w:autoSpaceDN/>
              <w:adjustRightInd/>
              <w:jc w:val="both"/>
              <w:rPr>
                <w:color w:val="000000"/>
                <w:sz w:val="20"/>
                <w:szCs w:val="20"/>
              </w:rPr>
            </w:pPr>
            <w:r>
              <w:rPr>
                <w:color w:val="000000"/>
                <w:sz w:val="20"/>
                <w:szCs w:val="20"/>
              </w:rPr>
              <w:t>п</w:t>
            </w:r>
            <w:r w:rsidR="00563A36" w:rsidRPr="00563A36">
              <w:rPr>
                <w:color w:val="000000"/>
                <w:sz w:val="20"/>
                <w:szCs w:val="20"/>
              </w:rPr>
              <w:t>ервичный онкологический кабинет</w:t>
            </w:r>
          </w:p>
        </w:tc>
      </w:tr>
      <w:tr w:rsidR="00563A36" w:rsidRPr="00563A36" w:rsidTr="000B1BA9">
        <w:trPr>
          <w:trHeight w:val="20"/>
        </w:trPr>
        <w:tc>
          <w:tcPr>
            <w:tcW w:w="846" w:type="dxa"/>
          </w:tcPr>
          <w:p w:rsidR="00563A36" w:rsidRPr="00563A36" w:rsidRDefault="00563A36" w:rsidP="00894D08">
            <w:pPr>
              <w:jc w:val="center"/>
              <w:rPr>
                <w:color w:val="000000"/>
                <w:sz w:val="20"/>
                <w:szCs w:val="20"/>
              </w:rPr>
            </w:pPr>
            <w:r w:rsidRPr="00563A36">
              <w:rPr>
                <w:color w:val="000000"/>
                <w:sz w:val="20"/>
                <w:szCs w:val="20"/>
              </w:rPr>
              <w:t>43</w:t>
            </w:r>
            <w:r w:rsidR="00D06F12">
              <w:rPr>
                <w:color w:val="000000"/>
                <w:sz w:val="20"/>
                <w:szCs w:val="20"/>
              </w:rPr>
              <w:t>.</w:t>
            </w:r>
          </w:p>
        </w:tc>
        <w:tc>
          <w:tcPr>
            <w:tcW w:w="4819" w:type="dxa"/>
            <w:vAlign w:val="center"/>
          </w:tcPr>
          <w:p w:rsidR="00563A36" w:rsidRPr="00563A36" w:rsidRDefault="00563A36" w:rsidP="00D06F12">
            <w:pPr>
              <w:jc w:val="both"/>
              <w:rPr>
                <w:color w:val="000000"/>
                <w:sz w:val="20"/>
                <w:szCs w:val="20"/>
              </w:rPr>
            </w:pPr>
            <w:r w:rsidRPr="00563A36">
              <w:rPr>
                <w:color w:val="000000"/>
                <w:sz w:val="20"/>
                <w:szCs w:val="20"/>
              </w:rPr>
              <w:t xml:space="preserve">ГАУЗ </w:t>
            </w:r>
            <w:r w:rsidR="002F7358">
              <w:rPr>
                <w:color w:val="000000"/>
                <w:sz w:val="20"/>
                <w:szCs w:val="20"/>
              </w:rPr>
              <w:t>«</w:t>
            </w:r>
            <w:r w:rsidRPr="00563A36">
              <w:rPr>
                <w:color w:val="000000"/>
                <w:sz w:val="20"/>
                <w:szCs w:val="20"/>
              </w:rPr>
              <w:t>Городская поликлиника № 3</w:t>
            </w:r>
            <w:r w:rsidR="002F7358">
              <w:rPr>
                <w:color w:val="000000"/>
                <w:sz w:val="20"/>
                <w:szCs w:val="20"/>
              </w:rPr>
              <w:t>»</w:t>
            </w:r>
            <w:r w:rsidRPr="00563A36">
              <w:rPr>
                <w:color w:val="000000"/>
                <w:sz w:val="20"/>
                <w:szCs w:val="20"/>
              </w:rPr>
              <w:t xml:space="preserve"> г.Набережные Челны </w:t>
            </w:r>
          </w:p>
        </w:tc>
        <w:tc>
          <w:tcPr>
            <w:tcW w:w="3544" w:type="dxa"/>
          </w:tcPr>
          <w:p w:rsidR="00563A36" w:rsidRPr="00563A36" w:rsidRDefault="00563A36" w:rsidP="00894D08">
            <w:pPr>
              <w:pStyle w:val="af9"/>
              <w:ind w:left="0"/>
              <w:contextualSpacing w:val="0"/>
              <w:jc w:val="center"/>
              <w:rPr>
                <w:sz w:val="20"/>
                <w:szCs w:val="20"/>
                <w:lang w:val="ru-RU"/>
              </w:rPr>
            </w:pPr>
            <w:r w:rsidRPr="00563A36">
              <w:rPr>
                <w:sz w:val="20"/>
                <w:szCs w:val="20"/>
              </w:rPr>
              <w:t>поликлиника</w:t>
            </w:r>
          </w:p>
        </w:tc>
        <w:tc>
          <w:tcPr>
            <w:tcW w:w="4921" w:type="dxa"/>
            <w:tcBorders>
              <w:top w:val="single" w:sz="4" w:space="0" w:color="auto"/>
              <w:left w:val="single" w:sz="4" w:space="0" w:color="auto"/>
              <w:bottom w:val="single" w:sz="4" w:space="0" w:color="auto"/>
              <w:right w:val="single" w:sz="4" w:space="0" w:color="auto"/>
            </w:tcBorders>
            <w:shd w:val="clear" w:color="000000" w:fill="FFFFFF"/>
          </w:tcPr>
          <w:p w:rsidR="00563A36" w:rsidRPr="00563A36" w:rsidRDefault="004D2021" w:rsidP="00D06F12">
            <w:pPr>
              <w:autoSpaceDE/>
              <w:autoSpaceDN/>
              <w:adjustRightInd/>
              <w:jc w:val="both"/>
              <w:rPr>
                <w:color w:val="000000"/>
                <w:sz w:val="20"/>
                <w:szCs w:val="20"/>
              </w:rPr>
            </w:pPr>
            <w:r>
              <w:rPr>
                <w:color w:val="000000"/>
                <w:sz w:val="20"/>
                <w:szCs w:val="20"/>
              </w:rPr>
              <w:t>п</w:t>
            </w:r>
            <w:r w:rsidR="00563A36" w:rsidRPr="00563A36">
              <w:rPr>
                <w:color w:val="000000"/>
                <w:sz w:val="20"/>
                <w:szCs w:val="20"/>
              </w:rPr>
              <w:t>ервичный онкологический кабинет</w:t>
            </w:r>
          </w:p>
        </w:tc>
      </w:tr>
      <w:tr w:rsidR="00563A36" w:rsidRPr="00563A36" w:rsidTr="000B1BA9">
        <w:trPr>
          <w:trHeight w:val="20"/>
        </w:trPr>
        <w:tc>
          <w:tcPr>
            <w:tcW w:w="846" w:type="dxa"/>
          </w:tcPr>
          <w:p w:rsidR="00563A36" w:rsidRPr="00563A36" w:rsidRDefault="00563A36" w:rsidP="00894D08">
            <w:pPr>
              <w:jc w:val="center"/>
              <w:rPr>
                <w:color w:val="000000"/>
                <w:sz w:val="20"/>
                <w:szCs w:val="20"/>
              </w:rPr>
            </w:pPr>
            <w:r w:rsidRPr="00563A36">
              <w:rPr>
                <w:color w:val="000000"/>
                <w:sz w:val="20"/>
                <w:szCs w:val="20"/>
              </w:rPr>
              <w:t>44</w:t>
            </w:r>
            <w:r w:rsidR="00D06F12">
              <w:rPr>
                <w:color w:val="000000"/>
                <w:sz w:val="20"/>
                <w:szCs w:val="20"/>
              </w:rPr>
              <w:t>.</w:t>
            </w:r>
          </w:p>
        </w:tc>
        <w:tc>
          <w:tcPr>
            <w:tcW w:w="4819" w:type="dxa"/>
            <w:vAlign w:val="center"/>
          </w:tcPr>
          <w:p w:rsidR="00563A36" w:rsidRPr="00563A36" w:rsidRDefault="00563A36" w:rsidP="00D06F12">
            <w:pPr>
              <w:jc w:val="both"/>
              <w:rPr>
                <w:color w:val="000000"/>
                <w:sz w:val="20"/>
                <w:szCs w:val="20"/>
              </w:rPr>
            </w:pPr>
            <w:r w:rsidRPr="00563A36">
              <w:rPr>
                <w:color w:val="000000"/>
                <w:sz w:val="20"/>
                <w:szCs w:val="20"/>
              </w:rPr>
              <w:t xml:space="preserve">ГАУЗ </w:t>
            </w:r>
            <w:r w:rsidR="002F7358">
              <w:rPr>
                <w:color w:val="000000"/>
                <w:sz w:val="20"/>
                <w:szCs w:val="20"/>
              </w:rPr>
              <w:t>«</w:t>
            </w:r>
            <w:r w:rsidRPr="00563A36">
              <w:rPr>
                <w:color w:val="000000"/>
                <w:sz w:val="20"/>
                <w:szCs w:val="20"/>
              </w:rPr>
              <w:t>Городская поликлиника № 6</w:t>
            </w:r>
            <w:r w:rsidR="002F7358">
              <w:rPr>
                <w:color w:val="000000"/>
                <w:sz w:val="20"/>
                <w:szCs w:val="20"/>
              </w:rPr>
              <w:t>»</w:t>
            </w:r>
            <w:r w:rsidRPr="00563A36">
              <w:rPr>
                <w:color w:val="000000"/>
                <w:sz w:val="20"/>
                <w:szCs w:val="20"/>
              </w:rPr>
              <w:t xml:space="preserve"> г.Набережные Челны </w:t>
            </w:r>
          </w:p>
        </w:tc>
        <w:tc>
          <w:tcPr>
            <w:tcW w:w="3544" w:type="dxa"/>
          </w:tcPr>
          <w:p w:rsidR="00563A36" w:rsidRPr="00563A36" w:rsidRDefault="00563A36" w:rsidP="00894D08">
            <w:pPr>
              <w:pStyle w:val="af9"/>
              <w:ind w:left="0"/>
              <w:contextualSpacing w:val="0"/>
              <w:jc w:val="center"/>
              <w:rPr>
                <w:sz w:val="20"/>
                <w:szCs w:val="20"/>
                <w:lang w:val="ru-RU"/>
              </w:rPr>
            </w:pPr>
            <w:r w:rsidRPr="00563A36">
              <w:rPr>
                <w:sz w:val="20"/>
                <w:szCs w:val="20"/>
              </w:rPr>
              <w:t>поликлиника</w:t>
            </w:r>
          </w:p>
        </w:tc>
        <w:tc>
          <w:tcPr>
            <w:tcW w:w="4921" w:type="dxa"/>
            <w:tcBorders>
              <w:top w:val="single" w:sz="4" w:space="0" w:color="auto"/>
              <w:left w:val="single" w:sz="4" w:space="0" w:color="auto"/>
              <w:bottom w:val="single" w:sz="4" w:space="0" w:color="auto"/>
              <w:right w:val="single" w:sz="4" w:space="0" w:color="auto"/>
            </w:tcBorders>
            <w:shd w:val="clear" w:color="000000" w:fill="FFFFFF"/>
          </w:tcPr>
          <w:p w:rsidR="00563A36" w:rsidRPr="00563A36" w:rsidRDefault="004D2021" w:rsidP="00D06F12">
            <w:pPr>
              <w:autoSpaceDE/>
              <w:autoSpaceDN/>
              <w:adjustRightInd/>
              <w:jc w:val="both"/>
              <w:rPr>
                <w:color w:val="000000"/>
                <w:sz w:val="20"/>
                <w:szCs w:val="20"/>
              </w:rPr>
            </w:pPr>
            <w:r>
              <w:rPr>
                <w:color w:val="000000"/>
                <w:sz w:val="20"/>
                <w:szCs w:val="20"/>
              </w:rPr>
              <w:t>п</w:t>
            </w:r>
            <w:r w:rsidR="00563A36" w:rsidRPr="00563A36">
              <w:rPr>
                <w:color w:val="000000"/>
                <w:sz w:val="20"/>
                <w:szCs w:val="20"/>
              </w:rPr>
              <w:t>ервичный онкологический кабинет</w:t>
            </w:r>
          </w:p>
        </w:tc>
      </w:tr>
      <w:tr w:rsidR="00563A36" w:rsidRPr="00563A36" w:rsidTr="000B1BA9">
        <w:trPr>
          <w:trHeight w:val="20"/>
        </w:trPr>
        <w:tc>
          <w:tcPr>
            <w:tcW w:w="846" w:type="dxa"/>
          </w:tcPr>
          <w:p w:rsidR="00563A36" w:rsidRPr="00563A36" w:rsidRDefault="00563A36" w:rsidP="00894D08">
            <w:pPr>
              <w:jc w:val="center"/>
              <w:rPr>
                <w:color w:val="000000"/>
                <w:sz w:val="20"/>
                <w:szCs w:val="20"/>
              </w:rPr>
            </w:pPr>
            <w:r w:rsidRPr="00563A36">
              <w:rPr>
                <w:color w:val="000000"/>
                <w:sz w:val="20"/>
                <w:szCs w:val="20"/>
              </w:rPr>
              <w:t>45</w:t>
            </w:r>
            <w:r w:rsidR="00D06F12">
              <w:rPr>
                <w:color w:val="000000"/>
                <w:sz w:val="20"/>
                <w:szCs w:val="20"/>
              </w:rPr>
              <w:t>.</w:t>
            </w:r>
          </w:p>
        </w:tc>
        <w:tc>
          <w:tcPr>
            <w:tcW w:w="4819" w:type="dxa"/>
            <w:vAlign w:val="center"/>
          </w:tcPr>
          <w:p w:rsidR="00563A36" w:rsidRPr="00563A36" w:rsidRDefault="00563A36" w:rsidP="00D06F12">
            <w:pPr>
              <w:jc w:val="both"/>
              <w:rPr>
                <w:color w:val="000000"/>
                <w:sz w:val="20"/>
                <w:szCs w:val="20"/>
              </w:rPr>
            </w:pPr>
            <w:r w:rsidRPr="00563A36">
              <w:rPr>
                <w:color w:val="000000"/>
                <w:sz w:val="20"/>
                <w:szCs w:val="20"/>
              </w:rPr>
              <w:t xml:space="preserve">ГАУЗ </w:t>
            </w:r>
            <w:r w:rsidR="002F7358">
              <w:rPr>
                <w:color w:val="000000"/>
                <w:sz w:val="20"/>
                <w:szCs w:val="20"/>
              </w:rPr>
              <w:t>«</w:t>
            </w:r>
            <w:r w:rsidRPr="00563A36">
              <w:rPr>
                <w:color w:val="000000"/>
                <w:sz w:val="20"/>
                <w:szCs w:val="20"/>
              </w:rPr>
              <w:t>Городская поликлиника № 7</w:t>
            </w:r>
            <w:r w:rsidR="002F7358">
              <w:rPr>
                <w:color w:val="000000"/>
                <w:sz w:val="20"/>
                <w:szCs w:val="20"/>
              </w:rPr>
              <w:t>»</w:t>
            </w:r>
            <w:r w:rsidRPr="00563A36">
              <w:rPr>
                <w:color w:val="000000"/>
                <w:sz w:val="20"/>
                <w:szCs w:val="20"/>
              </w:rPr>
              <w:t xml:space="preserve">  г.Набережные Челны</w:t>
            </w:r>
          </w:p>
        </w:tc>
        <w:tc>
          <w:tcPr>
            <w:tcW w:w="3544" w:type="dxa"/>
          </w:tcPr>
          <w:p w:rsidR="00563A36" w:rsidRPr="00563A36" w:rsidRDefault="00563A36" w:rsidP="00894D08">
            <w:pPr>
              <w:pStyle w:val="af9"/>
              <w:ind w:left="0"/>
              <w:contextualSpacing w:val="0"/>
              <w:jc w:val="center"/>
              <w:rPr>
                <w:sz w:val="20"/>
                <w:szCs w:val="20"/>
                <w:lang w:val="ru-RU"/>
              </w:rPr>
            </w:pPr>
            <w:r w:rsidRPr="00563A36">
              <w:rPr>
                <w:sz w:val="20"/>
                <w:szCs w:val="20"/>
              </w:rPr>
              <w:t>поликлиника</w:t>
            </w:r>
          </w:p>
        </w:tc>
        <w:tc>
          <w:tcPr>
            <w:tcW w:w="4921" w:type="dxa"/>
            <w:tcBorders>
              <w:top w:val="single" w:sz="4" w:space="0" w:color="auto"/>
              <w:left w:val="single" w:sz="4" w:space="0" w:color="auto"/>
              <w:bottom w:val="single" w:sz="4" w:space="0" w:color="auto"/>
              <w:right w:val="single" w:sz="4" w:space="0" w:color="auto"/>
            </w:tcBorders>
            <w:shd w:val="clear" w:color="000000" w:fill="FFFFFF"/>
          </w:tcPr>
          <w:p w:rsidR="00563A36" w:rsidRPr="00563A36" w:rsidRDefault="004D2021" w:rsidP="00D06F12">
            <w:pPr>
              <w:autoSpaceDE/>
              <w:autoSpaceDN/>
              <w:adjustRightInd/>
              <w:jc w:val="both"/>
              <w:rPr>
                <w:color w:val="000000"/>
                <w:sz w:val="20"/>
                <w:szCs w:val="20"/>
              </w:rPr>
            </w:pPr>
            <w:r>
              <w:rPr>
                <w:color w:val="000000"/>
                <w:sz w:val="20"/>
                <w:szCs w:val="20"/>
              </w:rPr>
              <w:t>п</w:t>
            </w:r>
            <w:r w:rsidR="00563A36" w:rsidRPr="00563A36">
              <w:rPr>
                <w:color w:val="000000"/>
                <w:sz w:val="20"/>
                <w:szCs w:val="20"/>
              </w:rPr>
              <w:t>ервичный онкологический кабинет</w:t>
            </w:r>
          </w:p>
        </w:tc>
      </w:tr>
      <w:tr w:rsidR="00563A36" w:rsidRPr="00563A36" w:rsidTr="000B1BA9">
        <w:trPr>
          <w:trHeight w:val="20"/>
        </w:trPr>
        <w:tc>
          <w:tcPr>
            <w:tcW w:w="846" w:type="dxa"/>
          </w:tcPr>
          <w:p w:rsidR="00563A36" w:rsidRPr="00563A36" w:rsidRDefault="00563A36" w:rsidP="00894D08">
            <w:pPr>
              <w:jc w:val="center"/>
              <w:rPr>
                <w:color w:val="000000"/>
                <w:sz w:val="20"/>
                <w:szCs w:val="20"/>
              </w:rPr>
            </w:pPr>
            <w:r w:rsidRPr="00563A36">
              <w:rPr>
                <w:color w:val="000000"/>
                <w:sz w:val="20"/>
                <w:szCs w:val="20"/>
              </w:rPr>
              <w:t>46</w:t>
            </w:r>
            <w:r w:rsidR="00D06F12">
              <w:rPr>
                <w:color w:val="000000"/>
                <w:sz w:val="20"/>
                <w:szCs w:val="20"/>
              </w:rPr>
              <w:t>.</w:t>
            </w:r>
          </w:p>
        </w:tc>
        <w:tc>
          <w:tcPr>
            <w:tcW w:w="4819" w:type="dxa"/>
            <w:vAlign w:val="center"/>
          </w:tcPr>
          <w:p w:rsidR="00563A36" w:rsidRPr="00563A36" w:rsidRDefault="00563A36" w:rsidP="00D06F12">
            <w:pPr>
              <w:jc w:val="both"/>
              <w:rPr>
                <w:color w:val="000000"/>
                <w:sz w:val="20"/>
                <w:szCs w:val="20"/>
              </w:rPr>
            </w:pPr>
            <w:r w:rsidRPr="00563A36">
              <w:rPr>
                <w:color w:val="000000"/>
                <w:sz w:val="20"/>
                <w:szCs w:val="20"/>
              </w:rPr>
              <w:t xml:space="preserve">ГАУЗ </w:t>
            </w:r>
            <w:r w:rsidR="002F7358">
              <w:rPr>
                <w:color w:val="000000"/>
                <w:sz w:val="20"/>
                <w:szCs w:val="20"/>
              </w:rPr>
              <w:t>«</w:t>
            </w:r>
            <w:r w:rsidRPr="00563A36">
              <w:rPr>
                <w:color w:val="000000"/>
                <w:sz w:val="20"/>
                <w:szCs w:val="20"/>
              </w:rPr>
              <w:t>Госпиталь для ветеранов войн</w:t>
            </w:r>
            <w:r w:rsidR="002F7358">
              <w:rPr>
                <w:color w:val="000000"/>
                <w:sz w:val="20"/>
                <w:szCs w:val="20"/>
              </w:rPr>
              <w:t>»</w:t>
            </w:r>
            <w:r w:rsidRPr="00563A36">
              <w:rPr>
                <w:color w:val="000000"/>
                <w:sz w:val="20"/>
                <w:szCs w:val="20"/>
              </w:rPr>
              <w:t xml:space="preserve"> г.Набережные Челны</w:t>
            </w:r>
          </w:p>
        </w:tc>
        <w:tc>
          <w:tcPr>
            <w:tcW w:w="3544" w:type="dxa"/>
          </w:tcPr>
          <w:p w:rsidR="00563A36" w:rsidRPr="00563A36" w:rsidRDefault="00563A36" w:rsidP="00894D08">
            <w:pPr>
              <w:pStyle w:val="af9"/>
              <w:ind w:left="0"/>
              <w:contextualSpacing w:val="0"/>
              <w:jc w:val="center"/>
              <w:rPr>
                <w:sz w:val="20"/>
                <w:szCs w:val="20"/>
                <w:lang w:val="ru-RU"/>
              </w:rPr>
            </w:pPr>
            <w:r w:rsidRPr="00563A36">
              <w:rPr>
                <w:sz w:val="20"/>
                <w:szCs w:val="20"/>
              </w:rPr>
              <w:t>поликлиника</w:t>
            </w:r>
          </w:p>
        </w:tc>
        <w:tc>
          <w:tcPr>
            <w:tcW w:w="4921" w:type="dxa"/>
            <w:tcBorders>
              <w:top w:val="single" w:sz="4" w:space="0" w:color="auto"/>
              <w:left w:val="single" w:sz="4" w:space="0" w:color="auto"/>
              <w:bottom w:val="single" w:sz="4" w:space="0" w:color="auto"/>
              <w:right w:val="single" w:sz="4" w:space="0" w:color="auto"/>
            </w:tcBorders>
            <w:shd w:val="clear" w:color="000000" w:fill="FFFFFF"/>
          </w:tcPr>
          <w:p w:rsidR="00563A36" w:rsidRPr="00563A36" w:rsidRDefault="004D2021" w:rsidP="00D06F12">
            <w:pPr>
              <w:autoSpaceDE/>
              <w:autoSpaceDN/>
              <w:adjustRightInd/>
              <w:jc w:val="both"/>
              <w:rPr>
                <w:color w:val="000000"/>
                <w:sz w:val="20"/>
                <w:szCs w:val="20"/>
              </w:rPr>
            </w:pPr>
            <w:r>
              <w:rPr>
                <w:color w:val="000000"/>
                <w:sz w:val="20"/>
                <w:szCs w:val="20"/>
              </w:rPr>
              <w:t>п</w:t>
            </w:r>
            <w:r w:rsidR="00563A36" w:rsidRPr="00563A36">
              <w:rPr>
                <w:color w:val="000000"/>
                <w:sz w:val="20"/>
                <w:szCs w:val="20"/>
              </w:rPr>
              <w:t>ервичный онкологический кабинет</w:t>
            </w:r>
          </w:p>
        </w:tc>
      </w:tr>
      <w:tr w:rsidR="00563A36" w:rsidRPr="00563A36" w:rsidTr="000B1BA9">
        <w:trPr>
          <w:trHeight w:val="20"/>
        </w:trPr>
        <w:tc>
          <w:tcPr>
            <w:tcW w:w="846" w:type="dxa"/>
          </w:tcPr>
          <w:p w:rsidR="00563A36" w:rsidRPr="00563A36" w:rsidRDefault="00563A36" w:rsidP="00894D08">
            <w:pPr>
              <w:jc w:val="center"/>
              <w:rPr>
                <w:color w:val="000000"/>
                <w:sz w:val="20"/>
                <w:szCs w:val="20"/>
              </w:rPr>
            </w:pPr>
            <w:r w:rsidRPr="00563A36">
              <w:rPr>
                <w:color w:val="000000"/>
                <w:sz w:val="20"/>
                <w:szCs w:val="20"/>
              </w:rPr>
              <w:t>47</w:t>
            </w:r>
            <w:r w:rsidR="00D06F12">
              <w:rPr>
                <w:color w:val="000000"/>
                <w:sz w:val="20"/>
                <w:szCs w:val="20"/>
              </w:rPr>
              <w:t>.</w:t>
            </w:r>
          </w:p>
        </w:tc>
        <w:tc>
          <w:tcPr>
            <w:tcW w:w="4819" w:type="dxa"/>
            <w:vAlign w:val="center"/>
          </w:tcPr>
          <w:p w:rsidR="00563A36" w:rsidRPr="00563A36" w:rsidRDefault="00563A36" w:rsidP="00D06F12">
            <w:pPr>
              <w:jc w:val="both"/>
              <w:rPr>
                <w:color w:val="000000"/>
                <w:sz w:val="20"/>
                <w:szCs w:val="20"/>
              </w:rPr>
            </w:pPr>
            <w:r w:rsidRPr="00563A36">
              <w:rPr>
                <w:color w:val="000000"/>
                <w:sz w:val="20"/>
                <w:szCs w:val="20"/>
              </w:rPr>
              <w:t xml:space="preserve">ГАУЗ </w:t>
            </w:r>
            <w:r w:rsidR="002F7358">
              <w:rPr>
                <w:color w:val="000000"/>
                <w:sz w:val="20"/>
                <w:szCs w:val="20"/>
              </w:rPr>
              <w:t>«</w:t>
            </w:r>
            <w:r w:rsidRPr="00563A36">
              <w:rPr>
                <w:color w:val="000000"/>
                <w:sz w:val="20"/>
                <w:szCs w:val="20"/>
              </w:rPr>
              <w:t>Городская больница № 11</w:t>
            </w:r>
            <w:r w:rsidR="002F7358">
              <w:rPr>
                <w:color w:val="000000"/>
                <w:sz w:val="20"/>
                <w:szCs w:val="20"/>
              </w:rPr>
              <w:t>»</w:t>
            </w:r>
            <w:r w:rsidRPr="00563A36">
              <w:rPr>
                <w:color w:val="000000"/>
                <w:sz w:val="20"/>
                <w:szCs w:val="20"/>
              </w:rPr>
              <w:t xml:space="preserve"> г.Казани </w:t>
            </w:r>
          </w:p>
        </w:tc>
        <w:tc>
          <w:tcPr>
            <w:tcW w:w="3544" w:type="dxa"/>
          </w:tcPr>
          <w:p w:rsidR="00563A36" w:rsidRPr="00563A36" w:rsidRDefault="00563A36" w:rsidP="00894D08">
            <w:pPr>
              <w:pStyle w:val="af9"/>
              <w:ind w:left="0"/>
              <w:contextualSpacing w:val="0"/>
              <w:jc w:val="center"/>
              <w:rPr>
                <w:sz w:val="20"/>
                <w:szCs w:val="20"/>
                <w:lang w:val="ru-RU"/>
              </w:rPr>
            </w:pPr>
            <w:r w:rsidRPr="00563A36">
              <w:rPr>
                <w:sz w:val="20"/>
                <w:szCs w:val="20"/>
              </w:rPr>
              <w:t>поликлиника</w:t>
            </w:r>
          </w:p>
        </w:tc>
        <w:tc>
          <w:tcPr>
            <w:tcW w:w="4921" w:type="dxa"/>
            <w:tcBorders>
              <w:top w:val="single" w:sz="4" w:space="0" w:color="auto"/>
              <w:left w:val="single" w:sz="4" w:space="0" w:color="auto"/>
              <w:bottom w:val="single" w:sz="4" w:space="0" w:color="auto"/>
              <w:right w:val="single" w:sz="4" w:space="0" w:color="auto"/>
            </w:tcBorders>
            <w:shd w:val="clear" w:color="000000" w:fill="FFFFFF"/>
          </w:tcPr>
          <w:p w:rsidR="00563A36" w:rsidRPr="00563A36" w:rsidRDefault="004D2021" w:rsidP="00D06F12">
            <w:pPr>
              <w:autoSpaceDE/>
              <w:autoSpaceDN/>
              <w:adjustRightInd/>
              <w:jc w:val="both"/>
              <w:rPr>
                <w:color w:val="000000"/>
                <w:sz w:val="20"/>
                <w:szCs w:val="20"/>
              </w:rPr>
            </w:pPr>
            <w:r>
              <w:rPr>
                <w:color w:val="000000"/>
                <w:sz w:val="20"/>
                <w:szCs w:val="20"/>
              </w:rPr>
              <w:t>п</w:t>
            </w:r>
            <w:r w:rsidR="00563A36" w:rsidRPr="00563A36">
              <w:rPr>
                <w:color w:val="000000"/>
                <w:sz w:val="20"/>
                <w:szCs w:val="20"/>
              </w:rPr>
              <w:t>ервичный онкологический кабинет</w:t>
            </w:r>
          </w:p>
        </w:tc>
      </w:tr>
      <w:tr w:rsidR="00563A36" w:rsidRPr="00563A36" w:rsidTr="000B1BA9">
        <w:trPr>
          <w:trHeight w:val="20"/>
        </w:trPr>
        <w:tc>
          <w:tcPr>
            <w:tcW w:w="846" w:type="dxa"/>
          </w:tcPr>
          <w:p w:rsidR="00563A36" w:rsidRPr="00563A36" w:rsidRDefault="00563A36" w:rsidP="00894D08">
            <w:pPr>
              <w:jc w:val="center"/>
              <w:rPr>
                <w:color w:val="000000"/>
                <w:sz w:val="20"/>
                <w:szCs w:val="20"/>
              </w:rPr>
            </w:pPr>
            <w:r w:rsidRPr="00563A36">
              <w:rPr>
                <w:color w:val="000000"/>
                <w:sz w:val="20"/>
                <w:szCs w:val="20"/>
              </w:rPr>
              <w:t>48</w:t>
            </w:r>
            <w:r w:rsidR="00D06F12">
              <w:rPr>
                <w:color w:val="000000"/>
                <w:sz w:val="20"/>
                <w:szCs w:val="20"/>
              </w:rPr>
              <w:t>.</w:t>
            </w:r>
          </w:p>
        </w:tc>
        <w:tc>
          <w:tcPr>
            <w:tcW w:w="4819" w:type="dxa"/>
            <w:vAlign w:val="bottom"/>
          </w:tcPr>
          <w:p w:rsidR="00563A36" w:rsidRPr="00563A36" w:rsidRDefault="00563A36" w:rsidP="00D06F12">
            <w:pPr>
              <w:jc w:val="both"/>
              <w:rPr>
                <w:color w:val="000000"/>
                <w:sz w:val="20"/>
                <w:szCs w:val="20"/>
              </w:rPr>
            </w:pPr>
            <w:r w:rsidRPr="00563A36">
              <w:rPr>
                <w:color w:val="000000"/>
                <w:sz w:val="20"/>
                <w:szCs w:val="20"/>
              </w:rPr>
              <w:t xml:space="preserve">ГАУЗ </w:t>
            </w:r>
            <w:r w:rsidR="002F7358">
              <w:rPr>
                <w:color w:val="000000"/>
                <w:sz w:val="20"/>
                <w:szCs w:val="20"/>
              </w:rPr>
              <w:t>«</w:t>
            </w:r>
            <w:r w:rsidRPr="00563A36">
              <w:rPr>
                <w:color w:val="000000"/>
                <w:sz w:val="20"/>
                <w:szCs w:val="20"/>
              </w:rPr>
              <w:t>Гор</w:t>
            </w:r>
            <w:r w:rsidR="00CC5747">
              <w:rPr>
                <w:color w:val="000000"/>
                <w:sz w:val="20"/>
                <w:szCs w:val="20"/>
              </w:rPr>
              <w:t>одская клиническая больница №</w:t>
            </w:r>
            <w:r w:rsidR="000B1BA9">
              <w:rPr>
                <w:color w:val="000000"/>
                <w:sz w:val="20"/>
                <w:szCs w:val="20"/>
              </w:rPr>
              <w:t xml:space="preserve"> </w:t>
            </w:r>
            <w:r w:rsidR="00CC5747">
              <w:rPr>
                <w:color w:val="000000"/>
                <w:sz w:val="20"/>
                <w:szCs w:val="20"/>
              </w:rPr>
              <w:t>16</w:t>
            </w:r>
            <w:r w:rsidR="002F7358">
              <w:rPr>
                <w:color w:val="000000"/>
                <w:sz w:val="20"/>
                <w:szCs w:val="20"/>
              </w:rPr>
              <w:t>»</w:t>
            </w:r>
            <w:r w:rsidRPr="00563A36">
              <w:rPr>
                <w:color w:val="000000"/>
                <w:sz w:val="20"/>
                <w:szCs w:val="20"/>
              </w:rPr>
              <w:t xml:space="preserve"> г.Казани</w:t>
            </w:r>
          </w:p>
        </w:tc>
        <w:tc>
          <w:tcPr>
            <w:tcW w:w="3544" w:type="dxa"/>
          </w:tcPr>
          <w:p w:rsidR="00563A36" w:rsidRPr="00563A36" w:rsidRDefault="00563A36" w:rsidP="00894D08">
            <w:pPr>
              <w:pStyle w:val="af9"/>
              <w:ind w:left="0"/>
              <w:contextualSpacing w:val="0"/>
              <w:jc w:val="center"/>
              <w:rPr>
                <w:sz w:val="20"/>
                <w:szCs w:val="20"/>
                <w:lang w:val="ru-RU"/>
              </w:rPr>
            </w:pPr>
            <w:r w:rsidRPr="00563A36">
              <w:rPr>
                <w:sz w:val="20"/>
                <w:szCs w:val="20"/>
              </w:rPr>
              <w:t>поликлиника</w:t>
            </w:r>
          </w:p>
        </w:tc>
        <w:tc>
          <w:tcPr>
            <w:tcW w:w="4921" w:type="dxa"/>
            <w:tcBorders>
              <w:top w:val="single" w:sz="4" w:space="0" w:color="auto"/>
              <w:left w:val="single" w:sz="4" w:space="0" w:color="auto"/>
              <w:bottom w:val="single" w:sz="4" w:space="0" w:color="auto"/>
              <w:right w:val="single" w:sz="4" w:space="0" w:color="auto"/>
            </w:tcBorders>
            <w:shd w:val="clear" w:color="000000" w:fill="FFFFFF"/>
          </w:tcPr>
          <w:p w:rsidR="00563A36" w:rsidRPr="00563A36" w:rsidRDefault="004D2021" w:rsidP="00D06F12">
            <w:pPr>
              <w:autoSpaceDE/>
              <w:autoSpaceDN/>
              <w:adjustRightInd/>
              <w:jc w:val="both"/>
              <w:rPr>
                <w:color w:val="000000"/>
                <w:sz w:val="20"/>
                <w:szCs w:val="20"/>
              </w:rPr>
            </w:pPr>
            <w:r>
              <w:rPr>
                <w:color w:val="000000"/>
                <w:sz w:val="20"/>
                <w:szCs w:val="20"/>
              </w:rPr>
              <w:t>п</w:t>
            </w:r>
            <w:r w:rsidR="00563A36" w:rsidRPr="00563A36">
              <w:rPr>
                <w:color w:val="000000"/>
                <w:sz w:val="20"/>
                <w:szCs w:val="20"/>
              </w:rPr>
              <w:t>ервичный онкологический кабинет</w:t>
            </w:r>
          </w:p>
        </w:tc>
      </w:tr>
      <w:tr w:rsidR="00563A36" w:rsidRPr="00563A36" w:rsidTr="000B1BA9">
        <w:trPr>
          <w:trHeight w:val="20"/>
        </w:trPr>
        <w:tc>
          <w:tcPr>
            <w:tcW w:w="846" w:type="dxa"/>
          </w:tcPr>
          <w:p w:rsidR="00563A36" w:rsidRPr="00563A36" w:rsidRDefault="00563A36" w:rsidP="00894D08">
            <w:pPr>
              <w:jc w:val="center"/>
              <w:rPr>
                <w:color w:val="000000"/>
                <w:sz w:val="20"/>
                <w:szCs w:val="20"/>
              </w:rPr>
            </w:pPr>
            <w:r w:rsidRPr="00563A36">
              <w:rPr>
                <w:color w:val="000000"/>
                <w:sz w:val="20"/>
                <w:szCs w:val="20"/>
              </w:rPr>
              <w:t>49</w:t>
            </w:r>
            <w:r w:rsidR="00D06F12">
              <w:rPr>
                <w:color w:val="000000"/>
                <w:sz w:val="20"/>
                <w:szCs w:val="20"/>
              </w:rPr>
              <w:t>.</w:t>
            </w:r>
          </w:p>
        </w:tc>
        <w:tc>
          <w:tcPr>
            <w:tcW w:w="4819" w:type="dxa"/>
            <w:vAlign w:val="bottom"/>
          </w:tcPr>
          <w:p w:rsidR="00563A36" w:rsidRPr="00563A36" w:rsidRDefault="00563A36" w:rsidP="000B1BA9">
            <w:pPr>
              <w:jc w:val="both"/>
              <w:rPr>
                <w:color w:val="000000"/>
                <w:sz w:val="20"/>
                <w:szCs w:val="20"/>
              </w:rPr>
            </w:pPr>
            <w:r w:rsidRPr="00563A36">
              <w:rPr>
                <w:color w:val="000000"/>
                <w:sz w:val="20"/>
                <w:szCs w:val="20"/>
              </w:rPr>
              <w:t xml:space="preserve">ГАУЗ </w:t>
            </w:r>
            <w:r w:rsidR="002F7358">
              <w:rPr>
                <w:color w:val="000000"/>
                <w:sz w:val="20"/>
                <w:szCs w:val="20"/>
              </w:rPr>
              <w:t>«</w:t>
            </w:r>
            <w:r w:rsidRPr="00563A36">
              <w:rPr>
                <w:color w:val="000000"/>
                <w:sz w:val="20"/>
                <w:szCs w:val="20"/>
              </w:rPr>
              <w:t>Гор</w:t>
            </w:r>
            <w:r w:rsidR="00CC5747">
              <w:rPr>
                <w:color w:val="000000"/>
                <w:sz w:val="20"/>
                <w:szCs w:val="20"/>
              </w:rPr>
              <w:t>одская клиническая больница</w:t>
            </w:r>
            <w:r w:rsidR="000B1BA9">
              <w:rPr>
                <w:color w:val="000000"/>
                <w:sz w:val="20"/>
                <w:szCs w:val="20"/>
              </w:rPr>
              <w:t xml:space="preserve"> </w:t>
            </w:r>
            <w:r w:rsidR="00CC5747">
              <w:rPr>
                <w:color w:val="000000"/>
                <w:sz w:val="20"/>
                <w:szCs w:val="20"/>
              </w:rPr>
              <w:t>№ 7</w:t>
            </w:r>
            <w:r w:rsidR="00147E84">
              <w:rPr>
                <w:color w:val="000000"/>
                <w:sz w:val="20"/>
                <w:szCs w:val="20"/>
              </w:rPr>
              <w:t xml:space="preserve"> имени М.Н.Садыкова</w:t>
            </w:r>
            <w:r w:rsidR="002F7358">
              <w:rPr>
                <w:color w:val="000000"/>
                <w:sz w:val="20"/>
                <w:szCs w:val="20"/>
              </w:rPr>
              <w:t>»</w:t>
            </w:r>
            <w:r w:rsidRPr="00563A36">
              <w:rPr>
                <w:color w:val="000000"/>
                <w:sz w:val="20"/>
                <w:szCs w:val="20"/>
              </w:rPr>
              <w:t xml:space="preserve"> г.Казани</w:t>
            </w:r>
          </w:p>
        </w:tc>
        <w:tc>
          <w:tcPr>
            <w:tcW w:w="3544" w:type="dxa"/>
          </w:tcPr>
          <w:p w:rsidR="00563A36" w:rsidRPr="00563A36" w:rsidRDefault="00563A36" w:rsidP="00894D08">
            <w:pPr>
              <w:pStyle w:val="af9"/>
              <w:ind w:left="0"/>
              <w:contextualSpacing w:val="0"/>
              <w:jc w:val="center"/>
              <w:rPr>
                <w:sz w:val="20"/>
                <w:szCs w:val="20"/>
                <w:lang w:val="ru-RU"/>
              </w:rPr>
            </w:pPr>
            <w:r w:rsidRPr="00563A36">
              <w:rPr>
                <w:sz w:val="20"/>
                <w:szCs w:val="20"/>
              </w:rPr>
              <w:t>поликлиника</w:t>
            </w:r>
          </w:p>
        </w:tc>
        <w:tc>
          <w:tcPr>
            <w:tcW w:w="4921" w:type="dxa"/>
            <w:tcBorders>
              <w:top w:val="single" w:sz="4" w:space="0" w:color="auto"/>
              <w:left w:val="single" w:sz="4" w:space="0" w:color="auto"/>
              <w:bottom w:val="single" w:sz="4" w:space="0" w:color="auto"/>
              <w:right w:val="single" w:sz="4" w:space="0" w:color="auto"/>
            </w:tcBorders>
            <w:shd w:val="clear" w:color="000000" w:fill="FFFFFF"/>
          </w:tcPr>
          <w:p w:rsidR="00563A36" w:rsidRPr="00563A36" w:rsidRDefault="004D2021" w:rsidP="00D06F12">
            <w:pPr>
              <w:autoSpaceDE/>
              <w:autoSpaceDN/>
              <w:adjustRightInd/>
              <w:jc w:val="both"/>
              <w:rPr>
                <w:color w:val="000000"/>
                <w:sz w:val="20"/>
                <w:szCs w:val="20"/>
              </w:rPr>
            </w:pPr>
            <w:r>
              <w:rPr>
                <w:color w:val="000000"/>
                <w:sz w:val="20"/>
                <w:szCs w:val="20"/>
              </w:rPr>
              <w:t>п</w:t>
            </w:r>
            <w:r w:rsidR="00563A36" w:rsidRPr="00563A36">
              <w:rPr>
                <w:color w:val="000000"/>
                <w:sz w:val="20"/>
                <w:szCs w:val="20"/>
              </w:rPr>
              <w:t>ервичный онкологический кабинет</w:t>
            </w:r>
          </w:p>
        </w:tc>
      </w:tr>
      <w:tr w:rsidR="00563A36" w:rsidRPr="00563A36" w:rsidTr="000B1BA9">
        <w:trPr>
          <w:trHeight w:val="20"/>
        </w:trPr>
        <w:tc>
          <w:tcPr>
            <w:tcW w:w="846" w:type="dxa"/>
          </w:tcPr>
          <w:p w:rsidR="00563A36" w:rsidRPr="00563A36" w:rsidRDefault="00563A36" w:rsidP="00894D08">
            <w:pPr>
              <w:jc w:val="center"/>
              <w:rPr>
                <w:color w:val="000000"/>
                <w:sz w:val="20"/>
                <w:szCs w:val="20"/>
              </w:rPr>
            </w:pPr>
            <w:r w:rsidRPr="00563A36">
              <w:rPr>
                <w:color w:val="000000"/>
                <w:sz w:val="20"/>
                <w:szCs w:val="20"/>
              </w:rPr>
              <w:t>50</w:t>
            </w:r>
            <w:r w:rsidR="00D06F12">
              <w:rPr>
                <w:color w:val="000000"/>
                <w:sz w:val="20"/>
                <w:szCs w:val="20"/>
              </w:rPr>
              <w:t>.</w:t>
            </w:r>
          </w:p>
        </w:tc>
        <w:tc>
          <w:tcPr>
            <w:tcW w:w="4819" w:type="dxa"/>
            <w:vAlign w:val="center"/>
          </w:tcPr>
          <w:p w:rsidR="00563A36" w:rsidRPr="00563A36" w:rsidRDefault="00563A36" w:rsidP="00D06F12">
            <w:pPr>
              <w:jc w:val="both"/>
              <w:rPr>
                <w:color w:val="000000"/>
                <w:sz w:val="20"/>
                <w:szCs w:val="20"/>
              </w:rPr>
            </w:pPr>
            <w:r w:rsidRPr="00563A36">
              <w:rPr>
                <w:color w:val="000000"/>
                <w:sz w:val="20"/>
                <w:szCs w:val="20"/>
              </w:rPr>
              <w:t xml:space="preserve">ГАУЗ </w:t>
            </w:r>
            <w:r w:rsidR="002F7358">
              <w:rPr>
                <w:color w:val="000000"/>
                <w:sz w:val="20"/>
                <w:szCs w:val="20"/>
              </w:rPr>
              <w:t>«</w:t>
            </w:r>
            <w:r w:rsidRPr="00563A36">
              <w:rPr>
                <w:color w:val="000000"/>
                <w:sz w:val="20"/>
                <w:szCs w:val="20"/>
              </w:rPr>
              <w:t>Городская поликлиника № 10</w:t>
            </w:r>
            <w:r w:rsidR="002F7358">
              <w:rPr>
                <w:color w:val="000000"/>
                <w:sz w:val="20"/>
                <w:szCs w:val="20"/>
              </w:rPr>
              <w:t>»</w:t>
            </w:r>
            <w:r w:rsidRPr="00563A36">
              <w:rPr>
                <w:color w:val="000000"/>
                <w:sz w:val="20"/>
                <w:szCs w:val="20"/>
              </w:rPr>
              <w:t xml:space="preserve"> г.Казани</w:t>
            </w:r>
          </w:p>
        </w:tc>
        <w:tc>
          <w:tcPr>
            <w:tcW w:w="3544" w:type="dxa"/>
          </w:tcPr>
          <w:p w:rsidR="00563A36" w:rsidRPr="00563A36" w:rsidRDefault="00563A36" w:rsidP="00894D08">
            <w:pPr>
              <w:pStyle w:val="af9"/>
              <w:ind w:left="0"/>
              <w:contextualSpacing w:val="0"/>
              <w:jc w:val="center"/>
              <w:rPr>
                <w:sz w:val="20"/>
                <w:szCs w:val="20"/>
                <w:lang w:val="ru-RU"/>
              </w:rPr>
            </w:pPr>
            <w:r w:rsidRPr="00563A36">
              <w:rPr>
                <w:sz w:val="20"/>
                <w:szCs w:val="20"/>
              </w:rPr>
              <w:t>поликлиника</w:t>
            </w:r>
          </w:p>
        </w:tc>
        <w:tc>
          <w:tcPr>
            <w:tcW w:w="4921" w:type="dxa"/>
            <w:tcBorders>
              <w:top w:val="single" w:sz="4" w:space="0" w:color="auto"/>
              <w:left w:val="single" w:sz="4" w:space="0" w:color="auto"/>
              <w:bottom w:val="single" w:sz="4" w:space="0" w:color="auto"/>
              <w:right w:val="single" w:sz="4" w:space="0" w:color="auto"/>
            </w:tcBorders>
            <w:shd w:val="clear" w:color="000000" w:fill="FFFFFF"/>
          </w:tcPr>
          <w:p w:rsidR="00563A36" w:rsidRPr="00563A36" w:rsidRDefault="004D2021" w:rsidP="00D06F12">
            <w:pPr>
              <w:autoSpaceDE/>
              <w:autoSpaceDN/>
              <w:adjustRightInd/>
              <w:jc w:val="both"/>
              <w:rPr>
                <w:color w:val="000000"/>
                <w:sz w:val="20"/>
                <w:szCs w:val="20"/>
              </w:rPr>
            </w:pPr>
            <w:r>
              <w:rPr>
                <w:color w:val="000000"/>
                <w:sz w:val="20"/>
                <w:szCs w:val="20"/>
              </w:rPr>
              <w:t>п</w:t>
            </w:r>
            <w:r w:rsidR="00563A36" w:rsidRPr="00563A36">
              <w:rPr>
                <w:color w:val="000000"/>
                <w:sz w:val="20"/>
                <w:szCs w:val="20"/>
              </w:rPr>
              <w:t>ервичный онкологический кабинет</w:t>
            </w:r>
          </w:p>
        </w:tc>
      </w:tr>
      <w:tr w:rsidR="00563A36" w:rsidRPr="00563A36" w:rsidTr="000B1BA9">
        <w:trPr>
          <w:trHeight w:val="20"/>
        </w:trPr>
        <w:tc>
          <w:tcPr>
            <w:tcW w:w="846" w:type="dxa"/>
          </w:tcPr>
          <w:p w:rsidR="00563A36" w:rsidRPr="00563A36" w:rsidRDefault="00563A36" w:rsidP="00894D08">
            <w:pPr>
              <w:jc w:val="center"/>
              <w:rPr>
                <w:color w:val="000000"/>
                <w:sz w:val="20"/>
                <w:szCs w:val="20"/>
              </w:rPr>
            </w:pPr>
            <w:r w:rsidRPr="00563A36">
              <w:rPr>
                <w:color w:val="000000"/>
                <w:sz w:val="20"/>
                <w:szCs w:val="20"/>
              </w:rPr>
              <w:t>51</w:t>
            </w:r>
            <w:r w:rsidR="00D06F12">
              <w:rPr>
                <w:color w:val="000000"/>
                <w:sz w:val="20"/>
                <w:szCs w:val="20"/>
              </w:rPr>
              <w:t>.</w:t>
            </w:r>
          </w:p>
        </w:tc>
        <w:tc>
          <w:tcPr>
            <w:tcW w:w="4819" w:type="dxa"/>
            <w:vAlign w:val="center"/>
          </w:tcPr>
          <w:p w:rsidR="00563A36" w:rsidRPr="00563A36" w:rsidRDefault="00563A36" w:rsidP="00D06F12">
            <w:pPr>
              <w:jc w:val="both"/>
              <w:rPr>
                <w:color w:val="000000"/>
                <w:sz w:val="20"/>
                <w:szCs w:val="20"/>
              </w:rPr>
            </w:pPr>
            <w:r w:rsidRPr="00563A36">
              <w:rPr>
                <w:color w:val="000000"/>
                <w:sz w:val="20"/>
                <w:szCs w:val="20"/>
              </w:rPr>
              <w:t xml:space="preserve">ГАУЗ </w:t>
            </w:r>
            <w:r w:rsidR="002F7358">
              <w:rPr>
                <w:color w:val="000000"/>
                <w:sz w:val="20"/>
                <w:szCs w:val="20"/>
              </w:rPr>
              <w:t>«</w:t>
            </w:r>
            <w:r w:rsidRPr="00563A36">
              <w:rPr>
                <w:color w:val="000000"/>
                <w:sz w:val="20"/>
                <w:szCs w:val="20"/>
              </w:rPr>
              <w:t>Городская поликлиника № 18</w:t>
            </w:r>
            <w:r w:rsidR="002F7358">
              <w:rPr>
                <w:color w:val="000000"/>
                <w:sz w:val="20"/>
                <w:szCs w:val="20"/>
              </w:rPr>
              <w:t>»</w:t>
            </w:r>
            <w:r w:rsidRPr="00563A36">
              <w:rPr>
                <w:color w:val="000000"/>
                <w:sz w:val="20"/>
                <w:szCs w:val="20"/>
              </w:rPr>
              <w:t xml:space="preserve"> г.Казани</w:t>
            </w:r>
          </w:p>
        </w:tc>
        <w:tc>
          <w:tcPr>
            <w:tcW w:w="3544" w:type="dxa"/>
          </w:tcPr>
          <w:p w:rsidR="00563A36" w:rsidRPr="00563A36" w:rsidRDefault="00563A36" w:rsidP="00894D08">
            <w:pPr>
              <w:pStyle w:val="af9"/>
              <w:ind w:left="0"/>
              <w:contextualSpacing w:val="0"/>
              <w:jc w:val="center"/>
              <w:rPr>
                <w:sz w:val="20"/>
                <w:szCs w:val="20"/>
                <w:lang w:val="ru-RU"/>
              </w:rPr>
            </w:pPr>
            <w:r w:rsidRPr="00563A36">
              <w:rPr>
                <w:sz w:val="20"/>
                <w:szCs w:val="20"/>
              </w:rPr>
              <w:t>поликлиника</w:t>
            </w:r>
          </w:p>
        </w:tc>
        <w:tc>
          <w:tcPr>
            <w:tcW w:w="4921" w:type="dxa"/>
            <w:tcBorders>
              <w:top w:val="single" w:sz="4" w:space="0" w:color="auto"/>
              <w:left w:val="single" w:sz="4" w:space="0" w:color="auto"/>
              <w:bottom w:val="single" w:sz="4" w:space="0" w:color="auto"/>
              <w:right w:val="single" w:sz="4" w:space="0" w:color="auto"/>
            </w:tcBorders>
            <w:shd w:val="clear" w:color="000000" w:fill="FFFFFF"/>
          </w:tcPr>
          <w:p w:rsidR="00563A36" w:rsidRPr="00563A36" w:rsidRDefault="004D2021" w:rsidP="00D06F12">
            <w:pPr>
              <w:autoSpaceDE/>
              <w:autoSpaceDN/>
              <w:adjustRightInd/>
              <w:jc w:val="both"/>
              <w:rPr>
                <w:color w:val="000000"/>
                <w:sz w:val="20"/>
                <w:szCs w:val="20"/>
              </w:rPr>
            </w:pPr>
            <w:r>
              <w:rPr>
                <w:color w:val="000000"/>
                <w:sz w:val="20"/>
                <w:szCs w:val="20"/>
              </w:rPr>
              <w:t>п</w:t>
            </w:r>
            <w:r w:rsidR="00563A36" w:rsidRPr="00563A36">
              <w:rPr>
                <w:color w:val="000000"/>
                <w:sz w:val="20"/>
                <w:szCs w:val="20"/>
              </w:rPr>
              <w:t>ервичный онкологический кабинет</w:t>
            </w:r>
          </w:p>
        </w:tc>
      </w:tr>
      <w:tr w:rsidR="00563A36" w:rsidRPr="00563A36" w:rsidTr="000B1BA9">
        <w:trPr>
          <w:trHeight w:val="20"/>
        </w:trPr>
        <w:tc>
          <w:tcPr>
            <w:tcW w:w="846" w:type="dxa"/>
          </w:tcPr>
          <w:p w:rsidR="00563A36" w:rsidRPr="00563A36" w:rsidRDefault="00563A36" w:rsidP="00894D08">
            <w:pPr>
              <w:jc w:val="center"/>
              <w:rPr>
                <w:color w:val="000000"/>
                <w:sz w:val="20"/>
                <w:szCs w:val="20"/>
              </w:rPr>
            </w:pPr>
            <w:r w:rsidRPr="00563A36">
              <w:rPr>
                <w:color w:val="000000"/>
                <w:sz w:val="20"/>
                <w:szCs w:val="20"/>
              </w:rPr>
              <w:t>52</w:t>
            </w:r>
            <w:r w:rsidR="00D06F12">
              <w:rPr>
                <w:color w:val="000000"/>
                <w:sz w:val="20"/>
                <w:szCs w:val="20"/>
              </w:rPr>
              <w:t>.</w:t>
            </w:r>
          </w:p>
        </w:tc>
        <w:tc>
          <w:tcPr>
            <w:tcW w:w="4819" w:type="dxa"/>
            <w:vAlign w:val="center"/>
          </w:tcPr>
          <w:p w:rsidR="00563A36" w:rsidRPr="00563A36" w:rsidRDefault="00563A36" w:rsidP="00D06F12">
            <w:pPr>
              <w:jc w:val="both"/>
              <w:rPr>
                <w:color w:val="000000"/>
                <w:sz w:val="20"/>
                <w:szCs w:val="20"/>
              </w:rPr>
            </w:pPr>
            <w:r w:rsidRPr="00563A36">
              <w:rPr>
                <w:color w:val="000000"/>
                <w:sz w:val="20"/>
                <w:szCs w:val="20"/>
              </w:rPr>
              <w:t xml:space="preserve">ГАУЗ </w:t>
            </w:r>
            <w:r w:rsidR="002F7358">
              <w:rPr>
                <w:color w:val="000000"/>
                <w:sz w:val="20"/>
                <w:szCs w:val="20"/>
              </w:rPr>
              <w:t>«</w:t>
            </w:r>
            <w:r w:rsidRPr="00563A36">
              <w:rPr>
                <w:color w:val="000000"/>
                <w:sz w:val="20"/>
                <w:szCs w:val="20"/>
              </w:rPr>
              <w:t>Городская поликлиника № 7</w:t>
            </w:r>
            <w:r w:rsidR="002F7358">
              <w:rPr>
                <w:color w:val="000000"/>
                <w:sz w:val="20"/>
                <w:szCs w:val="20"/>
              </w:rPr>
              <w:t>»</w:t>
            </w:r>
            <w:r w:rsidRPr="00563A36">
              <w:rPr>
                <w:color w:val="000000"/>
                <w:sz w:val="20"/>
                <w:szCs w:val="20"/>
              </w:rPr>
              <w:t xml:space="preserve"> г.Казани</w:t>
            </w:r>
          </w:p>
        </w:tc>
        <w:tc>
          <w:tcPr>
            <w:tcW w:w="3544" w:type="dxa"/>
          </w:tcPr>
          <w:p w:rsidR="00563A36" w:rsidRPr="00563A36" w:rsidRDefault="00563A36" w:rsidP="00894D08">
            <w:pPr>
              <w:pStyle w:val="af9"/>
              <w:ind w:left="0"/>
              <w:contextualSpacing w:val="0"/>
              <w:jc w:val="center"/>
              <w:rPr>
                <w:sz w:val="20"/>
                <w:szCs w:val="20"/>
                <w:lang w:val="ru-RU"/>
              </w:rPr>
            </w:pPr>
            <w:r w:rsidRPr="00563A36">
              <w:rPr>
                <w:sz w:val="20"/>
                <w:szCs w:val="20"/>
              </w:rPr>
              <w:t>поликлиника</w:t>
            </w:r>
          </w:p>
        </w:tc>
        <w:tc>
          <w:tcPr>
            <w:tcW w:w="4921" w:type="dxa"/>
            <w:tcBorders>
              <w:top w:val="single" w:sz="4" w:space="0" w:color="auto"/>
              <w:left w:val="single" w:sz="4" w:space="0" w:color="auto"/>
              <w:bottom w:val="single" w:sz="4" w:space="0" w:color="auto"/>
              <w:right w:val="single" w:sz="4" w:space="0" w:color="auto"/>
            </w:tcBorders>
            <w:shd w:val="clear" w:color="000000" w:fill="FFFFFF"/>
          </w:tcPr>
          <w:p w:rsidR="00563A36" w:rsidRPr="00563A36" w:rsidRDefault="004D2021" w:rsidP="00D06F12">
            <w:pPr>
              <w:autoSpaceDE/>
              <w:autoSpaceDN/>
              <w:adjustRightInd/>
              <w:jc w:val="both"/>
              <w:rPr>
                <w:color w:val="000000"/>
                <w:sz w:val="20"/>
                <w:szCs w:val="20"/>
              </w:rPr>
            </w:pPr>
            <w:r>
              <w:rPr>
                <w:color w:val="000000"/>
                <w:sz w:val="20"/>
                <w:szCs w:val="20"/>
              </w:rPr>
              <w:t>п</w:t>
            </w:r>
            <w:r w:rsidR="00563A36" w:rsidRPr="00563A36">
              <w:rPr>
                <w:color w:val="000000"/>
                <w:sz w:val="20"/>
                <w:szCs w:val="20"/>
              </w:rPr>
              <w:t>ервичный онкологический кабинет</w:t>
            </w:r>
          </w:p>
        </w:tc>
      </w:tr>
      <w:tr w:rsidR="00563A36" w:rsidRPr="00563A36" w:rsidTr="000B1BA9">
        <w:trPr>
          <w:trHeight w:val="20"/>
        </w:trPr>
        <w:tc>
          <w:tcPr>
            <w:tcW w:w="846" w:type="dxa"/>
          </w:tcPr>
          <w:p w:rsidR="00563A36" w:rsidRPr="00563A36" w:rsidRDefault="00563A36" w:rsidP="00894D08">
            <w:pPr>
              <w:jc w:val="center"/>
              <w:rPr>
                <w:color w:val="000000"/>
                <w:sz w:val="20"/>
                <w:szCs w:val="20"/>
              </w:rPr>
            </w:pPr>
            <w:r w:rsidRPr="00563A36">
              <w:rPr>
                <w:color w:val="000000"/>
                <w:sz w:val="20"/>
                <w:szCs w:val="20"/>
              </w:rPr>
              <w:t>53</w:t>
            </w:r>
            <w:r w:rsidR="00D06F12">
              <w:rPr>
                <w:color w:val="000000"/>
                <w:sz w:val="20"/>
                <w:szCs w:val="20"/>
              </w:rPr>
              <w:t>.</w:t>
            </w:r>
          </w:p>
        </w:tc>
        <w:tc>
          <w:tcPr>
            <w:tcW w:w="4819" w:type="dxa"/>
            <w:vAlign w:val="center"/>
          </w:tcPr>
          <w:p w:rsidR="00563A36" w:rsidRPr="00563A36" w:rsidRDefault="00563A36" w:rsidP="00D06F12">
            <w:pPr>
              <w:jc w:val="both"/>
              <w:rPr>
                <w:color w:val="000000"/>
                <w:sz w:val="20"/>
                <w:szCs w:val="20"/>
              </w:rPr>
            </w:pPr>
            <w:r w:rsidRPr="00563A36">
              <w:rPr>
                <w:color w:val="000000"/>
                <w:sz w:val="20"/>
                <w:szCs w:val="20"/>
              </w:rPr>
              <w:t xml:space="preserve">ГАУЗ </w:t>
            </w:r>
            <w:r w:rsidR="002F7358">
              <w:rPr>
                <w:color w:val="000000"/>
                <w:sz w:val="20"/>
                <w:szCs w:val="20"/>
              </w:rPr>
              <w:t>«</w:t>
            </w:r>
            <w:r w:rsidRPr="00563A36">
              <w:rPr>
                <w:color w:val="000000"/>
                <w:sz w:val="20"/>
                <w:szCs w:val="20"/>
              </w:rPr>
              <w:t>Городская поликлиника № 8</w:t>
            </w:r>
            <w:r w:rsidR="002F7358">
              <w:rPr>
                <w:color w:val="000000"/>
                <w:sz w:val="20"/>
                <w:szCs w:val="20"/>
              </w:rPr>
              <w:t>»</w:t>
            </w:r>
            <w:r w:rsidRPr="00563A36">
              <w:rPr>
                <w:color w:val="000000"/>
                <w:sz w:val="20"/>
                <w:szCs w:val="20"/>
              </w:rPr>
              <w:t xml:space="preserve"> г.Казани</w:t>
            </w:r>
          </w:p>
        </w:tc>
        <w:tc>
          <w:tcPr>
            <w:tcW w:w="3544" w:type="dxa"/>
          </w:tcPr>
          <w:p w:rsidR="00563A36" w:rsidRPr="00563A36" w:rsidRDefault="00563A36" w:rsidP="00894D08">
            <w:pPr>
              <w:pStyle w:val="af9"/>
              <w:ind w:left="0"/>
              <w:contextualSpacing w:val="0"/>
              <w:jc w:val="center"/>
              <w:rPr>
                <w:sz w:val="20"/>
                <w:szCs w:val="20"/>
                <w:lang w:val="ru-RU"/>
              </w:rPr>
            </w:pPr>
            <w:r w:rsidRPr="00563A36">
              <w:rPr>
                <w:sz w:val="20"/>
                <w:szCs w:val="20"/>
              </w:rPr>
              <w:t>поликлиника</w:t>
            </w:r>
          </w:p>
        </w:tc>
        <w:tc>
          <w:tcPr>
            <w:tcW w:w="4921" w:type="dxa"/>
            <w:tcBorders>
              <w:top w:val="single" w:sz="4" w:space="0" w:color="auto"/>
              <w:left w:val="single" w:sz="4" w:space="0" w:color="auto"/>
              <w:bottom w:val="single" w:sz="4" w:space="0" w:color="auto"/>
              <w:right w:val="single" w:sz="4" w:space="0" w:color="auto"/>
            </w:tcBorders>
            <w:shd w:val="clear" w:color="000000" w:fill="FFFFFF"/>
          </w:tcPr>
          <w:p w:rsidR="00563A36" w:rsidRPr="00563A36" w:rsidRDefault="004D2021" w:rsidP="00D06F12">
            <w:pPr>
              <w:autoSpaceDE/>
              <w:autoSpaceDN/>
              <w:adjustRightInd/>
              <w:jc w:val="both"/>
              <w:rPr>
                <w:color w:val="000000"/>
                <w:sz w:val="20"/>
                <w:szCs w:val="20"/>
              </w:rPr>
            </w:pPr>
            <w:r>
              <w:rPr>
                <w:color w:val="000000"/>
                <w:sz w:val="20"/>
                <w:szCs w:val="20"/>
              </w:rPr>
              <w:t>п</w:t>
            </w:r>
            <w:r w:rsidR="00563A36" w:rsidRPr="00563A36">
              <w:rPr>
                <w:color w:val="000000"/>
                <w:sz w:val="20"/>
                <w:szCs w:val="20"/>
              </w:rPr>
              <w:t>ервичный онкологический кабинет</w:t>
            </w:r>
          </w:p>
        </w:tc>
      </w:tr>
      <w:tr w:rsidR="00563A36" w:rsidRPr="00563A36" w:rsidTr="000B1BA9">
        <w:trPr>
          <w:trHeight w:val="20"/>
        </w:trPr>
        <w:tc>
          <w:tcPr>
            <w:tcW w:w="846" w:type="dxa"/>
          </w:tcPr>
          <w:p w:rsidR="00563A36" w:rsidRPr="00563A36" w:rsidRDefault="00563A36" w:rsidP="00894D08">
            <w:pPr>
              <w:jc w:val="center"/>
              <w:rPr>
                <w:color w:val="000000"/>
                <w:sz w:val="20"/>
                <w:szCs w:val="20"/>
              </w:rPr>
            </w:pPr>
            <w:r w:rsidRPr="00563A36">
              <w:rPr>
                <w:color w:val="000000"/>
                <w:sz w:val="20"/>
                <w:szCs w:val="20"/>
              </w:rPr>
              <w:t>54</w:t>
            </w:r>
            <w:r w:rsidR="00D06F12">
              <w:rPr>
                <w:color w:val="000000"/>
                <w:sz w:val="20"/>
                <w:szCs w:val="20"/>
              </w:rPr>
              <w:t>.</w:t>
            </w:r>
          </w:p>
        </w:tc>
        <w:tc>
          <w:tcPr>
            <w:tcW w:w="4819" w:type="dxa"/>
            <w:vAlign w:val="center"/>
          </w:tcPr>
          <w:p w:rsidR="00563A36" w:rsidRPr="00563A36" w:rsidRDefault="00563A36" w:rsidP="00D06F12">
            <w:pPr>
              <w:jc w:val="both"/>
              <w:rPr>
                <w:color w:val="000000"/>
                <w:sz w:val="20"/>
                <w:szCs w:val="20"/>
              </w:rPr>
            </w:pPr>
            <w:r w:rsidRPr="00563A36">
              <w:rPr>
                <w:color w:val="000000"/>
                <w:sz w:val="20"/>
                <w:szCs w:val="20"/>
              </w:rPr>
              <w:t xml:space="preserve">ГАУЗ </w:t>
            </w:r>
            <w:r w:rsidR="002F7358">
              <w:rPr>
                <w:color w:val="000000"/>
                <w:sz w:val="20"/>
                <w:szCs w:val="20"/>
              </w:rPr>
              <w:t>«</w:t>
            </w:r>
            <w:r w:rsidRPr="00563A36">
              <w:rPr>
                <w:color w:val="000000"/>
                <w:sz w:val="20"/>
                <w:szCs w:val="20"/>
              </w:rPr>
              <w:t>Клиническая больница № 2</w:t>
            </w:r>
            <w:r w:rsidR="002F7358">
              <w:rPr>
                <w:color w:val="000000"/>
                <w:sz w:val="20"/>
                <w:szCs w:val="20"/>
              </w:rPr>
              <w:t>»</w:t>
            </w:r>
            <w:r w:rsidRPr="00563A36">
              <w:rPr>
                <w:color w:val="000000"/>
                <w:sz w:val="20"/>
                <w:szCs w:val="20"/>
              </w:rPr>
              <w:t xml:space="preserve"> г.Казани</w:t>
            </w:r>
          </w:p>
        </w:tc>
        <w:tc>
          <w:tcPr>
            <w:tcW w:w="3544" w:type="dxa"/>
          </w:tcPr>
          <w:p w:rsidR="00563A36" w:rsidRPr="00563A36" w:rsidRDefault="00563A36" w:rsidP="00894D08">
            <w:pPr>
              <w:pStyle w:val="af9"/>
              <w:ind w:left="0"/>
              <w:contextualSpacing w:val="0"/>
              <w:jc w:val="center"/>
              <w:rPr>
                <w:sz w:val="20"/>
                <w:szCs w:val="20"/>
                <w:lang w:val="ru-RU"/>
              </w:rPr>
            </w:pPr>
            <w:r w:rsidRPr="00563A36">
              <w:rPr>
                <w:sz w:val="20"/>
                <w:szCs w:val="20"/>
              </w:rPr>
              <w:t>поликлиника</w:t>
            </w:r>
          </w:p>
        </w:tc>
        <w:tc>
          <w:tcPr>
            <w:tcW w:w="4921" w:type="dxa"/>
            <w:tcBorders>
              <w:top w:val="single" w:sz="4" w:space="0" w:color="auto"/>
              <w:left w:val="single" w:sz="4" w:space="0" w:color="auto"/>
              <w:bottom w:val="single" w:sz="4" w:space="0" w:color="auto"/>
              <w:right w:val="single" w:sz="4" w:space="0" w:color="auto"/>
            </w:tcBorders>
            <w:shd w:val="clear" w:color="000000" w:fill="FFFFFF"/>
          </w:tcPr>
          <w:p w:rsidR="00563A36" w:rsidRPr="00563A36" w:rsidRDefault="004D2021" w:rsidP="00D06F12">
            <w:pPr>
              <w:autoSpaceDE/>
              <w:autoSpaceDN/>
              <w:adjustRightInd/>
              <w:jc w:val="both"/>
              <w:rPr>
                <w:color w:val="000000"/>
                <w:sz w:val="20"/>
                <w:szCs w:val="20"/>
              </w:rPr>
            </w:pPr>
            <w:r>
              <w:rPr>
                <w:color w:val="000000"/>
                <w:sz w:val="20"/>
                <w:szCs w:val="20"/>
              </w:rPr>
              <w:t>п</w:t>
            </w:r>
            <w:r w:rsidR="00563A36" w:rsidRPr="00563A36">
              <w:rPr>
                <w:color w:val="000000"/>
                <w:sz w:val="20"/>
                <w:szCs w:val="20"/>
              </w:rPr>
              <w:t>ервичный онкологический кабинет</w:t>
            </w:r>
          </w:p>
        </w:tc>
      </w:tr>
      <w:tr w:rsidR="00563A36" w:rsidRPr="00563A36" w:rsidTr="000B1BA9">
        <w:trPr>
          <w:trHeight w:val="20"/>
        </w:trPr>
        <w:tc>
          <w:tcPr>
            <w:tcW w:w="846" w:type="dxa"/>
          </w:tcPr>
          <w:p w:rsidR="00563A36" w:rsidRPr="00563A36" w:rsidRDefault="00563A36" w:rsidP="00894D08">
            <w:pPr>
              <w:jc w:val="center"/>
              <w:rPr>
                <w:color w:val="000000"/>
                <w:sz w:val="20"/>
                <w:szCs w:val="20"/>
              </w:rPr>
            </w:pPr>
            <w:r w:rsidRPr="00563A36">
              <w:rPr>
                <w:color w:val="000000"/>
                <w:sz w:val="20"/>
                <w:szCs w:val="20"/>
              </w:rPr>
              <w:t>55</w:t>
            </w:r>
            <w:r w:rsidR="00D06F12">
              <w:rPr>
                <w:color w:val="000000"/>
                <w:sz w:val="20"/>
                <w:szCs w:val="20"/>
              </w:rPr>
              <w:t>.</w:t>
            </w:r>
          </w:p>
        </w:tc>
        <w:tc>
          <w:tcPr>
            <w:tcW w:w="4819" w:type="dxa"/>
            <w:vAlign w:val="center"/>
          </w:tcPr>
          <w:p w:rsidR="00563A36" w:rsidRPr="00563A36" w:rsidRDefault="00563A36" w:rsidP="00D06F12">
            <w:pPr>
              <w:jc w:val="both"/>
              <w:rPr>
                <w:color w:val="000000"/>
                <w:sz w:val="20"/>
                <w:szCs w:val="20"/>
              </w:rPr>
            </w:pPr>
            <w:r w:rsidRPr="00563A36">
              <w:rPr>
                <w:color w:val="000000"/>
                <w:sz w:val="20"/>
                <w:szCs w:val="20"/>
              </w:rPr>
              <w:t xml:space="preserve">ГАУЗ </w:t>
            </w:r>
            <w:r w:rsidR="002F7358">
              <w:rPr>
                <w:color w:val="000000"/>
                <w:sz w:val="20"/>
                <w:szCs w:val="20"/>
              </w:rPr>
              <w:t>«</w:t>
            </w:r>
            <w:r w:rsidRPr="00563A36">
              <w:rPr>
                <w:color w:val="000000"/>
                <w:sz w:val="20"/>
                <w:szCs w:val="20"/>
              </w:rPr>
              <w:t>Клиника медицинского университета</w:t>
            </w:r>
            <w:r w:rsidR="002F7358">
              <w:rPr>
                <w:color w:val="000000"/>
                <w:sz w:val="20"/>
                <w:szCs w:val="20"/>
              </w:rPr>
              <w:t>»</w:t>
            </w:r>
            <w:r w:rsidRPr="00563A36">
              <w:rPr>
                <w:color w:val="000000"/>
                <w:sz w:val="20"/>
                <w:szCs w:val="20"/>
              </w:rPr>
              <w:t xml:space="preserve"> г.Казани</w:t>
            </w:r>
          </w:p>
        </w:tc>
        <w:tc>
          <w:tcPr>
            <w:tcW w:w="3544" w:type="dxa"/>
          </w:tcPr>
          <w:p w:rsidR="00563A36" w:rsidRPr="00563A36" w:rsidRDefault="00563A36" w:rsidP="00894D08">
            <w:pPr>
              <w:pStyle w:val="af9"/>
              <w:ind w:left="0"/>
              <w:contextualSpacing w:val="0"/>
              <w:jc w:val="center"/>
              <w:rPr>
                <w:sz w:val="20"/>
                <w:szCs w:val="20"/>
                <w:lang w:val="ru-RU"/>
              </w:rPr>
            </w:pPr>
            <w:r w:rsidRPr="00563A36">
              <w:rPr>
                <w:sz w:val="20"/>
                <w:szCs w:val="20"/>
              </w:rPr>
              <w:t>поликлиника</w:t>
            </w:r>
          </w:p>
        </w:tc>
        <w:tc>
          <w:tcPr>
            <w:tcW w:w="4921" w:type="dxa"/>
            <w:tcBorders>
              <w:top w:val="single" w:sz="4" w:space="0" w:color="auto"/>
              <w:left w:val="single" w:sz="4" w:space="0" w:color="auto"/>
              <w:bottom w:val="single" w:sz="4" w:space="0" w:color="auto"/>
              <w:right w:val="single" w:sz="4" w:space="0" w:color="auto"/>
            </w:tcBorders>
            <w:shd w:val="clear" w:color="000000" w:fill="FFFFFF"/>
          </w:tcPr>
          <w:p w:rsidR="00563A36" w:rsidRPr="00563A36" w:rsidRDefault="004D2021" w:rsidP="00D06F12">
            <w:pPr>
              <w:autoSpaceDE/>
              <w:autoSpaceDN/>
              <w:adjustRightInd/>
              <w:jc w:val="both"/>
              <w:rPr>
                <w:color w:val="000000"/>
                <w:sz w:val="20"/>
                <w:szCs w:val="20"/>
              </w:rPr>
            </w:pPr>
            <w:r>
              <w:rPr>
                <w:color w:val="000000"/>
                <w:sz w:val="20"/>
                <w:szCs w:val="20"/>
              </w:rPr>
              <w:t>п</w:t>
            </w:r>
            <w:r w:rsidR="00563A36" w:rsidRPr="00563A36">
              <w:rPr>
                <w:color w:val="000000"/>
                <w:sz w:val="20"/>
                <w:szCs w:val="20"/>
              </w:rPr>
              <w:t>ервичный онкологический кабинет</w:t>
            </w:r>
          </w:p>
        </w:tc>
      </w:tr>
      <w:tr w:rsidR="00563A36" w:rsidRPr="00563A36" w:rsidTr="000B1BA9">
        <w:trPr>
          <w:trHeight w:val="20"/>
        </w:trPr>
        <w:tc>
          <w:tcPr>
            <w:tcW w:w="846" w:type="dxa"/>
          </w:tcPr>
          <w:p w:rsidR="00563A36" w:rsidRPr="00563A36" w:rsidRDefault="00563A36" w:rsidP="00894D08">
            <w:pPr>
              <w:jc w:val="center"/>
              <w:rPr>
                <w:color w:val="000000"/>
                <w:sz w:val="20"/>
                <w:szCs w:val="20"/>
              </w:rPr>
            </w:pPr>
            <w:r w:rsidRPr="00563A36">
              <w:rPr>
                <w:color w:val="000000"/>
                <w:sz w:val="20"/>
                <w:szCs w:val="20"/>
              </w:rPr>
              <w:t>56</w:t>
            </w:r>
            <w:r w:rsidR="00D06F12">
              <w:rPr>
                <w:color w:val="000000"/>
                <w:sz w:val="20"/>
                <w:szCs w:val="20"/>
              </w:rPr>
              <w:t>.</w:t>
            </w:r>
          </w:p>
        </w:tc>
        <w:tc>
          <w:tcPr>
            <w:tcW w:w="4819" w:type="dxa"/>
            <w:vAlign w:val="center"/>
          </w:tcPr>
          <w:p w:rsidR="00563A36" w:rsidRPr="00563A36" w:rsidRDefault="00563A36" w:rsidP="00D06F12">
            <w:pPr>
              <w:jc w:val="both"/>
              <w:rPr>
                <w:color w:val="000000"/>
                <w:sz w:val="20"/>
                <w:szCs w:val="20"/>
              </w:rPr>
            </w:pPr>
            <w:r w:rsidRPr="00563A36">
              <w:rPr>
                <w:color w:val="000000"/>
                <w:sz w:val="20"/>
                <w:szCs w:val="20"/>
              </w:rPr>
              <w:t xml:space="preserve">ГАУЗ </w:t>
            </w:r>
            <w:r w:rsidR="002F7358">
              <w:rPr>
                <w:color w:val="000000"/>
                <w:sz w:val="20"/>
                <w:szCs w:val="20"/>
              </w:rPr>
              <w:t>«</w:t>
            </w:r>
            <w:r w:rsidRPr="00563A36">
              <w:rPr>
                <w:color w:val="000000"/>
                <w:sz w:val="20"/>
                <w:szCs w:val="20"/>
              </w:rPr>
              <w:t>Центральная городская клиническая боль</w:t>
            </w:r>
            <w:r w:rsidR="004D2021">
              <w:rPr>
                <w:color w:val="000000"/>
                <w:sz w:val="20"/>
                <w:szCs w:val="20"/>
              </w:rPr>
              <w:t>-</w:t>
            </w:r>
            <w:r w:rsidRPr="00563A36">
              <w:rPr>
                <w:color w:val="000000"/>
                <w:sz w:val="20"/>
                <w:szCs w:val="20"/>
              </w:rPr>
              <w:t>ница № 18 им.проф.К.Ш.Зыятдинова</w:t>
            </w:r>
            <w:r w:rsidR="002F7358">
              <w:rPr>
                <w:color w:val="000000"/>
                <w:sz w:val="20"/>
                <w:szCs w:val="20"/>
              </w:rPr>
              <w:t>»</w:t>
            </w:r>
            <w:r w:rsidRPr="00563A36">
              <w:rPr>
                <w:color w:val="000000"/>
                <w:sz w:val="20"/>
                <w:szCs w:val="20"/>
              </w:rPr>
              <w:t xml:space="preserve"> г.Казани</w:t>
            </w:r>
          </w:p>
        </w:tc>
        <w:tc>
          <w:tcPr>
            <w:tcW w:w="3544" w:type="dxa"/>
          </w:tcPr>
          <w:p w:rsidR="00563A36" w:rsidRPr="00563A36" w:rsidRDefault="00563A36" w:rsidP="00894D08">
            <w:pPr>
              <w:pStyle w:val="af9"/>
              <w:ind w:left="0"/>
              <w:contextualSpacing w:val="0"/>
              <w:jc w:val="center"/>
              <w:rPr>
                <w:sz w:val="20"/>
                <w:szCs w:val="20"/>
                <w:lang w:val="ru-RU"/>
              </w:rPr>
            </w:pPr>
            <w:r w:rsidRPr="00563A36">
              <w:rPr>
                <w:sz w:val="20"/>
                <w:szCs w:val="20"/>
              </w:rPr>
              <w:t>поликлиника</w:t>
            </w:r>
          </w:p>
        </w:tc>
        <w:tc>
          <w:tcPr>
            <w:tcW w:w="4921" w:type="dxa"/>
            <w:tcBorders>
              <w:top w:val="single" w:sz="4" w:space="0" w:color="auto"/>
              <w:left w:val="single" w:sz="4" w:space="0" w:color="auto"/>
              <w:bottom w:val="single" w:sz="4" w:space="0" w:color="auto"/>
              <w:right w:val="single" w:sz="4" w:space="0" w:color="auto"/>
            </w:tcBorders>
            <w:shd w:val="clear" w:color="000000" w:fill="FFFFFF"/>
          </w:tcPr>
          <w:p w:rsidR="00563A36" w:rsidRPr="00563A36" w:rsidRDefault="004D2021" w:rsidP="00D06F12">
            <w:pPr>
              <w:autoSpaceDE/>
              <w:autoSpaceDN/>
              <w:adjustRightInd/>
              <w:jc w:val="both"/>
              <w:rPr>
                <w:color w:val="000000"/>
                <w:sz w:val="20"/>
                <w:szCs w:val="20"/>
              </w:rPr>
            </w:pPr>
            <w:r>
              <w:rPr>
                <w:color w:val="000000"/>
                <w:sz w:val="20"/>
                <w:szCs w:val="20"/>
              </w:rPr>
              <w:t>п</w:t>
            </w:r>
            <w:r w:rsidR="00563A36" w:rsidRPr="00563A36">
              <w:rPr>
                <w:color w:val="000000"/>
                <w:sz w:val="20"/>
                <w:szCs w:val="20"/>
              </w:rPr>
              <w:t>ервичный онкологический кабинет</w:t>
            </w:r>
          </w:p>
        </w:tc>
      </w:tr>
      <w:tr w:rsidR="00563A36" w:rsidRPr="00563A36" w:rsidTr="000B1BA9">
        <w:trPr>
          <w:trHeight w:val="20"/>
        </w:trPr>
        <w:tc>
          <w:tcPr>
            <w:tcW w:w="846" w:type="dxa"/>
          </w:tcPr>
          <w:p w:rsidR="00563A36" w:rsidRPr="00563A36" w:rsidRDefault="00563A36" w:rsidP="00894D08">
            <w:pPr>
              <w:jc w:val="center"/>
              <w:rPr>
                <w:color w:val="000000"/>
                <w:sz w:val="20"/>
                <w:szCs w:val="20"/>
              </w:rPr>
            </w:pPr>
            <w:r w:rsidRPr="00563A36">
              <w:rPr>
                <w:color w:val="000000"/>
                <w:sz w:val="20"/>
                <w:szCs w:val="20"/>
              </w:rPr>
              <w:t>57</w:t>
            </w:r>
            <w:r w:rsidR="00D06F12">
              <w:rPr>
                <w:color w:val="000000"/>
                <w:sz w:val="20"/>
                <w:szCs w:val="20"/>
              </w:rPr>
              <w:t>.</w:t>
            </w:r>
          </w:p>
        </w:tc>
        <w:tc>
          <w:tcPr>
            <w:tcW w:w="4819" w:type="dxa"/>
            <w:vAlign w:val="center"/>
          </w:tcPr>
          <w:p w:rsidR="00563A36" w:rsidRPr="00563A36" w:rsidRDefault="00563A36" w:rsidP="00D06F12">
            <w:pPr>
              <w:jc w:val="both"/>
              <w:rPr>
                <w:color w:val="000000"/>
                <w:sz w:val="20"/>
                <w:szCs w:val="20"/>
              </w:rPr>
            </w:pPr>
            <w:r w:rsidRPr="00563A36">
              <w:rPr>
                <w:color w:val="000000"/>
                <w:sz w:val="20"/>
                <w:szCs w:val="20"/>
              </w:rPr>
              <w:t xml:space="preserve">ГАУЗ </w:t>
            </w:r>
            <w:r w:rsidR="002F7358">
              <w:rPr>
                <w:color w:val="000000"/>
                <w:sz w:val="20"/>
                <w:szCs w:val="20"/>
              </w:rPr>
              <w:t>«</w:t>
            </w:r>
            <w:r w:rsidRPr="00563A36">
              <w:rPr>
                <w:color w:val="000000"/>
                <w:sz w:val="20"/>
                <w:szCs w:val="20"/>
              </w:rPr>
              <w:t>Госпиталь для ветеранов войн</w:t>
            </w:r>
            <w:r w:rsidR="002F7358">
              <w:rPr>
                <w:color w:val="000000"/>
                <w:sz w:val="20"/>
                <w:szCs w:val="20"/>
              </w:rPr>
              <w:t>»</w:t>
            </w:r>
            <w:r w:rsidRPr="00563A36">
              <w:rPr>
                <w:color w:val="000000"/>
                <w:sz w:val="20"/>
                <w:szCs w:val="20"/>
              </w:rPr>
              <w:t xml:space="preserve"> г.Казани</w:t>
            </w:r>
          </w:p>
        </w:tc>
        <w:tc>
          <w:tcPr>
            <w:tcW w:w="3544" w:type="dxa"/>
          </w:tcPr>
          <w:p w:rsidR="00563A36" w:rsidRPr="00563A36" w:rsidRDefault="00563A36" w:rsidP="00894D08">
            <w:pPr>
              <w:pStyle w:val="af9"/>
              <w:ind w:left="0"/>
              <w:contextualSpacing w:val="0"/>
              <w:jc w:val="center"/>
              <w:rPr>
                <w:sz w:val="20"/>
                <w:szCs w:val="20"/>
                <w:lang w:val="ru-RU"/>
              </w:rPr>
            </w:pPr>
          </w:p>
        </w:tc>
        <w:tc>
          <w:tcPr>
            <w:tcW w:w="4921" w:type="dxa"/>
            <w:tcBorders>
              <w:top w:val="single" w:sz="4" w:space="0" w:color="auto"/>
              <w:left w:val="single" w:sz="4" w:space="0" w:color="auto"/>
              <w:bottom w:val="single" w:sz="4" w:space="0" w:color="auto"/>
              <w:right w:val="single" w:sz="4" w:space="0" w:color="auto"/>
            </w:tcBorders>
            <w:shd w:val="clear" w:color="000000" w:fill="FFFFFF"/>
          </w:tcPr>
          <w:p w:rsidR="00563A36" w:rsidRPr="00563A36" w:rsidRDefault="004D2021" w:rsidP="00D06F12">
            <w:pPr>
              <w:autoSpaceDE/>
              <w:autoSpaceDN/>
              <w:adjustRightInd/>
              <w:jc w:val="both"/>
              <w:rPr>
                <w:color w:val="000000"/>
                <w:sz w:val="20"/>
                <w:szCs w:val="20"/>
              </w:rPr>
            </w:pPr>
            <w:r>
              <w:rPr>
                <w:color w:val="000000"/>
                <w:sz w:val="20"/>
                <w:szCs w:val="20"/>
              </w:rPr>
              <w:t>п</w:t>
            </w:r>
            <w:r w:rsidR="00563A36" w:rsidRPr="00563A36">
              <w:rPr>
                <w:color w:val="000000"/>
                <w:sz w:val="20"/>
                <w:szCs w:val="20"/>
              </w:rPr>
              <w:t>ервичный онкологический кабинет</w:t>
            </w:r>
          </w:p>
        </w:tc>
      </w:tr>
      <w:tr w:rsidR="00563A36" w:rsidRPr="00563A36" w:rsidTr="000B1BA9">
        <w:trPr>
          <w:trHeight w:val="20"/>
        </w:trPr>
        <w:tc>
          <w:tcPr>
            <w:tcW w:w="846" w:type="dxa"/>
          </w:tcPr>
          <w:p w:rsidR="00563A36" w:rsidRPr="00563A36" w:rsidRDefault="00563A36" w:rsidP="00894D08">
            <w:pPr>
              <w:jc w:val="center"/>
              <w:rPr>
                <w:color w:val="000000"/>
                <w:sz w:val="20"/>
                <w:szCs w:val="20"/>
              </w:rPr>
            </w:pPr>
            <w:r w:rsidRPr="00563A36">
              <w:rPr>
                <w:color w:val="000000"/>
                <w:sz w:val="20"/>
                <w:szCs w:val="20"/>
              </w:rPr>
              <w:t>58</w:t>
            </w:r>
            <w:r w:rsidR="00D06F12">
              <w:rPr>
                <w:color w:val="000000"/>
                <w:sz w:val="20"/>
                <w:szCs w:val="20"/>
              </w:rPr>
              <w:t>.</w:t>
            </w:r>
          </w:p>
        </w:tc>
        <w:tc>
          <w:tcPr>
            <w:tcW w:w="4819" w:type="dxa"/>
            <w:vAlign w:val="center"/>
          </w:tcPr>
          <w:p w:rsidR="00563A36" w:rsidRPr="00563A36" w:rsidRDefault="00563A36" w:rsidP="004D2021">
            <w:pPr>
              <w:jc w:val="both"/>
              <w:rPr>
                <w:color w:val="000000"/>
                <w:sz w:val="20"/>
                <w:szCs w:val="20"/>
              </w:rPr>
            </w:pPr>
            <w:r w:rsidRPr="00563A36">
              <w:rPr>
                <w:color w:val="000000"/>
                <w:sz w:val="20"/>
                <w:szCs w:val="20"/>
              </w:rPr>
              <w:t>М</w:t>
            </w:r>
            <w:r w:rsidR="00147E84">
              <w:rPr>
                <w:color w:val="000000"/>
                <w:sz w:val="20"/>
                <w:szCs w:val="20"/>
              </w:rPr>
              <w:t xml:space="preserve">едико-санитарная часть </w:t>
            </w:r>
            <w:r w:rsidR="004D2021">
              <w:rPr>
                <w:color w:val="000000"/>
                <w:sz w:val="20"/>
                <w:szCs w:val="20"/>
              </w:rPr>
              <w:t>ф</w:t>
            </w:r>
            <w:r w:rsidR="00147E84">
              <w:rPr>
                <w:color w:val="000000"/>
                <w:sz w:val="20"/>
                <w:szCs w:val="20"/>
              </w:rPr>
              <w:t xml:space="preserve">едерального государственного автономного образовательного учреждения высшего образования </w:t>
            </w:r>
            <w:r w:rsidR="002F7358">
              <w:rPr>
                <w:color w:val="000000"/>
                <w:sz w:val="20"/>
                <w:szCs w:val="20"/>
              </w:rPr>
              <w:t>«</w:t>
            </w:r>
            <w:r w:rsidRPr="00563A36">
              <w:rPr>
                <w:color w:val="000000"/>
                <w:sz w:val="20"/>
                <w:szCs w:val="20"/>
              </w:rPr>
              <w:t>К</w:t>
            </w:r>
            <w:r w:rsidR="00147E84">
              <w:rPr>
                <w:color w:val="000000"/>
                <w:sz w:val="20"/>
                <w:szCs w:val="20"/>
              </w:rPr>
              <w:t xml:space="preserve">азанский </w:t>
            </w:r>
            <w:r w:rsidRPr="00563A36">
              <w:rPr>
                <w:color w:val="000000"/>
                <w:sz w:val="20"/>
                <w:szCs w:val="20"/>
              </w:rPr>
              <w:t>(П</w:t>
            </w:r>
            <w:r w:rsidR="00147E84">
              <w:rPr>
                <w:color w:val="000000"/>
                <w:sz w:val="20"/>
                <w:szCs w:val="20"/>
              </w:rPr>
              <w:t>риволжский</w:t>
            </w:r>
            <w:r w:rsidRPr="00563A36">
              <w:rPr>
                <w:color w:val="000000"/>
                <w:sz w:val="20"/>
                <w:szCs w:val="20"/>
              </w:rPr>
              <w:t>)</w:t>
            </w:r>
            <w:r w:rsidR="00147E84">
              <w:rPr>
                <w:color w:val="000000"/>
                <w:sz w:val="20"/>
                <w:szCs w:val="20"/>
              </w:rPr>
              <w:t xml:space="preserve"> федеральный университет</w:t>
            </w:r>
            <w:r w:rsidR="002F7358">
              <w:rPr>
                <w:color w:val="000000"/>
                <w:sz w:val="20"/>
                <w:szCs w:val="20"/>
              </w:rPr>
              <w:t>»</w:t>
            </w:r>
          </w:p>
        </w:tc>
        <w:tc>
          <w:tcPr>
            <w:tcW w:w="3544" w:type="dxa"/>
          </w:tcPr>
          <w:p w:rsidR="00563A36" w:rsidRPr="00563A36" w:rsidRDefault="00563A36" w:rsidP="00894D08">
            <w:pPr>
              <w:pStyle w:val="af9"/>
              <w:ind w:left="0"/>
              <w:contextualSpacing w:val="0"/>
              <w:jc w:val="center"/>
              <w:rPr>
                <w:sz w:val="20"/>
                <w:szCs w:val="20"/>
                <w:lang w:val="ru-RU"/>
              </w:rPr>
            </w:pPr>
            <w:r w:rsidRPr="00563A36">
              <w:rPr>
                <w:sz w:val="20"/>
                <w:szCs w:val="20"/>
              </w:rPr>
              <w:t>поликлиника</w:t>
            </w:r>
          </w:p>
        </w:tc>
        <w:tc>
          <w:tcPr>
            <w:tcW w:w="4921" w:type="dxa"/>
            <w:tcBorders>
              <w:top w:val="single" w:sz="4" w:space="0" w:color="auto"/>
              <w:left w:val="single" w:sz="4" w:space="0" w:color="auto"/>
              <w:bottom w:val="single" w:sz="4" w:space="0" w:color="auto"/>
              <w:right w:val="single" w:sz="4" w:space="0" w:color="auto"/>
            </w:tcBorders>
            <w:shd w:val="clear" w:color="000000" w:fill="FFFFFF"/>
          </w:tcPr>
          <w:p w:rsidR="00563A36" w:rsidRPr="00563A36" w:rsidRDefault="004D2021" w:rsidP="00D06F12">
            <w:pPr>
              <w:autoSpaceDE/>
              <w:autoSpaceDN/>
              <w:adjustRightInd/>
              <w:jc w:val="both"/>
              <w:rPr>
                <w:color w:val="000000"/>
                <w:sz w:val="20"/>
                <w:szCs w:val="20"/>
              </w:rPr>
            </w:pPr>
            <w:r>
              <w:rPr>
                <w:color w:val="000000"/>
                <w:sz w:val="20"/>
                <w:szCs w:val="20"/>
              </w:rPr>
              <w:t>п</w:t>
            </w:r>
            <w:r w:rsidR="00563A36" w:rsidRPr="00563A36">
              <w:rPr>
                <w:color w:val="000000"/>
                <w:sz w:val="20"/>
                <w:szCs w:val="20"/>
              </w:rPr>
              <w:t>ервичный онкологический кабинет</w:t>
            </w:r>
          </w:p>
        </w:tc>
      </w:tr>
      <w:tr w:rsidR="00563A36" w:rsidRPr="00563A36" w:rsidTr="000B1BA9">
        <w:trPr>
          <w:trHeight w:val="20"/>
        </w:trPr>
        <w:tc>
          <w:tcPr>
            <w:tcW w:w="846" w:type="dxa"/>
          </w:tcPr>
          <w:p w:rsidR="00563A36" w:rsidRPr="00563A36" w:rsidRDefault="00563A36" w:rsidP="004D2021">
            <w:pPr>
              <w:spacing w:line="245" w:lineRule="auto"/>
              <w:jc w:val="center"/>
              <w:rPr>
                <w:color w:val="000000"/>
                <w:sz w:val="20"/>
                <w:szCs w:val="20"/>
              </w:rPr>
            </w:pPr>
            <w:r w:rsidRPr="00563A36">
              <w:rPr>
                <w:color w:val="000000"/>
                <w:sz w:val="20"/>
                <w:szCs w:val="20"/>
              </w:rPr>
              <w:t>59</w:t>
            </w:r>
            <w:r w:rsidR="00D06F12">
              <w:rPr>
                <w:color w:val="000000"/>
                <w:sz w:val="20"/>
                <w:szCs w:val="20"/>
              </w:rPr>
              <w:t>.</w:t>
            </w:r>
          </w:p>
        </w:tc>
        <w:tc>
          <w:tcPr>
            <w:tcW w:w="4819" w:type="dxa"/>
            <w:vAlign w:val="center"/>
          </w:tcPr>
          <w:p w:rsidR="00563A36" w:rsidRPr="00563A36" w:rsidRDefault="00147E84" w:rsidP="004D2021">
            <w:pPr>
              <w:spacing w:line="245" w:lineRule="auto"/>
              <w:jc w:val="both"/>
              <w:rPr>
                <w:color w:val="000000"/>
                <w:sz w:val="20"/>
                <w:szCs w:val="20"/>
              </w:rPr>
            </w:pPr>
            <w:r>
              <w:rPr>
                <w:color w:val="000000"/>
                <w:sz w:val="20"/>
                <w:szCs w:val="20"/>
              </w:rPr>
              <w:t xml:space="preserve">Поликлиника </w:t>
            </w:r>
            <w:r w:rsidR="002F7358">
              <w:rPr>
                <w:color w:val="000000"/>
                <w:sz w:val="20"/>
                <w:szCs w:val="20"/>
              </w:rPr>
              <w:t>«</w:t>
            </w:r>
            <w:r w:rsidR="00563A36" w:rsidRPr="00563A36">
              <w:rPr>
                <w:color w:val="000000"/>
                <w:sz w:val="20"/>
                <w:szCs w:val="20"/>
              </w:rPr>
              <w:t>Спасение</w:t>
            </w:r>
            <w:r w:rsidR="002F7358">
              <w:rPr>
                <w:color w:val="000000"/>
                <w:sz w:val="20"/>
                <w:szCs w:val="20"/>
              </w:rPr>
              <w:t>»</w:t>
            </w:r>
          </w:p>
        </w:tc>
        <w:tc>
          <w:tcPr>
            <w:tcW w:w="3544" w:type="dxa"/>
          </w:tcPr>
          <w:p w:rsidR="00563A36" w:rsidRPr="00563A36" w:rsidRDefault="00563A36" w:rsidP="004D2021">
            <w:pPr>
              <w:pStyle w:val="af9"/>
              <w:spacing w:line="245" w:lineRule="auto"/>
              <w:ind w:left="0"/>
              <w:contextualSpacing w:val="0"/>
              <w:jc w:val="center"/>
              <w:rPr>
                <w:sz w:val="20"/>
                <w:szCs w:val="20"/>
                <w:lang w:val="ru-RU"/>
              </w:rPr>
            </w:pPr>
            <w:r w:rsidRPr="00563A36">
              <w:rPr>
                <w:sz w:val="20"/>
                <w:szCs w:val="20"/>
              </w:rPr>
              <w:t>поликлиника</w:t>
            </w:r>
          </w:p>
        </w:tc>
        <w:tc>
          <w:tcPr>
            <w:tcW w:w="4921" w:type="dxa"/>
            <w:tcBorders>
              <w:top w:val="single" w:sz="4" w:space="0" w:color="auto"/>
              <w:left w:val="single" w:sz="4" w:space="0" w:color="auto"/>
              <w:bottom w:val="single" w:sz="4" w:space="0" w:color="auto"/>
              <w:right w:val="single" w:sz="4" w:space="0" w:color="auto"/>
            </w:tcBorders>
            <w:shd w:val="clear" w:color="000000" w:fill="FFFFFF"/>
          </w:tcPr>
          <w:p w:rsidR="00563A36" w:rsidRPr="00563A36" w:rsidRDefault="004D2021" w:rsidP="004D2021">
            <w:pPr>
              <w:autoSpaceDE/>
              <w:autoSpaceDN/>
              <w:adjustRightInd/>
              <w:spacing w:line="245" w:lineRule="auto"/>
              <w:jc w:val="both"/>
              <w:rPr>
                <w:color w:val="000000"/>
                <w:sz w:val="20"/>
                <w:szCs w:val="20"/>
              </w:rPr>
            </w:pPr>
            <w:r>
              <w:rPr>
                <w:color w:val="000000"/>
                <w:sz w:val="20"/>
                <w:szCs w:val="20"/>
              </w:rPr>
              <w:t>п</w:t>
            </w:r>
            <w:r w:rsidR="00563A36" w:rsidRPr="00563A36">
              <w:rPr>
                <w:color w:val="000000"/>
                <w:sz w:val="20"/>
                <w:szCs w:val="20"/>
              </w:rPr>
              <w:t>ервичный онкологический кабинет</w:t>
            </w:r>
          </w:p>
        </w:tc>
      </w:tr>
      <w:tr w:rsidR="00563A36" w:rsidRPr="00563A36" w:rsidTr="000B1BA9">
        <w:trPr>
          <w:trHeight w:val="20"/>
        </w:trPr>
        <w:tc>
          <w:tcPr>
            <w:tcW w:w="846" w:type="dxa"/>
          </w:tcPr>
          <w:p w:rsidR="00563A36" w:rsidRPr="00563A36" w:rsidRDefault="00563A36" w:rsidP="004D2021">
            <w:pPr>
              <w:spacing w:line="245" w:lineRule="auto"/>
              <w:jc w:val="center"/>
              <w:rPr>
                <w:color w:val="000000"/>
                <w:sz w:val="20"/>
                <w:szCs w:val="20"/>
              </w:rPr>
            </w:pPr>
            <w:r w:rsidRPr="00563A36">
              <w:rPr>
                <w:color w:val="000000"/>
                <w:sz w:val="20"/>
                <w:szCs w:val="20"/>
              </w:rPr>
              <w:t>60</w:t>
            </w:r>
            <w:r w:rsidR="00D06F12">
              <w:rPr>
                <w:color w:val="000000"/>
                <w:sz w:val="20"/>
                <w:szCs w:val="20"/>
              </w:rPr>
              <w:t>.</w:t>
            </w:r>
          </w:p>
        </w:tc>
        <w:tc>
          <w:tcPr>
            <w:tcW w:w="4819" w:type="dxa"/>
            <w:vAlign w:val="center"/>
          </w:tcPr>
          <w:p w:rsidR="00563A36" w:rsidRPr="00563A36" w:rsidRDefault="00563A36" w:rsidP="004D2021">
            <w:pPr>
              <w:spacing w:line="245" w:lineRule="auto"/>
              <w:jc w:val="both"/>
              <w:rPr>
                <w:color w:val="000000"/>
                <w:sz w:val="20"/>
                <w:szCs w:val="20"/>
              </w:rPr>
            </w:pPr>
            <w:r w:rsidRPr="00563A36">
              <w:rPr>
                <w:color w:val="000000"/>
                <w:sz w:val="20"/>
                <w:szCs w:val="20"/>
              </w:rPr>
              <w:t>З</w:t>
            </w:r>
            <w:r w:rsidR="00147E84">
              <w:rPr>
                <w:color w:val="000000"/>
                <w:sz w:val="20"/>
                <w:szCs w:val="20"/>
              </w:rPr>
              <w:t>акрытое акционерное общество</w:t>
            </w:r>
            <w:r w:rsidRPr="00563A36">
              <w:rPr>
                <w:color w:val="000000"/>
                <w:sz w:val="20"/>
                <w:szCs w:val="20"/>
              </w:rPr>
              <w:t xml:space="preserve"> </w:t>
            </w:r>
            <w:r w:rsidR="002F7358">
              <w:rPr>
                <w:color w:val="000000"/>
                <w:sz w:val="20"/>
                <w:szCs w:val="20"/>
              </w:rPr>
              <w:t>«</w:t>
            </w:r>
            <w:r w:rsidRPr="00563A36">
              <w:rPr>
                <w:color w:val="000000"/>
                <w:sz w:val="20"/>
                <w:szCs w:val="20"/>
              </w:rPr>
              <w:t>Консультативно-диагностический центр Авиастроительного района</w:t>
            </w:r>
            <w:r w:rsidR="002F7358">
              <w:rPr>
                <w:color w:val="000000"/>
                <w:sz w:val="20"/>
                <w:szCs w:val="20"/>
              </w:rPr>
              <w:t>»</w:t>
            </w:r>
          </w:p>
        </w:tc>
        <w:tc>
          <w:tcPr>
            <w:tcW w:w="3544" w:type="dxa"/>
          </w:tcPr>
          <w:p w:rsidR="00563A36" w:rsidRPr="00563A36" w:rsidRDefault="00563A36" w:rsidP="004D2021">
            <w:pPr>
              <w:pStyle w:val="af9"/>
              <w:spacing w:line="245" w:lineRule="auto"/>
              <w:ind w:left="0"/>
              <w:contextualSpacing w:val="0"/>
              <w:jc w:val="center"/>
              <w:rPr>
                <w:sz w:val="20"/>
                <w:szCs w:val="20"/>
                <w:lang w:val="ru-RU"/>
              </w:rPr>
            </w:pPr>
            <w:r w:rsidRPr="00563A36">
              <w:rPr>
                <w:sz w:val="20"/>
                <w:szCs w:val="20"/>
              </w:rPr>
              <w:t>поликлиника</w:t>
            </w:r>
          </w:p>
        </w:tc>
        <w:tc>
          <w:tcPr>
            <w:tcW w:w="4921" w:type="dxa"/>
            <w:tcBorders>
              <w:top w:val="single" w:sz="4" w:space="0" w:color="auto"/>
              <w:left w:val="single" w:sz="4" w:space="0" w:color="auto"/>
              <w:bottom w:val="single" w:sz="4" w:space="0" w:color="auto"/>
              <w:right w:val="single" w:sz="4" w:space="0" w:color="auto"/>
            </w:tcBorders>
            <w:shd w:val="clear" w:color="000000" w:fill="FFFFFF"/>
          </w:tcPr>
          <w:p w:rsidR="00563A36" w:rsidRPr="00563A36" w:rsidRDefault="004D2021" w:rsidP="004D2021">
            <w:pPr>
              <w:autoSpaceDE/>
              <w:autoSpaceDN/>
              <w:adjustRightInd/>
              <w:spacing w:line="245" w:lineRule="auto"/>
              <w:jc w:val="both"/>
              <w:rPr>
                <w:color w:val="000000"/>
                <w:sz w:val="20"/>
                <w:szCs w:val="20"/>
              </w:rPr>
            </w:pPr>
            <w:r>
              <w:rPr>
                <w:color w:val="000000"/>
                <w:sz w:val="20"/>
                <w:szCs w:val="20"/>
              </w:rPr>
              <w:t>п</w:t>
            </w:r>
            <w:r w:rsidR="00563A36" w:rsidRPr="00563A36">
              <w:rPr>
                <w:color w:val="000000"/>
                <w:sz w:val="20"/>
                <w:szCs w:val="20"/>
              </w:rPr>
              <w:t>ервичный онкологический кабинет</w:t>
            </w:r>
          </w:p>
        </w:tc>
      </w:tr>
      <w:tr w:rsidR="00563A36" w:rsidRPr="00563A36" w:rsidTr="000B1BA9">
        <w:trPr>
          <w:trHeight w:val="20"/>
        </w:trPr>
        <w:tc>
          <w:tcPr>
            <w:tcW w:w="846" w:type="dxa"/>
          </w:tcPr>
          <w:p w:rsidR="00563A36" w:rsidRPr="00563A36" w:rsidRDefault="00563A36" w:rsidP="004D2021">
            <w:pPr>
              <w:spacing w:line="245" w:lineRule="auto"/>
              <w:jc w:val="center"/>
              <w:rPr>
                <w:color w:val="000000"/>
                <w:sz w:val="20"/>
                <w:szCs w:val="20"/>
              </w:rPr>
            </w:pPr>
            <w:r w:rsidRPr="00563A36">
              <w:rPr>
                <w:color w:val="000000"/>
                <w:sz w:val="20"/>
                <w:szCs w:val="20"/>
              </w:rPr>
              <w:t>61</w:t>
            </w:r>
            <w:r w:rsidR="00D06F12">
              <w:rPr>
                <w:color w:val="000000"/>
                <w:sz w:val="20"/>
                <w:szCs w:val="20"/>
              </w:rPr>
              <w:t>.</w:t>
            </w:r>
          </w:p>
        </w:tc>
        <w:tc>
          <w:tcPr>
            <w:tcW w:w="4819" w:type="dxa"/>
            <w:vAlign w:val="center"/>
          </w:tcPr>
          <w:p w:rsidR="00563A36" w:rsidRPr="004D2021" w:rsidRDefault="00563A36" w:rsidP="004D2021">
            <w:pPr>
              <w:spacing w:line="245" w:lineRule="auto"/>
              <w:jc w:val="both"/>
              <w:rPr>
                <w:color w:val="000000"/>
                <w:sz w:val="20"/>
                <w:szCs w:val="20"/>
              </w:rPr>
            </w:pPr>
            <w:r w:rsidRPr="004D2021">
              <w:rPr>
                <w:color w:val="000000"/>
                <w:sz w:val="20"/>
                <w:szCs w:val="20"/>
              </w:rPr>
              <w:t xml:space="preserve">ГАУЗ </w:t>
            </w:r>
            <w:r w:rsidR="002F7358" w:rsidRPr="004D2021">
              <w:rPr>
                <w:color w:val="000000"/>
                <w:sz w:val="20"/>
                <w:szCs w:val="20"/>
              </w:rPr>
              <w:t>«</w:t>
            </w:r>
            <w:r w:rsidRPr="004D2021">
              <w:rPr>
                <w:color w:val="000000"/>
                <w:sz w:val="20"/>
                <w:szCs w:val="20"/>
              </w:rPr>
              <w:t>Городская клиническая больница</w:t>
            </w:r>
            <w:r w:rsidR="004D2021" w:rsidRPr="004D2021">
              <w:rPr>
                <w:color w:val="000000"/>
                <w:sz w:val="20"/>
                <w:szCs w:val="20"/>
              </w:rPr>
              <w:t xml:space="preserve"> </w:t>
            </w:r>
            <w:r w:rsidRPr="004D2021">
              <w:rPr>
                <w:color w:val="000000"/>
                <w:sz w:val="20"/>
                <w:szCs w:val="20"/>
              </w:rPr>
              <w:t>№ 12</w:t>
            </w:r>
            <w:r w:rsidR="002F7358" w:rsidRPr="004D2021">
              <w:rPr>
                <w:color w:val="000000"/>
                <w:sz w:val="20"/>
                <w:szCs w:val="20"/>
              </w:rPr>
              <w:t>»</w:t>
            </w:r>
            <w:r w:rsidRPr="004D2021">
              <w:rPr>
                <w:color w:val="000000"/>
                <w:sz w:val="20"/>
                <w:szCs w:val="20"/>
              </w:rPr>
              <w:t xml:space="preserve"> г.Казани</w:t>
            </w:r>
          </w:p>
        </w:tc>
        <w:tc>
          <w:tcPr>
            <w:tcW w:w="3544" w:type="dxa"/>
          </w:tcPr>
          <w:p w:rsidR="00563A36" w:rsidRPr="00563A36" w:rsidRDefault="00563A36" w:rsidP="004D2021">
            <w:pPr>
              <w:pStyle w:val="af9"/>
              <w:spacing w:line="245" w:lineRule="auto"/>
              <w:ind w:left="0"/>
              <w:contextualSpacing w:val="0"/>
              <w:jc w:val="center"/>
              <w:rPr>
                <w:sz w:val="20"/>
                <w:szCs w:val="20"/>
                <w:lang w:val="ru-RU"/>
              </w:rPr>
            </w:pPr>
            <w:r w:rsidRPr="00563A36">
              <w:rPr>
                <w:sz w:val="20"/>
                <w:szCs w:val="20"/>
              </w:rPr>
              <w:t>поликлиника</w:t>
            </w:r>
          </w:p>
        </w:tc>
        <w:tc>
          <w:tcPr>
            <w:tcW w:w="4921" w:type="dxa"/>
            <w:tcBorders>
              <w:top w:val="single" w:sz="4" w:space="0" w:color="auto"/>
              <w:left w:val="single" w:sz="4" w:space="0" w:color="auto"/>
              <w:bottom w:val="single" w:sz="4" w:space="0" w:color="auto"/>
              <w:right w:val="single" w:sz="4" w:space="0" w:color="auto"/>
            </w:tcBorders>
            <w:shd w:val="clear" w:color="000000" w:fill="FFFFFF"/>
          </w:tcPr>
          <w:p w:rsidR="00563A36" w:rsidRPr="00563A36" w:rsidRDefault="004D2021" w:rsidP="004D2021">
            <w:pPr>
              <w:autoSpaceDE/>
              <w:autoSpaceDN/>
              <w:adjustRightInd/>
              <w:spacing w:line="245" w:lineRule="auto"/>
              <w:jc w:val="both"/>
              <w:rPr>
                <w:color w:val="000000"/>
                <w:sz w:val="20"/>
                <w:szCs w:val="20"/>
              </w:rPr>
            </w:pPr>
            <w:r>
              <w:rPr>
                <w:color w:val="000000"/>
                <w:sz w:val="20"/>
                <w:szCs w:val="20"/>
              </w:rPr>
              <w:t>п</w:t>
            </w:r>
            <w:r w:rsidR="00563A36" w:rsidRPr="00563A36">
              <w:rPr>
                <w:color w:val="000000"/>
                <w:sz w:val="20"/>
                <w:szCs w:val="20"/>
              </w:rPr>
              <w:t>ервичный онкологический кабинет</w:t>
            </w:r>
          </w:p>
        </w:tc>
      </w:tr>
      <w:tr w:rsidR="00563A36" w:rsidRPr="00563A36" w:rsidTr="000B1BA9">
        <w:trPr>
          <w:trHeight w:val="20"/>
        </w:trPr>
        <w:tc>
          <w:tcPr>
            <w:tcW w:w="846" w:type="dxa"/>
          </w:tcPr>
          <w:p w:rsidR="00563A36" w:rsidRPr="00563A36" w:rsidRDefault="00563A36" w:rsidP="004D2021">
            <w:pPr>
              <w:spacing w:line="245" w:lineRule="auto"/>
              <w:jc w:val="center"/>
              <w:rPr>
                <w:color w:val="000000"/>
                <w:sz w:val="20"/>
                <w:szCs w:val="20"/>
                <w:highlight w:val="green"/>
              </w:rPr>
            </w:pPr>
            <w:r w:rsidRPr="00147E84">
              <w:rPr>
                <w:color w:val="000000"/>
                <w:sz w:val="20"/>
                <w:szCs w:val="20"/>
              </w:rPr>
              <w:t>62</w:t>
            </w:r>
            <w:r w:rsidR="00D06F12">
              <w:rPr>
                <w:color w:val="000000"/>
                <w:sz w:val="20"/>
                <w:szCs w:val="20"/>
              </w:rPr>
              <w:t>.</w:t>
            </w:r>
          </w:p>
        </w:tc>
        <w:tc>
          <w:tcPr>
            <w:tcW w:w="4819" w:type="dxa"/>
            <w:vAlign w:val="bottom"/>
          </w:tcPr>
          <w:p w:rsidR="00563A36" w:rsidRPr="00563A36" w:rsidRDefault="00563A36" w:rsidP="004D2021">
            <w:pPr>
              <w:spacing w:line="245" w:lineRule="auto"/>
              <w:jc w:val="both"/>
              <w:rPr>
                <w:color w:val="000000"/>
                <w:sz w:val="20"/>
                <w:szCs w:val="20"/>
                <w:highlight w:val="green"/>
              </w:rPr>
            </w:pPr>
            <w:r w:rsidRPr="00563A36">
              <w:rPr>
                <w:color w:val="000000"/>
                <w:sz w:val="20"/>
                <w:szCs w:val="20"/>
              </w:rPr>
              <w:t>Ч</w:t>
            </w:r>
            <w:r>
              <w:rPr>
                <w:color w:val="000000"/>
                <w:sz w:val="20"/>
                <w:szCs w:val="20"/>
              </w:rPr>
              <w:t xml:space="preserve">астное учреждение </w:t>
            </w:r>
            <w:r w:rsidR="00CC5747">
              <w:rPr>
                <w:color w:val="000000"/>
                <w:sz w:val="20"/>
                <w:szCs w:val="20"/>
              </w:rPr>
              <w:t>здравоохранения</w:t>
            </w:r>
            <w:r w:rsidRPr="00563A36">
              <w:rPr>
                <w:color w:val="000000"/>
                <w:sz w:val="20"/>
                <w:szCs w:val="20"/>
              </w:rPr>
              <w:t xml:space="preserve"> </w:t>
            </w:r>
            <w:r w:rsidR="002F7358">
              <w:rPr>
                <w:color w:val="000000"/>
                <w:sz w:val="20"/>
                <w:szCs w:val="20"/>
              </w:rPr>
              <w:t>«</w:t>
            </w:r>
            <w:r w:rsidRPr="00563A36">
              <w:rPr>
                <w:color w:val="000000"/>
                <w:sz w:val="20"/>
                <w:szCs w:val="20"/>
              </w:rPr>
              <w:t xml:space="preserve">Клиническая больница </w:t>
            </w:r>
            <w:r w:rsidR="002F7358">
              <w:rPr>
                <w:color w:val="000000"/>
                <w:sz w:val="20"/>
                <w:szCs w:val="20"/>
              </w:rPr>
              <w:t>«</w:t>
            </w:r>
            <w:r w:rsidR="004D2021">
              <w:rPr>
                <w:color w:val="000000"/>
                <w:sz w:val="20"/>
                <w:szCs w:val="20"/>
              </w:rPr>
              <w:t>РЖД-</w:t>
            </w:r>
            <w:r w:rsidRPr="00563A36">
              <w:rPr>
                <w:color w:val="000000"/>
                <w:sz w:val="20"/>
                <w:szCs w:val="20"/>
              </w:rPr>
              <w:t>Медицина</w:t>
            </w:r>
            <w:r w:rsidR="002F7358">
              <w:rPr>
                <w:color w:val="000000"/>
                <w:sz w:val="20"/>
                <w:szCs w:val="20"/>
              </w:rPr>
              <w:t>»</w:t>
            </w:r>
            <w:r w:rsidRPr="00563A36">
              <w:rPr>
                <w:color w:val="000000"/>
                <w:sz w:val="20"/>
                <w:szCs w:val="20"/>
              </w:rPr>
              <w:t xml:space="preserve"> г.Казань</w:t>
            </w:r>
          </w:p>
        </w:tc>
        <w:tc>
          <w:tcPr>
            <w:tcW w:w="3544" w:type="dxa"/>
          </w:tcPr>
          <w:p w:rsidR="00563A36" w:rsidRPr="00563A36" w:rsidRDefault="00563A36" w:rsidP="004D2021">
            <w:pPr>
              <w:pStyle w:val="af9"/>
              <w:spacing w:line="245" w:lineRule="auto"/>
              <w:ind w:left="0"/>
              <w:contextualSpacing w:val="0"/>
              <w:jc w:val="center"/>
              <w:rPr>
                <w:sz w:val="20"/>
                <w:szCs w:val="20"/>
                <w:lang w:val="ru-RU"/>
              </w:rPr>
            </w:pPr>
            <w:r w:rsidRPr="00563A36">
              <w:rPr>
                <w:sz w:val="20"/>
                <w:szCs w:val="20"/>
              </w:rPr>
              <w:t>поликлиника</w:t>
            </w:r>
          </w:p>
        </w:tc>
        <w:tc>
          <w:tcPr>
            <w:tcW w:w="4921" w:type="dxa"/>
            <w:tcBorders>
              <w:top w:val="single" w:sz="4" w:space="0" w:color="auto"/>
              <w:left w:val="single" w:sz="4" w:space="0" w:color="auto"/>
              <w:bottom w:val="single" w:sz="4" w:space="0" w:color="auto"/>
              <w:right w:val="single" w:sz="4" w:space="0" w:color="auto"/>
            </w:tcBorders>
            <w:shd w:val="clear" w:color="000000" w:fill="FFFFFF"/>
          </w:tcPr>
          <w:p w:rsidR="00563A36" w:rsidRPr="00563A36" w:rsidRDefault="004D2021" w:rsidP="004D2021">
            <w:pPr>
              <w:autoSpaceDE/>
              <w:autoSpaceDN/>
              <w:adjustRightInd/>
              <w:spacing w:line="245" w:lineRule="auto"/>
              <w:jc w:val="both"/>
              <w:rPr>
                <w:color w:val="000000"/>
                <w:sz w:val="20"/>
                <w:szCs w:val="20"/>
              </w:rPr>
            </w:pPr>
            <w:r>
              <w:rPr>
                <w:color w:val="000000"/>
                <w:sz w:val="20"/>
                <w:szCs w:val="20"/>
              </w:rPr>
              <w:t>п</w:t>
            </w:r>
            <w:r w:rsidR="00563A36" w:rsidRPr="00563A36">
              <w:rPr>
                <w:color w:val="000000"/>
                <w:sz w:val="20"/>
                <w:szCs w:val="20"/>
              </w:rPr>
              <w:t>ервичный онкологический кабинет</w:t>
            </w:r>
          </w:p>
        </w:tc>
      </w:tr>
      <w:tr w:rsidR="00563A36" w:rsidRPr="00563A36" w:rsidTr="000B1BA9">
        <w:trPr>
          <w:trHeight w:val="20"/>
        </w:trPr>
        <w:tc>
          <w:tcPr>
            <w:tcW w:w="846" w:type="dxa"/>
          </w:tcPr>
          <w:p w:rsidR="00563A36" w:rsidRPr="00563A36" w:rsidRDefault="00563A36" w:rsidP="004D2021">
            <w:pPr>
              <w:spacing w:line="245" w:lineRule="auto"/>
              <w:jc w:val="center"/>
              <w:rPr>
                <w:color w:val="000000"/>
                <w:sz w:val="20"/>
                <w:szCs w:val="20"/>
              </w:rPr>
            </w:pPr>
            <w:r w:rsidRPr="00563A36">
              <w:rPr>
                <w:color w:val="000000"/>
                <w:sz w:val="20"/>
                <w:szCs w:val="20"/>
              </w:rPr>
              <w:t>63</w:t>
            </w:r>
            <w:r w:rsidR="00D06F12">
              <w:rPr>
                <w:color w:val="000000"/>
                <w:sz w:val="20"/>
                <w:szCs w:val="20"/>
              </w:rPr>
              <w:t>.</w:t>
            </w:r>
          </w:p>
        </w:tc>
        <w:tc>
          <w:tcPr>
            <w:tcW w:w="4819" w:type="dxa"/>
            <w:vAlign w:val="center"/>
          </w:tcPr>
          <w:p w:rsidR="00563A36" w:rsidRPr="00563A36" w:rsidRDefault="00563A36" w:rsidP="004D2021">
            <w:pPr>
              <w:spacing w:line="245" w:lineRule="auto"/>
              <w:jc w:val="both"/>
              <w:rPr>
                <w:color w:val="000000"/>
                <w:sz w:val="20"/>
                <w:szCs w:val="20"/>
              </w:rPr>
            </w:pPr>
            <w:r w:rsidRPr="00563A36">
              <w:rPr>
                <w:color w:val="000000"/>
                <w:sz w:val="20"/>
                <w:szCs w:val="20"/>
              </w:rPr>
              <w:t xml:space="preserve">ГАУЗ </w:t>
            </w:r>
            <w:r w:rsidR="002F7358">
              <w:rPr>
                <w:color w:val="000000"/>
                <w:sz w:val="20"/>
                <w:szCs w:val="20"/>
              </w:rPr>
              <w:t>«</w:t>
            </w:r>
            <w:r w:rsidRPr="00563A36">
              <w:rPr>
                <w:color w:val="000000"/>
                <w:sz w:val="20"/>
                <w:szCs w:val="20"/>
              </w:rPr>
              <w:t>Городская поликлиника № 21</w:t>
            </w:r>
            <w:r w:rsidR="002F7358">
              <w:rPr>
                <w:color w:val="000000"/>
                <w:sz w:val="20"/>
                <w:szCs w:val="20"/>
              </w:rPr>
              <w:t>»</w:t>
            </w:r>
            <w:r w:rsidRPr="00563A36">
              <w:rPr>
                <w:color w:val="000000"/>
                <w:sz w:val="20"/>
                <w:szCs w:val="20"/>
              </w:rPr>
              <w:t xml:space="preserve"> г.Казани</w:t>
            </w:r>
          </w:p>
        </w:tc>
        <w:tc>
          <w:tcPr>
            <w:tcW w:w="3544" w:type="dxa"/>
          </w:tcPr>
          <w:p w:rsidR="00563A36" w:rsidRPr="00563A36" w:rsidRDefault="00563A36" w:rsidP="004D2021">
            <w:pPr>
              <w:pStyle w:val="af9"/>
              <w:spacing w:line="245" w:lineRule="auto"/>
              <w:ind w:left="0"/>
              <w:contextualSpacing w:val="0"/>
              <w:jc w:val="center"/>
              <w:rPr>
                <w:sz w:val="20"/>
                <w:szCs w:val="20"/>
                <w:lang w:val="ru-RU"/>
              </w:rPr>
            </w:pPr>
            <w:r w:rsidRPr="00563A36">
              <w:rPr>
                <w:sz w:val="20"/>
                <w:szCs w:val="20"/>
              </w:rPr>
              <w:t>поликлиника</w:t>
            </w:r>
          </w:p>
        </w:tc>
        <w:tc>
          <w:tcPr>
            <w:tcW w:w="4921" w:type="dxa"/>
            <w:tcBorders>
              <w:top w:val="single" w:sz="4" w:space="0" w:color="auto"/>
              <w:left w:val="single" w:sz="4" w:space="0" w:color="auto"/>
              <w:bottom w:val="single" w:sz="4" w:space="0" w:color="auto"/>
              <w:right w:val="single" w:sz="4" w:space="0" w:color="auto"/>
            </w:tcBorders>
            <w:shd w:val="clear" w:color="000000" w:fill="FFFFFF"/>
          </w:tcPr>
          <w:p w:rsidR="00563A36" w:rsidRPr="005534FF" w:rsidRDefault="005534FF" w:rsidP="005534FF">
            <w:pPr>
              <w:autoSpaceDE/>
              <w:autoSpaceDN/>
              <w:adjustRightInd/>
              <w:spacing w:line="245" w:lineRule="auto"/>
              <w:jc w:val="both"/>
              <w:rPr>
                <w:color w:val="000000"/>
                <w:sz w:val="20"/>
                <w:szCs w:val="20"/>
              </w:rPr>
            </w:pPr>
            <w:r w:rsidRPr="005534FF">
              <w:rPr>
                <w:sz w:val="20"/>
                <w:szCs w:val="20"/>
              </w:rPr>
              <w:t>центр амбулаторной онкологической помощи</w:t>
            </w:r>
            <w:r w:rsidRPr="005534FF">
              <w:rPr>
                <w:color w:val="000000"/>
                <w:sz w:val="20"/>
                <w:szCs w:val="20"/>
              </w:rPr>
              <w:t xml:space="preserve"> </w:t>
            </w:r>
          </w:p>
        </w:tc>
      </w:tr>
      <w:tr w:rsidR="004D2021" w:rsidRPr="00563A36" w:rsidTr="000B1BA9">
        <w:trPr>
          <w:trHeight w:val="20"/>
        </w:trPr>
        <w:tc>
          <w:tcPr>
            <w:tcW w:w="846" w:type="dxa"/>
          </w:tcPr>
          <w:p w:rsidR="004D2021" w:rsidRPr="00563A36" w:rsidRDefault="004D2021" w:rsidP="004D2021">
            <w:pPr>
              <w:spacing w:line="245" w:lineRule="auto"/>
              <w:jc w:val="center"/>
              <w:rPr>
                <w:color w:val="000000"/>
                <w:sz w:val="20"/>
                <w:szCs w:val="20"/>
              </w:rPr>
            </w:pPr>
            <w:r w:rsidRPr="00563A36">
              <w:rPr>
                <w:color w:val="000000"/>
                <w:sz w:val="20"/>
                <w:szCs w:val="20"/>
              </w:rPr>
              <w:t>64</w:t>
            </w:r>
            <w:r>
              <w:rPr>
                <w:color w:val="000000"/>
                <w:sz w:val="20"/>
                <w:szCs w:val="20"/>
              </w:rPr>
              <w:t>.</w:t>
            </w:r>
          </w:p>
        </w:tc>
        <w:tc>
          <w:tcPr>
            <w:tcW w:w="4819" w:type="dxa"/>
            <w:vAlign w:val="center"/>
          </w:tcPr>
          <w:p w:rsidR="004D2021" w:rsidRPr="00563A36" w:rsidRDefault="004D2021" w:rsidP="004D2021">
            <w:pPr>
              <w:spacing w:line="245" w:lineRule="auto"/>
              <w:jc w:val="both"/>
              <w:rPr>
                <w:color w:val="000000"/>
                <w:sz w:val="20"/>
                <w:szCs w:val="20"/>
              </w:rPr>
            </w:pPr>
            <w:r w:rsidRPr="00563A36">
              <w:rPr>
                <w:color w:val="000000"/>
                <w:sz w:val="20"/>
                <w:szCs w:val="20"/>
              </w:rPr>
              <w:t xml:space="preserve">ГАУЗ </w:t>
            </w:r>
            <w:r>
              <w:rPr>
                <w:color w:val="000000"/>
                <w:sz w:val="20"/>
                <w:szCs w:val="20"/>
              </w:rPr>
              <w:t>«</w:t>
            </w:r>
            <w:r w:rsidRPr="00563A36">
              <w:rPr>
                <w:color w:val="000000"/>
                <w:sz w:val="20"/>
                <w:szCs w:val="20"/>
              </w:rPr>
              <w:t>Зеленодольская ЦРБ</w:t>
            </w:r>
            <w:r>
              <w:rPr>
                <w:color w:val="000000"/>
                <w:sz w:val="20"/>
                <w:szCs w:val="20"/>
              </w:rPr>
              <w:t>»</w:t>
            </w:r>
          </w:p>
        </w:tc>
        <w:tc>
          <w:tcPr>
            <w:tcW w:w="3544" w:type="dxa"/>
          </w:tcPr>
          <w:p w:rsidR="004D2021" w:rsidRPr="00563A36" w:rsidRDefault="004D2021" w:rsidP="004D2021">
            <w:pPr>
              <w:pStyle w:val="af9"/>
              <w:spacing w:line="245" w:lineRule="auto"/>
              <w:ind w:left="0"/>
              <w:contextualSpacing w:val="0"/>
              <w:jc w:val="center"/>
              <w:rPr>
                <w:sz w:val="20"/>
                <w:szCs w:val="20"/>
                <w:lang w:val="ru-RU"/>
              </w:rPr>
            </w:pPr>
            <w:r w:rsidRPr="00563A36">
              <w:rPr>
                <w:sz w:val="20"/>
                <w:szCs w:val="20"/>
              </w:rPr>
              <w:t>поликлиника</w:t>
            </w:r>
          </w:p>
        </w:tc>
        <w:tc>
          <w:tcPr>
            <w:tcW w:w="4921" w:type="dxa"/>
            <w:tcBorders>
              <w:top w:val="single" w:sz="4" w:space="0" w:color="auto"/>
              <w:left w:val="single" w:sz="4" w:space="0" w:color="auto"/>
              <w:bottom w:val="single" w:sz="4" w:space="0" w:color="auto"/>
              <w:right w:val="single" w:sz="4" w:space="0" w:color="auto"/>
            </w:tcBorders>
            <w:shd w:val="clear" w:color="000000" w:fill="FFFFFF"/>
          </w:tcPr>
          <w:p w:rsidR="004D2021" w:rsidRDefault="005534FF" w:rsidP="004D2021">
            <w:pPr>
              <w:spacing w:line="245" w:lineRule="auto"/>
            </w:pPr>
            <w:r>
              <w:rPr>
                <w:sz w:val="20"/>
                <w:szCs w:val="20"/>
              </w:rPr>
              <w:t>центр амбулаторной онкологической помощи</w:t>
            </w:r>
          </w:p>
        </w:tc>
      </w:tr>
      <w:tr w:rsidR="004D2021" w:rsidRPr="00563A36" w:rsidTr="000B1BA9">
        <w:trPr>
          <w:trHeight w:val="20"/>
        </w:trPr>
        <w:tc>
          <w:tcPr>
            <w:tcW w:w="846" w:type="dxa"/>
          </w:tcPr>
          <w:p w:rsidR="004D2021" w:rsidRPr="00563A36" w:rsidRDefault="004D2021" w:rsidP="004D2021">
            <w:pPr>
              <w:spacing w:line="245" w:lineRule="auto"/>
              <w:jc w:val="center"/>
              <w:rPr>
                <w:color w:val="000000"/>
                <w:sz w:val="20"/>
                <w:szCs w:val="20"/>
              </w:rPr>
            </w:pPr>
            <w:r w:rsidRPr="00563A36">
              <w:rPr>
                <w:color w:val="000000"/>
                <w:sz w:val="20"/>
                <w:szCs w:val="20"/>
              </w:rPr>
              <w:t>65</w:t>
            </w:r>
            <w:r>
              <w:rPr>
                <w:color w:val="000000"/>
                <w:sz w:val="20"/>
                <w:szCs w:val="20"/>
              </w:rPr>
              <w:t>.</w:t>
            </w:r>
          </w:p>
        </w:tc>
        <w:tc>
          <w:tcPr>
            <w:tcW w:w="4819" w:type="dxa"/>
            <w:vAlign w:val="center"/>
          </w:tcPr>
          <w:p w:rsidR="004D2021" w:rsidRPr="00563A36" w:rsidRDefault="004D2021" w:rsidP="004D2021">
            <w:pPr>
              <w:spacing w:line="245" w:lineRule="auto"/>
              <w:jc w:val="both"/>
              <w:rPr>
                <w:color w:val="000000"/>
                <w:sz w:val="20"/>
                <w:szCs w:val="20"/>
              </w:rPr>
            </w:pPr>
            <w:r w:rsidRPr="00563A36">
              <w:rPr>
                <w:color w:val="000000"/>
                <w:sz w:val="20"/>
                <w:szCs w:val="20"/>
              </w:rPr>
              <w:t xml:space="preserve">ГАУЗ </w:t>
            </w:r>
            <w:r>
              <w:rPr>
                <w:color w:val="000000"/>
                <w:sz w:val="20"/>
                <w:szCs w:val="20"/>
              </w:rPr>
              <w:t>«</w:t>
            </w:r>
            <w:r w:rsidRPr="00563A36">
              <w:rPr>
                <w:color w:val="000000"/>
                <w:sz w:val="20"/>
                <w:szCs w:val="20"/>
              </w:rPr>
              <w:t xml:space="preserve">Нижнекамская </w:t>
            </w:r>
            <w:r>
              <w:rPr>
                <w:color w:val="000000"/>
                <w:sz w:val="20"/>
                <w:szCs w:val="20"/>
              </w:rPr>
              <w:t>центральная районная многопрофильная больница»</w:t>
            </w:r>
          </w:p>
        </w:tc>
        <w:tc>
          <w:tcPr>
            <w:tcW w:w="3544" w:type="dxa"/>
          </w:tcPr>
          <w:p w:rsidR="004D2021" w:rsidRPr="00563A36" w:rsidRDefault="004D2021" w:rsidP="004D2021">
            <w:pPr>
              <w:pStyle w:val="af9"/>
              <w:spacing w:line="245" w:lineRule="auto"/>
              <w:ind w:left="0"/>
              <w:contextualSpacing w:val="0"/>
              <w:jc w:val="center"/>
              <w:rPr>
                <w:sz w:val="20"/>
                <w:szCs w:val="20"/>
                <w:lang w:val="ru-RU"/>
              </w:rPr>
            </w:pPr>
            <w:r w:rsidRPr="00563A36">
              <w:rPr>
                <w:sz w:val="20"/>
                <w:szCs w:val="20"/>
              </w:rPr>
              <w:t>поликлиника</w:t>
            </w:r>
          </w:p>
        </w:tc>
        <w:tc>
          <w:tcPr>
            <w:tcW w:w="4921" w:type="dxa"/>
            <w:tcBorders>
              <w:top w:val="single" w:sz="4" w:space="0" w:color="auto"/>
              <w:left w:val="single" w:sz="4" w:space="0" w:color="auto"/>
              <w:bottom w:val="single" w:sz="4" w:space="0" w:color="auto"/>
              <w:right w:val="single" w:sz="4" w:space="0" w:color="auto"/>
            </w:tcBorders>
            <w:shd w:val="clear" w:color="000000" w:fill="FFFFFF"/>
          </w:tcPr>
          <w:p w:rsidR="004D2021" w:rsidRDefault="005534FF" w:rsidP="004D2021">
            <w:pPr>
              <w:spacing w:line="245" w:lineRule="auto"/>
            </w:pPr>
            <w:r>
              <w:rPr>
                <w:sz w:val="20"/>
                <w:szCs w:val="20"/>
              </w:rPr>
              <w:t>центр амбулаторной онкологической помощи</w:t>
            </w:r>
          </w:p>
        </w:tc>
      </w:tr>
      <w:tr w:rsidR="004D2021" w:rsidRPr="00563A36" w:rsidTr="000B1BA9">
        <w:trPr>
          <w:trHeight w:val="20"/>
        </w:trPr>
        <w:tc>
          <w:tcPr>
            <w:tcW w:w="846" w:type="dxa"/>
          </w:tcPr>
          <w:p w:rsidR="004D2021" w:rsidRPr="00563A36" w:rsidRDefault="004D2021" w:rsidP="004D2021">
            <w:pPr>
              <w:spacing w:line="245" w:lineRule="auto"/>
              <w:jc w:val="center"/>
              <w:rPr>
                <w:color w:val="000000"/>
                <w:sz w:val="20"/>
                <w:szCs w:val="20"/>
              </w:rPr>
            </w:pPr>
            <w:r w:rsidRPr="00563A36">
              <w:rPr>
                <w:color w:val="000000"/>
                <w:sz w:val="20"/>
                <w:szCs w:val="20"/>
              </w:rPr>
              <w:t>66</w:t>
            </w:r>
            <w:r>
              <w:rPr>
                <w:color w:val="000000"/>
                <w:sz w:val="20"/>
                <w:szCs w:val="20"/>
              </w:rPr>
              <w:t>.</w:t>
            </w:r>
          </w:p>
        </w:tc>
        <w:tc>
          <w:tcPr>
            <w:tcW w:w="4819" w:type="dxa"/>
            <w:vAlign w:val="center"/>
          </w:tcPr>
          <w:p w:rsidR="004D2021" w:rsidRPr="00563A36" w:rsidRDefault="004D2021" w:rsidP="004D2021">
            <w:pPr>
              <w:spacing w:line="245" w:lineRule="auto"/>
              <w:jc w:val="both"/>
              <w:rPr>
                <w:color w:val="000000"/>
                <w:sz w:val="20"/>
                <w:szCs w:val="20"/>
              </w:rPr>
            </w:pPr>
            <w:r w:rsidRPr="00563A36">
              <w:rPr>
                <w:color w:val="000000"/>
                <w:sz w:val="20"/>
                <w:szCs w:val="20"/>
              </w:rPr>
              <w:t xml:space="preserve">ГАУЗ </w:t>
            </w:r>
            <w:r>
              <w:rPr>
                <w:color w:val="000000"/>
                <w:sz w:val="20"/>
                <w:szCs w:val="20"/>
              </w:rPr>
              <w:t>«</w:t>
            </w:r>
            <w:r w:rsidRPr="00563A36">
              <w:rPr>
                <w:color w:val="000000"/>
                <w:sz w:val="20"/>
                <w:szCs w:val="20"/>
              </w:rPr>
              <w:t>Бугульминская ЦРБ</w:t>
            </w:r>
            <w:r>
              <w:rPr>
                <w:color w:val="000000"/>
                <w:sz w:val="20"/>
                <w:szCs w:val="20"/>
              </w:rPr>
              <w:t>»</w:t>
            </w:r>
          </w:p>
        </w:tc>
        <w:tc>
          <w:tcPr>
            <w:tcW w:w="3544" w:type="dxa"/>
          </w:tcPr>
          <w:p w:rsidR="004D2021" w:rsidRPr="00563A36" w:rsidRDefault="004D2021" w:rsidP="004D2021">
            <w:pPr>
              <w:pStyle w:val="af9"/>
              <w:spacing w:line="245" w:lineRule="auto"/>
              <w:ind w:left="0"/>
              <w:contextualSpacing w:val="0"/>
              <w:jc w:val="center"/>
              <w:rPr>
                <w:sz w:val="20"/>
                <w:szCs w:val="20"/>
                <w:lang w:val="ru-RU"/>
              </w:rPr>
            </w:pPr>
            <w:r w:rsidRPr="00563A36">
              <w:rPr>
                <w:sz w:val="20"/>
                <w:szCs w:val="20"/>
              </w:rPr>
              <w:t>поликлиника</w:t>
            </w:r>
          </w:p>
        </w:tc>
        <w:tc>
          <w:tcPr>
            <w:tcW w:w="4921" w:type="dxa"/>
            <w:tcBorders>
              <w:top w:val="single" w:sz="4" w:space="0" w:color="auto"/>
              <w:left w:val="single" w:sz="4" w:space="0" w:color="auto"/>
              <w:bottom w:val="single" w:sz="4" w:space="0" w:color="auto"/>
              <w:right w:val="single" w:sz="4" w:space="0" w:color="auto"/>
            </w:tcBorders>
            <w:shd w:val="clear" w:color="000000" w:fill="FFFFFF"/>
          </w:tcPr>
          <w:p w:rsidR="004D2021" w:rsidRDefault="005534FF" w:rsidP="004D2021">
            <w:pPr>
              <w:spacing w:line="245" w:lineRule="auto"/>
            </w:pPr>
            <w:r>
              <w:rPr>
                <w:sz w:val="20"/>
                <w:szCs w:val="20"/>
              </w:rPr>
              <w:t>центр амбулаторной онкологической помощи</w:t>
            </w:r>
          </w:p>
        </w:tc>
      </w:tr>
      <w:tr w:rsidR="004D2021" w:rsidRPr="00563A36" w:rsidTr="000B1BA9">
        <w:trPr>
          <w:trHeight w:val="20"/>
        </w:trPr>
        <w:tc>
          <w:tcPr>
            <w:tcW w:w="846" w:type="dxa"/>
          </w:tcPr>
          <w:p w:rsidR="004D2021" w:rsidRPr="00563A36" w:rsidRDefault="004D2021" w:rsidP="004D2021">
            <w:pPr>
              <w:spacing w:line="245" w:lineRule="auto"/>
              <w:jc w:val="center"/>
              <w:rPr>
                <w:color w:val="000000"/>
                <w:sz w:val="20"/>
                <w:szCs w:val="20"/>
              </w:rPr>
            </w:pPr>
            <w:r w:rsidRPr="00563A36">
              <w:rPr>
                <w:color w:val="000000"/>
                <w:sz w:val="20"/>
                <w:szCs w:val="20"/>
              </w:rPr>
              <w:t>67</w:t>
            </w:r>
            <w:r>
              <w:rPr>
                <w:color w:val="000000"/>
                <w:sz w:val="20"/>
                <w:szCs w:val="20"/>
              </w:rPr>
              <w:t>.</w:t>
            </w:r>
          </w:p>
        </w:tc>
        <w:tc>
          <w:tcPr>
            <w:tcW w:w="4819" w:type="dxa"/>
            <w:vAlign w:val="center"/>
          </w:tcPr>
          <w:p w:rsidR="004D2021" w:rsidRPr="00563A36" w:rsidRDefault="004D2021" w:rsidP="004D2021">
            <w:pPr>
              <w:spacing w:line="245" w:lineRule="auto"/>
              <w:jc w:val="both"/>
              <w:rPr>
                <w:color w:val="000000"/>
                <w:sz w:val="20"/>
                <w:szCs w:val="20"/>
              </w:rPr>
            </w:pPr>
            <w:r w:rsidRPr="00563A36">
              <w:rPr>
                <w:color w:val="000000"/>
                <w:sz w:val="20"/>
                <w:szCs w:val="20"/>
              </w:rPr>
              <w:t xml:space="preserve">ГАУЗ </w:t>
            </w:r>
            <w:r>
              <w:rPr>
                <w:color w:val="000000"/>
                <w:sz w:val="20"/>
                <w:szCs w:val="20"/>
              </w:rPr>
              <w:t>«</w:t>
            </w:r>
            <w:r w:rsidRPr="00563A36">
              <w:rPr>
                <w:color w:val="000000"/>
                <w:sz w:val="20"/>
                <w:szCs w:val="20"/>
              </w:rPr>
              <w:t>Сабинская ЦРБ</w:t>
            </w:r>
            <w:r>
              <w:rPr>
                <w:color w:val="000000"/>
                <w:sz w:val="20"/>
                <w:szCs w:val="20"/>
              </w:rPr>
              <w:t>»</w:t>
            </w:r>
          </w:p>
        </w:tc>
        <w:tc>
          <w:tcPr>
            <w:tcW w:w="3544" w:type="dxa"/>
          </w:tcPr>
          <w:p w:rsidR="004D2021" w:rsidRPr="00563A36" w:rsidRDefault="004D2021" w:rsidP="004D2021">
            <w:pPr>
              <w:pStyle w:val="af9"/>
              <w:spacing w:line="245" w:lineRule="auto"/>
              <w:ind w:left="0"/>
              <w:contextualSpacing w:val="0"/>
              <w:jc w:val="center"/>
              <w:rPr>
                <w:sz w:val="20"/>
                <w:szCs w:val="20"/>
                <w:lang w:val="ru-RU"/>
              </w:rPr>
            </w:pPr>
            <w:r w:rsidRPr="00563A36">
              <w:rPr>
                <w:sz w:val="20"/>
                <w:szCs w:val="20"/>
              </w:rPr>
              <w:t>поликлиника</w:t>
            </w:r>
          </w:p>
        </w:tc>
        <w:tc>
          <w:tcPr>
            <w:tcW w:w="4921" w:type="dxa"/>
            <w:tcBorders>
              <w:top w:val="single" w:sz="4" w:space="0" w:color="auto"/>
              <w:left w:val="single" w:sz="4" w:space="0" w:color="auto"/>
              <w:bottom w:val="single" w:sz="4" w:space="0" w:color="auto"/>
              <w:right w:val="single" w:sz="4" w:space="0" w:color="auto"/>
            </w:tcBorders>
            <w:shd w:val="clear" w:color="000000" w:fill="FFFFFF"/>
          </w:tcPr>
          <w:p w:rsidR="004D2021" w:rsidRDefault="005534FF" w:rsidP="004D2021">
            <w:pPr>
              <w:spacing w:line="245" w:lineRule="auto"/>
            </w:pPr>
            <w:r>
              <w:rPr>
                <w:sz w:val="20"/>
                <w:szCs w:val="20"/>
              </w:rPr>
              <w:t>центр амбулаторной онкологической помощи</w:t>
            </w:r>
          </w:p>
        </w:tc>
      </w:tr>
      <w:tr w:rsidR="004D2021" w:rsidRPr="00563A36" w:rsidTr="000B1BA9">
        <w:trPr>
          <w:trHeight w:val="20"/>
        </w:trPr>
        <w:tc>
          <w:tcPr>
            <w:tcW w:w="846" w:type="dxa"/>
          </w:tcPr>
          <w:p w:rsidR="004D2021" w:rsidRPr="00563A36" w:rsidRDefault="004D2021" w:rsidP="004D2021">
            <w:pPr>
              <w:spacing w:line="245" w:lineRule="auto"/>
              <w:jc w:val="center"/>
              <w:rPr>
                <w:color w:val="000000"/>
                <w:sz w:val="20"/>
                <w:szCs w:val="20"/>
              </w:rPr>
            </w:pPr>
            <w:r w:rsidRPr="00563A36">
              <w:rPr>
                <w:color w:val="000000"/>
                <w:sz w:val="20"/>
                <w:szCs w:val="20"/>
              </w:rPr>
              <w:t>68</w:t>
            </w:r>
            <w:r>
              <w:rPr>
                <w:color w:val="000000"/>
                <w:sz w:val="20"/>
                <w:szCs w:val="20"/>
              </w:rPr>
              <w:t>.</w:t>
            </w:r>
          </w:p>
        </w:tc>
        <w:tc>
          <w:tcPr>
            <w:tcW w:w="4819" w:type="dxa"/>
            <w:vAlign w:val="center"/>
          </w:tcPr>
          <w:p w:rsidR="004D2021" w:rsidRPr="00563A36" w:rsidRDefault="004D2021" w:rsidP="004D2021">
            <w:pPr>
              <w:spacing w:line="245" w:lineRule="auto"/>
              <w:jc w:val="both"/>
              <w:rPr>
                <w:color w:val="000000"/>
                <w:sz w:val="20"/>
                <w:szCs w:val="20"/>
              </w:rPr>
            </w:pPr>
            <w:r w:rsidRPr="00563A36">
              <w:rPr>
                <w:color w:val="000000"/>
                <w:sz w:val="20"/>
                <w:szCs w:val="20"/>
              </w:rPr>
              <w:t xml:space="preserve">ГАУЗ </w:t>
            </w:r>
            <w:r>
              <w:rPr>
                <w:color w:val="000000"/>
                <w:sz w:val="20"/>
                <w:szCs w:val="20"/>
              </w:rPr>
              <w:t>«</w:t>
            </w:r>
            <w:r w:rsidRPr="00563A36">
              <w:rPr>
                <w:color w:val="000000"/>
                <w:sz w:val="20"/>
                <w:szCs w:val="20"/>
              </w:rPr>
              <w:t>Буинская ЦРБ</w:t>
            </w:r>
            <w:r>
              <w:rPr>
                <w:color w:val="000000"/>
                <w:sz w:val="20"/>
                <w:szCs w:val="20"/>
              </w:rPr>
              <w:t>»</w:t>
            </w:r>
          </w:p>
        </w:tc>
        <w:tc>
          <w:tcPr>
            <w:tcW w:w="3544" w:type="dxa"/>
          </w:tcPr>
          <w:p w:rsidR="004D2021" w:rsidRPr="00563A36" w:rsidRDefault="004D2021" w:rsidP="004D2021">
            <w:pPr>
              <w:pStyle w:val="af9"/>
              <w:spacing w:line="245" w:lineRule="auto"/>
              <w:ind w:left="0"/>
              <w:contextualSpacing w:val="0"/>
              <w:jc w:val="center"/>
              <w:rPr>
                <w:sz w:val="20"/>
                <w:szCs w:val="20"/>
                <w:lang w:val="ru-RU"/>
              </w:rPr>
            </w:pPr>
            <w:r w:rsidRPr="00563A36">
              <w:rPr>
                <w:sz w:val="20"/>
                <w:szCs w:val="20"/>
              </w:rPr>
              <w:t>поликлиника</w:t>
            </w:r>
          </w:p>
        </w:tc>
        <w:tc>
          <w:tcPr>
            <w:tcW w:w="4921" w:type="dxa"/>
            <w:tcBorders>
              <w:top w:val="single" w:sz="4" w:space="0" w:color="auto"/>
              <w:left w:val="single" w:sz="4" w:space="0" w:color="auto"/>
              <w:bottom w:val="single" w:sz="4" w:space="0" w:color="auto"/>
              <w:right w:val="single" w:sz="4" w:space="0" w:color="auto"/>
            </w:tcBorders>
            <w:shd w:val="clear" w:color="000000" w:fill="FFFFFF"/>
          </w:tcPr>
          <w:p w:rsidR="004D2021" w:rsidRDefault="005534FF" w:rsidP="004D2021">
            <w:pPr>
              <w:spacing w:line="245" w:lineRule="auto"/>
            </w:pPr>
            <w:r>
              <w:rPr>
                <w:sz w:val="20"/>
                <w:szCs w:val="20"/>
              </w:rPr>
              <w:t>центр амбулаторной онкологической помощи</w:t>
            </w:r>
          </w:p>
        </w:tc>
      </w:tr>
      <w:tr w:rsidR="004D2021" w:rsidRPr="00563A36" w:rsidTr="000B1BA9">
        <w:trPr>
          <w:trHeight w:val="20"/>
        </w:trPr>
        <w:tc>
          <w:tcPr>
            <w:tcW w:w="846" w:type="dxa"/>
          </w:tcPr>
          <w:p w:rsidR="004D2021" w:rsidRPr="00563A36" w:rsidRDefault="004D2021" w:rsidP="004D2021">
            <w:pPr>
              <w:spacing w:line="245" w:lineRule="auto"/>
              <w:jc w:val="center"/>
              <w:rPr>
                <w:color w:val="000000"/>
                <w:sz w:val="20"/>
                <w:szCs w:val="20"/>
              </w:rPr>
            </w:pPr>
            <w:r w:rsidRPr="00563A36">
              <w:rPr>
                <w:color w:val="000000"/>
                <w:sz w:val="20"/>
                <w:szCs w:val="20"/>
              </w:rPr>
              <w:t>69</w:t>
            </w:r>
            <w:r>
              <w:rPr>
                <w:color w:val="000000"/>
                <w:sz w:val="20"/>
                <w:szCs w:val="20"/>
              </w:rPr>
              <w:t>.</w:t>
            </w:r>
          </w:p>
        </w:tc>
        <w:tc>
          <w:tcPr>
            <w:tcW w:w="4819" w:type="dxa"/>
            <w:vAlign w:val="center"/>
          </w:tcPr>
          <w:p w:rsidR="004D2021" w:rsidRPr="00563A36" w:rsidRDefault="004D2021" w:rsidP="004D2021">
            <w:pPr>
              <w:spacing w:line="245" w:lineRule="auto"/>
              <w:jc w:val="both"/>
              <w:rPr>
                <w:color w:val="000000"/>
                <w:sz w:val="20"/>
                <w:szCs w:val="20"/>
              </w:rPr>
            </w:pPr>
            <w:r w:rsidRPr="00563A36">
              <w:rPr>
                <w:color w:val="000000"/>
                <w:sz w:val="20"/>
                <w:szCs w:val="20"/>
              </w:rPr>
              <w:t xml:space="preserve">ГАУЗ </w:t>
            </w:r>
            <w:r>
              <w:rPr>
                <w:color w:val="000000"/>
                <w:sz w:val="20"/>
                <w:szCs w:val="20"/>
              </w:rPr>
              <w:t>«</w:t>
            </w:r>
            <w:r w:rsidRPr="00563A36">
              <w:rPr>
                <w:color w:val="000000"/>
                <w:sz w:val="20"/>
                <w:szCs w:val="20"/>
              </w:rPr>
              <w:t>Чистопольская ЦРБ</w:t>
            </w:r>
            <w:r>
              <w:rPr>
                <w:color w:val="000000"/>
                <w:sz w:val="20"/>
                <w:szCs w:val="20"/>
              </w:rPr>
              <w:t>»</w:t>
            </w:r>
          </w:p>
        </w:tc>
        <w:tc>
          <w:tcPr>
            <w:tcW w:w="3544" w:type="dxa"/>
          </w:tcPr>
          <w:p w:rsidR="004D2021" w:rsidRPr="00563A36" w:rsidRDefault="004D2021" w:rsidP="004D2021">
            <w:pPr>
              <w:pStyle w:val="af9"/>
              <w:spacing w:line="245" w:lineRule="auto"/>
              <w:ind w:left="0"/>
              <w:contextualSpacing w:val="0"/>
              <w:jc w:val="center"/>
              <w:rPr>
                <w:sz w:val="20"/>
                <w:szCs w:val="20"/>
                <w:lang w:val="ru-RU"/>
              </w:rPr>
            </w:pPr>
            <w:r w:rsidRPr="00563A36">
              <w:rPr>
                <w:sz w:val="20"/>
                <w:szCs w:val="20"/>
              </w:rPr>
              <w:t>поликлиника</w:t>
            </w:r>
          </w:p>
        </w:tc>
        <w:tc>
          <w:tcPr>
            <w:tcW w:w="4921" w:type="dxa"/>
            <w:tcBorders>
              <w:top w:val="single" w:sz="4" w:space="0" w:color="auto"/>
              <w:left w:val="single" w:sz="4" w:space="0" w:color="auto"/>
              <w:bottom w:val="single" w:sz="4" w:space="0" w:color="auto"/>
              <w:right w:val="single" w:sz="4" w:space="0" w:color="auto"/>
            </w:tcBorders>
            <w:shd w:val="clear" w:color="000000" w:fill="FFFFFF"/>
          </w:tcPr>
          <w:p w:rsidR="004D2021" w:rsidRDefault="005534FF" w:rsidP="004D2021">
            <w:pPr>
              <w:spacing w:line="245" w:lineRule="auto"/>
            </w:pPr>
            <w:r>
              <w:rPr>
                <w:sz w:val="20"/>
                <w:szCs w:val="20"/>
              </w:rPr>
              <w:t>центр амбулаторной онкологической помощи</w:t>
            </w:r>
          </w:p>
        </w:tc>
      </w:tr>
      <w:tr w:rsidR="004D2021" w:rsidRPr="00563A36" w:rsidTr="000B1BA9">
        <w:trPr>
          <w:trHeight w:val="20"/>
        </w:trPr>
        <w:tc>
          <w:tcPr>
            <w:tcW w:w="846" w:type="dxa"/>
          </w:tcPr>
          <w:p w:rsidR="004D2021" w:rsidRPr="00563A36" w:rsidRDefault="004D2021" w:rsidP="004D2021">
            <w:pPr>
              <w:spacing w:line="245" w:lineRule="auto"/>
              <w:jc w:val="center"/>
              <w:rPr>
                <w:color w:val="000000"/>
                <w:sz w:val="20"/>
                <w:szCs w:val="20"/>
              </w:rPr>
            </w:pPr>
            <w:r w:rsidRPr="00563A36">
              <w:rPr>
                <w:color w:val="000000"/>
                <w:sz w:val="20"/>
                <w:szCs w:val="20"/>
              </w:rPr>
              <w:t>70</w:t>
            </w:r>
            <w:r>
              <w:rPr>
                <w:color w:val="000000"/>
                <w:sz w:val="20"/>
                <w:szCs w:val="20"/>
              </w:rPr>
              <w:t>.</w:t>
            </w:r>
          </w:p>
        </w:tc>
        <w:tc>
          <w:tcPr>
            <w:tcW w:w="4819" w:type="dxa"/>
            <w:vAlign w:val="center"/>
          </w:tcPr>
          <w:p w:rsidR="004D2021" w:rsidRPr="00563A36" w:rsidRDefault="004D2021" w:rsidP="004D2021">
            <w:pPr>
              <w:spacing w:line="245" w:lineRule="auto"/>
              <w:jc w:val="both"/>
              <w:rPr>
                <w:color w:val="000000"/>
                <w:sz w:val="20"/>
                <w:szCs w:val="20"/>
              </w:rPr>
            </w:pPr>
            <w:r w:rsidRPr="00563A36">
              <w:rPr>
                <w:color w:val="000000"/>
                <w:sz w:val="20"/>
                <w:szCs w:val="20"/>
              </w:rPr>
              <w:t xml:space="preserve">ГАУЗ </w:t>
            </w:r>
            <w:r>
              <w:rPr>
                <w:color w:val="000000"/>
                <w:sz w:val="20"/>
                <w:szCs w:val="20"/>
              </w:rPr>
              <w:t>«</w:t>
            </w:r>
            <w:r w:rsidRPr="00563A36">
              <w:rPr>
                <w:color w:val="000000"/>
                <w:sz w:val="20"/>
                <w:szCs w:val="20"/>
              </w:rPr>
              <w:t>Городская поликлиника № 20</w:t>
            </w:r>
            <w:r>
              <w:rPr>
                <w:color w:val="000000"/>
                <w:sz w:val="20"/>
                <w:szCs w:val="20"/>
              </w:rPr>
              <w:t>»</w:t>
            </w:r>
            <w:r w:rsidRPr="00563A36">
              <w:rPr>
                <w:color w:val="000000"/>
                <w:sz w:val="20"/>
                <w:szCs w:val="20"/>
              </w:rPr>
              <w:t xml:space="preserve"> г.Казани</w:t>
            </w:r>
          </w:p>
        </w:tc>
        <w:tc>
          <w:tcPr>
            <w:tcW w:w="3544" w:type="dxa"/>
          </w:tcPr>
          <w:p w:rsidR="004D2021" w:rsidRPr="00563A36" w:rsidRDefault="004D2021" w:rsidP="004D2021">
            <w:pPr>
              <w:pStyle w:val="af9"/>
              <w:spacing w:line="245" w:lineRule="auto"/>
              <w:ind w:left="0"/>
              <w:contextualSpacing w:val="0"/>
              <w:jc w:val="center"/>
              <w:rPr>
                <w:sz w:val="20"/>
                <w:szCs w:val="20"/>
              </w:rPr>
            </w:pPr>
            <w:r w:rsidRPr="00563A36">
              <w:rPr>
                <w:sz w:val="20"/>
                <w:szCs w:val="20"/>
              </w:rPr>
              <w:t>поликлиника</w:t>
            </w:r>
          </w:p>
        </w:tc>
        <w:tc>
          <w:tcPr>
            <w:tcW w:w="4921" w:type="dxa"/>
            <w:tcBorders>
              <w:top w:val="single" w:sz="4" w:space="0" w:color="auto"/>
              <w:left w:val="single" w:sz="4" w:space="0" w:color="auto"/>
              <w:bottom w:val="single" w:sz="4" w:space="0" w:color="auto"/>
              <w:right w:val="single" w:sz="4" w:space="0" w:color="auto"/>
            </w:tcBorders>
            <w:shd w:val="clear" w:color="000000" w:fill="FFFFFF"/>
          </w:tcPr>
          <w:p w:rsidR="004D2021" w:rsidRDefault="005534FF" w:rsidP="004D2021">
            <w:pPr>
              <w:spacing w:line="245" w:lineRule="auto"/>
            </w:pPr>
            <w:r>
              <w:rPr>
                <w:sz w:val="20"/>
                <w:szCs w:val="20"/>
              </w:rPr>
              <w:t>центр амбулаторной онкологической помощи</w:t>
            </w:r>
          </w:p>
        </w:tc>
      </w:tr>
      <w:tr w:rsidR="004D2021" w:rsidRPr="00563A36" w:rsidTr="000B1BA9">
        <w:trPr>
          <w:trHeight w:val="20"/>
        </w:trPr>
        <w:tc>
          <w:tcPr>
            <w:tcW w:w="846" w:type="dxa"/>
          </w:tcPr>
          <w:p w:rsidR="004D2021" w:rsidRPr="00563A36" w:rsidRDefault="004D2021" w:rsidP="004D2021">
            <w:pPr>
              <w:spacing w:line="245" w:lineRule="auto"/>
              <w:jc w:val="center"/>
              <w:rPr>
                <w:color w:val="000000"/>
                <w:sz w:val="20"/>
                <w:szCs w:val="20"/>
              </w:rPr>
            </w:pPr>
            <w:r w:rsidRPr="00563A36">
              <w:rPr>
                <w:color w:val="000000"/>
                <w:sz w:val="20"/>
                <w:szCs w:val="20"/>
              </w:rPr>
              <w:t>71</w:t>
            </w:r>
            <w:r>
              <w:rPr>
                <w:color w:val="000000"/>
                <w:sz w:val="20"/>
                <w:szCs w:val="20"/>
              </w:rPr>
              <w:t>.</w:t>
            </w:r>
          </w:p>
        </w:tc>
        <w:tc>
          <w:tcPr>
            <w:tcW w:w="4819" w:type="dxa"/>
            <w:vAlign w:val="center"/>
          </w:tcPr>
          <w:p w:rsidR="004D2021" w:rsidRPr="00563A36" w:rsidRDefault="004D2021" w:rsidP="004D2021">
            <w:pPr>
              <w:spacing w:line="245" w:lineRule="auto"/>
              <w:jc w:val="both"/>
              <w:rPr>
                <w:color w:val="000000"/>
                <w:sz w:val="20"/>
                <w:szCs w:val="20"/>
              </w:rPr>
            </w:pPr>
            <w:r w:rsidRPr="00563A36">
              <w:rPr>
                <w:color w:val="000000"/>
                <w:sz w:val="20"/>
                <w:szCs w:val="20"/>
              </w:rPr>
              <w:t xml:space="preserve">ГАУЗ </w:t>
            </w:r>
            <w:r>
              <w:rPr>
                <w:color w:val="000000"/>
                <w:sz w:val="20"/>
                <w:szCs w:val="20"/>
              </w:rPr>
              <w:t>«</w:t>
            </w:r>
            <w:r w:rsidRPr="00563A36">
              <w:rPr>
                <w:color w:val="000000"/>
                <w:sz w:val="20"/>
                <w:szCs w:val="20"/>
              </w:rPr>
              <w:t>Арская ЦРБ</w:t>
            </w:r>
            <w:r>
              <w:rPr>
                <w:color w:val="000000"/>
                <w:sz w:val="20"/>
                <w:szCs w:val="20"/>
              </w:rPr>
              <w:t>»</w:t>
            </w:r>
          </w:p>
        </w:tc>
        <w:tc>
          <w:tcPr>
            <w:tcW w:w="3544" w:type="dxa"/>
          </w:tcPr>
          <w:p w:rsidR="004D2021" w:rsidRPr="00563A36" w:rsidRDefault="004D2021" w:rsidP="004D2021">
            <w:pPr>
              <w:pStyle w:val="af9"/>
              <w:spacing w:line="245" w:lineRule="auto"/>
              <w:ind w:left="0"/>
              <w:contextualSpacing w:val="0"/>
              <w:jc w:val="center"/>
              <w:rPr>
                <w:sz w:val="20"/>
                <w:szCs w:val="20"/>
              </w:rPr>
            </w:pPr>
            <w:r w:rsidRPr="00563A36">
              <w:rPr>
                <w:sz w:val="20"/>
                <w:szCs w:val="20"/>
              </w:rPr>
              <w:t>поликлиника</w:t>
            </w:r>
          </w:p>
        </w:tc>
        <w:tc>
          <w:tcPr>
            <w:tcW w:w="4921" w:type="dxa"/>
            <w:tcBorders>
              <w:top w:val="single" w:sz="4" w:space="0" w:color="auto"/>
              <w:left w:val="single" w:sz="4" w:space="0" w:color="auto"/>
              <w:bottom w:val="single" w:sz="4" w:space="0" w:color="auto"/>
              <w:right w:val="single" w:sz="4" w:space="0" w:color="auto"/>
            </w:tcBorders>
            <w:shd w:val="clear" w:color="000000" w:fill="FFFFFF"/>
          </w:tcPr>
          <w:p w:rsidR="004D2021" w:rsidRDefault="005534FF" w:rsidP="004D2021">
            <w:pPr>
              <w:spacing w:line="245" w:lineRule="auto"/>
            </w:pPr>
            <w:r>
              <w:rPr>
                <w:sz w:val="20"/>
                <w:szCs w:val="20"/>
              </w:rPr>
              <w:t>центр амбулаторной онкологической помощи</w:t>
            </w:r>
          </w:p>
        </w:tc>
      </w:tr>
      <w:tr w:rsidR="00FC63EC" w:rsidRPr="00563A36" w:rsidTr="00DF204B">
        <w:trPr>
          <w:trHeight w:val="20"/>
        </w:trPr>
        <w:tc>
          <w:tcPr>
            <w:tcW w:w="14130" w:type="dxa"/>
            <w:gridSpan w:val="4"/>
            <w:tcBorders>
              <w:right w:val="single" w:sz="4" w:space="0" w:color="auto"/>
            </w:tcBorders>
          </w:tcPr>
          <w:p w:rsidR="00FC63EC" w:rsidRPr="009D2BAB" w:rsidRDefault="00FC63EC" w:rsidP="000B1BA9">
            <w:pPr>
              <w:pStyle w:val="af9"/>
              <w:spacing w:before="40" w:after="40"/>
              <w:ind w:left="0"/>
              <w:contextualSpacing w:val="0"/>
              <w:jc w:val="center"/>
              <w:rPr>
                <w:sz w:val="20"/>
                <w:szCs w:val="20"/>
                <w:lang w:val="ru-RU"/>
              </w:rPr>
            </w:pPr>
            <w:r w:rsidRPr="009D2BAB">
              <w:rPr>
                <w:sz w:val="20"/>
                <w:szCs w:val="20"/>
                <w:lang w:val="en-US"/>
              </w:rPr>
              <w:t>II</w:t>
            </w:r>
            <w:r w:rsidRPr="009D2BAB">
              <w:rPr>
                <w:sz w:val="20"/>
                <w:szCs w:val="20"/>
              </w:rPr>
              <w:t xml:space="preserve"> уровень</w:t>
            </w:r>
          </w:p>
        </w:tc>
      </w:tr>
      <w:tr w:rsidR="00563A36" w:rsidRPr="00563A36" w:rsidTr="000B1BA9">
        <w:trPr>
          <w:trHeight w:val="20"/>
        </w:trPr>
        <w:tc>
          <w:tcPr>
            <w:tcW w:w="846" w:type="dxa"/>
          </w:tcPr>
          <w:p w:rsidR="00563A36" w:rsidRPr="00563A36" w:rsidRDefault="00563A36" w:rsidP="00894D08">
            <w:pPr>
              <w:jc w:val="center"/>
              <w:rPr>
                <w:color w:val="000000"/>
                <w:sz w:val="20"/>
                <w:szCs w:val="20"/>
              </w:rPr>
            </w:pPr>
            <w:r w:rsidRPr="00563A36">
              <w:rPr>
                <w:color w:val="000000"/>
                <w:sz w:val="20"/>
                <w:szCs w:val="20"/>
              </w:rPr>
              <w:t>1</w:t>
            </w:r>
            <w:r w:rsidR="000B1BA9">
              <w:rPr>
                <w:color w:val="000000"/>
                <w:sz w:val="20"/>
                <w:szCs w:val="20"/>
              </w:rPr>
              <w:t>.</w:t>
            </w:r>
          </w:p>
        </w:tc>
        <w:tc>
          <w:tcPr>
            <w:tcW w:w="4819" w:type="dxa"/>
          </w:tcPr>
          <w:p w:rsidR="00563A36" w:rsidRPr="00563A36" w:rsidRDefault="00563A36" w:rsidP="00D06F12">
            <w:pPr>
              <w:jc w:val="both"/>
              <w:rPr>
                <w:color w:val="000000"/>
                <w:sz w:val="20"/>
                <w:szCs w:val="20"/>
              </w:rPr>
            </w:pPr>
            <w:r w:rsidRPr="00563A36">
              <w:rPr>
                <w:color w:val="000000"/>
                <w:sz w:val="20"/>
                <w:szCs w:val="20"/>
              </w:rPr>
              <w:t xml:space="preserve">ГАУЗ </w:t>
            </w:r>
            <w:r w:rsidR="002F7358">
              <w:rPr>
                <w:color w:val="000000"/>
                <w:sz w:val="20"/>
                <w:szCs w:val="20"/>
              </w:rPr>
              <w:t>«</w:t>
            </w:r>
            <w:r w:rsidRPr="00563A36">
              <w:rPr>
                <w:color w:val="000000"/>
                <w:sz w:val="20"/>
                <w:szCs w:val="20"/>
              </w:rPr>
              <w:t>Городская поликлиника № 21</w:t>
            </w:r>
            <w:r w:rsidR="002F7358">
              <w:rPr>
                <w:color w:val="000000"/>
                <w:sz w:val="20"/>
                <w:szCs w:val="20"/>
              </w:rPr>
              <w:t>»</w:t>
            </w:r>
            <w:r w:rsidRPr="00563A36">
              <w:rPr>
                <w:color w:val="000000"/>
                <w:sz w:val="20"/>
                <w:szCs w:val="20"/>
              </w:rPr>
              <w:t xml:space="preserve"> г.Казани</w:t>
            </w:r>
          </w:p>
        </w:tc>
        <w:tc>
          <w:tcPr>
            <w:tcW w:w="3544" w:type="dxa"/>
          </w:tcPr>
          <w:p w:rsidR="00563A36" w:rsidRPr="00563A36" w:rsidRDefault="00563A36" w:rsidP="00894D08">
            <w:pPr>
              <w:pStyle w:val="af9"/>
              <w:ind w:left="0"/>
              <w:contextualSpacing w:val="0"/>
              <w:jc w:val="center"/>
              <w:rPr>
                <w:sz w:val="20"/>
                <w:szCs w:val="20"/>
                <w:lang w:val="ru-RU"/>
              </w:rPr>
            </w:pPr>
            <w:r w:rsidRPr="00563A36">
              <w:rPr>
                <w:sz w:val="20"/>
                <w:szCs w:val="20"/>
              </w:rPr>
              <w:t>поликлиника</w:t>
            </w:r>
          </w:p>
        </w:tc>
        <w:tc>
          <w:tcPr>
            <w:tcW w:w="4921" w:type="dxa"/>
            <w:tcBorders>
              <w:top w:val="single" w:sz="4" w:space="0" w:color="auto"/>
              <w:left w:val="single" w:sz="4" w:space="0" w:color="auto"/>
              <w:bottom w:val="single" w:sz="4" w:space="0" w:color="auto"/>
              <w:right w:val="single" w:sz="4" w:space="0" w:color="auto"/>
            </w:tcBorders>
            <w:shd w:val="clear" w:color="000000" w:fill="FFFFFF"/>
          </w:tcPr>
          <w:p w:rsidR="00563A36" w:rsidRPr="00563A36" w:rsidRDefault="004D2021" w:rsidP="005534FF">
            <w:pPr>
              <w:autoSpaceDE/>
              <w:autoSpaceDN/>
              <w:adjustRightInd/>
              <w:jc w:val="both"/>
              <w:rPr>
                <w:color w:val="000000"/>
                <w:sz w:val="20"/>
                <w:szCs w:val="20"/>
              </w:rPr>
            </w:pPr>
            <w:r>
              <w:rPr>
                <w:color w:val="000000"/>
                <w:sz w:val="20"/>
                <w:szCs w:val="20"/>
              </w:rPr>
              <w:t>д</w:t>
            </w:r>
            <w:r w:rsidR="00563A36" w:rsidRPr="00563A36">
              <w:rPr>
                <w:color w:val="000000"/>
                <w:sz w:val="20"/>
                <w:szCs w:val="20"/>
              </w:rPr>
              <w:t>невной стационар противоопухолевой</w:t>
            </w:r>
            <w:r w:rsidR="00CC5747">
              <w:rPr>
                <w:color w:val="000000"/>
                <w:sz w:val="20"/>
                <w:szCs w:val="20"/>
              </w:rPr>
              <w:t xml:space="preserve"> лекарственной терапии при </w:t>
            </w:r>
            <w:r w:rsidR="005534FF">
              <w:rPr>
                <w:sz w:val="20"/>
                <w:szCs w:val="20"/>
              </w:rPr>
              <w:t>центре амбулаторной онкологической помощи</w:t>
            </w:r>
            <w:r w:rsidR="005534FF">
              <w:rPr>
                <w:color w:val="000000"/>
                <w:sz w:val="20"/>
                <w:szCs w:val="20"/>
              </w:rPr>
              <w:t xml:space="preserve"> </w:t>
            </w:r>
          </w:p>
        </w:tc>
      </w:tr>
      <w:tr w:rsidR="00563A36" w:rsidRPr="00563A36" w:rsidTr="000B1BA9">
        <w:trPr>
          <w:trHeight w:val="20"/>
        </w:trPr>
        <w:tc>
          <w:tcPr>
            <w:tcW w:w="846" w:type="dxa"/>
          </w:tcPr>
          <w:p w:rsidR="00563A36" w:rsidRPr="00563A36" w:rsidRDefault="00563A36" w:rsidP="00894D08">
            <w:pPr>
              <w:jc w:val="center"/>
              <w:rPr>
                <w:color w:val="000000"/>
                <w:sz w:val="20"/>
                <w:szCs w:val="20"/>
              </w:rPr>
            </w:pPr>
            <w:r w:rsidRPr="00563A36">
              <w:rPr>
                <w:color w:val="000000"/>
                <w:sz w:val="20"/>
                <w:szCs w:val="20"/>
              </w:rPr>
              <w:t>2</w:t>
            </w:r>
            <w:r w:rsidR="000B1BA9">
              <w:rPr>
                <w:color w:val="000000"/>
                <w:sz w:val="20"/>
                <w:szCs w:val="20"/>
              </w:rPr>
              <w:t>.</w:t>
            </w:r>
          </w:p>
        </w:tc>
        <w:tc>
          <w:tcPr>
            <w:tcW w:w="4819" w:type="dxa"/>
          </w:tcPr>
          <w:p w:rsidR="00563A36" w:rsidRPr="00563A36" w:rsidRDefault="00563A36" w:rsidP="00D06F12">
            <w:pPr>
              <w:jc w:val="both"/>
              <w:rPr>
                <w:color w:val="000000"/>
                <w:sz w:val="20"/>
                <w:szCs w:val="20"/>
              </w:rPr>
            </w:pPr>
            <w:r w:rsidRPr="00563A36">
              <w:rPr>
                <w:color w:val="000000"/>
                <w:sz w:val="20"/>
                <w:szCs w:val="20"/>
              </w:rPr>
              <w:t xml:space="preserve">ГАУЗ </w:t>
            </w:r>
            <w:r w:rsidR="002F7358">
              <w:rPr>
                <w:color w:val="000000"/>
                <w:sz w:val="20"/>
                <w:szCs w:val="20"/>
              </w:rPr>
              <w:t>«</w:t>
            </w:r>
            <w:r w:rsidRPr="00563A36">
              <w:rPr>
                <w:color w:val="000000"/>
                <w:sz w:val="20"/>
                <w:szCs w:val="20"/>
              </w:rPr>
              <w:t>Зеленодольская ЦРБ</w:t>
            </w:r>
            <w:r w:rsidR="002F7358">
              <w:rPr>
                <w:color w:val="000000"/>
                <w:sz w:val="20"/>
                <w:szCs w:val="20"/>
              </w:rPr>
              <w:t>»</w:t>
            </w:r>
          </w:p>
        </w:tc>
        <w:tc>
          <w:tcPr>
            <w:tcW w:w="3544" w:type="dxa"/>
          </w:tcPr>
          <w:p w:rsidR="00563A36" w:rsidRPr="00563A36" w:rsidRDefault="00563A36" w:rsidP="00894D08">
            <w:pPr>
              <w:pStyle w:val="af9"/>
              <w:ind w:left="0"/>
              <w:contextualSpacing w:val="0"/>
              <w:jc w:val="center"/>
              <w:rPr>
                <w:sz w:val="20"/>
                <w:szCs w:val="20"/>
                <w:lang w:val="ru-RU"/>
              </w:rPr>
            </w:pPr>
            <w:r w:rsidRPr="00563A36">
              <w:rPr>
                <w:sz w:val="20"/>
                <w:szCs w:val="20"/>
              </w:rPr>
              <w:t>поликлиника</w:t>
            </w:r>
          </w:p>
        </w:tc>
        <w:tc>
          <w:tcPr>
            <w:tcW w:w="4921" w:type="dxa"/>
            <w:tcBorders>
              <w:top w:val="single" w:sz="4" w:space="0" w:color="auto"/>
              <w:left w:val="single" w:sz="4" w:space="0" w:color="auto"/>
              <w:bottom w:val="single" w:sz="4" w:space="0" w:color="auto"/>
              <w:right w:val="single" w:sz="4" w:space="0" w:color="auto"/>
            </w:tcBorders>
            <w:shd w:val="clear" w:color="000000" w:fill="FFFFFF"/>
          </w:tcPr>
          <w:p w:rsidR="00563A36" w:rsidRPr="00563A36" w:rsidRDefault="004D2021" w:rsidP="005534FF">
            <w:pPr>
              <w:autoSpaceDE/>
              <w:autoSpaceDN/>
              <w:adjustRightInd/>
              <w:jc w:val="both"/>
              <w:rPr>
                <w:color w:val="000000"/>
                <w:sz w:val="20"/>
                <w:szCs w:val="20"/>
              </w:rPr>
            </w:pPr>
            <w:r>
              <w:rPr>
                <w:color w:val="000000"/>
                <w:sz w:val="20"/>
                <w:szCs w:val="20"/>
              </w:rPr>
              <w:t>д</w:t>
            </w:r>
            <w:r w:rsidR="00563A36" w:rsidRPr="00563A36">
              <w:rPr>
                <w:color w:val="000000"/>
                <w:sz w:val="20"/>
                <w:szCs w:val="20"/>
              </w:rPr>
              <w:t>невной стационар противоопухолевой</w:t>
            </w:r>
            <w:r w:rsidR="00583C97">
              <w:rPr>
                <w:color w:val="000000"/>
                <w:sz w:val="20"/>
                <w:szCs w:val="20"/>
              </w:rPr>
              <w:t xml:space="preserve"> лекарственной терапии при </w:t>
            </w:r>
            <w:r w:rsidR="005534FF">
              <w:rPr>
                <w:sz w:val="20"/>
                <w:szCs w:val="20"/>
              </w:rPr>
              <w:t>центре амбулаторной онкологической помощи</w:t>
            </w:r>
          </w:p>
        </w:tc>
      </w:tr>
      <w:tr w:rsidR="00563A36" w:rsidRPr="00563A36" w:rsidTr="000B1BA9">
        <w:trPr>
          <w:trHeight w:val="20"/>
        </w:trPr>
        <w:tc>
          <w:tcPr>
            <w:tcW w:w="846" w:type="dxa"/>
          </w:tcPr>
          <w:p w:rsidR="00563A36" w:rsidRPr="00563A36" w:rsidRDefault="00563A36" w:rsidP="00894D08">
            <w:pPr>
              <w:jc w:val="center"/>
              <w:rPr>
                <w:color w:val="000000"/>
                <w:sz w:val="20"/>
                <w:szCs w:val="20"/>
              </w:rPr>
            </w:pPr>
            <w:r w:rsidRPr="00563A36">
              <w:rPr>
                <w:color w:val="000000"/>
                <w:sz w:val="20"/>
                <w:szCs w:val="20"/>
              </w:rPr>
              <w:t>3</w:t>
            </w:r>
            <w:r w:rsidR="000B1BA9">
              <w:rPr>
                <w:color w:val="000000"/>
                <w:sz w:val="20"/>
                <w:szCs w:val="20"/>
              </w:rPr>
              <w:t>.</w:t>
            </w:r>
          </w:p>
        </w:tc>
        <w:tc>
          <w:tcPr>
            <w:tcW w:w="4819" w:type="dxa"/>
          </w:tcPr>
          <w:p w:rsidR="00563A36" w:rsidRPr="00563A36" w:rsidRDefault="00583C97" w:rsidP="00D06F12">
            <w:pPr>
              <w:jc w:val="both"/>
              <w:rPr>
                <w:color w:val="000000"/>
                <w:sz w:val="20"/>
                <w:szCs w:val="20"/>
              </w:rPr>
            </w:pPr>
            <w:r>
              <w:rPr>
                <w:color w:val="000000"/>
                <w:sz w:val="20"/>
                <w:szCs w:val="20"/>
              </w:rPr>
              <w:t xml:space="preserve">ГАУЗ </w:t>
            </w:r>
            <w:r w:rsidR="002F7358">
              <w:rPr>
                <w:color w:val="000000"/>
                <w:sz w:val="20"/>
                <w:szCs w:val="20"/>
              </w:rPr>
              <w:t>«</w:t>
            </w:r>
            <w:r>
              <w:rPr>
                <w:color w:val="000000"/>
                <w:sz w:val="20"/>
                <w:szCs w:val="20"/>
              </w:rPr>
              <w:t>Нижнекамская центральная районная многопрофильная больница</w:t>
            </w:r>
            <w:r w:rsidR="002F7358">
              <w:rPr>
                <w:color w:val="000000"/>
                <w:sz w:val="20"/>
                <w:szCs w:val="20"/>
              </w:rPr>
              <w:t>»</w:t>
            </w:r>
          </w:p>
        </w:tc>
        <w:tc>
          <w:tcPr>
            <w:tcW w:w="3544" w:type="dxa"/>
          </w:tcPr>
          <w:p w:rsidR="00563A36" w:rsidRPr="00563A36" w:rsidRDefault="00563A36" w:rsidP="00894D08">
            <w:pPr>
              <w:pStyle w:val="af9"/>
              <w:ind w:left="0"/>
              <w:contextualSpacing w:val="0"/>
              <w:jc w:val="center"/>
              <w:rPr>
                <w:sz w:val="20"/>
                <w:szCs w:val="20"/>
                <w:lang w:val="ru-RU"/>
              </w:rPr>
            </w:pPr>
          </w:p>
        </w:tc>
        <w:tc>
          <w:tcPr>
            <w:tcW w:w="4921" w:type="dxa"/>
            <w:tcBorders>
              <w:top w:val="single" w:sz="4" w:space="0" w:color="auto"/>
              <w:left w:val="single" w:sz="4" w:space="0" w:color="auto"/>
              <w:bottom w:val="single" w:sz="4" w:space="0" w:color="auto"/>
              <w:right w:val="single" w:sz="4" w:space="0" w:color="auto"/>
            </w:tcBorders>
            <w:shd w:val="clear" w:color="000000" w:fill="FFFFFF"/>
          </w:tcPr>
          <w:p w:rsidR="00563A36" w:rsidRPr="00563A36" w:rsidRDefault="004D2021" w:rsidP="005534FF">
            <w:pPr>
              <w:autoSpaceDE/>
              <w:autoSpaceDN/>
              <w:adjustRightInd/>
              <w:jc w:val="both"/>
              <w:rPr>
                <w:color w:val="000000"/>
                <w:sz w:val="20"/>
                <w:szCs w:val="20"/>
              </w:rPr>
            </w:pPr>
            <w:r>
              <w:rPr>
                <w:color w:val="000000"/>
                <w:sz w:val="20"/>
                <w:szCs w:val="20"/>
              </w:rPr>
              <w:t>д</w:t>
            </w:r>
            <w:r w:rsidR="00563A36" w:rsidRPr="00563A36">
              <w:rPr>
                <w:color w:val="000000"/>
                <w:sz w:val="20"/>
                <w:szCs w:val="20"/>
              </w:rPr>
              <w:t>невной стационар противоопухолевой</w:t>
            </w:r>
            <w:r w:rsidR="00583C97">
              <w:rPr>
                <w:color w:val="000000"/>
                <w:sz w:val="20"/>
                <w:szCs w:val="20"/>
              </w:rPr>
              <w:t xml:space="preserve"> лекарственной терапии при </w:t>
            </w:r>
            <w:r w:rsidR="005534FF">
              <w:rPr>
                <w:sz w:val="20"/>
                <w:szCs w:val="20"/>
              </w:rPr>
              <w:t>центре амбулаторной онкологической помощи</w:t>
            </w:r>
          </w:p>
        </w:tc>
      </w:tr>
      <w:tr w:rsidR="00563A36" w:rsidRPr="00563A36" w:rsidTr="000B1BA9">
        <w:trPr>
          <w:trHeight w:val="20"/>
        </w:trPr>
        <w:tc>
          <w:tcPr>
            <w:tcW w:w="846" w:type="dxa"/>
          </w:tcPr>
          <w:p w:rsidR="00563A36" w:rsidRPr="00563A36" w:rsidRDefault="00563A36" w:rsidP="00894D08">
            <w:pPr>
              <w:jc w:val="center"/>
              <w:rPr>
                <w:color w:val="000000"/>
                <w:sz w:val="20"/>
                <w:szCs w:val="20"/>
              </w:rPr>
            </w:pPr>
            <w:r w:rsidRPr="00563A36">
              <w:rPr>
                <w:color w:val="000000"/>
                <w:sz w:val="20"/>
                <w:szCs w:val="20"/>
              </w:rPr>
              <w:t>4</w:t>
            </w:r>
            <w:r w:rsidR="000B1BA9">
              <w:rPr>
                <w:color w:val="000000"/>
                <w:sz w:val="20"/>
                <w:szCs w:val="20"/>
              </w:rPr>
              <w:t>.</w:t>
            </w:r>
          </w:p>
        </w:tc>
        <w:tc>
          <w:tcPr>
            <w:tcW w:w="4819" w:type="dxa"/>
          </w:tcPr>
          <w:p w:rsidR="00563A36" w:rsidRPr="00563A36" w:rsidRDefault="00563A36" w:rsidP="00D06F12">
            <w:pPr>
              <w:jc w:val="both"/>
              <w:rPr>
                <w:color w:val="000000"/>
                <w:sz w:val="20"/>
                <w:szCs w:val="20"/>
              </w:rPr>
            </w:pPr>
            <w:r w:rsidRPr="00563A36">
              <w:rPr>
                <w:color w:val="000000"/>
                <w:sz w:val="20"/>
                <w:szCs w:val="20"/>
              </w:rPr>
              <w:t xml:space="preserve">ГАУЗ </w:t>
            </w:r>
            <w:r w:rsidR="002F7358">
              <w:rPr>
                <w:color w:val="000000"/>
                <w:sz w:val="20"/>
                <w:szCs w:val="20"/>
              </w:rPr>
              <w:t>«</w:t>
            </w:r>
            <w:r w:rsidRPr="00563A36">
              <w:rPr>
                <w:color w:val="000000"/>
                <w:sz w:val="20"/>
                <w:szCs w:val="20"/>
              </w:rPr>
              <w:t>Бугульминская ЦРБ</w:t>
            </w:r>
            <w:r w:rsidR="002F7358">
              <w:rPr>
                <w:color w:val="000000"/>
                <w:sz w:val="20"/>
                <w:szCs w:val="20"/>
              </w:rPr>
              <w:t>»</w:t>
            </w:r>
          </w:p>
        </w:tc>
        <w:tc>
          <w:tcPr>
            <w:tcW w:w="3544" w:type="dxa"/>
          </w:tcPr>
          <w:p w:rsidR="00563A36" w:rsidRPr="00563A36" w:rsidRDefault="00563A36" w:rsidP="00894D08">
            <w:pPr>
              <w:pStyle w:val="af9"/>
              <w:ind w:left="0"/>
              <w:contextualSpacing w:val="0"/>
              <w:jc w:val="center"/>
              <w:rPr>
                <w:sz w:val="20"/>
                <w:szCs w:val="20"/>
                <w:lang w:val="ru-RU"/>
              </w:rPr>
            </w:pPr>
            <w:r w:rsidRPr="00563A36">
              <w:rPr>
                <w:sz w:val="20"/>
                <w:szCs w:val="20"/>
              </w:rPr>
              <w:t>поликлиника</w:t>
            </w:r>
          </w:p>
        </w:tc>
        <w:tc>
          <w:tcPr>
            <w:tcW w:w="4921" w:type="dxa"/>
            <w:tcBorders>
              <w:top w:val="single" w:sz="4" w:space="0" w:color="auto"/>
              <w:left w:val="single" w:sz="4" w:space="0" w:color="auto"/>
              <w:bottom w:val="single" w:sz="4" w:space="0" w:color="auto"/>
              <w:right w:val="single" w:sz="4" w:space="0" w:color="auto"/>
            </w:tcBorders>
            <w:shd w:val="clear" w:color="000000" w:fill="FFFFFF"/>
          </w:tcPr>
          <w:p w:rsidR="00563A36" w:rsidRPr="00563A36" w:rsidRDefault="004D2021" w:rsidP="005534FF">
            <w:pPr>
              <w:autoSpaceDE/>
              <w:autoSpaceDN/>
              <w:adjustRightInd/>
              <w:jc w:val="both"/>
              <w:rPr>
                <w:color w:val="000000"/>
                <w:sz w:val="20"/>
                <w:szCs w:val="20"/>
              </w:rPr>
            </w:pPr>
            <w:r>
              <w:rPr>
                <w:color w:val="000000"/>
                <w:sz w:val="20"/>
                <w:szCs w:val="20"/>
              </w:rPr>
              <w:t>д</w:t>
            </w:r>
            <w:r w:rsidR="00563A36" w:rsidRPr="00563A36">
              <w:rPr>
                <w:color w:val="000000"/>
                <w:sz w:val="20"/>
                <w:szCs w:val="20"/>
              </w:rPr>
              <w:t>невной стационар противоопухолевой</w:t>
            </w:r>
            <w:r w:rsidR="00583C97">
              <w:rPr>
                <w:color w:val="000000"/>
                <w:sz w:val="20"/>
                <w:szCs w:val="20"/>
              </w:rPr>
              <w:t xml:space="preserve"> лекарственной терапии при </w:t>
            </w:r>
            <w:r w:rsidR="005534FF">
              <w:rPr>
                <w:sz w:val="20"/>
                <w:szCs w:val="20"/>
              </w:rPr>
              <w:t>центре амбулаторной онкологической помощи</w:t>
            </w:r>
          </w:p>
        </w:tc>
      </w:tr>
      <w:tr w:rsidR="00563A36" w:rsidRPr="00563A36" w:rsidTr="000B1BA9">
        <w:trPr>
          <w:trHeight w:val="20"/>
        </w:trPr>
        <w:tc>
          <w:tcPr>
            <w:tcW w:w="846" w:type="dxa"/>
          </w:tcPr>
          <w:p w:rsidR="00563A36" w:rsidRPr="00563A36" w:rsidRDefault="00563A36" w:rsidP="00894D08">
            <w:pPr>
              <w:jc w:val="center"/>
              <w:rPr>
                <w:color w:val="000000"/>
                <w:sz w:val="20"/>
                <w:szCs w:val="20"/>
              </w:rPr>
            </w:pPr>
            <w:r w:rsidRPr="00563A36">
              <w:rPr>
                <w:color w:val="000000"/>
                <w:sz w:val="20"/>
                <w:szCs w:val="20"/>
              </w:rPr>
              <w:t>5</w:t>
            </w:r>
            <w:r w:rsidR="000B1BA9">
              <w:rPr>
                <w:color w:val="000000"/>
                <w:sz w:val="20"/>
                <w:szCs w:val="20"/>
              </w:rPr>
              <w:t>.</w:t>
            </w:r>
          </w:p>
        </w:tc>
        <w:tc>
          <w:tcPr>
            <w:tcW w:w="4819" w:type="dxa"/>
          </w:tcPr>
          <w:p w:rsidR="00563A36" w:rsidRPr="00563A36" w:rsidRDefault="00563A36" w:rsidP="00D06F12">
            <w:pPr>
              <w:jc w:val="both"/>
              <w:rPr>
                <w:color w:val="000000"/>
                <w:sz w:val="20"/>
                <w:szCs w:val="20"/>
              </w:rPr>
            </w:pPr>
            <w:r w:rsidRPr="00563A36">
              <w:rPr>
                <w:color w:val="000000"/>
                <w:sz w:val="20"/>
                <w:szCs w:val="20"/>
              </w:rPr>
              <w:t xml:space="preserve">ГАУЗ </w:t>
            </w:r>
            <w:r w:rsidR="002F7358">
              <w:rPr>
                <w:color w:val="000000"/>
                <w:sz w:val="20"/>
                <w:szCs w:val="20"/>
              </w:rPr>
              <w:t>«</w:t>
            </w:r>
            <w:r w:rsidRPr="00563A36">
              <w:rPr>
                <w:color w:val="000000"/>
                <w:sz w:val="20"/>
                <w:szCs w:val="20"/>
              </w:rPr>
              <w:t>Сабинская ЦРБ</w:t>
            </w:r>
            <w:r w:rsidR="002F7358">
              <w:rPr>
                <w:color w:val="000000"/>
                <w:sz w:val="20"/>
                <w:szCs w:val="20"/>
              </w:rPr>
              <w:t>»</w:t>
            </w:r>
          </w:p>
        </w:tc>
        <w:tc>
          <w:tcPr>
            <w:tcW w:w="3544" w:type="dxa"/>
          </w:tcPr>
          <w:p w:rsidR="00563A36" w:rsidRPr="00563A36" w:rsidRDefault="00563A36" w:rsidP="00894D08">
            <w:pPr>
              <w:pStyle w:val="af9"/>
              <w:ind w:left="0"/>
              <w:contextualSpacing w:val="0"/>
              <w:jc w:val="center"/>
              <w:rPr>
                <w:sz w:val="20"/>
                <w:szCs w:val="20"/>
                <w:lang w:val="ru-RU"/>
              </w:rPr>
            </w:pPr>
            <w:r w:rsidRPr="00563A36">
              <w:rPr>
                <w:sz w:val="20"/>
                <w:szCs w:val="20"/>
              </w:rPr>
              <w:t>поликлиника</w:t>
            </w:r>
          </w:p>
        </w:tc>
        <w:tc>
          <w:tcPr>
            <w:tcW w:w="4921" w:type="dxa"/>
            <w:tcBorders>
              <w:top w:val="single" w:sz="4" w:space="0" w:color="auto"/>
              <w:left w:val="single" w:sz="4" w:space="0" w:color="auto"/>
              <w:bottom w:val="single" w:sz="4" w:space="0" w:color="auto"/>
              <w:right w:val="single" w:sz="4" w:space="0" w:color="auto"/>
            </w:tcBorders>
            <w:shd w:val="clear" w:color="000000" w:fill="FFFFFF"/>
          </w:tcPr>
          <w:p w:rsidR="00563A36" w:rsidRPr="00563A36" w:rsidRDefault="004D2021" w:rsidP="005534FF">
            <w:pPr>
              <w:autoSpaceDE/>
              <w:autoSpaceDN/>
              <w:adjustRightInd/>
              <w:jc w:val="both"/>
              <w:rPr>
                <w:color w:val="000000"/>
                <w:sz w:val="20"/>
                <w:szCs w:val="20"/>
              </w:rPr>
            </w:pPr>
            <w:r>
              <w:rPr>
                <w:color w:val="000000"/>
                <w:sz w:val="20"/>
                <w:szCs w:val="20"/>
              </w:rPr>
              <w:t>д</w:t>
            </w:r>
            <w:r w:rsidR="00563A36" w:rsidRPr="00563A36">
              <w:rPr>
                <w:color w:val="000000"/>
                <w:sz w:val="20"/>
                <w:szCs w:val="20"/>
              </w:rPr>
              <w:t>невной стационар противоопухолевой</w:t>
            </w:r>
            <w:r w:rsidR="00583C97">
              <w:rPr>
                <w:color w:val="000000"/>
                <w:sz w:val="20"/>
                <w:szCs w:val="20"/>
              </w:rPr>
              <w:t xml:space="preserve"> лекарственной терапии при </w:t>
            </w:r>
            <w:r w:rsidR="005534FF">
              <w:rPr>
                <w:sz w:val="20"/>
                <w:szCs w:val="20"/>
              </w:rPr>
              <w:t>центре амбулаторной онкологической помощи</w:t>
            </w:r>
          </w:p>
        </w:tc>
      </w:tr>
      <w:tr w:rsidR="00563A36" w:rsidRPr="00563A36" w:rsidTr="000B1BA9">
        <w:trPr>
          <w:trHeight w:val="20"/>
        </w:trPr>
        <w:tc>
          <w:tcPr>
            <w:tcW w:w="846" w:type="dxa"/>
          </w:tcPr>
          <w:p w:rsidR="00563A36" w:rsidRPr="00563A36" w:rsidRDefault="00563A36" w:rsidP="00894D08">
            <w:pPr>
              <w:jc w:val="center"/>
              <w:rPr>
                <w:color w:val="000000"/>
                <w:sz w:val="20"/>
                <w:szCs w:val="20"/>
              </w:rPr>
            </w:pPr>
            <w:r w:rsidRPr="00563A36">
              <w:rPr>
                <w:color w:val="000000"/>
                <w:sz w:val="20"/>
                <w:szCs w:val="20"/>
              </w:rPr>
              <w:t>6</w:t>
            </w:r>
            <w:r w:rsidR="000B1BA9">
              <w:rPr>
                <w:color w:val="000000"/>
                <w:sz w:val="20"/>
                <w:szCs w:val="20"/>
              </w:rPr>
              <w:t>.</w:t>
            </w:r>
          </w:p>
        </w:tc>
        <w:tc>
          <w:tcPr>
            <w:tcW w:w="4819" w:type="dxa"/>
          </w:tcPr>
          <w:p w:rsidR="00563A36" w:rsidRPr="00563A36" w:rsidRDefault="00563A36" w:rsidP="00D06F12">
            <w:pPr>
              <w:jc w:val="both"/>
              <w:rPr>
                <w:color w:val="000000"/>
                <w:sz w:val="20"/>
                <w:szCs w:val="20"/>
              </w:rPr>
            </w:pPr>
            <w:r w:rsidRPr="00563A36">
              <w:rPr>
                <w:color w:val="000000"/>
                <w:sz w:val="20"/>
                <w:szCs w:val="20"/>
              </w:rPr>
              <w:t xml:space="preserve">ГАУЗ </w:t>
            </w:r>
            <w:r w:rsidR="002F7358">
              <w:rPr>
                <w:color w:val="000000"/>
                <w:sz w:val="20"/>
                <w:szCs w:val="20"/>
              </w:rPr>
              <w:t>«</w:t>
            </w:r>
            <w:r w:rsidRPr="00563A36">
              <w:rPr>
                <w:color w:val="000000"/>
                <w:sz w:val="20"/>
                <w:szCs w:val="20"/>
              </w:rPr>
              <w:t>Буинская ЦРБ</w:t>
            </w:r>
            <w:r w:rsidR="002F7358">
              <w:rPr>
                <w:color w:val="000000"/>
                <w:sz w:val="20"/>
                <w:szCs w:val="20"/>
              </w:rPr>
              <w:t>»</w:t>
            </w:r>
          </w:p>
        </w:tc>
        <w:tc>
          <w:tcPr>
            <w:tcW w:w="3544" w:type="dxa"/>
          </w:tcPr>
          <w:p w:rsidR="00563A36" w:rsidRPr="00563A36" w:rsidRDefault="00563A36" w:rsidP="00894D08">
            <w:pPr>
              <w:pStyle w:val="af9"/>
              <w:ind w:left="0"/>
              <w:contextualSpacing w:val="0"/>
              <w:jc w:val="center"/>
              <w:rPr>
                <w:sz w:val="20"/>
                <w:szCs w:val="20"/>
                <w:lang w:val="ru-RU"/>
              </w:rPr>
            </w:pPr>
            <w:r w:rsidRPr="00563A36">
              <w:rPr>
                <w:sz w:val="20"/>
                <w:szCs w:val="20"/>
              </w:rPr>
              <w:t>поликлиника</w:t>
            </w:r>
          </w:p>
        </w:tc>
        <w:tc>
          <w:tcPr>
            <w:tcW w:w="4921" w:type="dxa"/>
            <w:tcBorders>
              <w:top w:val="single" w:sz="4" w:space="0" w:color="auto"/>
              <w:left w:val="single" w:sz="4" w:space="0" w:color="auto"/>
              <w:bottom w:val="single" w:sz="4" w:space="0" w:color="auto"/>
              <w:right w:val="single" w:sz="4" w:space="0" w:color="auto"/>
            </w:tcBorders>
            <w:shd w:val="clear" w:color="000000" w:fill="FFFFFF"/>
          </w:tcPr>
          <w:p w:rsidR="00563A36" w:rsidRPr="00563A36" w:rsidRDefault="004D2021" w:rsidP="005534FF">
            <w:pPr>
              <w:autoSpaceDE/>
              <w:autoSpaceDN/>
              <w:adjustRightInd/>
              <w:jc w:val="both"/>
              <w:rPr>
                <w:color w:val="000000"/>
                <w:sz w:val="20"/>
                <w:szCs w:val="20"/>
              </w:rPr>
            </w:pPr>
            <w:r>
              <w:rPr>
                <w:color w:val="000000"/>
                <w:sz w:val="20"/>
                <w:szCs w:val="20"/>
              </w:rPr>
              <w:t>д</w:t>
            </w:r>
            <w:r w:rsidR="00563A36" w:rsidRPr="00563A36">
              <w:rPr>
                <w:color w:val="000000"/>
                <w:sz w:val="20"/>
                <w:szCs w:val="20"/>
              </w:rPr>
              <w:t>невной стационар противоопухолевой лекарств</w:t>
            </w:r>
            <w:r w:rsidR="00583C97">
              <w:rPr>
                <w:color w:val="000000"/>
                <w:sz w:val="20"/>
                <w:szCs w:val="20"/>
              </w:rPr>
              <w:t xml:space="preserve">енной терапии при </w:t>
            </w:r>
            <w:r w:rsidR="005534FF">
              <w:rPr>
                <w:sz w:val="20"/>
                <w:szCs w:val="20"/>
              </w:rPr>
              <w:t>центре амбулаторной онкологической помощи</w:t>
            </w:r>
          </w:p>
        </w:tc>
      </w:tr>
      <w:tr w:rsidR="00563A36" w:rsidRPr="00563A36" w:rsidTr="000B1BA9">
        <w:trPr>
          <w:trHeight w:val="20"/>
        </w:trPr>
        <w:tc>
          <w:tcPr>
            <w:tcW w:w="846" w:type="dxa"/>
          </w:tcPr>
          <w:p w:rsidR="00563A36" w:rsidRPr="00563A36" w:rsidRDefault="00563A36" w:rsidP="00894D08">
            <w:pPr>
              <w:jc w:val="center"/>
              <w:rPr>
                <w:color w:val="000000"/>
                <w:sz w:val="20"/>
                <w:szCs w:val="20"/>
              </w:rPr>
            </w:pPr>
            <w:r w:rsidRPr="00563A36">
              <w:rPr>
                <w:color w:val="000000"/>
                <w:sz w:val="20"/>
                <w:szCs w:val="20"/>
              </w:rPr>
              <w:t>7</w:t>
            </w:r>
            <w:r w:rsidR="000B1BA9">
              <w:rPr>
                <w:color w:val="000000"/>
                <w:sz w:val="20"/>
                <w:szCs w:val="20"/>
              </w:rPr>
              <w:t>.</w:t>
            </w:r>
          </w:p>
        </w:tc>
        <w:tc>
          <w:tcPr>
            <w:tcW w:w="4819" w:type="dxa"/>
          </w:tcPr>
          <w:p w:rsidR="00563A36" w:rsidRPr="00563A36" w:rsidRDefault="00563A36" w:rsidP="00D06F12">
            <w:pPr>
              <w:jc w:val="both"/>
              <w:rPr>
                <w:color w:val="000000"/>
                <w:sz w:val="20"/>
                <w:szCs w:val="20"/>
              </w:rPr>
            </w:pPr>
            <w:r w:rsidRPr="00563A36">
              <w:rPr>
                <w:color w:val="000000"/>
                <w:sz w:val="20"/>
                <w:szCs w:val="20"/>
              </w:rPr>
              <w:t xml:space="preserve">ГАУЗ </w:t>
            </w:r>
            <w:r w:rsidR="002F7358">
              <w:rPr>
                <w:color w:val="000000"/>
                <w:sz w:val="20"/>
                <w:szCs w:val="20"/>
              </w:rPr>
              <w:t>«</w:t>
            </w:r>
            <w:r w:rsidRPr="00563A36">
              <w:rPr>
                <w:color w:val="000000"/>
                <w:sz w:val="20"/>
                <w:szCs w:val="20"/>
              </w:rPr>
              <w:t>Чистопольская ЦРБ</w:t>
            </w:r>
            <w:r w:rsidR="002F7358">
              <w:rPr>
                <w:color w:val="000000"/>
                <w:sz w:val="20"/>
                <w:szCs w:val="20"/>
              </w:rPr>
              <w:t>»</w:t>
            </w:r>
          </w:p>
        </w:tc>
        <w:tc>
          <w:tcPr>
            <w:tcW w:w="3544" w:type="dxa"/>
          </w:tcPr>
          <w:p w:rsidR="00563A36" w:rsidRPr="00563A36" w:rsidRDefault="00563A36" w:rsidP="00894D08">
            <w:pPr>
              <w:pStyle w:val="af9"/>
              <w:ind w:left="0"/>
              <w:contextualSpacing w:val="0"/>
              <w:jc w:val="center"/>
              <w:rPr>
                <w:sz w:val="20"/>
                <w:szCs w:val="20"/>
                <w:lang w:val="ru-RU"/>
              </w:rPr>
            </w:pPr>
            <w:r w:rsidRPr="00563A36">
              <w:rPr>
                <w:sz w:val="20"/>
                <w:szCs w:val="20"/>
              </w:rPr>
              <w:t>поликлиника</w:t>
            </w:r>
          </w:p>
        </w:tc>
        <w:tc>
          <w:tcPr>
            <w:tcW w:w="4921" w:type="dxa"/>
            <w:tcBorders>
              <w:top w:val="single" w:sz="4" w:space="0" w:color="auto"/>
              <w:left w:val="single" w:sz="4" w:space="0" w:color="auto"/>
              <w:bottom w:val="single" w:sz="4" w:space="0" w:color="auto"/>
              <w:right w:val="single" w:sz="4" w:space="0" w:color="auto"/>
            </w:tcBorders>
            <w:shd w:val="clear" w:color="000000" w:fill="FFFFFF"/>
          </w:tcPr>
          <w:p w:rsidR="00563A36" w:rsidRPr="00563A36" w:rsidRDefault="004D2021" w:rsidP="005534FF">
            <w:pPr>
              <w:autoSpaceDE/>
              <w:autoSpaceDN/>
              <w:adjustRightInd/>
              <w:jc w:val="both"/>
              <w:rPr>
                <w:color w:val="000000"/>
                <w:sz w:val="20"/>
                <w:szCs w:val="20"/>
              </w:rPr>
            </w:pPr>
            <w:r>
              <w:rPr>
                <w:color w:val="000000"/>
                <w:sz w:val="20"/>
                <w:szCs w:val="20"/>
              </w:rPr>
              <w:t>д</w:t>
            </w:r>
            <w:r w:rsidR="00563A36" w:rsidRPr="00563A36">
              <w:rPr>
                <w:color w:val="000000"/>
                <w:sz w:val="20"/>
                <w:szCs w:val="20"/>
              </w:rPr>
              <w:t>невной стационар противоопухолевой</w:t>
            </w:r>
            <w:r w:rsidR="00583C97">
              <w:rPr>
                <w:color w:val="000000"/>
                <w:sz w:val="20"/>
                <w:szCs w:val="20"/>
              </w:rPr>
              <w:t xml:space="preserve"> лекарственной терапии при </w:t>
            </w:r>
            <w:r w:rsidR="005534FF">
              <w:rPr>
                <w:sz w:val="20"/>
                <w:szCs w:val="20"/>
              </w:rPr>
              <w:t>центре амбулаторной онкологической помощи</w:t>
            </w:r>
          </w:p>
        </w:tc>
      </w:tr>
      <w:tr w:rsidR="00563A36" w:rsidRPr="00563A36" w:rsidTr="000B1BA9">
        <w:trPr>
          <w:trHeight w:val="20"/>
        </w:trPr>
        <w:tc>
          <w:tcPr>
            <w:tcW w:w="846" w:type="dxa"/>
          </w:tcPr>
          <w:p w:rsidR="00563A36" w:rsidRPr="00563A36" w:rsidRDefault="00563A36" w:rsidP="00894D08">
            <w:pPr>
              <w:jc w:val="center"/>
              <w:rPr>
                <w:color w:val="000000"/>
                <w:sz w:val="20"/>
                <w:szCs w:val="20"/>
              </w:rPr>
            </w:pPr>
            <w:r w:rsidRPr="00563A36">
              <w:rPr>
                <w:color w:val="000000"/>
                <w:sz w:val="20"/>
                <w:szCs w:val="20"/>
              </w:rPr>
              <w:t>8</w:t>
            </w:r>
            <w:r w:rsidR="000B1BA9">
              <w:rPr>
                <w:color w:val="000000"/>
                <w:sz w:val="20"/>
                <w:szCs w:val="20"/>
              </w:rPr>
              <w:t>.</w:t>
            </w:r>
          </w:p>
        </w:tc>
        <w:tc>
          <w:tcPr>
            <w:tcW w:w="4819" w:type="dxa"/>
          </w:tcPr>
          <w:p w:rsidR="00563A36" w:rsidRPr="00563A36" w:rsidRDefault="00563A36" w:rsidP="00D06F12">
            <w:pPr>
              <w:jc w:val="both"/>
              <w:rPr>
                <w:color w:val="000000"/>
                <w:sz w:val="20"/>
                <w:szCs w:val="20"/>
              </w:rPr>
            </w:pPr>
            <w:r w:rsidRPr="00563A36">
              <w:rPr>
                <w:color w:val="000000"/>
                <w:sz w:val="20"/>
                <w:szCs w:val="20"/>
              </w:rPr>
              <w:t xml:space="preserve">ГАУЗ </w:t>
            </w:r>
            <w:r w:rsidR="002F7358">
              <w:rPr>
                <w:color w:val="000000"/>
                <w:sz w:val="20"/>
                <w:szCs w:val="20"/>
              </w:rPr>
              <w:t>«</w:t>
            </w:r>
            <w:r w:rsidRPr="00563A36">
              <w:rPr>
                <w:color w:val="000000"/>
                <w:sz w:val="20"/>
                <w:szCs w:val="20"/>
              </w:rPr>
              <w:t>Городская поликлиника № 20</w:t>
            </w:r>
            <w:r w:rsidR="002F7358">
              <w:rPr>
                <w:color w:val="000000"/>
                <w:sz w:val="20"/>
                <w:szCs w:val="20"/>
              </w:rPr>
              <w:t>»</w:t>
            </w:r>
            <w:r w:rsidRPr="00563A36">
              <w:rPr>
                <w:color w:val="000000"/>
                <w:sz w:val="20"/>
                <w:szCs w:val="20"/>
              </w:rPr>
              <w:t xml:space="preserve"> г.Казани</w:t>
            </w:r>
          </w:p>
        </w:tc>
        <w:tc>
          <w:tcPr>
            <w:tcW w:w="3544" w:type="dxa"/>
          </w:tcPr>
          <w:p w:rsidR="00563A36" w:rsidRPr="00563A36" w:rsidRDefault="00563A36" w:rsidP="00894D08">
            <w:pPr>
              <w:pStyle w:val="af9"/>
              <w:ind w:left="0"/>
              <w:contextualSpacing w:val="0"/>
              <w:jc w:val="center"/>
              <w:rPr>
                <w:sz w:val="20"/>
                <w:szCs w:val="20"/>
                <w:lang w:val="ru-RU"/>
              </w:rPr>
            </w:pPr>
            <w:r w:rsidRPr="00563A36">
              <w:rPr>
                <w:sz w:val="20"/>
                <w:szCs w:val="20"/>
              </w:rPr>
              <w:t>поликлиника</w:t>
            </w:r>
          </w:p>
        </w:tc>
        <w:tc>
          <w:tcPr>
            <w:tcW w:w="4921" w:type="dxa"/>
            <w:tcBorders>
              <w:top w:val="single" w:sz="4" w:space="0" w:color="auto"/>
              <w:left w:val="single" w:sz="4" w:space="0" w:color="auto"/>
              <w:bottom w:val="single" w:sz="4" w:space="0" w:color="auto"/>
              <w:right w:val="single" w:sz="4" w:space="0" w:color="auto"/>
            </w:tcBorders>
            <w:shd w:val="clear" w:color="000000" w:fill="FFFFFF"/>
          </w:tcPr>
          <w:p w:rsidR="00563A36" w:rsidRPr="00563A36" w:rsidRDefault="004D2021" w:rsidP="005534FF">
            <w:pPr>
              <w:autoSpaceDE/>
              <w:autoSpaceDN/>
              <w:adjustRightInd/>
              <w:jc w:val="both"/>
              <w:rPr>
                <w:color w:val="000000"/>
                <w:sz w:val="20"/>
                <w:szCs w:val="20"/>
              </w:rPr>
            </w:pPr>
            <w:r>
              <w:rPr>
                <w:color w:val="000000"/>
                <w:sz w:val="20"/>
                <w:szCs w:val="20"/>
              </w:rPr>
              <w:t>д</w:t>
            </w:r>
            <w:r w:rsidR="00563A36" w:rsidRPr="00563A36">
              <w:rPr>
                <w:color w:val="000000"/>
                <w:sz w:val="20"/>
                <w:szCs w:val="20"/>
              </w:rPr>
              <w:t xml:space="preserve">невной стационар противоопухолевой лекарственной терапии при </w:t>
            </w:r>
            <w:r w:rsidR="005534FF">
              <w:rPr>
                <w:sz w:val="20"/>
                <w:szCs w:val="20"/>
              </w:rPr>
              <w:t>центре амбулаторной онкологической помощи</w:t>
            </w:r>
          </w:p>
        </w:tc>
      </w:tr>
      <w:tr w:rsidR="00563A36" w:rsidRPr="00563A36" w:rsidTr="000B1BA9">
        <w:trPr>
          <w:trHeight w:val="20"/>
        </w:trPr>
        <w:tc>
          <w:tcPr>
            <w:tcW w:w="846" w:type="dxa"/>
          </w:tcPr>
          <w:p w:rsidR="00563A36" w:rsidRPr="00563A36" w:rsidRDefault="00563A36" w:rsidP="00894D08">
            <w:pPr>
              <w:jc w:val="center"/>
              <w:rPr>
                <w:color w:val="000000"/>
                <w:sz w:val="20"/>
                <w:szCs w:val="20"/>
              </w:rPr>
            </w:pPr>
            <w:r w:rsidRPr="00563A36">
              <w:rPr>
                <w:color w:val="000000"/>
                <w:sz w:val="20"/>
                <w:szCs w:val="20"/>
              </w:rPr>
              <w:t>9</w:t>
            </w:r>
            <w:r w:rsidR="000B1BA9">
              <w:rPr>
                <w:color w:val="000000"/>
                <w:sz w:val="20"/>
                <w:szCs w:val="20"/>
              </w:rPr>
              <w:t>.</w:t>
            </w:r>
          </w:p>
        </w:tc>
        <w:tc>
          <w:tcPr>
            <w:tcW w:w="4819" w:type="dxa"/>
          </w:tcPr>
          <w:p w:rsidR="00563A36" w:rsidRPr="00563A36" w:rsidRDefault="00563A36" w:rsidP="00D06F12">
            <w:pPr>
              <w:jc w:val="both"/>
              <w:rPr>
                <w:color w:val="000000"/>
                <w:sz w:val="20"/>
                <w:szCs w:val="20"/>
              </w:rPr>
            </w:pPr>
            <w:r w:rsidRPr="00563A36">
              <w:rPr>
                <w:color w:val="000000"/>
                <w:sz w:val="20"/>
                <w:szCs w:val="20"/>
              </w:rPr>
              <w:t xml:space="preserve">ГАУЗ </w:t>
            </w:r>
            <w:r w:rsidR="002F7358">
              <w:rPr>
                <w:color w:val="000000"/>
                <w:sz w:val="20"/>
                <w:szCs w:val="20"/>
              </w:rPr>
              <w:t>«</w:t>
            </w:r>
            <w:r w:rsidRPr="00563A36">
              <w:rPr>
                <w:color w:val="000000"/>
                <w:sz w:val="20"/>
                <w:szCs w:val="20"/>
              </w:rPr>
              <w:t>Арская ЦРБ</w:t>
            </w:r>
            <w:r w:rsidR="002F7358">
              <w:rPr>
                <w:color w:val="000000"/>
                <w:sz w:val="20"/>
                <w:szCs w:val="20"/>
              </w:rPr>
              <w:t>»</w:t>
            </w:r>
          </w:p>
        </w:tc>
        <w:tc>
          <w:tcPr>
            <w:tcW w:w="3544" w:type="dxa"/>
          </w:tcPr>
          <w:p w:rsidR="00563A36" w:rsidRPr="00563A36" w:rsidRDefault="00563A36" w:rsidP="00894D08">
            <w:pPr>
              <w:pStyle w:val="af9"/>
              <w:ind w:left="0"/>
              <w:contextualSpacing w:val="0"/>
              <w:jc w:val="center"/>
              <w:rPr>
                <w:sz w:val="20"/>
                <w:szCs w:val="20"/>
                <w:lang w:val="ru-RU"/>
              </w:rPr>
            </w:pPr>
            <w:r w:rsidRPr="00563A36">
              <w:rPr>
                <w:sz w:val="20"/>
                <w:szCs w:val="20"/>
              </w:rPr>
              <w:t>поликлиника</w:t>
            </w:r>
          </w:p>
        </w:tc>
        <w:tc>
          <w:tcPr>
            <w:tcW w:w="4921" w:type="dxa"/>
            <w:tcBorders>
              <w:top w:val="single" w:sz="4" w:space="0" w:color="auto"/>
              <w:left w:val="single" w:sz="4" w:space="0" w:color="auto"/>
              <w:bottom w:val="single" w:sz="4" w:space="0" w:color="auto"/>
              <w:right w:val="single" w:sz="4" w:space="0" w:color="auto"/>
            </w:tcBorders>
            <w:shd w:val="clear" w:color="000000" w:fill="FFFFFF"/>
          </w:tcPr>
          <w:p w:rsidR="00563A36" w:rsidRPr="00563A36" w:rsidRDefault="004D2021" w:rsidP="005534FF">
            <w:pPr>
              <w:autoSpaceDE/>
              <w:autoSpaceDN/>
              <w:adjustRightInd/>
              <w:jc w:val="both"/>
              <w:rPr>
                <w:color w:val="000000"/>
                <w:sz w:val="20"/>
                <w:szCs w:val="20"/>
              </w:rPr>
            </w:pPr>
            <w:r>
              <w:rPr>
                <w:color w:val="000000"/>
                <w:sz w:val="20"/>
                <w:szCs w:val="20"/>
              </w:rPr>
              <w:t>д</w:t>
            </w:r>
            <w:r w:rsidR="00563A36" w:rsidRPr="00563A36">
              <w:rPr>
                <w:color w:val="000000"/>
                <w:sz w:val="20"/>
                <w:szCs w:val="20"/>
              </w:rPr>
              <w:t>невной стационар противоопухолевой</w:t>
            </w:r>
            <w:r w:rsidR="00583C97">
              <w:rPr>
                <w:color w:val="000000"/>
                <w:sz w:val="20"/>
                <w:szCs w:val="20"/>
              </w:rPr>
              <w:t xml:space="preserve"> лекарственной терапии при </w:t>
            </w:r>
            <w:r w:rsidR="005534FF">
              <w:rPr>
                <w:sz w:val="20"/>
                <w:szCs w:val="20"/>
              </w:rPr>
              <w:t>центре амбулаторной онкологической помощи</w:t>
            </w:r>
          </w:p>
        </w:tc>
      </w:tr>
      <w:tr w:rsidR="00563A36" w:rsidRPr="00563A36" w:rsidTr="000B1BA9">
        <w:trPr>
          <w:trHeight w:val="20"/>
        </w:trPr>
        <w:tc>
          <w:tcPr>
            <w:tcW w:w="846" w:type="dxa"/>
          </w:tcPr>
          <w:p w:rsidR="00563A36" w:rsidRPr="00563A36" w:rsidRDefault="00563A36" w:rsidP="00894D08">
            <w:pPr>
              <w:autoSpaceDE/>
              <w:autoSpaceDN/>
              <w:adjustRightInd/>
              <w:jc w:val="center"/>
              <w:rPr>
                <w:color w:val="000000"/>
                <w:sz w:val="20"/>
                <w:szCs w:val="20"/>
              </w:rPr>
            </w:pPr>
            <w:r w:rsidRPr="00563A36">
              <w:rPr>
                <w:color w:val="000000"/>
                <w:sz w:val="20"/>
                <w:szCs w:val="20"/>
              </w:rPr>
              <w:t>10</w:t>
            </w:r>
            <w:r w:rsidR="000B1BA9">
              <w:rPr>
                <w:color w:val="000000"/>
                <w:sz w:val="20"/>
                <w:szCs w:val="20"/>
              </w:rPr>
              <w:t>.</w:t>
            </w:r>
          </w:p>
        </w:tc>
        <w:tc>
          <w:tcPr>
            <w:tcW w:w="4819" w:type="dxa"/>
          </w:tcPr>
          <w:p w:rsidR="00563A36" w:rsidRPr="00563A36" w:rsidRDefault="00CC5747" w:rsidP="00D06F12">
            <w:pPr>
              <w:autoSpaceDE/>
              <w:autoSpaceDN/>
              <w:adjustRightInd/>
              <w:jc w:val="both"/>
              <w:rPr>
                <w:color w:val="000000"/>
                <w:sz w:val="20"/>
                <w:szCs w:val="20"/>
              </w:rPr>
            </w:pPr>
            <w:r>
              <w:rPr>
                <w:color w:val="000000"/>
                <w:sz w:val="20"/>
                <w:szCs w:val="20"/>
              </w:rPr>
              <w:t xml:space="preserve">ГАУЗ </w:t>
            </w:r>
            <w:r w:rsidR="002F7358">
              <w:rPr>
                <w:color w:val="000000"/>
                <w:sz w:val="20"/>
                <w:szCs w:val="20"/>
              </w:rPr>
              <w:t>«</w:t>
            </w:r>
            <w:r w:rsidR="00563A36" w:rsidRPr="00563A36">
              <w:rPr>
                <w:color w:val="000000"/>
                <w:sz w:val="20"/>
                <w:szCs w:val="20"/>
              </w:rPr>
              <w:t xml:space="preserve">Апастовская </w:t>
            </w:r>
            <w:r w:rsidR="00583C97">
              <w:rPr>
                <w:color w:val="000000"/>
                <w:sz w:val="20"/>
                <w:szCs w:val="20"/>
              </w:rPr>
              <w:t>ЦРБ</w:t>
            </w:r>
            <w:r w:rsidR="002F7358">
              <w:rPr>
                <w:color w:val="000000"/>
                <w:sz w:val="20"/>
                <w:szCs w:val="20"/>
              </w:rPr>
              <w:t>»</w:t>
            </w:r>
            <w:r w:rsidR="00563A36" w:rsidRPr="00563A36">
              <w:rPr>
                <w:color w:val="000000"/>
                <w:sz w:val="20"/>
                <w:szCs w:val="20"/>
              </w:rPr>
              <w:t xml:space="preserve"> </w:t>
            </w:r>
          </w:p>
        </w:tc>
        <w:tc>
          <w:tcPr>
            <w:tcW w:w="3544" w:type="dxa"/>
          </w:tcPr>
          <w:p w:rsidR="00563A36" w:rsidRPr="00563A36" w:rsidRDefault="00563A36" w:rsidP="00894D08">
            <w:pPr>
              <w:autoSpaceDE/>
              <w:autoSpaceDN/>
              <w:adjustRightInd/>
              <w:jc w:val="center"/>
              <w:rPr>
                <w:sz w:val="20"/>
                <w:szCs w:val="20"/>
              </w:rPr>
            </w:pPr>
            <w:r w:rsidRPr="00563A36">
              <w:rPr>
                <w:sz w:val="20"/>
                <w:szCs w:val="20"/>
              </w:rPr>
              <w:t>поликлиника</w:t>
            </w:r>
          </w:p>
        </w:tc>
        <w:tc>
          <w:tcPr>
            <w:tcW w:w="4921" w:type="dxa"/>
            <w:tcBorders>
              <w:top w:val="single" w:sz="4" w:space="0" w:color="auto"/>
              <w:left w:val="single" w:sz="4" w:space="0" w:color="auto"/>
              <w:bottom w:val="single" w:sz="4" w:space="0" w:color="auto"/>
              <w:right w:val="single" w:sz="4" w:space="0" w:color="auto"/>
            </w:tcBorders>
            <w:shd w:val="clear" w:color="000000" w:fill="FFFFFF"/>
          </w:tcPr>
          <w:p w:rsidR="00563A36" w:rsidRPr="00563A36" w:rsidRDefault="004D2021" w:rsidP="00D06F12">
            <w:pPr>
              <w:autoSpaceDE/>
              <w:autoSpaceDN/>
              <w:adjustRightInd/>
              <w:jc w:val="both"/>
              <w:rPr>
                <w:color w:val="000000"/>
                <w:sz w:val="20"/>
                <w:szCs w:val="20"/>
              </w:rPr>
            </w:pPr>
            <w:r>
              <w:rPr>
                <w:color w:val="000000"/>
                <w:sz w:val="20"/>
                <w:szCs w:val="20"/>
              </w:rPr>
              <w:t>д</w:t>
            </w:r>
            <w:r w:rsidR="00563A36" w:rsidRPr="00563A36">
              <w:rPr>
                <w:color w:val="000000"/>
                <w:sz w:val="20"/>
                <w:szCs w:val="20"/>
              </w:rPr>
              <w:t>невной стационар противоо</w:t>
            </w:r>
            <w:r w:rsidR="00583C97">
              <w:rPr>
                <w:color w:val="000000"/>
                <w:sz w:val="20"/>
                <w:szCs w:val="20"/>
              </w:rPr>
              <w:t>пухолевой лекарственной терапии</w:t>
            </w:r>
          </w:p>
        </w:tc>
      </w:tr>
      <w:tr w:rsidR="00563A36" w:rsidRPr="00563A36" w:rsidTr="000B1BA9">
        <w:trPr>
          <w:trHeight w:val="20"/>
        </w:trPr>
        <w:tc>
          <w:tcPr>
            <w:tcW w:w="846" w:type="dxa"/>
          </w:tcPr>
          <w:p w:rsidR="00563A36" w:rsidRPr="00563A36" w:rsidRDefault="00563A36" w:rsidP="00894D08">
            <w:pPr>
              <w:autoSpaceDE/>
              <w:autoSpaceDN/>
              <w:adjustRightInd/>
              <w:jc w:val="center"/>
              <w:rPr>
                <w:color w:val="000000"/>
                <w:sz w:val="20"/>
                <w:szCs w:val="20"/>
              </w:rPr>
            </w:pPr>
            <w:r w:rsidRPr="00563A36">
              <w:rPr>
                <w:color w:val="000000"/>
                <w:sz w:val="20"/>
                <w:szCs w:val="20"/>
              </w:rPr>
              <w:t>11</w:t>
            </w:r>
            <w:r w:rsidR="000B1BA9">
              <w:rPr>
                <w:color w:val="000000"/>
                <w:sz w:val="20"/>
                <w:szCs w:val="20"/>
              </w:rPr>
              <w:t>.</w:t>
            </w:r>
          </w:p>
        </w:tc>
        <w:tc>
          <w:tcPr>
            <w:tcW w:w="4819" w:type="dxa"/>
          </w:tcPr>
          <w:p w:rsidR="00563A36" w:rsidRPr="00563A36" w:rsidRDefault="00CC5747" w:rsidP="00D06F12">
            <w:pPr>
              <w:autoSpaceDE/>
              <w:autoSpaceDN/>
              <w:adjustRightInd/>
              <w:jc w:val="both"/>
              <w:rPr>
                <w:color w:val="000000"/>
                <w:sz w:val="20"/>
                <w:szCs w:val="20"/>
              </w:rPr>
            </w:pPr>
            <w:r>
              <w:rPr>
                <w:color w:val="000000"/>
                <w:sz w:val="20"/>
                <w:szCs w:val="20"/>
              </w:rPr>
              <w:t xml:space="preserve">ГАУЗ </w:t>
            </w:r>
            <w:r w:rsidR="002F7358">
              <w:rPr>
                <w:color w:val="000000"/>
                <w:sz w:val="20"/>
                <w:szCs w:val="20"/>
              </w:rPr>
              <w:t>«</w:t>
            </w:r>
            <w:r w:rsidR="00563A36" w:rsidRPr="00563A36">
              <w:rPr>
                <w:color w:val="000000"/>
                <w:sz w:val="20"/>
                <w:szCs w:val="20"/>
              </w:rPr>
              <w:t xml:space="preserve">Мамадышская </w:t>
            </w:r>
            <w:r w:rsidR="00583C97">
              <w:rPr>
                <w:color w:val="000000"/>
                <w:sz w:val="20"/>
                <w:szCs w:val="20"/>
              </w:rPr>
              <w:t>ЦРБ</w:t>
            </w:r>
            <w:r w:rsidR="002F7358">
              <w:rPr>
                <w:color w:val="000000"/>
                <w:sz w:val="20"/>
                <w:szCs w:val="20"/>
              </w:rPr>
              <w:t>»</w:t>
            </w:r>
          </w:p>
        </w:tc>
        <w:tc>
          <w:tcPr>
            <w:tcW w:w="3544" w:type="dxa"/>
          </w:tcPr>
          <w:p w:rsidR="00563A36" w:rsidRPr="00563A36" w:rsidRDefault="00563A36" w:rsidP="00894D08">
            <w:pPr>
              <w:autoSpaceDE/>
              <w:autoSpaceDN/>
              <w:adjustRightInd/>
              <w:jc w:val="center"/>
              <w:rPr>
                <w:sz w:val="20"/>
                <w:szCs w:val="20"/>
              </w:rPr>
            </w:pPr>
            <w:r w:rsidRPr="00563A36">
              <w:rPr>
                <w:sz w:val="20"/>
                <w:szCs w:val="20"/>
              </w:rPr>
              <w:t>поликлиника</w:t>
            </w:r>
          </w:p>
        </w:tc>
        <w:tc>
          <w:tcPr>
            <w:tcW w:w="4921" w:type="dxa"/>
            <w:tcBorders>
              <w:top w:val="single" w:sz="4" w:space="0" w:color="auto"/>
              <w:left w:val="single" w:sz="4" w:space="0" w:color="auto"/>
              <w:bottom w:val="single" w:sz="4" w:space="0" w:color="auto"/>
              <w:right w:val="single" w:sz="4" w:space="0" w:color="auto"/>
            </w:tcBorders>
            <w:shd w:val="clear" w:color="000000" w:fill="FFFFFF"/>
          </w:tcPr>
          <w:p w:rsidR="00563A36" w:rsidRPr="00563A36" w:rsidRDefault="004D2021" w:rsidP="00D06F12">
            <w:pPr>
              <w:autoSpaceDE/>
              <w:autoSpaceDN/>
              <w:adjustRightInd/>
              <w:jc w:val="both"/>
              <w:rPr>
                <w:color w:val="000000"/>
                <w:sz w:val="20"/>
                <w:szCs w:val="20"/>
              </w:rPr>
            </w:pPr>
            <w:r>
              <w:rPr>
                <w:color w:val="000000"/>
                <w:sz w:val="20"/>
                <w:szCs w:val="20"/>
              </w:rPr>
              <w:t>д</w:t>
            </w:r>
            <w:r w:rsidR="00563A36" w:rsidRPr="00563A36">
              <w:rPr>
                <w:color w:val="000000"/>
                <w:sz w:val="20"/>
                <w:szCs w:val="20"/>
              </w:rPr>
              <w:t>невной стационар противоо</w:t>
            </w:r>
            <w:r w:rsidR="00583C97">
              <w:rPr>
                <w:color w:val="000000"/>
                <w:sz w:val="20"/>
                <w:szCs w:val="20"/>
              </w:rPr>
              <w:t>пухолевой лекарственной терапии</w:t>
            </w:r>
          </w:p>
        </w:tc>
      </w:tr>
      <w:tr w:rsidR="00563A36" w:rsidRPr="00563A36" w:rsidTr="000B1BA9">
        <w:trPr>
          <w:trHeight w:val="20"/>
        </w:trPr>
        <w:tc>
          <w:tcPr>
            <w:tcW w:w="846" w:type="dxa"/>
          </w:tcPr>
          <w:p w:rsidR="00563A36" w:rsidRPr="00563A36" w:rsidRDefault="00563A36" w:rsidP="00894D08">
            <w:pPr>
              <w:autoSpaceDE/>
              <w:autoSpaceDN/>
              <w:adjustRightInd/>
              <w:jc w:val="center"/>
              <w:rPr>
                <w:color w:val="000000"/>
                <w:sz w:val="20"/>
                <w:szCs w:val="20"/>
              </w:rPr>
            </w:pPr>
            <w:r w:rsidRPr="00563A36">
              <w:rPr>
                <w:color w:val="000000"/>
                <w:sz w:val="20"/>
                <w:szCs w:val="20"/>
              </w:rPr>
              <w:t>12</w:t>
            </w:r>
            <w:r w:rsidR="000B1BA9">
              <w:rPr>
                <w:color w:val="000000"/>
                <w:sz w:val="20"/>
                <w:szCs w:val="20"/>
              </w:rPr>
              <w:t>.</w:t>
            </w:r>
          </w:p>
        </w:tc>
        <w:tc>
          <w:tcPr>
            <w:tcW w:w="4819" w:type="dxa"/>
          </w:tcPr>
          <w:p w:rsidR="00563A36" w:rsidRPr="00563A36" w:rsidRDefault="00563A36" w:rsidP="00D06F12">
            <w:pPr>
              <w:autoSpaceDE/>
              <w:autoSpaceDN/>
              <w:adjustRightInd/>
              <w:jc w:val="both"/>
              <w:rPr>
                <w:color w:val="000000"/>
                <w:sz w:val="20"/>
                <w:szCs w:val="20"/>
              </w:rPr>
            </w:pPr>
            <w:r w:rsidRPr="00563A36">
              <w:rPr>
                <w:color w:val="000000"/>
                <w:sz w:val="20"/>
                <w:szCs w:val="20"/>
              </w:rPr>
              <w:t xml:space="preserve">ГАУЗ </w:t>
            </w:r>
            <w:r w:rsidR="002F7358">
              <w:rPr>
                <w:color w:val="000000"/>
                <w:sz w:val="20"/>
                <w:szCs w:val="20"/>
              </w:rPr>
              <w:t>«</w:t>
            </w:r>
            <w:r w:rsidRPr="00563A36">
              <w:rPr>
                <w:color w:val="000000"/>
                <w:sz w:val="20"/>
                <w:szCs w:val="20"/>
              </w:rPr>
              <w:t xml:space="preserve">Зеленодольская </w:t>
            </w:r>
            <w:r w:rsidR="00583C97">
              <w:rPr>
                <w:color w:val="000000"/>
                <w:sz w:val="20"/>
                <w:szCs w:val="20"/>
              </w:rPr>
              <w:t>ЦРБ</w:t>
            </w:r>
            <w:r w:rsidR="002F7358">
              <w:rPr>
                <w:color w:val="000000"/>
                <w:sz w:val="20"/>
                <w:szCs w:val="20"/>
              </w:rPr>
              <w:t>»</w:t>
            </w:r>
            <w:r w:rsidRPr="00563A36">
              <w:rPr>
                <w:color w:val="000000"/>
                <w:sz w:val="20"/>
                <w:szCs w:val="20"/>
              </w:rPr>
              <w:t xml:space="preserve"> </w:t>
            </w:r>
          </w:p>
        </w:tc>
        <w:tc>
          <w:tcPr>
            <w:tcW w:w="3544" w:type="dxa"/>
          </w:tcPr>
          <w:p w:rsidR="00563A36" w:rsidRPr="00563A36" w:rsidRDefault="00563A36" w:rsidP="00894D08">
            <w:pPr>
              <w:pStyle w:val="af9"/>
              <w:ind w:left="0"/>
              <w:contextualSpacing w:val="0"/>
              <w:jc w:val="center"/>
              <w:rPr>
                <w:sz w:val="20"/>
                <w:szCs w:val="20"/>
                <w:lang w:val="ru-RU"/>
              </w:rPr>
            </w:pPr>
            <w:r w:rsidRPr="00563A36">
              <w:rPr>
                <w:sz w:val="20"/>
                <w:szCs w:val="20"/>
                <w:lang w:val="ru-RU"/>
              </w:rPr>
              <w:t>стационар</w:t>
            </w:r>
          </w:p>
        </w:tc>
        <w:tc>
          <w:tcPr>
            <w:tcW w:w="4921" w:type="dxa"/>
            <w:tcBorders>
              <w:top w:val="single" w:sz="4" w:space="0" w:color="auto"/>
              <w:left w:val="single" w:sz="4" w:space="0" w:color="auto"/>
              <w:bottom w:val="single" w:sz="4" w:space="0" w:color="auto"/>
              <w:right w:val="single" w:sz="4" w:space="0" w:color="auto"/>
            </w:tcBorders>
            <w:shd w:val="clear" w:color="000000" w:fill="FFFFFF"/>
          </w:tcPr>
          <w:p w:rsidR="00563A36" w:rsidRPr="00563A36" w:rsidRDefault="004D2021" w:rsidP="00D06F12">
            <w:pPr>
              <w:autoSpaceDE/>
              <w:autoSpaceDN/>
              <w:adjustRightInd/>
              <w:jc w:val="both"/>
              <w:rPr>
                <w:color w:val="000000"/>
                <w:sz w:val="20"/>
                <w:szCs w:val="20"/>
              </w:rPr>
            </w:pPr>
            <w:r>
              <w:rPr>
                <w:color w:val="000000"/>
                <w:sz w:val="20"/>
                <w:szCs w:val="20"/>
              </w:rPr>
              <w:t>о</w:t>
            </w:r>
            <w:r w:rsidR="00563A36" w:rsidRPr="00563A36">
              <w:rPr>
                <w:color w:val="000000"/>
                <w:sz w:val="20"/>
                <w:szCs w:val="20"/>
              </w:rPr>
              <w:t>т</w:t>
            </w:r>
            <w:r w:rsidR="00583C97">
              <w:rPr>
                <w:color w:val="000000"/>
                <w:sz w:val="20"/>
                <w:szCs w:val="20"/>
              </w:rPr>
              <w:t>деление абдоминальной онкологии</w:t>
            </w:r>
          </w:p>
        </w:tc>
      </w:tr>
      <w:tr w:rsidR="00563A36" w:rsidRPr="00563A36" w:rsidTr="000B1BA9">
        <w:trPr>
          <w:trHeight w:val="20"/>
        </w:trPr>
        <w:tc>
          <w:tcPr>
            <w:tcW w:w="846" w:type="dxa"/>
          </w:tcPr>
          <w:p w:rsidR="00563A36" w:rsidRPr="00563A36" w:rsidRDefault="00563A36" w:rsidP="00894D08">
            <w:pPr>
              <w:autoSpaceDE/>
              <w:autoSpaceDN/>
              <w:adjustRightInd/>
              <w:jc w:val="center"/>
              <w:rPr>
                <w:color w:val="000000"/>
                <w:sz w:val="20"/>
                <w:szCs w:val="20"/>
              </w:rPr>
            </w:pPr>
            <w:r w:rsidRPr="00563A36">
              <w:rPr>
                <w:color w:val="000000"/>
                <w:sz w:val="20"/>
                <w:szCs w:val="20"/>
              </w:rPr>
              <w:t>13</w:t>
            </w:r>
            <w:r w:rsidR="000B1BA9">
              <w:rPr>
                <w:color w:val="000000"/>
                <w:sz w:val="20"/>
                <w:szCs w:val="20"/>
              </w:rPr>
              <w:t>.</w:t>
            </w:r>
          </w:p>
        </w:tc>
        <w:tc>
          <w:tcPr>
            <w:tcW w:w="4819" w:type="dxa"/>
          </w:tcPr>
          <w:p w:rsidR="00563A36" w:rsidRPr="00563A36" w:rsidRDefault="00563A36" w:rsidP="00D06F12">
            <w:pPr>
              <w:autoSpaceDE/>
              <w:autoSpaceDN/>
              <w:adjustRightInd/>
              <w:jc w:val="both"/>
              <w:rPr>
                <w:color w:val="000000"/>
                <w:sz w:val="20"/>
                <w:szCs w:val="20"/>
              </w:rPr>
            </w:pPr>
            <w:r w:rsidRPr="00563A36">
              <w:rPr>
                <w:color w:val="000000"/>
                <w:sz w:val="20"/>
                <w:szCs w:val="20"/>
              </w:rPr>
              <w:t xml:space="preserve">ГАУЗ </w:t>
            </w:r>
            <w:r w:rsidR="002F7358">
              <w:rPr>
                <w:color w:val="000000"/>
                <w:sz w:val="20"/>
                <w:szCs w:val="20"/>
              </w:rPr>
              <w:t>«</w:t>
            </w:r>
            <w:r w:rsidRPr="00563A36">
              <w:rPr>
                <w:color w:val="000000"/>
                <w:sz w:val="20"/>
                <w:szCs w:val="20"/>
              </w:rPr>
              <w:t>Нижнекамская центральная райо</w:t>
            </w:r>
            <w:r w:rsidR="00CC5747">
              <w:rPr>
                <w:color w:val="000000"/>
                <w:sz w:val="20"/>
                <w:szCs w:val="20"/>
              </w:rPr>
              <w:t>нная многопрофильная больница</w:t>
            </w:r>
            <w:r w:rsidR="002F7358">
              <w:rPr>
                <w:color w:val="000000"/>
                <w:sz w:val="20"/>
                <w:szCs w:val="20"/>
              </w:rPr>
              <w:t>»</w:t>
            </w:r>
          </w:p>
        </w:tc>
        <w:tc>
          <w:tcPr>
            <w:tcW w:w="3544" w:type="dxa"/>
          </w:tcPr>
          <w:p w:rsidR="00563A36" w:rsidRPr="00563A36" w:rsidRDefault="00563A36" w:rsidP="00894D08">
            <w:pPr>
              <w:pStyle w:val="af9"/>
              <w:ind w:left="0"/>
              <w:contextualSpacing w:val="0"/>
              <w:jc w:val="center"/>
              <w:rPr>
                <w:sz w:val="20"/>
                <w:szCs w:val="20"/>
                <w:lang w:val="ru-RU"/>
              </w:rPr>
            </w:pPr>
            <w:r w:rsidRPr="00563A36">
              <w:rPr>
                <w:sz w:val="20"/>
                <w:szCs w:val="20"/>
                <w:lang w:val="ru-RU"/>
              </w:rPr>
              <w:t>стационар</w:t>
            </w:r>
          </w:p>
        </w:tc>
        <w:tc>
          <w:tcPr>
            <w:tcW w:w="4921" w:type="dxa"/>
            <w:tcBorders>
              <w:top w:val="single" w:sz="4" w:space="0" w:color="auto"/>
              <w:left w:val="single" w:sz="4" w:space="0" w:color="auto"/>
              <w:bottom w:val="single" w:sz="4" w:space="0" w:color="auto"/>
              <w:right w:val="single" w:sz="4" w:space="0" w:color="auto"/>
            </w:tcBorders>
            <w:shd w:val="clear" w:color="000000" w:fill="FFFFFF"/>
          </w:tcPr>
          <w:p w:rsidR="00563A36" w:rsidRPr="00563A36" w:rsidRDefault="004D2021" w:rsidP="00D06F12">
            <w:pPr>
              <w:autoSpaceDE/>
              <w:autoSpaceDN/>
              <w:adjustRightInd/>
              <w:jc w:val="both"/>
              <w:rPr>
                <w:color w:val="000000"/>
                <w:sz w:val="20"/>
                <w:szCs w:val="20"/>
              </w:rPr>
            </w:pPr>
            <w:r>
              <w:rPr>
                <w:color w:val="000000"/>
                <w:sz w:val="20"/>
                <w:szCs w:val="20"/>
              </w:rPr>
              <w:t>о</w:t>
            </w:r>
            <w:r w:rsidR="00563A36" w:rsidRPr="00563A36">
              <w:rPr>
                <w:color w:val="000000"/>
                <w:sz w:val="20"/>
                <w:szCs w:val="20"/>
              </w:rPr>
              <w:t>т</w:t>
            </w:r>
            <w:r w:rsidR="00583C97">
              <w:rPr>
                <w:color w:val="000000"/>
                <w:sz w:val="20"/>
                <w:szCs w:val="20"/>
              </w:rPr>
              <w:t>деление абдоминальной онкологии</w:t>
            </w:r>
          </w:p>
        </w:tc>
      </w:tr>
      <w:tr w:rsidR="00FC63EC" w:rsidRPr="00563A36" w:rsidTr="00DF204B">
        <w:trPr>
          <w:trHeight w:val="20"/>
        </w:trPr>
        <w:tc>
          <w:tcPr>
            <w:tcW w:w="14130" w:type="dxa"/>
            <w:gridSpan w:val="4"/>
            <w:tcBorders>
              <w:right w:val="single" w:sz="4" w:space="0" w:color="auto"/>
            </w:tcBorders>
          </w:tcPr>
          <w:p w:rsidR="00FC63EC" w:rsidRPr="009D2BAB" w:rsidRDefault="00FC63EC" w:rsidP="000B1BA9">
            <w:pPr>
              <w:autoSpaceDE/>
              <w:autoSpaceDN/>
              <w:adjustRightInd/>
              <w:spacing w:before="40" w:after="40"/>
              <w:jc w:val="center"/>
              <w:rPr>
                <w:color w:val="000000"/>
                <w:sz w:val="20"/>
                <w:szCs w:val="20"/>
              </w:rPr>
            </w:pPr>
            <w:r w:rsidRPr="009D2BAB">
              <w:rPr>
                <w:sz w:val="20"/>
                <w:szCs w:val="20"/>
                <w:lang w:val="en-US"/>
              </w:rPr>
              <w:t>III</w:t>
            </w:r>
            <w:r w:rsidRPr="009D2BAB">
              <w:rPr>
                <w:sz w:val="20"/>
                <w:szCs w:val="20"/>
              </w:rPr>
              <w:t xml:space="preserve"> уровень</w:t>
            </w:r>
          </w:p>
        </w:tc>
      </w:tr>
      <w:tr w:rsidR="00331B49" w:rsidRPr="00563A36" w:rsidTr="000B1BA9">
        <w:trPr>
          <w:trHeight w:val="20"/>
        </w:trPr>
        <w:tc>
          <w:tcPr>
            <w:tcW w:w="846" w:type="dxa"/>
            <w:vMerge w:val="restart"/>
          </w:tcPr>
          <w:p w:rsidR="00331B49" w:rsidRPr="00563A36" w:rsidRDefault="00331B49" w:rsidP="000B1BA9">
            <w:pPr>
              <w:autoSpaceDE/>
              <w:autoSpaceDN/>
              <w:adjustRightInd/>
              <w:spacing w:line="242" w:lineRule="auto"/>
              <w:jc w:val="center"/>
              <w:rPr>
                <w:color w:val="000000"/>
                <w:sz w:val="20"/>
                <w:szCs w:val="20"/>
              </w:rPr>
            </w:pPr>
            <w:r w:rsidRPr="00563A36">
              <w:rPr>
                <w:color w:val="000000"/>
                <w:sz w:val="20"/>
                <w:szCs w:val="20"/>
              </w:rPr>
              <w:t>1</w:t>
            </w:r>
            <w:r>
              <w:rPr>
                <w:color w:val="000000"/>
                <w:sz w:val="20"/>
                <w:szCs w:val="20"/>
              </w:rPr>
              <w:t>.</w:t>
            </w:r>
          </w:p>
        </w:tc>
        <w:tc>
          <w:tcPr>
            <w:tcW w:w="4819" w:type="dxa"/>
            <w:vMerge w:val="restart"/>
          </w:tcPr>
          <w:p w:rsidR="00331B49" w:rsidRPr="009E5C52" w:rsidRDefault="00331B49" w:rsidP="000B1BA9">
            <w:pPr>
              <w:autoSpaceDE/>
              <w:autoSpaceDN/>
              <w:adjustRightInd/>
              <w:spacing w:line="242" w:lineRule="auto"/>
              <w:jc w:val="both"/>
              <w:rPr>
                <w:sz w:val="20"/>
                <w:szCs w:val="20"/>
              </w:rPr>
            </w:pPr>
            <w:r w:rsidRPr="009E5C52">
              <w:rPr>
                <w:rFonts w:eastAsia="Arial"/>
                <w:sz w:val="20"/>
                <w:szCs w:val="20"/>
              </w:rPr>
              <w:t xml:space="preserve">ГАУЗ </w:t>
            </w:r>
            <w:r>
              <w:rPr>
                <w:rFonts w:eastAsia="Arial"/>
                <w:sz w:val="20"/>
                <w:szCs w:val="20"/>
              </w:rPr>
              <w:t>«РКОД МЗ РТ им.</w:t>
            </w:r>
            <w:r w:rsidRPr="009E5C52">
              <w:rPr>
                <w:rFonts w:eastAsia="Arial"/>
                <w:sz w:val="20"/>
                <w:szCs w:val="20"/>
              </w:rPr>
              <w:t>про</w:t>
            </w:r>
            <w:r>
              <w:rPr>
                <w:rFonts w:eastAsia="Arial"/>
                <w:sz w:val="20"/>
                <w:szCs w:val="20"/>
              </w:rPr>
              <w:t>ф.</w:t>
            </w:r>
            <w:r w:rsidRPr="009E5C52">
              <w:rPr>
                <w:rFonts w:eastAsia="Arial"/>
                <w:sz w:val="20"/>
                <w:szCs w:val="20"/>
              </w:rPr>
              <w:t>М.З.Сигала</w:t>
            </w:r>
            <w:r>
              <w:rPr>
                <w:rFonts w:eastAsia="Arial"/>
                <w:sz w:val="20"/>
                <w:szCs w:val="20"/>
              </w:rPr>
              <w:t>»</w:t>
            </w:r>
          </w:p>
        </w:tc>
        <w:tc>
          <w:tcPr>
            <w:tcW w:w="3544" w:type="dxa"/>
            <w:vMerge w:val="restart"/>
          </w:tcPr>
          <w:p w:rsidR="00331B49" w:rsidRPr="00563A36" w:rsidRDefault="00331B49" w:rsidP="004D2021">
            <w:pPr>
              <w:pStyle w:val="af9"/>
              <w:spacing w:line="242" w:lineRule="auto"/>
              <w:ind w:left="0"/>
              <w:contextualSpacing w:val="0"/>
              <w:jc w:val="center"/>
              <w:rPr>
                <w:sz w:val="20"/>
                <w:szCs w:val="20"/>
                <w:lang w:val="ru-RU"/>
              </w:rPr>
            </w:pPr>
            <w:r>
              <w:rPr>
                <w:sz w:val="20"/>
                <w:szCs w:val="20"/>
                <w:lang w:val="ru-RU"/>
              </w:rPr>
              <w:t>о</w:t>
            </w:r>
            <w:r w:rsidRPr="00563A36">
              <w:rPr>
                <w:sz w:val="20"/>
                <w:szCs w:val="20"/>
                <w:lang w:val="ru-RU"/>
              </w:rPr>
              <w:t>нкологический диспансер</w:t>
            </w:r>
          </w:p>
        </w:tc>
        <w:tc>
          <w:tcPr>
            <w:tcW w:w="4921" w:type="dxa"/>
            <w:tcBorders>
              <w:top w:val="single" w:sz="4" w:space="0" w:color="auto"/>
              <w:left w:val="single" w:sz="4" w:space="0" w:color="auto"/>
              <w:bottom w:val="single" w:sz="4" w:space="0" w:color="auto"/>
              <w:right w:val="single" w:sz="4" w:space="0" w:color="auto"/>
            </w:tcBorders>
            <w:shd w:val="clear" w:color="000000" w:fill="FFFFFF"/>
          </w:tcPr>
          <w:p w:rsidR="00331B49" w:rsidRPr="00563A36" w:rsidRDefault="00331B49" w:rsidP="000B1BA9">
            <w:pPr>
              <w:autoSpaceDE/>
              <w:autoSpaceDN/>
              <w:adjustRightInd/>
              <w:spacing w:line="242" w:lineRule="auto"/>
              <w:jc w:val="both"/>
              <w:rPr>
                <w:color w:val="000000"/>
                <w:sz w:val="20"/>
                <w:szCs w:val="20"/>
              </w:rPr>
            </w:pPr>
            <w:r>
              <w:rPr>
                <w:color w:val="000000"/>
                <w:sz w:val="20"/>
                <w:szCs w:val="20"/>
              </w:rPr>
              <w:t>о</w:t>
            </w:r>
            <w:r w:rsidRPr="00563A36">
              <w:rPr>
                <w:color w:val="000000"/>
                <w:sz w:val="20"/>
                <w:szCs w:val="20"/>
              </w:rPr>
              <w:t>нкологическое отделение № 1 (торакальной онкологии №</w:t>
            </w:r>
            <w:r>
              <w:rPr>
                <w:color w:val="000000"/>
                <w:sz w:val="20"/>
                <w:szCs w:val="20"/>
              </w:rPr>
              <w:t xml:space="preserve"> </w:t>
            </w:r>
            <w:r w:rsidRPr="00563A36">
              <w:rPr>
                <w:color w:val="000000"/>
                <w:sz w:val="20"/>
                <w:szCs w:val="20"/>
              </w:rPr>
              <w:t>1)</w:t>
            </w:r>
          </w:p>
        </w:tc>
      </w:tr>
      <w:tr w:rsidR="00331B49" w:rsidRPr="00563A36" w:rsidTr="000B1BA9">
        <w:trPr>
          <w:trHeight w:val="20"/>
        </w:trPr>
        <w:tc>
          <w:tcPr>
            <w:tcW w:w="846" w:type="dxa"/>
            <w:vMerge/>
          </w:tcPr>
          <w:p w:rsidR="00331B49" w:rsidRPr="00563A36" w:rsidRDefault="00331B49" w:rsidP="000B1BA9">
            <w:pPr>
              <w:pStyle w:val="af9"/>
              <w:spacing w:line="242" w:lineRule="auto"/>
              <w:ind w:left="0"/>
              <w:contextualSpacing w:val="0"/>
              <w:jc w:val="center"/>
              <w:rPr>
                <w:sz w:val="20"/>
                <w:szCs w:val="20"/>
                <w:lang w:val="ru-RU"/>
              </w:rPr>
            </w:pPr>
          </w:p>
        </w:tc>
        <w:tc>
          <w:tcPr>
            <w:tcW w:w="4819" w:type="dxa"/>
            <w:vMerge/>
          </w:tcPr>
          <w:p w:rsidR="00331B49" w:rsidRPr="00563A36" w:rsidRDefault="00331B49" w:rsidP="000B1BA9">
            <w:pPr>
              <w:pStyle w:val="af9"/>
              <w:spacing w:line="242" w:lineRule="auto"/>
              <w:ind w:left="0"/>
              <w:contextualSpacing w:val="0"/>
              <w:jc w:val="both"/>
              <w:rPr>
                <w:sz w:val="20"/>
                <w:szCs w:val="20"/>
                <w:lang w:val="ru-RU"/>
              </w:rPr>
            </w:pPr>
          </w:p>
        </w:tc>
        <w:tc>
          <w:tcPr>
            <w:tcW w:w="3544" w:type="dxa"/>
            <w:vMerge/>
          </w:tcPr>
          <w:p w:rsidR="00331B49" w:rsidRPr="00563A36" w:rsidRDefault="00331B49" w:rsidP="000B1BA9">
            <w:pPr>
              <w:pStyle w:val="af9"/>
              <w:spacing w:line="242" w:lineRule="auto"/>
              <w:ind w:left="0"/>
              <w:contextualSpacing w:val="0"/>
              <w:rPr>
                <w:sz w:val="20"/>
                <w:szCs w:val="20"/>
                <w:lang w:val="ru-RU"/>
              </w:rPr>
            </w:pPr>
          </w:p>
        </w:tc>
        <w:tc>
          <w:tcPr>
            <w:tcW w:w="4921" w:type="dxa"/>
            <w:tcBorders>
              <w:top w:val="single" w:sz="4" w:space="0" w:color="auto"/>
              <w:left w:val="single" w:sz="4" w:space="0" w:color="auto"/>
              <w:bottom w:val="single" w:sz="4" w:space="0" w:color="auto"/>
              <w:right w:val="single" w:sz="4" w:space="0" w:color="auto"/>
            </w:tcBorders>
            <w:shd w:val="clear" w:color="000000" w:fill="FFFFFF"/>
          </w:tcPr>
          <w:p w:rsidR="00331B49" w:rsidRPr="00563A36" w:rsidRDefault="00331B49" w:rsidP="000B1BA9">
            <w:pPr>
              <w:spacing w:line="242" w:lineRule="auto"/>
              <w:jc w:val="both"/>
              <w:rPr>
                <w:color w:val="000000"/>
                <w:sz w:val="20"/>
                <w:szCs w:val="20"/>
              </w:rPr>
            </w:pPr>
            <w:r>
              <w:rPr>
                <w:color w:val="000000"/>
                <w:sz w:val="20"/>
                <w:szCs w:val="20"/>
              </w:rPr>
              <w:t>о</w:t>
            </w:r>
            <w:r w:rsidRPr="00563A36">
              <w:rPr>
                <w:color w:val="000000"/>
                <w:sz w:val="20"/>
                <w:szCs w:val="20"/>
              </w:rPr>
              <w:t>нкологическое отделение № 2 (торакальной онкологии № 2)</w:t>
            </w:r>
          </w:p>
        </w:tc>
      </w:tr>
      <w:tr w:rsidR="00331B49" w:rsidRPr="00563A36" w:rsidTr="000B1BA9">
        <w:trPr>
          <w:trHeight w:val="20"/>
        </w:trPr>
        <w:tc>
          <w:tcPr>
            <w:tcW w:w="846" w:type="dxa"/>
            <w:vMerge/>
          </w:tcPr>
          <w:p w:rsidR="00331B49" w:rsidRPr="00563A36" w:rsidRDefault="00331B49" w:rsidP="000B1BA9">
            <w:pPr>
              <w:pStyle w:val="af9"/>
              <w:spacing w:line="242" w:lineRule="auto"/>
              <w:ind w:left="0"/>
              <w:contextualSpacing w:val="0"/>
              <w:jc w:val="center"/>
              <w:rPr>
                <w:sz w:val="20"/>
                <w:szCs w:val="20"/>
                <w:lang w:val="ru-RU"/>
              </w:rPr>
            </w:pPr>
          </w:p>
        </w:tc>
        <w:tc>
          <w:tcPr>
            <w:tcW w:w="4819" w:type="dxa"/>
            <w:vMerge/>
          </w:tcPr>
          <w:p w:rsidR="00331B49" w:rsidRPr="00563A36" w:rsidRDefault="00331B49" w:rsidP="000B1BA9">
            <w:pPr>
              <w:pStyle w:val="af9"/>
              <w:spacing w:line="242" w:lineRule="auto"/>
              <w:ind w:left="0"/>
              <w:contextualSpacing w:val="0"/>
              <w:jc w:val="both"/>
              <w:rPr>
                <w:sz w:val="20"/>
                <w:szCs w:val="20"/>
                <w:lang w:val="ru-RU"/>
              </w:rPr>
            </w:pPr>
          </w:p>
        </w:tc>
        <w:tc>
          <w:tcPr>
            <w:tcW w:w="3544" w:type="dxa"/>
            <w:vMerge/>
          </w:tcPr>
          <w:p w:rsidR="00331B49" w:rsidRPr="00563A36" w:rsidRDefault="00331B49" w:rsidP="000B1BA9">
            <w:pPr>
              <w:pStyle w:val="af9"/>
              <w:spacing w:line="242" w:lineRule="auto"/>
              <w:ind w:left="0"/>
              <w:contextualSpacing w:val="0"/>
              <w:rPr>
                <w:sz w:val="20"/>
                <w:szCs w:val="20"/>
                <w:lang w:val="ru-RU"/>
              </w:rPr>
            </w:pPr>
          </w:p>
        </w:tc>
        <w:tc>
          <w:tcPr>
            <w:tcW w:w="4921" w:type="dxa"/>
            <w:tcBorders>
              <w:top w:val="single" w:sz="4" w:space="0" w:color="auto"/>
              <w:left w:val="single" w:sz="4" w:space="0" w:color="auto"/>
              <w:bottom w:val="single" w:sz="4" w:space="0" w:color="auto"/>
              <w:right w:val="single" w:sz="4" w:space="0" w:color="auto"/>
            </w:tcBorders>
            <w:shd w:val="clear" w:color="000000" w:fill="FFFFFF"/>
          </w:tcPr>
          <w:p w:rsidR="00331B49" w:rsidRPr="00563A36" w:rsidRDefault="00331B49" w:rsidP="000B1BA9">
            <w:pPr>
              <w:spacing w:line="242" w:lineRule="auto"/>
              <w:jc w:val="both"/>
              <w:rPr>
                <w:color w:val="000000"/>
                <w:sz w:val="20"/>
                <w:szCs w:val="20"/>
              </w:rPr>
            </w:pPr>
            <w:r>
              <w:rPr>
                <w:color w:val="000000"/>
                <w:sz w:val="20"/>
                <w:szCs w:val="20"/>
              </w:rPr>
              <w:t>о</w:t>
            </w:r>
            <w:r w:rsidRPr="00563A36">
              <w:rPr>
                <w:color w:val="000000"/>
                <w:sz w:val="20"/>
                <w:szCs w:val="20"/>
              </w:rPr>
              <w:t>нкологическое отделение № 3 (абдоминальной онкологии № 1)</w:t>
            </w:r>
          </w:p>
        </w:tc>
      </w:tr>
      <w:tr w:rsidR="00331B49" w:rsidRPr="00563A36" w:rsidTr="000B1BA9">
        <w:trPr>
          <w:trHeight w:val="20"/>
        </w:trPr>
        <w:tc>
          <w:tcPr>
            <w:tcW w:w="846" w:type="dxa"/>
            <w:vMerge/>
          </w:tcPr>
          <w:p w:rsidR="00331B49" w:rsidRPr="00563A36" w:rsidRDefault="00331B49" w:rsidP="000B1BA9">
            <w:pPr>
              <w:pStyle w:val="af9"/>
              <w:spacing w:line="242" w:lineRule="auto"/>
              <w:ind w:left="0"/>
              <w:contextualSpacing w:val="0"/>
              <w:jc w:val="center"/>
              <w:rPr>
                <w:sz w:val="20"/>
                <w:szCs w:val="20"/>
                <w:lang w:val="ru-RU"/>
              </w:rPr>
            </w:pPr>
          </w:p>
        </w:tc>
        <w:tc>
          <w:tcPr>
            <w:tcW w:w="4819" w:type="dxa"/>
            <w:vMerge/>
          </w:tcPr>
          <w:p w:rsidR="00331B49" w:rsidRPr="00563A36" w:rsidRDefault="00331B49" w:rsidP="000B1BA9">
            <w:pPr>
              <w:pStyle w:val="af9"/>
              <w:spacing w:line="242" w:lineRule="auto"/>
              <w:ind w:left="0"/>
              <w:contextualSpacing w:val="0"/>
              <w:jc w:val="both"/>
              <w:rPr>
                <w:sz w:val="20"/>
                <w:szCs w:val="20"/>
                <w:lang w:val="ru-RU"/>
              </w:rPr>
            </w:pPr>
          </w:p>
        </w:tc>
        <w:tc>
          <w:tcPr>
            <w:tcW w:w="3544" w:type="dxa"/>
            <w:vMerge/>
          </w:tcPr>
          <w:p w:rsidR="00331B49" w:rsidRPr="00563A36" w:rsidRDefault="00331B49" w:rsidP="000B1BA9">
            <w:pPr>
              <w:pStyle w:val="af9"/>
              <w:spacing w:line="242" w:lineRule="auto"/>
              <w:ind w:left="0"/>
              <w:contextualSpacing w:val="0"/>
              <w:rPr>
                <w:sz w:val="20"/>
                <w:szCs w:val="20"/>
                <w:lang w:val="ru-RU"/>
              </w:rPr>
            </w:pPr>
          </w:p>
        </w:tc>
        <w:tc>
          <w:tcPr>
            <w:tcW w:w="4921" w:type="dxa"/>
            <w:tcBorders>
              <w:top w:val="single" w:sz="4" w:space="0" w:color="auto"/>
              <w:left w:val="single" w:sz="4" w:space="0" w:color="auto"/>
              <w:bottom w:val="single" w:sz="4" w:space="0" w:color="auto"/>
              <w:right w:val="single" w:sz="4" w:space="0" w:color="auto"/>
            </w:tcBorders>
            <w:shd w:val="clear" w:color="000000" w:fill="FFFFFF"/>
          </w:tcPr>
          <w:p w:rsidR="00331B49" w:rsidRPr="00563A36" w:rsidRDefault="00331B49" w:rsidP="000B1BA9">
            <w:pPr>
              <w:spacing w:line="242" w:lineRule="auto"/>
              <w:jc w:val="both"/>
              <w:rPr>
                <w:color w:val="000000"/>
                <w:sz w:val="20"/>
                <w:szCs w:val="20"/>
              </w:rPr>
            </w:pPr>
            <w:r>
              <w:rPr>
                <w:color w:val="000000"/>
                <w:sz w:val="20"/>
                <w:szCs w:val="20"/>
              </w:rPr>
              <w:t>о</w:t>
            </w:r>
            <w:r w:rsidRPr="00563A36">
              <w:rPr>
                <w:color w:val="000000"/>
                <w:sz w:val="20"/>
                <w:szCs w:val="20"/>
              </w:rPr>
              <w:t>нкологическое отделение № 4 (опухолей молочной железы)</w:t>
            </w:r>
          </w:p>
        </w:tc>
      </w:tr>
      <w:tr w:rsidR="00331B49" w:rsidRPr="00563A36" w:rsidTr="000B1BA9">
        <w:trPr>
          <w:trHeight w:val="20"/>
        </w:trPr>
        <w:tc>
          <w:tcPr>
            <w:tcW w:w="846" w:type="dxa"/>
            <w:vMerge/>
          </w:tcPr>
          <w:p w:rsidR="00331B49" w:rsidRPr="00563A36" w:rsidRDefault="00331B49" w:rsidP="000B1BA9">
            <w:pPr>
              <w:pStyle w:val="af9"/>
              <w:spacing w:line="242" w:lineRule="auto"/>
              <w:ind w:left="0"/>
              <w:contextualSpacing w:val="0"/>
              <w:jc w:val="center"/>
              <w:rPr>
                <w:sz w:val="20"/>
                <w:szCs w:val="20"/>
                <w:lang w:val="ru-RU"/>
              </w:rPr>
            </w:pPr>
          </w:p>
        </w:tc>
        <w:tc>
          <w:tcPr>
            <w:tcW w:w="4819" w:type="dxa"/>
            <w:vMerge/>
          </w:tcPr>
          <w:p w:rsidR="00331B49" w:rsidRPr="00563A36" w:rsidRDefault="00331B49" w:rsidP="000B1BA9">
            <w:pPr>
              <w:pStyle w:val="af9"/>
              <w:spacing w:line="242" w:lineRule="auto"/>
              <w:ind w:left="0"/>
              <w:contextualSpacing w:val="0"/>
              <w:jc w:val="both"/>
              <w:rPr>
                <w:sz w:val="20"/>
                <w:szCs w:val="20"/>
                <w:lang w:val="ru-RU"/>
              </w:rPr>
            </w:pPr>
          </w:p>
        </w:tc>
        <w:tc>
          <w:tcPr>
            <w:tcW w:w="3544" w:type="dxa"/>
            <w:vMerge/>
          </w:tcPr>
          <w:p w:rsidR="00331B49" w:rsidRPr="00563A36" w:rsidRDefault="00331B49" w:rsidP="000B1BA9">
            <w:pPr>
              <w:pStyle w:val="af9"/>
              <w:spacing w:line="242" w:lineRule="auto"/>
              <w:ind w:left="0"/>
              <w:contextualSpacing w:val="0"/>
              <w:rPr>
                <w:sz w:val="20"/>
                <w:szCs w:val="20"/>
                <w:lang w:val="ru-RU"/>
              </w:rPr>
            </w:pPr>
          </w:p>
        </w:tc>
        <w:tc>
          <w:tcPr>
            <w:tcW w:w="4921" w:type="dxa"/>
            <w:tcBorders>
              <w:top w:val="single" w:sz="4" w:space="0" w:color="auto"/>
              <w:left w:val="single" w:sz="4" w:space="0" w:color="auto"/>
              <w:bottom w:val="single" w:sz="4" w:space="0" w:color="auto"/>
              <w:right w:val="single" w:sz="4" w:space="0" w:color="auto"/>
            </w:tcBorders>
            <w:shd w:val="clear" w:color="000000" w:fill="FFFFFF"/>
          </w:tcPr>
          <w:p w:rsidR="00331B49" w:rsidRPr="00563A36" w:rsidRDefault="00331B49" w:rsidP="000B1BA9">
            <w:pPr>
              <w:spacing w:line="242" w:lineRule="auto"/>
              <w:jc w:val="both"/>
              <w:rPr>
                <w:color w:val="000000"/>
                <w:sz w:val="20"/>
                <w:szCs w:val="20"/>
              </w:rPr>
            </w:pPr>
            <w:r>
              <w:rPr>
                <w:color w:val="000000"/>
                <w:sz w:val="20"/>
                <w:szCs w:val="20"/>
              </w:rPr>
              <w:t>о</w:t>
            </w:r>
            <w:r w:rsidRPr="00563A36">
              <w:rPr>
                <w:color w:val="000000"/>
                <w:sz w:val="20"/>
                <w:szCs w:val="20"/>
              </w:rPr>
              <w:t>нкологическое отделение № 5 (опухолей головы и шеи № 1)</w:t>
            </w:r>
          </w:p>
        </w:tc>
      </w:tr>
      <w:tr w:rsidR="00331B49" w:rsidRPr="00563A36" w:rsidTr="000B1BA9">
        <w:trPr>
          <w:trHeight w:val="20"/>
        </w:trPr>
        <w:tc>
          <w:tcPr>
            <w:tcW w:w="846" w:type="dxa"/>
            <w:vMerge/>
          </w:tcPr>
          <w:p w:rsidR="00331B49" w:rsidRPr="00563A36" w:rsidRDefault="00331B49" w:rsidP="000B1BA9">
            <w:pPr>
              <w:pStyle w:val="af9"/>
              <w:spacing w:line="242" w:lineRule="auto"/>
              <w:ind w:left="0"/>
              <w:contextualSpacing w:val="0"/>
              <w:jc w:val="center"/>
              <w:rPr>
                <w:sz w:val="20"/>
                <w:szCs w:val="20"/>
                <w:lang w:val="ru-RU"/>
              </w:rPr>
            </w:pPr>
          </w:p>
        </w:tc>
        <w:tc>
          <w:tcPr>
            <w:tcW w:w="4819" w:type="dxa"/>
            <w:vMerge/>
          </w:tcPr>
          <w:p w:rsidR="00331B49" w:rsidRPr="00563A36" w:rsidRDefault="00331B49" w:rsidP="000B1BA9">
            <w:pPr>
              <w:pStyle w:val="af9"/>
              <w:spacing w:line="242" w:lineRule="auto"/>
              <w:ind w:left="0"/>
              <w:contextualSpacing w:val="0"/>
              <w:jc w:val="both"/>
              <w:rPr>
                <w:sz w:val="20"/>
                <w:szCs w:val="20"/>
                <w:lang w:val="ru-RU"/>
              </w:rPr>
            </w:pPr>
          </w:p>
        </w:tc>
        <w:tc>
          <w:tcPr>
            <w:tcW w:w="3544" w:type="dxa"/>
            <w:vMerge/>
          </w:tcPr>
          <w:p w:rsidR="00331B49" w:rsidRPr="00563A36" w:rsidRDefault="00331B49" w:rsidP="000B1BA9">
            <w:pPr>
              <w:pStyle w:val="af9"/>
              <w:spacing w:line="242" w:lineRule="auto"/>
              <w:ind w:left="0"/>
              <w:contextualSpacing w:val="0"/>
              <w:rPr>
                <w:sz w:val="20"/>
                <w:szCs w:val="20"/>
                <w:lang w:val="ru-RU"/>
              </w:rPr>
            </w:pPr>
          </w:p>
        </w:tc>
        <w:tc>
          <w:tcPr>
            <w:tcW w:w="4921" w:type="dxa"/>
            <w:tcBorders>
              <w:top w:val="single" w:sz="4" w:space="0" w:color="auto"/>
              <w:left w:val="single" w:sz="4" w:space="0" w:color="auto"/>
              <w:bottom w:val="single" w:sz="4" w:space="0" w:color="auto"/>
              <w:right w:val="single" w:sz="4" w:space="0" w:color="auto"/>
            </w:tcBorders>
            <w:shd w:val="clear" w:color="000000" w:fill="FFFFFF"/>
          </w:tcPr>
          <w:p w:rsidR="00331B49" w:rsidRPr="00563A36" w:rsidRDefault="00331B49" w:rsidP="000B1BA9">
            <w:pPr>
              <w:spacing w:line="242" w:lineRule="auto"/>
              <w:jc w:val="both"/>
              <w:rPr>
                <w:color w:val="000000"/>
                <w:sz w:val="20"/>
                <w:szCs w:val="20"/>
              </w:rPr>
            </w:pPr>
            <w:r>
              <w:rPr>
                <w:color w:val="000000"/>
                <w:sz w:val="20"/>
                <w:szCs w:val="20"/>
              </w:rPr>
              <w:t>о</w:t>
            </w:r>
            <w:r w:rsidRPr="00563A36">
              <w:rPr>
                <w:color w:val="000000"/>
                <w:sz w:val="20"/>
                <w:szCs w:val="20"/>
              </w:rPr>
              <w:t>нкологическое отделение № 6 (онкоурологии)</w:t>
            </w:r>
          </w:p>
        </w:tc>
      </w:tr>
      <w:tr w:rsidR="00331B49" w:rsidRPr="00563A36" w:rsidTr="000B1BA9">
        <w:trPr>
          <w:trHeight w:val="20"/>
        </w:trPr>
        <w:tc>
          <w:tcPr>
            <w:tcW w:w="846" w:type="dxa"/>
            <w:vMerge/>
          </w:tcPr>
          <w:p w:rsidR="00331B49" w:rsidRPr="00563A36" w:rsidRDefault="00331B49" w:rsidP="000B1BA9">
            <w:pPr>
              <w:pStyle w:val="af9"/>
              <w:spacing w:line="242" w:lineRule="auto"/>
              <w:ind w:left="0"/>
              <w:contextualSpacing w:val="0"/>
              <w:jc w:val="center"/>
              <w:rPr>
                <w:sz w:val="20"/>
                <w:szCs w:val="20"/>
                <w:lang w:val="ru-RU"/>
              </w:rPr>
            </w:pPr>
          </w:p>
        </w:tc>
        <w:tc>
          <w:tcPr>
            <w:tcW w:w="4819" w:type="dxa"/>
            <w:vMerge/>
          </w:tcPr>
          <w:p w:rsidR="00331B49" w:rsidRPr="00563A36" w:rsidRDefault="00331B49" w:rsidP="000B1BA9">
            <w:pPr>
              <w:pStyle w:val="af9"/>
              <w:spacing w:line="242" w:lineRule="auto"/>
              <w:ind w:left="0"/>
              <w:contextualSpacing w:val="0"/>
              <w:jc w:val="both"/>
              <w:rPr>
                <w:sz w:val="20"/>
                <w:szCs w:val="20"/>
                <w:lang w:val="ru-RU"/>
              </w:rPr>
            </w:pPr>
          </w:p>
        </w:tc>
        <w:tc>
          <w:tcPr>
            <w:tcW w:w="3544" w:type="dxa"/>
            <w:vMerge/>
          </w:tcPr>
          <w:p w:rsidR="00331B49" w:rsidRPr="00563A36" w:rsidRDefault="00331B49" w:rsidP="000B1BA9">
            <w:pPr>
              <w:pStyle w:val="af9"/>
              <w:spacing w:line="242" w:lineRule="auto"/>
              <w:ind w:left="0"/>
              <w:contextualSpacing w:val="0"/>
              <w:rPr>
                <w:sz w:val="20"/>
                <w:szCs w:val="20"/>
                <w:lang w:val="ru-RU"/>
              </w:rPr>
            </w:pPr>
          </w:p>
        </w:tc>
        <w:tc>
          <w:tcPr>
            <w:tcW w:w="4921" w:type="dxa"/>
            <w:tcBorders>
              <w:top w:val="single" w:sz="4" w:space="0" w:color="auto"/>
              <w:left w:val="single" w:sz="4" w:space="0" w:color="auto"/>
              <w:bottom w:val="single" w:sz="4" w:space="0" w:color="auto"/>
              <w:right w:val="single" w:sz="4" w:space="0" w:color="auto"/>
            </w:tcBorders>
            <w:shd w:val="clear" w:color="000000" w:fill="FFFFFF"/>
          </w:tcPr>
          <w:p w:rsidR="00331B49" w:rsidRPr="00563A36" w:rsidRDefault="00331B49" w:rsidP="000B1BA9">
            <w:pPr>
              <w:spacing w:line="242" w:lineRule="auto"/>
              <w:jc w:val="both"/>
              <w:rPr>
                <w:color w:val="000000"/>
                <w:sz w:val="20"/>
                <w:szCs w:val="20"/>
              </w:rPr>
            </w:pPr>
            <w:r>
              <w:rPr>
                <w:color w:val="000000"/>
                <w:sz w:val="20"/>
                <w:szCs w:val="20"/>
              </w:rPr>
              <w:t>о</w:t>
            </w:r>
            <w:r w:rsidRPr="00563A36">
              <w:rPr>
                <w:color w:val="000000"/>
                <w:sz w:val="20"/>
                <w:szCs w:val="20"/>
              </w:rPr>
              <w:t>нкологическое отделение № 7 (онкогинекологии № 1)</w:t>
            </w:r>
          </w:p>
        </w:tc>
      </w:tr>
      <w:tr w:rsidR="00331B49" w:rsidRPr="00563A36" w:rsidTr="000B1BA9">
        <w:trPr>
          <w:trHeight w:val="20"/>
        </w:trPr>
        <w:tc>
          <w:tcPr>
            <w:tcW w:w="846" w:type="dxa"/>
            <w:vMerge/>
          </w:tcPr>
          <w:p w:rsidR="00331B49" w:rsidRPr="00563A36" w:rsidRDefault="00331B49" w:rsidP="000B1BA9">
            <w:pPr>
              <w:pStyle w:val="af9"/>
              <w:spacing w:line="242" w:lineRule="auto"/>
              <w:ind w:left="0"/>
              <w:contextualSpacing w:val="0"/>
              <w:jc w:val="center"/>
              <w:rPr>
                <w:sz w:val="20"/>
                <w:szCs w:val="20"/>
                <w:lang w:val="ru-RU"/>
              </w:rPr>
            </w:pPr>
          </w:p>
        </w:tc>
        <w:tc>
          <w:tcPr>
            <w:tcW w:w="4819" w:type="dxa"/>
            <w:vMerge/>
          </w:tcPr>
          <w:p w:rsidR="00331B49" w:rsidRPr="00563A36" w:rsidRDefault="00331B49" w:rsidP="000B1BA9">
            <w:pPr>
              <w:pStyle w:val="af9"/>
              <w:spacing w:line="242" w:lineRule="auto"/>
              <w:ind w:left="0"/>
              <w:contextualSpacing w:val="0"/>
              <w:jc w:val="both"/>
              <w:rPr>
                <w:sz w:val="20"/>
                <w:szCs w:val="20"/>
                <w:lang w:val="ru-RU"/>
              </w:rPr>
            </w:pPr>
          </w:p>
        </w:tc>
        <w:tc>
          <w:tcPr>
            <w:tcW w:w="3544" w:type="dxa"/>
            <w:vMerge/>
          </w:tcPr>
          <w:p w:rsidR="00331B49" w:rsidRPr="00563A36" w:rsidRDefault="00331B49" w:rsidP="000B1BA9">
            <w:pPr>
              <w:pStyle w:val="af9"/>
              <w:spacing w:line="242" w:lineRule="auto"/>
              <w:ind w:left="0"/>
              <w:contextualSpacing w:val="0"/>
              <w:rPr>
                <w:sz w:val="20"/>
                <w:szCs w:val="20"/>
                <w:lang w:val="ru-RU"/>
              </w:rPr>
            </w:pPr>
          </w:p>
        </w:tc>
        <w:tc>
          <w:tcPr>
            <w:tcW w:w="4921" w:type="dxa"/>
            <w:tcBorders>
              <w:top w:val="single" w:sz="4" w:space="0" w:color="auto"/>
              <w:left w:val="single" w:sz="4" w:space="0" w:color="auto"/>
              <w:bottom w:val="single" w:sz="4" w:space="0" w:color="auto"/>
              <w:right w:val="single" w:sz="4" w:space="0" w:color="auto"/>
            </w:tcBorders>
            <w:shd w:val="clear" w:color="000000" w:fill="FFFFFF"/>
          </w:tcPr>
          <w:p w:rsidR="00331B49" w:rsidRPr="00563A36" w:rsidRDefault="00331B49" w:rsidP="000B1BA9">
            <w:pPr>
              <w:spacing w:line="242" w:lineRule="auto"/>
              <w:jc w:val="both"/>
              <w:rPr>
                <w:color w:val="000000"/>
                <w:sz w:val="20"/>
                <w:szCs w:val="20"/>
              </w:rPr>
            </w:pPr>
            <w:r>
              <w:rPr>
                <w:color w:val="000000"/>
                <w:sz w:val="20"/>
                <w:szCs w:val="20"/>
              </w:rPr>
              <w:t>о</w:t>
            </w:r>
            <w:r w:rsidRPr="00563A36">
              <w:rPr>
                <w:color w:val="000000"/>
                <w:sz w:val="20"/>
                <w:szCs w:val="20"/>
              </w:rPr>
              <w:t>нкологическое отделение № 8 (онкогинекологии № 2)</w:t>
            </w:r>
          </w:p>
        </w:tc>
      </w:tr>
      <w:tr w:rsidR="00331B49" w:rsidRPr="00563A36" w:rsidTr="000B1BA9">
        <w:trPr>
          <w:trHeight w:val="20"/>
        </w:trPr>
        <w:tc>
          <w:tcPr>
            <w:tcW w:w="846" w:type="dxa"/>
            <w:vMerge/>
          </w:tcPr>
          <w:p w:rsidR="00331B49" w:rsidRPr="00563A36" w:rsidRDefault="00331B49" w:rsidP="000B1BA9">
            <w:pPr>
              <w:pStyle w:val="af9"/>
              <w:spacing w:line="242" w:lineRule="auto"/>
              <w:ind w:left="0"/>
              <w:contextualSpacing w:val="0"/>
              <w:jc w:val="center"/>
              <w:rPr>
                <w:sz w:val="20"/>
                <w:szCs w:val="20"/>
                <w:lang w:val="ru-RU"/>
              </w:rPr>
            </w:pPr>
          </w:p>
        </w:tc>
        <w:tc>
          <w:tcPr>
            <w:tcW w:w="4819" w:type="dxa"/>
            <w:vMerge/>
          </w:tcPr>
          <w:p w:rsidR="00331B49" w:rsidRPr="00563A36" w:rsidRDefault="00331B49" w:rsidP="000B1BA9">
            <w:pPr>
              <w:pStyle w:val="af9"/>
              <w:spacing w:line="242" w:lineRule="auto"/>
              <w:ind w:left="0"/>
              <w:contextualSpacing w:val="0"/>
              <w:jc w:val="both"/>
              <w:rPr>
                <w:sz w:val="20"/>
                <w:szCs w:val="20"/>
                <w:lang w:val="ru-RU"/>
              </w:rPr>
            </w:pPr>
          </w:p>
        </w:tc>
        <w:tc>
          <w:tcPr>
            <w:tcW w:w="3544" w:type="dxa"/>
            <w:vMerge/>
          </w:tcPr>
          <w:p w:rsidR="00331B49" w:rsidRPr="00563A36" w:rsidRDefault="00331B49" w:rsidP="000B1BA9">
            <w:pPr>
              <w:pStyle w:val="af9"/>
              <w:spacing w:line="242" w:lineRule="auto"/>
              <w:ind w:left="0"/>
              <w:contextualSpacing w:val="0"/>
              <w:rPr>
                <w:sz w:val="20"/>
                <w:szCs w:val="20"/>
                <w:lang w:val="ru-RU"/>
              </w:rPr>
            </w:pPr>
          </w:p>
        </w:tc>
        <w:tc>
          <w:tcPr>
            <w:tcW w:w="4921" w:type="dxa"/>
            <w:tcBorders>
              <w:top w:val="single" w:sz="4" w:space="0" w:color="auto"/>
              <w:left w:val="single" w:sz="4" w:space="0" w:color="auto"/>
              <w:bottom w:val="single" w:sz="4" w:space="0" w:color="auto"/>
              <w:right w:val="single" w:sz="4" w:space="0" w:color="auto"/>
            </w:tcBorders>
            <w:shd w:val="clear" w:color="000000" w:fill="FFFFFF"/>
          </w:tcPr>
          <w:p w:rsidR="00331B49" w:rsidRPr="00563A36" w:rsidRDefault="00331B49" w:rsidP="000B1BA9">
            <w:pPr>
              <w:spacing w:line="242" w:lineRule="auto"/>
              <w:jc w:val="both"/>
              <w:rPr>
                <w:color w:val="000000"/>
                <w:sz w:val="20"/>
                <w:szCs w:val="20"/>
              </w:rPr>
            </w:pPr>
            <w:r>
              <w:rPr>
                <w:color w:val="000000"/>
                <w:sz w:val="20"/>
                <w:szCs w:val="20"/>
              </w:rPr>
              <w:t>о</w:t>
            </w:r>
            <w:r w:rsidRPr="00563A36">
              <w:rPr>
                <w:color w:val="000000"/>
                <w:sz w:val="20"/>
                <w:szCs w:val="20"/>
              </w:rPr>
              <w:t>нкологическое отделение № 10 (абдоминальной онкологии № 3)</w:t>
            </w:r>
          </w:p>
        </w:tc>
      </w:tr>
      <w:tr w:rsidR="00331B49" w:rsidRPr="00563A36" w:rsidTr="000B1BA9">
        <w:trPr>
          <w:trHeight w:val="20"/>
        </w:trPr>
        <w:tc>
          <w:tcPr>
            <w:tcW w:w="846" w:type="dxa"/>
            <w:vMerge/>
          </w:tcPr>
          <w:p w:rsidR="00331B49" w:rsidRPr="00563A36" w:rsidRDefault="00331B49" w:rsidP="000B1BA9">
            <w:pPr>
              <w:pStyle w:val="af9"/>
              <w:spacing w:line="242" w:lineRule="auto"/>
              <w:ind w:left="0"/>
              <w:contextualSpacing w:val="0"/>
              <w:jc w:val="center"/>
              <w:rPr>
                <w:sz w:val="20"/>
                <w:szCs w:val="20"/>
                <w:lang w:val="ru-RU"/>
              </w:rPr>
            </w:pPr>
          </w:p>
        </w:tc>
        <w:tc>
          <w:tcPr>
            <w:tcW w:w="4819" w:type="dxa"/>
            <w:vMerge/>
          </w:tcPr>
          <w:p w:rsidR="00331B49" w:rsidRPr="00563A36" w:rsidRDefault="00331B49" w:rsidP="000B1BA9">
            <w:pPr>
              <w:pStyle w:val="af9"/>
              <w:spacing w:line="242" w:lineRule="auto"/>
              <w:ind w:left="0"/>
              <w:contextualSpacing w:val="0"/>
              <w:jc w:val="both"/>
              <w:rPr>
                <w:sz w:val="20"/>
                <w:szCs w:val="20"/>
                <w:lang w:val="ru-RU"/>
              </w:rPr>
            </w:pPr>
          </w:p>
        </w:tc>
        <w:tc>
          <w:tcPr>
            <w:tcW w:w="3544" w:type="dxa"/>
            <w:vMerge/>
          </w:tcPr>
          <w:p w:rsidR="00331B49" w:rsidRPr="00563A36" w:rsidRDefault="00331B49" w:rsidP="000B1BA9">
            <w:pPr>
              <w:pStyle w:val="af9"/>
              <w:spacing w:line="242" w:lineRule="auto"/>
              <w:ind w:left="0"/>
              <w:contextualSpacing w:val="0"/>
              <w:rPr>
                <w:sz w:val="20"/>
                <w:szCs w:val="20"/>
                <w:lang w:val="ru-RU"/>
              </w:rPr>
            </w:pPr>
          </w:p>
        </w:tc>
        <w:tc>
          <w:tcPr>
            <w:tcW w:w="4921" w:type="dxa"/>
            <w:tcBorders>
              <w:top w:val="single" w:sz="4" w:space="0" w:color="auto"/>
              <w:left w:val="single" w:sz="4" w:space="0" w:color="auto"/>
              <w:bottom w:val="single" w:sz="4" w:space="0" w:color="auto"/>
              <w:right w:val="single" w:sz="4" w:space="0" w:color="auto"/>
            </w:tcBorders>
            <w:shd w:val="clear" w:color="000000" w:fill="FFFFFF"/>
          </w:tcPr>
          <w:p w:rsidR="00331B49" w:rsidRPr="00563A36" w:rsidRDefault="00331B49" w:rsidP="000B1BA9">
            <w:pPr>
              <w:spacing w:line="242" w:lineRule="auto"/>
              <w:jc w:val="both"/>
              <w:rPr>
                <w:color w:val="000000"/>
                <w:sz w:val="20"/>
                <w:szCs w:val="20"/>
              </w:rPr>
            </w:pPr>
            <w:r>
              <w:rPr>
                <w:color w:val="000000"/>
                <w:sz w:val="20"/>
                <w:szCs w:val="20"/>
              </w:rPr>
              <w:t>о</w:t>
            </w:r>
            <w:r w:rsidRPr="00563A36">
              <w:rPr>
                <w:color w:val="000000"/>
                <w:sz w:val="20"/>
                <w:szCs w:val="20"/>
              </w:rPr>
              <w:t>нкологическое отделение № 11 (абдоминальной онкологии № 4)</w:t>
            </w:r>
          </w:p>
        </w:tc>
      </w:tr>
      <w:tr w:rsidR="00331B49" w:rsidRPr="00563A36" w:rsidTr="000B1BA9">
        <w:trPr>
          <w:trHeight w:val="20"/>
        </w:trPr>
        <w:tc>
          <w:tcPr>
            <w:tcW w:w="846" w:type="dxa"/>
            <w:vMerge/>
          </w:tcPr>
          <w:p w:rsidR="00331B49" w:rsidRPr="00563A36" w:rsidRDefault="00331B49" w:rsidP="000B1BA9">
            <w:pPr>
              <w:pStyle w:val="af9"/>
              <w:spacing w:line="242" w:lineRule="auto"/>
              <w:ind w:left="0"/>
              <w:contextualSpacing w:val="0"/>
              <w:jc w:val="center"/>
              <w:rPr>
                <w:sz w:val="20"/>
                <w:szCs w:val="20"/>
                <w:lang w:val="ru-RU"/>
              </w:rPr>
            </w:pPr>
          </w:p>
        </w:tc>
        <w:tc>
          <w:tcPr>
            <w:tcW w:w="4819" w:type="dxa"/>
            <w:vMerge/>
          </w:tcPr>
          <w:p w:rsidR="00331B49" w:rsidRPr="00563A36" w:rsidRDefault="00331B49" w:rsidP="000B1BA9">
            <w:pPr>
              <w:pStyle w:val="af9"/>
              <w:spacing w:line="242" w:lineRule="auto"/>
              <w:ind w:left="0"/>
              <w:contextualSpacing w:val="0"/>
              <w:jc w:val="both"/>
              <w:rPr>
                <w:sz w:val="20"/>
                <w:szCs w:val="20"/>
                <w:lang w:val="ru-RU"/>
              </w:rPr>
            </w:pPr>
          </w:p>
        </w:tc>
        <w:tc>
          <w:tcPr>
            <w:tcW w:w="3544" w:type="dxa"/>
            <w:vMerge w:val="restart"/>
          </w:tcPr>
          <w:p w:rsidR="00331B49" w:rsidRPr="00563A36" w:rsidRDefault="00331B49" w:rsidP="000B1BA9">
            <w:pPr>
              <w:pStyle w:val="af9"/>
              <w:spacing w:line="242" w:lineRule="auto"/>
              <w:ind w:left="0"/>
              <w:contextualSpacing w:val="0"/>
              <w:rPr>
                <w:sz w:val="20"/>
                <w:szCs w:val="20"/>
                <w:lang w:val="ru-RU"/>
              </w:rPr>
            </w:pPr>
          </w:p>
        </w:tc>
        <w:tc>
          <w:tcPr>
            <w:tcW w:w="4921" w:type="dxa"/>
            <w:tcBorders>
              <w:top w:val="single" w:sz="4" w:space="0" w:color="auto"/>
              <w:left w:val="single" w:sz="4" w:space="0" w:color="auto"/>
              <w:bottom w:val="single" w:sz="4" w:space="0" w:color="auto"/>
              <w:right w:val="single" w:sz="4" w:space="0" w:color="auto"/>
            </w:tcBorders>
            <w:shd w:val="clear" w:color="000000" w:fill="FFFFFF"/>
          </w:tcPr>
          <w:p w:rsidR="00331B49" w:rsidRPr="00563A36" w:rsidRDefault="00331B49" w:rsidP="000B1BA9">
            <w:pPr>
              <w:spacing w:line="242" w:lineRule="auto"/>
              <w:jc w:val="both"/>
              <w:rPr>
                <w:color w:val="000000"/>
                <w:sz w:val="20"/>
                <w:szCs w:val="20"/>
              </w:rPr>
            </w:pPr>
            <w:r>
              <w:rPr>
                <w:color w:val="000000"/>
                <w:sz w:val="20"/>
                <w:szCs w:val="20"/>
              </w:rPr>
              <w:t>о</w:t>
            </w:r>
            <w:r w:rsidRPr="00563A36">
              <w:rPr>
                <w:color w:val="000000"/>
                <w:sz w:val="20"/>
                <w:szCs w:val="20"/>
              </w:rPr>
              <w:t>нкологическое отделение № 12 (опухолей головы и шеи № 2)</w:t>
            </w:r>
          </w:p>
        </w:tc>
      </w:tr>
      <w:tr w:rsidR="00331B49" w:rsidRPr="00563A36" w:rsidTr="000B1BA9">
        <w:trPr>
          <w:trHeight w:val="20"/>
        </w:trPr>
        <w:tc>
          <w:tcPr>
            <w:tcW w:w="846" w:type="dxa"/>
            <w:vMerge/>
          </w:tcPr>
          <w:p w:rsidR="00331B49" w:rsidRPr="00563A36" w:rsidRDefault="00331B49" w:rsidP="000B1BA9">
            <w:pPr>
              <w:pStyle w:val="af9"/>
              <w:spacing w:line="242" w:lineRule="auto"/>
              <w:ind w:left="0"/>
              <w:contextualSpacing w:val="0"/>
              <w:jc w:val="center"/>
              <w:rPr>
                <w:sz w:val="20"/>
                <w:szCs w:val="20"/>
                <w:lang w:val="ru-RU"/>
              </w:rPr>
            </w:pPr>
          </w:p>
        </w:tc>
        <w:tc>
          <w:tcPr>
            <w:tcW w:w="4819" w:type="dxa"/>
            <w:vMerge/>
          </w:tcPr>
          <w:p w:rsidR="00331B49" w:rsidRPr="00563A36" w:rsidRDefault="00331B49" w:rsidP="000B1BA9">
            <w:pPr>
              <w:pStyle w:val="af9"/>
              <w:spacing w:line="242" w:lineRule="auto"/>
              <w:ind w:left="0"/>
              <w:contextualSpacing w:val="0"/>
              <w:jc w:val="both"/>
              <w:rPr>
                <w:sz w:val="20"/>
                <w:szCs w:val="20"/>
                <w:lang w:val="ru-RU"/>
              </w:rPr>
            </w:pPr>
          </w:p>
        </w:tc>
        <w:tc>
          <w:tcPr>
            <w:tcW w:w="3544" w:type="dxa"/>
            <w:vMerge/>
          </w:tcPr>
          <w:p w:rsidR="00331B49" w:rsidRPr="00563A36" w:rsidRDefault="00331B49" w:rsidP="000B1BA9">
            <w:pPr>
              <w:pStyle w:val="af9"/>
              <w:spacing w:line="242" w:lineRule="auto"/>
              <w:ind w:left="0"/>
              <w:contextualSpacing w:val="0"/>
              <w:rPr>
                <w:sz w:val="20"/>
                <w:szCs w:val="20"/>
                <w:lang w:val="ru-RU"/>
              </w:rPr>
            </w:pPr>
          </w:p>
        </w:tc>
        <w:tc>
          <w:tcPr>
            <w:tcW w:w="4921" w:type="dxa"/>
            <w:tcBorders>
              <w:top w:val="single" w:sz="4" w:space="0" w:color="auto"/>
              <w:left w:val="single" w:sz="4" w:space="0" w:color="auto"/>
              <w:bottom w:val="single" w:sz="4" w:space="0" w:color="auto"/>
              <w:right w:val="single" w:sz="4" w:space="0" w:color="auto"/>
            </w:tcBorders>
            <w:shd w:val="clear" w:color="000000" w:fill="FFFFFF"/>
          </w:tcPr>
          <w:p w:rsidR="00331B49" w:rsidRPr="00563A36" w:rsidRDefault="00331B49" w:rsidP="000B1BA9">
            <w:pPr>
              <w:spacing w:line="242" w:lineRule="auto"/>
              <w:jc w:val="both"/>
              <w:rPr>
                <w:color w:val="000000"/>
                <w:sz w:val="20"/>
                <w:szCs w:val="20"/>
              </w:rPr>
            </w:pPr>
            <w:r>
              <w:rPr>
                <w:color w:val="000000"/>
                <w:sz w:val="20"/>
                <w:szCs w:val="20"/>
              </w:rPr>
              <w:t>о</w:t>
            </w:r>
            <w:r w:rsidRPr="00563A36">
              <w:rPr>
                <w:color w:val="000000"/>
                <w:sz w:val="20"/>
                <w:szCs w:val="20"/>
              </w:rPr>
              <w:t>нкологическое отделение № 16 (опухолей костей, мягких тканей и кожи)</w:t>
            </w:r>
          </w:p>
        </w:tc>
      </w:tr>
      <w:tr w:rsidR="00331B49" w:rsidRPr="00563A36" w:rsidTr="000B1BA9">
        <w:trPr>
          <w:trHeight w:val="20"/>
        </w:trPr>
        <w:tc>
          <w:tcPr>
            <w:tcW w:w="846" w:type="dxa"/>
            <w:vMerge/>
          </w:tcPr>
          <w:p w:rsidR="00331B49" w:rsidRPr="00563A36" w:rsidRDefault="00331B49" w:rsidP="000B1BA9">
            <w:pPr>
              <w:pStyle w:val="af9"/>
              <w:spacing w:line="242" w:lineRule="auto"/>
              <w:ind w:left="0"/>
              <w:contextualSpacing w:val="0"/>
              <w:jc w:val="center"/>
              <w:rPr>
                <w:sz w:val="20"/>
                <w:szCs w:val="20"/>
                <w:lang w:val="ru-RU"/>
              </w:rPr>
            </w:pPr>
          </w:p>
        </w:tc>
        <w:tc>
          <w:tcPr>
            <w:tcW w:w="4819" w:type="dxa"/>
            <w:vMerge/>
          </w:tcPr>
          <w:p w:rsidR="00331B49" w:rsidRPr="00563A36" w:rsidRDefault="00331B49" w:rsidP="000B1BA9">
            <w:pPr>
              <w:pStyle w:val="af9"/>
              <w:spacing w:line="242" w:lineRule="auto"/>
              <w:ind w:left="0"/>
              <w:contextualSpacing w:val="0"/>
              <w:jc w:val="both"/>
              <w:rPr>
                <w:sz w:val="20"/>
                <w:szCs w:val="20"/>
                <w:lang w:val="ru-RU"/>
              </w:rPr>
            </w:pPr>
          </w:p>
        </w:tc>
        <w:tc>
          <w:tcPr>
            <w:tcW w:w="3544" w:type="dxa"/>
            <w:vMerge/>
          </w:tcPr>
          <w:p w:rsidR="00331B49" w:rsidRPr="00563A36" w:rsidRDefault="00331B49" w:rsidP="000B1BA9">
            <w:pPr>
              <w:pStyle w:val="af9"/>
              <w:spacing w:line="242" w:lineRule="auto"/>
              <w:ind w:left="0"/>
              <w:contextualSpacing w:val="0"/>
              <w:rPr>
                <w:sz w:val="20"/>
                <w:szCs w:val="20"/>
                <w:lang w:val="ru-RU"/>
              </w:rPr>
            </w:pPr>
          </w:p>
        </w:tc>
        <w:tc>
          <w:tcPr>
            <w:tcW w:w="4921" w:type="dxa"/>
            <w:tcBorders>
              <w:top w:val="single" w:sz="4" w:space="0" w:color="auto"/>
              <w:left w:val="single" w:sz="4" w:space="0" w:color="auto"/>
              <w:bottom w:val="single" w:sz="4" w:space="0" w:color="auto"/>
              <w:right w:val="single" w:sz="4" w:space="0" w:color="auto"/>
            </w:tcBorders>
            <w:shd w:val="clear" w:color="000000" w:fill="FFFFFF"/>
          </w:tcPr>
          <w:p w:rsidR="00331B49" w:rsidRPr="00563A36" w:rsidRDefault="00331B49" w:rsidP="000B1BA9">
            <w:pPr>
              <w:spacing w:line="242" w:lineRule="auto"/>
              <w:jc w:val="both"/>
              <w:rPr>
                <w:color w:val="000000"/>
                <w:sz w:val="20"/>
                <w:szCs w:val="20"/>
              </w:rPr>
            </w:pPr>
            <w:r>
              <w:rPr>
                <w:color w:val="000000"/>
                <w:sz w:val="20"/>
                <w:szCs w:val="20"/>
              </w:rPr>
              <w:t>о</w:t>
            </w:r>
            <w:r w:rsidRPr="00563A36">
              <w:rPr>
                <w:color w:val="000000"/>
                <w:sz w:val="20"/>
                <w:szCs w:val="20"/>
              </w:rPr>
              <w:t>тделение противоопухолевой лекарственной тера</w:t>
            </w:r>
            <w:r>
              <w:rPr>
                <w:color w:val="000000"/>
                <w:sz w:val="20"/>
                <w:szCs w:val="20"/>
              </w:rPr>
              <w:t>-</w:t>
            </w:r>
            <w:r>
              <w:rPr>
                <w:color w:val="000000"/>
                <w:sz w:val="20"/>
                <w:szCs w:val="20"/>
              </w:rPr>
              <w:br/>
            </w:r>
            <w:r w:rsidRPr="00563A36">
              <w:rPr>
                <w:color w:val="000000"/>
                <w:sz w:val="20"/>
                <w:szCs w:val="20"/>
              </w:rPr>
              <w:t>пии № 1</w:t>
            </w:r>
          </w:p>
        </w:tc>
      </w:tr>
      <w:tr w:rsidR="00331B49" w:rsidRPr="00563A36" w:rsidTr="000B1BA9">
        <w:trPr>
          <w:trHeight w:val="20"/>
        </w:trPr>
        <w:tc>
          <w:tcPr>
            <w:tcW w:w="846" w:type="dxa"/>
            <w:vMerge/>
          </w:tcPr>
          <w:p w:rsidR="00331B49" w:rsidRPr="00563A36" w:rsidRDefault="00331B49" w:rsidP="000B1BA9">
            <w:pPr>
              <w:pStyle w:val="af9"/>
              <w:spacing w:line="242" w:lineRule="auto"/>
              <w:ind w:left="0"/>
              <w:contextualSpacing w:val="0"/>
              <w:jc w:val="center"/>
              <w:rPr>
                <w:sz w:val="20"/>
                <w:szCs w:val="20"/>
                <w:lang w:val="ru-RU"/>
              </w:rPr>
            </w:pPr>
          </w:p>
        </w:tc>
        <w:tc>
          <w:tcPr>
            <w:tcW w:w="4819" w:type="dxa"/>
            <w:vMerge/>
          </w:tcPr>
          <w:p w:rsidR="00331B49" w:rsidRPr="00563A36" w:rsidRDefault="00331B49" w:rsidP="000B1BA9">
            <w:pPr>
              <w:pStyle w:val="af9"/>
              <w:spacing w:line="242" w:lineRule="auto"/>
              <w:ind w:left="0"/>
              <w:contextualSpacing w:val="0"/>
              <w:jc w:val="both"/>
              <w:rPr>
                <w:sz w:val="20"/>
                <w:szCs w:val="20"/>
                <w:lang w:val="ru-RU"/>
              </w:rPr>
            </w:pPr>
          </w:p>
        </w:tc>
        <w:tc>
          <w:tcPr>
            <w:tcW w:w="3544" w:type="dxa"/>
            <w:vMerge/>
          </w:tcPr>
          <w:p w:rsidR="00331B49" w:rsidRPr="00563A36" w:rsidRDefault="00331B49" w:rsidP="000B1BA9">
            <w:pPr>
              <w:pStyle w:val="af9"/>
              <w:spacing w:line="242" w:lineRule="auto"/>
              <w:ind w:left="0"/>
              <w:contextualSpacing w:val="0"/>
              <w:rPr>
                <w:sz w:val="20"/>
                <w:szCs w:val="20"/>
                <w:lang w:val="ru-RU"/>
              </w:rPr>
            </w:pPr>
          </w:p>
        </w:tc>
        <w:tc>
          <w:tcPr>
            <w:tcW w:w="4921" w:type="dxa"/>
            <w:tcBorders>
              <w:top w:val="single" w:sz="4" w:space="0" w:color="auto"/>
              <w:left w:val="single" w:sz="4" w:space="0" w:color="auto"/>
              <w:bottom w:val="single" w:sz="4" w:space="0" w:color="auto"/>
              <w:right w:val="single" w:sz="4" w:space="0" w:color="auto"/>
            </w:tcBorders>
            <w:shd w:val="clear" w:color="000000" w:fill="FFFFFF"/>
          </w:tcPr>
          <w:p w:rsidR="00331B49" w:rsidRPr="00563A36" w:rsidRDefault="00331B49" w:rsidP="000B1BA9">
            <w:pPr>
              <w:spacing w:line="242" w:lineRule="auto"/>
              <w:jc w:val="both"/>
              <w:rPr>
                <w:color w:val="000000"/>
                <w:sz w:val="20"/>
                <w:szCs w:val="20"/>
              </w:rPr>
            </w:pPr>
            <w:r>
              <w:rPr>
                <w:color w:val="000000"/>
                <w:sz w:val="20"/>
                <w:szCs w:val="20"/>
              </w:rPr>
              <w:t>о</w:t>
            </w:r>
            <w:r w:rsidRPr="00563A36">
              <w:rPr>
                <w:color w:val="000000"/>
                <w:sz w:val="20"/>
                <w:szCs w:val="20"/>
              </w:rPr>
              <w:t>тделение противоопухолевой лекарственной тера</w:t>
            </w:r>
            <w:r>
              <w:rPr>
                <w:color w:val="000000"/>
                <w:sz w:val="20"/>
                <w:szCs w:val="20"/>
              </w:rPr>
              <w:t>-</w:t>
            </w:r>
            <w:r>
              <w:rPr>
                <w:color w:val="000000"/>
                <w:sz w:val="20"/>
                <w:szCs w:val="20"/>
              </w:rPr>
              <w:br/>
            </w:r>
            <w:r w:rsidRPr="00563A36">
              <w:rPr>
                <w:color w:val="000000"/>
                <w:sz w:val="20"/>
                <w:szCs w:val="20"/>
              </w:rPr>
              <w:t>пии № 2</w:t>
            </w:r>
          </w:p>
        </w:tc>
      </w:tr>
      <w:tr w:rsidR="00331B49" w:rsidRPr="00563A36" w:rsidTr="000B1BA9">
        <w:trPr>
          <w:trHeight w:val="20"/>
        </w:trPr>
        <w:tc>
          <w:tcPr>
            <w:tcW w:w="846" w:type="dxa"/>
            <w:vMerge/>
          </w:tcPr>
          <w:p w:rsidR="00331B49" w:rsidRPr="00563A36" w:rsidRDefault="00331B49" w:rsidP="00894D08">
            <w:pPr>
              <w:pStyle w:val="af9"/>
              <w:ind w:left="0"/>
              <w:contextualSpacing w:val="0"/>
              <w:jc w:val="center"/>
              <w:rPr>
                <w:sz w:val="20"/>
                <w:szCs w:val="20"/>
                <w:lang w:val="ru-RU"/>
              </w:rPr>
            </w:pPr>
          </w:p>
        </w:tc>
        <w:tc>
          <w:tcPr>
            <w:tcW w:w="4819" w:type="dxa"/>
            <w:vMerge/>
          </w:tcPr>
          <w:p w:rsidR="00331B49" w:rsidRPr="00563A36" w:rsidRDefault="00331B49" w:rsidP="00D06F12">
            <w:pPr>
              <w:pStyle w:val="af9"/>
              <w:ind w:left="0"/>
              <w:contextualSpacing w:val="0"/>
              <w:jc w:val="both"/>
              <w:rPr>
                <w:sz w:val="20"/>
                <w:szCs w:val="20"/>
                <w:lang w:val="ru-RU"/>
              </w:rPr>
            </w:pPr>
          </w:p>
        </w:tc>
        <w:tc>
          <w:tcPr>
            <w:tcW w:w="3544" w:type="dxa"/>
            <w:vMerge/>
          </w:tcPr>
          <w:p w:rsidR="00331B49" w:rsidRPr="00563A36" w:rsidRDefault="00331B49" w:rsidP="00894D08">
            <w:pPr>
              <w:pStyle w:val="af9"/>
              <w:ind w:left="0"/>
              <w:contextualSpacing w:val="0"/>
              <w:rPr>
                <w:sz w:val="20"/>
                <w:szCs w:val="20"/>
                <w:lang w:val="ru-RU"/>
              </w:rPr>
            </w:pPr>
          </w:p>
        </w:tc>
        <w:tc>
          <w:tcPr>
            <w:tcW w:w="4921" w:type="dxa"/>
            <w:tcBorders>
              <w:top w:val="single" w:sz="4" w:space="0" w:color="auto"/>
              <w:left w:val="single" w:sz="4" w:space="0" w:color="auto"/>
              <w:bottom w:val="single" w:sz="4" w:space="0" w:color="auto"/>
              <w:right w:val="single" w:sz="4" w:space="0" w:color="auto"/>
            </w:tcBorders>
            <w:shd w:val="clear" w:color="000000" w:fill="FFFFFF"/>
          </w:tcPr>
          <w:p w:rsidR="00331B49" w:rsidRPr="00563A36" w:rsidRDefault="00331B49" w:rsidP="00D06F12">
            <w:pPr>
              <w:jc w:val="both"/>
              <w:rPr>
                <w:color w:val="000000"/>
                <w:sz w:val="20"/>
                <w:szCs w:val="20"/>
              </w:rPr>
            </w:pPr>
            <w:r>
              <w:rPr>
                <w:color w:val="000000"/>
                <w:sz w:val="20"/>
                <w:szCs w:val="20"/>
              </w:rPr>
              <w:t>о</w:t>
            </w:r>
            <w:r w:rsidRPr="00563A36">
              <w:rPr>
                <w:color w:val="000000"/>
                <w:sz w:val="20"/>
                <w:szCs w:val="20"/>
              </w:rPr>
              <w:t>тделение противоопухолевой лекарственной тера</w:t>
            </w:r>
            <w:r>
              <w:rPr>
                <w:color w:val="000000"/>
                <w:sz w:val="20"/>
                <w:szCs w:val="20"/>
              </w:rPr>
              <w:t>-</w:t>
            </w:r>
            <w:r>
              <w:rPr>
                <w:color w:val="000000"/>
                <w:sz w:val="20"/>
                <w:szCs w:val="20"/>
              </w:rPr>
              <w:br/>
            </w:r>
            <w:r w:rsidRPr="00563A36">
              <w:rPr>
                <w:color w:val="000000"/>
                <w:sz w:val="20"/>
                <w:szCs w:val="20"/>
              </w:rPr>
              <w:t>пии № 3</w:t>
            </w:r>
          </w:p>
        </w:tc>
      </w:tr>
      <w:tr w:rsidR="00331B49" w:rsidRPr="00563A36" w:rsidTr="000B1BA9">
        <w:trPr>
          <w:trHeight w:val="20"/>
        </w:trPr>
        <w:tc>
          <w:tcPr>
            <w:tcW w:w="846" w:type="dxa"/>
            <w:vMerge/>
          </w:tcPr>
          <w:p w:rsidR="00331B49" w:rsidRPr="00563A36" w:rsidRDefault="00331B49" w:rsidP="00894D08">
            <w:pPr>
              <w:pStyle w:val="af9"/>
              <w:ind w:left="0"/>
              <w:contextualSpacing w:val="0"/>
              <w:jc w:val="center"/>
              <w:rPr>
                <w:sz w:val="20"/>
                <w:szCs w:val="20"/>
                <w:lang w:val="ru-RU"/>
              </w:rPr>
            </w:pPr>
          </w:p>
        </w:tc>
        <w:tc>
          <w:tcPr>
            <w:tcW w:w="4819" w:type="dxa"/>
            <w:vMerge/>
          </w:tcPr>
          <w:p w:rsidR="00331B49" w:rsidRPr="00563A36" w:rsidRDefault="00331B49" w:rsidP="00D06F12">
            <w:pPr>
              <w:pStyle w:val="af9"/>
              <w:ind w:left="0"/>
              <w:contextualSpacing w:val="0"/>
              <w:jc w:val="both"/>
              <w:rPr>
                <w:sz w:val="20"/>
                <w:szCs w:val="20"/>
                <w:lang w:val="ru-RU"/>
              </w:rPr>
            </w:pPr>
          </w:p>
        </w:tc>
        <w:tc>
          <w:tcPr>
            <w:tcW w:w="3544" w:type="dxa"/>
            <w:vMerge/>
          </w:tcPr>
          <w:p w:rsidR="00331B49" w:rsidRPr="00563A36" w:rsidRDefault="00331B49" w:rsidP="00894D08">
            <w:pPr>
              <w:pStyle w:val="af9"/>
              <w:ind w:left="0"/>
              <w:contextualSpacing w:val="0"/>
              <w:rPr>
                <w:sz w:val="20"/>
                <w:szCs w:val="20"/>
                <w:lang w:val="ru-RU"/>
              </w:rPr>
            </w:pPr>
          </w:p>
        </w:tc>
        <w:tc>
          <w:tcPr>
            <w:tcW w:w="4921" w:type="dxa"/>
            <w:tcBorders>
              <w:top w:val="single" w:sz="4" w:space="0" w:color="auto"/>
              <w:left w:val="single" w:sz="4" w:space="0" w:color="auto"/>
              <w:bottom w:val="single" w:sz="4" w:space="0" w:color="auto"/>
              <w:right w:val="single" w:sz="4" w:space="0" w:color="auto"/>
            </w:tcBorders>
            <w:shd w:val="clear" w:color="000000" w:fill="FFFFFF"/>
          </w:tcPr>
          <w:p w:rsidR="00331B49" w:rsidRPr="00563A36" w:rsidRDefault="00331B49" w:rsidP="00D06F12">
            <w:pPr>
              <w:jc w:val="both"/>
              <w:rPr>
                <w:color w:val="000000"/>
                <w:sz w:val="20"/>
                <w:szCs w:val="20"/>
              </w:rPr>
            </w:pPr>
            <w:r>
              <w:rPr>
                <w:color w:val="000000"/>
                <w:sz w:val="20"/>
                <w:szCs w:val="20"/>
              </w:rPr>
              <w:t>с</w:t>
            </w:r>
            <w:r w:rsidRPr="00563A36">
              <w:rPr>
                <w:color w:val="000000"/>
                <w:sz w:val="20"/>
                <w:szCs w:val="20"/>
              </w:rPr>
              <w:t>тационарное отделение медицинской реабилитации</w:t>
            </w:r>
          </w:p>
        </w:tc>
      </w:tr>
      <w:tr w:rsidR="00331B49" w:rsidRPr="00563A36" w:rsidTr="000B1BA9">
        <w:trPr>
          <w:trHeight w:val="20"/>
        </w:trPr>
        <w:tc>
          <w:tcPr>
            <w:tcW w:w="846" w:type="dxa"/>
            <w:vMerge/>
          </w:tcPr>
          <w:p w:rsidR="00331B49" w:rsidRPr="00563A36" w:rsidRDefault="00331B49" w:rsidP="00894D08">
            <w:pPr>
              <w:pStyle w:val="af9"/>
              <w:ind w:left="0"/>
              <w:contextualSpacing w:val="0"/>
              <w:jc w:val="center"/>
              <w:rPr>
                <w:sz w:val="20"/>
                <w:szCs w:val="20"/>
                <w:lang w:val="ru-RU"/>
              </w:rPr>
            </w:pPr>
          </w:p>
        </w:tc>
        <w:tc>
          <w:tcPr>
            <w:tcW w:w="4819" w:type="dxa"/>
            <w:vMerge/>
          </w:tcPr>
          <w:p w:rsidR="00331B49" w:rsidRPr="00563A36" w:rsidRDefault="00331B49" w:rsidP="00D06F12">
            <w:pPr>
              <w:pStyle w:val="af9"/>
              <w:ind w:left="0"/>
              <w:contextualSpacing w:val="0"/>
              <w:jc w:val="both"/>
              <w:rPr>
                <w:sz w:val="20"/>
                <w:szCs w:val="20"/>
                <w:lang w:val="ru-RU"/>
              </w:rPr>
            </w:pPr>
          </w:p>
        </w:tc>
        <w:tc>
          <w:tcPr>
            <w:tcW w:w="3544" w:type="dxa"/>
            <w:vMerge/>
          </w:tcPr>
          <w:p w:rsidR="00331B49" w:rsidRPr="00563A36" w:rsidRDefault="00331B49" w:rsidP="00894D08">
            <w:pPr>
              <w:pStyle w:val="af9"/>
              <w:ind w:left="0"/>
              <w:contextualSpacing w:val="0"/>
              <w:rPr>
                <w:sz w:val="20"/>
                <w:szCs w:val="20"/>
                <w:lang w:val="ru-RU"/>
              </w:rPr>
            </w:pPr>
          </w:p>
        </w:tc>
        <w:tc>
          <w:tcPr>
            <w:tcW w:w="4921" w:type="dxa"/>
            <w:tcBorders>
              <w:top w:val="single" w:sz="4" w:space="0" w:color="auto"/>
              <w:left w:val="single" w:sz="4" w:space="0" w:color="auto"/>
              <w:bottom w:val="single" w:sz="4" w:space="0" w:color="auto"/>
              <w:right w:val="single" w:sz="4" w:space="0" w:color="auto"/>
            </w:tcBorders>
            <w:shd w:val="clear" w:color="000000" w:fill="FFFFFF"/>
          </w:tcPr>
          <w:p w:rsidR="00331B49" w:rsidRPr="00563A36" w:rsidRDefault="00331B49" w:rsidP="00D06F12">
            <w:pPr>
              <w:jc w:val="both"/>
              <w:rPr>
                <w:color w:val="000000"/>
                <w:sz w:val="20"/>
                <w:szCs w:val="20"/>
              </w:rPr>
            </w:pPr>
            <w:r>
              <w:rPr>
                <w:color w:val="000000"/>
                <w:sz w:val="20"/>
                <w:szCs w:val="20"/>
              </w:rPr>
              <w:t>о</w:t>
            </w:r>
            <w:r w:rsidRPr="00563A36">
              <w:rPr>
                <w:color w:val="000000"/>
                <w:sz w:val="20"/>
                <w:szCs w:val="20"/>
              </w:rPr>
              <w:t>тделение радиотерапии № 1</w:t>
            </w:r>
          </w:p>
        </w:tc>
      </w:tr>
      <w:tr w:rsidR="00331B49" w:rsidRPr="00563A36" w:rsidTr="000B1BA9">
        <w:trPr>
          <w:trHeight w:val="20"/>
        </w:trPr>
        <w:tc>
          <w:tcPr>
            <w:tcW w:w="846" w:type="dxa"/>
            <w:vMerge/>
          </w:tcPr>
          <w:p w:rsidR="00331B49" w:rsidRPr="00563A36" w:rsidRDefault="00331B49" w:rsidP="00894D08">
            <w:pPr>
              <w:pStyle w:val="af9"/>
              <w:ind w:left="0"/>
              <w:contextualSpacing w:val="0"/>
              <w:jc w:val="center"/>
              <w:rPr>
                <w:sz w:val="20"/>
                <w:szCs w:val="20"/>
                <w:lang w:val="ru-RU"/>
              </w:rPr>
            </w:pPr>
          </w:p>
        </w:tc>
        <w:tc>
          <w:tcPr>
            <w:tcW w:w="4819" w:type="dxa"/>
            <w:vMerge/>
          </w:tcPr>
          <w:p w:rsidR="00331B49" w:rsidRPr="00563A36" w:rsidRDefault="00331B49" w:rsidP="00D06F12">
            <w:pPr>
              <w:pStyle w:val="af9"/>
              <w:ind w:left="0"/>
              <w:contextualSpacing w:val="0"/>
              <w:jc w:val="both"/>
              <w:rPr>
                <w:sz w:val="20"/>
                <w:szCs w:val="20"/>
                <w:lang w:val="ru-RU"/>
              </w:rPr>
            </w:pPr>
          </w:p>
        </w:tc>
        <w:tc>
          <w:tcPr>
            <w:tcW w:w="3544" w:type="dxa"/>
            <w:vMerge/>
          </w:tcPr>
          <w:p w:rsidR="00331B49" w:rsidRPr="00563A36" w:rsidRDefault="00331B49" w:rsidP="00894D08">
            <w:pPr>
              <w:pStyle w:val="af9"/>
              <w:ind w:left="0"/>
              <w:contextualSpacing w:val="0"/>
              <w:rPr>
                <w:sz w:val="20"/>
                <w:szCs w:val="20"/>
                <w:lang w:val="ru-RU"/>
              </w:rPr>
            </w:pPr>
          </w:p>
        </w:tc>
        <w:tc>
          <w:tcPr>
            <w:tcW w:w="4921" w:type="dxa"/>
            <w:tcBorders>
              <w:top w:val="single" w:sz="4" w:space="0" w:color="auto"/>
              <w:left w:val="single" w:sz="4" w:space="0" w:color="auto"/>
              <w:bottom w:val="single" w:sz="4" w:space="0" w:color="auto"/>
              <w:right w:val="single" w:sz="4" w:space="0" w:color="auto"/>
            </w:tcBorders>
            <w:shd w:val="clear" w:color="000000" w:fill="FFFFFF"/>
          </w:tcPr>
          <w:p w:rsidR="00331B49" w:rsidRPr="00563A36" w:rsidRDefault="00331B49" w:rsidP="00D06F12">
            <w:pPr>
              <w:jc w:val="both"/>
              <w:rPr>
                <w:color w:val="000000"/>
                <w:sz w:val="20"/>
                <w:szCs w:val="20"/>
              </w:rPr>
            </w:pPr>
            <w:r>
              <w:rPr>
                <w:color w:val="000000"/>
                <w:sz w:val="20"/>
                <w:szCs w:val="20"/>
              </w:rPr>
              <w:t>о</w:t>
            </w:r>
            <w:r w:rsidRPr="00563A36">
              <w:rPr>
                <w:color w:val="000000"/>
                <w:sz w:val="20"/>
                <w:szCs w:val="20"/>
              </w:rPr>
              <w:t>тделение радиотерапии № 2</w:t>
            </w:r>
          </w:p>
        </w:tc>
      </w:tr>
      <w:tr w:rsidR="00331B49" w:rsidRPr="00563A36" w:rsidTr="000B1BA9">
        <w:trPr>
          <w:trHeight w:val="20"/>
        </w:trPr>
        <w:tc>
          <w:tcPr>
            <w:tcW w:w="846" w:type="dxa"/>
            <w:vMerge/>
          </w:tcPr>
          <w:p w:rsidR="00331B49" w:rsidRPr="00563A36" w:rsidRDefault="00331B49" w:rsidP="00894D08">
            <w:pPr>
              <w:pStyle w:val="af9"/>
              <w:ind w:left="0"/>
              <w:contextualSpacing w:val="0"/>
              <w:jc w:val="center"/>
              <w:rPr>
                <w:sz w:val="20"/>
                <w:szCs w:val="20"/>
                <w:lang w:val="ru-RU"/>
              </w:rPr>
            </w:pPr>
          </w:p>
        </w:tc>
        <w:tc>
          <w:tcPr>
            <w:tcW w:w="4819" w:type="dxa"/>
            <w:vMerge/>
          </w:tcPr>
          <w:p w:rsidR="00331B49" w:rsidRPr="00563A36" w:rsidRDefault="00331B49" w:rsidP="00D06F12">
            <w:pPr>
              <w:pStyle w:val="af9"/>
              <w:ind w:left="0"/>
              <w:contextualSpacing w:val="0"/>
              <w:jc w:val="both"/>
              <w:rPr>
                <w:sz w:val="20"/>
                <w:szCs w:val="20"/>
                <w:lang w:val="ru-RU"/>
              </w:rPr>
            </w:pPr>
          </w:p>
        </w:tc>
        <w:tc>
          <w:tcPr>
            <w:tcW w:w="3544" w:type="dxa"/>
            <w:vMerge/>
          </w:tcPr>
          <w:p w:rsidR="00331B49" w:rsidRPr="00563A36" w:rsidRDefault="00331B49" w:rsidP="00894D08">
            <w:pPr>
              <w:pStyle w:val="af9"/>
              <w:ind w:left="0"/>
              <w:contextualSpacing w:val="0"/>
              <w:rPr>
                <w:sz w:val="20"/>
                <w:szCs w:val="20"/>
                <w:lang w:val="ru-RU"/>
              </w:rPr>
            </w:pPr>
          </w:p>
        </w:tc>
        <w:tc>
          <w:tcPr>
            <w:tcW w:w="4921" w:type="dxa"/>
            <w:tcBorders>
              <w:top w:val="single" w:sz="4" w:space="0" w:color="auto"/>
              <w:left w:val="single" w:sz="4" w:space="0" w:color="auto"/>
              <w:bottom w:val="single" w:sz="4" w:space="0" w:color="auto"/>
              <w:right w:val="single" w:sz="4" w:space="0" w:color="auto"/>
            </w:tcBorders>
            <w:shd w:val="clear" w:color="000000" w:fill="FFFFFF"/>
          </w:tcPr>
          <w:p w:rsidR="00331B49" w:rsidRPr="00563A36" w:rsidRDefault="00331B49" w:rsidP="00D06F12">
            <w:pPr>
              <w:jc w:val="both"/>
              <w:rPr>
                <w:color w:val="000000"/>
                <w:sz w:val="20"/>
                <w:szCs w:val="20"/>
              </w:rPr>
            </w:pPr>
            <w:r>
              <w:rPr>
                <w:color w:val="000000"/>
                <w:sz w:val="20"/>
                <w:szCs w:val="20"/>
              </w:rPr>
              <w:t>о</w:t>
            </w:r>
            <w:r w:rsidRPr="00563A36">
              <w:rPr>
                <w:color w:val="000000"/>
                <w:sz w:val="20"/>
                <w:szCs w:val="20"/>
              </w:rPr>
              <w:t>тделение радиотерапии № 3</w:t>
            </w:r>
          </w:p>
        </w:tc>
      </w:tr>
      <w:tr w:rsidR="00331B49" w:rsidRPr="00563A36" w:rsidTr="000B1BA9">
        <w:trPr>
          <w:trHeight w:val="20"/>
        </w:trPr>
        <w:tc>
          <w:tcPr>
            <w:tcW w:w="846" w:type="dxa"/>
            <w:vMerge/>
          </w:tcPr>
          <w:p w:rsidR="00331B49" w:rsidRPr="00563A36" w:rsidRDefault="00331B49" w:rsidP="00894D08">
            <w:pPr>
              <w:pStyle w:val="af9"/>
              <w:ind w:left="0"/>
              <w:contextualSpacing w:val="0"/>
              <w:jc w:val="center"/>
              <w:rPr>
                <w:sz w:val="20"/>
                <w:szCs w:val="20"/>
                <w:lang w:val="ru-RU"/>
              </w:rPr>
            </w:pPr>
          </w:p>
        </w:tc>
        <w:tc>
          <w:tcPr>
            <w:tcW w:w="4819" w:type="dxa"/>
            <w:vMerge/>
          </w:tcPr>
          <w:p w:rsidR="00331B49" w:rsidRPr="00563A36" w:rsidRDefault="00331B49" w:rsidP="00D06F12">
            <w:pPr>
              <w:pStyle w:val="af9"/>
              <w:ind w:left="0"/>
              <w:contextualSpacing w:val="0"/>
              <w:jc w:val="both"/>
              <w:rPr>
                <w:sz w:val="20"/>
                <w:szCs w:val="20"/>
                <w:lang w:val="ru-RU"/>
              </w:rPr>
            </w:pPr>
          </w:p>
        </w:tc>
        <w:tc>
          <w:tcPr>
            <w:tcW w:w="3544" w:type="dxa"/>
            <w:vMerge/>
          </w:tcPr>
          <w:p w:rsidR="00331B49" w:rsidRPr="00563A36" w:rsidRDefault="00331B49" w:rsidP="00894D08">
            <w:pPr>
              <w:pStyle w:val="af9"/>
              <w:ind w:left="0"/>
              <w:contextualSpacing w:val="0"/>
              <w:rPr>
                <w:sz w:val="20"/>
                <w:szCs w:val="20"/>
                <w:lang w:val="ru-RU"/>
              </w:rPr>
            </w:pPr>
          </w:p>
        </w:tc>
        <w:tc>
          <w:tcPr>
            <w:tcW w:w="4921" w:type="dxa"/>
            <w:tcBorders>
              <w:top w:val="single" w:sz="4" w:space="0" w:color="auto"/>
              <w:left w:val="single" w:sz="4" w:space="0" w:color="auto"/>
              <w:bottom w:val="single" w:sz="4" w:space="0" w:color="auto"/>
              <w:right w:val="single" w:sz="4" w:space="0" w:color="auto"/>
            </w:tcBorders>
            <w:shd w:val="clear" w:color="000000" w:fill="FFFFFF"/>
          </w:tcPr>
          <w:p w:rsidR="00331B49" w:rsidRPr="00563A36" w:rsidRDefault="00331B49" w:rsidP="00D06F12">
            <w:pPr>
              <w:jc w:val="both"/>
              <w:rPr>
                <w:color w:val="000000"/>
                <w:sz w:val="20"/>
                <w:szCs w:val="20"/>
              </w:rPr>
            </w:pPr>
            <w:r>
              <w:rPr>
                <w:color w:val="000000"/>
                <w:sz w:val="20"/>
                <w:szCs w:val="20"/>
              </w:rPr>
              <w:t>о</w:t>
            </w:r>
            <w:r w:rsidRPr="00563A36">
              <w:rPr>
                <w:color w:val="000000"/>
                <w:sz w:val="20"/>
                <w:szCs w:val="20"/>
              </w:rPr>
              <w:t>тделение радионуклидной терапии</w:t>
            </w:r>
          </w:p>
        </w:tc>
      </w:tr>
      <w:tr w:rsidR="00331B49" w:rsidRPr="00563A36" w:rsidTr="000B1BA9">
        <w:trPr>
          <w:trHeight w:val="20"/>
        </w:trPr>
        <w:tc>
          <w:tcPr>
            <w:tcW w:w="846" w:type="dxa"/>
            <w:vMerge/>
          </w:tcPr>
          <w:p w:rsidR="00331B49" w:rsidRPr="00563A36" w:rsidRDefault="00331B49" w:rsidP="00894D08">
            <w:pPr>
              <w:pStyle w:val="af9"/>
              <w:ind w:left="0"/>
              <w:contextualSpacing w:val="0"/>
              <w:jc w:val="center"/>
              <w:rPr>
                <w:sz w:val="20"/>
                <w:szCs w:val="20"/>
                <w:lang w:val="ru-RU"/>
              </w:rPr>
            </w:pPr>
          </w:p>
        </w:tc>
        <w:tc>
          <w:tcPr>
            <w:tcW w:w="4819" w:type="dxa"/>
            <w:vMerge/>
          </w:tcPr>
          <w:p w:rsidR="00331B49" w:rsidRPr="00563A36" w:rsidRDefault="00331B49" w:rsidP="00D06F12">
            <w:pPr>
              <w:pStyle w:val="af9"/>
              <w:ind w:left="0"/>
              <w:contextualSpacing w:val="0"/>
              <w:jc w:val="both"/>
              <w:rPr>
                <w:sz w:val="20"/>
                <w:szCs w:val="20"/>
                <w:lang w:val="ru-RU"/>
              </w:rPr>
            </w:pPr>
          </w:p>
        </w:tc>
        <w:tc>
          <w:tcPr>
            <w:tcW w:w="3544" w:type="dxa"/>
            <w:vMerge/>
          </w:tcPr>
          <w:p w:rsidR="00331B49" w:rsidRPr="00563A36" w:rsidRDefault="00331B49" w:rsidP="00894D08">
            <w:pPr>
              <w:pStyle w:val="af9"/>
              <w:ind w:left="0"/>
              <w:contextualSpacing w:val="0"/>
              <w:rPr>
                <w:sz w:val="20"/>
                <w:szCs w:val="20"/>
                <w:lang w:val="ru-RU"/>
              </w:rPr>
            </w:pPr>
          </w:p>
        </w:tc>
        <w:tc>
          <w:tcPr>
            <w:tcW w:w="4921" w:type="dxa"/>
            <w:tcBorders>
              <w:top w:val="single" w:sz="4" w:space="0" w:color="auto"/>
              <w:left w:val="single" w:sz="4" w:space="0" w:color="auto"/>
              <w:bottom w:val="single" w:sz="4" w:space="0" w:color="auto"/>
              <w:right w:val="single" w:sz="4" w:space="0" w:color="auto"/>
            </w:tcBorders>
            <w:shd w:val="clear" w:color="000000" w:fill="FFFFFF"/>
          </w:tcPr>
          <w:p w:rsidR="00331B49" w:rsidRPr="00563A36" w:rsidRDefault="00331B49" w:rsidP="00D06F12">
            <w:pPr>
              <w:jc w:val="both"/>
              <w:rPr>
                <w:color w:val="000000"/>
                <w:sz w:val="20"/>
                <w:szCs w:val="20"/>
              </w:rPr>
            </w:pPr>
            <w:r>
              <w:rPr>
                <w:color w:val="000000"/>
                <w:sz w:val="20"/>
                <w:szCs w:val="20"/>
              </w:rPr>
              <w:t>д</w:t>
            </w:r>
            <w:r w:rsidRPr="00563A36">
              <w:rPr>
                <w:color w:val="000000"/>
                <w:sz w:val="20"/>
                <w:szCs w:val="20"/>
              </w:rPr>
              <w:t>невной стационар №</w:t>
            </w:r>
            <w:r>
              <w:rPr>
                <w:color w:val="000000"/>
                <w:sz w:val="20"/>
                <w:szCs w:val="20"/>
              </w:rPr>
              <w:t xml:space="preserve"> </w:t>
            </w:r>
            <w:r w:rsidRPr="00563A36">
              <w:rPr>
                <w:color w:val="000000"/>
                <w:sz w:val="20"/>
                <w:szCs w:val="20"/>
              </w:rPr>
              <w:t>1 (противоопухолевой лекарственной терапии)</w:t>
            </w:r>
          </w:p>
        </w:tc>
      </w:tr>
      <w:tr w:rsidR="00331B49" w:rsidRPr="00563A36" w:rsidTr="000B1BA9">
        <w:trPr>
          <w:trHeight w:val="20"/>
        </w:trPr>
        <w:tc>
          <w:tcPr>
            <w:tcW w:w="846" w:type="dxa"/>
            <w:vMerge/>
          </w:tcPr>
          <w:p w:rsidR="00331B49" w:rsidRPr="00563A36" w:rsidRDefault="00331B49" w:rsidP="00894D08">
            <w:pPr>
              <w:pStyle w:val="af9"/>
              <w:ind w:left="0"/>
              <w:contextualSpacing w:val="0"/>
              <w:jc w:val="center"/>
              <w:rPr>
                <w:sz w:val="20"/>
                <w:szCs w:val="20"/>
                <w:lang w:val="ru-RU"/>
              </w:rPr>
            </w:pPr>
          </w:p>
        </w:tc>
        <w:tc>
          <w:tcPr>
            <w:tcW w:w="4819" w:type="dxa"/>
            <w:vMerge/>
          </w:tcPr>
          <w:p w:rsidR="00331B49" w:rsidRPr="00563A36" w:rsidRDefault="00331B49" w:rsidP="00D06F12">
            <w:pPr>
              <w:pStyle w:val="af9"/>
              <w:ind w:left="0"/>
              <w:contextualSpacing w:val="0"/>
              <w:jc w:val="both"/>
              <w:rPr>
                <w:sz w:val="20"/>
                <w:szCs w:val="20"/>
                <w:lang w:val="ru-RU"/>
              </w:rPr>
            </w:pPr>
          </w:p>
        </w:tc>
        <w:tc>
          <w:tcPr>
            <w:tcW w:w="3544" w:type="dxa"/>
            <w:vMerge/>
          </w:tcPr>
          <w:p w:rsidR="00331B49" w:rsidRPr="00563A36" w:rsidRDefault="00331B49" w:rsidP="00894D08">
            <w:pPr>
              <w:pStyle w:val="af9"/>
              <w:ind w:left="0"/>
              <w:contextualSpacing w:val="0"/>
              <w:rPr>
                <w:sz w:val="20"/>
                <w:szCs w:val="20"/>
                <w:lang w:val="ru-RU"/>
              </w:rPr>
            </w:pPr>
          </w:p>
        </w:tc>
        <w:tc>
          <w:tcPr>
            <w:tcW w:w="4921" w:type="dxa"/>
            <w:tcBorders>
              <w:top w:val="single" w:sz="4" w:space="0" w:color="auto"/>
              <w:left w:val="nil"/>
              <w:bottom w:val="single" w:sz="4" w:space="0" w:color="auto"/>
              <w:right w:val="single" w:sz="4" w:space="0" w:color="auto"/>
            </w:tcBorders>
            <w:shd w:val="clear" w:color="000000" w:fill="FFFFFF"/>
          </w:tcPr>
          <w:p w:rsidR="00331B49" w:rsidRPr="00563A36" w:rsidRDefault="00331B49" w:rsidP="00D06F12">
            <w:pPr>
              <w:jc w:val="both"/>
              <w:rPr>
                <w:color w:val="000000"/>
                <w:sz w:val="20"/>
                <w:szCs w:val="20"/>
              </w:rPr>
            </w:pPr>
            <w:r>
              <w:rPr>
                <w:color w:val="000000"/>
                <w:sz w:val="20"/>
                <w:szCs w:val="20"/>
              </w:rPr>
              <w:t>д</w:t>
            </w:r>
            <w:r w:rsidRPr="00563A36">
              <w:rPr>
                <w:color w:val="000000"/>
                <w:sz w:val="20"/>
                <w:szCs w:val="20"/>
              </w:rPr>
              <w:t>невной стационар №</w:t>
            </w:r>
            <w:r>
              <w:rPr>
                <w:color w:val="000000"/>
                <w:sz w:val="20"/>
                <w:szCs w:val="20"/>
              </w:rPr>
              <w:t xml:space="preserve"> </w:t>
            </w:r>
            <w:r w:rsidRPr="00563A36">
              <w:rPr>
                <w:color w:val="000000"/>
                <w:sz w:val="20"/>
                <w:szCs w:val="20"/>
              </w:rPr>
              <w:t>2 (радиотерапевтический)</w:t>
            </w:r>
          </w:p>
        </w:tc>
      </w:tr>
      <w:tr w:rsidR="00331B49" w:rsidRPr="00563A36" w:rsidTr="000B1BA9">
        <w:trPr>
          <w:trHeight w:val="20"/>
        </w:trPr>
        <w:tc>
          <w:tcPr>
            <w:tcW w:w="846" w:type="dxa"/>
            <w:vMerge/>
          </w:tcPr>
          <w:p w:rsidR="00331B49" w:rsidRPr="00563A36" w:rsidRDefault="00331B49" w:rsidP="00894D08">
            <w:pPr>
              <w:pStyle w:val="af9"/>
              <w:ind w:left="0"/>
              <w:contextualSpacing w:val="0"/>
              <w:jc w:val="center"/>
              <w:rPr>
                <w:sz w:val="20"/>
                <w:szCs w:val="20"/>
                <w:lang w:val="ru-RU"/>
              </w:rPr>
            </w:pPr>
          </w:p>
        </w:tc>
        <w:tc>
          <w:tcPr>
            <w:tcW w:w="4819" w:type="dxa"/>
            <w:vMerge/>
          </w:tcPr>
          <w:p w:rsidR="00331B49" w:rsidRPr="00563A36" w:rsidRDefault="00331B49" w:rsidP="00D06F12">
            <w:pPr>
              <w:pStyle w:val="af9"/>
              <w:ind w:left="0"/>
              <w:contextualSpacing w:val="0"/>
              <w:jc w:val="both"/>
              <w:rPr>
                <w:sz w:val="20"/>
                <w:szCs w:val="20"/>
                <w:lang w:val="ru-RU"/>
              </w:rPr>
            </w:pPr>
          </w:p>
        </w:tc>
        <w:tc>
          <w:tcPr>
            <w:tcW w:w="3544" w:type="dxa"/>
            <w:vMerge/>
          </w:tcPr>
          <w:p w:rsidR="00331B49" w:rsidRPr="00563A36" w:rsidRDefault="00331B49" w:rsidP="00894D08">
            <w:pPr>
              <w:pStyle w:val="af9"/>
              <w:ind w:left="0"/>
              <w:contextualSpacing w:val="0"/>
              <w:rPr>
                <w:sz w:val="20"/>
                <w:szCs w:val="20"/>
                <w:lang w:val="ru-RU"/>
              </w:rPr>
            </w:pPr>
          </w:p>
        </w:tc>
        <w:tc>
          <w:tcPr>
            <w:tcW w:w="4921" w:type="dxa"/>
            <w:tcBorders>
              <w:top w:val="single" w:sz="4" w:space="0" w:color="auto"/>
              <w:left w:val="single" w:sz="4" w:space="0" w:color="auto"/>
              <w:bottom w:val="single" w:sz="4" w:space="0" w:color="auto"/>
              <w:right w:val="single" w:sz="4" w:space="0" w:color="auto"/>
            </w:tcBorders>
            <w:shd w:val="clear" w:color="000000" w:fill="FFFFFF"/>
          </w:tcPr>
          <w:p w:rsidR="00331B49" w:rsidRPr="00563A36" w:rsidRDefault="00331B49" w:rsidP="00D06F12">
            <w:pPr>
              <w:jc w:val="both"/>
              <w:rPr>
                <w:color w:val="000000"/>
                <w:sz w:val="20"/>
                <w:szCs w:val="20"/>
              </w:rPr>
            </w:pPr>
            <w:r>
              <w:rPr>
                <w:color w:val="000000"/>
                <w:sz w:val="20"/>
                <w:szCs w:val="20"/>
              </w:rPr>
              <w:t>д</w:t>
            </w:r>
            <w:r w:rsidRPr="00563A36">
              <w:rPr>
                <w:color w:val="000000"/>
                <w:sz w:val="20"/>
                <w:szCs w:val="20"/>
              </w:rPr>
              <w:t>невной стационар №</w:t>
            </w:r>
            <w:r>
              <w:rPr>
                <w:color w:val="000000"/>
                <w:sz w:val="20"/>
                <w:szCs w:val="20"/>
              </w:rPr>
              <w:t xml:space="preserve"> </w:t>
            </w:r>
            <w:r w:rsidRPr="00563A36">
              <w:rPr>
                <w:color w:val="000000"/>
                <w:sz w:val="20"/>
                <w:szCs w:val="20"/>
              </w:rPr>
              <w:t>4 (хирургических методов лечения)</w:t>
            </w:r>
          </w:p>
        </w:tc>
      </w:tr>
      <w:tr w:rsidR="00331B49" w:rsidRPr="00563A36" w:rsidTr="000B1BA9">
        <w:trPr>
          <w:trHeight w:val="20"/>
        </w:trPr>
        <w:tc>
          <w:tcPr>
            <w:tcW w:w="846" w:type="dxa"/>
            <w:vMerge/>
          </w:tcPr>
          <w:p w:rsidR="00331B49" w:rsidRPr="00563A36" w:rsidRDefault="00331B49" w:rsidP="00894D08">
            <w:pPr>
              <w:pStyle w:val="af9"/>
              <w:ind w:left="0"/>
              <w:contextualSpacing w:val="0"/>
              <w:jc w:val="center"/>
              <w:rPr>
                <w:sz w:val="20"/>
                <w:szCs w:val="20"/>
                <w:lang w:val="ru-RU"/>
              </w:rPr>
            </w:pPr>
          </w:p>
        </w:tc>
        <w:tc>
          <w:tcPr>
            <w:tcW w:w="4819" w:type="dxa"/>
            <w:vMerge/>
          </w:tcPr>
          <w:p w:rsidR="00331B49" w:rsidRPr="00563A36" w:rsidRDefault="00331B49" w:rsidP="00D06F12">
            <w:pPr>
              <w:pStyle w:val="af9"/>
              <w:ind w:left="0"/>
              <w:contextualSpacing w:val="0"/>
              <w:jc w:val="both"/>
              <w:rPr>
                <w:sz w:val="20"/>
                <w:szCs w:val="20"/>
                <w:lang w:val="ru-RU"/>
              </w:rPr>
            </w:pPr>
          </w:p>
        </w:tc>
        <w:tc>
          <w:tcPr>
            <w:tcW w:w="3544" w:type="dxa"/>
            <w:vMerge/>
          </w:tcPr>
          <w:p w:rsidR="00331B49" w:rsidRPr="00563A36" w:rsidRDefault="00331B49" w:rsidP="00894D08">
            <w:pPr>
              <w:pStyle w:val="af9"/>
              <w:ind w:left="0"/>
              <w:contextualSpacing w:val="0"/>
              <w:rPr>
                <w:sz w:val="20"/>
                <w:szCs w:val="20"/>
                <w:lang w:val="ru-RU"/>
              </w:rPr>
            </w:pPr>
          </w:p>
        </w:tc>
        <w:tc>
          <w:tcPr>
            <w:tcW w:w="4921" w:type="dxa"/>
            <w:tcBorders>
              <w:top w:val="single" w:sz="4" w:space="0" w:color="auto"/>
              <w:left w:val="single" w:sz="4" w:space="0" w:color="auto"/>
              <w:bottom w:val="single" w:sz="4" w:space="0" w:color="auto"/>
              <w:right w:val="single" w:sz="4" w:space="0" w:color="auto"/>
            </w:tcBorders>
            <w:shd w:val="clear" w:color="000000" w:fill="FFFFFF"/>
          </w:tcPr>
          <w:p w:rsidR="00331B49" w:rsidRPr="00563A36" w:rsidRDefault="00331B49" w:rsidP="00D06F12">
            <w:pPr>
              <w:jc w:val="both"/>
              <w:rPr>
                <w:color w:val="000000"/>
                <w:sz w:val="20"/>
                <w:szCs w:val="20"/>
              </w:rPr>
            </w:pPr>
            <w:r>
              <w:rPr>
                <w:color w:val="000000"/>
                <w:sz w:val="20"/>
                <w:szCs w:val="20"/>
              </w:rPr>
              <w:t>д</w:t>
            </w:r>
            <w:r w:rsidRPr="00563A36">
              <w:rPr>
                <w:color w:val="000000"/>
                <w:sz w:val="20"/>
                <w:szCs w:val="20"/>
              </w:rPr>
              <w:t>невной стационар №</w:t>
            </w:r>
            <w:r>
              <w:rPr>
                <w:color w:val="000000"/>
                <w:sz w:val="20"/>
                <w:szCs w:val="20"/>
              </w:rPr>
              <w:t xml:space="preserve"> </w:t>
            </w:r>
            <w:r w:rsidRPr="00563A36">
              <w:rPr>
                <w:color w:val="000000"/>
                <w:sz w:val="20"/>
                <w:szCs w:val="20"/>
              </w:rPr>
              <w:t>5 (медицинской реабилитации)</w:t>
            </w:r>
          </w:p>
        </w:tc>
      </w:tr>
      <w:tr w:rsidR="00331B49" w:rsidRPr="00563A36" w:rsidTr="000B1BA9">
        <w:trPr>
          <w:trHeight w:val="20"/>
        </w:trPr>
        <w:tc>
          <w:tcPr>
            <w:tcW w:w="846" w:type="dxa"/>
            <w:vMerge/>
          </w:tcPr>
          <w:p w:rsidR="00331B49" w:rsidRPr="00563A36" w:rsidRDefault="00331B49" w:rsidP="00894D08">
            <w:pPr>
              <w:pStyle w:val="af9"/>
              <w:ind w:left="0"/>
              <w:contextualSpacing w:val="0"/>
              <w:jc w:val="center"/>
              <w:rPr>
                <w:sz w:val="20"/>
                <w:szCs w:val="20"/>
                <w:lang w:val="ru-RU"/>
              </w:rPr>
            </w:pPr>
          </w:p>
        </w:tc>
        <w:tc>
          <w:tcPr>
            <w:tcW w:w="4819" w:type="dxa"/>
            <w:vMerge/>
          </w:tcPr>
          <w:p w:rsidR="00331B49" w:rsidRPr="00563A36" w:rsidRDefault="00331B49" w:rsidP="00D06F12">
            <w:pPr>
              <w:pStyle w:val="af9"/>
              <w:ind w:left="0"/>
              <w:contextualSpacing w:val="0"/>
              <w:jc w:val="both"/>
              <w:rPr>
                <w:sz w:val="20"/>
                <w:szCs w:val="20"/>
                <w:lang w:val="ru-RU"/>
              </w:rPr>
            </w:pPr>
          </w:p>
        </w:tc>
        <w:tc>
          <w:tcPr>
            <w:tcW w:w="3544" w:type="dxa"/>
            <w:vMerge/>
          </w:tcPr>
          <w:p w:rsidR="00331B49" w:rsidRPr="00563A36" w:rsidRDefault="00331B49" w:rsidP="00894D08">
            <w:pPr>
              <w:pStyle w:val="af9"/>
              <w:ind w:left="0"/>
              <w:contextualSpacing w:val="0"/>
              <w:rPr>
                <w:sz w:val="20"/>
                <w:szCs w:val="20"/>
                <w:lang w:val="ru-RU"/>
              </w:rPr>
            </w:pPr>
          </w:p>
        </w:tc>
        <w:tc>
          <w:tcPr>
            <w:tcW w:w="4921" w:type="dxa"/>
            <w:tcBorders>
              <w:top w:val="single" w:sz="4" w:space="0" w:color="auto"/>
              <w:left w:val="single" w:sz="4" w:space="0" w:color="auto"/>
              <w:bottom w:val="single" w:sz="4" w:space="0" w:color="auto"/>
              <w:right w:val="single" w:sz="4" w:space="0" w:color="auto"/>
            </w:tcBorders>
            <w:shd w:val="clear" w:color="000000" w:fill="FFFFFF"/>
          </w:tcPr>
          <w:p w:rsidR="00331B49" w:rsidRPr="00563A36" w:rsidRDefault="00331B49" w:rsidP="00D06F12">
            <w:pPr>
              <w:jc w:val="both"/>
              <w:rPr>
                <w:color w:val="000000"/>
                <w:sz w:val="20"/>
                <w:szCs w:val="20"/>
              </w:rPr>
            </w:pPr>
            <w:r>
              <w:rPr>
                <w:color w:val="000000"/>
                <w:sz w:val="20"/>
                <w:szCs w:val="20"/>
              </w:rPr>
              <w:t>о</w:t>
            </w:r>
            <w:r w:rsidRPr="00563A36">
              <w:rPr>
                <w:color w:val="000000"/>
                <w:sz w:val="20"/>
                <w:szCs w:val="20"/>
              </w:rPr>
              <w:t>нкологическое отделение № 15 (абдоминальной и торакальной онкологии)</w:t>
            </w:r>
          </w:p>
        </w:tc>
      </w:tr>
      <w:tr w:rsidR="00331B49" w:rsidRPr="00563A36" w:rsidTr="000B1BA9">
        <w:trPr>
          <w:trHeight w:val="20"/>
        </w:trPr>
        <w:tc>
          <w:tcPr>
            <w:tcW w:w="846" w:type="dxa"/>
            <w:vMerge/>
          </w:tcPr>
          <w:p w:rsidR="00331B49" w:rsidRPr="00563A36" w:rsidRDefault="00331B49" w:rsidP="00894D08">
            <w:pPr>
              <w:pStyle w:val="af9"/>
              <w:ind w:left="0"/>
              <w:contextualSpacing w:val="0"/>
              <w:jc w:val="center"/>
              <w:rPr>
                <w:sz w:val="20"/>
                <w:szCs w:val="20"/>
                <w:lang w:val="ru-RU"/>
              </w:rPr>
            </w:pPr>
          </w:p>
        </w:tc>
        <w:tc>
          <w:tcPr>
            <w:tcW w:w="4819" w:type="dxa"/>
            <w:vMerge/>
          </w:tcPr>
          <w:p w:rsidR="00331B49" w:rsidRPr="00563A36" w:rsidRDefault="00331B49" w:rsidP="00D06F12">
            <w:pPr>
              <w:pStyle w:val="af9"/>
              <w:ind w:left="0"/>
              <w:contextualSpacing w:val="0"/>
              <w:jc w:val="both"/>
              <w:rPr>
                <w:sz w:val="20"/>
                <w:szCs w:val="20"/>
                <w:lang w:val="ru-RU"/>
              </w:rPr>
            </w:pPr>
          </w:p>
        </w:tc>
        <w:tc>
          <w:tcPr>
            <w:tcW w:w="3544" w:type="dxa"/>
            <w:vMerge/>
          </w:tcPr>
          <w:p w:rsidR="00331B49" w:rsidRPr="00563A36" w:rsidRDefault="00331B49" w:rsidP="00894D08">
            <w:pPr>
              <w:pStyle w:val="af9"/>
              <w:ind w:left="0"/>
              <w:contextualSpacing w:val="0"/>
              <w:rPr>
                <w:sz w:val="20"/>
                <w:szCs w:val="20"/>
                <w:lang w:val="ru-RU"/>
              </w:rPr>
            </w:pPr>
          </w:p>
        </w:tc>
        <w:tc>
          <w:tcPr>
            <w:tcW w:w="4921" w:type="dxa"/>
            <w:tcBorders>
              <w:top w:val="single" w:sz="4" w:space="0" w:color="auto"/>
              <w:left w:val="single" w:sz="4" w:space="0" w:color="auto"/>
              <w:bottom w:val="single" w:sz="4" w:space="0" w:color="auto"/>
              <w:right w:val="single" w:sz="4" w:space="0" w:color="auto"/>
            </w:tcBorders>
            <w:shd w:val="clear" w:color="000000" w:fill="FFFFFF"/>
          </w:tcPr>
          <w:p w:rsidR="00331B49" w:rsidRPr="00563A36" w:rsidRDefault="00331B49" w:rsidP="00D06F12">
            <w:pPr>
              <w:jc w:val="both"/>
              <w:rPr>
                <w:color w:val="000000"/>
                <w:sz w:val="20"/>
                <w:szCs w:val="20"/>
              </w:rPr>
            </w:pPr>
            <w:r>
              <w:rPr>
                <w:color w:val="000000"/>
                <w:sz w:val="20"/>
                <w:szCs w:val="20"/>
              </w:rPr>
              <w:t>д</w:t>
            </w:r>
            <w:r w:rsidRPr="00563A36">
              <w:rPr>
                <w:color w:val="000000"/>
                <w:sz w:val="20"/>
                <w:szCs w:val="20"/>
              </w:rPr>
              <w:t>невной стационар №</w:t>
            </w:r>
            <w:r>
              <w:rPr>
                <w:color w:val="000000"/>
                <w:sz w:val="20"/>
                <w:szCs w:val="20"/>
              </w:rPr>
              <w:t xml:space="preserve"> </w:t>
            </w:r>
            <w:r w:rsidRPr="00563A36">
              <w:rPr>
                <w:color w:val="000000"/>
                <w:sz w:val="20"/>
                <w:szCs w:val="20"/>
              </w:rPr>
              <w:t>6 (противоопухолевой лекарственной терапии)</w:t>
            </w:r>
          </w:p>
        </w:tc>
      </w:tr>
      <w:tr w:rsidR="00331B49" w:rsidRPr="00563A36" w:rsidTr="000B1BA9">
        <w:trPr>
          <w:trHeight w:val="20"/>
        </w:trPr>
        <w:tc>
          <w:tcPr>
            <w:tcW w:w="846" w:type="dxa"/>
            <w:vMerge/>
          </w:tcPr>
          <w:p w:rsidR="00331B49" w:rsidRPr="00563A36" w:rsidRDefault="00331B49" w:rsidP="00894D08">
            <w:pPr>
              <w:pStyle w:val="af9"/>
              <w:ind w:left="0"/>
              <w:contextualSpacing w:val="0"/>
              <w:jc w:val="center"/>
              <w:rPr>
                <w:sz w:val="20"/>
                <w:szCs w:val="20"/>
                <w:lang w:val="ru-RU"/>
              </w:rPr>
            </w:pPr>
          </w:p>
        </w:tc>
        <w:tc>
          <w:tcPr>
            <w:tcW w:w="4819" w:type="dxa"/>
            <w:vMerge/>
          </w:tcPr>
          <w:p w:rsidR="00331B49" w:rsidRPr="00563A36" w:rsidRDefault="00331B49" w:rsidP="00D06F12">
            <w:pPr>
              <w:pStyle w:val="af9"/>
              <w:ind w:left="0"/>
              <w:contextualSpacing w:val="0"/>
              <w:jc w:val="both"/>
              <w:rPr>
                <w:sz w:val="20"/>
                <w:szCs w:val="20"/>
                <w:lang w:val="ru-RU"/>
              </w:rPr>
            </w:pPr>
          </w:p>
        </w:tc>
        <w:tc>
          <w:tcPr>
            <w:tcW w:w="3544" w:type="dxa"/>
            <w:vMerge/>
          </w:tcPr>
          <w:p w:rsidR="00331B49" w:rsidRPr="00563A36" w:rsidRDefault="00331B49" w:rsidP="00894D08">
            <w:pPr>
              <w:pStyle w:val="af9"/>
              <w:ind w:left="0"/>
              <w:contextualSpacing w:val="0"/>
              <w:rPr>
                <w:sz w:val="20"/>
                <w:szCs w:val="20"/>
                <w:lang w:val="ru-RU"/>
              </w:rPr>
            </w:pPr>
          </w:p>
        </w:tc>
        <w:tc>
          <w:tcPr>
            <w:tcW w:w="4921" w:type="dxa"/>
            <w:tcBorders>
              <w:top w:val="single" w:sz="4" w:space="0" w:color="auto"/>
              <w:left w:val="single" w:sz="4" w:space="0" w:color="auto"/>
              <w:bottom w:val="single" w:sz="4" w:space="0" w:color="auto"/>
              <w:right w:val="single" w:sz="4" w:space="0" w:color="auto"/>
            </w:tcBorders>
            <w:shd w:val="clear" w:color="000000" w:fill="FFFFFF"/>
          </w:tcPr>
          <w:p w:rsidR="00331B49" w:rsidRPr="00563A36" w:rsidRDefault="00331B49" w:rsidP="00D06F12">
            <w:pPr>
              <w:jc w:val="both"/>
              <w:rPr>
                <w:color w:val="000000"/>
                <w:sz w:val="20"/>
                <w:szCs w:val="20"/>
              </w:rPr>
            </w:pPr>
            <w:r>
              <w:rPr>
                <w:color w:val="000000"/>
                <w:sz w:val="20"/>
                <w:szCs w:val="20"/>
              </w:rPr>
              <w:t>д</w:t>
            </w:r>
            <w:r w:rsidRPr="00563A36">
              <w:rPr>
                <w:color w:val="000000"/>
                <w:sz w:val="20"/>
                <w:szCs w:val="20"/>
              </w:rPr>
              <w:t>невной стационар №</w:t>
            </w:r>
            <w:r>
              <w:rPr>
                <w:color w:val="000000"/>
                <w:sz w:val="20"/>
                <w:szCs w:val="20"/>
              </w:rPr>
              <w:t xml:space="preserve"> </w:t>
            </w:r>
            <w:r w:rsidRPr="00563A36">
              <w:rPr>
                <w:color w:val="000000"/>
                <w:sz w:val="20"/>
                <w:szCs w:val="20"/>
              </w:rPr>
              <w:t>8 (радиотерапевтический)</w:t>
            </w:r>
          </w:p>
        </w:tc>
      </w:tr>
      <w:tr w:rsidR="00331B49" w:rsidRPr="00563A36" w:rsidTr="000B1BA9">
        <w:trPr>
          <w:trHeight w:val="20"/>
        </w:trPr>
        <w:tc>
          <w:tcPr>
            <w:tcW w:w="846" w:type="dxa"/>
            <w:vMerge/>
          </w:tcPr>
          <w:p w:rsidR="00331B49" w:rsidRPr="00563A36" w:rsidRDefault="00331B49" w:rsidP="00894D08">
            <w:pPr>
              <w:pStyle w:val="af9"/>
              <w:ind w:left="0"/>
              <w:contextualSpacing w:val="0"/>
              <w:jc w:val="center"/>
              <w:rPr>
                <w:sz w:val="20"/>
                <w:szCs w:val="20"/>
                <w:lang w:val="ru-RU"/>
              </w:rPr>
            </w:pPr>
          </w:p>
        </w:tc>
        <w:tc>
          <w:tcPr>
            <w:tcW w:w="4819" w:type="dxa"/>
            <w:vMerge/>
          </w:tcPr>
          <w:p w:rsidR="00331B49" w:rsidRPr="00563A36" w:rsidRDefault="00331B49" w:rsidP="00D06F12">
            <w:pPr>
              <w:pStyle w:val="af9"/>
              <w:ind w:left="0"/>
              <w:contextualSpacing w:val="0"/>
              <w:jc w:val="both"/>
              <w:rPr>
                <w:sz w:val="20"/>
                <w:szCs w:val="20"/>
                <w:lang w:val="ru-RU"/>
              </w:rPr>
            </w:pPr>
          </w:p>
        </w:tc>
        <w:tc>
          <w:tcPr>
            <w:tcW w:w="3544" w:type="dxa"/>
            <w:vMerge/>
          </w:tcPr>
          <w:p w:rsidR="00331B49" w:rsidRPr="00563A36" w:rsidRDefault="00331B49" w:rsidP="00894D08">
            <w:pPr>
              <w:pStyle w:val="af9"/>
              <w:ind w:left="0"/>
              <w:contextualSpacing w:val="0"/>
              <w:rPr>
                <w:sz w:val="20"/>
                <w:szCs w:val="20"/>
                <w:lang w:val="ru-RU"/>
              </w:rPr>
            </w:pPr>
          </w:p>
        </w:tc>
        <w:tc>
          <w:tcPr>
            <w:tcW w:w="4921" w:type="dxa"/>
            <w:tcBorders>
              <w:top w:val="single" w:sz="4" w:space="0" w:color="auto"/>
              <w:left w:val="nil"/>
              <w:bottom w:val="single" w:sz="4" w:space="0" w:color="auto"/>
              <w:right w:val="single" w:sz="4" w:space="0" w:color="auto"/>
            </w:tcBorders>
            <w:shd w:val="clear" w:color="000000" w:fill="FFFFFF"/>
          </w:tcPr>
          <w:p w:rsidR="00331B49" w:rsidRPr="00563A36" w:rsidRDefault="00331B49" w:rsidP="00D06F12">
            <w:pPr>
              <w:jc w:val="both"/>
              <w:rPr>
                <w:color w:val="000000"/>
                <w:sz w:val="20"/>
                <w:szCs w:val="20"/>
              </w:rPr>
            </w:pPr>
            <w:r>
              <w:rPr>
                <w:color w:val="000000"/>
                <w:sz w:val="20"/>
                <w:szCs w:val="20"/>
              </w:rPr>
              <w:t>д</w:t>
            </w:r>
            <w:r w:rsidRPr="00563A36">
              <w:rPr>
                <w:color w:val="000000"/>
                <w:sz w:val="20"/>
                <w:szCs w:val="20"/>
              </w:rPr>
              <w:t>невной стационар №</w:t>
            </w:r>
            <w:r>
              <w:rPr>
                <w:color w:val="000000"/>
                <w:sz w:val="20"/>
                <w:szCs w:val="20"/>
              </w:rPr>
              <w:t xml:space="preserve"> </w:t>
            </w:r>
            <w:r w:rsidRPr="00563A36">
              <w:rPr>
                <w:color w:val="000000"/>
                <w:sz w:val="20"/>
                <w:szCs w:val="20"/>
              </w:rPr>
              <w:t>9 (хирургических методов лечения)</w:t>
            </w:r>
          </w:p>
        </w:tc>
      </w:tr>
      <w:tr w:rsidR="00331B49" w:rsidRPr="00563A36" w:rsidTr="000B1BA9">
        <w:trPr>
          <w:trHeight w:val="20"/>
        </w:trPr>
        <w:tc>
          <w:tcPr>
            <w:tcW w:w="846" w:type="dxa"/>
            <w:vMerge/>
          </w:tcPr>
          <w:p w:rsidR="00331B49" w:rsidRPr="00563A36" w:rsidRDefault="00331B49" w:rsidP="00894D08">
            <w:pPr>
              <w:pStyle w:val="af9"/>
              <w:ind w:left="0"/>
              <w:contextualSpacing w:val="0"/>
              <w:jc w:val="center"/>
              <w:rPr>
                <w:sz w:val="20"/>
                <w:szCs w:val="20"/>
                <w:lang w:val="ru-RU"/>
              </w:rPr>
            </w:pPr>
          </w:p>
        </w:tc>
        <w:tc>
          <w:tcPr>
            <w:tcW w:w="4819" w:type="dxa"/>
            <w:vMerge/>
          </w:tcPr>
          <w:p w:rsidR="00331B49" w:rsidRPr="00563A36" w:rsidRDefault="00331B49" w:rsidP="00D06F12">
            <w:pPr>
              <w:pStyle w:val="af9"/>
              <w:ind w:left="0"/>
              <w:contextualSpacing w:val="0"/>
              <w:jc w:val="both"/>
              <w:rPr>
                <w:sz w:val="20"/>
                <w:szCs w:val="20"/>
                <w:lang w:val="ru-RU"/>
              </w:rPr>
            </w:pPr>
          </w:p>
        </w:tc>
        <w:tc>
          <w:tcPr>
            <w:tcW w:w="3544" w:type="dxa"/>
            <w:vMerge/>
          </w:tcPr>
          <w:p w:rsidR="00331B49" w:rsidRPr="00563A36" w:rsidRDefault="00331B49" w:rsidP="00894D08">
            <w:pPr>
              <w:pStyle w:val="af9"/>
              <w:ind w:left="0"/>
              <w:contextualSpacing w:val="0"/>
              <w:rPr>
                <w:sz w:val="20"/>
                <w:szCs w:val="20"/>
                <w:lang w:val="ru-RU"/>
              </w:rPr>
            </w:pPr>
          </w:p>
        </w:tc>
        <w:tc>
          <w:tcPr>
            <w:tcW w:w="4921" w:type="dxa"/>
            <w:tcBorders>
              <w:top w:val="single" w:sz="4" w:space="0" w:color="auto"/>
              <w:left w:val="single" w:sz="4" w:space="0" w:color="auto"/>
              <w:bottom w:val="single" w:sz="4" w:space="0" w:color="auto"/>
              <w:right w:val="single" w:sz="4" w:space="0" w:color="auto"/>
            </w:tcBorders>
            <w:shd w:val="clear" w:color="000000" w:fill="FFFFFF"/>
          </w:tcPr>
          <w:p w:rsidR="00331B49" w:rsidRPr="00563A36" w:rsidRDefault="00331B49" w:rsidP="00D06F12">
            <w:pPr>
              <w:jc w:val="both"/>
              <w:rPr>
                <w:color w:val="000000"/>
                <w:sz w:val="20"/>
                <w:szCs w:val="20"/>
              </w:rPr>
            </w:pPr>
            <w:r>
              <w:rPr>
                <w:color w:val="000000"/>
                <w:sz w:val="20"/>
                <w:szCs w:val="20"/>
              </w:rPr>
              <w:t>о</w:t>
            </w:r>
            <w:r w:rsidRPr="00563A36">
              <w:rPr>
                <w:color w:val="000000"/>
                <w:sz w:val="20"/>
                <w:szCs w:val="20"/>
              </w:rPr>
              <w:t>нкологическое отделение № 13 (абдоминальной онкологии № 5)</w:t>
            </w:r>
          </w:p>
        </w:tc>
      </w:tr>
      <w:tr w:rsidR="00331B49" w:rsidRPr="00563A36" w:rsidTr="000B1BA9">
        <w:trPr>
          <w:trHeight w:val="20"/>
        </w:trPr>
        <w:tc>
          <w:tcPr>
            <w:tcW w:w="846" w:type="dxa"/>
            <w:vMerge/>
          </w:tcPr>
          <w:p w:rsidR="00331B49" w:rsidRPr="00563A36" w:rsidRDefault="00331B49" w:rsidP="00894D08">
            <w:pPr>
              <w:pStyle w:val="af9"/>
              <w:ind w:left="0"/>
              <w:contextualSpacing w:val="0"/>
              <w:jc w:val="center"/>
              <w:rPr>
                <w:sz w:val="20"/>
                <w:szCs w:val="20"/>
                <w:lang w:val="ru-RU"/>
              </w:rPr>
            </w:pPr>
          </w:p>
        </w:tc>
        <w:tc>
          <w:tcPr>
            <w:tcW w:w="4819" w:type="dxa"/>
            <w:vMerge/>
          </w:tcPr>
          <w:p w:rsidR="00331B49" w:rsidRPr="00563A36" w:rsidRDefault="00331B49" w:rsidP="00D06F12">
            <w:pPr>
              <w:pStyle w:val="af9"/>
              <w:ind w:left="0"/>
              <w:contextualSpacing w:val="0"/>
              <w:jc w:val="both"/>
              <w:rPr>
                <w:sz w:val="20"/>
                <w:szCs w:val="20"/>
                <w:lang w:val="ru-RU"/>
              </w:rPr>
            </w:pPr>
          </w:p>
        </w:tc>
        <w:tc>
          <w:tcPr>
            <w:tcW w:w="3544" w:type="dxa"/>
            <w:vMerge/>
          </w:tcPr>
          <w:p w:rsidR="00331B49" w:rsidRPr="00563A36" w:rsidRDefault="00331B49" w:rsidP="00894D08">
            <w:pPr>
              <w:pStyle w:val="af9"/>
              <w:ind w:left="0"/>
              <w:contextualSpacing w:val="0"/>
              <w:rPr>
                <w:sz w:val="20"/>
                <w:szCs w:val="20"/>
                <w:lang w:val="ru-RU"/>
              </w:rPr>
            </w:pPr>
          </w:p>
        </w:tc>
        <w:tc>
          <w:tcPr>
            <w:tcW w:w="4921" w:type="dxa"/>
            <w:tcBorders>
              <w:top w:val="single" w:sz="4" w:space="0" w:color="auto"/>
              <w:left w:val="single" w:sz="4" w:space="0" w:color="auto"/>
              <w:bottom w:val="single" w:sz="4" w:space="0" w:color="auto"/>
              <w:right w:val="single" w:sz="4" w:space="0" w:color="auto"/>
            </w:tcBorders>
            <w:shd w:val="clear" w:color="000000" w:fill="FFFFFF"/>
          </w:tcPr>
          <w:p w:rsidR="00331B49" w:rsidRPr="00563A36" w:rsidRDefault="00331B49" w:rsidP="00D06F12">
            <w:pPr>
              <w:jc w:val="both"/>
              <w:rPr>
                <w:color w:val="000000"/>
                <w:sz w:val="20"/>
                <w:szCs w:val="20"/>
              </w:rPr>
            </w:pPr>
            <w:r>
              <w:rPr>
                <w:color w:val="000000"/>
                <w:sz w:val="20"/>
                <w:szCs w:val="20"/>
              </w:rPr>
              <w:t>о</w:t>
            </w:r>
            <w:r w:rsidRPr="00563A36">
              <w:rPr>
                <w:color w:val="000000"/>
                <w:sz w:val="20"/>
                <w:szCs w:val="20"/>
              </w:rPr>
              <w:t>тделение паллиативной медицинской помощи взрослым</w:t>
            </w:r>
          </w:p>
        </w:tc>
      </w:tr>
      <w:tr w:rsidR="00331B49" w:rsidRPr="00563A36" w:rsidTr="000B1BA9">
        <w:trPr>
          <w:trHeight w:val="20"/>
        </w:trPr>
        <w:tc>
          <w:tcPr>
            <w:tcW w:w="846" w:type="dxa"/>
            <w:vMerge/>
          </w:tcPr>
          <w:p w:rsidR="00331B49" w:rsidRPr="00563A36" w:rsidRDefault="00331B49" w:rsidP="00894D08">
            <w:pPr>
              <w:pStyle w:val="af9"/>
              <w:ind w:left="0"/>
              <w:contextualSpacing w:val="0"/>
              <w:jc w:val="center"/>
              <w:rPr>
                <w:sz w:val="20"/>
                <w:szCs w:val="20"/>
                <w:lang w:val="ru-RU"/>
              </w:rPr>
            </w:pPr>
          </w:p>
        </w:tc>
        <w:tc>
          <w:tcPr>
            <w:tcW w:w="4819" w:type="dxa"/>
            <w:vMerge/>
          </w:tcPr>
          <w:p w:rsidR="00331B49" w:rsidRPr="00563A36" w:rsidRDefault="00331B49" w:rsidP="00D06F12">
            <w:pPr>
              <w:pStyle w:val="af9"/>
              <w:ind w:left="0"/>
              <w:contextualSpacing w:val="0"/>
              <w:jc w:val="both"/>
              <w:rPr>
                <w:sz w:val="20"/>
                <w:szCs w:val="20"/>
                <w:lang w:val="ru-RU"/>
              </w:rPr>
            </w:pPr>
          </w:p>
        </w:tc>
        <w:tc>
          <w:tcPr>
            <w:tcW w:w="3544" w:type="dxa"/>
            <w:vMerge/>
          </w:tcPr>
          <w:p w:rsidR="00331B49" w:rsidRPr="00563A36" w:rsidRDefault="00331B49" w:rsidP="00894D08">
            <w:pPr>
              <w:pStyle w:val="af9"/>
              <w:ind w:left="0"/>
              <w:contextualSpacing w:val="0"/>
              <w:rPr>
                <w:sz w:val="20"/>
                <w:szCs w:val="20"/>
                <w:lang w:val="ru-RU"/>
              </w:rPr>
            </w:pPr>
          </w:p>
        </w:tc>
        <w:tc>
          <w:tcPr>
            <w:tcW w:w="4921" w:type="dxa"/>
            <w:tcBorders>
              <w:top w:val="single" w:sz="4" w:space="0" w:color="auto"/>
              <w:left w:val="single" w:sz="4" w:space="0" w:color="auto"/>
              <w:bottom w:val="single" w:sz="4" w:space="0" w:color="auto"/>
              <w:right w:val="single" w:sz="4" w:space="0" w:color="auto"/>
            </w:tcBorders>
            <w:shd w:val="clear" w:color="000000" w:fill="FFFFFF"/>
          </w:tcPr>
          <w:p w:rsidR="00331B49" w:rsidRPr="00563A36" w:rsidRDefault="00331B49" w:rsidP="00D06F12">
            <w:pPr>
              <w:jc w:val="both"/>
              <w:rPr>
                <w:color w:val="000000"/>
                <w:sz w:val="20"/>
                <w:szCs w:val="20"/>
              </w:rPr>
            </w:pPr>
            <w:r>
              <w:rPr>
                <w:color w:val="000000"/>
                <w:sz w:val="20"/>
                <w:szCs w:val="20"/>
              </w:rPr>
              <w:t>д</w:t>
            </w:r>
            <w:r w:rsidRPr="00563A36">
              <w:rPr>
                <w:color w:val="000000"/>
                <w:sz w:val="20"/>
                <w:szCs w:val="20"/>
              </w:rPr>
              <w:t>невной стационар №</w:t>
            </w:r>
            <w:r>
              <w:rPr>
                <w:color w:val="000000"/>
                <w:sz w:val="20"/>
                <w:szCs w:val="20"/>
              </w:rPr>
              <w:t xml:space="preserve"> </w:t>
            </w:r>
            <w:r w:rsidRPr="00563A36">
              <w:rPr>
                <w:color w:val="000000"/>
                <w:sz w:val="20"/>
                <w:szCs w:val="20"/>
              </w:rPr>
              <w:t>3 (противоопухолевой лекарственной терапии)</w:t>
            </w:r>
          </w:p>
        </w:tc>
      </w:tr>
      <w:tr w:rsidR="00331B49" w:rsidRPr="00563A36" w:rsidTr="000B1BA9">
        <w:trPr>
          <w:trHeight w:val="20"/>
        </w:trPr>
        <w:tc>
          <w:tcPr>
            <w:tcW w:w="846" w:type="dxa"/>
            <w:vMerge/>
          </w:tcPr>
          <w:p w:rsidR="00331B49" w:rsidRPr="00563A36" w:rsidRDefault="00331B49" w:rsidP="00894D08">
            <w:pPr>
              <w:pStyle w:val="af9"/>
              <w:ind w:left="0"/>
              <w:contextualSpacing w:val="0"/>
              <w:jc w:val="center"/>
              <w:rPr>
                <w:sz w:val="20"/>
                <w:szCs w:val="20"/>
                <w:lang w:val="ru-RU"/>
              </w:rPr>
            </w:pPr>
          </w:p>
        </w:tc>
        <w:tc>
          <w:tcPr>
            <w:tcW w:w="4819" w:type="dxa"/>
            <w:vMerge/>
          </w:tcPr>
          <w:p w:rsidR="00331B49" w:rsidRPr="00563A36" w:rsidRDefault="00331B49" w:rsidP="00D06F12">
            <w:pPr>
              <w:pStyle w:val="af9"/>
              <w:ind w:left="0"/>
              <w:contextualSpacing w:val="0"/>
              <w:jc w:val="both"/>
              <w:rPr>
                <w:sz w:val="20"/>
                <w:szCs w:val="20"/>
                <w:lang w:val="ru-RU"/>
              </w:rPr>
            </w:pPr>
          </w:p>
        </w:tc>
        <w:tc>
          <w:tcPr>
            <w:tcW w:w="3544" w:type="dxa"/>
            <w:vMerge/>
          </w:tcPr>
          <w:p w:rsidR="00331B49" w:rsidRPr="00563A36" w:rsidRDefault="00331B49" w:rsidP="00894D08">
            <w:pPr>
              <w:pStyle w:val="af9"/>
              <w:ind w:left="0"/>
              <w:contextualSpacing w:val="0"/>
              <w:rPr>
                <w:sz w:val="20"/>
                <w:szCs w:val="20"/>
                <w:lang w:val="ru-RU"/>
              </w:rPr>
            </w:pPr>
          </w:p>
        </w:tc>
        <w:tc>
          <w:tcPr>
            <w:tcW w:w="4921" w:type="dxa"/>
            <w:tcBorders>
              <w:top w:val="single" w:sz="4" w:space="0" w:color="auto"/>
              <w:left w:val="nil"/>
              <w:bottom w:val="single" w:sz="4" w:space="0" w:color="auto"/>
              <w:right w:val="single" w:sz="4" w:space="0" w:color="auto"/>
            </w:tcBorders>
            <w:shd w:val="clear" w:color="000000" w:fill="FFFFFF"/>
          </w:tcPr>
          <w:p w:rsidR="00331B49" w:rsidRPr="00563A36" w:rsidRDefault="00331B49" w:rsidP="00D06F12">
            <w:pPr>
              <w:jc w:val="both"/>
              <w:rPr>
                <w:color w:val="000000"/>
                <w:sz w:val="20"/>
                <w:szCs w:val="20"/>
              </w:rPr>
            </w:pPr>
            <w:r>
              <w:rPr>
                <w:color w:val="000000"/>
                <w:sz w:val="20"/>
                <w:szCs w:val="20"/>
              </w:rPr>
              <w:t>д</w:t>
            </w:r>
            <w:r w:rsidRPr="00563A36">
              <w:rPr>
                <w:color w:val="000000"/>
                <w:sz w:val="20"/>
                <w:szCs w:val="20"/>
              </w:rPr>
              <w:t>невной стационар №</w:t>
            </w:r>
            <w:r>
              <w:rPr>
                <w:color w:val="000000"/>
                <w:sz w:val="20"/>
                <w:szCs w:val="20"/>
              </w:rPr>
              <w:t xml:space="preserve"> </w:t>
            </w:r>
            <w:r w:rsidRPr="00563A36">
              <w:rPr>
                <w:color w:val="000000"/>
                <w:sz w:val="20"/>
                <w:szCs w:val="20"/>
              </w:rPr>
              <w:t>7 (радиотерапевтический)</w:t>
            </w:r>
          </w:p>
        </w:tc>
      </w:tr>
      <w:tr w:rsidR="00331B49" w:rsidRPr="00563A36" w:rsidTr="000B1BA9">
        <w:trPr>
          <w:trHeight w:val="20"/>
        </w:trPr>
        <w:tc>
          <w:tcPr>
            <w:tcW w:w="846" w:type="dxa"/>
            <w:vMerge/>
          </w:tcPr>
          <w:p w:rsidR="00331B49" w:rsidRPr="00563A36" w:rsidRDefault="00331B49" w:rsidP="00894D08">
            <w:pPr>
              <w:pStyle w:val="af9"/>
              <w:ind w:left="0"/>
              <w:contextualSpacing w:val="0"/>
              <w:jc w:val="center"/>
              <w:rPr>
                <w:sz w:val="20"/>
                <w:szCs w:val="20"/>
                <w:lang w:val="ru-RU"/>
              </w:rPr>
            </w:pPr>
          </w:p>
        </w:tc>
        <w:tc>
          <w:tcPr>
            <w:tcW w:w="4819" w:type="dxa"/>
            <w:vMerge/>
          </w:tcPr>
          <w:p w:rsidR="00331B49" w:rsidRPr="00563A36" w:rsidRDefault="00331B49" w:rsidP="00D06F12">
            <w:pPr>
              <w:pStyle w:val="af9"/>
              <w:ind w:left="0"/>
              <w:contextualSpacing w:val="0"/>
              <w:jc w:val="both"/>
              <w:rPr>
                <w:sz w:val="20"/>
                <w:szCs w:val="20"/>
                <w:lang w:val="ru-RU"/>
              </w:rPr>
            </w:pPr>
          </w:p>
        </w:tc>
        <w:tc>
          <w:tcPr>
            <w:tcW w:w="3544" w:type="dxa"/>
            <w:vMerge/>
          </w:tcPr>
          <w:p w:rsidR="00331B49" w:rsidRPr="00563A36" w:rsidRDefault="00331B49" w:rsidP="00894D08">
            <w:pPr>
              <w:pStyle w:val="af9"/>
              <w:ind w:left="0"/>
              <w:contextualSpacing w:val="0"/>
              <w:rPr>
                <w:sz w:val="20"/>
                <w:szCs w:val="20"/>
                <w:lang w:val="ru-RU"/>
              </w:rPr>
            </w:pPr>
          </w:p>
        </w:tc>
        <w:tc>
          <w:tcPr>
            <w:tcW w:w="4921" w:type="dxa"/>
            <w:tcBorders>
              <w:top w:val="single" w:sz="4" w:space="0" w:color="auto"/>
              <w:left w:val="single" w:sz="4" w:space="0" w:color="auto"/>
              <w:bottom w:val="single" w:sz="4" w:space="0" w:color="auto"/>
              <w:right w:val="single" w:sz="4" w:space="0" w:color="auto"/>
            </w:tcBorders>
            <w:shd w:val="clear" w:color="000000" w:fill="FFFFFF"/>
          </w:tcPr>
          <w:p w:rsidR="00331B49" w:rsidRPr="00563A36" w:rsidRDefault="00331B49" w:rsidP="00D06F12">
            <w:pPr>
              <w:jc w:val="both"/>
              <w:rPr>
                <w:color w:val="000000"/>
                <w:sz w:val="20"/>
                <w:szCs w:val="20"/>
              </w:rPr>
            </w:pPr>
            <w:r>
              <w:rPr>
                <w:color w:val="000000"/>
                <w:sz w:val="20"/>
                <w:szCs w:val="20"/>
              </w:rPr>
              <w:t>д</w:t>
            </w:r>
            <w:r w:rsidRPr="00563A36">
              <w:rPr>
                <w:color w:val="000000"/>
                <w:sz w:val="20"/>
                <w:szCs w:val="20"/>
              </w:rPr>
              <w:t>невной стационар №</w:t>
            </w:r>
            <w:r>
              <w:rPr>
                <w:color w:val="000000"/>
                <w:sz w:val="20"/>
                <w:szCs w:val="20"/>
              </w:rPr>
              <w:t xml:space="preserve"> </w:t>
            </w:r>
            <w:r w:rsidRPr="00563A36">
              <w:rPr>
                <w:color w:val="000000"/>
                <w:sz w:val="20"/>
                <w:szCs w:val="20"/>
              </w:rPr>
              <w:t>10 (противоопухолевой лекарственной терапии)</w:t>
            </w:r>
          </w:p>
        </w:tc>
      </w:tr>
      <w:tr w:rsidR="00894D08" w:rsidRPr="00563A36" w:rsidTr="000B1BA9">
        <w:trPr>
          <w:trHeight w:val="20"/>
        </w:trPr>
        <w:tc>
          <w:tcPr>
            <w:tcW w:w="846" w:type="dxa"/>
            <w:vMerge w:val="restart"/>
          </w:tcPr>
          <w:p w:rsidR="00894D08" w:rsidRPr="00563A36" w:rsidRDefault="00894D08" w:rsidP="00894D08">
            <w:pPr>
              <w:autoSpaceDE/>
              <w:autoSpaceDN/>
              <w:adjustRightInd/>
              <w:jc w:val="center"/>
              <w:rPr>
                <w:color w:val="000000"/>
                <w:sz w:val="20"/>
                <w:szCs w:val="20"/>
              </w:rPr>
            </w:pPr>
            <w:r w:rsidRPr="00563A36">
              <w:rPr>
                <w:color w:val="000000"/>
                <w:sz w:val="20"/>
                <w:szCs w:val="20"/>
              </w:rPr>
              <w:t>2</w:t>
            </w:r>
            <w:r w:rsidR="00EC082D">
              <w:rPr>
                <w:color w:val="000000"/>
                <w:sz w:val="20"/>
                <w:szCs w:val="20"/>
              </w:rPr>
              <w:t>.</w:t>
            </w:r>
          </w:p>
        </w:tc>
        <w:tc>
          <w:tcPr>
            <w:tcW w:w="4819" w:type="dxa"/>
            <w:vMerge w:val="restart"/>
          </w:tcPr>
          <w:p w:rsidR="00894D08" w:rsidRPr="00563A36" w:rsidRDefault="00894D08" w:rsidP="00D06F12">
            <w:pPr>
              <w:autoSpaceDE/>
              <w:autoSpaceDN/>
              <w:adjustRightInd/>
              <w:jc w:val="both"/>
              <w:rPr>
                <w:sz w:val="20"/>
                <w:szCs w:val="20"/>
              </w:rPr>
            </w:pPr>
            <w:r w:rsidRPr="00563A36">
              <w:rPr>
                <w:color w:val="000000"/>
                <w:sz w:val="20"/>
                <w:szCs w:val="20"/>
              </w:rPr>
              <w:t xml:space="preserve">Набережночелнинский филиал </w:t>
            </w:r>
            <w:r w:rsidR="004D2021" w:rsidRPr="009E5C52">
              <w:rPr>
                <w:rFonts w:eastAsia="Arial"/>
                <w:sz w:val="20"/>
                <w:szCs w:val="20"/>
              </w:rPr>
              <w:t xml:space="preserve">ГАУЗ </w:t>
            </w:r>
            <w:r w:rsidR="004D2021">
              <w:rPr>
                <w:rFonts w:eastAsia="Arial"/>
                <w:sz w:val="20"/>
                <w:szCs w:val="20"/>
              </w:rPr>
              <w:t>«РКОД МЗ РТ им.</w:t>
            </w:r>
            <w:r w:rsidR="004D2021" w:rsidRPr="009E5C52">
              <w:rPr>
                <w:rFonts w:eastAsia="Arial"/>
                <w:sz w:val="20"/>
                <w:szCs w:val="20"/>
              </w:rPr>
              <w:t>про</w:t>
            </w:r>
            <w:r w:rsidR="004D2021">
              <w:rPr>
                <w:rFonts w:eastAsia="Arial"/>
                <w:sz w:val="20"/>
                <w:szCs w:val="20"/>
              </w:rPr>
              <w:t>ф.</w:t>
            </w:r>
            <w:r w:rsidR="004D2021" w:rsidRPr="009E5C52">
              <w:rPr>
                <w:rFonts w:eastAsia="Arial"/>
                <w:sz w:val="20"/>
                <w:szCs w:val="20"/>
              </w:rPr>
              <w:t>М.З.Сигала</w:t>
            </w:r>
            <w:r w:rsidR="004D2021">
              <w:rPr>
                <w:rFonts w:eastAsia="Arial"/>
                <w:sz w:val="20"/>
                <w:szCs w:val="20"/>
              </w:rPr>
              <w:t>»</w:t>
            </w:r>
          </w:p>
        </w:tc>
        <w:tc>
          <w:tcPr>
            <w:tcW w:w="3544" w:type="dxa"/>
          </w:tcPr>
          <w:p w:rsidR="00894D08" w:rsidRPr="00563A36" w:rsidRDefault="004D2021" w:rsidP="00894D08">
            <w:pPr>
              <w:pStyle w:val="af9"/>
              <w:ind w:left="0"/>
              <w:contextualSpacing w:val="0"/>
              <w:jc w:val="center"/>
              <w:rPr>
                <w:sz w:val="20"/>
                <w:szCs w:val="20"/>
                <w:lang w:val="ru-RU"/>
              </w:rPr>
            </w:pPr>
            <w:r>
              <w:rPr>
                <w:sz w:val="20"/>
                <w:szCs w:val="20"/>
                <w:lang w:val="ru-RU"/>
              </w:rPr>
              <w:t>о</w:t>
            </w:r>
            <w:r w:rsidR="00894D08" w:rsidRPr="00563A36">
              <w:rPr>
                <w:sz w:val="20"/>
                <w:szCs w:val="20"/>
                <w:lang w:val="ru-RU"/>
              </w:rPr>
              <w:t>нкологический диспансер</w:t>
            </w:r>
          </w:p>
        </w:tc>
        <w:tc>
          <w:tcPr>
            <w:tcW w:w="4921" w:type="dxa"/>
            <w:tcBorders>
              <w:top w:val="single" w:sz="4" w:space="0" w:color="auto"/>
              <w:left w:val="single" w:sz="4" w:space="0" w:color="auto"/>
              <w:bottom w:val="single" w:sz="4" w:space="0" w:color="auto"/>
              <w:right w:val="single" w:sz="4" w:space="0" w:color="auto"/>
            </w:tcBorders>
            <w:shd w:val="clear" w:color="000000" w:fill="FFFFFF"/>
          </w:tcPr>
          <w:p w:rsidR="00894D08" w:rsidRPr="00563A36" w:rsidRDefault="004D2021" w:rsidP="00D06F12">
            <w:pPr>
              <w:autoSpaceDE/>
              <w:autoSpaceDN/>
              <w:adjustRightInd/>
              <w:jc w:val="both"/>
              <w:rPr>
                <w:color w:val="000000"/>
                <w:sz w:val="20"/>
                <w:szCs w:val="20"/>
              </w:rPr>
            </w:pPr>
            <w:r>
              <w:rPr>
                <w:color w:val="000000"/>
                <w:sz w:val="20"/>
                <w:szCs w:val="20"/>
              </w:rPr>
              <w:t>о</w:t>
            </w:r>
            <w:r w:rsidR="00894D08" w:rsidRPr="00563A36">
              <w:rPr>
                <w:color w:val="000000"/>
                <w:sz w:val="20"/>
                <w:szCs w:val="20"/>
              </w:rPr>
              <w:t>нкологическое отделение № 15 (абдоминальной и торакальной онкологии)</w:t>
            </w:r>
          </w:p>
        </w:tc>
      </w:tr>
      <w:tr w:rsidR="00331B49" w:rsidRPr="00563A36" w:rsidTr="000B1BA9">
        <w:trPr>
          <w:trHeight w:val="20"/>
        </w:trPr>
        <w:tc>
          <w:tcPr>
            <w:tcW w:w="846" w:type="dxa"/>
            <w:vMerge/>
          </w:tcPr>
          <w:p w:rsidR="00331B49" w:rsidRPr="00563A36" w:rsidRDefault="00331B49" w:rsidP="00894D08">
            <w:pPr>
              <w:pStyle w:val="af9"/>
              <w:ind w:left="0"/>
              <w:contextualSpacing w:val="0"/>
              <w:jc w:val="center"/>
              <w:rPr>
                <w:sz w:val="20"/>
                <w:szCs w:val="20"/>
                <w:lang w:val="ru-RU"/>
              </w:rPr>
            </w:pPr>
          </w:p>
        </w:tc>
        <w:tc>
          <w:tcPr>
            <w:tcW w:w="4819" w:type="dxa"/>
            <w:vMerge/>
          </w:tcPr>
          <w:p w:rsidR="00331B49" w:rsidRPr="00563A36" w:rsidRDefault="00331B49" w:rsidP="00D06F12">
            <w:pPr>
              <w:pStyle w:val="af9"/>
              <w:ind w:left="0"/>
              <w:contextualSpacing w:val="0"/>
              <w:jc w:val="both"/>
              <w:rPr>
                <w:sz w:val="20"/>
                <w:szCs w:val="20"/>
                <w:lang w:val="ru-RU"/>
              </w:rPr>
            </w:pPr>
          </w:p>
        </w:tc>
        <w:tc>
          <w:tcPr>
            <w:tcW w:w="3544" w:type="dxa"/>
            <w:vMerge w:val="restart"/>
          </w:tcPr>
          <w:p w:rsidR="00331B49" w:rsidRPr="00563A36" w:rsidRDefault="00331B49" w:rsidP="00894D08">
            <w:pPr>
              <w:pStyle w:val="af9"/>
              <w:ind w:left="0"/>
              <w:contextualSpacing w:val="0"/>
              <w:rPr>
                <w:sz w:val="20"/>
                <w:szCs w:val="20"/>
                <w:lang w:val="ru-RU"/>
              </w:rPr>
            </w:pPr>
          </w:p>
        </w:tc>
        <w:tc>
          <w:tcPr>
            <w:tcW w:w="4921" w:type="dxa"/>
            <w:tcBorders>
              <w:top w:val="single" w:sz="4" w:space="0" w:color="auto"/>
              <w:left w:val="single" w:sz="4" w:space="0" w:color="auto"/>
              <w:bottom w:val="single" w:sz="4" w:space="0" w:color="auto"/>
              <w:right w:val="single" w:sz="4" w:space="0" w:color="auto"/>
            </w:tcBorders>
            <w:shd w:val="clear" w:color="000000" w:fill="FFFFFF"/>
          </w:tcPr>
          <w:p w:rsidR="00331B49" w:rsidRPr="00563A36" w:rsidRDefault="00331B49" w:rsidP="00D06F12">
            <w:pPr>
              <w:jc w:val="both"/>
              <w:rPr>
                <w:color w:val="000000"/>
                <w:sz w:val="20"/>
                <w:szCs w:val="20"/>
              </w:rPr>
            </w:pPr>
            <w:r>
              <w:rPr>
                <w:color w:val="000000"/>
                <w:sz w:val="20"/>
                <w:szCs w:val="20"/>
              </w:rPr>
              <w:t>д</w:t>
            </w:r>
            <w:r w:rsidRPr="00563A36">
              <w:rPr>
                <w:color w:val="000000"/>
                <w:sz w:val="20"/>
                <w:szCs w:val="20"/>
              </w:rPr>
              <w:t>невной стационар №</w:t>
            </w:r>
            <w:r>
              <w:rPr>
                <w:color w:val="000000"/>
                <w:sz w:val="20"/>
                <w:szCs w:val="20"/>
              </w:rPr>
              <w:t xml:space="preserve"> </w:t>
            </w:r>
            <w:r w:rsidRPr="00563A36">
              <w:rPr>
                <w:color w:val="000000"/>
                <w:sz w:val="20"/>
                <w:szCs w:val="20"/>
              </w:rPr>
              <w:t>6 (противоопухолевой лекарственной терапии)</w:t>
            </w:r>
          </w:p>
        </w:tc>
      </w:tr>
      <w:tr w:rsidR="00331B49" w:rsidRPr="00563A36" w:rsidTr="000B1BA9">
        <w:trPr>
          <w:trHeight w:val="20"/>
        </w:trPr>
        <w:tc>
          <w:tcPr>
            <w:tcW w:w="846" w:type="dxa"/>
            <w:vMerge/>
          </w:tcPr>
          <w:p w:rsidR="00331B49" w:rsidRPr="00563A36" w:rsidRDefault="00331B49" w:rsidP="00894D08">
            <w:pPr>
              <w:pStyle w:val="af9"/>
              <w:ind w:left="0"/>
              <w:contextualSpacing w:val="0"/>
              <w:jc w:val="center"/>
              <w:rPr>
                <w:sz w:val="20"/>
                <w:szCs w:val="20"/>
                <w:lang w:val="ru-RU"/>
              </w:rPr>
            </w:pPr>
          </w:p>
        </w:tc>
        <w:tc>
          <w:tcPr>
            <w:tcW w:w="4819" w:type="dxa"/>
            <w:vMerge/>
          </w:tcPr>
          <w:p w:rsidR="00331B49" w:rsidRPr="00563A36" w:rsidRDefault="00331B49" w:rsidP="00D06F12">
            <w:pPr>
              <w:pStyle w:val="af9"/>
              <w:ind w:left="0"/>
              <w:contextualSpacing w:val="0"/>
              <w:jc w:val="both"/>
              <w:rPr>
                <w:sz w:val="20"/>
                <w:szCs w:val="20"/>
                <w:lang w:val="ru-RU"/>
              </w:rPr>
            </w:pPr>
          </w:p>
        </w:tc>
        <w:tc>
          <w:tcPr>
            <w:tcW w:w="3544" w:type="dxa"/>
            <w:vMerge/>
          </w:tcPr>
          <w:p w:rsidR="00331B49" w:rsidRPr="00563A36" w:rsidRDefault="00331B49" w:rsidP="00894D08">
            <w:pPr>
              <w:pStyle w:val="af9"/>
              <w:ind w:left="0"/>
              <w:contextualSpacing w:val="0"/>
              <w:rPr>
                <w:sz w:val="20"/>
                <w:szCs w:val="20"/>
                <w:lang w:val="ru-RU"/>
              </w:rPr>
            </w:pPr>
          </w:p>
        </w:tc>
        <w:tc>
          <w:tcPr>
            <w:tcW w:w="4921" w:type="dxa"/>
            <w:tcBorders>
              <w:top w:val="single" w:sz="4" w:space="0" w:color="auto"/>
              <w:left w:val="single" w:sz="4" w:space="0" w:color="auto"/>
              <w:bottom w:val="single" w:sz="4" w:space="0" w:color="auto"/>
              <w:right w:val="single" w:sz="4" w:space="0" w:color="auto"/>
            </w:tcBorders>
            <w:shd w:val="clear" w:color="000000" w:fill="FFFFFF"/>
          </w:tcPr>
          <w:p w:rsidR="00331B49" w:rsidRPr="00563A36" w:rsidRDefault="00331B49" w:rsidP="00D06F12">
            <w:pPr>
              <w:jc w:val="both"/>
              <w:rPr>
                <w:color w:val="000000"/>
                <w:sz w:val="20"/>
                <w:szCs w:val="20"/>
              </w:rPr>
            </w:pPr>
            <w:r>
              <w:rPr>
                <w:color w:val="000000"/>
                <w:sz w:val="20"/>
                <w:szCs w:val="20"/>
              </w:rPr>
              <w:t>д</w:t>
            </w:r>
            <w:r w:rsidRPr="00563A36">
              <w:rPr>
                <w:color w:val="000000"/>
                <w:sz w:val="20"/>
                <w:szCs w:val="20"/>
              </w:rPr>
              <w:t>невной стационар №</w:t>
            </w:r>
            <w:r>
              <w:rPr>
                <w:color w:val="000000"/>
                <w:sz w:val="20"/>
                <w:szCs w:val="20"/>
              </w:rPr>
              <w:t xml:space="preserve"> </w:t>
            </w:r>
            <w:r w:rsidRPr="00563A36">
              <w:rPr>
                <w:color w:val="000000"/>
                <w:sz w:val="20"/>
                <w:szCs w:val="20"/>
              </w:rPr>
              <w:t>8 (радиотерапевтический)</w:t>
            </w:r>
          </w:p>
        </w:tc>
      </w:tr>
      <w:tr w:rsidR="00331B49" w:rsidRPr="00563A36" w:rsidTr="000B1BA9">
        <w:trPr>
          <w:trHeight w:val="20"/>
        </w:trPr>
        <w:tc>
          <w:tcPr>
            <w:tcW w:w="846" w:type="dxa"/>
            <w:vMerge/>
          </w:tcPr>
          <w:p w:rsidR="00331B49" w:rsidRPr="00563A36" w:rsidRDefault="00331B49" w:rsidP="00894D08">
            <w:pPr>
              <w:pStyle w:val="af9"/>
              <w:ind w:left="0"/>
              <w:contextualSpacing w:val="0"/>
              <w:jc w:val="center"/>
              <w:rPr>
                <w:sz w:val="20"/>
                <w:szCs w:val="20"/>
                <w:lang w:val="ru-RU"/>
              </w:rPr>
            </w:pPr>
          </w:p>
        </w:tc>
        <w:tc>
          <w:tcPr>
            <w:tcW w:w="4819" w:type="dxa"/>
            <w:vMerge/>
          </w:tcPr>
          <w:p w:rsidR="00331B49" w:rsidRPr="00563A36" w:rsidRDefault="00331B49" w:rsidP="00D06F12">
            <w:pPr>
              <w:pStyle w:val="af9"/>
              <w:ind w:left="0"/>
              <w:contextualSpacing w:val="0"/>
              <w:jc w:val="both"/>
              <w:rPr>
                <w:sz w:val="20"/>
                <w:szCs w:val="20"/>
                <w:lang w:val="ru-RU"/>
              </w:rPr>
            </w:pPr>
          </w:p>
        </w:tc>
        <w:tc>
          <w:tcPr>
            <w:tcW w:w="3544" w:type="dxa"/>
            <w:vMerge/>
          </w:tcPr>
          <w:p w:rsidR="00331B49" w:rsidRPr="00563A36" w:rsidRDefault="00331B49" w:rsidP="00894D08">
            <w:pPr>
              <w:pStyle w:val="af9"/>
              <w:ind w:left="0"/>
              <w:contextualSpacing w:val="0"/>
              <w:rPr>
                <w:sz w:val="20"/>
                <w:szCs w:val="20"/>
                <w:lang w:val="ru-RU"/>
              </w:rPr>
            </w:pPr>
          </w:p>
        </w:tc>
        <w:tc>
          <w:tcPr>
            <w:tcW w:w="4921" w:type="dxa"/>
            <w:tcBorders>
              <w:top w:val="single" w:sz="4" w:space="0" w:color="auto"/>
              <w:left w:val="nil"/>
              <w:bottom w:val="single" w:sz="4" w:space="0" w:color="auto"/>
              <w:right w:val="single" w:sz="4" w:space="0" w:color="auto"/>
            </w:tcBorders>
            <w:shd w:val="clear" w:color="000000" w:fill="FFFFFF"/>
          </w:tcPr>
          <w:p w:rsidR="00331B49" w:rsidRPr="00563A36" w:rsidRDefault="00331B49" w:rsidP="00D06F12">
            <w:pPr>
              <w:jc w:val="both"/>
              <w:rPr>
                <w:color w:val="000000"/>
                <w:sz w:val="20"/>
                <w:szCs w:val="20"/>
              </w:rPr>
            </w:pPr>
            <w:r>
              <w:rPr>
                <w:color w:val="000000"/>
                <w:sz w:val="20"/>
                <w:szCs w:val="20"/>
              </w:rPr>
              <w:t>д</w:t>
            </w:r>
            <w:r w:rsidRPr="00563A36">
              <w:rPr>
                <w:color w:val="000000"/>
                <w:sz w:val="20"/>
                <w:szCs w:val="20"/>
              </w:rPr>
              <w:t>невной стационар №</w:t>
            </w:r>
            <w:r>
              <w:rPr>
                <w:color w:val="000000"/>
                <w:sz w:val="20"/>
                <w:szCs w:val="20"/>
              </w:rPr>
              <w:t xml:space="preserve"> </w:t>
            </w:r>
            <w:r w:rsidRPr="00563A36">
              <w:rPr>
                <w:color w:val="000000"/>
                <w:sz w:val="20"/>
                <w:szCs w:val="20"/>
              </w:rPr>
              <w:t>9 (хирургических методов лечения)</w:t>
            </w:r>
          </w:p>
        </w:tc>
      </w:tr>
      <w:tr w:rsidR="00331B49" w:rsidRPr="00563A36" w:rsidTr="000B1BA9">
        <w:trPr>
          <w:trHeight w:val="20"/>
        </w:trPr>
        <w:tc>
          <w:tcPr>
            <w:tcW w:w="846" w:type="dxa"/>
            <w:vMerge w:val="restart"/>
          </w:tcPr>
          <w:p w:rsidR="00331B49" w:rsidRPr="00563A36" w:rsidRDefault="00331B49" w:rsidP="00894D08">
            <w:pPr>
              <w:autoSpaceDE/>
              <w:autoSpaceDN/>
              <w:adjustRightInd/>
              <w:jc w:val="center"/>
              <w:rPr>
                <w:color w:val="000000"/>
                <w:sz w:val="20"/>
                <w:szCs w:val="20"/>
              </w:rPr>
            </w:pPr>
            <w:r w:rsidRPr="00563A36">
              <w:rPr>
                <w:color w:val="000000"/>
                <w:sz w:val="20"/>
                <w:szCs w:val="20"/>
              </w:rPr>
              <w:t>3</w:t>
            </w:r>
            <w:r>
              <w:rPr>
                <w:color w:val="000000"/>
                <w:sz w:val="20"/>
                <w:szCs w:val="20"/>
              </w:rPr>
              <w:t>.</w:t>
            </w:r>
          </w:p>
        </w:tc>
        <w:tc>
          <w:tcPr>
            <w:tcW w:w="4819" w:type="dxa"/>
            <w:vMerge w:val="restart"/>
          </w:tcPr>
          <w:p w:rsidR="00331B49" w:rsidRPr="00563A36" w:rsidRDefault="00331B49" w:rsidP="00D06F12">
            <w:pPr>
              <w:autoSpaceDE/>
              <w:autoSpaceDN/>
              <w:adjustRightInd/>
              <w:jc w:val="both"/>
              <w:rPr>
                <w:sz w:val="20"/>
                <w:szCs w:val="20"/>
              </w:rPr>
            </w:pPr>
            <w:r w:rsidRPr="00563A36">
              <w:rPr>
                <w:color w:val="000000"/>
                <w:sz w:val="20"/>
                <w:szCs w:val="20"/>
              </w:rPr>
              <w:t xml:space="preserve">Альметьевский филиал </w:t>
            </w:r>
            <w:r w:rsidRPr="009E5C52">
              <w:rPr>
                <w:rFonts w:eastAsia="Arial"/>
                <w:sz w:val="20"/>
                <w:szCs w:val="20"/>
              </w:rPr>
              <w:t xml:space="preserve">ГАУЗ </w:t>
            </w:r>
            <w:r>
              <w:rPr>
                <w:rFonts w:eastAsia="Arial"/>
                <w:sz w:val="20"/>
                <w:szCs w:val="20"/>
              </w:rPr>
              <w:t>«РКОД МЗ РТ им.</w:t>
            </w:r>
            <w:r w:rsidRPr="009E5C52">
              <w:rPr>
                <w:rFonts w:eastAsia="Arial"/>
                <w:sz w:val="20"/>
                <w:szCs w:val="20"/>
              </w:rPr>
              <w:t>про</w:t>
            </w:r>
            <w:r>
              <w:rPr>
                <w:rFonts w:eastAsia="Arial"/>
                <w:sz w:val="20"/>
                <w:szCs w:val="20"/>
              </w:rPr>
              <w:t>ф.</w:t>
            </w:r>
            <w:r w:rsidRPr="009E5C52">
              <w:rPr>
                <w:rFonts w:eastAsia="Arial"/>
                <w:sz w:val="20"/>
                <w:szCs w:val="20"/>
              </w:rPr>
              <w:t>М.З.Сигала</w:t>
            </w:r>
            <w:r>
              <w:rPr>
                <w:rFonts w:eastAsia="Arial"/>
                <w:sz w:val="20"/>
                <w:szCs w:val="20"/>
              </w:rPr>
              <w:t>»</w:t>
            </w:r>
          </w:p>
        </w:tc>
        <w:tc>
          <w:tcPr>
            <w:tcW w:w="3544" w:type="dxa"/>
            <w:vMerge w:val="restart"/>
          </w:tcPr>
          <w:p w:rsidR="00331B49" w:rsidRPr="00563A36" w:rsidRDefault="00331B49" w:rsidP="00894D08">
            <w:pPr>
              <w:pStyle w:val="af9"/>
              <w:ind w:left="0"/>
              <w:contextualSpacing w:val="0"/>
              <w:jc w:val="center"/>
              <w:rPr>
                <w:sz w:val="20"/>
                <w:szCs w:val="20"/>
                <w:lang w:val="ru-RU"/>
              </w:rPr>
            </w:pPr>
            <w:r>
              <w:rPr>
                <w:sz w:val="20"/>
                <w:szCs w:val="20"/>
                <w:lang w:val="ru-RU"/>
              </w:rPr>
              <w:t>о</w:t>
            </w:r>
            <w:r w:rsidRPr="00563A36">
              <w:rPr>
                <w:sz w:val="20"/>
                <w:szCs w:val="20"/>
                <w:lang w:val="ru-RU"/>
              </w:rPr>
              <w:t>нкологический диспансер</w:t>
            </w:r>
          </w:p>
        </w:tc>
        <w:tc>
          <w:tcPr>
            <w:tcW w:w="4921" w:type="dxa"/>
            <w:tcBorders>
              <w:top w:val="single" w:sz="4" w:space="0" w:color="auto"/>
              <w:left w:val="single" w:sz="4" w:space="0" w:color="auto"/>
              <w:bottom w:val="single" w:sz="4" w:space="0" w:color="auto"/>
              <w:right w:val="single" w:sz="4" w:space="0" w:color="auto"/>
            </w:tcBorders>
            <w:shd w:val="clear" w:color="000000" w:fill="FFFFFF"/>
          </w:tcPr>
          <w:p w:rsidR="00331B49" w:rsidRPr="00563A36" w:rsidRDefault="00331B49" w:rsidP="00D06F12">
            <w:pPr>
              <w:autoSpaceDE/>
              <w:autoSpaceDN/>
              <w:adjustRightInd/>
              <w:jc w:val="both"/>
              <w:rPr>
                <w:color w:val="000000"/>
                <w:sz w:val="20"/>
                <w:szCs w:val="20"/>
              </w:rPr>
            </w:pPr>
            <w:r>
              <w:rPr>
                <w:color w:val="000000"/>
                <w:sz w:val="20"/>
                <w:szCs w:val="20"/>
              </w:rPr>
              <w:t>о</w:t>
            </w:r>
            <w:r w:rsidRPr="00563A36">
              <w:rPr>
                <w:color w:val="000000"/>
                <w:sz w:val="20"/>
                <w:szCs w:val="20"/>
              </w:rPr>
              <w:t>нкологическое отделение № 13 (абдоминальной онкологии № 5)</w:t>
            </w:r>
          </w:p>
        </w:tc>
      </w:tr>
      <w:tr w:rsidR="00331B49" w:rsidRPr="00563A36" w:rsidTr="000B1BA9">
        <w:trPr>
          <w:trHeight w:val="20"/>
        </w:trPr>
        <w:tc>
          <w:tcPr>
            <w:tcW w:w="846" w:type="dxa"/>
            <w:vMerge/>
          </w:tcPr>
          <w:p w:rsidR="00331B49" w:rsidRPr="00563A36" w:rsidRDefault="00331B49" w:rsidP="00894D08">
            <w:pPr>
              <w:pStyle w:val="af9"/>
              <w:ind w:left="0"/>
              <w:contextualSpacing w:val="0"/>
              <w:jc w:val="center"/>
              <w:rPr>
                <w:sz w:val="20"/>
                <w:szCs w:val="20"/>
                <w:lang w:val="ru-RU"/>
              </w:rPr>
            </w:pPr>
          </w:p>
        </w:tc>
        <w:tc>
          <w:tcPr>
            <w:tcW w:w="4819" w:type="dxa"/>
            <w:vMerge/>
          </w:tcPr>
          <w:p w:rsidR="00331B49" w:rsidRPr="00563A36" w:rsidRDefault="00331B49" w:rsidP="00D06F12">
            <w:pPr>
              <w:pStyle w:val="af9"/>
              <w:ind w:left="0"/>
              <w:contextualSpacing w:val="0"/>
              <w:jc w:val="both"/>
              <w:rPr>
                <w:sz w:val="20"/>
                <w:szCs w:val="20"/>
                <w:lang w:val="ru-RU"/>
              </w:rPr>
            </w:pPr>
          </w:p>
        </w:tc>
        <w:tc>
          <w:tcPr>
            <w:tcW w:w="3544" w:type="dxa"/>
            <w:vMerge/>
          </w:tcPr>
          <w:p w:rsidR="00331B49" w:rsidRPr="00563A36" w:rsidRDefault="00331B49" w:rsidP="00894D08">
            <w:pPr>
              <w:pStyle w:val="af9"/>
              <w:ind w:left="0"/>
              <w:contextualSpacing w:val="0"/>
              <w:rPr>
                <w:sz w:val="20"/>
                <w:szCs w:val="20"/>
                <w:lang w:val="ru-RU"/>
              </w:rPr>
            </w:pPr>
          </w:p>
        </w:tc>
        <w:tc>
          <w:tcPr>
            <w:tcW w:w="4921" w:type="dxa"/>
            <w:tcBorders>
              <w:top w:val="nil"/>
              <w:left w:val="single" w:sz="4" w:space="0" w:color="auto"/>
              <w:bottom w:val="single" w:sz="4" w:space="0" w:color="auto"/>
              <w:right w:val="single" w:sz="4" w:space="0" w:color="auto"/>
            </w:tcBorders>
            <w:shd w:val="clear" w:color="000000" w:fill="FFFFFF"/>
          </w:tcPr>
          <w:p w:rsidR="00331B49" w:rsidRPr="00563A36" w:rsidRDefault="00331B49" w:rsidP="00D06F12">
            <w:pPr>
              <w:jc w:val="both"/>
              <w:rPr>
                <w:color w:val="000000"/>
                <w:sz w:val="20"/>
                <w:szCs w:val="20"/>
              </w:rPr>
            </w:pPr>
            <w:r>
              <w:rPr>
                <w:color w:val="000000"/>
                <w:sz w:val="20"/>
                <w:szCs w:val="20"/>
              </w:rPr>
              <w:t>о</w:t>
            </w:r>
            <w:r w:rsidRPr="00563A36">
              <w:rPr>
                <w:color w:val="000000"/>
                <w:sz w:val="20"/>
                <w:szCs w:val="20"/>
              </w:rPr>
              <w:t>тделение паллиативной медицинской помощи взрослым</w:t>
            </w:r>
          </w:p>
        </w:tc>
      </w:tr>
      <w:tr w:rsidR="00331B49" w:rsidRPr="00563A36" w:rsidTr="000B1BA9">
        <w:trPr>
          <w:trHeight w:val="20"/>
        </w:trPr>
        <w:tc>
          <w:tcPr>
            <w:tcW w:w="846" w:type="dxa"/>
            <w:vMerge/>
          </w:tcPr>
          <w:p w:rsidR="00331B49" w:rsidRPr="00563A36" w:rsidRDefault="00331B49" w:rsidP="00894D08">
            <w:pPr>
              <w:pStyle w:val="af9"/>
              <w:ind w:left="0"/>
              <w:contextualSpacing w:val="0"/>
              <w:jc w:val="center"/>
              <w:rPr>
                <w:sz w:val="20"/>
                <w:szCs w:val="20"/>
                <w:lang w:val="ru-RU"/>
              </w:rPr>
            </w:pPr>
          </w:p>
        </w:tc>
        <w:tc>
          <w:tcPr>
            <w:tcW w:w="4819" w:type="dxa"/>
            <w:vMerge/>
          </w:tcPr>
          <w:p w:rsidR="00331B49" w:rsidRPr="00563A36" w:rsidRDefault="00331B49" w:rsidP="00D06F12">
            <w:pPr>
              <w:pStyle w:val="af9"/>
              <w:ind w:left="0"/>
              <w:contextualSpacing w:val="0"/>
              <w:jc w:val="both"/>
              <w:rPr>
                <w:sz w:val="20"/>
                <w:szCs w:val="20"/>
                <w:lang w:val="ru-RU"/>
              </w:rPr>
            </w:pPr>
          </w:p>
        </w:tc>
        <w:tc>
          <w:tcPr>
            <w:tcW w:w="3544" w:type="dxa"/>
            <w:vMerge/>
          </w:tcPr>
          <w:p w:rsidR="00331B49" w:rsidRPr="00563A36" w:rsidRDefault="00331B49" w:rsidP="00894D08">
            <w:pPr>
              <w:pStyle w:val="af9"/>
              <w:ind w:left="0"/>
              <w:contextualSpacing w:val="0"/>
              <w:rPr>
                <w:sz w:val="20"/>
                <w:szCs w:val="20"/>
                <w:lang w:val="ru-RU"/>
              </w:rPr>
            </w:pPr>
          </w:p>
        </w:tc>
        <w:tc>
          <w:tcPr>
            <w:tcW w:w="4921" w:type="dxa"/>
            <w:tcBorders>
              <w:top w:val="single" w:sz="4" w:space="0" w:color="auto"/>
              <w:left w:val="single" w:sz="4" w:space="0" w:color="auto"/>
              <w:bottom w:val="single" w:sz="4" w:space="0" w:color="auto"/>
              <w:right w:val="single" w:sz="4" w:space="0" w:color="auto"/>
            </w:tcBorders>
            <w:shd w:val="clear" w:color="000000" w:fill="FFFFFF"/>
          </w:tcPr>
          <w:p w:rsidR="00331B49" w:rsidRPr="00563A36" w:rsidRDefault="00331B49" w:rsidP="00D06F12">
            <w:pPr>
              <w:jc w:val="both"/>
              <w:rPr>
                <w:color w:val="000000"/>
                <w:sz w:val="20"/>
                <w:szCs w:val="20"/>
              </w:rPr>
            </w:pPr>
            <w:r>
              <w:rPr>
                <w:color w:val="000000"/>
                <w:sz w:val="20"/>
                <w:szCs w:val="20"/>
              </w:rPr>
              <w:t>д</w:t>
            </w:r>
            <w:r w:rsidRPr="00563A36">
              <w:rPr>
                <w:color w:val="000000"/>
                <w:sz w:val="20"/>
                <w:szCs w:val="20"/>
              </w:rPr>
              <w:t>невной стационар №</w:t>
            </w:r>
            <w:r>
              <w:rPr>
                <w:color w:val="000000"/>
                <w:sz w:val="20"/>
                <w:szCs w:val="20"/>
              </w:rPr>
              <w:t xml:space="preserve"> </w:t>
            </w:r>
            <w:r w:rsidRPr="00563A36">
              <w:rPr>
                <w:color w:val="000000"/>
                <w:sz w:val="20"/>
                <w:szCs w:val="20"/>
              </w:rPr>
              <w:t>3 (противоопухолевой лекарственной терапии)</w:t>
            </w:r>
          </w:p>
        </w:tc>
      </w:tr>
      <w:tr w:rsidR="00331B49" w:rsidRPr="00563A36" w:rsidTr="000B1BA9">
        <w:trPr>
          <w:trHeight w:val="20"/>
        </w:trPr>
        <w:tc>
          <w:tcPr>
            <w:tcW w:w="846" w:type="dxa"/>
            <w:vMerge/>
          </w:tcPr>
          <w:p w:rsidR="00331B49" w:rsidRPr="00563A36" w:rsidRDefault="00331B49" w:rsidP="00894D08">
            <w:pPr>
              <w:pStyle w:val="af9"/>
              <w:ind w:left="0"/>
              <w:contextualSpacing w:val="0"/>
              <w:jc w:val="center"/>
              <w:rPr>
                <w:sz w:val="20"/>
                <w:szCs w:val="20"/>
                <w:lang w:val="ru-RU"/>
              </w:rPr>
            </w:pPr>
          </w:p>
        </w:tc>
        <w:tc>
          <w:tcPr>
            <w:tcW w:w="4819" w:type="dxa"/>
            <w:vMerge/>
          </w:tcPr>
          <w:p w:rsidR="00331B49" w:rsidRPr="00563A36" w:rsidRDefault="00331B49" w:rsidP="00D06F12">
            <w:pPr>
              <w:pStyle w:val="af9"/>
              <w:ind w:left="0"/>
              <w:contextualSpacing w:val="0"/>
              <w:jc w:val="both"/>
              <w:rPr>
                <w:sz w:val="20"/>
                <w:szCs w:val="20"/>
                <w:lang w:val="ru-RU"/>
              </w:rPr>
            </w:pPr>
          </w:p>
        </w:tc>
        <w:tc>
          <w:tcPr>
            <w:tcW w:w="3544" w:type="dxa"/>
            <w:vMerge/>
          </w:tcPr>
          <w:p w:rsidR="00331B49" w:rsidRPr="00563A36" w:rsidRDefault="00331B49" w:rsidP="00894D08">
            <w:pPr>
              <w:pStyle w:val="af9"/>
              <w:ind w:left="0"/>
              <w:contextualSpacing w:val="0"/>
              <w:rPr>
                <w:sz w:val="20"/>
                <w:szCs w:val="20"/>
                <w:lang w:val="ru-RU"/>
              </w:rPr>
            </w:pPr>
          </w:p>
        </w:tc>
        <w:tc>
          <w:tcPr>
            <w:tcW w:w="4921" w:type="dxa"/>
            <w:tcBorders>
              <w:top w:val="single" w:sz="4" w:space="0" w:color="auto"/>
              <w:left w:val="nil"/>
              <w:bottom w:val="single" w:sz="4" w:space="0" w:color="auto"/>
              <w:right w:val="single" w:sz="4" w:space="0" w:color="auto"/>
            </w:tcBorders>
            <w:shd w:val="clear" w:color="000000" w:fill="FFFFFF"/>
          </w:tcPr>
          <w:p w:rsidR="00331B49" w:rsidRPr="00563A36" w:rsidRDefault="00331B49" w:rsidP="00D06F12">
            <w:pPr>
              <w:jc w:val="both"/>
              <w:rPr>
                <w:color w:val="000000"/>
                <w:sz w:val="20"/>
                <w:szCs w:val="20"/>
              </w:rPr>
            </w:pPr>
            <w:r>
              <w:rPr>
                <w:color w:val="000000"/>
                <w:sz w:val="20"/>
                <w:szCs w:val="20"/>
              </w:rPr>
              <w:t>д</w:t>
            </w:r>
            <w:r w:rsidRPr="00563A36">
              <w:rPr>
                <w:color w:val="000000"/>
                <w:sz w:val="20"/>
                <w:szCs w:val="20"/>
              </w:rPr>
              <w:t>невной стационар №</w:t>
            </w:r>
            <w:r>
              <w:rPr>
                <w:color w:val="000000"/>
                <w:sz w:val="20"/>
                <w:szCs w:val="20"/>
              </w:rPr>
              <w:t xml:space="preserve"> </w:t>
            </w:r>
            <w:r w:rsidRPr="00563A36">
              <w:rPr>
                <w:color w:val="000000"/>
                <w:sz w:val="20"/>
                <w:szCs w:val="20"/>
              </w:rPr>
              <w:t>7 (радиотерапевтический)</w:t>
            </w:r>
          </w:p>
        </w:tc>
      </w:tr>
      <w:tr w:rsidR="00331B49" w:rsidRPr="00563A36" w:rsidTr="000B1BA9">
        <w:trPr>
          <w:trHeight w:val="20"/>
        </w:trPr>
        <w:tc>
          <w:tcPr>
            <w:tcW w:w="846" w:type="dxa"/>
            <w:vMerge/>
          </w:tcPr>
          <w:p w:rsidR="00331B49" w:rsidRPr="00563A36" w:rsidRDefault="00331B49" w:rsidP="00894D08">
            <w:pPr>
              <w:pStyle w:val="af9"/>
              <w:ind w:left="0"/>
              <w:contextualSpacing w:val="0"/>
              <w:jc w:val="center"/>
              <w:rPr>
                <w:sz w:val="20"/>
                <w:szCs w:val="20"/>
                <w:lang w:val="ru-RU"/>
              </w:rPr>
            </w:pPr>
          </w:p>
        </w:tc>
        <w:tc>
          <w:tcPr>
            <w:tcW w:w="4819" w:type="dxa"/>
            <w:vMerge/>
          </w:tcPr>
          <w:p w:rsidR="00331B49" w:rsidRPr="00563A36" w:rsidRDefault="00331B49" w:rsidP="00D06F12">
            <w:pPr>
              <w:pStyle w:val="af9"/>
              <w:ind w:left="0"/>
              <w:contextualSpacing w:val="0"/>
              <w:jc w:val="both"/>
              <w:rPr>
                <w:sz w:val="20"/>
                <w:szCs w:val="20"/>
                <w:lang w:val="ru-RU"/>
              </w:rPr>
            </w:pPr>
          </w:p>
        </w:tc>
        <w:tc>
          <w:tcPr>
            <w:tcW w:w="3544" w:type="dxa"/>
            <w:vMerge/>
          </w:tcPr>
          <w:p w:rsidR="00331B49" w:rsidRPr="00563A36" w:rsidRDefault="00331B49" w:rsidP="00894D08">
            <w:pPr>
              <w:pStyle w:val="af9"/>
              <w:ind w:left="0"/>
              <w:contextualSpacing w:val="0"/>
              <w:rPr>
                <w:sz w:val="20"/>
                <w:szCs w:val="20"/>
                <w:lang w:val="ru-RU"/>
              </w:rPr>
            </w:pPr>
          </w:p>
        </w:tc>
        <w:tc>
          <w:tcPr>
            <w:tcW w:w="4921" w:type="dxa"/>
            <w:tcBorders>
              <w:top w:val="single" w:sz="4" w:space="0" w:color="auto"/>
              <w:left w:val="single" w:sz="4" w:space="0" w:color="auto"/>
              <w:bottom w:val="single" w:sz="4" w:space="0" w:color="auto"/>
              <w:right w:val="single" w:sz="4" w:space="0" w:color="auto"/>
            </w:tcBorders>
            <w:shd w:val="clear" w:color="000000" w:fill="FFFFFF"/>
          </w:tcPr>
          <w:p w:rsidR="00331B49" w:rsidRPr="00563A36" w:rsidRDefault="00331B49" w:rsidP="00D06F12">
            <w:pPr>
              <w:jc w:val="both"/>
              <w:rPr>
                <w:color w:val="000000"/>
                <w:sz w:val="20"/>
                <w:szCs w:val="20"/>
              </w:rPr>
            </w:pPr>
            <w:r>
              <w:rPr>
                <w:color w:val="000000"/>
                <w:sz w:val="20"/>
                <w:szCs w:val="20"/>
              </w:rPr>
              <w:t>д</w:t>
            </w:r>
            <w:r w:rsidRPr="00563A36">
              <w:rPr>
                <w:color w:val="000000"/>
                <w:sz w:val="20"/>
                <w:szCs w:val="20"/>
              </w:rPr>
              <w:t>невной стационар №</w:t>
            </w:r>
            <w:r>
              <w:rPr>
                <w:color w:val="000000"/>
                <w:sz w:val="20"/>
                <w:szCs w:val="20"/>
              </w:rPr>
              <w:t xml:space="preserve"> </w:t>
            </w:r>
            <w:r w:rsidRPr="00563A36">
              <w:rPr>
                <w:color w:val="000000"/>
                <w:sz w:val="20"/>
                <w:szCs w:val="20"/>
              </w:rPr>
              <w:t>10 (противоопухолевой лекарственной терапии)</w:t>
            </w:r>
          </w:p>
        </w:tc>
      </w:tr>
      <w:tr w:rsidR="00331B49" w:rsidRPr="00422B25" w:rsidTr="000B1BA9">
        <w:trPr>
          <w:trHeight w:val="20"/>
        </w:trPr>
        <w:tc>
          <w:tcPr>
            <w:tcW w:w="846" w:type="dxa"/>
            <w:vMerge w:val="restart"/>
          </w:tcPr>
          <w:p w:rsidR="00331B49" w:rsidRPr="00993CA2" w:rsidRDefault="00331B49" w:rsidP="00894D08">
            <w:pPr>
              <w:autoSpaceDE/>
              <w:autoSpaceDN/>
              <w:adjustRightInd/>
              <w:jc w:val="center"/>
              <w:rPr>
                <w:color w:val="000000"/>
                <w:sz w:val="20"/>
                <w:szCs w:val="20"/>
              </w:rPr>
            </w:pPr>
            <w:r w:rsidRPr="00993CA2">
              <w:rPr>
                <w:color w:val="000000"/>
                <w:sz w:val="20"/>
                <w:szCs w:val="20"/>
              </w:rPr>
              <w:t>4.</w:t>
            </w:r>
          </w:p>
        </w:tc>
        <w:tc>
          <w:tcPr>
            <w:tcW w:w="4819" w:type="dxa"/>
            <w:vMerge w:val="restart"/>
          </w:tcPr>
          <w:p w:rsidR="00331B49" w:rsidRPr="00993CA2" w:rsidRDefault="00331B49" w:rsidP="00D06F12">
            <w:pPr>
              <w:autoSpaceDE/>
              <w:autoSpaceDN/>
              <w:adjustRightInd/>
              <w:jc w:val="both"/>
              <w:rPr>
                <w:color w:val="000000"/>
                <w:sz w:val="20"/>
                <w:szCs w:val="20"/>
              </w:rPr>
            </w:pPr>
            <w:r w:rsidRPr="00993CA2">
              <w:rPr>
                <w:color w:val="000000"/>
                <w:sz w:val="20"/>
                <w:szCs w:val="20"/>
              </w:rPr>
              <w:t xml:space="preserve">Нижнекамский филиал </w:t>
            </w:r>
            <w:r w:rsidRPr="00993CA2">
              <w:rPr>
                <w:rFonts w:eastAsia="Arial"/>
                <w:sz w:val="20"/>
                <w:szCs w:val="20"/>
              </w:rPr>
              <w:t>ГАУЗ «РКОД МЗ РТ им.проф.М.З.Сигала»</w:t>
            </w:r>
          </w:p>
        </w:tc>
        <w:tc>
          <w:tcPr>
            <w:tcW w:w="3544" w:type="dxa"/>
            <w:vMerge w:val="restart"/>
          </w:tcPr>
          <w:p w:rsidR="00331B49" w:rsidRPr="00993CA2" w:rsidRDefault="00331B49" w:rsidP="004D2021">
            <w:pPr>
              <w:pStyle w:val="af9"/>
              <w:ind w:left="0"/>
              <w:contextualSpacing w:val="0"/>
              <w:jc w:val="center"/>
              <w:rPr>
                <w:sz w:val="20"/>
                <w:szCs w:val="20"/>
                <w:lang w:val="ru-RU"/>
              </w:rPr>
            </w:pPr>
            <w:r w:rsidRPr="00993CA2">
              <w:rPr>
                <w:sz w:val="20"/>
                <w:szCs w:val="20"/>
                <w:lang w:val="ru-RU"/>
              </w:rPr>
              <w:t>онкологический диспансер</w:t>
            </w:r>
          </w:p>
        </w:tc>
        <w:tc>
          <w:tcPr>
            <w:tcW w:w="4921" w:type="dxa"/>
          </w:tcPr>
          <w:p w:rsidR="00331B49" w:rsidRPr="00993CA2" w:rsidRDefault="00331B49" w:rsidP="00B5362B">
            <w:pPr>
              <w:autoSpaceDE/>
              <w:autoSpaceDN/>
              <w:adjustRightInd/>
              <w:jc w:val="both"/>
              <w:rPr>
                <w:color w:val="000000"/>
                <w:sz w:val="20"/>
                <w:szCs w:val="20"/>
              </w:rPr>
            </w:pPr>
            <w:r w:rsidRPr="00993CA2">
              <w:rPr>
                <w:color w:val="000000"/>
                <w:sz w:val="20"/>
                <w:szCs w:val="20"/>
              </w:rPr>
              <w:t>отделение противоопухолевой лекарственной терапии №4</w:t>
            </w:r>
          </w:p>
        </w:tc>
      </w:tr>
      <w:tr w:rsidR="00331B49" w:rsidRPr="00563A36" w:rsidTr="000B1BA9">
        <w:trPr>
          <w:trHeight w:val="20"/>
        </w:trPr>
        <w:tc>
          <w:tcPr>
            <w:tcW w:w="846" w:type="dxa"/>
            <w:vMerge/>
          </w:tcPr>
          <w:p w:rsidR="00331B49" w:rsidRPr="00993CA2" w:rsidRDefault="00331B49" w:rsidP="00894D08">
            <w:pPr>
              <w:autoSpaceDE/>
              <w:autoSpaceDN/>
              <w:adjustRightInd/>
              <w:jc w:val="center"/>
              <w:rPr>
                <w:color w:val="000000"/>
                <w:sz w:val="20"/>
                <w:szCs w:val="20"/>
              </w:rPr>
            </w:pPr>
          </w:p>
        </w:tc>
        <w:tc>
          <w:tcPr>
            <w:tcW w:w="4819" w:type="dxa"/>
            <w:vMerge/>
          </w:tcPr>
          <w:p w:rsidR="00331B49" w:rsidRPr="00993CA2" w:rsidRDefault="00331B49" w:rsidP="00D06F12">
            <w:pPr>
              <w:autoSpaceDE/>
              <w:autoSpaceDN/>
              <w:adjustRightInd/>
              <w:jc w:val="both"/>
              <w:rPr>
                <w:color w:val="000000"/>
                <w:sz w:val="20"/>
                <w:szCs w:val="20"/>
              </w:rPr>
            </w:pPr>
          </w:p>
        </w:tc>
        <w:tc>
          <w:tcPr>
            <w:tcW w:w="3544" w:type="dxa"/>
            <w:vMerge/>
          </w:tcPr>
          <w:p w:rsidR="00331B49" w:rsidRPr="00993CA2" w:rsidRDefault="00331B49" w:rsidP="004D2021">
            <w:pPr>
              <w:pStyle w:val="af9"/>
              <w:ind w:left="0"/>
              <w:contextualSpacing w:val="0"/>
              <w:jc w:val="center"/>
              <w:rPr>
                <w:sz w:val="20"/>
                <w:szCs w:val="20"/>
                <w:lang w:val="ru-RU"/>
              </w:rPr>
            </w:pPr>
          </w:p>
        </w:tc>
        <w:tc>
          <w:tcPr>
            <w:tcW w:w="4921" w:type="dxa"/>
          </w:tcPr>
          <w:p w:rsidR="00331B49" w:rsidRPr="00993CA2" w:rsidRDefault="00331B49" w:rsidP="00422B25">
            <w:pPr>
              <w:autoSpaceDE/>
              <w:autoSpaceDN/>
              <w:adjustRightInd/>
              <w:jc w:val="both"/>
              <w:rPr>
                <w:color w:val="000000"/>
                <w:sz w:val="20"/>
                <w:szCs w:val="20"/>
              </w:rPr>
            </w:pPr>
            <w:r w:rsidRPr="00993CA2">
              <w:rPr>
                <w:color w:val="000000"/>
                <w:sz w:val="20"/>
                <w:szCs w:val="20"/>
              </w:rPr>
              <w:t>дневной стационар противоопухолевой лекарственной терапии №11</w:t>
            </w:r>
          </w:p>
        </w:tc>
      </w:tr>
      <w:tr w:rsidR="00563A36" w:rsidRPr="00563A36" w:rsidTr="000B1BA9">
        <w:trPr>
          <w:trHeight w:val="20"/>
        </w:trPr>
        <w:tc>
          <w:tcPr>
            <w:tcW w:w="846" w:type="dxa"/>
          </w:tcPr>
          <w:p w:rsidR="00563A36" w:rsidRPr="00563A36" w:rsidRDefault="00422B25" w:rsidP="00422B25">
            <w:pPr>
              <w:autoSpaceDE/>
              <w:autoSpaceDN/>
              <w:adjustRightInd/>
              <w:jc w:val="center"/>
              <w:rPr>
                <w:color w:val="000000"/>
                <w:sz w:val="20"/>
                <w:szCs w:val="20"/>
              </w:rPr>
            </w:pPr>
            <w:r>
              <w:rPr>
                <w:color w:val="000000"/>
                <w:sz w:val="20"/>
                <w:szCs w:val="20"/>
              </w:rPr>
              <w:t>5</w:t>
            </w:r>
            <w:r w:rsidR="00EC082D">
              <w:rPr>
                <w:color w:val="000000"/>
                <w:sz w:val="20"/>
                <w:szCs w:val="20"/>
              </w:rPr>
              <w:t>.</w:t>
            </w:r>
          </w:p>
        </w:tc>
        <w:tc>
          <w:tcPr>
            <w:tcW w:w="4819" w:type="dxa"/>
          </w:tcPr>
          <w:p w:rsidR="00563A36" w:rsidRPr="00563A36" w:rsidRDefault="00CC5747" w:rsidP="00D06F12">
            <w:pPr>
              <w:autoSpaceDE/>
              <w:autoSpaceDN/>
              <w:adjustRightInd/>
              <w:jc w:val="both"/>
              <w:rPr>
                <w:sz w:val="20"/>
                <w:szCs w:val="20"/>
              </w:rPr>
            </w:pPr>
            <w:r>
              <w:rPr>
                <w:color w:val="000000"/>
                <w:sz w:val="20"/>
                <w:szCs w:val="20"/>
              </w:rPr>
              <w:t xml:space="preserve">ГАУЗ </w:t>
            </w:r>
            <w:r w:rsidR="002F7358">
              <w:rPr>
                <w:color w:val="000000"/>
                <w:sz w:val="20"/>
                <w:szCs w:val="20"/>
              </w:rPr>
              <w:t>«</w:t>
            </w:r>
            <w:r w:rsidR="00563A36" w:rsidRPr="00563A36">
              <w:rPr>
                <w:color w:val="000000"/>
                <w:sz w:val="20"/>
                <w:szCs w:val="20"/>
              </w:rPr>
              <w:t>Республиканская клиническая больница Министерства здравоохранения Республики Татарстан</w:t>
            </w:r>
            <w:r w:rsidR="002F7358">
              <w:rPr>
                <w:color w:val="000000"/>
                <w:sz w:val="20"/>
                <w:szCs w:val="20"/>
              </w:rPr>
              <w:t>»</w:t>
            </w:r>
            <w:r w:rsidR="00563A36" w:rsidRPr="00563A36">
              <w:rPr>
                <w:color w:val="000000"/>
                <w:sz w:val="20"/>
                <w:szCs w:val="20"/>
              </w:rPr>
              <w:t xml:space="preserve"> </w:t>
            </w:r>
          </w:p>
        </w:tc>
        <w:tc>
          <w:tcPr>
            <w:tcW w:w="3544" w:type="dxa"/>
          </w:tcPr>
          <w:p w:rsidR="00563A36" w:rsidRPr="00563A36" w:rsidRDefault="004D2021" w:rsidP="004D2021">
            <w:pPr>
              <w:pStyle w:val="af9"/>
              <w:ind w:left="0"/>
              <w:contextualSpacing w:val="0"/>
              <w:jc w:val="center"/>
              <w:rPr>
                <w:sz w:val="20"/>
                <w:szCs w:val="20"/>
                <w:lang w:val="ru-RU"/>
              </w:rPr>
            </w:pPr>
            <w:r>
              <w:rPr>
                <w:sz w:val="20"/>
                <w:szCs w:val="20"/>
                <w:lang w:val="ru-RU"/>
              </w:rPr>
              <w:t>м</w:t>
            </w:r>
            <w:r w:rsidR="00563A36" w:rsidRPr="00563A36">
              <w:rPr>
                <w:sz w:val="20"/>
                <w:szCs w:val="20"/>
                <w:lang w:val="ru-RU"/>
              </w:rPr>
              <w:t>ногопрофильная больница</w:t>
            </w:r>
          </w:p>
        </w:tc>
        <w:tc>
          <w:tcPr>
            <w:tcW w:w="4921" w:type="dxa"/>
          </w:tcPr>
          <w:p w:rsidR="00563A36" w:rsidRPr="006841F1" w:rsidRDefault="004D2021" w:rsidP="00D06F12">
            <w:pPr>
              <w:autoSpaceDE/>
              <w:autoSpaceDN/>
              <w:adjustRightInd/>
              <w:jc w:val="both"/>
              <w:rPr>
                <w:color w:val="000000"/>
                <w:sz w:val="20"/>
                <w:szCs w:val="20"/>
              </w:rPr>
            </w:pPr>
            <w:r>
              <w:rPr>
                <w:color w:val="000000"/>
                <w:sz w:val="20"/>
                <w:szCs w:val="20"/>
              </w:rPr>
              <w:t>г</w:t>
            </w:r>
            <w:r w:rsidR="006841F1">
              <w:rPr>
                <w:color w:val="000000"/>
                <w:sz w:val="20"/>
                <w:szCs w:val="20"/>
              </w:rPr>
              <w:t>ематологическое отделение</w:t>
            </w:r>
          </w:p>
        </w:tc>
      </w:tr>
      <w:tr w:rsidR="00563A36" w:rsidRPr="00563A36" w:rsidTr="000B1BA9">
        <w:trPr>
          <w:trHeight w:val="20"/>
        </w:trPr>
        <w:tc>
          <w:tcPr>
            <w:tcW w:w="846" w:type="dxa"/>
          </w:tcPr>
          <w:p w:rsidR="00563A36" w:rsidRPr="00563A36" w:rsidRDefault="00422B25" w:rsidP="00422B25">
            <w:pPr>
              <w:autoSpaceDE/>
              <w:autoSpaceDN/>
              <w:adjustRightInd/>
              <w:jc w:val="center"/>
              <w:rPr>
                <w:color w:val="000000"/>
                <w:sz w:val="20"/>
                <w:szCs w:val="20"/>
              </w:rPr>
            </w:pPr>
            <w:r>
              <w:rPr>
                <w:color w:val="000000"/>
                <w:sz w:val="20"/>
                <w:szCs w:val="20"/>
              </w:rPr>
              <w:t>6</w:t>
            </w:r>
            <w:r w:rsidR="00EC082D">
              <w:rPr>
                <w:color w:val="000000"/>
                <w:sz w:val="20"/>
                <w:szCs w:val="20"/>
              </w:rPr>
              <w:t>.</w:t>
            </w:r>
          </w:p>
        </w:tc>
        <w:tc>
          <w:tcPr>
            <w:tcW w:w="4819" w:type="dxa"/>
          </w:tcPr>
          <w:p w:rsidR="00563A36" w:rsidRPr="00583C97" w:rsidRDefault="00583C97" w:rsidP="00D06F12">
            <w:pPr>
              <w:autoSpaceDE/>
              <w:autoSpaceDN/>
              <w:adjustRightInd/>
              <w:jc w:val="both"/>
              <w:rPr>
                <w:color w:val="000000"/>
                <w:sz w:val="20"/>
                <w:szCs w:val="20"/>
              </w:rPr>
            </w:pPr>
            <w:r>
              <w:rPr>
                <w:color w:val="000000"/>
                <w:sz w:val="20"/>
                <w:szCs w:val="20"/>
              </w:rPr>
              <w:t xml:space="preserve">ГАУЗ </w:t>
            </w:r>
            <w:r w:rsidR="002F7358">
              <w:rPr>
                <w:color w:val="000000"/>
                <w:sz w:val="20"/>
                <w:szCs w:val="20"/>
              </w:rPr>
              <w:t>«</w:t>
            </w:r>
            <w:r w:rsidR="00563A36" w:rsidRPr="00563A36">
              <w:rPr>
                <w:color w:val="000000"/>
                <w:sz w:val="20"/>
                <w:szCs w:val="20"/>
              </w:rPr>
              <w:t>Городс</w:t>
            </w:r>
            <w:r w:rsidR="00CC5747">
              <w:rPr>
                <w:color w:val="000000"/>
                <w:sz w:val="20"/>
                <w:szCs w:val="20"/>
              </w:rPr>
              <w:t>кая клиническая больница № 16</w:t>
            </w:r>
            <w:r w:rsidR="002F7358">
              <w:rPr>
                <w:color w:val="000000"/>
                <w:sz w:val="20"/>
                <w:szCs w:val="20"/>
              </w:rPr>
              <w:t>»</w:t>
            </w:r>
            <w:r w:rsidR="00CC5747">
              <w:rPr>
                <w:color w:val="000000"/>
                <w:sz w:val="20"/>
                <w:szCs w:val="20"/>
              </w:rPr>
              <w:t xml:space="preserve"> </w:t>
            </w:r>
            <w:r w:rsidR="000B1BA9">
              <w:rPr>
                <w:color w:val="000000"/>
                <w:sz w:val="20"/>
                <w:szCs w:val="20"/>
              </w:rPr>
              <w:t>г.</w:t>
            </w:r>
            <w:r w:rsidR="00563A36" w:rsidRPr="00563A36">
              <w:rPr>
                <w:color w:val="000000"/>
                <w:sz w:val="20"/>
                <w:szCs w:val="20"/>
              </w:rPr>
              <w:t>Казан</w:t>
            </w:r>
            <w:r w:rsidR="00CC5747">
              <w:rPr>
                <w:color w:val="000000"/>
                <w:sz w:val="20"/>
                <w:szCs w:val="20"/>
              </w:rPr>
              <w:t>и</w:t>
            </w:r>
            <w:r>
              <w:rPr>
                <w:color w:val="000000"/>
                <w:sz w:val="20"/>
                <w:szCs w:val="20"/>
              </w:rPr>
              <w:t xml:space="preserve"> </w:t>
            </w:r>
          </w:p>
        </w:tc>
        <w:tc>
          <w:tcPr>
            <w:tcW w:w="3544" w:type="dxa"/>
          </w:tcPr>
          <w:p w:rsidR="00563A36" w:rsidRPr="00563A36" w:rsidRDefault="004D2021" w:rsidP="004D2021">
            <w:pPr>
              <w:pStyle w:val="af9"/>
              <w:ind w:left="0"/>
              <w:contextualSpacing w:val="0"/>
              <w:jc w:val="center"/>
              <w:rPr>
                <w:sz w:val="20"/>
                <w:szCs w:val="20"/>
                <w:lang w:val="ru-RU"/>
              </w:rPr>
            </w:pPr>
            <w:r>
              <w:rPr>
                <w:sz w:val="20"/>
                <w:szCs w:val="20"/>
                <w:lang w:val="ru-RU"/>
              </w:rPr>
              <w:t>м</w:t>
            </w:r>
            <w:r w:rsidR="00563A36" w:rsidRPr="00563A36">
              <w:rPr>
                <w:sz w:val="20"/>
                <w:szCs w:val="20"/>
                <w:lang w:val="ru-RU"/>
              </w:rPr>
              <w:t>ногопрофильная больница</w:t>
            </w:r>
          </w:p>
        </w:tc>
        <w:tc>
          <w:tcPr>
            <w:tcW w:w="4921" w:type="dxa"/>
          </w:tcPr>
          <w:p w:rsidR="00563A36" w:rsidRPr="006841F1" w:rsidRDefault="004D2021" w:rsidP="00D06F12">
            <w:pPr>
              <w:autoSpaceDE/>
              <w:autoSpaceDN/>
              <w:adjustRightInd/>
              <w:jc w:val="both"/>
              <w:rPr>
                <w:color w:val="000000"/>
                <w:sz w:val="20"/>
                <w:szCs w:val="20"/>
              </w:rPr>
            </w:pPr>
            <w:r>
              <w:rPr>
                <w:color w:val="000000"/>
                <w:sz w:val="20"/>
                <w:szCs w:val="20"/>
              </w:rPr>
              <w:t>г</w:t>
            </w:r>
            <w:r w:rsidR="006841F1">
              <w:rPr>
                <w:color w:val="000000"/>
                <w:sz w:val="20"/>
                <w:szCs w:val="20"/>
              </w:rPr>
              <w:t>ематологическое отделение</w:t>
            </w:r>
          </w:p>
        </w:tc>
      </w:tr>
      <w:tr w:rsidR="00563A36" w:rsidRPr="00563A36" w:rsidTr="000B1BA9">
        <w:trPr>
          <w:trHeight w:val="20"/>
        </w:trPr>
        <w:tc>
          <w:tcPr>
            <w:tcW w:w="846" w:type="dxa"/>
          </w:tcPr>
          <w:p w:rsidR="00563A36" w:rsidRPr="00563A36" w:rsidRDefault="00422B25" w:rsidP="00422B25">
            <w:pPr>
              <w:autoSpaceDE/>
              <w:autoSpaceDN/>
              <w:adjustRightInd/>
              <w:jc w:val="center"/>
              <w:rPr>
                <w:color w:val="000000"/>
                <w:sz w:val="20"/>
                <w:szCs w:val="20"/>
              </w:rPr>
            </w:pPr>
            <w:r>
              <w:rPr>
                <w:color w:val="000000"/>
                <w:sz w:val="20"/>
                <w:szCs w:val="20"/>
              </w:rPr>
              <w:t>7</w:t>
            </w:r>
            <w:r w:rsidR="00EC082D">
              <w:rPr>
                <w:color w:val="000000"/>
                <w:sz w:val="20"/>
                <w:szCs w:val="20"/>
              </w:rPr>
              <w:t>.</w:t>
            </w:r>
          </w:p>
        </w:tc>
        <w:tc>
          <w:tcPr>
            <w:tcW w:w="4819" w:type="dxa"/>
          </w:tcPr>
          <w:p w:rsidR="00563A36" w:rsidRPr="00583C97" w:rsidRDefault="00583C97" w:rsidP="000B1BA9">
            <w:pPr>
              <w:autoSpaceDE/>
              <w:autoSpaceDN/>
              <w:adjustRightInd/>
              <w:jc w:val="both"/>
              <w:rPr>
                <w:color w:val="000000"/>
                <w:sz w:val="20"/>
                <w:szCs w:val="20"/>
              </w:rPr>
            </w:pPr>
            <w:r>
              <w:rPr>
                <w:color w:val="000000"/>
                <w:sz w:val="20"/>
                <w:szCs w:val="20"/>
              </w:rPr>
              <w:t xml:space="preserve">ГАУЗ </w:t>
            </w:r>
            <w:r w:rsidR="002F7358">
              <w:rPr>
                <w:color w:val="000000"/>
                <w:sz w:val="20"/>
                <w:szCs w:val="20"/>
              </w:rPr>
              <w:t>«</w:t>
            </w:r>
            <w:r w:rsidR="00563A36" w:rsidRPr="00563A36">
              <w:rPr>
                <w:color w:val="000000"/>
                <w:sz w:val="20"/>
                <w:szCs w:val="20"/>
              </w:rPr>
              <w:t>Городская больница № 2</w:t>
            </w:r>
            <w:r w:rsidR="002F7358">
              <w:rPr>
                <w:color w:val="000000"/>
                <w:sz w:val="20"/>
                <w:szCs w:val="20"/>
              </w:rPr>
              <w:t>»</w:t>
            </w:r>
            <w:r>
              <w:rPr>
                <w:color w:val="000000"/>
                <w:sz w:val="20"/>
                <w:szCs w:val="20"/>
              </w:rPr>
              <w:t xml:space="preserve"> </w:t>
            </w:r>
            <w:r w:rsidR="00563A36" w:rsidRPr="00563A36">
              <w:rPr>
                <w:color w:val="000000"/>
                <w:sz w:val="20"/>
                <w:szCs w:val="20"/>
              </w:rPr>
              <w:t>г.Набережные Челны</w:t>
            </w:r>
          </w:p>
        </w:tc>
        <w:tc>
          <w:tcPr>
            <w:tcW w:w="3544" w:type="dxa"/>
          </w:tcPr>
          <w:p w:rsidR="00563A36" w:rsidRPr="00563A36" w:rsidRDefault="004D2021" w:rsidP="004D2021">
            <w:pPr>
              <w:pStyle w:val="af9"/>
              <w:ind w:left="0"/>
              <w:contextualSpacing w:val="0"/>
              <w:jc w:val="center"/>
              <w:rPr>
                <w:sz w:val="20"/>
                <w:szCs w:val="20"/>
                <w:lang w:val="ru-RU"/>
              </w:rPr>
            </w:pPr>
            <w:r>
              <w:rPr>
                <w:sz w:val="20"/>
                <w:szCs w:val="20"/>
                <w:lang w:val="ru-RU"/>
              </w:rPr>
              <w:t>м</w:t>
            </w:r>
            <w:r w:rsidR="00563A36" w:rsidRPr="00563A36">
              <w:rPr>
                <w:sz w:val="20"/>
                <w:szCs w:val="20"/>
                <w:lang w:val="ru-RU"/>
              </w:rPr>
              <w:t>ногопрофильная больница</w:t>
            </w:r>
          </w:p>
        </w:tc>
        <w:tc>
          <w:tcPr>
            <w:tcW w:w="4921" w:type="dxa"/>
          </w:tcPr>
          <w:p w:rsidR="00563A36" w:rsidRPr="006841F1" w:rsidRDefault="004D2021" w:rsidP="00D06F12">
            <w:pPr>
              <w:autoSpaceDE/>
              <w:autoSpaceDN/>
              <w:adjustRightInd/>
              <w:jc w:val="both"/>
              <w:rPr>
                <w:color w:val="000000"/>
                <w:sz w:val="20"/>
                <w:szCs w:val="20"/>
              </w:rPr>
            </w:pPr>
            <w:r>
              <w:rPr>
                <w:color w:val="000000"/>
                <w:sz w:val="20"/>
                <w:szCs w:val="20"/>
              </w:rPr>
              <w:t>г</w:t>
            </w:r>
            <w:r w:rsidR="006841F1">
              <w:rPr>
                <w:color w:val="000000"/>
                <w:sz w:val="20"/>
                <w:szCs w:val="20"/>
              </w:rPr>
              <w:t>ематологическое отделение</w:t>
            </w:r>
          </w:p>
        </w:tc>
      </w:tr>
      <w:tr w:rsidR="00331B49" w:rsidRPr="00563A36" w:rsidTr="000B1BA9">
        <w:trPr>
          <w:trHeight w:val="20"/>
        </w:trPr>
        <w:tc>
          <w:tcPr>
            <w:tcW w:w="846" w:type="dxa"/>
            <w:vMerge w:val="restart"/>
          </w:tcPr>
          <w:p w:rsidR="00331B49" w:rsidRPr="00563A36" w:rsidRDefault="00331B49" w:rsidP="00422B25">
            <w:pPr>
              <w:autoSpaceDE/>
              <w:autoSpaceDN/>
              <w:adjustRightInd/>
              <w:jc w:val="center"/>
              <w:rPr>
                <w:color w:val="000000"/>
                <w:sz w:val="20"/>
                <w:szCs w:val="20"/>
              </w:rPr>
            </w:pPr>
            <w:r>
              <w:rPr>
                <w:color w:val="000000"/>
                <w:sz w:val="20"/>
                <w:szCs w:val="20"/>
              </w:rPr>
              <w:t>8.</w:t>
            </w:r>
          </w:p>
        </w:tc>
        <w:tc>
          <w:tcPr>
            <w:tcW w:w="4819" w:type="dxa"/>
            <w:vMerge w:val="restart"/>
          </w:tcPr>
          <w:p w:rsidR="00331B49" w:rsidRPr="00563A36" w:rsidRDefault="00331B49" w:rsidP="00D06F12">
            <w:pPr>
              <w:autoSpaceDE/>
              <w:autoSpaceDN/>
              <w:adjustRightInd/>
              <w:jc w:val="both"/>
              <w:rPr>
                <w:sz w:val="20"/>
                <w:szCs w:val="20"/>
              </w:rPr>
            </w:pPr>
            <w:r>
              <w:rPr>
                <w:color w:val="000000"/>
                <w:sz w:val="20"/>
                <w:szCs w:val="20"/>
              </w:rPr>
              <w:t>ГАУЗ «</w:t>
            </w:r>
            <w:r w:rsidRPr="00563A36">
              <w:rPr>
                <w:color w:val="000000"/>
                <w:sz w:val="20"/>
                <w:szCs w:val="20"/>
              </w:rPr>
              <w:t>Детская республиканская клиническая больница Министерства здрав</w:t>
            </w:r>
            <w:r>
              <w:rPr>
                <w:color w:val="000000"/>
                <w:sz w:val="20"/>
                <w:szCs w:val="20"/>
              </w:rPr>
              <w:t>оохранения Республики Татарстан»</w:t>
            </w:r>
          </w:p>
        </w:tc>
        <w:tc>
          <w:tcPr>
            <w:tcW w:w="3544" w:type="dxa"/>
            <w:vMerge w:val="restart"/>
          </w:tcPr>
          <w:p w:rsidR="00331B49" w:rsidRPr="00563A36" w:rsidRDefault="00331B49" w:rsidP="004D2021">
            <w:pPr>
              <w:pStyle w:val="af9"/>
              <w:ind w:left="0"/>
              <w:contextualSpacing w:val="0"/>
              <w:jc w:val="center"/>
              <w:rPr>
                <w:sz w:val="20"/>
                <w:szCs w:val="20"/>
                <w:lang w:val="ru-RU"/>
              </w:rPr>
            </w:pPr>
            <w:r>
              <w:rPr>
                <w:sz w:val="20"/>
                <w:szCs w:val="20"/>
                <w:lang w:val="ru-RU"/>
              </w:rPr>
              <w:t>м</w:t>
            </w:r>
            <w:r w:rsidRPr="00563A36">
              <w:rPr>
                <w:sz w:val="20"/>
                <w:szCs w:val="20"/>
                <w:lang w:val="ru-RU"/>
              </w:rPr>
              <w:t>ногопрофильная больница</w:t>
            </w:r>
          </w:p>
        </w:tc>
        <w:tc>
          <w:tcPr>
            <w:tcW w:w="4921" w:type="dxa"/>
            <w:tcBorders>
              <w:top w:val="single" w:sz="4" w:space="0" w:color="auto"/>
              <w:left w:val="single" w:sz="4" w:space="0" w:color="auto"/>
              <w:bottom w:val="single" w:sz="4" w:space="0" w:color="auto"/>
              <w:right w:val="single" w:sz="4" w:space="0" w:color="auto"/>
            </w:tcBorders>
            <w:shd w:val="clear" w:color="000000" w:fill="FFFFFF"/>
          </w:tcPr>
          <w:p w:rsidR="00331B49" w:rsidRPr="00563A36" w:rsidRDefault="00331B49" w:rsidP="00D06F12">
            <w:pPr>
              <w:autoSpaceDE/>
              <w:autoSpaceDN/>
              <w:adjustRightInd/>
              <w:jc w:val="both"/>
              <w:rPr>
                <w:color w:val="000000"/>
                <w:sz w:val="20"/>
                <w:szCs w:val="20"/>
              </w:rPr>
            </w:pPr>
            <w:r>
              <w:rPr>
                <w:color w:val="000000"/>
                <w:sz w:val="20"/>
                <w:szCs w:val="20"/>
              </w:rPr>
              <w:t>д</w:t>
            </w:r>
            <w:r w:rsidRPr="00563A36">
              <w:rPr>
                <w:color w:val="000000"/>
                <w:sz w:val="20"/>
                <w:szCs w:val="20"/>
              </w:rPr>
              <w:t>етское онкологическое отделение № 1</w:t>
            </w:r>
          </w:p>
        </w:tc>
      </w:tr>
      <w:tr w:rsidR="00331B49" w:rsidRPr="00563A36" w:rsidTr="000B1BA9">
        <w:trPr>
          <w:trHeight w:val="20"/>
        </w:trPr>
        <w:tc>
          <w:tcPr>
            <w:tcW w:w="846" w:type="dxa"/>
            <w:vMerge/>
          </w:tcPr>
          <w:p w:rsidR="00331B49" w:rsidRPr="00563A36" w:rsidRDefault="00331B49" w:rsidP="00894D08">
            <w:pPr>
              <w:pStyle w:val="af9"/>
              <w:ind w:left="0"/>
              <w:contextualSpacing w:val="0"/>
              <w:jc w:val="center"/>
              <w:rPr>
                <w:sz w:val="20"/>
                <w:szCs w:val="20"/>
                <w:lang w:val="ru-RU"/>
              </w:rPr>
            </w:pPr>
          </w:p>
        </w:tc>
        <w:tc>
          <w:tcPr>
            <w:tcW w:w="4819" w:type="dxa"/>
            <w:vMerge/>
          </w:tcPr>
          <w:p w:rsidR="00331B49" w:rsidRPr="00563A36" w:rsidRDefault="00331B49" w:rsidP="00894D08">
            <w:pPr>
              <w:pStyle w:val="af9"/>
              <w:ind w:left="0"/>
              <w:contextualSpacing w:val="0"/>
              <w:rPr>
                <w:sz w:val="20"/>
                <w:szCs w:val="20"/>
                <w:lang w:val="ru-RU"/>
              </w:rPr>
            </w:pPr>
          </w:p>
        </w:tc>
        <w:tc>
          <w:tcPr>
            <w:tcW w:w="3544" w:type="dxa"/>
            <w:vMerge/>
          </w:tcPr>
          <w:p w:rsidR="00331B49" w:rsidRPr="00563A36" w:rsidRDefault="00331B49" w:rsidP="00894D08">
            <w:pPr>
              <w:pStyle w:val="af9"/>
              <w:ind w:left="0"/>
              <w:contextualSpacing w:val="0"/>
              <w:rPr>
                <w:sz w:val="20"/>
                <w:szCs w:val="20"/>
                <w:lang w:val="ru-RU"/>
              </w:rPr>
            </w:pPr>
          </w:p>
        </w:tc>
        <w:tc>
          <w:tcPr>
            <w:tcW w:w="4921" w:type="dxa"/>
            <w:tcBorders>
              <w:top w:val="nil"/>
              <w:left w:val="single" w:sz="4" w:space="0" w:color="auto"/>
              <w:bottom w:val="single" w:sz="4" w:space="0" w:color="auto"/>
              <w:right w:val="single" w:sz="4" w:space="0" w:color="auto"/>
            </w:tcBorders>
            <w:shd w:val="clear" w:color="000000" w:fill="FFFFFF"/>
          </w:tcPr>
          <w:p w:rsidR="00331B49" w:rsidRPr="00563A36" w:rsidRDefault="00331B49" w:rsidP="00D06F12">
            <w:pPr>
              <w:jc w:val="both"/>
              <w:rPr>
                <w:color w:val="000000"/>
                <w:sz w:val="20"/>
                <w:szCs w:val="20"/>
              </w:rPr>
            </w:pPr>
            <w:r>
              <w:rPr>
                <w:color w:val="000000"/>
                <w:sz w:val="20"/>
                <w:szCs w:val="20"/>
              </w:rPr>
              <w:t>д</w:t>
            </w:r>
            <w:r w:rsidRPr="00563A36">
              <w:rPr>
                <w:color w:val="000000"/>
                <w:sz w:val="20"/>
                <w:szCs w:val="20"/>
              </w:rPr>
              <w:t>етское онкологическое отделение № 2</w:t>
            </w:r>
          </w:p>
        </w:tc>
      </w:tr>
      <w:tr w:rsidR="00331B49" w:rsidRPr="00563A36" w:rsidTr="000B1BA9">
        <w:trPr>
          <w:trHeight w:val="20"/>
        </w:trPr>
        <w:tc>
          <w:tcPr>
            <w:tcW w:w="846" w:type="dxa"/>
            <w:vMerge/>
          </w:tcPr>
          <w:p w:rsidR="00331B49" w:rsidRPr="00563A36" w:rsidRDefault="00331B49" w:rsidP="00894D08">
            <w:pPr>
              <w:pStyle w:val="af9"/>
              <w:ind w:left="0"/>
              <w:contextualSpacing w:val="0"/>
              <w:jc w:val="center"/>
              <w:rPr>
                <w:sz w:val="20"/>
                <w:szCs w:val="20"/>
                <w:lang w:val="ru-RU"/>
              </w:rPr>
            </w:pPr>
          </w:p>
        </w:tc>
        <w:tc>
          <w:tcPr>
            <w:tcW w:w="4819" w:type="dxa"/>
            <w:vMerge/>
          </w:tcPr>
          <w:p w:rsidR="00331B49" w:rsidRPr="00563A36" w:rsidRDefault="00331B49" w:rsidP="00894D08">
            <w:pPr>
              <w:pStyle w:val="af9"/>
              <w:ind w:left="0"/>
              <w:contextualSpacing w:val="0"/>
              <w:rPr>
                <w:sz w:val="20"/>
                <w:szCs w:val="20"/>
                <w:lang w:val="ru-RU"/>
              </w:rPr>
            </w:pPr>
          </w:p>
        </w:tc>
        <w:tc>
          <w:tcPr>
            <w:tcW w:w="3544" w:type="dxa"/>
            <w:vMerge/>
          </w:tcPr>
          <w:p w:rsidR="00331B49" w:rsidRPr="00563A36" w:rsidRDefault="00331B49" w:rsidP="00894D08">
            <w:pPr>
              <w:pStyle w:val="af9"/>
              <w:ind w:left="0"/>
              <w:contextualSpacing w:val="0"/>
              <w:rPr>
                <w:sz w:val="20"/>
                <w:szCs w:val="20"/>
                <w:lang w:val="ru-RU"/>
              </w:rPr>
            </w:pPr>
          </w:p>
        </w:tc>
        <w:tc>
          <w:tcPr>
            <w:tcW w:w="4921" w:type="dxa"/>
            <w:tcBorders>
              <w:top w:val="nil"/>
              <w:left w:val="single" w:sz="4" w:space="0" w:color="auto"/>
              <w:bottom w:val="single" w:sz="4" w:space="0" w:color="auto"/>
              <w:right w:val="single" w:sz="4" w:space="0" w:color="auto"/>
            </w:tcBorders>
            <w:shd w:val="clear" w:color="000000" w:fill="FFFFFF"/>
          </w:tcPr>
          <w:p w:rsidR="00331B49" w:rsidRPr="00563A36" w:rsidRDefault="00331B49" w:rsidP="00D06F12">
            <w:pPr>
              <w:jc w:val="both"/>
              <w:rPr>
                <w:color w:val="000000"/>
                <w:sz w:val="20"/>
                <w:szCs w:val="20"/>
              </w:rPr>
            </w:pPr>
            <w:r>
              <w:rPr>
                <w:color w:val="000000"/>
                <w:sz w:val="20"/>
                <w:szCs w:val="20"/>
              </w:rPr>
              <w:t>д</w:t>
            </w:r>
            <w:r w:rsidRPr="00563A36">
              <w:rPr>
                <w:color w:val="000000"/>
                <w:sz w:val="20"/>
                <w:szCs w:val="20"/>
              </w:rPr>
              <w:t>невной стационар (гематологии и химиотерапии)</w:t>
            </w:r>
          </w:p>
        </w:tc>
      </w:tr>
      <w:tr w:rsidR="00331B49" w:rsidRPr="00563A36" w:rsidTr="000B1BA9">
        <w:trPr>
          <w:trHeight w:val="20"/>
        </w:trPr>
        <w:tc>
          <w:tcPr>
            <w:tcW w:w="846" w:type="dxa"/>
            <w:vMerge/>
          </w:tcPr>
          <w:p w:rsidR="00331B49" w:rsidRPr="00563A36" w:rsidRDefault="00331B49" w:rsidP="00894D08">
            <w:pPr>
              <w:pStyle w:val="af9"/>
              <w:ind w:left="0"/>
              <w:contextualSpacing w:val="0"/>
              <w:jc w:val="center"/>
              <w:rPr>
                <w:sz w:val="20"/>
                <w:szCs w:val="20"/>
                <w:lang w:val="ru-RU"/>
              </w:rPr>
            </w:pPr>
          </w:p>
        </w:tc>
        <w:tc>
          <w:tcPr>
            <w:tcW w:w="4819" w:type="dxa"/>
            <w:vMerge/>
          </w:tcPr>
          <w:p w:rsidR="00331B49" w:rsidRPr="00563A36" w:rsidRDefault="00331B49" w:rsidP="00894D08">
            <w:pPr>
              <w:pStyle w:val="af9"/>
              <w:ind w:left="0"/>
              <w:contextualSpacing w:val="0"/>
              <w:rPr>
                <w:sz w:val="20"/>
                <w:szCs w:val="20"/>
                <w:lang w:val="ru-RU"/>
              </w:rPr>
            </w:pPr>
          </w:p>
        </w:tc>
        <w:tc>
          <w:tcPr>
            <w:tcW w:w="3544" w:type="dxa"/>
            <w:vMerge/>
          </w:tcPr>
          <w:p w:rsidR="00331B49" w:rsidRPr="00563A36" w:rsidRDefault="00331B49" w:rsidP="00894D08">
            <w:pPr>
              <w:pStyle w:val="af9"/>
              <w:ind w:left="0"/>
              <w:contextualSpacing w:val="0"/>
              <w:rPr>
                <w:sz w:val="20"/>
                <w:szCs w:val="20"/>
                <w:lang w:val="ru-RU"/>
              </w:rPr>
            </w:pPr>
          </w:p>
        </w:tc>
        <w:tc>
          <w:tcPr>
            <w:tcW w:w="4921" w:type="dxa"/>
            <w:tcBorders>
              <w:top w:val="nil"/>
              <w:left w:val="single" w:sz="4" w:space="0" w:color="auto"/>
              <w:bottom w:val="single" w:sz="4" w:space="0" w:color="auto"/>
              <w:right w:val="single" w:sz="4" w:space="0" w:color="auto"/>
            </w:tcBorders>
            <w:shd w:val="clear" w:color="000000" w:fill="FFFFFF"/>
          </w:tcPr>
          <w:p w:rsidR="00331B49" w:rsidRPr="00563A36" w:rsidRDefault="00331B49" w:rsidP="00D06F12">
            <w:pPr>
              <w:jc w:val="both"/>
              <w:rPr>
                <w:color w:val="000000"/>
                <w:sz w:val="20"/>
                <w:szCs w:val="20"/>
              </w:rPr>
            </w:pPr>
            <w:r>
              <w:rPr>
                <w:color w:val="000000"/>
                <w:sz w:val="20"/>
                <w:szCs w:val="20"/>
              </w:rPr>
              <w:t>о</w:t>
            </w:r>
            <w:r w:rsidRPr="00563A36">
              <w:rPr>
                <w:color w:val="000000"/>
                <w:sz w:val="20"/>
                <w:szCs w:val="20"/>
              </w:rPr>
              <w:t xml:space="preserve">тделение медицинской реабилитации для детей </w:t>
            </w:r>
          </w:p>
        </w:tc>
      </w:tr>
      <w:tr w:rsidR="00331B49" w:rsidRPr="00563A36" w:rsidTr="000B1BA9">
        <w:trPr>
          <w:trHeight w:val="20"/>
        </w:trPr>
        <w:tc>
          <w:tcPr>
            <w:tcW w:w="846" w:type="dxa"/>
            <w:vMerge/>
          </w:tcPr>
          <w:p w:rsidR="00331B49" w:rsidRPr="00563A36" w:rsidRDefault="00331B49" w:rsidP="00894D08">
            <w:pPr>
              <w:pStyle w:val="af9"/>
              <w:ind w:left="0"/>
              <w:contextualSpacing w:val="0"/>
              <w:jc w:val="center"/>
              <w:rPr>
                <w:sz w:val="20"/>
                <w:szCs w:val="20"/>
                <w:lang w:val="ru-RU"/>
              </w:rPr>
            </w:pPr>
          </w:p>
        </w:tc>
        <w:tc>
          <w:tcPr>
            <w:tcW w:w="4819" w:type="dxa"/>
            <w:vMerge/>
          </w:tcPr>
          <w:p w:rsidR="00331B49" w:rsidRPr="00563A36" w:rsidRDefault="00331B49" w:rsidP="00894D08">
            <w:pPr>
              <w:pStyle w:val="af9"/>
              <w:ind w:left="0"/>
              <w:contextualSpacing w:val="0"/>
              <w:rPr>
                <w:sz w:val="20"/>
                <w:szCs w:val="20"/>
                <w:lang w:val="ru-RU"/>
              </w:rPr>
            </w:pPr>
          </w:p>
        </w:tc>
        <w:tc>
          <w:tcPr>
            <w:tcW w:w="3544" w:type="dxa"/>
            <w:vMerge/>
          </w:tcPr>
          <w:p w:rsidR="00331B49" w:rsidRPr="00563A36" w:rsidRDefault="00331B49" w:rsidP="00894D08">
            <w:pPr>
              <w:pStyle w:val="af9"/>
              <w:ind w:left="0"/>
              <w:contextualSpacing w:val="0"/>
              <w:rPr>
                <w:sz w:val="20"/>
                <w:szCs w:val="20"/>
                <w:lang w:val="ru-RU"/>
              </w:rPr>
            </w:pPr>
          </w:p>
        </w:tc>
        <w:tc>
          <w:tcPr>
            <w:tcW w:w="4921" w:type="dxa"/>
            <w:tcBorders>
              <w:top w:val="nil"/>
              <w:left w:val="single" w:sz="4" w:space="0" w:color="auto"/>
              <w:bottom w:val="single" w:sz="4" w:space="0" w:color="auto"/>
              <w:right w:val="single" w:sz="4" w:space="0" w:color="auto"/>
            </w:tcBorders>
            <w:shd w:val="clear" w:color="000000" w:fill="FFFFFF"/>
          </w:tcPr>
          <w:p w:rsidR="00331B49" w:rsidRPr="00563A36" w:rsidRDefault="00331B49" w:rsidP="00D06F12">
            <w:pPr>
              <w:jc w:val="both"/>
              <w:rPr>
                <w:color w:val="000000"/>
                <w:sz w:val="20"/>
                <w:szCs w:val="20"/>
              </w:rPr>
            </w:pPr>
            <w:r>
              <w:rPr>
                <w:color w:val="000000"/>
                <w:sz w:val="20"/>
                <w:szCs w:val="20"/>
              </w:rPr>
              <w:t>о</w:t>
            </w:r>
            <w:r w:rsidRPr="00563A36">
              <w:rPr>
                <w:color w:val="000000"/>
                <w:sz w:val="20"/>
                <w:szCs w:val="20"/>
              </w:rPr>
              <w:t>тделение гематологии и иммунологии</w:t>
            </w:r>
          </w:p>
        </w:tc>
      </w:tr>
      <w:tr w:rsidR="00331B49" w:rsidRPr="00563A36" w:rsidTr="000B1BA9">
        <w:trPr>
          <w:trHeight w:val="20"/>
        </w:trPr>
        <w:tc>
          <w:tcPr>
            <w:tcW w:w="846" w:type="dxa"/>
            <w:vMerge/>
          </w:tcPr>
          <w:p w:rsidR="00331B49" w:rsidRPr="00563A36" w:rsidRDefault="00331B49" w:rsidP="00894D08">
            <w:pPr>
              <w:pStyle w:val="af9"/>
              <w:ind w:left="0"/>
              <w:contextualSpacing w:val="0"/>
              <w:jc w:val="center"/>
              <w:rPr>
                <w:sz w:val="20"/>
                <w:szCs w:val="20"/>
                <w:lang w:val="ru-RU"/>
              </w:rPr>
            </w:pPr>
          </w:p>
        </w:tc>
        <w:tc>
          <w:tcPr>
            <w:tcW w:w="4819" w:type="dxa"/>
            <w:vMerge/>
          </w:tcPr>
          <w:p w:rsidR="00331B49" w:rsidRPr="00563A36" w:rsidRDefault="00331B49" w:rsidP="00894D08">
            <w:pPr>
              <w:pStyle w:val="af9"/>
              <w:ind w:left="0"/>
              <w:contextualSpacing w:val="0"/>
              <w:rPr>
                <w:sz w:val="20"/>
                <w:szCs w:val="20"/>
                <w:lang w:val="ru-RU"/>
              </w:rPr>
            </w:pPr>
          </w:p>
        </w:tc>
        <w:tc>
          <w:tcPr>
            <w:tcW w:w="3544" w:type="dxa"/>
            <w:vMerge/>
          </w:tcPr>
          <w:p w:rsidR="00331B49" w:rsidRPr="00563A36" w:rsidRDefault="00331B49" w:rsidP="00894D08">
            <w:pPr>
              <w:pStyle w:val="af9"/>
              <w:ind w:left="0"/>
              <w:contextualSpacing w:val="0"/>
              <w:rPr>
                <w:sz w:val="20"/>
                <w:szCs w:val="20"/>
                <w:lang w:val="ru-RU"/>
              </w:rPr>
            </w:pPr>
          </w:p>
        </w:tc>
        <w:tc>
          <w:tcPr>
            <w:tcW w:w="4921" w:type="dxa"/>
            <w:tcBorders>
              <w:top w:val="nil"/>
              <w:left w:val="single" w:sz="4" w:space="0" w:color="auto"/>
              <w:bottom w:val="single" w:sz="4" w:space="0" w:color="auto"/>
              <w:right w:val="single" w:sz="4" w:space="0" w:color="auto"/>
            </w:tcBorders>
            <w:shd w:val="clear" w:color="000000" w:fill="FFFFFF"/>
          </w:tcPr>
          <w:p w:rsidR="00331B49" w:rsidRPr="00563A36" w:rsidRDefault="00331B49" w:rsidP="00D06F12">
            <w:pPr>
              <w:jc w:val="both"/>
              <w:rPr>
                <w:color w:val="000000"/>
                <w:sz w:val="20"/>
                <w:szCs w:val="20"/>
              </w:rPr>
            </w:pPr>
            <w:r>
              <w:rPr>
                <w:color w:val="000000"/>
                <w:sz w:val="20"/>
                <w:szCs w:val="20"/>
              </w:rPr>
              <w:t>о</w:t>
            </w:r>
            <w:r w:rsidRPr="00563A36">
              <w:rPr>
                <w:color w:val="000000"/>
                <w:sz w:val="20"/>
                <w:szCs w:val="20"/>
              </w:rPr>
              <w:t>тделение паллиативной медицинской помощи детям</w:t>
            </w:r>
          </w:p>
        </w:tc>
      </w:tr>
    </w:tbl>
    <w:p w:rsidR="00290A66" w:rsidRDefault="00290A66" w:rsidP="000B1BA9">
      <w:pPr>
        <w:ind w:left="9926" w:firstLine="709"/>
        <w:jc w:val="right"/>
        <w:rPr>
          <w:sz w:val="28"/>
          <w:szCs w:val="28"/>
        </w:rPr>
      </w:pPr>
    </w:p>
    <w:p w:rsidR="004159E6" w:rsidRDefault="005E7D23" w:rsidP="00EF1078">
      <w:pPr>
        <w:pStyle w:val="af9"/>
        <w:ind w:left="11344" w:firstLine="709"/>
        <w:contextualSpacing w:val="0"/>
        <w:jc w:val="right"/>
        <w:rPr>
          <w:sz w:val="28"/>
          <w:szCs w:val="28"/>
          <w:lang w:val="ru-RU"/>
        </w:rPr>
      </w:pPr>
      <w:r w:rsidRPr="00EF1078">
        <w:rPr>
          <w:sz w:val="28"/>
          <w:szCs w:val="28"/>
          <w:lang w:val="ru-RU"/>
        </w:rPr>
        <w:t xml:space="preserve">Таблица </w:t>
      </w:r>
      <w:r w:rsidR="0030667F" w:rsidRPr="00EF1078">
        <w:rPr>
          <w:sz w:val="28"/>
          <w:szCs w:val="28"/>
          <w:lang w:val="ru-RU"/>
        </w:rPr>
        <w:t>16.1</w:t>
      </w:r>
    </w:p>
    <w:p w:rsidR="00EF1078" w:rsidRPr="002C370F" w:rsidRDefault="00EF1078" w:rsidP="000B1BA9">
      <w:pPr>
        <w:pStyle w:val="af9"/>
        <w:ind w:left="11344" w:firstLine="709"/>
        <w:contextualSpacing w:val="0"/>
        <w:rPr>
          <w:sz w:val="28"/>
          <w:szCs w:val="28"/>
          <w:lang w:val="ru-RU"/>
        </w:rPr>
      </w:pPr>
    </w:p>
    <w:p w:rsidR="004159E6" w:rsidRDefault="004159E6" w:rsidP="000B1BA9">
      <w:pPr>
        <w:jc w:val="center"/>
        <w:rPr>
          <w:bCs/>
          <w:color w:val="000000"/>
          <w:sz w:val="28"/>
          <w:szCs w:val="28"/>
        </w:rPr>
      </w:pPr>
      <w:r w:rsidRPr="006841F1">
        <w:rPr>
          <w:bCs/>
          <w:color w:val="000000"/>
          <w:sz w:val="28"/>
          <w:szCs w:val="28"/>
        </w:rPr>
        <w:t>Кадровое обеспечение врачами</w:t>
      </w:r>
      <w:r w:rsidR="004D2021">
        <w:rPr>
          <w:bCs/>
          <w:color w:val="000000"/>
          <w:sz w:val="28"/>
          <w:szCs w:val="28"/>
        </w:rPr>
        <w:t>-</w:t>
      </w:r>
      <w:r w:rsidRPr="006841F1">
        <w:rPr>
          <w:bCs/>
          <w:color w:val="000000"/>
          <w:sz w:val="28"/>
          <w:szCs w:val="28"/>
        </w:rPr>
        <w:t xml:space="preserve">онкологами </w:t>
      </w:r>
      <w:r w:rsidR="005534FF">
        <w:rPr>
          <w:sz w:val="28"/>
          <w:szCs w:val="28"/>
        </w:rPr>
        <w:t>центров амбулаторной онкологической помощи</w:t>
      </w:r>
      <w:r w:rsidR="005534FF">
        <w:rPr>
          <w:bCs/>
          <w:color w:val="000000"/>
          <w:sz w:val="28"/>
          <w:szCs w:val="28"/>
        </w:rPr>
        <w:t xml:space="preserve"> </w:t>
      </w:r>
    </w:p>
    <w:p w:rsidR="005534FF" w:rsidRDefault="005534FF" w:rsidP="000B1BA9">
      <w:pPr>
        <w:jc w:val="center"/>
        <w:rPr>
          <w:bCs/>
          <w:color w:val="000000"/>
          <w:sz w:val="28"/>
          <w:szCs w:val="28"/>
        </w:rPr>
      </w:pPr>
    </w:p>
    <w:p w:rsidR="005534FF" w:rsidRPr="006841F1" w:rsidRDefault="005534FF" w:rsidP="000B1BA9">
      <w:pPr>
        <w:jc w:val="center"/>
        <w:rPr>
          <w:sz w:val="28"/>
          <w:szCs w:val="28"/>
        </w:rPr>
      </w:pPr>
    </w:p>
    <w:p w:rsidR="005E7D23" w:rsidRPr="007D22C9" w:rsidRDefault="005E7D23" w:rsidP="000B1BA9">
      <w:pPr>
        <w:rPr>
          <w:rFonts w:asciiTheme="minorHAnsi" w:eastAsiaTheme="minorHAnsi" w:hAnsiTheme="minorHAnsi" w:cstheme="minorBidi"/>
          <w:sz w:val="28"/>
          <w:szCs w:val="28"/>
          <w:lang w:eastAsia="en-US"/>
        </w:rPr>
      </w:pPr>
      <w:r w:rsidRPr="007D22C9">
        <w:fldChar w:fldCharType="begin"/>
      </w:r>
      <w:r w:rsidRPr="007D22C9">
        <w:instrText xml:space="preserve"> LINK </w:instrText>
      </w:r>
      <w:r w:rsidR="004A6AE5" w:rsidRPr="007D22C9">
        <w:instrText xml:space="preserve">Excel.Sheet.12 "C:\\Users\\shakam\\Documents\\2026\\!!!Актуализация РП БОЗ РТ\\Documents\\2025\\!!!БОЗ актуализация 2025-2030\\_Шакиров\\В АСММС\\_ГВС\\Онколог\\ЦАОП Кадры.xlsx" Лист1!R1C1:R12C12 </w:instrText>
      </w:r>
      <w:r w:rsidRPr="007D22C9">
        <w:instrText xml:space="preserve">\a \f 4 \h </w:instrText>
      </w:r>
      <w:r w:rsidR="003C547B" w:rsidRPr="007D22C9">
        <w:instrText xml:space="preserve"> \* MERGEFORMAT </w:instrText>
      </w:r>
      <w:r w:rsidRPr="007D22C9">
        <w:fldChar w:fldCharType="separate"/>
      </w:r>
    </w:p>
    <w:tbl>
      <w:tblPr>
        <w:tblW w:w="14141"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0"/>
        <w:gridCol w:w="1662"/>
        <w:gridCol w:w="1559"/>
        <w:gridCol w:w="992"/>
        <w:gridCol w:w="851"/>
        <w:gridCol w:w="1474"/>
        <w:gridCol w:w="1134"/>
        <w:gridCol w:w="1134"/>
        <w:gridCol w:w="1276"/>
        <w:gridCol w:w="1247"/>
        <w:gridCol w:w="1077"/>
        <w:gridCol w:w="1275"/>
      </w:tblGrid>
      <w:tr w:rsidR="009E5C52" w:rsidRPr="007D22C9" w:rsidTr="00EF1078">
        <w:trPr>
          <w:trHeight w:val="20"/>
        </w:trPr>
        <w:tc>
          <w:tcPr>
            <w:tcW w:w="460" w:type="dxa"/>
            <w:shd w:val="clear" w:color="auto" w:fill="auto"/>
            <w:hideMark/>
          </w:tcPr>
          <w:p w:rsidR="009E5C52" w:rsidRPr="007D22C9" w:rsidRDefault="009E5C52" w:rsidP="000B1BA9">
            <w:pPr>
              <w:autoSpaceDE/>
              <w:autoSpaceDN/>
              <w:adjustRightInd/>
              <w:jc w:val="center"/>
              <w:rPr>
                <w:bCs/>
                <w:color w:val="000000"/>
                <w:sz w:val="20"/>
                <w:szCs w:val="20"/>
              </w:rPr>
            </w:pPr>
            <w:r w:rsidRPr="007D22C9">
              <w:rPr>
                <w:bCs/>
                <w:color w:val="000000"/>
                <w:sz w:val="20"/>
                <w:szCs w:val="20"/>
              </w:rPr>
              <w:t>№</w:t>
            </w:r>
          </w:p>
          <w:p w:rsidR="005C1594" w:rsidRPr="007D22C9" w:rsidRDefault="005C1594" w:rsidP="005C1594">
            <w:pPr>
              <w:autoSpaceDE/>
              <w:autoSpaceDN/>
              <w:adjustRightInd/>
              <w:ind w:left="-57" w:right="-57"/>
              <w:jc w:val="center"/>
              <w:rPr>
                <w:bCs/>
                <w:color w:val="000000"/>
                <w:sz w:val="20"/>
                <w:szCs w:val="20"/>
              </w:rPr>
            </w:pPr>
            <w:r w:rsidRPr="007D22C9">
              <w:rPr>
                <w:bCs/>
                <w:color w:val="000000"/>
                <w:sz w:val="20"/>
                <w:szCs w:val="20"/>
              </w:rPr>
              <w:t>п/п</w:t>
            </w:r>
          </w:p>
        </w:tc>
        <w:tc>
          <w:tcPr>
            <w:tcW w:w="1662" w:type="dxa"/>
            <w:shd w:val="clear" w:color="auto" w:fill="auto"/>
            <w:hideMark/>
          </w:tcPr>
          <w:p w:rsidR="00EF1078" w:rsidRPr="007D22C9" w:rsidRDefault="009E5C52" w:rsidP="000B1BA9">
            <w:pPr>
              <w:autoSpaceDE/>
              <w:autoSpaceDN/>
              <w:adjustRightInd/>
              <w:jc w:val="center"/>
              <w:rPr>
                <w:bCs/>
                <w:color w:val="000000"/>
                <w:sz w:val="20"/>
                <w:szCs w:val="20"/>
              </w:rPr>
            </w:pPr>
            <w:r w:rsidRPr="007D22C9">
              <w:rPr>
                <w:bCs/>
                <w:color w:val="000000"/>
                <w:sz w:val="20"/>
                <w:szCs w:val="20"/>
              </w:rPr>
              <w:t xml:space="preserve">Наименование медицинской организации, на базе которой </w:t>
            </w:r>
          </w:p>
          <w:p w:rsidR="009E5C52" w:rsidRPr="007D22C9" w:rsidRDefault="009E5C52" w:rsidP="005C348C">
            <w:pPr>
              <w:autoSpaceDE/>
              <w:autoSpaceDN/>
              <w:adjustRightInd/>
              <w:jc w:val="center"/>
              <w:rPr>
                <w:bCs/>
                <w:color w:val="000000"/>
                <w:sz w:val="20"/>
                <w:szCs w:val="20"/>
              </w:rPr>
            </w:pPr>
            <w:r w:rsidRPr="007D22C9">
              <w:rPr>
                <w:bCs/>
                <w:color w:val="000000"/>
                <w:sz w:val="20"/>
                <w:szCs w:val="20"/>
              </w:rPr>
              <w:t xml:space="preserve">организован </w:t>
            </w:r>
            <w:r w:rsidR="005C348C">
              <w:rPr>
                <w:sz w:val="20"/>
                <w:szCs w:val="20"/>
              </w:rPr>
              <w:t>ц</w:t>
            </w:r>
            <w:r w:rsidR="005C348C" w:rsidRPr="005C348C">
              <w:rPr>
                <w:sz w:val="20"/>
                <w:szCs w:val="20"/>
              </w:rPr>
              <w:t>ентр амбулаторной онкологической помощи</w:t>
            </w:r>
            <w:r w:rsidR="005C348C" w:rsidRPr="005C348C">
              <w:rPr>
                <w:color w:val="000000"/>
                <w:sz w:val="20"/>
                <w:szCs w:val="20"/>
              </w:rPr>
              <w:t xml:space="preserve"> </w:t>
            </w:r>
          </w:p>
        </w:tc>
        <w:tc>
          <w:tcPr>
            <w:tcW w:w="1559" w:type="dxa"/>
            <w:shd w:val="clear" w:color="auto" w:fill="auto"/>
            <w:hideMark/>
          </w:tcPr>
          <w:p w:rsidR="009E5C52" w:rsidRPr="007D22C9" w:rsidRDefault="009E5C52" w:rsidP="000B1BA9">
            <w:pPr>
              <w:autoSpaceDE/>
              <w:autoSpaceDN/>
              <w:adjustRightInd/>
              <w:jc w:val="center"/>
              <w:rPr>
                <w:bCs/>
                <w:color w:val="000000"/>
                <w:sz w:val="20"/>
                <w:szCs w:val="20"/>
              </w:rPr>
            </w:pPr>
            <w:r w:rsidRPr="007D22C9">
              <w:rPr>
                <w:bCs/>
                <w:color w:val="000000"/>
                <w:sz w:val="20"/>
                <w:szCs w:val="20"/>
              </w:rPr>
              <w:t>Фактический адрес</w:t>
            </w:r>
          </w:p>
        </w:tc>
        <w:tc>
          <w:tcPr>
            <w:tcW w:w="992" w:type="dxa"/>
            <w:shd w:val="clear" w:color="auto" w:fill="auto"/>
            <w:hideMark/>
          </w:tcPr>
          <w:p w:rsidR="009E5C52" w:rsidRPr="007D22C9" w:rsidRDefault="009E5C52" w:rsidP="000B1BA9">
            <w:pPr>
              <w:autoSpaceDE/>
              <w:autoSpaceDN/>
              <w:adjustRightInd/>
              <w:jc w:val="center"/>
              <w:rPr>
                <w:bCs/>
                <w:color w:val="000000"/>
                <w:sz w:val="20"/>
                <w:szCs w:val="20"/>
              </w:rPr>
            </w:pPr>
            <w:r w:rsidRPr="007D22C9">
              <w:rPr>
                <w:bCs/>
                <w:color w:val="000000"/>
                <w:sz w:val="20"/>
                <w:szCs w:val="20"/>
              </w:rPr>
              <w:t>Количество кабинетов врача-онколога</w:t>
            </w:r>
          </w:p>
        </w:tc>
        <w:tc>
          <w:tcPr>
            <w:tcW w:w="851" w:type="dxa"/>
            <w:shd w:val="clear" w:color="auto" w:fill="auto"/>
            <w:hideMark/>
          </w:tcPr>
          <w:p w:rsidR="009E5C52" w:rsidRPr="007D22C9" w:rsidRDefault="009E5C52" w:rsidP="000B1BA9">
            <w:pPr>
              <w:autoSpaceDE/>
              <w:autoSpaceDN/>
              <w:adjustRightInd/>
              <w:jc w:val="center"/>
              <w:rPr>
                <w:bCs/>
                <w:color w:val="000000"/>
                <w:sz w:val="20"/>
                <w:szCs w:val="20"/>
              </w:rPr>
            </w:pPr>
            <w:r w:rsidRPr="007D22C9">
              <w:rPr>
                <w:bCs/>
                <w:color w:val="000000"/>
                <w:sz w:val="20"/>
                <w:szCs w:val="20"/>
              </w:rPr>
              <w:t>Год организации</w:t>
            </w:r>
          </w:p>
        </w:tc>
        <w:tc>
          <w:tcPr>
            <w:tcW w:w="1474" w:type="dxa"/>
            <w:shd w:val="clear" w:color="auto" w:fill="auto"/>
            <w:hideMark/>
          </w:tcPr>
          <w:p w:rsidR="009E5C52" w:rsidRPr="007D22C9" w:rsidRDefault="009E5C52" w:rsidP="000B1BA9">
            <w:pPr>
              <w:autoSpaceDE/>
              <w:autoSpaceDN/>
              <w:adjustRightInd/>
              <w:jc w:val="center"/>
              <w:rPr>
                <w:bCs/>
                <w:color w:val="000000"/>
                <w:sz w:val="20"/>
                <w:szCs w:val="20"/>
              </w:rPr>
            </w:pPr>
            <w:r w:rsidRPr="007D22C9">
              <w:rPr>
                <w:bCs/>
                <w:color w:val="000000"/>
                <w:sz w:val="20"/>
                <w:szCs w:val="20"/>
              </w:rPr>
              <w:t>Обслуживаемые населенные пункты</w:t>
            </w:r>
          </w:p>
        </w:tc>
        <w:tc>
          <w:tcPr>
            <w:tcW w:w="1134" w:type="dxa"/>
            <w:shd w:val="clear" w:color="auto" w:fill="auto"/>
            <w:hideMark/>
          </w:tcPr>
          <w:p w:rsidR="009E5C52" w:rsidRPr="007D22C9" w:rsidRDefault="009E5C52" w:rsidP="000B1BA9">
            <w:pPr>
              <w:autoSpaceDE/>
              <w:autoSpaceDN/>
              <w:adjustRightInd/>
              <w:jc w:val="center"/>
              <w:rPr>
                <w:bCs/>
                <w:color w:val="000000"/>
                <w:sz w:val="20"/>
                <w:szCs w:val="20"/>
              </w:rPr>
            </w:pPr>
            <w:r w:rsidRPr="007D22C9">
              <w:rPr>
                <w:bCs/>
                <w:color w:val="000000"/>
                <w:sz w:val="20"/>
                <w:szCs w:val="20"/>
              </w:rPr>
              <w:t>Общее количество обслуживаемого населения</w:t>
            </w:r>
          </w:p>
        </w:tc>
        <w:tc>
          <w:tcPr>
            <w:tcW w:w="1134" w:type="dxa"/>
            <w:shd w:val="clear" w:color="auto" w:fill="auto"/>
            <w:hideMark/>
          </w:tcPr>
          <w:p w:rsidR="009E5C52" w:rsidRPr="007D22C9" w:rsidRDefault="009E5C52" w:rsidP="000B1BA9">
            <w:pPr>
              <w:autoSpaceDE/>
              <w:autoSpaceDN/>
              <w:adjustRightInd/>
              <w:jc w:val="center"/>
              <w:rPr>
                <w:bCs/>
                <w:color w:val="000000"/>
                <w:sz w:val="20"/>
                <w:szCs w:val="20"/>
              </w:rPr>
            </w:pPr>
            <w:r w:rsidRPr="007D22C9">
              <w:rPr>
                <w:bCs/>
                <w:color w:val="000000"/>
                <w:sz w:val="20"/>
                <w:szCs w:val="20"/>
              </w:rPr>
              <w:t>Количество рекомендованных штатных должностей</w:t>
            </w:r>
          </w:p>
        </w:tc>
        <w:tc>
          <w:tcPr>
            <w:tcW w:w="1276" w:type="dxa"/>
            <w:shd w:val="clear" w:color="auto" w:fill="auto"/>
            <w:hideMark/>
          </w:tcPr>
          <w:p w:rsidR="009E5C52" w:rsidRPr="007D22C9" w:rsidRDefault="009E5C52" w:rsidP="000B1BA9">
            <w:pPr>
              <w:autoSpaceDE/>
              <w:autoSpaceDN/>
              <w:adjustRightInd/>
              <w:jc w:val="center"/>
              <w:rPr>
                <w:bCs/>
                <w:color w:val="000000"/>
                <w:sz w:val="20"/>
                <w:szCs w:val="20"/>
              </w:rPr>
            </w:pPr>
            <w:r w:rsidRPr="007D22C9">
              <w:rPr>
                <w:bCs/>
                <w:color w:val="000000"/>
                <w:sz w:val="20"/>
                <w:szCs w:val="20"/>
              </w:rPr>
              <w:t>Количество фактических штатных должностей</w:t>
            </w:r>
          </w:p>
        </w:tc>
        <w:tc>
          <w:tcPr>
            <w:tcW w:w="1247" w:type="dxa"/>
            <w:shd w:val="clear" w:color="auto" w:fill="auto"/>
            <w:hideMark/>
          </w:tcPr>
          <w:p w:rsidR="009E5C52" w:rsidRPr="007D22C9" w:rsidRDefault="009E5C52" w:rsidP="000B1BA9">
            <w:pPr>
              <w:autoSpaceDE/>
              <w:autoSpaceDN/>
              <w:adjustRightInd/>
              <w:jc w:val="center"/>
              <w:rPr>
                <w:bCs/>
                <w:color w:val="000000"/>
                <w:sz w:val="20"/>
                <w:szCs w:val="20"/>
              </w:rPr>
            </w:pPr>
            <w:r w:rsidRPr="007D22C9">
              <w:rPr>
                <w:bCs/>
                <w:color w:val="000000"/>
                <w:sz w:val="20"/>
                <w:szCs w:val="20"/>
              </w:rPr>
              <w:t>Количество занятых штатных должностей</w:t>
            </w:r>
          </w:p>
        </w:tc>
        <w:tc>
          <w:tcPr>
            <w:tcW w:w="1077" w:type="dxa"/>
            <w:shd w:val="clear" w:color="auto" w:fill="auto"/>
            <w:hideMark/>
          </w:tcPr>
          <w:p w:rsidR="009E5C52" w:rsidRPr="007D22C9" w:rsidRDefault="009E5C52" w:rsidP="000B1BA9">
            <w:pPr>
              <w:autoSpaceDE/>
              <w:autoSpaceDN/>
              <w:adjustRightInd/>
              <w:jc w:val="center"/>
              <w:rPr>
                <w:bCs/>
                <w:color w:val="000000"/>
                <w:sz w:val="20"/>
                <w:szCs w:val="20"/>
              </w:rPr>
            </w:pPr>
            <w:r w:rsidRPr="007D22C9">
              <w:rPr>
                <w:bCs/>
                <w:color w:val="000000"/>
                <w:sz w:val="20"/>
                <w:szCs w:val="20"/>
              </w:rPr>
              <w:t>Количество физических лиц</w:t>
            </w:r>
          </w:p>
        </w:tc>
        <w:tc>
          <w:tcPr>
            <w:tcW w:w="1275" w:type="dxa"/>
            <w:shd w:val="clear" w:color="auto" w:fill="auto"/>
            <w:hideMark/>
          </w:tcPr>
          <w:p w:rsidR="009E5C52" w:rsidRPr="007D22C9" w:rsidRDefault="009E5C52" w:rsidP="000B1BA9">
            <w:pPr>
              <w:autoSpaceDE/>
              <w:autoSpaceDN/>
              <w:adjustRightInd/>
              <w:jc w:val="center"/>
              <w:rPr>
                <w:bCs/>
                <w:color w:val="000000"/>
                <w:sz w:val="20"/>
                <w:szCs w:val="20"/>
              </w:rPr>
            </w:pPr>
            <w:r w:rsidRPr="007D22C9">
              <w:rPr>
                <w:bCs/>
                <w:color w:val="000000"/>
                <w:sz w:val="20"/>
                <w:szCs w:val="20"/>
              </w:rPr>
              <w:t>Дефицит физических лиц</w:t>
            </w:r>
          </w:p>
        </w:tc>
      </w:tr>
    </w:tbl>
    <w:p w:rsidR="000B1BA9" w:rsidRPr="007D22C9" w:rsidRDefault="000B1BA9">
      <w:pPr>
        <w:rPr>
          <w:sz w:val="2"/>
          <w:szCs w:val="2"/>
        </w:rPr>
      </w:pPr>
    </w:p>
    <w:tbl>
      <w:tblPr>
        <w:tblW w:w="14141" w:type="dxa"/>
        <w:tblLayout w:type="fixed"/>
        <w:tblLook w:val="04A0" w:firstRow="1" w:lastRow="0" w:firstColumn="1" w:lastColumn="0" w:noHBand="0" w:noVBand="1"/>
      </w:tblPr>
      <w:tblGrid>
        <w:gridCol w:w="460"/>
        <w:gridCol w:w="1662"/>
        <w:gridCol w:w="1559"/>
        <w:gridCol w:w="992"/>
        <w:gridCol w:w="851"/>
        <w:gridCol w:w="1474"/>
        <w:gridCol w:w="1134"/>
        <w:gridCol w:w="1134"/>
        <w:gridCol w:w="1276"/>
        <w:gridCol w:w="1247"/>
        <w:gridCol w:w="1077"/>
        <w:gridCol w:w="1275"/>
      </w:tblGrid>
      <w:tr w:rsidR="009E5C52" w:rsidRPr="007D22C9" w:rsidTr="00FC63EC">
        <w:trPr>
          <w:trHeight w:val="20"/>
          <w:tblHeader/>
        </w:trPr>
        <w:tc>
          <w:tcPr>
            <w:tcW w:w="460" w:type="dxa"/>
            <w:tcBorders>
              <w:top w:val="single" w:sz="4" w:space="0" w:color="auto"/>
              <w:left w:val="single" w:sz="4" w:space="0" w:color="auto"/>
              <w:bottom w:val="single" w:sz="4" w:space="0" w:color="auto"/>
              <w:right w:val="single" w:sz="4" w:space="0" w:color="auto"/>
            </w:tcBorders>
            <w:shd w:val="clear" w:color="auto" w:fill="auto"/>
          </w:tcPr>
          <w:p w:rsidR="009E5C52" w:rsidRPr="007D22C9" w:rsidRDefault="009E5C52" w:rsidP="00EC082D">
            <w:pPr>
              <w:autoSpaceDE/>
              <w:autoSpaceDN/>
              <w:adjustRightInd/>
              <w:jc w:val="center"/>
              <w:rPr>
                <w:bCs/>
                <w:color w:val="000000"/>
                <w:sz w:val="20"/>
                <w:szCs w:val="20"/>
              </w:rPr>
            </w:pPr>
            <w:r w:rsidRPr="007D22C9">
              <w:rPr>
                <w:bCs/>
                <w:color w:val="000000"/>
                <w:sz w:val="20"/>
                <w:szCs w:val="20"/>
              </w:rPr>
              <w:t>1</w:t>
            </w:r>
          </w:p>
        </w:tc>
        <w:tc>
          <w:tcPr>
            <w:tcW w:w="1662" w:type="dxa"/>
            <w:tcBorders>
              <w:top w:val="single" w:sz="4" w:space="0" w:color="auto"/>
              <w:left w:val="single" w:sz="4" w:space="0" w:color="auto"/>
              <w:bottom w:val="single" w:sz="4" w:space="0" w:color="auto"/>
              <w:right w:val="single" w:sz="4" w:space="0" w:color="auto"/>
            </w:tcBorders>
            <w:shd w:val="clear" w:color="auto" w:fill="auto"/>
          </w:tcPr>
          <w:p w:rsidR="009E5C52" w:rsidRPr="007D22C9" w:rsidRDefault="009E5C52" w:rsidP="00EC082D">
            <w:pPr>
              <w:autoSpaceDE/>
              <w:autoSpaceDN/>
              <w:adjustRightInd/>
              <w:jc w:val="center"/>
              <w:rPr>
                <w:bCs/>
                <w:color w:val="000000"/>
                <w:sz w:val="20"/>
                <w:szCs w:val="20"/>
              </w:rPr>
            </w:pPr>
            <w:r w:rsidRPr="007D22C9">
              <w:rPr>
                <w:bCs/>
                <w:color w:val="000000"/>
                <w:sz w:val="20"/>
                <w:szCs w:val="20"/>
              </w:rPr>
              <w:t>2</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9E5C52" w:rsidRPr="007D22C9" w:rsidRDefault="009E5C52" w:rsidP="00EC082D">
            <w:pPr>
              <w:autoSpaceDE/>
              <w:autoSpaceDN/>
              <w:adjustRightInd/>
              <w:jc w:val="center"/>
              <w:rPr>
                <w:bCs/>
                <w:color w:val="000000"/>
                <w:sz w:val="20"/>
                <w:szCs w:val="20"/>
              </w:rPr>
            </w:pPr>
            <w:r w:rsidRPr="007D22C9">
              <w:rPr>
                <w:bCs/>
                <w:color w:val="000000"/>
                <w:sz w:val="20"/>
                <w:szCs w:val="20"/>
              </w:rPr>
              <w:t>3</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9E5C52" w:rsidRPr="007D22C9" w:rsidRDefault="009E5C52" w:rsidP="00EC082D">
            <w:pPr>
              <w:autoSpaceDE/>
              <w:autoSpaceDN/>
              <w:adjustRightInd/>
              <w:jc w:val="center"/>
              <w:rPr>
                <w:bCs/>
                <w:color w:val="000000"/>
                <w:sz w:val="20"/>
                <w:szCs w:val="20"/>
              </w:rPr>
            </w:pPr>
            <w:r w:rsidRPr="007D22C9">
              <w:rPr>
                <w:bCs/>
                <w:color w:val="000000"/>
                <w:sz w:val="20"/>
                <w:szCs w:val="20"/>
              </w:rPr>
              <w:t>4</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9E5C52" w:rsidRPr="007D22C9" w:rsidRDefault="009E5C52" w:rsidP="00EC082D">
            <w:pPr>
              <w:autoSpaceDE/>
              <w:autoSpaceDN/>
              <w:adjustRightInd/>
              <w:jc w:val="center"/>
              <w:rPr>
                <w:bCs/>
                <w:color w:val="000000"/>
                <w:sz w:val="20"/>
                <w:szCs w:val="20"/>
              </w:rPr>
            </w:pPr>
            <w:r w:rsidRPr="007D22C9">
              <w:rPr>
                <w:bCs/>
                <w:color w:val="000000"/>
                <w:sz w:val="20"/>
                <w:szCs w:val="20"/>
              </w:rPr>
              <w:t>5</w:t>
            </w:r>
          </w:p>
        </w:tc>
        <w:tc>
          <w:tcPr>
            <w:tcW w:w="1474" w:type="dxa"/>
            <w:tcBorders>
              <w:top w:val="single" w:sz="4" w:space="0" w:color="auto"/>
              <w:left w:val="single" w:sz="4" w:space="0" w:color="auto"/>
              <w:bottom w:val="single" w:sz="4" w:space="0" w:color="auto"/>
              <w:right w:val="single" w:sz="4" w:space="0" w:color="auto"/>
            </w:tcBorders>
            <w:shd w:val="clear" w:color="auto" w:fill="auto"/>
          </w:tcPr>
          <w:p w:rsidR="009E5C52" w:rsidRPr="007D22C9" w:rsidRDefault="009E5C52" w:rsidP="00EC082D">
            <w:pPr>
              <w:autoSpaceDE/>
              <w:autoSpaceDN/>
              <w:adjustRightInd/>
              <w:jc w:val="center"/>
              <w:rPr>
                <w:bCs/>
                <w:color w:val="000000"/>
                <w:sz w:val="20"/>
                <w:szCs w:val="20"/>
              </w:rPr>
            </w:pPr>
            <w:r w:rsidRPr="007D22C9">
              <w:rPr>
                <w:bCs/>
                <w:color w:val="000000"/>
                <w:sz w:val="20"/>
                <w:szCs w:val="20"/>
              </w:rPr>
              <w:t>6</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E5C52" w:rsidRPr="007D22C9" w:rsidRDefault="009E5C52" w:rsidP="00EC082D">
            <w:pPr>
              <w:autoSpaceDE/>
              <w:autoSpaceDN/>
              <w:adjustRightInd/>
              <w:jc w:val="center"/>
              <w:rPr>
                <w:bCs/>
                <w:color w:val="000000"/>
                <w:sz w:val="20"/>
                <w:szCs w:val="20"/>
              </w:rPr>
            </w:pPr>
            <w:r w:rsidRPr="007D22C9">
              <w:rPr>
                <w:bCs/>
                <w:color w:val="000000"/>
                <w:sz w:val="20"/>
                <w:szCs w:val="20"/>
              </w:rPr>
              <w:t>7</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E5C52" w:rsidRPr="007D22C9" w:rsidRDefault="009E5C52" w:rsidP="00EC082D">
            <w:pPr>
              <w:autoSpaceDE/>
              <w:autoSpaceDN/>
              <w:adjustRightInd/>
              <w:jc w:val="center"/>
              <w:rPr>
                <w:bCs/>
                <w:color w:val="000000"/>
                <w:sz w:val="20"/>
                <w:szCs w:val="20"/>
              </w:rPr>
            </w:pPr>
            <w:r w:rsidRPr="007D22C9">
              <w:rPr>
                <w:bCs/>
                <w:color w:val="000000"/>
                <w:sz w:val="20"/>
                <w:szCs w:val="20"/>
              </w:rPr>
              <w:t>8</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E5C52" w:rsidRPr="007D22C9" w:rsidRDefault="009E5C52" w:rsidP="00EC082D">
            <w:pPr>
              <w:autoSpaceDE/>
              <w:autoSpaceDN/>
              <w:adjustRightInd/>
              <w:jc w:val="center"/>
              <w:rPr>
                <w:bCs/>
                <w:color w:val="000000"/>
                <w:sz w:val="20"/>
                <w:szCs w:val="20"/>
              </w:rPr>
            </w:pPr>
            <w:r w:rsidRPr="007D22C9">
              <w:rPr>
                <w:bCs/>
                <w:color w:val="000000"/>
                <w:sz w:val="20"/>
                <w:szCs w:val="20"/>
              </w:rPr>
              <w:t>9</w:t>
            </w:r>
          </w:p>
        </w:tc>
        <w:tc>
          <w:tcPr>
            <w:tcW w:w="1247" w:type="dxa"/>
            <w:tcBorders>
              <w:top w:val="single" w:sz="4" w:space="0" w:color="auto"/>
              <w:left w:val="single" w:sz="4" w:space="0" w:color="auto"/>
              <w:bottom w:val="single" w:sz="4" w:space="0" w:color="auto"/>
              <w:right w:val="single" w:sz="4" w:space="0" w:color="auto"/>
            </w:tcBorders>
            <w:shd w:val="clear" w:color="auto" w:fill="auto"/>
          </w:tcPr>
          <w:p w:rsidR="009E5C52" w:rsidRPr="007D22C9" w:rsidRDefault="009E5C52" w:rsidP="00EC082D">
            <w:pPr>
              <w:autoSpaceDE/>
              <w:autoSpaceDN/>
              <w:adjustRightInd/>
              <w:jc w:val="center"/>
              <w:rPr>
                <w:bCs/>
                <w:color w:val="000000"/>
                <w:sz w:val="20"/>
                <w:szCs w:val="20"/>
              </w:rPr>
            </w:pPr>
            <w:r w:rsidRPr="007D22C9">
              <w:rPr>
                <w:bCs/>
                <w:color w:val="000000"/>
                <w:sz w:val="20"/>
                <w:szCs w:val="20"/>
              </w:rPr>
              <w:t>10</w:t>
            </w:r>
          </w:p>
        </w:tc>
        <w:tc>
          <w:tcPr>
            <w:tcW w:w="1077" w:type="dxa"/>
            <w:tcBorders>
              <w:top w:val="single" w:sz="4" w:space="0" w:color="auto"/>
              <w:left w:val="single" w:sz="4" w:space="0" w:color="auto"/>
              <w:bottom w:val="single" w:sz="4" w:space="0" w:color="auto"/>
              <w:right w:val="single" w:sz="4" w:space="0" w:color="auto"/>
            </w:tcBorders>
            <w:shd w:val="clear" w:color="auto" w:fill="auto"/>
          </w:tcPr>
          <w:p w:rsidR="009E5C52" w:rsidRPr="007D22C9" w:rsidRDefault="009E5C52" w:rsidP="00EC082D">
            <w:pPr>
              <w:autoSpaceDE/>
              <w:autoSpaceDN/>
              <w:adjustRightInd/>
              <w:jc w:val="center"/>
              <w:rPr>
                <w:bCs/>
                <w:color w:val="000000"/>
                <w:sz w:val="20"/>
                <w:szCs w:val="20"/>
              </w:rPr>
            </w:pPr>
            <w:r w:rsidRPr="007D22C9">
              <w:rPr>
                <w:bCs/>
                <w:color w:val="000000"/>
                <w:sz w:val="20"/>
                <w:szCs w:val="20"/>
              </w:rPr>
              <w:t>11</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9E5C52" w:rsidRPr="007D22C9" w:rsidRDefault="009E5C52" w:rsidP="00EC082D">
            <w:pPr>
              <w:autoSpaceDE/>
              <w:autoSpaceDN/>
              <w:adjustRightInd/>
              <w:jc w:val="center"/>
              <w:rPr>
                <w:bCs/>
                <w:color w:val="000000"/>
                <w:sz w:val="20"/>
                <w:szCs w:val="20"/>
              </w:rPr>
            </w:pPr>
            <w:r w:rsidRPr="007D22C9">
              <w:rPr>
                <w:bCs/>
                <w:color w:val="000000"/>
                <w:sz w:val="20"/>
                <w:szCs w:val="20"/>
              </w:rPr>
              <w:t>12</w:t>
            </w:r>
          </w:p>
        </w:tc>
      </w:tr>
      <w:tr w:rsidR="009E5C52" w:rsidRPr="007D22C9" w:rsidTr="00FC63EC">
        <w:trPr>
          <w:trHeight w:val="20"/>
        </w:trPr>
        <w:tc>
          <w:tcPr>
            <w:tcW w:w="460" w:type="dxa"/>
            <w:tcBorders>
              <w:top w:val="single" w:sz="4" w:space="0" w:color="auto"/>
              <w:left w:val="single" w:sz="4" w:space="0" w:color="auto"/>
              <w:bottom w:val="single" w:sz="4" w:space="0" w:color="auto"/>
              <w:right w:val="nil"/>
            </w:tcBorders>
            <w:shd w:val="clear" w:color="auto" w:fill="auto"/>
            <w:hideMark/>
          </w:tcPr>
          <w:p w:rsidR="009E5C52" w:rsidRPr="007D22C9" w:rsidRDefault="009E5C52" w:rsidP="00EC082D">
            <w:pPr>
              <w:autoSpaceDE/>
              <w:autoSpaceDN/>
              <w:adjustRightInd/>
              <w:jc w:val="center"/>
              <w:rPr>
                <w:bCs/>
                <w:color w:val="000000"/>
                <w:sz w:val="20"/>
                <w:szCs w:val="20"/>
              </w:rPr>
            </w:pPr>
            <w:r w:rsidRPr="007D22C9">
              <w:rPr>
                <w:bCs/>
                <w:color w:val="000000"/>
                <w:sz w:val="20"/>
                <w:szCs w:val="20"/>
              </w:rPr>
              <w:t>1</w:t>
            </w:r>
            <w:r w:rsidR="000B1BA9" w:rsidRPr="007D22C9">
              <w:rPr>
                <w:bCs/>
                <w:color w:val="000000"/>
                <w:sz w:val="20"/>
                <w:szCs w:val="20"/>
              </w:rPr>
              <w:t>.</w:t>
            </w:r>
          </w:p>
        </w:tc>
        <w:tc>
          <w:tcPr>
            <w:tcW w:w="1662" w:type="dxa"/>
            <w:tcBorders>
              <w:top w:val="single" w:sz="4" w:space="0" w:color="auto"/>
              <w:left w:val="single" w:sz="4" w:space="0" w:color="auto"/>
              <w:bottom w:val="single" w:sz="4" w:space="0" w:color="auto"/>
              <w:right w:val="single" w:sz="4" w:space="0" w:color="auto"/>
            </w:tcBorders>
            <w:shd w:val="clear" w:color="auto" w:fill="auto"/>
            <w:hideMark/>
          </w:tcPr>
          <w:p w:rsidR="009E5C52" w:rsidRPr="007D22C9" w:rsidRDefault="009E5C52" w:rsidP="00EC082D">
            <w:pPr>
              <w:autoSpaceDE/>
              <w:autoSpaceDN/>
              <w:adjustRightInd/>
              <w:jc w:val="both"/>
              <w:rPr>
                <w:color w:val="000000"/>
                <w:sz w:val="20"/>
                <w:szCs w:val="20"/>
              </w:rPr>
            </w:pPr>
            <w:r w:rsidRPr="007D22C9">
              <w:rPr>
                <w:color w:val="000000"/>
                <w:sz w:val="20"/>
                <w:szCs w:val="20"/>
              </w:rPr>
              <w:t xml:space="preserve">ГАУЗ </w:t>
            </w:r>
            <w:r w:rsidR="002F7358" w:rsidRPr="007D22C9">
              <w:rPr>
                <w:color w:val="000000"/>
                <w:sz w:val="20"/>
                <w:szCs w:val="20"/>
              </w:rPr>
              <w:t>«</w:t>
            </w:r>
            <w:r w:rsidRPr="007D22C9">
              <w:rPr>
                <w:color w:val="000000"/>
                <w:sz w:val="20"/>
                <w:szCs w:val="20"/>
              </w:rPr>
              <w:t>Арская ЦРБ</w:t>
            </w:r>
            <w:r w:rsidR="002F7358" w:rsidRPr="007D22C9">
              <w:rPr>
                <w:color w:val="000000"/>
                <w:sz w:val="20"/>
                <w:szCs w:val="20"/>
              </w:rPr>
              <w:t>»</w:t>
            </w:r>
          </w:p>
        </w:tc>
        <w:tc>
          <w:tcPr>
            <w:tcW w:w="1559" w:type="dxa"/>
            <w:tcBorders>
              <w:top w:val="single" w:sz="4" w:space="0" w:color="auto"/>
              <w:left w:val="nil"/>
              <w:bottom w:val="single" w:sz="4" w:space="0" w:color="auto"/>
              <w:right w:val="single" w:sz="4" w:space="0" w:color="auto"/>
            </w:tcBorders>
            <w:shd w:val="clear" w:color="auto" w:fill="auto"/>
            <w:hideMark/>
          </w:tcPr>
          <w:p w:rsidR="009E5C52" w:rsidRPr="007D22C9" w:rsidRDefault="009E5C52" w:rsidP="00EC082D">
            <w:pPr>
              <w:autoSpaceDE/>
              <w:autoSpaceDN/>
              <w:adjustRightInd/>
              <w:jc w:val="both"/>
              <w:rPr>
                <w:color w:val="000000"/>
                <w:sz w:val="20"/>
                <w:szCs w:val="20"/>
              </w:rPr>
            </w:pPr>
            <w:r w:rsidRPr="007D22C9">
              <w:rPr>
                <w:color w:val="000000"/>
                <w:sz w:val="20"/>
                <w:szCs w:val="20"/>
              </w:rPr>
              <w:t>г.Арск, ул.Комсомольская, д.32</w:t>
            </w:r>
          </w:p>
        </w:tc>
        <w:tc>
          <w:tcPr>
            <w:tcW w:w="992" w:type="dxa"/>
            <w:tcBorders>
              <w:top w:val="single" w:sz="4" w:space="0" w:color="auto"/>
              <w:left w:val="nil"/>
              <w:bottom w:val="single" w:sz="4" w:space="0" w:color="auto"/>
              <w:right w:val="nil"/>
            </w:tcBorders>
            <w:shd w:val="clear" w:color="auto" w:fill="auto"/>
            <w:hideMark/>
          </w:tcPr>
          <w:p w:rsidR="009E5C52" w:rsidRPr="007D22C9" w:rsidRDefault="009E5C52" w:rsidP="00EC082D">
            <w:pPr>
              <w:autoSpaceDE/>
              <w:autoSpaceDN/>
              <w:adjustRightInd/>
              <w:jc w:val="center"/>
              <w:rPr>
                <w:color w:val="000000"/>
                <w:sz w:val="20"/>
                <w:szCs w:val="20"/>
              </w:rPr>
            </w:pPr>
            <w:r w:rsidRPr="007D22C9">
              <w:rPr>
                <w:color w:val="000000"/>
                <w:sz w:val="20"/>
                <w:szCs w:val="20"/>
              </w:rPr>
              <w:t>3</w:t>
            </w:r>
          </w:p>
        </w:tc>
        <w:tc>
          <w:tcPr>
            <w:tcW w:w="851" w:type="dxa"/>
            <w:tcBorders>
              <w:top w:val="single" w:sz="4" w:space="0" w:color="auto"/>
              <w:left w:val="single" w:sz="4" w:space="0" w:color="auto"/>
              <w:bottom w:val="single" w:sz="4" w:space="0" w:color="auto"/>
              <w:right w:val="nil"/>
            </w:tcBorders>
            <w:shd w:val="clear" w:color="auto" w:fill="auto"/>
            <w:hideMark/>
          </w:tcPr>
          <w:p w:rsidR="009E5C52" w:rsidRPr="007D22C9" w:rsidRDefault="009E5C52" w:rsidP="00EC082D">
            <w:pPr>
              <w:autoSpaceDE/>
              <w:autoSpaceDN/>
              <w:adjustRightInd/>
              <w:jc w:val="center"/>
              <w:rPr>
                <w:color w:val="000000"/>
                <w:sz w:val="20"/>
                <w:szCs w:val="20"/>
              </w:rPr>
            </w:pPr>
            <w:r w:rsidRPr="007D22C9">
              <w:rPr>
                <w:color w:val="000000"/>
                <w:sz w:val="20"/>
                <w:szCs w:val="20"/>
              </w:rPr>
              <w:t>2024 г.</w:t>
            </w:r>
          </w:p>
        </w:tc>
        <w:tc>
          <w:tcPr>
            <w:tcW w:w="1474" w:type="dxa"/>
            <w:tcBorders>
              <w:top w:val="single" w:sz="4" w:space="0" w:color="auto"/>
              <w:left w:val="single" w:sz="4" w:space="0" w:color="auto"/>
              <w:bottom w:val="single" w:sz="4" w:space="0" w:color="auto"/>
              <w:right w:val="single" w:sz="4" w:space="0" w:color="auto"/>
            </w:tcBorders>
            <w:shd w:val="clear" w:color="auto" w:fill="auto"/>
            <w:hideMark/>
          </w:tcPr>
          <w:p w:rsidR="009E5C52" w:rsidRPr="007D22C9" w:rsidRDefault="009E5C52" w:rsidP="00EF1078">
            <w:pPr>
              <w:autoSpaceDE/>
              <w:autoSpaceDN/>
              <w:adjustRightInd/>
              <w:ind w:left="-28"/>
              <w:jc w:val="both"/>
              <w:rPr>
                <w:color w:val="000000"/>
                <w:sz w:val="20"/>
                <w:szCs w:val="20"/>
              </w:rPr>
            </w:pPr>
            <w:r w:rsidRPr="007D22C9">
              <w:rPr>
                <w:color w:val="000000"/>
                <w:sz w:val="20"/>
                <w:szCs w:val="20"/>
              </w:rPr>
              <w:t>Арский, Атнинский, Балтасинский муниципальные районы</w:t>
            </w:r>
          </w:p>
        </w:tc>
        <w:tc>
          <w:tcPr>
            <w:tcW w:w="1134" w:type="dxa"/>
            <w:tcBorders>
              <w:top w:val="single" w:sz="4" w:space="0" w:color="auto"/>
              <w:left w:val="nil"/>
              <w:bottom w:val="single" w:sz="4" w:space="0" w:color="auto"/>
              <w:right w:val="single" w:sz="4" w:space="0" w:color="auto"/>
            </w:tcBorders>
            <w:shd w:val="clear" w:color="auto" w:fill="auto"/>
            <w:hideMark/>
          </w:tcPr>
          <w:p w:rsidR="009E5C52" w:rsidRPr="007D22C9" w:rsidRDefault="009E5C52" w:rsidP="00EC082D">
            <w:pPr>
              <w:autoSpaceDE/>
              <w:autoSpaceDN/>
              <w:adjustRightInd/>
              <w:jc w:val="center"/>
              <w:rPr>
                <w:color w:val="000000"/>
                <w:sz w:val="20"/>
                <w:szCs w:val="20"/>
              </w:rPr>
            </w:pPr>
            <w:r w:rsidRPr="007D22C9">
              <w:rPr>
                <w:color w:val="000000"/>
                <w:sz w:val="20"/>
                <w:szCs w:val="20"/>
              </w:rPr>
              <w:t>77 263</w:t>
            </w:r>
          </w:p>
        </w:tc>
        <w:tc>
          <w:tcPr>
            <w:tcW w:w="1134" w:type="dxa"/>
            <w:tcBorders>
              <w:top w:val="single" w:sz="4" w:space="0" w:color="auto"/>
              <w:left w:val="nil"/>
              <w:bottom w:val="single" w:sz="4" w:space="0" w:color="auto"/>
              <w:right w:val="single" w:sz="4" w:space="0" w:color="auto"/>
            </w:tcBorders>
            <w:shd w:val="clear" w:color="auto" w:fill="auto"/>
            <w:hideMark/>
          </w:tcPr>
          <w:p w:rsidR="009E5C52" w:rsidRPr="007D22C9" w:rsidRDefault="009E5C52" w:rsidP="00EC082D">
            <w:pPr>
              <w:autoSpaceDE/>
              <w:autoSpaceDN/>
              <w:adjustRightInd/>
              <w:jc w:val="center"/>
              <w:rPr>
                <w:color w:val="000000"/>
                <w:sz w:val="20"/>
                <w:szCs w:val="20"/>
              </w:rPr>
            </w:pPr>
            <w:r w:rsidRPr="007D22C9">
              <w:rPr>
                <w:color w:val="000000"/>
                <w:sz w:val="20"/>
                <w:szCs w:val="20"/>
              </w:rPr>
              <w:t>3,00</w:t>
            </w:r>
          </w:p>
        </w:tc>
        <w:tc>
          <w:tcPr>
            <w:tcW w:w="1276" w:type="dxa"/>
            <w:tcBorders>
              <w:top w:val="single" w:sz="4" w:space="0" w:color="auto"/>
              <w:left w:val="nil"/>
              <w:bottom w:val="single" w:sz="4" w:space="0" w:color="auto"/>
              <w:right w:val="single" w:sz="4" w:space="0" w:color="auto"/>
            </w:tcBorders>
            <w:shd w:val="clear" w:color="auto" w:fill="auto"/>
            <w:hideMark/>
          </w:tcPr>
          <w:p w:rsidR="009E5C52" w:rsidRPr="007D22C9" w:rsidRDefault="00AC7404" w:rsidP="00AC7404">
            <w:pPr>
              <w:autoSpaceDE/>
              <w:autoSpaceDN/>
              <w:adjustRightInd/>
              <w:jc w:val="center"/>
              <w:rPr>
                <w:color w:val="000000"/>
                <w:sz w:val="20"/>
                <w:szCs w:val="20"/>
              </w:rPr>
            </w:pPr>
            <w:r w:rsidRPr="007D22C9">
              <w:rPr>
                <w:color w:val="000000"/>
                <w:sz w:val="20"/>
                <w:szCs w:val="20"/>
              </w:rPr>
              <w:t>2,75</w:t>
            </w:r>
          </w:p>
        </w:tc>
        <w:tc>
          <w:tcPr>
            <w:tcW w:w="1247" w:type="dxa"/>
            <w:tcBorders>
              <w:top w:val="single" w:sz="4" w:space="0" w:color="auto"/>
              <w:left w:val="nil"/>
              <w:bottom w:val="single" w:sz="4" w:space="0" w:color="auto"/>
              <w:right w:val="single" w:sz="4" w:space="0" w:color="auto"/>
            </w:tcBorders>
            <w:shd w:val="clear" w:color="auto" w:fill="auto"/>
            <w:hideMark/>
          </w:tcPr>
          <w:p w:rsidR="009E5C52" w:rsidRPr="007D22C9" w:rsidRDefault="009E5C52" w:rsidP="00EC082D">
            <w:pPr>
              <w:autoSpaceDE/>
              <w:autoSpaceDN/>
              <w:adjustRightInd/>
              <w:jc w:val="center"/>
              <w:rPr>
                <w:color w:val="000000"/>
                <w:sz w:val="20"/>
                <w:szCs w:val="20"/>
              </w:rPr>
            </w:pPr>
            <w:r w:rsidRPr="007D22C9">
              <w:rPr>
                <w:color w:val="000000"/>
                <w:sz w:val="20"/>
                <w:szCs w:val="20"/>
              </w:rPr>
              <w:t>1,50</w:t>
            </w:r>
          </w:p>
        </w:tc>
        <w:tc>
          <w:tcPr>
            <w:tcW w:w="1077" w:type="dxa"/>
            <w:tcBorders>
              <w:top w:val="single" w:sz="4" w:space="0" w:color="auto"/>
              <w:left w:val="nil"/>
              <w:bottom w:val="single" w:sz="4" w:space="0" w:color="auto"/>
              <w:right w:val="single" w:sz="4" w:space="0" w:color="auto"/>
            </w:tcBorders>
            <w:shd w:val="clear" w:color="auto" w:fill="auto"/>
            <w:hideMark/>
          </w:tcPr>
          <w:p w:rsidR="009E5C52" w:rsidRPr="007D22C9" w:rsidRDefault="00AC7404" w:rsidP="00EC082D">
            <w:pPr>
              <w:autoSpaceDE/>
              <w:autoSpaceDN/>
              <w:adjustRightInd/>
              <w:jc w:val="center"/>
              <w:rPr>
                <w:color w:val="000000"/>
                <w:sz w:val="20"/>
                <w:szCs w:val="20"/>
              </w:rPr>
            </w:pPr>
            <w:r w:rsidRPr="007D22C9">
              <w:rPr>
                <w:color w:val="000000"/>
                <w:sz w:val="20"/>
                <w:szCs w:val="20"/>
              </w:rPr>
              <w:t>1</w:t>
            </w:r>
          </w:p>
          <w:p w:rsidR="00AC7404" w:rsidRPr="007D22C9" w:rsidRDefault="00AC7404" w:rsidP="00EC082D">
            <w:pPr>
              <w:autoSpaceDE/>
              <w:autoSpaceDN/>
              <w:adjustRightInd/>
              <w:jc w:val="center"/>
              <w:rPr>
                <w:color w:val="000000"/>
                <w:sz w:val="20"/>
                <w:szCs w:val="20"/>
              </w:rPr>
            </w:pPr>
          </w:p>
        </w:tc>
        <w:tc>
          <w:tcPr>
            <w:tcW w:w="1275" w:type="dxa"/>
            <w:tcBorders>
              <w:top w:val="single" w:sz="4" w:space="0" w:color="auto"/>
              <w:left w:val="nil"/>
              <w:bottom w:val="single" w:sz="4" w:space="0" w:color="auto"/>
              <w:right w:val="single" w:sz="4" w:space="0" w:color="auto"/>
            </w:tcBorders>
            <w:shd w:val="clear" w:color="auto" w:fill="auto"/>
            <w:hideMark/>
          </w:tcPr>
          <w:p w:rsidR="009E5C52" w:rsidRPr="007D22C9" w:rsidRDefault="003838A4" w:rsidP="003838A4">
            <w:pPr>
              <w:autoSpaceDE/>
              <w:autoSpaceDN/>
              <w:adjustRightInd/>
              <w:jc w:val="center"/>
              <w:rPr>
                <w:bCs/>
                <w:color w:val="000000"/>
                <w:sz w:val="20"/>
                <w:szCs w:val="20"/>
              </w:rPr>
            </w:pPr>
            <w:r w:rsidRPr="007D22C9">
              <w:rPr>
                <w:bCs/>
                <w:color w:val="000000"/>
                <w:sz w:val="20"/>
                <w:szCs w:val="20"/>
              </w:rPr>
              <w:t>2</w:t>
            </w:r>
          </w:p>
        </w:tc>
      </w:tr>
      <w:tr w:rsidR="009E5C52" w:rsidRPr="007D22C9" w:rsidTr="00EF1078">
        <w:trPr>
          <w:trHeight w:val="20"/>
        </w:trPr>
        <w:tc>
          <w:tcPr>
            <w:tcW w:w="460" w:type="dxa"/>
            <w:tcBorders>
              <w:top w:val="nil"/>
              <w:left w:val="single" w:sz="4" w:space="0" w:color="auto"/>
              <w:bottom w:val="single" w:sz="4" w:space="0" w:color="auto"/>
              <w:right w:val="nil"/>
            </w:tcBorders>
            <w:shd w:val="clear" w:color="auto" w:fill="auto"/>
            <w:hideMark/>
          </w:tcPr>
          <w:p w:rsidR="009E5C52" w:rsidRPr="007D22C9" w:rsidRDefault="009E5C52" w:rsidP="00EC082D">
            <w:pPr>
              <w:autoSpaceDE/>
              <w:autoSpaceDN/>
              <w:adjustRightInd/>
              <w:jc w:val="center"/>
              <w:rPr>
                <w:bCs/>
                <w:color w:val="000000"/>
                <w:sz w:val="20"/>
                <w:szCs w:val="20"/>
              </w:rPr>
            </w:pPr>
            <w:r w:rsidRPr="007D22C9">
              <w:rPr>
                <w:bCs/>
                <w:color w:val="000000"/>
                <w:sz w:val="20"/>
                <w:szCs w:val="20"/>
              </w:rPr>
              <w:t>2</w:t>
            </w:r>
            <w:r w:rsidR="000B1BA9" w:rsidRPr="007D22C9">
              <w:rPr>
                <w:bCs/>
                <w:color w:val="000000"/>
                <w:sz w:val="20"/>
                <w:szCs w:val="20"/>
              </w:rPr>
              <w:t>.</w:t>
            </w:r>
          </w:p>
        </w:tc>
        <w:tc>
          <w:tcPr>
            <w:tcW w:w="1662" w:type="dxa"/>
            <w:tcBorders>
              <w:top w:val="nil"/>
              <w:left w:val="single" w:sz="4" w:space="0" w:color="auto"/>
              <w:bottom w:val="single" w:sz="4" w:space="0" w:color="auto"/>
              <w:right w:val="single" w:sz="4" w:space="0" w:color="auto"/>
            </w:tcBorders>
            <w:shd w:val="clear" w:color="auto" w:fill="auto"/>
            <w:hideMark/>
          </w:tcPr>
          <w:p w:rsidR="009E5C52" w:rsidRPr="007D22C9" w:rsidRDefault="009E5C52" w:rsidP="00EC082D">
            <w:pPr>
              <w:autoSpaceDE/>
              <w:autoSpaceDN/>
              <w:adjustRightInd/>
              <w:jc w:val="both"/>
              <w:rPr>
                <w:color w:val="000000"/>
                <w:sz w:val="20"/>
                <w:szCs w:val="20"/>
              </w:rPr>
            </w:pPr>
            <w:r w:rsidRPr="007D22C9">
              <w:rPr>
                <w:color w:val="000000"/>
                <w:sz w:val="20"/>
                <w:szCs w:val="20"/>
              </w:rPr>
              <w:t xml:space="preserve">ГАУЗ </w:t>
            </w:r>
            <w:r w:rsidR="002F7358" w:rsidRPr="007D22C9">
              <w:rPr>
                <w:color w:val="000000"/>
                <w:sz w:val="20"/>
                <w:szCs w:val="20"/>
              </w:rPr>
              <w:t>«</w:t>
            </w:r>
            <w:r w:rsidRPr="007D22C9">
              <w:rPr>
                <w:color w:val="000000"/>
                <w:sz w:val="20"/>
                <w:szCs w:val="20"/>
              </w:rPr>
              <w:t>Бугульминская ЦРБ</w:t>
            </w:r>
            <w:r w:rsidR="002F7358" w:rsidRPr="007D22C9">
              <w:rPr>
                <w:color w:val="000000"/>
                <w:sz w:val="20"/>
                <w:szCs w:val="20"/>
              </w:rPr>
              <w:t>»</w:t>
            </w:r>
          </w:p>
        </w:tc>
        <w:tc>
          <w:tcPr>
            <w:tcW w:w="1559" w:type="dxa"/>
            <w:tcBorders>
              <w:top w:val="nil"/>
              <w:left w:val="nil"/>
              <w:bottom w:val="single" w:sz="4" w:space="0" w:color="auto"/>
              <w:right w:val="single" w:sz="4" w:space="0" w:color="auto"/>
            </w:tcBorders>
            <w:shd w:val="clear" w:color="auto" w:fill="auto"/>
            <w:hideMark/>
          </w:tcPr>
          <w:p w:rsidR="009E5C52" w:rsidRPr="007D22C9" w:rsidRDefault="000B1BA9" w:rsidP="00EC082D">
            <w:pPr>
              <w:autoSpaceDE/>
              <w:autoSpaceDN/>
              <w:adjustRightInd/>
              <w:jc w:val="both"/>
              <w:rPr>
                <w:color w:val="000000"/>
                <w:sz w:val="20"/>
                <w:szCs w:val="20"/>
              </w:rPr>
            </w:pPr>
            <w:r w:rsidRPr="007D22C9">
              <w:rPr>
                <w:color w:val="000000"/>
                <w:sz w:val="20"/>
                <w:szCs w:val="20"/>
              </w:rPr>
              <w:t>г.</w:t>
            </w:r>
            <w:r w:rsidR="009E5C52" w:rsidRPr="007D22C9">
              <w:rPr>
                <w:color w:val="000000"/>
                <w:sz w:val="20"/>
                <w:szCs w:val="20"/>
              </w:rPr>
              <w:t>Бугульма, ул.14 Павших, д.11</w:t>
            </w:r>
          </w:p>
          <w:p w:rsidR="002C370F" w:rsidRPr="007D22C9" w:rsidRDefault="002C370F" w:rsidP="00EC082D">
            <w:pPr>
              <w:autoSpaceDE/>
              <w:autoSpaceDN/>
              <w:adjustRightInd/>
              <w:jc w:val="both"/>
              <w:rPr>
                <w:color w:val="000000"/>
                <w:sz w:val="20"/>
                <w:szCs w:val="20"/>
              </w:rPr>
            </w:pPr>
          </w:p>
        </w:tc>
        <w:tc>
          <w:tcPr>
            <w:tcW w:w="992" w:type="dxa"/>
            <w:tcBorders>
              <w:top w:val="nil"/>
              <w:left w:val="nil"/>
              <w:bottom w:val="single" w:sz="4" w:space="0" w:color="auto"/>
              <w:right w:val="nil"/>
            </w:tcBorders>
            <w:shd w:val="clear" w:color="auto" w:fill="auto"/>
            <w:hideMark/>
          </w:tcPr>
          <w:p w:rsidR="009E5C52" w:rsidRPr="007D22C9" w:rsidRDefault="009E5C52" w:rsidP="00EC082D">
            <w:pPr>
              <w:autoSpaceDE/>
              <w:autoSpaceDN/>
              <w:adjustRightInd/>
              <w:jc w:val="center"/>
              <w:rPr>
                <w:color w:val="000000"/>
                <w:sz w:val="20"/>
                <w:szCs w:val="20"/>
              </w:rPr>
            </w:pPr>
            <w:r w:rsidRPr="007D22C9">
              <w:rPr>
                <w:color w:val="000000"/>
                <w:sz w:val="20"/>
                <w:szCs w:val="20"/>
              </w:rPr>
              <w:t>3</w:t>
            </w:r>
          </w:p>
        </w:tc>
        <w:tc>
          <w:tcPr>
            <w:tcW w:w="851" w:type="dxa"/>
            <w:tcBorders>
              <w:top w:val="nil"/>
              <w:left w:val="single" w:sz="4" w:space="0" w:color="auto"/>
              <w:bottom w:val="single" w:sz="4" w:space="0" w:color="auto"/>
              <w:right w:val="nil"/>
            </w:tcBorders>
            <w:shd w:val="clear" w:color="auto" w:fill="auto"/>
            <w:hideMark/>
          </w:tcPr>
          <w:p w:rsidR="009E5C52" w:rsidRPr="007D22C9" w:rsidRDefault="009E5C52" w:rsidP="00EC082D">
            <w:pPr>
              <w:autoSpaceDE/>
              <w:autoSpaceDN/>
              <w:adjustRightInd/>
              <w:jc w:val="center"/>
              <w:rPr>
                <w:color w:val="000000"/>
                <w:sz w:val="20"/>
                <w:szCs w:val="20"/>
              </w:rPr>
            </w:pPr>
            <w:r w:rsidRPr="007D22C9">
              <w:rPr>
                <w:color w:val="000000"/>
                <w:sz w:val="20"/>
                <w:szCs w:val="20"/>
              </w:rPr>
              <w:t>2022 г.</w:t>
            </w:r>
          </w:p>
        </w:tc>
        <w:tc>
          <w:tcPr>
            <w:tcW w:w="1474" w:type="dxa"/>
            <w:tcBorders>
              <w:top w:val="nil"/>
              <w:left w:val="single" w:sz="4" w:space="0" w:color="auto"/>
              <w:bottom w:val="single" w:sz="4" w:space="0" w:color="auto"/>
              <w:right w:val="single" w:sz="4" w:space="0" w:color="auto"/>
            </w:tcBorders>
            <w:shd w:val="clear" w:color="auto" w:fill="auto"/>
            <w:hideMark/>
          </w:tcPr>
          <w:p w:rsidR="009E5C52" w:rsidRPr="007D22C9" w:rsidRDefault="009E5C52" w:rsidP="002C370F">
            <w:pPr>
              <w:autoSpaceDE/>
              <w:autoSpaceDN/>
              <w:adjustRightInd/>
              <w:ind w:left="-28"/>
              <w:jc w:val="both"/>
              <w:rPr>
                <w:color w:val="000000"/>
                <w:sz w:val="20"/>
                <w:szCs w:val="20"/>
              </w:rPr>
            </w:pPr>
            <w:r w:rsidRPr="007D22C9">
              <w:rPr>
                <w:color w:val="000000"/>
                <w:sz w:val="20"/>
                <w:szCs w:val="20"/>
              </w:rPr>
              <w:t xml:space="preserve">Бугульминский муниципальный </w:t>
            </w:r>
            <w:r w:rsidR="002C370F" w:rsidRPr="007D22C9">
              <w:rPr>
                <w:color w:val="000000"/>
                <w:sz w:val="20"/>
                <w:szCs w:val="20"/>
              </w:rPr>
              <w:t>р</w:t>
            </w:r>
            <w:r w:rsidRPr="007D22C9">
              <w:rPr>
                <w:color w:val="000000"/>
                <w:sz w:val="20"/>
                <w:szCs w:val="20"/>
              </w:rPr>
              <w:t>айон</w:t>
            </w:r>
          </w:p>
        </w:tc>
        <w:tc>
          <w:tcPr>
            <w:tcW w:w="1134" w:type="dxa"/>
            <w:tcBorders>
              <w:top w:val="nil"/>
              <w:left w:val="nil"/>
              <w:bottom w:val="single" w:sz="4" w:space="0" w:color="auto"/>
              <w:right w:val="single" w:sz="4" w:space="0" w:color="auto"/>
            </w:tcBorders>
            <w:shd w:val="clear" w:color="auto" w:fill="auto"/>
            <w:hideMark/>
          </w:tcPr>
          <w:p w:rsidR="009E5C52" w:rsidRPr="007D22C9" w:rsidRDefault="00B33BBC" w:rsidP="00B33BBC">
            <w:pPr>
              <w:autoSpaceDE/>
              <w:autoSpaceDN/>
              <w:adjustRightInd/>
              <w:jc w:val="center"/>
              <w:rPr>
                <w:color w:val="000000"/>
                <w:sz w:val="20"/>
                <w:szCs w:val="20"/>
              </w:rPr>
            </w:pPr>
            <w:r w:rsidRPr="007D22C9">
              <w:rPr>
                <w:color w:val="000000"/>
                <w:sz w:val="20"/>
                <w:szCs w:val="20"/>
              </w:rPr>
              <w:t>99 177</w:t>
            </w:r>
          </w:p>
        </w:tc>
        <w:tc>
          <w:tcPr>
            <w:tcW w:w="1134" w:type="dxa"/>
            <w:tcBorders>
              <w:top w:val="nil"/>
              <w:left w:val="nil"/>
              <w:bottom w:val="single" w:sz="4" w:space="0" w:color="auto"/>
              <w:right w:val="single" w:sz="4" w:space="0" w:color="auto"/>
            </w:tcBorders>
            <w:shd w:val="clear" w:color="auto" w:fill="auto"/>
            <w:hideMark/>
          </w:tcPr>
          <w:p w:rsidR="009E5C52" w:rsidRPr="007D22C9" w:rsidRDefault="009E5C52" w:rsidP="00B33BBC">
            <w:pPr>
              <w:autoSpaceDE/>
              <w:autoSpaceDN/>
              <w:adjustRightInd/>
              <w:jc w:val="center"/>
              <w:rPr>
                <w:color w:val="000000"/>
                <w:sz w:val="20"/>
                <w:szCs w:val="20"/>
              </w:rPr>
            </w:pPr>
            <w:r w:rsidRPr="007D22C9">
              <w:rPr>
                <w:color w:val="000000"/>
                <w:sz w:val="20"/>
                <w:szCs w:val="20"/>
              </w:rPr>
              <w:t>3,</w:t>
            </w:r>
            <w:r w:rsidR="00B33BBC" w:rsidRPr="007D22C9">
              <w:rPr>
                <w:color w:val="000000"/>
                <w:sz w:val="20"/>
                <w:szCs w:val="20"/>
              </w:rPr>
              <w:t>96</w:t>
            </w:r>
          </w:p>
        </w:tc>
        <w:tc>
          <w:tcPr>
            <w:tcW w:w="1276" w:type="dxa"/>
            <w:tcBorders>
              <w:top w:val="nil"/>
              <w:left w:val="nil"/>
              <w:bottom w:val="single" w:sz="4" w:space="0" w:color="auto"/>
              <w:right w:val="single" w:sz="4" w:space="0" w:color="auto"/>
            </w:tcBorders>
            <w:shd w:val="clear" w:color="auto" w:fill="auto"/>
            <w:hideMark/>
          </w:tcPr>
          <w:p w:rsidR="009E5C52" w:rsidRPr="007D22C9" w:rsidRDefault="00AC7404" w:rsidP="00AC7404">
            <w:pPr>
              <w:autoSpaceDE/>
              <w:autoSpaceDN/>
              <w:adjustRightInd/>
              <w:jc w:val="center"/>
              <w:rPr>
                <w:color w:val="000000"/>
                <w:sz w:val="20"/>
                <w:szCs w:val="20"/>
              </w:rPr>
            </w:pPr>
            <w:r w:rsidRPr="007D22C9">
              <w:rPr>
                <w:color w:val="000000"/>
                <w:sz w:val="20"/>
                <w:szCs w:val="20"/>
              </w:rPr>
              <w:t>5</w:t>
            </w:r>
            <w:r w:rsidR="009E5C52" w:rsidRPr="007D22C9">
              <w:rPr>
                <w:color w:val="000000"/>
                <w:sz w:val="20"/>
                <w:szCs w:val="20"/>
              </w:rPr>
              <w:t>,50</w:t>
            </w:r>
          </w:p>
        </w:tc>
        <w:tc>
          <w:tcPr>
            <w:tcW w:w="1247" w:type="dxa"/>
            <w:tcBorders>
              <w:top w:val="nil"/>
              <w:left w:val="nil"/>
              <w:bottom w:val="single" w:sz="4" w:space="0" w:color="auto"/>
              <w:right w:val="single" w:sz="4" w:space="0" w:color="auto"/>
            </w:tcBorders>
            <w:shd w:val="clear" w:color="auto" w:fill="auto"/>
            <w:hideMark/>
          </w:tcPr>
          <w:p w:rsidR="009E5C52" w:rsidRPr="007D22C9" w:rsidRDefault="00AC7404" w:rsidP="00AC7404">
            <w:pPr>
              <w:autoSpaceDE/>
              <w:autoSpaceDN/>
              <w:adjustRightInd/>
              <w:jc w:val="center"/>
              <w:rPr>
                <w:color w:val="000000"/>
                <w:sz w:val="20"/>
                <w:szCs w:val="20"/>
              </w:rPr>
            </w:pPr>
            <w:r w:rsidRPr="007D22C9">
              <w:rPr>
                <w:color w:val="000000"/>
                <w:sz w:val="20"/>
                <w:szCs w:val="20"/>
              </w:rPr>
              <w:t>4,5</w:t>
            </w:r>
            <w:r w:rsidR="009E5C52" w:rsidRPr="007D22C9">
              <w:rPr>
                <w:color w:val="000000"/>
                <w:sz w:val="20"/>
                <w:szCs w:val="20"/>
              </w:rPr>
              <w:t>0</w:t>
            </w:r>
          </w:p>
        </w:tc>
        <w:tc>
          <w:tcPr>
            <w:tcW w:w="1077" w:type="dxa"/>
            <w:tcBorders>
              <w:top w:val="nil"/>
              <w:left w:val="nil"/>
              <w:bottom w:val="single" w:sz="4" w:space="0" w:color="auto"/>
              <w:right w:val="single" w:sz="4" w:space="0" w:color="auto"/>
            </w:tcBorders>
            <w:shd w:val="clear" w:color="auto" w:fill="auto"/>
            <w:hideMark/>
          </w:tcPr>
          <w:p w:rsidR="009E5C52" w:rsidRPr="007D22C9" w:rsidRDefault="009E5C52" w:rsidP="00EC082D">
            <w:pPr>
              <w:autoSpaceDE/>
              <w:autoSpaceDN/>
              <w:adjustRightInd/>
              <w:jc w:val="center"/>
              <w:rPr>
                <w:color w:val="000000"/>
                <w:sz w:val="20"/>
                <w:szCs w:val="20"/>
              </w:rPr>
            </w:pPr>
            <w:r w:rsidRPr="007D22C9">
              <w:rPr>
                <w:color w:val="000000"/>
                <w:sz w:val="20"/>
                <w:szCs w:val="20"/>
              </w:rPr>
              <w:t>2</w:t>
            </w:r>
          </w:p>
        </w:tc>
        <w:tc>
          <w:tcPr>
            <w:tcW w:w="1275" w:type="dxa"/>
            <w:tcBorders>
              <w:top w:val="nil"/>
              <w:left w:val="nil"/>
              <w:bottom w:val="single" w:sz="4" w:space="0" w:color="auto"/>
              <w:right w:val="single" w:sz="4" w:space="0" w:color="auto"/>
            </w:tcBorders>
            <w:shd w:val="clear" w:color="auto" w:fill="auto"/>
            <w:hideMark/>
          </w:tcPr>
          <w:p w:rsidR="009E5C52" w:rsidRPr="007D22C9" w:rsidRDefault="009E5C52" w:rsidP="00EC082D">
            <w:pPr>
              <w:autoSpaceDE/>
              <w:autoSpaceDN/>
              <w:adjustRightInd/>
              <w:jc w:val="center"/>
              <w:rPr>
                <w:bCs/>
                <w:color w:val="000000"/>
                <w:sz w:val="20"/>
                <w:szCs w:val="20"/>
              </w:rPr>
            </w:pPr>
            <w:r w:rsidRPr="007D22C9">
              <w:rPr>
                <w:bCs/>
                <w:color w:val="000000"/>
                <w:sz w:val="20"/>
                <w:szCs w:val="20"/>
              </w:rPr>
              <w:t>2</w:t>
            </w:r>
          </w:p>
        </w:tc>
      </w:tr>
      <w:tr w:rsidR="009E5C52" w:rsidRPr="007D22C9" w:rsidTr="00EF1078">
        <w:trPr>
          <w:trHeight w:val="20"/>
        </w:trPr>
        <w:tc>
          <w:tcPr>
            <w:tcW w:w="460" w:type="dxa"/>
            <w:tcBorders>
              <w:top w:val="nil"/>
              <w:left w:val="single" w:sz="4" w:space="0" w:color="auto"/>
              <w:bottom w:val="single" w:sz="4" w:space="0" w:color="auto"/>
              <w:right w:val="nil"/>
            </w:tcBorders>
            <w:shd w:val="clear" w:color="auto" w:fill="auto"/>
            <w:hideMark/>
          </w:tcPr>
          <w:p w:rsidR="009E5C52" w:rsidRPr="007D22C9" w:rsidRDefault="009E5C52" w:rsidP="00EC082D">
            <w:pPr>
              <w:autoSpaceDE/>
              <w:autoSpaceDN/>
              <w:adjustRightInd/>
              <w:jc w:val="center"/>
              <w:rPr>
                <w:bCs/>
                <w:color w:val="000000"/>
                <w:sz w:val="20"/>
                <w:szCs w:val="20"/>
              </w:rPr>
            </w:pPr>
            <w:r w:rsidRPr="007D22C9">
              <w:rPr>
                <w:bCs/>
                <w:color w:val="000000"/>
                <w:sz w:val="20"/>
                <w:szCs w:val="20"/>
              </w:rPr>
              <w:t>3</w:t>
            </w:r>
            <w:r w:rsidR="000B1BA9" w:rsidRPr="007D22C9">
              <w:rPr>
                <w:bCs/>
                <w:color w:val="000000"/>
                <w:sz w:val="20"/>
                <w:szCs w:val="20"/>
              </w:rPr>
              <w:t>.</w:t>
            </w:r>
          </w:p>
        </w:tc>
        <w:tc>
          <w:tcPr>
            <w:tcW w:w="1662" w:type="dxa"/>
            <w:tcBorders>
              <w:top w:val="nil"/>
              <w:left w:val="single" w:sz="4" w:space="0" w:color="auto"/>
              <w:bottom w:val="single" w:sz="4" w:space="0" w:color="auto"/>
              <w:right w:val="single" w:sz="4" w:space="0" w:color="auto"/>
            </w:tcBorders>
            <w:shd w:val="clear" w:color="auto" w:fill="auto"/>
            <w:hideMark/>
          </w:tcPr>
          <w:p w:rsidR="009E5C52" w:rsidRPr="007D22C9" w:rsidRDefault="009E5C52" w:rsidP="00EC082D">
            <w:pPr>
              <w:autoSpaceDE/>
              <w:autoSpaceDN/>
              <w:adjustRightInd/>
              <w:jc w:val="both"/>
              <w:rPr>
                <w:color w:val="000000"/>
                <w:sz w:val="20"/>
                <w:szCs w:val="20"/>
              </w:rPr>
            </w:pPr>
            <w:r w:rsidRPr="007D22C9">
              <w:rPr>
                <w:color w:val="000000"/>
                <w:sz w:val="20"/>
                <w:szCs w:val="20"/>
              </w:rPr>
              <w:t xml:space="preserve">ГАУЗ </w:t>
            </w:r>
            <w:r w:rsidR="002F7358" w:rsidRPr="007D22C9">
              <w:rPr>
                <w:color w:val="000000"/>
                <w:sz w:val="20"/>
                <w:szCs w:val="20"/>
              </w:rPr>
              <w:t>«</w:t>
            </w:r>
            <w:r w:rsidRPr="007D22C9">
              <w:rPr>
                <w:color w:val="000000"/>
                <w:sz w:val="20"/>
                <w:szCs w:val="20"/>
              </w:rPr>
              <w:t>Буинская ЦРБ</w:t>
            </w:r>
            <w:r w:rsidR="002F7358" w:rsidRPr="007D22C9">
              <w:rPr>
                <w:color w:val="000000"/>
                <w:sz w:val="20"/>
                <w:szCs w:val="20"/>
              </w:rPr>
              <w:t>»</w:t>
            </w:r>
          </w:p>
        </w:tc>
        <w:tc>
          <w:tcPr>
            <w:tcW w:w="1559" w:type="dxa"/>
            <w:tcBorders>
              <w:top w:val="nil"/>
              <w:left w:val="nil"/>
              <w:bottom w:val="single" w:sz="4" w:space="0" w:color="auto"/>
              <w:right w:val="single" w:sz="4" w:space="0" w:color="auto"/>
            </w:tcBorders>
            <w:shd w:val="clear" w:color="auto" w:fill="auto"/>
            <w:hideMark/>
          </w:tcPr>
          <w:p w:rsidR="009E5C52" w:rsidRPr="007D22C9" w:rsidRDefault="000B1BA9" w:rsidP="00EC082D">
            <w:pPr>
              <w:autoSpaceDE/>
              <w:autoSpaceDN/>
              <w:adjustRightInd/>
              <w:jc w:val="both"/>
              <w:rPr>
                <w:color w:val="000000"/>
                <w:sz w:val="20"/>
                <w:szCs w:val="20"/>
              </w:rPr>
            </w:pPr>
            <w:r w:rsidRPr="007D22C9">
              <w:rPr>
                <w:color w:val="000000"/>
                <w:sz w:val="20"/>
                <w:szCs w:val="20"/>
              </w:rPr>
              <w:t>г.</w:t>
            </w:r>
            <w:r w:rsidR="009E5C52" w:rsidRPr="007D22C9">
              <w:rPr>
                <w:color w:val="000000"/>
                <w:sz w:val="20"/>
                <w:szCs w:val="20"/>
              </w:rPr>
              <w:t>Буинск, ул.Н.Ефремо</w:t>
            </w:r>
            <w:r w:rsidRPr="007D22C9">
              <w:rPr>
                <w:color w:val="000000"/>
                <w:sz w:val="20"/>
                <w:szCs w:val="20"/>
              </w:rPr>
              <w:t>-</w:t>
            </w:r>
            <w:r w:rsidR="009E5C52" w:rsidRPr="007D22C9">
              <w:rPr>
                <w:color w:val="000000"/>
                <w:sz w:val="20"/>
                <w:szCs w:val="20"/>
              </w:rPr>
              <w:t>ва,</w:t>
            </w:r>
            <w:r w:rsidRPr="007D22C9">
              <w:rPr>
                <w:color w:val="000000"/>
                <w:sz w:val="20"/>
                <w:szCs w:val="20"/>
              </w:rPr>
              <w:t xml:space="preserve"> </w:t>
            </w:r>
            <w:r w:rsidR="009E5C52" w:rsidRPr="007D22C9">
              <w:rPr>
                <w:color w:val="000000"/>
                <w:sz w:val="20"/>
                <w:szCs w:val="20"/>
              </w:rPr>
              <w:t>д.137</w:t>
            </w:r>
          </w:p>
        </w:tc>
        <w:tc>
          <w:tcPr>
            <w:tcW w:w="992" w:type="dxa"/>
            <w:tcBorders>
              <w:top w:val="nil"/>
              <w:left w:val="nil"/>
              <w:bottom w:val="single" w:sz="4" w:space="0" w:color="auto"/>
              <w:right w:val="nil"/>
            </w:tcBorders>
            <w:shd w:val="clear" w:color="auto" w:fill="auto"/>
            <w:hideMark/>
          </w:tcPr>
          <w:p w:rsidR="009E5C52" w:rsidRPr="007D22C9" w:rsidRDefault="009E5C52" w:rsidP="00EC082D">
            <w:pPr>
              <w:autoSpaceDE/>
              <w:autoSpaceDN/>
              <w:adjustRightInd/>
              <w:jc w:val="center"/>
              <w:rPr>
                <w:color w:val="000000"/>
                <w:sz w:val="20"/>
                <w:szCs w:val="20"/>
              </w:rPr>
            </w:pPr>
            <w:r w:rsidRPr="007D22C9">
              <w:rPr>
                <w:color w:val="000000"/>
                <w:sz w:val="20"/>
                <w:szCs w:val="20"/>
              </w:rPr>
              <w:t>3</w:t>
            </w:r>
          </w:p>
        </w:tc>
        <w:tc>
          <w:tcPr>
            <w:tcW w:w="851" w:type="dxa"/>
            <w:tcBorders>
              <w:top w:val="nil"/>
              <w:left w:val="single" w:sz="4" w:space="0" w:color="auto"/>
              <w:bottom w:val="single" w:sz="4" w:space="0" w:color="auto"/>
              <w:right w:val="nil"/>
            </w:tcBorders>
            <w:shd w:val="clear" w:color="auto" w:fill="auto"/>
            <w:hideMark/>
          </w:tcPr>
          <w:p w:rsidR="009E5C52" w:rsidRPr="007D22C9" w:rsidRDefault="009E5C52" w:rsidP="00EC082D">
            <w:pPr>
              <w:autoSpaceDE/>
              <w:autoSpaceDN/>
              <w:adjustRightInd/>
              <w:jc w:val="center"/>
              <w:rPr>
                <w:color w:val="000000"/>
                <w:sz w:val="20"/>
                <w:szCs w:val="20"/>
              </w:rPr>
            </w:pPr>
            <w:r w:rsidRPr="007D22C9">
              <w:rPr>
                <w:color w:val="000000"/>
                <w:sz w:val="20"/>
                <w:szCs w:val="20"/>
              </w:rPr>
              <w:t>2023 г.</w:t>
            </w:r>
          </w:p>
        </w:tc>
        <w:tc>
          <w:tcPr>
            <w:tcW w:w="1474" w:type="dxa"/>
            <w:tcBorders>
              <w:top w:val="nil"/>
              <w:left w:val="single" w:sz="4" w:space="0" w:color="auto"/>
              <w:bottom w:val="single" w:sz="4" w:space="0" w:color="auto"/>
              <w:right w:val="single" w:sz="4" w:space="0" w:color="auto"/>
            </w:tcBorders>
            <w:shd w:val="clear" w:color="auto" w:fill="auto"/>
            <w:hideMark/>
          </w:tcPr>
          <w:p w:rsidR="009E5C52" w:rsidRPr="007D22C9" w:rsidRDefault="009E5C52" w:rsidP="00EF1078">
            <w:pPr>
              <w:autoSpaceDE/>
              <w:autoSpaceDN/>
              <w:adjustRightInd/>
              <w:ind w:left="-28"/>
              <w:jc w:val="both"/>
              <w:rPr>
                <w:color w:val="000000"/>
                <w:sz w:val="20"/>
                <w:szCs w:val="20"/>
              </w:rPr>
            </w:pPr>
            <w:r w:rsidRPr="007D22C9">
              <w:rPr>
                <w:color w:val="000000"/>
                <w:sz w:val="20"/>
                <w:szCs w:val="20"/>
              </w:rPr>
              <w:t>Буинский, Дрожжановский, Тетюшский муниципальные районы</w:t>
            </w:r>
          </w:p>
        </w:tc>
        <w:tc>
          <w:tcPr>
            <w:tcW w:w="1134" w:type="dxa"/>
            <w:tcBorders>
              <w:top w:val="nil"/>
              <w:left w:val="nil"/>
              <w:bottom w:val="single" w:sz="4" w:space="0" w:color="auto"/>
              <w:right w:val="single" w:sz="4" w:space="0" w:color="auto"/>
            </w:tcBorders>
            <w:shd w:val="clear" w:color="auto" w:fill="auto"/>
            <w:hideMark/>
          </w:tcPr>
          <w:p w:rsidR="009E5C52" w:rsidRPr="007D22C9" w:rsidRDefault="00384E24" w:rsidP="00384E24">
            <w:pPr>
              <w:autoSpaceDE/>
              <w:autoSpaceDN/>
              <w:adjustRightInd/>
              <w:jc w:val="center"/>
              <w:rPr>
                <w:color w:val="000000"/>
                <w:sz w:val="20"/>
                <w:szCs w:val="20"/>
              </w:rPr>
            </w:pPr>
            <w:r w:rsidRPr="007D22C9">
              <w:rPr>
                <w:color w:val="000000"/>
                <w:sz w:val="20"/>
                <w:szCs w:val="20"/>
              </w:rPr>
              <w:t>65 418</w:t>
            </w:r>
          </w:p>
        </w:tc>
        <w:tc>
          <w:tcPr>
            <w:tcW w:w="1134" w:type="dxa"/>
            <w:tcBorders>
              <w:top w:val="nil"/>
              <w:left w:val="nil"/>
              <w:bottom w:val="single" w:sz="4" w:space="0" w:color="auto"/>
              <w:right w:val="single" w:sz="4" w:space="0" w:color="auto"/>
            </w:tcBorders>
            <w:shd w:val="clear" w:color="auto" w:fill="auto"/>
            <w:hideMark/>
          </w:tcPr>
          <w:p w:rsidR="009E5C52" w:rsidRPr="007D22C9" w:rsidRDefault="009E5C52" w:rsidP="00384E24">
            <w:pPr>
              <w:autoSpaceDE/>
              <w:autoSpaceDN/>
              <w:adjustRightInd/>
              <w:jc w:val="center"/>
              <w:rPr>
                <w:color w:val="000000"/>
                <w:sz w:val="20"/>
                <w:szCs w:val="20"/>
              </w:rPr>
            </w:pPr>
            <w:r w:rsidRPr="007D22C9">
              <w:rPr>
                <w:color w:val="000000"/>
                <w:sz w:val="20"/>
                <w:szCs w:val="20"/>
              </w:rPr>
              <w:t>2,</w:t>
            </w:r>
            <w:r w:rsidR="00384E24" w:rsidRPr="007D22C9">
              <w:rPr>
                <w:color w:val="000000"/>
                <w:sz w:val="20"/>
                <w:szCs w:val="20"/>
              </w:rPr>
              <w:t>61</w:t>
            </w:r>
          </w:p>
        </w:tc>
        <w:tc>
          <w:tcPr>
            <w:tcW w:w="1276" w:type="dxa"/>
            <w:tcBorders>
              <w:top w:val="nil"/>
              <w:left w:val="nil"/>
              <w:bottom w:val="single" w:sz="4" w:space="0" w:color="auto"/>
              <w:right w:val="single" w:sz="4" w:space="0" w:color="auto"/>
            </w:tcBorders>
            <w:shd w:val="clear" w:color="auto" w:fill="auto"/>
            <w:hideMark/>
          </w:tcPr>
          <w:p w:rsidR="009E5C52" w:rsidRPr="007D22C9" w:rsidRDefault="009E5C52" w:rsidP="003838A4">
            <w:pPr>
              <w:autoSpaceDE/>
              <w:autoSpaceDN/>
              <w:adjustRightInd/>
              <w:jc w:val="center"/>
              <w:rPr>
                <w:color w:val="000000"/>
                <w:sz w:val="20"/>
                <w:szCs w:val="20"/>
              </w:rPr>
            </w:pPr>
            <w:r w:rsidRPr="007D22C9">
              <w:rPr>
                <w:color w:val="000000"/>
                <w:sz w:val="20"/>
                <w:szCs w:val="20"/>
              </w:rPr>
              <w:t>1,</w:t>
            </w:r>
            <w:r w:rsidR="003838A4" w:rsidRPr="007D22C9">
              <w:rPr>
                <w:color w:val="000000"/>
                <w:sz w:val="20"/>
                <w:szCs w:val="20"/>
              </w:rPr>
              <w:t>0</w:t>
            </w:r>
            <w:r w:rsidRPr="007D22C9">
              <w:rPr>
                <w:color w:val="000000"/>
                <w:sz w:val="20"/>
                <w:szCs w:val="20"/>
              </w:rPr>
              <w:t>0</w:t>
            </w:r>
          </w:p>
        </w:tc>
        <w:tc>
          <w:tcPr>
            <w:tcW w:w="1247" w:type="dxa"/>
            <w:tcBorders>
              <w:top w:val="nil"/>
              <w:left w:val="nil"/>
              <w:bottom w:val="single" w:sz="4" w:space="0" w:color="auto"/>
              <w:right w:val="single" w:sz="4" w:space="0" w:color="auto"/>
            </w:tcBorders>
            <w:shd w:val="clear" w:color="auto" w:fill="auto"/>
            <w:hideMark/>
          </w:tcPr>
          <w:p w:rsidR="009E5C52" w:rsidRPr="007D22C9" w:rsidRDefault="009E5C52" w:rsidP="003838A4">
            <w:pPr>
              <w:autoSpaceDE/>
              <w:autoSpaceDN/>
              <w:adjustRightInd/>
              <w:jc w:val="center"/>
              <w:rPr>
                <w:color w:val="000000"/>
                <w:sz w:val="20"/>
                <w:szCs w:val="20"/>
              </w:rPr>
            </w:pPr>
            <w:r w:rsidRPr="007D22C9">
              <w:rPr>
                <w:color w:val="000000"/>
                <w:sz w:val="20"/>
                <w:szCs w:val="20"/>
              </w:rPr>
              <w:t>1,</w:t>
            </w:r>
            <w:r w:rsidR="003838A4" w:rsidRPr="007D22C9">
              <w:rPr>
                <w:color w:val="000000"/>
                <w:sz w:val="20"/>
                <w:szCs w:val="20"/>
              </w:rPr>
              <w:t>0</w:t>
            </w:r>
            <w:r w:rsidRPr="007D22C9">
              <w:rPr>
                <w:color w:val="000000"/>
                <w:sz w:val="20"/>
                <w:szCs w:val="20"/>
              </w:rPr>
              <w:t>0</w:t>
            </w:r>
          </w:p>
        </w:tc>
        <w:tc>
          <w:tcPr>
            <w:tcW w:w="1077" w:type="dxa"/>
            <w:tcBorders>
              <w:top w:val="nil"/>
              <w:left w:val="nil"/>
              <w:bottom w:val="single" w:sz="4" w:space="0" w:color="auto"/>
              <w:right w:val="single" w:sz="4" w:space="0" w:color="auto"/>
            </w:tcBorders>
            <w:shd w:val="clear" w:color="auto" w:fill="auto"/>
            <w:hideMark/>
          </w:tcPr>
          <w:p w:rsidR="009E5C52" w:rsidRPr="007D22C9" w:rsidRDefault="009E5C52" w:rsidP="00EC082D">
            <w:pPr>
              <w:autoSpaceDE/>
              <w:autoSpaceDN/>
              <w:adjustRightInd/>
              <w:jc w:val="center"/>
              <w:rPr>
                <w:color w:val="000000"/>
                <w:sz w:val="20"/>
                <w:szCs w:val="20"/>
              </w:rPr>
            </w:pPr>
            <w:r w:rsidRPr="007D22C9">
              <w:rPr>
                <w:color w:val="000000"/>
                <w:sz w:val="20"/>
                <w:szCs w:val="20"/>
              </w:rPr>
              <w:t>1</w:t>
            </w:r>
          </w:p>
        </w:tc>
        <w:tc>
          <w:tcPr>
            <w:tcW w:w="1275" w:type="dxa"/>
            <w:tcBorders>
              <w:top w:val="nil"/>
              <w:left w:val="nil"/>
              <w:bottom w:val="single" w:sz="4" w:space="0" w:color="auto"/>
              <w:right w:val="single" w:sz="4" w:space="0" w:color="auto"/>
            </w:tcBorders>
            <w:shd w:val="clear" w:color="auto" w:fill="auto"/>
            <w:hideMark/>
          </w:tcPr>
          <w:p w:rsidR="009E5C52" w:rsidRPr="007D22C9" w:rsidRDefault="00384E24" w:rsidP="00384E24">
            <w:pPr>
              <w:autoSpaceDE/>
              <w:autoSpaceDN/>
              <w:adjustRightInd/>
              <w:jc w:val="center"/>
              <w:rPr>
                <w:bCs/>
                <w:color w:val="000000"/>
                <w:sz w:val="20"/>
                <w:szCs w:val="20"/>
              </w:rPr>
            </w:pPr>
            <w:r w:rsidRPr="007D22C9">
              <w:rPr>
                <w:bCs/>
                <w:color w:val="000000"/>
                <w:sz w:val="20"/>
                <w:szCs w:val="20"/>
              </w:rPr>
              <w:t>2</w:t>
            </w:r>
          </w:p>
        </w:tc>
      </w:tr>
      <w:tr w:rsidR="009E5C52" w:rsidRPr="007D22C9" w:rsidTr="00EF1078">
        <w:trPr>
          <w:trHeight w:val="20"/>
        </w:trPr>
        <w:tc>
          <w:tcPr>
            <w:tcW w:w="460" w:type="dxa"/>
            <w:tcBorders>
              <w:top w:val="single" w:sz="4" w:space="0" w:color="auto"/>
              <w:left w:val="single" w:sz="4" w:space="0" w:color="auto"/>
              <w:bottom w:val="single" w:sz="4" w:space="0" w:color="auto"/>
              <w:right w:val="nil"/>
            </w:tcBorders>
            <w:shd w:val="clear" w:color="auto" w:fill="auto"/>
            <w:hideMark/>
          </w:tcPr>
          <w:p w:rsidR="009E5C52" w:rsidRPr="007D22C9" w:rsidRDefault="009E5C52" w:rsidP="00EC082D">
            <w:pPr>
              <w:autoSpaceDE/>
              <w:autoSpaceDN/>
              <w:adjustRightInd/>
              <w:jc w:val="center"/>
              <w:rPr>
                <w:bCs/>
                <w:color w:val="000000"/>
                <w:sz w:val="20"/>
                <w:szCs w:val="20"/>
              </w:rPr>
            </w:pPr>
            <w:r w:rsidRPr="007D22C9">
              <w:rPr>
                <w:bCs/>
                <w:color w:val="000000"/>
                <w:sz w:val="20"/>
                <w:szCs w:val="20"/>
              </w:rPr>
              <w:t>4</w:t>
            </w:r>
            <w:r w:rsidR="000B1BA9" w:rsidRPr="007D22C9">
              <w:rPr>
                <w:bCs/>
                <w:color w:val="000000"/>
                <w:sz w:val="20"/>
                <w:szCs w:val="20"/>
              </w:rPr>
              <w:t>.</w:t>
            </w:r>
          </w:p>
        </w:tc>
        <w:tc>
          <w:tcPr>
            <w:tcW w:w="1662" w:type="dxa"/>
            <w:tcBorders>
              <w:top w:val="single" w:sz="4" w:space="0" w:color="auto"/>
              <w:left w:val="single" w:sz="4" w:space="0" w:color="auto"/>
              <w:bottom w:val="single" w:sz="4" w:space="0" w:color="auto"/>
              <w:right w:val="single" w:sz="4" w:space="0" w:color="auto"/>
            </w:tcBorders>
            <w:shd w:val="clear" w:color="auto" w:fill="auto"/>
            <w:hideMark/>
          </w:tcPr>
          <w:p w:rsidR="009E5C52" w:rsidRPr="007D22C9" w:rsidRDefault="009E5C52" w:rsidP="00EC082D">
            <w:pPr>
              <w:autoSpaceDE/>
              <w:autoSpaceDN/>
              <w:adjustRightInd/>
              <w:jc w:val="both"/>
              <w:rPr>
                <w:color w:val="000000"/>
                <w:sz w:val="20"/>
                <w:szCs w:val="20"/>
              </w:rPr>
            </w:pPr>
            <w:r w:rsidRPr="007D22C9">
              <w:rPr>
                <w:color w:val="000000"/>
                <w:sz w:val="20"/>
                <w:szCs w:val="20"/>
              </w:rPr>
              <w:t xml:space="preserve">ГАУЗ </w:t>
            </w:r>
            <w:r w:rsidR="002F7358" w:rsidRPr="007D22C9">
              <w:rPr>
                <w:color w:val="000000"/>
                <w:sz w:val="20"/>
                <w:szCs w:val="20"/>
              </w:rPr>
              <w:t>«</w:t>
            </w:r>
            <w:r w:rsidRPr="007D22C9">
              <w:rPr>
                <w:color w:val="000000"/>
                <w:sz w:val="20"/>
                <w:szCs w:val="20"/>
              </w:rPr>
              <w:t>Городская поликлиника № 20</w:t>
            </w:r>
            <w:r w:rsidR="002F7358" w:rsidRPr="007D22C9">
              <w:rPr>
                <w:color w:val="000000"/>
                <w:sz w:val="20"/>
                <w:szCs w:val="20"/>
              </w:rPr>
              <w:t>»</w:t>
            </w:r>
            <w:r w:rsidRPr="007D22C9">
              <w:rPr>
                <w:color w:val="000000"/>
                <w:sz w:val="20"/>
                <w:szCs w:val="20"/>
              </w:rPr>
              <w:t xml:space="preserve"> г.Казани</w:t>
            </w:r>
          </w:p>
        </w:tc>
        <w:tc>
          <w:tcPr>
            <w:tcW w:w="1559" w:type="dxa"/>
            <w:tcBorders>
              <w:top w:val="single" w:sz="4" w:space="0" w:color="auto"/>
              <w:left w:val="nil"/>
              <w:bottom w:val="single" w:sz="4" w:space="0" w:color="auto"/>
              <w:right w:val="single" w:sz="4" w:space="0" w:color="auto"/>
            </w:tcBorders>
            <w:shd w:val="clear" w:color="auto" w:fill="auto"/>
            <w:hideMark/>
          </w:tcPr>
          <w:p w:rsidR="009E5C52" w:rsidRPr="007D22C9" w:rsidRDefault="009E5C52" w:rsidP="00EC082D">
            <w:pPr>
              <w:autoSpaceDE/>
              <w:autoSpaceDN/>
              <w:adjustRightInd/>
              <w:jc w:val="both"/>
              <w:rPr>
                <w:color w:val="000000"/>
                <w:sz w:val="20"/>
                <w:szCs w:val="20"/>
              </w:rPr>
            </w:pPr>
            <w:r w:rsidRPr="007D22C9">
              <w:rPr>
                <w:color w:val="000000"/>
                <w:sz w:val="20"/>
                <w:szCs w:val="20"/>
              </w:rPr>
              <w:t>г.Казань, ул.Сахарова, д.23</w:t>
            </w:r>
          </w:p>
        </w:tc>
        <w:tc>
          <w:tcPr>
            <w:tcW w:w="992" w:type="dxa"/>
            <w:tcBorders>
              <w:top w:val="single" w:sz="4" w:space="0" w:color="auto"/>
              <w:left w:val="nil"/>
              <w:bottom w:val="single" w:sz="4" w:space="0" w:color="auto"/>
              <w:right w:val="nil"/>
            </w:tcBorders>
            <w:shd w:val="clear" w:color="auto" w:fill="auto"/>
            <w:hideMark/>
          </w:tcPr>
          <w:p w:rsidR="009E5C52" w:rsidRPr="007D22C9" w:rsidRDefault="009E5C52" w:rsidP="00EC082D">
            <w:pPr>
              <w:autoSpaceDE/>
              <w:autoSpaceDN/>
              <w:adjustRightInd/>
              <w:jc w:val="center"/>
              <w:rPr>
                <w:color w:val="000000"/>
                <w:sz w:val="20"/>
                <w:szCs w:val="20"/>
              </w:rPr>
            </w:pPr>
            <w:r w:rsidRPr="007D22C9">
              <w:rPr>
                <w:color w:val="000000"/>
                <w:sz w:val="20"/>
                <w:szCs w:val="20"/>
              </w:rPr>
              <w:t>3</w:t>
            </w:r>
          </w:p>
        </w:tc>
        <w:tc>
          <w:tcPr>
            <w:tcW w:w="851" w:type="dxa"/>
            <w:tcBorders>
              <w:top w:val="single" w:sz="4" w:space="0" w:color="auto"/>
              <w:left w:val="single" w:sz="4" w:space="0" w:color="auto"/>
              <w:bottom w:val="single" w:sz="4" w:space="0" w:color="auto"/>
              <w:right w:val="nil"/>
            </w:tcBorders>
            <w:shd w:val="clear" w:color="auto" w:fill="auto"/>
            <w:hideMark/>
          </w:tcPr>
          <w:p w:rsidR="009E5C52" w:rsidRPr="007D22C9" w:rsidRDefault="009E5C52" w:rsidP="00EC082D">
            <w:pPr>
              <w:autoSpaceDE/>
              <w:autoSpaceDN/>
              <w:adjustRightInd/>
              <w:jc w:val="center"/>
              <w:rPr>
                <w:color w:val="000000"/>
                <w:sz w:val="20"/>
                <w:szCs w:val="20"/>
              </w:rPr>
            </w:pPr>
            <w:r w:rsidRPr="007D22C9">
              <w:rPr>
                <w:color w:val="000000"/>
                <w:sz w:val="20"/>
                <w:szCs w:val="20"/>
              </w:rPr>
              <w:t>2023 г.</w:t>
            </w:r>
          </w:p>
        </w:tc>
        <w:tc>
          <w:tcPr>
            <w:tcW w:w="1474" w:type="dxa"/>
            <w:tcBorders>
              <w:top w:val="single" w:sz="4" w:space="0" w:color="auto"/>
              <w:left w:val="single" w:sz="4" w:space="0" w:color="auto"/>
              <w:bottom w:val="single" w:sz="4" w:space="0" w:color="auto"/>
              <w:right w:val="single" w:sz="4" w:space="0" w:color="auto"/>
            </w:tcBorders>
            <w:shd w:val="clear" w:color="auto" w:fill="auto"/>
            <w:hideMark/>
          </w:tcPr>
          <w:p w:rsidR="009E5C52" w:rsidRPr="007D22C9" w:rsidRDefault="009E5C52" w:rsidP="00EF1078">
            <w:pPr>
              <w:autoSpaceDE/>
              <w:autoSpaceDN/>
              <w:adjustRightInd/>
              <w:ind w:left="-28"/>
              <w:jc w:val="both"/>
              <w:rPr>
                <w:color w:val="000000"/>
                <w:sz w:val="20"/>
                <w:szCs w:val="20"/>
              </w:rPr>
            </w:pPr>
            <w:r w:rsidRPr="007D22C9">
              <w:rPr>
                <w:color w:val="000000"/>
                <w:sz w:val="20"/>
                <w:szCs w:val="20"/>
              </w:rPr>
              <w:t>Советский район г.Казани</w:t>
            </w:r>
          </w:p>
        </w:tc>
        <w:tc>
          <w:tcPr>
            <w:tcW w:w="1134" w:type="dxa"/>
            <w:tcBorders>
              <w:top w:val="single" w:sz="4" w:space="0" w:color="auto"/>
              <w:left w:val="nil"/>
              <w:bottom w:val="single" w:sz="4" w:space="0" w:color="auto"/>
              <w:right w:val="single" w:sz="4" w:space="0" w:color="auto"/>
            </w:tcBorders>
            <w:shd w:val="clear" w:color="000000" w:fill="FFFFFF"/>
            <w:hideMark/>
          </w:tcPr>
          <w:p w:rsidR="009E5C52" w:rsidRPr="007D22C9" w:rsidRDefault="00BF0FE9" w:rsidP="00BF0FE9">
            <w:pPr>
              <w:autoSpaceDE/>
              <w:autoSpaceDN/>
              <w:adjustRightInd/>
              <w:jc w:val="center"/>
              <w:rPr>
                <w:color w:val="000000"/>
                <w:sz w:val="20"/>
                <w:szCs w:val="20"/>
              </w:rPr>
            </w:pPr>
            <w:r w:rsidRPr="007D22C9">
              <w:rPr>
                <w:color w:val="000000"/>
                <w:sz w:val="20"/>
                <w:szCs w:val="20"/>
              </w:rPr>
              <w:t>101 324</w:t>
            </w:r>
          </w:p>
        </w:tc>
        <w:tc>
          <w:tcPr>
            <w:tcW w:w="1134" w:type="dxa"/>
            <w:tcBorders>
              <w:top w:val="single" w:sz="4" w:space="0" w:color="auto"/>
              <w:left w:val="nil"/>
              <w:bottom w:val="single" w:sz="4" w:space="0" w:color="auto"/>
              <w:right w:val="single" w:sz="4" w:space="0" w:color="auto"/>
            </w:tcBorders>
            <w:shd w:val="clear" w:color="auto" w:fill="auto"/>
            <w:hideMark/>
          </w:tcPr>
          <w:p w:rsidR="009E5C52" w:rsidRPr="007D22C9" w:rsidRDefault="00BF0FE9" w:rsidP="00BF0FE9">
            <w:pPr>
              <w:autoSpaceDE/>
              <w:autoSpaceDN/>
              <w:adjustRightInd/>
              <w:jc w:val="center"/>
              <w:rPr>
                <w:color w:val="000000"/>
                <w:sz w:val="20"/>
                <w:szCs w:val="20"/>
              </w:rPr>
            </w:pPr>
            <w:r w:rsidRPr="007D22C9">
              <w:rPr>
                <w:color w:val="000000"/>
                <w:sz w:val="20"/>
                <w:szCs w:val="20"/>
              </w:rPr>
              <w:t>4,05</w:t>
            </w:r>
          </w:p>
        </w:tc>
        <w:tc>
          <w:tcPr>
            <w:tcW w:w="1276" w:type="dxa"/>
            <w:tcBorders>
              <w:top w:val="single" w:sz="4" w:space="0" w:color="auto"/>
              <w:left w:val="nil"/>
              <w:bottom w:val="single" w:sz="4" w:space="0" w:color="auto"/>
              <w:right w:val="single" w:sz="4" w:space="0" w:color="auto"/>
            </w:tcBorders>
            <w:shd w:val="clear" w:color="auto" w:fill="auto"/>
            <w:hideMark/>
          </w:tcPr>
          <w:p w:rsidR="009E5C52" w:rsidRPr="007D22C9" w:rsidRDefault="00BF0FE9" w:rsidP="00BF0FE9">
            <w:pPr>
              <w:autoSpaceDE/>
              <w:autoSpaceDN/>
              <w:adjustRightInd/>
              <w:jc w:val="center"/>
              <w:rPr>
                <w:color w:val="000000"/>
                <w:sz w:val="20"/>
                <w:szCs w:val="20"/>
              </w:rPr>
            </w:pPr>
            <w:r w:rsidRPr="007D22C9">
              <w:rPr>
                <w:color w:val="000000"/>
                <w:sz w:val="20"/>
                <w:szCs w:val="20"/>
              </w:rPr>
              <w:t>5</w:t>
            </w:r>
            <w:r w:rsidR="009E5C52" w:rsidRPr="007D22C9">
              <w:rPr>
                <w:color w:val="000000"/>
                <w:sz w:val="20"/>
                <w:szCs w:val="20"/>
              </w:rPr>
              <w:t>,</w:t>
            </w:r>
            <w:r w:rsidRPr="007D22C9">
              <w:rPr>
                <w:color w:val="000000"/>
                <w:sz w:val="20"/>
                <w:szCs w:val="20"/>
              </w:rPr>
              <w:t>5</w:t>
            </w:r>
            <w:r w:rsidR="009E5C52" w:rsidRPr="007D22C9">
              <w:rPr>
                <w:color w:val="000000"/>
                <w:sz w:val="20"/>
                <w:szCs w:val="20"/>
              </w:rPr>
              <w:t>0</w:t>
            </w:r>
          </w:p>
        </w:tc>
        <w:tc>
          <w:tcPr>
            <w:tcW w:w="1247" w:type="dxa"/>
            <w:tcBorders>
              <w:top w:val="single" w:sz="4" w:space="0" w:color="auto"/>
              <w:left w:val="nil"/>
              <w:bottom w:val="single" w:sz="4" w:space="0" w:color="auto"/>
              <w:right w:val="single" w:sz="4" w:space="0" w:color="auto"/>
            </w:tcBorders>
            <w:shd w:val="clear" w:color="auto" w:fill="auto"/>
            <w:hideMark/>
          </w:tcPr>
          <w:p w:rsidR="009E5C52" w:rsidRPr="007D22C9" w:rsidRDefault="009E5C52" w:rsidP="00BF0FE9">
            <w:pPr>
              <w:autoSpaceDE/>
              <w:autoSpaceDN/>
              <w:adjustRightInd/>
              <w:jc w:val="center"/>
              <w:rPr>
                <w:color w:val="000000"/>
                <w:sz w:val="20"/>
                <w:szCs w:val="20"/>
              </w:rPr>
            </w:pPr>
            <w:r w:rsidRPr="007D22C9">
              <w:rPr>
                <w:color w:val="000000"/>
                <w:sz w:val="20"/>
                <w:szCs w:val="20"/>
              </w:rPr>
              <w:t>5,</w:t>
            </w:r>
            <w:r w:rsidR="00BF0FE9" w:rsidRPr="007D22C9">
              <w:rPr>
                <w:color w:val="000000"/>
                <w:sz w:val="20"/>
                <w:szCs w:val="20"/>
              </w:rPr>
              <w:t>5</w:t>
            </w:r>
            <w:r w:rsidRPr="007D22C9">
              <w:rPr>
                <w:color w:val="000000"/>
                <w:sz w:val="20"/>
                <w:szCs w:val="20"/>
              </w:rPr>
              <w:t>0</w:t>
            </w:r>
          </w:p>
        </w:tc>
        <w:tc>
          <w:tcPr>
            <w:tcW w:w="1077" w:type="dxa"/>
            <w:tcBorders>
              <w:top w:val="single" w:sz="4" w:space="0" w:color="auto"/>
              <w:left w:val="nil"/>
              <w:bottom w:val="single" w:sz="4" w:space="0" w:color="auto"/>
              <w:right w:val="single" w:sz="4" w:space="0" w:color="auto"/>
            </w:tcBorders>
            <w:shd w:val="clear" w:color="auto" w:fill="auto"/>
            <w:hideMark/>
          </w:tcPr>
          <w:p w:rsidR="009E5C52" w:rsidRPr="007D22C9" w:rsidRDefault="00BF0FE9" w:rsidP="00EC082D">
            <w:pPr>
              <w:autoSpaceDE/>
              <w:autoSpaceDN/>
              <w:adjustRightInd/>
              <w:jc w:val="center"/>
              <w:rPr>
                <w:color w:val="000000"/>
                <w:sz w:val="20"/>
                <w:szCs w:val="20"/>
              </w:rPr>
            </w:pPr>
            <w:r w:rsidRPr="007D22C9">
              <w:rPr>
                <w:color w:val="000000"/>
                <w:sz w:val="20"/>
                <w:szCs w:val="20"/>
              </w:rPr>
              <w:t>4</w:t>
            </w:r>
          </w:p>
        </w:tc>
        <w:tc>
          <w:tcPr>
            <w:tcW w:w="1275" w:type="dxa"/>
            <w:tcBorders>
              <w:top w:val="single" w:sz="4" w:space="0" w:color="auto"/>
              <w:left w:val="nil"/>
              <w:bottom w:val="single" w:sz="4" w:space="0" w:color="auto"/>
              <w:right w:val="single" w:sz="4" w:space="0" w:color="auto"/>
            </w:tcBorders>
            <w:shd w:val="clear" w:color="auto" w:fill="auto"/>
            <w:hideMark/>
          </w:tcPr>
          <w:p w:rsidR="009E5C52" w:rsidRPr="007D22C9" w:rsidRDefault="00BF0FE9" w:rsidP="00BF0FE9">
            <w:pPr>
              <w:autoSpaceDE/>
              <w:autoSpaceDN/>
              <w:adjustRightInd/>
              <w:jc w:val="center"/>
              <w:rPr>
                <w:bCs/>
                <w:color w:val="000000"/>
                <w:sz w:val="20"/>
                <w:szCs w:val="20"/>
              </w:rPr>
            </w:pPr>
            <w:r w:rsidRPr="007D22C9">
              <w:rPr>
                <w:bCs/>
                <w:color w:val="000000"/>
                <w:sz w:val="20"/>
                <w:szCs w:val="20"/>
              </w:rPr>
              <w:t>0</w:t>
            </w:r>
          </w:p>
        </w:tc>
      </w:tr>
      <w:tr w:rsidR="009E5C52" w:rsidRPr="007D22C9" w:rsidTr="00EF1078">
        <w:trPr>
          <w:trHeight w:val="20"/>
        </w:trPr>
        <w:tc>
          <w:tcPr>
            <w:tcW w:w="460" w:type="dxa"/>
            <w:tcBorders>
              <w:top w:val="nil"/>
              <w:left w:val="single" w:sz="4" w:space="0" w:color="auto"/>
              <w:bottom w:val="single" w:sz="4" w:space="0" w:color="auto"/>
              <w:right w:val="nil"/>
            </w:tcBorders>
            <w:shd w:val="clear" w:color="auto" w:fill="auto"/>
            <w:hideMark/>
          </w:tcPr>
          <w:p w:rsidR="009E5C52" w:rsidRPr="007D22C9" w:rsidRDefault="009E5C52" w:rsidP="00EC082D">
            <w:pPr>
              <w:autoSpaceDE/>
              <w:autoSpaceDN/>
              <w:adjustRightInd/>
              <w:jc w:val="center"/>
              <w:rPr>
                <w:bCs/>
                <w:color w:val="000000"/>
                <w:sz w:val="20"/>
                <w:szCs w:val="20"/>
              </w:rPr>
            </w:pPr>
            <w:r w:rsidRPr="007D22C9">
              <w:rPr>
                <w:bCs/>
                <w:color w:val="000000"/>
                <w:sz w:val="20"/>
                <w:szCs w:val="20"/>
              </w:rPr>
              <w:t>5</w:t>
            </w:r>
            <w:r w:rsidR="000B1BA9" w:rsidRPr="007D22C9">
              <w:rPr>
                <w:bCs/>
                <w:color w:val="000000"/>
                <w:sz w:val="20"/>
                <w:szCs w:val="20"/>
              </w:rPr>
              <w:t>.</w:t>
            </w:r>
          </w:p>
        </w:tc>
        <w:tc>
          <w:tcPr>
            <w:tcW w:w="1662" w:type="dxa"/>
            <w:tcBorders>
              <w:top w:val="nil"/>
              <w:left w:val="single" w:sz="4" w:space="0" w:color="auto"/>
              <w:bottom w:val="single" w:sz="4" w:space="0" w:color="auto"/>
              <w:right w:val="single" w:sz="4" w:space="0" w:color="auto"/>
            </w:tcBorders>
            <w:shd w:val="clear" w:color="auto" w:fill="auto"/>
            <w:hideMark/>
          </w:tcPr>
          <w:p w:rsidR="009E5C52" w:rsidRPr="007D22C9" w:rsidRDefault="009E5C52" w:rsidP="00EC082D">
            <w:pPr>
              <w:autoSpaceDE/>
              <w:autoSpaceDN/>
              <w:adjustRightInd/>
              <w:jc w:val="both"/>
              <w:rPr>
                <w:color w:val="000000"/>
                <w:sz w:val="20"/>
                <w:szCs w:val="20"/>
              </w:rPr>
            </w:pPr>
            <w:r w:rsidRPr="007D22C9">
              <w:rPr>
                <w:color w:val="000000"/>
                <w:sz w:val="20"/>
                <w:szCs w:val="20"/>
              </w:rPr>
              <w:t xml:space="preserve">ГАУЗ </w:t>
            </w:r>
            <w:r w:rsidR="002F7358" w:rsidRPr="007D22C9">
              <w:rPr>
                <w:color w:val="000000"/>
                <w:sz w:val="20"/>
                <w:szCs w:val="20"/>
              </w:rPr>
              <w:t>«</w:t>
            </w:r>
            <w:r w:rsidRPr="007D22C9">
              <w:rPr>
                <w:color w:val="000000"/>
                <w:sz w:val="20"/>
                <w:szCs w:val="20"/>
              </w:rPr>
              <w:t>Сабинская ЦРБ</w:t>
            </w:r>
            <w:r w:rsidR="002F7358" w:rsidRPr="007D22C9">
              <w:rPr>
                <w:color w:val="000000"/>
                <w:sz w:val="20"/>
                <w:szCs w:val="20"/>
              </w:rPr>
              <w:t>»</w:t>
            </w:r>
          </w:p>
        </w:tc>
        <w:tc>
          <w:tcPr>
            <w:tcW w:w="1559" w:type="dxa"/>
            <w:tcBorders>
              <w:top w:val="nil"/>
              <w:left w:val="nil"/>
              <w:bottom w:val="single" w:sz="4" w:space="0" w:color="auto"/>
              <w:right w:val="single" w:sz="4" w:space="0" w:color="auto"/>
            </w:tcBorders>
            <w:shd w:val="clear" w:color="auto" w:fill="auto"/>
            <w:hideMark/>
          </w:tcPr>
          <w:p w:rsidR="009E5C52" w:rsidRPr="007D22C9" w:rsidRDefault="009E5C52" w:rsidP="00EC082D">
            <w:pPr>
              <w:autoSpaceDE/>
              <w:autoSpaceDN/>
              <w:adjustRightInd/>
              <w:jc w:val="both"/>
              <w:rPr>
                <w:color w:val="000000"/>
                <w:sz w:val="20"/>
                <w:szCs w:val="20"/>
              </w:rPr>
            </w:pPr>
            <w:r w:rsidRPr="007D22C9">
              <w:rPr>
                <w:color w:val="000000"/>
                <w:sz w:val="20"/>
                <w:szCs w:val="20"/>
              </w:rPr>
              <w:t>пгт</w:t>
            </w:r>
            <w:r w:rsidR="000B1BA9" w:rsidRPr="007D22C9">
              <w:rPr>
                <w:color w:val="000000"/>
                <w:sz w:val="20"/>
                <w:szCs w:val="20"/>
              </w:rPr>
              <w:t>.</w:t>
            </w:r>
            <w:r w:rsidR="009A3B1C" w:rsidRPr="007D22C9">
              <w:rPr>
                <w:color w:val="000000"/>
                <w:sz w:val="20"/>
                <w:szCs w:val="20"/>
              </w:rPr>
              <w:t xml:space="preserve">Богатые </w:t>
            </w:r>
            <w:r w:rsidRPr="007D22C9">
              <w:rPr>
                <w:color w:val="000000"/>
                <w:sz w:val="20"/>
                <w:szCs w:val="20"/>
              </w:rPr>
              <w:t>Сабы, ул.Г.Тукая, д.3</w:t>
            </w:r>
          </w:p>
        </w:tc>
        <w:tc>
          <w:tcPr>
            <w:tcW w:w="992" w:type="dxa"/>
            <w:tcBorders>
              <w:top w:val="nil"/>
              <w:left w:val="nil"/>
              <w:bottom w:val="single" w:sz="4" w:space="0" w:color="auto"/>
              <w:right w:val="nil"/>
            </w:tcBorders>
            <w:shd w:val="clear" w:color="auto" w:fill="auto"/>
            <w:hideMark/>
          </w:tcPr>
          <w:p w:rsidR="009E5C52" w:rsidRPr="007D22C9" w:rsidRDefault="009E5C52" w:rsidP="00EC082D">
            <w:pPr>
              <w:autoSpaceDE/>
              <w:autoSpaceDN/>
              <w:adjustRightInd/>
              <w:jc w:val="center"/>
              <w:rPr>
                <w:color w:val="000000"/>
                <w:sz w:val="20"/>
                <w:szCs w:val="20"/>
              </w:rPr>
            </w:pPr>
            <w:r w:rsidRPr="007D22C9">
              <w:rPr>
                <w:color w:val="000000"/>
                <w:sz w:val="20"/>
                <w:szCs w:val="20"/>
              </w:rPr>
              <w:t>3</w:t>
            </w:r>
          </w:p>
        </w:tc>
        <w:tc>
          <w:tcPr>
            <w:tcW w:w="851" w:type="dxa"/>
            <w:tcBorders>
              <w:top w:val="nil"/>
              <w:left w:val="single" w:sz="4" w:space="0" w:color="auto"/>
              <w:bottom w:val="single" w:sz="4" w:space="0" w:color="auto"/>
              <w:right w:val="nil"/>
            </w:tcBorders>
            <w:shd w:val="clear" w:color="auto" w:fill="auto"/>
            <w:hideMark/>
          </w:tcPr>
          <w:p w:rsidR="009E5C52" w:rsidRPr="007D22C9" w:rsidRDefault="009E5C52" w:rsidP="00EC082D">
            <w:pPr>
              <w:autoSpaceDE/>
              <w:autoSpaceDN/>
              <w:adjustRightInd/>
              <w:jc w:val="center"/>
              <w:rPr>
                <w:color w:val="000000"/>
                <w:sz w:val="20"/>
                <w:szCs w:val="20"/>
              </w:rPr>
            </w:pPr>
            <w:r w:rsidRPr="007D22C9">
              <w:rPr>
                <w:color w:val="000000"/>
                <w:sz w:val="20"/>
                <w:szCs w:val="20"/>
              </w:rPr>
              <w:t>2022 г.</w:t>
            </w:r>
          </w:p>
        </w:tc>
        <w:tc>
          <w:tcPr>
            <w:tcW w:w="1474" w:type="dxa"/>
            <w:tcBorders>
              <w:top w:val="nil"/>
              <w:left w:val="single" w:sz="4" w:space="0" w:color="auto"/>
              <w:bottom w:val="single" w:sz="4" w:space="0" w:color="auto"/>
              <w:right w:val="single" w:sz="4" w:space="0" w:color="auto"/>
            </w:tcBorders>
            <w:shd w:val="clear" w:color="auto" w:fill="auto"/>
            <w:hideMark/>
          </w:tcPr>
          <w:p w:rsidR="009E5C52" w:rsidRPr="007D22C9" w:rsidRDefault="009E5C52" w:rsidP="00EF1078">
            <w:pPr>
              <w:autoSpaceDE/>
              <w:autoSpaceDN/>
              <w:adjustRightInd/>
              <w:ind w:left="-28"/>
              <w:jc w:val="both"/>
              <w:rPr>
                <w:color w:val="000000"/>
                <w:sz w:val="20"/>
                <w:szCs w:val="20"/>
              </w:rPr>
            </w:pPr>
            <w:r w:rsidRPr="007D22C9">
              <w:rPr>
                <w:color w:val="000000"/>
                <w:sz w:val="20"/>
                <w:szCs w:val="20"/>
              </w:rPr>
              <w:t>Сабинский, Тюлячинский, Кукморский муниципальные районы</w:t>
            </w:r>
          </w:p>
        </w:tc>
        <w:tc>
          <w:tcPr>
            <w:tcW w:w="1134" w:type="dxa"/>
            <w:tcBorders>
              <w:top w:val="nil"/>
              <w:left w:val="nil"/>
              <w:bottom w:val="single" w:sz="4" w:space="0" w:color="auto"/>
              <w:right w:val="single" w:sz="4" w:space="0" w:color="auto"/>
            </w:tcBorders>
            <w:shd w:val="clear" w:color="auto" w:fill="auto"/>
            <w:hideMark/>
          </w:tcPr>
          <w:p w:rsidR="009E5C52" w:rsidRPr="007D22C9" w:rsidRDefault="009E5C52" w:rsidP="00EC082D">
            <w:pPr>
              <w:autoSpaceDE/>
              <w:autoSpaceDN/>
              <w:adjustRightInd/>
              <w:jc w:val="center"/>
              <w:rPr>
                <w:color w:val="000000"/>
                <w:sz w:val="20"/>
                <w:szCs w:val="20"/>
              </w:rPr>
            </w:pPr>
            <w:r w:rsidRPr="007D22C9">
              <w:rPr>
                <w:color w:val="000000"/>
                <w:sz w:val="20"/>
                <w:szCs w:val="20"/>
              </w:rPr>
              <w:t>74 396</w:t>
            </w:r>
          </w:p>
        </w:tc>
        <w:tc>
          <w:tcPr>
            <w:tcW w:w="1134" w:type="dxa"/>
            <w:tcBorders>
              <w:top w:val="nil"/>
              <w:left w:val="nil"/>
              <w:bottom w:val="single" w:sz="4" w:space="0" w:color="auto"/>
              <w:right w:val="single" w:sz="4" w:space="0" w:color="auto"/>
            </w:tcBorders>
            <w:shd w:val="clear" w:color="auto" w:fill="auto"/>
            <w:hideMark/>
          </w:tcPr>
          <w:p w:rsidR="009E5C52" w:rsidRPr="007D22C9" w:rsidRDefault="009E5C52" w:rsidP="00EC082D">
            <w:pPr>
              <w:autoSpaceDE/>
              <w:autoSpaceDN/>
              <w:adjustRightInd/>
              <w:jc w:val="center"/>
              <w:rPr>
                <w:color w:val="000000"/>
                <w:sz w:val="20"/>
                <w:szCs w:val="20"/>
              </w:rPr>
            </w:pPr>
            <w:r w:rsidRPr="007D22C9">
              <w:rPr>
                <w:color w:val="000000"/>
                <w:sz w:val="20"/>
                <w:szCs w:val="20"/>
              </w:rPr>
              <w:t>2,98</w:t>
            </w:r>
          </w:p>
        </w:tc>
        <w:tc>
          <w:tcPr>
            <w:tcW w:w="1276" w:type="dxa"/>
            <w:tcBorders>
              <w:top w:val="nil"/>
              <w:left w:val="nil"/>
              <w:bottom w:val="single" w:sz="4" w:space="0" w:color="auto"/>
              <w:right w:val="single" w:sz="4" w:space="0" w:color="auto"/>
            </w:tcBorders>
            <w:shd w:val="clear" w:color="auto" w:fill="auto"/>
            <w:hideMark/>
          </w:tcPr>
          <w:p w:rsidR="009E5C52" w:rsidRPr="007D22C9" w:rsidRDefault="009E5C52" w:rsidP="00EC082D">
            <w:pPr>
              <w:autoSpaceDE/>
              <w:autoSpaceDN/>
              <w:adjustRightInd/>
              <w:jc w:val="center"/>
              <w:rPr>
                <w:color w:val="000000"/>
                <w:sz w:val="20"/>
                <w:szCs w:val="20"/>
              </w:rPr>
            </w:pPr>
            <w:r w:rsidRPr="007D22C9">
              <w:rPr>
                <w:color w:val="000000"/>
                <w:sz w:val="20"/>
                <w:szCs w:val="20"/>
              </w:rPr>
              <w:t>2,00</w:t>
            </w:r>
          </w:p>
        </w:tc>
        <w:tc>
          <w:tcPr>
            <w:tcW w:w="1247" w:type="dxa"/>
            <w:tcBorders>
              <w:top w:val="nil"/>
              <w:left w:val="nil"/>
              <w:bottom w:val="single" w:sz="4" w:space="0" w:color="auto"/>
              <w:right w:val="single" w:sz="4" w:space="0" w:color="auto"/>
            </w:tcBorders>
            <w:shd w:val="clear" w:color="auto" w:fill="auto"/>
            <w:hideMark/>
          </w:tcPr>
          <w:p w:rsidR="009E5C52" w:rsidRPr="007D22C9" w:rsidRDefault="009E5C52" w:rsidP="00EC082D">
            <w:pPr>
              <w:autoSpaceDE/>
              <w:autoSpaceDN/>
              <w:adjustRightInd/>
              <w:jc w:val="center"/>
              <w:rPr>
                <w:color w:val="000000"/>
                <w:sz w:val="20"/>
                <w:szCs w:val="20"/>
              </w:rPr>
            </w:pPr>
            <w:r w:rsidRPr="007D22C9">
              <w:rPr>
                <w:color w:val="000000"/>
                <w:sz w:val="20"/>
                <w:szCs w:val="20"/>
              </w:rPr>
              <w:t>2,00</w:t>
            </w:r>
          </w:p>
        </w:tc>
        <w:tc>
          <w:tcPr>
            <w:tcW w:w="1077" w:type="dxa"/>
            <w:tcBorders>
              <w:top w:val="nil"/>
              <w:left w:val="nil"/>
              <w:bottom w:val="single" w:sz="4" w:space="0" w:color="auto"/>
              <w:right w:val="single" w:sz="4" w:space="0" w:color="auto"/>
            </w:tcBorders>
            <w:shd w:val="clear" w:color="auto" w:fill="auto"/>
            <w:hideMark/>
          </w:tcPr>
          <w:p w:rsidR="009E5C52" w:rsidRPr="007D22C9" w:rsidRDefault="009E5C52" w:rsidP="00EC082D">
            <w:pPr>
              <w:autoSpaceDE/>
              <w:autoSpaceDN/>
              <w:adjustRightInd/>
              <w:jc w:val="center"/>
              <w:rPr>
                <w:color w:val="000000"/>
                <w:sz w:val="20"/>
                <w:szCs w:val="20"/>
              </w:rPr>
            </w:pPr>
            <w:r w:rsidRPr="007D22C9">
              <w:rPr>
                <w:color w:val="000000"/>
                <w:sz w:val="20"/>
                <w:szCs w:val="20"/>
              </w:rPr>
              <w:t>2</w:t>
            </w:r>
          </w:p>
        </w:tc>
        <w:tc>
          <w:tcPr>
            <w:tcW w:w="1275" w:type="dxa"/>
            <w:tcBorders>
              <w:top w:val="nil"/>
              <w:left w:val="nil"/>
              <w:bottom w:val="single" w:sz="4" w:space="0" w:color="auto"/>
              <w:right w:val="single" w:sz="4" w:space="0" w:color="auto"/>
            </w:tcBorders>
            <w:shd w:val="clear" w:color="auto" w:fill="auto"/>
            <w:hideMark/>
          </w:tcPr>
          <w:p w:rsidR="009E5C52" w:rsidRPr="005534FF" w:rsidRDefault="003838A4" w:rsidP="003838A4">
            <w:pPr>
              <w:autoSpaceDE/>
              <w:autoSpaceDN/>
              <w:adjustRightInd/>
              <w:jc w:val="center"/>
              <w:rPr>
                <w:bCs/>
                <w:color w:val="000000"/>
                <w:sz w:val="20"/>
                <w:szCs w:val="20"/>
              </w:rPr>
            </w:pPr>
            <w:r w:rsidRPr="005534FF">
              <w:rPr>
                <w:bCs/>
                <w:color w:val="000000"/>
                <w:sz w:val="20"/>
                <w:szCs w:val="20"/>
              </w:rPr>
              <w:t>1</w:t>
            </w:r>
          </w:p>
        </w:tc>
      </w:tr>
      <w:tr w:rsidR="009E5C52" w:rsidRPr="007D22C9" w:rsidTr="00EF1078">
        <w:trPr>
          <w:trHeight w:val="20"/>
        </w:trPr>
        <w:tc>
          <w:tcPr>
            <w:tcW w:w="460" w:type="dxa"/>
            <w:tcBorders>
              <w:top w:val="nil"/>
              <w:left w:val="single" w:sz="4" w:space="0" w:color="auto"/>
              <w:bottom w:val="single" w:sz="4" w:space="0" w:color="auto"/>
              <w:right w:val="nil"/>
            </w:tcBorders>
            <w:shd w:val="clear" w:color="auto" w:fill="auto"/>
            <w:hideMark/>
          </w:tcPr>
          <w:p w:rsidR="009E5C52" w:rsidRPr="007D22C9" w:rsidRDefault="009E5C52" w:rsidP="00EC082D">
            <w:pPr>
              <w:autoSpaceDE/>
              <w:autoSpaceDN/>
              <w:adjustRightInd/>
              <w:jc w:val="center"/>
              <w:rPr>
                <w:bCs/>
                <w:color w:val="000000"/>
                <w:sz w:val="20"/>
                <w:szCs w:val="20"/>
              </w:rPr>
            </w:pPr>
            <w:r w:rsidRPr="007D22C9">
              <w:rPr>
                <w:bCs/>
                <w:color w:val="000000"/>
                <w:sz w:val="20"/>
                <w:szCs w:val="20"/>
              </w:rPr>
              <w:t>6</w:t>
            </w:r>
            <w:r w:rsidR="000B1BA9" w:rsidRPr="007D22C9">
              <w:rPr>
                <w:bCs/>
                <w:color w:val="000000"/>
                <w:sz w:val="20"/>
                <w:szCs w:val="20"/>
              </w:rPr>
              <w:t>.</w:t>
            </w:r>
          </w:p>
        </w:tc>
        <w:tc>
          <w:tcPr>
            <w:tcW w:w="1662" w:type="dxa"/>
            <w:tcBorders>
              <w:top w:val="nil"/>
              <w:left w:val="single" w:sz="4" w:space="0" w:color="auto"/>
              <w:bottom w:val="single" w:sz="4" w:space="0" w:color="auto"/>
              <w:right w:val="single" w:sz="4" w:space="0" w:color="auto"/>
            </w:tcBorders>
            <w:shd w:val="clear" w:color="auto" w:fill="auto"/>
            <w:hideMark/>
          </w:tcPr>
          <w:p w:rsidR="009E5C52" w:rsidRPr="007D22C9" w:rsidRDefault="009E5C52" w:rsidP="00EC082D">
            <w:pPr>
              <w:autoSpaceDE/>
              <w:autoSpaceDN/>
              <w:adjustRightInd/>
              <w:jc w:val="both"/>
              <w:rPr>
                <w:color w:val="000000"/>
                <w:sz w:val="20"/>
                <w:szCs w:val="20"/>
              </w:rPr>
            </w:pPr>
            <w:r w:rsidRPr="007D22C9">
              <w:rPr>
                <w:color w:val="000000"/>
                <w:sz w:val="20"/>
                <w:szCs w:val="20"/>
              </w:rPr>
              <w:t xml:space="preserve">ГАУЗ </w:t>
            </w:r>
            <w:r w:rsidR="002F7358" w:rsidRPr="007D22C9">
              <w:rPr>
                <w:color w:val="000000"/>
                <w:sz w:val="20"/>
                <w:szCs w:val="20"/>
              </w:rPr>
              <w:t>«</w:t>
            </w:r>
            <w:r w:rsidRPr="007D22C9">
              <w:rPr>
                <w:color w:val="000000"/>
                <w:sz w:val="20"/>
                <w:szCs w:val="20"/>
              </w:rPr>
              <w:t>Чистопольская ЦРБ</w:t>
            </w:r>
            <w:r w:rsidR="002F7358" w:rsidRPr="007D22C9">
              <w:rPr>
                <w:color w:val="000000"/>
                <w:sz w:val="20"/>
                <w:szCs w:val="20"/>
              </w:rPr>
              <w:t>»</w:t>
            </w:r>
          </w:p>
        </w:tc>
        <w:tc>
          <w:tcPr>
            <w:tcW w:w="1559" w:type="dxa"/>
            <w:tcBorders>
              <w:top w:val="nil"/>
              <w:left w:val="nil"/>
              <w:bottom w:val="single" w:sz="4" w:space="0" w:color="auto"/>
              <w:right w:val="single" w:sz="4" w:space="0" w:color="auto"/>
            </w:tcBorders>
            <w:shd w:val="clear" w:color="auto" w:fill="auto"/>
            <w:hideMark/>
          </w:tcPr>
          <w:p w:rsidR="009E5C52" w:rsidRPr="007D22C9" w:rsidRDefault="000B1BA9" w:rsidP="00EC082D">
            <w:pPr>
              <w:autoSpaceDE/>
              <w:autoSpaceDN/>
              <w:adjustRightInd/>
              <w:jc w:val="both"/>
              <w:rPr>
                <w:color w:val="000000"/>
                <w:sz w:val="20"/>
                <w:szCs w:val="20"/>
              </w:rPr>
            </w:pPr>
            <w:r w:rsidRPr="007D22C9">
              <w:rPr>
                <w:color w:val="000000"/>
                <w:sz w:val="20"/>
                <w:szCs w:val="20"/>
              </w:rPr>
              <w:t>г.</w:t>
            </w:r>
            <w:r w:rsidR="009E5C52" w:rsidRPr="007D22C9">
              <w:rPr>
                <w:color w:val="000000"/>
                <w:sz w:val="20"/>
                <w:szCs w:val="20"/>
              </w:rPr>
              <w:t>Чистополь, ул.К.Маркса, д.59</w:t>
            </w:r>
          </w:p>
        </w:tc>
        <w:tc>
          <w:tcPr>
            <w:tcW w:w="992" w:type="dxa"/>
            <w:tcBorders>
              <w:top w:val="nil"/>
              <w:left w:val="nil"/>
              <w:bottom w:val="single" w:sz="4" w:space="0" w:color="auto"/>
              <w:right w:val="nil"/>
            </w:tcBorders>
            <w:shd w:val="clear" w:color="auto" w:fill="auto"/>
            <w:hideMark/>
          </w:tcPr>
          <w:p w:rsidR="009E5C52" w:rsidRPr="007D22C9" w:rsidRDefault="009E5C52" w:rsidP="00EC082D">
            <w:pPr>
              <w:autoSpaceDE/>
              <w:autoSpaceDN/>
              <w:adjustRightInd/>
              <w:jc w:val="center"/>
              <w:rPr>
                <w:color w:val="000000"/>
                <w:sz w:val="20"/>
                <w:szCs w:val="20"/>
              </w:rPr>
            </w:pPr>
            <w:r w:rsidRPr="007D22C9">
              <w:rPr>
                <w:color w:val="000000"/>
                <w:sz w:val="20"/>
                <w:szCs w:val="20"/>
              </w:rPr>
              <w:t>3</w:t>
            </w:r>
          </w:p>
        </w:tc>
        <w:tc>
          <w:tcPr>
            <w:tcW w:w="851" w:type="dxa"/>
            <w:tcBorders>
              <w:top w:val="nil"/>
              <w:left w:val="single" w:sz="4" w:space="0" w:color="auto"/>
              <w:bottom w:val="single" w:sz="4" w:space="0" w:color="auto"/>
              <w:right w:val="nil"/>
            </w:tcBorders>
            <w:shd w:val="clear" w:color="auto" w:fill="auto"/>
            <w:hideMark/>
          </w:tcPr>
          <w:p w:rsidR="009E5C52" w:rsidRPr="007D22C9" w:rsidRDefault="009E5C52" w:rsidP="00EC082D">
            <w:pPr>
              <w:autoSpaceDE/>
              <w:autoSpaceDN/>
              <w:adjustRightInd/>
              <w:jc w:val="center"/>
              <w:rPr>
                <w:color w:val="000000"/>
                <w:sz w:val="20"/>
                <w:szCs w:val="20"/>
              </w:rPr>
            </w:pPr>
            <w:r w:rsidRPr="007D22C9">
              <w:rPr>
                <w:color w:val="000000"/>
                <w:sz w:val="20"/>
                <w:szCs w:val="20"/>
              </w:rPr>
              <w:t>2023 г.</w:t>
            </w:r>
          </w:p>
        </w:tc>
        <w:tc>
          <w:tcPr>
            <w:tcW w:w="1474" w:type="dxa"/>
            <w:tcBorders>
              <w:top w:val="nil"/>
              <w:left w:val="single" w:sz="4" w:space="0" w:color="auto"/>
              <w:bottom w:val="single" w:sz="4" w:space="0" w:color="auto"/>
              <w:right w:val="single" w:sz="4" w:space="0" w:color="auto"/>
            </w:tcBorders>
            <w:shd w:val="clear" w:color="auto" w:fill="auto"/>
            <w:hideMark/>
          </w:tcPr>
          <w:p w:rsidR="009E5C52" w:rsidRPr="007D22C9" w:rsidRDefault="009E5C52" w:rsidP="00EF1078">
            <w:pPr>
              <w:autoSpaceDE/>
              <w:autoSpaceDN/>
              <w:adjustRightInd/>
              <w:ind w:left="-28"/>
              <w:jc w:val="both"/>
              <w:rPr>
                <w:color w:val="000000"/>
                <w:sz w:val="20"/>
                <w:szCs w:val="20"/>
              </w:rPr>
            </w:pPr>
            <w:r w:rsidRPr="007D22C9">
              <w:rPr>
                <w:color w:val="000000"/>
                <w:sz w:val="20"/>
                <w:szCs w:val="20"/>
              </w:rPr>
              <w:t>Чистопольский, Алькеевский, Алексеевский, Аксу</w:t>
            </w:r>
            <w:r w:rsidR="009A3B1C" w:rsidRPr="007D22C9">
              <w:rPr>
                <w:color w:val="000000"/>
                <w:sz w:val="20"/>
                <w:szCs w:val="20"/>
              </w:rPr>
              <w:t>-</w:t>
            </w:r>
            <w:r w:rsidRPr="007D22C9">
              <w:rPr>
                <w:color w:val="000000"/>
                <w:sz w:val="20"/>
                <w:szCs w:val="20"/>
              </w:rPr>
              <w:t>баевский, Новошешминский, Нурлатский муниципальные районы</w:t>
            </w:r>
          </w:p>
        </w:tc>
        <w:tc>
          <w:tcPr>
            <w:tcW w:w="1134" w:type="dxa"/>
            <w:tcBorders>
              <w:top w:val="nil"/>
              <w:left w:val="nil"/>
              <w:bottom w:val="single" w:sz="4" w:space="0" w:color="auto"/>
              <w:right w:val="single" w:sz="4" w:space="0" w:color="auto"/>
            </w:tcBorders>
            <w:shd w:val="clear" w:color="auto" w:fill="auto"/>
            <w:hideMark/>
          </w:tcPr>
          <w:p w:rsidR="009E5C52" w:rsidRPr="007D22C9" w:rsidRDefault="002041CB" w:rsidP="002041CB">
            <w:pPr>
              <w:autoSpaceDE/>
              <w:autoSpaceDN/>
              <w:adjustRightInd/>
              <w:jc w:val="center"/>
              <w:rPr>
                <w:color w:val="000000"/>
                <w:sz w:val="20"/>
                <w:szCs w:val="20"/>
              </w:rPr>
            </w:pPr>
            <w:r w:rsidRPr="007D22C9">
              <w:rPr>
                <w:color w:val="000000"/>
                <w:sz w:val="20"/>
                <w:szCs w:val="20"/>
              </w:rPr>
              <w:t>165 310</w:t>
            </w:r>
          </w:p>
        </w:tc>
        <w:tc>
          <w:tcPr>
            <w:tcW w:w="1134" w:type="dxa"/>
            <w:tcBorders>
              <w:top w:val="nil"/>
              <w:left w:val="nil"/>
              <w:bottom w:val="single" w:sz="4" w:space="0" w:color="auto"/>
              <w:right w:val="single" w:sz="4" w:space="0" w:color="auto"/>
            </w:tcBorders>
            <w:shd w:val="clear" w:color="auto" w:fill="auto"/>
            <w:hideMark/>
          </w:tcPr>
          <w:p w:rsidR="009E5C52" w:rsidRPr="007D22C9" w:rsidRDefault="002041CB" w:rsidP="002041CB">
            <w:pPr>
              <w:autoSpaceDE/>
              <w:autoSpaceDN/>
              <w:adjustRightInd/>
              <w:jc w:val="center"/>
              <w:rPr>
                <w:color w:val="000000"/>
                <w:sz w:val="20"/>
                <w:szCs w:val="20"/>
              </w:rPr>
            </w:pPr>
            <w:r w:rsidRPr="007D22C9">
              <w:rPr>
                <w:color w:val="000000"/>
                <w:sz w:val="20"/>
                <w:szCs w:val="20"/>
              </w:rPr>
              <w:t>6,61</w:t>
            </w:r>
          </w:p>
        </w:tc>
        <w:tc>
          <w:tcPr>
            <w:tcW w:w="1276" w:type="dxa"/>
            <w:tcBorders>
              <w:top w:val="nil"/>
              <w:left w:val="nil"/>
              <w:bottom w:val="single" w:sz="4" w:space="0" w:color="auto"/>
              <w:right w:val="single" w:sz="4" w:space="0" w:color="auto"/>
            </w:tcBorders>
            <w:shd w:val="clear" w:color="auto" w:fill="auto"/>
            <w:hideMark/>
          </w:tcPr>
          <w:p w:rsidR="009E5C52" w:rsidRPr="007D22C9" w:rsidRDefault="009E5C52" w:rsidP="003838A4">
            <w:pPr>
              <w:autoSpaceDE/>
              <w:autoSpaceDN/>
              <w:adjustRightInd/>
              <w:jc w:val="center"/>
              <w:rPr>
                <w:color w:val="000000"/>
                <w:sz w:val="20"/>
                <w:szCs w:val="20"/>
              </w:rPr>
            </w:pPr>
            <w:r w:rsidRPr="007D22C9">
              <w:rPr>
                <w:color w:val="000000"/>
                <w:sz w:val="20"/>
                <w:szCs w:val="20"/>
              </w:rPr>
              <w:t>4,</w:t>
            </w:r>
            <w:r w:rsidR="003838A4" w:rsidRPr="007D22C9">
              <w:rPr>
                <w:color w:val="000000"/>
                <w:sz w:val="20"/>
                <w:szCs w:val="20"/>
              </w:rPr>
              <w:t>00</w:t>
            </w:r>
          </w:p>
        </w:tc>
        <w:tc>
          <w:tcPr>
            <w:tcW w:w="1247" w:type="dxa"/>
            <w:tcBorders>
              <w:top w:val="nil"/>
              <w:left w:val="nil"/>
              <w:bottom w:val="single" w:sz="4" w:space="0" w:color="auto"/>
              <w:right w:val="single" w:sz="4" w:space="0" w:color="auto"/>
            </w:tcBorders>
            <w:shd w:val="clear" w:color="auto" w:fill="auto"/>
            <w:hideMark/>
          </w:tcPr>
          <w:p w:rsidR="009E5C52" w:rsidRPr="007D22C9" w:rsidRDefault="003838A4" w:rsidP="003838A4">
            <w:pPr>
              <w:autoSpaceDE/>
              <w:autoSpaceDN/>
              <w:adjustRightInd/>
              <w:jc w:val="center"/>
              <w:rPr>
                <w:color w:val="000000"/>
                <w:sz w:val="20"/>
                <w:szCs w:val="20"/>
              </w:rPr>
            </w:pPr>
            <w:r w:rsidRPr="007D22C9">
              <w:rPr>
                <w:color w:val="000000"/>
                <w:sz w:val="20"/>
                <w:szCs w:val="20"/>
              </w:rPr>
              <w:t>3</w:t>
            </w:r>
            <w:r w:rsidR="009E5C52" w:rsidRPr="007D22C9">
              <w:rPr>
                <w:color w:val="000000"/>
                <w:sz w:val="20"/>
                <w:szCs w:val="20"/>
              </w:rPr>
              <w:t>,</w:t>
            </w:r>
            <w:r w:rsidRPr="007D22C9">
              <w:rPr>
                <w:color w:val="000000"/>
                <w:sz w:val="20"/>
                <w:szCs w:val="20"/>
              </w:rPr>
              <w:t>00</w:t>
            </w:r>
          </w:p>
        </w:tc>
        <w:tc>
          <w:tcPr>
            <w:tcW w:w="1077" w:type="dxa"/>
            <w:tcBorders>
              <w:top w:val="nil"/>
              <w:left w:val="nil"/>
              <w:bottom w:val="single" w:sz="4" w:space="0" w:color="auto"/>
              <w:right w:val="single" w:sz="4" w:space="0" w:color="auto"/>
            </w:tcBorders>
            <w:shd w:val="clear" w:color="auto" w:fill="auto"/>
            <w:hideMark/>
          </w:tcPr>
          <w:p w:rsidR="009E5C52" w:rsidRPr="007D22C9" w:rsidRDefault="003838A4" w:rsidP="003838A4">
            <w:pPr>
              <w:autoSpaceDE/>
              <w:autoSpaceDN/>
              <w:adjustRightInd/>
              <w:jc w:val="center"/>
              <w:rPr>
                <w:color w:val="000000"/>
                <w:sz w:val="20"/>
                <w:szCs w:val="20"/>
              </w:rPr>
            </w:pPr>
            <w:r w:rsidRPr="007D22C9">
              <w:rPr>
                <w:color w:val="000000"/>
                <w:sz w:val="20"/>
                <w:szCs w:val="20"/>
              </w:rPr>
              <w:t>2</w:t>
            </w:r>
          </w:p>
        </w:tc>
        <w:tc>
          <w:tcPr>
            <w:tcW w:w="1275" w:type="dxa"/>
            <w:tcBorders>
              <w:top w:val="nil"/>
              <w:left w:val="nil"/>
              <w:bottom w:val="single" w:sz="4" w:space="0" w:color="auto"/>
              <w:right w:val="single" w:sz="4" w:space="0" w:color="auto"/>
            </w:tcBorders>
            <w:shd w:val="clear" w:color="auto" w:fill="auto"/>
            <w:hideMark/>
          </w:tcPr>
          <w:p w:rsidR="009E5C52" w:rsidRPr="005534FF" w:rsidRDefault="002041CB" w:rsidP="002041CB">
            <w:pPr>
              <w:autoSpaceDE/>
              <w:autoSpaceDN/>
              <w:adjustRightInd/>
              <w:jc w:val="center"/>
              <w:rPr>
                <w:bCs/>
                <w:color w:val="000000"/>
                <w:sz w:val="20"/>
                <w:szCs w:val="20"/>
              </w:rPr>
            </w:pPr>
            <w:r w:rsidRPr="005534FF">
              <w:rPr>
                <w:bCs/>
                <w:color w:val="000000"/>
                <w:sz w:val="20"/>
                <w:szCs w:val="20"/>
              </w:rPr>
              <w:t>2</w:t>
            </w:r>
          </w:p>
        </w:tc>
      </w:tr>
      <w:tr w:rsidR="009E5C52" w:rsidRPr="007D22C9" w:rsidTr="00EF1078">
        <w:trPr>
          <w:trHeight w:val="20"/>
        </w:trPr>
        <w:tc>
          <w:tcPr>
            <w:tcW w:w="460" w:type="dxa"/>
            <w:tcBorders>
              <w:top w:val="nil"/>
              <w:left w:val="single" w:sz="4" w:space="0" w:color="auto"/>
              <w:bottom w:val="single" w:sz="4" w:space="0" w:color="auto"/>
              <w:right w:val="nil"/>
            </w:tcBorders>
            <w:shd w:val="clear" w:color="auto" w:fill="auto"/>
            <w:hideMark/>
          </w:tcPr>
          <w:p w:rsidR="009E5C52" w:rsidRPr="007D22C9" w:rsidRDefault="009E5C52" w:rsidP="00EC082D">
            <w:pPr>
              <w:autoSpaceDE/>
              <w:autoSpaceDN/>
              <w:adjustRightInd/>
              <w:jc w:val="center"/>
              <w:rPr>
                <w:bCs/>
                <w:color w:val="000000"/>
                <w:sz w:val="20"/>
                <w:szCs w:val="20"/>
              </w:rPr>
            </w:pPr>
            <w:r w:rsidRPr="007D22C9">
              <w:rPr>
                <w:bCs/>
                <w:color w:val="000000"/>
                <w:sz w:val="20"/>
                <w:szCs w:val="20"/>
              </w:rPr>
              <w:t>7</w:t>
            </w:r>
            <w:r w:rsidR="000B1BA9" w:rsidRPr="007D22C9">
              <w:rPr>
                <w:bCs/>
                <w:color w:val="000000"/>
                <w:sz w:val="20"/>
                <w:szCs w:val="20"/>
              </w:rPr>
              <w:t>.</w:t>
            </w:r>
          </w:p>
        </w:tc>
        <w:tc>
          <w:tcPr>
            <w:tcW w:w="1662" w:type="dxa"/>
            <w:tcBorders>
              <w:top w:val="nil"/>
              <w:left w:val="single" w:sz="4" w:space="0" w:color="auto"/>
              <w:bottom w:val="single" w:sz="4" w:space="0" w:color="auto"/>
              <w:right w:val="single" w:sz="4" w:space="0" w:color="auto"/>
            </w:tcBorders>
            <w:shd w:val="clear" w:color="auto" w:fill="auto"/>
            <w:hideMark/>
          </w:tcPr>
          <w:p w:rsidR="009E5C52" w:rsidRPr="007D22C9" w:rsidRDefault="009E5C52" w:rsidP="00EC082D">
            <w:pPr>
              <w:autoSpaceDE/>
              <w:autoSpaceDN/>
              <w:adjustRightInd/>
              <w:jc w:val="both"/>
              <w:rPr>
                <w:color w:val="000000"/>
                <w:sz w:val="20"/>
                <w:szCs w:val="20"/>
              </w:rPr>
            </w:pPr>
            <w:r w:rsidRPr="007D22C9">
              <w:rPr>
                <w:color w:val="000000"/>
                <w:sz w:val="20"/>
                <w:szCs w:val="20"/>
              </w:rPr>
              <w:t xml:space="preserve">ГАУЗ </w:t>
            </w:r>
            <w:r w:rsidR="002F7358" w:rsidRPr="007D22C9">
              <w:rPr>
                <w:color w:val="000000"/>
                <w:sz w:val="20"/>
                <w:szCs w:val="20"/>
              </w:rPr>
              <w:t>«</w:t>
            </w:r>
            <w:r w:rsidRPr="007D22C9">
              <w:rPr>
                <w:color w:val="000000"/>
                <w:sz w:val="20"/>
                <w:szCs w:val="20"/>
              </w:rPr>
              <w:t>Городская поликлиника № 21</w:t>
            </w:r>
            <w:r w:rsidR="002F7358" w:rsidRPr="007D22C9">
              <w:rPr>
                <w:color w:val="000000"/>
                <w:sz w:val="20"/>
                <w:szCs w:val="20"/>
              </w:rPr>
              <w:t>»</w:t>
            </w:r>
            <w:r w:rsidRPr="007D22C9">
              <w:rPr>
                <w:color w:val="000000"/>
                <w:sz w:val="20"/>
                <w:szCs w:val="20"/>
              </w:rPr>
              <w:t xml:space="preserve"> г.Казани</w:t>
            </w:r>
          </w:p>
        </w:tc>
        <w:tc>
          <w:tcPr>
            <w:tcW w:w="1559" w:type="dxa"/>
            <w:tcBorders>
              <w:top w:val="nil"/>
              <w:left w:val="nil"/>
              <w:bottom w:val="single" w:sz="4" w:space="0" w:color="auto"/>
              <w:right w:val="single" w:sz="4" w:space="0" w:color="auto"/>
            </w:tcBorders>
            <w:shd w:val="clear" w:color="auto" w:fill="auto"/>
            <w:hideMark/>
          </w:tcPr>
          <w:p w:rsidR="009E5C52" w:rsidRPr="007D22C9" w:rsidRDefault="009E5C52" w:rsidP="00EC082D">
            <w:pPr>
              <w:autoSpaceDE/>
              <w:autoSpaceDN/>
              <w:adjustRightInd/>
              <w:jc w:val="both"/>
              <w:rPr>
                <w:color w:val="000000"/>
                <w:sz w:val="20"/>
                <w:szCs w:val="20"/>
              </w:rPr>
            </w:pPr>
            <w:r w:rsidRPr="007D22C9">
              <w:rPr>
                <w:color w:val="000000"/>
                <w:sz w:val="20"/>
                <w:szCs w:val="20"/>
              </w:rPr>
              <w:t>г.Казань, ул.Р.Зорге, д.103</w:t>
            </w:r>
          </w:p>
        </w:tc>
        <w:tc>
          <w:tcPr>
            <w:tcW w:w="992" w:type="dxa"/>
            <w:tcBorders>
              <w:top w:val="nil"/>
              <w:left w:val="nil"/>
              <w:bottom w:val="single" w:sz="4" w:space="0" w:color="auto"/>
              <w:right w:val="nil"/>
            </w:tcBorders>
            <w:shd w:val="clear" w:color="auto" w:fill="auto"/>
            <w:hideMark/>
          </w:tcPr>
          <w:p w:rsidR="009E5C52" w:rsidRPr="007D22C9" w:rsidRDefault="009E5C52" w:rsidP="00EC082D">
            <w:pPr>
              <w:autoSpaceDE/>
              <w:autoSpaceDN/>
              <w:adjustRightInd/>
              <w:jc w:val="center"/>
              <w:rPr>
                <w:color w:val="000000"/>
                <w:sz w:val="20"/>
                <w:szCs w:val="20"/>
              </w:rPr>
            </w:pPr>
            <w:r w:rsidRPr="007D22C9">
              <w:rPr>
                <w:color w:val="000000"/>
                <w:sz w:val="20"/>
                <w:szCs w:val="20"/>
              </w:rPr>
              <w:t>3</w:t>
            </w:r>
          </w:p>
        </w:tc>
        <w:tc>
          <w:tcPr>
            <w:tcW w:w="851" w:type="dxa"/>
            <w:tcBorders>
              <w:top w:val="nil"/>
              <w:left w:val="single" w:sz="4" w:space="0" w:color="auto"/>
              <w:bottom w:val="single" w:sz="4" w:space="0" w:color="auto"/>
              <w:right w:val="nil"/>
            </w:tcBorders>
            <w:shd w:val="clear" w:color="auto" w:fill="auto"/>
            <w:hideMark/>
          </w:tcPr>
          <w:p w:rsidR="009E5C52" w:rsidRPr="007D22C9" w:rsidRDefault="009E5C52" w:rsidP="00EC082D">
            <w:pPr>
              <w:autoSpaceDE/>
              <w:autoSpaceDN/>
              <w:adjustRightInd/>
              <w:jc w:val="center"/>
              <w:rPr>
                <w:color w:val="000000"/>
                <w:sz w:val="20"/>
                <w:szCs w:val="20"/>
              </w:rPr>
            </w:pPr>
            <w:r w:rsidRPr="007D22C9">
              <w:rPr>
                <w:color w:val="000000"/>
                <w:sz w:val="20"/>
                <w:szCs w:val="20"/>
              </w:rPr>
              <w:t>2019 г.</w:t>
            </w:r>
          </w:p>
        </w:tc>
        <w:tc>
          <w:tcPr>
            <w:tcW w:w="1474" w:type="dxa"/>
            <w:tcBorders>
              <w:top w:val="nil"/>
              <w:left w:val="single" w:sz="4" w:space="0" w:color="auto"/>
              <w:bottom w:val="single" w:sz="4" w:space="0" w:color="auto"/>
              <w:right w:val="single" w:sz="4" w:space="0" w:color="auto"/>
            </w:tcBorders>
            <w:shd w:val="clear" w:color="auto" w:fill="auto"/>
            <w:hideMark/>
          </w:tcPr>
          <w:p w:rsidR="009E5C52" w:rsidRPr="007D22C9" w:rsidRDefault="009E5C52" w:rsidP="00EF1078">
            <w:pPr>
              <w:autoSpaceDE/>
              <w:autoSpaceDN/>
              <w:adjustRightInd/>
              <w:ind w:left="-28"/>
              <w:jc w:val="both"/>
              <w:rPr>
                <w:color w:val="000000"/>
                <w:sz w:val="20"/>
                <w:szCs w:val="20"/>
              </w:rPr>
            </w:pPr>
            <w:r w:rsidRPr="007D22C9">
              <w:rPr>
                <w:color w:val="000000"/>
                <w:sz w:val="20"/>
                <w:szCs w:val="20"/>
              </w:rPr>
              <w:t>Приволжский район г.Казани</w:t>
            </w:r>
          </w:p>
        </w:tc>
        <w:tc>
          <w:tcPr>
            <w:tcW w:w="1134" w:type="dxa"/>
            <w:tcBorders>
              <w:top w:val="nil"/>
              <w:left w:val="nil"/>
              <w:bottom w:val="single" w:sz="4" w:space="0" w:color="auto"/>
              <w:right w:val="single" w:sz="4" w:space="0" w:color="auto"/>
            </w:tcBorders>
            <w:shd w:val="clear" w:color="auto" w:fill="auto"/>
            <w:hideMark/>
          </w:tcPr>
          <w:p w:rsidR="009E5C52" w:rsidRPr="007D22C9" w:rsidRDefault="009E5C52" w:rsidP="00EC082D">
            <w:pPr>
              <w:autoSpaceDE/>
              <w:autoSpaceDN/>
              <w:adjustRightInd/>
              <w:jc w:val="center"/>
              <w:rPr>
                <w:color w:val="000000"/>
                <w:sz w:val="20"/>
                <w:szCs w:val="20"/>
              </w:rPr>
            </w:pPr>
            <w:r w:rsidRPr="007D22C9">
              <w:rPr>
                <w:color w:val="000000"/>
                <w:sz w:val="20"/>
                <w:szCs w:val="20"/>
              </w:rPr>
              <w:t>96 740</w:t>
            </w:r>
          </w:p>
        </w:tc>
        <w:tc>
          <w:tcPr>
            <w:tcW w:w="1134" w:type="dxa"/>
            <w:tcBorders>
              <w:top w:val="nil"/>
              <w:left w:val="nil"/>
              <w:bottom w:val="single" w:sz="4" w:space="0" w:color="auto"/>
              <w:right w:val="single" w:sz="4" w:space="0" w:color="auto"/>
            </w:tcBorders>
            <w:shd w:val="clear" w:color="auto" w:fill="auto"/>
            <w:hideMark/>
          </w:tcPr>
          <w:p w:rsidR="009E5C52" w:rsidRPr="007D22C9" w:rsidRDefault="009C6ABA" w:rsidP="009C6ABA">
            <w:pPr>
              <w:autoSpaceDE/>
              <w:autoSpaceDN/>
              <w:adjustRightInd/>
              <w:jc w:val="center"/>
              <w:rPr>
                <w:color w:val="000000"/>
                <w:sz w:val="20"/>
                <w:szCs w:val="20"/>
              </w:rPr>
            </w:pPr>
            <w:r w:rsidRPr="007D22C9">
              <w:rPr>
                <w:color w:val="000000"/>
                <w:sz w:val="20"/>
                <w:szCs w:val="20"/>
              </w:rPr>
              <w:t>3,87</w:t>
            </w:r>
          </w:p>
        </w:tc>
        <w:tc>
          <w:tcPr>
            <w:tcW w:w="1276" w:type="dxa"/>
            <w:tcBorders>
              <w:top w:val="nil"/>
              <w:left w:val="nil"/>
              <w:bottom w:val="single" w:sz="4" w:space="0" w:color="auto"/>
              <w:right w:val="single" w:sz="4" w:space="0" w:color="auto"/>
            </w:tcBorders>
            <w:shd w:val="clear" w:color="auto" w:fill="auto"/>
            <w:hideMark/>
          </w:tcPr>
          <w:p w:rsidR="009E5C52" w:rsidRPr="007D22C9" w:rsidRDefault="009E5C52" w:rsidP="009C6ABA">
            <w:pPr>
              <w:autoSpaceDE/>
              <w:autoSpaceDN/>
              <w:adjustRightInd/>
              <w:jc w:val="center"/>
              <w:rPr>
                <w:color w:val="000000"/>
                <w:sz w:val="20"/>
                <w:szCs w:val="20"/>
              </w:rPr>
            </w:pPr>
            <w:r w:rsidRPr="007D22C9">
              <w:rPr>
                <w:color w:val="000000"/>
                <w:sz w:val="20"/>
                <w:szCs w:val="20"/>
              </w:rPr>
              <w:t>4,</w:t>
            </w:r>
            <w:r w:rsidR="009C6ABA" w:rsidRPr="007D22C9">
              <w:rPr>
                <w:color w:val="000000"/>
                <w:sz w:val="20"/>
                <w:szCs w:val="20"/>
              </w:rPr>
              <w:t>25</w:t>
            </w:r>
          </w:p>
        </w:tc>
        <w:tc>
          <w:tcPr>
            <w:tcW w:w="1247" w:type="dxa"/>
            <w:tcBorders>
              <w:top w:val="nil"/>
              <w:left w:val="nil"/>
              <w:bottom w:val="single" w:sz="4" w:space="0" w:color="auto"/>
              <w:right w:val="single" w:sz="4" w:space="0" w:color="auto"/>
            </w:tcBorders>
            <w:shd w:val="clear" w:color="auto" w:fill="auto"/>
            <w:hideMark/>
          </w:tcPr>
          <w:p w:rsidR="009E5C52" w:rsidRPr="007D22C9" w:rsidRDefault="009C6ABA" w:rsidP="009C6ABA">
            <w:pPr>
              <w:autoSpaceDE/>
              <w:autoSpaceDN/>
              <w:adjustRightInd/>
              <w:jc w:val="center"/>
              <w:rPr>
                <w:color w:val="000000"/>
                <w:sz w:val="20"/>
                <w:szCs w:val="20"/>
              </w:rPr>
            </w:pPr>
            <w:r w:rsidRPr="007D22C9">
              <w:rPr>
                <w:color w:val="000000"/>
                <w:sz w:val="20"/>
                <w:szCs w:val="20"/>
              </w:rPr>
              <w:t>4,25</w:t>
            </w:r>
          </w:p>
        </w:tc>
        <w:tc>
          <w:tcPr>
            <w:tcW w:w="1077" w:type="dxa"/>
            <w:tcBorders>
              <w:top w:val="nil"/>
              <w:left w:val="nil"/>
              <w:bottom w:val="single" w:sz="4" w:space="0" w:color="auto"/>
              <w:right w:val="single" w:sz="4" w:space="0" w:color="auto"/>
            </w:tcBorders>
            <w:shd w:val="clear" w:color="auto" w:fill="auto"/>
            <w:hideMark/>
          </w:tcPr>
          <w:p w:rsidR="009E5C52" w:rsidRPr="007D22C9" w:rsidRDefault="009C6ABA" w:rsidP="009C6ABA">
            <w:pPr>
              <w:autoSpaceDE/>
              <w:autoSpaceDN/>
              <w:adjustRightInd/>
              <w:jc w:val="center"/>
              <w:rPr>
                <w:color w:val="000000"/>
                <w:sz w:val="20"/>
                <w:szCs w:val="20"/>
              </w:rPr>
            </w:pPr>
            <w:r w:rsidRPr="007D22C9">
              <w:rPr>
                <w:color w:val="000000"/>
                <w:sz w:val="20"/>
                <w:szCs w:val="20"/>
              </w:rPr>
              <w:t>4</w:t>
            </w:r>
          </w:p>
        </w:tc>
        <w:tc>
          <w:tcPr>
            <w:tcW w:w="1275" w:type="dxa"/>
            <w:tcBorders>
              <w:top w:val="nil"/>
              <w:left w:val="nil"/>
              <w:bottom w:val="single" w:sz="4" w:space="0" w:color="auto"/>
              <w:right w:val="single" w:sz="4" w:space="0" w:color="auto"/>
            </w:tcBorders>
            <w:shd w:val="clear" w:color="auto" w:fill="auto"/>
            <w:hideMark/>
          </w:tcPr>
          <w:p w:rsidR="009E5C52" w:rsidRPr="007D22C9" w:rsidRDefault="009C6ABA" w:rsidP="00EC082D">
            <w:pPr>
              <w:autoSpaceDE/>
              <w:autoSpaceDN/>
              <w:adjustRightInd/>
              <w:jc w:val="center"/>
              <w:rPr>
                <w:b/>
                <w:bCs/>
                <w:color w:val="000000"/>
                <w:sz w:val="20"/>
                <w:szCs w:val="20"/>
              </w:rPr>
            </w:pPr>
            <w:r w:rsidRPr="007D22C9">
              <w:rPr>
                <w:b/>
                <w:bCs/>
                <w:color w:val="000000"/>
                <w:sz w:val="20"/>
                <w:szCs w:val="20"/>
              </w:rPr>
              <w:t>0</w:t>
            </w:r>
          </w:p>
        </w:tc>
      </w:tr>
      <w:tr w:rsidR="009E5C52" w:rsidRPr="007D22C9" w:rsidTr="00EF1078">
        <w:trPr>
          <w:trHeight w:val="20"/>
        </w:trPr>
        <w:tc>
          <w:tcPr>
            <w:tcW w:w="460" w:type="dxa"/>
            <w:tcBorders>
              <w:top w:val="nil"/>
              <w:left w:val="single" w:sz="4" w:space="0" w:color="auto"/>
              <w:bottom w:val="single" w:sz="4" w:space="0" w:color="auto"/>
              <w:right w:val="nil"/>
            </w:tcBorders>
            <w:shd w:val="clear" w:color="auto" w:fill="auto"/>
            <w:hideMark/>
          </w:tcPr>
          <w:p w:rsidR="009E5C52" w:rsidRPr="007D22C9" w:rsidRDefault="009E5C52" w:rsidP="00EC082D">
            <w:pPr>
              <w:autoSpaceDE/>
              <w:autoSpaceDN/>
              <w:adjustRightInd/>
              <w:jc w:val="center"/>
              <w:rPr>
                <w:bCs/>
                <w:color w:val="000000"/>
                <w:sz w:val="20"/>
                <w:szCs w:val="20"/>
              </w:rPr>
            </w:pPr>
            <w:r w:rsidRPr="007D22C9">
              <w:rPr>
                <w:bCs/>
                <w:color w:val="000000"/>
                <w:sz w:val="20"/>
                <w:szCs w:val="20"/>
              </w:rPr>
              <w:t>8</w:t>
            </w:r>
            <w:r w:rsidR="000B1BA9" w:rsidRPr="007D22C9">
              <w:rPr>
                <w:bCs/>
                <w:color w:val="000000"/>
                <w:sz w:val="20"/>
                <w:szCs w:val="20"/>
              </w:rPr>
              <w:t>.</w:t>
            </w:r>
          </w:p>
        </w:tc>
        <w:tc>
          <w:tcPr>
            <w:tcW w:w="1662" w:type="dxa"/>
            <w:tcBorders>
              <w:top w:val="nil"/>
              <w:left w:val="single" w:sz="4" w:space="0" w:color="auto"/>
              <w:bottom w:val="single" w:sz="4" w:space="0" w:color="auto"/>
              <w:right w:val="single" w:sz="4" w:space="0" w:color="auto"/>
            </w:tcBorders>
            <w:shd w:val="clear" w:color="auto" w:fill="auto"/>
            <w:hideMark/>
          </w:tcPr>
          <w:p w:rsidR="009E5C52" w:rsidRPr="007D22C9" w:rsidRDefault="009E5C52" w:rsidP="00EC082D">
            <w:pPr>
              <w:autoSpaceDE/>
              <w:autoSpaceDN/>
              <w:adjustRightInd/>
              <w:jc w:val="both"/>
              <w:rPr>
                <w:color w:val="000000"/>
                <w:sz w:val="20"/>
                <w:szCs w:val="20"/>
              </w:rPr>
            </w:pPr>
            <w:r w:rsidRPr="007D22C9">
              <w:rPr>
                <w:color w:val="000000"/>
                <w:sz w:val="20"/>
                <w:szCs w:val="20"/>
              </w:rPr>
              <w:t xml:space="preserve">ГАУЗ </w:t>
            </w:r>
            <w:r w:rsidR="002F7358" w:rsidRPr="007D22C9">
              <w:rPr>
                <w:color w:val="000000"/>
                <w:sz w:val="20"/>
                <w:szCs w:val="20"/>
              </w:rPr>
              <w:t>«</w:t>
            </w:r>
            <w:r w:rsidRPr="007D22C9">
              <w:rPr>
                <w:color w:val="000000"/>
                <w:sz w:val="20"/>
                <w:szCs w:val="20"/>
              </w:rPr>
              <w:t>Зеленодольская ЦРБ</w:t>
            </w:r>
            <w:r w:rsidR="002F7358" w:rsidRPr="007D22C9">
              <w:rPr>
                <w:color w:val="000000"/>
                <w:sz w:val="20"/>
                <w:szCs w:val="20"/>
              </w:rPr>
              <w:t>»</w:t>
            </w:r>
          </w:p>
        </w:tc>
        <w:tc>
          <w:tcPr>
            <w:tcW w:w="1559" w:type="dxa"/>
            <w:tcBorders>
              <w:top w:val="nil"/>
              <w:left w:val="nil"/>
              <w:bottom w:val="single" w:sz="4" w:space="0" w:color="auto"/>
              <w:right w:val="single" w:sz="4" w:space="0" w:color="auto"/>
            </w:tcBorders>
            <w:shd w:val="clear" w:color="auto" w:fill="auto"/>
            <w:hideMark/>
          </w:tcPr>
          <w:p w:rsidR="009E5C52" w:rsidRPr="007D22C9" w:rsidRDefault="000B1BA9" w:rsidP="00EC082D">
            <w:pPr>
              <w:autoSpaceDE/>
              <w:autoSpaceDN/>
              <w:adjustRightInd/>
              <w:jc w:val="both"/>
              <w:rPr>
                <w:color w:val="000000"/>
                <w:sz w:val="20"/>
                <w:szCs w:val="20"/>
              </w:rPr>
            </w:pPr>
            <w:r w:rsidRPr="007D22C9">
              <w:rPr>
                <w:color w:val="000000"/>
                <w:sz w:val="20"/>
                <w:szCs w:val="20"/>
              </w:rPr>
              <w:t>г.</w:t>
            </w:r>
            <w:r w:rsidR="009E5C52" w:rsidRPr="007D22C9">
              <w:rPr>
                <w:color w:val="000000"/>
                <w:sz w:val="20"/>
                <w:szCs w:val="20"/>
              </w:rPr>
              <w:t>Зеленодольск,</w:t>
            </w:r>
            <w:r w:rsidRPr="007D22C9">
              <w:rPr>
                <w:color w:val="000000"/>
                <w:sz w:val="20"/>
                <w:szCs w:val="20"/>
              </w:rPr>
              <w:t xml:space="preserve"> </w:t>
            </w:r>
            <w:r w:rsidR="009E5C52" w:rsidRPr="007D22C9">
              <w:rPr>
                <w:color w:val="000000"/>
                <w:sz w:val="20"/>
                <w:szCs w:val="20"/>
              </w:rPr>
              <w:t>ул.Гоголя,</w:t>
            </w:r>
            <w:r w:rsidRPr="007D22C9">
              <w:rPr>
                <w:color w:val="000000"/>
                <w:sz w:val="20"/>
                <w:szCs w:val="20"/>
              </w:rPr>
              <w:t xml:space="preserve"> </w:t>
            </w:r>
            <w:r w:rsidR="009E5C52" w:rsidRPr="007D22C9">
              <w:rPr>
                <w:color w:val="000000"/>
                <w:sz w:val="20"/>
                <w:szCs w:val="20"/>
              </w:rPr>
              <w:t>д.1</w:t>
            </w:r>
          </w:p>
        </w:tc>
        <w:tc>
          <w:tcPr>
            <w:tcW w:w="992" w:type="dxa"/>
            <w:tcBorders>
              <w:top w:val="nil"/>
              <w:left w:val="nil"/>
              <w:bottom w:val="single" w:sz="4" w:space="0" w:color="auto"/>
              <w:right w:val="nil"/>
            </w:tcBorders>
            <w:shd w:val="clear" w:color="auto" w:fill="auto"/>
            <w:hideMark/>
          </w:tcPr>
          <w:p w:rsidR="009E5C52" w:rsidRPr="007D22C9" w:rsidRDefault="009E5C52" w:rsidP="00EC082D">
            <w:pPr>
              <w:autoSpaceDE/>
              <w:autoSpaceDN/>
              <w:adjustRightInd/>
              <w:jc w:val="center"/>
              <w:rPr>
                <w:color w:val="000000"/>
                <w:sz w:val="20"/>
                <w:szCs w:val="20"/>
              </w:rPr>
            </w:pPr>
            <w:r w:rsidRPr="007D22C9">
              <w:rPr>
                <w:color w:val="000000"/>
                <w:sz w:val="20"/>
                <w:szCs w:val="20"/>
              </w:rPr>
              <w:t>3</w:t>
            </w:r>
          </w:p>
        </w:tc>
        <w:tc>
          <w:tcPr>
            <w:tcW w:w="851" w:type="dxa"/>
            <w:tcBorders>
              <w:top w:val="nil"/>
              <w:left w:val="single" w:sz="4" w:space="0" w:color="auto"/>
              <w:bottom w:val="single" w:sz="4" w:space="0" w:color="auto"/>
              <w:right w:val="nil"/>
            </w:tcBorders>
            <w:shd w:val="clear" w:color="auto" w:fill="auto"/>
            <w:hideMark/>
          </w:tcPr>
          <w:p w:rsidR="009E5C52" w:rsidRPr="007D22C9" w:rsidRDefault="009E5C52" w:rsidP="00EC082D">
            <w:pPr>
              <w:autoSpaceDE/>
              <w:autoSpaceDN/>
              <w:adjustRightInd/>
              <w:jc w:val="center"/>
              <w:rPr>
                <w:color w:val="000000"/>
                <w:sz w:val="20"/>
                <w:szCs w:val="20"/>
              </w:rPr>
            </w:pPr>
            <w:r w:rsidRPr="007D22C9">
              <w:rPr>
                <w:color w:val="000000"/>
                <w:sz w:val="20"/>
                <w:szCs w:val="20"/>
              </w:rPr>
              <w:t>2020 г.</w:t>
            </w:r>
          </w:p>
        </w:tc>
        <w:tc>
          <w:tcPr>
            <w:tcW w:w="1474" w:type="dxa"/>
            <w:tcBorders>
              <w:top w:val="nil"/>
              <w:left w:val="single" w:sz="4" w:space="0" w:color="auto"/>
              <w:bottom w:val="single" w:sz="4" w:space="0" w:color="auto"/>
              <w:right w:val="single" w:sz="4" w:space="0" w:color="auto"/>
            </w:tcBorders>
            <w:shd w:val="clear" w:color="auto" w:fill="auto"/>
            <w:hideMark/>
          </w:tcPr>
          <w:p w:rsidR="009E5C52" w:rsidRPr="007D22C9" w:rsidRDefault="009E5C52" w:rsidP="00EF1078">
            <w:pPr>
              <w:autoSpaceDE/>
              <w:autoSpaceDN/>
              <w:adjustRightInd/>
              <w:ind w:left="-28"/>
              <w:jc w:val="both"/>
              <w:rPr>
                <w:color w:val="000000"/>
                <w:sz w:val="20"/>
                <w:szCs w:val="20"/>
              </w:rPr>
            </w:pPr>
            <w:r w:rsidRPr="007D22C9">
              <w:rPr>
                <w:color w:val="000000"/>
                <w:sz w:val="20"/>
                <w:szCs w:val="20"/>
              </w:rPr>
              <w:t>Зеленодольский муниципальный район</w:t>
            </w:r>
          </w:p>
        </w:tc>
        <w:tc>
          <w:tcPr>
            <w:tcW w:w="1134" w:type="dxa"/>
            <w:tcBorders>
              <w:top w:val="nil"/>
              <w:left w:val="nil"/>
              <w:bottom w:val="single" w:sz="4" w:space="0" w:color="auto"/>
              <w:right w:val="single" w:sz="4" w:space="0" w:color="auto"/>
            </w:tcBorders>
            <w:shd w:val="clear" w:color="auto" w:fill="auto"/>
            <w:hideMark/>
          </w:tcPr>
          <w:p w:rsidR="009E5C52" w:rsidRPr="007D22C9" w:rsidRDefault="009E5C52" w:rsidP="00EC082D">
            <w:pPr>
              <w:autoSpaceDE/>
              <w:autoSpaceDN/>
              <w:adjustRightInd/>
              <w:jc w:val="center"/>
              <w:rPr>
                <w:color w:val="000000"/>
                <w:sz w:val="20"/>
                <w:szCs w:val="20"/>
              </w:rPr>
            </w:pPr>
            <w:r w:rsidRPr="007D22C9">
              <w:rPr>
                <w:color w:val="000000"/>
                <w:sz w:val="20"/>
                <w:szCs w:val="20"/>
              </w:rPr>
              <w:t>132 580</w:t>
            </w:r>
          </w:p>
        </w:tc>
        <w:tc>
          <w:tcPr>
            <w:tcW w:w="1134" w:type="dxa"/>
            <w:tcBorders>
              <w:top w:val="nil"/>
              <w:left w:val="nil"/>
              <w:bottom w:val="single" w:sz="4" w:space="0" w:color="auto"/>
              <w:right w:val="single" w:sz="4" w:space="0" w:color="auto"/>
            </w:tcBorders>
            <w:shd w:val="clear" w:color="auto" w:fill="auto"/>
            <w:hideMark/>
          </w:tcPr>
          <w:p w:rsidR="009E5C52" w:rsidRPr="007D22C9" w:rsidRDefault="009E5C52" w:rsidP="00EC082D">
            <w:pPr>
              <w:autoSpaceDE/>
              <w:autoSpaceDN/>
              <w:adjustRightInd/>
              <w:jc w:val="center"/>
              <w:rPr>
                <w:color w:val="000000"/>
                <w:sz w:val="20"/>
                <w:szCs w:val="20"/>
              </w:rPr>
            </w:pPr>
            <w:r w:rsidRPr="007D22C9">
              <w:rPr>
                <w:color w:val="000000"/>
                <w:sz w:val="20"/>
                <w:szCs w:val="20"/>
              </w:rPr>
              <w:t>5,30</w:t>
            </w:r>
          </w:p>
        </w:tc>
        <w:tc>
          <w:tcPr>
            <w:tcW w:w="1276" w:type="dxa"/>
            <w:tcBorders>
              <w:top w:val="nil"/>
              <w:left w:val="nil"/>
              <w:bottom w:val="single" w:sz="4" w:space="0" w:color="auto"/>
              <w:right w:val="single" w:sz="4" w:space="0" w:color="auto"/>
            </w:tcBorders>
            <w:shd w:val="clear" w:color="auto" w:fill="auto"/>
            <w:hideMark/>
          </w:tcPr>
          <w:p w:rsidR="009E5C52" w:rsidRPr="007D22C9" w:rsidRDefault="006E65A0" w:rsidP="006E65A0">
            <w:pPr>
              <w:autoSpaceDE/>
              <w:autoSpaceDN/>
              <w:adjustRightInd/>
              <w:jc w:val="center"/>
              <w:rPr>
                <w:color w:val="000000"/>
                <w:sz w:val="20"/>
                <w:szCs w:val="20"/>
              </w:rPr>
            </w:pPr>
            <w:r w:rsidRPr="007D22C9">
              <w:rPr>
                <w:color w:val="000000"/>
                <w:sz w:val="20"/>
                <w:szCs w:val="20"/>
              </w:rPr>
              <w:t>6,75</w:t>
            </w:r>
          </w:p>
        </w:tc>
        <w:tc>
          <w:tcPr>
            <w:tcW w:w="1247" w:type="dxa"/>
            <w:tcBorders>
              <w:top w:val="nil"/>
              <w:left w:val="nil"/>
              <w:bottom w:val="single" w:sz="4" w:space="0" w:color="auto"/>
              <w:right w:val="single" w:sz="4" w:space="0" w:color="auto"/>
            </w:tcBorders>
            <w:shd w:val="clear" w:color="auto" w:fill="auto"/>
            <w:hideMark/>
          </w:tcPr>
          <w:p w:rsidR="009E5C52" w:rsidRPr="007D22C9" w:rsidRDefault="006E65A0" w:rsidP="006E65A0">
            <w:pPr>
              <w:autoSpaceDE/>
              <w:autoSpaceDN/>
              <w:adjustRightInd/>
              <w:jc w:val="center"/>
              <w:rPr>
                <w:color w:val="000000"/>
                <w:sz w:val="20"/>
                <w:szCs w:val="20"/>
              </w:rPr>
            </w:pPr>
            <w:r w:rsidRPr="007D22C9">
              <w:rPr>
                <w:color w:val="000000"/>
                <w:sz w:val="20"/>
                <w:szCs w:val="20"/>
              </w:rPr>
              <w:t>6,75</w:t>
            </w:r>
          </w:p>
        </w:tc>
        <w:tc>
          <w:tcPr>
            <w:tcW w:w="1077" w:type="dxa"/>
            <w:tcBorders>
              <w:top w:val="nil"/>
              <w:left w:val="nil"/>
              <w:bottom w:val="single" w:sz="4" w:space="0" w:color="auto"/>
              <w:right w:val="single" w:sz="4" w:space="0" w:color="auto"/>
            </w:tcBorders>
            <w:shd w:val="clear" w:color="auto" w:fill="auto"/>
            <w:hideMark/>
          </w:tcPr>
          <w:p w:rsidR="009E5C52" w:rsidRPr="007D22C9" w:rsidRDefault="006E65A0" w:rsidP="006E65A0">
            <w:pPr>
              <w:autoSpaceDE/>
              <w:autoSpaceDN/>
              <w:adjustRightInd/>
              <w:jc w:val="center"/>
              <w:rPr>
                <w:color w:val="000000"/>
                <w:sz w:val="20"/>
                <w:szCs w:val="20"/>
              </w:rPr>
            </w:pPr>
            <w:r w:rsidRPr="007D22C9">
              <w:rPr>
                <w:color w:val="000000"/>
                <w:sz w:val="20"/>
                <w:szCs w:val="20"/>
              </w:rPr>
              <w:t>6</w:t>
            </w:r>
          </w:p>
        </w:tc>
        <w:tc>
          <w:tcPr>
            <w:tcW w:w="1275" w:type="dxa"/>
            <w:tcBorders>
              <w:top w:val="nil"/>
              <w:left w:val="nil"/>
              <w:bottom w:val="single" w:sz="4" w:space="0" w:color="auto"/>
              <w:right w:val="single" w:sz="4" w:space="0" w:color="auto"/>
            </w:tcBorders>
            <w:shd w:val="clear" w:color="auto" w:fill="auto"/>
            <w:hideMark/>
          </w:tcPr>
          <w:p w:rsidR="009E5C52" w:rsidRPr="007D22C9" w:rsidRDefault="006E65A0" w:rsidP="006E65A0">
            <w:pPr>
              <w:autoSpaceDE/>
              <w:autoSpaceDN/>
              <w:adjustRightInd/>
              <w:jc w:val="center"/>
              <w:rPr>
                <w:b/>
                <w:bCs/>
                <w:color w:val="000000"/>
                <w:sz w:val="20"/>
                <w:szCs w:val="20"/>
              </w:rPr>
            </w:pPr>
            <w:r w:rsidRPr="007D22C9">
              <w:rPr>
                <w:b/>
                <w:bCs/>
                <w:color w:val="000000"/>
                <w:sz w:val="20"/>
                <w:szCs w:val="20"/>
              </w:rPr>
              <w:t>0</w:t>
            </w:r>
          </w:p>
        </w:tc>
      </w:tr>
      <w:tr w:rsidR="009E5C52" w:rsidRPr="007D22C9" w:rsidTr="00EF1078">
        <w:trPr>
          <w:trHeight w:val="20"/>
        </w:trPr>
        <w:tc>
          <w:tcPr>
            <w:tcW w:w="460" w:type="dxa"/>
            <w:tcBorders>
              <w:top w:val="nil"/>
              <w:left w:val="single" w:sz="4" w:space="0" w:color="auto"/>
              <w:bottom w:val="single" w:sz="4" w:space="0" w:color="auto"/>
              <w:right w:val="nil"/>
            </w:tcBorders>
            <w:shd w:val="clear" w:color="auto" w:fill="auto"/>
            <w:hideMark/>
          </w:tcPr>
          <w:p w:rsidR="009E5C52" w:rsidRPr="007D22C9" w:rsidRDefault="009E5C52" w:rsidP="00EC082D">
            <w:pPr>
              <w:autoSpaceDE/>
              <w:autoSpaceDN/>
              <w:adjustRightInd/>
              <w:jc w:val="center"/>
              <w:rPr>
                <w:bCs/>
                <w:color w:val="000000"/>
                <w:sz w:val="20"/>
                <w:szCs w:val="20"/>
              </w:rPr>
            </w:pPr>
            <w:r w:rsidRPr="007D22C9">
              <w:rPr>
                <w:bCs/>
                <w:color w:val="000000"/>
                <w:sz w:val="20"/>
                <w:szCs w:val="20"/>
              </w:rPr>
              <w:t>9</w:t>
            </w:r>
            <w:r w:rsidR="000B1BA9" w:rsidRPr="007D22C9">
              <w:rPr>
                <w:bCs/>
                <w:color w:val="000000"/>
                <w:sz w:val="20"/>
                <w:szCs w:val="20"/>
              </w:rPr>
              <w:t>.</w:t>
            </w:r>
          </w:p>
        </w:tc>
        <w:tc>
          <w:tcPr>
            <w:tcW w:w="1662" w:type="dxa"/>
            <w:tcBorders>
              <w:top w:val="nil"/>
              <w:left w:val="single" w:sz="4" w:space="0" w:color="auto"/>
              <w:bottom w:val="single" w:sz="4" w:space="0" w:color="auto"/>
              <w:right w:val="single" w:sz="4" w:space="0" w:color="auto"/>
            </w:tcBorders>
            <w:shd w:val="clear" w:color="auto" w:fill="auto"/>
            <w:hideMark/>
          </w:tcPr>
          <w:p w:rsidR="009E5C52" w:rsidRPr="007D22C9" w:rsidRDefault="009E5C52" w:rsidP="00EC082D">
            <w:pPr>
              <w:autoSpaceDE/>
              <w:autoSpaceDN/>
              <w:adjustRightInd/>
              <w:jc w:val="both"/>
              <w:rPr>
                <w:color w:val="000000"/>
                <w:sz w:val="20"/>
                <w:szCs w:val="20"/>
              </w:rPr>
            </w:pPr>
            <w:r w:rsidRPr="007D22C9">
              <w:rPr>
                <w:color w:val="000000"/>
                <w:sz w:val="20"/>
                <w:szCs w:val="20"/>
              </w:rPr>
              <w:t xml:space="preserve">ГАУЗ </w:t>
            </w:r>
            <w:r w:rsidR="002F7358" w:rsidRPr="007D22C9">
              <w:rPr>
                <w:color w:val="000000"/>
                <w:sz w:val="20"/>
                <w:szCs w:val="20"/>
              </w:rPr>
              <w:t>«</w:t>
            </w:r>
            <w:r w:rsidRPr="007D22C9">
              <w:rPr>
                <w:color w:val="000000"/>
                <w:sz w:val="20"/>
                <w:szCs w:val="20"/>
              </w:rPr>
              <w:t>Нижнекамская центральная районная многопрофильная больница</w:t>
            </w:r>
            <w:r w:rsidR="002F7358" w:rsidRPr="007D22C9">
              <w:rPr>
                <w:color w:val="000000"/>
                <w:sz w:val="20"/>
                <w:szCs w:val="20"/>
              </w:rPr>
              <w:t>»</w:t>
            </w:r>
          </w:p>
        </w:tc>
        <w:tc>
          <w:tcPr>
            <w:tcW w:w="1559" w:type="dxa"/>
            <w:tcBorders>
              <w:top w:val="nil"/>
              <w:left w:val="nil"/>
              <w:bottom w:val="single" w:sz="4" w:space="0" w:color="auto"/>
              <w:right w:val="single" w:sz="4" w:space="0" w:color="auto"/>
            </w:tcBorders>
            <w:shd w:val="clear" w:color="auto" w:fill="auto"/>
            <w:hideMark/>
          </w:tcPr>
          <w:p w:rsidR="009E5C52" w:rsidRPr="007D22C9" w:rsidRDefault="009E5C52" w:rsidP="00EC082D">
            <w:pPr>
              <w:autoSpaceDE/>
              <w:autoSpaceDN/>
              <w:adjustRightInd/>
              <w:jc w:val="both"/>
              <w:rPr>
                <w:color w:val="000000"/>
                <w:sz w:val="20"/>
                <w:szCs w:val="20"/>
              </w:rPr>
            </w:pPr>
            <w:r w:rsidRPr="007D22C9">
              <w:rPr>
                <w:color w:val="000000"/>
                <w:sz w:val="20"/>
                <w:szCs w:val="20"/>
              </w:rPr>
              <w:t>г.Нижнекамск, ул.Ахтубинская, д.9</w:t>
            </w:r>
          </w:p>
        </w:tc>
        <w:tc>
          <w:tcPr>
            <w:tcW w:w="992" w:type="dxa"/>
            <w:tcBorders>
              <w:top w:val="nil"/>
              <w:left w:val="nil"/>
              <w:bottom w:val="single" w:sz="4" w:space="0" w:color="auto"/>
              <w:right w:val="nil"/>
            </w:tcBorders>
            <w:shd w:val="clear" w:color="auto" w:fill="auto"/>
            <w:hideMark/>
          </w:tcPr>
          <w:p w:rsidR="009E5C52" w:rsidRPr="007D22C9" w:rsidRDefault="009E5C52" w:rsidP="00EC082D">
            <w:pPr>
              <w:autoSpaceDE/>
              <w:autoSpaceDN/>
              <w:adjustRightInd/>
              <w:jc w:val="center"/>
              <w:rPr>
                <w:color w:val="000000"/>
                <w:sz w:val="20"/>
                <w:szCs w:val="20"/>
              </w:rPr>
            </w:pPr>
            <w:r w:rsidRPr="007D22C9">
              <w:rPr>
                <w:color w:val="000000"/>
                <w:sz w:val="20"/>
                <w:szCs w:val="20"/>
              </w:rPr>
              <w:t>3</w:t>
            </w:r>
          </w:p>
        </w:tc>
        <w:tc>
          <w:tcPr>
            <w:tcW w:w="851" w:type="dxa"/>
            <w:tcBorders>
              <w:top w:val="nil"/>
              <w:left w:val="single" w:sz="4" w:space="0" w:color="auto"/>
              <w:bottom w:val="single" w:sz="4" w:space="0" w:color="auto"/>
              <w:right w:val="nil"/>
            </w:tcBorders>
            <w:shd w:val="clear" w:color="auto" w:fill="auto"/>
            <w:hideMark/>
          </w:tcPr>
          <w:p w:rsidR="009E5C52" w:rsidRPr="007D22C9" w:rsidRDefault="009E5C52" w:rsidP="00EC082D">
            <w:pPr>
              <w:autoSpaceDE/>
              <w:autoSpaceDN/>
              <w:adjustRightInd/>
              <w:jc w:val="center"/>
              <w:rPr>
                <w:color w:val="000000"/>
                <w:sz w:val="20"/>
                <w:szCs w:val="20"/>
              </w:rPr>
            </w:pPr>
            <w:r w:rsidRPr="007D22C9">
              <w:rPr>
                <w:color w:val="000000"/>
                <w:sz w:val="20"/>
                <w:szCs w:val="20"/>
              </w:rPr>
              <w:t>2021 г.</w:t>
            </w:r>
          </w:p>
        </w:tc>
        <w:tc>
          <w:tcPr>
            <w:tcW w:w="1474" w:type="dxa"/>
            <w:tcBorders>
              <w:top w:val="nil"/>
              <w:left w:val="single" w:sz="4" w:space="0" w:color="auto"/>
              <w:bottom w:val="single" w:sz="4" w:space="0" w:color="auto"/>
              <w:right w:val="single" w:sz="4" w:space="0" w:color="auto"/>
            </w:tcBorders>
            <w:shd w:val="clear" w:color="auto" w:fill="auto"/>
            <w:hideMark/>
          </w:tcPr>
          <w:p w:rsidR="009E5C52" w:rsidRPr="007D22C9" w:rsidRDefault="009E5C52" w:rsidP="00EF1078">
            <w:pPr>
              <w:autoSpaceDE/>
              <w:autoSpaceDN/>
              <w:adjustRightInd/>
              <w:ind w:left="-28"/>
              <w:jc w:val="both"/>
              <w:rPr>
                <w:color w:val="000000"/>
                <w:sz w:val="20"/>
                <w:szCs w:val="20"/>
              </w:rPr>
            </w:pPr>
            <w:r w:rsidRPr="007D22C9">
              <w:rPr>
                <w:color w:val="000000"/>
                <w:sz w:val="20"/>
                <w:szCs w:val="20"/>
              </w:rPr>
              <w:t>Нижнекамский муниципальный район</w:t>
            </w:r>
          </w:p>
        </w:tc>
        <w:tc>
          <w:tcPr>
            <w:tcW w:w="1134" w:type="dxa"/>
            <w:tcBorders>
              <w:top w:val="nil"/>
              <w:left w:val="nil"/>
              <w:bottom w:val="single" w:sz="4" w:space="0" w:color="auto"/>
              <w:right w:val="single" w:sz="4" w:space="0" w:color="auto"/>
            </w:tcBorders>
            <w:shd w:val="clear" w:color="auto" w:fill="auto"/>
            <w:hideMark/>
          </w:tcPr>
          <w:p w:rsidR="009E5C52" w:rsidRPr="007D22C9" w:rsidRDefault="009E5C52" w:rsidP="00114B05">
            <w:pPr>
              <w:autoSpaceDE/>
              <w:autoSpaceDN/>
              <w:adjustRightInd/>
              <w:jc w:val="center"/>
              <w:rPr>
                <w:color w:val="000000"/>
                <w:sz w:val="20"/>
                <w:szCs w:val="20"/>
              </w:rPr>
            </w:pPr>
            <w:r w:rsidRPr="007D22C9">
              <w:rPr>
                <w:color w:val="000000"/>
                <w:sz w:val="20"/>
                <w:szCs w:val="20"/>
              </w:rPr>
              <w:t>21</w:t>
            </w:r>
            <w:r w:rsidR="00114B05" w:rsidRPr="007D22C9">
              <w:rPr>
                <w:color w:val="000000"/>
                <w:sz w:val="20"/>
                <w:szCs w:val="20"/>
              </w:rPr>
              <w:t>8 200</w:t>
            </w:r>
          </w:p>
        </w:tc>
        <w:tc>
          <w:tcPr>
            <w:tcW w:w="1134" w:type="dxa"/>
            <w:tcBorders>
              <w:top w:val="nil"/>
              <w:left w:val="nil"/>
              <w:bottom w:val="single" w:sz="4" w:space="0" w:color="auto"/>
              <w:right w:val="single" w:sz="4" w:space="0" w:color="auto"/>
            </w:tcBorders>
            <w:shd w:val="clear" w:color="auto" w:fill="auto"/>
            <w:hideMark/>
          </w:tcPr>
          <w:p w:rsidR="009E5C52" w:rsidRPr="007D22C9" w:rsidRDefault="009E5C52" w:rsidP="00114B05">
            <w:pPr>
              <w:autoSpaceDE/>
              <w:autoSpaceDN/>
              <w:adjustRightInd/>
              <w:jc w:val="center"/>
              <w:rPr>
                <w:color w:val="000000"/>
                <w:sz w:val="20"/>
                <w:szCs w:val="20"/>
              </w:rPr>
            </w:pPr>
            <w:r w:rsidRPr="007D22C9">
              <w:rPr>
                <w:color w:val="000000"/>
                <w:sz w:val="20"/>
                <w:szCs w:val="20"/>
              </w:rPr>
              <w:t>8,</w:t>
            </w:r>
            <w:r w:rsidR="00114B05" w:rsidRPr="007D22C9">
              <w:rPr>
                <w:color w:val="000000"/>
                <w:sz w:val="20"/>
                <w:szCs w:val="20"/>
              </w:rPr>
              <w:t>73</w:t>
            </w:r>
          </w:p>
        </w:tc>
        <w:tc>
          <w:tcPr>
            <w:tcW w:w="1276" w:type="dxa"/>
            <w:tcBorders>
              <w:top w:val="nil"/>
              <w:left w:val="nil"/>
              <w:bottom w:val="single" w:sz="4" w:space="0" w:color="auto"/>
              <w:right w:val="single" w:sz="4" w:space="0" w:color="auto"/>
            </w:tcBorders>
            <w:shd w:val="clear" w:color="auto" w:fill="auto"/>
            <w:hideMark/>
          </w:tcPr>
          <w:p w:rsidR="009E5C52" w:rsidRPr="007D22C9" w:rsidRDefault="00114B05" w:rsidP="00114B05">
            <w:pPr>
              <w:autoSpaceDE/>
              <w:autoSpaceDN/>
              <w:adjustRightInd/>
              <w:jc w:val="center"/>
              <w:rPr>
                <w:color w:val="000000"/>
                <w:sz w:val="20"/>
                <w:szCs w:val="20"/>
              </w:rPr>
            </w:pPr>
            <w:r w:rsidRPr="007D22C9">
              <w:rPr>
                <w:color w:val="000000"/>
                <w:sz w:val="20"/>
                <w:szCs w:val="20"/>
              </w:rPr>
              <w:t>10,25</w:t>
            </w:r>
          </w:p>
        </w:tc>
        <w:tc>
          <w:tcPr>
            <w:tcW w:w="1247" w:type="dxa"/>
            <w:tcBorders>
              <w:top w:val="nil"/>
              <w:left w:val="nil"/>
              <w:bottom w:val="single" w:sz="4" w:space="0" w:color="auto"/>
              <w:right w:val="single" w:sz="4" w:space="0" w:color="auto"/>
            </w:tcBorders>
            <w:shd w:val="clear" w:color="auto" w:fill="auto"/>
            <w:hideMark/>
          </w:tcPr>
          <w:p w:rsidR="009E5C52" w:rsidRPr="007D22C9" w:rsidRDefault="00114B05" w:rsidP="00114B05">
            <w:pPr>
              <w:autoSpaceDE/>
              <w:autoSpaceDN/>
              <w:adjustRightInd/>
              <w:jc w:val="center"/>
              <w:rPr>
                <w:color w:val="000000"/>
                <w:sz w:val="20"/>
                <w:szCs w:val="20"/>
              </w:rPr>
            </w:pPr>
            <w:r w:rsidRPr="007D22C9">
              <w:rPr>
                <w:color w:val="000000"/>
                <w:sz w:val="20"/>
                <w:szCs w:val="20"/>
              </w:rPr>
              <w:t>10,00</w:t>
            </w:r>
          </w:p>
        </w:tc>
        <w:tc>
          <w:tcPr>
            <w:tcW w:w="1077" w:type="dxa"/>
            <w:tcBorders>
              <w:top w:val="nil"/>
              <w:left w:val="nil"/>
              <w:bottom w:val="single" w:sz="4" w:space="0" w:color="auto"/>
              <w:right w:val="single" w:sz="4" w:space="0" w:color="auto"/>
            </w:tcBorders>
            <w:shd w:val="clear" w:color="auto" w:fill="auto"/>
            <w:hideMark/>
          </w:tcPr>
          <w:p w:rsidR="009E5C52" w:rsidRPr="007D22C9" w:rsidRDefault="00BF0872" w:rsidP="00BF0872">
            <w:pPr>
              <w:autoSpaceDE/>
              <w:autoSpaceDN/>
              <w:adjustRightInd/>
              <w:jc w:val="center"/>
              <w:rPr>
                <w:color w:val="000000"/>
                <w:sz w:val="20"/>
                <w:szCs w:val="20"/>
              </w:rPr>
            </w:pPr>
            <w:r w:rsidRPr="007D22C9">
              <w:rPr>
                <w:color w:val="000000"/>
                <w:sz w:val="20"/>
                <w:szCs w:val="20"/>
              </w:rPr>
              <w:t>7</w:t>
            </w:r>
          </w:p>
        </w:tc>
        <w:tc>
          <w:tcPr>
            <w:tcW w:w="1275" w:type="dxa"/>
            <w:tcBorders>
              <w:top w:val="nil"/>
              <w:left w:val="nil"/>
              <w:bottom w:val="single" w:sz="4" w:space="0" w:color="auto"/>
              <w:right w:val="single" w:sz="4" w:space="0" w:color="auto"/>
            </w:tcBorders>
            <w:shd w:val="clear" w:color="auto" w:fill="auto"/>
            <w:hideMark/>
          </w:tcPr>
          <w:p w:rsidR="009E5C52" w:rsidRPr="007D22C9" w:rsidRDefault="00BF0872" w:rsidP="00EC082D">
            <w:pPr>
              <w:autoSpaceDE/>
              <w:autoSpaceDN/>
              <w:adjustRightInd/>
              <w:jc w:val="center"/>
              <w:rPr>
                <w:b/>
                <w:bCs/>
                <w:color w:val="000000"/>
                <w:sz w:val="20"/>
                <w:szCs w:val="20"/>
              </w:rPr>
            </w:pPr>
            <w:r w:rsidRPr="007D22C9">
              <w:rPr>
                <w:b/>
                <w:bCs/>
                <w:color w:val="000000"/>
                <w:sz w:val="20"/>
                <w:szCs w:val="20"/>
              </w:rPr>
              <w:t>1</w:t>
            </w:r>
          </w:p>
        </w:tc>
      </w:tr>
      <w:tr w:rsidR="009E5C52" w:rsidRPr="007D22C9" w:rsidTr="00025C23">
        <w:trPr>
          <w:trHeight w:val="70"/>
        </w:trPr>
        <w:tc>
          <w:tcPr>
            <w:tcW w:w="460" w:type="dxa"/>
            <w:tcBorders>
              <w:top w:val="nil"/>
              <w:left w:val="single" w:sz="4" w:space="0" w:color="auto"/>
              <w:bottom w:val="single" w:sz="4" w:space="0" w:color="auto"/>
              <w:right w:val="single" w:sz="4" w:space="0" w:color="auto"/>
            </w:tcBorders>
            <w:shd w:val="clear" w:color="auto" w:fill="auto"/>
            <w:hideMark/>
          </w:tcPr>
          <w:p w:rsidR="009E5C52" w:rsidRPr="007D22C9" w:rsidRDefault="009E5C52" w:rsidP="00EC082D">
            <w:pPr>
              <w:autoSpaceDE/>
              <w:autoSpaceDN/>
              <w:adjustRightInd/>
              <w:jc w:val="both"/>
              <w:rPr>
                <w:color w:val="000000"/>
                <w:sz w:val="20"/>
                <w:szCs w:val="20"/>
              </w:rPr>
            </w:pPr>
            <w:r w:rsidRPr="007D22C9">
              <w:rPr>
                <w:color w:val="000000"/>
                <w:sz w:val="20"/>
                <w:szCs w:val="20"/>
              </w:rPr>
              <w:t> </w:t>
            </w:r>
          </w:p>
        </w:tc>
        <w:tc>
          <w:tcPr>
            <w:tcW w:w="1662" w:type="dxa"/>
            <w:tcBorders>
              <w:top w:val="nil"/>
              <w:left w:val="nil"/>
              <w:bottom w:val="single" w:sz="4" w:space="0" w:color="auto"/>
              <w:right w:val="single" w:sz="4" w:space="0" w:color="auto"/>
            </w:tcBorders>
            <w:shd w:val="clear" w:color="auto" w:fill="auto"/>
            <w:hideMark/>
          </w:tcPr>
          <w:p w:rsidR="009E5C52" w:rsidRPr="007D22C9" w:rsidRDefault="009E5C52" w:rsidP="00EC082D">
            <w:pPr>
              <w:autoSpaceDE/>
              <w:autoSpaceDN/>
              <w:adjustRightInd/>
              <w:jc w:val="both"/>
              <w:rPr>
                <w:bCs/>
                <w:color w:val="000000"/>
                <w:sz w:val="20"/>
                <w:szCs w:val="20"/>
              </w:rPr>
            </w:pPr>
            <w:r w:rsidRPr="007D22C9">
              <w:rPr>
                <w:bCs/>
                <w:color w:val="000000"/>
                <w:sz w:val="20"/>
                <w:szCs w:val="20"/>
              </w:rPr>
              <w:t>Итого</w:t>
            </w:r>
          </w:p>
        </w:tc>
        <w:tc>
          <w:tcPr>
            <w:tcW w:w="1559" w:type="dxa"/>
            <w:tcBorders>
              <w:top w:val="nil"/>
              <w:left w:val="nil"/>
              <w:bottom w:val="single" w:sz="4" w:space="0" w:color="auto"/>
              <w:right w:val="single" w:sz="4" w:space="0" w:color="auto"/>
            </w:tcBorders>
            <w:shd w:val="clear" w:color="auto" w:fill="auto"/>
            <w:hideMark/>
          </w:tcPr>
          <w:p w:rsidR="009E5C52" w:rsidRPr="007D22C9" w:rsidRDefault="009E5C52" w:rsidP="00EC082D">
            <w:pPr>
              <w:autoSpaceDE/>
              <w:autoSpaceDN/>
              <w:adjustRightInd/>
              <w:jc w:val="center"/>
              <w:rPr>
                <w:color w:val="000000"/>
                <w:sz w:val="20"/>
                <w:szCs w:val="20"/>
              </w:rPr>
            </w:pPr>
            <w:r w:rsidRPr="007D22C9">
              <w:rPr>
                <w:color w:val="000000"/>
                <w:sz w:val="20"/>
                <w:szCs w:val="20"/>
              </w:rPr>
              <w:t>х</w:t>
            </w:r>
          </w:p>
        </w:tc>
        <w:tc>
          <w:tcPr>
            <w:tcW w:w="992" w:type="dxa"/>
            <w:tcBorders>
              <w:top w:val="nil"/>
              <w:left w:val="nil"/>
              <w:bottom w:val="single" w:sz="4" w:space="0" w:color="auto"/>
              <w:right w:val="single" w:sz="4" w:space="0" w:color="auto"/>
            </w:tcBorders>
            <w:shd w:val="clear" w:color="auto" w:fill="auto"/>
            <w:hideMark/>
          </w:tcPr>
          <w:p w:rsidR="009E5C52" w:rsidRPr="007D22C9" w:rsidRDefault="009E5C52" w:rsidP="00EC082D">
            <w:pPr>
              <w:autoSpaceDE/>
              <w:autoSpaceDN/>
              <w:adjustRightInd/>
              <w:jc w:val="center"/>
              <w:rPr>
                <w:color w:val="000000"/>
                <w:sz w:val="20"/>
                <w:szCs w:val="20"/>
              </w:rPr>
            </w:pPr>
            <w:r w:rsidRPr="007D22C9">
              <w:rPr>
                <w:color w:val="000000"/>
                <w:sz w:val="20"/>
                <w:szCs w:val="20"/>
              </w:rPr>
              <w:t>х</w:t>
            </w:r>
          </w:p>
        </w:tc>
        <w:tc>
          <w:tcPr>
            <w:tcW w:w="851" w:type="dxa"/>
            <w:tcBorders>
              <w:top w:val="nil"/>
              <w:left w:val="nil"/>
              <w:bottom w:val="single" w:sz="4" w:space="0" w:color="auto"/>
              <w:right w:val="single" w:sz="4" w:space="0" w:color="auto"/>
            </w:tcBorders>
            <w:shd w:val="clear" w:color="auto" w:fill="auto"/>
            <w:hideMark/>
          </w:tcPr>
          <w:p w:rsidR="009E5C52" w:rsidRPr="007D22C9" w:rsidRDefault="009E5C52" w:rsidP="00EC082D">
            <w:pPr>
              <w:autoSpaceDE/>
              <w:autoSpaceDN/>
              <w:adjustRightInd/>
              <w:jc w:val="center"/>
              <w:rPr>
                <w:color w:val="000000"/>
                <w:sz w:val="20"/>
                <w:szCs w:val="20"/>
              </w:rPr>
            </w:pPr>
            <w:r w:rsidRPr="007D22C9">
              <w:rPr>
                <w:color w:val="000000"/>
                <w:sz w:val="20"/>
                <w:szCs w:val="20"/>
              </w:rPr>
              <w:t>х</w:t>
            </w:r>
          </w:p>
        </w:tc>
        <w:tc>
          <w:tcPr>
            <w:tcW w:w="1474" w:type="dxa"/>
            <w:tcBorders>
              <w:top w:val="nil"/>
              <w:left w:val="nil"/>
              <w:bottom w:val="single" w:sz="4" w:space="0" w:color="auto"/>
              <w:right w:val="single" w:sz="4" w:space="0" w:color="auto"/>
            </w:tcBorders>
            <w:shd w:val="clear" w:color="auto" w:fill="auto"/>
            <w:hideMark/>
          </w:tcPr>
          <w:p w:rsidR="009E5C52" w:rsidRPr="007D22C9" w:rsidRDefault="009E5C52" w:rsidP="00EC082D">
            <w:pPr>
              <w:autoSpaceDE/>
              <w:autoSpaceDN/>
              <w:adjustRightInd/>
              <w:jc w:val="center"/>
              <w:rPr>
                <w:color w:val="000000"/>
                <w:sz w:val="20"/>
                <w:szCs w:val="20"/>
              </w:rPr>
            </w:pPr>
            <w:r w:rsidRPr="007D22C9">
              <w:rPr>
                <w:color w:val="000000"/>
                <w:sz w:val="20"/>
                <w:szCs w:val="20"/>
              </w:rPr>
              <w:t>х</w:t>
            </w:r>
          </w:p>
        </w:tc>
        <w:tc>
          <w:tcPr>
            <w:tcW w:w="1134" w:type="dxa"/>
            <w:tcBorders>
              <w:top w:val="nil"/>
              <w:left w:val="nil"/>
              <w:bottom w:val="single" w:sz="4" w:space="0" w:color="auto"/>
              <w:right w:val="single" w:sz="4" w:space="0" w:color="auto"/>
            </w:tcBorders>
            <w:shd w:val="clear" w:color="auto" w:fill="auto"/>
            <w:hideMark/>
          </w:tcPr>
          <w:p w:rsidR="009E5C52" w:rsidRPr="007D22C9" w:rsidRDefault="00025C23" w:rsidP="00EC082D">
            <w:pPr>
              <w:autoSpaceDE/>
              <w:autoSpaceDN/>
              <w:adjustRightInd/>
              <w:jc w:val="center"/>
              <w:rPr>
                <w:color w:val="000000"/>
                <w:sz w:val="20"/>
                <w:szCs w:val="20"/>
              </w:rPr>
            </w:pPr>
            <w:r w:rsidRPr="007D22C9">
              <w:rPr>
                <w:color w:val="000000"/>
                <w:sz w:val="20"/>
                <w:szCs w:val="20"/>
              </w:rPr>
              <w:t>1 030 408</w:t>
            </w:r>
          </w:p>
        </w:tc>
        <w:tc>
          <w:tcPr>
            <w:tcW w:w="1134" w:type="dxa"/>
            <w:tcBorders>
              <w:top w:val="nil"/>
              <w:left w:val="nil"/>
              <w:bottom w:val="single" w:sz="4" w:space="0" w:color="auto"/>
              <w:right w:val="single" w:sz="4" w:space="0" w:color="auto"/>
            </w:tcBorders>
            <w:shd w:val="clear" w:color="auto" w:fill="auto"/>
            <w:hideMark/>
          </w:tcPr>
          <w:p w:rsidR="009E5C52" w:rsidRPr="007D22C9" w:rsidRDefault="00025C23" w:rsidP="00EC082D">
            <w:pPr>
              <w:autoSpaceDE/>
              <w:autoSpaceDN/>
              <w:adjustRightInd/>
              <w:jc w:val="center"/>
              <w:rPr>
                <w:color w:val="000000"/>
                <w:sz w:val="20"/>
                <w:szCs w:val="20"/>
              </w:rPr>
            </w:pPr>
            <w:r w:rsidRPr="007D22C9">
              <w:rPr>
                <w:color w:val="000000"/>
                <w:sz w:val="20"/>
                <w:szCs w:val="20"/>
              </w:rPr>
              <w:t>41</w:t>
            </w:r>
          </w:p>
        </w:tc>
        <w:tc>
          <w:tcPr>
            <w:tcW w:w="1276" w:type="dxa"/>
            <w:tcBorders>
              <w:top w:val="nil"/>
              <w:left w:val="nil"/>
              <w:bottom w:val="single" w:sz="4" w:space="0" w:color="auto"/>
              <w:right w:val="single" w:sz="4" w:space="0" w:color="auto"/>
            </w:tcBorders>
            <w:shd w:val="clear" w:color="auto" w:fill="auto"/>
            <w:hideMark/>
          </w:tcPr>
          <w:p w:rsidR="009E5C52" w:rsidRPr="007D22C9" w:rsidRDefault="00025C23" w:rsidP="00EC082D">
            <w:pPr>
              <w:autoSpaceDE/>
              <w:autoSpaceDN/>
              <w:adjustRightInd/>
              <w:jc w:val="center"/>
              <w:rPr>
                <w:color w:val="000000"/>
                <w:sz w:val="20"/>
                <w:szCs w:val="20"/>
              </w:rPr>
            </w:pPr>
            <w:r w:rsidRPr="007D22C9">
              <w:rPr>
                <w:color w:val="000000"/>
                <w:sz w:val="20"/>
                <w:szCs w:val="20"/>
              </w:rPr>
              <w:t>42</w:t>
            </w:r>
          </w:p>
        </w:tc>
        <w:tc>
          <w:tcPr>
            <w:tcW w:w="1247" w:type="dxa"/>
            <w:tcBorders>
              <w:top w:val="nil"/>
              <w:left w:val="nil"/>
              <w:bottom w:val="single" w:sz="4" w:space="0" w:color="auto"/>
              <w:right w:val="single" w:sz="4" w:space="0" w:color="auto"/>
            </w:tcBorders>
            <w:shd w:val="clear" w:color="auto" w:fill="auto"/>
            <w:hideMark/>
          </w:tcPr>
          <w:p w:rsidR="009E5C52" w:rsidRPr="007D22C9" w:rsidRDefault="00025C23" w:rsidP="00EC082D">
            <w:pPr>
              <w:autoSpaceDE/>
              <w:autoSpaceDN/>
              <w:adjustRightInd/>
              <w:jc w:val="center"/>
              <w:rPr>
                <w:color w:val="000000"/>
                <w:sz w:val="20"/>
                <w:szCs w:val="20"/>
              </w:rPr>
            </w:pPr>
            <w:r w:rsidRPr="007D22C9">
              <w:rPr>
                <w:color w:val="000000"/>
                <w:sz w:val="20"/>
                <w:szCs w:val="20"/>
              </w:rPr>
              <w:t>39</w:t>
            </w:r>
          </w:p>
        </w:tc>
        <w:tc>
          <w:tcPr>
            <w:tcW w:w="1077" w:type="dxa"/>
            <w:tcBorders>
              <w:top w:val="nil"/>
              <w:left w:val="nil"/>
              <w:bottom w:val="single" w:sz="4" w:space="0" w:color="auto"/>
              <w:right w:val="single" w:sz="4" w:space="0" w:color="auto"/>
            </w:tcBorders>
            <w:shd w:val="clear" w:color="auto" w:fill="auto"/>
          </w:tcPr>
          <w:p w:rsidR="009E5C52" w:rsidRPr="007D22C9" w:rsidRDefault="00025C23" w:rsidP="00EC082D">
            <w:pPr>
              <w:autoSpaceDE/>
              <w:autoSpaceDN/>
              <w:adjustRightInd/>
              <w:jc w:val="center"/>
              <w:rPr>
                <w:color w:val="000000"/>
                <w:sz w:val="20"/>
                <w:szCs w:val="20"/>
              </w:rPr>
            </w:pPr>
            <w:r w:rsidRPr="007D22C9">
              <w:rPr>
                <w:color w:val="000000"/>
                <w:sz w:val="20"/>
                <w:szCs w:val="20"/>
              </w:rPr>
              <w:t>29</w:t>
            </w:r>
          </w:p>
        </w:tc>
        <w:tc>
          <w:tcPr>
            <w:tcW w:w="1275" w:type="dxa"/>
            <w:tcBorders>
              <w:top w:val="nil"/>
              <w:left w:val="nil"/>
              <w:bottom w:val="single" w:sz="4" w:space="0" w:color="auto"/>
              <w:right w:val="single" w:sz="4" w:space="0" w:color="auto"/>
            </w:tcBorders>
            <w:shd w:val="clear" w:color="auto" w:fill="auto"/>
          </w:tcPr>
          <w:p w:rsidR="009E5C52" w:rsidRPr="007D22C9" w:rsidRDefault="00025C23" w:rsidP="00EC082D">
            <w:pPr>
              <w:autoSpaceDE/>
              <w:autoSpaceDN/>
              <w:adjustRightInd/>
              <w:jc w:val="center"/>
              <w:rPr>
                <w:color w:val="000000"/>
                <w:sz w:val="20"/>
                <w:szCs w:val="20"/>
              </w:rPr>
            </w:pPr>
            <w:r w:rsidRPr="007D22C9">
              <w:rPr>
                <w:color w:val="000000"/>
                <w:sz w:val="20"/>
                <w:szCs w:val="20"/>
              </w:rPr>
              <w:t>10</w:t>
            </w:r>
          </w:p>
        </w:tc>
      </w:tr>
    </w:tbl>
    <w:p w:rsidR="005E7D23" w:rsidRPr="007D22C9" w:rsidRDefault="005E7D23" w:rsidP="000B1BA9">
      <w:pPr>
        <w:pStyle w:val="af9"/>
        <w:ind w:left="0" w:firstLine="709"/>
        <w:contextualSpacing w:val="0"/>
        <w:rPr>
          <w:sz w:val="28"/>
          <w:szCs w:val="28"/>
          <w:lang w:val="ru-RU"/>
        </w:rPr>
        <w:sectPr w:rsidR="005E7D23" w:rsidRPr="007D22C9" w:rsidSect="00EC082D">
          <w:footnotePr>
            <w:numFmt w:val="chicago"/>
          </w:footnotePr>
          <w:pgSz w:w="15840" w:h="12240" w:orient="landscape"/>
          <w:pgMar w:top="1134" w:right="567" w:bottom="1134" w:left="1134" w:header="720" w:footer="720" w:gutter="0"/>
          <w:cols w:space="720"/>
          <w:docGrid w:linePitch="326"/>
        </w:sectPr>
      </w:pPr>
      <w:r w:rsidRPr="007D22C9">
        <w:rPr>
          <w:sz w:val="28"/>
          <w:szCs w:val="28"/>
          <w:lang w:val="ru-RU"/>
        </w:rPr>
        <w:fldChar w:fldCharType="end"/>
      </w:r>
      <w:r w:rsidRPr="007D22C9">
        <w:rPr>
          <w:sz w:val="28"/>
          <w:szCs w:val="28"/>
          <w:lang w:val="ru-RU"/>
        </w:rPr>
        <w:t xml:space="preserve"> </w:t>
      </w:r>
    </w:p>
    <w:p w:rsidR="005E7D23" w:rsidRPr="007D22C9" w:rsidRDefault="005E7D23" w:rsidP="007408BA">
      <w:pPr>
        <w:ind w:firstLine="709"/>
        <w:jc w:val="both"/>
        <w:rPr>
          <w:rFonts w:eastAsia="Arial"/>
          <w:sz w:val="28"/>
          <w:szCs w:val="28"/>
        </w:rPr>
      </w:pPr>
      <w:r w:rsidRPr="007D22C9">
        <w:rPr>
          <w:rFonts w:eastAsia="Arial"/>
          <w:sz w:val="28"/>
          <w:szCs w:val="28"/>
        </w:rPr>
        <w:t xml:space="preserve">Количество занятых </w:t>
      </w:r>
      <w:r w:rsidR="002F2C9E" w:rsidRPr="007D22C9">
        <w:rPr>
          <w:rFonts w:eastAsia="Arial"/>
          <w:sz w:val="28"/>
          <w:szCs w:val="28"/>
        </w:rPr>
        <w:t xml:space="preserve">штатных </w:t>
      </w:r>
      <w:r w:rsidRPr="007D22C9">
        <w:rPr>
          <w:rFonts w:eastAsia="Arial"/>
          <w:sz w:val="28"/>
          <w:szCs w:val="28"/>
        </w:rPr>
        <w:t>должностей врачей</w:t>
      </w:r>
      <w:r w:rsidR="009A3B1C" w:rsidRPr="007D22C9">
        <w:rPr>
          <w:rFonts w:eastAsia="Arial"/>
          <w:sz w:val="28"/>
          <w:szCs w:val="28"/>
        </w:rPr>
        <w:t>-</w:t>
      </w:r>
      <w:r w:rsidRPr="007D22C9">
        <w:rPr>
          <w:rFonts w:eastAsia="Arial"/>
          <w:sz w:val="28"/>
          <w:szCs w:val="28"/>
        </w:rPr>
        <w:t xml:space="preserve">онкологов в девяти </w:t>
      </w:r>
      <w:r w:rsidR="005534FF">
        <w:rPr>
          <w:sz w:val="28"/>
          <w:szCs w:val="28"/>
        </w:rPr>
        <w:t>центрах амбулаторной онкологической помощи</w:t>
      </w:r>
      <w:r w:rsidR="005534FF" w:rsidRPr="007D22C9">
        <w:rPr>
          <w:rFonts w:eastAsia="Arial"/>
          <w:sz w:val="28"/>
          <w:szCs w:val="28"/>
        </w:rPr>
        <w:t xml:space="preserve"> </w:t>
      </w:r>
      <w:r w:rsidR="002F2C9E" w:rsidRPr="007D22C9">
        <w:rPr>
          <w:rFonts w:eastAsia="Arial"/>
          <w:sz w:val="28"/>
          <w:szCs w:val="28"/>
        </w:rPr>
        <w:t xml:space="preserve">на </w:t>
      </w:r>
      <w:r w:rsidR="009073BB" w:rsidRPr="007D22C9">
        <w:rPr>
          <w:rFonts w:eastAsia="Arial"/>
          <w:sz w:val="28"/>
          <w:szCs w:val="28"/>
        </w:rPr>
        <w:t xml:space="preserve">2,4 процента првевышает </w:t>
      </w:r>
      <w:r w:rsidR="002F2C9E" w:rsidRPr="007D22C9">
        <w:rPr>
          <w:rFonts w:eastAsia="Arial"/>
          <w:sz w:val="28"/>
          <w:szCs w:val="28"/>
        </w:rPr>
        <w:t>количеств</w:t>
      </w:r>
      <w:r w:rsidR="009073BB" w:rsidRPr="007D22C9">
        <w:rPr>
          <w:rFonts w:eastAsia="Arial"/>
          <w:sz w:val="28"/>
          <w:szCs w:val="28"/>
        </w:rPr>
        <w:t>о</w:t>
      </w:r>
      <w:r w:rsidR="002F2C9E" w:rsidRPr="007D22C9">
        <w:rPr>
          <w:rFonts w:eastAsia="Arial"/>
          <w:sz w:val="28"/>
          <w:szCs w:val="28"/>
        </w:rPr>
        <w:t xml:space="preserve"> рекомендован</w:t>
      </w:r>
      <w:r w:rsidR="00CC5747" w:rsidRPr="007D22C9">
        <w:rPr>
          <w:rFonts w:eastAsia="Arial"/>
          <w:sz w:val="28"/>
          <w:szCs w:val="28"/>
        </w:rPr>
        <w:t>н</w:t>
      </w:r>
      <w:r w:rsidR="002F2C9E" w:rsidRPr="007D22C9">
        <w:rPr>
          <w:rFonts w:eastAsia="Arial"/>
          <w:sz w:val="28"/>
          <w:szCs w:val="28"/>
        </w:rPr>
        <w:t xml:space="preserve">ых. </w:t>
      </w:r>
      <w:r w:rsidR="009073BB" w:rsidRPr="007D22C9">
        <w:rPr>
          <w:rFonts w:eastAsia="Arial"/>
          <w:sz w:val="28"/>
          <w:szCs w:val="28"/>
        </w:rPr>
        <w:t>Д</w:t>
      </w:r>
      <w:r w:rsidR="002F2C9E" w:rsidRPr="007D22C9">
        <w:rPr>
          <w:rFonts w:eastAsia="Arial"/>
          <w:sz w:val="28"/>
          <w:szCs w:val="28"/>
        </w:rPr>
        <w:t>ефицит физических</w:t>
      </w:r>
      <w:r w:rsidR="009073BB" w:rsidRPr="007D22C9">
        <w:rPr>
          <w:rFonts w:eastAsia="Arial"/>
          <w:sz w:val="28"/>
          <w:szCs w:val="28"/>
        </w:rPr>
        <w:t xml:space="preserve"> л</w:t>
      </w:r>
      <w:r w:rsidR="002F2C9E" w:rsidRPr="007D22C9">
        <w:rPr>
          <w:rFonts w:eastAsia="Arial"/>
          <w:sz w:val="28"/>
          <w:szCs w:val="28"/>
        </w:rPr>
        <w:t xml:space="preserve">иц </w:t>
      </w:r>
      <w:r w:rsidR="009073BB" w:rsidRPr="007D22C9">
        <w:rPr>
          <w:rFonts w:eastAsia="Arial"/>
          <w:sz w:val="28"/>
          <w:szCs w:val="28"/>
        </w:rPr>
        <w:t>врачей</w:t>
      </w:r>
      <w:r w:rsidR="00BA2BB4" w:rsidRPr="007D22C9">
        <w:rPr>
          <w:rFonts w:eastAsia="Arial"/>
          <w:sz w:val="28"/>
          <w:szCs w:val="28"/>
        </w:rPr>
        <w:t xml:space="preserve"> </w:t>
      </w:r>
      <w:r w:rsidR="009073BB" w:rsidRPr="007D22C9">
        <w:rPr>
          <w:rFonts w:eastAsia="Arial"/>
          <w:sz w:val="28"/>
          <w:szCs w:val="28"/>
        </w:rPr>
        <w:t xml:space="preserve">онкологов </w:t>
      </w:r>
      <w:r w:rsidR="002F2C9E" w:rsidRPr="007D22C9">
        <w:rPr>
          <w:rFonts w:eastAsia="Arial"/>
          <w:sz w:val="28"/>
          <w:szCs w:val="28"/>
        </w:rPr>
        <w:t xml:space="preserve">составляет </w:t>
      </w:r>
      <w:r w:rsidR="009073BB" w:rsidRPr="007D22C9">
        <w:rPr>
          <w:rFonts w:eastAsia="Arial"/>
          <w:sz w:val="28"/>
          <w:szCs w:val="28"/>
        </w:rPr>
        <w:t>10</w:t>
      </w:r>
      <w:r w:rsidR="002F2C9E" w:rsidRPr="007D22C9">
        <w:rPr>
          <w:rFonts w:eastAsia="Arial"/>
          <w:sz w:val="28"/>
          <w:szCs w:val="28"/>
        </w:rPr>
        <w:t xml:space="preserve"> специалистов. Это указывает на необходимость дальнейшей деяте</w:t>
      </w:r>
      <w:r w:rsidR="00FB1039" w:rsidRPr="007D22C9">
        <w:rPr>
          <w:rFonts w:eastAsia="Arial"/>
          <w:sz w:val="28"/>
          <w:szCs w:val="28"/>
        </w:rPr>
        <w:t>л</w:t>
      </w:r>
      <w:r w:rsidR="002F2C9E" w:rsidRPr="007D22C9">
        <w:rPr>
          <w:rFonts w:eastAsia="Arial"/>
          <w:sz w:val="28"/>
          <w:szCs w:val="28"/>
        </w:rPr>
        <w:t>ьности в целях привлечения и подготовки кадров</w:t>
      </w:r>
      <w:r w:rsidR="00866F82" w:rsidRPr="007D22C9">
        <w:rPr>
          <w:rFonts w:eastAsia="Arial"/>
          <w:sz w:val="28"/>
          <w:szCs w:val="28"/>
        </w:rPr>
        <w:t xml:space="preserve"> (таблица 16.1)</w:t>
      </w:r>
      <w:r w:rsidR="002F2C9E" w:rsidRPr="007D22C9">
        <w:rPr>
          <w:rFonts w:eastAsia="Arial"/>
          <w:sz w:val="28"/>
          <w:szCs w:val="28"/>
        </w:rPr>
        <w:t xml:space="preserve">. </w:t>
      </w:r>
    </w:p>
    <w:p w:rsidR="002F2C9E" w:rsidRPr="007D22C9" w:rsidRDefault="002F2C9E" w:rsidP="007408BA">
      <w:pPr>
        <w:ind w:firstLine="709"/>
        <w:jc w:val="both"/>
        <w:rPr>
          <w:rFonts w:eastAsia="Arial"/>
          <w:sz w:val="28"/>
          <w:szCs w:val="28"/>
        </w:rPr>
      </w:pPr>
    </w:p>
    <w:p w:rsidR="00254D71" w:rsidRPr="007D22C9" w:rsidRDefault="00254D71" w:rsidP="00BD3B9A">
      <w:pPr>
        <w:ind w:left="8508"/>
        <w:jc w:val="right"/>
        <w:rPr>
          <w:rFonts w:eastAsia="Arial"/>
          <w:sz w:val="28"/>
          <w:szCs w:val="28"/>
        </w:rPr>
      </w:pPr>
      <w:r w:rsidRPr="007D22C9">
        <w:rPr>
          <w:rFonts w:eastAsia="Arial"/>
          <w:sz w:val="28"/>
          <w:szCs w:val="28"/>
        </w:rPr>
        <w:t xml:space="preserve">Таблица </w:t>
      </w:r>
      <w:r w:rsidR="0030667F" w:rsidRPr="007D22C9">
        <w:rPr>
          <w:rFonts w:eastAsia="Arial"/>
          <w:sz w:val="28"/>
          <w:szCs w:val="28"/>
        </w:rPr>
        <w:t>16.</w:t>
      </w:r>
      <w:r w:rsidRPr="007D22C9">
        <w:rPr>
          <w:rFonts w:eastAsia="Arial"/>
          <w:sz w:val="28"/>
          <w:szCs w:val="28"/>
        </w:rPr>
        <w:t>2</w:t>
      </w:r>
    </w:p>
    <w:p w:rsidR="009E5C52" w:rsidRPr="007D22C9" w:rsidRDefault="00B239A0" w:rsidP="00EE00D7">
      <w:pPr>
        <w:ind w:firstLine="709"/>
        <w:jc w:val="center"/>
        <w:rPr>
          <w:bCs/>
          <w:color w:val="000000"/>
          <w:sz w:val="28"/>
          <w:szCs w:val="28"/>
        </w:rPr>
      </w:pPr>
      <w:r w:rsidRPr="007D22C9">
        <w:rPr>
          <w:bCs/>
          <w:color w:val="000000"/>
          <w:sz w:val="28"/>
          <w:szCs w:val="28"/>
        </w:rPr>
        <w:t>Кадровое обеспечение врачами</w:t>
      </w:r>
      <w:r w:rsidR="009A3B1C" w:rsidRPr="007D22C9">
        <w:rPr>
          <w:bCs/>
          <w:color w:val="000000"/>
          <w:sz w:val="28"/>
          <w:szCs w:val="28"/>
        </w:rPr>
        <w:t>-</w:t>
      </w:r>
      <w:r w:rsidRPr="007D22C9">
        <w:rPr>
          <w:bCs/>
          <w:color w:val="000000"/>
          <w:sz w:val="28"/>
          <w:szCs w:val="28"/>
        </w:rPr>
        <w:t>онкологами</w:t>
      </w:r>
    </w:p>
    <w:p w:rsidR="000B335A" w:rsidRPr="007D22C9" w:rsidRDefault="00B239A0" w:rsidP="00EE00D7">
      <w:pPr>
        <w:ind w:firstLine="709"/>
        <w:jc w:val="center"/>
        <w:rPr>
          <w:rFonts w:eastAsia="Arial"/>
          <w:sz w:val="28"/>
          <w:szCs w:val="28"/>
        </w:rPr>
      </w:pPr>
      <w:r w:rsidRPr="007D22C9">
        <w:rPr>
          <w:bCs/>
          <w:color w:val="000000"/>
          <w:sz w:val="28"/>
          <w:szCs w:val="28"/>
        </w:rPr>
        <w:t>первичных онкологических кабинетов</w:t>
      </w:r>
    </w:p>
    <w:p w:rsidR="006C3C62" w:rsidRPr="007D22C9" w:rsidRDefault="006C3C62" w:rsidP="000F4CA9">
      <w:pPr>
        <w:ind w:firstLine="709"/>
        <w:rPr>
          <w:rFonts w:eastAsiaTheme="minorHAnsi"/>
          <w:sz w:val="28"/>
          <w:szCs w:val="28"/>
          <w:lang w:eastAsia="en-US"/>
        </w:rPr>
      </w:pPr>
      <w:r w:rsidRPr="007D22C9">
        <w:rPr>
          <w:rFonts w:eastAsia="Arial"/>
          <w:sz w:val="20"/>
          <w:szCs w:val="20"/>
        </w:rPr>
        <w:fldChar w:fldCharType="begin"/>
      </w:r>
      <w:r w:rsidRPr="007D22C9">
        <w:rPr>
          <w:rFonts w:eastAsia="Arial"/>
          <w:sz w:val="20"/>
          <w:szCs w:val="20"/>
        </w:rPr>
        <w:instrText xml:space="preserve"> LINK </w:instrText>
      </w:r>
      <w:r w:rsidR="004A6AE5" w:rsidRPr="007D22C9">
        <w:rPr>
          <w:rFonts w:eastAsia="Arial"/>
          <w:sz w:val="20"/>
          <w:szCs w:val="20"/>
        </w:rPr>
        <w:instrText xml:space="preserve">Excel.Sheet.12 "C:\\Users\\shakam\\Documents\\2026\\!!!Актуализация РП БОЗ РТ\\Documents\\2025\\!!!БОЗ актуализация 2025-2030\\_Шакиров\\В АСММС\\_ГВС\\Онколог\\ПОК Кадры.xlsx" Лист1!R1C1:R66C10 </w:instrText>
      </w:r>
      <w:r w:rsidRPr="007D22C9">
        <w:rPr>
          <w:rFonts w:eastAsia="Arial"/>
          <w:sz w:val="20"/>
          <w:szCs w:val="20"/>
        </w:rPr>
        <w:instrText xml:space="preserve">\a \f 4 \h  \* MERGEFORMAT </w:instrText>
      </w:r>
      <w:r w:rsidRPr="007D22C9">
        <w:rPr>
          <w:rFonts w:eastAsia="Arial"/>
          <w:sz w:val="20"/>
          <w:szCs w:val="20"/>
        </w:rPr>
        <w:fldChar w:fldCharType="separate"/>
      </w:r>
    </w:p>
    <w:tbl>
      <w:tblPr>
        <w:tblW w:w="10570" w:type="dxa"/>
        <w:tblLayout w:type="fixed"/>
        <w:tblLook w:val="04A0" w:firstRow="1" w:lastRow="0" w:firstColumn="1" w:lastColumn="0" w:noHBand="0" w:noVBand="1"/>
      </w:tblPr>
      <w:tblGrid>
        <w:gridCol w:w="533"/>
        <w:gridCol w:w="1730"/>
        <w:gridCol w:w="1418"/>
        <w:gridCol w:w="1418"/>
        <w:gridCol w:w="851"/>
        <w:gridCol w:w="850"/>
        <w:gridCol w:w="1077"/>
        <w:gridCol w:w="992"/>
        <w:gridCol w:w="708"/>
        <w:gridCol w:w="993"/>
      </w:tblGrid>
      <w:tr w:rsidR="006C3C62" w:rsidRPr="007D22C9" w:rsidTr="003B1A7B">
        <w:trPr>
          <w:trHeight w:val="20"/>
        </w:trPr>
        <w:tc>
          <w:tcPr>
            <w:tcW w:w="533" w:type="dxa"/>
            <w:vMerge w:val="restart"/>
            <w:tcBorders>
              <w:top w:val="single" w:sz="4" w:space="0" w:color="auto"/>
              <w:left w:val="single" w:sz="4" w:space="0" w:color="auto"/>
              <w:right w:val="single" w:sz="4" w:space="0" w:color="auto"/>
            </w:tcBorders>
            <w:shd w:val="clear" w:color="auto" w:fill="auto"/>
            <w:hideMark/>
          </w:tcPr>
          <w:p w:rsidR="006C3C62" w:rsidRPr="007D22C9" w:rsidRDefault="006C3C62" w:rsidP="00BD3B9A">
            <w:pPr>
              <w:jc w:val="center"/>
              <w:rPr>
                <w:sz w:val="20"/>
                <w:szCs w:val="20"/>
              </w:rPr>
            </w:pPr>
            <w:r w:rsidRPr="007D22C9">
              <w:rPr>
                <w:sz w:val="20"/>
                <w:szCs w:val="20"/>
              </w:rPr>
              <w:t>№</w:t>
            </w:r>
          </w:p>
          <w:p w:rsidR="00246C84" w:rsidRPr="007D22C9" w:rsidRDefault="00246C84" w:rsidP="00BD3B9A">
            <w:pPr>
              <w:jc w:val="center"/>
              <w:rPr>
                <w:sz w:val="20"/>
                <w:szCs w:val="20"/>
              </w:rPr>
            </w:pPr>
            <w:r w:rsidRPr="007D22C9">
              <w:rPr>
                <w:sz w:val="20"/>
                <w:szCs w:val="20"/>
              </w:rPr>
              <w:t>п/п</w:t>
            </w:r>
          </w:p>
        </w:tc>
        <w:tc>
          <w:tcPr>
            <w:tcW w:w="1730" w:type="dxa"/>
            <w:vMerge w:val="restart"/>
            <w:tcBorders>
              <w:top w:val="single" w:sz="4" w:space="0" w:color="auto"/>
              <w:left w:val="single" w:sz="4" w:space="0" w:color="auto"/>
              <w:right w:val="single" w:sz="4" w:space="0" w:color="auto"/>
            </w:tcBorders>
            <w:shd w:val="clear" w:color="auto" w:fill="auto"/>
            <w:hideMark/>
          </w:tcPr>
          <w:p w:rsidR="00C572EE" w:rsidRPr="007D22C9" w:rsidRDefault="006C3C62" w:rsidP="00BD3B9A">
            <w:pPr>
              <w:jc w:val="center"/>
              <w:rPr>
                <w:sz w:val="20"/>
                <w:szCs w:val="20"/>
              </w:rPr>
            </w:pPr>
            <w:r w:rsidRPr="007D22C9">
              <w:rPr>
                <w:sz w:val="20"/>
                <w:szCs w:val="20"/>
              </w:rPr>
              <w:t>Наименование медицинской</w:t>
            </w:r>
          </w:p>
          <w:p w:rsidR="006C3C62" w:rsidRPr="007D22C9" w:rsidRDefault="006C3C62" w:rsidP="00BD3B9A">
            <w:pPr>
              <w:jc w:val="center"/>
              <w:rPr>
                <w:sz w:val="20"/>
                <w:szCs w:val="20"/>
              </w:rPr>
            </w:pPr>
            <w:r w:rsidRPr="007D22C9">
              <w:rPr>
                <w:sz w:val="20"/>
                <w:szCs w:val="20"/>
              </w:rPr>
              <w:t>организации</w:t>
            </w:r>
          </w:p>
        </w:tc>
        <w:tc>
          <w:tcPr>
            <w:tcW w:w="1418" w:type="dxa"/>
            <w:vMerge w:val="restart"/>
            <w:tcBorders>
              <w:top w:val="single" w:sz="4" w:space="0" w:color="auto"/>
              <w:left w:val="single" w:sz="4" w:space="0" w:color="auto"/>
              <w:right w:val="single" w:sz="4" w:space="0" w:color="auto"/>
            </w:tcBorders>
            <w:shd w:val="clear" w:color="auto" w:fill="auto"/>
            <w:hideMark/>
          </w:tcPr>
          <w:p w:rsidR="006C3C62" w:rsidRPr="007D22C9" w:rsidRDefault="006C3C62" w:rsidP="00BD3B9A">
            <w:pPr>
              <w:jc w:val="center"/>
              <w:rPr>
                <w:sz w:val="20"/>
                <w:szCs w:val="20"/>
              </w:rPr>
            </w:pPr>
            <w:r w:rsidRPr="007D22C9">
              <w:rPr>
                <w:sz w:val="20"/>
                <w:szCs w:val="20"/>
              </w:rPr>
              <w:t>Фактический адрес</w:t>
            </w:r>
          </w:p>
        </w:tc>
        <w:tc>
          <w:tcPr>
            <w:tcW w:w="1418" w:type="dxa"/>
            <w:vMerge w:val="restart"/>
            <w:tcBorders>
              <w:top w:val="single" w:sz="4" w:space="0" w:color="auto"/>
              <w:left w:val="single" w:sz="4" w:space="0" w:color="auto"/>
              <w:right w:val="single" w:sz="4" w:space="0" w:color="auto"/>
            </w:tcBorders>
            <w:shd w:val="clear" w:color="auto" w:fill="auto"/>
            <w:hideMark/>
          </w:tcPr>
          <w:p w:rsidR="006C3C62" w:rsidRPr="007D22C9" w:rsidRDefault="006C3C62" w:rsidP="004F2EAD">
            <w:pPr>
              <w:jc w:val="center"/>
              <w:rPr>
                <w:sz w:val="20"/>
                <w:szCs w:val="20"/>
              </w:rPr>
            </w:pPr>
            <w:r w:rsidRPr="007D22C9">
              <w:rPr>
                <w:sz w:val="20"/>
                <w:szCs w:val="20"/>
              </w:rPr>
              <w:t xml:space="preserve">Обслуживаемые </w:t>
            </w:r>
            <w:r w:rsidR="004F2EAD">
              <w:rPr>
                <w:sz w:val="20"/>
                <w:szCs w:val="20"/>
              </w:rPr>
              <w:t>муниципальные районы, городские округа</w:t>
            </w:r>
          </w:p>
        </w:tc>
        <w:tc>
          <w:tcPr>
            <w:tcW w:w="851" w:type="dxa"/>
            <w:vMerge w:val="restart"/>
            <w:tcBorders>
              <w:top w:val="single" w:sz="4" w:space="0" w:color="auto"/>
              <w:left w:val="single" w:sz="4" w:space="0" w:color="auto"/>
              <w:right w:val="single" w:sz="4" w:space="0" w:color="auto"/>
            </w:tcBorders>
            <w:shd w:val="clear" w:color="auto" w:fill="auto"/>
            <w:hideMark/>
          </w:tcPr>
          <w:p w:rsidR="006C3C62" w:rsidRPr="007D22C9" w:rsidRDefault="00BC3EDC" w:rsidP="00BD3B9A">
            <w:pPr>
              <w:jc w:val="center"/>
              <w:rPr>
                <w:sz w:val="20"/>
                <w:szCs w:val="20"/>
              </w:rPr>
            </w:pPr>
            <w:r w:rsidRPr="007D22C9">
              <w:rPr>
                <w:sz w:val="20"/>
                <w:szCs w:val="20"/>
              </w:rPr>
              <w:t>Количест</w:t>
            </w:r>
            <w:r w:rsidR="006C3C62" w:rsidRPr="007D22C9">
              <w:rPr>
                <w:sz w:val="20"/>
                <w:szCs w:val="20"/>
              </w:rPr>
              <w:t>во обслуживаемого населения</w:t>
            </w:r>
          </w:p>
        </w:tc>
        <w:tc>
          <w:tcPr>
            <w:tcW w:w="850" w:type="dxa"/>
            <w:vMerge w:val="restart"/>
            <w:tcBorders>
              <w:top w:val="single" w:sz="4" w:space="0" w:color="auto"/>
              <w:left w:val="single" w:sz="4" w:space="0" w:color="auto"/>
              <w:right w:val="single" w:sz="4" w:space="0" w:color="auto"/>
            </w:tcBorders>
            <w:shd w:val="clear" w:color="auto" w:fill="auto"/>
            <w:hideMark/>
          </w:tcPr>
          <w:p w:rsidR="006C3C62" w:rsidRPr="007D22C9" w:rsidRDefault="00BC3EDC" w:rsidP="00BD3B9A">
            <w:pPr>
              <w:jc w:val="center"/>
              <w:rPr>
                <w:sz w:val="20"/>
                <w:szCs w:val="20"/>
              </w:rPr>
            </w:pPr>
            <w:r w:rsidRPr="007D22C9">
              <w:rPr>
                <w:sz w:val="20"/>
                <w:szCs w:val="20"/>
              </w:rPr>
              <w:t>Количест</w:t>
            </w:r>
            <w:r w:rsidR="006C3C62" w:rsidRPr="007D22C9">
              <w:rPr>
                <w:sz w:val="20"/>
                <w:szCs w:val="20"/>
              </w:rPr>
              <w:t>во рекомендованных шт</w:t>
            </w:r>
            <w:r w:rsidRPr="007D22C9">
              <w:rPr>
                <w:sz w:val="20"/>
                <w:szCs w:val="20"/>
              </w:rPr>
              <w:t>атных</w:t>
            </w:r>
            <w:r w:rsidR="006C3C62" w:rsidRPr="007D22C9">
              <w:rPr>
                <w:sz w:val="20"/>
                <w:szCs w:val="20"/>
              </w:rPr>
              <w:t xml:space="preserve"> должностей</w:t>
            </w:r>
          </w:p>
        </w:tc>
        <w:tc>
          <w:tcPr>
            <w:tcW w:w="1077" w:type="dxa"/>
            <w:vMerge w:val="restart"/>
            <w:tcBorders>
              <w:top w:val="single" w:sz="4" w:space="0" w:color="auto"/>
              <w:left w:val="single" w:sz="4" w:space="0" w:color="auto"/>
              <w:right w:val="single" w:sz="4" w:space="0" w:color="auto"/>
            </w:tcBorders>
            <w:shd w:val="clear" w:color="auto" w:fill="auto"/>
            <w:hideMark/>
          </w:tcPr>
          <w:p w:rsidR="006C3C62" w:rsidRPr="007D22C9" w:rsidRDefault="006C3C62" w:rsidP="00BD3B9A">
            <w:pPr>
              <w:jc w:val="center"/>
              <w:rPr>
                <w:sz w:val="20"/>
                <w:szCs w:val="20"/>
              </w:rPr>
            </w:pPr>
            <w:r w:rsidRPr="007D22C9">
              <w:rPr>
                <w:sz w:val="20"/>
                <w:szCs w:val="20"/>
              </w:rPr>
              <w:t>Кол</w:t>
            </w:r>
            <w:r w:rsidR="00BC3EDC" w:rsidRPr="007D22C9">
              <w:rPr>
                <w:sz w:val="20"/>
                <w:szCs w:val="20"/>
              </w:rPr>
              <w:t>ичест</w:t>
            </w:r>
            <w:r w:rsidRPr="007D22C9">
              <w:rPr>
                <w:sz w:val="20"/>
                <w:szCs w:val="20"/>
              </w:rPr>
              <w:t>во фактических шт</w:t>
            </w:r>
            <w:r w:rsidR="00BC3EDC" w:rsidRPr="007D22C9">
              <w:rPr>
                <w:sz w:val="20"/>
                <w:szCs w:val="20"/>
              </w:rPr>
              <w:t>атных</w:t>
            </w:r>
            <w:r w:rsidRPr="007D22C9">
              <w:rPr>
                <w:sz w:val="20"/>
                <w:szCs w:val="20"/>
              </w:rPr>
              <w:t xml:space="preserve"> должностей</w:t>
            </w:r>
          </w:p>
        </w:tc>
        <w:tc>
          <w:tcPr>
            <w:tcW w:w="992" w:type="dxa"/>
            <w:vMerge w:val="restart"/>
            <w:tcBorders>
              <w:top w:val="single" w:sz="4" w:space="0" w:color="auto"/>
              <w:left w:val="single" w:sz="4" w:space="0" w:color="auto"/>
              <w:right w:val="single" w:sz="4" w:space="0" w:color="auto"/>
            </w:tcBorders>
            <w:shd w:val="clear" w:color="auto" w:fill="auto"/>
            <w:hideMark/>
          </w:tcPr>
          <w:p w:rsidR="006C3C62" w:rsidRPr="007D22C9" w:rsidRDefault="006C3C62" w:rsidP="009350FF">
            <w:pPr>
              <w:jc w:val="center"/>
              <w:rPr>
                <w:sz w:val="20"/>
                <w:szCs w:val="20"/>
              </w:rPr>
            </w:pPr>
            <w:r w:rsidRPr="007D22C9">
              <w:rPr>
                <w:sz w:val="20"/>
                <w:szCs w:val="20"/>
              </w:rPr>
              <w:t>Кол</w:t>
            </w:r>
            <w:r w:rsidR="00BC3EDC" w:rsidRPr="007D22C9">
              <w:rPr>
                <w:sz w:val="20"/>
                <w:szCs w:val="20"/>
              </w:rPr>
              <w:t>ичест</w:t>
            </w:r>
            <w:r w:rsidRPr="007D22C9">
              <w:rPr>
                <w:sz w:val="20"/>
                <w:szCs w:val="20"/>
              </w:rPr>
              <w:t>во занятых шт</w:t>
            </w:r>
            <w:r w:rsidR="00BC3EDC" w:rsidRPr="007D22C9">
              <w:rPr>
                <w:sz w:val="20"/>
                <w:szCs w:val="20"/>
              </w:rPr>
              <w:t>атных</w:t>
            </w:r>
            <w:r w:rsidRPr="007D22C9">
              <w:rPr>
                <w:sz w:val="20"/>
                <w:szCs w:val="20"/>
              </w:rPr>
              <w:t xml:space="preserve"> должностей</w:t>
            </w:r>
          </w:p>
        </w:tc>
        <w:tc>
          <w:tcPr>
            <w:tcW w:w="1701" w:type="dxa"/>
            <w:gridSpan w:val="2"/>
            <w:tcBorders>
              <w:top w:val="single" w:sz="4" w:space="0" w:color="auto"/>
              <w:left w:val="nil"/>
              <w:bottom w:val="single" w:sz="4" w:space="0" w:color="auto"/>
              <w:right w:val="single" w:sz="4" w:space="0" w:color="auto"/>
            </w:tcBorders>
            <w:shd w:val="clear" w:color="auto" w:fill="auto"/>
            <w:hideMark/>
          </w:tcPr>
          <w:p w:rsidR="006C3C62" w:rsidRPr="007D22C9" w:rsidRDefault="00BC3EDC" w:rsidP="00BD3B9A">
            <w:pPr>
              <w:jc w:val="center"/>
              <w:rPr>
                <w:sz w:val="20"/>
                <w:szCs w:val="20"/>
              </w:rPr>
            </w:pPr>
            <w:r w:rsidRPr="007D22C9">
              <w:rPr>
                <w:sz w:val="20"/>
                <w:szCs w:val="20"/>
              </w:rPr>
              <w:t>Количест</w:t>
            </w:r>
            <w:r w:rsidR="006C3C62" w:rsidRPr="007D22C9">
              <w:rPr>
                <w:sz w:val="20"/>
                <w:szCs w:val="20"/>
              </w:rPr>
              <w:t>во физических лиц</w:t>
            </w:r>
          </w:p>
        </w:tc>
      </w:tr>
      <w:tr w:rsidR="006C3C62" w:rsidRPr="007D22C9" w:rsidTr="003B1A7B">
        <w:trPr>
          <w:trHeight w:val="20"/>
        </w:trPr>
        <w:tc>
          <w:tcPr>
            <w:tcW w:w="533" w:type="dxa"/>
            <w:vMerge/>
            <w:tcBorders>
              <w:top w:val="single" w:sz="4" w:space="0" w:color="auto"/>
              <w:left w:val="single" w:sz="4" w:space="0" w:color="auto"/>
              <w:right w:val="single" w:sz="4" w:space="0" w:color="auto"/>
            </w:tcBorders>
            <w:hideMark/>
          </w:tcPr>
          <w:p w:rsidR="006C3C62" w:rsidRPr="007D22C9" w:rsidRDefault="006C3C62" w:rsidP="00BD3B9A">
            <w:pPr>
              <w:jc w:val="center"/>
              <w:rPr>
                <w:sz w:val="20"/>
                <w:szCs w:val="20"/>
              </w:rPr>
            </w:pPr>
          </w:p>
        </w:tc>
        <w:tc>
          <w:tcPr>
            <w:tcW w:w="1730" w:type="dxa"/>
            <w:vMerge/>
            <w:tcBorders>
              <w:top w:val="single" w:sz="4" w:space="0" w:color="auto"/>
              <w:left w:val="single" w:sz="4" w:space="0" w:color="auto"/>
              <w:right w:val="single" w:sz="4" w:space="0" w:color="auto"/>
            </w:tcBorders>
            <w:hideMark/>
          </w:tcPr>
          <w:p w:rsidR="006C3C62" w:rsidRPr="007D22C9" w:rsidRDefault="006C3C62" w:rsidP="00BD3B9A">
            <w:pPr>
              <w:jc w:val="center"/>
              <w:rPr>
                <w:sz w:val="20"/>
                <w:szCs w:val="20"/>
              </w:rPr>
            </w:pPr>
          </w:p>
        </w:tc>
        <w:tc>
          <w:tcPr>
            <w:tcW w:w="1418" w:type="dxa"/>
            <w:vMerge/>
            <w:tcBorders>
              <w:top w:val="single" w:sz="4" w:space="0" w:color="auto"/>
              <w:left w:val="single" w:sz="4" w:space="0" w:color="auto"/>
              <w:right w:val="single" w:sz="4" w:space="0" w:color="auto"/>
            </w:tcBorders>
            <w:hideMark/>
          </w:tcPr>
          <w:p w:rsidR="006C3C62" w:rsidRPr="007D22C9" w:rsidRDefault="006C3C62" w:rsidP="00BD3B9A">
            <w:pPr>
              <w:jc w:val="center"/>
              <w:rPr>
                <w:sz w:val="20"/>
                <w:szCs w:val="20"/>
              </w:rPr>
            </w:pPr>
          </w:p>
        </w:tc>
        <w:tc>
          <w:tcPr>
            <w:tcW w:w="1418" w:type="dxa"/>
            <w:vMerge/>
            <w:tcBorders>
              <w:top w:val="single" w:sz="4" w:space="0" w:color="auto"/>
              <w:left w:val="single" w:sz="4" w:space="0" w:color="auto"/>
              <w:right w:val="single" w:sz="4" w:space="0" w:color="auto"/>
            </w:tcBorders>
            <w:hideMark/>
          </w:tcPr>
          <w:p w:rsidR="006C3C62" w:rsidRPr="007D22C9" w:rsidRDefault="006C3C62" w:rsidP="00BD3B9A">
            <w:pPr>
              <w:jc w:val="center"/>
              <w:rPr>
                <w:sz w:val="20"/>
                <w:szCs w:val="20"/>
              </w:rPr>
            </w:pPr>
          </w:p>
        </w:tc>
        <w:tc>
          <w:tcPr>
            <w:tcW w:w="851" w:type="dxa"/>
            <w:vMerge/>
            <w:tcBorders>
              <w:top w:val="single" w:sz="4" w:space="0" w:color="auto"/>
              <w:left w:val="single" w:sz="4" w:space="0" w:color="auto"/>
              <w:right w:val="single" w:sz="4" w:space="0" w:color="auto"/>
            </w:tcBorders>
            <w:hideMark/>
          </w:tcPr>
          <w:p w:rsidR="006C3C62" w:rsidRPr="007D22C9" w:rsidRDefault="006C3C62" w:rsidP="00BD3B9A">
            <w:pPr>
              <w:jc w:val="center"/>
              <w:rPr>
                <w:sz w:val="20"/>
                <w:szCs w:val="20"/>
              </w:rPr>
            </w:pPr>
          </w:p>
        </w:tc>
        <w:tc>
          <w:tcPr>
            <w:tcW w:w="850" w:type="dxa"/>
            <w:vMerge/>
            <w:tcBorders>
              <w:top w:val="single" w:sz="4" w:space="0" w:color="auto"/>
              <w:left w:val="single" w:sz="4" w:space="0" w:color="auto"/>
              <w:right w:val="single" w:sz="4" w:space="0" w:color="auto"/>
            </w:tcBorders>
            <w:hideMark/>
          </w:tcPr>
          <w:p w:rsidR="006C3C62" w:rsidRPr="007D22C9" w:rsidRDefault="006C3C62" w:rsidP="00BD3B9A">
            <w:pPr>
              <w:jc w:val="center"/>
              <w:rPr>
                <w:sz w:val="20"/>
                <w:szCs w:val="20"/>
              </w:rPr>
            </w:pPr>
          </w:p>
        </w:tc>
        <w:tc>
          <w:tcPr>
            <w:tcW w:w="1077" w:type="dxa"/>
            <w:vMerge/>
            <w:tcBorders>
              <w:top w:val="single" w:sz="4" w:space="0" w:color="auto"/>
              <w:left w:val="single" w:sz="4" w:space="0" w:color="auto"/>
              <w:right w:val="single" w:sz="4" w:space="0" w:color="auto"/>
            </w:tcBorders>
            <w:hideMark/>
          </w:tcPr>
          <w:p w:rsidR="006C3C62" w:rsidRPr="007D22C9" w:rsidRDefault="006C3C62" w:rsidP="00BD3B9A">
            <w:pPr>
              <w:jc w:val="center"/>
              <w:rPr>
                <w:sz w:val="20"/>
                <w:szCs w:val="20"/>
              </w:rPr>
            </w:pPr>
          </w:p>
        </w:tc>
        <w:tc>
          <w:tcPr>
            <w:tcW w:w="992" w:type="dxa"/>
            <w:vMerge/>
            <w:tcBorders>
              <w:top w:val="single" w:sz="4" w:space="0" w:color="auto"/>
              <w:left w:val="single" w:sz="4" w:space="0" w:color="auto"/>
              <w:right w:val="single" w:sz="4" w:space="0" w:color="auto"/>
            </w:tcBorders>
            <w:hideMark/>
          </w:tcPr>
          <w:p w:rsidR="006C3C62" w:rsidRPr="007D22C9" w:rsidRDefault="006C3C62" w:rsidP="00BD3B9A">
            <w:pPr>
              <w:jc w:val="center"/>
              <w:rPr>
                <w:sz w:val="20"/>
                <w:szCs w:val="20"/>
              </w:rPr>
            </w:pPr>
          </w:p>
        </w:tc>
        <w:tc>
          <w:tcPr>
            <w:tcW w:w="708" w:type="dxa"/>
            <w:tcBorders>
              <w:top w:val="single" w:sz="4" w:space="0" w:color="auto"/>
              <w:left w:val="nil"/>
              <w:right w:val="single" w:sz="4" w:space="0" w:color="auto"/>
            </w:tcBorders>
            <w:shd w:val="clear" w:color="auto" w:fill="auto"/>
            <w:hideMark/>
          </w:tcPr>
          <w:p w:rsidR="006C3C62" w:rsidRPr="007D22C9" w:rsidRDefault="00BD3B9A" w:rsidP="00BD3B9A">
            <w:pPr>
              <w:jc w:val="center"/>
              <w:rPr>
                <w:sz w:val="20"/>
                <w:szCs w:val="20"/>
              </w:rPr>
            </w:pPr>
            <w:r w:rsidRPr="007D22C9">
              <w:rPr>
                <w:sz w:val="20"/>
                <w:szCs w:val="20"/>
              </w:rPr>
              <w:t>в</w:t>
            </w:r>
            <w:r w:rsidR="006C3C62" w:rsidRPr="007D22C9">
              <w:rPr>
                <w:sz w:val="20"/>
                <w:szCs w:val="20"/>
              </w:rPr>
              <w:t>сего</w:t>
            </w:r>
          </w:p>
        </w:tc>
        <w:tc>
          <w:tcPr>
            <w:tcW w:w="993" w:type="dxa"/>
            <w:tcBorders>
              <w:top w:val="single" w:sz="4" w:space="0" w:color="auto"/>
              <w:left w:val="nil"/>
              <w:right w:val="single" w:sz="4" w:space="0" w:color="auto"/>
            </w:tcBorders>
            <w:shd w:val="clear" w:color="auto" w:fill="auto"/>
            <w:hideMark/>
          </w:tcPr>
          <w:p w:rsidR="006C3C62" w:rsidRPr="007D22C9" w:rsidRDefault="006C3C62" w:rsidP="00BD3B9A">
            <w:pPr>
              <w:jc w:val="center"/>
              <w:rPr>
                <w:sz w:val="20"/>
                <w:szCs w:val="20"/>
              </w:rPr>
            </w:pPr>
            <w:r w:rsidRPr="007D22C9">
              <w:rPr>
                <w:sz w:val="20"/>
                <w:szCs w:val="20"/>
              </w:rPr>
              <w:t>из них совместители</w:t>
            </w:r>
          </w:p>
        </w:tc>
      </w:tr>
    </w:tbl>
    <w:p w:rsidR="003B1A7B" w:rsidRPr="007D22C9" w:rsidRDefault="003B1A7B">
      <w:pPr>
        <w:rPr>
          <w:sz w:val="2"/>
          <w:szCs w:val="2"/>
        </w:rPr>
      </w:pPr>
    </w:p>
    <w:tbl>
      <w:tblPr>
        <w:tblW w:w="10570" w:type="dxa"/>
        <w:tblLayout w:type="fixed"/>
        <w:tblLook w:val="04A0" w:firstRow="1" w:lastRow="0" w:firstColumn="1" w:lastColumn="0" w:noHBand="0" w:noVBand="1"/>
      </w:tblPr>
      <w:tblGrid>
        <w:gridCol w:w="533"/>
        <w:gridCol w:w="1730"/>
        <w:gridCol w:w="1418"/>
        <w:gridCol w:w="1418"/>
        <w:gridCol w:w="851"/>
        <w:gridCol w:w="850"/>
        <w:gridCol w:w="1077"/>
        <w:gridCol w:w="992"/>
        <w:gridCol w:w="708"/>
        <w:gridCol w:w="993"/>
      </w:tblGrid>
      <w:tr w:rsidR="00B239A0" w:rsidRPr="007D22C9" w:rsidTr="003B1A7B">
        <w:trPr>
          <w:trHeight w:val="20"/>
          <w:tblHeader/>
        </w:trPr>
        <w:tc>
          <w:tcPr>
            <w:tcW w:w="533" w:type="dxa"/>
            <w:tcBorders>
              <w:top w:val="single" w:sz="4" w:space="0" w:color="auto"/>
              <w:left w:val="single" w:sz="4" w:space="0" w:color="auto"/>
              <w:bottom w:val="single" w:sz="4" w:space="0" w:color="auto"/>
              <w:right w:val="single" w:sz="4" w:space="0" w:color="auto"/>
            </w:tcBorders>
            <w:shd w:val="clear" w:color="auto" w:fill="auto"/>
          </w:tcPr>
          <w:p w:rsidR="00B239A0" w:rsidRPr="007D22C9" w:rsidRDefault="00B239A0" w:rsidP="00BD3B9A">
            <w:pPr>
              <w:autoSpaceDE/>
              <w:autoSpaceDN/>
              <w:adjustRightInd/>
              <w:jc w:val="center"/>
              <w:rPr>
                <w:color w:val="000000"/>
                <w:sz w:val="20"/>
                <w:szCs w:val="20"/>
              </w:rPr>
            </w:pPr>
            <w:r w:rsidRPr="007D22C9">
              <w:rPr>
                <w:color w:val="000000"/>
                <w:sz w:val="20"/>
                <w:szCs w:val="20"/>
              </w:rPr>
              <w:t>1</w:t>
            </w:r>
          </w:p>
        </w:tc>
        <w:tc>
          <w:tcPr>
            <w:tcW w:w="1730" w:type="dxa"/>
            <w:tcBorders>
              <w:top w:val="single" w:sz="4" w:space="0" w:color="auto"/>
              <w:left w:val="nil"/>
              <w:bottom w:val="single" w:sz="4" w:space="0" w:color="auto"/>
              <w:right w:val="nil"/>
            </w:tcBorders>
            <w:shd w:val="clear" w:color="auto" w:fill="auto"/>
          </w:tcPr>
          <w:p w:rsidR="00B239A0" w:rsidRPr="007D22C9" w:rsidRDefault="00B239A0" w:rsidP="00BD3B9A">
            <w:pPr>
              <w:autoSpaceDE/>
              <w:autoSpaceDN/>
              <w:adjustRightInd/>
              <w:jc w:val="center"/>
              <w:rPr>
                <w:color w:val="000000"/>
                <w:sz w:val="20"/>
                <w:szCs w:val="20"/>
              </w:rPr>
            </w:pPr>
            <w:r w:rsidRPr="007D22C9">
              <w:rPr>
                <w:color w:val="000000"/>
                <w:sz w:val="20"/>
                <w:szCs w:val="20"/>
              </w:rPr>
              <w:t>2</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B239A0" w:rsidRPr="007D22C9" w:rsidRDefault="00B239A0" w:rsidP="00C572EE">
            <w:pPr>
              <w:autoSpaceDE/>
              <w:autoSpaceDN/>
              <w:adjustRightInd/>
              <w:jc w:val="center"/>
              <w:rPr>
                <w:color w:val="000000"/>
                <w:sz w:val="20"/>
                <w:szCs w:val="20"/>
              </w:rPr>
            </w:pPr>
            <w:r w:rsidRPr="007D22C9">
              <w:rPr>
                <w:color w:val="000000"/>
                <w:sz w:val="20"/>
                <w:szCs w:val="20"/>
              </w:rPr>
              <w:t>3</w:t>
            </w:r>
          </w:p>
        </w:tc>
        <w:tc>
          <w:tcPr>
            <w:tcW w:w="1418" w:type="dxa"/>
            <w:tcBorders>
              <w:top w:val="single" w:sz="4" w:space="0" w:color="auto"/>
              <w:left w:val="nil"/>
              <w:bottom w:val="single" w:sz="4" w:space="0" w:color="auto"/>
              <w:right w:val="single" w:sz="4" w:space="0" w:color="auto"/>
            </w:tcBorders>
            <w:shd w:val="clear" w:color="auto" w:fill="auto"/>
          </w:tcPr>
          <w:p w:rsidR="00B239A0" w:rsidRPr="007D22C9" w:rsidRDefault="00B239A0" w:rsidP="00BD3B9A">
            <w:pPr>
              <w:autoSpaceDE/>
              <w:autoSpaceDN/>
              <w:adjustRightInd/>
              <w:jc w:val="center"/>
              <w:rPr>
                <w:color w:val="000000"/>
                <w:sz w:val="20"/>
                <w:szCs w:val="20"/>
              </w:rPr>
            </w:pPr>
            <w:r w:rsidRPr="007D22C9">
              <w:rPr>
                <w:color w:val="000000"/>
                <w:sz w:val="20"/>
                <w:szCs w:val="20"/>
              </w:rPr>
              <w:t>4</w:t>
            </w:r>
          </w:p>
        </w:tc>
        <w:tc>
          <w:tcPr>
            <w:tcW w:w="851" w:type="dxa"/>
            <w:tcBorders>
              <w:top w:val="single" w:sz="4" w:space="0" w:color="auto"/>
              <w:left w:val="nil"/>
              <w:bottom w:val="single" w:sz="4" w:space="0" w:color="auto"/>
              <w:right w:val="single" w:sz="4" w:space="0" w:color="auto"/>
            </w:tcBorders>
            <w:shd w:val="clear" w:color="auto" w:fill="auto"/>
          </w:tcPr>
          <w:p w:rsidR="00B239A0" w:rsidRPr="007D22C9" w:rsidRDefault="00B239A0" w:rsidP="00BD3B9A">
            <w:pPr>
              <w:autoSpaceDE/>
              <w:autoSpaceDN/>
              <w:adjustRightInd/>
              <w:jc w:val="center"/>
              <w:rPr>
                <w:color w:val="000000"/>
                <w:sz w:val="20"/>
                <w:szCs w:val="20"/>
              </w:rPr>
            </w:pPr>
            <w:r w:rsidRPr="007D22C9">
              <w:rPr>
                <w:color w:val="000000"/>
                <w:sz w:val="20"/>
                <w:szCs w:val="20"/>
              </w:rPr>
              <w:t>5</w:t>
            </w:r>
          </w:p>
        </w:tc>
        <w:tc>
          <w:tcPr>
            <w:tcW w:w="850" w:type="dxa"/>
            <w:tcBorders>
              <w:top w:val="single" w:sz="4" w:space="0" w:color="auto"/>
              <w:left w:val="nil"/>
              <w:bottom w:val="single" w:sz="4" w:space="0" w:color="auto"/>
              <w:right w:val="single" w:sz="4" w:space="0" w:color="auto"/>
            </w:tcBorders>
            <w:shd w:val="clear" w:color="auto" w:fill="auto"/>
          </w:tcPr>
          <w:p w:rsidR="00B239A0" w:rsidRPr="007D22C9" w:rsidRDefault="00B239A0" w:rsidP="00BD3B9A">
            <w:pPr>
              <w:autoSpaceDE/>
              <w:autoSpaceDN/>
              <w:adjustRightInd/>
              <w:jc w:val="center"/>
              <w:rPr>
                <w:color w:val="000000"/>
                <w:sz w:val="20"/>
                <w:szCs w:val="20"/>
              </w:rPr>
            </w:pPr>
            <w:r w:rsidRPr="007D22C9">
              <w:rPr>
                <w:color w:val="000000"/>
                <w:sz w:val="20"/>
                <w:szCs w:val="20"/>
              </w:rPr>
              <w:t>6</w:t>
            </w:r>
          </w:p>
        </w:tc>
        <w:tc>
          <w:tcPr>
            <w:tcW w:w="1077" w:type="dxa"/>
            <w:tcBorders>
              <w:top w:val="single" w:sz="4" w:space="0" w:color="auto"/>
              <w:left w:val="nil"/>
              <w:bottom w:val="single" w:sz="4" w:space="0" w:color="auto"/>
              <w:right w:val="single" w:sz="4" w:space="0" w:color="auto"/>
            </w:tcBorders>
            <w:shd w:val="clear" w:color="auto" w:fill="auto"/>
          </w:tcPr>
          <w:p w:rsidR="00B239A0" w:rsidRPr="007D22C9" w:rsidRDefault="00B239A0" w:rsidP="00BD3B9A">
            <w:pPr>
              <w:autoSpaceDE/>
              <w:autoSpaceDN/>
              <w:adjustRightInd/>
              <w:jc w:val="center"/>
              <w:rPr>
                <w:color w:val="000000"/>
                <w:sz w:val="20"/>
                <w:szCs w:val="20"/>
              </w:rPr>
            </w:pPr>
            <w:r w:rsidRPr="007D22C9">
              <w:rPr>
                <w:color w:val="000000"/>
                <w:sz w:val="20"/>
                <w:szCs w:val="20"/>
              </w:rPr>
              <w:t>7</w:t>
            </w:r>
          </w:p>
        </w:tc>
        <w:tc>
          <w:tcPr>
            <w:tcW w:w="992" w:type="dxa"/>
            <w:tcBorders>
              <w:top w:val="single" w:sz="4" w:space="0" w:color="auto"/>
              <w:left w:val="nil"/>
              <w:bottom w:val="single" w:sz="4" w:space="0" w:color="auto"/>
              <w:right w:val="single" w:sz="4" w:space="0" w:color="auto"/>
            </w:tcBorders>
            <w:shd w:val="clear" w:color="auto" w:fill="auto"/>
          </w:tcPr>
          <w:p w:rsidR="00B239A0" w:rsidRPr="007D22C9" w:rsidRDefault="00B239A0" w:rsidP="00BD3B9A">
            <w:pPr>
              <w:autoSpaceDE/>
              <w:autoSpaceDN/>
              <w:adjustRightInd/>
              <w:jc w:val="center"/>
              <w:rPr>
                <w:color w:val="000000"/>
                <w:sz w:val="20"/>
                <w:szCs w:val="20"/>
              </w:rPr>
            </w:pPr>
            <w:r w:rsidRPr="007D22C9">
              <w:rPr>
                <w:color w:val="000000"/>
                <w:sz w:val="20"/>
                <w:szCs w:val="20"/>
              </w:rPr>
              <w:t>8</w:t>
            </w:r>
          </w:p>
        </w:tc>
        <w:tc>
          <w:tcPr>
            <w:tcW w:w="708" w:type="dxa"/>
            <w:tcBorders>
              <w:top w:val="single" w:sz="4" w:space="0" w:color="auto"/>
              <w:left w:val="nil"/>
              <w:bottom w:val="single" w:sz="4" w:space="0" w:color="auto"/>
              <w:right w:val="single" w:sz="4" w:space="0" w:color="auto"/>
            </w:tcBorders>
            <w:shd w:val="clear" w:color="auto" w:fill="auto"/>
          </w:tcPr>
          <w:p w:rsidR="00B239A0" w:rsidRPr="007D22C9" w:rsidRDefault="00B239A0" w:rsidP="00BD3B9A">
            <w:pPr>
              <w:autoSpaceDE/>
              <w:autoSpaceDN/>
              <w:adjustRightInd/>
              <w:jc w:val="center"/>
              <w:rPr>
                <w:color w:val="000000"/>
                <w:sz w:val="20"/>
                <w:szCs w:val="20"/>
              </w:rPr>
            </w:pPr>
            <w:r w:rsidRPr="007D22C9">
              <w:rPr>
                <w:color w:val="000000"/>
                <w:sz w:val="20"/>
                <w:szCs w:val="20"/>
              </w:rPr>
              <w:t>9</w:t>
            </w:r>
          </w:p>
        </w:tc>
        <w:tc>
          <w:tcPr>
            <w:tcW w:w="993" w:type="dxa"/>
            <w:tcBorders>
              <w:top w:val="single" w:sz="4" w:space="0" w:color="auto"/>
              <w:left w:val="nil"/>
              <w:bottom w:val="single" w:sz="4" w:space="0" w:color="auto"/>
              <w:right w:val="single" w:sz="4" w:space="0" w:color="auto"/>
            </w:tcBorders>
            <w:shd w:val="clear" w:color="auto" w:fill="auto"/>
          </w:tcPr>
          <w:p w:rsidR="00B239A0" w:rsidRPr="007D22C9" w:rsidRDefault="00B239A0" w:rsidP="00BD3B9A">
            <w:pPr>
              <w:autoSpaceDE/>
              <w:autoSpaceDN/>
              <w:adjustRightInd/>
              <w:jc w:val="center"/>
              <w:rPr>
                <w:color w:val="000000"/>
                <w:sz w:val="20"/>
                <w:szCs w:val="20"/>
              </w:rPr>
            </w:pPr>
            <w:r w:rsidRPr="007D22C9">
              <w:rPr>
                <w:color w:val="000000"/>
                <w:sz w:val="20"/>
                <w:szCs w:val="20"/>
              </w:rPr>
              <w:t>10</w:t>
            </w:r>
          </w:p>
        </w:tc>
      </w:tr>
      <w:tr w:rsidR="006C3C62" w:rsidRPr="007D22C9" w:rsidTr="00BD3B9A">
        <w:trPr>
          <w:trHeight w:val="20"/>
        </w:trPr>
        <w:tc>
          <w:tcPr>
            <w:tcW w:w="533" w:type="dxa"/>
            <w:tcBorders>
              <w:top w:val="nil"/>
              <w:left w:val="single" w:sz="4" w:space="0" w:color="auto"/>
              <w:bottom w:val="single" w:sz="4" w:space="0" w:color="auto"/>
              <w:right w:val="single" w:sz="4" w:space="0" w:color="auto"/>
            </w:tcBorders>
            <w:shd w:val="clear" w:color="auto" w:fill="auto"/>
            <w:hideMark/>
          </w:tcPr>
          <w:p w:rsidR="006C3C62" w:rsidRPr="007D22C9" w:rsidRDefault="006C3C62" w:rsidP="00D302C3">
            <w:pPr>
              <w:autoSpaceDE/>
              <w:autoSpaceDN/>
              <w:adjustRightInd/>
              <w:spacing w:line="233" w:lineRule="auto"/>
              <w:jc w:val="center"/>
              <w:rPr>
                <w:color w:val="000000"/>
                <w:sz w:val="20"/>
                <w:szCs w:val="20"/>
              </w:rPr>
            </w:pPr>
            <w:r w:rsidRPr="007D22C9">
              <w:rPr>
                <w:color w:val="000000"/>
                <w:sz w:val="20"/>
                <w:szCs w:val="20"/>
              </w:rPr>
              <w:t>1</w:t>
            </w:r>
            <w:r w:rsidR="003B1A7B" w:rsidRPr="007D22C9">
              <w:rPr>
                <w:color w:val="000000"/>
                <w:sz w:val="20"/>
                <w:szCs w:val="20"/>
              </w:rPr>
              <w:t>.</w:t>
            </w:r>
          </w:p>
        </w:tc>
        <w:tc>
          <w:tcPr>
            <w:tcW w:w="1730" w:type="dxa"/>
            <w:tcBorders>
              <w:top w:val="nil"/>
              <w:left w:val="nil"/>
              <w:bottom w:val="single" w:sz="4" w:space="0" w:color="auto"/>
              <w:right w:val="nil"/>
            </w:tcBorders>
            <w:shd w:val="clear" w:color="auto" w:fill="auto"/>
            <w:hideMark/>
          </w:tcPr>
          <w:p w:rsidR="006C3C62" w:rsidRPr="007D22C9" w:rsidRDefault="006C3C62" w:rsidP="00D302C3">
            <w:pPr>
              <w:autoSpaceDE/>
              <w:autoSpaceDN/>
              <w:adjustRightInd/>
              <w:spacing w:line="233" w:lineRule="auto"/>
              <w:jc w:val="both"/>
              <w:rPr>
                <w:color w:val="000000"/>
                <w:sz w:val="20"/>
                <w:szCs w:val="20"/>
              </w:rPr>
            </w:pPr>
            <w:r w:rsidRPr="007D22C9">
              <w:rPr>
                <w:color w:val="000000"/>
                <w:sz w:val="20"/>
                <w:szCs w:val="20"/>
              </w:rPr>
              <w:t xml:space="preserve">ГАУЗ </w:t>
            </w:r>
            <w:r w:rsidR="002F7358" w:rsidRPr="007D22C9">
              <w:rPr>
                <w:color w:val="000000"/>
                <w:sz w:val="20"/>
                <w:szCs w:val="20"/>
              </w:rPr>
              <w:t>«</w:t>
            </w:r>
            <w:r w:rsidRPr="007D22C9">
              <w:rPr>
                <w:color w:val="000000"/>
                <w:sz w:val="20"/>
                <w:szCs w:val="20"/>
              </w:rPr>
              <w:t>Агрызская ЦРБ</w:t>
            </w:r>
            <w:r w:rsidR="002F7358" w:rsidRPr="007D22C9">
              <w:rPr>
                <w:color w:val="000000"/>
                <w:sz w:val="20"/>
                <w:szCs w:val="20"/>
              </w:rPr>
              <w:t>»</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6C3C62" w:rsidRPr="007D22C9" w:rsidRDefault="00C572EE" w:rsidP="00D302C3">
            <w:pPr>
              <w:autoSpaceDE/>
              <w:autoSpaceDN/>
              <w:adjustRightInd/>
              <w:spacing w:line="233" w:lineRule="auto"/>
              <w:ind w:left="-28" w:right="-28"/>
              <w:jc w:val="both"/>
              <w:rPr>
                <w:color w:val="000000"/>
                <w:sz w:val="20"/>
                <w:szCs w:val="20"/>
              </w:rPr>
            </w:pPr>
            <w:r w:rsidRPr="007D22C9">
              <w:rPr>
                <w:color w:val="000000"/>
                <w:sz w:val="20"/>
                <w:szCs w:val="20"/>
              </w:rPr>
              <w:t>г.</w:t>
            </w:r>
            <w:r w:rsidR="006C3C62" w:rsidRPr="007D22C9">
              <w:rPr>
                <w:color w:val="000000"/>
                <w:sz w:val="20"/>
                <w:szCs w:val="20"/>
              </w:rPr>
              <w:t xml:space="preserve">Агрыз, ул.Энергетиков, </w:t>
            </w:r>
            <w:r w:rsidR="00C940D5" w:rsidRPr="007D22C9">
              <w:rPr>
                <w:color w:val="000000"/>
                <w:sz w:val="20"/>
                <w:szCs w:val="20"/>
              </w:rPr>
              <w:t>д.</w:t>
            </w:r>
            <w:r w:rsidR="006C3C62" w:rsidRPr="007D22C9">
              <w:rPr>
                <w:color w:val="000000"/>
                <w:sz w:val="20"/>
                <w:szCs w:val="20"/>
              </w:rPr>
              <w:t>2</w:t>
            </w:r>
          </w:p>
        </w:tc>
        <w:tc>
          <w:tcPr>
            <w:tcW w:w="1418" w:type="dxa"/>
            <w:tcBorders>
              <w:top w:val="nil"/>
              <w:left w:val="nil"/>
              <w:bottom w:val="single" w:sz="4" w:space="0" w:color="auto"/>
              <w:right w:val="single" w:sz="4" w:space="0" w:color="auto"/>
            </w:tcBorders>
            <w:shd w:val="clear" w:color="auto" w:fill="auto"/>
            <w:hideMark/>
          </w:tcPr>
          <w:p w:rsidR="006C3C62" w:rsidRPr="007D22C9" w:rsidRDefault="006C3C62" w:rsidP="00D302C3">
            <w:pPr>
              <w:autoSpaceDE/>
              <w:autoSpaceDN/>
              <w:adjustRightInd/>
              <w:spacing w:line="233" w:lineRule="auto"/>
              <w:jc w:val="both"/>
              <w:rPr>
                <w:color w:val="000000"/>
                <w:sz w:val="20"/>
                <w:szCs w:val="20"/>
              </w:rPr>
            </w:pPr>
            <w:r w:rsidRPr="007D22C9">
              <w:rPr>
                <w:color w:val="000000"/>
                <w:sz w:val="20"/>
                <w:szCs w:val="20"/>
              </w:rPr>
              <w:t>Агрызский муниципальный район</w:t>
            </w:r>
          </w:p>
        </w:tc>
        <w:tc>
          <w:tcPr>
            <w:tcW w:w="851" w:type="dxa"/>
            <w:tcBorders>
              <w:top w:val="nil"/>
              <w:left w:val="nil"/>
              <w:bottom w:val="single" w:sz="4" w:space="0" w:color="auto"/>
              <w:right w:val="single" w:sz="4" w:space="0" w:color="auto"/>
            </w:tcBorders>
            <w:shd w:val="clear" w:color="auto" w:fill="auto"/>
            <w:hideMark/>
          </w:tcPr>
          <w:p w:rsidR="006C3C62" w:rsidRPr="007D22C9" w:rsidRDefault="006C3C62" w:rsidP="00D302C3">
            <w:pPr>
              <w:autoSpaceDE/>
              <w:autoSpaceDN/>
              <w:adjustRightInd/>
              <w:spacing w:line="233" w:lineRule="auto"/>
              <w:jc w:val="center"/>
              <w:rPr>
                <w:color w:val="000000"/>
                <w:sz w:val="20"/>
                <w:szCs w:val="20"/>
              </w:rPr>
            </w:pPr>
            <w:r w:rsidRPr="007D22C9">
              <w:rPr>
                <w:color w:val="000000"/>
                <w:sz w:val="20"/>
                <w:szCs w:val="20"/>
              </w:rPr>
              <w:t>23 381</w:t>
            </w:r>
          </w:p>
        </w:tc>
        <w:tc>
          <w:tcPr>
            <w:tcW w:w="850" w:type="dxa"/>
            <w:tcBorders>
              <w:top w:val="nil"/>
              <w:left w:val="nil"/>
              <w:bottom w:val="single" w:sz="4" w:space="0" w:color="auto"/>
              <w:right w:val="single" w:sz="4" w:space="0" w:color="auto"/>
            </w:tcBorders>
            <w:shd w:val="clear" w:color="auto" w:fill="auto"/>
            <w:hideMark/>
          </w:tcPr>
          <w:p w:rsidR="006C3C62" w:rsidRPr="007D22C9" w:rsidRDefault="006C3C62" w:rsidP="00D302C3">
            <w:pPr>
              <w:autoSpaceDE/>
              <w:autoSpaceDN/>
              <w:adjustRightInd/>
              <w:spacing w:line="233" w:lineRule="auto"/>
              <w:jc w:val="center"/>
              <w:rPr>
                <w:color w:val="000000"/>
                <w:sz w:val="20"/>
                <w:szCs w:val="20"/>
              </w:rPr>
            </w:pPr>
            <w:r w:rsidRPr="007D22C9">
              <w:rPr>
                <w:color w:val="000000"/>
                <w:sz w:val="20"/>
                <w:szCs w:val="20"/>
              </w:rPr>
              <w:t>0,78</w:t>
            </w:r>
          </w:p>
        </w:tc>
        <w:tc>
          <w:tcPr>
            <w:tcW w:w="1077" w:type="dxa"/>
            <w:tcBorders>
              <w:top w:val="nil"/>
              <w:left w:val="nil"/>
              <w:bottom w:val="single" w:sz="4" w:space="0" w:color="auto"/>
              <w:right w:val="single" w:sz="4" w:space="0" w:color="auto"/>
            </w:tcBorders>
            <w:shd w:val="clear" w:color="auto" w:fill="auto"/>
            <w:hideMark/>
          </w:tcPr>
          <w:p w:rsidR="006C3C62" w:rsidRPr="007D22C9" w:rsidRDefault="006C3C62" w:rsidP="00D302C3">
            <w:pPr>
              <w:autoSpaceDE/>
              <w:autoSpaceDN/>
              <w:adjustRightInd/>
              <w:spacing w:line="233" w:lineRule="auto"/>
              <w:jc w:val="center"/>
              <w:rPr>
                <w:color w:val="000000"/>
                <w:sz w:val="20"/>
                <w:szCs w:val="20"/>
              </w:rPr>
            </w:pPr>
            <w:r w:rsidRPr="007D22C9">
              <w:rPr>
                <w:color w:val="000000"/>
                <w:sz w:val="20"/>
                <w:szCs w:val="20"/>
              </w:rPr>
              <w:t>1</w:t>
            </w:r>
            <w:r w:rsidR="002340FF" w:rsidRPr="007D22C9">
              <w:rPr>
                <w:color w:val="000000"/>
                <w:sz w:val="20"/>
                <w:szCs w:val="20"/>
              </w:rPr>
              <w:t>,00</w:t>
            </w:r>
          </w:p>
        </w:tc>
        <w:tc>
          <w:tcPr>
            <w:tcW w:w="992" w:type="dxa"/>
            <w:tcBorders>
              <w:top w:val="nil"/>
              <w:left w:val="nil"/>
              <w:bottom w:val="single" w:sz="4" w:space="0" w:color="auto"/>
              <w:right w:val="single" w:sz="4" w:space="0" w:color="auto"/>
            </w:tcBorders>
            <w:shd w:val="clear" w:color="auto" w:fill="auto"/>
            <w:hideMark/>
          </w:tcPr>
          <w:p w:rsidR="006C3C62" w:rsidRPr="007D22C9" w:rsidRDefault="006C3C62" w:rsidP="00D302C3">
            <w:pPr>
              <w:autoSpaceDE/>
              <w:autoSpaceDN/>
              <w:adjustRightInd/>
              <w:spacing w:line="233" w:lineRule="auto"/>
              <w:jc w:val="center"/>
              <w:rPr>
                <w:color w:val="000000"/>
                <w:sz w:val="20"/>
                <w:szCs w:val="20"/>
              </w:rPr>
            </w:pPr>
            <w:r w:rsidRPr="007D22C9">
              <w:rPr>
                <w:color w:val="000000"/>
                <w:sz w:val="20"/>
                <w:szCs w:val="20"/>
              </w:rPr>
              <w:t>1</w:t>
            </w:r>
            <w:r w:rsidR="002340FF" w:rsidRPr="007D22C9">
              <w:rPr>
                <w:color w:val="000000"/>
                <w:sz w:val="20"/>
                <w:szCs w:val="20"/>
              </w:rPr>
              <w:t>,00</w:t>
            </w:r>
          </w:p>
        </w:tc>
        <w:tc>
          <w:tcPr>
            <w:tcW w:w="708" w:type="dxa"/>
            <w:tcBorders>
              <w:top w:val="nil"/>
              <w:left w:val="nil"/>
              <w:bottom w:val="single" w:sz="4" w:space="0" w:color="auto"/>
              <w:right w:val="single" w:sz="4" w:space="0" w:color="auto"/>
            </w:tcBorders>
            <w:shd w:val="clear" w:color="auto" w:fill="auto"/>
            <w:hideMark/>
          </w:tcPr>
          <w:p w:rsidR="006C3C62" w:rsidRPr="007D22C9" w:rsidRDefault="006C3C62" w:rsidP="00D302C3">
            <w:pPr>
              <w:autoSpaceDE/>
              <w:autoSpaceDN/>
              <w:adjustRightInd/>
              <w:spacing w:line="233" w:lineRule="auto"/>
              <w:jc w:val="center"/>
              <w:rPr>
                <w:color w:val="000000"/>
                <w:sz w:val="20"/>
                <w:szCs w:val="20"/>
              </w:rPr>
            </w:pPr>
            <w:r w:rsidRPr="007D22C9">
              <w:rPr>
                <w:color w:val="000000"/>
                <w:sz w:val="20"/>
                <w:szCs w:val="20"/>
              </w:rPr>
              <w:t>1</w:t>
            </w:r>
          </w:p>
        </w:tc>
        <w:tc>
          <w:tcPr>
            <w:tcW w:w="993" w:type="dxa"/>
            <w:tcBorders>
              <w:top w:val="nil"/>
              <w:left w:val="nil"/>
              <w:bottom w:val="single" w:sz="4" w:space="0" w:color="auto"/>
              <w:right w:val="single" w:sz="4" w:space="0" w:color="auto"/>
            </w:tcBorders>
            <w:shd w:val="clear" w:color="auto" w:fill="auto"/>
            <w:hideMark/>
          </w:tcPr>
          <w:p w:rsidR="006C3C62" w:rsidRPr="007D22C9" w:rsidRDefault="00DE16F2" w:rsidP="00D302C3">
            <w:pPr>
              <w:autoSpaceDE/>
              <w:autoSpaceDN/>
              <w:adjustRightInd/>
              <w:spacing w:line="233" w:lineRule="auto"/>
              <w:jc w:val="center"/>
              <w:rPr>
                <w:color w:val="000000"/>
                <w:sz w:val="20"/>
                <w:szCs w:val="20"/>
              </w:rPr>
            </w:pPr>
            <w:r w:rsidRPr="007D22C9">
              <w:rPr>
                <w:color w:val="000000"/>
                <w:sz w:val="20"/>
                <w:szCs w:val="20"/>
              </w:rPr>
              <w:t>0</w:t>
            </w:r>
            <w:r w:rsidR="006C3C62" w:rsidRPr="007D22C9">
              <w:rPr>
                <w:color w:val="000000"/>
                <w:sz w:val="20"/>
                <w:szCs w:val="20"/>
              </w:rPr>
              <w:t> </w:t>
            </w:r>
          </w:p>
        </w:tc>
      </w:tr>
      <w:tr w:rsidR="006C3C62" w:rsidRPr="007D22C9" w:rsidTr="00BD3B9A">
        <w:trPr>
          <w:trHeight w:val="20"/>
        </w:trPr>
        <w:tc>
          <w:tcPr>
            <w:tcW w:w="533" w:type="dxa"/>
            <w:tcBorders>
              <w:top w:val="nil"/>
              <w:left w:val="single" w:sz="4" w:space="0" w:color="auto"/>
              <w:bottom w:val="single" w:sz="4" w:space="0" w:color="auto"/>
              <w:right w:val="single" w:sz="4" w:space="0" w:color="auto"/>
            </w:tcBorders>
            <w:shd w:val="clear" w:color="auto" w:fill="auto"/>
            <w:hideMark/>
          </w:tcPr>
          <w:p w:rsidR="006C3C62" w:rsidRPr="007D22C9" w:rsidRDefault="006C3C62" w:rsidP="00D302C3">
            <w:pPr>
              <w:autoSpaceDE/>
              <w:autoSpaceDN/>
              <w:adjustRightInd/>
              <w:spacing w:line="233" w:lineRule="auto"/>
              <w:jc w:val="center"/>
              <w:rPr>
                <w:color w:val="000000"/>
                <w:sz w:val="20"/>
                <w:szCs w:val="20"/>
              </w:rPr>
            </w:pPr>
            <w:r w:rsidRPr="007D22C9">
              <w:rPr>
                <w:color w:val="000000"/>
                <w:sz w:val="20"/>
                <w:szCs w:val="20"/>
              </w:rPr>
              <w:t>2</w:t>
            </w:r>
            <w:r w:rsidR="003B1A7B" w:rsidRPr="007D22C9">
              <w:rPr>
                <w:color w:val="000000"/>
                <w:sz w:val="20"/>
                <w:szCs w:val="20"/>
              </w:rPr>
              <w:t>.</w:t>
            </w:r>
          </w:p>
        </w:tc>
        <w:tc>
          <w:tcPr>
            <w:tcW w:w="1730" w:type="dxa"/>
            <w:tcBorders>
              <w:top w:val="nil"/>
              <w:left w:val="nil"/>
              <w:bottom w:val="single" w:sz="4" w:space="0" w:color="auto"/>
              <w:right w:val="nil"/>
            </w:tcBorders>
            <w:shd w:val="clear" w:color="auto" w:fill="auto"/>
            <w:hideMark/>
          </w:tcPr>
          <w:p w:rsidR="006C3C62" w:rsidRPr="007D22C9" w:rsidRDefault="006C3C62" w:rsidP="00D302C3">
            <w:pPr>
              <w:autoSpaceDE/>
              <w:autoSpaceDN/>
              <w:adjustRightInd/>
              <w:spacing w:line="233" w:lineRule="auto"/>
              <w:jc w:val="both"/>
              <w:rPr>
                <w:color w:val="000000"/>
                <w:sz w:val="20"/>
                <w:szCs w:val="20"/>
              </w:rPr>
            </w:pPr>
            <w:r w:rsidRPr="007D22C9">
              <w:rPr>
                <w:color w:val="000000"/>
                <w:sz w:val="20"/>
                <w:szCs w:val="20"/>
              </w:rPr>
              <w:t xml:space="preserve">ГАУЗ </w:t>
            </w:r>
            <w:r w:rsidR="002F7358" w:rsidRPr="007D22C9">
              <w:rPr>
                <w:color w:val="000000"/>
                <w:sz w:val="20"/>
                <w:szCs w:val="20"/>
              </w:rPr>
              <w:t>«</w:t>
            </w:r>
            <w:r w:rsidRPr="007D22C9">
              <w:rPr>
                <w:color w:val="000000"/>
                <w:sz w:val="20"/>
                <w:szCs w:val="20"/>
              </w:rPr>
              <w:t>Азнакаевская ЦРБ</w:t>
            </w:r>
            <w:r w:rsidR="002F7358" w:rsidRPr="007D22C9">
              <w:rPr>
                <w:color w:val="000000"/>
                <w:sz w:val="20"/>
                <w:szCs w:val="20"/>
              </w:rPr>
              <w:t>»</w:t>
            </w:r>
          </w:p>
        </w:tc>
        <w:tc>
          <w:tcPr>
            <w:tcW w:w="1418" w:type="dxa"/>
            <w:tcBorders>
              <w:top w:val="nil"/>
              <w:left w:val="single" w:sz="4" w:space="0" w:color="auto"/>
              <w:bottom w:val="single" w:sz="4" w:space="0" w:color="auto"/>
              <w:right w:val="single" w:sz="4" w:space="0" w:color="auto"/>
            </w:tcBorders>
            <w:shd w:val="clear" w:color="auto" w:fill="auto"/>
            <w:hideMark/>
          </w:tcPr>
          <w:p w:rsidR="006C3C62" w:rsidRPr="007D22C9" w:rsidRDefault="00C572EE" w:rsidP="00D302C3">
            <w:pPr>
              <w:autoSpaceDE/>
              <w:autoSpaceDN/>
              <w:adjustRightInd/>
              <w:spacing w:line="233" w:lineRule="auto"/>
              <w:ind w:left="-28" w:right="-28"/>
              <w:jc w:val="both"/>
              <w:rPr>
                <w:color w:val="000000"/>
                <w:sz w:val="20"/>
                <w:szCs w:val="20"/>
              </w:rPr>
            </w:pPr>
            <w:r w:rsidRPr="007D22C9">
              <w:rPr>
                <w:color w:val="000000"/>
                <w:sz w:val="20"/>
                <w:szCs w:val="20"/>
              </w:rPr>
              <w:t>г.</w:t>
            </w:r>
            <w:r w:rsidR="006C3C62" w:rsidRPr="007D22C9">
              <w:rPr>
                <w:color w:val="000000"/>
                <w:sz w:val="20"/>
                <w:szCs w:val="20"/>
              </w:rPr>
              <w:t xml:space="preserve">Азнакаево, ул.Хасаншиной, </w:t>
            </w:r>
            <w:r w:rsidR="00C940D5" w:rsidRPr="007D22C9">
              <w:rPr>
                <w:color w:val="000000"/>
                <w:sz w:val="20"/>
                <w:szCs w:val="20"/>
              </w:rPr>
              <w:t>д.</w:t>
            </w:r>
            <w:r w:rsidR="006C3C62" w:rsidRPr="007D22C9">
              <w:rPr>
                <w:color w:val="000000"/>
                <w:sz w:val="20"/>
                <w:szCs w:val="20"/>
              </w:rPr>
              <w:t>21</w:t>
            </w:r>
          </w:p>
        </w:tc>
        <w:tc>
          <w:tcPr>
            <w:tcW w:w="1418" w:type="dxa"/>
            <w:tcBorders>
              <w:top w:val="nil"/>
              <w:left w:val="nil"/>
              <w:bottom w:val="single" w:sz="4" w:space="0" w:color="auto"/>
              <w:right w:val="single" w:sz="4" w:space="0" w:color="auto"/>
            </w:tcBorders>
            <w:shd w:val="clear" w:color="auto" w:fill="auto"/>
            <w:hideMark/>
          </w:tcPr>
          <w:p w:rsidR="006C3C62" w:rsidRPr="007D22C9" w:rsidRDefault="006C3C62" w:rsidP="00D302C3">
            <w:pPr>
              <w:autoSpaceDE/>
              <w:autoSpaceDN/>
              <w:adjustRightInd/>
              <w:spacing w:line="233" w:lineRule="auto"/>
              <w:jc w:val="both"/>
              <w:rPr>
                <w:color w:val="000000"/>
                <w:sz w:val="20"/>
                <w:szCs w:val="20"/>
              </w:rPr>
            </w:pPr>
            <w:r w:rsidRPr="007D22C9">
              <w:rPr>
                <w:color w:val="000000"/>
                <w:sz w:val="20"/>
                <w:szCs w:val="20"/>
              </w:rPr>
              <w:t>Азнакаевский муниципальный район</w:t>
            </w:r>
          </w:p>
        </w:tc>
        <w:tc>
          <w:tcPr>
            <w:tcW w:w="851" w:type="dxa"/>
            <w:tcBorders>
              <w:top w:val="nil"/>
              <w:left w:val="nil"/>
              <w:bottom w:val="single" w:sz="4" w:space="0" w:color="auto"/>
              <w:right w:val="single" w:sz="4" w:space="0" w:color="auto"/>
            </w:tcBorders>
            <w:shd w:val="clear" w:color="auto" w:fill="auto"/>
            <w:hideMark/>
          </w:tcPr>
          <w:p w:rsidR="006C3C62" w:rsidRPr="007D22C9" w:rsidRDefault="006C3C62" w:rsidP="00D302C3">
            <w:pPr>
              <w:autoSpaceDE/>
              <w:autoSpaceDN/>
              <w:adjustRightInd/>
              <w:spacing w:line="233" w:lineRule="auto"/>
              <w:jc w:val="center"/>
              <w:rPr>
                <w:color w:val="000000"/>
                <w:sz w:val="20"/>
                <w:szCs w:val="20"/>
              </w:rPr>
            </w:pPr>
            <w:r w:rsidRPr="007D22C9">
              <w:rPr>
                <w:color w:val="000000"/>
                <w:sz w:val="20"/>
                <w:szCs w:val="20"/>
              </w:rPr>
              <w:t>54 484</w:t>
            </w:r>
          </w:p>
        </w:tc>
        <w:tc>
          <w:tcPr>
            <w:tcW w:w="850" w:type="dxa"/>
            <w:tcBorders>
              <w:top w:val="nil"/>
              <w:left w:val="nil"/>
              <w:bottom w:val="single" w:sz="4" w:space="0" w:color="auto"/>
              <w:right w:val="single" w:sz="4" w:space="0" w:color="auto"/>
            </w:tcBorders>
            <w:shd w:val="clear" w:color="auto" w:fill="auto"/>
            <w:hideMark/>
          </w:tcPr>
          <w:p w:rsidR="006C3C62" w:rsidRPr="007D22C9" w:rsidRDefault="006C3C62" w:rsidP="00D302C3">
            <w:pPr>
              <w:autoSpaceDE/>
              <w:autoSpaceDN/>
              <w:adjustRightInd/>
              <w:spacing w:line="233" w:lineRule="auto"/>
              <w:jc w:val="center"/>
              <w:rPr>
                <w:color w:val="000000"/>
                <w:sz w:val="20"/>
                <w:szCs w:val="20"/>
              </w:rPr>
            </w:pPr>
            <w:r w:rsidRPr="007D22C9">
              <w:rPr>
                <w:color w:val="000000"/>
                <w:sz w:val="20"/>
                <w:szCs w:val="20"/>
              </w:rPr>
              <w:t>1,82</w:t>
            </w:r>
          </w:p>
        </w:tc>
        <w:tc>
          <w:tcPr>
            <w:tcW w:w="1077" w:type="dxa"/>
            <w:tcBorders>
              <w:top w:val="nil"/>
              <w:left w:val="nil"/>
              <w:bottom w:val="single" w:sz="4" w:space="0" w:color="auto"/>
              <w:right w:val="single" w:sz="4" w:space="0" w:color="auto"/>
            </w:tcBorders>
            <w:shd w:val="clear" w:color="auto" w:fill="auto"/>
            <w:hideMark/>
          </w:tcPr>
          <w:p w:rsidR="006C3C62" w:rsidRPr="007D22C9" w:rsidRDefault="006C3C62" w:rsidP="00D302C3">
            <w:pPr>
              <w:autoSpaceDE/>
              <w:autoSpaceDN/>
              <w:adjustRightInd/>
              <w:spacing w:line="233" w:lineRule="auto"/>
              <w:jc w:val="center"/>
              <w:rPr>
                <w:color w:val="000000"/>
                <w:sz w:val="20"/>
                <w:szCs w:val="20"/>
              </w:rPr>
            </w:pPr>
            <w:r w:rsidRPr="007D22C9">
              <w:rPr>
                <w:color w:val="000000"/>
                <w:sz w:val="20"/>
                <w:szCs w:val="20"/>
              </w:rPr>
              <w:t>1</w:t>
            </w:r>
            <w:r w:rsidR="00204A32" w:rsidRPr="007D22C9">
              <w:rPr>
                <w:color w:val="000000"/>
                <w:sz w:val="20"/>
                <w:szCs w:val="20"/>
              </w:rPr>
              <w:t>,5</w:t>
            </w:r>
            <w:r w:rsidR="002340FF" w:rsidRPr="007D22C9">
              <w:rPr>
                <w:color w:val="000000"/>
                <w:sz w:val="20"/>
                <w:szCs w:val="20"/>
              </w:rPr>
              <w:t>0</w:t>
            </w:r>
          </w:p>
        </w:tc>
        <w:tc>
          <w:tcPr>
            <w:tcW w:w="992" w:type="dxa"/>
            <w:tcBorders>
              <w:top w:val="nil"/>
              <w:left w:val="nil"/>
              <w:bottom w:val="single" w:sz="4" w:space="0" w:color="auto"/>
              <w:right w:val="single" w:sz="4" w:space="0" w:color="auto"/>
            </w:tcBorders>
            <w:shd w:val="clear" w:color="auto" w:fill="auto"/>
            <w:hideMark/>
          </w:tcPr>
          <w:p w:rsidR="006C3C62" w:rsidRPr="007D22C9" w:rsidRDefault="006C3C62" w:rsidP="00D302C3">
            <w:pPr>
              <w:autoSpaceDE/>
              <w:autoSpaceDN/>
              <w:adjustRightInd/>
              <w:spacing w:line="233" w:lineRule="auto"/>
              <w:jc w:val="center"/>
              <w:rPr>
                <w:color w:val="000000"/>
                <w:sz w:val="20"/>
                <w:szCs w:val="20"/>
              </w:rPr>
            </w:pPr>
            <w:r w:rsidRPr="007D22C9">
              <w:rPr>
                <w:color w:val="000000"/>
                <w:sz w:val="20"/>
                <w:szCs w:val="20"/>
              </w:rPr>
              <w:t>1</w:t>
            </w:r>
            <w:r w:rsidR="00204A32" w:rsidRPr="007D22C9">
              <w:rPr>
                <w:color w:val="000000"/>
                <w:sz w:val="20"/>
                <w:szCs w:val="20"/>
              </w:rPr>
              <w:t>,5</w:t>
            </w:r>
            <w:r w:rsidR="002340FF" w:rsidRPr="007D22C9">
              <w:rPr>
                <w:color w:val="000000"/>
                <w:sz w:val="20"/>
                <w:szCs w:val="20"/>
              </w:rPr>
              <w:t>0</w:t>
            </w:r>
          </w:p>
        </w:tc>
        <w:tc>
          <w:tcPr>
            <w:tcW w:w="708" w:type="dxa"/>
            <w:tcBorders>
              <w:top w:val="nil"/>
              <w:left w:val="nil"/>
              <w:bottom w:val="single" w:sz="4" w:space="0" w:color="auto"/>
              <w:right w:val="single" w:sz="4" w:space="0" w:color="auto"/>
            </w:tcBorders>
            <w:shd w:val="clear" w:color="auto" w:fill="auto"/>
            <w:hideMark/>
          </w:tcPr>
          <w:p w:rsidR="006C3C62" w:rsidRPr="007D22C9" w:rsidRDefault="006C3C62" w:rsidP="00D302C3">
            <w:pPr>
              <w:autoSpaceDE/>
              <w:autoSpaceDN/>
              <w:adjustRightInd/>
              <w:spacing w:line="233" w:lineRule="auto"/>
              <w:jc w:val="center"/>
              <w:rPr>
                <w:color w:val="000000"/>
                <w:sz w:val="20"/>
                <w:szCs w:val="20"/>
              </w:rPr>
            </w:pPr>
            <w:r w:rsidRPr="007D22C9">
              <w:rPr>
                <w:color w:val="000000"/>
                <w:sz w:val="20"/>
                <w:szCs w:val="20"/>
              </w:rPr>
              <w:t>1</w:t>
            </w:r>
          </w:p>
        </w:tc>
        <w:tc>
          <w:tcPr>
            <w:tcW w:w="993" w:type="dxa"/>
            <w:tcBorders>
              <w:top w:val="nil"/>
              <w:left w:val="nil"/>
              <w:bottom w:val="single" w:sz="4" w:space="0" w:color="auto"/>
              <w:right w:val="single" w:sz="4" w:space="0" w:color="auto"/>
            </w:tcBorders>
            <w:shd w:val="clear" w:color="auto" w:fill="auto"/>
            <w:hideMark/>
          </w:tcPr>
          <w:p w:rsidR="006C3C62" w:rsidRPr="007D22C9" w:rsidRDefault="006C3C62" w:rsidP="00D302C3">
            <w:pPr>
              <w:autoSpaceDE/>
              <w:autoSpaceDN/>
              <w:adjustRightInd/>
              <w:spacing w:line="233" w:lineRule="auto"/>
              <w:jc w:val="center"/>
              <w:rPr>
                <w:color w:val="000000"/>
                <w:sz w:val="20"/>
                <w:szCs w:val="20"/>
              </w:rPr>
            </w:pPr>
            <w:r w:rsidRPr="007D22C9">
              <w:rPr>
                <w:color w:val="000000"/>
                <w:sz w:val="20"/>
                <w:szCs w:val="20"/>
              </w:rPr>
              <w:t> </w:t>
            </w:r>
            <w:r w:rsidR="00DE16F2" w:rsidRPr="007D22C9">
              <w:rPr>
                <w:color w:val="000000"/>
                <w:sz w:val="20"/>
                <w:szCs w:val="20"/>
              </w:rPr>
              <w:t>0</w:t>
            </w:r>
          </w:p>
        </w:tc>
      </w:tr>
      <w:tr w:rsidR="006C3C62" w:rsidRPr="007D22C9" w:rsidTr="00BD3B9A">
        <w:trPr>
          <w:trHeight w:val="20"/>
        </w:trPr>
        <w:tc>
          <w:tcPr>
            <w:tcW w:w="533" w:type="dxa"/>
            <w:tcBorders>
              <w:top w:val="nil"/>
              <w:left w:val="single" w:sz="4" w:space="0" w:color="auto"/>
              <w:bottom w:val="single" w:sz="4" w:space="0" w:color="auto"/>
              <w:right w:val="single" w:sz="4" w:space="0" w:color="auto"/>
            </w:tcBorders>
            <w:shd w:val="clear" w:color="auto" w:fill="auto"/>
            <w:hideMark/>
          </w:tcPr>
          <w:p w:rsidR="006C3C62" w:rsidRPr="007D22C9" w:rsidRDefault="006C3C62" w:rsidP="00D302C3">
            <w:pPr>
              <w:autoSpaceDE/>
              <w:autoSpaceDN/>
              <w:adjustRightInd/>
              <w:spacing w:line="233" w:lineRule="auto"/>
              <w:jc w:val="center"/>
              <w:rPr>
                <w:color w:val="000000"/>
                <w:sz w:val="20"/>
                <w:szCs w:val="20"/>
              </w:rPr>
            </w:pPr>
            <w:r w:rsidRPr="007D22C9">
              <w:rPr>
                <w:color w:val="000000"/>
                <w:sz w:val="20"/>
                <w:szCs w:val="20"/>
              </w:rPr>
              <w:t>3</w:t>
            </w:r>
            <w:r w:rsidR="003B1A7B" w:rsidRPr="007D22C9">
              <w:rPr>
                <w:color w:val="000000"/>
                <w:sz w:val="20"/>
                <w:szCs w:val="20"/>
              </w:rPr>
              <w:t>.</w:t>
            </w:r>
          </w:p>
        </w:tc>
        <w:tc>
          <w:tcPr>
            <w:tcW w:w="1730" w:type="dxa"/>
            <w:tcBorders>
              <w:top w:val="nil"/>
              <w:left w:val="nil"/>
              <w:bottom w:val="single" w:sz="4" w:space="0" w:color="auto"/>
              <w:right w:val="nil"/>
            </w:tcBorders>
            <w:shd w:val="clear" w:color="auto" w:fill="auto"/>
            <w:hideMark/>
          </w:tcPr>
          <w:p w:rsidR="006C3C62" w:rsidRPr="007D22C9" w:rsidRDefault="006C3C62" w:rsidP="00D302C3">
            <w:pPr>
              <w:autoSpaceDE/>
              <w:autoSpaceDN/>
              <w:adjustRightInd/>
              <w:spacing w:line="233" w:lineRule="auto"/>
              <w:jc w:val="both"/>
              <w:rPr>
                <w:color w:val="000000"/>
                <w:sz w:val="20"/>
                <w:szCs w:val="20"/>
              </w:rPr>
            </w:pPr>
            <w:r w:rsidRPr="007D22C9">
              <w:rPr>
                <w:color w:val="000000"/>
                <w:sz w:val="20"/>
                <w:szCs w:val="20"/>
              </w:rPr>
              <w:t xml:space="preserve">ГАУЗ </w:t>
            </w:r>
            <w:r w:rsidR="002F7358" w:rsidRPr="007D22C9">
              <w:rPr>
                <w:color w:val="000000"/>
                <w:sz w:val="20"/>
                <w:szCs w:val="20"/>
              </w:rPr>
              <w:t>«</w:t>
            </w:r>
            <w:r w:rsidRPr="007D22C9">
              <w:rPr>
                <w:color w:val="000000"/>
                <w:sz w:val="20"/>
                <w:szCs w:val="20"/>
              </w:rPr>
              <w:t>Аксубаевская ЦРБ</w:t>
            </w:r>
            <w:r w:rsidR="002F7358" w:rsidRPr="007D22C9">
              <w:rPr>
                <w:color w:val="000000"/>
                <w:sz w:val="20"/>
                <w:szCs w:val="20"/>
              </w:rPr>
              <w:t>»</w:t>
            </w:r>
          </w:p>
        </w:tc>
        <w:tc>
          <w:tcPr>
            <w:tcW w:w="1418" w:type="dxa"/>
            <w:tcBorders>
              <w:top w:val="nil"/>
              <w:left w:val="single" w:sz="4" w:space="0" w:color="auto"/>
              <w:bottom w:val="single" w:sz="4" w:space="0" w:color="auto"/>
              <w:right w:val="single" w:sz="4" w:space="0" w:color="auto"/>
            </w:tcBorders>
            <w:shd w:val="clear" w:color="auto" w:fill="auto"/>
            <w:hideMark/>
          </w:tcPr>
          <w:p w:rsidR="006C3C62" w:rsidRPr="007D22C9" w:rsidRDefault="00A653E0" w:rsidP="00C940D5">
            <w:pPr>
              <w:autoSpaceDE/>
              <w:autoSpaceDN/>
              <w:adjustRightInd/>
              <w:spacing w:line="233" w:lineRule="auto"/>
              <w:ind w:left="-28" w:right="-28"/>
              <w:jc w:val="both"/>
              <w:rPr>
                <w:color w:val="000000"/>
                <w:sz w:val="20"/>
                <w:szCs w:val="20"/>
              </w:rPr>
            </w:pPr>
            <w:r w:rsidRPr="007D22C9">
              <w:rPr>
                <w:color w:val="000000"/>
                <w:sz w:val="20"/>
                <w:szCs w:val="20"/>
              </w:rPr>
              <w:t>пгт</w:t>
            </w:r>
            <w:r w:rsidR="00C572EE" w:rsidRPr="007D22C9">
              <w:rPr>
                <w:color w:val="000000"/>
                <w:sz w:val="20"/>
                <w:szCs w:val="20"/>
              </w:rPr>
              <w:t>.</w:t>
            </w:r>
            <w:r w:rsidR="006C3C62" w:rsidRPr="007D22C9">
              <w:rPr>
                <w:color w:val="000000"/>
                <w:sz w:val="20"/>
                <w:szCs w:val="20"/>
              </w:rPr>
              <w:t>Аксуба</w:t>
            </w:r>
            <w:r w:rsidR="007F3AFB" w:rsidRPr="007D22C9">
              <w:rPr>
                <w:color w:val="000000"/>
                <w:sz w:val="20"/>
                <w:szCs w:val="20"/>
              </w:rPr>
              <w:t>-</w:t>
            </w:r>
            <w:r w:rsidR="006C3C62" w:rsidRPr="007D22C9">
              <w:rPr>
                <w:color w:val="000000"/>
                <w:sz w:val="20"/>
                <w:szCs w:val="20"/>
              </w:rPr>
              <w:t>ево,</w:t>
            </w:r>
            <w:r w:rsidR="00C572EE" w:rsidRPr="007D22C9">
              <w:rPr>
                <w:color w:val="000000"/>
                <w:sz w:val="20"/>
                <w:szCs w:val="20"/>
              </w:rPr>
              <w:t xml:space="preserve"> </w:t>
            </w:r>
            <w:r w:rsidR="00F12A06" w:rsidRPr="007D22C9">
              <w:rPr>
                <w:color w:val="000000"/>
                <w:sz w:val="20"/>
                <w:szCs w:val="20"/>
              </w:rPr>
              <w:t>ул.</w:t>
            </w:r>
            <w:r w:rsidR="006C3C62" w:rsidRPr="007D22C9">
              <w:rPr>
                <w:color w:val="000000"/>
                <w:sz w:val="20"/>
                <w:szCs w:val="20"/>
              </w:rPr>
              <w:t>Ф.Ма</w:t>
            </w:r>
            <w:r w:rsidR="00C572EE" w:rsidRPr="007D22C9">
              <w:rPr>
                <w:color w:val="000000"/>
                <w:sz w:val="20"/>
                <w:szCs w:val="20"/>
              </w:rPr>
              <w:t>-</w:t>
            </w:r>
            <w:r w:rsidR="006C3C62" w:rsidRPr="007D22C9">
              <w:rPr>
                <w:color w:val="000000"/>
                <w:sz w:val="20"/>
                <w:szCs w:val="20"/>
              </w:rPr>
              <w:t>зилина,</w:t>
            </w:r>
            <w:r w:rsidR="007F3AFB" w:rsidRPr="007D22C9">
              <w:rPr>
                <w:color w:val="000000"/>
                <w:sz w:val="20"/>
                <w:szCs w:val="20"/>
              </w:rPr>
              <w:t xml:space="preserve"> </w:t>
            </w:r>
            <w:r w:rsidR="00C940D5" w:rsidRPr="007D22C9">
              <w:rPr>
                <w:color w:val="000000"/>
                <w:sz w:val="20"/>
                <w:szCs w:val="20"/>
              </w:rPr>
              <w:t>д.</w:t>
            </w:r>
            <w:r w:rsidR="006C3C62" w:rsidRPr="007D22C9">
              <w:rPr>
                <w:color w:val="000000"/>
                <w:sz w:val="20"/>
                <w:szCs w:val="20"/>
              </w:rPr>
              <w:t>41</w:t>
            </w:r>
          </w:p>
        </w:tc>
        <w:tc>
          <w:tcPr>
            <w:tcW w:w="1418" w:type="dxa"/>
            <w:tcBorders>
              <w:top w:val="nil"/>
              <w:left w:val="nil"/>
              <w:bottom w:val="single" w:sz="4" w:space="0" w:color="auto"/>
              <w:right w:val="single" w:sz="4" w:space="0" w:color="auto"/>
            </w:tcBorders>
            <w:shd w:val="clear" w:color="auto" w:fill="auto"/>
            <w:hideMark/>
          </w:tcPr>
          <w:p w:rsidR="006C3C62" w:rsidRPr="007D22C9" w:rsidRDefault="006C3C62" w:rsidP="00D302C3">
            <w:pPr>
              <w:autoSpaceDE/>
              <w:autoSpaceDN/>
              <w:adjustRightInd/>
              <w:spacing w:line="233" w:lineRule="auto"/>
              <w:jc w:val="both"/>
              <w:rPr>
                <w:color w:val="000000"/>
                <w:sz w:val="20"/>
                <w:szCs w:val="20"/>
              </w:rPr>
            </w:pPr>
            <w:r w:rsidRPr="007D22C9">
              <w:rPr>
                <w:color w:val="000000"/>
                <w:sz w:val="20"/>
                <w:szCs w:val="20"/>
              </w:rPr>
              <w:t>Аксубаевский муниципальный район</w:t>
            </w:r>
          </w:p>
        </w:tc>
        <w:tc>
          <w:tcPr>
            <w:tcW w:w="851" w:type="dxa"/>
            <w:tcBorders>
              <w:top w:val="nil"/>
              <w:left w:val="nil"/>
              <w:bottom w:val="single" w:sz="4" w:space="0" w:color="auto"/>
              <w:right w:val="single" w:sz="4" w:space="0" w:color="auto"/>
            </w:tcBorders>
            <w:shd w:val="clear" w:color="auto" w:fill="auto"/>
            <w:hideMark/>
          </w:tcPr>
          <w:p w:rsidR="006C3C62" w:rsidRPr="007D22C9" w:rsidRDefault="006C3C62" w:rsidP="00D302C3">
            <w:pPr>
              <w:autoSpaceDE/>
              <w:autoSpaceDN/>
              <w:adjustRightInd/>
              <w:spacing w:line="233" w:lineRule="auto"/>
              <w:jc w:val="center"/>
              <w:rPr>
                <w:color w:val="000000"/>
                <w:sz w:val="20"/>
                <w:szCs w:val="20"/>
              </w:rPr>
            </w:pPr>
            <w:r w:rsidRPr="007D22C9">
              <w:rPr>
                <w:color w:val="000000"/>
                <w:sz w:val="20"/>
                <w:szCs w:val="20"/>
              </w:rPr>
              <w:t>20 902</w:t>
            </w:r>
          </w:p>
        </w:tc>
        <w:tc>
          <w:tcPr>
            <w:tcW w:w="850" w:type="dxa"/>
            <w:tcBorders>
              <w:top w:val="nil"/>
              <w:left w:val="nil"/>
              <w:bottom w:val="single" w:sz="4" w:space="0" w:color="auto"/>
              <w:right w:val="single" w:sz="4" w:space="0" w:color="auto"/>
            </w:tcBorders>
            <w:shd w:val="clear" w:color="auto" w:fill="auto"/>
            <w:hideMark/>
          </w:tcPr>
          <w:p w:rsidR="006C3C62" w:rsidRPr="007D22C9" w:rsidRDefault="006C3C62" w:rsidP="00D302C3">
            <w:pPr>
              <w:autoSpaceDE/>
              <w:autoSpaceDN/>
              <w:adjustRightInd/>
              <w:spacing w:line="233" w:lineRule="auto"/>
              <w:jc w:val="center"/>
              <w:rPr>
                <w:color w:val="000000"/>
                <w:sz w:val="20"/>
                <w:szCs w:val="20"/>
              </w:rPr>
            </w:pPr>
            <w:r w:rsidRPr="007D22C9">
              <w:rPr>
                <w:color w:val="000000"/>
                <w:sz w:val="20"/>
                <w:szCs w:val="20"/>
              </w:rPr>
              <w:t>0,70</w:t>
            </w:r>
          </w:p>
        </w:tc>
        <w:tc>
          <w:tcPr>
            <w:tcW w:w="1077" w:type="dxa"/>
            <w:tcBorders>
              <w:top w:val="nil"/>
              <w:left w:val="nil"/>
              <w:bottom w:val="single" w:sz="4" w:space="0" w:color="auto"/>
              <w:right w:val="single" w:sz="4" w:space="0" w:color="auto"/>
            </w:tcBorders>
            <w:shd w:val="clear" w:color="auto" w:fill="auto"/>
            <w:hideMark/>
          </w:tcPr>
          <w:p w:rsidR="006C3C62" w:rsidRPr="007D22C9" w:rsidRDefault="002340FF" w:rsidP="002340FF">
            <w:pPr>
              <w:autoSpaceDE/>
              <w:autoSpaceDN/>
              <w:adjustRightInd/>
              <w:spacing w:line="233" w:lineRule="auto"/>
              <w:jc w:val="center"/>
              <w:rPr>
                <w:color w:val="000000"/>
                <w:sz w:val="20"/>
                <w:szCs w:val="20"/>
              </w:rPr>
            </w:pPr>
            <w:r w:rsidRPr="007D22C9">
              <w:rPr>
                <w:color w:val="000000"/>
                <w:sz w:val="20"/>
                <w:szCs w:val="20"/>
              </w:rPr>
              <w:t>1,00</w:t>
            </w:r>
          </w:p>
        </w:tc>
        <w:tc>
          <w:tcPr>
            <w:tcW w:w="992" w:type="dxa"/>
            <w:tcBorders>
              <w:top w:val="nil"/>
              <w:left w:val="nil"/>
              <w:bottom w:val="single" w:sz="4" w:space="0" w:color="auto"/>
              <w:right w:val="single" w:sz="4" w:space="0" w:color="auto"/>
            </w:tcBorders>
            <w:shd w:val="clear" w:color="auto" w:fill="auto"/>
            <w:hideMark/>
          </w:tcPr>
          <w:p w:rsidR="006C3C62" w:rsidRPr="007D22C9" w:rsidRDefault="002340FF" w:rsidP="002340FF">
            <w:pPr>
              <w:autoSpaceDE/>
              <w:autoSpaceDN/>
              <w:adjustRightInd/>
              <w:spacing w:line="233" w:lineRule="auto"/>
              <w:jc w:val="center"/>
              <w:rPr>
                <w:color w:val="000000"/>
                <w:sz w:val="20"/>
                <w:szCs w:val="20"/>
              </w:rPr>
            </w:pPr>
            <w:r w:rsidRPr="007D22C9">
              <w:rPr>
                <w:color w:val="000000"/>
                <w:sz w:val="20"/>
                <w:szCs w:val="20"/>
              </w:rPr>
              <w:t>1,00</w:t>
            </w:r>
          </w:p>
        </w:tc>
        <w:tc>
          <w:tcPr>
            <w:tcW w:w="708" w:type="dxa"/>
            <w:tcBorders>
              <w:top w:val="nil"/>
              <w:left w:val="nil"/>
              <w:bottom w:val="single" w:sz="4" w:space="0" w:color="auto"/>
              <w:right w:val="single" w:sz="4" w:space="0" w:color="auto"/>
            </w:tcBorders>
            <w:shd w:val="clear" w:color="auto" w:fill="auto"/>
            <w:hideMark/>
          </w:tcPr>
          <w:p w:rsidR="006C3C62" w:rsidRPr="007D22C9" w:rsidRDefault="006C3C62" w:rsidP="00D302C3">
            <w:pPr>
              <w:autoSpaceDE/>
              <w:autoSpaceDN/>
              <w:adjustRightInd/>
              <w:spacing w:line="233" w:lineRule="auto"/>
              <w:jc w:val="center"/>
              <w:rPr>
                <w:color w:val="000000"/>
                <w:sz w:val="20"/>
                <w:szCs w:val="20"/>
              </w:rPr>
            </w:pPr>
            <w:r w:rsidRPr="007D22C9">
              <w:rPr>
                <w:color w:val="000000"/>
                <w:sz w:val="20"/>
                <w:szCs w:val="20"/>
              </w:rPr>
              <w:t>1</w:t>
            </w:r>
          </w:p>
        </w:tc>
        <w:tc>
          <w:tcPr>
            <w:tcW w:w="993" w:type="dxa"/>
            <w:tcBorders>
              <w:top w:val="nil"/>
              <w:left w:val="nil"/>
              <w:bottom w:val="single" w:sz="4" w:space="0" w:color="auto"/>
              <w:right w:val="single" w:sz="4" w:space="0" w:color="auto"/>
            </w:tcBorders>
            <w:shd w:val="clear" w:color="auto" w:fill="auto"/>
            <w:hideMark/>
          </w:tcPr>
          <w:p w:rsidR="006C3C62" w:rsidRPr="007D22C9" w:rsidRDefault="002340FF" w:rsidP="002340FF">
            <w:pPr>
              <w:autoSpaceDE/>
              <w:autoSpaceDN/>
              <w:adjustRightInd/>
              <w:spacing w:line="233" w:lineRule="auto"/>
              <w:jc w:val="center"/>
              <w:rPr>
                <w:color w:val="000000"/>
                <w:sz w:val="20"/>
                <w:szCs w:val="20"/>
              </w:rPr>
            </w:pPr>
            <w:r w:rsidRPr="007D22C9">
              <w:rPr>
                <w:color w:val="000000"/>
                <w:sz w:val="20"/>
                <w:szCs w:val="20"/>
              </w:rPr>
              <w:t>0</w:t>
            </w:r>
          </w:p>
        </w:tc>
      </w:tr>
      <w:tr w:rsidR="006C3C62" w:rsidRPr="007D22C9" w:rsidTr="00BD3B9A">
        <w:trPr>
          <w:trHeight w:val="20"/>
        </w:trPr>
        <w:tc>
          <w:tcPr>
            <w:tcW w:w="533" w:type="dxa"/>
            <w:tcBorders>
              <w:top w:val="nil"/>
              <w:left w:val="single" w:sz="4" w:space="0" w:color="auto"/>
              <w:bottom w:val="single" w:sz="4" w:space="0" w:color="auto"/>
              <w:right w:val="single" w:sz="4" w:space="0" w:color="auto"/>
            </w:tcBorders>
            <w:shd w:val="clear" w:color="auto" w:fill="auto"/>
            <w:hideMark/>
          </w:tcPr>
          <w:p w:rsidR="006C3C62" w:rsidRPr="007D22C9" w:rsidRDefault="006C3C62" w:rsidP="00D302C3">
            <w:pPr>
              <w:autoSpaceDE/>
              <w:autoSpaceDN/>
              <w:adjustRightInd/>
              <w:spacing w:line="233" w:lineRule="auto"/>
              <w:jc w:val="center"/>
              <w:rPr>
                <w:color w:val="000000"/>
                <w:sz w:val="20"/>
                <w:szCs w:val="20"/>
              </w:rPr>
            </w:pPr>
            <w:r w:rsidRPr="007D22C9">
              <w:rPr>
                <w:color w:val="000000"/>
                <w:sz w:val="20"/>
                <w:szCs w:val="20"/>
              </w:rPr>
              <w:t>4</w:t>
            </w:r>
            <w:r w:rsidR="003B1A7B" w:rsidRPr="007D22C9">
              <w:rPr>
                <w:color w:val="000000"/>
                <w:sz w:val="20"/>
                <w:szCs w:val="20"/>
              </w:rPr>
              <w:t>.</w:t>
            </w:r>
          </w:p>
        </w:tc>
        <w:tc>
          <w:tcPr>
            <w:tcW w:w="1730" w:type="dxa"/>
            <w:tcBorders>
              <w:top w:val="nil"/>
              <w:left w:val="nil"/>
              <w:bottom w:val="single" w:sz="4" w:space="0" w:color="auto"/>
              <w:right w:val="nil"/>
            </w:tcBorders>
            <w:shd w:val="clear" w:color="auto" w:fill="auto"/>
            <w:hideMark/>
          </w:tcPr>
          <w:p w:rsidR="006C3C62" w:rsidRPr="007D22C9" w:rsidRDefault="006C3C62" w:rsidP="00D302C3">
            <w:pPr>
              <w:autoSpaceDE/>
              <w:autoSpaceDN/>
              <w:adjustRightInd/>
              <w:spacing w:line="233" w:lineRule="auto"/>
              <w:jc w:val="both"/>
              <w:rPr>
                <w:color w:val="000000"/>
                <w:sz w:val="20"/>
                <w:szCs w:val="20"/>
              </w:rPr>
            </w:pPr>
            <w:r w:rsidRPr="007D22C9">
              <w:rPr>
                <w:color w:val="000000"/>
                <w:sz w:val="20"/>
                <w:szCs w:val="20"/>
              </w:rPr>
              <w:t xml:space="preserve">ГАУЗ </w:t>
            </w:r>
            <w:r w:rsidR="002F7358" w:rsidRPr="007D22C9">
              <w:rPr>
                <w:color w:val="000000"/>
                <w:sz w:val="20"/>
                <w:szCs w:val="20"/>
              </w:rPr>
              <w:t>«</w:t>
            </w:r>
            <w:r w:rsidRPr="007D22C9">
              <w:rPr>
                <w:color w:val="000000"/>
                <w:sz w:val="20"/>
                <w:szCs w:val="20"/>
              </w:rPr>
              <w:t>Актанышская ЦРБ</w:t>
            </w:r>
            <w:r w:rsidR="002F7358" w:rsidRPr="007D22C9">
              <w:rPr>
                <w:color w:val="000000"/>
                <w:sz w:val="20"/>
                <w:szCs w:val="20"/>
              </w:rPr>
              <w:t>»</w:t>
            </w:r>
          </w:p>
        </w:tc>
        <w:tc>
          <w:tcPr>
            <w:tcW w:w="1418" w:type="dxa"/>
            <w:tcBorders>
              <w:top w:val="nil"/>
              <w:left w:val="single" w:sz="4" w:space="0" w:color="auto"/>
              <w:bottom w:val="single" w:sz="4" w:space="0" w:color="auto"/>
              <w:right w:val="single" w:sz="4" w:space="0" w:color="auto"/>
            </w:tcBorders>
            <w:shd w:val="clear" w:color="auto" w:fill="auto"/>
            <w:hideMark/>
          </w:tcPr>
          <w:p w:rsidR="006C3C62" w:rsidRPr="007D22C9" w:rsidRDefault="00C572EE" w:rsidP="00C940D5">
            <w:pPr>
              <w:autoSpaceDE/>
              <w:autoSpaceDN/>
              <w:adjustRightInd/>
              <w:spacing w:line="233" w:lineRule="auto"/>
              <w:ind w:left="-28" w:right="-28"/>
              <w:jc w:val="both"/>
              <w:rPr>
                <w:color w:val="000000"/>
                <w:sz w:val="20"/>
                <w:szCs w:val="20"/>
              </w:rPr>
            </w:pPr>
            <w:r w:rsidRPr="007D22C9">
              <w:rPr>
                <w:color w:val="000000"/>
                <w:sz w:val="20"/>
                <w:szCs w:val="20"/>
              </w:rPr>
              <w:t>с.Актаныш, пр.</w:t>
            </w:r>
            <w:r w:rsidR="006C3C62" w:rsidRPr="007D22C9">
              <w:rPr>
                <w:color w:val="000000"/>
                <w:sz w:val="20"/>
                <w:szCs w:val="20"/>
              </w:rPr>
              <w:t>Ленина,</w:t>
            </w:r>
            <w:r w:rsidR="00C940D5" w:rsidRPr="007D22C9">
              <w:rPr>
                <w:color w:val="000000"/>
                <w:sz w:val="20"/>
                <w:szCs w:val="20"/>
              </w:rPr>
              <w:t xml:space="preserve"> д.</w:t>
            </w:r>
            <w:r w:rsidR="006C3C62" w:rsidRPr="007D22C9">
              <w:rPr>
                <w:color w:val="000000"/>
                <w:sz w:val="20"/>
                <w:szCs w:val="20"/>
              </w:rPr>
              <w:t>1</w:t>
            </w:r>
          </w:p>
        </w:tc>
        <w:tc>
          <w:tcPr>
            <w:tcW w:w="1418" w:type="dxa"/>
            <w:tcBorders>
              <w:top w:val="nil"/>
              <w:left w:val="nil"/>
              <w:bottom w:val="single" w:sz="4" w:space="0" w:color="auto"/>
              <w:right w:val="single" w:sz="4" w:space="0" w:color="auto"/>
            </w:tcBorders>
            <w:shd w:val="clear" w:color="auto" w:fill="auto"/>
            <w:hideMark/>
          </w:tcPr>
          <w:p w:rsidR="006C3C62" w:rsidRPr="007D22C9" w:rsidRDefault="006C3C62" w:rsidP="00D302C3">
            <w:pPr>
              <w:autoSpaceDE/>
              <w:autoSpaceDN/>
              <w:adjustRightInd/>
              <w:spacing w:line="233" w:lineRule="auto"/>
              <w:jc w:val="both"/>
              <w:rPr>
                <w:color w:val="000000"/>
                <w:sz w:val="20"/>
                <w:szCs w:val="20"/>
              </w:rPr>
            </w:pPr>
            <w:r w:rsidRPr="007D22C9">
              <w:rPr>
                <w:color w:val="000000"/>
                <w:sz w:val="20"/>
                <w:szCs w:val="20"/>
              </w:rPr>
              <w:t>Актанышский муниципальный район</w:t>
            </w:r>
          </w:p>
        </w:tc>
        <w:tc>
          <w:tcPr>
            <w:tcW w:w="851" w:type="dxa"/>
            <w:tcBorders>
              <w:top w:val="nil"/>
              <w:left w:val="nil"/>
              <w:bottom w:val="single" w:sz="4" w:space="0" w:color="auto"/>
              <w:right w:val="single" w:sz="4" w:space="0" w:color="auto"/>
            </w:tcBorders>
            <w:shd w:val="clear" w:color="auto" w:fill="auto"/>
            <w:hideMark/>
          </w:tcPr>
          <w:p w:rsidR="006C3C62" w:rsidRPr="007D22C9" w:rsidRDefault="006C3C62" w:rsidP="00D302C3">
            <w:pPr>
              <w:autoSpaceDE/>
              <w:autoSpaceDN/>
              <w:adjustRightInd/>
              <w:spacing w:line="233" w:lineRule="auto"/>
              <w:jc w:val="center"/>
              <w:rPr>
                <w:color w:val="000000"/>
                <w:sz w:val="20"/>
                <w:szCs w:val="20"/>
              </w:rPr>
            </w:pPr>
            <w:r w:rsidRPr="007D22C9">
              <w:rPr>
                <w:color w:val="000000"/>
                <w:sz w:val="20"/>
                <w:szCs w:val="20"/>
              </w:rPr>
              <w:t>23 768</w:t>
            </w:r>
          </w:p>
        </w:tc>
        <w:tc>
          <w:tcPr>
            <w:tcW w:w="850" w:type="dxa"/>
            <w:tcBorders>
              <w:top w:val="nil"/>
              <w:left w:val="nil"/>
              <w:bottom w:val="single" w:sz="4" w:space="0" w:color="auto"/>
              <w:right w:val="single" w:sz="4" w:space="0" w:color="auto"/>
            </w:tcBorders>
            <w:shd w:val="clear" w:color="auto" w:fill="auto"/>
            <w:hideMark/>
          </w:tcPr>
          <w:p w:rsidR="006C3C62" w:rsidRPr="007D22C9" w:rsidRDefault="006C3C62" w:rsidP="00D302C3">
            <w:pPr>
              <w:autoSpaceDE/>
              <w:autoSpaceDN/>
              <w:adjustRightInd/>
              <w:spacing w:line="233" w:lineRule="auto"/>
              <w:jc w:val="center"/>
              <w:rPr>
                <w:color w:val="000000"/>
                <w:sz w:val="20"/>
                <w:szCs w:val="20"/>
              </w:rPr>
            </w:pPr>
            <w:r w:rsidRPr="007D22C9">
              <w:rPr>
                <w:color w:val="000000"/>
                <w:sz w:val="20"/>
                <w:szCs w:val="20"/>
              </w:rPr>
              <w:t>0,79</w:t>
            </w:r>
          </w:p>
        </w:tc>
        <w:tc>
          <w:tcPr>
            <w:tcW w:w="1077" w:type="dxa"/>
            <w:tcBorders>
              <w:top w:val="nil"/>
              <w:left w:val="nil"/>
              <w:bottom w:val="single" w:sz="4" w:space="0" w:color="auto"/>
              <w:right w:val="single" w:sz="4" w:space="0" w:color="auto"/>
            </w:tcBorders>
            <w:shd w:val="clear" w:color="auto" w:fill="auto"/>
            <w:hideMark/>
          </w:tcPr>
          <w:p w:rsidR="006C3C62" w:rsidRPr="007D22C9" w:rsidRDefault="008368D0" w:rsidP="008368D0">
            <w:pPr>
              <w:autoSpaceDE/>
              <w:autoSpaceDN/>
              <w:adjustRightInd/>
              <w:spacing w:line="233" w:lineRule="auto"/>
              <w:jc w:val="center"/>
              <w:rPr>
                <w:color w:val="000000"/>
                <w:sz w:val="20"/>
                <w:szCs w:val="20"/>
              </w:rPr>
            </w:pPr>
            <w:r w:rsidRPr="007D22C9">
              <w:rPr>
                <w:color w:val="000000"/>
                <w:sz w:val="20"/>
                <w:szCs w:val="20"/>
              </w:rPr>
              <w:t>1,00</w:t>
            </w:r>
          </w:p>
        </w:tc>
        <w:tc>
          <w:tcPr>
            <w:tcW w:w="992" w:type="dxa"/>
            <w:tcBorders>
              <w:top w:val="nil"/>
              <w:left w:val="nil"/>
              <w:bottom w:val="single" w:sz="4" w:space="0" w:color="auto"/>
              <w:right w:val="single" w:sz="4" w:space="0" w:color="auto"/>
            </w:tcBorders>
            <w:shd w:val="clear" w:color="auto" w:fill="auto"/>
            <w:hideMark/>
          </w:tcPr>
          <w:p w:rsidR="006C3C62" w:rsidRPr="007D22C9" w:rsidRDefault="008368D0" w:rsidP="008368D0">
            <w:pPr>
              <w:autoSpaceDE/>
              <w:autoSpaceDN/>
              <w:adjustRightInd/>
              <w:spacing w:line="233" w:lineRule="auto"/>
              <w:jc w:val="center"/>
              <w:rPr>
                <w:color w:val="000000"/>
                <w:sz w:val="20"/>
                <w:szCs w:val="20"/>
              </w:rPr>
            </w:pPr>
            <w:r w:rsidRPr="007D22C9">
              <w:rPr>
                <w:color w:val="000000"/>
                <w:sz w:val="20"/>
                <w:szCs w:val="20"/>
              </w:rPr>
              <w:t>1,00</w:t>
            </w:r>
          </w:p>
        </w:tc>
        <w:tc>
          <w:tcPr>
            <w:tcW w:w="708" w:type="dxa"/>
            <w:tcBorders>
              <w:top w:val="nil"/>
              <w:left w:val="nil"/>
              <w:bottom w:val="single" w:sz="4" w:space="0" w:color="auto"/>
              <w:right w:val="single" w:sz="4" w:space="0" w:color="auto"/>
            </w:tcBorders>
            <w:shd w:val="clear" w:color="auto" w:fill="auto"/>
            <w:hideMark/>
          </w:tcPr>
          <w:p w:rsidR="006C3C62" w:rsidRPr="007D22C9" w:rsidRDefault="006C3C62" w:rsidP="00D302C3">
            <w:pPr>
              <w:autoSpaceDE/>
              <w:autoSpaceDN/>
              <w:adjustRightInd/>
              <w:spacing w:line="233" w:lineRule="auto"/>
              <w:jc w:val="center"/>
              <w:rPr>
                <w:color w:val="000000"/>
                <w:sz w:val="20"/>
                <w:szCs w:val="20"/>
              </w:rPr>
            </w:pPr>
            <w:r w:rsidRPr="007D22C9">
              <w:rPr>
                <w:color w:val="000000"/>
                <w:sz w:val="20"/>
                <w:szCs w:val="20"/>
              </w:rPr>
              <w:t>1</w:t>
            </w:r>
          </w:p>
        </w:tc>
        <w:tc>
          <w:tcPr>
            <w:tcW w:w="993" w:type="dxa"/>
            <w:tcBorders>
              <w:top w:val="nil"/>
              <w:left w:val="nil"/>
              <w:bottom w:val="single" w:sz="4" w:space="0" w:color="auto"/>
              <w:right w:val="single" w:sz="4" w:space="0" w:color="auto"/>
            </w:tcBorders>
            <w:shd w:val="clear" w:color="auto" w:fill="auto"/>
            <w:hideMark/>
          </w:tcPr>
          <w:p w:rsidR="006C3C62" w:rsidRPr="007D22C9" w:rsidRDefault="008368D0" w:rsidP="00D302C3">
            <w:pPr>
              <w:autoSpaceDE/>
              <w:autoSpaceDN/>
              <w:adjustRightInd/>
              <w:spacing w:line="233" w:lineRule="auto"/>
              <w:jc w:val="center"/>
              <w:rPr>
                <w:color w:val="000000"/>
                <w:sz w:val="20"/>
                <w:szCs w:val="20"/>
              </w:rPr>
            </w:pPr>
            <w:r w:rsidRPr="007D22C9">
              <w:rPr>
                <w:color w:val="000000"/>
                <w:sz w:val="20"/>
                <w:szCs w:val="20"/>
              </w:rPr>
              <w:t>0</w:t>
            </w:r>
          </w:p>
        </w:tc>
      </w:tr>
      <w:tr w:rsidR="006C3C62" w:rsidRPr="007D22C9" w:rsidTr="00BD3B9A">
        <w:trPr>
          <w:trHeight w:val="20"/>
        </w:trPr>
        <w:tc>
          <w:tcPr>
            <w:tcW w:w="533" w:type="dxa"/>
            <w:tcBorders>
              <w:top w:val="single" w:sz="4" w:space="0" w:color="auto"/>
              <w:left w:val="single" w:sz="4" w:space="0" w:color="auto"/>
              <w:bottom w:val="single" w:sz="4" w:space="0" w:color="auto"/>
              <w:right w:val="single" w:sz="4" w:space="0" w:color="auto"/>
            </w:tcBorders>
            <w:shd w:val="clear" w:color="auto" w:fill="auto"/>
            <w:hideMark/>
          </w:tcPr>
          <w:p w:rsidR="006C3C62" w:rsidRPr="007D22C9" w:rsidRDefault="006C3C62" w:rsidP="00D302C3">
            <w:pPr>
              <w:autoSpaceDE/>
              <w:autoSpaceDN/>
              <w:adjustRightInd/>
              <w:spacing w:line="233" w:lineRule="auto"/>
              <w:jc w:val="center"/>
              <w:rPr>
                <w:color w:val="000000"/>
                <w:sz w:val="20"/>
                <w:szCs w:val="20"/>
              </w:rPr>
            </w:pPr>
            <w:r w:rsidRPr="007D22C9">
              <w:rPr>
                <w:color w:val="000000"/>
                <w:sz w:val="20"/>
                <w:szCs w:val="20"/>
              </w:rPr>
              <w:t>5</w:t>
            </w:r>
            <w:r w:rsidR="003B1A7B" w:rsidRPr="007D22C9">
              <w:rPr>
                <w:color w:val="000000"/>
                <w:sz w:val="20"/>
                <w:szCs w:val="20"/>
              </w:rPr>
              <w:t>.</w:t>
            </w:r>
          </w:p>
        </w:tc>
        <w:tc>
          <w:tcPr>
            <w:tcW w:w="1730" w:type="dxa"/>
            <w:tcBorders>
              <w:top w:val="single" w:sz="4" w:space="0" w:color="auto"/>
              <w:left w:val="nil"/>
              <w:bottom w:val="single" w:sz="4" w:space="0" w:color="auto"/>
              <w:right w:val="nil"/>
            </w:tcBorders>
            <w:shd w:val="clear" w:color="auto" w:fill="auto"/>
            <w:hideMark/>
          </w:tcPr>
          <w:p w:rsidR="006C3C62" w:rsidRPr="007D22C9" w:rsidRDefault="006C3C62" w:rsidP="00D302C3">
            <w:pPr>
              <w:autoSpaceDE/>
              <w:autoSpaceDN/>
              <w:adjustRightInd/>
              <w:spacing w:line="233" w:lineRule="auto"/>
              <w:jc w:val="both"/>
              <w:rPr>
                <w:color w:val="000000"/>
                <w:sz w:val="20"/>
                <w:szCs w:val="20"/>
              </w:rPr>
            </w:pPr>
            <w:r w:rsidRPr="007D22C9">
              <w:rPr>
                <w:color w:val="000000"/>
                <w:sz w:val="20"/>
                <w:szCs w:val="20"/>
              </w:rPr>
              <w:t xml:space="preserve">ГАУЗ </w:t>
            </w:r>
            <w:r w:rsidR="002F7358" w:rsidRPr="007D22C9">
              <w:rPr>
                <w:color w:val="000000"/>
                <w:sz w:val="20"/>
                <w:szCs w:val="20"/>
              </w:rPr>
              <w:t>«</w:t>
            </w:r>
            <w:r w:rsidRPr="007D22C9">
              <w:rPr>
                <w:color w:val="000000"/>
                <w:sz w:val="20"/>
                <w:szCs w:val="20"/>
              </w:rPr>
              <w:t>Алексеевская ЦРБ</w:t>
            </w:r>
            <w:r w:rsidR="002F7358" w:rsidRPr="007D22C9">
              <w:rPr>
                <w:color w:val="000000"/>
                <w:sz w:val="20"/>
                <w:szCs w:val="20"/>
              </w:rPr>
              <w:t>»</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6C3C62" w:rsidRPr="007D22C9" w:rsidRDefault="00C572EE" w:rsidP="00D302C3">
            <w:pPr>
              <w:autoSpaceDE/>
              <w:autoSpaceDN/>
              <w:adjustRightInd/>
              <w:spacing w:line="233" w:lineRule="auto"/>
              <w:ind w:left="-28" w:right="-28"/>
              <w:jc w:val="both"/>
              <w:rPr>
                <w:color w:val="000000"/>
                <w:sz w:val="20"/>
                <w:szCs w:val="20"/>
              </w:rPr>
            </w:pPr>
            <w:r w:rsidRPr="007D22C9">
              <w:rPr>
                <w:color w:val="000000"/>
                <w:sz w:val="20"/>
                <w:szCs w:val="20"/>
              </w:rPr>
              <w:t>пгт.Алексеевское, ул.</w:t>
            </w:r>
            <w:r w:rsidR="006C3C62" w:rsidRPr="007D22C9">
              <w:rPr>
                <w:color w:val="000000"/>
                <w:sz w:val="20"/>
                <w:szCs w:val="20"/>
              </w:rPr>
              <w:t xml:space="preserve">Куйбышева, </w:t>
            </w:r>
            <w:r w:rsidR="00C940D5" w:rsidRPr="007D22C9">
              <w:rPr>
                <w:color w:val="000000"/>
                <w:sz w:val="20"/>
                <w:szCs w:val="20"/>
              </w:rPr>
              <w:t>д.</w:t>
            </w:r>
            <w:r w:rsidR="006C3C62" w:rsidRPr="007D22C9">
              <w:rPr>
                <w:color w:val="000000"/>
                <w:sz w:val="20"/>
                <w:szCs w:val="20"/>
              </w:rPr>
              <w:t>85</w:t>
            </w:r>
          </w:p>
        </w:tc>
        <w:tc>
          <w:tcPr>
            <w:tcW w:w="1418" w:type="dxa"/>
            <w:tcBorders>
              <w:top w:val="single" w:sz="4" w:space="0" w:color="auto"/>
              <w:left w:val="nil"/>
              <w:bottom w:val="single" w:sz="4" w:space="0" w:color="auto"/>
              <w:right w:val="single" w:sz="4" w:space="0" w:color="auto"/>
            </w:tcBorders>
            <w:shd w:val="clear" w:color="auto" w:fill="auto"/>
            <w:hideMark/>
          </w:tcPr>
          <w:p w:rsidR="006C3C62" w:rsidRPr="007D22C9" w:rsidRDefault="006C3C62" w:rsidP="00D302C3">
            <w:pPr>
              <w:autoSpaceDE/>
              <w:autoSpaceDN/>
              <w:adjustRightInd/>
              <w:spacing w:line="233" w:lineRule="auto"/>
              <w:jc w:val="both"/>
              <w:rPr>
                <w:color w:val="000000"/>
                <w:sz w:val="20"/>
                <w:szCs w:val="20"/>
              </w:rPr>
            </w:pPr>
            <w:r w:rsidRPr="007D22C9">
              <w:rPr>
                <w:color w:val="000000"/>
                <w:sz w:val="20"/>
                <w:szCs w:val="20"/>
              </w:rPr>
              <w:t>Алексеевский муниципальный район</w:t>
            </w:r>
          </w:p>
        </w:tc>
        <w:tc>
          <w:tcPr>
            <w:tcW w:w="851" w:type="dxa"/>
            <w:tcBorders>
              <w:top w:val="single" w:sz="4" w:space="0" w:color="auto"/>
              <w:left w:val="nil"/>
              <w:bottom w:val="single" w:sz="4" w:space="0" w:color="auto"/>
              <w:right w:val="single" w:sz="4" w:space="0" w:color="auto"/>
            </w:tcBorders>
            <w:shd w:val="clear" w:color="auto" w:fill="auto"/>
            <w:hideMark/>
          </w:tcPr>
          <w:p w:rsidR="006C3C62" w:rsidRPr="007D22C9" w:rsidRDefault="006C3C62" w:rsidP="00D302C3">
            <w:pPr>
              <w:autoSpaceDE/>
              <w:autoSpaceDN/>
              <w:adjustRightInd/>
              <w:spacing w:line="233" w:lineRule="auto"/>
              <w:jc w:val="center"/>
              <w:rPr>
                <w:color w:val="000000"/>
                <w:sz w:val="20"/>
                <w:szCs w:val="20"/>
              </w:rPr>
            </w:pPr>
            <w:r w:rsidRPr="007D22C9">
              <w:rPr>
                <w:color w:val="000000"/>
                <w:sz w:val="20"/>
                <w:szCs w:val="20"/>
              </w:rPr>
              <w:t>21 514</w:t>
            </w:r>
          </w:p>
        </w:tc>
        <w:tc>
          <w:tcPr>
            <w:tcW w:w="850" w:type="dxa"/>
            <w:tcBorders>
              <w:top w:val="single" w:sz="4" w:space="0" w:color="auto"/>
              <w:left w:val="nil"/>
              <w:bottom w:val="single" w:sz="4" w:space="0" w:color="auto"/>
              <w:right w:val="single" w:sz="4" w:space="0" w:color="auto"/>
            </w:tcBorders>
            <w:shd w:val="clear" w:color="auto" w:fill="auto"/>
            <w:hideMark/>
          </w:tcPr>
          <w:p w:rsidR="006C3C62" w:rsidRPr="007D22C9" w:rsidRDefault="006C3C62" w:rsidP="00D302C3">
            <w:pPr>
              <w:autoSpaceDE/>
              <w:autoSpaceDN/>
              <w:adjustRightInd/>
              <w:spacing w:line="233" w:lineRule="auto"/>
              <w:jc w:val="center"/>
              <w:rPr>
                <w:color w:val="000000"/>
                <w:sz w:val="20"/>
                <w:szCs w:val="20"/>
              </w:rPr>
            </w:pPr>
            <w:r w:rsidRPr="007D22C9">
              <w:rPr>
                <w:color w:val="000000"/>
                <w:sz w:val="20"/>
                <w:szCs w:val="20"/>
              </w:rPr>
              <w:t>0,72</w:t>
            </w:r>
          </w:p>
        </w:tc>
        <w:tc>
          <w:tcPr>
            <w:tcW w:w="1077" w:type="dxa"/>
            <w:tcBorders>
              <w:top w:val="single" w:sz="4" w:space="0" w:color="auto"/>
              <w:left w:val="nil"/>
              <w:bottom w:val="single" w:sz="4" w:space="0" w:color="auto"/>
              <w:right w:val="single" w:sz="4" w:space="0" w:color="auto"/>
            </w:tcBorders>
            <w:shd w:val="clear" w:color="auto" w:fill="auto"/>
            <w:hideMark/>
          </w:tcPr>
          <w:p w:rsidR="006C3C62" w:rsidRPr="007D22C9" w:rsidRDefault="006C3C62" w:rsidP="00AA5770">
            <w:pPr>
              <w:autoSpaceDE/>
              <w:autoSpaceDN/>
              <w:adjustRightInd/>
              <w:spacing w:line="233" w:lineRule="auto"/>
              <w:jc w:val="center"/>
              <w:rPr>
                <w:color w:val="000000"/>
                <w:sz w:val="20"/>
                <w:szCs w:val="20"/>
              </w:rPr>
            </w:pPr>
            <w:r w:rsidRPr="007D22C9">
              <w:rPr>
                <w:color w:val="000000"/>
                <w:sz w:val="20"/>
                <w:szCs w:val="20"/>
              </w:rPr>
              <w:t>0</w:t>
            </w:r>
            <w:r w:rsidR="00AA5770" w:rsidRPr="007D22C9">
              <w:rPr>
                <w:color w:val="000000"/>
                <w:sz w:val="20"/>
                <w:szCs w:val="20"/>
              </w:rPr>
              <w:t>,25</w:t>
            </w:r>
          </w:p>
        </w:tc>
        <w:tc>
          <w:tcPr>
            <w:tcW w:w="992" w:type="dxa"/>
            <w:tcBorders>
              <w:top w:val="single" w:sz="4" w:space="0" w:color="auto"/>
              <w:left w:val="nil"/>
              <w:bottom w:val="single" w:sz="4" w:space="0" w:color="auto"/>
              <w:right w:val="single" w:sz="4" w:space="0" w:color="auto"/>
            </w:tcBorders>
            <w:shd w:val="clear" w:color="auto" w:fill="auto"/>
            <w:hideMark/>
          </w:tcPr>
          <w:p w:rsidR="006C3C62" w:rsidRPr="007D22C9" w:rsidRDefault="006C3C62" w:rsidP="00AA5770">
            <w:pPr>
              <w:autoSpaceDE/>
              <w:autoSpaceDN/>
              <w:adjustRightInd/>
              <w:spacing w:line="233" w:lineRule="auto"/>
              <w:jc w:val="center"/>
              <w:rPr>
                <w:color w:val="000000"/>
                <w:sz w:val="20"/>
                <w:szCs w:val="20"/>
              </w:rPr>
            </w:pPr>
            <w:r w:rsidRPr="007D22C9">
              <w:rPr>
                <w:color w:val="000000"/>
                <w:sz w:val="20"/>
                <w:szCs w:val="20"/>
              </w:rPr>
              <w:t>0,</w:t>
            </w:r>
            <w:r w:rsidR="00AA5770" w:rsidRPr="007D22C9">
              <w:rPr>
                <w:color w:val="000000"/>
                <w:sz w:val="20"/>
                <w:szCs w:val="20"/>
              </w:rPr>
              <w:t>25</w:t>
            </w:r>
          </w:p>
        </w:tc>
        <w:tc>
          <w:tcPr>
            <w:tcW w:w="708" w:type="dxa"/>
            <w:tcBorders>
              <w:top w:val="single" w:sz="4" w:space="0" w:color="auto"/>
              <w:left w:val="nil"/>
              <w:bottom w:val="single" w:sz="4" w:space="0" w:color="auto"/>
              <w:right w:val="single" w:sz="4" w:space="0" w:color="auto"/>
            </w:tcBorders>
            <w:shd w:val="clear" w:color="auto" w:fill="auto"/>
            <w:hideMark/>
          </w:tcPr>
          <w:p w:rsidR="006C3C62" w:rsidRPr="007D22C9" w:rsidRDefault="006C3C62" w:rsidP="00D302C3">
            <w:pPr>
              <w:autoSpaceDE/>
              <w:autoSpaceDN/>
              <w:adjustRightInd/>
              <w:spacing w:line="233" w:lineRule="auto"/>
              <w:jc w:val="center"/>
              <w:rPr>
                <w:color w:val="000000"/>
                <w:sz w:val="20"/>
                <w:szCs w:val="20"/>
              </w:rPr>
            </w:pPr>
            <w:r w:rsidRPr="007D22C9">
              <w:rPr>
                <w:color w:val="000000"/>
                <w:sz w:val="20"/>
                <w:szCs w:val="20"/>
              </w:rPr>
              <w:t>1</w:t>
            </w:r>
          </w:p>
        </w:tc>
        <w:tc>
          <w:tcPr>
            <w:tcW w:w="993" w:type="dxa"/>
            <w:tcBorders>
              <w:top w:val="single" w:sz="4" w:space="0" w:color="auto"/>
              <w:left w:val="nil"/>
              <w:bottom w:val="single" w:sz="4" w:space="0" w:color="auto"/>
              <w:right w:val="single" w:sz="4" w:space="0" w:color="auto"/>
            </w:tcBorders>
            <w:shd w:val="clear" w:color="auto" w:fill="auto"/>
            <w:hideMark/>
          </w:tcPr>
          <w:p w:rsidR="006C3C62" w:rsidRPr="007D22C9" w:rsidRDefault="006C3C62" w:rsidP="00D302C3">
            <w:pPr>
              <w:autoSpaceDE/>
              <w:autoSpaceDN/>
              <w:adjustRightInd/>
              <w:spacing w:line="233" w:lineRule="auto"/>
              <w:jc w:val="center"/>
              <w:rPr>
                <w:color w:val="000000"/>
                <w:sz w:val="20"/>
                <w:szCs w:val="20"/>
              </w:rPr>
            </w:pPr>
            <w:r w:rsidRPr="007D22C9">
              <w:rPr>
                <w:color w:val="000000"/>
                <w:sz w:val="20"/>
                <w:szCs w:val="20"/>
              </w:rPr>
              <w:t>1</w:t>
            </w:r>
          </w:p>
        </w:tc>
      </w:tr>
      <w:tr w:rsidR="00B239A0" w:rsidRPr="007D22C9" w:rsidTr="00BD3B9A">
        <w:trPr>
          <w:trHeight w:val="20"/>
        </w:trPr>
        <w:tc>
          <w:tcPr>
            <w:tcW w:w="533" w:type="dxa"/>
            <w:tcBorders>
              <w:top w:val="single" w:sz="4" w:space="0" w:color="auto"/>
              <w:left w:val="single" w:sz="4" w:space="0" w:color="auto"/>
              <w:bottom w:val="single" w:sz="4" w:space="0" w:color="auto"/>
              <w:right w:val="single" w:sz="4" w:space="0" w:color="auto"/>
            </w:tcBorders>
            <w:shd w:val="clear" w:color="auto" w:fill="auto"/>
          </w:tcPr>
          <w:p w:rsidR="00B239A0" w:rsidRPr="007D22C9" w:rsidRDefault="00B239A0" w:rsidP="00D302C3">
            <w:pPr>
              <w:autoSpaceDE/>
              <w:autoSpaceDN/>
              <w:adjustRightInd/>
              <w:spacing w:line="233" w:lineRule="auto"/>
              <w:jc w:val="center"/>
              <w:rPr>
                <w:color w:val="000000"/>
                <w:sz w:val="20"/>
                <w:szCs w:val="20"/>
              </w:rPr>
            </w:pPr>
            <w:r w:rsidRPr="007D22C9">
              <w:rPr>
                <w:color w:val="000000"/>
                <w:sz w:val="20"/>
                <w:szCs w:val="20"/>
              </w:rPr>
              <w:t>6</w:t>
            </w:r>
            <w:r w:rsidR="003B1A7B" w:rsidRPr="007D22C9">
              <w:rPr>
                <w:color w:val="000000"/>
                <w:sz w:val="20"/>
                <w:szCs w:val="20"/>
              </w:rPr>
              <w:t>.</w:t>
            </w:r>
          </w:p>
        </w:tc>
        <w:tc>
          <w:tcPr>
            <w:tcW w:w="1730" w:type="dxa"/>
            <w:tcBorders>
              <w:top w:val="single" w:sz="4" w:space="0" w:color="auto"/>
              <w:left w:val="nil"/>
              <w:bottom w:val="single" w:sz="4" w:space="0" w:color="auto"/>
              <w:right w:val="nil"/>
            </w:tcBorders>
            <w:shd w:val="clear" w:color="auto" w:fill="auto"/>
          </w:tcPr>
          <w:p w:rsidR="00B239A0" w:rsidRPr="007D22C9" w:rsidRDefault="00B239A0" w:rsidP="00D302C3">
            <w:pPr>
              <w:autoSpaceDE/>
              <w:autoSpaceDN/>
              <w:adjustRightInd/>
              <w:spacing w:line="233" w:lineRule="auto"/>
              <w:jc w:val="both"/>
              <w:rPr>
                <w:color w:val="000000"/>
                <w:sz w:val="20"/>
                <w:szCs w:val="20"/>
              </w:rPr>
            </w:pPr>
            <w:r w:rsidRPr="007D22C9">
              <w:rPr>
                <w:color w:val="000000"/>
                <w:sz w:val="20"/>
                <w:szCs w:val="20"/>
              </w:rPr>
              <w:t xml:space="preserve">ГАУЗ </w:t>
            </w:r>
            <w:r w:rsidR="002F7358" w:rsidRPr="007D22C9">
              <w:rPr>
                <w:color w:val="000000"/>
                <w:sz w:val="20"/>
                <w:szCs w:val="20"/>
              </w:rPr>
              <w:t>«</w:t>
            </w:r>
            <w:r w:rsidRPr="007D22C9">
              <w:rPr>
                <w:color w:val="000000"/>
                <w:sz w:val="20"/>
                <w:szCs w:val="20"/>
              </w:rPr>
              <w:t>Базарно-Матакская ЦРБ</w:t>
            </w:r>
            <w:r w:rsidR="002F7358" w:rsidRPr="007D22C9">
              <w:rPr>
                <w:color w:val="000000"/>
                <w:sz w:val="20"/>
                <w:szCs w:val="20"/>
              </w:rPr>
              <w:t>»</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B239A0" w:rsidRPr="007D22C9" w:rsidRDefault="00C572EE" w:rsidP="00D302C3">
            <w:pPr>
              <w:autoSpaceDE/>
              <w:autoSpaceDN/>
              <w:adjustRightInd/>
              <w:spacing w:line="233" w:lineRule="auto"/>
              <w:ind w:left="-28" w:right="-28"/>
              <w:jc w:val="both"/>
              <w:rPr>
                <w:color w:val="000000"/>
                <w:sz w:val="20"/>
                <w:szCs w:val="20"/>
              </w:rPr>
            </w:pPr>
            <w:r w:rsidRPr="007D22C9">
              <w:rPr>
                <w:color w:val="000000"/>
                <w:sz w:val="20"/>
                <w:szCs w:val="20"/>
              </w:rPr>
              <w:t>с.</w:t>
            </w:r>
            <w:r w:rsidR="00B239A0" w:rsidRPr="007D22C9">
              <w:rPr>
                <w:color w:val="000000"/>
                <w:sz w:val="20"/>
                <w:szCs w:val="20"/>
              </w:rPr>
              <w:t xml:space="preserve">Базарные Матаки, </w:t>
            </w:r>
            <w:r w:rsidR="00F12A06" w:rsidRPr="007D22C9">
              <w:rPr>
                <w:color w:val="000000"/>
                <w:sz w:val="20"/>
                <w:szCs w:val="20"/>
              </w:rPr>
              <w:t>ул.</w:t>
            </w:r>
            <w:r w:rsidR="00B239A0" w:rsidRPr="007D22C9">
              <w:rPr>
                <w:color w:val="000000"/>
                <w:sz w:val="20"/>
                <w:szCs w:val="20"/>
              </w:rPr>
              <w:t xml:space="preserve">Базарная, </w:t>
            </w:r>
            <w:r w:rsidR="00C940D5" w:rsidRPr="007D22C9">
              <w:rPr>
                <w:color w:val="000000"/>
                <w:sz w:val="20"/>
                <w:szCs w:val="20"/>
              </w:rPr>
              <w:t>д.</w:t>
            </w:r>
            <w:r w:rsidR="00B239A0" w:rsidRPr="007D22C9">
              <w:rPr>
                <w:color w:val="000000"/>
                <w:sz w:val="20"/>
                <w:szCs w:val="20"/>
              </w:rPr>
              <w:t>2</w:t>
            </w:r>
          </w:p>
        </w:tc>
        <w:tc>
          <w:tcPr>
            <w:tcW w:w="1418" w:type="dxa"/>
            <w:tcBorders>
              <w:top w:val="single" w:sz="4" w:space="0" w:color="auto"/>
              <w:left w:val="nil"/>
              <w:bottom w:val="single" w:sz="4" w:space="0" w:color="auto"/>
              <w:right w:val="single" w:sz="4" w:space="0" w:color="auto"/>
            </w:tcBorders>
            <w:shd w:val="clear" w:color="auto" w:fill="auto"/>
          </w:tcPr>
          <w:p w:rsidR="00B239A0" w:rsidRPr="007D22C9" w:rsidRDefault="00B239A0" w:rsidP="00D302C3">
            <w:pPr>
              <w:autoSpaceDE/>
              <w:autoSpaceDN/>
              <w:adjustRightInd/>
              <w:spacing w:line="233" w:lineRule="auto"/>
              <w:jc w:val="both"/>
              <w:rPr>
                <w:color w:val="000000"/>
                <w:sz w:val="20"/>
                <w:szCs w:val="20"/>
              </w:rPr>
            </w:pPr>
            <w:r w:rsidRPr="007D22C9">
              <w:rPr>
                <w:color w:val="000000"/>
                <w:sz w:val="20"/>
                <w:szCs w:val="20"/>
              </w:rPr>
              <w:t>Алькеевский муниципальный район</w:t>
            </w:r>
          </w:p>
        </w:tc>
        <w:tc>
          <w:tcPr>
            <w:tcW w:w="851" w:type="dxa"/>
            <w:tcBorders>
              <w:top w:val="single" w:sz="4" w:space="0" w:color="auto"/>
              <w:left w:val="nil"/>
              <w:bottom w:val="single" w:sz="4" w:space="0" w:color="auto"/>
              <w:right w:val="single" w:sz="4" w:space="0" w:color="auto"/>
            </w:tcBorders>
            <w:shd w:val="clear" w:color="auto" w:fill="auto"/>
          </w:tcPr>
          <w:p w:rsidR="00B239A0" w:rsidRPr="007D22C9" w:rsidRDefault="00B239A0" w:rsidP="00D302C3">
            <w:pPr>
              <w:autoSpaceDE/>
              <w:autoSpaceDN/>
              <w:adjustRightInd/>
              <w:spacing w:line="233" w:lineRule="auto"/>
              <w:jc w:val="center"/>
              <w:rPr>
                <w:color w:val="000000"/>
                <w:sz w:val="20"/>
                <w:szCs w:val="20"/>
              </w:rPr>
            </w:pPr>
            <w:r w:rsidRPr="007D22C9">
              <w:rPr>
                <w:color w:val="000000"/>
                <w:sz w:val="20"/>
                <w:szCs w:val="20"/>
              </w:rPr>
              <w:t>15 250</w:t>
            </w:r>
          </w:p>
        </w:tc>
        <w:tc>
          <w:tcPr>
            <w:tcW w:w="850" w:type="dxa"/>
            <w:tcBorders>
              <w:top w:val="single" w:sz="4" w:space="0" w:color="auto"/>
              <w:left w:val="nil"/>
              <w:bottom w:val="single" w:sz="4" w:space="0" w:color="auto"/>
              <w:right w:val="single" w:sz="4" w:space="0" w:color="auto"/>
            </w:tcBorders>
            <w:shd w:val="clear" w:color="auto" w:fill="auto"/>
          </w:tcPr>
          <w:p w:rsidR="00B239A0" w:rsidRPr="007D22C9" w:rsidRDefault="00B239A0" w:rsidP="00D302C3">
            <w:pPr>
              <w:autoSpaceDE/>
              <w:autoSpaceDN/>
              <w:adjustRightInd/>
              <w:spacing w:line="233" w:lineRule="auto"/>
              <w:jc w:val="center"/>
              <w:rPr>
                <w:color w:val="000000"/>
                <w:sz w:val="20"/>
                <w:szCs w:val="20"/>
              </w:rPr>
            </w:pPr>
            <w:r w:rsidRPr="007D22C9">
              <w:rPr>
                <w:color w:val="000000"/>
                <w:sz w:val="20"/>
                <w:szCs w:val="20"/>
              </w:rPr>
              <w:t>0,51</w:t>
            </w:r>
          </w:p>
        </w:tc>
        <w:tc>
          <w:tcPr>
            <w:tcW w:w="1077" w:type="dxa"/>
            <w:tcBorders>
              <w:top w:val="single" w:sz="4" w:space="0" w:color="auto"/>
              <w:left w:val="nil"/>
              <w:bottom w:val="single" w:sz="4" w:space="0" w:color="auto"/>
              <w:right w:val="single" w:sz="4" w:space="0" w:color="auto"/>
            </w:tcBorders>
            <w:shd w:val="clear" w:color="auto" w:fill="auto"/>
          </w:tcPr>
          <w:p w:rsidR="00B239A0" w:rsidRPr="007D22C9" w:rsidRDefault="00B239A0" w:rsidP="00D302C3">
            <w:pPr>
              <w:autoSpaceDE/>
              <w:autoSpaceDN/>
              <w:adjustRightInd/>
              <w:spacing w:line="233" w:lineRule="auto"/>
              <w:jc w:val="center"/>
              <w:rPr>
                <w:color w:val="000000"/>
                <w:sz w:val="20"/>
                <w:szCs w:val="20"/>
              </w:rPr>
            </w:pPr>
            <w:r w:rsidRPr="007D22C9">
              <w:rPr>
                <w:color w:val="000000"/>
                <w:sz w:val="20"/>
                <w:szCs w:val="20"/>
              </w:rPr>
              <w:t>1</w:t>
            </w:r>
            <w:r w:rsidR="005F578E" w:rsidRPr="007D22C9">
              <w:rPr>
                <w:color w:val="000000"/>
                <w:sz w:val="20"/>
                <w:szCs w:val="20"/>
              </w:rPr>
              <w:t>,00</w:t>
            </w:r>
          </w:p>
        </w:tc>
        <w:tc>
          <w:tcPr>
            <w:tcW w:w="992" w:type="dxa"/>
            <w:tcBorders>
              <w:top w:val="single" w:sz="4" w:space="0" w:color="auto"/>
              <w:left w:val="nil"/>
              <w:bottom w:val="single" w:sz="4" w:space="0" w:color="auto"/>
              <w:right w:val="single" w:sz="4" w:space="0" w:color="auto"/>
            </w:tcBorders>
            <w:shd w:val="clear" w:color="auto" w:fill="auto"/>
          </w:tcPr>
          <w:p w:rsidR="00B239A0" w:rsidRPr="007D22C9" w:rsidRDefault="005F578E" w:rsidP="00D302C3">
            <w:pPr>
              <w:autoSpaceDE/>
              <w:autoSpaceDN/>
              <w:adjustRightInd/>
              <w:spacing w:line="233" w:lineRule="auto"/>
              <w:jc w:val="center"/>
              <w:rPr>
                <w:color w:val="000000"/>
                <w:sz w:val="20"/>
                <w:szCs w:val="20"/>
              </w:rPr>
            </w:pPr>
            <w:r w:rsidRPr="007D22C9">
              <w:rPr>
                <w:color w:val="000000"/>
                <w:sz w:val="20"/>
                <w:szCs w:val="20"/>
              </w:rPr>
              <w:t>0,50</w:t>
            </w:r>
          </w:p>
        </w:tc>
        <w:tc>
          <w:tcPr>
            <w:tcW w:w="708" w:type="dxa"/>
            <w:tcBorders>
              <w:top w:val="single" w:sz="4" w:space="0" w:color="auto"/>
              <w:left w:val="nil"/>
              <w:bottom w:val="single" w:sz="4" w:space="0" w:color="auto"/>
              <w:right w:val="single" w:sz="4" w:space="0" w:color="auto"/>
            </w:tcBorders>
            <w:shd w:val="clear" w:color="auto" w:fill="auto"/>
          </w:tcPr>
          <w:p w:rsidR="00B239A0" w:rsidRPr="007D22C9" w:rsidRDefault="005F578E" w:rsidP="005F578E">
            <w:pPr>
              <w:autoSpaceDE/>
              <w:autoSpaceDN/>
              <w:adjustRightInd/>
              <w:spacing w:line="233" w:lineRule="auto"/>
              <w:jc w:val="center"/>
              <w:rPr>
                <w:color w:val="000000"/>
                <w:sz w:val="20"/>
                <w:szCs w:val="20"/>
              </w:rPr>
            </w:pPr>
            <w:r w:rsidRPr="007D22C9">
              <w:rPr>
                <w:color w:val="000000"/>
                <w:sz w:val="20"/>
                <w:szCs w:val="20"/>
              </w:rPr>
              <w:t>0</w:t>
            </w:r>
          </w:p>
        </w:tc>
        <w:tc>
          <w:tcPr>
            <w:tcW w:w="993" w:type="dxa"/>
            <w:tcBorders>
              <w:top w:val="single" w:sz="4" w:space="0" w:color="auto"/>
              <w:left w:val="nil"/>
              <w:bottom w:val="single" w:sz="4" w:space="0" w:color="auto"/>
              <w:right w:val="single" w:sz="4" w:space="0" w:color="auto"/>
            </w:tcBorders>
            <w:shd w:val="clear" w:color="auto" w:fill="auto"/>
          </w:tcPr>
          <w:p w:rsidR="00B239A0" w:rsidRPr="007D22C9" w:rsidRDefault="005F578E" w:rsidP="005F578E">
            <w:pPr>
              <w:autoSpaceDE/>
              <w:autoSpaceDN/>
              <w:adjustRightInd/>
              <w:spacing w:line="233" w:lineRule="auto"/>
              <w:jc w:val="center"/>
              <w:rPr>
                <w:color w:val="000000"/>
                <w:sz w:val="20"/>
                <w:szCs w:val="20"/>
              </w:rPr>
            </w:pPr>
            <w:r w:rsidRPr="007D22C9">
              <w:rPr>
                <w:color w:val="000000"/>
                <w:sz w:val="20"/>
                <w:szCs w:val="20"/>
              </w:rPr>
              <w:t>1</w:t>
            </w:r>
            <w:r w:rsidR="00B239A0" w:rsidRPr="007D22C9">
              <w:rPr>
                <w:color w:val="000000"/>
                <w:sz w:val="20"/>
                <w:szCs w:val="20"/>
              </w:rPr>
              <w:t> </w:t>
            </w:r>
          </w:p>
        </w:tc>
      </w:tr>
      <w:tr w:rsidR="000B335A" w:rsidRPr="007D22C9" w:rsidTr="00BD3B9A">
        <w:trPr>
          <w:trHeight w:val="20"/>
        </w:trPr>
        <w:tc>
          <w:tcPr>
            <w:tcW w:w="533" w:type="dxa"/>
            <w:tcBorders>
              <w:top w:val="nil"/>
              <w:left w:val="single" w:sz="4" w:space="0" w:color="auto"/>
              <w:bottom w:val="single" w:sz="4" w:space="0" w:color="auto"/>
              <w:right w:val="single" w:sz="4" w:space="0" w:color="auto"/>
            </w:tcBorders>
            <w:shd w:val="clear" w:color="auto" w:fill="auto"/>
            <w:hideMark/>
          </w:tcPr>
          <w:p w:rsidR="000B335A" w:rsidRPr="007D22C9" w:rsidRDefault="000B335A" w:rsidP="00D302C3">
            <w:pPr>
              <w:autoSpaceDE/>
              <w:autoSpaceDN/>
              <w:adjustRightInd/>
              <w:spacing w:line="233" w:lineRule="auto"/>
              <w:jc w:val="center"/>
              <w:rPr>
                <w:color w:val="000000"/>
                <w:sz w:val="20"/>
                <w:szCs w:val="20"/>
              </w:rPr>
            </w:pPr>
            <w:r w:rsidRPr="007D22C9">
              <w:rPr>
                <w:color w:val="000000"/>
                <w:sz w:val="20"/>
                <w:szCs w:val="20"/>
              </w:rPr>
              <w:t>7</w:t>
            </w:r>
            <w:r w:rsidR="003B1A7B" w:rsidRPr="007D22C9">
              <w:rPr>
                <w:color w:val="000000"/>
                <w:sz w:val="20"/>
                <w:szCs w:val="20"/>
              </w:rPr>
              <w:t>.</w:t>
            </w:r>
          </w:p>
        </w:tc>
        <w:tc>
          <w:tcPr>
            <w:tcW w:w="1730" w:type="dxa"/>
            <w:tcBorders>
              <w:top w:val="nil"/>
              <w:left w:val="nil"/>
              <w:bottom w:val="single" w:sz="4" w:space="0" w:color="auto"/>
              <w:right w:val="nil"/>
            </w:tcBorders>
            <w:shd w:val="clear" w:color="auto" w:fill="auto"/>
            <w:hideMark/>
          </w:tcPr>
          <w:p w:rsidR="000B335A" w:rsidRPr="007D22C9" w:rsidRDefault="000B335A" w:rsidP="00D302C3">
            <w:pPr>
              <w:autoSpaceDE/>
              <w:autoSpaceDN/>
              <w:adjustRightInd/>
              <w:spacing w:line="233" w:lineRule="auto"/>
              <w:jc w:val="both"/>
              <w:rPr>
                <w:color w:val="000000"/>
                <w:sz w:val="20"/>
                <w:szCs w:val="20"/>
              </w:rPr>
            </w:pPr>
            <w:r w:rsidRPr="007D22C9">
              <w:rPr>
                <w:color w:val="000000"/>
                <w:sz w:val="20"/>
                <w:szCs w:val="20"/>
              </w:rPr>
              <w:t xml:space="preserve">ГАУЗ </w:t>
            </w:r>
            <w:r w:rsidR="002F7358" w:rsidRPr="007D22C9">
              <w:rPr>
                <w:color w:val="000000"/>
                <w:sz w:val="20"/>
                <w:szCs w:val="20"/>
              </w:rPr>
              <w:t>«</w:t>
            </w:r>
            <w:r w:rsidRPr="007D22C9">
              <w:rPr>
                <w:color w:val="000000"/>
                <w:sz w:val="20"/>
                <w:szCs w:val="20"/>
              </w:rPr>
              <w:t>Альметьевская поликлиника № 3</w:t>
            </w:r>
            <w:r w:rsidR="002F7358" w:rsidRPr="007D22C9">
              <w:rPr>
                <w:color w:val="000000"/>
                <w:sz w:val="20"/>
                <w:szCs w:val="20"/>
              </w:rPr>
              <w:t>»</w:t>
            </w:r>
          </w:p>
        </w:tc>
        <w:tc>
          <w:tcPr>
            <w:tcW w:w="1418" w:type="dxa"/>
            <w:tcBorders>
              <w:top w:val="nil"/>
              <w:left w:val="single" w:sz="4" w:space="0" w:color="auto"/>
              <w:bottom w:val="single" w:sz="4" w:space="0" w:color="auto"/>
              <w:right w:val="single" w:sz="4" w:space="0" w:color="auto"/>
            </w:tcBorders>
            <w:shd w:val="clear" w:color="auto" w:fill="auto"/>
            <w:hideMark/>
          </w:tcPr>
          <w:p w:rsidR="000B335A" w:rsidRPr="007D22C9" w:rsidRDefault="00C572EE" w:rsidP="00D302C3">
            <w:pPr>
              <w:autoSpaceDE/>
              <w:autoSpaceDN/>
              <w:adjustRightInd/>
              <w:spacing w:line="233" w:lineRule="auto"/>
              <w:ind w:left="-28" w:right="-28"/>
              <w:jc w:val="both"/>
              <w:rPr>
                <w:color w:val="000000"/>
                <w:sz w:val="20"/>
                <w:szCs w:val="20"/>
              </w:rPr>
            </w:pPr>
            <w:r w:rsidRPr="007D22C9">
              <w:rPr>
                <w:color w:val="000000"/>
                <w:sz w:val="20"/>
                <w:szCs w:val="20"/>
              </w:rPr>
              <w:t>г.</w:t>
            </w:r>
            <w:r w:rsidR="000B335A" w:rsidRPr="007D22C9">
              <w:rPr>
                <w:color w:val="000000"/>
                <w:sz w:val="20"/>
                <w:szCs w:val="20"/>
              </w:rPr>
              <w:t xml:space="preserve">Альметьевск, </w:t>
            </w:r>
            <w:r w:rsidRPr="007D22C9">
              <w:rPr>
                <w:color w:val="000000"/>
                <w:sz w:val="20"/>
                <w:szCs w:val="20"/>
              </w:rPr>
              <w:t>ул.</w:t>
            </w:r>
            <w:r w:rsidR="000B335A" w:rsidRPr="007D22C9">
              <w:rPr>
                <w:color w:val="000000"/>
                <w:sz w:val="20"/>
                <w:szCs w:val="20"/>
              </w:rPr>
              <w:t xml:space="preserve">Тельмана, </w:t>
            </w:r>
            <w:r w:rsidR="00C940D5" w:rsidRPr="007D22C9">
              <w:rPr>
                <w:color w:val="000000"/>
                <w:sz w:val="20"/>
                <w:szCs w:val="20"/>
              </w:rPr>
              <w:t>д.</w:t>
            </w:r>
            <w:r w:rsidR="000B335A" w:rsidRPr="007D22C9">
              <w:rPr>
                <w:color w:val="000000"/>
                <w:sz w:val="20"/>
                <w:szCs w:val="20"/>
              </w:rPr>
              <w:t>56а</w:t>
            </w:r>
          </w:p>
        </w:tc>
        <w:tc>
          <w:tcPr>
            <w:tcW w:w="1418" w:type="dxa"/>
            <w:tcBorders>
              <w:top w:val="nil"/>
              <w:left w:val="nil"/>
              <w:bottom w:val="single" w:sz="4" w:space="0" w:color="auto"/>
              <w:right w:val="single" w:sz="4" w:space="0" w:color="auto"/>
            </w:tcBorders>
            <w:shd w:val="clear" w:color="auto" w:fill="auto"/>
            <w:hideMark/>
          </w:tcPr>
          <w:p w:rsidR="000B335A" w:rsidRPr="007D22C9" w:rsidRDefault="000B335A" w:rsidP="00D302C3">
            <w:pPr>
              <w:autoSpaceDE/>
              <w:autoSpaceDN/>
              <w:adjustRightInd/>
              <w:spacing w:line="233" w:lineRule="auto"/>
              <w:jc w:val="both"/>
              <w:rPr>
                <w:color w:val="000000"/>
                <w:sz w:val="20"/>
                <w:szCs w:val="20"/>
              </w:rPr>
            </w:pPr>
            <w:r w:rsidRPr="007D22C9">
              <w:rPr>
                <w:color w:val="000000"/>
                <w:sz w:val="20"/>
                <w:szCs w:val="20"/>
              </w:rPr>
              <w:t>Альметьевский муниципальный район</w:t>
            </w:r>
          </w:p>
        </w:tc>
        <w:tc>
          <w:tcPr>
            <w:tcW w:w="851" w:type="dxa"/>
            <w:tcBorders>
              <w:top w:val="nil"/>
              <w:left w:val="nil"/>
              <w:bottom w:val="single" w:sz="4" w:space="0" w:color="auto"/>
              <w:right w:val="single" w:sz="4" w:space="0" w:color="auto"/>
            </w:tcBorders>
            <w:shd w:val="clear" w:color="auto" w:fill="auto"/>
            <w:hideMark/>
          </w:tcPr>
          <w:p w:rsidR="000B335A" w:rsidRPr="007D22C9" w:rsidRDefault="000B335A" w:rsidP="00D302C3">
            <w:pPr>
              <w:autoSpaceDE/>
              <w:autoSpaceDN/>
              <w:adjustRightInd/>
              <w:spacing w:line="233" w:lineRule="auto"/>
              <w:jc w:val="center"/>
              <w:rPr>
                <w:color w:val="000000"/>
                <w:sz w:val="20"/>
                <w:szCs w:val="20"/>
              </w:rPr>
            </w:pPr>
            <w:r w:rsidRPr="007D22C9">
              <w:rPr>
                <w:color w:val="000000"/>
                <w:sz w:val="20"/>
                <w:szCs w:val="20"/>
              </w:rPr>
              <w:t>44 666</w:t>
            </w:r>
          </w:p>
        </w:tc>
        <w:tc>
          <w:tcPr>
            <w:tcW w:w="850" w:type="dxa"/>
            <w:tcBorders>
              <w:top w:val="nil"/>
              <w:left w:val="nil"/>
              <w:bottom w:val="single" w:sz="4" w:space="0" w:color="auto"/>
              <w:right w:val="single" w:sz="4" w:space="0" w:color="auto"/>
            </w:tcBorders>
            <w:shd w:val="clear" w:color="auto" w:fill="auto"/>
            <w:hideMark/>
          </w:tcPr>
          <w:p w:rsidR="000B335A" w:rsidRPr="007D22C9" w:rsidRDefault="000B335A" w:rsidP="00D302C3">
            <w:pPr>
              <w:autoSpaceDE/>
              <w:autoSpaceDN/>
              <w:adjustRightInd/>
              <w:spacing w:line="233" w:lineRule="auto"/>
              <w:jc w:val="center"/>
              <w:rPr>
                <w:color w:val="000000"/>
                <w:sz w:val="20"/>
                <w:szCs w:val="20"/>
              </w:rPr>
            </w:pPr>
            <w:r w:rsidRPr="007D22C9">
              <w:rPr>
                <w:color w:val="000000"/>
                <w:sz w:val="20"/>
                <w:szCs w:val="20"/>
              </w:rPr>
              <w:t>1,49</w:t>
            </w:r>
          </w:p>
        </w:tc>
        <w:tc>
          <w:tcPr>
            <w:tcW w:w="1077" w:type="dxa"/>
            <w:tcBorders>
              <w:top w:val="nil"/>
              <w:left w:val="nil"/>
              <w:bottom w:val="single" w:sz="4" w:space="0" w:color="auto"/>
              <w:right w:val="single" w:sz="4" w:space="0" w:color="auto"/>
            </w:tcBorders>
            <w:shd w:val="clear" w:color="auto" w:fill="auto"/>
            <w:hideMark/>
          </w:tcPr>
          <w:p w:rsidR="000B335A" w:rsidRPr="007D22C9" w:rsidRDefault="00DB7BD1" w:rsidP="00DB7BD1">
            <w:pPr>
              <w:autoSpaceDE/>
              <w:autoSpaceDN/>
              <w:adjustRightInd/>
              <w:spacing w:line="233" w:lineRule="auto"/>
              <w:jc w:val="center"/>
              <w:rPr>
                <w:color w:val="000000"/>
                <w:sz w:val="20"/>
                <w:szCs w:val="20"/>
              </w:rPr>
            </w:pPr>
            <w:r w:rsidRPr="007D22C9">
              <w:rPr>
                <w:color w:val="000000"/>
                <w:sz w:val="20"/>
                <w:szCs w:val="20"/>
              </w:rPr>
              <w:t>1,00</w:t>
            </w:r>
          </w:p>
        </w:tc>
        <w:tc>
          <w:tcPr>
            <w:tcW w:w="992" w:type="dxa"/>
            <w:tcBorders>
              <w:top w:val="nil"/>
              <w:left w:val="nil"/>
              <w:bottom w:val="single" w:sz="4" w:space="0" w:color="auto"/>
              <w:right w:val="single" w:sz="4" w:space="0" w:color="auto"/>
            </w:tcBorders>
            <w:shd w:val="clear" w:color="auto" w:fill="auto"/>
            <w:hideMark/>
          </w:tcPr>
          <w:p w:rsidR="000B335A" w:rsidRPr="007D22C9" w:rsidRDefault="00DB7BD1" w:rsidP="00DB7BD1">
            <w:pPr>
              <w:autoSpaceDE/>
              <w:autoSpaceDN/>
              <w:adjustRightInd/>
              <w:spacing w:line="233" w:lineRule="auto"/>
              <w:jc w:val="center"/>
              <w:rPr>
                <w:color w:val="000000"/>
                <w:sz w:val="20"/>
                <w:szCs w:val="20"/>
              </w:rPr>
            </w:pPr>
            <w:r w:rsidRPr="007D22C9">
              <w:rPr>
                <w:color w:val="000000"/>
                <w:sz w:val="20"/>
                <w:szCs w:val="20"/>
              </w:rPr>
              <w:t>1,00</w:t>
            </w:r>
          </w:p>
        </w:tc>
        <w:tc>
          <w:tcPr>
            <w:tcW w:w="708" w:type="dxa"/>
            <w:tcBorders>
              <w:top w:val="nil"/>
              <w:left w:val="nil"/>
              <w:bottom w:val="single" w:sz="4" w:space="0" w:color="auto"/>
              <w:right w:val="single" w:sz="4" w:space="0" w:color="auto"/>
            </w:tcBorders>
            <w:shd w:val="clear" w:color="auto" w:fill="auto"/>
            <w:hideMark/>
          </w:tcPr>
          <w:p w:rsidR="000B335A" w:rsidRPr="007D22C9" w:rsidRDefault="000B335A" w:rsidP="00D302C3">
            <w:pPr>
              <w:autoSpaceDE/>
              <w:autoSpaceDN/>
              <w:adjustRightInd/>
              <w:spacing w:line="233" w:lineRule="auto"/>
              <w:jc w:val="center"/>
              <w:rPr>
                <w:color w:val="000000"/>
                <w:sz w:val="20"/>
                <w:szCs w:val="20"/>
              </w:rPr>
            </w:pPr>
            <w:r w:rsidRPr="007D22C9">
              <w:rPr>
                <w:color w:val="000000"/>
                <w:sz w:val="20"/>
                <w:szCs w:val="20"/>
              </w:rPr>
              <w:t>1</w:t>
            </w:r>
          </w:p>
        </w:tc>
        <w:tc>
          <w:tcPr>
            <w:tcW w:w="993" w:type="dxa"/>
            <w:tcBorders>
              <w:top w:val="nil"/>
              <w:left w:val="nil"/>
              <w:bottom w:val="single" w:sz="4" w:space="0" w:color="auto"/>
              <w:right w:val="single" w:sz="4" w:space="0" w:color="auto"/>
            </w:tcBorders>
            <w:shd w:val="clear" w:color="auto" w:fill="auto"/>
            <w:hideMark/>
          </w:tcPr>
          <w:p w:rsidR="000B335A" w:rsidRPr="007D22C9" w:rsidRDefault="00DB7BD1" w:rsidP="00D302C3">
            <w:pPr>
              <w:autoSpaceDE/>
              <w:autoSpaceDN/>
              <w:adjustRightInd/>
              <w:spacing w:line="233" w:lineRule="auto"/>
              <w:jc w:val="center"/>
              <w:rPr>
                <w:color w:val="000000"/>
                <w:sz w:val="20"/>
                <w:szCs w:val="20"/>
              </w:rPr>
            </w:pPr>
            <w:r w:rsidRPr="007D22C9">
              <w:rPr>
                <w:color w:val="000000"/>
                <w:sz w:val="20"/>
                <w:szCs w:val="20"/>
              </w:rPr>
              <w:t>0</w:t>
            </w:r>
          </w:p>
        </w:tc>
      </w:tr>
      <w:tr w:rsidR="000B335A" w:rsidRPr="007D22C9" w:rsidTr="00BD3B9A">
        <w:trPr>
          <w:trHeight w:val="20"/>
        </w:trPr>
        <w:tc>
          <w:tcPr>
            <w:tcW w:w="533" w:type="dxa"/>
            <w:tcBorders>
              <w:top w:val="nil"/>
              <w:left w:val="single" w:sz="4" w:space="0" w:color="auto"/>
              <w:bottom w:val="single" w:sz="4" w:space="0" w:color="auto"/>
              <w:right w:val="single" w:sz="4" w:space="0" w:color="auto"/>
            </w:tcBorders>
            <w:shd w:val="clear" w:color="auto" w:fill="auto"/>
            <w:hideMark/>
          </w:tcPr>
          <w:p w:rsidR="000B335A" w:rsidRPr="007D22C9" w:rsidRDefault="000B335A" w:rsidP="00D302C3">
            <w:pPr>
              <w:autoSpaceDE/>
              <w:autoSpaceDN/>
              <w:adjustRightInd/>
              <w:spacing w:line="233" w:lineRule="auto"/>
              <w:jc w:val="center"/>
              <w:rPr>
                <w:color w:val="000000"/>
                <w:sz w:val="20"/>
                <w:szCs w:val="20"/>
              </w:rPr>
            </w:pPr>
            <w:r w:rsidRPr="007D22C9">
              <w:rPr>
                <w:color w:val="000000"/>
                <w:sz w:val="20"/>
                <w:szCs w:val="20"/>
              </w:rPr>
              <w:t>8</w:t>
            </w:r>
            <w:r w:rsidR="003B1A7B" w:rsidRPr="007D22C9">
              <w:rPr>
                <w:color w:val="000000"/>
                <w:sz w:val="20"/>
                <w:szCs w:val="20"/>
              </w:rPr>
              <w:t>.</w:t>
            </w:r>
          </w:p>
        </w:tc>
        <w:tc>
          <w:tcPr>
            <w:tcW w:w="1730" w:type="dxa"/>
            <w:tcBorders>
              <w:top w:val="nil"/>
              <w:left w:val="nil"/>
              <w:bottom w:val="single" w:sz="4" w:space="0" w:color="auto"/>
              <w:right w:val="nil"/>
            </w:tcBorders>
            <w:shd w:val="clear" w:color="auto" w:fill="auto"/>
            <w:hideMark/>
          </w:tcPr>
          <w:p w:rsidR="000B335A" w:rsidRPr="007D22C9" w:rsidRDefault="000B335A" w:rsidP="00D302C3">
            <w:pPr>
              <w:autoSpaceDE/>
              <w:autoSpaceDN/>
              <w:adjustRightInd/>
              <w:spacing w:line="233" w:lineRule="auto"/>
              <w:jc w:val="both"/>
              <w:rPr>
                <w:color w:val="000000"/>
                <w:sz w:val="20"/>
                <w:szCs w:val="20"/>
              </w:rPr>
            </w:pPr>
            <w:r w:rsidRPr="007D22C9">
              <w:rPr>
                <w:color w:val="000000"/>
                <w:sz w:val="20"/>
                <w:szCs w:val="20"/>
              </w:rPr>
              <w:t xml:space="preserve">ГАУЗ </w:t>
            </w:r>
            <w:r w:rsidR="002F7358" w:rsidRPr="007D22C9">
              <w:rPr>
                <w:color w:val="000000"/>
                <w:sz w:val="20"/>
                <w:szCs w:val="20"/>
              </w:rPr>
              <w:t>«</w:t>
            </w:r>
            <w:r w:rsidRPr="007D22C9">
              <w:rPr>
                <w:color w:val="000000"/>
                <w:sz w:val="20"/>
                <w:szCs w:val="20"/>
              </w:rPr>
              <w:t>Альметьевская ЦРБ</w:t>
            </w:r>
            <w:r w:rsidR="002F7358" w:rsidRPr="007D22C9">
              <w:rPr>
                <w:color w:val="000000"/>
                <w:sz w:val="20"/>
                <w:szCs w:val="20"/>
              </w:rPr>
              <w:t>»</w:t>
            </w:r>
          </w:p>
        </w:tc>
        <w:tc>
          <w:tcPr>
            <w:tcW w:w="1418" w:type="dxa"/>
            <w:tcBorders>
              <w:top w:val="nil"/>
              <w:left w:val="single" w:sz="4" w:space="0" w:color="auto"/>
              <w:bottom w:val="single" w:sz="4" w:space="0" w:color="auto"/>
              <w:right w:val="single" w:sz="4" w:space="0" w:color="auto"/>
            </w:tcBorders>
            <w:shd w:val="clear" w:color="auto" w:fill="auto"/>
            <w:hideMark/>
          </w:tcPr>
          <w:p w:rsidR="000B335A" w:rsidRPr="007D22C9" w:rsidRDefault="00C572EE" w:rsidP="00D302C3">
            <w:pPr>
              <w:autoSpaceDE/>
              <w:autoSpaceDN/>
              <w:adjustRightInd/>
              <w:spacing w:line="233" w:lineRule="auto"/>
              <w:ind w:left="-28" w:right="-28"/>
              <w:jc w:val="both"/>
              <w:rPr>
                <w:color w:val="000000"/>
                <w:sz w:val="20"/>
                <w:szCs w:val="20"/>
              </w:rPr>
            </w:pPr>
            <w:r w:rsidRPr="007D22C9">
              <w:rPr>
                <w:color w:val="000000"/>
                <w:sz w:val="20"/>
                <w:szCs w:val="20"/>
              </w:rPr>
              <w:t>г.Альметьевск, пр.</w:t>
            </w:r>
            <w:r w:rsidR="000B335A" w:rsidRPr="007D22C9">
              <w:rPr>
                <w:color w:val="000000"/>
                <w:sz w:val="20"/>
                <w:szCs w:val="20"/>
              </w:rPr>
              <w:t>Строителей, Больничный городок</w:t>
            </w:r>
          </w:p>
        </w:tc>
        <w:tc>
          <w:tcPr>
            <w:tcW w:w="1418" w:type="dxa"/>
            <w:tcBorders>
              <w:top w:val="nil"/>
              <w:left w:val="nil"/>
              <w:bottom w:val="single" w:sz="4" w:space="0" w:color="auto"/>
              <w:right w:val="single" w:sz="4" w:space="0" w:color="auto"/>
            </w:tcBorders>
            <w:shd w:val="clear" w:color="auto" w:fill="auto"/>
            <w:hideMark/>
          </w:tcPr>
          <w:p w:rsidR="000B335A" w:rsidRPr="007D22C9" w:rsidRDefault="000B335A" w:rsidP="00D302C3">
            <w:pPr>
              <w:autoSpaceDE/>
              <w:autoSpaceDN/>
              <w:adjustRightInd/>
              <w:spacing w:line="233" w:lineRule="auto"/>
              <w:jc w:val="both"/>
              <w:rPr>
                <w:color w:val="000000"/>
                <w:sz w:val="20"/>
                <w:szCs w:val="20"/>
              </w:rPr>
            </w:pPr>
            <w:r w:rsidRPr="007D22C9">
              <w:rPr>
                <w:color w:val="000000"/>
                <w:sz w:val="20"/>
                <w:szCs w:val="20"/>
              </w:rPr>
              <w:t>Альметьевский муниципальный район</w:t>
            </w:r>
          </w:p>
        </w:tc>
        <w:tc>
          <w:tcPr>
            <w:tcW w:w="851" w:type="dxa"/>
            <w:tcBorders>
              <w:top w:val="nil"/>
              <w:left w:val="nil"/>
              <w:bottom w:val="single" w:sz="4" w:space="0" w:color="auto"/>
              <w:right w:val="single" w:sz="4" w:space="0" w:color="auto"/>
            </w:tcBorders>
            <w:shd w:val="clear" w:color="auto" w:fill="auto"/>
            <w:hideMark/>
          </w:tcPr>
          <w:p w:rsidR="000B335A" w:rsidRPr="007D22C9" w:rsidRDefault="000B335A" w:rsidP="00D302C3">
            <w:pPr>
              <w:autoSpaceDE/>
              <w:autoSpaceDN/>
              <w:adjustRightInd/>
              <w:spacing w:line="233" w:lineRule="auto"/>
              <w:jc w:val="center"/>
              <w:rPr>
                <w:color w:val="000000"/>
                <w:sz w:val="20"/>
                <w:szCs w:val="20"/>
              </w:rPr>
            </w:pPr>
            <w:r w:rsidRPr="007D22C9">
              <w:rPr>
                <w:color w:val="000000"/>
                <w:sz w:val="20"/>
                <w:szCs w:val="20"/>
              </w:rPr>
              <w:t>84 482</w:t>
            </w:r>
          </w:p>
        </w:tc>
        <w:tc>
          <w:tcPr>
            <w:tcW w:w="850" w:type="dxa"/>
            <w:tcBorders>
              <w:top w:val="nil"/>
              <w:left w:val="nil"/>
              <w:bottom w:val="single" w:sz="4" w:space="0" w:color="auto"/>
              <w:right w:val="single" w:sz="4" w:space="0" w:color="auto"/>
            </w:tcBorders>
            <w:shd w:val="clear" w:color="auto" w:fill="auto"/>
            <w:hideMark/>
          </w:tcPr>
          <w:p w:rsidR="000B335A" w:rsidRPr="007D22C9" w:rsidRDefault="000B335A" w:rsidP="00D302C3">
            <w:pPr>
              <w:autoSpaceDE/>
              <w:autoSpaceDN/>
              <w:adjustRightInd/>
              <w:spacing w:line="233" w:lineRule="auto"/>
              <w:jc w:val="center"/>
              <w:rPr>
                <w:color w:val="000000"/>
                <w:sz w:val="20"/>
                <w:szCs w:val="20"/>
              </w:rPr>
            </w:pPr>
            <w:r w:rsidRPr="007D22C9">
              <w:rPr>
                <w:color w:val="000000"/>
                <w:sz w:val="20"/>
                <w:szCs w:val="20"/>
              </w:rPr>
              <w:t>2,82</w:t>
            </w:r>
          </w:p>
        </w:tc>
        <w:tc>
          <w:tcPr>
            <w:tcW w:w="1077" w:type="dxa"/>
            <w:tcBorders>
              <w:top w:val="nil"/>
              <w:left w:val="nil"/>
              <w:bottom w:val="single" w:sz="4" w:space="0" w:color="auto"/>
              <w:right w:val="single" w:sz="4" w:space="0" w:color="auto"/>
            </w:tcBorders>
            <w:shd w:val="clear" w:color="auto" w:fill="auto"/>
            <w:hideMark/>
          </w:tcPr>
          <w:p w:rsidR="000B335A" w:rsidRPr="007D22C9" w:rsidRDefault="00C028FD" w:rsidP="00C028FD">
            <w:pPr>
              <w:autoSpaceDE/>
              <w:autoSpaceDN/>
              <w:adjustRightInd/>
              <w:spacing w:line="233" w:lineRule="auto"/>
              <w:jc w:val="center"/>
              <w:rPr>
                <w:color w:val="000000"/>
                <w:sz w:val="20"/>
                <w:szCs w:val="20"/>
              </w:rPr>
            </w:pPr>
            <w:r w:rsidRPr="007D22C9">
              <w:rPr>
                <w:color w:val="000000"/>
                <w:sz w:val="20"/>
                <w:szCs w:val="20"/>
              </w:rPr>
              <w:t>1</w:t>
            </w:r>
            <w:r w:rsidR="000B335A" w:rsidRPr="007D22C9">
              <w:rPr>
                <w:color w:val="000000"/>
                <w:sz w:val="20"/>
                <w:szCs w:val="20"/>
              </w:rPr>
              <w:t>,75</w:t>
            </w:r>
          </w:p>
        </w:tc>
        <w:tc>
          <w:tcPr>
            <w:tcW w:w="992" w:type="dxa"/>
            <w:tcBorders>
              <w:top w:val="nil"/>
              <w:left w:val="nil"/>
              <w:bottom w:val="single" w:sz="4" w:space="0" w:color="auto"/>
              <w:right w:val="single" w:sz="4" w:space="0" w:color="auto"/>
            </w:tcBorders>
            <w:shd w:val="clear" w:color="auto" w:fill="auto"/>
            <w:hideMark/>
          </w:tcPr>
          <w:p w:rsidR="000B335A" w:rsidRPr="007D22C9" w:rsidRDefault="00C028FD" w:rsidP="00C028FD">
            <w:pPr>
              <w:autoSpaceDE/>
              <w:autoSpaceDN/>
              <w:adjustRightInd/>
              <w:spacing w:line="233" w:lineRule="auto"/>
              <w:jc w:val="center"/>
              <w:rPr>
                <w:color w:val="000000"/>
                <w:sz w:val="20"/>
                <w:szCs w:val="20"/>
              </w:rPr>
            </w:pPr>
            <w:r w:rsidRPr="007D22C9">
              <w:rPr>
                <w:color w:val="000000"/>
                <w:sz w:val="20"/>
                <w:szCs w:val="20"/>
              </w:rPr>
              <w:t>1</w:t>
            </w:r>
            <w:r w:rsidR="000B335A" w:rsidRPr="007D22C9">
              <w:rPr>
                <w:color w:val="000000"/>
                <w:sz w:val="20"/>
                <w:szCs w:val="20"/>
              </w:rPr>
              <w:t>,75</w:t>
            </w:r>
          </w:p>
        </w:tc>
        <w:tc>
          <w:tcPr>
            <w:tcW w:w="708" w:type="dxa"/>
            <w:tcBorders>
              <w:top w:val="nil"/>
              <w:left w:val="nil"/>
              <w:bottom w:val="single" w:sz="4" w:space="0" w:color="auto"/>
              <w:right w:val="single" w:sz="4" w:space="0" w:color="auto"/>
            </w:tcBorders>
            <w:shd w:val="clear" w:color="auto" w:fill="auto"/>
            <w:hideMark/>
          </w:tcPr>
          <w:p w:rsidR="000B335A" w:rsidRPr="007D22C9" w:rsidRDefault="000B335A" w:rsidP="00D302C3">
            <w:pPr>
              <w:autoSpaceDE/>
              <w:autoSpaceDN/>
              <w:adjustRightInd/>
              <w:spacing w:line="233" w:lineRule="auto"/>
              <w:jc w:val="center"/>
              <w:rPr>
                <w:color w:val="000000"/>
                <w:sz w:val="20"/>
                <w:szCs w:val="20"/>
              </w:rPr>
            </w:pPr>
            <w:r w:rsidRPr="007D22C9">
              <w:rPr>
                <w:color w:val="000000"/>
                <w:sz w:val="20"/>
                <w:szCs w:val="20"/>
              </w:rPr>
              <w:t>1</w:t>
            </w:r>
          </w:p>
        </w:tc>
        <w:tc>
          <w:tcPr>
            <w:tcW w:w="993" w:type="dxa"/>
            <w:tcBorders>
              <w:top w:val="nil"/>
              <w:left w:val="nil"/>
              <w:bottom w:val="single" w:sz="4" w:space="0" w:color="auto"/>
              <w:right w:val="single" w:sz="4" w:space="0" w:color="auto"/>
            </w:tcBorders>
            <w:shd w:val="clear" w:color="auto" w:fill="auto"/>
            <w:hideMark/>
          </w:tcPr>
          <w:p w:rsidR="000B335A" w:rsidRPr="007D22C9" w:rsidRDefault="00C028FD" w:rsidP="00C028FD">
            <w:pPr>
              <w:autoSpaceDE/>
              <w:autoSpaceDN/>
              <w:adjustRightInd/>
              <w:spacing w:line="233" w:lineRule="auto"/>
              <w:jc w:val="center"/>
              <w:rPr>
                <w:color w:val="000000"/>
                <w:sz w:val="20"/>
                <w:szCs w:val="20"/>
              </w:rPr>
            </w:pPr>
            <w:r w:rsidRPr="007D22C9">
              <w:rPr>
                <w:color w:val="000000"/>
                <w:sz w:val="20"/>
                <w:szCs w:val="20"/>
              </w:rPr>
              <w:t>0</w:t>
            </w:r>
          </w:p>
        </w:tc>
      </w:tr>
      <w:tr w:rsidR="000B335A" w:rsidRPr="007D22C9" w:rsidTr="00BD3B9A">
        <w:trPr>
          <w:trHeight w:val="20"/>
        </w:trPr>
        <w:tc>
          <w:tcPr>
            <w:tcW w:w="533" w:type="dxa"/>
            <w:tcBorders>
              <w:top w:val="nil"/>
              <w:left w:val="single" w:sz="4" w:space="0" w:color="auto"/>
              <w:bottom w:val="single" w:sz="4" w:space="0" w:color="auto"/>
              <w:right w:val="single" w:sz="4" w:space="0" w:color="auto"/>
            </w:tcBorders>
            <w:shd w:val="clear" w:color="auto" w:fill="auto"/>
            <w:hideMark/>
          </w:tcPr>
          <w:p w:rsidR="000B335A" w:rsidRPr="007D22C9" w:rsidRDefault="000B335A" w:rsidP="00D302C3">
            <w:pPr>
              <w:autoSpaceDE/>
              <w:autoSpaceDN/>
              <w:adjustRightInd/>
              <w:spacing w:line="233" w:lineRule="auto"/>
              <w:jc w:val="center"/>
              <w:rPr>
                <w:color w:val="000000"/>
                <w:sz w:val="20"/>
                <w:szCs w:val="20"/>
              </w:rPr>
            </w:pPr>
            <w:r w:rsidRPr="007D22C9">
              <w:rPr>
                <w:color w:val="000000"/>
                <w:sz w:val="20"/>
                <w:szCs w:val="20"/>
              </w:rPr>
              <w:t>9</w:t>
            </w:r>
            <w:r w:rsidR="003B1A7B" w:rsidRPr="007D22C9">
              <w:rPr>
                <w:color w:val="000000"/>
                <w:sz w:val="20"/>
                <w:szCs w:val="20"/>
              </w:rPr>
              <w:t>.</w:t>
            </w:r>
          </w:p>
        </w:tc>
        <w:tc>
          <w:tcPr>
            <w:tcW w:w="1730" w:type="dxa"/>
            <w:tcBorders>
              <w:top w:val="nil"/>
              <w:left w:val="nil"/>
              <w:bottom w:val="single" w:sz="4" w:space="0" w:color="auto"/>
              <w:right w:val="nil"/>
            </w:tcBorders>
            <w:shd w:val="clear" w:color="auto" w:fill="auto"/>
            <w:hideMark/>
          </w:tcPr>
          <w:p w:rsidR="000B335A" w:rsidRPr="007D22C9" w:rsidRDefault="00564DD5" w:rsidP="00D302C3">
            <w:pPr>
              <w:autoSpaceDE/>
              <w:autoSpaceDN/>
              <w:adjustRightInd/>
              <w:spacing w:line="233" w:lineRule="auto"/>
              <w:jc w:val="both"/>
              <w:rPr>
                <w:color w:val="000000"/>
                <w:sz w:val="20"/>
                <w:szCs w:val="20"/>
              </w:rPr>
            </w:pPr>
            <w:r w:rsidRPr="007D22C9">
              <w:rPr>
                <w:color w:val="000000"/>
                <w:sz w:val="20"/>
                <w:szCs w:val="20"/>
              </w:rPr>
              <w:t xml:space="preserve">ГАУЗ </w:t>
            </w:r>
            <w:r w:rsidR="002F7358" w:rsidRPr="007D22C9">
              <w:rPr>
                <w:color w:val="000000"/>
                <w:sz w:val="20"/>
                <w:szCs w:val="20"/>
              </w:rPr>
              <w:t>«</w:t>
            </w:r>
            <w:r w:rsidRPr="007D22C9">
              <w:rPr>
                <w:color w:val="000000"/>
                <w:sz w:val="20"/>
                <w:szCs w:val="20"/>
              </w:rPr>
              <w:t>Альметьевская межрайонная многопрофильная больница</w:t>
            </w:r>
            <w:r w:rsidR="002F7358" w:rsidRPr="007D22C9">
              <w:rPr>
                <w:color w:val="000000"/>
                <w:sz w:val="20"/>
                <w:szCs w:val="20"/>
              </w:rPr>
              <w:t>»</w:t>
            </w:r>
          </w:p>
        </w:tc>
        <w:tc>
          <w:tcPr>
            <w:tcW w:w="1418" w:type="dxa"/>
            <w:tcBorders>
              <w:top w:val="nil"/>
              <w:left w:val="single" w:sz="4" w:space="0" w:color="auto"/>
              <w:bottom w:val="single" w:sz="4" w:space="0" w:color="auto"/>
              <w:right w:val="single" w:sz="4" w:space="0" w:color="auto"/>
            </w:tcBorders>
            <w:shd w:val="clear" w:color="auto" w:fill="auto"/>
            <w:hideMark/>
          </w:tcPr>
          <w:p w:rsidR="000B335A" w:rsidRPr="007D22C9" w:rsidRDefault="00C572EE" w:rsidP="00D302C3">
            <w:pPr>
              <w:autoSpaceDE/>
              <w:autoSpaceDN/>
              <w:adjustRightInd/>
              <w:spacing w:line="233" w:lineRule="auto"/>
              <w:ind w:left="-28" w:right="-28"/>
              <w:jc w:val="both"/>
              <w:rPr>
                <w:color w:val="000000"/>
                <w:sz w:val="20"/>
                <w:szCs w:val="20"/>
              </w:rPr>
            </w:pPr>
            <w:r w:rsidRPr="007D22C9">
              <w:rPr>
                <w:color w:val="000000"/>
                <w:sz w:val="20"/>
                <w:szCs w:val="20"/>
              </w:rPr>
              <w:t>г.</w:t>
            </w:r>
            <w:r w:rsidR="000B335A" w:rsidRPr="007D22C9">
              <w:rPr>
                <w:color w:val="000000"/>
                <w:sz w:val="20"/>
                <w:szCs w:val="20"/>
              </w:rPr>
              <w:t xml:space="preserve">Альметьевск, </w:t>
            </w:r>
            <w:r w:rsidRPr="007D22C9">
              <w:rPr>
                <w:color w:val="000000"/>
                <w:sz w:val="20"/>
                <w:szCs w:val="20"/>
              </w:rPr>
              <w:t>ул.</w:t>
            </w:r>
            <w:r w:rsidR="000B335A" w:rsidRPr="007D22C9">
              <w:rPr>
                <w:color w:val="000000"/>
                <w:sz w:val="20"/>
                <w:szCs w:val="20"/>
              </w:rPr>
              <w:t xml:space="preserve">Радищева, </w:t>
            </w:r>
            <w:r w:rsidR="00C940D5" w:rsidRPr="007D22C9">
              <w:rPr>
                <w:color w:val="000000"/>
                <w:sz w:val="20"/>
                <w:szCs w:val="20"/>
              </w:rPr>
              <w:t>д.</w:t>
            </w:r>
            <w:r w:rsidR="000B335A" w:rsidRPr="007D22C9">
              <w:rPr>
                <w:color w:val="000000"/>
                <w:sz w:val="20"/>
                <w:szCs w:val="20"/>
              </w:rPr>
              <w:t>67</w:t>
            </w:r>
          </w:p>
        </w:tc>
        <w:tc>
          <w:tcPr>
            <w:tcW w:w="1418" w:type="dxa"/>
            <w:tcBorders>
              <w:top w:val="nil"/>
              <w:left w:val="nil"/>
              <w:bottom w:val="single" w:sz="4" w:space="0" w:color="auto"/>
              <w:right w:val="single" w:sz="4" w:space="0" w:color="auto"/>
            </w:tcBorders>
            <w:shd w:val="clear" w:color="auto" w:fill="auto"/>
            <w:hideMark/>
          </w:tcPr>
          <w:p w:rsidR="000B335A" w:rsidRPr="007D22C9" w:rsidRDefault="000B335A" w:rsidP="00D302C3">
            <w:pPr>
              <w:autoSpaceDE/>
              <w:autoSpaceDN/>
              <w:adjustRightInd/>
              <w:spacing w:line="233" w:lineRule="auto"/>
              <w:jc w:val="both"/>
              <w:rPr>
                <w:color w:val="000000"/>
                <w:sz w:val="20"/>
                <w:szCs w:val="20"/>
              </w:rPr>
            </w:pPr>
            <w:r w:rsidRPr="007D22C9">
              <w:rPr>
                <w:color w:val="000000"/>
                <w:sz w:val="20"/>
                <w:szCs w:val="20"/>
              </w:rPr>
              <w:t>Альметьевский муниципальный район</w:t>
            </w:r>
          </w:p>
        </w:tc>
        <w:tc>
          <w:tcPr>
            <w:tcW w:w="851" w:type="dxa"/>
            <w:tcBorders>
              <w:top w:val="nil"/>
              <w:left w:val="nil"/>
              <w:bottom w:val="single" w:sz="4" w:space="0" w:color="auto"/>
              <w:right w:val="single" w:sz="4" w:space="0" w:color="auto"/>
            </w:tcBorders>
            <w:shd w:val="clear" w:color="auto" w:fill="auto"/>
            <w:hideMark/>
          </w:tcPr>
          <w:p w:rsidR="000B335A" w:rsidRPr="007D22C9" w:rsidRDefault="000B335A" w:rsidP="00D302C3">
            <w:pPr>
              <w:autoSpaceDE/>
              <w:autoSpaceDN/>
              <w:adjustRightInd/>
              <w:spacing w:line="233" w:lineRule="auto"/>
              <w:jc w:val="center"/>
              <w:rPr>
                <w:color w:val="000000"/>
                <w:sz w:val="20"/>
                <w:szCs w:val="20"/>
              </w:rPr>
            </w:pPr>
            <w:r w:rsidRPr="007D22C9">
              <w:rPr>
                <w:color w:val="000000"/>
                <w:sz w:val="20"/>
                <w:szCs w:val="20"/>
              </w:rPr>
              <w:t>21 326</w:t>
            </w:r>
          </w:p>
        </w:tc>
        <w:tc>
          <w:tcPr>
            <w:tcW w:w="850" w:type="dxa"/>
            <w:tcBorders>
              <w:top w:val="nil"/>
              <w:left w:val="nil"/>
              <w:bottom w:val="single" w:sz="4" w:space="0" w:color="auto"/>
              <w:right w:val="single" w:sz="4" w:space="0" w:color="auto"/>
            </w:tcBorders>
            <w:shd w:val="clear" w:color="auto" w:fill="auto"/>
            <w:hideMark/>
          </w:tcPr>
          <w:p w:rsidR="000B335A" w:rsidRPr="007D22C9" w:rsidRDefault="000B335A" w:rsidP="00D302C3">
            <w:pPr>
              <w:autoSpaceDE/>
              <w:autoSpaceDN/>
              <w:adjustRightInd/>
              <w:spacing w:line="233" w:lineRule="auto"/>
              <w:jc w:val="center"/>
              <w:rPr>
                <w:color w:val="000000"/>
                <w:sz w:val="20"/>
                <w:szCs w:val="20"/>
              </w:rPr>
            </w:pPr>
            <w:r w:rsidRPr="007D22C9">
              <w:rPr>
                <w:color w:val="000000"/>
                <w:sz w:val="20"/>
                <w:szCs w:val="20"/>
              </w:rPr>
              <w:t>0,71</w:t>
            </w:r>
          </w:p>
        </w:tc>
        <w:tc>
          <w:tcPr>
            <w:tcW w:w="1077" w:type="dxa"/>
            <w:tcBorders>
              <w:top w:val="nil"/>
              <w:left w:val="nil"/>
              <w:bottom w:val="single" w:sz="4" w:space="0" w:color="auto"/>
              <w:right w:val="single" w:sz="4" w:space="0" w:color="auto"/>
            </w:tcBorders>
            <w:shd w:val="clear" w:color="auto" w:fill="auto"/>
            <w:hideMark/>
          </w:tcPr>
          <w:p w:rsidR="000B335A" w:rsidRPr="007D22C9" w:rsidRDefault="00C028FD" w:rsidP="00C028FD">
            <w:pPr>
              <w:autoSpaceDE/>
              <w:autoSpaceDN/>
              <w:adjustRightInd/>
              <w:spacing w:line="233" w:lineRule="auto"/>
              <w:jc w:val="center"/>
              <w:rPr>
                <w:color w:val="000000"/>
                <w:sz w:val="20"/>
                <w:szCs w:val="20"/>
              </w:rPr>
            </w:pPr>
            <w:r w:rsidRPr="007D22C9">
              <w:rPr>
                <w:color w:val="000000"/>
                <w:sz w:val="20"/>
                <w:szCs w:val="20"/>
              </w:rPr>
              <w:t>1,</w:t>
            </w:r>
            <w:r w:rsidR="000B335A" w:rsidRPr="007D22C9">
              <w:rPr>
                <w:color w:val="000000"/>
                <w:sz w:val="20"/>
                <w:szCs w:val="20"/>
              </w:rPr>
              <w:t>5</w:t>
            </w:r>
            <w:r w:rsidRPr="007D22C9">
              <w:rPr>
                <w:color w:val="000000"/>
                <w:sz w:val="20"/>
                <w:szCs w:val="20"/>
              </w:rPr>
              <w:t>0</w:t>
            </w:r>
          </w:p>
        </w:tc>
        <w:tc>
          <w:tcPr>
            <w:tcW w:w="992" w:type="dxa"/>
            <w:tcBorders>
              <w:top w:val="nil"/>
              <w:left w:val="nil"/>
              <w:bottom w:val="single" w:sz="4" w:space="0" w:color="auto"/>
              <w:right w:val="single" w:sz="4" w:space="0" w:color="auto"/>
            </w:tcBorders>
            <w:shd w:val="clear" w:color="auto" w:fill="auto"/>
            <w:hideMark/>
          </w:tcPr>
          <w:p w:rsidR="000B335A" w:rsidRPr="007D22C9" w:rsidRDefault="00C028FD" w:rsidP="00C028FD">
            <w:pPr>
              <w:autoSpaceDE/>
              <w:autoSpaceDN/>
              <w:adjustRightInd/>
              <w:spacing w:line="233" w:lineRule="auto"/>
              <w:jc w:val="center"/>
              <w:rPr>
                <w:color w:val="000000"/>
                <w:sz w:val="20"/>
                <w:szCs w:val="20"/>
              </w:rPr>
            </w:pPr>
            <w:r w:rsidRPr="007D22C9">
              <w:rPr>
                <w:color w:val="000000"/>
                <w:sz w:val="20"/>
                <w:szCs w:val="20"/>
              </w:rPr>
              <w:t>1,2</w:t>
            </w:r>
            <w:r w:rsidR="000B335A" w:rsidRPr="007D22C9">
              <w:rPr>
                <w:color w:val="000000"/>
                <w:sz w:val="20"/>
                <w:szCs w:val="20"/>
              </w:rPr>
              <w:t>5</w:t>
            </w:r>
          </w:p>
        </w:tc>
        <w:tc>
          <w:tcPr>
            <w:tcW w:w="708" w:type="dxa"/>
            <w:tcBorders>
              <w:top w:val="nil"/>
              <w:left w:val="nil"/>
              <w:bottom w:val="single" w:sz="4" w:space="0" w:color="auto"/>
              <w:right w:val="single" w:sz="4" w:space="0" w:color="auto"/>
            </w:tcBorders>
            <w:shd w:val="clear" w:color="auto" w:fill="auto"/>
            <w:hideMark/>
          </w:tcPr>
          <w:p w:rsidR="000B335A" w:rsidRPr="007D22C9" w:rsidRDefault="000B335A" w:rsidP="00D302C3">
            <w:pPr>
              <w:autoSpaceDE/>
              <w:autoSpaceDN/>
              <w:adjustRightInd/>
              <w:spacing w:line="233" w:lineRule="auto"/>
              <w:jc w:val="center"/>
              <w:rPr>
                <w:color w:val="000000"/>
                <w:sz w:val="20"/>
                <w:szCs w:val="20"/>
              </w:rPr>
            </w:pPr>
            <w:r w:rsidRPr="007D22C9">
              <w:rPr>
                <w:color w:val="000000"/>
                <w:sz w:val="20"/>
                <w:szCs w:val="20"/>
              </w:rPr>
              <w:t>1</w:t>
            </w:r>
          </w:p>
        </w:tc>
        <w:tc>
          <w:tcPr>
            <w:tcW w:w="993" w:type="dxa"/>
            <w:tcBorders>
              <w:top w:val="nil"/>
              <w:left w:val="nil"/>
              <w:bottom w:val="single" w:sz="4" w:space="0" w:color="auto"/>
              <w:right w:val="single" w:sz="4" w:space="0" w:color="auto"/>
            </w:tcBorders>
            <w:shd w:val="clear" w:color="auto" w:fill="auto"/>
            <w:hideMark/>
          </w:tcPr>
          <w:p w:rsidR="000B335A" w:rsidRPr="007D22C9" w:rsidRDefault="00C028FD" w:rsidP="00C028FD">
            <w:pPr>
              <w:autoSpaceDE/>
              <w:autoSpaceDN/>
              <w:adjustRightInd/>
              <w:spacing w:line="233" w:lineRule="auto"/>
              <w:jc w:val="center"/>
              <w:rPr>
                <w:color w:val="000000"/>
                <w:sz w:val="20"/>
                <w:szCs w:val="20"/>
              </w:rPr>
            </w:pPr>
            <w:r w:rsidRPr="007D22C9">
              <w:rPr>
                <w:color w:val="000000"/>
                <w:sz w:val="20"/>
                <w:szCs w:val="20"/>
              </w:rPr>
              <w:t>0</w:t>
            </w:r>
          </w:p>
        </w:tc>
      </w:tr>
      <w:tr w:rsidR="000B335A" w:rsidRPr="007D22C9" w:rsidTr="00BD3B9A">
        <w:trPr>
          <w:trHeight w:val="20"/>
        </w:trPr>
        <w:tc>
          <w:tcPr>
            <w:tcW w:w="533" w:type="dxa"/>
            <w:tcBorders>
              <w:top w:val="nil"/>
              <w:left w:val="single" w:sz="4" w:space="0" w:color="auto"/>
              <w:bottom w:val="single" w:sz="4" w:space="0" w:color="auto"/>
              <w:right w:val="single" w:sz="4" w:space="0" w:color="auto"/>
            </w:tcBorders>
            <w:shd w:val="clear" w:color="auto" w:fill="auto"/>
            <w:hideMark/>
          </w:tcPr>
          <w:p w:rsidR="000B335A" w:rsidRPr="007D22C9" w:rsidRDefault="000B335A" w:rsidP="00BD3B9A">
            <w:pPr>
              <w:autoSpaceDE/>
              <w:autoSpaceDN/>
              <w:adjustRightInd/>
              <w:jc w:val="center"/>
              <w:rPr>
                <w:color w:val="000000"/>
                <w:sz w:val="20"/>
                <w:szCs w:val="20"/>
              </w:rPr>
            </w:pPr>
            <w:r w:rsidRPr="007D22C9">
              <w:rPr>
                <w:color w:val="000000"/>
                <w:sz w:val="20"/>
                <w:szCs w:val="20"/>
              </w:rPr>
              <w:t>10</w:t>
            </w:r>
            <w:r w:rsidR="003B1A7B" w:rsidRPr="007D22C9">
              <w:rPr>
                <w:color w:val="000000"/>
                <w:sz w:val="20"/>
                <w:szCs w:val="20"/>
              </w:rPr>
              <w:t>.</w:t>
            </w:r>
          </w:p>
        </w:tc>
        <w:tc>
          <w:tcPr>
            <w:tcW w:w="1730" w:type="dxa"/>
            <w:tcBorders>
              <w:top w:val="nil"/>
              <w:left w:val="nil"/>
              <w:bottom w:val="single" w:sz="4" w:space="0" w:color="auto"/>
              <w:right w:val="nil"/>
            </w:tcBorders>
            <w:shd w:val="clear" w:color="auto" w:fill="auto"/>
            <w:hideMark/>
          </w:tcPr>
          <w:p w:rsidR="000B335A" w:rsidRPr="007D22C9" w:rsidRDefault="000B335A" w:rsidP="00BD3B9A">
            <w:pPr>
              <w:autoSpaceDE/>
              <w:autoSpaceDN/>
              <w:adjustRightInd/>
              <w:jc w:val="both"/>
              <w:rPr>
                <w:color w:val="000000"/>
                <w:sz w:val="20"/>
                <w:szCs w:val="20"/>
              </w:rPr>
            </w:pPr>
            <w:r w:rsidRPr="007D22C9">
              <w:rPr>
                <w:color w:val="000000"/>
                <w:sz w:val="20"/>
                <w:szCs w:val="20"/>
              </w:rPr>
              <w:t xml:space="preserve">ГАУЗ </w:t>
            </w:r>
            <w:r w:rsidR="002F7358" w:rsidRPr="007D22C9">
              <w:rPr>
                <w:color w:val="000000"/>
                <w:sz w:val="20"/>
                <w:szCs w:val="20"/>
              </w:rPr>
              <w:t>«</w:t>
            </w:r>
            <w:r w:rsidRPr="007D22C9">
              <w:rPr>
                <w:color w:val="000000"/>
                <w:sz w:val="20"/>
                <w:szCs w:val="20"/>
              </w:rPr>
              <w:t>Апастовская ЦРБ</w:t>
            </w:r>
            <w:r w:rsidR="002F7358" w:rsidRPr="007D22C9">
              <w:rPr>
                <w:color w:val="000000"/>
                <w:sz w:val="20"/>
                <w:szCs w:val="20"/>
              </w:rPr>
              <w:t>»</w:t>
            </w:r>
          </w:p>
        </w:tc>
        <w:tc>
          <w:tcPr>
            <w:tcW w:w="1418" w:type="dxa"/>
            <w:tcBorders>
              <w:top w:val="nil"/>
              <w:left w:val="single" w:sz="4" w:space="0" w:color="auto"/>
              <w:bottom w:val="single" w:sz="4" w:space="0" w:color="auto"/>
              <w:right w:val="single" w:sz="4" w:space="0" w:color="auto"/>
            </w:tcBorders>
            <w:shd w:val="clear" w:color="auto" w:fill="auto"/>
            <w:hideMark/>
          </w:tcPr>
          <w:p w:rsidR="000B335A" w:rsidRPr="007D22C9" w:rsidRDefault="0033529E" w:rsidP="00C572EE">
            <w:pPr>
              <w:autoSpaceDE/>
              <w:autoSpaceDN/>
              <w:adjustRightInd/>
              <w:jc w:val="both"/>
              <w:rPr>
                <w:color w:val="000000"/>
                <w:sz w:val="20"/>
                <w:szCs w:val="20"/>
              </w:rPr>
            </w:pPr>
            <w:r w:rsidRPr="007D22C9">
              <w:rPr>
                <w:color w:val="000000"/>
                <w:sz w:val="20"/>
                <w:szCs w:val="20"/>
              </w:rPr>
              <w:t>пгт</w:t>
            </w:r>
            <w:r w:rsidR="00C572EE" w:rsidRPr="007D22C9">
              <w:rPr>
                <w:color w:val="000000"/>
                <w:sz w:val="20"/>
                <w:szCs w:val="20"/>
              </w:rPr>
              <w:t>.</w:t>
            </w:r>
            <w:r w:rsidR="000B335A" w:rsidRPr="007D22C9">
              <w:rPr>
                <w:color w:val="000000"/>
                <w:sz w:val="20"/>
                <w:szCs w:val="20"/>
              </w:rPr>
              <w:t xml:space="preserve">Апастово, </w:t>
            </w:r>
            <w:r w:rsidR="00C572EE" w:rsidRPr="007D22C9">
              <w:rPr>
                <w:color w:val="000000"/>
                <w:sz w:val="20"/>
                <w:szCs w:val="20"/>
              </w:rPr>
              <w:t>ул.</w:t>
            </w:r>
            <w:r w:rsidR="000B335A" w:rsidRPr="007D22C9">
              <w:rPr>
                <w:color w:val="000000"/>
                <w:sz w:val="20"/>
                <w:szCs w:val="20"/>
              </w:rPr>
              <w:t xml:space="preserve">Красноармейская, </w:t>
            </w:r>
            <w:r w:rsidR="00C940D5" w:rsidRPr="007D22C9">
              <w:rPr>
                <w:color w:val="000000"/>
                <w:sz w:val="20"/>
                <w:szCs w:val="20"/>
              </w:rPr>
              <w:t>д.</w:t>
            </w:r>
            <w:r w:rsidR="000B335A" w:rsidRPr="007D22C9">
              <w:rPr>
                <w:color w:val="000000"/>
                <w:sz w:val="20"/>
                <w:szCs w:val="20"/>
              </w:rPr>
              <w:t>93</w:t>
            </w:r>
          </w:p>
        </w:tc>
        <w:tc>
          <w:tcPr>
            <w:tcW w:w="1418" w:type="dxa"/>
            <w:tcBorders>
              <w:top w:val="nil"/>
              <w:left w:val="nil"/>
              <w:bottom w:val="single" w:sz="4" w:space="0" w:color="auto"/>
              <w:right w:val="single" w:sz="4" w:space="0" w:color="auto"/>
            </w:tcBorders>
            <w:shd w:val="clear" w:color="auto" w:fill="auto"/>
            <w:hideMark/>
          </w:tcPr>
          <w:p w:rsidR="000B335A" w:rsidRPr="007D22C9" w:rsidRDefault="000B335A" w:rsidP="00BD3B9A">
            <w:pPr>
              <w:autoSpaceDE/>
              <w:autoSpaceDN/>
              <w:adjustRightInd/>
              <w:jc w:val="both"/>
              <w:rPr>
                <w:color w:val="000000"/>
                <w:sz w:val="20"/>
                <w:szCs w:val="20"/>
              </w:rPr>
            </w:pPr>
            <w:r w:rsidRPr="007D22C9">
              <w:rPr>
                <w:color w:val="000000"/>
                <w:sz w:val="20"/>
                <w:szCs w:val="20"/>
              </w:rPr>
              <w:t>Апастовский муниципальный район</w:t>
            </w:r>
          </w:p>
        </w:tc>
        <w:tc>
          <w:tcPr>
            <w:tcW w:w="851" w:type="dxa"/>
            <w:tcBorders>
              <w:top w:val="nil"/>
              <w:left w:val="nil"/>
              <w:bottom w:val="single" w:sz="4" w:space="0" w:color="auto"/>
              <w:right w:val="single" w:sz="4" w:space="0" w:color="auto"/>
            </w:tcBorders>
            <w:shd w:val="clear" w:color="auto" w:fill="auto"/>
            <w:hideMark/>
          </w:tcPr>
          <w:p w:rsidR="000B335A" w:rsidRPr="007D22C9" w:rsidRDefault="000B335A" w:rsidP="00BD3B9A">
            <w:pPr>
              <w:autoSpaceDE/>
              <w:autoSpaceDN/>
              <w:adjustRightInd/>
              <w:jc w:val="center"/>
              <w:rPr>
                <w:color w:val="000000"/>
                <w:sz w:val="20"/>
                <w:szCs w:val="20"/>
              </w:rPr>
            </w:pPr>
            <w:r w:rsidRPr="007D22C9">
              <w:rPr>
                <w:color w:val="000000"/>
                <w:sz w:val="20"/>
                <w:szCs w:val="20"/>
              </w:rPr>
              <w:t>15 539</w:t>
            </w:r>
          </w:p>
        </w:tc>
        <w:tc>
          <w:tcPr>
            <w:tcW w:w="850" w:type="dxa"/>
            <w:tcBorders>
              <w:top w:val="nil"/>
              <w:left w:val="nil"/>
              <w:bottom w:val="single" w:sz="4" w:space="0" w:color="auto"/>
              <w:right w:val="single" w:sz="4" w:space="0" w:color="auto"/>
            </w:tcBorders>
            <w:shd w:val="clear" w:color="auto" w:fill="auto"/>
            <w:hideMark/>
          </w:tcPr>
          <w:p w:rsidR="000B335A" w:rsidRPr="007D22C9" w:rsidRDefault="000B335A" w:rsidP="00BD3B9A">
            <w:pPr>
              <w:autoSpaceDE/>
              <w:autoSpaceDN/>
              <w:adjustRightInd/>
              <w:jc w:val="center"/>
              <w:rPr>
                <w:color w:val="000000"/>
                <w:sz w:val="20"/>
                <w:szCs w:val="20"/>
              </w:rPr>
            </w:pPr>
            <w:r w:rsidRPr="007D22C9">
              <w:rPr>
                <w:color w:val="000000"/>
                <w:sz w:val="20"/>
                <w:szCs w:val="20"/>
              </w:rPr>
              <w:t>0,52</w:t>
            </w:r>
          </w:p>
        </w:tc>
        <w:tc>
          <w:tcPr>
            <w:tcW w:w="1077" w:type="dxa"/>
            <w:tcBorders>
              <w:top w:val="nil"/>
              <w:left w:val="nil"/>
              <w:bottom w:val="single" w:sz="4" w:space="0" w:color="auto"/>
              <w:right w:val="single" w:sz="4" w:space="0" w:color="auto"/>
            </w:tcBorders>
            <w:shd w:val="clear" w:color="auto" w:fill="auto"/>
            <w:hideMark/>
          </w:tcPr>
          <w:p w:rsidR="000B335A" w:rsidRPr="007D22C9" w:rsidRDefault="000B335A" w:rsidP="00BD3B9A">
            <w:pPr>
              <w:autoSpaceDE/>
              <w:autoSpaceDN/>
              <w:adjustRightInd/>
              <w:jc w:val="center"/>
              <w:rPr>
                <w:color w:val="000000"/>
                <w:sz w:val="20"/>
                <w:szCs w:val="20"/>
              </w:rPr>
            </w:pPr>
            <w:r w:rsidRPr="007D22C9">
              <w:rPr>
                <w:color w:val="000000"/>
                <w:sz w:val="20"/>
                <w:szCs w:val="20"/>
              </w:rPr>
              <w:t>0,5</w:t>
            </w:r>
            <w:r w:rsidR="00C853C4" w:rsidRPr="007D22C9">
              <w:rPr>
                <w:color w:val="000000"/>
                <w:sz w:val="20"/>
                <w:szCs w:val="20"/>
              </w:rPr>
              <w:t>0</w:t>
            </w:r>
          </w:p>
        </w:tc>
        <w:tc>
          <w:tcPr>
            <w:tcW w:w="992" w:type="dxa"/>
            <w:tcBorders>
              <w:top w:val="nil"/>
              <w:left w:val="nil"/>
              <w:bottom w:val="single" w:sz="4" w:space="0" w:color="auto"/>
              <w:right w:val="single" w:sz="4" w:space="0" w:color="auto"/>
            </w:tcBorders>
            <w:shd w:val="clear" w:color="auto" w:fill="auto"/>
            <w:hideMark/>
          </w:tcPr>
          <w:p w:rsidR="000B335A" w:rsidRPr="007D22C9" w:rsidRDefault="000B335A" w:rsidP="00BD3B9A">
            <w:pPr>
              <w:autoSpaceDE/>
              <w:autoSpaceDN/>
              <w:adjustRightInd/>
              <w:jc w:val="center"/>
              <w:rPr>
                <w:color w:val="000000"/>
                <w:sz w:val="20"/>
                <w:szCs w:val="20"/>
              </w:rPr>
            </w:pPr>
            <w:r w:rsidRPr="007D22C9">
              <w:rPr>
                <w:color w:val="000000"/>
                <w:sz w:val="20"/>
                <w:szCs w:val="20"/>
              </w:rPr>
              <w:t>0,5</w:t>
            </w:r>
            <w:r w:rsidR="00C853C4" w:rsidRPr="007D22C9">
              <w:rPr>
                <w:color w:val="000000"/>
                <w:sz w:val="20"/>
                <w:szCs w:val="20"/>
              </w:rPr>
              <w:t>0</w:t>
            </w:r>
          </w:p>
        </w:tc>
        <w:tc>
          <w:tcPr>
            <w:tcW w:w="708" w:type="dxa"/>
            <w:tcBorders>
              <w:top w:val="nil"/>
              <w:left w:val="nil"/>
              <w:bottom w:val="single" w:sz="4" w:space="0" w:color="auto"/>
              <w:right w:val="single" w:sz="4" w:space="0" w:color="auto"/>
            </w:tcBorders>
            <w:shd w:val="clear" w:color="auto" w:fill="auto"/>
            <w:hideMark/>
          </w:tcPr>
          <w:p w:rsidR="000B335A" w:rsidRPr="007D22C9" w:rsidRDefault="000B335A" w:rsidP="00BD3B9A">
            <w:pPr>
              <w:autoSpaceDE/>
              <w:autoSpaceDN/>
              <w:adjustRightInd/>
              <w:jc w:val="center"/>
              <w:rPr>
                <w:color w:val="000000"/>
                <w:sz w:val="20"/>
                <w:szCs w:val="20"/>
              </w:rPr>
            </w:pPr>
            <w:r w:rsidRPr="007D22C9">
              <w:rPr>
                <w:color w:val="000000"/>
                <w:sz w:val="20"/>
                <w:szCs w:val="20"/>
              </w:rPr>
              <w:t>1</w:t>
            </w:r>
          </w:p>
        </w:tc>
        <w:tc>
          <w:tcPr>
            <w:tcW w:w="993" w:type="dxa"/>
            <w:tcBorders>
              <w:top w:val="nil"/>
              <w:left w:val="nil"/>
              <w:bottom w:val="single" w:sz="4" w:space="0" w:color="auto"/>
              <w:right w:val="single" w:sz="4" w:space="0" w:color="auto"/>
            </w:tcBorders>
            <w:shd w:val="clear" w:color="auto" w:fill="auto"/>
            <w:hideMark/>
          </w:tcPr>
          <w:p w:rsidR="000B335A" w:rsidRPr="007D22C9" w:rsidRDefault="000B335A" w:rsidP="00BD3B9A">
            <w:pPr>
              <w:autoSpaceDE/>
              <w:autoSpaceDN/>
              <w:adjustRightInd/>
              <w:jc w:val="center"/>
              <w:rPr>
                <w:color w:val="000000"/>
                <w:sz w:val="20"/>
                <w:szCs w:val="20"/>
              </w:rPr>
            </w:pPr>
            <w:r w:rsidRPr="007D22C9">
              <w:rPr>
                <w:color w:val="000000"/>
                <w:sz w:val="20"/>
                <w:szCs w:val="20"/>
              </w:rPr>
              <w:t>1</w:t>
            </w:r>
          </w:p>
        </w:tc>
      </w:tr>
      <w:tr w:rsidR="000B335A" w:rsidRPr="007D22C9" w:rsidTr="00BD3B9A">
        <w:trPr>
          <w:trHeight w:val="20"/>
        </w:trPr>
        <w:tc>
          <w:tcPr>
            <w:tcW w:w="533" w:type="dxa"/>
            <w:tcBorders>
              <w:top w:val="nil"/>
              <w:left w:val="single" w:sz="4" w:space="0" w:color="auto"/>
              <w:bottom w:val="single" w:sz="4" w:space="0" w:color="auto"/>
              <w:right w:val="single" w:sz="4" w:space="0" w:color="auto"/>
            </w:tcBorders>
            <w:shd w:val="clear" w:color="auto" w:fill="auto"/>
            <w:hideMark/>
          </w:tcPr>
          <w:p w:rsidR="000B335A" w:rsidRPr="007D22C9" w:rsidRDefault="000B335A" w:rsidP="00BD3B9A">
            <w:pPr>
              <w:autoSpaceDE/>
              <w:autoSpaceDN/>
              <w:adjustRightInd/>
              <w:jc w:val="center"/>
              <w:rPr>
                <w:color w:val="000000"/>
                <w:sz w:val="20"/>
                <w:szCs w:val="20"/>
              </w:rPr>
            </w:pPr>
            <w:r w:rsidRPr="007D22C9">
              <w:rPr>
                <w:color w:val="000000"/>
                <w:sz w:val="20"/>
                <w:szCs w:val="20"/>
              </w:rPr>
              <w:t>11</w:t>
            </w:r>
            <w:r w:rsidR="003B1A7B" w:rsidRPr="007D22C9">
              <w:rPr>
                <w:color w:val="000000"/>
                <w:sz w:val="20"/>
                <w:szCs w:val="20"/>
              </w:rPr>
              <w:t>.</w:t>
            </w:r>
          </w:p>
        </w:tc>
        <w:tc>
          <w:tcPr>
            <w:tcW w:w="1730" w:type="dxa"/>
            <w:tcBorders>
              <w:top w:val="nil"/>
              <w:left w:val="nil"/>
              <w:bottom w:val="single" w:sz="4" w:space="0" w:color="auto"/>
              <w:right w:val="nil"/>
            </w:tcBorders>
            <w:shd w:val="clear" w:color="auto" w:fill="auto"/>
            <w:hideMark/>
          </w:tcPr>
          <w:p w:rsidR="000B335A" w:rsidRPr="007D22C9" w:rsidRDefault="000B335A" w:rsidP="00BD3B9A">
            <w:pPr>
              <w:autoSpaceDE/>
              <w:autoSpaceDN/>
              <w:adjustRightInd/>
              <w:jc w:val="both"/>
              <w:rPr>
                <w:color w:val="000000"/>
                <w:sz w:val="20"/>
                <w:szCs w:val="20"/>
              </w:rPr>
            </w:pPr>
            <w:r w:rsidRPr="007D22C9">
              <w:rPr>
                <w:color w:val="000000"/>
                <w:sz w:val="20"/>
                <w:szCs w:val="20"/>
              </w:rPr>
              <w:t xml:space="preserve">ГАУЗ </w:t>
            </w:r>
            <w:r w:rsidR="002F7358" w:rsidRPr="007D22C9">
              <w:rPr>
                <w:color w:val="000000"/>
                <w:sz w:val="20"/>
                <w:szCs w:val="20"/>
              </w:rPr>
              <w:t>«</w:t>
            </w:r>
            <w:r w:rsidRPr="007D22C9">
              <w:rPr>
                <w:color w:val="000000"/>
                <w:sz w:val="20"/>
                <w:szCs w:val="20"/>
              </w:rPr>
              <w:t>Атнинская ЦРБ</w:t>
            </w:r>
            <w:r w:rsidR="002F7358" w:rsidRPr="007D22C9">
              <w:rPr>
                <w:color w:val="000000"/>
                <w:sz w:val="20"/>
                <w:szCs w:val="20"/>
              </w:rPr>
              <w:t>»</w:t>
            </w:r>
          </w:p>
        </w:tc>
        <w:tc>
          <w:tcPr>
            <w:tcW w:w="1418" w:type="dxa"/>
            <w:tcBorders>
              <w:top w:val="nil"/>
              <w:left w:val="single" w:sz="4" w:space="0" w:color="auto"/>
              <w:bottom w:val="single" w:sz="4" w:space="0" w:color="auto"/>
              <w:right w:val="single" w:sz="4" w:space="0" w:color="auto"/>
            </w:tcBorders>
            <w:shd w:val="clear" w:color="auto" w:fill="auto"/>
            <w:hideMark/>
          </w:tcPr>
          <w:p w:rsidR="000B335A" w:rsidRPr="007D22C9" w:rsidRDefault="00C572EE" w:rsidP="00C572EE">
            <w:pPr>
              <w:autoSpaceDE/>
              <w:autoSpaceDN/>
              <w:adjustRightInd/>
              <w:jc w:val="both"/>
              <w:rPr>
                <w:color w:val="000000"/>
                <w:sz w:val="20"/>
                <w:szCs w:val="20"/>
              </w:rPr>
            </w:pPr>
            <w:r w:rsidRPr="007D22C9">
              <w:rPr>
                <w:color w:val="000000"/>
                <w:sz w:val="20"/>
                <w:szCs w:val="20"/>
              </w:rPr>
              <w:t>с.</w:t>
            </w:r>
            <w:r w:rsidR="000B335A" w:rsidRPr="007D22C9">
              <w:rPr>
                <w:color w:val="000000"/>
                <w:sz w:val="20"/>
                <w:szCs w:val="20"/>
              </w:rPr>
              <w:t xml:space="preserve">Большая Атня, </w:t>
            </w:r>
            <w:r w:rsidR="000737A9" w:rsidRPr="007D22C9">
              <w:rPr>
                <w:color w:val="000000"/>
                <w:sz w:val="20"/>
                <w:szCs w:val="20"/>
              </w:rPr>
              <w:t>ул.</w:t>
            </w:r>
            <w:r w:rsidR="000B335A" w:rsidRPr="007D22C9">
              <w:rPr>
                <w:color w:val="000000"/>
                <w:sz w:val="20"/>
                <w:szCs w:val="20"/>
              </w:rPr>
              <w:t xml:space="preserve">Пролетарская, </w:t>
            </w:r>
            <w:r w:rsidR="00C940D5" w:rsidRPr="007D22C9">
              <w:rPr>
                <w:color w:val="000000"/>
                <w:sz w:val="20"/>
                <w:szCs w:val="20"/>
              </w:rPr>
              <w:t>д.</w:t>
            </w:r>
            <w:r w:rsidR="000B335A" w:rsidRPr="007D22C9">
              <w:rPr>
                <w:color w:val="000000"/>
                <w:sz w:val="20"/>
                <w:szCs w:val="20"/>
              </w:rPr>
              <w:t>1</w:t>
            </w:r>
          </w:p>
        </w:tc>
        <w:tc>
          <w:tcPr>
            <w:tcW w:w="1418" w:type="dxa"/>
            <w:tcBorders>
              <w:top w:val="nil"/>
              <w:left w:val="nil"/>
              <w:bottom w:val="single" w:sz="4" w:space="0" w:color="auto"/>
              <w:right w:val="single" w:sz="4" w:space="0" w:color="auto"/>
            </w:tcBorders>
            <w:shd w:val="clear" w:color="auto" w:fill="auto"/>
            <w:hideMark/>
          </w:tcPr>
          <w:p w:rsidR="000B335A" w:rsidRPr="007D22C9" w:rsidRDefault="000B335A" w:rsidP="00BD3B9A">
            <w:pPr>
              <w:autoSpaceDE/>
              <w:autoSpaceDN/>
              <w:adjustRightInd/>
              <w:jc w:val="both"/>
              <w:rPr>
                <w:color w:val="000000"/>
                <w:sz w:val="20"/>
                <w:szCs w:val="20"/>
              </w:rPr>
            </w:pPr>
            <w:r w:rsidRPr="007D22C9">
              <w:rPr>
                <w:color w:val="000000"/>
                <w:sz w:val="20"/>
                <w:szCs w:val="20"/>
              </w:rPr>
              <w:t>Атнинский муниципальный район</w:t>
            </w:r>
          </w:p>
        </w:tc>
        <w:tc>
          <w:tcPr>
            <w:tcW w:w="851" w:type="dxa"/>
            <w:tcBorders>
              <w:top w:val="nil"/>
              <w:left w:val="nil"/>
              <w:bottom w:val="single" w:sz="4" w:space="0" w:color="auto"/>
              <w:right w:val="single" w:sz="4" w:space="0" w:color="auto"/>
            </w:tcBorders>
            <w:shd w:val="clear" w:color="auto" w:fill="auto"/>
            <w:hideMark/>
          </w:tcPr>
          <w:p w:rsidR="000B335A" w:rsidRPr="007D22C9" w:rsidRDefault="000B335A" w:rsidP="00BD3B9A">
            <w:pPr>
              <w:autoSpaceDE/>
              <w:autoSpaceDN/>
              <w:adjustRightInd/>
              <w:jc w:val="center"/>
              <w:rPr>
                <w:color w:val="000000"/>
                <w:sz w:val="20"/>
                <w:szCs w:val="20"/>
              </w:rPr>
            </w:pPr>
            <w:r w:rsidRPr="007D22C9">
              <w:rPr>
                <w:color w:val="000000"/>
                <w:sz w:val="20"/>
                <w:szCs w:val="20"/>
              </w:rPr>
              <w:t>11 446</w:t>
            </w:r>
          </w:p>
        </w:tc>
        <w:tc>
          <w:tcPr>
            <w:tcW w:w="850" w:type="dxa"/>
            <w:tcBorders>
              <w:top w:val="nil"/>
              <w:left w:val="nil"/>
              <w:bottom w:val="single" w:sz="4" w:space="0" w:color="auto"/>
              <w:right w:val="single" w:sz="4" w:space="0" w:color="auto"/>
            </w:tcBorders>
            <w:shd w:val="clear" w:color="auto" w:fill="auto"/>
            <w:hideMark/>
          </w:tcPr>
          <w:p w:rsidR="000B335A" w:rsidRPr="007D22C9" w:rsidRDefault="000B335A" w:rsidP="00BD3B9A">
            <w:pPr>
              <w:autoSpaceDE/>
              <w:autoSpaceDN/>
              <w:adjustRightInd/>
              <w:jc w:val="center"/>
              <w:rPr>
                <w:color w:val="000000"/>
                <w:sz w:val="20"/>
                <w:szCs w:val="20"/>
              </w:rPr>
            </w:pPr>
            <w:r w:rsidRPr="007D22C9">
              <w:rPr>
                <w:color w:val="000000"/>
                <w:sz w:val="20"/>
                <w:szCs w:val="20"/>
              </w:rPr>
              <w:t>0,38</w:t>
            </w:r>
          </w:p>
        </w:tc>
        <w:tc>
          <w:tcPr>
            <w:tcW w:w="1077" w:type="dxa"/>
            <w:tcBorders>
              <w:top w:val="nil"/>
              <w:left w:val="nil"/>
              <w:bottom w:val="single" w:sz="4" w:space="0" w:color="auto"/>
              <w:right w:val="single" w:sz="4" w:space="0" w:color="auto"/>
            </w:tcBorders>
            <w:shd w:val="clear" w:color="auto" w:fill="auto"/>
            <w:hideMark/>
          </w:tcPr>
          <w:p w:rsidR="000B335A" w:rsidRPr="007D22C9" w:rsidRDefault="000B335A" w:rsidP="00BD3B9A">
            <w:pPr>
              <w:autoSpaceDE/>
              <w:autoSpaceDN/>
              <w:adjustRightInd/>
              <w:jc w:val="center"/>
              <w:rPr>
                <w:color w:val="000000"/>
                <w:sz w:val="20"/>
                <w:szCs w:val="20"/>
              </w:rPr>
            </w:pPr>
            <w:r w:rsidRPr="007D22C9">
              <w:rPr>
                <w:color w:val="000000"/>
                <w:sz w:val="20"/>
                <w:szCs w:val="20"/>
              </w:rPr>
              <w:t>0,5</w:t>
            </w:r>
            <w:r w:rsidR="003A5D17" w:rsidRPr="007D22C9">
              <w:rPr>
                <w:color w:val="000000"/>
                <w:sz w:val="20"/>
                <w:szCs w:val="20"/>
              </w:rPr>
              <w:t>0</w:t>
            </w:r>
          </w:p>
        </w:tc>
        <w:tc>
          <w:tcPr>
            <w:tcW w:w="992" w:type="dxa"/>
            <w:tcBorders>
              <w:top w:val="nil"/>
              <w:left w:val="nil"/>
              <w:bottom w:val="single" w:sz="4" w:space="0" w:color="auto"/>
              <w:right w:val="single" w:sz="4" w:space="0" w:color="auto"/>
            </w:tcBorders>
            <w:shd w:val="clear" w:color="auto" w:fill="auto"/>
            <w:hideMark/>
          </w:tcPr>
          <w:p w:rsidR="000B335A" w:rsidRPr="007D22C9" w:rsidRDefault="000B335A" w:rsidP="00BD3B9A">
            <w:pPr>
              <w:autoSpaceDE/>
              <w:autoSpaceDN/>
              <w:adjustRightInd/>
              <w:jc w:val="center"/>
              <w:rPr>
                <w:color w:val="000000"/>
                <w:sz w:val="20"/>
                <w:szCs w:val="20"/>
              </w:rPr>
            </w:pPr>
            <w:r w:rsidRPr="007D22C9">
              <w:rPr>
                <w:color w:val="000000"/>
                <w:sz w:val="20"/>
                <w:szCs w:val="20"/>
              </w:rPr>
              <w:t>0,5</w:t>
            </w:r>
            <w:r w:rsidR="003A5D17" w:rsidRPr="007D22C9">
              <w:rPr>
                <w:color w:val="000000"/>
                <w:sz w:val="20"/>
                <w:szCs w:val="20"/>
              </w:rPr>
              <w:t>0</w:t>
            </w:r>
          </w:p>
        </w:tc>
        <w:tc>
          <w:tcPr>
            <w:tcW w:w="708" w:type="dxa"/>
            <w:tcBorders>
              <w:top w:val="nil"/>
              <w:left w:val="nil"/>
              <w:bottom w:val="single" w:sz="4" w:space="0" w:color="auto"/>
              <w:right w:val="single" w:sz="4" w:space="0" w:color="auto"/>
            </w:tcBorders>
            <w:shd w:val="clear" w:color="auto" w:fill="auto"/>
            <w:hideMark/>
          </w:tcPr>
          <w:p w:rsidR="000B335A" w:rsidRPr="007D22C9" w:rsidRDefault="000B335A" w:rsidP="00BD3B9A">
            <w:pPr>
              <w:autoSpaceDE/>
              <w:autoSpaceDN/>
              <w:adjustRightInd/>
              <w:jc w:val="center"/>
              <w:rPr>
                <w:color w:val="000000"/>
                <w:sz w:val="20"/>
                <w:szCs w:val="20"/>
              </w:rPr>
            </w:pPr>
            <w:r w:rsidRPr="007D22C9">
              <w:rPr>
                <w:color w:val="000000"/>
                <w:sz w:val="20"/>
                <w:szCs w:val="20"/>
              </w:rPr>
              <w:t>1</w:t>
            </w:r>
          </w:p>
        </w:tc>
        <w:tc>
          <w:tcPr>
            <w:tcW w:w="993" w:type="dxa"/>
            <w:tcBorders>
              <w:top w:val="nil"/>
              <w:left w:val="nil"/>
              <w:bottom w:val="single" w:sz="4" w:space="0" w:color="auto"/>
              <w:right w:val="single" w:sz="4" w:space="0" w:color="auto"/>
            </w:tcBorders>
            <w:shd w:val="clear" w:color="auto" w:fill="auto"/>
            <w:hideMark/>
          </w:tcPr>
          <w:p w:rsidR="000B335A" w:rsidRPr="007D22C9" w:rsidRDefault="000B335A" w:rsidP="00BD3B9A">
            <w:pPr>
              <w:autoSpaceDE/>
              <w:autoSpaceDN/>
              <w:adjustRightInd/>
              <w:jc w:val="center"/>
              <w:rPr>
                <w:color w:val="000000"/>
                <w:sz w:val="20"/>
                <w:szCs w:val="20"/>
              </w:rPr>
            </w:pPr>
            <w:r w:rsidRPr="007D22C9">
              <w:rPr>
                <w:color w:val="000000"/>
                <w:sz w:val="20"/>
                <w:szCs w:val="20"/>
              </w:rPr>
              <w:t>1</w:t>
            </w:r>
          </w:p>
        </w:tc>
      </w:tr>
      <w:tr w:rsidR="000B335A" w:rsidRPr="007D22C9" w:rsidTr="00BD3B9A">
        <w:trPr>
          <w:trHeight w:val="20"/>
        </w:trPr>
        <w:tc>
          <w:tcPr>
            <w:tcW w:w="533" w:type="dxa"/>
            <w:tcBorders>
              <w:top w:val="nil"/>
              <w:left w:val="single" w:sz="4" w:space="0" w:color="auto"/>
              <w:bottom w:val="single" w:sz="4" w:space="0" w:color="auto"/>
              <w:right w:val="single" w:sz="4" w:space="0" w:color="auto"/>
            </w:tcBorders>
            <w:shd w:val="clear" w:color="auto" w:fill="auto"/>
            <w:hideMark/>
          </w:tcPr>
          <w:p w:rsidR="000B335A" w:rsidRPr="007D22C9" w:rsidRDefault="000B335A" w:rsidP="00D302C3">
            <w:pPr>
              <w:autoSpaceDE/>
              <w:autoSpaceDN/>
              <w:adjustRightInd/>
              <w:spacing w:line="235" w:lineRule="auto"/>
              <w:jc w:val="center"/>
              <w:rPr>
                <w:color w:val="000000"/>
                <w:sz w:val="20"/>
                <w:szCs w:val="20"/>
              </w:rPr>
            </w:pPr>
            <w:r w:rsidRPr="007D22C9">
              <w:rPr>
                <w:color w:val="000000"/>
                <w:sz w:val="20"/>
                <w:szCs w:val="20"/>
              </w:rPr>
              <w:t>12</w:t>
            </w:r>
            <w:r w:rsidR="003B1A7B" w:rsidRPr="007D22C9">
              <w:rPr>
                <w:color w:val="000000"/>
                <w:sz w:val="20"/>
                <w:szCs w:val="20"/>
              </w:rPr>
              <w:t>.</w:t>
            </w:r>
          </w:p>
        </w:tc>
        <w:tc>
          <w:tcPr>
            <w:tcW w:w="1730" w:type="dxa"/>
            <w:tcBorders>
              <w:top w:val="nil"/>
              <w:left w:val="nil"/>
              <w:bottom w:val="single" w:sz="4" w:space="0" w:color="auto"/>
              <w:right w:val="nil"/>
            </w:tcBorders>
            <w:shd w:val="clear" w:color="auto" w:fill="auto"/>
            <w:hideMark/>
          </w:tcPr>
          <w:p w:rsidR="000B335A" w:rsidRPr="007D22C9" w:rsidRDefault="000B335A" w:rsidP="00D302C3">
            <w:pPr>
              <w:autoSpaceDE/>
              <w:autoSpaceDN/>
              <w:adjustRightInd/>
              <w:spacing w:line="235" w:lineRule="auto"/>
              <w:jc w:val="both"/>
              <w:rPr>
                <w:color w:val="000000"/>
                <w:sz w:val="20"/>
                <w:szCs w:val="20"/>
              </w:rPr>
            </w:pPr>
            <w:r w:rsidRPr="007D22C9">
              <w:rPr>
                <w:color w:val="000000"/>
                <w:sz w:val="20"/>
                <w:szCs w:val="20"/>
              </w:rPr>
              <w:t xml:space="preserve">ГАУЗ </w:t>
            </w:r>
            <w:r w:rsidR="002F7358" w:rsidRPr="007D22C9">
              <w:rPr>
                <w:color w:val="000000"/>
                <w:sz w:val="20"/>
                <w:szCs w:val="20"/>
              </w:rPr>
              <w:t>«</w:t>
            </w:r>
            <w:r w:rsidRPr="007D22C9">
              <w:rPr>
                <w:color w:val="000000"/>
                <w:sz w:val="20"/>
                <w:szCs w:val="20"/>
              </w:rPr>
              <w:t>Бавлинская ЦРБ</w:t>
            </w:r>
            <w:r w:rsidR="002F7358" w:rsidRPr="007D22C9">
              <w:rPr>
                <w:color w:val="000000"/>
                <w:sz w:val="20"/>
                <w:szCs w:val="20"/>
              </w:rPr>
              <w:t>»</w:t>
            </w:r>
          </w:p>
        </w:tc>
        <w:tc>
          <w:tcPr>
            <w:tcW w:w="1418" w:type="dxa"/>
            <w:tcBorders>
              <w:top w:val="nil"/>
              <w:left w:val="single" w:sz="4" w:space="0" w:color="auto"/>
              <w:bottom w:val="single" w:sz="4" w:space="0" w:color="auto"/>
              <w:right w:val="single" w:sz="4" w:space="0" w:color="auto"/>
            </w:tcBorders>
            <w:shd w:val="clear" w:color="auto" w:fill="auto"/>
            <w:hideMark/>
          </w:tcPr>
          <w:p w:rsidR="000B335A" w:rsidRPr="007D22C9" w:rsidRDefault="00C572EE" w:rsidP="00D302C3">
            <w:pPr>
              <w:autoSpaceDE/>
              <w:autoSpaceDN/>
              <w:adjustRightInd/>
              <w:spacing w:line="235" w:lineRule="auto"/>
              <w:jc w:val="both"/>
              <w:rPr>
                <w:color w:val="000000"/>
                <w:sz w:val="20"/>
                <w:szCs w:val="20"/>
              </w:rPr>
            </w:pPr>
            <w:r w:rsidRPr="007D22C9">
              <w:rPr>
                <w:color w:val="000000"/>
                <w:sz w:val="20"/>
                <w:szCs w:val="20"/>
              </w:rPr>
              <w:t>г.</w:t>
            </w:r>
            <w:r w:rsidR="000B335A" w:rsidRPr="007D22C9">
              <w:rPr>
                <w:color w:val="000000"/>
                <w:sz w:val="20"/>
                <w:szCs w:val="20"/>
              </w:rPr>
              <w:t xml:space="preserve">Бавлы, </w:t>
            </w:r>
            <w:r w:rsidR="000737A9" w:rsidRPr="007D22C9">
              <w:rPr>
                <w:color w:val="000000"/>
                <w:sz w:val="20"/>
                <w:szCs w:val="20"/>
              </w:rPr>
              <w:t>ул.</w:t>
            </w:r>
            <w:r w:rsidR="000B335A" w:rsidRPr="007D22C9">
              <w:rPr>
                <w:color w:val="000000"/>
                <w:sz w:val="20"/>
                <w:szCs w:val="20"/>
              </w:rPr>
              <w:t xml:space="preserve">Энгельса, </w:t>
            </w:r>
            <w:r w:rsidR="00C940D5" w:rsidRPr="007D22C9">
              <w:rPr>
                <w:color w:val="000000"/>
                <w:sz w:val="20"/>
                <w:szCs w:val="20"/>
              </w:rPr>
              <w:t>д.</w:t>
            </w:r>
            <w:r w:rsidR="000B335A" w:rsidRPr="007D22C9">
              <w:rPr>
                <w:color w:val="000000"/>
                <w:sz w:val="20"/>
                <w:szCs w:val="20"/>
              </w:rPr>
              <w:t>55</w:t>
            </w:r>
          </w:p>
        </w:tc>
        <w:tc>
          <w:tcPr>
            <w:tcW w:w="1418" w:type="dxa"/>
            <w:tcBorders>
              <w:top w:val="nil"/>
              <w:left w:val="nil"/>
              <w:bottom w:val="single" w:sz="4" w:space="0" w:color="auto"/>
              <w:right w:val="single" w:sz="4" w:space="0" w:color="auto"/>
            </w:tcBorders>
            <w:shd w:val="clear" w:color="auto" w:fill="auto"/>
            <w:hideMark/>
          </w:tcPr>
          <w:p w:rsidR="000B335A" w:rsidRPr="007D22C9" w:rsidRDefault="000B335A" w:rsidP="00D302C3">
            <w:pPr>
              <w:autoSpaceDE/>
              <w:autoSpaceDN/>
              <w:adjustRightInd/>
              <w:spacing w:line="235" w:lineRule="auto"/>
              <w:jc w:val="both"/>
              <w:rPr>
                <w:color w:val="000000"/>
                <w:sz w:val="20"/>
                <w:szCs w:val="20"/>
              </w:rPr>
            </w:pPr>
            <w:r w:rsidRPr="007D22C9">
              <w:rPr>
                <w:color w:val="000000"/>
                <w:sz w:val="20"/>
                <w:szCs w:val="20"/>
              </w:rPr>
              <w:t>Бавлинский муниципальный район</w:t>
            </w:r>
          </w:p>
        </w:tc>
        <w:tc>
          <w:tcPr>
            <w:tcW w:w="851" w:type="dxa"/>
            <w:tcBorders>
              <w:top w:val="nil"/>
              <w:left w:val="nil"/>
              <w:bottom w:val="single" w:sz="4" w:space="0" w:color="auto"/>
              <w:right w:val="single" w:sz="4" w:space="0" w:color="auto"/>
            </w:tcBorders>
            <w:shd w:val="clear" w:color="auto" w:fill="auto"/>
            <w:hideMark/>
          </w:tcPr>
          <w:p w:rsidR="000B335A" w:rsidRPr="007D22C9" w:rsidRDefault="000B335A" w:rsidP="00D302C3">
            <w:pPr>
              <w:autoSpaceDE/>
              <w:autoSpaceDN/>
              <w:adjustRightInd/>
              <w:spacing w:line="235" w:lineRule="auto"/>
              <w:jc w:val="center"/>
              <w:rPr>
                <w:color w:val="000000"/>
                <w:sz w:val="20"/>
                <w:szCs w:val="20"/>
              </w:rPr>
            </w:pPr>
            <w:r w:rsidRPr="007D22C9">
              <w:rPr>
                <w:color w:val="000000"/>
                <w:sz w:val="20"/>
                <w:szCs w:val="20"/>
              </w:rPr>
              <w:t>28 337</w:t>
            </w:r>
          </w:p>
        </w:tc>
        <w:tc>
          <w:tcPr>
            <w:tcW w:w="850" w:type="dxa"/>
            <w:tcBorders>
              <w:top w:val="nil"/>
              <w:left w:val="nil"/>
              <w:bottom w:val="single" w:sz="4" w:space="0" w:color="auto"/>
              <w:right w:val="single" w:sz="4" w:space="0" w:color="auto"/>
            </w:tcBorders>
            <w:shd w:val="clear" w:color="auto" w:fill="auto"/>
            <w:hideMark/>
          </w:tcPr>
          <w:p w:rsidR="000B335A" w:rsidRPr="007D22C9" w:rsidRDefault="000B335A" w:rsidP="00D302C3">
            <w:pPr>
              <w:autoSpaceDE/>
              <w:autoSpaceDN/>
              <w:adjustRightInd/>
              <w:spacing w:line="235" w:lineRule="auto"/>
              <w:jc w:val="center"/>
              <w:rPr>
                <w:color w:val="000000"/>
                <w:sz w:val="20"/>
                <w:szCs w:val="20"/>
              </w:rPr>
            </w:pPr>
            <w:r w:rsidRPr="007D22C9">
              <w:rPr>
                <w:color w:val="000000"/>
                <w:sz w:val="20"/>
                <w:szCs w:val="20"/>
              </w:rPr>
              <w:t>0,94</w:t>
            </w:r>
          </w:p>
        </w:tc>
        <w:tc>
          <w:tcPr>
            <w:tcW w:w="1077" w:type="dxa"/>
            <w:tcBorders>
              <w:top w:val="nil"/>
              <w:left w:val="nil"/>
              <w:bottom w:val="single" w:sz="4" w:space="0" w:color="auto"/>
              <w:right w:val="single" w:sz="4" w:space="0" w:color="auto"/>
            </w:tcBorders>
            <w:shd w:val="clear" w:color="auto" w:fill="auto"/>
            <w:hideMark/>
          </w:tcPr>
          <w:p w:rsidR="000B335A" w:rsidRPr="007D22C9" w:rsidRDefault="00D33769" w:rsidP="00D33769">
            <w:pPr>
              <w:autoSpaceDE/>
              <w:autoSpaceDN/>
              <w:adjustRightInd/>
              <w:spacing w:line="235" w:lineRule="auto"/>
              <w:jc w:val="center"/>
              <w:rPr>
                <w:color w:val="000000"/>
                <w:sz w:val="20"/>
                <w:szCs w:val="20"/>
              </w:rPr>
            </w:pPr>
            <w:r w:rsidRPr="007D22C9">
              <w:rPr>
                <w:color w:val="000000"/>
                <w:sz w:val="20"/>
                <w:szCs w:val="20"/>
              </w:rPr>
              <w:t>3,00</w:t>
            </w:r>
          </w:p>
        </w:tc>
        <w:tc>
          <w:tcPr>
            <w:tcW w:w="992" w:type="dxa"/>
            <w:tcBorders>
              <w:top w:val="nil"/>
              <w:left w:val="nil"/>
              <w:bottom w:val="single" w:sz="4" w:space="0" w:color="auto"/>
              <w:right w:val="single" w:sz="4" w:space="0" w:color="auto"/>
            </w:tcBorders>
            <w:shd w:val="clear" w:color="auto" w:fill="auto"/>
            <w:hideMark/>
          </w:tcPr>
          <w:p w:rsidR="000B335A" w:rsidRPr="007D22C9" w:rsidRDefault="00D33769" w:rsidP="00D302C3">
            <w:pPr>
              <w:autoSpaceDE/>
              <w:autoSpaceDN/>
              <w:adjustRightInd/>
              <w:spacing w:line="235" w:lineRule="auto"/>
              <w:jc w:val="center"/>
              <w:rPr>
                <w:color w:val="000000"/>
                <w:sz w:val="20"/>
                <w:szCs w:val="20"/>
              </w:rPr>
            </w:pPr>
            <w:r w:rsidRPr="007D22C9">
              <w:rPr>
                <w:color w:val="000000"/>
                <w:sz w:val="20"/>
                <w:szCs w:val="20"/>
              </w:rPr>
              <w:t>2,0</w:t>
            </w:r>
            <w:r w:rsidR="000B335A" w:rsidRPr="007D22C9">
              <w:rPr>
                <w:color w:val="000000"/>
                <w:sz w:val="20"/>
                <w:szCs w:val="20"/>
              </w:rPr>
              <w:t>0</w:t>
            </w:r>
          </w:p>
        </w:tc>
        <w:tc>
          <w:tcPr>
            <w:tcW w:w="708" w:type="dxa"/>
            <w:tcBorders>
              <w:top w:val="nil"/>
              <w:left w:val="nil"/>
              <w:bottom w:val="single" w:sz="4" w:space="0" w:color="auto"/>
              <w:right w:val="single" w:sz="4" w:space="0" w:color="auto"/>
            </w:tcBorders>
            <w:shd w:val="clear" w:color="auto" w:fill="auto"/>
            <w:hideMark/>
          </w:tcPr>
          <w:p w:rsidR="000B335A" w:rsidRPr="007D22C9" w:rsidRDefault="00D33769" w:rsidP="00D33769">
            <w:pPr>
              <w:autoSpaceDE/>
              <w:autoSpaceDN/>
              <w:adjustRightInd/>
              <w:spacing w:line="235" w:lineRule="auto"/>
              <w:jc w:val="center"/>
              <w:rPr>
                <w:color w:val="000000"/>
                <w:sz w:val="20"/>
                <w:szCs w:val="20"/>
              </w:rPr>
            </w:pPr>
            <w:r w:rsidRPr="007D22C9">
              <w:rPr>
                <w:color w:val="000000"/>
                <w:sz w:val="20"/>
                <w:szCs w:val="20"/>
              </w:rPr>
              <w:t>2</w:t>
            </w:r>
          </w:p>
        </w:tc>
        <w:tc>
          <w:tcPr>
            <w:tcW w:w="993" w:type="dxa"/>
            <w:tcBorders>
              <w:top w:val="nil"/>
              <w:left w:val="nil"/>
              <w:bottom w:val="single" w:sz="4" w:space="0" w:color="auto"/>
              <w:right w:val="single" w:sz="4" w:space="0" w:color="auto"/>
            </w:tcBorders>
            <w:shd w:val="clear" w:color="auto" w:fill="auto"/>
            <w:hideMark/>
          </w:tcPr>
          <w:p w:rsidR="000B335A" w:rsidRPr="007D22C9" w:rsidRDefault="000B335A" w:rsidP="00D302C3">
            <w:pPr>
              <w:autoSpaceDE/>
              <w:autoSpaceDN/>
              <w:adjustRightInd/>
              <w:spacing w:line="235" w:lineRule="auto"/>
              <w:jc w:val="center"/>
              <w:rPr>
                <w:color w:val="000000"/>
                <w:sz w:val="20"/>
                <w:szCs w:val="20"/>
              </w:rPr>
            </w:pPr>
            <w:r w:rsidRPr="007D22C9">
              <w:rPr>
                <w:color w:val="000000"/>
                <w:sz w:val="20"/>
                <w:szCs w:val="20"/>
              </w:rPr>
              <w:t>0</w:t>
            </w:r>
          </w:p>
        </w:tc>
      </w:tr>
      <w:tr w:rsidR="000B335A" w:rsidRPr="007D22C9" w:rsidTr="00BD3B9A">
        <w:trPr>
          <w:trHeight w:val="20"/>
        </w:trPr>
        <w:tc>
          <w:tcPr>
            <w:tcW w:w="533" w:type="dxa"/>
            <w:tcBorders>
              <w:top w:val="nil"/>
              <w:left w:val="single" w:sz="4" w:space="0" w:color="auto"/>
              <w:bottom w:val="single" w:sz="4" w:space="0" w:color="auto"/>
              <w:right w:val="single" w:sz="4" w:space="0" w:color="auto"/>
            </w:tcBorders>
            <w:shd w:val="clear" w:color="auto" w:fill="auto"/>
            <w:hideMark/>
          </w:tcPr>
          <w:p w:rsidR="000B335A" w:rsidRPr="007D22C9" w:rsidRDefault="000B335A" w:rsidP="00D302C3">
            <w:pPr>
              <w:autoSpaceDE/>
              <w:autoSpaceDN/>
              <w:adjustRightInd/>
              <w:spacing w:line="235" w:lineRule="auto"/>
              <w:jc w:val="center"/>
              <w:rPr>
                <w:color w:val="000000"/>
                <w:sz w:val="20"/>
                <w:szCs w:val="20"/>
              </w:rPr>
            </w:pPr>
            <w:r w:rsidRPr="007D22C9">
              <w:rPr>
                <w:color w:val="000000"/>
                <w:sz w:val="20"/>
                <w:szCs w:val="20"/>
              </w:rPr>
              <w:t>13</w:t>
            </w:r>
            <w:r w:rsidR="003B1A7B" w:rsidRPr="007D22C9">
              <w:rPr>
                <w:color w:val="000000"/>
                <w:sz w:val="20"/>
                <w:szCs w:val="20"/>
              </w:rPr>
              <w:t>.</w:t>
            </w:r>
          </w:p>
        </w:tc>
        <w:tc>
          <w:tcPr>
            <w:tcW w:w="1730" w:type="dxa"/>
            <w:tcBorders>
              <w:top w:val="nil"/>
              <w:left w:val="nil"/>
              <w:bottom w:val="single" w:sz="4" w:space="0" w:color="auto"/>
              <w:right w:val="nil"/>
            </w:tcBorders>
            <w:shd w:val="clear" w:color="auto" w:fill="auto"/>
            <w:hideMark/>
          </w:tcPr>
          <w:p w:rsidR="000B335A" w:rsidRPr="007D22C9" w:rsidRDefault="000B335A" w:rsidP="00D302C3">
            <w:pPr>
              <w:autoSpaceDE/>
              <w:autoSpaceDN/>
              <w:adjustRightInd/>
              <w:spacing w:line="235" w:lineRule="auto"/>
              <w:jc w:val="both"/>
              <w:rPr>
                <w:color w:val="000000"/>
                <w:sz w:val="20"/>
                <w:szCs w:val="20"/>
              </w:rPr>
            </w:pPr>
            <w:r w:rsidRPr="007D22C9">
              <w:rPr>
                <w:color w:val="000000"/>
                <w:sz w:val="20"/>
                <w:szCs w:val="20"/>
              </w:rPr>
              <w:t xml:space="preserve">ГАУЗ </w:t>
            </w:r>
            <w:r w:rsidR="002F7358" w:rsidRPr="007D22C9">
              <w:rPr>
                <w:color w:val="000000"/>
                <w:sz w:val="20"/>
                <w:szCs w:val="20"/>
              </w:rPr>
              <w:t>«</w:t>
            </w:r>
            <w:r w:rsidRPr="007D22C9">
              <w:rPr>
                <w:color w:val="000000"/>
                <w:sz w:val="20"/>
                <w:szCs w:val="20"/>
              </w:rPr>
              <w:t>Балтасинская ЦРБ</w:t>
            </w:r>
            <w:r w:rsidR="002F7358" w:rsidRPr="007D22C9">
              <w:rPr>
                <w:color w:val="000000"/>
                <w:sz w:val="20"/>
                <w:szCs w:val="20"/>
              </w:rPr>
              <w:t>»</w:t>
            </w:r>
          </w:p>
        </w:tc>
        <w:tc>
          <w:tcPr>
            <w:tcW w:w="1418" w:type="dxa"/>
            <w:tcBorders>
              <w:top w:val="nil"/>
              <w:left w:val="single" w:sz="4" w:space="0" w:color="auto"/>
              <w:bottom w:val="single" w:sz="4" w:space="0" w:color="auto"/>
              <w:right w:val="single" w:sz="4" w:space="0" w:color="auto"/>
            </w:tcBorders>
            <w:shd w:val="clear" w:color="auto" w:fill="auto"/>
            <w:hideMark/>
          </w:tcPr>
          <w:p w:rsidR="000B335A" w:rsidRPr="007D22C9" w:rsidRDefault="00C572EE" w:rsidP="00D302C3">
            <w:pPr>
              <w:autoSpaceDE/>
              <w:autoSpaceDN/>
              <w:adjustRightInd/>
              <w:spacing w:line="235" w:lineRule="auto"/>
              <w:jc w:val="both"/>
              <w:rPr>
                <w:color w:val="000000"/>
                <w:sz w:val="20"/>
                <w:szCs w:val="20"/>
              </w:rPr>
            </w:pPr>
            <w:r w:rsidRPr="007D22C9">
              <w:rPr>
                <w:color w:val="000000"/>
                <w:sz w:val="20"/>
                <w:szCs w:val="20"/>
              </w:rPr>
              <w:t>пгт.</w:t>
            </w:r>
            <w:r w:rsidR="000B335A" w:rsidRPr="007D22C9">
              <w:rPr>
                <w:color w:val="000000"/>
                <w:sz w:val="20"/>
                <w:szCs w:val="20"/>
              </w:rPr>
              <w:t xml:space="preserve">Балтаси, </w:t>
            </w:r>
            <w:r w:rsidRPr="007D22C9">
              <w:rPr>
                <w:color w:val="000000"/>
                <w:sz w:val="20"/>
                <w:szCs w:val="20"/>
              </w:rPr>
              <w:t>ул.</w:t>
            </w:r>
            <w:r w:rsidR="000B335A" w:rsidRPr="007D22C9">
              <w:rPr>
                <w:color w:val="000000"/>
                <w:sz w:val="20"/>
                <w:szCs w:val="20"/>
              </w:rPr>
              <w:t xml:space="preserve">Ленина, </w:t>
            </w:r>
            <w:r w:rsidR="00C940D5" w:rsidRPr="007D22C9">
              <w:rPr>
                <w:color w:val="000000"/>
                <w:sz w:val="20"/>
                <w:szCs w:val="20"/>
              </w:rPr>
              <w:t>д.</w:t>
            </w:r>
            <w:r w:rsidR="000B335A" w:rsidRPr="007D22C9">
              <w:rPr>
                <w:color w:val="000000"/>
                <w:sz w:val="20"/>
                <w:szCs w:val="20"/>
              </w:rPr>
              <w:t>1</w:t>
            </w:r>
          </w:p>
        </w:tc>
        <w:tc>
          <w:tcPr>
            <w:tcW w:w="1418" w:type="dxa"/>
            <w:tcBorders>
              <w:top w:val="nil"/>
              <w:left w:val="nil"/>
              <w:bottom w:val="single" w:sz="4" w:space="0" w:color="auto"/>
              <w:right w:val="single" w:sz="4" w:space="0" w:color="auto"/>
            </w:tcBorders>
            <w:shd w:val="clear" w:color="auto" w:fill="auto"/>
            <w:hideMark/>
          </w:tcPr>
          <w:p w:rsidR="000B335A" w:rsidRPr="007D22C9" w:rsidRDefault="000B335A" w:rsidP="00D302C3">
            <w:pPr>
              <w:autoSpaceDE/>
              <w:autoSpaceDN/>
              <w:adjustRightInd/>
              <w:spacing w:line="235" w:lineRule="auto"/>
              <w:jc w:val="both"/>
              <w:rPr>
                <w:color w:val="000000"/>
                <w:sz w:val="20"/>
                <w:szCs w:val="20"/>
              </w:rPr>
            </w:pPr>
            <w:r w:rsidRPr="007D22C9">
              <w:rPr>
                <w:color w:val="000000"/>
                <w:sz w:val="20"/>
                <w:szCs w:val="20"/>
              </w:rPr>
              <w:t>Балтасинский муниципальный район</w:t>
            </w:r>
          </w:p>
        </w:tc>
        <w:tc>
          <w:tcPr>
            <w:tcW w:w="851" w:type="dxa"/>
            <w:tcBorders>
              <w:top w:val="nil"/>
              <w:left w:val="nil"/>
              <w:bottom w:val="single" w:sz="4" w:space="0" w:color="auto"/>
              <w:right w:val="single" w:sz="4" w:space="0" w:color="auto"/>
            </w:tcBorders>
            <w:shd w:val="clear" w:color="auto" w:fill="auto"/>
            <w:hideMark/>
          </w:tcPr>
          <w:p w:rsidR="000B335A" w:rsidRPr="007D22C9" w:rsidRDefault="000B335A" w:rsidP="00D302C3">
            <w:pPr>
              <w:autoSpaceDE/>
              <w:autoSpaceDN/>
              <w:adjustRightInd/>
              <w:spacing w:line="235" w:lineRule="auto"/>
              <w:jc w:val="center"/>
              <w:rPr>
                <w:color w:val="000000"/>
                <w:sz w:val="20"/>
                <w:szCs w:val="20"/>
              </w:rPr>
            </w:pPr>
            <w:r w:rsidRPr="007D22C9">
              <w:rPr>
                <w:color w:val="000000"/>
                <w:sz w:val="20"/>
                <w:szCs w:val="20"/>
              </w:rPr>
              <w:t>28 681</w:t>
            </w:r>
          </w:p>
        </w:tc>
        <w:tc>
          <w:tcPr>
            <w:tcW w:w="850" w:type="dxa"/>
            <w:tcBorders>
              <w:top w:val="nil"/>
              <w:left w:val="nil"/>
              <w:bottom w:val="single" w:sz="4" w:space="0" w:color="auto"/>
              <w:right w:val="single" w:sz="4" w:space="0" w:color="auto"/>
            </w:tcBorders>
            <w:shd w:val="clear" w:color="auto" w:fill="auto"/>
            <w:hideMark/>
          </w:tcPr>
          <w:p w:rsidR="000B335A" w:rsidRPr="007D22C9" w:rsidRDefault="000B335A" w:rsidP="00D302C3">
            <w:pPr>
              <w:autoSpaceDE/>
              <w:autoSpaceDN/>
              <w:adjustRightInd/>
              <w:spacing w:line="235" w:lineRule="auto"/>
              <w:jc w:val="center"/>
              <w:rPr>
                <w:color w:val="000000"/>
                <w:sz w:val="20"/>
                <w:szCs w:val="20"/>
              </w:rPr>
            </w:pPr>
            <w:r w:rsidRPr="007D22C9">
              <w:rPr>
                <w:color w:val="000000"/>
                <w:sz w:val="20"/>
                <w:szCs w:val="20"/>
              </w:rPr>
              <w:t>0,96</w:t>
            </w:r>
          </w:p>
        </w:tc>
        <w:tc>
          <w:tcPr>
            <w:tcW w:w="1077" w:type="dxa"/>
            <w:tcBorders>
              <w:top w:val="nil"/>
              <w:left w:val="nil"/>
              <w:bottom w:val="single" w:sz="4" w:space="0" w:color="auto"/>
              <w:right w:val="single" w:sz="4" w:space="0" w:color="auto"/>
            </w:tcBorders>
            <w:shd w:val="clear" w:color="auto" w:fill="auto"/>
            <w:hideMark/>
          </w:tcPr>
          <w:p w:rsidR="000B335A" w:rsidRPr="007D22C9" w:rsidRDefault="001B3CA6" w:rsidP="001B3CA6">
            <w:pPr>
              <w:autoSpaceDE/>
              <w:autoSpaceDN/>
              <w:adjustRightInd/>
              <w:spacing w:line="235" w:lineRule="auto"/>
              <w:jc w:val="center"/>
              <w:rPr>
                <w:color w:val="000000"/>
                <w:sz w:val="20"/>
                <w:szCs w:val="20"/>
              </w:rPr>
            </w:pPr>
            <w:r w:rsidRPr="007D22C9">
              <w:rPr>
                <w:color w:val="000000"/>
                <w:sz w:val="20"/>
                <w:szCs w:val="20"/>
              </w:rPr>
              <w:t>1,00</w:t>
            </w:r>
          </w:p>
        </w:tc>
        <w:tc>
          <w:tcPr>
            <w:tcW w:w="992" w:type="dxa"/>
            <w:tcBorders>
              <w:top w:val="nil"/>
              <w:left w:val="nil"/>
              <w:bottom w:val="single" w:sz="4" w:space="0" w:color="auto"/>
              <w:right w:val="single" w:sz="4" w:space="0" w:color="auto"/>
            </w:tcBorders>
            <w:shd w:val="clear" w:color="auto" w:fill="auto"/>
            <w:hideMark/>
          </w:tcPr>
          <w:p w:rsidR="000B335A" w:rsidRPr="007D22C9" w:rsidRDefault="001B3CA6" w:rsidP="001B3CA6">
            <w:pPr>
              <w:autoSpaceDE/>
              <w:autoSpaceDN/>
              <w:adjustRightInd/>
              <w:spacing w:line="235" w:lineRule="auto"/>
              <w:jc w:val="center"/>
              <w:rPr>
                <w:color w:val="000000"/>
                <w:sz w:val="20"/>
                <w:szCs w:val="20"/>
              </w:rPr>
            </w:pPr>
            <w:r w:rsidRPr="007D22C9">
              <w:rPr>
                <w:color w:val="000000"/>
                <w:sz w:val="20"/>
                <w:szCs w:val="20"/>
              </w:rPr>
              <w:t>1,00</w:t>
            </w:r>
          </w:p>
        </w:tc>
        <w:tc>
          <w:tcPr>
            <w:tcW w:w="708" w:type="dxa"/>
            <w:tcBorders>
              <w:top w:val="nil"/>
              <w:left w:val="nil"/>
              <w:bottom w:val="single" w:sz="4" w:space="0" w:color="auto"/>
              <w:right w:val="single" w:sz="4" w:space="0" w:color="auto"/>
            </w:tcBorders>
            <w:shd w:val="clear" w:color="auto" w:fill="auto"/>
            <w:hideMark/>
          </w:tcPr>
          <w:p w:rsidR="000B335A" w:rsidRPr="007D22C9" w:rsidRDefault="000B335A" w:rsidP="00D302C3">
            <w:pPr>
              <w:autoSpaceDE/>
              <w:autoSpaceDN/>
              <w:adjustRightInd/>
              <w:spacing w:line="235" w:lineRule="auto"/>
              <w:jc w:val="center"/>
              <w:rPr>
                <w:color w:val="000000"/>
                <w:sz w:val="20"/>
                <w:szCs w:val="20"/>
              </w:rPr>
            </w:pPr>
            <w:r w:rsidRPr="007D22C9">
              <w:rPr>
                <w:color w:val="000000"/>
                <w:sz w:val="20"/>
                <w:szCs w:val="20"/>
              </w:rPr>
              <w:t>1</w:t>
            </w:r>
          </w:p>
        </w:tc>
        <w:tc>
          <w:tcPr>
            <w:tcW w:w="993" w:type="dxa"/>
            <w:tcBorders>
              <w:top w:val="nil"/>
              <w:left w:val="nil"/>
              <w:bottom w:val="single" w:sz="4" w:space="0" w:color="auto"/>
              <w:right w:val="single" w:sz="4" w:space="0" w:color="auto"/>
            </w:tcBorders>
            <w:shd w:val="clear" w:color="auto" w:fill="auto"/>
            <w:hideMark/>
          </w:tcPr>
          <w:p w:rsidR="000B335A" w:rsidRPr="007D22C9" w:rsidRDefault="001B3CA6" w:rsidP="001B3CA6">
            <w:pPr>
              <w:autoSpaceDE/>
              <w:autoSpaceDN/>
              <w:adjustRightInd/>
              <w:spacing w:line="235" w:lineRule="auto"/>
              <w:jc w:val="center"/>
              <w:rPr>
                <w:color w:val="000000"/>
                <w:sz w:val="20"/>
                <w:szCs w:val="20"/>
              </w:rPr>
            </w:pPr>
            <w:r w:rsidRPr="007D22C9">
              <w:rPr>
                <w:color w:val="000000"/>
                <w:sz w:val="20"/>
                <w:szCs w:val="20"/>
              </w:rPr>
              <w:t>0</w:t>
            </w:r>
          </w:p>
        </w:tc>
      </w:tr>
      <w:tr w:rsidR="000B335A" w:rsidRPr="007D22C9" w:rsidTr="00BD3B9A">
        <w:trPr>
          <w:trHeight w:val="20"/>
        </w:trPr>
        <w:tc>
          <w:tcPr>
            <w:tcW w:w="533" w:type="dxa"/>
            <w:tcBorders>
              <w:top w:val="nil"/>
              <w:left w:val="single" w:sz="4" w:space="0" w:color="auto"/>
              <w:bottom w:val="single" w:sz="4" w:space="0" w:color="auto"/>
              <w:right w:val="single" w:sz="4" w:space="0" w:color="auto"/>
            </w:tcBorders>
            <w:shd w:val="clear" w:color="auto" w:fill="auto"/>
            <w:hideMark/>
          </w:tcPr>
          <w:p w:rsidR="000B335A" w:rsidRPr="007D22C9" w:rsidRDefault="000B335A" w:rsidP="00D302C3">
            <w:pPr>
              <w:autoSpaceDE/>
              <w:autoSpaceDN/>
              <w:adjustRightInd/>
              <w:spacing w:line="235" w:lineRule="auto"/>
              <w:jc w:val="center"/>
              <w:rPr>
                <w:color w:val="000000"/>
                <w:sz w:val="20"/>
                <w:szCs w:val="20"/>
              </w:rPr>
            </w:pPr>
            <w:r w:rsidRPr="007D22C9">
              <w:rPr>
                <w:color w:val="000000"/>
                <w:sz w:val="20"/>
                <w:szCs w:val="20"/>
              </w:rPr>
              <w:t>14</w:t>
            </w:r>
            <w:r w:rsidR="003B1A7B" w:rsidRPr="007D22C9">
              <w:rPr>
                <w:color w:val="000000"/>
                <w:sz w:val="20"/>
                <w:szCs w:val="20"/>
              </w:rPr>
              <w:t>.</w:t>
            </w:r>
          </w:p>
        </w:tc>
        <w:tc>
          <w:tcPr>
            <w:tcW w:w="1730" w:type="dxa"/>
            <w:tcBorders>
              <w:top w:val="nil"/>
              <w:left w:val="nil"/>
              <w:bottom w:val="single" w:sz="4" w:space="0" w:color="auto"/>
              <w:right w:val="nil"/>
            </w:tcBorders>
            <w:shd w:val="clear" w:color="auto" w:fill="auto"/>
            <w:hideMark/>
          </w:tcPr>
          <w:p w:rsidR="000B335A" w:rsidRPr="007D22C9" w:rsidRDefault="000B335A" w:rsidP="00D302C3">
            <w:pPr>
              <w:autoSpaceDE/>
              <w:autoSpaceDN/>
              <w:adjustRightInd/>
              <w:spacing w:line="235" w:lineRule="auto"/>
              <w:jc w:val="both"/>
              <w:rPr>
                <w:color w:val="000000"/>
                <w:sz w:val="20"/>
                <w:szCs w:val="20"/>
              </w:rPr>
            </w:pPr>
            <w:r w:rsidRPr="007D22C9">
              <w:rPr>
                <w:color w:val="000000"/>
                <w:sz w:val="20"/>
                <w:szCs w:val="20"/>
              </w:rPr>
              <w:t xml:space="preserve">ГАУЗ </w:t>
            </w:r>
            <w:r w:rsidR="002F7358" w:rsidRPr="007D22C9">
              <w:rPr>
                <w:color w:val="000000"/>
                <w:sz w:val="20"/>
                <w:szCs w:val="20"/>
              </w:rPr>
              <w:t>«</w:t>
            </w:r>
            <w:r w:rsidRPr="007D22C9">
              <w:rPr>
                <w:color w:val="000000"/>
                <w:sz w:val="20"/>
                <w:szCs w:val="20"/>
              </w:rPr>
              <w:t>Верхнеуслонская ЦРБ</w:t>
            </w:r>
            <w:r w:rsidR="002F7358" w:rsidRPr="007D22C9">
              <w:rPr>
                <w:color w:val="000000"/>
                <w:sz w:val="20"/>
                <w:szCs w:val="20"/>
              </w:rPr>
              <w:t>»</w:t>
            </w:r>
          </w:p>
        </w:tc>
        <w:tc>
          <w:tcPr>
            <w:tcW w:w="1418" w:type="dxa"/>
            <w:tcBorders>
              <w:top w:val="nil"/>
              <w:left w:val="single" w:sz="4" w:space="0" w:color="auto"/>
              <w:bottom w:val="single" w:sz="4" w:space="0" w:color="auto"/>
              <w:right w:val="single" w:sz="4" w:space="0" w:color="auto"/>
            </w:tcBorders>
            <w:shd w:val="clear" w:color="auto" w:fill="auto"/>
            <w:hideMark/>
          </w:tcPr>
          <w:p w:rsidR="000B335A" w:rsidRPr="007D22C9" w:rsidRDefault="00C572EE" w:rsidP="00D302C3">
            <w:pPr>
              <w:autoSpaceDE/>
              <w:autoSpaceDN/>
              <w:adjustRightInd/>
              <w:spacing w:line="235" w:lineRule="auto"/>
              <w:jc w:val="both"/>
              <w:rPr>
                <w:color w:val="000000"/>
                <w:sz w:val="20"/>
                <w:szCs w:val="20"/>
              </w:rPr>
            </w:pPr>
            <w:r w:rsidRPr="007D22C9">
              <w:rPr>
                <w:color w:val="000000"/>
                <w:sz w:val="20"/>
                <w:szCs w:val="20"/>
              </w:rPr>
              <w:t>с.</w:t>
            </w:r>
            <w:r w:rsidR="000B335A" w:rsidRPr="007D22C9">
              <w:rPr>
                <w:color w:val="000000"/>
                <w:sz w:val="20"/>
                <w:szCs w:val="20"/>
              </w:rPr>
              <w:t>Верхний Услон, Медгородок</w:t>
            </w:r>
          </w:p>
        </w:tc>
        <w:tc>
          <w:tcPr>
            <w:tcW w:w="1418" w:type="dxa"/>
            <w:tcBorders>
              <w:top w:val="nil"/>
              <w:left w:val="nil"/>
              <w:bottom w:val="single" w:sz="4" w:space="0" w:color="auto"/>
              <w:right w:val="single" w:sz="4" w:space="0" w:color="auto"/>
            </w:tcBorders>
            <w:shd w:val="clear" w:color="auto" w:fill="auto"/>
            <w:hideMark/>
          </w:tcPr>
          <w:p w:rsidR="000B335A" w:rsidRPr="007D22C9" w:rsidRDefault="000B335A" w:rsidP="00D302C3">
            <w:pPr>
              <w:autoSpaceDE/>
              <w:autoSpaceDN/>
              <w:adjustRightInd/>
              <w:spacing w:line="235" w:lineRule="auto"/>
              <w:jc w:val="both"/>
              <w:rPr>
                <w:color w:val="000000"/>
                <w:sz w:val="20"/>
                <w:szCs w:val="20"/>
              </w:rPr>
            </w:pPr>
            <w:r w:rsidRPr="007D22C9">
              <w:rPr>
                <w:color w:val="000000"/>
                <w:sz w:val="20"/>
                <w:szCs w:val="20"/>
              </w:rPr>
              <w:t>Ве</w:t>
            </w:r>
            <w:r w:rsidR="00464351" w:rsidRPr="007D22C9">
              <w:rPr>
                <w:color w:val="000000"/>
                <w:sz w:val="20"/>
                <w:szCs w:val="20"/>
              </w:rPr>
              <w:t>рхнеуслонский муниципальный рай</w:t>
            </w:r>
            <w:r w:rsidRPr="007D22C9">
              <w:rPr>
                <w:color w:val="000000"/>
                <w:sz w:val="20"/>
                <w:szCs w:val="20"/>
              </w:rPr>
              <w:t>он</w:t>
            </w:r>
          </w:p>
        </w:tc>
        <w:tc>
          <w:tcPr>
            <w:tcW w:w="851" w:type="dxa"/>
            <w:tcBorders>
              <w:top w:val="nil"/>
              <w:left w:val="nil"/>
              <w:bottom w:val="single" w:sz="4" w:space="0" w:color="auto"/>
              <w:right w:val="single" w:sz="4" w:space="0" w:color="auto"/>
            </w:tcBorders>
            <w:shd w:val="clear" w:color="auto" w:fill="auto"/>
            <w:hideMark/>
          </w:tcPr>
          <w:p w:rsidR="000B335A" w:rsidRPr="007D22C9" w:rsidRDefault="000B335A" w:rsidP="00D302C3">
            <w:pPr>
              <w:autoSpaceDE/>
              <w:autoSpaceDN/>
              <w:adjustRightInd/>
              <w:spacing w:line="235" w:lineRule="auto"/>
              <w:jc w:val="center"/>
              <w:rPr>
                <w:color w:val="000000"/>
                <w:sz w:val="20"/>
                <w:szCs w:val="20"/>
              </w:rPr>
            </w:pPr>
            <w:r w:rsidRPr="007D22C9">
              <w:rPr>
                <w:color w:val="000000"/>
                <w:sz w:val="20"/>
                <w:szCs w:val="20"/>
              </w:rPr>
              <w:t>13520</w:t>
            </w:r>
          </w:p>
        </w:tc>
        <w:tc>
          <w:tcPr>
            <w:tcW w:w="850" w:type="dxa"/>
            <w:tcBorders>
              <w:top w:val="nil"/>
              <w:left w:val="nil"/>
              <w:bottom w:val="single" w:sz="4" w:space="0" w:color="auto"/>
              <w:right w:val="single" w:sz="4" w:space="0" w:color="auto"/>
            </w:tcBorders>
            <w:shd w:val="clear" w:color="auto" w:fill="auto"/>
            <w:hideMark/>
          </w:tcPr>
          <w:p w:rsidR="000B335A" w:rsidRPr="007D22C9" w:rsidRDefault="000B335A" w:rsidP="00D302C3">
            <w:pPr>
              <w:autoSpaceDE/>
              <w:autoSpaceDN/>
              <w:adjustRightInd/>
              <w:spacing w:line="235" w:lineRule="auto"/>
              <w:jc w:val="center"/>
              <w:rPr>
                <w:color w:val="000000"/>
                <w:sz w:val="20"/>
                <w:szCs w:val="20"/>
              </w:rPr>
            </w:pPr>
            <w:r w:rsidRPr="007D22C9">
              <w:rPr>
                <w:color w:val="000000"/>
                <w:sz w:val="20"/>
                <w:szCs w:val="20"/>
              </w:rPr>
              <w:t>0,45</w:t>
            </w:r>
          </w:p>
        </w:tc>
        <w:tc>
          <w:tcPr>
            <w:tcW w:w="1077" w:type="dxa"/>
            <w:tcBorders>
              <w:top w:val="nil"/>
              <w:left w:val="nil"/>
              <w:bottom w:val="single" w:sz="4" w:space="0" w:color="auto"/>
              <w:right w:val="single" w:sz="4" w:space="0" w:color="auto"/>
            </w:tcBorders>
            <w:shd w:val="clear" w:color="auto" w:fill="auto"/>
            <w:hideMark/>
          </w:tcPr>
          <w:p w:rsidR="000B335A" w:rsidRPr="007D22C9" w:rsidRDefault="000B335A" w:rsidP="00D302C3">
            <w:pPr>
              <w:autoSpaceDE/>
              <w:autoSpaceDN/>
              <w:adjustRightInd/>
              <w:spacing w:line="235" w:lineRule="auto"/>
              <w:jc w:val="center"/>
              <w:rPr>
                <w:color w:val="000000"/>
                <w:sz w:val="20"/>
                <w:szCs w:val="20"/>
              </w:rPr>
            </w:pPr>
            <w:r w:rsidRPr="007D22C9">
              <w:rPr>
                <w:color w:val="000000"/>
                <w:sz w:val="20"/>
                <w:szCs w:val="20"/>
              </w:rPr>
              <w:t>1</w:t>
            </w:r>
            <w:r w:rsidR="00194AFE" w:rsidRPr="007D22C9">
              <w:rPr>
                <w:color w:val="000000"/>
                <w:sz w:val="20"/>
                <w:szCs w:val="20"/>
              </w:rPr>
              <w:t>,25</w:t>
            </w:r>
          </w:p>
        </w:tc>
        <w:tc>
          <w:tcPr>
            <w:tcW w:w="992" w:type="dxa"/>
            <w:tcBorders>
              <w:top w:val="nil"/>
              <w:left w:val="nil"/>
              <w:bottom w:val="single" w:sz="4" w:space="0" w:color="auto"/>
              <w:right w:val="single" w:sz="4" w:space="0" w:color="auto"/>
            </w:tcBorders>
            <w:shd w:val="clear" w:color="auto" w:fill="auto"/>
            <w:hideMark/>
          </w:tcPr>
          <w:p w:rsidR="000B335A" w:rsidRPr="007D22C9" w:rsidRDefault="000B335A" w:rsidP="00D302C3">
            <w:pPr>
              <w:autoSpaceDE/>
              <w:autoSpaceDN/>
              <w:adjustRightInd/>
              <w:spacing w:line="235" w:lineRule="auto"/>
              <w:jc w:val="center"/>
              <w:rPr>
                <w:color w:val="000000"/>
                <w:sz w:val="20"/>
                <w:szCs w:val="20"/>
              </w:rPr>
            </w:pPr>
            <w:r w:rsidRPr="007D22C9">
              <w:rPr>
                <w:color w:val="000000"/>
                <w:sz w:val="20"/>
                <w:szCs w:val="20"/>
              </w:rPr>
              <w:t>1</w:t>
            </w:r>
            <w:r w:rsidR="00194AFE" w:rsidRPr="007D22C9">
              <w:rPr>
                <w:color w:val="000000"/>
                <w:sz w:val="20"/>
                <w:szCs w:val="20"/>
              </w:rPr>
              <w:t>,25</w:t>
            </w:r>
          </w:p>
        </w:tc>
        <w:tc>
          <w:tcPr>
            <w:tcW w:w="708" w:type="dxa"/>
            <w:tcBorders>
              <w:top w:val="nil"/>
              <w:left w:val="nil"/>
              <w:bottom w:val="single" w:sz="4" w:space="0" w:color="auto"/>
              <w:right w:val="single" w:sz="4" w:space="0" w:color="auto"/>
            </w:tcBorders>
            <w:shd w:val="clear" w:color="auto" w:fill="auto"/>
            <w:hideMark/>
          </w:tcPr>
          <w:p w:rsidR="000B335A" w:rsidRPr="007D22C9" w:rsidRDefault="000B335A" w:rsidP="00D302C3">
            <w:pPr>
              <w:autoSpaceDE/>
              <w:autoSpaceDN/>
              <w:adjustRightInd/>
              <w:spacing w:line="235" w:lineRule="auto"/>
              <w:jc w:val="center"/>
              <w:rPr>
                <w:color w:val="000000"/>
                <w:sz w:val="20"/>
                <w:szCs w:val="20"/>
              </w:rPr>
            </w:pPr>
            <w:r w:rsidRPr="007D22C9">
              <w:rPr>
                <w:color w:val="000000"/>
                <w:sz w:val="20"/>
                <w:szCs w:val="20"/>
              </w:rPr>
              <w:t>1</w:t>
            </w:r>
          </w:p>
        </w:tc>
        <w:tc>
          <w:tcPr>
            <w:tcW w:w="993" w:type="dxa"/>
            <w:tcBorders>
              <w:top w:val="nil"/>
              <w:left w:val="nil"/>
              <w:bottom w:val="single" w:sz="4" w:space="0" w:color="auto"/>
              <w:right w:val="single" w:sz="4" w:space="0" w:color="auto"/>
            </w:tcBorders>
            <w:shd w:val="clear" w:color="auto" w:fill="auto"/>
            <w:hideMark/>
          </w:tcPr>
          <w:p w:rsidR="000B335A" w:rsidRPr="007D22C9" w:rsidRDefault="00DE16F2" w:rsidP="00D302C3">
            <w:pPr>
              <w:autoSpaceDE/>
              <w:autoSpaceDN/>
              <w:adjustRightInd/>
              <w:spacing w:line="235" w:lineRule="auto"/>
              <w:jc w:val="center"/>
              <w:rPr>
                <w:color w:val="000000"/>
                <w:sz w:val="20"/>
                <w:szCs w:val="20"/>
              </w:rPr>
            </w:pPr>
            <w:r w:rsidRPr="007D22C9">
              <w:rPr>
                <w:color w:val="000000"/>
                <w:sz w:val="20"/>
                <w:szCs w:val="20"/>
              </w:rPr>
              <w:t>0</w:t>
            </w:r>
            <w:r w:rsidR="000B335A" w:rsidRPr="007D22C9">
              <w:rPr>
                <w:color w:val="000000"/>
                <w:sz w:val="20"/>
                <w:szCs w:val="20"/>
              </w:rPr>
              <w:t> </w:t>
            </w:r>
          </w:p>
        </w:tc>
      </w:tr>
      <w:tr w:rsidR="000B335A" w:rsidRPr="007D22C9" w:rsidTr="00BD3B9A">
        <w:trPr>
          <w:trHeight w:val="20"/>
        </w:trPr>
        <w:tc>
          <w:tcPr>
            <w:tcW w:w="533" w:type="dxa"/>
            <w:tcBorders>
              <w:top w:val="nil"/>
              <w:left w:val="single" w:sz="4" w:space="0" w:color="auto"/>
              <w:bottom w:val="single" w:sz="4" w:space="0" w:color="auto"/>
              <w:right w:val="single" w:sz="4" w:space="0" w:color="auto"/>
            </w:tcBorders>
            <w:shd w:val="clear" w:color="auto" w:fill="auto"/>
            <w:hideMark/>
          </w:tcPr>
          <w:p w:rsidR="000B335A" w:rsidRPr="007D22C9" w:rsidRDefault="000B335A" w:rsidP="00D302C3">
            <w:pPr>
              <w:autoSpaceDE/>
              <w:autoSpaceDN/>
              <w:adjustRightInd/>
              <w:spacing w:line="235" w:lineRule="auto"/>
              <w:jc w:val="center"/>
              <w:rPr>
                <w:color w:val="000000"/>
                <w:sz w:val="20"/>
                <w:szCs w:val="20"/>
              </w:rPr>
            </w:pPr>
            <w:r w:rsidRPr="007D22C9">
              <w:rPr>
                <w:color w:val="000000"/>
                <w:sz w:val="20"/>
                <w:szCs w:val="20"/>
              </w:rPr>
              <w:t>15</w:t>
            </w:r>
            <w:r w:rsidR="003B1A7B" w:rsidRPr="007D22C9">
              <w:rPr>
                <w:color w:val="000000"/>
                <w:sz w:val="20"/>
                <w:szCs w:val="20"/>
              </w:rPr>
              <w:t>.</w:t>
            </w:r>
          </w:p>
        </w:tc>
        <w:tc>
          <w:tcPr>
            <w:tcW w:w="1730" w:type="dxa"/>
            <w:tcBorders>
              <w:top w:val="nil"/>
              <w:left w:val="nil"/>
              <w:bottom w:val="single" w:sz="4" w:space="0" w:color="auto"/>
              <w:right w:val="nil"/>
            </w:tcBorders>
            <w:shd w:val="clear" w:color="auto" w:fill="auto"/>
            <w:hideMark/>
          </w:tcPr>
          <w:p w:rsidR="000B335A" w:rsidRPr="007D22C9" w:rsidRDefault="000B335A" w:rsidP="00D302C3">
            <w:pPr>
              <w:autoSpaceDE/>
              <w:autoSpaceDN/>
              <w:adjustRightInd/>
              <w:spacing w:line="235" w:lineRule="auto"/>
              <w:jc w:val="both"/>
              <w:rPr>
                <w:color w:val="000000"/>
                <w:sz w:val="20"/>
                <w:szCs w:val="20"/>
              </w:rPr>
            </w:pPr>
            <w:r w:rsidRPr="007D22C9">
              <w:rPr>
                <w:color w:val="000000"/>
                <w:sz w:val="20"/>
                <w:szCs w:val="20"/>
              </w:rPr>
              <w:t xml:space="preserve">ГАУЗ </w:t>
            </w:r>
            <w:r w:rsidR="002F7358" w:rsidRPr="007D22C9">
              <w:rPr>
                <w:color w:val="000000"/>
                <w:sz w:val="20"/>
                <w:szCs w:val="20"/>
              </w:rPr>
              <w:t>«</w:t>
            </w:r>
            <w:r w:rsidRPr="007D22C9">
              <w:rPr>
                <w:color w:val="000000"/>
                <w:sz w:val="20"/>
                <w:szCs w:val="20"/>
              </w:rPr>
              <w:t>Высокогорская ЦРБ</w:t>
            </w:r>
            <w:r w:rsidR="002F7358" w:rsidRPr="007D22C9">
              <w:rPr>
                <w:color w:val="000000"/>
                <w:sz w:val="20"/>
                <w:szCs w:val="20"/>
              </w:rPr>
              <w:t>»</w:t>
            </w:r>
          </w:p>
        </w:tc>
        <w:tc>
          <w:tcPr>
            <w:tcW w:w="1418" w:type="dxa"/>
            <w:tcBorders>
              <w:top w:val="nil"/>
              <w:left w:val="single" w:sz="4" w:space="0" w:color="auto"/>
              <w:bottom w:val="single" w:sz="4" w:space="0" w:color="auto"/>
              <w:right w:val="single" w:sz="4" w:space="0" w:color="auto"/>
            </w:tcBorders>
            <w:shd w:val="clear" w:color="auto" w:fill="auto"/>
            <w:hideMark/>
          </w:tcPr>
          <w:p w:rsidR="000B335A" w:rsidRPr="007D22C9" w:rsidRDefault="00C940D5" w:rsidP="00C940D5">
            <w:pPr>
              <w:autoSpaceDE/>
              <w:autoSpaceDN/>
              <w:adjustRightInd/>
              <w:spacing w:line="235" w:lineRule="auto"/>
              <w:jc w:val="both"/>
              <w:rPr>
                <w:color w:val="000000"/>
                <w:sz w:val="20"/>
                <w:szCs w:val="20"/>
              </w:rPr>
            </w:pPr>
            <w:r w:rsidRPr="007D22C9">
              <w:rPr>
                <w:color w:val="000000"/>
                <w:sz w:val="20"/>
                <w:szCs w:val="20"/>
              </w:rPr>
              <w:t>п</w:t>
            </w:r>
            <w:r w:rsidR="00BC3EDC" w:rsidRPr="007D22C9">
              <w:rPr>
                <w:color w:val="000000"/>
                <w:sz w:val="20"/>
                <w:szCs w:val="20"/>
              </w:rPr>
              <w:t>.ж</w:t>
            </w:r>
            <w:r w:rsidRPr="007D22C9">
              <w:rPr>
                <w:color w:val="000000"/>
                <w:sz w:val="20"/>
                <w:szCs w:val="20"/>
              </w:rPr>
              <w:t>.-д.ст.</w:t>
            </w:r>
            <w:r w:rsidR="000B335A" w:rsidRPr="007D22C9">
              <w:rPr>
                <w:color w:val="000000"/>
                <w:sz w:val="20"/>
                <w:szCs w:val="20"/>
              </w:rPr>
              <w:t xml:space="preserve">Высокая гора, Зеленая, </w:t>
            </w:r>
            <w:r w:rsidRPr="007D22C9">
              <w:rPr>
                <w:color w:val="000000"/>
                <w:sz w:val="20"/>
                <w:szCs w:val="20"/>
              </w:rPr>
              <w:t>д.</w:t>
            </w:r>
            <w:r w:rsidR="000B335A" w:rsidRPr="007D22C9">
              <w:rPr>
                <w:color w:val="000000"/>
                <w:sz w:val="20"/>
                <w:szCs w:val="20"/>
              </w:rPr>
              <w:t>3</w:t>
            </w:r>
          </w:p>
        </w:tc>
        <w:tc>
          <w:tcPr>
            <w:tcW w:w="1418" w:type="dxa"/>
            <w:tcBorders>
              <w:top w:val="nil"/>
              <w:left w:val="nil"/>
              <w:bottom w:val="single" w:sz="4" w:space="0" w:color="auto"/>
              <w:right w:val="single" w:sz="4" w:space="0" w:color="auto"/>
            </w:tcBorders>
            <w:shd w:val="clear" w:color="auto" w:fill="auto"/>
            <w:hideMark/>
          </w:tcPr>
          <w:p w:rsidR="000B335A" w:rsidRPr="007D22C9" w:rsidRDefault="000B335A" w:rsidP="00D302C3">
            <w:pPr>
              <w:autoSpaceDE/>
              <w:autoSpaceDN/>
              <w:adjustRightInd/>
              <w:spacing w:line="235" w:lineRule="auto"/>
              <w:jc w:val="both"/>
              <w:rPr>
                <w:color w:val="000000"/>
                <w:sz w:val="20"/>
                <w:szCs w:val="20"/>
              </w:rPr>
            </w:pPr>
            <w:r w:rsidRPr="007D22C9">
              <w:rPr>
                <w:color w:val="000000"/>
                <w:sz w:val="20"/>
                <w:szCs w:val="20"/>
              </w:rPr>
              <w:t>Высокогорский муниципальный район</w:t>
            </w:r>
          </w:p>
        </w:tc>
        <w:tc>
          <w:tcPr>
            <w:tcW w:w="851" w:type="dxa"/>
            <w:tcBorders>
              <w:top w:val="nil"/>
              <w:left w:val="nil"/>
              <w:bottom w:val="single" w:sz="4" w:space="0" w:color="auto"/>
              <w:right w:val="single" w:sz="4" w:space="0" w:color="auto"/>
            </w:tcBorders>
            <w:shd w:val="clear" w:color="auto" w:fill="auto"/>
            <w:hideMark/>
          </w:tcPr>
          <w:p w:rsidR="000B335A" w:rsidRPr="007D22C9" w:rsidRDefault="000B335A" w:rsidP="00D302C3">
            <w:pPr>
              <w:autoSpaceDE/>
              <w:autoSpaceDN/>
              <w:adjustRightInd/>
              <w:spacing w:line="235" w:lineRule="auto"/>
              <w:jc w:val="center"/>
              <w:rPr>
                <w:color w:val="000000"/>
                <w:sz w:val="20"/>
                <w:szCs w:val="20"/>
              </w:rPr>
            </w:pPr>
            <w:r w:rsidRPr="007D22C9">
              <w:rPr>
                <w:color w:val="000000"/>
                <w:sz w:val="20"/>
                <w:szCs w:val="20"/>
              </w:rPr>
              <w:t>45 622</w:t>
            </w:r>
          </w:p>
        </w:tc>
        <w:tc>
          <w:tcPr>
            <w:tcW w:w="850" w:type="dxa"/>
            <w:tcBorders>
              <w:top w:val="nil"/>
              <w:left w:val="nil"/>
              <w:bottom w:val="single" w:sz="4" w:space="0" w:color="auto"/>
              <w:right w:val="single" w:sz="4" w:space="0" w:color="auto"/>
            </w:tcBorders>
            <w:shd w:val="clear" w:color="auto" w:fill="auto"/>
            <w:hideMark/>
          </w:tcPr>
          <w:p w:rsidR="000B335A" w:rsidRPr="007D22C9" w:rsidRDefault="000B335A" w:rsidP="00D302C3">
            <w:pPr>
              <w:autoSpaceDE/>
              <w:autoSpaceDN/>
              <w:adjustRightInd/>
              <w:spacing w:line="235" w:lineRule="auto"/>
              <w:jc w:val="center"/>
              <w:rPr>
                <w:color w:val="000000"/>
                <w:sz w:val="20"/>
                <w:szCs w:val="20"/>
              </w:rPr>
            </w:pPr>
            <w:r w:rsidRPr="007D22C9">
              <w:rPr>
                <w:color w:val="000000"/>
                <w:sz w:val="20"/>
                <w:szCs w:val="20"/>
              </w:rPr>
              <w:t>1,52</w:t>
            </w:r>
          </w:p>
        </w:tc>
        <w:tc>
          <w:tcPr>
            <w:tcW w:w="1077" w:type="dxa"/>
            <w:tcBorders>
              <w:top w:val="nil"/>
              <w:left w:val="nil"/>
              <w:bottom w:val="single" w:sz="4" w:space="0" w:color="auto"/>
              <w:right w:val="single" w:sz="4" w:space="0" w:color="auto"/>
            </w:tcBorders>
            <w:shd w:val="clear" w:color="auto" w:fill="auto"/>
            <w:hideMark/>
          </w:tcPr>
          <w:p w:rsidR="000B335A" w:rsidRPr="007D22C9" w:rsidRDefault="000B335A" w:rsidP="00D302C3">
            <w:pPr>
              <w:autoSpaceDE/>
              <w:autoSpaceDN/>
              <w:adjustRightInd/>
              <w:spacing w:line="235" w:lineRule="auto"/>
              <w:jc w:val="center"/>
              <w:rPr>
                <w:color w:val="000000"/>
                <w:sz w:val="20"/>
                <w:szCs w:val="20"/>
              </w:rPr>
            </w:pPr>
            <w:r w:rsidRPr="007D22C9">
              <w:rPr>
                <w:color w:val="000000"/>
                <w:sz w:val="20"/>
                <w:szCs w:val="20"/>
              </w:rPr>
              <w:t>1</w:t>
            </w:r>
            <w:r w:rsidR="00194AFE" w:rsidRPr="007D22C9">
              <w:rPr>
                <w:color w:val="000000"/>
                <w:sz w:val="20"/>
                <w:szCs w:val="20"/>
              </w:rPr>
              <w:t>,00</w:t>
            </w:r>
          </w:p>
        </w:tc>
        <w:tc>
          <w:tcPr>
            <w:tcW w:w="992" w:type="dxa"/>
            <w:tcBorders>
              <w:top w:val="nil"/>
              <w:left w:val="nil"/>
              <w:bottom w:val="single" w:sz="4" w:space="0" w:color="auto"/>
              <w:right w:val="single" w:sz="4" w:space="0" w:color="auto"/>
            </w:tcBorders>
            <w:shd w:val="clear" w:color="auto" w:fill="auto"/>
            <w:hideMark/>
          </w:tcPr>
          <w:p w:rsidR="000B335A" w:rsidRPr="007D22C9" w:rsidRDefault="000B335A" w:rsidP="00D302C3">
            <w:pPr>
              <w:autoSpaceDE/>
              <w:autoSpaceDN/>
              <w:adjustRightInd/>
              <w:spacing w:line="235" w:lineRule="auto"/>
              <w:jc w:val="center"/>
              <w:rPr>
                <w:color w:val="000000"/>
                <w:sz w:val="20"/>
                <w:szCs w:val="20"/>
              </w:rPr>
            </w:pPr>
            <w:r w:rsidRPr="007D22C9">
              <w:rPr>
                <w:color w:val="000000"/>
                <w:sz w:val="20"/>
                <w:szCs w:val="20"/>
              </w:rPr>
              <w:t>1</w:t>
            </w:r>
            <w:r w:rsidR="00194AFE" w:rsidRPr="007D22C9">
              <w:rPr>
                <w:color w:val="000000"/>
                <w:sz w:val="20"/>
                <w:szCs w:val="20"/>
              </w:rPr>
              <w:t>,00</w:t>
            </w:r>
          </w:p>
        </w:tc>
        <w:tc>
          <w:tcPr>
            <w:tcW w:w="708" w:type="dxa"/>
            <w:tcBorders>
              <w:top w:val="nil"/>
              <w:left w:val="nil"/>
              <w:bottom w:val="single" w:sz="4" w:space="0" w:color="auto"/>
              <w:right w:val="single" w:sz="4" w:space="0" w:color="auto"/>
            </w:tcBorders>
            <w:shd w:val="clear" w:color="auto" w:fill="auto"/>
            <w:hideMark/>
          </w:tcPr>
          <w:p w:rsidR="000B335A" w:rsidRPr="007D22C9" w:rsidRDefault="000B335A" w:rsidP="00D302C3">
            <w:pPr>
              <w:autoSpaceDE/>
              <w:autoSpaceDN/>
              <w:adjustRightInd/>
              <w:spacing w:line="235" w:lineRule="auto"/>
              <w:jc w:val="center"/>
              <w:rPr>
                <w:color w:val="000000"/>
                <w:sz w:val="20"/>
                <w:szCs w:val="20"/>
              </w:rPr>
            </w:pPr>
            <w:r w:rsidRPr="007D22C9">
              <w:rPr>
                <w:color w:val="000000"/>
                <w:sz w:val="20"/>
                <w:szCs w:val="20"/>
              </w:rPr>
              <w:t>1</w:t>
            </w:r>
          </w:p>
        </w:tc>
        <w:tc>
          <w:tcPr>
            <w:tcW w:w="993" w:type="dxa"/>
            <w:tcBorders>
              <w:top w:val="nil"/>
              <w:left w:val="nil"/>
              <w:bottom w:val="single" w:sz="4" w:space="0" w:color="auto"/>
              <w:right w:val="single" w:sz="4" w:space="0" w:color="auto"/>
            </w:tcBorders>
            <w:shd w:val="clear" w:color="auto" w:fill="auto"/>
            <w:hideMark/>
          </w:tcPr>
          <w:p w:rsidR="000B335A" w:rsidRPr="007D22C9" w:rsidRDefault="00DE16F2" w:rsidP="00D302C3">
            <w:pPr>
              <w:autoSpaceDE/>
              <w:autoSpaceDN/>
              <w:adjustRightInd/>
              <w:spacing w:line="235" w:lineRule="auto"/>
              <w:jc w:val="center"/>
              <w:rPr>
                <w:color w:val="000000"/>
                <w:sz w:val="20"/>
                <w:szCs w:val="20"/>
              </w:rPr>
            </w:pPr>
            <w:r w:rsidRPr="007D22C9">
              <w:rPr>
                <w:color w:val="000000"/>
                <w:sz w:val="20"/>
                <w:szCs w:val="20"/>
              </w:rPr>
              <w:t>0</w:t>
            </w:r>
            <w:r w:rsidR="000B335A" w:rsidRPr="007D22C9">
              <w:rPr>
                <w:color w:val="000000"/>
                <w:sz w:val="20"/>
                <w:szCs w:val="20"/>
              </w:rPr>
              <w:t> </w:t>
            </w:r>
          </w:p>
        </w:tc>
      </w:tr>
      <w:tr w:rsidR="000B335A" w:rsidRPr="007D22C9" w:rsidTr="00BD3B9A">
        <w:trPr>
          <w:trHeight w:val="20"/>
        </w:trPr>
        <w:tc>
          <w:tcPr>
            <w:tcW w:w="533" w:type="dxa"/>
            <w:tcBorders>
              <w:top w:val="nil"/>
              <w:left w:val="single" w:sz="4" w:space="0" w:color="auto"/>
              <w:bottom w:val="single" w:sz="4" w:space="0" w:color="auto"/>
              <w:right w:val="single" w:sz="4" w:space="0" w:color="auto"/>
            </w:tcBorders>
            <w:shd w:val="clear" w:color="auto" w:fill="auto"/>
            <w:hideMark/>
          </w:tcPr>
          <w:p w:rsidR="000B335A" w:rsidRPr="007D22C9" w:rsidRDefault="000B335A" w:rsidP="00D302C3">
            <w:pPr>
              <w:autoSpaceDE/>
              <w:autoSpaceDN/>
              <w:adjustRightInd/>
              <w:spacing w:line="235" w:lineRule="auto"/>
              <w:jc w:val="center"/>
              <w:rPr>
                <w:color w:val="000000"/>
                <w:sz w:val="20"/>
                <w:szCs w:val="20"/>
              </w:rPr>
            </w:pPr>
            <w:r w:rsidRPr="007D22C9">
              <w:rPr>
                <w:color w:val="000000"/>
                <w:sz w:val="20"/>
                <w:szCs w:val="20"/>
              </w:rPr>
              <w:t>16</w:t>
            </w:r>
            <w:r w:rsidR="003B1A7B" w:rsidRPr="007D22C9">
              <w:rPr>
                <w:color w:val="000000"/>
                <w:sz w:val="20"/>
                <w:szCs w:val="20"/>
              </w:rPr>
              <w:t>.</w:t>
            </w:r>
          </w:p>
        </w:tc>
        <w:tc>
          <w:tcPr>
            <w:tcW w:w="1730" w:type="dxa"/>
            <w:tcBorders>
              <w:top w:val="nil"/>
              <w:left w:val="nil"/>
              <w:bottom w:val="single" w:sz="4" w:space="0" w:color="auto"/>
              <w:right w:val="nil"/>
            </w:tcBorders>
            <w:shd w:val="clear" w:color="auto" w:fill="auto"/>
            <w:hideMark/>
          </w:tcPr>
          <w:p w:rsidR="000B335A" w:rsidRPr="007D22C9" w:rsidRDefault="000B335A" w:rsidP="00D302C3">
            <w:pPr>
              <w:autoSpaceDE/>
              <w:autoSpaceDN/>
              <w:adjustRightInd/>
              <w:spacing w:line="235" w:lineRule="auto"/>
              <w:jc w:val="both"/>
              <w:rPr>
                <w:color w:val="000000"/>
                <w:sz w:val="20"/>
                <w:szCs w:val="20"/>
              </w:rPr>
            </w:pPr>
            <w:r w:rsidRPr="007D22C9">
              <w:rPr>
                <w:color w:val="000000"/>
                <w:sz w:val="20"/>
                <w:szCs w:val="20"/>
              </w:rPr>
              <w:t xml:space="preserve">ГАУЗ </w:t>
            </w:r>
            <w:r w:rsidR="002F7358" w:rsidRPr="007D22C9">
              <w:rPr>
                <w:color w:val="000000"/>
                <w:sz w:val="20"/>
                <w:szCs w:val="20"/>
              </w:rPr>
              <w:t>«</w:t>
            </w:r>
            <w:r w:rsidRPr="007D22C9">
              <w:rPr>
                <w:color w:val="000000"/>
                <w:sz w:val="20"/>
                <w:szCs w:val="20"/>
              </w:rPr>
              <w:t>Дрожжановская ЦРБ</w:t>
            </w:r>
            <w:r w:rsidR="002F7358" w:rsidRPr="007D22C9">
              <w:rPr>
                <w:color w:val="000000"/>
                <w:sz w:val="20"/>
                <w:szCs w:val="20"/>
              </w:rPr>
              <w:t>»</w:t>
            </w:r>
          </w:p>
        </w:tc>
        <w:tc>
          <w:tcPr>
            <w:tcW w:w="1418" w:type="dxa"/>
            <w:tcBorders>
              <w:top w:val="nil"/>
              <w:left w:val="single" w:sz="4" w:space="0" w:color="auto"/>
              <w:bottom w:val="single" w:sz="4" w:space="0" w:color="auto"/>
              <w:right w:val="single" w:sz="4" w:space="0" w:color="auto"/>
            </w:tcBorders>
            <w:shd w:val="clear" w:color="auto" w:fill="auto"/>
            <w:hideMark/>
          </w:tcPr>
          <w:p w:rsidR="000B335A" w:rsidRPr="007D22C9" w:rsidRDefault="00C572EE" w:rsidP="00D302C3">
            <w:pPr>
              <w:autoSpaceDE/>
              <w:autoSpaceDN/>
              <w:adjustRightInd/>
              <w:spacing w:line="235" w:lineRule="auto"/>
              <w:jc w:val="both"/>
              <w:rPr>
                <w:color w:val="000000"/>
                <w:sz w:val="20"/>
                <w:szCs w:val="20"/>
              </w:rPr>
            </w:pPr>
            <w:r w:rsidRPr="007D22C9">
              <w:rPr>
                <w:color w:val="000000"/>
                <w:sz w:val="20"/>
                <w:szCs w:val="20"/>
              </w:rPr>
              <w:t>с.</w:t>
            </w:r>
            <w:r w:rsidR="00BC3EDC" w:rsidRPr="007D22C9">
              <w:rPr>
                <w:color w:val="000000"/>
                <w:sz w:val="20"/>
                <w:szCs w:val="20"/>
              </w:rPr>
              <w:t xml:space="preserve">Старое Дрожжаное, </w:t>
            </w:r>
            <w:r w:rsidRPr="007D22C9">
              <w:rPr>
                <w:color w:val="000000"/>
                <w:sz w:val="20"/>
                <w:szCs w:val="20"/>
              </w:rPr>
              <w:t>ул.</w:t>
            </w:r>
            <w:r w:rsidR="00BC3EDC" w:rsidRPr="007D22C9">
              <w:rPr>
                <w:color w:val="000000"/>
                <w:sz w:val="20"/>
                <w:szCs w:val="20"/>
              </w:rPr>
              <w:t>2-я П</w:t>
            </w:r>
            <w:r w:rsidR="000B335A" w:rsidRPr="007D22C9">
              <w:rPr>
                <w:color w:val="000000"/>
                <w:sz w:val="20"/>
                <w:szCs w:val="20"/>
              </w:rPr>
              <w:t xml:space="preserve">ятилетка, </w:t>
            </w:r>
            <w:r w:rsidR="00C940D5" w:rsidRPr="007D22C9">
              <w:rPr>
                <w:color w:val="000000"/>
                <w:sz w:val="20"/>
                <w:szCs w:val="20"/>
              </w:rPr>
              <w:t>д.</w:t>
            </w:r>
            <w:r w:rsidR="000B335A" w:rsidRPr="007D22C9">
              <w:rPr>
                <w:color w:val="000000"/>
                <w:sz w:val="20"/>
                <w:szCs w:val="20"/>
              </w:rPr>
              <w:t>25</w:t>
            </w:r>
          </w:p>
        </w:tc>
        <w:tc>
          <w:tcPr>
            <w:tcW w:w="1418" w:type="dxa"/>
            <w:tcBorders>
              <w:top w:val="nil"/>
              <w:left w:val="nil"/>
              <w:bottom w:val="single" w:sz="4" w:space="0" w:color="auto"/>
              <w:right w:val="single" w:sz="4" w:space="0" w:color="auto"/>
            </w:tcBorders>
            <w:shd w:val="clear" w:color="auto" w:fill="auto"/>
            <w:hideMark/>
          </w:tcPr>
          <w:p w:rsidR="000B335A" w:rsidRPr="007D22C9" w:rsidRDefault="000B335A" w:rsidP="00D302C3">
            <w:pPr>
              <w:autoSpaceDE/>
              <w:autoSpaceDN/>
              <w:adjustRightInd/>
              <w:spacing w:line="235" w:lineRule="auto"/>
              <w:jc w:val="both"/>
              <w:rPr>
                <w:color w:val="000000"/>
                <w:sz w:val="20"/>
                <w:szCs w:val="20"/>
              </w:rPr>
            </w:pPr>
            <w:r w:rsidRPr="007D22C9">
              <w:rPr>
                <w:color w:val="000000"/>
                <w:sz w:val="20"/>
                <w:szCs w:val="20"/>
              </w:rPr>
              <w:t>Дрожжановский муниципальный район</w:t>
            </w:r>
          </w:p>
        </w:tc>
        <w:tc>
          <w:tcPr>
            <w:tcW w:w="851" w:type="dxa"/>
            <w:tcBorders>
              <w:top w:val="nil"/>
              <w:left w:val="nil"/>
              <w:bottom w:val="single" w:sz="4" w:space="0" w:color="auto"/>
              <w:right w:val="single" w:sz="4" w:space="0" w:color="auto"/>
            </w:tcBorders>
            <w:shd w:val="clear" w:color="auto" w:fill="auto"/>
            <w:hideMark/>
          </w:tcPr>
          <w:p w:rsidR="000B335A" w:rsidRPr="007D22C9" w:rsidRDefault="000B335A" w:rsidP="00D302C3">
            <w:pPr>
              <w:autoSpaceDE/>
              <w:autoSpaceDN/>
              <w:adjustRightInd/>
              <w:spacing w:line="235" w:lineRule="auto"/>
              <w:jc w:val="center"/>
              <w:rPr>
                <w:color w:val="000000"/>
                <w:sz w:val="20"/>
                <w:szCs w:val="20"/>
              </w:rPr>
            </w:pPr>
            <w:r w:rsidRPr="007D22C9">
              <w:rPr>
                <w:color w:val="000000"/>
                <w:sz w:val="20"/>
                <w:szCs w:val="20"/>
              </w:rPr>
              <w:t>16 631</w:t>
            </w:r>
          </w:p>
        </w:tc>
        <w:tc>
          <w:tcPr>
            <w:tcW w:w="850" w:type="dxa"/>
            <w:tcBorders>
              <w:top w:val="nil"/>
              <w:left w:val="nil"/>
              <w:bottom w:val="single" w:sz="4" w:space="0" w:color="auto"/>
              <w:right w:val="single" w:sz="4" w:space="0" w:color="auto"/>
            </w:tcBorders>
            <w:shd w:val="clear" w:color="auto" w:fill="auto"/>
            <w:hideMark/>
          </w:tcPr>
          <w:p w:rsidR="000B335A" w:rsidRPr="007D22C9" w:rsidRDefault="000B335A" w:rsidP="00D302C3">
            <w:pPr>
              <w:autoSpaceDE/>
              <w:autoSpaceDN/>
              <w:adjustRightInd/>
              <w:spacing w:line="235" w:lineRule="auto"/>
              <w:jc w:val="center"/>
              <w:rPr>
                <w:color w:val="000000"/>
                <w:sz w:val="20"/>
                <w:szCs w:val="20"/>
              </w:rPr>
            </w:pPr>
            <w:r w:rsidRPr="007D22C9">
              <w:rPr>
                <w:color w:val="000000"/>
                <w:sz w:val="20"/>
                <w:szCs w:val="20"/>
              </w:rPr>
              <w:t>0,55</w:t>
            </w:r>
          </w:p>
        </w:tc>
        <w:tc>
          <w:tcPr>
            <w:tcW w:w="1077" w:type="dxa"/>
            <w:tcBorders>
              <w:top w:val="nil"/>
              <w:left w:val="nil"/>
              <w:bottom w:val="single" w:sz="4" w:space="0" w:color="auto"/>
              <w:right w:val="single" w:sz="4" w:space="0" w:color="auto"/>
            </w:tcBorders>
            <w:shd w:val="clear" w:color="auto" w:fill="auto"/>
            <w:hideMark/>
          </w:tcPr>
          <w:p w:rsidR="000B335A" w:rsidRPr="007D22C9" w:rsidRDefault="000B335A" w:rsidP="00D302C3">
            <w:pPr>
              <w:autoSpaceDE/>
              <w:autoSpaceDN/>
              <w:adjustRightInd/>
              <w:spacing w:line="235" w:lineRule="auto"/>
              <w:jc w:val="center"/>
              <w:rPr>
                <w:color w:val="000000"/>
                <w:sz w:val="20"/>
                <w:szCs w:val="20"/>
              </w:rPr>
            </w:pPr>
            <w:r w:rsidRPr="007D22C9">
              <w:rPr>
                <w:color w:val="000000"/>
                <w:sz w:val="20"/>
                <w:szCs w:val="20"/>
              </w:rPr>
              <w:t>0,5</w:t>
            </w:r>
            <w:r w:rsidR="00C77724" w:rsidRPr="007D22C9">
              <w:rPr>
                <w:color w:val="000000"/>
                <w:sz w:val="20"/>
                <w:szCs w:val="20"/>
              </w:rPr>
              <w:t>0</w:t>
            </w:r>
          </w:p>
        </w:tc>
        <w:tc>
          <w:tcPr>
            <w:tcW w:w="992" w:type="dxa"/>
            <w:tcBorders>
              <w:top w:val="nil"/>
              <w:left w:val="nil"/>
              <w:bottom w:val="single" w:sz="4" w:space="0" w:color="auto"/>
              <w:right w:val="single" w:sz="4" w:space="0" w:color="auto"/>
            </w:tcBorders>
            <w:shd w:val="clear" w:color="auto" w:fill="auto"/>
            <w:hideMark/>
          </w:tcPr>
          <w:p w:rsidR="000B335A" w:rsidRPr="007D22C9" w:rsidRDefault="000B335A" w:rsidP="00D302C3">
            <w:pPr>
              <w:autoSpaceDE/>
              <w:autoSpaceDN/>
              <w:adjustRightInd/>
              <w:spacing w:line="235" w:lineRule="auto"/>
              <w:jc w:val="center"/>
              <w:rPr>
                <w:color w:val="000000"/>
                <w:sz w:val="20"/>
                <w:szCs w:val="20"/>
              </w:rPr>
            </w:pPr>
            <w:r w:rsidRPr="007D22C9">
              <w:rPr>
                <w:color w:val="000000"/>
                <w:sz w:val="20"/>
                <w:szCs w:val="20"/>
              </w:rPr>
              <w:t>0,5</w:t>
            </w:r>
            <w:r w:rsidR="00C77724" w:rsidRPr="007D22C9">
              <w:rPr>
                <w:color w:val="000000"/>
                <w:sz w:val="20"/>
                <w:szCs w:val="20"/>
              </w:rPr>
              <w:t>0</w:t>
            </w:r>
          </w:p>
        </w:tc>
        <w:tc>
          <w:tcPr>
            <w:tcW w:w="708" w:type="dxa"/>
            <w:tcBorders>
              <w:top w:val="nil"/>
              <w:left w:val="nil"/>
              <w:bottom w:val="single" w:sz="4" w:space="0" w:color="auto"/>
              <w:right w:val="single" w:sz="4" w:space="0" w:color="auto"/>
            </w:tcBorders>
            <w:shd w:val="clear" w:color="auto" w:fill="auto"/>
            <w:hideMark/>
          </w:tcPr>
          <w:p w:rsidR="000B335A" w:rsidRPr="007D22C9" w:rsidRDefault="00C77724" w:rsidP="00D302C3">
            <w:pPr>
              <w:autoSpaceDE/>
              <w:autoSpaceDN/>
              <w:adjustRightInd/>
              <w:spacing w:line="235" w:lineRule="auto"/>
              <w:jc w:val="center"/>
              <w:rPr>
                <w:color w:val="000000"/>
                <w:sz w:val="20"/>
                <w:szCs w:val="20"/>
              </w:rPr>
            </w:pPr>
            <w:r w:rsidRPr="007D22C9">
              <w:rPr>
                <w:color w:val="000000"/>
                <w:sz w:val="20"/>
                <w:szCs w:val="20"/>
              </w:rPr>
              <w:t>0</w:t>
            </w:r>
          </w:p>
        </w:tc>
        <w:tc>
          <w:tcPr>
            <w:tcW w:w="993" w:type="dxa"/>
            <w:tcBorders>
              <w:top w:val="nil"/>
              <w:left w:val="nil"/>
              <w:bottom w:val="single" w:sz="4" w:space="0" w:color="auto"/>
              <w:right w:val="single" w:sz="4" w:space="0" w:color="auto"/>
            </w:tcBorders>
            <w:shd w:val="clear" w:color="auto" w:fill="auto"/>
            <w:hideMark/>
          </w:tcPr>
          <w:p w:rsidR="000B335A" w:rsidRPr="007D22C9" w:rsidRDefault="00C77724" w:rsidP="00C77724">
            <w:pPr>
              <w:autoSpaceDE/>
              <w:autoSpaceDN/>
              <w:adjustRightInd/>
              <w:spacing w:line="235" w:lineRule="auto"/>
              <w:jc w:val="center"/>
              <w:rPr>
                <w:color w:val="000000"/>
                <w:sz w:val="20"/>
                <w:szCs w:val="20"/>
              </w:rPr>
            </w:pPr>
            <w:r w:rsidRPr="007D22C9">
              <w:rPr>
                <w:color w:val="000000"/>
                <w:sz w:val="20"/>
                <w:szCs w:val="20"/>
              </w:rPr>
              <w:t>1</w:t>
            </w:r>
            <w:r w:rsidR="000B335A" w:rsidRPr="007D22C9">
              <w:rPr>
                <w:color w:val="000000"/>
                <w:sz w:val="20"/>
                <w:szCs w:val="20"/>
              </w:rPr>
              <w:t> </w:t>
            </w:r>
          </w:p>
        </w:tc>
      </w:tr>
      <w:tr w:rsidR="000B335A" w:rsidRPr="007D22C9" w:rsidTr="00BD3B9A">
        <w:trPr>
          <w:trHeight w:val="20"/>
        </w:trPr>
        <w:tc>
          <w:tcPr>
            <w:tcW w:w="533" w:type="dxa"/>
            <w:tcBorders>
              <w:top w:val="nil"/>
              <w:left w:val="single" w:sz="4" w:space="0" w:color="auto"/>
              <w:bottom w:val="single" w:sz="4" w:space="0" w:color="auto"/>
              <w:right w:val="single" w:sz="4" w:space="0" w:color="auto"/>
            </w:tcBorders>
            <w:shd w:val="clear" w:color="auto" w:fill="auto"/>
            <w:hideMark/>
          </w:tcPr>
          <w:p w:rsidR="000B335A" w:rsidRPr="007D22C9" w:rsidRDefault="000B335A" w:rsidP="00D302C3">
            <w:pPr>
              <w:autoSpaceDE/>
              <w:autoSpaceDN/>
              <w:adjustRightInd/>
              <w:spacing w:line="235" w:lineRule="auto"/>
              <w:jc w:val="center"/>
              <w:rPr>
                <w:color w:val="000000"/>
                <w:sz w:val="20"/>
                <w:szCs w:val="20"/>
              </w:rPr>
            </w:pPr>
            <w:r w:rsidRPr="007D22C9">
              <w:rPr>
                <w:color w:val="000000"/>
                <w:sz w:val="20"/>
                <w:szCs w:val="20"/>
              </w:rPr>
              <w:t>17</w:t>
            </w:r>
            <w:r w:rsidR="003B1A7B" w:rsidRPr="007D22C9">
              <w:rPr>
                <w:color w:val="000000"/>
                <w:sz w:val="20"/>
                <w:szCs w:val="20"/>
              </w:rPr>
              <w:t>.</w:t>
            </w:r>
          </w:p>
        </w:tc>
        <w:tc>
          <w:tcPr>
            <w:tcW w:w="1730" w:type="dxa"/>
            <w:tcBorders>
              <w:top w:val="nil"/>
              <w:left w:val="nil"/>
              <w:bottom w:val="single" w:sz="4" w:space="0" w:color="auto"/>
              <w:right w:val="nil"/>
            </w:tcBorders>
            <w:shd w:val="clear" w:color="auto" w:fill="auto"/>
            <w:hideMark/>
          </w:tcPr>
          <w:p w:rsidR="000B335A" w:rsidRPr="007D22C9" w:rsidRDefault="000B335A" w:rsidP="00D302C3">
            <w:pPr>
              <w:autoSpaceDE/>
              <w:autoSpaceDN/>
              <w:adjustRightInd/>
              <w:spacing w:line="235" w:lineRule="auto"/>
              <w:jc w:val="both"/>
              <w:rPr>
                <w:color w:val="000000"/>
                <w:sz w:val="20"/>
                <w:szCs w:val="20"/>
              </w:rPr>
            </w:pPr>
            <w:r w:rsidRPr="007D22C9">
              <w:rPr>
                <w:color w:val="000000"/>
                <w:sz w:val="20"/>
                <w:szCs w:val="20"/>
              </w:rPr>
              <w:t xml:space="preserve">ГАУЗ </w:t>
            </w:r>
            <w:r w:rsidR="002F7358" w:rsidRPr="007D22C9">
              <w:rPr>
                <w:color w:val="000000"/>
                <w:sz w:val="20"/>
                <w:szCs w:val="20"/>
              </w:rPr>
              <w:t>«</w:t>
            </w:r>
            <w:r w:rsidRPr="007D22C9">
              <w:rPr>
                <w:color w:val="000000"/>
                <w:sz w:val="20"/>
                <w:szCs w:val="20"/>
              </w:rPr>
              <w:t>Елабужская ЦРБ</w:t>
            </w:r>
            <w:r w:rsidR="002F7358" w:rsidRPr="007D22C9">
              <w:rPr>
                <w:color w:val="000000"/>
                <w:sz w:val="20"/>
                <w:szCs w:val="20"/>
              </w:rPr>
              <w:t>»</w:t>
            </w:r>
            <w:r w:rsidRPr="007D22C9">
              <w:rPr>
                <w:color w:val="000000"/>
                <w:sz w:val="20"/>
                <w:szCs w:val="20"/>
              </w:rPr>
              <w:t xml:space="preserve"> </w:t>
            </w:r>
          </w:p>
        </w:tc>
        <w:tc>
          <w:tcPr>
            <w:tcW w:w="1418" w:type="dxa"/>
            <w:tcBorders>
              <w:top w:val="nil"/>
              <w:left w:val="single" w:sz="4" w:space="0" w:color="auto"/>
              <w:bottom w:val="single" w:sz="4" w:space="0" w:color="auto"/>
              <w:right w:val="single" w:sz="4" w:space="0" w:color="auto"/>
            </w:tcBorders>
            <w:shd w:val="clear" w:color="auto" w:fill="auto"/>
            <w:hideMark/>
          </w:tcPr>
          <w:p w:rsidR="000B335A" w:rsidRPr="007D22C9" w:rsidRDefault="00C572EE" w:rsidP="00D302C3">
            <w:pPr>
              <w:autoSpaceDE/>
              <w:autoSpaceDN/>
              <w:adjustRightInd/>
              <w:spacing w:line="235" w:lineRule="auto"/>
              <w:jc w:val="both"/>
              <w:rPr>
                <w:color w:val="000000"/>
                <w:sz w:val="20"/>
                <w:szCs w:val="20"/>
              </w:rPr>
            </w:pPr>
            <w:r w:rsidRPr="007D22C9">
              <w:rPr>
                <w:color w:val="000000"/>
                <w:sz w:val="20"/>
                <w:szCs w:val="20"/>
              </w:rPr>
              <w:t>г.</w:t>
            </w:r>
            <w:r w:rsidR="000B335A" w:rsidRPr="007D22C9">
              <w:rPr>
                <w:color w:val="000000"/>
                <w:sz w:val="20"/>
                <w:szCs w:val="20"/>
              </w:rPr>
              <w:t xml:space="preserve">Елабуга, </w:t>
            </w:r>
            <w:r w:rsidR="000737A9" w:rsidRPr="007D22C9">
              <w:rPr>
                <w:color w:val="000000"/>
                <w:sz w:val="20"/>
                <w:szCs w:val="20"/>
              </w:rPr>
              <w:t>ул.</w:t>
            </w:r>
            <w:r w:rsidR="000B335A" w:rsidRPr="007D22C9">
              <w:rPr>
                <w:color w:val="000000"/>
                <w:sz w:val="20"/>
                <w:szCs w:val="20"/>
              </w:rPr>
              <w:t xml:space="preserve">Пролетарская, </w:t>
            </w:r>
            <w:r w:rsidR="00C940D5" w:rsidRPr="007D22C9">
              <w:rPr>
                <w:color w:val="000000"/>
                <w:sz w:val="20"/>
                <w:szCs w:val="20"/>
              </w:rPr>
              <w:t>д.</w:t>
            </w:r>
            <w:r w:rsidR="000B335A" w:rsidRPr="007D22C9">
              <w:rPr>
                <w:color w:val="000000"/>
                <w:sz w:val="20"/>
                <w:szCs w:val="20"/>
              </w:rPr>
              <w:t>36</w:t>
            </w:r>
          </w:p>
        </w:tc>
        <w:tc>
          <w:tcPr>
            <w:tcW w:w="1418" w:type="dxa"/>
            <w:tcBorders>
              <w:top w:val="nil"/>
              <w:left w:val="nil"/>
              <w:bottom w:val="single" w:sz="4" w:space="0" w:color="auto"/>
              <w:right w:val="single" w:sz="4" w:space="0" w:color="auto"/>
            </w:tcBorders>
            <w:shd w:val="clear" w:color="auto" w:fill="auto"/>
            <w:hideMark/>
          </w:tcPr>
          <w:p w:rsidR="000B335A" w:rsidRPr="007D22C9" w:rsidRDefault="000B335A" w:rsidP="00D302C3">
            <w:pPr>
              <w:autoSpaceDE/>
              <w:autoSpaceDN/>
              <w:adjustRightInd/>
              <w:spacing w:line="235" w:lineRule="auto"/>
              <w:jc w:val="both"/>
              <w:rPr>
                <w:color w:val="000000"/>
                <w:sz w:val="20"/>
                <w:szCs w:val="20"/>
              </w:rPr>
            </w:pPr>
            <w:r w:rsidRPr="007D22C9">
              <w:rPr>
                <w:color w:val="000000"/>
                <w:sz w:val="20"/>
                <w:szCs w:val="20"/>
              </w:rPr>
              <w:t>Елабужский муниципальный район</w:t>
            </w:r>
          </w:p>
        </w:tc>
        <w:tc>
          <w:tcPr>
            <w:tcW w:w="851" w:type="dxa"/>
            <w:tcBorders>
              <w:top w:val="nil"/>
              <w:left w:val="nil"/>
              <w:bottom w:val="single" w:sz="4" w:space="0" w:color="auto"/>
              <w:right w:val="single" w:sz="4" w:space="0" w:color="auto"/>
            </w:tcBorders>
            <w:shd w:val="clear" w:color="auto" w:fill="auto"/>
            <w:hideMark/>
          </w:tcPr>
          <w:p w:rsidR="000B335A" w:rsidRPr="007D22C9" w:rsidRDefault="000B335A" w:rsidP="00D302C3">
            <w:pPr>
              <w:autoSpaceDE/>
              <w:autoSpaceDN/>
              <w:adjustRightInd/>
              <w:spacing w:line="235" w:lineRule="auto"/>
              <w:jc w:val="center"/>
              <w:rPr>
                <w:color w:val="000000"/>
                <w:sz w:val="20"/>
                <w:szCs w:val="20"/>
              </w:rPr>
            </w:pPr>
            <w:r w:rsidRPr="007D22C9">
              <w:rPr>
                <w:color w:val="000000"/>
                <w:sz w:val="20"/>
                <w:szCs w:val="20"/>
              </w:rPr>
              <w:t>76 952</w:t>
            </w:r>
          </w:p>
        </w:tc>
        <w:tc>
          <w:tcPr>
            <w:tcW w:w="850" w:type="dxa"/>
            <w:tcBorders>
              <w:top w:val="nil"/>
              <w:left w:val="nil"/>
              <w:bottom w:val="single" w:sz="4" w:space="0" w:color="auto"/>
              <w:right w:val="single" w:sz="4" w:space="0" w:color="auto"/>
            </w:tcBorders>
            <w:shd w:val="clear" w:color="auto" w:fill="auto"/>
            <w:hideMark/>
          </w:tcPr>
          <w:p w:rsidR="000B335A" w:rsidRPr="007D22C9" w:rsidRDefault="000B335A" w:rsidP="00D302C3">
            <w:pPr>
              <w:autoSpaceDE/>
              <w:autoSpaceDN/>
              <w:adjustRightInd/>
              <w:spacing w:line="235" w:lineRule="auto"/>
              <w:jc w:val="center"/>
              <w:rPr>
                <w:color w:val="000000"/>
                <w:sz w:val="20"/>
                <w:szCs w:val="20"/>
              </w:rPr>
            </w:pPr>
            <w:r w:rsidRPr="007D22C9">
              <w:rPr>
                <w:color w:val="000000"/>
                <w:sz w:val="20"/>
                <w:szCs w:val="20"/>
              </w:rPr>
              <w:t>2,57</w:t>
            </w:r>
          </w:p>
        </w:tc>
        <w:tc>
          <w:tcPr>
            <w:tcW w:w="1077" w:type="dxa"/>
            <w:tcBorders>
              <w:top w:val="nil"/>
              <w:left w:val="nil"/>
              <w:bottom w:val="single" w:sz="4" w:space="0" w:color="auto"/>
              <w:right w:val="single" w:sz="4" w:space="0" w:color="auto"/>
            </w:tcBorders>
            <w:shd w:val="clear" w:color="auto" w:fill="auto"/>
            <w:hideMark/>
          </w:tcPr>
          <w:p w:rsidR="000B335A" w:rsidRPr="007D22C9" w:rsidRDefault="00C77724" w:rsidP="00C77724">
            <w:pPr>
              <w:autoSpaceDE/>
              <w:autoSpaceDN/>
              <w:adjustRightInd/>
              <w:spacing w:line="235" w:lineRule="auto"/>
              <w:jc w:val="center"/>
              <w:rPr>
                <w:color w:val="000000"/>
                <w:sz w:val="20"/>
                <w:szCs w:val="20"/>
              </w:rPr>
            </w:pPr>
            <w:r w:rsidRPr="007D22C9">
              <w:rPr>
                <w:color w:val="000000"/>
                <w:sz w:val="20"/>
                <w:szCs w:val="20"/>
              </w:rPr>
              <w:t>2,00</w:t>
            </w:r>
          </w:p>
        </w:tc>
        <w:tc>
          <w:tcPr>
            <w:tcW w:w="992" w:type="dxa"/>
            <w:tcBorders>
              <w:top w:val="nil"/>
              <w:left w:val="nil"/>
              <w:bottom w:val="single" w:sz="4" w:space="0" w:color="auto"/>
              <w:right w:val="single" w:sz="4" w:space="0" w:color="auto"/>
            </w:tcBorders>
            <w:shd w:val="clear" w:color="auto" w:fill="auto"/>
            <w:hideMark/>
          </w:tcPr>
          <w:p w:rsidR="000B335A" w:rsidRPr="007D22C9" w:rsidRDefault="00C77724" w:rsidP="00C77724">
            <w:pPr>
              <w:autoSpaceDE/>
              <w:autoSpaceDN/>
              <w:adjustRightInd/>
              <w:spacing w:line="235" w:lineRule="auto"/>
              <w:jc w:val="center"/>
              <w:rPr>
                <w:color w:val="000000"/>
                <w:sz w:val="20"/>
                <w:szCs w:val="20"/>
              </w:rPr>
            </w:pPr>
            <w:r w:rsidRPr="007D22C9">
              <w:rPr>
                <w:color w:val="000000"/>
                <w:sz w:val="20"/>
                <w:szCs w:val="20"/>
              </w:rPr>
              <w:t>2,00</w:t>
            </w:r>
          </w:p>
        </w:tc>
        <w:tc>
          <w:tcPr>
            <w:tcW w:w="708" w:type="dxa"/>
            <w:tcBorders>
              <w:top w:val="nil"/>
              <w:left w:val="nil"/>
              <w:bottom w:val="single" w:sz="4" w:space="0" w:color="auto"/>
              <w:right w:val="single" w:sz="4" w:space="0" w:color="auto"/>
            </w:tcBorders>
            <w:shd w:val="clear" w:color="auto" w:fill="auto"/>
            <w:hideMark/>
          </w:tcPr>
          <w:p w:rsidR="000B335A" w:rsidRPr="007D22C9" w:rsidRDefault="00C77724" w:rsidP="00C77724">
            <w:pPr>
              <w:autoSpaceDE/>
              <w:autoSpaceDN/>
              <w:adjustRightInd/>
              <w:spacing w:line="235" w:lineRule="auto"/>
              <w:jc w:val="center"/>
              <w:rPr>
                <w:color w:val="000000"/>
                <w:sz w:val="20"/>
                <w:szCs w:val="20"/>
              </w:rPr>
            </w:pPr>
            <w:r w:rsidRPr="007D22C9">
              <w:rPr>
                <w:color w:val="000000"/>
                <w:sz w:val="20"/>
                <w:szCs w:val="20"/>
              </w:rPr>
              <w:t>2</w:t>
            </w:r>
          </w:p>
        </w:tc>
        <w:tc>
          <w:tcPr>
            <w:tcW w:w="993" w:type="dxa"/>
            <w:tcBorders>
              <w:top w:val="nil"/>
              <w:left w:val="nil"/>
              <w:bottom w:val="single" w:sz="4" w:space="0" w:color="auto"/>
              <w:right w:val="single" w:sz="4" w:space="0" w:color="auto"/>
            </w:tcBorders>
            <w:shd w:val="clear" w:color="auto" w:fill="auto"/>
            <w:hideMark/>
          </w:tcPr>
          <w:p w:rsidR="000B335A" w:rsidRPr="007D22C9" w:rsidRDefault="000B335A" w:rsidP="00D302C3">
            <w:pPr>
              <w:autoSpaceDE/>
              <w:autoSpaceDN/>
              <w:adjustRightInd/>
              <w:spacing w:line="235" w:lineRule="auto"/>
              <w:jc w:val="center"/>
              <w:rPr>
                <w:color w:val="000000"/>
                <w:sz w:val="20"/>
                <w:szCs w:val="20"/>
              </w:rPr>
            </w:pPr>
            <w:r w:rsidRPr="007D22C9">
              <w:rPr>
                <w:color w:val="000000"/>
                <w:sz w:val="20"/>
                <w:szCs w:val="20"/>
              </w:rPr>
              <w:t> </w:t>
            </w:r>
            <w:r w:rsidR="00DE16F2" w:rsidRPr="007D22C9">
              <w:rPr>
                <w:color w:val="000000"/>
                <w:sz w:val="20"/>
                <w:szCs w:val="20"/>
              </w:rPr>
              <w:t>0</w:t>
            </w:r>
          </w:p>
        </w:tc>
      </w:tr>
      <w:tr w:rsidR="000B335A" w:rsidRPr="007D22C9" w:rsidTr="00BD3B9A">
        <w:trPr>
          <w:trHeight w:val="20"/>
        </w:trPr>
        <w:tc>
          <w:tcPr>
            <w:tcW w:w="533" w:type="dxa"/>
            <w:tcBorders>
              <w:top w:val="nil"/>
              <w:left w:val="single" w:sz="4" w:space="0" w:color="auto"/>
              <w:bottom w:val="single" w:sz="4" w:space="0" w:color="auto"/>
              <w:right w:val="single" w:sz="4" w:space="0" w:color="auto"/>
            </w:tcBorders>
            <w:shd w:val="clear" w:color="auto" w:fill="auto"/>
            <w:hideMark/>
          </w:tcPr>
          <w:p w:rsidR="000B335A" w:rsidRPr="007D22C9" w:rsidRDefault="000B335A" w:rsidP="00D302C3">
            <w:pPr>
              <w:autoSpaceDE/>
              <w:autoSpaceDN/>
              <w:adjustRightInd/>
              <w:spacing w:line="235" w:lineRule="auto"/>
              <w:jc w:val="center"/>
              <w:rPr>
                <w:color w:val="000000"/>
                <w:sz w:val="20"/>
                <w:szCs w:val="20"/>
              </w:rPr>
            </w:pPr>
            <w:r w:rsidRPr="007D22C9">
              <w:rPr>
                <w:color w:val="000000"/>
                <w:sz w:val="20"/>
                <w:szCs w:val="20"/>
              </w:rPr>
              <w:t>18</w:t>
            </w:r>
            <w:r w:rsidR="003B1A7B" w:rsidRPr="007D22C9">
              <w:rPr>
                <w:color w:val="000000"/>
                <w:sz w:val="20"/>
                <w:szCs w:val="20"/>
              </w:rPr>
              <w:t>.</w:t>
            </w:r>
          </w:p>
        </w:tc>
        <w:tc>
          <w:tcPr>
            <w:tcW w:w="1730" w:type="dxa"/>
            <w:tcBorders>
              <w:top w:val="nil"/>
              <w:left w:val="nil"/>
              <w:bottom w:val="single" w:sz="4" w:space="0" w:color="auto"/>
              <w:right w:val="nil"/>
            </w:tcBorders>
            <w:shd w:val="clear" w:color="auto" w:fill="auto"/>
            <w:hideMark/>
          </w:tcPr>
          <w:p w:rsidR="000B335A" w:rsidRPr="007D22C9" w:rsidRDefault="000B335A" w:rsidP="00D302C3">
            <w:pPr>
              <w:autoSpaceDE/>
              <w:autoSpaceDN/>
              <w:adjustRightInd/>
              <w:spacing w:line="235" w:lineRule="auto"/>
              <w:jc w:val="both"/>
              <w:rPr>
                <w:color w:val="000000"/>
                <w:sz w:val="20"/>
                <w:szCs w:val="20"/>
              </w:rPr>
            </w:pPr>
            <w:r w:rsidRPr="007D22C9">
              <w:rPr>
                <w:color w:val="000000"/>
                <w:sz w:val="20"/>
                <w:szCs w:val="20"/>
              </w:rPr>
              <w:t xml:space="preserve">ГАУЗ </w:t>
            </w:r>
            <w:r w:rsidR="002F7358" w:rsidRPr="007D22C9">
              <w:rPr>
                <w:color w:val="000000"/>
                <w:sz w:val="20"/>
                <w:szCs w:val="20"/>
              </w:rPr>
              <w:t>«</w:t>
            </w:r>
            <w:r w:rsidRPr="007D22C9">
              <w:rPr>
                <w:color w:val="000000"/>
                <w:sz w:val="20"/>
                <w:szCs w:val="20"/>
              </w:rPr>
              <w:t>Заинская ЦРБ</w:t>
            </w:r>
            <w:r w:rsidR="002F7358" w:rsidRPr="007D22C9">
              <w:rPr>
                <w:color w:val="000000"/>
                <w:sz w:val="20"/>
                <w:szCs w:val="20"/>
              </w:rPr>
              <w:t>»</w:t>
            </w:r>
          </w:p>
        </w:tc>
        <w:tc>
          <w:tcPr>
            <w:tcW w:w="1418" w:type="dxa"/>
            <w:tcBorders>
              <w:top w:val="nil"/>
              <w:left w:val="single" w:sz="4" w:space="0" w:color="auto"/>
              <w:bottom w:val="single" w:sz="4" w:space="0" w:color="auto"/>
              <w:right w:val="single" w:sz="4" w:space="0" w:color="auto"/>
            </w:tcBorders>
            <w:shd w:val="clear" w:color="auto" w:fill="auto"/>
            <w:hideMark/>
          </w:tcPr>
          <w:p w:rsidR="000B335A" w:rsidRPr="007D22C9" w:rsidRDefault="00C572EE" w:rsidP="00D302C3">
            <w:pPr>
              <w:autoSpaceDE/>
              <w:autoSpaceDN/>
              <w:adjustRightInd/>
              <w:spacing w:line="235" w:lineRule="auto"/>
              <w:jc w:val="both"/>
              <w:rPr>
                <w:color w:val="000000"/>
                <w:sz w:val="20"/>
                <w:szCs w:val="20"/>
              </w:rPr>
            </w:pPr>
            <w:r w:rsidRPr="007D22C9">
              <w:rPr>
                <w:color w:val="000000"/>
                <w:sz w:val="20"/>
                <w:szCs w:val="20"/>
              </w:rPr>
              <w:t>г.</w:t>
            </w:r>
            <w:r w:rsidR="000B335A" w:rsidRPr="007D22C9">
              <w:rPr>
                <w:color w:val="000000"/>
                <w:sz w:val="20"/>
                <w:szCs w:val="20"/>
              </w:rPr>
              <w:t xml:space="preserve">Заинск, </w:t>
            </w:r>
            <w:r w:rsidRPr="007D22C9">
              <w:rPr>
                <w:color w:val="000000"/>
                <w:sz w:val="20"/>
                <w:szCs w:val="20"/>
              </w:rPr>
              <w:t>ул.</w:t>
            </w:r>
            <w:r w:rsidR="000B335A" w:rsidRPr="007D22C9">
              <w:rPr>
                <w:color w:val="000000"/>
                <w:sz w:val="20"/>
                <w:szCs w:val="20"/>
              </w:rPr>
              <w:t xml:space="preserve">Комсомольская, </w:t>
            </w:r>
            <w:r w:rsidR="00C940D5" w:rsidRPr="007D22C9">
              <w:rPr>
                <w:color w:val="000000"/>
                <w:sz w:val="20"/>
                <w:szCs w:val="20"/>
              </w:rPr>
              <w:t>д.</w:t>
            </w:r>
            <w:r w:rsidR="000B335A" w:rsidRPr="007D22C9">
              <w:rPr>
                <w:color w:val="000000"/>
                <w:sz w:val="20"/>
                <w:szCs w:val="20"/>
              </w:rPr>
              <w:t>52</w:t>
            </w:r>
          </w:p>
        </w:tc>
        <w:tc>
          <w:tcPr>
            <w:tcW w:w="1418" w:type="dxa"/>
            <w:tcBorders>
              <w:top w:val="nil"/>
              <w:left w:val="nil"/>
              <w:bottom w:val="single" w:sz="4" w:space="0" w:color="auto"/>
              <w:right w:val="single" w:sz="4" w:space="0" w:color="auto"/>
            </w:tcBorders>
            <w:shd w:val="clear" w:color="000000" w:fill="FFFFFF"/>
            <w:hideMark/>
          </w:tcPr>
          <w:p w:rsidR="000B335A" w:rsidRPr="007D22C9" w:rsidRDefault="000B335A" w:rsidP="00D302C3">
            <w:pPr>
              <w:autoSpaceDE/>
              <w:autoSpaceDN/>
              <w:adjustRightInd/>
              <w:spacing w:line="235" w:lineRule="auto"/>
              <w:jc w:val="both"/>
              <w:rPr>
                <w:color w:val="000000"/>
                <w:sz w:val="20"/>
                <w:szCs w:val="20"/>
              </w:rPr>
            </w:pPr>
            <w:r w:rsidRPr="007D22C9">
              <w:rPr>
                <w:color w:val="000000"/>
                <w:sz w:val="20"/>
                <w:szCs w:val="20"/>
              </w:rPr>
              <w:t>Заинский муниципальный район</w:t>
            </w:r>
          </w:p>
        </w:tc>
        <w:tc>
          <w:tcPr>
            <w:tcW w:w="851" w:type="dxa"/>
            <w:tcBorders>
              <w:top w:val="nil"/>
              <w:left w:val="nil"/>
              <w:bottom w:val="single" w:sz="4" w:space="0" w:color="auto"/>
              <w:right w:val="single" w:sz="4" w:space="0" w:color="auto"/>
            </w:tcBorders>
            <w:shd w:val="clear" w:color="auto" w:fill="auto"/>
            <w:hideMark/>
          </w:tcPr>
          <w:p w:rsidR="000B335A" w:rsidRPr="007D22C9" w:rsidRDefault="000B335A" w:rsidP="00D302C3">
            <w:pPr>
              <w:autoSpaceDE/>
              <w:autoSpaceDN/>
              <w:adjustRightInd/>
              <w:spacing w:line="235" w:lineRule="auto"/>
              <w:jc w:val="center"/>
              <w:rPr>
                <w:color w:val="000000"/>
                <w:sz w:val="20"/>
                <w:szCs w:val="20"/>
              </w:rPr>
            </w:pPr>
            <w:r w:rsidRPr="007D22C9">
              <w:rPr>
                <w:color w:val="000000"/>
                <w:sz w:val="20"/>
                <w:szCs w:val="20"/>
              </w:rPr>
              <w:t>43 299</w:t>
            </w:r>
          </w:p>
        </w:tc>
        <w:tc>
          <w:tcPr>
            <w:tcW w:w="850" w:type="dxa"/>
            <w:tcBorders>
              <w:top w:val="nil"/>
              <w:left w:val="nil"/>
              <w:bottom w:val="single" w:sz="4" w:space="0" w:color="auto"/>
              <w:right w:val="single" w:sz="4" w:space="0" w:color="auto"/>
            </w:tcBorders>
            <w:shd w:val="clear" w:color="auto" w:fill="auto"/>
            <w:hideMark/>
          </w:tcPr>
          <w:p w:rsidR="000B335A" w:rsidRPr="007D22C9" w:rsidRDefault="000B335A" w:rsidP="00D302C3">
            <w:pPr>
              <w:autoSpaceDE/>
              <w:autoSpaceDN/>
              <w:adjustRightInd/>
              <w:spacing w:line="235" w:lineRule="auto"/>
              <w:jc w:val="center"/>
              <w:rPr>
                <w:color w:val="000000"/>
                <w:sz w:val="20"/>
                <w:szCs w:val="20"/>
              </w:rPr>
            </w:pPr>
            <w:r w:rsidRPr="007D22C9">
              <w:rPr>
                <w:color w:val="000000"/>
                <w:sz w:val="20"/>
                <w:szCs w:val="20"/>
              </w:rPr>
              <w:t>1,44</w:t>
            </w:r>
          </w:p>
        </w:tc>
        <w:tc>
          <w:tcPr>
            <w:tcW w:w="1077" w:type="dxa"/>
            <w:tcBorders>
              <w:top w:val="nil"/>
              <w:left w:val="nil"/>
              <w:bottom w:val="single" w:sz="4" w:space="0" w:color="auto"/>
              <w:right w:val="single" w:sz="4" w:space="0" w:color="auto"/>
            </w:tcBorders>
            <w:shd w:val="clear" w:color="auto" w:fill="auto"/>
            <w:hideMark/>
          </w:tcPr>
          <w:p w:rsidR="000B335A" w:rsidRPr="007D22C9" w:rsidRDefault="000B335A" w:rsidP="00D302C3">
            <w:pPr>
              <w:autoSpaceDE/>
              <w:autoSpaceDN/>
              <w:adjustRightInd/>
              <w:spacing w:line="235" w:lineRule="auto"/>
              <w:jc w:val="center"/>
              <w:rPr>
                <w:color w:val="000000"/>
                <w:sz w:val="20"/>
                <w:szCs w:val="20"/>
              </w:rPr>
            </w:pPr>
            <w:r w:rsidRPr="007D22C9">
              <w:rPr>
                <w:color w:val="000000"/>
                <w:sz w:val="20"/>
                <w:szCs w:val="20"/>
              </w:rPr>
              <w:t>1</w:t>
            </w:r>
            <w:r w:rsidR="00C77724" w:rsidRPr="007D22C9">
              <w:rPr>
                <w:color w:val="000000"/>
                <w:sz w:val="20"/>
                <w:szCs w:val="20"/>
              </w:rPr>
              <w:t>,00</w:t>
            </w:r>
          </w:p>
        </w:tc>
        <w:tc>
          <w:tcPr>
            <w:tcW w:w="992" w:type="dxa"/>
            <w:tcBorders>
              <w:top w:val="nil"/>
              <w:left w:val="nil"/>
              <w:bottom w:val="single" w:sz="4" w:space="0" w:color="auto"/>
              <w:right w:val="single" w:sz="4" w:space="0" w:color="auto"/>
            </w:tcBorders>
            <w:shd w:val="clear" w:color="auto" w:fill="auto"/>
            <w:hideMark/>
          </w:tcPr>
          <w:p w:rsidR="000B335A" w:rsidRPr="007D22C9" w:rsidRDefault="00C77724" w:rsidP="00D302C3">
            <w:pPr>
              <w:autoSpaceDE/>
              <w:autoSpaceDN/>
              <w:adjustRightInd/>
              <w:spacing w:line="235" w:lineRule="auto"/>
              <w:jc w:val="center"/>
              <w:rPr>
                <w:color w:val="000000"/>
                <w:sz w:val="20"/>
                <w:szCs w:val="20"/>
              </w:rPr>
            </w:pPr>
            <w:r w:rsidRPr="007D22C9">
              <w:rPr>
                <w:color w:val="000000"/>
                <w:sz w:val="20"/>
                <w:szCs w:val="20"/>
              </w:rPr>
              <w:t>0,50</w:t>
            </w:r>
          </w:p>
        </w:tc>
        <w:tc>
          <w:tcPr>
            <w:tcW w:w="708" w:type="dxa"/>
            <w:tcBorders>
              <w:top w:val="nil"/>
              <w:left w:val="nil"/>
              <w:bottom w:val="single" w:sz="4" w:space="0" w:color="auto"/>
              <w:right w:val="single" w:sz="4" w:space="0" w:color="auto"/>
            </w:tcBorders>
            <w:shd w:val="clear" w:color="auto" w:fill="auto"/>
            <w:hideMark/>
          </w:tcPr>
          <w:p w:rsidR="000B335A" w:rsidRPr="007D22C9" w:rsidRDefault="00C77724" w:rsidP="00C77724">
            <w:pPr>
              <w:autoSpaceDE/>
              <w:autoSpaceDN/>
              <w:adjustRightInd/>
              <w:spacing w:line="235" w:lineRule="auto"/>
              <w:jc w:val="center"/>
              <w:rPr>
                <w:color w:val="000000"/>
                <w:sz w:val="20"/>
                <w:szCs w:val="20"/>
              </w:rPr>
            </w:pPr>
            <w:r w:rsidRPr="007D22C9">
              <w:rPr>
                <w:color w:val="000000"/>
                <w:sz w:val="20"/>
                <w:szCs w:val="20"/>
              </w:rPr>
              <w:t>1</w:t>
            </w:r>
          </w:p>
        </w:tc>
        <w:tc>
          <w:tcPr>
            <w:tcW w:w="993" w:type="dxa"/>
            <w:tcBorders>
              <w:top w:val="nil"/>
              <w:left w:val="nil"/>
              <w:bottom w:val="single" w:sz="4" w:space="0" w:color="auto"/>
              <w:right w:val="single" w:sz="4" w:space="0" w:color="auto"/>
            </w:tcBorders>
            <w:shd w:val="clear" w:color="auto" w:fill="auto"/>
            <w:hideMark/>
          </w:tcPr>
          <w:p w:rsidR="000B335A" w:rsidRPr="007D22C9" w:rsidRDefault="00C77724" w:rsidP="00C77724">
            <w:pPr>
              <w:autoSpaceDE/>
              <w:autoSpaceDN/>
              <w:adjustRightInd/>
              <w:spacing w:line="235" w:lineRule="auto"/>
              <w:jc w:val="center"/>
              <w:rPr>
                <w:color w:val="000000"/>
                <w:sz w:val="20"/>
                <w:szCs w:val="20"/>
              </w:rPr>
            </w:pPr>
            <w:r w:rsidRPr="007D22C9">
              <w:rPr>
                <w:color w:val="000000"/>
                <w:sz w:val="20"/>
                <w:szCs w:val="20"/>
              </w:rPr>
              <w:t>1</w:t>
            </w:r>
            <w:r w:rsidR="00DE16F2" w:rsidRPr="007D22C9">
              <w:rPr>
                <w:color w:val="000000"/>
                <w:sz w:val="20"/>
                <w:szCs w:val="20"/>
              </w:rPr>
              <w:t>0</w:t>
            </w:r>
          </w:p>
        </w:tc>
      </w:tr>
      <w:tr w:rsidR="000B335A" w:rsidRPr="007D22C9" w:rsidTr="00BD3B9A">
        <w:trPr>
          <w:trHeight w:val="20"/>
        </w:trPr>
        <w:tc>
          <w:tcPr>
            <w:tcW w:w="533" w:type="dxa"/>
            <w:tcBorders>
              <w:top w:val="nil"/>
              <w:left w:val="single" w:sz="4" w:space="0" w:color="auto"/>
              <w:bottom w:val="single" w:sz="4" w:space="0" w:color="auto"/>
              <w:right w:val="single" w:sz="4" w:space="0" w:color="auto"/>
            </w:tcBorders>
            <w:shd w:val="clear" w:color="auto" w:fill="auto"/>
            <w:hideMark/>
          </w:tcPr>
          <w:p w:rsidR="000B335A" w:rsidRPr="007D22C9" w:rsidRDefault="000B335A" w:rsidP="00D302C3">
            <w:pPr>
              <w:autoSpaceDE/>
              <w:autoSpaceDN/>
              <w:adjustRightInd/>
              <w:spacing w:line="235" w:lineRule="auto"/>
              <w:jc w:val="center"/>
              <w:rPr>
                <w:color w:val="000000"/>
                <w:sz w:val="20"/>
                <w:szCs w:val="20"/>
              </w:rPr>
            </w:pPr>
            <w:r w:rsidRPr="007D22C9">
              <w:rPr>
                <w:color w:val="000000"/>
                <w:sz w:val="20"/>
                <w:szCs w:val="20"/>
              </w:rPr>
              <w:t>19</w:t>
            </w:r>
            <w:r w:rsidR="003B1A7B" w:rsidRPr="007D22C9">
              <w:rPr>
                <w:color w:val="000000"/>
                <w:sz w:val="20"/>
                <w:szCs w:val="20"/>
              </w:rPr>
              <w:t>.</w:t>
            </w:r>
          </w:p>
        </w:tc>
        <w:tc>
          <w:tcPr>
            <w:tcW w:w="1730" w:type="dxa"/>
            <w:tcBorders>
              <w:top w:val="nil"/>
              <w:left w:val="nil"/>
              <w:bottom w:val="single" w:sz="4" w:space="0" w:color="auto"/>
              <w:right w:val="nil"/>
            </w:tcBorders>
            <w:shd w:val="clear" w:color="auto" w:fill="auto"/>
            <w:hideMark/>
          </w:tcPr>
          <w:p w:rsidR="000B335A" w:rsidRPr="007D22C9" w:rsidRDefault="000B335A" w:rsidP="00D302C3">
            <w:pPr>
              <w:autoSpaceDE/>
              <w:autoSpaceDN/>
              <w:adjustRightInd/>
              <w:spacing w:line="235" w:lineRule="auto"/>
              <w:jc w:val="both"/>
              <w:rPr>
                <w:color w:val="000000"/>
                <w:sz w:val="20"/>
                <w:szCs w:val="20"/>
              </w:rPr>
            </w:pPr>
            <w:r w:rsidRPr="007D22C9">
              <w:rPr>
                <w:color w:val="000000"/>
                <w:sz w:val="20"/>
                <w:szCs w:val="20"/>
              </w:rPr>
              <w:t xml:space="preserve">ГАУЗ </w:t>
            </w:r>
            <w:r w:rsidR="002F7358" w:rsidRPr="007D22C9">
              <w:rPr>
                <w:color w:val="000000"/>
                <w:sz w:val="20"/>
                <w:szCs w:val="20"/>
              </w:rPr>
              <w:t>«</w:t>
            </w:r>
            <w:r w:rsidRPr="007D22C9">
              <w:rPr>
                <w:color w:val="000000"/>
                <w:sz w:val="20"/>
                <w:szCs w:val="20"/>
              </w:rPr>
              <w:t>Кайбицкая ЦРБ</w:t>
            </w:r>
            <w:r w:rsidR="002F7358" w:rsidRPr="007D22C9">
              <w:rPr>
                <w:color w:val="000000"/>
                <w:sz w:val="20"/>
                <w:szCs w:val="20"/>
              </w:rPr>
              <w:t>»</w:t>
            </w:r>
          </w:p>
        </w:tc>
        <w:tc>
          <w:tcPr>
            <w:tcW w:w="1418" w:type="dxa"/>
            <w:tcBorders>
              <w:top w:val="nil"/>
              <w:left w:val="single" w:sz="4" w:space="0" w:color="auto"/>
              <w:bottom w:val="single" w:sz="4" w:space="0" w:color="auto"/>
              <w:right w:val="single" w:sz="4" w:space="0" w:color="auto"/>
            </w:tcBorders>
            <w:shd w:val="clear" w:color="auto" w:fill="auto"/>
            <w:hideMark/>
          </w:tcPr>
          <w:p w:rsidR="000B335A" w:rsidRPr="007D22C9" w:rsidRDefault="00C572EE" w:rsidP="00D302C3">
            <w:pPr>
              <w:autoSpaceDE/>
              <w:autoSpaceDN/>
              <w:adjustRightInd/>
              <w:spacing w:line="235" w:lineRule="auto"/>
              <w:jc w:val="both"/>
              <w:rPr>
                <w:color w:val="000000"/>
                <w:sz w:val="20"/>
                <w:szCs w:val="20"/>
              </w:rPr>
            </w:pPr>
            <w:r w:rsidRPr="007D22C9">
              <w:rPr>
                <w:color w:val="000000"/>
                <w:sz w:val="20"/>
                <w:szCs w:val="20"/>
              </w:rPr>
              <w:t>с.</w:t>
            </w:r>
            <w:r w:rsidR="000B335A" w:rsidRPr="007D22C9">
              <w:rPr>
                <w:color w:val="000000"/>
                <w:sz w:val="20"/>
                <w:szCs w:val="20"/>
              </w:rPr>
              <w:t xml:space="preserve">Большие Кайбицы, </w:t>
            </w:r>
            <w:r w:rsidR="000737A9" w:rsidRPr="007D22C9">
              <w:rPr>
                <w:color w:val="000000"/>
                <w:sz w:val="20"/>
                <w:szCs w:val="20"/>
              </w:rPr>
              <w:t>ул.</w:t>
            </w:r>
            <w:r w:rsidR="000B335A" w:rsidRPr="007D22C9">
              <w:rPr>
                <w:color w:val="000000"/>
                <w:sz w:val="20"/>
                <w:szCs w:val="20"/>
              </w:rPr>
              <w:t xml:space="preserve">Гисматуллина, </w:t>
            </w:r>
            <w:r w:rsidR="00C940D5" w:rsidRPr="007D22C9">
              <w:rPr>
                <w:color w:val="000000"/>
                <w:sz w:val="20"/>
                <w:szCs w:val="20"/>
              </w:rPr>
              <w:t>д.</w:t>
            </w:r>
            <w:r w:rsidR="00464351" w:rsidRPr="007D22C9">
              <w:rPr>
                <w:color w:val="000000"/>
                <w:sz w:val="20"/>
                <w:szCs w:val="20"/>
              </w:rPr>
              <w:t>1</w:t>
            </w:r>
          </w:p>
        </w:tc>
        <w:tc>
          <w:tcPr>
            <w:tcW w:w="1418" w:type="dxa"/>
            <w:tcBorders>
              <w:top w:val="nil"/>
              <w:left w:val="nil"/>
              <w:bottom w:val="single" w:sz="4" w:space="0" w:color="auto"/>
              <w:right w:val="single" w:sz="4" w:space="0" w:color="auto"/>
            </w:tcBorders>
            <w:shd w:val="clear" w:color="auto" w:fill="auto"/>
            <w:hideMark/>
          </w:tcPr>
          <w:p w:rsidR="000B335A" w:rsidRPr="007D22C9" w:rsidRDefault="000B335A" w:rsidP="00D302C3">
            <w:pPr>
              <w:autoSpaceDE/>
              <w:autoSpaceDN/>
              <w:adjustRightInd/>
              <w:spacing w:line="235" w:lineRule="auto"/>
              <w:jc w:val="both"/>
              <w:rPr>
                <w:color w:val="000000"/>
                <w:sz w:val="20"/>
                <w:szCs w:val="20"/>
              </w:rPr>
            </w:pPr>
            <w:r w:rsidRPr="007D22C9">
              <w:rPr>
                <w:color w:val="000000"/>
                <w:sz w:val="20"/>
                <w:szCs w:val="20"/>
              </w:rPr>
              <w:t>Кайбицкий муниципальный район</w:t>
            </w:r>
          </w:p>
        </w:tc>
        <w:tc>
          <w:tcPr>
            <w:tcW w:w="851" w:type="dxa"/>
            <w:tcBorders>
              <w:top w:val="nil"/>
              <w:left w:val="nil"/>
              <w:bottom w:val="single" w:sz="4" w:space="0" w:color="auto"/>
              <w:right w:val="single" w:sz="4" w:space="0" w:color="auto"/>
            </w:tcBorders>
            <w:shd w:val="clear" w:color="auto" w:fill="auto"/>
            <w:hideMark/>
          </w:tcPr>
          <w:p w:rsidR="000B335A" w:rsidRPr="007D22C9" w:rsidRDefault="000B335A" w:rsidP="00D302C3">
            <w:pPr>
              <w:autoSpaceDE/>
              <w:autoSpaceDN/>
              <w:adjustRightInd/>
              <w:spacing w:line="235" w:lineRule="auto"/>
              <w:jc w:val="center"/>
              <w:rPr>
                <w:color w:val="000000"/>
                <w:sz w:val="20"/>
                <w:szCs w:val="20"/>
              </w:rPr>
            </w:pPr>
            <w:r w:rsidRPr="007D22C9">
              <w:rPr>
                <w:color w:val="000000"/>
                <w:sz w:val="20"/>
                <w:szCs w:val="20"/>
              </w:rPr>
              <w:t>10 391</w:t>
            </w:r>
          </w:p>
        </w:tc>
        <w:tc>
          <w:tcPr>
            <w:tcW w:w="850" w:type="dxa"/>
            <w:tcBorders>
              <w:top w:val="nil"/>
              <w:left w:val="nil"/>
              <w:bottom w:val="single" w:sz="4" w:space="0" w:color="auto"/>
              <w:right w:val="single" w:sz="4" w:space="0" w:color="auto"/>
            </w:tcBorders>
            <w:shd w:val="clear" w:color="auto" w:fill="auto"/>
            <w:hideMark/>
          </w:tcPr>
          <w:p w:rsidR="000B335A" w:rsidRPr="007D22C9" w:rsidRDefault="000B335A" w:rsidP="00D302C3">
            <w:pPr>
              <w:autoSpaceDE/>
              <w:autoSpaceDN/>
              <w:adjustRightInd/>
              <w:spacing w:line="235" w:lineRule="auto"/>
              <w:jc w:val="center"/>
              <w:rPr>
                <w:color w:val="000000"/>
                <w:sz w:val="20"/>
                <w:szCs w:val="20"/>
              </w:rPr>
            </w:pPr>
            <w:r w:rsidRPr="007D22C9">
              <w:rPr>
                <w:color w:val="000000"/>
                <w:sz w:val="20"/>
                <w:szCs w:val="20"/>
              </w:rPr>
              <w:t>0,35</w:t>
            </w:r>
          </w:p>
        </w:tc>
        <w:tc>
          <w:tcPr>
            <w:tcW w:w="1077" w:type="dxa"/>
            <w:tcBorders>
              <w:top w:val="nil"/>
              <w:left w:val="nil"/>
              <w:bottom w:val="single" w:sz="4" w:space="0" w:color="auto"/>
              <w:right w:val="single" w:sz="4" w:space="0" w:color="auto"/>
            </w:tcBorders>
            <w:shd w:val="clear" w:color="auto" w:fill="auto"/>
            <w:hideMark/>
          </w:tcPr>
          <w:p w:rsidR="000B335A" w:rsidRPr="007D22C9" w:rsidRDefault="00C77724" w:rsidP="00C77724">
            <w:pPr>
              <w:autoSpaceDE/>
              <w:autoSpaceDN/>
              <w:adjustRightInd/>
              <w:spacing w:line="235" w:lineRule="auto"/>
              <w:jc w:val="center"/>
              <w:rPr>
                <w:color w:val="000000"/>
                <w:sz w:val="20"/>
                <w:szCs w:val="20"/>
              </w:rPr>
            </w:pPr>
            <w:r w:rsidRPr="007D22C9">
              <w:rPr>
                <w:color w:val="000000"/>
                <w:sz w:val="20"/>
                <w:szCs w:val="20"/>
              </w:rPr>
              <w:t>1,00</w:t>
            </w:r>
          </w:p>
        </w:tc>
        <w:tc>
          <w:tcPr>
            <w:tcW w:w="992" w:type="dxa"/>
            <w:tcBorders>
              <w:top w:val="nil"/>
              <w:left w:val="nil"/>
              <w:bottom w:val="single" w:sz="4" w:space="0" w:color="auto"/>
              <w:right w:val="single" w:sz="4" w:space="0" w:color="auto"/>
            </w:tcBorders>
            <w:shd w:val="clear" w:color="auto" w:fill="auto"/>
            <w:hideMark/>
          </w:tcPr>
          <w:p w:rsidR="000B335A" w:rsidRPr="007D22C9" w:rsidRDefault="000B335A" w:rsidP="00C77724">
            <w:pPr>
              <w:autoSpaceDE/>
              <w:autoSpaceDN/>
              <w:adjustRightInd/>
              <w:spacing w:line="235" w:lineRule="auto"/>
              <w:jc w:val="center"/>
              <w:rPr>
                <w:color w:val="000000"/>
                <w:sz w:val="20"/>
                <w:szCs w:val="20"/>
              </w:rPr>
            </w:pPr>
            <w:r w:rsidRPr="007D22C9">
              <w:rPr>
                <w:color w:val="000000"/>
                <w:sz w:val="20"/>
                <w:szCs w:val="20"/>
              </w:rPr>
              <w:t>1,</w:t>
            </w:r>
            <w:r w:rsidR="00C77724" w:rsidRPr="007D22C9">
              <w:rPr>
                <w:color w:val="000000"/>
                <w:sz w:val="20"/>
                <w:szCs w:val="20"/>
              </w:rPr>
              <w:t>00</w:t>
            </w:r>
          </w:p>
        </w:tc>
        <w:tc>
          <w:tcPr>
            <w:tcW w:w="708" w:type="dxa"/>
            <w:tcBorders>
              <w:top w:val="nil"/>
              <w:left w:val="nil"/>
              <w:bottom w:val="single" w:sz="4" w:space="0" w:color="auto"/>
              <w:right w:val="single" w:sz="4" w:space="0" w:color="auto"/>
            </w:tcBorders>
            <w:shd w:val="clear" w:color="auto" w:fill="auto"/>
            <w:hideMark/>
          </w:tcPr>
          <w:p w:rsidR="000B335A" w:rsidRPr="007D22C9" w:rsidRDefault="000B335A" w:rsidP="00D302C3">
            <w:pPr>
              <w:autoSpaceDE/>
              <w:autoSpaceDN/>
              <w:adjustRightInd/>
              <w:spacing w:line="235" w:lineRule="auto"/>
              <w:jc w:val="center"/>
              <w:rPr>
                <w:color w:val="000000"/>
                <w:sz w:val="20"/>
                <w:szCs w:val="20"/>
              </w:rPr>
            </w:pPr>
            <w:r w:rsidRPr="007D22C9">
              <w:rPr>
                <w:color w:val="000000"/>
                <w:sz w:val="20"/>
                <w:szCs w:val="20"/>
              </w:rPr>
              <w:t>1</w:t>
            </w:r>
          </w:p>
        </w:tc>
        <w:tc>
          <w:tcPr>
            <w:tcW w:w="993" w:type="dxa"/>
            <w:tcBorders>
              <w:top w:val="nil"/>
              <w:left w:val="nil"/>
              <w:bottom w:val="single" w:sz="4" w:space="0" w:color="auto"/>
              <w:right w:val="single" w:sz="4" w:space="0" w:color="auto"/>
            </w:tcBorders>
            <w:shd w:val="clear" w:color="auto" w:fill="auto"/>
            <w:hideMark/>
          </w:tcPr>
          <w:p w:rsidR="000B335A" w:rsidRPr="007D22C9" w:rsidRDefault="000B335A" w:rsidP="00D302C3">
            <w:pPr>
              <w:autoSpaceDE/>
              <w:autoSpaceDN/>
              <w:adjustRightInd/>
              <w:spacing w:line="235" w:lineRule="auto"/>
              <w:jc w:val="center"/>
              <w:rPr>
                <w:color w:val="000000"/>
                <w:sz w:val="20"/>
                <w:szCs w:val="20"/>
              </w:rPr>
            </w:pPr>
            <w:r w:rsidRPr="007D22C9">
              <w:rPr>
                <w:color w:val="000000"/>
                <w:sz w:val="20"/>
                <w:szCs w:val="20"/>
              </w:rPr>
              <w:t> </w:t>
            </w:r>
            <w:r w:rsidR="00DE16F2" w:rsidRPr="007D22C9">
              <w:rPr>
                <w:color w:val="000000"/>
                <w:sz w:val="20"/>
                <w:szCs w:val="20"/>
              </w:rPr>
              <w:t>0</w:t>
            </w:r>
          </w:p>
        </w:tc>
      </w:tr>
      <w:tr w:rsidR="000B335A" w:rsidRPr="007D22C9" w:rsidTr="00BD3B9A">
        <w:trPr>
          <w:trHeight w:val="20"/>
        </w:trPr>
        <w:tc>
          <w:tcPr>
            <w:tcW w:w="533" w:type="dxa"/>
            <w:tcBorders>
              <w:top w:val="nil"/>
              <w:left w:val="single" w:sz="4" w:space="0" w:color="auto"/>
              <w:bottom w:val="single" w:sz="4" w:space="0" w:color="auto"/>
              <w:right w:val="single" w:sz="4" w:space="0" w:color="auto"/>
            </w:tcBorders>
            <w:shd w:val="clear" w:color="auto" w:fill="auto"/>
            <w:hideMark/>
          </w:tcPr>
          <w:p w:rsidR="000B335A" w:rsidRPr="007D22C9" w:rsidRDefault="000B335A" w:rsidP="00D302C3">
            <w:pPr>
              <w:autoSpaceDE/>
              <w:autoSpaceDN/>
              <w:adjustRightInd/>
              <w:spacing w:line="235" w:lineRule="auto"/>
              <w:jc w:val="center"/>
              <w:rPr>
                <w:color w:val="000000"/>
                <w:sz w:val="20"/>
                <w:szCs w:val="20"/>
              </w:rPr>
            </w:pPr>
            <w:r w:rsidRPr="007D22C9">
              <w:rPr>
                <w:color w:val="000000"/>
                <w:sz w:val="20"/>
                <w:szCs w:val="20"/>
              </w:rPr>
              <w:t>20</w:t>
            </w:r>
            <w:r w:rsidR="003B1A7B" w:rsidRPr="007D22C9">
              <w:rPr>
                <w:color w:val="000000"/>
                <w:sz w:val="20"/>
                <w:szCs w:val="20"/>
              </w:rPr>
              <w:t>.</w:t>
            </w:r>
          </w:p>
        </w:tc>
        <w:tc>
          <w:tcPr>
            <w:tcW w:w="1730" w:type="dxa"/>
            <w:tcBorders>
              <w:top w:val="nil"/>
              <w:left w:val="nil"/>
              <w:bottom w:val="single" w:sz="4" w:space="0" w:color="auto"/>
              <w:right w:val="nil"/>
            </w:tcBorders>
            <w:shd w:val="clear" w:color="auto" w:fill="auto"/>
            <w:hideMark/>
          </w:tcPr>
          <w:p w:rsidR="000B335A" w:rsidRPr="007D22C9" w:rsidRDefault="000B335A" w:rsidP="00D302C3">
            <w:pPr>
              <w:autoSpaceDE/>
              <w:autoSpaceDN/>
              <w:adjustRightInd/>
              <w:spacing w:line="235" w:lineRule="auto"/>
              <w:jc w:val="both"/>
              <w:rPr>
                <w:color w:val="000000"/>
                <w:sz w:val="20"/>
                <w:szCs w:val="20"/>
              </w:rPr>
            </w:pPr>
            <w:r w:rsidRPr="007D22C9">
              <w:rPr>
                <w:color w:val="000000"/>
                <w:sz w:val="20"/>
                <w:szCs w:val="20"/>
              </w:rPr>
              <w:t xml:space="preserve">ГАУЗ </w:t>
            </w:r>
            <w:r w:rsidR="002F7358" w:rsidRPr="007D22C9">
              <w:rPr>
                <w:color w:val="000000"/>
                <w:sz w:val="20"/>
                <w:szCs w:val="20"/>
              </w:rPr>
              <w:t>«</w:t>
            </w:r>
            <w:r w:rsidRPr="007D22C9">
              <w:rPr>
                <w:color w:val="000000"/>
                <w:sz w:val="20"/>
                <w:szCs w:val="20"/>
              </w:rPr>
              <w:t>Камско-Устьинская ЦРБ</w:t>
            </w:r>
            <w:r w:rsidR="002F7358" w:rsidRPr="007D22C9">
              <w:rPr>
                <w:color w:val="000000"/>
                <w:sz w:val="20"/>
                <w:szCs w:val="20"/>
              </w:rPr>
              <w:t>»</w:t>
            </w:r>
          </w:p>
        </w:tc>
        <w:tc>
          <w:tcPr>
            <w:tcW w:w="1418" w:type="dxa"/>
            <w:tcBorders>
              <w:top w:val="nil"/>
              <w:left w:val="single" w:sz="4" w:space="0" w:color="auto"/>
              <w:bottom w:val="single" w:sz="4" w:space="0" w:color="auto"/>
              <w:right w:val="single" w:sz="4" w:space="0" w:color="auto"/>
            </w:tcBorders>
            <w:shd w:val="clear" w:color="auto" w:fill="auto"/>
            <w:hideMark/>
          </w:tcPr>
          <w:p w:rsidR="000B335A" w:rsidRPr="007D22C9" w:rsidRDefault="00C572EE" w:rsidP="00D302C3">
            <w:pPr>
              <w:autoSpaceDE/>
              <w:autoSpaceDN/>
              <w:adjustRightInd/>
              <w:spacing w:line="235" w:lineRule="auto"/>
              <w:jc w:val="both"/>
              <w:rPr>
                <w:color w:val="000000"/>
                <w:sz w:val="20"/>
                <w:szCs w:val="20"/>
              </w:rPr>
            </w:pPr>
            <w:r w:rsidRPr="007D22C9">
              <w:rPr>
                <w:color w:val="000000"/>
                <w:sz w:val="20"/>
                <w:szCs w:val="20"/>
              </w:rPr>
              <w:t>пгт.</w:t>
            </w:r>
            <w:r w:rsidR="000B335A" w:rsidRPr="007D22C9">
              <w:rPr>
                <w:color w:val="000000"/>
                <w:sz w:val="20"/>
                <w:szCs w:val="20"/>
              </w:rPr>
              <w:t xml:space="preserve">Камское Устье, </w:t>
            </w:r>
            <w:r w:rsidRPr="007D22C9">
              <w:rPr>
                <w:color w:val="000000"/>
                <w:sz w:val="20"/>
                <w:szCs w:val="20"/>
              </w:rPr>
              <w:t>ул.</w:t>
            </w:r>
            <w:r w:rsidR="000B335A" w:rsidRPr="007D22C9">
              <w:rPr>
                <w:color w:val="000000"/>
                <w:sz w:val="20"/>
                <w:szCs w:val="20"/>
              </w:rPr>
              <w:t xml:space="preserve">Гагарина, </w:t>
            </w:r>
            <w:r w:rsidR="00C940D5" w:rsidRPr="007D22C9">
              <w:rPr>
                <w:color w:val="000000"/>
                <w:sz w:val="20"/>
                <w:szCs w:val="20"/>
              </w:rPr>
              <w:t>д.</w:t>
            </w:r>
            <w:r w:rsidR="000B335A" w:rsidRPr="007D22C9">
              <w:rPr>
                <w:color w:val="000000"/>
                <w:sz w:val="20"/>
                <w:szCs w:val="20"/>
              </w:rPr>
              <w:t>80</w:t>
            </w:r>
          </w:p>
        </w:tc>
        <w:tc>
          <w:tcPr>
            <w:tcW w:w="1418" w:type="dxa"/>
            <w:tcBorders>
              <w:top w:val="nil"/>
              <w:left w:val="nil"/>
              <w:bottom w:val="single" w:sz="4" w:space="0" w:color="auto"/>
              <w:right w:val="single" w:sz="4" w:space="0" w:color="auto"/>
            </w:tcBorders>
            <w:shd w:val="clear" w:color="auto" w:fill="auto"/>
            <w:hideMark/>
          </w:tcPr>
          <w:p w:rsidR="000B335A" w:rsidRPr="007D22C9" w:rsidRDefault="000B335A" w:rsidP="00D302C3">
            <w:pPr>
              <w:autoSpaceDE/>
              <w:autoSpaceDN/>
              <w:adjustRightInd/>
              <w:spacing w:line="235" w:lineRule="auto"/>
              <w:jc w:val="both"/>
              <w:rPr>
                <w:color w:val="000000"/>
                <w:sz w:val="20"/>
                <w:szCs w:val="20"/>
              </w:rPr>
            </w:pPr>
            <w:r w:rsidRPr="007D22C9">
              <w:rPr>
                <w:color w:val="000000"/>
                <w:sz w:val="20"/>
                <w:szCs w:val="20"/>
              </w:rPr>
              <w:t>Камс</w:t>
            </w:r>
            <w:r w:rsidR="00215E65" w:rsidRPr="007D22C9">
              <w:rPr>
                <w:color w:val="000000"/>
                <w:sz w:val="20"/>
                <w:szCs w:val="20"/>
              </w:rPr>
              <w:t>ко-Устьинский муниципальный рай</w:t>
            </w:r>
            <w:r w:rsidRPr="007D22C9">
              <w:rPr>
                <w:color w:val="000000"/>
                <w:sz w:val="20"/>
                <w:szCs w:val="20"/>
              </w:rPr>
              <w:t>он</w:t>
            </w:r>
          </w:p>
        </w:tc>
        <w:tc>
          <w:tcPr>
            <w:tcW w:w="851" w:type="dxa"/>
            <w:tcBorders>
              <w:top w:val="nil"/>
              <w:left w:val="nil"/>
              <w:bottom w:val="single" w:sz="4" w:space="0" w:color="auto"/>
              <w:right w:val="single" w:sz="4" w:space="0" w:color="auto"/>
            </w:tcBorders>
            <w:shd w:val="clear" w:color="auto" w:fill="auto"/>
            <w:hideMark/>
          </w:tcPr>
          <w:p w:rsidR="000B335A" w:rsidRPr="007D22C9" w:rsidRDefault="000B335A" w:rsidP="00D302C3">
            <w:pPr>
              <w:autoSpaceDE/>
              <w:autoSpaceDN/>
              <w:adjustRightInd/>
              <w:spacing w:line="235" w:lineRule="auto"/>
              <w:jc w:val="center"/>
              <w:rPr>
                <w:color w:val="000000"/>
                <w:sz w:val="20"/>
                <w:szCs w:val="20"/>
              </w:rPr>
            </w:pPr>
            <w:r w:rsidRPr="007D22C9">
              <w:rPr>
                <w:color w:val="000000"/>
                <w:sz w:val="20"/>
                <w:szCs w:val="20"/>
              </w:rPr>
              <w:t>12 539</w:t>
            </w:r>
          </w:p>
        </w:tc>
        <w:tc>
          <w:tcPr>
            <w:tcW w:w="850" w:type="dxa"/>
            <w:tcBorders>
              <w:top w:val="nil"/>
              <w:left w:val="nil"/>
              <w:bottom w:val="single" w:sz="4" w:space="0" w:color="auto"/>
              <w:right w:val="single" w:sz="4" w:space="0" w:color="auto"/>
            </w:tcBorders>
            <w:shd w:val="clear" w:color="auto" w:fill="auto"/>
            <w:hideMark/>
          </w:tcPr>
          <w:p w:rsidR="000B335A" w:rsidRPr="007D22C9" w:rsidRDefault="000B335A" w:rsidP="00D302C3">
            <w:pPr>
              <w:autoSpaceDE/>
              <w:autoSpaceDN/>
              <w:adjustRightInd/>
              <w:spacing w:line="235" w:lineRule="auto"/>
              <w:jc w:val="center"/>
              <w:rPr>
                <w:color w:val="000000"/>
                <w:sz w:val="20"/>
                <w:szCs w:val="20"/>
              </w:rPr>
            </w:pPr>
            <w:r w:rsidRPr="007D22C9">
              <w:rPr>
                <w:color w:val="000000"/>
                <w:sz w:val="20"/>
                <w:szCs w:val="20"/>
              </w:rPr>
              <w:t>0,42</w:t>
            </w:r>
          </w:p>
        </w:tc>
        <w:tc>
          <w:tcPr>
            <w:tcW w:w="1077" w:type="dxa"/>
            <w:tcBorders>
              <w:top w:val="nil"/>
              <w:left w:val="nil"/>
              <w:bottom w:val="single" w:sz="4" w:space="0" w:color="auto"/>
              <w:right w:val="single" w:sz="4" w:space="0" w:color="auto"/>
            </w:tcBorders>
            <w:shd w:val="clear" w:color="auto" w:fill="auto"/>
            <w:hideMark/>
          </w:tcPr>
          <w:p w:rsidR="000B335A" w:rsidRPr="007D22C9" w:rsidRDefault="00E037D5" w:rsidP="00E037D5">
            <w:pPr>
              <w:autoSpaceDE/>
              <w:autoSpaceDN/>
              <w:adjustRightInd/>
              <w:spacing w:line="235" w:lineRule="auto"/>
              <w:jc w:val="center"/>
              <w:rPr>
                <w:color w:val="000000"/>
                <w:sz w:val="20"/>
                <w:szCs w:val="20"/>
              </w:rPr>
            </w:pPr>
            <w:r w:rsidRPr="007D22C9">
              <w:rPr>
                <w:color w:val="000000"/>
                <w:sz w:val="20"/>
                <w:szCs w:val="20"/>
              </w:rPr>
              <w:t>1,00</w:t>
            </w:r>
          </w:p>
        </w:tc>
        <w:tc>
          <w:tcPr>
            <w:tcW w:w="992" w:type="dxa"/>
            <w:tcBorders>
              <w:top w:val="nil"/>
              <w:left w:val="nil"/>
              <w:bottom w:val="single" w:sz="4" w:space="0" w:color="auto"/>
              <w:right w:val="single" w:sz="4" w:space="0" w:color="auto"/>
            </w:tcBorders>
            <w:shd w:val="clear" w:color="auto" w:fill="auto"/>
            <w:hideMark/>
          </w:tcPr>
          <w:p w:rsidR="000B335A" w:rsidRPr="007D22C9" w:rsidRDefault="00E037D5" w:rsidP="00E037D5">
            <w:pPr>
              <w:autoSpaceDE/>
              <w:autoSpaceDN/>
              <w:adjustRightInd/>
              <w:spacing w:line="235" w:lineRule="auto"/>
              <w:jc w:val="center"/>
              <w:rPr>
                <w:color w:val="000000"/>
                <w:sz w:val="20"/>
                <w:szCs w:val="20"/>
              </w:rPr>
            </w:pPr>
            <w:r w:rsidRPr="007D22C9">
              <w:rPr>
                <w:color w:val="000000"/>
                <w:sz w:val="20"/>
                <w:szCs w:val="20"/>
              </w:rPr>
              <w:t>1,00</w:t>
            </w:r>
          </w:p>
        </w:tc>
        <w:tc>
          <w:tcPr>
            <w:tcW w:w="708" w:type="dxa"/>
            <w:tcBorders>
              <w:top w:val="nil"/>
              <w:left w:val="nil"/>
              <w:bottom w:val="single" w:sz="4" w:space="0" w:color="auto"/>
              <w:right w:val="single" w:sz="4" w:space="0" w:color="auto"/>
            </w:tcBorders>
            <w:shd w:val="clear" w:color="auto" w:fill="auto"/>
            <w:hideMark/>
          </w:tcPr>
          <w:p w:rsidR="000B335A" w:rsidRPr="007D22C9" w:rsidRDefault="000B335A" w:rsidP="00D302C3">
            <w:pPr>
              <w:autoSpaceDE/>
              <w:autoSpaceDN/>
              <w:adjustRightInd/>
              <w:spacing w:line="235" w:lineRule="auto"/>
              <w:jc w:val="center"/>
              <w:rPr>
                <w:color w:val="000000"/>
                <w:sz w:val="20"/>
                <w:szCs w:val="20"/>
              </w:rPr>
            </w:pPr>
            <w:r w:rsidRPr="007D22C9">
              <w:rPr>
                <w:color w:val="000000"/>
                <w:sz w:val="20"/>
                <w:szCs w:val="20"/>
              </w:rPr>
              <w:t>1</w:t>
            </w:r>
          </w:p>
        </w:tc>
        <w:tc>
          <w:tcPr>
            <w:tcW w:w="993" w:type="dxa"/>
            <w:tcBorders>
              <w:top w:val="nil"/>
              <w:left w:val="nil"/>
              <w:bottom w:val="single" w:sz="4" w:space="0" w:color="auto"/>
              <w:right w:val="single" w:sz="4" w:space="0" w:color="auto"/>
            </w:tcBorders>
            <w:shd w:val="clear" w:color="auto" w:fill="auto"/>
            <w:hideMark/>
          </w:tcPr>
          <w:p w:rsidR="000B335A" w:rsidRPr="007D22C9" w:rsidRDefault="00E037D5" w:rsidP="00E037D5">
            <w:pPr>
              <w:autoSpaceDE/>
              <w:autoSpaceDN/>
              <w:adjustRightInd/>
              <w:spacing w:line="235" w:lineRule="auto"/>
              <w:jc w:val="center"/>
              <w:rPr>
                <w:color w:val="000000"/>
                <w:sz w:val="20"/>
                <w:szCs w:val="20"/>
              </w:rPr>
            </w:pPr>
            <w:r w:rsidRPr="007D22C9">
              <w:rPr>
                <w:color w:val="000000"/>
                <w:sz w:val="20"/>
                <w:szCs w:val="20"/>
              </w:rPr>
              <w:t>0</w:t>
            </w:r>
          </w:p>
        </w:tc>
      </w:tr>
      <w:tr w:rsidR="000B335A" w:rsidRPr="007D22C9" w:rsidTr="00BD3B9A">
        <w:trPr>
          <w:trHeight w:val="20"/>
        </w:trPr>
        <w:tc>
          <w:tcPr>
            <w:tcW w:w="533" w:type="dxa"/>
            <w:tcBorders>
              <w:top w:val="nil"/>
              <w:left w:val="single" w:sz="4" w:space="0" w:color="auto"/>
              <w:bottom w:val="single" w:sz="4" w:space="0" w:color="auto"/>
              <w:right w:val="single" w:sz="4" w:space="0" w:color="auto"/>
            </w:tcBorders>
            <w:shd w:val="clear" w:color="auto" w:fill="auto"/>
            <w:hideMark/>
          </w:tcPr>
          <w:p w:rsidR="000B335A" w:rsidRPr="007D22C9" w:rsidRDefault="000B335A" w:rsidP="00D302C3">
            <w:pPr>
              <w:autoSpaceDE/>
              <w:autoSpaceDN/>
              <w:adjustRightInd/>
              <w:spacing w:line="235" w:lineRule="auto"/>
              <w:jc w:val="center"/>
              <w:rPr>
                <w:color w:val="000000"/>
                <w:sz w:val="20"/>
                <w:szCs w:val="20"/>
              </w:rPr>
            </w:pPr>
            <w:r w:rsidRPr="007D22C9">
              <w:rPr>
                <w:color w:val="000000"/>
                <w:sz w:val="20"/>
                <w:szCs w:val="20"/>
              </w:rPr>
              <w:t>21</w:t>
            </w:r>
            <w:r w:rsidR="003B1A7B" w:rsidRPr="007D22C9">
              <w:rPr>
                <w:color w:val="000000"/>
                <w:sz w:val="20"/>
                <w:szCs w:val="20"/>
              </w:rPr>
              <w:t>.</w:t>
            </w:r>
          </w:p>
        </w:tc>
        <w:tc>
          <w:tcPr>
            <w:tcW w:w="1730" w:type="dxa"/>
            <w:tcBorders>
              <w:top w:val="nil"/>
              <w:left w:val="nil"/>
              <w:bottom w:val="single" w:sz="4" w:space="0" w:color="auto"/>
              <w:right w:val="nil"/>
            </w:tcBorders>
            <w:shd w:val="clear" w:color="auto" w:fill="auto"/>
            <w:hideMark/>
          </w:tcPr>
          <w:p w:rsidR="000B335A" w:rsidRPr="007D22C9" w:rsidRDefault="000B335A" w:rsidP="00D302C3">
            <w:pPr>
              <w:autoSpaceDE/>
              <w:autoSpaceDN/>
              <w:adjustRightInd/>
              <w:spacing w:line="235" w:lineRule="auto"/>
              <w:jc w:val="both"/>
              <w:rPr>
                <w:color w:val="000000"/>
                <w:sz w:val="20"/>
                <w:szCs w:val="20"/>
              </w:rPr>
            </w:pPr>
            <w:r w:rsidRPr="007D22C9">
              <w:rPr>
                <w:color w:val="000000"/>
                <w:sz w:val="20"/>
                <w:szCs w:val="20"/>
              </w:rPr>
              <w:t xml:space="preserve">ГАУЗ </w:t>
            </w:r>
            <w:r w:rsidR="002F7358" w:rsidRPr="007D22C9">
              <w:rPr>
                <w:color w:val="000000"/>
                <w:sz w:val="20"/>
                <w:szCs w:val="20"/>
              </w:rPr>
              <w:t>«</w:t>
            </w:r>
            <w:r w:rsidRPr="007D22C9">
              <w:rPr>
                <w:color w:val="000000"/>
                <w:sz w:val="20"/>
                <w:szCs w:val="20"/>
              </w:rPr>
              <w:t>Кукморская ЦРБ</w:t>
            </w:r>
            <w:r w:rsidR="002F7358" w:rsidRPr="007D22C9">
              <w:rPr>
                <w:color w:val="000000"/>
                <w:sz w:val="20"/>
                <w:szCs w:val="20"/>
              </w:rPr>
              <w:t>»</w:t>
            </w:r>
          </w:p>
        </w:tc>
        <w:tc>
          <w:tcPr>
            <w:tcW w:w="1418" w:type="dxa"/>
            <w:tcBorders>
              <w:top w:val="nil"/>
              <w:left w:val="single" w:sz="4" w:space="0" w:color="auto"/>
              <w:bottom w:val="single" w:sz="4" w:space="0" w:color="auto"/>
              <w:right w:val="single" w:sz="4" w:space="0" w:color="auto"/>
            </w:tcBorders>
            <w:shd w:val="clear" w:color="auto" w:fill="auto"/>
            <w:hideMark/>
          </w:tcPr>
          <w:p w:rsidR="000B335A" w:rsidRPr="007D22C9" w:rsidRDefault="00C572EE" w:rsidP="00D302C3">
            <w:pPr>
              <w:autoSpaceDE/>
              <w:autoSpaceDN/>
              <w:adjustRightInd/>
              <w:spacing w:line="235" w:lineRule="auto"/>
              <w:jc w:val="both"/>
              <w:rPr>
                <w:color w:val="000000"/>
                <w:sz w:val="20"/>
                <w:szCs w:val="20"/>
              </w:rPr>
            </w:pPr>
            <w:r w:rsidRPr="007D22C9">
              <w:rPr>
                <w:color w:val="000000"/>
                <w:sz w:val="20"/>
                <w:szCs w:val="20"/>
              </w:rPr>
              <w:t>г.</w:t>
            </w:r>
            <w:r w:rsidR="000B335A" w:rsidRPr="007D22C9">
              <w:rPr>
                <w:color w:val="000000"/>
                <w:sz w:val="20"/>
                <w:szCs w:val="20"/>
              </w:rPr>
              <w:t xml:space="preserve">Кукмор, </w:t>
            </w:r>
            <w:r w:rsidR="000737A9" w:rsidRPr="007D22C9">
              <w:rPr>
                <w:color w:val="000000"/>
                <w:sz w:val="20"/>
                <w:szCs w:val="20"/>
              </w:rPr>
              <w:t>ул.</w:t>
            </w:r>
            <w:r w:rsidR="000B335A" w:rsidRPr="007D22C9">
              <w:rPr>
                <w:color w:val="000000"/>
                <w:sz w:val="20"/>
                <w:szCs w:val="20"/>
              </w:rPr>
              <w:t xml:space="preserve">Ворошилова, </w:t>
            </w:r>
            <w:r w:rsidR="00C940D5" w:rsidRPr="007D22C9">
              <w:rPr>
                <w:color w:val="000000"/>
                <w:sz w:val="20"/>
                <w:szCs w:val="20"/>
              </w:rPr>
              <w:t>д.</w:t>
            </w:r>
            <w:r w:rsidR="000B335A" w:rsidRPr="007D22C9">
              <w:rPr>
                <w:color w:val="000000"/>
                <w:sz w:val="20"/>
                <w:szCs w:val="20"/>
              </w:rPr>
              <w:t>24</w:t>
            </w:r>
          </w:p>
        </w:tc>
        <w:tc>
          <w:tcPr>
            <w:tcW w:w="1418" w:type="dxa"/>
            <w:tcBorders>
              <w:top w:val="nil"/>
              <w:left w:val="nil"/>
              <w:bottom w:val="single" w:sz="4" w:space="0" w:color="auto"/>
              <w:right w:val="single" w:sz="4" w:space="0" w:color="auto"/>
            </w:tcBorders>
            <w:shd w:val="clear" w:color="auto" w:fill="auto"/>
            <w:hideMark/>
          </w:tcPr>
          <w:p w:rsidR="000B335A" w:rsidRPr="007D22C9" w:rsidRDefault="000B335A" w:rsidP="00D302C3">
            <w:pPr>
              <w:autoSpaceDE/>
              <w:autoSpaceDN/>
              <w:adjustRightInd/>
              <w:spacing w:line="235" w:lineRule="auto"/>
              <w:jc w:val="both"/>
              <w:rPr>
                <w:color w:val="000000"/>
                <w:sz w:val="20"/>
                <w:szCs w:val="20"/>
              </w:rPr>
            </w:pPr>
            <w:r w:rsidRPr="007D22C9">
              <w:rPr>
                <w:color w:val="000000"/>
                <w:sz w:val="20"/>
                <w:szCs w:val="20"/>
              </w:rPr>
              <w:t>Кукморский муниципальный район</w:t>
            </w:r>
          </w:p>
        </w:tc>
        <w:tc>
          <w:tcPr>
            <w:tcW w:w="851" w:type="dxa"/>
            <w:tcBorders>
              <w:top w:val="nil"/>
              <w:left w:val="nil"/>
              <w:bottom w:val="single" w:sz="4" w:space="0" w:color="auto"/>
              <w:right w:val="single" w:sz="4" w:space="0" w:color="auto"/>
            </w:tcBorders>
            <w:shd w:val="clear" w:color="auto" w:fill="auto"/>
            <w:hideMark/>
          </w:tcPr>
          <w:p w:rsidR="000B335A" w:rsidRPr="007D22C9" w:rsidRDefault="000B335A" w:rsidP="00D302C3">
            <w:pPr>
              <w:autoSpaceDE/>
              <w:autoSpaceDN/>
              <w:adjustRightInd/>
              <w:spacing w:line="235" w:lineRule="auto"/>
              <w:jc w:val="center"/>
              <w:rPr>
                <w:color w:val="000000"/>
                <w:sz w:val="20"/>
                <w:szCs w:val="20"/>
              </w:rPr>
            </w:pPr>
            <w:r w:rsidRPr="007D22C9">
              <w:rPr>
                <w:color w:val="000000"/>
                <w:sz w:val="20"/>
                <w:szCs w:val="20"/>
              </w:rPr>
              <w:t>45 722</w:t>
            </w:r>
          </w:p>
        </w:tc>
        <w:tc>
          <w:tcPr>
            <w:tcW w:w="850" w:type="dxa"/>
            <w:tcBorders>
              <w:top w:val="nil"/>
              <w:left w:val="nil"/>
              <w:bottom w:val="single" w:sz="4" w:space="0" w:color="auto"/>
              <w:right w:val="single" w:sz="4" w:space="0" w:color="auto"/>
            </w:tcBorders>
            <w:shd w:val="clear" w:color="auto" w:fill="auto"/>
            <w:hideMark/>
          </w:tcPr>
          <w:p w:rsidR="000B335A" w:rsidRPr="007D22C9" w:rsidRDefault="000B335A" w:rsidP="00D302C3">
            <w:pPr>
              <w:autoSpaceDE/>
              <w:autoSpaceDN/>
              <w:adjustRightInd/>
              <w:spacing w:line="235" w:lineRule="auto"/>
              <w:jc w:val="center"/>
              <w:rPr>
                <w:color w:val="000000"/>
                <w:sz w:val="20"/>
                <w:szCs w:val="20"/>
              </w:rPr>
            </w:pPr>
            <w:r w:rsidRPr="007D22C9">
              <w:rPr>
                <w:color w:val="000000"/>
                <w:sz w:val="20"/>
                <w:szCs w:val="20"/>
              </w:rPr>
              <w:t>1,52</w:t>
            </w:r>
          </w:p>
        </w:tc>
        <w:tc>
          <w:tcPr>
            <w:tcW w:w="1077" w:type="dxa"/>
            <w:tcBorders>
              <w:top w:val="nil"/>
              <w:left w:val="nil"/>
              <w:bottom w:val="single" w:sz="4" w:space="0" w:color="auto"/>
              <w:right w:val="single" w:sz="4" w:space="0" w:color="auto"/>
            </w:tcBorders>
            <w:shd w:val="clear" w:color="auto" w:fill="auto"/>
            <w:hideMark/>
          </w:tcPr>
          <w:p w:rsidR="000B335A" w:rsidRPr="007D22C9" w:rsidRDefault="000B335A" w:rsidP="00D302C3">
            <w:pPr>
              <w:autoSpaceDE/>
              <w:autoSpaceDN/>
              <w:adjustRightInd/>
              <w:spacing w:line="235" w:lineRule="auto"/>
              <w:jc w:val="center"/>
              <w:rPr>
                <w:color w:val="000000"/>
                <w:sz w:val="20"/>
                <w:szCs w:val="20"/>
              </w:rPr>
            </w:pPr>
            <w:r w:rsidRPr="007D22C9">
              <w:rPr>
                <w:color w:val="000000"/>
                <w:sz w:val="20"/>
                <w:szCs w:val="20"/>
              </w:rPr>
              <w:t>1</w:t>
            </w:r>
            <w:r w:rsidR="0027511F" w:rsidRPr="007D22C9">
              <w:rPr>
                <w:color w:val="000000"/>
                <w:sz w:val="20"/>
                <w:szCs w:val="20"/>
              </w:rPr>
              <w:t>,00</w:t>
            </w:r>
          </w:p>
        </w:tc>
        <w:tc>
          <w:tcPr>
            <w:tcW w:w="992" w:type="dxa"/>
            <w:tcBorders>
              <w:top w:val="nil"/>
              <w:left w:val="nil"/>
              <w:bottom w:val="single" w:sz="4" w:space="0" w:color="auto"/>
              <w:right w:val="single" w:sz="4" w:space="0" w:color="auto"/>
            </w:tcBorders>
            <w:shd w:val="clear" w:color="auto" w:fill="auto"/>
            <w:hideMark/>
          </w:tcPr>
          <w:p w:rsidR="000B335A" w:rsidRPr="007D22C9" w:rsidRDefault="0027511F" w:rsidP="0027511F">
            <w:pPr>
              <w:autoSpaceDE/>
              <w:autoSpaceDN/>
              <w:adjustRightInd/>
              <w:spacing w:line="235" w:lineRule="auto"/>
              <w:jc w:val="center"/>
              <w:rPr>
                <w:color w:val="000000"/>
                <w:sz w:val="20"/>
                <w:szCs w:val="20"/>
              </w:rPr>
            </w:pPr>
            <w:r w:rsidRPr="007D22C9">
              <w:rPr>
                <w:color w:val="000000"/>
                <w:sz w:val="20"/>
                <w:szCs w:val="20"/>
              </w:rPr>
              <w:t>0,50</w:t>
            </w:r>
          </w:p>
        </w:tc>
        <w:tc>
          <w:tcPr>
            <w:tcW w:w="708" w:type="dxa"/>
            <w:tcBorders>
              <w:top w:val="nil"/>
              <w:left w:val="nil"/>
              <w:bottom w:val="single" w:sz="4" w:space="0" w:color="auto"/>
              <w:right w:val="single" w:sz="4" w:space="0" w:color="auto"/>
            </w:tcBorders>
            <w:shd w:val="clear" w:color="auto" w:fill="auto"/>
            <w:hideMark/>
          </w:tcPr>
          <w:p w:rsidR="000B335A" w:rsidRPr="007D22C9" w:rsidRDefault="000B335A" w:rsidP="00D302C3">
            <w:pPr>
              <w:autoSpaceDE/>
              <w:autoSpaceDN/>
              <w:adjustRightInd/>
              <w:spacing w:line="235" w:lineRule="auto"/>
              <w:jc w:val="center"/>
              <w:rPr>
                <w:color w:val="000000"/>
                <w:sz w:val="20"/>
                <w:szCs w:val="20"/>
              </w:rPr>
            </w:pPr>
            <w:r w:rsidRPr="007D22C9">
              <w:rPr>
                <w:color w:val="000000"/>
                <w:sz w:val="20"/>
                <w:szCs w:val="20"/>
              </w:rPr>
              <w:t>1</w:t>
            </w:r>
          </w:p>
        </w:tc>
        <w:tc>
          <w:tcPr>
            <w:tcW w:w="993" w:type="dxa"/>
            <w:tcBorders>
              <w:top w:val="nil"/>
              <w:left w:val="nil"/>
              <w:bottom w:val="single" w:sz="4" w:space="0" w:color="auto"/>
              <w:right w:val="single" w:sz="4" w:space="0" w:color="auto"/>
            </w:tcBorders>
            <w:shd w:val="clear" w:color="auto" w:fill="auto"/>
            <w:hideMark/>
          </w:tcPr>
          <w:p w:rsidR="000B335A" w:rsidRPr="007D22C9" w:rsidRDefault="0027511F" w:rsidP="0027511F">
            <w:pPr>
              <w:autoSpaceDE/>
              <w:autoSpaceDN/>
              <w:adjustRightInd/>
              <w:spacing w:line="235" w:lineRule="auto"/>
              <w:jc w:val="center"/>
              <w:rPr>
                <w:color w:val="000000"/>
                <w:sz w:val="20"/>
                <w:szCs w:val="20"/>
              </w:rPr>
            </w:pPr>
            <w:r w:rsidRPr="007D22C9">
              <w:rPr>
                <w:color w:val="000000"/>
                <w:sz w:val="20"/>
                <w:szCs w:val="20"/>
              </w:rPr>
              <w:t>1</w:t>
            </w:r>
            <w:r w:rsidR="000B335A" w:rsidRPr="007D22C9">
              <w:rPr>
                <w:color w:val="000000"/>
                <w:sz w:val="20"/>
                <w:szCs w:val="20"/>
              </w:rPr>
              <w:t> </w:t>
            </w:r>
          </w:p>
        </w:tc>
      </w:tr>
      <w:tr w:rsidR="000B335A" w:rsidRPr="007D22C9" w:rsidTr="00BD3B9A">
        <w:trPr>
          <w:trHeight w:val="20"/>
        </w:trPr>
        <w:tc>
          <w:tcPr>
            <w:tcW w:w="533" w:type="dxa"/>
            <w:tcBorders>
              <w:top w:val="nil"/>
              <w:left w:val="single" w:sz="4" w:space="0" w:color="auto"/>
              <w:bottom w:val="single" w:sz="4" w:space="0" w:color="auto"/>
              <w:right w:val="single" w:sz="4" w:space="0" w:color="auto"/>
            </w:tcBorders>
            <w:shd w:val="clear" w:color="auto" w:fill="auto"/>
            <w:hideMark/>
          </w:tcPr>
          <w:p w:rsidR="000B335A" w:rsidRPr="007D22C9" w:rsidRDefault="000B335A" w:rsidP="00D302C3">
            <w:pPr>
              <w:autoSpaceDE/>
              <w:autoSpaceDN/>
              <w:adjustRightInd/>
              <w:spacing w:line="235" w:lineRule="auto"/>
              <w:jc w:val="center"/>
              <w:rPr>
                <w:color w:val="000000"/>
                <w:sz w:val="20"/>
                <w:szCs w:val="20"/>
              </w:rPr>
            </w:pPr>
            <w:r w:rsidRPr="007D22C9">
              <w:rPr>
                <w:color w:val="000000"/>
                <w:sz w:val="20"/>
                <w:szCs w:val="20"/>
              </w:rPr>
              <w:t>22</w:t>
            </w:r>
            <w:r w:rsidR="003B1A7B" w:rsidRPr="007D22C9">
              <w:rPr>
                <w:color w:val="000000"/>
                <w:sz w:val="20"/>
                <w:szCs w:val="20"/>
              </w:rPr>
              <w:t>.</w:t>
            </w:r>
          </w:p>
        </w:tc>
        <w:tc>
          <w:tcPr>
            <w:tcW w:w="1730" w:type="dxa"/>
            <w:tcBorders>
              <w:top w:val="nil"/>
              <w:left w:val="nil"/>
              <w:bottom w:val="single" w:sz="4" w:space="0" w:color="auto"/>
              <w:right w:val="nil"/>
            </w:tcBorders>
            <w:shd w:val="clear" w:color="auto" w:fill="auto"/>
            <w:hideMark/>
          </w:tcPr>
          <w:p w:rsidR="000B335A" w:rsidRPr="007D22C9" w:rsidRDefault="000B335A" w:rsidP="00D302C3">
            <w:pPr>
              <w:autoSpaceDE/>
              <w:autoSpaceDN/>
              <w:adjustRightInd/>
              <w:spacing w:line="235" w:lineRule="auto"/>
              <w:jc w:val="both"/>
              <w:rPr>
                <w:color w:val="000000"/>
                <w:sz w:val="20"/>
                <w:szCs w:val="20"/>
              </w:rPr>
            </w:pPr>
            <w:r w:rsidRPr="007D22C9">
              <w:rPr>
                <w:color w:val="000000"/>
                <w:sz w:val="20"/>
                <w:szCs w:val="20"/>
              </w:rPr>
              <w:t xml:space="preserve">ГАУЗ </w:t>
            </w:r>
            <w:r w:rsidR="002F7358" w:rsidRPr="007D22C9">
              <w:rPr>
                <w:color w:val="000000"/>
                <w:sz w:val="20"/>
                <w:szCs w:val="20"/>
              </w:rPr>
              <w:t>«</w:t>
            </w:r>
            <w:r w:rsidRPr="007D22C9">
              <w:rPr>
                <w:color w:val="000000"/>
                <w:sz w:val="20"/>
                <w:szCs w:val="20"/>
              </w:rPr>
              <w:t>Лаишевская ЦРБ</w:t>
            </w:r>
            <w:r w:rsidR="002F7358" w:rsidRPr="007D22C9">
              <w:rPr>
                <w:color w:val="000000"/>
                <w:sz w:val="20"/>
                <w:szCs w:val="20"/>
              </w:rPr>
              <w:t>»</w:t>
            </w:r>
          </w:p>
        </w:tc>
        <w:tc>
          <w:tcPr>
            <w:tcW w:w="1418" w:type="dxa"/>
            <w:tcBorders>
              <w:top w:val="nil"/>
              <w:left w:val="single" w:sz="4" w:space="0" w:color="auto"/>
              <w:bottom w:val="single" w:sz="4" w:space="0" w:color="auto"/>
              <w:right w:val="single" w:sz="4" w:space="0" w:color="auto"/>
            </w:tcBorders>
            <w:shd w:val="clear" w:color="auto" w:fill="auto"/>
            <w:hideMark/>
          </w:tcPr>
          <w:p w:rsidR="000B335A" w:rsidRPr="007D22C9" w:rsidRDefault="00C572EE" w:rsidP="00D302C3">
            <w:pPr>
              <w:autoSpaceDE/>
              <w:autoSpaceDN/>
              <w:adjustRightInd/>
              <w:spacing w:line="235" w:lineRule="auto"/>
              <w:jc w:val="both"/>
              <w:rPr>
                <w:color w:val="000000"/>
                <w:sz w:val="20"/>
                <w:szCs w:val="20"/>
              </w:rPr>
            </w:pPr>
            <w:r w:rsidRPr="007D22C9">
              <w:rPr>
                <w:color w:val="000000"/>
                <w:sz w:val="20"/>
                <w:szCs w:val="20"/>
              </w:rPr>
              <w:t>г.</w:t>
            </w:r>
            <w:r w:rsidR="000B335A" w:rsidRPr="007D22C9">
              <w:rPr>
                <w:color w:val="000000"/>
                <w:sz w:val="20"/>
                <w:szCs w:val="20"/>
              </w:rPr>
              <w:t xml:space="preserve">Лаишево, </w:t>
            </w:r>
            <w:r w:rsidRPr="007D22C9">
              <w:rPr>
                <w:color w:val="000000"/>
                <w:sz w:val="20"/>
                <w:szCs w:val="20"/>
              </w:rPr>
              <w:t>ул.</w:t>
            </w:r>
            <w:r w:rsidR="000B335A" w:rsidRPr="007D22C9">
              <w:rPr>
                <w:color w:val="000000"/>
                <w:sz w:val="20"/>
                <w:szCs w:val="20"/>
              </w:rPr>
              <w:t xml:space="preserve">Кошевого, </w:t>
            </w:r>
            <w:r w:rsidR="00C940D5" w:rsidRPr="007D22C9">
              <w:rPr>
                <w:color w:val="000000"/>
                <w:sz w:val="20"/>
                <w:szCs w:val="20"/>
              </w:rPr>
              <w:t>д.</w:t>
            </w:r>
            <w:r w:rsidR="000B335A" w:rsidRPr="007D22C9">
              <w:rPr>
                <w:color w:val="000000"/>
                <w:sz w:val="20"/>
                <w:szCs w:val="20"/>
              </w:rPr>
              <w:t>11</w:t>
            </w:r>
          </w:p>
        </w:tc>
        <w:tc>
          <w:tcPr>
            <w:tcW w:w="1418" w:type="dxa"/>
            <w:tcBorders>
              <w:top w:val="nil"/>
              <w:left w:val="nil"/>
              <w:bottom w:val="single" w:sz="4" w:space="0" w:color="auto"/>
              <w:right w:val="single" w:sz="4" w:space="0" w:color="auto"/>
            </w:tcBorders>
            <w:shd w:val="clear" w:color="auto" w:fill="auto"/>
            <w:hideMark/>
          </w:tcPr>
          <w:p w:rsidR="000B335A" w:rsidRPr="007D22C9" w:rsidRDefault="000B335A" w:rsidP="00D302C3">
            <w:pPr>
              <w:autoSpaceDE/>
              <w:autoSpaceDN/>
              <w:adjustRightInd/>
              <w:spacing w:line="235" w:lineRule="auto"/>
              <w:jc w:val="both"/>
              <w:rPr>
                <w:color w:val="000000"/>
                <w:sz w:val="20"/>
                <w:szCs w:val="20"/>
              </w:rPr>
            </w:pPr>
            <w:r w:rsidRPr="007D22C9">
              <w:rPr>
                <w:color w:val="000000"/>
                <w:sz w:val="20"/>
                <w:szCs w:val="20"/>
              </w:rPr>
              <w:t>Лаишевский муниципальный район</w:t>
            </w:r>
          </w:p>
        </w:tc>
        <w:tc>
          <w:tcPr>
            <w:tcW w:w="851" w:type="dxa"/>
            <w:tcBorders>
              <w:top w:val="nil"/>
              <w:left w:val="nil"/>
              <w:bottom w:val="single" w:sz="4" w:space="0" w:color="auto"/>
              <w:right w:val="single" w:sz="4" w:space="0" w:color="auto"/>
            </w:tcBorders>
            <w:shd w:val="clear" w:color="auto" w:fill="auto"/>
            <w:hideMark/>
          </w:tcPr>
          <w:p w:rsidR="000B335A" w:rsidRPr="007D22C9" w:rsidRDefault="000B335A" w:rsidP="00D302C3">
            <w:pPr>
              <w:autoSpaceDE/>
              <w:autoSpaceDN/>
              <w:adjustRightInd/>
              <w:spacing w:line="235" w:lineRule="auto"/>
              <w:jc w:val="center"/>
              <w:rPr>
                <w:color w:val="000000"/>
                <w:sz w:val="20"/>
                <w:szCs w:val="20"/>
              </w:rPr>
            </w:pPr>
            <w:r w:rsidRPr="007D22C9">
              <w:rPr>
                <w:color w:val="000000"/>
                <w:sz w:val="20"/>
                <w:szCs w:val="20"/>
              </w:rPr>
              <w:t>48 572</w:t>
            </w:r>
          </w:p>
        </w:tc>
        <w:tc>
          <w:tcPr>
            <w:tcW w:w="850" w:type="dxa"/>
            <w:tcBorders>
              <w:top w:val="nil"/>
              <w:left w:val="nil"/>
              <w:bottom w:val="single" w:sz="4" w:space="0" w:color="auto"/>
              <w:right w:val="single" w:sz="4" w:space="0" w:color="auto"/>
            </w:tcBorders>
            <w:shd w:val="clear" w:color="auto" w:fill="auto"/>
            <w:hideMark/>
          </w:tcPr>
          <w:p w:rsidR="000B335A" w:rsidRPr="007D22C9" w:rsidRDefault="000B335A" w:rsidP="00D302C3">
            <w:pPr>
              <w:autoSpaceDE/>
              <w:autoSpaceDN/>
              <w:adjustRightInd/>
              <w:spacing w:line="235" w:lineRule="auto"/>
              <w:jc w:val="center"/>
              <w:rPr>
                <w:color w:val="000000"/>
                <w:sz w:val="20"/>
                <w:szCs w:val="20"/>
              </w:rPr>
            </w:pPr>
            <w:r w:rsidRPr="007D22C9">
              <w:rPr>
                <w:color w:val="000000"/>
                <w:sz w:val="20"/>
                <w:szCs w:val="20"/>
              </w:rPr>
              <w:t>1,62</w:t>
            </w:r>
          </w:p>
        </w:tc>
        <w:tc>
          <w:tcPr>
            <w:tcW w:w="1077" w:type="dxa"/>
            <w:tcBorders>
              <w:top w:val="nil"/>
              <w:left w:val="nil"/>
              <w:bottom w:val="single" w:sz="4" w:space="0" w:color="auto"/>
              <w:right w:val="single" w:sz="4" w:space="0" w:color="auto"/>
            </w:tcBorders>
            <w:shd w:val="clear" w:color="auto" w:fill="auto"/>
            <w:hideMark/>
          </w:tcPr>
          <w:p w:rsidR="000B335A" w:rsidRPr="007D22C9" w:rsidRDefault="004076B1" w:rsidP="004076B1">
            <w:pPr>
              <w:autoSpaceDE/>
              <w:autoSpaceDN/>
              <w:adjustRightInd/>
              <w:spacing w:line="235" w:lineRule="auto"/>
              <w:jc w:val="center"/>
              <w:rPr>
                <w:color w:val="000000"/>
                <w:sz w:val="20"/>
                <w:szCs w:val="20"/>
              </w:rPr>
            </w:pPr>
            <w:r w:rsidRPr="007D22C9">
              <w:rPr>
                <w:color w:val="000000"/>
                <w:sz w:val="20"/>
                <w:szCs w:val="20"/>
              </w:rPr>
              <w:t>2,00</w:t>
            </w:r>
          </w:p>
        </w:tc>
        <w:tc>
          <w:tcPr>
            <w:tcW w:w="992" w:type="dxa"/>
            <w:tcBorders>
              <w:top w:val="nil"/>
              <w:left w:val="nil"/>
              <w:bottom w:val="single" w:sz="4" w:space="0" w:color="auto"/>
              <w:right w:val="single" w:sz="4" w:space="0" w:color="auto"/>
            </w:tcBorders>
            <w:shd w:val="clear" w:color="auto" w:fill="auto"/>
            <w:hideMark/>
          </w:tcPr>
          <w:p w:rsidR="000B335A" w:rsidRPr="007D22C9" w:rsidRDefault="004076B1" w:rsidP="004076B1">
            <w:pPr>
              <w:autoSpaceDE/>
              <w:autoSpaceDN/>
              <w:adjustRightInd/>
              <w:spacing w:line="235" w:lineRule="auto"/>
              <w:jc w:val="center"/>
              <w:rPr>
                <w:color w:val="000000"/>
                <w:sz w:val="20"/>
                <w:szCs w:val="20"/>
              </w:rPr>
            </w:pPr>
            <w:r w:rsidRPr="007D22C9">
              <w:rPr>
                <w:color w:val="000000"/>
                <w:sz w:val="20"/>
                <w:szCs w:val="20"/>
              </w:rPr>
              <w:t>2,00</w:t>
            </w:r>
          </w:p>
        </w:tc>
        <w:tc>
          <w:tcPr>
            <w:tcW w:w="708" w:type="dxa"/>
            <w:tcBorders>
              <w:top w:val="nil"/>
              <w:left w:val="nil"/>
              <w:bottom w:val="single" w:sz="4" w:space="0" w:color="auto"/>
              <w:right w:val="single" w:sz="4" w:space="0" w:color="auto"/>
            </w:tcBorders>
            <w:shd w:val="clear" w:color="auto" w:fill="auto"/>
            <w:hideMark/>
          </w:tcPr>
          <w:p w:rsidR="000B335A" w:rsidRPr="007D22C9" w:rsidRDefault="004076B1" w:rsidP="004076B1">
            <w:pPr>
              <w:autoSpaceDE/>
              <w:autoSpaceDN/>
              <w:adjustRightInd/>
              <w:spacing w:line="235" w:lineRule="auto"/>
              <w:jc w:val="center"/>
              <w:rPr>
                <w:color w:val="000000"/>
                <w:sz w:val="20"/>
                <w:szCs w:val="20"/>
              </w:rPr>
            </w:pPr>
            <w:r w:rsidRPr="007D22C9">
              <w:rPr>
                <w:color w:val="000000"/>
                <w:sz w:val="20"/>
                <w:szCs w:val="20"/>
              </w:rPr>
              <w:t>2</w:t>
            </w:r>
          </w:p>
        </w:tc>
        <w:tc>
          <w:tcPr>
            <w:tcW w:w="993" w:type="dxa"/>
            <w:tcBorders>
              <w:top w:val="nil"/>
              <w:left w:val="nil"/>
              <w:bottom w:val="single" w:sz="4" w:space="0" w:color="auto"/>
              <w:right w:val="single" w:sz="4" w:space="0" w:color="auto"/>
            </w:tcBorders>
            <w:shd w:val="clear" w:color="auto" w:fill="auto"/>
            <w:hideMark/>
          </w:tcPr>
          <w:p w:rsidR="000B335A" w:rsidRPr="007D22C9" w:rsidRDefault="000B335A" w:rsidP="00D302C3">
            <w:pPr>
              <w:autoSpaceDE/>
              <w:autoSpaceDN/>
              <w:adjustRightInd/>
              <w:spacing w:line="235" w:lineRule="auto"/>
              <w:jc w:val="center"/>
              <w:rPr>
                <w:color w:val="000000"/>
                <w:sz w:val="20"/>
                <w:szCs w:val="20"/>
              </w:rPr>
            </w:pPr>
            <w:r w:rsidRPr="007D22C9">
              <w:rPr>
                <w:color w:val="000000"/>
                <w:sz w:val="20"/>
                <w:szCs w:val="20"/>
              </w:rPr>
              <w:t> </w:t>
            </w:r>
            <w:r w:rsidR="00DE16F2" w:rsidRPr="007D22C9">
              <w:rPr>
                <w:color w:val="000000"/>
                <w:sz w:val="20"/>
                <w:szCs w:val="20"/>
              </w:rPr>
              <w:t>0</w:t>
            </w:r>
          </w:p>
        </w:tc>
      </w:tr>
      <w:tr w:rsidR="000B335A" w:rsidRPr="007D22C9" w:rsidTr="00BD3B9A">
        <w:trPr>
          <w:trHeight w:val="20"/>
        </w:trPr>
        <w:tc>
          <w:tcPr>
            <w:tcW w:w="533" w:type="dxa"/>
            <w:tcBorders>
              <w:top w:val="nil"/>
              <w:left w:val="single" w:sz="4" w:space="0" w:color="auto"/>
              <w:bottom w:val="single" w:sz="4" w:space="0" w:color="auto"/>
              <w:right w:val="single" w:sz="4" w:space="0" w:color="auto"/>
            </w:tcBorders>
            <w:shd w:val="clear" w:color="auto" w:fill="auto"/>
            <w:hideMark/>
          </w:tcPr>
          <w:p w:rsidR="000B335A" w:rsidRPr="007D22C9" w:rsidRDefault="000B335A" w:rsidP="00D302C3">
            <w:pPr>
              <w:autoSpaceDE/>
              <w:autoSpaceDN/>
              <w:adjustRightInd/>
              <w:spacing w:line="235" w:lineRule="auto"/>
              <w:jc w:val="center"/>
              <w:rPr>
                <w:color w:val="000000"/>
                <w:sz w:val="20"/>
                <w:szCs w:val="20"/>
              </w:rPr>
            </w:pPr>
            <w:r w:rsidRPr="007D22C9">
              <w:rPr>
                <w:color w:val="000000"/>
                <w:sz w:val="20"/>
                <w:szCs w:val="20"/>
              </w:rPr>
              <w:t>23</w:t>
            </w:r>
            <w:r w:rsidR="003B1A7B" w:rsidRPr="007D22C9">
              <w:rPr>
                <w:color w:val="000000"/>
                <w:sz w:val="20"/>
                <w:szCs w:val="20"/>
              </w:rPr>
              <w:t>.</w:t>
            </w:r>
          </w:p>
        </w:tc>
        <w:tc>
          <w:tcPr>
            <w:tcW w:w="1730" w:type="dxa"/>
            <w:tcBorders>
              <w:top w:val="nil"/>
              <w:left w:val="nil"/>
              <w:bottom w:val="single" w:sz="4" w:space="0" w:color="auto"/>
              <w:right w:val="nil"/>
            </w:tcBorders>
            <w:shd w:val="clear" w:color="auto" w:fill="auto"/>
            <w:hideMark/>
          </w:tcPr>
          <w:p w:rsidR="000B335A" w:rsidRPr="007D22C9" w:rsidRDefault="000B335A" w:rsidP="00D302C3">
            <w:pPr>
              <w:autoSpaceDE/>
              <w:autoSpaceDN/>
              <w:adjustRightInd/>
              <w:spacing w:line="235" w:lineRule="auto"/>
              <w:jc w:val="both"/>
              <w:rPr>
                <w:color w:val="000000"/>
                <w:sz w:val="20"/>
                <w:szCs w:val="20"/>
              </w:rPr>
            </w:pPr>
            <w:r w:rsidRPr="007D22C9">
              <w:rPr>
                <w:color w:val="000000"/>
                <w:sz w:val="20"/>
                <w:szCs w:val="20"/>
              </w:rPr>
              <w:t xml:space="preserve">ГАУЗ </w:t>
            </w:r>
            <w:r w:rsidR="002F7358" w:rsidRPr="007D22C9">
              <w:rPr>
                <w:color w:val="000000"/>
                <w:sz w:val="20"/>
                <w:szCs w:val="20"/>
              </w:rPr>
              <w:t>«</w:t>
            </w:r>
            <w:r w:rsidRPr="007D22C9">
              <w:rPr>
                <w:color w:val="000000"/>
                <w:sz w:val="20"/>
                <w:szCs w:val="20"/>
              </w:rPr>
              <w:t>Лениногорская ЦРБ</w:t>
            </w:r>
            <w:r w:rsidR="002F7358" w:rsidRPr="007D22C9">
              <w:rPr>
                <w:color w:val="000000"/>
                <w:sz w:val="20"/>
                <w:szCs w:val="20"/>
              </w:rPr>
              <w:t>»</w:t>
            </w:r>
          </w:p>
        </w:tc>
        <w:tc>
          <w:tcPr>
            <w:tcW w:w="1418" w:type="dxa"/>
            <w:tcBorders>
              <w:top w:val="nil"/>
              <w:left w:val="single" w:sz="4" w:space="0" w:color="auto"/>
              <w:bottom w:val="single" w:sz="4" w:space="0" w:color="auto"/>
              <w:right w:val="single" w:sz="4" w:space="0" w:color="auto"/>
            </w:tcBorders>
            <w:shd w:val="clear" w:color="auto" w:fill="auto"/>
            <w:hideMark/>
          </w:tcPr>
          <w:p w:rsidR="000B335A" w:rsidRPr="007D22C9" w:rsidRDefault="00C572EE" w:rsidP="00D302C3">
            <w:pPr>
              <w:autoSpaceDE/>
              <w:autoSpaceDN/>
              <w:adjustRightInd/>
              <w:spacing w:line="235" w:lineRule="auto"/>
              <w:jc w:val="both"/>
              <w:rPr>
                <w:color w:val="000000"/>
                <w:sz w:val="20"/>
                <w:szCs w:val="20"/>
              </w:rPr>
            </w:pPr>
            <w:r w:rsidRPr="007D22C9">
              <w:rPr>
                <w:color w:val="000000"/>
                <w:sz w:val="20"/>
                <w:szCs w:val="20"/>
              </w:rPr>
              <w:t>г.</w:t>
            </w:r>
            <w:r w:rsidR="000B335A" w:rsidRPr="007D22C9">
              <w:rPr>
                <w:color w:val="000000"/>
                <w:sz w:val="20"/>
                <w:szCs w:val="20"/>
              </w:rPr>
              <w:t>Лениног</w:t>
            </w:r>
            <w:r w:rsidR="00824074" w:rsidRPr="007D22C9">
              <w:rPr>
                <w:color w:val="000000"/>
                <w:sz w:val="20"/>
                <w:szCs w:val="20"/>
              </w:rPr>
              <w:t>о</w:t>
            </w:r>
            <w:r w:rsidR="000B335A" w:rsidRPr="007D22C9">
              <w:rPr>
                <w:color w:val="000000"/>
                <w:sz w:val="20"/>
                <w:szCs w:val="20"/>
              </w:rPr>
              <w:t xml:space="preserve">рск, </w:t>
            </w:r>
            <w:r w:rsidRPr="007D22C9">
              <w:rPr>
                <w:color w:val="000000"/>
                <w:sz w:val="20"/>
                <w:szCs w:val="20"/>
              </w:rPr>
              <w:t>ул.</w:t>
            </w:r>
            <w:r w:rsidR="000B335A" w:rsidRPr="007D22C9">
              <w:rPr>
                <w:color w:val="000000"/>
                <w:sz w:val="20"/>
                <w:szCs w:val="20"/>
              </w:rPr>
              <w:t xml:space="preserve">Садриева, </w:t>
            </w:r>
            <w:r w:rsidR="00C940D5" w:rsidRPr="007D22C9">
              <w:rPr>
                <w:color w:val="000000"/>
                <w:sz w:val="20"/>
                <w:szCs w:val="20"/>
              </w:rPr>
              <w:t>д.</w:t>
            </w:r>
            <w:r w:rsidR="000B335A" w:rsidRPr="007D22C9">
              <w:rPr>
                <w:color w:val="000000"/>
                <w:sz w:val="20"/>
                <w:szCs w:val="20"/>
              </w:rPr>
              <w:t>20</w:t>
            </w:r>
          </w:p>
        </w:tc>
        <w:tc>
          <w:tcPr>
            <w:tcW w:w="1418" w:type="dxa"/>
            <w:tcBorders>
              <w:top w:val="nil"/>
              <w:left w:val="nil"/>
              <w:bottom w:val="single" w:sz="4" w:space="0" w:color="auto"/>
              <w:right w:val="single" w:sz="4" w:space="0" w:color="auto"/>
            </w:tcBorders>
            <w:shd w:val="clear" w:color="auto" w:fill="auto"/>
            <w:hideMark/>
          </w:tcPr>
          <w:p w:rsidR="000B335A" w:rsidRPr="007D22C9" w:rsidRDefault="000B335A" w:rsidP="00D302C3">
            <w:pPr>
              <w:autoSpaceDE/>
              <w:autoSpaceDN/>
              <w:adjustRightInd/>
              <w:spacing w:line="235" w:lineRule="auto"/>
              <w:jc w:val="both"/>
              <w:rPr>
                <w:color w:val="000000"/>
                <w:sz w:val="20"/>
                <w:szCs w:val="20"/>
              </w:rPr>
            </w:pPr>
            <w:r w:rsidRPr="007D22C9">
              <w:rPr>
                <w:color w:val="000000"/>
                <w:sz w:val="20"/>
                <w:szCs w:val="20"/>
              </w:rPr>
              <w:t>Лениногорский муниципальный район</w:t>
            </w:r>
          </w:p>
        </w:tc>
        <w:tc>
          <w:tcPr>
            <w:tcW w:w="851" w:type="dxa"/>
            <w:tcBorders>
              <w:top w:val="nil"/>
              <w:left w:val="nil"/>
              <w:bottom w:val="single" w:sz="4" w:space="0" w:color="auto"/>
              <w:right w:val="single" w:sz="4" w:space="0" w:color="auto"/>
            </w:tcBorders>
            <w:shd w:val="clear" w:color="auto" w:fill="auto"/>
            <w:hideMark/>
          </w:tcPr>
          <w:p w:rsidR="000B335A" w:rsidRPr="007D22C9" w:rsidRDefault="000B335A" w:rsidP="00D302C3">
            <w:pPr>
              <w:autoSpaceDE/>
              <w:autoSpaceDN/>
              <w:adjustRightInd/>
              <w:spacing w:line="235" w:lineRule="auto"/>
              <w:jc w:val="center"/>
              <w:rPr>
                <w:color w:val="000000"/>
                <w:sz w:val="20"/>
                <w:szCs w:val="20"/>
              </w:rPr>
            </w:pPr>
            <w:r w:rsidRPr="007D22C9">
              <w:rPr>
                <w:color w:val="000000"/>
                <w:sz w:val="20"/>
                <w:szCs w:val="20"/>
              </w:rPr>
              <w:t>69 695</w:t>
            </w:r>
          </w:p>
        </w:tc>
        <w:tc>
          <w:tcPr>
            <w:tcW w:w="850" w:type="dxa"/>
            <w:tcBorders>
              <w:top w:val="nil"/>
              <w:left w:val="nil"/>
              <w:bottom w:val="single" w:sz="4" w:space="0" w:color="auto"/>
              <w:right w:val="single" w:sz="4" w:space="0" w:color="auto"/>
            </w:tcBorders>
            <w:shd w:val="clear" w:color="auto" w:fill="auto"/>
            <w:hideMark/>
          </w:tcPr>
          <w:p w:rsidR="000B335A" w:rsidRPr="007D22C9" w:rsidRDefault="000B335A" w:rsidP="00D302C3">
            <w:pPr>
              <w:autoSpaceDE/>
              <w:autoSpaceDN/>
              <w:adjustRightInd/>
              <w:spacing w:line="235" w:lineRule="auto"/>
              <w:jc w:val="center"/>
              <w:rPr>
                <w:color w:val="000000"/>
                <w:sz w:val="20"/>
                <w:szCs w:val="20"/>
              </w:rPr>
            </w:pPr>
            <w:r w:rsidRPr="007D22C9">
              <w:rPr>
                <w:color w:val="000000"/>
                <w:sz w:val="20"/>
                <w:szCs w:val="20"/>
              </w:rPr>
              <w:t>2,32</w:t>
            </w:r>
          </w:p>
        </w:tc>
        <w:tc>
          <w:tcPr>
            <w:tcW w:w="1077" w:type="dxa"/>
            <w:tcBorders>
              <w:top w:val="nil"/>
              <w:left w:val="nil"/>
              <w:bottom w:val="single" w:sz="4" w:space="0" w:color="auto"/>
              <w:right w:val="single" w:sz="4" w:space="0" w:color="auto"/>
            </w:tcBorders>
            <w:shd w:val="clear" w:color="auto" w:fill="auto"/>
            <w:hideMark/>
          </w:tcPr>
          <w:p w:rsidR="000B335A" w:rsidRPr="007D22C9" w:rsidRDefault="00E5168B" w:rsidP="00E5168B">
            <w:pPr>
              <w:autoSpaceDE/>
              <w:autoSpaceDN/>
              <w:adjustRightInd/>
              <w:spacing w:line="235" w:lineRule="auto"/>
              <w:jc w:val="center"/>
              <w:rPr>
                <w:color w:val="000000"/>
                <w:sz w:val="20"/>
                <w:szCs w:val="20"/>
              </w:rPr>
            </w:pPr>
            <w:r w:rsidRPr="007D22C9">
              <w:rPr>
                <w:color w:val="000000"/>
                <w:sz w:val="20"/>
                <w:szCs w:val="20"/>
              </w:rPr>
              <w:t>2,00</w:t>
            </w:r>
          </w:p>
        </w:tc>
        <w:tc>
          <w:tcPr>
            <w:tcW w:w="992" w:type="dxa"/>
            <w:tcBorders>
              <w:top w:val="nil"/>
              <w:left w:val="nil"/>
              <w:bottom w:val="single" w:sz="4" w:space="0" w:color="auto"/>
              <w:right w:val="single" w:sz="4" w:space="0" w:color="auto"/>
            </w:tcBorders>
            <w:shd w:val="clear" w:color="auto" w:fill="auto"/>
            <w:hideMark/>
          </w:tcPr>
          <w:p w:rsidR="000B335A" w:rsidRPr="007D22C9" w:rsidRDefault="00E5168B" w:rsidP="00E5168B">
            <w:pPr>
              <w:autoSpaceDE/>
              <w:autoSpaceDN/>
              <w:adjustRightInd/>
              <w:spacing w:line="235" w:lineRule="auto"/>
              <w:jc w:val="center"/>
              <w:rPr>
                <w:color w:val="000000"/>
                <w:sz w:val="20"/>
                <w:szCs w:val="20"/>
              </w:rPr>
            </w:pPr>
            <w:r w:rsidRPr="007D22C9">
              <w:rPr>
                <w:color w:val="000000"/>
                <w:sz w:val="20"/>
                <w:szCs w:val="20"/>
              </w:rPr>
              <w:t>2,00</w:t>
            </w:r>
          </w:p>
        </w:tc>
        <w:tc>
          <w:tcPr>
            <w:tcW w:w="708" w:type="dxa"/>
            <w:tcBorders>
              <w:top w:val="nil"/>
              <w:left w:val="nil"/>
              <w:bottom w:val="single" w:sz="4" w:space="0" w:color="auto"/>
              <w:right w:val="single" w:sz="4" w:space="0" w:color="auto"/>
            </w:tcBorders>
            <w:shd w:val="clear" w:color="auto" w:fill="auto"/>
            <w:hideMark/>
          </w:tcPr>
          <w:p w:rsidR="000B335A" w:rsidRPr="007D22C9" w:rsidRDefault="00E5168B" w:rsidP="00E5168B">
            <w:pPr>
              <w:autoSpaceDE/>
              <w:autoSpaceDN/>
              <w:adjustRightInd/>
              <w:spacing w:line="235" w:lineRule="auto"/>
              <w:jc w:val="center"/>
              <w:rPr>
                <w:color w:val="000000"/>
                <w:sz w:val="20"/>
                <w:szCs w:val="20"/>
              </w:rPr>
            </w:pPr>
            <w:r w:rsidRPr="007D22C9">
              <w:rPr>
                <w:color w:val="000000"/>
                <w:sz w:val="20"/>
                <w:szCs w:val="20"/>
              </w:rPr>
              <w:t>2</w:t>
            </w:r>
          </w:p>
        </w:tc>
        <w:tc>
          <w:tcPr>
            <w:tcW w:w="993" w:type="dxa"/>
            <w:tcBorders>
              <w:top w:val="nil"/>
              <w:left w:val="nil"/>
              <w:bottom w:val="single" w:sz="4" w:space="0" w:color="auto"/>
              <w:right w:val="single" w:sz="4" w:space="0" w:color="auto"/>
            </w:tcBorders>
            <w:shd w:val="clear" w:color="auto" w:fill="auto"/>
            <w:hideMark/>
          </w:tcPr>
          <w:p w:rsidR="000B335A" w:rsidRPr="007D22C9" w:rsidRDefault="00E5168B" w:rsidP="00E5168B">
            <w:pPr>
              <w:autoSpaceDE/>
              <w:autoSpaceDN/>
              <w:adjustRightInd/>
              <w:spacing w:line="235" w:lineRule="auto"/>
              <w:jc w:val="center"/>
              <w:rPr>
                <w:color w:val="000000"/>
                <w:sz w:val="20"/>
                <w:szCs w:val="20"/>
              </w:rPr>
            </w:pPr>
            <w:r w:rsidRPr="007D22C9">
              <w:rPr>
                <w:color w:val="000000"/>
                <w:sz w:val="20"/>
                <w:szCs w:val="20"/>
              </w:rPr>
              <w:t>2</w:t>
            </w:r>
          </w:p>
        </w:tc>
      </w:tr>
      <w:tr w:rsidR="000B335A" w:rsidRPr="007D22C9" w:rsidTr="00BD3B9A">
        <w:trPr>
          <w:trHeight w:val="20"/>
        </w:trPr>
        <w:tc>
          <w:tcPr>
            <w:tcW w:w="533" w:type="dxa"/>
            <w:tcBorders>
              <w:top w:val="nil"/>
              <w:left w:val="single" w:sz="4" w:space="0" w:color="auto"/>
              <w:bottom w:val="single" w:sz="4" w:space="0" w:color="auto"/>
              <w:right w:val="single" w:sz="4" w:space="0" w:color="auto"/>
            </w:tcBorders>
            <w:shd w:val="clear" w:color="auto" w:fill="auto"/>
            <w:hideMark/>
          </w:tcPr>
          <w:p w:rsidR="000B335A" w:rsidRPr="007D22C9" w:rsidRDefault="000B335A" w:rsidP="00D302C3">
            <w:pPr>
              <w:autoSpaceDE/>
              <w:autoSpaceDN/>
              <w:adjustRightInd/>
              <w:spacing w:line="235" w:lineRule="auto"/>
              <w:jc w:val="center"/>
              <w:rPr>
                <w:color w:val="000000"/>
                <w:sz w:val="20"/>
                <w:szCs w:val="20"/>
              </w:rPr>
            </w:pPr>
            <w:r w:rsidRPr="007D22C9">
              <w:rPr>
                <w:color w:val="000000"/>
                <w:sz w:val="20"/>
                <w:szCs w:val="20"/>
              </w:rPr>
              <w:t>24</w:t>
            </w:r>
            <w:r w:rsidR="003B1A7B" w:rsidRPr="007D22C9">
              <w:rPr>
                <w:color w:val="000000"/>
                <w:sz w:val="20"/>
                <w:szCs w:val="20"/>
              </w:rPr>
              <w:t>.</w:t>
            </w:r>
          </w:p>
        </w:tc>
        <w:tc>
          <w:tcPr>
            <w:tcW w:w="1730" w:type="dxa"/>
            <w:tcBorders>
              <w:top w:val="nil"/>
              <w:left w:val="nil"/>
              <w:bottom w:val="single" w:sz="4" w:space="0" w:color="auto"/>
              <w:right w:val="nil"/>
            </w:tcBorders>
            <w:shd w:val="clear" w:color="auto" w:fill="auto"/>
            <w:hideMark/>
          </w:tcPr>
          <w:p w:rsidR="000B335A" w:rsidRPr="007D22C9" w:rsidRDefault="000B335A" w:rsidP="00D302C3">
            <w:pPr>
              <w:autoSpaceDE/>
              <w:autoSpaceDN/>
              <w:adjustRightInd/>
              <w:spacing w:line="235" w:lineRule="auto"/>
              <w:jc w:val="both"/>
              <w:rPr>
                <w:color w:val="000000"/>
                <w:sz w:val="20"/>
                <w:szCs w:val="20"/>
              </w:rPr>
            </w:pPr>
            <w:r w:rsidRPr="007D22C9">
              <w:rPr>
                <w:color w:val="000000"/>
                <w:sz w:val="20"/>
                <w:szCs w:val="20"/>
              </w:rPr>
              <w:t xml:space="preserve">ГАУЗ </w:t>
            </w:r>
            <w:r w:rsidR="002F7358" w:rsidRPr="007D22C9">
              <w:rPr>
                <w:color w:val="000000"/>
                <w:sz w:val="20"/>
                <w:szCs w:val="20"/>
              </w:rPr>
              <w:t>«</w:t>
            </w:r>
            <w:r w:rsidRPr="007D22C9">
              <w:rPr>
                <w:color w:val="000000"/>
                <w:sz w:val="20"/>
                <w:szCs w:val="20"/>
              </w:rPr>
              <w:t>Мамадышская ЦРБ</w:t>
            </w:r>
            <w:r w:rsidR="002F7358" w:rsidRPr="007D22C9">
              <w:rPr>
                <w:color w:val="000000"/>
                <w:sz w:val="20"/>
                <w:szCs w:val="20"/>
              </w:rPr>
              <w:t>»</w:t>
            </w:r>
          </w:p>
        </w:tc>
        <w:tc>
          <w:tcPr>
            <w:tcW w:w="1418" w:type="dxa"/>
            <w:tcBorders>
              <w:top w:val="nil"/>
              <w:left w:val="single" w:sz="4" w:space="0" w:color="auto"/>
              <w:bottom w:val="single" w:sz="4" w:space="0" w:color="auto"/>
              <w:right w:val="single" w:sz="4" w:space="0" w:color="auto"/>
            </w:tcBorders>
            <w:shd w:val="clear" w:color="auto" w:fill="auto"/>
            <w:hideMark/>
          </w:tcPr>
          <w:p w:rsidR="000B335A" w:rsidRPr="007D22C9" w:rsidRDefault="00C572EE" w:rsidP="00D302C3">
            <w:pPr>
              <w:autoSpaceDE/>
              <w:autoSpaceDN/>
              <w:adjustRightInd/>
              <w:spacing w:line="235" w:lineRule="auto"/>
              <w:jc w:val="both"/>
              <w:rPr>
                <w:color w:val="000000"/>
                <w:sz w:val="20"/>
                <w:szCs w:val="20"/>
              </w:rPr>
            </w:pPr>
            <w:r w:rsidRPr="007D22C9">
              <w:rPr>
                <w:color w:val="000000"/>
                <w:sz w:val="20"/>
                <w:szCs w:val="20"/>
              </w:rPr>
              <w:t>г.</w:t>
            </w:r>
            <w:r w:rsidR="000B335A" w:rsidRPr="007D22C9">
              <w:rPr>
                <w:color w:val="000000"/>
                <w:sz w:val="20"/>
                <w:szCs w:val="20"/>
              </w:rPr>
              <w:t xml:space="preserve">Мамадыш, </w:t>
            </w:r>
            <w:r w:rsidRPr="007D22C9">
              <w:rPr>
                <w:color w:val="000000"/>
                <w:sz w:val="20"/>
                <w:szCs w:val="20"/>
              </w:rPr>
              <w:t>ул.</w:t>
            </w:r>
            <w:r w:rsidR="000B335A" w:rsidRPr="007D22C9">
              <w:rPr>
                <w:color w:val="000000"/>
                <w:sz w:val="20"/>
                <w:szCs w:val="20"/>
              </w:rPr>
              <w:t xml:space="preserve">Ленина, </w:t>
            </w:r>
            <w:r w:rsidR="00C940D5" w:rsidRPr="007D22C9">
              <w:rPr>
                <w:color w:val="000000"/>
                <w:sz w:val="20"/>
                <w:szCs w:val="20"/>
              </w:rPr>
              <w:t>д.</w:t>
            </w:r>
            <w:r w:rsidR="000B335A" w:rsidRPr="007D22C9">
              <w:rPr>
                <w:color w:val="000000"/>
                <w:sz w:val="20"/>
                <w:szCs w:val="20"/>
              </w:rPr>
              <w:t>105</w:t>
            </w:r>
          </w:p>
        </w:tc>
        <w:tc>
          <w:tcPr>
            <w:tcW w:w="1418" w:type="dxa"/>
            <w:tcBorders>
              <w:top w:val="nil"/>
              <w:left w:val="nil"/>
              <w:bottom w:val="single" w:sz="4" w:space="0" w:color="auto"/>
              <w:right w:val="single" w:sz="4" w:space="0" w:color="auto"/>
            </w:tcBorders>
            <w:shd w:val="clear" w:color="auto" w:fill="auto"/>
            <w:hideMark/>
          </w:tcPr>
          <w:p w:rsidR="000B335A" w:rsidRPr="007D22C9" w:rsidRDefault="000B335A" w:rsidP="00D302C3">
            <w:pPr>
              <w:autoSpaceDE/>
              <w:autoSpaceDN/>
              <w:adjustRightInd/>
              <w:spacing w:line="235" w:lineRule="auto"/>
              <w:jc w:val="both"/>
              <w:rPr>
                <w:color w:val="000000"/>
                <w:sz w:val="20"/>
                <w:szCs w:val="20"/>
              </w:rPr>
            </w:pPr>
            <w:r w:rsidRPr="007D22C9">
              <w:rPr>
                <w:color w:val="000000"/>
                <w:sz w:val="20"/>
                <w:szCs w:val="20"/>
              </w:rPr>
              <w:t>Мамадышский муниципальный район</w:t>
            </w:r>
          </w:p>
        </w:tc>
        <w:tc>
          <w:tcPr>
            <w:tcW w:w="851" w:type="dxa"/>
            <w:tcBorders>
              <w:top w:val="nil"/>
              <w:left w:val="nil"/>
              <w:bottom w:val="single" w:sz="4" w:space="0" w:color="auto"/>
              <w:right w:val="single" w:sz="4" w:space="0" w:color="auto"/>
            </w:tcBorders>
            <w:shd w:val="clear" w:color="auto" w:fill="auto"/>
            <w:hideMark/>
          </w:tcPr>
          <w:p w:rsidR="000B335A" w:rsidRPr="007D22C9" w:rsidRDefault="000B335A" w:rsidP="00D302C3">
            <w:pPr>
              <w:autoSpaceDE/>
              <w:autoSpaceDN/>
              <w:adjustRightInd/>
              <w:spacing w:line="235" w:lineRule="auto"/>
              <w:jc w:val="center"/>
              <w:rPr>
                <w:color w:val="000000"/>
                <w:sz w:val="20"/>
                <w:szCs w:val="20"/>
              </w:rPr>
            </w:pPr>
            <w:r w:rsidRPr="007D22C9">
              <w:rPr>
                <w:color w:val="000000"/>
                <w:sz w:val="20"/>
                <w:szCs w:val="20"/>
              </w:rPr>
              <w:t>33 772</w:t>
            </w:r>
          </w:p>
        </w:tc>
        <w:tc>
          <w:tcPr>
            <w:tcW w:w="850" w:type="dxa"/>
            <w:tcBorders>
              <w:top w:val="nil"/>
              <w:left w:val="nil"/>
              <w:bottom w:val="single" w:sz="4" w:space="0" w:color="auto"/>
              <w:right w:val="single" w:sz="4" w:space="0" w:color="auto"/>
            </w:tcBorders>
            <w:shd w:val="clear" w:color="auto" w:fill="auto"/>
            <w:hideMark/>
          </w:tcPr>
          <w:p w:rsidR="000B335A" w:rsidRPr="007D22C9" w:rsidRDefault="000B335A" w:rsidP="00D302C3">
            <w:pPr>
              <w:autoSpaceDE/>
              <w:autoSpaceDN/>
              <w:adjustRightInd/>
              <w:spacing w:line="235" w:lineRule="auto"/>
              <w:jc w:val="center"/>
              <w:rPr>
                <w:color w:val="000000"/>
                <w:sz w:val="20"/>
                <w:szCs w:val="20"/>
              </w:rPr>
            </w:pPr>
            <w:r w:rsidRPr="007D22C9">
              <w:rPr>
                <w:color w:val="000000"/>
                <w:sz w:val="20"/>
                <w:szCs w:val="20"/>
              </w:rPr>
              <w:t>1,13</w:t>
            </w:r>
          </w:p>
        </w:tc>
        <w:tc>
          <w:tcPr>
            <w:tcW w:w="1077" w:type="dxa"/>
            <w:tcBorders>
              <w:top w:val="nil"/>
              <w:left w:val="nil"/>
              <w:bottom w:val="single" w:sz="4" w:space="0" w:color="auto"/>
              <w:right w:val="single" w:sz="4" w:space="0" w:color="auto"/>
            </w:tcBorders>
            <w:shd w:val="clear" w:color="auto" w:fill="auto"/>
            <w:hideMark/>
          </w:tcPr>
          <w:p w:rsidR="000B335A" w:rsidRPr="007D22C9" w:rsidRDefault="00945AC7" w:rsidP="00945AC7">
            <w:pPr>
              <w:autoSpaceDE/>
              <w:autoSpaceDN/>
              <w:adjustRightInd/>
              <w:spacing w:line="235" w:lineRule="auto"/>
              <w:jc w:val="center"/>
              <w:rPr>
                <w:color w:val="000000"/>
                <w:sz w:val="20"/>
                <w:szCs w:val="20"/>
              </w:rPr>
            </w:pPr>
            <w:r w:rsidRPr="007D22C9">
              <w:rPr>
                <w:color w:val="000000"/>
                <w:sz w:val="20"/>
                <w:szCs w:val="20"/>
              </w:rPr>
              <w:t>1</w:t>
            </w:r>
            <w:r w:rsidR="000B335A" w:rsidRPr="007D22C9">
              <w:rPr>
                <w:color w:val="000000"/>
                <w:sz w:val="20"/>
                <w:szCs w:val="20"/>
              </w:rPr>
              <w:t>,25</w:t>
            </w:r>
          </w:p>
        </w:tc>
        <w:tc>
          <w:tcPr>
            <w:tcW w:w="992" w:type="dxa"/>
            <w:tcBorders>
              <w:top w:val="nil"/>
              <w:left w:val="nil"/>
              <w:bottom w:val="single" w:sz="4" w:space="0" w:color="auto"/>
              <w:right w:val="single" w:sz="4" w:space="0" w:color="auto"/>
            </w:tcBorders>
            <w:shd w:val="clear" w:color="auto" w:fill="auto"/>
            <w:hideMark/>
          </w:tcPr>
          <w:p w:rsidR="000B335A" w:rsidRPr="007D22C9" w:rsidRDefault="00945AC7" w:rsidP="00945AC7">
            <w:pPr>
              <w:autoSpaceDE/>
              <w:autoSpaceDN/>
              <w:adjustRightInd/>
              <w:spacing w:line="235" w:lineRule="auto"/>
              <w:jc w:val="center"/>
              <w:rPr>
                <w:color w:val="000000"/>
                <w:sz w:val="20"/>
                <w:szCs w:val="20"/>
              </w:rPr>
            </w:pPr>
            <w:r w:rsidRPr="007D22C9">
              <w:rPr>
                <w:color w:val="000000"/>
                <w:sz w:val="20"/>
                <w:szCs w:val="20"/>
              </w:rPr>
              <w:t>1</w:t>
            </w:r>
            <w:r w:rsidR="000B335A" w:rsidRPr="007D22C9">
              <w:rPr>
                <w:color w:val="000000"/>
                <w:sz w:val="20"/>
                <w:szCs w:val="20"/>
              </w:rPr>
              <w:t>,25</w:t>
            </w:r>
          </w:p>
        </w:tc>
        <w:tc>
          <w:tcPr>
            <w:tcW w:w="708" w:type="dxa"/>
            <w:tcBorders>
              <w:top w:val="nil"/>
              <w:left w:val="nil"/>
              <w:bottom w:val="single" w:sz="4" w:space="0" w:color="auto"/>
              <w:right w:val="single" w:sz="4" w:space="0" w:color="auto"/>
            </w:tcBorders>
            <w:shd w:val="clear" w:color="auto" w:fill="auto"/>
            <w:hideMark/>
          </w:tcPr>
          <w:p w:rsidR="000B335A" w:rsidRPr="007D22C9" w:rsidRDefault="000B335A" w:rsidP="00D302C3">
            <w:pPr>
              <w:autoSpaceDE/>
              <w:autoSpaceDN/>
              <w:adjustRightInd/>
              <w:spacing w:line="235" w:lineRule="auto"/>
              <w:jc w:val="center"/>
              <w:rPr>
                <w:color w:val="000000"/>
                <w:sz w:val="20"/>
                <w:szCs w:val="20"/>
              </w:rPr>
            </w:pPr>
            <w:r w:rsidRPr="007D22C9">
              <w:rPr>
                <w:color w:val="000000"/>
                <w:sz w:val="20"/>
                <w:szCs w:val="20"/>
              </w:rPr>
              <w:t>1</w:t>
            </w:r>
          </w:p>
        </w:tc>
        <w:tc>
          <w:tcPr>
            <w:tcW w:w="993" w:type="dxa"/>
            <w:tcBorders>
              <w:top w:val="nil"/>
              <w:left w:val="nil"/>
              <w:bottom w:val="single" w:sz="4" w:space="0" w:color="auto"/>
              <w:right w:val="single" w:sz="4" w:space="0" w:color="auto"/>
            </w:tcBorders>
            <w:shd w:val="clear" w:color="auto" w:fill="auto"/>
            <w:hideMark/>
          </w:tcPr>
          <w:p w:rsidR="000B335A" w:rsidRPr="007D22C9" w:rsidRDefault="00945AC7" w:rsidP="00945AC7">
            <w:pPr>
              <w:autoSpaceDE/>
              <w:autoSpaceDN/>
              <w:adjustRightInd/>
              <w:spacing w:line="235" w:lineRule="auto"/>
              <w:jc w:val="center"/>
              <w:rPr>
                <w:color w:val="000000"/>
                <w:sz w:val="20"/>
                <w:szCs w:val="20"/>
              </w:rPr>
            </w:pPr>
            <w:r w:rsidRPr="007D22C9">
              <w:rPr>
                <w:color w:val="000000"/>
                <w:sz w:val="20"/>
                <w:szCs w:val="20"/>
              </w:rPr>
              <w:t>0</w:t>
            </w:r>
          </w:p>
        </w:tc>
      </w:tr>
      <w:tr w:rsidR="000B335A" w:rsidRPr="007D22C9" w:rsidTr="00BD3B9A">
        <w:trPr>
          <w:trHeight w:val="20"/>
        </w:trPr>
        <w:tc>
          <w:tcPr>
            <w:tcW w:w="533" w:type="dxa"/>
            <w:tcBorders>
              <w:top w:val="nil"/>
              <w:left w:val="single" w:sz="4" w:space="0" w:color="auto"/>
              <w:bottom w:val="single" w:sz="4" w:space="0" w:color="auto"/>
              <w:right w:val="single" w:sz="4" w:space="0" w:color="auto"/>
            </w:tcBorders>
            <w:shd w:val="clear" w:color="auto" w:fill="auto"/>
            <w:hideMark/>
          </w:tcPr>
          <w:p w:rsidR="000B335A" w:rsidRPr="007D22C9" w:rsidRDefault="000B335A" w:rsidP="00D302C3">
            <w:pPr>
              <w:autoSpaceDE/>
              <w:autoSpaceDN/>
              <w:adjustRightInd/>
              <w:spacing w:line="235" w:lineRule="auto"/>
              <w:jc w:val="center"/>
              <w:rPr>
                <w:color w:val="000000"/>
                <w:sz w:val="20"/>
                <w:szCs w:val="20"/>
              </w:rPr>
            </w:pPr>
            <w:r w:rsidRPr="007D22C9">
              <w:rPr>
                <w:color w:val="000000"/>
                <w:sz w:val="20"/>
                <w:szCs w:val="20"/>
              </w:rPr>
              <w:t>25</w:t>
            </w:r>
            <w:r w:rsidR="003B1A7B" w:rsidRPr="007D22C9">
              <w:rPr>
                <w:color w:val="000000"/>
                <w:sz w:val="20"/>
                <w:szCs w:val="20"/>
              </w:rPr>
              <w:t>.</w:t>
            </w:r>
          </w:p>
        </w:tc>
        <w:tc>
          <w:tcPr>
            <w:tcW w:w="1730" w:type="dxa"/>
            <w:tcBorders>
              <w:top w:val="nil"/>
              <w:left w:val="nil"/>
              <w:bottom w:val="single" w:sz="4" w:space="0" w:color="auto"/>
              <w:right w:val="nil"/>
            </w:tcBorders>
            <w:shd w:val="clear" w:color="auto" w:fill="auto"/>
            <w:hideMark/>
          </w:tcPr>
          <w:p w:rsidR="000B335A" w:rsidRPr="007D22C9" w:rsidRDefault="000B335A" w:rsidP="00D302C3">
            <w:pPr>
              <w:autoSpaceDE/>
              <w:autoSpaceDN/>
              <w:adjustRightInd/>
              <w:spacing w:line="235" w:lineRule="auto"/>
              <w:jc w:val="both"/>
              <w:rPr>
                <w:color w:val="000000"/>
                <w:sz w:val="20"/>
                <w:szCs w:val="20"/>
              </w:rPr>
            </w:pPr>
            <w:r w:rsidRPr="007D22C9">
              <w:rPr>
                <w:color w:val="000000"/>
                <w:sz w:val="20"/>
                <w:szCs w:val="20"/>
              </w:rPr>
              <w:t xml:space="preserve">ГАУЗ </w:t>
            </w:r>
            <w:r w:rsidR="002F7358" w:rsidRPr="007D22C9">
              <w:rPr>
                <w:color w:val="000000"/>
                <w:sz w:val="20"/>
                <w:szCs w:val="20"/>
              </w:rPr>
              <w:t>«</w:t>
            </w:r>
            <w:r w:rsidRPr="007D22C9">
              <w:rPr>
                <w:color w:val="000000"/>
                <w:sz w:val="20"/>
                <w:szCs w:val="20"/>
              </w:rPr>
              <w:t>Менделеевская ЦРБ</w:t>
            </w:r>
            <w:r w:rsidR="002F7358" w:rsidRPr="007D22C9">
              <w:rPr>
                <w:color w:val="000000"/>
                <w:sz w:val="20"/>
                <w:szCs w:val="20"/>
              </w:rPr>
              <w:t>»</w:t>
            </w:r>
          </w:p>
        </w:tc>
        <w:tc>
          <w:tcPr>
            <w:tcW w:w="1418" w:type="dxa"/>
            <w:tcBorders>
              <w:top w:val="nil"/>
              <w:left w:val="single" w:sz="4" w:space="0" w:color="auto"/>
              <w:bottom w:val="single" w:sz="4" w:space="0" w:color="auto"/>
              <w:right w:val="single" w:sz="4" w:space="0" w:color="auto"/>
            </w:tcBorders>
            <w:shd w:val="clear" w:color="auto" w:fill="auto"/>
            <w:hideMark/>
          </w:tcPr>
          <w:p w:rsidR="000B335A" w:rsidRPr="007D22C9" w:rsidRDefault="00C572EE" w:rsidP="00D302C3">
            <w:pPr>
              <w:autoSpaceDE/>
              <w:autoSpaceDN/>
              <w:adjustRightInd/>
              <w:spacing w:line="235" w:lineRule="auto"/>
              <w:jc w:val="both"/>
              <w:rPr>
                <w:color w:val="000000"/>
                <w:sz w:val="20"/>
                <w:szCs w:val="20"/>
              </w:rPr>
            </w:pPr>
            <w:r w:rsidRPr="007D22C9">
              <w:rPr>
                <w:color w:val="000000"/>
                <w:sz w:val="20"/>
                <w:szCs w:val="20"/>
              </w:rPr>
              <w:t>г.</w:t>
            </w:r>
            <w:r w:rsidR="000B335A" w:rsidRPr="007D22C9">
              <w:rPr>
                <w:color w:val="000000"/>
                <w:sz w:val="20"/>
                <w:szCs w:val="20"/>
              </w:rPr>
              <w:t xml:space="preserve">Менделеевск, </w:t>
            </w:r>
            <w:r w:rsidRPr="007D22C9">
              <w:rPr>
                <w:color w:val="000000"/>
                <w:sz w:val="20"/>
                <w:szCs w:val="20"/>
              </w:rPr>
              <w:t>ул.</w:t>
            </w:r>
            <w:r w:rsidR="000B335A" w:rsidRPr="007D22C9">
              <w:rPr>
                <w:color w:val="000000"/>
                <w:sz w:val="20"/>
                <w:szCs w:val="20"/>
              </w:rPr>
              <w:t xml:space="preserve">Северная, </w:t>
            </w:r>
            <w:r w:rsidR="00C940D5" w:rsidRPr="007D22C9">
              <w:rPr>
                <w:color w:val="000000"/>
                <w:sz w:val="20"/>
                <w:szCs w:val="20"/>
              </w:rPr>
              <w:t>д.</w:t>
            </w:r>
            <w:r w:rsidR="000B335A" w:rsidRPr="007D22C9">
              <w:rPr>
                <w:color w:val="000000"/>
                <w:sz w:val="20"/>
                <w:szCs w:val="20"/>
              </w:rPr>
              <w:t>7</w:t>
            </w:r>
          </w:p>
        </w:tc>
        <w:tc>
          <w:tcPr>
            <w:tcW w:w="1418" w:type="dxa"/>
            <w:tcBorders>
              <w:top w:val="nil"/>
              <w:left w:val="nil"/>
              <w:bottom w:val="single" w:sz="4" w:space="0" w:color="auto"/>
              <w:right w:val="single" w:sz="4" w:space="0" w:color="auto"/>
            </w:tcBorders>
            <w:shd w:val="clear" w:color="auto" w:fill="auto"/>
            <w:hideMark/>
          </w:tcPr>
          <w:p w:rsidR="000B335A" w:rsidRPr="007D22C9" w:rsidRDefault="000B335A" w:rsidP="00D302C3">
            <w:pPr>
              <w:autoSpaceDE/>
              <w:autoSpaceDN/>
              <w:adjustRightInd/>
              <w:spacing w:line="235" w:lineRule="auto"/>
              <w:jc w:val="both"/>
              <w:rPr>
                <w:color w:val="000000"/>
                <w:sz w:val="20"/>
                <w:szCs w:val="20"/>
              </w:rPr>
            </w:pPr>
            <w:r w:rsidRPr="007D22C9">
              <w:rPr>
                <w:color w:val="000000"/>
                <w:sz w:val="20"/>
                <w:szCs w:val="20"/>
              </w:rPr>
              <w:t>Менделеевский муниципальный район</w:t>
            </w:r>
          </w:p>
        </w:tc>
        <w:tc>
          <w:tcPr>
            <w:tcW w:w="851" w:type="dxa"/>
            <w:tcBorders>
              <w:top w:val="nil"/>
              <w:left w:val="nil"/>
              <w:bottom w:val="single" w:sz="4" w:space="0" w:color="auto"/>
              <w:right w:val="single" w:sz="4" w:space="0" w:color="auto"/>
            </w:tcBorders>
            <w:shd w:val="clear" w:color="auto" w:fill="auto"/>
            <w:hideMark/>
          </w:tcPr>
          <w:p w:rsidR="000B335A" w:rsidRPr="007D22C9" w:rsidRDefault="000B335A" w:rsidP="00D302C3">
            <w:pPr>
              <w:autoSpaceDE/>
              <w:autoSpaceDN/>
              <w:adjustRightInd/>
              <w:spacing w:line="235" w:lineRule="auto"/>
              <w:jc w:val="center"/>
              <w:rPr>
                <w:color w:val="000000"/>
                <w:sz w:val="20"/>
                <w:szCs w:val="20"/>
              </w:rPr>
            </w:pPr>
            <w:r w:rsidRPr="007D22C9">
              <w:rPr>
                <w:color w:val="000000"/>
                <w:sz w:val="20"/>
                <w:szCs w:val="20"/>
              </w:rPr>
              <w:t>25 557</w:t>
            </w:r>
          </w:p>
        </w:tc>
        <w:tc>
          <w:tcPr>
            <w:tcW w:w="850" w:type="dxa"/>
            <w:tcBorders>
              <w:top w:val="nil"/>
              <w:left w:val="nil"/>
              <w:bottom w:val="single" w:sz="4" w:space="0" w:color="auto"/>
              <w:right w:val="single" w:sz="4" w:space="0" w:color="auto"/>
            </w:tcBorders>
            <w:shd w:val="clear" w:color="auto" w:fill="auto"/>
            <w:hideMark/>
          </w:tcPr>
          <w:p w:rsidR="000B335A" w:rsidRPr="007D22C9" w:rsidRDefault="000B335A" w:rsidP="00D302C3">
            <w:pPr>
              <w:autoSpaceDE/>
              <w:autoSpaceDN/>
              <w:adjustRightInd/>
              <w:spacing w:line="235" w:lineRule="auto"/>
              <w:jc w:val="center"/>
              <w:rPr>
                <w:color w:val="000000"/>
                <w:sz w:val="20"/>
                <w:szCs w:val="20"/>
              </w:rPr>
            </w:pPr>
            <w:r w:rsidRPr="007D22C9">
              <w:rPr>
                <w:color w:val="000000"/>
                <w:sz w:val="20"/>
                <w:szCs w:val="20"/>
              </w:rPr>
              <w:t>0,85</w:t>
            </w:r>
          </w:p>
        </w:tc>
        <w:tc>
          <w:tcPr>
            <w:tcW w:w="1077" w:type="dxa"/>
            <w:tcBorders>
              <w:top w:val="nil"/>
              <w:left w:val="nil"/>
              <w:bottom w:val="single" w:sz="4" w:space="0" w:color="auto"/>
              <w:right w:val="single" w:sz="4" w:space="0" w:color="auto"/>
            </w:tcBorders>
            <w:shd w:val="clear" w:color="auto" w:fill="auto"/>
            <w:hideMark/>
          </w:tcPr>
          <w:p w:rsidR="000B335A" w:rsidRPr="007D22C9" w:rsidRDefault="000B335A" w:rsidP="00D302C3">
            <w:pPr>
              <w:autoSpaceDE/>
              <w:autoSpaceDN/>
              <w:adjustRightInd/>
              <w:spacing w:line="235" w:lineRule="auto"/>
              <w:jc w:val="center"/>
              <w:rPr>
                <w:color w:val="000000"/>
                <w:sz w:val="20"/>
                <w:szCs w:val="20"/>
              </w:rPr>
            </w:pPr>
            <w:r w:rsidRPr="007D22C9">
              <w:rPr>
                <w:color w:val="000000"/>
                <w:sz w:val="20"/>
                <w:szCs w:val="20"/>
              </w:rPr>
              <w:t>1</w:t>
            </w:r>
            <w:r w:rsidR="00945AC7" w:rsidRPr="007D22C9">
              <w:rPr>
                <w:color w:val="000000"/>
                <w:sz w:val="20"/>
                <w:szCs w:val="20"/>
              </w:rPr>
              <w:t>,75</w:t>
            </w:r>
          </w:p>
        </w:tc>
        <w:tc>
          <w:tcPr>
            <w:tcW w:w="992" w:type="dxa"/>
            <w:tcBorders>
              <w:top w:val="nil"/>
              <w:left w:val="nil"/>
              <w:bottom w:val="single" w:sz="4" w:space="0" w:color="auto"/>
              <w:right w:val="single" w:sz="4" w:space="0" w:color="auto"/>
            </w:tcBorders>
            <w:shd w:val="clear" w:color="auto" w:fill="auto"/>
            <w:hideMark/>
          </w:tcPr>
          <w:p w:rsidR="000B335A" w:rsidRPr="007D22C9" w:rsidRDefault="000B335A" w:rsidP="00D302C3">
            <w:pPr>
              <w:autoSpaceDE/>
              <w:autoSpaceDN/>
              <w:adjustRightInd/>
              <w:spacing w:line="235" w:lineRule="auto"/>
              <w:jc w:val="center"/>
              <w:rPr>
                <w:color w:val="000000"/>
                <w:sz w:val="20"/>
                <w:szCs w:val="20"/>
              </w:rPr>
            </w:pPr>
            <w:r w:rsidRPr="007D22C9">
              <w:rPr>
                <w:color w:val="000000"/>
                <w:sz w:val="20"/>
                <w:szCs w:val="20"/>
              </w:rPr>
              <w:t>1</w:t>
            </w:r>
            <w:r w:rsidR="00945AC7" w:rsidRPr="007D22C9">
              <w:rPr>
                <w:color w:val="000000"/>
                <w:sz w:val="20"/>
                <w:szCs w:val="20"/>
              </w:rPr>
              <w:t>,75</w:t>
            </w:r>
          </w:p>
        </w:tc>
        <w:tc>
          <w:tcPr>
            <w:tcW w:w="708" w:type="dxa"/>
            <w:tcBorders>
              <w:top w:val="nil"/>
              <w:left w:val="nil"/>
              <w:bottom w:val="single" w:sz="4" w:space="0" w:color="auto"/>
              <w:right w:val="single" w:sz="4" w:space="0" w:color="auto"/>
            </w:tcBorders>
            <w:shd w:val="clear" w:color="auto" w:fill="auto"/>
            <w:hideMark/>
          </w:tcPr>
          <w:p w:rsidR="000B335A" w:rsidRPr="007D22C9" w:rsidRDefault="000B335A" w:rsidP="00D302C3">
            <w:pPr>
              <w:autoSpaceDE/>
              <w:autoSpaceDN/>
              <w:adjustRightInd/>
              <w:spacing w:line="235" w:lineRule="auto"/>
              <w:jc w:val="center"/>
              <w:rPr>
                <w:color w:val="000000"/>
                <w:sz w:val="20"/>
                <w:szCs w:val="20"/>
              </w:rPr>
            </w:pPr>
            <w:r w:rsidRPr="007D22C9">
              <w:rPr>
                <w:color w:val="000000"/>
                <w:sz w:val="20"/>
                <w:szCs w:val="20"/>
              </w:rPr>
              <w:t>1</w:t>
            </w:r>
          </w:p>
        </w:tc>
        <w:tc>
          <w:tcPr>
            <w:tcW w:w="993" w:type="dxa"/>
            <w:tcBorders>
              <w:top w:val="nil"/>
              <w:left w:val="nil"/>
              <w:bottom w:val="single" w:sz="4" w:space="0" w:color="auto"/>
              <w:right w:val="single" w:sz="4" w:space="0" w:color="auto"/>
            </w:tcBorders>
            <w:shd w:val="clear" w:color="auto" w:fill="auto"/>
            <w:hideMark/>
          </w:tcPr>
          <w:p w:rsidR="000B335A" w:rsidRPr="007D22C9" w:rsidRDefault="000B335A" w:rsidP="00D302C3">
            <w:pPr>
              <w:autoSpaceDE/>
              <w:autoSpaceDN/>
              <w:adjustRightInd/>
              <w:spacing w:line="235" w:lineRule="auto"/>
              <w:jc w:val="center"/>
              <w:rPr>
                <w:color w:val="000000"/>
                <w:sz w:val="20"/>
                <w:szCs w:val="20"/>
              </w:rPr>
            </w:pPr>
            <w:r w:rsidRPr="007D22C9">
              <w:rPr>
                <w:color w:val="000000"/>
                <w:sz w:val="20"/>
                <w:szCs w:val="20"/>
              </w:rPr>
              <w:t> </w:t>
            </w:r>
            <w:r w:rsidR="00DE16F2" w:rsidRPr="007D22C9">
              <w:rPr>
                <w:color w:val="000000"/>
                <w:sz w:val="20"/>
                <w:szCs w:val="20"/>
              </w:rPr>
              <w:t>0</w:t>
            </w:r>
          </w:p>
        </w:tc>
      </w:tr>
      <w:tr w:rsidR="000B335A" w:rsidRPr="007D22C9" w:rsidTr="00BD3B9A">
        <w:trPr>
          <w:trHeight w:val="20"/>
        </w:trPr>
        <w:tc>
          <w:tcPr>
            <w:tcW w:w="533" w:type="dxa"/>
            <w:tcBorders>
              <w:top w:val="nil"/>
              <w:left w:val="single" w:sz="4" w:space="0" w:color="auto"/>
              <w:bottom w:val="single" w:sz="4" w:space="0" w:color="auto"/>
              <w:right w:val="single" w:sz="4" w:space="0" w:color="auto"/>
            </w:tcBorders>
            <w:shd w:val="clear" w:color="auto" w:fill="auto"/>
            <w:hideMark/>
          </w:tcPr>
          <w:p w:rsidR="000B335A" w:rsidRPr="007D22C9" w:rsidRDefault="000B335A" w:rsidP="00BD3B9A">
            <w:pPr>
              <w:autoSpaceDE/>
              <w:autoSpaceDN/>
              <w:adjustRightInd/>
              <w:jc w:val="center"/>
              <w:rPr>
                <w:color w:val="000000"/>
                <w:sz w:val="20"/>
                <w:szCs w:val="20"/>
              </w:rPr>
            </w:pPr>
            <w:r w:rsidRPr="007D22C9">
              <w:rPr>
                <w:color w:val="000000"/>
                <w:sz w:val="20"/>
                <w:szCs w:val="20"/>
              </w:rPr>
              <w:t>26</w:t>
            </w:r>
            <w:r w:rsidR="003B1A7B" w:rsidRPr="007D22C9">
              <w:rPr>
                <w:color w:val="000000"/>
                <w:sz w:val="20"/>
                <w:szCs w:val="20"/>
              </w:rPr>
              <w:t>.</w:t>
            </w:r>
          </w:p>
        </w:tc>
        <w:tc>
          <w:tcPr>
            <w:tcW w:w="1730" w:type="dxa"/>
            <w:tcBorders>
              <w:top w:val="nil"/>
              <w:left w:val="nil"/>
              <w:bottom w:val="single" w:sz="4" w:space="0" w:color="auto"/>
              <w:right w:val="nil"/>
            </w:tcBorders>
            <w:shd w:val="clear" w:color="auto" w:fill="auto"/>
            <w:hideMark/>
          </w:tcPr>
          <w:p w:rsidR="000B335A" w:rsidRPr="007D22C9" w:rsidRDefault="000B335A" w:rsidP="00BD3B9A">
            <w:pPr>
              <w:autoSpaceDE/>
              <w:autoSpaceDN/>
              <w:adjustRightInd/>
              <w:jc w:val="both"/>
              <w:rPr>
                <w:color w:val="000000"/>
                <w:sz w:val="20"/>
                <w:szCs w:val="20"/>
              </w:rPr>
            </w:pPr>
            <w:r w:rsidRPr="007D22C9">
              <w:rPr>
                <w:color w:val="000000"/>
                <w:sz w:val="20"/>
                <w:szCs w:val="20"/>
              </w:rPr>
              <w:t xml:space="preserve">ГАУЗ </w:t>
            </w:r>
            <w:r w:rsidR="002F7358" w:rsidRPr="007D22C9">
              <w:rPr>
                <w:color w:val="000000"/>
                <w:sz w:val="20"/>
                <w:szCs w:val="20"/>
              </w:rPr>
              <w:t>«</w:t>
            </w:r>
            <w:r w:rsidRPr="007D22C9">
              <w:rPr>
                <w:color w:val="000000"/>
                <w:sz w:val="20"/>
                <w:szCs w:val="20"/>
              </w:rPr>
              <w:t>Мензелинская ЦРБ</w:t>
            </w:r>
            <w:r w:rsidR="002F7358" w:rsidRPr="007D22C9">
              <w:rPr>
                <w:color w:val="000000"/>
                <w:sz w:val="20"/>
                <w:szCs w:val="20"/>
              </w:rPr>
              <w:t>»</w:t>
            </w:r>
          </w:p>
        </w:tc>
        <w:tc>
          <w:tcPr>
            <w:tcW w:w="1418" w:type="dxa"/>
            <w:tcBorders>
              <w:top w:val="nil"/>
              <w:left w:val="single" w:sz="4" w:space="0" w:color="auto"/>
              <w:bottom w:val="single" w:sz="4" w:space="0" w:color="auto"/>
              <w:right w:val="single" w:sz="4" w:space="0" w:color="auto"/>
            </w:tcBorders>
            <w:shd w:val="clear" w:color="auto" w:fill="auto"/>
            <w:hideMark/>
          </w:tcPr>
          <w:p w:rsidR="000B335A" w:rsidRPr="007D22C9" w:rsidRDefault="00C572EE" w:rsidP="00C572EE">
            <w:pPr>
              <w:autoSpaceDE/>
              <w:autoSpaceDN/>
              <w:adjustRightInd/>
              <w:jc w:val="both"/>
              <w:rPr>
                <w:color w:val="000000"/>
                <w:sz w:val="20"/>
                <w:szCs w:val="20"/>
              </w:rPr>
            </w:pPr>
            <w:r w:rsidRPr="007D22C9">
              <w:rPr>
                <w:color w:val="000000"/>
                <w:sz w:val="20"/>
                <w:szCs w:val="20"/>
              </w:rPr>
              <w:t>г.</w:t>
            </w:r>
            <w:r w:rsidR="000B335A" w:rsidRPr="007D22C9">
              <w:rPr>
                <w:color w:val="000000"/>
                <w:sz w:val="20"/>
                <w:szCs w:val="20"/>
              </w:rPr>
              <w:t xml:space="preserve">Мензелинск, </w:t>
            </w:r>
            <w:r w:rsidRPr="007D22C9">
              <w:rPr>
                <w:color w:val="000000"/>
                <w:sz w:val="20"/>
                <w:szCs w:val="20"/>
              </w:rPr>
              <w:t>ул.</w:t>
            </w:r>
            <w:r w:rsidR="000B335A" w:rsidRPr="007D22C9">
              <w:rPr>
                <w:color w:val="000000"/>
                <w:sz w:val="20"/>
                <w:szCs w:val="20"/>
              </w:rPr>
              <w:t xml:space="preserve">Гурьянова, </w:t>
            </w:r>
            <w:r w:rsidR="00C940D5" w:rsidRPr="007D22C9">
              <w:rPr>
                <w:color w:val="000000"/>
                <w:sz w:val="20"/>
                <w:szCs w:val="20"/>
              </w:rPr>
              <w:t>д.</w:t>
            </w:r>
            <w:r w:rsidR="000B335A" w:rsidRPr="007D22C9">
              <w:rPr>
                <w:color w:val="000000"/>
                <w:sz w:val="20"/>
                <w:szCs w:val="20"/>
              </w:rPr>
              <w:t>98/6</w:t>
            </w:r>
          </w:p>
        </w:tc>
        <w:tc>
          <w:tcPr>
            <w:tcW w:w="1418" w:type="dxa"/>
            <w:tcBorders>
              <w:top w:val="nil"/>
              <w:left w:val="nil"/>
              <w:bottom w:val="single" w:sz="4" w:space="0" w:color="auto"/>
              <w:right w:val="single" w:sz="4" w:space="0" w:color="auto"/>
            </w:tcBorders>
            <w:shd w:val="clear" w:color="auto" w:fill="auto"/>
            <w:hideMark/>
          </w:tcPr>
          <w:p w:rsidR="000B335A" w:rsidRPr="007D22C9" w:rsidRDefault="000B335A" w:rsidP="00BD3B9A">
            <w:pPr>
              <w:autoSpaceDE/>
              <w:autoSpaceDN/>
              <w:adjustRightInd/>
              <w:jc w:val="both"/>
              <w:rPr>
                <w:color w:val="000000"/>
                <w:sz w:val="20"/>
                <w:szCs w:val="20"/>
              </w:rPr>
            </w:pPr>
            <w:r w:rsidRPr="007D22C9">
              <w:rPr>
                <w:color w:val="000000"/>
                <w:sz w:val="20"/>
                <w:szCs w:val="20"/>
              </w:rPr>
              <w:t>Мензелинский муниципальный район</w:t>
            </w:r>
          </w:p>
        </w:tc>
        <w:tc>
          <w:tcPr>
            <w:tcW w:w="851" w:type="dxa"/>
            <w:tcBorders>
              <w:top w:val="nil"/>
              <w:left w:val="nil"/>
              <w:bottom w:val="single" w:sz="4" w:space="0" w:color="auto"/>
              <w:right w:val="single" w:sz="4" w:space="0" w:color="auto"/>
            </w:tcBorders>
            <w:shd w:val="clear" w:color="auto" w:fill="auto"/>
            <w:hideMark/>
          </w:tcPr>
          <w:p w:rsidR="000B335A" w:rsidRPr="007D22C9" w:rsidRDefault="000B335A" w:rsidP="00BD3B9A">
            <w:pPr>
              <w:autoSpaceDE/>
              <w:autoSpaceDN/>
              <w:adjustRightInd/>
              <w:jc w:val="center"/>
              <w:rPr>
                <w:color w:val="000000"/>
                <w:sz w:val="20"/>
                <w:szCs w:val="20"/>
              </w:rPr>
            </w:pPr>
            <w:r w:rsidRPr="007D22C9">
              <w:rPr>
                <w:color w:val="000000"/>
                <w:sz w:val="20"/>
                <w:szCs w:val="20"/>
              </w:rPr>
              <w:t>23 705</w:t>
            </w:r>
          </w:p>
        </w:tc>
        <w:tc>
          <w:tcPr>
            <w:tcW w:w="850" w:type="dxa"/>
            <w:tcBorders>
              <w:top w:val="nil"/>
              <w:left w:val="nil"/>
              <w:bottom w:val="single" w:sz="4" w:space="0" w:color="auto"/>
              <w:right w:val="single" w:sz="4" w:space="0" w:color="auto"/>
            </w:tcBorders>
            <w:shd w:val="clear" w:color="auto" w:fill="auto"/>
            <w:hideMark/>
          </w:tcPr>
          <w:p w:rsidR="000B335A" w:rsidRPr="007D22C9" w:rsidRDefault="000B335A" w:rsidP="00BD3B9A">
            <w:pPr>
              <w:autoSpaceDE/>
              <w:autoSpaceDN/>
              <w:adjustRightInd/>
              <w:jc w:val="center"/>
              <w:rPr>
                <w:color w:val="000000"/>
                <w:sz w:val="20"/>
                <w:szCs w:val="20"/>
              </w:rPr>
            </w:pPr>
            <w:r w:rsidRPr="007D22C9">
              <w:rPr>
                <w:color w:val="000000"/>
                <w:sz w:val="20"/>
                <w:szCs w:val="20"/>
              </w:rPr>
              <w:t>0,79</w:t>
            </w:r>
          </w:p>
        </w:tc>
        <w:tc>
          <w:tcPr>
            <w:tcW w:w="1077" w:type="dxa"/>
            <w:tcBorders>
              <w:top w:val="nil"/>
              <w:left w:val="nil"/>
              <w:bottom w:val="single" w:sz="4" w:space="0" w:color="auto"/>
              <w:right w:val="single" w:sz="4" w:space="0" w:color="auto"/>
            </w:tcBorders>
            <w:shd w:val="clear" w:color="auto" w:fill="auto"/>
            <w:hideMark/>
          </w:tcPr>
          <w:p w:rsidR="000B335A" w:rsidRPr="007D22C9" w:rsidRDefault="000B335A" w:rsidP="00BD3B9A">
            <w:pPr>
              <w:autoSpaceDE/>
              <w:autoSpaceDN/>
              <w:adjustRightInd/>
              <w:jc w:val="center"/>
              <w:rPr>
                <w:color w:val="000000"/>
                <w:sz w:val="20"/>
                <w:szCs w:val="20"/>
              </w:rPr>
            </w:pPr>
            <w:r w:rsidRPr="007D22C9">
              <w:rPr>
                <w:color w:val="000000"/>
                <w:sz w:val="20"/>
                <w:szCs w:val="20"/>
              </w:rPr>
              <w:t>1</w:t>
            </w:r>
            <w:r w:rsidR="00945AC7" w:rsidRPr="007D22C9">
              <w:rPr>
                <w:color w:val="000000"/>
                <w:sz w:val="20"/>
                <w:szCs w:val="20"/>
              </w:rPr>
              <w:t>,00</w:t>
            </w:r>
          </w:p>
        </w:tc>
        <w:tc>
          <w:tcPr>
            <w:tcW w:w="992" w:type="dxa"/>
            <w:tcBorders>
              <w:top w:val="nil"/>
              <w:left w:val="nil"/>
              <w:bottom w:val="single" w:sz="4" w:space="0" w:color="auto"/>
              <w:right w:val="single" w:sz="4" w:space="0" w:color="auto"/>
            </w:tcBorders>
            <w:shd w:val="clear" w:color="auto" w:fill="auto"/>
            <w:hideMark/>
          </w:tcPr>
          <w:p w:rsidR="000B335A" w:rsidRPr="007D22C9" w:rsidRDefault="00945AC7" w:rsidP="00BD3B9A">
            <w:pPr>
              <w:autoSpaceDE/>
              <w:autoSpaceDN/>
              <w:adjustRightInd/>
              <w:jc w:val="center"/>
              <w:rPr>
                <w:color w:val="000000"/>
                <w:sz w:val="20"/>
                <w:szCs w:val="20"/>
              </w:rPr>
            </w:pPr>
            <w:r w:rsidRPr="007D22C9">
              <w:rPr>
                <w:color w:val="000000"/>
                <w:sz w:val="20"/>
                <w:szCs w:val="20"/>
              </w:rPr>
              <w:t>0,50</w:t>
            </w:r>
          </w:p>
        </w:tc>
        <w:tc>
          <w:tcPr>
            <w:tcW w:w="708" w:type="dxa"/>
            <w:tcBorders>
              <w:top w:val="nil"/>
              <w:left w:val="nil"/>
              <w:bottom w:val="single" w:sz="4" w:space="0" w:color="auto"/>
              <w:right w:val="single" w:sz="4" w:space="0" w:color="auto"/>
            </w:tcBorders>
            <w:shd w:val="clear" w:color="auto" w:fill="auto"/>
            <w:hideMark/>
          </w:tcPr>
          <w:p w:rsidR="000B335A" w:rsidRPr="007D22C9" w:rsidRDefault="00945AC7" w:rsidP="00945AC7">
            <w:pPr>
              <w:autoSpaceDE/>
              <w:autoSpaceDN/>
              <w:adjustRightInd/>
              <w:jc w:val="center"/>
              <w:rPr>
                <w:color w:val="000000"/>
                <w:sz w:val="20"/>
                <w:szCs w:val="20"/>
              </w:rPr>
            </w:pPr>
            <w:r w:rsidRPr="007D22C9">
              <w:rPr>
                <w:color w:val="000000"/>
                <w:sz w:val="20"/>
                <w:szCs w:val="20"/>
              </w:rPr>
              <w:t>1</w:t>
            </w:r>
          </w:p>
        </w:tc>
        <w:tc>
          <w:tcPr>
            <w:tcW w:w="993" w:type="dxa"/>
            <w:tcBorders>
              <w:top w:val="nil"/>
              <w:left w:val="nil"/>
              <w:bottom w:val="single" w:sz="4" w:space="0" w:color="auto"/>
              <w:right w:val="single" w:sz="4" w:space="0" w:color="auto"/>
            </w:tcBorders>
            <w:shd w:val="clear" w:color="auto" w:fill="auto"/>
            <w:hideMark/>
          </w:tcPr>
          <w:p w:rsidR="000B335A" w:rsidRPr="007D22C9" w:rsidRDefault="00945AC7" w:rsidP="00945AC7">
            <w:pPr>
              <w:autoSpaceDE/>
              <w:autoSpaceDN/>
              <w:adjustRightInd/>
              <w:jc w:val="center"/>
              <w:rPr>
                <w:color w:val="000000"/>
                <w:sz w:val="20"/>
                <w:szCs w:val="20"/>
              </w:rPr>
            </w:pPr>
            <w:r w:rsidRPr="007D22C9">
              <w:rPr>
                <w:color w:val="000000"/>
                <w:sz w:val="20"/>
                <w:szCs w:val="20"/>
              </w:rPr>
              <w:t>1</w:t>
            </w:r>
          </w:p>
        </w:tc>
      </w:tr>
      <w:tr w:rsidR="000B335A" w:rsidRPr="007D22C9" w:rsidTr="00BD3B9A">
        <w:trPr>
          <w:trHeight w:val="20"/>
        </w:trPr>
        <w:tc>
          <w:tcPr>
            <w:tcW w:w="533" w:type="dxa"/>
            <w:tcBorders>
              <w:top w:val="nil"/>
              <w:left w:val="single" w:sz="4" w:space="0" w:color="auto"/>
              <w:bottom w:val="single" w:sz="4" w:space="0" w:color="auto"/>
              <w:right w:val="single" w:sz="4" w:space="0" w:color="auto"/>
            </w:tcBorders>
            <w:shd w:val="clear" w:color="auto" w:fill="auto"/>
            <w:hideMark/>
          </w:tcPr>
          <w:p w:rsidR="000B335A" w:rsidRPr="007D22C9" w:rsidRDefault="000B335A" w:rsidP="00BD3B9A">
            <w:pPr>
              <w:autoSpaceDE/>
              <w:autoSpaceDN/>
              <w:adjustRightInd/>
              <w:jc w:val="center"/>
              <w:rPr>
                <w:color w:val="000000"/>
                <w:sz w:val="20"/>
                <w:szCs w:val="20"/>
              </w:rPr>
            </w:pPr>
            <w:r w:rsidRPr="007D22C9">
              <w:rPr>
                <w:color w:val="000000"/>
                <w:sz w:val="20"/>
                <w:szCs w:val="20"/>
              </w:rPr>
              <w:t>27</w:t>
            </w:r>
            <w:r w:rsidR="003B1A7B" w:rsidRPr="007D22C9">
              <w:rPr>
                <w:color w:val="000000"/>
                <w:sz w:val="20"/>
                <w:szCs w:val="20"/>
              </w:rPr>
              <w:t>.</w:t>
            </w:r>
          </w:p>
        </w:tc>
        <w:tc>
          <w:tcPr>
            <w:tcW w:w="1730" w:type="dxa"/>
            <w:tcBorders>
              <w:top w:val="nil"/>
              <w:left w:val="nil"/>
              <w:bottom w:val="single" w:sz="4" w:space="0" w:color="auto"/>
              <w:right w:val="nil"/>
            </w:tcBorders>
            <w:shd w:val="clear" w:color="auto" w:fill="auto"/>
            <w:hideMark/>
          </w:tcPr>
          <w:p w:rsidR="000B335A" w:rsidRPr="007D22C9" w:rsidRDefault="000B335A" w:rsidP="00BD3B9A">
            <w:pPr>
              <w:autoSpaceDE/>
              <w:autoSpaceDN/>
              <w:adjustRightInd/>
              <w:jc w:val="both"/>
              <w:rPr>
                <w:color w:val="000000"/>
                <w:sz w:val="20"/>
                <w:szCs w:val="20"/>
              </w:rPr>
            </w:pPr>
            <w:r w:rsidRPr="007D22C9">
              <w:rPr>
                <w:color w:val="000000"/>
                <w:sz w:val="20"/>
                <w:szCs w:val="20"/>
              </w:rPr>
              <w:t xml:space="preserve">ГАУЗ </w:t>
            </w:r>
            <w:r w:rsidR="002F7358" w:rsidRPr="007D22C9">
              <w:rPr>
                <w:color w:val="000000"/>
                <w:sz w:val="20"/>
                <w:szCs w:val="20"/>
              </w:rPr>
              <w:t>«</w:t>
            </w:r>
            <w:r w:rsidRPr="007D22C9">
              <w:rPr>
                <w:color w:val="000000"/>
                <w:sz w:val="20"/>
                <w:szCs w:val="20"/>
              </w:rPr>
              <w:t>Муслюмовская ЦРБ</w:t>
            </w:r>
            <w:r w:rsidR="002F7358" w:rsidRPr="007D22C9">
              <w:rPr>
                <w:color w:val="000000"/>
                <w:sz w:val="20"/>
                <w:szCs w:val="20"/>
              </w:rPr>
              <w:t>»</w:t>
            </w:r>
          </w:p>
        </w:tc>
        <w:tc>
          <w:tcPr>
            <w:tcW w:w="1418" w:type="dxa"/>
            <w:tcBorders>
              <w:top w:val="nil"/>
              <w:left w:val="single" w:sz="4" w:space="0" w:color="auto"/>
              <w:bottom w:val="single" w:sz="4" w:space="0" w:color="auto"/>
              <w:right w:val="single" w:sz="4" w:space="0" w:color="auto"/>
            </w:tcBorders>
            <w:shd w:val="clear" w:color="auto" w:fill="auto"/>
            <w:hideMark/>
          </w:tcPr>
          <w:p w:rsidR="000B335A" w:rsidRPr="007D22C9" w:rsidRDefault="00C572EE" w:rsidP="00C572EE">
            <w:pPr>
              <w:autoSpaceDE/>
              <w:autoSpaceDN/>
              <w:adjustRightInd/>
              <w:jc w:val="both"/>
              <w:rPr>
                <w:color w:val="000000"/>
                <w:sz w:val="20"/>
                <w:szCs w:val="20"/>
              </w:rPr>
            </w:pPr>
            <w:r w:rsidRPr="007D22C9">
              <w:rPr>
                <w:color w:val="000000"/>
                <w:sz w:val="20"/>
                <w:szCs w:val="20"/>
              </w:rPr>
              <w:t>с.</w:t>
            </w:r>
            <w:r w:rsidR="000B335A" w:rsidRPr="007D22C9">
              <w:rPr>
                <w:color w:val="000000"/>
                <w:sz w:val="20"/>
                <w:szCs w:val="20"/>
              </w:rPr>
              <w:t xml:space="preserve">Муслюмово, </w:t>
            </w:r>
            <w:r w:rsidRPr="007D22C9">
              <w:rPr>
                <w:color w:val="000000"/>
                <w:sz w:val="20"/>
                <w:szCs w:val="20"/>
              </w:rPr>
              <w:t>ул.</w:t>
            </w:r>
            <w:r w:rsidR="000B335A" w:rsidRPr="007D22C9">
              <w:rPr>
                <w:color w:val="000000"/>
                <w:sz w:val="20"/>
                <w:szCs w:val="20"/>
              </w:rPr>
              <w:t xml:space="preserve">Шашина, </w:t>
            </w:r>
            <w:r w:rsidR="00C940D5" w:rsidRPr="007D22C9">
              <w:rPr>
                <w:color w:val="000000"/>
                <w:sz w:val="20"/>
                <w:szCs w:val="20"/>
              </w:rPr>
              <w:t>д.</w:t>
            </w:r>
            <w:r w:rsidR="000B335A" w:rsidRPr="007D22C9">
              <w:rPr>
                <w:color w:val="000000"/>
                <w:sz w:val="20"/>
                <w:szCs w:val="20"/>
              </w:rPr>
              <w:t>2</w:t>
            </w:r>
          </w:p>
        </w:tc>
        <w:tc>
          <w:tcPr>
            <w:tcW w:w="1418" w:type="dxa"/>
            <w:tcBorders>
              <w:top w:val="nil"/>
              <w:left w:val="nil"/>
              <w:bottom w:val="single" w:sz="4" w:space="0" w:color="auto"/>
              <w:right w:val="single" w:sz="4" w:space="0" w:color="auto"/>
            </w:tcBorders>
            <w:shd w:val="clear" w:color="auto" w:fill="auto"/>
            <w:hideMark/>
          </w:tcPr>
          <w:p w:rsidR="000B335A" w:rsidRPr="007D22C9" w:rsidRDefault="000B335A" w:rsidP="00BD3B9A">
            <w:pPr>
              <w:autoSpaceDE/>
              <w:autoSpaceDN/>
              <w:adjustRightInd/>
              <w:jc w:val="both"/>
              <w:rPr>
                <w:color w:val="000000"/>
                <w:sz w:val="20"/>
                <w:szCs w:val="20"/>
              </w:rPr>
            </w:pPr>
            <w:r w:rsidRPr="007D22C9">
              <w:rPr>
                <w:color w:val="000000"/>
                <w:sz w:val="20"/>
                <w:szCs w:val="20"/>
              </w:rPr>
              <w:t>Муслюмовский муниципальный район</w:t>
            </w:r>
          </w:p>
        </w:tc>
        <w:tc>
          <w:tcPr>
            <w:tcW w:w="851" w:type="dxa"/>
            <w:tcBorders>
              <w:top w:val="nil"/>
              <w:left w:val="nil"/>
              <w:bottom w:val="single" w:sz="4" w:space="0" w:color="auto"/>
              <w:right w:val="single" w:sz="4" w:space="0" w:color="auto"/>
            </w:tcBorders>
            <w:shd w:val="clear" w:color="auto" w:fill="auto"/>
            <w:hideMark/>
          </w:tcPr>
          <w:p w:rsidR="000B335A" w:rsidRPr="007D22C9" w:rsidRDefault="000B335A" w:rsidP="00BD3B9A">
            <w:pPr>
              <w:autoSpaceDE/>
              <w:autoSpaceDN/>
              <w:adjustRightInd/>
              <w:jc w:val="center"/>
              <w:rPr>
                <w:color w:val="000000"/>
                <w:sz w:val="20"/>
                <w:szCs w:val="20"/>
              </w:rPr>
            </w:pPr>
            <w:r w:rsidRPr="007D22C9">
              <w:rPr>
                <w:color w:val="000000"/>
                <w:sz w:val="20"/>
                <w:szCs w:val="20"/>
              </w:rPr>
              <w:t>17 719</w:t>
            </w:r>
          </w:p>
        </w:tc>
        <w:tc>
          <w:tcPr>
            <w:tcW w:w="850" w:type="dxa"/>
            <w:tcBorders>
              <w:top w:val="nil"/>
              <w:left w:val="nil"/>
              <w:bottom w:val="single" w:sz="4" w:space="0" w:color="auto"/>
              <w:right w:val="single" w:sz="4" w:space="0" w:color="auto"/>
            </w:tcBorders>
            <w:shd w:val="clear" w:color="auto" w:fill="auto"/>
            <w:hideMark/>
          </w:tcPr>
          <w:p w:rsidR="000B335A" w:rsidRPr="007D22C9" w:rsidRDefault="000B335A" w:rsidP="00BD3B9A">
            <w:pPr>
              <w:autoSpaceDE/>
              <w:autoSpaceDN/>
              <w:adjustRightInd/>
              <w:jc w:val="center"/>
              <w:rPr>
                <w:color w:val="000000"/>
                <w:sz w:val="20"/>
                <w:szCs w:val="20"/>
              </w:rPr>
            </w:pPr>
            <w:r w:rsidRPr="007D22C9">
              <w:rPr>
                <w:color w:val="000000"/>
                <w:sz w:val="20"/>
                <w:szCs w:val="20"/>
              </w:rPr>
              <w:t>0,59</w:t>
            </w:r>
          </w:p>
        </w:tc>
        <w:tc>
          <w:tcPr>
            <w:tcW w:w="1077" w:type="dxa"/>
            <w:tcBorders>
              <w:top w:val="nil"/>
              <w:left w:val="nil"/>
              <w:bottom w:val="single" w:sz="4" w:space="0" w:color="auto"/>
              <w:right w:val="single" w:sz="4" w:space="0" w:color="auto"/>
            </w:tcBorders>
            <w:shd w:val="clear" w:color="auto" w:fill="auto"/>
            <w:hideMark/>
          </w:tcPr>
          <w:p w:rsidR="000B335A" w:rsidRPr="007D22C9" w:rsidRDefault="000B335A" w:rsidP="00BD3B9A">
            <w:pPr>
              <w:autoSpaceDE/>
              <w:autoSpaceDN/>
              <w:adjustRightInd/>
              <w:jc w:val="center"/>
              <w:rPr>
                <w:color w:val="000000"/>
                <w:sz w:val="20"/>
                <w:szCs w:val="20"/>
              </w:rPr>
            </w:pPr>
            <w:r w:rsidRPr="007D22C9">
              <w:rPr>
                <w:color w:val="000000"/>
                <w:sz w:val="20"/>
                <w:szCs w:val="20"/>
              </w:rPr>
              <w:t>0,5</w:t>
            </w:r>
            <w:r w:rsidR="00945AC7" w:rsidRPr="007D22C9">
              <w:rPr>
                <w:color w:val="000000"/>
                <w:sz w:val="20"/>
                <w:szCs w:val="20"/>
              </w:rPr>
              <w:t>0</w:t>
            </w:r>
          </w:p>
        </w:tc>
        <w:tc>
          <w:tcPr>
            <w:tcW w:w="992" w:type="dxa"/>
            <w:tcBorders>
              <w:top w:val="nil"/>
              <w:left w:val="nil"/>
              <w:bottom w:val="single" w:sz="4" w:space="0" w:color="auto"/>
              <w:right w:val="single" w:sz="4" w:space="0" w:color="auto"/>
            </w:tcBorders>
            <w:shd w:val="clear" w:color="auto" w:fill="auto"/>
            <w:hideMark/>
          </w:tcPr>
          <w:p w:rsidR="000B335A" w:rsidRPr="007D22C9" w:rsidRDefault="000B335A" w:rsidP="00945AC7">
            <w:pPr>
              <w:autoSpaceDE/>
              <w:autoSpaceDN/>
              <w:adjustRightInd/>
              <w:jc w:val="center"/>
              <w:rPr>
                <w:color w:val="000000"/>
                <w:sz w:val="20"/>
                <w:szCs w:val="20"/>
              </w:rPr>
            </w:pPr>
            <w:r w:rsidRPr="007D22C9">
              <w:rPr>
                <w:color w:val="000000"/>
                <w:sz w:val="20"/>
                <w:szCs w:val="20"/>
              </w:rPr>
              <w:t>0,</w:t>
            </w:r>
            <w:r w:rsidR="00945AC7" w:rsidRPr="007D22C9">
              <w:rPr>
                <w:color w:val="000000"/>
                <w:sz w:val="20"/>
                <w:szCs w:val="20"/>
              </w:rPr>
              <w:t>25</w:t>
            </w:r>
          </w:p>
        </w:tc>
        <w:tc>
          <w:tcPr>
            <w:tcW w:w="708" w:type="dxa"/>
            <w:tcBorders>
              <w:top w:val="nil"/>
              <w:left w:val="nil"/>
              <w:bottom w:val="single" w:sz="4" w:space="0" w:color="auto"/>
              <w:right w:val="single" w:sz="4" w:space="0" w:color="auto"/>
            </w:tcBorders>
            <w:shd w:val="clear" w:color="auto" w:fill="auto"/>
            <w:hideMark/>
          </w:tcPr>
          <w:p w:rsidR="000B335A" w:rsidRPr="007D22C9" w:rsidRDefault="000B335A" w:rsidP="00BD3B9A">
            <w:pPr>
              <w:autoSpaceDE/>
              <w:autoSpaceDN/>
              <w:adjustRightInd/>
              <w:jc w:val="center"/>
              <w:rPr>
                <w:color w:val="000000"/>
                <w:sz w:val="20"/>
                <w:szCs w:val="20"/>
              </w:rPr>
            </w:pPr>
            <w:r w:rsidRPr="007D22C9">
              <w:rPr>
                <w:color w:val="000000"/>
                <w:sz w:val="20"/>
                <w:szCs w:val="20"/>
              </w:rPr>
              <w:t>1</w:t>
            </w:r>
          </w:p>
        </w:tc>
        <w:tc>
          <w:tcPr>
            <w:tcW w:w="993" w:type="dxa"/>
            <w:tcBorders>
              <w:top w:val="nil"/>
              <w:left w:val="nil"/>
              <w:bottom w:val="single" w:sz="4" w:space="0" w:color="auto"/>
              <w:right w:val="single" w:sz="4" w:space="0" w:color="auto"/>
            </w:tcBorders>
            <w:shd w:val="clear" w:color="auto" w:fill="auto"/>
            <w:hideMark/>
          </w:tcPr>
          <w:p w:rsidR="000B335A" w:rsidRPr="007D22C9" w:rsidRDefault="000B335A" w:rsidP="00BD3B9A">
            <w:pPr>
              <w:autoSpaceDE/>
              <w:autoSpaceDN/>
              <w:adjustRightInd/>
              <w:jc w:val="center"/>
              <w:rPr>
                <w:color w:val="000000"/>
                <w:sz w:val="20"/>
                <w:szCs w:val="20"/>
              </w:rPr>
            </w:pPr>
            <w:r w:rsidRPr="007D22C9">
              <w:rPr>
                <w:color w:val="000000"/>
                <w:sz w:val="20"/>
                <w:szCs w:val="20"/>
              </w:rPr>
              <w:t>1</w:t>
            </w:r>
          </w:p>
        </w:tc>
      </w:tr>
      <w:tr w:rsidR="000B335A" w:rsidRPr="007D22C9" w:rsidTr="00BD3B9A">
        <w:trPr>
          <w:trHeight w:val="20"/>
        </w:trPr>
        <w:tc>
          <w:tcPr>
            <w:tcW w:w="533" w:type="dxa"/>
            <w:tcBorders>
              <w:top w:val="nil"/>
              <w:left w:val="single" w:sz="4" w:space="0" w:color="auto"/>
              <w:bottom w:val="single" w:sz="4" w:space="0" w:color="auto"/>
              <w:right w:val="single" w:sz="4" w:space="0" w:color="auto"/>
            </w:tcBorders>
            <w:shd w:val="clear" w:color="auto" w:fill="auto"/>
            <w:hideMark/>
          </w:tcPr>
          <w:p w:rsidR="000B335A" w:rsidRPr="007D22C9" w:rsidRDefault="000B335A" w:rsidP="00BD3B9A">
            <w:pPr>
              <w:autoSpaceDE/>
              <w:autoSpaceDN/>
              <w:adjustRightInd/>
              <w:jc w:val="center"/>
              <w:rPr>
                <w:color w:val="000000"/>
                <w:sz w:val="20"/>
                <w:szCs w:val="20"/>
              </w:rPr>
            </w:pPr>
            <w:r w:rsidRPr="007D22C9">
              <w:rPr>
                <w:color w:val="000000"/>
                <w:sz w:val="20"/>
                <w:szCs w:val="20"/>
              </w:rPr>
              <w:t>28</w:t>
            </w:r>
            <w:r w:rsidR="003B1A7B" w:rsidRPr="007D22C9">
              <w:rPr>
                <w:color w:val="000000"/>
                <w:sz w:val="20"/>
                <w:szCs w:val="20"/>
              </w:rPr>
              <w:t>.</w:t>
            </w:r>
          </w:p>
        </w:tc>
        <w:tc>
          <w:tcPr>
            <w:tcW w:w="1730" w:type="dxa"/>
            <w:tcBorders>
              <w:top w:val="nil"/>
              <w:left w:val="nil"/>
              <w:bottom w:val="single" w:sz="4" w:space="0" w:color="auto"/>
              <w:right w:val="nil"/>
            </w:tcBorders>
            <w:shd w:val="clear" w:color="auto" w:fill="auto"/>
            <w:hideMark/>
          </w:tcPr>
          <w:p w:rsidR="000B335A" w:rsidRPr="007D22C9" w:rsidRDefault="000B335A" w:rsidP="00BD3B9A">
            <w:pPr>
              <w:autoSpaceDE/>
              <w:autoSpaceDN/>
              <w:adjustRightInd/>
              <w:jc w:val="both"/>
              <w:rPr>
                <w:color w:val="000000"/>
                <w:sz w:val="20"/>
                <w:szCs w:val="20"/>
              </w:rPr>
            </w:pPr>
            <w:r w:rsidRPr="007D22C9">
              <w:rPr>
                <w:color w:val="000000"/>
                <w:sz w:val="20"/>
                <w:szCs w:val="20"/>
              </w:rPr>
              <w:t xml:space="preserve">ГАУЗ </w:t>
            </w:r>
            <w:r w:rsidR="002F7358" w:rsidRPr="007D22C9">
              <w:rPr>
                <w:color w:val="000000"/>
                <w:sz w:val="20"/>
                <w:szCs w:val="20"/>
              </w:rPr>
              <w:t>«</w:t>
            </w:r>
            <w:r w:rsidRPr="007D22C9">
              <w:rPr>
                <w:color w:val="000000"/>
                <w:sz w:val="20"/>
                <w:szCs w:val="20"/>
              </w:rPr>
              <w:t>Новошешминская ЦРБ</w:t>
            </w:r>
            <w:r w:rsidR="002F7358" w:rsidRPr="007D22C9">
              <w:rPr>
                <w:color w:val="000000"/>
                <w:sz w:val="20"/>
                <w:szCs w:val="20"/>
              </w:rPr>
              <w:t>»</w:t>
            </w:r>
          </w:p>
        </w:tc>
        <w:tc>
          <w:tcPr>
            <w:tcW w:w="1418" w:type="dxa"/>
            <w:tcBorders>
              <w:top w:val="nil"/>
              <w:left w:val="single" w:sz="4" w:space="0" w:color="auto"/>
              <w:bottom w:val="single" w:sz="4" w:space="0" w:color="auto"/>
              <w:right w:val="single" w:sz="4" w:space="0" w:color="auto"/>
            </w:tcBorders>
            <w:shd w:val="clear" w:color="auto" w:fill="auto"/>
            <w:hideMark/>
          </w:tcPr>
          <w:p w:rsidR="000B335A" w:rsidRPr="007D22C9" w:rsidRDefault="00C572EE" w:rsidP="00C572EE">
            <w:pPr>
              <w:autoSpaceDE/>
              <w:autoSpaceDN/>
              <w:adjustRightInd/>
              <w:jc w:val="both"/>
              <w:rPr>
                <w:color w:val="000000"/>
                <w:sz w:val="20"/>
                <w:szCs w:val="20"/>
              </w:rPr>
            </w:pPr>
            <w:r w:rsidRPr="007D22C9">
              <w:rPr>
                <w:color w:val="000000"/>
                <w:sz w:val="20"/>
                <w:szCs w:val="20"/>
              </w:rPr>
              <w:t>с.</w:t>
            </w:r>
            <w:r w:rsidR="000B335A" w:rsidRPr="007D22C9">
              <w:rPr>
                <w:color w:val="000000"/>
                <w:sz w:val="20"/>
                <w:szCs w:val="20"/>
              </w:rPr>
              <w:t xml:space="preserve">Новошешминск, </w:t>
            </w:r>
            <w:r w:rsidR="000737A9" w:rsidRPr="007D22C9">
              <w:rPr>
                <w:color w:val="000000"/>
                <w:sz w:val="20"/>
                <w:szCs w:val="20"/>
              </w:rPr>
              <w:t>ул.</w:t>
            </w:r>
            <w:r w:rsidR="000B335A" w:rsidRPr="007D22C9">
              <w:rPr>
                <w:color w:val="000000"/>
                <w:sz w:val="20"/>
                <w:szCs w:val="20"/>
              </w:rPr>
              <w:t xml:space="preserve">Майская, </w:t>
            </w:r>
            <w:r w:rsidR="00C940D5" w:rsidRPr="007D22C9">
              <w:rPr>
                <w:color w:val="000000"/>
                <w:sz w:val="20"/>
                <w:szCs w:val="20"/>
              </w:rPr>
              <w:t>д.</w:t>
            </w:r>
            <w:r w:rsidR="000B335A" w:rsidRPr="007D22C9">
              <w:rPr>
                <w:color w:val="000000"/>
                <w:sz w:val="20"/>
                <w:szCs w:val="20"/>
              </w:rPr>
              <w:t>8</w:t>
            </w:r>
          </w:p>
        </w:tc>
        <w:tc>
          <w:tcPr>
            <w:tcW w:w="1418" w:type="dxa"/>
            <w:tcBorders>
              <w:top w:val="nil"/>
              <w:left w:val="nil"/>
              <w:bottom w:val="single" w:sz="4" w:space="0" w:color="auto"/>
              <w:right w:val="single" w:sz="4" w:space="0" w:color="auto"/>
            </w:tcBorders>
            <w:shd w:val="clear" w:color="auto" w:fill="auto"/>
            <w:hideMark/>
          </w:tcPr>
          <w:p w:rsidR="000B335A" w:rsidRPr="007D22C9" w:rsidRDefault="000B335A" w:rsidP="00BD3B9A">
            <w:pPr>
              <w:autoSpaceDE/>
              <w:autoSpaceDN/>
              <w:adjustRightInd/>
              <w:jc w:val="both"/>
              <w:rPr>
                <w:color w:val="000000"/>
                <w:sz w:val="20"/>
                <w:szCs w:val="20"/>
              </w:rPr>
            </w:pPr>
            <w:r w:rsidRPr="007D22C9">
              <w:rPr>
                <w:color w:val="000000"/>
                <w:sz w:val="20"/>
                <w:szCs w:val="20"/>
              </w:rPr>
              <w:t>Н</w:t>
            </w:r>
            <w:r w:rsidR="00C940D5" w:rsidRPr="007D22C9">
              <w:rPr>
                <w:color w:val="000000"/>
                <w:sz w:val="20"/>
                <w:szCs w:val="20"/>
              </w:rPr>
              <w:t>овошешминский муниципальный рай</w:t>
            </w:r>
            <w:r w:rsidRPr="007D22C9">
              <w:rPr>
                <w:color w:val="000000"/>
                <w:sz w:val="20"/>
                <w:szCs w:val="20"/>
              </w:rPr>
              <w:t>он</w:t>
            </w:r>
          </w:p>
        </w:tc>
        <w:tc>
          <w:tcPr>
            <w:tcW w:w="851" w:type="dxa"/>
            <w:tcBorders>
              <w:top w:val="nil"/>
              <w:left w:val="nil"/>
              <w:bottom w:val="single" w:sz="4" w:space="0" w:color="auto"/>
              <w:right w:val="single" w:sz="4" w:space="0" w:color="auto"/>
            </w:tcBorders>
            <w:shd w:val="clear" w:color="000000" w:fill="FFFFFF"/>
            <w:hideMark/>
          </w:tcPr>
          <w:p w:rsidR="000B335A" w:rsidRPr="007D22C9" w:rsidRDefault="000B335A" w:rsidP="00BD3B9A">
            <w:pPr>
              <w:autoSpaceDE/>
              <w:autoSpaceDN/>
              <w:adjustRightInd/>
              <w:jc w:val="center"/>
              <w:rPr>
                <w:color w:val="000000"/>
                <w:sz w:val="20"/>
                <w:szCs w:val="20"/>
              </w:rPr>
            </w:pPr>
            <w:r w:rsidRPr="007D22C9">
              <w:rPr>
                <w:color w:val="000000"/>
                <w:sz w:val="20"/>
                <w:szCs w:val="20"/>
              </w:rPr>
              <w:t>11 541</w:t>
            </w:r>
          </w:p>
        </w:tc>
        <w:tc>
          <w:tcPr>
            <w:tcW w:w="850" w:type="dxa"/>
            <w:tcBorders>
              <w:top w:val="nil"/>
              <w:left w:val="nil"/>
              <w:bottom w:val="single" w:sz="4" w:space="0" w:color="auto"/>
              <w:right w:val="single" w:sz="4" w:space="0" w:color="auto"/>
            </w:tcBorders>
            <w:shd w:val="clear" w:color="auto" w:fill="auto"/>
            <w:hideMark/>
          </w:tcPr>
          <w:p w:rsidR="000B335A" w:rsidRPr="007D22C9" w:rsidRDefault="000B335A" w:rsidP="00BD3B9A">
            <w:pPr>
              <w:autoSpaceDE/>
              <w:autoSpaceDN/>
              <w:adjustRightInd/>
              <w:jc w:val="center"/>
              <w:rPr>
                <w:color w:val="000000"/>
                <w:sz w:val="20"/>
                <w:szCs w:val="20"/>
              </w:rPr>
            </w:pPr>
            <w:r w:rsidRPr="007D22C9">
              <w:rPr>
                <w:color w:val="000000"/>
                <w:sz w:val="20"/>
                <w:szCs w:val="20"/>
              </w:rPr>
              <w:t>0,38</w:t>
            </w:r>
          </w:p>
        </w:tc>
        <w:tc>
          <w:tcPr>
            <w:tcW w:w="1077" w:type="dxa"/>
            <w:tcBorders>
              <w:top w:val="nil"/>
              <w:left w:val="nil"/>
              <w:bottom w:val="single" w:sz="4" w:space="0" w:color="auto"/>
              <w:right w:val="single" w:sz="4" w:space="0" w:color="auto"/>
            </w:tcBorders>
            <w:shd w:val="clear" w:color="auto" w:fill="auto"/>
            <w:hideMark/>
          </w:tcPr>
          <w:p w:rsidR="000B335A" w:rsidRPr="007D22C9" w:rsidRDefault="000B335A" w:rsidP="00803F18">
            <w:pPr>
              <w:autoSpaceDE/>
              <w:autoSpaceDN/>
              <w:adjustRightInd/>
              <w:jc w:val="center"/>
              <w:rPr>
                <w:color w:val="000000"/>
                <w:sz w:val="20"/>
                <w:szCs w:val="20"/>
              </w:rPr>
            </w:pPr>
            <w:r w:rsidRPr="007D22C9">
              <w:rPr>
                <w:color w:val="000000"/>
                <w:sz w:val="20"/>
                <w:szCs w:val="20"/>
              </w:rPr>
              <w:t>0,5</w:t>
            </w:r>
            <w:r w:rsidR="00803F18" w:rsidRPr="007D22C9">
              <w:rPr>
                <w:color w:val="000000"/>
                <w:sz w:val="20"/>
                <w:szCs w:val="20"/>
              </w:rPr>
              <w:t>0</w:t>
            </w:r>
          </w:p>
        </w:tc>
        <w:tc>
          <w:tcPr>
            <w:tcW w:w="992" w:type="dxa"/>
            <w:tcBorders>
              <w:top w:val="nil"/>
              <w:left w:val="nil"/>
              <w:bottom w:val="single" w:sz="4" w:space="0" w:color="auto"/>
              <w:right w:val="single" w:sz="4" w:space="0" w:color="auto"/>
            </w:tcBorders>
            <w:shd w:val="clear" w:color="auto" w:fill="auto"/>
            <w:hideMark/>
          </w:tcPr>
          <w:p w:rsidR="000B335A" w:rsidRPr="007D22C9" w:rsidRDefault="000B335A" w:rsidP="00803F18">
            <w:pPr>
              <w:autoSpaceDE/>
              <w:autoSpaceDN/>
              <w:adjustRightInd/>
              <w:jc w:val="center"/>
              <w:rPr>
                <w:color w:val="000000"/>
                <w:sz w:val="20"/>
                <w:szCs w:val="20"/>
              </w:rPr>
            </w:pPr>
            <w:r w:rsidRPr="007D22C9">
              <w:rPr>
                <w:color w:val="000000"/>
                <w:sz w:val="20"/>
                <w:szCs w:val="20"/>
              </w:rPr>
              <w:t>0,5</w:t>
            </w:r>
            <w:r w:rsidR="00803F18" w:rsidRPr="007D22C9">
              <w:rPr>
                <w:color w:val="000000"/>
                <w:sz w:val="20"/>
                <w:szCs w:val="20"/>
              </w:rPr>
              <w:t>0</w:t>
            </w:r>
          </w:p>
        </w:tc>
        <w:tc>
          <w:tcPr>
            <w:tcW w:w="708" w:type="dxa"/>
            <w:tcBorders>
              <w:top w:val="nil"/>
              <w:left w:val="nil"/>
              <w:bottom w:val="single" w:sz="4" w:space="0" w:color="auto"/>
              <w:right w:val="single" w:sz="4" w:space="0" w:color="auto"/>
            </w:tcBorders>
            <w:shd w:val="clear" w:color="auto" w:fill="auto"/>
            <w:hideMark/>
          </w:tcPr>
          <w:p w:rsidR="000B335A" w:rsidRPr="007D22C9" w:rsidRDefault="000B335A" w:rsidP="00BD3B9A">
            <w:pPr>
              <w:autoSpaceDE/>
              <w:autoSpaceDN/>
              <w:adjustRightInd/>
              <w:jc w:val="center"/>
              <w:rPr>
                <w:color w:val="000000"/>
                <w:sz w:val="20"/>
                <w:szCs w:val="20"/>
              </w:rPr>
            </w:pPr>
            <w:r w:rsidRPr="007D22C9">
              <w:rPr>
                <w:color w:val="000000"/>
                <w:sz w:val="20"/>
                <w:szCs w:val="20"/>
              </w:rPr>
              <w:t>1</w:t>
            </w:r>
          </w:p>
        </w:tc>
        <w:tc>
          <w:tcPr>
            <w:tcW w:w="993" w:type="dxa"/>
            <w:tcBorders>
              <w:top w:val="nil"/>
              <w:left w:val="nil"/>
              <w:bottom w:val="single" w:sz="4" w:space="0" w:color="auto"/>
              <w:right w:val="single" w:sz="4" w:space="0" w:color="auto"/>
            </w:tcBorders>
            <w:shd w:val="clear" w:color="auto" w:fill="auto"/>
            <w:hideMark/>
          </w:tcPr>
          <w:p w:rsidR="000B335A" w:rsidRPr="007D22C9" w:rsidRDefault="000B335A" w:rsidP="00BD3B9A">
            <w:pPr>
              <w:autoSpaceDE/>
              <w:autoSpaceDN/>
              <w:adjustRightInd/>
              <w:jc w:val="center"/>
              <w:rPr>
                <w:color w:val="000000"/>
                <w:sz w:val="20"/>
                <w:szCs w:val="20"/>
              </w:rPr>
            </w:pPr>
            <w:r w:rsidRPr="007D22C9">
              <w:rPr>
                <w:color w:val="000000"/>
                <w:sz w:val="20"/>
                <w:szCs w:val="20"/>
              </w:rPr>
              <w:t>1</w:t>
            </w:r>
          </w:p>
        </w:tc>
      </w:tr>
      <w:tr w:rsidR="000B335A" w:rsidRPr="007D22C9" w:rsidTr="00BD3B9A">
        <w:trPr>
          <w:trHeight w:val="20"/>
        </w:trPr>
        <w:tc>
          <w:tcPr>
            <w:tcW w:w="533" w:type="dxa"/>
            <w:tcBorders>
              <w:top w:val="nil"/>
              <w:left w:val="single" w:sz="4" w:space="0" w:color="auto"/>
              <w:bottom w:val="single" w:sz="4" w:space="0" w:color="auto"/>
              <w:right w:val="single" w:sz="4" w:space="0" w:color="auto"/>
            </w:tcBorders>
            <w:shd w:val="clear" w:color="auto" w:fill="auto"/>
            <w:hideMark/>
          </w:tcPr>
          <w:p w:rsidR="000B335A" w:rsidRPr="007D22C9" w:rsidRDefault="000B335A" w:rsidP="00BD3B9A">
            <w:pPr>
              <w:autoSpaceDE/>
              <w:autoSpaceDN/>
              <w:adjustRightInd/>
              <w:jc w:val="center"/>
              <w:rPr>
                <w:color w:val="000000"/>
                <w:sz w:val="20"/>
                <w:szCs w:val="20"/>
              </w:rPr>
            </w:pPr>
            <w:r w:rsidRPr="007D22C9">
              <w:rPr>
                <w:color w:val="000000"/>
                <w:sz w:val="20"/>
                <w:szCs w:val="20"/>
              </w:rPr>
              <w:t>29</w:t>
            </w:r>
            <w:r w:rsidR="00C572EE" w:rsidRPr="007D22C9">
              <w:rPr>
                <w:color w:val="000000"/>
                <w:sz w:val="20"/>
                <w:szCs w:val="20"/>
              </w:rPr>
              <w:t>.</w:t>
            </w:r>
          </w:p>
        </w:tc>
        <w:tc>
          <w:tcPr>
            <w:tcW w:w="1730" w:type="dxa"/>
            <w:tcBorders>
              <w:top w:val="nil"/>
              <w:left w:val="nil"/>
              <w:bottom w:val="single" w:sz="4" w:space="0" w:color="auto"/>
              <w:right w:val="nil"/>
            </w:tcBorders>
            <w:shd w:val="clear" w:color="auto" w:fill="auto"/>
            <w:hideMark/>
          </w:tcPr>
          <w:p w:rsidR="000B335A" w:rsidRPr="007D22C9" w:rsidRDefault="000B335A" w:rsidP="00BD3B9A">
            <w:pPr>
              <w:autoSpaceDE/>
              <w:autoSpaceDN/>
              <w:adjustRightInd/>
              <w:jc w:val="both"/>
              <w:rPr>
                <w:color w:val="000000"/>
                <w:sz w:val="20"/>
                <w:szCs w:val="20"/>
              </w:rPr>
            </w:pPr>
            <w:r w:rsidRPr="007D22C9">
              <w:rPr>
                <w:color w:val="000000"/>
                <w:sz w:val="20"/>
                <w:szCs w:val="20"/>
              </w:rPr>
              <w:t xml:space="preserve">ГАУЗ </w:t>
            </w:r>
            <w:r w:rsidR="002F7358" w:rsidRPr="007D22C9">
              <w:rPr>
                <w:color w:val="000000"/>
                <w:sz w:val="20"/>
                <w:szCs w:val="20"/>
              </w:rPr>
              <w:t>«</w:t>
            </w:r>
            <w:r w:rsidRPr="007D22C9">
              <w:rPr>
                <w:color w:val="000000"/>
                <w:sz w:val="20"/>
                <w:szCs w:val="20"/>
              </w:rPr>
              <w:t>Нурлатская ЦРБ</w:t>
            </w:r>
            <w:r w:rsidR="002F7358" w:rsidRPr="007D22C9">
              <w:rPr>
                <w:color w:val="000000"/>
                <w:sz w:val="20"/>
                <w:szCs w:val="20"/>
              </w:rPr>
              <w:t>»</w:t>
            </w:r>
          </w:p>
        </w:tc>
        <w:tc>
          <w:tcPr>
            <w:tcW w:w="1418" w:type="dxa"/>
            <w:tcBorders>
              <w:top w:val="nil"/>
              <w:left w:val="single" w:sz="4" w:space="0" w:color="auto"/>
              <w:bottom w:val="single" w:sz="4" w:space="0" w:color="auto"/>
              <w:right w:val="single" w:sz="4" w:space="0" w:color="auto"/>
            </w:tcBorders>
            <w:shd w:val="clear" w:color="auto" w:fill="auto"/>
            <w:hideMark/>
          </w:tcPr>
          <w:p w:rsidR="000B335A" w:rsidRPr="007D22C9" w:rsidRDefault="00C572EE" w:rsidP="00C572EE">
            <w:pPr>
              <w:autoSpaceDE/>
              <w:autoSpaceDN/>
              <w:adjustRightInd/>
              <w:jc w:val="both"/>
              <w:rPr>
                <w:color w:val="000000"/>
                <w:sz w:val="20"/>
                <w:szCs w:val="20"/>
              </w:rPr>
            </w:pPr>
            <w:r w:rsidRPr="007D22C9">
              <w:rPr>
                <w:color w:val="000000"/>
                <w:sz w:val="20"/>
                <w:szCs w:val="20"/>
              </w:rPr>
              <w:t>г.</w:t>
            </w:r>
            <w:r w:rsidR="000B335A" w:rsidRPr="007D22C9">
              <w:rPr>
                <w:color w:val="000000"/>
                <w:sz w:val="20"/>
                <w:szCs w:val="20"/>
              </w:rPr>
              <w:t xml:space="preserve">Нурлат, </w:t>
            </w:r>
            <w:r w:rsidR="000737A9" w:rsidRPr="007D22C9">
              <w:rPr>
                <w:color w:val="000000"/>
                <w:sz w:val="20"/>
                <w:szCs w:val="20"/>
              </w:rPr>
              <w:t>ул.</w:t>
            </w:r>
            <w:r w:rsidR="000B335A" w:rsidRPr="007D22C9">
              <w:rPr>
                <w:color w:val="000000"/>
                <w:sz w:val="20"/>
                <w:szCs w:val="20"/>
              </w:rPr>
              <w:t xml:space="preserve">Пушкина, </w:t>
            </w:r>
            <w:r w:rsidR="00C940D5" w:rsidRPr="007D22C9">
              <w:rPr>
                <w:color w:val="000000"/>
                <w:sz w:val="20"/>
                <w:szCs w:val="20"/>
              </w:rPr>
              <w:t>д.</w:t>
            </w:r>
            <w:r w:rsidR="000B335A" w:rsidRPr="007D22C9">
              <w:rPr>
                <w:color w:val="000000"/>
                <w:sz w:val="20"/>
                <w:szCs w:val="20"/>
              </w:rPr>
              <w:t>2</w:t>
            </w:r>
          </w:p>
        </w:tc>
        <w:tc>
          <w:tcPr>
            <w:tcW w:w="1418" w:type="dxa"/>
            <w:tcBorders>
              <w:top w:val="nil"/>
              <w:left w:val="nil"/>
              <w:bottom w:val="single" w:sz="4" w:space="0" w:color="auto"/>
              <w:right w:val="single" w:sz="4" w:space="0" w:color="auto"/>
            </w:tcBorders>
            <w:shd w:val="clear" w:color="auto" w:fill="auto"/>
            <w:hideMark/>
          </w:tcPr>
          <w:p w:rsidR="000B335A" w:rsidRPr="007D22C9" w:rsidRDefault="000B335A" w:rsidP="00BD3B9A">
            <w:pPr>
              <w:autoSpaceDE/>
              <w:autoSpaceDN/>
              <w:adjustRightInd/>
              <w:jc w:val="both"/>
              <w:rPr>
                <w:color w:val="000000"/>
                <w:sz w:val="20"/>
                <w:szCs w:val="20"/>
              </w:rPr>
            </w:pPr>
            <w:r w:rsidRPr="007D22C9">
              <w:rPr>
                <w:color w:val="000000"/>
                <w:sz w:val="20"/>
                <w:szCs w:val="20"/>
              </w:rPr>
              <w:t>Нурлатский муниципальный район</w:t>
            </w:r>
          </w:p>
        </w:tc>
        <w:tc>
          <w:tcPr>
            <w:tcW w:w="851" w:type="dxa"/>
            <w:tcBorders>
              <w:top w:val="nil"/>
              <w:left w:val="nil"/>
              <w:bottom w:val="single" w:sz="4" w:space="0" w:color="auto"/>
              <w:right w:val="single" w:sz="4" w:space="0" w:color="auto"/>
            </w:tcBorders>
            <w:shd w:val="clear" w:color="auto" w:fill="auto"/>
            <w:hideMark/>
          </w:tcPr>
          <w:p w:rsidR="000B335A" w:rsidRPr="007D22C9" w:rsidRDefault="000B335A" w:rsidP="00BD3B9A">
            <w:pPr>
              <w:autoSpaceDE/>
              <w:autoSpaceDN/>
              <w:adjustRightInd/>
              <w:jc w:val="center"/>
              <w:rPr>
                <w:color w:val="000000"/>
                <w:sz w:val="20"/>
                <w:szCs w:val="20"/>
              </w:rPr>
            </w:pPr>
            <w:r w:rsidRPr="007D22C9">
              <w:rPr>
                <w:color w:val="000000"/>
                <w:sz w:val="20"/>
                <w:szCs w:val="20"/>
              </w:rPr>
              <w:t>47 242</w:t>
            </w:r>
          </w:p>
        </w:tc>
        <w:tc>
          <w:tcPr>
            <w:tcW w:w="850" w:type="dxa"/>
            <w:tcBorders>
              <w:top w:val="nil"/>
              <w:left w:val="nil"/>
              <w:bottom w:val="single" w:sz="4" w:space="0" w:color="auto"/>
              <w:right w:val="single" w:sz="4" w:space="0" w:color="auto"/>
            </w:tcBorders>
            <w:shd w:val="clear" w:color="auto" w:fill="auto"/>
            <w:hideMark/>
          </w:tcPr>
          <w:p w:rsidR="000B335A" w:rsidRPr="007D22C9" w:rsidRDefault="000B335A" w:rsidP="00BD3B9A">
            <w:pPr>
              <w:autoSpaceDE/>
              <w:autoSpaceDN/>
              <w:adjustRightInd/>
              <w:jc w:val="center"/>
              <w:rPr>
                <w:color w:val="000000"/>
                <w:sz w:val="20"/>
                <w:szCs w:val="20"/>
              </w:rPr>
            </w:pPr>
            <w:r w:rsidRPr="007D22C9">
              <w:rPr>
                <w:color w:val="000000"/>
                <w:sz w:val="20"/>
                <w:szCs w:val="20"/>
              </w:rPr>
              <w:t>1,57</w:t>
            </w:r>
          </w:p>
        </w:tc>
        <w:tc>
          <w:tcPr>
            <w:tcW w:w="1077" w:type="dxa"/>
            <w:tcBorders>
              <w:top w:val="nil"/>
              <w:left w:val="nil"/>
              <w:bottom w:val="single" w:sz="4" w:space="0" w:color="auto"/>
              <w:right w:val="single" w:sz="4" w:space="0" w:color="auto"/>
            </w:tcBorders>
            <w:shd w:val="clear" w:color="auto" w:fill="auto"/>
            <w:hideMark/>
          </w:tcPr>
          <w:p w:rsidR="000B335A" w:rsidRPr="007D22C9" w:rsidRDefault="000B335A" w:rsidP="00906F0F">
            <w:pPr>
              <w:autoSpaceDE/>
              <w:autoSpaceDN/>
              <w:adjustRightInd/>
              <w:jc w:val="center"/>
              <w:rPr>
                <w:color w:val="000000"/>
                <w:sz w:val="20"/>
                <w:szCs w:val="20"/>
              </w:rPr>
            </w:pPr>
            <w:r w:rsidRPr="007D22C9">
              <w:rPr>
                <w:color w:val="000000"/>
                <w:sz w:val="20"/>
                <w:szCs w:val="20"/>
              </w:rPr>
              <w:t>1</w:t>
            </w:r>
            <w:r w:rsidR="00906F0F" w:rsidRPr="007D22C9">
              <w:rPr>
                <w:color w:val="000000"/>
                <w:sz w:val="20"/>
                <w:szCs w:val="20"/>
              </w:rPr>
              <w:t>,00</w:t>
            </w:r>
          </w:p>
        </w:tc>
        <w:tc>
          <w:tcPr>
            <w:tcW w:w="992" w:type="dxa"/>
            <w:tcBorders>
              <w:top w:val="nil"/>
              <w:left w:val="nil"/>
              <w:bottom w:val="single" w:sz="4" w:space="0" w:color="auto"/>
              <w:right w:val="single" w:sz="4" w:space="0" w:color="auto"/>
            </w:tcBorders>
            <w:shd w:val="clear" w:color="auto" w:fill="auto"/>
            <w:hideMark/>
          </w:tcPr>
          <w:p w:rsidR="000B335A" w:rsidRPr="007D22C9" w:rsidRDefault="000B335A" w:rsidP="00BD3B9A">
            <w:pPr>
              <w:autoSpaceDE/>
              <w:autoSpaceDN/>
              <w:adjustRightInd/>
              <w:jc w:val="center"/>
              <w:rPr>
                <w:color w:val="000000"/>
                <w:sz w:val="20"/>
                <w:szCs w:val="20"/>
              </w:rPr>
            </w:pPr>
            <w:r w:rsidRPr="007D22C9">
              <w:rPr>
                <w:color w:val="000000"/>
                <w:sz w:val="20"/>
                <w:szCs w:val="20"/>
              </w:rPr>
              <w:t>1</w:t>
            </w:r>
            <w:r w:rsidR="00906F0F" w:rsidRPr="007D22C9">
              <w:rPr>
                <w:color w:val="000000"/>
                <w:sz w:val="20"/>
                <w:szCs w:val="20"/>
              </w:rPr>
              <w:t>,00</w:t>
            </w:r>
          </w:p>
        </w:tc>
        <w:tc>
          <w:tcPr>
            <w:tcW w:w="708" w:type="dxa"/>
            <w:tcBorders>
              <w:top w:val="nil"/>
              <w:left w:val="nil"/>
              <w:bottom w:val="single" w:sz="4" w:space="0" w:color="auto"/>
              <w:right w:val="single" w:sz="4" w:space="0" w:color="auto"/>
            </w:tcBorders>
            <w:shd w:val="clear" w:color="auto" w:fill="auto"/>
            <w:hideMark/>
          </w:tcPr>
          <w:p w:rsidR="000B335A" w:rsidRPr="007D22C9" w:rsidRDefault="000B335A" w:rsidP="00BD3B9A">
            <w:pPr>
              <w:autoSpaceDE/>
              <w:autoSpaceDN/>
              <w:adjustRightInd/>
              <w:jc w:val="center"/>
              <w:rPr>
                <w:color w:val="000000"/>
                <w:sz w:val="20"/>
                <w:szCs w:val="20"/>
              </w:rPr>
            </w:pPr>
            <w:r w:rsidRPr="007D22C9">
              <w:rPr>
                <w:color w:val="000000"/>
                <w:sz w:val="20"/>
                <w:szCs w:val="20"/>
              </w:rPr>
              <w:t>1</w:t>
            </w:r>
          </w:p>
        </w:tc>
        <w:tc>
          <w:tcPr>
            <w:tcW w:w="993" w:type="dxa"/>
            <w:tcBorders>
              <w:top w:val="nil"/>
              <w:left w:val="nil"/>
              <w:bottom w:val="single" w:sz="4" w:space="0" w:color="auto"/>
              <w:right w:val="single" w:sz="4" w:space="0" w:color="auto"/>
            </w:tcBorders>
            <w:shd w:val="clear" w:color="auto" w:fill="auto"/>
            <w:hideMark/>
          </w:tcPr>
          <w:p w:rsidR="000B335A" w:rsidRPr="007D22C9" w:rsidRDefault="00DE16F2" w:rsidP="00BD3B9A">
            <w:pPr>
              <w:autoSpaceDE/>
              <w:autoSpaceDN/>
              <w:adjustRightInd/>
              <w:jc w:val="center"/>
              <w:rPr>
                <w:color w:val="000000"/>
                <w:sz w:val="20"/>
                <w:szCs w:val="20"/>
              </w:rPr>
            </w:pPr>
            <w:r w:rsidRPr="007D22C9">
              <w:rPr>
                <w:color w:val="000000"/>
                <w:sz w:val="20"/>
                <w:szCs w:val="20"/>
              </w:rPr>
              <w:t>0</w:t>
            </w:r>
            <w:r w:rsidR="000B335A" w:rsidRPr="007D22C9">
              <w:rPr>
                <w:color w:val="000000"/>
                <w:sz w:val="20"/>
                <w:szCs w:val="20"/>
              </w:rPr>
              <w:t> </w:t>
            </w:r>
          </w:p>
        </w:tc>
      </w:tr>
      <w:tr w:rsidR="000B335A" w:rsidRPr="007D22C9" w:rsidTr="00BD3B9A">
        <w:trPr>
          <w:trHeight w:val="20"/>
        </w:trPr>
        <w:tc>
          <w:tcPr>
            <w:tcW w:w="533" w:type="dxa"/>
            <w:tcBorders>
              <w:top w:val="nil"/>
              <w:left w:val="single" w:sz="4" w:space="0" w:color="auto"/>
              <w:bottom w:val="single" w:sz="4" w:space="0" w:color="auto"/>
              <w:right w:val="single" w:sz="4" w:space="0" w:color="auto"/>
            </w:tcBorders>
            <w:shd w:val="clear" w:color="auto" w:fill="auto"/>
            <w:hideMark/>
          </w:tcPr>
          <w:p w:rsidR="000B335A" w:rsidRPr="007D22C9" w:rsidRDefault="000B335A" w:rsidP="00BD3B9A">
            <w:pPr>
              <w:autoSpaceDE/>
              <w:autoSpaceDN/>
              <w:adjustRightInd/>
              <w:jc w:val="center"/>
              <w:rPr>
                <w:color w:val="000000"/>
                <w:sz w:val="20"/>
                <w:szCs w:val="20"/>
              </w:rPr>
            </w:pPr>
            <w:r w:rsidRPr="007D22C9">
              <w:rPr>
                <w:color w:val="000000"/>
                <w:sz w:val="20"/>
                <w:szCs w:val="20"/>
              </w:rPr>
              <w:t>30</w:t>
            </w:r>
            <w:r w:rsidR="003B1A7B" w:rsidRPr="007D22C9">
              <w:rPr>
                <w:color w:val="000000"/>
                <w:sz w:val="20"/>
                <w:szCs w:val="20"/>
              </w:rPr>
              <w:t>.</w:t>
            </w:r>
          </w:p>
        </w:tc>
        <w:tc>
          <w:tcPr>
            <w:tcW w:w="1730" w:type="dxa"/>
            <w:tcBorders>
              <w:top w:val="nil"/>
              <w:left w:val="nil"/>
              <w:bottom w:val="single" w:sz="4" w:space="0" w:color="auto"/>
              <w:right w:val="nil"/>
            </w:tcBorders>
            <w:shd w:val="clear" w:color="auto" w:fill="auto"/>
            <w:hideMark/>
          </w:tcPr>
          <w:p w:rsidR="000B335A" w:rsidRPr="007D22C9" w:rsidRDefault="000B335A" w:rsidP="00BD3B9A">
            <w:pPr>
              <w:autoSpaceDE/>
              <w:autoSpaceDN/>
              <w:adjustRightInd/>
              <w:jc w:val="both"/>
              <w:rPr>
                <w:color w:val="000000"/>
                <w:sz w:val="20"/>
                <w:szCs w:val="20"/>
              </w:rPr>
            </w:pPr>
            <w:r w:rsidRPr="007D22C9">
              <w:rPr>
                <w:color w:val="000000"/>
                <w:sz w:val="20"/>
                <w:szCs w:val="20"/>
              </w:rPr>
              <w:t xml:space="preserve">ГАУЗ </w:t>
            </w:r>
            <w:r w:rsidR="002F7358" w:rsidRPr="007D22C9">
              <w:rPr>
                <w:color w:val="000000"/>
                <w:sz w:val="20"/>
                <w:szCs w:val="20"/>
              </w:rPr>
              <w:t>«</w:t>
            </w:r>
            <w:r w:rsidRPr="007D22C9">
              <w:rPr>
                <w:color w:val="000000"/>
                <w:sz w:val="20"/>
                <w:szCs w:val="20"/>
              </w:rPr>
              <w:t>Пестречинская ЦРБ</w:t>
            </w:r>
            <w:r w:rsidR="002F7358" w:rsidRPr="007D22C9">
              <w:rPr>
                <w:color w:val="000000"/>
                <w:sz w:val="20"/>
                <w:szCs w:val="20"/>
              </w:rPr>
              <w:t>»</w:t>
            </w:r>
          </w:p>
        </w:tc>
        <w:tc>
          <w:tcPr>
            <w:tcW w:w="1418" w:type="dxa"/>
            <w:tcBorders>
              <w:top w:val="nil"/>
              <w:left w:val="single" w:sz="4" w:space="0" w:color="auto"/>
              <w:bottom w:val="single" w:sz="4" w:space="0" w:color="auto"/>
              <w:right w:val="single" w:sz="4" w:space="0" w:color="auto"/>
            </w:tcBorders>
            <w:shd w:val="clear" w:color="auto" w:fill="auto"/>
            <w:hideMark/>
          </w:tcPr>
          <w:p w:rsidR="000B335A" w:rsidRPr="007D22C9" w:rsidRDefault="00C572EE" w:rsidP="00C572EE">
            <w:pPr>
              <w:autoSpaceDE/>
              <w:autoSpaceDN/>
              <w:adjustRightInd/>
              <w:jc w:val="both"/>
              <w:rPr>
                <w:color w:val="000000"/>
                <w:sz w:val="20"/>
                <w:szCs w:val="20"/>
              </w:rPr>
            </w:pPr>
            <w:r w:rsidRPr="007D22C9">
              <w:rPr>
                <w:color w:val="000000"/>
                <w:sz w:val="20"/>
                <w:szCs w:val="20"/>
              </w:rPr>
              <w:t>с.</w:t>
            </w:r>
            <w:r w:rsidR="000B335A" w:rsidRPr="007D22C9">
              <w:rPr>
                <w:color w:val="000000"/>
                <w:sz w:val="20"/>
                <w:szCs w:val="20"/>
              </w:rPr>
              <w:t xml:space="preserve">Пестрецы, </w:t>
            </w:r>
            <w:r w:rsidR="000737A9" w:rsidRPr="007D22C9">
              <w:rPr>
                <w:color w:val="000000"/>
                <w:sz w:val="20"/>
                <w:szCs w:val="20"/>
              </w:rPr>
              <w:t>ул.</w:t>
            </w:r>
            <w:r w:rsidR="000B335A" w:rsidRPr="007D22C9">
              <w:rPr>
                <w:color w:val="000000"/>
                <w:sz w:val="20"/>
                <w:szCs w:val="20"/>
              </w:rPr>
              <w:t xml:space="preserve">Молодежная, </w:t>
            </w:r>
            <w:r w:rsidR="00C940D5" w:rsidRPr="007D22C9">
              <w:rPr>
                <w:color w:val="000000"/>
                <w:sz w:val="20"/>
                <w:szCs w:val="20"/>
              </w:rPr>
              <w:t>д.</w:t>
            </w:r>
            <w:r w:rsidR="000B335A" w:rsidRPr="007D22C9">
              <w:rPr>
                <w:color w:val="000000"/>
                <w:sz w:val="20"/>
                <w:szCs w:val="20"/>
              </w:rPr>
              <w:t>13</w:t>
            </w:r>
          </w:p>
        </w:tc>
        <w:tc>
          <w:tcPr>
            <w:tcW w:w="1418" w:type="dxa"/>
            <w:tcBorders>
              <w:top w:val="nil"/>
              <w:left w:val="nil"/>
              <w:bottom w:val="single" w:sz="4" w:space="0" w:color="auto"/>
              <w:right w:val="single" w:sz="4" w:space="0" w:color="auto"/>
            </w:tcBorders>
            <w:shd w:val="clear" w:color="auto" w:fill="auto"/>
            <w:hideMark/>
          </w:tcPr>
          <w:p w:rsidR="000B335A" w:rsidRPr="007D22C9" w:rsidRDefault="000B335A" w:rsidP="00BD3B9A">
            <w:pPr>
              <w:autoSpaceDE/>
              <w:autoSpaceDN/>
              <w:adjustRightInd/>
              <w:jc w:val="both"/>
              <w:rPr>
                <w:color w:val="000000"/>
                <w:sz w:val="20"/>
                <w:szCs w:val="20"/>
              </w:rPr>
            </w:pPr>
            <w:r w:rsidRPr="007D22C9">
              <w:rPr>
                <w:color w:val="000000"/>
                <w:sz w:val="20"/>
                <w:szCs w:val="20"/>
              </w:rPr>
              <w:t>Пестречинский муниципальный район</w:t>
            </w:r>
          </w:p>
        </w:tc>
        <w:tc>
          <w:tcPr>
            <w:tcW w:w="851" w:type="dxa"/>
            <w:tcBorders>
              <w:top w:val="nil"/>
              <w:left w:val="nil"/>
              <w:bottom w:val="single" w:sz="4" w:space="0" w:color="auto"/>
              <w:right w:val="single" w:sz="4" w:space="0" w:color="auto"/>
            </w:tcBorders>
            <w:shd w:val="clear" w:color="auto" w:fill="auto"/>
            <w:hideMark/>
          </w:tcPr>
          <w:p w:rsidR="000B335A" w:rsidRPr="007D22C9" w:rsidRDefault="000B335A" w:rsidP="00BD3B9A">
            <w:pPr>
              <w:autoSpaceDE/>
              <w:autoSpaceDN/>
              <w:adjustRightInd/>
              <w:jc w:val="center"/>
              <w:rPr>
                <w:color w:val="000000"/>
                <w:sz w:val="20"/>
                <w:szCs w:val="20"/>
              </w:rPr>
            </w:pPr>
            <w:r w:rsidRPr="007D22C9">
              <w:rPr>
                <w:color w:val="000000"/>
                <w:sz w:val="20"/>
                <w:szCs w:val="20"/>
              </w:rPr>
              <w:t>43 999</w:t>
            </w:r>
          </w:p>
        </w:tc>
        <w:tc>
          <w:tcPr>
            <w:tcW w:w="850" w:type="dxa"/>
            <w:tcBorders>
              <w:top w:val="nil"/>
              <w:left w:val="nil"/>
              <w:bottom w:val="single" w:sz="4" w:space="0" w:color="auto"/>
              <w:right w:val="single" w:sz="4" w:space="0" w:color="auto"/>
            </w:tcBorders>
            <w:shd w:val="clear" w:color="auto" w:fill="auto"/>
            <w:hideMark/>
          </w:tcPr>
          <w:p w:rsidR="000B335A" w:rsidRPr="007D22C9" w:rsidRDefault="000B335A" w:rsidP="00BD3B9A">
            <w:pPr>
              <w:autoSpaceDE/>
              <w:autoSpaceDN/>
              <w:adjustRightInd/>
              <w:jc w:val="center"/>
              <w:rPr>
                <w:color w:val="000000"/>
                <w:sz w:val="20"/>
                <w:szCs w:val="20"/>
              </w:rPr>
            </w:pPr>
            <w:r w:rsidRPr="007D22C9">
              <w:rPr>
                <w:color w:val="000000"/>
                <w:sz w:val="20"/>
                <w:szCs w:val="20"/>
              </w:rPr>
              <w:t>1,47</w:t>
            </w:r>
          </w:p>
        </w:tc>
        <w:tc>
          <w:tcPr>
            <w:tcW w:w="1077" w:type="dxa"/>
            <w:tcBorders>
              <w:top w:val="nil"/>
              <w:left w:val="nil"/>
              <w:bottom w:val="single" w:sz="4" w:space="0" w:color="auto"/>
              <w:right w:val="single" w:sz="4" w:space="0" w:color="auto"/>
            </w:tcBorders>
            <w:shd w:val="clear" w:color="auto" w:fill="auto"/>
            <w:hideMark/>
          </w:tcPr>
          <w:p w:rsidR="000B335A" w:rsidRPr="007D22C9" w:rsidRDefault="00CD0B8A" w:rsidP="00CD0B8A">
            <w:pPr>
              <w:autoSpaceDE/>
              <w:autoSpaceDN/>
              <w:adjustRightInd/>
              <w:jc w:val="center"/>
              <w:rPr>
                <w:color w:val="000000"/>
                <w:sz w:val="20"/>
                <w:szCs w:val="20"/>
              </w:rPr>
            </w:pPr>
            <w:r w:rsidRPr="007D22C9">
              <w:rPr>
                <w:color w:val="000000"/>
                <w:sz w:val="20"/>
                <w:szCs w:val="20"/>
              </w:rPr>
              <w:t>1,00</w:t>
            </w:r>
          </w:p>
        </w:tc>
        <w:tc>
          <w:tcPr>
            <w:tcW w:w="992" w:type="dxa"/>
            <w:tcBorders>
              <w:top w:val="nil"/>
              <w:left w:val="nil"/>
              <w:bottom w:val="single" w:sz="4" w:space="0" w:color="auto"/>
              <w:right w:val="single" w:sz="4" w:space="0" w:color="auto"/>
            </w:tcBorders>
            <w:shd w:val="clear" w:color="auto" w:fill="auto"/>
            <w:hideMark/>
          </w:tcPr>
          <w:p w:rsidR="000B335A" w:rsidRPr="007D22C9" w:rsidRDefault="00CD0B8A" w:rsidP="00CD0B8A">
            <w:pPr>
              <w:autoSpaceDE/>
              <w:autoSpaceDN/>
              <w:adjustRightInd/>
              <w:jc w:val="center"/>
              <w:rPr>
                <w:color w:val="000000"/>
                <w:sz w:val="20"/>
                <w:szCs w:val="20"/>
              </w:rPr>
            </w:pPr>
            <w:r w:rsidRPr="007D22C9">
              <w:rPr>
                <w:color w:val="000000"/>
                <w:sz w:val="20"/>
                <w:szCs w:val="20"/>
              </w:rPr>
              <w:t>1,00</w:t>
            </w:r>
          </w:p>
        </w:tc>
        <w:tc>
          <w:tcPr>
            <w:tcW w:w="708" w:type="dxa"/>
            <w:tcBorders>
              <w:top w:val="nil"/>
              <w:left w:val="nil"/>
              <w:bottom w:val="single" w:sz="4" w:space="0" w:color="auto"/>
              <w:right w:val="single" w:sz="4" w:space="0" w:color="auto"/>
            </w:tcBorders>
            <w:shd w:val="clear" w:color="auto" w:fill="auto"/>
            <w:hideMark/>
          </w:tcPr>
          <w:p w:rsidR="000B335A" w:rsidRPr="007D22C9" w:rsidRDefault="000B335A" w:rsidP="00BD3B9A">
            <w:pPr>
              <w:autoSpaceDE/>
              <w:autoSpaceDN/>
              <w:adjustRightInd/>
              <w:jc w:val="center"/>
              <w:rPr>
                <w:color w:val="000000"/>
                <w:sz w:val="20"/>
                <w:szCs w:val="20"/>
              </w:rPr>
            </w:pPr>
            <w:r w:rsidRPr="007D22C9">
              <w:rPr>
                <w:color w:val="000000"/>
                <w:sz w:val="20"/>
                <w:szCs w:val="20"/>
              </w:rPr>
              <w:t>1</w:t>
            </w:r>
          </w:p>
        </w:tc>
        <w:tc>
          <w:tcPr>
            <w:tcW w:w="993" w:type="dxa"/>
            <w:tcBorders>
              <w:top w:val="nil"/>
              <w:left w:val="nil"/>
              <w:bottom w:val="single" w:sz="4" w:space="0" w:color="auto"/>
              <w:right w:val="single" w:sz="4" w:space="0" w:color="auto"/>
            </w:tcBorders>
            <w:shd w:val="clear" w:color="auto" w:fill="auto"/>
            <w:hideMark/>
          </w:tcPr>
          <w:p w:rsidR="000B335A" w:rsidRPr="007D22C9" w:rsidRDefault="00CD0B8A" w:rsidP="00CD0B8A">
            <w:pPr>
              <w:autoSpaceDE/>
              <w:autoSpaceDN/>
              <w:adjustRightInd/>
              <w:jc w:val="center"/>
              <w:rPr>
                <w:color w:val="000000"/>
                <w:sz w:val="20"/>
                <w:szCs w:val="20"/>
              </w:rPr>
            </w:pPr>
            <w:r w:rsidRPr="007D22C9">
              <w:rPr>
                <w:color w:val="000000"/>
                <w:sz w:val="20"/>
                <w:szCs w:val="20"/>
              </w:rPr>
              <w:t>0</w:t>
            </w:r>
          </w:p>
        </w:tc>
      </w:tr>
      <w:tr w:rsidR="000B335A" w:rsidRPr="007D22C9" w:rsidTr="00BD3B9A">
        <w:trPr>
          <w:trHeight w:val="20"/>
        </w:trPr>
        <w:tc>
          <w:tcPr>
            <w:tcW w:w="533" w:type="dxa"/>
            <w:tcBorders>
              <w:top w:val="nil"/>
              <w:left w:val="single" w:sz="4" w:space="0" w:color="auto"/>
              <w:bottom w:val="single" w:sz="4" w:space="0" w:color="auto"/>
              <w:right w:val="single" w:sz="4" w:space="0" w:color="auto"/>
            </w:tcBorders>
            <w:shd w:val="clear" w:color="auto" w:fill="auto"/>
            <w:hideMark/>
          </w:tcPr>
          <w:p w:rsidR="000B335A" w:rsidRPr="007D22C9" w:rsidRDefault="000B335A" w:rsidP="00BD3B9A">
            <w:pPr>
              <w:autoSpaceDE/>
              <w:autoSpaceDN/>
              <w:adjustRightInd/>
              <w:jc w:val="center"/>
              <w:rPr>
                <w:color w:val="000000"/>
                <w:sz w:val="20"/>
                <w:szCs w:val="20"/>
              </w:rPr>
            </w:pPr>
            <w:r w:rsidRPr="007D22C9">
              <w:rPr>
                <w:color w:val="000000"/>
                <w:sz w:val="20"/>
                <w:szCs w:val="20"/>
              </w:rPr>
              <w:t>31</w:t>
            </w:r>
            <w:r w:rsidR="003B1A7B" w:rsidRPr="007D22C9">
              <w:rPr>
                <w:color w:val="000000"/>
                <w:sz w:val="20"/>
                <w:szCs w:val="20"/>
              </w:rPr>
              <w:t>.</w:t>
            </w:r>
          </w:p>
        </w:tc>
        <w:tc>
          <w:tcPr>
            <w:tcW w:w="1730" w:type="dxa"/>
            <w:tcBorders>
              <w:top w:val="nil"/>
              <w:left w:val="nil"/>
              <w:bottom w:val="single" w:sz="4" w:space="0" w:color="auto"/>
              <w:right w:val="nil"/>
            </w:tcBorders>
            <w:shd w:val="clear" w:color="auto" w:fill="auto"/>
            <w:hideMark/>
          </w:tcPr>
          <w:p w:rsidR="000B335A" w:rsidRPr="007D22C9" w:rsidRDefault="000B335A" w:rsidP="00BD3B9A">
            <w:pPr>
              <w:autoSpaceDE/>
              <w:autoSpaceDN/>
              <w:adjustRightInd/>
              <w:jc w:val="both"/>
              <w:rPr>
                <w:color w:val="000000"/>
                <w:sz w:val="20"/>
                <w:szCs w:val="20"/>
              </w:rPr>
            </w:pPr>
            <w:r w:rsidRPr="007D22C9">
              <w:rPr>
                <w:color w:val="000000"/>
                <w:sz w:val="20"/>
                <w:szCs w:val="20"/>
              </w:rPr>
              <w:t xml:space="preserve">ГАУЗ </w:t>
            </w:r>
            <w:r w:rsidR="002F7358" w:rsidRPr="007D22C9">
              <w:rPr>
                <w:color w:val="000000"/>
                <w:sz w:val="20"/>
                <w:szCs w:val="20"/>
              </w:rPr>
              <w:t>«</w:t>
            </w:r>
            <w:r w:rsidRPr="007D22C9">
              <w:rPr>
                <w:color w:val="000000"/>
                <w:sz w:val="20"/>
                <w:szCs w:val="20"/>
              </w:rPr>
              <w:t>Рыбно-Слободская ЦРБ</w:t>
            </w:r>
            <w:r w:rsidR="002F7358" w:rsidRPr="007D22C9">
              <w:rPr>
                <w:color w:val="000000"/>
                <w:sz w:val="20"/>
                <w:szCs w:val="20"/>
              </w:rPr>
              <w:t>»</w:t>
            </w:r>
          </w:p>
        </w:tc>
        <w:tc>
          <w:tcPr>
            <w:tcW w:w="1418" w:type="dxa"/>
            <w:tcBorders>
              <w:top w:val="nil"/>
              <w:left w:val="single" w:sz="4" w:space="0" w:color="auto"/>
              <w:bottom w:val="single" w:sz="4" w:space="0" w:color="auto"/>
              <w:right w:val="single" w:sz="4" w:space="0" w:color="auto"/>
            </w:tcBorders>
            <w:shd w:val="clear" w:color="auto" w:fill="auto"/>
            <w:hideMark/>
          </w:tcPr>
          <w:p w:rsidR="000B335A" w:rsidRPr="007D22C9" w:rsidRDefault="00824074" w:rsidP="00C572EE">
            <w:pPr>
              <w:autoSpaceDE/>
              <w:autoSpaceDN/>
              <w:adjustRightInd/>
              <w:jc w:val="both"/>
              <w:rPr>
                <w:color w:val="000000"/>
                <w:sz w:val="20"/>
                <w:szCs w:val="20"/>
              </w:rPr>
            </w:pPr>
            <w:r w:rsidRPr="007D22C9">
              <w:rPr>
                <w:color w:val="000000"/>
                <w:sz w:val="20"/>
                <w:szCs w:val="20"/>
              </w:rPr>
              <w:t>пгт</w:t>
            </w:r>
            <w:r w:rsidR="00C572EE" w:rsidRPr="007D22C9">
              <w:rPr>
                <w:color w:val="000000"/>
                <w:sz w:val="20"/>
                <w:szCs w:val="20"/>
              </w:rPr>
              <w:t>.</w:t>
            </w:r>
            <w:r w:rsidR="000B335A" w:rsidRPr="007D22C9">
              <w:rPr>
                <w:color w:val="000000"/>
                <w:sz w:val="20"/>
                <w:szCs w:val="20"/>
              </w:rPr>
              <w:t xml:space="preserve">Рыбная Слобода, </w:t>
            </w:r>
            <w:r w:rsidR="000737A9" w:rsidRPr="007D22C9">
              <w:rPr>
                <w:color w:val="000000"/>
                <w:sz w:val="20"/>
                <w:szCs w:val="20"/>
              </w:rPr>
              <w:t>ул.</w:t>
            </w:r>
            <w:r w:rsidR="000B335A" w:rsidRPr="007D22C9">
              <w:rPr>
                <w:color w:val="000000"/>
                <w:sz w:val="20"/>
                <w:szCs w:val="20"/>
              </w:rPr>
              <w:t xml:space="preserve">Сосновая, </w:t>
            </w:r>
            <w:r w:rsidR="00C940D5" w:rsidRPr="007D22C9">
              <w:rPr>
                <w:color w:val="000000"/>
                <w:sz w:val="20"/>
                <w:szCs w:val="20"/>
              </w:rPr>
              <w:t>д.</w:t>
            </w:r>
            <w:r w:rsidR="000B335A" w:rsidRPr="007D22C9">
              <w:rPr>
                <w:color w:val="000000"/>
                <w:sz w:val="20"/>
                <w:szCs w:val="20"/>
              </w:rPr>
              <w:t>6</w:t>
            </w:r>
          </w:p>
        </w:tc>
        <w:tc>
          <w:tcPr>
            <w:tcW w:w="1418" w:type="dxa"/>
            <w:tcBorders>
              <w:top w:val="nil"/>
              <w:left w:val="nil"/>
              <w:bottom w:val="single" w:sz="4" w:space="0" w:color="auto"/>
              <w:right w:val="single" w:sz="4" w:space="0" w:color="auto"/>
            </w:tcBorders>
            <w:shd w:val="clear" w:color="auto" w:fill="auto"/>
            <w:hideMark/>
          </w:tcPr>
          <w:p w:rsidR="000B335A" w:rsidRPr="007D22C9" w:rsidRDefault="000B335A" w:rsidP="00BD3B9A">
            <w:pPr>
              <w:autoSpaceDE/>
              <w:autoSpaceDN/>
              <w:adjustRightInd/>
              <w:jc w:val="both"/>
              <w:rPr>
                <w:color w:val="000000"/>
                <w:sz w:val="20"/>
                <w:szCs w:val="20"/>
              </w:rPr>
            </w:pPr>
            <w:r w:rsidRPr="007D22C9">
              <w:rPr>
                <w:color w:val="000000"/>
                <w:sz w:val="20"/>
                <w:szCs w:val="20"/>
              </w:rPr>
              <w:t>Рыб</w:t>
            </w:r>
            <w:r w:rsidR="00215E65" w:rsidRPr="007D22C9">
              <w:rPr>
                <w:color w:val="000000"/>
                <w:sz w:val="20"/>
                <w:szCs w:val="20"/>
              </w:rPr>
              <w:t>но-Слободский муниципальный рай</w:t>
            </w:r>
            <w:r w:rsidRPr="007D22C9">
              <w:rPr>
                <w:color w:val="000000"/>
                <w:sz w:val="20"/>
                <w:szCs w:val="20"/>
              </w:rPr>
              <w:t>он</w:t>
            </w:r>
          </w:p>
        </w:tc>
        <w:tc>
          <w:tcPr>
            <w:tcW w:w="851" w:type="dxa"/>
            <w:tcBorders>
              <w:top w:val="nil"/>
              <w:left w:val="nil"/>
              <w:bottom w:val="single" w:sz="4" w:space="0" w:color="auto"/>
              <w:right w:val="single" w:sz="4" w:space="0" w:color="auto"/>
            </w:tcBorders>
            <w:shd w:val="clear" w:color="auto" w:fill="auto"/>
            <w:hideMark/>
          </w:tcPr>
          <w:p w:rsidR="000B335A" w:rsidRPr="007D22C9" w:rsidRDefault="000B335A" w:rsidP="00BD3B9A">
            <w:pPr>
              <w:autoSpaceDE/>
              <w:autoSpaceDN/>
              <w:adjustRightInd/>
              <w:jc w:val="center"/>
              <w:rPr>
                <w:color w:val="000000"/>
                <w:sz w:val="20"/>
                <w:szCs w:val="20"/>
              </w:rPr>
            </w:pPr>
            <w:r w:rsidRPr="007D22C9">
              <w:rPr>
                <w:color w:val="000000"/>
                <w:sz w:val="20"/>
                <w:szCs w:val="20"/>
              </w:rPr>
              <w:t>20 532</w:t>
            </w:r>
          </w:p>
        </w:tc>
        <w:tc>
          <w:tcPr>
            <w:tcW w:w="850" w:type="dxa"/>
            <w:tcBorders>
              <w:top w:val="nil"/>
              <w:left w:val="nil"/>
              <w:bottom w:val="single" w:sz="4" w:space="0" w:color="auto"/>
              <w:right w:val="single" w:sz="4" w:space="0" w:color="auto"/>
            </w:tcBorders>
            <w:shd w:val="clear" w:color="auto" w:fill="auto"/>
            <w:hideMark/>
          </w:tcPr>
          <w:p w:rsidR="000B335A" w:rsidRPr="007D22C9" w:rsidRDefault="000B335A" w:rsidP="00BD3B9A">
            <w:pPr>
              <w:autoSpaceDE/>
              <w:autoSpaceDN/>
              <w:adjustRightInd/>
              <w:jc w:val="center"/>
              <w:rPr>
                <w:color w:val="000000"/>
                <w:sz w:val="20"/>
                <w:szCs w:val="20"/>
              </w:rPr>
            </w:pPr>
            <w:r w:rsidRPr="007D22C9">
              <w:rPr>
                <w:color w:val="000000"/>
                <w:sz w:val="20"/>
                <w:szCs w:val="20"/>
              </w:rPr>
              <w:t>0,68</w:t>
            </w:r>
          </w:p>
        </w:tc>
        <w:tc>
          <w:tcPr>
            <w:tcW w:w="1077" w:type="dxa"/>
            <w:tcBorders>
              <w:top w:val="nil"/>
              <w:left w:val="nil"/>
              <w:bottom w:val="single" w:sz="4" w:space="0" w:color="auto"/>
              <w:right w:val="single" w:sz="4" w:space="0" w:color="auto"/>
            </w:tcBorders>
            <w:shd w:val="clear" w:color="auto" w:fill="auto"/>
            <w:hideMark/>
          </w:tcPr>
          <w:p w:rsidR="000B335A" w:rsidRPr="007D22C9" w:rsidRDefault="00CD0B8A" w:rsidP="00CD0B8A">
            <w:pPr>
              <w:autoSpaceDE/>
              <w:autoSpaceDN/>
              <w:adjustRightInd/>
              <w:jc w:val="center"/>
              <w:rPr>
                <w:color w:val="000000"/>
                <w:sz w:val="20"/>
                <w:szCs w:val="20"/>
              </w:rPr>
            </w:pPr>
            <w:r w:rsidRPr="007D22C9">
              <w:rPr>
                <w:color w:val="000000"/>
                <w:sz w:val="20"/>
                <w:szCs w:val="20"/>
              </w:rPr>
              <w:t>1,25</w:t>
            </w:r>
          </w:p>
        </w:tc>
        <w:tc>
          <w:tcPr>
            <w:tcW w:w="992" w:type="dxa"/>
            <w:tcBorders>
              <w:top w:val="nil"/>
              <w:left w:val="nil"/>
              <w:bottom w:val="single" w:sz="4" w:space="0" w:color="auto"/>
              <w:right w:val="single" w:sz="4" w:space="0" w:color="auto"/>
            </w:tcBorders>
            <w:shd w:val="clear" w:color="auto" w:fill="auto"/>
            <w:hideMark/>
          </w:tcPr>
          <w:p w:rsidR="000B335A" w:rsidRPr="007D22C9" w:rsidRDefault="000B335A" w:rsidP="00CD0B8A">
            <w:pPr>
              <w:autoSpaceDE/>
              <w:autoSpaceDN/>
              <w:adjustRightInd/>
              <w:jc w:val="center"/>
              <w:rPr>
                <w:color w:val="000000"/>
                <w:sz w:val="20"/>
                <w:szCs w:val="20"/>
              </w:rPr>
            </w:pPr>
            <w:r w:rsidRPr="007D22C9">
              <w:rPr>
                <w:color w:val="000000"/>
                <w:sz w:val="20"/>
                <w:szCs w:val="20"/>
              </w:rPr>
              <w:t>0,</w:t>
            </w:r>
            <w:r w:rsidR="00CD0B8A" w:rsidRPr="007D22C9">
              <w:rPr>
                <w:color w:val="000000"/>
                <w:sz w:val="20"/>
                <w:szCs w:val="20"/>
              </w:rPr>
              <w:t>2</w:t>
            </w:r>
            <w:r w:rsidRPr="007D22C9">
              <w:rPr>
                <w:color w:val="000000"/>
                <w:sz w:val="20"/>
                <w:szCs w:val="20"/>
              </w:rPr>
              <w:t>5</w:t>
            </w:r>
          </w:p>
        </w:tc>
        <w:tc>
          <w:tcPr>
            <w:tcW w:w="708" w:type="dxa"/>
            <w:tcBorders>
              <w:top w:val="nil"/>
              <w:left w:val="nil"/>
              <w:bottom w:val="single" w:sz="4" w:space="0" w:color="auto"/>
              <w:right w:val="single" w:sz="4" w:space="0" w:color="auto"/>
            </w:tcBorders>
            <w:shd w:val="clear" w:color="auto" w:fill="auto"/>
            <w:hideMark/>
          </w:tcPr>
          <w:p w:rsidR="000B335A" w:rsidRPr="007D22C9" w:rsidRDefault="000B335A" w:rsidP="00BD3B9A">
            <w:pPr>
              <w:autoSpaceDE/>
              <w:autoSpaceDN/>
              <w:adjustRightInd/>
              <w:jc w:val="center"/>
              <w:rPr>
                <w:color w:val="000000"/>
                <w:sz w:val="20"/>
                <w:szCs w:val="20"/>
              </w:rPr>
            </w:pPr>
            <w:r w:rsidRPr="007D22C9">
              <w:rPr>
                <w:color w:val="000000"/>
                <w:sz w:val="20"/>
                <w:szCs w:val="20"/>
              </w:rPr>
              <w:t>1</w:t>
            </w:r>
          </w:p>
        </w:tc>
        <w:tc>
          <w:tcPr>
            <w:tcW w:w="993" w:type="dxa"/>
            <w:tcBorders>
              <w:top w:val="nil"/>
              <w:left w:val="nil"/>
              <w:bottom w:val="single" w:sz="4" w:space="0" w:color="auto"/>
              <w:right w:val="single" w:sz="4" w:space="0" w:color="auto"/>
            </w:tcBorders>
            <w:shd w:val="clear" w:color="auto" w:fill="auto"/>
            <w:hideMark/>
          </w:tcPr>
          <w:p w:rsidR="000B335A" w:rsidRPr="007D22C9" w:rsidRDefault="000B335A" w:rsidP="00BD3B9A">
            <w:pPr>
              <w:autoSpaceDE/>
              <w:autoSpaceDN/>
              <w:adjustRightInd/>
              <w:jc w:val="center"/>
              <w:rPr>
                <w:color w:val="000000"/>
                <w:sz w:val="20"/>
                <w:szCs w:val="20"/>
              </w:rPr>
            </w:pPr>
            <w:r w:rsidRPr="007D22C9">
              <w:rPr>
                <w:color w:val="000000"/>
                <w:sz w:val="20"/>
                <w:szCs w:val="20"/>
              </w:rPr>
              <w:t>1</w:t>
            </w:r>
          </w:p>
        </w:tc>
      </w:tr>
      <w:tr w:rsidR="000B335A" w:rsidRPr="007D22C9" w:rsidTr="00BD3B9A">
        <w:trPr>
          <w:trHeight w:val="20"/>
        </w:trPr>
        <w:tc>
          <w:tcPr>
            <w:tcW w:w="533" w:type="dxa"/>
            <w:tcBorders>
              <w:top w:val="nil"/>
              <w:left w:val="single" w:sz="4" w:space="0" w:color="auto"/>
              <w:bottom w:val="single" w:sz="4" w:space="0" w:color="auto"/>
              <w:right w:val="single" w:sz="4" w:space="0" w:color="auto"/>
            </w:tcBorders>
            <w:shd w:val="clear" w:color="auto" w:fill="auto"/>
            <w:hideMark/>
          </w:tcPr>
          <w:p w:rsidR="000B335A" w:rsidRPr="007D22C9" w:rsidRDefault="000B335A" w:rsidP="00BD3B9A">
            <w:pPr>
              <w:autoSpaceDE/>
              <w:autoSpaceDN/>
              <w:adjustRightInd/>
              <w:jc w:val="center"/>
              <w:rPr>
                <w:color w:val="000000"/>
                <w:sz w:val="20"/>
                <w:szCs w:val="20"/>
              </w:rPr>
            </w:pPr>
            <w:r w:rsidRPr="007D22C9">
              <w:rPr>
                <w:color w:val="000000"/>
                <w:sz w:val="20"/>
                <w:szCs w:val="20"/>
              </w:rPr>
              <w:t>32</w:t>
            </w:r>
            <w:r w:rsidR="003B1A7B" w:rsidRPr="007D22C9">
              <w:rPr>
                <w:color w:val="000000"/>
                <w:sz w:val="20"/>
                <w:szCs w:val="20"/>
              </w:rPr>
              <w:t>.</w:t>
            </w:r>
          </w:p>
        </w:tc>
        <w:tc>
          <w:tcPr>
            <w:tcW w:w="1730" w:type="dxa"/>
            <w:tcBorders>
              <w:top w:val="nil"/>
              <w:left w:val="nil"/>
              <w:bottom w:val="single" w:sz="4" w:space="0" w:color="auto"/>
              <w:right w:val="nil"/>
            </w:tcBorders>
            <w:shd w:val="clear" w:color="auto" w:fill="auto"/>
            <w:hideMark/>
          </w:tcPr>
          <w:p w:rsidR="000B335A" w:rsidRPr="007D22C9" w:rsidRDefault="000B335A" w:rsidP="00BD3B9A">
            <w:pPr>
              <w:autoSpaceDE/>
              <w:autoSpaceDN/>
              <w:adjustRightInd/>
              <w:jc w:val="both"/>
              <w:rPr>
                <w:color w:val="000000"/>
                <w:sz w:val="20"/>
                <w:szCs w:val="20"/>
              </w:rPr>
            </w:pPr>
            <w:r w:rsidRPr="007D22C9">
              <w:rPr>
                <w:color w:val="000000"/>
                <w:sz w:val="20"/>
                <w:szCs w:val="20"/>
              </w:rPr>
              <w:t xml:space="preserve">ГАУЗ </w:t>
            </w:r>
            <w:r w:rsidR="002F7358" w:rsidRPr="007D22C9">
              <w:rPr>
                <w:color w:val="000000"/>
                <w:sz w:val="20"/>
                <w:szCs w:val="20"/>
              </w:rPr>
              <w:t>«</w:t>
            </w:r>
            <w:r w:rsidRPr="007D22C9">
              <w:rPr>
                <w:color w:val="000000"/>
                <w:sz w:val="20"/>
                <w:szCs w:val="20"/>
              </w:rPr>
              <w:t>Сармановская ЦРБ</w:t>
            </w:r>
            <w:r w:rsidR="002F7358" w:rsidRPr="007D22C9">
              <w:rPr>
                <w:color w:val="000000"/>
                <w:sz w:val="20"/>
                <w:szCs w:val="20"/>
              </w:rPr>
              <w:t>»</w:t>
            </w:r>
          </w:p>
        </w:tc>
        <w:tc>
          <w:tcPr>
            <w:tcW w:w="1418" w:type="dxa"/>
            <w:tcBorders>
              <w:top w:val="nil"/>
              <w:left w:val="single" w:sz="4" w:space="0" w:color="auto"/>
              <w:bottom w:val="single" w:sz="4" w:space="0" w:color="auto"/>
              <w:right w:val="single" w:sz="4" w:space="0" w:color="auto"/>
            </w:tcBorders>
            <w:shd w:val="clear" w:color="auto" w:fill="auto"/>
            <w:hideMark/>
          </w:tcPr>
          <w:p w:rsidR="000B335A" w:rsidRPr="007D22C9" w:rsidRDefault="00C572EE" w:rsidP="00C572EE">
            <w:pPr>
              <w:autoSpaceDE/>
              <w:autoSpaceDN/>
              <w:adjustRightInd/>
              <w:jc w:val="both"/>
              <w:rPr>
                <w:color w:val="000000"/>
                <w:sz w:val="20"/>
                <w:szCs w:val="20"/>
              </w:rPr>
            </w:pPr>
            <w:r w:rsidRPr="007D22C9">
              <w:rPr>
                <w:color w:val="000000"/>
                <w:sz w:val="20"/>
                <w:szCs w:val="20"/>
              </w:rPr>
              <w:t>с.</w:t>
            </w:r>
            <w:r w:rsidR="000B335A" w:rsidRPr="007D22C9">
              <w:rPr>
                <w:color w:val="000000"/>
                <w:sz w:val="20"/>
                <w:szCs w:val="20"/>
              </w:rPr>
              <w:t xml:space="preserve">Сарманово, </w:t>
            </w:r>
            <w:r w:rsidR="000737A9" w:rsidRPr="007D22C9">
              <w:rPr>
                <w:color w:val="000000"/>
                <w:sz w:val="20"/>
                <w:szCs w:val="20"/>
              </w:rPr>
              <w:t>ул.</w:t>
            </w:r>
            <w:r w:rsidR="000B335A" w:rsidRPr="007D22C9">
              <w:rPr>
                <w:color w:val="000000"/>
                <w:sz w:val="20"/>
                <w:szCs w:val="20"/>
              </w:rPr>
              <w:t xml:space="preserve">Куйбышева, </w:t>
            </w:r>
            <w:r w:rsidR="00C940D5" w:rsidRPr="007D22C9">
              <w:rPr>
                <w:color w:val="000000"/>
                <w:sz w:val="20"/>
                <w:szCs w:val="20"/>
              </w:rPr>
              <w:t>д.</w:t>
            </w:r>
            <w:r w:rsidR="000B335A" w:rsidRPr="007D22C9">
              <w:rPr>
                <w:color w:val="000000"/>
                <w:sz w:val="20"/>
                <w:szCs w:val="20"/>
              </w:rPr>
              <w:t>88</w:t>
            </w:r>
          </w:p>
        </w:tc>
        <w:tc>
          <w:tcPr>
            <w:tcW w:w="1418" w:type="dxa"/>
            <w:tcBorders>
              <w:top w:val="nil"/>
              <w:left w:val="nil"/>
              <w:bottom w:val="single" w:sz="4" w:space="0" w:color="auto"/>
              <w:right w:val="single" w:sz="4" w:space="0" w:color="auto"/>
            </w:tcBorders>
            <w:shd w:val="clear" w:color="auto" w:fill="auto"/>
            <w:hideMark/>
          </w:tcPr>
          <w:p w:rsidR="000B335A" w:rsidRPr="007D22C9" w:rsidRDefault="000B335A" w:rsidP="00BD3B9A">
            <w:pPr>
              <w:autoSpaceDE/>
              <w:autoSpaceDN/>
              <w:adjustRightInd/>
              <w:jc w:val="both"/>
              <w:rPr>
                <w:color w:val="000000"/>
                <w:sz w:val="20"/>
                <w:szCs w:val="20"/>
              </w:rPr>
            </w:pPr>
            <w:r w:rsidRPr="007D22C9">
              <w:rPr>
                <w:color w:val="000000"/>
                <w:sz w:val="20"/>
                <w:szCs w:val="20"/>
              </w:rPr>
              <w:t>Сармановский муниципальный район</w:t>
            </w:r>
          </w:p>
        </w:tc>
        <w:tc>
          <w:tcPr>
            <w:tcW w:w="851" w:type="dxa"/>
            <w:tcBorders>
              <w:top w:val="nil"/>
              <w:left w:val="nil"/>
              <w:bottom w:val="single" w:sz="4" w:space="0" w:color="auto"/>
              <w:right w:val="single" w:sz="4" w:space="0" w:color="auto"/>
            </w:tcBorders>
            <w:shd w:val="clear" w:color="auto" w:fill="auto"/>
            <w:hideMark/>
          </w:tcPr>
          <w:p w:rsidR="000B335A" w:rsidRPr="007D22C9" w:rsidRDefault="000B335A" w:rsidP="00BD3B9A">
            <w:pPr>
              <w:autoSpaceDE/>
              <w:autoSpaceDN/>
              <w:adjustRightInd/>
              <w:jc w:val="center"/>
              <w:rPr>
                <w:color w:val="000000"/>
                <w:sz w:val="20"/>
                <w:szCs w:val="20"/>
              </w:rPr>
            </w:pPr>
            <w:r w:rsidRPr="007D22C9">
              <w:rPr>
                <w:color w:val="000000"/>
                <w:sz w:val="20"/>
                <w:szCs w:val="20"/>
              </w:rPr>
              <w:t>28 941</w:t>
            </w:r>
          </w:p>
        </w:tc>
        <w:tc>
          <w:tcPr>
            <w:tcW w:w="850" w:type="dxa"/>
            <w:tcBorders>
              <w:top w:val="nil"/>
              <w:left w:val="nil"/>
              <w:bottom w:val="single" w:sz="4" w:space="0" w:color="auto"/>
              <w:right w:val="single" w:sz="4" w:space="0" w:color="auto"/>
            </w:tcBorders>
            <w:shd w:val="clear" w:color="auto" w:fill="auto"/>
            <w:hideMark/>
          </w:tcPr>
          <w:p w:rsidR="000B335A" w:rsidRPr="007D22C9" w:rsidRDefault="000B335A" w:rsidP="00BD3B9A">
            <w:pPr>
              <w:autoSpaceDE/>
              <w:autoSpaceDN/>
              <w:adjustRightInd/>
              <w:jc w:val="center"/>
              <w:rPr>
                <w:color w:val="000000"/>
                <w:sz w:val="20"/>
                <w:szCs w:val="20"/>
              </w:rPr>
            </w:pPr>
            <w:r w:rsidRPr="007D22C9">
              <w:rPr>
                <w:color w:val="000000"/>
                <w:sz w:val="20"/>
                <w:szCs w:val="20"/>
              </w:rPr>
              <w:t>0,96</w:t>
            </w:r>
          </w:p>
        </w:tc>
        <w:tc>
          <w:tcPr>
            <w:tcW w:w="1077" w:type="dxa"/>
            <w:tcBorders>
              <w:top w:val="nil"/>
              <w:left w:val="nil"/>
              <w:bottom w:val="single" w:sz="4" w:space="0" w:color="auto"/>
              <w:right w:val="single" w:sz="4" w:space="0" w:color="auto"/>
            </w:tcBorders>
            <w:shd w:val="clear" w:color="auto" w:fill="auto"/>
            <w:hideMark/>
          </w:tcPr>
          <w:p w:rsidR="000B335A" w:rsidRPr="007D22C9" w:rsidRDefault="000B335A" w:rsidP="00BD3B9A">
            <w:pPr>
              <w:autoSpaceDE/>
              <w:autoSpaceDN/>
              <w:adjustRightInd/>
              <w:jc w:val="center"/>
              <w:rPr>
                <w:color w:val="000000"/>
                <w:sz w:val="20"/>
                <w:szCs w:val="20"/>
              </w:rPr>
            </w:pPr>
            <w:r w:rsidRPr="007D22C9">
              <w:rPr>
                <w:color w:val="000000"/>
                <w:sz w:val="20"/>
                <w:szCs w:val="20"/>
              </w:rPr>
              <w:t>1,5</w:t>
            </w:r>
            <w:r w:rsidR="00CD0B8A" w:rsidRPr="007D22C9">
              <w:rPr>
                <w:color w:val="000000"/>
                <w:sz w:val="20"/>
                <w:szCs w:val="20"/>
              </w:rPr>
              <w:t>0</w:t>
            </w:r>
          </w:p>
        </w:tc>
        <w:tc>
          <w:tcPr>
            <w:tcW w:w="992" w:type="dxa"/>
            <w:tcBorders>
              <w:top w:val="nil"/>
              <w:left w:val="nil"/>
              <w:bottom w:val="single" w:sz="4" w:space="0" w:color="auto"/>
              <w:right w:val="single" w:sz="4" w:space="0" w:color="auto"/>
            </w:tcBorders>
            <w:shd w:val="clear" w:color="auto" w:fill="auto"/>
            <w:hideMark/>
          </w:tcPr>
          <w:p w:rsidR="000B335A" w:rsidRPr="007D22C9" w:rsidRDefault="000B335A" w:rsidP="00BD3B9A">
            <w:pPr>
              <w:autoSpaceDE/>
              <w:autoSpaceDN/>
              <w:adjustRightInd/>
              <w:jc w:val="center"/>
              <w:rPr>
                <w:color w:val="000000"/>
                <w:sz w:val="20"/>
                <w:szCs w:val="20"/>
              </w:rPr>
            </w:pPr>
            <w:r w:rsidRPr="007D22C9">
              <w:rPr>
                <w:color w:val="000000"/>
                <w:sz w:val="20"/>
                <w:szCs w:val="20"/>
              </w:rPr>
              <w:t>1,5</w:t>
            </w:r>
            <w:r w:rsidR="00CD0B8A" w:rsidRPr="007D22C9">
              <w:rPr>
                <w:color w:val="000000"/>
                <w:sz w:val="20"/>
                <w:szCs w:val="20"/>
              </w:rPr>
              <w:t>0</w:t>
            </w:r>
          </w:p>
        </w:tc>
        <w:tc>
          <w:tcPr>
            <w:tcW w:w="708" w:type="dxa"/>
            <w:tcBorders>
              <w:top w:val="nil"/>
              <w:left w:val="nil"/>
              <w:bottom w:val="single" w:sz="4" w:space="0" w:color="auto"/>
              <w:right w:val="single" w:sz="4" w:space="0" w:color="auto"/>
            </w:tcBorders>
            <w:shd w:val="clear" w:color="auto" w:fill="auto"/>
            <w:hideMark/>
          </w:tcPr>
          <w:p w:rsidR="000B335A" w:rsidRPr="007D22C9" w:rsidRDefault="00CD0B8A" w:rsidP="00BD3B9A">
            <w:pPr>
              <w:autoSpaceDE/>
              <w:autoSpaceDN/>
              <w:adjustRightInd/>
              <w:jc w:val="center"/>
              <w:rPr>
                <w:color w:val="000000"/>
                <w:sz w:val="20"/>
                <w:szCs w:val="20"/>
              </w:rPr>
            </w:pPr>
            <w:r w:rsidRPr="007D22C9">
              <w:rPr>
                <w:color w:val="000000"/>
                <w:sz w:val="20"/>
                <w:szCs w:val="20"/>
              </w:rPr>
              <w:t>1</w:t>
            </w:r>
          </w:p>
        </w:tc>
        <w:tc>
          <w:tcPr>
            <w:tcW w:w="993" w:type="dxa"/>
            <w:tcBorders>
              <w:top w:val="nil"/>
              <w:left w:val="nil"/>
              <w:bottom w:val="single" w:sz="4" w:space="0" w:color="auto"/>
              <w:right w:val="single" w:sz="4" w:space="0" w:color="auto"/>
            </w:tcBorders>
            <w:shd w:val="clear" w:color="auto" w:fill="auto"/>
            <w:hideMark/>
          </w:tcPr>
          <w:p w:rsidR="000B335A" w:rsidRPr="007D22C9" w:rsidRDefault="00CD0B8A" w:rsidP="00BD3B9A">
            <w:pPr>
              <w:autoSpaceDE/>
              <w:autoSpaceDN/>
              <w:adjustRightInd/>
              <w:jc w:val="center"/>
              <w:rPr>
                <w:color w:val="000000"/>
                <w:sz w:val="20"/>
                <w:szCs w:val="20"/>
              </w:rPr>
            </w:pPr>
            <w:r w:rsidRPr="007D22C9">
              <w:rPr>
                <w:color w:val="000000"/>
                <w:sz w:val="20"/>
                <w:szCs w:val="20"/>
              </w:rPr>
              <w:t>0</w:t>
            </w:r>
          </w:p>
        </w:tc>
      </w:tr>
      <w:tr w:rsidR="000B335A" w:rsidRPr="007D22C9" w:rsidTr="00BD3B9A">
        <w:trPr>
          <w:trHeight w:val="20"/>
        </w:trPr>
        <w:tc>
          <w:tcPr>
            <w:tcW w:w="533" w:type="dxa"/>
            <w:tcBorders>
              <w:top w:val="nil"/>
              <w:left w:val="single" w:sz="4" w:space="0" w:color="auto"/>
              <w:bottom w:val="single" w:sz="4" w:space="0" w:color="auto"/>
              <w:right w:val="single" w:sz="4" w:space="0" w:color="auto"/>
            </w:tcBorders>
            <w:shd w:val="clear" w:color="auto" w:fill="auto"/>
            <w:hideMark/>
          </w:tcPr>
          <w:p w:rsidR="000B335A" w:rsidRPr="007D22C9" w:rsidRDefault="000B335A" w:rsidP="00BD3B9A">
            <w:pPr>
              <w:autoSpaceDE/>
              <w:autoSpaceDN/>
              <w:adjustRightInd/>
              <w:jc w:val="center"/>
              <w:rPr>
                <w:color w:val="000000"/>
                <w:sz w:val="20"/>
                <w:szCs w:val="20"/>
              </w:rPr>
            </w:pPr>
            <w:r w:rsidRPr="007D22C9">
              <w:rPr>
                <w:color w:val="000000"/>
                <w:sz w:val="20"/>
                <w:szCs w:val="20"/>
              </w:rPr>
              <w:t>33</w:t>
            </w:r>
            <w:r w:rsidR="003B1A7B" w:rsidRPr="007D22C9">
              <w:rPr>
                <w:color w:val="000000"/>
                <w:sz w:val="20"/>
                <w:szCs w:val="20"/>
              </w:rPr>
              <w:t>.</w:t>
            </w:r>
          </w:p>
        </w:tc>
        <w:tc>
          <w:tcPr>
            <w:tcW w:w="1730" w:type="dxa"/>
            <w:tcBorders>
              <w:top w:val="nil"/>
              <w:left w:val="nil"/>
              <w:bottom w:val="single" w:sz="4" w:space="0" w:color="auto"/>
              <w:right w:val="nil"/>
            </w:tcBorders>
            <w:shd w:val="clear" w:color="auto" w:fill="auto"/>
            <w:hideMark/>
          </w:tcPr>
          <w:p w:rsidR="000B335A" w:rsidRPr="007D22C9" w:rsidRDefault="000B335A" w:rsidP="00BD3B9A">
            <w:pPr>
              <w:autoSpaceDE/>
              <w:autoSpaceDN/>
              <w:adjustRightInd/>
              <w:jc w:val="both"/>
              <w:rPr>
                <w:color w:val="000000"/>
                <w:sz w:val="20"/>
                <w:szCs w:val="20"/>
              </w:rPr>
            </w:pPr>
            <w:r w:rsidRPr="007D22C9">
              <w:rPr>
                <w:color w:val="000000"/>
                <w:sz w:val="20"/>
                <w:szCs w:val="20"/>
              </w:rPr>
              <w:t xml:space="preserve">ГАУЗ </w:t>
            </w:r>
            <w:r w:rsidR="002F7358" w:rsidRPr="007D22C9">
              <w:rPr>
                <w:color w:val="000000"/>
                <w:sz w:val="20"/>
                <w:szCs w:val="20"/>
              </w:rPr>
              <w:t>«</w:t>
            </w:r>
            <w:r w:rsidRPr="007D22C9">
              <w:rPr>
                <w:color w:val="000000"/>
                <w:sz w:val="20"/>
                <w:szCs w:val="20"/>
              </w:rPr>
              <w:t>Спасская ЦРБ</w:t>
            </w:r>
            <w:r w:rsidR="002F7358" w:rsidRPr="007D22C9">
              <w:rPr>
                <w:color w:val="000000"/>
                <w:sz w:val="20"/>
                <w:szCs w:val="20"/>
              </w:rPr>
              <w:t>»</w:t>
            </w:r>
          </w:p>
        </w:tc>
        <w:tc>
          <w:tcPr>
            <w:tcW w:w="1418" w:type="dxa"/>
            <w:tcBorders>
              <w:top w:val="nil"/>
              <w:left w:val="single" w:sz="4" w:space="0" w:color="auto"/>
              <w:bottom w:val="single" w:sz="4" w:space="0" w:color="auto"/>
              <w:right w:val="single" w:sz="4" w:space="0" w:color="auto"/>
            </w:tcBorders>
            <w:shd w:val="clear" w:color="auto" w:fill="auto"/>
            <w:hideMark/>
          </w:tcPr>
          <w:p w:rsidR="000B335A" w:rsidRPr="007D22C9" w:rsidRDefault="00C572EE" w:rsidP="00C572EE">
            <w:pPr>
              <w:autoSpaceDE/>
              <w:autoSpaceDN/>
              <w:adjustRightInd/>
              <w:jc w:val="both"/>
              <w:rPr>
                <w:color w:val="000000"/>
                <w:sz w:val="20"/>
                <w:szCs w:val="20"/>
              </w:rPr>
            </w:pPr>
            <w:r w:rsidRPr="007D22C9">
              <w:rPr>
                <w:color w:val="000000"/>
                <w:sz w:val="20"/>
                <w:szCs w:val="20"/>
              </w:rPr>
              <w:t>г.</w:t>
            </w:r>
            <w:r w:rsidR="000B335A" w:rsidRPr="007D22C9">
              <w:rPr>
                <w:color w:val="000000"/>
                <w:sz w:val="20"/>
                <w:szCs w:val="20"/>
              </w:rPr>
              <w:t xml:space="preserve">Болгар, </w:t>
            </w:r>
            <w:r w:rsidR="000737A9" w:rsidRPr="007D22C9">
              <w:rPr>
                <w:color w:val="000000"/>
                <w:sz w:val="20"/>
                <w:szCs w:val="20"/>
              </w:rPr>
              <w:t>ул.</w:t>
            </w:r>
            <w:r w:rsidR="000B335A" w:rsidRPr="007D22C9">
              <w:rPr>
                <w:color w:val="000000"/>
                <w:sz w:val="20"/>
                <w:szCs w:val="20"/>
              </w:rPr>
              <w:t xml:space="preserve">Горького, </w:t>
            </w:r>
            <w:r w:rsidR="00C940D5" w:rsidRPr="007D22C9">
              <w:rPr>
                <w:color w:val="000000"/>
                <w:sz w:val="20"/>
                <w:szCs w:val="20"/>
              </w:rPr>
              <w:t>д.</w:t>
            </w:r>
            <w:r w:rsidR="000B335A" w:rsidRPr="007D22C9">
              <w:rPr>
                <w:color w:val="000000"/>
                <w:sz w:val="20"/>
                <w:szCs w:val="20"/>
              </w:rPr>
              <w:t>19</w:t>
            </w:r>
          </w:p>
        </w:tc>
        <w:tc>
          <w:tcPr>
            <w:tcW w:w="1418" w:type="dxa"/>
            <w:tcBorders>
              <w:top w:val="nil"/>
              <w:left w:val="nil"/>
              <w:bottom w:val="single" w:sz="4" w:space="0" w:color="auto"/>
              <w:right w:val="single" w:sz="4" w:space="0" w:color="auto"/>
            </w:tcBorders>
            <w:shd w:val="clear" w:color="auto" w:fill="auto"/>
            <w:hideMark/>
          </w:tcPr>
          <w:p w:rsidR="000B335A" w:rsidRPr="007D22C9" w:rsidRDefault="000B335A" w:rsidP="00BD3B9A">
            <w:pPr>
              <w:autoSpaceDE/>
              <w:autoSpaceDN/>
              <w:adjustRightInd/>
              <w:jc w:val="both"/>
              <w:rPr>
                <w:color w:val="000000"/>
                <w:sz w:val="20"/>
                <w:szCs w:val="20"/>
              </w:rPr>
            </w:pPr>
            <w:r w:rsidRPr="007D22C9">
              <w:rPr>
                <w:color w:val="000000"/>
                <w:sz w:val="20"/>
                <w:szCs w:val="20"/>
              </w:rPr>
              <w:t>Спасский муниципальный район</w:t>
            </w:r>
          </w:p>
        </w:tc>
        <w:tc>
          <w:tcPr>
            <w:tcW w:w="851" w:type="dxa"/>
            <w:tcBorders>
              <w:top w:val="nil"/>
              <w:left w:val="nil"/>
              <w:bottom w:val="single" w:sz="4" w:space="0" w:color="auto"/>
              <w:right w:val="single" w:sz="4" w:space="0" w:color="auto"/>
            </w:tcBorders>
            <w:shd w:val="clear" w:color="auto" w:fill="auto"/>
            <w:hideMark/>
          </w:tcPr>
          <w:p w:rsidR="000B335A" w:rsidRPr="007D22C9" w:rsidRDefault="000B335A" w:rsidP="00BD3B9A">
            <w:pPr>
              <w:autoSpaceDE/>
              <w:autoSpaceDN/>
              <w:adjustRightInd/>
              <w:jc w:val="center"/>
              <w:rPr>
                <w:color w:val="000000"/>
                <w:sz w:val="20"/>
                <w:szCs w:val="20"/>
              </w:rPr>
            </w:pPr>
            <w:r w:rsidRPr="007D22C9">
              <w:rPr>
                <w:color w:val="000000"/>
                <w:sz w:val="20"/>
                <w:szCs w:val="20"/>
              </w:rPr>
              <w:t>14 781</w:t>
            </w:r>
          </w:p>
        </w:tc>
        <w:tc>
          <w:tcPr>
            <w:tcW w:w="850" w:type="dxa"/>
            <w:tcBorders>
              <w:top w:val="nil"/>
              <w:left w:val="nil"/>
              <w:bottom w:val="single" w:sz="4" w:space="0" w:color="auto"/>
              <w:right w:val="single" w:sz="4" w:space="0" w:color="auto"/>
            </w:tcBorders>
            <w:shd w:val="clear" w:color="auto" w:fill="auto"/>
            <w:hideMark/>
          </w:tcPr>
          <w:p w:rsidR="000B335A" w:rsidRPr="007D22C9" w:rsidRDefault="000B335A" w:rsidP="00BD3B9A">
            <w:pPr>
              <w:autoSpaceDE/>
              <w:autoSpaceDN/>
              <w:adjustRightInd/>
              <w:jc w:val="center"/>
              <w:rPr>
                <w:color w:val="000000"/>
                <w:sz w:val="20"/>
                <w:szCs w:val="20"/>
              </w:rPr>
            </w:pPr>
            <w:r w:rsidRPr="007D22C9">
              <w:rPr>
                <w:color w:val="000000"/>
                <w:sz w:val="20"/>
                <w:szCs w:val="20"/>
              </w:rPr>
              <w:t>0,49</w:t>
            </w:r>
          </w:p>
        </w:tc>
        <w:tc>
          <w:tcPr>
            <w:tcW w:w="1077" w:type="dxa"/>
            <w:tcBorders>
              <w:top w:val="nil"/>
              <w:left w:val="nil"/>
              <w:bottom w:val="single" w:sz="4" w:space="0" w:color="auto"/>
              <w:right w:val="single" w:sz="4" w:space="0" w:color="auto"/>
            </w:tcBorders>
            <w:shd w:val="clear" w:color="auto" w:fill="auto"/>
            <w:hideMark/>
          </w:tcPr>
          <w:p w:rsidR="000B335A" w:rsidRPr="007D22C9" w:rsidRDefault="000B335A" w:rsidP="00BD3B9A">
            <w:pPr>
              <w:autoSpaceDE/>
              <w:autoSpaceDN/>
              <w:adjustRightInd/>
              <w:jc w:val="center"/>
              <w:rPr>
                <w:color w:val="000000"/>
                <w:sz w:val="20"/>
                <w:szCs w:val="20"/>
              </w:rPr>
            </w:pPr>
            <w:r w:rsidRPr="007D22C9">
              <w:rPr>
                <w:color w:val="000000"/>
                <w:sz w:val="20"/>
                <w:szCs w:val="20"/>
              </w:rPr>
              <w:t>1</w:t>
            </w:r>
            <w:r w:rsidR="00D34E43" w:rsidRPr="007D22C9">
              <w:rPr>
                <w:color w:val="000000"/>
                <w:sz w:val="20"/>
                <w:szCs w:val="20"/>
              </w:rPr>
              <w:t>,00</w:t>
            </w:r>
          </w:p>
        </w:tc>
        <w:tc>
          <w:tcPr>
            <w:tcW w:w="992" w:type="dxa"/>
            <w:tcBorders>
              <w:top w:val="nil"/>
              <w:left w:val="nil"/>
              <w:bottom w:val="single" w:sz="4" w:space="0" w:color="auto"/>
              <w:right w:val="single" w:sz="4" w:space="0" w:color="auto"/>
            </w:tcBorders>
            <w:shd w:val="clear" w:color="auto" w:fill="auto"/>
            <w:hideMark/>
          </w:tcPr>
          <w:p w:rsidR="000B335A" w:rsidRPr="007D22C9" w:rsidRDefault="00D34E43" w:rsidP="00D34E43">
            <w:pPr>
              <w:autoSpaceDE/>
              <w:autoSpaceDN/>
              <w:adjustRightInd/>
              <w:jc w:val="center"/>
              <w:rPr>
                <w:color w:val="000000"/>
                <w:sz w:val="20"/>
                <w:szCs w:val="20"/>
              </w:rPr>
            </w:pPr>
            <w:r w:rsidRPr="007D22C9">
              <w:rPr>
                <w:color w:val="000000"/>
                <w:sz w:val="20"/>
                <w:szCs w:val="20"/>
              </w:rPr>
              <w:t>0,00</w:t>
            </w:r>
          </w:p>
        </w:tc>
        <w:tc>
          <w:tcPr>
            <w:tcW w:w="708" w:type="dxa"/>
            <w:tcBorders>
              <w:top w:val="nil"/>
              <w:left w:val="nil"/>
              <w:bottom w:val="single" w:sz="4" w:space="0" w:color="auto"/>
              <w:right w:val="single" w:sz="4" w:space="0" w:color="auto"/>
            </w:tcBorders>
            <w:shd w:val="clear" w:color="auto" w:fill="auto"/>
            <w:hideMark/>
          </w:tcPr>
          <w:p w:rsidR="000B335A" w:rsidRPr="007D22C9" w:rsidRDefault="00804FA5" w:rsidP="00804FA5">
            <w:pPr>
              <w:autoSpaceDE/>
              <w:autoSpaceDN/>
              <w:adjustRightInd/>
              <w:jc w:val="center"/>
              <w:rPr>
                <w:color w:val="000000"/>
                <w:sz w:val="20"/>
                <w:szCs w:val="20"/>
              </w:rPr>
            </w:pPr>
            <w:r w:rsidRPr="007D22C9">
              <w:rPr>
                <w:color w:val="000000"/>
                <w:sz w:val="20"/>
                <w:szCs w:val="20"/>
              </w:rPr>
              <w:t>0</w:t>
            </w:r>
          </w:p>
        </w:tc>
        <w:tc>
          <w:tcPr>
            <w:tcW w:w="993" w:type="dxa"/>
            <w:tcBorders>
              <w:top w:val="nil"/>
              <w:left w:val="nil"/>
              <w:bottom w:val="single" w:sz="4" w:space="0" w:color="auto"/>
              <w:right w:val="single" w:sz="4" w:space="0" w:color="auto"/>
            </w:tcBorders>
            <w:shd w:val="clear" w:color="auto" w:fill="auto"/>
            <w:hideMark/>
          </w:tcPr>
          <w:p w:rsidR="000B335A" w:rsidRPr="007D22C9" w:rsidRDefault="00804FA5" w:rsidP="00804FA5">
            <w:pPr>
              <w:autoSpaceDE/>
              <w:autoSpaceDN/>
              <w:adjustRightInd/>
              <w:jc w:val="center"/>
              <w:rPr>
                <w:color w:val="000000"/>
                <w:sz w:val="20"/>
                <w:szCs w:val="20"/>
              </w:rPr>
            </w:pPr>
            <w:r w:rsidRPr="007D22C9">
              <w:rPr>
                <w:color w:val="000000"/>
                <w:sz w:val="20"/>
                <w:szCs w:val="20"/>
              </w:rPr>
              <w:t>0</w:t>
            </w:r>
            <w:r w:rsidR="000B335A" w:rsidRPr="007D22C9">
              <w:rPr>
                <w:color w:val="000000"/>
                <w:sz w:val="20"/>
                <w:szCs w:val="20"/>
              </w:rPr>
              <w:t> </w:t>
            </w:r>
          </w:p>
        </w:tc>
      </w:tr>
      <w:tr w:rsidR="000B335A" w:rsidRPr="007D22C9" w:rsidTr="00BD3B9A">
        <w:trPr>
          <w:trHeight w:val="20"/>
        </w:trPr>
        <w:tc>
          <w:tcPr>
            <w:tcW w:w="533" w:type="dxa"/>
            <w:tcBorders>
              <w:top w:val="nil"/>
              <w:left w:val="single" w:sz="4" w:space="0" w:color="auto"/>
              <w:bottom w:val="single" w:sz="4" w:space="0" w:color="auto"/>
              <w:right w:val="single" w:sz="4" w:space="0" w:color="auto"/>
            </w:tcBorders>
            <w:shd w:val="clear" w:color="auto" w:fill="auto"/>
            <w:hideMark/>
          </w:tcPr>
          <w:p w:rsidR="000B335A" w:rsidRPr="007D22C9" w:rsidRDefault="000B335A" w:rsidP="00BD3B9A">
            <w:pPr>
              <w:autoSpaceDE/>
              <w:autoSpaceDN/>
              <w:adjustRightInd/>
              <w:jc w:val="center"/>
              <w:rPr>
                <w:color w:val="000000"/>
                <w:sz w:val="20"/>
                <w:szCs w:val="20"/>
              </w:rPr>
            </w:pPr>
            <w:r w:rsidRPr="007D22C9">
              <w:rPr>
                <w:color w:val="000000"/>
                <w:sz w:val="20"/>
                <w:szCs w:val="20"/>
              </w:rPr>
              <w:t>34</w:t>
            </w:r>
            <w:r w:rsidR="003B1A7B" w:rsidRPr="007D22C9">
              <w:rPr>
                <w:color w:val="000000"/>
                <w:sz w:val="20"/>
                <w:szCs w:val="20"/>
              </w:rPr>
              <w:t>.</w:t>
            </w:r>
          </w:p>
        </w:tc>
        <w:tc>
          <w:tcPr>
            <w:tcW w:w="1730" w:type="dxa"/>
            <w:tcBorders>
              <w:top w:val="nil"/>
              <w:left w:val="nil"/>
              <w:bottom w:val="single" w:sz="4" w:space="0" w:color="auto"/>
              <w:right w:val="nil"/>
            </w:tcBorders>
            <w:shd w:val="clear" w:color="auto" w:fill="auto"/>
            <w:hideMark/>
          </w:tcPr>
          <w:p w:rsidR="000B335A" w:rsidRPr="007D22C9" w:rsidRDefault="000B335A" w:rsidP="00BD3B9A">
            <w:pPr>
              <w:autoSpaceDE/>
              <w:autoSpaceDN/>
              <w:adjustRightInd/>
              <w:jc w:val="both"/>
              <w:rPr>
                <w:color w:val="000000"/>
                <w:sz w:val="20"/>
                <w:szCs w:val="20"/>
              </w:rPr>
            </w:pPr>
            <w:r w:rsidRPr="007D22C9">
              <w:rPr>
                <w:color w:val="000000"/>
                <w:sz w:val="20"/>
                <w:szCs w:val="20"/>
              </w:rPr>
              <w:t xml:space="preserve">ГАУЗ </w:t>
            </w:r>
            <w:r w:rsidR="002F7358" w:rsidRPr="007D22C9">
              <w:rPr>
                <w:color w:val="000000"/>
                <w:sz w:val="20"/>
                <w:szCs w:val="20"/>
              </w:rPr>
              <w:t>«</w:t>
            </w:r>
            <w:r w:rsidRPr="007D22C9">
              <w:rPr>
                <w:color w:val="000000"/>
                <w:sz w:val="20"/>
                <w:szCs w:val="20"/>
              </w:rPr>
              <w:t>Тетюшская ЦРБ</w:t>
            </w:r>
            <w:r w:rsidR="002F7358" w:rsidRPr="007D22C9">
              <w:rPr>
                <w:color w:val="000000"/>
                <w:sz w:val="20"/>
                <w:szCs w:val="20"/>
              </w:rPr>
              <w:t>»</w:t>
            </w:r>
          </w:p>
        </w:tc>
        <w:tc>
          <w:tcPr>
            <w:tcW w:w="1418" w:type="dxa"/>
            <w:tcBorders>
              <w:top w:val="nil"/>
              <w:left w:val="single" w:sz="4" w:space="0" w:color="auto"/>
              <w:bottom w:val="single" w:sz="4" w:space="0" w:color="auto"/>
              <w:right w:val="single" w:sz="4" w:space="0" w:color="auto"/>
            </w:tcBorders>
            <w:shd w:val="clear" w:color="auto" w:fill="auto"/>
            <w:hideMark/>
          </w:tcPr>
          <w:p w:rsidR="000B335A" w:rsidRPr="007D22C9" w:rsidRDefault="00003ED2" w:rsidP="00C572EE">
            <w:pPr>
              <w:autoSpaceDE/>
              <w:autoSpaceDN/>
              <w:adjustRightInd/>
              <w:jc w:val="both"/>
              <w:rPr>
                <w:color w:val="000000"/>
                <w:sz w:val="20"/>
                <w:szCs w:val="20"/>
              </w:rPr>
            </w:pPr>
            <w:r w:rsidRPr="007D22C9">
              <w:rPr>
                <w:color w:val="000000"/>
                <w:sz w:val="20"/>
                <w:szCs w:val="20"/>
              </w:rPr>
              <w:t>г.</w:t>
            </w:r>
            <w:r w:rsidR="000B335A" w:rsidRPr="007D22C9">
              <w:rPr>
                <w:color w:val="000000"/>
                <w:sz w:val="20"/>
                <w:szCs w:val="20"/>
              </w:rPr>
              <w:t xml:space="preserve">Тетюши, </w:t>
            </w:r>
            <w:r w:rsidR="000737A9" w:rsidRPr="007D22C9">
              <w:rPr>
                <w:color w:val="000000"/>
                <w:sz w:val="20"/>
                <w:szCs w:val="20"/>
              </w:rPr>
              <w:t>ул.</w:t>
            </w:r>
            <w:r w:rsidR="000B335A" w:rsidRPr="007D22C9">
              <w:rPr>
                <w:color w:val="000000"/>
                <w:sz w:val="20"/>
                <w:szCs w:val="20"/>
              </w:rPr>
              <w:t xml:space="preserve">Свердлова, </w:t>
            </w:r>
            <w:r w:rsidR="00C940D5" w:rsidRPr="007D22C9">
              <w:rPr>
                <w:color w:val="000000"/>
                <w:sz w:val="20"/>
                <w:szCs w:val="20"/>
              </w:rPr>
              <w:t>д.</w:t>
            </w:r>
            <w:r w:rsidR="000B335A" w:rsidRPr="007D22C9">
              <w:rPr>
                <w:color w:val="000000"/>
                <w:sz w:val="20"/>
                <w:szCs w:val="20"/>
              </w:rPr>
              <w:t>11</w:t>
            </w:r>
          </w:p>
        </w:tc>
        <w:tc>
          <w:tcPr>
            <w:tcW w:w="1418" w:type="dxa"/>
            <w:tcBorders>
              <w:top w:val="nil"/>
              <w:left w:val="nil"/>
              <w:bottom w:val="single" w:sz="4" w:space="0" w:color="auto"/>
              <w:right w:val="single" w:sz="4" w:space="0" w:color="auto"/>
            </w:tcBorders>
            <w:shd w:val="clear" w:color="auto" w:fill="auto"/>
            <w:hideMark/>
          </w:tcPr>
          <w:p w:rsidR="000B335A" w:rsidRPr="007D22C9" w:rsidRDefault="000B335A" w:rsidP="00BD3B9A">
            <w:pPr>
              <w:autoSpaceDE/>
              <w:autoSpaceDN/>
              <w:adjustRightInd/>
              <w:jc w:val="both"/>
              <w:rPr>
                <w:color w:val="000000"/>
                <w:sz w:val="20"/>
                <w:szCs w:val="20"/>
              </w:rPr>
            </w:pPr>
            <w:r w:rsidRPr="007D22C9">
              <w:rPr>
                <w:color w:val="000000"/>
                <w:sz w:val="20"/>
                <w:szCs w:val="20"/>
              </w:rPr>
              <w:t>Тетюшский муниципальный район</w:t>
            </w:r>
          </w:p>
        </w:tc>
        <w:tc>
          <w:tcPr>
            <w:tcW w:w="851" w:type="dxa"/>
            <w:tcBorders>
              <w:top w:val="nil"/>
              <w:left w:val="nil"/>
              <w:bottom w:val="single" w:sz="4" w:space="0" w:color="auto"/>
              <w:right w:val="single" w:sz="4" w:space="0" w:color="auto"/>
            </w:tcBorders>
            <w:shd w:val="clear" w:color="auto" w:fill="auto"/>
            <w:hideMark/>
          </w:tcPr>
          <w:p w:rsidR="000B335A" w:rsidRPr="007D22C9" w:rsidRDefault="000B335A" w:rsidP="00BD3B9A">
            <w:pPr>
              <w:autoSpaceDE/>
              <w:autoSpaceDN/>
              <w:adjustRightInd/>
              <w:jc w:val="center"/>
              <w:rPr>
                <w:color w:val="000000"/>
                <w:sz w:val="20"/>
                <w:szCs w:val="20"/>
              </w:rPr>
            </w:pPr>
            <w:r w:rsidRPr="007D22C9">
              <w:rPr>
                <w:color w:val="000000"/>
                <w:sz w:val="20"/>
                <w:szCs w:val="20"/>
              </w:rPr>
              <w:t>17 470</w:t>
            </w:r>
          </w:p>
        </w:tc>
        <w:tc>
          <w:tcPr>
            <w:tcW w:w="850" w:type="dxa"/>
            <w:tcBorders>
              <w:top w:val="nil"/>
              <w:left w:val="nil"/>
              <w:bottom w:val="single" w:sz="4" w:space="0" w:color="auto"/>
              <w:right w:val="single" w:sz="4" w:space="0" w:color="auto"/>
            </w:tcBorders>
            <w:shd w:val="clear" w:color="auto" w:fill="auto"/>
            <w:hideMark/>
          </w:tcPr>
          <w:p w:rsidR="000B335A" w:rsidRPr="007D22C9" w:rsidRDefault="000B335A" w:rsidP="00BD3B9A">
            <w:pPr>
              <w:autoSpaceDE/>
              <w:autoSpaceDN/>
              <w:adjustRightInd/>
              <w:jc w:val="center"/>
              <w:rPr>
                <w:color w:val="000000"/>
                <w:sz w:val="20"/>
                <w:szCs w:val="20"/>
              </w:rPr>
            </w:pPr>
            <w:r w:rsidRPr="007D22C9">
              <w:rPr>
                <w:color w:val="000000"/>
                <w:sz w:val="20"/>
                <w:szCs w:val="20"/>
              </w:rPr>
              <w:t>0,58</w:t>
            </w:r>
          </w:p>
        </w:tc>
        <w:tc>
          <w:tcPr>
            <w:tcW w:w="1077" w:type="dxa"/>
            <w:tcBorders>
              <w:top w:val="nil"/>
              <w:left w:val="nil"/>
              <w:bottom w:val="single" w:sz="4" w:space="0" w:color="auto"/>
              <w:right w:val="single" w:sz="4" w:space="0" w:color="auto"/>
            </w:tcBorders>
            <w:shd w:val="clear" w:color="auto" w:fill="auto"/>
            <w:hideMark/>
          </w:tcPr>
          <w:p w:rsidR="000B335A" w:rsidRPr="007D22C9" w:rsidRDefault="000B335A" w:rsidP="00BD3B9A">
            <w:pPr>
              <w:autoSpaceDE/>
              <w:autoSpaceDN/>
              <w:adjustRightInd/>
              <w:jc w:val="center"/>
              <w:rPr>
                <w:color w:val="000000"/>
                <w:sz w:val="20"/>
                <w:szCs w:val="20"/>
              </w:rPr>
            </w:pPr>
            <w:r w:rsidRPr="007D22C9">
              <w:rPr>
                <w:color w:val="000000"/>
                <w:sz w:val="20"/>
                <w:szCs w:val="20"/>
              </w:rPr>
              <w:t>0,5</w:t>
            </w:r>
            <w:r w:rsidR="00FC1B16" w:rsidRPr="007D22C9">
              <w:rPr>
                <w:color w:val="000000"/>
                <w:sz w:val="20"/>
                <w:szCs w:val="20"/>
              </w:rPr>
              <w:t>0</w:t>
            </w:r>
          </w:p>
        </w:tc>
        <w:tc>
          <w:tcPr>
            <w:tcW w:w="992" w:type="dxa"/>
            <w:tcBorders>
              <w:top w:val="nil"/>
              <w:left w:val="nil"/>
              <w:bottom w:val="single" w:sz="4" w:space="0" w:color="auto"/>
              <w:right w:val="single" w:sz="4" w:space="0" w:color="auto"/>
            </w:tcBorders>
            <w:shd w:val="clear" w:color="auto" w:fill="auto"/>
            <w:hideMark/>
          </w:tcPr>
          <w:p w:rsidR="000B335A" w:rsidRPr="007D22C9" w:rsidRDefault="000B335A" w:rsidP="00BD3B9A">
            <w:pPr>
              <w:autoSpaceDE/>
              <w:autoSpaceDN/>
              <w:adjustRightInd/>
              <w:jc w:val="center"/>
              <w:rPr>
                <w:color w:val="000000"/>
                <w:sz w:val="20"/>
                <w:szCs w:val="20"/>
              </w:rPr>
            </w:pPr>
            <w:r w:rsidRPr="007D22C9">
              <w:rPr>
                <w:color w:val="000000"/>
                <w:sz w:val="20"/>
                <w:szCs w:val="20"/>
              </w:rPr>
              <w:t>0,5</w:t>
            </w:r>
            <w:r w:rsidR="00FC1B16" w:rsidRPr="007D22C9">
              <w:rPr>
                <w:color w:val="000000"/>
                <w:sz w:val="20"/>
                <w:szCs w:val="20"/>
              </w:rPr>
              <w:t>0</w:t>
            </w:r>
          </w:p>
        </w:tc>
        <w:tc>
          <w:tcPr>
            <w:tcW w:w="708" w:type="dxa"/>
            <w:tcBorders>
              <w:top w:val="nil"/>
              <w:left w:val="nil"/>
              <w:bottom w:val="single" w:sz="4" w:space="0" w:color="auto"/>
              <w:right w:val="single" w:sz="4" w:space="0" w:color="auto"/>
            </w:tcBorders>
            <w:shd w:val="clear" w:color="auto" w:fill="auto"/>
            <w:hideMark/>
          </w:tcPr>
          <w:p w:rsidR="000B335A" w:rsidRPr="007D22C9" w:rsidRDefault="000B335A" w:rsidP="00BD3B9A">
            <w:pPr>
              <w:autoSpaceDE/>
              <w:autoSpaceDN/>
              <w:adjustRightInd/>
              <w:jc w:val="center"/>
              <w:rPr>
                <w:color w:val="000000"/>
                <w:sz w:val="20"/>
                <w:szCs w:val="20"/>
              </w:rPr>
            </w:pPr>
            <w:r w:rsidRPr="007D22C9">
              <w:rPr>
                <w:color w:val="000000"/>
                <w:sz w:val="20"/>
                <w:szCs w:val="20"/>
              </w:rPr>
              <w:t>1</w:t>
            </w:r>
          </w:p>
        </w:tc>
        <w:tc>
          <w:tcPr>
            <w:tcW w:w="993" w:type="dxa"/>
            <w:tcBorders>
              <w:top w:val="nil"/>
              <w:left w:val="nil"/>
              <w:bottom w:val="single" w:sz="4" w:space="0" w:color="auto"/>
              <w:right w:val="single" w:sz="4" w:space="0" w:color="auto"/>
            </w:tcBorders>
            <w:shd w:val="clear" w:color="auto" w:fill="auto"/>
            <w:hideMark/>
          </w:tcPr>
          <w:p w:rsidR="000B335A" w:rsidRPr="007D22C9" w:rsidRDefault="000B335A" w:rsidP="00BD3B9A">
            <w:pPr>
              <w:autoSpaceDE/>
              <w:autoSpaceDN/>
              <w:adjustRightInd/>
              <w:jc w:val="center"/>
              <w:rPr>
                <w:color w:val="000000"/>
                <w:sz w:val="20"/>
                <w:szCs w:val="20"/>
              </w:rPr>
            </w:pPr>
            <w:r w:rsidRPr="007D22C9">
              <w:rPr>
                <w:color w:val="000000"/>
                <w:sz w:val="20"/>
                <w:szCs w:val="20"/>
              </w:rPr>
              <w:t>1</w:t>
            </w:r>
          </w:p>
        </w:tc>
      </w:tr>
      <w:tr w:rsidR="000B335A" w:rsidRPr="007D22C9" w:rsidTr="00BD3B9A">
        <w:trPr>
          <w:trHeight w:val="20"/>
        </w:trPr>
        <w:tc>
          <w:tcPr>
            <w:tcW w:w="533" w:type="dxa"/>
            <w:tcBorders>
              <w:top w:val="nil"/>
              <w:left w:val="single" w:sz="4" w:space="0" w:color="auto"/>
              <w:bottom w:val="single" w:sz="4" w:space="0" w:color="auto"/>
              <w:right w:val="single" w:sz="4" w:space="0" w:color="auto"/>
            </w:tcBorders>
            <w:shd w:val="clear" w:color="auto" w:fill="auto"/>
            <w:hideMark/>
          </w:tcPr>
          <w:p w:rsidR="000B335A" w:rsidRPr="007D22C9" w:rsidRDefault="000B335A" w:rsidP="00BD3B9A">
            <w:pPr>
              <w:autoSpaceDE/>
              <w:autoSpaceDN/>
              <w:adjustRightInd/>
              <w:jc w:val="center"/>
              <w:rPr>
                <w:color w:val="000000"/>
                <w:sz w:val="20"/>
                <w:szCs w:val="20"/>
              </w:rPr>
            </w:pPr>
            <w:r w:rsidRPr="007D22C9">
              <w:rPr>
                <w:color w:val="000000"/>
                <w:sz w:val="20"/>
                <w:szCs w:val="20"/>
              </w:rPr>
              <w:t>35</w:t>
            </w:r>
            <w:r w:rsidR="003B1A7B" w:rsidRPr="007D22C9">
              <w:rPr>
                <w:color w:val="000000"/>
                <w:sz w:val="20"/>
                <w:szCs w:val="20"/>
              </w:rPr>
              <w:t>.</w:t>
            </w:r>
          </w:p>
        </w:tc>
        <w:tc>
          <w:tcPr>
            <w:tcW w:w="1730" w:type="dxa"/>
            <w:tcBorders>
              <w:top w:val="nil"/>
              <w:left w:val="nil"/>
              <w:bottom w:val="single" w:sz="4" w:space="0" w:color="auto"/>
              <w:right w:val="nil"/>
            </w:tcBorders>
            <w:shd w:val="clear" w:color="auto" w:fill="auto"/>
            <w:hideMark/>
          </w:tcPr>
          <w:p w:rsidR="000B335A" w:rsidRPr="007D22C9" w:rsidRDefault="000B335A" w:rsidP="00BD3B9A">
            <w:pPr>
              <w:autoSpaceDE/>
              <w:autoSpaceDN/>
              <w:adjustRightInd/>
              <w:jc w:val="both"/>
              <w:rPr>
                <w:color w:val="000000"/>
                <w:sz w:val="20"/>
                <w:szCs w:val="20"/>
              </w:rPr>
            </w:pPr>
            <w:r w:rsidRPr="007D22C9">
              <w:rPr>
                <w:color w:val="000000"/>
                <w:sz w:val="20"/>
                <w:szCs w:val="20"/>
              </w:rPr>
              <w:t xml:space="preserve">ГАУЗ </w:t>
            </w:r>
            <w:r w:rsidR="002F7358" w:rsidRPr="007D22C9">
              <w:rPr>
                <w:color w:val="000000"/>
                <w:sz w:val="20"/>
                <w:szCs w:val="20"/>
              </w:rPr>
              <w:t>«</w:t>
            </w:r>
            <w:r w:rsidRPr="007D22C9">
              <w:rPr>
                <w:color w:val="000000"/>
                <w:sz w:val="20"/>
                <w:szCs w:val="20"/>
              </w:rPr>
              <w:t>Тукаевская ЦРБ</w:t>
            </w:r>
            <w:r w:rsidR="002F7358" w:rsidRPr="007D22C9">
              <w:rPr>
                <w:color w:val="000000"/>
                <w:sz w:val="20"/>
                <w:szCs w:val="20"/>
              </w:rPr>
              <w:t>»</w:t>
            </w:r>
          </w:p>
        </w:tc>
        <w:tc>
          <w:tcPr>
            <w:tcW w:w="1418" w:type="dxa"/>
            <w:tcBorders>
              <w:top w:val="nil"/>
              <w:left w:val="single" w:sz="4" w:space="0" w:color="auto"/>
              <w:bottom w:val="single" w:sz="4" w:space="0" w:color="auto"/>
              <w:right w:val="single" w:sz="4" w:space="0" w:color="auto"/>
            </w:tcBorders>
            <w:shd w:val="clear" w:color="auto" w:fill="auto"/>
            <w:hideMark/>
          </w:tcPr>
          <w:p w:rsidR="000B335A" w:rsidRPr="007D22C9" w:rsidRDefault="00003ED2" w:rsidP="00C572EE">
            <w:pPr>
              <w:autoSpaceDE/>
              <w:autoSpaceDN/>
              <w:adjustRightInd/>
              <w:jc w:val="both"/>
              <w:rPr>
                <w:color w:val="000000"/>
                <w:sz w:val="20"/>
                <w:szCs w:val="20"/>
              </w:rPr>
            </w:pPr>
            <w:r w:rsidRPr="007D22C9">
              <w:rPr>
                <w:color w:val="000000"/>
                <w:sz w:val="20"/>
                <w:szCs w:val="20"/>
              </w:rPr>
              <w:t>г.Набережные</w:t>
            </w:r>
            <w:r w:rsidR="000B335A" w:rsidRPr="007D22C9">
              <w:rPr>
                <w:color w:val="000000"/>
                <w:sz w:val="20"/>
                <w:szCs w:val="20"/>
              </w:rPr>
              <w:t xml:space="preserve"> Челны, </w:t>
            </w:r>
            <w:r w:rsidR="00C940D5" w:rsidRPr="007D22C9">
              <w:rPr>
                <w:color w:val="000000"/>
                <w:sz w:val="20"/>
                <w:szCs w:val="20"/>
              </w:rPr>
              <w:t>ул.</w:t>
            </w:r>
            <w:r w:rsidR="000B335A" w:rsidRPr="007D22C9">
              <w:rPr>
                <w:color w:val="000000"/>
                <w:sz w:val="20"/>
                <w:szCs w:val="20"/>
              </w:rPr>
              <w:t xml:space="preserve">Аркылы, </w:t>
            </w:r>
            <w:r w:rsidR="00C940D5" w:rsidRPr="007D22C9">
              <w:rPr>
                <w:color w:val="000000"/>
                <w:sz w:val="20"/>
                <w:szCs w:val="20"/>
              </w:rPr>
              <w:t>д.</w:t>
            </w:r>
            <w:r w:rsidR="000B335A" w:rsidRPr="007D22C9">
              <w:rPr>
                <w:color w:val="000000"/>
                <w:sz w:val="20"/>
                <w:szCs w:val="20"/>
              </w:rPr>
              <w:t>21</w:t>
            </w:r>
          </w:p>
        </w:tc>
        <w:tc>
          <w:tcPr>
            <w:tcW w:w="1418" w:type="dxa"/>
            <w:tcBorders>
              <w:top w:val="nil"/>
              <w:left w:val="nil"/>
              <w:bottom w:val="single" w:sz="4" w:space="0" w:color="auto"/>
              <w:right w:val="single" w:sz="4" w:space="0" w:color="auto"/>
            </w:tcBorders>
            <w:shd w:val="clear" w:color="auto" w:fill="auto"/>
            <w:hideMark/>
          </w:tcPr>
          <w:p w:rsidR="000B335A" w:rsidRPr="007D22C9" w:rsidRDefault="000B335A" w:rsidP="00BD3B9A">
            <w:pPr>
              <w:autoSpaceDE/>
              <w:autoSpaceDN/>
              <w:adjustRightInd/>
              <w:jc w:val="both"/>
              <w:rPr>
                <w:color w:val="000000"/>
                <w:sz w:val="20"/>
                <w:szCs w:val="20"/>
              </w:rPr>
            </w:pPr>
            <w:r w:rsidRPr="007D22C9">
              <w:rPr>
                <w:color w:val="000000"/>
                <w:sz w:val="20"/>
                <w:szCs w:val="20"/>
              </w:rPr>
              <w:t>Тукаевский муниципальный район</w:t>
            </w:r>
          </w:p>
        </w:tc>
        <w:tc>
          <w:tcPr>
            <w:tcW w:w="851" w:type="dxa"/>
            <w:tcBorders>
              <w:top w:val="nil"/>
              <w:left w:val="nil"/>
              <w:bottom w:val="single" w:sz="4" w:space="0" w:color="auto"/>
              <w:right w:val="single" w:sz="4" w:space="0" w:color="auto"/>
            </w:tcBorders>
            <w:shd w:val="clear" w:color="auto" w:fill="auto"/>
            <w:hideMark/>
          </w:tcPr>
          <w:p w:rsidR="000B335A" w:rsidRPr="007D22C9" w:rsidRDefault="000B335A" w:rsidP="00BD3B9A">
            <w:pPr>
              <w:autoSpaceDE/>
              <w:autoSpaceDN/>
              <w:adjustRightInd/>
              <w:jc w:val="center"/>
              <w:rPr>
                <w:color w:val="000000"/>
                <w:sz w:val="20"/>
                <w:szCs w:val="20"/>
              </w:rPr>
            </w:pPr>
            <w:r w:rsidRPr="007D22C9">
              <w:rPr>
                <w:color w:val="000000"/>
                <w:sz w:val="20"/>
                <w:szCs w:val="20"/>
              </w:rPr>
              <w:t>36 397</w:t>
            </w:r>
          </w:p>
        </w:tc>
        <w:tc>
          <w:tcPr>
            <w:tcW w:w="850" w:type="dxa"/>
            <w:tcBorders>
              <w:top w:val="nil"/>
              <w:left w:val="nil"/>
              <w:bottom w:val="single" w:sz="4" w:space="0" w:color="auto"/>
              <w:right w:val="single" w:sz="4" w:space="0" w:color="auto"/>
            </w:tcBorders>
            <w:shd w:val="clear" w:color="auto" w:fill="auto"/>
            <w:hideMark/>
          </w:tcPr>
          <w:p w:rsidR="000B335A" w:rsidRPr="007D22C9" w:rsidRDefault="000B335A" w:rsidP="00BD3B9A">
            <w:pPr>
              <w:autoSpaceDE/>
              <w:autoSpaceDN/>
              <w:adjustRightInd/>
              <w:jc w:val="center"/>
              <w:rPr>
                <w:color w:val="000000"/>
                <w:sz w:val="20"/>
                <w:szCs w:val="20"/>
              </w:rPr>
            </w:pPr>
            <w:r w:rsidRPr="007D22C9">
              <w:rPr>
                <w:color w:val="000000"/>
                <w:sz w:val="20"/>
                <w:szCs w:val="20"/>
              </w:rPr>
              <w:t>1,21</w:t>
            </w:r>
          </w:p>
        </w:tc>
        <w:tc>
          <w:tcPr>
            <w:tcW w:w="1077" w:type="dxa"/>
            <w:tcBorders>
              <w:top w:val="nil"/>
              <w:left w:val="nil"/>
              <w:bottom w:val="single" w:sz="4" w:space="0" w:color="auto"/>
              <w:right w:val="single" w:sz="4" w:space="0" w:color="auto"/>
            </w:tcBorders>
            <w:shd w:val="clear" w:color="auto" w:fill="auto"/>
            <w:hideMark/>
          </w:tcPr>
          <w:p w:rsidR="000B335A" w:rsidRPr="007D22C9" w:rsidRDefault="00FF4668" w:rsidP="00FF4668">
            <w:pPr>
              <w:autoSpaceDE/>
              <w:autoSpaceDN/>
              <w:adjustRightInd/>
              <w:jc w:val="center"/>
              <w:rPr>
                <w:color w:val="000000"/>
                <w:sz w:val="20"/>
                <w:szCs w:val="20"/>
              </w:rPr>
            </w:pPr>
            <w:r w:rsidRPr="007D22C9">
              <w:rPr>
                <w:color w:val="000000"/>
                <w:sz w:val="20"/>
                <w:szCs w:val="20"/>
              </w:rPr>
              <w:t>1,0</w:t>
            </w:r>
            <w:r w:rsidR="000B335A" w:rsidRPr="007D22C9">
              <w:rPr>
                <w:color w:val="000000"/>
                <w:sz w:val="20"/>
                <w:szCs w:val="20"/>
              </w:rPr>
              <w:t>0</w:t>
            </w:r>
          </w:p>
        </w:tc>
        <w:tc>
          <w:tcPr>
            <w:tcW w:w="992" w:type="dxa"/>
            <w:tcBorders>
              <w:top w:val="nil"/>
              <w:left w:val="nil"/>
              <w:bottom w:val="single" w:sz="4" w:space="0" w:color="auto"/>
              <w:right w:val="single" w:sz="4" w:space="0" w:color="auto"/>
            </w:tcBorders>
            <w:shd w:val="clear" w:color="auto" w:fill="auto"/>
            <w:hideMark/>
          </w:tcPr>
          <w:p w:rsidR="000B335A" w:rsidRPr="007D22C9" w:rsidRDefault="00FF4668" w:rsidP="00FF4668">
            <w:pPr>
              <w:autoSpaceDE/>
              <w:autoSpaceDN/>
              <w:adjustRightInd/>
              <w:jc w:val="center"/>
              <w:rPr>
                <w:color w:val="000000"/>
                <w:sz w:val="20"/>
                <w:szCs w:val="20"/>
              </w:rPr>
            </w:pPr>
            <w:r w:rsidRPr="007D22C9">
              <w:rPr>
                <w:color w:val="000000"/>
                <w:sz w:val="20"/>
                <w:szCs w:val="20"/>
              </w:rPr>
              <w:t>1,0</w:t>
            </w:r>
            <w:r w:rsidR="000B335A" w:rsidRPr="007D22C9">
              <w:rPr>
                <w:color w:val="000000"/>
                <w:sz w:val="20"/>
                <w:szCs w:val="20"/>
              </w:rPr>
              <w:t>0</w:t>
            </w:r>
          </w:p>
        </w:tc>
        <w:tc>
          <w:tcPr>
            <w:tcW w:w="708" w:type="dxa"/>
            <w:tcBorders>
              <w:top w:val="nil"/>
              <w:left w:val="nil"/>
              <w:bottom w:val="single" w:sz="4" w:space="0" w:color="auto"/>
              <w:right w:val="single" w:sz="4" w:space="0" w:color="auto"/>
            </w:tcBorders>
            <w:shd w:val="clear" w:color="auto" w:fill="auto"/>
            <w:hideMark/>
          </w:tcPr>
          <w:p w:rsidR="000B335A" w:rsidRPr="007D22C9" w:rsidRDefault="000B335A" w:rsidP="00BD3B9A">
            <w:pPr>
              <w:autoSpaceDE/>
              <w:autoSpaceDN/>
              <w:adjustRightInd/>
              <w:jc w:val="center"/>
              <w:rPr>
                <w:color w:val="000000"/>
                <w:sz w:val="20"/>
                <w:szCs w:val="20"/>
              </w:rPr>
            </w:pPr>
            <w:r w:rsidRPr="007D22C9">
              <w:rPr>
                <w:color w:val="000000"/>
                <w:sz w:val="20"/>
                <w:szCs w:val="20"/>
              </w:rPr>
              <w:t>1</w:t>
            </w:r>
          </w:p>
        </w:tc>
        <w:tc>
          <w:tcPr>
            <w:tcW w:w="993" w:type="dxa"/>
            <w:tcBorders>
              <w:top w:val="nil"/>
              <w:left w:val="nil"/>
              <w:bottom w:val="single" w:sz="4" w:space="0" w:color="auto"/>
              <w:right w:val="single" w:sz="4" w:space="0" w:color="auto"/>
            </w:tcBorders>
            <w:shd w:val="clear" w:color="auto" w:fill="auto"/>
            <w:hideMark/>
          </w:tcPr>
          <w:p w:rsidR="000B335A" w:rsidRPr="007D22C9" w:rsidRDefault="00FF4668" w:rsidP="00FF4668">
            <w:pPr>
              <w:autoSpaceDE/>
              <w:autoSpaceDN/>
              <w:adjustRightInd/>
              <w:jc w:val="center"/>
              <w:rPr>
                <w:color w:val="000000"/>
                <w:sz w:val="20"/>
                <w:szCs w:val="20"/>
              </w:rPr>
            </w:pPr>
            <w:r w:rsidRPr="007D22C9">
              <w:rPr>
                <w:color w:val="000000"/>
                <w:sz w:val="20"/>
                <w:szCs w:val="20"/>
              </w:rPr>
              <w:t>0</w:t>
            </w:r>
          </w:p>
        </w:tc>
      </w:tr>
      <w:tr w:rsidR="000B335A" w:rsidRPr="007D22C9" w:rsidTr="00BD3B9A">
        <w:trPr>
          <w:trHeight w:val="20"/>
        </w:trPr>
        <w:tc>
          <w:tcPr>
            <w:tcW w:w="533" w:type="dxa"/>
            <w:tcBorders>
              <w:top w:val="nil"/>
              <w:left w:val="single" w:sz="4" w:space="0" w:color="auto"/>
              <w:bottom w:val="single" w:sz="4" w:space="0" w:color="auto"/>
              <w:right w:val="single" w:sz="4" w:space="0" w:color="auto"/>
            </w:tcBorders>
            <w:shd w:val="clear" w:color="auto" w:fill="auto"/>
            <w:hideMark/>
          </w:tcPr>
          <w:p w:rsidR="000B335A" w:rsidRPr="007D22C9" w:rsidRDefault="000B335A" w:rsidP="00BD3B9A">
            <w:pPr>
              <w:autoSpaceDE/>
              <w:autoSpaceDN/>
              <w:adjustRightInd/>
              <w:jc w:val="center"/>
              <w:rPr>
                <w:color w:val="000000"/>
                <w:sz w:val="20"/>
                <w:szCs w:val="20"/>
              </w:rPr>
            </w:pPr>
            <w:r w:rsidRPr="007D22C9">
              <w:rPr>
                <w:color w:val="000000"/>
                <w:sz w:val="20"/>
                <w:szCs w:val="20"/>
              </w:rPr>
              <w:t>36</w:t>
            </w:r>
            <w:r w:rsidR="003B1A7B" w:rsidRPr="007D22C9">
              <w:rPr>
                <w:color w:val="000000"/>
                <w:sz w:val="20"/>
                <w:szCs w:val="20"/>
              </w:rPr>
              <w:t>.</w:t>
            </w:r>
          </w:p>
        </w:tc>
        <w:tc>
          <w:tcPr>
            <w:tcW w:w="1730" w:type="dxa"/>
            <w:tcBorders>
              <w:top w:val="nil"/>
              <w:left w:val="nil"/>
              <w:bottom w:val="single" w:sz="4" w:space="0" w:color="auto"/>
              <w:right w:val="nil"/>
            </w:tcBorders>
            <w:shd w:val="clear" w:color="auto" w:fill="auto"/>
            <w:hideMark/>
          </w:tcPr>
          <w:p w:rsidR="000B335A" w:rsidRPr="007D22C9" w:rsidRDefault="000B335A" w:rsidP="00BD3B9A">
            <w:pPr>
              <w:autoSpaceDE/>
              <w:autoSpaceDN/>
              <w:adjustRightInd/>
              <w:jc w:val="both"/>
              <w:rPr>
                <w:color w:val="000000"/>
                <w:sz w:val="20"/>
                <w:szCs w:val="20"/>
              </w:rPr>
            </w:pPr>
            <w:r w:rsidRPr="007D22C9">
              <w:rPr>
                <w:color w:val="000000"/>
                <w:sz w:val="20"/>
                <w:szCs w:val="20"/>
              </w:rPr>
              <w:t xml:space="preserve">ГАУЗ </w:t>
            </w:r>
            <w:r w:rsidR="002F7358" w:rsidRPr="007D22C9">
              <w:rPr>
                <w:color w:val="000000"/>
                <w:sz w:val="20"/>
                <w:szCs w:val="20"/>
              </w:rPr>
              <w:t>«</w:t>
            </w:r>
            <w:r w:rsidRPr="007D22C9">
              <w:rPr>
                <w:color w:val="000000"/>
                <w:sz w:val="20"/>
                <w:szCs w:val="20"/>
              </w:rPr>
              <w:t>Тюлячинская ЦРБ</w:t>
            </w:r>
            <w:r w:rsidR="002F7358" w:rsidRPr="007D22C9">
              <w:rPr>
                <w:color w:val="000000"/>
                <w:sz w:val="20"/>
                <w:szCs w:val="20"/>
              </w:rPr>
              <w:t>»</w:t>
            </w:r>
          </w:p>
        </w:tc>
        <w:tc>
          <w:tcPr>
            <w:tcW w:w="1418" w:type="dxa"/>
            <w:tcBorders>
              <w:top w:val="nil"/>
              <w:left w:val="single" w:sz="4" w:space="0" w:color="auto"/>
              <w:bottom w:val="single" w:sz="4" w:space="0" w:color="auto"/>
              <w:right w:val="single" w:sz="4" w:space="0" w:color="auto"/>
            </w:tcBorders>
            <w:shd w:val="clear" w:color="auto" w:fill="auto"/>
            <w:hideMark/>
          </w:tcPr>
          <w:p w:rsidR="000B335A" w:rsidRPr="007D22C9" w:rsidRDefault="00215E65" w:rsidP="00C572EE">
            <w:pPr>
              <w:autoSpaceDE/>
              <w:autoSpaceDN/>
              <w:adjustRightInd/>
              <w:jc w:val="both"/>
              <w:rPr>
                <w:color w:val="000000"/>
                <w:sz w:val="20"/>
                <w:szCs w:val="20"/>
              </w:rPr>
            </w:pPr>
            <w:r w:rsidRPr="007D22C9">
              <w:rPr>
                <w:color w:val="000000"/>
                <w:sz w:val="20"/>
                <w:szCs w:val="20"/>
              </w:rPr>
              <w:t>с.</w:t>
            </w:r>
            <w:r w:rsidR="000B335A" w:rsidRPr="007D22C9">
              <w:rPr>
                <w:color w:val="000000"/>
                <w:sz w:val="20"/>
                <w:szCs w:val="20"/>
              </w:rPr>
              <w:t xml:space="preserve">Тюлячи, </w:t>
            </w:r>
            <w:r w:rsidR="000737A9" w:rsidRPr="007D22C9">
              <w:rPr>
                <w:color w:val="000000"/>
                <w:sz w:val="20"/>
                <w:szCs w:val="20"/>
              </w:rPr>
              <w:t>ул.</w:t>
            </w:r>
            <w:r w:rsidR="000B335A" w:rsidRPr="007D22C9">
              <w:rPr>
                <w:color w:val="000000"/>
                <w:sz w:val="20"/>
                <w:szCs w:val="20"/>
              </w:rPr>
              <w:t xml:space="preserve">Ленина, </w:t>
            </w:r>
            <w:r w:rsidR="00C940D5" w:rsidRPr="007D22C9">
              <w:rPr>
                <w:color w:val="000000"/>
                <w:sz w:val="20"/>
                <w:szCs w:val="20"/>
              </w:rPr>
              <w:t>д.</w:t>
            </w:r>
            <w:r w:rsidR="000B335A" w:rsidRPr="007D22C9">
              <w:rPr>
                <w:color w:val="000000"/>
                <w:sz w:val="20"/>
                <w:szCs w:val="20"/>
              </w:rPr>
              <w:t>35</w:t>
            </w:r>
          </w:p>
        </w:tc>
        <w:tc>
          <w:tcPr>
            <w:tcW w:w="1418" w:type="dxa"/>
            <w:tcBorders>
              <w:top w:val="nil"/>
              <w:left w:val="nil"/>
              <w:bottom w:val="single" w:sz="4" w:space="0" w:color="auto"/>
              <w:right w:val="single" w:sz="4" w:space="0" w:color="auto"/>
            </w:tcBorders>
            <w:shd w:val="clear" w:color="auto" w:fill="auto"/>
            <w:hideMark/>
          </w:tcPr>
          <w:p w:rsidR="000B335A" w:rsidRPr="007D22C9" w:rsidRDefault="000B335A" w:rsidP="00BD3B9A">
            <w:pPr>
              <w:autoSpaceDE/>
              <w:autoSpaceDN/>
              <w:adjustRightInd/>
              <w:jc w:val="both"/>
              <w:rPr>
                <w:color w:val="000000"/>
                <w:sz w:val="20"/>
                <w:szCs w:val="20"/>
              </w:rPr>
            </w:pPr>
            <w:r w:rsidRPr="007D22C9">
              <w:rPr>
                <w:color w:val="000000"/>
                <w:sz w:val="20"/>
                <w:szCs w:val="20"/>
              </w:rPr>
              <w:t>Тюлячинский муниципальный район</w:t>
            </w:r>
          </w:p>
        </w:tc>
        <w:tc>
          <w:tcPr>
            <w:tcW w:w="851" w:type="dxa"/>
            <w:tcBorders>
              <w:top w:val="nil"/>
              <w:left w:val="nil"/>
              <w:bottom w:val="single" w:sz="4" w:space="0" w:color="auto"/>
              <w:right w:val="single" w:sz="4" w:space="0" w:color="auto"/>
            </w:tcBorders>
            <w:shd w:val="clear" w:color="auto" w:fill="auto"/>
            <w:hideMark/>
          </w:tcPr>
          <w:p w:rsidR="000B335A" w:rsidRPr="007D22C9" w:rsidRDefault="000B335A" w:rsidP="00BD3B9A">
            <w:pPr>
              <w:autoSpaceDE/>
              <w:autoSpaceDN/>
              <w:adjustRightInd/>
              <w:jc w:val="center"/>
              <w:rPr>
                <w:color w:val="000000"/>
                <w:sz w:val="20"/>
                <w:szCs w:val="20"/>
              </w:rPr>
            </w:pPr>
            <w:r w:rsidRPr="007D22C9">
              <w:rPr>
                <w:color w:val="000000"/>
                <w:sz w:val="20"/>
                <w:szCs w:val="20"/>
              </w:rPr>
              <w:t>11 463</w:t>
            </w:r>
          </w:p>
        </w:tc>
        <w:tc>
          <w:tcPr>
            <w:tcW w:w="850" w:type="dxa"/>
            <w:tcBorders>
              <w:top w:val="nil"/>
              <w:left w:val="nil"/>
              <w:bottom w:val="single" w:sz="4" w:space="0" w:color="auto"/>
              <w:right w:val="single" w:sz="4" w:space="0" w:color="auto"/>
            </w:tcBorders>
            <w:shd w:val="clear" w:color="auto" w:fill="auto"/>
            <w:hideMark/>
          </w:tcPr>
          <w:p w:rsidR="000B335A" w:rsidRPr="007D22C9" w:rsidRDefault="000B335A" w:rsidP="00BD3B9A">
            <w:pPr>
              <w:autoSpaceDE/>
              <w:autoSpaceDN/>
              <w:adjustRightInd/>
              <w:jc w:val="center"/>
              <w:rPr>
                <w:color w:val="000000"/>
                <w:sz w:val="20"/>
                <w:szCs w:val="20"/>
              </w:rPr>
            </w:pPr>
            <w:r w:rsidRPr="007D22C9">
              <w:rPr>
                <w:color w:val="000000"/>
                <w:sz w:val="20"/>
                <w:szCs w:val="20"/>
              </w:rPr>
              <w:t>0,38</w:t>
            </w:r>
          </w:p>
        </w:tc>
        <w:tc>
          <w:tcPr>
            <w:tcW w:w="1077" w:type="dxa"/>
            <w:tcBorders>
              <w:top w:val="nil"/>
              <w:left w:val="nil"/>
              <w:bottom w:val="single" w:sz="4" w:space="0" w:color="auto"/>
              <w:right w:val="single" w:sz="4" w:space="0" w:color="auto"/>
            </w:tcBorders>
            <w:shd w:val="clear" w:color="auto" w:fill="auto"/>
            <w:hideMark/>
          </w:tcPr>
          <w:p w:rsidR="000B335A" w:rsidRPr="007D22C9" w:rsidRDefault="00FF4668" w:rsidP="00FF4668">
            <w:pPr>
              <w:autoSpaceDE/>
              <w:autoSpaceDN/>
              <w:adjustRightInd/>
              <w:jc w:val="center"/>
              <w:rPr>
                <w:color w:val="000000"/>
                <w:sz w:val="20"/>
                <w:szCs w:val="20"/>
              </w:rPr>
            </w:pPr>
            <w:r w:rsidRPr="007D22C9">
              <w:rPr>
                <w:color w:val="000000"/>
                <w:sz w:val="20"/>
                <w:szCs w:val="20"/>
              </w:rPr>
              <w:t>1,00</w:t>
            </w:r>
          </w:p>
        </w:tc>
        <w:tc>
          <w:tcPr>
            <w:tcW w:w="992" w:type="dxa"/>
            <w:tcBorders>
              <w:top w:val="nil"/>
              <w:left w:val="nil"/>
              <w:bottom w:val="single" w:sz="4" w:space="0" w:color="auto"/>
              <w:right w:val="single" w:sz="4" w:space="0" w:color="auto"/>
            </w:tcBorders>
            <w:shd w:val="clear" w:color="auto" w:fill="auto"/>
            <w:hideMark/>
          </w:tcPr>
          <w:p w:rsidR="000B335A" w:rsidRPr="007D22C9" w:rsidRDefault="00FF4668" w:rsidP="00FF4668">
            <w:pPr>
              <w:autoSpaceDE/>
              <w:autoSpaceDN/>
              <w:adjustRightInd/>
              <w:jc w:val="center"/>
              <w:rPr>
                <w:color w:val="000000"/>
                <w:sz w:val="20"/>
                <w:szCs w:val="20"/>
              </w:rPr>
            </w:pPr>
            <w:r w:rsidRPr="007D22C9">
              <w:rPr>
                <w:color w:val="000000"/>
                <w:sz w:val="20"/>
                <w:szCs w:val="20"/>
              </w:rPr>
              <w:t>1,00</w:t>
            </w:r>
          </w:p>
        </w:tc>
        <w:tc>
          <w:tcPr>
            <w:tcW w:w="708" w:type="dxa"/>
            <w:tcBorders>
              <w:top w:val="nil"/>
              <w:left w:val="nil"/>
              <w:bottom w:val="single" w:sz="4" w:space="0" w:color="auto"/>
              <w:right w:val="single" w:sz="4" w:space="0" w:color="auto"/>
            </w:tcBorders>
            <w:shd w:val="clear" w:color="auto" w:fill="auto"/>
            <w:hideMark/>
          </w:tcPr>
          <w:p w:rsidR="000B335A" w:rsidRPr="007D22C9" w:rsidRDefault="00FF4668" w:rsidP="00FF4668">
            <w:pPr>
              <w:autoSpaceDE/>
              <w:autoSpaceDN/>
              <w:adjustRightInd/>
              <w:jc w:val="center"/>
              <w:rPr>
                <w:color w:val="000000"/>
                <w:sz w:val="20"/>
                <w:szCs w:val="20"/>
              </w:rPr>
            </w:pPr>
            <w:r w:rsidRPr="007D22C9">
              <w:rPr>
                <w:color w:val="000000"/>
                <w:sz w:val="20"/>
                <w:szCs w:val="20"/>
              </w:rPr>
              <w:t>1</w:t>
            </w:r>
          </w:p>
        </w:tc>
        <w:tc>
          <w:tcPr>
            <w:tcW w:w="993" w:type="dxa"/>
            <w:tcBorders>
              <w:top w:val="nil"/>
              <w:left w:val="nil"/>
              <w:bottom w:val="single" w:sz="4" w:space="0" w:color="auto"/>
              <w:right w:val="single" w:sz="4" w:space="0" w:color="auto"/>
            </w:tcBorders>
            <w:shd w:val="clear" w:color="auto" w:fill="auto"/>
            <w:hideMark/>
          </w:tcPr>
          <w:p w:rsidR="000B335A" w:rsidRPr="007D22C9" w:rsidRDefault="00DE16F2" w:rsidP="00BD3B9A">
            <w:pPr>
              <w:autoSpaceDE/>
              <w:autoSpaceDN/>
              <w:adjustRightInd/>
              <w:jc w:val="center"/>
              <w:rPr>
                <w:color w:val="000000"/>
                <w:sz w:val="20"/>
                <w:szCs w:val="20"/>
              </w:rPr>
            </w:pPr>
            <w:r w:rsidRPr="007D22C9">
              <w:rPr>
                <w:color w:val="000000"/>
                <w:sz w:val="20"/>
                <w:szCs w:val="20"/>
              </w:rPr>
              <w:t>0</w:t>
            </w:r>
            <w:r w:rsidR="000B335A" w:rsidRPr="007D22C9">
              <w:rPr>
                <w:color w:val="000000"/>
                <w:sz w:val="20"/>
                <w:szCs w:val="20"/>
              </w:rPr>
              <w:t> </w:t>
            </w:r>
          </w:p>
        </w:tc>
      </w:tr>
      <w:tr w:rsidR="000B335A" w:rsidRPr="007D22C9" w:rsidTr="00BD3B9A">
        <w:trPr>
          <w:trHeight w:val="20"/>
        </w:trPr>
        <w:tc>
          <w:tcPr>
            <w:tcW w:w="533" w:type="dxa"/>
            <w:tcBorders>
              <w:top w:val="nil"/>
              <w:left w:val="single" w:sz="4" w:space="0" w:color="auto"/>
              <w:bottom w:val="single" w:sz="4" w:space="0" w:color="auto"/>
              <w:right w:val="single" w:sz="4" w:space="0" w:color="auto"/>
            </w:tcBorders>
            <w:shd w:val="clear" w:color="auto" w:fill="auto"/>
            <w:hideMark/>
          </w:tcPr>
          <w:p w:rsidR="000B335A" w:rsidRPr="007D22C9" w:rsidRDefault="000B335A" w:rsidP="00BD3B9A">
            <w:pPr>
              <w:autoSpaceDE/>
              <w:autoSpaceDN/>
              <w:adjustRightInd/>
              <w:jc w:val="center"/>
              <w:rPr>
                <w:color w:val="000000"/>
                <w:sz w:val="20"/>
                <w:szCs w:val="20"/>
              </w:rPr>
            </w:pPr>
            <w:r w:rsidRPr="007D22C9">
              <w:rPr>
                <w:color w:val="000000"/>
                <w:sz w:val="20"/>
                <w:szCs w:val="20"/>
              </w:rPr>
              <w:t>37</w:t>
            </w:r>
            <w:r w:rsidR="003B1A7B" w:rsidRPr="007D22C9">
              <w:rPr>
                <w:color w:val="000000"/>
                <w:sz w:val="20"/>
                <w:szCs w:val="20"/>
              </w:rPr>
              <w:t>.</w:t>
            </w:r>
          </w:p>
        </w:tc>
        <w:tc>
          <w:tcPr>
            <w:tcW w:w="1730" w:type="dxa"/>
            <w:tcBorders>
              <w:top w:val="nil"/>
              <w:left w:val="nil"/>
              <w:bottom w:val="single" w:sz="4" w:space="0" w:color="auto"/>
              <w:right w:val="nil"/>
            </w:tcBorders>
            <w:shd w:val="clear" w:color="000000" w:fill="FFFFFF"/>
            <w:hideMark/>
          </w:tcPr>
          <w:p w:rsidR="000B335A" w:rsidRPr="007D22C9" w:rsidRDefault="000B335A" w:rsidP="00BD3B9A">
            <w:pPr>
              <w:autoSpaceDE/>
              <w:autoSpaceDN/>
              <w:adjustRightInd/>
              <w:jc w:val="both"/>
              <w:rPr>
                <w:color w:val="000000"/>
                <w:sz w:val="20"/>
                <w:szCs w:val="20"/>
              </w:rPr>
            </w:pPr>
            <w:r w:rsidRPr="007D22C9">
              <w:rPr>
                <w:color w:val="000000"/>
                <w:sz w:val="20"/>
                <w:szCs w:val="20"/>
              </w:rPr>
              <w:t xml:space="preserve">ГАУЗ </w:t>
            </w:r>
            <w:r w:rsidR="002F7358" w:rsidRPr="007D22C9">
              <w:rPr>
                <w:color w:val="000000"/>
                <w:sz w:val="20"/>
                <w:szCs w:val="20"/>
              </w:rPr>
              <w:t>«</w:t>
            </w:r>
            <w:r w:rsidRPr="007D22C9">
              <w:rPr>
                <w:color w:val="000000"/>
                <w:sz w:val="20"/>
                <w:szCs w:val="20"/>
              </w:rPr>
              <w:t>Черемшанская ЦРБ</w:t>
            </w:r>
            <w:r w:rsidR="002F7358" w:rsidRPr="007D22C9">
              <w:rPr>
                <w:color w:val="000000"/>
                <w:sz w:val="20"/>
                <w:szCs w:val="20"/>
              </w:rPr>
              <w:t>»</w:t>
            </w:r>
          </w:p>
        </w:tc>
        <w:tc>
          <w:tcPr>
            <w:tcW w:w="1418" w:type="dxa"/>
            <w:tcBorders>
              <w:top w:val="nil"/>
              <w:left w:val="single" w:sz="4" w:space="0" w:color="auto"/>
              <w:bottom w:val="single" w:sz="4" w:space="0" w:color="auto"/>
              <w:right w:val="single" w:sz="4" w:space="0" w:color="auto"/>
            </w:tcBorders>
            <w:shd w:val="clear" w:color="auto" w:fill="auto"/>
            <w:hideMark/>
          </w:tcPr>
          <w:p w:rsidR="000B335A" w:rsidRPr="007D22C9" w:rsidRDefault="00C572EE" w:rsidP="00C572EE">
            <w:pPr>
              <w:autoSpaceDE/>
              <w:autoSpaceDN/>
              <w:adjustRightInd/>
              <w:jc w:val="both"/>
              <w:rPr>
                <w:color w:val="000000"/>
                <w:sz w:val="20"/>
                <w:szCs w:val="20"/>
              </w:rPr>
            </w:pPr>
            <w:r w:rsidRPr="007D22C9">
              <w:rPr>
                <w:color w:val="000000"/>
                <w:sz w:val="20"/>
                <w:szCs w:val="20"/>
              </w:rPr>
              <w:t>с.</w:t>
            </w:r>
            <w:r w:rsidR="000B335A" w:rsidRPr="007D22C9">
              <w:rPr>
                <w:color w:val="000000"/>
                <w:sz w:val="20"/>
                <w:szCs w:val="20"/>
              </w:rPr>
              <w:t xml:space="preserve">Черемшан, </w:t>
            </w:r>
            <w:r w:rsidR="000737A9" w:rsidRPr="007D22C9">
              <w:rPr>
                <w:color w:val="000000"/>
                <w:sz w:val="20"/>
                <w:szCs w:val="20"/>
              </w:rPr>
              <w:t>ул.</w:t>
            </w:r>
            <w:r w:rsidR="000B335A" w:rsidRPr="007D22C9">
              <w:rPr>
                <w:color w:val="000000"/>
                <w:sz w:val="20"/>
                <w:szCs w:val="20"/>
              </w:rPr>
              <w:t xml:space="preserve">Шешминская, </w:t>
            </w:r>
            <w:r w:rsidR="00C940D5" w:rsidRPr="007D22C9">
              <w:rPr>
                <w:color w:val="000000"/>
                <w:sz w:val="20"/>
                <w:szCs w:val="20"/>
              </w:rPr>
              <w:t>д.</w:t>
            </w:r>
            <w:r w:rsidR="000B335A" w:rsidRPr="007D22C9">
              <w:rPr>
                <w:color w:val="000000"/>
                <w:sz w:val="20"/>
                <w:szCs w:val="20"/>
              </w:rPr>
              <w:t>39</w:t>
            </w:r>
          </w:p>
        </w:tc>
        <w:tc>
          <w:tcPr>
            <w:tcW w:w="1418" w:type="dxa"/>
            <w:tcBorders>
              <w:top w:val="nil"/>
              <w:left w:val="nil"/>
              <w:bottom w:val="single" w:sz="4" w:space="0" w:color="auto"/>
              <w:right w:val="single" w:sz="4" w:space="0" w:color="auto"/>
            </w:tcBorders>
            <w:shd w:val="clear" w:color="000000" w:fill="FFFFFF"/>
            <w:hideMark/>
          </w:tcPr>
          <w:p w:rsidR="000B335A" w:rsidRPr="007D22C9" w:rsidRDefault="000B335A" w:rsidP="00BD3B9A">
            <w:pPr>
              <w:autoSpaceDE/>
              <w:autoSpaceDN/>
              <w:adjustRightInd/>
              <w:jc w:val="both"/>
              <w:rPr>
                <w:color w:val="000000"/>
                <w:sz w:val="20"/>
                <w:szCs w:val="20"/>
              </w:rPr>
            </w:pPr>
            <w:r w:rsidRPr="007D22C9">
              <w:rPr>
                <w:color w:val="000000"/>
                <w:sz w:val="20"/>
                <w:szCs w:val="20"/>
              </w:rPr>
              <w:t>Черемшанский муниципальный район</w:t>
            </w:r>
          </w:p>
        </w:tc>
        <w:tc>
          <w:tcPr>
            <w:tcW w:w="851" w:type="dxa"/>
            <w:tcBorders>
              <w:top w:val="nil"/>
              <w:left w:val="nil"/>
              <w:bottom w:val="single" w:sz="4" w:space="0" w:color="auto"/>
              <w:right w:val="single" w:sz="4" w:space="0" w:color="auto"/>
            </w:tcBorders>
            <w:shd w:val="clear" w:color="000000" w:fill="FFFFFF"/>
            <w:hideMark/>
          </w:tcPr>
          <w:p w:rsidR="000B335A" w:rsidRPr="007D22C9" w:rsidRDefault="000B335A" w:rsidP="00BD3B9A">
            <w:pPr>
              <w:autoSpaceDE/>
              <w:autoSpaceDN/>
              <w:adjustRightInd/>
              <w:jc w:val="center"/>
              <w:rPr>
                <w:color w:val="000000"/>
                <w:sz w:val="20"/>
                <w:szCs w:val="20"/>
              </w:rPr>
            </w:pPr>
            <w:r w:rsidRPr="007D22C9">
              <w:rPr>
                <w:color w:val="000000"/>
                <w:sz w:val="20"/>
                <w:szCs w:val="20"/>
              </w:rPr>
              <w:t>15 027</w:t>
            </w:r>
          </w:p>
        </w:tc>
        <w:tc>
          <w:tcPr>
            <w:tcW w:w="850" w:type="dxa"/>
            <w:tcBorders>
              <w:top w:val="nil"/>
              <w:left w:val="nil"/>
              <w:bottom w:val="single" w:sz="4" w:space="0" w:color="auto"/>
              <w:right w:val="single" w:sz="4" w:space="0" w:color="auto"/>
            </w:tcBorders>
            <w:shd w:val="clear" w:color="auto" w:fill="auto"/>
            <w:hideMark/>
          </w:tcPr>
          <w:p w:rsidR="000B335A" w:rsidRPr="007D22C9" w:rsidRDefault="000B335A" w:rsidP="00BD3B9A">
            <w:pPr>
              <w:autoSpaceDE/>
              <w:autoSpaceDN/>
              <w:adjustRightInd/>
              <w:jc w:val="center"/>
              <w:rPr>
                <w:color w:val="000000"/>
                <w:sz w:val="20"/>
                <w:szCs w:val="20"/>
              </w:rPr>
            </w:pPr>
            <w:r w:rsidRPr="007D22C9">
              <w:rPr>
                <w:color w:val="000000"/>
                <w:sz w:val="20"/>
                <w:szCs w:val="20"/>
              </w:rPr>
              <w:t>0,50</w:t>
            </w:r>
          </w:p>
        </w:tc>
        <w:tc>
          <w:tcPr>
            <w:tcW w:w="1077" w:type="dxa"/>
            <w:tcBorders>
              <w:top w:val="nil"/>
              <w:left w:val="nil"/>
              <w:bottom w:val="single" w:sz="4" w:space="0" w:color="auto"/>
              <w:right w:val="single" w:sz="4" w:space="0" w:color="auto"/>
            </w:tcBorders>
            <w:shd w:val="clear" w:color="000000" w:fill="FFFFFF"/>
            <w:hideMark/>
          </w:tcPr>
          <w:p w:rsidR="000B335A" w:rsidRPr="007D22C9" w:rsidRDefault="000B335A" w:rsidP="00BD3B9A">
            <w:pPr>
              <w:autoSpaceDE/>
              <w:autoSpaceDN/>
              <w:adjustRightInd/>
              <w:jc w:val="center"/>
              <w:rPr>
                <w:color w:val="000000"/>
                <w:sz w:val="20"/>
                <w:szCs w:val="20"/>
              </w:rPr>
            </w:pPr>
            <w:r w:rsidRPr="007D22C9">
              <w:rPr>
                <w:color w:val="000000"/>
                <w:sz w:val="20"/>
                <w:szCs w:val="20"/>
              </w:rPr>
              <w:t>0,</w:t>
            </w:r>
            <w:r w:rsidR="00FF4668" w:rsidRPr="007D22C9">
              <w:rPr>
                <w:color w:val="000000"/>
                <w:sz w:val="20"/>
                <w:szCs w:val="20"/>
              </w:rPr>
              <w:t>2</w:t>
            </w:r>
            <w:r w:rsidRPr="007D22C9">
              <w:rPr>
                <w:color w:val="000000"/>
                <w:sz w:val="20"/>
                <w:szCs w:val="20"/>
              </w:rPr>
              <w:t>5</w:t>
            </w:r>
          </w:p>
        </w:tc>
        <w:tc>
          <w:tcPr>
            <w:tcW w:w="992" w:type="dxa"/>
            <w:tcBorders>
              <w:top w:val="nil"/>
              <w:left w:val="nil"/>
              <w:bottom w:val="single" w:sz="4" w:space="0" w:color="auto"/>
              <w:right w:val="single" w:sz="4" w:space="0" w:color="auto"/>
            </w:tcBorders>
            <w:shd w:val="clear" w:color="auto" w:fill="auto"/>
            <w:hideMark/>
          </w:tcPr>
          <w:p w:rsidR="000B335A" w:rsidRPr="007D22C9" w:rsidRDefault="000B335A" w:rsidP="00BD3B9A">
            <w:pPr>
              <w:autoSpaceDE/>
              <w:autoSpaceDN/>
              <w:adjustRightInd/>
              <w:jc w:val="center"/>
              <w:rPr>
                <w:color w:val="000000"/>
                <w:sz w:val="20"/>
                <w:szCs w:val="20"/>
              </w:rPr>
            </w:pPr>
            <w:r w:rsidRPr="007D22C9">
              <w:rPr>
                <w:color w:val="000000"/>
                <w:sz w:val="20"/>
                <w:szCs w:val="20"/>
              </w:rPr>
              <w:t>0,</w:t>
            </w:r>
            <w:r w:rsidR="00FF4668" w:rsidRPr="007D22C9">
              <w:rPr>
                <w:color w:val="000000"/>
                <w:sz w:val="20"/>
                <w:szCs w:val="20"/>
              </w:rPr>
              <w:t>2</w:t>
            </w:r>
            <w:r w:rsidRPr="007D22C9">
              <w:rPr>
                <w:color w:val="000000"/>
                <w:sz w:val="20"/>
                <w:szCs w:val="20"/>
              </w:rPr>
              <w:t>5</w:t>
            </w:r>
          </w:p>
        </w:tc>
        <w:tc>
          <w:tcPr>
            <w:tcW w:w="708" w:type="dxa"/>
            <w:tcBorders>
              <w:top w:val="nil"/>
              <w:left w:val="nil"/>
              <w:bottom w:val="single" w:sz="4" w:space="0" w:color="auto"/>
              <w:right w:val="single" w:sz="4" w:space="0" w:color="auto"/>
            </w:tcBorders>
            <w:shd w:val="clear" w:color="auto" w:fill="auto"/>
            <w:hideMark/>
          </w:tcPr>
          <w:p w:rsidR="000B335A" w:rsidRPr="007D22C9" w:rsidRDefault="000B335A" w:rsidP="00BD3B9A">
            <w:pPr>
              <w:autoSpaceDE/>
              <w:autoSpaceDN/>
              <w:adjustRightInd/>
              <w:jc w:val="center"/>
              <w:rPr>
                <w:color w:val="000000"/>
                <w:sz w:val="20"/>
                <w:szCs w:val="20"/>
              </w:rPr>
            </w:pPr>
            <w:r w:rsidRPr="007D22C9">
              <w:rPr>
                <w:color w:val="000000"/>
                <w:sz w:val="20"/>
                <w:szCs w:val="20"/>
              </w:rPr>
              <w:t>1</w:t>
            </w:r>
          </w:p>
        </w:tc>
        <w:tc>
          <w:tcPr>
            <w:tcW w:w="993" w:type="dxa"/>
            <w:tcBorders>
              <w:top w:val="nil"/>
              <w:left w:val="nil"/>
              <w:bottom w:val="single" w:sz="4" w:space="0" w:color="auto"/>
              <w:right w:val="single" w:sz="4" w:space="0" w:color="auto"/>
            </w:tcBorders>
            <w:shd w:val="clear" w:color="auto" w:fill="auto"/>
            <w:hideMark/>
          </w:tcPr>
          <w:p w:rsidR="000B335A" w:rsidRPr="007D22C9" w:rsidRDefault="000B335A" w:rsidP="00BD3B9A">
            <w:pPr>
              <w:autoSpaceDE/>
              <w:autoSpaceDN/>
              <w:adjustRightInd/>
              <w:jc w:val="center"/>
              <w:rPr>
                <w:color w:val="000000"/>
                <w:sz w:val="20"/>
                <w:szCs w:val="20"/>
              </w:rPr>
            </w:pPr>
            <w:r w:rsidRPr="007D22C9">
              <w:rPr>
                <w:color w:val="000000"/>
                <w:sz w:val="20"/>
                <w:szCs w:val="20"/>
              </w:rPr>
              <w:t>1</w:t>
            </w:r>
          </w:p>
        </w:tc>
      </w:tr>
      <w:tr w:rsidR="000B335A" w:rsidRPr="007D22C9" w:rsidTr="00BD3B9A">
        <w:trPr>
          <w:trHeight w:val="20"/>
        </w:trPr>
        <w:tc>
          <w:tcPr>
            <w:tcW w:w="533" w:type="dxa"/>
            <w:tcBorders>
              <w:top w:val="nil"/>
              <w:left w:val="single" w:sz="4" w:space="0" w:color="auto"/>
              <w:bottom w:val="single" w:sz="4" w:space="0" w:color="auto"/>
              <w:right w:val="single" w:sz="4" w:space="0" w:color="auto"/>
            </w:tcBorders>
            <w:shd w:val="clear" w:color="auto" w:fill="auto"/>
            <w:hideMark/>
          </w:tcPr>
          <w:p w:rsidR="000B335A" w:rsidRPr="007D22C9" w:rsidRDefault="000B335A" w:rsidP="00BD3B9A">
            <w:pPr>
              <w:autoSpaceDE/>
              <w:autoSpaceDN/>
              <w:adjustRightInd/>
              <w:jc w:val="center"/>
              <w:rPr>
                <w:color w:val="000000"/>
                <w:sz w:val="20"/>
                <w:szCs w:val="20"/>
              </w:rPr>
            </w:pPr>
            <w:r w:rsidRPr="007D22C9">
              <w:rPr>
                <w:color w:val="000000"/>
                <w:sz w:val="20"/>
                <w:szCs w:val="20"/>
              </w:rPr>
              <w:t>38</w:t>
            </w:r>
            <w:r w:rsidR="003B1A7B" w:rsidRPr="007D22C9">
              <w:rPr>
                <w:color w:val="000000"/>
                <w:sz w:val="20"/>
                <w:szCs w:val="20"/>
              </w:rPr>
              <w:t>.</w:t>
            </w:r>
          </w:p>
        </w:tc>
        <w:tc>
          <w:tcPr>
            <w:tcW w:w="1730" w:type="dxa"/>
            <w:tcBorders>
              <w:top w:val="nil"/>
              <w:left w:val="nil"/>
              <w:bottom w:val="single" w:sz="4" w:space="0" w:color="auto"/>
              <w:right w:val="nil"/>
            </w:tcBorders>
            <w:shd w:val="clear" w:color="auto" w:fill="auto"/>
            <w:hideMark/>
          </w:tcPr>
          <w:p w:rsidR="000B335A" w:rsidRPr="007D22C9" w:rsidRDefault="000B335A" w:rsidP="00BD3B9A">
            <w:pPr>
              <w:autoSpaceDE/>
              <w:autoSpaceDN/>
              <w:adjustRightInd/>
              <w:jc w:val="both"/>
              <w:rPr>
                <w:color w:val="000000"/>
                <w:sz w:val="20"/>
                <w:szCs w:val="20"/>
              </w:rPr>
            </w:pPr>
            <w:r w:rsidRPr="007D22C9">
              <w:rPr>
                <w:color w:val="000000"/>
                <w:sz w:val="20"/>
                <w:szCs w:val="20"/>
              </w:rPr>
              <w:t xml:space="preserve">ГАУЗ </w:t>
            </w:r>
            <w:r w:rsidR="002F7358" w:rsidRPr="007D22C9">
              <w:rPr>
                <w:color w:val="000000"/>
                <w:sz w:val="20"/>
                <w:szCs w:val="20"/>
              </w:rPr>
              <w:t>«</w:t>
            </w:r>
            <w:r w:rsidRPr="007D22C9">
              <w:rPr>
                <w:color w:val="000000"/>
                <w:sz w:val="20"/>
                <w:szCs w:val="20"/>
              </w:rPr>
              <w:t>Уруссинская ЦРБ Ютазинского муниципального района</w:t>
            </w:r>
            <w:r w:rsidR="002F7358" w:rsidRPr="007D22C9">
              <w:rPr>
                <w:color w:val="000000"/>
                <w:sz w:val="20"/>
                <w:szCs w:val="20"/>
              </w:rPr>
              <w:t>»</w:t>
            </w:r>
          </w:p>
        </w:tc>
        <w:tc>
          <w:tcPr>
            <w:tcW w:w="1418" w:type="dxa"/>
            <w:tcBorders>
              <w:top w:val="nil"/>
              <w:left w:val="single" w:sz="4" w:space="0" w:color="auto"/>
              <w:bottom w:val="single" w:sz="4" w:space="0" w:color="auto"/>
              <w:right w:val="single" w:sz="4" w:space="0" w:color="auto"/>
            </w:tcBorders>
            <w:shd w:val="clear" w:color="auto" w:fill="auto"/>
            <w:hideMark/>
          </w:tcPr>
          <w:p w:rsidR="000B335A" w:rsidRPr="007D22C9" w:rsidRDefault="00215E65" w:rsidP="00C572EE">
            <w:pPr>
              <w:autoSpaceDE/>
              <w:autoSpaceDN/>
              <w:adjustRightInd/>
              <w:jc w:val="both"/>
              <w:rPr>
                <w:color w:val="000000"/>
                <w:sz w:val="20"/>
                <w:szCs w:val="20"/>
              </w:rPr>
            </w:pPr>
            <w:r w:rsidRPr="007D22C9">
              <w:rPr>
                <w:color w:val="000000"/>
                <w:sz w:val="20"/>
                <w:szCs w:val="20"/>
              </w:rPr>
              <w:t>пгт</w:t>
            </w:r>
            <w:r w:rsidR="00C572EE" w:rsidRPr="007D22C9">
              <w:rPr>
                <w:color w:val="000000"/>
                <w:sz w:val="20"/>
                <w:szCs w:val="20"/>
              </w:rPr>
              <w:t>.</w:t>
            </w:r>
            <w:r w:rsidRPr="007D22C9">
              <w:rPr>
                <w:color w:val="000000"/>
                <w:sz w:val="20"/>
                <w:szCs w:val="20"/>
              </w:rPr>
              <w:t>Уру</w:t>
            </w:r>
            <w:r w:rsidR="000B335A" w:rsidRPr="007D22C9">
              <w:rPr>
                <w:color w:val="000000"/>
                <w:sz w:val="20"/>
                <w:szCs w:val="20"/>
              </w:rPr>
              <w:t xml:space="preserve">ссу, </w:t>
            </w:r>
            <w:r w:rsidR="00C572EE" w:rsidRPr="007D22C9">
              <w:rPr>
                <w:color w:val="000000"/>
                <w:sz w:val="20"/>
                <w:szCs w:val="20"/>
              </w:rPr>
              <w:t>ул.</w:t>
            </w:r>
            <w:r w:rsidR="000B335A" w:rsidRPr="007D22C9">
              <w:rPr>
                <w:color w:val="000000"/>
                <w:sz w:val="20"/>
                <w:szCs w:val="20"/>
              </w:rPr>
              <w:t xml:space="preserve">Ленина, </w:t>
            </w:r>
            <w:r w:rsidR="00C940D5" w:rsidRPr="007D22C9">
              <w:rPr>
                <w:color w:val="000000"/>
                <w:sz w:val="20"/>
                <w:szCs w:val="20"/>
              </w:rPr>
              <w:t>д.</w:t>
            </w:r>
            <w:r w:rsidR="000B335A" w:rsidRPr="007D22C9">
              <w:rPr>
                <w:color w:val="000000"/>
                <w:sz w:val="20"/>
                <w:szCs w:val="20"/>
              </w:rPr>
              <w:t>19</w:t>
            </w:r>
          </w:p>
        </w:tc>
        <w:tc>
          <w:tcPr>
            <w:tcW w:w="1418" w:type="dxa"/>
            <w:tcBorders>
              <w:top w:val="nil"/>
              <w:left w:val="nil"/>
              <w:bottom w:val="single" w:sz="4" w:space="0" w:color="auto"/>
              <w:right w:val="nil"/>
            </w:tcBorders>
            <w:shd w:val="clear" w:color="auto" w:fill="auto"/>
            <w:hideMark/>
          </w:tcPr>
          <w:p w:rsidR="000B335A" w:rsidRPr="007D22C9" w:rsidRDefault="000B335A" w:rsidP="00BD3B9A">
            <w:pPr>
              <w:autoSpaceDE/>
              <w:autoSpaceDN/>
              <w:adjustRightInd/>
              <w:jc w:val="both"/>
              <w:rPr>
                <w:color w:val="000000"/>
                <w:sz w:val="20"/>
                <w:szCs w:val="20"/>
              </w:rPr>
            </w:pPr>
            <w:r w:rsidRPr="007D22C9">
              <w:rPr>
                <w:color w:val="000000"/>
                <w:sz w:val="20"/>
                <w:szCs w:val="20"/>
              </w:rPr>
              <w:t>Ютазинский муниципальный район</w:t>
            </w:r>
          </w:p>
        </w:tc>
        <w:tc>
          <w:tcPr>
            <w:tcW w:w="851" w:type="dxa"/>
            <w:tcBorders>
              <w:top w:val="nil"/>
              <w:left w:val="single" w:sz="4" w:space="0" w:color="auto"/>
              <w:bottom w:val="single" w:sz="4" w:space="0" w:color="auto"/>
              <w:right w:val="single" w:sz="4" w:space="0" w:color="auto"/>
            </w:tcBorders>
            <w:shd w:val="clear" w:color="auto" w:fill="auto"/>
            <w:hideMark/>
          </w:tcPr>
          <w:p w:rsidR="000B335A" w:rsidRPr="007D22C9" w:rsidRDefault="000B335A" w:rsidP="00BD3B9A">
            <w:pPr>
              <w:autoSpaceDE/>
              <w:autoSpaceDN/>
              <w:adjustRightInd/>
              <w:jc w:val="center"/>
              <w:rPr>
                <w:color w:val="000000"/>
                <w:sz w:val="20"/>
                <w:szCs w:val="20"/>
              </w:rPr>
            </w:pPr>
            <w:r w:rsidRPr="007D22C9">
              <w:rPr>
                <w:color w:val="000000"/>
                <w:sz w:val="20"/>
                <w:szCs w:val="20"/>
              </w:rPr>
              <w:t>18 275</w:t>
            </w:r>
          </w:p>
        </w:tc>
        <w:tc>
          <w:tcPr>
            <w:tcW w:w="850" w:type="dxa"/>
            <w:tcBorders>
              <w:top w:val="nil"/>
              <w:left w:val="nil"/>
              <w:bottom w:val="single" w:sz="4" w:space="0" w:color="auto"/>
              <w:right w:val="single" w:sz="4" w:space="0" w:color="auto"/>
            </w:tcBorders>
            <w:shd w:val="clear" w:color="auto" w:fill="auto"/>
            <w:hideMark/>
          </w:tcPr>
          <w:p w:rsidR="000B335A" w:rsidRPr="007D22C9" w:rsidRDefault="000B335A" w:rsidP="00BD3B9A">
            <w:pPr>
              <w:autoSpaceDE/>
              <w:autoSpaceDN/>
              <w:adjustRightInd/>
              <w:jc w:val="center"/>
              <w:rPr>
                <w:color w:val="000000"/>
                <w:sz w:val="20"/>
                <w:szCs w:val="20"/>
              </w:rPr>
            </w:pPr>
            <w:r w:rsidRPr="007D22C9">
              <w:rPr>
                <w:color w:val="000000"/>
                <w:sz w:val="20"/>
                <w:szCs w:val="20"/>
              </w:rPr>
              <w:t>0,61</w:t>
            </w:r>
          </w:p>
        </w:tc>
        <w:tc>
          <w:tcPr>
            <w:tcW w:w="1077" w:type="dxa"/>
            <w:tcBorders>
              <w:top w:val="nil"/>
              <w:left w:val="nil"/>
              <w:bottom w:val="single" w:sz="4" w:space="0" w:color="auto"/>
              <w:right w:val="single" w:sz="4" w:space="0" w:color="auto"/>
            </w:tcBorders>
            <w:shd w:val="clear" w:color="auto" w:fill="auto"/>
            <w:hideMark/>
          </w:tcPr>
          <w:p w:rsidR="000B335A" w:rsidRPr="007D22C9" w:rsidRDefault="004A7496" w:rsidP="004A7496">
            <w:pPr>
              <w:autoSpaceDE/>
              <w:autoSpaceDN/>
              <w:adjustRightInd/>
              <w:jc w:val="center"/>
              <w:rPr>
                <w:color w:val="000000"/>
                <w:sz w:val="20"/>
                <w:szCs w:val="20"/>
              </w:rPr>
            </w:pPr>
            <w:r w:rsidRPr="007D22C9">
              <w:rPr>
                <w:color w:val="000000"/>
                <w:sz w:val="20"/>
                <w:szCs w:val="20"/>
              </w:rPr>
              <w:t>1,00</w:t>
            </w:r>
          </w:p>
        </w:tc>
        <w:tc>
          <w:tcPr>
            <w:tcW w:w="992" w:type="dxa"/>
            <w:tcBorders>
              <w:top w:val="nil"/>
              <w:left w:val="nil"/>
              <w:bottom w:val="single" w:sz="4" w:space="0" w:color="auto"/>
              <w:right w:val="single" w:sz="4" w:space="0" w:color="auto"/>
            </w:tcBorders>
            <w:shd w:val="clear" w:color="auto" w:fill="auto"/>
            <w:hideMark/>
          </w:tcPr>
          <w:p w:rsidR="000B335A" w:rsidRPr="007D22C9" w:rsidRDefault="004A7496" w:rsidP="004A7496">
            <w:pPr>
              <w:autoSpaceDE/>
              <w:autoSpaceDN/>
              <w:adjustRightInd/>
              <w:jc w:val="center"/>
              <w:rPr>
                <w:color w:val="000000"/>
                <w:sz w:val="20"/>
                <w:szCs w:val="20"/>
              </w:rPr>
            </w:pPr>
            <w:r w:rsidRPr="007D22C9">
              <w:rPr>
                <w:color w:val="000000"/>
                <w:sz w:val="20"/>
                <w:szCs w:val="20"/>
              </w:rPr>
              <w:t>1,00</w:t>
            </w:r>
          </w:p>
        </w:tc>
        <w:tc>
          <w:tcPr>
            <w:tcW w:w="708" w:type="dxa"/>
            <w:tcBorders>
              <w:top w:val="nil"/>
              <w:left w:val="nil"/>
              <w:bottom w:val="single" w:sz="4" w:space="0" w:color="auto"/>
              <w:right w:val="single" w:sz="4" w:space="0" w:color="auto"/>
            </w:tcBorders>
            <w:shd w:val="clear" w:color="auto" w:fill="auto"/>
            <w:hideMark/>
          </w:tcPr>
          <w:p w:rsidR="000B335A" w:rsidRPr="007D22C9" w:rsidRDefault="004A7496" w:rsidP="004A7496">
            <w:pPr>
              <w:autoSpaceDE/>
              <w:autoSpaceDN/>
              <w:adjustRightInd/>
              <w:jc w:val="center"/>
              <w:rPr>
                <w:color w:val="000000"/>
                <w:sz w:val="20"/>
                <w:szCs w:val="20"/>
              </w:rPr>
            </w:pPr>
            <w:r w:rsidRPr="007D22C9">
              <w:rPr>
                <w:color w:val="000000"/>
                <w:sz w:val="20"/>
                <w:szCs w:val="20"/>
              </w:rPr>
              <w:t>1</w:t>
            </w:r>
          </w:p>
        </w:tc>
        <w:tc>
          <w:tcPr>
            <w:tcW w:w="993" w:type="dxa"/>
            <w:tcBorders>
              <w:top w:val="nil"/>
              <w:left w:val="nil"/>
              <w:bottom w:val="single" w:sz="4" w:space="0" w:color="auto"/>
              <w:right w:val="single" w:sz="4" w:space="0" w:color="auto"/>
            </w:tcBorders>
            <w:shd w:val="clear" w:color="auto" w:fill="auto"/>
            <w:hideMark/>
          </w:tcPr>
          <w:p w:rsidR="000B335A" w:rsidRPr="007D22C9" w:rsidRDefault="00DE16F2" w:rsidP="00BD3B9A">
            <w:pPr>
              <w:autoSpaceDE/>
              <w:autoSpaceDN/>
              <w:adjustRightInd/>
              <w:jc w:val="center"/>
              <w:rPr>
                <w:color w:val="000000"/>
                <w:sz w:val="20"/>
                <w:szCs w:val="20"/>
              </w:rPr>
            </w:pPr>
            <w:r w:rsidRPr="007D22C9">
              <w:rPr>
                <w:color w:val="000000"/>
                <w:sz w:val="20"/>
                <w:szCs w:val="20"/>
              </w:rPr>
              <w:t>0</w:t>
            </w:r>
            <w:r w:rsidR="000B335A" w:rsidRPr="007D22C9">
              <w:rPr>
                <w:color w:val="000000"/>
                <w:sz w:val="20"/>
                <w:szCs w:val="20"/>
              </w:rPr>
              <w:t> </w:t>
            </w:r>
          </w:p>
        </w:tc>
      </w:tr>
      <w:tr w:rsidR="000B335A" w:rsidRPr="007D22C9" w:rsidTr="00BD3B9A">
        <w:trPr>
          <w:trHeight w:val="20"/>
        </w:trPr>
        <w:tc>
          <w:tcPr>
            <w:tcW w:w="533" w:type="dxa"/>
            <w:tcBorders>
              <w:top w:val="nil"/>
              <w:left w:val="single" w:sz="4" w:space="0" w:color="auto"/>
              <w:bottom w:val="single" w:sz="4" w:space="0" w:color="auto"/>
              <w:right w:val="single" w:sz="4" w:space="0" w:color="auto"/>
            </w:tcBorders>
            <w:shd w:val="clear" w:color="auto" w:fill="auto"/>
            <w:hideMark/>
          </w:tcPr>
          <w:p w:rsidR="000B335A" w:rsidRPr="007D22C9" w:rsidRDefault="000B335A" w:rsidP="00BD3B9A">
            <w:pPr>
              <w:autoSpaceDE/>
              <w:autoSpaceDN/>
              <w:adjustRightInd/>
              <w:jc w:val="center"/>
              <w:rPr>
                <w:color w:val="000000"/>
                <w:sz w:val="20"/>
                <w:szCs w:val="20"/>
              </w:rPr>
            </w:pPr>
            <w:r w:rsidRPr="007D22C9">
              <w:rPr>
                <w:color w:val="000000"/>
                <w:sz w:val="20"/>
                <w:szCs w:val="20"/>
              </w:rPr>
              <w:t>39</w:t>
            </w:r>
            <w:r w:rsidR="003B1A7B" w:rsidRPr="007D22C9">
              <w:rPr>
                <w:color w:val="000000"/>
                <w:sz w:val="20"/>
                <w:szCs w:val="20"/>
              </w:rPr>
              <w:t>.</w:t>
            </w:r>
          </w:p>
        </w:tc>
        <w:tc>
          <w:tcPr>
            <w:tcW w:w="1730" w:type="dxa"/>
            <w:tcBorders>
              <w:top w:val="nil"/>
              <w:left w:val="nil"/>
              <w:bottom w:val="single" w:sz="4" w:space="0" w:color="auto"/>
              <w:right w:val="nil"/>
            </w:tcBorders>
            <w:shd w:val="clear" w:color="auto" w:fill="auto"/>
            <w:hideMark/>
          </w:tcPr>
          <w:p w:rsidR="000B335A" w:rsidRPr="007D22C9" w:rsidRDefault="000B335A" w:rsidP="00BD3B9A">
            <w:pPr>
              <w:autoSpaceDE/>
              <w:autoSpaceDN/>
              <w:adjustRightInd/>
              <w:jc w:val="both"/>
              <w:rPr>
                <w:color w:val="000000"/>
                <w:sz w:val="20"/>
                <w:szCs w:val="20"/>
              </w:rPr>
            </w:pPr>
            <w:r w:rsidRPr="007D22C9">
              <w:rPr>
                <w:color w:val="000000"/>
                <w:sz w:val="20"/>
                <w:szCs w:val="20"/>
              </w:rPr>
              <w:t xml:space="preserve">ГАУЗ </w:t>
            </w:r>
            <w:r w:rsidR="002F7358" w:rsidRPr="007D22C9">
              <w:rPr>
                <w:color w:val="000000"/>
                <w:sz w:val="20"/>
                <w:szCs w:val="20"/>
              </w:rPr>
              <w:t>«</w:t>
            </w:r>
            <w:r w:rsidRPr="007D22C9">
              <w:rPr>
                <w:color w:val="000000"/>
                <w:sz w:val="20"/>
                <w:szCs w:val="20"/>
              </w:rPr>
              <w:t xml:space="preserve">Городская больница </w:t>
            </w:r>
            <w:r w:rsidR="00C572EE" w:rsidRPr="007D22C9">
              <w:rPr>
                <w:color w:val="000000"/>
                <w:sz w:val="20"/>
                <w:szCs w:val="20"/>
              </w:rPr>
              <w:br/>
            </w:r>
            <w:r w:rsidRPr="007D22C9">
              <w:rPr>
                <w:color w:val="000000"/>
                <w:sz w:val="20"/>
                <w:szCs w:val="20"/>
              </w:rPr>
              <w:t>№ 5</w:t>
            </w:r>
            <w:r w:rsidR="002F7358" w:rsidRPr="007D22C9">
              <w:rPr>
                <w:color w:val="000000"/>
                <w:sz w:val="20"/>
                <w:szCs w:val="20"/>
              </w:rPr>
              <w:t>»</w:t>
            </w:r>
            <w:r w:rsidRPr="007D22C9">
              <w:rPr>
                <w:color w:val="000000"/>
                <w:sz w:val="20"/>
                <w:szCs w:val="20"/>
              </w:rPr>
              <w:t xml:space="preserve"> г.Набережные Челны (поликлиника № 5) </w:t>
            </w:r>
          </w:p>
        </w:tc>
        <w:tc>
          <w:tcPr>
            <w:tcW w:w="1418" w:type="dxa"/>
            <w:tcBorders>
              <w:top w:val="nil"/>
              <w:left w:val="single" w:sz="4" w:space="0" w:color="auto"/>
              <w:bottom w:val="single" w:sz="4" w:space="0" w:color="auto"/>
              <w:right w:val="single" w:sz="4" w:space="0" w:color="auto"/>
            </w:tcBorders>
            <w:shd w:val="clear" w:color="auto" w:fill="auto"/>
            <w:hideMark/>
          </w:tcPr>
          <w:p w:rsidR="000B335A" w:rsidRPr="007D22C9" w:rsidRDefault="00A653E0" w:rsidP="00C940D5">
            <w:pPr>
              <w:autoSpaceDE/>
              <w:autoSpaceDN/>
              <w:adjustRightInd/>
              <w:ind w:right="-57"/>
              <w:jc w:val="both"/>
              <w:rPr>
                <w:color w:val="000000"/>
                <w:sz w:val="20"/>
                <w:szCs w:val="20"/>
              </w:rPr>
            </w:pPr>
            <w:r w:rsidRPr="007D22C9">
              <w:rPr>
                <w:color w:val="000000"/>
                <w:sz w:val="20"/>
                <w:szCs w:val="20"/>
              </w:rPr>
              <w:t>г.</w:t>
            </w:r>
            <w:r w:rsidR="000B335A" w:rsidRPr="007D22C9">
              <w:rPr>
                <w:color w:val="000000"/>
                <w:sz w:val="20"/>
                <w:szCs w:val="20"/>
              </w:rPr>
              <w:t xml:space="preserve">Набережные Челны, Цветочный Бульвар, </w:t>
            </w:r>
            <w:r w:rsidR="00C940D5" w:rsidRPr="007D22C9">
              <w:rPr>
                <w:color w:val="000000"/>
                <w:sz w:val="20"/>
                <w:szCs w:val="20"/>
              </w:rPr>
              <w:t>д.</w:t>
            </w:r>
            <w:r w:rsidR="000B335A" w:rsidRPr="007D22C9">
              <w:rPr>
                <w:color w:val="000000"/>
                <w:sz w:val="20"/>
                <w:szCs w:val="20"/>
              </w:rPr>
              <w:t>20/09,</w:t>
            </w:r>
            <w:r w:rsidR="00C940D5" w:rsidRPr="007D22C9">
              <w:rPr>
                <w:color w:val="000000"/>
                <w:sz w:val="20"/>
                <w:szCs w:val="20"/>
              </w:rPr>
              <w:t xml:space="preserve"> б</w:t>
            </w:r>
            <w:r w:rsidR="000B335A" w:rsidRPr="007D22C9">
              <w:rPr>
                <w:color w:val="000000"/>
                <w:sz w:val="20"/>
                <w:szCs w:val="20"/>
              </w:rPr>
              <w:t>лок</w:t>
            </w:r>
            <w:r w:rsidR="00C940D5" w:rsidRPr="007D22C9">
              <w:rPr>
                <w:color w:val="000000"/>
                <w:sz w:val="20"/>
                <w:szCs w:val="20"/>
              </w:rPr>
              <w:t> </w:t>
            </w:r>
            <w:r w:rsidR="000B335A" w:rsidRPr="007D22C9">
              <w:rPr>
                <w:color w:val="000000"/>
                <w:sz w:val="20"/>
                <w:szCs w:val="20"/>
              </w:rPr>
              <w:t>А</w:t>
            </w:r>
          </w:p>
        </w:tc>
        <w:tc>
          <w:tcPr>
            <w:tcW w:w="1418" w:type="dxa"/>
            <w:tcBorders>
              <w:top w:val="nil"/>
              <w:left w:val="nil"/>
              <w:bottom w:val="single" w:sz="4" w:space="0" w:color="auto"/>
              <w:right w:val="nil"/>
            </w:tcBorders>
            <w:shd w:val="clear" w:color="auto" w:fill="auto"/>
            <w:hideMark/>
          </w:tcPr>
          <w:p w:rsidR="000B335A" w:rsidRPr="007D22C9" w:rsidRDefault="000B335A" w:rsidP="00BD3B9A">
            <w:pPr>
              <w:autoSpaceDE/>
              <w:autoSpaceDN/>
              <w:adjustRightInd/>
              <w:jc w:val="both"/>
              <w:rPr>
                <w:color w:val="000000"/>
                <w:sz w:val="20"/>
                <w:szCs w:val="20"/>
              </w:rPr>
            </w:pPr>
            <w:r w:rsidRPr="007D22C9">
              <w:rPr>
                <w:color w:val="000000"/>
                <w:sz w:val="20"/>
                <w:szCs w:val="20"/>
              </w:rPr>
              <w:t>г.Набережные Челны</w:t>
            </w:r>
          </w:p>
        </w:tc>
        <w:tc>
          <w:tcPr>
            <w:tcW w:w="851" w:type="dxa"/>
            <w:tcBorders>
              <w:top w:val="nil"/>
              <w:left w:val="single" w:sz="4" w:space="0" w:color="auto"/>
              <w:bottom w:val="single" w:sz="4" w:space="0" w:color="auto"/>
              <w:right w:val="single" w:sz="4" w:space="0" w:color="auto"/>
            </w:tcBorders>
            <w:shd w:val="clear" w:color="000000" w:fill="FFFFFF"/>
            <w:hideMark/>
          </w:tcPr>
          <w:p w:rsidR="000B335A" w:rsidRPr="007D22C9" w:rsidRDefault="000B335A" w:rsidP="00BD3B9A">
            <w:pPr>
              <w:autoSpaceDE/>
              <w:autoSpaceDN/>
              <w:adjustRightInd/>
              <w:jc w:val="center"/>
              <w:rPr>
                <w:color w:val="000000"/>
                <w:sz w:val="20"/>
                <w:szCs w:val="20"/>
              </w:rPr>
            </w:pPr>
            <w:r w:rsidRPr="007D22C9">
              <w:rPr>
                <w:rFonts w:eastAsia="Cambria"/>
                <w:color w:val="000000"/>
                <w:sz w:val="20"/>
                <w:szCs w:val="20"/>
              </w:rPr>
              <w:t xml:space="preserve">24 541 </w:t>
            </w:r>
          </w:p>
        </w:tc>
        <w:tc>
          <w:tcPr>
            <w:tcW w:w="850" w:type="dxa"/>
            <w:tcBorders>
              <w:top w:val="nil"/>
              <w:left w:val="nil"/>
              <w:bottom w:val="single" w:sz="4" w:space="0" w:color="auto"/>
              <w:right w:val="single" w:sz="4" w:space="0" w:color="auto"/>
            </w:tcBorders>
            <w:shd w:val="clear" w:color="auto" w:fill="auto"/>
            <w:hideMark/>
          </w:tcPr>
          <w:p w:rsidR="000B335A" w:rsidRPr="007D22C9" w:rsidRDefault="000B335A" w:rsidP="00BD3B9A">
            <w:pPr>
              <w:autoSpaceDE/>
              <w:autoSpaceDN/>
              <w:adjustRightInd/>
              <w:jc w:val="center"/>
              <w:rPr>
                <w:color w:val="000000"/>
                <w:sz w:val="20"/>
                <w:szCs w:val="20"/>
              </w:rPr>
            </w:pPr>
            <w:r w:rsidRPr="007D22C9">
              <w:rPr>
                <w:color w:val="000000"/>
                <w:sz w:val="20"/>
                <w:szCs w:val="20"/>
              </w:rPr>
              <w:t>0,82</w:t>
            </w:r>
          </w:p>
        </w:tc>
        <w:tc>
          <w:tcPr>
            <w:tcW w:w="1077" w:type="dxa"/>
            <w:tcBorders>
              <w:top w:val="nil"/>
              <w:left w:val="nil"/>
              <w:bottom w:val="single" w:sz="4" w:space="0" w:color="auto"/>
              <w:right w:val="single" w:sz="4" w:space="0" w:color="auto"/>
            </w:tcBorders>
            <w:shd w:val="clear" w:color="auto" w:fill="auto"/>
            <w:hideMark/>
          </w:tcPr>
          <w:p w:rsidR="000B335A" w:rsidRPr="007D22C9" w:rsidRDefault="00F24BB3" w:rsidP="00F24BB3">
            <w:pPr>
              <w:autoSpaceDE/>
              <w:autoSpaceDN/>
              <w:adjustRightInd/>
              <w:jc w:val="center"/>
              <w:rPr>
                <w:color w:val="000000"/>
                <w:sz w:val="20"/>
                <w:szCs w:val="20"/>
              </w:rPr>
            </w:pPr>
            <w:r w:rsidRPr="007D22C9">
              <w:rPr>
                <w:color w:val="000000"/>
                <w:sz w:val="20"/>
                <w:szCs w:val="20"/>
              </w:rPr>
              <w:t>2,00</w:t>
            </w:r>
          </w:p>
        </w:tc>
        <w:tc>
          <w:tcPr>
            <w:tcW w:w="992" w:type="dxa"/>
            <w:tcBorders>
              <w:top w:val="nil"/>
              <w:left w:val="nil"/>
              <w:bottom w:val="single" w:sz="4" w:space="0" w:color="auto"/>
              <w:right w:val="single" w:sz="4" w:space="0" w:color="auto"/>
            </w:tcBorders>
            <w:shd w:val="clear" w:color="auto" w:fill="auto"/>
            <w:hideMark/>
          </w:tcPr>
          <w:p w:rsidR="000B335A" w:rsidRPr="007D22C9" w:rsidRDefault="00F24BB3" w:rsidP="00F24BB3">
            <w:pPr>
              <w:autoSpaceDE/>
              <w:autoSpaceDN/>
              <w:adjustRightInd/>
              <w:jc w:val="center"/>
              <w:rPr>
                <w:color w:val="000000"/>
                <w:sz w:val="20"/>
                <w:szCs w:val="20"/>
              </w:rPr>
            </w:pPr>
            <w:r w:rsidRPr="007D22C9">
              <w:rPr>
                <w:color w:val="000000"/>
                <w:sz w:val="20"/>
                <w:szCs w:val="20"/>
              </w:rPr>
              <w:t>2,00</w:t>
            </w:r>
          </w:p>
        </w:tc>
        <w:tc>
          <w:tcPr>
            <w:tcW w:w="708" w:type="dxa"/>
            <w:tcBorders>
              <w:top w:val="nil"/>
              <w:left w:val="nil"/>
              <w:bottom w:val="single" w:sz="4" w:space="0" w:color="auto"/>
              <w:right w:val="single" w:sz="4" w:space="0" w:color="auto"/>
            </w:tcBorders>
            <w:shd w:val="clear" w:color="auto" w:fill="auto"/>
            <w:hideMark/>
          </w:tcPr>
          <w:p w:rsidR="000B335A" w:rsidRPr="007D22C9" w:rsidRDefault="000B335A" w:rsidP="00BD3B9A">
            <w:pPr>
              <w:autoSpaceDE/>
              <w:autoSpaceDN/>
              <w:adjustRightInd/>
              <w:jc w:val="center"/>
              <w:rPr>
                <w:color w:val="000000"/>
                <w:sz w:val="20"/>
                <w:szCs w:val="20"/>
              </w:rPr>
            </w:pPr>
            <w:r w:rsidRPr="007D22C9">
              <w:rPr>
                <w:color w:val="000000"/>
                <w:sz w:val="20"/>
                <w:szCs w:val="20"/>
              </w:rPr>
              <w:t>1</w:t>
            </w:r>
          </w:p>
        </w:tc>
        <w:tc>
          <w:tcPr>
            <w:tcW w:w="993" w:type="dxa"/>
            <w:tcBorders>
              <w:top w:val="nil"/>
              <w:left w:val="nil"/>
              <w:bottom w:val="single" w:sz="4" w:space="0" w:color="auto"/>
              <w:right w:val="single" w:sz="4" w:space="0" w:color="auto"/>
            </w:tcBorders>
            <w:shd w:val="clear" w:color="auto" w:fill="auto"/>
            <w:hideMark/>
          </w:tcPr>
          <w:p w:rsidR="000B335A" w:rsidRPr="007D22C9" w:rsidRDefault="000B335A" w:rsidP="00BD3B9A">
            <w:pPr>
              <w:autoSpaceDE/>
              <w:autoSpaceDN/>
              <w:adjustRightInd/>
              <w:jc w:val="center"/>
              <w:rPr>
                <w:color w:val="000000"/>
                <w:sz w:val="20"/>
                <w:szCs w:val="20"/>
              </w:rPr>
            </w:pPr>
            <w:r w:rsidRPr="007D22C9">
              <w:rPr>
                <w:color w:val="000000"/>
                <w:sz w:val="20"/>
                <w:szCs w:val="20"/>
              </w:rPr>
              <w:t> </w:t>
            </w:r>
            <w:r w:rsidR="00DE16F2" w:rsidRPr="007D22C9">
              <w:rPr>
                <w:color w:val="000000"/>
                <w:sz w:val="20"/>
                <w:szCs w:val="20"/>
              </w:rPr>
              <w:t>0</w:t>
            </w:r>
          </w:p>
        </w:tc>
      </w:tr>
      <w:tr w:rsidR="000B335A" w:rsidRPr="007D22C9" w:rsidTr="00BD3B9A">
        <w:trPr>
          <w:trHeight w:val="20"/>
        </w:trPr>
        <w:tc>
          <w:tcPr>
            <w:tcW w:w="533" w:type="dxa"/>
            <w:tcBorders>
              <w:top w:val="nil"/>
              <w:left w:val="single" w:sz="4" w:space="0" w:color="auto"/>
              <w:bottom w:val="single" w:sz="4" w:space="0" w:color="auto"/>
              <w:right w:val="single" w:sz="4" w:space="0" w:color="auto"/>
            </w:tcBorders>
            <w:shd w:val="clear" w:color="auto" w:fill="auto"/>
            <w:hideMark/>
          </w:tcPr>
          <w:p w:rsidR="000B335A" w:rsidRPr="007D22C9" w:rsidRDefault="000B335A" w:rsidP="00BD3B9A">
            <w:pPr>
              <w:autoSpaceDE/>
              <w:autoSpaceDN/>
              <w:adjustRightInd/>
              <w:jc w:val="center"/>
              <w:rPr>
                <w:color w:val="000000"/>
                <w:sz w:val="20"/>
                <w:szCs w:val="20"/>
              </w:rPr>
            </w:pPr>
            <w:r w:rsidRPr="007D22C9">
              <w:rPr>
                <w:color w:val="000000"/>
                <w:sz w:val="20"/>
                <w:szCs w:val="20"/>
              </w:rPr>
              <w:t>40</w:t>
            </w:r>
            <w:r w:rsidR="003B1A7B" w:rsidRPr="007D22C9">
              <w:rPr>
                <w:color w:val="000000"/>
                <w:sz w:val="20"/>
                <w:szCs w:val="20"/>
              </w:rPr>
              <w:t>.</w:t>
            </w:r>
          </w:p>
        </w:tc>
        <w:tc>
          <w:tcPr>
            <w:tcW w:w="1730" w:type="dxa"/>
            <w:tcBorders>
              <w:top w:val="nil"/>
              <w:left w:val="nil"/>
              <w:bottom w:val="single" w:sz="4" w:space="0" w:color="auto"/>
              <w:right w:val="nil"/>
            </w:tcBorders>
            <w:shd w:val="clear" w:color="auto" w:fill="auto"/>
            <w:hideMark/>
          </w:tcPr>
          <w:p w:rsidR="000B335A" w:rsidRPr="007D22C9" w:rsidRDefault="000B335A" w:rsidP="00D302C3">
            <w:pPr>
              <w:autoSpaceDE/>
              <w:autoSpaceDN/>
              <w:adjustRightInd/>
              <w:jc w:val="both"/>
              <w:rPr>
                <w:color w:val="000000"/>
                <w:sz w:val="20"/>
                <w:szCs w:val="20"/>
              </w:rPr>
            </w:pPr>
            <w:r w:rsidRPr="007D22C9">
              <w:rPr>
                <w:color w:val="000000"/>
                <w:sz w:val="20"/>
                <w:szCs w:val="20"/>
              </w:rPr>
              <w:t xml:space="preserve">ГАУЗ </w:t>
            </w:r>
            <w:r w:rsidR="002F7358" w:rsidRPr="007D22C9">
              <w:rPr>
                <w:color w:val="000000"/>
                <w:sz w:val="20"/>
                <w:szCs w:val="20"/>
              </w:rPr>
              <w:t>«</w:t>
            </w:r>
            <w:r w:rsidRPr="007D22C9">
              <w:rPr>
                <w:color w:val="000000"/>
                <w:sz w:val="20"/>
                <w:szCs w:val="20"/>
              </w:rPr>
              <w:t>Городская больница</w:t>
            </w:r>
            <w:r w:rsidR="00D302C3" w:rsidRPr="007D22C9">
              <w:rPr>
                <w:color w:val="000000"/>
                <w:sz w:val="20"/>
                <w:szCs w:val="20"/>
              </w:rPr>
              <w:t xml:space="preserve"> </w:t>
            </w:r>
            <w:r w:rsidR="00D302C3" w:rsidRPr="007D22C9">
              <w:rPr>
                <w:color w:val="000000"/>
                <w:sz w:val="20"/>
                <w:szCs w:val="20"/>
              </w:rPr>
              <w:br/>
              <w:t>№ 5» г.Набереж-</w:t>
            </w:r>
            <w:r w:rsidR="00D302C3" w:rsidRPr="007D22C9">
              <w:rPr>
                <w:color w:val="000000"/>
                <w:sz w:val="20"/>
                <w:szCs w:val="20"/>
              </w:rPr>
              <w:br/>
            </w:r>
            <w:r w:rsidRPr="007D22C9">
              <w:rPr>
                <w:color w:val="000000"/>
                <w:sz w:val="20"/>
                <w:szCs w:val="20"/>
              </w:rPr>
              <w:t xml:space="preserve">ные Челны (поликлиника № 9) </w:t>
            </w:r>
          </w:p>
        </w:tc>
        <w:tc>
          <w:tcPr>
            <w:tcW w:w="1418" w:type="dxa"/>
            <w:tcBorders>
              <w:top w:val="nil"/>
              <w:left w:val="single" w:sz="4" w:space="0" w:color="auto"/>
              <w:bottom w:val="single" w:sz="4" w:space="0" w:color="auto"/>
              <w:right w:val="single" w:sz="4" w:space="0" w:color="auto"/>
            </w:tcBorders>
            <w:shd w:val="clear" w:color="auto" w:fill="auto"/>
            <w:hideMark/>
          </w:tcPr>
          <w:p w:rsidR="000B335A" w:rsidRPr="007D22C9" w:rsidRDefault="00A653E0" w:rsidP="00C940D5">
            <w:pPr>
              <w:autoSpaceDE/>
              <w:autoSpaceDN/>
              <w:adjustRightInd/>
              <w:ind w:right="-57"/>
              <w:jc w:val="both"/>
              <w:rPr>
                <w:color w:val="000000"/>
                <w:sz w:val="20"/>
                <w:szCs w:val="20"/>
              </w:rPr>
            </w:pPr>
            <w:r w:rsidRPr="007D22C9">
              <w:rPr>
                <w:color w:val="000000"/>
                <w:sz w:val="20"/>
                <w:szCs w:val="20"/>
              </w:rPr>
              <w:t>г.</w:t>
            </w:r>
            <w:r w:rsidR="000B335A" w:rsidRPr="007D22C9">
              <w:rPr>
                <w:color w:val="000000"/>
                <w:sz w:val="20"/>
                <w:szCs w:val="20"/>
              </w:rPr>
              <w:t>Набережные Челны, Цве</w:t>
            </w:r>
            <w:r w:rsidR="00C940D5" w:rsidRPr="007D22C9">
              <w:rPr>
                <w:color w:val="000000"/>
                <w:sz w:val="20"/>
                <w:szCs w:val="20"/>
              </w:rPr>
              <w:t>-точный Буль-</w:t>
            </w:r>
            <w:r w:rsidR="00C940D5" w:rsidRPr="007D22C9">
              <w:rPr>
                <w:color w:val="000000"/>
                <w:sz w:val="20"/>
                <w:szCs w:val="20"/>
              </w:rPr>
              <w:br/>
            </w:r>
            <w:r w:rsidR="000B335A" w:rsidRPr="007D22C9">
              <w:rPr>
                <w:color w:val="000000"/>
                <w:sz w:val="20"/>
                <w:szCs w:val="20"/>
              </w:rPr>
              <w:t xml:space="preserve">вар, </w:t>
            </w:r>
            <w:r w:rsidR="00C940D5" w:rsidRPr="007D22C9">
              <w:rPr>
                <w:color w:val="000000"/>
                <w:sz w:val="20"/>
                <w:szCs w:val="20"/>
              </w:rPr>
              <w:t>д.</w:t>
            </w:r>
            <w:r w:rsidR="000B335A" w:rsidRPr="007D22C9">
              <w:rPr>
                <w:color w:val="000000"/>
                <w:sz w:val="20"/>
                <w:szCs w:val="20"/>
              </w:rPr>
              <w:t xml:space="preserve">20/09, </w:t>
            </w:r>
            <w:r w:rsidR="00C940D5" w:rsidRPr="007D22C9">
              <w:rPr>
                <w:color w:val="000000"/>
                <w:sz w:val="20"/>
                <w:szCs w:val="20"/>
              </w:rPr>
              <w:t>б</w:t>
            </w:r>
            <w:r w:rsidR="000B335A" w:rsidRPr="007D22C9">
              <w:rPr>
                <w:color w:val="000000"/>
                <w:sz w:val="20"/>
                <w:szCs w:val="20"/>
              </w:rPr>
              <w:t>лок Д</w:t>
            </w:r>
          </w:p>
        </w:tc>
        <w:tc>
          <w:tcPr>
            <w:tcW w:w="1418" w:type="dxa"/>
            <w:tcBorders>
              <w:top w:val="nil"/>
              <w:left w:val="nil"/>
              <w:bottom w:val="single" w:sz="4" w:space="0" w:color="auto"/>
              <w:right w:val="nil"/>
            </w:tcBorders>
            <w:shd w:val="clear" w:color="auto" w:fill="auto"/>
            <w:hideMark/>
          </w:tcPr>
          <w:p w:rsidR="000B335A" w:rsidRPr="007D22C9" w:rsidRDefault="000B335A" w:rsidP="00BD3B9A">
            <w:pPr>
              <w:autoSpaceDE/>
              <w:autoSpaceDN/>
              <w:adjustRightInd/>
              <w:jc w:val="both"/>
              <w:rPr>
                <w:color w:val="000000"/>
                <w:sz w:val="20"/>
                <w:szCs w:val="20"/>
              </w:rPr>
            </w:pPr>
            <w:r w:rsidRPr="007D22C9">
              <w:rPr>
                <w:color w:val="000000"/>
                <w:sz w:val="20"/>
                <w:szCs w:val="20"/>
              </w:rPr>
              <w:t>г.Набережные Челны</w:t>
            </w:r>
          </w:p>
        </w:tc>
        <w:tc>
          <w:tcPr>
            <w:tcW w:w="851" w:type="dxa"/>
            <w:tcBorders>
              <w:top w:val="nil"/>
              <w:left w:val="single" w:sz="4" w:space="0" w:color="auto"/>
              <w:bottom w:val="single" w:sz="4" w:space="0" w:color="auto"/>
              <w:right w:val="single" w:sz="4" w:space="0" w:color="auto"/>
            </w:tcBorders>
            <w:shd w:val="clear" w:color="000000" w:fill="FFFFFF"/>
            <w:hideMark/>
          </w:tcPr>
          <w:p w:rsidR="000B335A" w:rsidRPr="007D22C9" w:rsidRDefault="000B335A" w:rsidP="00BD3B9A">
            <w:pPr>
              <w:autoSpaceDE/>
              <w:autoSpaceDN/>
              <w:adjustRightInd/>
              <w:jc w:val="center"/>
              <w:rPr>
                <w:color w:val="000000"/>
                <w:sz w:val="20"/>
                <w:szCs w:val="20"/>
              </w:rPr>
            </w:pPr>
            <w:r w:rsidRPr="007D22C9">
              <w:rPr>
                <w:rFonts w:eastAsia="Cambria"/>
                <w:color w:val="000000"/>
                <w:sz w:val="20"/>
                <w:szCs w:val="20"/>
              </w:rPr>
              <w:t>22 648</w:t>
            </w:r>
          </w:p>
        </w:tc>
        <w:tc>
          <w:tcPr>
            <w:tcW w:w="850" w:type="dxa"/>
            <w:tcBorders>
              <w:top w:val="nil"/>
              <w:left w:val="nil"/>
              <w:bottom w:val="single" w:sz="4" w:space="0" w:color="auto"/>
              <w:right w:val="single" w:sz="4" w:space="0" w:color="auto"/>
            </w:tcBorders>
            <w:shd w:val="clear" w:color="auto" w:fill="auto"/>
            <w:hideMark/>
          </w:tcPr>
          <w:p w:rsidR="000B335A" w:rsidRPr="007D22C9" w:rsidRDefault="000B335A" w:rsidP="00BD3B9A">
            <w:pPr>
              <w:autoSpaceDE/>
              <w:autoSpaceDN/>
              <w:adjustRightInd/>
              <w:jc w:val="center"/>
              <w:rPr>
                <w:color w:val="000000"/>
                <w:sz w:val="20"/>
                <w:szCs w:val="20"/>
              </w:rPr>
            </w:pPr>
            <w:r w:rsidRPr="007D22C9">
              <w:rPr>
                <w:color w:val="000000"/>
                <w:sz w:val="20"/>
                <w:szCs w:val="20"/>
              </w:rPr>
              <w:t>0,75</w:t>
            </w:r>
          </w:p>
        </w:tc>
        <w:tc>
          <w:tcPr>
            <w:tcW w:w="1077" w:type="dxa"/>
            <w:tcBorders>
              <w:top w:val="nil"/>
              <w:left w:val="nil"/>
              <w:bottom w:val="single" w:sz="4" w:space="0" w:color="auto"/>
              <w:right w:val="single" w:sz="4" w:space="0" w:color="auto"/>
            </w:tcBorders>
            <w:shd w:val="clear" w:color="auto" w:fill="auto"/>
            <w:hideMark/>
          </w:tcPr>
          <w:p w:rsidR="000B335A" w:rsidRPr="007D22C9" w:rsidRDefault="00F24BB3" w:rsidP="00F24BB3">
            <w:pPr>
              <w:autoSpaceDE/>
              <w:autoSpaceDN/>
              <w:adjustRightInd/>
              <w:jc w:val="center"/>
              <w:rPr>
                <w:color w:val="000000"/>
                <w:sz w:val="20"/>
                <w:szCs w:val="20"/>
              </w:rPr>
            </w:pPr>
            <w:r w:rsidRPr="007D22C9">
              <w:rPr>
                <w:color w:val="000000"/>
                <w:sz w:val="20"/>
                <w:szCs w:val="20"/>
              </w:rPr>
              <w:t>1,00</w:t>
            </w:r>
          </w:p>
        </w:tc>
        <w:tc>
          <w:tcPr>
            <w:tcW w:w="992" w:type="dxa"/>
            <w:tcBorders>
              <w:top w:val="nil"/>
              <w:left w:val="nil"/>
              <w:bottom w:val="single" w:sz="4" w:space="0" w:color="auto"/>
              <w:right w:val="single" w:sz="4" w:space="0" w:color="auto"/>
            </w:tcBorders>
            <w:shd w:val="clear" w:color="auto" w:fill="auto"/>
            <w:hideMark/>
          </w:tcPr>
          <w:p w:rsidR="000B335A" w:rsidRPr="007D22C9" w:rsidRDefault="00F24BB3" w:rsidP="00F24BB3">
            <w:pPr>
              <w:autoSpaceDE/>
              <w:autoSpaceDN/>
              <w:adjustRightInd/>
              <w:jc w:val="center"/>
              <w:rPr>
                <w:color w:val="000000"/>
                <w:sz w:val="20"/>
                <w:szCs w:val="20"/>
              </w:rPr>
            </w:pPr>
            <w:r w:rsidRPr="007D22C9">
              <w:rPr>
                <w:color w:val="000000"/>
                <w:sz w:val="20"/>
                <w:szCs w:val="20"/>
              </w:rPr>
              <w:t>1,00</w:t>
            </w:r>
          </w:p>
        </w:tc>
        <w:tc>
          <w:tcPr>
            <w:tcW w:w="708" w:type="dxa"/>
            <w:tcBorders>
              <w:top w:val="nil"/>
              <w:left w:val="nil"/>
              <w:bottom w:val="single" w:sz="4" w:space="0" w:color="auto"/>
              <w:right w:val="single" w:sz="4" w:space="0" w:color="auto"/>
            </w:tcBorders>
            <w:shd w:val="clear" w:color="auto" w:fill="auto"/>
            <w:hideMark/>
          </w:tcPr>
          <w:p w:rsidR="000B335A" w:rsidRPr="007D22C9" w:rsidRDefault="00F24BB3" w:rsidP="00F24BB3">
            <w:pPr>
              <w:autoSpaceDE/>
              <w:autoSpaceDN/>
              <w:adjustRightInd/>
              <w:jc w:val="center"/>
              <w:rPr>
                <w:color w:val="000000"/>
                <w:sz w:val="20"/>
                <w:szCs w:val="20"/>
              </w:rPr>
            </w:pPr>
            <w:r w:rsidRPr="007D22C9">
              <w:rPr>
                <w:color w:val="000000"/>
                <w:sz w:val="20"/>
                <w:szCs w:val="20"/>
              </w:rPr>
              <w:t>1</w:t>
            </w:r>
          </w:p>
        </w:tc>
        <w:tc>
          <w:tcPr>
            <w:tcW w:w="993" w:type="dxa"/>
            <w:tcBorders>
              <w:top w:val="nil"/>
              <w:left w:val="nil"/>
              <w:bottom w:val="single" w:sz="4" w:space="0" w:color="auto"/>
              <w:right w:val="single" w:sz="4" w:space="0" w:color="auto"/>
            </w:tcBorders>
            <w:shd w:val="clear" w:color="auto" w:fill="auto"/>
            <w:hideMark/>
          </w:tcPr>
          <w:p w:rsidR="000B335A" w:rsidRPr="007D22C9" w:rsidRDefault="00F24BB3" w:rsidP="00F24BB3">
            <w:pPr>
              <w:autoSpaceDE/>
              <w:autoSpaceDN/>
              <w:adjustRightInd/>
              <w:jc w:val="center"/>
              <w:rPr>
                <w:color w:val="000000"/>
                <w:sz w:val="20"/>
                <w:szCs w:val="20"/>
              </w:rPr>
            </w:pPr>
            <w:r w:rsidRPr="007D22C9">
              <w:rPr>
                <w:color w:val="000000"/>
                <w:sz w:val="20"/>
                <w:szCs w:val="20"/>
              </w:rPr>
              <w:t>1</w:t>
            </w:r>
            <w:r w:rsidR="000B335A" w:rsidRPr="007D22C9">
              <w:rPr>
                <w:color w:val="000000"/>
                <w:sz w:val="20"/>
                <w:szCs w:val="20"/>
              </w:rPr>
              <w:t> </w:t>
            </w:r>
          </w:p>
        </w:tc>
      </w:tr>
      <w:tr w:rsidR="000B335A" w:rsidRPr="007D22C9" w:rsidTr="00BD3B9A">
        <w:trPr>
          <w:trHeight w:val="20"/>
        </w:trPr>
        <w:tc>
          <w:tcPr>
            <w:tcW w:w="533" w:type="dxa"/>
            <w:tcBorders>
              <w:top w:val="nil"/>
              <w:left w:val="single" w:sz="4" w:space="0" w:color="auto"/>
              <w:bottom w:val="single" w:sz="4" w:space="0" w:color="auto"/>
              <w:right w:val="single" w:sz="4" w:space="0" w:color="auto"/>
            </w:tcBorders>
            <w:shd w:val="clear" w:color="auto" w:fill="auto"/>
            <w:hideMark/>
          </w:tcPr>
          <w:p w:rsidR="000B335A" w:rsidRPr="007D22C9" w:rsidRDefault="000B335A" w:rsidP="00BD3B9A">
            <w:pPr>
              <w:autoSpaceDE/>
              <w:autoSpaceDN/>
              <w:adjustRightInd/>
              <w:jc w:val="center"/>
              <w:rPr>
                <w:color w:val="000000"/>
                <w:sz w:val="20"/>
                <w:szCs w:val="20"/>
              </w:rPr>
            </w:pPr>
            <w:r w:rsidRPr="007D22C9">
              <w:rPr>
                <w:color w:val="000000"/>
                <w:sz w:val="20"/>
                <w:szCs w:val="20"/>
              </w:rPr>
              <w:t>41</w:t>
            </w:r>
            <w:r w:rsidR="003B1A7B" w:rsidRPr="007D22C9">
              <w:rPr>
                <w:color w:val="000000"/>
                <w:sz w:val="20"/>
                <w:szCs w:val="20"/>
              </w:rPr>
              <w:t>.</w:t>
            </w:r>
          </w:p>
        </w:tc>
        <w:tc>
          <w:tcPr>
            <w:tcW w:w="1730" w:type="dxa"/>
            <w:tcBorders>
              <w:top w:val="nil"/>
              <w:left w:val="nil"/>
              <w:bottom w:val="single" w:sz="4" w:space="0" w:color="auto"/>
              <w:right w:val="nil"/>
            </w:tcBorders>
            <w:shd w:val="clear" w:color="auto" w:fill="auto"/>
            <w:hideMark/>
          </w:tcPr>
          <w:p w:rsidR="000B335A" w:rsidRPr="007D22C9" w:rsidRDefault="000B335A" w:rsidP="00BD3B9A">
            <w:pPr>
              <w:autoSpaceDE/>
              <w:autoSpaceDN/>
              <w:adjustRightInd/>
              <w:jc w:val="both"/>
              <w:rPr>
                <w:color w:val="000000"/>
                <w:sz w:val="20"/>
                <w:szCs w:val="20"/>
              </w:rPr>
            </w:pPr>
            <w:r w:rsidRPr="007D22C9">
              <w:rPr>
                <w:color w:val="000000"/>
                <w:sz w:val="20"/>
                <w:szCs w:val="20"/>
              </w:rPr>
              <w:t xml:space="preserve">ГАУЗ </w:t>
            </w:r>
            <w:r w:rsidR="002F7358" w:rsidRPr="007D22C9">
              <w:rPr>
                <w:color w:val="000000"/>
                <w:sz w:val="20"/>
                <w:szCs w:val="20"/>
              </w:rPr>
              <w:t>«</w:t>
            </w:r>
            <w:r w:rsidRPr="007D22C9">
              <w:rPr>
                <w:color w:val="000000"/>
                <w:sz w:val="20"/>
                <w:szCs w:val="20"/>
              </w:rPr>
              <w:t xml:space="preserve">Городская больница </w:t>
            </w:r>
            <w:r w:rsidR="00C572EE" w:rsidRPr="007D22C9">
              <w:rPr>
                <w:color w:val="000000"/>
                <w:sz w:val="20"/>
                <w:szCs w:val="20"/>
              </w:rPr>
              <w:br/>
            </w:r>
            <w:r w:rsidRPr="007D22C9">
              <w:rPr>
                <w:color w:val="000000"/>
                <w:sz w:val="20"/>
                <w:szCs w:val="20"/>
              </w:rPr>
              <w:t>№ 2</w:t>
            </w:r>
            <w:r w:rsidR="002F7358" w:rsidRPr="007D22C9">
              <w:rPr>
                <w:color w:val="000000"/>
                <w:sz w:val="20"/>
                <w:szCs w:val="20"/>
              </w:rPr>
              <w:t>»</w:t>
            </w:r>
            <w:r w:rsidRPr="007D22C9">
              <w:rPr>
                <w:color w:val="000000"/>
                <w:sz w:val="20"/>
                <w:szCs w:val="20"/>
              </w:rPr>
              <w:t xml:space="preserve"> г.Набережные Челны</w:t>
            </w:r>
          </w:p>
        </w:tc>
        <w:tc>
          <w:tcPr>
            <w:tcW w:w="1418" w:type="dxa"/>
            <w:tcBorders>
              <w:top w:val="nil"/>
              <w:left w:val="single" w:sz="4" w:space="0" w:color="auto"/>
              <w:bottom w:val="single" w:sz="4" w:space="0" w:color="auto"/>
              <w:right w:val="single" w:sz="4" w:space="0" w:color="auto"/>
            </w:tcBorders>
            <w:shd w:val="clear" w:color="auto" w:fill="auto"/>
            <w:hideMark/>
          </w:tcPr>
          <w:p w:rsidR="000B335A" w:rsidRPr="007D22C9" w:rsidRDefault="00A653E0" w:rsidP="00C572EE">
            <w:pPr>
              <w:autoSpaceDE/>
              <w:autoSpaceDN/>
              <w:adjustRightInd/>
              <w:jc w:val="both"/>
              <w:rPr>
                <w:color w:val="000000"/>
                <w:sz w:val="20"/>
                <w:szCs w:val="20"/>
              </w:rPr>
            </w:pPr>
            <w:r w:rsidRPr="007D22C9">
              <w:rPr>
                <w:color w:val="000000"/>
                <w:sz w:val="20"/>
                <w:szCs w:val="20"/>
              </w:rPr>
              <w:t>г.</w:t>
            </w:r>
            <w:r w:rsidR="000B335A" w:rsidRPr="007D22C9">
              <w:rPr>
                <w:color w:val="000000"/>
                <w:sz w:val="20"/>
                <w:szCs w:val="20"/>
              </w:rPr>
              <w:t xml:space="preserve">Набережные Челны, </w:t>
            </w:r>
            <w:r w:rsidR="00C940D5" w:rsidRPr="007D22C9">
              <w:rPr>
                <w:color w:val="000000"/>
                <w:sz w:val="20"/>
                <w:szCs w:val="20"/>
              </w:rPr>
              <w:t>пр.</w:t>
            </w:r>
            <w:r w:rsidR="000B335A" w:rsidRPr="007D22C9">
              <w:rPr>
                <w:color w:val="000000"/>
                <w:sz w:val="20"/>
                <w:szCs w:val="20"/>
              </w:rPr>
              <w:t xml:space="preserve">М.Джалиля, </w:t>
            </w:r>
            <w:r w:rsidR="00C940D5" w:rsidRPr="007D22C9">
              <w:rPr>
                <w:color w:val="000000"/>
                <w:sz w:val="20"/>
                <w:szCs w:val="20"/>
              </w:rPr>
              <w:t>д.</w:t>
            </w:r>
            <w:r w:rsidR="000B335A" w:rsidRPr="007D22C9">
              <w:rPr>
                <w:color w:val="000000"/>
                <w:sz w:val="20"/>
                <w:szCs w:val="20"/>
              </w:rPr>
              <w:t>19</w:t>
            </w:r>
          </w:p>
        </w:tc>
        <w:tc>
          <w:tcPr>
            <w:tcW w:w="1418" w:type="dxa"/>
            <w:tcBorders>
              <w:top w:val="nil"/>
              <w:left w:val="nil"/>
              <w:bottom w:val="single" w:sz="4" w:space="0" w:color="auto"/>
              <w:right w:val="single" w:sz="4" w:space="0" w:color="auto"/>
            </w:tcBorders>
            <w:shd w:val="clear" w:color="auto" w:fill="auto"/>
            <w:hideMark/>
          </w:tcPr>
          <w:p w:rsidR="000B335A" w:rsidRPr="007D22C9" w:rsidRDefault="000B335A" w:rsidP="00BD3B9A">
            <w:pPr>
              <w:autoSpaceDE/>
              <w:autoSpaceDN/>
              <w:adjustRightInd/>
              <w:jc w:val="both"/>
              <w:rPr>
                <w:color w:val="000000"/>
                <w:sz w:val="20"/>
                <w:szCs w:val="20"/>
              </w:rPr>
            </w:pPr>
            <w:r w:rsidRPr="007D22C9">
              <w:rPr>
                <w:color w:val="000000"/>
                <w:sz w:val="20"/>
                <w:szCs w:val="20"/>
              </w:rPr>
              <w:t>г.Набережные Челны</w:t>
            </w:r>
          </w:p>
        </w:tc>
        <w:tc>
          <w:tcPr>
            <w:tcW w:w="851" w:type="dxa"/>
            <w:tcBorders>
              <w:top w:val="nil"/>
              <w:left w:val="nil"/>
              <w:bottom w:val="single" w:sz="4" w:space="0" w:color="auto"/>
              <w:right w:val="single" w:sz="4" w:space="0" w:color="auto"/>
            </w:tcBorders>
            <w:shd w:val="clear" w:color="auto" w:fill="auto"/>
            <w:hideMark/>
          </w:tcPr>
          <w:p w:rsidR="000B335A" w:rsidRPr="007D22C9" w:rsidRDefault="000B335A" w:rsidP="00BD3B9A">
            <w:pPr>
              <w:autoSpaceDE/>
              <w:autoSpaceDN/>
              <w:adjustRightInd/>
              <w:jc w:val="center"/>
              <w:rPr>
                <w:color w:val="000000"/>
                <w:sz w:val="20"/>
                <w:szCs w:val="20"/>
              </w:rPr>
            </w:pPr>
            <w:r w:rsidRPr="007D22C9">
              <w:rPr>
                <w:color w:val="000000"/>
                <w:sz w:val="20"/>
                <w:szCs w:val="20"/>
              </w:rPr>
              <w:t>26 472</w:t>
            </w:r>
          </w:p>
        </w:tc>
        <w:tc>
          <w:tcPr>
            <w:tcW w:w="850" w:type="dxa"/>
            <w:tcBorders>
              <w:top w:val="nil"/>
              <w:left w:val="nil"/>
              <w:bottom w:val="single" w:sz="4" w:space="0" w:color="auto"/>
              <w:right w:val="single" w:sz="4" w:space="0" w:color="auto"/>
            </w:tcBorders>
            <w:shd w:val="clear" w:color="auto" w:fill="auto"/>
            <w:hideMark/>
          </w:tcPr>
          <w:p w:rsidR="000B335A" w:rsidRPr="007D22C9" w:rsidRDefault="000B335A" w:rsidP="00BD3B9A">
            <w:pPr>
              <w:autoSpaceDE/>
              <w:autoSpaceDN/>
              <w:adjustRightInd/>
              <w:jc w:val="center"/>
              <w:rPr>
                <w:color w:val="000000"/>
                <w:sz w:val="20"/>
                <w:szCs w:val="20"/>
              </w:rPr>
            </w:pPr>
            <w:r w:rsidRPr="007D22C9">
              <w:rPr>
                <w:color w:val="000000"/>
                <w:sz w:val="20"/>
                <w:szCs w:val="20"/>
              </w:rPr>
              <w:t>0,88</w:t>
            </w:r>
          </w:p>
        </w:tc>
        <w:tc>
          <w:tcPr>
            <w:tcW w:w="1077" w:type="dxa"/>
            <w:tcBorders>
              <w:top w:val="nil"/>
              <w:left w:val="nil"/>
              <w:bottom w:val="single" w:sz="4" w:space="0" w:color="auto"/>
              <w:right w:val="single" w:sz="4" w:space="0" w:color="auto"/>
            </w:tcBorders>
            <w:shd w:val="clear" w:color="auto" w:fill="auto"/>
            <w:hideMark/>
          </w:tcPr>
          <w:p w:rsidR="000B335A" w:rsidRPr="007D22C9" w:rsidRDefault="00DB3751" w:rsidP="00DB3751">
            <w:pPr>
              <w:autoSpaceDE/>
              <w:autoSpaceDN/>
              <w:adjustRightInd/>
              <w:jc w:val="center"/>
              <w:rPr>
                <w:color w:val="000000"/>
                <w:sz w:val="20"/>
                <w:szCs w:val="20"/>
              </w:rPr>
            </w:pPr>
            <w:r w:rsidRPr="007D22C9">
              <w:rPr>
                <w:color w:val="000000"/>
                <w:sz w:val="20"/>
                <w:szCs w:val="20"/>
              </w:rPr>
              <w:t>1,75</w:t>
            </w:r>
          </w:p>
        </w:tc>
        <w:tc>
          <w:tcPr>
            <w:tcW w:w="992" w:type="dxa"/>
            <w:tcBorders>
              <w:top w:val="nil"/>
              <w:left w:val="nil"/>
              <w:bottom w:val="single" w:sz="4" w:space="0" w:color="auto"/>
              <w:right w:val="single" w:sz="4" w:space="0" w:color="auto"/>
            </w:tcBorders>
            <w:shd w:val="clear" w:color="auto" w:fill="auto"/>
            <w:hideMark/>
          </w:tcPr>
          <w:p w:rsidR="000B335A" w:rsidRPr="007D22C9" w:rsidRDefault="00DB3751" w:rsidP="00DB3751">
            <w:pPr>
              <w:autoSpaceDE/>
              <w:autoSpaceDN/>
              <w:adjustRightInd/>
              <w:jc w:val="center"/>
              <w:rPr>
                <w:color w:val="000000"/>
                <w:sz w:val="20"/>
                <w:szCs w:val="20"/>
              </w:rPr>
            </w:pPr>
            <w:r w:rsidRPr="007D22C9">
              <w:rPr>
                <w:color w:val="000000"/>
                <w:sz w:val="20"/>
                <w:szCs w:val="20"/>
              </w:rPr>
              <w:t>1,75</w:t>
            </w:r>
          </w:p>
        </w:tc>
        <w:tc>
          <w:tcPr>
            <w:tcW w:w="708" w:type="dxa"/>
            <w:tcBorders>
              <w:top w:val="nil"/>
              <w:left w:val="nil"/>
              <w:bottom w:val="single" w:sz="4" w:space="0" w:color="auto"/>
              <w:right w:val="single" w:sz="4" w:space="0" w:color="auto"/>
            </w:tcBorders>
            <w:shd w:val="clear" w:color="auto" w:fill="auto"/>
            <w:hideMark/>
          </w:tcPr>
          <w:p w:rsidR="000B335A" w:rsidRPr="007D22C9" w:rsidRDefault="000B335A" w:rsidP="00BD3B9A">
            <w:pPr>
              <w:autoSpaceDE/>
              <w:autoSpaceDN/>
              <w:adjustRightInd/>
              <w:jc w:val="center"/>
              <w:rPr>
                <w:color w:val="000000"/>
                <w:sz w:val="20"/>
                <w:szCs w:val="20"/>
              </w:rPr>
            </w:pPr>
            <w:r w:rsidRPr="007D22C9">
              <w:rPr>
                <w:color w:val="000000"/>
                <w:sz w:val="20"/>
                <w:szCs w:val="20"/>
              </w:rPr>
              <w:t>1</w:t>
            </w:r>
          </w:p>
        </w:tc>
        <w:tc>
          <w:tcPr>
            <w:tcW w:w="993" w:type="dxa"/>
            <w:tcBorders>
              <w:top w:val="nil"/>
              <w:left w:val="nil"/>
              <w:bottom w:val="single" w:sz="4" w:space="0" w:color="auto"/>
              <w:right w:val="single" w:sz="4" w:space="0" w:color="auto"/>
            </w:tcBorders>
            <w:shd w:val="clear" w:color="auto" w:fill="auto"/>
            <w:hideMark/>
          </w:tcPr>
          <w:p w:rsidR="000B335A" w:rsidRPr="007D22C9" w:rsidRDefault="000B335A" w:rsidP="00BD3B9A">
            <w:pPr>
              <w:autoSpaceDE/>
              <w:autoSpaceDN/>
              <w:adjustRightInd/>
              <w:jc w:val="center"/>
              <w:rPr>
                <w:color w:val="000000"/>
                <w:sz w:val="20"/>
                <w:szCs w:val="20"/>
              </w:rPr>
            </w:pPr>
            <w:r w:rsidRPr="007D22C9">
              <w:rPr>
                <w:color w:val="000000"/>
                <w:sz w:val="20"/>
                <w:szCs w:val="20"/>
              </w:rPr>
              <w:t>1</w:t>
            </w:r>
          </w:p>
        </w:tc>
      </w:tr>
      <w:tr w:rsidR="000B335A" w:rsidRPr="007D22C9" w:rsidTr="00BD3B9A">
        <w:trPr>
          <w:trHeight w:val="20"/>
        </w:trPr>
        <w:tc>
          <w:tcPr>
            <w:tcW w:w="533" w:type="dxa"/>
            <w:tcBorders>
              <w:top w:val="nil"/>
              <w:left w:val="single" w:sz="4" w:space="0" w:color="auto"/>
              <w:bottom w:val="single" w:sz="4" w:space="0" w:color="auto"/>
              <w:right w:val="single" w:sz="4" w:space="0" w:color="auto"/>
            </w:tcBorders>
            <w:shd w:val="clear" w:color="auto" w:fill="auto"/>
            <w:hideMark/>
          </w:tcPr>
          <w:p w:rsidR="000B335A" w:rsidRPr="007D22C9" w:rsidRDefault="000B335A" w:rsidP="00D302C3">
            <w:pPr>
              <w:autoSpaceDE/>
              <w:autoSpaceDN/>
              <w:adjustRightInd/>
              <w:spacing w:line="233" w:lineRule="auto"/>
              <w:jc w:val="center"/>
              <w:rPr>
                <w:color w:val="000000"/>
                <w:sz w:val="20"/>
                <w:szCs w:val="20"/>
              </w:rPr>
            </w:pPr>
            <w:r w:rsidRPr="007D22C9">
              <w:rPr>
                <w:color w:val="000000"/>
                <w:sz w:val="20"/>
                <w:szCs w:val="20"/>
              </w:rPr>
              <w:t>42</w:t>
            </w:r>
            <w:r w:rsidR="003B1A7B" w:rsidRPr="007D22C9">
              <w:rPr>
                <w:color w:val="000000"/>
                <w:sz w:val="20"/>
                <w:szCs w:val="20"/>
              </w:rPr>
              <w:t>.</w:t>
            </w:r>
          </w:p>
        </w:tc>
        <w:tc>
          <w:tcPr>
            <w:tcW w:w="1730" w:type="dxa"/>
            <w:tcBorders>
              <w:top w:val="nil"/>
              <w:left w:val="nil"/>
              <w:bottom w:val="single" w:sz="4" w:space="0" w:color="auto"/>
              <w:right w:val="nil"/>
            </w:tcBorders>
            <w:shd w:val="clear" w:color="auto" w:fill="auto"/>
            <w:hideMark/>
          </w:tcPr>
          <w:p w:rsidR="009D2BAB" w:rsidRPr="007D22C9" w:rsidRDefault="000B335A" w:rsidP="00D302C3">
            <w:pPr>
              <w:autoSpaceDE/>
              <w:autoSpaceDN/>
              <w:adjustRightInd/>
              <w:spacing w:line="233" w:lineRule="auto"/>
              <w:jc w:val="both"/>
              <w:rPr>
                <w:color w:val="000000"/>
                <w:sz w:val="20"/>
                <w:szCs w:val="20"/>
              </w:rPr>
            </w:pPr>
            <w:r w:rsidRPr="007D22C9">
              <w:rPr>
                <w:color w:val="000000"/>
                <w:sz w:val="20"/>
                <w:szCs w:val="20"/>
              </w:rPr>
              <w:t xml:space="preserve">ГАУЗ </w:t>
            </w:r>
            <w:r w:rsidR="002F7358" w:rsidRPr="007D22C9">
              <w:rPr>
                <w:color w:val="000000"/>
                <w:sz w:val="20"/>
                <w:szCs w:val="20"/>
              </w:rPr>
              <w:t>«</w:t>
            </w:r>
            <w:r w:rsidRPr="007D22C9">
              <w:rPr>
                <w:color w:val="000000"/>
                <w:sz w:val="20"/>
                <w:szCs w:val="20"/>
              </w:rPr>
              <w:t>Городская</w:t>
            </w:r>
            <w:r w:rsidR="00A653E0" w:rsidRPr="007D22C9">
              <w:rPr>
                <w:color w:val="000000"/>
                <w:sz w:val="20"/>
                <w:szCs w:val="20"/>
              </w:rPr>
              <w:t xml:space="preserve"> </w:t>
            </w:r>
            <w:r w:rsidRPr="007D22C9">
              <w:rPr>
                <w:color w:val="000000"/>
                <w:sz w:val="20"/>
                <w:szCs w:val="20"/>
              </w:rPr>
              <w:t xml:space="preserve">поликлиника </w:t>
            </w:r>
            <w:r w:rsidR="009D2BAB" w:rsidRPr="007D22C9">
              <w:rPr>
                <w:color w:val="000000"/>
                <w:sz w:val="20"/>
                <w:szCs w:val="20"/>
              </w:rPr>
              <w:t xml:space="preserve">  </w:t>
            </w:r>
            <w:r w:rsidRPr="007D22C9">
              <w:rPr>
                <w:color w:val="000000"/>
                <w:sz w:val="20"/>
                <w:szCs w:val="20"/>
              </w:rPr>
              <w:t>№ 4</w:t>
            </w:r>
          </w:p>
          <w:p w:rsidR="000B335A" w:rsidRPr="007D22C9" w:rsidRDefault="000B335A" w:rsidP="00D302C3">
            <w:pPr>
              <w:autoSpaceDE/>
              <w:autoSpaceDN/>
              <w:adjustRightInd/>
              <w:spacing w:line="233" w:lineRule="auto"/>
              <w:jc w:val="both"/>
              <w:rPr>
                <w:color w:val="000000"/>
                <w:sz w:val="20"/>
                <w:szCs w:val="20"/>
              </w:rPr>
            </w:pPr>
            <w:r w:rsidRPr="007D22C9">
              <w:rPr>
                <w:color w:val="000000"/>
                <w:sz w:val="20"/>
                <w:szCs w:val="20"/>
              </w:rPr>
              <w:t>им.Л.Н.Ганиевой</w:t>
            </w:r>
            <w:r w:rsidR="002F7358" w:rsidRPr="007D22C9">
              <w:rPr>
                <w:color w:val="000000"/>
                <w:sz w:val="20"/>
                <w:szCs w:val="20"/>
              </w:rPr>
              <w:t>»</w:t>
            </w:r>
            <w:r w:rsidRPr="007D22C9">
              <w:rPr>
                <w:color w:val="000000"/>
                <w:sz w:val="20"/>
                <w:szCs w:val="20"/>
              </w:rPr>
              <w:t xml:space="preserve"> г.Набережные Челны</w:t>
            </w:r>
          </w:p>
        </w:tc>
        <w:tc>
          <w:tcPr>
            <w:tcW w:w="1418" w:type="dxa"/>
            <w:tcBorders>
              <w:top w:val="nil"/>
              <w:left w:val="single" w:sz="4" w:space="0" w:color="auto"/>
              <w:bottom w:val="single" w:sz="4" w:space="0" w:color="auto"/>
              <w:right w:val="single" w:sz="4" w:space="0" w:color="auto"/>
            </w:tcBorders>
            <w:shd w:val="clear" w:color="auto" w:fill="auto"/>
            <w:hideMark/>
          </w:tcPr>
          <w:p w:rsidR="000B335A" w:rsidRPr="007D22C9" w:rsidRDefault="00A653E0" w:rsidP="00D302C3">
            <w:pPr>
              <w:autoSpaceDE/>
              <w:autoSpaceDN/>
              <w:adjustRightInd/>
              <w:spacing w:line="233" w:lineRule="auto"/>
              <w:jc w:val="both"/>
              <w:rPr>
                <w:color w:val="000000"/>
                <w:sz w:val="20"/>
                <w:szCs w:val="20"/>
              </w:rPr>
            </w:pPr>
            <w:r w:rsidRPr="007D22C9">
              <w:rPr>
                <w:color w:val="000000"/>
                <w:sz w:val="20"/>
                <w:szCs w:val="20"/>
              </w:rPr>
              <w:t>г.</w:t>
            </w:r>
            <w:r w:rsidR="000B335A" w:rsidRPr="007D22C9">
              <w:rPr>
                <w:color w:val="000000"/>
                <w:sz w:val="20"/>
                <w:szCs w:val="20"/>
              </w:rPr>
              <w:t xml:space="preserve">Набережные Челны, Набережночелнинский проспект, </w:t>
            </w:r>
            <w:r w:rsidR="00C940D5" w:rsidRPr="007D22C9">
              <w:rPr>
                <w:color w:val="000000"/>
                <w:sz w:val="20"/>
                <w:szCs w:val="20"/>
              </w:rPr>
              <w:t>д.</w:t>
            </w:r>
            <w:r w:rsidR="000B335A" w:rsidRPr="007D22C9">
              <w:rPr>
                <w:color w:val="000000"/>
                <w:sz w:val="20"/>
                <w:szCs w:val="20"/>
              </w:rPr>
              <w:t>16а</w:t>
            </w:r>
          </w:p>
        </w:tc>
        <w:tc>
          <w:tcPr>
            <w:tcW w:w="1418" w:type="dxa"/>
            <w:tcBorders>
              <w:top w:val="nil"/>
              <w:left w:val="nil"/>
              <w:bottom w:val="single" w:sz="4" w:space="0" w:color="auto"/>
              <w:right w:val="single" w:sz="4" w:space="0" w:color="auto"/>
            </w:tcBorders>
            <w:shd w:val="clear" w:color="auto" w:fill="auto"/>
            <w:hideMark/>
          </w:tcPr>
          <w:p w:rsidR="000B335A" w:rsidRPr="007D22C9" w:rsidRDefault="000B335A" w:rsidP="00D302C3">
            <w:pPr>
              <w:autoSpaceDE/>
              <w:autoSpaceDN/>
              <w:adjustRightInd/>
              <w:spacing w:line="233" w:lineRule="auto"/>
              <w:jc w:val="both"/>
              <w:rPr>
                <w:color w:val="000000"/>
                <w:sz w:val="20"/>
                <w:szCs w:val="20"/>
              </w:rPr>
            </w:pPr>
            <w:r w:rsidRPr="007D22C9">
              <w:rPr>
                <w:color w:val="000000"/>
                <w:sz w:val="20"/>
                <w:szCs w:val="20"/>
              </w:rPr>
              <w:t>г.Набережные Челны</w:t>
            </w:r>
          </w:p>
        </w:tc>
        <w:tc>
          <w:tcPr>
            <w:tcW w:w="851" w:type="dxa"/>
            <w:tcBorders>
              <w:top w:val="nil"/>
              <w:left w:val="nil"/>
              <w:bottom w:val="single" w:sz="4" w:space="0" w:color="auto"/>
              <w:right w:val="single" w:sz="4" w:space="0" w:color="auto"/>
            </w:tcBorders>
            <w:shd w:val="clear" w:color="auto" w:fill="auto"/>
            <w:hideMark/>
          </w:tcPr>
          <w:p w:rsidR="000B335A" w:rsidRPr="007D22C9" w:rsidRDefault="000B335A" w:rsidP="00D302C3">
            <w:pPr>
              <w:autoSpaceDE/>
              <w:autoSpaceDN/>
              <w:adjustRightInd/>
              <w:spacing w:line="233" w:lineRule="auto"/>
              <w:jc w:val="center"/>
              <w:rPr>
                <w:color w:val="000000"/>
                <w:sz w:val="20"/>
                <w:szCs w:val="20"/>
              </w:rPr>
            </w:pPr>
            <w:r w:rsidRPr="007D22C9">
              <w:rPr>
                <w:color w:val="000000"/>
                <w:sz w:val="20"/>
                <w:szCs w:val="20"/>
              </w:rPr>
              <w:t>66 013</w:t>
            </w:r>
          </w:p>
        </w:tc>
        <w:tc>
          <w:tcPr>
            <w:tcW w:w="850" w:type="dxa"/>
            <w:tcBorders>
              <w:top w:val="nil"/>
              <w:left w:val="nil"/>
              <w:bottom w:val="single" w:sz="4" w:space="0" w:color="auto"/>
              <w:right w:val="single" w:sz="4" w:space="0" w:color="auto"/>
            </w:tcBorders>
            <w:shd w:val="clear" w:color="auto" w:fill="auto"/>
            <w:hideMark/>
          </w:tcPr>
          <w:p w:rsidR="000B335A" w:rsidRPr="007D22C9" w:rsidRDefault="000B335A" w:rsidP="00D302C3">
            <w:pPr>
              <w:autoSpaceDE/>
              <w:autoSpaceDN/>
              <w:adjustRightInd/>
              <w:spacing w:line="233" w:lineRule="auto"/>
              <w:jc w:val="center"/>
              <w:rPr>
                <w:color w:val="000000"/>
                <w:sz w:val="20"/>
                <w:szCs w:val="20"/>
              </w:rPr>
            </w:pPr>
            <w:r w:rsidRPr="007D22C9">
              <w:rPr>
                <w:color w:val="000000"/>
                <w:sz w:val="20"/>
                <w:szCs w:val="20"/>
              </w:rPr>
              <w:t>2,20</w:t>
            </w:r>
          </w:p>
        </w:tc>
        <w:tc>
          <w:tcPr>
            <w:tcW w:w="1077" w:type="dxa"/>
            <w:tcBorders>
              <w:top w:val="nil"/>
              <w:left w:val="nil"/>
              <w:bottom w:val="single" w:sz="4" w:space="0" w:color="auto"/>
              <w:right w:val="single" w:sz="4" w:space="0" w:color="auto"/>
            </w:tcBorders>
            <w:shd w:val="clear" w:color="auto" w:fill="auto"/>
            <w:hideMark/>
          </w:tcPr>
          <w:p w:rsidR="000B335A" w:rsidRPr="007D22C9" w:rsidRDefault="00DB3751" w:rsidP="00DB3751">
            <w:pPr>
              <w:autoSpaceDE/>
              <w:autoSpaceDN/>
              <w:adjustRightInd/>
              <w:spacing w:line="233" w:lineRule="auto"/>
              <w:jc w:val="center"/>
              <w:rPr>
                <w:color w:val="000000"/>
                <w:sz w:val="20"/>
                <w:szCs w:val="20"/>
              </w:rPr>
            </w:pPr>
            <w:r w:rsidRPr="007D22C9">
              <w:rPr>
                <w:color w:val="000000"/>
                <w:sz w:val="20"/>
                <w:szCs w:val="20"/>
              </w:rPr>
              <w:t>1</w:t>
            </w:r>
            <w:r w:rsidR="000B335A" w:rsidRPr="007D22C9">
              <w:rPr>
                <w:color w:val="000000"/>
                <w:sz w:val="20"/>
                <w:szCs w:val="20"/>
              </w:rPr>
              <w:t>,5</w:t>
            </w:r>
            <w:r w:rsidRPr="007D22C9">
              <w:rPr>
                <w:color w:val="000000"/>
                <w:sz w:val="20"/>
                <w:szCs w:val="20"/>
              </w:rPr>
              <w:t>0</w:t>
            </w:r>
          </w:p>
        </w:tc>
        <w:tc>
          <w:tcPr>
            <w:tcW w:w="992" w:type="dxa"/>
            <w:tcBorders>
              <w:top w:val="nil"/>
              <w:left w:val="nil"/>
              <w:bottom w:val="single" w:sz="4" w:space="0" w:color="auto"/>
              <w:right w:val="single" w:sz="4" w:space="0" w:color="auto"/>
            </w:tcBorders>
            <w:shd w:val="clear" w:color="auto" w:fill="auto"/>
            <w:hideMark/>
          </w:tcPr>
          <w:p w:rsidR="000B335A" w:rsidRPr="007D22C9" w:rsidRDefault="00DB3751" w:rsidP="00DB3751">
            <w:pPr>
              <w:autoSpaceDE/>
              <w:autoSpaceDN/>
              <w:adjustRightInd/>
              <w:spacing w:line="233" w:lineRule="auto"/>
              <w:jc w:val="center"/>
              <w:rPr>
                <w:color w:val="000000"/>
                <w:sz w:val="20"/>
                <w:szCs w:val="20"/>
              </w:rPr>
            </w:pPr>
            <w:r w:rsidRPr="007D22C9">
              <w:rPr>
                <w:color w:val="000000"/>
                <w:sz w:val="20"/>
                <w:szCs w:val="20"/>
              </w:rPr>
              <w:t>1</w:t>
            </w:r>
            <w:r w:rsidR="000B335A" w:rsidRPr="007D22C9">
              <w:rPr>
                <w:color w:val="000000"/>
                <w:sz w:val="20"/>
                <w:szCs w:val="20"/>
              </w:rPr>
              <w:t>,5</w:t>
            </w:r>
            <w:r w:rsidRPr="007D22C9">
              <w:rPr>
                <w:color w:val="000000"/>
                <w:sz w:val="20"/>
                <w:szCs w:val="20"/>
              </w:rPr>
              <w:t>0</w:t>
            </w:r>
          </w:p>
        </w:tc>
        <w:tc>
          <w:tcPr>
            <w:tcW w:w="708" w:type="dxa"/>
            <w:tcBorders>
              <w:top w:val="nil"/>
              <w:left w:val="nil"/>
              <w:bottom w:val="single" w:sz="4" w:space="0" w:color="auto"/>
              <w:right w:val="single" w:sz="4" w:space="0" w:color="auto"/>
            </w:tcBorders>
            <w:shd w:val="clear" w:color="auto" w:fill="auto"/>
            <w:hideMark/>
          </w:tcPr>
          <w:p w:rsidR="000B335A" w:rsidRPr="007D22C9" w:rsidRDefault="000B335A" w:rsidP="00D302C3">
            <w:pPr>
              <w:autoSpaceDE/>
              <w:autoSpaceDN/>
              <w:adjustRightInd/>
              <w:spacing w:line="233" w:lineRule="auto"/>
              <w:jc w:val="center"/>
              <w:rPr>
                <w:color w:val="000000"/>
                <w:sz w:val="20"/>
                <w:szCs w:val="20"/>
              </w:rPr>
            </w:pPr>
            <w:r w:rsidRPr="007D22C9">
              <w:rPr>
                <w:color w:val="000000"/>
                <w:sz w:val="20"/>
                <w:szCs w:val="20"/>
              </w:rPr>
              <w:t>1</w:t>
            </w:r>
          </w:p>
        </w:tc>
        <w:tc>
          <w:tcPr>
            <w:tcW w:w="993" w:type="dxa"/>
            <w:tcBorders>
              <w:top w:val="nil"/>
              <w:left w:val="nil"/>
              <w:bottom w:val="single" w:sz="4" w:space="0" w:color="auto"/>
              <w:right w:val="single" w:sz="4" w:space="0" w:color="auto"/>
            </w:tcBorders>
            <w:shd w:val="clear" w:color="auto" w:fill="auto"/>
            <w:hideMark/>
          </w:tcPr>
          <w:p w:rsidR="000B335A" w:rsidRPr="007D22C9" w:rsidRDefault="00DB3751" w:rsidP="00DB3751">
            <w:pPr>
              <w:autoSpaceDE/>
              <w:autoSpaceDN/>
              <w:adjustRightInd/>
              <w:spacing w:line="233" w:lineRule="auto"/>
              <w:jc w:val="center"/>
              <w:rPr>
                <w:color w:val="000000"/>
                <w:sz w:val="20"/>
                <w:szCs w:val="20"/>
              </w:rPr>
            </w:pPr>
            <w:r w:rsidRPr="007D22C9">
              <w:rPr>
                <w:color w:val="000000"/>
                <w:sz w:val="20"/>
                <w:szCs w:val="20"/>
              </w:rPr>
              <w:t>0</w:t>
            </w:r>
          </w:p>
        </w:tc>
      </w:tr>
      <w:tr w:rsidR="000B335A" w:rsidRPr="007D22C9" w:rsidTr="00BD3B9A">
        <w:trPr>
          <w:trHeight w:val="20"/>
        </w:trPr>
        <w:tc>
          <w:tcPr>
            <w:tcW w:w="533" w:type="dxa"/>
            <w:tcBorders>
              <w:top w:val="nil"/>
              <w:left w:val="single" w:sz="4" w:space="0" w:color="auto"/>
              <w:bottom w:val="single" w:sz="4" w:space="0" w:color="auto"/>
              <w:right w:val="single" w:sz="4" w:space="0" w:color="auto"/>
            </w:tcBorders>
            <w:shd w:val="clear" w:color="auto" w:fill="auto"/>
            <w:hideMark/>
          </w:tcPr>
          <w:p w:rsidR="000B335A" w:rsidRPr="007D22C9" w:rsidRDefault="000B335A" w:rsidP="00D302C3">
            <w:pPr>
              <w:autoSpaceDE/>
              <w:autoSpaceDN/>
              <w:adjustRightInd/>
              <w:spacing w:line="233" w:lineRule="auto"/>
              <w:jc w:val="center"/>
              <w:rPr>
                <w:color w:val="000000"/>
                <w:sz w:val="20"/>
                <w:szCs w:val="20"/>
              </w:rPr>
            </w:pPr>
            <w:r w:rsidRPr="007D22C9">
              <w:rPr>
                <w:color w:val="000000"/>
                <w:sz w:val="20"/>
                <w:szCs w:val="20"/>
              </w:rPr>
              <w:t>43</w:t>
            </w:r>
            <w:r w:rsidR="003B1A7B" w:rsidRPr="007D22C9">
              <w:rPr>
                <w:color w:val="000000"/>
                <w:sz w:val="20"/>
                <w:szCs w:val="20"/>
              </w:rPr>
              <w:t>.</w:t>
            </w:r>
          </w:p>
        </w:tc>
        <w:tc>
          <w:tcPr>
            <w:tcW w:w="1730" w:type="dxa"/>
            <w:tcBorders>
              <w:top w:val="nil"/>
              <w:left w:val="nil"/>
              <w:bottom w:val="single" w:sz="4" w:space="0" w:color="auto"/>
              <w:right w:val="nil"/>
            </w:tcBorders>
            <w:shd w:val="clear" w:color="auto" w:fill="auto"/>
            <w:hideMark/>
          </w:tcPr>
          <w:p w:rsidR="000B335A" w:rsidRPr="007D22C9" w:rsidRDefault="000B335A" w:rsidP="00D302C3">
            <w:pPr>
              <w:autoSpaceDE/>
              <w:autoSpaceDN/>
              <w:adjustRightInd/>
              <w:spacing w:line="233" w:lineRule="auto"/>
              <w:jc w:val="both"/>
              <w:rPr>
                <w:color w:val="000000"/>
                <w:sz w:val="20"/>
                <w:szCs w:val="20"/>
              </w:rPr>
            </w:pPr>
            <w:r w:rsidRPr="007D22C9">
              <w:rPr>
                <w:color w:val="000000"/>
                <w:sz w:val="20"/>
                <w:szCs w:val="20"/>
              </w:rPr>
              <w:t xml:space="preserve">ГАУЗ </w:t>
            </w:r>
            <w:r w:rsidR="002F7358" w:rsidRPr="007D22C9">
              <w:rPr>
                <w:color w:val="000000"/>
                <w:sz w:val="20"/>
                <w:szCs w:val="20"/>
              </w:rPr>
              <w:t>«</w:t>
            </w:r>
            <w:r w:rsidRPr="007D22C9">
              <w:rPr>
                <w:color w:val="000000"/>
                <w:sz w:val="20"/>
                <w:szCs w:val="20"/>
              </w:rPr>
              <w:t>Городская поликлиника № 3</w:t>
            </w:r>
            <w:r w:rsidR="002F7358" w:rsidRPr="007D22C9">
              <w:rPr>
                <w:color w:val="000000"/>
                <w:sz w:val="20"/>
                <w:szCs w:val="20"/>
              </w:rPr>
              <w:t>»</w:t>
            </w:r>
            <w:r w:rsidRPr="007D22C9">
              <w:rPr>
                <w:color w:val="000000"/>
                <w:sz w:val="20"/>
                <w:szCs w:val="20"/>
              </w:rPr>
              <w:t xml:space="preserve"> г.На</w:t>
            </w:r>
            <w:r w:rsidR="00C572EE" w:rsidRPr="007D22C9">
              <w:rPr>
                <w:color w:val="000000"/>
                <w:sz w:val="20"/>
                <w:szCs w:val="20"/>
              </w:rPr>
              <w:t>-</w:t>
            </w:r>
            <w:r w:rsidRPr="007D22C9">
              <w:rPr>
                <w:color w:val="000000"/>
                <w:sz w:val="20"/>
                <w:szCs w:val="20"/>
              </w:rPr>
              <w:t xml:space="preserve">бережные Челны </w:t>
            </w:r>
          </w:p>
        </w:tc>
        <w:tc>
          <w:tcPr>
            <w:tcW w:w="1418" w:type="dxa"/>
            <w:tcBorders>
              <w:top w:val="nil"/>
              <w:left w:val="single" w:sz="4" w:space="0" w:color="auto"/>
              <w:bottom w:val="single" w:sz="4" w:space="0" w:color="auto"/>
              <w:right w:val="single" w:sz="4" w:space="0" w:color="auto"/>
            </w:tcBorders>
            <w:shd w:val="clear" w:color="auto" w:fill="auto"/>
            <w:hideMark/>
          </w:tcPr>
          <w:p w:rsidR="000B335A" w:rsidRPr="007D22C9" w:rsidRDefault="00A653E0" w:rsidP="00D302C3">
            <w:pPr>
              <w:autoSpaceDE/>
              <w:autoSpaceDN/>
              <w:adjustRightInd/>
              <w:spacing w:line="233" w:lineRule="auto"/>
              <w:jc w:val="both"/>
              <w:rPr>
                <w:color w:val="000000"/>
                <w:sz w:val="20"/>
                <w:szCs w:val="20"/>
              </w:rPr>
            </w:pPr>
            <w:r w:rsidRPr="007D22C9">
              <w:rPr>
                <w:color w:val="000000"/>
                <w:sz w:val="20"/>
                <w:szCs w:val="20"/>
              </w:rPr>
              <w:t>г.</w:t>
            </w:r>
            <w:r w:rsidR="000B335A" w:rsidRPr="007D22C9">
              <w:rPr>
                <w:color w:val="000000"/>
                <w:sz w:val="20"/>
                <w:szCs w:val="20"/>
              </w:rPr>
              <w:t>Набережные Челны, Московский проспект</w:t>
            </w:r>
            <w:r w:rsidR="000737A9" w:rsidRPr="007D22C9">
              <w:rPr>
                <w:color w:val="000000"/>
                <w:sz w:val="20"/>
                <w:szCs w:val="20"/>
              </w:rPr>
              <w:t>,</w:t>
            </w:r>
            <w:r w:rsidR="000B335A" w:rsidRPr="007D22C9">
              <w:rPr>
                <w:color w:val="000000"/>
                <w:sz w:val="20"/>
                <w:szCs w:val="20"/>
              </w:rPr>
              <w:t xml:space="preserve"> </w:t>
            </w:r>
            <w:r w:rsidR="00C940D5" w:rsidRPr="007D22C9">
              <w:rPr>
                <w:color w:val="000000"/>
                <w:sz w:val="20"/>
                <w:szCs w:val="20"/>
              </w:rPr>
              <w:t>д.</w:t>
            </w:r>
            <w:r w:rsidR="000B335A" w:rsidRPr="007D22C9">
              <w:rPr>
                <w:color w:val="000000"/>
                <w:sz w:val="20"/>
                <w:szCs w:val="20"/>
              </w:rPr>
              <w:t>155</w:t>
            </w:r>
          </w:p>
        </w:tc>
        <w:tc>
          <w:tcPr>
            <w:tcW w:w="1418" w:type="dxa"/>
            <w:tcBorders>
              <w:top w:val="nil"/>
              <w:left w:val="nil"/>
              <w:bottom w:val="single" w:sz="4" w:space="0" w:color="auto"/>
              <w:right w:val="single" w:sz="4" w:space="0" w:color="auto"/>
            </w:tcBorders>
            <w:shd w:val="clear" w:color="auto" w:fill="auto"/>
            <w:hideMark/>
          </w:tcPr>
          <w:p w:rsidR="000B335A" w:rsidRPr="007D22C9" w:rsidRDefault="000B335A" w:rsidP="00D302C3">
            <w:pPr>
              <w:autoSpaceDE/>
              <w:autoSpaceDN/>
              <w:adjustRightInd/>
              <w:spacing w:line="233" w:lineRule="auto"/>
              <w:jc w:val="both"/>
              <w:rPr>
                <w:color w:val="000000"/>
                <w:sz w:val="20"/>
                <w:szCs w:val="20"/>
              </w:rPr>
            </w:pPr>
            <w:r w:rsidRPr="007D22C9">
              <w:rPr>
                <w:color w:val="000000"/>
                <w:sz w:val="20"/>
                <w:szCs w:val="20"/>
              </w:rPr>
              <w:t>г.Набережные Челны</w:t>
            </w:r>
          </w:p>
        </w:tc>
        <w:tc>
          <w:tcPr>
            <w:tcW w:w="851" w:type="dxa"/>
            <w:tcBorders>
              <w:top w:val="nil"/>
              <w:left w:val="nil"/>
              <w:bottom w:val="single" w:sz="4" w:space="0" w:color="auto"/>
              <w:right w:val="single" w:sz="4" w:space="0" w:color="auto"/>
            </w:tcBorders>
            <w:shd w:val="clear" w:color="auto" w:fill="auto"/>
            <w:hideMark/>
          </w:tcPr>
          <w:p w:rsidR="000B335A" w:rsidRPr="007D22C9" w:rsidRDefault="000B335A" w:rsidP="00D302C3">
            <w:pPr>
              <w:autoSpaceDE/>
              <w:autoSpaceDN/>
              <w:adjustRightInd/>
              <w:spacing w:line="233" w:lineRule="auto"/>
              <w:jc w:val="center"/>
              <w:rPr>
                <w:color w:val="000000"/>
                <w:sz w:val="20"/>
                <w:szCs w:val="20"/>
              </w:rPr>
            </w:pPr>
            <w:r w:rsidRPr="007D22C9">
              <w:rPr>
                <w:color w:val="000000"/>
                <w:sz w:val="20"/>
                <w:szCs w:val="20"/>
              </w:rPr>
              <w:t>60 849</w:t>
            </w:r>
          </w:p>
        </w:tc>
        <w:tc>
          <w:tcPr>
            <w:tcW w:w="850" w:type="dxa"/>
            <w:tcBorders>
              <w:top w:val="nil"/>
              <w:left w:val="nil"/>
              <w:bottom w:val="single" w:sz="4" w:space="0" w:color="auto"/>
              <w:right w:val="single" w:sz="4" w:space="0" w:color="auto"/>
            </w:tcBorders>
            <w:shd w:val="clear" w:color="auto" w:fill="auto"/>
            <w:hideMark/>
          </w:tcPr>
          <w:p w:rsidR="000B335A" w:rsidRPr="007D22C9" w:rsidRDefault="000B335A" w:rsidP="00D302C3">
            <w:pPr>
              <w:autoSpaceDE/>
              <w:autoSpaceDN/>
              <w:adjustRightInd/>
              <w:spacing w:line="233" w:lineRule="auto"/>
              <w:jc w:val="center"/>
              <w:rPr>
                <w:color w:val="000000"/>
                <w:sz w:val="20"/>
                <w:szCs w:val="20"/>
              </w:rPr>
            </w:pPr>
            <w:r w:rsidRPr="007D22C9">
              <w:rPr>
                <w:color w:val="000000"/>
                <w:sz w:val="20"/>
                <w:szCs w:val="20"/>
              </w:rPr>
              <w:t>2,03</w:t>
            </w:r>
          </w:p>
        </w:tc>
        <w:tc>
          <w:tcPr>
            <w:tcW w:w="1077" w:type="dxa"/>
            <w:tcBorders>
              <w:top w:val="nil"/>
              <w:left w:val="nil"/>
              <w:bottom w:val="single" w:sz="4" w:space="0" w:color="auto"/>
              <w:right w:val="single" w:sz="4" w:space="0" w:color="auto"/>
            </w:tcBorders>
            <w:shd w:val="clear" w:color="auto" w:fill="auto"/>
            <w:hideMark/>
          </w:tcPr>
          <w:p w:rsidR="000B335A" w:rsidRPr="007D22C9" w:rsidRDefault="00DB3751" w:rsidP="00DB3751">
            <w:pPr>
              <w:autoSpaceDE/>
              <w:autoSpaceDN/>
              <w:adjustRightInd/>
              <w:spacing w:line="233" w:lineRule="auto"/>
              <w:jc w:val="center"/>
              <w:rPr>
                <w:color w:val="000000"/>
                <w:sz w:val="20"/>
                <w:szCs w:val="20"/>
              </w:rPr>
            </w:pPr>
            <w:r w:rsidRPr="007D22C9">
              <w:rPr>
                <w:color w:val="000000"/>
                <w:sz w:val="20"/>
                <w:szCs w:val="20"/>
              </w:rPr>
              <w:t>1</w:t>
            </w:r>
            <w:r w:rsidR="000B335A" w:rsidRPr="007D22C9">
              <w:rPr>
                <w:color w:val="000000"/>
                <w:sz w:val="20"/>
                <w:szCs w:val="20"/>
              </w:rPr>
              <w:t>,5</w:t>
            </w:r>
            <w:r w:rsidRPr="007D22C9">
              <w:rPr>
                <w:color w:val="000000"/>
                <w:sz w:val="20"/>
                <w:szCs w:val="20"/>
              </w:rPr>
              <w:t>0</w:t>
            </w:r>
          </w:p>
        </w:tc>
        <w:tc>
          <w:tcPr>
            <w:tcW w:w="992" w:type="dxa"/>
            <w:tcBorders>
              <w:top w:val="nil"/>
              <w:left w:val="nil"/>
              <w:bottom w:val="single" w:sz="4" w:space="0" w:color="auto"/>
              <w:right w:val="single" w:sz="4" w:space="0" w:color="auto"/>
            </w:tcBorders>
            <w:shd w:val="clear" w:color="auto" w:fill="auto"/>
            <w:hideMark/>
          </w:tcPr>
          <w:p w:rsidR="000B335A" w:rsidRPr="007D22C9" w:rsidRDefault="00DB3751" w:rsidP="00DB3751">
            <w:pPr>
              <w:autoSpaceDE/>
              <w:autoSpaceDN/>
              <w:adjustRightInd/>
              <w:spacing w:line="233" w:lineRule="auto"/>
              <w:jc w:val="center"/>
              <w:rPr>
                <w:color w:val="000000"/>
                <w:sz w:val="20"/>
                <w:szCs w:val="20"/>
              </w:rPr>
            </w:pPr>
            <w:r w:rsidRPr="007D22C9">
              <w:rPr>
                <w:color w:val="000000"/>
                <w:sz w:val="20"/>
                <w:szCs w:val="20"/>
              </w:rPr>
              <w:t>1</w:t>
            </w:r>
            <w:r w:rsidR="000B335A" w:rsidRPr="007D22C9">
              <w:rPr>
                <w:color w:val="000000"/>
                <w:sz w:val="20"/>
                <w:szCs w:val="20"/>
              </w:rPr>
              <w:t>,</w:t>
            </w:r>
            <w:r w:rsidRPr="007D22C9">
              <w:rPr>
                <w:color w:val="000000"/>
                <w:sz w:val="20"/>
                <w:szCs w:val="20"/>
              </w:rPr>
              <w:t>2</w:t>
            </w:r>
            <w:r w:rsidR="000B335A" w:rsidRPr="007D22C9">
              <w:rPr>
                <w:color w:val="000000"/>
                <w:sz w:val="20"/>
                <w:szCs w:val="20"/>
              </w:rPr>
              <w:t>5</w:t>
            </w:r>
          </w:p>
        </w:tc>
        <w:tc>
          <w:tcPr>
            <w:tcW w:w="708" w:type="dxa"/>
            <w:tcBorders>
              <w:top w:val="nil"/>
              <w:left w:val="nil"/>
              <w:bottom w:val="single" w:sz="4" w:space="0" w:color="auto"/>
              <w:right w:val="single" w:sz="4" w:space="0" w:color="auto"/>
            </w:tcBorders>
            <w:shd w:val="clear" w:color="auto" w:fill="auto"/>
            <w:hideMark/>
          </w:tcPr>
          <w:p w:rsidR="000B335A" w:rsidRPr="007D22C9" w:rsidRDefault="000B335A" w:rsidP="00D302C3">
            <w:pPr>
              <w:autoSpaceDE/>
              <w:autoSpaceDN/>
              <w:adjustRightInd/>
              <w:spacing w:line="233" w:lineRule="auto"/>
              <w:jc w:val="center"/>
              <w:rPr>
                <w:color w:val="000000"/>
                <w:sz w:val="20"/>
                <w:szCs w:val="20"/>
              </w:rPr>
            </w:pPr>
            <w:r w:rsidRPr="007D22C9">
              <w:rPr>
                <w:color w:val="000000"/>
                <w:sz w:val="20"/>
                <w:szCs w:val="20"/>
              </w:rPr>
              <w:t>1</w:t>
            </w:r>
          </w:p>
        </w:tc>
        <w:tc>
          <w:tcPr>
            <w:tcW w:w="993" w:type="dxa"/>
            <w:tcBorders>
              <w:top w:val="nil"/>
              <w:left w:val="nil"/>
              <w:bottom w:val="single" w:sz="4" w:space="0" w:color="auto"/>
              <w:right w:val="single" w:sz="4" w:space="0" w:color="auto"/>
            </w:tcBorders>
            <w:shd w:val="clear" w:color="auto" w:fill="auto"/>
            <w:hideMark/>
          </w:tcPr>
          <w:p w:rsidR="000B335A" w:rsidRPr="007D22C9" w:rsidRDefault="00DB3751" w:rsidP="00DB3751">
            <w:pPr>
              <w:autoSpaceDE/>
              <w:autoSpaceDN/>
              <w:adjustRightInd/>
              <w:spacing w:line="233" w:lineRule="auto"/>
              <w:jc w:val="center"/>
              <w:rPr>
                <w:color w:val="000000"/>
                <w:sz w:val="20"/>
                <w:szCs w:val="20"/>
              </w:rPr>
            </w:pPr>
            <w:r w:rsidRPr="007D22C9">
              <w:rPr>
                <w:color w:val="000000"/>
                <w:sz w:val="20"/>
                <w:szCs w:val="20"/>
              </w:rPr>
              <w:t>0</w:t>
            </w:r>
          </w:p>
        </w:tc>
      </w:tr>
      <w:tr w:rsidR="000B335A" w:rsidRPr="007D22C9" w:rsidTr="00BD3B9A">
        <w:trPr>
          <w:trHeight w:val="20"/>
        </w:trPr>
        <w:tc>
          <w:tcPr>
            <w:tcW w:w="533" w:type="dxa"/>
            <w:tcBorders>
              <w:top w:val="nil"/>
              <w:left w:val="single" w:sz="4" w:space="0" w:color="auto"/>
              <w:bottom w:val="single" w:sz="4" w:space="0" w:color="auto"/>
              <w:right w:val="single" w:sz="4" w:space="0" w:color="auto"/>
            </w:tcBorders>
            <w:shd w:val="clear" w:color="auto" w:fill="auto"/>
            <w:hideMark/>
          </w:tcPr>
          <w:p w:rsidR="000B335A" w:rsidRPr="007D22C9" w:rsidRDefault="000B335A" w:rsidP="00D302C3">
            <w:pPr>
              <w:autoSpaceDE/>
              <w:autoSpaceDN/>
              <w:adjustRightInd/>
              <w:spacing w:line="233" w:lineRule="auto"/>
              <w:jc w:val="center"/>
              <w:rPr>
                <w:color w:val="000000"/>
                <w:sz w:val="20"/>
                <w:szCs w:val="20"/>
              </w:rPr>
            </w:pPr>
            <w:r w:rsidRPr="007D22C9">
              <w:rPr>
                <w:color w:val="000000"/>
                <w:sz w:val="20"/>
                <w:szCs w:val="20"/>
              </w:rPr>
              <w:t>44</w:t>
            </w:r>
            <w:r w:rsidR="003B1A7B" w:rsidRPr="007D22C9">
              <w:rPr>
                <w:color w:val="000000"/>
                <w:sz w:val="20"/>
                <w:szCs w:val="20"/>
              </w:rPr>
              <w:t>.</w:t>
            </w:r>
          </w:p>
        </w:tc>
        <w:tc>
          <w:tcPr>
            <w:tcW w:w="1730" w:type="dxa"/>
            <w:tcBorders>
              <w:top w:val="nil"/>
              <w:left w:val="nil"/>
              <w:bottom w:val="single" w:sz="4" w:space="0" w:color="auto"/>
              <w:right w:val="nil"/>
            </w:tcBorders>
            <w:shd w:val="clear" w:color="auto" w:fill="auto"/>
            <w:hideMark/>
          </w:tcPr>
          <w:p w:rsidR="000B335A" w:rsidRPr="007D22C9" w:rsidRDefault="000B335A" w:rsidP="00D302C3">
            <w:pPr>
              <w:autoSpaceDE/>
              <w:autoSpaceDN/>
              <w:adjustRightInd/>
              <w:spacing w:line="233" w:lineRule="auto"/>
              <w:jc w:val="both"/>
              <w:rPr>
                <w:color w:val="000000"/>
                <w:sz w:val="20"/>
                <w:szCs w:val="20"/>
              </w:rPr>
            </w:pPr>
            <w:r w:rsidRPr="007D22C9">
              <w:rPr>
                <w:color w:val="000000"/>
                <w:sz w:val="20"/>
                <w:szCs w:val="20"/>
              </w:rPr>
              <w:t xml:space="preserve">ГАУЗ </w:t>
            </w:r>
            <w:r w:rsidR="002F7358" w:rsidRPr="007D22C9">
              <w:rPr>
                <w:color w:val="000000"/>
                <w:sz w:val="20"/>
                <w:szCs w:val="20"/>
              </w:rPr>
              <w:t>«</w:t>
            </w:r>
            <w:r w:rsidR="00D302C3" w:rsidRPr="007D22C9">
              <w:rPr>
                <w:color w:val="000000"/>
                <w:sz w:val="20"/>
                <w:szCs w:val="20"/>
              </w:rPr>
              <w:t>Городская поликлиника №</w:t>
            </w:r>
            <w:r w:rsidR="00D302C3" w:rsidRPr="007D22C9">
              <w:rPr>
                <w:color w:val="000000"/>
                <w:sz w:val="20"/>
                <w:szCs w:val="20"/>
                <w:lang w:val="en-US"/>
              </w:rPr>
              <w:t> </w:t>
            </w:r>
            <w:r w:rsidRPr="007D22C9">
              <w:rPr>
                <w:color w:val="000000"/>
                <w:sz w:val="20"/>
                <w:szCs w:val="20"/>
              </w:rPr>
              <w:t>6</w:t>
            </w:r>
            <w:r w:rsidR="002F7358" w:rsidRPr="007D22C9">
              <w:rPr>
                <w:color w:val="000000"/>
                <w:sz w:val="20"/>
                <w:szCs w:val="20"/>
              </w:rPr>
              <w:t>»</w:t>
            </w:r>
            <w:r w:rsidRPr="007D22C9">
              <w:rPr>
                <w:color w:val="000000"/>
                <w:sz w:val="20"/>
                <w:szCs w:val="20"/>
              </w:rPr>
              <w:t xml:space="preserve"> г.На</w:t>
            </w:r>
            <w:r w:rsidR="00D302C3" w:rsidRPr="007D22C9">
              <w:rPr>
                <w:color w:val="000000"/>
                <w:sz w:val="20"/>
                <w:szCs w:val="20"/>
              </w:rPr>
              <w:t>-</w:t>
            </w:r>
            <w:r w:rsidRPr="007D22C9">
              <w:rPr>
                <w:color w:val="000000"/>
                <w:sz w:val="20"/>
                <w:szCs w:val="20"/>
              </w:rPr>
              <w:t xml:space="preserve">бережные Челны </w:t>
            </w:r>
          </w:p>
        </w:tc>
        <w:tc>
          <w:tcPr>
            <w:tcW w:w="1418" w:type="dxa"/>
            <w:tcBorders>
              <w:top w:val="nil"/>
              <w:left w:val="single" w:sz="4" w:space="0" w:color="auto"/>
              <w:bottom w:val="single" w:sz="4" w:space="0" w:color="auto"/>
              <w:right w:val="single" w:sz="4" w:space="0" w:color="auto"/>
            </w:tcBorders>
            <w:shd w:val="clear" w:color="auto" w:fill="auto"/>
            <w:hideMark/>
          </w:tcPr>
          <w:p w:rsidR="000B335A" w:rsidRPr="007D22C9" w:rsidRDefault="00A653E0" w:rsidP="00D302C3">
            <w:pPr>
              <w:autoSpaceDE/>
              <w:autoSpaceDN/>
              <w:adjustRightInd/>
              <w:spacing w:line="233" w:lineRule="auto"/>
              <w:jc w:val="both"/>
              <w:rPr>
                <w:color w:val="000000"/>
                <w:sz w:val="20"/>
                <w:szCs w:val="20"/>
              </w:rPr>
            </w:pPr>
            <w:r w:rsidRPr="007D22C9">
              <w:rPr>
                <w:color w:val="000000"/>
                <w:sz w:val="20"/>
                <w:szCs w:val="20"/>
              </w:rPr>
              <w:t>г.</w:t>
            </w:r>
            <w:r w:rsidR="000B335A" w:rsidRPr="007D22C9">
              <w:rPr>
                <w:color w:val="000000"/>
                <w:sz w:val="20"/>
                <w:szCs w:val="20"/>
              </w:rPr>
              <w:t xml:space="preserve">Набережные Челны, пр.Мира, </w:t>
            </w:r>
            <w:r w:rsidR="00C940D5" w:rsidRPr="007D22C9">
              <w:rPr>
                <w:color w:val="000000"/>
                <w:sz w:val="20"/>
                <w:szCs w:val="20"/>
              </w:rPr>
              <w:t>д.</w:t>
            </w:r>
            <w:r w:rsidR="000B335A" w:rsidRPr="007D22C9">
              <w:rPr>
                <w:color w:val="000000"/>
                <w:sz w:val="20"/>
                <w:szCs w:val="20"/>
              </w:rPr>
              <w:t>8</w:t>
            </w:r>
          </w:p>
        </w:tc>
        <w:tc>
          <w:tcPr>
            <w:tcW w:w="1418" w:type="dxa"/>
            <w:tcBorders>
              <w:top w:val="nil"/>
              <w:left w:val="nil"/>
              <w:bottom w:val="single" w:sz="4" w:space="0" w:color="auto"/>
              <w:right w:val="single" w:sz="4" w:space="0" w:color="auto"/>
            </w:tcBorders>
            <w:shd w:val="clear" w:color="auto" w:fill="auto"/>
            <w:hideMark/>
          </w:tcPr>
          <w:p w:rsidR="000B335A" w:rsidRPr="007D22C9" w:rsidRDefault="000B335A" w:rsidP="00D302C3">
            <w:pPr>
              <w:autoSpaceDE/>
              <w:autoSpaceDN/>
              <w:adjustRightInd/>
              <w:spacing w:line="233" w:lineRule="auto"/>
              <w:jc w:val="both"/>
              <w:rPr>
                <w:color w:val="000000"/>
                <w:sz w:val="20"/>
                <w:szCs w:val="20"/>
              </w:rPr>
            </w:pPr>
            <w:r w:rsidRPr="007D22C9">
              <w:rPr>
                <w:color w:val="000000"/>
                <w:sz w:val="20"/>
                <w:szCs w:val="20"/>
              </w:rPr>
              <w:t>г.Набережные Челны</w:t>
            </w:r>
          </w:p>
        </w:tc>
        <w:tc>
          <w:tcPr>
            <w:tcW w:w="851" w:type="dxa"/>
            <w:tcBorders>
              <w:top w:val="nil"/>
              <w:left w:val="nil"/>
              <w:bottom w:val="single" w:sz="4" w:space="0" w:color="auto"/>
              <w:right w:val="single" w:sz="4" w:space="0" w:color="auto"/>
            </w:tcBorders>
            <w:shd w:val="clear" w:color="auto" w:fill="auto"/>
            <w:hideMark/>
          </w:tcPr>
          <w:p w:rsidR="000B335A" w:rsidRPr="007D22C9" w:rsidRDefault="000B335A" w:rsidP="00D302C3">
            <w:pPr>
              <w:autoSpaceDE/>
              <w:autoSpaceDN/>
              <w:adjustRightInd/>
              <w:spacing w:line="233" w:lineRule="auto"/>
              <w:jc w:val="center"/>
              <w:rPr>
                <w:color w:val="000000"/>
                <w:sz w:val="20"/>
                <w:szCs w:val="20"/>
              </w:rPr>
            </w:pPr>
            <w:r w:rsidRPr="007D22C9">
              <w:rPr>
                <w:color w:val="000000"/>
                <w:sz w:val="20"/>
                <w:szCs w:val="20"/>
              </w:rPr>
              <w:t>64 912</w:t>
            </w:r>
          </w:p>
        </w:tc>
        <w:tc>
          <w:tcPr>
            <w:tcW w:w="850" w:type="dxa"/>
            <w:tcBorders>
              <w:top w:val="nil"/>
              <w:left w:val="nil"/>
              <w:bottom w:val="single" w:sz="4" w:space="0" w:color="auto"/>
              <w:right w:val="single" w:sz="4" w:space="0" w:color="auto"/>
            </w:tcBorders>
            <w:shd w:val="clear" w:color="auto" w:fill="auto"/>
            <w:hideMark/>
          </w:tcPr>
          <w:p w:rsidR="000B335A" w:rsidRPr="007D22C9" w:rsidRDefault="000B335A" w:rsidP="00D302C3">
            <w:pPr>
              <w:autoSpaceDE/>
              <w:autoSpaceDN/>
              <w:adjustRightInd/>
              <w:spacing w:line="233" w:lineRule="auto"/>
              <w:jc w:val="center"/>
              <w:rPr>
                <w:color w:val="000000"/>
                <w:sz w:val="20"/>
                <w:szCs w:val="20"/>
              </w:rPr>
            </w:pPr>
            <w:r w:rsidRPr="007D22C9">
              <w:rPr>
                <w:color w:val="000000"/>
                <w:sz w:val="20"/>
                <w:szCs w:val="20"/>
              </w:rPr>
              <w:t>2,16</w:t>
            </w:r>
          </w:p>
        </w:tc>
        <w:tc>
          <w:tcPr>
            <w:tcW w:w="1077" w:type="dxa"/>
            <w:tcBorders>
              <w:top w:val="nil"/>
              <w:left w:val="nil"/>
              <w:bottom w:val="single" w:sz="4" w:space="0" w:color="auto"/>
              <w:right w:val="single" w:sz="4" w:space="0" w:color="auto"/>
            </w:tcBorders>
            <w:shd w:val="clear" w:color="auto" w:fill="auto"/>
            <w:hideMark/>
          </w:tcPr>
          <w:p w:rsidR="000B335A" w:rsidRPr="007D22C9" w:rsidRDefault="00C05949" w:rsidP="00C05949">
            <w:pPr>
              <w:autoSpaceDE/>
              <w:autoSpaceDN/>
              <w:adjustRightInd/>
              <w:spacing w:line="233" w:lineRule="auto"/>
              <w:jc w:val="center"/>
              <w:rPr>
                <w:color w:val="000000"/>
                <w:sz w:val="20"/>
                <w:szCs w:val="20"/>
              </w:rPr>
            </w:pPr>
            <w:r w:rsidRPr="007D22C9">
              <w:rPr>
                <w:color w:val="000000"/>
                <w:sz w:val="20"/>
                <w:szCs w:val="20"/>
              </w:rPr>
              <w:t>2,25</w:t>
            </w:r>
          </w:p>
        </w:tc>
        <w:tc>
          <w:tcPr>
            <w:tcW w:w="992" w:type="dxa"/>
            <w:tcBorders>
              <w:top w:val="nil"/>
              <w:left w:val="nil"/>
              <w:bottom w:val="single" w:sz="4" w:space="0" w:color="auto"/>
              <w:right w:val="single" w:sz="4" w:space="0" w:color="auto"/>
            </w:tcBorders>
            <w:shd w:val="clear" w:color="auto" w:fill="auto"/>
            <w:hideMark/>
          </w:tcPr>
          <w:p w:rsidR="000B335A" w:rsidRPr="007D22C9" w:rsidRDefault="00C05949" w:rsidP="00C05949">
            <w:pPr>
              <w:autoSpaceDE/>
              <w:autoSpaceDN/>
              <w:adjustRightInd/>
              <w:spacing w:line="233" w:lineRule="auto"/>
              <w:jc w:val="center"/>
              <w:rPr>
                <w:color w:val="000000"/>
                <w:sz w:val="20"/>
                <w:szCs w:val="20"/>
              </w:rPr>
            </w:pPr>
            <w:r w:rsidRPr="007D22C9">
              <w:rPr>
                <w:color w:val="000000"/>
                <w:sz w:val="20"/>
                <w:szCs w:val="20"/>
              </w:rPr>
              <w:t>2,25</w:t>
            </w:r>
          </w:p>
        </w:tc>
        <w:tc>
          <w:tcPr>
            <w:tcW w:w="708" w:type="dxa"/>
            <w:tcBorders>
              <w:top w:val="nil"/>
              <w:left w:val="nil"/>
              <w:bottom w:val="single" w:sz="4" w:space="0" w:color="auto"/>
              <w:right w:val="single" w:sz="4" w:space="0" w:color="auto"/>
            </w:tcBorders>
            <w:shd w:val="clear" w:color="auto" w:fill="auto"/>
            <w:hideMark/>
          </w:tcPr>
          <w:p w:rsidR="000B335A" w:rsidRPr="007D22C9" w:rsidRDefault="00C05949" w:rsidP="00C05949">
            <w:pPr>
              <w:autoSpaceDE/>
              <w:autoSpaceDN/>
              <w:adjustRightInd/>
              <w:spacing w:line="233" w:lineRule="auto"/>
              <w:jc w:val="center"/>
              <w:rPr>
                <w:color w:val="000000"/>
                <w:sz w:val="20"/>
                <w:szCs w:val="20"/>
              </w:rPr>
            </w:pPr>
            <w:r w:rsidRPr="007D22C9">
              <w:rPr>
                <w:color w:val="000000"/>
                <w:sz w:val="20"/>
                <w:szCs w:val="20"/>
              </w:rPr>
              <w:t>2</w:t>
            </w:r>
          </w:p>
        </w:tc>
        <w:tc>
          <w:tcPr>
            <w:tcW w:w="993" w:type="dxa"/>
            <w:tcBorders>
              <w:top w:val="nil"/>
              <w:left w:val="nil"/>
              <w:bottom w:val="single" w:sz="4" w:space="0" w:color="auto"/>
              <w:right w:val="single" w:sz="4" w:space="0" w:color="auto"/>
            </w:tcBorders>
            <w:shd w:val="clear" w:color="auto" w:fill="auto"/>
            <w:hideMark/>
          </w:tcPr>
          <w:p w:rsidR="000B335A" w:rsidRPr="007D22C9" w:rsidRDefault="00C05949" w:rsidP="00C05949">
            <w:pPr>
              <w:autoSpaceDE/>
              <w:autoSpaceDN/>
              <w:adjustRightInd/>
              <w:spacing w:line="233" w:lineRule="auto"/>
              <w:jc w:val="center"/>
              <w:rPr>
                <w:color w:val="000000"/>
                <w:sz w:val="20"/>
                <w:szCs w:val="20"/>
              </w:rPr>
            </w:pPr>
            <w:r w:rsidRPr="007D22C9">
              <w:rPr>
                <w:color w:val="000000"/>
                <w:sz w:val="20"/>
                <w:szCs w:val="20"/>
              </w:rPr>
              <w:t>0</w:t>
            </w:r>
          </w:p>
        </w:tc>
      </w:tr>
      <w:tr w:rsidR="000B335A" w:rsidRPr="007D22C9" w:rsidTr="00BD3B9A">
        <w:trPr>
          <w:trHeight w:val="20"/>
        </w:trPr>
        <w:tc>
          <w:tcPr>
            <w:tcW w:w="533" w:type="dxa"/>
            <w:tcBorders>
              <w:top w:val="nil"/>
              <w:left w:val="single" w:sz="4" w:space="0" w:color="auto"/>
              <w:bottom w:val="single" w:sz="4" w:space="0" w:color="auto"/>
              <w:right w:val="single" w:sz="4" w:space="0" w:color="auto"/>
            </w:tcBorders>
            <w:shd w:val="clear" w:color="auto" w:fill="auto"/>
            <w:hideMark/>
          </w:tcPr>
          <w:p w:rsidR="000B335A" w:rsidRPr="007D22C9" w:rsidRDefault="000B335A" w:rsidP="00D302C3">
            <w:pPr>
              <w:autoSpaceDE/>
              <w:autoSpaceDN/>
              <w:adjustRightInd/>
              <w:spacing w:line="233" w:lineRule="auto"/>
              <w:jc w:val="center"/>
              <w:rPr>
                <w:color w:val="000000"/>
                <w:sz w:val="20"/>
                <w:szCs w:val="20"/>
              </w:rPr>
            </w:pPr>
            <w:r w:rsidRPr="007D22C9">
              <w:rPr>
                <w:color w:val="000000"/>
                <w:sz w:val="20"/>
                <w:szCs w:val="20"/>
              </w:rPr>
              <w:t>45</w:t>
            </w:r>
            <w:r w:rsidR="003B1A7B" w:rsidRPr="007D22C9">
              <w:rPr>
                <w:color w:val="000000"/>
                <w:sz w:val="20"/>
                <w:szCs w:val="20"/>
              </w:rPr>
              <w:t>.</w:t>
            </w:r>
          </w:p>
        </w:tc>
        <w:tc>
          <w:tcPr>
            <w:tcW w:w="1730" w:type="dxa"/>
            <w:tcBorders>
              <w:top w:val="nil"/>
              <w:left w:val="nil"/>
              <w:bottom w:val="single" w:sz="4" w:space="0" w:color="auto"/>
              <w:right w:val="nil"/>
            </w:tcBorders>
            <w:shd w:val="clear" w:color="auto" w:fill="auto"/>
            <w:hideMark/>
          </w:tcPr>
          <w:p w:rsidR="000B335A" w:rsidRPr="007D22C9" w:rsidRDefault="000B335A" w:rsidP="00D302C3">
            <w:pPr>
              <w:autoSpaceDE/>
              <w:autoSpaceDN/>
              <w:adjustRightInd/>
              <w:spacing w:line="233" w:lineRule="auto"/>
              <w:jc w:val="both"/>
              <w:rPr>
                <w:color w:val="000000"/>
                <w:sz w:val="20"/>
                <w:szCs w:val="20"/>
              </w:rPr>
            </w:pPr>
            <w:r w:rsidRPr="007D22C9">
              <w:rPr>
                <w:color w:val="000000"/>
                <w:sz w:val="20"/>
                <w:szCs w:val="20"/>
              </w:rPr>
              <w:t xml:space="preserve">ГАУЗ </w:t>
            </w:r>
            <w:r w:rsidR="002F7358" w:rsidRPr="007D22C9">
              <w:rPr>
                <w:color w:val="000000"/>
                <w:sz w:val="20"/>
                <w:szCs w:val="20"/>
              </w:rPr>
              <w:t>«</w:t>
            </w:r>
            <w:r w:rsidRPr="007D22C9">
              <w:rPr>
                <w:color w:val="000000"/>
                <w:sz w:val="20"/>
                <w:szCs w:val="20"/>
              </w:rPr>
              <w:t>Городская поликлиника №</w:t>
            </w:r>
            <w:r w:rsidR="00D302C3" w:rsidRPr="007D22C9">
              <w:rPr>
                <w:color w:val="000000"/>
                <w:sz w:val="20"/>
                <w:szCs w:val="20"/>
              </w:rPr>
              <w:t> </w:t>
            </w:r>
            <w:r w:rsidRPr="007D22C9">
              <w:rPr>
                <w:color w:val="000000"/>
                <w:sz w:val="20"/>
                <w:szCs w:val="20"/>
              </w:rPr>
              <w:t>7</w:t>
            </w:r>
            <w:r w:rsidR="002F7358" w:rsidRPr="007D22C9">
              <w:rPr>
                <w:color w:val="000000"/>
                <w:sz w:val="20"/>
                <w:szCs w:val="20"/>
              </w:rPr>
              <w:t>»</w:t>
            </w:r>
            <w:r w:rsidRPr="007D22C9">
              <w:rPr>
                <w:color w:val="000000"/>
                <w:sz w:val="20"/>
                <w:szCs w:val="20"/>
              </w:rPr>
              <w:t xml:space="preserve">  г.На</w:t>
            </w:r>
            <w:r w:rsidR="009D2BAB" w:rsidRPr="007D22C9">
              <w:rPr>
                <w:color w:val="000000"/>
                <w:sz w:val="20"/>
                <w:szCs w:val="20"/>
              </w:rPr>
              <w:t>-</w:t>
            </w:r>
            <w:r w:rsidRPr="007D22C9">
              <w:rPr>
                <w:color w:val="000000"/>
                <w:sz w:val="20"/>
                <w:szCs w:val="20"/>
              </w:rPr>
              <w:t>бережные Челны</w:t>
            </w:r>
          </w:p>
        </w:tc>
        <w:tc>
          <w:tcPr>
            <w:tcW w:w="1418" w:type="dxa"/>
            <w:tcBorders>
              <w:top w:val="nil"/>
              <w:left w:val="single" w:sz="4" w:space="0" w:color="auto"/>
              <w:bottom w:val="single" w:sz="4" w:space="0" w:color="auto"/>
              <w:right w:val="single" w:sz="4" w:space="0" w:color="auto"/>
            </w:tcBorders>
            <w:shd w:val="clear" w:color="auto" w:fill="auto"/>
            <w:hideMark/>
          </w:tcPr>
          <w:p w:rsidR="000B335A" w:rsidRPr="007D22C9" w:rsidRDefault="00A653E0" w:rsidP="00D302C3">
            <w:pPr>
              <w:autoSpaceDE/>
              <w:autoSpaceDN/>
              <w:adjustRightInd/>
              <w:spacing w:line="233" w:lineRule="auto"/>
              <w:jc w:val="both"/>
              <w:rPr>
                <w:color w:val="000000"/>
                <w:sz w:val="20"/>
                <w:szCs w:val="20"/>
              </w:rPr>
            </w:pPr>
            <w:r w:rsidRPr="007D22C9">
              <w:rPr>
                <w:color w:val="000000"/>
                <w:sz w:val="20"/>
                <w:szCs w:val="20"/>
              </w:rPr>
              <w:t>г.</w:t>
            </w:r>
            <w:r w:rsidR="000B335A" w:rsidRPr="007D22C9">
              <w:rPr>
                <w:color w:val="000000"/>
                <w:sz w:val="20"/>
                <w:szCs w:val="20"/>
              </w:rPr>
              <w:t xml:space="preserve">Набережные Челны, </w:t>
            </w:r>
            <w:r w:rsidR="00A96264" w:rsidRPr="007D22C9">
              <w:rPr>
                <w:color w:val="000000"/>
                <w:sz w:val="20"/>
                <w:szCs w:val="20"/>
              </w:rPr>
              <w:t>пр.</w:t>
            </w:r>
            <w:r w:rsidR="000B335A" w:rsidRPr="007D22C9">
              <w:rPr>
                <w:color w:val="000000"/>
                <w:sz w:val="20"/>
                <w:szCs w:val="20"/>
              </w:rPr>
              <w:t xml:space="preserve">Яшьлек, </w:t>
            </w:r>
            <w:r w:rsidR="00C940D5" w:rsidRPr="007D22C9">
              <w:rPr>
                <w:color w:val="000000"/>
                <w:sz w:val="20"/>
                <w:szCs w:val="20"/>
              </w:rPr>
              <w:t>д.</w:t>
            </w:r>
            <w:r w:rsidR="000B335A" w:rsidRPr="007D22C9">
              <w:rPr>
                <w:color w:val="000000"/>
                <w:sz w:val="20"/>
                <w:szCs w:val="20"/>
              </w:rPr>
              <w:t>13</w:t>
            </w:r>
          </w:p>
        </w:tc>
        <w:tc>
          <w:tcPr>
            <w:tcW w:w="1418" w:type="dxa"/>
            <w:tcBorders>
              <w:top w:val="nil"/>
              <w:left w:val="nil"/>
              <w:bottom w:val="single" w:sz="4" w:space="0" w:color="auto"/>
              <w:right w:val="single" w:sz="4" w:space="0" w:color="auto"/>
            </w:tcBorders>
            <w:shd w:val="clear" w:color="auto" w:fill="auto"/>
            <w:hideMark/>
          </w:tcPr>
          <w:p w:rsidR="000B335A" w:rsidRPr="007D22C9" w:rsidRDefault="000B335A" w:rsidP="00D302C3">
            <w:pPr>
              <w:autoSpaceDE/>
              <w:autoSpaceDN/>
              <w:adjustRightInd/>
              <w:spacing w:line="233" w:lineRule="auto"/>
              <w:jc w:val="both"/>
              <w:rPr>
                <w:color w:val="000000"/>
                <w:sz w:val="20"/>
                <w:szCs w:val="20"/>
              </w:rPr>
            </w:pPr>
            <w:r w:rsidRPr="007D22C9">
              <w:rPr>
                <w:color w:val="000000"/>
                <w:sz w:val="20"/>
                <w:szCs w:val="20"/>
              </w:rPr>
              <w:t>г.Набережные Челны</w:t>
            </w:r>
          </w:p>
        </w:tc>
        <w:tc>
          <w:tcPr>
            <w:tcW w:w="851" w:type="dxa"/>
            <w:tcBorders>
              <w:top w:val="nil"/>
              <w:left w:val="nil"/>
              <w:bottom w:val="single" w:sz="4" w:space="0" w:color="auto"/>
              <w:right w:val="single" w:sz="4" w:space="0" w:color="auto"/>
            </w:tcBorders>
            <w:shd w:val="clear" w:color="auto" w:fill="auto"/>
            <w:hideMark/>
          </w:tcPr>
          <w:p w:rsidR="000B335A" w:rsidRPr="007D22C9" w:rsidRDefault="000B335A" w:rsidP="00D302C3">
            <w:pPr>
              <w:autoSpaceDE/>
              <w:autoSpaceDN/>
              <w:adjustRightInd/>
              <w:spacing w:line="233" w:lineRule="auto"/>
              <w:jc w:val="center"/>
              <w:rPr>
                <w:color w:val="000000"/>
                <w:sz w:val="20"/>
                <w:szCs w:val="20"/>
              </w:rPr>
            </w:pPr>
            <w:r w:rsidRPr="007D22C9">
              <w:rPr>
                <w:color w:val="000000"/>
                <w:sz w:val="20"/>
                <w:szCs w:val="20"/>
              </w:rPr>
              <w:t>68 979</w:t>
            </w:r>
          </w:p>
        </w:tc>
        <w:tc>
          <w:tcPr>
            <w:tcW w:w="850" w:type="dxa"/>
            <w:tcBorders>
              <w:top w:val="nil"/>
              <w:left w:val="nil"/>
              <w:bottom w:val="single" w:sz="4" w:space="0" w:color="auto"/>
              <w:right w:val="single" w:sz="4" w:space="0" w:color="auto"/>
            </w:tcBorders>
            <w:shd w:val="clear" w:color="auto" w:fill="auto"/>
            <w:hideMark/>
          </w:tcPr>
          <w:p w:rsidR="000B335A" w:rsidRPr="007D22C9" w:rsidRDefault="000B335A" w:rsidP="00D302C3">
            <w:pPr>
              <w:autoSpaceDE/>
              <w:autoSpaceDN/>
              <w:adjustRightInd/>
              <w:spacing w:line="233" w:lineRule="auto"/>
              <w:jc w:val="center"/>
              <w:rPr>
                <w:color w:val="000000"/>
                <w:sz w:val="20"/>
                <w:szCs w:val="20"/>
              </w:rPr>
            </w:pPr>
            <w:r w:rsidRPr="007D22C9">
              <w:rPr>
                <w:color w:val="000000"/>
                <w:sz w:val="20"/>
                <w:szCs w:val="20"/>
              </w:rPr>
              <w:t>2,30</w:t>
            </w:r>
          </w:p>
        </w:tc>
        <w:tc>
          <w:tcPr>
            <w:tcW w:w="1077" w:type="dxa"/>
            <w:tcBorders>
              <w:top w:val="nil"/>
              <w:left w:val="nil"/>
              <w:bottom w:val="single" w:sz="4" w:space="0" w:color="auto"/>
              <w:right w:val="single" w:sz="4" w:space="0" w:color="auto"/>
            </w:tcBorders>
            <w:shd w:val="clear" w:color="auto" w:fill="auto"/>
            <w:hideMark/>
          </w:tcPr>
          <w:p w:rsidR="000B335A" w:rsidRPr="007D22C9" w:rsidRDefault="00FE35D7" w:rsidP="00FE35D7">
            <w:pPr>
              <w:autoSpaceDE/>
              <w:autoSpaceDN/>
              <w:adjustRightInd/>
              <w:spacing w:line="233" w:lineRule="auto"/>
              <w:jc w:val="center"/>
              <w:rPr>
                <w:color w:val="000000"/>
                <w:sz w:val="20"/>
                <w:szCs w:val="20"/>
              </w:rPr>
            </w:pPr>
            <w:r w:rsidRPr="007D22C9">
              <w:rPr>
                <w:color w:val="000000"/>
                <w:sz w:val="20"/>
                <w:szCs w:val="20"/>
              </w:rPr>
              <w:t>1</w:t>
            </w:r>
            <w:r w:rsidR="000B335A" w:rsidRPr="007D22C9">
              <w:rPr>
                <w:color w:val="000000"/>
                <w:sz w:val="20"/>
                <w:szCs w:val="20"/>
              </w:rPr>
              <w:t>,5</w:t>
            </w:r>
            <w:r w:rsidRPr="007D22C9">
              <w:rPr>
                <w:color w:val="000000"/>
                <w:sz w:val="20"/>
                <w:szCs w:val="20"/>
              </w:rPr>
              <w:t>0</w:t>
            </w:r>
          </w:p>
        </w:tc>
        <w:tc>
          <w:tcPr>
            <w:tcW w:w="992" w:type="dxa"/>
            <w:tcBorders>
              <w:top w:val="nil"/>
              <w:left w:val="nil"/>
              <w:bottom w:val="single" w:sz="4" w:space="0" w:color="auto"/>
              <w:right w:val="single" w:sz="4" w:space="0" w:color="auto"/>
            </w:tcBorders>
            <w:shd w:val="clear" w:color="auto" w:fill="auto"/>
            <w:hideMark/>
          </w:tcPr>
          <w:p w:rsidR="000B335A" w:rsidRPr="007D22C9" w:rsidRDefault="00FE35D7" w:rsidP="00FE35D7">
            <w:pPr>
              <w:autoSpaceDE/>
              <w:autoSpaceDN/>
              <w:adjustRightInd/>
              <w:spacing w:line="233" w:lineRule="auto"/>
              <w:jc w:val="center"/>
              <w:rPr>
                <w:color w:val="000000"/>
                <w:sz w:val="20"/>
                <w:szCs w:val="20"/>
              </w:rPr>
            </w:pPr>
            <w:r w:rsidRPr="007D22C9">
              <w:rPr>
                <w:color w:val="000000"/>
                <w:sz w:val="20"/>
                <w:szCs w:val="20"/>
              </w:rPr>
              <w:t>1</w:t>
            </w:r>
            <w:r w:rsidR="000B335A" w:rsidRPr="007D22C9">
              <w:rPr>
                <w:color w:val="000000"/>
                <w:sz w:val="20"/>
                <w:szCs w:val="20"/>
              </w:rPr>
              <w:t>,5</w:t>
            </w:r>
            <w:r w:rsidRPr="007D22C9">
              <w:rPr>
                <w:color w:val="000000"/>
                <w:sz w:val="20"/>
                <w:szCs w:val="20"/>
              </w:rPr>
              <w:t>0</w:t>
            </w:r>
          </w:p>
        </w:tc>
        <w:tc>
          <w:tcPr>
            <w:tcW w:w="708" w:type="dxa"/>
            <w:tcBorders>
              <w:top w:val="nil"/>
              <w:left w:val="nil"/>
              <w:bottom w:val="single" w:sz="4" w:space="0" w:color="auto"/>
              <w:right w:val="single" w:sz="4" w:space="0" w:color="auto"/>
            </w:tcBorders>
            <w:shd w:val="clear" w:color="auto" w:fill="auto"/>
            <w:hideMark/>
          </w:tcPr>
          <w:p w:rsidR="000B335A" w:rsidRPr="007D22C9" w:rsidRDefault="000B335A" w:rsidP="00D302C3">
            <w:pPr>
              <w:autoSpaceDE/>
              <w:autoSpaceDN/>
              <w:adjustRightInd/>
              <w:spacing w:line="233" w:lineRule="auto"/>
              <w:jc w:val="center"/>
              <w:rPr>
                <w:color w:val="000000"/>
                <w:sz w:val="20"/>
                <w:szCs w:val="20"/>
              </w:rPr>
            </w:pPr>
            <w:r w:rsidRPr="007D22C9">
              <w:rPr>
                <w:color w:val="000000"/>
                <w:sz w:val="20"/>
                <w:szCs w:val="20"/>
              </w:rPr>
              <w:t>1</w:t>
            </w:r>
          </w:p>
        </w:tc>
        <w:tc>
          <w:tcPr>
            <w:tcW w:w="993" w:type="dxa"/>
            <w:tcBorders>
              <w:top w:val="nil"/>
              <w:left w:val="nil"/>
              <w:bottom w:val="single" w:sz="4" w:space="0" w:color="auto"/>
              <w:right w:val="single" w:sz="4" w:space="0" w:color="auto"/>
            </w:tcBorders>
            <w:shd w:val="clear" w:color="auto" w:fill="auto"/>
            <w:hideMark/>
          </w:tcPr>
          <w:p w:rsidR="000B335A" w:rsidRPr="007D22C9" w:rsidRDefault="00FE35D7" w:rsidP="00FE35D7">
            <w:pPr>
              <w:autoSpaceDE/>
              <w:autoSpaceDN/>
              <w:adjustRightInd/>
              <w:spacing w:line="233" w:lineRule="auto"/>
              <w:jc w:val="center"/>
              <w:rPr>
                <w:color w:val="000000"/>
                <w:sz w:val="20"/>
                <w:szCs w:val="20"/>
              </w:rPr>
            </w:pPr>
            <w:r w:rsidRPr="007D22C9">
              <w:rPr>
                <w:color w:val="000000"/>
                <w:sz w:val="20"/>
                <w:szCs w:val="20"/>
              </w:rPr>
              <w:t>0</w:t>
            </w:r>
          </w:p>
        </w:tc>
      </w:tr>
      <w:tr w:rsidR="000B335A" w:rsidRPr="007D22C9" w:rsidTr="00BD3B9A">
        <w:trPr>
          <w:trHeight w:val="20"/>
        </w:trPr>
        <w:tc>
          <w:tcPr>
            <w:tcW w:w="533" w:type="dxa"/>
            <w:tcBorders>
              <w:top w:val="nil"/>
              <w:left w:val="single" w:sz="4" w:space="0" w:color="auto"/>
              <w:bottom w:val="single" w:sz="4" w:space="0" w:color="auto"/>
              <w:right w:val="single" w:sz="4" w:space="0" w:color="auto"/>
            </w:tcBorders>
            <w:shd w:val="clear" w:color="auto" w:fill="auto"/>
            <w:hideMark/>
          </w:tcPr>
          <w:p w:rsidR="000B335A" w:rsidRPr="007D22C9" w:rsidRDefault="000B335A" w:rsidP="00D302C3">
            <w:pPr>
              <w:autoSpaceDE/>
              <w:autoSpaceDN/>
              <w:adjustRightInd/>
              <w:spacing w:line="233" w:lineRule="auto"/>
              <w:jc w:val="center"/>
              <w:rPr>
                <w:color w:val="000000"/>
                <w:sz w:val="20"/>
                <w:szCs w:val="20"/>
              </w:rPr>
            </w:pPr>
            <w:r w:rsidRPr="007D22C9">
              <w:rPr>
                <w:color w:val="000000"/>
                <w:sz w:val="20"/>
                <w:szCs w:val="20"/>
              </w:rPr>
              <w:t>46</w:t>
            </w:r>
            <w:r w:rsidR="003B1A7B" w:rsidRPr="007D22C9">
              <w:rPr>
                <w:color w:val="000000"/>
                <w:sz w:val="20"/>
                <w:szCs w:val="20"/>
              </w:rPr>
              <w:t>.</w:t>
            </w:r>
          </w:p>
        </w:tc>
        <w:tc>
          <w:tcPr>
            <w:tcW w:w="1730" w:type="dxa"/>
            <w:tcBorders>
              <w:top w:val="nil"/>
              <w:left w:val="nil"/>
              <w:bottom w:val="single" w:sz="4" w:space="0" w:color="auto"/>
              <w:right w:val="nil"/>
            </w:tcBorders>
            <w:shd w:val="clear" w:color="auto" w:fill="auto"/>
            <w:hideMark/>
          </w:tcPr>
          <w:p w:rsidR="000B335A" w:rsidRPr="007D22C9" w:rsidRDefault="000B335A" w:rsidP="00D302C3">
            <w:pPr>
              <w:autoSpaceDE/>
              <w:autoSpaceDN/>
              <w:adjustRightInd/>
              <w:spacing w:line="233" w:lineRule="auto"/>
              <w:jc w:val="both"/>
              <w:rPr>
                <w:color w:val="000000"/>
                <w:sz w:val="20"/>
                <w:szCs w:val="20"/>
              </w:rPr>
            </w:pPr>
            <w:r w:rsidRPr="007D22C9">
              <w:rPr>
                <w:color w:val="000000"/>
                <w:sz w:val="20"/>
                <w:szCs w:val="20"/>
              </w:rPr>
              <w:t xml:space="preserve">ГАУЗ </w:t>
            </w:r>
            <w:r w:rsidR="002F7358" w:rsidRPr="007D22C9">
              <w:rPr>
                <w:color w:val="000000"/>
                <w:sz w:val="20"/>
                <w:szCs w:val="20"/>
              </w:rPr>
              <w:t>«</w:t>
            </w:r>
            <w:r w:rsidRPr="007D22C9">
              <w:rPr>
                <w:color w:val="000000"/>
                <w:sz w:val="20"/>
                <w:szCs w:val="20"/>
              </w:rPr>
              <w:t>Госпиталь для ветеранов войн</w:t>
            </w:r>
            <w:r w:rsidR="002F7358" w:rsidRPr="007D22C9">
              <w:rPr>
                <w:color w:val="000000"/>
                <w:sz w:val="20"/>
                <w:szCs w:val="20"/>
              </w:rPr>
              <w:t>»</w:t>
            </w:r>
            <w:r w:rsidRPr="007D22C9">
              <w:rPr>
                <w:color w:val="000000"/>
                <w:sz w:val="20"/>
                <w:szCs w:val="20"/>
              </w:rPr>
              <w:t xml:space="preserve"> г.Набережные Челны</w:t>
            </w:r>
          </w:p>
        </w:tc>
        <w:tc>
          <w:tcPr>
            <w:tcW w:w="1418" w:type="dxa"/>
            <w:tcBorders>
              <w:top w:val="nil"/>
              <w:left w:val="single" w:sz="4" w:space="0" w:color="auto"/>
              <w:bottom w:val="single" w:sz="4" w:space="0" w:color="auto"/>
              <w:right w:val="single" w:sz="4" w:space="0" w:color="auto"/>
            </w:tcBorders>
            <w:shd w:val="clear" w:color="auto" w:fill="auto"/>
            <w:hideMark/>
          </w:tcPr>
          <w:p w:rsidR="000B335A" w:rsidRPr="007D22C9" w:rsidRDefault="00A653E0" w:rsidP="00D302C3">
            <w:pPr>
              <w:autoSpaceDE/>
              <w:autoSpaceDN/>
              <w:adjustRightInd/>
              <w:spacing w:line="233" w:lineRule="auto"/>
              <w:jc w:val="both"/>
              <w:rPr>
                <w:color w:val="000000"/>
                <w:sz w:val="20"/>
                <w:szCs w:val="20"/>
              </w:rPr>
            </w:pPr>
            <w:r w:rsidRPr="007D22C9">
              <w:rPr>
                <w:color w:val="000000"/>
                <w:sz w:val="20"/>
                <w:szCs w:val="20"/>
              </w:rPr>
              <w:t>г.</w:t>
            </w:r>
            <w:r w:rsidR="000B335A" w:rsidRPr="007D22C9">
              <w:rPr>
                <w:color w:val="000000"/>
                <w:sz w:val="20"/>
                <w:szCs w:val="20"/>
              </w:rPr>
              <w:t xml:space="preserve">Набережные Челны, </w:t>
            </w:r>
            <w:r w:rsidR="002F6E91" w:rsidRPr="007D22C9">
              <w:rPr>
                <w:color w:val="000000"/>
                <w:sz w:val="20"/>
                <w:szCs w:val="20"/>
              </w:rPr>
              <w:t>ул.</w:t>
            </w:r>
            <w:r w:rsidR="000B335A" w:rsidRPr="007D22C9">
              <w:rPr>
                <w:color w:val="000000"/>
                <w:sz w:val="20"/>
                <w:szCs w:val="20"/>
              </w:rPr>
              <w:t xml:space="preserve">Тукая, </w:t>
            </w:r>
            <w:r w:rsidR="00C940D5" w:rsidRPr="007D22C9">
              <w:rPr>
                <w:color w:val="000000"/>
                <w:sz w:val="20"/>
                <w:szCs w:val="20"/>
              </w:rPr>
              <w:t>д.</w:t>
            </w:r>
            <w:r w:rsidR="000B335A" w:rsidRPr="007D22C9">
              <w:rPr>
                <w:color w:val="000000"/>
                <w:sz w:val="20"/>
                <w:szCs w:val="20"/>
              </w:rPr>
              <w:t>39</w:t>
            </w:r>
          </w:p>
        </w:tc>
        <w:tc>
          <w:tcPr>
            <w:tcW w:w="1418" w:type="dxa"/>
            <w:tcBorders>
              <w:top w:val="nil"/>
              <w:left w:val="nil"/>
              <w:bottom w:val="single" w:sz="4" w:space="0" w:color="auto"/>
              <w:right w:val="single" w:sz="4" w:space="0" w:color="auto"/>
            </w:tcBorders>
            <w:shd w:val="clear" w:color="auto" w:fill="auto"/>
            <w:hideMark/>
          </w:tcPr>
          <w:p w:rsidR="000B335A" w:rsidRPr="007D22C9" w:rsidRDefault="000B335A" w:rsidP="00D302C3">
            <w:pPr>
              <w:autoSpaceDE/>
              <w:autoSpaceDN/>
              <w:adjustRightInd/>
              <w:spacing w:line="233" w:lineRule="auto"/>
              <w:jc w:val="both"/>
              <w:rPr>
                <w:color w:val="000000"/>
                <w:sz w:val="20"/>
                <w:szCs w:val="20"/>
              </w:rPr>
            </w:pPr>
            <w:r w:rsidRPr="007D22C9">
              <w:rPr>
                <w:color w:val="000000"/>
                <w:sz w:val="20"/>
                <w:szCs w:val="20"/>
              </w:rPr>
              <w:t>г.Набережные Челны</w:t>
            </w:r>
          </w:p>
        </w:tc>
        <w:tc>
          <w:tcPr>
            <w:tcW w:w="851" w:type="dxa"/>
            <w:tcBorders>
              <w:top w:val="nil"/>
              <w:left w:val="nil"/>
              <w:bottom w:val="single" w:sz="4" w:space="0" w:color="auto"/>
              <w:right w:val="single" w:sz="4" w:space="0" w:color="auto"/>
            </w:tcBorders>
            <w:shd w:val="clear" w:color="auto" w:fill="auto"/>
            <w:hideMark/>
          </w:tcPr>
          <w:p w:rsidR="000B335A" w:rsidRPr="007D22C9" w:rsidRDefault="000B335A" w:rsidP="00D302C3">
            <w:pPr>
              <w:autoSpaceDE/>
              <w:autoSpaceDN/>
              <w:adjustRightInd/>
              <w:spacing w:line="233" w:lineRule="auto"/>
              <w:jc w:val="center"/>
              <w:rPr>
                <w:color w:val="000000"/>
                <w:sz w:val="20"/>
                <w:szCs w:val="20"/>
              </w:rPr>
            </w:pPr>
            <w:r w:rsidRPr="007D22C9">
              <w:rPr>
                <w:color w:val="000000"/>
                <w:sz w:val="20"/>
                <w:szCs w:val="20"/>
              </w:rPr>
              <w:t>24 843</w:t>
            </w:r>
          </w:p>
        </w:tc>
        <w:tc>
          <w:tcPr>
            <w:tcW w:w="850" w:type="dxa"/>
            <w:tcBorders>
              <w:top w:val="nil"/>
              <w:left w:val="nil"/>
              <w:bottom w:val="single" w:sz="4" w:space="0" w:color="auto"/>
              <w:right w:val="single" w:sz="4" w:space="0" w:color="auto"/>
            </w:tcBorders>
            <w:shd w:val="clear" w:color="auto" w:fill="auto"/>
            <w:hideMark/>
          </w:tcPr>
          <w:p w:rsidR="000B335A" w:rsidRPr="007D22C9" w:rsidRDefault="000B335A" w:rsidP="00D302C3">
            <w:pPr>
              <w:autoSpaceDE/>
              <w:autoSpaceDN/>
              <w:adjustRightInd/>
              <w:spacing w:line="233" w:lineRule="auto"/>
              <w:jc w:val="center"/>
              <w:rPr>
                <w:color w:val="000000"/>
                <w:sz w:val="20"/>
                <w:szCs w:val="20"/>
              </w:rPr>
            </w:pPr>
            <w:r w:rsidRPr="007D22C9">
              <w:rPr>
                <w:color w:val="000000"/>
                <w:sz w:val="20"/>
                <w:szCs w:val="20"/>
              </w:rPr>
              <w:t>0,83</w:t>
            </w:r>
          </w:p>
        </w:tc>
        <w:tc>
          <w:tcPr>
            <w:tcW w:w="1077" w:type="dxa"/>
            <w:tcBorders>
              <w:top w:val="nil"/>
              <w:left w:val="nil"/>
              <w:bottom w:val="single" w:sz="4" w:space="0" w:color="auto"/>
              <w:right w:val="single" w:sz="4" w:space="0" w:color="auto"/>
            </w:tcBorders>
            <w:shd w:val="clear" w:color="auto" w:fill="auto"/>
            <w:hideMark/>
          </w:tcPr>
          <w:p w:rsidR="000B335A" w:rsidRPr="007D22C9" w:rsidRDefault="0047014B" w:rsidP="0047014B">
            <w:pPr>
              <w:autoSpaceDE/>
              <w:autoSpaceDN/>
              <w:adjustRightInd/>
              <w:spacing w:line="233" w:lineRule="auto"/>
              <w:jc w:val="center"/>
              <w:rPr>
                <w:color w:val="000000"/>
                <w:sz w:val="20"/>
                <w:szCs w:val="20"/>
              </w:rPr>
            </w:pPr>
            <w:r w:rsidRPr="007D22C9">
              <w:rPr>
                <w:color w:val="000000"/>
                <w:sz w:val="20"/>
                <w:szCs w:val="20"/>
              </w:rPr>
              <w:t>1</w:t>
            </w:r>
            <w:r w:rsidR="000B335A" w:rsidRPr="007D22C9">
              <w:rPr>
                <w:color w:val="000000"/>
                <w:sz w:val="20"/>
                <w:szCs w:val="20"/>
              </w:rPr>
              <w:t>,</w:t>
            </w:r>
            <w:r w:rsidRPr="007D22C9">
              <w:rPr>
                <w:color w:val="000000"/>
                <w:sz w:val="20"/>
                <w:szCs w:val="20"/>
              </w:rPr>
              <w:t>2</w:t>
            </w:r>
            <w:r w:rsidR="000B335A" w:rsidRPr="007D22C9">
              <w:rPr>
                <w:color w:val="000000"/>
                <w:sz w:val="20"/>
                <w:szCs w:val="20"/>
              </w:rPr>
              <w:t>5</w:t>
            </w:r>
          </w:p>
        </w:tc>
        <w:tc>
          <w:tcPr>
            <w:tcW w:w="992" w:type="dxa"/>
            <w:tcBorders>
              <w:top w:val="nil"/>
              <w:left w:val="nil"/>
              <w:bottom w:val="single" w:sz="4" w:space="0" w:color="auto"/>
              <w:right w:val="single" w:sz="4" w:space="0" w:color="auto"/>
            </w:tcBorders>
            <w:shd w:val="clear" w:color="auto" w:fill="auto"/>
            <w:hideMark/>
          </w:tcPr>
          <w:p w:rsidR="000B335A" w:rsidRPr="007D22C9" w:rsidRDefault="0047014B" w:rsidP="0047014B">
            <w:pPr>
              <w:autoSpaceDE/>
              <w:autoSpaceDN/>
              <w:adjustRightInd/>
              <w:spacing w:line="233" w:lineRule="auto"/>
              <w:jc w:val="center"/>
              <w:rPr>
                <w:color w:val="000000"/>
                <w:sz w:val="20"/>
                <w:szCs w:val="20"/>
              </w:rPr>
            </w:pPr>
            <w:r w:rsidRPr="007D22C9">
              <w:rPr>
                <w:color w:val="000000"/>
                <w:sz w:val="20"/>
                <w:szCs w:val="20"/>
              </w:rPr>
              <w:t>1</w:t>
            </w:r>
            <w:r w:rsidR="000B335A" w:rsidRPr="007D22C9">
              <w:rPr>
                <w:color w:val="000000"/>
                <w:sz w:val="20"/>
                <w:szCs w:val="20"/>
              </w:rPr>
              <w:t>,</w:t>
            </w:r>
            <w:r w:rsidRPr="007D22C9">
              <w:rPr>
                <w:color w:val="000000"/>
                <w:sz w:val="20"/>
                <w:szCs w:val="20"/>
              </w:rPr>
              <w:t>2</w:t>
            </w:r>
            <w:r w:rsidR="000B335A" w:rsidRPr="007D22C9">
              <w:rPr>
                <w:color w:val="000000"/>
                <w:sz w:val="20"/>
                <w:szCs w:val="20"/>
              </w:rPr>
              <w:t>5</w:t>
            </w:r>
          </w:p>
        </w:tc>
        <w:tc>
          <w:tcPr>
            <w:tcW w:w="708" w:type="dxa"/>
            <w:tcBorders>
              <w:top w:val="nil"/>
              <w:left w:val="nil"/>
              <w:bottom w:val="single" w:sz="4" w:space="0" w:color="auto"/>
              <w:right w:val="single" w:sz="4" w:space="0" w:color="auto"/>
            </w:tcBorders>
            <w:shd w:val="clear" w:color="auto" w:fill="auto"/>
            <w:hideMark/>
          </w:tcPr>
          <w:p w:rsidR="000B335A" w:rsidRPr="007D22C9" w:rsidRDefault="000B335A" w:rsidP="00D302C3">
            <w:pPr>
              <w:autoSpaceDE/>
              <w:autoSpaceDN/>
              <w:adjustRightInd/>
              <w:spacing w:line="233" w:lineRule="auto"/>
              <w:jc w:val="center"/>
              <w:rPr>
                <w:color w:val="000000"/>
                <w:sz w:val="20"/>
                <w:szCs w:val="20"/>
              </w:rPr>
            </w:pPr>
            <w:r w:rsidRPr="007D22C9">
              <w:rPr>
                <w:color w:val="000000"/>
                <w:sz w:val="20"/>
                <w:szCs w:val="20"/>
              </w:rPr>
              <w:t>1</w:t>
            </w:r>
          </w:p>
        </w:tc>
        <w:tc>
          <w:tcPr>
            <w:tcW w:w="993" w:type="dxa"/>
            <w:tcBorders>
              <w:top w:val="nil"/>
              <w:left w:val="nil"/>
              <w:bottom w:val="single" w:sz="4" w:space="0" w:color="auto"/>
              <w:right w:val="single" w:sz="4" w:space="0" w:color="auto"/>
            </w:tcBorders>
            <w:shd w:val="clear" w:color="auto" w:fill="auto"/>
            <w:hideMark/>
          </w:tcPr>
          <w:p w:rsidR="000B335A" w:rsidRPr="007D22C9" w:rsidRDefault="0047014B" w:rsidP="0047014B">
            <w:pPr>
              <w:autoSpaceDE/>
              <w:autoSpaceDN/>
              <w:adjustRightInd/>
              <w:spacing w:line="233" w:lineRule="auto"/>
              <w:jc w:val="center"/>
              <w:rPr>
                <w:color w:val="000000"/>
                <w:sz w:val="20"/>
                <w:szCs w:val="20"/>
              </w:rPr>
            </w:pPr>
            <w:r w:rsidRPr="007D22C9">
              <w:rPr>
                <w:color w:val="000000"/>
                <w:sz w:val="20"/>
                <w:szCs w:val="20"/>
              </w:rPr>
              <w:t>0</w:t>
            </w:r>
          </w:p>
        </w:tc>
      </w:tr>
      <w:tr w:rsidR="000B335A" w:rsidRPr="007D22C9" w:rsidTr="00BD3B9A">
        <w:trPr>
          <w:trHeight w:val="20"/>
        </w:trPr>
        <w:tc>
          <w:tcPr>
            <w:tcW w:w="533" w:type="dxa"/>
            <w:tcBorders>
              <w:top w:val="nil"/>
              <w:left w:val="single" w:sz="4" w:space="0" w:color="auto"/>
              <w:bottom w:val="single" w:sz="4" w:space="0" w:color="auto"/>
              <w:right w:val="single" w:sz="4" w:space="0" w:color="auto"/>
            </w:tcBorders>
            <w:shd w:val="clear" w:color="auto" w:fill="auto"/>
            <w:hideMark/>
          </w:tcPr>
          <w:p w:rsidR="000B335A" w:rsidRPr="007D22C9" w:rsidRDefault="000B335A" w:rsidP="00D302C3">
            <w:pPr>
              <w:autoSpaceDE/>
              <w:autoSpaceDN/>
              <w:adjustRightInd/>
              <w:spacing w:line="233" w:lineRule="auto"/>
              <w:jc w:val="center"/>
              <w:rPr>
                <w:color w:val="000000"/>
                <w:sz w:val="20"/>
                <w:szCs w:val="20"/>
              </w:rPr>
            </w:pPr>
            <w:r w:rsidRPr="007D22C9">
              <w:rPr>
                <w:color w:val="000000"/>
                <w:sz w:val="20"/>
                <w:szCs w:val="20"/>
              </w:rPr>
              <w:t>47</w:t>
            </w:r>
            <w:r w:rsidR="003B1A7B" w:rsidRPr="007D22C9">
              <w:rPr>
                <w:color w:val="000000"/>
                <w:sz w:val="20"/>
                <w:szCs w:val="20"/>
              </w:rPr>
              <w:t>.</w:t>
            </w:r>
          </w:p>
        </w:tc>
        <w:tc>
          <w:tcPr>
            <w:tcW w:w="1730" w:type="dxa"/>
            <w:tcBorders>
              <w:top w:val="nil"/>
              <w:left w:val="nil"/>
              <w:bottom w:val="single" w:sz="4" w:space="0" w:color="auto"/>
              <w:right w:val="nil"/>
            </w:tcBorders>
            <w:shd w:val="clear" w:color="auto" w:fill="auto"/>
            <w:hideMark/>
          </w:tcPr>
          <w:p w:rsidR="000B335A" w:rsidRPr="007D22C9" w:rsidRDefault="000B335A" w:rsidP="00D302C3">
            <w:pPr>
              <w:autoSpaceDE/>
              <w:autoSpaceDN/>
              <w:adjustRightInd/>
              <w:spacing w:line="233" w:lineRule="auto"/>
              <w:jc w:val="both"/>
              <w:rPr>
                <w:color w:val="000000"/>
                <w:sz w:val="20"/>
                <w:szCs w:val="20"/>
              </w:rPr>
            </w:pPr>
            <w:r w:rsidRPr="007D22C9">
              <w:rPr>
                <w:color w:val="000000"/>
                <w:sz w:val="20"/>
                <w:szCs w:val="20"/>
              </w:rPr>
              <w:t xml:space="preserve">ГАУЗ </w:t>
            </w:r>
            <w:r w:rsidR="002F7358" w:rsidRPr="007D22C9">
              <w:rPr>
                <w:color w:val="000000"/>
                <w:sz w:val="20"/>
                <w:szCs w:val="20"/>
              </w:rPr>
              <w:t>«</w:t>
            </w:r>
            <w:r w:rsidRPr="007D22C9">
              <w:rPr>
                <w:color w:val="000000"/>
                <w:sz w:val="20"/>
                <w:szCs w:val="20"/>
              </w:rPr>
              <w:t xml:space="preserve">Городская больница </w:t>
            </w:r>
            <w:r w:rsidR="00C572EE" w:rsidRPr="007D22C9">
              <w:rPr>
                <w:color w:val="000000"/>
                <w:sz w:val="20"/>
                <w:szCs w:val="20"/>
              </w:rPr>
              <w:br/>
            </w:r>
            <w:r w:rsidRPr="007D22C9">
              <w:rPr>
                <w:color w:val="000000"/>
                <w:sz w:val="20"/>
                <w:szCs w:val="20"/>
              </w:rPr>
              <w:t>№ 11</w:t>
            </w:r>
            <w:r w:rsidR="002F7358" w:rsidRPr="007D22C9">
              <w:rPr>
                <w:color w:val="000000"/>
                <w:sz w:val="20"/>
                <w:szCs w:val="20"/>
              </w:rPr>
              <w:t>»</w:t>
            </w:r>
            <w:r w:rsidRPr="007D22C9">
              <w:rPr>
                <w:color w:val="000000"/>
                <w:sz w:val="20"/>
                <w:szCs w:val="20"/>
              </w:rPr>
              <w:t xml:space="preserve"> г.Казани </w:t>
            </w:r>
          </w:p>
        </w:tc>
        <w:tc>
          <w:tcPr>
            <w:tcW w:w="1418" w:type="dxa"/>
            <w:tcBorders>
              <w:top w:val="nil"/>
              <w:left w:val="single" w:sz="4" w:space="0" w:color="auto"/>
              <w:bottom w:val="single" w:sz="4" w:space="0" w:color="auto"/>
              <w:right w:val="single" w:sz="4" w:space="0" w:color="auto"/>
            </w:tcBorders>
            <w:shd w:val="clear" w:color="auto" w:fill="auto"/>
            <w:hideMark/>
          </w:tcPr>
          <w:p w:rsidR="000B335A" w:rsidRPr="007D22C9" w:rsidRDefault="00A653E0" w:rsidP="00D302C3">
            <w:pPr>
              <w:autoSpaceDE/>
              <w:autoSpaceDN/>
              <w:adjustRightInd/>
              <w:spacing w:line="233" w:lineRule="auto"/>
              <w:jc w:val="both"/>
              <w:rPr>
                <w:color w:val="000000"/>
                <w:sz w:val="20"/>
                <w:szCs w:val="20"/>
              </w:rPr>
            </w:pPr>
            <w:r w:rsidRPr="007D22C9">
              <w:rPr>
                <w:color w:val="000000"/>
                <w:sz w:val="20"/>
                <w:szCs w:val="20"/>
              </w:rPr>
              <w:t>г.</w:t>
            </w:r>
            <w:r w:rsidR="000B335A" w:rsidRPr="007D22C9">
              <w:rPr>
                <w:color w:val="000000"/>
                <w:sz w:val="20"/>
                <w:szCs w:val="20"/>
              </w:rPr>
              <w:t xml:space="preserve">Казань, </w:t>
            </w:r>
            <w:r w:rsidR="00CF57D0" w:rsidRPr="007D22C9">
              <w:rPr>
                <w:color w:val="000000"/>
                <w:sz w:val="20"/>
                <w:szCs w:val="20"/>
              </w:rPr>
              <w:t>ул.</w:t>
            </w:r>
            <w:r w:rsidR="000B335A" w:rsidRPr="007D22C9">
              <w:rPr>
                <w:color w:val="000000"/>
                <w:sz w:val="20"/>
                <w:szCs w:val="20"/>
              </w:rPr>
              <w:t xml:space="preserve">Восстания, </w:t>
            </w:r>
            <w:r w:rsidR="00C940D5" w:rsidRPr="007D22C9">
              <w:rPr>
                <w:color w:val="000000"/>
                <w:sz w:val="20"/>
                <w:szCs w:val="20"/>
              </w:rPr>
              <w:t>д.</w:t>
            </w:r>
            <w:r w:rsidR="000B335A" w:rsidRPr="007D22C9">
              <w:rPr>
                <w:color w:val="000000"/>
                <w:sz w:val="20"/>
                <w:szCs w:val="20"/>
              </w:rPr>
              <w:t>50</w:t>
            </w:r>
          </w:p>
        </w:tc>
        <w:tc>
          <w:tcPr>
            <w:tcW w:w="1418" w:type="dxa"/>
            <w:tcBorders>
              <w:top w:val="nil"/>
              <w:left w:val="nil"/>
              <w:bottom w:val="single" w:sz="4" w:space="0" w:color="auto"/>
              <w:right w:val="single" w:sz="4" w:space="0" w:color="auto"/>
            </w:tcBorders>
            <w:shd w:val="clear" w:color="auto" w:fill="auto"/>
            <w:hideMark/>
          </w:tcPr>
          <w:p w:rsidR="000B335A" w:rsidRPr="007D22C9" w:rsidRDefault="000B335A" w:rsidP="00D302C3">
            <w:pPr>
              <w:autoSpaceDE/>
              <w:autoSpaceDN/>
              <w:adjustRightInd/>
              <w:spacing w:line="233" w:lineRule="auto"/>
              <w:jc w:val="both"/>
              <w:rPr>
                <w:color w:val="000000"/>
                <w:sz w:val="20"/>
                <w:szCs w:val="20"/>
              </w:rPr>
            </w:pPr>
            <w:r w:rsidRPr="007D22C9">
              <w:rPr>
                <w:color w:val="000000"/>
                <w:sz w:val="20"/>
                <w:szCs w:val="20"/>
              </w:rPr>
              <w:t>г.Казань</w:t>
            </w:r>
          </w:p>
        </w:tc>
        <w:tc>
          <w:tcPr>
            <w:tcW w:w="851" w:type="dxa"/>
            <w:tcBorders>
              <w:top w:val="nil"/>
              <w:left w:val="nil"/>
              <w:bottom w:val="single" w:sz="4" w:space="0" w:color="auto"/>
              <w:right w:val="single" w:sz="4" w:space="0" w:color="auto"/>
            </w:tcBorders>
            <w:shd w:val="clear" w:color="auto" w:fill="auto"/>
            <w:hideMark/>
          </w:tcPr>
          <w:p w:rsidR="000B335A" w:rsidRPr="007D22C9" w:rsidRDefault="000B335A" w:rsidP="00D302C3">
            <w:pPr>
              <w:autoSpaceDE/>
              <w:autoSpaceDN/>
              <w:adjustRightInd/>
              <w:spacing w:line="233" w:lineRule="auto"/>
              <w:jc w:val="center"/>
              <w:rPr>
                <w:color w:val="000000"/>
                <w:sz w:val="20"/>
                <w:szCs w:val="20"/>
              </w:rPr>
            </w:pPr>
            <w:r w:rsidRPr="007D22C9">
              <w:rPr>
                <w:color w:val="000000"/>
                <w:sz w:val="20"/>
                <w:szCs w:val="20"/>
              </w:rPr>
              <w:t>35 531</w:t>
            </w:r>
          </w:p>
        </w:tc>
        <w:tc>
          <w:tcPr>
            <w:tcW w:w="850" w:type="dxa"/>
            <w:tcBorders>
              <w:top w:val="nil"/>
              <w:left w:val="nil"/>
              <w:bottom w:val="single" w:sz="4" w:space="0" w:color="auto"/>
              <w:right w:val="single" w:sz="4" w:space="0" w:color="auto"/>
            </w:tcBorders>
            <w:shd w:val="clear" w:color="auto" w:fill="auto"/>
            <w:hideMark/>
          </w:tcPr>
          <w:p w:rsidR="000B335A" w:rsidRPr="007D22C9" w:rsidRDefault="000B335A" w:rsidP="00D302C3">
            <w:pPr>
              <w:autoSpaceDE/>
              <w:autoSpaceDN/>
              <w:adjustRightInd/>
              <w:spacing w:line="233" w:lineRule="auto"/>
              <w:jc w:val="center"/>
              <w:rPr>
                <w:color w:val="000000"/>
                <w:sz w:val="20"/>
                <w:szCs w:val="20"/>
              </w:rPr>
            </w:pPr>
            <w:r w:rsidRPr="007D22C9">
              <w:rPr>
                <w:color w:val="000000"/>
                <w:sz w:val="20"/>
                <w:szCs w:val="20"/>
              </w:rPr>
              <w:t>1,18</w:t>
            </w:r>
          </w:p>
        </w:tc>
        <w:tc>
          <w:tcPr>
            <w:tcW w:w="1077" w:type="dxa"/>
            <w:tcBorders>
              <w:top w:val="nil"/>
              <w:left w:val="nil"/>
              <w:bottom w:val="single" w:sz="4" w:space="0" w:color="auto"/>
              <w:right w:val="single" w:sz="4" w:space="0" w:color="auto"/>
            </w:tcBorders>
            <w:shd w:val="clear" w:color="auto" w:fill="auto"/>
            <w:hideMark/>
          </w:tcPr>
          <w:p w:rsidR="000B335A" w:rsidRPr="007D22C9" w:rsidRDefault="000B6DF5" w:rsidP="000B6DF5">
            <w:pPr>
              <w:autoSpaceDE/>
              <w:autoSpaceDN/>
              <w:adjustRightInd/>
              <w:spacing w:line="233" w:lineRule="auto"/>
              <w:jc w:val="center"/>
              <w:rPr>
                <w:color w:val="000000"/>
                <w:sz w:val="20"/>
                <w:szCs w:val="20"/>
              </w:rPr>
            </w:pPr>
            <w:r w:rsidRPr="007D22C9">
              <w:rPr>
                <w:color w:val="000000"/>
                <w:sz w:val="20"/>
                <w:szCs w:val="20"/>
              </w:rPr>
              <w:t>1,00</w:t>
            </w:r>
          </w:p>
        </w:tc>
        <w:tc>
          <w:tcPr>
            <w:tcW w:w="992" w:type="dxa"/>
            <w:tcBorders>
              <w:top w:val="nil"/>
              <w:left w:val="nil"/>
              <w:bottom w:val="single" w:sz="4" w:space="0" w:color="auto"/>
              <w:right w:val="single" w:sz="4" w:space="0" w:color="auto"/>
            </w:tcBorders>
            <w:shd w:val="clear" w:color="auto" w:fill="auto"/>
            <w:hideMark/>
          </w:tcPr>
          <w:p w:rsidR="000B335A" w:rsidRPr="007D22C9" w:rsidRDefault="000B6DF5" w:rsidP="000B6DF5">
            <w:pPr>
              <w:autoSpaceDE/>
              <w:autoSpaceDN/>
              <w:adjustRightInd/>
              <w:spacing w:line="233" w:lineRule="auto"/>
              <w:jc w:val="center"/>
              <w:rPr>
                <w:color w:val="000000"/>
                <w:sz w:val="20"/>
                <w:szCs w:val="20"/>
              </w:rPr>
            </w:pPr>
            <w:r w:rsidRPr="007D22C9">
              <w:rPr>
                <w:color w:val="000000"/>
                <w:sz w:val="20"/>
                <w:szCs w:val="20"/>
              </w:rPr>
              <w:t>0,50</w:t>
            </w:r>
          </w:p>
        </w:tc>
        <w:tc>
          <w:tcPr>
            <w:tcW w:w="708" w:type="dxa"/>
            <w:tcBorders>
              <w:top w:val="nil"/>
              <w:left w:val="nil"/>
              <w:bottom w:val="single" w:sz="4" w:space="0" w:color="auto"/>
              <w:right w:val="single" w:sz="4" w:space="0" w:color="auto"/>
            </w:tcBorders>
            <w:shd w:val="clear" w:color="auto" w:fill="auto"/>
            <w:hideMark/>
          </w:tcPr>
          <w:p w:rsidR="000B335A" w:rsidRPr="007D22C9" w:rsidRDefault="000B335A" w:rsidP="00D302C3">
            <w:pPr>
              <w:autoSpaceDE/>
              <w:autoSpaceDN/>
              <w:adjustRightInd/>
              <w:spacing w:line="233" w:lineRule="auto"/>
              <w:jc w:val="center"/>
              <w:rPr>
                <w:color w:val="000000"/>
                <w:sz w:val="20"/>
                <w:szCs w:val="20"/>
              </w:rPr>
            </w:pPr>
            <w:r w:rsidRPr="007D22C9">
              <w:rPr>
                <w:color w:val="000000"/>
                <w:sz w:val="20"/>
                <w:szCs w:val="20"/>
              </w:rPr>
              <w:t>1</w:t>
            </w:r>
          </w:p>
        </w:tc>
        <w:tc>
          <w:tcPr>
            <w:tcW w:w="993" w:type="dxa"/>
            <w:tcBorders>
              <w:top w:val="nil"/>
              <w:left w:val="nil"/>
              <w:bottom w:val="single" w:sz="4" w:space="0" w:color="auto"/>
              <w:right w:val="single" w:sz="4" w:space="0" w:color="auto"/>
            </w:tcBorders>
            <w:shd w:val="clear" w:color="auto" w:fill="auto"/>
            <w:hideMark/>
          </w:tcPr>
          <w:p w:rsidR="000B335A" w:rsidRPr="007D22C9" w:rsidRDefault="000B6DF5" w:rsidP="000B6DF5">
            <w:pPr>
              <w:autoSpaceDE/>
              <w:autoSpaceDN/>
              <w:adjustRightInd/>
              <w:spacing w:line="233" w:lineRule="auto"/>
              <w:jc w:val="center"/>
              <w:rPr>
                <w:color w:val="000000"/>
                <w:sz w:val="20"/>
                <w:szCs w:val="20"/>
              </w:rPr>
            </w:pPr>
            <w:r w:rsidRPr="007D22C9">
              <w:rPr>
                <w:color w:val="000000"/>
                <w:sz w:val="20"/>
                <w:szCs w:val="20"/>
              </w:rPr>
              <w:t>1</w:t>
            </w:r>
            <w:r w:rsidR="000B335A" w:rsidRPr="007D22C9">
              <w:rPr>
                <w:color w:val="000000"/>
                <w:sz w:val="20"/>
                <w:szCs w:val="20"/>
              </w:rPr>
              <w:t> </w:t>
            </w:r>
          </w:p>
        </w:tc>
      </w:tr>
      <w:tr w:rsidR="000B335A" w:rsidRPr="007D22C9" w:rsidTr="00BD3B9A">
        <w:trPr>
          <w:trHeight w:val="20"/>
        </w:trPr>
        <w:tc>
          <w:tcPr>
            <w:tcW w:w="533" w:type="dxa"/>
            <w:tcBorders>
              <w:top w:val="nil"/>
              <w:left w:val="single" w:sz="4" w:space="0" w:color="auto"/>
              <w:bottom w:val="single" w:sz="4" w:space="0" w:color="auto"/>
              <w:right w:val="single" w:sz="4" w:space="0" w:color="auto"/>
            </w:tcBorders>
            <w:shd w:val="clear" w:color="auto" w:fill="auto"/>
            <w:hideMark/>
          </w:tcPr>
          <w:p w:rsidR="000B335A" w:rsidRPr="007D22C9" w:rsidRDefault="000B335A" w:rsidP="00D302C3">
            <w:pPr>
              <w:autoSpaceDE/>
              <w:autoSpaceDN/>
              <w:adjustRightInd/>
              <w:spacing w:line="233" w:lineRule="auto"/>
              <w:jc w:val="center"/>
              <w:rPr>
                <w:color w:val="000000"/>
                <w:sz w:val="20"/>
                <w:szCs w:val="20"/>
              </w:rPr>
            </w:pPr>
            <w:r w:rsidRPr="007D22C9">
              <w:rPr>
                <w:color w:val="000000"/>
                <w:sz w:val="20"/>
                <w:szCs w:val="20"/>
              </w:rPr>
              <w:t>48</w:t>
            </w:r>
            <w:r w:rsidR="003B1A7B" w:rsidRPr="007D22C9">
              <w:rPr>
                <w:color w:val="000000"/>
                <w:sz w:val="20"/>
                <w:szCs w:val="20"/>
              </w:rPr>
              <w:t>.</w:t>
            </w:r>
          </w:p>
        </w:tc>
        <w:tc>
          <w:tcPr>
            <w:tcW w:w="1730" w:type="dxa"/>
            <w:tcBorders>
              <w:top w:val="nil"/>
              <w:left w:val="nil"/>
              <w:bottom w:val="single" w:sz="4" w:space="0" w:color="auto"/>
              <w:right w:val="nil"/>
            </w:tcBorders>
            <w:shd w:val="clear" w:color="auto" w:fill="auto"/>
            <w:hideMark/>
          </w:tcPr>
          <w:p w:rsidR="000B335A" w:rsidRPr="007D22C9" w:rsidRDefault="000B335A" w:rsidP="00D302C3">
            <w:pPr>
              <w:autoSpaceDE/>
              <w:autoSpaceDN/>
              <w:adjustRightInd/>
              <w:spacing w:line="233" w:lineRule="auto"/>
              <w:jc w:val="both"/>
              <w:rPr>
                <w:color w:val="000000"/>
                <w:sz w:val="20"/>
                <w:szCs w:val="20"/>
              </w:rPr>
            </w:pPr>
            <w:r w:rsidRPr="007D22C9">
              <w:rPr>
                <w:color w:val="000000"/>
                <w:sz w:val="20"/>
                <w:szCs w:val="20"/>
              </w:rPr>
              <w:t xml:space="preserve">ГАУЗ </w:t>
            </w:r>
            <w:r w:rsidR="002F7358" w:rsidRPr="007D22C9">
              <w:rPr>
                <w:color w:val="000000"/>
                <w:sz w:val="20"/>
                <w:szCs w:val="20"/>
              </w:rPr>
              <w:t>«</w:t>
            </w:r>
            <w:r w:rsidRPr="007D22C9">
              <w:rPr>
                <w:color w:val="000000"/>
                <w:sz w:val="20"/>
                <w:szCs w:val="20"/>
              </w:rPr>
              <w:t>Городская клиническая больница №</w:t>
            </w:r>
            <w:r w:rsidR="00C572EE" w:rsidRPr="007D22C9">
              <w:rPr>
                <w:color w:val="000000"/>
                <w:sz w:val="20"/>
                <w:szCs w:val="20"/>
              </w:rPr>
              <w:t xml:space="preserve"> </w:t>
            </w:r>
            <w:r w:rsidRPr="007D22C9">
              <w:rPr>
                <w:color w:val="000000"/>
                <w:sz w:val="20"/>
                <w:szCs w:val="20"/>
              </w:rPr>
              <w:t>16</w:t>
            </w:r>
            <w:r w:rsidR="002F7358" w:rsidRPr="007D22C9">
              <w:rPr>
                <w:color w:val="000000"/>
                <w:sz w:val="20"/>
                <w:szCs w:val="20"/>
              </w:rPr>
              <w:t>»</w:t>
            </w:r>
            <w:r w:rsidR="006841F1" w:rsidRPr="007D22C9">
              <w:rPr>
                <w:color w:val="000000"/>
                <w:sz w:val="20"/>
                <w:szCs w:val="20"/>
              </w:rPr>
              <w:t xml:space="preserve"> </w:t>
            </w:r>
            <w:r w:rsidRPr="007D22C9">
              <w:rPr>
                <w:color w:val="000000"/>
                <w:sz w:val="20"/>
                <w:szCs w:val="20"/>
              </w:rPr>
              <w:t>г.Казани</w:t>
            </w:r>
          </w:p>
        </w:tc>
        <w:tc>
          <w:tcPr>
            <w:tcW w:w="1418" w:type="dxa"/>
            <w:tcBorders>
              <w:top w:val="nil"/>
              <w:left w:val="single" w:sz="4" w:space="0" w:color="auto"/>
              <w:bottom w:val="single" w:sz="4" w:space="0" w:color="auto"/>
              <w:right w:val="single" w:sz="4" w:space="0" w:color="auto"/>
            </w:tcBorders>
            <w:shd w:val="clear" w:color="auto" w:fill="auto"/>
            <w:hideMark/>
          </w:tcPr>
          <w:p w:rsidR="000B335A" w:rsidRPr="007D22C9" w:rsidRDefault="00C572EE" w:rsidP="00D302C3">
            <w:pPr>
              <w:autoSpaceDE/>
              <w:autoSpaceDN/>
              <w:adjustRightInd/>
              <w:spacing w:line="233" w:lineRule="auto"/>
              <w:jc w:val="both"/>
              <w:rPr>
                <w:color w:val="000000"/>
                <w:sz w:val="20"/>
                <w:szCs w:val="20"/>
              </w:rPr>
            </w:pPr>
            <w:r w:rsidRPr="007D22C9">
              <w:rPr>
                <w:color w:val="000000"/>
                <w:sz w:val="20"/>
                <w:szCs w:val="20"/>
              </w:rPr>
              <w:t>г.</w:t>
            </w:r>
            <w:r w:rsidR="000B335A" w:rsidRPr="007D22C9">
              <w:rPr>
                <w:color w:val="000000"/>
                <w:sz w:val="20"/>
                <w:szCs w:val="20"/>
              </w:rPr>
              <w:t xml:space="preserve">Казань, </w:t>
            </w:r>
            <w:r w:rsidR="00CF57D0" w:rsidRPr="007D22C9">
              <w:rPr>
                <w:color w:val="000000"/>
                <w:sz w:val="20"/>
                <w:szCs w:val="20"/>
              </w:rPr>
              <w:t>ул.</w:t>
            </w:r>
            <w:r w:rsidR="000B335A" w:rsidRPr="007D22C9">
              <w:rPr>
                <w:color w:val="000000"/>
                <w:sz w:val="20"/>
                <w:szCs w:val="20"/>
              </w:rPr>
              <w:t xml:space="preserve">Гагарина, </w:t>
            </w:r>
            <w:r w:rsidR="00C940D5" w:rsidRPr="007D22C9">
              <w:rPr>
                <w:color w:val="000000"/>
                <w:sz w:val="20"/>
                <w:szCs w:val="20"/>
              </w:rPr>
              <w:t>д.</w:t>
            </w:r>
            <w:r w:rsidR="000B335A" w:rsidRPr="007D22C9">
              <w:rPr>
                <w:color w:val="000000"/>
                <w:sz w:val="20"/>
                <w:szCs w:val="20"/>
              </w:rPr>
              <w:t>121</w:t>
            </w:r>
          </w:p>
        </w:tc>
        <w:tc>
          <w:tcPr>
            <w:tcW w:w="1418" w:type="dxa"/>
            <w:tcBorders>
              <w:top w:val="nil"/>
              <w:left w:val="nil"/>
              <w:bottom w:val="single" w:sz="4" w:space="0" w:color="auto"/>
              <w:right w:val="single" w:sz="4" w:space="0" w:color="auto"/>
            </w:tcBorders>
            <w:shd w:val="clear" w:color="auto" w:fill="auto"/>
            <w:hideMark/>
          </w:tcPr>
          <w:p w:rsidR="000B335A" w:rsidRPr="007D22C9" w:rsidRDefault="000B335A" w:rsidP="00D302C3">
            <w:pPr>
              <w:autoSpaceDE/>
              <w:autoSpaceDN/>
              <w:adjustRightInd/>
              <w:spacing w:line="233" w:lineRule="auto"/>
              <w:jc w:val="both"/>
              <w:rPr>
                <w:color w:val="000000"/>
                <w:sz w:val="20"/>
                <w:szCs w:val="20"/>
              </w:rPr>
            </w:pPr>
            <w:r w:rsidRPr="007D22C9">
              <w:rPr>
                <w:color w:val="000000"/>
                <w:sz w:val="20"/>
                <w:szCs w:val="20"/>
              </w:rPr>
              <w:t>г.Казань</w:t>
            </w:r>
          </w:p>
        </w:tc>
        <w:tc>
          <w:tcPr>
            <w:tcW w:w="851" w:type="dxa"/>
            <w:tcBorders>
              <w:top w:val="nil"/>
              <w:left w:val="nil"/>
              <w:bottom w:val="single" w:sz="4" w:space="0" w:color="auto"/>
              <w:right w:val="single" w:sz="4" w:space="0" w:color="auto"/>
            </w:tcBorders>
            <w:shd w:val="clear" w:color="000000" w:fill="FFFFFF"/>
            <w:hideMark/>
          </w:tcPr>
          <w:p w:rsidR="000B335A" w:rsidRPr="007D22C9" w:rsidRDefault="000B335A" w:rsidP="00D302C3">
            <w:pPr>
              <w:autoSpaceDE/>
              <w:autoSpaceDN/>
              <w:adjustRightInd/>
              <w:spacing w:line="233" w:lineRule="auto"/>
              <w:jc w:val="center"/>
              <w:rPr>
                <w:color w:val="000000"/>
                <w:sz w:val="20"/>
                <w:szCs w:val="20"/>
              </w:rPr>
            </w:pPr>
            <w:r w:rsidRPr="007D22C9">
              <w:rPr>
                <w:color w:val="000000"/>
                <w:sz w:val="20"/>
                <w:szCs w:val="20"/>
              </w:rPr>
              <w:t>56 785</w:t>
            </w:r>
          </w:p>
        </w:tc>
        <w:tc>
          <w:tcPr>
            <w:tcW w:w="850" w:type="dxa"/>
            <w:tcBorders>
              <w:top w:val="nil"/>
              <w:left w:val="nil"/>
              <w:bottom w:val="single" w:sz="4" w:space="0" w:color="auto"/>
              <w:right w:val="single" w:sz="4" w:space="0" w:color="auto"/>
            </w:tcBorders>
            <w:shd w:val="clear" w:color="auto" w:fill="auto"/>
            <w:hideMark/>
          </w:tcPr>
          <w:p w:rsidR="000B335A" w:rsidRPr="007D22C9" w:rsidRDefault="000B335A" w:rsidP="00D302C3">
            <w:pPr>
              <w:autoSpaceDE/>
              <w:autoSpaceDN/>
              <w:adjustRightInd/>
              <w:spacing w:line="233" w:lineRule="auto"/>
              <w:jc w:val="center"/>
              <w:rPr>
                <w:color w:val="000000"/>
                <w:sz w:val="20"/>
                <w:szCs w:val="20"/>
              </w:rPr>
            </w:pPr>
            <w:r w:rsidRPr="007D22C9">
              <w:rPr>
                <w:color w:val="000000"/>
                <w:sz w:val="20"/>
                <w:szCs w:val="20"/>
              </w:rPr>
              <w:t>1,89</w:t>
            </w:r>
          </w:p>
        </w:tc>
        <w:tc>
          <w:tcPr>
            <w:tcW w:w="1077" w:type="dxa"/>
            <w:tcBorders>
              <w:top w:val="nil"/>
              <w:left w:val="nil"/>
              <w:bottom w:val="single" w:sz="4" w:space="0" w:color="auto"/>
              <w:right w:val="single" w:sz="4" w:space="0" w:color="auto"/>
            </w:tcBorders>
            <w:shd w:val="clear" w:color="auto" w:fill="auto"/>
            <w:hideMark/>
          </w:tcPr>
          <w:p w:rsidR="000B335A" w:rsidRPr="007D22C9" w:rsidRDefault="000B335A" w:rsidP="000B6DF5">
            <w:pPr>
              <w:autoSpaceDE/>
              <w:autoSpaceDN/>
              <w:adjustRightInd/>
              <w:spacing w:line="233" w:lineRule="auto"/>
              <w:jc w:val="center"/>
              <w:rPr>
                <w:color w:val="000000"/>
                <w:sz w:val="20"/>
                <w:szCs w:val="20"/>
              </w:rPr>
            </w:pPr>
            <w:r w:rsidRPr="007D22C9">
              <w:rPr>
                <w:color w:val="000000"/>
                <w:sz w:val="20"/>
                <w:szCs w:val="20"/>
              </w:rPr>
              <w:t>2,</w:t>
            </w:r>
            <w:r w:rsidR="000B6DF5" w:rsidRPr="007D22C9">
              <w:rPr>
                <w:color w:val="000000"/>
                <w:sz w:val="20"/>
                <w:szCs w:val="20"/>
              </w:rPr>
              <w:t>00</w:t>
            </w:r>
          </w:p>
        </w:tc>
        <w:tc>
          <w:tcPr>
            <w:tcW w:w="992" w:type="dxa"/>
            <w:tcBorders>
              <w:top w:val="nil"/>
              <w:left w:val="nil"/>
              <w:bottom w:val="single" w:sz="4" w:space="0" w:color="auto"/>
              <w:right w:val="single" w:sz="4" w:space="0" w:color="auto"/>
            </w:tcBorders>
            <w:shd w:val="clear" w:color="auto" w:fill="auto"/>
            <w:hideMark/>
          </w:tcPr>
          <w:p w:rsidR="000B335A" w:rsidRPr="007D22C9" w:rsidRDefault="000B335A" w:rsidP="000B6DF5">
            <w:pPr>
              <w:autoSpaceDE/>
              <w:autoSpaceDN/>
              <w:adjustRightInd/>
              <w:spacing w:line="233" w:lineRule="auto"/>
              <w:jc w:val="center"/>
              <w:rPr>
                <w:color w:val="000000"/>
                <w:sz w:val="20"/>
                <w:szCs w:val="20"/>
              </w:rPr>
            </w:pPr>
            <w:r w:rsidRPr="007D22C9">
              <w:rPr>
                <w:color w:val="000000"/>
                <w:sz w:val="20"/>
                <w:szCs w:val="20"/>
              </w:rPr>
              <w:t>2,</w:t>
            </w:r>
            <w:r w:rsidR="000B6DF5" w:rsidRPr="007D22C9">
              <w:rPr>
                <w:color w:val="000000"/>
                <w:sz w:val="20"/>
                <w:szCs w:val="20"/>
              </w:rPr>
              <w:t>00</w:t>
            </w:r>
          </w:p>
        </w:tc>
        <w:tc>
          <w:tcPr>
            <w:tcW w:w="708" w:type="dxa"/>
            <w:tcBorders>
              <w:top w:val="nil"/>
              <w:left w:val="nil"/>
              <w:bottom w:val="single" w:sz="4" w:space="0" w:color="auto"/>
              <w:right w:val="single" w:sz="4" w:space="0" w:color="auto"/>
            </w:tcBorders>
            <w:shd w:val="clear" w:color="auto" w:fill="auto"/>
            <w:hideMark/>
          </w:tcPr>
          <w:p w:rsidR="000B335A" w:rsidRPr="007D22C9" w:rsidRDefault="000B335A" w:rsidP="00D302C3">
            <w:pPr>
              <w:autoSpaceDE/>
              <w:autoSpaceDN/>
              <w:adjustRightInd/>
              <w:spacing w:line="233" w:lineRule="auto"/>
              <w:jc w:val="center"/>
              <w:rPr>
                <w:color w:val="000000"/>
                <w:sz w:val="20"/>
                <w:szCs w:val="20"/>
              </w:rPr>
            </w:pPr>
            <w:r w:rsidRPr="007D22C9">
              <w:rPr>
                <w:color w:val="000000"/>
                <w:sz w:val="20"/>
                <w:szCs w:val="20"/>
              </w:rPr>
              <w:t>1</w:t>
            </w:r>
          </w:p>
        </w:tc>
        <w:tc>
          <w:tcPr>
            <w:tcW w:w="993" w:type="dxa"/>
            <w:tcBorders>
              <w:top w:val="nil"/>
              <w:left w:val="nil"/>
              <w:bottom w:val="single" w:sz="4" w:space="0" w:color="auto"/>
              <w:right w:val="single" w:sz="4" w:space="0" w:color="auto"/>
            </w:tcBorders>
            <w:shd w:val="clear" w:color="auto" w:fill="auto"/>
            <w:hideMark/>
          </w:tcPr>
          <w:p w:rsidR="000B335A" w:rsidRPr="007D22C9" w:rsidRDefault="00DE16F2" w:rsidP="00D302C3">
            <w:pPr>
              <w:autoSpaceDE/>
              <w:autoSpaceDN/>
              <w:adjustRightInd/>
              <w:spacing w:line="233" w:lineRule="auto"/>
              <w:jc w:val="center"/>
              <w:rPr>
                <w:color w:val="000000"/>
                <w:sz w:val="20"/>
                <w:szCs w:val="20"/>
              </w:rPr>
            </w:pPr>
            <w:r w:rsidRPr="007D22C9">
              <w:rPr>
                <w:color w:val="000000"/>
                <w:sz w:val="20"/>
                <w:szCs w:val="20"/>
              </w:rPr>
              <w:t>0</w:t>
            </w:r>
            <w:r w:rsidR="000B335A" w:rsidRPr="007D22C9">
              <w:rPr>
                <w:color w:val="000000"/>
                <w:sz w:val="20"/>
                <w:szCs w:val="20"/>
              </w:rPr>
              <w:t> </w:t>
            </w:r>
          </w:p>
        </w:tc>
      </w:tr>
      <w:tr w:rsidR="000B335A" w:rsidRPr="007D22C9" w:rsidTr="00BD3B9A">
        <w:trPr>
          <w:trHeight w:val="20"/>
        </w:trPr>
        <w:tc>
          <w:tcPr>
            <w:tcW w:w="533" w:type="dxa"/>
            <w:tcBorders>
              <w:top w:val="nil"/>
              <w:left w:val="single" w:sz="4" w:space="0" w:color="auto"/>
              <w:bottom w:val="single" w:sz="4" w:space="0" w:color="auto"/>
              <w:right w:val="single" w:sz="4" w:space="0" w:color="auto"/>
            </w:tcBorders>
            <w:shd w:val="clear" w:color="auto" w:fill="auto"/>
            <w:hideMark/>
          </w:tcPr>
          <w:p w:rsidR="000B335A" w:rsidRPr="007D22C9" w:rsidRDefault="000B335A" w:rsidP="00D302C3">
            <w:pPr>
              <w:autoSpaceDE/>
              <w:autoSpaceDN/>
              <w:adjustRightInd/>
              <w:spacing w:line="233" w:lineRule="auto"/>
              <w:jc w:val="center"/>
              <w:rPr>
                <w:color w:val="000000"/>
                <w:sz w:val="20"/>
                <w:szCs w:val="20"/>
              </w:rPr>
            </w:pPr>
            <w:r w:rsidRPr="007D22C9">
              <w:rPr>
                <w:color w:val="000000"/>
                <w:sz w:val="20"/>
                <w:szCs w:val="20"/>
              </w:rPr>
              <w:t>49</w:t>
            </w:r>
            <w:r w:rsidR="003B1A7B" w:rsidRPr="007D22C9">
              <w:rPr>
                <w:color w:val="000000"/>
                <w:sz w:val="20"/>
                <w:szCs w:val="20"/>
              </w:rPr>
              <w:t>.</w:t>
            </w:r>
          </w:p>
        </w:tc>
        <w:tc>
          <w:tcPr>
            <w:tcW w:w="1730" w:type="dxa"/>
            <w:tcBorders>
              <w:top w:val="nil"/>
              <w:left w:val="nil"/>
              <w:bottom w:val="single" w:sz="4" w:space="0" w:color="auto"/>
              <w:right w:val="nil"/>
            </w:tcBorders>
            <w:shd w:val="clear" w:color="000000" w:fill="FFFFFF"/>
            <w:hideMark/>
          </w:tcPr>
          <w:p w:rsidR="000B335A" w:rsidRPr="007D22C9" w:rsidRDefault="006841F1" w:rsidP="00D302C3">
            <w:pPr>
              <w:autoSpaceDE/>
              <w:autoSpaceDN/>
              <w:adjustRightInd/>
              <w:spacing w:line="233" w:lineRule="auto"/>
              <w:jc w:val="both"/>
              <w:rPr>
                <w:color w:val="000000"/>
                <w:sz w:val="20"/>
                <w:szCs w:val="20"/>
              </w:rPr>
            </w:pPr>
            <w:r w:rsidRPr="007D22C9">
              <w:rPr>
                <w:color w:val="000000"/>
                <w:sz w:val="20"/>
                <w:szCs w:val="20"/>
              </w:rPr>
              <w:t xml:space="preserve">ГАУЗ </w:t>
            </w:r>
            <w:r w:rsidR="002F7358" w:rsidRPr="007D22C9">
              <w:rPr>
                <w:color w:val="000000"/>
                <w:sz w:val="20"/>
                <w:szCs w:val="20"/>
              </w:rPr>
              <w:t>«</w:t>
            </w:r>
            <w:r w:rsidRPr="007D22C9">
              <w:rPr>
                <w:color w:val="000000"/>
                <w:sz w:val="20"/>
                <w:szCs w:val="20"/>
              </w:rPr>
              <w:t>Городская клиническая больница № 7 имени М.Н.Садыкова</w:t>
            </w:r>
            <w:r w:rsidR="002F7358" w:rsidRPr="007D22C9">
              <w:rPr>
                <w:color w:val="000000"/>
                <w:sz w:val="20"/>
                <w:szCs w:val="20"/>
              </w:rPr>
              <w:t>»</w:t>
            </w:r>
            <w:r w:rsidRPr="007D22C9">
              <w:rPr>
                <w:color w:val="000000"/>
                <w:sz w:val="20"/>
                <w:szCs w:val="20"/>
              </w:rPr>
              <w:t xml:space="preserve"> г.Казани</w:t>
            </w:r>
          </w:p>
        </w:tc>
        <w:tc>
          <w:tcPr>
            <w:tcW w:w="1418" w:type="dxa"/>
            <w:tcBorders>
              <w:top w:val="nil"/>
              <w:left w:val="single" w:sz="4" w:space="0" w:color="auto"/>
              <w:bottom w:val="single" w:sz="4" w:space="0" w:color="auto"/>
              <w:right w:val="single" w:sz="4" w:space="0" w:color="auto"/>
            </w:tcBorders>
            <w:shd w:val="clear" w:color="auto" w:fill="auto"/>
            <w:hideMark/>
          </w:tcPr>
          <w:p w:rsidR="000B335A" w:rsidRPr="007D22C9" w:rsidRDefault="00C572EE" w:rsidP="00D302C3">
            <w:pPr>
              <w:autoSpaceDE/>
              <w:autoSpaceDN/>
              <w:adjustRightInd/>
              <w:spacing w:line="233" w:lineRule="auto"/>
              <w:jc w:val="both"/>
              <w:rPr>
                <w:color w:val="000000"/>
                <w:sz w:val="20"/>
                <w:szCs w:val="20"/>
              </w:rPr>
            </w:pPr>
            <w:r w:rsidRPr="007D22C9">
              <w:rPr>
                <w:color w:val="000000"/>
                <w:sz w:val="20"/>
                <w:szCs w:val="20"/>
              </w:rPr>
              <w:t>г.</w:t>
            </w:r>
            <w:r w:rsidR="000B335A" w:rsidRPr="007D22C9">
              <w:rPr>
                <w:color w:val="000000"/>
                <w:sz w:val="20"/>
                <w:szCs w:val="20"/>
              </w:rPr>
              <w:t xml:space="preserve">Казань, ул.Маршала Чуйкова, </w:t>
            </w:r>
            <w:r w:rsidR="00C940D5" w:rsidRPr="007D22C9">
              <w:rPr>
                <w:color w:val="000000"/>
                <w:sz w:val="20"/>
                <w:szCs w:val="20"/>
              </w:rPr>
              <w:t>д.</w:t>
            </w:r>
            <w:r w:rsidR="000B335A" w:rsidRPr="007D22C9">
              <w:rPr>
                <w:color w:val="000000"/>
                <w:sz w:val="20"/>
                <w:szCs w:val="20"/>
              </w:rPr>
              <w:t>54</w:t>
            </w:r>
          </w:p>
        </w:tc>
        <w:tc>
          <w:tcPr>
            <w:tcW w:w="1418" w:type="dxa"/>
            <w:tcBorders>
              <w:top w:val="nil"/>
              <w:left w:val="nil"/>
              <w:bottom w:val="single" w:sz="4" w:space="0" w:color="auto"/>
              <w:right w:val="single" w:sz="4" w:space="0" w:color="auto"/>
            </w:tcBorders>
            <w:shd w:val="clear" w:color="000000" w:fill="FFFFFF"/>
            <w:hideMark/>
          </w:tcPr>
          <w:p w:rsidR="000B335A" w:rsidRPr="007D22C9" w:rsidRDefault="000B335A" w:rsidP="00D302C3">
            <w:pPr>
              <w:autoSpaceDE/>
              <w:autoSpaceDN/>
              <w:adjustRightInd/>
              <w:spacing w:line="233" w:lineRule="auto"/>
              <w:jc w:val="both"/>
              <w:rPr>
                <w:color w:val="000000"/>
                <w:sz w:val="20"/>
                <w:szCs w:val="20"/>
              </w:rPr>
            </w:pPr>
            <w:r w:rsidRPr="007D22C9">
              <w:rPr>
                <w:color w:val="000000"/>
                <w:sz w:val="20"/>
                <w:szCs w:val="20"/>
              </w:rPr>
              <w:t>г.Казань</w:t>
            </w:r>
          </w:p>
        </w:tc>
        <w:tc>
          <w:tcPr>
            <w:tcW w:w="851" w:type="dxa"/>
            <w:tcBorders>
              <w:top w:val="nil"/>
              <w:left w:val="nil"/>
              <w:bottom w:val="single" w:sz="4" w:space="0" w:color="auto"/>
              <w:right w:val="single" w:sz="4" w:space="0" w:color="auto"/>
            </w:tcBorders>
            <w:shd w:val="clear" w:color="000000" w:fill="FFFFFF"/>
            <w:hideMark/>
          </w:tcPr>
          <w:p w:rsidR="000B335A" w:rsidRPr="007D22C9" w:rsidRDefault="000B335A" w:rsidP="00D302C3">
            <w:pPr>
              <w:autoSpaceDE/>
              <w:autoSpaceDN/>
              <w:adjustRightInd/>
              <w:spacing w:line="233" w:lineRule="auto"/>
              <w:jc w:val="center"/>
              <w:rPr>
                <w:color w:val="000000"/>
                <w:sz w:val="20"/>
                <w:szCs w:val="20"/>
              </w:rPr>
            </w:pPr>
            <w:r w:rsidRPr="007D22C9">
              <w:rPr>
                <w:color w:val="000000"/>
                <w:sz w:val="20"/>
                <w:szCs w:val="20"/>
              </w:rPr>
              <w:t>90 694</w:t>
            </w:r>
          </w:p>
        </w:tc>
        <w:tc>
          <w:tcPr>
            <w:tcW w:w="850" w:type="dxa"/>
            <w:tcBorders>
              <w:top w:val="nil"/>
              <w:left w:val="nil"/>
              <w:bottom w:val="single" w:sz="4" w:space="0" w:color="auto"/>
              <w:right w:val="single" w:sz="4" w:space="0" w:color="auto"/>
            </w:tcBorders>
            <w:shd w:val="clear" w:color="auto" w:fill="auto"/>
            <w:hideMark/>
          </w:tcPr>
          <w:p w:rsidR="000B335A" w:rsidRPr="007D22C9" w:rsidRDefault="000B335A" w:rsidP="00D302C3">
            <w:pPr>
              <w:autoSpaceDE/>
              <w:autoSpaceDN/>
              <w:adjustRightInd/>
              <w:spacing w:line="233" w:lineRule="auto"/>
              <w:jc w:val="center"/>
              <w:rPr>
                <w:color w:val="000000"/>
                <w:sz w:val="20"/>
                <w:szCs w:val="20"/>
              </w:rPr>
            </w:pPr>
            <w:r w:rsidRPr="007D22C9">
              <w:rPr>
                <w:color w:val="000000"/>
                <w:sz w:val="20"/>
                <w:szCs w:val="20"/>
              </w:rPr>
              <w:t>3,02</w:t>
            </w:r>
          </w:p>
        </w:tc>
        <w:tc>
          <w:tcPr>
            <w:tcW w:w="1077" w:type="dxa"/>
            <w:tcBorders>
              <w:top w:val="nil"/>
              <w:left w:val="nil"/>
              <w:bottom w:val="single" w:sz="4" w:space="0" w:color="auto"/>
              <w:right w:val="single" w:sz="4" w:space="0" w:color="auto"/>
            </w:tcBorders>
            <w:shd w:val="clear" w:color="000000" w:fill="FFFFFF"/>
            <w:hideMark/>
          </w:tcPr>
          <w:p w:rsidR="000B335A" w:rsidRPr="007D22C9" w:rsidRDefault="000B6DF5" w:rsidP="000B6DF5">
            <w:pPr>
              <w:autoSpaceDE/>
              <w:autoSpaceDN/>
              <w:adjustRightInd/>
              <w:spacing w:line="233" w:lineRule="auto"/>
              <w:jc w:val="center"/>
              <w:rPr>
                <w:color w:val="000000"/>
                <w:sz w:val="20"/>
                <w:szCs w:val="20"/>
              </w:rPr>
            </w:pPr>
            <w:r w:rsidRPr="007D22C9">
              <w:rPr>
                <w:color w:val="000000"/>
                <w:sz w:val="20"/>
                <w:szCs w:val="20"/>
              </w:rPr>
              <w:t>4,75</w:t>
            </w:r>
          </w:p>
        </w:tc>
        <w:tc>
          <w:tcPr>
            <w:tcW w:w="992" w:type="dxa"/>
            <w:tcBorders>
              <w:top w:val="nil"/>
              <w:left w:val="nil"/>
              <w:bottom w:val="single" w:sz="4" w:space="0" w:color="auto"/>
              <w:right w:val="single" w:sz="4" w:space="0" w:color="auto"/>
            </w:tcBorders>
            <w:shd w:val="clear" w:color="auto" w:fill="auto"/>
            <w:hideMark/>
          </w:tcPr>
          <w:p w:rsidR="000B335A" w:rsidRPr="007D22C9" w:rsidRDefault="000B6DF5" w:rsidP="000B6DF5">
            <w:pPr>
              <w:autoSpaceDE/>
              <w:autoSpaceDN/>
              <w:adjustRightInd/>
              <w:spacing w:line="233" w:lineRule="auto"/>
              <w:jc w:val="center"/>
              <w:rPr>
                <w:color w:val="000000"/>
                <w:sz w:val="20"/>
                <w:szCs w:val="20"/>
              </w:rPr>
            </w:pPr>
            <w:r w:rsidRPr="007D22C9">
              <w:rPr>
                <w:color w:val="000000"/>
                <w:sz w:val="20"/>
                <w:szCs w:val="20"/>
              </w:rPr>
              <w:t>4,25</w:t>
            </w:r>
          </w:p>
        </w:tc>
        <w:tc>
          <w:tcPr>
            <w:tcW w:w="708" w:type="dxa"/>
            <w:tcBorders>
              <w:top w:val="nil"/>
              <w:left w:val="nil"/>
              <w:bottom w:val="single" w:sz="4" w:space="0" w:color="auto"/>
              <w:right w:val="single" w:sz="4" w:space="0" w:color="auto"/>
            </w:tcBorders>
            <w:shd w:val="clear" w:color="auto" w:fill="auto"/>
            <w:hideMark/>
          </w:tcPr>
          <w:p w:rsidR="000B335A" w:rsidRPr="007D22C9" w:rsidRDefault="000B6DF5" w:rsidP="000B6DF5">
            <w:pPr>
              <w:autoSpaceDE/>
              <w:autoSpaceDN/>
              <w:adjustRightInd/>
              <w:spacing w:line="233" w:lineRule="auto"/>
              <w:jc w:val="center"/>
              <w:rPr>
                <w:color w:val="000000"/>
                <w:sz w:val="20"/>
                <w:szCs w:val="20"/>
              </w:rPr>
            </w:pPr>
            <w:r w:rsidRPr="007D22C9">
              <w:rPr>
                <w:color w:val="000000"/>
                <w:sz w:val="20"/>
                <w:szCs w:val="20"/>
              </w:rPr>
              <w:t>4</w:t>
            </w:r>
          </w:p>
        </w:tc>
        <w:tc>
          <w:tcPr>
            <w:tcW w:w="993" w:type="dxa"/>
            <w:tcBorders>
              <w:top w:val="nil"/>
              <w:left w:val="nil"/>
              <w:bottom w:val="single" w:sz="4" w:space="0" w:color="auto"/>
              <w:right w:val="single" w:sz="4" w:space="0" w:color="auto"/>
            </w:tcBorders>
            <w:shd w:val="clear" w:color="auto" w:fill="auto"/>
            <w:hideMark/>
          </w:tcPr>
          <w:p w:rsidR="000B335A" w:rsidRPr="007D22C9" w:rsidRDefault="000B335A" w:rsidP="00D302C3">
            <w:pPr>
              <w:autoSpaceDE/>
              <w:autoSpaceDN/>
              <w:adjustRightInd/>
              <w:spacing w:line="233" w:lineRule="auto"/>
              <w:jc w:val="center"/>
              <w:rPr>
                <w:color w:val="000000"/>
                <w:sz w:val="20"/>
                <w:szCs w:val="20"/>
              </w:rPr>
            </w:pPr>
            <w:r w:rsidRPr="007D22C9">
              <w:rPr>
                <w:color w:val="000000"/>
                <w:sz w:val="20"/>
                <w:szCs w:val="20"/>
              </w:rPr>
              <w:t> </w:t>
            </w:r>
            <w:r w:rsidR="00DE16F2" w:rsidRPr="007D22C9">
              <w:rPr>
                <w:color w:val="000000"/>
                <w:sz w:val="20"/>
                <w:szCs w:val="20"/>
              </w:rPr>
              <w:t>0</w:t>
            </w:r>
          </w:p>
        </w:tc>
      </w:tr>
      <w:tr w:rsidR="000B335A" w:rsidRPr="007D22C9" w:rsidTr="00BD3B9A">
        <w:trPr>
          <w:trHeight w:val="20"/>
        </w:trPr>
        <w:tc>
          <w:tcPr>
            <w:tcW w:w="533" w:type="dxa"/>
            <w:tcBorders>
              <w:top w:val="nil"/>
              <w:left w:val="single" w:sz="4" w:space="0" w:color="auto"/>
              <w:bottom w:val="single" w:sz="4" w:space="0" w:color="auto"/>
              <w:right w:val="single" w:sz="4" w:space="0" w:color="auto"/>
            </w:tcBorders>
            <w:shd w:val="clear" w:color="auto" w:fill="auto"/>
            <w:hideMark/>
          </w:tcPr>
          <w:p w:rsidR="000B335A" w:rsidRPr="007D22C9" w:rsidRDefault="000B335A" w:rsidP="00D302C3">
            <w:pPr>
              <w:autoSpaceDE/>
              <w:autoSpaceDN/>
              <w:adjustRightInd/>
              <w:spacing w:line="233" w:lineRule="auto"/>
              <w:jc w:val="center"/>
              <w:rPr>
                <w:color w:val="000000"/>
                <w:sz w:val="20"/>
                <w:szCs w:val="20"/>
              </w:rPr>
            </w:pPr>
            <w:r w:rsidRPr="007D22C9">
              <w:rPr>
                <w:color w:val="000000"/>
                <w:sz w:val="20"/>
                <w:szCs w:val="20"/>
              </w:rPr>
              <w:t>50</w:t>
            </w:r>
            <w:r w:rsidR="003B1A7B" w:rsidRPr="007D22C9">
              <w:rPr>
                <w:color w:val="000000"/>
                <w:sz w:val="20"/>
                <w:szCs w:val="20"/>
              </w:rPr>
              <w:t>.</w:t>
            </w:r>
          </w:p>
        </w:tc>
        <w:tc>
          <w:tcPr>
            <w:tcW w:w="1730" w:type="dxa"/>
            <w:tcBorders>
              <w:top w:val="nil"/>
              <w:left w:val="nil"/>
              <w:bottom w:val="single" w:sz="4" w:space="0" w:color="auto"/>
              <w:right w:val="nil"/>
            </w:tcBorders>
            <w:shd w:val="clear" w:color="auto" w:fill="auto"/>
            <w:hideMark/>
          </w:tcPr>
          <w:p w:rsidR="000B335A" w:rsidRPr="007D22C9" w:rsidRDefault="000B335A" w:rsidP="00D302C3">
            <w:pPr>
              <w:autoSpaceDE/>
              <w:autoSpaceDN/>
              <w:adjustRightInd/>
              <w:spacing w:line="233" w:lineRule="auto"/>
              <w:jc w:val="both"/>
              <w:rPr>
                <w:color w:val="000000"/>
                <w:sz w:val="20"/>
                <w:szCs w:val="20"/>
              </w:rPr>
            </w:pPr>
            <w:r w:rsidRPr="007D22C9">
              <w:rPr>
                <w:color w:val="000000"/>
                <w:sz w:val="20"/>
                <w:szCs w:val="20"/>
              </w:rPr>
              <w:t xml:space="preserve">ГАУЗ </w:t>
            </w:r>
            <w:r w:rsidR="002F7358" w:rsidRPr="007D22C9">
              <w:rPr>
                <w:color w:val="000000"/>
                <w:sz w:val="20"/>
                <w:szCs w:val="20"/>
              </w:rPr>
              <w:t>«</w:t>
            </w:r>
            <w:r w:rsidRPr="007D22C9">
              <w:rPr>
                <w:color w:val="000000"/>
                <w:sz w:val="20"/>
                <w:szCs w:val="20"/>
              </w:rPr>
              <w:t>Городская поликлиника № 10</w:t>
            </w:r>
            <w:r w:rsidR="002F7358" w:rsidRPr="007D22C9">
              <w:rPr>
                <w:color w:val="000000"/>
                <w:sz w:val="20"/>
                <w:szCs w:val="20"/>
              </w:rPr>
              <w:t>»</w:t>
            </w:r>
            <w:r w:rsidRPr="007D22C9">
              <w:rPr>
                <w:color w:val="000000"/>
                <w:sz w:val="20"/>
                <w:szCs w:val="20"/>
              </w:rPr>
              <w:t xml:space="preserve"> г.Казани</w:t>
            </w:r>
          </w:p>
        </w:tc>
        <w:tc>
          <w:tcPr>
            <w:tcW w:w="1418" w:type="dxa"/>
            <w:tcBorders>
              <w:top w:val="nil"/>
              <w:left w:val="single" w:sz="4" w:space="0" w:color="auto"/>
              <w:bottom w:val="single" w:sz="4" w:space="0" w:color="auto"/>
              <w:right w:val="single" w:sz="4" w:space="0" w:color="auto"/>
            </w:tcBorders>
            <w:shd w:val="clear" w:color="auto" w:fill="auto"/>
            <w:hideMark/>
          </w:tcPr>
          <w:p w:rsidR="000B335A" w:rsidRPr="007D22C9" w:rsidRDefault="00C572EE" w:rsidP="00D302C3">
            <w:pPr>
              <w:autoSpaceDE/>
              <w:autoSpaceDN/>
              <w:adjustRightInd/>
              <w:spacing w:line="233" w:lineRule="auto"/>
              <w:jc w:val="both"/>
              <w:rPr>
                <w:color w:val="000000"/>
                <w:sz w:val="20"/>
                <w:szCs w:val="20"/>
              </w:rPr>
            </w:pPr>
            <w:r w:rsidRPr="007D22C9">
              <w:rPr>
                <w:color w:val="000000"/>
                <w:sz w:val="20"/>
                <w:szCs w:val="20"/>
              </w:rPr>
              <w:t>г.</w:t>
            </w:r>
            <w:r w:rsidR="000B335A" w:rsidRPr="007D22C9">
              <w:rPr>
                <w:color w:val="000000"/>
                <w:sz w:val="20"/>
                <w:szCs w:val="20"/>
              </w:rPr>
              <w:t xml:space="preserve">Казань, </w:t>
            </w:r>
            <w:r w:rsidR="00CF57D0" w:rsidRPr="007D22C9">
              <w:rPr>
                <w:color w:val="000000"/>
                <w:sz w:val="20"/>
                <w:szCs w:val="20"/>
              </w:rPr>
              <w:t>ул.</w:t>
            </w:r>
            <w:r w:rsidR="000B335A" w:rsidRPr="007D22C9">
              <w:rPr>
                <w:color w:val="000000"/>
                <w:sz w:val="20"/>
                <w:szCs w:val="20"/>
              </w:rPr>
              <w:t xml:space="preserve">Бондаренко, </w:t>
            </w:r>
            <w:r w:rsidR="00C940D5" w:rsidRPr="007D22C9">
              <w:rPr>
                <w:color w:val="000000"/>
                <w:sz w:val="20"/>
                <w:szCs w:val="20"/>
              </w:rPr>
              <w:t>д.</w:t>
            </w:r>
            <w:r w:rsidR="000B335A" w:rsidRPr="007D22C9">
              <w:rPr>
                <w:color w:val="000000"/>
                <w:sz w:val="20"/>
                <w:szCs w:val="20"/>
              </w:rPr>
              <w:t>4</w:t>
            </w:r>
          </w:p>
        </w:tc>
        <w:tc>
          <w:tcPr>
            <w:tcW w:w="1418" w:type="dxa"/>
            <w:tcBorders>
              <w:top w:val="nil"/>
              <w:left w:val="nil"/>
              <w:bottom w:val="single" w:sz="4" w:space="0" w:color="auto"/>
              <w:right w:val="single" w:sz="4" w:space="0" w:color="auto"/>
            </w:tcBorders>
            <w:shd w:val="clear" w:color="auto" w:fill="auto"/>
            <w:hideMark/>
          </w:tcPr>
          <w:p w:rsidR="000B335A" w:rsidRPr="007D22C9" w:rsidRDefault="000B335A" w:rsidP="00D302C3">
            <w:pPr>
              <w:autoSpaceDE/>
              <w:autoSpaceDN/>
              <w:adjustRightInd/>
              <w:spacing w:line="233" w:lineRule="auto"/>
              <w:jc w:val="both"/>
              <w:rPr>
                <w:color w:val="000000"/>
                <w:sz w:val="20"/>
                <w:szCs w:val="20"/>
              </w:rPr>
            </w:pPr>
            <w:r w:rsidRPr="007D22C9">
              <w:rPr>
                <w:color w:val="000000"/>
                <w:sz w:val="20"/>
                <w:szCs w:val="20"/>
              </w:rPr>
              <w:t>г.Казань</w:t>
            </w:r>
          </w:p>
        </w:tc>
        <w:tc>
          <w:tcPr>
            <w:tcW w:w="851" w:type="dxa"/>
            <w:tcBorders>
              <w:top w:val="nil"/>
              <w:left w:val="nil"/>
              <w:bottom w:val="single" w:sz="4" w:space="0" w:color="auto"/>
              <w:right w:val="single" w:sz="4" w:space="0" w:color="auto"/>
            </w:tcBorders>
            <w:shd w:val="clear" w:color="auto" w:fill="auto"/>
            <w:hideMark/>
          </w:tcPr>
          <w:p w:rsidR="000B335A" w:rsidRPr="007D22C9" w:rsidRDefault="000B335A" w:rsidP="00D302C3">
            <w:pPr>
              <w:autoSpaceDE/>
              <w:autoSpaceDN/>
              <w:adjustRightInd/>
              <w:spacing w:line="233" w:lineRule="auto"/>
              <w:jc w:val="center"/>
              <w:rPr>
                <w:color w:val="000000"/>
                <w:sz w:val="20"/>
                <w:szCs w:val="20"/>
              </w:rPr>
            </w:pPr>
            <w:r w:rsidRPr="007D22C9">
              <w:rPr>
                <w:color w:val="000000"/>
                <w:sz w:val="20"/>
                <w:szCs w:val="20"/>
              </w:rPr>
              <w:t>93 733</w:t>
            </w:r>
          </w:p>
        </w:tc>
        <w:tc>
          <w:tcPr>
            <w:tcW w:w="850" w:type="dxa"/>
            <w:tcBorders>
              <w:top w:val="nil"/>
              <w:left w:val="nil"/>
              <w:bottom w:val="single" w:sz="4" w:space="0" w:color="auto"/>
              <w:right w:val="single" w:sz="4" w:space="0" w:color="auto"/>
            </w:tcBorders>
            <w:shd w:val="clear" w:color="auto" w:fill="auto"/>
            <w:hideMark/>
          </w:tcPr>
          <w:p w:rsidR="000B335A" w:rsidRPr="007D22C9" w:rsidRDefault="000B335A" w:rsidP="00D302C3">
            <w:pPr>
              <w:autoSpaceDE/>
              <w:autoSpaceDN/>
              <w:adjustRightInd/>
              <w:spacing w:line="233" w:lineRule="auto"/>
              <w:jc w:val="center"/>
              <w:rPr>
                <w:color w:val="000000"/>
                <w:sz w:val="20"/>
                <w:szCs w:val="20"/>
              </w:rPr>
            </w:pPr>
            <w:r w:rsidRPr="007D22C9">
              <w:rPr>
                <w:color w:val="000000"/>
                <w:sz w:val="20"/>
                <w:szCs w:val="20"/>
              </w:rPr>
              <w:t>3,12</w:t>
            </w:r>
          </w:p>
        </w:tc>
        <w:tc>
          <w:tcPr>
            <w:tcW w:w="1077" w:type="dxa"/>
            <w:tcBorders>
              <w:top w:val="nil"/>
              <w:left w:val="nil"/>
              <w:bottom w:val="single" w:sz="4" w:space="0" w:color="auto"/>
              <w:right w:val="single" w:sz="4" w:space="0" w:color="auto"/>
            </w:tcBorders>
            <w:shd w:val="clear" w:color="auto" w:fill="auto"/>
            <w:hideMark/>
          </w:tcPr>
          <w:p w:rsidR="000B335A" w:rsidRPr="007D22C9" w:rsidRDefault="000B47BD" w:rsidP="000B47BD">
            <w:pPr>
              <w:autoSpaceDE/>
              <w:autoSpaceDN/>
              <w:adjustRightInd/>
              <w:spacing w:line="233" w:lineRule="auto"/>
              <w:jc w:val="center"/>
              <w:rPr>
                <w:color w:val="000000"/>
                <w:sz w:val="20"/>
                <w:szCs w:val="20"/>
              </w:rPr>
            </w:pPr>
            <w:r w:rsidRPr="007D22C9">
              <w:rPr>
                <w:color w:val="000000"/>
                <w:sz w:val="20"/>
                <w:szCs w:val="20"/>
              </w:rPr>
              <w:t>5,50</w:t>
            </w:r>
          </w:p>
        </w:tc>
        <w:tc>
          <w:tcPr>
            <w:tcW w:w="992" w:type="dxa"/>
            <w:tcBorders>
              <w:top w:val="nil"/>
              <w:left w:val="nil"/>
              <w:bottom w:val="single" w:sz="4" w:space="0" w:color="auto"/>
              <w:right w:val="single" w:sz="4" w:space="0" w:color="auto"/>
            </w:tcBorders>
            <w:shd w:val="clear" w:color="auto" w:fill="auto"/>
            <w:hideMark/>
          </w:tcPr>
          <w:p w:rsidR="000B335A" w:rsidRPr="007D22C9" w:rsidRDefault="000B47BD" w:rsidP="000B47BD">
            <w:pPr>
              <w:autoSpaceDE/>
              <w:autoSpaceDN/>
              <w:adjustRightInd/>
              <w:spacing w:line="233" w:lineRule="auto"/>
              <w:jc w:val="center"/>
              <w:rPr>
                <w:color w:val="000000"/>
                <w:sz w:val="20"/>
                <w:szCs w:val="20"/>
              </w:rPr>
            </w:pPr>
            <w:r w:rsidRPr="007D22C9">
              <w:rPr>
                <w:color w:val="000000"/>
                <w:sz w:val="20"/>
                <w:szCs w:val="20"/>
              </w:rPr>
              <w:t>5,50</w:t>
            </w:r>
          </w:p>
        </w:tc>
        <w:tc>
          <w:tcPr>
            <w:tcW w:w="708" w:type="dxa"/>
            <w:tcBorders>
              <w:top w:val="nil"/>
              <w:left w:val="nil"/>
              <w:bottom w:val="single" w:sz="4" w:space="0" w:color="auto"/>
              <w:right w:val="single" w:sz="4" w:space="0" w:color="auto"/>
            </w:tcBorders>
            <w:shd w:val="clear" w:color="auto" w:fill="auto"/>
            <w:hideMark/>
          </w:tcPr>
          <w:p w:rsidR="000B335A" w:rsidRPr="007D22C9" w:rsidRDefault="000B47BD" w:rsidP="000B47BD">
            <w:pPr>
              <w:autoSpaceDE/>
              <w:autoSpaceDN/>
              <w:adjustRightInd/>
              <w:spacing w:line="233" w:lineRule="auto"/>
              <w:jc w:val="center"/>
              <w:rPr>
                <w:color w:val="000000"/>
                <w:sz w:val="20"/>
                <w:szCs w:val="20"/>
              </w:rPr>
            </w:pPr>
            <w:r w:rsidRPr="007D22C9">
              <w:rPr>
                <w:color w:val="000000"/>
                <w:sz w:val="20"/>
                <w:szCs w:val="20"/>
              </w:rPr>
              <w:t>6</w:t>
            </w:r>
          </w:p>
        </w:tc>
        <w:tc>
          <w:tcPr>
            <w:tcW w:w="993" w:type="dxa"/>
            <w:tcBorders>
              <w:top w:val="nil"/>
              <w:left w:val="nil"/>
              <w:bottom w:val="single" w:sz="4" w:space="0" w:color="auto"/>
              <w:right w:val="single" w:sz="4" w:space="0" w:color="auto"/>
            </w:tcBorders>
            <w:shd w:val="clear" w:color="auto" w:fill="auto"/>
            <w:hideMark/>
          </w:tcPr>
          <w:p w:rsidR="000B335A" w:rsidRPr="007D22C9" w:rsidRDefault="000B335A" w:rsidP="00D302C3">
            <w:pPr>
              <w:autoSpaceDE/>
              <w:autoSpaceDN/>
              <w:adjustRightInd/>
              <w:spacing w:line="233" w:lineRule="auto"/>
              <w:jc w:val="center"/>
              <w:rPr>
                <w:color w:val="000000"/>
                <w:sz w:val="20"/>
                <w:szCs w:val="20"/>
              </w:rPr>
            </w:pPr>
            <w:r w:rsidRPr="007D22C9">
              <w:rPr>
                <w:color w:val="000000"/>
                <w:sz w:val="20"/>
                <w:szCs w:val="20"/>
              </w:rPr>
              <w:t> </w:t>
            </w:r>
            <w:r w:rsidR="00DE16F2" w:rsidRPr="007D22C9">
              <w:rPr>
                <w:color w:val="000000"/>
                <w:sz w:val="20"/>
                <w:szCs w:val="20"/>
              </w:rPr>
              <w:t>0</w:t>
            </w:r>
          </w:p>
        </w:tc>
      </w:tr>
      <w:tr w:rsidR="000B335A" w:rsidRPr="007D22C9" w:rsidTr="00BD3B9A">
        <w:trPr>
          <w:trHeight w:val="20"/>
        </w:trPr>
        <w:tc>
          <w:tcPr>
            <w:tcW w:w="533" w:type="dxa"/>
            <w:tcBorders>
              <w:top w:val="nil"/>
              <w:left w:val="single" w:sz="4" w:space="0" w:color="auto"/>
              <w:bottom w:val="single" w:sz="4" w:space="0" w:color="auto"/>
              <w:right w:val="single" w:sz="4" w:space="0" w:color="auto"/>
            </w:tcBorders>
            <w:shd w:val="clear" w:color="auto" w:fill="auto"/>
            <w:hideMark/>
          </w:tcPr>
          <w:p w:rsidR="000B335A" w:rsidRPr="007D22C9" w:rsidRDefault="000B335A" w:rsidP="00D302C3">
            <w:pPr>
              <w:autoSpaceDE/>
              <w:autoSpaceDN/>
              <w:adjustRightInd/>
              <w:spacing w:line="233" w:lineRule="auto"/>
              <w:jc w:val="center"/>
              <w:rPr>
                <w:color w:val="000000"/>
                <w:sz w:val="20"/>
                <w:szCs w:val="20"/>
              </w:rPr>
            </w:pPr>
            <w:r w:rsidRPr="007D22C9">
              <w:rPr>
                <w:color w:val="000000"/>
                <w:sz w:val="20"/>
                <w:szCs w:val="20"/>
              </w:rPr>
              <w:t>51</w:t>
            </w:r>
            <w:r w:rsidR="003B1A7B" w:rsidRPr="007D22C9">
              <w:rPr>
                <w:color w:val="000000"/>
                <w:sz w:val="20"/>
                <w:szCs w:val="20"/>
              </w:rPr>
              <w:t>.</w:t>
            </w:r>
          </w:p>
        </w:tc>
        <w:tc>
          <w:tcPr>
            <w:tcW w:w="1730" w:type="dxa"/>
            <w:tcBorders>
              <w:top w:val="nil"/>
              <w:left w:val="nil"/>
              <w:bottom w:val="single" w:sz="4" w:space="0" w:color="auto"/>
              <w:right w:val="nil"/>
            </w:tcBorders>
            <w:shd w:val="clear" w:color="auto" w:fill="auto"/>
            <w:hideMark/>
          </w:tcPr>
          <w:p w:rsidR="000B335A" w:rsidRPr="007D22C9" w:rsidRDefault="000B335A" w:rsidP="00D302C3">
            <w:pPr>
              <w:autoSpaceDE/>
              <w:autoSpaceDN/>
              <w:adjustRightInd/>
              <w:spacing w:line="233" w:lineRule="auto"/>
              <w:jc w:val="both"/>
              <w:rPr>
                <w:color w:val="000000"/>
                <w:sz w:val="20"/>
                <w:szCs w:val="20"/>
              </w:rPr>
            </w:pPr>
            <w:r w:rsidRPr="007D22C9">
              <w:rPr>
                <w:color w:val="000000"/>
                <w:sz w:val="20"/>
                <w:szCs w:val="20"/>
              </w:rPr>
              <w:t xml:space="preserve">ГАУЗ </w:t>
            </w:r>
            <w:r w:rsidR="002F7358" w:rsidRPr="007D22C9">
              <w:rPr>
                <w:color w:val="000000"/>
                <w:sz w:val="20"/>
                <w:szCs w:val="20"/>
              </w:rPr>
              <w:t>«</w:t>
            </w:r>
            <w:r w:rsidRPr="007D22C9">
              <w:rPr>
                <w:color w:val="000000"/>
                <w:sz w:val="20"/>
                <w:szCs w:val="20"/>
              </w:rPr>
              <w:t>Городская поликлиника № 18</w:t>
            </w:r>
            <w:r w:rsidR="002F7358" w:rsidRPr="007D22C9">
              <w:rPr>
                <w:color w:val="000000"/>
                <w:sz w:val="20"/>
                <w:szCs w:val="20"/>
              </w:rPr>
              <w:t>»</w:t>
            </w:r>
            <w:r w:rsidRPr="007D22C9">
              <w:rPr>
                <w:color w:val="000000"/>
                <w:sz w:val="20"/>
                <w:szCs w:val="20"/>
              </w:rPr>
              <w:t xml:space="preserve"> г.Казани</w:t>
            </w:r>
          </w:p>
        </w:tc>
        <w:tc>
          <w:tcPr>
            <w:tcW w:w="1418" w:type="dxa"/>
            <w:tcBorders>
              <w:top w:val="nil"/>
              <w:left w:val="single" w:sz="4" w:space="0" w:color="auto"/>
              <w:bottom w:val="single" w:sz="4" w:space="0" w:color="auto"/>
              <w:right w:val="single" w:sz="4" w:space="0" w:color="auto"/>
            </w:tcBorders>
            <w:shd w:val="clear" w:color="auto" w:fill="auto"/>
            <w:hideMark/>
          </w:tcPr>
          <w:p w:rsidR="000B335A" w:rsidRPr="007D22C9" w:rsidRDefault="00C572EE" w:rsidP="00D302C3">
            <w:pPr>
              <w:autoSpaceDE/>
              <w:autoSpaceDN/>
              <w:adjustRightInd/>
              <w:spacing w:line="233" w:lineRule="auto"/>
              <w:jc w:val="both"/>
              <w:rPr>
                <w:color w:val="000000"/>
                <w:sz w:val="20"/>
                <w:szCs w:val="20"/>
              </w:rPr>
            </w:pPr>
            <w:r w:rsidRPr="007D22C9">
              <w:rPr>
                <w:color w:val="000000"/>
                <w:sz w:val="20"/>
                <w:szCs w:val="20"/>
              </w:rPr>
              <w:t>г.</w:t>
            </w:r>
            <w:r w:rsidR="000B335A" w:rsidRPr="007D22C9">
              <w:rPr>
                <w:color w:val="000000"/>
                <w:sz w:val="20"/>
                <w:szCs w:val="20"/>
              </w:rPr>
              <w:t xml:space="preserve">Казань, </w:t>
            </w:r>
            <w:r w:rsidR="00CF57D0" w:rsidRPr="007D22C9">
              <w:rPr>
                <w:color w:val="000000"/>
                <w:sz w:val="20"/>
                <w:szCs w:val="20"/>
              </w:rPr>
              <w:t>ул.</w:t>
            </w:r>
            <w:r w:rsidR="000B335A" w:rsidRPr="007D22C9">
              <w:rPr>
                <w:color w:val="000000"/>
                <w:sz w:val="20"/>
                <w:szCs w:val="20"/>
              </w:rPr>
              <w:t xml:space="preserve">Карбышева, </w:t>
            </w:r>
            <w:r w:rsidR="00C940D5" w:rsidRPr="007D22C9">
              <w:rPr>
                <w:color w:val="000000"/>
                <w:sz w:val="20"/>
                <w:szCs w:val="20"/>
              </w:rPr>
              <w:t>д.</w:t>
            </w:r>
            <w:r w:rsidR="000B335A" w:rsidRPr="007D22C9">
              <w:rPr>
                <w:color w:val="000000"/>
                <w:sz w:val="20"/>
                <w:szCs w:val="20"/>
              </w:rPr>
              <w:t>12</w:t>
            </w:r>
          </w:p>
        </w:tc>
        <w:tc>
          <w:tcPr>
            <w:tcW w:w="1418" w:type="dxa"/>
            <w:tcBorders>
              <w:top w:val="nil"/>
              <w:left w:val="nil"/>
              <w:bottom w:val="single" w:sz="4" w:space="0" w:color="auto"/>
              <w:right w:val="single" w:sz="4" w:space="0" w:color="auto"/>
            </w:tcBorders>
            <w:shd w:val="clear" w:color="auto" w:fill="auto"/>
            <w:hideMark/>
          </w:tcPr>
          <w:p w:rsidR="000B335A" w:rsidRPr="007D22C9" w:rsidRDefault="000B335A" w:rsidP="00D302C3">
            <w:pPr>
              <w:autoSpaceDE/>
              <w:autoSpaceDN/>
              <w:adjustRightInd/>
              <w:spacing w:line="233" w:lineRule="auto"/>
              <w:jc w:val="both"/>
              <w:rPr>
                <w:color w:val="000000"/>
                <w:sz w:val="20"/>
                <w:szCs w:val="20"/>
              </w:rPr>
            </w:pPr>
            <w:r w:rsidRPr="007D22C9">
              <w:rPr>
                <w:color w:val="000000"/>
                <w:sz w:val="20"/>
                <w:szCs w:val="20"/>
              </w:rPr>
              <w:t>г.Казань</w:t>
            </w:r>
          </w:p>
        </w:tc>
        <w:tc>
          <w:tcPr>
            <w:tcW w:w="851" w:type="dxa"/>
            <w:tcBorders>
              <w:top w:val="nil"/>
              <w:left w:val="nil"/>
              <w:bottom w:val="single" w:sz="4" w:space="0" w:color="auto"/>
              <w:right w:val="single" w:sz="4" w:space="0" w:color="auto"/>
            </w:tcBorders>
            <w:shd w:val="clear" w:color="auto" w:fill="auto"/>
            <w:hideMark/>
          </w:tcPr>
          <w:p w:rsidR="000B335A" w:rsidRPr="007D22C9" w:rsidRDefault="000B335A" w:rsidP="00D302C3">
            <w:pPr>
              <w:autoSpaceDE/>
              <w:autoSpaceDN/>
              <w:adjustRightInd/>
              <w:spacing w:line="233" w:lineRule="auto"/>
              <w:jc w:val="center"/>
              <w:rPr>
                <w:color w:val="000000"/>
                <w:sz w:val="20"/>
                <w:szCs w:val="20"/>
              </w:rPr>
            </w:pPr>
            <w:r w:rsidRPr="007D22C9">
              <w:rPr>
                <w:color w:val="000000"/>
                <w:sz w:val="20"/>
                <w:szCs w:val="20"/>
              </w:rPr>
              <w:t>77 087</w:t>
            </w:r>
          </w:p>
        </w:tc>
        <w:tc>
          <w:tcPr>
            <w:tcW w:w="850" w:type="dxa"/>
            <w:tcBorders>
              <w:top w:val="nil"/>
              <w:left w:val="nil"/>
              <w:bottom w:val="single" w:sz="4" w:space="0" w:color="auto"/>
              <w:right w:val="single" w:sz="4" w:space="0" w:color="auto"/>
            </w:tcBorders>
            <w:shd w:val="clear" w:color="auto" w:fill="auto"/>
            <w:hideMark/>
          </w:tcPr>
          <w:p w:rsidR="000B335A" w:rsidRPr="007D22C9" w:rsidRDefault="000B335A" w:rsidP="00D302C3">
            <w:pPr>
              <w:autoSpaceDE/>
              <w:autoSpaceDN/>
              <w:adjustRightInd/>
              <w:spacing w:line="233" w:lineRule="auto"/>
              <w:jc w:val="center"/>
              <w:rPr>
                <w:color w:val="000000"/>
                <w:sz w:val="20"/>
                <w:szCs w:val="20"/>
              </w:rPr>
            </w:pPr>
            <w:r w:rsidRPr="007D22C9">
              <w:rPr>
                <w:color w:val="000000"/>
                <w:sz w:val="20"/>
                <w:szCs w:val="20"/>
              </w:rPr>
              <w:t>2,57</w:t>
            </w:r>
          </w:p>
        </w:tc>
        <w:tc>
          <w:tcPr>
            <w:tcW w:w="1077" w:type="dxa"/>
            <w:tcBorders>
              <w:top w:val="nil"/>
              <w:left w:val="nil"/>
              <w:bottom w:val="single" w:sz="4" w:space="0" w:color="auto"/>
              <w:right w:val="single" w:sz="4" w:space="0" w:color="auto"/>
            </w:tcBorders>
            <w:shd w:val="clear" w:color="auto" w:fill="auto"/>
            <w:hideMark/>
          </w:tcPr>
          <w:p w:rsidR="000B335A" w:rsidRPr="007D22C9" w:rsidRDefault="00A579C4" w:rsidP="00A579C4">
            <w:pPr>
              <w:autoSpaceDE/>
              <w:autoSpaceDN/>
              <w:adjustRightInd/>
              <w:spacing w:line="233" w:lineRule="auto"/>
              <w:jc w:val="center"/>
              <w:rPr>
                <w:color w:val="000000"/>
                <w:sz w:val="20"/>
                <w:szCs w:val="20"/>
              </w:rPr>
            </w:pPr>
            <w:r w:rsidRPr="007D22C9">
              <w:rPr>
                <w:color w:val="000000"/>
                <w:sz w:val="20"/>
                <w:szCs w:val="20"/>
              </w:rPr>
              <w:t>2,50</w:t>
            </w:r>
          </w:p>
        </w:tc>
        <w:tc>
          <w:tcPr>
            <w:tcW w:w="992" w:type="dxa"/>
            <w:tcBorders>
              <w:top w:val="nil"/>
              <w:left w:val="nil"/>
              <w:bottom w:val="single" w:sz="4" w:space="0" w:color="auto"/>
              <w:right w:val="single" w:sz="4" w:space="0" w:color="auto"/>
            </w:tcBorders>
            <w:shd w:val="clear" w:color="auto" w:fill="auto"/>
            <w:hideMark/>
          </w:tcPr>
          <w:p w:rsidR="000B335A" w:rsidRPr="007D22C9" w:rsidRDefault="00A579C4" w:rsidP="00A579C4">
            <w:pPr>
              <w:autoSpaceDE/>
              <w:autoSpaceDN/>
              <w:adjustRightInd/>
              <w:spacing w:line="233" w:lineRule="auto"/>
              <w:jc w:val="center"/>
              <w:rPr>
                <w:color w:val="000000"/>
                <w:sz w:val="20"/>
                <w:szCs w:val="20"/>
              </w:rPr>
            </w:pPr>
            <w:r w:rsidRPr="007D22C9">
              <w:rPr>
                <w:color w:val="000000"/>
                <w:sz w:val="20"/>
                <w:szCs w:val="20"/>
              </w:rPr>
              <w:t>2,50</w:t>
            </w:r>
          </w:p>
        </w:tc>
        <w:tc>
          <w:tcPr>
            <w:tcW w:w="708" w:type="dxa"/>
            <w:tcBorders>
              <w:top w:val="nil"/>
              <w:left w:val="nil"/>
              <w:bottom w:val="single" w:sz="4" w:space="0" w:color="auto"/>
              <w:right w:val="single" w:sz="4" w:space="0" w:color="auto"/>
            </w:tcBorders>
            <w:shd w:val="clear" w:color="auto" w:fill="auto"/>
            <w:hideMark/>
          </w:tcPr>
          <w:p w:rsidR="000B335A" w:rsidRPr="007D22C9" w:rsidRDefault="00A579C4" w:rsidP="00A579C4">
            <w:pPr>
              <w:autoSpaceDE/>
              <w:autoSpaceDN/>
              <w:adjustRightInd/>
              <w:spacing w:line="233" w:lineRule="auto"/>
              <w:jc w:val="center"/>
              <w:rPr>
                <w:color w:val="000000"/>
                <w:sz w:val="20"/>
                <w:szCs w:val="20"/>
              </w:rPr>
            </w:pPr>
            <w:r w:rsidRPr="007D22C9">
              <w:rPr>
                <w:color w:val="000000"/>
                <w:sz w:val="20"/>
                <w:szCs w:val="20"/>
              </w:rPr>
              <w:t>3</w:t>
            </w:r>
          </w:p>
        </w:tc>
        <w:tc>
          <w:tcPr>
            <w:tcW w:w="993" w:type="dxa"/>
            <w:tcBorders>
              <w:top w:val="nil"/>
              <w:left w:val="nil"/>
              <w:bottom w:val="single" w:sz="4" w:space="0" w:color="auto"/>
              <w:right w:val="single" w:sz="4" w:space="0" w:color="auto"/>
            </w:tcBorders>
            <w:shd w:val="clear" w:color="auto" w:fill="auto"/>
            <w:hideMark/>
          </w:tcPr>
          <w:p w:rsidR="000B335A" w:rsidRPr="007D22C9" w:rsidRDefault="00DE16F2" w:rsidP="00D302C3">
            <w:pPr>
              <w:autoSpaceDE/>
              <w:autoSpaceDN/>
              <w:adjustRightInd/>
              <w:spacing w:line="233" w:lineRule="auto"/>
              <w:jc w:val="center"/>
              <w:rPr>
                <w:color w:val="000000"/>
                <w:sz w:val="20"/>
                <w:szCs w:val="20"/>
              </w:rPr>
            </w:pPr>
            <w:r w:rsidRPr="007D22C9">
              <w:rPr>
                <w:color w:val="000000"/>
                <w:sz w:val="20"/>
                <w:szCs w:val="20"/>
              </w:rPr>
              <w:t>0</w:t>
            </w:r>
            <w:r w:rsidR="000B335A" w:rsidRPr="007D22C9">
              <w:rPr>
                <w:color w:val="000000"/>
                <w:sz w:val="20"/>
                <w:szCs w:val="20"/>
              </w:rPr>
              <w:t> </w:t>
            </w:r>
          </w:p>
        </w:tc>
      </w:tr>
      <w:tr w:rsidR="000B335A" w:rsidRPr="007D22C9" w:rsidTr="00BD3B9A">
        <w:trPr>
          <w:trHeight w:val="20"/>
        </w:trPr>
        <w:tc>
          <w:tcPr>
            <w:tcW w:w="533" w:type="dxa"/>
            <w:tcBorders>
              <w:top w:val="nil"/>
              <w:left w:val="single" w:sz="4" w:space="0" w:color="auto"/>
              <w:bottom w:val="single" w:sz="4" w:space="0" w:color="auto"/>
              <w:right w:val="single" w:sz="4" w:space="0" w:color="auto"/>
            </w:tcBorders>
            <w:shd w:val="clear" w:color="auto" w:fill="auto"/>
            <w:hideMark/>
          </w:tcPr>
          <w:p w:rsidR="000B335A" w:rsidRPr="007D22C9" w:rsidRDefault="000B335A" w:rsidP="00D302C3">
            <w:pPr>
              <w:autoSpaceDE/>
              <w:autoSpaceDN/>
              <w:adjustRightInd/>
              <w:spacing w:line="233" w:lineRule="auto"/>
              <w:jc w:val="center"/>
              <w:rPr>
                <w:color w:val="000000"/>
                <w:sz w:val="20"/>
                <w:szCs w:val="20"/>
              </w:rPr>
            </w:pPr>
            <w:r w:rsidRPr="007D22C9">
              <w:rPr>
                <w:color w:val="000000"/>
                <w:sz w:val="20"/>
                <w:szCs w:val="20"/>
              </w:rPr>
              <w:t>52</w:t>
            </w:r>
            <w:r w:rsidR="003B1A7B" w:rsidRPr="007D22C9">
              <w:rPr>
                <w:color w:val="000000"/>
                <w:sz w:val="20"/>
                <w:szCs w:val="20"/>
              </w:rPr>
              <w:t>.</w:t>
            </w:r>
          </w:p>
        </w:tc>
        <w:tc>
          <w:tcPr>
            <w:tcW w:w="1730" w:type="dxa"/>
            <w:tcBorders>
              <w:top w:val="nil"/>
              <w:left w:val="nil"/>
              <w:bottom w:val="single" w:sz="4" w:space="0" w:color="auto"/>
              <w:right w:val="nil"/>
            </w:tcBorders>
            <w:shd w:val="clear" w:color="auto" w:fill="auto"/>
            <w:hideMark/>
          </w:tcPr>
          <w:p w:rsidR="000B335A" w:rsidRPr="007D22C9" w:rsidRDefault="000B335A" w:rsidP="00D302C3">
            <w:pPr>
              <w:autoSpaceDE/>
              <w:autoSpaceDN/>
              <w:adjustRightInd/>
              <w:spacing w:line="233" w:lineRule="auto"/>
              <w:jc w:val="both"/>
              <w:rPr>
                <w:color w:val="000000"/>
                <w:sz w:val="20"/>
                <w:szCs w:val="20"/>
              </w:rPr>
            </w:pPr>
            <w:r w:rsidRPr="007D22C9">
              <w:rPr>
                <w:color w:val="000000"/>
                <w:sz w:val="20"/>
                <w:szCs w:val="20"/>
              </w:rPr>
              <w:t xml:space="preserve">ГАУЗ </w:t>
            </w:r>
            <w:r w:rsidR="002F7358" w:rsidRPr="007D22C9">
              <w:rPr>
                <w:color w:val="000000"/>
                <w:sz w:val="20"/>
                <w:szCs w:val="20"/>
              </w:rPr>
              <w:t>«</w:t>
            </w:r>
            <w:r w:rsidRPr="007D22C9">
              <w:rPr>
                <w:color w:val="000000"/>
                <w:sz w:val="20"/>
                <w:szCs w:val="20"/>
              </w:rPr>
              <w:t>Городская поликлиника № 7</w:t>
            </w:r>
            <w:r w:rsidR="002F7358" w:rsidRPr="007D22C9">
              <w:rPr>
                <w:color w:val="000000"/>
                <w:sz w:val="20"/>
                <w:szCs w:val="20"/>
              </w:rPr>
              <w:t>»</w:t>
            </w:r>
            <w:r w:rsidRPr="007D22C9">
              <w:rPr>
                <w:color w:val="000000"/>
                <w:sz w:val="20"/>
                <w:szCs w:val="20"/>
              </w:rPr>
              <w:t xml:space="preserve"> г.Казани</w:t>
            </w:r>
          </w:p>
        </w:tc>
        <w:tc>
          <w:tcPr>
            <w:tcW w:w="1418" w:type="dxa"/>
            <w:tcBorders>
              <w:top w:val="nil"/>
              <w:left w:val="single" w:sz="4" w:space="0" w:color="auto"/>
              <w:bottom w:val="single" w:sz="4" w:space="0" w:color="auto"/>
              <w:right w:val="single" w:sz="4" w:space="0" w:color="auto"/>
            </w:tcBorders>
            <w:shd w:val="clear" w:color="auto" w:fill="auto"/>
            <w:hideMark/>
          </w:tcPr>
          <w:p w:rsidR="000B335A" w:rsidRPr="007D22C9" w:rsidRDefault="00C572EE" w:rsidP="00D302C3">
            <w:pPr>
              <w:autoSpaceDE/>
              <w:autoSpaceDN/>
              <w:adjustRightInd/>
              <w:spacing w:line="233" w:lineRule="auto"/>
              <w:jc w:val="both"/>
              <w:rPr>
                <w:color w:val="000000"/>
                <w:sz w:val="20"/>
                <w:szCs w:val="20"/>
              </w:rPr>
            </w:pPr>
            <w:r w:rsidRPr="007D22C9">
              <w:rPr>
                <w:color w:val="000000"/>
                <w:sz w:val="20"/>
                <w:szCs w:val="20"/>
              </w:rPr>
              <w:t>г.</w:t>
            </w:r>
            <w:r w:rsidR="000B335A" w:rsidRPr="007D22C9">
              <w:rPr>
                <w:color w:val="000000"/>
                <w:sz w:val="20"/>
                <w:szCs w:val="20"/>
              </w:rPr>
              <w:t xml:space="preserve">Казань,, </w:t>
            </w:r>
            <w:r w:rsidR="00CF57D0" w:rsidRPr="007D22C9">
              <w:rPr>
                <w:color w:val="000000"/>
                <w:sz w:val="20"/>
                <w:szCs w:val="20"/>
              </w:rPr>
              <w:t>ул.</w:t>
            </w:r>
            <w:r w:rsidR="000B335A" w:rsidRPr="007D22C9">
              <w:rPr>
                <w:color w:val="000000"/>
                <w:sz w:val="20"/>
                <w:szCs w:val="20"/>
              </w:rPr>
              <w:t xml:space="preserve">Ф.Карима, </w:t>
            </w:r>
            <w:r w:rsidR="00C940D5" w:rsidRPr="007D22C9">
              <w:rPr>
                <w:color w:val="000000"/>
                <w:sz w:val="20"/>
                <w:szCs w:val="20"/>
              </w:rPr>
              <w:t>д.</w:t>
            </w:r>
            <w:r w:rsidR="000B335A" w:rsidRPr="007D22C9">
              <w:rPr>
                <w:color w:val="000000"/>
                <w:sz w:val="20"/>
                <w:szCs w:val="20"/>
              </w:rPr>
              <w:t>14/67</w:t>
            </w:r>
          </w:p>
        </w:tc>
        <w:tc>
          <w:tcPr>
            <w:tcW w:w="1418" w:type="dxa"/>
            <w:tcBorders>
              <w:top w:val="nil"/>
              <w:left w:val="nil"/>
              <w:bottom w:val="single" w:sz="4" w:space="0" w:color="auto"/>
              <w:right w:val="single" w:sz="4" w:space="0" w:color="auto"/>
            </w:tcBorders>
            <w:shd w:val="clear" w:color="auto" w:fill="auto"/>
            <w:hideMark/>
          </w:tcPr>
          <w:p w:rsidR="000B335A" w:rsidRPr="007D22C9" w:rsidRDefault="000B335A" w:rsidP="00D302C3">
            <w:pPr>
              <w:autoSpaceDE/>
              <w:autoSpaceDN/>
              <w:adjustRightInd/>
              <w:spacing w:line="233" w:lineRule="auto"/>
              <w:jc w:val="both"/>
              <w:rPr>
                <w:color w:val="000000"/>
                <w:sz w:val="20"/>
                <w:szCs w:val="20"/>
              </w:rPr>
            </w:pPr>
            <w:r w:rsidRPr="007D22C9">
              <w:rPr>
                <w:color w:val="000000"/>
                <w:sz w:val="20"/>
                <w:szCs w:val="20"/>
              </w:rPr>
              <w:t>г.Казань</w:t>
            </w:r>
          </w:p>
        </w:tc>
        <w:tc>
          <w:tcPr>
            <w:tcW w:w="851" w:type="dxa"/>
            <w:tcBorders>
              <w:top w:val="nil"/>
              <w:left w:val="nil"/>
              <w:bottom w:val="single" w:sz="4" w:space="0" w:color="auto"/>
              <w:right w:val="single" w:sz="4" w:space="0" w:color="auto"/>
            </w:tcBorders>
            <w:shd w:val="clear" w:color="auto" w:fill="auto"/>
            <w:hideMark/>
          </w:tcPr>
          <w:p w:rsidR="000B335A" w:rsidRPr="007D22C9" w:rsidRDefault="000B335A" w:rsidP="00D302C3">
            <w:pPr>
              <w:autoSpaceDE/>
              <w:autoSpaceDN/>
              <w:adjustRightInd/>
              <w:spacing w:line="233" w:lineRule="auto"/>
              <w:jc w:val="center"/>
              <w:rPr>
                <w:color w:val="000000"/>
                <w:sz w:val="20"/>
                <w:szCs w:val="20"/>
              </w:rPr>
            </w:pPr>
            <w:r w:rsidRPr="007D22C9">
              <w:rPr>
                <w:color w:val="000000"/>
                <w:sz w:val="20"/>
                <w:szCs w:val="20"/>
              </w:rPr>
              <w:t>32 888</w:t>
            </w:r>
          </w:p>
        </w:tc>
        <w:tc>
          <w:tcPr>
            <w:tcW w:w="850" w:type="dxa"/>
            <w:tcBorders>
              <w:top w:val="nil"/>
              <w:left w:val="nil"/>
              <w:bottom w:val="single" w:sz="4" w:space="0" w:color="auto"/>
              <w:right w:val="single" w:sz="4" w:space="0" w:color="auto"/>
            </w:tcBorders>
            <w:shd w:val="clear" w:color="auto" w:fill="auto"/>
            <w:hideMark/>
          </w:tcPr>
          <w:p w:rsidR="000B335A" w:rsidRPr="007D22C9" w:rsidRDefault="000B335A" w:rsidP="00D302C3">
            <w:pPr>
              <w:autoSpaceDE/>
              <w:autoSpaceDN/>
              <w:adjustRightInd/>
              <w:spacing w:line="233" w:lineRule="auto"/>
              <w:jc w:val="center"/>
              <w:rPr>
                <w:color w:val="000000"/>
                <w:sz w:val="20"/>
                <w:szCs w:val="20"/>
              </w:rPr>
            </w:pPr>
            <w:r w:rsidRPr="007D22C9">
              <w:rPr>
                <w:color w:val="000000"/>
                <w:sz w:val="20"/>
                <w:szCs w:val="20"/>
              </w:rPr>
              <w:t>1,10</w:t>
            </w:r>
          </w:p>
        </w:tc>
        <w:tc>
          <w:tcPr>
            <w:tcW w:w="1077" w:type="dxa"/>
            <w:tcBorders>
              <w:top w:val="nil"/>
              <w:left w:val="nil"/>
              <w:bottom w:val="single" w:sz="4" w:space="0" w:color="auto"/>
              <w:right w:val="single" w:sz="4" w:space="0" w:color="auto"/>
            </w:tcBorders>
            <w:shd w:val="clear" w:color="auto" w:fill="auto"/>
            <w:hideMark/>
          </w:tcPr>
          <w:p w:rsidR="000B335A" w:rsidRPr="007D22C9" w:rsidRDefault="00D000FE" w:rsidP="00D000FE">
            <w:pPr>
              <w:autoSpaceDE/>
              <w:autoSpaceDN/>
              <w:adjustRightInd/>
              <w:spacing w:line="233" w:lineRule="auto"/>
              <w:jc w:val="center"/>
              <w:rPr>
                <w:color w:val="000000"/>
                <w:sz w:val="20"/>
                <w:szCs w:val="20"/>
              </w:rPr>
            </w:pPr>
            <w:r w:rsidRPr="007D22C9">
              <w:rPr>
                <w:color w:val="000000"/>
                <w:sz w:val="20"/>
                <w:szCs w:val="20"/>
              </w:rPr>
              <w:t>1,00</w:t>
            </w:r>
          </w:p>
        </w:tc>
        <w:tc>
          <w:tcPr>
            <w:tcW w:w="992" w:type="dxa"/>
            <w:tcBorders>
              <w:top w:val="nil"/>
              <w:left w:val="nil"/>
              <w:bottom w:val="single" w:sz="4" w:space="0" w:color="auto"/>
              <w:right w:val="single" w:sz="4" w:space="0" w:color="auto"/>
            </w:tcBorders>
            <w:shd w:val="clear" w:color="auto" w:fill="auto"/>
            <w:hideMark/>
          </w:tcPr>
          <w:p w:rsidR="000B335A" w:rsidRPr="007D22C9" w:rsidRDefault="00D000FE" w:rsidP="00D000FE">
            <w:pPr>
              <w:autoSpaceDE/>
              <w:autoSpaceDN/>
              <w:adjustRightInd/>
              <w:spacing w:line="233" w:lineRule="auto"/>
              <w:jc w:val="center"/>
              <w:rPr>
                <w:color w:val="000000"/>
                <w:sz w:val="20"/>
                <w:szCs w:val="20"/>
              </w:rPr>
            </w:pPr>
            <w:r w:rsidRPr="007D22C9">
              <w:rPr>
                <w:color w:val="000000"/>
                <w:sz w:val="20"/>
                <w:szCs w:val="20"/>
              </w:rPr>
              <w:t>1,00</w:t>
            </w:r>
          </w:p>
        </w:tc>
        <w:tc>
          <w:tcPr>
            <w:tcW w:w="708" w:type="dxa"/>
            <w:tcBorders>
              <w:top w:val="nil"/>
              <w:left w:val="nil"/>
              <w:bottom w:val="single" w:sz="4" w:space="0" w:color="auto"/>
              <w:right w:val="single" w:sz="4" w:space="0" w:color="auto"/>
            </w:tcBorders>
            <w:shd w:val="clear" w:color="auto" w:fill="auto"/>
            <w:hideMark/>
          </w:tcPr>
          <w:p w:rsidR="000B335A" w:rsidRPr="007D22C9" w:rsidRDefault="000B335A" w:rsidP="00D302C3">
            <w:pPr>
              <w:autoSpaceDE/>
              <w:autoSpaceDN/>
              <w:adjustRightInd/>
              <w:spacing w:line="233" w:lineRule="auto"/>
              <w:jc w:val="center"/>
              <w:rPr>
                <w:color w:val="000000"/>
                <w:sz w:val="20"/>
                <w:szCs w:val="20"/>
              </w:rPr>
            </w:pPr>
            <w:r w:rsidRPr="007D22C9">
              <w:rPr>
                <w:color w:val="000000"/>
                <w:sz w:val="20"/>
                <w:szCs w:val="20"/>
              </w:rPr>
              <w:t>1</w:t>
            </w:r>
          </w:p>
        </w:tc>
        <w:tc>
          <w:tcPr>
            <w:tcW w:w="993" w:type="dxa"/>
            <w:tcBorders>
              <w:top w:val="nil"/>
              <w:left w:val="nil"/>
              <w:bottom w:val="single" w:sz="4" w:space="0" w:color="auto"/>
              <w:right w:val="single" w:sz="4" w:space="0" w:color="auto"/>
            </w:tcBorders>
            <w:shd w:val="clear" w:color="auto" w:fill="auto"/>
            <w:hideMark/>
          </w:tcPr>
          <w:p w:rsidR="000B335A" w:rsidRPr="007D22C9" w:rsidRDefault="00D000FE" w:rsidP="00D000FE">
            <w:pPr>
              <w:autoSpaceDE/>
              <w:autoSpaceDN/>
              <w:adjustRightInd/>
              <w:spacing w:line="233" w:lineRule="auto"/>
              <w:jc w:val="center"/>
              <w:rPr>
                <w:color w:val="000000"/>
                <w:sz w:val="20"/>
                <w:szCs w:val="20"/>
              </w:rPr>
            </w:pPr>
            <w:r w:rsidRPr="007D22C9">
              <w:rPr>
                <w:color w:val="000000"/>
                <w:sz w:val="20"/>
                <w:szCs w:val="20"/>
              </w:rPr>
              <w:t>0</w:t>
            </w:r>
          </w:p>
        </w:tc>
      </w:tr>
      <w:tr w:rsidR="000B335A" w:rsidRPr="007D22C9" w:rsidTr="00BD3B9A">
        <w:trPr>
          <w:trHeight w:val="20"/>
        </w:trPr>
        <w:tc>
          <w:tcPr>
            <w:tcW w:w="533" w:type="dxa"/>
            <w:tcBorders>
              <w:top w:val="nil"/>
              <w:left w:val="single" w:sz="4" w:space="0" w:color="auto"/>
              <w:bottom w:val="single" w:sz="4" w:space="0" w:color="auto"/>
              <w:right w:val="single" w:sz="4" w:space="0" w:color="auto"/>
            </w:tcBorders>
            <w:shd w:val="clear" w:color="auto" w:fill="auto"/>
            <w:hideMark/>
          </w:tcPr>
          <w:p w:rsidR="000B335A" w:rsidRPr="007D22C9" w:rsidRDefault="000B335A" w:rsidP="00D302C3">
            <w:pPr>
              <w:autoSpaceDE/>
              <w:autoSpaceDN/>
              <w:adjustRightInd/>
              <w:spacing w:line="233" w:lineRule="auto"/>
              <w:jc w:val="center"/>
              <w:rPr>
                <w:color w:val="000000"/>
                <w:sz w:val="20"/>
                <w:szCs w:val="20"/>
              </w:rPr>
            </w:pPr>
            <w:r w:rsidRPr="007D22C9">
              <w:rPr>
                <w:color w:val="000000"/>
                <w:sz w:val="20"/>
                <w:szCs w:val="20"/>
              </w:rPr>
              <w:t>53</w:t>
            </w:r>
            <w:r w:rsidR="003B1A7B" w:rsidRPr="007D22C9">
              <w:rPr>
                <w:color w:val="000000"/>
                <w:sz w:val="20"/>
                <w:szCs w:val="20"/>
              </w:rPr>
              <w:t>.</w:t>
            </w:r>
          </w:p>
        </w:tc>
        <w:tc>
          <w:tcPr>
            <w:tcW w:w="1730" w:type="dxa"/>
            <w:tcBorders>
              <w:top w:val="nil"/>
              <w:left w:val="nil"/>
              <w:bottom w:val="single" w:sz="4" w:space="0" w:color="auto"/>
              <w:right w:val="nil"/>
            </w:tcBorders>
            <w:shd w:val="clear" w:color="auto" w:fill="auto"/>
            <w:hideMark/>
          </w:tcPr>
          <w:p w:rsidR="000B335A" w:rsidRPr="007D22C9" w:rsidRDefault="000B335A" w:rsidP="00D302C3">
            <w:pPr>
              <w:autoSpaceDE/>
              <w:autoSpaceDN/>
              <w:adjustRightInd/>
              <w:spacing w:line="233" w:lineRule="auto"/>
              <w:jc w:val="both"/>
              <w:rPr>
                <w:color w:val="000000"/>
                <w:sz w:val="20"/>
                <w:szCs w:val="20"/>
              </w:rPr>
            </w:pPr>
            <w:r w:rsidRPr="007D22C9">
              <w:rPr>
                <w:color w:val="000000"/>
                <w:sz w:val="20"/>
                <w:szCs w:val="20"/>
              </w:rPr>
              <w:t xml:space="preserve">ГАУЗ </w:t>
            </w:r>
            <w:r w:rsidR="002F7358" w:rsidRPr="007D22C9">
              <w:rPr>
                <w:color w:val="000000"/>
                <w:sz w:val="20"/>
                <w:szCs w:val="20"/>
              </w:rPr>
              <w:t>«</w:t>
            </w:r>
            <w:r w:rsidRPr="007D22C9">
              <w:rPr>
                <w:color w:val="000000"/>
                <w:sz w:val="20"/>
                <w:szCs w:val="20"/>
              </w:rPr>
              <w:t>Городская поликлиника № 8</w:t>
            </w:r>
            <w:r w:rsidR="002F7358" w:rsidRPr="007D22C9">
              <w:rPr>
                <w:color w:val="000000"/>
                <w:sz w:val="20"/>
                <w:szCs w:val="20"/>
              </w:rPr>
              <w:t>»</w:t>
            </w:r>
            <w:r w:rsidRPr="007D22C9">
              <w:rPr>
                <w:color w:val="000000"/>
                <w:sz w:val="20"/>
                <w:szCs w:val="20"/>
              </w:rPr>
              <w:t xml:space="preserve"> г.Казани</w:t>
            </w:r>
          </w:p>
        </w:tc>
        <w:tc>
          <w:tcPr>
            <w:tcW w:w="1418" w:type="dxa"/>
            <w:tcBorders>
              <w:top w:val="nil"/>
              <w:left w:val="single" w:sz="4" w:space="0" w:color="auto"/>
              <w:bottom w:val="single" w:sz="4" w:space="0" w:color="auto"/>
              <w:right w:val="single" w:sz="4" w:space="0" w:color="auto"/>
            </w:tcBorders>
            <w:shd w:val="clear" w:color="auto" w:fill="auto"/>
            <w:hideMark/>
          </w:tcPr>
          <w:p w:rsidR="000B335A" w:rsidRPr="007D22C9" w:rsidRDefault="00C572EE" w:rsidP="00D302C3">
            <w:pPr>
              <w:autoSpaceDE/>
              <w:autoSpaceDN/>
              <w:adjustRightInd/>
              <w:spacing w:line="233" w:lineRule="auto"/>
              <w:jc w:val="both"/>
              <w:rPr>
                <w:color w:val="000000"/>
                <w:sz w:val="20"/>
                <w:szCs w:val="20"/>
              </w:rPr>
            </w:pPr>
            <w:r w:rsidRPr="007D22C9">
              <w:rPr>
                <w:color w:val="000000"/>
                <w:sz w:val="20"/>
                <w:szCs w:val="20"/>
              </w:rPr>
              <w:t>г.</w:t>
            </w:r>
            <w:r w:rsidR="000B335A" w:rsidRPr="007D22C9">
              <w:rPr>
                <w:color w:val="000000"/>
                <w:sz w:val="20"/>
                <w:szCs w:val="20"/>
              </w:rPr>
              <w:t xml:space="preserve">Казань, </w:t>
            </w:r>
            <w:r w:rsidR="00CF57D0" w:rsidRPr="007D22C9">
              <w:rPr>
                <w:color w:val="000000"/>
                <w:sz w:val="20"/>
                <w:szCs w:val="20"/>
              </w:rPr>
              <w:t>ул.</w:t>
            </w:r>
            <w:r w:rsidR="000B335A" w:rsidRPr="007D22C9">
              <w:rPr>
                <w:color w:val="000000"/>
                <w:sz w:val="20"/>
                <w:szCs w:val="20"/>
              </w:rPr>
              <w:t xml:space="preserve">Правды, </w:t>
            </w:r>
            <w:r w:rsidR="00C940D5" w:rsidRPr="007D22C9">
              <w:rPr>
                <w:color w:val="000000"/>
                <w:sz w:val="20"/>
                <w:szCs w:val="20"/>
              </w:rPr>
              <w:t>д.</w:t>
            </w:r>
            <w:r w:rsidR="000B335A" w:rsidRPr="007D22C9">
              <w:rPr>
                <w:color w:val="000000"/>
                <w:sz w:val="20"/>
                <w:szCs w:val="20"/>
              </w:rPr>
              <w:t>13а</w:t>
            </w:r>
          </w:p>
        </w:tc>
        <w:tc>
          <w:tcPr>
            <w:tcW w:w="1418" w:type="dxa"/>
            <w:tcBorders>
              <w:top w:val="nil"/>
              <w:left w:val="nil"/>
              <w:bottom w:val="single" w:sz="4" w:space="0" w:color="auto"/>
              <w:right w:val="single" w:sz="4" w:space="0" w:color="auto"/>
            </w:tcBorders>
            <w:shd w:val="clear" w:color="auto" w:fill="auto"/>
            <w:hideMark/>
          </w:tcPr>
          <w:p w:rsidR="000B335A" w:rsidRPr="007D22C9" w:rsidRDefault="000B335A" w:rsidP="00D302C3">
            <w:pPr>
              <w:autoSpaceDE/>
              <w:autoSpaceDN/>
              <w:adjustRightInd/>
              <w:spacing w:line="233" w:lineRule="auto"/>
              <w:jc w:val="both"/>
              <w:rPr>
                <w:color w:val="000000"/>
                <w:sz w:val="20"/>
                <w:szCs w:val="20"/>
              </w:rPr>
            </w:pPr>
            <w:r w:rsidRPr="007D22C9">
              <w:rPr>
                <w:color w:val="000000"/>
                <w:sz w:val="20"/>
                <w:szCs w:val="20"/>
              </w:rPr>
              <w:t>г.Казань</w:t>
            </w:r>
          </w:p>
        </w:tc>
        <w:tc>
          <w:tcPr>
            <w:tcW w:w="851" w:type="dxa"/>
            <w:tcBorders>
              <w:top w:val="nil"/>
              <w:left w:val="nil"/>
              <w:bottom w:val="single" w:sz="4" w:space="0" w:color="auto"/>
              <w:right w:val="single" w:sz="4" w:space="0" w:color="auto"/>
            </w:tcBorders>
            <w:shd w:val="clear" w:color="auto" w:fill="auto"/>
            <w:hideMark/>
          </w:tcPr>
          <w:p w:rsidR="000B335A" w:rsidRPr="007D22C9" w:rsidRDefault="000B335A" w:rsidP="00D302C3">
            <w:pPr>
              <w:autoSpaceDE/>
              <w:autoSpaceDN/>
              <w:adjustRightInd/>
              <w:spacing w:line="233" w:lineRule="auto"/>
              <w:jc w:val="center"/>
              <w:rPr>
                <w:color w:val="000000"/>
                <w:sz w:val="20"/>
                <w:szCs w:val="20"/>
              </w:rPr>
            </w:pPr>
            <w:r w:rsidRPr="007D22C9">
              <w:rPr>
                <w:color w:val="000000"/>
                <w:sz w:val="20"/>
                <w:szCs w:val="20"/>
              </w:rPr>
              <w:t>85 361</w:t>
            </w:r>
          </w:p>
        </w:tc>
        <w:tc>
          <w:tcPr>
            <w:tcW w:w="850" w:type="dxa"/>
            <w:tcBorders>
              <w:top w:val="nil"/>
              <w:left w:val="nil"/>
              <w:bottom w:val="single" w:sz="4" w:space="0" w:color="auto"/>
              <w:right w:val="single" w:sz="4" w:space="0" w:color="auto"/>
            </w:tcBorders>
            <w:shd w:val="clear" w:color="auto" w:fill="auto"/>
            <w:hideMark/>
          </w:tcPr>
          <w:p w:rsidR="000B335A" w:rsidRPr="007D22C9" w:rsidRDefault="000B335A" w:rsidP="00D302C3">
            <w:pPr>
              <w:autoSpaceDE/>
              <w:autoSpaceDN/>
              <w:adjustRightInd/>
              <w:spacing w:line="233" w:lineRule="auto"/>
              <w:jc w:val="center"/>
              <w:rPr>
                <w:color w:val="000000"/>
                <w:sz w:val="20"/>
                <w:szCs w:val="20"/>
              </w:rPr>
            </w:pPr>
            <w:r w:rsidRPr="007D22C9">
              <w:rPr>
                <w:color w:val="000000"/>
                <w:sz w:val="20"/>
                <w:szCs w:val="20"/>
              </w:rPr>
              <w:t>2,85</w:t>
            </w:r>
          </w:p>
        </w:tc>
        <w:tc>
          <w:tcPr>
            <w:tcW w:w="1077" w:type="dxa"/>
            <w:tcBorders>
              <w:top w:val="nil"/>
              <w:left w:val="nil"/>
              <w:bottom w:val="single" w:sz="4" w:space="0" w:color="auto"/>
              <w:right w:val="single" w:sz="4" w:space="0" w:color="auto"/>
            </w:tcBorders>
            <w:shd w:val="clear" w:color="auto" w:fill="auto"/>
            <w:hideMark/>
          </w:tcPr>
          <w:p w:rsidR="000B335A" w:rsidRPr="007D22C9" w:rsidRDefault="003B2FA8" w:rsidP="003B2FA8">
            <w:pPr>
              <w:autoSpaceDE/>
              <w:autoSpaceDN/>
              <w:adjustRightInd/>
              <w:spacing w:line="233" w:lineRule="auto"/>
              <w:jc w:val="center"/>
              <w:rPr>
                <w:color w:val="000000"/>
                <w:sz w:val="20"/>
                <w:szCs w:val="20"/>
              </w:rPr>
            </w:pPr>
            <w:r w:rsidRPr="007D22C9">
              <w:rPr>
                <w:color w:val="000000"/>
                <w:sz w:val="20"/>
                <w:szCs w:val="20"/>
              </w:rPr>
              <w:t>2,00</w:t>
            </w:r>
          </w:p>
        </w:tc>
        <w:tc>
          <w:tcPr>
            <w:tcW w:w="992" w:type="dxa"/>
            <w:tcBorders>
              <w:top w:val="nil"/>
              <w:left w:val="nil"/>
              <w:bottom w:val="single" w:sz="4" w:space="0" w:color="auto"/>
              <w:right w:val="single" w:sz="4" w:space="0" w:color="auto"/>
            </w:tcBorders>
            <w:shd w:val="clear" w:color="auto" w:fill="auto"/>
            <w:hideMark/>
          </w:tcPr>
          <w:p w:rsidR="000B335A" w:rsidRPr="007D22C9" w:rsidRDefault="003B2FA8" w:rsidP="003B2FA8">
            <w:pPr>
              <w:autoSpaceDE/>
              <w:autoSpaceDN/>
              <w:adjustRightInd/>
              <w:spacing w:line="233" w:lineRule="auto"/>
              <w:jc w:val="center"/>
              <w:rPr>
                <w:color w:val="000000"/>
                <w:sz w:val="20"/>
                <w:szCs w:val="20"/>
              </w:rPr>
            </w:pPr>
            <w:r w:rsidRPr="007D22C9">
              <w:rPr>
                <w:color w:val="000000"/>
                <w:sz w:val="20"/>
                <w:szCs w:val="20"/>
              </w:rPr>
              <w:t>2,00</w:t>
            </w:r>
          </w:p>
        </w:tc>
        <w:tc>
          <w:tcPr>
            <w:tcW w:w="708" w:type="dxa"/>
            <w:tcBorders>
              <w:top w:val="nil"/>
              <w:left w:val="nil"/>
              <w:bottom w:val="single" w:sz="4" w:space="0" w:color="auto"/>
              <w:right w:val="single" w:sz="4" w:space="0" w:color="auto"/>
            </w:tcBorders>
            <w:shd w:val="clear" w:color="auto" w:fill="auto"/>
            <w:hideMark/>
          </w:tcPr>
          <w:p w:rsidR="000B335A" w:rsidRPr="007D22C9" w:rsidRDefault="003B2FA8" w:rsidP="003B2FA8">
            <w:pPr>
              <w:autoSpaceDE/>
              <w:autoSpaceDN/>
              <w:adjustRightInd/>
              <w:spacing w:line="233" w:lineRule="auto"/>
              <w:jc w:val="center"/>
              <w:rPr>
                <w:color w:val="000000"/>
                <w:sz w:val="20"/>
                <w:szCs w:val="20"/>
              </w:rPr>
            </w:pPr>
            <w:r w:rsidRPr="007D22C9">
              <w:rPr>
                <w:color w:val="000000"/>
                <w:sz w:val="20"/>
                <w:szCs w:val="20"/>
              </w:rPr>
              <w:t>2</w:t>
            </w:r>
          </w:p>
        </w:tc>
        <w:tc>
          <w:tcPr>
            <w:tcW w:w="993" w:type="dxa"/>
            <w:tcBorders>
              <w:top w:val="nil"/>
              <w:left w:val="nil"/>
              <w:bottom w:val="single" w:sz="4" w:space="0" w:color="auto"/>
              <w:right w:val="single" w:sz="4" w:space="0" w:color="auto"/>
            </w:tcBorders>
            <w:shd w:val="clear" w:color="auto" w:fill="auto"/>
            <w:hideMark/>
          </w:tcPr>
          <w:p w:rsidR="000B335A" w:rsidRPr="007D22C9" w:rsidRDefault="00DE16F2" w:rsidP="00D302C3">
            <w:pPr>
              <w:autoSpaceDE/>
              <w:autoSpaceDN/>
              <w:adjustRightInd/>
              <w:spacing w:line="233" w:lineRule="auto"/>
              <w:jc w:val="center"/>
              <w:rPr>
                <w:color w:val="000000"/>
                <w:sz w:val="20"/>
                <w:szCs w:val="20"/>
              </w:rPr>
            </w:pPr>
            <w:r w:rsidRPr="007D22C9">
              <w:rPr>
                <w:color w:val="000000"/>
                <w:sz w:val="20"/>
                <w:szCs w:val="20"/>
              </w:rPr>
              <w:t>0</w:t>
            </w:r>
            <w:r w:rsidR="000B335A" w:rsidRPr="007D22C9">
              <w:rPr>
                <w:color w:val="000000"/>
                <w:sz w:val="20"/>
                <w:szCs w:val="20"/>
              </w:rPr>
              <w:t> </w:t>
            </w:r>
          </w:p>
        </w:tc>
      </w:tr>
      <w:tr w:rsidR="000B335A" w:rsidRPr="007D22C9" w:rsidTr="00BD3B9A">
        <w:trPr>
          <w:trHeight w:val="20"/>
        </w:trPr>
        <w:tc>
          <w:tcPr>
            <w:tcW w:w="533" w:type="dxa"/>
            <w:tcBorders>
              <w:top w:val="nil"/>
              <w:left w:val="single" w:sz="4" w:space="0" w:color="auto"/>
              <w:bottom w:val="single" w:sz="4" w:space="0" w:color="auto"/>
              <w:right w:val="single" w:sz="4" w:space="0" w:color="auto"/>
            </w:tcBorders>
            <w:shd w:val="clear" w:color="auto" w:fill="auto"/>
            <w:hideMark/>
          </w:tcPr>
          <w:p w:rsidR="000B335A" w:rsidRPr="007D22C9" w:rsidRDefault="000B335A" w:rsidP="00BD3B9A">
            <w:pPr>
              <w:autoSpaceDE/>
              <w:autoSpaceDN/>
              <w:adjustRightInd/>
              <w:jc w:val="center"/>
              <w:rPr>
                <w:color w:val="000000"/>
                <w:sz w:val="20"/>
                <w:szCs w:val="20"/>
              </w:rPr>
            </w:pPr>
            <w:r w:rsidRPr="007D22C9">
              <w:rPr>
                <w:color w:val="000000"/>
                <w:sz w:val="20"/>
                <w:szCs w:val="20"/>
              </w:rPr>
              <w:t>54</w:t>
            </w:r>
            <w:r w:rsidR="003B1A7B" w:rsidRPr="007D22C9">
              <w:rPr>
                <w:color w:val="000000"/>
                <w:sz w:val="20"/>
                <w:szCs w:val="20"/>
              </w:rPr>
              <w:t>.</w:t>
            </w:r>
          </w:p>
        </w:tc>
        <w:tc>
          <w:tcPr>
            <w:tcW w:w="1730" w:type="dxa"/>
            <w:tcBorders>
              <w:top w:val="nil"/>
              <w:left w:val="nil"/>
              <w:bottom w:val="single" w:sz="4" w:space="0" w:color="auto"/>
              <w:right w:val="nil"/>
            </w:tcBorders>
            <w:shd w:val="clear" w:color="auto" w:fill="auto"/>
            <w:hideMark/>
          </w:tcPr>
          <w:p w:rsidR="000B335A" w:rsidRPr="007D22C9" w:rsidRDefault="000B335A" w:rsidP="00BD3B9A">
            <w:pPr>
              <w:autoSpaceDE/>
              <w:autoSpaceDN/>
              <w:adjustRightInd/>
              <w:jc w:val="both"/>
              <w:rPr>
                <w:color w:val="000000"/>
                <w:sz w:val="20"/>
                <w:szCs w:val="20"/>
              </w:rPr>
            </w:pPr>
            <w:r w:rsidRPr="007D22C9">
              <w:rPr>
                <w:color w:val="000000"/>
                <w:sz w:val="20"/>
                <w:szCs w:val="20"/>
              </w:rPr>
              <w:t xml:space="preserve">ГАУЗ </w:t>
            </w:r>
            <w:r w:rsidR="002F7358" w:rsidRPr="007D22C9">
              <w:rPr>
                <w:color w:val="000000"/>
                <w:sz w:val="20"/>
                <w:szCs w:val="20"/>
              </w:rPr>
              <w:t>«</w:t>
            </w:r>
            <w:r w:rsidRPr="007D22C9">
              <w:rPr>
                <w:color w:val="000000"/>
                <w:sz w:val="20"/>
                <w:szCs w:val="20"/>
              </w:rPr>
              <w:t xml:space="preserve">Клиническая больница </w:t>
            </w:r>
            <w:r w:rsidR="00D302C3" w:rsidRPr="007D22C9">
              <w:rPr>
                <w:color w:val="000000"/>
                <w:sz w:val="20"/>
                <w:szCs w:val="20"/>
              </w:rPr>
              <w:br/>
            </w:r>
            <w:r w:rsidRPr="007D22C9">
              <w:rPr>
                <w:color w:val="000000"/>
                <w:sz w:val="20"/>
                <w:szCs w:val="20"/>
              </w:rPr>
              <w:t>№ 2</w:t>
            </w:r>
            <w:r w:rsidR="002F7358" w:rsidRPr="007D22C9">
              <w:rPr>
                <w:color w:val="000000"/>
                <w:sz w:val="20"/>
                <w:szCs w:val="20"/>
              </w:rPr>
              <w:t>»</w:t>
            </w:r>
            <w:r w:rsidRPr="007D22C9">
              <w:rPr>
                <w:color w:val="000000"/>
                <w:sz w:val="20"/>
                <w:szCs w:val="20"/>
              </w:rPr>
              <w:t xml:space="preserve"> г.Казани</w:t>
            </w:r>
          </w:p>
        </w:tc>
        <w:tc>
          <w:tcPr>
            <w:tcW w:w="1418" w:type="dxa"/>
            <w:tcBorders>
              <w:top w:val="nil"/>
              <w:left w:val="single" w:sz="4" w:space="0" w:color="auto"/>
              <w:bottom w:val="single" w:sz="4" w:space="0" w:color="auto"/>
              <w:right w:val="single" w:sz="4" w:space="0" w:color="auto"/>
            </w:tcBorders>
            <w:shd w:val="clear" w:color="auto" w:fill="auto"/>
            <w:hideMark/>
          </w:tcPr>
          <w:p w:rsidR="000B335A" w:rsidRPr="007D22C9" w:rsidRDefault="00C572EE" w:rsidP="00C572EE">
            <w:pPr>
              <w:autoSpaceDE/>
              <w:autoSpaceDN/>
              <w:adjustRightInd/>
              <w:jc w:val="both"/>
              <w:rPr>
                <w:color w:val="000000"/>
                <w:sz w:val="20"/>
                <w:szCs w:val="20"/>
              </w:rPr>
            </w:pPr>
            <w:r w:rsidRPr="007D22C9">
              <w:rPr>
                <w:color w:val="000000"/>
                <w:sz w:val="20"/>
                <w:szCs w:val="20"/>
              </w:rPr>
              <w:t>г.</w:t>
            </w:r>
            <w:r w:rsidR="000B335A" w:rsidRPr="007D22C9">
              <w:rPr>
                <w:color w:val="000000"/>
                <w:sz w:val="20"/>
                <w:szCs w:val="20"/>
              </w:rPr>
              <w:t>Казань, ул.Музыкальная, д.13</w:t>
            </w:r>
          </w:p>
        </w:tc>
        <w:tc>
          <w:tcPr>
            <w:tcW w:w="1418" w:type="dxa"/>
            <w:tcBorders>
              <w:top w:val="nil"/>
              <w:left w:val="nil"/>
              <w:bottom w:val="single" w:sz="4" w:space="0" w:color="auto"/>
              <w:right w:val="single" w:sz="4" w:space="0" w:color="auto"/>
            </w:tcBorders>
            <w:shd w:val="clear" w:color="auto" w:fill="auto"/>
            <w:hideMark/>
          </w:tcPr>
          <w:p w:rsidR="000B335A" w:rsidRPr="007D22C9" w:rsidRDefault="000B335A" w:rsidP="00BD3B9A">
            <w:pPr>
              <w:autoSpaceDE/>
              <w:autoSpaceDN/>
              <w:adjustRightInd/>
              <w:jc w:val="both"/>
              <w:rPr>
                <w:color w:val="000000"/>
                <w:sz w:val="20"/>
                <w:szCs w:val="20"/>
              </w:rPr>
            </w:pPr>
            <w:r w:rsidRPr="007D22C9">
              <w:rPr>
                <w:color w:val="000000"/>
                <w:sz w:val="20"/>
                <w:szCs w:val="20"/>
              </w:rPr>
              <w:t>г.Казань</w:t>
            </w:r>
          </w:p>
        </w:tc>
        <w:tc>
          <w:tcPr>
            <w:tcW w:w="851" w:type="dxa"/>
            <w:tcBorders>
              <w:top w:val="nil"/>
              <w:left w:val="nil"/>
              <w:bottom w:val="single" w:sz="4" w:space="0" w:color="auto"/>
              <w:right w:val="single" w:sz="4" w:space="0" w:color="auto"/>
            </w:tcBorders>
            <w:shd w:val="clear" w:color="auto" w:fill="auto"/>
            <w:hideMark/>
          </w:tcPr>
          <w:p w:rsidR="000B335A" w:rsidRPr="007D22C9" w:rsidRDefault="000B335A" w:rsidP="00BD3B9A">
            <w:pPr>
              <w:autoSpaceDE/>
              <w:autoSpaceDN/>
              <w:adjustRightInd/>
              <w:jc w:val="center"/>
              <w:rPr>
                <w:color w:val="000000"/>
                <w:sz w:val="20"/>
                <w:szCs w:val="20"/>
              </w:rPr>
            </w:pPr>
            <w:r w:rsidRPr="007D22C9">
              <w:rPr>
                <w:color w:val="000000"/>
                <w:sz w:val="20"/>
                <w:szCs w:val="20"/>
              </w:rPr>
              <w:t>67 703</w:t>
            </w:r>
          </w:p>
        </w:tc>
        <w:tc>
          <w:tcPr>
            <w:tcW w:w="850" w:type="dxa"/>
            <w:tcBorders>
              <w:top w:val="nil"/>
              <w:left w:val="nil"/>
              <w:bottom w:val="single" w:sz="4" w:space="0" w:color="auto"/>
              <w:right w:val="single" w:sz="4" w:space="0" w:color="auto"/>
            </w:tcBorders>
            <w:shd w:val="clear" w:color="auto" w:fill="auto"/>
            <w:hideMark/>
          </w:tcPr>
          <w:p w:rsidR="000B335A" w:rsidRPr="007D22C9" w:rsidRDefault="000B335A" w:rsidP="00BD3B9A">
            <w:pPr>
              <w:autoSpaceDE/>
              <w:autoSpaceDN/>
              <w:adjustRightInd/>
              <w:jc w:val="center"/>
              <w:rPr>
                <w:color w:val="000000"/>
                <w:sz w:val="20"/>
                <w:szCs w:val="20"/>
              </w:rPr>
            </w:pPr>
            <w:r w:rsidRPr="007D22C9">
              <w:rPr>
                <w:color w:val="000000"/>
                <w:sz w:val="20"/>
                <w:szCs w:val="20"/>
              </w:rPr>
              <w:t>2,26</w:t>
            </w:r>
          </w:p>
        </w:tc>
        <w:tc>
          <w:tcPr>
            <w:tcW w:w="1077" w:type="dxa"/>
            <w:tcBorders>
              <w:top w:val="nil"/>
              <w:left w:val="nil"/>
              <w:bottom w:val="single" w:sz="4" w:space="0" w:color="auto"/>
              <w:right w:val="single" w:sz="4" w:space="0" w:color="auto"/>
            </w:tcBorders>
            <w:shd w:val="clear" w:color="auto" w:fill="auto"/>
            <w:hideMark/>
          </w:tcPr>
          <w:p w:rsidR="000B335A" w:rsidRPr="007D22C9" w:rsidRDefault="005F691D" w:rsidP="005F691D">
            <w:pPr>
              <w:autoSpaceDE/>
              <w:autoSpaceDN/>
              <w:adjustRightInd/>
              <w:jc w:val="center"/>
              <w:rPr>
                <w:color w:val="000000"/>
                <w:sz w:val="20"/>
                <w:szCs w:val="20"/>
              </w:rPr>
            </w:pPr>
            <w:r w:rsidRPr="007D22C9">
              <w:rPr>
                <w:color w:val="000000"/>
                <w:sz w:val="20"/>
                <w:szCs w:val="20"/>
              </w:rPr>
              <w:t>2,00</w:t>
            </w:r>
          </w:p>
        </w:tc>
        <w:tc>
          <w:tcPr>
            <w:tcW w:w="992" w:type="dxa"/>
            <w:tcBorders>
              <w:top w:val="nil"/>
              <w:left w:val="nil"/>
              <w:bottom w:val="single" w:sz="4" w:space="0" w:color="auto"/>
              <w:right w:val="single" w:sz="4" w:space="0" w:color="auto"/>
            </w:tcBorders>
            <w:shd w:val="clear" w:color="auto" w:fill="auto"/>
            <w:hideMark/>
          </w:tcPr>
          <w:p w:rsidR="000B335A" w:rsidRPr="007D22C9" w:rsidRDefault="000B335A" w:rsidP="00BD3B9A">
            <w:pPr>
              <w:autoSpaceDE/>
              <w:autoSpaceDN/>
              <w:adjustRightInd/>
              <w:jc w:val="center"/>
              <w:rPr>
                <w:color w:val="000000"/>
                <w:sz w:val="20"/>
                <w:szCs w:val="20"/>
              </w:rPr>
            </w:pPr>
            <w:r w:rsidRPr="007D22C9">
              <w:rPr>
                <w:color w:val="000000"/>
                <w:sz w:val="20"/>
                <w:szCs w:val="20"/>
              </w:rPr>
              <w:t>1,5</w:t>
            </w:r>
            <w:r w:rsidR="005F691D" w:rsidRPr="007D22C9">
              <w:rPr>
                <w:color w:val="000000"/>
                <w:sz w:val="20"/>
                <w:szCs w:val="20"/>
              </w:rPr>
              <w:t>0</w:t>
            </w:r>
          </w:p>
        </w:tc>
        <w:tc>
          <w:tcPr>
            <w:tcW w:w="708" w:type="dxa"/>
            <w:tcBorders>
              <w:top w:val="nil"/>
              <w:left w:val="nil"/>
              <w:bottom w:val="single" w:sz="4" w:space="0" w:color="auto"/>
              <w:right w:val="single" w:sz="4" w:space="0" w:color="auto"/>
            </w:tcBorders>
            <w:shd w:val="clear" w:color="auto" w:fill="auto"/>
            <w:hideMark/>
          </w:tcPr>
          <w:p w:rsidR="000B335A" w:rsidRPr="007D22C9" w:rsidRDefault="000B335A" w:rsidP="00BD3B9A">
            <w:pPr>
              <w:autoSpaceDE/>
              <w:autoSpaceDN/>
              <w:adjustRightInd/>
              <w:jc w:val="center"/>
              <w:rPr>
                <w:color w:val="000000"/>
                <w:sz w:val="20"/>
                <w:szCs w:val="20"/>
              </w:rPr>
            </w:pPr>
            <w:r w:rsidRPr="007D22C9">
              <w:rPr>
                <w:color w:val="000000"/>
                <w:sz w:val="20"/>
                <w:szCs w:val="20"/>
              </w:rPr>
              <w:t>1</w:t>
            </w:r>
          </w:p>
        </w:tc>
        <w:tc>
          <w:tcPr>
            <w:tcW w:w="993" w:type="dxa"/>
            <w:tcBorders>
              <w:top w:val="nil"/>
              <w:left w:val="nil"/>
              <w:bottom w:val="single" w:sz="4" w:space="0" w:color="auto"/>
              <w:right w:val="single" w:sz="4" w:space="0" w:color="auto"/>
            </w:tcBorders>
            <w:shd w:val="clear" w:color="auto" w:fill="auto"/>
            <w:hideMark/>
          </w:tcPr>
          <w:p w:rsidR="000B335A" w:rsidRPr="007D22C9" w:rsidRDefault="00DE16F2" w:rsidP="00BD3B9A">
            <w:pPr>
              <w:autoSpaceDE/>
              <w:autoSpaceDN/>
              <w:adjustRightInd/>
              <w:jc w:val="center"/>
              <w:rPr>
                <w:color w:val="000000"/>
                <w:sz w:val="20"/>
                <w:szCs w:val="20"/>
              </w:rPr>
            </w:pPr>
            <w:r w:rsidRPr="007D22C9">
              <w:rPr>
                <w:color w:val="000000"/>
                <w:sz w:val="20"/>
                <w:szCs w:val="20"/>
              </w:rPr>
              <w:t>0</w:t>
            </w:r>
            <w:r w:rsidR="000B335A" w:rsidRPr="007D22C9">
              <w:rPr>
                <w:color w:val="000000"/>
                <w:sz w:val="20"/>
                <w:szCs w:val="20"/>
              </w:rPr>
              <w:t> </w:t>
            </w:r>
          </w:p>
        </w:tc>
      </w:tr>
      <w:tr w:rsidR="000B335A" w:rsidRPr="007D22C9" w:rsidTr="00BD3B9A">
        <w:trPr>
          <w:trHeight w:val="20"/>
        </w:trPr>
        <w:tc>
          <w:tcPr>
            <w:tcW w:w="533" w:type="dxa"/>
            <w:tcBorders>
              <w:top w:val="nil"/>
              <w:left w:val="single" w:sz="4" w:space="0" w:color="auto"/>
              <w:bottom w:val="single" w:sz="4" w:space="0" w:color="auto"/>
              <w:right w:val="single" w:sz="4" w:space="0" w:color="auto"/>
            </w:tcBorders>
            <w:shd w:val="clear" w:color="auto" w:fill="auto"/>
            <w:hideMark/>
          </w:tcPr>
          <w:p w:rsidR="000B335A" w:rsidRPr="007D22C9" w:rsidRDefault="000B335A" w:rsidP="00AE56E7">
            <w:pPr>
              <w:autoSpaceDE/>
              <w:autoSpaceDN/>
              <w:adjustRightInd/>
              <w:jc w:val="center"/>
              <w:rPr>
                <w:color w:val="000000"/>
                <w:sz w:val="20"/>
                <w:szCs w:val="20"/>
              </w:rPr>
            </w:pPr>
            <w:r w:rsidRPr="007D22C9">
              <w:rPr>
                <w:color w:val="000000"/>
                <w:sz w:val="20"/>
                <w:szCs w:val="20"/>
              </w:rPr>
              <w:t>55</w:t>
            </w:r>
            <w:r w:rsidR="003B1A7B" w:rsidRPr="007D22C9">
              <w:rPr>
                <w:color w:val="000000"/>
                <w:sz w:val="20"/>
                <w:szCs w:val="20"/>
              </w:rPr>
              <w:t>.</w:t>
            </w:r>
          </w:p>
        </w:tc>
        <w:tc>
          <w:tcPr>
            <w:tcW w:w="1730" w:type="dxa"/>
            <w:tcBorders>
              <w:top w:val="nil"/>
              <w:left w:val="nil"/>
              <w:bottom w:val="single" w:sz="4" w:space="0" w:color="auto"/>
              <w:right w:val="nil"/>
            </w:tcBorders>
            <w:shd w:val="clear" w:color="auto" w:fill="auto"/>
            <w:hideMark/>
          </w:tcPr>
          <w:p w:rsidR="000B335A" w:rsidRPr="007D22C9" w:rsidRDefault="000B335A" w:rsidP="00BD3B9A">
            <w:pPr>
              <w:autoSpaceDE/>
              <w:autoSpaceDN/>
              <w:adjustRightInd/>
              <w:jc w:val="both"/>
              <w:rPr>
                <w:color w:val="000000"/>
                <w:sz w:val="20"/>
                <w:szCs w:val="20"/>
              </w:rPr>
            </w:pPr>
            <w:r w:rsidRPr="007D22C9">
              <w:rPr>
                <w:color w:val="000000"/>
                <w:sz w:val="20"/>
                <w:szCs w:val="20"/>
              </w:rPr>
              <w:t xml:space="preserve">ГАУЗ </w:t>
            </w:r>
            <w:r w:rsidR="002F7358" w:rsidRPr="007D22C9">
              <w:rPr>
                <w:color w:val="000000"/>
                <w:sz w:val="20"/>
                <w:szCs w:val="20"/>
              </w:rPr>
              <w:t>«</w:t>
            </w:r>
            <w:r w:rsidRPr="007D22C9">
              <w:rPr>
                <w:color w:val="000000"/>
                <w:sz w:val="20"/>
                <w:szCs w:val="20"/>
              </w:rPr>
              <w:t>Клиника медицинского университета</w:t>
            </w:r>
            <w:r w:rsidR="002F7358" w:rsidRPr="007D22C9">
              <w:rPr>
                <w:color w:val="000000"/>
                <w:sz w:val="20"/>
                <w:szCs w:val="20"/>
              </w:rPr>
              <w:t>»</w:t>
            </w:r>
            <w:r w:rsidRPr="007D22C9">
              <w:rPr>
                <w:color w:val="000000"/>
                <w:sz w:val="20"/>
                <w:szCs w:val="20"/>
              </w:rPr>
              <w:t xml:space="preserve"> г.Казани</w:t>
            </w:r>
          </w:p>
        </w:tc>
        <w:tc>
          <w:tcPr>
            <w:tcW w:w="1418" w:type="dxa"/>
            <w:tcBorders>
              <w:top w:val="nil"/>
              <w:left w:val="single" w:sz="4" w:space="0" w:color="auto"/>
              <w:bottom w:val="single" w:sz="4" w:space="0" w:color="auto"/>
              <w:right w:val="single" w:sz="4" w:space="0" w:color="auto"/>
            </w:tcBorders>
            <w:shd w:val="clear" w:color="auto" w:fill="auto"/>
            <w:hideMark/>
          </w:tcPr>
          <w:p w:rsidR="000B335A" w:rsidRPr="007D22C9" w:rsidRDefault="00C572EE" w:rsidP="00C572EE">
            <w:pPr>
              <w:autoSpaceDE/>
              <w:autoSpaceDN/>
              <w:adjustRightInd/>
              <w:jc w:val="both"/>
              <w:rPr>
                <w:color w:val="000000"/>
                <w:sz w:val="20"/>
                <w:szCs w:val="20"/>
              </w:rPr>
            </w:pPr>
            <w:r w:rsidRPr="007D22C9">
              <w:rPr>
                <w:color w:val="000000"/>
                <w:sz w:val="20"/>
                <w:szCs w:val="20"/>
              </w:rPr>
              <w:t>г.</w:t>
            </w:r>
            <w:r w:rsidR="000B335A" w:rsidRPr="007D22C9">
              <w:rPr>
                <w:color w:val="000000"/>
                <w:sz w:val="20"/>
                <w:szCs w:val="20"/>
              </w:rPr>
              <w:t>Казань, ул.Рыбацкая, д.2</w:t>
            </w:r>
          </w:p>
        </w:tc>
        <w:tc>
          <w:tcPr>
            <w:tcW w:w="1418" w:type="dxa"/>
            <w:tcBorders>
              <w:top w:val="nil"/>
              <w:left w:val="nil"/>
              <w:bottom w:val="single" w:sz="4" w:space="0" w:color="auto"/>
              <w:right w:val="single" w:sz="4" w:space="0" w:color="auto"/>
            </w:tcBorders>
            <w:shd w:val="clear" w:color="auto" w:fill="auto"/>
            <w:hideMark/>
          </w:tcPr>
          <w:p w:rsidR="000B335A" w:rsidRPr="007D22C9" w:rsidRDefault="000B335A" w:rsidP="00BD3B9A">
            <w:pPr>
              <w:autoSpaceDE/>
              <w:autoSpaceDN/>
              <w:adjustRightInd/>
              <w:jc w:val="both"/>
              <w:rPr>
                <w:color w:val="000000"/>
                <w:sz w:val="20"/>
                <w:szCs w:val="20"/>
              </w:rPr>
            </w:pPr>
            <w:r w:rsidRPr="007D22C9">
              <w:rPr>
                <w:color w:val="000000"/>
                <w:sz w:val="20"/>
                <w:szCs w:val="20"/>
              </w:rPr>
              <w:t>г.Казань</w:t>
            </w:r>
          </w:p>
        </w:tc>
        <w:tc>
          <w:tcPr>
            <w:tcW w:w="851" w:type="dxa"/>
            <w:tcBorders>
              <w:top w:val="nil"/>
              <w:left w:val="nil"/>
              <w:bottom w:val="single" w:sz="4" w:space="0" w:color="auto"/>
              <w:right w:val="single" w:sz="4" w:space="0" w:color="auto"/>
            </w:tcBorders>
            <w:shd w:val="clear" w:color="auto" w:fill="auto"/>
            <w:hideMark/>
          </w:tcPr>
          <w:p w:rsidR="000B335A" w:rsidRPr="007D22C9" w:rsidRDefault="000B335A" w:rsidP="00BD3B9A">
            <w:pPr>
              <w:autoSpaceDE/>
              <w:autoSpaceDN/>
              <w:adjustRightInd/>
              <w:jc w:val="center"/>
              <w:rPr>
                <w:color w:val="000000"/>
                <w:sz w:val="20"/>
                <w:szCs w:val="20"/>
              </w:rPr>
            </w:pPr>
            <w:r w:rsidRPr="007D22C9">
              <w:rPr>
                <w:color w:val="000000"/>
                <w:sz w:val="20"/>
                <w:szCs w:val="20"/>
              </w:rPr>
              <w:t>29 634</w:t>
            </w:r>
          </w:p>
        </w:tc>
        <w:tc>
          <w:tcPr>
            <w:tcW w:w="850" w:type="dxa"/>
            <w:tcBorders>
              <w:top w:val="nil"/>
              <w:left w:val="nil"/>
              <w:bottom w:val="single" w:sz="4" w:space="0" w:color="auto"/>
              <w:right w:val="single" w:sz="4" w:space="0" w:color="auto"/>
            </w:tcBorders>
            <w:shd w:val="clear" w:color="auto" w:fill="auto"/>
            <w:hideMark/>
          </w:tcPr>
          <w:p w:rsidR="000B335A" w:rsidRPr="007D22C9" w:rsidRDefault="000B335A" w:rsidP="00BD3B9A">
            <w:pPr>
              <w:autoSpaceDE/>
              <w:autoSpaceDN/>
              <w:adjustRightInd/>
              <w:jc w:val="center"/>
              <w:rPr>
                <w:color w:val="000000"/>
                <w:sz w:val="20"/>
                <w:szCs w:val="20"/>
              </w:rPr>
            </w:pPr>
            <w:r w:rsidRPr="007D22C9">
              <w:rPr>
                <w:color w:val="000000"/>
                <w:sz w:val="20"/>
                <w:szCs w:val="20"/>
              </w:rPr>
              <w:t>0,99</w:t>
            </w:r>
          </w:p>
        </w:tc>
        <w:tc>
          <w:tcPr>
            <w:tcW w:w="1077" w:type="dxa"/>
            <w:tcBorders>
              <w:top w:val="nil"/>
              <w:left w:val="nil"/>
              <w:bottom w:val="single" w:sz="4" w:space="0" w:color="auto"/>
              <w:right w:val="single" w:sz="4" w:space="0" w:color="auto"/>
            </w:tcBorders>
            <w:shd w:val="clear" w:color="auto" w:fill="auto"/>
            <w:hideMark/>
          </w:tcPr>
          <w:p w:rsidR="000B335A" w:rsidRPr="007D22C9" w:rsidRDefault="006B613B" w:rsidP="00BD3B9A">
            <w:pPr>
              <w:autoSpaceDE/>
              <w:autoSpaceDN/>
              <w:adjustRightInd/>
              <w:jc w:val="center"/>
              <w:rPr>
                <w:color w:val="000000"/>
                <w:sz w:val="20"/>
                <w:szCs w:val="20"/>
              </w:rPr>
            </w:pPr>
            <w:r w:rsidRPr="007D22C9">
              <w:rPr>
                <w:color w:val="000000"/>
                <w:sz w:val="20"/>
                <w:szCs w:val="20"/>
              </w:rPr>
              <w:t>0,75</w:t>
            </w:r>
          </w:p>
        </w:tc>
        <w:tc>
          <w:tcPr>
            <w:tcW w:w="992" w:type="dxa"/>
            <w:tcBorders>
              <w:top w:val="nil"/>
              <w:left w:val="nil"/>
              <w:bottom w:val="single" w:sz="4" w:space="0" w:color="auto"/>
              <w:right w:val="single" w:sz="4" w:space="0" w:color="auto"/>
            </w:tcBorders>
            <w:shd w:val="clear" w:color="auto" w:fill="auto"/>
            <w:hideMark/>
          </w:tcPr>
          <w:p w:rsidR="000B335A" w:rsidRPr="007D22C9" w:rsidRDefault="006B613B" w:rsidP="00BD3B9A">
            <w:pPr>
              <w:autoSpaceDE/>
              <w:autoSpaceDN/>
              <w:adjustRightInd/>
              <w:jc w:val="center"/>
              <w:rPr>
                <w:color w:val="000000"/>
                <w:sz w:val="20"/>
                <w:szCs w:val="20"/>
              </w:rPr>
            </w:pPr>
            <w:r w:rsidRPr="007D22C9">
              <w:rPr>
                <w:color w:val="000000"/>
                <w:sz w:val="20"/>
                <w:szCs w:val="20"/>
              </w:rPr>
              <w:t>0,75</w:t>
            </w:r>
          </w:p>
        </w:tc>
        <w:tc>
          <w:tcPr>
            <w:tcW w:w="708" w:type="dxa"/>
            <w:tcBorders>
              <w:top w:val="nil"/>
              <w:left w:val="nil"/>
              <w:bottom w:val="single" w:sz="4" w:space="0" w:color="auto"/>
              <w:right w:val="single" w:sz="4" w:space="0" w:color="auto"/>
            </w:tcBorders>
            <w:shd w:val="clear" w:color="auto" w:fill="auto"/>
            <w:hideMark/>
          </w:tcPr>
          <w:p w:rsidR="000B335A" w:rsidRPr="007D22C9" w:rsidRDefault="000B335A" w:rsidP="00BD3B9A">
            <w:pPr>
              <w:autoSpaceDE/>
              <w:autoSpaceDN/>
              <w:adjustRightInd/>
              <w:jc w:val="center"/>
              <w:rPr>
                <w:color w:val="000000"/>
                <w:sz w:val="20"/>
                <w:szCs w:val="20"/>
              </w:rPr>
            </w:pPr>
            <w:r w:rsidRPr="007D22C9">
              <w:rPr>
                <w:color w:val="000000"/>
                <w:sz w:val="20"/>
                <w:szCs w:val="20"/>
              </w:rPr>
              <w:t>1</w:t>
            </w:r>
          </w:p>
        </w:tc>
        <w:tc>
          <w:tcPr>
            <w:tcW w:w="993" w:type="dxa"/>
            <w:tcBorders>
              <w:top w:val="nil"/>
              <w:left w:val="nil"/>
              <w:bottom w:val="single" w:sz="4" w:space="0" w:color="auto"/>
              <w:right w:val="single" w:sz="4" w:space="0" w:color="auto"/>
            </w:tcBorders>
            <w:shd w:val="clear" w:color="auto" w:fill="auto"/>
            <w:hideMark/>
          </w:tcPr>
          <w:p w:rsidR="000B335A" w:rsidRPr="007D22C9" w:rsidRDefault="006B613B" w:rsidP="006B613B">
            <w:pPr>
              <w:autoSpaceDE/>
              <w:autoSpaceDN/>
              <w:adjustRightInd/>
              <w:jc w:val="center"/>
              <w:rPr>
                <w:color w:val="000000"/>
                <w:sz w:val="20"/>
                <w:szCs w:val="20"/>
              </w:rPr>
            </w:pPr>
            <w:r w:rsidRPr="007D22C9">
              <w:rPr>
                <w:color w:val="000000"/>
                <w:sz w:val="20"/>
                <w:szCs w:val="20"/>
              </w:rPr>
              <w:t>1</w:t>
            </w:r>
            <w:r w:rsidR="000B335A" w:rsidRPr="007D22C9">
              <w:rPr>
                <w:color w:val="000000"/>
                <w:sz w:val="20"/>
                <w:szCs w:val="20"/>
              </w:rPr>
              <w:t> </w:t>
            </w:r>
          </w:p>
        </w:tc>
      </w:tr>
      <w:tr w:rsidR="000B335A" w:rsidRPr="007D22C9" w:rsidTr="00BD3B9A">
        <w:trPr>
          <w:trHeight w:val="20"/>
        </w:trPr>
        <w:tc>
          <w:tcPr>
            <w:tcW w:w="533" w:type="dxa"/>
            <w:tcBorders>
              <w:top w:val="nil"/>
              <w:left w:val="single" w:sz="4" w:space="0" w:color="auto"/>
              <w:bottom w:val="single" w:sz="4" w:space="0" w:color="auto"/>
              <w:right w:val="single" w:sz="4" w:space="0" w:color="auto"/>
            </w:tcBorders>
            <w:shd w:val="clear" w:color="auto" w:fill="auto"/>
            <w:hideMark/>
          </w:tcPr>
          <w:p w:rsidR="000B335A" w:rsidRPr="007D22C9" w:rsidRDefault="000B335A" w:rsidP="00BD3B9A">
            <w:pPr>
              <w:autoSpaceDE/>
              <w:autoSpaceDN/>
              <w:adjustRightInd/>
              <w:jc w:val="center"/>
              <w:rPr>
                <w:color w:val="000000"/>
                <w:sz w:val="20"/>
                <w:szCs w:val="20"/>
              </w:rPr>
            </w:pPr>
            <w:r w:rsidRPr="007D22C9">
              <w:rPr>
                <w:color w:val="000000"/>
                <w:sz w:val="20"/>
                <w:szCs w:val="20"/>
              </w:rPr>
              <w:t>56</w:t>
            </w:r>
            <w:r w:rsidR="003B1A7B" w:rsidRPr="007D22C9">
              <w:rPr>
                <w:color w:val="000000"/>
                <w:sz w:val="20"/>
                <w:szCs w:val="20"/>
              </w:rPr>
              <w:t>.</w:t>
            </w:r>
          </w:p>
        </w:tc>
        <w:tc>
          <w:tcPr>
            <w:tcW w:w="1730" w:type="dxa"/>
            <w:tcBorders>
              <w:top w:val="nil"/>
              <w:left w:val="nil"/>
              <w:bottom w:val="single" w:sz="4" w:space="0" w:color="auto"/>
              <w:right w:val="nil"/>
            </w:tcBorders>
            <w:shd w:val="clear" w:color="auto" w:fill="auto"/>
            <w:hideMark/>
          </w:tcPr>
          <w:p w:rsidR="000B335A" w:rsidRPr="007D22C9" w:rsidRDefault="000B335A" w:rsidP="00C572EE">
            <w:pPr>
              <w:autoSpaceDE/>
              <w:autoSpaceDN/>
              <w:adjustRightInd/>
              <w:jc w:val="both"/>
              <w:rPr>
                <w:color w:val="000000"/>
                <w:sz w:val="20"/>
                <w:szCs w:val="20"/>
              </w:rPr>
            </w:pPr>
            <w:r w:rsidRPr="007D22C9">
              <w:rPr>
                <w:color w:val="000000"/>
                <w:sz w:val="20"/>
                <w:szCs w:val="20"/>
              </w:rPr>
              <w:t xml:space="preserve">ГАУЗ </w:t>
            </w:r>
            <w:r w:rsidR="002F7358" w:rsidRPr="007D22C9">
              <w:rPr>
                <w:color w:val="000000"/>
                <w:sz w:val="20"/>
                <w:szCs w:val="20"/>
              </w:rPr>
              <w:t>«</w:t>
            </w:r>
            <w:r w:rsidRPr="007D22C9">
              <w:rPr>
                <w:color w:val="000000"/>
                <w:sz w:val="20"/>
                <w:szCs w:val="20"/>
              </w:rPr>
              <w:t>Центральная городская клиническая больница № 18 им.проф.К.Ш.Зы</w:t>
            </w:r>
            <w:r w:rsidR="00C572EE" w:rsidRPr="007D22C9">
              <w:rPr>
                <w:color w:val="000000"/>
                <w:sz w:val="20"/>
                <w:szCs w:val="20"/>
              </w:rPr>
              <w:t>-</w:t>
            </w:r>
            <w:r w:rsidRPr="007D22C9">
              <w:rPr>
                <w:color w:val="000000"/>
                <w:sz w:val="20"/>
                <w:szCs w:val="20"/>
              </w:rPr>
              <w:t>ятдинова</w:t>
            </w:r>
            <w:r w:rsidR="002F7358" w:rsidRPr="007D22C9">
              <w:rPr>
                <w:color w:val="000000"/>
                <w:sz w:val="20"/>
                <w:szCs w:val="20"/>
              </w:rPr>
              <w:t>»</w:t>
            </w:r>
            <w:r w:rsidRPr="007D22C9">
              <w:rPr>
                <w:color w:val="000000"/>
                <w:sz w:val="20"/>
                <w:szCs w:val="20"/>
              </w:rPr>
              <w:t xml:space="preserve"> г.Казани</w:t>
            </w:r>
          </w:p>
        </w:tc>
        <w:tc>
          <w:tcPr>
            <w:tcW w:w="1418" w:type="dxa"/>
            <w:tcBorders>
              <w:top w:val="nil"/>
              <w:left w:val="single" w:sz="4" w:space="0" w:color="auto"/>
              <w:bottom w:val="single" w:sz="4" w:space="0" w:color="auto"/>
              <w:right w:val="single" w:sz="4" w:space="0" w:color="auto"/>
            </w:tcBorders>
            <w:shd w:val="clear" w:color="auto" w:fill="auto"/>
            <w:hideMark/>
          </w:tcPr>
          <w:p w:rsidR="000B335A" w:rsidRPr="007D22C9" w:rsidRDefault="00FC575A" w:rsidP="00C572EE">
            <w:pPr>
              <w:autoSpaceDE/>
              <w:autoSpaceDN/>
              <w:adjustRightInd/>
              <w:jc w:val="both"/>
              <w:rPr>
                <w:color w:val="000000"/>
                <w:sz w:val="20"/>
                <w:szCs w:val="20"/>
              </w:rPr>
            </w:pPr>
            <w:r w:rsidRPr="007D22C9">
              <w:rPr>
                <w:color w:val="000000"/>
                <w:sz w:val="20"/>
                <w:szCs w:val="20"/>
              </w:rPr>
              <w:t>г.Казань, ул.</w:t>
            </w:r>
            <w:r w:rsidR="000B335A" w:rsidRPr="007D22C9">
              <w:rPr>
                <w:color w:val="000000"/>
                <w:sz w:val="20"/>
                <w:szCs w:val="20"/>
              </w:rPr>
              <w:t>Мавлютова, д</w:t>
            </w:r>
            <w:r w:rsidR="007F3AFB" w:rsidRPr="007D22C9">
              <w:rPr>
                <w:color w:val="000000"/>
                <w:sz w:val="20"/>
                <w:szCs w:val="20"/>
              </w:rPr>
              <w:t>.</w:t>
            </w:r>
            <w:r w:rsidR="000B335A" w:rsidRPr="007D22C9">
              <w:rPr>
                <w:color w:val="000000"/>
                <w:sz w:val="20"/>
                <w:szCs w:val="20"/>
              </w:rPr>
              <w:t>2</w:t>
            </w:r>
          </w:p>
        </w:tc>
        <w:tc>
          <w:tcPr>
            <w:tcW w:w="1418" w:type="dxa"/>
            <w:tcBorders>
              <w:top w:val="nil"/>
              <w:left w:val="nil"/>
              <w:bottom w:val="single" w:sz="4" w:space="0" w:color="auto"/>
              <w:right w:val="single" w:sz="4" w:space="0" w:color="auto"/>
            </w:tcBorders>
            <w:shd w:val="clear" w:color="auto" w:fill="auto"/>
            <w:hideMark/>
          </w:tcPr>
          <w:p w:rsidR="000B335A" w:rsidRPr="007D22C9" w:rsidRDefault="000B335A" w:rsidP="00BD3B9A">
            <w:pPr>
              <w:autoSpaceDE/>
              <w:autoSpaceDN/>
              <w:adjustRightInd/>
              <w:jc w:val="both"/>
              <w:rPr>
                <w:color w:val="000000"/>
                <w:sz w:val="20"/>
                <w:szCs w:val="20"/>
              </w:rPr>
            </w:pPr>
            <w:r w:rsidRPr="007D22C9">
              <w:rPr>
                <w:color w:val="000000"/>
                <w:sz w:val="20"/>
                <w:szCs w:val="20"/>
              </w:rPr>
              <w:t>г.Казань</w:t>
            </w:r>
          </w:p>
        </w:tc>
        <w:tc>
          <w:tcPr>
            <w:tcW w:w="851" w:type="dxa"/>
            <w:tcBorders>
              <w:top w:val="nil"/>
              <w:left w:val="nil"/>
              <w:bottom w:val="single" w:sz="4" w:space="0" w:color="auto"/>
              <w:right w:val="single" w:sz="4" w:space="0" w:color="auto"/>
            </w:tcBorders>
            <w:shd w:val="clear" w:color="auto" w:fill="auto"/>
            <w:hideMark/>
          </w:tcPr>
          <w:p w:rsidR="000B335A" w:rsidRPr="007D22C9" w:rsidRDefault="000B335A" w:rsidP="00BD3B9A">
            <w:pPr>
              <w:autoSpaceDE/>
              <w:autoSpaceDN/>
              <w:adjustRightInd/>
              <w:jc w:val="center"/>
              <w:rPr>
                <w:color w:val="000000"/>
                <w:sz w:val="20"/>
                <w:szCs w:val="20"/>
              </w:rPr>
            </w:pPr>
            <w:r w:rsidRPr="007D22C9">
              <w:rPr>
                <w:color w:val="000000"/>
                <w:sz w:val="20"/>
                <w:szCs w:val="20"/>
              </w:rPr>
              <w:t>58 653</w:t>
            </w:r>
          </w:p>
        </w:tc>
        <w:tc>
          <w:tcPr>
            <w:tcW w:w="850" w:type="dxa"/>
            <w:tcBorders>
              <w:top w:val="nil"/>
              <w:left w:val="nil"/>
              <w:bottom w:val="single" w:sz="4" w:space="0" w:color="auto"/>
              <w:right w:val="single" w:sz="4" w:space="0" w:color="auto"/>
            </w:tcBorders>
            <w:shd w:val="clear" w:color="auto" w:fill="auto"/>
            <w:hideMark/>
          </w:tcPr>
          <w:p w:rsidR="000B335A" w:rsidRPr="007D22C9" w:rsidRDefault="000B335A" w:rsidP="00BD3B9A">
            <w:pPr>
              <w:autoSpaceDE/>
              <w:autoSpaceDN/>
              <w:adjustRightInd/>
              <w:jc w:val="center"/>
              <w:rPr>
                <w:color w:val="000000"/>
                <w:sz w:val="20"/>
                <w:szCs w:val="20"/>
              </w:rPr>
            </w:pPr>
            <w:r w:rsidRPr="007D22C9">
              <w:rPr>
                <w:color w:val="000000"/>
                <w:sz w:val="20"/>
                <w:szCs w:val="20"/>
              </w:rPr>
              <w:t>1,96</w:t>
            </w:r>
          </w:p>
        </w:tc>
        <w:tc>
          <w:tcPr>
            <w:tcW w:w="1077" w:type="dxa"/>
            <w:tcBorders>
              <w:top w:val="nil"/>
              <w:left w:val="nil"/>
              <w:bottom w:val="single" w:sz="4" w:space="0" w:color="auto"/>
              <w:right w:val="single" w:sz="4" w:space="0" w:color="auto"/>
            </w:tcBorders>
            <w:shd w:val="clear" w:color="auto" w:fill="auto"/>
            <w:hideMark/>
          </w:tcPr>
          <w:p w:rsidR="000B335A" w:rsidRPr="007D22C9" w:rsidRDefault="006B613B" w:rsidP="006B613B">
            <w:pPr>
              <w:autoSpaceDE/>
              <w:autoSpaceDN/>
              <w:adjustRightInd/>
              <w:jc w:val="center"/>
              <w:rPr>
                <w:color w:val="000000"/>
                <w:sz w:val="20"/>
                <w:szCs w:val="20"/>
              </w:rPr>
            </w:pPr>
            <w:r w:rsidRPr="007D22C9">
              <w:rPr>
                <w:color w:val="000000"/>
                <w:sz w:val="20"/>
                <w:szCs w:val="20"/>
              </w:rPr>
              <w:t>2,25</w:t>
            </w:r>
          </w:p>
        </w:tc>
        <w:tc>
          <w:tcPr>
            <w:tcW w:w="992" w:type="dxa"/>
            <w:tcBorders>
              <w:top w:val="nil"/>
              <w:left w:val="nil"/>
              <w:bottom w:val="single" w:sz="4" w:space="0" w:color="auto"/>
              <w:right w:val="single" w:sz="4" w:space="0" w:color="auto"/>
            </w:tcBorders>
            <w:shd w:val="clear" w:color="auto" w:fill="auto"/>
            <w:hideMark/>
          </w:tcPr>
          <w:p w:rsidR="000B335A" w:rsidRPr="007D22C9" w:rsidRDefault="006B613B" w:rsidP="006B613B">
            <w:pPr>
              <w:autoSpaceDE/>
              <w:autoSpaceDN/>
              <w:adjustRightInd/>
              <w:jc w:val="center"/>
              <w:rPr>
                <w:color w:val="000000"/>
                <w:sz w:val="20"/>
                <w:szCs w:val="20"/>
              </w:rPr>
            </w:pPr>
            <w:r w:rsidRPr="007D22C9">
              <w:rPr>
                <w:color w:val="000000"/>
                <w:sz w:val="20"/>
                <w:szCs w:val="20"/>
              </w:rPr>
              <w:t>2,25</w:t>
            </w:r>
          </w:p>
        </w:tc>
        <w:tc>
          <w:tcPr>
            <w:tcW w:w="708" w:type="dxa"/>
            <w:tcBorders>
              <w:top w:val="nil"/>
              <w:left w:val="nil"/>
              <w:bottom w:val="single" w:sz="4" w:space="0" w:color="auto"/>
              <w:right w:val="single" w:sz="4" w:space="0" w:color="auto"/>
            </w:tcBorders>
            <w:shd w:val="clear" w:color="auto" w:fill="auto"/>
            <w:hideMark/>
          </w:tcPr>
          <w:p w:rsidR="000B335A" w:rsidRPr="007D22C9" w:rsidRDefault="006B613B" w:rsidP="006B613B">
            <w:pPr>
              <w:autoSpaceDE/>
              <w:autoSpaceDN/>
              <w:adjustRightInd/>
              <w:jc w:val="center"/>
              <w:rPr>
                <w:color w:val="000000"/>
                <w:sz w:val="20"/>
                <w:szCs w:val="20"/>
              </w:rPr>
            </w:pPr>
            <w:r w:rsidRPr="007D22C9">
              <w:rPr>
                <w:color w:val="000000"/>
                <w:sz w:val="20"/>
                <w:szCs w:val="20"/>
              </w:rPr>
              <w:t>2</w:t>
            </w:r>
          </w:p>
        </w:tc>
        <w:tc>
          <w:tcPr>
            <w:tcW w:w="993" w:type="dxa"/>
            <w:tcBorders>
              <w:top w:val="nil"/>
              <w:left w:val="nil"/>
              <w:bottom w:val="single" w:sz="4" w:space="0" w:color="auto"/>
              <w:right w:val="single" w:sz="4" w:space="0" w:color="auto"/>
            </w:tcBorders>
            <w:shd w:val="clear" w:color="auto" w:fill="auto"/>
            <w:hideMark/>
          </w:tcPr>
          <w:p w:rsidR="000B335A" w:rsidRPr="007D22C9" w:rsidRDefault="00DE16F2" w:rsidP="00BD3B9A">
            <w:pPr>
              <w:autoSpaceDE/>
              <w:autoSpaceDN/>
              <w:adjustRightInd/>
              <w:jc w:val="center"/>
              <w:rPr>
                <w:color w:val="000000"/>
                <w:sz w:val="20"/>
                <w:szCs w:val="20"/>
              </w:rPr>
            </w:pPr>
            <w:r w:rsidRPr="007D22C9">
              <w:rPr>
                <w:color w:val="000000"/>
                <w:sz w:val="20"/>
                <w:szCs w:val="20"/>
              </w:rPr>
              <w:t>0</w:t>
            </w:r>
            <w:r w:rsidR="000B335A" w:rsidRPr="007D22C9">
              <w:rPr>
                <w:color w:val="000000"/>
                <w:sz w:val="20"/>
                <w:szCs w:val="20"/>
              </w:rPr>
              <w:t> </w:t>
            </w:r>
          </w:p>
        </w:tc>
      </w:tr>
      <w:tr w:rsidR="000B335A" w:rsidRPr="007D22C9" w:rsidTr="00BD3B9A">
        <w:trPr>
          <w:trHeight w:val="20"/>
        </w:trPr>
        <w:tc>
          <w:tcPr>
            <w:tcW w:w="533" w:type="dxa"/>
            <w:tcBorders>
              <w:top w:val="nil"/>
              <w:left w:val="single" w:sz="4" w:space="0" w:color="auto"/>
              <w:bottom w:val="single" w:sz="4" w:space="0" w:color="auto"/>
              <w:right w:val="single" w:sz="4" w:space="0" w:color="auto"/>
            </w:tcBorders>
            <w:shd w:val="clear" w:color="auto" w:fill="auto"/>
            <w:hideMark/>
          </w:tcPr>
          <w:p w:rsidR="000B335A" w:rsidRPr="007D22C9" w:rsidRDefault="000B335A" w:rsidP="00BD3B9A">
            <w:pPr>
              <w:autoSpaceDE/>
              <w:autoSpaceDN/>
              <w:adjustRightInd/>
              <w:jc w:val="center"/>
              <w:rPr>
                <w:color w:val="000000"/>
                <w:sz w:val="20"/>
                <w:szCs w:val="20"/>
              </w:rPr>
            </w:pPr>
            <w:r w:rsidRPr="007D22C9">
              <w:rPr>
                <w:color w:val="000000"/>
                <w:sz w:val="20"/>
                <w:szCs w:val="20"/>
              </w:rPr>
              <w:t>57</w:t>
            </w:r>
            <w:r w:rsidR="003B1A7B" w:rsidRPr="007D22C9">
              <w:rPr>
                <w:color w:val="000000"/>
                <w:sz w:val="20"/>
                <w:szCs w:val="20"/>
              </w:rPr>
              <w:t>.</w:t>
            </w:r>
          </w:p>
        </w:tc>
        <w:tc>
          <w:tcPr>
            <w:tcW w:w="1730" w:type="dxa"/>
            <w:tcBorders>
              <w:top w:val="nil"/>
              <w:left w:val="nil"/>
              <w:bottom w:val="single" w:sz="4" w:space="0" w:color="auto"/>
              <w:right w:val="nil"/>
            </w:tcBorders>
            <w:shd w:val="clear" w:color="auto" w:fill="auto"/>
            <w:hideMark/>
          </w:tcPr>
          <w:p w:rsidR="000B335A" w:rsidRPr="007D22C9" w:rsidRDefault="000B335A" w:rsidP="00BD3B9A">
            <w:pPr>
              <w:autoSpaceDE/>
              <w:autoSpaceDN/>
              <w:adjustRightInd/>
              <w:jc w:val="both"/>
              <w:rPr>
                <w:color w:val="000000"/>
                <w:sz w:val="20"/>
                <w:szCs w:val="20"/>
              </w:rPr>
            </w:pPr>
            <w:r w:rsidRPr="007D22C9">
              <w:rPr>
                <w:color w:val="000000"/>
                <w:sz w:val="20"/>
                <w:szCs w:val="20"/>
              </w:rPr>
              <w:t xml:space="preserve">ГАУЗ </w:t>
            </w:r>
            <w:r w:rsidR="002F7358" w:rsidRPr="007D22C9">
              <w:rPr>
                <w:color w:val="000000"/>
                <w:sz w:val="20"/>
                <w:szCs w:val="20"/>
              </w:rPr>
              <w:t>«</w:t>
            </w:r>
            <w:r w:rsidRPr="007D22C9">
              <w:rPr>
                <w:color w:val="000000"/>
                <w:sz w:val="20"/>
                <w:szCs w:val="20"/>
              </w:rPr>
              <w:t>Госпиталь для ветеранов войн</w:t>
            </w:r>
            <w:r w:rsidR="002F7358" w:rsidRPr="007D22C9">
              <w:rPr>
                <w:color w:val="000000"/>
                <w:sz w:val="20"/>
                <w:szCs w:val="20"/>
              </w:rPr>
              <w:t>»</w:t>
            </w:r>
            <w:r w:rsidRPr="007D22C9">
              <w:rPr>
                <w:color w:val="000000"/>
                <w:sz w:val="20"/>
                <w:szCs w:val="20"/>
              </w:rPr>
              <w:t xml:space="preserve"> г.Казани</w:t>
            </w:r>
          </w:p>
        </w:tc>
        <w:tc>
          <w:tcPr>
            <w:tcW w:w="1418" w:type="dxa"/>
            <w:tcBorders>
              <w:top w:val="nil"/>
              <w:left w:val="single" w:sz="4" w:space="0" w:color="auto"/>
              <w:bottom w:val="single" w:sz="4" w:space="0" w:color="auto"/>
              <w:right w:val="single" w:sz="4" w:space="0" w:color="auto"/>
            </w:tcBorders>
            <w:shd w:val="clear" w:color="auto" w:fill="auto"/>
            <w:hideMark/>
          </w:tcPr>
          <w:p w:rsidR="000B335A" w:rsidRPr="007D22C9" w:rsidRDefault="00FC575A" w:rsidP="00C572EE">
            <w:pPr>
              <w:autoSpaceDE/>
              <w:autoSpaceDN/>
              <w:adjustRightInd/>
              <w:jc w:val="both"/>
              <w:rPr>
                <w:color w:val="000000"/>
                <w:sz w:val="20"/>
                <w:szCs w:val="20"/>
              </w:rPr>
            </w:pPr>
            <w:r w:rsidRPr="007D22C9">
              <w:rPr>
                <w:color w:val="000000"/>
                <w:sz w:val="20"/>
                <w:szCs w:val="20"/>
              </w:rPr>
              <w:t>г.</w:t>
            </w:r>
            <w:r w:rsidR="000B335A" w:rsidRPr="007D22C9">
              <w:rPr>
                <w:color w:val="000000"/>
                <w:sz w:val="20"/>
                <w:szCs w:val="20"/>
              </w:rPr>
              <w:t xml:space="preserve">Казань, </w:t>
            </w:r>
            <w:r w:rsidR="00CF57D0" w:rsidRPr="007D22C9">
              <w:rPr>
                <w:color w:val="000000"/>
                <w:sz w:val="20"/>
                <w:szCs w:val="20"/>
              </w:rPr>
              <w:t>ул.</w:t>
            </w:r>
            <w:r w:rsidR="000B335A" w:rsidRPr="007D22C9">
              <w:rPr>
                <w:color w:val="000000"/>
                <w:sz w:val="20"/>
                <w:szCs w:val="20"/>
              </w:rPr>
              <w:t xml:space="preserve">Исаева, </w:t>
            </w:r>
            <w:r w:rsidR="00A14DF6" w:rsidRPr="007D22C9">
              <w:rPr>
                <w:color w:val="000000"/>
                <w:sz w:val="20"/>
                <w:szCs w:val="20"/>
              </w:rPr>
              <w:t>д.</w:t>
            </w:r>
            <w:r w:rsidR="000B335A" w:rsidRPr="007D22C9">
              <w:rPr>
                <w:color w:val="000000"/>
                <w:sz w:val="20"/>
                <w:szCs w:val="20"/>
              </w:rPr>
              <w:t>5</w:t>
            </w:r>
          </w:p>
        </w:tc>
        <w:tc>
          <w:tcPr>
            <w:tcW w:w="1418" w:type="dxa"/>
            <w:tcBorders>
              <w:top w:val="nil"/>
              <w:left w:val="nil"/>
              <w:bottom w:val="single" w:sz="4" w:space="0" w:color="auto"/>
              <w:right w:val="single" w:sz="4" w:space="0" w:color="auto"/>
            </w:tcBorders>
            <w:shd w:val="clear" w:color="auto" w:fill="auto"/>
            <w:hideMark/>
          </w:tcPr>
          <w:p w:rsidR="000B335A" w:rsidRPr="007D22C9" w:rsidRDefault="000B335A" w:rsidP="00BD3B9A">
            <w:pPr>
              <w:autoSpaceDE/>
              <w:autoSpaceDN/>
              <w:adjustRightInd/>
              <w:jc w:val="both"/>
              <w:rPr>
                <w:color w:val="000000"/>
                <w:sz w:val="20"/>
                <w:szCs w:val="20"/>
              </w:rPr>
            </w:pPr>
            <w:r w:rsidRPr="007D22C9">
              <w:rPr>
                <w:color w:val="000000"/>
                <w:sz w:val="20"/>
                <w:szCs w:val="20"/>
              </w:rPr>
              <w:t>г.Казань</w:t>
            </w:r>
          </w:p>
        </w:tc>
        <w:tc>
          <w:tcPr>
            <w:tcW w:w="851" w:type="dxa"/>
            <w:tcBorders>
              <w:top w:val="nil"/>
              <w:left w:val="nil"/>
              <w:bottom w:val="single" w:sz="4" w:space="0" w:color="auto"/>
              <w:right w:val="single" w:sz="4" w:space="0" w:color="auto"/>
            </w:tcBorders>
            <w:shd w:val="clear" w:color="auto" w:fill="auto"/>
            <w:hideMark/>
          </w:tcPr>
          <w:p w:rsidR="000B335A" w:rsidRPr="007D22C9" w:rsidRDefault="000B335A" w:rsidP="00BD3B9A">
            <w:pPr>
              <w:autoSpaceDE/>
              <w:autoSpaceDN/>
              <w:adjustRightInd/>
              <w:jc w:val="center"/>
              <w:rPr>
                <w:color w:val="000000"/>
                <w:sz w:val="20"/>
                <w:szCs w:val="20"/>
              </w:rPr>
            </w:pPr>
            <w:r w:rsidRPr="007D22C9">
              <w:rPr>
                <w:color w:val="000000"/>
                <w:sz w:val="20"/>
                <w:szCs w:val="20"/>
              </w:rPr>
              <w:t>21 568</w:t>
            </w:r>
          </w:p>
        </w:tc>
        <w:tc>
          <w:tcPr>
            <w:tcW w:w="850" w:type="dxa"/>
            <w:tcBorders>
              <w:top w:val="nil"/>
              <w:left w:val="nil"/>
              <w:bottom w:val="single" w:sz="4" w:space="0" w:color="auto"/>
              <w:right w:val="single" w:sz="4" w:space="0" w:color="auto"/>
            </w:tcBorders>
            <w:shd w:val="clear" w:color="auto" w:fill="auto"/>
            <w:hideMark/>
          </w:tcPr>
          <w:p w:rsidR="000B335A" w:rsidRPr="007D22C9" w:rsidRDefault="000B335A" w:rsidP="00BD3B9A">
            <w:pPr>
              <w:autoSpaceDE/>
              <w:autoSpaceDN/>
              <w:adjustRightInd/>
              <w:jc w:val="center"/>
              <w:rPr>
                <w:color w:val="000000"/>
                <w:sz w:val="20"/>
                <w:szCs w:val="20"/>
              </w:rPr>
            </w:pPr>
            <w:r w:rsidRPr="007D22C9">
              <w:rPr>
                <w:color w:val="000000"/>
                <w:sz w:val="20"/>
                <w:szCs w:val="20"/>
              </w:rPr>
              <w:t>0,72</w:t>
            </w:r>
          </w:p>
        </w:tc>
        <w:tc>
          <w:tcPr>
            <w:tcW w:w="1077" w:type="dxa"/>
            <w:tcBorders>
              <w:top w:val="nil"/>
              <w:left w:val="nil"/>
              <w:bottom w:val="single" w:sz="4" w:space="0" w:color="auto"/>
              <w:right w:val="single" w:sz="4" w:space="0" w:color="auto"/>
            </w:tcBorders>
            <w:shd w:val="clear" w:color="auto" w:fill="auto"/>
            <w:hideMark/>
          </w:tcPr>
          <w:p w:rsidR="000B335A" w:rsidRPr="007D22C9" w:rsidRDefault="000B335A" w:rsidP="006B613B">
            <w:pPr>
              <w:autoSpaceDE/>
              <w:autoSpaceDN/>
              <w:adjustRightInd/>
              <w:jc w:val="center"/>
              <w:rPr>
                <w:color w:val="000000"/>
                <w:sz w:val="20"/>
                <w:szCs w:val="20"/>
              </w:rPr>
            </w:pPr>
            <w:r w:rsidRPr="007D22C9">
              <w:rPr>
                <w:color w:val="000000"/>
                <w:sz w:val="20"/>
                <w:szCs w:val="20"/>
              </w:rPr>
              <w:t>1,5</w:t>
            </w:r>
            <w:r w:rsidR="006B613B" w:rsidRPr="007D22C9">
              <w:rPr>
                <w:color w:val="000000"/>
                <w:sz w:val="20"/>
                <w:szCs w:val="20"/>
              </w:rPr>
              <w:t>0</w:t>
            </w:r>
          </w:p>
        </w:tc>
        <w:tc>
          <w:tcPr>
            <w:tcW w:w="992" w:type="dxa"/>
            <w:tcBorders>
              <w:top w:val="nil"/>
              <w:left w:val="nil"/>
              <w:bottom w:val="single" w:sz="4" w:space="0" w:color="auto"/>
              <w:right w:val="single" w:sz="4" w:space="0" w:color="auto"/>
            </w:tcBorders>
            <w:shd w:val="clear" w:color="auto" w:fill="auto"/>
            <w:hideMark/>
          </w:tcPr>
          <w:p w:rsidR="000B335A" w:rsidRPr="007D22C9" w:rsidRDefault="000B335A" w:rsidP="006B613B">
            <w:pPr>
              <w:autoSpaceDE/>
              <w:autoSpaceDN/>
              <w:adjustRightInd/>
              <w:jc w:val="center"/>
              <w:rPr>
                <w:color w:val="000000"/>
                <w:sz w:val="20"/>
                <w:szCs w:val="20"/>
              </w:rPr>
            </w:pPr>
            <w:r w:rsidRPr="007D22C9">
              <w:rPr>
                <w:color w:val="000000"/>
                <w:sz w:val="20"/>
                <w:szCs w:val="20"/>
              </w:rPr>
              <w:t>1,5</w:t>
            </w:r>
            <w:r w:rsidR="006B613B" w:rsidRPr="007D22C9">
              <w:rPr>
                <w:color w:val="000000"/>
                <w:sz w:val="20"/>
                <w:szCs w:val="20"/>
              </w:rPr>
              <w:t>0</w:t>
            </w:r>
          </w:p>
        </w:tc>
        <w:tc>
          <w:tcPr>
            <w:tcW w:w="708" w:type="dxa"/>
            <w:tcBorders>
              <w:top w:val="nil"/>
              <w:left w:val="nil"/>
              <w:bottom w:val="single" w:sz="4" w:space="0" w:color="auto"/>
              <w:right w:val="single" w:sz="4" w:space="0" w:color="auto"/>
            </w:tcBorders>
            <w:shd w:val="clear" w:color="auto" w:fill="auto"/>
            <w:hideMark/>
          </w:tcPr>
          <w:p w:rsidR="000B335A" w:rsidRPr="007D22C9" w:rsidRDefault="000B335A" w:rsidP="00BD3B9A">
            <w:pPr>
              <w:autoSpaceDE/>
              <w:autoSpaceDN/>
              <w:adjustRightInd/>
              <w:jc w:val="center"/>
              <w:rPr>
                <w:color w:val="000000"/>
                <w:sz w:val="20"/>
                <w:szCs w:val="20"/>
              </w:rPr>
            </w:pPr>
            <w:r w:rsidRPr="007D22C9">
              <w:rPr>
                <w:color w:val="000000"/>
                <w:sz w:val="20"/>
                <w:szCs w:val="20"/>
              </w:rPr>
              <w:t>1</w:t>
            </w:r>
          </w:p>
        </w:tc>
        <w:tc>
          <w:tcPr>
            <w:tcW w:w="993" w:type="dxa"/>
            <w:tcBorders>
              <w:top w:val="nil"/>
              <w:left w:val="nil"/>
              <w:bottom w:val="single" w:sz="4" w:space="0" w:color="auto"/>
              <w:right w:val="single" w:sz="4" w:space="0" w:color="auto"/>
            </w:tcBorders>
            <w:shd w:val="clear" w:color="auto" w:fill="auto"/>
            <w:hideMark/>
          </w:tcPr>
          <w:p w:rsidR="000B335A" w:rsidRPr="007D22C9" w:rsidRDefault="00DE16F2" w:rsidP="00BD3B9A">
            <w:pPr>
              <w:autoSpaceDE/>
              <w:autoSpaceDN/>
              <w:adjustRightInd/>
              <w:jc w:val="center"/>
              <w:rPr>
                <w:color w:val="000000"/>
                <w:sz w:val="20"/>
                <w:szCs w:val="20"/>
              </w:rPr>
            </w:pPr>
            <w:r w:rsidRPr="007D22C9">
              <w:rPr>
                <w:color w:val="000000"/>
                <w:sz w:val="20"/>
                <w:szCs w:val="20"/>
              </w:rPr>
              <w:t>0</w:t>
            </w:r>
            <w:r w:rsidR="000B335A" w:rsidRPr="007D22C9">
              <w:rPr>
                <w:color w:val="000000"/>
                <w:sz w:val="20"/>
                <w:szCs w:val="20"/>
              </w:rPr>
              <w:t> </w:t>
            </w:r>
          </w:p>
        </w:tc>
      </w:tr>
      <w:tr w:rsidR="000B335A" w:rsidRPr="007D22C9" w:rsidTr="00BD3B9A">
        <w:trPr>
          <w:trHeight w:val="20"/>
        </w:trPr>
        <w:tc>
          <w:tcPr>
            <w:tcW w:w="533" w:type="dxa"/>
            <w:tcBorders>
              <w:top w:val="nil"/>
              <w:left w:val="single" w:sz="4" w:space="0" w:color="auto"/>
              <w:bottom w:val="single" w:sz="4" w:space="0" w:color="auto"/>
              <w:right w:val="single" w:sz="4" w:space="0" w:color="auto"/>
            </w:tcBorders>
            <w:shd w:val="clear" w:color="auto" w:fill="auto"/>
            <w:hideMark/>
          </w:tcPr>
          <w:p w:rsidR="000B335A" w:rsidRPr="007D22C9" w:rsidRDefault="000B335A" w:rsidP="00BD3B9A">
            <w:pPr>
              <w:autoSpaceDE/>
              <w:autoSpaceDN/>
              <w:adjustRightInd/>
              <w:jc w:val="center"/>
              <w:rPr>
                <w:color w:val="000000"/>
                <w:sz w:val="20"/>
                <w:szCs w:val="20"/>
              </w:rPr>
            </w:pPr>
            <w:r w:rsidRPr="007D22C9">
              <w:rPr>
                <w:color w:val="000000"/>
                <w:sz w:val="20"/>
                <w:szCs w:val="20"/>
              </w:rPr>
              <w:t>58</w:t>
            </w:r>
            <w:r w:rsidR="003B1A7B" w:rsidRPr="007D22C9">
              <w:rPr>
                <w:color w:val="000000"/>
                <w:sz w:val="20"/>
                <w:szCs w:val="20"/>
              </w:rPr>
              <w:t>.</w:t>
            </w:r>
          </w:p>
        </w:tc>
        <w:tc>
          <w:tcPr>
            <w:tcW w:w="1730" w:type="dxa"/>
            <w:tcBorders>
              <w:top w:val="nil"/>
              <w:left w:val="nil"/>
              <w:bottom w:val="single" w:sz="4" w:space="0" w:color="auto"/>
              <w:right w:val="nil"/>
            </w:tcBorders>
            <w:shd w:val="clear" w:color="auto" w:fill="auto"/>
            <w:hideMark/>
          </w:tcPr>
          <w:p w:rsidR="000B335A" w:rsidRPr="007D22C9" w:rsidRDefault="00564DD5" w:rsidP="00A14DF6">
            <w:pPr>
              <w:autoSpaceDE/>
              <w:autoSpaceDN/>
              <w:adjustRightInd/>
              <w:jc w:val="both"/>
              <w:rPr>
                <w:color w:val="000000"/>
                <w:sz w:val="20"/>
                <w:szCs w:val="20"/>
              </w:rPr>
            </w:pPr>
            <w:r w:rsidRPr="007D22C9">
              <w:rPr>
                <w:color w:val="000000"/>
                <w:sz w:val="20"/>
                <w:szCs w:val="20"/>
              </w:rPr>
              <w:t>Медико-с</w:t>
            </w:r>
            <w:r w:rsidR="00FC575A" w:rsidRPr="007D22C9">
              <w:rPr>
                <w:color w:val="000000"/>
                <w:sz w:val="20"/>
                <w:szCs w:val="20"/>
              </w:rPr>
              <w:t xml:space="preserve">анитарная часть </w:t>
            </w:r>
            <w:r w:rsidR="00A14DF6" w:rsidRPr="007D22C9">
              <w:rPr>
                <w:color w:val="000000"/>
                <w:sz w:val="20"/>
                <w:szCs w:val="20"/>
              </w:rPr>
              <w:t>ф</w:t>
            </w:r>
            <w:r w:rsidR="00FC575A" w:rsidRPr="007D22C9">
              <w:rPr>
                <w:color w:val="000000"/>
                <w:sz w:val="20"/>
                <w:szCs w:val="20"/>
              </w:rPr>
              <w:t>едерального го</w:t>
            </w:r>
            <w:r w:rsidRPr="007D22C9">
              <w:rPr>
                <w:color w:val="000000"/>
                <w:sz w:val="20"/>
                <w:szCs w:val="20"/>
              </w:rPr>
              <w:t xml:space="preserve">сударственного автономного образовательного учреждения высшего образования </w:t>
            </w:r>
            <w:r w:rsidR="002F7358" w:rsidRPr="007D22C9">
              <w:rPr>
                <w:color w:val="000000"/>
                <w:sz w:val="20"/>
                <w:szCs w:val="20"/>
              </w:rPr>
              <w:t>«</w:t>
            </w:r>
            <w:r w:rsidRPr="007D22C9">
              <w:rPr>
                <w:color w:val="000000"/>
                <w:sz w:val="20"/>
                <w:szCs w:val="20"/>
              </w:rPr>
              <w:t>Казанский (Приволжский) федеральный университет</w:t>
            </w:r>
            <w:r w:rsidR="002F7358" w:rsidRPr="007D22C9">
              <w:rPr>
                <w:color w:val="000000"/>
                <w:sz w:val="20"/>
                <w:szCs w:val="20"/>
              </w:rPr>
              <w:t>»</w:t>
            </w:r>
          </w:p>
        </w:tc>
        <w:tc>
          <w:tcPr>
            <w:tcW w:w="1418" w:type="dxa"/>
            <w:tcBorders>
              <w:top w:val="nil"/>
              <w:left w:val="single" w:sz="4" w:space="0" w:color="auto"/>
              <w:bottom w:val="single" w:sz="4" w:space="0" w:color="auto"/>
              <w:right w:val="single" w:sz="4" w:space="0" w:color="auto"/>
            </w:tcBorders>
            <w:shd w:val="clear" w:color="auto" w:fill="auto"/>
            <w:hideMark/>
          </w:tcPr>
          <w:p w:rsidR="000B335A" w:rsidRPr="007D22C9" w:rsidRDefault="00C572EE" w:rsidP="00C572EE">
            <w:pPr>
              <w:autoSpaceDE/>
              <w:autoSpaceDN/>
              <w:adjustRightInd/>
              <w:jc w:val="both"/>
              <w:rPr>
                <w:color w:val="000000"/>
                <w:sz w:val="20"/>
                <w:szCs w:val="20"/>
              </w:rPr>
            </w:pPr>
            <w:r w:rsidRPr="007D22C9">
              <w:rPr>
                <w:color w:val="000000"/>
                <w:sz w:val="20"/>
                <w:szCs w:val="20"/>
              </w:rPr>
              <w:t>г.</w:t>
            </w:r>
            <w:r w:rsidR="000B335A" w:rsidRPr="007D22C9">
              <w:rPr>
                <w:color w:val="000000"/>
                <w:sz w:val="20"/>
                <w:szCs w:val="20"/>
              </w:rPr>
              <w:t xml:space="preserve">Казань, </w:t>
            </w:r>
            <w:r w:rsidR="00CF57D0" w:rsidRPr="007D22C9">
              <w:rPr>
                <w:color w:val="000000"/>
                <w:sz w:val="20"/>
                <w:szCs w:val="20"/>
              </w:rPr>
              <w:t>ул.</w:t>
            </w:r>
            <w:r w:rsidR="000B335A" w:rsidRPr="007D22C9">
              <w:rPr>
                <w:color w:val="000000"/>
                <w:sz w:val="20"/>
                <w:szCs w:val="20"/>
              </w:rPr>
              <w:t xml:space="preserve">Чехова, </w:t>
            </w:r>
            <w:r w:rsidR="00A14DF6" w:rsidRPr="007D22C9">
              <w:rPr>
                <w:color w:val="000000"/>
                <w:sz w:val="20"/>
                <w:szCs w:val="20"/>
              </w:rPr>
              <w:t>д.</w:t>
            </w:r>
            <w:r w:rsidR="000B335A" w:rsidRPr="007D22C9">
              <w:rPr>
                <w:color w:val="000000"/>
                <w:sz w:val="20"/>
                <w:szCs w:val="20"/>
              </w:rPr>
              <w:t>1а</w:t>
            </w:r>
          </w:p>
        </w:tc>
        <w:tc>
          <w:tcPr>
            <w:tcW w:w="1418" w:type="dxa"/>
            <w:tcBorders>
              <w:top w:val="nil"/>
              <w:left w:val="nil"/>
              <w:bottom w:val="single" w:sz="4" w:space="0" w:color="auto"/>
              <w:right w:val="single" w:sz="4" w:space="0" w:color="auto"/>
            </w:tcBorders>
            <w:shd w:val="clear" w:color="auto" w:fill="auto"/>
            <w:hideMark/>
          </w:tcPr>
          <w:p w:rsidR="000B335A" w:rsidRPr="007D22C9" w:rsidRDefault="000B335A" w:rsidP="00BD3B9A">
            <w:pPr>
              <w:autoSpaceDE/>
              <w:autoSpaceDN/>
              <w:adjustRightInd/>
              <w:jc w:val="both"/>
              <w:rPr>
                <w:color w:val="000000"/>
                <w:sz w:val="20"/>
                <w:szCs w:val="20"/>
              </w:rPr>
            </w:pPr>
            <w:r w:rsidRPr="007D22C9">
              <w:rPr>
                <w:color w:val="000000"/>
                <w:sz w:val="20"/>
                <w:szCs w:val="20"/>
              </w:rPr>
              <w:t>г.Казань</w:t>
            </w:r>
          </w:p>
        </w:tc>
        <w:tc>
          <w:tcPr>
            <w:tcW w:w="851" w:type="dxa"/>
            <w:tcBorders>
              <w:top w:val="nil"/>
              <w:left w:val="nil"/>
              <w:bottom w:val="single" w:sz="4" w:space="0" w:color="auto"/>
              <w:right w:val="single" w:sz="4" w:space="0" w:color="auto"/>
            </w:tcBorders>
            <w:shd w:val="clear" w:color="auto" w:fill="auto"/>
            <w:hideMark/>
          </w:tcPr>
          <w:p w:rsidR="000B335A" w:rsidRPr="007D22C9" w:rsidRDefault="000B335A" w:rsidP="00BD3B9A">
            <w:pPr>
              <w:autoSpaceDE/>
              <w:autoSpaceDN/>
              <w:adjustRightInd/>
              <w:jc w:val="center"/>
              <w:rPr>
                <w:color w:val="000000"/>
                <w:sz w:val="20"/>
                <w:szCs w:val="20"/>
              </w:rPr>
            </w:pPr>
            <w:r w:rsidRPr="007D22C9">
              <w:rPr>
                <w:color w:val="000000"/>
                <w:sz w:val="20"/>
                <w:szCs w:val="20"/>
              </w:rPr>
              <w:t>41 338</w:t>
            </w:r>
          </w:p>
        </w:tc>
        <w:tc>
          <w:tcPr>
            <w:tcW w:w="850" w:type="dxa"/>
            <w:tcBorders>
              <w:top w:val="nil"/>
              <w:left w:val="nil"/>
              <w:bottom w:val="single" w:sz="4" w:space="0" w:color="auto"/>
              <w:right w:val="single" w:sz="4" w:space="0" w:color="auto"/>
            </w:tcBorders>
            <w:shd w:val="clear" w:color="auto" w:fill="auto"/>
            <w:hideMark/>
          </w:tcPr>
          <w:p w:rsidR="000B335A" w:rsidRPr="007D22C9" w:rsidRDefault="000B335A" w:rsidP="00BD3B9A">
            <w:pPr>
              <w:autoSpaceDE/>
              <w:autoSpaceDN/>
              <w:adjustRightInd/>
              <w:jc w:val="center"/>
              <w:rPr>
                <w:color w:val="000000"/>
                <w:sz w:val="20"/>
                <w:szCs w:val="20"/>
              </w:rPr>
            </w:pPr>
            <w:r w:rsidRPr="007D22C9">
              <w:rPr>
                <w:color w:val="000000"/>
                <w:sz w:val="20"/>
                <w:szCs w:val="20"/>
              </w:rPr>
              <w:t>1,38</w:t>
            </w:r>
          </w:p>
        </w:tc>
        <w:tc>
          <w:tcPr>
            <w:tcW w:w="1077" w:type="dxa"/>
            <w:tcBorders>
              <w:top w:val="nil"/>
              <w:left w:val="nil"/>
              <w:bottom w:val="single" w:sz="4" w:space="0" w:color="auto"/>
              <w:right w:val="single" w:sz="4" w:space="0" w:color="auto"/>
            </w:tcBorders>
            <w:shd w:val="clear" w:color="auto" w:fill="auto"/>
            <w:hideMark/>
          </w:tcPr>
          <w:p w:rsidR="000B335A" w:rsidRPr="007D22C9" w:rsidRDefault="000B335A" w:rsidP="00BD3B9A">
            <w:pPr>
              <w:autoSpaceDE/>
              <w:autoSpaceDN/>
              <w:adjustRightInd/>
              <w:jc w:val="center"/>
              <w:rPr>
                <w:color w:val="000000"/>
                <w:sz w:val="20"/>
                <w:szCs w:val="20"/>
              </w:rPr>
            </w:pPr>
            <w:r w:rsidRPr="007D22C9">
              <w:rPr>
                <w:color w:val="000000"/>
                <w:sz w:val="20"/>
                <w:szCs w:val="20"/>
              </w:rPr>
              <w:t>2</w:t>
            </w:r>
            <w:r w:rsidR="001D3F1F" w:rsidRPr="007D22C9">
              <w:rPr>
                <w:color w:val="000000"/>
                <w:sz w:val="20"/>
                <w:szCs w:val="20"/>
              </w:rPr>
              <w:t>,25</w:t>
            </w:r>
          </w:p>
        </w:tc>
        <w:tc>
          <w:tcPr>
            <w:tcW w:w="992" w:type="dxa"/>
            <w:tcBorders>
              <w:top w:val="nil"/>
              <w:left w:val="nil"/>
              <w:bottom w:val="single" w:sz="4" w:space="0" w:color="auto"/>
              <w:right w:val="single" w:sz="4" w:space="0" w:color="auto"/>
            </w:tcBorders>
            <w:shd w:val="clear" w:color="auto" w:fill="auto"/>
            <w:hideMark/>
          </w:tcPr>
          <w:p w:rsidR="000B335A" w:rsidRPr="007D22C9" w:rsidRDefault="001D3F1F" w:rsidP="001D3F1F">
            <w:pPr>
              <w:autoSpaceDE/>
              <w:autoSpaceDN/>
              <w:adjustRightInd/>
              <w:jc w:val="center"/>
              <w:rPr>
                <w:color w:val="000000"/>
                <w:sz w:val="20"/>
                <w:szCs w:val="20"/>
              </w:rPr>
            </w:pPr>
            <w:r w:rsidRPr="007D22C9">
              <w:rPr>
                <w:color w:val="000000"/>
                <w:sz w:val="20"/>
                <w:szCs w:val="20"/>
              </w:rPr>
              <w:t>2,00</w:t>
            </w:r>
          </w:p>
        </w:tc>
        <w:tc>
          <w:tcPr>
            <w:tcW w:w="708" w:type="dxa"/>
            <w:tcBorders>
              <w:top w:val="nil"/>
              <w:left w:val="nil"/>
              <w:bottom w:val="single" w:sz="4" w:space="0" w:color="auto"/>
              <w:right w:val="single" w:sz="4" w:space="0" w:color="auto"/>
            </w:tcBorders>
            <w:shd w:val="clear" w:color="auto" w:fill="auto"/>
            <w:hideMark/>
          </w:tcPr>
          <w:p w:rsidR="000B335A" w:rsidRPr="007D22C9" w:rsidRDefault="001D3F1F" w:rsidP="001D3F1F">
            <w:pPr>
              <w:autoSpaceDE/>
              <w:autoSpaceDN/>
              <w:adjustRightInd/>
              <w:jc w:val="center"/>
              <w:rPr>
                <w:color w:val="000000"/>
                <w:sz w:val="20"/>
                <w:szCs w:val="20"/>
              </w:rPr>
            </w:pPr>
            <w:r w:rsidRPr="007D22C9">
              <w:rPr>
                <w:color w:val="000000"/>
                <w:sz w:val="20"/>
                <w:szCs w:val="20"/>
              </w:rPr>
              <w:t>2</w:t>
            </w:r>
          </w:p>
        </w:tc>
        <w:tc>
          <w:tcPr>
            <w:tcW w:w="993" w:type="dxa"/>
            <w:tcBorders>
              <w:top w:val="nil"/>
              <w:left w:val="nil"/>
              <w:bottom w:val="single" w:sz="4" w:space="0" w:color="auto"/>
              <w:right w:val="single" w:sz="4" w:space="0" w:color="auto"/>
            </w:tcBorders>
            <w:shd w:val="clear" w:color="auto" w:fill="auto"/>
            <w:hideMark/>
          </w:tcPr>
          <w:p w:rsidR="000B335A" w:rsidRPr="007D22C9" w:rsidRDefault="00DE16F2" w:rsidP="00BD3B9A">
            <w:pPr>
              <w:autoSpaceDE/>
              <w:autoSpaceDN/>
              <w:adjustRightInd/>
              <w:jc w:val="center"/>
              <w:rPr>
                <w:color w:val="000000"/>
                <w:sz w:val="20"/>
                <w:szCs w:val="20"/>
              </w:rPr>
            </w:pPr>
            <w:r w:rsidRPr="007D22C9">
              <w:rPr>
                <w:color w:val="000000"/>
                <w:sz w:val="20"/>
                <w:szCs w:val="20"/>
              </w:rPr>
              <w:t>0</w:t>
            </w:r>
            <w:r w:rsidR="000B335A" w:rsidRPr="007D22C9">
              <w:rPr>
                <w:color w:val="000000"/>
                <w:sz w:val="20"/>
                <w:szCs w:val="20"/>
              </w:rPr>
              <w:t> </w:t>
            </w:r>
          </w:p>
        </w:tc>
      </w:tr>
      <w:tr w:rsidR="000B335A" w:rsidRPr="007D22C9" w:rsidTr="00BD3B9A">
        <w:trPr>
          <w:trHeight w:val="20"/>
        </w:trPr>
        <w:tc>
          <w:tcPr>
            <w:tcW w:w="533" w:type="dxa"/>
            <w:tcBorders>
              <w:top w:val="nil"/>
              <w:left w:val="single" w:sz="4" w:space="0" w:color="auto"/>
              <w:bottom w:val="single" w:sz="4" w:space="0" w:color="auto"/>
              <w:right w:val="single" w:sz="4" w:space="0" w:color="auto"/>
            </w:tcBorders>
            <w:shd w:val="clear" w:color="auto" w:fill="auto"/>
            <w:hideMark/>
          </w:tcPr>
          <w:p w:rsidR="000B335A" w:rsidRPr="007D22C9" w:rsidRDefault="000B335A" w:rsidP="00BD3B9A">
            <w:pPr>
              <w:autoSpaceDE/>
              <w:autoSpaceDN/>
              <w:adjustRightInd/>
              <w:jc w:val="center"/>
              <w:rPr>
                <w:color w:val="000000"/>
                <w:sz w:val="20"/>
                <w:szCs w:val="20"/>
              </w:rPr>
            </w:pPr>
            <w:r w:rsidRPr="007D22C9">
              <w:rPr>
                <w:color w:val="000000"/>
                <w:sz w:val="20"/>
                <w:szCs w:val="20"/>
              </w:rPr>
              <w:t>59</w:t>
            </w:r>
            <w:r w:rsidR="003B1A7B" w:rsidRPr="007D22C9">
              <w:rPr>
                <w:color w:val="000000"/>
                <w:sz w:val="20"/>
                <w:szCs w:val="20"/>
              </w:rPr>
              <w:t>.</w:t>
            </w:r>
          </w:p>
        </w:tc>
        <w:tc>
          <w:tcPr>
            <w:tcW w:w="1730" w:type="dxa"/>
            <w:tcBorders>
              <w:top w:val="nil"/>
              <w:left w:val="nil"/>
              <w:bottom w:val="single" w:sz="4" w:space="0" w:color="auto"/>
              <w:right w:val="nil"/>
            </w:tcBorders>
            <w:shd w:val="clear" w:color="auto" w:fill="auto"/>
            <w:hideMark/>
          </w:tcPr>
          <w:p w:rsidR="000B335A" w:rsidRPr="007D22C9" w:rsidRDefault="000B335A" w:rsidP="00BD3B9A">
            <w:pPr>
              <w:autoSpaceDE/>
              <w:autoSpaceDN/>
              <w:adjustRightInd/>
              <w:jc w:val="both"/>
              <w:rPr>
                <w:color w:val="000000"/>
                <w:sz w:val="20"/>
                <w:szCs w:val="20"/>
              </w:rPr>
            </w:pPr>
            <w:r w:rsidRPr="007D22C9">
              <w:rPr>
                <w:color w:val="000000"/>
                <w:sz w:val="20"/>
                <w:szCs w:val="20"/>
              </w:rPr>
              <w:t xml:space="preserve">Поликлиника  </w:t>
            </w:r>
            <w:r w:rsidR="002F7358" w:rsidRPr="007D22C9">
              <w:rPr>
                <w:color w:val="000000"/>
                <w:sz w:val="20"/>
                <w:szCs w:val="20"/>
              </w:rPr>
              <w:t>«</w:t>
            </w:r>
            <w:r w:rsidRPr="007D22C9">
              <w:rPr>
                <w:color w:val="000000"/>
                <w:sz w:val="20"/>
                <w:szCs w:val="20"/>
              </w:rPr>
              <w:t>Спасение</w:t>
            </w:r>
            <w:r w:rsidR="002F7358" w:rsidRPr="007D22C9">
              <w:rPr>
                <w:color w:val="000000"/>
                <w:sz w:val="20"/>
                <w:szCs w:val="20"/>
              </w:rPr>
              <w:t>»</w:t>
            </w:r>
          </w:p>
        </w:tc>
        <w:tc>
          <w:tcPr>
            <w:tcW w:w="1418" w:type="dxa"/>
            <w:tcBorders>
              <w:top w:val="nil"/>
              <w:left w:val="single" w:sz="4" w:space="0" w:color="auto"/>
              <w:bottom w:val="single" w:sz="4" w:space="0" w:color="auto"/>
              <w:right w:val="single" w:sz="4" w:space="0" w:color="auto"/>
            </w:tcBorders>
            <w:shd w:val="clear" w:color="auto" w:fill="auto"/>
            <w:hideMark/>
          </w:tcPr>
          <w:p w:rsidR="000B335A" w:rsidRPr="007D22C9" w:rsidRDefault="00C572EE" w:rsidP="00C572EE">
            <w:pPr>
              <w:autoSpaceDE/>
              <w:autoSpaceDN/>
              <w:adjustRightInd/>
              <w:jc w:val="both"/>
              <w:rPr>
                <w:color w:val="000000"/>
                <w:sz w:val="20"/>
                <w:szCs w:val="20"/>
              </w:rPr>
            </w:pPr>
            <w:r w:rsidRPr="007D22C9">
              <w:rPr>
                <w:color w:val="000000"/>
                <w:sz w:val="20"/>
                <w:szCs w:val="20"/>
              </w:rPr>
              <w:t>г.</w:t>
            </w:r>
            <w:r w:rsidR="000B335A" w:rsidRPr="007D22C9">
              <w:rPr>
                <w:color w:val="000000"/>
                <w:sz w:val="20"/>
                <w:szCs w:val="20"/>
              </w:rPr>
              <w:t>Казань, ул.Хади Такташ, д.131</w:t>
            </w:r>
          </w:p>
        </w:tc>
        <w:tc>
          <w:tcPr>
            <w:tcW w:w="1418" w:type="dxa"/>
            <w:tcBorders>
              <w:top w:val="nil"/>
              <w:left w:val="nil"/>
              <w:bottom w:val="single" w:sz="4" w:space="0" w:color="auto"/>
              <w:right w:val="single" w:sz="4" w:space="0" w:color="auto"/>
            </w:tcBorders>
            <w:shd w:val="clear" w:color="auto" w:fill="auto"/>
            <w:hideMark/>
          </w:tcPr>
          <w:p w:rsidR="000B335A" w:rsidRPr="007D22C9" w:rsidRDefault="000B335A" w:rsidP="00BD3B9A">
            <w:pPr>
              <w:autoSpaceDE/>
              <w:autoSpaceDN/>
              <w:adjustRightInd/>
              <w:jc w:val="both"/>
              <w:rPr>
                <w:color w:val="000000"/>
                <w:sz w:val="20"/>
                <w:szCs w:val="20"/>
              </w:rPr>
            </w:pPr>
            <w:r w:rsidRPr="007D22C9">
              <w:rPr>
                <w:color w:val="000000"/>
                <w:sz w:val="20"/>
                <w:szCs w:val="20"/>
              </w:rPr>
              <w:t>г.Казань</w:t>
            </w:r>
          </w:p>
        </w:tc>
        <w:tc>
          <w:tcPr>
            <w:tcW w:w="851" w:type="dxa"/>
            <w:tcBorders>
              <w:top w:val="nil"/>
              <w:left w:val="nil"/>
              <w:bottom w:val="single" w:sz="4" w:space="0" w:color="auto"/>
              <w:right w:val="single" w:sz="4" w:space="0" w:color="auto"/>
            </w:tcBorders>
            <w:shd w:val="clear" w:color="auto" w:fill="auto"/>
            <w:hideMark/>
          </w:tcPr>
          <w:p w:rsidR="000B335A" w:rsidRPr="007D22C9" w:rsidRDefault="000B335A" w:rsidP="00BD3B9A">
            <w:pPr>
              <w:autoSpaceDE/>
              <w:autoSpaceDN/>
              <w:adjustRightInd/>
              <w:jc w:val="center"/>
              <w:rPr>
                <w:color w:val="000000"/>
                <w:sz w:val="20"/>
                <w:szCs w:val="20"/>
              </w:rPr>
            </w:pPr>
            <w:r w:rsidRPr="007D22C9">
              <w:rPr>
                <w:color w:val="000000"/>
                <w:sz w:val="20"/>
                <w:szCs w:val="20"/>
              </w:rPr>
              <w:t>30 123</w:t>
            </w:r>
          </w:p>
        </w:tc>
        <w:tc>
          <w:tcPr>
            <w:tcW w:w="850" w:type="dxa"/>
            <w:tcBorders>
              <w:top w:val="nil"/>
              <w:left w:val="nil"/>
              <w:bottom w:val="single" w:sz="4" w:space="0" w:color="auto"/>
              <w:right w:val="single" w:sz="4" w:space="0" w:color="auto"/>
            </w:tcBorders>
            <w:shd w:val="clear" w:color="auto" w:fill="auto"/>
            <w:hideMark/>
          </w:tcPr>
          <w:p w:rsidR="000B335A" w:rsidRPr="007D22C9" w:rsidRDefault="000B335A" w:rsidP="00BD3B9A">
            <w:pPr>
              <w:autoSpaceDE/>
              <w:autoSpaceDN/>
              <w:adjustRightInd/>
              <w:jc w:val="center"/>
              <w:rPr>
                <w:color w:val="000000"/>
                <w:sz w:val="20"/>
                <w:szCs w:val="20"/>
              </w:rPr>
            </w:pPr>
            <w:r w:rsidRPr="007D22C9">
              <w:rPr>
                <w:color w:val="000000"/>
                <w:sz w:val="20"/>
                <w:szCs w:val="20"/>
              </w:rPr>
              <w:t>1,00</w:t>
            </w:r>
          </w:p>
        </w:tc>
        <w:tc>
          <w:tcPr>
            <w:tcW w:w="1077" w:type="dxa"/>
            <w:tcBorders>
              <w:top w:val="nil"/>
              <w:left w:val="nil"/>
              <w:bottom w:val="single" w:sz="4" w:space="0" w:color="auto"/>
              <w:right w:val="single" w:sz="4" w:space="0" w:color="auto"/>
            </w:tcBorders>
            <w:shd w:val="clear" w:color="auto" w:fill="auto"/>
            <w:hideMark/>
          </w:tcPr>
          <w:p w:rsidR="000B335A" w:rsidRPr="007D22C9" w:rsidRDefault="000B335A" w:rsidP="00BD3B9A">
            <w:pPr>
              <w:autoSpaceDE/>
              <w:autoSpaceDN/>
              <w:adjustRightInd/>
              <w:jc w:val="center"/>
              <w:rPr>
                <w:color w:val="000000"/>
                <w:sz w:val="20"/>
                <w:szCs w:val="20"/>
              </w:rPr>
            </w:pPr>
            <w:r w:rsidRPr="007D22C9">
              <w:rPr>
                <w:color w:val="000000"/>
                <w:sz w:val="20"/>
                <w:szCs w:val="20"/>
              </w:rPr>
              <w:t>0,5</w:t>
            </w:r>
          </w:p>
        </w:tc>
        <w:tc>
          <w:tcPr>
            <w:tcW w:w="992" w:type="dxa"/>
            <w:tcBorders>
              <w:top w:val="nil"/>
              <w:left w:val="nil"/>
              <w:bottom w:val="single" w:sz="4" w:space="0" w:color="auto"/>
              <w:right w:val="single" w:sz="4" w:space="0" w:color="auto"/>
            </w:tcBorders>
            <w:shd w:val="clear" w:color="auto" w:fill="auto"/>
            <w:hideMark/>
          </w:tcPr>
          <w:p w:rsidR="000B335A" w:rsidRPr="007D22C9" w:rsidRDefault="000B335A" w:rsidP="00BD3B9A">
            <w:pPr>
              <w:autoSpaceDE/>
              <w:autoSpaceDN/>
              <w:adjustRightInd/>
              <w:jc w:val="center"/>
              <w:rPr>
                <w:color w:val="000000"/>
                <w:sz w:val="20"/>
                <w:szCs w:val="20"/>
              </w:rPr>
            </w:pPr>
            <w:r w:rsidRPr="007D22C9">
              <w:rPr>
                <w:color w:val="000000"/>
                <w:sz w:val="20"/>
                <w:szCs w:val="20"/>
              </w:rPr>
              <w:t>0,5</w:t>
            </w:r>
          </w:p>
        </w:tc>
        <w:tc>
          <w:tcPr>
            <w:tcW w:w="708" w:type="dxa"/>
            <w:tcBorders>
              <w:top w:val="nil"/>
              <w:left w:val="nil"/>
              <w:bottom w:val="single" w:sz="4" w:space="0" w:color="auto"/>
              <w:right w:val="single" w:sz="4" w:space="0" w:color="auto"/>
            </w:tcBorders>
            <w:shd w:val="clear" w:color="auto" w:fill="auto"/>
            <w:hideMark/>
          </w:tcPr>
          <w:p w:rsidR="000B335A" w:rsidRPr="007D22C9" w:rsidRDefault="000B335A" w:rsidP="00BD3B9A">
            <w:pPr>
              <w:autoSpaceDE/>
              <w:autoSpaceDN/>
              <w:adjustRightInd/>
              <w:jc w:val="center"/>
              <w:rPr>
                <w:color w:val="000000"/>
                <w:sz w:val="20"/>
                <w:szCs w:val="20"/>
              </w:rPr>
            </w:pPr>
            <w:r w:rsidRPr="007D22C9">
              <w:rPr>
                <w:color w:val="000000"/>
                <w:sz w:val="20"/>
                <w:szCs w:val="20"/>
              </w:rPr>
              <w:t>1</w:t>
            </w:r>
          </w:p>
        </w:tc>
        <w:tc>
          <w:tcPr>
            <w:tcW w:w="993" w:type="dxa"/>
            <w:tcBorders>
              <w:top w:val="nil"/>
              <w:left w:val="nil"/>
              <w:bottom w:val="single" w:sz="4" w:space="0" w:color="auto"/>
              <w:right w:val="single" w:sz="4" w:space="0" w:color="auto"/>
            </w:tcBorders>
            <w:shd w:val="clear" w:color="auto" w:fill="auto"/>
            <w:hideMark/>
          </w:tcPr>
          <w:p w:rsidR="000B335A" w:rsidRPr="007D22C9" w:rsidRDefault="000B335A" w:rsidP="00BD3B9A">
            <w:pPr>
              <w:autoSpaceDE/>
              <w:autoSpaceDN/>
              <w:adjustRightInd/>
              <w:jc w:val="center"/>
              <w:rPr>
                <w:color w:val="000000"/>
                <w:sz w:val="20"/>
                <w:szCs w:val="20"/>
              </w:rPr>
            </w:pPr>
            <w:r w:rsidRPr="007D22C9">
              <w:rPr>
                <w:color w:val="000000"/>
                <w:sz w:val="20"/>
                <w:szCs w:val="20"/>
              </w:rPr>
              <w:t>1</w:t>
            </w:r>
          </w:p>
        </w:tc>
      </w:tr>
      <w:tr w:rsidR="000B335A" w:rsidRPr="007D22C9" w:rsidTr="00BD3B9A">
        <w:trPr>
          <w:trHeight w:val="20"/>
        </w:trPr>
        <w:tc>
          <w:tcPr>
            <w:tcW w:w="533" w:type="dxa"/>
            <w:tcBorders>
              <w:top w:val="nil"/>
              <w:left w:val="single" w:sz="4" w:space="0" w:color="auto"/>
              <w:bottom w:val="single" w:sz="4" w:space="0" w:color="auto"/>
              <w:right w:val="single" w:sz="4" w:space="0" w:color="auto"/>
            </w:tcBorders>
            <w:shd w:val="clear" w:color="auto" w:fill="auto"/>
            <w:hideMark/>
          </w:tcPr>
          <w:p w:rsidR="000B335A" w:rsidRPr="007D22C9" w:rsidRDefault="000B335A" w:rsidP="00BD3B9A">
            <w:pPr>
              <w:autoSpaceDE/>
              <w:autoSpaceDN/>
              <w:adjustRightInd/>
              <w:jc w:val="center"/>
              <w:rPr>
                <w:color w:val="000000"/>
                <w:sz w:val="20"/>
                <w:szCs w:val="20"/>
              </w:rPr>
            </w:pPr>
            <w:r w:rsidRPr="007D22C9">
              <w:rPr>
                <w:color w:val="000000"/>
                <w:sz w:val="20"/>
                <w:szCs w:val="20"/>
              </w:rPr>
              <w:t>60</w:t>
            </w:r>
            <w:r w:rsidR="003B1A7B" w:rsidRPr="007D22C9">
              <w:rPr>
                <w:color w:val="000000"/>
                <w:sz w:val="20"/>
                <w:szCs w:val="20"/>
              </w:rPr>
              <w:t>.</w:t>
            </w:r>
          </w:p>
        </w:tc>
        <w:tc>
          <w:tcPr>
            <w:tcW w:w="1730" w:type="dxa"/>
            <w:tcBorders>
              <w:top w:val="nil"/>
              <w:left w:val="nil"/>
              <w:bottom w:val="single" w:sz="4" w:space="0" w:color="auto"/>
              <w:right w:val="nil"/>
            </w:tcBorders>
            <w:shd w:val="clear" w:color="auto" w:fill="auto"/>
            <w:hideMark/>
          </w:tcPr>
          <w:p w:rsidR="000B335A" w:rsidRPr="007D22C9" w:rsidRDefault="00FC575A" w:rsidP="00BD3B9A">
            <w:pPr>
              <w:autoSpaceDE/>
              <w:autoSpaceDN/>
              <w:adjustRightInd/>
              <w:jc w:val="both"/>
              <w:rPr>
                <w:color w:val="000000"/>
                <w:sz w:val="20"/>
                <w:szCs w:val="20"/>
              </w:rPr>
            </w:pPr>
            <w:r w:rsidRPr="007D22C9">
              <w:rPr>
                <w:color w:val="000000"/>
                <w:sz w:val="20"/>
                <w:szCs w:val="20"/>
              </w:rPr>
              <w:t xml:space="preserve">Закрытое акционерное общество </w:t>
            </w:r>
            <w:r w:rsidR="002F7358" w:rsidRPr="007D22C9">
              <w:rPr>
                <w:color w:val="000000"/>
                <w:sz w:val="20"/>
                <w:szCs w:val="20"/>
              </w:rPr>
              <w:t>«</w:t>
            </w:r>
            <w:r w:rsidRPr="007D22C9">
              <w:rPr>
                <w:color w:val="000000"/>
                <w:sz w:val="20"/>
                <w:szCs w:val="20"/>
              </w:rPr>
              <w:t>Консультативно-диагностический центр Авиастроительного района</w:t>
            </w:r>
            <w:r w:rsidR="002F7358" w:rsidRPr="007D22C9">
              <w:rPr>
                <w:color w:val="000000"/>
                <w:sz w:val="20"/>
                <w:szCs w:val="20"/>
              </w:rPr>
              <w:t>»</w:t>
            </w:r>
          </w:p>
        </w:tc>
        <w:tc>
          <w:tcPr>
            <w:tcW w:w="1418" w:type="dxa"/>
            <w:tcBorders>
              <w:top w:val="nil"/>
              <w:left w:val="single" w:sz="4" w:space="0" w:color="auto"/>
              <w:bottom w:val="single" w:sz="4" w:space="0" w:color="auto"/>
              <w:right w:val="single" w:sz="4" w:space="0" w:color="auto"/>
            </w:tcBorders>
            <w:shd w:val="clear" w:color="auto" w:fill="auto"/>
            <w:hideMark/>
          </w:tcPr>
          <w:p w:rsidR="000B335A" w:rsidRPr="007D22C9" w:rsidRDefault="00C572EE" w:rsidP="00C572EE">
            <w:pPr>
              <w:autoSpaceDE/>
              <w:autoSpaceDN/>
              <w:adjustRightInd/>
              <w:jc w:val="both"/>
              <w:rPr>
                <w:color w:val="000000"/>
                <w:sz w:val="20"/>
                <w:szCs w:val="20"/>
              </w:rPr>
            </w:pPr>
            <w:r w:rsidRPr="007D22C9">
              <w:rPr>
                <w:color w:val="000000"/>
                <w:sz w:val="20"/>
                <w:szCs w:val="20"/>
              </w:rPr>
              <w:t>г.</w:t>
            </w:r>
            <w:r w:rsidR="00FC575A" w:rsidRPr="007D22C9">
              <w:rPr>
                <w:color w:val="000000"/>
                <w:sz w:val="20"/>
                <w:szCs w:val="20"/>
              </w:rPr>
              <w:t>Казань, ул.</w:t>
            </w:r>
            <w:r w:rsidR="000B335A" w:rsidRPr="007D22C9">
              <w:rPr>
                <w:color w:val="000000"/>
                <w:sz w:val="20"/>
                <w:szCs w:val="20"/>
              </w:rPr>
              <w:t xml:space="preserve">Копылова, </w:t>
            </w:r>
            <w:r w:rsidR="00A14DF6" w:rsidRPr="007D22C9">
              <w:rPr>
                <w:color w:val="000000"/>
                <w:sz w:val="20"/>
                <w:szCs w:val="20"/>
              </w:rPr>
              <w:t>д.</w:t>
            </w:r>
            <w:r w:rsidR="000B335A" w:rsidRPr="007D22C9">
              <w:rPr>
                <w:color w:val="000000"/>
                <w:sz w:val="20"/>
                <w:szCs w:val="20"/>
              </w:rPr>
              <w:t>4а</w:t>
            </w:r>
          </w:p>
        </w:tc>
        <w:tc>
          <w:tcPr>
            <w:tcW w:w="1418" w:type="dxa"/>
            <w:tcBorders>
              <w:top w:val="nil"/>
              <w:left w:val="nil"/>
              <w:bottom w:val="single" w:sz="4" w:space="0" w:color="auto"/>
              <w:right w:val="single" w:sz="4" w:space="0" w:color="auto"/>
            </w:tcBorders>
            <w:shd w:val="clear" w:color="auto" w:fill="auto"/>
            <w:hideMark/>
          </w:tcPr>
          <w:p w:rsidR="000B335A" w:rsidRPr="007D22C9" w:rsidRDefault="000B335A" w:rsidP="00BD3B9A">
            <w:pPr>
              <w:autoSpaceDE/>
              <w:autoSpaceDN/>
              <w:adjustRightInd/>
              <w:jc w:val="both"/>
              <w:rPr>
                <w:color w:val="000000"/>
                <w:sz w:val="20"/>
                <w:szCs w:val="20"/>
              </w:rPr>
            </w:pPr>
            <w:r w:rsidRPr="007D22C9">
              <w:rPr>
                <w:color w:val="000000"/>
                <w:sz w:val="20"/>
                <w:szCs w:val="20"/>
              </w:rPr>
              <w:t>г.Казань</w:t>
            </w:r>
          </w:p>
        </w:tc>
        <w:tc>
          <w:tcPr>
            <w:tcW w:w="851" w:type="dxa"/>
            <w:tcBorders>
              <w:top w:val="nil"/>
              <w:left w:val="nil"/>
              <w:bottom w:val="single" w:sz="4" w:space="0" w:color="auto"/>
              <w:right w:val="single" w:sz="4" w:space="0" w:color="auto"/>
            </w:tcBorders>
            <w:shd w:val="clear" w:color="auto" w:fill="auto"/>
            <w:hideMark/>
          </w:tcPr>
          <w:p w:rsidR="000B335A" w:rsidRPr="007D22C9" w:rsidRDefault="000B335A" w:rsidP="00BD3B9A">
            <w:pPr>
              <w:autoSpaceDE/>
              <w:autoSpaceDN/>
              <w:adjustRightInd/>
              <w:jc w:val="center"/>
              <w:rPr>
                <w:color w:val="000000"/>
                <w:sz w:val="20"/>
                <w:szCs w:val="20"/>
              </w:rPr>
            </w:pPr>
            <w:r w:rsidRPr="007D22C9">
              <w:rPr>
                <w:color w:val="000000"/>
                <w:sz w:val="20"/>
                <w:szCs w:val="20"/>
              </w:rPr>
              <w:t>25 671</w:t>
            </w:r>
          </w:p>
        </w:tc>
        <w:tc>
          <w:tcPr>
            <w:tcW w:w="850" w:type="dxa"/>
            <w:tcBorders>
              <w:top w:val="nil"/>
              <w:left w:val="nil"/>
              <w:bottom w:val="single" w:sz="4" w:space="0" w:color="auto"/>
              <w:right w:val="single" w:sz="4" w:space="0" w:color="auto"/>
            </w:tcBorders>
            <w:shd w:val="clear" w:color="auto" w:fill="auto"/>
            <w:hideMark/>
          </w:tcPr>
          <w:p w:rsidR="000B335A" w:rsidRPr="007D22C9" w:rsidRDefault="000B335A" w:rsidP="00BD3B9A">
            <w:pPr>
              <w:autoSpaceDE/>
              <w:autoSpaceDN/>
              <w:adjustRightInd/>
              <w:jc w:val="center"/>
              <w:rPr>
                <w:color w:val="000000"/>
                <w:sz w:val="20"/>
                <w:szCs w:val="20"/>
              </w:rPr>
            </w:pPr>
            <w:r w:rsidRPr="007D22C9">
              <w:rPr>
                <w:color w:val="000000"/>
                <w:sz w:val="20"/>
                <w:szCs w:val="20"/>
              </w:rPr>
              <w:t>0,86</w:t>
            </w:r>
          </w:p>
        </w:tc>
        <w:tc>
          <w:tcPr>
            <w:tcW w:w="1077" w:type="dxa"/>
            <w:tcBorders>
              <w:top w:val="nil"/>
              <w:left w:val="nil"/>
              <w:bottom w:val="single" w:sz="4" w:space="0" w:color="auto"/>
              <w:right w:val="single" w:sz="4" w:space="0" w:color="auto"/>
            </w:tcBorders>
            <w:shd w:val="clear" w:color="auto" w:fill="auto"/>
            <w:hideMark/>
          </w:tcPr>
          <w:p w:rsidR="000B335A" w:rsidRPr="007D22C9" w:rsidRDefault="007F72E1" w:rsidP="007F72E1">
            <w:pPr>
              <w:autoSpaceDE/>
              <w:autoSpaceDN/>
              <w:adjustRightInd/>
              <w:jc w:val="center"/>
              <w:rPr>
                <w:color w:val="000000"/>
                <w:sz w:val="20"/>
                <w:szCs w:val="20"/>
              </w:rPr>
            </w:pPr>
            <w:r w:rsidRPr="007D22C9">
              <w:rPr>
                <w:color w:val="000000"/>
                <w:sz w:val="20"/>
                <w:szCs w:val="20"/>
              </w:rPr>
              <w:t>1,00</w:t>
            </w:r>
          </w:p>
        </w:tc>
        <w:tc>
          <w:tcPr>
            <w:tcW w:w="992" w:type="dxa"/>
            <w:tcBorders>
              <w:top w:val="nil"/>
              <w:left w:val="nil"/>
              <w:bottom w:val="single" w:sz="4" w:space="0" w:color="auto"/>
              <w:right w:val="single" w:sz="4" w:space="0" w:color="auto"/>
            </w:tcBorders>
            <w:shd w:val="clear" w:color="auto" w:fill="auto"/>
            <w:hideMark/>
          </w:tcPr>
          <w:p w:rsidR="000B335A" w:rsidRPr="007D22C9" w:rsidRDefault="007F72E1" w:rsidP="007F72E1">
            <w:pPr>
              <w:autoSpaceDE/>
              <w:autoSpaceDN/>
              <w:adjustRightInd/>
              <w:jc w:val="center"/>
              <w:rPr>
                <w:color w:val="000000"/>
                <w:sz w:val="20"/>
                <w:szCs w:val="20"/>
              </w:rPr>
            </w:pPr>
            <w:r w:rsidRPr="007D22C9">
              <w:rPr>
                <w:color w:val="000000"/>
                <w:sz w:val="20"/>
                <w:szCs w:val="20"/>
              </w:rPr>
              <w:t>1,00</w:t>
            </w:r>
          </w:p>
        </w:tc>
        <w:tc>
          <w:tcPr>
            <w:tcW w:w="708" w:type="dxa"/>
            <w:tcBorders>
              <w:top w:val="nil"/>
              <w:left w:val="nil"/>
              <w:bottom w:val="single" w:sz="4" w:space="0" w:color="auto"/>
              <w:right w:val="single" w:sz="4" w:space="0" w:color="auto"/>
            </w:tcBorders>
            <w:shd w:val="clear" w:color="auto" w:fill="auto"/>
            <w:hideMark/>
          </w:tcPr>
          <w:p w:rsidR="000B335A" w:rsidRPr="007D22C9" w:rsidRDefault="000B335A" w:rsidP="00BD3B9A">
            <w:pPr>
              <w:autoSpaceDE/>
              <w:autoSpaceDN/>
              <w:adjustRightInd/>
              <w:jc w:val="center"/>
              <w:rPr>
                <w:color w:val="000000"/>
                <w:sz w:val="20"/>
                <w:szCs w:val="20"/>
              </w:rPr>
            </w:pPr>
            <w:r w:rsidRPr="007D22C9">
              <w:rPr>
                <w:color w:val="000000"/>
                <w:sz w:val="20"/>
                <w:szCs w:val="20"/>
              </w:rPr>
              <w:t>1</w:t>
            </w:r>
          </w:p>
        </w:tc>
        <w:tc>
          <w:tcPr>
            <w:tcW w:w="993" w:type="dxa"/>
            <w:tcBorders>
              <w:top w:val="nil"/>
              <w:left w:val="nil"/>
              <w:bottom w:val="single" w:sz="4" w:space="0" w:color="auto"/>
              <w:right w:val="single" w:sz="4" w:space="0" w:color="auto"/>
            </w:tcBorders>
            <w:shd w:val="clear" w:color="auto" w:fill="auto"/>
            <w:hideMark/>
          </w:tcPr>
          <w:p w:rsidR="000B335A" w:rsidRPr="007D22C9" w:rsidRDefault="000B335A" w:rsidP="00BD3B9A">
            <w:pPr>
              <w:autoSpaceDE/>
              <w:autoSpaceDN/>
              <w:adjustRightInd/>
              <w:jc w:val="center"/>
              <w:rPr>
                <w:color w:val="000000"/>
                <w:sz w:val="20"/>
                <w:szCs w:val="20"/>
              </w:rPr>
            </w:pPr>
            <w:r w:rsidRPr="007D22C9">
              <w:rPr>
                <w:color w:val="000000"/>
                <w:sz w:val="20"/>
                <w:szCs w:val="20"/>
              </w:rPr>
              <w:t>1</w:t>
            </w:r>
          </w:p>
        </w:tc>
      </w:tr>
      <w:tr w:rsidR="000B335A" w:rsidRPr="007D22C9" w:rsidTr="00BD3B9A">
        <w:trPr>
          <w:trHeight w:val="20"/>
        </w:trPr>
        <w:tc>
          <w:tcPr>
            <w:tcW w:w="533" w:type="dxa"/>
            <w:tcBorders>
              <w:top w:val="nil"/>
              <w:left w:val="single" w:sz="4" w:space="0" w:color="auto"/>
              <w:bottom w:val="single" w:sz="4" w:space="0" w:color="auto"/>
              <w:right w:val="single" w:sz="4" w:space="0" w:color="auto"/>
            </w:tcBorders>
            <w:shd w:val="clear" w:color="auto" w:fill="auto"/>
            <w:hideMark/>
          </w:tcPr>
          <w:p w:rsidR="000B335A" w:rsidRPr="007D22C9" w:rsidRDefault="000B335A" w:rsidP="00BD3B9A">
            <w:pPr>
              <w:autoSpaceDE/>
              <w:autoSpaceDN/>
              <w:adjustRightInd/>
              <w:jc w:val="center"/>
              <w:rPr>
                <w:color w:val="000000"/>
                <w:sz w:val="20"/>
                <w:szCs w:val="20"/>
              </w:rPr>
            </w:pPr>
            <w:r w:rsidRPr="007D22C9">
              <w:rPr>
                <w:color w:val="000000"/>
                <w:sz w:val="20"/>
                <w:szCs w:val="20"/>
              </w:rPr>
              <w:t>61</w:t>
            </w:r>
            <w:r w:rsidR="003B1A7B" w:rsidRPr="007D22C9">
              <w:rPr>
                <w:color w:val="000000"/>
                <w:sz w:val="20"/>
                <w:szCs w:val="20"/>
              </w:rPr>
              <w:t>.</w:t>
            </w:r>
          </w:p>
        </w:tc>
        <w:tc>
          <w:tcPr>
            <w:tcW w:w="1730" w:type="dxa"/>
            <w:tcBorders>
              <w:top w:val="nil"/>
              <w:left w:val="nil"/>
              <w:bottom w:val="single" w:sz="4" w:space="0" w:color="auto"/>
              <w:right w:val="nil"/>
            </w:tcBorders>
            <w:shd w:val="clear" w:color="auto" w:fill="auto"/>
            <w:hideMark/>
          </w:tcPr>
          <w:p w:rsidR="000B335A" w:rsidRPr="007D22C9" w:rsidRDefault="000B335A" w:rsidP="00BD3B9A">
            <w:pPr>
              <w:autoSpaceDE/>
              <w:autoSpaceDN/>
              <w:adjustRightInd/>
              <w:jc w:val="both"/>
              <w:rPr>
                <w:color w:val="000000"/>
                <w:sz w:val="20"/>
                <w:szCs w:val="20"/>
              </w:rPr>
            </w:pPr>
            <w:r w:rsidRPr="007D22C9">
              <w:rPr>
                <w:color w:val="000000"/>
                <w:sz w:val="20"/>
                <w:szCs w:val="20"/>
              </w:rPr>
              <w:t xml:space="preserve">ГАУЗ </w:t>
            </w:r>
            <w:r w:rsidR="002F7358" w:rsidRPr="007D22C9">
              <w:rPr>
                <w:color w:val="000000"/>
                <w:sz w:val="20"/>
                <w:szCs w:val="20"/>
              </w:rPr>
              <w:t>«</w:t>
            </w:r>
            <w:r w:rsidRPr="007D22C9">
              <w:rPr>
                <w:color w:val="000000"/>
                <w:sz w:val="20"/>
                <w:szCs w:val="20"/>
              </w:rPr>
              <w:t>Городская клиническая больница № 12</w:t>
            </w:r>
            <w:r w:rsidR="002F7358" w:rsidRPr="007D22C9">
              <w:rPr>
                <w:color w:val="000000"/>
                <w:sz w:val="20"/>
                <w:szCs w:val="20"/>
              </w:rPr>
              <w:t>»</w:t>
            </w:r>
            <w:r w:rsidRPr="007D22C9">
              <w:rPr>
                <w:color w:val="000000"/>
                <w:sz w:val="20"/>
                <w:szCs w:val="20"/>
              </w:rPr>
              <w:t xml:space="preserve"> г.Казани</w:t>
            </w:r>
          </w:p>
        </w:tc>
        <w:tc>
          <w:tcPr>
            <w:tcW w:w="1418" w:type="dxa"/>
            <w:tcBorders>
              <w:top w:val="nil"/>
              <w:left w:val="single" w:sz="4" w:space="0" w:color="auto"/>
              <w:bottom w:val="single" w:sz="4" w:space="0" w:color="auto"/>
              <w:right w:val="single" w:sz="4" w:space="0" w:color="auto"/>
            </w:tcBorders>
            <w:shd w:val="clear" w:color="auto" w:fill="auto"/>
            <w:hideMark/>
          </w:tcPr>
          <w:p w:rsidR="000B335A" w:rsidRPr="007D22C9" w:rsidRDefault="00C572EE" w:rsidP="00C572EE">
            <w:pPr>
              <w:autoSpaceDE/>
              <w:autoSpaceDN/>
              <w:adjustRightInd/>
              <w:jc w:val="both"/>
              <w:rPr>
                <w:color w:val="000000"/>
                <w:sz w:val="20"/>
                <w:szCs w:val="20"/>
              </w:rPr>
            </w:pPr>
            <w:r w:rsidRPr="007D22C9">
              <w:rPr>
                <w:color w:val="000000"/>
                <w:sz w:val="20"/>
                <w:szCs w:val="20"/>
              </w:rPr>
              <w:t>г.</w:t>
            </w:r>
            <w:r w:rsidR="000B335A" w:rsidRPr="007D22C9">
              <w:rPr>
                <w:color w:val="000000"/>
                <w:sz w:val="20"/>
                <w:szCs w:val="20"/>
              </w:rPr>
              <w:t xml:space="preserve">Казань, </w:t>
            </w:r>
            <w:r w:rsidR="00CF57D0" w:rsidRPr="007D22C9">
              <w:rPr>
                <w:color w:val="000000"/>
                <w:sz w:val="20"/>
                <w:szCs w:val="20"/>
              </w:rPr>
              <w:t>ул.</w:t>
            </w:r>
            <w:r w:rsidR="000B335A" w:rsidRPr="007D22C9">
              <w:rPr>
                <w:color w:val="000000"/>
                <w:sz w:val="20"/>
                <w:szCs w:val="20"/>
              </w:rPr>
              <w:t xml:space="preserve">Лечебная, </w:t>
            </w:r>
            <w:r w:rsidR="00A14DF6" w:rsidRPr="007D22C9">
              <w:rPr>
                <w:color w:val="000000"/>
                <w:sz w:val="20"/>
                <w:szCs w:val="20"/>
              </w:rPr>
              <w:t>д.</w:t>
            </w:r>
            <w:r w:rsidR="000B335A" w:rsidRPr="007D22C9">
              <w:rPr>
                <w:color w:val="000000"/>
                <w:sz w:val="20"/>
                <w:szCs w:val="20"/>
              </w:rPr>
              <w:t>7</w:t>
            </w:r>
          </w:p>
        </w:tc>
        <w:tc>
          <w:tcPr>
            <w:tcW w:w="1418" w:type="dxa"/>
            <w:tcBorders>
              <w:top w:val="nil"/>
              <w:left w:val="nil"/>
              <w:bottom w:val="single" w:sz="4" w:space="0" w:color="auto"/>
              <w:right w:val="single" w:sz="4" w:space="0" w:color="auto"/>
            </w:tcBorders>
            <w:shd w:val="clear" w:color="auto" w:fill="auto"/>
            <w:hideMark/>
          </w:tcPr>
          <w:p w:rsidR="000B335A" w:rsidRPr="007D22C9" w:rsidRDefault="000B335A" w:rsidP="00BD3B9A">
            <w:pPr>
              <w:autoSpaceDE/>
              <w:autoSpaceDN/>
              <w:adjustRightInd/>
              <w:jc w:val="both"/>
              <w:rPr>
                <w:color w:val="000000"/>
                <w:sz w:val="20"/>
                <w:szCs w:val="20"/>
              </w:rPr>
            </w:pPr>
            <w:r w:rsidRPr="007D22C9">
              <w:rPr>
                <w:color w:val="000000"/>
                <w:sz w:val="20"/>
                <w:szCs w:val="20"/>
              </w:rPr>
              <w:t>г.Казань</w:t>
            </w:r>
          </w:p>
        </w:tc>
        <w:tc>
          <w:tcPr>
            <w:tcW w:w="851" w:type="dxa"/>
            <w:tcBorders>
              <w:top w:val="nil"/>
              <w:left w:val="nil"/>
              <w:bottom w:val="single" w:sz="4" w:space="0" w:color="auto"/>
              <w:right w:val="single" w:sz="4" w:space="0" w:color="auto"/>
            </w:tcBorders>
            <w:shd w:val="clear" w:color="auto" w:fill="auto"/>
            <w:hideMark/>
          </w:tcPr>
          <w:p w:rsidR="000B335A" w:rsidRPr="007D22C9" w:rsidRDefault="000B335A" w:rsidP="00BD3B9A">
            <w:pPr>
              <w:autoSpaceDE/>
              <w:autoSpaceDN/>
              <w:adjustRightInd/>
              <w:jc w:val="center"/>
              <w:rPr>
                <w:color w:val="000000"/>
                <w:sz w:val="20"/>
                <w:szCs w:val="20"/>
              </w:rPr>
            </w:pPr>
            <w:r w:rsidRPr="007D22C9">
              <w:rPr>
                <w:color w:val="000000"/>
                <w:sz w:val="20"/>
                <w:szCs w:val="20"/>
              </w:rPr>
              <w:t>38 759</w:t>
            </w:r>
          </w:p>
        </w:tc>
        <w:tc>
          <w:tcPr>
            <w:tcW w:w="850" w:type="dxa"/>
            <w:tcBorders>
              <w:top w:val="nil"/>
              <w:left w:val="nil"/>
              <w:bottom w:val="single" w:sz="4" w:space="0" w:color="auto"/>
              <w:right w:val="single" w:sz="4" w:space="0" w:color="auto"/>
            </w:tcBorders>
            <w:shd w:val="clear" w:color="auto" w:fill="auto"/>
            <w:hideMark/>
          </w:tcPr>
          <w:p w:rsidR="000B335A" w:rsidRPr="007D22C9" w:rsidRDefault="000B335A" w:rsidP="00BD3B9A">
            <w:pPr>
              <w:autoSpaceDE/>
              <w:autoSpaceDN/>
              <w:adjustRightInd/>
              <w:jc w:val="center"/>
              <w:rPr>
                <w:color w:val="000000"/>
                <w:sz w:val="20"/>
                <w:szCs w:val="20"/>
              </w:rPr>
            </w:pPr>
            <w:r w:rsidRPr="007D22C9">
              <w:rPr>
                <w:color w:val="000000"/>
                <w:sz w:val="20"/>
                <w:szCs w:val="20"/>
              </w:rPr>
              <w:t>1,29</w:t>
            </w:r>
          </w:p>
        </w:tc>
        <w:tc>
          <w:tcPr>
            <w:tcW w:w="1077" w:type="dxa"/>
            <w:tcBorders>
              <w:top w:val="nil"/>
              <w:left w:val="nil"/>
              <w:bottom w:val="single" w:sz="4" w:space="0" w:color="auto"/>
              <w:right w:val="single" w:sz="4" w:space="0" w:color="auto"/>
            </w:tcBorders>
            <w:shd w:val="clear" w:color="auto" w:fill="auto"/>
            <w:hideMark/>
          </w:tcPr>
          <w:p w:rsidR="000B335A" w:rsidRPr="007D22C9" w:rsidRDefault="000B335A" w:rsidP="00BD3B9A">
            <w:pPr>
              <w:autoSpaceDE/>
              <w:autoSpaceDN/>
              <w:adjustRightInd/>
              <w:jc w:val="center"/>
              <w:rPr>
                <w:color w:val="000000"/>
                <w:sz w:val="20"/>
                <w:szCs w:val="20"/>
              </w:rPr>
            </w:pPr>
            <w:r w:rsidRPr="007D22C9">
              <w:rPr>
                <w:color w:val="000000"/>
                <w:sz w:val="20"/>
                <w:szCs w:val="20"/>
              </w:rPr>
              <w:t>1</w:t>
            </w:r>
            <w:r w:rsidR="00BB369B" w:rsidRPr="007D22C9">
              <w:rPr>
                <w:color w:val="000000"/>
                <w:sz w:val="20"/>
                <w:szCs w:val="20"/>
              </w:rPr>
              <w:t>,25</w:t>
            </w:r>
          </w:p>
        </w:tc>
        <w:tc>
          <w:tcPr>
            <w:tcW w:w="992" w:type="dxa"/>
            <w:tcBorders>
              <w:top w:val="nil"/>
              <w:left w:val="nil"/>
              <w:bottom w:val="single" w:sz="4" w:space="0" w:color="auto"/>
              <w:right w:val="single" w:sz="4" w:space="0" w:color="auto"/>
            </w:tcBorders>
            <w:shd w:val="clear" w:color="auto" w:fill="auto"/>
            <w:hideMark/>
          </w:tcPr>
          <w:p w:rsidR="000B335A" w:rsidRPr="007D22C9" w:rsidRDefault="000B335A" w:rsidP="00BD3B9A">
            <w:pPr>
              <w:autoSpaceDE/>
              <w:autoSpaceDN/>
              <w:adjustRightInd/>
              <w:jc w:val="center"/>
              <w:rPr>
                <w:color w:val="000000"/>
                <w:sz w:val="20"/>
                <w:szCs w:val="20"/>
              </w:rPr>
            </w:pPr>
            <w:r w:rsidRPr="007D22C9">
              <w:rPr>
                <w:color w:val="000000"/>
                <w:sz w:val="20"/>
                <w:szCs w:val="20"/>
              </w:rPr>
              <w:t>1</w:t>
            </w:r>
            <w:r w:rsidR="00BB369B" w:rsidRPr="007D22C9">
              <w:rPr>
                <w:color w:val="000000"/>
                <w:sz w:val="20"/>
                <w:szCs w:val="20"/>
              </w:rPr>
              <w:t>,25</w:t>
            </w:r>
          </w:p>
        </w:tc>
        <w:tc>
          <w:tcPr>
            <w:tcW w:w="708" w:type="dxa"/>
            <w:tcBorders>
              <w:top w:val="nil"/>
              <w:left w:val="nil"/>
              <w:bottom w:val="single" w:sz="4" w:space="0" w:color="auto"/>
              <w:right w:val="single" w:sz="4" w:space="0" w:color="auto"/>
            </w:tcBorders>
            <w:shd w:val="clear" w:color="auto" w:fill="auto"/>
            <w:hideMark/>
          </w:tcPr>
          <w:p w:rsidR="000B335A" w:rsidRPr="007D22C9" w:rsidRDefault="00BB369B" w:rsidP="00BB369B">
            <w:pPr>
              <w:autoSpaceDE/>
              <w:autoSpaceDN/>
              <w:adjustRightInd/>
              <w:jc w:val="center"/>
              <w:rPr>
                <w:color w:val="000000"/>
                <w:sz w:val="20"/>
                <w:szCs w:val="20"/>
              </w:rPr>
            </w:pPr>
            <w:r w:rsidRPr="007D22C9">
              <w:rPr>
                <w:color w:val="000000"/>
                <w:sz w:val="20"/>
                <w:szCs w:val="20"/>
              </w:rPr>
              <w:t>2</w:t>
            </w:r>
          </w:p>
        </w:tc>
        <w:tc>
          <w:tcPr>
            <w:tcW w:w="993" w:type="dxa"/>
            <w:tcBorders>
              <w:top w:val="nil"/>
              <w:left w:val="nil"/>
              <w:bottom w:val="single" w:sz="4" w:space="0" w:color="auto"/>
              <w:right w:val="single" w:sz="4" w:space="0" w:color="auto"/>
            </w:tcBorders>
            <w:shd w:val="clear" w:color="auto" w:fill="auto"/>
            <w:hideMark/>
          </w:tcPr>
          <w:p w:rsidR="000B335A" w:rsidRPr="007D22C9" w:rsidRDefault="00DE16F2" w:rsidP="00BD3B9A">
            <w:pPr>
              <w:autoSpaceDE/>
              <w:autoSpaceDN/>
              <w:adjustRightInd/>
              <w:jc w:val="center"/>
              <w:rPr>
                <w:color w:val="000000"/>
                <w:sz w:val="20"/>
                <w:szCs w:val="20"/>
              </w:rPr>
            </w:pPr>
            <w:r w:rsidRPr="007D22C9">
              <w:rPr>
                <w:color w:val="000000"/>
                <w:sz w:val="20"/>
                <w:szCs w:val="20"/>
              </w:rPr>
              <w:t>0</w:t>
            </w:r>
            <w:r w:rsidR="000B335A" w:rsidRPr="007D22C9">
              <w:rPr>
                <w:color w:val="000000"/>
                <w:sz w:val="20"/>
                <w:szCs w:val="20"/>
              </w:rPr>
              <w:t> </w:t>
            </w:r>
          </w:p>
        </w:tc>
      </w:tr>
      <w:tr w:rsidR="000B335A" w:rsidRPr="007D22C9" w:rsidTr="00BD3B9A">
        <w:trPr>
          <w:trHeight w:val="20"/>
        </w:trPr>
        <w:tc>
          <w:tcPr>
            <w:tcW w:w="533" w:type="dxa"/>
            <w:tcBorders>
              <w:top w:val="nil"/>
              <w:left w:val="single" w:sz="4" w:space="0" w:color="auto"/>
              <w:bottom w:val="single" w:sz="4" w:space="0" w:color="auto"/>
              <w:right w:val="single" w:sz="4" w:space="0" w:color="auto"/>
            </w:tcBorders>
            <w:shd w:val="clear" w:color="auto" w:fill="auto"/>
            <w:hideMark/>
          </w:tcPr>
          <w:p w:rsidR="000B335A" w:rsidRPr="007D22C9" w:rsidRDefault="000B335A" w:rsidP="00BD3B9A">
            <w:pPr>
              <w:autoSpaceDE/>
              <w:autoSpaceDN/>
              <w:adjustRightInd/>
              <w:jc w:val="center"/>
              <w:rPr>
                <w:color w:val="000000"/>
                <w:sz w:val="20"/>
                <w:szCs w:val="20"/>
              </w:rPr>
            </w:pPr>
            <w:r w:rsidRPr="007D22C9">
              <w:rPr>
                <w:color w:val="000000"/>
                <w:sz w:val="20"/>
                <w:szCs w:val="20"/>
              </w:rPr>
              <w:t>62</w:t>
            </w:r>
            <w:r w:rsidR="003B1A7B" w:rsidRPr="007D22C9">
              <w:rPr>
                <w:color w:val="000000"/>
                <w:sz w:val="20"/>
                <w:szCs w:val="20"/>
              </w:rPr>
              <w:t>.</w:t>
            </w:r>
          </w:p>
        </w:tc>
        <w:tc>
          <w:tcPr>
            <w:tcW w:w="1730" w:type="dxa"/>
            <w:tcBorders>
              <w:top w:val="nil"/>
              <w:left w:val="nil"/>
              <w:bottom w:val="single" w:sz="4" w:space="0" w:color="auto"/>
              <w:right w:val="nil"/>
            </w:tcBorders>
            <w:shd w:val="clear" w:color="auto" w:fill="auto"/>
            <w:hideMark/>
          </w:tcPr>
          <w:p w:rsidR="000B335A" w:rsidRPr="007D22C9" w:rsidRDefault="005C0CD5" w:rsidP="00A14DF6">
            <w:pPr>
              <w:autoSpaceDE/>
              <w:autoSpaceDN/>
              <w:adjustRightInd/>
              <w:jc w:val="both"/>
              <w:rPr>
                <w:color w:val="000000"/>
                <w:sz w:val="20"/>
                <w:szCs w:val="20"/>
              </w:rPr>
            </w:pPr>
            <w:r w:rsidRPr="007D22C9">
              <w:rPr>
                <w:color w:val="000000"/>
                <w:sz w:val="20"/>
                <w:szCs w:val="20"/>
              </w:rPr>
              <w:t xml:space="preserve">Частное учреждение здравоохранения </w:t>
            </w:r>
            <w:r w:rsidR="002F7358" w:rsidRPr="007D22C9">
              <w:rPr>
                <w:color w:val="000000"/>
                <w:sz w:val="20"/>
                <w:szCs w:val="20"/>
              </w:rPr>
              <w:t>«</w:t>
            </w:r>
            <w:r w:rsidRPr="007D22C9">
              <w:rPr>
                <w:color w:val="000000"/>
                <w:sz w:val="20"/>
                <w:szCs w:val="20"/>
              </w:rPr>
              <w:t xml:space="preserve">Клиническая больница </w:t>
            </w:r>
            <w:r w:rsidR="002F7358" w:rsidRPr="007D22C9">
              <w:rPr>
                <w:color w:val="000000"/>
                <w:sz w:val="20"/>
                <w:szCs w:val="20"/>
              </w:rPr>
              <w:t>«</w:t>
            </w:r>
            <w:r w:rsidRPr="007D22C9">
              <w:rPr>
                <w:color w:val="000000"/>
                <w:sz w:val="20"/>
                <w:szCs w:val="20"/>
              </w:rPr>
              <w:t>РЖД</w:t>
            </w:r>
            <w:r w:rsidR="00A14DF6" w:rsidRPr="007D22C9">
              <w:rPr>
                <w:color w:val="000000"/>
                <w:sz w:val="20"/>
                <w:szCs w:val="20"/>
              </w:rPr>
              <w:t>-</w:t>
            </w:r>
            <w:r w:rsidRPr="007D22C9">
              <w:rPr>
                <w:color w:val="000000"/>
                <w:sz w:val="20"/>
                <w:szCs w:val="20"/>
              </w:rPr>
              <w:t>Медицина</w:t>
            </w:r>
            <w:r w:rsidR="002F7358" w:rsidRPr="007D22C9">
              <w:rPr>
                <w:color w:val="000000"/>
                <w:sz w:val="20"/>
                <w:szCs w:val="20"/>
              </w:rPr>
              <w:t>»</w:t>
            </w:r>
            <w:r w:rsidRPr="007D22C9">
              <w:rPr>
                <w:color w:val="000000"/>
                <w:sz w:val="20"/>
                <w:szCs w:val="20"/>
              </w:rPr>
              <w:t xml:space="preserve"> г.Казань</w:t>
            </w:r>
          </w:p>
        </w:tc>
        <w:tc>
          <w:tcPr>
            <w:tcW w:w="1418" w:type="dxa"/>
            <w:tcBorders>
              <w:top w:val="nil"/>
              <w:left w:val="single" w:sz="4" w:space="0" w:color="auto"/>
              <w:bottom w:val="single" w:sz="4" w:space="0" w:color="auto"/>
              <w:right w:val="single" w:sz="4" w:space="0" w:color="auto"/>
            </w:tcBorders>
            <w:shd w:val="clear" w:color="auto" w:fill="auto"/>
            <w:hideMark/>
          </w:tcPr>
          <w:p w:rsidR="000B335A" w:rsidRPr="007D22C9" w:rsidRDefault="00C572EE" w:rsidP="00C572EE">
            <w:pPr>
              <w:autoSpaceDE/>
              <w:autoSpaceDN/>
              <w:adjustRightInd/>
              <w:jc w:val="both"/>
              <w:rPr>
                <w:color w:val="000000"/>
                <w:sz w:val="20"/>
                <w:szCs w:val="20"/>
              </w:rPr>
            </w:pPr>
            <w:r w:rsidRPr="007D22C9">
              <w:rPr>
                <w:color w:val="000000"/>
                <w:sz w:val="20"/>
                <w:szCs w:val="20"/>
              </w:rPr>
              <w:t>г.</w:t>
            </w:r>
            <w:r w:rsidR="000B335A" w:rsidRPr="007D22C9">
              <w:rPr>
                <w:color w:val="000000"/>
                <w:sz w:val="20"/>
                <w:szCs w:val="20"/>
              </w:rPr>
              <w:t xml:space="preserve">Казань, </w:t>
            </w:r>
            <w:r w:rsidR="00CF57D0" w:rsidRPr="007D22C9">
              <w:rPr>
                <w:color w:val="000000"/>
                <w:sz w:val="20"/>
                <w:szCs w:val="20"/>
              </w:rPr>
              <w:t>ул.</w:t>
            </w:r>
            <w:r w:rsidR="000B335A" w:rsidRPr="007D22C9">
              <w:rPr>
                <w:color w:val="000000"/>
                <w:sz w:val="20"/>
                <w:szCs w:val="20"/>
              </w:rPr>
              <w:t xml:space="preserve">Ершова, </w:t>
            </w:r>
            <w:r w:rsidR="00A14DF6" w:rsidRPr="007D22C9">
              <w:rPr>
                <w:color w:val="000000"/>
                <w:sz w:val="20"/>
                <w:szCs w:val="20"/>
              </w:rPr>
              <w:t>д.</w:t>
            </w:r>
            <w:r w:rsidR="000B335A" w:rsidRPr="007D22C9">
              <w:rPr>
                <w:color w:val="000000"/>
                <w:sz w:val="20"/>
                <w:szCs w:val="20"/>
              </w:rPr>
              <w:t>65</w:t>
            </w:r>
          </w:p>
        </w:tc>
        <w:tc>
          <w:tcPr>
            <w:tcW w:w="1418" w:type="dxa"/>
            <w:tcBorders>
              <w:top w:val="nil"/>
              <w:left w:val="nil"/>
              <w:bottom w:val="single" w:sz="4" w:space="0" w:color="auto"/>
              <w:right w:val="single" w:sz="4" w:space="0" w:color="auto"/>
            </w:tcBorders>
            <w:shd w:val="clear" w:color="auto" w:fill="auto"/>
            <w:hideMark/>
          </w:tcPr>
          <w:p w:rsidR="000B335A" w:rsidRPr="007D22C9" w:rsidRDefault="000B335A" w:rsidP="00BD3B9A">
            <w:pPr>
              <w:autoSpaceDE/>
              <w:autoSpaceDN/>
              <w:adjustRightInd/>
              <w:jc w:val="both"/>
              <w:rPr>
                <w:color w:val="000000"/>
                <w:sz w:val="20"/>
                <w:szCs w:val="20"/>
              </w:rPr>
            </w:pPr>
            <w:r w:rsidRPr="007D22C9">
              <w:rPr>
                <w:color w:val="000000"/>
                <w:sz w:val="20"/>
                <w:szCs w:val="20"/>
              </w:rPr>
              <w:t>г.Казань</w:t>
            </w:r>
          </w:p>
        </w:tc>
        <w:tc>
          <w:tcPr>
            <w:tcW w:w="851" w:type="dxa"/>
            <w:tcBorders>
              <w:top w:val="nil"/>
              <w:left w:val="nil"/>
              <w:bottom w:val="single" w:sz="4" w:space="0" w:color="auto"/>
              <w:right w:val="single" w:sz="4" w:space="0" w:color="auto"/>
            </w:tcBorders>
            <w:shd w:val="clear" w:color="auto" w:fill="auto"/>
            <w:hideMark/>
          </w:tcPr>
          <w:p w:rsidR="000B335A" w:rsidRPr="007D22C9" w:rsidRDefault="000B335A" w:rsidP="00BD3B9A">
            <w:pPr>
              <w:autoSpaceDE/>
              <w:autoSpaceDN/>
              <w:adjustRightInd/>
              <w:jc w:val="center"/>
              <w:rPr>
                <w:color w:val="000000"/>
                <w:sz w:val="20"/>
                <w:szCs w:val="20"/>
              </w:rPr>
            </w:pPr>
            <w:r w:rsidRPr="007D22C9">
              <w:rPr>
                <w:color w:val="000000"/>
                <w:sz w:val="20"/>
                <w:szCs w:val="20"/>
              </w:rPr>
              <w:t>13 815</w:t>
            </w:r>
          </w:p>
        </w:tc>
        <w:tc>
          <w:tcPr>
            <w:tcW w:w="850" w:type="dxa"/>
            <w:tcBorders>
              <w:top w:val="nil"/>
              <w:left w:val="nil"/>
              <w:bottom w:val="single" w:sz="4" w:space="0" w:color="auto"/>
              <w:right w:val="single" w:sz="4" w:space="0" w:color="auto"/>
            </w:tcBorders>
            <w:shd w:val="clear" w:color="auto" w:fill="auto"/>
            <w:hideMark/>
          </w:tcPr>
          <w:p w:rsidR="000B335A" w:rsidRPr="007D22C9" w:rsidRDefault="000B335A" w:rsidP="00BD3B9A">
            <w:pPr>
              <w:autoSpaceDE/>
              <w:autoSpaceDN/>
              <w:adjustRightInd/>
              <w:jc w:val="center"/>
              <w:rPr>
                <w:color w:val="000000"/>
                <w:sz w:val="20"/>
                <w:szCs w:val="20"/>
              </w:rPr>
            </w:pPr>
            <w:r w:rsidRPr="007D22C9">
              <w:rPr>
                <w:color w:val="000000"/>
                <w:sz w:val="20"/>
                <w:szCs w:val="20"/>
              </w:rPr>
              <w:t>0,46</w:t>
            </w:r>
          </w:p>
        </w:tc>
        <w:tc>
          <w:tcPr>
            <w:tcW w:w="1077" w:type="dxa"/>
            <w:tcBorders>
              <w:top w:val="nil"/>
              <w:left w:val="nil"/>
              <w:bottom w:val="single" w:sz="4" w:space="0" w:color="auto"/>
              <w:right w:val="single" w:sz="4" w:space="0" w:color="auto"/>
            </w:tcBorders>
            <w:shd w:val="clear" w:color="auto" w:fill="auto"/>
            <w:hideMark/>
          </w:tcPr>
          <w:p w:rsidR="000B335A" w:rsidRPr="007D22C9" w:rsidRDefault="002216D2" w:rsidP="00BD3B9A">
            <w:pPr>
              <w:autoSpaceDE/>
              <w:autoSpaceDN/>
              <w:adjustRightInd/>
              <w:jc w:val="center"/>
              <w:rPr>
                <w:color w:val="000000"/>
                <w:sz w:val="20"/>
                <w:szCs w:val="20"/>
              </w:rPr>
            </w:pPr>
            <w:r w:rsidRPr="007D22C9">
              <w:rPr>
                <w:color w:val="000000"/>
                <w:sz w:val="20"/>
                <w:szCs w:val="20"/>
              </w:rPr>
              <w:t>0,75</w:t>
            </w:r>
          </w:p>
        </w:tc>
        <w:tc>
          <w:tcPr>
            <w:tcW w:w="992" w:type="dxa"/>
            <w:tcBorders>
              <w:top w:val="nil"/>
              <w:left w:val="nil"/>
              <w:bottom w:val="single" w:sz="4" w:space="0" w:color="auto"/>
              <w:right w:val="single" w:sz="4" w:space="0" w:color="auto"/>
            </w:tcBorders>
            <w:shd w:val="clear" w:color="auto" w:fill="auto"/>
            <w:hideMark/>
          </w:tcPr>
          <w:p w:rsidR="000B335A" w:rsidRPr="007D22C9" w:rsidRDefault="000B335A" w:rsidP="002216D2">
            <w:pPr>
              <w:autoSpaceDE/>
              <w:autoSpaceDN/>
              <w:adjustRightInd/>
              <w:jc w:val="center"/>
              <w:rPr>
                <w:color w:val="000000"/>
                <w:sz w:val="20"/>
                <w:szCs w:val="20"/>
              </w:rPr>
            </w:pPr>
            <w:r w:rsidRPr="007D22C9">
              <w:rPr>
                <w:color w:val="000000"/>
                <w:sz w:val="20"/>
                <w:szCs w:val="20"/>
              </w:rPr>
              <w:t>0,</w:t>
            </w:r>
            <w:r w:rsidR="002216D2" w:rsidRPr="007D22C9">
              <w:rPr>
                <w:color w:val="000000"/>
                <w:sz w:val="20"/>
                <w:szCs w:val="20"/>
              </w:rPr>
              <w:t>25</w:t>
            </w:r>
          </w:p>
        </w:tc>
        <w:tc>
          <w:tcPr>
            <w:tcW w:w="708" w:type="dxa"/>
            <w:tcBorders>
              <w:top w:val="nil"/>
              <w:left w:val="nil"/>
              <w:bottom w:val="single" w:sz="4" w:space="0" w:color="auto"/>
              <w:right w:val="single" w:sz="4" w:space="0" w:color="auto"/>
            </w:tcBorders>
            <w:shd w:val="clear" w:color="auto" w:fill="auto"/>
            <w:hideMark/>
          </w:tcPr>
          <w:p w:rsidR="000B335A" w:rsidRPr="007D22C9" w:rsidRDefault="000B335A" w:rsidP="00BD3B9A">
            <w:pPr>
              <w:autoSpaceDE/>
              <w:autoSpaceDN/>
              <w:adjustRightInd/>
              <w:jc w:val="center"/>
              <w:rPr>
                <w:color w:val="000000"/>
                <w:sz w:val="20"/>
                <w:szCs w:val="20"/>
              </w:rPr>
            </w:pPr>
            <w:r w:rsidRPr="007D22C9">
              <w:rPr>
                <w:color w:val="000000"/>
                <w:sz w:val="20"/>
                <w:szCs w:val="20"/>
              </w:rPr>
              <w:t>1</w:t>
            </w:r>
          </w:p>
        </w:tc>
        <w:tc>
          <w:tcPr>
            <w:tcW w:w="993" w:type="dxa"/>
            <w:tcBorders>
              <w:top w:val="nil"/>
              <w:left w:val="nil"/>
              <w:bottom w:val="single" w:sz="4" w:space="0" w:color="auto"/>
              <w:right w:val="single" w:sz="4" w:space="0" w:color="auto"/>
            </w:tcBorders>
            <w:shd w:val="clear" w:color="auto" w:fill="auto"/>
            <w:hideMark/>
          </w:tcPr>
          <w:p w:rsidR="000B335A" w:rsidRPr="007D22C9" w:rsidRDefault="000B335A" w:rsidP="00BD3B9A">
            <w:pPr>
              <w:autoSpaceDE/>
              <w:autoSpaceDN/>
              <w:adjustRightInd/>
              <w:jc w:val="center"/>
              <w:rPr>
                <w:color w:val="000000"/>
                <w:sz w:val="20"/>
                <w:szCs w:val="20"/>
              </w:rPr>
            </w:pPr>
            <w:r w:rsidRPr="007D22C9">
              <w:rPr>
                <w:color w:val="000000"/>
                <w:sz w:val="20"/>
                <w:szCs w:val="20"/>
              </w:rPr>
              <w:t>1</w:t>
            </w:r>
          </w:p>
        </w:tc>
      </w:tr>
      <w:tr w:rsidR="000B335A" w:rsidRPr="007D22C9" w:rsidTr="00BD3B9A">
        <w:trPr>
          <w:trHeight w:val="20"/>
        </w:trPr>
        <w:tc>
          <w:tcPr>
            <w:tcW w:w="533" w:type="dxa"/>
            <w:tcBorders>
              <w:top w:val="nil"/>
              <w:left w:val="single" w:sz="4" w:space="0" w:color="auto"/>
              <w:bottom w:val="single" w:sz="4" w:space="0" w:color="auto"/>
              <w:right w:val="single" w:sz="4" w:space="0" w:color="auto"/>
            </w:tcBorders>
            <w:shd w:val="clear" w:color="auto" w:fill="auto"/>
            <w:hideMark/>
          </w:tcPr>
          <w:p w:rsidR="000B335A" w:rsidRPr="007D22C9" w:rsidRDefault="000B335A" w:rsidP="00BD3B9A">
            <w:pPr>
              <w:autoSpaceDE/>
              <w:autoSpaceDN/>
              <w:adjustRightInd/>
              <w:jc w:val="both"/>
              <w:rPr>
                <w:color w:val="000000"/>
                <w:sz w:val="20"/>
                <w:szCs w:val="20"/>
              </w:rPr>
            </w:pPr>
            <w:r w:rsidRPr="007D22C9">
              <w:rPr>
                <w:color w:val="000000"/>
                <w:sz w:val="20"/>
                <w:szCs w:val="20"/>
              </w:rPr>
              <w:t> </w:t>
            </w:r>
          </w:p>
        </w:tc>
        <w:tc>
          <w:tcPr>
            <w:tcW w:w="1730" w:type="dxa"/>
            <w:tcBorders>
              <w:top w:val="nil"/>
              <w:left w:val="nil"/>
              <w:bottom w:val="single" w:sz="4" w:space="0" w:color="auto"/>
              <w:right w:val="single" w:sz="4" w:space="0" w:color="auto"/>
            </w:tcBorders>
            <w:shd w:val="clear" w:color="auto" w:fill="auto"/>
            <w:hideMark/>
          </w:tcPr>
          <w:p w:rsidR="000B335A" w:rsidRPr="007D22C9" w:rsidRDefault="000B335A" w:rsidP="00BD3B9A">
            <w:pPr>
              <w:autoSpaceDE/>
              <w:autoSpaceDN/>
              <w:adjustRightInd/>
              <w:jc w:val="both"/>
              <w:rPr>
                <w:bCs/>
                <w:color w:val="000000"/>
                <w:sz w:val="20"/>
                <w:szCs w:val="20"/>
              </w:rPr>
            </w:pPr>
            <w:r w:rsidRPr="007D22C9">
              <w:rPr>
                <w:bCs/>
                <w:color w:val="000000"/>
                <w:sz w:val="20"/>
                <w:szCs w:val="20"/>
              </w:rPr>
              <w:t>Итого</w:t>
            </w:r>
          </w:p>
        </w:tc>
        <w:tc>
          <w:tcPr>
            <w:tcW w:w="1418" w:type="dxa"/>
            <w:tcBorders>
              <w:top w:val="nil"/>
              <w:left w:val="nil"/>
              <w:bottom w:val="single" w:sz="4" w:space="0" w:color="auto"/>
              <w:right w:val="single" w:sz="4" w:space="0" w:color="auto"/>
            </w:tcBorders>
            <w:shd w:val="clear" w:color="auto" w:fill="auto"/>
            <w:hideMark/>
          </w:tcPr>
          <w:p w:rsidR="000B335A" w:rsidRPr="007D22C9" w:rsidRDefault="000B335A" w:rsidP="00C572EE">
            <w:pPr>
              <w:autoSpaceDE/>
              <w:autoSpaceDN/>
              <w:adjustRightInd/>
              <w:jc w:val="center"/>
              <w:rPr>
                <w:color w:val="000000"/>
                <w:sz w:val="20"/>
                <w:szCs w:val="20"/>
              </w:rPr>
            </w:pPr>
            <w:r w:rsidRPr="007D22C9">
              <w:rPr>
                <w:color w:val="000000"/>
                <w:sz w:val="20"/>
                <w:szCs w:val="20"/>
              </w:rPr>
              <w:t>х</w:t>
            </w:r>
          </w:p>
        </w:tc>
        <w:tc>
          <w:tcPr>
            <w:tcW w:w="1418" w:type="dxa"/>
            <w:tcBorders>
              <w:top w:val="nil"/>
              <w:left w:val="nil"/>
              <w:bottom w:val="single" w:sz="4" w:space="0" w:color="auto"/>
              <w:right w:val="single" w:sz="4" w:space="0" w:color="auto"/>
            </w:tcBorders>
            <w:shd w:val="clear" w:color="auto" w:fill="auto"/>
            <w:hideMark/>
          </w:tcPr>
          <w:p w:rsidR="000B335A" w:rsidRPr="007D22C9" w:rsidRDefault="000B335A" w:rsidP="00BD3B9A">
            <w:pPr>
              <w:autoSpaceDE/>
              <w:autoSpaceDN/>
              <w:adjustRightInd/>
              <w:jc w:val="center"/>
              <w:rPr>
                <w:color w:val="000000"/>
                <w:sz w:val="20"/>
                <w:szCs w:val="20"/>
              </w:rPr>
            </w:pPr>
            <w:r w:rsidRPr="007D22C9">
              <w:rPr>
                <w:color w:val="000000"/>
                <w:sz w:val="20"/>
                <w:szCs w:val="20"/>
              </w:rPr>
              <w:t>х</w:t>
            </w:r>
          </w:p>
        </w:tc>
        <w:tc>
          <w:tcPr>
            <w:tcW w:w="851" w:type="dxa"/>
            <w:tcBorders>
              <w:top w:val="nil"/>
              <w:left w:val="nil"/>
              <w:bottom w:val="single" w:sz="4" w:space="0" w:color="auto"/>
              <w:right w:val="single" w:sz="4" w:space="0" w:color="auto"/>
            </w:tcBorders>
            <w:shd w:val="clear" w:color="auto" w:fill="auto"/>
            <w:hideMark/>
          </w:tcPr>
          <w:p w:rsidR="000B335A" w:rsidRPr="007D22C9" w:rsidRDefault="000B335A" w:rsidP="00BD3B9A">
            <w:pPr>
              <w:autoSpaceDE/>
              <w:autoSpaceDN/>
              <w:adjustRightInd/>
              <w:ind w:left="-113" w:right="-113"/>
              <w:jc w:val="both"/>
              <w:rPr>
                <w:color w:val="000000"/>
                <w:sz w:val="20"/>
                <w:szCs w:val="20"/>
              </w:rPr>
            </w:pPr>
            <w:r w:rsidRPr="007D22C9">
              <w:rPr>
                <w:color w:val="000000"/>
                <w:sz w:val="20"/>
                <w:szCs w:val="20"/>
              </w:rPr>
              <w:t>2 277 199</w:t>
            </w:r>
          </w:p>
        </w:tc>
        <w:tc>
          <w:tcPr>
            <w:tcW w:w="850" w:type="dxa"/>
            <w:tcBorders>
              <w:top w:val="nil"/>
              <w:left w:val="nil"/>
              <w:bottom w:val="single" w:sz="4" w:space="0" w:color="auto"/>
              <w:right w:val="single" w:sz="4" w:space="0" w:color="auto"/>
            </w:tcBorders>
            <w:shd w:val="clear" w:color="auto" w:fill="auto"/>
            <w:hideMark/>
          </w:tcPr>
          <w:p w:rsidR="000B335A" w:rsidRPr="007D22C9" w:rsidRDefault="001C7C0F" w:rsidP="00BD3B9A">
            <w:pPr>
              <w:autoSpaceDE/>
              <w:autoSpaceDN/>
              <w:adjustRightInd/>
              <w:jc w:val="center"/>
              <w:rPr>
                <w:color w:val="000000"/>
                <w:sz w:val="20"/>
                <w:szCs w:val="20"/>
              </w:rPr>
            </w:pPr>
            <w:r w:rsidRPr="007D22C9">
              <w:rPr>
                <w:color w:val="000000"/>
                <w:sz w:val="20"/>
                <w:szCs w:val="20"/>
              </w:rPr>
              <w:t>76,71</w:t>
            </w:r>
          </w:p>
        </w:tc>
        <w:tc>
          <w:tcPr>
            <w:tcW w:w="1077" w:type="dxa"/>
            <w:tcBorders>
              <w:top w:val="nil"/>
              <w:left w:val="nil"/>
              <w:bottom w:val="single" w:sz="4" w:space="0" w:color="auto"/>
              <w:right w:val="single" w:sz="4" w:space="0" w:color="auto"/>
            </w:tcBorders>
            <w:shd w:val="clear" w:color="auto" w:fill="auto"/>
            <w:hideMark/>
          </w:tcPr>
          <w:p w:rsidR="000B335A" w:rsidRPr="007D22C9" w:rsidRDefault="001C7C0F" w:rsidP="00BD3B9A">
            <w:pPr>
              <w:autoSpaceDE/>
              <w:autoSpaceDN/>
              <w:adjustRightInd/>
              <w:jc w:val="center"/>
              <w:rPr>
                <w:color w:val="000000"/>
                <w:sz w:val="20"/>
                <w:szCs w:val="20"/>
              </w:rPr>
            </w:pPr>
            <w:r w:rsidRPr="007D22C9">
              <w:rPr>
                <w:color w:val="000000"/>
                <w:sz w:val="20"/>
                <w:szCs w:val="20"/>
              </w:rPr>
              <w:t>86,00</w:t>
            </w:r>
          </w:p>
        </w:tc>
        <w:tc>
          <w:tcPr>
            <w:tcW w:w="992" w:type="dxa"/>
            <w:tcBorders>
              <w:top w:val="nil"/>
              <w:left w:val="nil"/>
              <w:bottom w:val="single" w:sz="4" w:space="0" w:color="auto"/>
              <w:right w:val="single" w:sz="4" w:space="0" w:color="auto"/>
            </w:tcBorders>
            <w:shd w:val="clear" w:color="auto" w:fill="auto"/>
            <w:hideMark/>
          </w:tcPr>
          <w:p w:rsidR="000B335A" w:rsidRPr="007D22C9" w:rsidRDefault="001C7C0F" w:rsidP="001C7C0F">
            <w:pPr>
              <w:autoSpaceDE/>
              <w:autoSpaceDN/>
              <w:adjustRightInd/>
              <w:jc w:val="center"/>
              <w:rPr>
                <w:color w:val="000000"/>
                <w:sz w:val="20"/>
                <w:szCs w:val="20"/>
              </w:rPr>
            </w:pPr>
            <w:r w:rsidRPr="007D22C9">
              <w:rPr>
                <w:color w:val="000000"/>
                <w:sz w:val="20"/>
                <w:szCs w:val="20"/>
              </w:rPr>
              <w:t>78,00</w:t>
            </w:r>
          </w:p>
        </w:tc>
        <w:tc>
          <w:tcPr>
            <w:tcW w:w="708" w:type="dxa"/>
            <w:tcBorders>
              <w:top w:val="nil"/>
              <w:left w:val="nil"/>
              <w:bottom w:val="single" w:sz="4" w:space="0" w:color="auto"/>
              <w:right w:val="single" w:sz="4" w:space="0" w:color="auto"/>
            </w:tcBorders>
            <w:shd w:val="clear" w:color="auto" w:fill="auto"/>
            <w:hideMark/>
          </w:tcPr>
          <w:p w:rsidR="000B335A" w:rsidRPr="007D22C9" w:rsidRDefault="001C7C0F" w:rsidP="001C7C0F">
            <w:pPr>
              <w:autoSpaceDE/>
              <w:autoSpaceDN/>
              <w:adjustRightInd/>
              <w:jc w:val="center"/>
              <w:rPr>
                <w:color w:val="000000"/>
                <w:sz w:val="20"/>
                <w:szCs w:val="20"/>
              </w:rPr>
            </w:pPr>
            <w:r w:rsidRPr="007D22C9">
              <w:rPr>
                <w:color w:val="000000"/>
                <w:sz w:val="20"/>
                <w:szCs w:val="20"/>
              </w:rPr>
              <w:t>78</w:t>
            </w:r>
          </w:p>
        </w:tc>
        <w:tc>
          <w:tcPr>
            <w:tcW w:w="993" w:type="dxa"/>
            <w:tcBorders>
              <w:top w:val="nil"/>
              <w:left w:val="nil"/>
              <w:bottom w:val="single" w:sz="4" w:space="0" w:color="auto"/>
              <w:right w:val="single" w:sz="4" w:space="0" w:color="auto"/>
            </w:tcBorders>
            <w:shd w:val="clear" w:color="auto" w:fill="auto"/>
            <w:hideMark/>
          </w:tcPr>
          <w:p w:rsidR="000B335A" w:rsidRPr="007D22C9" w:rsidRDefault="000B335A" w:rsidP="00BD3B9A">
            <w:pPr>
              <w:autoSpaceDE/>
              <w:autoSpaceDN/>
              <w:adjustRightInd/>
              <w:jc w:val="center"/>
              <w:rPr>
                <w:color w:val="000000"/>
                <w:sz w:val="20"/>
                <w:szCs w:val="20"/>
              </w:rPr>
            </w:pPr>
            <w:r w:rsidRPr="007D22C9">
              <w:rPr>
                <w:color w:val="000000"/>
                <w:sz w:val="20"/>
                <w:szCs w:val="20"/>
              </w:rPr>
              <w:t>2</w:t>
            </w:r>
            <w:r w:rsidR="001C7C0F" w:rsidRPr="007D22C9">
              <w:rPr>
                <w:color w:val="000000"/>
                <w:sz w:val="20"/>
                <w:szCs w:val="20"/>
              </w:rPr>
              <w:t>5</w:t>
            </w:r>
          </w:p>
        </w:tc>
      </w:tr>
    </w:tbl>
    <w:p w:rsidR="006C3C62" w:rsidRPr="007D22C9" w:rsidRDefault="006C3C62" w:rsidP="000F4CA9">
      <w:pPr>
        <w:ind w:firstLine="709"/>
        <w:rPr>
          <w:rFonts w:eastAsia="Arial"/>
          <w:sz w:val="28"/>
          <w:szCs w:val="28"/>
        </w:rPr>
      </w:pPr>
      <w:r w:rsidRPr="007D22C9">
        <w:rPr>
          <w:rFonts w:eastAsia="Arial"/>
          <w:sz w:val="20"/>
          <w:szCs w:val="20"/>
        </w:rPr>
        <w:fldChar w:fldCharType="end"/>
      </w:r>
    </w:p>
    <w:p w:rsidR="003106CD" w:rsidRPr="007D22C9" w:rsidRDefault="003106CD" w:rsidP="005525AD">
      <w:pPr>
        <w:ind w:firstLine="709"/>
        <w:jc w:val="both"/>
        <w:rPr>
          <w:rFonts w:eastAsia="Arial"/>
          <w:sz w:val="28"/>
          <w:szCs w:val="28"/>
        </w:rPr>
      </w:pPr>
      <w:r w:rsidRPr="007D22C9">
        <w:rPr>
          <w:rFonts w:eastAsia="Arial"/>
          <w:sz w:val="28"/>
          <w:szCs w:val="28"/>
        </w:rPr>
        <w:t>Количество фактических ш</w:t>
      </w:r>
      <w:r w:rsidR="004159E6" w:rsidRPr="007D22C9">
        <w:rPr>
          <w:rFonts w:eastAsia="Arial"/>
          <w:sz w:val="28"/>
          <w:szCs w:val="28"/>
        </w:rPr>
        <w:t>т</w:t>
      </w:r>
      <w:r w:rsidRPr="007D22C9">
        <w:rPr>
          <w:rFonts w:eastAsia="Arial"/>
          <w:sz w:val="28"/>
          <w:szCs w:val="28"/>
        </w:rPr>
        <w:t>атных должностей врачей</w:t>
      </w:r>
      <w:r w:rsidR="00A14DF6" w:rsidRPr="007D22C9">
        <w:rPr>
          <w:rFonts w:eastAsia="Arial"/>
          <w:sz w:val="28"/>
          <w:szCs w:val="28"/>
        </w:rPr>
        <w:t>-</w:t>
      </w:r>
      <w:r w:rsidRPr="007D22C9">
        <w:rPr>
          <w:rFonts w:eastAsia="Arial"/>
          <w:sz w:val="28"/>
          <w:szCs w:val="28"/>
        </w:rPr>
        <w:t xml:space="preserve">онкологов в </w:t>
      </w:r>
      <w:r w:rsidR="00A14DF6" w:rsidRPr="007D22C9">
        <w:rPr>
          <w:rFonts w:eastAsia="Arial"/>
          <w:sz w:val="28"/>
          <w:szCs w:val="28"/>
        </w:rPr>
        <w:t>62</w:t>
      </w:r>
      <w:r w:rsidRPr="007D22C9">
        <w:rPr>
          <w:rFonts w:eastAsia="Arial"/>
          <w:sz w:val="28"/>
          <w:szCs w:val="28"/>
        </w:rPr>
        <w:t xml:space="preserve"> первичных онкологических кабинетах на </w:t>
      </w:r>
      <w:r w:rsidR="001C7C0F" w:rsidRPr="007D22C9">
        <w:rPr>
          <w:rFonts w:eastAsia="Arial"/>
          <w:sz w:val="28"/>
          <w:szCs w:val="28"/>
        </w:rPr>
        <w:t xml:space="preserve">9,29 </w:t>
      </w:r>
      <w:r w:rsidR="00A643DF" w:rsidRPr="007D22C9">
        <w:rPr>
          <w:rFonts w:eastAsia="Arial"/>
          <w:sz w:val="28"/>
          <w:szCs w:val="28"/>
        </w:rPr>
        <w:t>процента</w:t>
      </w:r>
      <w:r w:rsidRPr="007D22C9">
        <w:rPr>
          <w:rFonts w:eastAsia="Arial"/>
          <w:sz w:val="28"/>
          <w:szCs w:val="28"/>
        </w:rPr>
        <w:t xml:space="preserve"> </w:t>
      </w:r>
      <w:r w:rsidR="001C7C0F" w:rsidRPr="007D22C9">
        <w:rPr>
          <w:rFonts w:eastAsia="Arial"/>
          <w:sz w:val="28"/>
          <w:szCs w:val="28"/>
        </w:rPr>
        <w:t>больше</w:t>
      </w:r>
      <w:r w:rsidRPr="007D22C9">
        <w:rPr>
          <w:rFonts w:eastAsia="Arial"/>
          <w:sz w:val="28"/>
          <w:szCs w:val="28"/>
        </w:rPr>
        <w:t>, чем количество рекомендован</w:t>
      </w:r>
      <w:r w:rsidR="004159E6" w:rsidRPr="007D22C9">
        <w:rPr>
          <w:rFonts w:eastAsia="Arial"/>
          <w:sz w:val="28"/>
          <w:szCs w:val="28"/>
        </w:rPr>
        <w:t>н</w:t>
      </w:r>
      <w:r w:rsidRPr="007D22C9">
        <w:rPr>
          <w:rFonts w:eastAsia="Arial"/>
          <w:sz w:val="28"/>
          <w:szCs w:val="28"/>
        </w:rPr>
        <w:t>ых (</w:t>
      </w:r>
      <w:r w:rsidR="001C7C0F" w:rsidRPr="007D22C9">
        <w:rPr>
          <w:rFonts w:eastAsia="Arial"/>
          <w:sz w:val="28"/>
          <w:szCs w:val="28"/>
        </w:rPr>
        <w:t>76,71</w:t>
      </w:r>
      <w:r w:rsidRPr="007D22C9">
        <w:rPr>
          <w:rFonts w:eastAsia="Arial"/>
          <w:sz w:val="28"/>
          <w:szCs w:val="28"/>
        </w:rPr>
        <w:t xml:space="preserve"> и </w:t>
      </w:r>
      <w:r w:rsidR="001C7C0F" w:rsidRPr="007D22C9">
        <w:rPr>
          <w:rFonts w:eastAsia="Arial"/>
          <w:sz w:val="28"/>
          <w:szCs w:val="28"/>
        </w:rPr>
        <w:t>86,00</w:t>
      </w:r>
      <w:r w:rsidRPr="007D22C9">
        <w:rPr>
          <w:rFonts w:eastAsia="Arial"/>
          <w:sz w:val="28"/>
          <w:szCs w:val="28"/>
        </w:rPr>
        <w:t xml:space="preserve"> соответственно). При этом количество занятых </w:t>
      </w:r>
      <w:r w:rsidR="00A643DF" w:rsidRPr="007D22C9">
        <w:rPr>
          <w:rFonts w:eastAsia="Arial"/>
          <w:sz w:val="28"/>
          <w:szCs w:val="28"/>
        </w:rPr>
        <w:t xml:space="preserve">должностей </w:t>
      </w:r>
      <w:r w:rsidR="001C7C0F" w:rsidRPr="007D22C9">
        <w:rPr>
          <w:rFonts w:eastAsia="Arial"/>
          <w:sz w:val="28"/>
          <w:szCs w:val="28"/>
        </w:rPr>
        <w:t xml:space="preserve">на 8,00 процента ниже, чем </w:t>
      </w:r>
      <w:r w:rsidRPr="007D22C9">
        <w:rPr>
          <w:rFonts w:eastAsia="Arial"/>
          <w:sz w:val="28"/>
          <w:szCs w:val="28"/>
        </w:rPr>
        <w:t>фактическим (</w:t>
      </w:r>
      <w:r w:rsidR="001C7C0F" w:rsidRPr="007D22C9">
        <w:rPr>
          <w:rFonts w:eastAsia="Arial"/>
          <w:sz w:val="28"/>
          <w:szCs w:val="28"/>
        </w:rPr>
        <w:t>78,00</w:t>
      </w:r>
      <w:r w:rsidRPr="007D22C9">
        <w:rPr>
          <w:rFonts w:eastAsia="Arial"/>
          <w:sz w:val="28"/>
          <w:szCs w:val="28"/>
        </w:rPr>
        <w:t xml:space="preserve"> и </w:t>
      </w:r>
      <w:r w:rsidR="001C7C0F" w:rsidRPr="007D22C9">
        <w:rPr>
          <w:rFonts w:eastAsia="Arial"/>
          <w:sz w:val="28"/>
          <w:szCs w:val="28"/>
        </w:rPr>
        <w:t>86,00</w:t>
      </w:r>
      <w:r w:rsidRPr="007D22C9">
        <w:rPr>
          <w:rFonts w:eastAsia="Arial"/>
          <w:sz w:val="28"/>
          <w:szCs w:val="28"/>
        </w:rPr>
        <w:t xml:space="preserve"> соотве</w:t>
      </w:r>
      <w:r w:rsidR="004159E6" w:rsidRPr="007D22C9">
        <w:rPr>
          <w:rFonts w:eastAsia="Arial"/>
          <w:sz w:val="28"/>
          <w:szCs w:val="28"/>
        </w:rPr>
        <w:t>т</w:t>
      </w:r>
      <w:r w:rsidRPr="007D22C9">
        <w:rPr>
          <w:rFonts w:eastAsia="Arial"/>
          <w:sz w:val="28"/>
          <w:szCs w:val="28"/>
        </w:rPr>
        <w:t>ственно). Количество физических лиц врачей</w:t>
      </w:r>
      <w:r w:rsidR="00A643DF" w:rsidRPr="007D22C9">
        <w:rPr>
          <w:rFonts w:eastAsia="Arial"/>
          <w:sz w:val="28"/>
          <w:szCs w:val="28"/>
        </w:rPr>
        <w:t>-онкологов во всех первичных он</w:t>
      </w:r>
      <w:r w:rsidRPr="007D22C9">
        <w:rPr>
          <w:rFonts w:eastAsia="Arial"/>
          <w:sz w:val="28"/>
          <w:szCs w:val="28"/>
        </w:rPr>
        <w:t>ко</w:t>
      </w:r>
      <w:r w:rsidR="00A643DF" w:rsidRPr="007D22C9">
        <w:rPr>
          <w:rFonts w:eastAsia="Arial"/>
          <w:sz w:val="28"/>
          <w:szCs w:val="28"/>
        </w:rPr>
        <w:t xml:space="preserve">логических кабинетах составляет </w:t>
      </w:r>
      <w:r w:rsidR="00D7664E" w:rsidRPr="007D22C9">
        <w:rPr>
          <w:rFonts w:eastAsia="Arial"/>
          <w:sz w:val="28"/>
          <w:szCs w:val="28"/>
        </w:rPr>
        <w:t>78</w:t>
      </w:r>
      <w:r w:rsidR="00A643DF" w:rsidRPr="007D22C9">
        <w:rPr>
          <w:rFonts w:eastAsia="Arial"/>
          <w:sz w:val="28"/>
          <w:szCs w:val="28"/>
        </w:rPr>
        <w:t xml:space="preserve">, </w:t>
      </w:r>
      <w:r w:rsidR="00D7664E" w:rsidRPr="007D22C9">
        <w:rPr>
          <w:rFonts w:eastAsia="Arial"/>
          <w:sz w:val="28"/>
          <w:szCs w:val="28"/>
        </w:rPr>
        <w:t xml:space="preserve">из них 32,1 процента </w:t>
      </w:r>
      <w:r w:rsidRPr="007D22C9">
        <w:rPr>
          <w:rFonts w:eastAsia="Arial"/>
          <w:sz w:val="28"/>
          <w:szCs w:val="28"/>
        </w:rPr>
        <w:t>являются совместителями (2</w:t>
      </w:r>
      <w:r w:rsidR="00D7664E" w:rsidRPr="007D22C9">
        <w:rPr>
          <w:rFonts w:eastAsia="Arial"/>
          <w:sz w:val="28"/>
          <w:szCs w:val="28"/>
        </w:rPr>
        <w:t>5</w:t>
      </w:r>
      <w:r w:rsidRPr="007D22C9">
        <w:rPr>
          <w:rFonts w:eastAsia="Arial"/>
          <w:sz w:val="28"/>
          <w:szCs w:val="28"/>
        </w:rPr>
        <w:t xml:space="preserve">). </w:t>
      </w:r>
      <w:r w:rsidR="00057F52" w:rsidRPr="007D22C9">
        <w:rPr>
          <w:rFonts w:eastAsia="Arial"/>
          <w:sz w:val="28"/>
          <w:szCs w:val="28"/>
        </w:rPr>
        <w:t>Необходимы мероприятия по привлечению и подготовке кадров</w:t>
      </w:r>
      <w:r w:rsidR="00866F82" w:rsidRPr="007D22C9">
        <w:rPr>
          <w:rFonts w:eastAsia="Arial"/>
          <w:sz w:val="28"/>
          <w:szCs w:val="28"/>
        </w:rPr>
        <w:t xml:space="preserve"> (таблица 16.2)</w:t>
      </w:r>
      <w:r w:rsidR="00057F52" w:rsidRPr="007D22C9">
        <w:rPr>
          <w:rFonts w:eastAsia="Arial"/>
          <w:sz w:val="28"/>
          <w:szCs w:val="28"/>
        </w:rPr>
        <w:t>.</w:t>
      </w:r>
    </w:p>
    <w:p w:rsidR="006C3C62" w:rsidRPr="007D22C9" w:rsidRDefault="006C3C62" w:rsidP="000F4CA9">
      <w:pPr>
        <w:ind w:firstLine="709"/>
        <w:rPr>
          <w:rFonts w:eastAsia="Arial"/>
          <w:sz w:val="28"/>
          <w:szCs w:val="28"/>
        </w:rPr>
      </w:pPr>
    </w:p>
    <w:p w:rsidR="000812A1" w:rsidRPr="007D22C9" w:rsidRDefault="00F579B7" w:rsidP="00402C0E">
      <w:pPr>
        <w:ind w:firstLine="709"/>
        <w:jc w:val="both"/>
        <w:rPr>
          <w:sz w:val="28"/>
          <w:szCs w:val="28"/>
        </w:rPr>
      </w:pPr>
      <w:r w:rsidRPr="007D22C9">
        <w:rPr>
          <w:sz w:val="28"/>
          <w:szCs w:val="28"/>
        </w:rPr>
        <w:t xml:space="preserve">Информация об оборудовании, задействованном для проведения профилактических осмотров, скринингов и первичной диагностики онкологических заболеваний, </w:t>
      </w:r>
      <w:r w:rsidR="00210FB3" w:rsidRPr="007D22C9">
        <w:rPr>
          <w:sz w:val="28"/>
          <w:szCs w:val="28"/>
        </w:rPr>
        <w:br/>
      </w:r>
      <w:r w:rsidRPr="007D22C9">
        <w:rPr>
          <w:sz w:val="28"/>
          <w:szCs w:val="28"/>
        </w:rPr>
        <w:t>а также диспансерного наблюдения за пациентами с онкологическими заболеваниями</w:t>
      </w:r>
      <w:r w:rsidR="00AF3BC3" w:rsidRPr="007D22C9">
        <w:rPr>
          <w:sz w:val="28"/>
          <w:szCs w:val="28"/>
        </w:rPr>
        <w:t>.</w:t>
      </w:r>
    </w:p>
    <w:p w:rsidR="00AF3BC3" w:rsidRPr="007D22C9" w:rsidRDefault="00AF3BC3" w:rsidP="00402C0E">
      <w:pPr>
        <w:ind w:firstLine="709"/>
        <w:jc w:val="both"/>
        <w:rPr>
          <w:rFonts w:eastAsia="Arial"/>
          <w:sz w:val="28"/>
          <w:szCs w:val="28"/>
        </w:rPr>
      </w:pPr>
      <w:r w:rsidRPr="007D22C9">
        <w:rPr>
          <w:rFonts w:eastAsia="Arial"/>
          <w:sz w:val="28"/>
          <w:szCs w:val="28"/>
        </w:rPr>
        <w:t xml:space="preserve">Медицинские организации Республики Татарстан, оказывающие первичную медико-санитарную помощь населению, оснащены медицинским оборудованием для диагностики онкологических заболеваний, вместе с тем ряд медицинских организаций нуждаются в дооснащении и (или) замене медицинского оборудования в связи с его износом. </w:t>
      </w:r>
    </w:p>
    <w:p w:rsidR="00AF3BC3" w:rsidRPr="007D22C9" w:rsidRDefault="00AF3BC3" w:rsidP="00402C0E">
      <w:pPr>
        <w:ind w:firstLine="709"/>
        <w:jc w:val="both"/>
        <w:rPr>
          <w:rFonts w:eastAsia="Arial"/>
          <w:sz w:val="28"/>
          <w:szCs w:val="28"/>
        </w:rPr>
      </w:pPr>
      <w:r w:rsidRPr="007D22C9">
        <w:rPr>
          <w:rFonts w:eastAsia="Arial"/>
          <w:sz w:val="28"/>
          <w:szCs w:val="28"/>
        </w:rPr>
        <w:t xml:space="preserve">По состоянию на </w:t>
      </w:r>
      <w:r w:rsidR="001C216C">
        <w:rPr>
          <w:rFonts w:eastAsia="Arial"/>
          <w:sz w:val="28"/>
          <w:szCs w:val="28"/>
        </w:rPr>
        <w:t>0</w:t>
      </w:r>
      <w:r w:rsidR="00887958" w:rsidRPr="007D22C9">
        <w:rPr>
          <w:rFonts w:eastAsia="Arial"/>
          <w:sz w:val="28"/>
          <w:szCs w:val="28"/>
        </w:rPr>
        <w:t>1</w:t>
      </w:r>
      <w:r w:rsidR="001C216C">
        <w:rPr>
          <w:rFonts w:eastAsia="Arial"/>
          <w:sz w:val="28"/>
          <w:szCs w:val="28"/>
        </w:rPr>
        <w:t>.01..</w:t>
      </w:r>
      <w:r w:rsidRPr="007D22C9">
        <w:rPr>
          <w:rFonts w:eastAsia="Arial"/>
          <w:sz w:val="28"/>
          <w:szCs w:val="28"/>
        </w:rPr>
        <w:t>202</w:t>
      </w:r>
      <w:r w:rsidR="00C8091B" w:rsidRPr="007D22C9">
        <w:rPr>
          <w:rFonts w:eastAsia="Arial"/>
          <w:sz w:val="28"/>
          <w:szCs w:val="28"/>
        </w:rPr>
        <w:t>6</w:t>
      </w:r>
      <w:r w:rsidR="00A14DF6" w:rsidRPr="007D22C9">
        <w:rPr>
          <w:rFonts w:eastAsia="Arial"/>
          <w:sz w:val="28"/>
          <w:szCs w:val="28"/>
        </w:rPr>
        <w:t xml:space="preserve"> </w:t>
      </w:r>
      <w:r w:rsidRPr="007D22C9">
        <w:rPr>
          <w:rFonts w:eastAsia="Arial"/>
          <w:sz w:val="28"/>
          <w:szCs w:val="28"/>
        </w:rPr>
        <w:t>в республике функционирует следующее диагностическое медицинское оборудование:</w:t>
      </w:r>
    </w:p>
    <w:p w:rsidR="00AF3BC3" w:rsidRPr="007D22C9" w:rsidRDefault="00AF3BC3" w:rsidP="00402C0E">
      <w:pPr>
        <w:autoSpaceDE/>
        <w:autoSpaceDN/>
        <w:adjustRightInd/>
        <w:ind w:firstLine="709"/>
        <w:jc w:val="both"/>
        <w:rPr>
          <w:rFonts w:eastAsia="Arial"/>
          <w:sz w:val="28"/>
          <w:szCs w:val="28"/>
        </w:rPr>
      </w:pPr>
      <w:r w:rsidRPr="007D22C9">
        <w:rPr>
          <w:rFonts w:eastAsia="Arial"/>
          <w:sz w:val="28"/>
          <w:szCs w:val="28"/>
        </w:rPr>
        <w:t>рентгенодиагнос</w:t>
      </w:r>
      <w:r w:rsidR="00E141BA" w:rsidRPr="007D22C9">
        <w:rPr>
          <w:rFonts w:eastAsia="Arial"/>
          <w:sz w:val="28"/>
          <w:szCs w:val="28"/>
        </w:rPr>
        <w:t>ти</w:t>
      </w:r>
      <w:r w:rsidRPr="007D22C9">
        <w:rPr>
          <w:rFonts w:eastAsia="Arial"/>
          <w:sz w:val="28"/>
          <w:szCs w:val="28"/>
        </w:rPr>
        <w:t xml:space="preserve">ческие аппараты – </w:t>
      </w:r>
      <w:r w:rsidR="00C8091B" w:rsidRPr="007D22C9">
        <w:rPr>
          <w:rFonts w:eastAsia="Arial"/>
          <w:sz w:val="28"/>
          <w:szCs w:val="28"/>
        </w:rPr>
        <w:t>726</w:t>
      </w:r>
      <w:r w:rsidRPr="007D22C9">
        <w:rPr>
          <w:rFonts w:eastAsia="Arial"/>
          <w:sz w:val="28"/>
          <w:szCs w:val="28"/>
        </w:rPr>
        <w:t xml:space="preserve"> единиц, количество исследований </w:t>
      </w:r>
      <w:r w:rsidR="00A14DF6" w:rsidRPr="007D22C9">
        <w:rPr>
          <w:rFonts w:eastAsia="Arial"/>
          <w:sz w:val="28"/>
          <w:szCs w:val="28"/>
        </w:rPr>
        <w:br/>
      </w:r>
      <w:r w:rsidRPr="007D22C9">
        <w:rPr>
          <w:rFonts w:eastAsia="Arial"/>
          <w:sz w:val="28"/>
          <w:szCs w:val="28"/>
        </w:rPr>
        <w:t xml:space="preserve">в год – </w:t>
      </w:r>
      <w:r w:rsidR="00C8091B" w:rsidRPr="007D22C9">
        <w:rPr>
          <w:rFonts w:eastAsia="Arial"/>
          <w:sz w:val="28"/>
          <w:szCs w:val="28"/>
        </w:rPr>
        <w:t>2 483 076</w:t>
      </w:r>
      <w:r w:rsidRPr="007D22C9">
        <w:rPr>
          <w:rFonts w:eastAsia="Arial"/>
          <w:sz w:val="28"/>
          <w:szCs w:val="28"/>
        </w:rPr>
        <w:t>;</w:t>
      </w:r>
    </w:p>
    <w:p w:rsidR="00AF3BC3" w:rsidRPr="007D22C9" w:rsidRDefault="00AF3BC3" w:rsidP="00402C0E">
      <w:pPr>
        <w:ind w:firstLine="709"/>
        <w:jc w:val="both"/>
        <w:rPr>
          <w:rFonts w:eastAsia="Arial"/>
          <w:sz w:val="28"/>
          <w:szCs w:val="28"/>
        </w:rPr>
      </w:pPr>
      <w:r w:rsidRPr="007D22C9">
        <w:rPr>
          <w:rFonts w:eastAsia="Arial"/>
          <w:sz w:val="28"/>
          <w:szCs w:val="28"/>
        </w:rPr>
        <w:t>компьютерные томографы – 7</w:t>
      </w:r>
      <w:r w:rsidR="00C8091B" w:rsidRPr="007D22C9">
        <w:rPr>
          <w:rFonts w:eastAsia="Arial"/>
          <w:sz w:val="28"/>
          <w:szCs w:val="28"/>
        </w:rPr>
        <w:t>2</w:t>
      </w:r>
      <w:r w:rsidRPr="007D22C9">
        <w:rPr>
          <w:rFonts w:eastAsia="Arial"/>
          <w:sz w:val="28"/>
          <w:szCs w:val="28"/>
        </w:rPr>
        <w:t xml:space="preserve"> единиц, количество исследований в год – 5</w:t>
      </w:r>
      <w:r w:rsidR="00C8091B" w:rsidRPr="007D22C9">
        <w:rPr>
          <w:rFonts w:eastAsia="Arial"/>
          <w:sz w:val="28"/>
          <w:szCs w:val="28"/>
        </w:rPr>
        <w:t>72 912;</w:t>
      </w:r>
      <w:r w:rsidRPr="007D22C9">
        <w:rPr>
          <w:rFonts w:eastAsia="Arial"/>
          <w:sz w:val="28"/>
          <w:szCs w:val="28"/>
        </w:rPr>
        <w:t xml:space="preserve"> </w:t>
      </w:r>
    </w:p>
    <w:p w:rsidR="00AF3BC3" w:rsidRPr="007D22C9" w:rsidRDefault="00AF3BC3" w:rsidP="00402C0E">
      <w:pPr>
        <w:ind w:firstLine="709"/>
        <w:jc w:val="both"/>
        <w:rPr>
          <w:rFonts w:eastAsia="Arial"/>
          <w:sz w:val="28"/>
          <w:szCs w:val="28"/>
        </w:rPr>
      </w:pPr>
      <w:r w:rsidRPr="007D22C9">
        <w:rPr>
          <w:rFonts w:eastAsia="Arial"/>
          <w:sz w:val="28"/>
          <w:szCs w:val="28"/>
        </w:rPr>
        <w:t xml:space="preserve">магнитно-резонансные томографы – </w:t>
      </w:r>
      <w:r w:rsidR="00C8091B" w:rsidRPr="007D22C9">
        <w:rPr>
          <w:rFonts w:eastAsia="Arial"/>
          <w:sz w:val="28"/>
          <w:szCs w:val="28"/>
        </w:rPr>
        <w:t>19</w:t>
      </w:r>
      <w:r w:rsidRPr="007D22C9">
        <w:rPr>
          <w:rFonts w:eastAsia="Arial"/>
          <w:sz w:val="28"/>
          <w:szCs w:val="28"/>
        </w:rPr>
        <w:t xml:space="preserve"> единиц</w:t>
      </w:r>
      <w:r w:rsidR="00474CA0" w:rsidRPr="007D22C9">
        <w:rPr>
          <w:rFonts w:eastAsia="Arial"/>
          <w:sz w:val="28"/>
          <w:szCs w:val="28"/>
        </w:rPr>
        <w:t>а</w:t>
      </w:r>
      <w:r w:rsidRPr="007D22C9">
        <w:rPr>
          <w:rFonts w:eastAsia="Arial"/>
          <w:sz w:val="28"/>
          <w:szCs w:val="28"/>
        </w:rPr>
        <w:t>, количество исследований в год – 1</w:t>
      </w:r>
      <w:r w:rsidR="00C8091B" w:rsidRPr="007D22C9">
        <w:rPr>
          <w:rFonts w:eastAsia="Arial"/>
          <w:sz w:val="28"/>
          <w:szCs w:val="28"/>
        </w:rPr>
        <w:t>21 593</w:t>
      </w:r>
      <w:r w:rsidRPr="007D22C9">
        <w:rPr>
          <w:rFonts w:eastAsia="Arial"/>
          <w:sz w:val="28"/>
          <w:szCs w:val="28"/>
        </w:rPr>
        <w:t>;</w:t>
      </w:r>
    </w:p>
    <w:p w:rsidR="00AF3BC3" w:rsidRPr="007D22C9" w:rsidRDefault="00474CA0" w:rsidP="00402C0E">
      <w:pPr>
        <w:ind w:firstLine="709"/>
        <w:jc w:val="both"/>
        <w:rPr>
          <w:rFonts w:eastAsia="Arial"/>
          <w:sz w:val="28"/>
          <w:szCs w:val="28"/>
        </w:rPr>
      </w:pPr>
      <w:r w:rsidRPr="007D22C9">
        <w:rPr>
          <w:rFonts w:eastAsia="Arial"/>
          <w:sz w:val="28"/>
          <w:szCs w:val="28"/>
        </w:rPr>
        <w:t xml:space="preserve">маммографы – 81 </w:t>
      </w:r>
      <w:r w:rsidR="00AF3BC3" w:rsidRPr="007D22C9">
        <w:rPr>
          <w:rFonts w:eastAsia="Arial"/>
          <w:sz w:val="28"/>
          <w:szCs w:val="28"/>
        </w:rPr>
        <w:t>единиц</w:t>
      </w:r>
      <w:r w:rsidRPr="007D22C9">
        <w:rPr>
          <w:rFonts w:eastAsia="Arial"/>
          <w:sz w:val="28"/>
          <w:szCs w:val="28"/>
        </w:rPr>
        <w:t>а</w:t>
      </w:r>
      <w:r w:rsidR="00AF3BC3" w:rsidRPr="007D22C9">
        <w:rPr>
          <w:rFonts w:eastAsia="Arial"/>
          <w:sz w:val="28"/>
          <w:szCs w:val="28"/>
        </w:rPr>
        <w:t xml:space="preserve">, количество исследований в год – 517 </w:t>
      </w:r>
      <w:r w:rsidR="00A261DB" w:rsidRPr="007D22C9">
        <w:rPr>
          <w:rFonts w:eastAsia="Arial"/>
          <w:sz w:val="28"/>
          <w:szCs w:val="28"/>
        </w:rPr>
        <w:t>327</w:t>
      </w:r>
      <w:r w:rsidR="00AF3BC3" w:rsidRPr="007D22C9">
        <w:rPr>
          <w:rFonts w:eastAsia="Arial"/>
          <w:sz w:val="28"/>
          <w:szCs w:val="28"/>
        </w:rPr>
        <w:t>;</w:t>
      </w:r>
    </w:p>
    <w:p w:rsidR="00AF3BC3" w:rsidRPr="007D22C9" w:rsidRDefault="00AF3BC3" w:rsidP="00402C0E">
      <w:pPr>
        <w:autoSpaceDE/>
        <w:autoSpaceDN/>
        <w:adjustRightInd/>
        <w:ind w:firstLine="709"/>
        <w:jc w:val="both"/>
        <w:rPr>
          <w:rFonts w:eastAsia="Arial"/>
          <w:sz w:val="28"/>
          <w:szCs w:val="28"/>
        </w:rPr>
      </w:pPr>
      <w:r w:rsidRPr="007D22C9">
        <w:rPr>
          <w:rFonts w:eastAsia="Arial"/>
          <w:sz w:val="28"/>
          <w:szCs w:val="28"/>
        </w:rPr>
        <w:t>флюорографы – 1</w:t>
      </w:r>
      <w:r w:rsidR="00A261DB" w:rsidRPr="007D22C9">
        <w:rPr>
          <w:rFonts w:eastAsia="Arial"/>
          <w:sz w:val="28"/>
          <w:szCs w:val="28"/>
        </w:rPr>
        <w:t>10</w:t>
      </w:r>
      <w:r w:rsidRPr="007D22C9">
        <w:rPr>
          <w:rFonts w:eastAsia="Arial"/>
          <w:sz w:val="28"/>
          <w:szCs w:val="28"/>
        </w:rPr>
        <w:t xml:space="preserve"> единиц</w:t>
      </w:r>
      <w:r w:rsidR="00A14DF6" w:rsidRPr="007D22C9">
        <w:rPr>
          <w:rFonts w:eastAsia="Arial"/>
          <w:sz w:val="28"/>
          <w:szCs w:val="28"/>
        </w:rPr>
        <w:t>ы</w:t>
      </w:r>
      <w:r w:rsidRPr="007D22C9">
        <w:rPr>
          <w:rFonts w:eastAsia="Arial"/>
          <w:sz w:val="28"/>
          <w:szCs w:val="28"/>
        </w:rPr>
        <w:t>, к</w:t>
      </w:r>
      <w:r w:rsidR="00265E81">
        <w:rPr>
          <w:rFonts w:eastAsia="Arial"/>
          <w:sz w:val="28"/>
          <w:szCs w:val="28"/>
        </w:rPr>
        <w:t xml:space="preserve">оличество исследований в год – </w:t>
      </w:r>
      <w:r w:rsidRPr="007D22C9">
        <w:rPr>
          <w:color w:val="000000"/>
          <w:sz w:val="28"/>
          <w:szCs w:val="28"/>
        </w:rPr>
        <w:t>1 8</w:t>
      </w:r>
      <w:r w:rsidR="00B624AF" w:rsidRPr="007D22C9">
        <w:rPr>
          <w:color w:val="000000"/>
          <w:sz w:val="28"/>
          <w:szCs w:val="28"/>
        </w:rPr>
        <w:t>93</w:t>
      </w:r>
      <w:r w:rsidR="003B5EE0" w:rsidRPr="007D22C9">
        <w:rPr>
          <w:color w:val="000000"/>
          <w:sz w:val="28"/>
          <w:szCs w:val="28"/>
        </w:rPr>
        <w:t> </w:t>
      </w:r>
      <w:r w:rsidR="00B624AF" w:rsidRPr="007D22C9">
        <w:rPr>
          <w:color w:val="000000"/>
          <w:sz w:val="28"/>
          <w:szCs w:val="28"/>
        </w:rPr>
        <w:t>310</w:t>
      </w:r>
      <w:r w:rsidRPr="007D22C9">
        <w:rPr>
          <w:rFonts w:eastAsia="Arial"/>
          <w:sz w:val="28"/>
          <w:szCs w:val="28"/>
        </w:rPr>
        <w:t>;</w:t>
      </w:r>
    </w:p>
    <w:p w:rsidR="003B5EE0" w:rsidRPr="007D22C9" w:rsidRDefault="003B5EE0" w:rsidP="00402C0E">
      <w:pPr>
        <w:autoSpaceDE/>
        <w:autoSpaceDN/>
        <w:adjustRightInd/>
        <w:ind w:firstLine="709"/>
        <w:jc w:val="both"/>
        <w:rPr>
          <w:rFonts w:eastAsia="Arial"/>
          <w:sz w:val="28"/>
          <w:szCs w:val="28"/>
        </w:rPr>
      </w:pPr>
      <w:r w:rsidRPr="007D22C9">
        <w:rPr>
          <w:rFonts w:eastAsia="Arial"/>
          <w:sz w:val="28"/>
          <w:szCs w:val="28"/>
        </w:rPr>
        <w:t>флюмаммы – 7 единиц, количество исследований в год – 45 139;</w:t>
      </w:r>
    </w:p>
    <w:p w:rsidR="00AF3BC3" w:rsidRPr="007D22C9" w:rsidRDefault="00AF3BC3" w:rsidP="00402C0E">
      <w:pPr>
        <w:autoSpaceDE/>
        <w:autoSpaceDN/>
        <w:adjustRightInd/>
        <w:ind w:firstLine="709"/>
        <w:jc w:val="both"/>
        <w:rPr>
          <w:rFonts w:eastAsia="Arial"/>
          <w:sz w:val="28"/>
          <w:szCs w:val="28"/>
        </w:rPr>
      </w:pPr>
      <w:r w:rsidRPr="007D22C9">
        <w:rPr>
          <w:rFonts w:eastAsia="Arial"/>
          <w:sz w:val="28"/>
          <w:szCs w:val="28"/>
        </w:rPr>
        <w:t>ап</w:t>
      </w:r>
      <w:r w:rsidR="00C16577">
        <w:rPr>
          <w:rFonts w:eastAsia="Arial"/>
          <w:sz w:val="28"/>
          <w:szCs w:val="28"/>
        </w:rPr>
        <w:t>параты фиброгастродуоденоскопии</w:t>
      </w:r>
      <w:r w:rsidRPr="007D22C9">
        <w:rPr>
          <w:rFonts w:eastAsia="Arial"/>
          <w:sz w:val="28"/>
          <w:szCs w:val="28"/>
        </w:rPr>
        <w:t xml:space="preserve"> – </w:t>
      </w:r>
      <w:r w:rsidR="003B5EE0" w:rsidRPr="007D22C9">
        <w:rPr>
          <w:rFonts w:eastAsia="Arial"/>
          <w:sz w:val="28"/>
          <w:szCs w:val="28"/>
        </w:rPr>
        <w:t>5</w:t>
      </w:r>
      <w:r w:rsidR="00516659" w:rsidRPr="007D22C9">
        <w:rPr>
          <w:rFonts w:eastAsia="Arial"/>
          <w:sz w:val="28"/>
          <w:szCs w:val="28"/>
        </w:rPr>
        <w:t>27</w:t>
      </w:r>
      <w:r w:rsidRPr="007D22C9">
        <w:rPr>
          <w:rFonts w:eastAsia="Arial"/>
          <w:sz w:val="28"/>
          <w:szCs w:val="28"/>
        </w:rPr>
        <w:t xml:space="preserve"> единиц, количество исследований в год –</w:t>
      </w:r>
      <w:r w:rsidR="003B5EE0" w:rsidRPr="007D22C9">
        <w:rPr>
          <w:rFonts w:eastAsia="Arial"/>
          <w:sz w:val="28"/>
          <w:szCs w:val="28"/>
        </w:rPr>
        <w:t xml:space="preserve"> </w:t>
      </w:r>
      <w:r w:rsidRPr="007D22C9">
        <w:rPr>
          <w:color w:val="000000"/>
          <w:sz w:val="28"/>
          <w:szCs w:val="28"/>
        </w:rPr>
        <w:t>2</w:t>
      </w:r>
      <w:r w:rsidR="00516659" w:rsidRPr="007D22C9">
        <w:rPr>
          <w:color w:val="000000"/>
          <w:sz w:val="28"/>
          <w:szCs w:val="28"/>
        </w:rPr>
        <w:t>22 431</w:t>
      </w:r>
      <w:r w:rsidRPr="007D22C9">
        <w:rPr>
          <w:rFonts w:eastAsia="Arial"/>
          <w:sz w:val="28"/>
          <w:szCs w:val="28"/>
        </w:rPr>
        <w:t>;</w:t>
      </w:r>
    </w:p>
    <w:p w:rsidR="00AF3BC3" w:rsidRPr="007D22C9" w:rsidRDefault="00AF3BC3" w:rsidP="00402C0E">
      <w:pPr>
        <w:autoSpaceDE/>
        <w:autoSpaceDN/>
        <w:adjustRightInd/>
        <w:ind w:firstLine="709"/>
        <w:jc w:val="both"/>
        <w:rPr>
          <w:rFonts w:eastAsia="Arial"/>
          <w:sz w:val="28"/>
          <w:szCs w:val="28"/>
        </w:rPr>
      </w:pPr>
      <w:r w:rsidRPr="007D22C9">
        <w:rPr>
          <w:rFonts w:eastAsia="Arial"/>
          <w:sz w:val="28"/>
          <w:szCs w:val="28"/>
        </w:rPr>
        <w:t>колоноскопы – 2</w:t>
      </w:r>
      <w:r w:rsidR="00516659" w:rsidRPr="007D22C9">
        <w:rPr>
          <w:rFonts w:eastAsia="Arial"/>
          <w:sz w:val="28"/>
          <w:szCs w:val="28"/>
        </w:rPr>
        <w:t>77</w:t>
      </w:r>
      <w:r w:rsidRPr="007D22C9">
        <w:rPr>
          <w:rFonts w:eastAsia="Arial"/>
          <w:sz w:val="28"/>
          <w:szCs w:val="28"/>
        </w:rPr>
        <w:t xml:space="preserve"> единиц</w:t>
      </w:r>
      <w:r w:rsidR="00A14DF6" w:rsidRPr="007D22C9">
        <w:rPr>
          <w:rFonts w:eastAsia="Arial"/>
          <w:sz w:val="28"/>
          <w:szCs w:val="28"/>
        </w:rPr>
        <w:t>ы</w:t>
      </w:r>
      <w:r w:rsidRPr="007D22C9">
        <w:rPr>
          <w:rFonts w:eastAsia="Arial"/>
          <w:sz w:val="28"/>
          <w:szCs w:val="28"/>
        </w:rPr>
        <w:t xml:space="preserve">, количество исследований в год – </w:t>
      </w:r>
      <w:r w:rsidR="00516659" w:rsidRPr="007D22C9">
        <w:rPr>
          <w:rFonts w:eastAsia="Arial"/>
          <w:sz w:val="28"/>
          <w:szCs w:val="28"/>
        </w:rPr>
        <w:t>72 666</w:t>
      </w:r>
      <w:r w:rsidRPr="007D22C9">
        <w:rPr>
          <w:rFonts w:eastAsia="Arial"/>
          <w:sz w:val="28"/>
          <w:szCs w:val="28"/>
        </w:rPr>
        <w:t>;</w:t>
      </w:r>
    </w:p>
    <w:p w:rsidR="00AF3BC3" w:rsidRPr="007D22C9" w:rsidRDefault="00AF3BC3" w:rsidP="00402C0E">
      <w:pPr>
        <w:ind w:firstLine="709"/>
        <w:jc w:val="both"/>
        <w:rPr>
          <w:rFonts w:eastAsia="Arial"/>
          <w:sz w:val="28"/>
          <w:szCs w:val="28"/>
        </w:rPr>
      </w:pPr>
      <w:r w:rsidRPr="007D22C9">
        <w:rPr>
          <w:rFonts w:eastAsia="Arial"/>
          <w:sz w:val="28"/>
          <w:szCs w:val="28"/>
        </w:rPr>
        <w:t xml:space="preserve">аппараты </w:t>
      </w:r>
      <w:r w:rsidR="00D23A4F">
        <w:rPr>
          <w:rFonts w:eastAsia="Arial"/>
          <w:sz w:val="28"/>
          <w:szCs w:val="28"/>
        </w:rPr>
        <w:t>для ультразвуковых исследований</w:t>
      </w:r>
      <w:r w:rsidRPr="007D22C9">
        <w:rPr>
          <w:rFonts w:eastAsia="Arial"/>
          <w:sz w:val="28"/>
          <w:szCs w:val="28"/>
        </w:rPr>
        <w:t xml:space="preserve"> – 9</w:t>
      </w:r>
      <w:r w:rsidR="00516659" w:rsidRPr="007D22C9">
        <w:rPr>
          <w:rFonts w:eastAsia="Arial"/>
          <w:sz w:val="28"/>
          <w:szCs w:val="28"/>
        </w:rPr>
        <w:t>85</w:t>
      </w:r>
      <w:r w:rsidRPr="007D22C9">
        <w:rPr>
          <w:rFonts w:eastAsia="Arial"/>
          <w:sz w:val="28"/>
          <w:szCs w:val="28"/>
        </w:rPr>
        <w:t xml:space="preserve"> единиц, количество исследований в год – 5</w:t>
      </w:r>
      <w:r w:rsidR="00516659" w:rsidRPr="007D22C9">
        <w:rPr>
          <w:rFonts w:eastAsia="Arial"/>
          <w:sz w:val="28"/>
          <w:szCs w:val="28"/>
        </w:rPr>
        <w:t> 545 846</w:t>
      </w:r>
      <w:r w:rsidR="006347C3" w:rsidRPr="007D22C9">
        <w:rPr>
          <w:rFonts w:eastAsia="Arial"/>
          <w:sz w:val="28"/>
          <w:szCs w:val="28"/>
        </w:rPr>
        <w:t>;</w:t>
      </w:r>
    </w:p>
    <w:p w:rsidR="006347C3" w:rsidRPr="007D22C9" w:rsidRDefault="006347C3" w:rsidP="00402C0E">
      <w:pPr>
        <w:ind w:firstLine="709"/>
        <w:jc w:val="both"/>
        <w:rPr>
          <w:rFonts w:eastAsia="Arial"/>
          <w:sz w:val="28"/>
          <w:szCs w:val="28"/>
        </w:rPr>
      </w:pPr>
      <w:r w:rsidRPr="007D22C9">
        <w:rPr>
          <w:rFonts w:eastAsia="Arial"/>
          <w:sz w:val="28"/>
          <w:szCs w:val="28"/>
        </w:rPr>
        <w:t>бронхоскопы – 1</w:t>
      </w:r>
      <w:r w:rsidR="00736AF9" w:rsidRPr="007D22C9">
        <w:rPr>
          <w:rFonts w:eastAsia="Arial"/>
          <w:sz w:val="28"/>
          <w:szCs w:val="28"/>
        </w:rPr>
        <w:t xml:space="preserve">36, </w:t>
      </w:r>
      <w:r w:rsidRPr="007D22C9">
        <w:rPr>
          <w:rFonts w:eastAsia="Arial"/>
          <w:sz w:val="28"/>
          <w:szCs w:val="28"/>
        </w:rPr>
        <w:t xml:space="preserve">количество исследований в год – </w:t>
      </w:r>
      <w:r w:rsidR="00736AF9" w:rsidRPr="007D22C9">
        <w:rPr>
          <w:rFonts w:eastAsia="Arial"/>
          <w:sz w:val="28"/>
          <w:szCs w:val="28"/>
        </w:rPr>
        <w:t>19 831</w:t>
      </w:r>
      <w:r w:rsidR="009C7AAF" w:rsidRPr="007D22C9">
        <w:rPr>
          <w:rFonts w:eastAsia="Arial"/>
          <w:sz w:val="28"/>
          <w:szCs w:val="28"/>
        </w:rPr>
        <w:t>.</w:t>
      </w:r>
    </w:p>
    <w:p w:rsidR="00FE086D" w:rsidRPr="007D22C9" w:rsidRDefault="00AF3BC3" w:rsidP="00402C0E">
      <w:pPr>
        <w:ind w:firstLine="709"/>
        <w:jc w:val="both"/>
        <w:rPr>
          <w:rFonts w:eastAsia="Arial"/>
          <w:sz w:val="28"/>
          <w:szCs w:val="28"/>
        </w:rPr>
      </w:pPr>
      <w:r w:rsidRPr="007D22C9">
        <w:rPr>
          <w:rFonts w:eastAsia="Arial"/>
          <w:sz w:val="28"/>
          <w:szCs w:val="28"/>
        </w:rPr>
        <w:t>Информация о медицинском оборудовании, задействованном для проведения профилактических осмотров, скринингов и первичной диагностики онкологических заболеваний, представлена в таблиц</w:t>
      </w:r>
      <w:r w:rsidR="009A391F" w:rsidRPr="007D22C9">
        <w:rPr>
          <w:rFonts w:eastAsia="Arial"/>
          <w:sz w:val="28"/>
          <w:szCs w:val="28"/>
        </w:rPr>
        <w:t>е</w:t>
      </w:r>
      <w:r w:rsidRPr="007D22C9">
        <w:rPr>
          <w:rFonts w:eastAsia="Arial"/>
          <w:sz w:val="28"/>
          <w:szCs w:val="28"/>
        </w:rPr>
        <w:t xml:space="preserve"> </w:t>
      </w:r>
      <w:r w:rsidR="00E632DB" w:rsidRPr="007D22C9">
        <w:rPr>
          <w:rFonts w:eastAsia="Arial"/>
          <w:sz w:val="28"/>
          <w:szCs w:val="28"/>
        </w:rPr>
        <w:t>17</w:t>
      </w:r>
      <w:r w:rsidR="00210FB3" w:rsidRPr="007D22C9">
        <w:rPr>
          <w:rFonts w:eastAsia="Arial"/>
          <w:sz w:val="28"/>
          <w:szCs w:val="28"/>
        </w:rPr>
        <w:t>.</w:t>
      </w:r>
      <w:r w:rsidRPr="007D22C9">
        <w:rPr>
          <w:rFonts w:eastAsia="Arial"/>
          <w:sz w:val="28"/>
          <w:szCs w:val="28"/>
        </w:rPr>
        <w:t xml:space="preserve"> </w:t>
      </w:r>
    </w:p>
    <w:p w:rsidR="00755CD0" w:rsidRPr="007D22C9" w:rsidRDefault="00755CD0" w:rsidP="00244365">
      <w:pPr>
        <w:ind w:firstLine="709"/>
        <w:jc w:val="both"/>
        <w:rPr>
          <w:rFonts w:eastAsia="Arial"/>
          <w:sz w:val="28"/>
          <w:szCs w:val="28"/>
        </w:rPr>
        <w:sectPr w:rsidR="00755CD0" w:rsidRPr="007D22C9" w:rsidSect="00210FB3">
          <w:footnotePr>
            <w:numFmt w:val="chicago"/>
          </w:footnotePr>
          <w:pgSz w:w="12240" w:h="15840"/>
          <w:pgMar w:top="1134" w:right="567" w:bottom="1134" w:left="1134" w:header="720" w:footer="720" w:gutter="0"/>
          <w:cols w:space="720"/>
          <w:docGrid w:linePitch="326"/>
        </w:sectPr>
      </w:pPr>
    </w:p>
    <w:p w:rsidR="006901EE" w:rsidRPr="007D22C9" w:rsidRDefault="006901EE" w:rsidP="00BA1432">
      <w:pPr>
        <w:ind w:left="11907"/>
        <w:jc w:val="right"/>
        <w:rPr>
          <w:rFonts w:eastAsia="Arial"/>
          <w:sz w:val="28"/>
          <w:szCs w:val="28"/>
        </w:rPr>
      </w:pPr>
      <w:r w:rsidRPr="007D22C9">
        <w:rPr>
          <w:rFonts w:eastAsia="Arial"/>
          <w:sz w:val="28"/>
          <w:szCs w:val="28"/>
        </w:rPr>
        <w:t xml:space="preserve">Таблица </w:t>
      </w:r>
      <w:r w:rsidR="00E632DB" w:rsidRPr="007D22C9">
        <w:rPr>
          <w:rFonts w:eastAsia="Arial"/>
          <w:sz w:val="28"/>
          <w:szCs w:val="28"/>
        </w:rPr>
        <w:t>1</w:t>
      </w:r>
      <w:r w:rsidR="009A391F" w:rsidRPr="007D22C9">
        <w:rPr>
          <w:rFonts w:eastAsia="Arial"/>
          <w:sz w:val="28"/>
          <w:szCs w:val="28"/>
        </w:rPr>
        <w:t>7</w:t>
      </w:r>
    </w:p>
    <w:p w:rsidR="0071525A" w:rsidRPr="007D22C9" w:rsidRDefault="0071525A" w:rsidP="005177F0">
      <w:pPr>
        <w:ind w:left="11907"/>
        <w:jc w:val="both"/>
        <w:rPr>
          <w:rFonts w:eastAsia="Arial"/>
          <w:sz w:val="28"/>
          <w:szCs w:val="28"/>
        </w:rPr>
      </w:pPr>
    </w:p>
    <w:p w:rsidR="006901EE" w:rsidRPr="007D22C9" w:rsidRDefault="006901EE" w:rsidP="006901EE">
      <w:pPr>
        <w:ind w:firstLine="709"/>
        <w:jc w:val="center"/>
        <w:rPr>
          <w:rFonts w:eastAsia="Arial"/>
          <w:sz w:val="28"/>
          <w:szCs w:val="28"/>
        </w:rPr>
      </w:pPr>
      <w:r w:rsidRPr="007D22C9">
        <w:rPr>
          <w:rFonts w:eastAsia="Arial"/>
          <w:sz w:val="28"/>
          <w:szCs w:val="28"/>
        </w:rPr>
        <w:t>Информация об оборудовании, задействованном для проведения</w:t>
      </w:r>
    </w:p>
    <w:p w:rsidR="006901EE" w:rsidRPr="007D22C9" w:rsidRDefault="006901EE" w:rsidP="006901EE">
      <w:pPr>
        <w:ind w:firstLine="709"/>
        <w:jc w:val="center"/>
        <w:rPr>
          <w:rFonts w:eastAsia="Arial"/>
          <w:sz w:val="28"/>
          <w:szCs w:val="28"/>
        </w:rPr>
      </w:pPr>
      <w:r w:rsidRPr="007D22C9">
        <w:rPr>
          <w:rFonts w:eastAsia="Arial"/>
          <w:sz w:val="28"/>
          <w:szCs w:val="28"/>
        </w:rPr>
        <w:t>профилактических осмотров, скринингов и первичной диагностики</w:t>
      </w:r>
    </w:p>
    <w:p w:rsidR="006901EE" w:rsidRPr="007D22C9" w:rsidRDefault="006901EE" w:rsidP="006901EE">
      <w:pPr>
        <w:ind w:firstLine="709"/>
        <w:jc w:val="center"/>
        <w:rPr>
          <w:rFonts w:eastAsia="Arial"/>
          <w:sz w:val="28"/>
          <w:szCs w:val="28"/>
        </w:rPr>
      </w:pPr>
      <w:r w:rsidRPr="007D22C9">
        <w:rPr>
          <w:rFonts w:eastAsia="Arial"/>
          <w:sz w:val="28"/>
          <w:szCs w:val="28"/>
        </w:rPr>
        <w:t>онкологических заболеваний</w:t>
      </w:r>
    </w:p>
    <w:p w:rsidR="006901EE" w:rsidRPr="007D22C9" w:rsidRDefault="006901EE" w:rsidP="006901EE">
      <w:pPr>
        <w:ind w:firstLine="709"/>
        <w:jc w:val="both"/>
        <w:rPr>
          <w:rFonts w:eastAsia="Arial"/>
          <w:sz w:val="28"/>
          <w:szCs w:val="28"/>
        </w:rPr>
      </w:pPr>
    </w:p>
    <w:tbl>
      <w:tblPr>
        <w:tblStyle w:val="af1"/>
        <w:tblW w:w="0" w:type="auto"/>
        <w:tblBorders>
          <w:bottom w:val="none" w:sz="0" w:space="0" w:color="auto"/>
        </w:tblBorders>
        <w:tblLayout w:type="fixed"/>
        <w:tblLook w:val="04A0" w:firstRow="1" w:lastRow="0" w:firstColumn="1" w:lastColumn="0" w:noHBand="0" w:noVBand="1"/>
      </w:tblPr>
      <w:tblGrid>
        <w:gridCol w:w="1555"/>
        <w:gridCol w:w="3685"/>
        <w:gridCol w:w="1994"/>
        <w:gridCol w:w="1181"/>
        <w:gridCol w:w="1181"/>
        <w:gridCol w:w="1478"/>
        <w:gridCol w:w="1111"/>
        <w:gridCol w:w="1944"/>
      </w:tblGrid>
      <w:tr w:rsidR="006901EE" w:rsidRPr="007D22C9" w:rsidTr="00DC0475">
        <w:trPr>
          <w:trHeight w:val="20"/>
        </w:trPr>
        <w:tc>
          <w:tcPr>
            <w:tcW w:w="1555" w:type="dxa"/>
          </w:tcPr>
          <w:p w:rsidR="006901EE" w:rsidRPr="007D22C9" w:rsidRDefault="006901EE" w:rsidP="00BA1432">
            <w:pPr>
              <w:jc w:val="center"/>
              <w:rPr>
                <w:sz w:val="20"/>
                <w:szCs w:val="20"/>
              </w:rPr>
            </w:pPr>
            <w:r w:rsidRPr="007D22C9">
              <w:rPr>
                <w:sz w:val="20"/>
                <w:szCs w:val="20"/>
              </w:rPr>
              <w:t>Наименование вида медицинского оборудования</w:t>
            </w:r>
          </w:p>
        </w:tc>
        <w:tc>
          <w:tcPr>
            <w:tcW w:w="3685" w:type="dxa"/>
          </w:tcPr>
          <w:p w:rsidR="00BA1432" w:rsidRPr="007D22C9" w:rsidRDefault="006901EE" w:rsidP="00BA1432">
            <w:pPr>
              <w:jc w:val="center"/>
              <w:rPr>
                <w:sz w:val="20"/>
                <w:szCs w:val="20"/>
              </w:rPr>
            </w:pPr>
            <w:r w:rsidRPr="007D22C9">
              <w:rPr>
                <w:sz w:val="20"/>
                <w:szCs w:val="20"/>
              </w:rPr>
              <w:t xml:space="preserve">Наименование медицинской </w:t>
            </w:r>
          </w:p>
          <w:p w:rsidR="006901EE" w:rsidRPr="007D22C9" w:rsidRDefault="006901EE" w:rsidP="00BA1432">
            <w:pPr>
              <w:jc w:val="center"/>
              <w:rPr>
                <w:sz w:val="20"/>
                <w:szCs w:val="20"/>
              </w:rPr>
            </w:pPr>
            <w:r w:rsidRPr="007D22C9">
              <w:rPr>
                <w:sz w:val="20"/>
                <w:szCs w:val="20"/>
              </w:rPr>
              <w:t>организации</w:t>
            </w:r>
          </w:p>
        </w:tc>
        <w:tc>
          <w:tcPr>
            <w:tcW w:w="1994" w:type="dxa"/>
          </w:tcPr>
          <w:p w:rsidR="006901EE" w:rsidRPr="007D22C9" w:rsidRDefault="006901EE" w:rsidP="00BA1432">
            <w:pPr>
              <w:jc w:val="center"/>
              <w:rPr>
                <w:sz w:val="20"/>
                <w:szCs w:val="20"/>
              </w:rPr>
            </w:pPr>
            <w:r w:rsidRPr="007D22C9">
              <w:rPr>
                <w:sz w:val="20"/>
                <w:szCs w:val="20"/>
              </w:rPr>
              <w:t>Наименование</w:t>
            </w:r>
            <w:r w:rsidR="009C7AAF" w:rsidRPr="007D22C9">
              <w:rPr>
                <w:sz w:val="20"/>
                <w:szCs w:val="20"/>
              </w:rPr>
              <w:t xml:space="preserve"> медицинского</w:t>
            </w:r>
            <w:r w:rsidRPr="007D22C9">
              <w:rPr>
                <w:sz w:val="20"/>
                <w:szCs w:val="20"/>
              </w:rPr>
              <w:t xml:space="preserve"> оборудования</w:t>
            </w:r>
          </w:p>
        </w:tc>
        <w:tc>
          <w:tcPr>
            <w:tcW w:w="1181" w:type="dxa"/>
          </w:tcPr>
          <w:p w:rsidR="006901EE" w:rsidRPr="007D22C9" w:rsidRDefault="006901EE" w:rsidP="00BA1432">
            <w:pPr>
              <w:jc w:val="center"/>
              <w:rPr>
                <w:sz w:val="20"/>
                <w:szCs w:val="20"/>
              </w:rPr>
            </w:pPr>
            <w:r w:rsidRPr="007D22C9">
              <w:rPr>
                <w:sz w:val="20"/>
                <w:szCs w:val="20"/>
              </w:rPr>
              <w:t>Год ввода в эксплуатацию</w:t>
            </w:r>
          </w:p>
        </w:tc>
        <w:tc>
          <w:tcPr>
            <w:tcW w:w="1181" w:type="dxa"/>
          </w:tcPr>
          <w:p w:rsidR="006901EE" w:rsidRPr="007D22C9" w:rsidRDefault="006901EE" w:rsidP="00BA1432">
            <w:pPr>
              <w:jc w:val="center"/>
              <w:rPr>
                <w:sz w:val="20"/>
                <w:szCs w:val="20"/>
              </w:rPr>
            </w:pPr>
            <w:r w:rsidRPr="007D22C9">
              <w:rPr>
                <w:sz w:val="20"/>
                <w:szCs w:val="20"/>
              </w:rPr>
              <w:t>Количество, ед</w:t>
            </w:r>
            <w:r w:rsidR="00AF1198" w:rsidRPr="007D22C9">
              <w:rPr>
                <w:sz w:val="20"/>
                <w:szCs w:val="20"/>
              </w:rPr>
              <w:t>иниц</w:t>
            </w:r>
          </w:p>
        </w:tc>
        <w:tc>
          <w:tcPr>
            <w:tcW w:w="1478" w:type="dxa"/>
          </w:tcPr>
          <w:p w:rsidR="006901EE" w:rsidRPr="007D22C9" w:rsidRDefault="006901EE" w:rsidP="00BA1432">
            <w:pPr>
              <w:jc w:val="center"/>
              <w:rPr>
                <w:sz w:val="20"/>
                <w:szCs w:val="20"/>
              </w:rPr>
            </w:pPr>
            <w:r w:rsidRPr="007D22C9">
              <w:rPr>
                <w:sz w:val="20"/>
                <w:szCs w:val="20"/>
              </w:rPr>
              <w:t>Количество исследований в смену</w:t>
            </w:r>
          </w:p>
        </w:tc>
        <w:tc>
          <w:tcPr>
            <w:tcW w:w="1111" w:type="dxa"/>
          </w:tcPr>
          <w:p w:rsidR="006901EE" w:rsidRPr="007D22C9" w:rsidRDefault="0007693F" w:rsidP="00BA1432">
            <w:pPr>
              <w:jc w:val="center"/>
              <w:rPr>
                <w:sz w:val="20"/>
                <w:szCs w:val="20"/>
              </w:rPr>
            </w:pPr>
            <w:r w:rsidRPr="007D22C9">
              <w:rPr>
                <w:sz w:val="20"/>
                <w:szCs w:val="20"/>
              </w:rPr>
              <w:t>Количество рабочих смен, единиц</w:t>
            </w:r>
          </w:p>
        </w:tc>
        <w:tc>
          <w:tcPr>
            <w:tcW w:w="1944" w:type="dxa"/>
          </w:tcPr>
          <w:p w:rsidR="006901EE" w:rsidRPr="007D22C9" w:rsidRDefault="006901EE" w:rsidP="00BA1432">
            <w:pPr>
              <w:jc w:val="center"/>
              <w:rPr>
                <w:sz w:val="20"/>
                <w:szCs w:val="20"/>
              </w:rPr>
            </w:pPr>
            <w:r w:rsidRPr="007D22C9">
              <w:rPr>
                <w:sz w:val="20"/>
                <w:szCs w:val="20"/>
              </w:rPr>
              <w:t>Условия функционирования (амбулаторное / стационарное / передвижное)</w:t>
            </w:r>
          </w:p>
        </w:tc>
      </w:tr>
    </w:tbl>
    <w:p w:rsidR="000546C2" w:rsidRPr="007D22C9" w:rsidRDefault="000546C2">
      <w:pPr>
        <w:rPr>
          <w:sz w:val="2"/>
          <w:szCs w:val="2"/>
        </w:rPr>
      </w:pPr>
    </w:p>
    <w:tbl>
      <w:tblPr>
        <w:tblStyle w:val="af1"/>
        <w:tblW w:w="0" w:type="auto"/>
        <w:tblLayout w:type="fixed"/>
        <w:tblLook w:val="04A0" w:firstRow="1" w:lastRow="0" w:firstColumn="1" w:lastColumn="0" w:noHBand="0" w:noVBand="1"/>
      </w:tblPr>
      <w:tblGrid>
        <w:gridCol w:w="1555"/>
        <w:gridCol w:w="3685"/>
        <w:gridCol w:w="1994"/>
        <w:gridCol w:w="1181"/>
        <w:gridCol w:w="1181"/>
        <w:gridCol w:w="1478"/>
        <w:gridCol w:w="1111"/>
        <w:gridCol w:w="1944"/>
      </w:tblGrid>
      <w:tr w:rsidR="006901EE" w:rsidRPr="007D22C9" w:rsidTr="000546C2">
        <w:trPr>
          <w:trHeight w:val="20"/>
          <w:tblHeader/>
        </w:trPr>
        <w:tc>
          <w:tcPr>
            <w:tcW w:w="1555" w:type="dxa"/>
            <w:tcBorders>
              <w:top w:val="single" w:sz="4" w:space="0" w:color="auto"/>
              <w:left w:val="single" w:sz="4" w:space="0" w:color="auto"/>
              <w:bottom w:val="single" w:sz="4" w:space="0" w:color="auto"/>
              <w:right w:val="single" w:sz="4" w:space="0" w:color="auto"/>
            </w:tcBorders>
          </w:tcPr>
          <w:p w:rsidR="006901EE" w:rsidRPr="007D22C9" w:rsidRDefault="006901EE" w:rsidP="00BA1432">
            <w:pPr>
              <w:jc w:val="center"/>
              <w:rPr>
                <w:sz w:val="20"/>
                <w:szCs w:val="20"/>
              </w:rPr>
            </w:pPr>
            <w:r w:rsidRPr="007D22C9">
              <w:rPr>
                <w:sz w:val="20"/>
                <w:szCs w:val="20"/>
              </w:rPr>
              <w:t>1</w:t>
            </w:r>
          </w:p>
        </w:tc>
        <w:tc>
          <w:tcPr>
            <w:tcW w:w="3685" w:type="dxa"/>
            <w:shd w:val="clear" w:color="auto" w:fill="auto"/>
          </w:tcPr>
          <w:p w:rsidR="006901EE" w:rsidRPr="007D22C9" w:rsidRDefault="006901EE" w:rsidP="00BA1432">
            <w:pPr>
              <w:jc w:val="center"/>
              <w:rPr>
                <w:color w:val="000000"/>
                <w:sz w:val="20"/>
                <w:szCs w:val="20"/>
              </w:rPr>
            </w:pPr>
            <w:r w:rsidRPr="007D22C9">
              <w:rPr>
                <w:color w:val="000000"/>
                <w:sz w:val="20"/>
                <w:szCs w:val="20"/>
              </w:rPr>
              <w:t>2</w:t>
            </w:r>
          </w:p>
        </w:tc>
        <w:tc>
          <w:tcPr>
            <w:tcW w:w="1994" w:type="dxa"/>
            <w:tcBorders>
              <w:top w:val="single" w:sz="4" w:space="0" w:color="auto"/>
              <w:left w:val="single" w:sz="4" w:space="0" w:color="auto"/>
              <w:bottom w:val="single" w:sz="4" w:space="0" w:color="auto"/>
              <w:right w:val="single" w:sz="4" w:space="0" w:color="auto"/>
            </w:tcBorders>
            <w:shd w:val="clear" w:color="auto" w:fill="auto"/>
          </w:tcPr>
          <w:p w:rsidR="006901EE" w:rsidRPr="007D22C9" w:rsidRDefault="006901EE" w:rsidP="00BA1432">
            <w:pPr>
              <w:jc w:val="center"/>
              <w:rPr>
                <w:color w:val="000000"/>
                <w:sz w:val="20"/>
                <w:szCs w:val="20"/>
              </w:rPr>
            </w:pPr>
            <w:r w:rsidRPr="007D22C9">
              <w:rPr>
                <w:color w:val="000000"/>
                <w:sz w:val="20"/>
                <w:szCs w:val="20"/>
              </w:rPr>
              <w:t>3</w:t>
            </w:r>
          </w:p>
        </w:tc>
        <w:tc>
          <w:tcPr>
            <w:tcW w:w="1181" w:type="dxa"/>
            <w:tcBorders>
              <w:top w:val="single" w:sz="4" w:space="0" w:color="auto"/>
              <w:left w:val="single" w:sz="4" w:space="0" w:color="auto"/>
              <w:bottom w:val="single" w:sz="4" w:space="0" w:color="auto"/>
              <w:right w:val="single" w:sz="4" w:space="0" w:color="auto"/>
            </w:tcBorders>
            <w:shd w:val="clear" w:color="auto" w:fill="auto"/>
          </w:tcPr>
          <w:p w:rsidR="006901EE" w:rsidRPr="007D22C9" w:rsidRDefault="006901EE" w:rsidP="00BA1432">
            <w:pPr>
              <w:jc w:val="center"/>
              <w:rPr>
                <w:sz w:val="20"/>
                <w:szCs w:val="20"/>
              </w:rPr>
            </w:pPr>
            <w:r w:rsidRPr="007D22C9">
              <w:rPr>
                <w:sz w:val="20"/>
                <w:szCs w:val="20"/>
              </w:rPr>
              <w:t>4</w:t>
            </w:r>
          </w:p>
        </w:tc>
        <w:tc>
          <w:tcPr>
            <w:tcW w:w="1181" w:type="dxa"/>
            <w:tcBorders>
              <w:top w:val="single" w:sz="4" w:space="0" w:color="auto"/>
              <w:left w:val="single" w:sz="4" w:space="0" w:color="auto"/>
              <w:bottom w:val="single" w:sz="4" w:space="0" w:color="auto"/>
              <w:right w:val="single" w:sz="4" w:space="0" w:color="auto"/>
            </w:tcBorders>
            <w:shd w:val="clear" w:color="auto" w:fill="auto"/>
          </w:tcPr>
          <w:p w:rsidR="006901EE" w:rsidRPr="007D22C9" w:rsidRDefault="006901EE" w:rsidP="00BA1432">
            <w:pPr>
              <w:jc w:val="center"/>
              <w:rPr>
                <w:color w:val="000000"/>
                <w:sz w:val="20"/>
                <w:szCs w:val="20"/>
              </w:rPr>
            </w:pPr>
            <w:r w:rsidRPr="007D22C9">
              <w:rPr>
                <w:color w:val="000000"/>
                <w:sz w:val="20"/>
                <w:szCs w:val="20"/>
              </w:rPr>
              <w:t>5</w:t>
            </w:r>
          </w:p>
        </w:tc>
        <w:tc>
          <w:tcPr>
            <w:tcW w:w="1478" w:type="dxa"/>
            <w:tcBorders>
              <w:top w:val="single" w:sz="4" w:space="0" w:color="auto"/>
              <w:left w:val="single" w:sz="4" w:space="0" w:color="auto"/>
              <w:bottom w:val="single" w:sz="4" w:space="0" w:color="auto"/>
              <w:right w:val="single" w:sz="4" w:space="0" w:color="auto"/>
            </w:tcBorders>
          </w:tcPr>
          <w:p w:rsidR="006901EE" w:rsidRPr="007D22C9" w:rsidRDefault="006901EE" w:rsidP="00BA1432">
            <w:pPr>
              <w:jc w:val="center"/>
              <w:rPr>
                <w:color w:val="000000"/>
                <w:sz w:val="20"/>
                <w:szCs w:val="20"/>
              </w:rPr>
            </w:pPr>
            <w:r w:rsidRPr="007D22C9">
              <w:rPr>
                <w:color w:val="000000"/>
                <w:sz w:val="20"/>
                <w:szCs w:val="20"/>
              </w:rPr>
              <w:t>6</w:t>
            </w:r>
          </w:p>
        </w:tc>
        <w:tc>
          <w:tcPr>
            <w:tcW w:w="1111" w:type="dxa"/>
            <w:tcBorders>
              <w:top w:val="single" w:sz="4" w:space="0" w:color="auto"/>
              <w:left w:val="single" w:sz="4" w:space="0" w:color="auto"/>
              <w:bottom w:val="single" w:sz="4" w:space="0" w:color="auto"/>
              <w:right w:val="single" w:sz="4" w:space="0" w:color="auto"/>
            </w:tcBorders>
          </w:tcPr>
          <w:p w:rsidR="006901EE" w:rsidRPr="007D22C9" w:rsidRDefault="006901EE" w:rsidP="00BA1432">
            <w:pPr>
              <w:jc w:val="center"/>
              <w:rPr>
                <w:color w:val="000000"/>
                <w:sz w:val="20"/>
                <w:szCs w:val="20"/>
              </w:rPr>
            </w:pPr>
            <w:r w:rsidRPr="007D22C9">
              <w:rPr>
                <w:color w:val="000000"/>
                <w:sz w:val="20"/>
                <w:szCs w:val="20"/>
              </w:rPr>
              <w:t>7</w:t>
            </w:r>
          </w:p>
        </w:tc>
        <w:tc>
          <w:tcPr>
            <w:tcW w:w="1944" w:type="dxa"/>
            <w:tcBorders>
              <w:top w:val="single" w:sz="4" w:space="0" w:color="auto"/>
              <w:left w:val="single" w:sz="4" w:space="0" w:color="auto"/>
              <w:bottom w:val="single" w:sz="4" w:space="0" w:color="auto"/>
              <w:right w:val="single" w:sz="4" w:space="0" w:color="auto"/>
            </w:tcBorders>
          </w:tcPr>
          <w:p w:rsidR="006901EE" w:rsidRPr="007D22C9" w:rsidRDefault="006901EE" w:rsidP="00BA1432">
            <w:pPr>
              <w:jc w:val="center"/>
              <w:rPr>
                <w:color w:val="000000"/>
                <w:sz w:val="20"/>
                <w:szCs w:val="20"/>
              </w:rPr>
            </w:pPr>
            <w:r w:rsidRPr="007D22C9">
              <w:rPr>
                <w:color w:val="000000"/>
                <w:sz w:val="20"/>
                <w:szCs w:val="20"/>
              </w:rPr>
              <w:t>8</w:t>
            </w:r>
          </w:p>
        </w:tc>
      </w:tr>
      <w:tr w:rsidR="00D06A2F" w:rsidRPr="007D22C9" w:rsidTr="00CD3A6F">
        <w:trPr>
          <w:trHeight w:val="20"/>
        </w:trPr>
        <w:tc>
          <w:tcPr>
            <w:tcW w:w="1555" w:type="dxa"/>
            <w:vMerge w:val="restart"/>
            <w:tcBorders>
              <w:top w:val="single" w:sz="4" w:space="0" w:color="auto"/>
              <w:left w:val="single" w:sz="4" w:space="0" w:color="auto"/>
              <w:right w:val="single" w:sz="4" w:space="0" w:color="auto"/>
            </w:tcBorders>
          </w:tcPr>
          <w:p w:rsidR="00D06A2F" w:rsidRPr="007D22C9" w:rsidRDefault="00D06A2F" w:rsidP="00BA1432">
            <w:pPr>
              <w:rPr>
                <w:sz w:val="20"/>
                <w:szCs w:val="20"/>
              </w:rPr>
            </w:pPr>
            <w:r w:rsidRPr="007D22C9">
              <w:rPr>
                <w:sz w:val="20"/>
                <w:szCs w:val="20"/>
              </w:rPr>
              <w:t>Эндоскопические стойки</w:t>
            </w:r>
          </w:p>
        </w:tc>
        <w:tc>
          <w:tcPr>
            <w:tcW w:w="3685" w:type="dxa"/>
            <w:shd w:val="clear" w:color="auto" w:fill="auto"/>
          </w:tcPr>
          <w:p w:rsidR="00D06A2F" w:rsidRPr="007D22C9" w:rsidRDefault="00D06A2F" w:rsidP="00DC0475">
            <w:pPr>
              <w:jc w:val="both"/>
              <w:rPr>
                <w:sz w:val="20"/>
                <w:szCs w:val="20"/>
              </w:rPr>
            </w:pPr>
            <w:r w:rsidRPr="007D22C9">
              <w:rPr>
                <w:color w:val="000000"/>
                <w:sz w:val="20"/>
                <w:szCs w:val="20"/>
              </w:rPr>
              <w:t>ГАУЗ «Азнакаевская ЦРБ»</w:t>
            </w:r>
          </w:p>
        </w:tc>
        <w:tc>
          <w:tcPr>
            <w:tcW w:w="1994" w:type="dxa"/>
            <w:tcBorders>
              <w:top w:val="single" w:sz="4" w:space="0" w:color="auto"/>
              <w:left w:val="single" w:sz="4" w:space="0" w:color="auto"/>
              <w:bottom w:val="single" w:sz="4" w:space="0" w:color="auto"/>
              <w:right w:val="single" w:sz="4" w:space="0" w:color="auto"/>
            </w:tcBorders>
            <w:shd w:val="clear" w:color="auto" w:fill="auto"/>
          </w:tcPr>
          <w:p w:rsidR="00D06A2F" w:rsidRPr="007D22C9" w:rsidRDefault="00D06A2F" w:rsidP="00BA1432">
            <w:pPr>
              <w:jc w:val="center"/>
              <w:rPr>
                <w:color w:val="000000"/>
                <w:sz w:val="20"/>
                <w:szCs w:val="20"/>
              </w:rPr>
            </w:pPr>
            <w:r w:rsidRPr="007D22C9">
              <w:rPr>
                <w:color w:val="000000"/>
                <w:sz w:val="20"/>
                <w:szCs w:val="20"/>
              </w:rPr>
              <w:t>Бронхоскоп</w:t>
            </w:r>
          </w:p>
        </w:tc>
        <w:tc>
          <w:tcPr>
            <w:tcW w:w="1181" w:type="dxa"/>
            <w:tcBorders>
              <w:top w:val="single" w:sz="4" w:space="0" w:color="auto"/>
              <w:left w:val="single" w:sz="4" w:space="0" w:color="auto"/>
              <w:bottom w:val="single" w:sz="4" w:space="0" w:color="auto"/>
              <w:right w:val="single" w:sz="4" w:space="0" w:color="auto"/>
            </w:tcBorders>
            <w:shd w:val="clear" w:color="auto" w:fill="auto"/>
          </w:tcPr>
          <w:p w:rsidR="00D06A2F" w:rsidRPr="007D22C9" w:rsidRDefault="00D06A2F" w:rsidP="000546C2">
            <w:pPr>
              <w:jc w:val="center"/>
              <w:rPr>
                <w:sz w:val="20"/>
                <w:szCs w:val="20"/>
              </w:rPr>
            </w:pPr>
            <w:r w:rsidRPr="007D22C9">
              <w:rPr>
                <w:sz w:val="20"/>
                <w:szCs w:val="20"/>
              </w:rPr>
              <w:t>2021</w:t>
            </w:r>
          </w:p>
        </w:tc>
        <w:tc>
          <w:tcPr>
            <w:tcW w:w="1181" w:type="dxa"/>
            <w:tcBorders>
              <w:top w:val="single" w:sz="4" w:space="0" w:color="auto"/>
              <w:left w:val="single" w:sz="4" w:space="0" w:color="auto"/>
              <w:bottom w:val="single" w:sz="4" w:space="0" w:color="auto"/>
              <w:right w:val="single" w:sz="4" w:space="0" w:color="auto"/>
            </w:tcBorders>
            <w:shd w:val="clear" w:color="auto" w:fill="auto"/>
          </w:tcPr>
          <w:p w:rsidR="00D06A2F" w:rsidRPr="007D22C9" w:rsidRDefault="00D06A2F" w:rsidP="000546C2">
            <w:pPr>
              <w:jc w:val="center"/>
              <w:rPr>
                <w:color w:val="000000"/>
                <w:sz w:val="20"/>
                <w:szCs w:val="20"/>
              </w:rPr>
            </w:pPr>
            <w:r w:rsidRPr="007D22C9">
              <w:rPr>
                <w:color w:val="000000"/>
                <w:sz w:val="20"/>
                <w:szCs w:val="20"/>
              </w:rPr>
              <w:t>1</w:t>
            </w:r>
          </w:p>
        </w:tc>
        <w:tc>
          <w:tcPr>
            <w:tcW w:w="1478" w:type="dxa"/>
            <w:tcBorders>
              <w:top w:val="single" w:sz="4" w:space="0" w:color="auto"/>
              <w:left w:val="single" w:sz="4" w:space="0" w:color="auto"/>
              <w:bottom w:val="single" w:sz="4" w:space="0" w:color="auto"/>
              <w:right w:val="single" w:sz="4" w:space="0" w:color="auto"/>
            </w:tcBorders>
          </w:tcPr>
          <w:p w:rsidR="00D06A2F" w:rsidRPr="007D22C9" w:rsidRDefault="00D06A2F" w:rsidP="000546C2">
            <w:pPr>
              <w:jc w:val="center"/>
              <w:rPr>
                <w:color w:val="000000"/>
                <w:sz w:val="20"/>
                <w:szCs w:val="20"/>
              </w:rPr>
            </w:pPr>
            <w:r w:rsidRPr="007D22C9">
              <w:rPr>
                <w:color w:val="000000"/>
                <w:sz w:val="20"/>
                <w:szCs w:val="20"/>
              </w:rPr>
              <w:t>0,3</w:t>
            </w:r>
          </w:p>
        </w:tc>
        <w:tc>
          <w:tcPr>
            <w:tcW w:w="1111" w:type="dxa"/>
            <w:tcBorders>
              <w:top w:val="single" w:sz="4" w:space="0" w:color="auto"/>
              <w:left w:val="single" w:sz="4" w:space="0" w:color="auto"/>
              <w:bottom w:val="single" w:sz="4" w:space="0" w:color="auto"/>
              <w:right w:val="single" w:sz="4" w:space="0" w:color="auto"/>
            </w:tcBorders>
          </w:tcPr>
          <w:p w:rsidR="00D06A2F" w:rsidRPr="007D22C9" w:rsidRDefault="00D06A2F" w:rsidP="000546C2">
            <w:pPr>
              <w:jc w:val="center"/>
              <w:rPr>
                <w:color w:val="000000"/>
                <w:sz w:val="20"/>
                <w:szCs w:val="20"/>
              </w:rPr>
            </w:pPr>
            <w:r w:rsidRPr="007D22C9">
              <w:rPr>
                <w:color w:val="000000"/>
                <w:sz w:val="20"/>
                <w:szCs w:val="20"/>
              </w:rPr>
              <w:t>1</w:t>
            </w:r>
          </w:p>
        </w:tc>
        <w:tc>
          <w:tcPr>
            <w:tcW w:w="1944" w:type="dxa"/>
            <w:tcBorders>
              <w:top w:val="single" w:sz="4" w:space="0" w:color="auto"/>
              <w:left w:val="single" w:sz="4" w:space="0" w:color="auto"/>
              <w:bottom w:val="single" w:sz="4" w:space="0" w:color="auto"/>
              <w:right w:val="single" w:sz="4" w:space="0" w:color="auto"/>
            </w:tcBorders>
          </w:tcPr>
          <w:p w:rsidR="00D06A2F" w:rsidRPr="007D22C9" w:rsidRDefault="00D06A2F" w:rsidP="00BA1432">
            <w:pPr>
              <w:jc w:val="center"/>
              <w:rPr>
                <w:color w:val="000000"/>
                <w:sz w:val="20"/>
                <w:szCs w:val="20"/>
              </w:rPr>
            </w:pPr>
            <w:r w:rsidRPr="007D22C9">
              <w:rPr>
                <w:color w:val="000000"/>
                <w:sz w:val="20"/>
                <w:szCs w:val="20"/>
              </w:rPr>
              <w:t>Амбулаторное</w:t>
            </w:r>
          </w:p>
        </w:tc>
      </w:tr>
      <w:tr w:rsidR="00D06A2F" w:rsidRPr="007D22C9" w:rsidTr="00CD3A6F">
        <w:trPr>
          <w:trHeight w:val="20"/>
        </w:trPr>
        <w:tc>
          <w:tcPr>
            <w:tcW w:w="1555" w:type="dxa"/>
            <w:vMerge/>
            <w:tcBorders>
              <w:left w:val="single" w:sz="4" w:space="0" w:color="auto"/>
              <w:right w:val="single" w:sz="4" w:space="0" w:color="auto"/>
            </w:tcBorders>
          </w:tcPr>
          <w:p w:rsidR="00D06A2F" w:rsidRPr="007D22C9" w:rsidRDefault="00D06A2F" w:rsidP="00BA1432">
            <w:pPr>
              <w:rPr>
                <w:sz w:val="20"/>
                <w:szCs w:val="20"/>
              </w:rPr>
            </w:pPr>
          </w:p>
        </w:tc>
        <w:tc>
          <w:tcPr>
            <w:tcW w:w="3685" w:type="dxa"/>
            <w:tcBorders>
              <w:left w:val="single" w:sz="4" w:space="0" w:color="auto"/>
            </w:tcBorders>
            <w:shd w:val="clear" w:color="auto" w:fill="auto"/>
          </w:tcPr>
          <w:p w:rsidR="00D06A2F" w:rsidRPr="007D22C9" w:rsidRDefault="00D06A2F" w:rsidP="00DC0475">
            <w:pPr>
              <w:jc w:val="both"/>
              <w:rPr>
                <w:color w:val="000000"/>
                <w:sz w:val="20"/>
                <w:szCs w:val="20"/>
              </w:rPr>
            </w:pPr>
            <w:r w:rsidRPr="007D22C9">
              <w:rPr>
                <w:color w:val="000000"/>
                <w:sz w:val="20"/>
                <w:szCs w:val="20"/>
              </w:rPr>
              <w:t>ГАУЗ «Альметьевская ЦРБ»</w:t>
            </w:r>
          </w:p>
        </w:tc>
        <w:tc>
          <w:tcPr>
            <w:tcW w:w="1994" w:type="dxa"/>
            <w:shd w:val="clear" w:color="auto" w:fill="auto"/>
          </w:tcPr>
          <w:p w:rsidR="00D06A2F" w:rsidRPr="007D22C9" w:rsidRDefault="00D06A2F" w:rsidP="00BA1432">
            <w:pPr>
              <w:jc w:val="center"/>
              <w:rPr>
                <w:color w:val="000000"/>
                <w:sz w:val="20"/>
                <w:szCs w:val="20"/>
              </w:rPr>
            </w:pPr>
            <w:r w:rsidRPr="007D22C9">
              <w:rPr>
                <w:color w:val="000000"/>
                <w:sz w:val="20"/>
                <w:szCs w:val="20"/>
              </w:rPr>
              <w:t>Бронхоскоп</w:t>
            </w:r>
          </w:p>
        </w:tc>
        <w:tc>
          <w:tcPr>
            <w:tcW w:w="1181" w:type="dxa"/>
            <w:shd w:val="clear" w:color="auto" w:fill="auto"/>
          </w:tcPr>
          <w:p w:rsidR="00D06A2F" w:rsidRPr="007D22C9" w:rsidRDefault="00D06A2F" w:rsidP="000546C2">
            <w:pPr>
              <w:jc w:val="center"/>
              <w:rPr>
                <w:sz w:val="20"/>
                <w:szCs w:val="20"/>
              </w:rPr>
            </w:pPr>
            <w:r w:rsidRPr="007D22C9">
              <w:rPr>
                <w:sz w:val="20"/>
                <w:szCs w:val="20"/>
              </w:rPr>
              <w:t>2020</w:t>
            </w:r>
            <w:r w:rsidR="003D79B3" w:rsidRPr="007D22C9">
              <w:rPr>
                <w:sz w:val="20"/>
                <w:szCs w:val="20"/>
              </w:rPr>
              <w:t xml:space="preserve"> </w:t>
            </w:r>
            <w:r w:rsidR="00BC62C6" w:rsidRPr="007D22C9">
              <w:rPr>
                <w:sz w:val="20"/>
                <w:szCs w:val="20"/>
              </w:rPr>
              <w:t>(2)</w:t>
            </w:r>
          </w:p>
        </w:tc>
        <w:tc>
          <w:tcPr>
            <w:tcW w:w="1181" w:type="dxa"/>
            <w:shd w:val="clear" w:color="auto" w:fill="auto"/>
          </w:tcPr>
          <w:p w:rsidR="00D06A2F" w:rsidRPr="007D22C9" w:rsidRDefault="00D06A2F" w:rsidP="000546C2">
            <w:pPr>
              <w:jc w:val="center"/>
              <w:rPr>
                <w:color w:val="000000"/>
                <w:sz w:val="20"/>
                <w:szCs w:val="20"/>
              </w:rPr>
            </w:pPr>
            <w:r w:rsidRPr="007D22C9">
              <w:rPr>
                <w:color w:val="000000"/>
                <w:sz w:val="20"/>
                <w:szCs w:val="20"/>
              </w:rPr>
              <w:t>2</w:t>
            </w:r>
          </w:p>
        </w:tc>
        <w:tc>
          <w:tcPr>
            <w:tcW w:w="1478" w:type="dxa"/>
          </w:tcPr>
          <w:p w:rsidR="00D06A2F" w:rsidRPr="007D22C9" w:rsidRDefault="00D06A2F" w:rsidP="000546C2">
            <w:pPr>
              <w:jc w:val="center"/>
              <w:rPr>
                <w:color w:val="000000"/>
                <w:sz w:val="20"/>
                <w:szCs w:val="20"/>
              </w:rPr>
            </w:pPr>
            <w:r w:rsidRPr="007D22C9">
              <w:rPr>
                <w:color w:val="000000"/>
                <w:sz w:val="20"/>
                <w:szCs w:val="20"/>
              </w:rPr>
              <w:t>1</w:t>
            </w:r>
          </w:p>
        </w:tc>
        <w:tc>
          <w:tcPr>
            <w:tcW w:w="1111" w:type="dxa"/>
          </w:tcPr>
          <w:p w:rsidR="00D06A2F" w:rsidRPr="007D22C9" w:rsidRDefault="00D06A2F" w:rsidP="000546C2">
            <w:pPr>
              <w:jc w:val="center"/>
              <w:rPr>
                <w:color w:val="000000"/>
                <w:sz w:val="20"/>
                <w:szCs w:val="20"/>
              </w:rPr>
            </w:pPr>
            <w:r w:rsidRPr="007D22C9">
              <w:rPr>
                <w:color w:val="000000"/>
                <w:sz w:val="20"/>
                <w:szCs w:val="20"/>
              </w:rPr>
              <w:t>1</w:t>
            </w:r>
          </w:p>
        </w:tc>
        <w:tc>
          <w:tcPr>
            <w:tcW w:w="1944" w:type="dxa"/>
          </w:tcPr>
          <w:p w:rsidR="00D06A2F" w:rsidRPr="007D22C9" w:rsidRDefault="00D06A2F" w:rsidP="00BA1432">
            <w:pPr>
              <w:jc w:val="center"/>
              <w:rPr>
                <w:color w:val="000000"/>
                <w:sz w:val="20"/>
                <w:szCs w:val="20"/>
              </w:rPr>
            </w:pPr>
            <w:r w:rsidRPr="007D22C9">
              <w:rPr>
                <w:color w:val="000000"/>
                <w:sz w:val="20"/>
                <w:szCs w:val="20"/>
              </w:rPr>
              <w:t>Амбулаторное/стационарное</w:t>
            </w:r>
          </w:p>
        </w:tc>
      </w:tr>
      <w:tr w:rsidR="00D06A2F" w:rsidRPr="007D22C9" w:rsidTr="00CD3A6F">
        <w:trPr>
          <w:trHeight w:val="20"/>
        </w:trPr>
        <w:tc>
          <w:tcPr>
            <w:tcW w:w="1555" w:type="dxa"/>
            <w:vMerge/>
            <w:tcBorders>
              <w:left w:val="single" w:sz="4" w:space="0" w:color="auto"/>
              <w:right w:val="single" w:sz="4" w:space="0" w:color="auto"/>
            </w:tcBorders>
          </w:tcPr>
          <w:p w:rsidR="00D06A2F" w:rsidRPr="007D22C9" w:rsidRDefault="00D06A2F" w:rsidP="00BA1432">
            <w:pPr>
              <w:rPr>
                <w:sz w:val="20"/>
                <w:szCs w:val="20"/>
              </w:rPr>
            </w:pPr>
          </w:p>
        </w:tc>
        <w:tc>
          <w:tcPr>
            <w:tcW w:w="3685" w:type="dxa"/>
            <w:tcBorders>
              <w:left w:val="single" w:sz="4" w:space="0" w:color="auto"/>
            </w:tcBorders>
            <w:shd w:val="clear" w:color="auto" w:fill="auto"/>
          </w:tcPr>
          <w:p w:rsidR="00D06A2F" w:rsidRPr="007D22C9" w:rsidRDefault="00D06A2F" w:rsidP="00DC0475">
            <w:pPr>
              <w:jc w:val="both"/>
              <w:rPr>
                <w:color w:val="000000"/>
                <w:sz w:val="20"/>
                <w:szCs w:val="20"/>
              </w:rPr>
            </w:pPr>
            <w:r w:rsidRPr="007D22C9">
              <w:rPr>
                <w:color w:val="000000"/>
                <w:sz w:val="20"/>
                <w:szCs w:val="20"/>
              </w:rPr>
              <w:t>ГАУЗ «Бугульминская ЦРБ»</w:t>
            </w:r>
          </w:p>
        </w:tc>
        <w:tc>
          <w:tcPr>
            <w:tcW w:w="1994" w:type="dxa"/>
            <w:shd w:val="clear" w:color="auto" w:fill="auto"/>
          </w:tcPr>
          <w:p w:rsidR="00D06A2F" w:rsidRPr="007D22C9" w:rsidRDefault="00D06A2F" w:rsidP="00BA1432">
            <w:pPr>
              <w:jc w:val="center"/>
              <w:rPr>
                <w:color w:val="000000"/>
                <w:sz w:val="20"/>
                <w:szCs w:val="20"/>
              </w:rPr>
            </w:pPr>
            <w:r w:rsidRPr="007D22C9">
              <w:rPr>
                <w:color w:val="000000"/>
                <w:sz w:val="20"/>
                <w:szCs w:val="20"/>
              </w:rPr>
              <w:t>Бронхоскоп</w:t>
            </w:r>
          </w:p>
        </w:tc>
        <w:tc>
          <w:tcPr>
            <w:tcW w:w="1181" w:type="dxa"/>
            <w:shd w:val="clear" w:color="auto" w:fill="auto"/>
          </w:tcPr>
          <w:p w:rsidR="00D06A2F" w:rsidRPr="007D22C9" w:rsidRDefault="00D06A2F" w:rsidP="000546C2">
            <w:pPr>
              <w:jc w:val="center"/>
              <w:rPr>
                <w:sz w:val="20"/>
                <w:szCs w:val="20"/>
              </w:rPr>
            </w:pPr>
            <w:r w:rsidRPr="007D22C9">
              <w:rPr>
                <w:sz w:val="20"/>
                <w:szCs w:val="20"/>
              </w:rPr>
              <w:t>2020</w:t>
            </w:r>
            <w:r w:rsidR="003D79B3" w:rsidRPr="007D22C9">
              <w:rPr>
                <w:sz w:val="20"/>
                <w:szCs w:val="20"/>
              </w:rPr>
              <w:t xml:space="preserve"> </w:t>
            </w:r>
            <w:r w:rsidR="00BC62C6" w:rsidRPr="007D22C9">
              <w:rPr>
                <w:sz w:val="20"/>
                <w:szCs w:val="20"/>
              </w:rPr>
              <w:t>(2)</w:t>
            </w:r>
          </w:p>
        </w:tc>
        <w:tc>
          <w:tcPr>
            <w:tcW w:w="1181" w:type="dxa"/>
            <w:shd w:val="clear" w:color="auto" w:fill="auto"/>
          </w:tcPr>
          <w:p w:rsidR="00D06A2F" w:rsidRPr="007D22C9" w:rsidRDefault="00D06A2F" w:rsidP="000546C2">
            <w:pPr>
              <w:jc w:val="center"/>
              <w:rPr>
                <w:color w:val="000000"/>
                <w:sz w:val="20"/>
                <w:szCs w:val="20"/>
              </w:rPr>
            </w:pPr>
            <w:r w:rsidRPr="007D22C9">
              <w:rPr>
                <w:color w:val="000000"/>
                <w:sz w:val="20"/>
                <w:szCs w:val="20"/>
              </w:rPr>
              <w:t>2</w:t>
            </w:r>
          </w:p>
        </w:tc>
        <w:tc>
          <w:tcPr>
            <w:tcW w:w="1478" w:type="dxa"/>
          </w:tcPr>
          <w:p w:rsidR="00D06A2F" w:rsidRPr="007D22C9" w:rsidRDefault="00D06A2F" w:rsidP="000546C2">
            <w:pPr>
              <w:jc w:val="center"/>
              <w:rPr>
                <w:color w:val="000000"/>
                <w:sz w:val="20"/>
                <w:szCs w:val="20"/>
              </w:rPr>
            </w:pPr>
            <w:r w:rsidRPr="007D22C9">
              <w:rPr>
                <w:color w:val="000000"/>
                <w:sz w:val="20"/>
                <w:szCs w:val="20"/>
              </w:rPr>
              <w:t>0,4</w:t>
            </w:r>
          </w:p>
        </w:tc>
        <w:tc>
          <w:tcPr>
            <w:tcW w:w="1111" w:type="dxa"/>
          </w:tcPr>
          <w:p w:rsidR="00D06A2F" w:rsidRPr="007D22C9" w:rsidRDefault="00D06A2F" w:rsidP="000546C2">
            <w:pPr>
              <w:jc w:val="center"/>
              <w:rPr>
                <w:color w:val="000000"/>
                <w:sz w:val="20"/>
                <w:szCs w:val="20"/>
              </w:rPr>
            </w:pPr>
            <w:r w:rsidRPr="007D22C9">
              <w:rPr>
                <w:color w:val="000000"/>
                <w:sz w:val="20"/>
                <w:szCs w:val="20"/>
              </w:rPr>
              <w:t>0</w:t>
            </w:r>
          </w:p>
        </w:tc>
        <w:tc>
          <w:tcPr>
            <w:tcW w:w="1944" w:type="dxa"/>
          </w:tcPr>
          <w:p w:rsidR="00D06A2F" w:rsidRPr="007D22C9" w:rsidRDefault="00D06A2F" w:rsidP="00BA1432">
            <w:pPr>
              <w:jc w:val="center"/>
              <w:rPr>
                <w:color w:val="000000"/>
                <w:sz w:val="20"/>
                <w:szCs w:val="20"/>
              </w:rPr>
            </w:pPr>
            <w:r w:rsidRPr="007D22C9">
              <w:rPr>
                <w:color w:val="000000"/>
                <w:sz w:val="20"/>
                <w:szCs w:val="20"/>
              </w:rPr>
              <w:t>Амбулаторное/стационарное</w:t>
            </w:r>
          </w:p>
        </w:tc>
      </w:tr>
      <w:tr w:rsidR="00D06A2F" w:rsidRPr="007D22C9" w:rsidTr="00CD3A6F">
        <w:trPr>
          <w:trHeight w:val="20"/>
        </w:trPr>
        <w:tc>
          <w:tcPr>
            <w:tcW w:w="1555" w:type="dxa"/>
            <w:vMerge/>
            <w:tcBorders>
              <w:left w:val="single" w:sz="4" w:space="0" w:color="auto"/>
              <w:right w:val="single" w:sz="4" w:space="0" w:color="auto"/>
            </w:tcBorders>
          </w:tcPr>
          <w:p w:rsidR="00D06A2F" w:rsidRPr="007D22C9" w:rsidRDefault="00D06A2F" w:rsidP="00BA1432">
            <w:pPr>
              <w:rPr>
                <w:sz w:val="20"/>
                <w:szCs w:val="20"/>
              </w:rPr>
            </w:pPr>
          </w:p>
        </w:tc>
        <w:tc>
          <w:tcPr>
            <w:tcW w:w="3685" w:type="dxa"/>
            <w:tcBorders>
              <w:left w:val="single" w:sz="4" w:space="0" w:color="auto"/>
            </w:tcBorders>
            <w:shd w:val="clear" w:color="auto" w:fill="auto"/>
          </w:tcPr>
          <w:p w:rsidR="00D06A2F" w:rsidRPr="007D22C9" w:rsidRDefault="00D06A2F" w:rsidP="00DC0475">
            <w:pPr>
              <w:jc w:val="both"/>
              <w:rPr>
                <w:color w:val="000000"/>
                <w:sz w:val="20"/>
                <w:szCs w:val="20"/>
              </w:rPr>
            </w:pPr>
            <w:r w:rsidRPr="007D22C9">
              <w:rPr>
                <w:color w:val="000000"/>
                <w:sz w:val="20"/>
                <w:szCs w:val="20"/>
              </w:rPr>
              <w:t>ГАУЗ «Буинская ЦРБ»</w:t>
            </w:r>
          </w:p>
        </w:tc>
        <w:tc>
          <w:tcPr>
            <w:tcW w:w="1994" w:type="dxa"/>
            <w:shd w:val="clear" w:color="auto" w:fill="auto"/>
          </w:tcPr>
          <w:p w:rsidR="00D06A2F" w:rsidRPr="007D22C9" w:rsidRDefault="00D06A2F" w:rsidP="00BA1432">
            <w:pPr>
              <w:jc w:val="center"/>
              <w:rPr>
                <w:color w:val="000000"/>
                <w:sz w:val="20"/>
                <w:szCs w:val="20"/>
              </w:rPr>
            </w:pPr>
            <w:r w:rsidRPr="007D22C9">
              <w:rPr>
                <w:color w:val="000000"/>
                <w:sz w:val="20"/>
                <w:szCs w:val="20"/>
              </w:rPr>
              <w:t>Бронхоскоп</w:t>
            </w:r>
          </w:p>
        </w:tc>
        <w:tc>
          <w:tcPr>
            <w:tcW w:w="1181" w:type="dxa"/>
            <w:shd w:val="clear" w:color="auto" w:fill="auto"/>
          </w:tcPr>
          <w:p w:rsidR="00D06A2F" w:rsidRPr="007D22C9" w:rsidRDefault="00D06A2F" w:rsidP="000546C2">
            <w:pPr>
              <w:jc w:val="center"/>
              <w:rPr>
                <w:sz w:val="20"/>
                <w:szCs w:val="20"/>
              </w:rPr>
            </w:pPr>
            <w:r w:rsidRPr="007D22C9">
              <w:rPr>
                <w:sz w:val="20"/>
                <w:szCs w:val="20"/>
              </w:rPr>
              <w:t>2021</w:t>
            </w:r>
            <w:r w:rsidR="003D79B3" w:rsidRPr="007D22C9">
              <w:rPr>
                <w:sz w:val="20"/>
                <w:szCs w:val="20"/>
              </w:rPr>
              <w:t xml:space="preserve"> </w:t>
            </w:r>
            <w:r w:rsidR="00BC62C6" w:rsidRPr="007D22C9">
              <w:rPr>
                <w:sz w:val="20"/>
                <w:szCs w:val="20"/>
              </w:rPr>
              <w:t>(1)</w:t>
            </w:r>
          </w:p>
          <w:p w:rsidR="00D06A2F" w:rsidRPr="007D22C9" w:rsidRDefault="00D06A2F" w:rsidP="000546C2">
            <w:pPr>
              <w:jc w:val="center"/>
              <w:rPr>
                <w:sz w:val="20"/>
                <w:szCs w:val="20"/>
              </w:rPr>
            </w:pPr>
            <w:r w:rsidRPr="007D22C9">
              <w:rPr>
                <w:sz w:val="20"/>
                <w:szCs w:val="20"/>
              </w:rPr>
              <w:t>2022</w:t>
            </w:r>
            <w:r w:rsidR="003D79B3" w:rsidRPr="007D22C9">
              <w:rPr>
                <w:sz w:val="20"/>
                <w:szCs w:val="20"/>
              </w:rPr>
              <w:t xml:space="preserve"> </w:t>
            </w:r>
            <w:r w:rsidR="00BC62C6" w:rsidRPr="007D22C9">
              <w:rPr>
                <w:sz w:val="20"/>
                <w:szCs w:val="20"/>
              </w:rPr>
              <w:t>(1)</w:t>
            </w:r>
          </w:p>
        </w:tc>
        <w:tc>
          <w:tcPr>
            <w:tcW w:w="1181" w:type="dxa"/>
            <w:shd w:val="clear" w:color="auto" w:fill="auto"/>
          </w:tcPr>
          <w:p w:rsidR="00D06A2F" w:rsidRPr="007D22C9" w:rsidRDefault="00D06A2F" w:rsidP="000546C2">
            <w:pPr>
              <w:jc w:val="center"/>
              <w:rPr>
                <w:color w:val="000000"/>
                <w:sz w:val="20"/>
                <w:szCs w:val="20"/>
              </w:rPr>
            </w:pPr>
            <w:r w:rsidRPr="007D22C9">
              <w:rPr>
                <w:color w:val="000000"/>
                <w:sz w:val="20"/>
                <w:szCs w:val="20"/>
              </w:rPr>
              <w:t>2</w:t>
            </w:r>
          </w:p>
        </w:tc>
        <w:tc>
          <w:tcPr>
            <w:tcW w:w="1478" w:type="dxa"/>
          </w:tcPr>
          <w:p w:rsidR="00D06A2F" w:rsidRPr="007D22C9" w:rsidRDefault="00D06A2F" w:rsidP="000546C2">
            <w:pPr>
              <w:jc w:val="center"/>
              <w:rPr>
                <w:color w:val="000000"/>
                <w:sz w:val="20"/>
                <w:szCs w:val="20"/>
              </w:rPr>
            </w:pPr>
            <w:r w:rsidRPr="007D22C9">
              <w:rPr>
                <w:color w:val="000000"/>
                <w:sz w:val="20"/>
                <w:szCs w:val="20"/>
              </w:rPr>
              <w:t>0</w:t>
            </w:r>
          </w:p>
        </w:tc>
        <w:tc>
          <w:tcPr>
            <w:tcW w:w="1111" w:type="dxa"/>
          </w:tcPr>
          <w:p w:rsidR="00D06A2F" w:rsidRPr="007D22C9" w:rsidRDefault="00D06A2F" w:rsidP="000546C2">
            <w:pPr>
              <w:jc w:val="center"/>
              <w:rPr>
                <w:color w:val="000000"/>
                <w:sz w:val="20"/>
                <w:szCs w:val="20"/>
              </w:rPr>
            </w:pPr>
            <w:r w:rsidRPr="007D22C9">
              <w:rPr>
                <w:color w:val="000000"/>
                <w:sz w:val="20"/>
                <w:szCs w:val="20"/>
              </w:rPr>
              <w:t>0</w:t>
            </w:r>
          </w:p>
        </w:tc>
        <w:tc>
          <w:tcPr>
            <w:tcW w:w="1944" w:type="dxa"/>
          </w:tcPr>
          <w:p w:rsidR="00D06A2F" w:rsidRPr="007D22C9" w:rsidRDefault="00D06A2F" w:rsidP="00BA1432">
            <w:pPr>
              <w:jc w:val="center"/>
              <w:rPr>
                <w:color w:val="000000"/>
                <w:sz w:val="20"/>
                <w:szCs w:val="20"/>
              </w:rPr>
            </w:pPr>
            <w:r w:rsidRPr="007D22C9">
              <w:rPr>
                <w:color w:val="000000"/>
                <w:sz w:val="20"/>
                <w:szCs w:val="20"/>
              </w:rPr>
              <w:t>Амбулаторное/стационарное</w:t>
            </w:r>
          </w:p>
        </w:tc>
      </w:tr>
      <w:tr w:rsidR="00D06A2F" w:rsidRPr="007D22C9" w:rsidTr="00CD3A6F">
        <w:trPr>
          <w:trHeight w:val="20"/>
        </w:trPr>
        <w:tc>
          <w:tcPr>
            <w:tcW w:w="1555" w:type="dxa"/>
            <w:vMerge/>
            <w:tcBorders>
              <w:left w:val="single" w:sz="4" w:space="0" w:color="auto"/>
              <w:right w:val="single" w:sz="4" w:space="0" w:color="auto"/>
            </w:tcBorders>
          </w:tcPr>
          <w:p w:rsidR="00D06A2F" w:rsidRPr="007D22C9" w:rsidRDefault="00D06A2F" w:rsidP="00BA1432">
            <w:pPr>
              <w:rPr>
                <w:sz w:val="20"/>
                <w:szCs w:val="20"/>
              </w:rPr>
            </w:pPr>
          </w:p>
        </w:tc>
        <w:tc>
          <w:tcPr>
            <w:tcW w:w="3685" w:type="dxa"/>
            <w:tcBorders>
              <w:left w:val="single" w:sz="4" w:space="0" w:color="auto"/>
            </w:tcBorders>
            <w:shd w:val="clear" w:color="auto" w:fill="auto"/>
          </w:tcPr>
          <w:p w:rsidR="00D06A2F" w:rsidRPr="007D22C9" w:rsidRDefault="00D06A2F" w:rsidP="00DC0475">
            <w:pPr>
              <w:jc w:val="both"/>
              <w:rPr>
                <w:color w:val="000000"/>
                <w:sz w:val="20"/>
                <w:szCs w:val="20"/>
              </w:rPr>
            </w:pPr>
            <w:r w:rsidRPr="007D22C9">
              <w:rPr>
                <w:color w:val="000000"/>
                <w:sz w:val="20"/>
                <w:szCs w:val="20"/>
              </w:rPr>
              <w:t>ГАУЗ «Елабужская ЦРБ»</w:t>
            </w:r>
          </w:p>
        </w:tc>
        <w:tc>
          <w:tcPr>
            <w:tcW w:w="1994" w:type="dxa"/>
            <w:shd w:val="clear" w:color="auto" w:fill="auto"/>
          </w:tcPr>
          <w:p w:rsidR="00D06A2F" w:rsidRPr="007D22C9" w:rsidRDefault="00D06A2F" w:rsidP="00BA1432">
            <w:pPr>
              <w:jc w:val="center"/>
              <w:rPr>
                <w:color w:val="000000"/>
                <w:sz w:val="20"/>
                <w:szCs w:val="20"/>
              </w:rPr>
            </w:pPr>
            <w:r w:rsidRPr="007D22C9">
              <w:rPr>
                <w:color w:val="000000"/>
                <w:sz w:val="20"/>
                <w:szCs w:val="20"/>
              </w:rPr>
              <w:t>Бронхоскоп</w:t>
            </w:r>
          </w:p>
        </w:tc>
        <w:tc>
          <w:tcPr>
            <w:tcW w:w="1181" w:type="dxa"/>
            <w:shd w:val="clear" w:color="auto" w:fill="auto"/>
          </w:tcPr>
          <w:p w:rsidR="00D06A2F" w:rsidRPr="007D22C9" w:rsidRDefault="00D06A2F" w:rsidP="000546C2">
            <w:pPr>
              <w:jc w:val="center"/>
              <w:rPr>
                <w:sz w:val="20"/>
                <w:szCs w:val="20"/>
              </w:rPr>
            </w:pPr>
            <w:r w:rsidRPr="007D22C9">
              <w:rPr>
                <w:sz w:val="20"/>
                <w:szCs w:val="20"/>
              </w:rPr>
              <w:t>2011</w:t>
            </w:r>
            <w:r w:rsidR="003D79B3" w:rsidRPr="007D22C9">
              <w:rPr>
                <w:sz w:val="20"/>
                <w:szCs w:val="20"/>
              </w:rPr>
              <w:t xml:space="preserve"> </w:t>
            </w:r>
            <w:r w:rsidR="00FA2076" w:rsidRPr="007D22C9">
              <w:rPr>
                <w:sz w:val="20"/>
                <w:szCs w:val="20"/>
              </w:rPr>
              <w:t>(1)</w:t>
            </w:r>
          </w:p>
          <w:p w:rsidR="00D06A2F" w:rsidRPr="007D22C9" w:rsidRDefault="00D06A2F" w:rsidP="000546C2">
            <w:pPr>
              <w:jc w:val="center"/>
              <w:rPr>
                <w:sz w:val="20"/>
                <w:szCs w:val="20"/>
              </w:rPr>
            </w:pPr>
            <w:r w:rsidRPr="007D22C9">
              <w:rPr>
                <w:sz w:val="20"/>
                <w:szCs w:val="20"/>
              </w:rPr>
              <w:t>2021</w:t>
            </w:r>
            <w:r w:rsidR="003D79B3" w:rsidRPr="007D22C9">
              <w:rPr>
                <w:sz w:val="20"/>
                <w:szCs w:val="20"/>
              </w:rPr>
              <w:t xml:space="preserve"> </w:t>
            </w:r>
            <w:r w:rsidR="00FA2076" w:rsidRPr="007D22C9">
              <w:rPr>
                <w:sz w:val="20"/>
                <w:szCs w:val="20"/>
              </w:rPr>
              <w:t>(2)</w:t>
            </w:r>
          </w:p>
        </w:tc>
        <w:tc>
          <w:tcPr>
            <w:tcW w:w="1181" w:type="dxa"/>
            <w:shd w:val="clear" w:color="auto" w:fill="auto"/>
          </w:tcPr>
          <w:p w:rsidR="00D06A2F" w:rsidRPr="007D22C9" w:rsidRDefault="00D06A2F" w:rsidP="000546C2">
            <w:pPr>
              <w:jc w:val="center"/>
              <w:rPr>
                <w:color w:val="000000"/>
                <w:sz w:val="20"/>
                <w:szCs w:val="20"/>
              </w:rPr>
            </w:pPr>
            <w:r w:rsidRPr="007D22C9">
              <w:rPr>
                <w:color w:val="000000"/>
                <w:sz w:val="20"/>
                <w:szCs w:val="20"/>
              </w:rPr>
              <w:t>3</w:t>
            </w:r>
          </w:p>
        </w:tc>
        <w:tc>
          <w:tcPr>
            <w:tcW w:w="1478" w:type="dxa"/>
          </w:tcPr>
          <w:p w:rsidR="00D06A2F" w:rsidRPr="007D22C9" w:rsidRDefault="00D06A2F" w:rsidP="000546C2">
            <w:pPr>
              <w:jc w:val="center"/>
              <w:rPr>
                <w:color w:val="000000"/>
                <w:sz w:val="20"/>
                <w:szCs w:val="20"/>
              </w:rPr>
            </w:pPr>
            <w:r w:rsidRPr="007D22C9">
              <w:rPr>
                <w:color w:val="000000"/>
                <w:sz w:val="20"/>
                <w:szCs w:val="20"/>
              </w:rPr>
              <w:t>96</w:t>
            </w:r>
          </w:p>
        </w:tc>
        <w:tc>
          <w:tcPr>
            <w:tcW w:w="1111" w:type="dxa"/>
          </w:tcPr>
          <w:p w:rsidR="00D06A2F" w:rsidRPr="007D22C9" w:rsidRDefault="00D06A2F" w:rsidP="000546C2">
            <w:pPr>
              <w:jc w:val="center"/>
              <w:rPr>
                <w:color w:val="000000"/>
                <w:sz w:val="20"/>
                <w:szCs w:val="20"/>
              </w:rPr>
            </w:pPr>
            <w:r w:rsidRPr="007D22C9">
              <w:rPr>
                <w:color w:val="000000"/>
                <w:sz w:val="20"/>
                <w:szCs w:val="20"/>
              </w:rPr>
              <w:t>1</w:t>
            </w:r>
          </w:p>
        </w:tc>
        <w:tc>
          <w:tcPr>
            <w:tcW w:w="1944" w:type="dxa"/>
          </w:tcPr>
          <w:p w:rsidR="00D06A2F" w:rsidRPr="007D22C9" w:rsidRDefault="00D06A2F" w:rsidP="00BA1432">
            <w:pPr>
              <w:jc w:val="center"/>
              <w:rPr>
                <w:color w:val="000000"/>
                <w:sz w:val="20"/>
                <w:szCs w:val="20"/>
              </w:rPr>
            </w:pPr>
            <w:r w:rsidRPr="007D22C9">
              <w:rPr>
                <w:color w:val="000000"/>
                <w:sz w:val="20"/>
                <w:szCs w:val="20"/>
              </w:rPr>
              <w:t>Амбулаторное/стационарное</w:t>
            </w:r>
          </w:p>
        </w:tc>
      </w:tr>
      <w:tr w:rsidR="00D06A2F" w:rsidRPr="007D22C9" w:rsidTr="00CD3A6F">
        <w:trPr>
          <w:trHeight w:val="20"/>
        </w:trPr>
        <w:tc>
          <w:tcPr>
            <w:tcW w:w="1555" w:type="dxa"/>
            <w:vMerge/>
            <w:tcBorders>
              <w:left w:val="single" w:sz="4" w:space="0" w:color="auto"/>
              <w:right w:val="single" w:sz="4" w:space="0" w:color="auto"/>
            </w:tcBorders>
          </w:tcPr>
          <w:p w:rsidR="00D06A2F" w:rsidRPr="007D22C9" w:rsidRDefault="00D06A2F" w:rsidP="00BA1432">
            <w:pPr>
              <w:rPr>
                <w:sz w:val="20"/>
                <w:szCs w:val="20"/>
              </w:rPr>
            </w:pPr>
          </w:p>
        </w:tc>
        <w:tc>
          <w:tcPr>
            <w:tcW w:w="3685" w:type="dxa"/>
            <w:tcBorders>
              <w:left w:val="single" w:sz="4" w:space="0" w:color="auto"/>
            </w:tcBorders>
            <w:shd w:val="clear" w:color="auto" w:fill="auto"/>
          </w:tcPr>
          <w:p w:rsidR="00D06A2F" w:rsidRPr="007D22C9" w:rsidRDefault="00D06A2F" w:rsidP="00DC0475">
            <w:pPr>
              <w:jc w:val="both"/>
              <w:rPr>
                <w:color w:val="000000"/>
                <w:sz w:val="20"/>
                <w:szCs w:val="20"/>
              </w:rPr>
            </w:pPr>
            <w:r w:rsidRPr="007D22C9">
              <w:rPr>
                <w:color w:val="000000"/>
                <w:sz w:val="20"/>
                <w:szCs w:val="20"/>
              </w:rPr>
              <w:t>ГАУЗ «Зеленодольская ЦРБ»</w:t>
            </w:r>
          </w:p>
        </w:tc>
        <w:tc>
          <w:tcPr>
            <w:tcW w:w="1994" w:type="dxa"/>
            <w:shd w:val="clear" w:color="auto" w:fill="auto"/>
          </w:tcPr>
          <w:p w:rsidR="00D06A2F" w:rsidRPr="007D22C9" w:rsidRDefault="00D06A2F" w:rsidP="00BA1432">
            <w:pPr>
              <w:jc w:val="center"/>
              <w:rPr>
                <w:color w:val="000000"/>
                <w:sz w:val="20"/>
                <w:szCs w:val="20"/>
              </w:rPr>
            </w:pPr>
            <w:r w:rsidRPr="007D22C9">
              <w:rPr>
                <w:color w:val="000000"/>
                <w:sz w:val="20"/>
                <w:szCs w:val="20"/>
              </w:rPr>
              <w:t>Бронхоскоп</w:t>
            </w:r>
          </w:p>
        </w:tc>
        <w:tc>
          <w:tcPr>
            <w:tcW w:w="1181" w:type="dxa"/>
            <w:shd w:val="clear" w:color="auto" w:fill="auto"/>
          </w:tcPr>
          <w:p w:rsidR="00D06A2F" w:rsidRPr="007D22C9" w:rsidRDefault="00D06A2F" w:rsidP="000546C2">
            <w:pPr>
              <w:jc w:val="center"/>
              <w:rPr>
                <w:sz w:val="20"/>
                <w:szCs w:val="20"/>
              </w:rPr>
            </w:pPr>
            <w:r w:rsidRPr="007D22C9">
              <w:rPr>
                <w:sz w:val="20"/>
                <w:szCs w:val="20"/>
              </w:rPr>
              <w:t>2011</w:t>
            </w:r>
            <w:r w:rsidR="003D79B3" w:rsidRPr="007D22C9">
              <w:rPr>
                <w:sz w:val="20"/>
                <w:szCs w:val="20"/>
              </w:rPr>
              <w:t xml:space="preserve"> </w:t>
            </w:r>
            <w:r w:rsidR="00FA2076" w:rsidRPr="007D22C9">
              <w:rPr>
                <w:sz w:val="20"/>
                <w:szCs w:val="20"/>
              </w:rPr>
              <w:t>(1)</w:t>
            </w:r>
          </w:p>
          <w:p w:rsidR="00D06A2F" w:rsidRPr="007D22C9" w:rsidRDefault="00D06A2F" w:rsidP="000546C2">
            <w:pPr>
              <w:jc w:val="center"/>
              <w:rPr>
                <w:sz w:val="20"/>
                <w:szCs w:val="20"/>
              </w:rPr>
            </w:pPr>
            <w:r w:rsidRPr="007D22C9">
              <w:rPr>
                <w:sz w:val="20"/>
                <w:szCs w:val="20"/>
              </w:rPr>
              <w:t>2020</w:t>
            </w:r>
            <w:r w:rsidR="003D79B3" w:rsidRPr="007D22C9">
              <w:rPr>
                <w:sz w:val="20"/>
                <w:szCs w:val="20"/>
              </w:rPr>
              <w:t xml:space="preserve"> </w:t>
            </w:r>
            <w:r w:rsidR="00FA2076" w:rsidRPr="007D22C9">
              <w:rPr>
                <w:sz w:val="20"/>
                <w:szCs w:val="20"/>
              </w:rPr>
              <w:t>(1)</w:t>
            </w:r>
          </w:p>
          <w:p w:rsidR="00D06A2F" w:rsidRPr="007D22C9" w:rsidRDefault="00D06A2F" w:rsidP="000546C2">
            <w:pPr>
              <w:jc w:val="center"/>
              <w:rPr>
                <w:sz w:val="20"/>
                <w:szCs w:val="20"/>
              </w:rPr>
            </w:pPr>
            <w:r w:rsidRPr="007D22C9">
              <w:rPr>
                <w:sz w:val="20"/>
                <w:szCs w:val="20"/>
              </w:rPr>
              <w:t>2021</w:t>
            </w:r>
            <w:r w:rsidR="003D79B3" w:rsidRPr="007D22C9">
              <w:rPr>
                <w:sz w:val="20"/>
                <w:szCs w:val="20"/>
              </w:rPr>
              <w:t xml:space="preserve"> </w:t>
            </w:r>
            <w:r w:rsidR="00FA2076" w:rsidRPr="007D22C9">
              <w:rPr>
                <w:sz w:val="20"/>
                <w:szCs w:val="20"/>
              </w:rPr>
              <w:t>(1)</w:t>
            </w:r>
          </w:p>
        </w:tc>
        <w:tc>
          <w:tcPr>
            <w:tcW w:w="1181" w:type="dxa"/>
            <w:shd w:val="clear" w:color="auto" w:fill="auto"/>
          </w:tcPr>
          <w:p w:rsidR="00D06A2F" w:rsidRPr="007D22C9" w:rsidRDefault="00D06A2F" w:rsidP="000546C2">
            <w:pPr>
              <w:jc w:val="center"/>
              <w:rPr>
                <w:color w:val="000000"/>
                <w:sz w:val="20"/>
                <w:szCs w:val="20"/>
              </w:rPr>
            </w:pPr>
            <w:r w:rsidRPr="007D22C9">
              <w:rPr>
                <w:color w:val="000000"/>
                <w:sz w:val="20"/>
                <w:szCs w:val="20"/>
              </w:rPr>
              <w:t>3</w:t>
            </w:r>
          </w:p>
        </w:tc>
        <w:tc>
          <w:tcPr>
            <w:tcW w:w="1478" w:type="dxa"/>
          </w:tcPr>
          <w:p w:rsidR="00D06A2F" w:rsidRPr="007D22C9" w:rsidRDefault="00D06A2F" w:rsidP="000546C2">
            <w:pPr>
              <w:jc w:val="center"/>
              <w:rPr>
                <w:color w:val="000000"/>
                <w:sz w:val="20"/>
                <w:szCs w:val="20"/>
              </w:rPr>
            </w:pPr>
            <w:r w:rsidRPr="007D22C9">
              <w:rPr>
                <w:color w:val="000000"/>
                <w:sz w:val="20"/>
                <w:szCs w:val="20"/>
              </w:rPr>
              <w:t>0,5</w:t>
            </w:r>
          </w:p>
        </w:tc>
        <w:tc>
          <w:tcPr>
            <w:tcW w:w="1111" w:type="dxa"/>
          </w:tcPr>
          <w:p w:rsidR="00D06A2F" w:rsidRPr="007D22C9" w:rsidRDefault="00D06A2F" w:rsidP="000546C2">
            <w:pPr>
              <w:jc w:val="center"/>
              <w:rPr>
                <w:color w:val="000000"/>
                <w:sz w:val="20"/>
                <w:szCs w:val="20"/>
              </w:rPr>
            </w:pPr>
            <w:r w:rsidRPr="007D22C9">
              <w:rPr>
                <w:color w:val="000000"/>
                <w:sz w:val="20"/>
                <w:szCs w:val="20"/>
              </w:rPr>
              <w:t>1</w:t>
            </w:r>
          </w:p>
        </w:tc>
        <w:tc>
          <w:tcPr>
            <w:tcW w:w="1944" w:type="dxa"/>
          </w:tcPr>
          <w:p w:rsidR="00D06A2F" w:rsidRPr="007D22C9" w:rsidRDefault="00D06A2F" w:rsidP="00BA1432">
            <w:pPr>
              <w:jc w:val="center"/>
              <w:rPr>
                <w:color w:val="000000"/>
                <w:sz w:val="20"/>
                <w:szCs w:val="20"/>
              </w:rPr>
            </w:pPr>
            <w:r w:rsidRPr="007D22C9">
              <w:rPr>
                <w:color w:val="000000"/>
                <w:sz w:val="20"/>
                <w:szCs w:val="20"/>
              </w:rPr>
              <w:t>Амбулаторное/стационарное</w:t>
            </w:r>
          </w:p>
        </w:tc>
      </w:tr>
      <w:tr w:rsidR="00D06A2F" w:rsidRPr="007D22C9" w:rsidTr="00CD3A6F">
        <w:trPr>
          <w:trHeight w:val="20"/>
        </w:trPr>
        <w:tc>
          <w:tcPr>
            <w:tcW w:w="1555" w:type="dxa"/>
            <w:vMerge/>
            <w:tcBorders>
              <w:left w:val="single" w:sz="4" w:space="0" w:color="auto"/>
              <w:right w:val="single" w:sz="4" w:space="0" w:color="auto"/>
            </w:tcBorders>
          </w:tcPr>
          <w:p w:rsidR="00D06A2F" w:rsidRPr="007D22C9" w:rsidRDefault="00D06A2F" w:rsidP="00BA1432">
            <w:pPr>
              <w:rPr>
                <w:sz w:val="20"/>
                <w:szCs w:val="20"/>
              </w:rPr>
            </w:pPr>
          </w:p>
        </w:tc>
        <w:tc>
          <w:tcPr>
            <w:tcW w:w="3685" w:type="dxa"/>
            <w:tcBorders>
              <w:left w:val="single" w:sz="4" w:space="0" w:color="auto"/>
            </w:tcBorders>
            <w:shd w:val="clear" w:color="auto" w:fill="auto"/>
          </w:tcPr>
          <w:p w:rsidR="00D06A2F" w:rsidRPr="007D22C9" w:rsidRDefault="00D06A2F" w:rsidP="00DC0475">
            <w:pPr>
              <w:jc w:val="both"/>
              <w:rPr>
                <w:color w:val="000000"/>
                <w:sz w:val="20"/>
                <w:szCs w:val="20"/>
              </w:rPr>
            </w:pPr>
            <w:r w:rsidRPr="007D22C9">
              <w:rPr>
                <w:color w:val="000000"/>
                <w:sz w:val="20"/>
                <w:szCs w:val="20"/>
              </w:rPr>
              <w:t>ГАУЗ «Мамадышская ЦРБ»</w:t>
            </w:r>
          </w:p>
        </w:tc>
        <w:tc>
          <w:tcPr>
            <w:tcW w:w="1994" w:type="dxa"/>
            <w:shd w:val="clear" w:color="auto" w:fill="auto"/>
          </w:tcPr>
          <w:p w:rsidR="00D06A2F" w:rsidRPr="007D22C9" w:rsidRDefault="00D06A2F" w:rsidP="00BA1432">
            <w:pPr>
              <w:jc w:val="center"/>
              <w:rPr>
                <w:color w:val="000000"/>
                <w:sz w:val="20"/>
                <w:szCs w:val="20"/>
              </w:rPr>
            </w:pPr>
            <w:r w:rsidRPr="007D22C9">
              <w:rPr>
                <w:color w:val="000000"/>
                <w:sz w:val="20"/>
                <w:szCs w:val="20"/>
              </w:rPr>
              <w:t>Бронхоскоп</w:t>
            </w:r>
          </w:p>
        </w:tc>
        <w:tc>
          <w:tcPr>
            <w:tcW w:w="1181" w:type="dxa"/>
            <w:shd w:val="clear" w:color="auto" w:fill="auto"/>
          </w:tcPr>
          <w:p w:rsidR="00D06A2F" w:rsidRPr="007D22C9" w:rsidRDefault="00D06A2F" w:rsidP="000546C2">
            <w:pPr>
              <w:jc w:val="center"/>
              <w:rPr>
                <w:sz w:val="20"/>
                <w:szCs w:val="20"/>
              </w:rPr>
            </w:pPr>
            <w:r w:rsidRPr="007D22C9">
              <w:rPr>
                <w:sz w:val="20"/>
                <w:szCs w:val="20"/>
              </w:rPr>
              <w:t>2021</w:t>
            </w:r>
            <w:r w:rsidR="003D79B3" w:rsidRPr="007D22C9">
              <w:rPr>
                <w:sz w:val="20"/>
                <w:szCs w:val="20"/>
              </w:rPr>
              <w:t xml:space="preserve"> </w:t>
            </w:r>
            <w:r w:rsidR="00FA2076" w:rsidRPr="007D22C9">
              <w:rPr>
                <w:sz w:val="20"/>
                <w:szCs w:val="20"/>
              </w:rPr>
              <w:t>(2)</w:t>
            </w:r>
          </w:p>
        </w:tc>
        <w:tc>
          <w:tcPr>
            <w:tcW w:w="1181" w:type="dxa"/>
            <w:shd w:val="clear" w:color="auto" w:fill="auto"/>
          </w:tcPr>
          <w:p w:rsidR="00D06A2F" w:rsidRPr="007D22C9" w:rsidRDefault="00D06A2F" w:rsidP="000546C2">
            <w:pPr>
              <w:jc w:val="center"/>
              <w:rPr>
                <w:color w:val="000000"/>
                <w:sz w:val="20"/>
                <w:szCs w:val="20"/>
              </w:rPr>
            </w:pPr>
            <w:r w:rsidRPr="007D22C9">
              <w:rPr>
                <w:color w:val="000000"/>
                <w:sz w:val="20"/>
                <w:szCs w:val="20"/>
              </w:rPr>
              <w:t>2</w:t>
            </w:r>
          </w:p>
        </w:tc>
        <w:tc>
          <w:tcPr>
            <w:tcW w:w="1478" w:type="dxa"/>
          </w:tcPr>
          <w:p w:rsidR="00D06A2F" w:rsidRPr="007D22C9" w:rsidRDefault="00D06A2F" w:rsidP="000546C2">
            <w:pPr>
              <w:jc w:val="center"/>
              <w:rPr>
                <w:color w:val="000000"/>
                <w:sz w:val="20"/>
                <w:szCs w:val="20"/>
              </w:rPr>
            </w:pPr>
            <w:r w:rsidRPr="007D22C9">
              <w:rPr>
                <w:color w:val="000000"/>
                <w:sz w:val="20"/>
                <w:szCs w:val="20"/>
              </w:rPr>
              <w:t>0,07</w:t>
            </w:r>
          </w:p>
        </w:tc>
        <w:tc>
          <w:tcPr>
            <w:tcW w:w="1111" w:type="dxa"/>
          </w:tcPr>
          <w:p w:rsidR="00D06A2F" w:rsidRPr="007D22C9" w:rsidRDefault="00D06A2F" w:rsidP="000546C2">
            <w:pPr>
              <w:jc w:val="center"/>
              <w:rPr>
                <w:color w:val="000000"/>
                <w:sz w:val="20"/>
                <w:szCs w:val="20"/>
              </w:rPr>
            </w:pPr>
            <w:r w:rsidRPr="007D22C9">
              <w:rPr>
                <w:color w:val="000000"/>
                <w:sz w:val="20"/>
                <w:szCs w:val="20"/>
              </w:rPr>
              <w:t>1</w:t>
            </w:r>
          </w:p>
        </w:tc>
        <w:tc>
          <w:tcPr>
            <w:tcW w:w="1944" w:type="dxa"/>
          </w:tcPr>
          <w:p w:rsidR="00D06A2F" w:rsidRPr="007D22C9" w:rsidRDefault="00D06A2F" w:rsidP="00BA1432">
            <w:pPr>
              <w:jc w:val="center"/>
              <w:rPr>
                <w:color w:val="000000"/>
                <w:sz w:val="20"/>
                <w:szCs w:val="20"/>
              </w:rPr>
            </w:pPr>
            <w:r w:rsidRPr="007D22C9">
              <w:rPr>
                <w:color w:val="000000"/>
                <w:sz w:val="20"/>
                <w:szCs w:val="20"/>
              </w:rPr>
              <w:t>Амбулаторное</w:t>
            </w:r>
          </w:p>
        </w:tc>
      </w:tr>
      <w:tr w:rsidR="00D06A2F" w:rsidRPr="007D22C9" w:rsidTr="00CD3A6F">
        <w:trPr>
          <w:trHeight w:val="20"/>
        </w:trPr>
        <w:tc>
          <w:tcPr>
            <w:tcW w:w="1555" w:type="dxa"/>
            <w:vMerge/>
            <w:tcBorders>
              <w:left w:val="single" w:sz="4" w:space="0" w:color="auto"/>
              <w:right w:val="single" w:sz="4" w:space="0" w:color="auto"/>
            </w:tcBorders>
          </w:tcPr>
          <w:p w:rsidR="00D06A2F" w:rsidRPr="007D22C9" w:rsidRDefault="00D06A2F" w:rsidP="00BA1432">
            <w:pPr>
              <w:rPr>
                <w:sz w:val="20"/>
                <w:szCs w:val="20"/>
              </w:rPr>
            </w:pPr>
          </w:p>
        </w:tc>
        <w:tc>
          <w:tcPr>
            <w:tcW w:w="3685" w:type="dxa"/>
            <w:tcBorders>
              <w:left w:val="single" w:sz="4" w:space="0" w:color="auto"/>
            </w:tcBorders>
            <w:shd w:val="clear" w:color="auto" w:fill="auto"/>
          </w:tcPr>
          <w:p w:rsidR="00D06A2F" w:rsidRPr="007D22C9" w:rsidRDefault="00D06A2F" w:rsidP="00DC0475">
            <w:pPr>
              <w:jc w:val="both"/>
              <w:rPr>
                <w:color w:val="000000"/>
                <w:sz w:val="20"/>
                <w:szCs w:val="20"/>
              </w:rPr>
            </w:pPr>
            <w:r w:rsidRPr="007D22C9">
              <w:rPr>
                <w:color w:val="000000"/>
                <w:sz w:val="20"/>
                <w:szCs w:val="20"/>
              </w:rPr>
              <w:t>ГАУЗ «Менделеевская ЦРБ»</w:t>
            </w:r>
          </w:p>
        </w:tc>
        <w:tc>
          <w:tcPr>
            <w:tcW w:w="1994" w:type="dxa"/>
            <w:shd w:val="clear" w:color="auto" w:fill="auto"/>
          </w:tcPr>
          <w:p w:rsidR="00D06A2F" w:rsidRPr="007D22C9" w:rsidRDefault="00D06A2F" w:rsidP="00BA1432">
            <w:pPr>
              <w:jc w:val="center"/>
              <w:rPr>
                <w:color w:val="000000"/>
                <w:sz w:val="20"/>
                <w:szCs w:val="20"/>
              </w:rPr>
            </w:pPr>
            <w:r w:rsidRPr="007D22C9">
              <w:rPr>
                <w:color w:val="000000"/>
                <w:sz w:val="20"/>
                <w:szCs w:val="20"/>
              </w:rPr>
              <w:t>Бронхоскоп</w:t>
            </w:r>
          </w:p>
        </w:tc>
        <w:tc>
          <w:tcPr>
            <w:tcW w:w="1181" w:type="dxa"/>
            <w:shd w:val="clear" w:color="auto" w:fill="auto"/>
          </w:tcPr>
          <w:p w:rsidR="00D06A2F" w:rsidRPr="007D22C9" w:rsidRDefault="00D06A2F" w:rsidP="000546C2">
            <w:pPr>
              <w:jc w:val="center"/>
              <w:rPr>
                <w:sz w:val="20"/>
                <w:szCs w:val="20"/>
              </w:rPr>
            </w:pPr>
            <w:r w:rsidRPr="007D22C9">
              <w:rPr>
                <w:sz w:val="20"/>
                <w:szCs w:val="20"/>
              </w:rPr>
              <w:t>2016</w:t>
            </w:r>
          </w:p>
        </w:tc>
        <w:tc>
          <w:tcPr>
            <w:tcW w:w="1181" w:type="dxa"/>
            <w:shd w:val="clear" w:color="auto" w:fill="auto"/>
          </w:tcPr>
          <w:p w:rsidR="00D06A2F" w:rsidRPr="007D22C9" w:rsidRDefault="00D06A2F" w:rsidP="000546C2">
            <w:pPr>
              <w:jc w:val="center"/>
              <w:rPr>
                <w:color w:val="000000"/>
                <w:sz w:val="20"/>
                <w:szCs w:val="20"/>
              </w:rPr>
            </w:pPr>
            <w:r w:rsidRPr="007D22C9">
              <w:rPr>
                <w:color w:val="000000"/>
                <w:sz w:val="20"/>
                <w:szCs w:val="20"/>
              </w:rPr>
              <w:t>1</w:t>
            </w:r>
          </w:p>
        </w:tc>
        <w:tc>
          <w:tcPr>
            <w:tcW w:w="1478" w:type="dxa"/>
          </w:tcPr>
          <w:p w:rsidR="00D06A2F" w:rsidRPr="007D22C9" w:rsidRDefault="00D06A2F" w:rsidP="000546C2">
            <w:pPr>
              <w:jc w:val="center"/>
              <w:rPr>
                <w:color w:val="000000"/>
                <w:sz w:val="20"/>
                <w:szCs w:val="20"/>
              </w:rPr>
            </w:pPr>
            <w:r w:rsidRPr="007D22C9">
              <w:rPr>
                <w:color w:val="000000"/>
                <w:sz w:val="20"/>
                <w:szCs w:val="20"/>
              </w:rPr>
              <w:t>0</w:t>
            </w:r>
          </w:p>
        </w:tc>
        <w:tc>
          <w:tcPr>
            <w:tcW w:w="1111" w:type="dxa"/>
          </w:tcPr>
          <w:p w:rsidR="00D06A2F" w:rsidRPr="007D22C9" w:rsidRDefault="00D06A2F" w:rsidP="000546C2">
            <w:pPr>
              <w:jc w:val="center"/>
              <w:rPr>
                <w:color w:val="000000"/>
                <w:sz w:val="20"/>
                <w:szCs w:val="20"/>
              </w:rPr>
            </w:pPr>
            <w:r w:rsidRPr="007D22C9">
              <w:rPr>
                <w:color w:val="000000"/>
                <w:sz w:val="20"/>
                <w:szCs w:val="20"/>
              </w:rPr>
              <w:t>0</w:t>
            </w:r>
          </w:p>
        </w:tc>
        <w:tc>
          <w:tcPr>
            <w:tcW w:w="1944" w:type="dxa"/>
          </w:tcPr>
          <w:p w:rsidR="00D06A2F" w:rsidRPr="007D22C9" w:rsidRDefault="00D06A2F" w:rsidP="00BA1432">
            <w:pPr>
              <w:jc w:val="center"/>
              <w:rPr>
                <w:color w:val="000000"/>
                <w:sz w:val="20"/>
                <w:szCs w:val="20"/>
              </w:rPr>
            </w:pPr>
            <w:r w:rsidRPr="007D22C9">
              <w:rPr>
                <w:color w:val="000000"/>
                <w:sz w:val="20"/>
                <w:szCs w:val="20"/>
              </w:rPr>
              <w:t>Амбулаторное</w:t>
            </w:r>
          </w:p>
        </w:tc>
      </w:tr>
      <w:tr w:rsidR="00D06A2F" w:rsidRPr="007D22C9" w:rsidTr="00CD3A6F">
        <w:trPr>
          <w:trHeight w:val="20"/>
        </w:trPr>
        <w:tc>
          <w:tcPr>
            <w:tcW w:w="1555" w:type="dxa"/>
            <w:vMerge/>
            <w:tcBorders>
              <w:left w:val="single" w:sz="4" w:space="0" w:color="auto"/>
              <w:right w:val="single" w:sz="4" w:space="0" w:color="auto"/>
            </w:tcBorders>
          </w:tcPr>
          <w:p w:rsidR="00D06A2F" w:rsidRPr="007D22C9" w:rsidRDefault="00D06A2F" w:rsidP="00BA1432">
            <w:pPr>
              <w:rPr>
                <w:sz w:val="20"/>
                <w:szCs w:val="20"/>
              </w:rPr>
            </w:pPr>
          </w:p>
        </w:tc>
        <w:tc>
          <w:tcPr>
            <w:tcW w:w="3685" w:type="dxa"/>
            <w:tcBorders>
              <w:left w:val="single" w:sz="4" w:space="0" w:color="auto"/>
            </w:tcBorders>
            <w:shd w:val="clear" w:color="auto" w:fill="auto"/>
          </w:tcPr>
          <w:p w:rsidR="00D06A2F" w:rsidRPr="007D22C9" w:rsidRDefault="00D06A2F" w:rsidP="00DC0475">
            <w:pPr>
              <w:jc w:val="both"/>
              <w:rPr>
                <w:color w:val="000000"/>
                <w:sz w:val="20"/>
                <w:szCs w:val="20"/>
              </w:rPr>
            </w:pPr>
            <w:r w:rsidRPr="007D22C9">
              <w:rPr>
                <w:color w:val="000000"/>
                <w:sz w:val="20"/>
                <w:szCs w:val="20"/>
              </w:rPr>
              <w:t xml:space="preserve">ГАУЗ </w:t>
            </w:r>
            <w:r w:rsidRPr="007D22C9">
              <w:rPr>
                <w:sz w:val="20"/>
                <w:szCs w:val="20"/>
              </w:rPr>
              <w:t>«Нижнекамская центральная районная многопрофильная больница»</w:t>
            </w:r>
          </w:p>
        </w:tc>
        <w:tc>
          <w:tcPr>
            <w:tcW w:w="1994" w:type="dxa"/>
            <w:shd w:val="clear" w:color="auto" w:fill="auto"/>
          </w:tcPr>
          <w:p w:rsidR="00D06A2F" w:rsidRPr="007D22C9" w:rsidRDefault="00D06A2F" w:rsidP="00BA1432">
            <w:pPr>
              <w:jc w:val="center"/>
              <w:rPr>
                <w:color w:val="000000"/>
                <w:sz w:val="20"/>
                <w:szCs w:val="20"/>
              </w:rPr>
            </w:pPr>
            <w:r w:rsidRPr="007D22C9">
              <w:rPr>
                <w:color w:val="000000"/>
                <w:sz w:val="20"/>
                <w:szCs w:val="20"/>
              </w:rPr>
              <w:t>Бронхоскоп</w:t>
            </w:r>
          </w:p>
        </w:tc>
        <w:tc>
          <w:tcPr>
            <w:tcW w:w="1181" w:type="dxa"/>
            <w:shd w:val="clear" w:color="auto" w:fill="auto"/>
          </w:tcPr>
          <w:p w:rsidR="00D06A2F" w:rsidRPr="007D22C9" w:rsidRDefault="00D06A2F" w:rsidP="000546C2">
            <w:pPr>
              <w:jc w:val="center"/>
              <w:rPr>
                <w:sz w:val="20"/>
                <w:szCs w:val="20"/>
              </w:rPr>
            </w:pPr>
            <w:r w:rsidRPr="007D22C9">
              <w:rPr>
                <w:sz w:val="20"/>
                <w:szCs w:val="20"/>
              </w:rPr>
              <w:t>2015</w:t>
            </w:r>
            <w:r w:rsidR="003D79B3" w:rsidRPr="007D22C9">
              <w:rPr>
                <w:sz w:val="20"/>
                <w:szCs w:val="20"/>
              </w:rPr>
              <w:t xml:space="preserve"> </w:t>
            </w:r>
            <w:r w:rsidR="00FA2076" w:rsidRPr="007D22C9">
              <w:rPr>
                <w:sz w:val="20"/>
                <w:szCs w:val="20"/>
              </w:rPr>
              <w:t>(2)</w:t>
            </w:r>
          </w:p>
          <w:p w:rsidR="00D06A2F" w:rsidRPr="007D22C9" w:rsidRDefault="00D06A2F" w:rsidP="000546C2">
            <w:pPr>
              <w:jc w:val="center"/>
              <w:rPr>
                <w:sz w:val="20"/>
                <w:szCs w:val="20"/>
              </w:rPr>
            </w:pPr>
            <w:r w:rsidRPr="007D22C9">
              <w:rPr>
                <w:sz w:val="20"/>
                <w:szCs w:val="20"/>
              </w:rPr>
              <w:t>2016</w:t>
            </w:r>
            <w:r w:rsidR="003D79B3" w:rsidRPr="007D22C9">
              <w:rPr>
                <w:sz w:val="20"/>
                <w:szCs w:val="20"/>
              </w:rPr>
              <w:t xml:space="preserve"> </w:t>
            </w:r>
            <w:r w:rsidR="00FA2076" w:rsidRPr="007D22C9">
              <w:rPr>
                <w:sz w:val="20"/>
                <w:szCs w:val="20"/>
              </w:rPr>
              <w:t>(1)</w:t>
            </w:r>
          </w:p>
          <w:p w:rsidR="00D06A2F" w:rsidRPr="007D22C9" w:rsidRDefault="00D06A2F" w:rsidP="000546C2">
            <w:pPr>
              <w:jc w:val="center"/>
              <w:rPr>
                <w:sz w:val="20"/>
                <w:szCs w:val="20"/>
              </w:rPr>
            </w:pPr>
            <w:r w:rsidRPr="007D22C9">
              <w:rPr>
                <w:sz w:val="20"/>
                <w:szCs w:val="20"/>
              </w:rPr>
              <w:t>2020</w:t>
            </w:r>
            <w:r w:rsidR="003D79B3" w:rsidRPr="007D22C9">
              <w:rPr>
                <w:sz w:val="20"/>
                <w:szCs w:val="20"/>
              </w:rPr>
              <w:t xml:space="preserve"> </w:t>
            </w:r>
            <w:r w:rsidR="00FA2076" w:rsidRPr="007D22C9">
              <w:rPr>
                <w:sz w:val="20"/>
                <w:szCs w:val="20"/>
              </w:rPr>
              <w:t>(3)</w:t>
            </w:r>
          </w:p>
          <w:p w:rsidR="00D06A2F" w:rsidRPr="007D22C9" w:rsidRDefault="00D06A2F" w:rsidP="000546C2">
            <w:pPr>
              <w:jc w:val="center"/>
              <w:rPr>
                <w:sz w:val="20"/>
                <w:szCs w:val="20"/>
              </w:rPr>
            </w:pPr>
            <w:r w:rsidRPr="007D22C9">
              <w:rPr>
                <w:sz w:val="20"/>
                <w:szCs w:val="20"/>
              </w:rPr>
              <w:t>2022</w:t>
            </w:r>
            <w:r w:rsidR="003D79B3" w:rsidRPr="007D22C9">
              <w:rPr>
                <w:sz w:val="20"/>
                <w:szCs w:val="20"/>
              </w:rPr>
              <w:t xml:space="preserve"> </w:t>
            </w:r>
            <w:r w:rsidR="00FA2076" w:rsidRPr="007D22C9">
              <w:rPr>
                <w:sz w:val="20"/>
                <w:szCs w:val="20"/>
              </w:rPr>
              <w:t>(4)</w:t>
            </w:r>
          </w:p>
        </w:tc>
        <w:tc>
          <w:tcPr>
            <w:tcW w:w="1181" w:type="dxa"/>
            <w:shd w:val="clear" w:color="auto" w:fill="auto"/>
          </w:tcPr>
          <w:p w:rsidR="00D06A2F" w:rsidRPr="007D22C9" w:rsidRDefault="00D06A2F" w:rsidP="000546C2">
            <w:pPr>
              <w:jc w:val="center"/>
              <w:rPr>
                <w:color w:val="000000"/>
                <w:sz w:val="20"/>
                <w:szCs w:val="20"/>
              </w:rPr>
            </w:pPr>
            <w:r w:rsidRPr="007D22C9">
              <w:rPr>
                <w:color w:val="000000"/>
                <w:sz w:val="20"/>
                <w:szCs w:val="20"/>
              </w:rPr>
              <w:t>10</w:t>
            </w:r>
          </w:p>
        </w:tc>
        <w:tc>
          <w:tcPr>
            <w:tcW w:w="1478" w:type="dxa"/>
          </w:tcPr>
          <w:p w:rsidR="00D06A2F" w:rsidRPr="007D22C9" w:rsidRDefault="00D06A2F" w:rsidP="000546C2">
            <w:pPr>
              <w:jc w:val="center"/>
              <w:rPr>
                <w:color w:val="000000"/>
                <w:sz w:val="20"/>
                <w:szCs w:val="20"/>
              </w:rPr>
            </w:pPr>
            <w:r w:rsidRPr="007D22C9">
              <w:rPr>
                <w:color w:val="000000"/>
                <w:sz w:val="20"/>
                <w:szCs w:val="20"/>
              </w:rPr>
              <w:t>3,8</w:t>
            </w:r>
          </w:p>
        </w:tc>
        <w:tc>
          <w:tcPr>
            <w:tcW w:w="1111" w:type="dxa"/>
          </w:tcPr>
          <w:p w:rsidR="00D06A2F" w:rsidRPr="007D22C9" w:rsidRDefault="00D06A2F" w:rsidP="000546C2">
            <w:pPr>
              <w:jc w:val="center"/>
              <w:rPr>
                <w:color w:val="000000"/>
                <w:sz w:val="20"/>
                <w:szCs w:val="20"/>
              </w:rPr>
            </w:pPr>
            <w:r w:rsidRPr="007D22C9">
              <w:rPr>
                <w:color w:val="000000"/>
                <w:sz w:val="20"/>
                <w:szCs w:val="20"/>
              </w:rPr>
              <w:t>1</w:t>
            </w:r>
          </w:p>
        </w:tc>
        <w:tc>
          <w:tcPr>
            <w:tcW w:w="1944" w:type="dxa"/>
          </w:tcPr>
          <w:p w:rsidR="00D06A2F" w:rsidRPr="007D22C9" w:rsidRDefault="00D06A2F" w:rsidP="00BA1432">
            <w:pPr>
              <w:jc w:val="center"/>
              <w:rPr>
                <w:color w:val="000000"/>
                <w:sz w:val="20"/>
                <w:szCs w:val="20"/>
              </w:rPr>
            </w:pPr>
            <w:r w:rsidRPr="007D22C9">
              <w:rPr>
                <w:color w:val="000000"/>
                <w:sz w:val="20"/>
                <w:szCs w:val="20"/>
              </w:rPr>
              <w:t>Амбулаторное</w:t>
            </w:r>
          </w:p>
        </w:tc>
      </w:tr>
      <w:tr w:rsidR="00D06A2F" w:rsidRPr="007D22C9" w:rsidTr="00CD3A6F">
        <w:trPr>
          <w:trHeight w:val="20"/>
        </w:trPr>
        <w:tc>
          <w:tcPr>
            <w:tcW w:w="1555" w:type="dxa"/>
            <w:vMerge/>
            <w:tcBorders>
              <w:left w:val="single" w:sz="4" w:space="0" w:color="auto"/>
              <w:right w:val="single" w:sz="4" w:space="0" w:color="auto"/>
            </w:tcBorders>
          </w:tcPr>
          <w:p w:rsidR="00D06A2F" w:rsidRPr="007D22C9" w:rsidRDefault="00D06A2F" w:rsidP="00BA1432">
            <w:pPr>
              <w:rPr>
                <w:sz w:val="20"/>
                <w:szCs w:val="20"/>
              </w:rPr>
            </w:pPr>
          </w:p>
        </w:tc>
        <w:tc>
          <w:tcPr>
            <w:tcW w:w="3685" w:type="dxa"/>
            <w:tcBorders>
              <w:left w:val="single" w:sz="4" w:space="0" w:color="auto"/>
            </w:tcBorders>
            <w:shd w:val="clear" w:color="auto" w:fill="auto"/>
          </w:tcPr>
          <w:p w:rsidR="00D06A2F" w:rsidRPr="007D22C9" w:rsidRDefault="00D06A2F" w:rsidP="00DC0475">
            <w:pPr>
              <w:jc w:val="both"/>
              <w:rPr>
                <w:color w:val="000000"/>
                <w:sz w:val="20"/>
                <w:szCs w:val="20"/>
              </w:rPr>
            </w:pPr>
            <w:r w:rsidRPr="007D22C9">
              <w:rPr>
                <w:color w:val="000000"/>
                <w:sz w:val="20"/>
                <w:szCs w:val="20"/>
              </w:rPr>
              <w:t>ГАУЗ «Спасская ЦРБ»</w:t>
            </w:r>
          </w:p>
        </w:tc>
        <w:tc>
          <w:tcPr>
            <w:tcW w:w="1994" w:type="dxa"/>
            <w:shd w:val="clear" w:color="auto" w:fill="auto"/>
          </w:tcPr>
          <w:p w:rsidR="00D06A2F" w:rsidRPr="007D22C9" w:rsidRDefault="00D06A2F" w:rsidP="00BA1432">
            <w:pPr>
              <w:jc w:val="center"/>
              <w:rPr>
                <w:color w:val="000000"/>
                <w:sz w:val="20"/>
                <w:szCs w:val="20"/>
              </w:rPr>
            </w:pPr>
            <w:r w:rsidRPr="007D22C9">
              <w:rPr>
                <w:color w:val="000000"/>
                <w:sz w:val="20"/>
                <w:szCs w:val="20"/>
              </w:rPr>
              <w:t>Бронхоскоп</w:t>
            </w:r>
          </w:p>
        </w:tc>
        <w:tc>
          <w:tcPr>
            <w:tcW w:w="1181" w:type="dxa"/>
            <w:shd w:val="clear" w:color="auto" w:fill="auto"/>
          </w:tcPr>
          <w:p w:rsidR="00D06A2F" w:rsidRPr="007D22C9" w:rsidRDefault="00D06A2F" w:rsidP="000546C2">
            <w:pPr>
              <w:jc w:val="center"/>
              <w:rPr>
                <w:sz w:val="20"/>
                <w:szCs w:val="20"/>
              </w:rPr>
            </w:pPr>
            <w:r w:rsidRPr="007D22C9">
              <w:rPr>
                <w:sz w:val="20"/>
                <w:szCs w:val="20"/>
              </w:rPr>
              <w:t>2022</w:t>
            </w:r>
          </w:p>
        </w:tc>
        <w:tc>
          <w:tcPr>
            <w:tcW w:w="1181" w:type="dxa"/>
            <w:shd w:val="clear" w:color="auto" w:fill="auto"/>
          </w:tcPr>
          <w:p w:rsidR="00D06A2F" w:rsidRPr="007D22C9" w:rsidRDefault="00D06A2F" w:rsidP="000546C2">
            <w:pPr>
              <w:jc w:val="center"/>
              <w:rPr>
                <w:color w:val="000000"/>
                <w:sz w:val="20"/>
                <w:szCs w:val="20"/>
              </w:rPr>
            </w:pPr>
            <w:r w:rsidRPr="007D22C9">
              <w:rPr>
                <w:color w:val="000000"/>
                <w:sz w:val="20"/>
                <w:szCs w:val="20"/>
              </w:rPr>
              <w:t>1</w:t>
            </w:r>
          </w:p>
        </w:tc>
        <w:tc>
          <w:tcPr>
            <w:tcW w:w="1478" w:type="dxa"/>
          </w:tcPr>
          <w:p w:rsidR="00D06A2F" w:rsidRPr="007D22C9" w:rsidRDefault="00D06A2F" w:rsidP="000546C2">
            <w:pPr>
              <w:jc w:val="center"/>
              <w:rPr>
                <w:color w:val="000000"/>
                <w:sz w:val="20"/>
                <w:szCs w:val="20"/>
              </w:rPr>
            </w:pPr>
            <w:r w:rsidRPr="007D22C9">
              <w:rPr>
                <w:color w:val="000000"/>
                <w:sz w:val="20"/>
                <w:szCs w:val="20"/>
              </w:rPr>
              <w:t>0,07</w:t>
            </w:r>
          </w:p>
        </w:tc>
        <w:tc>
          <w:tcPr>
            <w:tcW w:w="1111" w:type="dxa"/>
          </w:tcPr>
          <w:p w:rsidR="00D06A2F" w:rsidRPr="007D22C9" w:rsidRDefault="00D06A2F" w:rsidP="000546C2">
            <w:pPr>
              <w:jc w:val="center"/>
              <w:rPr>
                <w:color w:val="000000"/>
                <w:sz w:val="20"/>
                <w:szCs w:val="20"/>
              </w:rPr>
            </w:pPr>
            <w:r w:rsidRPr="007D22C9">
              <w:rPr>
                <w:color w:val="000000"/>
                <w:sz w:val="20"/>
                <w:szCs w:val="20"/>
              </w:rPr>
              <w:t>1</w:t>
            </w:r>
          </w:p>
        </w:tc>
        <w:tc>
          <w:tcPr>
            <w:tcW w:w="1944" w:type="dxa"/>
          </w:tcPr>
          <w:p w:rsidR="00D06A2F" w:rsidRPr="007D22C9" w:rsidRDefault="00D06A2F" w:rsidP="00BA1432">
            <w:pPr>
              <w:jc w:val="center"/>
              <w:rPr>
                <w:color w:val="000000"/>
                <w:sz w:val="20"/>
                <w:szCs w:val="20"/>
              </w:rPr>
            </w:pPr>
            <w:r w:rsidRPr="007D22C9">
              <w:rPr>
                <w:color w:val="000000"/>
                <w:sz w:val="20"/>
                <w:szCs w:val="20"/>
              </w:rPr>
              <w:t>Амбулаторное/стационарное</w:t>
            </w:r>
          </w:p>
        </w:tc>
      </w:tr>
      <w:tr w:rsidR="00D06A2F" w:rsidRPr="007D22C9" w:rsidTr="00CD3A6F">
        <w:trPr>
          <w:trHeight w:val="20"/>
        </w:trPr>
        <w:tc>
          <w:tcPr>
            <w:tcW w:w="1555" w:type="dxa"/>
            <w:vMerge/>
            <w:tcBorders>
              <w:left w:val="single" w:sz="4" w:space="0" w:color="auto"/>
              <w:right w:val="single" w:sz="4" w:space="0" w:color="auto"/>
            </w:tcBorders>
          </w:tcPr>
          <w:p w:rsidR="00D06A2F" w:rsidRPr="007D22C9" w:rsidRDefault="00D06A2F" w:rsidP="00BA1432">
            <w:pPr>
              <w:rPr>
                <w:sz w:val="20"/>
                <w:szCs w:val="20"/>
              </w:rPr>
            </w:pPr>
          </w:p>
        </w:tc>
        <w:tc>
          <w:tcPr>
            <w:tcW w:w="3685" w:type="dxa"/>
            <w:tcBorders>
              <w:left w:val="single" w:sz="4" w:space="0" w:color="auto"/>
            </w:tcBorders>
            <w:shd w:val="clear" w:color="auto" w:fill="auto"/>
          </w:tcPr>
          <w:p w:rsidR="00D06A2F" w:rsidRPr="007D22C9" w:rsidRDefault="00D06A2F" w:rsidP="00DC0475">
            <w:pPr>
              <w:jc w:val="both"/>
              <w:rPr>
                <w:color w:val="000000"/>
                <w:sz w:val="20"/>
                <w:szCs w:val="20"/>
              </w:rPr>
            </w:pPr>
            <w:r w:rsidRPr="007D22C9">
              <w:rPr>
                <w:color w:val="000000"/>
                <w:sz w:val="20"/>
                <w:szCs w:val="20"/>
              </w:rPr>
              <w:t>ГАУЗ «Тукаевский ЦРБ»</w:t>
            </w:r>
          </w:p>
        </w:tc>
        <w:tc>
          <w:tcPr>
            <w:tcW w:w="1994" w:type="dxa"/>
          </w:tcPr>
          <w:p w:rsidR="00D06A2F" w:rsidRPr="007D22C9" w:rsidRDefault="00D06A2F" w:rsidP="00BA1432">
            <w:pPr>
              <w:jc w:val="center"/>
              <w:rPr>
                <w:color w:val="000000"/>
                <w:sz w:val="20"/>
                <w:szCs w:val="20"/>
              </w:rPr>
            </w:pPr>
            <w:r w:rsidRPr="007D22C9">
              <w:rPr>
                <w:color w:val="000000"/>
                <w:sz w:val="20"/>
                <w:szCs w:val="20"/>
              </w:rPr>
              <w:t>Бронхоскоп</w:t>
            </w:r>
          </w:p>
        </w:tc>
        <w:tc>
          <w:tcPr>
            <w:tcW w:w="1181" w:type="dxa"/>
          </w:tcPr>
          <w:p w:rsidR="00D06A2F" w:rsidRPr="007D22C9" w:rsidRDefault="00D06A2F" w:rsidP="000546C2">
            <w:pPr>
              <w:jc w:val="center"/>
              <w:rPr>
                <w:sz w:val="20"/>
                <w:szCs w:val="20"/>
              </w:rPr>
            </w:pPr>
            <w:r w:rsidRPr="007D22C9">
              <w:rPr>
                <w:sz w:val="20"/>
                <w:szCs w:val="20"/>
              </w:rPr>
              <w:t>2014</w:t>
            </w:r>
            <w:r w:rsidR="003D79B3" w:rsidRPr="007D22C9">
              <w:rPr>
                <w:sz w:val="20"/>
                <w:szCs w:val="20"/>
              </w:rPr>
              <w:t xml:space="preserve"> </w:t>
            </w:r>
            <w:r w:rsidR="00FA2076" w:rsidRPr="007D22C9">
              <w:rPr>
                <w:sz w:val="20"/>
                <w:szCs w:val="20"/>
              </w:rPr>
              <w:t>(1)</w:t>
            </w:r>
          </w:p>
        </w:tc>
        <w:tc>
          <w:tcPr>
            <w:tcW w:w="1181" w:type="dxa"/>
          </w:tcPr>
          <w:p w:rsidR="00D06A2F" w:rsidRPr="007D22C9" w:rsidRDefault="00D06A2F" w:rsidP="000546C2">
            <w:pPr>
              <w:jc w:val="center"/>
              <w:rPr>
                <w:color w:val="000000"/>
                <w:sz w:val="20"/>
                <w:szCs w:val="20"/>
              </w:rPr>
            </w:pPr>
            <w:r w:rsidRPr="007D22C9">
              <w:rPr>
                <w:color w:val="000000"/>
                <w:sz w:val="20"/>
                <w:szCs w:val="20"/>
              </w:rPr>
              <w:t>1</w:t>
            </w:r>
          </w:p>
        </w:tc>
        <w:tc>
          <w:tcPr>
            <w:tcW w:w="1478" w:type="dxa"/>
          </w:tcPr>
          <w:p w:rsidR="00D06A2F" w:rsidRPr="007D22C9" w:rsidRDefault="00D06A2F" w:rsidP="000546C2">
            <w:pPr>
              <w:jc w:val="center"/>
              <w:rPr>
                <w:color w:val="000000"/>
                <w:sz w:val="20"/>
                <w:szCs w:val="20"/>
              </w:rPr>
            </w:pPr>
            <w:r w:rsidRPr="007D22C9">
              <w:rPr>
                <w:color w:val="000000"/>
                <w:sz w:val="20"/>
                <w:szCs w:val="20"/>
              </w:rPr>
              <w:t>0,2</w:t>
            </w:r>
          </w:p>
        </w:tc>
        <w:tc>
          <w:tcPr>
            <w:tcW w:w="1111" w:type="dxa"/>
          </w:tcPr>
          <w:p w:rsidR="00D06A2F" w:rsidRPr="007D22C9" w:rsidRDefault="00D06A2F" w:rsidP="000546C2">
            <w:pPr>
              <w:jc w:val="center"/>
              <w:rPr>
                <w:color w:val="000000"/>
                <w:sz w:val="20"/>
                <w:szCs w:val="20"/>
              </w:rPr>
            </w:pPr>
            <w:r w:rsidRPr="007D22C9">
              <w:rPr>
                <w:color w:val="000000"/>
                <w:sz w:val="20"/>
                <w:szCs w:val="20"/>
              </w:rPr>
              <w:t>1</w:t>
            </w:r>
          </w:p>
        </w:tc>
        <w:tc>
          <w:tcPr>
            <w:tcW w:w="1944" w:type="dxa"/>
          </w:tcPr>
          <w:p w:rsidR="00D06A2F" w:rsidRPr="007D22C9" w:rsidRDefault="00D06A2F" w:rsidP="00BA1432">
            <w:pPr>
              <w:jc w:val="center"/>
              <w:rPr>
                <w:color w:val="000000"/>
                <w:sz w:val="20"/>
                <w:szCs w:val="20"/>
              </w:rPr>
            </w:pPr>
            <w:r w:rsidRPr="007D22C9">
              <w:rPr>
                <w:color w:val="000000"/>
                <w:sz w:val="20"/>
                <w:szCs w:val="20"/>
              </w:rPr>
              <w:t>Амбулаторное/стационарное</w:t>
            </w:r>
          </w:p>
        </w:tc>
      </w:tr>
      <w:tr w:rsidR="00D06A2F" w:rsidRPr="007D22C9" w:rsidTr="00CD3A6F">
        <w:trPr>
          <w:trHeight w:val="20"/>
        </w:trPr>
        <w:tc>
          <w:tcPr>
            <w:tcW w:w="1555" w:type="dxa"/>
            <w:vMerge/>
            <w:tcBorders>
              <w:left w:val="single" w:sz="4" w:space="0" w:color="auto"/>
              <w:right w:val="single" w:sz="4" w:space="0" w:color="auto"/>
            </w:tcBorders>
          </w:tcPr>
          <w:p w:rsidR="00D06A2F" w:rsidRPr="007D22C9" w:rsidRDefault="00D06A2F" w:rsidP="00BA1432">
            <w:pPr>
              <w:rPr>
                <w:sz w:val="20"/>
                <w:szCs w:val="20"/>
              </w:rPr>
            </w:pPr>
          </w:p>
        </w:tc>
        <w:tc>
          <w:tcPr>
            <w:tcW w:w="3685" w:type="dxa"/>
            <w:tcBorders>
              <w:left w:val="single" w:sz="4" w:space="0" w:color="auto"/>
            </w:tcBorders>
            <w:shd w:val="clear" w:color="auto" w:fill="auto"/>
          </w:tcPr>
          <w:p w:rsidR="00D06A2F" w:rsidRPr="007D22C9" w:rsidRDefault="00D06A2F" w:rsidP="00DC0475">
            <w:pPr>
              <w:jc w:val="both"/>
              <w:rPr>
                <w:color w:val="000000"/>
                <w:sz w:val="20"/>
                <w:szCs w:val="20"/>
              </w:rPr>
            </w:pPr>
            <w:r w:rsidRPr="007D22C9">
              <w:rPr>
                <w:color w:val="000000"/>
                <w:sz w:val="20"/>
                <w:szCs w:val="20"/>
              </w:rPr>
              <w:t>ГАУЗ «Городская больница № 2» г.Набережные Челны</w:t>
            </w:r>
          </w:p>
        </w:tc>
        <w:tc>
          <w:tcPr>
            <w:tcW w:w="1994" w:type="dxa"/>
          </w:tcPr>
          <w:p w:rsidR="00D06A2F" w:rsidRPr="007D22C9" w:rsidRDefault="00D06A2F" w:rsidP="00BA1432">
            <w:pPr>
              <w:jc w:val="center"/>
              <w:rPr>
                <w:color w:val="000000"/>
                <w:sz w:val="20"/>
                <w:szCs w:val="20"/>
              </w:rPr>
            </w:pPr>
            <w:r w:rsidRPr="007D22C9">
              <w:rPr>
                <w:color w:val="000000"/>
                <w:sz w:val="20"/>
                <w:szCs w:val="20"/>
              </w:rPr>
              <w:t>Бронхоскоп</w:t>
            </w:r>
          </w:p>
        </w:tc>
        <w:tc>
          <w:tcPr>
            <w:tcW w:w="1181" w:type="dxa"/>
          </w:tcPr>
          <w:p w:rsidR="00D06A2F" w:rsidRPr="007D22C9" w:rsidRDefault="00D06A2F" w:rsidP="000546C2">
            <w:pPr>
              <w:jc w:val="center"/>
              <w:rPr>
                <w:sz w:val="20"/>
                <w:szCs w:val="20"/>
              </w:rPr>
            </w:pPr>
            <w:r w:rsidRPr="007D22C9">
              <w:rPr>
                <w:sz w:val="20"/>
                <w:szCs w:val="20"/>
              </w:rPr>
              <w:t>2017</w:t>
            </w:r>
            <w:r w:rsidR="003D79B3" w:rsidRPr="007D22C9">
              <w:rPr>
                <w:sz w:val="20"/>
                <w:szCs w:val="20"/>
              </w:rPr>
              <w:t xml:space="preserve"> </w:t>
            </w:r>
            <w:r w:rsidR="00FA2076" w:rsidRPr="007D22C9">
              <w:rPr>
                <w:sz w:val="20"/>
                <w:szCs w:val="20"/>
              </w:rPr>
              <w:t>(1)</w:t>
            </w:r>
          </w:p>
          <w:p w:rsidR="00D06A2F" w:rsidRPr="007D22C9" w:rsidRDefault="00D06A2F" w:rsidP="000546C2">
            <w:pPr>
              <w:jc w:val="center"/>
              <w:rPr>
                <w:sz w:val="20"/>
                <w:szCs w:val="20"/>
              </w:rPr>
            </w:pPr>
            <w:r w:rsidRPr="007D22C9">
              <w:rPr>
                <w:sz w:val="20"/>
                <w:szCs w:val="20"/>
              </w:rPr>
              <w:t>2019</w:t>
            </w:r>
            <w:r w:rsidR="003D79B3" w:rsidRPr="007D22C9">
              <w:rPr>
                <w:sz w:val="20"/>
                <w:szCs w:val="20"/>
              </w:rPr>
              <w:t xml:space="preserve"> </w:t>
            </w:r>
            <w:r w:rsidR="00FA2076" w:rsidRPr="007D22C9">
              <w:rPr>
                <w:sz w:val="20"/>
                <w:szCs w:val="20"/>
              </w:rPr>
              <w:t>(2)</w:t>
            </w:r>
          </w:p>
        </w:tc>
        <w:tc>
          <w:tcPr>
            <w:tcW w:w="1181" w:type="dxa"/>
          </w:tcPr>
          <w:p w:rsidR="00D06A2F" w:rsidRPr="007D22C9" w:rsidRDefault="00D06A2F" w:rsidP="000546C2">
            <w:pPr>
              <w:jc w:val="center"/>
              <w:rPr>
                <w:color w:val="000000"/>
                <w:sz w:val="20"/>
                <w:szCs w:val="20"/>
              </w:rPr>
            </w:pPr>
            <w:r w:rsidRPr="007D22C9">
              <w:rPr>
                <w:color w:val="000000"/>
                <w:sz w:val="20"/>
                <w:szCs w:val="20"/>
              </w:rPr>
              <w:t>3</w:t>
            </w:r>
          </w:p>
        </w:tc>
        <w:tc>
          <w:tcPr>
            <w:tcW w:w="1478" w:type="dxa"/>
          </w:tcPr>
          <w:p w:rsidR="00D06A2F" w:rsidRPr="007D22C9" w:rsidRDefault="00D06A2F" w:rsidP="000546C2">
            <w:pPr>
              <w:jc w:val="center"/>
              <w:rPr>
                <w:color w:val="000000"/>
                <w:sz w:val="20"/>
                <w:szCs w:val="20"/>
              </w:rPr>
            </w:pPr>
            <w:r w:rsidRPr="007D22C9">
              <w:rPr>
                <w:color w:val="000000"/>
                <w:sz w:val="20"/>
                <w:szCs w:val="20"/>
              </w:rPr>
              <w:t>1,5</w:t>
            </w:r>
          </w:p>
        </w:tc>
        <w:tc>
          <w:tcPr>
            <w:tcW w:w="1111" w:type="dxa"/>
          </w:tcPr>
          <w:p w:rsidR="00D06A2F" w:rsidRPr="007D22C9" w:rsidRDefault="00D06A2F" w:rsidP="000546C2">
            <w:pPr>
              <w:jc w:val="center"/>
              <w:rPr>
                <w:color w:val="000000"/>
                <w:sz w:val="20"/>
                <w:szCs w:val="20"/>
              </w:rPr>
            </w:pPr>
            <w:r w:rsidRPr="007D22C9">
              <w:rPr>
                <w:color w:val="000000"/>
                <w:sz w:val="20"/>
                <w:szCs w:val="20"/>
              </w:rPr>
              <w:t>1</w:t>
            </w:r>
          </w:p>
        </w:tc>
        <w:tc>
          <w:tcPr>
            <w:tcW w:w="1944" w:type="dxa"/>
          </w:tcPr>
          <w:p w:rsidR="00D06A2F" w:rsidRPr="007D22C9" w:rsidRDefault="00D06A2F" w:rsidP="00BA1432">
            <w:pPr>
              <w:jc w:val="center"/>
              <w:rPr>
                <w:color w:val="000000"/>
                <w:sz w:val="20"/>
                <w:szCs w:val="20"/>
              </w:rPr>
            </w:pPr>
            <w:r w:rsidRPr="007D22C9">
              <w:rPr>
                <w:color w:val="000000"/>
                <w:sz w:val="20"/>
                <w:szCs w:val="20"/>
              </w:rPr>
              <w:t>Стационарное</w:t>
            </w:r>
          </w:p>
        </w:tc>
      </w:tr>
      <w:tr w:rsidR="00D06A2F" w:rsidRPr="007D22C9" w:rsidTr="00CD3A6F">
        <w:trPr>
          <w:trHeight w:val="20"/>
        </w:trPr>
        <w:tc>
          <w:tcPr>
            <w:tcW w:w="1555" w:type="dxa"/>
            <w:vMerge/>
            <w:tcBorders>
              <w:left w:val="single" w:sz="4" w:space="0" w:color="auto"/>
              <w:right w:val="single" w:sz="4" w:space="0" w:color="auto"/>
            </w:tcBorders>
          </w:tcPr>
          <w:p w:rsidR="00D06A2F" w:rsidRPr="007D22C9" w:rsidRDefault="00D06A2F" w:rsidP="00BA1432">
            <w:pPr>
              <w:rPr>
                <w:sz w:val="20"/>
                <w:szCs w:val="20"/>
              </w:rPr>
            </w:pPr>
          </w:p>
        </w:tc>
        <w:tc>
          <w:tcPr>
            <w:tcW w:w="3685" w:type="dxa"/>
            <w:tcBorders>
              <w:left w:val="single" w:sz="4" w:space="0" w:color="auto"/>
            </w:tcBorders>
            <w:shd w:val="clear" w:color="auto" w:fill="auto"/>
          </w:tcPr>
          <w:p w:rsidR="00D06A2F" w:rsidRPr="007D22C9" w:rsidRDefault="00D06A2F" w:rsidP="00265E81">
            <w:pPr>
              <w:jc w:val="both"/>
              <w:rPr>
                <w:color w:val="000000"/>
                <w:sz w:val="20"/>
                <w:szCs w:val="20"/>
              </w:rPr>
            </w:pPr>
            <w:r w:rsidRPr="007D22C9">
              <w:rPr>
                <w:color w:val="000000"/>
                <w:sz w:val="20"/>
                <w:szCs w:val="20"/>
              </w:rPr>
              <w:t xml:space="preserve">ГАУЗ </w:t>
            </w:r>
            <w:r w:rsidRPr="007D22C9">
              <w:rPr>
                <w:rFonts w:eastAsia="Calibri"/>
                <w:sz w:val="20"/>
                <w:szCs w:val="20"/>
              </w:rPr>
              <w:t>Республики Татарстан «Больница скорой медицинской помощи</w:t>
            </w:r>
            <w:r w:rsidR="00265E81">
              <w:rPr>
                <w:rFonts w:eastAsia="Calibri"/>
                <w:sz w:val="20"/>
                <w:szCs w:val="20"/>
              </w:rPr>
              <w:t xml:space="preserve"> им. Р.С.Акчурина</w:t>
            </w:r>
            <w:r w:rsidRPr="007D22C9">
              <w:rPr>
                <w:rFonts w:eastAsia="Calibri"/>
                <w:sz w:val="20"/>
                <w:szCs w:val="20"/>
              </w:rPr>
              <w:t xml:space="preserve">» </w:t>
            </w:r>
            <w:r w:rsidRPr="007D22C9">
              <w:rPr>
                <w:sz w:val="20"/>
                <w:szCs w:val="20"/>
              </w:rPr>
              <w:t>г.Набережные Челны</w:t>
            </w:r>
            <w:r w:rsidRPr="007D22C9">
              <w:rPr>
                <w:color w:val="000000"/>
                <w:sz w:val="20"/>
                <w:szCs w:val="20"/>
              </w:rPr>
              <w:t xml:space="preserve"> </w:t>
            </w:r>
          </w:p>
        </w:tc>
        <w:tc>
          <w:tcPr>
            <w:tcW w:w="1994" w:type="dxa"/>
          </w:tcPr>
          <w:p w:rsidR="00D06A2F" w:rsidRPr="007D22C9" w:rsidRDefault="00D06A2F" w:rsidP="00BA1432">
            <w:pPr>
              <w:jc w:val="center"/>
              <w:rPr>
                <w:color w:val="000000"/>
                <w:sz w:val="20"/>
                <w:szCs w:val="20"/>
              </w:rPr>
            </w:pPr>
            <w:r w:rsidRPr="007D22C9">
              <w:rPr>
                <w:color w:val="000000"/>
                <w:sz w:val="20"/>
                <w:szCs w:val="20"/>
              </w:rPr>
              <w:t>Бронхоскоп</w:t>
            </w:r>
          </w:p>
        </w:tc>
        <w:tc>
          <w:tcPr>
            <w:tcW w:w="1181" w:type="dxa"/>
          </w:tcPr>
          <w:p w:rsidR="00D06A2F" w:rsidRPr="007D22C9" w:rsidRDefault="00D06A2F" w:rsidP="000546C2">
            <w:pPr>
              <w:jc w:val="center"/>
              <w:rPr>
                <w:sz w:val="20"/>
                <w:szCs w:val="20"/>
              </w:rPr>
            </w:pPr>
            <w:r w:rsidRPr="007D22C9">
              <w:rPr>
                <w:sz w:val="20"/>
                <w:szCs w:val="20"/>
              </w:rPr>
              <w:t>2010</w:t>
            </w:r>
            <w:r w:rsidR="003D79B3" w:rsidRPr="007D22C9">
              <w:rPr>
                <w:sz w:val="20"/>
                <w:szCs w:val="20"/>
              </w:rPr>
              <w:t xml:space="preserve"> </w:t>
            </w:r>
            <w:r w:rsidR="00FA2076" w:rsidRPr="007D22C9">
              <w:rPr>
                <w:sz w:val="20"/>
                <w:szCs w:val="20"/>
              </w:rPr>
              <w:t>(1)</w:t>
            </w:r>
          </w:p>
          <w:p w:rsidR="00D06A2F" w:rsidRPr="007D22C9" w:rsidRDefault="00D06A2F" w:rsidP="000546C2">
            <w:pPr>
              <w:jc w:val="center"/>
              <w:rPr>
                <w:sz w:val="20"/>
                <w:szCs w:val="20"/>
              </w:rPr>
            </w:pPr>
            <w:r w:rsidRPr="007D22C9">
              <w:rPr>
                <w:sz w:val="20"/>
                <w:szCs w:val="20"/>
              </w:rPr>
              <w:t>2020</w:t>
            </w:r>
            <w:r w:rsidR="003D79B3" w:rsidRPr="007D22C9">
              <w:rPr>
                <w:sz w:val="20"/>
                <w:szCs w:val="20"/>
              </w:rPr>
              <w:t xml:space="preserve"> </w:t>
            </w:r>
            <w:r w:rsidR="00FA2076" w:rsidRPr="007D22C9">
              <w:rPr>
                <w:sz w:val="20"/>
                <w:szCs w:val="20"/>
              </w:rPr>
              <w:t>(1)</w:t>
            </w:r>
          </w:p>
        </w:tc>
        <w:tc>
          <w:tcPr>
            <w:tcW w:w="1181" w:type="dxa"/>
          </w:tcPr>
          <w:p w:rsidR="00D06A2F" w:rsidRPr="007D22C9" w:rsidRDefault="00D06A2F" w:rsidP="000546C2">
            <w:pPr>
              <w:jc w:val="center"/>
              <w:rPr>
                <w:color w:val="000000"/>
                <w:sz w:val="20"/>
                <w:szCs w:val="20"/>
              </w:rPr>
            </w:pPr>
            <w:r w:rsidRPr="007D22C9">
              <w:rPr>
                <w:color w:val="000000"/>
                <w:sz w:val="20"/>
                <w:szCs w:val="20"/>
              </w:rPr>
              <w:t>2</w:t>
            </w:r>
          </w:p>
        </w:tc>
        <w:tc>
          <w:tcPr>
            <w:tcW w:w="1478" w:type="dxa"/>
          </w:tcPr>
          <w:p w:rsidR="00D06A2F" w:rsidRPr="007D22C9" w:rsidRDefault="00D06A2F" w:rsidP="000546C2">
            <w:pPr>
              <w:jc w:val="center"/>
              <w:rPr>
                <w:color w:val="000000"/>
                <w:sz w:val="20"/>
                <w:szCs w:val="20"/>
              </w:rPr>
            </w:pPr>
            <w:r w:rsidRPr="007D22C9">
              <w:rPr>
                <w:color w:val="000000"/>
                <w:sz w:val="20"/>
                <w:szCs w:val="20"/>
              </w:rPr>
              <w:t>2,6</w:t>
            </w:r>
          </w:p>
        </w:tc>
        <w:tc>
          <w:tcPr>
            <w:tcW w:w="1111" w:type="dxa"/>
          </w:tcPr>
          <w:p w:rsidR="00D06A2F" w:rsidRPr="007D22C9" w:rsidRDefault="00D06A2F" w:rsidP="000546C2">
            <w:pPr>
              <w:jc w:val="center"/>
              <w:rPr>
                <w:color w:val="000000"/>
                <w:sz w:val="20"/>
                <w:szCs w:val="20"/>
              </w:rPr>
            </w:pPr>
            <w:r w:rsidRPr="007D22C9">
              <w:rPr>
                <w:color w:val="000000"/>
                <w:sz w:val="20"/>
                <w:szCs w:val="20"/>
              </w:rPr>
              <w:t>1</w:t>
            </w:r>
          </w:p>
        </w:tc>
        <w:tc>
          <w:tcPr>
            <w:tcW w:w="1944" w:type="dxa"/>
          </w:tcPr>
          <w:p w:rsidR="00D06A2F" w:rsidRPr="007D22C9" w:rsidRDefault="00D06A2F" w:rsidP="00BA1432">
            <w:pPr>
              <w:jc w:val="center"/>
              <w:rPr>
                <w:color w:val="000000"/>
                <w:sz w:val="20"/>
                <w:szCs w:val="20"/>
              </w:rPr>
            </w:pPr>
            <w:r w:rsidRPr="007D22C9">
              <w:rPr>
                <w:color w:val="000000"/>
                <w:sz w:val="20"/>
                <w:szCs w:val="20"/>
              </w:rPr>
              <w:t>Стационарно</w:t>
            </w:r>
            <w:r w:rsidR="009C7AAF" w:rsidRPr="007D22C9">
              <w:rPr>
                <w:color w:val="000000"/>
                <w:sz w:val="20"/>
                <w:szCs w:val="20"/>
              </w:rPr>
              <w:t>е</w:t>
            </w:r>
          </w:p>
        </w:tc>
      </w:tr>
      <w:tr w:rsidR="00D06A2F" w:rsidRPr="007D22C9" w:rsidTr="00CD3A6F">
        <w:trPr>
          <w:trHeight w:val="20"/>
        </w:trPr>
        <w:tc>
          <w:tcPr>
            <w:tcW w:w="1555" w:type="dxa"/>
            <w:vMerge/>
            <w:tcBorders>
              <w:left w:val="single" w:sz="4" w:space="0" w:color="auto"/>
              <w:right w:val="single" w:sz="4" w:space="0" w:color="auto"/>
            </w:tcBorders>
          </w:tcPr>
          <w:p w:rsidR="00D06A2F" w:rsidRPr="007D22C9" w:rsidRDefault="00D06A2F" w:rsidP="00BA1432">
            <w:pPr>
              <w:rPr>
                <w:sz w:val="20"/>
                <w:szCs w:val="20"/>
              </w:rPr>
            </w:pPr>
          </w:p>
        </w:tc>
        <w:tc>
          <w:tcPr>
            <w:tcW w:w="3685" w:type="dxa"/>
            <w:tcBorders>
              <w:left w:val="single" w:sz="4" w:space="0" w:color="auto"/>
            </w:tcBorders>
            <w:shd w:val="clear" w:color="auto" w:fill="auto"/>
          </w:tcPr>
          <w:p w:rsidR="00D06A2F" w:rsidRPr="007D22C9" w:rsidRDefault="00D06A2F" w:rsidP="00DC0475">
            <w:pPr>
              <w:jc w:val="both"/>
              <w:rPr>
                <w:color w:val="333333"/>
                <w:sz w:val="20"/>
                <w:szCs w:val="20"/>
              </w:rPr>
            </w:pPr>
            <w:r w:rsidRPr="007D22C9">
              <w:rPr>
                <w:color w:val="0D0D0D" w:themeColor="text1" w:themeTint="F2"/>
                <w:sz w:val="20"/>
                <w:szCs w:val="20"/>
              </w:rPr>
              <w:t>ГАУЗ «Городская клиническая больница № 7 им.М.Н.Садыкова» г.Казани</w:t>
            </w:r>
          </w:p>
        </w:tc>
        <w:tc>
          <w:tcPr>
            <w:tcW w:w="1994" w:type="dxa"/>
          </w:tcPr>
          <w:p w:rsidR="00D06A2F" w:rsidRPr="007D22C9" w:rsidRDefault="00D06A2F" w:rsidP="00BA1432">
            <w:pPr>
              <w:jc w:val="center"/>
              <w:rPr>
                <w:color w:val="000000"/>
                <w:sz w:val="20"/>
                <w:szCs w:val="20"/>
              </w:rPr>
            </w:pPr>
            <w:r w:rsidRPr="007D22C9">
              <w:rPr>
                <w:color w:val="000000"/>
                <w:sz w:val="20"/>
                <w:szCs w:val="20"/>
              </w:rPr>
              <w:t>Бронхоскоп</w:t>
            </w:r>
          </w:p>
        </w:tc>
        <w:tc>
          <w:tcPr>
            <w:tcW w:w="1181" w:type="dxa"/>
          </w:tcPr>
          <w:p w:rsidR="00D06A2F" w:rsidRPr="007D22C9" w:rsidRDefault="00D06A2F" w:rsidP="000546C2">
            <w:pPr>
              <w:jc w:val="center"/>
              <w:rPr>
                <w:sz w:val="20"/>
                <w:szCs w:val="20"/>
              </w:rPr>
            </w:pPr>
            <w:r w:rsidRPr="007D22C9">
              <w:rPr>
                <w:sz w:val="20"/>
                <w:szCs w:val="20"/>
              </w:rPr>
              <w:t>2017</w:t>
            </w:r>
            <w:r w:rsidR="003D79B3" w:rsidRPr="007D22C9">
              <w:rPr>
                <w:sz w:val="20"/>
                <w:szCs w:val="20"/>
              </w:rPr>
              <w:t xml:space="preserve"> </w:t>
            </w:r>
            <w:r w:rsidR="00FA2076" w:rsidRPr="007D22C9">
              <w:rPr>
                <w:sz w:val="20"/>
                <w:szCs w:val="20"/>
              </w:rPr>
              <w:t>(6)</w:t>
            </w:r>
          </w:p>
          <w:p w:rsidR="00D06A2F" w:rsidRPr="007D22C9" w:rsidRDefault="00D06A2F" w:rsidP="000546C2">
            <w:pPr>
              <w:jc w:val="center"/>
              <w:rPr>
                <w:sz w:val="20"/>
                <w:szCs w:val="20"/>
              </w:rPr>
            </w:pPr>
            <w:r w:rsidRPr="007D22C9">
              <w:rPr>
                <w:sz w:val="20"/>
                <w:szCs w:val="20"/>
              </w:rPr>
              <w:t>2020</w:t>
            </w:r>
            <w:r w:rsidR="003D79B3" w:rsidRPr="007D22C9">
              <w:rPr>
                <w:sz w:val="20"/>
                <w:szCs w:val="20"/>
              </w:rPr>
              <w:t xml:space="preserve"> </w:t>
            </w:r>
            <w:r w:rsidR="00FA2076" w:rsidRPr="007D22C9">
              <w:rPr>
                <w:sz w:val="20"/>
                <w:szCs w:val="20"/>
              </w:rPr>
              <w:t>(2)</w:t>
            </w:r>
          </w:p>
        </w:tc>
        <w:tc>
          <w:tcPr>
            <w:tcW w:w="1181" w:type="dxa"/>
          </w:tcPr>
          <w:p w:rsidR="00D06A2F" w:rsidRPr="007D22C9" w:rsidRDefault="00D06A2F" w:rsidP="000546C2">
            <w:pPr>
              <w:jc w:val="center"/>
              <w:rPr>
                <w:color w:val="000000"/>
                <w:sz w:val="20"/>
                <w:szCs w:val="20"/>
              </w:rPr>
            </w:pPr>
            <w:r w:rsidRPr="007D22C9">
              <w:rPr>
                <w:color w:val="000000"/>
                <w:sz w:val="20"/>
                <w:szCs w:val="20"/>
              </w:rPr>
              <w:t>8</w:t>
            </w:r>
          </w:p>
        </w:tc>
        <w:tc>
          <w:tcPr>
            <w:tcW w:w="1478" w:type="dxa"/>
          </w:tcPr>
          <w:p w:rsidR="00D06A2F" w:rsidRPr="007D22C9" w:rsidRDefault="00D06A2F" w:rsidP="000546C2">
            <w:pPr>
              <w:jc w:val="center"/>
              <w:rPr>
                <w:color w:val="000000"/>
                <w:sz w:val="20"/>
                <w:szCs w:val="20"/>
              </w:rPr>
            </w:pPr>
            <w:r w:rsidRPr="007D22C9">
              <w:rPr>
                <w:color w:val="000000"/>
                <w:sz w:val="20"/>
                <w:szCs w:val="20"/>
              </w:rPr>
              <w:t>8,6</w:t>
            </w:r>
          </w:p>
        </w:tc>
        <w:tc>
          <w:tcPr>
            <w:tcW w:w="1111" w:type="dxa"/>
          </w:tcPr>
          <w:p w:rsidR="00D06A2F" w:rsidRPr="007D22C9" w:rsidRDefault="00D06A2F" w:rsidP="000546C2">
            <w:pPr>
              <w:jc w:val="center"/>
              <w:rPr>
                <w:color w:val="000000"/>
                <w:sz w:val="20"/>
                <w:szCs w:val="20"/>
              </w:rPr>
            </w:pPr>
            <w:r w:rsidRPr="007D22C9">
              <w:rPr>
                <w:color w:val="000000"/>
                <w:sz w:val="20"/>
                <w:szCs w:val="20"/>
              </w:rPr>
              <w:t>1</w:t>
            </w:r>
          </w:p>
        </w:tc>
        <w:tc>
          <w:tcPr>
            <w:tcW w:w="1944" w:type="dxa"/>
          </w:tcPr>
          <w:p w:rsidR="00D06A2F" w:rsidRPr="007D22C9" w:rsidRDefault="00D06A2F" w:rsidP="00BA1432">
            <w:pPr>
              <w:jc w:val="center"/>
              <w:rPr>
                <w:color w:val="000000"/>
                <w:sz w:val="20"/>
                <w:szCs w:val="20"/>
              </w:rPr>
            </w:pPr>
            <w:r w:rsidRPr="007D22C9">
              <w:rPr>
                <w:color w:val="000000"/>
                <w:sz w:val="20"/>
                <w:szCs w:val="20"/>
              </w:rPr>
              <w:t>Стационарное</w:t>
            </w:r>
          </w:p>
        </w:tc>
      </w:tr>
      <w:tr w:rsidR="00D06A2F" w:rsidRPr="007D22C9" w:rsidTr="00CD3A6F">
        <w:trPr>
          <w:trHeight w:val="20"/>
        </w:trPr>
        <w:tc>
          <w:tcPr>
            <w:tcW w:w="1555" w:type="dxa"/>
            <w:vMerge/>
            <w:tcBorders>
              <w:left w:val="single" w:sz="4" w:space="0" w:color="auto"/>
              <w:right w:val="single" w:sz="4" w:space="0" w:color="auto"/>
            </w:tcBorders>
          </w:tcPr>
          <w:p w:rsidR="00D06A2F" w:rsidRPr="007D22C9" w:rsidRDefault="00D06A2F" w:rsidP="00BA1432">
            <w:pPr>
              <w:rPr>
                <w:sz w:val="20"/>
                <w:szCs w:val="20"/>
              </w:rPr>
            </w:pPr>
          </w:p>
        </w:tc>
        <w:tc>
          <w:tcPr>
            <w:tcW w:w="3685" w:type="dxa"/>
            <w:tcBorders>
              <w:left w:val="single" w:sz="4" w:space="0" w:color="auto"/>
            </w:tcBorders>
            <w:shd w:val="clear" w:color="auto" w:fill="auto"/>
          </w:tcPr>
          <w:p w:rsidR="00D06A2F" w:rsidRPr="007D22C9" w:rsidRDefault="00D06A2F" w:rsidP="00DC0475">
            <w:pPr>
              <w:jc w:val="both"/>
              <w:rPr>
                <w:color w:val="000000"/>
                <w:sz w:val="20"/>
                <w:szCs w:val="20"/>
              </w:rPr>
            </w:pPr>
            <w:r w:rsidRPr="007D22C9">
              <w:rPr>
                <w:color w:val="333333"/>
                <w:sz w:val="20"/>
                <w:szCs w:val="20"/>
              </w:rPr>
              <w:t>ГАУЗ «Городская клиническая больница № 12» г.Казани</w:t>
            </w:r>
          </w:p>
        </w:tc>
        <w:tc>
          <w:tcPr>
            <w:tcW w:w="1994" w:type="dxa"/>
          </w:tcPr>
          <w:p w:rsidR="00D06A2F" w:rsidRPr="007D22C9" w:rsidRDefault="00D06A2F" w:rsidP="00BA1432">
            <w:pPr>
              <w:jc w:val="center"/>
              <w:rPr>
                <w:color w:val="000000"/>
                <w:sz w:val="20"/>
                <w:szCs w:val="20"/>
              </w:rPr>
            </w:pPr>
            <w:r w:rsidRPr="007D22C9">
              <w:rPr>
                <w:color w:val="000000"/>
                <w:sz w:val="20"/>
                <w:szCs w:val="20"/>
              </w:rPr>
              <w:t>Бронхоскоп</w:t>
            </w:r>
          </w:p>
        </w:tc>
        <w:tc>
          <w:tcPr>
            <w:tcW w:w="1181" w:type="dxa"/>
          </w:tcPr>
          <w:p w:rsidR="00D06A2F" w:rsidRPr="007D22C9" w:rsidRDefault="00D06A2F" w:rsidP="000546C2">
            <w:pPr>
              <w:jc w:val="center"/>
              <w:rPr>
                <w:sz w:val="20"/>
                <w:szCs w:val="20"/>
              </w:rPr>
            </w:pPr>
            <w:r w:rsidRPr="007D22C9">
              <w:rPr>
                <w:sz w:val="20"/>
                <w:szCs w:val="20"/>
              </w:rPr>
              <w:t>2016</w:t>
            </w:r>
            <w:r w:rsidR="003D79B3" w:rsidRPr="007D22C9">
              <w:rPr>
                <w:sz w:val="20"/>
                <w:szCs w:val="20"/>
              </w:rPr>
              <w:t xml:space="preserve"> </w:t>
            </w:r>
            <w:r w:rsidR="00FA2076" w:rsidRPr="007D22C9">
              <w:rPr>
                <w:sz w:val="20"/>
                <w:szCs w:val="20"/>
              </w:rPr>
              <w:t>(1)</w:t>
            </w:r>
          </w:p>
          <w:p w:rsidR="00D06A2F" w:rsidRPr="007D22C9" w:rsidRDefault="00D06A2F" w:rsidP="000546C2">
            <w:pPr>
              <w:jc w:val="center"/>
              <w:rPr>
                <w:sz w:val="20"/>
                <w:szCs w:val="20"/>
              </w:rPr>
            </w:pPr>
            <w:r w:rsidRPr="007D22C9">
              <w:rPr>
                <w:sz w:val="20"/>
                <w:szCs w:val="20"/>
              </w:rPr>
              <w:t>2019</w:t>
            </w:r>
            <w:r w:rsidR="003D79B3" w:rsidRPr="007D22C9">
              <w:rPr>
                <w:sz w:val="20"/>
                <w:szCs w:val="20"/>
              </w:rPr>
              <w:t xml:space="preserve"> </w:t>
            </w:r>
            <w:r w:rsidR="00FA2076" w:rsidRPr="007D22C9">
              <w:rPr>
                <w:sz w:val="20"/>
                <w:szCs w:val="20"/>
              </w:rPr>
              <w:t>(1)</w:t>
            </w:r>
          </w:p>
        </w:tc>
        <w:tc>
          <w:tcPr>
            <w:tcW w:w="1181" w:type="dxa"/>
          </w:tcPr>
          <w:p w:rsidR="00D06A2F" w:rsidRPr="007D22C9" w:rsidRDefault="00D06A2F" w:rsidP="000546C2">
            <w:pPr>
              <w:jc w:val="center"/>
              <w:rPr>
                <w:color w:val="000000"/>
                <w:sz w:val="20"/>
                <w:szCs w:val="20"/>
              </w:rPr>
            </w:pPr>
            <w:r w:rsidRPr="007D22C9">
              <w:rPr>
                <w:color w:val="000000"/>
                <w:sz w:val="20"/>
                <w:szCs w:val="20"/>
              </w:rPr>
              <w:t>2</w:t>
            </w:r>
          </w:p>
        </w:tc>
        <w:tc>
          <w:tcPr>
            <w:tcW w:w="1478" w:type="dxa"/>
          </w:tcPr>
          <w:p w:rsidR="00D06A2F" w:rsidRPr="007D22C9" w:rsidRDefault="00D06A2F" w:rsidP="000546C2">
            <w:pPr>
              <w:jc w:val="center"/>
              <w:rPr>
                <w:color w:val="000000"/>
                <w:sz w:val="20"/>
                <w:szCs w:val="20"/>
              </w:rPr>
            </w:pPr>
            <w:r w:rsidRPr="007D22C9">
              <w:rPr>
                <w:color w:val="000000"/>
                <w:sz w:val="20"/>
                <w:szCs w:val="20"/>
              </w:rPr>
              <w:t>0,9</w:t>
            </w:r>
          </w:p>
        </w:tc>
        <w:tc>
          <w:tcPr>
            <w:tcW w:w="1111" w:type="dxa"/>
          </w:tcPr>
          <w:p w:rsidR="00D06A2F" w:rsidRPr="007D22C9" w:rsidRDefault="00D06A2F" w:rsidP="000546C2">
            <w:pPr>
              <w:jc w:val="center"/>
              <w:rPr>
                <w:color w:val="000000"/>
                <w:sz w:val="20"/>
                <w:szCs w:val="20"/>
              </w:rPr>
            </w:pPr>
            <w:r w:rsidRPr="007D22C9">
              <w:rPr>
                <w:color w:val="000000"/>
                <w:sz w:val="20"/>
                <w:szCs w:val="20"/>
              </w:rPr>
              <w:t>1</w:t>
            </w:r>
          </w:p>
        </w:tc>
        <w:tc>
          <w:tcPr>
            <w:tcW w:w="1944" w:type="dxa"/>
          </w:tcPr>
          <w:p w:rsidR="00D06A2F" w:rsidRPr="007D22C9" w:rsidRDefault="00D06A2F" w:rsidP="00BA1432">
            <w:pPr>
              <w:jc w:val="center"/>
              <w:rPr>
                <w:color w:val="000000"/>
                <w:sz w:val="20"/>
                <w:szCs w:val="20"/>
              </w:rPr>
            </w:pPr>
            <w:r w:rsidRPr="007D22C9">
              <w:rPr>
                <w:color w:val="000000"/>
                <w:sz w:val="20"/>
                <w:szCs w:val="20"/>
              </w:rPr>
              <w:t>Амбулаторное/стационарное</w:t>
            </w:r>
          </w:p>
        </w:tc>
      </w:tr>
      <w:tr w:rsidR="00D06A2F" w:rsidRPr="007D22C9" w:rsidTr="00CD3A6F">
        <w:trPr>
          <w:trHeight w:val="20"/>
        </w:trPr>
        <w:tc>
          <w:tcPr>
            <w:tcW w:w="1555" w:type="dxa"/>
            <w:vMerge/>
            <w:tcBorders>
              <w:left w:val="single" w:sz="4" w:space="0" w:color="auto"/>
              <w:right w:val="single" w:sz="4" w:space="0" w:color="auto"/>
            </w:tcBorders>
          </w:tcPr>
          <w:p w:rsidR="00D06A2F" w:rsidRPr="007D22C9" w:rsidRDefault="00D06A2F" w:rsidP="00BA1432">
            <w:pPr>
              <w:rPr>
                <w:sz w:val="20"/>
                <w:szCs w:val="20"/>
              </w:rPr>
            </w:pPr>
          </w:p>
        </w:tc>
        <w:tc>
          <w:tcPr>
            <w:tcW w:w="3685" w:type="dxa"/>
            <w:tcBorders>
              <w:left w:val="single" w:sz="4" w:space="0" w:color="auto"/>
            </w:tcBorders>
            <w:shd w:val="clear" w:color="auto" w:fill="auto"/>
          </w:tcPr>
          <w:p w:rsidR="00D06A2F" w:rsidRPr="007D22C9" w:rsidRDefault="00D06A2F" w:rsidP="00DC0475">
            <w:pPr>
              <w:jc w:val="both"/>
              <w:rPr>
                <w:color w:val="000000"/>
                <w:sz w:val="20"/>
                <w:szCs w:val="20"/>
              </w:rPr>
            </w:pPr>
            <w:r w:rsidRPr="007D22C9">
              <w:rPr>
                <w:color w:val="000000"/>
                <w:sz w:val="20"/>
                <w:szCs w:val="20"/>
              </w:rPr>
              <w:t>ГАУЗ «Городская клиническая больница № 16» г.Казани</w:t>
            </w:r>
          </w:p>
        </w:tc>
        <w:tc>
          <w:tcPr>
            <w:tcW w:w="1994" w:type="dxa"/>
          </w:tcPr>
          <w:p w:rsidR="00D06A2F" w:rsidRPr="007D22C9" w:rsidRDefault="00D06A2F" w:rsidP="00BA1432">
            <w:pPr>
              <w:jc w:val="center"/>
              <w:rPr>
                <w:color w:val="000000"/>
                <w:sz w:val="20"/>
                <w:szCs w:val="20"/>
              </w:rPr>
            </w:pPr>
            <w:r w:rsidRPr="007D22C9">
              <w:rPr>
                <w:color w:val="000000"/>
                <w:sz w:val="20"/>
                <w:szCs w:val="20"/>
              </w:rPr>
              <w:t>Бронхоскоп</w:t>
            </w:r>
          </w:p>
        </w:tc>
        <w:tc>
          <w:tcPr>
            <w:tcW w:w="1181" w:type="dxa"/>
          </w:tcPr>
          <w:p w:rsidR="00D06A2F" w:rsidRPr="007D22C9" w:rsidRDefault="00D06A2F" w:rsidP="000546C2">
            <w:pPr>
              <w:jc w:val="center"/>
              <w:rPr>
                <w:sz w:val="20"/>
                <w:szCs w:val="20"/>
              </w:rPr>
            </w:pPr>
            <w:r w:rsidRPr="007D22C9">
              <w:rPr>
                <w:sz w:val="20"/>
                <w:szCs w:val="20"/>
              </w:rPr>
              <w:t>2022</w:t>
            </w:r>
            <w:r w:rsidR="003D79B3" w:rsidRPr="007D22C9">
              <w:rPr>
                <w:sz w:val="20"/>
                <w:szCs w:val="20"/>
              </w:rPr>
              <w:t xml:space="preserve"> </w:t>
            </w:r>
            <w:r w:rsidR="00FA2076" w:rsidRPr="007D22C9">
              <w:rPr>
                <w:sz w:val="20"/>
                <w:szCs w:val="20"/>
              </w:rPr>
              <w:t>(2)</w:t>
            </w:r>
          </w:p>
        </w:tc>
        <w:tc>
          <w:tcPr>
            <w:tcW w:w="1181" w:type="dxa"/>
          </w:tcPr>
          <w:p w:rsidR="00D06A2F" w:rsidRPr="007D22C9" w:rsidRDefault="00D06A2F" w:rsidP="000546C2">
            <w:pPr>
              <w:jc w:val="center"/>
              <w:rPr>
                <w:color w:val="000000"/>
                <w:sz w:val="20"/>
                <w:szCs w:val="20"/>
              </w:rPr>
            </w:pPr>
            <w:r w:rsidRPr="007D22C9">
              <w:rPr>
                <w:color w:val="000000"/>
                <w:sz w:val="20"/>
                <w:szCs w:val="20"/>
              </w:rPr>
              <w:t>2</w:t>
            </w:r>
          </w:p>
        </w:tc>
        <w:tc>
          <w:tcPr>
            <w:tcW w:w="1478" w:type="dxa"/>
          </w:tcPr>
          <w:p w:rsidR="00D06A2F" w:rsidRPr="007D22C9" w:rsidRDefault="00D06A2F" w:rsidP="000546C2">
            <w:pPr>
              <w:jc w:val="center"/>
              <w:rPr>
                <w:color w:val="000000"/>
                <w:sz w:val="20"/>
                <w:szCs w:val="20"/>
              </w:rPr>
            </w:pPr>
            <w:r w:rsidRPr="007D22C9">
              <w:rPr>
                <w:color w:val="000000"/>
                <w:sz w:val="20"/>
                <w:szCs w:val="20"/>
              </w:rPr>
              <w:t>0,2</w:t>
            </w:r>
          </w:p>
        </w:tc>
        <w:tc>
          <w:tcPr>
            <w:tcW w:w="1111" w:type="dxa"/>
          </w:tcPr>
          <w:p w:rsidR="00D06A2F" w:rsidRPr="007D22C9" w:rsidRDefault="00D06A2F" w:rsidP="000546C2">
            <w:pPr>
              <w:jc w:val="center"/>
              <w:rPr>
                <w:color w:val="000000"/>
                <w:sz w:val="20"/>
                <w:szCs w:val="20"/>
              </w:rPr>
            </w:pPr>
            <w:r w:rsidRPr="007D22C9">
              <w:rPr>
                <w:color w:val="000000"/>
                <w:sz w:val="20"/>
                <w:szCs w:val="20"/>
              </w:rPr>
              <w:t>1</w:t>
            </w:r>
          </w:p>
        </w:tc>
        <w:tc>
          <w:tcPr>
            <w:tcW w:w="1944" w:type="dxa"/>
          </w:tcPr>
          <w:p w:rsidR="00D06A2F" w:rsidRPr="007D22C9" w:rsidRDefault="00D06A2F" w:rsidP="00BA1432">
            <w:pPr>
              <w:jc w:val="center"/>
              <w:rPr>
                <w:color w:val="000000"/>
                <w:sz w:val="20"/>
                <w:szCs w:val="20"/>
              </w:rPr>
            </w:pPr>
            <w:r w:rsidRPr="007D22C9">
              <w:rPr>
                <w:color w:val="000000"/>
                <w:sz w:val="20"/>
                <w:szCs w:val="20"/>
              </w:rPr>
              <w:t>Амбулаторное</w:t>
            </w:r>
          </w:p>
        </w:tc>
      </w:tr>
      <w:tr w:rsidR="00D06A2F" w:rsidRPr="007D22C9" w:rsidTr="00CD3A6F">
        <w:trPr>
          <w:trHeight w:val="20"/>
        </w:trPr>
        <w:tc>
          <w:tcPr>
            <w:tcW w:w="1555" w:type="dxa"/>
            <w:vMerge/>
            <w:tcBorders>
              <w:left w:val="single" w:sz="4" w:space="0" w:color="auto"/>
              <w:right w:val="single" w:sz="4" w:space="0" w:color="auto"/>
            </w:tcBorders>
          </w:tcPr>
          <w:p w:rsidR="00D06A2F" w:rsidRPr="007D22C9" w:rsidRDefault="00D06A2F" w:rsidP="00BA1432">
            <w:pPr>
              <w:rPr>
                <w:sz w:val="20"/>
                <w:szCs w:val="20"/>
              </w:rPr>
            </w:pPr>
          </w:p>
        </w:tc>
        <w:tc>
          <w:tcPr>
            <w:tcW w:w="3685" w:type="dxa"/>
            <w:tcBorders>
              <w:left w:val="single" w:sz="4" w:space="0" w:color="auto"/>
            </w:tcBorders>
            <w:shd w:val="clear" w:color="auto" w:fill="auto"/>
          </w:tcPr>
          <w:p w:rsidR="00D06A2F" w:rsidRPr="007D22C9" w:rsidRDefault="00D06A2F" w:rsidP="00DC0475">
            <w:pPr>
              <w:jc w:val="both"/>
              <w:rPr>
                <w:color w:val="333333"/>
                <w:sz w:val="20"/>
                <w:szCs w:val="20"/>
              </w:rPr>
            </w:pPr>
            <w:r w:rsidRPr="007D22C9">
              <w:rPr>
                <w:color w:val="000000"/>
                <w:sz w:val="20"/>
                <w:szCs w:val="20"/>
              </w:rPr>
              <w:t>ГАУЗ «Центральная городска</w:t>
            </w:r>
            <w:r w:rsidR="009C7AAF" w:rsidRPr="007D22C9">
              <w:rPr>
                <w:color w:val="000000"/>
                <w:sz w:val="20"/>
                <w:szCs w:val="20"/>
              </w:rPr>
              <w:t>я клиническая больница № 18 им.</w:t>
            </w:r>
            <w:r w:rsidRPr="007D22C9">
              <w:rPr>
                <w:color w:val="000000"/>
                <w:sz w:val="20"/>
                <w:szCs w:val="20"/>
              </w:rPr>
              <w:t>проф.К.Ш.Зыятдинова» г.Казани</w:t>
            </w:r>
          </w:p>
        </w:tc>
        <w:tc>
          <w:tcPr>
            <w:tcW w:w="1994" w:type="dxa"/>
          </w:tcPr>
          <w:p w:rsidR="00D06A2F" w:rsidRPr="007D22C9" w:rsidRDefault="00D06A2F" w:rsidP="00BA1432">
            <w:pPr>
              <w:jc w:val="center"/>
              <w:rPr>
                <w:color w:val="000000"/>
                <w:sz w:val="20"/>
                <w:szCs w:val="20"/>
              </w:rPr>
            </w:pPr>
            <w:r w:rsidRPr="007D22C9">
              <w:rPr>
                <w:color w:val="000000"/>
                <w:sz w:val="20"/>
                <w:szCs w:val="20"/>
              </w:rPr>
              <w:t>Бронхоскоп</w:t>
            </w:r>
          </w:p>
        </w:tc>
        <w:tc>
          <w:tcPr>
            <w:tcW w:w="1181" w:type="dxa"/>
          </w:tcPr>
          <w:p w:rsidR="00D06A2F" w:rsidRPr="007D22C9" w:rsidRDefault="00D06A2F" w:rsidP="000546C2">
            <w:pPr>
              <w:jc w:val="center"/>
              <w:rPr>
                <w:sz w:val="20"/>
                <w:szCs w:val="20"/>
              </w:rPr>
            </w:pPr>
            <w:r w:rsidRPr="007D22C9">
              <w:rPr>
                <w:sz w:val="20"/>
                <w:szCs w:val="20"/>
              </w:rPr>
              <w:t>2020</w:t>
            </w:r>
          </w:p>
        </w:tc>
        <w:tc>
          <w:tcPr>
            <w:tcW w:w="1181" w:type="dxa"/>
          </w:tcPr>
          <w:p w:rsidR="00D06A2F" w:rsidRPr="007D22C9" w:rsidRDefault="00D06A2F" w:rsidP="000546C2">
            <w:pPr>
              <w:jc w:val="center"/>
              <w:rPr>
                <w:color w:val="000000"/>
                <w:sz w:val="20"/>
                <w:szCs w:val="20"/>
              </w:rPr>
            </w:pPr>
            <w:r w:rsidRPr="007D22C9">
              <w:rPr>
                <w:color w:val="000000"/>
                <w:sz w:val="20"/>
                <w:szCs w:val="20"/>
              </w:rPr>
              <w:t>1</w:t>
            </w:r>
          </w:p>
        </w:tc>
        <w:tc>
          <w:tcPr>
            <w:tcW w:w="1478" w:type="dxa"/>
          </w:tcPr>
          <w:p w:rsidR="00D06A2F" w:rsidRPr="007D22C9" w:rsidRDefault="00D06A2F" w:rsidP="000546C2">
            <w:pPr>
              <w:jc w:val="center"/>
              <w:rPr>
                <w:color w:val="000000"/>
                <w:sz w:val="20"/>
                <w:szCs w:val="20"/>
              </w:rPr>
            </w:pPr>
            <w:r w:rsidRPr="007D22C9">
              <w:rPr>
                <w:color w:val="000000"/>
                <w:sz w:val="20"/>
                <w:szCs w:val="20"/>
              </w:rPr>
              <w:t>0,1</w:t>
            </w:r>
          </w:p>
        </w:tc>
        <w:tc>
          <w:tcPr>
            <w:tcW w:w="1111" w:type="dxa"/>
          </w:tcPr>
          <w:p w:rsidR="00D06A2F" w:rsidRPr="007D22C9" w:rsidRDefault="00D06A2F" w:rsidP="000546C2">
            <w:pPr>
              <w:jc w:val="center"/>
              <w:rPr>
                <w:color w:val="000000"/>
                <w:sz w:val="20"/>
                <w:szCs w:val="20"/>
              </w:rPr>
            </w:pPr>
            <w:r w:rsidRPr="007D22C9">
              <w:rPr>
                <w:color w:val="000000"/>
                <w:sz w:val="20"/>
                <w:szCs w:val="20"/>
              </w:rPr>
              <w:t>1</w:t>
            </w:r>
          </w:p>
        </w:tc>
        <w:tc>
          <w:tcPr>
            <w:tcW w:w="1944" w:type="dxa"/>
          </w:tcPr>
          <w:p w:rsidR="00D06A2F" w:rsidRPr="007D22C9" w:rsidRDefault="00D06A2F" w:rsidP="00BA1432">
            <w:pPr>
              <w:jc w:val="center"/>
              <w:rPr>
                <w:color w:val="000000"/>
                <w:sz w:val="20"/>
                <w:szCs w:val="20"/>
              </w:rPr>
            </w:pPr>
            <w:r w:rsidRPr="007D22C9">
              <w:rPr>
                <w:color w:val="000000"/>
                <w:sz w:val="20"/>
                <w:szCs w:val="20"/>
              </w:rPr>
              <w:t>Амбулаторное/стационарное</w:t>
            </w:r>
          </w:p>
        </w:tc>
      </w:tr>
      <w:tr w:rsidR="00D06A2F" w:rsidRPr="007D22C9" w:rsidTr="00CD3A6F">
        <w:trPr>
          <w:trHeight w:val="20"/>
        </w:trPr>
        <w:tc>
          <w:tcPr>
            <w:tcW w:w="1555" w:type="dxa"/>
            <w:vMerge/>
            <w:tcBorders>
              <w:left w:val="single" w:sz="4" w:space="0" w:color="auto"/>
              <w:right w:val="single" w:sz="4" w:space="0" w:color="auto"/>
            </w:tcBorders>
          </w:tcPr>
          <w:p w:rsidR="00D06A2F" w:rsidRPr="007D22C9" w:rsidRDefault="00D06A2F" w:rsidP="00BA1432">
            <w:pPr>
              <w:rPr>
                <w:sz w:val="20"/>
                <w:szCs w:val="20"/>
              </w:rPr>
            </w:pPr>
          </w:p>
        </w:tc>
        <w:tc>
          <w:tcPr>
            <w:tcW w:w="3685" w:type="dxa"/>
            <w:tcBorders>
              <w:left w:val="single" w:sz="4" w:space="0" w:color="auto"/>
            </w:tcBorders>
            <w:shd w:val="clear" w:color="auto" w:fill="auto"/>
          </w:tcPr>
          <w:p w:rsidR="00D06A2F" w:rsidRPr="007D22C9" w:rsidRDefault="00D06A2F" w:rsidP="00DC0475">
            <w:pPr>
              <w:jc w:val="both"/>
              <w:rPr>
                <w:color w:val="0D0D0D" w:themeColor="text1" w:themeTint="F2"/>
                <w:sz w:val="20"/>
                <w:szCs w:val="20"/>
              </w:rPr>
            </w:pPr>
            <w:r w:rsidRPr="007D22C9">
              <w:rPr>
                <w:color w:val="0D0D0D" w:themeColor="text1" w:themeTint="F2"/>
                <w:sz w:val="20"/>
                <w:szCs w:val="20"/>
              </w:rPr>
              <w:t xml:space="preserve">ГАУЗ «Клиническая больница № 2» г.Казани </w:t>
            </w:r>
          </w:p>
        </w:tc>
        <w:tc>
          <w:tcPr>
            <w:tcW w:w="1994" w:type="dxa"/>
          </w:tcPr>
          <w:p w:rsidR="00D06A2F" w:rsidRPr="007D22C9" w:rsidRDefault="00D06A2F" w:rsidP="00BA1432">
            <w:pPr>
              <w:jc w:val="center"/>
              <w:rPr>
                <w:color w:val="000000"/>
                <w:sz w:val="20"/>
                <w:szCs w:val="20"/>
              </w:rPr>
            </w:pPr>
            <w:r w:rsidRPr="007D22C9">
              <w:rPr>
                <w:color w:val="000000"/>
                <w:sz w:val="20"/>
                <w:szCs w:val="20"/>
              </w:rPr>
              <w:t>Бронхоскоп</w:t>
            </w:r>
          </w:p>
        </w:tc>
        <w:tc>
          <w:tcPr>
            <w:tcW w:w="1181" w:type="dxa"/>
          </w:tcPr>
          <w:p w:rsidR="00D06A2F" w:rsidRPr="007D22C9" w:rsidRDefault="00D06A2F" w:rsidP="000546C2">
            <w:pPr>
              <w:jc w:val="center"/>
              <w:rPr>
                <w:sz w:val="20"/>
                <w:szCs w:val="20"/>
              </w:rPr>
            </w:pPr>
            <w:r w:rsidRPr="007D22C9">
              <w:rPr>
                <w:sz w:val="20"/>
                <w:szCs w:val="20"/>
              </w:rPr>
              <w:t>2020</w:t>
            </w:r>
            <w:r w:rsidR="003D79B3" w:rsidRPr="007D22C9">
              <w:rPr>
                <w:sz w:val="20"/>
                <w:szCs w:val="20"/>
              </w:rPr>
              <w:t xml:space="preserve"> </w:t>
            </w:r>
            <w:r w:rsidR="00FA2076" w:rsidRPr="007D22C9">
              <w:rPr>
                <w:sz w:val="20"/>
                <w:szCs w:val="20"/>
              </w:rPr>
              <w:t>(2)</w:t>
            </w:r>
          </w:p>
        </w:tc>
        <w:tc>
          <w:tcPr>
            <w:tcW w:w="1181" w:type="dxa"/>
          </w:tcPr>
          <w:p w:rsidR="00D06A2F" w:rsidRPr="007D22C9" w:rsidRDefault="00D06A2F" w:rsidP="000546C2">
            <w:pPr>
              <w:jc w:val="center"/>
              <w:rPr>
                <w:color w:val="000000"/>
                <w:sz w:val="20"/>
                <w:szCs w:val="20"/>
              </w:rPr>
            </w:pPr>
            <w:r w:rsidRPr="007D22C9">
              <w:rPr>
                <w:color w:val="000000"/>
                <w:sz w:val="20"/>
                <w:szCs w:val="20"/>
              </w:rPr>
              <w:t>2</w:t>
            </w:r>
          </w:p>
        </w:tc>
        <w:tc>
          <w:tcPr>
            <w:tcW w:w="1478" w:type="dxa"/>
          </w:tcPr>
          <w:p w:rsidR="00D06A2F" w:rsidRPr="007D22C9" w:rsidRDefault="00D06A2F" w:rsidP="000546C2">
            <w:pPr>
              <w:jc w:val="center"/>
              <w:rPr>
                <w:color w:val="000000"/>
                <w:sz w:val="20"/>
                <w:szCs w:val="20"/>
              </w:rPr>
            </w:pPr>
            <w:r w:rsidRPr="007D22C9">
              <w:rPr>
                <w:color w:val="000000"/>
                <w:sz w:val="20"/>
                <w:szCs w:val="20"/>
              </w:rPr>
              <w:t>0</w:t>
            </w:r>
          </w:p>
        </w:tc>
        <w:tc>
          <w:tcPr>
            <w:tcW w:w="1111" w:type="dxa"/>
          </w:tcPr>
          <w:p w:rsidR="00D06A2F" w:rsidRPr="007D22C9" w:rsidRDefault="00D06A2F" w:rsidP="000546C2">
            <w:pPr>
              <w:jc w:val="center"/>
              <w:rPr>
                <w:color w:val="000000"/>
                <w:sz w:val="20"/>
                <w:szCs w:val="20"/>
              </w:rPr>
            </w:pPr>
            <w:r w:rsidRPr="007D22C9">
              <w:rPr>
                <w:color w:val="000000"/>
                <w:sz w:val="20"/>
                <w:szCs w:val="20"/>
              </w:rPr>
              <w:t>0</w:t>
            </w:r>
          </w:p>
        </w:tc>
        <w:tc>
          <w:tcPr>
            <w:tcW w:w="1944" w:type="dxa"/>
          </w:tcPr>
          <w:p w:rsidR="00D06A2F" w:rsidRPr="007D22C9" w:rsidRDefault="00D06A2F" w:rsidP="00BA1432">
            <w:pPr>
              <w:jc w:val="center"/>
              <w:rPr>
                <w:color w:val="000000"/>
                <w:sz w:val="20"/>
                <w:szCs w:val="20"/>
              </w:rPr>
            </w:pPr>
            <w:r w:rsidRPr="007D22C9">
              <w:rPr>
                <w:color w:val="000000"/>
                <w:sz w:val="20"/>
                <w:szCs w:val="20"/>
              </w:rPr>
              <w:t>Амбулаторное/стационарное</w:t>
            </w:r>
          </w:p>
        </w:tc>
      </w:tr>
      <w:tr w:rsidR="00D06A2F" w:rsidRPr="007D22C9" w:rsidTr="00CD3A6F">
        <w:trPr>
          <w:trHeight w:val="20"/>
        </w:trPr>
        <w:tc>
          <w:tcPr>
            <w:tcW w:w="1555" w:type="dxa"/>
            <w:vMerge/>
            <w:tcBorders>
              <w:left w:val="single" w:sz="4" w:space="0" w:color="auto"/>
              <w:right w:val="single" w:sz="4" w:space="0" w:color="auto"/>
            </w:tcBorders>
          </w:tcPr>
          <w:p w:rsidR="00D06A2F" w:rsidRPr="007D22C9" w:rsidRDefault="00D06A2F" w:rsidP="00BA1432">
            <w:pPr>
              <w:rPr>
                <w:sz w:val="20"/>
                <w:szCs w:val="20"/>
              </w:rPr>
            </w:pPr>
          </w:p>
        </w:tc>
        <w:tc>
          <w:tcPr>
            <w:tcW w:w="3685" w:type="dxa"/>
            <w:tcBorders>
              <w:left w:val="single" w:sz="4" w:space="0" w:color="auto"/>
            </w:tcBorders>
            <w:shd w:val="clear" w:color="auto" w:fill="auto"/>
          </w:tcPr>
          <w:p w:rsidR="00D06A2F" w:rsidRPr="007D22C9" w:rsidRDefault="00D06A2F" w:rsidP="00DC0475">
            <w:pPr>
              <w:jc w:val="both"/>
              <w:rPr>
                <w:color w:val="0D0D0D" w:themeColor="text1" w:themeTint="F2"/>
                <w:sz w:val="20"/>
                <w:szCs w:val="20"/>
              </w:rPr>
            </w:pPr>
            <w:r w:rsidRPr="007D22C9">
              <w:rPr>
                <w:color w:val="0D0D0D" w:themeColor="text1" w:themeTint="F2"/>
                <w:sz w:val="20"/>
                <w:szCs w:val="20"/>
              </w:rPr>
              <w:t>ГАУЗ «Клиника медицинского университета» г.Казани</w:t>
            </w:r>
          </w:p>
        </w:tc>
        <w:tc>
          <w:tcPr>
            <w:tcW w:w="1994" w:type="dxa"/>
          </w:tcPr>
          <w:p w:rsidR="00D06A2F" w:rsidRPr="007D22C9" w:rsidRDefault="00D06A2F" w:rsidP="00BA1432">
            <w:pPr>
              <w:jc w:val="center"/>
              <w:rPr>
                <w:color w:val="000000"/>
                <w:sz w:val="20"/>
                <w:szCs w:val="20"/>
              </w:rPr>
            </w:pPr>
            <w:r w:rsidRPr="007D22C9">
              <w:rPr>
                <w:color w:val="000000"/>
                <w:sz w:val="20"/>
                <w:szCs w:val="20"/>
              </w:rPr>
              <w:t>Бронхоскоп</w:t>
            </w:r>
          </w:p>
        </w:tc>
        <w:tc>
          <w:tcPr>
            <w:tcW w:w="1181" w:type="dxa"/>
          </w:tcPr>
          <w:p w:rsidR="00D06A2F" w:rsidRPr="007D22C9" w:rsidRDefault="00D06A2F" w:rsidP="000546C2">
            <w:pPr>
              <w:jc w:val="center"/>
              <w:rPr>
                <w:sz w:val="20"/>
                <w:szCs w:val="20"/>
              </w:rPr>
            </w:pPr>
            <w:r w:rsidRPr="007D22C9">
              <w:rPr>
                <w:sz w:val="20"/>
                <w:szCs w:val="20"/>
              </w:rPr>
              <w:t>2017</w:t>
            </w:r>
          </w:p>
        </w:tc>
        <w:tc>
          <w:tcPr>
            <w:tcW w:w="1181" w:type="dxa"/>
          </w:tcPr>
          <w:p w:rsidR="00D06A2F" w:rsidRPr="007D22C9" w:rsidRDefault="00D06A2F" w:rsidP="000546C2">
            <w:pPr>
              <w:jc w:val="center"/>
              <w:rPr>
                <w:color w:val="000000"/>
                <w:sz w:val="20"/>
                <w:szCs w:val="20"/>
              </w:rPr>
            </w:pPr>
            <w:r w:rsidRPr="007D22C9">
              <w:rPr>
                <w:color w:val="000000"/>
                <w:sz w:val="20"/>
                <w:szCs w:val="20"/>
              </w:rPr>
              <w:t>1</w:t>
            </w:r>
          </w:p>
        </w:tc>
        <w:tc>
          <w:tcPr>
            <w:tcW w:w="1478" w:type="dxa"/>
          </w:tcPr>
          <w:p w:rsidR="00D06A2F" w:rsidRPr="007D22C9" w:rsidRDefault="00D06A2F" w:rsidP="000546C2">
            <w:pPr>
              <w:jc w:val="center"/>
              <w:rPr>
                <w:color w:val="000000"/>
                <w:sz w:val="20"/>
                <w:szCs w:val="20"/>
              </w:rPr>
            </w:pPr>
            <w:r w:rsidRPr="007D22C9">
              <w:rPr>
                <w:color w:val="000000"/>
                <w:sz w:val="20"/>
                <w:szCs w:val="20"/>
              </w:rPr>
              <w:t>0,02</w:t>
            </w:r>
          </w:p>
        </w:tc>
        <w:tc>
          <w:tcPr>
            <w:tcW w:w="1111" w:type="dxa"/>
          </w:tcPr>
          <w:p w:rsidR="00D06A2F" w:rsidRPr="007D22C9" w:rsidRDefault="00D06A2F" w:rsidP="000546C2">
            <w:pPr>
              <w:jc w:val="center"/>
              <w:rPr>
                <w:color w:val="000000"/>
                <w:sz w:val="20"/>
                <w:szCs w:val="20"/>
              </w:rPr>
            </w:pPr>
            <w:r w:rsidRPr="007D22C9">
              <w:rPr>
                <w:color w:val="000000"/>
                <w:sz w:val="20"/>
                <w:szCs w:val="20"/>
              </w:rPr>
              <w:t>1</w:t>
            </w:r>
          </w:p>
        </w:tc>
        <w:tc>
          <w:tcPr>
            <w:tcW w:w="1944" w:type="dxa"/>
          </w:tcPr>
          <w:p w:rsidR="00D06A2F" w:rsidRPr="007D22C9" w:rsidRDefault="00D06A2F" w:rsidP="00BA1432">
            <w:pPr>
              <w:jc w:val="center"/>
              <w:rPr>
                <w:color w:val="000000"/>
                <w:sz w:val="20"/>
                <w:szCs w:val="20"/>
              </w:rPr>
            </w:pPr>
            <w:r w:rsidRPr="007D22C9">
              <w:rPr>
                <w:color w:val="000000"/>
                <w:sz w:val="20"/>
                <w:szCs w:val="20"/>
              </w:rPr>
              <w:t>Амбулаторное/стационарное</w:t>
            </w:r>
          </w:p>
        </w:tc>
      </w:tr>
      <w:tr w:rsidR="00D06A2F" w:rsidRPr="007D22C9" w:rsidTr="00CD3A6F">
        <w:trPr>
          <w:trHeight w:val="20"/>
        </w:trPr>
        <w:tc>
          <w:tcPr>
            <w:tcW w:w="1555" w:type="dxa"/>
            <w:vMerge/>
            <w:tcBorders>
              <w:left w:val="single" w:sz="4" w:space="0" w:color="auto"/>
              <w:right w:val="single" w:sz="4" w:space="0" w:color="auto"/>
            </w:tcBorders>
          </w:tcPr>
          <w:p w:rsidR="00D06A2F" w:rsidRPr="007D22C9" w:rsidRDefault="00D06A2F" w:rsidP="00BA1432">
            <w:pPr>
              <w:rPr>
                <w:sz w:val="20"/>
                <w:szCs w:val="20"/>
              </w:rPr>
            </w:pPr>
          </w:p>
        </w:tc>
        <w:tc>
          <w:tcPr>
            <w:tcW w:w="3685" w:type="dxa"/>
            <w:tcBorders>
              <w:left w:val="single" w:sz="4" w:space="0" w:color="auto"/>
            </w:tcBorders>
          </w:tcPr>
          <w:p w:rsidR="00D06A2F" w:rsidRPr="007D22C9" w:rsidRDefault="00D06A2F" w:rsidP="00DC0475">
            <w:pPr>
              <w:jc w:val="both"/>
              <w:rPr>
                <w:color w:val="0D0D0D" w:themeColor="text1" w:themeTint="F2"/>
                <w:sz w:val="20"/>
                <w:szCs w:val="20"/>
              </w:rPr>
            </w:pPr>
            <w:r w:rsidRPr="007D22C9">
              <w:rPr>
                <w:color w:val="0D0D0D" w:themeColor="text1" w:themeTint="F2"/>
                <w:sz w:val="20"/>
                <w:szCs w:val="20"/>
              </w:rPr>
              <w:t xml:space="preserve">ГАУЗ «Госпиталь для ветеранов войн» г.Казани </w:t>
            </w:r>
          </w:p>
        </w:tc>
        <w:tc>
          <w:tcPr>
            <w:tcW w:w="1994" w:type="dxa"/>
          </w:tcPr>
          <w:p w:rsidR="00D06A2F" w:rsidRPr="007D22C9" w:rsidRDefault="00D06A2F" w:rsidP="00BA1432">
            <w:pPr>
              <w:jc w:val="center"/>
              <w:rPr>
                <w:color w:val="000000"/>
                <w:sz w:val="20"/>
                <w:szCs w:val="20"/>
              </w:rPr>
            </w:pPr>
            <w:r w:rsidRPr="007D22C9">
              <w:rPr>
                <w:color w:val="000000"/>
                <w:sz w:val="20"/>
                <w:szCs w:val="20"/>
              </w:rPr>
              <w:t>Бронхоскоп</w:t>
            </w:r>
          </w:p>
        </w:tc>
        <w:tc>
          <w:tcPr>
            <w:tcW w:w="1181" w:type="dxa"/>
          </w:tcPr>
          <w:p w:rsidR="00D06A2F" w:rsidRPr="007D22C9" w:rsidRDefault="00D06A2F" w:rsidP="000546C2">
            <w:pPr>
              <w:jc w:val="center"/>
              <w:rPr>
                <w:sz w:val="20"/>
                <w:szCs w:val="20"/>
              </w:rPr>
            </w:pPr>
            <w:r w:rsidRPr="007D22C9">
              <w:rPr>
                <w:sz w:val="20"/>
                <w:szCs w:val="20"/>
              </w:rPr>
              <w:t>2020</w:t>
            </w:r>
          </w:p>
        </w:tc>
        <w:tc>
          <w:tcPr>
            <w:tcW w:w="1181" w:type="dxa"/>
          </w:tcPr>
          <w:p w:rsidR="00D06A2F" w:rsidRPr="007D22C9" w:rsidRDefault="00D06A2F" w:rsidP="000546C2">
            <w:pPr>
              <w:jc w:val="center"/>
              <w:rPr>
                <w:color w:val="000000"/>
                <w:sz w:val="20"/>
                <w:szCs w:val="20"/>
              </w:rPr>
            </w:pPr>
            <w:r w:rsidRPr="007D22C9">
              <w:rPr>
                <w:color w:val="000000"/>
                <w:sz w:val="20"/>
                <w:szCs w:val="20"/>
              </w:rPr>
              <w:t>1</w:t>
            </w:r>
          </w:p>
        </w:tc>
        <w:tc>
          <w:tcPr>
            <w:tcW w:w="1478" w:type="dxa"/>
          </w:tcPr>
          <w:p w:rsidR="00D06A2F" w:rsidRPr="007D22C9" w:rsidRDefault="00D06A2F" w:rsidP="000546C2">
            <w:pPr>
              <w:jc w:val="center"/>
              <w:rPr>
                <w:color w:val="000000"/>
                <w:sz w:val="20"/>
                <w:szCs w:val="20"/>
              </w:rPr>
            </w:pPr>
            <w:r w:rsidRPr="007D22C9">
              <w:rPr>
                <w:color w:val="000000"/>
                <w:sz w:val="20"/>
                <w:szCs w:val="20"/>
              </w:rPr>
              <w:t>0</w:t>
            </w:r>
          </w:p>
        </w:tc>
        <w:tc>
          <w:tcPr>
            <w:tcW w:w="1111" w:type="dxa"/>
          </w:tcPr>
          <w:p w:rsidR="00D06A2F" w:rsidRPr="007D22C9" w:rsidRDefault="00D06A2F" w:rsidP="000546C2">
            <w:pPr>
              <w:jc w:val="center"/>
              <w:rPr>
                <w:color w:val="000000"/>
                <w:sz w:val="20"/>
                <w:szCs w:val="20"/>
              </w:rPr>
            </w:pPr>
            <w:r w:rsidRPr="007D22C9">
              <w:rPr>
                <w:color w:val="000000"/>
                <w:sz w:val="20"/>
                <w:szCs w:val="20"/>
              </w:rPr>
              <w:t>0</w:t>
            </w:r>
          </w:p>
        </w:tc>
        <w:tc>
          <w:tcPr>
            <w:tcW w:w="1944" w:type="dxa"/>
          </w:tcPr>
          <w:p w:rsidR="00D06A2F" w:rsidRPr="007D22C9" w:rsidRDefault="00D06A2F" w:rsidP="00BA1432">
            <w:pPr>
              <w:jc w:val="center"/>
              <w:rPr>
                <w:color w:val="000000"/>
                <w:sz w:val="20"/>
                <w:szCs w:val="20"/>
              </w:rPr>
            </w:pPr>
            <w:r w:rsidRPr="007D22C9">
              <w:rPr>
                <w:color w:val="000000"/>
                <w:sz w:val="20"/>
                <w:szCs w:val="20"/>
              </w:rPr>
              <w:t>Амбулаторное</w:t>
            </w:r>
          </w:p>
        </w:tc>
      </w:tr>
      <w:tr w:rsidR="00D06A2F" w:rsidRPr="007D22C9" w:rsidTr="00CD3A6F">
        <w:trPr>
          <w:trHeight w:val="20"/>
        </w:trPr>
        <w:tc>
          <w:tcPr>
            <w:tcW w:w="1555" w:type="dxa"/>
            <w:vMerge/>
            <w:tcBorders>
              <w:left w:val="single" w:sz="4" w:space="0" w:color="auto"/>
              <w:right w:val="single" w:sz="4" w:space="0" w:color="auto"/>
            </w:tcBorders>
          </w:tcPr>
          <w:p w:rsidR="00D06A2F" w:rsidRPr="007D22C9" w:rsidRDefault="00D06A2F" w:rsidP="00BA1432">
            <w:pPr>
              <w:rPr>
                <w:sz w:val="20"/>
                <w:szCs w:val="20"/>
              </w:rPr>
            </w:pPr>
          </w:p>
        </w:tc>
        <w:tc>
          <w:tcPr>
            <w:tcW w:w="3685" w:type="dxa"/>
            <w:tcBorders>
              <w:left w:val="single" w:sz="4" w:space="0" w:color="auto"/>
            </w:tcBorders>
          </w:tcPr>
          <w:p w:rsidR="00D06A2F" w:rsidRPr="007D22C9" w:rsidRDefault="00D06A2F" w:rsidP="00DC0475">
            <w:pPr>
              <w:jc w:val="both"/>
              <w:rPr>
                <w:color w:val="333333"/>
                <w:sz w:val="20"/>
                <w:szCs w:val="20"/>
              </w:rPr>
            </w:pPr>
            <w:r w:rsidRPr="007D22C9">
              <w:rPr>
                <w:color w:val="333333"/>
                <w:sz w:val="20"/>
                <w:szCs w:val="20"/>
              </w:rPr>
              <w:t xml:space="preserve">ГАУЗ </w:t>
            </w:r>
            <w:r w:rsidRPr="007D22C9">
              <w:rPr>
                <w:rFonts w:eastAsia="Calibri"/>
                <w:sz w:val="20"/>
                <w:szCs w:val="20"/>
              </w:rPr>
              <w:t>«Межрегиональный клинико-диагностический центр»</w:t>
            </w:r>
          </w:p>
        </w:tc>
        <w:tc>
          <w:tcPr>
            <w:tcW w:w="1994" w:type="dxa"/>
          </w:tcPr>
          <w:p w:rsidR="00D06A2F" w:rsidRPr="007D22C9" w:rsidRDefault="00D06A2F" w:rsidP="00BA1432">
            <w:pPr>
              <w:jc w:val="center"/>
              <w:rPr>
                <w:color w:val="000000"/>
                <w:sz w:val="20"/>
                <w:szCs w:val="20"/>
              </w:rPr>
            </w:pPr>
            <w:r w:rsidRPr="007D22C9">
              <w:rPr>
                <w:color w:val="000000"/>
                <w:sz w:val="20"/>
                <w:szCs w:val="20"/>
              </w:rPr>
              <w:t>Бронхоскоп</w:t>
            </w:r>
          </w:p>
        </w:tc>
        <w:tc>
          <w:tcPr>
            <w:tcW w:w="1181" w:type="dxa"/>
          </w:tcPr>
          <w:p w:rsidR="00D06A2F" w:rsidRPr="007D22C9" w:rsidRDefault="00D06A2F" w:rsidP="000546C2">
            <w:pPr>
              <w:jc w:val="center"/>
              <w:rPr>
                <w:sz w:val="20"/>
                <w:szCs w:val="20"/>
              </w:rPr>
            </w:pPr>
            <w:r w:rsidRPr="007D22C9">
              <w:rPr>
                <w:sz w:val="20"/>
                <w:szCs w:val="20"/>
              </w:rPr>
              <w:t>2007</w:t>
            </w:r>
            <w:r w:rsidR="003D79B3" w:rsidRPr="007D22C9">
              <w:rPr>
                <w:sz w:val="20"/>
                <w:szCs w:val="20"/>
              </w:rPr>
              <w:t xml:space="preserve"> </w:t>
            </w:r>
            <w:r w:rsidR="00FA2076" w:rsidRPr="007D22C9">
              <w:rPr>
                <w:sz w:val="20"/>
                <w:szCs w:val="20"/>
              </w:rPr>
              <w:t>(2)</w:t>
            </w:r>
          </w:p>
          <w:p w:rsidR="00D06A2F" w:rsidRPr="007D22C9" w:rsidRDefault="00D06A2F" w:rsidP="000546C2">
            <w:pPr>
              <w:jc w:val="center"/>
              <w:rPr>
                <w:sz w:val="20"/>
                <w:szCs w:val="20"/>
              </w:rPr>
            </w:pPr>
            <w:r w:rsidRPr="007D22C9">
              <w:rPr>
                <w:sz w:val="20"/>
                <w:szCs w:val="20"/>
              </w:rPr>
              <w:t>2022</w:t>
            </w:r>
            <w:r w:rsidR="003D79B3" w:rsidRPr="007D22C9">
              <w:rPr>
                <w:sz w:val="20"/>
                <w:szCs w:val="20"/>
              </w:rPr>
              <w:t xml:space="preserve"> </w:t>
            </w:r>
            <w:r w:rsidR="00FA2076" w:rsidRPr="007D22C9">
              <w:rPr>
                <w:sz w:val="20"/>
                <w:szCs w:val="20"/>
              </w:rPr>
              <w:t>(1)</w:t>
            </w:r>
          </w:p>
        </w:tc>
        <w:tc>
          <w:tcPr>
            <w:tcW w:w="1181" w:type="dxa"/>
          </w:tcPr>
          <w:p w:rsidR="00D06A2F" w:rsidRPr="007D22C9" w:rsidRDefault="00D06A2F" w:rsidP="000546C2">
            <w:pPr>
              <w:jc w:val="center"/>
              <w:rPr>
                <w:color w:val="000000"/>
                <w:sz w:val="20"/>
                <w:szCs w:val="20"/>
              </w:rPr>
            </w:pPr>
            <w:r w:rsidRPr="007D22C9">
              <w:rPr>
                <w:color w:val="000000"/>
                <w:sz w:val="20"/>
                <w:szCs w:val="20"/>
              </w:rPr>
              <w:t>3</w:t>
            </w:r>
          </w:p>
        </w:tc>
        <w:tc>
          <w:tcPr>
            <w:tcW w:w="1478" w:type="dxa"/>
          </w:tcPr>
          <w:p w:rsidR="00D06A2F" w:rsidRPr="007D22C9" w:rsidRDefault="00D06A2F" w:rsidP="000546C2">
            <w:pPr>
              <w:jc w:val="center"/>
              <w:rPr>
                <w:color w:val="000000"/>
                <w:sz w:val="20"/>
                <w:szCs w:val="20"/>
              </w:rPr>
            </w:pPr>
            <w:r w:rsidRPr="007D22C9">
              <w:rPr>
                <w:color w:val="000000"/>
                <w:sz w:val="20"/>
                <w:szCs w:val="20"/>
              </w:rPr>
              <w:t>2,1</w:t>
            </w:r>
          </w:p>
        </w:tc>
        <w:tc>
          <w:tcPr>
            <w:tcW w:w="1111" w:type="dxa"/>
          </w:tcPr>
          <w:p w:rsidR="00D06A2F" w:rsidRPr="007D22C9" w:rsidRDefault="00D06A2F" w:rsidP="000546C2">
            <w:pPr>
              <w:jc w:val="center"/>
              <w:rPr>
                <w:color w:val="000000"/>
                <w:sz w:val="20"/>
                <w:szCs w:val="20"/>
              </w:rPr>
            </w:pPr>
            <w:r w:rsidRPr="007D22C9">
              <w:rPr>
                <w:color w:val="000000"/>
                <w:sz w:val="20"/>
                <w:szCs w:val="20"/>
              </w:rPr>
              <w:t>1</w:t>
            </w:r>
          </w:p>
        </w:tc>
        <w:tc>
          <w:tcPr>
            <w:tcW w:w="1944" w:type="dxa"/>
          </w:tcPr>
          <w:p w:rsidR="00D06A2F" w:rsidRPr="007D22C9" w:rsidRDefault="00D06A2F" w:rsidP="00BA1432">
            <w:pPr>
              <w:jc w:val="center"/>
              <w:rPr>
                <w:color w:val="000000"/>
                <w:sz w:val="20"/>
                <w:szCs w:val="20"/>
              </w:rPr>
            </w:pPr>
            <w:r w:rsidRPr="007D22C9">
              <w:rPr>
                <w:color w:val="000000"/>
                <w:sz w:val="20"/>
                <w:szCs w:val="20"/>
              </w:rPr>
              <w:t>Стационарное</w:t>
            </w:r>
          </w:p>
        </w:tc>
      </w:tr>
      <w:tr w:rsidR="00D06A2F" w:rsidRPr="007D22C9" w:rsidTr="00CD3A6F">
        <w:trPr>
          <w:trHeight w:val="20"/>
        </w:trPr>
        <w:tc>
          <w:tcPr>
            <w:tcW w:w="1555" w:type="dxa"/>
            <w:vMerge/>
            <w:tcBorders>
              <w:left w:val="single" w:sz="4" w:space="0" w:color="auto"/>
              <w:right w:val="single" w:sz="4" w:space="0" w:color="auto"/>
            </w:tcBorders>
          </w:tcPr>
          <w:p w:rsidR="00D06A2F" w:rsidRPr="007D22C9" w:rsidRDefault="00D06A2F" w:rsidP="00BA1432">
            <w:pPr>
              <w:rPr>
                <w:sz w:val="20"/>
                <w:szCs w:val="20"/>
              </w:rPr>
            </w:pPr>
          </w:p>
        </w:tc>
        <w:tc>
          <w:tcPr>
            <w:tcW w:w="3685" w:type="dxa"/>
            <w:tcBorders>
              <w:left w:val="single" w:sz="4" w:space="0" w:color="auto"/>
            </w:tcBorders>
          </w:tcPr>
          <w:p w:rsidR="00D06A2F" w:rsidRPr="007D22C9" w:rsidRDefault="00D06A2F" w:rsidP="00DC0475">
            <w:pPr>
              <w:jc w:val="both"/>
              <w:rPr>
                <w:color w:val="333333"/>
                <w:sz w:val="20"/>
                <w:szCs w:val="20"/>
              </w:rPr>
            </w:pPr>
            <w:r w:rsidRPr="007D22C9">
              <w:rPr>
                <w:color w:val="333333"/>
                <w:sz w:val="20"/>
                <w:szCs w:val="20"/>
              </w:rPr>
              <w:t xml:space="preserve">ГАУЗ </w:t>
            </w:r>
            <w:r w:rsidRPr="007D22C9">
              <w:rPr>
                <w:rFonts w:eastAsia="Calibri"/>
                <w:sz w:val="20"/>
                <w:szCs w:val="20"/>
              </w:rPr>
              <w:t>«Республиканская клиническая больница Министерства здравоохранения Республики Татарстан»</w:t>
            </w:r>
            <w:r w:rsidRPr="007D22C9">
              <w:rPr>
                <w:color w:val="333333"/>
                <w:sz w:val="20"/>
                <w:szCs w:val="20"/>
              </w:rPr>
              <w:t xml:space="preserve"> </w:t>
            </w:r>
          </w:p>
        </w:tc>
        <w:tc>
          <w:tcPr>
            <w:tcW w:w="1994" w:type="dxa"/>
          </w:tcPr>
          <w:p w:rsidR="00D06A2F" w:rsidRPr="007D22C9" w:rsidRDefault="00D06A2F" w:rsidP="00BA1432">
            <w:pPr>
              <w:jc w:val="center"/>
              <w:rPr>
                <w:color w:val="000000"/>
                <w:sz w:val="20"/>
                <w:szCs w:val="20"/>
              </w:rPr>
            </w:pPr>
            <w:r w:rsidRPr="007D22C9">
              <w:rPr>
                <w:color w:val="000000"/>
                <w:sz w:val="20"/>
                <w:szCs w:val="20"/>
              </w:rPr>
              <w:t>Бронхоскоп</w:t>
            </w:r>
          </w:p>
        </w:tc>
        <w:tc>
          <w:tcPr>
            <w:tcW w:w="1181" w:type="dxa"/>
          </w:tcPr>
          <w:p w:rsidR="00D06A2F" w:rsidRPr="007D22C9" w:rsidRDefault="00D06A2F" w:rsidP="000546C2">
            <w:pPr>
              <w:jc w:val="center"/>
              <w:rPr>
                <w:sz w:val="20"/>
                <w:szCs w:val="20"/>
              </w:rPr>
            </w:pPr>
            <w:r w:rsidRPr="007D22C9">
              <w:rPr>
                <w:sz w:val="20"/>
                <w:szCs w:val="20"/>
              </w:rPr>
              <w:t>2020</w:t>
            </w:r>
            <w:r w:rsidR="003D79B3" w:rsidRPr="007D22C9">
              <w:rPr>
                <w:sz w:val="20"/>
                <w:szCs w:val="20"/>
              </w:rPr>
              <w:t xml:space="preserve"> </w:t>
            </w:r>
            <w:r w:rsidR="00FA2076" w:rsidRPr="007D22C9">
              <w:rPr>
                <w:sz w:val="20"/>
                <w:szCs w:val="20"/>
              </w:rPr>
              <w:t>(3)</w:t>
            </w:r>
          </w:p>
          <w:p w:rsidR="00D06A2F" w:rsidRPr="007D22C9" w:rsidRDefault="00D06A2F" w:rsidP="000546C2">
            <w:pPr>
              <w:jc w:val="center"/>
              <w:rPr>
                <w:sz w:val="20"/>
                <w:szCs w:val="20"/>
              </w:rPr>
            </w:pPr>
            <w:r w:rsidRPr="007D22C9">
              <w:rPr>
                <w:sz w:val="20"/>
                <w:szCs w:val="20"/>
              </w:rPr>
              <w:t>2022</w:t>
            </w:r>
            <w:r w:rsidR="003D79B3" w:rsidRPr="007D22C9">
              <w:rPr>
                <w:sz w:val="20"/>
                <w:szCs w:val="20"/>
              </w:rPr>
              <w:t xml:space="preserve"> </w:t>
            </w:r>
            <w:r w:rsidR="00FA2076" w:rsidRPr="007D22C9">
              <w:rPr>
                <w:sz w:val="20"/>
                <w:szCs w:val="20"/>
              </w:rPr>
              <w:t>(2)</w:t>
            </w:r>
          </w:p>
          <w:p w:rsidR="00D06A2F" w:rsidRPr="007D22C9" w:rsidRDefault="00D06A2F" w:rsidP="000546C2">
            <w:pPr>
              <w:jc w:val="center"/>
              <w:rPr>
                <w:sz w:val="20"/>
                <w:szCs w:val="20"/>
              </w:rPr>
            </w:pPr>
            <w:r w:rsidRPr="007D22C9">
              <w:rPr>
                <w:sz w:val="20"/>
                <w:szCs w:val="20"/>
              </w:rPr>
              <w:t>2023</w:t>
            </w:r>
            <w:r w:rsidR="003D79B3" w:rsidRPr="007D22C9">
              <w:rPr>
                <w:sz w:val="20"/>
                <w:szCs w:val="20"/>
              </w:rPr>
              <w:t xml:space="preserve"> </w:t>
            </w:r>
            <w:r w:rsidR="00FA2076" w:rsidRPr="007D22C9">
              <w:rPr>
                <w:sz w:val="20"/>
                <w:szCs w:val="20"/>
              </w:rPr>
              <w:t>(1)</w:t>
            </w:r>
          </w:p>
        </w:tc>
        <w:tc>
          <w:tcPr>
            <w:tcW w:w="1181" w:type="dxa"/>
          </w:tcPr>
          <w:p w:rsidR="00D06A2F" w:rsidRPr="007D22C9" w:rsidRDefault="00D06A2F" w:rsidP="000546C2">
            <w:pPr>
              <w:jc w:val="center"/>
              <w:rPr>
                <w:color w:val="000000"/>
                <w:sz w:val="20"/>
                <w:szCs w:val="20"/>
              </w:rPr>
            </w:pPr>
            <w:r w:rsidRPr="007D22C9">
              <w:rPr>
                <w:color w:val="000000"/>
                <w:sz w:val="20"/>
                <w:szCs w:val="20"/>
              </w:rPr>
              <w:t>6</w:t>
            </w:r>
          </w:p>
        </w:tc>
        <w:tc>
          <w:tcPr>
            <w:tcW w:w="1478" w:type="dxa"/>
          </w:tcPr>
          <w:p w:rsidR="00D06A2F" w:rsidRPr="007D22C9" w:rsidRDefault="00D06A2F" w:rsidP="000546C2">
            <w:pPr>
              <w:jc w:val="center"/>
              <w:rPr>
                <w:color w:val="000000"/>
                <w:sz w:val="20"/>
                <w:szCs w:val="20"/>
              </w:rPr>
            </w:pPr>
            <w:r w:rsidRPr="007D22C9">
              <w:rPr>
                <w:color w:val="000000"/>
                <w:sz w:val="20"/>
                <w:szCs w:val="20"/>
              </w:rPr>
              <w:t>3,7</w:t>
            </w:r>
          </w:p>
        </w:tc>
        <w:tc>
          <w:tcPr>
            <w:tcW w:w="1111" w:type="dxa"/>
          </w:tcPr>
          <w:p w:rsidR="00D06A2F" w:rsidRPr="007D22C9" w:rsidRDefault="00D06A2F" w:rsidP="000546C2">
            <w:pPr>
              <w:jc w:val="center"/>
              <w:rPr>
                <w:color w:val="000000"/>
                <w:sz w:val="20"/>
                <w:szCs w:val="20"/>
              </w:rPr>
            </w:pPr>
            <w:r w:rsidRPr="007D22C9">
              <w:rPr>
                <w:color w:val="000000"/>
                <w:sz w:val="20"/>
                <w:szCs w:val="20"/>
              </w:rPr>
              <w:t>1</w:t>
            </w:r>
          </w:p>
        </w:tc>
        <w:tc>
          <w:tcPr>
            <w:tcW w:w="1944" w:type="dxa"/>
          </w:tcPr>
          <w:p w:rsidR="00D06A2F" w:rsidRPr="007D22C9" w:rsidRDefault="00D06A2F" w:rsidP="00BA1432">
            <w:pPr>
              <w:jc w:val="center"/>
              <w:rPr>
                <w:color w:val="000000"/>
                <w:sz w:val="20"/>
                <w:szCs w:val="20"/>
              </w:rPr>
            </w:pPr>
            <w:r w:rsidRPr="007D22C9">
              <w:rPr>
                <w:color w:val="000000"/>
                <w:sz w:val="20"/>
                <w:szCs w:val="20"/>
              </w:rPr>
              <w:t>Амбулаторное/стационарное</w:t>
            </w:r>
          </w:p>
        </w:tc>
      </w:tr>
      <w:tr w:rsidR="00D06A2F" w:rsidRPr="007D22C9" w:rsidTr="00CD3A6F">
        <w:trPr>
          <w:trHeight w:val="20"/>
        </w:trPr>
        <w:tc>
          <w:tcPr>
            <w:tcW w:w="1555" w:type="dxa"/>
            <w:vMerge/>
            <w:tcBorders>
              <w:left w:val="single" w:sz="4" w:space="0" w:color="auto"/>
              <w:right w:val="single" w:sz="4" w:space="0" w:color="auto"/>
            </w:tcBorders>
          </w:tcPr>
          <w:p w:rsidR="00D06A2F" w:rsidRPr="007D22C9" w:rsidRDefault="00D06A2F" w:rsidP="00BA1432">
            <w:pPr>
              <w:rPr>
                <w:sz w:val="20"/>
                <w:szCs w:val="20"/>
              </w:rPr>
            </w:pPr>
          </w:p>
        </w:tc>
        <w:tc>
          <w:tcPr>
            <w:tcW w:w="3685" w:type="dxa"/>
            <w:tcBorders>
              <w:left w:val="single" w:sz="4" w:space="0" w:color="auto"/>
            </w:tcBorders>
          </w:tcPr>
          <w:p w:rsidR="00D06A2F" w:rsidRPr="007D22C9" w:rsidRDefault="00D06A2F" w:rsidP="00D5127A">
            <w:pPr>
              <w:jc w:val="both"/>
              <w:rPr>
                <w:color w:val="333333"/>
                <w:sz w:val="20"/>
                <w:szCs w:val="20"/>
              </w:rPr>
            </w:pPr>
            <w:r w:rsidRPr="007D22C9">
              <w:rPr>
                <w:color w:val="000000"/>
                <w:sz w:val="20"/>
                <w:szCs w:val="20"/>
              </w:rPr>
              <w:t xml:space="preserve">ГАУЗ «РКОД МЗ РТ им.проф.М.З.Сигала» </w:t>
            </w:r>
          </w:p>
        </w:tc>
        <w:tc>
          <w:tcPr>
            <w:tcW w:w="1994" w:type="dxa"/>
          </w:tcPr>
          <w:p w:rsidR="00D06A2F" w:rsidRPr="007D22C9" w:rsidRDefault="00D06A2F" w:rsidP="00BA1432">
            <w:pPr>
              <w:jc w:val="center"/>
              <w:rPr>
                <w:color w:val="000000"/>
                <w:sz w:val="20"/>
                <w:szCs w:val="20"/>
              </w:rPr>
            </w:pPr>
            <w:r w:rsidRPr="007D22C9">
              <w:rPr>
                <w:color w:val="000000"/>
                <w:sz w:val="20"/>
                <w:szCs w:val="20"/>
              </w:rPr>
              <w:t>Бронхоскоп</w:t>
            </w:r>
          </w:p>
        </w:tc>
        <w:tc>
          <w:tcPr>
            <w:tcW w:w="1181" w:type="dxa"/>
          </w:tcPr>
          <w:p w:rsidR="00D06A2F" w:rsidRPr="007D22C9" w:rsidRDefault="00D06A2F" w:rsidP="000546C2">
            <w:pPr>
              <w:jc w:val="center"/>
              <w:rPr>
                <w:sz w:val="20"/>
                <w:szCs w:val="20"/>
              </w:rPr>
            </w:pPr>
            <w:r w:rsidRPr="007D22C9">
              <w:rPr>
                <w:sz w:val="20"/>
                <w:szCs w:val="20"/>
              </w:rPr>
              <w:t>2012</w:t>
            </w:r>
            <w:r w:rsidR="003D79B3" w:rsidRPr="007D22C9">
              <w:rPr>
                <w:sz w:val="20"/>
                <w:szCs w:val="20"/>
              </w:rPr>
              <w:t xml:space="preserve"> </w:t>
            </w:r>
            <w:r w:rsidR="00FA2076" w:rsidRPr="007D22C9">
              <w:rPr>
                <w:sz w:val="20"/>
                <w:szCs w:val="20"/>
              </w:rPr>
              <w:t>(10)</w:t>
            </w:r>
          </w:p>
          <w:p w:rsidR="00D06A2F" w:rsidRPr="007D22C9" w:rsidRDefault="00D06A2F" w:rsidP="000546C2">
            <w:pPr>
              <w:jc w:val="center"/>
              <w:rPr>
                <w:sz w:val="20"/>
                <w:szCs w:val="20"/>
              </w:rPr>
            </w:pPr>
            <w:r w:rsidRPr="007D22C9">
              <w:rPr>
                <w:sz w:val="20"/>
                <w:szCs w:val="20"/>
              </w:rPr>
              <w:t>2015</w:t>
            </w:r>
            <w:r w:rsidR="003D79B3" w:rsidRPr="007D22C9">
              <w:rPr>
                <w:sz w:val="20"/>
                <w:szCs w:val="20"/>
              </w:rPr>
              <w:t xml:space="preserve"> </w:t>
            </w:r>
            <w:r w:rsidR="00FA2076" w:rsidRPr="007D22C9">
              <w:rPr>
                <w:sz w:val="20"/>
                <w:szCs w:val="20"/>
              </w:rPr>
              <w:t>(9)</w:t>
            </w:r>
          </w:p>
          <w:p w:rsidR="00D06A2F" w:rsidRPr="007D22C9" w:rsidRDefault="00D06A2F" w:rsidP="000546C2">
            <w:pPr>
              <w:jc w:val="center"/>
              <w:rPr>
                <w:sz w:val="20"/>
                <w:szCs w:val="20"/>
              </w:rPr>
            </w:pPr>
            <w:r w:rsidRPr="007D22C9">
              <w:rPr>
                <w:sz w:val="20"/>
                <w:szCs w:val="20"/>
              </w:rPr>
              <w:t>2016</w:t>
            </w:r>
            <w:r w:rsidR="003D79B3" w:rsidRPr="007D22C9">
              <w:rPr>
                <w:sz w:val="20"/>
                <w:szCs w:val="20"/>
              </w:rPr>
              <w:t xml:space="preserve"> </w:t>
            </w:r>
            <w:r w:rsidR="00FA2076" w:rsidRPr="007D22C9">
              <w:rPr>
                <w:sz w:val="20"/>
                <w:szCs w:val="20"/>
              </w:rPr>
              <w:t>(3)</w:t>
            </w:r>
          </w:p>
          <w:p w:rsidR="00D06A2F" w:rsidRPr="007D22C9" w:rsidRDefault="00D06A2F" w:rsidP="000546C2">
            <w:pPr>
              <w:jc w:val="center"/>
              <w:rPr>
                <w:sz w:val="20"/>
                <w:szCs w:val="20"/>
              </w:rPr>
            </w:pPr>
            <w:r w:rsidRPr="007D22C9">
              <w:rPr>
                <w:sz w:val="20"/>
                <w:szCs w:val="20"/>
              </w:rPr>
              <w:t>2019</w:t>
            </w:r>
            <w:r w:rsidR="003D79B3" w:rsidRPr="007D22C9">
              <w:rPr>
                <w:sz w:val="20"/>
                <w:szCs w:val="20"/>
              </w:rPr>
              <w:t xml:space="preserve"> </w:t>
            </w:r>
            <w:r w:rsidR="00FA2076" w:rsidRPr="007D22C9">
              <w:rPr>
                <w:sz w:val="20"/>
                <w:szCs w:val="20"/>
              </w:rPr>
              <w:t>(10)</w:t>
            </w:r>
          </w:p>
        </w:tc>
        <w:tc>
          <w:tcPr>
            <w:tcW w:w="1181" w:type="dxa"/>
          </w:tcPr>
          <w:p w:rsidR="00D06A2F" w:rsidRPr="007D22C9" w:rsidRDefault="00D06A2F" w:rsidP="000546C2">
            <w:pPr>
              <w:jc w:val="center"/>
              <w:rPr>
                <w:color w:val="000000"/>
                <w:sz w:val="20"/>
                <w:szCs w:val="20"/>
              </w:rPr>
            </w:pPr>
            <w:r w:rsidRPr="007D22C9">
              <w:rPr>
                <w:color w:val="000000"/>
                <w:sz w:val="20"/>
                <w:szCs w:val="20"/>
              </w:rPr>
              <w:t>32</w:t>
            </w:r>
          </w:p>
        </w:tc>
        <w:tc>
          <w:tcPr>
            <w:tcW w:w="1478" w:type="dxa"/>
          </w:tcPr>
          <w:p w:rsidR="00D06A2F" w:rsidRPr="007D22C9" w:rsidRDefault="00D06A2F" w:rsidP="000546C2">
            <w:pPr>
              <w:jc w:val="center"/>
              <w:rPr>
                <w:sz w:val="20"/>
                <w:szCs w:val="20"/>
              </w:rPr>
            </w:pPr>
            <w:r w:rsidRPr="007D22C9">
              <w:rPr>
                <w:color w:val="000000"/>
                <w:sz w:val="20"/>
                <w:szCs w:val="20"/>
              </w:rPr>
              <w:t>47,5</w:t>
            </w:r>
          </w:p>
        </w:tc>
        <w:tc>
          <w:tcPr>
            <w:tcW w:w="1111" w:type="dxa"/>
          </w:tcPr>
          <w:p w:rsidR="00D06A2F" w:rsidRPr="007D22C9" w:rsidRDefault="00D06A2F" w:rsidP="000546C2">
            <w:pPr>
              <w:jc w:val="center"/>
              <w:rPr>
                <w:color w:val="000000"/>
                <w:sz w:val="20"/>
                <w:szCs w:val="20"/>
              </w:rPr>
            </w:pPr>
            <w:r w:rsidRPr="007D22C9">
              <w:rPr>
                <w:color w:val="000000"/>
                <w:sz w:val="20"/>
                <w:szCs w:val="20"/>
              </w:rPr>
              <w:t>2</w:t>
            </w:r>
          </w:p>
        </w:tc>
        <w:tc>
          <w:tcPr>
            <w:tcW w:w="1944" w:type="dxa"/>
          </w:tcPr>
          <w:p w:rsidR="00D06A2F" w:rsidRPr="007D22C9" w:rsidRDefault="00D06A2F" w:rsidP="00BA1432">
            <w:pPr>
              <w:jc w:val="center"/>
              <w:rPr>
                <w:color w:val="000000"/>
                <w:sz w:val="20"/>
                <w:szCs w:val="20"/>
              </w:rPr>
            </w:pPr>
            <w:r w:rsidRPr="007D22C9">
              <w:rPr>
                <w:color w:val="000000"/>
                <w:sz w:val="20"/>
                <w:szCs w:val="20"/>
              </w:rPr>
              <w:t>Амбулаторное/стационарное</w:t>
            </w:r>
          </w:p>
        </w:tc>
      </w:tr>
      <w:tr w:rsidR="00D06A2F" w:rsidRPr="007D22C9" w:rsidTr="00CD3A6F">
        <w:trPr>
          <w:trHeight w:val="20"/>
        </w:trPr>
        <w:tc>
          <w:tcPr>
            <w:tcW w:w="1555" w:type="dxa"/>
            <w:vMerge/>
            <w:tcBorders>
              <w:left w:val="single" w:sz="4" w:space="0" w:color="auto"/>
              <w:right w:val="single" w:sz="4" w:space="0" w:color="auto"/>
            </w:tcBorders>
          </w:tcPr>
          <w:p w:rsidR="00D06A2F" w:rsidRPr="007D22C9" w:rsidRDefault="00D06A2F" w:rsidP="00BA1432">
            <w:pPr>
              <w:rPr>
                <w:sz w:val="20"/>
                <w:szCs w:val="20"/>
              </w:rPr>
            </w:pPr>
          </w:p>
        </w:tc>
        <w:tc>
          <w:tcPr>
            <w:tcW w:w="3685" w:type="dxa"/>
            <w:tcBorders>
              <w:left w:val="single" w:sz="4" w:space="0" w:color="auto"/>
            </w:tcBorders>
          </w:tcPr>
          <w:p w:rsidR="00D06A2F" w:rsidRPr="007D22C9" w:rsidRDefault="00D06A2F" w:rsidP="00DC0475">
            <w:pPr>
              <w:jc w:val="both"/>
              <w:rPr>
                <w:color w:val="333333"/>
                <w:sz w:val="20"/>
                <w:szCs w:val="20"/>
              </w:rPr>
            </w:pPr>
          </w:p>
        </w:tc>
        <w:tc>
          <w:tcPr>
            <w:tcW w:w="1994" w:type="dxa"/>
          </w:tcPr>
          <w:p w:rsidR="00D06A2F" w:rsidRPr="007D22C9" w:rsidRDefault="009C7AAF" w:rsidP="00BA1432">
            <w:pPr>
              <w:jc w:val="center"/>
              <w:rPr>
                <w:b/>
                <w:sz w:val="20"/>
                <w:szCs w:val="20"/>
              </w:rPr>
            </w:pPr>
            <w:r w:rsidRPr="007D22C9">
              <w:rPr>
                <w:sz w:val="20"/>
                <w:szCs w:val="20"/>
              </w:rPr>
              <w:t>В</w:t>
            </w:r>
            <w:r w:rsidR="00D06A2F" w:rsidRPr="007D22C9">
              <w:rPr>
                <w:sz w:val="20"/>
                <w:szCs w:val="20"/>
              </w:rPr>
              <w:t>сего</w:t>
            </w:r>
          </w:p>
        </w:tc>
        <w:tc>
          <w:tcPr>
            <w:tcW w:w="1181" w:type="dxa"/>
          </w:tcPr>
          <w:p w:rsidR="00D06A2F" w:rsidRPr="007D22C9" w:rsidRDefault="00D06A2F" w:rsidP="000546C2">
            <w:pPr>
              <w:jc w:val="center"/>
              <w:rPr>
                <w:b/>
                <w:sz w:val="20"/>
                <w:szCs w:val="20"/>
              </w:rPr>
            </w:pPr>
          </w:p>
        </w:tc>
        <w:tc>
          <w:tcPr>
            <w:tcW w:w="1181" w:type="dxa"/>
          </w:tcPr>
          <w:p w:rsidR="00D06A2F" w:rsidRPr="007D22C9" w:rsidRDefault="00D06A2F" w:rsidP="000546C2">
            <w:pPr>
              <w:jc w:val="center"/>
              <w:rPr>
                <w:color w:val="000000"/>
                <w:sz w:val="20"/>
                <w:szCs w:val="20"/>
              </w:rPr>
            </w:pPr>
            <w:r w:rsidRPr="007D22C9">
              <w:rPr>
                <w:color w:val="000000"/>
                <w:sz w:val="20"/>
                <w:szCs w:val="20"/>
              </w:rPr>
              <w:t>86</w:t>
            </w:r>
          </w:p>
        </w:tc>
        <w:tc>
          <w:tcPr>
            <w:tcW w:w="1478" w:type="dxa"/>
          </w:tcPr>
          <w:p w:rsidR="00D06A2F" w:rsidRPr="007D22C9" w:rsidRDefault="00D06A2F" w:rsidP="000546C2">
            <w:pPr>
              <w:jc w:val="center"/>
              <w:rPr>
                <w:sz w:val="20"/>
                <w:szCs w:val="20"/>
              </w:rPr>
            </w:pPr>
          </w:p>
        </w:tc>
        <w:tc>
          <w:tcPr>
            <w:tcW w:w="1111" w:type="dxa"/>
          </w:tcPr>
          <w:p w:rsidR="00D06A2F" w:rsidRPr="007D22C9" w:rsidRDefault="00D06A2F" w:rsidP="000546C2">
            <w:pPr>
              <w:jc w:val="center"/>
              <w:rPr>
                <w:color w:val="000000"/>
                <w:sz w:val="20"/>
                <w:szCs w:val="20"/>
              </w:rPr>
            </w:pPr>
          </w:p>
        </w:tc>
        <w:tc>
          <w:tcPr>
            <w:tcW w:w="1944" w:type="dxa"/>
          </w:tcPr>
          <w:p w:rsidR="00D06A2F" w:rsidRPr="007D22C9" w:rsidRDefault="00D06A2F" w:rsidP="00BA1432">
            <w:pPr>
              <w:rPr>
                <w:sz w:val="20"/>
                <w:szCs w:val="20"/>
              </w:rPr>
            </w:pPr>
          </w:p>
        </w:tc>
      </w:tr>
      <w:tr w:rsidR="00D06A2F" w:rsidRPr="007D22C9" w:rsidTr="00CD3A6F">
        <w:trPr>
          <w:trHeight w:val="20"/>
        </w:trPr>
        <w:tc>
          <w:tcPr>
            <w:tcW w:w="1555" w:type="dxa"/>
            <w:vMerge/>
            <w:tcBorders>
              <w:left w:val="single" w:sz="4" w:space="0" w:color="auto"/>
              <w:right w:val="single" w:sz="4" w:space="0" w:color="auto"/>
            </w:tcBorders>
          </w:tcPr>
          <w:p w:rsidR="00D06A2F" w:rsidRPr="007D22C9" w:rsidRDefault="00D06A2F" w:rsidP="00BA1432">
            <w:pPr>
              <w:rPr>
                <w:sz w:val="20"/>
                <w:szCs w:val="20"/>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D06A2F" w:rsidRPr="007D22C9" w:rsidRDefault="00D06A2F" w:rsidP="00DC0475">
            <w:pPr>
              <w:jc w:val="both"/>
              <w:rPr>
                <w:color w:val="000000"/>
                <w:sz w:val="20"/>
                <w:szCs w:val="20"/>
              </w:rPr>
            </w:pPr>
            <w:r w:rsidRPr="007D22C9">
              <w:rPr>
                <w:color w:val="000000"/>
                <w:sz w:val="20"/>
                <w:szCs w:val="20"/>
              </w:rPr>
              <w:t>ГАУЗ «Агрызская ЦРБ»</w:t>
            </w:r>
          </w:p>
        </w:tc>
        <w:tc>
          <w:tcPr>
            <w:tcW w:w="1994" w:type="dxa"/>
            <w:tcBorders>
              <w:top w:val="single" w:sz="4" w:space="0" w:color="auto"/>
              <w:left w:val="single" w:sz="4" w:space="0" w:color="auto"/>
              <w:bottom w:val="single" w:sz="4" w:space="0" w:color="auto"/>
              <w:right w:val="single" w:sz="4" w:space="0" w:color="auto"/>
            </w:tcBorders>
            <w:shd w:val="clear" w:color="auto" w:fill="auto"/>
          </w:tcPr>
          <w:p w:rsidR="00D06A2F" w:rsidRPr="007D22C9" w:rsidRDefault="00D06A2F" w:rsidP="00BA1432">
            <w:pPr>
              <w:jc w:val="center"/>
              <w:rPr>
                <w:color w:val="000000"/>
                <w:sz w:val="20"/>
                <w:szCs w:val="20"/>
              </w:rPr>
            </w:pPr>
            <w:r w:rsidRPr="007D22C9">
              <w:rPr>
                <w:rFonts w:eastAsia="Calibri"/>
                <w:sz w:val="20"/>
                <w:szCs w:val="20"/>
              </w:rPr>
              <w:t>Фиброгастродуоденоскоп</w:t>
            </w:r>
          </w:p>
        </w:tc>
        <w:tc>
          <w:tcPr>
            <w:tcW w:w="1181" w:type="dxa"/>
          </w:tcPr>
          <w:p w:rsidR="00D06A2F" w:rsidRPr="007D22C9" w:rsidRDefault="00D06A2F" w:rsidP="000546C2">
            <w:pPr>
              <w:jc w:val="center"/>
              <w:rPr>
                <w:sz w:val="20"/>
                <w:szCs w:val="20"/>
              </w:rPr>
            </w:pPr>
            <w:r w:rsidRPr="007D22C9">
              <w:rPr>
                <w:sz w:val="20"/>
                <w:szCs w:val="20"/>
              </w:rPr>
              <w:t>2017</w:t>
            </w:r>
            <w:r w:rsidR="003D79B3" w:rsidRPr="007D22C9">
              <w:rPr>
                <w:sz w:val="20"/>
                <w:szCs w:val="20"/>
              </w:rPr>
              <w:t xml:space="preserve"> </w:t>
            </w:r>
            <w:r w:rsidR="00FA2076" w:rsidRPr="007D22C9">
              <w:rPr>
                <w:sz w:val="20"/>
                <w:szCs w:val="20"/>
              </w:rPr>
              <w:t>(1)</w:t>
            </w:r>
          </w:p>
          <w:p w:rsidR="00D06A2F" w:rsidRPr="007D22C9" w:rsidRDefault="00D06A2F" w:rsidP="000546C2">
            <w:pPr>
              <w:jc w:val="center"/>
              <w:rPr>
                <w:sz w:val="20"/>
                <w:szCs w:val="20"/>
              </w:rPr>
            </w:pPr>
            <w:r w:rsidRPr="007D22C9">
              <w:rPr>
                <w:sz w:val="20"/>
                <w:szCs w:val="20"/>
              </w:rPr>
              <w:t>2022</w:t>
            </w:r>
            <w:r w:rsidR="003D79B3" w:rsidRPr="007D22C9">
              <w:rPr>
                <w:sz w:val="20"/>
                <w:szCs w:val="20"/>
              </w:rPr>
              <w:t xml:space="preserve"> </w:t>
            </w:r>
            <w:r w:rsidR="00FA2076" w:rsidRPr="007D22C9">
              <w:rPr>
                <w:sz w:val="20"/>
                <w:szCs w:val="20"/>
              </w:rPr>
              <w:t>(2)</w:t>
            </w:r>
          </w:p>
        </w:tc>
        <w:tc>
          <w:tcPr>
            <w:tcW w:w="1181" w:type="dxa"/>
            <w:tcBorders>
              <w:top w:val="single" w:sz="4" w:space="0" w:color="auto"/>
              <w:left w:val="single" w:sz="4" w:space="0" w:color="auto"/>
              <w:bottom w:val="single" w:sz="4" w:space="0" w:color="auto"/>
              <w:right w:val="single" w:sz="4" w:space="0" w:color="auto"/>
            </w:tcBorders>
            <w:shd w:val="clear" w:color="auto" w:fill="auto"/>
          </w:tcPr>
          <w:p w:rsidR="00D06A2F" w:rsidRPr="007D22C9" w:rsidRDefault="00D06A2F" w:rsidP="000546C2">
            <w:pPr>
              <w:jc w:val="center"/>
              <w:rPr>
                <w:color w:val="000000"/>
                <w:sz w:val="20"/>
                <w:szCs w:val="20"/>
              </w:rPr>
            </w:pPr>
            <w:r w:rsidRPr="007D22C9">
              <w:rPr>
                <w:color w:val="000000"/>
                <w:sz w:val="20"/>
                <w:szCs w:val="20"/>
              </w:rPr>
              <w:t>3</w:t>
            </w:r>
          </w:p>
        </w:tc>
        <w:tc>
          <w:tcPr>
            <w:tcW w:w="1478" w:type="dxa"/>
            <w:tcBorders>
              <w:top w:val="single" w:sz="4" w:space="0" w:color="auto"/>
              <w:left w:val="single" w:sz="4" w:space="0" w:color="auto"/>
              <w:bottom w:val="single" w:sz="4" w:space="0" w:color="auto"/>
              <w:right w:val="single" w:sz="4" w:space="0" w:color="auto"/>
            </w:tcBorders>
            <w:shd w:val="clear" w:color="auto" w:fill="auto"/>
          </w:tcPr>
          <w:p w:rsidR="00D06A2F" w:rsidRPr="007D22C9" w:rsidRDefault="00D06A2F" w:rsidP="000546C2">
            <w:pPr>
              <w:jc w:val="center"/>
              <w:rPr>
                <w:color w:val="000000"/>
                <w:sz w:val="20"/>
                <w:szCs w:val="20"/>
              </w:rPr>
            </w:pPr>
            <w:r w:rsidRPr="007D22C9">
              <w:rPr>
                <w:color w:val="000000"/>
                <w:sz w:val="20"/>
                <w:szCs w:val="20"/>
              </w:rPr>
              <w:t>2,7</w:t>
            </w:r>
          </w:p>
        </w:tc>
        <w:tc>
          <w:tcPr>
            <w:tcW w:w="1111" w:type="dxa"/>
            <w:tcBorders>
              <w:top w:val="single" w:sz="4" w:space="0" w:color="auto"/>
              <w:left w:val="single" w:sz="4" w:space="0" w:color="auto"/>
              <w:bottom w:val="single" w:sz="4" w:space="0" w:color="auto"/>
              <w:right w:val="single" w:sz="4" w:space="0" w:color="auto"/>
            </w:tcBorders>
            <w:shd w:val="clear" w:color="auto" w:fill="auto"/>
          </w:tcPr>
          <w:p w:rsidR="00D06A2F" w:rsidRPr="007D22C9" w:rsidRDefault="00D06A2F" w:rsidP="000546C2">
            <w:pPr>
              <w:jc w:val="center"/>
              <w:rPr>
                <w:color w:val="000000"/>
                <w:sz w:val="20"/>
                <w:szCs w:val="20"/>
              </w:rPr>
            </w:pPr>
            <w:r w:rsidRPr="007D22C9">
              <w:rPr>
                <w:color w:val="000000"/>
                <w:sz w:val="20"/>
                <w:szCs w:val="20"/>
              </w:rPr>
              <w:t>1</w:t>
            </w:r>
          </w:p>
        </w:tc>
        <w:tc>
          <w:tcPr>
            <w:tcW w:w="1944" w:type="dxa"/>
            <w:tcBorders>
              <w:top w:val="single" w:sz="4" w:space="0" w:color="auto"/>
              <w:left w:val="single" w:sz="4" w:space="0" w:color="auto"/>
              <w:bottom w:val="single" w:sz="4" w:space="0" w:color="auto"/>
              <w:right w:val="single" w:sz="4" w:space="0" w:color="auto"/>
            </w:tcBorders>
            <w:shd w:val="clear" w:color="auto" w:fill="auto"/>
          </w:tcPr>
          <w:p w:rsidR="00D06A2F" w:rsidRPr="007D22C9" w:rsidRDefault="00D06A2F" w:rsidP="00BA1432">
            <w:pPr>
              <w:jc w:val="center"/>
              <w:rPr>
                <w:color w:val="000000"/>
                <w:sz w:val="20"/>
                <w:szCs w:val="20"/>
              </w:rPr>
            </w:pPr>
            <w:r w:rsidRPr="007D22C9">
              <w:rPr>
                <w:color w:val="000000"/>
                <w:sz w:val="20"/>
                <w:szCs w:val="20"/>
              </w:rPr>
              <w:t>Амбулаторное</w:t>
            </w:r>
          </w:p>
        </w:tc>
      </w:tr>
      <w:tr w:rsidR="00D06A2F" w:rsidRPr="007D22C9" w:rsidTr="00CD3A6F">
        <w:trPr>
          <w:trHeight w:val="20"/>
        </w:trPr>
        <w:tc>
          <w:tcPr>
            <w:tcW w:w="1555" w:type="dxa"/>
            <w:vMerge/>
            <w:tcBorders>
              <w:left w:val="single" w:sz="4" w:space="0" w:color="auto"/>
              <w:right w:val="single" w:sz="4" w:space="0" w:color="auto"/>
            </w:tcBorders>
          </w:tcPr>
          <w:p w:rsidR="00D06A2F" w:rsidRPr="007D22C9" w:rsidRDefault="00D06A2F" w:rsidP="00BA1432">
            <w:pPr>
              <w:rPr>
                <w:sz w:val="20"/>
                <w:szCs w:val="20"/>
              </w:rPr>
            </w:pPr>
          </w:p>
        </w:tc>
        <w:tc>
          <w:tcPr>
            <w:tcW w:w="3685" w:type="dxa"/>
            <w:tcBorders>
              <w:top w:val="nil"/>
              <w:left w:val="single" w:sz="4" w:space="0" w:color="auto"/>
              <w:bottom w:val="single" w:sz="4" w:space="0" w:color="auto"/>
              <w:right w:val="single" w:sz="4" w:space="0" w:color="auto"/>
            </w:tcBorders>
            <w:shd w:val="clear" w:color="auto" w:fill="auto"/>
          </w:tcPr>
          <w:p w:rsidR="00D06A2F" w:rsidRPr="007D22C9" w:rsidRDefault="00D06A2F" w:rsidP="00DC0475">
            <w:pPr>
              <w:jc w:val="both"/>
              <w:rPr>
                <w:color w:val="000000"/>
                <w:sz w:val="20"/>
                <w:szCs w:val="20"/>
              </w:rPr>
            </w:pPr>
            <w:r w:rsidRPr="007D22C9">
              <w:rPr>
                <w:color w:val="000000"/>
                <w:sz w:val="20"/>
                <w:szCs w:val="20"/>
              </w:rPr>
              <w:t>ГАУЗ «Азнакаевская ЦРБ»</w:t>
            </w:r>
          </w:p>
        </w:tc>
        <w:tc>
          <w:tcPr>
            <w:tcW w:w="1994" w:type="dxa"/>
            <w:tcBorders>
              <w:top w:val="single" w:sz="4" w:space="0" w:color="auto"/>
              <w:left w:val="single" w:sz="4" w:space="0" w:color="auto"/>
              <w:bottom w:val="single" w:sz="4" w:space="0" w:color="auto"/>
              <w:right w:val="single" w:sz="4" w:space="0" w:color="auto"/>
            </w:tcBorders>
            <w:shd w:val="clear" w:color="auto" w:fill="auto"/>
          </w:tcPr>
          <w:p w:rsidR="00D06A2F" w:rsidRPr="007D22C9" w:rsidRDefault="00D06A2F" w:rsidP="00BA1432">
            <w:pPr>
              <w:jc w:val="center"/>
              <w:rPr>
                <w:color w:val="000000"/>
                <w:sz w:val="20"/>
                <w:szCs w:val="20"/>
              </w:rPr>
            </w:pPr>
            <w:r w:rsidRPr="007D22C9">
              <w:rPr>
                <w:rFonts w:eastAsia="Calibri"/>
                <w:sz w:val="20"/>
                <w:szCs w:val="20"/>
              </w:rPr>
              <w:t>Фиброгастродуоденоскоп</w:t>
            </w:r>
          </w:p>
        </w:tc>
        <w:tc>
          <w:tcPr>
            <w:tcW w:w="1181" w:type="dxa"/>
          </w:tcPr>
          <w:p w:rsidR="00D06A2F" w:rsidRPr="007D22C9" w:rsidRDefault="00D06A2F" w:rsidP="000546C2">
            <w:pPr>
              <w:jc w:val="center"/>
              <w:rPr>
                <w:sz w:val="20"/>
                <w:szCs w:val="20"/>
              </w:rPr>
            </w:pPr>
            <w:r w:rsidRPr="007D22C9">
              <w:rPr>
                <w:sz w:val="20"/>
                <w:szCs w:val="20"/>
              </w:rPr>
              <w:t>2015</w:t>
            </w:r>
            <w:r w:rsidR="003D79B3" w:rsidRPr="007D22C9">
              <w:rPr>
                <w:sz w:val="20"/>
                <w:szCs w:val="20"/>
              </w:rPr>
              <w:t xml:space="preserve"> </w:t>
            </w:r>
            <w:r w:rsidR="00FA2076" w:rsidRPr="007D22C9">
              <w:rPr>
                <w:sz w:val="20"/>
                <w:szCs w:val="20"/>
              </w:rPr>
              <w:t>(1)</w:t>
            </w:r>
          </w:p>
          <w:p w:rsidR="00D06A2F" w:rsidRPr="007D22C9" w:rsidRDefault="00D06A2F" w:rsidP="000546C2">
            <w:pPr>
              <w:jc w:val="center"/>
              <w:rPr>
                <w:sz w:val="20"/>
                <w:szCs w:val="20"/>
              </w:rPr>
            </w:pPr>
            <w:r w:rsidRPr="007D22C9">
              <w:rPr>
                <w:sz w:val="20"/>
                <w:szCs w:val="20"/>
              </w:rPr>
              <w:t>2016</w:t>
            </w:r>
            <w:r w:rsidR="003D79B3" w:rsidRPr="007D22C9">
              <w:rPr>
                <w:sz w:val="20"/>
                <w:szCs w:val="20"/>
              </w:rPr>
              <w:t xml:space="preserve"> </w:t>
            </w:r>
            <w:r w:rsidR="00FA2076" w:rsidRPr="007D22C9">
              <w:rPr>
                <w:sz w:val="20"/>
                <w:szCs w:val="20"/>
              </w:rPr>
              <w:t>(2)</w:t>
            </w:r>
          </w:p>
        </w:tc>
        <w:tc>
          <w:tcPr>
            <w:tcW w:w="1181" w:type="dxa"/>
            <w:tcBorders>
              <w:top w:val="nil"/>
              <w:left w:val="single" w:sz="4" w:space="0" w:color="auto"/>
              <w:bottom w:val="single" w:sz="4" w:space="0" w:color="auto"/>
              <w:right w:val="single" w:sz="4" w:space="0" w:color="auto"/>
            </w:tcBorders>
            <w:shd w:val="clear" w:color="auto" w:fill="auto"/>
          </w:tcPr>
          <w:p w:rsidR="00D06A2F" w:rsidRPr="007D22C9" w:rsidRDefault="00D06A2F" w:rsidP="000546C2">
            <w:pPr>
              <w:jc w:val="center"/>
              <w:rPr>
                <w:color w:val="000000"/>
                <w:sz w:val="20"/>
                <w:szCs w:val="20"/>
              </w:rPr>
            </w:pPr>
            <w:r w:rsidRPr="007D22C9">
              <w:rPr>
                <w:color w:val="000000"/>
                <w:sz w:val="20"/>
                <w:szCs w:val="20"/>
              </w:rPr>
              <w:t>3</w:t>
            </w:r>
          </w:p>
        </w:tc>
        <w:tc>
          <w:tcPr>
            <w:tcW w:w="1478" w:type="dxa"/>
            <w:tcBorders>
              <w:top w:val="nil"/>
              <w:left w:val="single" w:sz="4" w:space="0" w:color="auto"/>
              <w:bottom w:val="single" w:sz="4" w:space="0" w:color="auto"/>
              <w:right w:val="single" w:sz="4" w:space="0" w:color="auto"/>
            </w:tcBorders>
            <w:shd w:val="clear" w:color="auto" w:fill="auto"/>
          </w:tcPr>
          <w:p w:rsidR="00D06A2F" w:rsidRPr="007D22C9" w:rsidRDefault="00D06A2F" w:rsidP="000546C2">
            <w:pPr>
              <w:jc w:val="center"/>
              <w:rPr>
                <w:color w:val="000000"/>
                <w:sz w:val="20"/>
                <w:szCs w:val="20"/>
              </w:rPr>
            </w:pPr>
            <w:r w:rsidRPr="007D22C9">
              <w:rPr>
                <w:color w:val="000000"/>
                <w:sz w:val="20"/>
                <w:szCs w:val="20"/>
              </w:rPr>
              <w:t>15,1</w:t>
            </w:r>
          </w:p>
        </w:tc>
        <w:tc>
          <w:tcPr>
            <w:tcW w:w="1111" w:type="dxa"/>
            <w:tcBorders>
              <w:top w:val="nil"/>
              <w:left w:val="single" w:sz="4" w:space="0" w:color="auto"/>
              <w:bottom w:val="single" w:sz="4" w:space="0" w:color="auto"/>
              <w:right w:val="single" w:sz="4" w:space="0" w:color="auto"/>
            </w:tcBorders>
            <w:shd w:val="clear" w:color="auto" w:fill="auto"/>
          </w:tcPr>
          <w:p w:rsidR="00D06A2F" w:rsidRPr="007D22C9" w:rsidRDefault="00D06A2F" w:rsidP="000546C2">
            <w:pPr>
              <w:jc w:val="center"/>
              <w:rPr>
                <w:color w:val="000000"/>
                <w:sz w:val="20"/>
                <w:szCs w:val="20"/>
              </w:rPr>
            </w:pPr>
            <w:r w:rsidRPr="007D22C9">
              <w:rPr>
                <w:color w:val="000000"/>
                <w:sz w:val="20"/>
                <w:szCs w:val="20"/>
              </w:rPr>
              <w:t>1</w:t>
            </w:r>
          </w:p>
        </w:tc>
        <w:tc>
          <w:tcPr>
            <w:tcW w:w="1944" w:type="dxa"/>
            <w:tcBorders>
              <w:top w:val="nil"/>
              <w:left w:val="single" w:sz="4" w:space="0" w:color="auto"/>
              <w:bottom w:val="single" w:sz="4" w:space="0" w:color="auto"/>
              <w:right w:val="single" w:sz="4" w:space="0" w:color="auto"/>
            </w:tcBorders>
            <w:shd w:val="clear" w:color="auto" w:fill="auto"/>
          </w:tcPr>
          <w:p w:rsidR="00D06A2F" w:rsidRPr="007D22C9" w:rsidRDefault="00D06A2F" w:rsidP="00BA1432">
            <w:pPr>
              <w:jc w:val="center"/>
              <w:rPr>
                <w:color w:val="000000"/>
                <w:sz w:val="20"/>
                <w:szCs w:val="20"/>
              </w:rPr>
            </w:pPr>
            <w:r w:rsidRPr="007D22C9">
              <w:rPr>
                <w:color w:val="000000"/>
                <w:sz w:val="20"/>
                <w:szCs w:val="20"/>
              </w:rPr>
              <w:t>Амбулаторное</w:t>
            </w:r>
          </w:p>
        </w:tc>
      </w:tr>
      <w:tr w:rsidR="00D06A2F" w:rsidRPr="00E8065F" w:rsidTr="00CD3A6F">
        <w:trPr>
          <w:trHeight w:val="20"/>
        </w:trPr>
        <w:tc>
          <w:tcPr>
            <w:tcW w:w="1555" w:type="dxa"/>
            <w:vMerge/>
            <w:tcBorders>
              <w:left w:val="single" w:sz="4" w:space="0" w:color="auto"/>
              <w:right w:val="single" w:sz="4" w:space="0" w:color="auto"/>
            </w:tcBorders>
          </w:tcPr>
          <w:p w:rsidR="00D06A2F" w:rsidRPr="007D22C9" w:rsidRDefault="00D06A2F" w:rsidP="00BA1432">
            <w:pPr>
              <w:rPr>
                <w:sz w:val="20"/>
                <w:szCs w:val="20"/>
              </w:rPr>
            </w:pPr>
          </w:p>
        </w:tc>
        <w:tc>
          <w:tcPr>
            <w:tcW w:w="3685" w:type="dxa"/>
            <w:tcBorders>
              <w:top w:val="nil"/>
              <w:left w:val="single" w:sz="4" w:space="0" w:color="auto"/>
              <w:bottom w:val="single" w:sz="4" w:space="0" w:color="auto"/>
              <w:right w:val="single" w:sz="4" w:space="0" w:color="auto"/>
            </w:tcBorders>
            <w:shd w:val="clear" w:color="auto" w:fill="auto"/>
          </w:tcPr>
          <w:p w:rsidR="00D06A2F" w:rsidRPr="007D22C9" w:rsidRDefault="00D06A2F" w:rsidP="00DC0475">
            <w:pPr>
              <w:jc w:val="both"/>
              <w:rPr>
                <w:color w:val="000000"/>
                <w:sz w:val="20"/>
                <w:szCs w:val="20"/>
              </w:rPr>
            </w:pPr>
            <w:r w:rsidRPr="007D22C9">
              <w:rPr>
                <w:color w:val="000000"/>
                <w:sz w:val="20"/>
                <w:szCs w:val="20"/>
              </w:rPr>
              <w:t>ГАУЗ «Аксубаевская ЦРБ»</w:t>
            </w:r>
          </w:p>
        </w:tc>
        <w:tc>
          <w:tcPr>
            <w:tcW w:w="1994" w:type="dxa"/>
            <w:tcBorders>
              <w:top w:val="nil"/>
              <w:left w:val="single" w:sz="4" w:space="0" w:color="auto"/>
              <w:bottom w:val="single" w:sz="4" w:space="0" w:color="auto"/>
              <w:right w:val="single" w:sz="4" w:space="0" w:color="auto"/>
            </w:tcBorders>
            <w:shd w:val="clear" w:color="auto" w:fill="auto"/>
          </w:tcPr>
          <w:p w:rsidR="00D06A2F" w:rsidRPr="007D22C9" w:rsidRDefault="00D06A2F" w:rsidP="00BA1432">
            <w:pPr>
              <w:jc w:val="center"/>
              <w:rPr>
                <w:color w:val="000000"/>
                <w:sz w:val="20"/>
                <w:szCs w:val="20"/>
              </w:rPr>
            </w:pPr>
            <w:r w:rsidRPr="007D22C9">
              <w:rPr>
                <w:rFonts w:eastAsia="Calibri"/>
                <w:sz w:val="20"/>
                <w:szCs w:val="20"/>
              </w:rPr>
              <w:t>Фиброгастродуоденоскоп</w:t>
            </w:r>
          </w:p>
        </w:tc>
        <w:tc>
          <w:tcPr>
            <w:tcW w:w="1181" w:type="dxa"/>
          </w:tcPr>
          <w:p w:rsidR="00D06A2F" w:rsidRPr="007D22C9" w:rsidRDefault="00D06A2F" w:rsidP="000546C2">
            <w:pPr>
              <w:jc w:val="center"/>
              <w:rPr>
                <w:sz w:val="20"/>
                <w:szCs w:val="20"/>
              </w:rPr>
            </w:pPr>
            <w:r w:rsidRPr="007D22C9">
              <w:rPr>
                <w:sz w:val="20"/>
                <w:szCs w:val="20"/>
              </w:rPr>
              <w:t>2017</w:t>
            </w:r>
            <w:r w:rsidR="003D79B3" w:rsidRPr="007D22C9">
              <w:rPr>
                <w:sz w:val="20"/>
                <w:szCs w:val="20"/>
              </w:rPr>
              <w:t xml:space="preserve"> </w:t>
            </w:r>
            <w:r w:rsidR="00FA2076" w:rsidRPr="007D22C9">
              <w:rPr>
                <w:sz w:val="20"/>
                <w:szCs w:val="20"/>
              </w:rPr>
              <w:t>(1)</w:t>
            </w:r>
          </w:p>
          <w:p w:rsidR="00D06A2F" w:rsidRPr="007D22C9" w:rsidRDefault="00D06A2F" w:rsidP="000546C2">
            <w:pPr>
              <w:jc w:val="center"/>
              <w:rPr>
                <w:sz w:val="20"/>
                <w:szCs w:val="20"/>
              </w:rPr>
            </w:pPr>
            <w:r w:rsidRPr="007D22C9">
              <w:rPr>
                <w:sz w:val="20"/>
                <w:szCs w:val="20"/>
              </w:rPr>
              <w:t>2022</w:t>
            </w:r>
            <w:r w:rsidR="003D79B3" w:rsidRPr="007D22C9">
              <w:rPr>
                <w:sz w:val="20"/>
                <w:szCs w:val="20"/>
              </w:rPr>
              <w:t xml:space="preserve"> </w:t>
            </w:r>
            <w:r w:rsidR="00FA2076" w:rsidRPr="007D22C9">
              <w:rPr>
                <w:sz w:val="20"/>
                <w:szCs w:val="20"/>
              </w:rPr>
              <w:t>(2)</w:t>
            </w:r>
          </w:p>
        </w:tc>
        <w:tc>
          <w:tcPr>
            <w:tcW w:w="1181" w:type="dxa"/>
            <w:tcBorders>
              <w:top w:val="nil"/>
              <w:left w:val="single" w:sz="4" w:space="0" w:color="auto"/>
              <w:bottom w:val="single" w:sz="4" w:space="0" w:color="auto"/>
              <w:right w:val="single" w:sz="4" w:space="0" w:color="auto"/>
            </w:tcBorders>
            <w:shd w:val="clear" w:color="auto" w:fill="auto"/>
          </w:tcPr>
          <w:p w:rsidR="00D06A2F" w:rsidRPr="007D22C9" w:rsidRDefault="00D06A2F" w:rsidP="000546C2">
            <w:pPr>
              <w:jc w:val="center"/>
              <w:rPr>
                <w:color w:val="000000"/>
                <w:sz w:val="20"/>
                <w:szCs w:val="20"/>
              </w:rPr>
            </w:pPr>
            <w:r w:rsidRPr="007D22C9">
              <w:rPr>
                <w:color w:val="000000"/>
                <w:sz w:val="20"/>
                <w:szCs w:val="20"/>
              </w:rPr>
              <w:t>3</w:t>
            </w:r>
          </w:p>
        </w:tc>
        <w:tc>
          <w:tcPr>
            <w:tcW w:w="1478" w:type="dxa"/>
            <w:tcBorders>
              <w:top w:val="nil"/>
              <w:left w:val="single" w:sz="4" w:space="0" w:color="auto"/>
              <w:bottom w:val="single" w:sz="4" w:space="0" w:color="auto"/>
              <w:right w:val="single" w:sz="4" w:space="0" w:color="auto"/>
            </w:tcBorders>
            <w:shd w:val="clear" w:color="auto" w:fill="auto"/>
          </w:tcPr>
          <w:p w:rsidR="00D06A2F" w:rsidRPr="007D22C9" w:rsidRDefault="00D06A2F" w:rsidP="000546C2">
            <w:pPr>
              <w:jc w:val="center"/>
              <w:rPr>
                <w:color w:val="000000"/>
                <w:sz w:val="20"/>
                <w:szCs w:val="20"/>
              </w:rPr>
            </w:pPr>
            <w:r w:rsidRPr="007D22C9">
              <w:rPr>
                <w:color w:val="000000"/>
                <w:sz w:val="20"/>
                <w:szCs w:val="20"/>
              </w:rPr>
              <w:t>4,4</w:t>
            </w:r>
          </w:p>
        </w:tc>
        <w:tc>
          <w:tcPr>
            <w:tcW w:w="1111" w:type="dxa"/>
            <w:tcBorders>
              <w:top w:val="nil"/>
              <w:left w:val="single" w:sz="4" w:space="0" w:color="auto"/>
              <w:bottom w:val="single" w:sz="4" w:space="0" w:color="auto"/>
              <w:right w:val="single" w:sz="4" w:space="0" w:color="auto"/>
            </w:tcBorders>
            <w:shd w:val="clear" w:color="auto" w:fill="auto"/>
          </w:tcPr>
          <w:p w:rsidR="00D06A2F" w:rsidRPr="007D22C9" w:rsidRDefault="00D06A2F" w:rsidP="000546C2">
            <w:pPr>
              <w:jc w:val="center"/>
              <w:rPr>
                <w:color w:val="000000"/>
                <w:sz w:val="20"/>
                <w:szCs w:val="20"/>
              </w:rPr>
            </w:pPr>
            <w:r w:rsidRPr="007D22C9">
              <w:rPr>
                <w:color w:val="000000"/>
                <w:sz w:val="20"/>
                <w:szCs w:val="20"/>
              </w:rPr>
              <w:t>1</w:t>
            </w:r>
          </w:p>
        </w:tc>
        <w:tc>
          <w:tcPr>
            <w:tcW w:w="1944" w:type="dxa"/>
            <w:tcBorders>
              <w:top w:val="nil"/>
              <w:left w:val="single" w:sz="4" w:space="0" w:color="auto"/>
              <w:bottom w:val="single" w:sz="4" w:space="0" w:color="auto"/>
              <w:right w:val="single" w:sz="4" w:space="0" w:color="auto"/>
            </w:tcBorders>
            <w:shd w:val="clear" w:color="auto" w:fill="auto"/>
          </w:tcPr>
          <w:p w:rsidR="00D06A2F" w:rsidRPr="00E8065F" w:rsidRDefault="00D06A2F" w:rsidP="00BA1432">
            <w:pPr>
              <w:jc w:val="center"/>
              <w:rPr>
                <w:color w:val="000000"/>
                <w:sz w:val="20"/>
                <w:szCs w:val="20"/>
              </w:rPr>
            </w:pPr>
            <w:r w:rsidRPr="007D22C9">
              <w:rPr>
                <w:color w:val="000000"/>
                <w:sz w:val="20"/>
                <w:szCs w:val="20"/>
              </w:rPr>
              <w:t>Амбулаторное</w:t>
            </w:r>
          </w:p>
        </w:tc>
      </w:tr>
      <w:tr w:rsidR="00D06A2F" w:rsidRPr="00E8065F" w:rsidTr="00CD3A6F">
        <w:trPr>
          <w:trHeight w:val="20"/>
        </w:trPr>
        <w:tc>
          <w:tcPr>
            <w:tcW w:w="1555" w:type="dxa"/>
            <w:vMerge/>
            <w:tcBorders>
              <w:left w:val="single" w:sz="4" w:space="0" w:color="auto"/>
              <w:right w:val="single" w:sz="4" w:space="0" w:color="auto"/>
            </w:tcBorders>
          </w:tcPr>
          <w:p w:rsidR="00D06A2F" w:rsidRPr="00E8065F" w:rsidRDefault="00D06A2F" w:rsidP="00BA1432">
            <w:pPr>
              <w:rPr>
                <w:sz w:val="20"/>
                <w:szCs w:val="20"/>
              </w:rPr>
            </w:pPr>
          </w:p>
        </w:tc>
        <w:tc>
          <w:tcPr>
            <w:tcW w:w="3685" w:type="dxa"/>
            <w:tcBorders>
              <w:top w:val="nil"/>
              <w:left w:val="single" w:sz="4" w:space="0" w:color="auto"/>
              <w:bottom w:val="single" w:sz="4" w:space="0" w:color="auto"/>
              <w:right w:val="single" w:sz="4" w:space="0" w:color="auto"/>
            </w:tcBorders>
            <w:shd w:val="clear" w:color="auto" w:fill="auto"/>
          </w:tcPr>
          <w:p w:rsidR="00D06A2F" w:rsidRPr="00E8065F" w:rsidRDefault="00D06A2F" w:rsidP="00DC0475">
            <w:pPr>
              <w:jc w:val="both"/>
              <w:rPr>
                <w:color w:val="000000"/>
                <w:sz w:val="20"/>
                <w:szCs w:val="20"/>
              </w:rPr>
            </w:pPr>
            <w:r w:rsidRPr="00E8065F">
              <w:rPr>
                <w:color w:val="000000"/>
                <w:sz w:val="20"/>
                <w:szCs w:val="20"/>
              </w:rPr>
              <w:t xml:space="preserve">ГАУЗ </w:t>
            </w:r>
            <w:r>
              <w:rPr>
                <w:color w:val="000000"/>
                <w:sz w:val="20"/>
                <w:szCs w:val="20"/>
              </w:rPr>
              <w:t>«</w:t>
            </w:r>
            <w:r w:rsidRPr="00E8065F">
              <w:rPr>
                <w:color w:val="000000"/>
                <w:sz w:val="20"/>
                <w:szCs w:val="20"/>
              </w:rPr>
              <w:t>Актанышская ЦРБ</w:t>
            </w:r>
            <w:r>
              <w:rPr>
                <w:color w:val="000000"/>
                <w:sz w:val="20"/>
                <w:szCs w:val="20"/>
              </w:rPr>
              <w:t>»</w:t>
            </w:r>
          </w:p>
        </w:tc>
        <w:tc>
          <w:tcPr>
            <w:tcW w:w="1994" w:type="dxa"/>
            <w:tcBorders>
              <w:top w:val="nil"/>
              <w:left w:val="single" w:sz="4" w:space="0" w:color="auto"/>
              <w:bottom w:val="single" w:sz="4" w:space="0" w:color="auto"/>
              <w:right w:val="single" w:sz="4" w:space="0" w:color="auto"/>
            </w:tcBorders>
            <w:shd w:val="clear" w:color="auto" w:fill="auto"/>
          </w:tcPr>
          <w:p w:rsidR="00D06A2F" w:rsidRPr="00E8065F" w:rsidRDefault="00D06A2F" w:rsidP="00BA1432">
            <w:pPr>
              <w:jc w:val="center"/>
              <w:rPr>
                <w:color w:val="000000"/>
                <w:sz w:val="20"/>
                <w:szCs w:val="20"/>
              </w:rPr>
            </w:pPr>
            <w:r>
              <w:rPr>
                <w:rFonts w:eastAsia="Calibri"/>
                <w:sz w:val="20"/>
                <w:szCs w:val="20"/>
              </w:rPr>
              <w:t>Фиброгастродуоденоскоп</w:t>
            </w:r>
          </w:p>
        </w:tc>
        <w:tc>
          <w:tcPr>
            <w:tcW w:w="1181" w:type="dxa"/>
          </w:tcPr>
          <w:p w:rsidR="00D06A2F" w:rsidRPr="00E8065F" w:rsidRDefault="00D06A2F" w:rsidP="000546C2">
            <w:pPr>
              <w:jc w:val="center"/>
              <w:rPr>
                <w:sz w:val="20"/>
                <w:szCs w:val="20"/>
              </w:rPr>
            </w:pPr>
            <w:r w:rsidRPr="00E8065F">
              <w:rPr>
                <w:sz w:val="20"/>
                <w:szCs w:val="20"/>
              </w:rPr>
              <w:t>2018</w:t>
            </w:r>
          </w:p>
        </w:tc>
        <w:tc>
          <w:tcPr>
            <w:tcW w:w="1181" w:type="dxa"/>
            <w:tcBorders>
              <w:top w:val="nil"/>
              <w:left w:val="single" w:sz="4" w:space="0" w:color="auto"/>
              <w:bottom w:val="single" w:sz="4" w:space="0" w:color="auto"/>
              <w:right w:val="single" w:sz="4" w:space="0" w:color="auto"/>
            </w:tcBorders>
            <w:shd w:val="clear" w:color="auto" w:fill="auto"/>
          </w:tcPr>
          <w:p w:rsidR="00D06A2F" w:rsidRPr="00E8065F" w:rsidRDefault="00D06A2F" w:rsidP="000546C2">
            <w:pPr>
              <w:jc w:val="center"/>
              <w:rPr>
                <w:color w:val="000000"/>
                <w:sz w:val="20"/>
                <w:szCs w:val="20"/>
              </w:rPr>
            </w:pPr>
            <w:r w:rsidRPr="00E8065F">
              <w:rPr>
                <w:color w:val="000000"/>
                <w:sz w:val="20"/>
                <w:szCs w:val="20"/>
              </w:rPr>
              <w:t>1</w:t>
            </w:r>
          </w:p>
        </w:tc>
        <w:tc>
          <w:tcPr>
            <w:tcW w:w="1478" w:type="dxa"/>
            <w:tcBorders>
              <w:top w:val="nil"/>
              <w:left w:val="single" w:sz="4" w:space="0" w:color="auto"/>
              <w:bottom w:val="single" w:sz="4" w:space="0" w:color="auto"/>
              <w:right w:val="single" w:sz="4" w:space="0" w:color="auto"/>
            </w:tcBorders>
            <w:shd w:val="clear" w:color="auto" w:fill="auto"/>
          </w:tcPr>
          <w:p w:rsidR="00D06A2F" w:rsidRPr="00E8065F" w:rsidRDefault="00D06A2F" w:rsidP="000546C2">
            <w:pPr>
              <w:jc w:val="center"/>
              <w:rPr>
                <w:color w:val="000000"/>
                <w:sz w:val="20"/>
                <w:szCs w:val="20"/>
              </w:rPr>
            </w:pPr>
            <w:r w:rsidRPr="00E8065F">
              <w:rPr>
                <w:color w:val="000000"/>
                <w:sz w:val="20"/>
                <w:szCs w:val="20"/>
              </w:rPr>
              <w:t>6,2</w:t>
            </w:r>
          </w:p>
        </w:tc>
        <w:tc>
          <w:tcPr>
            <w:tcW w:w="1111" w:type="dxa"/>
            <w:tcBorders>
              <w:top w:val="nil"/>
              <w:left w:val="single" w:sz="4" w:space="0" w:color="auto"/>
              <w:bottom w:val="single" w:sz="4" w:space="0" w:color="auto"/>
              <w:right w:val="single" w:sz="4" w:space="0" w:color="auto"/>
            </w:tcBorders>
            <w:shd w:val="clear" w:color="auto" w:fill="auto"/>
          </w:tcPr>
          <w:p w:rsidR="00D06A2F" w:rsidRPr="00E8065F" w:rsidRDefault="00D06A2F" w:rsidP="000546C2">
            <w:pPr>
              <w:jc w:val="center"/>
              <w:rPr>
                <w:color w:val="000000"/>
                <w:sz w:val="20"/>
                <w:szCs w:val="20"/>
              </w:rPr>
            </w:pPr>
            <w:r w:rsidRPr="00E8065F">
              <w:rPr>
                <w:color w:val="000000"/>
                <w:sz w:val="20"/>
                <w:szCs w:val="20"/>
              </w:rPr>
              <w:t>1</w:t>
            </w:r>
          </w:p>
        </w:tc>
        <w:tc>
          <w:tcPr>
            <w:tcW w:w="1944" w:type="dxa"/>
            <w:tcBorders>
              <w:top w:val="nil"/>
              <w:left w:val="single" w:sz="4" w:space="0" w:color="auto"/>
              <w:bottom w:val="single" w:sz="4" w:space="0" w:color="auto"/>
              <w:right w:val="single" w:sz="4" w:space="0" w:color="auto"/>
            </w:tcBorders>
            <w:shd w:val="clear" w:color="auto" w:fill="auto"/>
          </w:tcPr>
          <w:p w:rsidR="00D06A2F" w:rsidRPr="00E8065F" w:rsidRDefault="00D06A2F" w:rsidP="00BA1432">
            <w:pPr>
              <w:jc w:val="center"/>
              <w:rPr>
                <w:color w:val="000000"/>
                <w:sz w:val="20"/>
                <w:szCs w:val="20"/>
              </w:rPr>
            </w:pPr>
            <w:r w:rsidRPr="00E8065F">
              <w:rPr>
                <w:color w:val="000000"/>
                <w:sz w:val="20"/>
                <w:szCs w:val="20"/>
              </w:rPr>
              <w:t>Амбулаторное</w:t>
            </w:r>
          </w:p>
        </w:tc>
      </w:tr>
      <w:tr w:rsidR="00D06A2F" w:rsidRPr="00E8065F" w:rsidTr="00CD3A6F">
        <w:trPr>
          <w:trHeight w:val="20"/>
        </w:trPr>
        <w:tc>
          <w:tcPr>
            <w:tcW w:w="1555" w:type="dxa"/>
            <w:vMerge/>
            <w:tcBorders>
              <w:left w:val="single" w:sz="4" w:space="0" w:color="auto"/>
              <w:right w:val="single" w:sz="4" w:space="0" w:color="auto"/>
            </w:tcBorders>
          </w:tcPr>
          <w:p w:rsidR="00D06A2F" w:rsidRPr="00E8065F" w:rsidRDefault="00D06A2F" w:rsidP="00BA1432">
            <w:pPr>
              <w:rPr>
                <w:sz w:val="20"/>
                <w:szCs w:val="20"/>
              </w:rPr>
            </w:pPr>
          </w:p>
        </w:tc>
        <w:tc>
          <w:tcPr>
            <w:tcW w:w="3685" w:type="dxa"/>
            <w:tcBorders>
              <w:top w:val="nil"/>
              <w:left w:val="single" w:sz="4" w:space="0" w:color="auto"/>
              <w:bottom w:val="single" w:sz="4" w:space="0" w:color="auto"/>
              <w:right w:val="single" w:sz="4" w:space="0" w:color="auto"/>
            </w:tcBorders>
            <w:shd w:val="clear" w:color="auto" w:fill="auto"/>
          </w:tcPr>
          <w:p w:rsidR="00D06A2F" w:rsidRPr="00E8065F" w:rsidRDefault="00D06A2F" w:rsidP="00DC0475">
            <w:pPr>
              <w:jc w:val="both"/>
              <w:rPr>
                <w:color w:val="000000"/>
                <w:sz w:val="20"/>
                <w:szCs w:val="20"/>
              </w:rPr>
            </w:pPr>
            <w:r w:rsidRPr="00E8065F">
              <w:rPr>
                <w:color w:val="000000"/>
                <w:sz w:val="20"/>
                <w:szCs w:val="20"/>
              </w:rPr>
              <w:t xml:space="preserve">ГАУЗ </w:t>
            </w:r>
            <w:r>
              <w:rPr>
                <w:color w:val="000000"/>
                <w:sz w:val="20"/>
                <w:szCs w:val="20"/>
              </w:rPr>
              <w:t>«</w:t>
            </w:r>
            <w:r w:rsidRPr="00E8065F">
              <w:rPr>
                <w:color w:val="000000"/>
                <w:sz w:val="20"/>
                <w:szCs w:val="20"/>
              </w:rPr>
              <w:t>Алексеевская ЦРБ</w:t>
            </w:r>
            <w:r>
              <w:rPr>
                <w:color w:val="000000"/>
                <w:sz w:val="20"/>
                <w:szCs w:val="20"/>
              </w:rPr>
              <w:t>»</w:t>
            </w:r>
          </w:p>
        </w:tc>
        <w:tc>
          <w:tcPr>
            <w:tcW w:w="1994" w:type="dxa"/>
            <w:tcBorders>
              <w:top w:val="nil"/>
              <w:left w:val="single" w:sz="4" w:space="0" w:color="auto"/>
              <w:bottom w:val="single" w:sz="4" w:space="0" w:color="auto"/>
              <w:right w:val="single" w:sz="4" w:space="0" w:color="auto"/>
            </w:tcBorders>
            <w:shd w:val="clear" w:color="auto" w:fill="auto"/>
          </w:tcPr>
          <w:p w:rsidR="00D06A2F" w:rsidRPr="00E8065F" w:rsidRDefault="00D06A2F" w:rsidP="00BA1432">
            <w:pPr>
              <w:jc w:val="center"/>
              <w:rPr>
                <w:color w:val="000000"/>
                <w:sz w:val="20"/>
                <w:szCs w:val="20"/>
              </w:rPr>
            </w:pPr>
            <w:r>
              <w:rPr>
                <w:rFonts w:eastAsia="Calibri"/>
                <w:sz w:val="20"/>
                <w:szCs w:val="20"/>
              </w:rPr>
              <w:t>Фиброгастродуоденоскоп</w:t>
            </w:r>
          </w:p>
        </w:tc>
        <w:tc>
          <w:tcPr>
            <w:tcW w:w="1181" w:type="dxa"/>
          </w:tcPr>
          <w:p w:rsidR="00D06A2F" w:rsidRPr="00E8065F" w:rsidRDefault="00D06A2F" w:rsidP="000546C2">
            <w:pPr>
              <w:jc w:val="center"/>
              <w:rPr>
                <w:sz w:val="20"/>
                <w:szCs w:val="20"/>
              </w:rPr>
            </w:pPr>
            <w:r w:rsidRPr="00E8065F">
              <w:rPr>
                <w:sz w:val="20"/>
                <w:szCs w:val="20"/>
              </w:rPr>
              <w:t>2015</w:t>
            </w:r>
            <w:r w:rsidR="003D79B3">
              <w:rPr>
                <w:sz w:val="20"/>
                <w:szCs w:val="20"/>
              </w:rPr>
              <w:t xml:space="preserve"> </w:t>
            </w:r>
            <w:r w:rsidR="00FA2076">
              <w:rPr>
                <w:sz w:val="20"/>
                <w:szCs w:val="20"/>
              </w:rPr>
              <w:t>(2)</w:t>
            </w:r>
          </w:p>
        </w:tc>
        <w:tc>
          <w:tcPr>
            <w:tcW w:w="1181" w:type="dxa"/>
            <w:tcBorders>
              <w:top w:val="nil"/>
              <w:left w:val="single" w:sz="4" w:space="0" w:color="auto"/>
              <w:bottom w:val="single" w:sz="4" w:space="0" w:color="auto"/>
              <w:right w:val="single" w:sz="4" w:space="0" w:color="auto"/>
            </w:tcBorders>
            <w:shd w:val="clear" w:color="auto" w:fill="auto"/>
          </w:tcPr>
          <w:p w:rsidR="00D06A2F" w:rsidRPr="00E8065F" w:rsidRDefault="00D06A2F" w:rsidP="000546C2">
            <w:pPr>
              <w:jc w:val="center"/>
              <w:rPr>
                <w:color w:val="000000"/>
                <w:sz w:val="20"/>
                <w:szCs w:val="20"/>
              </w:rPr>
            </w:pPr>
            <w:r w:rsidRPr="00E8065F">
              <w:rPr>
                <w:color w:val="000000"/>
                <w:sz w:val="20"/>
                <w:szCs w:val="20"/>
              </w:rPr>
              <w:t>2</w:t>
            </w:r>
          </w:p>
        </w:tc>
        <w:tc>
          <w:tcPr>
            <w:tcW w:w="1478" w:type="dxa"/>
            <w:tcBorders>
              <w:top w:val="nil"/>
              <w:left w:val="single" w:sz="4" w:space="0" w:color="auto"/>
              <w:bottom w:val="single" w:sz="4" w:space="0" w:color="auto"/>
              <w:right w:val="single" w:sz="4" w:space="0" w:color="auto"/>
            </w:tcBorders>
            <w:shd w:val="clear" w:color="auto" w:fill="auto"/>
          </w:tcPr>
          <w:p w:rsidR="00D06A2F" w:rsidRPr="00E8065F" w:rsidRDefault="00D06A2F" w:rsidP="000546C2">
            <w:pPr>
              <w:jc w:val="center"/>
              <w:rPr>
                <w:color w:val="000000"/>
                <w:sz w:val="20"/>
                <w:szCs w:val="20"/>
              </w:rPr>
            </w:pPr>
            <w:r w:rsidRPr="00E8065F">
              <w:rPr>
                <w:color w:val="000000"/>
                <w:sz w:val="20"/>
                <w:szCs w:val="20"/>
              </w:rPr>
              <w:t>4,5</w:t>
            </w:r>
          </w:p>
        </w:tc>
        <w:tc>
          <w:tcPr>
            <w:tcW w:w="1111" w:type="dxa"/>
            <w:tcBorders>
              <w:top w:val="nil"/>
              <w:left w:val="single" w:sz="4" w:space="0" w:color="auto"/>
              <w:bottom w:val="single" w:sz="4" w:space="0" w:color="auto"/>
              <w:right w:val="single" w:sz="4" w:space="0" w:color="auto"/>
            </w:tcBorders>
            <w:shd w:val="clear" w:color="auto" w:fill="auto"/>
          </w:tcPr>
          <w:p w:rsidR="00D06A2F" w:rsidRPr="00E8065F" w:rsidRDefault="00D06A2F" w:rsidP="000546C2">
            <w:pPr>
              <w:jc w:val="center"/>
              <w:rPr>
                <w:color w:val="000000"/>
                <w:sz w:val="20"/>
                <w:szCs w:val="20"/>
              </w:rPr>
            </w:pPr>
            <w:r w:rsidRPr="00E8065F">
              <w:rPr>
                <w:color w:val="000000"/>
                <w:sz w:val="20"/>
                <w:szCs w:val="20"/>
              </w:rPr>
              <w:t>1</w:t>
            </w:r>
          </w:p>
        </w:tc>
        <w:tc>
          <w:tcPr>
            <w:tcW w:w="1944" w:type="dxa"/>
            <w:tcBorders>
              <w:top w:val="nil"/>
              <w:left w:val="single" w:sz="4" w:space="0" w:color="auto"/>
              <w:bottom w:val="single" w:sz="4" w:space="0" w:color="auto"/>
              <w:right w:val="single" w:sz="4" w:space="0" w:color="auto"/>
            </w:tcBorders>
            <w:shd w:val="clear" w:color="auto" w:fill="auto"/>
          </w:tcPr>
          <w:p w:rsidR="00D06A2F" w:rsidRPr="00E8065F" w:rsidRDefault="00D06A2F" w:rsidP="00BA1432">
            <w:pPr>
              <w:jc w:val="center"/>
              <w:rPr>
                <w:color w:val="000000"/>
                <w:sz w:val="20"/>
                <w:szCs w:val="20"/>
              </w:rPr>
            </w:pPr>
            <w:r w:rsidRPr="00E8065F">
              <w:rPr>
                <w:color w:val="000000"/>
                <w:sz w:val="20"/>
                <w:szCs w:val="20"/>
              </w:rPr>
              <w:t>Стационарное</w:t>
            </w:r>
          </w:p>
        </w:tc>
      </w:tr>
      <w:tr w:rsidR="00D06A2F" w:rsidRPr="00E8065F" w:rsidTr="00CD3A6F">
        <w:trPr>
          <w:trHeight w:val="20"/>
        </w:trPr>
        <w:tc>
          <w:tcPr>
            <w:tcW w:w="1555" w:type="dxa"/>
            <w:vMerge/>
            <w:tcBorders>
              <w:left w:val="single" w:sz="4" w:space="0" w:color="auto"/>
              <w:right w:val="single" w:sz="4" w:space="0" w:color="auto"/>
            </w:tcBorders>
          </w:tcPr>
          <w:p w:rsidR="00D06A2F" w:rsidRPr="00E8065F" w:rsidRDefault="00D06A2F" w:rsidP="00BA1432">
            <w:pPr>
              <w:rPr>
                <w:sz w:val="20"/>
                <w:szCs w:val="20"/>
              </w:rPr>
            </w:pPr>
          </w:p>
        </w:tc>
        <w:tc>
          <w:tcPr>
            <w:tcW w:w="3685" w:type="dxa"/>
            <w:tcBorders>
              <w:top w:val="nil"/>
              <w:left w:val="single" w:sz="4" w:space="0" w:color="auto"/>
              <w:bottom w:val="single" w:sz="4" w:space="0" w:color="auto"/>
              <w:right w:val="single" w:sz="4" w:space="0" w:color="auto"/>
            </w:tcBorders>
            <w:shd w:val="clear" w:color="auto" w:fill="auto"/>
          </w:tcPr>
          <w:p w:rsidR="00D06A2F" w:rsidRPr="00E8065F" w:rsidRDefault="00D06A2F" w:rsidP="00DC0475">
            <w:pPr>
              <w:jc w:val="both"/>
              <w:rPr>
                <w:color w:val="000000"/>
                <w:sz w:val="20"/>
                <w:szCs w:val="20"/>
              </w:rPr>
            </w:pPr>
            <w:r w:rsidRPr="00E8065F">
              <w:rPr>
                <w:color w:val="000000"/>
                <w:sz w:val="20"/>
                <w:szCs w:val="20"/>
              </w:rPr>
              <w:t xml:space="preserve">ГАУЗ </w:t>
            </w:r>
            <w:r>
              <w:rPr>
                <w:color w:val="000000"/>
                <w:sz w:val="20"/>
                <w:szCs w:val="20"/>
              </w:rPr>
              <w:t>«</w:t>
            </w:r>
            <w:r w:rsidRPr="00E8065F">
              <w:rPr>
                <w:color w:val="000000"/>
                <w:sz w:val="20"/>
                <w:szCs w:val="20"/>
              </w:rPr>
              <w:t>Базарно-Матакская ЦРБ</w:t>
            </w:r>
            <w:r>
              <w:rPr>
                <w:color w:val="000000"/>
                <w:sz w:val="20"/>
                <w:szCs w:val="20"/>
              </w:rPr>
              <w:t>»</w:t>
            </w:r>
          </w:p>
        </w:tc>
        <w:tc>
          <w:tcPr>
            <w:tcW w:w="1994" w:type="dxa"/>
            <w:tcBorders>
              <w:top w:val="nil"/>
              <w:left w:val="single" w:sz="4" w:space="0" w:color="auto"/>
              <w:bottom w:val="single" w:sz="4" w:space="0" w:color="auto"/>
              <w:right w:val="single" w:sz="4" w:space="0" w:color="auto"/>
            </w:tcBorders>
            <w:shd w:val="clear" w:color="auto" w:fill="auto"/>
          </w:tcPr>
          <w:p w:rsidR="00D06A2F" w:rsidRPr="00E8065F" w:rsidRDefault="00D06A2F" w:rsidP="00BA1432">
            <w:pPr>
              <w:jc w:val="center"/>
              <w:rPr>
                <w:color w:val="000000"/>
                <w:sz w:val="20"/>
                <w:szCs w:val="20"/>
              </w:rPr>
            </w:pPr>
            <w:r>
              <w:rPr>
                <w:rFonts w:eastAsia="Calibri"/>
                <w:sz w:val="20"/>
                <w:szCs w:val="20"/>
              </w:rPr>
              <w:t>Фиброгастродуоденоскоп</w:t>
            </w:r>
          </w:p>
        </w:tc>
        <w:tc>
          <w:tcPr>
            <w:tcW w:w="1181" w:type="dxa"/>
          </w:tcPr>
          <w:p w:rsidR="00D06A2F" w:rsidRPr="00E8065F" w:rsidRDefault="00D06A2F" w:rsidP="000546C2">
            <w:pPr>
              <w:jc w:val="center"/>
              <w:rPr>
                <w:sz w:val="20"/>
                <w:szCs w:val="20"/>
              </w:rPr>
            </w:pPr>
            <w:r w:rsidRPr="00E8065F">
              <w:rPr>
                <w:sz w:val="20"/>
                <w:szCs w:val="20"/>
              </w:rPr>
              <w:t>2015</w:t>
            </w:r>
            <w:r w:rsidR="003D79B3">
              <w:rPr>
                <w:sz w:val="20"/>
                <w:szCs w:val="20"/>
              </w:rPr>
              <w:t xml:space="preserve"> </w:t>
            </w:r>
            <w:r w:rsidR="00FA2076">
              <w:rPr>
                <w:sz w:val="20"/>
                <w:szCs w:val="20"/>
              </w:rPr>
              <w:t>(2)</w:t>
            </w:r>
          </w:p>
          <w:p w:rsidR="00D06A2F" w:rsidRPr="00E8065F" w:rsidRDefault="00D06A2F" w:rsidP="000546C2">
            <w:pPr>
              <w:jc w:val="center"/>
              <w:rPr>
                <w:sz w:val="20"/>
                <w:szCs w:val="20"/>
              </w:rPr>
            </w:pPr>
            <w:r w:rsidRPr="00E8065F">
              <w:rPr>
                <w:sz w:val="20"/>
                <w:szCs w:val="20"/>
              </w:rPr>
              <w:t>2022</w:t>
            </w:r>
            <w:r w:rsidR="003D79B3">
              <w:rPr>
                <w:sz w:val="20"/>
                <w:szCs w:val="20"/>
              </w:rPr>
              <w:t xml:space="preserve"> </w:t>
            </w:r>
            <w:r w:rsidR="00FA2076">
              <w:rPr>
                <w:sz w:val="20"/>
                <w:szCs w:val="20"/>
              </w:rPr>
              <w:t>(1)</w:t>
            </w:r>
          </w:p>
        </w:tc>
        <w:tc>
          <w:tcPr>
            <w:tcW w:w="1181" w:type="dxa"/>
            <w:tcBorders>
              <w:top w:val="nil"/>
              <w:left w:val="single" w:sz="4" w:space="0" w:color="auto"/>
              <w:bottom w:val="single" w:sz="4" w:space="0" w:color="auto"/>
              <w:right w:val="single" w:sz="4" w:space="0" w:color="auto"/>
            </w:tcBorders>
            <w:shd w:val="clear" w:color="auto" w:fill="auto"/>
          </w:tcPr>
          <w:p w:rsidR="00D06A2F" w:rsidRPr="00E8065F" w:rsidRDefault="00D06A2F" w:rsidP="000546C2">
            <w:pPr>
              <w:jc w:val="center"/>
              <w:rPr>
                <w:color w:val="000000"/>
                <w:sz w:val="20"/>
                <w:szCs w:val="20"/>
              </w:rPr>
            </w:pPr>
            <w:r w:rsidRPr="00E8065F">
              <w:rPr>
                <w:color w:val="000000"/>
                <w:sz w:val="20"/>
                <w:szCs w:val="20"/>
              </w:rPr>
              <w:t>3</w:t>
            </w:r>
          </w:p>
        </w:tc>
        <w:tc>
          <w:tcPr>
            <w:tcW w:w="1478" w:type="dxa"/>
            <w:tcBorders>
              <w:top w:val="nil"/>
              <w:left w:val="single" w:sz="4" w:space="0" w:color="auto"/>
              <w:bottom w:val="single" w:sz="4" w:space="0" w:color="auto"/>
              <w:right w:val="single" w:sz="4" w:space="0" w:color="auto"/>
            </w:tcBorders>
            <w:shd w:val="clear" w:color="auto" w:fill="auto"/>
          </w:tcPr>
          <w:p w:rsidR="00D06A2F" w:rsidRPr="00E8065F" w:rsidRDefault="00D06A2F" w:rsidP="000546C2">
            <w:pPr>
              <w:jc w:val="center"/>
              <w:rPr>
                <w:color w:val="000000"/>
                <w:sz w:val="20"/>
                <w:szCs w:val="20"/>
              </w:rPr>
            </w:pPr>
            <w:r w:rsidRPr="00E8065F">
              <w:rPr>
                <w:color w:val="000000"/>
                <w:sz w:val="20"/>
                <w:szCs w:val="20"/>
              </w:rPr>
              <w:t>2,6</w:t>
            </w:r>
          </w:p>
        </w:tc>
        <w:tc>
          <w:tcPr>
            <w:tcW w:w="1111" w:type="dxa"/>
            <w:tcBorders>
              <w:top w:val="nil"/>
              <w:left w:val="single" w:sz="4" w:space="0" w:color="auto"/>
              <w:bottom w:val="single" w:sz="4" w:space="0" w:color="auto"/>
              <w:right w:val="single" w:sz="4" w:space="0" w:color="auto"/>
            </w:tcBorders>
            <w:shd w:val="clear" w:color="auto" w:fill="auto"/>
          </w:tcPr>
          <w:p w:rsidR="00D06A2F" w:rsidRPr="00E8065F" w:rsidRDefault="00D06A2F" w:rsidP="000546C2">
            <w:pPr>
              <w:jc w:val="center"/>
              <w:rPr>
                <w:color w:val="000000"/>
                <w:sz w:val="20"/>
                <w:szCs w:val="20"/>
              </w:rPr>
            </w:pPr>
            <w:r w:rsidRPr="00E8065F">
              <w:rPr>
                <w:color w:val="000000"/>
                <w:sz w:val="20"/>
                <w:szCs w:val="20"/>
              </w:rPr>
              <w:t>1</w:t>
            </w:r>
          </w:p>
        </w:tc>
        <w:tc>
          <w:tcPr>
            <w:tcW w:w="1944" w:type="dxa"/>
            <w:tcBorders>
              <w:top w:val="nil"/>
              <w:left w:val="single" w:sz="4" w:space="0" w:color="auto"/>
              <w:bottom w:val="single" w:sz="4" w:space="0" w:color="auto"/>
              <w:right w:val="single" w:sz="4" w:space="0" w:color="auto"/>
            </w:tcBorders>
            <w:shd w:val="clear" w:color="auto" w:fill="auto"/>
          </w:tcPr>
          <w:p w:rsidR="00D06A2F" w:rsidRPr="00E8065F" w:rsidRDefault="00D06A2F" w:rsidP="00BA1432">
            <w:pPr>
              <w:jc w:val="center"/>
              <w:rPr>
                <w:color w:val="000000"/>
                <w:sz w:val="20"/>
                <w:szCs w:val="20"/>
              </w:rPr>
            </w:pPr>
            <w:r w:rsidRPr="00E8065F">
              <w:rPr>
                <w:color w:val="000000"/>
                <w:sz w:val="20"/>
                <w:szCs w:val="20"/>
              </w:rPr>
              <w:t>Амбулаторное</w:t>
            </w:r>
          </w:p>
        </w:tc>
      </w:tr>
      <w:tr w:rsidR="00D06A2F" w:rsidRPr="00E8065F" w:rsidTr="00CD3A6F">
        <w:trPr>
          <w:trHeight w:val="20"/>
        </w:trPr>
        <w:tc>
          <w:tcPr>
            <w:tcW w:w="1555" w:type="dxa"/>
            <w:vMerge/>
            <w:tcBorders>
              <w:left w:val="single" w:sz="4" w:space="0" w:color="auto"/>
              <w:right w:val="single" w:sz="4" w:space="0" w:color="auto"/>
            </w:tcBorders>
          </w:tcPr>
          <w:p w:rsidR="00D06A2F" w:rsidRPr="00E8065F" w:rsidRDefault="00D06A2F" w:rsidP="00BA1432">
            <w:pPr>
              <w:rPr>
                <w:sz w:val="20"/>
                <w:szCs w:val="20"/>
              </w:rPr>
            </w:pPr>
          </w:p>
        </w:tc>
        <w:tc>
          <w:tcPr>
            <w:tcW w:w="3685" w:type="dxa"/>
            <w:tcBorders>
              <w:top w:val="nil"/>
              <w:left w:val="single" w:sz="4" w:space="0" w:color="auto"/>
              <w:bottom w:val="single" w:sz="4" w:space="0" w:color="auto"/>
              <w:right w:val="single" w:sz="4" w:space="0" w:color="auto"/>
            </w:tcBorders>
            <w:shd w:val="clear" w:color="auto" w:fill="auto"/>
          </w:tcPr>
          <w:p w:rsidR="00D06A2F" w:rsidRPr="00AF1198" w:rsidRDefault="00D06A2F" w:rsidP="00DC0475">
            <w:pPr>
              <w:jc w:val="both"/>
              <w:rPr>
                <w:color w:val="000000"/>
                <w:sz w:val="20"/>
                <w:szCs w:val="20"/>
              </w:rPr>
            </w:pPr>
            <w:r w:rsidRPr="00AF1198">
              <w:rPr>
                <w:color w:val="000000"/>
                <w:sz w:val="20"/>
                <w:szCs w:val="20"/>
              </w:rPr>
              <w:t xml:space="preserve">ГАУЗ </w:t>
            </w:r>
            <w:r>
              <w:rPr>
                <w:rFonts w:eastAsia="Arial"/>
                <w:sz w:val="20"/>
                <w:szCs w:val="20"/>
              </w:rPr>
              <w:t>«</w:t>
            </w:r>
            <w:r w:rsidRPr="00AF1198">
              <w:rPr>
                <w:rFonts w:eastAsia="Arial"/>
                <w:sz w:val="20"/>
                <w:szCs w:val="20"/>
              </w:rPr>
              <w:t>Альметьевская межрайонная многопрофильная больница</w:t>
            </w:r>
            <w:r>
              <w:rPr>
                <w:rFonts w:eastAsia="Arial"/>
                <w:sz w:val="20"/>
                <w:szCs w:val="20"/>
              </w:rPr>
              <w:t>»</w:t>
            </w:r>
            <w:r w:rsidRPr="00AF1198">
              <w:rPr>
                <w:color w:val="000000"/>
                <w:sz w:val="20"/>
                <w:szCs w:val="20"/>
              </w:rPr>
              <w:t xml:space="preserve"> </w:t>
            </w:r>
          </w:p>
        </w:tc>
        <w:tc>
          <w:tcPr>
            <w:tcW w:w="1994" w:type="dxa"/>
            <w:tcBorders>
              <w:top w:val="nil"/>
              <w:left w:val="single" w:sz="4" w:space="0" w:color="auto"/>
              <w:bottom w:val="single" w:sz="4" w:space="0" w:color="auto"/>
              <w:right w:val="single" w:sz="4" w:space="0" w:color="auto"/>
            </w:tcBorders>
            <w:shd w:val="clear" w:color="auto" w:fill="auto"/>
          </w:tcPr>
          <w:p w:rsidR="00D06A2F" w:rsidRPr="00E8065F" w:rsidRDefault="00D06A2F" w:rsidP="00BA1432">
            <w:pPr>
              <w:jc w:val="center"/>
              <w:rPr>
                <w:color w:val="000000"/>
                <w:sz w:val="20"/>
                <w:szCs w:val="20"/>
              </w:rPr>
            </w:pPr>
            <w:r>
              <w:rPr>
                <w:rFonts w:eastAsia="Calibri"/>
                <w:sz w:val="20"/>
                <w:szCs w:val="20"/>
              </w:rPr>
              <w:t>Фиброгастродуоденоскоп</w:t>
            </w:r>
          </w:p>
        </w:tc>
        <w:tc>
          <w:tcPr>
            <w:tcW w:w="1181" w:type="dxa"/>
          </w:tcPr>
          <w:p w:rsidR="00D06A2F" w:rsidRPr="00E8065F" w:rsidRDefault="00D06A2F" w:rsidP="000546C2">
            <w:pPr>
              <w:jc w:val="center"/>
              <w:rPr>
                <w:sz w:val="20"/>
                <w:szCs w:val="20"/>
              </w:rPr>
            </w:pPr>
            <w:r w:rsidRPr="00E8065F">
              <w:rPr>
                <w:sz w:val="20"/>
                <w:szCs w:val="20"/>
              </w:rPr>
              <w:t>2016</w:t>
            </w:r>
            <w:r w:rsidR="003D79B3">
              <w:rPr>
                <w:sz w:val="20"/>
                <w:szCs w:val="20"/>
              </w:rPr>
              <w:t xml:space="preserve"> </w:t>
            </w:r>
            <w:r w:rsidR="00FA2076">
              <w:rPr>
                <w:sz w:val="20"/>
                <w:szCs w:val="20"/>
              </w:rPr>
              <w:t>(3)</w:t>
            </w:r>
          </w:p>
          <w:p w:rsidR="00D06A2F" w:rsidRPr="00E8065F" w:rsidRDefault="00D06A2F" w:rsidP="000546C2">
            <w:pPr>
              <w:jc w:val="center"/>
              <w:rPr>
                <w:sz w:val="20"/>
                <w:szCs w:val="20"/>
              </w:rPr>
            </w:pPr>
            <w:r w:rsidRPr="00E8065F">
              <w:rPr>
                <w:sz w:val="20"/>
                <w:szCs w:val="20"/>
              </w:rPr>
              <w:t>2018</w:t>
            </w:r>
            <w:r w:rsidR="003D79B3">
              <w:rPr>
                <w:sz w:val="20"/>
                <w:szCs w:val="20"/>
              </w:rPr>
              <w:t xml:space="preserve"> </w:t>
            </w:r>
            <w:r w:rsidR="00FA2076">
              <w:rPr>
                <w:sz w:val="20"/>
                <w:szCs w:val="20"/>
              </w:rPr>
              <w:t>(5)</w:t>
            </w:r>
          </w:p>
        </w:tc>
        <w:tc>
          <w:tcPr>
            <w:tcW w:w="1181" w:type="dxa"/>
            <w:tcBorders>
              <w:top w:val="nil"/>
              <w:left w:val="single" w:sz="4" w:space="0" w:color="auto"/>
              <w:bottom w:val="single" w:sz="4" w:space="0" w:color="auto"/>
              <w:right w:val="single" w:sz="4" w:space="0" w:color="auto"/>
            </w:tcBorders>
            <w:shd w:val="clear" w:color="auto" w:fill="auto"/>
          </w:tcPr>
          <w:p w:rsidR="00D06A2F" w:rsidRPr="00E8065F" w:rsidRDefault="00D06A2F" w:rsidP="000546C2">
            <w:pPr>
              <w:jc w:val="center"/>
              <w:rPr>
                <w:color w:val="000000"/>
                <w:sz w:val="20"/>
                <w:szCs w:val="20"/>
              </w:rPr>
            </w:pPr>
            <w:r w:rsidRPr="00E8065F">
              <w:rPr>
                <w:color w:val="000000"/>
                <w:sz w:val="20"/>
                <w:szCs w:val="20"/>
              </w:rPr>
              <w:t>8</w:t>
            </w:r>
          </w:p>
        </w:tc>
        <w:tc>
          <w:tcPr>
            <w:tcW w:w="1478" w:type="dxa"/>
            <w:tcBorders>
              <w:top w:val="nil"/>
              <w:left w:val="single" w:sz="4" w:space="0" w:color="auto"/>
              <w:bottom w:val="single" w:sz="4" w:space="0" w:color="auto"/>
              <w:right w:val="single" w:sz="4" w:space="0" w:color="auto"/>
            </w:tcBorders>
            <w:shd w:val="clear" w:color="auto" w:fill="auto"/>
          </w:tcPr>
          <w:p w:rsidR="00D06A2F" w:rsidRPr="00E8065F" w:rsidRDefault="00D06A2F" w:rsidP="000546C2">
            <w:pPr>
              <w:jc w:val="center"/>
              <w:rPr>
                <w:color w:val="000000"/>
                <w:sz w:val="20"/>
                <w:szCs w:val="20"/>
              </w:rPr>
            </w:pPr>
            <w:r w:rsidRPr="00E8065F">
              <w:rPr>
                <w:color w:val="000000"/>
                <w:sz w:val="20"/>
                <w:szCs w:val="20"/>
              </w:rPr>
              <w:t>4,8</w:t>
            </w:r>
          </w:p>
        </w:tc>
        <w:tc>
          <w:tcPr>
            <w:tcW w:w="1111" w:type="dxa"/>
            <w:tcBorders>
              <w:top w:val="nil"/>
              <w:left w:val="single" w:sz="4" w:space="0" w:color="auto"/>
              <w:bottom w:val="single" w:sz="4" w:space="0" w:color="auto"/>
              <w:right w:val="single" w:sz="4" w:space="0" w:color="auto"/>
            </w:tcBorders>
            <w:shd w:val="clear" w:color="auto" w:fill="auto"/>
          </w:tcPr>
          <w:p w:rsidR="00D06A2F" w:rsidRPr="00E8065F" w:rsidRDefault="00D06A2F" w:rsidP="000546C2">
            <w:pPr>
              <w:jc w:val="center"/>
              <w:rPr>
                <w:color w:val="000000"/>
                <w:sz w:val="20"/>
                <w:szCs w:val="20"/>
              </w:rPr>
            </w:pPr>
            <w:r w:rsidRPr="00E8065F">
              <w:rPr>
                <w:color w:val="000000"/>
                <w:sz w:val="20"/>
                <w:szCs w:val="20"/>
              </w:rPr>
              <w:t>3</w:t>
            </w:r>
          </w:p>
        </w:tc>
        <w:tc>
          <w:tcPr>
            <w:tcW w:w="1944" w:type="dxa"/>
            <w:tcBorders>
              <w:top w:val="nil"/>
              <w:left w:val="single" w:sz="4" w:space="0" w:color="auto"/>
              <w:bottom w:val="single" w:sz="4" w:space="0" w:color="auto"/>
              <w:right w:val="single" w:sz="4" w:space="0" w:color="auto"/>
            </w:tcBorders>
            <w:shd w:val="clear" w:color="auto" w:fill="auto"/>
          </w:tcPr>
          <w:p w:rsidR="00D06A2F" w:rsidRPr="00E8065F" w:rsidRDefault="00D06A2F" w:rsidP="00BA1432">
            <w:pPr>
              <w:jc w:val="center"/>
              <w:rPr>
                <w:color w:val="000000"/>
                <w:sz w:val="20"/>
                <w:szCs w:val="20"/>
              </w:rPr>
            </w:pPr>
            <w:r w:rsidRPr="00E8065F">
              <w:rPr>
                <w:color w:val="000000"/>
                <w:sz w:val="20"/>
                <w:szCs w:val="20"/>
              </w:rPr>
              <w:t>Амбулаторное</w:t>
            </w:r>
          </w:p>
        </w:tc>
      </w:tr>
      <w:tr w:rsidR="00D06A2F" w:rsidRPr="00E8065F" w:rsidTr="00CD3A6F">
        <w:trPr>
          <w:trHeight w:val="20"/>
        </w:trPr>
        <w:tc>
          <w:tcPr>
            <w:tcW w:w="1555" w:type="dxa"/>
            <w:vMerge/>
            <w:tcBorders>
              <w:left w:val="single" w:sz="4" w:space="0" w:color="auto"/>
              <w:right w:val="single" w:sz="4" w:space="0" w:color="auto"/>
            </w:tcBorders>
          </w:tcPr>
          <w:p w:rsidR="00D06A2F" w:rsidRPr="00E8065F" w:rsidRDefault="00D06A2F" w:rsidP="00BA1432">
            <w:pPr>
              <w:rPr>
                <w:sz w:val="20"/>
                <w:szCs w:val="20"/>
              </w:rPr>
            </w:pPr>
          </w:p>
        </w:tc>
        <w:tc>
          <w:tcPr>
            <w:tcW w:w="3685" w:type="dxa"/>
            <w:tcBorders>
              <w:top w:val="nil"/>
              <w:left w:val="single" w:sz="4" w:space="0" w:color="auto"/>
              <w:bottom w:val="single" w:sz="4" w:space="0" w:color="auto"/>
              <w:right w:val="single" w:sz="4" w:space="0" w:color="auto"/>
            </w:tcBorders>
            <w:shd w:val="clear" w:color="auto" w:fill="auto"/>
          </w:tcPr>
          <w:p w:rsidR="00D06A2F" w:rsidRPr="00E8065F" w:rsidRDefault="00D06A2F" w:rsidP="00DC0475">
            <w:pPr>
              <w:jc w:val="both"/>
              <w:rPr>
                <w:color w:val="000000"/>
                <w:sz w:val="20"/>
                <w:szCs w:val="20"/>
              </w:rPr>
            </w:pPr>
            <w:r w:rsidRPr="00E8065F">
              <w:rPr>
                <w:color w:val="000000"/>
                <w:sz w:val="20"/>
                <w:szCs w:val="20"/>
              </w:rPr>
              <w:t xml:space="preserve">ГАУЗ </w:t>
            </w:r>
            <w:r>
              <w:rPr>
                <w:color w:val="000000"/>
                <w:sz w:val="20"/>
                <w:szCs w:val="20"/>
              </w:rPr>
              <w:t>«</w:t>
            </w:r>
            <w:r w:rsidRPr="00E8065F">
              <w:rPr>
                <w:color w:val="000000"/>
                <w:sz w:val="20"/>
                <w:szCs w:val="20"/>
              </w:rPr>
              <w:t>Альметьевская городская поликлиника №</w:t>
            </w:r>
            <w:r>
              <w:rPr>
                <w:color w:val="000000"/>
                <w:sz w:val="20"/>
                <w:szCs w:val="20"/>
              </w:rPr>
              <w:t xml:space="preserve"> </w:t>
            </w:r>
            <w:r w:rsidRPr="00E8065F">
              <w:rPr>
                <w:color w:val="000000"/>
                <w:sz w:val="20"/>
                <w:szCs w:val="20"/>
              </w:rPr>
              <w:t>3</w:t>
            </w:r>
            <w:r>
              <w:rPr>
                <w:color w:val="000000"/>
                <w:sz w:val="20"/>
                <w:szCs w:val="20"/>
              </w:rPr>
              <w:t>»</w:t>
            </w:r>
          </w:p>
        </w:tc>
        <w:tc>
          <w:tcPr>
            <w:tcW w:w="1994" w:type="dxa"/>
            <w:tcBorders>
              <w:top w:val="nil"/>
              <w:left w:val="single" w:sz="4" w:space="0" w:color="auto"/>
              <w:bottom w:val="single" w:sz="4" w:space="0" w:color="auto"/>
              <w:right w:val="single" w:sz="4" w:space="0" w:color="auto"/>
            </w:tcBorders>
            <w:shd w:val="clear" w:color="auto" w:fill="auto"/>
          </w:tcPr>
          <w:p w:rsidR="00D06A2F" w:rsidRPr="00E8065F" w:rsidRDefault="00D06A2F" w:rsidP="00BA1432">
            <w:pPr>
              <w:jc w:val="center"/>
              <w:rPr>
                <w:color w:val="000000"/>
                <w:sz w:val="20"/>
                <w:szCs w:val="20"/>
              </w:rPr>
            </w:pPr>
            <w:r>
              <w:rPr>
                <w:rFonts w:eastAsia="Calibri"/>
                <w:sz w:val="20"/>
                <w:szCs w:val="20"/>
              </w:rPr>
              <w:t>Фиброгастродуоденоскоп</w:t>
            </w:r>
          </w:p>
        </w:tc>
        <w:tc>
          <w:tcPr>
            <w:tcW w:w="1181" w:type="dxa"/>
          </w:tcPr>
          <w:p w:rsidR="00D06A2F" w:rsidRPr="00E8065F" w:rsidRDefault="00D06A2F" w:rsidP="000546C2">
            <w:pPr>
              <w:jc w:val="center"/>
              <w:rPr>
                <w:sz w:val="20"/>
                <w:szCs w:val="20"/>
              </w:rPr>
            </w:pPr>
            <w:r w:rsidRPr="00E8065F">
              <w:rPr>
                <w:sz w:val="20"/>
                <w:szCs w:val="20"/>
              </w:rPr>
              <w:t>2016</w:t>
            </w:r>
            <w:r w:rsidR="003D79B3">
              <w:rPr>
                <w:sz w:val="20"/>
                <w:szCs w:val="20"/>
              </w:rPr>
              <w:t xml:space="preserve"> </w:t>
            </w:r>
            <w:r w:rsidR="00FA2076">
              <w:rPr>
                <w:sz w:val="20"/>
                <w:szCs w:val="20"/>
              </w:rPr>
              <w:t>(1)</w:t>
            </w:r>
          </w:p>
          <w:p w:rsidR="00D06A2F" w:rsidRPr="00E8065F" w:rsidRDefault="00D06A2F" w:rsidP="000546C2">
            <w:pPr>
              <w:jc w:val="center"/>
              <w:rPr>
                <w:sz w:val="20"/>
                <w:szCs w:val="20"/>
              </w:rPr>
            </w:pPr>
            <w:r w:rsidRPr="00E8065F">
              <w:rPr>
                <w:sz w:val="20"/>
                <w:szCs w:val="20"/>
              </w:rPr>
              <w:t>2018</w:t>
            </w:r>
            <w:r w:rsidR="003D79B3">
              <w:rPr>
                <w:sz w:val="20"/>
                <w:szCs w:val="20"/>
              </w:rPr>
              <w:t xml:space="preserve"> </w:t>
            </w:r>
            <w:r w:rsidR="00FA2076">
              <w:rPr>
                <w:sz w:val="20"/>
                <w:szCs w:val="20"/>
              </w:rPr>
              <w:t>(3)</w:t>
            </w:r>
          </w:p>
        </w:tc>
        <w:tc>
          <w:tcPr>
            <w:tcW w:w="1181" w:type="dxa"/>
            <w:tcBorders>
              <w:top w:val="nil"/>
              <w:left w:val="single" w:sz="4" w:space="0" w:color="auto"/>
              <w:bottom w:val="single" w:sz="4" w:space="0" w:color="auto"/>
              <w:right w:val="single" w:sz="4" w:space="0" w:color="auto"/>
            </w:tcBorders>
            <w:shd w:val="clear" w:color="auto" w:fill="auto"/>
          </w:tcPr>
          <w:p w:rsidR="00D06A2F" w:rsidRPr="00E8065F" w:rsidRDefault="00D06A2F" w:rsidP="000546C2">
            <w:pPr>
              <w:jc w:val="center"/>
              <w:rPr>
                <w:color w:val="000000"/>
                <w:sz w:val="20"/>
                <w:szCs w:val="20"/>
              </w:rPr>
            </w:pPr>
            <w:r w:rsidRPr="00E8065F">
              <w:rPr>
                <w:color w:val="000000"/>
                <w:sz w:val="20"/>
                <w:szCs w:val="20"/>
              </w:rPr>
              <w:t>4</w:t>
            </w:r>
          </w:p>
        </w:tc>
        <w:tc>
          <w:tcPr>
            <w:tcW w:w="1478" w:type="dxa"/>
            <w:tcBorders>
              <w:top w:val="nil"/>
              <w:left w:val="single" w:sz="4" w:space="0" w:color="auto"/>
              <w:bottom w:val="single" w:sz="4" w:space="0" w:color="auto"/>
              <w:right w:val="single" w:sz="4" w:space="0" w:color="auto"/>
            </w:tcBorders>
            <w:shd w:val="clear" w:color="auto" w:fill="auto"/>
          </w:tcPr>
          <w:p w:rsidR="00D06A2F" w:rsidRPr="00E8065F" w:rsidRDefault="00D06A2F" w:rsidP="000546C2">
            <w:pPr>
              <w:jc w:val="center"/>
              <w:rPr>
                <w:color w:val="000000"/>
                <w:sz w:val="20"/>
                <w:szCs w:val="20"/>
              </w:rPr>
            </w:pPr>
            <w:r w:rsidRPr="00E8065F">
              <w:rPr>
                <w:color w:val="000000"/>
                <w:sz w:val="20"/>
                <w:szCs w:val="20"/>
              </w:rPr>
              <w:t>5,9</w:t>
            </w:r>
          </w:p>
        </w:tc>
        <w:tc>
          <w:tcPr>
            <w:tcW w:w="1111" w:type="dxa"/>
            <w:tcBorders>
              <w:top w:val="nil"/>
              <w:left w:val="single" w:sz="4" w:space="0" w:color="auto"/>
              <w:bottom w:val="single" w:sz="4" w:space="0" w:color="auto"/>
              <w:right w:val="single" w:sz="4" w:space="0" w:color="auto"/>
            </w:tcBorders>
            <w:shd w:val="clear" w:color="auto" w:fill="auto"/>
          </w:tcPr>
          <w:p w:rsidR="00D06A2F" w:rsidRPr="00E8065F" w:rsidRDefault="00D06A2F" w:rsidP="000546C2">
            <w:pPr>
              <w:jc w:val="center"/>
              <w:rPr>
                <w:color w:val="000000"/>
                <w:sz w:val="20"/>
                <w:szCs w:val="20"/>
              </w:rPr>
            </w:pPr>
            <w:r w:rsidRPr="00E8065F">
              <w:rPr>
                <w:color w:val="000000"/>
                <w:sz w:val="20"/>
                <w:szCs w:val="20"/>
              </w:rPr>
              <w:t>1</w:t>
            </w:r>
          </w:p>
        </w:tc>
        <w:tc>
          <w:tcPr>
            <w:tcW w:w="1944" w:type="dxa"/>
            <w:tcBorders>
              <w:top w:val="nil"/>
              <w:left w:val="single" w:sz="4" w:space="0" w:color="auto"/>
              <w:bottom w:val="single" w:sz="4" w:space="0" w:color="auto"/>
              <w:right w:val="single" w:sz="4" w:space="0" w:color="auto"/>
            </w:tcBorders>
            <w:shd w:val="clear" w:color="auto" w:fill="auto"/>
          </w:tcPr>
          <w:p w:rsidR="00D06A2F" w:rsidRPr="00E8065F" w:rsidRDefault="00D06A2F" w:rsidP="00BA1432">
            <w:pPr>
              <w:jc w:val="center"/>
              <w:rPr>
                <w:color w:val="000000"/>
                <w:sz w:val="20"/>
                <w:szCs w:val="20"/>
              </w:rPr>
            </w:pPr>
            <w:r w:rsidRPr="00E8065F">
              <w:rPr>
                <w:color w:val="000000"/>
                <w:sz w:val="20"/>
                <w:szCs w:val="20"/>
              </w:rPr>
              <w:t>Амбулаторное</w:t>
            </w:r>
          </w:p>
        </w:tc>
      </w:tr>
      <w:tr w:rsidR="00D06A2F" w:rsidRPr="00E8065F" w:rsidTr="00CD3A6F">
        <w:trPr>
          <w:trHeight w:val="20"/>
        </w:trPr>
        <w:tc>
          <w:tcPr>
            <w:tcW w:w="1555" w:type="dxa"/>
            <w:vMerge/>
            <w:tcBorders>
              <w:left w:val="single" w:sz="4" w:space="0" w:color="auto"/>
              <w:right w:val="single" w:sz="4" w:space="0" w:color="auto"/>
            </w:tcBorders>
          </w:tcPr>
          <w:p w:rsidR="00D06A2F" w:rsidRPr="00E8065F" w:rsidRDefault="00D06A2F" w:rsidP="00BA1432">
            <w:pPr>
              <w:rPr>
                <w:sz w:val="20"/>
                <w:szCs w:val="20"/>
              </w:rPr>
            </w:pPr>
          </w:p>
        </w:tc>
        <w:tc>
          <w:tcPr>
            <w:tcW w:w="3685" w:type="dxa"/>
            <w:tcBorders>
              <w:top w:val="nil"/>
              <w:left w:val="single" w:sz="4" w:space="0" w:color="auto"/>
              <w:bottom w:val="single" w:sz="4" w:space="0" w:color="auto"/>
              <w:right w:val="nil"/>
            </w:tcBorders>
            <w:shd w:val="clear" w:color="auto" w:fill="auto"/>
          </w:tcPr>
          <w:p w:rsidR="00D06A2F" w:rsidRPr="00E8065F" w:rsidRDefault="00D06A2F" w:rsidP="00DC0475">
            <w:pPr>
              <w:jc w:val="both"/>
              <w:rPr>
                <w:color w:val="000000"/>
                <w:sz w:val="20"/>
                <w:szCs w:val="20"/>
              </w:rPr>
            </w:pPr>
            <w:r w:rsidRPr="00E8065F">
              <w:rPr>
                <w:color w:val="000000"/>
                <w:sz w:val="20"/>
                <w:szCs w:val="20"/>
              </w:rPr>
              <w:t xml:space="preserve">ГАУЗ </w:t>
            </w:r>
            <w:r>
              <w:rPr>
                <w:color w:val="000000"/>
                <w:sz w:val="20"/>
                <w:szCs w:val="20"/>
              </w:rPr>
              <w:t>«</w:t>
            </w:r>
            <w:r w:rsidRPr="00E8065F">
              <w:rPr>
                <w:color w:val="000000"/>
                <w:sz w:val="20"/>
                <w:szCs w:val="20"/>
              </w:rPr>
              <w:t>Альметьевская ЦРБ</w:t>
            </w:r>
            <w:r>
              <w:rPr>
                <w:color w:val="000000"/>
                <w:sz w:val="20"/>
                <w:szCs w:val="20"/>
              </w:rPr>
              <w:t>»</w:t>
            </w:r>
          </w:p>
        </w:tc>
        <w:tc>
          <w:tcPr>
            <w:tcW w:w="1994" w:type="dxa"/>
            <w:tcBorders>
              <w:top w:val="nil"/>
              <w:left w:val="single" w:sz="4" w:space="0" w:color="auto"/>
              <w:bottom w:val="single" w:sz="4" w:space="0" w:color="auto"/>
              <w:right w:val="single" w:sz="4" w:space="0" w:color="auto"/>
            </w:tcBorders>
            <w:shd w:val="clear" w:color="auto" w:fill="auto"/>
          </w:tcPr>
          <w:p w:rsidR="00D06A2F" w:rsidRPr="00E8065F" w:rsidRDefault="00D06A2F" w:rsidP="00BA1432">
            <w:pPr>
              <w:jc w:val="center"/>
              <w:rPr>
                <w:color w:val="000000"/>
                <w:sz w:val="20"/>
                <w:szCs w:val="20"/>
              </w:rPr>
            </w:pPr>
            <w:r>
              <w:rPr>
                <w:rFonts w:eastAsia="Calibri"/>
                <w:sz w:val="20"/>
                <w:szCs w:val="20"/>
              </w:rPr>
              <w:t>Фиброгастродуоденоскоп</w:t>
            </w:r>
          </w:p>
        </w:tc>
        <w:tc>
          <w:tcPr>
            <w:tcW w:w="1181" w:type="dxa"/>
          </w:tcPr>
          <w:p w:rsidR="00D06A2F" w:rsidRPr="00E8065F" w:rsidRDefault="00D06A2F" w:rsidP="000546C2">
            <w:pPr>
              <w:jc w:val="center"/>
              <w:rPr>
                <w:sz w:val="20"/>
                <w:szCs w:val="20"/>
              </w:rPr>
            </w:pPr>
            <w:r w:rsidRPr="00E8065F">
              <w:rPr>
                <w:sz w:val="20"/>
                <w:szCs w:val="20"/>
              </w:rPr>
              <w:t>2007</w:t>
            </w:r>
            <w:r w:rsidR="003D79B3">
              <w:rPr>
                <w:sz w:val="20"/>
                <w:szCs w:val="20"/>
              </w:rPr>
              <w:t xml:space="preserve"> </w:t>
            </w:r>
            <w:r w:rsidR="00FA2076">
              <w:rPr>
                <w:sz w:val="20"/>
                <w:szCs w:val="20"/>
              </w:rPr>
              <w:t>(1)</w:t>
            </w:r>
          </w:p>
          <w:p w:rsidR="00D06A2F" w:rsidRPr="00E8065F" w:rsidRDefault="00D06A2F" w:rsidP="000546C2">
            <w:pPr>
              <w:jc w:val="center"/>
              <w:rPr>
                <w:sz w:val="20"/>
                <w:szCs w:val="20"/>
              </w:rPr>
            </w:pPr>
            <w:r w:rsidRPr="00E8065F">
              <w:rPr>
                <w:sz w:val="20"/>
                <w:szCs w:val="20"/>
              </w:rPr>
              <w:t>2015</w:t>
            </w:r>
            <w:r w:rsidR="003D79B3">
              <w:rPr>
                <w:sz w:val="20"/>
                <w:szCs w:val="20"/>
              </w:rPr>
              <w:t xml:space="preserve"> </w:t>
            </w:r>
            <w:r w:rsidR="00FA2076">
              <w:rPr>
                <w:sz w:val="20"/>
                <w:szCs w:val="20"/>
              </w:rPr>
              <w:t>(1)</w:t>
            </w:r>
          </w:p>
          <w:p w:rsidR="00D06A2F" w:rsidRPr="00E8065F" w:rsidRDefault="00D06A2F" w:rsidP="000546C2">
            <w:pPr>
              <w:jc w:val="center"/>
              <w:rPr>
                <w:sz w:val="20"/>
                <w:szCs w:val="20"/>
              </w:rPr>
            </w:pPr>
            <w:r w:rsidRPr="00E8065F">
              <w:rPr>
                <w:sz w:val="20"/>
                <w:szCs w:val="20"/>
              </w:rPr>
              <w:t>2017</w:t>
            </w:r>
            <w:r w:rsidR="003D79B3">
              <w:rPr>
                <w:sz w:val="20"/>
                <w:szCs w:val="20"/>
              </w:rPr>
              <w:t xml:space="preserve"> </w:t>
            </w:r>
            <w:r w:rsidR="00FA2076">
              <w:rPr>
                <w:sz w:val="20"/>
                <w:szCs w:val="20"/>
              </w:rPr>
              <w:t>(2)</w:t>
            </w:r>
          </w:p>
          <w:p w:rsidR="00D06A2F" w:rsidRPr="00E8065F" w:rsidRDefault="00D06A2F" w:rsidP="000546C2">
            <w:pPr>
              <w:jc w:val="center"/>
              <w:rPr>
                <w:sz w:val="20"/>
                <w:szCs w:val="20"/>
              </w:rPr>
            </w:pPr>
            <w:r w:rsidRPr="00E8065F">
              <w:rPr>
                <w:sz w:val="20"/>
                <w:szCs w:val="20"/>
              </w:rPr>
              <w:t>2018</w:t>
            </w:r>
            <w:r w:rsidR="003D79B3">
              <w:rPr>
                <w:sz w:val="20"/>
                <w:szCs w:val="20"/>
              </w:rPr>
              <w:t xml:space="preserve"> </w:t>
            </w:r>
            <w:r w:rsidR="00FA2076">
              <w:rPr>
                <w:sz w:val="20"/>
                <w:szCs w:val="20"/>
              </w:rPr>
              <w:t>(1)</w:t>
            </w:r>
          </w:p>
          <w:p w:rsidR="00D06A2F" w:rsidRPr="00E8065F" w:rsidRDefault="00D06A2F" w:rsidP="000546C2">
            <w:pPr>
              <w:jc w:val="center"/>
              <w:rPr>
                <w:sz w:val="20"/>
                <w:szCs w:val="20"/>
              </w:rPr>
            </w:pPr>
            <w:r w:rsidRPr="00E8065F">
              <w:rPr>
                <w:sz w:val="20"/>
                <w:szCs w:val="20"/>
              </w:rPr>
              <w:t>2021</w:t>
            </w:r>
            <w:r w:rsidR="003D79B3">
              <w:rPr>
                <w:sz w:val="20"/>
                <w:szCs w:val="20"/>
              </w:rPr>
              <w:t xml:space="preserve"> </w:t>
            </w:r>
            <w:r w:rsidR="00FA2076">
              <w:rPr>
                <w:sz w:val="20"/>
                <w:szCs w:val="20"/>
              </w:rPr>
              <w:t>(2)</w:t>
            </w:r>
          </w:p>
          <w:p w:rsidR="00D06A2F" w:rsidRPr="00E8065F" w:rsidRDefault="00D06A2F" w:rsidP="000546C2">
            <w:pPr>
              <w:jc w:val="center"/>
              <w:rPr>
                <w:sz w:val="20"/>
                <w:szCs w:val="20"/>
              </w:rPr>
            </w:pPr>
            <w:r w:rsidRPr="00E8065F">
              <w:rPr>
                <w:sz w:val="20"/>
                <w:szCs w:val="20"/>
              </w:rPr>
              <w:t>2024</w:t>
            </w:r>
            <w:r w:rsidR="003D79B3">
              <w:rPr>
                <w:sz w:val="20"/>
                <w:szCs w:val="20"/>
              </w:rPr>
              <w:t xml:space="preserve"> </w:t>
            </w:r>
            <w:r w:rsidR="00FA2076">
              <w:rPr>
                <w:sz w:val="20"/>
                <w:szCs w:val="20"/>
              </w:rPr>
              <w:t>(1)</w:t>
            </w:r>
          </w:p>
        </w:tc>
        <w:tc>
          <w:tcPr>
            <w:tcW w:w="1181" w:type="dxa"/>
            <w:tcBorders>
              <w:top w:val="nil"/>
              <w:left w:val="single" w:sz="4" w:space="0" w:color="auto"/>
              <w:bottom w:val="single" w:sz="4" w:space="0" w:color="auto"/>
              <w:right w:val="single" w:sz="4" w:space="0" w:color="auto"/>
            </w:tcBorders>
            <w:shd w:val="clear" w:color="auto" w:fill="auto"/>
          </w:tcPr>
          <w:p w:rsidR="00D06A2F" w:rsidRPr="00E8065F" w:rsidRDefault="00D06A2F" w:rsidP="000546C2">
            <w:pPr>
              <w:jc w:val="center"/>
              <w:rPr>
                <w:color w:val="000000"/>
                <w:sz w:val="20"/>
                <w:szCs w:val="20"/>
              </w:rPr>
            </w:pPr>
            <w:r w:rsidRPr="00E8065F">
              <w:rPr>
                <w:color w:val="000000"/>
                <w:sz w:val="20"/>
                <w:szCs w:val="20"/>
              </w:rPr>
              <w:t>8</w:t>
            </w:r>
          </w:p>
        </w:tc>
        <w:tc>
          <w:tcPr>
            <w:tcW w:w="1478" w:type="dxa"/>
            <w:tcBorders>
              <w:top w:val="nil"/>
              <w:left w:val="single" w:sz="4" w:space="0" w:color="auto"/>
              <w:bottom w:val="single" w:sz="4" w:space="0" w:color="auto"/>
              <w:right w:val="single" w:sz="4" w:space="0" w:color="auto"/>
            </w:tcBorders>
            <w:shd w:val="clear" w:color="auto" w:fill="auto"/>
          </w:tcPr>
          <w:p w:rsidR="00D06A2F" w:rsidRPr="00E8065F" w:rsidRDefault="00D06A2F" w:rsidP="000546C2">
            <w:pPr>
              <w:jc w:val="center"/>
              <w:rPr>
                <w:color w:val="000000"/>
                <w:sz w:val="20"/>
                <w:szCs w:val="20"/>
              </w:rPr>
            </w:pPr>
            <w:r w:rsidRPr="00E8065F">
              <w:rPr>
                <w:color w:val="000000"/>
                <w:sz w:val="20"/>
                <w:szCs w:val="20"/>
              </w:rPr>
              <w:t>26,5</w:t>
            </w:r>
          </w:p>
        </w:tc>
        <w:tc>
          <w:tcPr>
            <w:tcW w:w="1111" w:type="dxa"/>
            <w:tcBorders>
              <w:top w:val="nil"/>
              <w:left w:val="single" w:sz="4" w:space="0" w:color="auto"/>
              <w:bottom w:val="single" w:sz="4" w:space="0" w:color="auto"/>
              <w:right w:val="single" w:sz="4" w:space="0" w:color="auto"/>
            </w:tcBorders>
            <w:shd w:val="clear" w:color="auto" w:fill="auto"/>
          </w:tcPr>
          <w:p w:rsidR="00D06A2F" w:rsidRPr="00E8065F" w:rsidRDefault="00D06A2F" w:rsidP="000546C2">
            <w:pPr>
              <w:jc w:val="center"/>
              <w:rPr>
                <w:color w:val="000000"/>
                <w:sz w:val="20"/>
                <w:szCs w:val="20"/>
              </w:rPr>
            </w:pPr>
            <w:r w:rsidRPr="00E8065F">
              <w:rPr>
                <w:color w:val="000000"/>
                <w:sz w:val="20"/>
                <w:szCs w:val="20"/>
              </w:rPr>
              <w:t>1</w:t>
            </w:r>
          </w:p>
        </w:tc>
        <w:tc>
          <w:tcPr>
            <w:tcW w:w="1944" w:type="dxa"/>
            <w:tcBorders>
              <w:top w:val="nil"/>
              <w:left w:val="single" w:sz="4" w:space="0" w:color="auto"/>
              <w:bottom w:val="single" w:sz="4" w:space="0" w:color="auto"/>
              <w:right w:val="single" w:sz="4" w:space="0" w:color="auto"/>
            </w:tcBorders>
            <w:shd w:val="clear" w:color="auto" w:fill="auto"/>
          </w:tcPr>
          <w:p w:rsidR="00D06A2F" w:rsidRPr="00E8065F" w:rsidRDefault="00D06A2F" w:rsidP="00BA1432">
            <w:pPr>
              <w:jc w:val="center"/>
              <w:rPr>
                <w:color w:val="000000"/>
                <w:sz w:val="20"/>
                <w:szCs w:val="20"/>
              </w:rPr>
            </w:pPr>
            <w:r w:rsidRPr="00E8065F">
              <w:rPr>
                <w:color w:val="000000"/>
                <w:sz w:val="20"/>
                <w:szCs w:val="20"/>
              </w:rPr>
              <w:t>Амбулаторное/стационарное</w:t>
            </w:r>
          </w:p>
        </w:tc>
      </w:tr>
      <w:tr w:rsidR="00D06A2F" w:rsidRPr="00E8065F" w:rsidTr="00CD3A6F">
        <w:trPr>
          <w:trHeight w:val="20"/>
        </w:trPr>
        <w:tc>
          <w:tcPr>
            <w:tcW w:w="1555" w:type="dxa"/>
            <w:vMerge/>
            <w:tcBorders>
              <w:left w:val="single" w:sz="4" w:space="0" w:color="auto"/>
              <w:right w:val="single" w:sz="4" w:space="0" w:color="auto"/>
            </w:tcBorders>
          </w:tcPr>
          <w:p w:rsidR="00D06A2F" w:rsidRPr="00E8065F" w:rsidRDefault="00D06A2F" w:rsidP="00BA1432">
            <w:pPr>
              <w:rPr>
                <w:sz w:val="20"/>
                <w:szCs w:val="20"/>
              </w:rPr>
            </w:pPr>
          </w:p>
        </w:tc>
        <w:tc>
          <w:tcPr>
            <w:tcW w:w="3685" w:type="dxa"/>
            <w:tcBorders>
              <w:top w:val="nil"/>
              <w:left w:val="single" w:sz="4" w:space="0" w:color="auto"/>
              <w:bottom w:val="single" w:sz="4" w:space="0" w:color="auto"/>
              <w:right w:val="single" w:sz="4" w:space="0" w:color="auto"/>
            </w:tcBorders>
            <w:shd w:val="clear" w:color="auto" w:fill="auto"/>
          </w:tcPr>
          <w:p w:rsidR="00D06A2F" w:rsidRPr="00E8065F" w:rsidRDefault="00D06A2F" w:rsidP="00DC0475">
            <w:pPr>
              <w:jc w:val="both"/>
              <w:rPr>
                <w:color w:val="000000"/>
                <w:sz w:val="20"/>
                <w:szCs w:val="20"/>
              </w:rPr>
            </w:pPr>
            <w:r w:rsidRPr="00E8065F">
              <w:rPr>
                <w:color w:val="000000"/>
                <w:sz w:val="20"/>
                <w:szCs w:val="20"/>
              </w:rPr>
              <w:t xml:space="preserve">ГАУЗ </w:t>
            </w:r>
            <w:r>
              <w:rPr>
                <w:color w:val="000000"/>
                <w:sz w:val="20"/>
                <w:szCs w:val="20"/>
              </w:rPr>
              <w:t>«</w:t>
            </w:r>
            <w:r w:rsidRPr="00E8065F">
              <w:rPr>
                <w:color w:val="000000"/>
                <w:sz w:val="20"/>
                <w:szCs w:val="20"/>
              </w:rPr>
              <w:t>Апастовская ЦРБ</w:t>
            </w:r>
            <w:r>
              <w:rPr>
                <w:color w:val="000000"/>
                <w:sz w:val="20"/>
                <w:szCs w:val="20"/>
              </w:rPr>
              <w:t>»</w:t>
            </w:r>
          </w:p>
        </w:tc>
        <w:tc>
          <w:tcPr>
            <w:tcW w:w="1994" w:type="dxa"/>
            <w:tcBorders>
              <w:top w:val="nil"/>
              <w:left w:val="single" w:sz="4" w:space="0" w:color="auto"/>
              <w:bottom w:val="single" w:sz="4" w:space="0" w:color="auto"/>
              <w:right w:val="single" w:sz="4" w:space="0" w:color="auto"/>
            </w:tcBorders>
            <w:shd w:val="clear" w:color="auto" w:fill="auto"/>
          </w:tcPr>
          <w:p w:rsidR="00D06A2F" w:rsidRPr="00E8065F" w:rsidRDefault="00D06A2F" w:rsidP="00BA1432">
            <w:pPr>
              <w:jc w:val="center"/>
              <w:rPr>
                <w:color w:val="000000"/>
                <w:sz w:val="20"/>
                <w:szCs w:val="20"/>
              </w:rPr>
            </w:pPr>
            <w:r>
              <w:rPr>
                <w:rFonts w:eastAsia="Calibri"/>
                <w:sz w:val="20"/>
                <w:szCs w:val="20"/>
              </w:rPr>
              <w:t>Фиброгастродуоденоскоп</w:t>
            </w:r>
          </w:p>
        </w:tc>
        <w:tc>
          <w:tcPr>
            <w:tcW w:w="1181" w:type="dxa"/>
          </w:tcPr>
          <w:p w:rsidR="00D06A2F" w:rsidRPr="00E8065F" w:rsidRDefault="00D06A2F" w:rsidP="000546C2">
            <w:pPr>
              <w:jc w:val="center"/>
              <w:rPr>
                <w:sz w:val="20"/>
                <w:szCs w:val="20"/>
              </w:rPr>
            </w:pPr>
            <w:r w:rsidRPr="00E8065F">
              <w:rPr>
                <w:sz w:val="20"/>
                <w:szCs w:val="20"/>
              </w:rPr>
              <w:t>2018</w:t>
            </w:r>
            <w:r w:rsidR="003D79B3">
              <w:rPr>
                <w:sz w:val="20"/>
                <w:szCs w:val="20"/>
              </w:rPr>
              <w:t xml:space="preserve"> </w:t>
            </w:r>
            <w:r w:rsidR="00FA2076">
              <w:rPr>
                <w:sz w:val="20"/>
                <w:szCs w:val="20"/>
              </w:rPr>
              <w:t>(2)</w:t>
            </w:r>
          </w:p>
        </w:tc>
        <w:tc>
          <w:tcPr>
            <w:tcW w:w="1181" w:type="dxa"/>
            <w:tcBorders>
              <w:top w:val="nil"/>
              <w:left w:val="single" w:sz="4" w:space="0" w:color="auto"/>
              <w:bottom w:val="single" w:sz="4" w:space="0" w:color="auto"/>
              <w:right w:val="single" w:sz="4" w:space="0" w:color="auto"/>
            </w:tcBorders>
            <w:shd w:val="clear" w:color="auto" w:fill="auto"/>
          </w:tcPr>
          <w:p w:rsidR="00D06A2F" w:rsidRPr="00E8065F" w:rsidRDefault="00D06A2F" w:rsidP="000546C2">
            <w:pPr>
              <w:jc w:val="center"/>
              <w:rPr>
                <w:color w:val="000000"/>
                <w:sz w:val="20"/>
                <w:szCs w:val="20"/>
              </w:rPr>
            </w:pPr>
            <w:r w:rsidRPr="00E8065F">
              <w:rPr>
                <w:color w:val="000000"/>
                <w:sz w:val="20"/>
                <w:szCs w:val="20"/>
              </w:rPr>
              <w:t>2</w:t>
            </w:r>
          </w:p>
        </w:tc>
        <w:tc>
          <w:tcPr>
            <w:tcW w:w="1478" w:type="dxa"/>
            <w:tcBorders>
              <w:top w:val="nil"/>
              <w:left w:val="single" w:sz="4" w:space="0" w:color="auto"/>
              <w:bottom w:val="single" w:sz="4" w:space="0" w:color="auto"/>
              <w:right w:val="single" w:sz="4" w:space="0" w:color="auto"/>
            </w:tcBorders>
            <w:shd w:val="clear" w:color="auto" w:fill="auto"/>
          </w:tcPr>
          <w:p w:rsidR="00D06A2F" w:rsidRPr="00E8065F" w:rsidRDefault="00D06A2F" w:rsidP="000546C2">
            <w:pPr>
              <w:jc w:val="center"/>
              <w:rPr>
                <w:color w:val="000000"/>
                <w:sz w:val="20"/>
                <w:szCs w:val="20"/>
              </w:rPr>
            </w:pPr>
            <w:r w:rsidRPr="00E8065F">
              <w:rPr>
                <w:color w:val="000000"/>
                <w:sz w:val="20"/>
                <w:szCs w:val="20"/>
              </w:rPr>
              <w:t>4,8</w:t>
            </w:r>
          </w:p>
        </w:tc>
        <w:tc>
          <w:tcPr>
            <w:tcW w:w="1111" w:type="dxa"/>
            <w:tcBorders>
              <w:top w:val="nil"/>
              <w:left w:val="single" w:sz="4" w:space="0" w:color="auto"/>
              <w:bottom w:val="single" w:sz="4" w:space="0" w:color="auto"/>
              <w:right w:val="single" w:sz="4" w:space="0" w:color="auto"/>
            </w:tcBorders>
            <w:shd w:val="clear" w:color="auto" w:fill="auto"/>
          </w:tcPr>
          <w:p w:rsidR="00D06A2F" w:rsidRPr="00E8065F" w:rsidRDefault="00D06A2F" w:rsidP="000546C2">
            <w:pPr>
              <w:jc w:val="center"/>
              <w:rPr>
                <w:color w:val="000000"/>
                <w:sz w:val="20"/>
                <w:szCs w:val="20"/>
              </w:rPr>
            </w:pPr>
            <w:r w:rsidRPr="00E8065F">
              <w:rPr>
                <w:color w:val="000000"/>
                <w:sz w:val="20"/>
                <w:szCs w:val="20"/>
              </w:rPr>
              <w:t>1</w:t>
            </w:r>
          </w:p>
        </w:tc>
        <w:tc>
          <w:tcPr>
            <w:tcW w:w="1944" w:type="dxa"/>
            <w:tcBorders>
              <w:top w:val="nil"/>
              <w:left w:val="single" w:sz="4" w:space="0" w:color="auto"/>
              <w:bottom w:val="single" w:sz="4" w:space="0" w:color="auto"/>
              <w:right w:val="single" w:sz="4" w:space="0" w:color="auto"/>
            </w:tcBorders>
            <w:shd w:val="clear" w:color="auto" w:fill="auto"/>
          </w:tcPr>
          <w:p w:rsidR="00D06A2F" w:rsidRPr="00E8065F" w:rsidRDefault="00D06A2F" w:rsidP="00BA1432">
            <w:pPr>
              <w:jc w:val="center"/>
              <w:rPr>
                <w:color w:val="000000"/>
                <w:sz w:val="20"/>
                <w:szCs w:val="20"/>
              </w:rPr>
            </w:pPr>
            <w:r w:rsidRPr="00E8065F">
              <w:rPr>
                <w:color w:val="000000"/>
                <w:sz w:val="20"/>
                <w:szCs w:val="20"/>
              </w:rPr>
              <w:t>Амбулаторное</w:t>
            </w:r>
          </w:p>
        </w:tc>
      </w:tr>
      <w:tr w:rsidR="00D06A2F" w:rsidRPr="00E8065F" w:rsidTr="00CD3A6F">
        <w:trPr>
          <w:trHeight w:val="20"/>
        </w:trPr>
        <w:tc>
          <w:tcPr>
            <w:tcW w:w="1555" w:type="dxa"/>
            <w:vMerge/>
            <w:tcBorders>
              <w:left w:val="single" w:sz="4" w:space="0" w:color="auto"/>
              <w:right w:val="single" w:sz="4" w:space="0" w:color="auto"/>
            </w:tcBorders>
          </w:tcPr>
          <w:p w:rsidR="00D06A2F" w:rsidRPr="00E8065F" w:rsidRDefault="00D06A2F" w:rsidP="00BA1432">
            <w:pPr>
              <w:rPr>
                <w:sz w:val="20"/>
                <w:szCs w:val="20"/>
              </w:rPr>
            </w:pPr>
          </w:p>
        </w:tc>
        <w:tc>
          <w:tcPr>
            <w:tcW w:w="3685" w:type="dxa"/>
            <w:tcBorders>
              <w:top w:val="nil"/>
              <w:left w:val="single" w:sz="4" w:space="0" w:color="auto"/>
              <w:bottom w:val="single" w:sz="4" w:space="0" w:color="auto"/>
              <w:right w:val="single" w:sz="4" w:space="0" w:color="auto"/>
            </w:tcBorders>
            <w:shd w:val="clear" w:color="auto" w:fill="auto"/>
          </w:tcPr>
          <w:p w:rsidR="00D06A2F" w:rsidRPr="00E8065F" w:rsidRDefault="00D06A2F" w:rsidP="00DC0475">
            <w:pPr>
              <w:jc w:val="both"/>
              <w:rPr>
                <w:color w:val="000000"/>
                <w:sz w:val="20"/>
                <w:szCs w:val="20"/>
              </w:rPr>
            </w:pPr>
            <w:r w:rsidRPr="00E8065F">
              <w:rPr>
                <w:color w:val="000000"/>
                <w:sz w:val="20"/>
                <w:szCs w:val="20"/>
              </w:rPr>
              <w:t xml:space="preserve">ГАУЗ </w:t>
            </w:r>
            <w:r>
              <w:rPr>
                <w:color w:val="000000"/>
                <w:sz w:val="20"/>
                <w:szCs w:val="20"/>
              </w:rPr>
              <w:t>«</w:t>
            </w:r>
            <w:r w:rsidRPr="00E8065F">
              <w:rPr>
                <w:color w:val="000000"/>
                <w:sz w:val="20"/>
                <w:szCs w:val="20"/>
              </w:rPr>
              <w:t>Арская ЦРБ</w:t>
            </w:r>
            <w:r>
              <w:rPr>
                <w:color w:val="000000"/>
                <w:sz w:val="20"/>
                <w:szCs w:val="20"/>
              </w:rPr>
              <w:t>»</w:t>
            </w:r>
          </w:p>
        </w:tc>
        <w:tc>
          <w:tcPr>
            <w:tcW w:w="1994" w:type="dxa"/>
            <w:tcBorders>
              <w:top w:val="nil"/>
              <w:left w:val="single" w:sz="4" w:space="0" w:color="auto"/>
              <w:bottom w:val="single" w:sz="4" w:space="0" w:color="auto"/>
              <w:right w:val="single" w:sz="4" w:space="0" w:color="auto"/>
            </w:tcBorders>
            <w:shd w:val="clear" w:color="auto" w:fill="auto"/>
          </w:tcPr>
          <w:p w:rsidR="00D06A2F" w:rsidRPr="00E8065F" w:rsidRDefault="00D06A2F" w:rsidP="00BA1432">
            <w:pPr>
              <w:jc w:val="center"/>
              <w:rPr>
                <w:color w:val="000000"/>
                <w:sz w:val="20"/>
                <w:szCs w:val="20"/>
              </w:rPr>
            </w:pPr>
            <w:r>
              <w:rPr>
                <w:rFonts w:eastAsia="Calibri"/>
                <w:sz w:val="20"/>
                <w:szCs w:val="20"/>
              </w:rPr>
              <w:t>Фиброгастродуоденоскоп</w:t>
            </w:r>
          </w:p>
        </w:tc>
        <w:tc>
          <w:tcPr>
            <w:tcW w:w="1181" w:type="dxa"/>
          </w:tcPr>
          <w:p w:rsidR="00D06A2F" w:rsidRPr="00E8065F" w:rsidRDefault="00D06A2F" w:rsidP="000546C2">
            <w:pPr>
              <w:jc w:val="center"/>
              <w:rPr>
                <w:sz w:val="20"/>
                <w:szCs w:val="20"/>
              </w:rPr>
            </w:pPr>
            <w:r w:rsidRPr="00E8065F">
              <w:rPr>
                <w:sz w:val="20"/>
                <w:szCs w:val="20"/>
              </w:rPr>
              <w:t>2010</w:t>
            </w:r>
            <w:r w:rsidR="003D79B3">
              <w:rPr>
                <w:sz w:val="20"/>
                <w:szCs w:val="20"/>
              </w:rPr>
              <w:t xml:space="preserve"> </w:t>
            </w:r>
            <w:r w:rsidR="00FA2076">
              <w:rPr>
                <w:sz w:val="20"/>
                <w:szCs w:val="20"/>
              </w:rPr>
              <w:t>(1)</w:t>
            </w:r>
          </w:p>
          <w:p w:rsidR="00D06A2F" w:rsidRPr="00E8065F" w:rsidRDefault="00D06A2F" w:rsidP="000546C2">
            <w:pPr>
              <w:jc w:val="center"/>
              <w:rPr>
                <w:sz w:val="20"/>
                <w:szCs w:val="20"/>
              </w:rPr>
            </w:pPr>
            <w:r w:rsidRPr="00E8065F">
              <w:rPr>
                <w:sz w:val="20"/>
                <w:szCs w:val="20"/>
              </w:rPr>
              <w:t>2017</w:t>
            </w:r>
            <w:r w:rsidR="003D79B3">
              <w:rPr>
                <w:sz w:val="20"/>
                <w:szCs w:val="20"/>
              </w:rPr>
              <w:t xml:space="preserve"> </w:t>
            </w:r>
            <w:r w:rsidR="00FA2076">
              <w:rPr>
                <w:sz w:val="20"/>
                <w:szCs w:val="20"/>
              </w:rPr>
              <w:t>(2)</w:t>
            </w:r>
          </w:p>
          <w:p w:rsidR="00D06A2F" w:rsidRPr="00E8065F" w:rsidRDefault="00D06A2F" w:rsidP="000546C2">
            <w:pPr>
              <w:jc w:val="center"/>
              <w:rPr>
                <w:sz w:val="20"/>
                <w:szCs w:val="20"/>
              </w:rPr>
            </w:pPr>
            <w:r w:rsidRPr="00E8065F">
              <w:rPr>
                <w:sz w:val="20"/>
                <w:szCs w:val="20"/>
              </w:rPr>
              <w:t>2020</w:t>
            </w:r>
            <w:r w:rsidR="003D79B3">
              <w:rPr>
                <w:sz w:val="20"/>
                <w:szCs w:val="20"/>
              </w:rPr>
              <w:t xml:space="preserve"> </w:t>
            </w:r>
            <w:r w:rsidR="00FA2076">
              <w:rPr>
                <w:sz w:val="20"/>
                <w:szCs w:val="20"/>
              </w:rPr>
              <w:t>(2)</w:t>
            </w:r>
          </w:p>
          <w:p w:rsidR="00D06A2F" w:rsidRPr="00E8065F" w:rsidRDefault="00D06A2F" w:rsidP="000546C2">
            <w:pPr>
              <w:jc w:val="center"/>
              <w:rPr>
                <w:sz w:val="20"/>
                <w:szCs w:val="20"/>
              </w:rPr>
            </w:pPr>
            <w:r w:rsidRPr="00E8065F">
              <w:rPr>
                <w:sz w:val="20"/>
                <w:szCs w:val="20"/>
              </w:rPr>
              <w:t>2021</w:t>
            </w:r>
            <w:r w:rsidR="003D79B3">
              <w:rPr>
                <w:sz w:val="20"/>
                <w:szCs w:val="20"/>
              </w:rPr>
              <w:t xml:space="preserve"> </w:t>
            </w:r>
            <w:r w:rsidR="00FA2076">
              <w:rPr>
                <w:sz w:val="20"/>
                <w:szCs w:val="20"/>
              </w:rPr>
              <w:t>(1)</w:t>
            </w:r>
          </w:p>
          <w:p w:rsidR="00D06A2F" w:rsidRPr="00E8065F" w:rsidRDefault="00D06A2F" w:rsidP="000546C2">
            <w:pPr>
              <w:jc w:val="center"/>
              <w:rPr>
                <w:sz w:val="20"/>
                <w:szCs w:val="20"/>
              </w:rPr>
            </w:pPr>
            <w:r w:rsidRPr="00E8065F">
              <w:rPr>
                <w:sz w:val="20"/>
                <w:szCs w:val="20"/>
              </w:rPr>
              <w:t>2024</w:t>
            </w:r>
            <w:r w:rsidR="003D79B3">
              <w:rPr>
                <w:sz w:val="20"/>
                <w:szCs w:val="20"/>
              </w:rPr>
              <w:t xml:space="preserve"> </w:t>
            </w:r>
            <w:r w:rsidR="00FA2076">
              <w:rPr>
                <w:sz w:val="20"/>
                <w:szCs w:val="20"/>
              </w:rPr>
              <w:t>(1)</w:t>
            </w:r>
          </w:p>
        </w:tc>
        <w:tc>
          <w:tcPr>
            <w:tcW w:w="1181" w:type="dxa"/>
            <w:tcBorders>
              <w:top w:val="nil"/>
              <w:left w:val="single" w:sz="4" w:space="0" w:color="auto"/>
              <w:bottom w:val="single" w:sz="4" w:space="0" w:color="auto"/>
              <w:right w:val="single" w:sz="4" w:space="0" w:color="auto"/>
            </w:tcBorders>
            <w:shd w:val="clear" w:color="auto" w:fill="auto"/>
          </w:tcPr>
          <w:p w:rsidR="00D06A2F" w:rsidRPr="00E8065F" w:rsidRDefault="00D06A2F" w:rsidP="000546C2">
            <w:pPr>
              <w:jc w:val="center"/>
              <w:rPr>
                <w:color w:val="000000"/>
                <w:sz w:val="20"/>
                <w:szCs w:val="20"/>
              </w:rPr>
            </w:pPr>
            <w:r w:rsidRPr="00E8065F">
              <w:rPr>
                <w:color w:val="000000"/>
                <w:sz w:val="20"/>
                <w:szCs w:val="20"/>
              </w:rPr>
              <w:t>7</w:t>
            </w:r>
          </w:p>
        </w:tc>
        <w:tc>
          <w:tcPr>
            <w:tcW w:w="1478" w:type="dxa"/>
            <w:tcBorders>
              <w:top w:val="nil"/>
              <w:left w:val="single" w:sz="4" w:space="0" w:color="auto"/>
              <w:bottom w:val="single" w:sz="4" w:space="0" w:color="auto"/>
              <w:right w:val="single" w:sz="4" w:space="0" w:color="auto"/>
            </w:tcBorders>
            <w:shd w:val="clear" w:color="auto" w:fill="auto"/>
          </w:tcPr>
          <w:p w:rsidR="00D06A2F" w:rsidRPr="00E8065F" w:rsidRDefault="00D06A2F" w:rsidP="000546C2">
            <w:pPr>
              <w:jc w:val="center"/>
              <w:rPr>
                <w:color w:val="000000"/>
                <w:sz w:val="20"/>
                <w:szCs w:val="20"/>
              </w:rPr>
            </w:pPr>
            <w:r w:rsidRPr="00E8065F">
              <w:rPr>
                <w:color w:val="000000"/>
                <w:sz w:val="20"/>
                <w:szCs w:val="20"/>
              </w:rPr>
              <w:t>4,5</w:t>
            </w:r>
          </w:p>
        </w:tc>
        <w:tc>
          <w:tcPr>
            <w:tcW w:w="1111" w:type="dxa"/>
            <w:tcBorders>
              <w:top w:val="nil"/>
              <w:left w:val="single" w:sz="4" w:space="0" w:color="auto"/>
              <w:bottom w:val="single" w:sz="4" w:space="0" w:color="auto"/>
              <w:right w:val="single" w:sz="4" w:space="0" w:color="auto"/>
            </w:tcBorders>
            <w:shd w:val="clear" w:color="auto" w:fill="auto"/>
          </w:tcPr>
          <w:p w:rsidR="00D06A2F" w:rsidRPr="00E8065F" w:rsidRDefault="00D06A2F" w:rsidP="000546C2">
            <w:pPr>
              <w:jc w:val="center"/>
              <w:rPr>
                <w:color w:val="000000"/>
                <w:sz w:val="20"/>
                <w:szCs w:val="20"/>
              </w:rPr>
            </w:pPr>
            <w:r w:rsidRPr="00E8065F">
              <w:rPr>
                <w:color w:val="000000"/>
                <w:sz w:val="20"/>
                <w:szCs w:val="20"/>
              </w:rPr>
              <w:t>1</w:t>
            </w:r>
          </w:p>
        </w:tc>
        <w:tc>
          <w:tcPr>
            <w:tcW w:w="1944" w:type="dxa"/>
            <w:tcBorders>
              <w:top w:val="nil"/>
              <w:left w:val="single" w:sz="4" w:space="0" w:color="auto"/>
              <w:bottom w:val="single" w:sz="4" w:space="0" w:color="auto"/>
              <w:right w:val="single" w:sz="4" w:space="0" w:color="auto"/>
            </w:tcBorders>
            <w:shd w:val="clear" w:color="auto" w:fill="auto"/>
          </w:tcPr>
          <w:p w:rsidR="00D06A2F" w:rsidRPr="00E8065F" w:rsidRDefault="00D06A2F" w:rsidP="00BA1432">
            <w:pPr>
              <w:jc w:val="center"/>
              <w:rPr>
                <w:color w:val="000000"/>
                <w:sz w:val="20"/>
                <w:szCs w:val="20"/>
              </w:rPr>
            </w:pPr>
            <w:r w:rsidRPr="00E8065F">
              <w:rPr>
                <w:color w:val="000000"/>
                <w:sz w:val="20"/>
                <w:szCs w:val="20"/>
              </w:rPr>
              <w:t>Амбулаторное/стационарное</w:t>
            </w:r>
          </w:p>
        </w:tc>
      </w:tr>
      <w:tr w:rsidR="00D06A2F" w:rsidRPr="00E8065F" w:rsidTr="00CD3A6F">
        <w:trPr>
          <w:trHeight w:val="20"/>
        </w:trPr>
        <w:tc>
          <w:tcPr>
            <w:tcW w:w="1555" w:type="dxa"/>
            <w:vMerge/>
            <w:tcBorders>
              <w:left w:val="single" w:sz="4" w:space="0" w:color="auto"/>
              <w:right w:val="single" w:sz="4" w:space="0" w:color="auto"/>
            </w:tcBorders>
          </w:tcPr>
          <w:p w:rsidR="00D06A2F" w:rsidRPr="00E8065F" w:rsidRDefault="00D06A2F" w:rsidP="00BA1432">
            <w:pPr>
              <w:rPr>
                <w:sz w:val="20"/>
                <w:szCs w:val="20"/>
              </w:rPr>
            </w:pPr>
          </w:p>
        </w:tc>
        <w:tc>
          <w:tcPr>
            <w:tcW w:w="3685" w:type="dxa"/>
            <w:tcBorders>
              <w:top w:val="nil"/>
              <w:left w:val="single" w:sz="4" w:space="0" w:color="auto"/>
              <w:bottom w:val="single" w:sz="4" w:space="0" w:color="auto"/>
              <w:right w:val="single" w:sz="4" w:space="0" w:color="auto"/>
            </w:tcBorders>
            <w:shd w:val="clear" w:color="auto" w:fill="auto"/>
          </w:tcPr>
          <w:p w:rsidR="00D06A2F" w:rsidRPr="00E8065F" w:rsidRDefault="00D06A2F" w:rsidP="00DC0475">
            <w:pPr>
              <w:jc w:val="both"/>
              <w:rPr>
                <w:color w:val="000000"/>
                <w:sz w:val="20"/>
                <w:szCs w:val="20"/>
              </w:rPr>
            </w:pPr>
            <w:r w:rsidRPr="00E8065F">
              <w:rPr>
                <w:color w:val="000000"/>
                <w:sz w:val="20"/>
                <w:szCs w:val="20"/>
              </w:rPr>
              <w:t xml:space="preserve">ГАУЗ </w:t>
            </w:r>
            <w:r>
              <w:rPr>
                <w:color w:val="000000"/>
                <w:sz w:val="20"/>
                <w:szCs w:val="20"/>
              </w:rPr>
              <w:t>«</w:t>
            </w:r>
            <w:r w:rsidRPr="00E8065F">
              <w:rPr>
                <w:color w:val="000000"/>
                <w:sz w:val="20"/>
                <w:szCs w:val="20"/>
              </w:rPr>
              <w:t>Атнинская ЦРБ</w:t>
            </w:r>
            <w:r>
              <w:rPr>
                <w:color w:val="000000"/>
                <w:sz w:val="20"/>
                <w:szCs w:val="20"/>
              </w:rPr>
              <w:t>»</w:t>
            </w:r>
          </w:p>
        </w:tc>
        <w:tc>
          <w:tcPr>
            <w:tcW w:w="1994" w:type="dxa"/>
            <w:tcBorders>
              <w:top w:val="nil"/>
              <w:left w:val="single" w:sz="4" w:space="0" w:color="auto"/>
              <w:bottom w:val="single" w:sz="4" w:space="0" w:color="auto"/>
              <w:right w:val="single" w:sz="4" w:space="0" w:color="auto"/>
            </w:tcBorders>
            <w:shd w:val="clear" w:color="auto" w:fill="auto"/>
          </w:tcPr>
          <w:p w:rsidR="00D06A2F" w:rsidRPr="00E8065F" w:rsidRDefault="00D06A2F" w:rsidP="00BA1432">
            <w:pPr>
              <w:jc w:val="center"/>
              <w:rPr>
                <w:color w:val="000000"/>
                <w:sz w:val="20"/>
                <w:szCs w:val="20"/>
              </w:rPr>
            </w:pPr>
            <w:r>
              <w:rPr>
                <w:rFonts w:eastAsia="Calibri"/>
                <w:sz w:val="20"/>
                <w:szCs w:val="20"/>
              </w:rPr>
              <w:t>Фиброгастродуоденоскоп</w:t>
            </w:r>
          </w:p>
        </w:tc>
        <w:tc>
          <w:tcPr>
            <w:tcW w:w="1181" w:type="dxa"/>
          </w:tcPr>
          <w:p w:rsidR="00D06A2F" w:rsidRPr="00E8065F" w:rsidRDefault="00D06A2F" w:rsidP="000546C2">
            <w:pPr>
              <w:jc w:val="center"/>
              <w:rPr>
                <w:sz w:val="20"/>
                <w:szCs w:val="20"/>
              </w:rPr>
            </w:pPr>
            <w:r w:rsidRPr="00E8065F">
              <w:rPr>
                <w:sz w:val="20"/>
                <w:szCs w:val="20"/>
              </w:rPr>
              <w:t>2017</w:t>
            </w:r>
            <w:r w:rsidR="003D79B3">
              <w:rPr>
                <w:sz w:val="20"/>
                <w:szCs w:val="20"/>
              </w:rPr>
              <w:t xml:space="preserve"> </w:t>
            </w:r>
            <w:r w:rsidR="00FA2076">
              <w:rPr>
                <w:sz w:val="20"/>
                <w:szCs w:val="20"/>
              </w:rPr>
              <w:t>(1)</w:t>
            </w:r>
          </w:p>
          <w:p w:rsidR="00D06A2F" w:rsidRPr="00E8065F" w:rsidRDefault="00D06A2F" w:rsidP="000546C2">
            <w:pPr>
              <w:jc w:val="center"/>
              <w:rPr>
                <w:sz w:val="20"/>
                <w:szCs w:val="20"/>
              </w:rPr>
            </w:pPr>
            <w:r w:rsidRPr="00E8065F">
              <w:rPr>
                <w:sz w:val="20"/>
                <w:szCs w:val="20"/>
              </w:rPr>
              <w:t>2022</w:t>
            </w:r>
            <w:r w:rsidR="003D79B3">
              <w:rPr>
                <w:sz w:val="20"/>
                <w:szCs w:val="20"/>
              </w:rPr>
              <w:t xml:space="preserve"> </w:t>
            </w:r>
            <w:r w:rsidR="00FA2076">
              <w:rPr>
                <w:sz w:val="20"/>
                <w:szCs w:val="20"/>
              </w:rPr>
              <w:t>(1)</w:t>
            </w:r>
          </w:p>
        </w:tc>
        <w:tc>
          <w:tcPr>
            <w:tcW w:w="1181" w:type="dxa"/>
            <w:tcBorders>
              <w:top w:val="nil"/>
              <w:left w:val="single" w:sz="4" w:space="0" w:color="auto"/>
              <w:bottom w:val="single" w:sz="4" w:space="0" w:color="auto"/>
              <w:right w:val="single" w:sz="4" w:space="0" w:color="auto"/>
            </w:tcBorders>
            <w:shd w:val="clear" w:color="auto" w:fill="auto"/>
          </w:tcPr>
          <w:p w:rsidR="00D06A2F" w:rsidRPr="00E8065F" w:rsidRDefault="00D06A2F" w:rsidP="000546C2">
            <w:pPr>
              <w:jc w:val="center"/>
              <w:rPr>
                <w:color w:val="000000"/>
                <w:sz w:val="20"/>
                <w:szCs w:val="20"/>
              </w:rPr>
            </w:pPr>
            <w:r w:rsidRPr="00E8065F">
              <w:rPr>
                <w:color w:val="000000"/>
                <w:sz w:val="20"/>
                <w:szCs w:val="20"/>
              </w:rPr>
              <w:t>2</w:t>
            </w:r>
          </w:p>
        </w:tc>
        <w:tc>
          <w:tcPr>
            <w:tcW w:w="1478" w:type="dxa"/>
            <w:tcBorders>
              <w:top w:val="nil"/>
              <w:left w:val="single" w:sz="4" w:space="0" w:color="auto"/>
              <w:bottom w:val="single" w:sz="4" w:space="0" w:color="auto"/>
              <w:right w:val="single" w:sz="4" w:space="0" w:color="auto"/>
            </w:tcBorders>
            <w:shd w:val="clear" w:color="auto" w:fill="auto"/>
          </w:tcPr>
          <w:p w:rsidR="00D06A2F" w:rsidRPr="00E8065F" w:rsidRDefault="00D06A2F" w:rsidP="000546C2">
            <w:pPr>
              <w:jc w:val="center"/>
              <w:rPr>
                <w:color w:val="000000"/>
                <w:sz w:val="20"/>
                <w:szCs w:val="20"/>
              </w:rPr>
            </w:pPr>
            <w:r w:rsidRPr="00E8065F">
              <w:rPr>
                <w:color w:val="000000"/>
                <w:sz w:val="20"/>
                <w:szCs w:val="20"/>
              </w:rPr>
              <w:t>7,4</w:t>
            </w:r>
          </w:p>
        </w:tc>
        <w:tc>
          <w:tcPr>
            <w:tcW w:w="1111" w:type="dxa"/>
            <w:tcBorders>
              <w:top w:val="nil"/>
              <w:left w:val="single" w:sz="4" w:space="0" w:color="auto"/>
              <w:bottom w:val="single" w:sz="4" w:space="0" w:color="auto"/>
              <w:right w:val="single" w:sz="4" w:space="0" w:color="auto"/>
            </w:tcBorders>
            <w:shd w:val="clear" w:color="auto" w:fill="auto"/>
          </w:tcPr>
          <w:p w:rsidR="00D06A2F" w:rsidRPr="00E8065F" w:rsidRDefault="00D06A2F" w:rsidP="000546C2">
            <w:pPr>
              <w:jc w:val="center"/>
              <w:rPr>
                <w:color w:val="000000"/>
                <w:sz w:val="20"/>
                <w:szCs w:val="20"/>
              </w:rPr>
            </w:pPr>
            <w:r w:rsidRPr="00E8065F">
              <w:rPr>
                <w:color w:val="000000"/>
                <w:sz w:val="20"/>
                <w:szCs w:val="20"/>
              </w:rPr>
              <w:t>1</w:t>
            </w:r>
          </w:p>
        </w:tc>
        <w:tc>
          <w:tcPr>
            <w:tcW w:w="1944" w:type="dxa"/>
            <w:tcBorders>
              <w:top w:val="nil"/>
              <w:left w:val="single" w:sz="4" w:space="0" w:color="auto"/>
              <w:bottom w:val="single" w:sz="4" w:space="0" w:color="auto"/>
              <w:right w:val="single" w:sz="4" w:space="0" w:color="auto"/>
            </w:tcBorders>
            <w:shd w:val="clear" w:color="auto" w:fill="auto"/>
          </w:tcPr>
          <w:p w:rsidR="00D06A2F" w:rsidRPr="00E8065F" w:rsidRDefault="00D06A2F" w:rsidP="00BA1432">
            <w:pPr>
              <w:jc w:val="center"/>
              <w:rPr>
                <w:color w:val="000000"/>
                <w:sz w:val="20"/>
                <w:szCs w:val="20"/>
              </w:rPr>
            </w:pPr>
            <w:r w:rsidRPr="00E8065F">
              <w:rPr>
                <w:color w:val="000000"/>
                <w:sz w:val="20"/>
                <w:szCs w:val="20"/>
              </w:rPr>
              <w:t>Амбулаторное</w:t>
            </w:r>
          </w:p>
        </w:tc>
      </w:tr>
      <w:tr w:rsidR="00D06A2F" w:rsidRPr="00E8065F" w:rsidTr="00CD3A6F">
        <w:trPr>
          <w:trHeight w:val="20"/>
        </w:trPr>
        <w:tc>
          <w:tcPr>
            <w:tcW w:w="1555" w:type="dxa"/>
            <w:vMerge/>
            <w:tcBorders>
              <w:left w:val="single" w:sz="4" w:space="0" w:color="auto"/>
              <w:right w:val="single" w:sz="4" w:space="0" w:color="auto"/>
            </w:tcBorders>
          </w:tcPr>
          <w:p w:rsidR="00D06A2F" w:rsidRPr="00E8065F" w:rsidRDefault="00D06A2F" w:rsidP="00D5127A">
            <w:pPr>
              <w:spacing w:line="235" w:lineRule="auto"/>
              <w:rPr>
                <w:sz w:val="20"/>
                <w:szCs w:val="20"/>
              </w:rPr>
            </w:pPr>
          </w:p>
        </w:tc>
        <w:tc>
          <w:tcPr>
            <w:tcW w:w="3685" w:type="dxa"/>
            <w:tcBorders>
              <w:top w:val="nil"/>
              <w:left w:val="single" w:sz="4" w:space="0" w:color="auto"/>
              <w:bottom w:val="single" w:sz="4" w:space="0" w:color="auto"/>
              <w:right w:val="nil"/>
            </w:tcBorders>
            <w:shd w:val="clear" w:color="auto" w:fill="auto"/>
          </w:tcPr>
          <w:p w:rsidR="00D06A2F" w:rsidRPr="00E8065F" w:rsidRDefault="00D06A2F" w:rsidP="00D5127A">
            <w:pPr>
              <w:spacing w:line="235" w:lineRule="auto"/>
              <w:jc w:val="both"/>
              <w:rPr>
                <w:color w:val="000000"/>
                <w:sz w:val="20"/>
                <w:szCs w:val="20"/>
              </w:rPr>
            </w:pPr>
            <w:r w:rsidRPr="00E8065F">
              <w:rPr>
                <w:color w:val="000000"/>
                <w:sz w:val="20"/>
                <w:szCs w:val="20"/>
              </w:rPr>
              <w:t xml:space="preserve">ГАУЗ </w:t>
            </w:r>
            <w:r>
              <w:rPr>
                <w:color w:val="000000"/>
                <w:sz w:val="20"/>
                <w:szCs w:val="20"/>
              </w:rPr>
              <w:t>«</w:t>
            </w:r>
            <w:r w:rsidRPr="00E8065F">
              <w:rPr>
                <w:color w:val="000000"/>
                <w:sz w:val="20"/>
                <w:szCs w:val="20"/>
              </w:rPr>
              <w:t>Бавлинская ЦРБ</w:t>
            </w:r>
            <w:r>
              <w:rPr>
                <w:color w:val="000000"/>
                <w:sz w:val="20"/>
                <w:szCs w:val="20"/>
              </w:rPr>
              <w:t>»</w:t>
            </w:r>
          </w:p>
        </w:tc>
        <w:tc>
          <w:tcPr>
            <w:tcW w:w="1994" w:type="dxa"/>
            <w:tcBorders>
              <w:top w:val="nil"/>
              <w:left w:val="single" w:sz="4" w:space="0" w:color="auto"/>
              <w:bottom w:val="single" w:sz="4" w:space="0" w:color="auto"/>
              <w:right w:val="single" w:sz="4" w:space="0" w:color="auto"/>
            </w:tcBorders>
            <w:shd w:val="clear" w:color="auto" w:fill="auto"/>
          </w:tcPr>
          <w:p w:rsidR="00D06A2F" w:rsidRPr="00E8065F" w:rsidRDefault="00D06A2F" w:rsidP="00D5127A">
            <w:pPr>
              <w:spacing w:line="235" w:lineRule="auto"/>
              <w:jc w:val="center"/>
              <w:rPr>
                <w:color w:val="000000"/>
                <w:sz w:val="20"/>
                <w:szCs w:val="20"/>
              </w:rPr>
            </w:pPr>
            <w:r>
              <w:rPr>
                <w:rFonts w:eastAsia="Calibri"/>
                <w:sz w:val="20"/>
                <w:szCs w:val="20"/>
              </w:rPr>
              <w:t>Фиброгастродуоденоскоп</w:t>
            </w:r>
          </w:p>
        </w:tc>
        <w:tc>
          <w:tcPr>
            <w:tcW w:w="1181" w:type="dxa"/>
          </w:tcPr>
          <w:p w:rsidR="00D06A2F" w:rsidRPr="00E8065F" w:rsidRDefault="00D06A2F" w:rsidP="00D5127A">
            <w:pPr>
              <w:spacing w:line="235" w:lineRule="auto"/>
              <w:jc w:val="center"/>
              <w:rPr>
                <w:sz w:val="20"/>
                <w:szCs w:val="20"/>
              </w:rPr>
            </w:pPr>
            <w:r w:rsidRPr="00E8065F">
              <w:rPr>
                <w:sz w:val="20"/>
                <w:szCs w:val="20"/>
              </w:rPr>
              <w:t>2013</w:t>
            </w:r>
            <w:r w:rsidR="003D79B3">
              <w:rPr>
                <w:sz w:val="20"/>
                <w:szCs w:val="20"/>
              </w:rPr>
              <w:t xml:space="preserve"> </w:t>
            </w:r>
            <w:r w:rsidR="00877BE3">
              <w:rPr>
                <w:sz w:val="20"/>
                <w:szCs w:val="20"/>
              </w:rPr>
              <w:t>(1)</w:t>
            </w:r>
          </w:p>
          <w:p w:rsidR="00D06A2F" w:rsidRPr="00E8065F" w:rsidRDefault="00D06A2F" w:rsidP="00D5127A">
            <w:pPr>
              <w:spacing w:line="235" w:lineRule="auto"/>
              <w:jc w:val="center"/>
              <w:rPr>
                <w:sz w:val="20"/>
                <w:szCs w:val="20"/>
              </w:rPr>
            </w:pPr>
            <w:r w:rsidRPr="00E8065F">
              <w:rPr>
                <w:sz w:val="20"/>
                <w:szCs w:val="20"/>
              </w:rPr>
              <w:t>2015</w:t>
            </w:r>
            <w:r w:rsidR="003D79B3">
              <w:rPr>
                <w:sz w:val="20"/>
                <w:szCs w:val="20"/>
              </w:rPr>
              <w:t xml:space="preserve"> </w:t>
            </w:r>
            <w:r w:rsidR="00877BE3">
              <w:rPr>
                <w:sz w:val="20"/>
                <w:szCs w:val="20"/>
              </w:rPr>
              <w:t>(2)</w:t>
            </w:r>
          </w:p>
          <w:p w:rsidR="00D06A2F" w:rsidRPr="00E8065F" w:rsidRDefault="00D06A2F" w:rsidP="00D5127A">
            <w:pPr>
              <w:spacing w:line="235" w:lineRule="auto"/>
              <w:jc w:val="center"/>
              <w:rPr>
                <w:sz w:val="20"/>
                <w:szCs w:val="20"/>
              </w:rPr>
            </w:pPr>
            <w:r w:rsidRPr="00E8065F">
              <w:rPr>
                <w:sz w:val="20"/>
                <w:szCs w:val="20"/>
              </w:rPr>
              <w:t>2022</w:t>
            </w:r>
            <w:r w:rsidR="003D79B3">
              <w:rPr>
                <w:sz w:val="20"/>
                <w:szCs w:val="20"/>
              </w:rPr>
              <w:t xml:space="preserve"> </w:t>
            </w:r>
            <w:r w:rsidR="00877BE3">
              <w:rPr>
                <w:sz w:val="20"/>
                <w:szCs w:val="20"/>
              </w:rPr>
              <w:t>(1)</w:t>
            </w:r>
          </w:p>
        </w:tc>
        <w:tc>
          <w:tcPr>
            <w:tcW w:w="1181" w:type="dxa"/>
            <w:tcBorders>
              <w:top w:val="nil"/>
              <w:left w:val="single" w:sz="4" w:space="0" w:color="auto"/>
              <w:bottom w:val="single" w:sz="4" w:space="0" w:color="auto"/>
              <w:right w:val="single" w:sz="4" w:space="0" w:color="auto"/>
            </w:tcBorders>
            <w:shd w:val="clear" w:color="auto" w:fill="auto"/>
          </w:tcPr>
          <w:p w:rsidR="00D06A2F" w:rsidRPr="00E8065F" w:rsidRDefault="00D06A2F" w:rsidP="00D5127A">
            <w:pPr>
              <w:spacing w:line="235" w:lineRule="auto"/>
              <w:jc w:val="center"/>
              <w:rPr>
                <w:color w:val="000000"/>
                <w:sz w:val="20"/>
                <w:szCs w:val="20"/>
              </w:rPr>
            </w:pPr>
            <w:r w:rsidRPr="00E8065F">
              <w:rPr>
                <w:color w:val="000000"/>
                <w:sz w:val="20"/>
                <w:szCs w:val="20"/>
              </w:rPr>
              <w:t>4</w:t>
            </w:r>
          </w:p>
        </w:tc>
        <w:tc>
          <w:tcPr>
            <w:tcW w:w="1478" w:type="dxa"/>
            <w:tcBorders>
              <w:top w:val="nil"/>
              <w:left w:val="single" w:sz="4" w:space="0" w:color="auto"/>
              <w:bottom w:val="single" w:sz="4" w:space="0" w:color="auto"/>
              <w:right w:val="single" w:sz="4" w:space="0" w:color="auto"/>
            </w:tcBorders>
            <w:shd w:val="clear" w:color="auto" w:fill="auto"/>
          </w:tcPr>
          <w:p w:rsidR="00D06A2F" w:rsidRPr="00E8065F" w:rsidRDefault="00D06A2F" w:rsidP="00D5127A">
            <w:pPr>
              <w:spacing w:line="235" w:lineRule="auto"/>
              <w:jc w:val="center"/>
              <w:rPr>
                <w:color w:val="000000"/>
                <w:sz w:val="20"/>
                <w:szCs w:val="20"/>
              </w:rPr>
            </w:pPr>
            <w:r w:rsidRPr="00E8065F">
              <w:rPr>
                <w:color w:val="000000"/>
                <w:sz w:val="20"/>
                <w:szCs w:val="20"/>
              </w:rPr>
              <w:t>6,6</w:t>
            </w:r>
          </w:p>
        </w:tc>
        <w:tc>
          <w:tcPr>
            <w:tcW w:w="1111" w:type="dxa"/>
            <w:tcBorders>
              <w:top w:val="nil"/>
              <w:left w:val="single" w:sz="4" w:space="0" w:color="auto"/>
              <w:bottom w:val="single" w:sz="4" w:space="0" w:color="auto"/>
              <w:right w:val="single" w:sz="4" w:space="0" w:color="auto"/>
            </w:tcBorders>
            <w:shd w:val="clear" w:color="auto" w:fill="auto"/>
          </w:tcPr>
          <w:p w:rsidR="00D06A2F" w:rsidRPr="00E8065F" w:rsidRDefault="00D06A2F" w:rsidP="00D5127A">
            <w:pPr>
              <w:spacing w:line="235" w:lineRule="auto"/>
              <w:jc w:val="center"/>
              <w:rPr>
                <w:color w:val="000000"/>
                <w:sz w:val="20"/>
                <w:szCs w:val="20"/>
              </w:rPr>
            </w:pPr>
            <w:r w:rsidRPr="00E8065F">
              <w:rPr>
                <w:color w:val="000000"/>
                <w:sz w:val="20"/>
                <w:szCs w:val="20"/>
              </w:rPr>
              <w:t>1</w:t>
            </w:r>
          </w:p>
        </w:tc>
        <w:tc>
          <w:tcPr>
            <w:tcW w:w="1944" w:type="dxa"/>
            <w:tcBorders>
              <w:top w:val="nil"/>
              <w:left w:val="single" w:sz="4" w:space="0" w:color="auto"/>
              <w:bottom w:val="single" w:sz="4" w:space="0" w:color="auto"/>
              <w:right w:val="single" w:sz="4" w:space="0" w:color="auto"/>
            </w:tcBorders>
            <w:shd w:val="clear" w:color="auto" w:fill="auto"/>
          </w:tcPr>
          <w:p w:rsidR="00D06A2F" w:rsidRPr="00E8065F" w:rsidRDefault="00D06A2F" w:rsidP="00D5127A">
            <w:pPr>
              <w:spacing w:line="235" w:lineRule="auto"/>
              <w:jc w:val="center"/>
              <w:rPr>
                <w:color w:val="000000"/>
                <w:sz w:val="20"/>
                <w:szCs w:val="20"/>
              </w:rPr>
            </w:pPr>
            <w:r w:rsidRPr="00E8065F">
              <w:rPr>
                <w:color w:val="000000"/>
                <w:sz w:val="20"/>
                <w:szCs w:val="20"/>
              </w:rPr>
              <w:t>Амбулаторное</w:t>
            </w:r>
          </w:p>
        </w:tc>
      </w:tr>
      <w:tr w:rsidR="00D06A2F" w:rsidRPr="00E8065F" w:rsidTr="00CD3A6F">
        <w:trPr>
          <w:trHeight w:val="20"/>
        </w:trPr>
        <w:tc>
          <w:tcPr>
            <w:tcW w:w="1555" w:type="dxa"/>
            <w:vMerge/>
            <w:tcBorders>
              <w:left w:val="single" w:sz="4" w:space="0" w:color="auto"/>
              <w:right w:val="single" w:sz="4" w:space="0" w:color="auto"/>
            </w:tcBorders>
          </w:tcPr>
          <w:p w:rsidR="00D06A2F" w:rsidRPr="00E8065F" w:rsidRDefault="00D06A2F" w:rsidP="00D5127A">
            <w:pPr>
              <w:spacing w:line="235" w:lineRule="auto"/>
              <w:rPr>
                <w:sz w:val="20"/>
                <w:szCs w:val="20"/>
              </w:rPr>
            </w:pPr>
          </w:p>
        </w:tc>
        <w:tc>
          <w:tcPr>
            <w:tcW w:w="3685" w:type="dxa"/>
            <w:tcBorders>
              <w:top w:val="nil"/>
              <w:left w:val="single" w:sz="4" w:space="0" w:color="auto"/>
              <w:bottom w:val="single" w:sz="4" w:space="0" w:color="auto"/>
              <w:right w:val="nil"/>
            </w:tcBorders>
            <w:shd w:val="clear" w:color="auto" w:fill="auto"/>
          </w:tcPr>
          <w:p w:rsidR="00D06A2F" w:rsidRPr="00E8065F" w:rsidRDefault="00D06A2F" w:rsidP="00D5127A">
            <w:pPr>
              <w:spacing w:line="235" w:lineRule="auto"/>
              <w:jc w:val="both"/>
              <w:rPr>
                <w:color w:val="000000"/>
                <w:sz w:val="20"/>
                <w:szCs w:val="20"/>
              </w:rPr>
            </w:pPr>
            <w:r w:rsidRPr="00E8065F">
              <w:rPr>
                <w:color w:val="000000"/>
                <w:sz w:val="20"/>
                <w:szCs w:val="20"/>
              </w:rPr>
              <w:t xml:space="preserve">ГАУЗ </w:t>
            </w:r>
            <w:r>
              <w:rPr>
                <w:color w:val="000000"/>
                <w:sz w:val="20"/>
                <w:szCs w:val="20"/>
              </w:rPr>
              <w:t>«</w:t>
            </w:r>
            <w:r w:rsidRPr="00E8065F">
              <w:rPr>
                <w:color w:val="000000"/>
                <w:sz w:val="20"/>
                <w:szCs w:val="20"/>
              </w:rPr>
              <w:t>Балтасинская ЦРБ</w:t>
            </w:r>
            <w:r>
              <w:rPr>
                <w:color w:val="000000"/>
                <w:sz w:val="20"/>
                <w:szCs w:val="20"/>
              </w:rPr>
              <w:t>»</w:t>
            </w:r>
          </w:p>
        </w:tc>
        <w:tc>
          <w:tcPr>
            <w:tcW w:w="1994" w:type="dxa"/>
            <w:tcBorders>
              <w:top w:val="nil"/>
              <w:left w:val="single" w:sz="4" w:space="0" w:color="auto"/>
              <w:bottom w:val="single" w:sz="4" w:space="0" w:color="auto"/>
              <w:right w:val="single" w:sz="4" w:space="0" w:color="auto"/>
            </w:tcBorders>
            <w:shd w:val="clear" w:color="auto" w:fill="auto"/>
          </w:tcPr>
          <w:p w:rsidR="00D06A2F" w:rsidRPr="00E8065F" w:rsidRDefault="00D06A2F" w:rsidP="00D5127A">
            <w:pPr>
              <w:spacing w:line="235" w:lineRule="auto"/>
              <w:jc w:val="center"/>
              <w:rPr>
                <w:color w:val="000000"/>
                <w:sz w:val="20"/>
                <w:szCs w:val="20"/>
              </w:rPr>
            </w:pPr>
            <w:r>
              <w:rPr>
                <w:rFonts w:eastAsia="Calibri"/>
                <w:sz w:val="20"/>
                <w:szCs w:val="20"/>
              </w:rPr>
              <w:t>Фиброгастродуоденоскоп</w:t>
            </w:r>
          </w:p>
        </w:tc>
        <w:tc>
          <w:tcPr>
            <w:tcW w:w="1181" w:type="dxa"/>
          </w:tcPr>
          <w:p w:rsidR="00D06A2F" w:rsidRPr="00E8065F" w:rsidRDefault="00D06A2F" w:rsidP="00D5127A">
            <w:pPr>
              <w:spacing w:line="235" w:lineRule="auto"/>
              <w:jc w:val="center"/>
              <w:rPr>
                <w:sz w:val="20"/>
                <w:szCs w:val="20"/>
              </w:rPr>
            </w:pPr>
            <w:r w:rsidRPr="00E8065F">
              <w:rPr>
                <w:sz w:val="20"/>
                <w:szCs w:val="20"/>
              </w:rPr>
              <w:t>2015</w:t>
            </w:r>
            <w:r w:rsidR="003D79B3">
              <w:rPr>
                <w:sz w:val="20"/>
                <w:szCs w:val="20"/>
              </w:rPr>
              <w:t xml:space="preserve"> </w:t>
            </w:r>
            <w:r w:rsidR="00877BE3">
              <w:rPr>
                <w:sz w:val="20"/>
                <w:szCs w:val="20"/>
              </w:rPr>
              <w:t>(2)</w:t>
            </w:r>
          </w:p>
          <w:p w:rsidR="00D06A2F" w:rsidRPr="00E8065F" w:rsidRDefault="00D06A2F" w:rsidP="00D5127A">
            <w:pPr>
              <w:spacing w:line="235" w:lineRule="auto"/>
              <w:jc w:val="center"/>
              <w:rPr>
                <w:sz w:val="20"/>
                <w:szCs w:val="20"/>
              </w:rPr>
            </w:pPr>
            <w:r w:rsidRPr="00E8065F">
              <w:rPr>
                <w:sz w:val="20"/>
                <w:szCs w:val="20"/>
              </w:rPr>
              <w:t>2020</w:t>
            </w:r>
            <w:r w:rsidR="003D79B3">
              <w:rPr>
                <w:sz w:val="20"/>
                <w:szCs w:val="20"/>
              </w:rPr>
              <w:t xml:space="preserve"> </w:t>
            </w:r>
            <w:r w:rsidR="00877BE3">
              <w:rPr>
                <w:sz w:val="20"/>
                <w:szCs w:val="20"/>
              </w:rPr>
              <w:t>(1)</w:t>
            </w:r>
          </w:p>
          <w:p w:rsidR="00D06A2F" w:rsidRPr="00E8065F" w:rsidRDefault="00D06A2F" w:rsidP="00D5127A">
            <w:pPr>
              <w:spacing w:line="235" w:lineRule="auto"/>
              <w:jc w:val="center"/>
              <w:rPr>
                <w:sz w:val="20"/>
                <w:szCs w:val="20"/>
              </w:rPr>
            </w:pPr>
            <w:r w:rsidRPr="00E8065F">
              <w:rPr>
                <w:sz w:val="20"/>
                <w:szCs w:val="20"/>
              </w:rPr>
              <w:t>2021</w:t>
            </w:r>
            <w:r w:rsidR="003D79B3">
              <w:rPr>
                <w:sz w:val="20"/>
                <w:szCs w:val="20"/>
              </w:rPr>
              <w:t xml:space="preserve"> </w:t>
            </w:r>
            <w:r w:rsidR="00877BE3">
              <w:rPr>
                <w:sz w:val="20"/>
                <w:szCs w:val="20"/>
              </w:rPr>
              <w:t>(1)</w:t>
            </w:r>
          </w:p>
          <w:p w:rsidR="00D06A2F" w:rsidRPr="00E8065F" w:rsidRDefault="00D06A2F" w:rsidP="00D5127A">
            <w:pPr>
              <w:spacing w:line="235" w:lineRule="auto"/>
              <w:jc w:val="center"/>
              <w:rPr>
                <w:sz w:val="20"/>
                <w:szCs w:val="20"/>
              </w:rPr>
            </w:pPr>
            <w:r w:rsidRPr="00E8065F">
              <w:rPr>
                <w:sz w:val="20"/>
                <w:szCs w:val="20"/>
              </w:rPr>
              <w:t>2021</w:t>
            </w:r>
            <w:r w:rsidR="003D79B3">
              <w:rPr>
                <w:sz w:val="20"/>
                <w:szCs w:val="20"/>
              </w:rPr>
              <w:t xml:space="preserve"> </w:t>
            </w:r>
            <w:r w:rsidR="00877BE3">
              <w:rPr>
                <w:sz w:val="20"/>
                <w:szCs w:val="20"/>
              </w:rPr>
              <w:t>(1)</w:t>
            </w:r>
          </w:p>
        </w:tc>
        <w:tc>
          <w:tcPr>
            <w:tcW w:w="1181" w:type="dxa"/>
            <w:tcBorders>
              <w:top w:val="nil"/>
              <w:left w:val="single" w:sz="4" w:space="0" w:color="auto"/>
              <w:bottom w:val="single" w:sz="4" w:space="0" w:color="auto"/>
              <w:right w:val="single" w:sz="4" w:space="0" w:color="auto"/>
            </w:tcBorders>
            <w:shd w:val="clear" w:color="auto" w:fill="auto"/>
          </w:tcPr>
          <w:p w:rsidR="00D06A2F" w:rsidRPr="00E8065F" w:rsidRDefault="00D06A2F" w:rsidP="00D5127A">
            <w:pPr>
              <w:spacing w:line="235" w:lineRule="auto"/>
              <w:jc w:val="center"/>
              <w:rPr>
                <w:color w:val="000000"/>
                <w:sz w:val="20"/>
                <w:szCs w:val="20"/>
              </w:rPr>
            </w:pPr>
            <w:r w:rsidRPr="00E8065F">
              <w:rPr>
                <w:color w:val="000000"/>
                <w:sz w:val="20"/>
                <w:szCs w:val="20"/>
              </w:rPr>
              <w:t>5</w:t>
            </w:r>
          </w:p>
        </w:tc>
        <w:tc>
          <w:tcPr>
            <w:tcW w:w="1478" w:type="dxa"/>
            <w:tcBorders>
              <w:top w:val="nil"/>
              <w:left w:val="single" w:sz="4" w:space="0" w:color="auto"/>
              <w:bottom w:val="single" w:sz="4" w:space="0" w:color="auto"/>
              <w:right w:val="single" w:sz="4" w:space="0" w:color="auto"/>
            </w:tcBorders>
            <w:shd w:val="clear" w:color="auto" w:fill="auto"/>
          </w:tcPr>
          <w:p w:rsidR="00D06A2F" w:rsidRPr="00E8065F" w:rsidRDefault="00D06A2F" w:rsidP="00D5127A">
            <w:pPr>
              <w:spacing w:line="235" w:lineRule="auto"/>
              <w:jc w:val="center"/>
              <w:rPr>
                <w:color w:val="000000"/>
                <w:sz w:val="20"/>
                <w:szCs w:val="20"/>
              </w:rPr>
            </w:pPr>
            <w:r w:rsidRPr="00E8065F">
              <w:rPr>
                <w:color w:val="000000"/>
                <w:sz w:val="20"/>
                <w:szCs w:val="20"/>
              </w:rPr>
              <w:t>6,7</w:t>
            </w:r>
          </w:p>
        </w:tc>
        <w:tc>
          <w:tcPr>
            <w:tcW w:w="1111" w:type="dxa"/>
            <w:tcBorders>
              <w:top w:val="nil"/>
              <w:left w:val="single" w:sz="4" w:space="0" w:color="auto"/>
              <w:bottom w:val="single" w:sz="4" w:space="0" w:color="auto"/>
              <w:right w:val="single" w:sz="4" w:space="0" w:color="auto"/>
            </w:tcBorders>
            <w:shd w:val="clear" w:color="auto" w:fill="auto"/>
          </w:tcPr>
          <w:p w:rsidR="00D06A2F" w:rsidRPr="00E8065F" w:rsidRDefault="00D06A2F" w:rsidP="00D5127A">
            <w:pPr>
              <w:spacing w:line="235" w:lineRule="auto"/>
              <w:jc w:val="center"/>
              <w:rPr>
                <w:color w:val="000000"/>
                <w:sz w:val="20"/>
                <w:szCs w:val="20"/>
              </w:rPr>
            </w:pPr>
            <w:r w:rsidRPr="00E8065F">
              <w:rPr>
                <w:color w:val="000000"/>
                <w:sz w:val="20"/>
                <w:szCs w:val="20"/>
              </w:rPr>
              <w:t>1</w:t>
            </w:r>
          </w:p>
        </w:tc>
        <w:tc>
          <w:tcPr>
            <w:tcW w:w="1944" w:type="dxa"/>
            <w:tcBorders>
              <w:top w:val="nil"/>
              <w:left w:val="single" w:sz="4" w:space="0" w:color="auto"/>
              <w:bottom w:val="single" w:sz="4" w:space="0" w:color="auto"/>
              <w:right w:val="single" w:sz="4" w:space="0" w:color="auto"/>
            </w:tcBorders>
            <w:shd w:val="clear" w:color="auto" w:fill="auto"/>
          </w:tcPr>
          <w:p w:rsidR="00D06A2F" w:rsidRPr="00E8065F" w:rsidRDefault="00D06A2F" w:rsidP="00D5127A">
            <w:pPr>
              <w:spacing w:line="235" w:lineRule="auto"/>
              <w:jc w:val="center"/>
              <w:rPr>
                <w:color w:val="000000"/>
                <w:sz w:val="20"/>
                <w:szCs w:val="20"/>
              </w:rPr>
            </w:pPr>
            <w:r w:rsidRPr="00E8065F">
              <w:rPr>
                <w:color w:val="000000"/>
                <w:sz w:val="20"/>
                <w:szCs w:val="20"/>
              </w:rPr>
              <w:t>Амбулаторное</w:t>
            </w:r>
          </w:p>
        </w:tc>
      </w:tr>
      <w:tr w:rsidR="00D06A2F" w:rsidRPr="00E8065F" w:rsidTr="00CD3A6F">
        <w:trPr>
          <w:trHeight w:val="20"/>
        </w:trPr>
        <w:tc>
          <w:tcPr>
            <w:tcW w:w="1555" w:type="dxa"/>
            <w:vMerge/>
            <w:tcBorders>
              <w:left w:val="single" w:sz="4" w:space="0" w:color="auto"/>
              <w:right w:val="single" w:sz="4" w:space="0" w:color="auto"/>
            </w:tcBorders>
          </w:tcPr>
          <w:p w:rsidR="00D06A2F" w:rsidRPr="00E8065F" w:rsidRDefault="00D06A2F" w:rsidP="00D5127A">
            <w:pPr>
              <w:spacing w:line="235" w:lineRule="auto"/>
              <w:rPr>
                <w:sz w:val="20"/>
                <w:szCs w:val="20"/>
              </w:rPr>
            </w:pPr>
          </w:p>
        </w:tc>
        <w:tc>
          <w:tcPr>
            <w:tcW w:w="3685" w:type="dxa"/>
            <w:tcBorders>
              <w:top w:val="nil"/>
              <w:left w:val="single" w:sz="4" w:space="0" w:color="auto"/>
              <w:bottom w:val="single" w:sz="4" w:space="0" w:color="auto"/>
              <w:right w:val="nil"/>
            </w:tcBorders>
            <w:shd w:val="clear" w:color="auto" w:fill="auto"/>
          </w:tcPr>
          <w:p w:rsidR="00D06A2F" w:rsidRPr="00E8065F" w:rsidRDefault="00D06A2F" w:rsidP="00D5127A">
            <w:pPr>
              <w:spacing w:line="235" w:lineRule="auto"/>
              <w:jc w:val="both"/>
              <w:rPr>
                <w:color w:val="000000"/>
                <w:sz w:val="20"/>
                <w:szCs w:val="20"/>
              </w:rPr>
            </w:pPr>
            <w:r w:rsidRPr="00E8065F">
              <w:rPr>
                <w:color w:val="000000"/>
                <w:sz w:val="20"/>
                <w:szCs w:val="20"/>
              </w:rPr>
              <w:t xml:space="preserve">ГАУЗ </w:t>
            </w:r>
            <w:r>
              <w:rPr>
                <w:color w:val="000000"/>
                <w:sz w:val="20"/>
                <w:szCs w:val="20"/>
              </w:rPr>
              <w:t>«</w:t>
            </w:r>
            <w:r w:rsidRPr="00E8065F">
              <w:rPr>
                <w:color w:val="000000"/>
                <w:sz w:val="20"/>
                <w:szCs w:val="20"/>
              </w:rPr>
              <w:t>Бугульминская ЦРБ</w:t>
            </w:r>
            <w:r>
              <w:rPr>
                <w:color w:val="000000"/>
                <w:sz w:val="20"/>
                <w:szCs w:val="20"/>
              </w:rPr>
              <w:t>»</w:t>
            </w:r>
          </w:p>
        </w:tc>
        <w:tc>
          <w:tcPr>
            <w:tcW w:w="1994" w:type="dxa"/>
            <w:tcBorders>
              <w:top w:val="nil"/>
              <w:left w:val="single" w:sz="4" w:space="0" w:color="auto"/>
              <w:bottom w:val="single" w:sz="4" w:space="0" w:color="auto"/>
              <w:right w:val="single" w:sz="4" w:space="0" w:color="auto"/>
            </w:tcBorders>
            <w:shd w:val="clear" w:color="auto" w:fill="auto"/>
          </w:tcPr>
          <w:p w:rsidR="00D06A2F" w:rsidRPr="00E8065F" w:rsidRDefault="00D06A2F" w:rsidP="00D5127A">
            <w:pPr>
              <w:spacing w:line="235" w:lineRule="auto"/>
              <w:jc w:val="center"/>
              <w:rPr>
                <w:color w:val="000000"/>
                <w:sz w:val="20"/>
                <w:szCs w:val="20"/>
              </w:rPr>
            </w:pPr>
            <w:r>
              <w:rPr>
                <w:rFonts w:eastAsia="Calibri"/>
                <w:sz w:val="20"/>
                <w:szCs w:val="20"/>
              </w:rPr>
              <w:t>Фиброгастродуоденоскоп</w:t>
            </w:r>
          </w:p>
        </w:tc>
        <w:tc>
          <w:tcPr>
            <w:tcW w:w="1181" w:type="dxa"/>
          </w:tcPr>
          <w:p w:rsidR="00D06A2F" w:rsidRPr="00E8065F" w:rsidRDefault="00D06A2F" w:rsidP="00D5127A">
            <w:pPr>
              <w:spacing w:line="235" w:lineRule="auto"/>
              <w:jc w:val="center"/>
              <w:rPr>
                <w:sz w:val="20"/>
                <w:szCs w:val="20"/>
              </w:rPr>
            </w:pPr>
            <w:r w:rsidRPr="00E8065F">
              <w:rPr>
                <w:sz w:val="20"/>
                <w:szCs w:val="20"/>
              </w:rPr>
              <w:t>2015</w:t>
            </w:r>
            <w:r w:rsidR="003D79B3">
              <w:rPr>
                <w:sz w:val="20"/>
                <w:szCs w:val="20"/>
              </w:rPr>
              <w:t xml:space="preserve"> </w:t>
            </w:r>
            <w:r w:rsidR="00877BE3">
              <w:rPr>
                <w:sz w:val="20"/>
                <w:szCs w:val="20"/>
              </w:rPr>
              <w:t>(1)</w:t>
            </w:r>
          </w:p>
          <w:p w:rsidR="00D06A2F" w:rsidRPr="00E8065F" w:rsidRDefault="00D06A2F" w:rsidP="00D5127A">
            <w:pPr>
              <w:spacing w:line="235" w:lineRule="auto"/>
              <w:jc w:val="center"/>
              <w:rPr>
                <w:sz w:val="20"/>
                <w:szCs w:val="20"/>
              </w:rPr>
            </w:pPr>
            <w:r w:rsidRPr="00E8065F">
              <w:rPr>
                <w:sz w:val="20"/>
                <w:szCs w:val="20"/>
              </w:rPr>
              <w:t>2018</w:t>
            </w:r>
            <w:r w:rsidR="003D79B3">
              <w:rPr>
                <w:sz w:val="20"/>
                <w:szCs w:val="20"/>
              </w:rPr>
              <w:t xml:space="preserve"> </w:t>
            </w:r>
            <w:r w:rsidR="00877BE3">
              <w:rPr>
                <w:sz w:val="20"/>
                <w:szCs w:val="20"/>
              </w:rPr>
              <w:t>(1)</w:t>
            </w:r>
          </w:p>
          <w:p w:rsidR="00D06A2F" w:rsidRPr="00E8065F" w:rsidRDefault="00D06A2F" w:rsidP="00D5127A">
            <w:pPr>
              <w:spacing w:line="235" w:lineRule="auto"/>
              <w:jc w:val="center"/>
              <w:rPr>
                <w:sz w:val="20"/>
                <w:szCs w:val="20"/>
              </w:rPr>
            </w:pPr>
            <w:r w:rsidRPr="00E8065F">
              <w:rPr>
                <w:sz w:val="20"/>
                <w:szCs w:val="20"/>
              </w:rPr>
              <w:t>2020</w:t>
            </w:r>
            <w:r w:rsidR="003D79B3">
              <w:rPr>
                <w:sz w:val="20"/>
                <w:szCs w:val="20"/>
              </w:rPr>
              <w:t xml:space="preserve"> </w:t>
            </w:r>
            <w:r w:rsidR="00877BE3">
              <w:rPr>
                <w:sz w:val="20"/>
                <w:szCs w:val="20"/>
              </w:rPr>
              <w:t>(2)</w:t>
            </w:r>
          </w:p>
        </w:tc>
        <w:tc>
          <w:tcPr>
            <w:tcW w:w="1181" w:type="dxa"/>
            <w:tcBorders>
              <w:top w:val="nil"/>
              <w:left w:val="single" w:sz="4" w:space="0" w:color="auto"/>
              <w:bottom w:val="single" w:sz="4" w:space="0" w:color="auto"/>
              <w:right w:val="single" w:sz="4" w:space="0" w:color="auto"/>
            </w:tcBorders>
            <w:shd w:val="clear" w:color="auto" w:fill="auto"/>
          </w:tcPr>
          <w:p w:rsidR="00D06A2F" w:rsidRPr="00E8065F" w:rsidRDefault="00D06A2F" w:rsidP="00D5127A">
            <w:pPr>
              <w:spacing w:line="235" w:lineRule="auto"/>
              <w:jc w:val="center"/>
              <w:rPr>
                <w:color w:val="000000"/>
                <w:sz w:val="20"/>
                <w:szCs w:val="20"/>
              </w:rPr>
            </w:pPr>
            <w:r w:rsidRPr="00E8065F">
              <w:rPr>
                <w:color w:val="000000"/>
                <w:sz w:val="20"/>
                <w:szCs w:val="20"/>
              </w:rPr>
              <w:t>4</w:t>
            </w:r>
          </w:p>
        </w:tc>
        <w:tc>
          <w:tcPr>
            <w:tcW w:w="1478" w:type="dxa"/>
            <w:tcBorders>
              <w:top w:val="nil"/>
              <w:left w:val="single" w:sz="4" w:space="0" w:color="auto"/>
              <w:bottom w:val="single" w:sz="4" w:space="0" w:color="auto"/>
              <w:right w:val="single" w:sz="4" w:space="0" w:color="auto"/>
            </w:tcBorders>
            <w:shd w:val="clear" w:color="auto" w:fill="auto"/>
          </w:tcPr>
          <w:p w:rsidR="00D06A2F" w:rsidRPr="00E8065F" w:rsidRDefault="00D06A2F" w:rsidP="00D5127A">
            <w:pPr>
              <w:spacing w:line="235" w:lineRule="auto"/>
              <w:jc w:val="center"/>
              <w:rPr>
                <w:color w:val="000000"/>
                <w:sz w:val="20"/>
                <w:szCs w:val="20"/>
              </w:rPr>
            </w:pPr>
            <w:r w:rsidRPr="00E8065F">
              <w:rPr>
                <w:color w:val="000000"/>
                <w:sz w:val="20"/>
                <w:szCs w:val="20"/>
              </w:rPr>
              <w:t>17,3</w:t>
            </w:r>
          </w:p>
        </w:tc>
        <w:tc>
          <w:tcPr>
            <w:tcW w:w="1111" w:type="dxa"/>
            <w:tcBorders>
              <w:top w:val="nil"/>
              <w:left w:val="single" w:sz="4" w:space="0" w:color="auto"/>
              <w:bottom w:val="single" w:sz="4" w:space="0" w:color="auto"/>
              <w:right w:val="single" w:sz="4" w:space="0" w:color="auto"/>
            </w:tcBorders>
            <w:shd w:val="clear" w:color="auto" w:fill="auto"/>
          </w:tcPr>
          <w:p w:rsidR="00D06A2F" w:rsidRPr="00E8065F" w:rsidRDefault="00D06A2F" w:rsidP="00D5127A">
            <w:pPr>
              <w:spacing w:line="235" w:lineRule="auto"/>
              <w:jc w:val="center"/>
              <w:rPr>
                <w:color w:val="000000"/>
                <w:sz w:val="20"/>
                <w:szCs w:val="20"/>
              </w:rPr>
            </w:pPr>
            <w:r w:rsidRPr="00E8065F">
              <w:rPr>
                <w:color w:val="000000"/>
                <w:sz w:val="20"/>
                <w:szCs w:val="20"/>
              </w:rPr>
              <w:t>1</w:t>
            </w:r>
          </w:p>
        </w:tc>
        <w:tc>
          <w:tcPr>
            <w:tcW w:w="1944" w:type="dxa"/>
            <w:tcBorders>
              <w:top w:val="nil"/>
              <w:left w:val="single" w:sz="4" w:space="0" w:color="auto"/>
              <w:bottom w:val="single" w:sz="4" w:space="0" w:color="auto"/>
              <w:right w:val="single" w:sz="4" w:space="0" w:color="auto"/>
            </w:tcBorders>
            <w:shd w:val="clear" w:color="auto" w:fill="auto"/>
          </w:tcPr>
          <w:p w:rsidR="00D06A2F" w:rsidRPr="00E8065F" w:rsidRDefault="00D06A2F" w:rsidP="00D5127A">
            <w:pPr>
              <w:spacing w:line="235" w:lineRule="auto"/>
              <w:jc w:val="center"/>
              <w:rPr>
                <w:color w:val="000000"/>
                <w:sz w:val="20"/>
                <w:szCs w:val="20"/>
              </w:rPr>
            </w:pPr>
            <w:r w:rsidRPr="00E8065F">
              <w:rPr>
                <w:color w:val="000000"/>
                <w:sz w:val="20"/>
                <w:szCs w:val="20"/>
              </w:rPr>
              <w:t>Амбулаторное/стационарное</w:t>
            </w:r>
          </w:p>
        </w:tc>
      </w:tr>
      <w:tr w:rsidR="00D06A2F" w:rsidRPr="00E8065F" w:rsidTr="00CD3A6F">
        <w:trPr>
          <w:trHeight w:val="20"/>
        </w:trPr>
        <w:tc>
          <w:tcPr>
            <w:tcW w:w="1555" w:type="dxa"/>
            <w:vMerge/>
            <w:tcBorders>
              <w:left w:val="single" w:sz="4" w:space="0" w:color="auto"/>
              <w:right w:val="single" w:sz="4" w:space="0" w:color="auto"/>
            </w:tcBorders>
          </w:tcPr>
          <w:p w:rsidR="00D06A2F" w:rsidRPr="00E8065F" w:rsidRDefault="00D06A2F" w:rsidP="00D5127A">
            <w:pPr>
              <w:spacing w:line="235" w:lineRule="auto"/>
              <w:rPr>
                <w:sz w:val="20"/>
                <w:szCs w:val="20"/>
              </w:rPr>
            </w:pPr>
          </w:p>
        </w:tc>
        <w:tc>
          <w:tcPr>
            <w:tcW w:w="3685" w:type="dxa"/>
            <w:tcBorders>
              <w:top w:val="nil"/>
              <w:left w:val="single" w:sz="4" w:space="0" w:color="auto"/>
              <w:bottom w:val="single" w:sz="4" w:space="0" w:color="auto"/>
              <w:right w:val="nil"/>
            </w:tcBorders>
            <w:shd w:val="clear" w:color="auto" w:fill="auto"/>
          </w:tcPr>
          <w:p w:rsidR="00D06A2F" w:rsidRPr="00E8065F" w:rsidRDefault="00D06A2F" w:rsidP="00D5127A">
            <w:pPr>
              <w:spacing w:line="235" w:lineRule="auto"/>
              <w:jc w:val="both"/>
              <w:rPr>
                <w:color w:val="000000"/>
                <w:sz w:val="20"/>
                <w:szCs w:val="20"/>
              </w:rPr>
            </w:pPr>
            <w:r w:rsidRPr="00E8065F">
              <w:rPr>
                <w:color w:val="000000"/>
                <w:sz w:val="20"/>
                <w:szCs w:val="20"/>
              </w:rPr>
              <w:t xml:space="preserve">ГАУЗ </w:t>
            </w:r>
            <w:r>
              <w:rPr>
                <w:color w:val="000000"/>
                <w:sz w:val="20"/>
                <w:szCs w:val="20"/>
              </w:rPr>
              <w:t>«</w:t>
            </w:r>
            <w:r w:rsidRPr="00E8065F">
              <w:rPr>
                <w:color w:val="000000"/>
                <w:sz w:val="20"/>
                <w:szCs w:val="20"/>
              </w:rPr>
              <w:t>Буинская ЦРБ</w:t>
            </w:r>
            <w:r>
              <w:rPr>
                <w:color w:val="000000"/>
                <w:sz w:val="20"/>
                <w:szCs w:val="20"/>
              </w:rPr>
              <w:t>»</w:t>
            </w:r>
          </w:p>
        </w:tc>
        <w:tc>
          <w:tcPr>
            <w:tcW w:w="1994" w:type="dxa"/>
            <w:tcBorders>
              <w:top w:val="nil"/>
              <w:left w:val="single" w:sz="4" w:space="0" w:color="auto"/>
              <w:bottom w:val="single" w:sz="4" w:space="0" w:color="auto"/>
              <w:right w:val="single" w:sz="4" w:space="0" w:color="auto"/>
            </w:tcBorders>
            <w:shd w:val="clear" w:color="auto" w:fill="auto"/>
          </w:tcPr>
          <w:p w:rsidR="00D06A2F" w:rsidRPr="00E8065F" w:rsidRDefault="00D06A2F" w:rsidP="00D5127A">
            <w:pPr>
              <w:spacing w:line="235" w:lineRule="auto"/>
              <w:jc w:val="center"/>
              <w:rPr>
                <w:color w:val="000000"/>
                <w:sz w:val="20"/>
                <w:szCs w:val="20"/>
              </w:rPr>
            </w:pPr>
            <w:r>
              <w:rPr>
                <w:rFonts w:eastAsia="Calibri"/>
                <w:sz w:val="20"/>
                <w:szCs w:val="20"/>
              </w:rPr>
              <w:t>Фиброгастродуоденоскоп</w:t>
            </w:r>
          </w:p>
        </w:tc>
        <w:tc>
          <w:tcPr>
            <w:tcW w:w="1181" w:type="dxa"/>
          </w:tcPr>
          <w:p w:rsidR="00D06A2F" w:rsidRPr="00E8065F" w:rsidRDefault="00D06A2F" w:rsidP="00D5127A">
            <w:pPr>
              <w:spacing w:line="235" w:lineRule="auto"/>
              <w:jc w:val="center"/>
              <w:rPr>
                <w:sz w:val="20"/>
                <w:szCs w:val="20"/>
              </w:rPr>
            </w:pPr>
            <w:r>
              <w:rPr>
                <w:sz w:val="20"/>
                <w:szCs w:val="20"/>
              </w:rPr>
              <w:t>2017</w:t>
            </w:r>
            <w:r w:rsidR="003D79B3">
              <w:rPr>
                <w:sz w:val="20"/>
                <w:szCs w:val="20"/>
              </w:rPr>
              <w:t xml:space="preserve"> </w:t>
            </w:r>
            <w:r w:rsidR="00877BE3">
              <w:rPr>
                <w:sz w:val="20"/>
                <w:szCs w:val="20"/>
              </w:rPr>
              <w:t>(4)</w:t>
            </w:r>
          </w:p>
        </w:tc>
        <w:tc>
          <w:tcPr>
            <w:tcW w:w="1181" w:type="dxa"/>
            <w:tcBorders>
              <w:top w:val="nil"/>
              <w:left w:val="single" w:sz="4" w:space="0" w:color="auto"/>
              <w:bottom w:val="single" w:sz="4" w:space="0" w:color="auto"/>
              <w:right w:val="single" w:sz="4" w:space="0" w:color="auto"/>
            </w:tcBorders>
            <w:shd w:val="clear" w:color="auto" w:fill="auto"/>
          </w:tcPr>
          <w:p w:rsidR="00D06A2F" w:rsidRPr="00E8065F" w:rsidRDefault="00D06A2F" w:rsidP="00D5127A">
            <w:pPr>
              <w:spacing w:line="235" w:lineRule="auto"/>
              <w:jc w:val="center"/>
              <w:rPr>
                <w:color w:val="000000"/>
                <w:sz w:val="20"/>
                <w:szCs w:val="20"/>
              </w:rPr>
            </w:pPr>
            <w:r w:rsidRPr="00E8065F">
              <w:rPr>
                <w:color w:val="000000"/>
                <w:sz w:val="20"/>
                <w:szCs w:val="20"/>
              </w:rPr>
              <w:t>4</w:t>
            </w:r>
          </w:p>
        </w:tc>
        <w:tc>
          <w:tcPr>
            <w:tcW w:w="1478" w:type="dxa"/>
            <w:tcBorders>
              <w:top w:val="nil"/>
              <w:left w:val="single" w:sz="4" w:space="0" w:color="auto"/>
              <w:bottom w:val="single" w:sz="4" w:space="0" w:color="auto"/>
              <w:right w:val="single" w:sz="4" w:space="0" w:color="auto"/>
            </w:tcBorders>
            <w:shd w:val="clear" w:color="auto" w:fill="auto"/>
          </w:tcPr>
          <w:p w:rsidR="00D06A2F" w:rsidRPr="00E8065F" w:rsidRDefault="00D06A2F" w:rsidP="00D5127A">
            <w:pPr>
              <w:spacing w:line="235" w:lineRule="auto"/>
              <w:jc w:val="center"/>
              <w:rPr>
                <w:color w:val="000000"/>
                <w:sz w:val="20"/>
                <w:szCs w:val="20"/>
              </w:rPr>
            </w:pPr>
            <w:r w:rsidRPr="00E8065F">
              <w:rPr>
                <w:color w:val="000000"/>
                <w:sz w:val="20"/>
                <w:szCs w:val="20"/>
              </w:rPr>
              <w:t>10,3</w:t>
            </w:r>
          </w:p>
        </w:tc>
        <w:tc>
          <w:tcPr>
            <w:tcW w:w="1111" w:type="dxa"/>
            <w:tcBorders>
              <w:top w:val="nil"/>
              <w:left w:val="single" w:sz="4" w:space="0" w:color="auto"/>
              <w:bottom w:val="single" w:sz="4" w:space="0" w:color="auto"/>
              <w:right w:val="single" w:sz="4" w:space="0" w:color="auto"/>
            </w:tcBorders>
            <w:shd w:val="clear" w:color="auto" w:fill="auto"/>
          </w:tcPr>
          <w:p w:rsidR="00D06A2F" w:rsidRPr="00E8065F" w:rsidRDefault="00D06A2F" w:rsidP="00D5127A">
            <w:pPr>
              <w:spacing w:line="235" w:lineRule="auto"/>
              <w:jc w:val="center"/>
              <w:rPr>
                <w:color w:val="000000"/>
                <w:sz w:val="20"/>
                <w:szCs w:val="20"/>
              </w:rPr>
            </w:pPr>
            <w:r w:rsidRPr="00E8065F">
              <w:rPr>
                <w:color w:val="000000"/>
                <w:sz w:val="20"/>
                <w:szCs w:val="20"/>
              </w:rPr>
              <w:t>1</w:t>
            </w:r>
          </w:p>
        </w:tc>
        <w:tc>
          <w:tcPr>
            <w:tcW w:w="1944" w:type="dxa"/>
            <w:tcBorders>
              <w:top w:val="nil"/>
              <w:left w:val="single" w:sz="4" w:space="0" w:color="auto"/>
              <w:bottom w:val="single" w:sz="4" w:space="0" w:color="auto"/>
              <w:right w:val="single" w:sz="4" w:space="0" w:color="auto"/>
            </w:tcBorders>
            <w:shd w:val="clear" w:color="auto" w:fill="auto"/>
          </w:tcPr>
          <w:p w:rsidR="00D06A2F" w:rsidRPr="00E8065F" w:rsidRDefault="00D06A2F" w:rsidP="00D5127A">
            <w:pPr>
              <w:spacing w:line="235" w:lineRule="auto"/>
              <w:jc w:val="center"/>
              <w:rPr>
                <w:color w:val="000000"/>
                <w:sz w:val="20"/>
                <w:szCs w:val="20"/>
              </w:rPr>
            </w:pPr>
            <w:r w:rsidRPr="00E8065F">
              <w:rPr>
                <w:color w:val="000000"/>
                <w:sz w:val="20"/>
                <w:szCs w:val="20"/>
              </w:rPr>
              <w:t>Амбулаторное</w:t>
            </w:r>
          </w:p>
        </w:tc>
      </w:tr>
      <w:tr w:rsidR="00D06A2F" w:rsidRPr="00E8065F" w:rsidTr="00CD3A6F">
        <w:trPr>
          <w:trHeight w:val="20"/>
        </w:trPr>
        <w:tc>
          <w:tcPr>
            <w:tcW w:w="1555" w:type="dxa"/>
            <w:vMerge/>
            <w:tcBorders>
              <w:left w:val="single" w:sz="4" w:space="0" w:color="auto"/>
              <w:right w:val="single" w:sz="4" w:space="0" w:color="auto"/>
            </w:tcBorders>
          </w:tcPr>
          <w:p w:rsidR="00D06A2F" w:rsidRPr="00E8065F" w:rsidRDefault="00D06A2F" w:rsidP="00D5127A">
            <w:pPr>
              <w:spacing w:line="235" w:lineRule="auto"/>
              <w:rPr>
                <w:sz w:val="20"/>
                <w:szCs w:val="20"/>
              </w:rPr>
            </w:pPr>
          </w:p>
        </w:tc>
        <w:tc>
          <w:tcPr>
            <w:tcW w:w="3685" w:type="dxa"/>
            <w:tcBorders>
              <w:top w:val="nil"/>
              <w:left w:val="single" w:sz="4" w:space="0" w:color="auto"/>
              <w:bottom w:val="single" w:sz="4" w:space="0" w:color="auto"/>
              <w:right w:val="nil"/>
            </w:tcBorders>
            <w:shd w:val="clear" w:color="auto" w:fill="auto"/>
          </w:tcPr>
          <w:p w:rsidR="00D06A2F" w:rsidRPr="00E8065F" w:rsidRDefault="00D06A2F" w:rsidP="00D5127A">
            <w:pPr>
              <w:spacing w:line="235" w:lineRule="auto"/>
              <w:jc w:val="both"/>
              <w:rPr>
                <w:color w:val="000000"/>
                <w:sz w:val="20"/>
                <w:szCs w:val="20"/>
              </w:rPr>
            </w:pPr>
            <w:r w:rsidRPr="00E8065F">
              <w:rPr>
                <w:color w:val="000000"/>
                <w:sz w:val="20"/>
                <w:szCs w:val="20"/>
              </w:rPr>
              <w:t xml:space="preserve">ГАУЗ </w:t>
            </w:r>
            <w:r>
              <w:rPr>
                <w:color w:val="000000"/>
                <w:sz w:val="20"/>
                <w:szCs w:val="20"/>
              </w:rPr>
              <w:t>«</w:t>
            </w:r>
            <w:r w:rsidRPr="00E8065F">
              <w:rPr>
                <w:color w:val="000000"/>
                <w:sz w:val="20"/>
                <w:szCs w:val="20"/>
              </w:rPr>
              <w:t>Верхнеуслонская ЦРБ</w:t>
            </w:r>
            <w:r>
              <w:rPr>
                <w:color w:val="000000"/>
                <w:sz w:val="20"/>
                <w:szCs w:val="20"/>
              </w:rPr>
              <w:t>»</w:t>
            </w:r>
          </w:p>
        </w:tc>
        <w:tc>
          <w:tcPr>
            <w:tcW w:w="1994" w:type="dxa"/>
            <w:tcBorders>
              <w:top w:val="nil"/>
              <w:left w:val="single" w:sz="4" w:space="0" w:color="auto"/>
              <w:bottom w:val="single" w:sz="4" w:space="0" w:color="auto"/>
              <w:right w:val="single" w:sz="4" w:space="0" w:color="auto"/>
            </w:tcBorders>
            <w:shd w:val="clear" w:color="auto" w:fill="auto"/>
          </w:tcPr>
          <w:p w:rsidR="00D06A2F" w:rsidRPr="00E8065F" w:rsidRDefault="00D06A2F" w:rsidP="00D5127A">
            <w:pPr>
              <w:spacing w:line="235" w:lineRule="auto"/>
              <w:jc w:val="center"/>
              <w:rPr>
                <w:color w:val="000000"/>
                <w:sz w:val="20"/>
                <w:szCs w:val="20"/>
              </w:rPr>
            </w:pPr>
            <w:r>
              <w:rPr>
                <w:rFonts w:eastAsia="Calibri"/>
                <w:sz w:val="20"/>
                <w:szCs w:val="20"/>
              </w:rPr>
              <w:t>Фиброгастродуоденоскоп</w:t>
            </w:r>
          </w:p>
        </w:tc>
        <w:tc>
          <w:tcPr>
            <w:tcW w:w="1181" w:type="dxa"/>
            <w:tcBorders>
              <w:bottom w:val="single" w:sz="4" w:space="0" w:color="auto"/>
            </w:tcBorders>
          </w:tcPr>
          <w:p w:rsidR="00D06A2F" w:rsidRPr="00E8065F" w:rsidRDefault="00D06A2F" w:rsidP="00D5127A">
            <w:pPr>
              <w:spacing w:line="235" w:lineRule="auto"/>
              <w:jc w:val="center"/>
              <w:rPr>
                <w:sz w:val="20"/>
                <w:szCs w:val="20"/>
              </w:rPr>
            </w:pPr>
            <w:r w:rsidRPr="00E8065F">
              <w:rPr>
                <w:sz w:val="20"/>
                <w:szCs w:val="20"/>
              </w:rPr>
              <w:t>2021</w:t>
            </w:r>
          </w:p>
        </w:tc>
        <w:tc>
          <w:tcPr>
            <w:tcW w:w="1181" w:type="dxa"/>
            <w:tcBorders>
              <w:top w:val="nil"/>
              <w:left w:val="single" w:sz="4" w:space="0" w:color="auto"/>
              <w:bottom w:val="single" w:sz="4" w:space="0" w:color="auto"/>
              <w:right w:val="single" w:sz="4" w:space="0" w:color="auto"/>
            </w:tcBorders>
            <w:shd w:val="clear" w:color="auto" w:fill="auto"/>
          </w:tcPr>
          <w:p w:rsidR="00D06A2F" w:rsidRPr="00E8065F" w:rsidRDefault="00D06A2F" w:rsidP="00D5127A">
            <w:pPr>
              <w:spacing w:line="235" w:lineRule="auto"/>
              <w:jc w:val="center"/>
              <w:rPr>
                <w:color w:val="000000"/>
                <w:sz w:val="20"/>
                <w:szCs w:val="20"/>
              </w:rPr>
            </w:pPr>
            <w:r w:rsidRPr="00E8065F">
              <w:rPr>
                <w:color w:val="000000"/>
                <w:sz w:val="20"/>
                <w:szCs w:val="20"/>
              </w:rPr>
              <w:t>1</w:t>
            </w:r>
          </w:p>
        </w:tc>
        <w:tc>
          <w:tcPr>
            <w:tcW w:w="1478" w:type="dxa"/>
            <w:tcBorders>
              <w:top w:val="nil"/>
              <w:left w:val="single" w:sz="4" w:space="0" w:color="auto"/>
              <w:bottom w:val="single" w:sz="4" w:space="0" w:color="auto"/>
              <w:right w:val="single" w:sz="4" w:space="0" w:color="auto"/>
            </w:tcBorders>
            <w:shd w:val="clear" w:color="auto" w:fill="auto"/>
          </w:tcPr>
          <w:p w:rsidR="00D06A2F" w:rsidRPr="00E8065F" w:rsidRDefault="00D06A2F" w:rsidP="00D5127A">
            <w:pPr>
              <w:spacing w:line="235" w:lineRule="auto"/>
              <w:jc w:val="center"/>
              <w:rPr>
                <w:color w:val="000000"/>
                <w:sz w:val="20"/>
                <w:szCs w:val="20"/>
              </w:rPr>
            </w:pPr>
            <w:r w:rsidRPr="00E8065F">
              <w:rPr>
                <w:color w:val="000000"/>
                <w:sz w:val="20"/>
                <w:szCs w:val="20"/>
              </w:rPr>
              <w:t>2,9</w:t>
            </w:r>
          </w:p>
        </w:tc>
        <w:tc>
          <w:tcPr>
            <w:tcW w:w="1111" w:type="dxa"/>
            <w:tcBorders>
              <w:top w:val="nil"/>
              <w:left w:val="single" w:sz="4" w:space="0" w:color="auto"/>
              <w:bottom w:val="single" w:sz="4" w:space="0" w:color="auto"/>
              <w:right w:val="single" w:sz="4" w:space="0" w:color="auto"/>
            </w:tcBorders>
            <w:shd w:val="clear" w:color="auto" w:fill="auto"/>
          </w:tcPr>
          <w:p w:rsidR="00D06A2F" w:rsidRPr="00E8065F" w:rsidRDefault="00D06A2F" w:rsidP="00D5127A">
            <w:pPr>
              <w:spacing w:line="235" w:lineRule="auto"/>
              <w:jc w:val="center"/>
              <w:rPr>
                <w:color w:val="000000"/>
                <w:sz w:val="20"/>
                <w:szCs w:val="20"/>
              </w:rPr>
            </w:pPr>
            <w:r w:rsidRPr="00E8065F">
              <w:rPr>
                <w:color w:val="000000"/>
                <w:sz w:val="20"/>
                <w:szCs w:val="20"/>
              </w:rPr>
              <w:t>1</w:t>
            </w:r>
          </w:p>
        </w:tc>
        <w:tc>
          <w:tcPr>
            <w:tcW w:w="1944" w:type="dxa"/>
            <w:tcBorders>
              <w:top w:val="nil"/>
              <w:left w:val="single" w:sz="4" w:space="0" w:color="auto"/>
              <w:bottom w:val="single" w:sz="4" w:space="0" w:color="auto"/>
              <w:right w:val="single" w:sz="4" w:space="0" w:color="auto"/>
            </w:tcBorders>
            <w:shd w:val="clear" w:color="auto" w:fill="auto"/>
          </w:tcPr>
          <w:p w:rsidR="00D06A2F" w:rsidRPr="00E8065F" w:rsidRDefault="00D06A2F" w:rsidP="00D5127A">
            <w:pPr>
              <w:spacing w:line="235" w:lineRule="auto"/>
              <w:jc w:val="center"/>
              <w:rPr>
                <w:color w:val="000000"/>
                <w:sz w:val="20"/>
                <w:szCs w:val="20"/>
              </w:rPr>
            </w:pPr>
            <w:r w:rsidRPr="00E8065F">
              <w:rPr>
                <w:color w:val="000000"/>
                <w:sz w:val="20"/>
                <w:szCs w:val="20"/>
              </w:rPr>
              <w:t>Амбулаторное</w:t>
            </w:r>
          </w:p>
        </w:tc>
      </w:tr>
      <w:tr w:rsidR="00D06A2F" w:rsidRPr="00E8065F" w:rsidTr="00CD3A6F">
        <w:trPr>
          <w:trHeight w:val="20"/>
        </w:trPr>
        <w:tc>
          <w:tcPr>
            <w:tcW w:w="1555" w:type="dxa"/>
            <w:vMerge/>
            <w:tcBorders>
              <w:left w:val="single" w:sz="4" w:space="0" w:color="auto"/>
              <w:right w:val="single" w:sz="4" w:space="0" w:color="auto"/>
            </w:tcBorders>
          </w:tcPr>
          <w:p w:rsidR="00D06A2F" w:rsidRPr="00E8065F" w:rsidRDefault="00D06A2F" w:rsidP="00D5127A">
            <w:pPr>
              <w:spacing w:line="235" w:lineRule="auto"/>
              <w:rPr>
                <w:sz w:val="20"/>
                <w:szCs w:val="20"/>
              </w:rPr>
            </w:pPr>
          </w:p>
        </w:tc>
        <w:tc>
          <w:tcPr>
            <w:tcW w:w="3685" w:type="dxa"/>
            <w:tcBorders>
              <w:top w:val="single" w:sz="4" w:space="0" w:color="auto"/>
              <w:left w:val="single" w:sz="4" w:space="0" w:color="auto"/>
              <w:bottom w:val="single" w:sz="4" w:space="0" w:color="auto"/>
              <w:right w:val="nil"/>
            </w:tcBorders>
            <w:shd w:val="clear" w:color="auto" w:fill="auto"/>
          </w:tcPr>
          <w:p w:rsidR="00D06A2F" w:rsidRPr="00E8065F" w:rsidRDefault="00D06A2F" w:rsidP="00D5127A">
            <w:pPr>
              <w:spacing w:line="235" w:lineRule="auto"/>
              <w:jc w:val="both"/>
              <w:rPr>
                <w:color w:val="000000"/>
                <w:sz w:val="20"/>
                <w:szCs w:val="20"/>
              </w:rPr>
            </w:pPr>
            <w:r w:rsidRPr="00E8065F">
              <w:rPr>
                <w:color w:val="000000"/>
                <w:sz w:val="20"/>
                <w:szCs w:val="20"/>
              </w:rPr>
              <w:t xml:space="preserve">ГАУЗ </w:t>
            </w:r>
            <w:r>
              <w:rPr>
                <w:color w:val="000000"/>
                <w:sz w:val="20"/>
                <w:szCs w:val="20"/>
              </w:rPr>
              <w:t>«</w:t>
            </w:r>
            <w:r w:rsidRPr="00E8065F">
              <w:rPr>
                <w:color w:val="000000"/>
                <w:sz w:val="20"/>
                <w:szCs w:val="20"/>
              </w:rPr>
              <w:t>Высокогорская ЦРБ</w:t>
            </w:r>
            <w:r>
              <w:rPr>
                <w:color w:val="000000"/>
                <w:sz w:val="20"/>
                <w:szCs w:val="20"/>
              </w:rPr>
              <w:t>»</w:t>
            </w:r>
          </w:p>
        </w:tc>
        <w:tc>
          <w:tcPr>
            <w:tcW w:w="1994" w:type="dxa"/>
            <w:tcBorders>
              <w:top w:val="single" w:sz="4" w:space="0" w:color="auto"/>
              <w:left w:val="single" w:sz="4" w:space="0" w:color="auto"/>
              <w:bottom w:val="single" w:sz="4" w:space="0" w:color="auto"/>
              <w:right w:val="single" w:sz="4" w:space="0" w:color="auto"/>
            </w:tcBorders>
            <w:shd w:val="clear" w:color="auto" w:fill="auto"/>
          </w:tcPr>
          <w:p w:rsidR="00D06A2F" w:rsidRPr="00E8065F" w:rsidRDefault="00D06A2F" w:rsidP="00D5127A">
            <w:pPr>
              <w:spacing w:line="235" w:lineRule="auto"/>
              <w:jc w:val="center"/>
              <w:rPr>
                <w:color w:val="000000"/>
                <w:sz w:val="20"/>
                <w:szCs w:val="20"/>
              </w:rPr>
            </w:pPr>
            <w:r>
              <w:rPr>
                <w:rFonts w:eastAsia="Calibri"/>
                <w:sz w:val="20"/>
                <w:szCs w:val="20"/>
              </w:rPr>
              <w:t>Фиброгастродуоденоскоп</w:t>
            </w:r>
          </w:p>
        </w:tc>
        <w:tc>
          <w:tcPr>
            <w:tcW w:w="1181" w:type="dxa"/>
            <w:tcBorders>
              <w:top w:val="single" w:sz="4" w:space="0" w:color="auto"/>
            </w:tcBorders>
          </w:tcPr>
          <w:p w:rsidR="00D06A2F" w:rsidRPr="00E8065F" w:rsidRDefault="00D06A2F" w:rsidP="00D5127A">
            <w:pPr>
              <w:spacing w:line="235" w:lineRule="auto"/>
              <w:jc w:val="center"/>
              <w:rPr>
                <w:sz w:val="20"/>
                <w:szCs w:val="20"/>
              </w:rPr>
            </w:pPr>
            <w:r w:rsidRPr="00E8065F">
              <w:rPr>
                <w:sz w:val="20"/>
                <w:szCs w:val="20"/>
              </w:rPr>
              <w:t>2014</w:t>
            </w:r>
            <w:r w:rsidR="003D79B3">
              <w:rPr>
                <w:sz w:val="20"/>
                <w:szCs w:val="20"/>
              </w:rPr>
              <w:t xml:space="preserve"> </w:t>
            </w:r>
            <w:r w:rsidR="00877BE3">
              <w:rPr>
                <w:sz w:val="20"/>
                <w:szCs w:val="20"/>
              </w:rPr>
              <w:t>(2)</w:t>
            </w:r>
          </w:p>
          <w:p w:rsidR="00D06A2F" w:rsidRPr="00E8065F" w:rsidRDefault="00D06A2F" w:rsidP="00D5127A">
            <w:pPr>
              <w:spacing w:line="235" w:lineRule="auto"/>
              <w:jc w:val="center"/>
              <w:rPr>
                <w:sz w:val="20"/>
                <w:szCs w:val="20"/>
              </w:rPr>
            </w:pPr>
            <w:r w:rsidRPr="00E8065F">
              <w:rPr>
                <w:sz w:val="20"/>
                <w:szCs w:val="20"/>
              </w:rPr>
              <w:t>2018</w:t>
            </w:r>
            <w:r w:rsidR="003D79B3">
              <w:rPr>
                <w:sz w:val="20"/>
                <w:szCs w:val="20"/>
              </w:rPr>
              <w:t xml:space="preserve"> </w:t>
            </w:r>
            <w:r w:rsidR="00877BE3">
              <w:rPr>
                <w:sz w:val="20"/>
                <w:szCs w:val="20"/>
              </w:rPr>
              <w:t>(2)</w:t>
            </w:r>
          </w:p>
        </w:tc>
        <w:tc>
          <w:tcPr>
            <w:tcW w:w="1181" w:type="dxa"/>
            <w:tcBorders>
              <w:top w:val="single" w:sz="4" w:space="0" w:color="auto"/>
              <w:left w:val="single" w:sz="4" w:space="0" w:color="auto"/>
              <w:bottom w:val="single" w:sz="4" w:space="0" w:color="auto"/>
              <w:right w:val="single" w:sz="4" w:space="0" w:color="auto"/>
            </w:tcBorders>
            <w:shd w:val="clear" w:color="auto" w:fill="auto"/>
          </w:tcPr>
          <w:p w:rsidR="00D06A2F" w:rsidRPr="00E8065F" w:rsidRDefault="00D06A2F" w:rsidP="00D5127A">
            <w:pPr>
              <w:spacing w:line="235" w:lineRule="auto"/>
              <w:jc w:val="center"/>
              <w:rPr>
                <w:color w:val="000000"/>
                <w:sz w:val="20"/>
                <w:szCs w:val="20"/>
              </w:rPr>
            </w:pPr>
            <w:r w:rsidRPr="00E8065F">
              <w:rPr>
                <w:color w:val="000000"/>
                <w:sz w:val="20"/>
                <w:szCs w:val="20"/>
              </w:rPr>
              <w:t>4</w:t>
            </w:r>
          </w:p>
        </w:tc>
        <w:tc>
          <w:tcPr>
            <w:tcW w:w="1478" w:type="dxa"/>
            <w:tcBorders>
              <w:top w:val="single" w:sz="4" w:space="0" w:color="auto"/>
              <w:left w:val="single" w:sz="4" w:space="0" w:color="auto"/>
              <w:bottom w:val="single" w:sz="4" w:space="0" w:color="auto"/>
              <w:right w:val="single" w:sz="4" w:space="0" w:color="auto"/>
            </w:tcBorders>
            <w:shd w:val="clear" w:color="auto" w:fill="auto"/>
          </w:tcPr>
          <w:p w:rsidR="00D06A2F" w:rsidRPr="00E8065F" w:rsidRDefault="00D06A2F" w:rsidP="00D5127A">
            <w:pPr>
              <w:spacing w:line="235" w:lineRule="auto"/>
              <w:jc w:val="center"/>
              <w:rPr>
                <w:color w:val="000000"/>
                <w:sz w:val="20"/>
                <w:szCs w:val="20"/>
              </w:rPr>
            </w:pPr>
            <w:r w:rsidRPr="00E8065F">
              <w:rPr>
                <w:color w:val="000000"/>
                <w:sz w:val="20"/>
                <w:szCs w:val="20"/>
              </w:rPr>
              <w:t>6,9</w:t>
            </w:r>
          </w:p>
        </w:tc>
        <w:tc>
          <w:tcPr>
            <w:tcW w:w="1111" w:type="dxa"/>
            <w:tcBorders>
              <w:top w:val="single" w:sz="4" w:space="0" w:color="auto"/>
              <w:left w:val="single" w:sz="4" w:space="0" w:color="auto"/>
              <w:bottom w:val="single" w:sz="4" w:space="0" w:color="auto"/>
              <w:right w:val="single" w:sz="4" w:space="0" w:color="auto"/>
            </w:tcBorders>
            <w:shd w:val="clear" w:color="auto" w:fill="auto"/>
          </w:tcPr>
          <w:p w:rsidR="00D06A2F" w:rsidRPr="00E8065F" w:rsidRDefault="00D06A2F" w:rsidP="00D5127A">
            <w:pPr>
              <w:spacing w:line="235" w:lineRule="auto"/>
              <w:jc w:val="center"/>
              <w:rPr>
                <w:color w:val="000000"/>
                <w:sz w:val="20"/>
                <w:szCs w:val="20"/>
              </w:rPr>
            </w:pPr>
            <w:r w:rsidRPr="00E8065F">
              <w:rPr>
                <w:color w:val="000000"/>
                <w:sz w:val="20"/>
                <w:szCs w:val="20"/>
              </w:rPr>
              <w:t>1</w:t>
            </w:r>
          </w:p>
        </w:tc>
        <w:tc>
          <w:tcPr>
            <w:tcW w:w="1944" w:type="dxa"/>
            <w:tcBorders>
              <w:top w:val="single" w:sz="4" w:space="0" w:color="auto"/>
              <w:left w:val="single" w:sz="4" w:space="0" w:color="auto"/>
              <w:bottom w:val="single" w:sz="4" w:space="0" w:color="auto"/>
              <w:right w:val="single" w:sz="4" w:space="0" w:color="auto"/>
            </w:tcBorders>
            <w:shd w:val="clear" w:color="auto" w:fill="auto"/>
          </w:tcPr>
          <w:p w:rsidR="00D06A2F" w:rsidRPr="00E8065F" w:rsidRDefault="00D06A2F" w:rsidP="00D5127A">
            <w:pPr>
              <w:spacing w:line="235" w:lineRule="auto"/>
              <w:jc w:val="center"/>
              <w:rPr>
                <w:color w:val="000000"/>
                <w:sz w:val="20"/>
                <w:szCs w:val="20"/>
              </w:rPr>
            </w:pPr>
            <w:r w:rsidRPr="00E8065F">
              <w:rPr>
                <w:color w:val="000000"/>
                <w:sz w:val="20"/>
                <w:szCs w:val="20"/>
              </w:rPr>
              <w:t>Амбулаторное/стационарное</w:t>
            </w:r>
          </w:p>
        </w:tc>
      </w:tr>
      <w:tr w:rsidR="00D06A2F" w:rsidRPr="00E8065F" w:rsidTr="00CD3A6F">
        <w:trPr>
          <w:trHeight w:val="20"/>
        </w:trPr>
        <w:tc>
          <w:tcPr>
            <w:tcW w:w="1555" w:type="dxa"/>
            <w:vMerge/>
            <w:tcBorders>
              <w:left w:val="single" w:sz="4" w:space="0" w:color="auto"/>
              <w:right w:val="single" w:sz="4" w:space="0" w:color="auto"/>
            </w:tcBorders>
          </w:tcPr>
          <w:p w:rsidR="00D06A2F" w:rsidRPr="00E8065F" w:rsidRDefault="00D06A2F" w:rsidP="00D5127A">
            <w:pPr>
              <w:spacing w:line="235" w:lineRule="auto"/>
              <w:rPr>
                <w:sz w:val="20"/>
                <w:szCs w:val="20"/>
              </w:rPr>
            </w:pPr>
          </w:p>
        </w:tc>
        <w:tc>
          <w:tcPr>
            <w:tcW w:w="3685" w:type="dxa"/>
            <w:tcBorders>
              <w:top w:val="nil"/>
              <w:left w:val="single" w:sz="4" w:space="0" w:color="auto"/>
              <w:bottom w:val="single" w:sz="4" w:space="0" w:color="auto"/>
              <w:right w:val="nil"/>
            </w:tcBorders>
            <w:shd w:val="clear" w:color="auto" w:fill="auto"/>
          </w:tcPr>
          <w:p w:rsidR="00D06A2F" w:rsidRPr="00E8065F" w:rsidRDefault="00D06A2F" w:rsidP="00D5127A">
            <w:pPr>
              <w:spacing w:line="235" w:lineRule="auto"/>
              <w:jc w:val="both"/>
              <w:rPr>
                <w:color w:val="000000"/>
                <w:sz w:val="20"/>
                <w:szCs w:val="20"/>
              </w:rPr>
            </w:pPr>
            <w:r w:rsidRPr="00E8065F">
              <w:rPr>
                <w:color w:val="000000"/>
                <w:sz w:val="20"/>
                <w:szCs w:val="20"/>
              </w:rPr>
              <w:t xml:space="preserve">ГАУЗ </w:t>
            </w:r>
            <w:r>
              <w:rPr>
                <w:color w:val="000000"/>
                <w:sz w:val="20"/>
                <w:szCs w:val="20"/>
              </w:rPr>
              <w:t>«</w:t>
            </w:r>
            <w:r w:rsidRPr="00E8065F">
              <w:rPr>
                <w:color w:val="000000"/>
                <w:sz w:val="20"/>
                <w:szCs w:val="20"/>
              </w:rPr>
              <w:t>Дрожжановская ЦРБ</w:t>
            </w:r>
            <w:r>
              <w:rPr>
                <w:color w:val="000000"/>
                <w:sz w:val="20"/>
                <w:szCs w:val="20"/>
              </w:rPr>
              <w:t>»</w:t>
            </w:r>
          </w:p>
        </w:tc>
        <w:tc>
          <w:tcPr>
            <w:tcW w:w="1994" w:type="dxa"/>
            <w:tcBorders>
              <w:top w:val="nil"/>
              <w:left w:val="single" w:sz="4" w:space="0" w:color="auto"/>
              <w:bottom w:val="single" w:sz="4" w:space="0" w:color="auto"/>
              <w:right w:val="single" w:sz="4" w:space="0" w:color="auto"/>
            </w:tcBorders>
            <w:shd w:val="clear" w:color="auto" w:fill="auto"/>
          </w:tcPr>
          <w:p w:rsidR="00D06A2F" w:rsidRPr="00E8065F" w:rsidRDefault="00D06A2F" w:rsidP="00D5127A">
            <w:pPr>
              <w:spacing w:line="235" w:lineRule="auto"/>
              <w:jc w:val="center"/>
              <w:rPr>
                <w:color w:val="000000"/>
                <w:sz w:val="20"/>
                <w:szCs w:val="20"/>
              </w:rPr>
            </w:pPr>
            <w:r>
              <w:rPr>
                <w:rFonts w:eastAsia="Calibri"/>
                <w:sz w:val="20"/>
                <w:szCs w:val="20"/>
              </w:rPr>
              <w:t>Фиброгастродуоденоскоп</w:t>
            </w:r>
          </w:p>
        </w:tc>
        <w:tc>
          <w:tcPr>
            <w:tcW w:w="1181" w:type="dxa"/>
          </w:tcPr>
          <w:p w:rsidR="00D06A2F" w:rsidRPr="00E8065F" w:rsidRDefault="00D06A2F" w:rsidP="00D5127A">
            <w:pPr>
              <w:spacing w:line="235" w:lineRule="auto"/>
              <w:jc w:val="center"/>
              <w:rPr>
                <w:sz w:val="20"/>
                <w:szCs w:val="20"/>
              </w:rPr>
            </w:pPr>
            <w:r w:rsidRPr="00E8065F">
              <w:rPr>
                <w:sz w:val="20"/>
                <w:szCs w:val="20"/>
              </w:rPr>
              <w:t>2008</w:t>
            </w:r>
            <w:r w:rsidR="003D79B3">
              <w:rPr>
                <w:sz w:val="20"/>
                <w:szCs w:val="20"/>
              </w:rPr>
              <w:t xml:space="preserve"> </w:t>
            </w:r>
            <w:r w:rsidR="00877BE3">
              <w:rPr>
                <w:sz w:val="20"/>
                <w:szCs w:val="20"/>
              </w:rPr>
              <w:t>(2)</w:t>
            </w:r>
          </w:p>
          <w:p w:rsidR="00D06A2F" w:rsidRPr="00E8065F" w:rsidRDefault="00D06A2F" w:rsidP="00D5127A">
            <w:pPr>
              <w:spacing w:line="235" w:lineRule="auto"/>
              <w:jc w:val="center"/>
              <w:rPr>
                <w:sz w:val="20"/>
                <w:szCs w:val="20"/>
              </w:rPr>
            </w:pPr>
            <w:r w:rsidRPr="00E8065F">
              <w:rPr>
                <w:sz w:val="20"/>
                <w:szCs w:val="20"/>
              </w:rPr>
              <w:t>2023</w:t>
            </w:r>
            <w:r w:rsidR="003D79B3">
              <w:rPr>
                <w:sz w:val="20"/>
                <w:szCs w:val="20"/>
              </w:rPr>
              <w:t xml:space="preserve"> </w:t>
            </w:r>
            <w:r w:rsidR="00877BE3">
              <w:rPr>
                <w:sz w:val="20"/>
                <w:szCs w:val="20"/>
              </w:rPr>
              <w:t>(2)</w:t>
            </w:r>
          </w:p>
        </w:tc>
        <w:tc>
          <w:tcPr>
            <w:tcW w:w="1181" w:type="dxa"/>
            <w:tcBorders>
              <w:top w:val="nil"/>
              <w:left w:val="single" w:sz="4" w:space="0" w:color="auto"/>
              <w:bottom w:val="single" w:sz="4" w:space="0" w:color="auto"/>
              <w:right w:val="single" w:sz="4" w:space="0" w:color="auto"/>
            </w:tcBorders>
            <w:shd w:val="clear" w:color="auto" w:fill="auto"/>
          </w:tcPr>
          <w:p w:rsidR="00D06A2F" w:rsidRPr="00E8065F" w:rsidRDefault="00D06A2F" w:rsidP="00D5127A">
            <w:pPr>
              <w:spacing w:line="235" w:lineRule="auto"/>
              <w:jc w:val="center"/>
              <w:rPr>
                <w:color w:val="000000"/>
                <w:sz w:val="20"/>
                <w:szCs w:val="20"/>
              </w:rPr>
            </w:pPr>
            <w:r w:rsidRPr="00E8065F">
              <w:rPr>
                <w:color w:val="000000"/>
                <w:sz w:val="20"/>
                <w:szCs w:val="20"/>
              </w:rPr>
              <w:t>4</w:t>
            </w:r>
          </w:p>
        </w:tc>
        <w:tc>
          <w:tcPr>
            <w:tcW w:w="1478" w:type="dxa"/>
            <w:tcBorders>
              <w:top w:val="nil"/>
              <w:left w:val="single" w:sz="4" w:space="0" w:color="auto"/>
              <w:bottom w:val="single" w:sz="4" w:space="0" w:color="auto"/>
              <w:right w:val="single" w:sz="4" w:space="0" w:color="auto"/>
            </w:tcBorders>
            <w:shd w:val="clear" w:color="auto" w:fill="auto"/>
          </w:tcPr>
          <w:p w:rsidR="00D06A2F" w:rsidRPr="00E8065F" w:rsidRDefault="00D06A2F" w:rsidP="00D5127A">
            <w:pPr>
              <w:spacing w:line="235" w:lineRule="auto"/>
              <w:jc w:val="center"/>
              <w:rPr>
                <w:color w:val="000000"/>
                <w:sz w:val="20"/>
                <w:szCs w:val="20"/>
              </w:rPr>
            </w:pPr>
            <w:r w:rsidRPr="00E8065F">
              <w:rPr>
                <w:color w:val="000000"/>
                <w:sz w:val="20"/>
                <w:szCs w:val="20"/>
              </w:rPr>
              <w:t>1,3</w:t>
            </w:r>
          </w:p>
        </w:tc>
        <w:tc>
          <w:tcPr>
            <w:tcW w:w="1111" w:type="dxa"/>
            <w:tcBorders>
              <w:top w:val="nil"/>
              <w:left w:val="single" w:sz="4" w:space="0" w:color="auto"/>
              <w:bottom w:val="single" w:sz="4" w:space="0" w:color="auto"/>
              <w:right w:val="single" w:sz="4" w:space="0" w:color="auto"/>
            </w:tcBorders>
            <w:shd w:val="clear" w:color="auto" w:fill="auto"/>
          </w:tcPr>
          <w:p w:rsidR="00D06A2F" w:rsidRPr="00E8065F" w:rsidRDefault="00D06A2F" w:rsidP="00D5127A">
            <w:pPr>
              <w:spacing w:line="235" w:lineRule="auto"/>
              <w:jc w:val="center"/>
              <w:rPr>
                <w:color w:val="000000"/>
                <w:sz w:val="20"/>
                <w:szCs w:val="20"/>
              </w:rPr>
            </w:pPr>
            <w:r w:rsidRPr="00E8065F">
              <w:rPr>
                <w:color w:val="000000"/>
                <w:sz w:val="20"/>
                <w:szCs w:val="20"/>
              </w:rPr>
              <w:t>1</w:t>
            </w:r>
          </w:p>
        </w:tc>
        <w:tc>
          <w:tcPr>
            <w:tcW w:w="1944" w:type="dxa"/>
            <w:tcBorders>
              <w:top w:val="nil"/>
              <w:left w:val="single" w:sz="4" w:space="0" w:color="auto"/>
              <w:bottom w:val="single" w:sz="4" w:space="0" w:color="auto"/>
              <w:right w:val="single" w:sz="4" w:space="0" w:color="auto"/>
            </w:tcBorders>
            <w:shd w:val="clear" w:color="auto" w:fill="auto"/>
          </w:tcPr>
          <w:p w:rsidR="00D06A2F" w:rsidRPr="00E8065F" w:rsidRDefault="00D06A2F" w:rsidP="00D5127A">
            <w:pPr>
              <w:spacing w:line="235" w:lineRule="auto"/>
              <w:jc w:val="center"/>
              <w:rPr>
                <w:color w:val="000000"/>
                <w:sz w:val="20"/>
                <w:szCs w:val="20"/>
              </w:rPr>
            </w:pPr>
            <w:r w:rsidRPr="00E8065F">
              <w:rPr>
                <w:color w:val="000000"/>
                <w:sz w:val="20"/>
                <w:szCs w:val="20"/>
              </w:rPr>
              <w:t>Амбулаторное</w:t>
            </w:r>
          </w:p>
        </w:tc>
      </w:tr>
      <w:tr w:rsidR="00D06A2F" w:rsidRPr="00E8065F" w:rsidTr="00CD3A6F">
        <w:trPr>
          <w:trHeight w:val="20"/>
        </w:trPr>
        <w:tc>
          <w:tcPr>
            <w:tcW w:w="1555" w:type="dxa"/>
            <w:vMerge/>
            <w:tcBorders>
              <w:left w:val="single" w:sz="4" w:space="0" w:color="auto"/>
              <w:right w:val="single" w:sz="4" w:space="0" w:color="auto"/>
            </w:tcBorders>
          </w:tcPr>
          <w:p w:rsidR="00D06A2F" w:rsidRPr="00E8065F" w:rsidRDefault="00D06A2F" w:rsidP="00D5127A">
            <w:pPr>
              <w:spacing w:line="235" w:lineRule="auto"/>
              <w:rPr>
                <w:sz w:val="20"/>
                <w:szCs w:val="20"/>
              </w:rPr>
            </w:pPr>
          </w:p>
        </w:tc>
        <w:tc>
          <w:tcPr>
            <w:tcW w:w="3685" w:type="dxa"/>
            <w:tcBorders>
              <w:top w:val="nil"/>
              <w:left w:val="single" w:sz="4" w:space="0" w:color="auto"/>
              <w:bottom w:val="single" w:sz="4" w:space="0" w:color="auto"/>
              <w:right w:val="nil"/>
            </w:tcBorders>
            <w:shd w:val="clear" w:color="auto" w:fill="auto"/>
          </w:tcPr>
          <w:p w:rsidR="00D06A2F" w:rsidRPr="00E8065F" w:rsidRDefault="00D06A2F" w:rsidP="00D5127A">
            <w:pPr>
              <w:spacing w:line="235" w:lineRule="auto"/>
              <w:jc w:val="both"/>
              <w:rPr>
                <w:color w:val="000000"/>
                <w:sz w:val="20"/>
                <w:szCs w:val="20"/>
              </w:rPr>
            </w:pPr>
            <w:r w:rsidRPr="00E8065F">
              <w:rPr>
                <w:color w:val="000000"/>
                <w:sz w:val="20"/>
                <w:szCs w:val="20"/>
              </w:rPr>
              <w:t xml:space="preserve">ГАУЗ </w:t>
            </w:r>
            <w:r>
              <w:rPr>
                <w:color w:val="000000"/>
                <w:sz w:val="20"/>
                <w:szCs w:val="20"/>
              </w:rPr>
              <w:t>«</w:t>
            </w:r>
            <w:r w:rsidRPr="00E8065F">
              <w:rPr>
                <w:color w:val="000000"/>
                <w:sz w:val="20"/>
                <w:szCs w:val="20"/>
              </w:rPr>
              <w:t>Елабужская ЦРБ</w:t>
            </w:r>
            <w:r>
              <w:rPr>
                <w:color w:val="000000"/>
                <w:sz w:val="20"/>
                <w:szCs w:val="20"/>
              </w:rPr>
              <w:t>»</w:t>
            </w:r>
          </w:p>
        </w:tc>
        <w:tc>
          <w:tcPr>
            <w:tcW w:w="1994" w:type="dxa"/>
            <w:tcBorders>
              <w:top w:val="nil"/>
              <w:left w:val="single" w:sz="4" w:space="0" w:color="auto"/>
              <w:bottom w:val="single" w:sz="4" w:space="0" w:color="auto"/>
              <w:right w:val="single" w:sz="4" w:space="0" w:color="auto"/>
            </w:tcBorders>
            <w:shd w:val="clear" w:color="auto" w:fill="auto"/>
          </w:tcPr>
          <w:p w:rsidR="00D06A2F" w:rsidRPr="00E8065F" w:rsidRDefault="00D06A2F" w:rsidP="00D5127A">
            <w:pPr>
              <w:spacing w:line="235" w:lineRule="auto"/>
              <w:jc w:val="center"/>
              <w:rPr>
                <w:color w:val="000000"/>
                <w:sz w:val="20"/>
                <w:szCs w:val="20"/>
              </w:rPr>
            </w:pPr>
            <w:r>
              <w:rPr>
                <w:rFonts w:eastAsia="Calibri"/>
                <w:sz w:val="20"/>
                <w:szCs w:val="20"/>
              </w:rPr>
              <w:t>Фиброгастродуоденоскоп</w:t>
            </w:r>
          </w:p>
        </w:tc>
        <w:tc>
          <w:tcPr>
            <w:tcW w:w="1181" w:type="dxa"/>
          </w:tcPr>
          <w:p w:rsidR="00D06A2F" w:rsidRPr="00E8065F" w:rsidRDefault="00D06A2F" w:rsidP="00D5127A">
            <w:pPr>
              <w:spacing w:line="235" w:lineRule="auto"/>
              <w:jc w:val="center"/>
              <w:rPr>
                <w:sz w:val="20"/>
                <w:szCs w:val="20"/>
              </w:rPr>
            </w:pPr>
            <w:r w:rsidRPr="00E8065F">
              <w:rPr>
                <w:sz w:val="20"/>
                <w:szCs w:val="20"/>
              </w:rPr>
              <w:t>2013</w:t>
            </w:r>
            <w:r w:rsidR="003D79B3">
              <w:rPr>
                <w:sz w:val="20"/>
                <w:szCs w:val="20"/>
              </w:rPr>
              <w:t xml:space="preserve"> </w:t>
            </w:r>
            <w:r w:rsidR="00877BE3">
              <w:rPr>
                <w:sz w:val="20"/>
                <w:szCs w:val="20"/>
              </w:rPr>
              <w:t>(3)</w:t>
            </w:r>
          </w:p>
        </w:tc>
        <w:tc>
          <w:tcPr>
            <w:tcW w:w="1181" w:type="dxa"/>
            <w:tcBorders>
              <w:top w:val="nil"/>
              <w:left w:val="single" w:sz="4" w:space="0" w:color="auto"/>
              <w:bottom w:val="single" w:sz="4" w:space="0" w:color="auto"/>
              <w:right w:val="single" w:sz="4" w:space="0" w:color="auto"/>
            </w:tcBorders>
            <w:shd w:val="clear" w:color="auto" w:fill="auto"/>
          </w:tcPr>
          <w:p w:rsidR="00D06A2F" w:rsidRPr="00E8065F" w:rsidRDefault="00D06A2F" w:rsidP="00D5127A">
            <w:pPr>
              <w:spacing w:line="235" w:lineRule="auto"/>
              <w:jc w:val="center"/>
              <w:rPr>
                <w:color w:val="000000"/>
                <w:sz w:val="20"/>
                <w:szCs w:val="20"/>
              </w:rPr>
            </w:pPr>
            <w:r w:rsidRPr="00E8065F">
              <w:rPr>
                <w:color w:val="000000"/>
                <w:sz w:val="20"/>
                <w:szCs w:val="20"/>
              </w:rPr>
              <w:t>3</w:t>
            </w:r>
          </w:p>
        </w:tc>
        <w:tc>
          <w:tcPr>
            <w:tcW w:w="1478" w:type="dxa"/>
            <w:tcBorders>
              <w:top w:val="nil"/>
              <w:left w:val="single" w:sz="4" w:space="0" w:color="auto"/>
              <w:bottom w:val="single" w:sz="4" w:space="0" w:color="auto"/>
              <w:right w:val="single" w:sz="4" w:space="0" w:color="auto"/>
            </w:tcBorders>
            <w:shd w:val="clear" w:color="auto" w:fill="auto"/>
          </w:tcPr>
          <w:p w:rsidR="00D06A2F" w:rsidRPr="00E8065F" w:rsidRDefault="00D06A2F" w:rsidP="00D5127A">
            <w:pPr>
              <w:spacing w:line="235" w:lineRule="auto"/>
              <w:jc w:val="center"/>
              <w:rPr>
                <w:color w:val="000000"/>
                <w:sz w:val="20"/>
                <w:szCs w:val="20"/>
              </w:rPr>
            </w:pPr>
            <w:r w:rsidRPr="00E8065F">
              <w:rPr>
                <w:color w:val="000000"/>
                <w:sz w:val="20"/>
                <w:szCs w:val="20"/>
              </w:rPr>
              <w:t>13,7</w:t>
            </w:r>
          </w:p>
        </w:tc>
        <w:tc>
          <w:tcPr>
            <w:tcW w:w="1111" w:type="dxa"/>
            <w:tcBorders>
              <w:top w:val="nil"/>
              <w:left w:val="single" w:sz="4" w:space="0" w:color="auto"/>
              <w:bottom w:val="single" w:sz="4" w:space="0" w:color="auto"/>
              <w:right w:val="single" w:sz="4" w:space="0" w:color="auto"/>
            </w:tcBorders>
            <w:shd w:val="clear" w:color="auto" w:fill="auto"/>
          </w:tcPr>
          <w:p w:rsidR="00D06A2F" w:rsidRPr="00E8065F" w:rsidRDefault="00D06A2F" w:rsidP="00D5127A">
            <w:pPr>
              <w:spacing w:line="235" w:lineRule="auto"/>
              <w:jc w:val="center"/>
              <w:rPr>
                <w:color w:val="000000"/>
                <w:sz w:val="20"/>
                <w:szCs w:val="20"/>
              </w:rPr>
            </w:pPr>
            <w:r w:rsidRPr="00E8065F">
              <w:rPr>
                <w:color w:val="000000"/>
                <w:sz w:val="20"/>
                <w:szCs w:val="20"/>
              </w:rPr>
              <w:t>1</w:t>
            </w:r>
          </w:p>
        </w:tc>
        <w:tc>
          <w:tcPr>
            <w:tcW w:w="1944" w:type="dxa"/>
            <w:tcBorders>
              <w:top w:val="nil"/>
              <w:left w:val="single" w:sz="4" w:space="0" w:color="auto"/>
              <w:bottom w:val="single" w:sz="4" w:space="0" w:color="auto"/>
              <w:right w:val="single" w:sz="4" w:space="0" w:color="auto"/>
            </w:tcBorders>
            <w:shd w:val="clear" w:color="auto" w:fill="auto"/>
          </w:tcPr>
          <w:p w:rsidR="00D06A2F" w:rsidRPr="00E8065F" w:rsidRDefault="00D06A2F" w:rsidP="00D5127A">
            <w:pPr>
              <w:spacing w:line="235" w:lineRule="auto"/>
              <w:jc w:val="center"/>
              <w:rPr>
                <w:color w:val="000000"/>
                <w:sz w:val="20"/>
                <w:szCs w:val="20"/>
              </w:rPr>
            </w:pPr>
            <w:r w:rsidRPr="00E8065F">
              <w:rPr>
                <w:color w:val="000000"/>
                <w:sz w:val="20"/>
                <w:szCs w:val="20"/>
              </w:rPr>
              <w:t>Амбулаторное/стационарное</w:t>
            </w:r>
          </w:p>
        </w:tc>
      </w:tr>
      <w:tr w:rsidR="00D06A2F" w:rsidRPr="00E8065F" w:rsidTr="00CD3A6F">
        <w:trPr>
          <w:trHeight w:val="20"/>
        </w:trPr>
        <w:tc>
          <w:tcPr>
            <w:tcW w:w="1555" w:type="dxa"/>
            <w:vMerge/>
            <w:tcBorders>
              <w:left w:val="single" w:sz="4" w:space="0" w:color="auto"/>
              <w:right w:val="single" w:sz="4" w:space="0" w:color="auto"/>
            </w:tcBorders>
          </w:tcPr>
          <w:p w:rsidR="00D06A2F" w:rsidRPr="00E8065F" w:rsidRDefault="00D06A2F" w:rsidP="00D5127A">
            <w:pPr>
              <w:spacing w:line="235" w:lineRule="auto"/>
              <w:rPr>
                <w:sz w:val="20"/>
                <w:szCs w:val="20"/>
              </w:rPr>
            </w:pPr>
          </w:p>
        </w:tc>
        <w:tc>
          <w:tcPr>
            <w:tcW w:w="3685" w:type="dxa"/>
            <w:tcBorders>
              <w:top w:val="nil"/>
              <w:left w:val="single" w:sz="4" w:space="0" w:color="auto"/>
              <w:bottom w:val="single" w:sz="4" w:space="0" w:color="auto"/>
              <w:right w:val="nil"/>
            </w:tcBorders>
            <w:shd w:val="clear" w:color="auto" w:fill="auto"/>
          </w:tcPr>
          <w:p w:rsidR="00D06A2F" w:rsidRPr="00E8065F" w:rsidRDefault="00D06A2F" w:rsidP="00D5127A">
            <w:pPr>
              <w:spacing w:line="235" w:lineRule="auto"/>
              <w:jc w:val="both"/>
              <w:rPr>
                <w:color w:val="000000"/>
                <w:sz w:val="20"/>
                <w:szCs w:val="20"/>
              </w:rPr>
            </w:pPr>
            <w:r w:rsidRPr="00E8065F">
              <w:rPr>
                <w:color w:val="000000"/>
                <w:sz w:val="20"/>
                <w:szCs w:val="20"/>
              </w:rPr>
              <w:t xml:space="preserve">ГАУЗ </w:t>
            </w:r>
            <w:r>
              <w:rPr>
                <w:color w:val="000000"/>
                <w:sz w:val="20"/>
                <w:szCs w:val="20"/>
              </w:rPr>
              <w:t>«</w:t>
            </w:r>
            <w:r w:rsidRPr="00E8065F">
              <w:rPr>
                <w:color w:val="000000"/>
                <w:sz w:val="20"/>
                <w:szCs w:val="20"/>
              </w:rPr>
              <w:t>Заинская ЦРБ</w:t>
            </w:r>
            <w:r>
              <w:rPr>
                <w:color w:val="000000"/>
                <w:sz w:val="20"/>
                <w:szCs w:val="20"/>
              </w:rPr>
              <w:t>»</w:t>
            </w:r>
          </w:p>
        </w:tc>
        <w:tc>
          <w:tcPr>
            <w:tcW w:w="1994" w:type="dxa"/>
            <w:tcBorders>
              <w:top w:val="nil"/>
              <w:left w:val="single" w:sz="4" w:space="0" w:color="auto"/>
              <w:bottom w:val="single" w:sz="4" w:space="0" w:color="auto"/>
              <w:right w:val="single" w:sz="4" w:space="0" w:color="auto"/>
            </w:tcBorders>
            <w:shd w:val="clear" w:color="auto" w:fill="auto"/>
          </w:tcPr>
          <w:p w:rsidR="00D06A2F" w:rsidRPr="00E8065F" w:rsidRDefault="00D06A2F" w:rsidP="00D5127A">
            <w:pPr>
              <w:spacing w:line="235" w:lineRule="auto"/>
              <w:jc w:val="center"/>
              <w:rPr>
                <w:color w:val="000000"/>
                <w:sz w:val="20"/>
                <w:szCs w:val="20"/>
              </w:rPr>
            </w:pPr>
            <w:r>
              <w:rPr>
                <w:rFonts w:eastAsia="Calibri"/>
                <w:sz w:val="20"/>
                <w:szCs w:val="20"/>
              </w:rPr>
              <w:t>Фиброгастродуоденоскоп</w:t>
            </w:r>
          </w:p>
        </w:tc>
        <w:tc>
          <w:tcPr>
            <w:tcW w:w="1181" w:type="dxa"/>
          </w:tcPr>
          <w:p w:rsidR="00D06A2F" w:rsidRPr="00E8065F" w:rsidRDefault="00D06A2F" w:rsidP="00D5127A">
            <w:pPr>
              <w:spacing w:line="235" w:lineRule="auto"/>
              <w:jc w:val="center"/>
              <w:rPr>
                <w:sz w:val="20"/>
                <w:szCs w:val="20"/>
              </w:rPr>
            </w:pPr>
            <w:r w:rsidRPr="00E8065F">
              <w:rPr>
                <w:sz w:val="20"/>
                <w:szCs w:val="20"/>
              </w:rPr>
              <w:t>2017</w:t>
            </w:r>
            <w:r w:rsidR="003D79B3">
              <w:rPr>
                <w:sz w:val="20"/>
                <w:szCs w:val="20"/>
              </w:rPr>
              <w:t xml:space="preserve"> </w:t>
            </w:r>
            <w:r w:rsidR="00877BE3">
              <w:rPr>
                <w:sz w:val="20"/>
                <w:szCs w:val="20"/>
              </w:rPr>
              <w:t>(1)</w:t>
            </w:r>
          </w:p>
          <w:p w:rsidR="00D06A2F" w:rsidRPr="00E8065F" w:rsidRDefault="00D06A2F" w:rsidP="00D5127A">
            <w:pPr>
              <w:spacing w:line="235" w:lineRule="auto"/>
              <w:jc w:val="center"/>
              <w:rPr>
                <w:sz w:val="20"/>
                <w:szCs w:val="20"/>
              </w:rPr>
            </w:pPr>
            <w:r w:rsidRPr="00E8065F">
              <w:rPr>
                <w:sz w:val="20"/>
                <w:szCs w:val="20"/>
              </w:rPr>
              <w:t>2018</w:t>
            </w:r>
            <w:r w:rsidR="003D79B3">
              <w:rPr>
                <w:sz w:val="20"/>
                <w:szCs w:val="20"/>
              </w:rPr>
              <w:t xml:space="preserve"> </w:t>
            </w:r>
            <w:r w:rsidR="00877BE3">
              <w:rPr>
                <w:sz w:val="20"/>
                <w:szCs w:val="20"/>
              </w:rPr>
              <w:t>(2)</w:t>
            </w:r>
          </w:p>
        </w:tc>
        <w:tc>
          <w:tcPr>
            <w:tcW w:w="1181" w:type="dxa"/>
            <w:tcBorders>
              <w:top w:val="nil"/>
              <w:left w:val="single" w:sz="4" w:space="0" w:color="auto"/>
              <w:bottom w:val="single" w:sz="4" w:space="0" w:color="auto"/>
              <w:right w:val="single" w:sz="4" w:space="0" w:color="auto"/>
            </w:tcBorders>
            <w:shd w:val="clear" w:color="auto" w:fill="auto"/>
          </w:tcPr>
          <w:p w:rsidR="00D06A2F" w:rsidRPr="00E8065F" w:rsidRDefault="00D06A2F" w:rsidP="00D5127A">
            <w:pPr>
              <w:spacing w:line="235" w:lineRule="auto"/>
              <w:jc w:val="center"/>
              <w:rPr>
                <w:color w:val="000000"/>
                <w:sz w:val="20"/>
                <w:szCs w:val="20"/>
              </w:rPr>
            </w:pPr>
            <w:r w:rsidRPr="00E8065F">
              <w:rPr>
                <w:color w:val="000000"/>
                <w:sz w:val="20"/>
                <w:szCs w:val="20"/>
              </w:rPr>
              <w:t>3</w:t>
            </w:r>
          </w:p>
        </w:tc>
        <w:tc>
          <w:tcPr>
            <w:tcW w:w="1478" w:type="dxa"/>
            <w:tcBorders>
              <w:top w:val="nil"/>
              <w:left w:val="single" w:sz="4" w:space="0" w:color="auto"/>
              <w:bottom w:val="single" w:sz="4" w:space="0" w:color="auto"/>
              <w:right w:val="single" w:sz="4" w:space="0" w:color="auto"/>
            </w:tcBorders>
            <w:shd w:val="clear" w:color="auto" w:fill="auto"/>
          </w:tcPr>
          <w:p w:rsidR="00D06A2F" w:rsidRPr="00E8065F" w:rsidRDefault="00D06A2F" w:rsidP="00D5127A">
            <w:pPr>
              <w:spacing w:line="235" w:lineRule="auto"/>
              <w:jc w:val="center"/>
              <w:rPr>
                <w:color w:val="000000"/>
                <w:sz w:val="20"/>
                <w:szCs w:val="20"/>
              </w:rPr>
            </w:pPr>
            <w:r w:rsidRPr="00E8065F">
              <w:rPr>
                <w:color w:val="000000"/>
                <w:sz w:val="20"/>
                <w:szCs w:val="20"/>
              </w:rPr>
              <w:t>8,3</w:t>
            </w:r>
          </w:p>
        </w:tc>
        <w:tc>
          <w:tcPr>
            <w:tcW w:w="1111" w:type="dxa"/>
            <w:tcBorders>
              <w:top w:val="nil"/>
              <w:left w:val="single" w:sz="4" w:space="0" w:color="auto"/>
              <w:bottom w:val="single" w:sz="4" w:space="0" w:color="auto"/>
              <w:right w:val="single" w:sz="4" w:space="0" w:color="auto"/>
            </w:tcBorders>
            <w:shd w:val="clear" w:color="auto" w:fill="auto"/>
          </w:tcPr>
          <w:p w:rsidR="00D06A2F" w:rsidRPr="00E8065F" w:rsidRDefault="00D06A2F" w:rsidP="00D5127A">
            <w:pPr>
              <w:spacing w:line="235" w:lineRule="auto"/>
              <w:jc w:val="center"/>
              <w:rPr>
                <w:color w:val="000000"/>
                <w:sz w:val="20"/>
                <w:szCs w:val="20"/>
              </w:rPr>
            </w:pPr>
            <w:r w:rsidRPr="00E8065F">
              <w:rPr>
                <w:color w:val="000000"/>
                <w:sz w:val="20"/>
                <w:szCs w:val="20"/>
              </w:rPr>
              <w:t>1</w:t>
            </w:r>
          </w:p>
        </w:tc>
        <w:tc>
          <w:tcPr>
            <w:tcW w:w="1944" w:type="dxa"/>
            <w:tcBorders>
              <w:top w:val="nil"/>
              <w:left w:val="single" w:sz="4" w:space="0" w:color="auto"/>
              <w:bottom w:val="single" w:sz="4" w:space="0" w:color="auto"/>
              <w:right w:val="single" w:sz="4" w:space="0" w:color="auto"/>
            </w:tcBorders>
            <w:shd w:val="clear" w:color="auto" w:fill="auto"/>
          </w:tcPr>
          <w:p w:rsidR="00D06A2F" w:rsidRPr="00E8065F" w:rsidRDefault="00D06A2F" w:rsidP="00D5127A">
            <w:pPr>
              <w:spacing w:line="235" w:lineRule="auto"/>
              <w:jc w:val="center"/>
              <w:rPr>
                <w:color w:val="000000"/>
                <w:sz w:val="20"/>
                <w:szCs w:val="20"/>
              </w:rPr>
            </w:pPr>
            <w:r w:rsidRPr="00E8065F">
              <w:rPr>
                <w:color w:val="000000"/>
                <w:sz w:val="20"/>
                <w:szCs w:val="20"/>
              </w:rPr>
              <w:t>Амбулаторное/стационарное</w:t>
            </w:r>
          </w:p>
        </w:tc>
      </w:tr>
      <w:tr w:rsidR="00D06A2F" w:rsidRPr="00E8065F" w:rsidTr="00CD3A6F">
        <w:trPr>
          <w:trHeight w:val="20"/>
        </w:trPr>
        <w:tc>
          <w:tcPr>
            <w:tcW w:w="1555" w:type="dxa"/>
            <w:vMerge/>
            <w:tcBorders>
              <w:left w:val="single" w:sz="4" w:space="0" w:color="auto"/>
              <w:right w:val="single" w:sz="4" w:space="0" w:color="auto"/>
            </w:tcBorders>
          </w:tcPr>
          <w:p w:rsidR="00D06A2F" w:rsidRPr="00E8065F" w:rsidRDefault="00D06A2F" w:rsidP="00D5127A">
            <w:pPr>
              <w:spacing w:line="235" w:lineRule="auto"/>
              <w:rPr>
                <w:sz w:val="20"/>
                <w:szCs w:val="20"/>
              </w:rPr>
            </w:pPr>
          </w:p>
        </w:tc>
        <w:tc>
          <w:tcPr>
            <w:tcW w:w="3685" w:type="dxa"/>
            <w:tcBorders>
              <w:top w:val="nil"/>
              <w:left w:val="single" w:sz="4" w:space="0" w:color="auto"/>
              <w:bottom w:val="single" w:sz="4" w:space="0" w:color="auto"/>
              <w:right w:val="nil"/>
            </w:tcBorders>
            <w:shd w:val="clear" w:color="auto" w:fill="auto"/>
          </w:tcPr>
          <w:p w:rsidR="00D06A2F" w:rsidRPr="00E8065F" w:rsidRDefault="00D06A2F" w:rsidP="00D5127A">
            <w:pPr>
              <w:spacing w:line="235" w:lineRule="auto"/>
              <w:jc w:val="both"/>
              <w:rPr>
                <w:color w:val="000000"/>
                <w:sz w:val="20"/>
                <w:szCs w:val="20"/>
              </w:rPr>
            </w:pPr>
            <w:r w:rsidRPr="00E8065F">
              <w:rPr>
                <w:color w:val="000000"/>
                <w:sz w:val="20"/>
                <w:szCs w:val="20"/>
              </w:rPr>
              <w:t xml:space="preserve">ГАУЗ </w:t>
            </w:r>
            <w:r>
              <w:rPr>
                <w:color w:val="000000"/>
                <w:sz w:val="20"/>
                <w:szCs w:val="20"/>
              </w:rPr>
              <w:t>«</w:t>
            </w:r>
            <w:r w:rsidRPr="00E8065F">
              <w:rPr>
                <w:color w:val="000000"/>
                <w:sz w:val="20"/>
                <w:szCs w:val="20"/>
              </w:rPr>
              <w:t>Зеленодольская ЦРБ</w:t>
            </w:r>
            <w:r>
              <w:rPr>
                <w:color w:val="000000"/>
                <w:sz w:val="20"/>
                <w:szCs w:val="20"/>
              </w:rPr>
              <w:t>»</w:t>
            </w:r>
          </w:p>
        </w:tc>
        <w:tc>
          <w:tcPr>
            <w:tcW w:w="1994" w:type="dxa"/>
            <w:tcBorders>
              <w:top w:val="nil"/>
              <w:left w:val="single" w:sz="4" w:space="0" w:color="auto"/>
              <w:bottom w:val="single" w:sz="4" w:space="0" w:color="auto"/>
              <w:right w:val="single" w:sz="4" w:space="0" w:color="auto"/>
            </w:tcBorders>
            <w:shd w:val="clear" w:color="auto" w:fill="auto"/>
          </w:tcPr>
          <w:p w:rsidR="00D06A2F" w:rsidRPr="00E8065F" w:rsidRDefault="00D06A2F" w:rsidP="00D5127A">
            <w:pPr>
              <w:spacing w:line="235" w:lineRule="auto"/>
              <w:jc w:val="center"/>
              <w:rPr>
                <w:color w:val="000000"/>
                <w:sz w:val="20"/>
                <w:szCs w:val="20"/>
              </w:rPr>
            </w:pPr>
            <w:r>
              <w:rPr>
                <w:rFonts w:eastAsia="Calibri"/>
                <w:sz w:val="20"/>
                <w:szCs w:val="20"/>
              </w:rPr>
              <w:t>Фиброгастродуоденоскоп</w:t>
            </w:r>
          </w:p>
        </w:tc>
        <w:tc>
          <w:tcPr>
            <w:tcW w:w="1181" w:type="dxa"/>
          </w:tcPr>
          <w:p w:rsidR="00D06A2F" w:rsidRPr="00E8065F" w:rsidRDefault="00D06A2F" w:rsidP="00D5127A">
            <w:pPr>
              <w:spacing w:line="235" w:lineRule="auto"/>
              <w:jc w:val="center"/>
              <w:rPr>
                <w:sz w:val="20"/>
                <w:szCs w:val="20"/>
              </w:rPr>
            </w:pPr>
            <w:r w:rsidRPr="00E8065F">
              <w:rPr>
                <w:sz w:val="20"/>
                <w:szCs w:val="20"/>
              </w:rPr>
              <w:t>2008</w:t>
            </w:r>
            <w:r w:rsidR="003D79B3">
              <w:rPr>
                <w:sz w:val="20"/>
                <w:szCs w:val="20"/>
              </w:rPr>
              <w:t xml:space="preserve"> </w:t>
            </w:r>
            <w:r w:rsidR="00877BE3">
              <w:rPr>
                <w:sz w:val="20"/>
                <w:szCs w:val="20"/>
              </w:rPr>
              <w:t>(4)</w:t>
            </w:r>
          </w:p>
          <w:p w:rsidR="00D06A2F" w:rsidRPr="00E8065F" w:rsidRDefault="00D06A2F" w:rsidP="00D5127A">
            <w:pPr>
              <w:spacing w:line="235" w:lineRule="auto"/>
              <w:jc w:val="center"/>
              <w:rPr>
                <w:sz w:val="20"/>
                <w:szCs w:val="20"/>
              </w:rPr>
            </w:pPr>
            <w:r w:rsidRPr="00E8065F">
              <w:rPr>
                <w:sz w:val="20"/>
                <w:szCs w:val="20"/>
              </w:rPr>
              <w:t>2016</w:t>
            </w:r>
            <w:r w:rsidR="003D79B3">
              <w:rPr>
                <w:sz w:val="20"/>
                <w:szCs w:val="20"/>
              </w:rPr>
              <w:t xml:space="preserve"> </w:t>
            </w:r>
            <w:r w:rsidR="00877BE3">
              <w:rPr>
                <w:sz w:val="20"/>
                <w:szCs w:val="20"/>
              </w:rPr>
              <w:t>(1)</w:t>
            </w:r>
          </w:p>
          <w:p w:rsidR="00D06A2F" w:rsidRPr="00E8065F" w:rsidRDefault="00D06A2F" w:rsidP="00D5127A">
            <w:pPr>
              <w:spacing w:line="235" w:lineRule="auto"/>
              <w:jc w:val="center"/>
              <w:rPr>
                <w:sz w:val="20"/>
                <w:szCs w:val="20"/>
              </w:rPr>
            </w:pPr>
            <w:r w:rsidRPr="00E8065F">
              <w:rPr>
                <w:sz w:val="20"/>
                <w:szCs w:val="20"/>
              </w:rPr>
              <w:t>2017</w:t>
            </w:r>
            <w:r w:rsidR="003D79B3">
              <w:rPr>
                <w:sz w:val="20"/>
                <w:szCs w:val="20"/>
              </w:rPr>
              <w:t xml:space="preserve"> </w:t>
            </w:r>
            <w:r w:rsidR="00877BE3">
              <w:rPr>
                <w:sz w:val="20"/>
                <w:szCs w:val="20"/>
              </w:rPr>
              <w:t>(3)</w:t>
            </w:r>
          </w:p>
          <w:p w:rsidR="00D06A2F" w:rsidRPr="00E8065F" w:rsidRDefault="00D06A2F" w:rsidP="00D5127A">
            <w:pPr>
              <w:spacing w:line="235" w:lineRule="auto"/>
              <w:jc w:val="center"/>
              <w:rPr>
                <w:sz w:val="20"/>
                <w:szCs w:val="20"/>
              </w:rPr>
            </w:pPr>
            <w:r w:rsidRPr="00E8065F">
              <w:rPr>
                <w:sz w:val="20"/>
                <w:szCs w:val="20"/>
              </w:rPr>
              <w:t>2018</w:t>
            </w:r>
            <w:r w:rsidR="003D79B3">
              <w:rPr>
                <w:sz w:val="20"/>
                <w:szCs w:val="20"/>
              </w:rPr>
              <w:t xml:space="preserve"> </w:t>
            </w:r>
            <w:r w:rsidR="00877BE3">
              <w:rPr>
                <w:sz w:val="20"/>
                <w:szCs w:val="20"/>
              </w:rPr>
              <w:t>(1)</w:t>
            </w:r>
          </w:p>
          <w:p w:rsidR="00D06A2F" w:rsidRPr="00E8065F" w:rsidRDefault="00D06A2F" w:rsidP="00D5127A">
            <w:pPr>
              <w:spacing w:line="235" w:lineRule="auto"/>
              <w:jc w:val="center"/>
              <w:rPr>
                <w:sz w:val="20"/>
                <w:szCs w:val="20"/>
              </w:rPr>
            </w:pPr>
            <w:r w:rsidRPr="00E8065F">
              <w:rPr>
                <w:sz w:val="20"/>
                <w:szCs w:val="20"/>
              </w:rPr>
              <w:t>2021</w:t>
            </w:r>
            <w:r w:rsidR="003D79B3">
              <w:rPr>
                <w:sz w:val="20"/>
                <w:szCs w:val="20"/>
              </w:rPr>
              <w:t xml:space="preserve"> </w:t>
            </w:r>
            <w:r w:rsidR="00877BE3">
              <w:rPr>
                <w:sz w:val="20"/>
                <w:szCs w:val="20"/>
              </w:rPr>
              <w:t>(4)</w:t>
            </w:r>
          </w:p>
          <w:p w:rsidR="00D06A2F" w:rsidRPr="00E8065F" w:rsidRDefault="00D06A2F" w:rsidP="00D5127A">
            <w:pPr>
              <w:spacing w:line="235" w:lineRule="auto"/>
              <w:jc w:val="center"/>
              <w:rPr>
                <w:sz w:val="20"/>
                <w:szCs w:val="20"/>
              </w:rPr>
            </w:pPr>
            <w:r w:rsidRPr="00E8065F">
              <w:rPr>
                <w:sz w:val="20"/>
                <w:szCs w:val="20"/>
              </w:rPr>
              <w:t>2022</w:t>
            </w:r>
            <w:r w:rsidR="003D79B3">
              <w:rPr>
                <w:sz w:val="20"/>
                <w:szCs w:val="20"/>
              </w:rPr>
              <w:t xml:space="preserve"> </w:t>
            </w:r>
            <w:r w:rsidR="00877BE3">
              <w:rPr>
                <w:sz w:val="20"/>
                <w:szCs w:val="20"/>
              </w:rPr>
              <w:t>(3)</w:t>
            </w:r>
          </w:p>
          <w:p w:rsidR="00D06A2F" w:rsidRPr="00E8065F" w:rsidRDefault="00D06A2F" w:rsidP="00D5127A">
            <w:pPr>
              <w:spacing w:line="235" w:lineRule="auto"/>
              <w:jc w:val="center"/>
              <w:rPr>
                <w:sz w:val="20"/>
                <w:szCs w:val="20"/>
              </w:rPr>
            </w:pPr>
            <w:r w:rsidRPr="00E8065F">
              <w:rPr>
                <w:sz w:val="20"/>
                <w:szCs w:val="20"/>
              </w:rPr>
              <w:t>2023</w:t>
            </w:r>
            <w:r w:rsidR="003D79B3">
              <w:rPr>
                <w:sz w:val="20"/>
                <w:szCs w:val="20"/>
              </w:rPr>
              <w:t xml:space="preserve"> </w:t>
            </w:r>
            <w:r w:rsidR="00877BE3">
              <w:rPr>
                <w:sz w:val="20"/>
                <w:szCs w:val="20"/>
              </w:rPr>
              <w:t>(2)</w:t>
            </w:r>
          </w:p>
        </w:tc>
        <w:tc>
          <w:tcPr>
            <w:tcW w:w="1181" w:type="dxa"/>
            <w:tcBorders>
              <w:top w:val="nil"/>
              <w:left w:val="single" w:sz="4" w:space="0" w:color="auto"/>
              <w:bottom w:val="single" w:sz="4" w:space="0" w:color="auto"/>
              <w:right w:val="single" w:sz="4" w:space="0" w:color="auto"/>
            </w:tcBorders>
            <w:shd w:val="clear" w:color="auto" w:fill="auto"/>
          </w:tcPr>
          <w:p w:rsidR="00D06A2F" w:rsidRPr="00E8065F" w:rsidRDefault="00D06A2F" w:rsidP="00D5127A">
            <w:pPr>
              <w:spacing w:line="235" w:lineRule="auto"/>
              <w:jc w:val="center"/>
              <w:rPr>
                <w:color w:val="000000"/>
                <w:sz w:val="20"/>
                <w:szCs w:val="20"/>
              </w:rPr>
            </w:pPr>
            <w:r w:rsidRPr="00E8065F">
              <w:rPr>
                <w:color w:val="000000"/>
                <w:sz w:val="20"/>
                <w:szCs w:val="20"/>
              </w:rPr>
              <w:t>18</w:t>
            </w:r>
          </w:p>
        </w:tc>
        <w:tc>
          <w:tcPr>
            <w:tcW w:w="1478" w:type="dxa"/>
            <w:tcBorders>
              <w:top w:val="nil"/>
              <w:left w:val="single" w:sz="4" w:space="0" w:color="auto"/>
              <w:bottom w:val="single" w:sz="4" w:space="0" w:color="auto"/>
              <w:right w:val="single" w:sz="4" w:space="0" w:color="auto"/>
            </w:tcBorders>
            <w:shd w:val="clear" w:color="auto" w:fill="auto"/>
          </w:tcPr>
          <w:p w:rsidR="00D06A2F" w:rsidRPr="00E8065F" w:rsidRDefault="00D06A2F" w:rsidP="00D5127A">
            <w:pPr>
              <w:spacing w:line="235" w:lineRule="auto"/>
              <w:jc w:val="center"/>
              <w:rPr>
                <w:color w:val="000000"/>
                <w:sz w:val="20"/>
                <w:szCs w:val="20"/>
              </w:rPr>
            </w:pPr>
            <w:r w:rsidRPr="00E8065F">
              <w:rPr>
                <w:color w:val="000000"/>
                <w:sz w:val="20"/>
                <w:szCs w:val="20"/>
              </w:rPr>
              <w:t>38,6</w:t>
            </w:r>
          </w:p>
        </w:tc>
        <w:tc>
          <w:tcPr>
            <w:tcW w:w="1111" w:type="dxa"/>
            <w:tcBorders>
              <w:top w:val="nil"/>
              <w:left w:val="single" w:sz="4" w:space="0" w:color="auto"/>
              <w:bottom w:val="single" w:sz="4" w:space="0" w:color="auto"/>
              <w:right w:val="single" w:sz="4" w:space="0" w:color="auto"/>
            </w:tcBorders>
            <w:shd w:val="clear" w:color="auto" w:fill="auto"/>
          </w:tcPr>
          <w:p w:rsidR="00D06A2F" w:rsidRPr="00E8065F" w:rsidRDefault="00D06A2F" w:rsidP="00D5127A">
            <w:pPr>
              <w:spacing w:line="235" w:lineRule="auto"/>
              <w:jc w:val="center"/>
              <w:rPr>
                <w:color w:val="000000"/>
                <w:sz w:val="20"/>
                <w:szCs w:val="20"/>
              </w:rPr>
            </w:pPr>
            <w:r w:rsidRPr="00E8065F">
              <w:rPr>
                <w:color w:val="000000"/>
                <w:sz w:val="20"/>
                <w:szCs w:val="20"/>
              </w:rPr>
              <w:t>1</w:t>
            </w:r>
          </w:p>
        </w:tc>
        <w:tc>
          <w:tcPr>
            <w:tcW w:w="1944" w:type="dxa"/>
            <w:tcBorders>
              <w:top w:val="nil"/>
              <w:left w:val="single" w:sz="4" w:space="0" w:color="auto"/>
              <w:bottom w:val="single" w:sz="4" w:space="0" w:color="auto"/>
              <w:right w:val="single" w:sz="4" w:space="0" w:color="auto"/>
            </w:tcBorders>
            <w:shd w:val="clear" w:color="auto" w:fill="auto"/>
          </w:tcPr>
          <w:p w:rsidR="00D06A2F" w:rsidRPr="00E8065F" w:rsidRDefault="00D06A2F" w:rsidP="00D5127A">
            <w:pPr>
              <w:spacing w:line="235" w:lineRule="auto"/>
              <w:jc w:val="center"/>
              <w:rPr>
                <w:color w:val="000000"/>
                <w:sz w:val="20"/>
                <w:szCs w:val="20"/>
              </w:rPr>
            </w:pPr>
            <w:r w:rsidRPr="00E8065F">
              <w:rPr>
                <w:color w:val="000000"/>
                <w:sz w:val="20"/>
                <w:szCs w:val="20"/>
              </w:rPr>
              <w:t>Амбулаторное/стационарное</w:t>
            </w:r>
          </w:p>
        </w:tc>
      </w:tr>
      <w:tr w:rsidR="00D06A2F" w:rsidRPr="00E8065F" w:rsidTr="00CD3A6F">
        <w:trPr>
          <w:trHeight w:val="20"/>
        </w:trPr>
        <w:tc>
          <w:tcPr>
            <w:tcW w:w="1555" w:type="dxa"/>
            <w:vMerge/>
            <w:tcBorders>
              <w:left w:val="single" w:sz="4" w:space="0" w:color="auto"/>
              <w:right w:val="single" w:sz="4" w:space="0" w:color="auto"/>
            </w:tcBorders>
          </w:tcPr>
          <w:p w:rsidR="00D06A2F" w:rsidRPr="00E8065F" w:rsidRDefault="00D06A2F" w:rsidP="00D5127A">
            <w:pPr>
              <w:spacing w:line="235" w:lineRule="auto"/>
              <w:rPr>
                <w:sz w:val="20"/>
                <w:szCs w:val="20"/>
              </w:rPr>
            </w:pPr>
          </w:p>
        </w:tc>
        <w:tc>
          <w:tcPr>
            <w:tcW w:w="3685" w:type="dxa"/>
            <w:tcBorders>
              <w:top w:val="nil"/>
              <w:left w:val="single" w:sz="4" w:space="0" w:color="auto"/>
              <w:bottom w:val="single" w:sz="4" w:space="0" w:color="auto"/>
              <w:right w:val="nil"/>
            </w:tcBorders>
            <w:shd w:val="clear" w:color="auto" w:fill="auto"/>
          </w:tcPr>
          <w:p w:rsidR="00D06A2F" w:rsidRPr="00E8065F" w:rsidRDefault="00D06A2F" w:rsidP="00D5127A">
            <w:pPr>
              <w:spacing w:line="235" w:lineRule="auto"/>
              <w:jc w:val="both"/>
              <w:rPr>
                <w:color w:val="000000"/>
                <w:sz w:val="20"/>
                <w:szCs w:val="20"/>
              </w:rPr>
            </w:pPr>
            <w:r w:rsidRPr="00E8065F">
              <w:rPr>
                <w:color w:val="000000"/>
                <w:sz w:val="20"/>
                <w:szCs w:val="20"/>
              </w:rPr>
              <w:t xml:space="preserve">ГАУЗ </w:t>
            </w:r>
            <w:r>
              <w:rPr>
                <w:color w:val="000000"/>
                <w:sz w:val="20"/>
                <w:szCs w:val="20"/>
              </w:rPr>
              <w:t>«</w:t>
            </w:r>
            <w:r w:rsidRPr="00E8065F">
              <w:rPr>
                <w:color w:val="000000"/>
                <w:sz w:val="20"/>
                <w:szCs w:val="20"/>
              </w:rPr>
              <w:t>Кайбицкая ЦРБ</w:t>
            </w:r>
            <w:r>
              <w:rPr>
                <w:color w:val="000000"/>
                <w:sz w:val="20"/>
                <w:szCs w:val="20"/>
              </w:rPr>
              <w:t>»</w:t>
            </w:r>
          </w:p>
        </w:tc>
        <w:tc>
          <w:tcPr>
            <w:tcW w:w="1994" w:type="dxa"/>
            <w:tcBorders>
              <w:top w:val="nil"/>
              <w:left w:val="single" w:sz="4" w:space="0" w:color="auto"/>
              <w:bottom w:val="single" w:sz="4" w:space="0" w:color="auto"/>
              <w:right w:val="single" w:sz="4" w:space="0" w:color="auto"/>
            </w:tcBorders>
            <w:shd w:val="clear" w:color="auto" w:fill="auto"/>
          </w:tcPr>
          <w:p w:rsidR="00D06A2F" w:rsidRPr="00E8065F" w:rsidRDefault="00D06A2F" w:rsidP="00D5127A">
            <w:pPr>
              <w:spacing w:line="235" w:lineRule="auto"/>
              <w:jc w:val="center"/>
              <w:rPr>
                <w:color w:val="000000"/>
                <w:sz w:val="20"/>
                <w:szCs w:val="20"/>
              </w:rPr>
            </w:pPr>
            <w:r>
              <w:rPr>
                <w:rFonts w:eastAsia="Calibri"/>
                <w:sz w:val="20"/>
                <w:szCs w:val="20"/>
              </w:rPr>
              <w:t>Фиброгастродуоденоскоп</w:t>
            </w:r>
          </w:p>
        </w:tc>
        <w:tc>
          <w:tcPr>
            <w:tcW w:w="1181" w:type="dxa"/>
          </w:tcPr>
          <w:p w:rsidR="00D06A2F" w:rsidRPr="00E8065F" w:rsidRDefault="00D06A2F" w:rsidP="00D5127A">
            <w:pPr>
              <w:spacing w:line="235" w:lineRule="auto"/>
              <w:jc w:val="center"/>
              <w:rPr>
                <w:sz w:val="20"/>
                <w:szCs w:val="20"/>
              </w:rPr>
            </w:pPr>
            <w:r w:rsidRPr="00E8065F">
              <w:rPr>
                <w:sz w:val="20"/>
                <w:szCs w:val="20"/>
              </w:rPr>
              <w:t>2017</w:t>
            </w:r>
            <w:r w:rsidR="003D79B3">
              <w:rPr>
                <w:sz w:val="20"/>
                <w:szCs w:val="20"/>
              </w:rPr>
              <w:t xml:space="preserve"> </w:t>
            </w:r>
            <w:r w:rsidR="00877BE3">
              <w:rPr>
                <w:sz w:val="20"/>
                <w:szCs w:val="20"/>
              </w:rPr>
              <w:t>(1)</w:t>
            </w:r>
          </w:p>
          <w:p w:rsidR="00D06A2F" w:rsidRPr="00E8065F" w:rsidRDefault="00D06A2F" w:rsidP="00D5127A">
            <w:pPr>
              <w:spacing w:line="235" w:lineRule="auto"/>
              <w:jc w:val="center"/>
              <w:rPr>
                <w:sz w:val="20"/>
                <w:szCs w:val="20"/>
              </w:rPr>
            </w:pPr>
            <w:r w:rsidRPr="00E8065F">
              <w:rPr>
                <w:sz w:val="20"/>
                <w:szCs w:val="20"/>
              </w:rPr>
              <w:t>2022</w:t>
            </w:r>
            <w:r w:rsidR="003D79B3">
              <w:rPr>
                <w:sz w:val="20"/>
                <w:szCs w:val="20"/>
              </w:rPr>
              <w:t xml:space="preserve"> </w:t>
            </w:r>
            <w:r w:rsidR="00877BE3">
              <w:rPr>
                <w:sz w:val="20"/>
                <w:szCs w:val="20"/>
              </w:rPr>
              <w:t>(1)</w:t>
            </w:r>
          </w:p>
        </w:tc>
        <w:tc>
          <w:tcPr>
            <w:tcW w:w="1181" w:type="dxa"/>
            <w:tcBorders>
              <w:top w:val="nil"/>
              <w:left w:val="single" w:sz="4" w:space="0" w:color="auto"/>
              <w:bottom w:val="single" w:sz="4" w:space="0" w:color="auto"/>
              <w:right w:val="single" w:sz="4" w:space="0" w:color="auto"/>
            </w:tcBorders>
            <w:shd w:val="clear" w:color="auto" w:fill="auto"/>
          </w:tcPr>
          <w:p w:rsidR="00D06A2F" w:rsidRPr="00E8065F" w:rsidRDefault="00D06A2F" w:rsidP="00D5127A">
            <w:pPr>
              <w:spacing w:line="235" w:lineRule="auto"/>
              <w:jc w:val="center"/>
              <w:rPr>
                <w:color w:val="000000"/>
                <w:sz w:val="20"/>
                <w:szCs w:val="20"/>
              </w:rPr>
            </w:pPr>
            <w:r w:rsidRPr="00E8065F">
              <w:rPr>
                <w:color w:val="000000"/>
                <w:sz w:val="20"/>
                <w:szCs w:val="20"/>
              </w:rPr>
              <w:t>2</w:t>
            </w:r>
          </w:p>
        </w:tc>
        <w:tc>
          <w:tcPr>
            <w:tcW w:w="1478" w:type="dxa"/>
            <w:tcBorders>
              <w:top w:val="nil"/>
              <w:left w:val="single" w:sz="4" w:space="0" w:color="auto"/>
              <w:bottom w:val="single" w:sz="4" w:space="0" w:color="auto"/>
              <w:right w:val="single" w:sz="4" w:space="0" w:color="auto"/>
            </w:tcBorders>
            <w:shd w:val="clear" w:color="auto" w:fill="auto"/>
          </w:tcPr>
          <w:p w:rsidR="00D06A2F" w:rsidRPr="00E8065F" w:rsidRDefault="00D06A2F" w:rsidP="00D5127A">
            <w:pPr>
              <w:spacing w:line="235" w:lineRule="auto"/>
              <w:jc w:val="center"/>
              <w:rPr>
                <w:color w:val="000000"/>
                <w:sz w:val="20"/>
                <w:szCs w:val="20"/>
              </w:rPr>
            </w:pPr>
            <w:r w:rsidRPr="00E8065F">
              <w:rPr>
                <w:color w:val="000000"/>
                <w:sz w:val="20"/>
                <w:szCs w:val="20"/>
              </w:rPr>
              <w:t>1,4</w:t>
            </w:r>
          </w:p>
        </w:tc>
        <w:tc>
          <w:tcPr>
            <w:tcW w:w="1111" w:type="dxa"/>
            <w:tcBorders>
              <w:top w:val="nil"/>
              <w:left w:val="single" w:sz="4" w:space="0" w:color="auto"/>
              <w:bottom w:val="single" w:sz="4" w:space="0" w:color="auto"/>
              <w:right w:val="single" w:sz="4" w:space="0" w:color="auto"/>
            </w:tcBorders>
            <w:shd w:val="clear" w:color="auto" w:fill="auto"/>
          </w:tcPr>
          <w:p w:rsidR="00D06A2F" w:rsidRPr="00E8065F" w:rsidRDefault="00D06A2F" w:rsidP="00D5127A">
            <w:pPr>
              <w:spacing w:line="235" w:lineRule="auto"/>
              <w:jc w:val="center"/>
              <w:rPr>
                <w:color w:val="000000"/>
                <w:sz w:val="20"/>
                <w:szCs w:val="20"/>
              </w:rPr>
            </w:pPr>
            <w:r w:rsidRPr="00E8065F">
              <w:rPr>
                <w:color w:val="000000"/>
                <w:sz w:val="20"/>
                <w:szCs w:val="20"/>
              </w:rPr>
              <w:t>1</w:t>
            </w:r>
          </w:p>
        </w:tc>
        <w:tc>
          <w:tcPr>
            <w:tcW w:w="1944" w:type="dxa"/>
            <w:tcBorders>
              <w:top w:val="nil"/>
              <w:left w:val="single" w:sz="4" w:space="0" w:color="auto"/>
              <w:bottom w:val="single" w:sz="4" w:space="0" w:color="auto"/>
              <w:right w:val="single" w:sz="4" w:space="0" w:color="auto"/>
            </w:tcBorders>
            <w:shd w:val="clear" w:color="auto" w:fill="auto"/>
          </w:tcPr>
          <w:p w:rsidR="00D06A2F" w:rsidRPr="00E8065F" w:rsidRDefault="00D06A2F" w:rsidP="00D5127A">
            <w:pPr>
              <w:spacing w:line="235" w:lineRule="auto"/>
              <w:jc w:val="center"/>
              <w:rPr>
                <w:color w:val="000000"/>
                <w:sz w:val="20"/>
                <w:szCs w:val="20"/>
              </w:rPr>
            </w:pPr>
            <w:r w:rsidRPr="00E8065F">
              <w:rPr>
                <w:color w:val="000000"/>
                <w:sz w:val="20"/>
                <w:szCs w:val="20"/>
              </w:rPr>
              <w:t>Амбулаторное</w:t>
            </w:r>
          </w:p>
        </w:tc>
      </w:tr>
      <w:tr w:rsidR="00D06A2F" w:rsidRPr="00E8065F" w:rsidTr="00CD3A6F">
        <w:trPr>
          <w:trHeight w:val="20"/>
        </w:trPr>
        <w:tc>
          <w:tcPr>
            <w:tcW w:w="1555" w:type="dxa"/>
            <w:vMerge/>
            <w:tcBorders>
              <w:left w:val="single" w:sz="4" w:space="0" w:color="auto"/>
              <w:right w:val="single" w:sz="4" w:space="0" w:color="auto"/>
            </w:tcBorders>
          </w:tcPr>
          <w:p w:rsidR="00D06A2F" w:rsidRPr="00E8065F" w:rsidRDefault="00D06A2F" w:rsidP="00D5127A">
            <w:pPr>
              <w:spacing w:line="235" w:lineRule="auto"/>
              <w:rPr>
                <w:sz w:val="20"/>
                <w:szCs w:val="20"/>
              </w:rPr>
            </w:pPr>
          </w:p>
        </w:tc>
        <w:tc>
          <w:tcPr>
            <w:tcW w:w="3685" w:type="dxa"/>
            <w:tcBorders>
              <w:top w:val="nil"/>
              <w:left w:val="single" w:sz="4" w:space="0" w:color="auto"/>
              <w:bottom w:val="single" w:sz="4" w:space="0" w:color="auto"/>
              <w:right w:val="nil"/>
            </w:tcBorders>
            <w:shd w:val="clear" w:color="auto" w:fill="auto"/>
          </w:tcPr>
          <w:p w:rsidR="00D06A2F" w:rsidRPr="00E8065F" w:rsidRDefault="00D06A2F" w:rsidP="00D5127A">
            <w:pPr>
              <w:spacing w:line="235" w:lineRule="auto"/>
              <w:jc w:val="both"/>
              <w:rPr>
                <w:color w:val="000000"/>
                <w:sz w:val="20"/>
                <w:szCs w:val="20"/>
              </w:rPr>
            </w:pPr>
            <w:r w:rsidRPr="00E8065F">
              <w:rPr>
                <w:color w:val="000000"/>
                <w:sz w:val="20"/>
                <w:szCs w:val="20"/>
              </w:rPr>
              <w:t xml:space="preserve">ГАУЗ </w:t>
            </w:r>
            <w:r>
              <w:rPr>
                <w:color w:val="000000"/>
                <w:sz w:val="20"/>
                <w:szCs w:val="20"/>
              </w:rPr>
              <w:t>«</w:t>
            </w:r>
            <w:r w:rsidRPr="00E8065F">
              <w:rPr>
                <w:color w:val="000000"/>
                <w:sz w:val="20"/>
                <w:szCs w:val="20"/>
              </w:rPr>
              <w:t>Камско-Устьинская ЦРБ</w:t>
            </w:r>
            <w:r>
              <w:rPr>
                <w:color w:val="000000"/>
                <w:sz w:val="20"/>
                <w:szCs w:val="20"/>
              </w:rPr>
              <w:t>»</w:t>
            </w:r>
          </w:p>
        </w:tc>
        <w:tc>
          <w:tcPr>
            <w:tcW w:w="1994" w:type="dxa"/>
            <w:tcBorders>
              <w:top w:val="nil"/>
              <w:left w:val="single" w:sz="4" w:space="0" w:color="auto"/>
              <w:bottom w:val="single" w:sz="4" w:space="0" w:color="auto"/>
              <w:right w:val="single" w:sz="4" w:space="0" w:color="auto"/>
            </w:tcBorders>
            <w:shd w:val="clear" w:color="auto" w:fill="auto"/>
          </w:tcPr>
          <w:p w:rsidR="00D06A2F" w:rsidRPr="00E8065F" w:rsidRDefault="00D06A2F" w:rsidP="00D5127A">
            <w:pPr>
              <w:spacing w:line="235" w:lineRule="auto"/>
              <w:jc w:val="center"/>
              <w:rPr>
                <w:color w:val="000000"/>
                <w:sz w:val="20"/>
                <w:szCs w:val="20"/>
              </w:rPr>
            </w:pPr>
            <w:r>
              <w:rPr>
                <w:rFonts w:eastAsia="Calibri"/>
                <w:sz w:val="20"/>
                <w:szCs w:val="20"/>
              </w:rPr>
              <w:t>Фиброгастродуоденоскоп</w:t>
            </w:r>
          </w:p>
        </w:tc>
        <w:tc>
          <w:tcPr>
            <w:tcW w:w="1181" w:type="dxa"/>
          </w:tcPr>
          <w:p w:rsidR="00D06A2F" w:rsidRPr="00E8065F" w:rsidRDefault="00D06A2F" w:rsidP="00D5127A">
            <w:pPr>
              <w:spacing w:line="235" w:lineRule="auto"/>
              <w:jc w:val="center"/>
              <w:rPr>
                <w:sz w:val="20"/>
                <w:szCs w:val="20"/>
              </w:rPr>
            </w:pPr>
            <w:r w:rsidRPr="00E8065F">
              <w:rPr>
                <w:sz w:val="20"/>
                <w:szCs w:val="20"/>
              </w:rPr>
              <w:t>2017</w:t>
            </w:r>
            <w:r w:rsidR="003D79B3">
              <w:rPr>
                <w:sz w:val="20"/>
                <w:szCs w:val="20"/>
              </w:rPr>
              <w:t xml:space="preserve"> </w:t>
            </w:r>
            <w:r w:rsidR="00877BE3">
              <w:rPr>
                <w:sz w:val="20"/>
                <w:szCs w:val="20"/>
              </w:rPr>
              <w:t>(1)</w:t>
            </w:r>
          </w:p>
          <w:p w:rsidR="00D06A2F" w:rsidRPr="00E8065F" w:rsidRDefault="00D06A2F" w:rsidP="00D5127A">
            <w:pPr>
              <w:spacing w:line="235" w:lineRule="auto"/>
              <w:jc w:val="center"/>
              <w:rPr>
                <w:sz w:val="20"/>
                <w:szCs w:val="20"/>
              </w:rPr>
            </w:pPr>
            <w:r w:rsidRPr="00E8065F">
              <w:rPr>
                <w:sz w:val="20"/>
                <w:szCs w:val="20"/>
              </w:rPr>
              <w:t>2022</w:t>
            </w:r>
            <w:r w:rsidR="003D79B3">
              <w:rPr>
                <w:sz w:val="20"/>
                <w:szCs w:val="20"/>
              </w:rPr>
              <w:t xml:space="preserve"> </w:t>
            </w:r>
            <w:r w:rsidR="00877BE3">
              <w:rPr>
                <w:sz w:val="20"/>
                <w:szCs w:val="20"/>
              </w:rPr>
              <w:t>(1)</w:t>
            </w:r>
          </w:p>
          <w:p w:rsidR="00D06A2F" w:rsidRPr="00E8065F" w:rsidRDefault="00D06A2F" w:rsidP="00D5127A">
            <w:pPr>
              <w:spacing w:line="235" w:lineRule="auto"/>
              <w:jc w:val="center"/>
              <w:rPr>
                <w:sz w:val="20"/>
                <w:szCs w:val="20"/>
              </w:rPr>
            </w:pPr>
            <w:r w:rsidRPr="00E8065F">
              <w:rPr>
                <w:sz w:val="20"/>
                <w:szCs w:val="20"/>
              </w:rPr>
              <w:t>2023</w:t>
            </w:r>
            <w:r w:rsidR="003D79B3">
              <w:rPr>
                <w:sz w:val="20"/>
                <w:szCs w:val="20"/>
              </w:rPr>
              <w:t xml:space="preserve"> </w:t>
            </w:r>
            <w:r w:rsidR="00877BE3">
              <w:rPr>
                <w:sz w:val="20"/>
                <w:szCs w:val="20"/>
              </w:rPr>
              <w:t>(1)</w:t>
            </w:r>
          </w:p>
        </w:tc>
        <w:tc>
          <w:tcPr>
            <w:tcW w:w="1181" w:type="dxa"/>
            <w:tcBorders>
              <w:top w:val="nil"/>
              <w:left w:val="single" w:sz="4" w:space="0" w:color="auto"/>
              <w:bottom w:val="single" w:sz="4" w:space="0" w:color="auto"/>
              <w:right w:val="single" w:sz="4" w:space="0" w:color="auto"/>
            </w:tcBorders>
            <w:shd w:val="clear" w:color="auto" w:fill="auto"/>
          </w:tcPr>
          <w:p w:rsidR="00D06A2F" w:rsidRPr="00E8065F" w:rsidRDefault="00D06A2F" w:rsidP="00D5127A">
            <w:pPr>
              <w:spacing w:line="235" w:lineRule="auto"/>
              <w:jc w:val="center"/>
              <w:rPr>
                <w:color w:val="000000"/>
                <w:sz w:val="20"/>
                <w:szCs w:val="20"/>
              </w:rPr>
            </w:pPr>
            <w:r w:rsidRPr="00E8065F">
              <w:rPr>
                <w:color w:val="000000"/>
                <w:sz w:val="20"/>
                <w:szCs w:val="20"/>
              </w:rPr>
              <w:t>3</w:t>
            </w:r>
          </w:p>
        </w:tc>
        <w:tc>
          <w:tcPr>
            <w:tcW w:w="1478" w:type="dxa"/>
            <w:tcBorders>
              <w:top w:val="nil"/>
              <w:left w:val="single" w:sz="4" w:space="0" w:color="auto"/>
              <w:bottom w:val="single" w:sz="4" w:space="0" w:color="auto"/>
              <w:right w:val="single" w:sz="4" w:space="0" w:color="auto"/>
            </w:tcBorders>
            <w:shd w:val="clear" w:color="auto" w:fill="auto"/>
          </w:tcPr>
          <w:p w:rsidR="00D06A2F" w:rsidRPr="00E8065F" w:rsidRDefault="00D06A2F" w:rsidP="00D5127A">
            <w:pPr>
              <w:spacing w:line="235" w:lineRule="auto"/>
              <w:jc w:val="center"/>
              <w:rPr>
                <w:color w:val="000000"/>
                <w:sz w:val="20"/>
                <w:szCs w:val="20"/>
              </w:rPr>
            </w:pPr>
            <w:r w:rsidRPr="00E8065F">
              <w:rPr>
                <w:color w:val="000000"/>
                <w:sz w:val="20"/>
                <w:szCs w:val="20"/>
              </w:rPr>
              <w:t>4,8</w:t>
            </w:r>
          </w:p>
        </w:tc>
        <w:tc>
          <w:tcPr>
            <w:tcW w:w="1111" w:type="dxa"/>
            <w:tcBorders>
              <w:top w:val="nil"/>
              <w:left w:val="single" w:sz="4" w:space="0" w:color="auto"/>
              <w:bottom w:val="single" w:sz="4" w:space="0" w:color="auto"/>
              <w:right w:val="single" w:sz="4" w:space="0" w:color="auto"/>
            </w:tcBorders>
            <w:shd w:val="clear" w:color="auto" w:fill="auto"/>
          </w:tcPr>
          <w:p w:rsidR="00D06A2F" w:rsidRPr="00E8065F" w:rsidRDefault="00D06A2F" w:rsidP="00D5127A">
            <w:pPr>
              <w:spacing w:line="235" w:lineRule="auto"/>
              <w:jc w:val="center"/>
              <w:rPr>
                <w:color w:val="000000"/>
                <w:sz w:val="20"/>
                <w:szCs w:val="20"/>
              </w:rPr>
            </w:pPr>
            <w:r w:rsidRPr="00E8065F">
              <w:rPr>
                <w:color w:val="000000"/>
                <w:sz w:val="20"/>
                <w:szCs w:val="20"/>
              </w:rPr>
              <w:t>1</w:t>
            </w:r>
          </w:p>
        </w:tc>
        <w:tc>
          <w:tcPr>
            <w:tcW w:w="1944" w:type="dxa"/>
            <w:tcBorders>
              <w:top w:val="nil"/>
              <w:left w:val="single" w:sz="4" w:space="0" w:color="auto"/>
              <w:bottom w:val="single" w:sz="4" w:space="0" w:color="auto"/>
              <w:right w:val="single" w:sz="4" w:space="0" w:color="auto"/>
            </w:tcBorders>
            <w:shd w:val="clear" w:color="auto" w:fill="auto"/>
          </w:tcPr>
          <w:p w:rsidR="00D06A2F" w:rsidRPr="00E8065F" w:rsidRDefault="00D06A2F" w:rsidP="00D5127A">
            <w:pPr>
              <w:spacing w:line="235" w:lineRule="auto"/>
              <w:jc w:val="center"/>
              <w:rPr>
                <w:color w:val="000000"/>
                <w:sz w:val="20"/>
                <w:szCs w:val="20"/>
              </w:rPr>
            </w:pPr>
            <w:r w:rsidRPr="00E8065F">
              <w:rPr>
                <w:color w:val="000000"/>
                <w:sz w:val="20"/>
                <w:szCs w:val="20"/>
              </w:rPr>
              <w:t>Амбулаторное</w:t>
            </w:r>
          </w:p>
        </w:tc>
      </w:tr>
      <w:tr w:rsidR="00D06A2F" w:rsidRPr="00E8065F" w:rsidTr="00CD3A6F">
        <w:trPr>
          <w:trHeight w:val="20"/>
        </w:trPr>
        <w:tc>
          <w:tcPr>
            <w:tcW w:w="1555" w:type="dxa"/>
            <w:vMerge/>
            <w:tcBorders>
              <w:left w:val="single" w:sz="4" w:space="0" w:color="auto"/>
              <w:right w:val="single" w:sz="4" w:space="0" w:color="auto"/>
            </w:tcBorders>
          </w:tcPr>
          <w:p w:rsidR="00D06A2F" w:rsidRPr="00E8065F" w:rsidRDefault="00D06A2F" w:rsidP="00D5127A">
            <w:pPr>
              <w:spacing w:line="235" w:lineRule="auto"/>
              <w:rPr>
                <w:sz w:val="20"/>
                <w:szCs w:val="20"/>
              </w:rPr>
            </w:pPr>
          </w:p>
        </w:tc>
        <w:tc>
          <w:tcPr>
            <w:tcW w:w="3685" w:type="dxa"/>
            <w:tcBorders>
              <w:top w:val="nil"/>
              <w:left w:val="single" w:sz="4" w:space="0" w:color="auto"/>
              <w:bottom w:val="single" w:sz="4" w:space="0" w:color="auto"/>
              <w:right w:val="nil"/>
            </w:tcBorders>
            <w:shd w:val="clear" w:color="auto" w:fill="auto"/>
          </w:tcPr>
          <w:p w:rsidR="00D06A2F" w:rsidRPr="00E8065F" w:rsidRDefault="00D06A2F" w:rsidP="00D5127A">
            <w:pPr>
              <w:spacing w:line="235" w:lineRule="auto"/>
              <w:jc w:val="both"/>
              <w:rPr>
                <w:color w:val="000000"/>
                <w:sz w:val="20"/>
                <w:szCs w:val="20"/>
              </w:rPr>
            </w:pPr>
            <w:r w:rsidRPr="00E8065F">
              <w:rPr>
                <w:color w:val="000000"/>
                <w:sz w:val="20"/>
                <w:szCs w:val="20"/>
              </w:rPr>
              <w:t xml:space="preserve">ГАУЗ </w:t>
            </w:r>
            <w:r>
              <w:rPr>
                <w:color w:val="000000"/>
                <w:sz w:val="20"/>
                <w:szCs w:val="20"/>
              </w:rPr>
              <w:t>«</w:t>
            </w:r>
            <w:r w:rsidRPr="00E8065F">
              <w:rPr>
                <w:color w:val="000000"/>
                <w:sz w:val="20"/>
                <w:szCs w:val="20"/>
              </w:rPr>
              <w:t>Кукморская ЦРБ</w:t>
            </w:r>
            <w:r>
              <w:rPr>
                <w:color w:val="000000"/>
                <w:sz w:val="20"/>
                <w:szCs w:val="20"/>
              </w:rPr>
              <w:t>»</w:t>
            </w:r>
            <w:r w:rsidRPr="00E8065F">
              <w:rPr>
                <w:color w:val="000000"/>
                <w:sz w:val="20"/>
                <w:szCs w:val="20"/>
              </w:rPr>
              <w:t xml:space="preserve"> </w:t>
            </w:r>
          </w:p>
        </w:tc>
        <w:tc>
          <w:tcPr>
            <w:tcW w:w="1994" w:type="dxa"/>
            <w:tcBorders>
              <w:top w:val="nil"/>
              <w:left w:val="single" w:sz="4" w:space="0" w:color="auto"/>
              <w:bottom w:val="single" w:sz="4" w:space="0" w:color="auto"/>
              <w:right w:val="single" w:sz="4" w:space="0" w:color="auto"/>
            </w:tcBorders>
            <w:shd w:val="clear" w:color="auto" w:fill="auto"/>
          </w:tcPr>
          <w:p w:rsidR="00D06A2F" w:rsidRPr="00E8065F" w:rsidRDefault="00D06A2F" w:rsidP="00D5127A">
            <w:pPr>
              <w:spacing w:line="235" w:lineRule="auto"/>
              <w:jc w:val="center"/>
              <w:rPr>
                <w:color w:val="000000"/>
                <w:sz w:val="20"/>
                <w:szCs w:val="20"/>
              </w:rPr>
            </w:pPr>
            <w:r>
              <w:rPr>
                <w:rFonts w:eastAsia="Calibri"/>
                <w:sz w:val="20"/>
                <w:szCs w:val="20"/>
              </w:rPr>
              <w:t>Фиброгастродуоденоскоп</w:t>
            </w:r>
          </w:p>
        </w:tc>
        <w:tc>
          <w:tcPr>
            <w:tcW w:w="1181" w:type="dxa"/>
          </w:tcPr>
          <w:p w:rsidR="00D06A2F" w:rsidRPr="00E8065F" w:rsidRDefault="00D06A2F" w:rsidP="00D5127A">
            <w:pPr>
              <w:spacing w:line="235" w:lineRule="auto"/>
              <w:jc w:val="center"/>
              <w:rPr>
                <w:sz w:val="20"/>
                <w:szCs w:val="20"/>
              </w:rPr>
            </w:pPr>
            <w:r w:rsidRPr="00E8065F">
              <w:rPr>
                <w:sz w:val="20"/>
                <w:szCs w:val="20"/>
              </w:rPr>
              <w:t>2019</w:t>
            </w:r>
          </w:p>
        </w:tc>
        <w:tc>
          <w:tcPr>
            <w:tcW w:w="1181" w:type="dxa"/>
            <w:tcBorders>
              <w:top w:val="nil"/>
              <w:left w:val="single" w:sz="4" w:space="0" w:color="auto"/>
              <w:bottom w:val="single" w:sz="4" w:space="0" w:color="auto"/>
              <w:right w:val="single" w:sz="4" w:space="0" w:color="auto"/>
            </w:tcBorders>
            <w:shd w:val="clear" w:color="auto" w:fill="auto"/>
          </w:tcPr>
          <w:p w:rsidR="00D06A2F" w:rsidRPr="00E8065F" w:rsidRDefault="00D06A2F" w:rsidP="00D5127A">
            <w:pPr>
              <w:spacing w:line="235" w:lineRule="auto"/>
              <w:jc w:val="center"/>
              <w:rPr>
                <w:color w:val="000000"/>
                <w:sz w:val="20"/>
                <w:szCs w:val="20"/>
              </w:rPr>
            </w:pPr>
            <w:r w:rsidRPr="00E8065F">
              <w:rPr>
                <w:color w:val="000000"/>
                <w:sz w:val="20"/>
                <w:szCs w:val="20"/>
              </w:rPr>
              <w:t>1</w:t>
            </w:r>
          </w:p>
        </w:tc>
        <w:tc>
          <w:tcPr>
            <w:tcW w:w="1478" w:type="dxa"/>
            <w:tcBorders>
              <w:top w:val="nil"/>
              <w:left w:val="single" w:sz="4" w:space="0" w:color="auto"/>
              <w:bottom w:val="single" w:sz="4" w:space="0" w:color="auto"/>
              <w:right w:val="single" w:sz="4" w:space="0" w:color="auto"/>
            </w:tcBorders>
            <w:shd w:val="clear" w:color="auto" w:fill="auto"/>
          </w:tcPr>
          <w:p w:rsidR="00D06A2F" w:rsidRPr="00E8065F" w:rsidRDefault="00D06A2F" w:rsidP="00D5127A">
            <w:pPr>
              <w:spacing w:line="235" w:lineRule="auto"/>
              <w:jc w:val="center"/>
              <w:rPr>
                <w:color w:val="000000"/>
                <w:sz w:val="20"/>
                <w:szCs w:val="20"/>
              </w:rPr>
            </w:pPr>
            <w:r w:rsidRPr="00E8065F">
              <w:rPr>
                <w:color w:val="000000"/>
                <w:sz w:val="20"/>
                <w:szCs w:val="20"/>
              </w:rPr>
              <w:t>6,8</w:t>
            </w:r>
          </w:p>
        </w:tc>
        <w:tc>
          <w:tcPr>
            <w:tcW w:w="1111" w:type="dxa"/>
            <w:tcBorders>
              <w:top w:val="nil"/>
              <w:left w:val="single" w:sz="4" w:space="0" w:color="auto"/>
              <w:bottom w:val="single" w:sz="4" w:space="0" w:color="auto"/>
              <w:right w:val="single" w:sz="4" w:space="0" w:color="auto"/>
            </w:tcBorders>
            <w:shd w:val="clear" w:color="auto" w:fill="auto"/>
          </w:tcPr>
          <w:p w:rsidR="00D06A2F" w:rsidRPr="00E8065F" w:rsidRDefault="00D06A2F" w:rsidP="00D5127A">
            <w:pPr>
              <w:spacing w:line="235" w:lineRule="auto"/>
              <w:jc w:val="center"/>
              <w:rPr>
                <w:color w:val="000000"/>
                <w:sz w:val="20"/>
                <w:szCs w:val="20"/>
              </w:rPr>
            </w:pPr>
            <w:r w:rsidRPr="00E8065F">
              <w:rPr>
                <w:color w:val="000000"/>
                <w:sz w:val="20"/>
                <w:szCs w:val="20"/>
              </w:rPr>
              <w:t>1</w:t>
            </w:r>
          </w:p>
        </w:tc>
        <w:tc>
          <w:tcPr>
            <w:tcW w:w="1944" w:type="dxa"/>
            <w:tcBorders>
              <w:top w:val="nil"/>
              <w:left w:val="single" w:sz="4" w:space="0" w:color="auto"/>
              <w:bottom w:val="single" w:sz="4" w:space="0" w:color="auto"/>
              <w:right w:val="single" w:sz="4" w:space="0" w:color="auto"/>
            </w:tcBorders>
            <w:shd w:val="clear" w:color="auto" w:fill="auto"/>
          </w:tcPr>
          <w:p w:rsidR="00D06A2F" w:rsidRPr="00E8065F" w:rsidRDefault="00D06A2F" w:rsidP="00D5127A">
            <w:pPr>
              <w:spacing w:line="235" w:lineRule="auto"/>
              <w:jc w:val="center"/>
              <w:rPr>
                <w:color w:val="000000"/>
                <w:sz w:val="20"/>
                <w:szCs w:val="20"/>
              </w:rPr>
            </w:pPr>
            <w:r w:rsidRPr="00E8065F">
              <w:rPr>
                <w:color w:val="000000"/>
                <w:sz w:val="20"/>
                <w:szCs w:val="20"/>
              </w:rPr>
              <w:t>Амбулаторное</w:t>
            </w:r>
          </w:p>
        </w:tc>
      </w:tr>
      <w:tr w:rsidR="00D06A2F" w:rsidRPr="00E8065F" w:rsidTr="00CD3A6F">
        <w:trPr>
          <w:trHeight w:val="20"/>
        </w:trPr>
        <w:tc>
          <w:tcPr>
            <w:tcW w:w="1555" w:type="dxa"/>
            <w:vMerge/>
            <w:tcBorders>
              <w:left w:val="single" w:sz="4" w:space="0" w:color="auto"/>
              <w:right w:val="single" w:sz="4" w:space="0" w:color="auto"/>
            </w:tcBorders>
          </w:tcPr>
          <w:p w:rsidR="00D06A2F" w:rsidRPr="00E8065F" w:rsidRDefault="00D06A2F" w:rsidP="00D5127A">
            <w:pPr>
              <w:spacing w:line="235" w:lineRule="auto"/>
              <w:rPr>
                <w:sz w:val="20"/>
                <w:szCs w:val="20"/>
              </w:rPr>
            </w:pPr>
          </w:p>
        </w:tc>
        <w:tc>
          <w:tcPr>
            <w:tcW w:w="3685" w:type="dxa"/>
            <w:tcBorders>
              <w:top w:val="nil"/>
              <w:left w:val="single" w:sz="4" w:space="0" w:color="auto"/>
              <w:bottom w:val="single" w:sz="4" w:space="0" w:color="auto"/>
              <w:right w:val="nil"/>
            </w:tcBorders>
            <w:shd w:val="clear" w:color="auto" w:fill="auto"/>
          </w:tcPr>
          <w:p w:rsidR="00D06A2F" w:rsidRPr="00E8065F" w:rsidRDefault="00D06A2F" w:rsidP="00D5127A">
            <w:pPr>
              <w:spacing w:line="235" w:lineRule="auto"/>
              <w:jc w:val="both"/>
              <w:rPr>
                <w:color w:val="000000"/>
                <w:sz w:val="20"/>
                <w:szCs w:val="20"/>
              </w:rPr>
            </w:pPr>
            <w:r w:rsidRPr="00E8065F">
              <w:rPr>
                <w:color w:val="000000"/>
                <w:sz w:val="20"/>
                <w:szCs w:val="20"/>
              </w:rPr>
              <w:t xml:space="preserve">ГАУЗ </w:t>
            </w:r>
            <w:r>
              <w:rPr>
                <w:color w:val="000000"/>
                <w:sz w:val="20"/>
                <w:szCs w:val="20"/>
              </w:rPr>
              <w:t>«</w:t>
            </w:r>
            <w:r w:rsidRPr="00E8065F">
              <w:rPr>
                <w:color w:val="000000"/>
                <w:sz w:val="20"/>
                <w:szCs w:val="20"/>
              </w:rPr>
              <w:t>Лаишевская ЦРБ</w:t>
            </w:r>
            <w:r>
              <w:rPr>
                <w:color w:val="000000"/>
                <w:sz w:val="20"/>
                <w:szCs w:val="20"/>
              </w:rPr>
              <w:t>»</w:t>
            </w:r>
          </w:p>
        </w:tc>
        <w:tc>
          <w:tcPr>
            <w:tcW w:w="1994" w:type="dxa"/>
            <w:tcBorders>
              <w:top w:val="nil"/>
              <w:left w:val="single" w:sz="4" w:space="0" w:color="auto"/>
              <w:bottom w:val="single" w:sz="4" w:space="0" w:color="auto"/>
              <w:right w:val="single" w:sz="4" w:space="0" w:color="auto"/>
            </w:tcBorders>
            <w:shd w:val="clear" w:color="auto" w:fill="auto"/>
          </w:tcPr>
          <w:p w:rsidR="00D06A2F" w:rsidRPr="00E8065F" w:rsidRDefault="00D06A2F" w:rsidP="00D5127A">
            <w:pPr>
              <w:spacing w:line="235" w:lineRule="auto"/>
              <w:jc w:val="center"/>
              <w:rPr>
                <w:color w:val="000000"/>
                <w:sz w:val="20"/>
                <w:szCs w:val="20"/>
              </w:rPr>
            </w:pPr>
            <w:r>
              <w:rPr>
                <w:rFonts w:eastAsia="Calibri"/>
                <w:sz w:val="20"/>
                <w:szCs w:val="20"/>
              </w:rPr>
              <w:t>Фиброгастродуоденоскоп</w:t>
            </w:r>
          </w:p>
        </w:tc>
        <w:tc>
          <w:tcPr>
            <w:tcW w:w="1181" w:type="dxa"/>
          </w:tcPr>
          <w:p w:rsidR="00D06A2F" w:rsidRPr="00E8065F" w:rsidRDefault="00D06A2F" w:rsidP="00D5127A">
            <w:pPr>
              <w:spacing w:line="235" w:lineRule="auto"/>
              <w:jc w:val="center"/>
              <w:rPr>
                <w:sz w:val="20"/>
                <w:szCs w:val="20"/>
              </w:rPr>
            </w:pPr>
            <w:r w:rsidRPr="00E8065F">
              <w:rPr>
                <w:sz w:val="20"/>
                <w:szCs w:val="20"/>
              </w:rPr>
              <w:t>2017</w:t>
            </w:r>
            <w:r w:rsidR="003D79B3">
              <w:rPr>
                <w:sz w:val="20"/>
                <w:szCs w:val="20"/>
              </w:rPr>
              <w:t xml:space="preserve"> </w:t>
            </w:r>
            <w:r w:rsidR="00877BE3">
              <w:rPr>
                <w:sz w:val="20"/>
                <w:szCs w:val="20"/>
              </w:rPr>
              <w:t>(1)</w:t>
            </w:r>
          </w:p>
          <w:p w:rsidR="00D06A2F" w:rsidRPr="00E8065F" w:rsidRDefault="00D06A2F" w:rsidP="00D5127A">
            <w:pPr>
              <w:spacing w:line="235" w:lineRule="auto"/>
              <w:jc w:val="center"/>
              <w:rPr>
                <w:sz w:val="20"/>
                <w:szCs w:val="20"/>
              </w:rPr>
            </w:pPr>
            <w:r w:rsidRPr="00E8065F">
              <w:rPr>
                <w:sz w:val="20"/>
                <w:szCs w:val="20"/>
              </w:rPr>
              <w:t>2019</w:t>
            </w:r>
            <w:r w:rsidR="003D79B3">
              <w:rPr>
                <w:sz w:val="20"/>
                <w:szCs w:val="20"/>
              </w:rPr>
              <w:t xml:space="preserve"> </w:t>
            </w:r>
            <w:r w:rsidR="00877BE3">
              <w:rPr>
                <w:sz w:val="20"/>
                <w:szCs w:val="20"/>
              </w:rPr>
              <w:t>(1)</w:t>
            </w:r>
          </w:p>
          <w:p w:rsidR="00D06A2F" w:rsidRPr="00E8065F" w:rsidRDefault="00D06A2F" w:rsidP="00D5127A">
            <w:pPr>
              <w:spacing w:line="235" w:lineRule="auto"/>
              <w:jc w:val="center"/>
              <w:rPr>
                <w:sz w:val="20"/>
                <w:szCs w:val="20"/>
              </w:rPr>
            </w:pPr>
            <w:r w:rsidRPr="00E8065F">
              <w:rPr>
                <w:sz w:val="20"/>
                <w:szCs w:val="20"/>
              </w:rPr>
              <w:t>2020</w:t>
            </w:r>
            <w:r w:rsidR="003D79B3">
              <w:rPr>
                <w:sz w:val="20"/>
                <w:szCs w:val="20"/>
              </w:rPr>
              <w:t xml:space="preserve"> </w:t>
            </w:r>
            <w:r w:rsidR="00877BE3">
              <w:rPr>
                <w:sz w:val="20"/>
                <w:szCs w:val="20"/>
              </w:rPr>
              <w:t>(1)</w:t>
            </w:r>
          </w:p>
        </w:tc>
        <w:tc>
          <w:tcPr>
            <w:tcW w:w="1181" w:type="dxa"/>
            <w:tcBorders>
              <w:top w:val="nil"/>
              <w:left w:val="single" w:sz="4" w:space="0" w:color="auto"/>
              <w:bottom w:val="single" w:sz="4" w:space="0" w:color="auto"/>
              <w:right w:val="single" w:sz="4" w:space="0" w:color="auto"/>
            </w:tcBorders>
            <w:shd w:val="clear" w:color="auto" w:fill="auto"/>
          </w:tcPr>
          <w:p w:rsidR="00D06A2F" w:rsidRPr="00E8065F" w:rsidRDefault="00D06A2F" w:rsidP="00D5127A">
            <w:pPr>
              <w:spacing w:line="235" w:lineRule="auto"/>
              <w:jc w:val="center"/>
              <w:rPr>
                <w:color w:val="000000"/>
                <w:sz w:val="20"/>
                <w:szCs w:val="20"/>
              </w:rPr>
            </w:pPr>
            <w:r w:rsidRPr="00E8065F">
              <w:rPr>
                <w:color w:val="000000"/>
                <w:sz w:val="20"/>
                <w:szCs w:val="20"/>
              </w:rPr>
              <w:t>3</w:t>
            </w:r>
          </w:p>
        </w:tc>
        <w:tc>
          <w:tcPr>
            <w:tcW w:w="1478" w:type="dxa"/>
            <w:tcBorders>
              <w:top w:val="nil"/>
              <w:left w:val="single" w:sz="4" w:space="0" w:color="auto"/>
              <w:bottom w:val="single" w:sz="4" w:space="0" w:color="auto"/>
              <w:right w:val="single" w:sz="4" w:space="0" w:color="auto"/>
            </w:tcBorders>
            <w:shd w:val="clear" w:color="auto" w:fill="auto"/>
          </w:tcPr>
          <w:p w:rsidR="00D06A2F" w:rsidRPr="00E8065F" w:rsidRDefault="00D06A2F" w:rsidP="00D5127A">
            <w:pPr>
              <w:spacing w:line="235" w:lineRule="auto"/>
              <w:jc w:val="center"/>
              <w:rPr>
                <w:color w:val="000000"/>
                <w:sz w:val="20"/>
                <w:szCs w:val="20"/>
              </w:rPr>
            </w:pPr>
            <w:r w:rsidRPr="00E8065F">
              <w:rPr>
                <w:color w:val="000000"/>
                <w:sz w:val="20"/>
                <w:szCs w:val="20"/>
              </w:rPr>
              <w:t>4,3</w:t>
            </w:r>
          </w:p>
        </w:tc>
        <w:tc>
          <w:tcPr>
            <w:tcW w:w="1111" w:type="dxa"/>
            <w:tcBorders>
              <w:top w:val="nil"/>
              <w:left w:val="single" w:sz="4" w:space="0" w:color="auto"/>
              <w:bottom w:val="single" w:sz="4" w:space="0" w:color="auto"/>
              <w:right w:val="single" w:sz="4" w:space="0" w:color="auto"/>
            </w:tcBorders>
            <w:shd w:val="clear" w:color="auto" w:fill="auto"/>
          </w:tcPr>
          <w:p w:rsidR="00D06A2F" w:rsidRPr="00E8065F" w:rsidRDefault="00D06A2F" w:rsidP="00D5127A">
            <w:pPr>
              <w:spacing w:line="235" w:lineRule="auto"/>
              <w:jc w:val="center"/>
              <w:rPr>
                <w:color w:val="000000"/>
                <w:sz w:val="20"/>
                <w:szCs w:val="20"/>
              </w:rPr>
            </w:pPr>
            <w:r w:rsidRPr="00E8065F">
              <w:rPr>
                <w:color w:val="000000"/>
                <w:sz w:val="20"/>
                <w:szCs w:val="20"/>
              </w:rPr>
              <w:t>1</w:t>
            </w:r>
          </w:p>
        </w:tc>
        <w:tc>
          <w:tcPr>
            <w:tcW w:w="1944" w:type="dxa"/>
            <w:tcBorders>
              <w:top w:val="nil"/>
              <w:left w:val="single" w:sz="4" w:space="0" w:color="auto"/>
              <w:bottom w:val="single" w:sz="4" w:space="0" w:color="auto"/>
              <w:right w:val="single" w:sz="4" w:space="0" w:color="auto"/>
            </w:tcBorders>
            <w:shd w:val="clear" w:color="auto" w:fill="auto"/>
          </w:tcPr>
          <w:p w:rsidR="00D06A2F" w:rsidRPr="00E8065F" w:rsidRDefault="00D06A2F" w:rsidP="00D5127A">
            <w:pPr>
              <w:spacing w:line="235" w:lineRule="auto"/>
              <w:jc w:val="center"/>
              <w:rPr>
                <w:color w:val="000000"/>
                <w:sz w:val="20"/>
                <w:szCs w:val="20"/>
              </w:rPr>
            </w:pPr>
            <w:r w:rsidRPr="00E8065F">
              <w:rPr>
                <w:color w:val="000000"/>
                <w:sz w:val="20"/>
                <w:szCs w:val="20"/>
              </w:rPr>
              <w:t>Амбулаторное/стационарное</w:t>
            </w:r>
          </w:p>
        </w:tc>
      </w:tr>
      <w:tr w:rsidR="00D06A2F" w:rsidRPr="00E8065F" w:rsidTr="00CD3A6F">
        <w:trPr>
          <w:trHeight w:val="20"/>
        </w:trPr>
        <w:tc>
          <w:tcPr>
            <w:tcW w:w="1555" w:type="dxa"/>
            <w:vMerge/>
            <w:tcBorders>
              <w:left w:val="single" w:sz="4" w:space="0" w:color="auto"/>
              <w:right w:val="single" w:sz="4" w:space="0" w:color="auto"/>
            </w:tcBorders>
          </w:tcPr>
          <w:p w:rsidR="00D06A2F" w:rsidRPr="00E8065F" w:rsidRDefault="00D06A2F" w:rsidP="00BA1432">
            <w:pPr>
              <w:rPr>
                <w:sz w:val="20"/>
                <w:szCs w:val="20"/>
              </w:rPr>
            </w:pPr>
          </w:p>
        </w:tc>
        <w:tc>
          <w:tcPr>
            <w:tcW w:w="3685" w:type="dxa"/>
            <w:tcBorders>
              <w:top w:val="nil"/>
              <w:left w:val="single" w:sz="4" w:space="0" w:color="auto"/>
              <w:bottom w:val="single" w:sz="4" w:space="0" w:color="auto"/>
              <w:right w:val="nil"/>
            </w:tcBorders>
            <w:shd w:val="clear" w:color="auto" w:fill="auto"/>
          </w:tcPr>
          <w:p w:rsidR="00D06A2F" w:rsidRPr="00E8065F" w:rsidRDefault="00D06A2F" w:rsidP="00DC0475">
            <w:pPr>
              <w:jc w:val="both"/>
              <w:rPr>
                <w:color w:val="000000"/>
                <w:sz w:val="20"/>
                <w:szCs w:val="20"/>
              </w:rPr>
            </w:pPr>
            <w:r w:rsidRPr="00E8065F">
              <w:rPr>
                <w:color w:val="000000"/>
                <w:sz w:val="20"/>
                <w:szCs w:val="20"/>
              </w:rPr>
              <w:t xml:space="preserve">ГАУЗ </w:t>
            </w:r>
            <w:r>
              <w:rPr>
                <w:color w:val="000000"/>
                <w:sz w:val="20"/>
                <w:szCs w:val="20"/>
              </w:rPr>
              <w:t>«</w:t>
            </w:r>
            <w:r w:rsidRPr="00E8065F">
              <w:rPr>
                <w:color w:val="000000"/>
                <w:sz w:val="20"/>
                <w:szCs w:val="20"/>
              </w:rPr>
              <w:t>Лениногорская ЦРБ</w:t>
            </w:r>
            <w:r>
              <w:rPr>
                <w:color w:val="000000"/>
                <w:sz w:val="20"/>
                <w:szCs w:val="20"/>
              </w:rPr>
              <w:t>»</w:t>
            </w:r>
          </w:p>
        </w:tc>
        <w:tc>
          <w:tcPr>
            <w:tcW w:w="1994" w:type="dxa"/>
            <w:tcBorders>
              <w:top w:val="nil"/>
              <w:left w:val="single" w:sz="4" w:space="0" w:color="auto"/>
              <w:bottom w:val="single" w:sz="4" w:space="0" w:color="auto"/>
              <w:right w:val="single" w:sz="4" w:space="0" w:color="auto"/>
            </w:tcBorders>
            <w:shd w:val="clear" w:color="auto" w:fill="auto"/>
          </w:tcPr>
          <w:p w:rsidR="00D06A2F" w:rsidRPr="00E8065F" w:rsidRDefault="00D06A2F" w:rsidP="00BA1432">
            <w:pPr>
              <w:jc w:val="center"/>
              <w:rPr>
                <w:color w:val="000000"/>
                <w:sz w:val="20"/>
                <w:szCs w:val="20"/>
              </w:rPr>
            </w:pPr>
            <w:r>
              <w:rPr>
                <w:rFonts w:eastAsia="Calibri"/>
                <w:sz w:val="20"/>
                <w:szCs w:val="20"/>
              </w:rPr>
              <w:t>Фиброгастродуоденоскоп</w:t>
            </w:r>
          </w:p>
        </w:tc>
        <w:tc>
          <w:tcPr>
            <w:tcW w:w="1181" w:type="dxa"/>
          </w:tcPr>
          <w:p w:rsidR="00D06A2F" w:rsidRPr="00E8065F" w:rsidRDefault="00D06A2F" w:rsidP="000546C2">
            <w:pPr>
              <w:jc w:val="center"/>
              <w:rPr>
                <w:sz w:val="20"/>
                <w:szCs w:val="20"/>
              </w:rPr>
            </w:pPr>
            <w:r w:rsidRPr="00E8065F">
              <w:rPr>
                <w:sz w:val="20"/>
                <w:szCs w:val="20"/>
              </w:rPr>
              <w:t>2015</w:t>
            </w:r>
            <w:r w:rsidR="003D79B3">
              <w:rPr>
                <w:sz w:val="20"/>
                <w:szCs w:val="20"/>
              </w:rPr>
              <w:t xml:space="preserve"> </w:t>
            </w:r>
            <w:r w:rsidR="00877BE3">
              <w:rPr>
                <w:sz w:val="20"/>
                <w:szCs w:val="20"/>
              </w:rPr>
              <w:t>(2)</w:t>
            </w:r>
          </w:p>
          <w:p w:rsidR="00D06A2F" w:rsidRPr="00E8065F" w:rsidRDefault="00D06A2F" w:rsidP="000546C2">
            <w:pPr>
              <w:jc w:val="center"/>
              <w:rPr>
                <w:sz w:val="20"/>
                <w:szCs w:val="20"/>
              </w:rPr>
            </w:pPr>
            <w:r w:rsidRPr="00E8065F">
              <w:rPr>
                <w:sz w:val="20"/>
                <w:szCs w:val="20"/>
              </w:rPr>
              <w:t>2017</w:t>
            </w:r>
            <w:r w:rsidR="003D79B3">
              <w:rPr>
                <w:sz w:val="20"/>
                <w:szCs w:val="20"/>
              </w:rPr>
              <w:t xml:space="preserve"> </w:t>
            </w:r>
            <w:r w:rsidR="00877BE3">
              <w:rPr>
                <w:sz w:val="20"/>
                <w:szCs w:val="20"/>
              </w:rPr>
              <w:t>(2)</w:t>
            </w:r>
          </w:p>
          <w:p w:rsidR="00D06A2F" w:rsidRPr="00E8065F" w:rsidRDefault="00D06A2F" w:rsidP="000546C2">
            <w:pPr>
              <w:jc w:val="center"/>
              <w:rPr>
                <w:sz w:val="20"/>
                <w:szCs w:val="20"/>
              </w:rPr>
            </w:pPr>
            <w:r w:rsidRPr="00E8065F">
              <w:rPr>
                <w:sz w:val="20"/>
                <w:szCs w:val="20"/>
              </w:rPr>
              <w:t>2018</w:t>
            </w:r>
            <w:r w:rsidR="003D79B3">
              <w:rPr>
                <w:sz w:val="20"/>
                <w:szCs w:val="20"/>
              </w:rPr>
              <w:t xml:space="preserve"> </w:t>
            </w:r>
            <w:r w:rsidR="00877BE3">
              <w:rPr>
                <w:sz w:val="20"/>
                <w:szCs w:val="20"/>
              </w:rPr>
              <w:t>(2)</w:t>
            </w:r>
          </w:p>
          <w:p w:rsidR="00D06A2F" w:rsidRPr="00E8065F" w:rsidRDefault="00D06A2F" w:rsidP="000546C2">
            <w:pPr>
              <w:jc w:val="center"/>
              <w:rPr>
                <w:sz w:val="20"/>
                <w:szCs w:val="20"/>
              </w:rPr>
            </w:pPr>
            <w:r w:rsidRPr="00E8065F">
              <w:rPr>
                <w:sz w:val="20"/>
                <w:szCs w:val="20"/>
              </w:rPr>
              <w:t>2020</w:t>
            </w:r>
            <w:r w:rsidR="003D79B3">
              <w:rPr>
                <w:sz w:val="20"/>
                <w:szCs w:val="20"/>
              </w:rPr>
              <w:t xml:space="preserve"> </w:t>
            </w:r>
            <w:r w:rsidR="00877BE3">
              <w:rPr>
                <w:sz w:val="20"/>
                <w:szCs w:val="20"/>
              </w:rPr>
              <w:t>(3)</w:t>
            </w:r>
          </w:p>
        </w:tc>
        <w:tc>
          <w:tcPr>
            <w:tcW w:w="1181" w:type="dxa"/>
            <w:tcBorders>
              <w:top w:val="nil"/>
              <w:left w:val="single" w:sz="4" w:space="0" w:color="auto"/>
              <w:bottom w:val="single" w:sz="4" w:space="0" w:color="auto"/>
              <w:right w:val="single" w:sz="4" w:space="0" w:color="auto"/>
            </w:tcBorders>
            <w:shd w:val="clear" w:color="auto" w:fill="auto"/>
          </w:tcPr>
          <w:p w:rsidR="00D06A2F" w:rsidRPr="00E8065F" w:rsidRDefault="00D06A2F" w:rsidP="000546C2">
            <w:pPr>
              <w:jc w:val="center"/>
              <w:rPr>
                <w:color w:val="000000"/>
                <w:sz w:val="20"/>
                <w:szCs w:val="20"/>
              </w:rPr>
            </w:pPr>
            <w:r w:rsidRPr="00E8065F">
              <w:rPr>
                <w:color w:val="000000"/>
                <w:sz w:val="20"/>
                <w:szCs w:val="20"/>
              </w:rPr>
              <w:t>9</w:t>
            </w:r>
          </w:p>
        </w:tc>
        <w:tc>
          <w:tcPr>
            <w:tcW w:w="1478" w:type="dxa"/>
            <w:tcBorders>
              <w:top w:val="nil"/>
              <w:left w:val="single" w:sz="4" w:space="0" w:color="auto"/>
              <w:bottom w:val="single" w:sz="4" w:space="0" w:color="auto"/>
              <w:right w:val="single" w:sz="4" w:space="0" w:color="auto"/>
            </w:tcBorders>
            <w:shd w:val="clear" w:color="auto" w:fill="auto"/>
          </w:tcPr>
          <w:p w:rsidR="00D06A2F" w:rsidRPr="00E8065F" w:rsidRDefault="00D06A2F" w:rsidP="000546C2">
            <w:pPr>
              <w:jc w:val="center"/>
              <w:rPr>
                <w:color w:val="000000"/>
                <w:sz w:val="20"/>
                <w:szCs w:val="20"/>
              </w:rPr>
            </w:pPr>
            <w:r w:rsidRPr="00E8065F">
              <w:rPr>
                <w:color w:val="000000"/>
                <w:sz w:val="20"/>
                <w:szCs w:val="20"/>
              </w:rPr>
              <w:t>19,8</w:t>
            </w:r>
          </w:p>
        </w:tc>
        <w:tc>
          <w:tcPr>
            <w:tcW w:w="1111" w:type="dxa"/>
            <w:tcBorders>
              <w:top w:val="nil"/>
              <w:left w:val="single" w:sz="4" w:space="0" w:color="auto"/>
              <w:bottom w:val="single" w:sz="4" w:space="0" w:color="auto"/>
              <w:right w:val="single" w:sz="4" w:space="0" w:color="auto"/>
            </w:tcBorders>
            <w:shd w:val="clear" w:color="auto" w:fill="auto"/>
          </w:tcPr>
          <w:p w:rsidR="00D06A2F" w:rsidRPr="00E8065F" w:rsidRDefault="00D06A2F" w:rsidP="000546C2">
            <w:pPr>
              <w:jc w:val="center"/>
              <w:rPr>
                <w:color w:val="000000"/>
                <w:sz w:val="20"/>
                <w:szCs w:val="20"/>
              </w:rPr>
            </w:pPr>
            <w:r w:rsidRPr="00E8065F">
              <w:rPr>
                <w:color w:val="000000"/>
                <w:sz w:val="20"/>
                <w:szCs w:val="20"/>
              </w:rPr>
              <w:t>1</w:t>
            </w:r>
          </w:p>
        </w:tc>
        <w:tc>
          <w:tcPr>
            <w:tcW w:w="1944" w:type="dxa"/>
            <w:tcBorders>
              <w:top w:val="nil"/>
              <w:left w:val="single" w:sz="4" w:space="0" w:color="auto"/>
              <w:bottom w:val="single" w:sz="4" w:space="0" w:color="auto"/>
              <w:right w:val="single" w:sz="4" w:space="0" w:color="auto"/>
            </w:tcBorders>
            <w:shd w:val="clear" w:color="auto" w:fill="auto"/>
          </w:tcPr>
          <w:p w:rsidR="00D06A2F" w:rsidRPr="00E8065F" w:rsidRDefault="00D06A2F" w:rsidP="00BA1432">
            <w:pPr>
              <w:jc w:val="center"/>
              <w:rPr>
                <w:color w:val="000000"/>
                <w:sz w:val="20"/>
                <w:szCs w:val="20"/>
              </w:rPr>
            </w:pPr>
            <w:r w:rsidRPr="00E8065F">
              <w:rPr>
                <w:color w:val="000000"/>
                <w:sz w:val="20"/>
                <w:szCs w:val="20"/>
              </w:rPr>
              <w:t>Стационарное</w:t>
            </w:r>
          </w:p>
        </w:tc>
      </w:tr>
      <w:tr w:rsidR="00D06A2F" w:rsidRPr="00E8065F" w:rsidTr="00CD3A6F">
        <w:trPr>
          <w:trHeight w:val="20"/>
        </w:trPr>
        <w:tc>
          <w:tcPr>
            <w:tcW w:w="1555" w:type="dxa"/>
            <w:vMerge/>
            <w:tcBorders>
              <w:left w:val="single" w:sz="4" w:space="0" w:color="auto"/>
              <w:right w:val="single" w:sz="4" w:space="0" w:color="auto"/>
            </w:tcBorders>
          </w:tcPr>
          <w:p w:rsidR="00D06A2F" w:rsidRPr="00E8065F" w:rsidRDefault="00D06A2F" w:rsidP="00BA1432">
            <w:pPr>
              <w:rPr>
                <w:sz w:val="20"/>
                <w:szCs w:val="20"/>
              </w:rPr>
            </w:pPr>
          </w:p>
        </w:tc>
        <w:tc>
          <w:tcPr>
            <w:tcW w:w="3685" w:type="dxa"/>
            <w:tcBorders>
              <w:top w:val="nil"/>
              <w:left w:val="single" w:sz="4" w:space="0" w:color="auto"/>
              <w:bottom w:val="single" w:sz="4" w:space="0" w:color="auto"/>
              <w:right w:val="single" w:sz="4" w:space="0" w:color="auto"/>
            </w:tcBorders>
            <w:shd w:val="clear" w:color="auto" w:fill="auto"/>
          </w:tcPr>
          <w:p w:rsidR="00D06A2F" w:rsidRPr="00E8065F" w:rsidRDefault="00D06A2F" w:rsidP="00DC0475">
            <w:pPr>
              <w:jc w:val="both"/>
              <w:rPr>
                <w:color w:val="000000"/>
                <w:sz w:val="20"/>
                <w:szCs w:val="20"/>
              </w:rPr>
            </w:pPr>
            <w:r w:rsidRPr="00E8065F">
              <w:rPr>
                <w:color w:val="000000"/>
                <w:sz w:val="20"/>
                <w:szCs w:val="20"/>
              </w:rPr>
              <w:t xml:space="preserve">ГАУЗ </w:t>
            </w:r>
            <w:r>
              <w:rPr>
                <w:color w:val="000000"/>
                <w:sz w:val="20"/>
                <w:szCs w:val="20"/>
              </w:rPr>
              <w:t>«</w:t>
            </w:r>
            <w:r w:rsidRPr="00E8065F">
              <w:rPr>
                <w:color w:val="000000"/>
                <w:sz w:val="20"/>
                <w:szCs w:val="20"/>
              </w:rPr>
              <w:t>Мамадышская ЦРБ</w:t>
            </w:r>
            <w:r>
              <w:rPr>
                <w:color w:val="000000"/>
                <w:sz w:val="20"/>
                <w:szCs w:val="20"/>
              </w:rPr>
              <w:t>»</w:t>
            </w:r>
          </w:p>
        </w:tc>
        <w:tc>
          <w:tcPr>
            <w:tcW w:w="1994" w:type="dxa"/>
            <w:tcBorders>
              <w:top w:val="nil"/>
              <w:left w:val="single" w:sz="4" w:space="0" w:color="auto"/>
              <w:bottom w:val="single" w:sz="4" w:space="0" w:color="auto"/>
              <w:right w:val="single" w:sz="4" w:space="0" w:color="auto"/>
            </w:tcBorders>
            <w:shd w:val="clear" w:color="auto" w:fill="auto"/>
          </w:tcPr>
          <w:p w:rsidR="00D06A2F" w:rsidRPr="00E8065F" w:rsidRDefault="00D06A2F" w:rsidP="00BA1432">
            <w:pPr>
              <w:jc w:val="center"/>
              <w:rPr>
                <w:color w:val="000000"/>
                <w:sz w:val="20"/>
                <w:szCs w:val="20"/>
              </w:rPr>
            </w:pPr>
            <w:r>
              <w:rPr>
                <w:rFonts w:eastAsia="Calibri"/>
                <w:sz w:val="20"/>
                <w:szCs w:val="20"/>
              </w:rPr>
              <w:t>Фиброгастродуоденоскоп</w:t>
            </w:r>
          </w:p>
        </w:tc>
        <w:tc>
          <w:tcPr>
            <w:tcW w:w="1181" w:type="dxa"/>
            <w:tcBorders>
              <w:bottom w:val="single" w:sz="4" w:space="0" w:color="auto"/>
            </w:tcBorders>
          </w:tcPr>
          <w:p w:rsidR="00D06A2F" w:rsidRPr="00E8065F" w:rsidRDefault="00D06A2F" w:rsidP="000546C2">
            <w:pPr>
              <w:jc w:val="center"/>
              <w:rPr>
                <w:sz w:val="20"/>
                <w:szCs w:val="20"/>
              </w:rPr>
            </w:pPr>
            <w:r w:rsidRPr="00E8065F">
              <w:rPr>
                <w:sz w:val="20"/>
                <w:szCs w:val="20"/>
              </w:rPr>
              <w:t>2016</w:t>
            </w:r>
            <w:r w:rsidR="003D79B3">
              <w:rPr>
                <w:sz w:val="20"/>
                <w:szCs w:val="20"/>
              </w:rPr>
              <w:t xml:space="preserve"> </w:t>
            </w:r>
            <w:r w:rsidR="00130B69">
              <w:rPr>
                <w:sz w:val="20"/>
                <w:szCs w:val="20"/>
              </w:rPr>
              <w:t>(1)</w:t>
            </w:r>
          </w:p>
          <w:p w:rsidR="00D06A2F" w:rsidRPr="00E8065F" w:rsidRDefault="00D06A2F" w:rsidP="000546C2">
            <w:pPr>
              <w:jc w:val="center"/>
              <w:rPr>
                <w:sz w:val="20"/>
                <w:szCs w:val="20"/>
              </w:rPr>
            </w:pPr>
            <w:r w:rsidRPr="00E8065F">
              <w:rPr>
                <w:sz w:val="20"/>
                <w:szCs w:val="20"/>
              </w:rPr>
              <w:t>2017</w:t>
            </w:r>
            <w:r w:rsidR="003D79B3">
              <w:rPr>
                <w:sz w:val="20"/>
                <w:szCs w:val="20"/>
              </w:rPr>
              <w:t xml:space="preserve"> </w:t>
            </w:r>
            <w:r w:rsidR="00130B69">
              <w:rPr>
                <w:sz w:val="20"/>
                <w:szCs w:val="20"/>
              </w:rPr>
              <w:t>(2)</w:t>
            </w:r>
          </w:p>
          <w:p w:rsidR="00D06A2F" w:rsidRPr="00E8065F" w:rsidRDefault="00D06A2F" w:rsidP="000546C2">
            <w:pPr>
              <w:jc w:val="center"/>
              <w:rPr>
                <w:sz w:val="20"/>
                <w:szCs w:val="20"/>
              </w:rPr>
            </w:pPr>
            <w:r w:rsidRPr="00E8065F">
              <w:rPr>
                <w:sz w:val="20"/>
                <w:szCs w:val="20"/>
              </w:rPr>
              <w:t>2018</w:t>
            </w:r>
            <w:r w:rsidR="003D79B3">
              <w:rPr>
                <w:sz w:val="20"/>
                <w:szCs w:val="20"/>
              </w:rPr>
              <w:t xml:space="preserve"> </w:t>
            </w:r>
            <w:r w:rsidR="00130B69">
              <w:rPr>
                <w:sz w:val="20"/>
                <w:szCs w:val="20"/>
              </w:rPr>
              <w:t>(1)</w:t>
            </w:r>
          </w:p>
          <w:p w:rsidR="00D06A2F" w:rsidRPr="00E8065F" w:rsidRDefault="00D06A2F" w:rsidP="000546C2">
            <w:pPr>
              <w:jc w:val="center"/>
              <w:rPr>
                <w:sz w:val="20"/>
                <w:szCs w:val="20"/>
              </w:rPr>
            </w:pPr>
            <w:r w:rsidRPr="00E8065F">
              <w:rPr>
                <w:sz w:val="20"/>
                <w:szCs w:val="20"/>
              </w:rPr>
              <w:t>2021</w:t>
            </w:r>
            <w:r w:rsidR="003D79B3">
              <w:rPr>
                <w:sz w:val="20"/>
                <w:szCs w:val="20"/>
              </w:rPr>
              <w:t xml:space="preserve"> </w:t>
            </w:r>
            <w:r w:rsidR="00130B69">
              <w:rPr>
                <w:sz w:val="20"/>
                <w:szCs w:val="20"/>
              </w:rPr>
              <w:t>(1)</w:t>
            </w:r>
          </w:p>
        </w:tc>
        <w:tc>
          <w:tcPr>
            <w:tcW w:w="1181" w:type="dxa"/>
            <w:tcBorders>
              <w:top w:val="nil"/>
              <w:left w:val="single" w:sz="4" w:space="0" w:color="auto"/>
              <w:bottom w:val="single" w:sz="4" w:space="0" w:color="auto"/>
              <w:right w:val="single" w:sz="4" w:space="0" w:color="auto"/>
            </w:tcBorders>
            <w:shd w:val="clear" w:color="auto" w:fill="auto"/>
          </w:tcPr>
          <w:p w:rsidR="00D06A2F" w:rsidRPr="00E8065F" w:rsidRDefault="00D06A2F" w:rsidP="000546C2">
            <w:pPr>
              <w:jc w:val="center"/>
              <w:rPr>
                <w:color w:val="000000"/>
                <w:sz w:val="20"/>
                <w:szCs w:val="20"/>
              </w:rPr>
            </w:pPr>
            <w:r w:rsidRPr="00E8065F">
              <w:rPr>
                <w:color w:val="000000"/>
                <w:sz w:val="20"/>
                <w:szCs w:val="20"/>
              </w:rPr>
              <w:t>5</w:t>
            </w:r>
          </w:p>
        </w:tc>
        <w:tc>
          <w:tcPr>
            <w:tcW w:w="1478" w:type="dxa"/>
            <w:tcBorders>
              <w:top w:val="nil"/>
              <w:left w:val="single" w:sz="4" w:space="0" w:color="auto"/>
              <w:bottom w:val="single" w:sz="4" w:space="0" w:color="auto"/>
              <w:right w:val="single" w:sz="4" w:space="0" w:color="auto"/>
            </w:tcBorders>
            <w:shd w:val="clear" w:color="auto" w:fill="auto"/>
          </w:tcPr>
          <w:p w:rsidR="00D06A2F" w:rsidRPr="00E8065F" w:rsidRDefault="00D06A2F" w:rsidP="000546C2">
            <w:pPr>
              <w:jc w:val="center"/>
              <w:rPr>
                <w:color w:val="000000"/>
                <w:sz w:val="20"/>
                <w:szCs w:val="20"/>
              </w:rPr>
            </w:pPr>
            <w:r w:rsidRPr="00E8065F">
              <w:rPr>
                <w:color w:val="000000"/>
                <w:sz w:val="20"/>
                <w:szCs w:val="20"/>
              </w:rPr>
              <w:t>9,6</w:t>
            </w:r>
          </w:p>
        </w:tc>
        <w:tc>
          <w:tcPr>
            <w:tcW w:w="1111" w:type="dxa"/>
            <w:tcBorders>
              <w:top w:val="nil"/>
              <w:left w:val="single" w:sz="4" w:space="0" w:color="auto"/>
              <w:bottom w:val="single" w:sz="4" w:space="0" w:color="auto"/>
              <w:right w:val="single" w:sz="4" w:space="0" w:color="auto"/>
            </w:tcBorders>
            <w:shd w:val="clear" w:color="auto" w:fill="auto"/>
          </w:tcPr>
          <w:p w:rsidR="00D06A2F" w:rsidRPr="00E8065F" w:rsidRDefault="00D06A2F" w:rsidP="000546C2">
            <w:pPr>
              <w:jc w:val="center"/>
              <w:rPr>
                <w:color w:val="000000"/>
                <w:sz w:val="20"/>
                <w:szCs w:val="20"/>
              </w:rPr>
            </w:pPr>
            <w:r w:rsidRPr="00E8065F">
              <w:rPr>
                <w:color w:val="000000"/>
                <w:sz w:val="20"/>
                <w:szCs w:val="20"/>
              </w:rPr>
              <w:t>1</w:t>
            </w:r>
          </w:p>
        </w:tc>
        <w:tc>
          <w:tcPr>
            <w:tcW w:w="1944" w:type="dxa"/>
            <w:tcBorders>
              <w:top w:val="nil"/>
              <w:left w:val="single" w:sz="4" w:space="0" w:color="auto"/>
              <w:bottom w:val="single" w:sz="4" w:space="0" w:color="auto"/>
              <w:right w:val="single" w:sz="4" w:space="0" w:color="auto"/>
            </w:tcBorders>
            <w:shd w:val="clear" w:color="auto" w:fill="auto"/>
          </w:tcPr>
          <w:p w:rsidR="00D06A2F" w:rsidRPr="00E8065F" w:rsidRDefault="00D06A2F" w:rsidP="00BA1432">
            <w:pPr>
              <w:jc w:val="center"/>
              <w:rPr>
                <w:color w:val="000000"/>
                <w:sz w:val="20"/>
                <w:szCs w:val="20"/>
              </w:rPr>
            </w:pPr>
            <w:r w:rsidRPr="00E8065F">
              <w:rPr>
                <w:color w:val="000000"/>
                <w:sz w:val="20"/>
                <w:szCs w:val="20"/>
              </w:rPr>
              <w:t>Амбулаторное/стационарное</w:t>
            </w:r>
          </w:p>
        </w:tc>
      </w:tr>
      <w:tr w:rsidR="00D06A2F" w:rsidRPr="00E8065F" w:rsidTr="00CD3A6F">
        <w:trPr>
          <w:trHeight w:val="20"/>
        </w:trPr>
        <w:tc>
          <w:tcPr>
            <w:tcW w:w="1555" w:type="dxa"/>
            <w:vMerge/>
            <w:tcBorders>
              <w:left w:val="single" w:sz="4" w:space="0" w:color="auto"/>
              <w:right w:val="single" w:sz="4" w:space="0" w:color="auto"/>
            </w:tcBorders>
          </w:tcPr>
          <w:p w:rsidR="00D06A2F" w:rsidRPr="00E8065F" w:rsidRDefault="00D06A2F" w:rsidP="00BA1432">
            <w:pPr>
              <w:rPr>
                <w:sz w:val="20"/>
                <w:szCs w:val="20"/>
              </w:rPr>
            </w:pPr>
          </w:p>
        </w:tc>
        <w:tc>
          <w:tcPr>
            <w:tcW w:w="3685" w:type="dxa"/>
            <w:tcBorders>
              <w:top w:val="single" w:sz="4" w:space="0" w:color="auto"/>
              <w:left w:val="single" w:sz="4" w:space="0" w:color="auto"/>
              <w:bottom w:val="single" w:sz="4" w:space="0" w:color="auto"/>
              <w:right w:val="nil"/>
            </w:tcBorders>
            <w:shd w:val="clear" w:color="auto" w:fill="auto"/>
          </w:tcPr>
          <w:p w:rsidR="00D06A2F" w:rsidRPr="00E8065F" w:rsidRDefault="00D06A2F" w:rsidP="00DC0475">
            <w:pPr>
              <w:jc w:val="both"/>
              <w:rPr>
                <w:color w:val="000000"/>
                <w:sz w:val="20"/>
                <w:szCs w:val="20"/>
              </w:rPr>
            </w:pPr>
            <w:r w:rsidRPr="00E8065F">
              <w:rPr>
                <w:color w:val="000000"/>
                <w:sz w:val="20"/>
                <w:szCs w:val="20"/>
              </w:rPr>
              <w:t xml:space="preserve">ГАУЗ </w:t>
            </w:r>
            <w:r>
              <w:rPr>
                <w:color w:val="000000"/>
                <w:sz w:val="20"/>
                <w:szCs w:val="20"/>
              </w:rPr>
              <w:t>«</w:t>
            </w:r>
            <w:r w:rsidRPr="00E8065F">
              <w:rPr>
                <w:color w:val="000000"/>
                <w:sz w:val="20"/>
                <w:szCs w:val="20"/>
              </w:rPr>
              <w:t>Менделеевская ЦРБ</w:t>
            </w:r>
            <w:r>
              <w:rPr>
                <w:color w:val="000000"/>
                <w:sz w:val="20"/>
                <w:szCs w:val="20"/>
              </w:rPr>
              <w:t>»</w:t>
            </w:r>
          </w:p>
        </w:tc>
        <w:tc>
          <w:tcPr>
            <w:tcW w:w="1994" w:type="dxa"/>
            <w:tcBorders>
              <w:top w:val="single" w:sz="4" w:space="0" w:color="auto"/>
              <w:left w:val="single" w:sz="4" w:space="0" w:color="auto"/>
              <w:bottom w:val="single" w:sz="4" w:space="0" w:color="auto"/>
              <w:right w:val="single" w:sz="4" w:space="0" w:color="auto"/>
            </w:tcBorders>
            <w:shd w:val="clear" w:color="auto" w:fill="auto"/>
          </w:tcPr>
          <w:p w:rsidR="00D06A2F" w:rsidRPr="00E8065F" w:rsidRDefault="00D06A2F" w:rsidP="00BA1432">
            <w:pPr>
              <w:jc w:val="center"/>
              <w:rPr>
                <w:color w:val="000000"/>
                <w:sz w:val="20"/>
                <w:szCs w:val="20"/>
              </w:rPr>
            </w:pPr>
            <w:r>
              <w:rPr>
                <w:rFonts w:eastAsia="Calibri"/>
                <w:sz w:val="20"/>
                <w:szCs w:val="20"/>
              </w:rPr>
              <w:t>Фиброгастродуоденоскоп</w:t>
            </w:r>
          </w:p>
        </w:tc>
        <w:tc>
          <w:tcPr>
            <w:tcW w:w="1181" w:type="dxa"/>
            <w:tcBorders>
              <w:top w:val="single" w:sz="4" w:space="0" w:color="auto"/>
            </w:tcBorders>
          </w:tcPr>
          <w:p w:rsidR="00D06A2F" w:rsidRPr="00E8065F" w:rsidRDefault="00D06A2F" w:rsidP="000546C2">
            <w:pPr>
              <w:jc w:val="center"/>
              <w:rPr>
                <w:sz w:val="20"/>
                <w:szCs w:val="20"/>
              </w:rPr>
            </w:pPr>
            <w:r w:rsidRPr="00E8065F">
              <w:rPr>
                <w:sz w:val="20"/>
                <w:szCs w:val="20"/>
              </w:rPr>
              <w:t>2015</w:t>
            </w:r>
            <w:r w:rsidR="003D79B3">
              <w:rPr>
                <w:sz w:val="20"/>
                <w:szCs w:val="20"/>
              </w:rPr>
              <w:t xml:space="preserve"> </w:t>
            </w:r>
            <w:r w:rsidR="00130B69">
              <w:rPr>
                <w:sz w:val="20"/>
                <w:szCs w:val="20"/>
              </w:rPr>
              <w:t>(1)</w:t>
            </w:r>
          </w:p>
          <w:p w:rsidR="00D06A2F" w:rsidRPr="00E8065F" w:rsidRDefault="00D06A2F" w:rsidP="000546C2">
            <w:pPr>
              <w:jc w:val="center"/>
              <w:rPr>
                <w:sz w:val="20"/>
                <w:szCs w:val="20"/>
              </w:rPr>
            </w:pPr>
            <w:r w:rsidRPr="00E8065F">
              <w:rPr>
                <w:sz w:val="20"/>
                <w:szCs w:val="20"/>
              </w:rPr>
              <w:t>2016</w:t>
            </w:r>
            <w:r w:rsidR="003D79B3">
              <w:rPr>
                <w:sz w:val="20"/>
                <w:szCs w:val="20"/>
              </w:rPr>
              <w:t xml:space="preserve"> </w:t>
            </w:r>
            <w:r w:rsidR="00130B69">
              <w:rPr>
                <w:sz w:val="20"/>
                <w:szCs w:val="20"/>
              </w:rPr>
              <w:t>(1)</w:t>
            </w:r>
          </w:p>
        </w:tc>
        <w:tc>
          <w:tcPr>
            <w:tcW w:w="1181" w:type="dxa"/>
            <w:tcBorders>
              <w:top w:val="single" w:sz="4" w:space="0" w:color="auto"/>
              <w:left w:val="single" w:sz="4" w:space="0" w:color="auto"/>
              <w:bottom w:val="single" w:sz="4" w:space="0" w:color="auto"/>
              <w:right w:val="single" w:sz="4" w:space="0" w:color="auto"/>
            </w:tcBorders>
            <w:shd w:val="clear" w:color="auto" w:fill="auto"/>
          </w:tcPr>
          <w:p w:rsidR="00D06A2F" w:rsidRPr="00E8065F" w:rsidRDefault="00D06A2F" w:rsidP="000546C2">
            <w:pPr>
              <w:jc w:val="center"/>
              <w:rPr>
                <w:color w:val="000000"/>
                <w:sz w:val="20"/>
                <w:szCs w:val="20"/>
              </w:rPr>
            </w:pPr>
            <w:r w:rsidRPr="00E8065F">
              <w:rPr>
                <w:color w:val="000000"/>
                <w:sz w:val="20"/>
                <w:szCs w:val="20"/>
              </w:rPr>
              <w:t>2</w:t>
            </w:r>
          </w:p>
        </w:tc>
        <w:tc>
          <w:tcPr>
            <w:tcW w:w="1478" w:type="dxa"/>
            <w:tcBorders>
              <w:top w:val="single" w:sz="4" w:space="0" w:color="auto"/>
              <w:left w:val="single" w:sz="4" w:space="0" w:color="auto"/>
              <w:bottom w:val="single" w:sz="4" w:space="0" w:color="auto"/>
              <w:right w:val="single" w:sz="4" w:space="0" w:color="auto"/>
            </w:tcBorders>
            <w:shd w:val="clear" w:color="auto" w:fill="auto"/>
          </w:tcPr>
          <w:p w:rsidR="00D06A2F" w:rsidRPr="00E8065F" w:rsidRDefault="00D06A2F" w:rsidP="000546C2">
            <w:pPr>
              <w:jc w:val="center"/>
              <w:rPr>
                <w:color w:val="000000"/>
                <w:sz w:val="20"/>
                <w:szCs w:val="20"/>
              </w:rPr>
            </w:pPr>
            <w:r w:rsidRPr="00E8065F">
              <w:rPr>
                <w:color w:val="000000"/>
                <w:sz w:val="20"/>
                <w:szCs w:val="20"/>
              </w:rPr>
              <w:t>5,2</w:t>
            </w:r>
          </w:p>
        </w:tc>
        <w:tc>
          <w:tcPr>
            <w:tcW w:w="1111" w:type="dxa"/>
            <w:tcBorders>
              <w:top w:val="single" w:sz="4" w:space="0" w:color="auto"/>
              <w:left w:val="single" w:sz="4" w:space="0" w:color="auto"/>
              <w:bottom w:val="single" w:sz="4" w:space="0" w:color="auto"/>
              <w:right w:val="single" w:sz="4" w:space="0" w:color="auto"/>
            </w:tcBorders>
            <w:shd w:val="clear" w:color="auto" w:fill="auto"/>
          </w:tcPr>
          <w:p w:rsidR="00D06A2F" w:rsidRPr="00E8065F" w:rsidRDefault="00D06A2F" w:rsidP="000546C2">
            <w:pPr>
              <w:jc w:val="center"/>
              <w:rPr>
                <w:color w:val="000000"/>
                <w:sz w:val="20"/>
                <w:szCs w:val="20"/>
              </w:rPr>
            </w:pPr>
            <w:r w:rsidRPr="00E8065F">
              <w:rPr>
                <w:color w:val="000000"/>
                <w:sz w:val="20"/>
                <w:szCs w:val="20"/>
              </w:rPr>
              <w:t>1</w:t>
            </w:r>
          </w:p>
        </w:tc>
        <w:tc>
          <w:tcPr>
            <w:tcW w:w="1944" w:type="dxa"/>
            <w:tcBorders>
              <w:top w:val="single" w:sz="4" w:space="0" w:color="auto"/>
              <w:left w:val="single" w:sz="4" w:space="0" w:color="auto"/>
              <w:bottom w:val="single" w:sz="4" w:space="0" w:color="auto"/>
              <w:right w:val="single" w:sz="4" w:space="0" w:color="auto"/>
            </w:tcBorders>
            <w:shd w:val="clear" w:color="auto" w:fill="auto"/>
          </w:tcPr>
          <w:p w:rsidR="00D06A2F" w:rsidRPr="00E8065F" w:rsidRDefault="00D06A2F" w:rsidP="00BA1432">
            <w:pPr>
              <w:jc w:val="center"/>
              <w:rPr>
                <w:color w:val="000000"/>
                <w:sz w:val="20"/>
                <w:szCs w:val="20"/>
              </w:rPr>
            </w:pPr>
            <w:r w:rsidRPr="00E8065F">
              <w:rPr>
                <w:color w:val="000000"/>
                <w:sz w:val="20"/>
                <w:szCs w:val="20"/>
              </w:rPr>
              <w:t>Амбулаторное</w:t>
            </w:r>
          </w:p>
        </w:tc>
      </w:tr>
      <w:tr w:rsidR="00D06A2F" w:rsidRPr="00E8065F" w:rsidTr="00CD3A6F">
        <w:trPr>
          <w:trHeight w:val="20"/>
        </w:trPr>
        <w:tc>
          <w:tcPr>
            <w:tcW w:w="1555" w:type="dxa"/>
            <w:vMerge/>
            <w:tcBorders>
              <w:left w:val="single" w:sz="4" w:space="0" w:color="auto"/>
              <w:right w:val="single" w:sz="4" w:space="0" w:color="auto"/>
            </w:tcBorders>
          </w:tcPr>
          <w:p w:rsidR="00D06A2F" w:rsidRPr="00E8065F" w:rsidRDefault="00D06A2F" w:rsidP="00BA1432">
            <w:pPr>
              <w:rPr>
                <w:sz w:val="20"/>
                <w:szCs w:val="20"/>
              </w:rPr>
            </w:pPr>
          </w:p>
        </w:tc>
        <w:tc>
          <w:tcPr>
            <w:tcW w:w="3685" w:type="dxa"/>
            <w:tcBorders>
              <w:top w:val="nil"/>
              <w:left w:val="single" w:sz="4" w:space="0" w:color="auto"/>
              <w:bottom w:val="single" w:sz="4" w:space="0" w:color="auto"/>
              <w:right w:val="nil"/>
            </w:tcBorders>
            <w:shd w:val="clear" w:color="auto" w:fill="auto"/>
          </w:tcPr>
          <w:p w:rsidR="00D06A2F" w:rsidRPr="00E8065F" w:rsidRDefault="00D06A2F" w:rsidP="00DC0475">
            <w:pPr>
              <w:jc w:val="both"/>
              <w:rPr>
                <w:color w:val="000000"/>
                <w:sz w:val="20"/>
                <w:szCs w:val="20"/>
              </w:rPr>
            </w:pPr>
            <w:r w:rsidRPr="00E8065F">
              <w:rPr>
                <w:color w:val="000000"/>
                <w:sz w:val="20"/>
                <w:szCs w:val="20"/>
              </w:rPr>
              <w:t xml:space="preserve">ГАУЗ </w:t>
            </w:r>
            <w:r>
              <w:rPr>
                <w:color w:val="000000"/>
                <w:sz w:val="20"/>
                <w:szCs w:val="20"/>
              </w:rPr>
              <w:t>«</w:t>
            </w:r>
            <w:r w:rsidRPr="00E8065F">
              <w:rPr>
                <w:color w:val="000000"/>
                <w:sz w:val="20"/>
                <w:szCs w:val="20"/>
              </w:rPr>
              <w:t>Мензелинская ЦРБ</w:t>
            </w:r>
            <w:r>
              <w:rPr>
                <w:color w:val="000000"/>
                <w:sz w:val="20"/>
                <w:szCs w:val="20"/>
              </w:rPr>
              <w:t>»</w:t>
            </w:r>
            <w:r w:rsidRPr="00E8065F">
              <w:rPr>
                <w:color w:val="000000"/>
                <w:sz w:val="20"/>
                <w:szCs w:val="20"/>
              </w:rPr>
              <w:t xml:space="preserve"> </w:t>
            </w:r>
          </w:p>
        </w:tc>
        <w:tc>
          <w:tcPr>
            <w:tcW w:w="1994" w:type="dxa"/>
            <w:tcBorders>
              <w:top w:val="nil"/>
              <w:left w:val="single" w:sz="4" w:space="0" w:color="auto"/>
              <w:bottom w:val="single" w:sz="4" w:space="0" w:color="auto"/>
              <w:right w:val="single" w:sz="4" w:space="0" w:color="auto"/>
            </w:tcBorders>
            <w:shd w:val="clear" w:color="auto" w:fill="auto"/>
          </w:tcPr>
          <w:p w:rsidR="00D06A2F" w:rsidRPr="00E8065F" w:rsidRDefault="00D06A2F" w:rsidP="00BA1432">
            <w:pPr>
              <w:jc w:val="center"/>
              <w:rPr>
                <w:color w:val="000000"/>
                <w:sz w:val="20"/>
                <w:szCs w:val="20"/>
              </w:rPr>
            </w:pPr>
            <w:r>
              <w:rPr>
                <w:rFonts w:eastAsia="Calibri"/>
                <w:sz w:val="20"/>
                <w:szCs w:val="20"/>
              </w:rPr>
              <w:t>Фиброгастродуоденоскоп</w:t>
            </w:r>
          </w:p>
        </w:tc>
        <w:tc>
          <w:tcPr>
            <w:tcW w:w="1181" w:type="dxa"/>
            <w:tcBorders>
              <w:bottom w:val="single" w:sz="4" w:space="0" w:color="auto"/>
            </w:tcBorders>
          </w:tcPr>
          <w:p w:rsidR="00D06A2F" w:rsidRPr="00E8065F" w:rsidRDefault="00D06A2F" w:rsidP="000546C2">
            <w:pPr>
              <w:jc w:val="center"/>
              <w:rPr>
                <w:sz w:val="20"/>
                <w:szCs w:val="20"/>
              </w:rPr>
            </w:pPr>
            <w:r w:rsidRPr="00E8065F">
              <w:rPr>
                <w:sz w:val="20"/>
                <w:szCs w:val="20"/>
              </w:rPr>
              <w:t>2007</w:t>
            </w:r>
            <w:r w:rsidR="003D79B3">
              <w:rPr>
                <w:sz w:val="20"/>
                <w:szCs w:val="20"/>
              </w:rPr>
              <w:t xml:space="preserve"> </w:t>
            </w:r>
            <w:r w:rsidR="00130B69">
              <w:rPr>
                <w:sz w:val="20"/>
                <w:szCs w:val="20"/>
              </w:rPr>
              <w:t>(1)</w:t>
            </w:r>
          </w:p>
          <w:p w:rsidR="00D06A2F" w:rsidRPr="00E8065F" w:rsidRDefault="00D06A2F" w:rsidP="000546C2">
            <w:pPr>
              <w:jc w:val="center"/>
              <w:rPr>
                <w:sz w:val="20"/>
                <w:szCs w:val="20"/>
              </w:rPr>
            </w:pPr>
            <w:r w:rsidRPr="00E8065F">
              <w:rPr>
                <w:sz w:val="20"/>
                <w:szCs w:val="20"/>
              </w:rPr>
              <w:t>2014</w:t>
            </w:r>
            <w:r w:rsidR="003D79B3">
              <w:rPr>
                <w:sz w:val="20"/>
                <w:szCs w:val="20"/>
              </w:rPr>
              <w:t xml:space="preserve"> </w:t>
            </w:r>
            <w:r w:rsidR="00130B69">
              <w:rPr>
                <w:sz w:val="20"/>
                <w:szCs w:val="20"/>
              </w:rPr>
              <w:t>(1)</w:t>
            </w:r>
          </w:p>
          <w:p w:rsidR="00D06A2F" w:rsidRPr="00E8065F" w:rsidRDefault="00D06A2F" w:rsidP="000546C2">
            <w:pPr>
              <w:jc w:val="center"/>
              <w:rPr>
                <w:sz w:val="20"/>
                <w:szCs w:val="20"/>
              </w:rPr>
            </w:pPr>
            <w:r w:rsidRPr="00E8065F">
              <w:rPr>
                <w:sz w:val="20"/>
                <w:szCs w:val="20"/>
              </w:rPr>
              <w:t>2017</w:t>
            </w:r>
            <w:r w:rsidR="003D79B3">
              <w:rPr>
                <w:sz w:val="20"/>
                <w:szCs w:val="20"/>
              </w:rPr>
              <w:t xml:space="preserve"> </w:t>
            </w:r>
            <w:r w:rsidR="00130B69">
              <w:rPr>
                <w:sz w:val="20"/>
                <w:szCs w:val="20"/>
              </w:rPr>
              <w:t>(1)</w:t>
            </w:r>
          </w:p>
          <w:p w:rsidR="00D06A2F" w:rsidRPr="00E8065F" w:rsidRDefault="00D06A2F" w:rsidP="000546C2">
            <w:pPr>
              <w:jc w:val="center"/>
              <w:rPr>
                <w:sz w:val="20"/>
                <w:szCs w:val="20"/>
              </w:rPr>
            </w:pPr>
            <w:r w:rsidRPr="00E8065F">
              <w:rPr>
                <w:sz w:val="20"/>
                <w:szCs w:val="20"/>
              </w:rPr>
              <w:t>2018</w:t>
            </w:r>
            <w:r w:rsidR="003D79B3">
              <w:rPr>
                <w:sz w:val="20"/>
                <w:szCs w:val="20"/>
              </w:rPr>
              <w:t xml:space="preserve"> </w:t>
            </w:r>
            <w:r w:rsidR="00130B69">
              <w:rPr>
                <w:sz w:val="20"/>
                <w:szCs w:val="20"/>
              </w:rPr>
              <w:t>(1)</w:t>
            </w:r>
          </w:p>
        </w:tc>
        <w:tc>
          <w:tcPr>
            <w:tcW w:w="1181" w:type="dxa"/>
            <w:tcBorders>
              <w:top w:val="nil"/>
              <w:left w:val="single" w:sz="4" w:space="0" w:color="auto"/>
              <w:bottom w:val="single" w:sz="4" w:space="0" w:color="auto"/>
              <w:right w:val="single" w:sz="4" w:space="0" w:color="auto"/>
            </w:tcBorders>
            <w:shd w:val="clear" w:color="auto" w:fill="auto"/>
          </w:tcPr>
          <w:p w:rsidR="00D06A2F" w:rsidRPr="00E8065F" w:rsidRDefault="00D06A2F" w:rsidP="000546C2">
            <w:pPr>
              <w:jc w:val="center"/>
              <w:rPr>
                <w:color w:val="000000"/>
                <w:sz w:val="20"/>
                <w:szCs w:val="20"/>
              </w:rPr>
            </w:pPr>
            <w:r w:rsidRPr="00E8065F">
              <w:rPr>
                <w:color w:val="000000"/>
                <w:sz w:val="20"/>
                <w:szCs w:val="20"/>
              </w:rPr>
              <w:t>4</w:t>
            </w:r>
          </w:p>
        </w:tc>
        <w:tc>
          <w:tcPr>
            <w:tcW w:w="1478" w:type="dxa"/>
            <w:tcBorders>
              <w:top w:val="nil"/>
              <w:left w:val="single" w:sz="4" w:space="0" w:color="auto"/>
              <w:bottom w:val="single" w:sz="4" w:space="0" w:color="auto"/>
              <w:right w:val="single" w:sz="4" w:space="0" w:color="auto"/>
            </w:tcBorders>
            <w:shd w:val="clear" w:color="auto" w:fill="auto"/>
          </w:tcPr>
          <w:p w:rsidR="00D06A2F" w:rsidRPr="00E8065F" w:rsidRDefault="00D06A2F" w:rsidP="000546C2">
            <w:pPr>
              <w:jc w:val="center"/>
              <w:rPr>
                <w:color w:val="000000"/>
                <w:sz w:val="20"/>
                <w:szCs w:val="20"/>
              </w:rPr>
            </w:pPr>
            <w:r w:rsidRPr="00E8065F">
              <w:rPr>
                <w:color w:val="000000"/>
                <w:sz w:val="20"/>
                <w:szCs w:val="20"/>
              </w:rPr>
              <w:t>5,2</w:t>
            </w:r>
          </w:p>
        </w:tc>
        <w:tc>
          <w:tcPr>
            <w:tcW w:w="1111" w:type="dxa"/>
            <w:tcBorders>
              <w:top w:val="nil"/>
              <w:left w:val="single" w:sz="4" w:space="0" w:color="auto"/>
              <w:bottom w:val="single" w:sz="4" w:space="0" w:color="auto"/>
              <w:right w:val="single" w:sz="4" w:space="0" w:color="auto"/>
            </w:tcBorders>
            <w:shd w:val="clear" w:color="auto" w:fill="auto"/>
          </w:tcPr>
          <w:p w:rsidR="00D06A2F" w:rsidRPr="00E8065F" w:rsidRDefault="00D06A2F" w:rsidP="000546C2">
            <w:pPr>
              <w:jc w:val="center"/>
              <w:rPr>
                <w:color w:val="000000"/>
                <w:sz w:val="20"/>
                <w:szCs w:val="20"/>
              </w:rPr>
            </w:pPr>
            <w:r w:rsidRPr="00E8065F">
              <w:rPr>
                <w:color w:val="000000"/>
                <w:sz w:val="20"/>
                <w:szCs w:val="20"/>
              </w:rPr>
              <w:t>1</w:t>
            </w:r>
          </w:p>
        </w:tc>
        <w:tc>
          <w:tcPr>
            <w:tcW w:w="1944" w:type="dxa"/>
            <w:tcBorders>
              <w:top w:val="nil"/>
              <w:left w:val="single" w:sz="4" w:space="0" w:color="auto"/>
              <w:bottom w:val="single" w:sz="4" w:space="0" w:color="auto"/>
              <w:right w:val="single" w:sz="4" w:space="0" w:color="auto"/>
            </w:tcBorders>
            <w:shd w:val="clear" w:color="auto" w:fill="auto"/>
          </w:tcPr>
          <w:p w:rsidR="00D06A2F" w:rsidRPr="00E8065F" w:rsidRDefault="00D06A2F" w:rsidP="00BA1432">
            <w:pPr>
              <w:jc w:val="center"/>
              <w:rPr>
                <w:color w:val="000000"/>
                <w:sz w:val="20"/>
                <w:szCs w:val="20"/>
              </w:rPr>
            </w:pPr>
            <w:r w:rsidRPr="00E8065F">
              <w:rPr>
                <w:color w:val="000000"/>
                <w:sz w:val="20"/>
                <w:szCs w:val="20"/>
              </w:rPr>
              <w:t>Амбулаторное/стационарное</w:t>
            </w:r>
          </w:p>
        </w:tc>
      </w:tr>
      <w:tr w:rsidR="00D06A2F" w:rsidRPr="00E8065F" w:rsidTr="00CD3A6F">
        <w:trPr>
          <w:trHeight w:val="20"/>
        </w:trPr>
        <w:tc>
          <w:tcPr>
            <w:tcW w:w="1555" w:type="dxa"/>
            <w:vMerge/>
            <w:tcBorders>
              <w:left w:val="single" w:sz="4" w:space="0" w:color="auto"/>
              <w:right w:val="single" w:sz="4" w:space="0" w:color="auto"/>
            </w:tcBorders>
          </w:tcPr>
          <w:p w:rsidR="00D06A2F" w:rsidRPr="00E8065F" w:rsidRDefault="00D06A2F" w:rsidP="00BA1432">
            <w:pPr>
              <w:rPr>
                <w:sz w:val="20"/>
                <w:szCs w:val="20"/>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D06A2F" w:rsidRPr="00E8065F" w:rsidRDefault="00D06A2F" w:rsidP="00DC0475">
            <w:pPr>
              <w:jc w:val="both"/>
              <w:rPr>
                <w:color w:val="000000"/>
                <w:sz w:val="20"/>
                <w:szCs w:val="20"/>
              </w:rPr>
            </w:pPr>
            <w:r w:rsidRPr="00E8065F">
              <w:rPr>
                <w:color w:val="000000"/>
                <w:sz w:val="20"/>
                <w:szCs w:val="20"/>
              </w:rPr>
              <w:t xml:space="preserve">ГАУЗ </w:t>
            </w:r>
            <w:r>
              <w:rPr>
                <w:color w:val="000000"/>
                <w:sz w:val="20"/>
                <w:szCs w:val="20"/>
              </w:rPr>
              <w:t>«</w:t>
            </w:r>
            <w:r w:rsidRPr="00E8065F">
              <w:rPr>
                <w:color w:val="000000"/>
                <w:sz w:val="20"/>
                <w:szCs w:val="20"/>
              </w:rPr>
              <w:t>Муслюмовская ЦРБ</w:t>
            </w:r>
            <w:r>
              <w:rPr>
                <w:color w:val="000000"/>
                <w:sz w:val="20"/>
                <w:szCs w:val="20"/>
              </w:rPr>
              <w:t>»</w:t>
            </w:r>
            <w:r w:rsidRPr="00E8065F">
              <w:rPr>
                <w:color w:val="000000"/>
                <w:sz w:val="20"/>
                <w:szCs w:val="20"/>
              </w:rPr>
              <w:t xml:space="preserve"> </w:t>
            </w:r>
          </w:p>
        </w:tc>
        <w:tc>
          <w:tcPr>
            <w:tcW w:w="1994" w:type="dxa"/>
            <w:tcBorders>
              <w:top w:val="single" w:sz="4" w:space="0" w:color="auto"/>
              <w:left w:val="single" w:sz="4" w:space="0" w:color="auto"/>
              <w:bottom w:val="single" w:sz="4" w:space="0" w:color="auto"/>
              <w:right w:val="single" w:sz="4" w:space="0" w:color="auto"/>
            </w:tcBorders>
            <w:shd w:val="clear" w:color="auto" w:fill="auto"/>
          </w:tcPr>
          <w:p w:rsidR="00D06A2F" w:rsidRPr="00E8065F" w:rsidRDefault="00D06A2F" w:rsidP="00BA1432">
            <w:pPr>
              <w:jc w:val="center"/>
              <w:rPr>
                <w:color w:val="000000"/>
                <w:sz w:val="20"/>
                <w:szCs w:val="20"/>
              </w:rPr>
            </w:pPr>
            <w:r>
              <w:rPr>
                <w:rFonts w:eastAsia="Calibri"/>
                <w:sz w:val="20"/>
                <w:szCs w:val="20"/>
              </w:rPr>
              <w:t>Фиброгастродуоденоскоп</w:t>
            </w:r>
          </w:p>
        </w:tc>
        <w:tc>
          <w:tcPr>
            <w:tcW w:w="1181" w:type="dxa"/>
            <w:tcBorders>
              <w:top w:val="single" w:sz="4" w:space="0" w:color="auto"/>
              <w:left w:val="single" w:sz="4" w:space="0" w:color="auto"/>
              <w:bottom w:val="single" w:sz="4" w:space="0" w:color="auto"/>
              <w:right w:val="single" w:sz="4" w:space="0" w:color="auto"/>
            </w:tcBorders>
          </w:tcPr>
          <w:p w:rsidR="00D06A2F" w:rsidRPr="00E8065F" w:rsidRDefault="00D06A2F" w:rsidP="000546C2">
            <w:pPr>
              <w:jc w:val="center"/>
              <w:rPr>
                <w:sz w:val="20"/>
                <w:szCs w:val="20"/>
              </w:rPr>
            </w:pPr>
            <w:r w:rsidRPr="00E8065F">
              <w:rPr>
                <w:sz w:val="20"/>
                <w:szCs w:val="20"/>
              </w:rPr>
              <w:t>2008</w:t>
            </w:r>
            <w:r w:rsidR="003D79B3">
              <w:rPr>
                <w:sz w:val="20"/>
                <w:szCs w:val="20"/>
              </w:rPr>
              <w:t xml:space="preserve"> </w:t>
            </w:r>
            <w:r w:rsidR="00130B69">
              <w:rPr>
                <w:sz w:val="20"/>
                <w:szCs w:val="20"/>
              </w:rPr>
              <w:t>(1)</w:t>
            </w:r>
          </w:p>
          <w:p w:rsidR="00D06A2F" w:rsidRPr="00E8065F" w:rsidRDefault="00D06A2F" w:rsidP="000546C2">
            <w:pPr>
              <w:jc w:val="center"/>
              <w:rPr>
                <w:sz w:val="20"/>
                <w:szCs w:val="20"/>
              </w:rPr>
            </w:pPr>
            <w:r w:rsidRPr="00E8065F">
              <w:rPr>
                <w:sz w:val="20"/>
                <w:szCs w:val="20"/>
              </w:rPr>
              <w:t>2016</w:t>
            </w:r>
            <w:r w:rsidR="003D79B3">
              <w:rPr>
                <w:sz w:val="20"/>
                <w:szCs w:val="20"/>
              </w:rPr>
              <w:t xml:space="preserve"> </w:t>
            </w:r>
            <w:r w:rsidR="00130B69">
              <w:rPr>
                <w:sz w:val="20"/>
                <w:szCs w:val="20"/>
              </w:rPr>
              <w:t>(1)</w:t>
            </w:r>
          </w:p>
        </w:tc>
        <w:tc>
          <w:tcPr>
            <w:tcW w:w="1181" w:type="dxa"/>
            <w:tcBorders>
              <w:top w:val="single" w:sz="4" w:space="0" w:color="auto"/>
              <w:left w:val="single" w:sz="4" w:space="0" w:color="auto"/>
              <w:bottom w:val="single" w:sz="4" w:space="0" w:color="auto"/>
              <w:right w:val="single" w:sz="4" w:space="0" w:color="auto"/>
            </w:tcBorders>
            <w:shd w:val="clear" w:color="auto" w:fill="auto"/>
          </w:tcPr>
          <w:p w:rsidR="00D06A2F" w:rsidRPr="00E8065F" w:rsidRDefault="00D06A2F" w:rsidP="000546C2">
            <w:pPr>
              <w:jc w:val="center"/>
              <w:rPr>
                <w:color w:val="000000"/>
                <w:sz w:val="20"/>
                <w:szCs w:val="20"/>
              </w:rPr>
            </w:pPr>
            <w:r w:rsidRPr="00E8065F">
              <w:rPr>
                <w:color w:val="000000"/>
                <w:sz w:val="20"/>
                <w:szCs w:val="20"/>
              </w:rPr>
              <w:t>2</w:t>
            </w:r>
          </w:p>
        </w:tc>
        <w:tc>
          <w:tcPr>
            <w:tcW w:w="1478" w:type="dxa"/>
            <w:tcBorders>
              <w:top w:val="single" w:sz="4" w:space="0" w:color="auto"/>
              <w:left w:val="single" w:sz="4" w:space="0" w:color="auto"/>
              <w:bottom w:val="single" w:sz="4" w:space="0" w:color="auto"/>
              <w:right w:val="single" w:sz="4" w:space="0" w:color="auto"/>
            </w:tcBorders>
            <w:shd w:val="clear" w:color="auto" w:fill="auto"/>
          </w:tcPr>
          <w:p w:rsidR="00D06A2F" w:rsidRPr="00E8065F" w:rsidRDefault="00D06A2F" w:rsidP="000546C2">
            <w:pPr>
              <w:jc w:val="center"/>
              <w:rPr>
                <w:color w:val="000000"/>
                <w:sz w:val="20"/>
                <w:szCs w:val="20"/>
              </w:rPr>
            </w:pPr>
            <w:r w:rsidRPr="00E8065F">
              <w:rPr>
                <w:color w:val="000000"/>
                <w:sz w:val="20"/>
                <w:szCs w:val="20"/>
              </w:rPr>
              <w:t>3,8</w:t>
            </w:r>
          </w:p>
        </w:tc>
        <w:tc>
          <w:tcPr>
            <w:tcW w:w="1111" w:type="dxa"/>
            <w:tcBorders>
              <w:top w:val="single" w:sz="4" w:space="0" w:color="auto"/>
              <w:left w:val="single" w:sz="4" w:space="0" w:color="auto"/>
              <w:bottom w:val="single" w:sz="4" w:space="0" w:color="auto"/>
              <w:right w:val="single" w:sz="4" w:space="0" w:color="auto"/>
            </w:tcBorders>
            <w:shd w:val="clear" w:color="auto" w:fill="auto"/>
          </w:tcPr>
          <w:p w:rsidR="00D06A2F" w:rsidRPr="00E8065F" w:rsidRDefault="00D06A2F" w:rsidP="000546C2">
            <w:pPr>
              <w:jc w:val="center"/>
              <w:rPr>
                <w:color w:val="000000"/>
                <w:sz w:val="20"/>
                <w:szCs w:val="20"/>
              </w:rPr>
            </w:pPr>
            <w:r w:rsidRPr="00E8065F">
              <w:rPr>
                <w:color w:val="000000"/>
                <w:sz w:val="20"/>
                <w:szCs w:val="20"/>
              </w:rPr>
              <w:t>1</w:t>
            </w:r>
          </w:p>
        </w:tc>
        <w:tc>
          <w:tcPr>
            <w:tcW w:w="1944" w:type="dxa"/>
            <w:tcBorders>
              <w:top w:val="single" w:sz="4" w:space="0" w:color="auto"/>
              <w:left w:val="single" w:sz="4" w:space="0" w:color="auto"/>
              <w:bottom w:val="single" w:sz="4" w:space="0" w:color="auto"/>
              <w:right w:val="single" w:sz="4" w:space="0" w:color="auto"/>
            </w:tcBorders>
            <w:shd w:val="clear" w:color="auto" w:fill="auto"/>
          </w:tcPr>
          <w:p w:rsidR="00D06A2F" w:rsidRPr="00E8065F" w:rsidRDefault="00D06A2F" w:rsidP="00BA1432">
            <w:pPr>
              <w:jc w:val="center"/>
              <w:rPr>
                <w:color w:val="000000"/>
                <w:sz w:val="20"/>
                <w:szCs w:val="20"/>
              </w:rPr>
            </w:pPr>
            <w:r w:rsidRPr="00E8065F">
              <w:rPr>
                <w:color w:val="000000"/>
                <w:sz w:val="20"/>
                <w:szCs w:val="20"/>
              </w:rPr>
              <w:t>Стационарное</w:t>
            </w:r>
          </w:p>
        </w:tc>
      </w:tr>
      <w:tr w:rsidR="00D06A2F" w:rsidRPr="00E8065F" w:rsidTr="00CD3A6F">
        <w:trPr>
          <w:trHeight w:val="20"/>
        </w:trPr>
        <w:tc>
          <w:tcPr>
            <w:tcW w:w="1555" w:type="dxa"/>
            <w:vMerge/>
            <w:tcBorders>
              <w:left w:val="single" w:sz="4" w:space="0" w:color="auto"/>
              <w:right w:val="single" w:sz="4" w:space="0" w:color="auto"/>
            </w:tcBorders>
          </w:tcPr>
          <w:p w:rsidR="00D06A2F" w:rsidRPr="00E8065F" w:rsidRDefault="00D06A2F" w:rsidP="00BA1432">
            <w:pPr>
              <w:rPr>
                <w:sz w:val="20"/>
                <w:szCs w:val="20"/>
              </w:rPr>
            </w:pPr>
          </w:p>
        </w:tc>
        <w:tc>
          <w:tcPr>
            <w:tcW w:w="3685" w:type="dxa"/>
            <w:tcBorders>
              <w:top w:val="nil"/>
              <w:left w:val="single" w:sz="4" w:space="0" w:color="auto"/>
              <w:bottom w:val="single" w:sz="4" w:space="0" w:color="auto"/>
              <w:right w:val="single" w:sz="4" w:space="0" w:color="auto"/>
            </w:tcBorders>
            <w:shd w:val="clear" w:color="auto" w:fill="auto"/>
          </w:tcPr>
          <w:p w:rsidR="00D06A2F" w:rsidRPr="00E8065F" w:rsidRDefault="00D06A2F" w:rsidP="00DC0475">
            <w:pPr>
              <w:jc w:val="both"/>
              <w:rPr>
                <w:color w:val="000000"/>
                <w:sz w:val="20"/>
                <w:szCs w:val="20"/>
              </w:rPr>
            </w:pPr>
            <w:r>
              <w:rPr>
                <w:color w:val="000000"/>
                <w:sz w:val="20"/>
                <w:szCs w:val="20"/>
              </w:rPr>
              <w:t>ГАУЗ «</w:t>
            </w:r>
            <w:r w:rsidRPr="00E8065F">
              <w:rPr>
                <w:color w:val="000000"/>
                <w:sz w:val="20"/>
                <w:szCs w:val="20"/>
              </w:rPr>
              <w:t xml:space="preserve">Камско-Полянская </w:t>
            </w:r>
            <w:r>
              <w:rPr>
                <w:color w:val="000000"/>
                <w:sz w:val="20"/>
                <w:szCs w:val="20"/>
              </w:rPr>
              <w:t>районная больница»</w:t>
            </w:r>
          </w:p>
        </w:tc>
        <w:tc>
          <w:tcPr>
            <w:tcW w:w="1994" w:type="dxa"/>
            <w:tcBorders>
              <w:top w:val="nil"/>
              <w:left w:val="single" w:sz="4" w:space="0" w:color="auto"/>
              <w:bottom w:val="single" w:sz="4" w:space="0" w:color="auto"/>
              <w:right w:val="single" w:sz="4" w:space="0" w:color="auto"/>
            </w:tcBorders>
            <w:shd w:val="clear" w:color="auto" w:fill="auto"/>
          </w:tcPr>
          <w:p w:rsidR="00D06A2F" w:rsidRPr="00E8065F" w:rsidRDefault="00D06A2F" w:rsidP="00BA1432">
            <w:pPr>
              <w:jc w:val="center"/>
              <w:rPr>
                <w:color w:val="000000"/>
                <w:sz w:val="20"/>
                <w:szCs w:val="20"/>
              </w:rPr>
            </w:pPr>
            <w:r>
              <w:rPr>
                <w:rFonts w:eastAsia="Calibri"/>
                <w:sz w:val="20"/>
                <w:szCs w:val="20"/>
              </w:rPr>
              <w:t>Фиброгастродуоденоскоп</w:t>
            </w:r>
          </w:p>
        </w:tc>
        <w:tc>
          <w:tcPr>
            <w:tcW w:w="1181" w:type="dxa"/>
          </w:tcPr>
          <w:p w:rsidR="00D06A2F" w:rsidRPr="00E8065F" w:rsidRDefault="00D06A2F" w:rsidP="000546C2">
            <w:pPr>
              <w:jc w:val="center"/>
              <w:rPr>
                <w:sz w:val="20"/>
                <w:szCs w:val="20"/>
              </w:rPr>
            </w:pPr>
            <w:r w:rsidRPr="00E8065F">
              <w:rPr>
                <w:sz w:val="20"/>
                <w:szCs w:val="20"/>
              </w:rPr>
              <w:t>2012</w:t>
            </w:r>
            <w:r w:rsidR="003D79B3">
              <w:rPr>
                <w:sz w:val="20"/>
                <w:szCs w:val="20"/>
              </w:rPr>
              <w:t xml:space="preserve"> </w:t>
            </w:r>
            <w:r w:rsidR="00130B69">
              <w:rPr>
                <w:sz w:val="20"/>
                <w:szCs w:val="20"/>
              </w:rPr>
              <w:t>(1)</w:t>
            </w:r>
          </w:p>
          <w:p w:rsidR="00D06A2F" w:rsidRPr="00E8065F" w:rsidRDefault="00D06A2F" w:rsidP="000546C2">
            <w:pPr>
              <w:jc w:val="center"/>
              <w:rPr>
                <w:sz w:val="20"/>
                <w:szCs w:val="20"/>
              </w:rPr>
            </w:pPr>
            <w:r w:rsidRPr="00E8065F">
              <w:rPr>
                <w:sz w:val="20"/>
                <w:szCs w:val="20"/>
              </w:rPr>
              <w:t>2023</w:t>
            </w:r>
            <w:r w:rsidR="003D79B3">
              <w:rPr>
                <w:sz w:val="20"/>
                <w:szCs w:val="20"/>
              </w:rPr>
              <w:t xml:space="preserve"> </w:t>
            </w:r>
            <w:r w:rsidR="00130B69">
              <w:rPr>
                <w:sz w:val="20"/>
                <w:szCs w:val="20"/>
              </w:rPr>
              <w:t>(2)</w:t>
            </w:r>
          </w:p>
        </w:tc>
        <w:tc>
          <w:tcPr>
            <w:tcW w:w="1181" w:type="dxa"/>
            <w:tcBorders>
              <w:top w:val="nil"/>
              <w:left w:val="single" w:sz="4" w:space="0" w:color="auto"/>
              <w:bottom w:val="single" w:sz="4" w:space="0" w:color="auto"/>
              <w:right w:val="single" w:sz="4" w:space="0" w:color="auto"/>
            </w:tcBorders>
            <w:shd w:val="clear" w:color="auto" w:fill="auto"/>
          </w:tcPr>
          <w:p w:rsidR="00D06A2F" w:rsidRPr="00E8065F" w:rsidRDefault="00D06A2F" w:rsidP="000546C2">
            <w:pPr>
              <w:jc w:val="center"/>
              <w:rPr>
                <w:color w:val="000000"/>
                <w:sz w:val="20"/>
                <w:szCs w:val="20"/>
              </w:rPr>
            </w:pPr>
            <w:r w:rsidRPr="00E8065F">
              <w:rPr>
                <w:color w:val="000000"/>
                <w:sz w:val="20"/>
                <w:szCs w:val="20"/>
              </w:rPr>
              <w:t>3</w:t>
            </w:r>
          </w:p>
        </w:tc>
        <w:tc>
          <w:tcPr>
            <w:tcW w:w="1478" w:type="dxa"/>
            <w:tcBorders>
              <w:top w:val="nil"/>
              <w:left w:val="single" w:sz="4" w:space="0" w:color="auto"/>
              <w:bottom w:val="single" w:sz="4" w:space="0" w:color="auto"/>
              <w:right w:val="single" w:sz="4" w:space="0" w:color="auto"/>
            </w:tcBorders>
            <w:shd w:val="clear" w:color="auto" w:fill="auto"/>
          </w:tcPr>
          <w:p w:rsidR="00D06A2F" w:rsidRPr="00E8065F" w:rsidRDefault="00D06A2F" w:rsidP="000546C2">
            <w:pPr>
              <w:jc w:val="center"/>
              <w:rPr>
                <w:color w:val="000000"/>
                <w:sz w:val="20"/>
                <w:szCs w:val="20"/>
              </w:rPr>
            </w:pPr>
            <w:r w:rsidRPr="00E8065F">
              <w:rPr>
                <w:color w:val="000000"/>
                <w:sz w:val="20"/>
                <w:szCs w:val="20"/>
              </w:rPr>
              <w:t>7,3</w:t>
            </w:r>
          </w:p>
        </w:tc>
        <w:tc>
          <w:tcPr>
            <w:tcW w:w="1111" w:type="dxa"/>
            <w:tcBorders>
              <w:top w:val="nil"/>
              <w:left w:val="single" w:sz="4" w:space="0" w:color="auto"/>
              <w:bottom w:val="single" w:sz="4" w:space="0" w:color="auto"/>
              <w:right w:val="single" w:sz="4" w:space="0" w:color="auto"/>
            </w:tcBorders>
            <w:shd w:val="clear" w:color="auto" w:fill="auto"/>
          </w:tcPr>
          <w:p w:rsidR="00D06A2F" w:rsidRPr="00E8065F" w:rsidRDefault="00D06A2F" w:rsidP="000546C2">
            <w:pPr>
              <w:jc w:val="center"/>
              <w:rPr>
                <w:color w:val="000000"/>
                <w:sz w:val="20"/>
                <w:szCs w:val="20"/>
              </w:rPr>
            </w:pPr>
            <w:r w:rsidRPr="00E8065F">
              <w:rPr>
                <w:color w:val="000000"/>
                <w:sz w:val="20"/>
                <w:szCs w:val="20"/>
              </w:rPr>
              <w:t>1</w:t>
            </w:r>
          </w:p>
        </w:tc>
        <w:tc>
          <w:tcPr>
            <w:tcW w:w="1944" w:type="dxa"/>
            <w:tcBorders>
              <w:top w:val="nil"/>
              <w:left w:val="single" w:sz="4" w:space="0" w:color="auto"/>
              <w:bottom w:val="single" w:sz="4" w:space="0" w:color="auto"/>
              <w:right w:val="single" w:sz="4" w:space="0" w:color="auto"/>
            </w:tcBorders>
            <w:shd w:val="clear" w:color="auto" w:fill="auto"/>
          </w:tcPr>
          <w:p w:rsidR="00D06A2F" w:rsidRPr="00E8065F" w:rsidRDefault="00D06A2F" w:rsidP="00BA1432">
            <w:pPr>
              <w:jc w:val="center"/>
              <w:rPr>
                <w:color w:val="000000"/>
                <w:sz w:val="20"/>
                <w:szCs w:val="20"/>
              </w:rPr>
            </w:pPr>
            <w:r w:rsidRPr="00E8065F">
              <w:rPr>
                <w:color w:val="000000"/>
                <w:sz w:val="20"/>
                <w:szCs w:val="20"/>
              </w:rPr>
              <w:t>Амбулаторное</w:t>
            </w:r>
          </w:p>
        </w:tc>
      </w:tr>
      <w:tr w:rsidR="00D06A2F" w:rsidRPr="00E8065F" w:rsidTr="00CD3A6F">
        <w:trPr>
          <w:trHeight w:val="20"/>
        </w:trPr>
        <w:tc>
          <w:tcPr>
            <w:tcW w:w="1555" w:type="dxa"/>
            <w:vMerge/>
            <w:tcBorders>
              <w:left w:val="single" w:sz="4" w:space="0" w:color="auto"/>
              <w:right w:val="single" w:sz="4" w:space="0" w:color="auto"/>
            </w:tcBorders>
          </w:tcPr>
          <w:p w:rsidR="00D06A2F" w:rsidRPr="00E8065F" w:rsidRDefault="00D06A2F" w:rsidP="00BA1432">
            <w:pPr>
              <w:rPr>
                <w:sz w:val="20"/>
                <w:szCs w:val="20"/>
              </w:rPr>
            </w:pPr>
          </w:p>
        </w:tc>
        <w:tc>
          <w:tcPr>
            <w:tcW w:w="3685" w:type="dxa"/>
            <w:tcBorders>
              <w:top w:val="nil"/>
              <w:left w:val="single" w:sz="4" w:space="0" w:color="auto"/>
              <w:bottom w:val="single" w:sz="4" w:space="0" w:color="auto"/>
              <w:right w:val="single" w:sz="4" w:space="0" w:color="auto"/>
            </w:tcBorders>
            <w:shd w:val="clear" w:color="auto" w:fill="auto"/>
          </w:tcPr>
          <w:p w:rsidR="00D06A2F" w:rsidRPr="00E8065F" w:rsidRDefault="00D06A2F" w:rsidP="00DC0475">
            <w:pPr>
              <w:jc w:val="both"/>
              <w:rPr>
                <w:color w:val="000000"/>
                <w:sz w:val="20"/>
                <w:szCs w:val="20"/>
              </w:rPr>
            </w:pPr>
            <w:r>
              <w:rPr>
                <w:color w:val="000000"/>
                <w:sz w:val="20"/>
                <w:szCs w:val="20"/>
              </w:rPr>
              <w:t xml:space="preserve">ГАУЗ </w:t>
            </w:r>
            <w:r>
              <w:rPr>
                <w:sz w:val="20"/>
                <w:szCs w:val="20"/>
              </w:rPr>
              <w:t xml:space="preserve">«Нижнекамская центральная районная многопрофильная больница» </w:t>
            </w:r>
          </w:p>
        </w:tc>
        <w:tc>
          <w:tcPr>
            <w:tcW w:w="1994" w:type="dxa"/>
            <w:tcBorders>
              <w:top w:val="nil"/>
              <w:left w:val="single" w:sz="4" w:space="0" w:color="auto"/>
              <w:bottom w:val="single" w:sz="4" w:space="0" w:color="auto"/>
              <w:right w:val="single" w:sz="4" w:space="0" w:color="auto"/>
            </w:tcBorders>
            <w:shd w:val="clear" w:color="auto" w:fill="auto"/>
          </w:tcPr>
          <w:p w:rsidR="00D06A2F" w:rsidRPr="00E8065F" w:rsidRDefault="00D06A2F" w:rsidP="00BA1432">
            <w:pPr>
              <w:jc w:val="center"/>
              <w:rPr>
                <w:color w:val="000000"/>
                <w:sz w:val="20"/>
                <w:szCs w:val="20"/>
              </w:rPr>
            </w:pPr>
            <w:r>
              <w:rPr>
                <w:rFonts w:eastAsia="Calibri"/>
                <w:sz w:val="20"/>
                <w:szCs w:val="20"/>
              </w:rPr>
              <w:t>Фиброгастродуоденоскоп</w:t>
            </w:r>
          </w:p>
        </w:tc>
        <w:tc>
          <w:tcPr>
            <w:tcW w:w="1181" w:type="dxa"/>
          </w:tcPr>
          <w:p w:rsidR="00D06A2F" w:rsidRPr="00E8065F" w:rsidRDefault="00D06A2F" w:rsidP="000546C2">
            <w:pPr>
              <w:jc w:val="center"/>
              <w:rPr>
                <w:sz w:val="20"/>
                <w:szCs w:val="20"/>
              </w:rPr>
            </w:pPr>
            <w:r w:rsidRPr="00E8065F">
              <w:rPr>
                <w:sz w:val="20"/>
                <w:szCs w:val="20"/>
              </w:rPr>
              <w:t>2014</w:t>
            </w:r>
            <w:r w:rsidR="003D79B3">
              <w:rPr>
                <w:sz w:val="20"/>
                <w:szCs w:val="20"/>
              </w:rPr>
              <w:t xml:space="preserve"> </w:t>
            </w:r>
            <w:r w:rsidR="00130B69">
              <w:rPr>
                <w:sz w:val="20"/>
                <w:szCs w:val="20"/>
              </w:rPr>
              <w:t>(3)</w:t>
            </w:r>
          </w:p>
          <w:p w:rsidR="00D06A2F" w:rsidRPr="00E8065F" w:rsidRDefault="00D06A2F" w:rsidP="000546C2">
            <w:pPr>
              <w:jc w:val="center"/>
              <w:rPr>
                <w:sz w:val="20"/>
                <w:szCs w:val="20"/>
              </w:rPr>
            </w:pPr>
            <w:r w:rsidRPr="00E8065F">
              <w:rPr>
                <w:sz w:val="20"/>
                <w:szCs w:val="20"/>
              </w:rPr>
              <w:t>2015</w:t>
            </w:r>
            <w:r w:rsidR="003D79B3">
              <w:rPr>
                <w:sz w:val="20"/>
                <w:szCs w:val="20"/>
              </w:rPr>
              <w:t xml:space="preserve"> </w:t>
            </w:r>
            <w:r w:rsidR="00130B69">
              <w:rPr>
                <w:sz w:val="20"/>
                <w:szCs w:val="20"/>
              </w:rPr>
              <w:t>(2)</w:t>
            </w:r>
          </w:p>
          <w:p w:rsidR="00D06A2F" w:rsidRPr="00E8065F" w:rsidRDefault="00D06A2F" w:rsidP="000546C2">
            <w:pPr>
              <w:jc w:val="center"/>
              <w:rPr>
                <w:sz w:val="20"/>
                <w:szCs w:val="20"/>
              </w:rPr>
            </w:pPr>
            <w:r w:rsidRPr="00E8065F">
              <w:rPr>
                <w:sz w:val="20"/>
                <w:szCs w:val="20"/>
              </w:rPr>
              <w:t>2016</w:t>
            </w:r>
            <w:r w:rsidR="003D79B3">
              <w:rPr>
                <w:sz w:val="20"/>
                <w:szCs w:val="20"/>
              </w:rPr>
              <w:t xml:space="preserve"> </w:t>
            </w:r>
            <w:r w:rsidR="00130B69">
              <w:rPr>
                <w:sz w:val="20"/>
                <w:szCs w:val="20"/>
              </w:rPr>
              <w:t>(1)</w:t>
            </w:r>
          </w:p>
          <w:p w:rsidR="00D06A2F" w:rsidRPr="00E8065F" w:rsidRDefault="00D06A2F" w:rsidP="000546C2">
            <w:pPr>
              <w:jc w:val="center"/>
              <w:rPr>
                <w:sz w:val="20"/>
                <w:szCs w:val="20"/>
              </w:rPr>
            </w:pPr>
            <w:r w:rsidRPr="00E8065F">
              <w:rPr>
                <w:sz w:val="20"/>
                <w:szCs w:val="20"/>
              </w:rPr>
              <w:t>2019</w:t>
            </w:r>
            <w:r w:rsidR="003D79B3">
              <w:rPr>
                <w:sz w:val="20"/>
                <w:szCs w:val="20"/>
              </w:rPr>
              <w:t xml:space="preserve"> </w:t>
            </w:r>
            <w:r w:rsidR="00130B69">
              <w:rPr>
                <w:sz w:val="20"/>
                <w:szCs w:val="20"/>
              </w:rPr>
              <w:t>(1)</w:t>
            </w:r>
          </w:p>
          <w:p w:rsidR="00D06A2F" w:rsidRPr="00E8065F" w:rsidRDefault="00D06A2F" w:rsidP="000546C2">
            <w:pPr>
              <w:jc w:val="center"/>
              <w:rPr>
                <w:sz w:val="20"/>
                <w:szCs w:val="20"/>
              </w:rPr>
            </w:pPr>
            <w:r w:rsidRPr="00E8065F">
              <w:rPr>
                <w:sz w:val="20"/>
                <w:szCs w:val="20"/>
              </w:rPr>
              <w:t>2020</w:t>
            </w:r>
            <w:r w:rsidR="003D79B3">
              <w:rPr>
                <w:sz w:val="20"/>
                <w:szCs w:val="20"/>
              </w:rPr>
              <w:t xml:space="preserve"> </w:t>
            </w:r>
            <w:r w:rsidR="00130B69">
              <w:rPr>
                <w:sz w:val="20"/>
                <w:szCs w:val="20"/>
              </w:rPr>
              <w:t>(2)</w:t>
            </w:r>
          </w:p>
          <w:p w:rsidR="00D06A2F" w:rsidRPr="00E8065F" w:rsidRDefault="00D06A2F" w:rsidP="000546C2">
            <w:pPr>
              <w:jc w:val="center"/>
              <w:rPr>
                <w:sz w:val="20"/>
                <w:szCs w:val="20"/>
              </w:rPr>
            </w:pPr>
            <w:r w:rsidRPr="00E8065F">
              <w:rPr>
                <w:sz w:val="20"/>
                <w:szCs w:val="20"/>
              </w:rPr>
              <w:t>2022</w:t>
            </w:r>
            <w:r w:rsidR="003D79B3">
              <w:rPr>
                <w:sz w:val="20"/>
                <w:szCs w:val="20"/>
              </w:rPr>
              <w:t xml:space="preserve"> </w:t>
            </w:r>
            <w:r w:rsidR="00130B69">
              <w:rPr>
                <w:sz w:val="20"/>
                <w:szCs w:val="20"/>
              </w:rPr>
              <w:t>(6)</w:t>
            </w:r>
          </w:p>
          <w:p w:rsidR="00D06A2F" w:rsidRPr="00E8065F" w:rsidRDefault="00D06A2F" w:rsidP="000546C2">
            <w:pPr>
              <w:jc w:val="center"/>
              <w:rPr>
                <w:sz w:val="20"/>
                <w:szCs w:val="20"/>
              </w:rPr>
            </w:pPr>
            <w:r w:rsidRPr="00E8065F">
              <w:rPr>
                <w:sz w:val="20"/>
                <w:szCs w:val="20"/>
              </w:rPr>
              <w:t>2023</w:t>
            </w:r>
            <w:r w:rsidR="003D79B3">
              <w:rPr>
                <w:sz w:val="20"/>
                <w:szCs w:val="20"/>
              </w:rPr>
              <w:t xml:space="preserve"> </w:t>
            </w:r>
            <w:r w:rsidR="00130B69">
              <w:rPr>
                <w:sz w:val="20"/>
                <w:szCs w:val="20"/>
              </w:rPr>
              <w:t>(2)</w:t>
            </w:r>
          </w:p>
          <w:p w:rsidR="00D06A2F" w:rsidRPr="00E8065F" w:rsidRDefault="00D06A2F" w:rsidP="000546C2">
            <w:pPr>
              <w:jc w:val="center"/>
              <w:rPr>
                <w:sz w:val="20"/>
                <w:szCs w:val="20"/>
              </w:rPr>
            </w:pPr>
            <w:r w:rsidRPr="00E8065F">
              <w:rPr>
                <w:sz w:val="20"/>
                <w:szCs w:val="20"/>
              </w:rPr>
              <w:t>2024</w:t>
            </w:r>
            <w:r w:rsidR="003D79B3">
              <w:rPr>
                <w:sz w:val="20"/>
                <w:szCs w:val="20"/>
              </w:rPr>
              <w:t xml:space="preserve"> </w:t>
            </w:r>
            <w:r w:rsidR="00130B69">
              <w:rPr>
                <w:sz w:val="20"/>
                <w:szCs w:val="20"/>
              </w:rPr>
              <w:t>(3)</w:t>
            </w:r>
          </w:p>
        </w:tc>
        <w:tc>
          <w:tcPr>
            <w:tcW w:w="1181" w:type="dxa"/>
            <w:tcBorders>
              <w:top w:val="nil"/>
              <w:left w:val="single" w:sz="4" w:space="0" w:color="auto"/>
              <w:bottom w:val="single" w:sz="4" w:space="0" w:color="auto"/>
              <w:right w:val="single" w:sz="4" w:space="0" w:color="auto"/>
            </w:tcBorders>
            <w:shd w:val="clear" w:color="auto" w:fill="auto"/>
          </w:tcPr>
          <w:p w:rsidR="00D06A2F" w:rsidRPr="00E8065F" w:rsidRDefault="00D06A2F" w:rsidP="000546C2">
            <w:pPr>
              <w:jc w:val="center"/>
              <w:rPr>
                <w:color w:val="000000"/>
                <w:sz w:val="20"/>
                <w:szCs w:val="20"/>
              </w:rPr>
            </w:pPr>
            <w:r w:rsidRPr="00E8065F">
              <w:rPr>
                <w:color w:val="000000"/>
                <w:sz w:val="20"/>
                <w:szCs w:val="20"/>
              </w:rPr>
              <w:t>20</w:t>
            </w:r>
          </w:p>
        </w:tc>
        <w:tc>
          <w:tcPr>
            <w:tcW w:w="1478" w:type="dxa"/>
            <w:tcBorders>
              <w:top w:val="nil"/>
              <w:left w:val="single" w:sz="4" w:space="0" w:color="auto"/>
              <w:bottom w:val="single" w:sz="4" w:space="0" w:color="auto"/>
              <w:right w:val="single" w:sz="4" w:space="0" w:color="auto"/>
            </w:tcBorders>
            <w:shd w:val="clear" w:color="auto" w:fill="auto"/>
          </w:tcPr>
          <w:p w:rsidR="00D06A2F" w:rsidRPr="00E8065F" w:rsidRDefault="00D06A2F" w:rsidP="000546C2">
            <w:pPr>
              <w:jc w:val="center"/>
              <w:rPr>
                <w:color w:val="000000"/>
                <w:sz w:val="20"/>
                <w:szCs w:val="20"/>
              </w:rPr>
            </w:pPr>
            <w:r w:rsidRPr="00E8065F">
              <w:rPr>
                <w:color w:val="000000"/>
                <w:sz w:val="20"/>
                <w:szCs w:val="20"/>
              </w:rPr>
              <w:t>54,3</w:t>
            </w:r>
          </w:p>
        </w:tc>
        <w:tc>
          <w:tcPr>
            <w:tcW w:w="1111" w:type="dxa"/>
            <w:tcBorders>
              <w:top w:val="nil"/>
              <w:left w:val="single" w:sz="4" w:space="0" w:color="auto"/>
              <w:bottom w:val="single" w:sz="4" w:space="0" w:color="auto"/>
              <w:right w:val="single" w:sz="4" w:space="0" w:color="auto"/>
            </w:tcBorders>
            <w:shd w:val="clear" w:color="auto" w:fill="auto"/>
          </w:tcPr>
          <w:p w:rsidR="00D06A2F" w:rsidRPr="00E8065F" w:rsidRDefault="00D06A2F" w:rsidP="000546C2">
            <w:pPr>
              <w:jc w:val="center"/>
              <w:rPr>
                <w:color w:val="000000"/>
                <w:sz w:val="20"/>
                <w:szCs w:val="20"/>
              </w:rPr>
            </w:pPr>
            <w:r w:rsidRPr="00E8065F">
              <w:rPr>
                <w:color w:val="000000"/>
                <w:sz w:val="20"/>
                <w:szCs w:val="20"/>
              </w:rPr>
              <w:t>1</w:t>
            </w:r>
          </w:p>
        </w:tc>
        <w:tc>
          <w:tcPr>
            <w:tcW w:w="1944" w:type="dxa"/>
            <w:tcBorders>
              <w:top w:val="nil"/>
              <w:left w:val="single" w:sz="4" w:space="0" w:color="auto"/>
              <w:bottom w:val="single" w:sz="4" w:space="0" w:color="auto"/>
              <w:right w:val="single" w:sz="4" w:space="0" w:color="auto"/>
            </w:tcBorders>
            <w:shd w:val="clear" w:color="auto" w:fill="auto"/>
          </w:tcPr>
          <w:p w:rsidR="00D06A2F" w:rsidRPr="00E8065F" w:rsidRDefault="00D06A2F" w:rsidP="00BA1432">
            <w:pPr>
              <w:jc w:val="center"/>
              <w:rPr>
                <w:color w:val="000000"/>
                <w:sz w:val="20"/>
                <w:szCs w:val="20"/>
              </w:rPr>
            </w:pPr>
            <w:r w:rsidRPr="00E8065F">
              <w:rPr>
                <w:color w:val="000000"/>
                <w:sz w:val="20"/>
                <w:szCs w:val="20"/>
              </w:rPr>
              <w:t>Амбулаторное</w:t>
            </w:r>
          </w:p>
        </w:tc>
      </w:tr>
      <w:tr w:rsidR="00D06A2F" w:rsidRPr="00E8065F" w:rsidTr="00CD3A6F">
        <w:trPr>
          <w:trHeight w:val="20"/>
        </w:trPr>
        <w:tc>
          <w:tcPr>
            <w:tcW w:w="1555" w:type="dxa"/>
            <w:vMerge/>
            <w:tcBorders>
              <w:left w:val="single" w:sz="4" w:space="0" w:color="auto"/>
              <w:right w:val="single" w:sz="4" w:space="0" w:color="auto"/>
            </w:tcBorders>
          </w:tcPr>
          <w:p w:rsidR="00D06A2F" w:rsidRPr="00E8065F" w:rsidRDefault="00D06A2F" w:rsidP="00BA1432">
            <w:pPr>
              <w:rPr>
                <w:sz w:val="20"/>
                <w:szCs w:val="20"/>
              </w:rPr>
            </w:pPr>
          </w:p>
        </w:tc>
        <w:tc>
          <w:tcPr>
            <w:tcW w:w="3685" w:type="dxa"/>
            <w:tcBorders>
              <w:top w:val="nil"/>
              <w:left w:val="single" w:sz="4" w:space="0" w:color="auto"/>
              <w:bottom w:val="single" w:sz="4" w:space="0" w:color="auto"/>
              <w:right w:val="single" w:sz="4" w:space="0" w:color="auto"/>
            </w:tcBorders>
            <w:shd w:val="clear" w:color="auto" w:fill="auto"/>
          </w:tcPr>
          <w:p w:rsidR="00D06A2F" w:rsidRPr="00E8065F" w:rsidRDefault="00D06A2F" w:rsidP="00DC0475">
            <w:pPr>
              <w:jc w:val="both"/>
              <w:rPr>
                <w:color w:val="000000"/>
                <w:sz w:val="20"/>
                <w:szCs w:val="20"/>
              </w:rPr>
            </w:pPr>
            <w:r w:rsidRPr="00E8065F">
              <w:rPr>
                <w:color w:val="000000"/>
                <w:sz w:val="20"/>
                <w:szCs w:val="20"/>
              </w:rPr>
              <w:t xml:space="preserve">ГАУЗ </w:t>
            </w:r>
            <w:r>
              <w:rPr>
                <w:color w:val="000000"/>
                <w:sz w:val="20"/>
                <w:szCs w:val="20"/>
              </w:rPr>
              <w:t>«</w:t>
            </w:r>
            <w:r w:rsidRPr="00E8065F">
              <w:rPr>
                <w:color w:val="000000"/>
                <w:sz w:val="20"/>
                <w:szCs w:val="20"/>
              </w:rPr>
              <w:t>Новошешминская ЦРБ</w:t>
            </w:r>
            <w:r>
              <w:rPr>
                <w:color w:val="000000"/>
                <w:sz w:val="20"/>
                <w:szCs w:val="20"/>
              </w:rPr>
              <w:t>»</w:t>
            </w:r>
          </w:p>
        </w:tc>
        <w:tc>
          <w:tcPr>
            <w:tcW w:w="1994" w:type="dxa"/>
            <w:tcBorders>
              <w:top w:val="nil"/>
              <w:left w:val="single" w:sz="4" w:space="0" w:color="auto"/>
              <w:bottom w:val="single" w:sz="4" w:space="0" w:color="auto"/>
              <w:right w:val="single" w:sz="4" w:space="0" w:color="auto"/>
            </w:tcBorders>
            <w:shd w:val="clear" w:color="auto" w:fill="auto"/>
          </w:tcPr>
          <w:p w:rsidR="00D06A2F" w:rsidRPr="00E8065F" w:rsidRDefault="00D06A2F" w:rsidP="00BA1432">
            <w:pPr>
              <w:jc w:val="center"/>
              <w:rPr>
                <w:color w:val="000000"/>
                <w:sz w:val="20"/>
                <w:szCs w:val="20"/>
              </w:rPr>
            </w:pPr>
            <w:r>
              <w:rPr>
                <w:rFonts w:eastAsia="Calibri"/>
                <w:sz w:val="20"/>
                <w:szCs w:val="20"/>
              </w:rPr>
              <w:t>Фиброгастродуоденоскоп</w:t>
            </w:r>
          </w:p>
        </w:tc>
        <w:tc>
          <w:tcPr>
            <w:tcW w:w="1181" w:type="dxa"/>
            <w:tcBorders>
              <w:bottom w:val="single" w:sz="4" w:space="0" w:color="auto"/>
            </w:tcBorders>
          </w:tcPr>
          <w:p w:rsidR="00D06A2F" w:rsidRPr="00E8065F" w:rsidRDefault="00D06A2F" w:rsidP="000546C2">
            <w:pPr>
              <w:jc w:val="center"/>
              <w:rPr>
                <w:sz w:val="20"/>
                <w:szCs w:val="20"/>
              </w:rPr>
            </w:pPr>
            <w:r w:rsidRPr="00E8065F">
              <w:rPr>
                <w:sz w:val="20"/>
                <w:szCs w:val="20"/>
              </w:rPr>
              <w:t>2016</w:t>
            </w:r>
            <w:r w:rsidR="003D79B3">
              <w:rPr>
                <w:sz w:val="20"/>
                <w:szCs w:val="20"/>
              </w:rPr>
              <w:t xml:space="preserve"> </w:t>
            </w:r>
            <w:r w:rsidR="00130B69">
              <w:rPr>
                <w:sz w:val="20"/>
                <w:szCs w:val="20"/>
              </w:rPr>
              <w:t>(1)</w:t>
            </w:r>
          </w:p>
          <w:p w:rsidR="00D06A2F" w:rsidRPr="00E8065F" w:rsidRDefault="00D06A2F" w:rsidP="000546C2">
            <w:pPr>
              <w:jc w:val="center"/>
              <w:rPr>
                <w:sz w:val="20"/>
                <w:szCs w:val="20"/>
              </w:rPr>
            </w:pPr>
            <w:r w:rsidRPr="00E8065F">
              <w:rPr>
                <w:sz w:val="20"/>
                <w:szCs w:val="20"/>
              </w:rPr>
              <w:t>2022</w:t>
            </w:r>
            <w:r w:rsidR="003D79B3">
              <w:rPr>
                <w:sz w:val="20"/>
                <w:szCs w:val="20"/>
              </w:rPr>
              <w:t xml:space="preserve"> </w:t>
            </w:r>
            <w:r w:rsidR="00130B69">
              <w:rPr>
                <w:sz w:val="20"/>
                <w:szCs w:val="20"/>
              </w:rPr>
              <w:t>(1)</w:t>
            </w:r>
          </w:p>
        </w:tc>
        <w:tc>
          <w:tcPr>
            <w:tcW w:w="1181" w:type="dxa"/>
            <w:tcBorders>
              <w:top w:val="nil"/>
              <w:left w:val="single" w:sz="4" w:space="0" w:color="auto"/>
              <w:bottom w:val="single" w:sz="4" w:space="0" w:color="auto"/>
              <w:right w:val="single" w:sz="4" w:space="0" w:color="auto"/>
            </w:tcBorders>
            <w:shd w:val="clear" w:color="auto" w:fill="auto"/>
          </w:tcPr>
          <w:p w:rsidR="00D06A2F" w:rsidRPr="00E8065F" w:rsidRDefault="00D06A2F" w:rsidP="000546C2">
            <w:pPr>
              <w:jc w:val="center"/>
              <w:rPr>
                <w:color w:val="000000"/>
                <w:sz w:val="20"/>
                <w:szCs w:val="20"/>
              </w:rPr>
            </w:pPr>
            <w:r w:rsidRPr="00E8065F">
              <w:rPr>
                <w:color w:val="000000"/>
                <w:sz w:val="20"/>
                <w:szCs w:val="20"/>
              </w:rPr>
              <w:t>2</w:t>
            </w:r>
          </w:p>
        </w:tc>
        <w:tc>
          <w:tcPr>
            <w:tcW w:w="1478" w:type="dxa"/>
            <w:tcBorders>
              <w:top w:val="nil"/>
              <w:left w:val="single" w:sz="4" w:space="0" w:color="auto"/>
              <w:bottom w:val="single" w:sz="4" w:space="0" w:color="auto"/>
              <w:right w:val="single" w:sz="4" w:space="0" w:color="auto"/>
            </w:tcBorders>
            <w:shd w:val="clear" w:color="auto" w:fill="auto"/>
          </w:tcPr>
          <w:p w:rsidR="00D06A2F" w:rsidRPr="00E8065F" w:rsidRDefault="00D06A2F" w:rsidP="000546C2">
            <w:pPr>
              <w:jc w:val="center"/>
              <w:rPr>
                <w:color w:val="000000"/>
                <w:sz w:val="20"/>
                <w:szCs w:val="20"/>
              </w:rPr>
            </w:pPr>
            <w:r w:rsidRPr="00E8065F">
              <w:rPr>
                <w:color w:val="000000"/>
                <w:sz w:val="20"/>
                <w:szCs w:val="20"/>
              </w:rPr>
              <w:t>4,2</w:t>
            </w:r>
          </w:p>
        </w:tc>
        <w:tc>
          <w:tcPr>
            <w:tcW w:w="1111" w:type="dxa"/>
            <w:tcBorders>
              <w:top w:val="nil"/>
              <w:left w:val="single" w:sz="4" w:space="0" w:color="auto"/>
              <w:bottom w:val="single" w:sz="4" w:space="0" w:color="auto"/>
              <w:right w:val="single" w:sz="4" w:space="0" w:color="auto"/>
            </w:tcBorders>
            <w:shd w:val="clear" w:color="auto" w:fill="auto"/>
          </w:tcPr>
          <w:p w:rsidR="00D06A2F" w:rsidRPr="00E8065F" w:rsidRDefault="00D06A2F" w:rsidP="000546C2">
            <w:pPr>
              <w:jc w:val="center"/>
              <w:rPr>
                <w:color w:val="000000"/>
                <w:sz w:val="20"/>
                <w:szCs w:val="20"/>
              </w:rPr>
            </w:pPr>
            <w:r w:rsidRPr="00E8065F">
              <w:rPr>
                <w:color w:val="000000"/>
                <w:sz w:val="20"/>
                <w:szCs w:val="20"/>
              </w:rPr>
              <w:t>1</w:t>
            </w:r>
          </w:p>
        </w:tc>
        <w:tc>
          <w:tcPr>
            <w:tcW w:w="1944" w:type="dxa"/>
            <w:tcBorders>
              <w:top w:val="nil"/>
              <w:left w:val="single" w:sz="4" w:space="0" w:color="auto"/>
              <w:bottom w:val="single" w:sz="4" w:space="0" w:color="auto"/>
              <w:right w:val="single" w:sz="4" w:space="0" w:color="auto"/>
            </w:tcBorders>
            <w:shd w:val="clear" w:color="auto" w:fill="auto"/>
          </w:tcPr>
          <w:p w:rsidR="00D06A2F" w:rsidRPr="00E8065F" w:rsidRDefault="00D06A2F" w:rsidP="00BA1432">
            <w:pPr>
              <w:jc w:val="center"/>
              <w:rPr>
                <w:color w:val="000000"/>
                <w:sz w:val="20"/>
                <w:szCs w:val="20"/>
              </w:rPr>
            </w:pPr>
            <w:r w:rsidRPr="00E8065F">
              <w:rPr>
                <w:color w:val="000000"/>
                <w:sz w:val="20"/>
                <w:szCs w:val="20"/>
              </w:rPr>
              <w:t>Амбулаторное/стационарное</w:t>
            </w:r>
          </w:p>
        </w:tc>
      </w:tr>
      <w:tr w:rsidR="00D06A2F" w:rsidRPr="00E8065F" w:rsidTr="00CD3A6F">
        <w:trPr>
          <w:trHeight w:val="20"/>
        </w:trPr>
        <w:tc>
          <w:tcPr>
            <w:tcW w:w="1555" w:type="dxa"/>
            <w:vMerge/>
            <w:tcBorders>
              <w:left w:val="single" w:sz="4" w:space="0" w:color="auto"/>
              <w:right w:val="single" w:sz="4" w:space="0" w:color="auto"/>
            </w:tcBorders>
          </w:tcPr>
          <w:p w:rsidR="00D06A2F" w:rsidRPr="00E8065F" w:rsidRDefault="00D06A2F" w:rsidP="00BA1432">
            <w:pPr>
              <w:rPr>
                <w:sz w:val="20"/>
                <w:szCs w:val="20"/>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D06A2F" w:rsidRPr="00E8065F" w:rsidRDefault="00D06A2F" w:rsidP="00DC0475">
            <w:pPr>
              <w:jc w:val="both"/>
              <w:rPr>
                <w:color w:val="000000"/>
                <w:sz w:val="20"/>
                <w:szCs w:val="20"/>
              </w:rPr>
            </w:pPr>
            <w:r w:rsidRPr="00E8065F">
              <w:rPr>
                <w:color w:val="000000"/>
                <w:sz w:val="20"/>
                <w:szCs w:val="20"/>
              </w:rPr>
              <w:t xml:space="preserve">ГАУЗ </w:t>
            </w:r>
            <w:r>
              <w:rPr>
                <w:color w:val="000000"/>
                <w:sz w:val="20"/>
                <w:szCs w:val="20"/>
              </w:rPr>
              <w:t>«</w:t>
            </w:r>
            <w:r w:rsidRPr="00E8065F">
              <w:rPr>
                <w:color w:val="000000"/>
                <w:sz w:val="20"/>
                <w:szCs w:val="20"/>
              </w:rPr>
              <w:t>Нурлатская ЦРБ</w:t>
            </w:r>
            <w:r>
              <w:rPr>
                <w:color w:val="000000"/>
                <w:sz w:val="20"/>
                <w:szCs w:val="20"/>
              </w:rPr>
              <w:t>»</w:t>
            </w:r>
          </w:p>
        </w:tc>
        <w:tc>
          <w:tcPr>
            <w:tcW w:w="1994" w:type="dxa"/>
            <w:tcBorders>
              <w:top w:val="single" w:sz="4" w:space="0" w:color="auto"/>
              <w:left w:val="single" w:sz="4" w:space="0" w:color="auto"/>
              <w:bottom w:val="single" w:sz="4" w:space="0" w:color="auto"/>
              <w:right w:val="single" w:sz="4" w:space="0" w:color="auto"/>
            </w:tcBorders>
            <w:shd w:val="clear" w:color="auto" w:fill="auto"/>
          </w:tcPr>
          <w:p w:rsidR="00D06A2F" w:rsidRPr="00E8065F" w:rsidRDefault="00D06A2F" w:rsidP="00BA1432">
            <w:pPr>
              <w:jc w:val="center"/>
              <w:rPr>
                <w:color w:val="000000"/>
                <w:sz w:val="20"/>
                <w:szCs w:val="20"/>
              </w:rPr>
            </w:pPr>
            <w:r>
              <w:rPr>
                <w:rFonts w:eastAsia="Calibri"/>
                <w:sz w:val="20"/>
                <w:szCs w:val="20"/>
              </w:rPr>
              <w:t>Фиброгастродуоденоскоп</w:t>
            </w:r>
          </w:p>
        </w:tc>
        <w:tc>
          <w:tcPr>
            <w:tcW w:w="1181" w:type="dxa"/>
            <w:tcBorders>
              <w:top w:val="single" w:sz="4" w:space="0" w:color="auto"/>
            </w:tcBorders>
          </w:tcPr>
          <w:p w:rsidR="00D06A2F" w:rsidRPr="00E8065F" w:rsidRDefault="00D06A2F" w:rsidP="000546C2">
            <w:pPr>
              <w:jc w:val="center"/>
              <w:rPr>
                <w:sz w:val="20"/>
                <w:szCs w:val="20"/>
              </w:rPr>
            </w:pPr>
            <w:r w:rsidRPr="00E8065F">
              <w:rPr>
                <w:sz w:val="20"/>
                <w:szCs w:val="20"/>
              </w:rPr>
              <w:t>2021</w:t>
            </w:r>
            <w:r w:rsidR="003D79B3">
              <w:rPr>
                <w:sz w:val="20"/>
                <w:szCs w:val="20"/>
              </w:rPr>
              <w:t xml:space="preserve"> </w:t>
            </w:r>
            <w:r w:rsidR="00130B69">
              <w:rPr>
                <w:sz w:val="20"/>
                <w:szCs w:val="20"/>
              </w:rPr>
              <w:t>(1)</w:t>
            </w:r>
          </w:p>
          <w:p w:rsidR="00D06A2F" w:rsidRPr="00E8065F" w:rsidRDefault="00D06A2F" w:rsidP="000546C2">
            <w:pPr>
              <w:jc w:val="center"/>
              <w:rPr>
                <w:sz w:val="20"/>
                <w:szCs w:val="20"/>
              </w:rPr>
            </w:pPr>
            <w:r w:rsidRPr="00E8065F">
              <w:rPr>
                <w:sz w:val="20"/>
                <w:szCs w:val="20"/>
              </w:rPr>
              <w:t>2022</w:t>
            </w:r>
            <w:r w:rsidR="003D79B3">
              <w:rPr>
                <w:sz w:val="20"/>
                <w:szCs w:val="20"/>
              </w:rPr>
              <w:t xml:space="preserve"> </w:t>
            </w:r>
            <w:r w:rsidR="00130B69">
              <w:rPr>
                <w:sz w:val="20"/>
                <w:szCs w:val="20"/>
              </w:rPr>
              <w:t>(2)</w:t>
            </w:r>
          </w:p>
        </w:tc>
        <w:tc>
          <w:tcPr>
            <w:tcW w:w="1181" w:type="dxa"/>
            <w:tcBorders>
              <w:top w:val="single" w:sz="4" w:space="0" w:color="auto"/>
              <w:left w:val="single" w:sz="4" w:space="0" w:color="auto"/>
              <w:bottom w:val="single" w:sz="4" w:space="0" w:color="auto"/>
              <w:right w:val="single" w:sz="4" w:space="0" w:color="auto"/>
            </w:tcBorders>
            <w:shd w:val="clear" w:color="auto" w:fill="auto"/>
          </w:tcPr>
          <w:p w:rsidR="00D06A2F" w:rsidRPr="00E8065F" w:rsidRDefault="00D06A2F" w:rsidP="000546C2">
            <w:pPr>
              <w:jc w:val="center"/>
              <w:rPr>
                <w:color w:val="000000"/>
                <w:sz w:val="20"/>
                <w:szCs w:val="20"/>
              </w:rPr>
            </w:pPr>
            <w:r w:rsidRPr="00E8065F">
              <w:rPr>
                <w:color w:val="000000"/>
                <w:sz w:val="20"/>
                <w:szCs w:val="20"/>
              </w:rPr>
              <w:t>3</w:t>
            </w:r>
          </w:p>
        </w:tc>
        <w:tc>
          <w:tcPr>
            <w:tcW w:w="1478" w:type="dxa"/>
            <w:tcBorders>
              <w:top w:val="single" w:sz="4" w:space="0" w:color="auto"/>
              <w:left w:val="single" w:sz="4" w:space="0" w:color="auto"/>
              <w:bottom w:val="single" w:sz="4" w:space="0" w:color="auto"/>
              <w:right w:val="single" w:sz="4" w:space="0" w:color="auto"/>
            </w:tcBorders>
            <w:shd w:val="clear" w:color="auto" w:fill="auto"/>
          </w:tcPr>
          <w:p w:rsidR="00D06A2F" w:rsidRPr="00E8065F" w:rsidRDefault="00D06A2F" w:rsidP="000546C2">
            <w:pPr>
              <w:jc w:val="center"/>
              <w:rPr>
                <w:color w:val="000000"/>
                <w:sz w:val="20"/>
                <w:szCs w:val="20"/>
              </w:rPr>
            </w:pPr>
            <w:r w:rsidRPr="00E8065F">
              <w:rPr>
                <w:color w:val="000000"/>
                <w:sz w:val="20"/>
                <w:szCs w:val="20"/>
              </w:rPr>
              <w:t>7,8</w:t>
            </w:r>
          </w:p>
        </w:tc>
        <w:tc>
          <w:tcPr>
            <w:tcW w:w="1111" w:type="dxa"/>
            <w:tcBorders>
              <w:top w:val="single" w:sz="4" w:space="0" w:color="auto"/>
              <w:left w:val="single" w:sz="4" w:space="0" w:color="auto"/>
              <w:bottom w:val="single" w:sz="4" w:space="0" w:color="auto"/>
              <w:right w:val="single" w:sz="4" w:space="0" w:color="auto"/>
            </w:tcBorders>
            <w:shd w:val="clear" w:color="auto" w:fill="auto"/>
          </w:tcPr>
          <w:p w:rsidR="00D06A2F" w:rsidRPr="00E8065F" w:rsidRDefault="00D06A2F" w:rsidP="000546C2">
            <w:pPr>
              <w:jc w:val="center"/>
              <w:rPr>
                <w:color w:val="000000"/>
                <w:sz w:val="20"/>
                <w:szCs w:val="20"/>
              </w:rPr>
            </w:pPr>
            <w:r w:rsidRPr="00E8065F">
              <w:rPr>
                <w:color w:val="000000"/>
                <w:sz w:val="20"/>
                <w:szCs w:val="20"/>
              </w:rPr>
              <w:t>2</w:t>
            </w:r>
          </w:p>
        </w:tc>
        <w:tc>
          <w:tcPr>
            <w:tcW w:w="1944" w:type="dxa"/>
            <w:tcBorders>
              <w:top w:val="single" w:sz="4" w:space="0" w:color="auto"/>
              <w:left w:val="single" w:sz="4" w:space="0" w:color="auto"/>
              <w:bottom w:val="single" w:sz="4" w:space="0" w:color="auto"/>
              <w:right w:val="single" w:sz="4" w:space="0" w:color="auto"/>
            </w:tcBorders>
            <w:shd w:val="clear" w:color="auto" w:fill="auto"/>
          </w:tcPr>
          <w:p w:rsidR="00D06A2F" w:rsidRPr="00E8065F" w:rsidRDefault="00D06A2F" w:rsidP="00BA1432">
            <w:pPr>
              <w:jc w:val="center"/>
              <w:rPr>
                <w:color w:val="000000"/>
                <w:sz w:val="20"/>
                <w:szCs w:val="20"/>
              </w:rPr>
            </w:pPr>
            <w:r w:rsidRPr="00E8065F">
              <w:rPr>
                <w:color w:val="000000"/>
                <w:sz w:val="20"/>
                <w:szCs w:val="20"/>
              </w:rPr>
              <w:t>Амбулаторное</w:t>
            </w:r>
          </w:p>
        </w:tc>
      </w:tr>
      <w:tr w:rsidR="00D06A2F" w:rsidRPr="00E8065F" w:rsidTr="00CD3A6F">
        <w:trPr>
          <w:trHeight w:val="20"/>
        </w:trPr>
        <w:tc>
          <w:tcPr>
            <w:tcW w:w="1555" w:type="dxa"/>
            <w:vMerge/>
            <w:tcBorders>
              <w:left w:val="single" w:sz="4" w:space="0" w:color="auto"/>
              <w:right w:val="single" w:sz="4" w:space="0" w:color="auto"/>
            </w:tcBorders>
          </w:tcPr>
          <w:p w:rsidR="00D06A2F" w:rsidRPr="00E8065F" w:rsidRDefault="00D06A2F" w:rsidP="00BA1432">
            <w:pPr>
              <w:rPr>
                <w:sz w:val="20"/>
                <w:szCs w:val="20"/>
              </w:rPr>
            </w:pPr>
          </w:p>
        </w:tc>
        <w:tc>
          <w:tcPr>
            <w:tcW w:w="3685" w:type="dxa"/>
            <w:tcBorders>
              <w:top w:val="nil"/>
              <w:left w:val="single" w:sz="4" w:space="0" w:color="auto"/>
              <w:bottom w:val="single" w:sz="4" w:space="0" w:color="auto"/>
              <w:right w:val="single" w:sz="4" w:space="0" w:color="auto"/>
            </w:tcBorders>
            <w:shd w:val="clear" w:color="auto" w:fill="auto"/>
          </w:tcPr>
          <w:p w:rsidR="00D06A2F" w:rsidRPr="00E8065F" w:rsidRDefault="00D06A2F" w:rsidP="00DC0475">
            <w:pPr>
              <w:jc w:val="both"/>
              <w:rPr>
                <w:color w:val="000000"/>
                <w:sz w:val="20"/>
                <w:szCs w:val="20"/>
              </w:rPr>
            </w:pPr>
            <w:r w:rsidRPr="00E8065F">
              <w:rPr>
                <w:color w:val="000000"/>
                <w:sz w:val="20"/>
                <w:szCs w:val="20"/>
              </w:rPr>
              <w:t xml:space="preserve">ГАУЗ </w:t>
            </w:r>
            <w:r>
              <w:rPr>
                <w:color w:val="000000"/>
                <w:sz w:val="20"/>
                <w:szCs w:val="20"/>
              </w:rPr>
              <w:t>«</w:t>
            </w:r>
            <w:r w:rsidRPr="00E8065F">
              <w:rPr>
                <w:color w:val="000000"/>
                <w:sz w:val="20"/>
                <w:szCs w:val="20"/>
              </w:rPr>
              <w:t>Пестречинская ЦРБ</w:t>
            </w:r>
            <w:r>
              <w:rPr>
                <w:color w:val="000000"/>
                <w:sz w:val="20"/>
                <w:szCs w:val="20"/>
              </w:rPr>
              <w:t>»</w:t>
            </w:r>
          </w:p>
        </w:tc>
        <w:tc>
          <w:tcPr>
            <w:tcW w:w="1994" w:type="dxa"/>
            <w:tcBorders>
              <w:top w:val="nil"/>
              <w:left w:val="single" w:sz="4" w:space="0" w:color="auto"/>
              <w:bottom w:val="single" w:sz="4" w:space="0" w:color="auto"/>
              <w:right w:val="single" w:sz="4" w:space="0" w:color="auto"/>
            </w:tcBorders>
            <w:shd w:val="clear" w:color="auto" w:fill="auto"/>
          </w:tcPr>
          <w:p w:rsidR="00D06A2F" w:rsidRPr="00E8065F" w:rsidRDefault="00D06A2F" w:rsidP="00BA1432">
            <w:pPr>
              <w:jc w:val="center"/>
              <w:rPr>
                <w:color w:val="000000"/>
                <w:sz w:val="20"/>
                <w:szCs w:val="20"/>
              </w:rPr>
            </w:pPr>
            <w:r>
              <w:rPr>
                <w:rFonts w:eastAsia="Calibri"/>
                <w:sz w:val="20"/>
                <w:szCs w:val="20"/>
              </w:rPr>
              <w:t>Фиброгастродуоденоскоп</w:t>
            </w:r>
          </w:p>
        </w:tc>
        <w:tc>
          <w:tcPr>
            <w:tcW w:w="1181" w:type="dxa"/>
          </w:tcPr>
          <w:p w:rsidR="00D06A2F" w:rsidRPr="00E8065F" w:rsidRDefault="00D06A2F" w:rsidP="000546C2">
            <w:pPr>
              <w:jc w:val="center"/>
              <w:rPr>
                <w:sz w:val="20"/>
                <w:szCs w:val="20"/>
              </w:rPr>
            </w:pPr>
            <w:r w:rsidRPr="00E8065F">
              <w:rPr>
                <w:sz w:val="20"/>
                <w:szCs w:val="20"/>
              </w:rPr>
              <w:t>2016</w:t>
            </w:r>
            <w:r w:rsidR="003D79B3">
              <w:rPr>
                <w:sz w:val="20"/>
                <w:szCs w:val="20"/>
              </w:rPr>
              <w:t xml:space="preserve"> </w:t>
            </w:r>
            <w:r w:rsidR="00130B69">
              <w:rPr>
                <w:sz w:val="20"/>
                <w:szCs w:val="20"/>
              </w:rPr>
              <w:t>(2)</w:t>
            </w:r>
          </w:p>
          <w:p w:rsidR="00D06A2F" w:rsidRPr="00E8065F" w:rsidRDefault="00D06A2F" w:rsidP="000546C2">
            <w:pPr>
              <w:jc w:val="center"/>
              <w:rPr>
                <w:sz w:val="20"/>
                <w:szCs w:val="20"/>
              </w:rPr>
            </w:pPr>
            <w:r w:rsidRPr="00E8065F">
              <w:rPr>
                <w:sz w:val="20"/>
                <w:szCs w:val="20"/>
              </w:rPr>
              <w:t>2022</w:t>
            </w:r>
            <w:r w:rsidR="003D79B3">
              <w:rPr>
                <w:sz w:val="20"/>
                <w:szCs w:val="20"/>
              </w:rPr>
              <w:t xml:space="preserve"> </w:t>
            </w:r>
            <w:r w:rsidR="00130B69">
              <w:rPr>
                <w:sz w:val="20"/>
                <w:szCs w:val="20"/>
              </w:rPr>
              <w:t>(1)</w:t>
            </w:r>
          </w:p>
          <w:p w:rsidR="00D06A2F" w:rsidRPr="00E8065F" w:rsidRDefault="00D06A2F" w:rsidP="000546C2">
            <w:pPr>
              <w:jc w:val="center"/>
              <w:rPr>
                <w:sz w:val="20"/>
                <w:szCs w:val="20"/>
              </w:rPr>
            </w:pPr>
            <w:r w:rsidRPr="00E8065F">
              <w:rPr>
                <w:sz w:val="20"/>
                <w:szCs w:val="20"/>
              </w:rPr>
              <w:t>2023</w:t>
            </w:r>
            <w:r w:rsidR="003D79B3">
              <w:rPr>
                <w:sz w:val="20"/>
                <w:szCs w:val="20"/>
              </w:rPr>
              <w:t xml:space="preserve"> </w:t>
            </w:r>
            <w:r w:rsidR="00130B69">
              <w:rPr>
                <w:sz w:val="20"/>
                <w:szCs w:val="20"/>
              </w:rPr>
              <w:t>(1)</w:t>
            </w:r>
          </w:p>
        </w:tc>
        <w:tc>
          <w:tcPr>
            <w:tcW w:w="1181" w:type="dxa"/>
            <w:tcBorders>
              <w:top w:val="nil"/>
              <w:left w:val="single" w:sz="4" w:space="0" w:color="auto"/>
              <w:bottom w:val="single" w:sz="4" w:space="0" w:color="auto"/>
              <w:right w:val="single" w:sz="4" w:space="0" w:color="auto"/>
            </w:tcBorders>
            <w:shd w:val="clear" w:color="auto" w:fill="auto"/>
          </w:tcPr>
          <w:p w:rsidR="00D06A2F" w:rsidRPr="00E8065F" w:rsidRDefault="00D06A2F" w:rsidP="000546C2">
            <w:pPr>
              <w:jc w:val="center"/>
              <w:rPr>
                <w:color w:val="000000"/>
                <w:sz w:val="20"/>
                <w:szCs w:val="20"/>
              </w:rPr>
            </w:pPr>
            <w:r w:rsidRPr="00E8065F">
              <w:rPr>
                <w:color w:val="000000"/>
                <w:sz w:val="20"/>
                <w:szCs w:val="20"/>
              </w:rPr>
              <w:t>4</w:t>
            </w:r>
          </w:p>
        </w:tc>
        <w:tc>
          <w:tcPr>
            <w:tcW w:w="1478" w:type="dxa"/>
            <w:tcBorders>
              <w:top w:val="nil"/>
              <w:left w:val="single" w:sz="4" w:space="0" w:color="auto"/>
              <w:bottom w:val="single" w:sz="4" w:space="0" w:color="auto"/>
              <w:right w:val="single" w:sz="4" w:space="0" w:color="auto"/>
            </w:tcBorders>
            <w:shd w:val="clear" w:color="auto" w:fill="auto"/>
          </w:tcPr>
          <w:p w:rsidR="00D06A2F" w:rsidRPr="00E8065F" w:rsidRDefault="00D06A2F" w:rsidP="000546C2">
            <w:pPr>
              <w:jc w:val="center"/>
              <w:rPr>
                <w:color w:val="000000"/>
                <w:sz w:val="20"/>
                <w:szCs w:val="20"/>
              </w:rPr>
            </w:pPr>
            <w:r w:rsidRPr="00E8065F">
              <w:rPr>
                <w:color w:val="000000"/>
                <w:sz w:val="20"/>
                <w:szCs w:val="20"/>
              </w:rPr>
              <w:t>4,8</w:t>
            </w:r>
          </w:p>
        </w:tc>
        <w:tc>
          <w:tcPr>
            <w:tcW w:w="1111" w:type="dxa"/>
            <w:tcBorders>
              <w:top w:val="nil"/>
              <w:left w:val="single" w:sz="4" w:space="0" w:color="auto"/>
              <w:bottom w:val="single" w:sz="4" w:space="0" w:color="auto"/>
              <w:right w:val="single" w:sz="4" w:space="0" w:color="auto"/>
            </w:tcBorders>
            <w:shd w:val="clear" w:color="auto" w:fill="auto"/>
          </w:tcPr>
          <w:p w:rsidR="00D06A2F" w:rsidRPr="00E8065F" w:rsidRDefault="00D06A2F" w:rsidP="000546C2">
            <w:pPr>
              <w:jc w:val="center"/>
              <w:rPr>
                <w:color w:val="000000"/>
                <w:sz w:val="20"/>
                <w:szCs w:val="20"/>
              </w:rPr>
            </w:pPr>
            <w:r w:rsidRPr="00E8065F">
              <w:rPr>
                <w:color w:val="000000"/>
                <w:sz w:val="20"/>
                <w:szCs w:val="20"/>
              </w:rPr>
              <w:t>1</w:t>
            </w:r>
          </w:p>
        </w:tc>
        <w:tc>
          <w:tcPr>
            <w:tcW w:w="1944" w:type="dxa"/>
            <w:tcBorders>
              <w:top w:val="nil"/>
              <w:left w:val="single" w:sz="4" w:space="0" w:color="auto"/>
              <w:bottom w:val="single" w:sz="4" w:space="0" w:color="auto"/>
              <w:right w:val="single" w:sz="4" w:space="0" w:color="auto"/>
            </w:tcBorders>
            <w:shd w:val="clear" w:color="auto" w:fill="auto"/>
          </w:tcPr>
          <w:p w:rsidR="00D06A2F" w:rsidRPr="00E8065F" w:rsidRDefault="00D06A2F" w:rsidP="00BA1432">
            <w:pPr>
              <w:jc w:val="center"/>
              <w:rPr>
                <w:color w:val="000000"/>
                <w:sz w:val="20"/>
                <w:szCs w:val="20"/>
              </w:rPr>
            </w:pPr>
            <w:r w:rsidRPr="00E8065F">
              <w:rPr>
                <w:color w:val="000000"/>
                <w:sz w:val="20"/>
                <w:szCs w:val="20"/>
              </w:rPr>
              <w:t>Амбулаторное</w:t>
            </w:r>
          </w:p>
        </w:tc>
      </w:tr>
      <w:tr w:rsidR="00D06A2F" w:rsidRPr="00E8065F" w:rsidTr="00CD3A6F">
        <w:trPr>
          <w:trHeight w:val="20"/>
        </w:trPr>
        <w:tc>
          <w:tcPr>
            <w:tcW w:w="1555" w:type="dxa"/>
            <w:vMerge/>
            <w:tcBorders>
              <w:left w:val="single" w:sz="4" w:space="0" w:color="auto"/>
              <w:right w:val="single" w:sz="4" w:space="0" w:color="auto"/>
            </w:tcBorders>
          </w:tcPr>
          <w:p w:rsidR="00D06A2F" w:rsidRPr="00E8065F" w:rsidRDefault="00D06A2F" w:rsidP="00BA1432">
            <w:pPr>
              <w:rPr>
                <w:sz w:val="20"/>
                <w:szCs w:val="20"/>
              </w:rPr>
            </w:pPr>
          </w:p>
        </w:tc>
        <w:tc>
          <w:tcPr>
            <w:tcW w:w="3685" w:type="dxa"/>
            <w:tcBorders>
              <w:top w:val="nil"/>
              <w:left w:val="single" w:sz="4" w:space="0" w:color="auto"/>
              <w:bottom w:val="single" w:sz="4" w:space="0" w:color="auto"/>
              <w:right w:val="single" w:sz="4" w:space="0" w:color="auto"/>
            </w:tcBorders>
            <w:shd w:val="clear" w:color="auto" w:fill="auto"/>
          </w:tcPr>
          <w:p w:rsidR="00D06A2F" w:rsidRPr="00E8065F" w:rsidRDefault="00D06A2F" w:rsidP="00DC0475">
            <w:pPr>
              <w:jc w:val="both"/>
              <w:rPr>
                <w:color w:val="000000"/>
                <w:sz w:val="20"/>
                <w:szCs w:val="20"/>
              </w:rPr>
            </w:pPr>
            <w:r w:rsidRPr="00E8065F">
              <w:rPr>
                <w:color w:val="000000"/>
                <w:sz w:val="20"/>
                <w:szCs w:val="20"/>
              </w:rPr>
              <w:t xml:space="preserve">ГАУЗ </w:t>
            </w:r>
            <w:r>
              <w:rPr>
                <w:color w:val="000000"/>
                <w:sz w:val="20"/>
                <w:szCs w:val="20"/>
              </w:rPr>
              <w:t>«</w:t>
            </w:r>
            <w:r w:rsidRPr="00E8065F">
              <w:rPr>
                <w:color w:val="000000"/>
                <w:sz w:val="20"/>
                <w:szCs w:val="20"/>
              </w:rPr>
              <w:t>Рыбно-Слободская ЦРБ</w:t>
            </w:r>
            <w:r>
              <w:rPr>
                <w:color w:val="000000"/>
                <w:sz w:val="20"/>
                <w:szCs w:val="20"/>
              </w:rPr>
              <w:t>»</w:t>
            </w:r>
          </w:p>
        </w:tc>
        <w:tc>
          <w:tcPr>
            <w:tcW w:w="1994" w:type="dxa"/>
            <w:tcBorders>
              <w:top w:val="nil"/>
              <w:left w:val="single" w:sz="4" w:space="0" w:color="auto"/>
              <w:bottom w:val="single" w:sz="4" w:space="0" w:color="auto"/>
              <w:right w:val="single" w:sz="4" w:space="0" w:color="auto"/>
            </w:tcBorders>
            <w:shd w:val="clear" w:color="auto" w:fill="auto"/>
          </w:tcPr>
          <w:p w:rsidR="00D06A2F" w:rsidRPr="00E8065F" w:rsidRDefault="00D06A2F" w:rsidP="00BA1432">
            <w:pPr>
              <w:jc w:val="center"/>
              <w:rPr>
                <w:color w:val="000000"/>
                <w:sz w:val="20"/>
                <w:szCs w:val="20"/>
              </w:rPr>
            </w:pPr>
            <w:r>
              <w:rPr>
                <w:rFonts w:eastAsia="Calibri"/>
                <w:sz w:val="20"/>
                <w:szCs w:val="20"/>
              </w:rPr>
              <w:t>Фиброгастродуоденоскоп</w:t>
            </w:r>
          </w:p>
        </w:tc>
        <w:tc>
          <w:tcPr>
            <w:tcW w:w="1181" w:type="dxa"/>
          </w:tcPr>
          <w:p w:rsidR="00D06A2F" w:rsidRPr="00E8065F" w:rsidRDefault="00D06A2F" w:rsidP="000546C2">
            <w:pPr>
              <w:jc w:val="center"/>
              <w:rPr>
                <w:sz w:val="20"/>
                <w:szCs w:val="20"/>
              </w:rPr>
            </w:pPr>
            <w:r w:rsidRPr="00E8065F">
              <w:rPr>
                <w:sz w:val="20"/>
                <w:szCs w:val="20"/>
              </w:rPr>
              <w:t>2021</w:t>
            </w:r>
            <w:r w:rsidR="003D79B3">
              <w:rPr>
                <w:sz w:val="20"/>
                <w:szCs w:val="20"/>
              </w:rPr>
              <w:t xml:space="preserve"> </w:t>
            </w:r>
            <w:r w:rsidR="00130B69">
              <w:rPr>
                <w:sz w:val="20"/>
                <w:szCs w:val="20"/>
              </w:rPr>
              <w:t>(1)</w:t>
            </w:r>
          </w:p>
          <w:p w:rsidR="00D06A2F" w:rsidRPr="00E8065F" w:rsidRDefault="00D06A2F" w:rsidP="000546C2">
            <w:pPr>
              <w:jc w:val="center"/>
              <w:rPr>
                <w:sz w:val="20"/>
                <w:szCs w:val="20"/>
              </w:rPr>
            </w:pPr>
            <w:r w:rsidRPr="00E8065F">
              <w:rPr>
                <w:sz w:val="20"/>
                <w:szCs w:val="20"/>
              </w:rPr>
              <w:t>2022</w:t>
            </w:r>
            <w:r w:rsidR="003D79B3">
              <w:rPr>
                <w:sz w:val="20"/>
                <w:szCs w:val="20"/>
              </w:rPr>
              <w:t xml:space="preserve"> </w:t>
            </w:r>
            <w:r w:rsidR="00130B69">
              <w:rPr>
                <w:sz w:val="20"/>
                <w:szCs w:val="20"/>
              </w:rPr>
              <w:t>(1)</w:t>
            </w:r>
          </w:p>
        </w:tc>
        <w:tc>
          <w:tcPr>
            <w:tcW w:w="1181" w:type="dxa"/>
            <w:tcBorders>
              <w:top w:val="nil"/>
              <w:left w:val="single" w:sz="4" w:space="0" w:color="auto"/>
              <w:bottom w:val="single" w:sz="4" w:space="0" w:color="auto"/>
              <w:right w:val="single" w:sz="4" w:space="0" w:color="auto"/>
            </w:tcBorders>
            <w:shd w:val="clear" w:color="auto" w:fill="auto"/>
          </w:tcPr>
          <w:p w:rsidR="00D06A2F" w:rsidRPr="00E8065F" w:rsidRDefault="00D06A2F" w:rsidP="000546C2">
            <w:pPr>
              <w:jc w:val="center"/>
              <w:rPr>
                <w:color w:val="000000"/>
                <w:sz w:val="20"/>
                <w:szCs w:val="20"/>
              </w:rPr>
            </w:pPr>
            <w:r w:rsidRPr="00E8065F">
              <w:rPr>
                <w:color w:val="000000"/>
                <w:sz w:val="20"/>
                <w:szCs w:val="20"/>
              </w:rPr>
              <w:t>2</w:t>
            </w:r>
          </w:p>
        </w:tc>
        <w:tc>
          <w:tcPr>
            <w:tcW w:w="1478" w:type="dxa"/>
            <w:tcBorders>
              <w:top w:val="nil"/>
              <w:left w:val="single" w:sz="4" w:space="0" w:color="auto"/>
              <w:bottom w:val="single" w:sz="4" w:space="0" w:color="auto"/>
              <w:right w:val="single" w:sz="4" w:space="0" w:color="auto"/>
            </w:tcBorders>
            <w:shd w:val="clear" w:color="auto" w:fill="auto"/>
          </w:tcPr>
          <w:p w:rsidR="00D06A2F" w:rsidRPr="00E8065F" w:rsidRDefault="00D06A2F" w:rsidP="000546C2">
            <w:pPr>
              <w:jc w:val="center"/>
              <w:rPr>
                <w:color w:val="000000"/>
                <w:sz w:val="20"/>
                <w:szCs w:val="20"/>
              </w:rPr>
            </w:pPr>
            <w:r w:rsidRPr="00E8065F">
              <w:rPr>
                <w:color w:val="000000"/>
                <w:sz w:val="20"/>
                <w:szCs w:val="20"/>
              </w:rPr>
              <w:t>5,7</w:t>
            </w:r>
          </w:p>
        </w:tc>
        <w:tc>
          <w:tcPr>
            <w:tcW w:w="1111" w:type="dxa"/>
            <w:tcBorders>
              <w:top w:val="nil"/>
              <w:left w:val="single" w:sz="4" w:space="0" w:color="auto"/>
              <w:bottom w:val="single" w:sz="4" w:space="0" w:color="auto"/>
              <w:right w:val="single" w:sz="4" w:space="0" w:color="auto"/>
            </w:tcBorders>
            <w:shd w:val="clear" w:color="auto" w:fill="auto"/>
          </w:tcPr>
          <w:p w:rsidR="00D06A2F" w:rsidRPr="00E8065F" w:rsidRDefault="00D06A2F" w:rsidP="000546C2">
            <w:pPr>
              <w:jc w:val="center"/>
              <w:rPr>
                <w:color w:val="000000"/>
                <w:sz w:val="20"/>
                <w:szCs w:val="20"/>
              </w:rPr>
            </w:pPr>
            <w:r w:rsidRPr="00E8065F">
              <w:rPr>
                <w:color w:val="000000"/>
                <w:sz w:val="20"/>
                <w:szCs w:val="20"/>
              </w:rPr>
              <w:t>1</w:t>
            </w:r>
          </w:p>
        </w:tc>
        <w:tc>
          <w:tcPr>
            <w:tcW w:w="1944" w:type="dxa"/>
            <w:tcBorders>
              <w:top w:val="nil"/>
              <w:left w:val="single" w:sz="4" w:space="0" w:color="auto"/>
              <w:bottom w:val="single" w:sz="4" w:space="0" w:color="auto"/>
              <w:right w:val="single" w:sz="4" w:space="0" w:color="auto"/>
            </w:tcBorders>
            <w:shd w:val="clear" w:color="auto" w:fill="auto"/>
          </w:tcPr>
          <w:p w:rsidR="00D06A2F" w:rsidRPr="00E8065F" w:rsidRDefault="00D06A2F" w:rsidP="00BA1432">
            <w:pPr>
              <w:jc w:val="center"/>
              <w:rPr>
                <w:color w:val="000000"/>
                <w:sz w:val="20"/>
                <w:szCs w:val="20"/>
              </w:rPr>
            </w:pPr>
            <w:r w:rsidRPr="00E8065F">
              <w:rPr>
                <w:color w:val="000000"/>
                <w:sz w:val="20"/>
                <w:szCs w:val="20"/>
              </w:rPr>
              <w:t>Амбулаторное</w:t>
            </w:r>
          </w:p>
        </w:tc>
      </w:tr>
      <w:tr w:rsidR="00D06A2F" w:rsidRPr="00E8065F" w:rsidTr="00CD3A6F">
        <w:trPr>
          <w:trHeight w:val="20"/>
        </w:trPr>
        <w:tc>
          <w:tcPr>
            <w:tcW w:w="1555" w:type="dxa"/>
            <w:vMerge/>
            <w:tcBorders>
              <w:left w:val="single" w:sz="4" w:space="0" w:color="auto"/>
              <w:right w:val="single" w:sz="4" w:space="0" w:color="auto"/>
            </w:tcBorders>
          </w:tcPr>
          <w:p w:rsidR="00D06A2F" w:rsidRPr="00E8065F" w:rsidRDefault="00D06A2F" w:rsidP="00BA1432">
            <w:pPr>
              <w:rPr>
                <w:sz w:val="20"/>
                <w:szCs w:val="20"/>
              </w:rPr>
            </w:pPr>
          </w:p>
        </w:tc>
        <w:tc>
          <w:tcPr>
            <w:tcW w:w="3685" w:type="dxa"/>
            <w:tcBorders>
              <w:top w:val="nil"/>
              <w:left w:val="single" w:sz="4" w:space="0" w:color="auto"/>
              <w:bottom w:val="single" w:sz="4" w:space="0" w:color="auto"/>
              <w:right w:val="single" w:sz="4" w:space="0" w:color="auto"/>
            </w:tcBorders>
            <w:shd w:val="clear" w:color="auto" w:fill="auto"/>
          </w:tcPr>
          <w:p w:rsidR="00D06A2F" w:rsidRPr="00E8065F" w:rsidRDefault="00D06A2F" w:rsidP="00DC0475">
            <w:pPr>
              <w:jc w:val="both"/>
              <w:rPr>
                <w:color w:val="000000"/>
                <w:sz w:val="20"/>
                <w:szCs w:val="20"/>
              </w:rPr>
            </w:pPr>
            <w:r w:rsidRPr="00E8065F">
              <w:rPr>
                <w:color w:val="000000"/>
                <w:sz w:val="20"/>
                <w:szCs w:val="20"/>
              </w:rPr>
              <w:t xml:space="preserve">ГАУЗ </w:t>
            </w:r>
            <w:r>
              <w:rPr>
                <w:color w:val="000000"/>
                <w:sz w:val="20"/>
                <w:szCs w:val="20"/>
              </w:rPr>
              <w:t>«</w:t>
            </w:r>
            <w:r w:rsidRPr="00E8065F">
              <w:rPr>
                <w:color w:val="000000"/>
                <w:sz w:val="20"/>
                <w:szCs w:val="20"/>
              </w:rPr>
              <w:t>Сабинская ЦРБ</w:t>
            </w:r>
            <w:r>
              <w:rPr>
                <w:color w:val="000000"/>
                <w:sz w:val="20"/>
                <w:szCs w:val="20"/>
              </w:rPr>
              <w:t>»</w:t>
            </w:r>
          </w:p>
        </w:tc>
        <w:tc>
          <w:tcPr>
            <w:tcW w:w="1994" w:type="dxa"/>
            <w:tcBorders>
              <w:top w:val="nil"/>
              <w:left w:val="single" w:sz="4" w:space="0" w:color="auto"/>
              <w:bottom w:val="single" w:sz="4" w:space="0" w:color="auto"/>
              <w:right w:val="single" w:sz="4" w:space="0" w:color="auto"/>
            </w:tcBorders>
            <w:shd w:val="clear" w:color="auto" w:fill="auto"/>
          </w:tcPr>
          <w:p w:rsidR="00D06A2F" w:rsidRPr="00E8065F" w:rsidRDefault="00D06A2F" w:rsidP="00BA1432">
            <w:pPr>
              <w:jc w:val="center"/>
              <w:rPr>
                <w:color w:val="000000"/>
                <w:sz w:val="20"/>
                <w:szCs w:val="20"/>
              </w:rPr>
            </w:pPr>
            <w:r>
              <w:rPr>
                <w:rFonts w:eastAsia="Calibri"/>
                <w:sz w:val="20"/>
                <w:szCs w:val="20"/>
              </w:rPr>
              <w:t>Фиброгастродуоденоскоп</w:t>
            </w:r>
          </w:p>
        </w:tc>
        <w:tc>
          <w:tcPr>
            <w:tcW w:w="1181" w:type="dxa"/>
          </w:tcPr>
          <w:p w:rsidR="00D06A2F" w:rsidRPr="00E8065F" w:rsidRDefault="00D06A2F" w:rsidP="000546C2">
            <w:pPr>
              <w:jc w:val="center"/>
              <w:rPr>
                <w:sz w:val="20"/>
                <w:szCs w:val="20"/>
              </w:rPr>
            </w:pPr>
            <w:r w:rsidRPr="00E8065F">
              <w:rPr>
                <w:sz w:val="20"/>
                <w:szCs w:val="20"/>
              </w:rPr>
              <w:t>2016</w:t>
            </w:r>
            <w:r w:rsidR="003D79B3">
              <w:rPr>
                <w:sz w:val="20"/>
                <w:szCs w:val="20"/>
              </w:rPr>
              <w:t xml:space="preserve"> </w:t>
            </w:r>
            <w:r w:rsidR="00130B69">
              <w:rPr>
                <w:sz w:val="20"/>
                <w:szCs w:val="20"/>
              </w:rPr>
              <w:t>(1)</w:t>
            </w:r>
          </w:p>
          <w:p w:rsidR="00D06A2F" w:rsidRPr="00E8065F" w:rsidRDefault="003D79B3" w:rsidP="000546C2">
            <w:pPr>
              <w:jc w:val="center"/>
              <w:rPr>
                <w:sz w:val="20"/>
                <w:szCs w:val="20"/>
              </w:rPr>
            </w:pPr>
            <w:r>
              <w:rPr>
                <w:sz w:val="20"/>
                <w:szCs w:val="20"/>
              </w:rPr>
              <w:t>2</w:t>
            </w:r>
            <w:r w:rsidR="00D06A2F" w:rsidRPr="00E8065F">
              <w:rPr>
                <w:sz w:val="20"/>
                <w:szCs w:val="20"/>
              </w:rPr>
              <w:t>018</w:t>
            </w:r>
            <w:r>
              <w:rPr>
                <w:sz w:val="20"/>
                <w:szCs w:val="20"/>
              </w:rPr>
              <w:t xml:space="preserve"> </w:t>
            </w:r>
            <w:r w:rsidR="00130B69">
              <w:rPr>
                <w:sz w:val="20"/>
                <w:szCs w:val="20"/>
              </w:rPr>
              <w:t>(1)</w:t>
            </w:r>
          </w:p>
          <w:p w:rsidR="00D06A2F" w:rsidRPr="00E8065F" w:rsidRDefault="00D06A2F" w:rsidP="000546C2">
            <w:pPr>
              <w:jc w:val="center"/>
              <w:rPr>
                <w:sz w:val="20"/>
                <w:szCs w:val="20"/>
              </w:rPr>
            </w:pPr>
            <w:r w:rsidRPr="00E8065F">
              <w:rPr>
                <w:sz w:val="20"/>
                <w:szCs w:val="20"/>
              </w:rPr>
              <w:t>2021</w:t>
            </w:r>
            <w:r w:rsidR="003D79B3">
              <w:rPr>
                <w:sz w:val="20"/>
                <w:szCs w:val="20"/>
              </w:rPr>
              <w:t xml:space="preserve"> </w:t>
            </w:r>
            <w:r w:rsidR="00130B69">
              <w:rPr>
                <w:sz w:val="20"/>
                <w:szCs w:val="20"/>
              </w:rPr>
              <w:t>(1)</w:t>
            </w:r>
          </w:p>
          <w:p w:rsidR="00D06A2F" w:rsidRPr="00E8065F" w:rsidRDefault="00D06A2F" w:rsidP="000546C2">
            <w:pPr>
              <w:jc w:val="center"/>
              <w:rPr>
                <w:sz w:val="20"/>
                <w:szCs w:val="20"/>
              </w:rPr>
            </w:pPr>
            <w:r w:rsidRPr="00E8065F">
              <w:rPr>
                <w:sz w:val="20"/>
                <w:szCs w:val="20"/>
              </w:rPr>
              <w:t>2022</w:t>
            </w:r>
            <w:r w:rsidR="003D79B3">
              <w:rPr>
                <w:sz w:val="20"/>
                <w:szCs w:val="20"/>
              </w:rPr>
              <w:t xml:space="preserve"> </w:t>
            </w:r>
            <w:r w:rsidR="00130B69">
              <w:rPr>
                <w:sz w:val="20"/>
                <w:szCs w:val="20"/>
              </w:rPr>
              <w:t>(1)</w:t>
            </w:r>
          </w:p>
          <w:p w:rsidR="00D06A2F" w:rsidRPr="00E8065F" w:rsidRDefault="00D06A2F" w:rsidP="000546C2">
            <w:pPr>
              <w:jc w:val="center"/>
              <w:rPr>
                <w:sz w:val="20"/>
                <w:szCs w:val="20"/>
              </w:rPr>
            </w:pPr>
            <w:r w:rsidRPr="00E8065F">
              <w:rPr>
                <w:sz w:val="20"/>
                <w:szCs w:val="20"/>
              </w:rPr>
              <w:t>2023</w:t>
            </w:r>
            <w:r w:rsidR="003D79B3">
              <w:rPr>
                <w:sz w:val="20"/>
                <w:szCs w:val="20"/>
              </w:rPr>
              <w:t xml:space="preserve"> </w:t>
            </w:r>
            <w:r w:rsidR="00130B69">
              <w:rPr>
                <w:sz w:val="20"/>
                <w:szCs w:val="20"/>
              </w:rPr>
              <w:t>(1)</w:t>
            </w:r>
          </w:p>
        </w:tc>
        <w:tc>
          <w:tcPr>
            <w:tcW w:w="1181" w:type="dxa"/>
            <w:tcBorders>
              <w:top w:val="nil"/>
              <w:left w:val="single" w:sz="4" w:space="0" w:color="auto"/>
              <w:bottom w:val="single" w:sz="4" w:space="0" w:color="auto"/>
              <w:right w:val="single" w:sz="4" w:space="0" w:color="auto"/>
            </w:tcBorders>
            <w:shd w:val="clear" w:color="auto" w:fill="auto"/>
          </w:tcPr>
          <w:p w:rsidR="00D06A2F" w:rsidRPr="00E8065F" w:rsidRDefault="00D06A2F" w:rsidP="000546C2">
            <w:pPr>
              <w:jc w:val="center"/>
              <w:rPr>
                <w:color w:val="000000"/>
                <w:sz w:val="20"/>
                <w:szCs w:val="20"/>
              </w:rPr>
            </w:pPr>
            <w:r w:rsidRPr="00E8065F">
              <w:rPr>
                <w:color w:val="000000"/>
                <w:sz w:val="20"/>
                <w:szCs w:val="20"/>
              </w:rPr>
              <w:t>5</w:t>
            </w:r>
          </w:p>
        </w:tc>
        <w:tc>
          <w:tcPr>
            <w:tcW w:w="1478" w:type="dxa"/>
            <w:tcBorders>
              <w:top w:val="nil"/>
              <w:left w:val="single" w:sz="4" w:space="0" w:color="auto"/>
              <w:bottom w:val="single" w:sz="4" w:space="0" w:color="auto"/>
              <w:right w:val="single" w:sz="4" w:space="0" w:color="auto"/>
            </w:tcBorders>
            <w:shd w:val="clear" w:color="auto" w:fill="auto"/>
          </w:tcPr>
          <w:p w:rsidR="00D06A2F" w:rsidRPr="00E8065F" w:rsidRDefault="00D06A2F" w:rsidP="000546C2">
            <w:pPr>
              <w:jc w:val="center"/>
              <w:rPr>
                <w:color w:val="000000"/>
                <w:sz w:val="20"/>
                <w:szCs w:val="20"/>
              </w:rPr>
            </w:pPr>
            <w:r w:rsidRPr="00E8065F">
              <w:rPr>
                <w:color w:val="000000"/>
                <w:sz w:val="20"/>
                <w:szCs w:val="20"/>
              </w:rPr>
              <w:t>6,6</w:t>
            </w:r>
          </w:p>
        </w:tc>
        <w:tc>
          <w:tcPr>
            <w:tcW w:w="1111" w:type="dxa"/>
            <w:tcBorders>
              <w:top w:val="nil"/>
              <w:left w:val="single" w:sz="4" w:space="0" w:color="auto"/>
              <w:bottom w:val="single" w:sz="4" w:space="0" w:color="auto"/>
              <w:right w:val="single" w:sz="4" w:space="0" w:color="auto"/>
            </w:tcBorders>
            <w:shd w:val="clear" w:color="auto" w:fill="auto"/>
          </w:tcPr>
          <w:p w:rsidR="00D06A2F" w:rsidRPr="00E8065F" w:rsidRDefault="00D06A2F" w:rsidP="000546C2">
            <w:pPr>
              <w:jc w:val="center"/>
              <w:rPr>
                <w:color w:val="000000"/>
                <w:sz w:val="20"/>
                <w:szCs w:val="20"/>
              </w:rPr>
            </w:pPr>
            <w:r w:rsidRPr="00E8065F">
              <w:rPr>
                <w:color w:val="000000"/>
                <w:sz w:val="20"/>
                <w:szCs w:val="20"/>
              </w:rPr>
              <w:t>1</w:t>
            </w:r>
          </w:p>
        </w:tc>
        <w:tc>
          <w:tcPr>
            <w:tcW w:w="1944" w:type="dxa"/>
            <w:tcBorders>
              <w:top w:val="nil"/>
              <w:left w:val="single" w:sz="4" w:space="0" w:color="auto"/>
              <w:bottom w:val="single" w:sz="4" w:space="0" w:color="auto"/>
              <w:right w:val="single" w:sz="4" w:space="0" w:color="auto"/>
            </w:tcBorders>
            <w:shd w:val="clear" w:color="auto" w:fill="auto"/>
          </w:tcPr>
          <w:p w:rsidR="00D06A2F" w:rsidRPr="00E8065F" w:rsidRDefault="00D06A2F" w:rsidP="00BA1432">
            <w:pPr>
              <w:jc w:val="center"/>
              <w:rPr>
                <w:color w:val="000000"/>
                <w:sz w:val="20"/>
                <w:szCs w:val="20"/>
              </w:rPr>
            </w:pPr>
            <w:r w:rsidRPr="00E8065F">
              <w:rPr>
                <w:color w:val="000000"/>
                <w:sz w:val="20"/>
                <w:szCs w:val="20"/>
              </w:rPr>
              <w:t>Амбулаторное</w:t>
            </w:r>
          </w:p>
        </w:tc>
      </w:tr>
      <w:tr w:rsidR="00D06A2F" w:rsidRPr="00E8065F" w:rsidTr="00CD3A6F">
        <w:trPr>
          <w:trHeight w:val="20"/>
        </w:trPr>
        <w:tc>
          <w:tcPr>
            <w:tcW w:w="1555" w:type="dxa"/>
            <w:vMerge/>
            <w:tcBorders>
              <w:left w:val="single" w:sz="4" w:space="0" w:color="auto"/>
              <w:right w:val="single" w:sz="4" w:space="0" w:color="auto"/>
            </w:tcBorders>
          </w:tcPr>
          <w:p w:rsidR="00D06A2F" w:rsidRPr="00E8065F" w:rsidRDefault="00D06A2F" w:rsidP="00BA1432">
            <w:pPr>
              <w:rPr>
                <w:sz w:val="20"/>
                <w:szCs w:val="20"/>
              </w:rPr>
            </w:pPr>
          </w:p>
        </w:tc>
        <w:tc>
          <w:tcPr>
            <w:tcW w:w="3685" w:type="dxa"/>
            <w:tcBorders>
              <w:top w:val="nil"/>
              <w:left w:val="single" w:sz="4" w:space="0" w:color="auto"/>
              <w:bottom w:val="single" w:sz="4" w:space="0" w:color="auto"/>
              <w:right w:val="single" w:sz="4" w:space="0" w:color="auto"/>
            </w:tcBorders>
            <w:shd w:val="clear" w:color="auto" w:fill="auto"/>
          </w:tcPr>
          <w:p w:rsidR="00D06A2F" w:rsidRPr="00E8065F" w:rsidRDefault="00D06A2F" w:rsidP="00DC0475">
            <w:pPr>
              <w:jc w:val="both"/>
              <w:rPr>
                <w:color w:val="000000"/>
                <w:sz w:val="20"/>
                <w:szCs w:val="20"/>
              </w:rPr>
            </w:pPr>
            <w:r w:rsidRPr="00E8065F">
              <w:rPr>
                <w:color w:val="000000"/>
                <w:sz w:val="20"/>
                <w:szCs w:val="20"/>
              </w:rPr>
              <w:t xml:space="preserve">ГАУЗ </w:t>
            </w:r>
            <w:r>
              <w:rPr>
                <w:color w:val="000000"/>
                <w:sz w:val="20"/>
                <w:szCs w:val="20"/>
              </w:rPr>
              <w:t>«</w:t>
            </w:r>
            <w:r w:rsidRPr="00E8065F">
              <w:rPr>
                <w:color w:val="000000"/>
                <w:sz w:val="20"/>
                <w:szCs w:val="20"/>
              </w:rPr>
              <w:t>Сармановская ЦРБ</w:t>
            </w:r>
            <w:r>
              <w:rPr>
                <w:color w:val="000000"/>
                <w:sz w:val="20"/>
                <w:szCs w:val="20"/>
              </w:rPr>
              <w:t>»</w:t>
            </w:r>
          </w:p>
        </w:tc>
        <w:tc>
          <w:tcPr>
            <w:tcW w:w="1994" w:type="dxa"/>
            <w:tcBorders>
              <w:top w:val="nil"/>
              <w:left w:val="single" w:sz="4" w:space="0" w:color="auto"/>
              <w:bottom w:val="single" w:sz="4" w:space="0" w:color="auto"/>
              <w:right w:val="single" w:sz="4" w:space="0" w:color="auto"/>
            </w:tcBorders>
            <w:shd w:val="clear" w:color="auto" w:fill="auto"/>
          </w:tcPr>
          <w:p w:rsidR="00D06A2F" w:rsidRPr="00E8065F" w:rsidRDefault="00D06A2F" w:rsidP="00BA1432">
            <w:pPr>
              <w:jc w:val="center"/>
              <w:rPr>
                <w:color w:val="000000"/>
                <w:sz w:val="20"/>
                <w:szCs w:val="20"/>
              </w:rPr>
            </w:pPr>
            <w:r>
              <w:rPr>
                <w:rFonts w:eastAsia="Calibri"/>
                <w:sz w:val="20"/>
                <w:szCs w:val="20"/>
              </w:rPr>
              <w:t>Фиброгастродуоденоскоп</w:t>
            </w:r>
          </w:p>
        </w:tc>
        <w:tc>
          <w:tcPr>
            <w:tcW w:w="1181" w:type="dxa"/>
          </w:tcPr>
          <w:p w:rsidR="00D06A2F" w:rsidRPr="00E8065F" w:rsidRDefault="00D06A2F" w:rsidP="000546C2">
            <w:pPr>
              <w:jc w:val="center"/>
              <w:rPr>
                <w:sz w:val="20"/>
                <w:szCs w:val="20"/>
              </w:rPr>
            </w:pPr>
            <w:r w:rsidRPr="00E8065F">
              <w:rPr>
                <w:sz w:val="20"/>
                <w:szCs w:val="20"/>
              </w:rPr>
              <w:t>2003</w:t>
            </w:r>
            <w:r w:rsidR="003D79B3">
              <w:rPr>
                <w:sz w:val="20"/>
                <w:szCs w:val="20"/>
              </w:rPr>
              <w:t xml:space="preserve"> </w:t>
            </w:r>
            <w:r w:rsidR="00130B69">
              <w:rPr>
                <w:sz w:val="20"/>
                <w:szCs w:val="20"/>
              </w:rPr>
              <w:t>(2)</w:t>
            </w:r>
          </w:p>
          <w:p w:rsidR="00D06A2F" w:rsidRPr="00E8065F" w:rsidRDefault="00D06A2F" w:rsidP="000546C2">
            <w:pPr>
              <w:jc w:val="center"/>
              <w:rPr>
                <w:sz w:val="20"/>
                <w:szCs w:val="20"/>
              </w:rPr>
            </w:pPr>
            <w:r w:rsidRPr="00E8065F">
              <w:rPr>
                <w:sz w:val="20"/>
                <w:szCs w:val="20"/>
              </w:rPr>
              <w:t>2016</w:t>
            </w:r>
            <w:r w:rsidR="003D79B3">
              <w:rPr>
                <w:sz w:val="20"/>
                <w:szCs w:val="20"/>
              </w:rPr>
              <w:t xml:space="preserve"> </w:t>
            </w:r>
            <w:r w:rsidR="00130B69">
              <w:rPr>
                <w:sz w:val="20"/>
                <w:szCs w:val="20"/>
              </w:rPr>
              <w:t>(1)</w:t>
            </w:r>
          </w:p>
        </w:tc>
        <w:tc>
          <w:tcPr>
            <w:tcW w:w="1181" w:type="dxa"/>
            <w:tcBorders>
              <w:top w:val="nil"/>
              <w:left w:val="single" w:sz="4" w:space="0" w:color="auto"/>
              <w:bottom w:val="single" w:sz="4" w:space="0" w:color="auto"/>
              <w:right w:val="single" w:sz="4" w:space="0" w:color="auto"/>
            </w:tcBorders>
            <w:shd w:val="clear" w:color="auto" w:fill="auto"/>
          </w:tcPr>
          <w:p w:rsidR="00D06A2F" w:rsidRPr="00E8065F" w:rsidRDefault="00D06A2F" w:rsidP="000546C2">
            <w:pPr>
              <w:jc w:val="center"/>
              <w:rPr>
                <w:color w:val="000000"/>
                <w:sz w:val="20"/>
                <w:szCs w:val="20"/>
              </w:rPr>
            </w:pPr>
            <w:r w:rsidRPr="00E8065F">
              <w:rPr>
                <w:color w:val="000000"/>
                <w:sz w:val="20"/>
                <w:szCs w:val="20"/>
              </w:rPr>
              <w:t>3</w:t>
            </w:r>
          </w:p>
        </w:tc>
        <w:tc>
          <w:tcPr>
            <w:tcW w:w="1478" w:type="dxa"/>
            <w:tcBorders>
              <w:top w:val="nil"/>
              <w:left w:val="single" w:sz="4" w:space="0" w:color="auto"/>
              <w:bottom w:val="single" w:sz="4" w:space="0" w:color="auto"/>
              <w:right w:val="single" w:sz="4" w:space="0" w:color="auto"/>
            </w:tcBorders>
            <w:shd w:val="clear" w:color="auto" w:fill="auto"/>
          </w:tcPr>
          <w:p w:rsidR="00D06A2F" w:rsidRPr="00E8065F" w:rsidRDefault="00D06A2F" w:rsidP="000546C2">
            <w:pPr>
              <w:jc w:val="center"/>
              <w:rPr>
                <w:color w:val="000000"/>
                <w:sz w:val="20"/>
                <w:szCs w:val="20"/>
              </w:rPr>
            </w:pPr>
            <w:r w:rsidRPr="00E8065F">
              <w:rPr>
                <w:color w:val="000000"/>
                <w:sz w:val="20"/>
                <w:szCs w:val="20"/>
              </w:rPr>
              <w:t>3,0</w:t>
            </w:r>
          </w:p>
        </w:tc>
        <w:tc>
          <w:tcPr>
            <w:tcW w:w="1111" w:type="dxa"/>
            <w:tcBorders>
              <w:top w:val="nil"/>
              <w:left w:val="single" w:sz="4" w:space="0" w:color="auto"/>
              <w:bottom w:val="single" w:sz="4" w:space="0" w:color="auto"/>
              <w:right w:val="single" w:sz="4" w:space="0" w:color="auto"/>
            </w:tcBorders>
            <w:shd w:val="clear" w:color="auto" w:fill="auto"/>
          </w:tcPr>
          <w:p w:rsidR="00D06A2F" w:rsidRPr="00E8065F" w:rsidRDefault="00D06A2F" w:rsidP="000546C2">
            <w:pPr>
              <w:jc w:val="center"/>
              <w:rPr>
                <w:color w:val="000000"/>
                <w:sz w:val="20"/>
                <w:szCs w:val="20"/>
              </w:rPr>
            </w:pPr>
            <w:r w:rsidRPr="00E8065F">
              <w:rPr>
                <w:color w:val="000000"/>
                <w:sz w:val="20"/>
                <w:szCs w:val="20"/>
              </w:rPr>
              <w:t>1</w:t>
            </w:r>
          </w:p>
        </w:tc>
        <w:tc>
          <w:tcPr>
            <w:tcW w:w="1944" w:type="dxa"/>
            <w:tcBorders>
              <w:top w:val="nil"/>
              <w:left w:val="single" w:sz="4" w:space="0" w:color="auto"/>
              <w:bottom w:val="single" w:sz="4" w:space="0" w:color="auto"/>
              <w:right w:val="single" w:sz="4" w:space="0" w:color="auto"/>
            </w:tcBorders>
            <w:shd w:val="clear" w:color="auto" w:fill="auto"/>
          </w:tcPr>
          <w:p w:rsidR="00D06A2F" w:rsidRPr="00E8065F" w:rsidRDefault="00D06A2F" w:rsidP="00BA1432">
            <w:pPr>
              <w:jc w:val="center"/>
              <w:rPr>
                <w:color w:val="000000"/>
                <w:sz w:val="20"/>
                <w:szCs w:val="20"/>
              </w:rPr>
            </w:pPr>
            <w:r w:rsidRPr="00E8065F">
              <w:rPr>
                <w:color w:val="000000"/>
                <w:sz w:val="20"/>
                <w:szCs w:val="20"/>
              </w:rPr>
              <w:t>Амбулаторное</w:t>
            </w:r>
          </w:p>
        </w:tc>
      </w:tr>
      <w:tr w:rsidR="00D06A2F" w:rsidRPr="00E8065F" w:rsidTr="00CD3A6F">
        <w:trPr>
          <w:trHeight w:val="20"/>
        </w:trPr>
        <w:tc>
          <w:tcPr>
            <w:tcW w:w="1555" w:type="dxa"/>
            <w:vMerge/>
            <w:tcBorders>
              <w:left w:val="single" w:sz="4" w:space="0" w:color="auto"/>
              <w:right w:val="single" w:sz="4" w:space="0" w:color="auto"/>
            </w:tcBorders>
          </w:tcPr>
          <w:p w:rsidR="00D06A2F" w:rsidRPr="00E8065F" w:rsidRDefault="00D06A2F" w:rsidP="00BA1432">
            <w:pPr>
              <w:rPr>
                <w:sz w:val="20"/>
                <w:szCs w:val="20"/>
              </w:rPr>
            </w:pPr>
          </w:p>
        </w:tc>
        <w:tc>
          <w:tcPr>
            <w:tcW w:w="3685" w:type="dxa"/>
            <w:tcBorders>
              <w:top w:val="nil"/>
              <w:left w:val="single" w:sz="4" w:space="0" w:color="auto"/>
              <w:bottom w:val="single" w:sz="4" w:space="0" w:color="auto"/>
              <w:right w:val="single" w:sz="4" w:space="0" w:color="auto"/>
            </w:tcBorders>
            <w:shd w:val="clear" w:color="auto" w:fill="auto"/>
          </w:tcPr>
          <w:p w:rsidR="00D06A2F" w:rsidRPr="00E8065F" w:rsidRDefault="00D06A2F" w:rsidP="00DC0475">
            <w:pPr>
              <w:jc w:val="both"/>
              <w:rPr>
                <w:color w:val="000000"/>
                <w:sz w:val="20"/>
                <w:szCs w:val="20"/>
              </w:rPr>
            </w:pPr>
            <w:r w:rsidRPr="00E8065F">
              <w:rPr>
                <w:color w:val="000000"/>
                <w:sz w:val="20"/>
                <w:szCs w:val="20"/>
              </w:rPr>
              <w:t xml:space="preserve">ГАУЗ </w:t>
            </w:r>
            <w:r>
              <w:rPr>
                <w:color w:val="000000"/>
                <w:sz w:val="20"/>
                <w:szCs w:val="20"/>
              </w:rPr>
              <w:t>«</w:t>
            </w:r>
            <w:r w:rsidRPr="00E8065F">
              <w:rPr>
                <w:color w:val="000000"/>
                <w:sz w:val="20"/>
                <w:szCs w:val="20"/>
              </w:rPr>
              <w:t>Тетюшская ЦРБ</w:t>
            </w:r>
            <w:r>
              <w:rPr>
                <w:color w:val="000000"/>
                <w:sz w:val="20"/>
                <w:szCs w:val="20"/>
              </w:rPr>
              <w:t>»</w:t>
            </w:r>
          </w:p>
        </w:tc>
        <w:tc>
          <w:tcPr>
            <w:tcW w:w="1994" w:type="dxa"/>
            <w:tcBorders>
              <w:top w:val="nil"/>
              <w:left w:val="single" w:sz="4" w:space="0" w:color="auto"/>
              <w:bottom w:val="single" w:sz="4" w:space="0" w:color="auto"/>
              <w:right w:val="single" w:sz="4" w:space="0" w:color="auto"/>
            </w:tcBorders>
            <w:shd w:val="clear" w:color="auto" w:fill="auto"/>
          </w:tcPr>
          <w:p w:rsidR="00D06A2F" w:rsidRPr="00E8065F" w:rsidRDefault="00D06A2F" w:rsidP="00BA1432">
            <w:pPr>
              <w:jc w:val="center"/>
              <w:rPr>
                <w:color w:val="000000"/>
                <w:sz w:val="20"/>
                <w:szCs w:val="20"/>
              </w:rPr>
            </w:pPr>
            <w:r>
              <w:rPr>
                <w:rFonts w:eastAsia="Calibri"/>
                <w:sz w:val="20"/>
                <w:szCs w:val="20"/>
              </w:rPr>
              <w:t>Фиброгастродуоденоскоп</w:t>
            </w:r>
          </w:p>
        </w:tc>
        <w:tc>
          <w:tcPr>
            <w:tcW w:w="1181" w:type="dxa"/>
          </w:tcPr>
          <w:p w:rsidR="00D06A2F" w:rsidRPr="00E8065F" w:rsidRDefault="00D06A2F" w:rsidP="000546C2">
            <w:pPr>
              <w:jc w:val="center"/>
              <w:rPr>
                <w:sz w:val="20"/>
                <w:szCs w:val="20"/>
              </w:rPr>
            </w:pPr>
            <w:r w:rsidRPr="00E8065F">
              <w:rPr>
                <w:sz w:val="20"/>
                <w:szCs w:val="20"/>
              </w:rPr>
              <w:t>2017</w:t>
            </w:r>
            <w:r w:rsidR="003D79B3">
              <w:rPr>
                <w:sz w:val="20"/>
                <w:szCs w:val="20"/>
              </w:rPr>
              <w:t xml:space="preserve"> </w:t>
            </w:r>
            <w:r w:rsidR="00AC6F85">
              <w:rPr>
                <w:sz w:val="20"/>
                <w:szCs w:val="20"/>
              </w:rPr>
              <w:t>(1)</w:t>
            </w:r>
          </w:p>
          <w:p w:rsidR="00D06A2F" w:rsidRPr="00E8065F" w:rsidRDefault="00D06A2F" w:rsidP="000546C2">
            <w:pPr>
              <w:jc w:val="center"/>
              <w:rPr>
                <w:sz w:val="20"/>
                <w:szCs w:val="20"/>
              </w:rPr>
            </w:pPr>
            <w:r w:rsidRPr="00E8065F">
              <w:rPr>
                <w:sz w:val="20"/>
                <w:szCs w:val="20"/>
              </w:rPr>
              <w:t>2018</w:t>
            </w:r>
            <w:r w:rsidR="003D79B3">
              <w:rPr>
                <w:sz w:val="20"/>
                <w:szCs w:val="20"/>
              </w:rPr>
              <w:t xml:space="preserve"> </w:t>
            </w:r>
            <w:r w:rsidR="00AC6F85">
              <w:rPr>
                <w:sz w:val="20"/>
                <w:szCs w:val="20"/>
              </w:rPr>
              <w:t>(1)</w:t>
            </w:r>
          </w:p>
          <w:p w:rsidR="00D06A2F" w:rsidRPr="00E8065F" w:rsidRDefault="00D06A2F" w:rsidP="000546C2">
            <w:pPr>
              <w:jc w:val="center"/>
              <w:rPr>
                <w:sz w:val="20"/>
                <w:szCs w:val="20"/>
              </w:rPr>
            </w:pPr>
            <w:r w:rsidRPr="00E8065F">
              <w:rPr>
                <w:sz w:val="20"/>
                <w:szCs w:val="20"/>
              </w:rPr>
              <w:t>2019</w:t>
            </w:r>
            <w:r w:rsidR="003D79B3">
              <w:rPr>
                <w:sz w:val="20"/>
                <w:szCs w:val="20"/>
              </w:rPr>
              <w:t xml:space="preserve"> </w:t>
            </w:r>
            <w:r w:rsidR="00AC6F85">
              <w:rPr>
                <w:sz w:val="20"/>
                <w:szCs w:val="20"/>
              </w:rPr>
              <w:t>(1)</w:t>
            </w:r>
          </w:p>
        </w:tc>
        <w:tc>
          <w:tcPr>
            <w:tcW w:w="1181" w:type="dxa"/>
            <w:tcBorders>
              <w:top w:val="nil"/>
              <w:left w:val="single" w:sz="4" w:space="0" w:color="auto"/>
              <w:bottom w:val="single" w:sz="4" w:space="0" w:color="auto"/>
              <w:right w:val="single" w:sz="4" w:space="0" w:color="auto"/>
            </w:tcBorders>
            <w:shd w:val="clear" w:color="auto" w:fill="auto"/>
          </w:tcPr>
          <w:p w:rsidR="00D06A2F" w:rsidRPr="00E8065F" w:rsidRDefault="00D06A2F" w:rsidP="000546C2">
            <w:pPr>
              <w:jc w:val="center"/>
              <w:rPr>
                <w:color w:val="000000"/>
                <w:sz w:val="20"/>
                <w:szCs w:val="20"/>
              </w:rPr>
            </w:pPr>
            <w:r w:rsidRPr="00E8065F">
              <w:rPr>
                <w:color w:val="000000"/>
                <w:sz w:val="20"/>
                <w:szCs w:val="20"/>
              </w:rPr>
              <w:t>3</w:t>
            </w:r>
          </w:p>
        </w:tc>
        <w:tc>
          <w:tcPr>
            <w:tcW w:w="1478" w:type="dxa"/>
            <w:tcBorders>
              <w:top w:val="nil"/>
              <w:left w:val="single" w:sz="4" w:space="0" w:color="auto"/>
              <w:bottom w:val="single" w:sz="4" w:space="0" w:color="auto"/>
              <w:right w:val="single" w:sz="4" w:space="0" w:color="auto"/>
            </w:tcBorders>
            <w:shd w:val="clear" w:color="auto" w:fill="auto"/>
          </w:tcPr>
          <w:p w:rsidR="00D06A2F" w:rsidRPr="00E8065F" w:rsidRDefault="00D06A2F" w:rsidP="000546C2">
            <w:pPr>
              <w:jc w:val="center"/>
              <w:rPr>
                <w:color w:val="000000"/>
                <w:sz w:val="20"/>
                <w:szCs w:val="20"/>
              </w:rPr>
            </w:pPr>
            <w:r w:rsidRPr="00E8065F">
              <w:rPr>
                <w:color w:val="000000"/>
                <w:sz w:val="20"/>
                <w:szCs w:val="20"/>
              </w:rPr>
              <w:t>5,9</w:t>
            </w:r>
          </w:p>
        </w:tc>
        <w:tc>
          <w:tcPr>
            <w:tcW w:w="1111" w:type="dxa"/>
            <w:tcBorders>
              <w:top w:val="nil"/>
              <w:left w:val="single" w:sz="4" w:space="0" w:color="auto"/>
              <w:bottom w:val="single" w:sz="4" w:space="0" w:color="auto"/>
              <w:right w:val="single" w:sz="4" w:space="0" w:color="auto"/>
            </w:tcBorders>
            <w:shd w:val="clear" w:color="auto" w:fill="auto"/>
          </w:tcPr>
          <w:p w:rsidR="00D06A2F" w:rsidRPr="00E8065F" w:rsidRDefault="00D06A2F" w:rsidP="000546C2">
            <w:pPr>
              <w:jc w:val="center"/>
              <w:rPr>
                <w:color w:val="000000"/>
                <w:sz w:val="20"/>
                <w:szCs w:val="20"/>
              </w:rPr>
            </w:pPr>
            <w:r w:rsidRPr="00E8065F">
              <w:rPr>
                <w:color w:val="000000"/>
                <w:sz w:val="20"/>
                <w:szCs w:val="20"/>
              </w:rPr>
              <w:t>1</w:t>
            </w:r>
          </w:p>
        </w:tc>
        <w:tc>
          <w:tcPr>
            <w:tcW w:w="1944" w:type="dxa"/>
            <w:tcBorders>
              <w:top w:val="nil"/>
              <w:left w:val="single" w:sz="4" w:space="0" w:color="auto"/>
              <w:bottom w:val="single" w:sz="4" w:space="0" w:color="auto"/>
              <w:right w:val="single" w:sz="4" w:space="0" w:color="auto"/>
            </w:tcBorders>
            <w:shd w:val="clear" w:color="auto" w:fill="auto"/>
          </w:tcPr>
          <w:p w:rsidR="00D06A2F" w:rsidRPr="00E8065F" w:rsidRDefault="00D06A2F" w:rsidP="00BA1432">
            <w:pPr>
              <w:jc w:val="center"/>
              <w:rPr>
                <w:color w:val="000000"/>
                <w:sz w:val="20"/>
                <w:szCs w:val="20"/>
              </w:rPr>
            </w:pPr>
            <w:r w:rsidRPr="00E8065F">
              <w:rPr>
                <w:color w:val="000000"/>
                <w:sz w:val="20"/>
                <w:szCs w:val="20"/>
              </w:rPr>
              <w:t>Стационарное</w:t>
            </w:r>
          </w:p>
        </w:tc>
      </w:tr>
      <w:tr w:rsidR="00D06A2F" w:rsidRPr="00E8065F" w:rsidTr="00CD3A6F">
        <w:trPr>
          <w:trHeight w:val="20"/>
        </w:trPr>
        <w:tc>
          <w:tcPr>
            <w:tcW w:w="1555" w:type="dxa"/>
            <w:vMerge/>
            <w:tcBorders>
              <w:left w:val="single" w:sz="4" w:space="0" w:color="auto"/>
              <w:right w:val="single" w:sz="4" w:space="0" w:color="auto"/>
            </w:tcBorders>
          </w:tcPr>
          <w:p w:rsidR="00D06A2F" w:rsidRPr="00E8065F" w:rsidRDefault="00D06A2F" w:rsidP="00BA1432">
            <w:pPr>
              <w:rPr>
                <w:sz w:val="20"/>
                <w:szCs w:val="20"/>
              </w:rPr>
            </w:pPr>
          </w:p>
        </w:tc>
        <w:tc>
          <w:tcPr>
            <w:tcW w:w="3685" w:type="dxa"/>
            <w:tcBorders>
              <w:top w:val="nil"/>
              <w:left w:val="single" w:sz="4" w:space="0" w:color="auto"/>
              <w:bottom w:val="single" w:sz="4" w:space="0" w:color="auto"/>
              <w:right w:val="single" w:sz="4" w:space="0" w:color="auto"/>
            </w:tcBorders>
            <w:shd w:val="clear" w:color="auto" w:fill="auto"/>
          </w:tcPr>
          <w:p w:rsidR="00D06A2F" w:rsidRPr="00E8065F" w:rsidRDefault="00D06A2F" w:rsidP="00CD3A6F">
            <w:pPr>
              <w:spacing w:line="235" w:lineRule="auto"/>
              <w:jc w:val="both"/>
              <w:rPr>
                <w:color w:val="000000"/>
                <w:sz w:val="20"/>
                <w:szCs w:val="20"/>
              </w:rPr>
            </w:pPr>
            <w:r w:rsidRPr="00E8065F">
              <w:rPr>
                <w:color w:val="000000"/>
                <w:sz w:val="20"/>
                <w:szCs w:val="20"/>
              </w:rPr>
              <w:t xml:space="preserve">ГАУЗ </w:t>
            </w:r>
            <w:r>
              <w:rPr>
                <w:color w:val="000000"/>
                <w:sz w:val="20"/>
                <w:szCs w:val="20"/>
              </w:rPr>
              <w:t>«</w:t>
            </w:r>
            <w:r w:rsidRPr="00E8065F">
              <w:rPr>
                <w:color w:val="000000"/>
                <w:sz w:val="20"/>
                <w:szCs w:val="20"/>
              </w:rPr>
              <w:t>Тукаевская ЦРБ</w:t>
            </w:r>
            <w:r>
              <w:rPr>
                <w:color w:val="000000"/>
                <w:sz w:val="20"/>
                <w:szCs w:val="20"/>
              </w:rPr>
              <w:t>»</w:t>
            </w:r>
          </w:p>
        </w:tc>
        <w:tc>
          <w:tcPr>
            <w:tcW w:w="1994" w:type="dxa"/>
            <w:tcBorders>
              <w:top w:val="nil"/>
              <w:left w:val="single" w:sz="4" w:space="0" w:color="auto"/>
              <w:bottom w:val="single" w:sz="4" w:space="0" w:color="auto"/>
              <w:right w:val="single" w:sz="4" w:space="0" w:color="auto"/>
            </w:tcBorders>
            <w:shd w:val="clear" w:color="auto" w:fill="auto"/>
          </w:tcPr>
          <w:p w:rsidR="00D06A2F" w:rsidRPr="00E8065F" w:rsidRDefault="00D06A2F" w:rsidP="00CD3A6F">
            <w:pPr>
              <w:spacing w:line="235" w:lineRule="auto"/>
              <w:jc w:val="center"/>
              <w:rPr>
                <w:color w:val="000000"/>
                <w:sz w:val="20"/>
                <w:szCs w:val="20"/>
              </w:rPr>
            </w:pPr>
            <w:r>
              <w:rPr>
                <w:rFonts w:eastAsia="Calibri"/>
                <w:sz w:val="20"/>
                <w:szCs w:val="20"/>
              </w:rPr>
              <w:t>Фиброгастродуоденоскоп</w:t>
            </w:r>
          </w:p>
        </w:tc>
        <w:tc>
          <w:tcPr>
            <w:tcW w:w="1181" w:type="dxa"/>
          </w:tcPr>
          <w:p w:rsidR="00D06A2F" w:rsidRPr="00E8065F" w:rsidRDefault="00D06A2F" w:rsidP="00CD3A6F">
            <w:pPr>
              <w:spacing w:line="235" w:lineRule="auto"/>
              <w:jc w:val="center"/>
              <w:rPr>
                <w:sz w:val="20"/>
                <w:szCs w:val="20"/>
              </w:rPr>
            </w:pPr>
            <w:r w:rsidRPr="00E8065F">
              <w:rPr>
                <w:sz w:val="20"/>
                <w:szCs w:val="20"/>
              </w:rPr>
              <w:t>2014</w:t>
            </w:r>
            <w:r w:rsidR="003D79B3">
              <w:rPr>
                <w:sz w:val="20"/>
                <w:szCs w:val="20"/>
              </w:rPr>
              <w:t xml:space="preserve"> </w:t>
            </w:r>
            <w:r w:rsidR="00AC6F85">
              <w:rPr>
                <w:sz w:val="20"/>
                <w:szCs w:val="20"/>
              </w:rPr>
              <w:t>(1)</w:t>
            </w:r>
          </w:p>
          <w:p w:rsidR="00D06A2F" w:rsidRPr="00E8065F" w:rsidRDefault="00D06A2F" w:rsidP="00CD3A6F">
            <w:pPr>
              <w:spacing w:line="235" w:lineRule="auto"/>
              <w:jc w:val="center"/>
              <w:rPr>
                <w:sz w:val="20"/>
                <w:szCs w:val="20"/>
              </w:rPr>
            </w:pPr>
            <w:r w:rsidRPr="00E8065F">
              <w:rPr>
                <w:sz w:val="20"/>
                <w:szCs w:val="20"/>
              </w:rPr>
              <w:t>2018</w:t>
            </w:r>
            <w:r w:rsidR="003D79B3">
              <w:rPr>
                <w:sz w:val="20"/>
                <w:szCs w:val="20"/>
              </w:rPr>
              <w:t xml:space="preserve"> </w:t>
            </w:r>
            <w:r w:rsidR="00AC6F85">
              <w:rPr>
                <w:sz w:val="20"/>
                <w:szCs w:val="20"/>
              </w:rPr>
              <w:t>(1)</w:t>
            </w:r>
          </w:p>
          <w:p w:rsidR="00D06A2F" w:rsidRPr="00E8065F" w:rsidRDefault="00D06A2F" w:rsidP="00CD3A6F">
            <w:pPr>
              <w:spacing w:line="235" w:lineRule="auto"/>
              <w:jc w:val="center"/>
              <w:rPr>
                <w:sz w:val="20"/>
                <w:szCs w:val="20"/>
              </w:rPr>
            </w:pPr>
            <w:r w:rsidRPr="00E8065F">
              <w:rPr>
                <w:sz w:val="20"/>
                <w:szCs w:val="20"/>
              </w:rPr>
              <w:t>2022</w:t>
            </w:r>
            <w:r w:rsidR="003D79B3">
              <w:rPr>
                <w:sz w:val="20"/>
                <w:szCs w:val="20"/>
              </w:rPr>
              <w:t xml:space="preserve"> </w:t>
            </w:r>
            <w:r w:rsidR="00AC6F85">
              <w:rPr>
                <w:sz w:val="20"/>
                <w:szCs w:val="20"/>
              </w:rPr>
              <w:t>(1)</w:t>
            </w:r>
          </w:p>
        </w:tc>
        <w:tc>
          <w:tcPr>
            <w:tcW w:w="1181" w:type="dxa"/>
            <w:tcBorders>
              <w:top w:val="nil"/>
              <w:left w:val="single" w:sz="4" w:space="0" w:color="auto"/>
              <w:bottom w:val="single" w:sz="4" w:space="0" w:color="auto"/>
              <w:right w:val="single" w:sz="4" w:space="0" w:color="auto"/>
            </w:tcBorders>
            <w:shd w:val="clear" w:color="auto" w:fill="auto"/>
          </w:tcPr>
          <w:p w:rsidR="00D06A2F" w:rsidRPr="00E8065F" w:rsidRDefault="00D06A2F" w:rsidP="00CD3A6F">
            <w:pPr>
              <w:spacing w:line="235" w:lineRule="auto"/>
              <w:jc w:val="center"/>
              <w:rPr>
                <w:color w:val="000000"/>
                <w:sz w:val="20"/>
                <w:szCs w:val="20"/>
              </w:rPr>
            </w:pPr>
            <w:r w:rsidRPr="00E8065F">
              <w:rPr>
                <w:color w:val="000000"/>
                <w:sz w:val="20"/>
                <w:szCs w:val="20"/>
              </w:rPr>
              <w:t>3</w:t>
            </w:r>
          </w:p>
        </w:tc>
        <w:tc>
          <w:tcPr>
            <w:tcW w:w="1478" w:type="dxa"/>
            <w:tcBorders>
              <w:top w:val="nil"/>
              <w:left w:val="single" w:sz="4" w:space="0" w:color="auto"/>
              <w:bottom w:val="single" w:sz="4" w:space="0" w:color="auto"/>
              <w:right w:val="single" w:sz="4" w:space="0" w:color="auto"/>
            </w:tcBorders>
            <w:shd w:val="clear" w:color="auto" w:fill="auto"/>
          </w:tcPr>
          <w:p w:rsidR="00D06A2F" w:rsidRPr="00E8065F" w:rsidRDefault="00D06A2F" w:rsidP="00CD3A6F">
            <w:pPr>
              <w:spacing w:line="235" w:lineRule="auto"/>
              <w:jc w:val="center"/>
              <w:rPr>
                <w:color w:val="000000"/>
                <w:sz w:val="20"/>
                <w:szCs w:val="20"/>
              </w:rPr>
            </w:pPr>
            <w:r w:rsidRPr="00E8065F">
              <w:rPr>
                <w:color w:val="000000"/>
                <w:sz w:val="20"/>
                <w:szCs w:val="20"/>
              </w:rPr>
              <w:t>6,4</w:t>
            </w:r>
          </w:p>
        </w:tc>
        <w:tc>
          <w:tcPr>
            <w:tcW w:w="1111" w:type="dxa"/>
            <w:tcBorders>
              <w:top w:val="nil"/>
              <w:left w:val="single" w:sz="4" w:space="0" w:color="auto"/>
              <w:bottom w:val="single" w:sz="4" w:space="0" w:color="auto"/>
              <w:right w:val="single" w:sz="4" w:space="0" w:color="auto"/>
            </w:tcBorders>
            <w:shd w:val="clear" w:color="auto" w:fill="auto"/>
          </w:tcPr>
          <w:p w:rsidR="00D06A2F" w:rsidRPr="00E8065F" w:rsidRDefault="00D06A2F" w:rsidP="00CD3A6F">
            <w:pPr>
              <w:spacing w:line="235" w:lineRule="auto"/>
              <w:jc w:val="center"/>
              <w:rPr>
                <w:color w:val="000000"/>
                <w:sz w:val="20"/>
                <w:szCs w:val="20"/>
              </w:rPr>
            </w:pPr>
            <w:r w:rsidRPr="00E8065F">
              <w:rPr>
                <w:color w:val="000000"/>
                <w:sz w:val="20"/>
                <w:szCs w:val="20"/>
              </w:rPr>
              <w:t>1</w:t>
            </w:r>
          </w:p>
        </w:tc>
        <w:tc>
          <w:tcPr>
            <w:tcW w:w="1944" w:type="dxa"/>
            <w:tcBorders>
              <w:top w:val="nil"/>
              <w:left w:val="single" w:sz="4" w:space="0" w:color="auto"/>
              <w:bottom w:val="single" w:sz="4" w:space="0" w:color="auto"/>
              <w:right w:val="single" w:sz="4" w:space="0" w:color="auto"/>
            </w:tcBorders>
            <w:shd w:val="clear" w:color="auto" w:fill="auto"/>
          </w:tcPr>
          <w:p w:rsidR="00D06A2F" w:rsidRPr="00E8065F" w:rsidRDefault="00D06A2F" w:rsidP="00CD3A6F">
            <w:pPr>
              <w:spacing w:line="235" w:lineRule="auto"/>
              <w:jc w:val="center"/>
              <w:rPr>
                <w:color w:val="000000"/>
                <w:sz w:val="20"/>
                <w:szCs w:val="20"/>
              </w:rPr>
            </w:pPr>
            <w:r w:rsidRPr="00E8065F">
              <w:rPr>
                <w:color w:val="000000"/>
                <w:sz w:val="20"/>
                <w:szCs w:val="20"/>
              </w:rPr>
              <w:t>Амбулаторное</w:t>
            </w:r>
          </w:p>
        </w:tc>
      </w:tr>
      <w:tr w:rsidR="00D06A2F" w:rsidRPr="00E8065F" w:rsidTr="00CD3A6F">
        <w:trPr>
          <w:trHeight w:val="20"/>
        </w:trPr>
        <w:tc>
          <w:tcPr>
            <w:tcW w:w="1555" w:type="dxa"/>
            <w:vMerge/>
            <w:tcBorders>
              <w:left w:val="single" w:sz="4" w:space="0" w:color="auto"/>
              <w:right w:val="single" w:sz="4" w:space="0" w:color="auto"/>
            </w:tcBorders>
          </w:tcPr>
          <w:p w:rsidR="00D06A2F" w:rsidRPr="00E8065F" w:rsidRDefault="00D06A2F" w:rsidP="00BA1432">
            <w:pPr>
              <w:rPr>
                <w:sz w:val="20"/>
                <w:szCs w:val="20"/>
              </w:rPr>
            </w:pPr>
          </w:p>
        </w:tc>
        <w:tc>
          <w:tcPr>
            <w:tcW w:w="3685" w:type="dxa"/>
            <w:tcBorders>
              <w:top w:val="nil"/>
              <w:left w:val="single" w:sz="4" w:space="0" w:color="auto"/>
              <w:bottom w:val="single" w:sz="4" w:space="0" w:color="auto"/>
              <w:right w:val="single" w:sz="4" w:space="0" w:color="auto"/>
            </w:tcBorders>
            <w:shd w:val="clear" w:color="auto" w:fill="auto"/>
          </w:tcPr>
          <w:p w:rsidR="00D06A2F" w:rsidRPr="00E8065F" w:rsidRDefault="00D06A2F" w:rsidP="00CD3A6F">
            <w:pPr>
              <w:spacing w:line="235" w:lineRule="auto"/>
              <w:jc w:val="both"/>
              <w:rPr>
                <w:color w:val="000000"/>
                <w:sz w:val="20"/>
                <w:szCs w:val="20"/>
              </w:rPr>
            </w:pPr>
            <w:r w:rsidRPr="00E8065F">
              <w:rPr>
                <w:color w:val="000000"/>
                <w:sz w:val="20"/>
                <w:szCs w:val="20"/>
              </w:rPr>
              <w:t xml:space="preserve">ГАУЗ </w:t>
            </w:r>
            <w:r>
              <w:rPr>
                <w:color w:val="000000"/>
                <w:sz w:val="20"/>
                <w:szCs w:val="20"/>
              </w:rPr>
              <w:t>«</w:t>
            </w:r>
            <w:r w:rsidRPr="00E8065F">
              <w:rPr>
                <w:color w:val="000000"/>
                <w:sz w:val="20"/>
                <w:szCs w:val="20"/>
              </w:rPr>
              <w:t>Тюлячинская ЦРБ</w:t>
            </w:r>
            <w:r>
              <w:rPr>
                <w:color w:val="000000"/>
                <w:sz w:val="20"/>
                <w:szCs w:val="20"/>
              </w:rPr>
              <w:t>»</w:t>
            </w:r>
          </w:p>
        </w:tc>
        <w:tc>
          <w:tcPr>
            <w:tcW w:w="1994" w:type="dxa"/>
            <w:tcBorders>
              <w:top w:val="nil"/>
              <w:left w:val="single" w:sz="4" w:space="0" w:color="auto"/>
              <w:bottom w:val="single" w:sz="4" w:space="0" w:color="auto"/>
              <w:right w:val="single" w:sz="4" w:space="0" w:color="auto"/>
            </w:tcBorders>
            <w:shd w:val="clear" w:color="auto" w:fill="auto"/>
          </w:tcPr>
          <w:p w:rsidR="00D06A2F" w:rsidRPr="00E8065F" w:rsidRDefault="00D06A2F" w:rsidP="00CD3A6F">
            <w:pPr>
              <w:spacing w:line="235" w:lineRule="auto"/>
              <w:jc w:val="center"/>
              <w:rPr>
                <w:color w:val="000000"/>
                <w:sz w:val="20"/>
                <w:szCs w:val="20"/>
              </w:rPr>
            </w:pPr>
            <w:r>
              <w:rPr>
                <w:rFonts w:eastAsia="Calibri"/>
                <w:sz w:val="20"/>
                <w:szCs w:val="20"/>
              </w:rPr>
              <w:t>Фиброгастродуоденоскоп</w:t>
            </w:r>
          </w:p>
        </w:tc>
        <w:tc>
          <w:tcPr>
            <w:tcW w:w="1181" w:type="dxa"/>
          </w:tcPr>
          <w:p w:rsidR="00D06A2F" w:rsidRPr="00E8065F" w:rsidRDefault="00D06A2F" w:rsidP="00CD3A6F">
            <w:pPr>
              <w:spacing w:line="235" w:lineRule="auto"/>
              <w:jc w:val="center"/>
              <w:rPr>
                <w:sz w:val="20"/>
                <w:szCs w:val="20"/>
              </w:rPr>
            </w:pPr>
            <w:r w:rsidRPr="00E8065F">
              <w:rPr>
                <w:sz w:val="20"/>
                <w:szCs w:val="20"/>
              </w:rPr>
              <w:t>2017</w:t>
            </w:r>
            <w:r w:rsidR="003D79B3">
              <w:rPr>
                <w:sz w:val="20"/>
                <w:szCs w:val="20"/>
              </w:rPr>
              <w:t xml:space="preserve"> </w:t>
            </w:r>
            <w:r w:rsidR="005D7240">
              <w:rPr>
                <w:sz w:val="20"/>
                <w:szCs w:val="20"/>
              </w:rPr>
              <w:t>(1)</w:t>
            </w:r>
          </w:p>
        </w:tc>
        <w:tc>
          <w:tcPr>
            <w:tcW w:w="1181" w:type="dxa"/>
            <w:tcBorders>
              <w:top w:val="nil"/>
              <w:left w:val="single" w:sz="4" w:space="0" w:color="auto"/>
              <w:bottom w:val="single" w:sz="4" w:space="0" w:color="auto"/>
              <w:right w:val="single" w:sz="4" w:space="0" w:color="auto"/>
            </w:tcBorders>
            <w:shd w:val="clear" w:color="auto" w:fill="auto"/>
          </w:tcPr>
          <w:p w:rsidR="00D06A2F" w:rsidRPr="00E8065F" w:rsidRDefault="00D06A2F" w:rsidP="00CD3A6F">
            <w:pPr>
              <w:spacing w:line="235" w:lineRule="auto"/>
              <w:jc w:val="center"/>
              <w:rPr>
                <w:color w:val="000000"/>
                <w:sz w:val="20"/>
                <w:szCs w:val="20"/>
              </w:rPr>
            </w:pPr>
            <w:r w:rsidRPr="00E8065F">
              <w:rPr>
                <w:color w:val="000000"/>
                <w:sz w:val="20"/>
                <w:szCs w:val="20"/>
              </w:rPr>
              <w:t>1</w:t>
            </w:r>
          </w:p>
        </w:tc>
        <w:tc>
          <w:tcPr>
            <w:tcW w:w="1478" w:type="dxa"/>
            <w:tcBorders>
              <w:top w:val="nil"/>
              <w:left w:val="single" w:sz="4" w:space="0" w:color="auto"/>
              <w:bottom w:val="single" w:sz="4" w:space="0" w:color="auto"/>
              <w:right w:val="single" w:sz="4" w:space="0" w:color="auto"/>
            </w:tcBorders>
            <w:shd w:val="clear" w:color="auto" w:fill="auto"/>
          </w:tcPr>
          <w:p w:rsidR="00D06A2F" w:rsidRPr="00E8065F" w:rsidRDefault="00D06A2F" w:rsidP="00CD3A6F">
            <w:pPr>
              <w:spacing w:line="235" w:lineRule="auto"/>
              <w:jc w:val="center"/>
              <w:rPr>
                <w:color w:val="000000"/>
                <w:sz w:val="20"/>
                <w:szCs w:val="20"/>
              </w:rPr>
            </w:pPr>
            <w:r w:rsidRPr="00E8065F">
              <w:rPr>
                <w:color w:val="000000"/>
                <w:sz w:val="20"/>
                <w:szCs w:val="20"/>
              </w:rPr>
              <w:t>3,4</w:t>
            </w:r>
          </w:p>
        </w:tc>
        <w:tc>
          <w:tcPr>
            <w:tcW w:w="1111" w:type="dxa"/>
            <w:tcBorders>
              <w:top w:val="nil"/>
              <w:left w:val="single" w:sz="4" w:space="0" w:color="auto"/>
              <w:bottom w:val="single" w:sz="4" w:space="0" w:color="auto"/>
              <w:right w:val="single" w:sz="4" w:space="0" w:color="auto"/>
            </w:tcBorders>
            <w:shd w:val="clear" w:color="auto" w:fill="auto"/>
          </w:tcPr>
          <w:p w:rsidR="00D06A2F" w:rsidRPr="00E8065F" w:rsidRDefault="00D06A2F" w:rsidP="00CD3A6F">
            <w:pPr>
              <w:spacing w:line="235" w:lineRule="auto"/>
              <w:jc w:val="center"/>
              <w:rPr>
                <w:color w:val="000000"/>
                <w:sz w:val="20"/>
                <w:szCs w:val="20"/>
              </w:rPr>
            </w:pPr>
            <w:r w:rsidRPr="00E8065F">
              <w:rPr>
                <w:color w:val="000000"/>
                <w:sz w:val="20"/>
                <w:szCs w:val="20"/>
              </w:rPr>
              <w:t>1</w:t>
            </w:r>
          </w:p>
        </w:tc>
        <w:tc>
          <w:tcPr>
            <w:tcW w:w="1944" w:type="dxa"/>
            <w:tcBorders>
              <w:top w:val="nil"/>
              <w:left w:val="single" w:sz="4" w:space="0" w:color="auto"/>
              <w:bottom w:val="single" w:sz="4" w:space="0" w:color="auto"/>
              <w:right w:val="single" w:sz="4" w:space="0" w:color="auto"/>
            </w:tcBorders>
            <w:shd w:val="clear" w:color="auto" w:fill="auto"/>
          </w:tcPr>
          <w:p w:rsidR="00D06A2F" w:rsidRPr="00E8065F" w:rsidRDefault="00D06A2F" w:rsidP="00CD3A6F">
            <w:pPr>
              <w:spacing w:line="235" w:lineRule="auto"/>
              <w:jc w:val="center"/>
              <w:rPr>
                <w:color w:val="000000"/>
                <w:sz w:val="20"/>
                <w:szCs w:val="20"/>
              </w:rPr>
            </w:pPr>
            <w:r w:rsidRPr="00E8065F">
              <w:rPr>
                <w:color w:val="000000"/>
                <w:sz w:val="20"/>
                <w:szCs w:val="20"/>
              </w:rPr>
              <w:t>Стационарное</w:t>
            </w:r>
          </w:p>
        </w:tc>
      </w:tr>
      <w:tr w:rsidR="00D06A2F" w:rsidRPr="00E8065F" w:rsidTr="00CD3A6F">
        <w:trPr>
          <w:trHeight w:val="20"/>
        </w:trPr>
        <w:tc>
          <w:tcPr>
            <w:tcW w:w="1555" w:type="dxa"/>
            <w:vMerge/>
            <w:tcBorders>
              <w:left w:val="single" w:sz="4" w:space="0" w:color="auto"/>
              <w:right w:val="single" w:sz="4" w:space="0" w:color="auto"/>
            </w:tcBorders>
          </w:tcPr>
          <w:p w:rsidR="00D06A2F" w:rsidRPr="00E8065F" w:rsidRDefault="00D06A2F" w:rsidP="00BA1432">
            <w:pPr>
              <w:rPr>
                <w:sz w:val="20"/>
                <w:szCs w:val="20"/>
              </w:rPr>
            </w:pPr>
          </w:p>
        </w:tc>
        <w:tc>
          <w:tcPr>
            <w:tcW w:w="3685" w:type="dxa"/>
            <w:tcBorders>
              <w:top w:val="nil"/>
              <w:left w:val="single" w:sz="4" w:space="0" w:color="auto"/>
              <w:bottom w:val="single" w:sz="4" w:space="0" w:color="auto"/>
              <w:right w:val="single" w:sz="4" w:space="0" w:color="auto"/>
            </w:tcBorders>
            <w:shd w:val="clear" w:color="auto" w:fill="auto"/>
          </w:tcPr>
          <w:p w:rsidR="00D06A2F" w:rsidRPr="00E8065F" w:rsidRDefault="00D06A2F" w:rsidP="00CD3A6F">
            <w:pPr>
              <w:spacing w:line="235" w:lineRule="auto"/>
              <w:jc w:val="both"/>
              <w:rPr>
                <w:color w:val="000000"/>
                <w:sz w:val="20"/>
                <w:szCs w:val="20"/>
              </w:rPr>
            </w:pPr>
            <w:r w:rsidRPr="00E8065F">
              <w:rPr>
                <w:color w:val="000000"/>
                <w:sz w:val="20"/>
                <w:szCs w:val="20"/>
              </w:rPr>
              <w:t xml:space="preserve">ГАУЗ </w:t>
            </w:r>
            <w:r>
              <w:rPr>
                <w:color w:val="000000"/>
                <w:sz w:val="20"/>
                <w:szCs w:val="20"/>
              </w:rPr>
              <w:t>«</w:t>
            </w:r>
            <w:r w:rsidRPr="00E8065F">
              <w:rPr>
                <w:color w:val="000000"/>
                <w:sz w:val="20"/>
                <w:szCs w:val="20"/>
              </w:rPr>
              <w:t>Черемшанская ЦРБ</w:t>
            </w:r>
            <w:r>
              <w:rPr>
                <w:color w:val="000000"/>
                <w:sz w:val="20"/>
                <w:szCs w:val="20"/>
              </w:rPr>
              <w:t>»</w:t>
            </w:r>
          </w:p>
        </w:tc>
        <w:tc>
          <w:tcPr>
            <w:tcW w:w="1994" w:type="dxa"/>
            <w:tcBorders>
              <w:top w:val="nil"/>
              <w:left w:val="single" w:sz="4" w:space="0" w:color="auto"/>
              <w:bottom w:val="single" w:sz="4" w:space="0" w:color="auto"/>
              <w:right w:val="single" w:sz="4" w:space="0" w:color="auto"/>
            </w:tcBorders>
            <w:shd w:val="clear" w:color="auto" w:fill="auto"/>
          </w:tcPr>
          <w:p w:rsidR="00D06A2F" w:rsidRPr="00E8065F" w:rsidRDefault="00D06A2F" w:rsidP="00CD3A6F">
            <w:pPr>
              <w:spacing w:line="235" w:lineRule="auto"/>
              <w:jc w:val="center"/>
              <w:rPr>
                <w:color w:val="000000"/>
                <w:sz w:val="20"/>
                <w:szCs w:val="20"/>
              </w:rPr>
            </w:pPr>
            <w:r>
              <w:rPr>
                <w:rFonts w:eastAsia="Calibri"/>
                <w:sz w:val="20"/>
                <w:szCs w:val="20"/>
              </w:rPr>
              <w:t>Фиброгастродуоденоскоп</w:t>
            </w:r>
          </w:p>
        </w:tc>
        <w:tc>
          <w:tcPr>
            <w:tcW w:w="1181" w:type="dxa"/>
          </w:tcPr>
          <w:p w:rsidR="00D06A2F" w:rsidRPr="00E8065F" w:rsidRDefault="00D06A2F" w:rsidP="00CD3A6F">
            <w:pPr>
              <w:spacing w:line="235" w:lineRule="auto"/>
              <w:jc w:val="center"/>
              <w:rPr>
                <w:sz w:val="20"/>
                <w:szCs w:val="20"/>
              </w:rPr>
            </w:pPr>
            <w:r w:rsidRPr="00E8065F">
              <w:rPr>
                <w:sz w:val="20"/>
                <w:szCs w:val="20"/>
              </w:rPr>
              <w:t>2016</w:t>
            </w:r>
            <w:r w:rsidR="003D79B3">
              <w:rPr>
                <w:sz w:val="20"/>
                <w:szCs w:val="20"/>
              </w:rPr>
              <w:t xml:space="preserve"> </w:t>
            </w:r>
            <w:r w:rsidR="005D7240">
              <w:rPr>
                <w:sz w:val="20"/>
                <w:szCs w:val="20"/>
              </w:rPr>
              <w:t>(1)</w:t>
            </w:r>
          </w:p>
          <w:p w:rsidR="00D06A2F" w:rsidRPr="00E8065F" w:rsidRDefault="00D06A2F" w:rsidP="00CD3A6F">
            <w:pPr>
              <w:spacing w:line="235" w:lineRule="auto"/>
              <w:jc w:val="center"/>
              <w:rPr>
                <w:sz w:val="20"/>
                <w:szCs w:val="20"/>
              </w:rPr>
            </w:pPr>
            <w:r>
              <w:rPr>
                <w:sz w:val="20"/>
                <w:szCs w:val="20"/>
              </w:rPr>
              <w:t>2018</w:t>
            </w:r>
            <w:r w:rsidR="003D79B3">
              <w:rPr>
                <w:sz w:val="20"/>
                <w:szCs w:val="20"/>
              </w:rPr>
              <w:t xml:space="preserve"> </w:t>
            </w:r>
            <w:r w:rsidR="005D7240">
              <w:rPr>
                <w:sz w:val="20"/>
                <w:szCs w:val="20"/>
              </w:rPr>
              <w:t>(1)</w:t>
            </w:r>
          </w:p>
        </w:tc>
        <w:tc>
          <w:tcPr>
            <w:tcW w:w="1181" w:type="dxa"/>
            <w:tcBorders>
              <w:top w:val="nil"/>
              <w:left w:val="single" w:sz="4" w:space="0" w:color="auto"/>
              <w:bottom w:val="single" w:sz="4" w:space="0" w:color="auto"/>
              <w:right w:val="single" w:sz="4" w:space="0" w:color="auto"/>
            </w:tcBorders>
            <w:shd w:val="clear" w:color="auto" w:fill="auto"/>
          </w:tcPr>
          <w:p w:rsidR="00D06A2F" w:rsidRPr="00E8065F" w:rsidRDefault="00D06A2F" w:rsidP="00CD3A6F">
            <w:pPr>
              <w:spacing w:line="235" w:lineRule="auto"/>
              <w:jc w:val="center"/>
              <w:rPr>
                <w:color w:val="000000"/>
                <w:sz w:val="20"/>
                <w:szCs w:val="20"/>
              </w:rPr>
            </w:pPr>
            <w:r w:rsidRPr="00E8065F">
              <w:rPr>
                <w:color w:val="000000"/>
                <w:sz w:val="20"/>
                <w:szCs w:val="20"/>
              </w:rPr>
              <w:t>2</w:t>
            </w:r>
          </w:p>
        </w:tc>
        <w:tc>
          <w:tcPr>
            <w:tcW w:w="1478" w:type="dxa"/>
            <w:tcBorders>
              <w:top w:val="nil"/>
              <w:left w:val="single" w:sz="4" w:space="0" w:color="auto"/>
              <w:bottom w:val="single" w:sz="4" w:space="0" w:color="auto"/>
              <w:right w:val="single" w:sz="4" w:space="0" w:color="auto"/>
            </w:tcBorders>
            <w:shd w:val="clear" w:color="auto" w:fill="auto"/>
          </w:tcPr>
          <w:p w:rsidR="00D06A2F" w:rsidRPr="00E8065F" w:rsidRDefault="00D06A2F" w:rsidP="00CD3A6F">
            <w:pPr>
              <w:spacing w:line="235" w:lineRule="auto"/>
              <w:jc w:val="center"/>
              <w:rPr>
                <w:color w:val="000000"/>
                <w:sz w:val="20"/>
                <w:szCs w:val="20"/>
              </w:rPr>
            </w:pPr>
            <w:r w:rsidRPr="00E8065F">
              <w:rPr>
                <w:color w:val="000000"/>
                <w:sz w:val="20"/>
                <w:szCs w:val="20"/>
              </w:rPr>
              <w:t>2,0</w:t>
            </w:r>
          </w:p>
        </w:tc>
        <w:tc>
          <w:tcPr>
            <w:tcW w:w="1111" w:type="dxa"/>
            <w:tcBorders>
              <w:top w:val="nil"/>
              <w:left w:val="single" w:sz="4" w:space="0" w:color="auto"/>
              <w:bottom w:val="single" w:sz="4" w:space="0" w:color="auto"/>
              <w:right w:val="single" w:sz="4" w:space="0" w:color="auto"/>
            </w:tcBorders>
            <w:shd w:val="clear" w:color="auto" w:fill="auto"/>
          </w:tcPr>
          <w:p w:rsidR="00D06A2F" w:rsidRPr="00E8065F" w:rsidRDefault="00D06A2F" w:rsidP="00CD3A6F">
            <w:pPr>
              <w:spacing w:line="235" w:lineRule="auto"/>
              <w:jc w:val="center"/>
              <w:rPr>
                <w:color w:val="000000"/>
                <w:sz w:val="20"/>
                <w:szCs w:val="20"/>
              </w:rPr>
            </w:pPr>
            <w:r w:rsidRPr="00E8065F">
              <w:rPr>
                <w:color w:val="000000"/>
                <w:sz w:val="20"/>
                <w:szCs w:val="20"/>
              </w:rPr>
              <w:t>1</w:t>
            </w:r>
          </w:p>
        </w:tc>
        <w:tc>
          <w:tcPr>
            <w:tcW w:w="1944" w:type="dxa"/>
            <w:tcBorders>
              <w:top w:val="nil"/>
              <w:left w:val="single" w:sz="4" w:space="0" w:color="auto"/>
              <w:bottom w:val="single" w:sz="4" w:space="0" w:color="auto"/>
              <w:right w:val="single" w:sz="4" w:space="0" w:color="auto"/>
            </w:tcBorders>
            <w:shd w:val="clear" w:color="auto" w:fill="auto"/>
          </w:tcPr>
          <w:p w:rsidR="00D06A2F" w:rsidRPr="00E8065F" w:rsidRDefault="00D06A2F" w:rsidP="00CD3A6F">
            <w:pPr>
              <w:spacing w:line="235" w:lineRule="auto"/>
              <w:jc w:val="center"/>
              <w:rPr>
                <w:color w:val="000000"/>
                <w:sz w:val="20"/>
                <w:szCs w:val="20"/>
              </w:rPr>
            </w:pPr>
            <w:r w:rsidRPr="00E8065F">
              <w:rPr>
                <w:color w:val="000000"/>
                <w:sz w:val="20"/>
                <w:szCs w:val="20"/>
              </w:rPr>
              <w:t>Амбулаторное</w:t>
            </w:r>
          </w:p>
        </w:tc>
      </w:tr>
      <w:tr w:rsidR="00D06A2F" w:rsidRPr="00E8065F" w:rsidTr="00CD3A6F">
        <w:trPr>
          <w:trHeight w:val="20"/>
        </w:trPr>
        <w:tc>
          <w:tcPr>
            <w:tcW w:w="1555" w:type="dxa"/>
            <w:vMerge/>
            <w:tcBorders>
              <w:left w:val="single" w:sz="4" w:space="0" w:color="auto"/>
              <w:right w:val="single" w:sz="4" w:space="0" w:color="auto"/>
            </w:tcBorders>
          </w:tcPr>
          <w:p w:rsidR="00D06A2F" w:rsidRPr="00E8065F" w:rsidRDefault="00D06A2F" w:rsidP="00BA1432">
            <w:pPr>
              <w:rPr>
                <w:sz w:val="20"/>
                <w:szCs w:val="20"/>
              </w:rPr>
            </w:pPr>
          </w:p>
        </w:tc>
        <w:tc>
          <w:tcPr>
            <w:tcW w:w="3685" w:type="dxa"/>
            <w:tcBorders>
              <w:top w:val="nil"/>
              <w:left w:val="single" w:sz="4" w:space="0" w:color="auto"/>
              <w:bottom w:val="single" w:sz="4" w:space="0" w:color="auto"/>
              <w:right w:val="single" w:sz="4" w:space="0" w:color="auto"/>
            </w:tcBorders>
            <w:shd w:val="clear" w:color="auto" w:fill="auto"/>
          </w:tcPr>
          <w:p w:rsidR="00D06A2F" w:rsidRPr="00E8065F" w:rsidRDefault="00D06A2F" w:rsidP="00CD3A6F">
            <w:pPr>
              <w:spacing w:line="235" w:lineRule="auto"/>
              <w:jc w:val="both"/>
              <w:rPr>
                <w:color w:val="000000"/>
                <w:sz w:val="20"/>
                <w:szCs w:val="20"/>
              </w:rPr>
            </w:pPr>
            <w:r w:rsidRPr="00E8065F">
              <w:rPr>
                <w:color w:val="000000"/>
                <w:sz w:val="20"/>
                <w:szCs w:val="20"/>
              </w:rPr>
              <w:t xml:space="preserve">ГАУЗ </w:t>
            </w:r>
            <w:r>
              <w:rPr>
                <w:color w:val="000000"/>
                <w:sz w:val="20"/>
                <w:szCs w:val="20"/>
              </w:rPr>
              <w:t>«</w:t>
            </w:r>
            <w:r w:rsidRPr="00E8065F">
              <w:rPr>
                <w:color w:val="000000"/>
                <w:sz w:val="20"/>
                <w:szCs w:val="20"/>
              </w:rPr>
              <w:t>Чистопольская ЦРБ</w:t>
            </w:r>
            <w:r>
              <w:rPr>
                <w:color w:val="000000"/>
                <w:sz w:val="20"/>
                <w:szCs w:val="20"/>
              </w:rPr>
              <w:t>»</w:t>
            </w:r>
          </w:p>
        </w:tc>
        <w:tc>
          <w:tcPr>
            <w:tcW w:w="1994" w:type="dxa"/>
            <w:tcBorders>
              <w:top w:val="nil"/>
              <w:left w:val="single" w:sz="4" w:space="0" w:color="auto"/>
              <w:bottom w:val="single" w:sz="4" w:space="0" w:color="auto"/>
              <w:right w:val="single" w:sz="4" w:space="0" w:color="auto"/>
            </w:tcBorders>
            <w:shd w:val="clear" w:color="auto" w:fill="auto"/>
          </w:tcPr>
          <w:p w:rsidR="00D06A2F" w:rsidRPr="00E8065F" w:rsidRDefault="00D06A2F" w:rsidP="00CD3A6F">
            <w:pPr>
              <w:spacing w:line="235" w:lineRule="auto"/>
              <w:jc w:val="center"/>
              <w:rPr>
                <w:color w:val="000000"/>
                <w:sz w:val="20"/>
                <w:szCs w:val="20"/>
              </w:rPr>
            </w:pPr>
            <w:r>
              <w:rPr>
                <w:rFonts w:eastAsia="Calibri"/>
                <w:sz w:val="20"/>
                <w:szCs w:val="20"/>
              </w:rPr>
              <w:t>Фиброгастродуоденоскоп</w:t>
            </w:r>
          </w:p>
        </w:tc>
        <w:tc>
          <w:tcPr>
            <w:tcW w:w="1181" w:type="dxa"/>
          </w:tcPr>
          <w:p w:rsidR="00D06A2F" w:rsidRPr="00E8065F" w:rsidRDefault="00D06A2F" w:rsidP="00CD3A6F">
            <w:pPr>
              <w:spacing w:line="235" w:lineRule="auto"/>
              <w:jc w:val="center"/>
              <w:rPr>
                <w:sz w:val="20"/>
                <w:szCs w:val="20"/>
              </w:rPr>
            </w:pPr>
            <w:r w:rsidRPr="00E8065F">
              <w:rPr>
                <w:sz w:val="20"/>
                <w:szCs w:val="20"/>
              </w:rPr>
              <w:t>2016</w:t>
            </w:r>
            <w:r w:rsidR="003D79B3">
              <w:rPr>
                <w:sz w:val="20"/>
                <w:szCs w:val="20"/>
              </w:rPr>
              <w:t xml:space="preserve"> </w:t>
            </w:r>
            <w:r w:rsidR="005D7240">
              <w:rPr>
                <w:sz w:val="20"/>
                <w:szCs w:val="20"/>
              </w:rPr>
              <w:t>(1)</w:t>
            </w:r>
          </w:p>
        </w:tc>
        <w:tc>
          <w:tcPr>
            <w:tcW w:w="1181" w:type="dxa"/>
            <w:tcBorders>
              <w:top w:val="nil"/>
              <w:left w:val="single" w:sz="4" w:space="0" w:color="auto"/>
              <w:bottom w:val="single" w:sz="4" w:space="0" w:color="auto"/>
              <w:right w:val="single" w:sz="4" w:space="0" w:color="auto"/>
            </w:tcBorders>
            <w:shd w:val="clear" w:color="auto" w:fill="auto"/>
          </w:tcPr>
          <w:p w:rsidR="00D06A2F" w:rsidRPr="00E8065F" w:rsidRDefault="00D06A2F" w:rsidP="00CD3A6F">
            <w:pPr>
              <w:spacing w:line="235" w:lineRule="auto"/>
              <w:jc w:val="center"/>
              <w:rPr>
                <w:color w:val="000000"/>
                <w:sz w:val="20"/>
                <w:szCs w:val="20"/>
              </w:rPr>
            </w:pPr>
            <w:r w:rsidRPr="00E8065F">
              <w:rPr>
                <w:color w:val="000000"/>
                <w:sz w:val="20"/>
                <w:szCs w:val="20"/>
              </w:rPr>
              <w:t>5</w:t>
            </w:r>
          </w:p>
        </w:tc>
        <w:tc>
          <w:tcPr>
            <w:tcW w:w="1478" w:type="dxa"/>
            <w:tcBorders>
              <w:top w:val="nil"/>
              <w:left w:val="single" w:sz="4" w:space="0" w:color="auto"/>
              <w:bottom w:val="single" w:sz="4" w:space="0" w:color="auto"/>
              <w:right w:val="single" w:sz="4" w:space="0" w:color="auto"/>
            </w:tcBorders>
            <w:shd w:val="clear" w:color="auto" w:fill="auto"/>
          </w:tcPr>
          <w:p w:rsidR="00D06A2F" w:rsidRPr="00E8065F" w:rsidRDefault="00D06A2F" w:rsidP="00CD3A6F">
            <w:pPr>
              <w:spacing w:line="235" w:lineRule="auto"/>
              <w:jc w:val="center"/>
              <w:rPr>
                <w:color w:val="000000"/>
                <w:sz w:val="20"/>
                <w:szCs w:val="20"/>
              </w:rPr>
            </w:pPr>
            <w:r w:rsidRPr="00E8065F">
              <w:rPr>
                <w:color w:val="000000"/>
                <w:sz w:val="20"/>
                <w:szCs w:val="20"/>
              </w:rPr>
              <w:t>22,4</w:t>
            </w:r>
          </w:p>
        </w:tc>
        <w:tc>
          <w:tcPr>
            <w:tcW w:w="1111" w:type="dxa"/>
            <w:tcBorders>
              <w:top w:val="nil"/>
              <w:left w:val="single" w:sz="4" w:space="0" w:color="auto"/>
              <w:bottom w:val="single" w:sz="4" w:space="0" w:color="auto"/>
              <w:right w:val="single" w:sz="4" w:space="0" w:color="auto"/>
            </w:tcBorders>
            <w:shd w:val="clear" w:color="auto" w:fill="auto"/>
          </w:tcPr>
          <w:p w:rsidR="00D06A2F" w:rsidRPr="00E8065F" w:rsidRDefault="00D06A2F" w:rsidP="00CD3A6F">
            <w:pPr>
              <w:spacing w:line="235" w:lineRule="auto"/>
              <w:jc w:val="center"/>
              <w:rPr>
                <w:color w:val="000000"/>
                <w:sz w:val="20"/>
                <w:szCs w:val="20"/>
              </w:rPr>
            </w:pPr>
            <w:r w:rsidRPr="00E8065F">
              <w:rPr>
                <w:color w:val="000000"/>
                <w:sz w:val="20"/>
                <w:szCs w:val="20"/>
              </w:rPr>
              <w:t>1</w:t>
            </w:r>
          </w:p>
        </w:tc>
        <w:tc>
          <w:tcPr>
            <w:tcW w:w="1944" w:type="dxa"/>
            <w:tcBorders>
              <w:top w:val="nil"/>
              <w:left w:val="single" w:sz="4" w:space="0" w:color="auto"/>
              <w:bottom w:val="single" w:sz="4" w:space="0" w:color="auto"/>
              <w:right w:val="single" w:sz="4" w:space="0" w:color="auto"/>
            </w:tcBorders>
            <w:shd w:val="clear" w:color="auto" w:fill="auto"/>
          </w:tcPr>
          <w:p w:rsidR="00D06A2F" w:rsidRPr="00E8065F" w:rsidRDefault="00D06A2F" w:rsidP="00CD3A6F">
            <w:pPr>
              <w:spacing w:line="235" w:lineRule="auto"/>
              <w:jc w:val="center"/>
              <w:rPr>
                <w:color w:val="000000"/>
                <w:sz w:val="20"/>
                <w:szCs w:val="20"/>
              </w:rPr>
            </w:pPr>
            <w:r w:rsidRPr="00E8065F">
              <w:rPr>
                <w:color w:val="000000"/>
                <w:sz w:val="20"/>
                <w:szCs w:val="20"/>
              </w:rPr>
              <w:t>Амбулаторное/стационарное</w:t>
            </w:r>
          </w:p>
        </w:tc>
      </w:tr>
      <w:tr w:rsidR="00D06A2F" w:rsidRPr="00E8065F" w:rsidTr="00CD3A6F">
        <w:trPr>
          <w:trHeight w:val="20"/>
        </w:trPr>
        <w:tc>
          <w:tcPr>
            <w:tcW w:w="1555" w:type="dxa"/>
            <w:vMerge/>
            <w:tcBorders>
              <w:left w:val="single" w:sz="4" w:space="0" w:color="auto"/>
              <w:right w:val="single" w:sz="4" w:space="0" w:color="auto"/>
            </w:tcBorders>
          </w:tcPr>
          <w:p w:rsidR="00D06A2F" w:rsidRPr="00E8065F" w:rsidRDefault="00D06A2F" w:rsidP="00BA1432">
            <w:pPr>
              <w:rPr>
                <w:sz w:val="20"/>
                <w:szCs w:val="20"/>
              </w:rPr>
            </w:pPr>
          </w:p>
        </w:tc>
        <w:tc>
          <w:tcPr>
            <w:tcW w:w="3685" w:type="dxa"/>
            <w:tcBorders>
              <w:top w:val="nil"/>
              <w:left w:val="single" w:sz="4" w:space="0" w:color="auto"/>
              <w:bottom w:val="single" w:sz="4" w:space="0" w:color="auto"/>
              <w:right w:val="single" w:sz="4" w:space="0" w:color="auto"/>
            </w:tcBorders>
            <w:shd w:val="clear" w:color="auto" w:fill="auto"/>
          </w:tcPr>
          <w:p w:rsidR="00D06A2F" w:rsidRPr="00E8065F" w:rsidRDefault="00D06A2F" w:rsidP="00CD3A6F">
            <w:pPr>
              <w:spacing w:line="235" w:lineRule="auto"/>
              <w:jc w:val="both"/>
              <w:rPr>
                <w:color w:val="000000"/>
                <w:sz w:val="20"/>
                <w:szCs w:val="20"/>
              </w:rPr>
            </w:pPr>
            <w:r w:rsidRPr="00E8065F">
              <w:rPr>
                <w:color w:val="000000"/>
                <w:sz w:val="20"/>
                <w:szCs w:val="20"/>
              </w:rPr>
              <w:t xml:space="preserve">ГАУЗ </w:t>
            </w:r>
            <w:r>
              <w:rPr>
                <w:color w:val="000000"/>
                <w:sz w:val="20"/>
                <w:szCs w:val="20"/>
              </w:rPr>
              <w:t>«</w:t>
            </w:r>
            <w:r w:rsidRPr="00E8065F">
              <w:rPr>
                <w:color w:val="000000"/>
                <w:sz w:val="20"/>
                <w:szCs w:val="20"/>
              </w:rPr>
              <w:t>Уруссинская ЦРБ</w:t>
            </w:r>
            <w:r>
              <w:rPr>
                <w:color w:val="000000"/>
                <w:sz w:val="20"/>
                <w:szCs w:val="20"/>
              </w:rPr>
              <w:t>»</w:t>
            </w:r>
          </w:p>
        </w:tc>
        <w:tc>
          <w:tcPr>
            <w:tcW w:w="1994" w:type="dxa"/>
            <w:tcBorders>
              <w:top w:val="nil"/>
              <w:left w:val="single" w:sz="4" w:space="0" w:color="auto"/>
              <w:bottom w:val="single" w:sz="4" w:space="0" w:color="auto"/>
              <w:right w:val="single" w:sz="4" w:space="0" w:color="auto"/>
            </w:tcBorders>
            <w:shd w:val="clear" w:color="auto" w:fill="auto"/>
          </w:tcPr>
          <w:p w:rsidR="00D06A2F" w:rsidRPr="00E8065F" w:rsidRDefault="00D06A2F" w:rsidP="00CD3A6F">
            <w:pPr>
              <w:spacing w:line="235" w:lineRule="auto"/>
              <w:jc w:val="center"/>
              <w:rPr>
                <w:color w:val="000000"/>
                <w:sz w:val="20"/>
                <w:szCs w:val="20"/>
              </w:rPr>
            </w:pPr>
            <w:r>
              <w:rPr>
                <w:rFonts w:eastAsia="Calibri"/>
                <w:sz w:val="20"/>
                <w:szCs w:val="20"/>
              </w:rPr>
              <w:t>Фиброгастродуоденоскоп</w:t>
            </w:r>
          </w:p>
        </w:tc>
        <w:tc>
          <w:tcPr>
            <w:tcW w:w="1181" w:type="dxa"/>
          </w:tcPr>
          <w:p w:rsidR="00D06A2F" w:rsidRPr="00E8065F" w:rsidRDefault="00D06A2F" w:rsidP="00CD3A6F">
            <w:pPr>
              <w:spacing w:line="235" w:lineRule="auto"/>
              <w:jc w:val="center"/>
              <w:rPr>
                <w:sz w:val="20"/>
                <w:szCs w:val="20"/>
              </w:rPr>
            </w:pPr>
            <w:r w:rsidRPr="00E8065F">
              <w:rPr>
                <w:sz w:val="20"/>
                <w:szCs w:val="20"/>
              </w:rPr>
              <w:t>2022</w:t>
            </w:r>
            <w:r w:rsidR="003D79B3">
              <w:rPr>
                <w:sz w:val="20"/>
                <w:szCs w:val="20"/>
              </w:rPr>
              <w:t xml:space="preserve"> </w:t>
            </w:r>
            <w:r w:rsidR="005D7240">
              <w:rPr>
                <w:sz w:val="20"/>
                <w:szCs w:val="20"/>
              </w:rPr>
              <w:t>(1)</w:t>
            </w:r>
          </w:p>
        </w:tc>
        <w:tc>
          <w:tcPr>
            <w:tcW w:w="1181" w:type="dxa"/>
            <w:tcBorders>
              <w:top w:val="nil"/>
              <w:left w:val="single" w:sz="4" w:space="0" w:color="auto"/>
              <w:bottom w:val="single" w:sz="4" w:space="0" w:color="auto"/>
              <w:right w:val="single" w:sz="4" w:space="0" w:color="auto"/>
            </w:tcBorders>
            <w:shd w:val="clear" w:color="auto" w:fill="auto"/>
          </w:tcPr>
          <w:p w:rsidR="00D06A2F" w:rsidRPr="00E8065F" w:rsidRDefault="00D06A2F" w:rsidP="00CD3A6F">
            <w:pPr>
              <w:spacing w:line="235" w:lineRule="auto"/>
              <w:jc w:val="center"/>
              <w:rPr>
                <w:color w:val="000000"/>
                <w:sz w:val="20"/>
                <w:szCs w:val="20"/>
              </w:rPr>
            </w:pPr>
            <w:r w:rsidRPr="00E8065F">
              <w:rPr>
                <w:color w:val="000000"/>
                <w:sz w:val="20"/>
                <w:szCs w:val="20"/>
              </w:rPr>
              <w:t>1</w:t>
            </w:r>
          </w:p>
        </w:tc>
        <w:tc>
          <w:tcPr>
            <w:tcW w:w="1478" w:type="dxa"/>
            <w:tcBorders>
              <w:top w:val="nil"/>
              <w:left w:val="single" w:sz="4" w:space="0" w:color="auto"/>
              <w:bottom w:val="single" w:sz="4" w:space="0" w:color="auto"/>
              <w:right w:val="single" w:sz="4" w:space="0" w:color="auto"/>
            </w:tcBorders>
            <w:shd w:val="clear" w:color="auto" w:fill="auto"/>
          </w:tcPr>
          <w:p w:rsidR="00D06A2F" w:rsidRPr="00E8065F" w:rsidRDefault="00D06A2F" w:rsidP="00CD3A6F">
            <w:pPr>
              <w:spacing w:line="235" w:lineRule="auto"/>
              <w:jc w:val="center"/>
              <w:rPr>
                <w:color w:val="000000"/>
                <w:sz w:val="20"/>
                <w:szCs w:val="20"/>
              </w:rPr>
            </w:pPr>
            <w:r w:rsidRPr="00E8065F">
              <w:rPr>
                <w:color w:val="000000"/>
                <w:sz w:val="20"/>
                <w:szCs w:val="20"/>
              </w:rPr>
              <w:t>5,6</w:t>
            </w:r>
          </w:p>
        </w:tc>
        <w:tc>
          <w:tcPr>
            <w:tcW w:w="1111" w:type="dxa"/>
            <w:tcBorders>
              <w:top w:val="nil"/>
              <w:left w:val="single" w:sz="4" w:space="0" w:color="auto"/>
              <w:bottom w:val="single" w:sz="4" w:space="0" w:color="auto"/>
              <w:right w:val="single" w:sz="4" w:space="0" w:color="auto"/>
            </w:tcBorders>
            <w:shd w:val="clear" w:color="auto" w:fill="auto"/>
          </w:tcPr>
          <w:p w:rsidR="00D06A2F" w:rsidRPr="00E8065F" w:rsidRDefault="00D06A2F" w:rsidP="00CD3A6F">
            <w:pPr>
              <w:spacing w:line="235" w:lineRule="auto"/>
              <w:jc w:val="center"/>
              <w:rPr>
                <w:color w:val="000000"/>
                <w:sz w:val="20"/>
                <w:szCs w:val="20"/>
              </w:rPr>
            </w:pPr>
            <w:r w:rsidRPr="00E8065F">
              <w:rPr>
                <w:color w:val="000000"/>
                <w:sz w:val="20"/>
                <w:szCs w:val="20"/>
              </w:rPr>
              <w:t>1</w:t>
            </w:r>
          </w:p>
        </w:tc>
        <w:tc>
          <w:tcPr>
            <w:tcW w:w="1944" w:type="dxa"/>
            <w:tcBorders>
              <w:top w:val="nil"/>
              <w:left w:val="single" w:sz="4" w:space="0" w:color="auto"/>
              <w:bottom w:val="single" w:sz="4" w:space="0" w:color="auto"/>
              <w:right w:val="single" w:sz="4" w:space="0" w:color="auto"/>
            </w:tcBorders>
            <w:shd w:val="clear" w:color="auto" w:fill="auto"/>
          </w:tcPr>
          <w:p w:rsidR="00D06A2F" w:rsidRPr="00E8065F" w:rsidRDefault="00D06A2F" w:rsidP="00CD3A6F">
            <w:pPr>
              <w:spacing w:line="235" w:lineRule="auto"/>
              <w:jc w:val="center"/>
              <w:rPr>
                <w:color w:val="000000"/>
                <w:sz w:val="20"/>
                <w:szCs w:val="20"/>
              </w:rPr>
            </w:pPr>
            <w:r w:rsidRPr="00E8065F">
              <w:rPr>
                <w:color w:val="000000"/>
                <w:sz w:val="20"/>
                <w:szCs w:val="20"/>
              </w:rPr>
              <w:t>Амбулаторное</w:t>
            </w:r>
          </w:p>
        </w:tc>
      </w:tr>
      <w:tr w:rsidR="00D06A2F" w:rsidRPr="00E8065F" w:rsidTr="00CD3A6F">
        <w:trPr>
          <w:trHeight w:val="20"/>
        </w:trPr>
        <w:tc>
          <w:tcPr>
            <w:tcW w:w="1555" w:type="dxa"/>
            <w:vMerge/>
            <w:tcBorders>
              <w:left w:val="single" w:sz="4" w:space="0" w:color="auto"/>
              <w:right w:val="single" w:sz="4" w:space="0" w:color="auto"/>
            </w:tcBorders>
          </w:tcPr>
          <w:p w:rsidR="00D06A2F" w:rsidRPr="00E8065F" w:rsidRDefault="00D06A2F" w:rsidP="00BA1432">
            <w:pPr>
              <w:rPr>
                <w:sz w:val="20"/>
                <w:szCs w:val="20"/>
              </w:rPr>
            </w:pPr>
          </w:p>
        </w:tc>
        <w:tc>
          <w:tcPr>
            <w:tcW w:w="3685" w:type="dxa"/>
            <w:tcBorders>
              <w:top w:val="nil"/>
              <w:left w:val="single" w:sz="4" w:space="0" w:color="auto"/>
              <w:bottom w:val="single" w:sz="4" w:space="0" w:color="auto"/>
              <w:right w:val="single" w:sz="4" w:space="0" w:color="auto"/>
            </w:tcBorders>
            <w:shd w:val="clear" w:color="auto" w:fill="auto"/>
          </w:tcPr>
          <w:p w:rsidR="00D06A2F" w:rsidRPr="00E8065F" w:rsidRDefault="00D06A2F" w:rsidP="00CD3A6F">
            <w:pPr>
              <w:spacing w:line="235" w:lineRule="auto"/>
              <w:jc w:val="both"/>
              <w:rPr>
                <w:color w:val="000000"/>
                <w:sz w:val="20"/>
                <w:szCs w:val="20"/>
              </w:rPr>
            </w:pPr>
            <w:r>
              <w:rPr>
                <w:color w:val="000000"/>
                <w:sz w:val="20"/>
                <w:szCs w:val="20"/>
              </w:rPr>
              <w:t>ГАУЗ «</w:t>
            </w:r>
            <w:r w:rsidRPr="00E8065F">
              <w:rPr>
                <w:color w:val="000000"/>
                <w:sz w:val="20"/>
                <w:szCs w:val="20"/>
              </w:rPr>
              <w:t>Городская больница №</w:t>
            </w:r>
            <w:r>
              <w:rPr>
                <w:color w:val="000000"/>
                <w:sz w:val="20"/>
                <w:szCs w:val="20"/>
              </w:rPr>
              <w:t xml:space="preserve"> </w:t>
            </w:r>
            <w:r w:rsidRPr="00E8065F">
              <w:rPr>
                <w:color w:val="000000"/>
                <w:sz w:val="20"/>
                <w:szCs w:val="20"/>
              </w:rPr>
              <w:t>2</w:t>
            </w:r>
            <w:r>
              <w:rPr>
                <w:color w:val="000000"/>
                <w:sz w:val="20"/>
                <w:szCs w:val="20"/>
              </w:rPr>
              <w:t>» г.</w:t>
            </w:r>
            <w:r w:rsidRPr="00E8065F">
              <w:rPr>
                <w:color w:val="000000"/>
                <w:sz w:val="20"/>
                <w:szCs w:val="20"/>
              </w:rPr>
              <w:t>Набережные Челны</w:t>
            </w:r>
          </w:p>
        </w:tc>
        <w:tc>
          <w:tcPr>
            <w:tcW w:w="1994" w:type="dxa"/>
            <w:tcBorders>
              <w:top w:val="nil"/>
              <w:left w:val="single" w:sz="4" w:space="0" w:color="auto"/>
              <w:bottom w:val="single" w:sz="4" w:space="0" w:color="auto"/>
              <w:right w:val="single" w:sz="4" w:space="0" w:color="auto"/>
            </w:tcBorders>
            <w:shd w:val="clear" w:color="auto" w:fill="auto"/>
          </w:tcPr>
          <w:p w:rsidR="00D06A2F" w:rsidRPr="00E8065F" w:rsidRDefault="00D06A2F" w:rsidP="00CD3A6F">
            <w:pPr>
              <w:spacing w:line="235" w:lineRule="auto"/>
              <w:jc w:val="center"/>
              <w:rPr>
                <w:color w:val="000000"/>
                <w:sz w:val="20"/>
                <w:szCs w:val="20"/>
              </w:rPr>
            </w:pPr>
            <w:r>
              <w:rPr>
                <w:rFonts w:eastAsia="Calibri"/>
                <w:sz w:val="20"/>
                <w:szCs w:val="20"/>
              </w:rPr>
              <w:t>Фиброгастродуоденоскоп</w:t>
            </w:r>
          </w:p>
        </w:tc>
        <w:tc>
          <w:tcPr>
            <w:tcW w:w="1181" w:type="dxa"/>
          </w:tcPr>
          <w:p w:rsidR="00D06A2F" w:rsidRPr="00E8065F" w:rsidRDefault="00D06A2F" w:rsidP="00CD3A6F">
            <w:pPr>
              <w:spacing w:line="235" w:lineRule="auto"/>
              <w:jc w:val="center"/>
              <w:rPr>
                <w:sz w:val="20"/>
                <w:szCs w:val="20"/>
              </w:rPr>
            </w:pPr>
            <w:r w:rsidRPr="00E8065F">
              <w:rPr>
                <w:sz w:val="20"/>
                <w:szCs w:val="20"/>
              </w:rPr>
              <w:t>2016</w:t>
            </w:r>
            <w:r w:rsidR="003D79B3">
              <w:rPr>
                <w:sz w:val="20"/>
                <w:szCs w:val="20"/>
              </w:rPr>
              <w:t xml:space="preserve"> </w:t>
            </w:r>
            <w:r w:rsidR="005D7240">
              <w:rPr>
                <w:sz w:val="20"/>
                <w:szCs w:val="20"/>
              </w:rPr>
              <w:t>(1)</w:t>
            </w:r>
          </w:p>
          <w:p w:rsidR="00D06A2F" w:rsidRPr="00E8065F" w:rsidRDefault="00D06A2F" w:rsidP="00CD3A6F">
            <w:pPr>
              <w:spacing w:line="235" w:lineRule="auto"/>
              <w:jc w:val="center"/>
              <w:rPr>
                <w:sz w:val="20"/>
                <w:szCs w:val="20"/>
              </w:rPr>
            </w:pPr>
            <w:r w:rsidRPr="00E8065F">
              <w:rPr>
                <w:sz w:val="20"/>
                <w:szCs w:val="20"/>
              </w:rPr>
              <w:t>2017</w:t>
            </w:r>
            <w:r w:rsidR="003D79B3">
              <w:rPr>
                <w:sz w:val="20"/>
                <w:szCs w:val="20"/>
              </w:rPr>
              <w:t xml:space="preserve"> </w:t>
            </w:r>
            <w:r w:rsidR="005D7240">
              <w:rPr>
                <w:sz w:val="20"/>
                <w:szCs w:val="20"/>
              </w:rPr>
              <w:t>(2)</w:t>
            </w:r>
          </w:p>
          <w:p w:rsidR="00D06A2F" w:rsidRPr="00E8065F" w:rsidRDefault="00D06A2F" w:rsidP="00CD3A6F">
            <w:pPr>
              <w:spacing w:line="235" w:lineRule="auto"/>
              <w:jc w:val="center"/>
              <w:rPr>
                <w:sz w:val="20"/>
                <w:szCs w:val="20"/>
              </w:rPr>
            </w:pPr>
            <w:r w:rsidRPr="00E8065F">
              <w:rPr>
                <w:sz w:val="20"/>
                <w:szCs w:val="20"/>
              </w:rPr>
              <w:t>2018</w:t>
            </w:r>
            <w:r w:rsidR="003D79B3">
              <w:rPr>
                <w:sz w:val="20"/>
                <w:szCs w:val="20"/>
              </w:rPr>
              <w:t xml:space="preserve"> </w:t>
            </w:r>
            <w:r w:rsidR="005D7240">
              <w:rPr>
                <w:sz w:val="20"/>
                <w:szCs w:val="20"/>
              </w:rPr>
              <w:t>(1)</w:t>
            </w:r>
          </w:p>
          <w:p w:rsidR="00D06A2F" w:rsidRPr="00E8065F" w:rsidRDefault="00D06A2F" w:rsidP="00CD3A6F">
            <w:pPr>
              <w:spacing w:line="235" w:lineRule="auto"/>
              <w:jc w:val="center"/>
              <w:rPr>
                <w:sz w:val="20"/>
                <w:szCs w:val="20"/>
              </w:rPr>
            </w:pPr>
            <w:r w:rsidRPr="00E8065F">
              <w:rPr>
                <w:sz w:val="20"/>
                <w:szCs w:val="20"/>
              </w:rPr>
              <w:t>2022</w:t>
            </w:r>
            <w:r w:rsidR="003D79B3">
              <w:rPr>
                <w:sz w:val="20"/>
                <w:szCs w:val="20"/>
              </w:rPr>
              <w:t xml:space="preserve"> </w:t>
            </w:r>
            <w:r w:rsidR="005D7240">
              <w:rPr>
                <w:sz w:val="20"/>
                <w:szCs w:val="20"/>
              </w:rPr>
              <w:t>(1)</w:t>
            </w:r>
          </w:p>
          <w:p w:rsidR="00D06A2F" w:rsidRPr="00E8065F" w:rsidRDefault="00D06A2F" w:rsidP="00CD3A6F">
            <w:pPr>
              <w:spacing w:line="235" w:lineRule="auto"/>
              <w:jc w:val="center"/>
              <w:rPr>
                <w:sz w:val="20"/>
                <w:szCs w:val="20"/>
              </w:rPr>
            </w:pPr>
            <w:r w:rsidRPr="00E8065F">
              <w:rPr>
                <w:sz w:val="20"/>
                <w:szCs w:val="20"/>
              </w:rPr>
              <w:t>2023</w:t>
            </w:r>
            <w:r w:rsidR="003D79B3">
              <w:rPr>
                <w:sz w:val="20"/>
                <w:szCs w:val="20"/>
              </w:rPr>
              <w:t xml:space="preserve"> </w:t>
            </w:r>
            <w:r w:rsidR="005D7240">
              <w:rPr>
                <w:sz w:val="20"/>
                <w:szCs w:val="20"/>
              </w:rPr>
              <w:t>(1)</w:t>
            </w:r>
          </w:p>
          <w:p w:rsidR="00D06A2F" w:rsidRPr="00E8065F" w:rsidRDefault="00D06A2F" w:rsidP="00CD3A6F">
            <w:pPr>
              <w:spacing w:line="235" w:lineRule="auto"/>
              <w:jc w:val="center"/>
              <w:rPr>
                <w:sz w:val="20"/>
                <w:szCs w:val="20"/>
              </w:rPr>
            </w:pPr>
            <w:r w:rsidRPr="00E8065F">
              <w:rPr>
                <w:sz w:val="20"/>
                <w:szCs w:val="20"/>
              </w:rPr>
              <w:t>2024</w:t>
            </w:r>
            <w:r w:rsidR="003D79B3">
              <w:rPr>
                <w:sz w:val="20"/>
                <w:szCs w:val="20"/>
              </w:rPr>
              <w:t xml:space="preserve"> </w:t>
            </w:r>
            <w:r w:rsidR="005D7240">
              <w:rPr>
                <w:sz w:val="20"/>
                <w:szCs w:val="20"/>
              </w:rPr>
              <w:t>(1)</w:t>
            </w:r>
          </w:p>
        </w:tc>
        <w:tc>
          <w:tcPr>
            <w:tcW w:w="1181" w:type="dxa"/>
            <w:tcBorders>
              <w:top w:val="nil"/>
              <w:left w:val="single" w:sz="4" w:space="0" w:color="auto"/>
              <w:bottom w:val="single" w:sz="4" w:space="0" w:color="auto"/>
              <w:right w:val="single" w:sz="4" w:space="0" w:color="auto"/>
            </w:tcBorders>
            <w:shd w:val="clear" w:color="auto" w:fill="auto"/>
          </w:tcPr>
          <w:p w:rsidR="00D06A2F" w:rsidRPr="00E8065F" w:rsidRDefault="00D06A2F" w:rsidP="00CD3A6F">
            <w:pPr>
              <w:spacing w:line="235" w:lineRule="auto"/>
              <w:jc w:val="center"/>
              <w:rPr>
                <w:color w:val="000000"/>
                <w:sz w:val="20"/>
                <w:szCs w:val="20"/>
              </w:rPr>
            </w:pPr>
            <w:r w:rsidRPr="00E8065F">
              <w:rPr>
                <w:color w:val="000000"/>
                <w:sz w:val="20"/>
                <w:szCs w:val="20"/>
              </w:rPr>
              <w:t>7</w:t>
            </w:r>
          </w:p>
        </w:tc>
        <w:tc>
          <w:tcPr>
            <w:tcW w:w="1478" w:type="dxa"/>
            <w:tcBorders>
              <w:top w:val="nil"/>
              <w:left w:val="single" w:sz="4" w:space="0" w:color="auto"/>
              <w:bottom w:val="single" w:sz="4" w:space="0" w:color="auto"/>
              <w:right w:val="single" w:sz="4" w:space="0" w:color="auto"/>
            </w:tcBorders>
            <w:shd w:val="clear" w:color="auto" w:fill="auto"/>
          </w:tcPr>
          <w:p w:rsidR="00D06A2F" w:rsidRPr="00E8065F" w:rsidRDefault="00D06A2F" w:rsidP="00CD3A6F">
            <w:pPr>
              <w:spacing w:line="235" w:lineRule="auto"/>
              <w:jc w:val="center"/>
              <w:rPr>
                <w:color w:val="000000"/>
                <w:sz w:val="20"/>
                <w:szCs w:val="20"/>
              </w:rPr>
            </w:pPr>
            <w:r w:rsidRPr="00E8065F">
              <w:rPr>
                <w:color w:val="000000"/>
                <w:sz w:val="20"/>
                <w:szCs w:val="20"/>
              </w:rPr>
              <w:t>16,9</w:t>
            </w:r>
          </w:p>
        </w:tc>
        <w:tc>
          <w:tcPr>
            <w:tcW w:w="1111" w:type="dxa"/>
            <w:tcBorders>
              <w:top w:val="nil"/>
              <w:left w:val="single" w:sz="4" w:space="0" w:color="auto"/>
              <w:bottom w:val="single" w:sz="4" w:space="0" w:color="auto"/>
              <w:right w:val="single" w:sz="4" w:space="0" w:color="auto"/>
            </w:tcBorders>
            <w:shd w:val="clear" w:color="auto" w:fill="auto"/>
          </w:tcPr>
          <w:p w:rsidR="00D06A2F" w:rsidRPr="00E8065F" w:rsidRDefault="00D06A2F" w:rsidP="00CD3A6F">
            <w:pPr>
              <w:spacing w:line="235" w:lineRule="auto"/>
              <w:jc w:val="center"/>
              <w:rPr>
                <w:color w:val="000000"/>
                <w:sz w:val="20"/>
                <w:szCs w:val="20"/>
              </w:rPr>
            </w:pPr>
            <w:r w:rsidRPr="00E8065F">
              <w:rPr>
                <w:color w:val="000000"/>
                <w:sz w:val="20"/>
                <w:szCs w:val="20"/>
              </w:rPr>
              <w:t>1</w:t>
            </w:r>
          </w:p>
        </w:tc>
        <w:tc>
          <w:tcPr>
            <w:tcW w:w="1944" w:type="dxa"/>
            <w:tcBorders>
              <w:top w:val="nil"/>
              <w:left w:val="single" w:sz="4" w:space="0" w:color="auto"/>
              <w:bottom w:val="single" w:sz="4" w:space="0" w:color="auto"/>
              <w:right w:val="single" w:sz="4" w:space="0" w:color="auto"/>
            </w:tcBorders>
            <w:shd w:val="clear" w:color="auto" w:fill="auto"/>
          </w:tcPr>
          <w:p w:rsidR="00D06A2F" w:rsidRPr="00E8065F" w:rsidRDefault="00D06A2F" w:rsidP="00CD3A6F">
            <w:pPr>
              <w:spacing w:line="235" w:lineRule="auto"/>
              <w:jc w:val="center"/>
              <w:rPr>
                <w:color w:val="000000"/>
                <w:sz w:val="20"/>
                <w:szCs w:val="20"/>
              </w:rPr>
            </w:pPr>
            <w:r w:rsidRPr="00E8065F">
              <w:rPr>
                <w:color w:val="000000"/>
                <w:sz w:val="20"/>
                <w:szCs w:val="20"/>
              </w:rPr>
              <w:t>Амбулаторное/стационарное</w:t>
            </w:r>
          </w:p>
        </w:tc>
      </w:tr>
      <w:tr w:rsidR="00D06A2F" w:rsidRPr="00E8065F" w:rsidTr="00CD3A6F">
        <w:trPr>
          <w:trHeight w:val="20"/>
        </w:trPr>
        <w:tc>
          <w:tcPr>
            <w:tcW w:w="1555" w:type="dxa"/>
            <w:vMerge/>
            <w:tcBorders>
              <w:left w:val="single" w:sz="4" w:space="0" w:color="auto"/>
              <w:right w:val="single" w:sz="4" w:space="0" w:color="auto"/>
            </w:tcBorders>
          </w:tcPr>
          <w:p w:rsidR="00D06A2F" w:rsidRPr="00E8065F" w:rsidRDefault="00D06A2F" w:rsidP="00BA1432">
            <w:pPr>
              <w:rPr>
                <w:sz w:val="20"/>
                <w:szCs w:val="20"/>
              </w:rPr>
            </w:pPr>
          </w:p>
        </w:tc>
        <w:tc>
          <w:tcPr>
            <w:tcW w:w="3685" w:type="dxa"/>
            <w:tcBorders>
              <w:top w:val="nil"/>
              <w:left w:val="single" w:sz="4" w:space="0" w:color="auto"/>
              <w:bottom w:val="single" w:sz="4" w:space="0" w:color="auto"/>
              <w:right w:val="single" w:sz="4" w:space="0" w:color="auto"/>
            </w:tcBorders>
            <w:shd w:val="clear" w:color="auto" w:fill="auto"/>
          </w:tcPr>
          <w:p w:rsidR="00D06A2F" w:rsidRPr="00E8065F" w:rsidRDefault="00D06A2F" w:rsidP="00CD3A6F">
            <w:pPr>
              <w:spacing w:line="235" w:lineRule="auto"/>
              <w:jc w:val="both"/>
              <w:rPr>
                <w:color w:val="000000"/>
                <w:sz w:val="20"/>
                <w:szCs w:val="20"/>
              </w:rPr>
            </w:pPr>
            <w:r>
              <w:rPr>
                <w:color w:val="000000"/>
                <w:sz w:val="20"/>
                <w:szCs w:val="20"/>
              </w:rPr>
              <w:t>ГАУЗ «Городская больница № 5» г.</w:t>
            </w:r>
            <w:r w:rsidRPr="00E8065F">
              <w:rPr>
                <w:color w:val="000000"/>
                <w:sz w:val="20"/>
                <w:szCs w:val="20"/>
              </w:rPr>
              <w:t>Набережные Челны</w:t>
            </w:r>
          </w:p>
        </w:tc>
        <w:tc>
          <w:tcPr>
            <w:tcW w:w="1994" w:type="dxa"/>
            <w:tcBorders>
              <w:top w:val="nil"/>
              <w:left w:val="single" w:sz="4" w:space="0" w:color="auto"/>
              <w:bottom w:val="single" w:sz="4" w:space="0" w:color="auto"/>
              <w:right w:val="single" w:sz="4" w:space="0" w:color="auto"/>
            </w:tcBorders>
            <w:shd w:val="clear" w:color="auto" w:fill="auto"/>
          </w:tcPr>
          <w:p w:rsidR="00D06A2F" w:rsidRPr="00E8065F" w:rsidRDefault="00D06A2F" w:rsidP="00CD3A6F">
            <w:pPr>
              <w:spacing w:line="235" w:lineRule="auto"/>
              <w:jc w:val="center"/>
              <w:rPr>
                <w:color w:val="000000"/>
                <w:sz w:val="20"/>
                <w:szCs w:val="20"/>
              </w:rPr>
            </w:pPr>
            <w:r>
              <w:rPr>
                <w:rFonts w:eastAsia="Calibri"/>
                <w:sz w:val="20"/>
                <w:szCs w:val="20"/>
              </w:rPr>
              <w:t>Фиброгастродуоденоскоп</w:t>
            </w:r>
          </w:p>
        </w:tc>
        <w:tc>
          <w:tcPr>
            <w:tcW w:w="1181" w:type="dxa"/>
          </w:tcPr>
          <w:p w:rsidR="00D06A2F" w:rsidRPr="00E8065F" w:rsidRDefault="00D06A2F" w:rsidP="00CD3A6F">
            <w:pPr>
              <w:spacing w:line="235" w:lineRule="auto"/>
              <w:jc w:val="center"/>
              <w:rPr>
                <w:sz w:val="20"/>
                <w:szCs w:val="20"/>
              </w:rPr>
            </w:pPr>
            <w:r w:rsidRPr="00E8065F">
              <w:rPr>
                <w:sz w:val="20"/>
                <w:szCs w:val="20"/>
              </w:rPr>
              <w:t>2022</w:t>
            </w:r>
            <w:r w:rsidR="003D79B3">
              <w:rPr>
                <w:sz w:val="20"/>
                <w:szCs w:val="20"/>
              </w:rPr>
              <w:t xml:space="preserve"> </w:t>
            </w:r>
            <w:r w:rsidR="005D7240">
              <w:rPr>
                <w:sz w:val="20"/>
                <w:szCs w:val="20"/>
              </w:rPr>
              <w:t>(2)</w:t>
            </w:r>
          </w:p>
          <w:p w:rsidR="00D06A2F" w:rsidRPr="00E8065F" w:rsidRDefault="00D06A2F" w:rsidP="00CD3A6F">
            <w:pPr>
              <w:spacing w:line="235" w:lineRule="auto"/>
              <w:jc w:val="center"/>
              <w:rPr>
                <w:sz w:val="20"/>
                <w:szCs w:val="20"/>
              </w:rPr>
            </w:pPr>
            <w:r w:rsidRPr="00E8065F">
              <w:rPr>
                <w:sz w:val="20"/>
                <w:szCs w:val="20"/>
              </w:rPr>
              <w:t>2023</w:t>
            </w:r>
            <w:r w:rsidR="003D79B3">
              <w:rPr>
                <w:sz w:val="20"/>
                <w:szCs w:val="20"/>
              </w:rPr>
              <w:t xml:space="preserve"> </w:t>
            </w:r>
            <w:r w:rsidR="005D7240">
              <w:rPr>
                <w:sz w:val="20"/>
                <w:szCs w:val="20"/>
              </w:rPr>
              <w:t>(1)</w:t>
            </w:r>
          </w:p>
          <w:p w:rsidR="00D06A2F" w:rsidRPr="00E8065F" w:rsidRDefault="00D06A2F" w:rsidP="00CD3A6F">
            <w:pPr>
              <w:spacing w:line="235" w:lineRule="auto"/>
              <w:jc w:val="center"/>
              <w:rPr>
                <w:sz w:val="20"/>
                <w:szCs w:val="20"/>
              </w:rPr>
            </w:pPr>
            <w:r w:rsidRPr="00E8065F">
              <w:rPr>
                <w:sz w:val="20"/>
                <w:szCs w:val="20"/>
              </w:rPr>
              <w:t>2024</w:t>
            </w:r>
            <w:r w:rsidR="003D79B3">
              <w:rPr>
                <w:sz w:val="20"/>
                <w:szCs w:val="20"/>
              </w:rPr>
              <w:t xml:space="preserve"> </w:t>
            </w:r>
            <w:r w:rsidR="005D7240">
              <w:rPr>
                <w:sz w:val="20"/>
                <w:szCs w:val="20"/>
              </w:rPr>
              <w:t>(1)</w:t>
            </w:r>
          </w:p>
        </w:tc>
        <w:tc>
          <w:tcPr>
            <w:tcW w:w="1181" w:type="dxa"/>
            <w:tcBorders>
              <w:top w:val="nil"/>
              <w:left w:val="single" w:sz="4" w:space="0" w:color="auto"/>
              <w:bottom w:val="single" w:sz="4" w:space="0" w:color="auto"/>
              <w:right w:val="single" w:sz="4" w:space="0" w:color="auto"/>
            </w:tcBorders>
            <w:shd w:val="clear" w:color="auto" w:fill="auto"/>
          </w:tcPr>
          <w:p w:rsidR="00D06A2F" w:rsidRPr="00E8065F" w:rsidRDefault="00D06A2F" w:rsidP="00CD3A6F">
            <w:pPr>
              <w:spacing w:line="235" w:lineRule="auto"/>
              <w:jc w:val="center"/>
              <w:rPr>
                <w:color w:val="000000"/>
                <w:sz w:val="20"/>
                <w:szCs w:val="20"/>
              </w:rPr>
            </w:pPr>
            <w:r w:rsidRPr="00E8065F">
              <w:rPr>
                <w:color w:val="000000"/>
                <w:sz w:val="20"/>
                <w:szCs w:val="20"/>
              </w:rPr>
              <w:t>4</w:t>
            </w:r>
          </w:p>
        </w:tc>
        <w:tc>
          <w:tcPr>
            <w:tcW w:w="1478" w:type="dxa"/>
            <w:tcBorders>
              <w:top w:val="nil"/>
              <w:left w:val="single" w:sz="4" w:space="0" w:color="auto"/>
              <w:bottom w:val="single" w:sz="4" w:space="0" w:color="auto"/>
              <w:right w:val="single" w:sz="4" w:space="0" w:color="auto"/>
            </w:tcBorders>
            <w:shd w:val="clear" w:color="auto" w:fill="auto"/>
          </w:tcPr>
          <w:p w:rsidR="00D06A2F" w:rsidRPr="00E8065F" w:rsidRDefault="00D06A2F" w:rsidP="00CD3A6F">
            <w:pPr>
              <w:spacing w:line="235" w:lineRule="auto"/>
              <w:jc w:val="center"/>
              <w:rPr>
                <w:color w:val="000000"/>
                <w:sz w:val="20"/>
                <w:szCs w:val="20"/>
              </w:rPr>
            </w:pPr>
            <w:r w:rsidRPr="00E8065F">
              <w:rPr>
                <w:color w:val="000000"/>
                <w:sz w:val="20"/>
                <w:szCs w:val="20"/>
              </w:rPr>
              <w:t>10,4</w:t>
            </w:r>
          </w:p>
        </w:tc>
        <w:tc>
          <w:tcPr>
            <w:tcW w:w="1111" w:type="dxa"/>
            <w:tcBorders>
              <w:top w:val="nil"/>
              <w:left w:val="single" w:sz="4" w:space="0" w:color="auto"/>
              <w:bottom w:val="single" w:sz="4" w:space="0" w:color="auto"/>
              <w:right w:val="single" w:sz="4" w:space="0" w:color="auto"/>
            </w:tcBorders>
            <w:shd w:val="clear" w:color="auto" w:fill="auto"/>
          </w:tcPr>
          <w:p w:rsidR="00D06A2F" w:rsidRPr="00E8065F" w:rsidRDefault="00D06A2F" w:rsidP="00CD3A6F">
            <w:pPr>
              <w:spacing w:line="235" w:lineRule="auto"/>
              <w:jc w:val="center"/>
              <w:rPr>
                <w:color w:val="000000"/>
                <w:sz w:val="20"/>
                <w:szCs w:val="20"/>
              </w:rPr>
            </w:pPr>
            <w:r w:rsidRPr="00E8065F">
              <w:rPr>
                <w:color w:val="000000"/>
                <w:sz w:val="20"/>
                <w:szCs w:val="20"/>
              </w:rPr>
              <w:t>1</w:t>
            </w:r>
          </w:p>
        </w:tc>
        <w:tc>
          <w:tcPr>
            <w:tcW w:w="1944" w:type="dxa"/>
            <w:tcBorders>
              <w:top w:val="nil"/>
              <w:left w:val="single" w:sz="4" w:space="0" w:color="auto"/>
              <w:bottom w:val="single" w:sz="4" w:space="0" w:color="auto"/>
              <w:right w:val="single" w:sz="4" w:space="0" w:color="auto"/>
            </w:tcBorders>
            <w:shd w:val="clear" w:color="auto" w:fill="auto"/>
          </w:tcPr>
          <w:p w:rsidR="00D06A2F" w:rsidRPr="00E8065F" w:rsidRDefault="00D06A2F" w:rsidP="00CD3A6F">
            <w:pPr>
              <w:spacing w:line="235" w:lineRule="auto"/>
              <w:jc w:val="center"/>
              <w:rPr>
                <w:color w:val="000000"/>
                <w:sz w:val="20"/>
                <w:szCs w:val="20"/>
              </w:rPr>
            </w:pPr>
            <w:r w:rsidRPr="00E8065F">
              <w:rPr>
                <w:color w:val="000000"/>
                <w:sz w:val="20"/>
                <w:szCs w:val="20"/>
              </w:rPr>
              <w:t>Амбулаторное/стационарное</w:t>
            </w:r>
          </w:p>
        </w:tc>
      </w:tr>
      <w:tr w:rsidR="00D06A2F" w:rsidRPr="00E8065F" w:rsidTr="00CD3A6F">
        <w:trPr>
          <w:trHeight w:val="20"/>
        </w:trPr>
        <w:tc>
          <w:tcPr>
            <w:tcW w:w="1555" w:type="dxa"/>
            <w:vMerge/>
            <w:tcBorders>
              <w:left w:val="single" w:sz="4" w:space="0" w:color="auto"/>
              <w:right w:val="single" w:sz="4" w:space="0" w:color="auto"/>
            </w:tcBorders>
          </w:tcPr>
          <w:p w:rsidR="00D06A2F" w:rsidRPr="00E8065F" w:rsidRDefault="00D06A2F" w:rsidP="00BA1432">
            <w:pPr>
              <w:rPr>
                <w:sz w:val="20"/>
                <w:szCs w:val="20"/>
              </w:rPr>
            </w:pPr>
          </w:p>
        </w:tc>
        <w:tc>
          <w:tcPr>
            <w:tcW w:w="3685" w:type="dxa"/>
            <w:tcBorders>
              <w:top w:val="nil"/>
              <w:left w:val="single" w:sz="4" w:space="0" w:color="auto"/>
              <w:bottom w:val="single" w:sz="4" w:space="0" w:color="auto"/>
              <w:right w:val="single" w:sz="4" w:space="0" w:color="auto"/>
            </w:tcBorders>
            <w:shd w:val="clear" w:color="auto" w:fill="auto"/>
          </w:tcPr>
          <w:p w:rsidR="00D06A2F" w:rsidRPr="00E8065F" w:rsidRDefault="00D06A2F" w:rsidP="00CD3A6F">
            <w:pPr>
              <w:spacing w:line="235" w:lineRule="auto"/>
              <w:jc w:val="both"/>
              <w:rPr>
                <w:color w:val="000000"/>
                <w:sz w:val="20"/>
                <w:szCs w:val="20"/>
              </w:rPr>
            </w:pPr>
            <w:r>
              <w:rPr>
                <w:color w:val="000000"/>
                <w:sz w:val="20"/>
                <w:szCs w:val="20"/>
              </w:rPr>
              <w:t>ГАУЗ «Городская поликлиника № 4 им.Л.Н.Ганиевой» г.Набережные Челны</w:t>
            </w:r>
          </w:p>
        </w:tc>
        <w:tc>
          <w:tcPr>
            <w:tcW w:w="1994" w:type="dxa"/>
            <w:tcBorders>
              <w:top w:val="nil"/>
              <w:left w:val="single" w:sz="4" w:space="0" w:color="auto"/>
              <w:bottom w:val="single" w:sz="4" w:space="0" w:color="auto"/>
              <w:right w:val="single" w:sz="4" w:space="0" w:color="auto"/>
            </w:tcBorders>
            <w:shd w:val="clear" w:color="auto" w:fill="auto"/>
          </w:tcPr>
          <w:p w:rsidR="00D06A2F" w:rsidRPr="00E8065F" w:rsidRDefault="00D06A2F" w:rsidP="00CD3A6F">
            <w:pPr>
              <w:spacing w:line="235" w:lineRule="auto"/>
              <w:jc w:val="center"/>
              <w:rPr>
                <w:color w:val="000000"/>
                <w:sz w:val="20"/>
                <w:szCs w:val="20"/>
              </w:rPr>
            </w:pPr>
            <w:r>
              <w:rPr>
                <w:rFonts w:eastAsia="Calibri"/>
                <w:sz w:val="20"/>
                <w:szCs w:val="20"/>
              </w:rPr>
              <w:t>Фиброгастродуоденоскоп</w:t>
            </w:r>
          </w:p>
        </w:tc>
        <w:tc>
          <w:tcPr>
            <w:tcW w:w="1181" w:type="dxa"/>
            <w:tcBorders>
              <w:bottom w:val="single" w:sz="4" w:space="0" w:color="auto"/>
            </w:tcBorders>
          </w:tcPr>
          <w:p w:rsidR="00D06A2F" w:rsidRPr="00E8065F" w:rsidRDefault="00D06A2F" w:rsidP="00CD3A6F">
            <w:pPr>
              <w:spacing w:line="235" w:lineRule="auto"/>
              <w:jc w:val="center"/>
              <w:rPr>
                <w:sz w:val="20"/>
                <w:szCs w:val="20"/>
              </w:rPr>
            </w:pPr>
            <w:r w:rsidRPr="00E8065F">
              <w:rPr>
                <w:sz w:val="20"/>
                <w:szCs w:val="20"/>
              </w:rPr>
              <w:t>2014</w:t>
            </w:r>
            <w:r w:rsidR="003D79B3">
              <w:rPr>
                <w:sz w:val="20"/>
                <w:szCs w:val="20"/>
              </w:rPr>
              <w:t xml:space="preserve"> </w:t>
            </w:r>
            <w:r w:rsidR="005D7240">
              <w:rPr>
                <w:sz w:val="20"/>
                <w:szCs w:val="20"/>
              </w:rPr>
              <w:t>(1)</w:t>
            </w:r>
          </w:p>
          <w:p w:rsidR="00D06A2F" w:rsidRPr="00E8065F" w:rsidRDefault="00D06A2F" w:rsidP="00CD3A6F">
            <w:pPr>
              <w:spacing w:line="235" w:lineRule="auto"/>
              <w:jc w:val="center"/>
              <w:rPr>
                <w:sz w:val="20"/>
                <w:szCs w:val="20"/>
              </w:rPr>
            </w:pPr>
            <w:r w:rsidRPr="00E8065F">
              <w:rPr>
                <w:sz w:val="20"/>
                <w:szCs w:val="20"/>
              </w:rPr>
              <w:t>2018</w:t>
            </w:r>
            <w:r w:rsidR="003D79B3">
              <w:rPr>
                <w:sz w:val="20"/>
                <w:szCs w:val="20"/>
              </w:rPr>
              <w:t xml:space="preserve"> </w:t>
            </w:r>
            <w:r w:rsidR="005D7240">
              <w:rPr>
                <w:sz w:val="20"/>
                <w:szCs w:val="20"/>
              </w:rPr>
              <w:t>(1)</w:t>
            </w:r>
          </w:p>
        </w:tc>
        <w:tc>
          <w:tcPr>
            <w:tcW w:w="1181" w:type="dxa"/>
            <w:tcBorders>
              <w:top w:val="nil"/>
              <w:left w:val="single" w:sz="4" w:space="0" w:color="auto"/>
              <w:bottom w:val="single" w:sz="4" w:space="0" w:color="auto"/>
              <w:right w:val="single" w:sz="4" w:space="0" w:color="auto"/>
            </w:tcBorders>
            <w:shd w:val="clear" w:color="auto" w:fill="auto"/>
          </w:tcPr>
          <w:p w:rsidR="00D06A2F" w:rsidRPr="00E8065F" w:rsidRDefault="00D06A2F" w:rsidP="00CD3A6F">
            <w:pPr>
              <w:spacing w:line="235" w:lineRule="auto"/>
              <w:jc w:val="center"/>
              <w:rPr>
                <w:color w:val="000000"/>
                <w:sz w:val="20"/>
                <w:szCs w:val="20"/>
              </w:rPr>
            </w:pPr>
            <w:r w:rsidRPr="00E8065F">
              <w:rPr>
                <w:color w:val="000000"/>
                <w:sz w:val="20"/>
                <w:szCs w:val="20"/>
              </w:rPr>
              <w:t>3</w:t>
            </w:r>
          </w:p>
        </w:tc>
        <w:tc>
          <w:tcPr>
            <w:tcW w:w="1478" w:type="dxa"/>
            <w:tcBorders>
              <w:top w:val="nil"/>
              <w:left w:val="single" w:sz="4" w:space="0" w:color="auto"/>
              <w:bottom w:val="single" w:sz="4" w:space="0" w:color="auto"/>
              <w:right w:val="single" w:sz="4" w:space="0" w:color="auto"/>
            </w:tcBorders>
            <w:shd w:val="clear" w:color="auto" w:fill="auto"/>
          </w:tcPr>
          <w:p w:rsidR="00D06A2F" w:rsidRPr="00E8065F" w:rsidRDefault="00D06A2F" w:rsidP="00CD3A6F">
            <w:pPr>
              <w:spacing w:line="235" w:lineRule="auto"/>
              <w:jc w:val="center"/>
              <w:rPr>
                <w:color w:val="000000"/>
                <w:sz w:val="20"/>
                <w:szCs w:val="20"/>
              </w:rPr>
            </w:pPr>
            <w:r w:rsidRPr="00E8065F">
              <w:rPr>
                <w:color w:val="000000"/>
                <w:sz w:val="20"/>
                <w:szCs w:val="20"/>
              </w:rPr>
              <w:t>15,3</w:t>
            </w:r>
          </w:p>
        </w:tc>
        <w:tc>
          <w:tcPr>
            <w:tcW w:w="1111" w:type="dxa"/>
            <w:tcBorders>
              <w:top w:val="nil"/>
              <w:left w:val="single" w:sz="4" w:space="0" w:color="auto"/>
              <w:bottom w:val="single" w:sz="4" w:space="0" w:color="auto"/>
              <w:right w:val="single" w:sz="4" w:space="0" w:color="auto"/>
            </w:tcBorders>
            <w:shd w:val="clear" w:color="auto" w:fill="auto"/>
          </w:tcPr>
          <w:p w:rsidR="00D06A2F" w:rsidRPr="00E8065F" w:rsidRDefault="00D06A2F" w:rsidP="00CD3A6F">
            <w:pPr>
              <w:spacing w:line="235" w:lineRule="auto"/>
              <w:jc w:val="center"/>
              <w:rPr>
                <w:color w:val="000000"/>
                <w:sz w:val="20"/>
                <w:szCs w:val="20"/>
              </w:rPr>
            </w:pPr>
            <w:r w:rsidRPr="00E8065F">
              <w:rPr>
                <w:color w:val="000000"/>
                <w:sz w:val="20"/>
                <w:szCs w:val="20"/>
              </w:rPr>
              <w:t>1</w:t>
            </w:r>
          </w:p>
        </w:tc>
        <w:tc>
          <w:tcPr>
            <w:tcW w:w="1944" w:type="dxa"/>
            <w:tcBorders>
              <w:top w:val="nil"/>
              <w:left w:val="single" w:sz="4" w:space="0" w:color="auto"/>
              <w:bottom w:val="single" w:sz="4" w:space="0" w:color="auto"/>
              <w:right w:val="single" w:sz="4" w:space="0" w:color="auto"/>
            </w:tcBorders>
            <w:shd w:val="clear" w:color="auto" w:fill="auto"/>
          </w:tcPr>
          <w:p w:rsidR="00D06A2F" w:rsidRPr="00E8065F" w:rsidRDefault="00D06A2F" w:rsidP="00CD3A6F">
            <w:pPr>
              <w:spacing w:line="235" w:lineRule="auto"/>
              <w:jc w:val="center"/>
              <w:rPr>
                <w:color w:val="000000"/>
                <w:sz w:val="20"/>
                <w:szCs w:val="20"/>
              </w:rPr>
            </w:pPr>
            <w:r w:rsidRPr="00E8065F">
              <w:rPr>
                <w:color w:val="000000"/>
                <w:sz w:val="20"/>
                <w:szCs w:val="20"/>
              </w:rPr>
              <w:t>Амбулаторное</w:t>
            </w:r>
          </w:p>
        </w:tc>
      </w:tr>
      <w:tr w:rsidR="00D06A2F" w:rsidRPr="00E8065F" w:rsidTr="00CD3A6F">
        <w:trPr>
          <w:trHeight w:val="20"/>
        </w:trPr>
        <w:tc>
          <w:tcPr>
            <w:tcW w:w="1555" w:type="dxa"/>
            <w:vMerge/>
            <w:tcBorders>
              <w:left w:val="single" w:sz="4" w:space="0" w:color="auto"/>
              <w:right w:val="single" w:sz="4" w:space="0" w:color="auto"/>
            </w:tcBorders>
          </w:tcPr>
          <w:p w:rsidR="00D06A2F" w:rsidRPr="00E8065F" w:rsidRDefault="00D06A2F" w:rsidP="00BA1432">
            <w:pPr>
              <w:rPr>
                <w:sz w:val="20"/>
                <w:szCs w:val="20"/>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D06A2F" w:rsidRPr="00E8065F" w:rsidRDefault="00D06A2F" w:rsidP="00CD3A6F">
            <w:pPr>
              <w:spacing w:line="235" w:lineRule="auto"/>
              <w:jc w:val="both"/>
              <w:rPr>
                <w:color w:val="000000"/>
                <w:sz w:val="20"/>
                <w:szCs w:val="20"/>
              </w:rPr>
            </w:pPr>
            <w:r w:rsidRPr="00E8065F">
              <w:rPr>
                <w:color w:val="000000"/>
                <w:sz w:val="20"/>
                <w:szCs w:val="20"/>
              </w:rPr>
              <w:t>ГАУ</w:t>
            </w:r>
            <w:r>
              <w:rPr>
                <w:color w:val="000000"/>
                <w:sz w:val="20"/>
                <w:szCs w:val="20"/>
              </w:rPr>
              <w:t>З «Городская поликлиника № 6» г.</w:t>
            </w:r>
            <w:r w:rsidRPr="00E8065F">
              <w:rPr>
                <w:color w:val="000000"/>
                <w:sz w:val="20"/>
                <w:szCs w:val="20"/>
              </w:rPr>
              <w:t>Набережные Челны</w:t>
            </w:r>
          </w:p>
        </w:tc>
        <w:tc>
          <w:tcPr>
            <w:tcW w:w="1994" w:type="dxa"/>
            <w:tcBorders>
              <w:top w:val="single" w:sz="4" w:space="0" w:color="auto"/>
              <w:left w:val="single" w:sz="4" w:space="0" w:color="auto"/>
              <w:bottom w:val="single" w:sz="4" w:space="0" w:color="auto"/>
              <w:right w:val="single" w:sz="4" w:space="0" w:color="auto"/>
            </w:tcBorders>
            <w:shd w:val="clear" w:color="auto" w:fill="auto"/>
          </w:tcPr>
          <w:p w:rsidR="00D06A2F" w:rsidRPr="00E8065F" w:rsidRDefault="00D06A2F" w:rsidP="00CD3A6F">
            <w:pPr>
              <w:spacing w:line="235" w:lineRule="auto"/>
              <w:jc w:val="center"/>
              <w:rPr>
                <w:color w:val="000000"/>
                <w:sz w:val="20"/>
                <w:szCs w:val="20"/>
              </w:rPr>
            </w:pPr>
            <w:r>
              <w:rPr>
                <w:rFonts w:eastAsia="Calibri"/>
                <w:sz w:val="20"/>
                <w:szCs w:val="20"/>
              </w:rPr>
              <w:t>Фиброгастродуоденоскоп</w:t>
            </w:r>
          </w:p>
        </w:tc>
        <w:tc>
          <w:tcPr>
            <w:tcW w:w="1181" w:type="dxa"/>
            <w:tcBorders>
              <w:top w:val="single" w:sz="4" w:space="0" w:color="auto"/>
            </w:tcBorders>
          </w:tcPr>
          <w:p w:rsidR="00D06A2F" w:rsidRPr="00E8065F" w:rsidRDefault="00D06A2F" w:rsidP="00CD3A6F">
            <w:pPr>
              <w:spacing w:line="235" w:lineRule="auto"/>
              <w:jc w:val="center"/>
              <w:rPr>
                <w:sz w:val="20"/>
                <w:szCs w:val="20"/>
              </w:rPr>
            </w:pPr>
            <w:r w:rsidRPr="00E8065F">
              <w:rPr>
                <w:sz w:val="20"/>
                <w:szCs w:val="20"/>
              </w:rPr>
              <w:t>2022</w:t>
            </w:r>
            <w:r w:rsidR="003D79B3">
              <w:rPr>
                <w:sz w:val="20"/>
                <w:szCs w:val="20"/>
              </w:rPr>
              <w:t xml:space="preserve"> </w:t>
            </w:r>
            <w:r w:rsidR="005D7240">
              <w:rPr>
                <w:sz w:val="20"/>
                <w:szCs w:val="20"/>
              </w:rPr>
              <w:t>(1)</w:t>
            </w:r>
          </w:p>
          <w:p w:rsidR="00D06A2F" w:rsidRPr="00E8065F" w:rsidRDefault="00D06A2F" w:rsidP="00CD3A6F">
            <w:pPr>
              <w:spacing w:line="235" w:lineRule="auto"/>
              <w:jc w:val="center"/>
              <w:rPr>
                <w:sz w:val="20"/>
                <w:szCs w:val="20"/>
              </w:rPr>
            </w:pPr>
            <w:r w:rsidRPr="00E8065F">
              <w:rPr>
                <w:sz w:val="20"/>
                <w:szCs w:val="20"/>
              </w:rPr>
              <w:t>2023</w:t>
            </w:r>
            <w:r w:rsidR="003D79B3">
              <w:rPr>
                <w:sz w:val="20"/>
                <w:szCs w:val="20"/>
              </w:rPr>
              <w:t xml:space="preserve"> </w:t>
            </w:r>
            <w:r w:rsidR="005D7240">
              <w:rPr>
                <w:sz w:val="20"/>
                <w:szCs w:val="20"/>
              </w:rPr>
              <w:t>(1)</w:t>
            </w:r>
          </w:p>
        </w:tc>
        <w:tc>
          <w:tcPr>
            <w:tcW w:w="1181" w:type="dxa"/>
            <w:tcBorders>
              <w:top w:val="single" w:sz="4" w:space="0" w:color="auto"/>
              <w:left w:val="single" w:sz="4" w:space="0" w:color="auto"/>
              <w:bottom w:val="single" w:sz="4" w:space="0" w:color="auto"/>
              <w:right w:val="single" w:sz="4" w:space="0" w:color="auto"/>
            </w:tcBorders>
            <w:shd w:val="clear" w:color="auto" w:fill="auto"/>
          </w:tcPr>
          <w:p w:rsidR="00D06A2F" w:rsidRPr="00E8065F" w:rsidRDefault="00D06A2F" w:rsidP="00CD3A6F">
            <w:pPr>
              <w:spacing w:line="235" w:lineRule="auto"/>
              <w:jc w:val="center"/>
              <w:rPr>
                <w:color w:val="000000"/>
                <w:sz w:val="20"/>
                <w:szCs w:val="20"/>
              </w:rPr>
            </w:pPr>
            <w:r w:rsidRPr="00E8065F">
              <w:rPr>
                <w:color w:val="000000"/>
                <w:sz w:val="20"/>
                <w:szCs w:val="20"/>
              </w:rPr>
              <w:t>2</w:t>
            </w:r>
          </w:p>
        </w:tc>
        <w:tc>
          <w:tcPr>
            <w:tcW w:w="1478" w:type="dxa"/>
            <w:tcBorders>
              <w:top w:val="single" w:sz="4" w:space="0" w:color="auto"/>
              <w:left w:val="single" w:sz="4" w:space="0" w:color="auto"/>
              <w:bottom w:val="single" w:sz="4" w:space="0" w:color="auto"/>
              <w:right w:val="single" w:sz="4" w:space="0" w:color="auto"/>
            </w:tcBorders>
            <w:shd w:val="clear" w:color="auto" w:fill="auto"/>
          </w:tcPr>
          <w:p w:rsidR="00D06A2F" w:rsidRPr="00E8065F" w:rsidRDefault="00D06A2F" w:rsidP="00CD3A6F">
            <w:pPr>
              <w:spacing w:line="235" w:lineRule="auto"/>
              <w:jc w:val="center"/>
              <w:rPr>
                <w:color w:val="000000"/>
                <w:sz w:val="20"/>
                <w:szCs w:val="20"/>
              </w:rPr>
            </w:pPr>
            <w:r w:rsidRPr="00E8065F">
              <w:rPr>
                <w:color w:val="000000"/>
                <w:sz w:val="20"/>
                <w:szCs w:val="20"/>
              </w:rPr>
              <w:t>6,2</w:t>
            </w:r>
          </w:p>
        </w:tc>
        <w:tc>
          <w:tcPr>
            <w:tcW w:w="1111" w:type="dxa"/>
            <w:tcBorders>
              <w:top w:val="single" w:sz="4" w:space="0" w:color="auto"/>
              <w:left w:val="single" w:sz="4" w:space="0" w:color="auto"/>
              <w:bottom w:val="single" w:sz="4" w:space="0" w:color="auto"/>
              <w:right w:val="single" w:sz="4" w:space="0" w:color="auto"/>
            </w:tcBorders>
            <w:shd w:val="clear" w:color="auto" w:fill="auto"/>
          </w:tcPr>
          <w:p w:rsidR="00D06A2F" w:rsidRPr="00E8065F" w:rsidRDefault="00D06A2F" w:rsidP="00CD3A6F">
            <w:pPr>
              <w:spacing w:line="235" w:lineRule="auto"/>
              <w:jc w:val="center"/>
              <w:rPr>
                <w:color w:val="000000"/>
                <w:sz w:val="20"/>
                <w:szCs w:val="20"/>
              </w:rPr>
            </w:pPr>
            <w:r w:rsidRPr="00E8065F">
              <w:rPr>
                <w:color w:val="000000"/>
                <w:sz w:val="20"/>
                <w:szCs w:val="20"/>
              </w:rPr>
              <w:t>1</w:t>
            </w:r>
          </w:p>
        </w:tc>
        <w:tc>
          <w:tcPr>
            <w:tcW w:w="1944" w:type="dxa"/>
            <w:tcBorders>
              <w:top w:val="single" w:sz="4" w:space="0" w:color="auto"/>
              <w:left w:val="single" w:sz="4" w:space="0" w:color="auto"/>
              <w:bottom w:val="single" w:sz="4" w:space="0" w:color="auto"/>
              <w:right w:val="single" w:sz="4" w:space="0" w:color="auto"/>
            </w:tcBorders>
            <w:shd w:val="clear" w:color="auto" w:fill="auto"/>
          </w:tcPr>
          <w:p w:rsidR="00D06A2F" w:rsidRPr="00E8065F" w:rsidRDefault="00D06A2F" w:rsidP="00CD3A6F">
            <w:pPr>
              <w:spacing w:line="235" w:lineRule="auto"/>
              <w:jc w:val="center"/>
              <w:rPr>
                <w:color w:val="000000"/>
                <w:sz w:val="20"/>
                <w:szCs w:val="20"/>
              </w:rPr>
            </w:pPr>
            <w:r w:rsidRPr="00E8065F">
              <w:rPr>
                <w:color w:val="000000"/>
                <w:sz w:val="20"/>
                <w:szCs w:val="20"/>
              </w:rPr>
              <w:t>Амбулаторное</w:t>
            </w:r>
          </w:p>
        </w:tc>
      </w:tr>
      <w:tr w:rsidR="00D06A2F" w:rsidRPr="00E8065F" w:rsidTr="00CD3A6F">
        <w:trPr>
          <w:trHeight w:val="20"/>
        </w:trPr>
        <w:tc>
          <w:tcPr>
            <w:tcW w:w="1555" w:type="dxa"/>
            <w:vMerge/>
            <w:tcBorders>
              <w:left w:val="single" w:sz="4" w:space="0" w:color="auto"/>
              <w:right w:val="single" w:sz="4" w:space="0" w:color="auto"/>
            </w:tcBorders>
          </w:tcPr>
          <w:p w:rsidR="00D06A2F" w:rsidRPr="00E8065F" w:rsidRDefault="00D06A2F" w:rsidP="00BA1432">
            <w:pPr>
              <w:rPr>
                <w:sz w:val="20"/>
                <w:szCs w:val="20"/>
              </w:rPr>
            </w:pPr>
          </w:p>
        </w:tc>
        <w:tc>
          <w:tcPr>
            <w:tcW w:w="3685" w:type="dxa"/>
            <w:tcBorders>
              <w:top w:val="nil"/>
              <w:left w:val="single" w:sz="4" w:space="0" w:color="auto"/>
              <w:bottom w:val="single" w:sz="4" w:space="0" w:color="auto"/>
              <w:right w:val="single" w:sz="4" w:space="0" w:color="auto"/>
            </w:tcBorders>
            <w:shd w:val="clear" w:color="auto" w:fill="auto"/>
          </w:tcPr>
          <w:p w:rsidR="00D06A2F" w:rsidRPr="00E8065F" w:rsidRDefault="00D06A2F" w:rsidP="00CD3A6F">
            <w:pPr>
              <w:spacing w:line="235" w:lineRule="auto"/>
              <w:jc w:val="both"/>
              <w:rPr>
                <w:color w:val="000000"/>
                <w:sz w:val="20"/>
                <w:szCs w:val="20"/>
              </w:rPr>
            </w:pPr>
            <w:r w:rsidRPr="00E8065F">
              <w:rPr>
                <w:color w:val="000000"/>
                <w:sz w:val="20"/>
                <w:szCs w:val="20"/>
              </w:rPr>
              <w:t xml:space="preserve">ГАУЗ </w:t>
            </w:r>
            <w:r>
              <w:rPr>
                <w:color w:val="000000"/>
                <w:sz w:val="20"/>
                <w:szCs w:val="20"/>
              </w:rPr>
              <w:t>«</w:t>
            </w:r>
            <w:r w:rsidRPr="00E8065F">
              <w:rPr>
                <w:color w:val="000000"/>
                <w:sz w:val="20"/>
                <w:szCs w:val="20"/>
              </w:rPr>
              <w:t>Городская поликлиника №</w:t>
            </w:r>
            <w:r>
              <w:rPr>
                <w:color w:val="000000"/>
                <w:sz w:val="20"/>
                <w:szCs w:val="20"/>
              </w:rPr>
              <w:t xml:space="preserve"> </w:t>
            </w:r>
            <w:r w:rsidRPr="00E8065F">
              <w:rPr>
                <w:color w:val="000000"/>
                <w:sz w:val="20"/>
                <w:szCs w:val="20"/>
              </w:rPr>
              <w:t>7</w:t>
            </w:r>
            <w:r>
              <w:rPr>
                <w:color w:val="000000"/>
                <w:sz w:val="20"/>
                <w:szCs w:val="20"/>
              </w:rPr>
              <w:t>»</w:t>
            </w:r>
            <w:r w:rsidRPr="00E8065F">
              <w:rPr>
                <w:color w:val="000000"/>
                <w:sz w:val="20"/>
                <w:szCs w:val="20"/>
              </w:rPr>
              <w:t xml:space="preserve"> </w:t>
            </w:r>
            <w:r>
              <w:rPr>
                <w:color w:val="000000"/>
                <w:sz w:val="20"/>
                <w:szCs w:val="20"/>
              </w:rPr>
              <w:t>г.</w:t>
            </w:r>
            <w:r w:rsidRPr="00E8065F">
              <w:rPr>
                <w:color w:val="000000"/>
                <w:sz w:val="20"/>
                <w:szCs w:val="20"/>
              </w:rPr>
              <w:t>Набережные Челны</w:t>
            </w:r>
          </w:p>
        </w:tc>
        <w:tc>
          <w:tcPr>
            <w:tcW w:w="1994" w:type="dxa"/>
            <w:tcBorders>
              <w:top w:val="nil"/>
              <w:left w:val="single" w:sz="4" w:space="0" w:color="auto"/>
              <w:bottom w:val="single" w:sz="4" w:space="0" w:color="auto"/>
              <w:right w:val="single" w:sz="4" w:space="0" w:color="auto"/>
            </w:tcBorders>
            <w:shd w:val="clear" w:color="auto" w:fill="auto"/>
          </w:tcPr>
          <w:p w:rsidR="00D06A2F" w:rsidRPr="00E8065F" w:rsidRDefault="00D06A2F" w:rsidP="00CD3A6F">
            <w:pPr>
              <w:spacing w:line="235" w:lineRule="auto"/>
              <w:jc w:val="center"/>
              <w:rPr>
                <w:color w:val="000000"/>
                <w:sz w:val="20"/>
                <w:szCs w:val="20"/>
              </w:rPr>
            </w:pPr>
            <w:r>
              <w:rPr>
                <w:rFonts w:eastAsia="Calibri"/>
                <w:sz w:val="20"/>
                <w:szCs w:val="20"/>
              </w:rPr>
              <w:t>Фиброгастродуоденоскоп</w:t>
            </w:r>
          </w:p>
        </w:tc>
        <w:tc>
          <w:tcPr>
            <w:tcW w:w="1181" w:type="dxa"/>
          </w:tcPr>
          <w:p w:rsidR="00D06A2F" w:rsidRPr="00E8065F" w:rsidRDefault="00D06A2F" w:rsidP="00CD3A6F">
            <w:pPr>
              <w:spacing w:line="235" w:lineRule="auto"/>
              <w:jc w:val="center"/>
              <w:rPr>
                <w:sz w:val="20"/>
                <w:szCs w:val="20"/>
              </w:rPr>
            </w:pPr>
            <w:r w:rsidRPr="00E8065F">
              <w:rPr>
                <w:sz w:val="20"/>
                <w:szCs w:val="20"/>
              </w:rPr>
              <w:t>2016</w:t>
            </w:r>
          </w:p>
        </w:tc>
        <w:tc>
          <w:tcPr>
            <w:tcW w:w="1181" w:type="dxa"/>
            <w:tcBorders>
              <w:top w:val="nil"/>
              <w:left w:val="single" w:sz="4" w:space="0" w:color="auto"/>
              <w:bottom w:val="single" w:sz="4" w:space="0" w:color="auto"/>
              <w:right w:val="single" w:sz="4" w:space="0" w:color="auto"/>
            </w:tcBorders>
            <w:shd w:val="clear" w:color="auto" w:fill="auto"/>
          </w:tcPr>
          <w:p w:rsidR="00D06A2F" w:rsidRPr="00E8065F" w:rsidRDefault="00D06A2F" w:rsidP="00CD3A6F">
            <w:pPr>
              <w:spacing w:line="235" w:lineRule="auto"/>
              <w:jc w:val="center"/>
              <w:rPr>
                <w:color w:val="000000"/>
                <w:sz w:val="20"/>
                <w:szCs w:val="20"/>
              </w:rPr>
            </w:pPr>
            <w:r w:rsidRPr="00E8065F">
              <w:rPr>
                <w:color w:val="000000"/>
                <w:sz w:val="20"/>
                <w:szCs w:val="20"/>
              </w:rPr>
              <w:t>1</w:t>
            </w:r>
          </w:p>
        </w:tc>
        <w:tc>
          <w:tcPr>
            <w:tcW w:w="1478" w:type="dxa"/>
            <w:tcBorders>
              <w:top w:val="nil"/>
              <w:left w:val="single" w:sz="4" w:space="0" w:color="auto"/>
              <w:bottom w:val="single" w:sz="4" w:space="0" w:color="auto"/>
              <w:right w:val="single" w:sz="4" w:space="0" w:color="auto"/>
            </w:tcBorders>
            <w:shd w:val="clear" w:color="auto" w:fill="auto"/>
          </w:tcPr>
          <w:p w:rsidR="00D06A2F" w:rsidRPr="00E8065F" w:rsidRDefault="00D06A2F" w:rsidP="00CD3A6F">
            <w:pPr>
              <w:spacing w:line="235" w:lineRule="auto"/>
              <w:jc w:val="center"/>
              <w:rPr>
                <w:color w:val="000000"/>
                <w:sz w:val="20"/>
                <w:szCs w:val="20"/>
              </w:rPr>
            </w:pPr>
            <w:r w:rsidRPr="00E8065F">
              <w:rPr>
                <w:color w:val="000000"/>
                <w:sz w:val="20"/>
                <w:szCs w:val="20"/>
              </w:rPr>
              <w:t>8,0</w:t>
            </w:r>
          </w:p>
        </w:tc>
        <w:tc>
          <w:tcPr>
            <w:tcW w:w="1111" w:type="dxa"/>
            <w:tcBorders>
              <w:top w:val="nil"/>
              <w:left w:val="single" w:sz="4" w:space="0" w:color="auto"/>
              <w:bottom w:val="single" w:sz="4" w:space="0" w:color="auto"/>
              <w:right w:val="single" w:sz="4" w:space="0" w:color="auto"/>
            </w:tcBorders>
            <w:shd w:val="clear" w:color="auto" w:fill="auto"/>
          </w:tcPr>
          <w:p w:rsidR="00D06A2F" w:rsidRPr="00E8065F" w:rsidRDefault="00D06A2F" w:rsidP="00CD3A6F">
            <w:pPr>
              <w:spacing w:line="235" w:lineRule="auto"/>
              <w:jc w:val="center"/>
              <w:rPr>
                <w:color w:val="000000"/>
                <w:sz w:val="20"/>
                <w:szCs w:val="20"/>
              </w:rPr>
            </w:pPr>
            <w:r w:rsidRPr="00E8065F">
              <w:rPr>
                <w:color w:val="000000"/>
                <w:sz w:val="20"/>
                <w:szCs w:val="20"/>
              </w:rPr>
              <w:t>2</w:t>
            </w:r>
          </w:p>
        </w:tc>
        <w:tc>
          <w:tcPr>
            <w:tcW w:w="1944" w:type="dxa"/>
            <w:tcBorders>
              <w:top w:val="nil"/>
              <w:left w:val="single" w:sz="4" w:space="0" w:color="auto"/>
              <w:bottom w:val="single" w:sz="4" w:space="0" w:color="auto"/>
              <w:right w:val="single" w:sz="4" w:space="0" w:color="auto"/>
            </w:tcBorders>
            <w:shd w:val="clear" w:color="auto" w:fill="auto"/>
          </w:tcPr>
          <w:p w:rsidR="00D06A2F" w:rsidRPr="00E8065F" w:rsidRDefault="00D06A2F" w:rsidP="00CD3A6F">
            <w:pPr>
              <w:spacing w:line="235" w:lineRule="auto"/>
              <w:jc w:val="center"/>
              <w:rPr>
                <w:color w:val="000000"/>
                <w:sz w:val="20"/>
                <w:szCs w:val="20"/>
              </w:rPr>
            </w:pPr>
            <w:r w:rsidRPr="00E8065F">
              <w:rPr>
                <w:color w:val="000000"/>
                <w:sz w:val="20"/>
                <w:szCs w:val="20"/>
              </w:rPr>
              <w:t>Амбулаторное</w:t>
            </w:r>
          </w:p>
        </w:tc>
      </w:tr>
      <w:tr w:rsidR="00D06A2F" w:rsidRPr="00E8065F" w:rsidTr="00CD3A6F">
        <w:trPr>
          <w:trHeight w:val="20"/>
        </w:trPr>
        <w:tc>
          <w:tcPr>
            <w:tcW w:w="1555" w:type="dxa"/>
            <w:vMerge/>
            <w:tcBorders>
              <w:left w:val="single" w:sz="4" w:space="0" w:color="auto"/>
              <w:right w:val="single" w:sz="4" w:space="0" w:color="auto"/>
            </w:tcBorders>
          </w:tcPr>
          <w:p w:rsidR="00D06A2F" w:rsidRPr="00E8065F" w:rsidRDefault="00D06A2F" w:rsidP="00BA1432">
            <w:pPr>
              <w:rPr>
                <w:sz w:val="20"/>
                <w:szCs w:val="20"/>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D06A2F" w:rsidRPr="00E8065F" w:rsidRDefault="00D06A2F" w:rsidP="00CD3A6F">
            <w:pPr>
              <w:spacing w:line="235" w:lineRule="auto"/>
              <w:jc w:val="both"/>
              <w:rPr>
                <w:color w:val="000000"/>
                <w:sz w:val="20"/>
                <w:szCs w:val="20"/>
              </w:rPr>
            </w:pPr>
            <w:r w:rsidRPr="00E8065F">
              <w:rPr>
                <w:color w:val="000000"/>
                <w:sz w:val="20"/>
                <w:szCs w:val="20"/>
              </w:rPr>
              <w:t xml:space="preserve">ГАУЗ </w:t>
            </w:r>
            <w:r>
              <w:rPr>
                <w:color w:val="000000"/>
                <w:sz w:val="20"/>
                <w:szCs w:val="20"/>
              </w:rPr>
              <w:t>«</w:t>
            </w:r>
            <w:r w:rsidRPr="00E8065F">
              <w:rPr>
                <w:color w:val="000000"/>
                <w:sz w:val="20"/>
                <w:szCs w:val="20"/>
              </w:rPr>
              <w:t>Городская клиническая больница №</w:t>
            </w:r>
            <w:r>
              <w:rPr>
                <w:color w:val="000000"/>
                <w:sz w:val="20"/>
                <w:szCs w:val="20"/>
              </w:rPr>
              <w:t xml:space="preserve"> </w:t>
            </w:r>
            <w:r w:rsidRPr="00E8065F">
              <w:rPr>
                <w:color w:val="000000"/>
                <w:sz w:val="20"/>
                <w:szCs w:val="20"/>
              </w:rPr>
              <w:t>12</w:t>
            </w:r>
            <w:r>
              <w:rPr>
                <w:color w:val="000000"/>
                <w:sz w:val="20"/>
                <w:szCs w:val="20"/>
              </w:rPr>
              <w:t>» г.Казани</w:t>
            </w:r>
          </w:p>
        </w:tc>
        <w:tc>
          <w:tcPr>
            <w:tcW w:w="1994" w:type="dxa"/>
            <w:tcBorders>
              <w:top w:val="single" w:sz="4" w:space="0" w:color="auto"/>
              <w:left w:val="single" w:sz="4" w:space="0" w:color="auto"/>
              <w:bottom w:val="single" w:sz="4" w:space="0" w:color="auto"/>
              <w:right w:val="single" w:sz="4" w:space="0" w:color="auto"/>
            </w:tcBorders>
            <w:shd w:val="clear" w:color="auto" w:fill="auto"/>
          </w:tcPr>
          <w:p w:rsidR="00D06A2F" w:rsidRPr="00E8065F" w:rsidRDefault="00D06A2F" w:rsidP="00CD3A6F">
            <w:pPr>
              <w:spacing w:line="235" w:lineRule="auto"/>
              <w:jc w:val="center"/>
              <w:rPr>
                <w:color w:val="000000"/>
                <w:sz w:val="20"/>
                <w:szCs w:val="20"/>
              </w:rPr>
            </w:pPr>
            <w:r>
              <w:rPr>
                <w:rFonts w:eastAsia="Calibri"/>
                <w:sz w:val="20"/>
                <w:szCs w:val="20"/>
              </w:rPr>
              <w:t>Фиброгастродуоденоскоп</w:t>
            </w:r>
          </w:p>
        </w:tc>
        <w:tc>
          <w:tcPr>
            <w:tcW w:w="1181" w:type="dxa"/>
            <w:tcBorders>
              <w:top w:val="single" w:sz="4" w:space="0" w:color="auto"/>
              <w:left w:val="single" w:sz="4" w:space="0" w:color="auto"/>
              <w:bottom w:val="single" w:sz="4" w:space="0" w:color="auto"/>
              <w:right w:val="single" w:sz="4" w:space="0" w:color="auto"/>
            </w:tcBorders>
          </w:tcPr>
          <w:p w:rsidR="00D06A2F" w:rsidRPr="00E8065F" w:rsidRDefault="00D06A2F" w:rsidP="00CD3A6F">
            <w:pPr>
              <w:spacing w:line="235" w:lineRule="auto"/>
              <w:jc w:val="center"/>
              <w:rPr>
                <w:sz w:val="20"/>
                <w:szCs w:val="20"/>
              </w:rPr>
            </w:pPr>
            <w:r w:rsidRPr="00E8065F">
              <w:rPr>
                <w:sz w:val="20"/>
                <w:szCs w:val="20"/>
              </w:rPr>
              <w:t>2016</w:t>
            </w:r>
            <w:r w:rsidR="003D79B3">
              <w:rPr>
                <w:sz w:val="20"/>
                <w:szCs w:val="20"/>
              </w:rPr>
              <w:t xml:space="preserve"> </w:t>
            </w:r>
            <w:r w:rsidR="005D7240">
              <w:rPr>
                <w:sz w:val="20"/>
                <w:szCs w:val="20"/>
              </w:rPr>
              <w:t>(6)</w:t>
            </w:r>
          </w:p>
          <w:p w:rsidR="00D06A2F" w:rsidRPr="00E8065F" w:rsidRDefault="00D06A2F" w:rsidP="00CD3A6F">
            <w:pPr>
              <w:spacing w:line="235" w:lineRule="auto"/>
              <w:jc w:val="center"/>
              <w:rPr>
                <w:sz w:val="20"/>
                <w:szCs w:val="20"/>
              </w:rPr>
            </w:pPr>
            <w:r w:rsidRPr="00E8065F">
              <w:rPr>
                <w:sz w:val="20"/>
                <w:szCs w:val="20"/>
              </w:rPr>
              <w:t>2022</w:t>
            </w:r>
            <w:r w:rsidR="003D79B3">
              <w:rPr>
                <w:sz w:val="20"/>
                <w:szCs w:val="20"/>
              </w:rPr>
              <w:t xml:space="preserve"> </w:t>
            </w:r>
            <w:r w:rsidR="005D7240">
              <w:rPr>
                <w:sz w:val="20"/>
                <w:szCs w:val="20"/>
              </w:rPr>
              <w:t>(1)</w:t>
            </w:r>
          </w:p>
        </w:tc>
        <w:tc>
          <w:tcPr>
            <w:tcW w:w="1181" w:type="dxa"/>
            <w:tcBorders>
              <w:top w:val="single" w:sz="4" w:space="0" w:color="auto"/>
              <w:left w:val="single" w:sz="4" w:space="0" w:color="auto"/>
              <w:bottom w:val="single" w:sz="4" w:space="0" w:color="auto"/>
              <w:right w:val="single" w:sz="4" w:space="0" w:color="auto"/>
            </w:tcBorders>
            <w:shd w:val="clear" w:color="auto" w:fill="auto"/>
          </w:tcPr>
          <w:p w:rsidR="00D06A2F" w:rsidRPr="00E8065F" w:rsidRDefault="00D06A2F" w:rsidP="00CD3A6F">
            <w:pPr>
              <w:spacing w:line="235" w:lineRule="auto"/>
              <w:jc w:val="center"/>
              <w:rPr>
                <w:color w:val="000000"/>
                <w:sz w:val="20"/>
                <w:szCs w:val="20"/>
              </w:rPr>
            </w:pPr>
            <w:r w:rsidRPr="00E8065F">
              <w:rPr>
                <w:color w:val="000000"/>
                <w:sz w:val="20"/>
                <w:szCs w:val="20"/>
              </w:rPr>
              <w:t>7</w:t>
            </w:r>
          </w:p>
        </w:tc>
        <w:tc>
          <w:tcPr>
            <w:tcW w:w="1478" w:type="dxa"/>
            <w:tcBorders>
              <w:top w:val="single" w:sz="4" w:space="0" w:color="auto"/>
              <w:left w:val="single" w:sz="4" w:space="0" w:color="auto"/>
              <w:bottom w:val="single" w:sz="4" w:space="0" w:color="auto"/>
              <w:right w:val="single" w:sz="4" w:space="0" w:color="auto"/>
            </w:tcBorders>
            <w:shd w:val="clear" w:color="auto" w:fill="auto"/>
          </w:tcPr>
          <w:p w:rsidR="00D06A2F" w:rsidRPr="00E8065F" w:rsidRDefault="00D06A2F" w:rsidP="00CD3A6F">
            <w:pPr>
              <w:spacing w:line="235" w:lineRule="auto"/>
              <w:jc w:val="center"/>
              <w:rPr>
                <w:color w:val="000000"/>
                <w:sz w:val="20"/>
                <w:szCs w:val="20"/>
              </w:rPr>
            </w:pPr>
            <w:r w:rsidRPr="00E8065F">
              <w:rPr>
                <w:color w:val="000000"/>
                <w:sz w:val="20"/>
                <w:szCs w:val="20"/>
              </w:rPr>
              <w:t>9,7</w:t>
            </w:r>
          </w:p>
        </w:tc>
        <w:tc>
          <w:tcPr>
            <w:tcW w:w="1111" w:type="dxa"/>
            <w:tcBorders>
              <w:top w:val="single" w:sz="4" w:space="0" w:color="auto"/>
              <w:left w:val="single" w:sz="4" w:space="0" w:color="auto"/>
              <w:bottom w:val="single" w:sz="4" w:space="0" w:color="auto"/>
              <w:right w:val="single" w:sz="4" w:space="0" w:color="auto"/>
            </w:tcBorders>
            <w:shd w:val="clear" w:color="auto" w:fill="auto"/>
          </w:tcPr>
          <w:p w:rsidR="00D06A2F" w:rsidRPr="00E8065F" w:rsidRDefault="00D06A2F" w:rsidP="00CD3A6F">
            <w:pPr>
              <w:spacing w:line="235" w:lineRule="auto"/>
              <w:jc w:val="center"/>
              <w:rPr>
                <w:color w:val="000000"/>
                <w:sz w:val="20"/>
                <w:szCs w:val="20"/>
              </w:rPr>
            </w:pPr>
            <w:r w:rsidRPr="00E8065F">
              <w:rPr>
                <w:color w:val="000000"/>
                <w:sz w:val="20"/>
                <w:szCs w:val="20"/>
              </w:rPr>
              <w:t>2</w:t>
            </w:r>
          </w:p>
        </w:tc>
        <w:tc>
          <w:tcPr>
            <w:tcW w:w="1944" w:type="dxa"/>
            <w:tcBorders>
              <w:top w:val="single" w:sz="4" w:space="0" w:color="auto"/>
              <w:left w:val="single" w:sz="4" w:space="0" w:color="auto"/>
              <w:bottom w:val="single" w:sz="4" w:space="0" w:color="auto"/>
              <w:right w:val="single" w:sz="4" w:space="0" w:color="auto"/>
            </w:tcBorders>
            <w:shd w:val="clear" w:color="auto" w:fill="auto"/>
          </w:tcPr>
          <w:p w:rsidR="00D06A2F" w:rsidRPr="00E8065F" w:rsidRDefault="00D06A2F" w:rsidP="00CD3A6F">
            <w:pPr>
              <w:spacing w:line="235" w:lineRule="auto"/>
              <w:jc w:val="center"/>
              <w:rPr>
                <w:color w:val="000000"/>
                <w:sz w:val="20"/>
                <w:szCs w:val="20"/>
              </w:rPr>
            </w:pPr>
            <w:r w:rsidRPr="00E8065F">
              <w:rPr>
                <w:color w:val="000000"/>
                <w:sz w:val="20"/>
                <w:szCs w:val="20"/>
              </w:rPr>
              <w:t>Стационарное</w:t>
            </w:r>
          </w:p>
        </w:tc>
      </w:tr>
      <w:tr w:rsidR="00D06A2F" w:rsidRPr="00E8065F" w:rsidTr="00CD3A6F">
        <w:trPr>
          <w:trHeight w:val="20"/>
        </w:trPr>
        <w:tc>
          <w:tcPr>
            <w:tcW w:w="1555" w:type="dxa"/>
            <w:vMerge/>
            <w:tcBorders>
              <w:left w:val="single" w:sz="4" w:space="0" w:color="auto"/>
              <w:right w:val="single" w:sz="4" w:space="0" w:color="auto"/>
            </w:tcBorders>
          </w:tcPr>
          <w:p w:rsidR="00D06A2F" w:rsidRPr="00E8065F" w:rsidRDefault="00D06A2F" w:rsidP="00BA1432">
            <w:pPr>
              <w:rPr>
                <w:sz w:val="20"/>
                <w:szCs w:val="20"/>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D06A2F" w:rsidRPr="00E8065F" w:rsidRDefault="00D06A2F" w:rsidP="00CD3A6F">
            <w:pPr>
              <w:spacing w:line="235" w:lineRule="auto"/>
              <w:jc w:val="both"/>
              <w:rPr>
                <w:color w:val="000000"/>
                <w:sz w:val="20"/>
                <w:szCs w:val="20"/>
              </w:rPr>
            </w:pPr>
            <w:r w:rsidRPr="00E8065F">
              <w:rPr>
                <w:color w:val="000000"/>
                <w:sz w:val="20"/>
                <w:szCs w:val="20"/>
              </w:rPr>
              <w:t>Г</w:t>
            </w:r>
            <w:r>
              <w:rPr>
                <w:color w:val="000000"/>
                <w:sz w:val="20"/>
                <w:szCs w:val="20"/>
              </w:rPr>
              <w:t>АУЗ «Городская больница № 11» г.Казани</w:t>
            </w:r>
          </w:p>
        </w:tc>
        <w:tc>
          <w:tcPr>
            <w:tcW w:w="1994" w:type="dxa"/>
            <w:tcBorders>
              <w:top w:val="single" w:sz="4" w:space="0" w:color="auto"/>
              <w:left w:val="single" w:sz="4" w:space="0" w:color="auto"/>
              <w:bottom w:val="single" w:sz="4" w:space="0" w:color="auto"/>
              <w:right w:val="single" w:sz="4" w:space="0" w:color="auto"/>
            </w:tcBorders>
            <w:shd w:val="clear" w:color="auto" w:fill="auto"/>
          </w:tcPr>
          <w:p w:rsidR="00D06A2F" w:rsidRPr="00E8065F" w:rsidRDefault="00D06A2F" w:rsidP="00CD3A6F">
            <w:pPr>
              <w:spacing w:line="235" w:lineRule="auto"/>
              <w:jc w:val="center"/>
              <w:rPr>
                <w:color w:val="000000"/>
                <w:sz w:val="20"/>
                <w:szCs w:val="20"/>
              </w:rPr>
            </w:pPr>
            <w:r>
              <w:rPr>
                <w:rFonts w:eastAsia="Calibri"/>
                <w:sz w:val="20"/>
                <w:szCs w:val="20"/>
              </w:rPr>
              <w:t>Фиброгастродуоденоскоп</w:t>
            </w:r>
          </w:p>
        </w:tc>
        <w:tc>
          <w:tcPr>
            <w:tcW w:w="1181" w:type="dxa"/>
            <w:tcBorders>
              <w:top w:val="single" w:sz="4" w:space="0" w:color="auto"/>
            </w:tcBorders>
          </w:tcPr>
          <w:p w:rsidR="00D06A2F" w:rsidRPr="00E8065F" w:rsidRDefault="00D06A2F" w:rsidP="00CD3A6F">
            <w:pPr>
              <w:spacing w:line="235" w:lineRule="auto"/>
              <w:jc w:val="center"/>
              <w:rPr>
                <w:sz w:val="20"/>
                <w:szCs w:val="20"/>
              </w:rPr>
            </w:pPr>
            <w:r w:rsidRPr="00E8065F">
              <w:rPr>
                <w:sz w:val="20"/>
                <w:szCs w:val="20"/>
              </w:rPr>
              <w:t>2016</w:t>
            </w:r>
            <w:r w:rsidR="003D79B3">
              <w:rPr>
                <w:sz w:val="20"/>
                <w:szCs w:val="20"/>
              </w:rPr>
              <w:t xml:space="preserve"> </w:t>
            </w:r>
            <w:r w:rsidR="005D7240">
              <w:rPr>
                <w:sz w:val="20"/>
                <w:szCs w:val="20"/>
              </w:rPr>
              <w:t>(1)</w:t>
            </w:r>
          </w:p>
          <w:p w:rsidR="00D06A2F" w:rsidRPr="00E8065F" w:rsidRDefault="00D06A2F" w:rsidP="00CD3A6F">
            <w:pPr>
              <w:spacing w:line="235" w:lineRule="auto"/>
              <w:jc w:val="center"/>
              <w:rPr>
                <w:sz w:val="20"/>
                <w:szCs w:val="20"/>
              </w:rPr>
            </w:pPr>
            <w:r w:rsidRPr="00E8065F">
              <w:rPr>
                <w:sz w:val="20"/>
                <w:szCs w:val="20"/>
              </w:rPr>
              <w:t>2018</w:t>
            </w:r>
            <w:r w:rsidR="003D79B3">
              <w:rPr>
                <w:sz w:val="20"/>
                <w:szCs w:val="20"/>
              </w:rPr>
              <w:t xml:space="preserve"> </w:t>
            </w:r>
            <w:r w:rsidR="005D7240">
              <w:rPr>
                <w:sz w:val="20"/>
                <w:szCs w:val="20"/>
              </w:rPr>
              <w:t>(1)</w:t>
            </w:r>
          </w:p>
        </w:tc>
        <w:tc>
          <w:tcPr>
            <w:tcW w:w="1181" w:type="dxa"/>
            <w:tcBorders>
              <w:top w:val="single" w:sz="4" w:space="0" w:color="auto"/>
              <w:left w:val="single" w:sz="4" w:space="0" w:color="auto"/>
              <w:bottom w:val="single" w:sz="4" w:space="0" w:color="auto"/>
              <w:right w:val="single" w:sz="4" w:space="0" w:color="auto"/>
            </w:tcBorders>
            <w:shd w:val="clear" w:color="auto" w:fill="auto"/>
          </w:tcPr>
          <w:p w:rsidR="00D06A2F" w:rsidRPr="00E8065F" w:rsidRDefault="00D06A2F" w:rsidP="00CD3A6F">
            <w:pPr>
              <w:spacing w:line="235" w:lineRule="auto"/>
              <w:jc w:val="center"/>
              <w:rPr>
                <w:color w:val="000000"/>
                <w:sz w:val="20"/>
                <w:szCs w:val="20"/>
              </w:rPr>
            </w:pPr>
            <w:r w:rsidRPr="00E8065F">
              <w:rPr>
                <w:color w:val="000000"/>
                <w:sz w:val="20"/>
                <w:szCs w:val="20"/>
              </w:rPr>
              <w:t>2</w:t>
            </w:r>
          </w:p>
        </w:tc>
        <w:tc>
          <w:tcPr>
            <w:tcW w:w="1478" w:type="dxa"/>
            <w:tcBorders>
              <w:top w:val="single" w:sz="4" w:space="0" w:color="auto"/>
              <w:left w:val="single" w:sz="4" w:space="0" w:color="auto"/>
              <w:bottom w:val="single" w:sz="4" w:space="0" w:color="auto"/>
              <w:right w:val="single" w:sz="4" w:space="0" w:color="auto"/>
            </w:tcBorders>
            <w:shd w:val="clear" w:color="auto" w:fill="auto"/>
          </w:tcPr>
          <w:p w:rsidR="00D06A2F" w:rsidRPr="00E8065F" w:rsidRDefault="00D06A2F" w:rsidP="00CD3A6F">
            <w:pPr>
              <w:spacing w:line="235" w:lineRule="auto"/>
              <w:jc w:val="center"/>
              <w:rPr>
                <w:color w:val="000000"/>
                <w:sz w:val="20"/>
                <w:szCs w:val="20"/>
              </w:rPr>
            </w:pPr>
            <w:r w:rsidRPr="00E8065F">
              <w:rPr>
                <w:color w:val="000000"/>
                <w:sz w:val="20"/>
                <w:szCs w:val="20"/>
              </w:rPr>
              <w:t>6,5</w:t>
            </w:r>
          </w:p>
        </w:tc>
        <w:tc>
          <w:tcPr>
            <w:tcW w:w="1111" w:type="dxa"/>
            <w:tcBorders>
              <w:top w:val="single" w:sz="4" w:space="0" w:color="auto"/>
              <w:left w:val="single" w:sz="4" w:space="0" w:color="auto"/>
              <w:bottom w:val="single" w:sz="4" w:space="0" w:color="auto"/>
              <w:right w:val="single" w:sz="4" w:space="0" w:color="auto"/>
            </w:tcBorders>
            <w:shd w:val="clear" w:color="auto" w:fill="auto"/>
          </w:tcPr>
          <w:p w:rsidR="00D06A2F" w:rsidRPr="00E8065F" w:rsidRDefault="00D06A2F" w:rsidP="00CD3A6F">
            <w:pPr>
              <w:spacing w:line="235" w:lineRule="auto"/>
              <w:jc w:val="center"/>
              <w:rPr>
                <w:color w:val="000000"/>
                <w:sz w:val="20"/>
                <w:szCs w:val="20"/>
              </w:rPr>
            </w:pPr>
            <w:r w:rsidRPr="00E8065F">
              <w:rPr>
                <w:color w:val="000000"/>
                <w:sz w:val="20"/>
                <w:szCs w:val="20"/>
              </w:rPr>
              <w:t>1</w:t>
            </w:r>
          </w:p>
        </w:tc>
        <w:tc>
          <w:tcPr>
            <w:tcW w:w="1944" w:type="dxa"/>
            <w:tcBorders>
              <w:top w:val="single" w:sz="4" w:space="0" w:color="auto"/>
              <w:left w:val="single" w:sz="4" w:space="0" w:color="auto"/>
              <w:bottom w:val="single" w:sz="4" w:space="0" w:color="auto"/>
              <w:right w:val="single" w:sz="4" w:space="0" w:color="auto"/>
            </w:tcBorders>
            <w:shd w:val="clear" w:color="auto" w:fill="auto"/>
          </w:tcPr>
          <w:p w:rsidR="00D06A2F" w:rsidRPr="00E8065F" w:rsidRDefault="00D06A2F" w:rsidP="00CD3A6F">
            <w:pPr>
              <w:spacing w:line="235" w:lineRule="auto"/>
              <w:jc w:val="center"/>
              <w:rPr>
                <w:color w:val="000000"/>
                <w:sz w:val="20"/>
                <w:szCs w:val="20"/>
              </w:rPr>
            </w:pPr>
            <w:r w:rsidRPr="00E8065F">
              <w:rPr>
                <w:color w:val="000000"/>
                <w:sz w:val="20"/>
                <w:szCs w:val="20"/>
              </w:rPr>
              <w:t>Амбулаторное</w:t>
            </w:r>
          </w:p>
        </w:tc>
      </w:tr>
      <w:tr w:rsidR="00D06A2F" w:rsidRPr="00E8065F" w:rsidTr="00CD3A6F">
        <w:trPr>
          <w:trHeight w:val="20"/>
        </w:trPr>
        <w:tc>
          <w:tcPr>
            <w:tcW w:w="1555" w:type="dxa"/>
            <w:vMerge/>
            <w:tcBorders>
              <w:left w:val="single" w:sz="4" w:space="0" w:color="auto"/>
              <w:right w:val="single" w:sz="4" w:space="0" w:color="auto"/>
            </w:tcBorders>
          </w:tcPr>
          <w:p w:rsidR="00D06A2F" w:rsidRPr="00E8065F" w:rsidRDefault="00D06A2F" w:rsidP="00BA1432">
            <w:pPr>
              <w:rPr>
                <w:sz w:val="20"/>
                <w:szCs w:val="20"/>
              </w:rPr>
            </w:pPr>
          </w:p>
        </w:tc>
        <w:tc>
          <w:tcPr>
            <w:tcW w:w="3685" w:type="dxa"/>
            <w:tcBorders>
              <w:top w:val="nil"/>
              <w:left w:val="single" w:sz="4" w:space="0" w:color="auto"/>
              <w:bottom w:val="single" w:sz="4" w:space="0" w:color="auto"/>
              <w:right w:val="single" w:sz="4" w:space="0" w:color="auto"/>
            </w:tcBorders>
            <w:shd w:val="clear" w:color="auto" w:fill="auto"/>
          </w:tcPr>
          <w:p w:rsidR="00D06A2F" w:rsidRPr="00E8065F" w:rsidRDefault="00D06A2F" w:rsidP="00CD3A6F">
            <w:pPr>
              <w:spacing w:line="235" w:lineRule="auto"/>
              <w:jc w:val="both"/>
              <w:rPr>
                <w:color w:val="000000"/>
                <w:sz w:val="20"/>
                <w:szCs w:val="20"/>
              </w:rPr>
            </w:pPr>
            <w:r w:rsidRPr="00E8065F">
              <w:rPr>
                <w:color w:val="000000"/>
                <w:sz w:val="20"/>
                <w:szCs w:val="20"/>
              </w:rPr>
              <w:t xml:space="preserve">ГАУЗ </w:t>
            </w:r>
            <w:r>
              <w:rPr>
                <w:color w:val="000000"/>
                <w:sz w:val="20"/>
                <w:szCs w:val="20"/>
              </w:rPr>
              <w:t>«</w:t>
            </w:r>
            <w:r w:rsidRPr="00E8065F">
              <w:rPr>
                <w:color w:val="000000"/>
                <w:sz w:val="20"/>
                <w:szCs w:val="20"/>
              </w:rPr>
              <w:t>Городская клиническая больница №</w:t>
            </w:r>
            <w:r>
              <w:rPr>
                <w:color w:val="000000"/>
                <w:sz w:val="20"/>
                <w:szCs w:val="20"/>
              </w:rPr>
              <w:t xml:space="preserve"> </w:t>
            </w:r>
            <w:r w:rsidRPr="00E8065F">
              <w:rPr>
                <w:color w:val="000000"/>
                <w:sz w:val="20"/>
                <w:szCs w:val="20"/>
              </w:rPr>
              <w:t>16</w:t>
            </w:r>
            <w:r>
              <w:rPr>
                <w:color w:val="000000"/>
                <w:sz w:val="20"/>
                <w:szCs w:val="20"/>
              </w:rPr>
              <w:t>»</w:t>
            </w:r>
            <w:r w:rsidR="009C7AAF">
              <w:rPr>
                <w:color w:val="000000"/>
                <w:sz w:val="20"/>
                <w:szCs w:val="20"/>
              </w:rPr>
              <w:t xml:space="preserve"> г.Казани</w:t>
            </w:r>
          </w:p>
        </w:tc>
        <w:tc>
          <w:tcPr>
            <w:tcW w:w="1994" w:type="dxa"/>
            <w:tcBorders>
              <w:top w:val="nil"/>
              <w:left w:val="single" w:sz="4" w:space="0" w:color="auto"/>
              <w:bottom w:val="single" w:sz="4" w:space="0" w:color="auto"/>
              <w:right w:val="single" w:sz="4" w:space="0" w:color="auto"/>
            </w:tcBorders>
            <w:shd w:val="clear" w:color="auto" w:fill="auto"/>
          </w:tcPr>
          <w:p w:rsidR="00D06A2F" w:rsidRPr="00E8065F" w:rsidRDefault="00D06A2F" w:rsidP="00CD3A6F">
            <w:pPr>
              <w:spacing w:line="235" w:lineRule="auto"/>
              <w:jc w:val="center"/>
              <w:rPr>
                <w:color w:val="000000"/>
                <w:sz w:val="20"/>
                <w:szCs w:val="20"/>
              </w:rPr>
            </w:pPr>
            <w:r>
              <w:rPr>
                <w:rFonts w:eastAsia="Calibri"/>
                <w:sz w:val="20"/>
                <w:szCs w:val="20"/>
              </w:rPr>
              <w:t>Фиброгастродуоденоскоп</w:t>
            </w:r>
          </w:p>
        </w:tc>
        <w:tc>
          <w:tcPr>
            <w:tcW w:w="1181" w:type="dxa"/>
            <w:tcBorders>
              <w:bottom w:val="single" w:sz="4" w:space="0" w:color="auto"/>
            </w:tcBorders>
          </w:tcPr>
          <w:p w:rsidR="00D06A2F" w:rsidRPr="005D7240" w:rsidRDefault="00D06A2F" w:rsidP="00CD3A6F">
            <w:pPr>
              <w:spacing w:line="235" w:lineRule="auto"/>
              <w:jc w:val="center"/>
              <w:rPr>
                <w:sz w:val="20"/>
                <w:szCs w:val="20"/>
                <w:lang w:val="en-US"/>
              </w:rPr>
            </w:pPr>
            <w:r w:rsidRPr="00E8065F">
              <w:rPr>
                <w:sz w:val="20"/>
                <w:szCs w:val="20"/>
              </w:rPr>
              <w:t>2016</w:t>
            </w:r>
            <w:r w:rsidR="003D79B3">
              <w:rPr>
                <w:sz w:val="20"/>
                <w:szCs w:val="20"/>
              </w:rPr>
              <w:t xml:space="preserve"> </w:t>
            </w:r>
            <w:r w:rsidR="005D7240">
              <w:rPr>
                <w:sz w:val="20"/>
                <w:szCs w:val="20"/>
              </w:rPr>
              <w:t>(2</w:t>
            </w:r>
            <w:r w:rsidR="005D7240">
              <w:rPr>
                <w:sz w:val="20"/>
                <w:szCs w:val="20"/>
                <w:lang w:val="en-US"/>
              </w:rPr>
              <w:t>)</w:t>
            </w:r>
          </w:p>
          <w:p w:rsidR="00D06A2F" w:rsidRPr="005D7240" w:rsidRDefault="00D06A2F" w:rsidP="00CD3A6F">
            <w:pPr>
              <w:spacing w:line="235" w:lineRule="auto"/>
              <w:jc w:val="center"/>
              <w:rPr>
                <w:sz w:val="20"/>
                <w:szCs w:val="20"/>
                <w:lang w:val="en-US"/>
              </w:rPr>
            </w:pPr>
            <w:r w:rsidRPr="00E8065F">
              <w:rPr>
                <w:sz w:val="20"/>
                <w:szCs w:val="20"/>
              </w:rPr>
              <w:t>2018</w:t>
            </w:r>
            <w:r w:rsidR="003D79B3">
              <w:rPr>
                <w:sz w:val="20"/>
                <w:szCs w:val="20"/>
              </w:rPr>
              <w:t xml:space="preserve"> </w:t>
            </w:r>
            <w:r w:rsidR="005D7240">
              <w:rPr>
                <w:sz w:val="20"/>
                <w:szCs w:val="20"/>
                <w:lang w:val="en-US"/>
              </w:rPr>
              <w:t>(3)</w:t>
            </w:r>
          </w:p>
        </w:tc>
        <w:tc>
          <w:tcPr>
            <w:tcW w:w="1181" w:type="dxa"/>
            <w:tcBorders>
              <w:top w:val="nil"/>
              <w:left w:val="single" w:sz="4" w:space="0" w:color="auto"/>
              <w:bottom w:val="single" w:sz="4" w:space="0" w:color="auto"/>
              <w:right w:val="single" w:sz="4" w:space="0" w:color="auto"/>
            </w:tcBorders>
            <w:shd w:val="clear" w:color="auto" w:fill="auto"/>
          </w:tcPr>
          <w:p w:rsidR="00D06A2F" w:rsidRPr="00E8065F" w:rsidRDefault="00D06A2F" w:rsidP="00CD3A6F">
            <w:pPr>
              <w:spacing w:line="235" w:lineRule="auto"/>
              <w:jc w:val="center"/>
              <w:rPr>
                <w:color w:val="000000"/>
                <w:sz w:val="20"/>
                <w:szCs w:val="20"/>
              </w:rPr>
            </w:pPr>
            <w:r w:rsidRPr="00E8065F">
              <w:rPr>
                <w:color w:val="000000"/>
                <w:sz w:val="20"/>
                <w:szCs w:val="20"/>
              </w:rPr>
              <w:t>5</w:t>
            </w:r>
          </w:p>
        </w:tc>
        <w:tc>
          <w:tcPr>
            <w:tcW w:w="1478" w:type="dxa"/>
            <w:tcBorders>
              <w:top w:val="nil"/>
              <w:left w:val="single" w:sz="4" w:space="0" w:color="auto"/>
              <w:bottom w:val="single" w:sz="4" w:space="0" w:color="auto"/>
              <w:right w:val="single" w:sz="4" w:space="0" w:color="auto"/>
            </w:tcBorders>
            <w:shd w:val="clear" w:color="auto" w:fill="auto"/>
          </w:tcPr>
          <w:p w:rsidR="00D06A2F" w:rsidRPr="00E8065F" w:rsidRDefault="00D06A2F" w:rsidP="00CD3A6F">
            <w:pPr>
              <w:spacing w:line="235" w:lineRule="auto"/>
              <w:jc w:val="center"/>
              <w:rPr>
                <w:color w:val="000000"/>
                <w:sz w:val="20"/>
                <w:szCs w:val="20"/>
              </w:rPr>
            </w:pPr>
            <w:r w:rsidRPr="00E8065F">
              <w:rPr>
                <w:color w:val="000000"/>
                <w:sz w:val="20"/>
                <w:szCs w:val="20"/>
              </w:rPr>
              <w:t>11,1</w:t>
            </w:r>
          </w:p>
        </w:tc>
        <w:tc>
          <w:tcPr>
            <w:tcW w:w="1111" w:type="dxa"/>
            <w:tcBorders>
              <w:top w:val="nil"/>
              <w:left w:val="single" w:sz="4" w:space="0" w:color="auto"/>
              <w:bottom w:val="single" w:sz="4" w:space="0" w:color="auto"/>
              <w:right w:val="single" w:sz="4" w:space="0" w:color="auto"/>
            </w:tcBorders>
            <w:shd w:val="clear" w:color="auto" w:fill="auto"/>
          </w:tcPr>
          <w:p w:rsidR="00D06A2F" w:rsidRPr="00E8065F" w:rsidRDefault="00D06A2F" w:rsidP="00CD3A6F">
            <w:pPr>
              <w:spacing w:line="235" w:lineRule="auto"/>
              <w:jc w:val="center"/>
              <w:rPr>
                <w:color w:val="000000"/>
                <w:sz w:val="20"/>
                <w:szCs w:val="20"/>
              </w:rPr>
            </w:pPr>
            <w:r w:rsidRPr="00E8065F">
              <w:rPr>
                <w:color w:val="000000"/>
                <w:sz w:val="20"/>
                <w:szCs w:val="20"/>
              </w:rPr>
              <w:t>1</w:t>
            </w:r>
          </w:p>
        </w:tc>
        <w:tc>
          <w:tcPr>
            <w:tcW w:w="1944" w:type="dxa"/>
            <w:tcBorders>
              <w:top w:val="nil"/>
              <w:left w:val="single" w:sz="4" w:space="0" w:color="auto"/>
              <w:bottom w:val="single" w:sz="4" w:space="0" w:color="auto"/>
              <w:right w:val="single" w:sz="4" w:space="0" w:color="auto"/>
            </w:tcBorders>
            <w:shd w:val="clear" w:color="auto" w:fill="auto"/>
          </w:tcPr>
          <w:p w:rsidR="00D06A2F" w:rsidRPr="00E8065F" w:rsidRDefault="00D06A2F" w:rsidP="00CD3A6F">
            <w:pPr>
              <w:spacing w:line="235" w:lineRule="auto"/>
              <w:jc w:val="center"/>
              <w:rPr>
                <w:color w:val="000000"/>
                <w:sz w:val="20"/>
                <w:szCs w:val="20"/>
              </w:rPr>
            </w:pPr>
            <w:r w:rsidRPr="00E8065F">
              <w:rPr>
                <w:color w:val="000000"/>
                <w:sz w:val="20"/>
                <w:szCs w:val="20"/>
              </w:rPr>
              <w:t>Амбулаторное</w:t>
            </w:r>
          </w:p>
        </w:tc>
      </w:tr>
      <w:tr w:rsidR="00D06A2F" w:rsidRPr="00E8065F" w:rsidTr="00CD3A6F">
        <w:trPr>
          <w:trHeight w:val="20"/>
        </w:trPr>
        <w:tc>
          <w:tcPr>
            <w:tcW w:w="1555" w:type="dxa"/>
            <w:vMerge/>
            <w:tcBorders>
              <w:left w:val="single" w:sz="4" w:space="0" w:color="auto"/>
              <w:right w:val="single" w:sz="4" w:space="0" w:color="auto"/>
            </w:tcBorders>
          </w:tcPr>
          <w:p w:rsidR="00D06A2F" w:rsidRPr="00E8065F" w:rsidRDefault="00D06A2F" w:rsidP="00BA1432">
            <w:pPr>
              <w:rPr>
                <w:sz w:val="20"/>
                <w:szCs w:val="20"/>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D06A2F" w:rsidRPr="00E8065F" w:rsidRDefault="00D06A2F" w:rsidP="00CD3A6F">
            <w:pPr>
              <w:spacing w:line="235" w:lineRule="auto"/>
              <w:jc w:val="both"/>
              <w:rPr>
                <w:color w:val="000000"/>
                <w:sz w:val="20"/>
                <w:szCs w:val="20"/>
              </w:rPr>
            </w:pPr>
            <w:r>
              <w:rPr>
                <w:color w:val="000000"/>
                <w:sz w:val="20"/>
                <w:szCs w:val="20"/>
              </w:rPr>
              <w:t>ГАУЗ «Центральная городская клиническая больница № 18 им.проф.К.Ш.Зыятдинова» г.Казани</w:t>
            </w:r>
          </w:p>
        </w:tc>
        <w:tc>
          <w:tcPr>
            <w:tcW w:w="1994" w:type="dxa"/>
            <w:tcBorders>
              <w:top w:val="single" w:sz="4" w:space="0" w:color="auto"/>
              <w:left w:val="single" w:sz="4" w:space="0" w:color="auto"/>
              <w:bottom w:val="single" w:sz="4" w:space="0" w:color="auto"/>
              <w:right w:val="single" w:sz="4" w:space="0" w:color="auto"/>
            </w:tcBorders>
            <w:shd w:val="clear" w:color="auto" w:fill="auto"/>
          </w:tcPr>
          <w:p w:rsidR="00D06A2F" w:rsidRPr="00E8065F" w:rsidRDefault="00D06A2F" w:rsidP="00CD3A6F">
            <w:pPr>
              <w:spacing w:line="235" w:lineRule="auto"/>
              <w:jc w:val="center"/>
              <w:rPr>
                <w:color w:val="000000"/>
                <w:sz w:val="20"/>
                <w:szCs w:val="20"/>
              </w:rPr>
            </w:pPr>
            <w:r>
              <w:rPr>
                <w:rFonts w:eastAsia="Calibri"/>
                <w:sz w:val="20"/>
                <w:szCs w:val="20"/>
              </w:rPr>
              <w:t>Фиброгастродуоденоскоп</w:t>
            </w:r>
          </w:p>
        </w:tc>
        <w:tc>
          <w:tcPr>
            <w:tcW w:w="1181" w:type="dxa"/>
            <w:tcBorders>
              <w:top w:val="single" w:sz="4" w:space="0" w:color="auto"/>
            </w:tcBorders>
          </w:tcPr>
          <w:p w:rsidR="00D06A2F" w:rsidRPr="005D7240" w:rsidRDefault="00D06A2F" w:rsidP="00CD3A6F">
            <w:pPr>
              <w:spacing w:line="235" w:lineRule="auto"/>
              <w:jc w:val="center"/>
              <w:rPr>
                <w:sz w:val="20"/>
                <w:szCs w:val="20"/>
                <w:lang w:val="en-US"/>
              </w:rPr>
            </w:pPr>
            <w:r w:rsidRPr="00E8065F">
              <w:rPr>
                <w:sz w:val="20"/>
                <w:szCs w:val="20"/>
              </w:rPr>
              <w:t>2018</w:t>
            </w:r>
            <w:r w:rsidR="003D79B3">
              <w:rPr>
                <w:sz w:val="20"/>
                <w:szCs w:val="20"/>
              </w:rPr>
              <w:t xml:space="preserve"> </w:t>
            </w:r>
            <w:r w:rsidR="005D7240">
              <w:rPr>
                <w:sz w:val="20"/>
                <w:szCs w:val="20"/>
                <w:lang w:val="en-US"/>
              </w:rPr>
              <w:t>(2)</w:t>
            </w:r>
          </w:p>
          <w:p w:rsidR="00D06A2F" w:rsidRPr="005D7240" w:rsidRDefault="00D06A2F" w:rsidP="00CD3A6F">
            <w:pPr>
              <w:spacing w:line="235" w:lineRule="auto"/>
              <w:jc w:val="center"/>
              <w:rPr>
                <w:sz w:val="20"/>
                <w:szCs w:val="20"/>
                <w:lang w:val="en-US"/>
              </w:rPr>
            </w:pPr>
            <w:r w:rsidRPr="00E8065F">
              <w:rPr>
                <w:sz w:val="20"/>
                <w:szCs w:val="20"/>
              </w:rPr>
              <w:t>2019</w:t>
            </w:r>
            <w:r w:rsidR="003D79B3">
              <w:rPr>
                <w:sz w:val="20"/>
                <w:szCs w:val="20"/>
              </w:rPr>
              <w:t xml:space="preserve"> </w:t>
            </w:r>
            <w:r w:rsidR="005D7240">
              <w:rPr>
                <w:sz w:val="20"/>
                <w:szCs w:val="20"/>
                <w:lang w:val="en-US"/>
              </w:rPr>
              <w:t>(2)</w:t>
            </w:r>
          </w:p>
          <w:p w:rsidR="00D06A2F" w:rsidRPr="005D7240" w:rsidRDefault="00D06A2F" w:rsidP="00CD3A6F">
            <w:pPr>
              <w:spacing w:line="235" w:lineRule="auto"/>
              <w:jc w:val="center"/>
              <w:rPr>
                <w:sz w:val="20"/>
                <w:szCs w:val="20"/>
                <w:lang w:val="en-US"/>
              </w:rPr>
            </w:pPr>
            <w:r w:rsidRPr="00E8065F">
              <w:rPr>
                <w:sz w:val="20"/>
                <w:szCs w:val="20"/>
              </w:rPr>
              <w:t>2022</w:t>
            </w:r>
            <w:r w:rsidR="003D79B3">
              <w:rPr>
                <w:sz w:val="20"/>
                <w:szCs w:val="20"/>
              </w:rPr>
              <w:t xml:space="preserve"> </w:t>
            </w:r>
            <w:r w:rsidR="005D7240">
              <w:rPr>
                <w:sz w:val="20"/>
                <w:szCs w:val="20"/>
                <w:lang w:val="en-US"/>
              </w:rPr>
              <w:t>(1)</w:t>
            </w:r>
          </w:p>
        </w:tc>
        <w:tc>
          <w:tcPr>
            <w:tcW w:w="1181" w:type="dxa"/>
            <w:tcBorders>
              <w:top w:val="single" w:sz="4" w:space="0" w:color="auto"/>
              <w:left w:val="single" w:sz="4" w:space="0" w:color="auto"/>
              <w:bottom w:val="single" w:sz="4" w:space="0" w:color="auto"/>
              <w:right w:val="single" w:sz="4" w:space="0" w:color="auto"/>
            </w:tcBorders>
            <w:shd w:val="clear" w:color="auto" w:fill="auto"/>
          </w:tcPr>
          <w:p w:rsidR="00D06A2F" w:rsidRPr="00E8065F" w:rsidRDefault="00D06A2F" w:rsidP="00CD3A6F">
            <w:pPr>
              <w:spacing w:line="235" w:lineRule="auto"/>
              <w:jc w:val="center"/>
              <w:rPr>
                <w:color w:val="000000"/>
                <w:sz w:val="20"/>
                <w:szCs w:val="20"/>
              </w:rPr>
            </w:pPr>
            <w:r w:rsidRPr="00E8065F">
              <w:rPr>
                <w:color w:val="000000"/>
                <w:sz w:val="20"/>
                <w:szCs w:val="20"/>
              </w:rPr>
              <w:t>5</w:t>
            </w:r>
          </w:p>
        </w:tc>
        <w:tc>
          <w:tcPr>
            <w:tcW w:w="1478" w:type="dxa"/>
            <w:tcBorders>
              <w:top w:val="single" w:sz="4" w:space="0" w:color="auto"/>
              <w:left w:val="single" w:sz="4" w:space="0" w:color="auto"/>
              <w:bottom w:val="single" w:sz="4" w:space="0" w:color="auto"/>
              <w:right w:val="single" w:sz="4" w:space="0" w:color="auto"/>
            </w:tcBorders>
            <w:shd w:val="clear" w:color="auto" w:fill="auto"/>
          </w:tcPr>
          <w:p w:rsidR="00D06A2F" w:rsidRPr="00E8065F" w:rsidRDefault="00D06A2F" w:rsidP="00CD3A6F">
            <w:pPr>
              <w:spacing w:line="235" w:lineRule="auto"/>
              <w:jc w:val="center"/>
              <w:rPr>
                <w:color w:val="000000"/>
                <w:sz w:val="20"/>
                <w:szCs w:val="20"/>
              </w:rPr>
            </w:pPr>
            <w:r w:rsidRPr="00E8065F">
              <w:rPr>
                <w:color w:val="000000"/>
                <w:sz w:val="20"/>
                <w:szCs w:val="20"/>
              </w:rPr>
              <w:t>22,4</w:t>
            </w:r>
          </w:p>
        </w:tc>
        <w:tc>
          <w:tcPr>
            <w:tcW w:w="1111" w:type="dxa"/>
            <w:tcBorders>
              <w:top w:val="single" w:sz="4" w:space="0" w:color="auto"/>
              <w:left w:val="single" w:sz="4" w:space="0" w:color="auto"/>
              <w:bottom w:val="single" w:sz="4" w:space="0" w:color="auto"/>
              <w:right w:val="single" w:sz="4" w:space="0" w:color="auto"/>
            </w:tcBorders>
            <w:shd w:val="clear" w:color="auto" w:fill="auto"/>
          </w:tcPr>
          <w:p w:rsidR="00D06A2F" w:rsidRPr="00E8065F" w:rsidRDefault="00D06A2F" w:rsidP="00CD3A6F">
            <w:pPr>
              <w:spacing w:line="235" w:lineRule="auto"/>
              <w:jc w:val="center"/>
              <w:rPr>
                <w:color w:val="000000"/>
                <w:sz w:val="20"/>
                <w:szCs w:val="20"/>
              </w:rPr>
            </w:pPr>
            <w:r w:rsidRPr="00E8065F">
              <w:rPr>
                <w:color w:val="000000"/>
                <w:sz w:val="20"/>
                <w:szCs w:val="20"/>
              </w:rPr>
              <w:t>1</w:t>
            </w:r>
          </w:p>
        </w:tc>
        <w:tc>
          <w:tcPr>
            <w:tcW w:w="1944" w:type="dxa"/>
            <w:tcBorders>
              <w:top w:val="single" w:sz="4" w:space="0" w:color="auto"/>
              <w:left w:val="single" w:sz="4" w:space="0" w:color="auto"/>
              <w:bottom w:val="single" w:sz="4" w:space="0" w:color="auto"/>
              <w:right w:val="single" w:sz="4" w:space="0" w:color="auto"/>
            </w:tcBorders>
            <w:shd w:val="clear" w:color="auto" w:fill="auto"/>
          </w:tcPr>
          <w:p w:rsidR="00D06A2F" w:rsidRPr="00E8065F" w:rsidRDefault="00D06A2F" w:rsidP="00CD3A6F">
            <w:pPr>
              <w:spacing w:line="235" w:lineRule="auto"/>
              <w:jc w:val="center"/>
              <w:rPr>
                <w:color w:val="000000"/>
                <w:sz w:val="20"/>
                <w:szCs w:val="20"/>
              </w:rPr>
            </w:pPr>
            <w:r w:rsidRPr="00E8065F">
              <w:rPr>
                <w:color w:val="000000"/>
                <w:sz w:val="20"/>
                <w:szCs w:val="20"/>
              </w:rPr>
              <w:t>Амбулаторное/стационарное</w:t>
            </w:r>
          </w:p>
        </w:tc>
      </w:tr>
      <w:tr w:rsidR="00D06A2F" w:rsidRPr="00E8065F" w:rsidTr="00CD3A6F">
        <w:trPr>
          <w:trHeight w:val="20"/>
        </w:trPr>
        <w:tc>
          <w:tcPr>
            <w:tcW w:w="1555" w:type="dxa"/>
            <w:vMerge/>
            <w:tcBorders>
              <w:left w:val="single" w:sz="4" w:space="0" w:color="auto"/>
              <w:right w:val="single" w:sz="4" w:space="0" w:color="auto"/>
            </w:tcBorders>
          </w:tcPr>
          <w:p w:rsidR="00D06A2F" w:rsidRPr="00E8065F" w:rsidRDefault="00D06A2F" w:rsidP="00BA1432">
            <w:pPr>
              <w:rPr>
                <w:sz w:val="20"/>
                <w:szCs w:val="20"/>
              </w:rPr>
            </w:pPr>
          </w:p>
        </w:tc>
        <w:tc>
          <w:tcPr>
            <w:tcW w:w="3685" w:type="dxa"/>
            <w:tcBorders>
              <w:top w:val="nil"/>
              <w:left w:val="single" w:sz="4" w:space="0" w:color="auto"/>
              <w:bottom w:val="single" w:sz="4" w:space="0" w:color="auto"/>
              <w:right w:val="single" w:sz="4" w:space="0" w:color="auto"/>
            </w:tcBorders>
            <w:shd w:val="clear" w:color="auto" w:fill="auto"/>
          </w:tcPr>
          <w:p w:rsidR="00D06A2F" w:rsidRPr="00E8065F" w:rsidRDefault="00D06A2F" w:rsidP="00CD3A6F">
            <w:pPr>
              <w:spacing w:line="235" w:lineRule="auto"/>
              <w:jc w:val="both"/>
              <w:rPr>
                <w:color w:val="000000"/>
                <w:sz w:val="20"/>
                <w:szCs w:val="20"/>
              </w:rPr>
            </w:pPr>
            <w:r>
              <w:rPr>
                <w:color w:val="0D0D0D" w:themeColor="text1" w:themeTint="F2"/>
                <w:sz w:val="20"/>
                <w:szCs w:val="20"/>
              </w:rPr>
              <w:t>ГАУЗ «Клиническая больница № 2» г.Казани</w:t>
            </w:r>
          </w:p>
        </w:tc>
        <w:tc>
          <w:tcPr>
            <w:tcW w:w="1994" w:type="dxa"/>
            <w:tcBorders>
              <w:top w:val="nil"/>
              <w:left w:val="single" w:sz="4" w:space="0" w:color="auto"/>
              <w:bottom w:val="single" w:sz="4" w:space="0" w:color="auto"/>
              <w:right w:val="single" w:sz="4" w:space="0" w:color="auto"/>
            </w:tcBorders>
            <w:shd w:val="clear" w:color="auto" w:fill="auto"/>
          </w:tcPr>
          <w:p w:rsidR="00D06A2F" w:rsidRPr="00E8065F" w:rsidRDefault="00D06A2F" w:rsidP="00CD3A6F">
            <w:pPr>
              <w:spacing w:line="235" w:lineRule="auto"/>
              <w:jc w:val="center"/>
              <w:rPr>
                <w:color w:val="000000"/>
                <w:sz w:val="20"/>
                <w:szCs w:val="20"/>
              </w:rPr>
            </w:pPr>
            <w:r>
              <w:rPr>
                <w:rFonts w:eastAsia="Calibri"/>
                <w:sz w:val="20"/>
                <w:szCs w:val="20"/>
              </w:rPr>
              <w:t>Фиброгастродуоденоскоп</w:t>
            </w:r>
          </w:p>
        </w:tc>
        <w:tc>
          <w:tcPr>
            <w:tcW w:w="1181" w:type="dxa"/>
          </w:tcPr>
          <w:p w:rsidR="00D06A2F" w:rsidRPr="005D7240" w:rsidRDefault="00D06A2F" w:rsidP="00CD3A6F">
            <w:pPr>
              <w:spacing w:line="235" w:lineRule="auto"/>
              <w:jc w:val="center"/>
              <w:rPr>
                <w:sz w:val="20"/>
                <w:szCs w:val="20"/>
                <w:lang w:val="en-US"/>
              </w:rPr>
            </w:pPr>
            <w:r w:rsidRPr="00E8065F">
              <w:rPr>
                <w:sz w:val="20"/>
                <w:szCs w:val="20"/>
              </w:rPr>
              <w:t>2016</w:t>
            </w:r>
            <w:r w:rsidR="003D79B3">
              <w:rPr>
                <w:sz w:val="20"/>
                <w:szCs w:val="20"/>
              </w:rPr>
              <w:t xml:space="preserve"> </w:t>
            </w:r>
            <w:r w:rsidR="005D7240">
              <w:rPr>
                <w:sz w:val="20"/>
                <w:szCs w:val="20"/>
                <w:lang w:val="en-US"/>
              </w:rPr>
              <w:t>(1)</w:t>
            </w:r>
          </w:p>
          <w:p w:rsidR="00D06A2F" w:rsidRPr="005D7240" w:rsidRDefault="00D06A2F" w:rsidP="00CD3A6F">
            <w:pPr>
              <w:spacing w:line="235" w:lineRule="auto"/>
              <w:jc w:val="center"/>
              <w:rPr>
                <w:sz w:val="20"/>
                <w:szCs w:val="20"/>
                <w:lang w:val="en-US"/>
              </w:rPr>
            </w:pPr>
            <w:r w:rsidRPr="00E8065F">
              <w:rPr>
                <w:sz w:val="20"/>
                <w:szCs w:val="20"/>
              </w:rPr>
              <w:t>2019</w:t>
            </w:r>
            <w:r w:rsidR="003D79B3">
              <w:rPr>
                <w:sz w:val="20"/>
                <w:szCs w:val="20"/>
              </w:rPr>
              <w:t xml:space="preserve"> </w:t>
            </w:r>
            <w:r w:rsidR="005D7240">
              <w:rPr>
                <w:sz w:val="20"/>
                <w:szCs w:val="20"/>
                <w:lang w:val="en-US"/>
              </w:rPr>
              <w:t>(3)</w:t>
            </w:r>
          </w:p>
          <w:p w:rsidR="00D06A2F" w:rsidRPr="005D7240" w:rsidRDefault="00D06A2F" w:rsidP="00CD3A6F">
            <w:pPr>
              <w:spacing w:line="235" w:lineRule="auto"/>
              <w:jc w:val="center"/>
              <w:rPr>
                <w:sz w:val="20"/>
                <w:szCs w:val="20"/>
                <w:lang w:val="en-US"/>
              </w:rPr>
            </w:pPr>
            <w:r w:rsidRPr="00E8065F">
              <w:rPr>
                <w:sz w:val="20"/>
                <w:szCs w:val="20"/>
              </w:rPr>
              <w:t>2022</w:t>
            </w:r>
            <w:r w:rsidR="003D79B3">
              <w:rPr>
                <w:sz w:val="20"/>
                <w:szCs w:val="20"/>
              </w:rPr>
              <w:t xml:space="preserve"> </w:t>
            </w:r>
            <w:r w:rsidR="005D7240">
              <w:rPr>
                <w:sz w:val="20"/>
                <w:szCs w:val="20"/>
                <w:lang w:val="en-US"/>
              </w:rPr>
              <w:t>(1)</w:t>
            </w:r>
          </w:p>
        </w:tc>
        <w:tc>
          <w:tcPr>
            <w:tcW w:w="1181" w:type="dxa"/>
            <w:tcBorders>
              <w:top w:val="nil"/>
              <w:left w:val="single" w:sz="4" w:space="0" w:color="auto"/>
              <w:bottom w:val="single" w:sz="4" w:space="0" w:color="auto"/>
              <w:right w:val="single" w:sz="4" w:space="0" w:color="auto"/>
            </w:tcBorders>
            <w:shd w:val="clear" w:color="auto" w:fill="auto"/>
          </w:tcPr>
          <w:p w:rsidR="00D06A2F" w:rsidRPr="00E8065F" w:rsidRDefault="00D06A2F" w:rsidP="00CD3A6F">
            <w:pPr>
              <w:spacing w:line="235" w:lineRule="auto"/>
              <w:jc w:val="center"/>
              <w:rPr>
                <w:color w:val="000000"/>
                <w:sz w:val="20"/>
                <w:szCs w:val="20"/>
              </w:rPr>
            </w:pPr>
            <w:r w:rsidRPr="00E8065F">
              <w:rPr>
                <w:color w:val="000000"/>
                <w:sz w:val="20"/>
                <w:szCs w:val="20"/>
              </w:rPr>
              <w:t>5</w:t>
            </w:r>
          </w:p>
        </w:tc>
        <w:tc>
          <w:tcPr>
            <w:tcW w:w="1478" w:type="dxa"/>
            <w:tcBorders>
              <w:top w:val="nil"/>
              <w:left w:val="single" w:sz="4" w:space="0" w:color="auto"/>
              <w:bottom w:val="single" w:sz="4" w:space="0" w:color="auto"/>
              <w:right w:val="single" w:sz="4" w:space="0" w:color="auto"/>
            </w:tcBorders>
            <w:shd w:val="clear" w:color="auto" w:fill="auto"/>
          </w:tcPr>
          <w:p w:rsidR="00D06A2F" w:rsidRPr="00E8065F" w:rsidRDefault="00D06A2F" w:rsidP="00CD3A6F">
            <w:pPr>
              <w:spacing w:line="235" w:lineRule="auto"/>
              <w:jc w:val="center"/>
              <w:rPr>
                <w:color w:val="000000"/>
                <w:sz w:val="20"/>
                <w:szCs w:val="20"/>
              </w:rPr>
            </w:pPr>
            <w:r w:rsidRPr="00E8065F">
              <w:rPr>
                <w:color w:val="000000"/>
                <w:sz w:val="20"/>
                <w:szCs w:val="20"/>
              </w:rPr>
              <w:t>14,6</w:t>
            </w:r>
          </w:p>
        </w:tc>
        <w:tc>
          <w:tcPr>
            <w:tcW w:w="1111" w:type="dxa"/>
            <w:tcBorders>
              <w:top w:val="nil"/>
              <w:left w:val="single" w:sz="4" w:space="0" w:color="auto"/>
              <w:bottom w:val="single" w:sz="4" w:space="0" w:color="auto"/>
              <w:right w:val="single" w:sz="4" w:space="0" w:color="auto"/>
            </w:tcBorders>
            <w:shd w:val="clear" w:color="auto" w:fill="auto"/>
          </w:tcPr>
          <w:p w:rsidR="00D06A2F" w:rsidRPr="00E8065F" w:rsidRDefault="00D06A2F" w:rsidP="00CD3A6F">
            <w:pPr>
              <w:spacing w:line="235" w:lineRule="auto"/>
              <w:jc w:val="center"/>
              <w:rPr>
                <w:color w:val="000000"/>
                <w:sz w:val="20"/>
                <w:szCs w:val="20"/>
              </w:rPr>
            </w:pPr>
            <w:r w:rsidRPr="00E8065F">
              <w:rPr>
                <w:color w:val="000000"/>
                <w:sz w:val="20"/>
                <w:szCs w:val="20"/>
              </w:rPr>
              <w:t>1</w:t>
            </w:r>
          </w:p>
        </w:tc>
        <w:tc>
          <w:tcPr>
            <w:tcW w:w="1944" w:type="dxa"/>
            <w:tcBorders>
              <w:top w:val="nil"/>
              <w:left w:val="single" w:sz="4" w:space="0" w:color="auto"/>
              <w:bottom w:val="single" w:sz="4" w:space="0" w:color="auto"/>
              <w:right w:val="single" w:sz="4" w:space="0" w:color="auto"/>
            </w:tcBorders>
            <w:shd w:val="clear" w:color="auto" w:fill="auto"/>
          </w:tcPr>
          <w:p w:rsidR="00D06A2F" w:rsidRPr="00E8065F" w:rsidRDefault="00D06A2F" w:rsidP="00CD3A6F">
            <w:pPr>
              <w:spacing w:line="235" w:lineRule="auto"/>
              <w:jc w:val="center"/>
              <w:rPr>
                <w:color w:val="000000"/>
                <w:sz w:val="20"/>
                <w:szCs w:val="20"/>
              </w:rPr>
            </w:pPr>
            <w:r w:rsidRPr="00E8065F">
              <w:rPr>
                <w:color w:val="000000"/>
                <w:sz w:val="20"/>
                <w:szCs w:val="20"/>
              </w:rPr>
              <w:t>Амбулаторное</w:t>
            </w:r>
          </w:p>
        </w:tc>
      </w:tr>
      <w:tr w:rsidR="00D06A2F" w:rsidRPr="00E8065F" w:rsidTr="00CD3A6F">
        <w:trPr>
          <w:trHeight w:val="20"/>
        </w:trPr>
        <w:tc>
          <w:tcPr>
            <w:tcW w:w="1555" w:type="dxa"/>
            <w:vMerge/>
            <w:tcBorders>
              <w:left w:val="single" w:sz="4" w:space="0" w:color="auto"/>
              <w:right w:val="single" w:sz="4" w:space="0" w:color="auto"/>
            </w:tcBorders>
          </w:tcPr>
          <w:p w:rsidR="00D06A2F" w:rsidRPr="00E8065F" w:rsidRDefault="00D06A2F" w:rsidP="00BA1432">
            <w:pPr>
              <w:rPr>
                <w:sz w:val="20"/>
                <w:szCs w:val="20"/>
              </w:rPr>
            </w:pPr>
          </w:p>
        </w:tc>
        <w:tc>
          <w:tcPr>
            <w:tcW w:w="3685" w:type="dxa"/>
            <w:tcBorders>
              <w:top w:val="nil"/>
              <w:left w:val="single" w:sz="4" w:space="0" w:color="auto"/>
              <w:bottom w:val="single" w:sz="4" w:space="0" w:color="auto"/>
              <w:right w:val="single" w:sz="4" w:space="0" w:color="auto"/>
            </w:tcBorders>
            <w:shd w:val="clear" w:color="auto" w:fill="auto"/>
          </w:tcPr>
          <w:p w:rsidR="00D06A2F" w:rsidRDefault="00D06A2F" w:rsidP="00DC0475">
            <w:pPr>
              <w:jc w:val="both"/>
              <w:rPr>
                <w:color w:val="000000"/>
                <w:sz w:val="20"/>
                <w:szCs w:val="20"/>
              </w:rPr>
            </w:pPr>
            <w:r>
              <w:rPr>
                <w:color w:val="000000"/>
                <w:sz w:val="20"/>
                <w:szCs w:val="20"/>
              </w:rPr>
              <w:t>ГАУЗ «Городская клиническая больница № 7 им.М.Н.Садыкова» г.Казани</w:t>
            </w:r>
          </w:p>
          <w:p w:rsidR="00D06A2F" w:rsidRPr="00E8065F" w:rsidRDefault="00D06A2F" w:rsidP="00DC0475">
            <w:pPr>
              <w:jc w:val="both"/>
              <w:rPr>
                <w:color w:val="000000"/>
                <w:sz w:val="20"/>
                <w:szCs w:val="20"/>
              </w:rPr>
            </w:pPr>
          </w:p>
        </w:tc>
        <w:tc>
          <w:tcPr>
            <w:tcW w:w="1994" w:type="dxa"/>
            <w:tcBorders>
              <w:top w:val="nil"/>
              <w:left w:val="single" w:sz="4" w:space="0" w:color="auto"/>
              <w:bottom w:val="single" w:sz="4" w:space="0" w:color="auto"/>
              <w:right w:val="single" w:sz="4" w:space="0" w:color="auto"/>
            </w:tcBorders>
            <w:shd w:val="clear" w:color="auto" w:fill="auto"/>
          </w:tcPr>
          <w:p w:rsidR="00D06A2F" w:rsidRPr="00E8065F" w:rsidRDefault="00D06A2F" w:rsidP="00BA1432">
            <w:pPr>
              <w:jc w:val="center"/>
              <w:rPr>
                <w:color w:val="000000"/>
                <w:sz w:val="20"/>
                <w:szCs w:val="20"/>
              </w:rPr>
            </w:pPr>
            <w:r>
              <w:rPr>
                <w:rFonts w:eastAsia="Calibri"/>
                <w:sz w:val="20"/>
                <w:szCs w:val="20"/>
              </w:rPr>
              <w:t>Фиброгастродуоденоскоп</w:t>
            </w:r>
          </w:p>
        </w:tc>
        <w:tc>
          <w:tcPr>
            <w:tcW w:w="1181" w:type="dxa"/>
          </w:tcPr>
          <w:p w:rsidR="00D06A2F" w:rsidRPr="005D7240" w:rsidRDefault="00D06A2F" w:rsidP="000546C2">
            <w:pPr>
              <w:jc w:val="center"/>
              <w:rPr>
                <w:sz w:val="20"/>
                <w:szCs w:val="20"/>
                <w:lang w:val="en-US"/>
              </w:rPr>
            </w:pPr>
            <w:r w:rsidRPr="00E8065F">
              <w:rPr>
                <w:sz w:val="20"/>
                <w:szCs w:val="20"/>
              </w:rPr>
              <w:t>2013</w:t>
            </w:r>
            <w:r w:rsidR="003D79B3">
              <w:rPr>
                <w:sz w:val="20"/>
                <w:szCs w:val="20"/>
              </w:rPr>
              <w:t xml:space="preserve"> </w:t>
            </w:r>
            <w:r w:rsidR="005D7240">
              <w:rPr>
                <w:sz w:val="20"/>
                <w:szCs w:val="20"/>
                <w:lang w:val="en-US"/>
              </w:rPr>
              <w:t>(16)</w:t>
            </w:r>
          </w:p>
          <w:p w:rsidR="00D06A2F" w:rsidRPr="005D7240" w:rsidRDefault="00D06A2F" w:rsidP="000546C2">
            <w:pPr>
              <w:jc w:val="center"/>
              <w:rPr>
                <w:sz w:val="20"/>
                <w:szCs w:val="20"/>
                <w:lang w:val="en-US"/>
              </w:rPr>
            </w:pPr>
            <w:r w:rsidRPr="00E8065F">
              <w:rPr>
                <w:sz w:val="20"/>
                <w:szCs w:val="20"/>
              </w:rPr>
              <w:t>2014</w:t>
            </w:r>
            <w:r w:rsidR="003D79B3">
              <w:rPr>
                <w:sz w:val="20"/>
                <w:szCs w:val="20"/>
              </w:rPr>
              <w:t xml:space="preserve"> </w:t>
            </w:r>
            <w:r w:rsidR="005D7240">
              <w:rPr>
                <w:sz w:val="20"/>
                <w:szCs w:val="20"/>
                <w:lang w:val="en-US"/>
              </w:rPr>
              <w:t>(5)</w:t>
            </w:r>
          </w:p>
          <w:p w:rsidR="00D06A2F" w:rsidRPr="005D7240" w:rsidRDefault="00D06A2F" w:rsidP="000546C2">
            <w:pPr>
              <w:jc w:val="center"/>
              <w:rPr>
                <w:sz w:val="20"/>
                <w:szCs w:val="20"/>
                <w:lang w:val="en-US"/>
              </w:rPr>
            </w:pPr>
            <w:r w:rsidRPr="00E8065F">
              <w:rPr>
                <w:sz w:val="20"/>
                <w:szCs w:val="20"/>
              </w:rPr>
              <w:t>2015</w:t>
            </w:r>
            <w:r w:rsidR="003D79B3">
              <w:rPr>
                <w:sz w:val="20"/>
                <w:szCs w:val="20"/>
              </w:rPr>
              <w:t xml:space="preserve"> </w:t>
            </w:r>
            <w:r w:rsidR="005D7240">
              <w:rPr>
                <w:sz w:val="20"/>
                <w:szCs w:val="20"/>
                <w:lang w:val="en-US"/>
              </w:rPr>
              <w:t>(1)</w:t>
            </w:r>
          </w:p>
          <w:p w:rsidR="00D06A2F" w:rsidRPr="005D7240" w:rsidRDefault="00D06A2F" w:rsidP="000546C2">
            <w:pPr>
              <w:jc w:val="center"/>
              <w:rPr>
                <w:sz w:val="20"/>
                <w:szCs w:val="20"/>
                <w:lang w:val="en-US"/>
              </w:rPr>
            </w:pPr>
            <w:r w:rsidRPr="00E8065F">
              <w:rPr>
                <w:sz w:val="20"/>
                <w:szCs w:val="20"/>
              </w:rPr>
              <w:t>2016</w:t>
            </w:r>
            <w:r w:rsidR="003D79B3">
              <w:rPr>
                <w:sz w:val="20"/>
                <w:szCs w:val="20"/>
              </w:rPr>
              <w:t xml:space="preserve"> </w:t>
            </w:r>
            <w:r w:rsidR="005D7240">
              <w:rPr>
                <w:sz w:val="20"/>
                <w:szCs w:val="20"/>
                <w:lang w:val="en-US"/>
              </w:rPr>
              <w:t>(5)</w:t>
            </w:r>
          </w:p>
          <w:p w:rsidR="00D06A2F" w:rsidRPr="005D7240" w:rsidRDefault="00D06A2F" w:rsidP="000546C2">
            <w:pPr>
              <w:jc w:val="center"/>
              <w:rPr>
                <w:sz w:val="20"/>
                <w:szCs w:val="20"/>
                <w:lang w:val="en-US"/>
              </w:rPr>
            </w:pPr>
            <w:r w:rsidRPr="00E8065F">
              <w:rPr>
                <w:sz w:val="20"/>
                <w:szCs w:val="20"/>
              </w:rPr>
              <w:t>2017</w:t>
            </w:r>
            <w:r w:rsidR="003D79B3">
              <w:rPr>
                <w:sz w:val="20"/>
                <w:szCs w:val="20"/>
              </w:rPr>
              <w:t xml:space="preserve"> </w:t>
            </w:r>
            <w:r w:rsidR="005D7240">
              <w:rPr>
                <w:sz w:val="20"/>
                <w:szCs w:val="20"/>
                <w:lang w:val="en-US"/>
              </w:rPr>
              <w:t>(5)</w:t>
            </w:r>
          </w:p>
          <w:p w:rsidR="00D06A2F" w:rsidRPr="005D7240" w:rsidRDefault="00D06A2F" w:rsidP="000546C2">
            <w:pPr>
              <w:jc w:val="center"/>
              <w:rPr>
                <w:sz w:val="20"/>
                <w:szCs w:val="20"/>
                <w:lang w:val="en-US"/>
              </w:rPr>
            </w:pPr>
            <w:r w:rsidRPr="00E8065F">
              <w:rPr>
                <w:sz w:val="20"/>
                <w:szCs w:val="20"/>
              </w:rPr>
              <w:t>2020</w:t>
            </w:r>
            <w:r w:rsidR="003D79B3">
              <w:rPr>
                <w:sz w:val="20"/>
                <w:szCs w:val="20"/>
              </w:rPr>
              <w:t xml:space="preserve"> </w:t>
            </w:r>
            <w:r w:rsidR="005D7240">
              <w:rPr>
                <w:sz w:val="20"/>
                <w:szCs w:val="20"/>
                <w:lang w:val="en-US"/>
              </w:rPr>
              <w:t>(3)</w:t>
            </w:r>
          </w:p>
          <w:p w:rsidR="00D06A2F" w:rsidRPr="005D7240" w:rsidRDefault="00D06A2F" w:rsidP="000546C2">
            <w:pPr>
              <w:jc w:val="center"/>
              <w:rPr>
                <w:sz w:val="20"/>
                <w:szCs w:val="20"/>
                <w:lang w:val="en-US"/>
              </w:rPr>
            </w:pPr>
            <w:r w:rsidRPr="00E8065F">
              <w:rPr>
                <w:sz w:val="20"/>
                <w:szCs w:val="20"/>
              </w:rPr>
              <w:t>2022</w:t>
            </w:r>
            <w:r w:rsidR="003D79B3">
              <w:rPr>
                <w:sz w:val="20"/>
                <w:szCs w:val="20"/>
              </w:rPr>
              <w:t xml:space="preserve"> </w:t>
            </w:r>
            <w:r w:rsidR="005D7240">
              <w:rPr>
                <w:sz w:val="20"/>
                <w:szCs w:val="20"/>
                <w:lang w:val="en-US"/>
              </w:rPr>
              <w:t>(2)</w:t>
            </w:r>
          </w:p>
          <w:p w:rsidR="00D06A2F" w:rsidRPr="005D7240" w:rsidRDefault="00D06A2F" w:rsidP="000546C2">
            <w:pPr>
              <w:jc w:val="center"/>
              <w:rPr>
                <w:sz w:val="20"/>
                <w:szCs w:val="20"/>
                <w:lang w:val="en-US"/>
              </w:rPr>
            </w:pPr>
            <w:r w:rsidRPr="00E8065F">
              <w:rPr>
                <w:sz w:val="20"/>
                <w:szCs w:val="20"/>
              </w:rPr>
              <w:t>2023</w:t>
            </w:r>
            <w:r w:rsidR="003D79B3">
              <w:rPr>
                <w:sz w:val="20"/>
                <w:szCs w:val="20"/>
              </w:rPr>
              <w:t xml:space="preserve"> </w:t>
            </w:r>
            <w:r w:rsidR="005D7240">
              <w:rPr>
                <w:sz w:val="20"/>
                <w:szCs w:val="20"/>
                <w:lang w:val="en-US"/>
              </w:rPr>
              <w:t>(2)</w:t>
            </w:r>
          </w:p>
        </w:tc>
        <w:tc>
          <w:tcPr>
            <w:tcW w:w="1181" w:type="dxa"/>
            <w:tcBorders>
              <w:top w:val="nil"/>
              <w:left w:val="single" w:sz="4" w:space="0" w:color="auto"/>
              <w:bottom w:val="single" w:sz="4" w:space="0" w:color="auto"/>
              <w:right w:val="single" w:sz="4" w:space="0" w:color="auto"/>
            </w:tcBorders>
            <w:shd w:val="clear" w:color="auto" w:fill="auto"/>
          </w:tcPr>
          <w:p w:rsidR="00D06A2F" w:rsidRPr="00E8065F" w:rsidRDefault="00D06A2F" w:rsidP="000546C2">
            <w:pPr>
              <w:jc w:val="center"/>
              <w:rPr>
                <w:color w:val="000000"/>
                <w:sz w:val="20"/>
                <w:szCs w:val="20"/>
              </w:rPr>
            </w:pPr>
            <w:r w:rsidRPr="00E8065F">
              <w:rPr>
                <w:color w:val="000000"/>
                <w:sz w:val="20"/>
                <w:szCs w:val="20"/>
              </w:rPr>
              <w:t>39</w:t>
            </w:r>
          </w:p>
        </w:tc>
        <w:tc>
          <w:tcPr>
            <w:tcW w:w="1478" w:type="dxa"/>
            <w:tcBorders>
              <w:top w:val="nil"/>
              <w:left w:val="single" w:sz="4" w:space="0" w:color="auto"/>
              <w:bottom w:val="single" w:sz="4" w:space="0" w:color="auto"/>
              <w:right w:val="single" w:sz="4" w:space="0" w:color="auto"/>
            </w:tcBorders>
            <w:shd w:val="clear" w:color="auto" w:fill="auto"/>
          </w:tcPr>
          <w:p w:rsidR="00D06A2F" w:rsidRPr="00E8065F" w:rsidRDefault="00D06A2F" w:rsidP="000546C2">
            <w:pPr>
              <w:jc w:val="center"/>
              <w:rPr>
                <w:color w:val="000000"/>
                <w:sz w:val="20"/>
                <w:szCs w:val="20"/>
              </w:rPr>
            </w:pPr>
            <w:r w:rsidRPr="00E8065F">
              <w:rPr>
                <w:color w:val="000000"/>
                <w:sz w:val="20"/>
                <w:szCs w:val="20"/>
              </w:rPr>
              <w:t>104,6</w:t>
            </w:r>
          </w:p>
        </w:tc>
        <w:tc>
          <w:tcPr>
            <w:tcW w:w="1111" w:type="dxa"/>
            <w:tcBorders>
              <w:top w:val="nil"/>
              <w:left w:val="single" w:sz="4" w:space="0" w:color="auto"/>
              <w:bottom w:val="single" w:sz="4" w:space="0" w:color="auto"/>
              <w:right w:val="single" w:sz="4" w:space="0" w:color="auto"/>
            </w:tcBorders>
            <w:shd w:val="clear" w:color="auto" w:fill="auto"/>
          </w:tcPr>
          <w:p w:rsidR="00D06A2F" w:rsidRPr="00E8065F" w:rsidRDefault="00D06A2F" w:rsidP="000546C2">
            <w:pPr>
              <w:jc w:val="center"/>
              <w:rPr>
                <w:color w:val="000000"/>
                <w:sz w:val="20"/>
                <w:szCs w:val="20"/>
              </w:rPr>
            </w:pPr>
            <w:r w:rsidRPr="00E8065F">
              <w:rPr>
                <w:color w:val="000000"/>
                <w:sz w:val="20"/>
                <w:szCs w:val="20"/>
              </w:rPr>
              <w:t>1</w:t>
            </w:r>
          </w:p>
        </w:tc>
        <w:tc>
          <w:tcPr>
            <w:tcW w:w="1944" w:type="dxa"/>
            <w:tcBorders>
              <w:top w:val="nil"/>
              <w:left w:val="single" w:sz="4" w:space="0" w:color="auto"/>
              <w:bottom w:val="single" w:sz="4" w:space="0" w:color="auto"/>
              <w:right w:val="single" w:sz="4" w:space="0" w:color="auto"/>
            </w:tcBorders>
            <w:shd w:val="clear" w:color="auto" w:fill="auto"/>
          </w:tcPr>
          <w:p w:rsidR="00D06A2F" w:rsidRPr="00E8065F" w:rsidRDefault="00D06A2F" w:rsidP="00BA1432">
            <w:pPr>
              <w:jc w:val="center"/>
              <w:rPr>
                <w:color w:val="000000"/>
                <w:sz w:val="20"/>
                <w:szCs w:val="20"/>
              </w:rPr>
            </w:pPr>
            <w:r w:rsidRPr="00E8065F">
              <w:rPr>
                <w:color w:val="000000"/>
                <w:sz w:val="20"/>
                <w:szCs w:val="20"/>
              </w:rPr>
              <w:t>Амбулаторное/стационарное</w:t>
            </w:r>
          </w:p>
        </w:tc>
      </w:tr>
      <w:tr w:rsidR="00D06A2F" w:rsidRPr="00E8065F" w:rsidTr="00CD3A6F">
        <w:trPr>
          <w:trHeight w:val="20"/>
        </w:trPr>
        <w:tc>
          <w:tcPr>
            <w:tcW w:w="1555" w:type="dxa"/>
            <w:vMerge/>
            <w:tcBorders>
              <w:left w:val="single" w:sz="4" w:space="0" w:color="auto"/>
              <w:right w:val="single" w:sz="4" w:space="0" w:color="auto"/>
            </w:tcBorders>
          </w:tcPr>
          <w:p w:rsidR="00D06A2F" w:rsidRPr="00E8065F" w:rsidRDefault="00D06A2F" w:rsidP="00BA1432">
            <w:pPr>
              <w:rPr>
                <w:sz w:val="20"/>
                <w:szCs w:val="20"/>
              </w:rPr>
            </w:pPr>
          </w:p>
        </w:tc>
        <w:tc>
          <w:tcPr>
            <w:tcW w:w="3685" w:type="dxa"/>
            <w:tcBorders>
              <w:top w:val="nil"/>
              <w:left w:val="single" w:sz="4" w:space="0" w:color="auto"/>
              <w:bottom w:val="single" w:sz="4" w:space="0" w:color="auto"/>
              <w:right w:val="single" w:sz="4" w:space="0" w:color="auto"/>
            </w:tcBorders>
            <w:shd w:val="clear" w:color="auto" w:fill="auto"/>
          </w:tcPr>
          <w:p w:rsidR="00D06A2F" w:rsidRPr="00E8065F" w:rsidRDefault="00D06A2F" w:rsidP="00D5127A">
            <w:pPr>
              <w:jc w:val="both"/>
              <w:rPr>
                <w:color w:val="000000"/>
                <w:sz w:val="20"/>
                <w:szCs w:val="20"/>
              </w:rPr>
            </w:pPr>
            <w:r w:rsidRPr="00E8065F">
              <w:rPr>
                <w:color w:val="000000"/>
                <w:sz w:val="20"/>
                <w:szCs w:val="20"/>
              </w:rPr>
              <w:t xml:space="preserve">ГАУЗ </w:t>
            </w:r>
            <w:r>
              <w:rPr>
                <w:color w:val="000000"/>
                <w:sz w:val="20"/>
                <w:szCs w:val="20"/>
              </w:rPr>
              <w:t>«</w:t>
            </w:r>
            <w:r w:rsidRPr="00E8065F">
              <w:rPr>
                <w:color w:val="000000"/>
                <w:sz w:val="20"/>
                <w:szCs w:val="20"/>
              </w:rPr>
              <w:t>Городская поликлиника №</w:t>
            </w:r>
            <w:r>
              <w:rPr>
                <w:color w:val="000000"/>
                <w:sz w:val="20"/>
                <w:szCs w:val="20"/>
              </w:rPr>
              <w:t xml:space="preserve"> </w:t>
            </w:r>
            <w:r w:rsidRPr="00E8065F">
              <w:rPr>
                <w:color w:val="000000"/>
                <w:sz w:val="20"/>
                <w:szCs w:val="20"/>
              </w:rPr>
              <w:t>10</w:t>
            </w:r>
            <w:r>
              <w:rPr>
                <w:color w:val="000000"/>
                <w:sz w:val="20"/>
                <w:szCs w:val="20"/>
              </w:rPr>
              <w:t>»</w:t>
            </w:r>
            <w:r w:rsidRPr="00E8065F">
              <w:rPr>
                <w:color w:val="000000"/>
                <w:sz w:val="20"/>
                <w:szCs w:val="20"/>
              </w:rPr>
              <w:t xml:space="preserve"> г.Казан</w:t>
            </w:r>
            <w:r>
              <w:rPr>
                <w:color w:val="000000"/>
                <w:sz w:val="20"/>
                <w:szCs w:val="20"/>
              </w:rPr>
              <w:t>и</w:t>
            </w:r>
          </w:p>
        </w:tc>
        <w:tc>
          <w:tcPr>
            <w:tcW w:w="1994" w:type="dxa"/>
            <w:tcBorders>
              <w:top w:val="nil"/>
              <w:left w:val="single" w:sz="4" w:space="0" w:color="auto"/>
              <w:bottom w:val="single" w:sz="4" w:space="0" w:color="auto"/>
              <w:right w:val="single" w:sz="4" w:space="0" w:color="auto"/>
            </w:tcBorders>
            <w:shd w:val="clear" w:color="auto" w:fill="auto"/>
          </w:tcPr>
          <w:p w:rsidR="00D06A2F" w:rsidRPr="00E8065F" w:rsidRDefault="00D06A2F" w:rsidP="00BA1432">
            <w:pPr>
              <w:jc w:val="center"/>
              <w:rPr>
                <w:color w:val="000000"/>
                <w:sz w:val="20"/>
                <w:szCs w:val="20"/>
              </w:rPr>
            </w:pPr>
            <w:r>
              <w:rPr>
                <w:rFonts w:eastAsia="Calibri"/>
                <w:sz w:val="20"/>
                <w:szCs w:val="20"/>
              </w:rPr>
              <w:t>Фиброгастродуоденоскоп</w:t>
            </w:r>
          </w:p>
        </w:tc>
        <w:tc>
          <w:tcPr>
            <w:tcW w:w="1181" w:type="dxa"/>
          </w:tcPr>
          <w:p w:rsidR="00D06A2F" w:rsidRPr="005D7240" w:rsidRDefault="00D06A2F" w:rsidP="000546C2">
            <w:pPr>
              <w:jc w:val="center"/>
              <w:rPr>
                <w:sz w:val="20"/>
                <w:szCs w:val="20"/>
                <w:lang w:val="en-US"/>
              </w:rPr>
            </w:pPr>
            <w:r w:rsidRPr="00E8065F">
              <w:rPr>
                <w:sz w:val="20"/>
                <w:szCs w:val="20"/>
              </w:rPr>
              <w:t>2016</w:t>
            </w:r>
            <w:r w:rsidR="003D79B3">
              <w:rPr>
                <w:sz w:val="20"/>
                <w:szCs w:val="20"/>
              </w:rPr>
              <w:t xml:space="preserve"> </w:t>
            </w:r>
            <w:r w:rsidR="005D7240">
              <w:rPr>
                <w:sz w:val="20"/>
                <w:szCs w:val="20"/>
                <w:lang w:val="en-US"/>
              </w:rPr>
              <w:t>(2)</w:t>
            </w:r>
          </w:p>
          <w:p w:rsidR="00D06A2F" w:rsidRPr="005D7240" w:rsidRDefault="00D06A2F" w:rsidP="000546C2">
            <w:pPr>
              <w:jc w:val="center"/>
              <w:rPr>
                <w:sz w:val="20"/>
                <w:szCs w:val="20"/>
                <w:lang w:val="en-US"/>
              </w:rPr>
            </w:pPr>
            <w:r w:rsidRPr="00E8065F">
              <w:rPr>
                <w:sz w:val="20"/>
                <w:szCs w:val="20"/>
              </w:rPr>
              <w:t>2017</w:t>
            </w:r>
            <w:r w:rsidR="003D79B3">
              <w:rPr>
                <w:sz w:val="20"/>
                <w:szCs w:val="20"/>
              </w:rPr>
              <w:t xml:space="preserve"> </w:t>
            </w:r>
            <w:r w:rsidR="005D7240">
              <w:rPr>
                <w:sz w:val="20"/>
                <w:szCs w:val="20"/>
                <w:lang w:val="en-US"/>
              </w:rPr>
              <w:t>(1)</w:t>
            </w:r>
          </w:p>
          <w:p w:rsidR="00D06A2F" w:rsidRPr="005D7240" w:rsidRDefault="00D06A2F" w:rsidP="000546C2">
            <w:pPr>
              <w:jc w:val="center"/>
              <w:rPr>
                <w:sz w:val="20"/>
                <w:szCs w:val="20"/>
                <w:lang w:val="en-US"/>
              </w:rPr>
            </w:pPr>
            <w:r w:rsidRPr="00E8065F">
              <w:rPr>
                <w:sz w:val="20"/>
                <w:szCs w:val="20"/>
              </w:rPr>
              <w:t>2022</w:t>
            </w:r>
            <w:r w:rsidR="003D79B3">
              <w:rPr>
                <w:sz w:val="20"/>
                <w:szCs w:val="20"/>
              </w:rPr>
              <w:t xml:space="preserve"> </w:t>
            </w:r>
            <w:r w:rsidR="005D7240">
              <w:rPr>
                <w:sz w:val="20"/>
                <w:szCs w:val="20"/>
                <w:lang w:val="en-US"/>
              </w:rPr>
              <w:t>(2)</w:t>
            </w:r>
          </w:p>
        </w:tc>
        <w:tc>
          <w:tcPr>
            <w:tcW w:w="1181" w:type="dxa"/>
            <w:tcBorders>
              <w:top w:val="nil"/>
              <w:left w:val="single" w:sz="4" w:space="0" w:color="auto"/>
              <w:bottom w:val="single" w:sz="4" w:space="0" w:color="auto"/>
              <w:right w:val="single" w:sz="4" w:space="0" w:color="auto"/>
            </w:tcBorders>
            <w:shd w:val="clear" w:color="auto" w:fill="auto"/>
          </w:tcPr>
          <w:p w:rsidR="00D06A2F" w:rsidRPr="00E8065F" w:rsidRDefault="00D06A2F" w:rsidP="000546C2">
            <w:pPr>
              <w:jc w:val="center"/>
              <w:rPr>
                <w:color w:val="000000"/>
                <w:sz w:val="20"/>
                <w:szCs w:val="20"/>
              </w:rPr>
            </w:pPr>
            <w:r w:rsidRPr="00E8065F">
              <w:rPr>
                <w:color w:val="000000"/>
                <w:sz w:val="20"/>
                <w:szCs w:val="20"/>
              </w:rPr>
              <w:t>6</w:t>
            </w:r>
          </w:p>
        </w:tc>
        <w:tc>
          <w:tcPr>
            <w:tcW w:w="1478" w:type="dxa"/>
            <w:tcBorders>
              <w:top w:val="nil"/>
              <w:left w:val="single" w:sz="4" w:space="0" w:color="auto"/>
              <w:bottom w:val="single" w:sz="4" w:space="0" w:color="auto"/>
              <w:right w:val="single" w:sz="4" w:space="0" w:color="auto"/>
            </w:tcBorders>
            <w:shd w:val="clear" w:color="auto" w:fill="auto"/>
          </w:tcPr>
          <w:p w:rsidR="00D06A2F" w:rsidRPr="00E8065F" w:rsidRDefault="00D06A2F" w:rsidP="000546C2">
            <w:pPr>
              <w:jc w:val="center"/>
              <w:rPr>
                <w:color w:val="000000"/>
                <w:sz w:val="20"/>
                <w:szCs w:val="20"/>
              </w:rPr>
            </w:pPr>
            <w:r w:rsidRPr="00E8065F">
              <w:rPr>
                <w:color w:val="000000"/>
                <w:sz w:val="20"/>
                <w:szCs w:val="20"/>
              </w:rPr>
              <w:t>12,5</w:t>
            </w:r>
          </w:p>
        </w:tc>
        <w:tc>
          <w:tcPr>
            <w:tcW w:w="1111" w:type="dxa"/>
            <w:tcBorders>
              <w:top w:val="nil"/>
              <w:left w:val="single" w:sz="4" w:space="0" w:color="auto"/>
              <w:bottom w:val="single" w:sz="4" w:space="0" w:color="auto"/>
              <w:right w:val="single" w:sz="4" w:space="0" w:color="auto"/>
            </w:tcBorders>
            <w:shd w:val="clear" w:color="auto" w:fill="auto"/>
          </w:tcPr>
          <w:p w:rsidR="00D06A2F" w:rsidRPr="00E8065F" w:rsidRDefault="00D06A2F" w:rsidP="000546C2">
            <w:pPr>
              <w:jc w:val="center"/>
              <w:rPr>
                <w:color w:val="000000"/>
                <w:sz w:val="20"/>
                <w:szCs w:val="20"/>
              </w:rPr>
            </w:pPr>
            <w:r w:rsidRPr="00E8065F">
              <w:rPr>
                <w:color w:val="000000"/>
                <w:sz w:val="20"/>
                <w:szCs w:val="20"/>
              </w:rPr>
              <w:t>1</w:t>
            </w:r>
          </w:p>
        </w:tc>
        <w:tc>
          <w:tcPr>
            <w:tcW w:w="1944" w:type="dxa"/>
            <w:tcBorders>
              <w:top w:val="nil"/>
              <w:left w:val="single" w:sz="4" w:space="0" w:color="auto"/>
              <w:bottom w:val="single" w:sz="4" w:space="0" w:color="auto"/>
              <w:right w:val="single" w:sz="4" w:space="0" w:color="auto"/>
            </w:tcBorders>
            <w:shd w:val="clear" w:color="auto" w:fill="auto"/>
          </w:tcPr>
          <w:p w:rsidR="00D06A2F" w:rsidRPr="00E8065F" w:rsidRDefault="00D06A2F" w:rsidP="00BA1432">
            <w:pPr>
              <w:jc w:val="center"/>
              <w:rPr>
                <w:color w:val="000000"/>
                <w:sz w:val="20"/>
                <w:szCs w:val="20"/>
              </w:rPr>
            </w:pPr>
            <w:r w:rsidRPr="00E8065F">
              <w:rPr>
                <w:color w:val="000000"/>
                <w:sz w:val="20"/>
                <w:szCs w:val="20"/>
              </w:rPr>
              <w:t>Амбулаторное</w:t>
            </w:r>
          </w:p>
        </w:tc>
      </w:tr>
      <w:tr w:rsidR="00D06A2F" w:rsidRPr="00E8065F" w:rsidTr="00CD3A6F">
        <w:trPr>
          <w:trHeight w:val="20"/>
        </w:trPr>
        <w:tc>
          <w:tcPr>
            <w:tcW w:w="1555" w:type="dxa"/>
            <w:vMerge/>
            <w:tcBorders>
              <w:left w:val="single" w:sz="4" w:space="0" w:color="auto"/>
              <w:right w:val="single" w:sz="4" w:space="0" w:color="auto"/>
            </w:tcBorders>
          </w:tcPr>
          <w:p w:rsidR="00D06A2F" w:rsidRPr="00E8065F" w:rsidRDefault="00D06A2F" w:rsidP="00BA1432">
            <w:pPr>
              <w:rPr>
                <w:sz w:val="20"/>
                <w:szCs w:val="20"/>
              </w:rPr>
            </w:pPr>
          </w:p>
        </w:tc>
        <w:tc>
          <w:tcPr>
            <w:tcW w:w="3685" w:type="dxa"/>
            <w:tcBorders>
              <w:top w:val="nil"/>
              <w:left w:val="single" w:sz="4" w:space="0" w:color="auto"/>
              <w:bottom w:val="single" w:sz="4" w:space="0" w:color="auto"/>
              <w:right w:val="single" w:sz="4" w:space="0" w:color="auto"/>
            </w:tcBorders>
            <w:shd w:val="clear" w:color="auto" w:fill="auto"/>
          </w:tcPr>
          <w:p w:rsidR="00D06A2F" w:rsidRPr="00E8065F" w:rsidRDefault="00D06A2F" w:rsidP="00D5127A">
            <w:pPr>
              <w:jc w:val="both"/>
              <w:rPr>
                <w:color w:val="000000"/>
                <w:sz w:val="20"/>
                <w:szCs w:val="20"/>
              </w:rPr>
            </w:pPr>
            <w:r w:rsidRPr="00E8065F">
              <w:rPr>
                <w:color w:val="000000"/>
                <w:sz w:val="20"/>
                <w:szCs w:val="20"/>
              </w:rPr>
              <w:t xml:space="preserve">ГАУЗ </w:t>
            </w:r>
            <w:r>
              <w:rPr>
                <w:color w:val="000000"/>
                <w:sz w:val="20"/>
                <w:szCs w:val="20"/>
              </w:rPr>
              <w:t>«</w:t>
            </w:r>
            <w:r w:rsidRPr="00E8065F">
              <w:rPr>
                <w:color w:val="000000"/>
                <w:sz w:val="20"/>
                <w:szCs w:val="20"/>
              </w:rPr>
              <w:t>Городская поликлиника №</w:t>
            </w:r>
            <w:r>
              <w:rPr>
                <w:color w:val="000000"/>
                <w:sz w:val="20"/>
                <w:szCs w:val="20"/>
              </w:rPr>
              <w:t xml:space="preserve"> </w:t>
            </w:r>
            <w:r w:rsidRPr="00E8065F">
              <w:rPr>
                <w:color w:val="000000"/>
                <w:sz w:val="20"/>
                <w:szCs w:val="20"/>
              </w:rPr>
              <w:t>18</w:t>
            </w:r>
            <w:r>
              <w:rPr>
                <w:color w:val="000000"/>
                <w:sz w:val="20"/>
                <w:szCs w:val="20"/>
              </w:rPr>
              <w:t>»</w:t>
            </w:r>
            <w:r w:rsidRPr="00E8065F">
              <w:rPr>
                <w:color w:val="000000"/>
                <w:sz w:val="20"/>
                <w:szCs w:val="20"/>
              </w:rPr>
              <w:t xml:space="preserve"> г.Казан</w:t>
            </w:r>
            <w:r>
              <w:rPr>
                <w:color w:val="000000"/>
                <w:sz w:val="20"/>
                <w:szCs w:val="20"/>
              </w:rPr>
              <w:t>и</w:t>
            </w:r>
          </w:p>
        </w:tc>
        <w:tc>
          <w:tcPr>
            <w:tcW w:w="1994" w:type="dxa"/>
            <w:tcBorders>
              <w:top w:val="nil"/>
              <w:left w:val="single" w:sz="4" w:space="0" w:color="auto"/>
              <w:bottom w:val="single" w:sz="4" w:space="0" w:color="auto"/>
              <w:right w:val="single" w:sz="4" w:space="0" w:color="auto"/>
            </w:tcBorders>
            <w:shd w:val="clear" w:color="auto" w:fill="auto"/>
          </w:tcPr>
          <w:p w:rsidR="00D06A2F" w:rsidRPr="00E8065F" w:rsidRDefault="00D06A2F" w:rsidP="00BA1432">
            <w:pPr>
              <w:jc w:val="center"/>
              <w:rPr>
                <w:color w:val="000000"/>
                <w:sz w:val="20"/>
                <w:szCs w:val="20"/>
              </w:rPr>
            </w:pPr>
            <w:r>
              <w:rPr>
                <w:rFonts w:eastAsia="Calibri"/>
                <w:sz w:val="20"/>
                <w:szCs w:val="20"/>
              </w:rPr>
              <w:t>Фиброгастродуоденоскоп</w:t>
            </w:r>
          </w:p>
        </w:tc>
        <w:tc>
          <w:tcPr>
            <w:tcW w:w="1181" w:type="dxa"/>
          </w:tcPr>
          <w:p w:rsidR="00D06A2F" w:rsidRPr="005D7240" w:rsidRDefault="00D06A2F" w:rsidP="000546C2">
            <w:pPr>
              <w:jc w:val="center"/>
              <w:rPr>
                <w:sz w:val="20"/>
                <w:szCs w:val="20"/>
                <w:lang w:val="en-US"/>
              </w:rPr>
            </w:pPr>
            <w:r w:rsidRPr="00E8065F">
              <w:rPr>
                <w:sz w:val="20"/>
                <w:szCs w:val="20"/>
              </w:rPr>
              <w:t>2022</w:t>
            </w:r>
            <w:r w:rsidR="003D79B3">
              <w:rPr>
                <w:sz w:val="20"/>
                <w:szCs w:val="20"/>
              </w:rPr>
              <w:t xml:space="preserve"> </w:t>
            </w:r>
            <w:r w:rsidR="005D7240">
              <w:rPr>
                <w:sz w:val="20"/>
                <w:szCs w:val="20"/>
                <w:lang w:val="en-US"/>
              </w:rPr>
              <w:t>(2)</w:t>
            </w:r>
          </w:p>
        </w:tc>
        <w:tc>
          <w:tcPr>
            <w:tcW w:w="1181" w:type="dxa"/>
            <w:tcBorders>
              <w:top w:val="nil"/>
              <w:left w:val="single" w:sz="4" w:space="0" w:color="auto"/>
              <w:bottom w:val="single" w:sz="4" w:space="0" w:color="auto"/>
              <w:right w:val="single" w:sz="4" w:space="0" w:color="auto"/>
            </w:tcBorders>
            <w:shd w:val="clear" w:color="auto" w:fill="auto"/>
          </w:tcPr>
          <w:p w:rsidR="00D06A2F" w:rsidRPr="00E8065F" w:rsidRDefault="00D06A2F" w:rsidP="000546C2">
            <w:pPr>
              <w:jc w:val="center"/>
              <w:rPr>
                <w:color w:val="000000"/>
                <w:sz w:val="20"/>
                <w:szCs w:val="20"/>
              </w:rPr>
            </w:pPr>
            <w:r w:rsidRPr="00E8065F">
              <w:rPr>
                <w:color w:val="000000"/>
                <w:sz w:val="20"/>
                <w:szCs w:val="20"/>
              </w:rPr>
              <w:t>2</w:t>
            </w:r>
          </w:p>
        </w:tc>
        <w:tc>
          <w:tcPr>
            <w:tcW w:w="1478" w:type="dxa"/>
            <w:tcBorders>
              <w:top w:val="nil"/>
              <w:left w:val="single" w:sz="4" w:space="0" w:color="auto"/>
              <w:bottom w:val="single" w:sz="4" w:space="0" w:color="auto"/>
              <w:right w:val="single" w:sz="4" w:space="0" w:color="auto"/>
            </w:tcBorders>
            <w:shd w:val="clear" w:color="auto" w:fill="auto"/>
          </w:tcPr>
          <w:p w:rsidR="00D06A2F" w:rsidRPr="00E8065F" w:rsidRDefault="00D06A2F" w:rsidP="000546C2">
            <w:pPr>
              <w:jc w:val="center"/>
              <w:rPr>
                <w:color w:val="000000"/>
                <w:sz w:val="20"/>
                <w:szCs w:val="20"/>
              </w:rPr>
            </w:pPr>
            <w:r w:rsidRPr="00E8065F">
              <w:rPr>
                <w:color w:val="000000"/>
                <w:sz w:val="20"/>
                <w:szCs w:val="20"/>
              </w:rPr>
              <w:t>4,2</w:t>
            </w:r>
          </w:p>
        </w:tc>
        <w:tc>
          <w:tcPr>
            <w:tcW w:w="1111" w:type="dxa"/>
            <w:tcBorders>
              <w:top w:val="nil"/>
              <w:left w:val="single" w:sz="4" w:space="0" w:color="auto"/>
              <w:bottom w:val="single" w:sz="4" w:space="0" w:color="auto"/>
              <w:right w:val="single" w:sz="4" w:space="0" w:color="auto"/>
            </w:tcBorders>
            <w:shd w:val="clear" w:color="auto" w:fill="auto"/>
          </w:tcPr>
          <w:p w:rsidR="00D06A2F" w:rsidRPr="00E8065F" w:rsidRDefault="00D06A2F" w:rsidP="000546C2">
            <w:pPr>
              <w:jc w:val="center"/>
              <w:rPr>
                <w:color w:val="000000"/>
                <w:sz w:val="20"/>
                <w:szCs w:val="20"/>
              </w:rPr>
            </w:pPr>
            <w:r w:rsidRPr="00E8065F">
              <w:rPr>
                <w:color w:val="000000"/>
                <w:sz w:val="20"/>
                <w:szCs w:val="20"/>
              </w:rPr>
              <w:t>2</w:t>
            </w:r>
          </w:p>
        </w:tc>
        <w:tc>
          <w:tcPr>
            <w:tcW w:w="1944" w:type="dxa"/>
            <w:tcBorders>
              <w:top w:val="nil"/>
              <w:left w:val="single" w:sz="4" w:space="0" w:color="auto"/>
              <w:bottom w:val="single" w:sz="4" w:space="0" w:color="auto"/>
              <w:right w:val="single" w:sz="4" w:space="0" w:color="auto"/>
            </w:tcBorders>
            <w:shd w:val="clear" w:color="auto" w:fill="auto"/>
          </w:tcPr>
          <w:p w:rsidR="00D06A2F" w:rsidRPr="00E8065F" w:rsidRDefault="00D06A2F" w:rsidP="00BA1432">
            <w:pPr>
              <w:jc w:val="center"/>
              <w:rPr>
                <w:color w:val="000000"/>
                <w:sz w:val="20"/>
                <w:szCs w:val="20"/>
              </w:rPr>
            </w:pPr>
            <w:r w:rsidRPr="00E8065F">
              <w:rPr>
                <w:color w:val="000000"/>
                <w:sz w:val="20"/>
                <w:szCs w:val="20"/>
              </w:rPr>
              <w:t>Амбулаторное</w:t>
            </w:r>
          </w:p>
        </w:tc>
      </w:tr>
      <w:tr w:rsidR="00D06A2F" w:rsidRPr="00E8065F" w:rsidTr="00CD3A6F">
        <w:trPr>
          <w:trHeight w:val="20"/>
        </w:trPr>
        <w:tc>
          <w:tcPr>
            <w:tcW w:w="1555" w:type="dxa"/>
            <w:vMerge/>
            <w:tcBorders>
              <w:left w:val="single" w:sz="4" w:space="0" w:color="auto"/>
              <w:right w:val="single" w:sz="4" w:space="0" w:color="auto"/>
            </w:tcBorders>
          </w:tcPr>
          <w:p w:rsidR="00D06A2F" w:rsidRPr="00E8065F" w:rsidRDefault="00D06A2F" w:rsidP="00BA1432">
            <w:pPr>
              <w:rPr>
                <w:sz w:val="20"/>
                <w:szCs w:val="20"/>
              </w:rPr>
            </w:pPr>
          </w:p>
        </w:tc>
        <w:tc>
          <w:tcPr>
            <w:tcW w:w="3685" w:type="dxa"/>
            <w:tcBorders>
              <w:top w:val="nil"/>
              <w:left w:val="single" w:sz="4" w:space="0" w:color="auto"/>
              <w:bottom w:val="single" w:sz="4" w:space="0" w:color="auto"/>
              <w:right w:val="single" w:sz="4" w:space="0" w:color="auto"/>
            </w:tcBorders>
            <w:shd w:val="clear" w:color="auto" w:fill="auto"/>
          </w:tcPr>
          <w:p w:rsidR="00D06A2F" w:rsidRPr="00E8065F" w:rsidRDefault="00D06A2F" w:rsidP="00D5127A">
            <w:pPr>
              <w:jc w:val="both"/>
              <w:rPr>
                <w:color w:val="000000"/>
                <w:sz w:val="20"/>
                <w:szCs w:val="20"/>
              </w:rPr>
            </w:pPr>
            <w:r w:rsidRPr="00E8065F">
              <w:rPr>
                <w:color w:val="000000"/>
                <w:sz w:val="20"/>
                <w:szCs w:val="20"/>
              </w:rPr>
              <w:t xml:space="preserve">ГАУЗ </w:t>
            </w:r>
            <w:r>
              <w:rPr>
                <w:color w:val="000000"/>
                <w:sz w:val="20"/>
                <w:szCs w:val="20"/>
              </w:rPr>
              <w:t>«</w:t>
            </w:r>
            <w:r w:rsidRPr="00E8065F">
              <w:rPr>
                <w:color w:val="000000"/>
                <w:sz w:val="20"/>
                <w:szCs w:val="20"/>
              </w:rPr>
              <w:t>Городская поликлиника №</w:t>
            </w:r>
            <w:r>
              <w:rPr>
                <w:color w:val="000000"/>
                <w:sz w:val="20"/>
                <w:szCs w:val="20"/>
              </w:rPr>
              <w:t xml:space="preserve"> </w:t>
            </w:r>
            <w:r w:rsidRPr="00E8065F">
              <w:rPr>
                <w:color w:val="000000"/>
                <w:sz w:val="20"/>
                <w:szCs w:val="20"/>
              </w:rPr>
              <w:t>20</w:t>
            </w:r>
            <w:r>
              <w:rPr>
                <w:color w:val="000000"/>
                <w:sz w:val="20"/>
                <w:szCs w:val="20"/>
              </w:rPr>
              <w:t>»</w:t>
            </w:r>
            <w:r w:rsidRPr="00E8065F">
              <w:rPr>
                <w:color w:val="000000"/>
                <w:sz w:val="20"/>
                <w:szCs w:val="20"/>
              </w:rPr>
              <w:t xml:space="preserve"> г.Казан</w:t>
            </w:r>
            <w:r>
              <w:rPr>
                <w:color w:val="000000"/>
                <w:sz w:val="20"/>
                <w:szCs w:val="20"/>
              </w:rPr>
              <w:t>и</w:t>
            </w:r>
          </w:p>
        </w:tc>
        <w:tc>
          <w:tcPr>
            <w:tcW w:w="1994" w:type="dxa"/>
            <w:tcBorders>
              <w:top w:val="nil"/>
              <w:left w:val="single" w:sz="4" w:space="0" w:color="auto"/>
              <w:bottom w:val="single" w:sz="4" w:space="0" w:color="auto"/>
              <w:right w:val="single" w:sz="4" w:space="0" w:color="auto"/>
            </w:tcBorders>
            <w:shd w:val="clear" w:color="auto" w:fill="auto"/>
          </w:tcPr>
          <w:p w:rsidR="00D06A2F" w:rsidRPr="00E8065F" w:rsidRDefault="00D06A2F" w:rsidP="00BA1432">
            <w:pPr>
              <w:jc w:val="center"/>
              <w:rPr>
                <w:color w:val="000000"/>
                <w:sz w:val="20"/>
                <w:szCs w:val="20"/>
              </w:rPr>
            </w:pPr>
            <w:r>
              <w:rPr>
                <w:rFonts w:eastAsia="Calibri"/>
                <w:sz w:val="20"/>
                <w:szCs w:val="20"/>
              </w:rPr>
              <w:t>Фиброгастродуоденоскоп</w:t>
            </w:r>
          </w:p>
        </w:tc>
        <w:tc>
          <w:tcPr>
            <w:tcW w:w="1181" w:type="dxa"/>
          </w:tcPr>
          <w:p w:rsidR="00D06A2F" w:rsidRPr="005D7240" w:rsidRDefault="00D06A2F" w:rsidP="000546C2">
            <w:pPr>
              <w:jc w:val="center"/>
              <w:rPr>
                <w:sz w:val="20"/>
                <w:szCs w:val="20"/>
                <w:lang w:val="en-US"/>
              </w:rPr>
            </w:pPr>
            <w:r w:rsidRPr="00E8065F">
              <w:rPr>
                <w:sz w:val="20"/>
                <w:szCs w:val="20"/>
              </w:rPr>
              <w:t>2008</w:t>
            </w:r>
            <w:r w:rsidR="003D79B3">
              <w:rPr>
                <w:sz w:val="20"/>
                <w:szCs w:val="20"/>
              </w:rPr>
              <w:t xml:space="preserve"> </w:t>
            </w:r>
            <w:r w:rsidR="005D7240">
              <w:rPr>
                <w:sz w:val="20"/>
                <w:szCs w:val="20"/>
                <w:lang w:val="en-US"/>
              </w:rPr>
              <w:t>(1)</w:t>
            </w:r>
          </w:p>
          <w:p w:rsidR="00D06A2F" w:rsidRPr="005D7240" w:rsidRDefault="00D06A2F" w:rsidP="000546C2">
            <w:pPr>
              <w:jc w:val="center"/>
              <w:rPr>
                <w:sz w:val="20"/>
                <w:szCs w:val="20"/>
                <w:lang w:val="en-US"/>
              </w:rPr>
            </w:pPr>
            <w:r w:rsidRPr="00E8065F">
              <w:rPr>
                <w:sz w:val="20"/>
                <w:szCs w:val="20"/>
              </w:rPr>
              <w:t>2018</w:t>
            </w:r>
            <w:r w:rsidR="003D79B3">
              <w:rPr>
                <w:sz w:val="20"/>
                <w:szCs w:val="20"/>
              </w:rPr>
              <w:t xml:space="preserve"> </w:t>
            </w:r>
            <w:r w:rsidR="005D7240">
              <w:rPr>
                <w:sz w:val="20"/>
                <w:szCs w:val="20"/>
                <w:lang w:val="en-US"/>
              </w:rPr>
              <w:t>(2)</w:t>
            </w:r>
          </w:p>
          <w:p w:rsidR="00D06A2F" w:rsidRPr="005D7240" w:rsidRDefault="00D06A2F" w:rsidP="000546C2">
            <w:pPr>
              <w:jc w:val="center"/>
              <w:rPr>
                <w:sz w:val="20"/>
                <w:szCs w:val="20"/>
                <w:lang w:val="en-US"/>
              </w:rPr>
            </w:pPr>
            <w:r w:rsidRPr="00E8065F">
              <w:rPr>
                <w:sz w:val="20"/>
                <w:szCs w:val="20"/>
              </w:rPr>
              <w:t>2019</w:t>
            </w:r>
            <w:r w:rsidR="003D79B3">
              <w:rPr>
                <w:sz w:val="20"/>
                <w:szCs w:val="20"/>
              </w:rPr>
              <w:t xml:space="preserve"> </w:t>
            </w:r>
            <w:r w:rsidR="005D7240">
              <w:rPr>
                <w:sz w:val="20"/>
                <w:szCs w:val="20"/>
                <w:lang w:val="en-US"/>
              </w:rPr>
              <w:t>(2)</w:t>
            </w:r>
          </w:p>
        </w:tc>
        <w:tc>
          <w:tcPr>
            <w:tcW w:w="1181" w:type="dxa"/>
            <w:tcBorders>
              <w:top w:val="nil"/>
              <w:left w:val="single" w:sz="4" w:space="0" w:color="auto"/>
              <w:bottom w:val="single" w:sz="4" w:space="0" w:color="auto"/>
              <w:right w:val="single" w:sz="4" w:space="0" w:color="auto"/>
            </w:tcBorders>
            <w:shd w:val="clear" w:color="auto" w:fill="auto"/>
          </w:tcPr>
          <w:p w:rsidR="00D06A2F" w:rsidRPr="00E8065F" w:rsidRDefault="00D06A2F" w:rsidP="000546C2">
            <w:pPr>
              <w:jc w:val="center"/>
              <w:rPr>
                <w:color w:val="000000"/>
                <w:sz w:val="20"/>
                <w:szCs w:val="20"/>
              </w:rPr>
            </w:pPr>
            <w:r w:rsidRPr="00E8065F">
              <w:rPr>
                <w:color w:val="000000"/>
                <w:sz w:val="20"/>
                <w:szCs w:val="20"/>
              </w:rPr>
              <w:t>5</w:t>
            </w:r>
          </w:p>
        </w:tc>
        <w:tc>
          <w:tcPr>
            <w:tcW w:w="1478" w:type="dxa"/>
            <w:tcBorders>
              <w:top w:val="nil"/>
              <w:left w:val="single" w:sz="4" w:space="0" w:color="auto"/>
              <w:bottom w:val="single" w:sz="4" w:space="0" w:color="auto"/>
              <w:right w:val="single" w:sz="4" w:space="0" w:color="auto"/>
            </w:tcBorders>
            <w:shd w:val="clear" w:color="auto" w:fill="auto"/>
          </w:tcPr>
          <w:p w:rsidR="00D06A2F" w:rsidRPr="00E8065F" w:rsidRDefault="00D06A2F" w:rsidP="000546C2">
            <w:pPr>
              <w:jc w:val="center"/>
              <w:rPr>
                <w:color w:val="000000"/>
                <w:sz w:val="20"/>
                <w:szCs w:val="20"/>
              </w:rPr>
            </w:pPr>
            <w:r w:rsidRPr="00E8065F">
              <w:rPr>
                <w:color w:val="000000"/>
                <w:sz w:val="20"/>
                <w:szCs w:val="20"/>
              </w:rPr>
              <w:t>16,3</w:t>
            </w:r>
          </w:p>
        </w:tc>
        <w:tc>
          <w:tcPr>
            <w:tcW w:w="1111" w:type="dxa"/>
            <w:tcBorders>
              <w:top w:val="nil"/>
              <w:left w:val="single" w:sz="4" w:space="0" w:color="auto"/>
              <w:bottom w:val="single" w:sz="4" w:space="0" w:color="auto"/>
              <w:right w:val="single" w:sz="4" w:space="0" w:color="auto"/>
            </w:tcBorders>
            <w:shd w:val="clear" w:color="auto" w:fill="auto"/>
          </w:tcPr>
          <w:p w:rsidR="00D06A2F" w:rsidRPr="00E8065F" w:rsidRDefault="00D06A2F" w:rsidP="000546C2">
            <w:pPr>
              <w:jc w:val="center"/>
              <w:rPr>
                <w:color w:val="000000"/>
                <w:sz w:val="20"/>
                <w:szCs w:val="20"/>
              </w:rPr>
            </w:pPr>
            <w:r w:rsidRPr="00E8065F">
              <w:rPr>
                <w:color w:val="000000"/>
                <w:sz w:val="20"/>
                <w:szCs w:val="20"/>
              </w:rPr>
              <w:t>1</w:t>
            </w:r>
          </w:p>
        </w:tc>
        <w:tc>
          <w:tcPr>
            <w:tcW w:w="1944" w:type="dxa"/>
            <w:tcBorders>
              <w:top w:val="nil"/>
              <w:left w:val="single" w:sz="4" w:space="0" w:color="auto"/>
              <w:bottom w:val="single" w:sz="4" w:space="0" w:color="auto"/>
              <w:right w:val="single" w:sz="4" w:space="0" w:color="auto"/>
            </w:tcBorders>
            <w:shd w:val="clear" w:color="auto" w:fill="auto"/>
          </w:tcPr>
          <w:p w:rsidR="00D06A2F" w:rsidRPr="00E8065F" w:rsidRDefault="00D06A2F" w:rsidP="00BA1432">
            <w:pPr>
              <w:jc w:val="center"/>
              <w:rPr>
                <w:color w:val="000000"/>
                <w:sz w:val="20"/>
                <w:szCs w:val="20"/>
              </w:rPr>
            </w:pPr>
            <w:r w:rsidRPr="00E8065F">
              <w:rPr>
                <w:color w:val="000000"/>
                <w:sz w:val="20"/>
                <w:szCs w:val="20"/>
              </w:rPr>
              <w:t>Амбулаторное</w:t>
            </w:r>
          </w:p>
        </w:tc>
      </w:tr>
      <w:tr w:rsidR="00D06A2F" w:rsidRPr="00E8065F" w:rsidTr="00CD3A6F">
        <w:trPr>
          <w:trHeight w:val="20"/>
        </w:trPr>
        <w:tc>
          <w:tcPr>
            <w:tcW w:w="1555" w:type="dxa"/>
            <w:vMerge/>
            <w:tcBorders>
              <w:left w:val="single" w:sz="4" w:space="0" w:color="auto"/>
              <w:right w:val="single" w:sz="4" w:space="0" w:color="auto"/>
            </w:tcBorders>
          </w:tcPr>
          <w:p w:rsidR="00D06A2F" w:rsidRPr="00E8065F" w:rsidRDefault="00D06A2F" w:rsidP="00BA1432">
            <w:pPr>
              <w:rPr>
                <w:sz w:val="20"/>
                <w:szCs w:val="20"/>
              </w:rPr>
            </w:pPr>
          </w:p>
        </w:tc>
        <w:tc>
          <w:tcPr>
            <w:tcW w:w="3685" w:type="dxa"/>
            <w:tcBorders>
              <w:top w:val="nil"/>
              <w:left w:val="single" w:sz="4" w:space="0" w:color="auto"/>
              <w:bottom w:val="single" w:sz="4" w:space="0" w:color="auto"/>
              <w:right w:val="single" w:sz="4" w:space="0" w:color="auto"/>
            </w:tcBorders>
            <w:shd w:val="clear" w:color="auto" w:fill="auto"/>
          </w:tcPr>
          <w:p w:rsidR="00D06A2F" w:rsidRPr="00E8065F" w:rsidRDefault="00D06A2F" w:rsidP="00D5127A">
            <w:pPr>
              <w:jc w:val="both"/>
              <w:rPr>
                <w:color w:val="000000"/>
                <w:sz w:val="20"/>
                <w:szCs w:val="20"/>
              </w:rPr>
            </w:pPr>
            <w:r w:rsidRPr="00E8065F">
              <w:rPr>
                <w:color w:val="000000"/>
                <w:sz w:val="20"/>
                <w:szCs w:val="20"/>
              </w:rPr>
              <w:t xml:space="preserve">ГАУЗ </w:t>
            </w:r>
            <w:r>
              <w:rPr>
                <w:color w:val="000000"/>
                <w:sz w:val="20"/>
                <w:szCs w:val="20"/>
              </w:rPr>
              <w:t>«</w:t>
            </w:r>
            <w:r w:rsidRPr="00E8065F">
              <w:rPr>
                <w:color w:val="000000"/>
                <w:sz w:val="20"/>
                <w:szCs w:val="20"/>
              </w:rPr>
              <w:t>Городская поликлиника №</w:t>
            </w:r>
            <w:r>
              <w:rPr>
                <w:color w:val="000000"/>
                <w:sz w:val="20"/>
                <w:szCs w:val="20"/>
              </w:rPr>
              <w:t xml:space="preserve"> </w:t>
            </w:r>
            <w:r w:rsidRPr="00E8065F">
              <w:rPr>
                <w:color w:val="000000"/>
                <w:sz w:val="20"/>
                <w:szCs w:val="20"/>
              </w:rPr>
              <w:t>21</w:t>
            </w:r>
            <w:r>
              <w:rPr>
                <w:color w:val="000000"/>
                <w:sz w:val="20"/>
                <w:szCs w:val="20"/>
              </w:rPr>
              <w:t>»</w:t>
            </w:r>
            <w:r w:rsidRPr="00E8065F">
              <w:rPr>
                <w:color w:val="000000"/>
                <w:sz w:val="20"/>
                <w:szCs w:val="20"/>
              </w:rPr>
              <w:t xml:space="preserve"> г.Казан</w:t>
            </w:r>
            <w:r>
              <w:rPr>
                <w:color w:val="000000"/>
                <w:sz w:val="20"/>
                <w:szCs w:val="20"/>
              </w:rPr>
              <w:t>и</w:t>
            </w:r>
          </w:p>
        </w:tc>
        <w:tc>
          <w:tcPr>
            <w:tcW w:w="1994" w:type="dxa"/>
            <w:tcBorders>
              <w:top w:val="nil"/>
              <w:left w:val="single" w:sz="4" w:space="0" w:color="auto"/>
              <w:bottom w:val="single" w:sz="4" w:space="0" w:color="auto"/>
              <w:right w:val="single" w:sz="4" w:space="0" w:color="auto"/>
            </w:tcBorders>
            <w:shd w:val="clear" w:color="auto" w:fill="auto"/>
          </w:tcPr>
          <w:p w:rsidR="00D06A2F" w:rsidRPr="00E8065F" w:rsidRDefault="00D06A2F" w:rsidP="00BA1432">
            <w:pPr>
              <w:jc w:val="center"/>
              <w:rPr>
                <w:color w:val="000000"/>
                <w:sz w:val="20"/>
                <w:szCs w:val="20"/>
              </w:rPr>
            </w:pPr>
            <w:r>
              <w:rPr>
                <w:rFonts w:eastAsia="Calibri"/>
                <w:sz w:val="20"/>
                <w:szCs w:val="20"/>
              </w:rPr>
              <w:t>Фиброгастродуоденоскоп</w:t>
            </w:r>
          </w:p>
        </w:tc>
        <w:tc>
          <w:tcPr>
            <w:tcW w:w="1181" w:type="dxa"/>
          </w:tcPr>
          <w:p w:rsidR="00D06A2F" w:rsidRPr="005D7240" w:rsidRDefault="00D06A2F" w:rsidP="000546C2">
            <w:pPr>
              <w:jc w:val="center"/>
              <w:rPr>
                <w:sz w:val="20"/>
                <w:szCs w:val="20"/>
                <w:lang w:val="en-US"/>
              </w:rPr>
            </w:pPr>
            <w:r w:rsidRPr="00E8065F">
              <w:rPr>
                <w:sz w:val="20"/>
                <w:szCs w:val="20"/>
              </w:rPr>
              <w:t>2018</w:t>
            </w:r>
            <w:r w:rsidR="003D79B3">
              <w:rPr>
                <w:sz w:val="20"/>
                <w:szCs w:val="20"/>
              </w:rPr>
              <w:t xml:space="preserve"> </w:t>
            </w:r>
            <w:r w:rsidR="005D7240">
              <w:rPr>
                <w:sz w:val="20"/>
                <w:szCs w:val="20"/>
                <w:lang w:val="en-US"/>
              </w:rPr>
              <w:t>(2)</w:t>
            </w:r>
          </w:p>
          <w:p w:rsidR="00D06A2F" w:rsidRPr="005D7240" w:rsidRDefault="00D06A2F" w:rsidP="000546C2">
            <w:pPr>
              <w:jc w:val="center"/>
              <w:rPr>
                <w:sz w:val="20"/>
                <w:szCs w:val="20"/>
                <w:lang w:val="en-US"/>
              </w:rPr>
            </w:pPr>
            <w:r w:rsidRPr="00E8065F">
              <w:rPr>
                <w:sz w:val="20"/>
                <w:szCs w:val="20"/>
              </w:rPr>
              <w:t>2019</w:t>
            </w:r>
            <w:r w:rsidR="003D79B3">
              <w:rPr>
                <w:sz w:val="20"/>
                <w:szCs w:val="20"/>
              </w:rPr>
              <w:t xml:space="preserve"> </w:t>
            </w:r>
            <w:r w:rsidR="005D7240">
              <w:rPr>
                <w:sz w:val="20"/>
                <w:szCs w:val="20"/>
                <w:lang w:val="en-US"/>
              </w:rPr>
              <w:t>(2)</w:t>
            </w:r>
          </w:p>
          <w:p w:rsidR="00D06A2F" w:rsidRPr="005D7240" w:rsidRDefault="00D06A2F" w:rsidP="000546C2">
            <w:pPr>
              <w:jc w:val="center"/>
              <w:rPr>
                <w:sz w:val="20"/>
                <w:szCs w:val="20"/>
                <w:lang w:val="en-US"/>
              </w:rPr>
            </w:pPr>
            <w:r w:rsidRPr="00E8065F">
              <w:rPr>
                <w:sz w:val="20"/>
                <w:szCs w:val="20"/>
              </w:rPr>
              <w:t>2020</w:t>
            </w:r>
            <w:r w:rsidR="003D79B3">
              <w:rPr>
                <w:sz w:val="20"/>
                <w:szCs w:val="20"/>
              </w:rPr>
              <w:t xml:space="preserve"> </w:t>
            </w:r>
            <w:r w:rsidR="005D7240">
              <w:rPr>
                <w:sz w:val="20"/>
                <w:szCs w:val="20"/>
                <w:lang w:val="en-US"/>
              </w:rPr>
              <w:t>(1)</w:t>
            </w:r>
          </w:p>
        </w:tc>
        <w:tc>
          <w:tcPr>
            <w:tcW w:w="1181" w:type="dxa"/>
            <w:tcBorders>
              <w:top w:val="nil"/>
              <w:left w:val="single" w:sz="4" w:space="0" w:color="auto"/>
              <w:bottom w:val="single" w:sz="4" w:space="0" w:color="auto"/>
              <w:right w:val="single" w:sz="4" w:space="0" w:color="auto"/>
            </w:tcBorders>
            <w:shd w:val="clear" w:color="auto" w:fill="auto"/>
          </w:tcPr>
          <w:p w:rsidR="00D06A2F" w:rsidRPr="00E8065F" w:rsidRDefault="00D06A2F" w:rsidP="000546C2">
            <w:pPr>
              <w:jc w:val="center"/>
              <w:rPr>
                <w:color w:val="000000"/>
                <w:sz w:val="20"/>
                <w:szCs w:val="20"/>
              </w:rPr>
            </w:pPr>
            <w:r w:rsidRPr="00E8065F">
              <w:rPr>
                <w:color w:val="000000"/>
                <w:sz w:val="20"/>
                <w:szCs w:val="20"/>
              </w:rPr>
              <w:t>5</w:t>
            </w:r>
          </w:p>
        </w:tc>
        <w:tc>
          <w:tcPr>
            <w:tcW w:w="1478" w:type="dxa"/>
            <w:tcBorders>
              <w:top w:val="nil"/>
              <w:left w:val="single" w:sz="4" w:space="0" w:color="auto"/>
              <w:bottom w:val="single" w:sz="4" w:space="0" w:color="auto"/>
              <w:right w:val="single" w:sz="4" w:space="0" w:color="auto"/>
            </w:tcBorders>
            <w:shd w:val="clear" w:color="auto" w:fill="auto"/>
          </w:tcPr>
          <w:p w:rsidR="00D06A2F" w:rsidRPr="00E8065F" w:rsidRDefault="00D06A2F" w:rsidP="000546C2">
            <w:pPr>
              <w:jc w:val="center"/>
              <w:rPr>
                <w:color w:val="000000"/>
                <w:sz w:val="20"/>
                <w:szCs w:val="20"/>
              </w:rPr>
            </w:pPr>
            <w:r w:rsidRPr="00E8065F">
              <w:rPr>
                <w:color w:val="000000"/>
                <w:sz w:val="20"/>
                <w:szCs w:val="20"/>
              </w:rPr>
              <w:t>14,7</w:t>
            </w:r>
          </w:p>
        </w:tc>
        <w:tc>
          <w:tcPr>
            <w:tcW w:w="1111" w:type="dxa"/>
            <w:tcBorders>
              <w:top w:val="nil"/>
              <w:left w:val="single" w:sz="4" w:space="0" w:color="auto"/>
              <w:bottom w:val="single" w:sz="4" w:space="0" w:color="auto"/>
              <w:right w:val="single" w:sz="4" w:space="0" w:color="auto"/>
            </w:tcBorders>
            <w:shd w:val="clear" w:color="auto" w:fill="auto"/>
          </w:tcPr>
          <w:p w:rsidR="00D06A2F" w:rsidRPr="00E8065F" w:rsidRDefault="00D06A2F" w:rsidP="000546C2">
            <w:pPr>
              <w:jc w:val="center"/>
              <w:rPr>
                <w:color w:val="000000"/>
                <w:sz w:val="20"/>
                <w:szCs w:val="20"/>
              </w:rPr>
            </w:pPr>
            <w:r w:rsidRPr="00E8065F">
              <w:rPr>
                <w:color w:val="000000"/>
                <w:sz w:val="20"/>
                <w:szCs w:val="20"/>
              </w:rPr>
              <w:t>1</w:t>
            </w:r>
          </w:p>
        </w:tc>
        <w:tc>
          <w:tcPr>
            <w:tcW w:w="1944" w:type="dxa"/>
            <w:tcBorders>
              <w:top w:val="nil"/>
              <w:left w:val="single" w:sz="4" w:space="0" w:color="auto"/>
              <w:bottom w:val="single" w:sz="4" w:space="0" w:color="auto"/>
              <w:right w:val="single" w:sz="4" w:space="0" w:color="auto"/>
            </w:tcBorders>
            <w:shd w:val="clear" w:color="auto" w:fill="auto"/>
          </w:tcPr>
          <w:p w:rsidR="00D06A2F" w:rsidRPr="00E8065F" w:rsidRDefault="00D06A2F" w:rsidP="00BA1432">
            <w:pPr>
              <w:jc w:val="center"/>
              <w:rPr>
                <w:color w:val="000000"/>
                <w:sz w:val="20"/>
                <w:szCs w:val="20"/>
              </w:rPr>
            </w:pPr>
            <w:r w:rsidRPr="00E8065F">
              <w:rPr>
                <w:color w:val="000000"/>
                <w:sz w:val="20"/>
                <w:szCs w:val="20"/>
              </w:rPr>
              <w:t>Амбулаторное</w:t>
            </w:r>
          </w:p>
        </w:tc>
      </w:tr>
      <w:tr w:rsidR="00D06A2F" w:rsidRPr="00E8065F" w:rsidTr="00CD3A6F">
        <w:trPr>
          <w:trHeight w:val="20"/>
        </w:trPr>
        <w:tc>
          <w:tcPr>
            <w:tcW w:w="1555" w:type="dxa"/>
            <w:vMerge/>
            <w:tcBorders>
              <w:left w:val="single" w:sz="4" w:space="0" w:color="auto"/>
              <w:right w:val="single" w:sz="4" w:space="0" w:color="auto"/>
            </w:tcBorders>
          </w:tcPr>
          <w:p w:rsidR="00D06A2F" w:rsidRPr="00E8065F" w:rsidRDefault="00D06A2F" w:rsidP="00BA1432">
            <w:pPr>
              <w:rPr>
                <w:sz w:val="20"/>
                <w:szCs w:val="20"/>
              </w:rPr>
            </w:pPr>
          </w:p>
        </w:tc>
        <w:tc>
          <w:tcPr>
            <w:tcW w:w="3685" w:type="dxa"/>
            <w:tcBorders>
              <w:top w:val="nil"/>
              <w:left w:val="single" w:sz="4" w:space="0" w:color="auto"/>
              <w:bottom w:val="single" w:sz="4" w:space="0" w:color="auto"/>
              <w:right w:val="single" w:sz="4" w:space="0" w:color="auto"/>
            </w:tcBorders>
            <w:shd w:val="clear" w:color="auto" w:fill="auto"/>
          </w:tcPr>
          <w:p w:rsidR="00D06A2F" w:rsidRPr="00E8065F" w:rsidRDefault="00D06A2F" w:rsidP="00DC0475">
            <w:pPr>
              <w:jc w:val="both"/>
              <w:rPr>
                <w:color w:val="000000"/>
                <w:sz w:val="20"/>
                <w:szCs w:val="20"/>
              </w:rPr>
            </w:pPr>
            <w:r w:rsidRPr="00E8065F">
              <w:rPr>
                <w:color w:val="000000"/>
                <w:sz w:val="20"/>
                <w:szCs w:val="20"/>
              </w:rPr>
              <w:t xml:space="preserve">ГАУЗ </w:t>
            </w:r>
            <w:r>
              <w:rPr>
                <w:color w:val="000000"/>
                <w:sz w:val="20"/>
                <w:szCs w:val="20"/>
              </w:rPr>
              <w:t>«</w:t>
            </w:r>
            <w:r w:rsidRPr="00E8065F">
              <w:rPr>
                <w:color w:val="000000"/>
                <w:sz w:val="20"/>
                <w:szCs w:val="20"/>
              </w:rPr>
              <w:t>Городская поликлини</w:t>
            </w:r>
            <w:r>
              <w:rPr>
                <w:color w:val="000000"/>
                <w:sz w:val="20"/>
                <w:szCs w:val="20"/>
              </w:rPr>
              <w:t>ка № 8» г.</w:t>
            </w:r>
            <w:r w:rsidRPr="00E8065F">
              <w:rPr>
                <w:color w:val="000000"/>
                <w:sz w:val="20"/>
                <w:szCs w:val="20"/>
              </w:rPr>
              <w:t>Казан</w:t>
            </w:r>
            <w:r>
              <w:rPr>
                <w:color w:val="000000"/>
                <w:sz w:val="20"/>
                <w:szCs w:val="20"/>
              </w:rPr>
              <w:t>и</w:t>
            </w:r>
          </w:p>
        </w:tc>
        <w:tc>
          <w:tcPr>
            <w:tcW w:w="1994" w:type="dxa"/>
            <w:tcBorders>
              <w:top w:val="nil"/>
              <w:left w:val="single" w:sz="4" w:space="0" w:color="auto"/>
              <w:bottom w:val="single" w:sz="4" w:space="0" w:color="auto"/>
              <w:right w:val="single" w:sz="4" w:space="0" w:color="auto"/>
            </w:tcBorders>
            <w:shd w:val="clear" w:color="auto" w:fill="auto"/>
          </w:tcPr>
          <w:p w:rsidR="00D06A2F" w:rsidRPr="00E8065F" w:rsidRDefault="00D06A2F" w:rsidP="00BA1432">
            <w:pPr>
              <w:jc w:val="center"/>
              <w:rPr>
                <w:color w:val="000000"/>
                <w:sz w:val="20"/>
                <w:szCs w:val="20"/>
              </w:rPr>
            </w:pPr>
            <w:r>
              <w:rPr>
                <w:rFonts w:eastAsia="Calibri"/>
                <w:sz w:val="20"/>
                <w:szCs w:val="20"/>
              </w:rPr>
              <w:t>Фиброгастродуоденоскоп</w:t>
            </w:r>
          </w:p>
        </w:tc>
        <w:tc>
          <w:tcPr>
            <w:tcW w:w="1181" w:type="dxa"/>
          </w:tcPr>
          <w:p w:rsidR="00D06A2F" w:rsidRPr="005D7240" w:rsidRDefault="00D06A2F" w:rsidP="000546C2">
            <w:pPr>
              <w:jc w:val="center"/>
              <w:rPr>
                <w:sz w:val="20"/>
                <w:szCs w:val="20"/>
                <w:lang w:val="en-US"/>
              </w:rPr>
            </w:pPr>
            <w:r w:rsidRPr="00E8065F">
              <w:rPr>
                <w:sz w:val="20"/>
                <w:szCs w:val="20"/>
              </w:rPr>
              <w:t>2013</w:t>
            </w:r>
            <w:r w:rsidR="003D79B3">
              <w:rPr>
                <w:sz w:val="20"/>
                <w:szCs w:val="20"/>
              </w:rPr>
              <w:t xml:space="preserve"> </w:t>
            </w:r>
            <w:r w:rsidR="005D7240">
              <w:rPr>
                <w:sz w:val="20"/>
                <w:szCs w:val="20"/>
                <w:lang w:val="en-US"/>
              </w:rPr>
              <w:t>(1)</w:t>
            </w:r>
          </w:p>
          <w:p w:rsidR="00D06A2F" w:rsidRPr="005D7240" w:rsidRDefault="00D06A2F" w:rsidP="000546C2">
            <w:pPr>
              <w:jc w:val="center"/>
              <w:rPr>
                <w:sz w:val="20"/>
                <w:szCs w:val="20"/>
                <w:lang w:val="en-US"/>
              </w:rPr>
            </w:pPr>
            <w:r w:rsidRPr="00E8065F">
              <w:rPr>
                <w:sz w:val="20"/>
                <w:szCs w:val="20"/>
              </w:rPr>
              <w:t>2015</w:t>
            </w:r>
            <w:r w:rsidR="003D79B3">
              <w:rPr>
                <w:sz w:val="20"/>
                <w:szCs w:val="20"/>
              </w:rPr>
              <w:t xml:space="preserve"> </w:t>
            </w:r>
            <w:r w:rsidR="005D7240">
              <w:rPr>
                <w:sz w:val="20"/>
                <w:szCs w:val="20"/>
                <w:lang w:val="en-US"/>
              </w:rPr>
              <w:t>(1)</w:t>
            </w:r>
          </w:p>
          <w:p w:rsidR="00D06A2F" w:rsidRPr="005D7240" w:rsidRDefault="00D06A2F" w:rsidP="000546C2">
            <w:pPr>
              <w:jc w:val="center"/>
              <w:rPr>
                <w:sz w:val="20"/>
                <w:szCs w:val="20"/>
                <w:lang w:val="en-US"/>
              </w:rPr>
            </w:pPr>
            <w:r w:rsidRPr="00E8065F">
              <w:rPr>
                <w:sz w:val="20"/>
                <w:szCs w:val="20"/>
              </w:rPr>
              <w:t>2016</w:t>
            </w:r>
            <w:r w:rsidR="003D79B3">
              <w:rPr>
                <w:sz w:val="20"/>
                <w:szCs w:val="20"/>
              </w:rPr>
              <w:t xml:space="preserve"> </w:t>
            </w:r>
            <w:r w:rsidR="005D7240">
              <w:rPr>
                <w:sz w:val="20"/>
                <w:szCs w:val="20"/>
                <w:lang w:val="en-US"/>
              </w:rPr>
              <w:t>(3)</w:t>
            </w:r>
          </w:p>
        </w:tc>
        <w:tc>
          <w:tcPr>
            <w:tcW w:w="1181" w:type="dxa"/>
            <w:tcBorders>
              <w:top w:val="nil"/>
              <w:left w:val="single" w:sz="4" w:space="0" w:color="auto"/>
              <w:bottom w:val="single" w:sz="4" w:space="0" w:color="auto"/>
              <w:right w:val="single" w:sz="4" w:space="0" w:color="auto"/>
            </w:tcBorders>
            <w:shd w:val="clear" w:color="auto" w:fill="auto"/>
          </w:tcPr>
          <w:p w:rsidR="00D06A2F" w:rsidRPr="00E8065F" w:rsidRDefault="00D06A2F" w:rsidP="000546C2">
            <w:pPr>
              <w:jc w:val="center"/>
              <w:rPr>
                <w:color w:val="000000"/>
                <w:sz w:val="20"/>
                <w:szCs w:val="20"/>
              </w:rPr>
            </w:pPr>
            <w:r w:rsidRPr="00E8065F">
              <w:rPr>
                <w:color w:val="000000"/>
                <w:sz w:val="20"/>
                <w:szCs w:val="20"/>
              </w:rPr>
              <w:t>5</w:t>
            </w:r>
          </w:p>
        </w:tc>
        <w:tc>
          <w:tcPr>
            <w:tcW w:w="1478" w:type="dxa"/>
            <w:tcBorders>
              <w:top w:val="nil"/>
              <w:left w:val="single" w:sz="4" w:space="0" w:color="auto"/>
              <w:bottom w:val="single" w:sz="4" w:space="0" w:color="auto"/>
              <w:right w:val="single" w:sz="4" w:space="0" w:color="auto"/>
            </w:tcBorders>
            <w:shd w:val="clear" w:color="auto" w:fill="auto"/>
          </w:tcPr>
          <w:p w:rsidR="00D06A2F" w:rsidRPr="00E8065F" w:rsidRDefault="00D06A2F" w:rsidP="000546C2">
            <w:pPr>
              <w:jc w:val="center"/>
              <w:rPr>
                <w:color w:val="000000"/>
                <w:sz w:val="20"/>
                <w:szCs w:val="20"/>
              </w:rPr>
            </w:pPr>
            <w:r w:rsidRPr="00E8065F">
              <w:rPr>
                <w:color w:val="000000"/>
                <w:sz w:val="20"/>
                <w:szCs w:val="20"/>
              </w:rPr>
              <w:t>9,1</w:t>
            </w:r>
          </w:p>
        </w:tc>
        <w:tc>
          <w:tcPr>
            <w:tcW w:w="1111" w:type="dxa"/>
            <w:tcBorders>
              <w:top w:val="nil"/>
              <w:left w:val="single" w:sz="4" w:space="0" w:color="auto"/>
              <w:bottom w:val="single" w:sz="4" w:space="0" w:color="auto"/>
              <w:right w:val="single" w:sz="4" w:space="0" w:color="auto"/>
            </w:tcBorders>
            <w:shd w:val="clear" w:color="auto" w:fill="auto"/>
          </w:tcPr>
          <w:p w:rsidR="00D06A2F" w:rsidRPr="00E8065F" w:rsidRDefault="00D06A2F" w:rsidP="000546C2">
            <w:pPr>
              <w:jc w:val="center"/>
              <w:rPr>
                <w:color w:val="000000"/>
                <w:sz w:val="20"/>
                <w:szCs w:val="20"/>
              </w:rPr>
            </w:pPr>
            <w:r w:rsidRPr="00E8065F">
              <w:rPr>
                <w:color w:val="000000"/>
                <w:sz w:val="20"/>
                <w:szCs w:val="20"/>
              </w:rPr>
              <w:t>1</w:t>
            </w:r>
          </w:p>
        </w:tc>
        <w:tc>
          <w:tcPr>
            <w:tcW w:w="1944" w:type="dxa"/>
            <w:tcBorders>
              <w:top w:val="nil"/>
              <w:left w:val="single" w:sz="4" w:space="0" w:color="auto"/>
              <w:bottom w:val="single" w:sz="4" w:space="0" w:color="auto"/>
              <w:right w:val="single" w:sz="4" w:space="0" w:color="auto"/>
            </w:tcBorders>
            <w:shd w:val="clear" w:color="auto" w:fill="auto"/>
          </w:tcPr>
          <w:p w:rsidR="00D06A2F" w:rsidRPr="00E8065F" w:rsidRDefault="00D06A2F" w:rsidP="00BA1432">
            <w:pPr>
              <w:jc w:val="center"/>
              <w:rPr>
                <w:color w:val="000000"/>
                <w:sz w:val="20"/>
                <w:szCs w:val="20"/>
              </w:rPr>
            </w:pPr>
            <w:r w:rsidRPr="00E8065F">
              <w:rPr>
                <w:color w:val="000000"/>
                <w:sz w:val="20"/>
                <w:szCs w:val="20"/>
              </w:rPr>
              <w:t>Амбулаторное</w:t>
            </w:r>
          </w:p>
        </w:tc>
      </w:tr>
      <w:tr w:rsidR="00D06A2F" w:rsidRPr="00E8065F" w:rsidTr="00CD3A6F">
        <w:trPr>
          <w:trHeight w:val="20"/>
        </w:trPr>
        <w:tc>
          <w:tcPr>
            <w:tcW w:w="1555" w:type="dxa"/>
            <w:vMerge/>
            <w:tcBorders>
              <w:left w:val="single" w:sz="4" w:space="0" w:color="auto"/>
              <w:right w:val="single" w:sz="4" w:space="0" w:color="auto"/>
            </w:tcBorders>
          </w:tcPr>
          <w:p w:rsidR="00D06A2F" w:rsidRPr="00E8065F" w:rsidRDefault="00D06A2F" w:rsidP="00BA1432">
            <w:pPr>
              <w:rPr>
                <w:sz w:val="20"/>
                <w:szCs w:val="20"/>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D06A2F" w:rsidRDefault="00D06A2F" w:rsidP="00DC0475">
            <w:pPr>
              <w:jc w:val="both"/>
              <w:rPr>
                <w:color w:val="000000"/>
                <w:sz w:val="20"/>
                <w:szCs w:val="20"/>
              </w:rPr>
            </w:pPr>
            <w:r>
              <w:rPr>
                <w:color w:val="000000"/>
                <w:sz w:val="20"/>
                <w:szCs w:val="20"/>
              </w:rPr>
              <w:t>ГАУЗ «Городская клиническая больница № 7 им.М.Н.Садыкова» г.Казани</w:t>
            </w:r>
          </w:p>
          <w:p w:rsidR="00D06A2F" w:rsidRPr="00E8065F" w:rsidRDefault="00D06A2F" w:rsidP="00DC0475">
            <w:pPr>
              <w:jc w:val="both"/>
              <w:rPr>
                <w:color w:val="000000"/>
                <w:sz w:val="20"/>
                <w:szCs w:val="20"/>
              </w:rPr>
            </w:pPr>
          </w:p>
        </w:tc>
        <w:tc>
          <w:tcPr>
            <w:tcW w:w="1994" w:type="dxa"/>
            <w:tcBorders>
              <w:top w:val="single" w:sz="4" w:space="0" w:color="auto"/>
              <w:left w:val="single" w:sz="4" w:space="0" w:color="auto"/>
              <w:bottom w:val="single" w:sz="4" w:space="0" w:color="auto"/>
              <w:right w:val="single" w:sz="4" w:space="0" w:color="auto"/>
            </w:tcBorders>
            <w:shd w:val="clear" w:color="auto" w:fill="auto"/>
          </w:tcPr>
          <w:p w:rsidR="00D06A2F" w:rsidRPr="00E8065F" w:rsidRDefault="00D06A2F" w:rsidP="00BA1432">
            <w:pPr>
              <w:jc w:val="center"/>
              <w:rPr>
                <w:color w:val="000000"/>
                <w:sz w:val="20"/>
                <w:szCs w:val="20"/>
              </w:rPr>
            </w:pPr>
            <w:r>
              <w:rPr>
                <w:rFonts w:eastAsia="Calibri"/>
                <w:sz w:val="20"/>
                <w:szCs w:val="20"/>
              </w:rPr>
              <w:t>Фиброгастродуоденоскоп</w:t>
            </w:r>
          </w:p>
        </w:tc>
        <w:tc>
          <w:tcPr>
            <w:tcW w:w="1181" w:type="dxa"/>
            <w:tcBorders>
              <w:top w:val="single" w:sz="4" w:space="0" w:color="auto"/>
              <w:left w:val="single" w:sz="4" w:space="0" w:color="auto"/>
              <w:bottom w:val="single" w:sz="4" w:space="0" w:color="auto"/>
              <w:right w:val="single" w:sz="4" w:space="0" w:color="auto"/>
            </w:tcBorders>
          </w:tcPr>
          <w:p w:rsidR="00D06A2F" w:rsidRPr="005D7240" w:rsidRDefault="00D06A2F" w:rsidP="000546C2">
            <w:pPr>
              <w:jc w:val="center"/>
              <w:rPr>
                <w:sz w:val="20"/>
                <w:szCs w:val="20"/>
                <w:lang w:val="en-US"/>
              </w:rPr>
            </w:pPr>
            <w:r w:rsidRPr="00E8065F">
              <w:rPr>
                <w:sz w:val="20"/>
                <w:szCs w:val="20"/>
              </w:rPr>
              <w:t>2020</w:t>
            </w:r>
            <w:r w:rsidR="003D79B3">
              <w:rPr>
                <w:sz w:val="20"/>
                <w:szCs w:val="20"/>
              </w:rPr>
              <w:t xml:space="preserve"> </w:t>
            </w:r>
            <w:r w:rsidR="005D7240">
              <w:rPr>
                <w:sz w:val="20"/>
                <w:szCs w:val="20"/>
                <w:lang w:val="en-US"/>
              </w:rPr>
              <w:t>(2)</w:t>
            </w:r>
          </w:p>
          <w:p w:rsidR="00D06A2F" w:rsidRPr="005D7240" w:rsidRDefault="00D06A2F" w:rsidP="000546C2">
            <w:pPr>
              <w:jc w:val="center"/>
              <w:rPr>
                <w:sz w:val="20"/>
                <w:szCs w:val="20"/>
                <w:lang w:val="en-US"/>
              </w:rPr>
            </w:pPr>
            <w:r w:rsidRPr="00E8065F">
              <w:rPr>
                <w:sz w:val="20"/>
                <w:szCs w:val="20"/>
              </w:rPr>
              <w:t>2022</w:t>
            </w:r>
            <w:r w:rsidR="003D79B3">
              <w:rPr>
                <w:sz w:val="20"/>
                <w:szCs w:val="20"/>
              </w:rPr>
              <w:t xml:space="preserve"> </w:t>
            </w:r>
            <w:r w:rsidR="005D7240">
              <w:rPr>
                <w:sz w:val="20"/>
                <w:szCs w:val="20"/>
                <w:lang w:val="en-US"/>
              </w:rPr>
              <w:t>(1)</w:t>
            </w:r>
          </w:p>
        </w:tc>
        <w:tc>
          <w:tcPr>
            <w:tcW w:w="1181" w:type="dxa"/>
            <w:tcBorders>
              <w:top w:val="single" w:sz="4" w:space="0" w:color="auto"/>
              <w:left w:val="single" w:sz="4" w:space="0" w:color="auto"/>
              <w:bottom w:val="single" w:sz="4" w:space="0" w:color="auto"/>
              <w:right w:val="single" w:sz="4" w:space="0" w:color="auto"/>
            </w:tcBorders>
            <w:shd w:val="clear" w:color="auto" w:fill="auto"/>
          </w:tcPr>
          <w:p w:rsidR="00D06A2F" w:rsidRPr="00E8065F" w:rsidRDefault="00D06A2F" w:rsidP="000546C2">
            <w:pPr>
              <w:jc w:val="center"/>
              <w:rPr>
                <w:color w:val="000000"/>
                <w:sz w:val="20"/>
                <w:szCs w:val="20"/>
              </w:rPr>
            </w:pPr>
            <w:r w:rsidRPr="00E8065F">
              <w:rPr>
                <w:color w:val="000000"/>
                <w:sz w:val="20"/>
                <w:szCs w:val="20"/>
              </w:rPr>
              <w:t>3</w:t>
            </w:r>
          </w:p>
        </w:tc>
        <w:tc>
          <w:tcPr>
            <w:tcW w:w="1478" w:type="dxa"/>
            <w:tcBorders>
              <w:top w:val="single" w:sz="4" w:space="0" w:color="auto"/>
              <w:left w:val="single" w:sz="4" w:space="0" w:color="auto"/>
              <w:bottom w:val="single" w:sz="4" w:space="0" w:color="auto"/>
              <w:right w:val="single" w:sz="4" w:space="0" w:color="auto"/>
            </w:tcBorders>
            <w:shd w:val="clear" w:color="auto" w:fill="auto"/>
          </w:tcPr>
          <w:p w:rsidR="00D06A2F" w:rsidRPr="00E8065F" w:rsidRDefault="00D06A2F" w:rsidP="000546C2">
            <w:pPr>
              <w:jc w:val="center"/>
              <w:rPr>
                <w:color w:val="000000"/>
                <w:sz w:val="20"/>
                <w:szCs w:val="20"/>
              </w:rPr>
            </w:pPr>
            <w:r w:rsidRPr="00E8065F">
              <w:rPr>
                <w:color w:val="000000"/>
                <w:sz w:val="20"/>
                <w:szCs w:val="20"/>
              </w:rPr>
              <w:t>5,9</w:t>
            </w:r>
          </w:p>
        </w:tc>
        <w:tc>
          <w:tcPr>
            <w:tcW w:w="1111" w:type="dxa"/>
            <w:tcBorders>
              <w:top w:val="single" w:sz="4" w:space="0" w:color="auto"/>
              <w:left w:val="single" w:sz="4" w:space="0" w:color="auto"/>
              <w:bottom w:val="single" w:sz="4" w:space="0" w:color="auto"/>
              <w:right w:val="single" w:sz="4" w:space="0" w:color="auto"/>
            </w:tcBorders>
            <w:shd w:val="clear" w:color="auto" w:fill="auto"/>
          </w:tcPr>
          <w:p w:rsidR="00D06A2F" w:rsidRPr="00E8065F" w:rsidRDefault="00D06A2F" w:rsidP="000546C2">
            <w:pPr>
              <w:jc w:val="center"/>
              <w:rPr>
                <w:color w:val="000000"/>
                <w:sz w:val="20"/>
                <w:szCs w:val="20"/>
              </w:rPr>
            </w:pPr>
            <w:r w:rsidRPr="00E8065F">
              <w:rPr>
                <w:color w:val="000000"/>
                <w:sz w:val="20"/>
                <w:szCs w:val="20"/>
              </w:rPr>
              <w:t>1</w:t>
            </w:r>
          </w:p>
        </w:tc>
        <w:tc>
          <w:tcPr>
            <w:tcW w:w="1944" w:type="dxa"/>
            <w:tcBorders>
              <w:top w:val="single" w:sz="4" w:space="0" w:color="auto"/>
              <w:left w:val="single" w:sz="4" w:space="0" w:color="auto"/>
              <w:bottom w:val="single" w:sz="4" w:space="0" w:color="auto"/>
              <w:right w:val="single" w:sz="4" w:space="0" w:color="auto"/>
            </w:tcBorders>
            <w:shd w:val="clear" w:color="auto" w:fill="auto"/>
          </w:tcPr>
          <w:p w:rsidR="00D06A2F" w:rsidRPr="00E8065F" w:rsidRDefault="00D06A2F" w:rsidP="00BA1432">
            <w:pPr>
              <w:jc w:val="center"/>
              <w:rPr>
                <w:color w:val="000000"/>
                <w:sz w:val="20"/>
                <w:szCs w:val="20"/>
              </w:rPr>
            </w:pPr>
            <w:r w:rsidRPr="00E8065F">
              <w:rPr>
                <w:color w:val="000000"/>
                <w:sz w:val="20"/>
                <w:szCs w:val="20"/>
              </w:rPr>
              <w:t>Стационарное</w:t>
            </w:r>
          </w:p>
        </w:tc>
      </w:tr>
      <w:tr w:rsidR="00D06A2F" w:rsidRPr="00E8065F" w:rsidTr="00CD3A6F">
        <w:trPr>
          <w:trHeight w:val="20"/>
        </w:trPr>
        <w:tc>
          <w:tcPr>
            <w:tcW w:w="1555" w:type="dxa"/>
            <w:vMerge/>
            <w:tcBorders>
              <w:left w:val="single" w:sz="4" w:space="0" w:color="auto"/>
              <w:right w:val="single" w:sz="4" w:space="0" w:color="auto"/>
            </w:tcBorders>
          </w:tcPr>
          <w:p w:rsidR="00D06A2F" w:rsidRPr="00E8065F" w:rsidRDefault="00D06A2F" w:rsidP="00BA1432">
            <w:pPr>
              <w:rPr>
                <w:sz w:val="20"/>
                <w:szCs w:val="20"/>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D06A2F" w:rsidRPr="00E8065F" w:rsidRDefault="00D06A2F" w:rsidP="005126B4">
            <w:pPr>
              <w:jc w:val="both"/>
              <w:rPr>
                <w:color w:val="000000"/>
                <w:sz w:val="20"/>
                <w:szCs w:val="20"/>
              </w:rPr>
            </w:pPr>
            <w:r>
              <w:rPr>
                <w:color w:val="000000"/>
                <w:sz w:val="20"/>
                <w:szCs w:val="20"/>
              </w:rPr>
              <w:t xml:space="preserve">ГАУЗ </w:t>
            </w:r>
            <w:r>
              <w:rPr>
                <w:rFonts w:eastAsia="Calibri"/>
                <w:sz w:val="20"/>
                <w:szCs w:val="20"/>
              </w:rPr>
              <w:t>Республики Татарстан «Больница скорой медицинской помощи</w:t>
            </w:r>
            <w:r w:rsidR="005126B4">
              <w:rPr>
                <w:rFonts w:eastAsia="Calibri"/>
                <w:sz w:val="20"/>
                <w:szCs w:val="20"/>
              </w:rPr>
              <w:t xml:space="preserve"> им. Р.С.Акчурина»</w:t>
            </w:r>
            <w:r>
              <w:rPr>
                <w:rFonts w:eastAsia="Calibri"/>
                <w:sz w:val="20"/>
                <w:szCs w:val="20"/>
              </w:rPr>
              <w:t xml:space="preserve"> </w:t>
            </w:r>
            <w:r>
              <w:rPr>
                <w:sz w:val="20"/>
                <w:szCs w:val="20"/>
              </w:rPr>
              <w:t>г.Набережные Челны</w:t>
            </w:r>
          </w:p>
        </w:tc>
        <w:tc>
          <w:tcPr>
            <w:tcW w:w="1994" w:type="dxa"/>
            <w:tcBorders>
              <w:top w:val="single" w:sz="4" w:space="0" w:color="auto"/>
              <w:left w:val="single" w:sz="4" w:space="0" w:color="auto"/>
              <w:bottom w:val="single" w:sz="4" w:space="0" w:color="auto"/>
              <w:right w:val="single" w:sz="4" w:space="0" w:color="auto"/>
            </w:tcBorders>
            <w:shd w:val="clear" w:color="auto" w:fill="auto"/>
          </w:tcPr>
          <w:p w:rsidR="00D06A2F" w:rsidRPr="00E8065F" w:rsidRDefault="00D06A2F" w:rsidP="00BA1432">
            <w:pPr>
              <w:jc w:val="center"/>
              <w:rPr>
                <w:color w:val="000000"/>
                <w:sz w:val="20"/>
                <w:szCs w:val="20"/>
              </w:rPr>
            </w:pPr>
            <w:r>
              <w:rPr>
                <w:rFonts w:eastAsia="Calibri"/>
                <w:sz w:val="20"/>
                <w:szCs w:val="20"/>
              </w:rPr>
              <w:t>Фиброгастродуоденоскоп</w:t>
            </w:r>
          </w:p>
        </w:tc>
        <w:tc>
          <w:tcPr>
            <w:tcW w:w="1181" w:type="dxa"/>
            <w:tcBorders>
              <w:top w:val="single" w:sz="4" w:space="0" w:color="auto"/>
            </w:tcBorders>
          </w:tcPr>
          <w:p w:rsidR="00D06A2F" w:rsidRPr="005D7240" w:rsidRDefault="00D06A2F" w:rsidP="000546C2">
            <w:pPr>
              <w:jc w:val="center"/>
              <w:rPr>
                <w:sz w:val="20"/>
                <w:szCs w:val="20"/>
                <w:lang w:val="en-US"/>
              </w:rPr>
            </w:pPr>
            <w:r w:rsidRPr="00E8065F">
              <w:rPr>
                <w:sz w:val="20"/>
                <w:szCs w:val="20"/>
              </w:rPr>
              <w:t>2011</w:t>
            </w:r>
            <w:r w:rsidR="003D79B3">
              <w:rPr>
                <w:sz w:val="20"/>
                <w:szCs w:val="20"/>
              </w:rPr>
              <w:t xml:space="preserve"> </w:t>
            </w:r>
            <w:r w:rsidR="005D7240">
              <w:rPr>
                <w:sz w:val="20"/>
                <w:szCs w:val="20"/>
                <w:lang w:val="en-US"/>
              </w:rPr>
              <w:t>(1)</w:t>
            </w:r>
          </w:p>
          <w:p w:rsidR="00D06A2F" w:rsidRPr="005D7240" w:rsidRDefault="00D06A2F" w:rsidP="000546C2">
            <w:pPr>
              <w:jc w:val="center"/>
              <w:rPr>
                <w:sz w:val="20"/>
                <w:szCs w:val="20"/>
                <w:lang w:val="en-US"/>
              </w:rPr>
            </w:pPr>
            <w:r w:rsidRPr="00E8065F">
              <w:rPr>
                <w:sz w:val="20"/>
                <w:szCs w:val="20"/>
              </w:rPr>
              <w:t>2018</w:t>
            </w:r>
            <w:r w:rsidR="003D79B3">
              <w:rPr>
                <w:sz w:val="20"/>
                <w:szCs w:val="20"/>
              </w:rPr>
              <w:t xml:space="preserve"> </w:t>
            </w:r>
            <w:r w:rsidR="005D7240">
              <w:rPr>
                <w:sz w:val="20"/>
                <w:szCs w:val="20"/>
                <w:lang w:val="en-US"/>
              </w:rPr>
              <w:t>(3)</w:t>
            </w:r>
          </w:p>
          <w:p w:rsidR="00D06A2F" w:rsidRPr="005D7240" w:rsidRDefault="00D06A2F" w:rsidP="000546C2">
            <w:pPr>
              <w:jc w:val="center"/>
              <w:rPr>
                <w:sz w:val="20"/>
                <w:szCs w:val="20"/>
                <w:lang w:val="en-US"/>
              </w:rPr>
            </w:pPr>
            <w:r w:rsidRPr="00E8065F">
              <w:rPr>
                <w:sz w:val="20"/>
                <w:szCs w:val="20"/>
              </w:rPr>
              <w:t>2019</w:t>
            </w:r>
            <w:r w:rsidR="003D79B3">
              <w:rPr>
                <w:sz w:val="20"/>
                <w:szCs w:val="20"/>
              </w:rPr>
              <w:t xml:space="preserve"> </w:t>
            </w:r>
            <w:r w:rsidR="005D7240">
              <w:rPr>
                <w:sz w:val="20"/>
                <w:szCs w:val="20"/>
                <w:lang w:val="en-US"/>
              </w:rPr>
              <w:t>(3)</w:t>
            </w:r>
          </w:p>
          <w:p w:rsidR="00D06A2F" w:rsidRPr="005D7240" w:rsidRDefault="00D06A2F" w:rsidP="000546C2">
            <w:pPr>
              <w:jc w:val="center"/>
              <w:rPr>
                <w:sz w:val="20"/>
                <w:szCs w:val="20"/>
                <w:lang w:val="en-US"/>
              </w:rPr>
            </w:pPr>
            <w:r w:rsidRPr="00E8065F">
              <w:rPr>
                <w:sz w:val="20"/>
                <w:szCs w:val="20"/>
              </w:rPr>
              <w:t>2021</w:t>
            </w:r>
            <w:r w:rsidR="003D79B3">
              <w:rPr>
                <w:sz w:val="20"/>
                <w:szCs w:val="20"/>
              </w:rPr>
              <w:t xml:space="preserve"> </w:t>
            </w:r>
            <w:r w:rsidR="005D7240">
              <w:rPr>
                <w:sz w:val="20"/>
                <w:szCs w:val="20"/>
                <w:lang w:val="en-US"/>
              </w:rPr>
              <w:t>(2)</w:t>
            </w:r>
          </w:p>
          <w:p w:rsidR="00D06A2F" w:rsidRPr="005D7240" w:rsidRDefault="00D06A2F" w:rsidP="000546C2">
            <w:pPr>
              <w:jc w:val="center"/>
              <w:rPr>
                <w:sz w:val="20"/>
                <w:szCs w:val="20"/>
                <w:lang w:val="en-US"/>
              </w:rPr>
            </w:pPr>
            <w:r w:rsidRPr="00E8065F">
              <w:rPr>
                <w:sz w:val="20"/>
                <w:szCs w:val="20"/>
              </w:rPr>
              <w:t>2022</w:t>
            </w:r>
            <w:r w:rsidR="003D79B3">
              <w:rPr>
                <w:sz w:val="20"/>
                <w:szCs w:val="20"/>
              </w:rPr>
              <w:t xml:space="preserve"> </w:t>
            </w:r>
            <w:r w:rsidR="005D7240">
              <w:rPr>
                <w:sz w:val="20"/>
                <w:szCs w:val="20"/>
                <w:lang w:val="en-US"/>
              </w:rPr>
              <w:t>(2)</w:t>
            </w:r>
          </w:p>
        </w:tc>
        <w:tc>
          <w:tcPr>
            <w:tcW w:w="1181" w:type="dxa"/>
            <w:tcBorders>
              <w:top w:val="single" w:sz="4" w:space="0" w:color="auto"/>
              <w:left w:val="single" w:sz="4" w:space="0" w:color="auto"/>
              <w:bottom w:val="single" w:sz="4" w:space="0" w:color="auto"/>
              <w:right w:val="single" w:sz="4" w:space="0" w:color="auto"/>
            </w:tcBorders>
            <w:shd w:val="clear" w:color="auto" w:fill="auto"/>
          </w:tcPr>
          <w:p w:rsidR="00D06A2F" w:rsidRPr="00E8065F" w:rsidRDefault="00D06A2F" w:rsidP="000546C2">
            <w:pPr>
              <w:jc w:val="center"/>
              <w:rPr>
                <w:color w:val="000000"/>
                <w:sz w:val="20"/>
                <w:szCs w:val="20"/>
              </w:rPr>
            </w:pPr>
            <w:r w:rsidRPr="00E8065F">
              <w:rPr>
                <w:color w:val="000000"/>
                <w:sz w:val="20"/>
                <w:szCs w:val="20"/>
              </w:rPr>
              <w:t>11</w:t>
            </w:r>
          </w:p>
        </w:tc>
        <w:tc>
          <w:tcPr>
            <w:tcW w:w="1478" w:type="dxa"/>
            <w:tcBorders>
              <w:top w:val="single" w:sz="4" w:space="0" w:color="auto"/>
              <w:left w:val="single" w:sz="4" w:space="0" w:color="auto"/>
              <w:bottom w:val="single" w:sz="4" w:space="0" w:color="auto"/>
              <w:right w:val="single" w:sz="4" w:space="0" w:color="auto"/>
            </w:tcBorders>
            <w:shd w:val="clear" w:color="auto" w:fill="auto"/>
          </w:tcPr>
          <w:p w:rsidR="00D06A2F" w:rsidRPr="00E8065F" w:rsidRDefault="00D06A2F" w:rsidP="000546C2">
            <w:pPr>
              <w:jc w:val="center"/>
              <w:rPr>
                <w:color w:val="000000"/>
                <w:sz w:val="20"/>
                <w:szCs w:val="20"/>
              </w:rPr>
            </w:pPr>
            <w:r w:rsidRPr="00E8065F">
              <w:rPr>
                <w:color w:val="000000"/>
                <w:sz w:val="20"/>
                <w:szCs w:val="20"/>
              </w:rPr>
              <w:t>24,3</w:t>
            </w:r>
          </w:p>
        </w:tc>
        <w:tc>
          <w:tcPr>
            <w:tcW w:w="1111" w:type="dxa"/>
            <w:tcBorders>
              <w:top w:val="single" w:sz="4" w:space="0" w:color="auto"/>
              <w:left w:val="single" w:sz="4" w:space="0" w:color="auto"/>
              <w:bottom w:val="single" w:sz="4" w:space="0" w:color="auto"/>
              <w:right w:val="single" w:sz="4" w:space="0" w:color="auto"/>
            </w:tcBorders>
            <w:shd w:val="clear" w:color="auto" w:fill="auto"/>
          </w:tcPr>
          <w:p w:rsidR="00D06A2F" w:rsidRPr="00E8065F" w:rsidRDefault="00D06A2F" w:rsidP="000546C2">
            <w:pPr>
              <w:jc w:val="center"/>
              <w:rPr>
                <w:color w:val="000000"/>
                <w:sz w:val="20"/>
                <w:szCs w:val="20"/>
              </w:rPr>
            </w:pPr>
            <w:r w:rsidRPr="00E8065F">
              <w:rPr>
                <w:color w:val="000000"/>
                <w:sz w:val="20"/>
                <w:szCs w:val="20"/>
              </w:rPr>
              <w:t>1</w:t>
            </w:r>
          </w:p>
        </w:tc>
        <w:tc>
          <w:tcPr>
            <w:tcW w:w="1944" w:type="dxa"/>
            <w:tcBorders>
              <w:top w:val="single" w:sz="4" w:space="0" w:color="auto"/>
              <w:left w:val="single" w:sz="4" w:space="0" w:color="auto"/>
              <w:bottom w:val="single" w:sz="4" w:space="0" w:color="auto"/>
              <w:right w:val="single" w:sz="4" w:space="0" w:color="auto"/>
            </w:tcBorders>
            <w:shd w:val="clear" w:color="auto" w:fill="auto"/>
          </w:tcPr>
          <w:p w:rsidR="00D06A2F" w:rsidRPr="00E8065F" w:rsidRDefault="00D06A2F" w:rsidP="00BA1432">
            <w:pPr>
              <w:jc w:val="center"/>
              <w:rPr>
                <w:color w:val="000000"/>
                <w:sz w:val="20"/>
                <w:szCs w:val="20"/>
              </w:rPr>
            </w:pPr>
            <w:r w:rsidRPr="00E8065F">
              <w:rPr>
                <w:color w:val="000000"/>
                <w:sz w:val="20"/>
                <w:szCs w:val="20"/>
              </w:rPr>
              <w:t>Стационарное</w:t>
            </w:r>
          </w:p>
        </w:tc>
      </w:tr>
      <w:tr w:rsidR="00D06A2F" w:rsidRPr="00E8065F" w:rsidTr="00CD3A6F">
        <w:trPr>
          <w:trHeight w:val="20"/>
        </w:trPr>
        <w:tc>
          <w:tcPr>
            <w:tcW w:w="1555" w:type="dxa"/>
            <w:vMerge/>
            <w:tcBorders>
              <w:left w:val="single" w:sz="4" w:space="0" w:color="auto"/>
              <w:right w:val="single" w:sz="4" w:space="0" w:color="auto"/>
            </w:tcBorders>
          </w:tcPr>
          <w:p w:rsidR="00D06A2F" w:rsidRPr="00E8065F" w:rsidRDefault="00D06A2F" w:rsidP="00BA1432">
            <w:pPr>
              <w:rPr>
                <w:sz w:val="20"/>
                <w:szCs w:val="20"/>
              </w:rPr>
            </w:pPr>
          </w:p>
        </w:tc>
        <w:tc>
          <w:tcPr>
            <w:tcW w:w="3685" w:type="dxa"/>
            <w:tcBorders>
              <w:top w:val="nil"/>
              <w:left w:val="single" w:sz="4" w:space="0" w:color="auto"/>
              <w:bottom w:val="single" w:sz="4" w:space="0" w:color="auto"/>
              <w:right w:val="single" w:sz="4" w:space="0" w:color="auto"/>
            </w:tcBorders>
            <w:shd w:val="clear" w:color="auto" w:fill="auto"/>
          </w:tcPr>
          <w:p w:rsidR="00D06A2F" w:rsidRPr="00E8065F" w:rsidRDefault="00D06A2F" w:rsidP="00D5127A">
            <w:pPr>
              <w:jc w:val="both"/>
              <w:rPr>
                <w:color w:val="000000"/>
                <w:sz w:val="20"/>
                <w:szCs w:val="20"/>
              </w:rPr>
            </w:pPr>
            <w:r w:rsidRPr="00E8065F">
              <w:rPr>
                <w:color w:val="000000"/>
                <w:sz w:val="20"/>
                <w:szCs w:val="20"/>
              </w:rPr>
              <w:t xml:space="preserve">ГАУЗ </w:t>
            </w:r>
            <w:r>
              <w:rPr>
                <w:color w:val="000000"/>
                <w:sz w:val="20"/>
                <w:szCs w:val="20"/>
              </w:rPr>
              <w:t>«</w:t>
            </w:r>
            <w:r w:rsidRPr="00E8065F">
              <w:rPr>
                <w:color w:val="000000"/>
                <w:sz w:val="20"/>
                <w:szCs w:val="20"/>
              </w:rPr>
              <w:t xml:space="preserve">Госпиталь для ветеранов </w:t>
            </w:r>
            <w:r>
              <w:rPr>
                <w:color w:val="000000"/>
                <w:sz w:val="20"/>
                <w:szCs w:val="20"/>
              </w:rPr>
              <w:t>вой</w:t>
            </w:r>
            <w:r w:rsidRPr="00E8065F">
              <w:rPr>
                <w:color w:val="000000"/>
                <w:sz w:val="20"/>
                <w:szCs w:val="20"/>
              </w:rPr>
              <w:t>н</w:t>
            </w:r>
            <w:r>
              <w:rPr>
                <w:color w:val="000000"/>
                <w:sz w:val="20"/>
                <w:szCs w:val="20"/>
              </w:rPr>
              <w:t>»</w:t>
            </w:r>
            <w:r w:rsidRPr="00E8065F">
              <w:rPr>
                <w:color w:val="000000"/>
                <w:sz w:val="20"/>
                <w:szCs w:val="20"/>
              </w:rPr>
              <w:t xml:space="preserve"> г.Казан</w:t>
            </w:r>
            <w:r>
              <w:rPr>
                <w:color w:val="000000"/>
                <w:sz w:val="20"/>
                <w:szCs w:val="20"/>
              </w:rPr>
              <w:t>и</w:t>
            </w:r>
          </w:p>
        </w:tc>
        <w:tc>
          <w:tcPr>
            <w:tcW w:w="1994" w:type="dxa"/>
            <w:tcBorders>
              <w:top w:val="nil"/>
              <w:left w:val="single" w:sz="4" w:space="0" w:color="auto"/>
              <w:bottom w:val="single" w:sz="4" w:space="0" w:color="auto"/>
              <w:right w:val="single" w:sz="4" w:space="0" w:color="auto"/>
            </w:tcBorders>
            <w:shd w:val="clear" w:color="auto" w:fill="auto"/>
          </w:tcPr>
          <w:p w:rsidR="00D06A2F" w:rsidRPr="00E8065F" w:rsidRDefault="00D06A2F" w:rsidP="00BA1432">
            <w:pPr>
              <w:jc w:val="center"/>
              <w:rPr>
                <w:color w:val="000000"/>
                <w:sz w:val="20"/>
                <w:szCs w:val="20"/>
              </w:rPr>
            </w:pPr>
            <w:r>
              <w:rPr>
                <w:rFonts w:eastAsia="Calibri"/>
                <w:sz w:val="20"/>
                <w:szCs w:val="20"/>
              </w:rPr>
              <w:t>Фиброгастродуоденоскоп</w:t>
            </w:r>
          </w:p>
        </w:tc>
        <w:tc>
          <w:tcPr>
            <w:tcW w:w="1181" w:type="dxa"/>
            <w:tcBorders>
              <w:bottom w:val="single" w:sz="4" w:space="0" w:color="auto"/>
            </w:tcBorders>
          </w:tcPr>
          <w:p w:rsidR="00D06A2F" w:rsidRPr="005D7240" w:rsidRDefault="00D06A2F" w:rsidP="000546C2">
            <w:pPr>
              <w:jc w:val="center"/>
              <w:rPr>
                <w:sz w:val="20"/>
                <w:szCs w:val="20"/>
                <w:lang w:val="en-US"/>
              </w:rPr>
            </w:pPr>
            <w:r w:rsidRPr="00E8065F">
              <w:rPr>
                <w:sz w:val="20"/>
                <w:szCs w:val="20"/>
              </w:rPr>
              <w:t>2022</w:t>
            </w:r>
            <w:r w:rsidR="003D79B3">
              <w:rPr>
                <w:sz w:val="20"/>
                <w:szCs w:val="20"/>
              </w:rPr>
              <w:t xml:space="preserve"> </w:t>
            </w:r>
            <w:r w:rsidR="005D7240">
              <w:rPr>
                <w:sz w:val="20"/>
                <w:szCs w:val="20"/>
                <w:lang w:val="en-US"/>
              </w:rPr>
              <w:t>(2)</w:t>
            </w:r>
          </w:p>
          <w:p w:rsidR="00D06A2F" w:rsidRPr="005D7240" w:rsidRDefault="00D06A2F" w:rsidP="000546C2">
            <w:pPr>
              <w:jc w:val="center"/>
              <w:rPr>
                <w:sz w:val="20"/>
                <w:szCs w:val="20"/>
                <w:lang w:val="en-US"/>
              </w:rPr>
            </w:pPr>
            <w:r w:rsidRPr="00E8065F">
              <w:rPr>
                <w:sz w:val="20"/>
                <w:szCs w:val="20"/>
              </w:rPr>
              <w:t>2023</w:t>
            </w:r>
            <w:r w:rsidR="003D79B3">
              <w:rPr>
                <w:sz w:val="20"/>
                <w:szCs w:val="20"/>
              </w:rPr>
              <w:t xml:space="preserve"> </w:t>
            </w:r>
            <w:r w:rsidR="005D7240">
              <w:rPr>
                <w:sz w:val="20"/>
                <w:szCs w:val="20"/>
                <w:lang w:val="en-US"/>
              </w:rPr>
              <w:t>(2)</w:t>
            </w:r>
          </w:p>
        </w:tc>
        <w:tc>
          <w:tcPr>
            <w:tcW w:w="1181" w:type="dxa"/>
            <w:tcBorders>
              <w:top w:val="nil"/>
              <w:left w:val="single" w:sz="4" w:space="0" w:color="auto"/>
              <w:bottom w:val="single" w:sz="4" w:space="0" w:color="auto"/>
              <w:right w:val="single" w:sz="4" w:space="0" w:color="auto"/>
            </w:tcBorders>
            <w:shd w:val="clear" w:color="auto" w:fill="auto"/>
          </w:tcPr>
          <w:p w:rsidR="00D06A2F" w:rsidRPr="00E8065F" w:rsidRDefault="00D06A2F" w:rsidP="000546C2">
            <w:pPr>
              <w:jc w:val="center"/>
              <w:rPr>
                <w:color w:val="000000"/>
                <w:sz w:val="20"/>
                <w:szCs w:val="20"/>
              </w:rPr>
            </w:pPr>
            <w:r w:rsidRPr="00E8065F">
              <w:rPr>
                <w:color w:val="000000"/>
                <w:sz w:val="20"/>
                <w:szCs w:val="20"/>
              </w:rPr>
              <w:t>4</w:t>
            </w:r>
          </w:p>
        </w:tc>
        <w:tc>
          <w:tcPr>
            <w:tcW w:w="1478" w:type="dxa"/>
            <w:tcBorders>
              <w:top w:val="nil"/>
              <w:left w:val="single" w:sz="4" w:space="0" w:color="auto"/>
              <w:bottom w:val="single" w:sz="4" w:space="0" w:color="auto"/>
              <w:right w:val="single" w:sz="4" w:space="0" w:color="auto"/>
            </w:tcBorders>
            <w:shd w:val="clear" w:color="auto" w:fill="auto"/>
          </w:tcPr>
          <w:p w:rsidR="00D06A2F" w:rsidRPr="00E8065F" w:rsidRDefault="00D06A2F" w:rsidP="000546C2">
            <w:pPr>
              <w:jc w:val="center"/>
              <w:rPr>
                <w:color w:val="000000"/>
                <w:sz w:val="20"/>
                <w:szCs w:val="20"/>
              </w:rPr>
            </w:pPr>
            <w:r w:rsidRPr="00E8065F">
              <w:rPr>
                <w:color w:val="000000"/>
                <w:sz w:val="20"/>
                <w:szCs w:val="20"/>
              </w:rPr>
              <w:t>8,5</w:t>
            </w:r>
          </w:p>
        </w:tc>
        <w:tc>
          <w:tcPr>
            <w:tcW w:w="1111" w:type="dxa"/>
            <w:tcBorders>
              <w:top w:val="nil"/>
              <w:left w:val="single" w:sz="4" w:space="0" w:color="auto"/>
              <w:bottom w:val="single" w:sz="4" w:space="0" w:color="auto"/>
              <w:right w:val="single" w:sz="4" w:space="0" w:color="auto"/>
            </w:tcBorders>
            <w:shd w:val="clear" w:color="auto" w:fill="auto"/>
          </w:tcPr>
          <w:p w:rsidR="00D06A2F" w:rsidRPr="00E8065F" w:rsidRDefault="00D06A2F" w:rsidP="000546C2">
            <w:pPr>
              <w:jc w:val="center"/>
              <w:rPr>
                <w:color w:val="000000"/>
                <w:sz w:val="20"/>
                <w:szCs w:val="20"/>
              </w:rPr>
            </w:pPr>
            <w:r w:rsidRPr="00E8065F">
              <w:rPr>
                <w:color w:val="000000"/>
                <w:sz w:val="20"/>
                <w:szCs w:val="20"/>
              </w:rPr>
              <w:t>1</w:t>
            </w:r>
          </w:p>
        </w:tc>
        <w:tc>
          <w:tcPr>
            <w:tcW w:w="1944" w:type="dxa"/>
            <w:tcBorders>
              <w:top w:val="nil"/>
              <w:left w:val="single" w:sz="4" w:space="0" w:color="auto"/>
              <w:bottom w:val="single" w:sz="4" w:space="0" w:color="auto"/>
              <w:right w:val="single" w:sz="4" w:space="0" w:color="auto"/>
            </w:tcBorders>
            <w:shd w:val="clear" w:color="auto" w:fill="auto"/>
          </w:tcPr>
          <w:p w:rsidR="00D06A2F" w:rsidRPr="00E8065F" w:rsidRDefault="00D06A2F" w:rsidP="00BA1432">
            <w:pPr>
              <w:jc w:val="center"/>
              <w:rPr>
                <w:color w:val="000000"/>
                <w:sz w:val="20"/>
                <w:szCs w:val="20"/>
              </w:rPr>
            </w:pPr>
            <w:r w:rsidRPr="00E8065F">
              <w:rPr>
                <w:color w:val="000000"/>
                <w:sz w:val="20"/>
                <w:szCs w:val="20"/>
              </w:rPr>
              <w:t>Амбулаторное/стационарное</w:t>
            </w:r>
          </w:p>
        </w:tc>
      </w:tr>
      <w:tr w:rsidR="00D06A2F" w:rsidRPr="00E8065F" w:rsidTr="00CD3A6F">
        <w:trPr>
          <w:trHeight w:val="20"/>
        </w:trPr>
        <w:tc>
          <w:tcPr>
            <w:tcW w:w="1555" w:type="dxa"/>
            <w:vMerge/>
            <w:tcBorders>
              <w:left w:val="single" w:sz="4" w:space="0" w:color="auto"/>
              <w:right w:val="single" w:sz="4" w:space="0" w:color="auto"/>
            </w:tcBorders>
          </w:tcPr>
          <w:p w:rsidR="00D06A2F" w:rsidRPr="00E8065F" w:rsidRDefault="00D06A2F" w:rsidP="00BA1432">
            <w:pPr>
              <w:rPr>
                <w:sz w:val="20"/>
                <w:szCs w:val="20"/>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D06A2F" w:rsidRPr="00E8065F" w:rsidRDefault="00D06A2F" w:rsidP="00DC0475">
            <w:pPr>
              <w:jc w:val="both"/>
              <w:rPr>
                <w:color w:val="000000"/>
                <w:sz w:val="20"/>
                <w:szCs w:val="20"/>
              </w:rPr>
            </w:pPr>
            <w:r w:rsidRPr="00E8065F">
              <w:rPr>
                <w:color w:val="000000"/>
                <w:sz w:val="20"/>
                <w:szCs w:val="20"/>
              </w:rPr>
              <w:t xml:space="preserve">ГАУЗ </w:t>
            </w:r>
            <w:r>
              <w:rPr>
                <w:color w:val="000000"/>
                <w:sz w:val="20"/>
                <w:szCs w:val="20"/>
              </w:rPr>
              <w:t>«</w:t>
            </w:r>
            <w:r w:rsidRPr="00E8065F">
              <w:rPr>
                <w:color w:val="000000"/>
                <w:sz w:val="20"/>
                <w:szCs w:val="20"/>
              </w:rPr>
              <w:t>Госпиталь для ветеранов вой</w:t>
            </w:r>
            <w:r>
              <w:rPr>
                <w:color w:val="000000"/>
                <w:sz w:val="20"/>
                <w:szCs w:val="20"/>
              </w:rPr>
              <w:t>н» г.</w:t>
            </w:r>
            <w:r w:rsidRPr="00E8065F">
              <w:rPr>
                <w:color w:val="000000"/>
                <w:sz w:val="20"/>
                <w:szCs w:val="20"/>
              </w:rPr>
              <w:t>Набережные Челны</w:t>
            </w:r>
          </w:p>
        </w:tc>
        <w:tc>
          <w:tcPr>
            <w:tcW w:w="1994" w:type="dxa"/>
            <w:tcBorders>
              <w:top w:val="single" w:sz="4" w:space="0" w:color="auto"/>
              <w:left w:val="single" w:sz="4" w:space="0" w:color="auto"/>
              <w:bottom w:val="single" w:sz="4" w:space="0" w:color="auto"/>
              <w:right w:val="single" w:sz="4" w:space="0" w:color="auto"/>
            </w:tcBorders>
            <w:shd w:val="clear" w:color="auto" w:fill="auto"/>
          </w:tcPr>
          <w:p w:rsidR="00D06A2F" w:rsidRPr="00E8065F" w:rsidRDefault="00D06A2F" w:rsidP="00BA1432">
            <w:pPr>
              <w:jc w:val="center"/>
              <w:rPr>
                <w:color w:val="000000"/>
                <w:sz w:val="20"/>
                <w:szCs w:val="20"/>
              </w:rPr>
            </w:pPr>
            <w:r>
              <w:rPr>
                <w:rFonts w:eastAsia="Calibri"/>
                <w:sz w:val="20"/>
                <w:szCs w:val="20"/>
              </w:rPr>
              <w:t>Фиброгастродуоденоскоп</w:t>
            </w:r>
          </w:p>
        </w:tc>
        <w:tc>
          <w:tcPr>
            <w:tcW w:w="1181" w:type="dxa"/>
            <w:tcBorders>
              <w:top w:val="single" w:sz="4" w:space="0" w:color="auto"/>
              <w:left w:val="single" w:sz="4" w:space="0" w:color="auto"/>
              <w:bottom w:val="single" w:sz="4" w:space="0" w:color="auto"/>
              <w:right w:val="single" w:sz="4" w:space="0" w:color="auto"/>
            </w:tcBorders>
          </w:tcPr>
          <w:p w:rsidR="00D06A2F" w:rsidRPr="005D7240" w:rsidRDefault="00D06A2F" w:rsidP="000546C2">
            <w:pPr>
              <w:jc w:val="center"/>
              <w:rPr>
                <w:sz w:val="20"/>
                <w:szCs w:val="20"/>
                <w:lang w:val="en-US"/>
              </w:rPr>
            </w:pPr>
            <w:r w:rsidRPr="00E8065F">
              <w:rPr>
                <w:sz w:val="20"/>
                <w:szCs w:val="20"/>
              </w:rPr>
              <w:t>2015</w:t>
            </w:r>
            <w:r w:rsidR="003D79B3">
              <w:rPr>
                <w:sz w:val="20"/>
                <w:szCs w:val="20"/>
              </w:rPr>
              <w:t xml:space="preserve"> </w:t>
            </w:r>
            <w:r w:rsidR="005D7240">
              <w:rPr>
                <w:sz w:val="20"/>
                <w:szCs w:val="20"/>
                <w:lang w:val="en-US"/>
              </w:rPr>
              <w:t>(1)</w:t>
            </w:r>
          </w:p>
          <w:p w:rsidR="00D06A2F" w:rsidRPr="005D7240" w:rsidRDefault="00D06A2F" w:rsidP="000546C2">
            <w:pPr>
              <w:jc w:val="center"/>
              <w:rPr>
                <w:sz w:val="20"/>
                <w:szCs w:val="20"/>
                <w:lang w:val="en-US"/>
              </w:rPr>
            </w:pPr>
            <w:r w:rsidRPr="00E8065F">
              <w:rPr>
                <w:sz w:val="20"/>
                <w:szCs w:val="20"/>
              </w:rPr>
              <w:t>2022</w:t>
            </w:r>
            <w:r w:rsidR="003D79B3">
              <w:rPr>
                <w:sz w:val="20"/>
                <w:szCs w:val="20"/>
              </w:rPr>
              <w:t xml:space="preserve"> </w:t>
            </w:r>
            <w:r w:rsidR="005D7240">
              <w:rPr>
                <w:sz w:val="20"/>
                <w:szCs w:val="20"/>
                <w:lang w:val="en-US"/>
              </w:rPr>
              <w:t>(2)</w:t>
            </w:r>
          </w:p>
        </w:tc>
        <w:tc>
          <w:tcPr>
            <w:tcW w:w="1181" w:type="dxa"/>
            <w:tcBorders>
              <w:top w:val="single" w:sz="4" w:space="0" w:color="auto"/>
              <w:left w:val="single" w:sz="4" w:space="0" w:color="auto"/>
              <w:bottom w:val="single" w:sz="4" w:space="0" w:color="auto"/>
              <w:right w:val="single" w:sz="4" w:space="0" w:color="auto"/>
            </w:tcBorders>
            <w:shd w:val="clear" w:color="auto" w:fill="auto"/>
          </w:tcPr>
          <w:p w:rsidR="00D06A2F" w:rsidRPr="00E8065F" w:rsidRDefault="00D06A2F" w:rsidP="000546C2">
            <w:pPr>
              <w:jc w:val="center"/>
              <w:rPr>
                <w:color w:val="000000"/>
                <w:sz w:val="20"/>
                <w:szCs w:val="20"/>
              </w:rPr>
            </w:pPr>
            <w:r w:rsidRPr="00E8065F">
              <w:rPr>
                <w:color w:val="000000"/>
                <w:sz w:val="20"/>
                <w:szCs w:val="20"/>
              </w:rPr>
              <w:t>3</w:t>
            </w:r>
          </w:p>
        </w:tc>
        <w:tc>
          <w:tcPr>
            <w:tcW w:w="1478" w:type="dxa"/>
            <w:tcBorders>
              <w:top w:val="single" w:sz="4" w:space="0" w:color="auto"/>
              <w:left w:val="single" w:sz="4" w:space="0" w:color="auto"/>
              <w:bottom w:val="single" w:sz="4" w:space="0" w:color="auto"/>
              <w:right w:val="single" w:sz="4" w:space="0" w:color="auto"/>
            </w:tcBorders>
            <w:shd w:val="clear" w:color="auto" w:fill="auto"/>
          </w:tcPr>
          <w:p w:rsidR="00D06A2F" w:rsidRPr="00E8065F" w:rsidRDefault="00D06A2F" w:rsidP="000546C2">
            <w:pPr>
              <w:jc w:val="center"/>
              <w:rPr>
                <w:color w:val="000000"/>
                <w:sz w:val="20"/>
                <w:szCs w:val="20"/>
              </w:rPr>
            </w:pPr>
            <w:r w:rsidRPr="00E8065F">
              <w:rPr>
                <w:color w:val="000000"/>
                <w:sz w:val="20"/>
                <w:szCs w:val="20"/>
              </w:rPr>
              <w:t>8,0</w:t>
            </w:r>
          </w:p>
        </w:tc>
        <w:tc>
          <w:tcPr>
            <w:tcW w:w="1111" w:type="dxa"/>
            <w:tcBorders>
              <w:top w:val="single" w:sz="4" w:space="0" w:color="auto"/>
              <w:left w:val="single" w:sz="4" w:space="0" w:color="auto"/>
              <w:bottom w:val="single" w:sz="4" w:space="0" w:color="auto"/>
              <w:right w:val="single" w:sz="4" w:space="0" w:color="auto"/>
            </w:tcBorders>
            <w:shd w:val="clear" w:color="auto" w:fill="auto"/>
          </w:tcPr>
          <w:p w:rsidR="00D06A2F" w:rsidRPr="00E8065F" w:rsidRDefault="00D06A2F" w:rsidP="000546C2">
            <w:pPr>
              <w:jc w:val="center"/>
              <w:rPr>
                <w:color w:val="000000"/>
                <w:sz w:val="20"/>
                <w:szCs w:val="20"/>
              </w:rPr>
            </w:pPr>
            <w:r w:rsidRPr="00E8065F">
              <w:rPr>
                <w:color w:val="000000"/>
                <w:sz w:val="20"/>
                <w:szCs w:val="20"/>
              </w:rPr>
              <w:t>1</w:t>
            </w:r>
          </w:p>
        </w:tc>
        <w:tc>
          <w:tcPr>
            <w:tcW w:w="1944" w:type="dxa"/>
            <w:tcBorders>
              <w:top w:val="single" w:sz="4" w:space="0" w:color="auto"/>
              <w:left w:val="single" w:sz="4" w:space="0" w:color="auto"/>
              <w:bottom w:val="single" w:sz="4" w:space="0" w:color="auto"/>
              <w:right w:val="single" w:sz="4" w:space="0" w:color="auto"/>
            </w:tcBorders>
            <w:shd w:val="clear" w:color="auto" w:fill="auto"/>
          </w:tcPr>
          <w:p w:rsidR="00D06A2F" w:rsidRPr="00E8065F" w:rsidRDefault="00D06A2F" w:rsidP="00BA1432">
            <w:pPr>
              <w:jc w:val="center"/>
              <w:rPr>
                <w:color w:val="000000"/>
                <w:sz w:val="20"/>
                <w:szCs w:val="20"/>
              </w:rPr>
            </w:pPr>
            <w:r w:rsidRPr="00E8065F">
              <w:rPr>
                <w:color w:val="000000"/>
                <w:sz w:val="20"/>
                <w:szCs w:val="20"/>
              </w:rPr>
              <w:t>Амбулаторное</w:t>
            </w:r>
          </w:p>
        </w:tc>
      </w:tr>
      <w:tr w:rsidR="00D06A2F" w:rsidRPr="00E8065F" w:rsidTr="00CD3A6F">
        <w:trPr>
          <w:trHeight w:val="20"/>
        </w:trPr>
        <w:tc>
          <w:tcPr>
            <w:tcW w:w="1555" w:type="dxa"/>
            <w:vMerge/>
            <w:tcBorders>
              <w:left w:val="single" w:sz="4" w:space="0" w:color="auto"/>
              <w:right w:val="single" w:sz="4" w:space="0" w:color="auto"/>
            </w:tcBorders>
          </w:tcPr>
          <w:p w:rsidR="00D06A2F" w:rsidRPr="00E8065F" w:rsidRDefault="00D06A2F" w:rsidP="00BA1432">
            <w:pPr>
              <w:rPr>
                <w:sz w:val="20"/>
                <w:szCs w:val="20"/>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D06A2F" w:rsidRPr="00E8065F" w:rsidRDefault="00D06A2F" w:rsidP="00DC0475">
            <w:pPr>
              <w:jc w:val="both"/>
              <w:rPr>
                <w:color w:val="000000"/>
                <w:sz w:val="20"/>
                <w:szCs w:val="20"/>
              </w:rPr>
            </w:pPr>
            <w:r>
              <w:rPr>
                <w:color w:val="000000"/>
                <w:sz w:val="20"/>
                <w:szCs w:val="20"/>
              </w:rPr>
              <w:t xml:space="preserve">ГАУЗ </w:t>
            </w:r>
            <w:r>
              <w:rPr>
                <w:rFonts w:eastAsia="Calibri"/>
                <w:sz w:val="20"/>
                <w:szCs w:val="20"/>
              </w:rPr>
              <w:t xml:space="preserve">«Детская республиканская клиническая больница Министерства здравоохранения Республики Татарстан» </w:t>
            </w:r>
          </w:p>
        </w:tc>
        <w:tc>
          <w:tcPr>
            <w:tcW w:w="1994" w:type="dxa"/>
            <w:tcBorders>
              <w:top w:val="single" w:sz="4" w:space="0" w:color="auto"/>
              <w:left w:val="single" w:sz="4" w:space="0" w:color="auto"/>
              <w:bottom w:val="single" w:sz="4" w:space="0" w:color="auto"/>
              <w:right w:val="single" w:sz="4" w:space="0" w:color="auto"/>
            </w:tcBorders>
            <w:shd w:val="clear" w:color="auto" w:fill="auto"/>
          </w:tcPr>
          <w:p w:rsidR="00D06A2F" w:rsidRPr="00E8065F" w:rsidRDefault="00D06A2F" w:rsidP="00BA1432">
            <w:pPr>
              <w:jc w:val="center"/>
              <w:rPr>
                <w:color w:val="000000"/>
                <w:sz w:val="20"/>
                <w:szCs w:val="20"/>
              </w:rPr>
            </w:pPr>
            <w:r>
              <w:rPr>
                <w:rFonts w:eastAsia="Calibri"/>
                <w:sz w:val="20"/>
                <w:szCs w:val="20"/>
              </w:rPr>
              <w:t>Фиброгастродуоденоскоп</w:t>
            </w:r>
          </w:p>
        </w:tc>
        <w:tc>
          <w:tcPr>
            <w:tcW w:w="1181" w:type="dxa"/>
            <w:tcBorders>
              <w:top w:val="single" w:sz="4" w:space="0" w:color="auto"/>
            </w:tcBorders>
          </w:tcPr>
          <w:p w:rsidR="00D06A2F" w:rsidRPr="005D7240" w:rsidRDefault="00D06A2F" w:rsidP="000546C2">
            <w:pPr>
              <w:jc w:val="center"/>
              <w:rPr>
                <w:sz w:val="20"/>
                <w:szCs w:val="20"/>
                <w:lang w:val="en-US"/>
              </w:rPr>
            </w:pPr>
            <w:r w:rsidRPr="00E8065F">
              <w:rPr>
                <w:sz w:val="20"/>
                <w:szCs w:val="20"/>
              </w:rPr>
              <w:t>2010</w:t>
            </w:r>
            <w:r w:rsidR="003D79B3">
              <w:rPr>
                <w:sz w:val="20"/>
                <w:szCs w:val="20"/>
              </w:rPr>
              <w:t xml:space="preserve"> </w:t>
            </w:r>
            <w:r w:rsidR="005D7240">
              <w:rPr>
                <w:sz w:val="20"/>
                <w:szCs w:val="20"/>
                <w:lang w:val="en-US"/>
              </w:rPr>
              <w:t>(2)</w:t>
            </w:r>
          </w:p>
          <w:p w:rsidR="00D06A2F" w:rsidRPr="005D7240" w:rsidRDefault="00D06A2F" w:rsidP="000546C2">
            <w:pPr>
              <w:jc w:val="center"/>
              <w:rPr>
                <w:sz w:val="20"/>
                <w:szCs w:val="20"/>
                <w:lang w:val="en-US"/>
              </w:rPr>
            </w:pPr>
            <w:r w:rsidRPr="00E8065F">
              <w:rPr>
                <w:sz w:val="20"/>
                <w:szCs w:val="20"/>
              </w:rPr>
              <w:t>2011</w:t>
            </w:r>
            <w:r w:rsidR="003D79B3">
              <w:rPr>
                <w:sz w:val="20"/>
                <w:szCs w:val="20"/>
              </w:rPr>
              <w:t xml:space="preserve"> </w:t>
            </w:r>
            <w:r w:rsidR="005D7240">
              <w:rPr>
                <w:sz w:val="20"/>
                <w:szCs w:val="20"/>
                <w:lang w:val="en-US"/>
              </w:rPr>
              <w:t>(1)</w:t>
            </w:r>
          </w:p>
          <w:p w:rsidR="00D06A2F" w:rsidRPr="005D7240" w:rsidRDefault="00D06A2F" w:rsidP="000546C2">
            <w:pPr>
              <w:jc w:val="center"/>
              <w:rPr>
                <w:sz w:val="20"/>
                <w:szCs w:val="20"/>
                <w:lang w:val="en-US"/>
              </w:rPr>
            </w:pPr>
            <w:r w:rsidRPr="00E8065F">
              <w:rPr>
                <w:sz w:val="20"/>
                <w:szCs w:val="20"/>
              </w:rPr>
              <w:t>2012</w:t>
            </w:r>
            <w:r w:rsidR="003D79B3">
              <w:rPr>
                <w:sz w:val="20"/>
                <w:szCs w:val="20"/>
              </w:rPr>
              <w:t xml:space="preserve"> </w:t>
            </w:r>
            <w:r w:rsidR="005D7240">
              <w:rPr>
                <w:sz w:val="20"/>
                <w:szCs w:val="20"/>
                <w:lang w:val="en-US"/>
              </w:rPr>
              <w:t>(2)</w:t>
            </w:r>
          </w:p>
          <w:p w:rsidR="00D06A2F" w:rsidRPr="005D7240" w:rsidRDefault="00D06A2F" w:rsidP="000546C2">
            <w:pPr>
              <w:jc w:val="center"/>
              <w:rPr>
                <w:sz w:val="20"/>
                <w:szCs w:val="20"/>
                <w:lang w:val="en-US"/>
              </w:rPr>
            </w:pPr>
            <w:r w:rsidRPr="00E8065F">
              <w:rPr>
                <w:sz w:val="20"/>
                <w:szCs w:val="20"/>
              </w:rPr>
              <w:t>2013</w:t>
            </w:r>
            <w:r w:rsidR="003D79B3">
              <w:rPr>
                <w:sz w:val="20"/>
                <w:szCs w:val="20"/>
              </w:rPr>
              <w:t xml:space="preserve"> </w:t>
            </w:r>
            <w:r w:rsidR="005D7240">
              <w:rPr>
                <w:sz w:val="20"/>
                <w:szCs w:val="20"/>
                <w:lang w:val="en-US"/>
              </w:rPr>
              <w:t>(3)</w:t>
            </w:r>
          </w:p>
          <w:p w:rsidR="00D06A2F" w:rsidRPr="005D7240" w:rsidRDefault="00D06A2F" w:rsidP="000546C2">
            <w:pPr>
              <w:jc w:val="center"/>
              <w:rPr>
                <w:sz w:val="20"/>
                <w:szCs w:val="20"/>
                <w:lang w:val="en-US"/>
              </w:rPr>
            </w:pPr>
            <w:r w:rsidRPr="00E8065F">
              <w:rPr>
                <w:sz w:val="20"/>
                <w:szCs w:val="20"/>
              </w:rPr>
              <w:t>2014</w:t>
            </w:r>
            <w:r w:rsidR="003D79B3">
              <w:rPr>
                <w:sz w:val="20"/>
                <w:szCs w:val="20"/>
              </w:rPr>
              <w:t xml:space="preserve"> </w:t>
            </w:r>
            <w:r w:rsidR="005D7240">
              <w:rPr>
                <w:sz w:val="20"/>
                <w:szCs w:val="20"/>
                <w:lang w:val="en-US"/>
              </w:rPr>
              <w:t>(3)</w:t>
            </w:r>
          </w:p>
          <w:p w:rsidR="00D06A2F" w:rsidRPr="005D7240" w:rsidRDefault="00D06A2F" w:rsidP="000546C2">
            <w:pPr>
              <w:jc w:val="center"/>
              <w:rPr>
                <w:sz w:val="20"/>
                <w:szCs w:val="20"/>
                <w:lang w:val="en-US"/>
              </w:rPr>
            </w:pPr>
            <w:r w:rsidRPr="00E8065F">
              <w:rPr>
                <w:sz w:val="20"/>
                <w:szCs w:val="20"/>
              </w:rPr>
              <w:t>2015</w:t>
            </w:r>
            <w:r w:rsidR="003D79B3">
              <w:rPr>
                <w:sz w:val="20"/>
                <w:szCs w:val="20"/>
              </w:rPr>
              <w:t xml:space="preserve"> </w:t>
            </w:r>
            <w:r w:rsidR="005D7240">
              <w:rPr>
                <w:sz w:val="20"/>
                <w:szCs w:val="20"/>
                <w:lang w:val="en-US"/>
              </w:rPr>
              <w:t>(6)</w:t>
            </w:r>
          </w:p>
          <w:p w:rsidR="00D06A2F" w:rsidRPr="005D7240" w:rsidRDefault="00D06A2F" w:rsidP="000546C2">
            <w:pPr>
              <w:jc w:val="center"/>
              <w:rPr>
                <w:sz w:val="20"/>
                <w:szCs w:val="20"/>
                <w:lang w:val="en-US"/>
              </w:rPr>
            </w:pPr>
            <w:r w:rsidRPr="00E8065F">
              <w:rPr>
                <w:sz w:val="20"/>
                <w:szCs w:val="20"/>
              </w:rPr>
              <w:t>2016</w:t>
            </w:r>
            <w:r w:rsidR="003D79B3">
              <w:rPr>
                <w:sz w:val="20"/>
                <w:szCs w:val="20"/>
              </w:rPr>
              <w:t xml:space="preserve"> </w:t>
            </w:r>
            <w:r w:rsidR="005D7240">
              <w:rPr>
                <w:sz w:val="20"/>
                <w:szCs w:val="20"/>
                <w:lang w:val="en-US"/>
              </w:rPr>
              <w:t>(3)</w:t>
            </w:r>
          </w:p>
          <w:p w:rsidR="00D06A2F" w:rsidRPr="005D7240" w:rsidRDefault="00D06A2F" w:rsidP="000546C2">
            <w:pPr>
              <w:jc w:val="center"/>
              <w:rPr>
                <w:sz w:val="20"/>
                <w:szCs w:val="20"/>
                <w:lang w:val="en-US"/>
              </w:rPr>
            </w:pPr>
            <w:r w:rsidRPr="00E8065F">
              <w:rPr>
                <w:sz w:val="20"/>
                <w:szCs w:val="20"/>
              </w:rPr>
              <w:t>2021</w:t>
            </w:r>
            <w:r w:rsidR="003D79B3">
              <w:rPr>
                <w:sz w:val="20"/>
                <w:szCs w:val="20"/>
              </w:rPr>
              <w:t xml:space="preserve"> </w:t>
            </w:r>
            <w:r w:rsidR="005D7240">
              <w:rPr>
                <w:sz w:val="20"/>
                <w:szCs w:val="20"/>
                <w:lang w:val="en-US"/>
              </w:rPr>
              <w:t>(1)</w:t>
            </w:r>
          </w:p>
          <w:p w:rsidR="00D06A2F" w:rsidRPr="005D7240" w:rsidRDefault="00D06A2F" w:rsidP="000546C2">
            <w:pPr>
              <w:jc w:val="center"/>
              <w:rPr>
                <w:sz w:val="20"/>
                <w:szCs w:val="20"/>
                <w:lang w:val="en-US"/>
              </w:rPr>
            </w:pPr>
            <w:r w:rsidRPr="00E8065F">
              <w:rPr>
                <w:sz w:val="20"/>
                <w:szCs w:val="20"/>
              </w:rPr>
              <w:t>2022</w:t>
            </w:r>
            <w:r w:rsidR="003D79B3">
              <w:rPr>
                <w:sz w:val="20"/>
                <w:szCs w:val="20"/>
              </w:rPr>
              <w:t xml:space="preserve"> </w:t>
            </w:r>
            <w:r w:rsidR="005D7240">
              <w:rPr>
                <w:sz w:val="20"/>
                <w:szCs w:val="20"/>
                <w:lang w:val="en-US"/>
              </w:rPr>
              <w:t>(2)</w:t>
            </w:r>
          </w:p>
          <w:p w:rsidR="00D06A2F" w:rsidRPr="005D7240" w:rsidRDefault="00D06A2F" w:rsidP="000546C2">
            <w:pPr>
              <w:jc w:val="center"/>
              <w:rPr>
                <w:sz w:val="20"/>
                <w:szCs w:val="20"/>
                <w:lang w:val="en-US"/>
              </w:rPr>
            </w:pPr>
            <w:r w:rsidRPr="00E8065F">
              <w:rPr>
                <w:sz w:val="20"/>
                <w:szCs w:val="20"/>
              </w:rPr>
              <w:t>2023</w:t>
            </w:r>
            <w:r w:rsidR="003D79B3">
              <w:rPr>
                <w:sz w:val="20"/>
                <w:szCs w:val="20"/>
              </w:rPr>
              <w:t xml:space="preserve"> </w:t>
            </w:r>
            <w:r w:rsidR="005D7240">
              <w:rPr>
                <w:sz w:val="20"/>
                <w:szCs w:val="20"/>
                <w:lang w:val="en-US"/>
              </w:rPr>
              <w:t>(1)</w:t>
            </w:r>
          </w:p>
        </w:tc>
        <w:tc>
          <w:tcPr>
            <w:tcW w:w="1181" w:type="dxa"/>
            <w:tcBorders>
              <w:top w:val="single" w:sz="4" w:space="0" w:color="auto"/>
              <w:left w:val="single" w:sz="4" w:space="0" w:color="auto"/>
              <w:bottom w:val="single" w:sz="4" w:space="0" w:color="auto"/>
              <w:right w:val="single" w:sz="4" w:space="0" w:color="auto"/>
            </w:tcBorders>
            <w:shd w:val="clear" w:color="auto" w:fill="auto"/>
          </w:tcPr>
          <w:p w:rsidR="00D06A2F" w:rsidRPr="00E8065F" w:rsidRDefault="00D06A2F" w:rsidP="000546C2">
            <w:pPr>
              <w:jc w:val="center"/>
              <w:rPr>
                <w:color w:val="000000"/>
                <w:sz w:val="20"/>
                <w:szCs w:val="20"/>
              </w:rPr>
            </w:pPr>
            <w:r w:rsidRPr="00E8065F">
              <w:rPr>
                <w:color w:val="000000"/>
                <w:sz w:val="20"/>
                <w:szCs w:val="20"/>
              </w:rPr>
              <w:t>24</w:t>
            </w:r>
          </w:p>
        </w:tc>
        <w:tc>
          <w:tcPr>
            <w:tcW w:w="1478" w:type="dxa"/>
            <w:tcBorders>
              <w:top w:val="single" w:sz="4" w:space="0" w:color="auto"/>
              <w:left w:val="single" w:sz="4" w:space="0" w:color="auto"/>
              <w:bottom w:val="single" w:sz="4" w:space="0" w:color="auto"/>
              <w:right w:val="single" w:sz="4" w:space="0" w:color="auto"/>
            </w:tcBorders>
            <w:shd w:val="clear" w:color="auto" w:fill="auto"/>
          </w:tcPr>
          <w:p w:rsidR="00D06A2F" w:rsidRPr="00E8065F" w:rsidRDefault="00D06A2F" w:rsidP="000546C2">
            <w:pPr>
              <w:jc w:val="center"/>
              <w:rPr>
                <w:color w:val="000000"/>
                <w:sz w:val="20"/>
                <w:szCs w:val="20"/>
              </w:rPr>
            </w:pPr>
            <w:r w:rsidRPr="00E8065F">
              <w:rPr>
                <w:color w:val="000000"/>
                <w:sz w:val="20"/>
                <w:szCs w:val="20"/>
              </w:rPr>
              <w:t>12,2</w:t>
            </w:r>
          </w:p>
        </w:tc>
        <w:tc>
          <w:tcPr>
            <w:tcW w:w="1111" w:type="dxa"/>
            <w:tcBorders>
              <w:top w:val="single" w:sz="4" w:space="0" w:color="auto"/>
              <w:left w:val="single" w:sz="4" w:space="0" w:color="auto"/>
              <w:bottom w:val="single" w:sz="4" w:space="0" w:color="auto"/>
              <w:right w:val="single" w:sz="4" w:space="0" w:color="auto"/>
            </w:tcBorders>
            <w:shd w:val="clear" w:color="auto" w:fill="auto"/>
          </w:tcPr>
          <w:p w:rsidR="00D06A2F" w:rsidRPr="00E8065F" w:rsidRDefault="00D06A2F" w:rsidP="000546C2">
            <w:pPr>
              <w:jc w:val="center"/>
              <w:rPr>
                <w:color w:val="000000"/>
                <w:sz w:val="20"/>
                <w:szCs w:val="20"/>
              </w:rPr>
            </w:pPr>
            <w:r w:rsidRPr="00E8065F">
              <w:rPr>
                <w:color w:val="000000"/>
                <w:sz w:val="20"/>
                <w:szCs w:val="20"/>
              </w:rPr>
              <w:t>2</w:t>
            </w:r>
          </w:p>
        </w:tc>
        <w:tc>
          <w:tcPr>
            <w:tcW w:w="1944" w:type="dxa"/>
            <w:tcBorders>
              <w:top w:val="single" w:sz="4" w:space="0" w:color="auto"/>
              <w:left w:val="single" w:sz="4" w:space="0" w:color="auto"/>
              <w:bottom w:val="single" w:sz="4" w:space="0" w:color="auto"/>
              <w:right w:val="single" w:sz="4" w:space="0" w:color="auto"/>
            </w:tcBorders>
            <w:shd w:val="clear" w:color="auto" w:fill="auto"/>
          </w:tcPr>
          <w:p w:rsidR="00D06A2F" w:rsidRPr="00E8065F" w:rsidRDefault="00D06A2F" w:rsidP="00BA1432">
            <w:pPr>
              <w:jc w:val="center"/>
              <w:rPr>
                <w:color w:val="000000"/>
                <w:sz w:val="20"/>
                <w:szCs w:val="20"/>
              </w:rPr>
            </w:pPr>
            <w:r w:rsidRPr="00E8065F">
              <w:rPr>
                <w:color w:val="000000"/>
                <w:sz w:val="20"/>
                <w:szCs w:val="20"/>
              </w:rPr>
              <w:t>Амбулаторное/стационарное</w:t>
            </w:r>
          </w:p>
        </w:tc>
      </w:tr>
      <w:tr w:rsidR="00D06A2F" w:rsidRPr="00E8065F" w:rsidTr="00CD3A6F">
        <w:trPr>
          <w:trHeight w:val="20"/>
        </w:trPr>
        <w:tc>
          <w:tcPr>
            <w:tcW w:w="1555" w:type="dxa"/>
            <w:vMerge/>
            <w:tcBorders>
              <w:left w:val="single" w:sz="4" w:space="0" w:color="auto"/>
              <w:right w:val="single" w:sz="4" w:space="0" w:color="auto"/>
            </w:tcBorders>
          </w:tcPr>
          <w:p w:rsidR="00D06A2F" w:rsidRPr="00E8065F" w:rsidRDefault="00D06A2F" w:rsidP="00BA1432">
            <w:pPr>
              <w:rPr>
                <w:sz w:val="20"/>
                <w:szCs w:val="20"/>
              </w:rPr>
            </w:pPr>
          </w:p>
        </w:tc>
        <w:tc>
          <w:tcPr>
            <w:tcW w:w="3685" w:type="dxa"/>
            <w:tcBorders>
              <w:top w:val="nil"/>
              <w:left w:val="single" w:sz="4" w:space="0" w:color="auto"/>
              <w:bottom w:val="single" w:sz="4" w:space="0" w:color="auto"/>
              <w:right w:val="single" w:sz="4" w:space="0" w:color="auto"/>
            </w:tcBorders>
            <w:shd w:val="clear" w:color="auto" w:fill="auto"/>
          </w:tcPr>
          <w:p w:rsidR="00D06A2F" w:rsidRPr="00E8065F" w:rsidRDefault="00D06A2F" w:rsidP="00DC0475">
            <w:pPr>
              <w:jc w:val="both"/>
              <w:rPr>
                <w:color w:val="000000"/>
                <w:sz w:val="20"/>
                <w:szCs w:val="20"/>
              </w:rPr>
            </w:pPr>
            <w:r>
              <w:rPr>
                <w:color w:val="000000"/>
                <w:sz w:val="20"/>
                <w:szCs w:val="20"/>
              </w:rPr>
              <w:t xml:space="preserve">ГАУЗ </w:t>
            </w:r>
            <w:r>
              <w:rPr>
                <w:rFonts w:eastAsia="Calibri"/>
                <w:sz w:val="20"/>
                <w:szCs w:val="20"/>
              </w:rPr>
              <w:t>«Межрегиональный клинико-диагностический центр»</w:t>
            </w:r>
          </w:p>
        </w:tc>
        <w:tc>
          <w:tcPr>
            <w:tcW w:w="1994" w:type="dxa"/>
            <w:tcBorders>
              <w:top w:val="nil"/>
              <w:left w:val="single" w:sz="4" w:space="0" w:color="auto"/>
              <w:bottom w:val="single" w:sz="4" w:space="0" w:color="auto"/>
              <w:right w:val="single" w:sz="4" w:space="0" w:color="auto"/>
            </w:tcBorders>
            <w:shd w:val="clear" w:color="auto" w:fill="auto"/>
          </w:tcPr>
          <w:p w:rsidR="00D06A2F" w:rsidRPr="00AE291F" w:rsidRDefault="00D06A2F" w:rsidP="00BA1432">
            <w:pPr>
              <w:jc w:val="center"/>
              <w:rPr>
                <w:color w:val="000000"/>
                <w:sz w:val="20"/>
                <w:szCs w:val="20"/>
              </w:rPr>
            </w:pPr>
            <w:r>
              <w:rPr>
                <w:rFonts w:eastAsia="Calibri"/>
                <w:sz w:val="20"/>
                <w:szCs w:val="20"/>
              </w:rPr>
              <w:t>Ф</w:t>
            </w:r>
            <w:r w:rsidRPr="00AE291F">
              <w:rPr>
                <w:rFonts w:eastAsia="Calibri"/>
                <w:sz w:val="20"/>
                <w:szCs w:val="20"/>
              </w:rPr>
              <w:t>иброгастродуоденоскоп</w:t>
            </w:r>
          </w:p>
        </w:tc>
        <w:tc>
          <w:tcPr>
            <w:tcW w:w="1181" w:type="dxa"/>
          </w:tcPr>
          <w:p w:rsidR="00D06A2F" w:rsidRPr="005D7240" w:rsidRDefault="00D06A2F" w:rsidP="000546C2">
            <w:pPr>
              <w:jc w:val="center"/>
              <w:rPr>
                <w:sz w:val="20"/>
                <w:szCs w:val="20"/>
                <w:lang w:val="en-US"/>
              </w:rPr>
            </w:pPr>
            <w:r w:rsidRPr="00E8065F">
              <w:rPr>
                <w:sz w:val="20"/>
                <w:szCs w:val="20"/>
              </w:rPr>
              <w:t>2001</w:t>
            </w:r>
            <w:r w:rsidR="003D79B3">
              <w:rPr>
                <w:sz w:val="20"/>
                <w:szCs w:val="20"/>
              </w:rPr>
              <w:t xml:space="preserve"> </w:t>
            </w:r>
            <w:r w:rsidR="005D7240">
              <w:rPr>
                <w:sz w:val="20"/>
                <w:szCs w:val="20"/>
                <w:lang w:val="en-US"/>
              </w:rPr>
              <w:t>(1)</w:t>
            </w:r>
          </w:p>
          <w:p w:rsidR="00D06A2F" w:rsidRPr="005D7240" w:rsidRDefault="00D06A2F" w:rsidP="000546C2">
            <w:pPr>
              <w:jc w:val="center"/>
              <w:rPr>
                <w:sz w:val="20"/>
                <w:szCs w:val="20"/>
                <w:lang w:val="en-US"/>
              </w:rPr>
            </w:pPr>
            <w:r w:rsidRPr="00E8065F">
              <w:rPr>
                <w:sz w:val="20"/>
                <w:szCs w:val="20"/>
              </w:rPr>
              <w:t>2002</w:t>
            </w:r>
            <w:r w:rsidR="003D79B3">
              <w:rPr>
                <w:sz w:val="20"/>
                <w:szCs w:val="20"/>
              </w:rPr>
              <w:t xml:space="preserve"> </w:t>
            </w:r>
            <w:r w:rsidR="005D7240">
              <w:rPr>
                <w:sz w:val="20"/>
                <w:szCs w:val="20"/>
                <w:lang w:val="en-US"/>
              </w:rPr>
              <w:t>(4)</w:t>
            </w:r>
          </w:p>
          <w:p w:rsidR="00D06A2F" w:rsidRPr="005D7240" w:rsidRDefault="00D06A2F" w:rsidP="000546C2">
            <w:pPr>
              <w:jc w:val="center"/>
              <w:rPr>
                <w:sz w:val="20"/>
                <w:szCs w:val="20"/>
                <w:lang w:val="en-US"/>
              </w:rPr>
            </w:pPr>
            <w:r w:rsidRPr="00E8065F">
              <w:rPr>
                <w:sz w:val="20"/>
                <w:szCs w:val="20"/>
              </w:rPr>
              <w:t>2006</w:t>
            </w:r>
            <w:r w:rsidR="003D79B3">
              <w:rPr>
                <w:sz w:val="20"/>
                <w:szCs w:val="20"/>
              </w:rPr>
              <w:t xml:space="preserve"> </w:t>
            </w:r>
            <w:r w:rsidR="005D7240">
              <w:rPr>
                <w:sz w:val="20"/>
                <w:szCs w:val="20"/>
                <w:lang w:val="en-US"/>
              </w:rPr>
              <w:t>(2)</w:t>
            </w:r>
          </w:p>
          <w:p w:rsidR="00D06A2F" w:rsidRPr="005D7240" w:rsidRDefault="00D06A2F" w:rsidP="000546C2">
            <w:pPr>
              <w:jc w:val="center"/>
              <w:rPr>
                <w:sz w:val="20"/>
                <w:szCs w:val="20"/>
                <w:lang w:val="en-US"/>
              </w:rPr>
            </w:pPr>
            <w:r w:rsidRPr="00E8065F">
              <w:rPr>
                <w:sz w:val="20"/>
                <w:szCs w:val="20"/>
              </w:rPr>
              <w:t>2007</w:t>
            </w:r>
            <w:r w:rsidR="003D79B3">
              <w:rPr>
                <w:sz w:val="20"/>
                <w:szCs w:val="20"/>
              </w:rPr>
              <w:t xml:space="preserve"> </w:t>
            </w:r>
            <w:r w:rsidR="005D7240">
              <w:rPr>
                <w:sz w:val="20"/>
                <w:szCs w:val="20"/>
                <w:lang w:val="en-US"/>
              </w:rPr>
              <w:t>(1)</w:t>
            </w:r>
          </w:p>
          <w:p w:rsidR="00D06A2F" w:rsidRPr="005D7240" w:rsidRDefault="00D06A2F" w:rsidP="000546C2">
            <w:pPr>
              <w:jc w:val="center"/>
              <w:rPr>
                <w:sz w:val="20"/>
                <w:szCs w:val="20"/>
                <w:lang w:val="en-US"/>
              </w:rPr>
            </w:pPr>
            <w:r w:rsidRPr="00E8065F">
              <w:rPr>
                <w:sz w:val="20"/>
                <w:szCs w:val="20"/>
              </w:rPr>
              <w:t>2008</w:t>
            </w:r>
            <w:r w:rsidR="003D79B3">
              <w:rPr>
                <w:sz w:val="20"/>
                <w:szCs w:val="20"/>
              </w:rPr>
              <w:t xml:space="preserve"> </w:t>
            </w:r>
            <w:r w:rsidR="005D7240">
              <w:rPr>
                <w:sz w:val="20"/>
                <w:szCs w:val="20"/>
                <w:lang w:val="en-US"/>
              </w:rPr>
              <w:t>(4)</w:t>
            </w:r>
          </w:p>
          <w:p w:rsidR="00D06A2F" w:rsidRPr="005D7240" w:rsidRDefault="00D06A2F" w:rsidP="000546C2">
            <w:pPr>
              <w:jc w:val="center"/>
              <w:rPr>
                <w:sz w:val="20"/>
                <w:szCs w:val="20"/>
                <w:lang w:val="en-US"/>
              </w:rPr>
            </w:pPr>
            <w:r w:rsidRPr="00E8065F">
              <w:rPr>
                <w:sz w:val="20"/>
                <w:szCs w:val="20"/>
              </w:rPr>
              <w:t>2014</w:t>
            </w:r>
            <w:r w:rsidR="003D79B3">
              <w:rPr>
                <w:sz w:val="20"/>
                <w:szCs w:val="20"/>
              </w:rPr>
              <w:t xml:space="preserve"> </w:t>
            </w:r>
            <w:r w:rsidR="005D7240">
              <w:rPr>
                <w:sz w:val="20"/>
                <w:szCs w:val="20"/>
                <w:lang w:val="en-US"/>
              </w:rPr>
              <w:t>(1)</w:t>
            </w:r>
          </w:p>
          <w:p w:rsidR="00D06A2F" w:rsidRPr="005D7240" w:rsidRDefault="00D06A2F" w:rsidP="000546C2">
            <w:pPr>
              <w:jc w:val="center"/>
              <w:rPr>
                <w:sz w:val="20"/>
                <w:szCs w:val="20"/>
                <w:lang w:val="en-US"/>
              </w:rPr>
            </w:pPr>
            <w:r w:rsidRPr="00E8065F">
              <w:rPr>
                <w:sz w:val="20"/>
                <w:szCs w:val="20"/>
              </w:rPr>
              <w:t>2015</w:t>
            </w:r>
            <w:r w:rsidR="003D79B3">
              <w:rPr>
                <w:sz w:val="20"/>
                <w:szCs w:val="20"/>
              </w:rPr>
              <w:t xml:space="preserve"> </w:t>
            </w:r>
            <w:r w:rsidR="005D7240">
              <w:rPr>
                <w:sz w:val="20"/>
                <w:szCs w:val="20"/>
                <w:lang w:val="en-US"/>
              </w:rPr>
              <w:t>(2)</w:t>
            </w:r>
          </w:p>
          <w:p w:rsidR="00D06A2F" w:rsidRPr="005D7240" w:rsidRDefault="00D06A2F" w:rsidP="000546C2">
            <w:pPr>
              <w:jc w:val="center"/>
              <w:rPr>
                <w:sz w:val="20"/>
                <w:szCs w:val="20"/>
                <w:lang w:val="en-US"/>
              </w:rPr>
            </w:pPr>
            <w:r w:rsidRPr="00E8065F">
              <w:rPr>
                <w:sz w:val="20"/>
                <w:szCs w:val="20"/>
              </w:rPr>
              <w:t>2016</w:t>
            </w:r>
            <w:r w:rsidR="003D79B3">
              <w:rPr>
                <w:sz w:val="20"/>
                <w:szCs w:val="20"/>
              </w:rPr>
              <w:t xml:space="preserve"> </w:t>
            </w:r>
            <w:r w:rsidR="005D7240">
              <w:rPr>
                <w:sz w:val="20"/>
                <w:szCs w:val="20"/>
                <w:lang w:val="en-US"/>
              </w:rPr>
              <w:t>(2)</w:t>
            </w:r>
          </w:p>
        </w:tc>
        <w:tc>
          <w:tcPr>
            <w:tcW w:w="1181" w:type="dxa"/>
            <w:tcBorders>
              <w:top w:val="nil"/>
              <w:left w:val="single" w:sz="4" w:space="0" w:color="auto"/>
              <w:bottom w:val="single" w:sz="4" w:space="0" w:color="auto"/>
              <w:right w:val="single" w:sz="4" w:space="0" w:color="auto"/>
            </w:tcBorders>
            <w:shd w:val="clear" w:color="auto" w:fill="auto"/>
          </w:tcPr>
          <w:p w:rsidR="00D06A2F" w:rsidRPr="00E8065F" w:rsidRDefault="00D06A2F" w:rsidP="000546C2">
            <w:pPr>
              <w:jc w:val="center"/>
              <w:rPr>
                <w:color w:val="000000"/>
                <w:sz w:val="20"/>
                <w:szCs w:val="20"/>
              </w:rPr>
            </w:pPr>
            <w:r w:rsidRPr="00E8065F">
              <w:rPr>
                <w:color w:val="000000"/>
                <w:sz w:val="20"/>
                <w:szCs w:val="20"/>
              </w:rPr>
              <w:t>17</w:t>
            </w:r>
          </w:p>
        </w:tc>
        <w:tc>
          <w:tcPr>
            <w:tcW w:w="1478" w:type="dxa"/>
            <w:tcBorders>
              <w:top w:val="nil"/>
              <w:left w:val="single" w:sz="4" w:space="0" w:color="auto"/>
              <w:bottom w:val="single" w:sz="4" w:space="0" w:color="auto"/>
              <w:right w:val="single" w:sz="4" w:space="0" w:color="auto"/>
            </w:tcBorders>
            <w:shd w:val="clear" w:color="auto" w:fill="auto"/>
          </w:tcPr>
          <w:p w:rsidR="00D06A2F" w:rsidRPr="00E8065F" w:rsidRDefault="00D06A2F" w:rsidP="000546C2">
            <w:pPr>
              <w:jc w:val="center"/>
              <w:rPr>
                <w:color w:val="000000"/>
                <w:sz w:val="20"/>
                <w:szCs w:val="20"/>
              </w:rPr>
            </w:pPr>
            <w:r w:rsidRPr="00E8065F">
              <w:rPr>
                <w:color w:val="000000"/>
                <w:sz w:val="20"/>
                <w:szCs w:val="20"/>
              </w:rPr>
              <w:t>33,6</w:t>
            </w:r>
          </w:p>
        </w:tc>
        <w:tc>
          <w:tcPr>
            <w:tcW w:w="1111" w:type="dxa"/>
            <w:tcBorders>
              <w:top w:val="nil"/>
              <w:left w:val="single" w:sz="4" w:space="0" w:color="auto"/>
              <w:bottom w:val="single" w:sz="4" w:space="0" w:color="auto"/>
              <w:right w:val="single" w:sz="4" w:space="0" w:color="auto"/>
            </w:tcBorders>
            <w:shd w:val="clear" w:color="auto" w:fill="auto"/>
          </w:tcPr>
          <w:p w:rsidR="00D06A2F" w:rsidRPr="00E8065F" w:rsidRDefault="00D06A2F" w:rsidP="000546C2">
            <w:pPr>
              <w:jc w:val="center"/>
              <w:rPr>
                <w:color w:val="000000"/>
                <w:sz w:val="20"/>
                <w:szCs w:val="20"/>
              </w:rPr>
            </w:pPr>
            <w:r w:rsidRPr="00E8065F">
              <w:rPr>
                <w:color w:val="000000"/>
                <w:sz w:val="20"/>
                <w:szCs w:val="20"/>
              </w:rPr>
              <w:t>1</w:t>
            </w:r>
          </w:p>
        </w:tc>
        <w:tc>
          <w:tcPr>
            <w:tcW w:w="1944" w:type="dxa"/>
            <w:tcBorders>
              <w:top w:val="nil"/>
              <w:left w:val="single" w:sz="4" w:space="0" w:color="auto"/>
              <w:bottom w:val="single" w:sz="4" w:space="0" w:color="auto"/>
              <w:right w:val="single" w:sz="4" w:space="0" w:color="auto"/>
            </w:tcBorders>
            <w:shd w:val="clear" w:color="auto" w:fill="auto"/>
          </w:tcPr>
          <w:p w:rsidR="00D06A2F" w:rsidRPr="00E8065F" w:rsidRDefault="00D06A2F" w:rsidP="00BA1432">
            <w:pPr>
              <w:jc w:val="center"/>
              <w:rPr>
                <w:color w:val="000000"/>
                <w:sz w:val="20"/>
                <w:szCs w:val="20"/>
              </w:rPr>
            </w:pPr>
            <w:r w:rsidRPr="00E8065F">
              <w:rPr>
                <w:color w:val="000000"/>
                <w:sz w:val="20"/>
                <w:szCs w:val="20"/>
              </w:rPr>
              <w:t>Стационарное</w:t>
            </w:r>
          </w:p>
        </w:tc>
      </w:tr>
      <w:tr w:rsidR="00D06A2F" w:rsidRPr="00E8065F" w:rsidTr="00CD3A6F">
        <w:trPr>
          <w:trHeight w:val="20"/>
        </w:trPr>
        <w:tc>
          <w:tcPr>
            <w:tcW w:w="1555" w:type="dxa"/>
            <w:vMerge/>
            <w:tcBorders>
              <w:left w:val="single" w:sz="4" w:space="0" w:color="auto"/>
              <w:right w:val="single" w:sz="4" w:space="0" w:color="auto"/>
            </w:tcBorders>
          </w:tcPr>
          <w:p w:rsidR="00D06A2F" w:rsidRPr="00E8065F" w:rsidRDefault="00D06A2F" w:rsidP="00BA1432">
            <w:pPr>
              <w:rPr>
                <w:sz w:val="20"/>
                <w:szCs w:val="20"/>
              </w:rPr>
            </w:pPr>
          </w:p>
        </w:tc>
        <w:tc>
          <w:tcPr>
            <w:tcW w:w="3685" w:type="dxa"/>
            <w:tcBorders>
              <w:top w:val="nil"/>
              <w:left w:val="single" w:sz="4" w:space="0" w:color="auto"/>
              <w:bottom w:val="single" w:sz="4" w:space="0" w:color="auto"/>
              <w:right w:val="single" w:sz="4" w:space="0" w:color="auto"/>
            </w:tcBorders>
            <w:shd w:val="clear" w:color="auto" w:fill="auto"/>
          </w:tcPr>
          <w:p w:rsidR="00D06A2F" w:rsidRPr="00E8065F" w:rsidRDefault="00D06A2F" w:rsidP="00DC0475">
            <w:pPr>
              <w:jc w:val="both"/>
              <w:rPr>
                <w:color w:val="000000"/>
                <w:sz w:val="20"/>
                <w:szCs w:val="20"/>
              </w:rPr>
            </w:pPr>
            <w:r>
              <w:rPr>
                <w:color w:val="000000"/>
                <w:sz w:val="20"/>
                <w:szCs w:val="20"/>
              </w:rPr>
              <w:t xml:space="preserve">ГАУЗ </w:t>
            </w:r>
            <w:r>
              <w:rPr>
                <w:rFonts w:eastAsia="Calibri"/>
                <w:sz w:val="20"/>
                <w:szCs w:val="20"/>
              </w:rPr>
              <w:t>«Республиканская клиническая больница Министерства здравоохранения Республики Татарстан»</w:t>
            </w:r>
          </w:p>
        </w:tc>
        <w:tc>
          <w:tcPr>
            <w:tcW w:w="1994" w:type="dxa"/>
            <w:tcBorders>
              <w:top w:val="nil"/>
              <w:left w:val="single" w:sz="4" w:space="0" w:color="auto"/>
              <w:bottom w:val="single" w:sz="4" w:space="0" w:color="auto"/>
              <w:right w:val="single" w:sz="4" w:space="0" w:color="auto"/>
            </w:tcBorders>
            <w:shd w:val="clear" w:color="auto" w:fill="auto"/>
          </w:tcPr>
          <w:p w:rsidR="00D06A2F" w:rsidRPr="00E8065F" w:rsidRDefault="00D06A2F" w:rsidP="00BA1432">
            <w:pPr>
              <w:jc w:val="center"/>
              <w:rPr>
                <w:color w:val="000000"/>
                <w:sz w:val="20"/>
                <w:szCs w:val="20"/>
              </w:rPr>
            </w:pPr>
            <w:r>
              <w:rPr>
                <w:rFonts w:eastAsia="Calibri"/>
                <w:sz w:val="20"/>
                <w:szCs w:val="20"/>
              </w:rPr>
              <w:t>Фиброгастродуоденоскоп</w:t>
            </w:r>
          </w:p>
        </w:tc>
        <w:tc>
          <w:tcPr>
            <w:tcW w:w="1181" w:type="dxa"/>
          </w:tcPr>
          <w:p w:rsidR="00D06A2F" w:rsidRPr="005D7240" w:rsidRDefault="00D06A2F" w:rsidP="000546C2">
            <w:pPr>
              <w:jc w:val="center"/>
              <w:rPr>
                <w:sz w:val="20"/>
                <w:szCs w:val="20"/>
                <w:lang w:val="en-US"/>
              </w:rPr>
            </w:pPr>
            <w:r w:rsidRPr="00E8065F">
              <w:rPr>
                <w:sz w:val="20"/>
                <w:szCs w:val="20"/>
              </w:rPr>
              <w:t>2003</w:t>
            </w:r>
            <w:r w:rsidR="003D79B3">
              <w:rPr>
                <w:sz w:val="20"/>
                <w:szCs w:val="20"/>
              </w:rPr>
              <w:t xml:space="preserve"> </w:t>
            </w:r>
            <w:r w:rsidR="005D7240">
              <w:rPr>
                <w:sz w:val="20"/>
                <w:szCs w:val="20"/>
                <w:lang w:val="en-US"/>
              </w:rPr>
              <w:t>(1)</w:t>
            </w:r>
          </w:p>
          <w:p w:rsidR="00D06A2F" w:rsidRPr="005D7240" w:rsidRDefault="00D06A2F" w:rsidP="000546C2">
            <w:pPr>
              <w:jc w:val="center"/>
              <w:rPr>
                <w:sz w:val="20"/>
                <w:szCs w:val="20"/>
                <w:lang w:val="en-US"/>
              </w:rPr>
            </w:pPr>
            <w:r w:rsidRPr="00E8065F">
              <w:rPr>
                <w:sz w:val="20"/>
                <w:szCs w:val="20"/>
              </w:rPr>
              <w:t>2014</w:t>
            </w:r>
            <w:r w:rsidR="003D79B3">
              <w:rPr>
                <w:sz w:val="20"/>
                <w:szCs w:val="20"/>
              </w:rPr>
              <w:t xml:space="preserve"> </w:t>
            </w:r>
            <w:r w:rsidR="005D7240">
              <w:rPr>
                <w:sz w:val="20"/>
                <w:szCs w:val="20"/>
                <w:lang w:val="en-US"/>
              </w:rPr>
              <w:t>(2)</w:t>
            </w:r>
          </w:p>
          <w:p w:rsidR="00D06A2F" w:rsidRPr="005D7240" w:rsidRDefault="00D06A2F" w:rsidP="000546C2">
            <w:pPr>
              <w:jc w:val="center"/>
              <w:rPr>
                <w:sz w:val="20"/>
                <w:szCs w:val="20"/>
                <w:lang w:val="en-US"/>
              </w:rPr>
            </w:pPr>
            <w:r w:rsidRPr="00E8065F">
              <w:rPr>
                <w:sz w:val="20"/>
                <w:szCs w:val="20"/>
              </w:rPr>
              <w:t>2015</w:t>
            </w:r>
            <w:r w:rsidR="003D79B3">
              <w:rPr>
                <w:sz w:val="20"/>
                <w:szCs w:val="20"/>
              </w:rPr>
              <w:t xml:space="preserve"> </w:t>
            </w:r>
            <w:r w:rsidR="005D7240">
              <w:rPr>
                <w:sz w:val="20"/>
                <w:szCs w:val="20"/>
                <w:lang w:val="en-US"/>
              </w:rPr>
              <w:t>(5)</w:t>
            </w:r>
          </w:p>
          <w:p w:rsidR="00D06A2F" w:rsidRPr="005D7240" w:rsidRDefault="00D06A2F" w:rsidP="000546C2">
            <w:pPr>
              <w:jc w:val="center"/>
              <w:rPr>
                <w:sz w:val="20"/>
                <w:szCs w:val="20"/>
                <w:lang w:val="en-US"/>
              </w:rPr>
            </w:pPr>
            <w:r w:rsidRPr="00E8065F">
              <w:rPr>
                <w:sz w:val="20"/>
                <w:szCs w:val="20"/>
              </w:rPr>
              <w:t>2016</w:t>
            </w:r>
            <w:r w:rsidR="003D79B3">
              <w:rPr>
                <w:sz w:val="20"/>
                <w:szCs w:val="20"/>
              </w:rPr>
              <w:t xml:space="preserve"> </w:t>
            </w:r>
            <w:r w:rsidR="005D7240">
              <w:rPr>
                <w:sz w:val="20"/>
                <w:szCs w:val="20"/>
                <w:lang w:val="en-US"/>
              </w:rPr>
              <w:t>(3)</w:t>
            </w:r>
          </w:p>
          <w:p w:rsidR="00D06A2F" w:rsidRPr="005D7240" w:rsidRDefault="00D06A2F" w:rsidP="000546C2">
            <w:pPr>
              <w:jc w:val="center"/>
              <w:rPr>
                <w:sz w:val="20"/>
                <w:szCs w:val="20"/>
                <w:lang w:val="en-US"/>
              </w:rPr>
            </w:pPr>
            <w:r w:rsidRPr="00E8065F">
              <w:rPr>
                <w:sz w:val="20"/>
                <w:szCs w:val="20"/>
              </w:rPr>
              <w:t>2022</w:t>
            </w:r>
            <w:r w:rsidR="003D79B3">
              <w:rPr>
                <w:sz w:val="20"/>
                <w:szCs w:val="20"/>
              </w:rPr>
              <w:t xml:space="preserve"> </w:t>
            </w:r>
            <w:r w:rsidR="005D7240">
              <w:rPr>
                <w:sz w:val="20"/>
                <w:szCs w:val="20"/>
                <w:lang w:val="en-US"/>
              </w:rPr>
              <w:t>(5)</w:t>
            </w:r>
          </w:p>
          <w:p w:rsidR="00D06A2F" w:rsidRPr="005D7240" w:rsidRDefault="00D06A2F" w:rsidP="000546C2">
            <w:pPr>
              <w:jc w:val="center"/>
              <w:rPr>
                <w:sz w:val="20"/>
                <w:szCs w:val="20"/>
                <w:lang w:val="en-US"/>
              </w:rPr>
            </w:pPr>
            <w:r w:rsidRPr="00E8065F">
              <w:rPr>
                <w:sz w:val="20"/>
                <w:szCs w:val="20"/>
              </w:rPr>
              <w:t>2023</w:t>
            </w:r>
            <w:r w:rsidR="003D79B3">
              <w:rPr>
                <w:sz w:val="20"/>
                <w:szCs w:val="20"/>
              </w:rPr>
              <w:t xml:space="preserve"> </w:t>
            </w:r>
            <w:r w:rsidR="005D7240">
              <w:rPr>
                <w:sz w:val="20"/>
                <w:szCs w:val="20"/>
                <w:lang w:val="en-US"/>
              </w:rPr>
              <w:t>(1)</w:t>
            </w:r>
          </w:p>
          <w:p w:rsidR="00D06A2F" w:rsidRPr="005D7240" w:rsidRDefault="00D06A2F" w:rsidP="000546C2">
            <w:pPr>
              <w:jc w:val="center"/>
              <w:rPr>
                <w:sz w:val="20"/>
                <w:szCs w:val="20"/>
                <w:lang w:val="en-US"/>
              </w:rPr>
            </w:pPr>
            <w:r w:rsidRPr="00E8065F">
              <w:rPr>
                <w:sz w:val="20"/>
                <w:szCs w:val="20"/>
              </w:rPr>
              <w:t>2024</w:t>
            </w:r>
            <w:r w:rsidR="003D79B3">
              <w:rPr>
                <w:sz w:val="20"/>
                <w:szCs w:val="20"/>
              </w:rPr>
              <w:t xml:space="preserve"> </w:t>
            </w:r>
            <w:r w:rsidR="005D7240">
              <w:rPr>
                <w:sz w:val="20"/>
                <w:szCs w:val="20"/>
                <w:lang w:val="en-US"/>
              </w:rPr>
              <w:t>(3)</w:t>
            </w:r>
          </w:p>
        </w:tc>
        <w:tc>
          <w:tcPr>
            <w:tcW w:w="1181" w:type="dxa"/>
            <w:tcBorders>
              <w:top w:val="nil"/>
              <w:left w:val="single" w:sz="4" w:space="0" w:color="auto"/>
              <w:bottom w:val="single" w:sz="4" w:space="0" w:color="auto"/>
              <w:right w:val="single" w:sz="4" w:space="0" w:color="auto"/>
            </w:tcBorders>
            <w:shd w:val="clear" w:color="auto" w:fill="auto"/>
          </w:tcPr>
          <w:p w:rsidR="00D06A2F" w:rsidRPr="00E8065F" w:rsidRDefault="00D06A2F" w:rsidP="000546C2">
            <w:pPr>
              <w:jc w:val="center"/>
              <w:rPr>
                <w:color w:val="000000"/>
                <w:sz w:val="20"/>
                <w:szCs w:val="20"/>
              </w:rPr>
            </w:pPr>
            <w:r w:rsidRPr="00E8065F">
              <w:rPr>
                <w:color w:val="000000"/>
                <w:sz w:val="20"/>
                <w:szCs w:val="20"/>
              </w:rPr>
              <w:t>20</w:t>
            </w:r>
          </w:p>
        </w:tc>
        <w:tc>
          <w:tcPr>
            <w:tcW w:w="1478" w:type="dxa"/>
            <w:tcBorders>
              <w:top w:val="nil"/>
              <w:left w:val="single" w:sz="4" w:space="0" w:color="auto"/>
              <w:bottom w:val="single" w:sz="4" w:space="0" w:color="auto"/>
              <w:right w:val="single" w:sz="4" w:space="0" w:color="auto"/>
            </w:tcBorders>
            <w:shd w:val="clear" w:color="auto" w:fill="auto"/>
          </w:tcPr>
          <w:p w:rsidR="00D06A2F" w:rsidRPr="00E8065F" w:rsidRDefault="00D06A2F" w:rsidP="000546C2">
            <w:pPr>
              <w:jc w:val="center"/>
              <w:rPr>
                <w:color w:val="000000"/>
                <w:sz w:val="20"/>
                <w:szCs w:val="20"/>
              </w:rPr>
            </w:pPr>
            <w:r w:rsidRPr="00E8065F">
              <w:rPr>
                <w:color w:val="000000"/>
                <w:sz w:val="20"/>
                <w:szCs w:val="20"/>
              </w:rPr>
              <w:t>44,2</w:t>
            </w:r>
          </w:p>
        </w:tc>
        <w:tc>
          <w:tcPr>
            <w:tcW w:w="1111" w:type="dxa"/>
            <w:tcBorders>
              <w:top w:val="nil"/>
              <w:left w:val="single" w:sz="4" w:space="0" w:color="auto"/>
              <w:bottom w:val="single" w:sz="4" w:space="0" w:color="auto"/>
              <w:right w:val="single" w:sz="4" w:space="0" w:color="auto"/>
            </w:tcBorders>
            <w:shd w:val="clear" w:color="auto" w:fill="auto"/>
          </w:tcPr>
          <w:p w:rsidR="00D06A2F" w:rsidRPr="00E8065F" w:rsidRDefault="00D06A2F" w:rsidP="000546C2">
            <w:pPr>
              <w:jc w:val="center"/>
              <w:rPr>
                <w:color w:val="000000"/>
                <w:sz w:val="20"/>
                <w:szCs w:val="20"/>
              </w:rPr>
            </w:pPr>
            <w:r w:rsidRPr="00E8065F">
              <w:rPr>
                <w:color w:val="000000"/>
                <w:sz w:val="20"/>
                <w:szCs w:val="20"/>
              </w:rPr>
              <w:t>1</w:t>
            </w:r>
          </w:p>
        </w:tc>
        <w:tc>
          <w:tcPr>
            <w:tcW w:w="1944" w:type="dxa"/>
            <w:tcBorders>
              <w:top w:val="nil"/>
              <w:left w:val="single" w:sz="4" w:space="0" w:color="auto"/>
              <w:bottom w:val="single" w:sz="4" w:space="0" w:color="auto"/>
              <w:right w:val="single" w:sz="4" w:space="0" w:color="auto"/>
            </w:tcBorders>
            <w:shd w:val="clear" w:color="auto" w:fill="auto"/>
          </w:tcPr>
          <w:p w:rsidR="00D06A2F" w:rsidRPr="00E8065F" w:rsidRDefault="00D06A2F" w:rsidP="00BA1432">
            <w:pPr>
              <w:jc w:val="center"/>
              <w:rPr>
                <w:color w:val="000000"/>
                <w:sz w:val="20"/>
                <w:szCs w:val="20"/>
              </w:rPr>
            </w:pPr>
            <w:r w:rsidRPr="00E8065F">
              <w:rPr>
                <w:color w:val="000000"/>
                <w:sz w:val="20"/>
                <w:szCs w:val="20"/>
              </w:rPr>
              <w:t>Амбулаторное/стационарное</w:t>
            </w:r>
          </w:p>
        </w:tc>
      </w:tr>
      <w:tr w:rsidR="00D06A2F" w:rsidRPr="00E8065F" w:rsidTr="00CD3A6F">
        <w:trPr>
          <w:trHeight w:val="20"/>
        </w:trPr>
        <w:tc>
          <w:tcPr>
            <w:tcW w:w="1555" w:type="dxa"/>
            <w:vMerge/>
            <w:tcBorders>
              <w:left w:val="single" w:sz="4" w:space="0" w:color="auto"/>
              <w:right w:val="single" w:sz="4" w:space="0" w:color="auto"/>
            </w:tcBorders>
          </w:tcPr>
          <w:p w:rsidR="00D06A2F" w:rsidRPr="00E8065F" w:rsidRDefault="00D06A2F" w:rsidP="00BA1432">
            <w:pPr>
              <w:rPr>
                <w:sz w:val="20"/>
                <w:szCs w:val="20"/>
              </w:rPr>
            </w:pPr>
          </w:p>
        </w:tc>
        <w:tc>
          <w:tcPr>
            <w:tcW w:w="3685" w:type="dxa"/>
            <w:tcBorders>
              <w:top w:val="nil"/>
              <w:left w:val="single" w:sz="4" w:space="0" w:color="auto"/>
              <w:bottom w:val="single" w:sz="4" w:space="0" w:color="auto"/>
              <w:right w:val="single" w:sz="4" w:space="0" w:color="auto"/>
            </w:tcBorders>
            <w:shd w:val="clear" w:color="auto" w:fill="auto"/>
          </w:tcPr>
          <w:p w:rsidR="00D06A2F" w:rsidRPr="00E8065F" w:rsidRDefault="00D06A2F" w:rsidP="00D5127A">
            <w:pPr>
              <w:jc w:val="both"/>
              <w:rPr>
                <w:color w:val="000000"/>
                <w:sz w:val="20"/>
                <w:szCs w:val="20"/>
              </w:rPr>
            </w:pPr>
            <w:r>
              <w:rPr>
                <w:color w:val="000000"/>
                <w:sz w:val="20"/>
                <w:szCs w:val="20"/>
              </w:rPr>
              <w:t>ГАУЗ «РКОД МЗ РТ им.проф.М.З.</w:t>
            </w:r>
            <w:r w:rsidRPr="00E8065F">
              <w:rPr>
                <w:color w:val="000000"/>
                <w:sz w:val="20"/>
                <w:szCs w:val="20"/>
              </w:rPr>
              <w:t>Сигала</w:t>
            </w:r>
            <w:r>
              <w:rPr>
                <w:color w:val="000000"/>
                <w:sz w:val="20"/>
                <w:szCs w:val="20"/>
              </w:rPr>
              <w:t>»</w:t>
            </w:r>
          </w:p>
        </w:tc>
        <w:tc>
          <w:tcPr>
            <w:tcW w:w="1994" w:type="dxa"/>
            <w:tcBorders>
              <w:top w:val="nil"/>
              <w:left w:val="single" w:sz="4" w:space="0" w:color="auto"/>
              <w:bottom w:val="single" w:sz="4" w:space="0" w:color="auto"/>
              <w:right w:val="single" w:sz="4" w:space="0" w:color="auto"/>
            </w:tcBorders>
            <w:shd w:val="clear" w:color="auto" w:fill="auto"/>
          </w:tcPr>
          <w:p w:rsidR="00D06A2F" w:rsidRPr="00E8065F" w:rsidRDefault="00D06A2F" w:rsidP="00BA1432">
            <w:pPr>
              <w:jc w:val="center"/>
              <w:rPr>
                <w:color w:val="000000"/>
                <w:sz w:val="20"/>
                <w:szCs w:val="20"/>
              </w:rPr>
            </w:pPr>
            <w:r>
              <w:rPr>
                <w:rFonts w:eastAsia="Calibri"/>
                <w:sz w:val="20"/>
                <w:szCs w:val="20"/>
              </w:rPr>
              <w:t>Фиброгастродуоденоскоп</w:t>
            </w:r>
          </w:p>
        </w:tc>
        <w:tc>
          <w:tcPr>
            <w:tcW w:w="1181" w:type="dxa"/>
          </w:tcPr>
          <w:p w:rsidR="00D06A2F" w:rsidRPr="005D7240" w:rsidRDefault="00D06A2F" w:rsidP="000546C2">
            <w:pPr>
              <w:jc w:val="center"/>
              <w:rPr>
                <w:sz w:val="20"/>
                <w:szCs w:val="20"/>
                <w:lang w:val="en-US"/>
              </w:rPr>
            </w:pPr>
            <w:r w:rsidRPr="00E8065F">
              <w:rPr>
                <w:sz w:val="20"/>
                <w:szCs w:val="20"/>
              </w:rPr>
              <w:t>2013</w:t>
            </w:r>
            <w:r w:rsidR="003D79B3">
              <w:rPr>
                <w:sz w:val="20"/>
                <w:szCs w:val="20"/>
              </w:rPr>
              <w:t xml:space="preserve"> </w:t>
            </w:r>
            <w:r w:rsidR="005D7240">
              <w:rPr>
                <w:sz w:val="20"/>
                <w:szCs w:val="20"/>
                <w:lang w:val="en-US"/>
              </w:rPr>
              <w:t>(2)</w:t>
            </w:r>
          </w:p>
          <w:p w:rsidR="00D06A2F" w:rsidRPr="005D7240" w:rsidRDefault="00D06A2F" w:rsidP="000546C2">
            <w:pPr>
              <w:jc w:val="center"/>
              <w:rPr>
                <w:sz w:val="20"/>
                <w:szCs w:val="20"/>
                <w:lang w:val="en-US"/>
              </w:rPr>
            </w:pPr>
            <w:r w:rsidRPr="00E8065F">
              <w:rPr>
                <w:sz w:val="20"/>
                <w:szCs w:val="20"/>
              </w:rPr>
              <w:t>2014</w:t>
            </w:r>
            <w:r w:rsidR="003D79B3">
              <w:rPr>
                <w:sz w:val="20"/>
                <w:szCs w:val="20"/>
              </w:rPr>
              <w:t xml:space="preserve"> </w:t>
            </w:r>
            <w:r w:rsidR="005D7240">
              <w:rPr>
                <w:sz w:val="20"/>
                <w:szCs w:val="20"/>
                <w:lang w:val="en-US"/>
              </w:rPr>
              <w:t>(5)</w:t>
            </w:r>
          </w:p>
          <w:p w:rsidR="00D06A2F" w:rsidRPr="005D7240" w:rsidRDefault="00D06A2F" w:rsidP="000546C2">
            <w:pPr>
              <w:jc w:val="center"/>
              <w:rPr>
                <w:sz w:val="20"/>
                <w:szCs w:val="20"/>
                <w:lang w:val="en-US"/>
              </w:rPr>
            </w:pPr>
            <w:r w:rsidRPr="00E8065F">
              <w:rPr>
                <w:sz w:val="20"/>
                <w:szCs w:val="20"/>
              </w:rPr>
              <w:t>2015</w:t>
            </w:r>
            <w:r w:rsidR="003D79B3">
              <w:rPr>
                <w:sz w:val="20"/>
                <w:szCs w:val="20"/>
              </w:rPr>
              <w:t xml:space="preserve"> </w:t>
            </w:r>
            <w:r w:rsidR="005D7240">
              <w:rPr>
                <w:sz w:val="20"/>
                <w:szCs w:val="20"/>
                <w:lang w:val="en-US"/>
              </w:rPr>
              <w:t>(5)</w:t>
            </w:r>
          </w:p>
          <w:p w:rsidR="00D06A2F" w:rsidRPr="005D7240" w:rsidRDefault="00D06A2F" w:rsidP="000546C2">
            <w:pPr>
              <w:jc w:val="center"/>
              <w:rPr>
                <w:sz w:val="20"/>
                <w:szCs w:val="20"/>
                <w:lang w:val="en-US"/>
              </w:rPr>
            </w:pPr>
            <w:r w:rsidRPr="00E8065F">
              <w:rPr>
                <w:sz w:val="20"/>
                <w:szCs w:val="20"/>
              </w:rPr>
              <w:t>2017</w:t>
            </w:r>
            <w:r w:rsidR="003D79B3">
              <w:rPr>
                <w:sz w:val="20"/>
                <w:szCs w:val="20"/>
              </w:rPr>
              <w:t xml:space="preserve"> </w:t>
            </w:r>
            <w:r w:rsidR="005D7240">
              <w:rPr>
                <w:sz w:val="20"/>
                <w:szCs w:val="20"/>
                <w:lang w:val="en-US"/>
              </w:rPr>
              <w:t>(1)</w:t>
            </w:r>
          </w:p>
          <w:p w:rsidR="00D06A2F" w:rsidRPr="005D7240" w:rsidRDefault="00D06A2F" w:rsidP="000546C2">
            <w:pPr>
              <w:jc w:val="center"/>
              <w:rPr>
                <w:sz w:val="20"/>
                <w:szCs w:val="20"/>
                <w:lang w:val="en-US"/>
              </w:rPr>
            </w:pPr>
            <w:r w:rsidRPr="00E8065F">
              <w:rPr>
                <w:sz w:val="20"/>
                <w:szCs w:val="20"/>
              </w:rPr>
              <w:t>2018</w:t>
            </w:r>
            <w:r w:rsidR="003D79B3">
              <w:rPr>
                <w:sz w:val="20"/>
                <w:szCs w:val="20"/>
              </w:rPr>
              <w:t xml:space="preserve"> </w:t>
            </w:r>
            <w:r w:rsidR="005D7240">
              <w:rPr>
                <w:sz w:val="20"/>
                <w:szCs w:val="20"/>
                <w:lang w:val="en-US"/>
              </w:rPr>
              <w:t>(1)</w:t>
            </w:r>
          </w:p>
          <w:p w:rsidR="00D06A2F" w:rsidRPr="005D7240" w:rsidRDefault="00D06A2F" w:rsidP="000546C2">
            <w:pPr>
              <w:jc w:val="center"/>
              <w:rPr>
                <w:sz w:val="20"/>
                <w:szCs w:val="20"/>
                <w:lang w:val="en-US"/>
              </w:rPr>
            </w:pPr>
            <w:r w:rsidRPr="00E8065F">
              <w:rPr>
                <w:sz w:val="20"/>
                <w:szCs w:val="20"/>
              </w:rPr>
              <w:t>2019</w:t>
            </w:r>
            <w:r w:rsidR="003D79B3">
              <w:rPr>
                <w:sz w:val="20"/>
                <w:szCs w:val="20"/>
              </w:rPr>
              <w:t xml:space="preserve"> </w:t>
            </w:r>
            <w:r w:rsidR="005D7240">
              <w:rPr>
                <w:sz w:val="20"/>
                <w:szCs w:val="20"/>
                <w:lang w:val="en-US"/>
              </w:rPr>
              <w:t>(19)</w:t>
            </w:r>
          </w:p>
          <w:p w:rsidR="00D06A2F" w:rsidRPr="005D7240" w:rsidRDefault="00D06A2F" w:rsidP="000546C2">
            <w:pPr>
              <w:jc w:val="center"/>
              <w:rPr>
                <w:sz w:val="20"/>
                <w:szCs w:val="20"/>
                <w:lang w:val="en-US"/>
              </w:rPr>
            </w:pPr>
            <w:r w:rsidRPr="00E8065F">
              <w:rPr>
                <w:sz w:val="20"/>
                <w:szCs w:val="20"/>
              </w:rPr>
              <w:t>2020</w:t>
            </w:r>
            <w:r w:rsidR="003D79B3">
              <w:rPr>
                <w:sz w:val="20"/>
                <w:szCs w:val="20"/>
              </w:rPr>
              <w:t xml:space="preserve"> </w:t>
            </w:r>
            <w:r w:rsidR="005D7240">
              <w:rPr>
                <w:sz w:val="20"/>
                <w:szCs w:val="20"/>
                <w:lang w:val="en-US"/>
              </w:rPr>
              <w:t>(1)</w:t>
            </w:r>
          </w:p>
          <w:p w:rsidR="00D06A2F" w:rsidRPr="005D7240" w:rsidRDefault="00D06A2F" w:rsidP="000546C2">
            <w:pPr>
              <w:jc w:val="center"/>
              <w:rPr>
                <w:sz w:val="20"/>
                <w:szCs w:val="20"/>
                <w:lang w:val="en-US"/>
              </w:rPr>
            </w:pPr>
            <w:r w:rsidRPr="00E8065F">
              <w:rPr>
                <w:sz w:val="20"/>
                <w:szCs w:val="20"/>
              </w:rPr>
              <w:t>2021</w:t>
            </w:r>
            <w:r w:rsidR="003D79B3">
              <w:rPr>
                <w:sz w:val="20"/>
                <w:szCs w:val="20"/>
              </w:rPr>
              <w:t xml:space="preserve"> </w:t>
            </w:r>
            <w:r w:rsidR="005D7240">
              <w:rPr>
                <w:sz w:val="20"/>
                <w:szCs w:val="20"/>
                <w:lang w:val="en-US"/>
              </w:rPr>
              <w:t>(14)</w:t>
            </w:r>
          </w:p>
          <w:p w:rsidR="00D06A2F" w:rsidRPr="005D7240" w:rsidRDefault="00D06A2F" w:rsidP="000546C2">
            <w:pPr>
              <w:jc w:val="center"/>
              <w:rPr>
                <w:sz w:val="20"/>
                <w:szCs w:val="20"/>
                <w:lang w:val="en-US"/>
              </w:rPr>
            </w:pPr>
            <w:r w:rsidRPr="00E8065F">
              <w:rPr>
                <w:sz w:val="20"/>
                <w:szCs w:val="20"/>
              </w:rPr>
              <w:t>2022</w:t>
            </w:r>
            <w:r w:rsidR="003D79B3">
              <w:rPr>
                <w:sz w:val="20"/>
                <w:szCs w:val="20"/>
              </w:rPr>
              <w:t xml:space="preserve"> </w:t>
            </w:r>
            <w:r w:rsidR="005D7240">
              <w:rPr>
                <w:sz w:val="20"/>
                <w:szCs w:val="20"/>
                <w:lang w:val="en-US"/>
              </w:rPr>
              <w:t>(3)</w:t>
            </w:r>
          </w:p>
          <w:p w:rsidR="00D06A2F" w:rsidRPr="005D7240" w:rsidRDefault="00D06A2F" w:rsidP="000546C2">
            <w:pPr>
              <w:jc w:val="center"/>
              <w:rPr>
                <w:sz w:val="20"/>
                <w:szCs w:val="20"/>
                <w:lang w:val="en-US"/>
              </w:rPr>
            </w:pPr>
            <w:r w:rsidRPr="00E8065F">
              <w:rPr>
                <w:sz w:val="20"/>
                <w:szCs w:val="20"/>
              </w:rPr>
              <w:t>2024</w:t>
            </w:r>
            <w:r w:rsidR="003D79B3">
              <w:rPr>
                <w:sz w:val="20"/>
                <w:szCs w:val="20"/>
              </w:rPr>
              <w:t xml:space="preserve"> </w:t>
            </w:r>
            <w:r w:rsidR="005D7240">
              <w:rPr>
                <w:sz w:val="20"/>
                <w:szCs w:val="20"/>
                <w:lang w:val="en-US"/>
              </w:rPr>
              <w:t>(4)</w:t>
            </w:r>
          </w:p>
        </w:tc>
        <w:tc>
          <w:tcPr>
            <w:tcW w:w="1181" w:type="dxa"/>
            <w:tcBorders>
              <w:top w:val="nil"/>
              <w:left w:val="single" w:sz="4" w:space="0" w:color="auto"/>
              <w:bottom w:val="single" w:sz="4" w:space="0" w:color="auto"/>
              <w:right w:val="single" w:sz="4" w:space="0" w:color="auto"/>
            </w:tcBorders>
            <w:shd w:val="clear" w:color="auto" w:fill="auto"/>
          </w:tcPr>
          <w:p w:rsidR="00D06A2F" w:rsidRPr="00E8065F" w:rsidRDefault="00D06A2F" w:rsidP="000546C2">
            <w:pPr>
              <w:jc w:val="center"/>
              <w:rPr>
                <w:color w:val="000000"/>
                <w:sz w:val="20"/>
                <w:szCs w:val="20"/>
              </w:rPr>
            </w:pPr>
            <w:r w:rsidRPr="00E8065F">
              <w:rPr>
                <w:color w:val="000000"/>
                <w:sz w:val="20"/>
                <w:szCs w:val="20"/>
              </w:rPr>
              <w:t>55</w:t>
            </w:r>
          </w:p>
        </w:tc>
        <w:tc>
          <w:tcPr>
            <w:tcW w:w="1478" w:type="dxa"/>
            <w:tcBorders>
              <w:top w:val="nil"/>
              <w:left w:val="single" w:sz="4" w:space="0" w:color="auto"/>
              <w:bottom w:val="single" w:sz="4" w:space="0" w:color="auto"/>
              <w:right w:val="single" w:sz="4" w:space="0" w:color="auto"/>
            </w:tcBorders>
            <w:shd w:val="clear" w:color="auto" w:fill="auto"/>
          </w:tcPr>
          <w:p w:rsidR="00D06A2F" w:rsidRPr="00E8065F" w:rsidRDefault="00D06A2F" w:rsidP="000546C2">
            <w:pPr>
              <w:jc w:val="center"/>
              <w:rPr>
                <w:color w:val="000000"/>
                <w:sz w:val="20"/>
                <w:szCs w:val="20"/>
              </w:rPr>
            </w:pPr>
            <w:r w:rsidRPr="00E8065F">
              <w:rPr>
                <w:color w:val="000000"/>
                <w:sz w:val="20"/>
                <w:szCs w:val="20"/>
              </w:rPr>
              <w:t>82,7</w:t>
            </w:r>
          </w:p>
        </w:tc>
        <w:tc>
          <w:tcPr>
            <w:tcW w:w="1111" w:type="dxa"/>
            <w:tcBorders>
              <w:top w:val="nil"/>
              <w:left w:val="single" w:sz="4" w:space="0" w:color="auto"/>
              <w:bottom w:val="single" w:sz="4" w:space="0" w:color="auto"/>
              <w:right w:val="single" w:sz="4" w:space="0" w:color="auto"/>
            </w:tcBorders>
            <w:shd w:val="clear" w:color="auto" w:fill="auto"/>
          </w:tcPr>
          <w:p w:rsidR="00D06A2F" w:rsidRPr="00E8065F" w:rsidRDefault="00D06A2F" w:rsidP="000546C2">
            <w:pPr>
              <w:jc w:val="center"/>
              <w:rPr>
                <w:color w:val="000000"/>
                <w:sz w:val="20"/>
                <w:szCs w:val="20"/>
              </w:rPr>
            </w:pPr>
            <w:r w:rsidRPr="00E8065F">
              <w:rPr>
                <w:color w:val="000000"/>
                <w:sz w:val="20"/>
                <w:szCs w:val="20"/>
              </w:rPr>
              <w:t>1</w:t>
            </w:r>
          </w:p>
        </w:tc>
        <w:tc>
          <w:tcPr>
            <w:tcW w:w="1944" w:type="dxa"/>
            <w:tcBorders>
              <w:top w:val="nil"/>
              <w:left w:val="single" w:sz="4" w:space="0" w:color="auto"/>
              <w:bottom w:val="single" w:sz="4" w:space="0" w:color="auto"/>
              <w:right w:val="single" w:sz="4" w:space="0" w:color="auto"/>
            </w:tcBorders>
            <w:shd w:val="clear" w:color="auto" w:fill="auto"/>
          </w:tcPr>
          <w:p w:rsidR="00D06A2F" w:rsidRPr="00E8065F" w:rsidRDefault="00D06A2F" w:rsidP="00BA1432">
            <w:pPr>
              <w:jc w:val="center"/>
              <w:rPr>
                <w:color w:val="000000"/>
                <w:sz w:val="20"/>
                <w:szCs w:val="20"/>
              </w:rPr>
            </w:pPr>
            <w:r w:rsidRPr="00E8065F">
              <w:rPr>
                <w:color w:val="000000"/>
                <w:sz w:val="20"/>
                <w:szCs w:val="20"/>
              </w:rPr>
              <w:t>Амбулаторное</w:t>
            </w:r>
          </w:p>
        </w:tc>
      </w:tr>
      <w:tr w:rsidR="00D06A2F" w:rsidRPr="00E8065F" w:rsidTr="00CD3A6F">
        <w:trPr>
          <w:trHeight w:val="20"/>
        </w:trPr>
        <w:tc>
          <w:tcPr>
            <w:tcW w:w="1555" w:type="dxa"/>
            <w:vMerge/>
            <w:tcBorders>
              <w:left w:val="single" w:sz="4" w:space="0" w:color="auto"/>
              <w:right w:val="single" w:sz="4" w:space="0" w:color="auto"/>
            </w:tcBorders>
          </w:tcPr>
          <w:p w:rsidR="00D06A2F" w:rsidRPr="00E8065F" w:rsidRDefault="00D06A2F" w:rsidP="00BA1432">
            <w:pPr>
              <w:rPr>
                <w:sz w:val="20"/>
                <w:szCs w:val="20"/>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D06A2F" w:rsidRPr="00E8065F" w:rsidRDefault="00D06A2F" w:rsidP="00DC0475">
            <w:pPr>
              <w:jc w:val="both"/>
              <w:rPr>
                <w:color w:val="000000"/>
                <w:sz w:val="20"/>
                <w:szCs w:val="20"/>
              </w:rPr>
            </w:pPr>
            <w:r w:rsidRPr="00E8065F">
              <w:rPr>
                <w:color w:val="000000"/>
                <w:sz w:val="20"/>
                <w:szCs w:val="20"/>
              </w:rPr>
              <w:t> </w:t>
            </w:r>
          </w:p>
        </w:tc>
        <w:tc>
          <w:tcPr>
            <w:tcW w:w="1994" w:type="dxa"/>
            <w:tcBorders>
              <w:top w:val="nil"/>
              <w:left w:val="single" w:sz="4" w:space="0" w:color="auto"/>
              <w:bottom w:val="single" w:sz="4" w:space="0" w:color="auto"/>
              <w:right w:val="single" w:sz="4" w:space="0" w:color="auto"/>
            </w:tcBorders>
            <w:shd w:val="clear" w:color="auto" w:fill="auto"/>
          </w:tcPr>
          <w:p w:rsidR="00D06A2F" w:rsidRPr="00E8065F" w:rsidRDefault="009C7AAF" w:rsidP="00BA1432">
            <w:pPr>
              <w:jc w:val="center"/>
              <w:rPr>
                <w:color w:val="000000"/>
                <w:sz w:val="20"/>
                <w:szCs w:val="20"/>
              </w:rPr>
            </w:pPr>
            <w:r>
              <w:rPr>
                <w:color w:val="000000"/>
                <w:sz w:val="20"/>
                <w:szCs w:val="20"/>
              </w:rPr>
              <w:t>В</w:t>
            </w:r>
            <w:r w:rsidR="00D06A2F" w:rsidRPr="00E8065F">
              <w:rPr>
                <w:color w:val="000000"/>
                <w:sz w:val="20"/>
                <w:szCs w:val="20"/>
              </w:rPr>
              <w:t>сего</w:t>
            </w:r>
          </w:p>
        </w:tc>
        <w:tc>
          <w:tcPr>
            <w:tcW w:w="1181" w:type="dxa"/>
          </w:tcPr>
          <w:p w:rsidR="00D06A2F" w:rsidRPr="00E8065F" w:rsidRDefault="003D79B3" w:rsidP="000546C2">
            <w:pPr>
              <w:jc w:val="center"/>
              <w:rPr>
                <w:sz w:val="20"/>
                <w:szCs w:val="20"/>
              </w:rPr>
            </w:pPr>
            <w:r>
              <w:rPr>
                <w:sz w:val="20"/>
                <w:szCs w:val="20"/>
              </w:rPr>
              <w:t xml:space="preserve"> </w:t>
            </w:r>
          </w:p>
        </w:tc>
        <w:tc>
          <w:tcPr>
            <w:tcW w:w="1181" w:type="dxa"/>
            <w:tcBorders>
              <w:top w:val="single" w:sz="4" w:space="0" w:color="auto"/>
              <w:left w:val="single" w:sz="4" w:space="0" w:color="auto"/>
              <w:bottom w:val="single" w:sz="4" w:space="0" w:color="auto"/>
              <w:right w:val="single" w:sz="4" w:space="0" w:color="auto"/>
            </w:tcBorders>
            <w:shd w:val="clear" w:color="auto" w:fill="auto"/>
          </w:tcPr>
          <w:p w:rsidR="00D06A2F" w:rsidRPr="00E8065F" w:rsidRDefault="00D06A2F" w:rsidP="000546C2">
            <w:pPr>
              <w:jc w:val="center"/>
              <w:rPr>
                <w:color w:val="000000"/>
                <w:sz w:val="20"/>
                <w:szCs w:val="20"/>
              </w:rPr>
            </w:pPr>
            <w:r w:rsidRPr="00E8065F">
              <w:rPr>
                <w:color w:val="000000"/>
                <w:sz w:val="20"/>
                <w:szCs w:val="20"/>
              </w:rPr>
              <w:t>434</w:t>
            </w:r>
          </w:p>
        </w:tc>
        <w:tc>
          <w:tcPr>
            <w:tcW w:w="1478" w:type="dxa"/>
            <w:shd w:val="clear" w:color="auto" w:fill="auto"/>
          </w:tcPr>
          <w:p w:rsidR="00D06A2F" w:rsidRPr="00E8065F" w:rsidRDefault="00D06A2F" w:rsidP="000546C2">
            <w:pPr>
              <w:jc w:val="center"/>
              <w:rPr>
                <w:sz w:val="20"/>
                <w:szCs w:val="20"/>
              </w:rPr>
            </w:pPr>
          </w:p>
        </w:tc>
        <w:tc>
          <w:tcPr>
            <w:tcW w:w="1111" w:type="dxa"/>
            <w:tcBorders>
              <w:top w:val="nil"/>
              <w:left w:val="single" w:sz="4" w:space="0" w:color="auto"/>
              <w:bottom w:val="single" w:sz="4" w:space="0" w:color="auto"/>
              <w:right w:val="single" w:sz="4" w:space="0" w:color="auto"/>
            </w:tcBorders>
            <w:shd w:val="clear" w:color="auto" w:fill="auto"/>
          </w:tcPr>
          <w:p w:rsidR="00D06A2F" w:rsidRPr="00E8065F" w:rsidRDefault="00D06A2F" w:rsidP="000546C2">
            <w:pPr>
              <w:jc w:val="center"/>
              <w:rPr>
                <w:color w:val="000000"/>
                <w:sz w:val="20"/>
                <w:szCs w:val="20"/>
              </w:rPr>
            </w:pPr>
            <w:r w:rsidRPr="00E8065F">
              <w:rPr>
                <w:color w:val="000000"/>
                <w:sz w:val="20"/>
                <w:szCs w:val="20"/>
              </w:rPr>
              <w:t>1</w:t>
            </w:r>
          </w:p>
        </w:tc>
        <w:tc>
          <w:tcPr>
            <w:tcW w:w="1944" w:type="dxa"/>
            <w:shd w:val="clear" w:color="auto" w:fill="auto"/>
          </w:tcPr>
          <w:p w:rsidR="00D06A2F" w:rsidRPr="00E8065F" w:rsidRDefault="00D06A2F" w:rsidP="00BA1432">
            <w:pPr>
              <w:rPr>
                <w:sz w:val="20"/>
                <w:szCs w:val="20"/>
              </w:rPr>
            </w:pPr>
          </w:p>
        </w:tc>
      </w:tr>
      <w:tr w:rsidR="00D06A2F" w:rsidRPr="00E8065F" w:rsidTr="00CD3A6F">
        <w:trPr>
          <w:trHeight w:val="20"/>
        </w:trPr>
        <w:tc>
          <w:tcPr>
            <w:tcW w:w="1555" w:type="dxa"/>
            <w:vMerge/>
            <w:tcBorders>
              <w:left w:val="single" w:sz="4" w:space="0" w:color="auto"/>
              <w:right w:val="single" w:sz="4" w:space="0" w:color="auto"/>
            </w:tcBorders>
          </w:tcPr>
          <w:p w:rsidR="00D06A2F" w:rsidRPr="00E8065F" w:rsidRDefault="00D06A2F" w:rsidP="00BA1432">
            <w:pPr>
              <w:rPr>
                <w:sz w:val="20"/>
                <w:szCs w:val="20"/>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D06A2F" w:rsidRPr="00E8065F" w:rsidRDefault="00D06A2F" w:rsidP="00DC0475">
            <w:pPr>
              <w:jc w:val="both"/>
              <w:rPr>
                <w:color w:val="000000"/>
                <w:sz w:val="20"/>
                <w:szCs w:val="20"/>
              </w:rPr>
            </w:pPr>
            <w:r w:rsidRPr="00E8065F">
              <w:rPr>
                <w:color w:val="000000"/>
                <w:sz w:val="20"/>
                <w:szCs w:val="20"/>
              </w:rPr>
              <w:t xml:space="preserve">ГАУЗ </w:t>
            </w:r>
            <w:r>
              <w:rPr>
                <w:color w:val="000000"/>
                <w:sz w:val="20"/>
                <w:szCs w:val="20"/>
              </w:rPr>
              <w:t>«</w:t>
            </w:r>
            <w:r w:rsidRPr="00E8065F">
              <w:rPr>
                <w:color w:val="000000"/>
                <w:sz w:val="20"/>
                <w:szCs w:val="20"/>
              </w:rPr>
              <w:t>Агрызская ЦРБ</w:t>
            </w:r>
            <w:r>
              <w:rPr>
                <w:color w:val="000000"/>
                <w:sz w:val="20"/>
                <w:szCs w:val="20"/>
              </w:rPr>
              <w:t>»</w:t>
            </w:r>
          </w:p>
        </w:tc>
        <w:tc>
          <w:tcPr>
            <w:tcW w:w="1994" w:type="dxa"/>
            <w:tcBorders>
              <w:top w:val="single" w:sz="4" w:space="0" w:color="auto"/>
              <w:left w:val="single" w:sz="4" w:space="0" w:color="auto"/>
              <w:bottom w:val="single" w:sz="4" w:space="0" w:color="auto"/>
              <w:right w:val="single" w:sz="4" w:space="0" w:color="auto"/>
            </w:tcBorders>
            <w:shd w:val="clear" w:color="auto" w:fill="auto"/>
          </w:tcPr>
          <w:p w:rsidR="00D06A2F" w:rsidRPr="00E8065F" w:rsidRDefault="00D06A2F" w:rsidP="00BA1432">
            <w:pPr>
              <w:jc w:val="center"/>
              <w:rPr>
                <w:color w:val="000000"/>
                <w:sz w:val="20"/>
                <w:szCs w:val="20"/>
              </w:rPr>
            </w:pPr>
            <w:r w:rsidRPr="00E8065F">
              <w:rPr>
                <w:color w:val="000000"/>
                <w:sz w:val="20"/>
                <w:szCs w:val="20"/>
              </w:rPr>
              <w:t>Колоноскоп</w:t>
            </w:r>
          </w:p>
        </w:tc>
        <w:tc>
          <w:tcPr>
            <w:tcW w:w="1181" w:type="dxa"/>
            <w:tcBorders>
              <w:top w:val="single" w:sz="4" w:space="0" w:color="auto"/>
              <w:left w:val="single" w:sz="4" w:space="0" w:color="auto"/>
              <w:bottom w:val="single" w:sz="4" w:space="0" w:color="auto"/>
              <w:right w:val="single" w:sz="4" w:space="0" w:color="auto"/>
            </w:tcBorders>
            <w:shd w:val="clear" w:color="auto" w:fill="auto"/>
          </w:tcPr>
          <w:p w:rsidR="00D06A2F" w:rsidRPr="00E8065F" w:rsidRDefault="00D06A2F" w:rsidP="000546C2">
            <w:pPr>
              <w:jc w:val="center"/>
              <w:rPr>
                <w:color w:val="000000"/>
                <w:sz w:val="20"/>
                <w:szCs w:val="20"/>
              </w:rPr>
            </w:pPr>
            <w:r w:rsidRPr="00E8065F">
              <w:rPr>
                <w:color w:val="000000"/>
                <w:sz w:val="20"/>
                <w:szCs w:val="20"/>
              </w:rPr>
              <w:t>2022</w:t>
            </w:r>
          </w:p>
        </w:tc>
        <w:tc>
          <w:tcPr>
            <w:tcW w:w="1181" w:type="dxa"/>
            <w:shd w:val="clear" w:color="auto" w:fill="auto"/>
          </w:tcPr>
          <w:p w:rsidR="00D06A2F" w:rsidRPr="00E8065F" w:rsidRDefault="00D06A2F" w:rsidP="000546C2">
            <w:pPr>
              <w:jc w:val="center"/>
              <w:rPr>
                <w:color w:val="000000"/>
                <w:sz w:val="20"/>
                <w:szCs w:val="20"/>
              </w:rPr>
            </w:pPr>
            <w:r w:rsidRPr="00E8065F">
              <w:rPr>
                <w:color w:val="000000"/>
                <w:sz w:val="20"/>
                <w:szCs w:val="20"/>
              </w:rPr>
              <w:t>1</w:t>
            </w:r>
          </w:p>
        </w:tc>
        <w:tc>
          <w:tcPr>
            <w:tcW w:w="1478" w:type="dxa"/>
            <w:tcBorders>
              <w:top w:val="single" w:sz="4" w:space="0" w:color="auto"/>
              <w:left w:val="single" w:sz="4" w:space="0" w:color="auto"/>
              <w:bottom w:val="single" w:sz="4" w:space="0" w:color="auto"/>
              <w:right w:val="single" w:sz="4" w:space="0" w:color="auto"/>
            </w:tcBorders>
            <w:shd w:val="clear" w:color="auto" w:fill="auto"/>
          </w:tcPr>
          <w:p w:rsidR="00D06A2F" w:rsidRPr="00E8065F" w:rsidRDefault="00D06A2F" w:rsidP="000546C2">
            <w:pPr>
              <w:jc w:val="center"/>
              <w:rPr>
                <w:color w:val="000000"/>
                <w:sz w:val="20"/>
                <w:szCs w:val="20"/>
              </w:rPr>
            </w:pPr>
            <w:r w:rsidRPr="00E8065F">
              <w:rPr>
                <w:color w:val="000000"/>
                <w:sz w:val="20"/>
                <w:szCs w:val="20"/>
              </w:rPr>
              <w:t>0,4</w:t>
            </w:r>
          </w:p>
        </w:tc>
        <w:tc>
          <w:tcPr>
            <w:tcW w:w="1111" w:type="dxa"/>
            <w:tcBorders>
              <w:top w:val="single" w:sz="4" w:space="0" w:color="auto"/>
              <w:left w:val="single" w:sz="4" w:space="0" w:color="auto"/>
              <w:bottom w:val="single" w:sz="4" w:space="0" w:color="auto"/>
              <w:right w:val="single" w:sz="4" w:space="0" w:color="auto"/>
            </w:tcBorders>
            <w:shd w:val="clear" w:color="auto" w:fill="auto"/>
          </w:tcPr>
          <w:p w:rsidR="00D06A2F" w:rsidRPr="00E8065F" w:rsidRDefault="00D06A2F" w:rsidP="000546C2">
            <w:pPr>
              <w:jc w:val="center"/>
              <w:rPr>
                <w:color w:val="000000"/>
                <w:sz w:val="20"/>
                <w:szCs w:val="20"/>
              </w:rPr>
            </w:pPr>
            <w:r w:rsidRPr="00E8065F">
              <w:rPr>
                <w:color w:val="000000"/>
                <w:sz w:val="20"/>
                <w:szCs w:val="20"/>
              </w:rPr>
              <w:t>1</w:t>
            </w:r>
          </w:p>
        </w:tc>
        <w:tc>
          <w:tcPr>
            <w:tcW w:w="1944" w:type="dxa"/>
            <w:tcBorders>
              <w:top w:val="single" w:sz="4" w:space="0" w:color="auto"/>
              <w:left w:val="single" w:sz="4" w:space="0" w:color="auto"/>
              <w:bottom w:val="single" w:sz="4" w:space="0" w:color="auto"/>
              <w:right w:val="single" w:sz="4" w:space="0" w:color="auto"/>
            </w:tcBorders>
            <w:shd w:val="clear" w:color="auto" w:fill="auto"/>
          </w:tcPr>
          <w:p w:rsidR="00D06A2F" w:rsidRPr="00E8065F" w:rsidRDefault="00D06A2F" w:rsidP="00BA1432">
            <w:pPr>
              <w:jc w:val="center"/>
              <w:rPr>
                <w:color w:val="000000"/>
                <w:sz w:val="20"/>
                <w:szCs w:val="20"/>
              </w:rPr>
            </w:pPr>
            <w:r w:rsidRPr="00E8065F">
              <w:rPr>
                <w:color w:val="000000"/>
                <w:sz w:val="20"/>
                <w:szCs w:val="20"/>
              </w:rPr>
              <w:t>Амбулаторное</w:t>
            </w:r>
          </w:p>
        </w:tc>
      </w:tr>
      <w:tr w:rsidR="00D06A2F" w:rsidRPr="00E8065F" w:rsidTr="00CD3A6F">
        <w:trPr>
          <w:trHeight w:val="20"/>
        </w:trPr>
        <w:tc>
          <w:tcPr>
            <w:tcW w:w="1555" w:type="dxa"/>
            <w:vMerge/>
            <w:tcBorders>
              <w:left w:val="single" w:sz="4" w:space="0" w:color="auto"/>
              <w:right w:val="single" w:sz="4" w:space="0" w:color="auto"/>
            </w:tcBorders>
          </w:tcPr>
          <w:p w:rsidR="00D06A2F" w:rsidRPr="00E8065F" w:rsidRDefault="00D06A2F" w:rsidP="00BA1432">
            <w:pPr>
              <w:rPr>
                <w:sz w:val="20"/>
                <w:szCs w:val="20"/>
              </w:rPr>
            </w:pPr>
          </w:p>
        </w:tc>
        <w:tc>
          <w:tcPr>
            <w:tcW w:w="3685" w:type="dxa"/>
            <w:tcBorders>
              <w:top w:val="nil"/>
              <w:left w:val="single" w:sz="4" w:space="0" w:color="auto"/>
              <w:bottom w:val="single" w:sz="4" w:space="0" w:color="auto"/>
              <w:right w:val="single" w:sz="4" w:space="0" w:color="auto"/>
            </w:tcBorders>
            <w:shd w:val="clear" w:color="auto" w:fill="auto"/>
          </w:tcPr>
          <w:p w:rsidR="00D06A2F" w:rsidRPr="00E8065F" w:rsidRDefault="00D06A2F" w:rsidP="00DC0475">
            <w:pPr>
              <w:jc w:val="both"/>
              <w:rPr>
                <w:color w:val="000000"/>
                <w:sz w:val="20"/>
                <w:szCs w:val="20"/>
              </w:rPr>
            </w:pPr>
            <w:r w:rsidRPr="00E8065F">
              <w:rPr>
                <w:color w:val="000000"/>
                <w:sz w:val="20"/>
                <w:szCs w:val="20"/>
              </w:rPr>
              <w:t xml:space="preserve">ГАУЗ </w:t>
            </w:r>
            <w:r>
              <w:rPr>
                <w:color w:val="000000"/>
                <w:sz w:val="20"/>
                <w:szCs w:val="20"/>
              </w:rPr>
              <w:t>«</w:t>
            </w:r>
            <w:r w:rsidRPr="00E8065F">
              <w:rPr>
                <w:color w:val="000000"/>
                <w:sz w:val="20"/>
                <w:szCs w:val="20"/>
              </w:rPr>
              <w:t>Азнакаевская ЦРБ</w:t>
            </w:r>
            <w:r>
              <w:rPr>
                <w:color w:val="000000"/>
                <w:sz w:val="20"/>
                <w:szCs w:val="20"/>
              </w:rPr>
              <w:t>»</w:t>
            </w:r>
          </w:p>
        </w:tc>
        <w:tc>
          <w:tcPr>
            <w:tcW w:w="1994" w:type="dxa"/>
            <w:tcBorders>
              <w:top w:val="nil"/>
              <w:left w:val="single" w:sz="4" w:space="0" w:color="auto"/>
              <w:bottom w:val="single" w:sz="4" w:space="0" w:color="auto"/>
              <w:right w:val="single" w:sz="4" w:space="0" w:color="auto"/>
            </w:tcBorders>
            <w:shd w:val="clear" w:color="auto" w:fill="auto"/>
          </w:tcPr>
          <w:p w:rsidR="00D06A2F" w:rsidRPr="00E8065F" w:rsidRDefault="00D06A2F" w:rsidP="00BA1432">
            <w:pPr>
              <w:jc w:val="center"/>
              <w:rPr>
                <w:color w:val="000000"/>
                <w:sz w:val="20"/>
                <w:szCs w:val="20"/>
              </w:rPr>
            </w:pPr>
            <w:r w:rsidRPr="00E8065F">
              <w:rPr>
                <w:color w:val="000000"/>
                <w:sz w:val="20"/>
                <w:szCs w:val="20"/>
              </w:rPr>
              <w:t>Колоноскоп</w:t>
            </w:r>
          </w:p>
        </w:tc>
        <w:tc>
          <w:tcPr>
            <w:tcW w:w="1181" w:type="dxa"/>
            <w:tcBorders>
              <w:top w:val="nil"/>
              <w:left w:val="single" w:sz="4" w:space="0" w:color="auto"/>
              <w:bottom w:val="single" w:sz="4" w:space="0" w:color="auto"/>
              <w:right w:val="single" w:sz="4" w:space="0" w:color="auto"/>
            </w:tcBorders>
            <w:shd w:val="clear" w:color="auto" w:fill="auto"/>
          </w:tcPr>
          <w:p w:rsidR="00D06A2F" w:rsidRPr="005D7240" w:rsidRDefault="00D06A2F" w:rsidP="000546C2">
            <w:pPr>
              <w:jc w:val="center"/>
              <w:rPr>
                <w:color w:val="000000"/>
                <w:sz w:val="20"/>
                <w:szCs w:val="20"/>
                <w:lang w:val="en-US"/>
              </w:rPr>
            </w:pPr>
            <w:r w:rsidRPr="00E8065F">
              <w:rPr>
                <w:color w:val="000000"/>
                <w:sz w:val="20"/>
                <w:szCs w:val="20"/>
              </w:rPr>
              <w:t>2022</w:t>
            </w:r>
            <w:r w:rsidR="003D79B3">
              <w:rPr>
                <w:color w:val="000000"/>
                <w:sz w:val="20"/>
                <w:szCs w:val="20"/>
              </w:rPr>
              <w:t xml:space="preserve"> </w:t>
            </w:r>
            <w:r w:rsidR="005D7240">
              <w:rPr>
                <w:color w:val="000000"/>
                <w:sz w:val="20"/>
                <w:szCs w:val="20"/>
                <w:lang w:val="en-US"/>
              </w:rPr>
              <w:t>(2)</w:t>
            </w:r>
          </w:p>
        </w:tc>
        <w:tc>
          <w:tcPr>
            <w:tcW w:w="1181" w:type="dxa"/>
            <w:shd w:val="clear" w:color="auto" w:fill="auto"/>
          </w:tcPr>
          <w:p w:rsidR="00D06A2F" w:rsidRPr="00E8065F" w:rsidRDefault="00D06A2F" w:rsidP="000546C2">
            <w:pPr>
              <w:jc w:val="center"/>
              <w:rPr>
                <w:color w:val="000000"/>
                <w:sz w:val="20"/>
                <w:szCs w:val="20"/>
              </w:rPr>
            </w:pPr>
            <w:r w:rsidRPr="00E8065F">
              <w:rPr>
                <w:color w:val="000000"/>
                <w:sz w:val="20"/>
                <w:szCs w:val="20"/>
              </w:rPr>
              <w:t>2</w:t>
            </w:r>
          </w:p>
        </w:tc>
        <w:tc>
          <w:tcPr>
            <w:tcW w:w="1478" w:type="dxa"/>
            <w:tcBorders>
              <w:top w:val="nil"/>
              <w:left w:val="single" w:sz="4" w:space="0" w:color="auto"/>
              <w:bottom w:val="single" w:sz="4" w:space="0" w:color="auto"/>
              <w:right w:val="single" w:sz="4" w:space="0" w:color="auto"/>
            </w:tcBorders>
            <w:shd w:val="clear" w:color="auto" w:fill="auto"/>
          </w:tcPr>
          <w:p w:rsidR="00D06A2F" w:rsidRPr="00E8065F" w:rsidRDefault="00D06A2F" w:rsidP="000546C2">
            <w:pPr>
              <w:jc w:val="center"/>
              <w:rPr>
                <w:color w:val="000000"/>
                <w:sz w:val="20"/>
                <w:szCs w:val="20"/>
              </w:rPr>
            </w:pPr>
            <w:r w:rsidRPr="00E8065F">
              <w:rPr>
                <w:color w:val="000000"/>
                <w:sz w:val="20"/>
                <w:szCs w:val="20"/>
              </w:rPr>
              <w:t>5,6</w:t>
            </w:r>
          </w:p>
        </w:tc>
        <w:tc>
          <w:tcPr>
            <w:tcW w:w="1111" w:type="dxa"/>
            <w:tcBorders>
              <w:top w:val="nil"/>
              <w:left w:val="single" w:sz="4" w:space="0" w:color="auto"/>
              <w:bottom w:val="single" w:sz="4" w:space="0" w:color="auto"/>
              <w:right w:val="single" w:sz="4" w:space="0" w:color="auto"/>
            </w:tcBorders>
            <w:shd w:val="clear" w:color="auto" w:fill="auto"/>
          </w:tcPr>
          <w:p w:rsidR="00D06A2F" w:rsidRPr="00E8065F" w:rsidRDefault="00D06A2F" w:rsidP="000546C2">
            <w:pPr>
              <w:jc w:val="center"/>
              <w:rPr>
                <w:color w:val="000000"/>
                <w:sz w:val="20"/>
                <w:szCs w:val="20"/>
              </w:rPr>
            </w:pPr>
            <w:r w:rsidRPr="00E8065F">
              <w:rPr>
                <w:color w:val="000000"/>
                <w:sz w:val="20"/>
                <w:szCs w:val="20"/>
              </w:rPr>
              <w:t>1</w:t>
            </w:r>
          </w:p>
        </w:tc>
        <w:tc>
          <w:tcPr>
            <w:tcW w:w="1944" w:type="dxa"/>
            <w:tcBorders>
              <w:top w:val="nil"/>
              <w:left w:val="single" w:sz="4" w:space="0" w:color="auto"/>
              <w:bottom w:val="single" w:sz="4" w:space="0" w:color="auto"/>
              <w:right w:val="single" w:sz="4" w:space="0" w:color="auto"/>
            </w:tcBorders>
            <w:shd w:val="clear" w:color="auto" w:fill="auto"/>
          </w:tcPr>
          <w:p w:rsidR="00D06A2F" w:rsidRPr="00E8065F" w:rsidRDefault="00D06A2F" w:rsidP="00BA1432">
            <w:pPr>
              <w:jc w:val="center"/>
              <w:rPr>
                <w:color w:val="000000"/>
                <w:sz w:val="20"/>
                <w:szCs w:val="20"/>
              </w:rPr>
            </w:pPr>
            <w:r w:rsidRPr="00E8065F">
              <w:rPr>
                <w:color w:val="000000"/>
                <w:sz w:val="20"/>
                <w:szCs w:val="20"/>
              </w:rPr>
              <w:t>Амбулаторное</w:t>
            </w:r>
          </w:p>
        </w:tc>
      </w:tr>
      <w:tr w:rsidR="00D06A2F" w:rsidRPr="00E8065F" w:rsidTr="00CD3A6F">
        <w:trPr>
          <w:trHeight w:val="20"/>
        </w:trPr>
        <w:tc>
          <w:tcPr>
            <w:tcW w:w="1555" w:type="dxa"/>
            <w:vMerge/>
            <w:tcBorders>
              <w:left w:val="single" w:sz="4" w:space="0" w:color="auto"/>
              <w:right w:val="single" w:sz="4" w:space="0" w:color="auto"/>
            </w:tcBorders>
          </w:tcPr>
          <w:p w:rsidR="00D06A2F" w:rsidRPr="00E8065F" w:rsidRDefault="00D06A2F" w:rsidP="00BA1432">
            <w:pPr>
              <w:rPr>
                <w:sz w:val="20"/>
                <w:szCs w:val="20"/>
              </w:rPr>
            </w:pPr>
          </w:p>
        </w:tc>
        <w:tc>
          <w:tcPr>
            <w:tcW w:w="3685" w:type="dxa"/>
            <w:tcBorders>
              <w:top w:val="nil"/>
              <w:left w:val="single" w:sz="4" w:space="0" w:color="auto"/>
              <w:bottom w:val="single" w:sz="4" w:space="0" w:color="auto"/>
              <w:right w:val="single" w:sz="4" w:space="0" w:color="auto"/>
            </w:tcBorders>
            <w:shd w:val="clear" w:color="auto" w:fill="auto"/>
          </w:tcPr>
          <w:p w:rsidR="00D06A2F" w:rsidRPr="00E8065F" w:rsidRDefault="00D06A2F" w:rsidP="00DC0475">
            <w:pPr>
              <w:jc w:val="both"/>
              <w:rPr>
                <w:color w:val="000000"/>
                <w:sz w:val="20"/>
                <w:szCs w:val="20"/>
              </w:rPr>
            </w:pPr>
            <w:r w:rsidRPr="00E8065F">
              <w:rPr>
                <w:color w:val="000000"/>
                <w:sz w:val="20"/>
                <w:szCs w:val="20"/>
              </w:rPr>
              <w:t xml:space="preserve">ГАУЗ </w:t>
            </w:r>
            <w:r>
              <w:rPr>
                <w:color w:val="000000"/>
                <w:sz w:val="20"/>
                <w:szCs w:val="20"/>
              </w:rPr>
              <w:t>«</w:t>
            </w:r>
            <w:r w:rsidRPr="00E8065F">
              <w:rPr>
                <w:color w:val="000000"/>
                <w:sz w:val="20"/>
                <w:szCs w:val="20"/>
              </w:rPr>
              <w:t>Актанышская ЦРБ</w:t>
            </w:r>
            <w:r>
              <w:rPr>
                <w:color w:val="000000"/>
                <w:sz w:val="20"/>
                <w:szCs w:val="20"/>
              </w:rPr>
              <w:t>»</w:t>
            </w:r>
          </w:p>
        </w:tc>
        <w:tc>
          <w:tcPr>
            <w:tcW w:w="1994" w:type="dxa"/>
            <w:tcBorders>
              <w:top w:val="nil"/>
              <w:left w:val="single" w:sz="4" w:space="0" w:color="auto"/>
              <w:bottom w:val="single" w:sz="4" w:space="0" w:color="auto"/>
              <w:right w:val="single" w:sz="4" w:space="0" w:color="auto"/>
            </w:tcBorders>
            <w:shd w:val="clear" w:color="auto" w:fill="auto"/>
          </w:tcPr>
          <w:p w:rsidR="00D06A2F" w:rsidRPr="00E8065F" w:rsidRDefault="00D06A2F" w:rsidP="00BA1432">
            <w:pPr>
              <w:jc w:val="center"/>
              <w:rPr>
                <w:color w:val="000000"/>
                <w:sz w:val="20"/>
                <w:szCs w:val="20"/>
              </w:rPr>
            </w:pPr>
            <w:r w:rsidRPr="00E8065F">
              <w:rPr>
                <w:color w:val="000000"/>
                <w:sz w:val="20"/>
                <w:szCs w:val="20"/>
              </w:rPr>
              <w:t>Колоноскоп</w:t>
            </w:r>
          </w:p>
        </w:tc>
        <w:tc>
          <w:tcPr>
            <w:tcW w:w="1181" w:type="dxa"/>
            <w:tcBorders>
              <w:top w:val="nil"/>
              <w:left w:val="single" w:sz="4" w:space="0" w:color="auto"/>
              <w:bottom w:val="single" w:sz="4" w:space="0" w:color="auto"/>
              <w:right w:val="single" w:sz="4" w:space="0" w:color="auto"/>
            </w:tcBorders>
            <w:shd w:val="clear" w:color="auto" w:fill="auto"/>
          </w:tcPr>
          <w:p w:rsidR="00D06A2F" w:rsidRPr="00E8065F" w:rsidRDefault="00D06A2F" w:rsidP="000546C2">
            <w:pPr>
              <w:jc w:val="center"/>
              <w:rPr>
                <w:color w:val="000000"/>
                <w:sz w:val="20"/>
                <w:szCs w:val="20"/>
              </w:rPr>
            </w:pPr>
            <w:r w:rsidRPr="00E8065F">
              <w:rPr>
                <w:color w:val="000000"/>
                <w:sz w:val="20"/>
                <w:szCs w:val="20"/>
              </w:rPr>
              <w:t>2018</w:t>
            </w:r>
          </w:p>
        </w:tc>
        <w:tc>
          <w:tcPr>
            <w:tcW w:w="1181" w:type="dxa"/>
            <w:shd w:val="clear" w:color="auto" w:fill="auto"/>
          </w:tcPr>
          <w:p w:rsidR="00D06A2F" w:rsidRPr="00E8065F" w:rsidRDefault="00D06A2F" w:rsidP="000546C2">
            <w:pPr>
              <w:jc w:val="center"/>
              <w:rPr>
                <w:color w:val="000000"/>
                <w:sz w:val="20"/>
                <w:szCs w:val="20"/>
              </w:rPr>
            </w:pPr>
            <w:r w:rsidRPr="00E8065F">
              <w:rPr>
                <w:color w:val="000000"/>
                <w:sz w:val="20"/>
                <w:szCs w:val="20"/>
              </w:rPr>
              <w:t>1</w:t>
            </w:r>
          </w:p>
        </w:tc>
        <w:tc>
          <w:tcPr>
            <w:tcW w:w="1478" w:type="dxa"/>
            <w:tcBorders>
              <w:top w:val="nil"/>
              <w:left w:val="single" w:sz="4" w:space="0" w:color="auto"/>
              <w:bottom w:val="single" w:sz="4" w:space="0" w:color="auto"/>
              <w:right w:val="single" w:sz="4" w:space="0" w:color="auto"/>
            </w:tcBorders>
            <w:shd w:val="clear" w:color="auto" w:fill="auto"/>
          </w:tcPr>
          <w:p w:rsidR="00D06A2F" w:rsidRPr="00E8065F" w:rsidRDefault="00D06A2F" w:rsidP="000546C2">
            <w:pPr>
              <w:jc w:val="center"/>
              <w:rPr>
                <w:color w:val="000000"/>
                <w:sz w:val="20"/>
                <w:szCs w:val="20"/>
              </w:rPr>
            </w:pPr>
            <w:r w:rsidRPr="00E8065F">
              <w:rPr>
                <w:color w:val="000000"/>
                <w:sz w:val="20"/>
                <w:szCs w:val="20"/>
              </w:rPr>
              <w:t>0,6</w:t>
            </w:r>
          </w:p>
        </w:tc>
        <w:tc>
          <w:tcPr>
            <w:tcW w:w="1111" w:type="dxa"/>
            <w:tcBorders>
              <w:top w:val="nil"/>
              <w:left w:val="single" w:sz="4" w:space="0" w:color="auto"/>
              <w:bottom w:val="single" w:sz="4" w:space="0" w:color="auto"/>
              <w:right w:val="single" w:sz="4" w:space="0" w:color="auto"/>
            </w:tcBorders>
            <w:shd w:val="clear" w:color="auto" w:fill="auto"/>
          </w:tcPr>
          <w:p w:rsidR="00D06A2F" w:rsidRPr="00E8065F" w:rsidRDefault="00D06A2F" w:rsidP="000546C2">
            <w:pPr>
              <w:jc w:val="center"/>
              <w:rPr>
                <w:color w:val="000000"/>
                <w:sz w:val="20"/>
                <w:szCs w:val="20"/>
              </w:rPr>
            </w:pPr>
            <w:r w:rsidRPr="00E8065F">
              <w:rPr>
                <w:color w:val="000000"/>
                <w:sz w:val="20"/>
                <w:szCs w:val="20"/>
              </w:rPr>
              <w:t>1</w:t>
            </w:r>
          </w:p>
        </w:tc>
        <w:tc>
          <w:tcPr>
            <w:tcW w:w="1944" w:type="dxa"/>
            <w:tcBorders>
              <w:top w:val="nil"/>
              <w:left w:val="single" w:sz="4" w:space="0" w:color="auto"/>
              <w:bottom w:val="single" w:sz="4" w:space="0" w:color="auto"/>
              <w:right w:val="single" w:sz="4" w:space="0" w:color="auto"/>
            </w:tcBorders>
            <w:shd w:val="clear" w:color="auto" w:fill="auto"/>
          </w:tcPr>
          <w:p w:rsidR="00D06A2F" w:rsidRPr="00E8065F" w:rsidRDefault="00D06A2F" w:rsidP="00BA1432">
            <w:pPr>
              <w:jc w:val="center"/>
              <w:rPr>
                <w:color w:val="000000"/>
                <w:sz w:val="20"/>
                <w:szCs w:val="20"/>
              </w:rPr>
            </w:pPr>
            <w:r w:rsidRPr="00E8065F">
              <w:rPr>
                <w:color w:val="000000"/>
                <w:sz w:val="20"/>
                <w:szCs w:val="20"/>
              </w:rPr>
              <w:t>Амбулаторное</w:t>
            </w:r>
          </w:p>
        </w:tc>
      </w:tr>
      <w:tr w:rsidR="00D06A2F" w:rsidRPr="00E8065F" w:rsidTr="00CD3A6F">
        <w:trPr>
          <w:trHeight w:val="20"/>
        </w:trPr>
        <w:tc>
          <w:tcPr>
            <w:tcW w:w="1555" w:type="dxa"/>
            <w:vMerge/>
            <w:tcBorders>
              <w:left w:val="single" w:sz="4" w:space="0" w:color="auto"/>
              <w:right w:val="single" w:sz="4" w:space="0" w:color="auto"/>
            </w:tcBorders>
          </w:tcPr>
          <w:p w:rsidR="00D06A2F" w:rsidRPr="00E8065F" w:rsidRDefault="00D06A2F" w:rsidP="00BA1432">
            <w:pPr>
              <w:rPr>
                <w:sz w:val="20"/>
                <w:szCs w:val="20"/>
              </w:rPr>
            </w:pPr>
          </w:p>
        </w:tc>
        <w:tc>
          <w:tcPr>
            <w:tcW w:w="3685" w:type="dxa"/>
            <w:tcBorders>
              <w:top w:val="nil"/>
              <w:left w:val="single" w:sz="4" w:space="0" w:color="auto"/>
              <w:bottom w:val="single" w:sz="4" w:space="0" w:color="auto"/>
              <w:right w:val="single" w:sz="4" w:space="0" w:color="auto"/>
            </w:tcBorders>
            <w:shd w:val="clear" w:color="auto" w:fill="auto"/>
          </w:tcPr>
          <w:p w:rsidR="00D06A2F" w:rsidRPr="00E8065F" w:rsidRDefault="00D06A2F" w:rsidP="00DC0475">
            <w:pPr>
              <w:jc w:val="both"/>
              <w:rPr>
                <w:color w:val="000000"/>
                <w:sz w:val="20"/>
                <w:szCs w:val="20"/>
              </w:rPr>
            </w:pPr>
            <w:r>
              <w:rPr>
                <w:color w:val="000000"/>
                <w:sz w:val="20"/>
                <w:szCs w:val="20"/>
              </w:rPr>
              <w:t>ГАУЗ «Алексеевская ЦРБ»</w:t>
            </w:r>
          </w:p>
        </w:tc>
        <w:tc>
          <w:tcPr>
            <w:tcW w:w="1994" w:type="dxa"/>
            <w:tcBorders>
              <w:top w:val="nil"/>
              <w:left w:val="single" w:sz="4" w:space="0" w:color="auto"/>
              <w:bottom w:val="single" w:sz="4" w:space="0" w:color="auto"/>
              <w:right w:val="single" w:sz="4" w:space="0" w:color="auto"/>
            </w:tcBorders>
            <w:shd w:val="clear" w:color="auto" w:fill="auto"/>
          </w:tcPr>
          <w:p w:rsidR="00D06A2F" w:rsidRPr="00E8065F" w:rsidRDefault="00D06A2F" w:rsidP="00BA1432">
            <w:pPr>
              <w:jc w:val="center"/>
              <w:rPr>
                <w:color w:val="000000"/>
                <w:sz w:val="20"/>
                <w:szCs w:val="20"/>
              </w:rPr>
            </w:pPr>
            <w:r w:rsidRPr="00E8065F">
              <w:rPr>
                <w:color w:val="000000"/>
                <w:sz w:val="20"/>
                <w:szCs w:val="20"/>
              </w:rPr>
              <w:t>Колоноскоп</w:t>
            </w:r>
          </w:p>
        </w:tc>
        <w:tc>
          <w:tcPr>
            <w:tcW w:w="1181" w:type="dxa"/>
            <w:tcBorders>
              <w:top w:val="nil"/>
              <w:left w:val="single" w:sz="4" w:space="0" w:color="auto"/>
              <w:bottom w:val="single" w:sz="4" w:space="0" w:color="auto"/>
              <w:right w:val="single" w:sz="4" w:space="0" w:color="auto"/>
            </w:tcBorders>
            <w:shd w:val="clear" w:color="auto" w:fill="auto"/>
          </w:tcPr>
          <w:p w:rsidR="00D06A2F" w:rsidRPr="00E8065F" w:rsidRDefault="00D06A2F" w:rsidP="000546C2">
            <w:pPr>
              <w:jc w:val="center"/>
              <w:rPr>
                <w:color w:val="000000"/>
                <w:sz w:val="20"/>
                <w:szCs w:val="20"/>
              </w:rPr>
            </w:pPr>
            <w:r w:rsidRPr="00E8065F">
              <w:rPr>
                <w:color w:val="000000"/>
                <w:sz w:val="20"/>
                <w:szCs w:val="20"/>
              </w:rPr>
              <w:t>2016</w:t>
            </w:r>
          </w:p>
        </w:tc>
        <w:tc>
          <w:tcPr>
            <w:tcW w:w="1181" w:type="dxa"/>
            <w:tcBorders>
              <w:bottom w:val="single" w:sz="4" w:space="0" w:color="auto"/>
            </w:tcBorders>
            <w:shd w:val="clear" w:color="auto" w:fill="auto"/>
          </w:tcPr>
          <w:p w:rsidR="00D06A2F" w:rsidRPr="00E8065F" w:rsidRDefault="00D06A2F" w:rsidP="000546C2">
            <w:pPr>
              <w:jc w:val="center"/>
              <w:rPr>
                <w:color w:val="000000"/>
                <w:sz w:val="20"/>
                <w:szCs w:val="20"/>
              </w:rPr>
            </w:pPr>
            <w:r w:rsidRPr="00E8065F">
              <w:rPr>
                <w:color w:val="000000"/>
                <w:sz w:val="20"/>
                <w:szCs w:val="20"/>
              </w:rPr>
              <w:t>1</w:t>
            </w:r>
          </w:p>
        </w:tc>
        <w:tc>
          <w:tcPr>
            <w:tcW w:w="1478" w:type="dxa"/>
            <w:tcBorders>
              <w:top w:val="nil"/>
              <w:left w:val="single" w:sz="4" w:space="0" w:color="auto"/>
              <w:bottom w:val="single" w:sz="4" w:space="0" w:color="auto"/>
              <w:right w:val="single" w:sz="4" w:space="0" w:color="auto"/>
            </w:tcBorders>
            <w:shd w:val="clear" w:color="auto" w:fill="auto"/>
          </w:tcPr>
          <w:p w:rsidR="00D06A2F" w:rsidRPr="00E8065F" w:rsidRDefault="00D06A2F" w:rsidP="000546C2">
            <w:pPr>
              <w:jc w:val="center"/>
              <w:rPr>
                <w:color w:val="000000"/>
                <w:sz w:val="20"/>
                <w:szCs w:val="20"/>
              </w:rPr>
            </w:pPr>
            <w:r w:rsidRPr="00E8065F">
              <w:rPr>
                <w:color w:val="000000"/>
                <w:sz w:val="20"/>
                <w:szCs w:val="20"/>
              </w:rPr>
              <w:t>0,6</w:t>
            </w:r>
          </w:p>
        </w:tc>
        <w:tc>
          <w:tcPr>
            <w:tcW w:w="1111" w:type="dxa"/>
            <w:tcBorders>
              <w:top w:val="nil"/>
              <w:left w:val="single" w:sz="4" w:space="0" w:color="auto"/>
              <w:bottom w:val="single" w:sz="4" w:space="0" w:color="auto"/>
              <w:right w:val="single" w:sz="4" w:space="0" w:color="auto"/>
            </w:tcBorders>
            <w:shd w:val="clear" w:color="auto" w:fill="auto"/>
          </w:tcPr>
          <w:p w:rsidR="00D06A2F" w:rsidRPr="00E8065F" w:rsidRDefault="00D06A2F" w:rsidP="000546C2">
            <w:pPr>
              <w:jc w:val="center"/>
              <w:rPr>
                <w:color w:val="000000"/>
                <w:sz w:val="20"/>
                <w:szCs w:val="20"/>
              </w:rPr>
            </w:pPr>
            <w:r w:rsidRPr="00E8065F">
              <w:rPr>
                <w:color w:val="000000"/>
                <w:sz w:val="20"/>
                <w:szCs w:val="20"/>
              </w:rPr>
              <w:t>1</w:t>
            </w:r>
          </w:p>
        </w:tc>
        <w:tc>
          <w:tcPr>
            <w:tcW w:w="1944" w:type="dxa"/>
            <w:tcBorders>
              <w:top w:val="nil"/>
              <w:left w:val="single" w:sz="4" w:space="0" w:color="auto"/>
              <w:bottom w:val="single" w:sz="4" w:space="0" w:color="auto"/>
              <w:right w:val="single" w:sz="4" w:space="0" w:color="auto"/>
            </w:tcBorders>
            <w:shd w:val="clear" w:color="auto" w:fill="auto"/>
          </w:tcPr>
          <w:p w:rsidR="00D06A2F" w:rsidRPr="00E8065F" w:rsidRDefault="00D06A2F" w:rsidP="00BA1432">
            <w:pPr>
              <w:jc w:val="center"/>
              <w:rPr>
                <w:color w:val="000000"/>
                <w:sz w:val="20"/>
                <w:szCs w:val="20"/>
              </w:rPr>
            </w:pPr>
            <w:r w:rsidRPr="00E8065F">
              <w:rPr>
                <w:color w:val="000000"/>
                <w:sz w:val="20"/>
                <w:szCs w:val="20"/>
              </w:rPr>
              <w:t>Стационарное</w:t>
            </w:r>
          </w:p>
        </w:tc>
      </w:tr>
      <w:tr w:rsidR="00D06A2F" w:rsidRPr="00E8065F" w:rsidTr="00CD3A6F">
        <w:trPr>
          <w:trHeight w:val="20"/>
        </w:trPr>
        <w:tc>
          <w:tcPr>
            <w:tcW w:w="1555" w:type="dxa"/>
            <w:vMerge/>
            <w:tcBorders>
              <w:left w:val="single" w:sz="4" w:space="0" w:color="auto"/>
              <w:right w:val="single" w:sz="4" w:space="0" w:color="auto"/>
            </w:tcBorders>
          </w:tcPr>
          <w:p w:rsidR="00D06A2F" w:rsidRPr="00E8065F" w:rsidRDefault="00D06A2F" w:rsidP="00BA1432">
            <w:pPr>
              <w:rPr>
                <w:sz w:val="20"/>
                <w:szCs w:val="20"/>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D06A2F" w:rsidRPr="00E8065F" w:rsidRDefault="00D06A2F" w:rsidP="00DC0475">
            <w:pPr>
              <w:jc w:val="both"/>
              <w:rPr>
                <w:color w:val="000000"/>
                <w:sz w:val="20"/>
                <w:szCs w:val="20"/>
              </w:rPr>
            </w:pPr>
            <w:r w:rsidRPr="00E8065F">
              <w:rPr>
                <w:color w:val="000000"/>
                <w:sz w:val="20"/>
                <w:szCs w:val="20"/>
              </w:rPr>
              <w:t xml:space="preserve">ГАУЗ </w:t>
            </w:r>
            <w:r>
              <w:rPr>
                <w:color w:val="000000"/>
                <w:sz w:val="20"/>
                <w:szCs w:val="20"/>
              </w:rPr>
              <w:t>«</w:t>
            </w:r>
            <w:r w:rsidRPr="00E8065F">
              <w:rPr>
                <w:color w:val="000000"/>
                <w:sz w:val="20"/>
                <w:szCs w:val="20"/>
              </w:rPr>
              <w:t>Базарно-Матакская ЦРБ</w:t>
            </w:r>
            <w:r>
              <w:rPr>
                <w:color w:val="000000"/>
                <w:sz w:val="20"/>
                <w:szCs w:val="20"/>
              </w:rPr>
              <w:t>»</w:t>
            </w:r>
          </w:p>
        </w:tc>
        <w:tc>
          <w:tcPr>
            <w:tcW w:w="1994" w:type="dxa"/>
            <w:tcBorders>
              <w:top w:val="single" w:sz="4" w:space="0" w:color="auto"/>
              <w:left w:val="single" w:sz="4" w:space="0" w:color="auto"/>
              <w:bottom w:val="single" w:sz="4" w:space="0" w:color="auto"/>
              <w:right w:val="single" w:sz="4" w:space="0" w:color="auto"/>
            </w:tcBorders>
            <w:shd w:val="clear" w:color="auto" w:fill="auto"/>
          </w:tcPr>
          <w:p w:rsidR="00D06A2F" w:rsidRPr="00E8065F" w:rsidRDefault="00D06A2F" w:rsidP="00BA1432">
            <w:pPr>
              <w:jc w:val="center"/>
              <w:rPr>
                <w:color w:val="000000"/>
                <w:sz w:val="20"/>
                <w:szCs w:val="20"/>
              </w:rPr>
            </w:pPr>
            <w:r w:rsidRPr="00E8065F">
              <w:rPr>
                <w:color w:val="000000"/>
                <w:sz w:val="20"/>
                <w:szCs w:val="20"/>
              </w:rPr>
              <w:t>Колоноскоп</w:t>
            </w:r>
          </w:p>
        </w:tc>
        <w:tc>
          <w:tcPr>
            <w:tcW w:w="1181" w:type="dxa"/>
            <w:tcBorders>
              <w:top w:val="single" w:sz="4" w:space="0" w:color="auto"/>
              <w:left w:val="single" w:sz="4" w:space="0" w:color="auto"/>
              <w:bottom w:val="single" w:sz="4" w:space="0" w:color="auto"/>
              <w:right w:val="single" w:sz="4" w:space="0" w:color="auto"/>
            </w:tcBorders>
            <w:shd w:val="clear" w:color="auto" w:fill="auto"/>
          </w:tcPr>
          <w:p w:rsidR="00D06A2F" w:rsidRPr="00E8065F" w:rsidRDefault="00D06A2F" w:rsidP="000546C2">
            <w:pPr>
              <w:jc w:val="center"/>
              <w:rPr>
                <w:color w:val="000000"/>
                <w:sz w:val="20"/>
                <w:szCs w:val="20"/>
              </w:rPr>
            </w:pPr>
            <w:r w:rsidRPr="00E8065F">
              <w:rPr>
                <w:color w:val="000000"/>
                <w:sz w:val="20"/>
                <w:szCs w:val="20"/>
              </w:rPr>
              <w:t>2023</w:t>
            </w:r>
          </w:p>
        </w:tc>
        <w:tc>
          <w:tcPr>
            <w:tcW w:w="1181" w:type="dxa"/>
            <w:tcBorders>
              <w:top w:val="single" w:sz="4" w:space="0" w:color="auto"/>
              <w:left w:val="single" w:sz="4" w:space="0" w:color="auto"/>
              <w:bottom w:val="single" w:sz="4" w:space="0" w:color="auto"/>
              <w:right w:val="single" w:sz="4" w:space="0" w:color="auto"/>
            </w:tcBorders>
            <w:shd w:val="clear" w:color="auto" w:fill="auto"/>
          </w:tcPr>
          <w:p w:rsidR="00D06A2F" w:rsidRPr="00E8065F" w:rsidRDefault="00D06A2F" w:rsidP="000546C2">
            <w:pPr>
              <w:jc w:val="center"/>
              <w:rPr>
                <w:color w:val="000000"/>
                <w:sz w:val="20"/>
                <w:szCs w:val="20"/>
              </w:rPr>
            </w:pPr>
            <w:r w:rsidRPr="00E8065F">
              <w:rPr>
                <w:color w:val="000000"/>
                <w:sz w:val="20"/>
                <w:szCs w:val="20"/>
              </w:rPr>
              <w:t>1</w:t>
            </w:r>
          </w:p>
        </w:tc>
        <w:tc>
          <w:tcPr>
            <w:tcW w:w="1478" w:type="dxa"/>
            <w:tcBorders>
              <w:top w:val="single" w:sz="4" w:space="0" w:color="auto"/>
              <w:left w:val="single" w:sz="4" w:space="0" w:color="auto"/>
              <w:bottom w:val="single" w:sz="4" w:space="0" w:color="auto"/>
              <w:right w:val="single" w:sz="4" w:space="0" w:color="auto"/>
            </w:tcBorders>
            <w:shd w:val="clear" w:color="auto" w:fill="auto"/>
          </w:tcPr>
          <w:p w:rsidR="00D06A2F" w:rsidRPr="00E8065F" w:rsidRDefault="00D06A2F" w:rsidP="000546C2">
            <w:pPr>
              <w:jc w:val="center"/>
              <w:rPr>
                <w:color w:val="000000"/>
                <w:sz w:val="20"/>
                <w:szCs w:val="20"/>
              </w:rPr>
            </w:pPr>
            <w:r w:rsidRPr="00E8065F">
              <w:rPr>
                <w:color w:val="000000"/>
                <w:sz w:val="20"/>
                <w:szCs w:val="20"/>
              </w:rPr>
              <w:t>0,2</w:t>
            </w:r>
          </w:p>
        </w:tc>
        <w:tc>
          <w:tcPr>
            <w:tcW w:w="1111" w:type="dxa"/>
            <w:tcBorders>
              <w:top w:val="single" w:sz="4" w:space="0" w:color="auto"/>
              <w:left w:val="single" w:sz="4" w:space="0" w:color="auto"/>
              <w:bottom w:val="single" w:sz="4" w:space="0" w:color="auto"/>
              <w:right w:val="single" w:sz="4" w:space="0" w:color="auto"/>
            </w:tcBorders>
            <w:shd w:val="clear" w:color="auto" w:fill="auto"/>
          </w:tcPr>
          <w:p w:rsidR="00D06A2F" w:rsidRPr="00E8065F" w:rsidRDefault="00D06A2F" w:rsidP="000546C2">
            <w:pPr>
              <w:jc w:val="center"/>
              <w:rPr>
                <w:color w:val="000000"/>
                <w:sz w:val="20"/>
                <w:szCs w:val="20"/>
              </w:rPr>
            </w:pPr>
            <w:r w:rsidRPr="00E8065F">
              <w:rPr>
                <w:color w:val="000000"/>
                <w:sz w:val="20"/>
                <w:szCs w:val="20"/>
              </w:rPr>
              <w:t>2</w:t>
            </w:r>
          </w:p>
        </w:tc>
        <w:tc>
          <w:tcPr>
            <w:tcW w:w="1944" w:type="dxa"/>
            <w:tcBorders>
              <w:top w:val="single" w:sz="4" w:space="0" w:color="auto"/>
              <w:left w:val="single" w:sz="4" w:space="0" w:color="auto"/>
              <w:bottom w:val="single" w:sz="4" w:space="0" w:color="auto"/>
              <w:right w:val="single" w:sz="4" w:space="0" w:color="auto"/>
            </w:tcBorders>
            <w:shd w:val="clear" w:color="auto" w:fill="auto"/>
          </w:tcPr>
          <w:p w:rsidR="00D06A2F" w:rsidRPr="00E8065F" w:rsidRDefault="00D06A2F" w:rsidP="00BA1432">
            <w:pPr>
              <w:jc w:val="center"/>
              <w:rPr>
                <w:color w:val="000000"/>
                <w:sz w:val="20"/>
                <w:szCs w:val="20"/>
              </w:rPr>
            </w:pPr>
            <w:r w:rsidRPr="00E8065F">
              <w:rPr>
                <w:color w:val="000000"/>
                <w:sz w:val="20"/>
                <w:szCs w:val="20"/>
              </w:rPr>
              <w:t>Амбулаторное</w:t>
            </w:r>
          </w:p>
        </w:tc>
      </w:tr>
      <w:tr w:rsidR="00D06A2F" w:rsidRPr="00E8065F" w:rsidTr="00CD3A6F">
        <w:trPr>
          <w:trHeight w:val="20"/>
        </w:trPr>
        <w:tc>
          <w:tcPr>
            <w:tcW w:w="1555" w:type="dxa"/>
            <w:vMerge/>
            <w:tcBorders>
              <w:left w:val="single" w:sz="4" w:space="0" w:color="auto"/>
              <w:right w:val="single" w:sz="4" w:space="0" w:color="auto"/>
            </w:tcBorders>
          </w:tcPr>
          <w:p w:rsidR="00D06A2F" w:rsidRPr="00E8065F" w:rsidRDefault="00D06A2F" w:rsidP="00BA1432">
            <w:pPr>
              <w:rPr>
                <w:sz w:val="20"/>
                <w:szCs w:val="20"/>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D06A2F" w:rsidRPr="00E8065F" w:rsidRDefault="00D06A2F" w:rsidP="00DC0475">
            <w:pPr>
              <w:jc w:val="both"/>
              <w:rPr>
                <w:color w:val="000000"/>
                <w:sz w:val="20"/>
                <w:szCs w:val="20"/>
              </w:rPr>
            </w:pPr>
            <w:r>
              <w:rPr>
                <w:color w:val="000000"/>
                <w:sz w:val="20"/>
                <w:szCs w:val="20"/>
              </w:rPr>
              <w:t xml:space="preserve">ГАУЗ </w:t>
            </w:r>
            <w:r>
              <w:rPr>
                <w:rFonts w:eastAsia="Arial"/>
                <w:sz w:val="20"/>
                <w:szCs w:val="20"/>
              </w:rPr>
              <w:t>«Альметьевская межрайонная многопрофильная больница»</w:t>
            </w:r>
            <w:r>
              <w:rPr>
                <w:color w:val="000000"/>
                <w:sz w:val="20"/>
                <w:szCs w:val="20"/>
              </w:rPr>
              <w:t xml:space="preserve"> </w:t>
            </w:r>
          </w:p>
        </w:tc>
        <w:tc>
          <w:tcPr>
            <w:tcW w:w="1994" w:type="dxa"/>
            <w:tcBorders>
              <w:top w:val="single" w:sz="4" w:space="0" w:color="auto"/>
              <w:left w:val="single" w:sz="4" w:space="0" w:color="auto"/>
              <w:bottom w:val="single" w:sz="4" w:space="0" w:color="auto"/>
              <w:right w:val="single" w:sz="4" w:space="0" w:color="auto"/>
            </w:tcBorders>
            <w:shd w:val="clear" w:color="auto" w:fill="auto"/>
          </w:tcPr>
          <w:p w:rsidR="00D06A2F" w:rsidRPr="00E8065F" w:rsidRDefault="00D06A2F" w:rsidP="00BA1432">
            <w:pPr>
              <w:jc w:val="center"/>
              <w:rPr>
                <w:color w:val="000000"/>
                <w:sz w:val="20"/>
                <w:szCs w:val="20"/>
              </w:rPr>
            </w:pPr>
            <w:r w:rsidRPr="00E8065F">
              <w:rPr>
                <w:color w:val="000000"/>
                <w:sz w:val="20"/>
                <w:szCs w:val="20"/>
              </w:rPr>
              <w:t>Колоноскоп</w:t>
            </w:r>
          </w:p>
        </w:tc>
        <w:tc>
          <w:tcPr>
            <w:tcW w:w="1181" w:type="dxa"/>
            <w:tcBorders>
              <w:top w:val="single" w:sz="4" w:space="0" w:color="auto"/>
              <w:left w:val="single" w:sz="4" w:space="0" w:color="auto"/>
              <w:bottom w:val="single" w:sz="4" w:space="0" w:color="auto"/>
              <w:right w:val="single" w:sz="4" w:space="0" w:color="auto"/>
            </w:tcBorders>
            <w:shd w:val="clear" w:color="auto" w:fill="auto"/>
          </w:tcPr>
          <w:p w:rsidR="00D06A2F" w:rsidRPr="00E8065F" w:rsidRDefault="00D06A2F" w:rsidP="000546C2">
            <w:pPr>
              <w:jc w:val="center"/>
              <w:rPr>
                <w:color w:val="000000"/>
                <w:sz w:val="20"/>
                <w:szCs w:val="20"/>
              </w:rPr>
            </w:pPr>
            <w:r w:rsidRPr="00E8065F">
              <w:rPr>
                <w:color w:val="000000"/>
                <w:sz w:val="20"/>
                <w:szCs w:val="20"/>
              </w:rPr>
              <w:t>2016</w:t>
            </w:r>
          </w:p>
        </w:tc>
        <w:tc>
          <w:tcPr>
            <w:tcW w:w="1181" w:type="dxa"/>
            <w:tcBorders>
              <w:top w:val="single" w:sz="4" w:space="0" w:color="auto"/>
            </w:tcBorders>
            <w:shd w:val="clear" w:color="auto" w:fill="auto"/>
          </w:tcPr>
          <w:p w:rsidR="00D06A2F" w:rsidRPr="00E8065F" w:rsidRDefault="00D06A2F" w:rsidP="000546C2">
            <w:pPr>
              <w:jc w:val="center"/>
              <w:rPr>
                <w:color w:val="000000"/>
                <w:sz w:val="20"/>
                <w:szCs w:val="20"/>
              </w:rPr>
            </w:pPr>
            <w:r w:rsidRPr="00E8065F">
              <w:rPr>
                <w:color w:val="000000"/>
                <w:sz w:val="20"/>
                <w:szCs w:val="20"/>
              </w:rPr>
              <w:t>1</w:t>
            </w:r>
          </w:p>
        </w:tc>
        <w:tc>
          <w:tcPr>
            <w:tcW w:w="1478" w:type="dxa"/>
            <w:tcBorders>
              <w:top w:val="single" w:sz="4" w:space="0" w:color="auto"/>
              <w:left w:val="single" w:sz="4" w:space="0" w:color="auto"/>
              <w:bottom w:val="single" w:sz="4" w:space="0" w:color="auto"/>
              <w:right w:val="single" w:sz="4" w:space="0" w:color="auto"/>
            </w:tcBorders>
            <w:shd w:val="clear" w:color="auto" w:fill="auto"/>
          </w:tcPr>
          <w:p w:rsidR="00D06A2F" w:rsidRPr="00E8065F" w:rsidRDefault="00D06A2F" w:rsidP="000546C2">
            <w:pPr>
              <w:jc w:val="center"/>
              <w:rPr>
                <w:color w:val="000000"/>
                <w:sz w:val="20"/>
                <w:szCs w:val="20"/>
              </w:rPr>
            </w:pPr>
            <w:r w:rsidRPr="00E8065F">
              <w:rPr>
                <w:color w:val="000000"/>
                <w:sz w:val="20"/>
                <w:szCs w:val="20"/>
              </w:rPr>
              <w:t>1,0</w:t>
            </w:r>
          </w:p>
        </w:tc>
        <w:tc>
          <w:tcPr>
            <w:tcW w:w="1111" w:type="dxa"/>
            <w:tcBorders>
              <w:top w:val="single" w:sz="4" w:space="0" w:color="auto"/>
              <w:left w:val="single" w:sz="4" w:space="0" w:color="auto"/>
              <w:bottom w:val="single" w:sz="4" w:space="0" w:color="auto"/>
              <w:right w:val="single" w:sz="4" w:space="0" w:color="auto"/>
            </w:tcBorders>
            <w:shd w:val="clear" w:color="auto" w:fill="auto"/>
          </w:tcPr>
          <w:p w:rsidR="00D06A2F" w:rsidRPr="00E8065F" w:rsidRDefault="00D06A2F" w:rsidP="000546C2">
            <w:pPr>
              <w:jc w:val="center"/>
              <w:rPr>
                <w:color w:val="000000"/>
                <w:sz w:val="20"/>
                <w:szCs w:val="20"/>
              </w:rPr>
            </w:pPr>
            <w:r w:rsidRPr="00E8065F">
              <w:rPr>
                <w:color w:val="000000"/>
                <w:sz w:val="20"/>
                <w:szCs w:val="20"/>
              </w:rPr>
              <w:t>3</w:t>
            </w:r>
          </w:p>
        </w:tc>
        <w:tc>
          <w:tcPr>
            <w:tcW w:w="1944" w:type="dxa"/>
            <w:tcBorders>
              <w:top w:val="single" w:sz="4" w:space="0" w:color="auto"/>
              <w:left w:val="single" w:sz="4" w:space="0" w:color="auto"/>
              <w:bottom w:val="single" w:sz="4" w:space="0" w:color="auto"/>
              <w:right w:val="single" w:sz="4" w:space="0" w:color="auto"/>
            </w:tcBorders>
            <w:shd w:val="clear" w:color="auto" w:fill="auto"/>
          </w:tcPr>
          <w:p w:rsidR="00D06A2F" w:rsidRPr="00E8065F" w:rsidRDefault="00D06A2F" w:rsidP="00BA1432">
            <w:pPr>
              <w:jc w:val="center"/>
              <w:rPr>
                <w:color w:val="000000"/>
                <w:sz w:val="20"/>
                <w:szCs w:val="20"/>
              </w:rPr>
            </w:pPr>
            <w:r w:rsidRPr="00E8065F">
              <w:rPr>
                <w:color w:val="000000"/>
                <w:sz w:val="20"/>
                <w:szCs w:val="20"/>
              </w:rPr>
              <w:t>Амбулаторное</w:t>
            </w:r>
          </w:p>
        </w:tc>
      </w:tr>
      <w:tr w:rsidR="00D06A2F" w:rsidRPr="00E8065F" w:rsidTr="00CD3A6F">
        <w:trPr>
          <w:trHeight w:val="20"/>
        </w:trPr>
        <w:tc>
          <w:tcPr>
            <w:tcW w:w="1555" w:type="dxa"/>
            <w:vMerge/>
            <w:tcBorders>
              <w:left w:val="single" w:sz="4" w:space="0" w:color="auto"/>
              <w:right w:val="single" w:sz="4" w:space="0" w:color="auto"/>
            </w:tcBorders>
          </w:tcPr>
          <w:p w:rsidR="00D06A2F" w:rsidRPr="00E8065F" w:rsidRDefault="00D06A2F" w:rsidP="00BA1432">
            <w:pPr>
              <w:rPr>
                <w:sz w:val="20"/>
                <w:szCs w:val="20"/>
              </w:rPr>
            </w:pPr>
          </w:p>
        </w:tc>
        <w:tc>
          <w:tcPr>
            <w:tcW w:w="3685" w:type="dxa"/>
            <w:tcBorders>
              <w:top w:val="nil"/>
              <w:left w:val="single" w:sz="4" w:space="0" w:color="auto"/>
              <w:bottom w:val="single" w:sz="4" w:space="0" w:color="auto"/>
              <w:right w:val="single" w:sz="4" w:space="0" w:color="auto"/>
            </w:tcBorders>
            <w:shd w:val="clear" w:color="auto" w:fill="auto"/>
          </w:tcPr>
          <w:p w:rsidR="00D06A2F" w:rsidRPr="00E8065F" w:rsidRDefault="00D06A2F" w:rsidP="00DC0475">
            <w:pPr>
              <w:jc w:val="both"/>
              <w:rPr>
                <w:color w:val="000000"/>
                <w:sz w:val="20"/>
                <w:szCs w:val="20"/>
              </w:rPr>
            </w:pPr>
            <w:r w:rsidRPr="00E8065F">
              <w:rPr>
                <w:color w:val="000000"/>
                <w:sz w:val="20"/>
                <w:szCs w:val="20"/>
              </w:rPr>
              <w:t xml:space="preserve">ГАУЗ </w:t>
            </w:r>
            <w:r>
              <w:rPr>
                <w:color w:val="000000"/>
                <w:sz w:val="20"/>
                <w:szCs w:val="20"/>
              </w:rPr>
              <w:t>«</w:t>
            </w:r>
            <w:r w:rsidRPr="00E8065F">
              <w:rPr>
                <w:color w:val="000000"/>
                <w:sz w:val="20"/>
                <w:szCs w:val="20"/>
              </w:rPr>
              <w:t>Альметьевская городская поликлиника №</w:t>
            </w:r>
            <w:r>
              <w:rPr>
                <w:color w:val="000000"/>
                <w:sz w:val="20"/>
                <w:szCs w:val="20"/>
              </w:rPr>
              <w:t xml:space="preserve"> </w:t>
            </w:r>
            <w:r w:rsidRPr="00E8065F">
              <w:rPr>
                <w:color w:val="000000"/>
                <w:sz w:val="20"/>
                <w:szCs w:val="20"/>
              </w:rPr>
              <w:t>3</w:t>
            </w:r>
            <w:r>
              <w:rPr>
                <w:color w:val="000000"/>
                <w:sz w:val="20"/>
                <w:szCs w:val="20"/>
              </w:rPr>
              <w:t>»</w:t>
            </w:r>
          </w:p>
        </w:tc>
        <w:tc>
          <w:tcPr>
            <w:tcW w:w="1994" w:type="dxa"/>
            <w:tcBorders>
              <w:top w:val="nil"/>
              <w:left w:val="single" w:sz="4" w:space="0" w:color="auto"/>
              <w:bottom w:val="single" w:sz="4" w:space="0" w:color="auto"/>
              <w:right w:val="single" w:sz="4" w:space="0" w:color="auto"/>
            </w:tcBorders>
            <w:shd w:val="clear" w:color="auto" w:fill="auto"/>
          </w:tcPr>
          <w:p w:rsidR="00D06A2F" w:rsidRPr="00E8065F" w:rsidRDefault="00D06A2F" w:rsidP="00BA1432">
            <w:pPr>
              <w:jc w:val="center"/>
              <w:rPr>
                <w:color w:val="000000"/>
                <w:sz w:val="20"/>
                <w:szCs w:val="20"/>
              </w:rPr>
            </w:pPr>
            <w:r w:rsidRPr="00E8065F">
              <w:rPr>
                <w:color w:val="000000"/>
                <w:sz w:val="20"/>
                <w:szCs w:val="20"/>
              </w:rPr>
              <w:t>Колоноскоп</w:t>
            </w:r>
          </w:p>
        </w:tc>
        <w:tc>
          <w:tcPr>
            <w:tcW w:w="1181" w:type="dxa"/>
            <w:tcBorders>
              <w:top w:val="nil"/>
              <w:left w:val="single" w:sz="4" w:space="0" w:color="auto"/>
              <w:bottom w:val="single" w:sz="4" w:space="0" w:color="auto"/>
              <w:right w:val="single" w:sz="4" w:space="0" w:color="auto"/>
            </w:tcBorders>
            <w:shd w:val="clear" w:color="auto" w:fill="auto"/>
          </w:tcPr>
          <w:p w:rsidR="00D06A2F" w:rsidRPr="005D7240" w:rsidRDefault="00D06A2F" w:rsidP="000546C2">
            <w:pPr>
              <w:jc w:val="center"/>
              <w:rPr>
                <w:color w:val="000000"/>
                <w:sz w:val="20"/>
                <w:szCs w:val="20"/>
                <w:lang w:val="en-US"/>
              </w:rPr>
            </w:pPr>
            <w:r w:rsidRPr="00E8065F">
              <w:rPr>
                <w:color w:val="000000"/>
                <w:sz w:val="20"/>
                <w:szCs w:val="20"/>
              </w:rPr>
              <w:t>2015</w:t>
            </w:r>
            <w:r w:rsidR="003D79B3">
              <w:rPr>
                <w:color w:val="000000"/>
                <w:sz w:val="20"/>
                <w:szCs w:val="20"/>
              </w:rPr>
              <w:t xml:space="preserve"> </w:t>
            </w:r>
            <w:r w:rsidR="005D7240">
              <w:rPr>
                <w:color w:val="000000"/>
                <w:sz w:val="20"/>
                <w:szCs w:val="20"/>
                <w:lang w:val="en-US"/>
              </w:rPr>
              <w:t>(1)</w:t>
            </w:r>
          </w:p>
          <w:p w:rsidR="00D06A2F" w:rsidRPr="005D7240" w:rsidRDefault="00D06A2F" w:rsidP="000546C2">
            <w:pPr>
              <w:jc w:val="center"/>
              <w:rPr>
                <w:color w:val="000000"/>
                <w:sz w:val="20"/>
                <w:szCs w:val="20"/>
                <w:lang w:val="en-US"/>
              </w:rPr>
            </w:pPr>
            <w:r w:rsidRPr="00E8065F">
              <w:rPr>
                <w:color w:val="000000"/>
                <w:sz w:val="20"/>
                <w:szCs w:val="20"/>
              </w:rPr>
              <w:t>2016</w:t>
            </w:r>
            <w:r w:rsidR="003D79B3">
              <w:rPr>
                <w:color w:val="000000"/>
                <w:sz w:val="20"/>
                <w:szCs w:val="20"/>
              </w:rPr>
              <w:t xml:space="preserve"> </w:t>
            </w:r>
            <w:r w:rsidR="005D7240">
              <w:rPr>
                <w:color w:val="000000"/>
                <w:sz w:val="20"/>
                <w:szCs w:val="20"/>
                <w:lang w:val="en-US"/>
              </w:rPr>
              <w:t>(1)</w:t>
            </w:r>
          </w:p>
          <w:p w:rsidR="00D06A2F" w:rsidRPr="005D7240" w:rsidRDefault="00D06A2F" w:rsidP="000546C2">
            <w:pPr>
              <w:jc w:val="center"/>
              <w:rPr>
                <w:color w:val="000000"/>
                <w:sz w:val="20"/>
                <w:szCs w:val="20"/>
                <w:lang w:val="en-US"/>
              </w:rPr>
            </w:pPr>
            <w:r w:rsidRPr="00E8065F">
              <w:rPr>
                <w:color w:val="000000"/>
                <w:sz w:val="20"/>
                <w:szCs w:val="20"/>
              </w:rPr>
              <w:t>2017</w:t>
            </w:r>
            <w:r w:rsidR="003D79B3">
              <w:rPr>
                <w:color w:val="000000"/>
                <w:sz w:val="20"/>
                <w:szCs w:val="20"/>
              </w:rPr>
              <w:t xml:space="preserve"> </w:t>
            </w:r>
            <w:r w:rsidR="005D7240">
              <w:rPr>
                <w:color w:val="000000"/>
                <w:sz w:val="20"/>
                <w:szCs w:val="20"/>
                <w:lang w:val="en-US"/>
              </w:rPr>
              <w:t>(1)</w:t>
            </w:r>
          </w:p>
        </w:tc>
        <w:tc>
          <w:tcPr>
            <w:tcW w:w="1181" w:type="dxa"/>
            <w:shd w:val="clear" w:color="auto" w:fill="auto"/>
          </w:tcPr>
          <w:p w:rsidR="00D06A2F" w:rsidRPr="00E8065F" w:rsidRDefault="00D06A2F" w:rsidP="000546C2">
            <w:pPr>
              <w:jc w:val="center"/>
              <w:rPr>
                <w:color w:val="000000"/>
                <w:sz w:val="20"/>
                <w:szCs w:val="20"/>
              </w:rPr>
            </w:pPr>
            <w:r w:rsidRPr="00E8065F">
              <w:rPr>
                <w:color w:val="000000"/>
                <w:sz w:val="20"/>
                <w:szCs w:val="20"/>
              </w:rPr>
              <w:t>3</w:t>
            </w:r>
          </w:p>
        </w:tc>
        <w:tc>
          <w:tcPr>
            <w:tcW w:w="1478" w:type="dxa"/>
            <w:tcBorders>
              <w:top w:val="nil"/>
              <w:left w:val="single" w:sz="4" w:space="0" w:color="auto"/>
              <w:bottom w:val="single" w:sz="4" w:space="0" w:color="auto"/>
              <w:right w:val="single" w:sz="4" w:space="0" w:color="auto"/>
            </w:tcBorders>
            <w:shd w:val="clear" w:color="auto" w:fill="auto"/>
          </w:tcPr>
          <w:p w:rsidR="00D06A2F" w:rsidRPr="00E8065F" w:rsidRDefault="00D06A2F" w:rsidP="000546C2">
            <w:pPr>
              <w:jc w:val="center"/>
              <w:rPr>
                <w:color w:val="000000"/>
                <w:sz w:val="20"/>
                <w:szCs w:val="20"/>
              </w:rPr>
            </w:pPr>
            <w:r w:rsidRPr="00E8065F">
              <w:rPr>
                <w:color w:val="000000"/>
                <w:sz w:val="20"/>
                <w:szCs w:val="20"/>
              </w:rPr>
              <w:t>1,3</w:t>
            </w:r>
          </w:p>
        </w:tc>
        <w:tc>
          <w:tcPr>
            <w:tcW w:w="1111" w:type="dxa"/>
            <w:tcBorders>
              <w:top w:val="nil"/>
              <w:left w:val="single" w:sz="4" w:space="0" w:color="auto"/>
              <w:bottom w:val="single" w:sz="4" w:space="0" w:color="auto"/>
              <w:right w:val="single" w:sz="4" w:space="0" w:color="auto"/>
            </w:tcBorders>
            <w:shd w:val="clear" w:color="auto" w:fill="auto"/>
          </w:tcPr>
          <w:p w:rsidR="00D06A2F" w:rsidRPr="00E8065F" w:rsidRDefault="00D06A2F" w:rsidP="000546C2">
            <w:pPr>
              <w:jc w:val="center"/>
              <w:rPr>
                <w:color w:val="000000"/>
                <w:sz w:val="20"/>
                <w:szCs w:val="20"/>
              </w:rPr>
            </w:pPr>
            <w:r w:rsidRPr="00E8065F">
              <w:rPr>
                <w:color w:val="000000"/>
                <w:sz w:val="20"/>
                <w:szCs w:val="20"/>
              </w:rPr>
              <w:t>1</w:t>
            </w:r>
          </w:p>
        </w:tc>
        <w:tc>
          <w:tcPr>
            <w:tcW w:w="1944" w:type="dxa"/>
            <w:tcBorders>
              <w:top w:val="nil"/>
              <w:left w:val="single" w:sz="4" w:space="0" w:color="auto"/>
              <w:bottom w:val="single" w:sz="4" w:space="0" w:color="auto"/>
              <w:right w:val="single" w:sz="4" w:space="0" w:color="auto"/>
            </w:tcBorders>
            <w:shd w:val="clear" w:color="auto" w:fill="auto"/>
          </w:tcPr>
          <w:p w:rsidR="00D06A2F" w:rsidRPr="00E8065F" w:rsidRDefault="00D06A2F" w:rsidP="00BA1432">
            <w:pPr>
              <w:jc w:val="center"/>
              <w:rPr>
                <w:color w:val="000000"/>
                <w:sz w:val="20"/>
                <w:szCs w:val="20"/>
              </w:rPr>
            </w:pPr>
            <w:r w:rsidRPr="00E8065F">
              <w:rPr>
                <w:color w:val="000000"/>
                <w:sz w:val="20"/>
                <w:szCs w:val="20"/>
              </w:rPr>
              <w:t>Амбулаторное</w:t>
            </w:r>
          </w:p>
        </w:tc>
      </w:tr>
      <w:tr w:rsidR="00D06A2F" w:rsidRPr="00E8065F" w:rsidTr="00CD3A6F">
        <w:trPr>
          <w:trHeight w:val="20"/>
        </w:trPr>
        <w:tc>
          <w:tcPr>
            <w:tcW w:w="1555" w:type="dxa"/>
            <w:vMerge/>
            <w:tcBorders>
              <w:left w:val="single" w:sz="4" w:space="0" w:color="auto"/>
              <w:right w:val="single" w:sz="4" w:space="0" w:color="auto"/>
            </w:tcBorders>
          </w:tcPr>
          <w:p w:rsidR="00D06A2F" w:rsidRPr="00E8065F" w:rsidRDefault="00D06A2F" w:rsidP="00D5127A">
            <w:pPr>
              <w:spacing w:line="235" w:lineRule="auto"/>
              <w:rPr>
                <w:sz w:val="20"/>
                <w:szCs w:val="20"/>
              </w:rPr>
            </w:pPr>
          </w:p>
        </w:tc>
        <w:tc>
          <w:tcPr>
            <w:tcW w:w="3685" w:type="dxa"/>
            <w:tcBorders>
              <w:top w:val="nil"/>
              <w:left w:val="single" w:sz="4" w:space="0" w:color="auto"/>
              <w:bottom w:val="single" w:sz="4" w:space="0" w:color="auto"/>
              <w:right w:val="single" w:sz="4" w:space="0" w:color="auto"/>
            </w:tcBorders>
            <w:shd w:val="clear" w:color="auto" w:fill="auto"/>
          </w:tcPr>
          <w:p w:rsidR="00D06A2F" w:rsidRPr="00E8065F" w:rsidRDefault="00D06A2F" w:rsidP="00D5127A">
            <w:pPr>
              <w:spacing w:line="235" w:lineRule="auto"/>
              <w:jc w:val="both"/>
              <w:rPr>
                <w:color w:val="000000"/>
                <w:sz w:val="20"/>
                <w:szCs w:val="20"/>
              </w:rPr>
            </w:pPr>
            <w:r w:rsidRPr="00E8065F">
              <w:rPr>
                <w:color w:val="000000"/>
                <w:sz w:val="20"/>
                <w:szCs w:val="20"/>
              </w:rPr>
              <w:t xml:space="preserve">ГАУЗ </w:t>
            </w:r>
            <w:r>
              <w:rPr>
                <w:color w:val="000000"/>
                <w:sz w:val="20"/>
                <w:szCs w:val="20"/>
              </w:rPr>
              <w:t>«</w:t>
            </w:r>
            <w:r w:rsidRPr="00E8065F">
              <w:rPr>
                <w:color w:val="000000"/>
                <w:sz w:val="20"/>
                <w:szCs w:val="20"/>
              </w:rPr>
              <w:t>Апастовская ЦРБ</w:t>
            </w:r>
            <w:r>
              <w:rPr>
                <w:color w:val="000000"/>
                <w:sz w:val="20"/>
                <w:szCs w:val="20"/>
              </w:rPr>
              <w:t>»</w:t>
            </w:r>
          </w:p>
        </w:tc>
        <w:tc>
          <w:tcPr>
            <w:tcW w:w="1994" w:type="dxa"/>
            <w:tcBorders>
              <w:top w:val="nil"/>
              <w:left w:val="single" w:sz="4" w:space="0" w:color="auto"/>
              <w:bottom w:val="single" w:sz="4" w:space="0" w:color="auto"/>
              <w:right w:val="single" w:sz="4" w:space="0" w:color="auto"/>
            </w:tcBorders>
            <w:shd w:val="clear" w:color="auto" w:fill="auto"/>
          </w:tcPr>
          <w:p w:rsidR="00D06A2F" w:rsidRPr="00E8065F" w:rsidRDefault="00D06A2F" w:rsidP="00D5127A">
            <w:pPr>
              <w:spacing w:line="235" w:lineRule="auto"/>
              <w:jc w:val="center"/>
              <w:rPr>
                <w:color w:val="000000"/>
                <w:sz w:val="20"/>
                <w:szCs w:val="20"/>
              </w:rPr>
            </w:pPr>
            <w:r w:rsidRPr="00E8065F">
              <w:rPr>
                <w:color w:val="000000"/>
                <w:sz w:val="20"/>
                <w:szCs w:val="20"/>
              </w:rPr>
              <w:t>Колоноскоп</w:t>
            </w:r>
          </w:p>
        </w:tc>
        <w:tc>
          <w:tcPr>
            <w:tcW w:w="1181" w:type="dxa"/>
            <w:tcBorders>
              <w:top w:val="nil"/>
              <w:left w:val="single" w:sz="4" w:space="0" w:color="auto"/>
              <w:bottom w:val="single" w:sz="4" w:space="0" w:color="auto"/>
              <w:right w:val="single" w:sz="4" w:space="0" w:color="auto"/>
            </w:tcBorders>
            <w:shd w:val="clear" w:color="auto" w:fill="auto"/>
          </w:tcPr>
          <w:p w:rsidR="00D06A2F" w:rsidRPr="00E8065F" w:rsidRDefault="00D06A2F" w:rsidP="00D5127A">
            <w:pPr>
              <w:spacing w:line="235" w:lineRule="auto"/>
              <w:jc w:val="center"/>
              <w:rPr>
                <w:color w:val="000000"/>
                <w:sz w:val="20"/>
                <w:szCs w:val="20"/>
              </w:rPr>
            </w:pPr>
            <w:r w:rsidRPr="00E8065F">
              <w:rPr>
                <w:color w:val="000000"/>
                <w:sz w:val="20"/>
                <w:szCs w:val="20"/>
              </w:rPr>
              <w:t>2017</w:t>
            </w:r>
          </w:p>
        </w:tc>
        <w:tc>
          <w:tcPr>
            <w:tcW w:w="1181" w:type="dxa"/>
            <w:shd w:val="clear" w:color="auto" w:fill="auto"/>
          </w:tcPr>
          <w:p w:rsidR="00D06A2F" w:rsidRPr="00E8065F" w:rsidRDefault="00D06A2F" w:rsidP="00D5127A">
            <w:pPr>
              <w:spacing w:line="235" w:lineRule="auto"/>
              <w:jc w:val="center"/>
              <w:rPr>
                <w:color w:val="000000"/>
                <w:sz w:val="20"/>
                <w:szCs w:val="20"/>
              </w:rPr>
            </w:pPr>
            <w:r w:rsidRPr="00E8065F">
              <w:rPr>
                <w:color w:val="000000"/>
                <w:sz w:val="20"/>
                <w:szCs w:val="20"/>
              </w:rPr>
              <w:t>1</w:t>
            </w:r>
          </w:p>
        </w:tc>
        <w:tc>
          <w:tcPr>
            <w:tcW w:w="1478" w:type="dxa"/>
            <w:tcBorders>
              <w:top w:val="nil"/>
              <w:left w:val="single" w:sz="4" w:space="0" w:color="auto"/>
              <w:bottom w:val="single" w:sz="4" w:space="0" w:color="auto"/>
              <w:right w:val="single" w:sz="4" w:space="0" w:color="auto"/>
            </w:tcBorders>
            <w:shd w:val="clear" w:color="auto" w:fill="auto"/>
          </w:tcPr>
          <w:p w:rsidR="00D06A2F" w:rsidRPr="00E8065F" w:rsidRDefault="00D06A2F" w:rsidP="00D5127A">
            <w:pPr>
              <w:spacing w:line="235" w:lineRule="auto"/>
              <w:jc w:val="center"/>
              <w:rPr>
                <w:color w:val="000000"/>
                <w:sz w:val="20"/>
                <w:szCs w:val="20"/>
              </w:rPr>
            </w:pPr>
            <w:r w:rsidRPr="00E8065F">
              <w:rPr>
                <w:color w:val="000000"/>
                <w:sz w:val="20"/>
                <w:szCs w:val="20"/>
              </w:rPr>
              <w:t>0,8</w:t>
            </w:r>
          </w:p>
        </w:tc>
        <w:tc>
          <w:tcPr>
            <w:tcW w:w="1111" w:type="dxa"/>
            <w:tcBorders>
              <w:top w:val="nil"/>
              <w:left w:val="single" w:sz="4" w:space="0" w:color="auto"/>
              <w:bottom w:val="single" w:sz="4" w:space="0" w:color="auto"/>
              <w:right w:val="single" w:sz="4" w:space="0" w:color="auto"/>
            </w:tcBorders>
            <w:shd w:val="clear" w:color="auto" w:fill="auto"/>
          </w:tcPr>
          <w:p w:rsidR="00D06A2F" w:rsidRPr="00E8065F" w:rsidRDefault="00D06A2F" w:rsidP="00D5127A">
            <w:pPr>
              <w:spacing w:line="235" w:lineRule="auto"/>
              <w:jc w:val="center"/>
              <w:rPr>
                <w:color w:val="000000"/>
                <w:sz w:val="20"/>
                <w:szCs w:val="20"/>
              </w:rPr>
            </w:pPr>
            <w:r w:rsidRPr="00E8065F">
              <w:rPr>
                <w:color w:val="000000"/>
                <w:sz w:val="20"/>
                <w:szCs w:val="20"/>
              </w:rPr>
              <w:t>1</w:t>
            </w:r>
          </w:p>
        </w:tc>
        <w:tc>
          <w:tcPr>
            <w:tcW w:w="1944" w:type="dxa"/>
            <w:tcBorders>
              <w:top w:val="nil"/>
              <w:left w:val="single" w:sz="4" w:space="0" w:color="auto"/>
              <w:bottom w:val="single" w:sz="4" w:space="0" w:color="auto"/>
              <w:right w:val="single" w:sz="4" w:space="0" w:color="auto"/>
            </w:tcBorders>
            <w:shd w:val="clear" w:color="auto" w:fill="auto"/>
          </w:tcPr>
          <w:p w:rsidR="00D06A2F" w:rsidRPr="00E8065F" w:rsidRDefault="00D06A2F" w:rsidP="00D5127A">
            <w:pPr>
              <w:spacing w:line="235" w:lineRule="auto"/>
              <w:jc w:val="center"/>
              <w:rPr>
                <w:color w:val="000000"/>
                <w:sz w:val="20"/>
                <w:szCs w:val="20"/>
              </w:rPr>
            </w:pPr>
            <w:r w:rsidRPr="00E8065F">
              <w:rPr>
                <w:color w:val="000000"/>
                <w:sz w:val="20"/>
                <w:szCs w:val="20"/>
              </w:rPr>
              <w:t>Амбулаторное</w:t>
            </w:r>
          </w:p>
        </w:tc>
      </w:tr>
      <w:tr w:rsidR="00D06A2F" w:rsidRPr="00E8065F" w:rsidTr="00CD3A6F">
        <w:trPr>
          <w:trHeight w:val="20"/>
        </w:trPr>
        <w:tc>
          <w:tcPr>
            <w:tcW w:w="1555" w:type="dxa"/>
            <w:vMerge/>
            <w:tcBorders>
              <w:left w:val="single" w:sz="4" w:space="0" w:color="auto"/>
              <w:right w:val="single" w:sz="4" w:space="0" w:color="auto"/>
            </w:tcBorders>
          </w:tcPr>
          <w:p w:rsidR="00D06A2F" w:rsidRPr="00E8065F" w:rsidRDefault="00D06A2F" w:rsidP="00D5127A">
            <w:pPr>
              <w:spacing w:line="235" w:lineRule="auto"/>
              <w:rPr>
                <w:sz w:val="20"/>
                <w:szCs w:val="20"/>
              </w:rPr>
            </w:pPr>
          </w:p>
        </w:tc>
        <w:tc>
          <w:tcPr>
            <w:tcW w:w="3685" w:type="dxa"/>
            <w:tcBorders>
              <w:top w:val="nil"/>
              <w:left w:val="single" w:sz="4" w:space="0" w:color="auto"/>
              <w:bottom w:val="single" w:sz="4" w:space="0" w:color="auto"/>
              <w:right w:val="single" w:sz="4" w:space="0" w:color="auto"/>
            </w:tcBorders>
            <w:shd w:val="clear" w:color="auto" w:fill="auto"/>
          </w:tcPr>
          <w:p w:rsidR="00D06A2F" w:rsidRPr="00E8065F" w:rsidRDefault="00D06A2F" w:rsidP="00D5127A">
            <w:pPr>
              <w:spacing w:line="235" w:lineRule="auto"/>
              <w:jc w:val="both"/>
              <w:rPr>
                <w:color w:val="000000"/>
                <w:sz w:val="20"/>
                <w:szCs w:val="20"/>
              </w:rPr>
            </w:pPr>
            <w:r w:rsidRPr="00E8065F">
              <w:rPr>
                <w:color w:val="000000"/>
                <w:sz w:val="20"/>
                <w:szCs w:val="20"/>
              </w:rPr>
              <w:t xml:space="preserve">ГАУЗ </w:t>
            </w:r>
            <w:r>
              <w:rPr>
                <w:color w:val="000000"/>
                <w:sz w:val="20"/>
                <w:szCs w:val="20"/>
              </w:rPr>
              <w:t>«</w:t>
            </w:r>
            <w:r w:rsidRPr="00E8065F">
              <w:rPr>
                <w:color w:val="000000"/>
                <w:sz w:val="20"/>
                <w:szCs w:val="20"/>
              </w:rPr>
              <w:t>Атнинская ЦРБ</w:t>
            </w:r>
            <w:r>
              <w:rPr>
                <w:color w:val="000000"/>
                <w:sz w:val="20"/>
                <w:szCs w:val="20"/>
              </w:rPr>
              <w:t>»</w:t>
            </w:r>
          </w:p>
        </w:tc>
        <w:tc>
          <w:tcPr>
            <w:tcW w:w="1994" w:type="dxa"/>
            <w:tcBorders>
              <w:top w:val="nil"/>
              <w:left w:val="single" w:sz="4" w:space="0" w:color="auto"/>
              <w:bottom w:val="single" w:sz="4" w:space="0" w:color="auto"/>
              <w:right w:val="single" w:sz="4" w:space="0" w:color="auto"/>
            </w:tcBorders>
            <w:shd w:val="clear" w:color="auto" w:fill="auto"/>
          </w:tcPr>
          <w:p w:rsidR="00D06A2F" w:rsidRPr="00E8065F" w:rsidRDefault="00D06A2F" w:rsidP="00D5127A">
            <w:pPr>
              <w:spacing w:line="235" w:lineRule="auto"/>
              <w:jc w:val="center"/>
              <w:rPr>
                <w:color w:val="000000"/>
                <w:sz w:val="20"/>
                <w:szCs w:val="20"/>
              </w:rPr>
            </w:pPr>
            <w:r w:rsidRPr="00E8065F">
              <w:rPr>
                <w:color w:val="000000"/>
                <w:sz w:val="20"/>
                <w:szCs w:val="20"/>
              </w:rPr>
              <w:t>Колоноскоп</w:t>
            </w:r>
          </w:p>
        </w:tc>
        <w:tc>
          <w:tcPr>
            <w:tcW w:w="1181" w:type="dxa"/>
            <w:tcBorders>
              <w:top w:val="nil"/>
              <w:left w:val="single" w:sz="4" w:space="0" w:color="auto"/>
              <w:bottom w:val="single" w:sz="4" w:space="0" w:color="auto"/>
              <w:right w:val="single" w:sz="4" w:space="0" w:color="auto"/>
            </w:tcBorders>
            <w:shd w:val="clear" w:color="auto" w:fill="auto"/>
          </w:tcPr>
          <w:p w:rsidR="00D06A2F" w:rsidRPr="005D7240" w:rsidRDefault="00D06A2F" w:rsidP="00D5127A">
            <w:pPr>
              <w:spacing w:line="235" w:lineRule="auto"/>
              <w:jc w:val="center"/>
              <w:rPr>
                <w:color w:val="000000"/>
                <w:sz w:val="20"/>
                <w:szCs w:val="20"/>
                <w:lang w:val="en-US"/>
              </w:rPr>
            </w:pPr>
            <w:r w:rsidRPr="00E8065F">
              <w:rPr>
                <w:color w:val="000000"/>
                <w:sz w:val="20"/>
                <w:szCs w:val="20"/>
              </w:rPr>
              <w:t>2013</w:t>
            </w:r>
            <w:r w:rsidR="003D79B3">
              <w:rPr>
                <w:color w:val="000000"/>
                <w:sz w:val="20"/>
                <w:szCs w:val="20"/>
              </w:rPr>
              <w:t xml:space="preserve"> </w:t>
            </w:r>
            <w:r w:rsidR="005D7240">
              <w:rPr>
                <w:color w:val="000000"/>
                <w:sz w:val="20"/>
                <w:szCs w:val="20"/>
                <w:lang w:val="en-US"/>
              </w:rPr>
              <w:t>(1)</w:t>
            </w:r>
          </w:p>
        </w:tc>
        <w:tc>
          <w:tcPr>
            <w:tcW w:w="1181" w:type="dxa"/>
            <w:shd w:val="clear" w:color="auto" w:fill="auto"/>
          </w:tcPr>
          <w:p w:rsidR="00D06A2F" w:rsidRPr="00E8065F" w:rsidRDefault="00D06A2F" w:rsidP="00D5127A">
            <w:pPr>
              <w:spacing w:line="235" w:lineRule="auto"/>
              <w:jc w:val="center"/>
              <w:rPr>
                <w:color w:val="000000"/>
                <w:sz w:val="20"/>
                <w:szCs w:val="20"/>
              </w:rPr>
            </w:pPr>
            <w:r w:rsidRPr="00E8065F">
              <w:rPr>
                <w:color w:val="000000"/>
                <w:sz w:val="20"/>
                <w:szCs w:val="20"/>
              </w:rPr>
              <w:t>1</w:t>
            </w:r>
          </w:p>
        </w:tc>
        <w:tc>
          <w:tcPr>
            <w:tcW w:w="1478" w:type="dxa"/>
            <w:tcBorders>
              <w:top w:val="nil"/>
              <w:left w:val="single" w:sz="4" w:space="0" w:color="auto"/>
              <w:bottom w:val="single" w:sz="4" w:space="0" w:color="auto"/>
              <w:right w:val="single" w:sz="4" w:space="0" w:color="auto"/>
            </w:tcBorders>
            <w:shd w:val="clear" w:color="auto" w:fill="auto"/>
          </w:tcPr>
          <w:p w:rsidR="00D06A2F" w:rsidRPr="00E8065F" w:rsidRDefault="00D06A2F" w:rsidP="00D5127A">
            <w:pPr>
              <w:spacing w:line="235" w:lineRule="auto"/>
              <w:jc w:val="center"/>
              <w:rPr>
                <w:color w:val="000000"/>
                <w:sz w:val="20"/>
                <w:szCs w:val="20"/>
              </w:rPr>
            </w:pPr>
            <w:r w:rsidRPr="00E8065F">
              <w:rPr>
                <w:color w:val="000000"/>
                <w:sz w:val="20"/>
                <w:szCs w:val="20"/>
              </w:rPr>
              <w:t>0,3</w:t>
            </w:r>
          </w:p>
        </w:tc>
        <w:tc>
          <w:tcPr>
            <w:tcW w:w="1111" w:type="dxa"/>
            <w:tcBorders>
              <w:top w:val="nil"/>
              <w:left w:val="single" w:sz="4" w:space="0" w:color="auto"/>
              <w:bottom w:val="single" w:sz="4" w:space="0" w:color="auto"/>
              <w:right w:val="single" w:sz="4" w:space="0" w:color="auto"/>
            </w:tcBorders>
            <w:shd w:val="clear" w:color="auto" w:fill="auto"/>
          </w:tcPr>
          <w:p w:rsidR="00D06A2F" w:rsidRPr="00E8065F" w:rsidRDefault="00D06A2F" w:rsidP="00D5127A">
            <w:pPr>
              <w:spacing w:line="235" w:lineRule="auto"/>
              <w:jc w:val="center"/>
              <w:rPr>
                <w:color w:val="000000"/>
                <w:sz w:val="20"/>
                <w:szCs w:val="20"/>
              </w:rPr>
            </w:pPr>
            <w:r w:rsidRPr="00E8065F">
              <w:rPr>
                <w:color w:val="000000"/>
                <w:sz w:val="20"/>
                <w:szCs w:val="20"/>
              </w:rPr>
              <w:t>2</w:t>
            </w:r>
          </w:p>
        </w:tc>
        <w:tc>
          <w:tcPr>
            <w:tcW w:w="1944" w:type="dxa"/>
            <w:tcBorders>
              <w:top w:val="nil"/>
              <w:left w:val="single" w:sz="4" w:space="0" w:color="auto"/>
              <w:bottom w:val="single" w:sz="4" w:space="0" w:color="auto"/>
              <w:right w:val="single" w:sz="4" w:space="0" w:color="auto"/>
            </w:tcBorders>
            <w:shd w:val="clear" w:color="auto" w:fill="auto"/>
          </w:tcPr>
          <w:p w:rsidR="00D06A2F" w:rsidRPr="00E8065F" w:rsidRDefault="00D06A2F" w:rsidP="00D5127A">
            <w:pPr>
              <w:spacing w:line="235" w:lineRule="auto"/>
              <w:jc w:val="center"/>
              <w:rPr>
                <w:color w:val="000000"/>
                <w:sz w:val="20"/>
                <w:szCs w:val="20"/>
              </w:rPr>
            </w:pPr>
            <w:r w:rsidRPr="00E8065F">
              <w:rPr>
                <w:color w:val="000000"/>
                <w:sz w:val="20"/>
                <w:szCs w:val="20"/>
              </w:rPr>
              <w:t>Амбулаторное</w:t>
            </w:r>
          </w:p>
        </w:tc>
      </w:tr>
      <w:tr w:rsidR="00D06A2F" w:rsidRPr="00E8065F" w:rsidTr="00CD3A6F">
        <w:trPr>
          <w:trHeight w:val="20"/>
        </w:trPr>
        <w:tc>
          <w:tcPr>
            <w:tcW w:w="1555" w:type="dxa"/>
            <w:vMerge/>
            <w:tcBorders>
              <w:left w:val="single" w:sz="4" w:space="0" w:color="auto"/>
              <w:right w:val="single" w:sz="4" w:space="0" w:color="auto"/>
            </w:tcBorders>
          </w:tcPr>
          <w:p w:rsidR="00D06A2F" w:rsidRPr="00E8065F" w:rsidRDefault="00D06A2F" w:rsidP="00D5127A">
            <w:pPr>
              <w:spacing w:line="235" w:lineRule="auto"/>
              <w:rPr>
                <w:sz w:val="20"/>
                <w:szCs w:val="20"/>
              </w:rPr>
            </w:pPr>
          </w:p>
        </w:tc>
        <w:tc>
          <w:tcPr>
            <w:tcW w:w="3685" w:type="dxa"/>
            <w:tcBorders>
              <w:top w:val="nil"/>
              <w:left w:val="single" w:sz="4" w:space="0" w:color="auto"/>
              <w:bottom w:val="single" w:sz="4" w:space="0" w:color="auto"/>
              <w:right w:val="nil"/>
            </w:tcBorders>
            <w:shd w:val="clear" w:color="auto" w:fill="auto"/>
          </w:tcPr>
          <w:p w:rsidR="00D06A2F" w:rsidRPr="00E8065F" w:rsidRDefault="00D06A2F" w:rsidP="00D5127A">
            <w:pPr>
              <w:spacing w:line="235" w:lineRule="auto"/>
              <w:jc w:val="both"/>
              <w:rPr>
                <w:color w:val="000000"/>
                <w:sz w:val="20"/>
                <w:szCs w:val="20"/>
              </w:rPr>
            </w:pPr>
            <w:r w:rsidRPr="00E8065F">
              <w:rPr>
                <w:color w:val="000000"/>
                <w:sz w:val="20"/>
                <w:szCs w:val="20"/>
              </w:rPr>
              <w:t xml:space="preserve">ГАУЗ </w:t>
            </w:r>
            <w:r>
              <w:rPr>
                <w:color w:val="000000"/>
                <w:sz w:val="20"/>
                <w:szCs w:val="20"/>
              </w:rPr>
              <w:t>«</w:t>
            </w:r>
            <w:r w:rsidRPr="00E8065F">
              <w:rPr>
                <w:color w:val="000000"/>
                <w:sz w:val="20"/>
                <w:szCs w:val="20"/>
              </w:rPr>
              <w:t>Бавлинская ЦРБ</w:t>
            </w:r>
            <w:r>
              <w:rPr>
                <w:color w:val="000000"/>
                <w:sz w:val="20"/>
                <w:szCs w:val="20"/>
              </w:rPr>
              <w:t>»</w:t>
            </w:r>
          </w:p>
        </w:tc>
        <w:tc>
          <w:tcPr>
            <w:tcW w:w="1994" w:type="dxa"/>
            <w:tcBorders>
              <w:top w:val="nil"/>
              <w:left w:val="single" w:sz="4" w:space="0" w:color="auto"/>
              <w:bottom w:val="single" w:sz="4" w:space="0" w:color="auto"/>
              <w:right w:val="single" w:sz="4" w:space="0" w:color="auto"/>
            </w:tcBorders>
            <w:shd w:val="clear" w:color="auto" w:fill="auto"/>
          </w:tcPr>
          <w:p w:rsidR="00D06A2F" w:rsidRPr="00E8065F" w:rsidRDefault="00D06A2F" w:rsidP="00D5127A">
            <w:pPr>
              <w:spacing w:line="235" w:lineRule="auto"/>
              <w:jc w:val="center"/>
              <w:rPr>
                <w:color w:val="000000"/>
                <w:sz w:val="20"/>
                <w:szCs w:val="20"/>
              </w:rPr>
            </w:pPr>
            <w:r w:rsidRPr="00E8065F">
              <w:rPr>
                <w:color w:val="000000"/>
                <w:sz w:val="20"/>
                <w:szCs w:val="20"/>
              </w:rPr>
              <w:t>Колоноскоп</w:t>
            </w:r>
          </w:p>
        </w:tc>
        <w:tc>
          <w:tcPr>
            <w:tcW w:w="1181" w:type="dxa"/>
            <w:tcBorders>
              <w:top w:val="nil"/>
              <w:left w:val="single" w:sz="4" w:space="0" w:color="auto"/>
              <w:bottom w:val="single" w:sz="4" w:space="0" w:color="auto"/>
              <w:right w:val="single" w:sz="4" w:space="0" w:color="auto"/>
            </w:tcBorders>
            <w:shd w:val="clear" w:color="auto" w:fill="auto"/>
          </w:tcPr>
          <w:p w:rsidR="00D06A2F" w:rsidRPr="005D7240" w:rsidRDefault="00D06A2F" w:rsidP="00D5127A">
            <w:pPr>
              <w:spacing w:line="235" w:lineRule="auto"/>
              <w:jc w:val="center"/>
              <w:rPr>
                <w:color w:val="000000"/>
                <w:sz w:val="20"/>
                <w:szCs w:val="20"/>
                <w:lang w:val="en-US"/>
              </w:rPr>
            </w:pPr>
            <w:r w:rsidRPr="00E8065F">
              <w:rPr>
                <w:color w:val="000000"/>
                <w:sz w:val="20"/>
                <w:szCs w:val="20"/>
              </w:rPr>
              <w:t>2013</w:t>
            </w:r>
            <w:r w:rsidR="003D79B3">
              <w:rPr>
                <w:color w:val="000000"/>
                <w:sz w:val="20"/>
                <w:szCs w:val="20"/>
              </w:rPr>
              <w:t xml:space="preserve"> </w:t>
            </w:r>
            <w:r w:rsidR="005D7240">
              <w:rPr>
                <w:color w:val="000000"/>
                <w:sz w:val="20"/>
                <w:szCs w:val="20"/>
                <w:lang w:val="en-US"/>
              </w:rPr>
              <w:t>(1)</w:t>
            </w:r>
          </w:p>
          <w:p w:rsidR="00D06A2F" w:rsidRPr="005D7240" w:rsidRDefault="00D06A2F" w:rsidP="00D5127A">
            <w:pPr>
              <w:spacing w:line="235" w:lineRule="auto"/>
              <w:jc w:val="center"/>
              <w:rPr>
                <w:color w:val="000000"/>
                <w:sz w:val="20"/>
                <w:szCs w:val="20"/>
                <w:lang w:val="en-US"/>
              </w:rPr>
            </w:pPr>
            <w:r w:rsidRPr="00E8065F">
              <w:rPr>
                <w:color w:val="000000"/>
                <w:sz w:val="20"/>
                <w:szCs w:val="20"/>
              </w:rPr>
              <w:t>2022</w:t>
            </w:r>
            <w:r w:rsidR="003D79B3">
              <w:rPr>
                <w:color w:val="000000"/>
                <w:sz w:val="20"/>
                <w:szCs w:val="20"/>
              </w:rPr>
              <w:t xml:space="preserve"> </w:t>
            </w:r>
            <w:r w:rsidR="005D7240">
              <w:rPr>
                <w:color w:val="000000"/>
                <w:sz w:val="20"/>
                <w:szCs w:val="20"/>
                <w:lang w:val="en-US"/>
              </w:rPr>
              <w:t>(1)</w:t>
            </w:r>
          </w:p>
        </w:tc>
        <w:tc>
          <w:tcPr>
            <w:tcW w:w="1181" w:type="dxa"/>
            <w:shd w:val="clear" w:color="auto" w:fill="auto"/>
          </w:tcPr>
          <w:p w:rsidR="00D06A2F" w:rsidRPr="00E8065F" w:rsidRDefault="00D06A2F" w:rsidP="00D5127A">
            <w:pPr>
              <w:spacing w:line="235" w:lineRule="auto"/>
              <w:jc w:val="center"/>
              <w:rPr>
                <w:color w:val="000000"/>
                <w:sz w:val="20"/>
                <w:szCs w:val="20"/>
              </w:rPr>
            </w:pPr>
            <w:r w:rsidRPr="00E8065F">
              <w:rPr>
                <w:color w:val="000000"/>
                <w:sz w:val="20"/>
                <w:szCs w:val="20"/>
              </w:rPr>
              <w:t>2</w:t>
            </w:r>
          </w:p>
        </w:tc>
        <w:tc>
          <w:tcPr>
            <w:tcW w:w="1478" w:type="dxa"/>
            <w:tcBorders>
              <w:top w:val="nil"/>
              <w:left w:val="single" w:sz="4" w:space="0" w:color="auto"/>
              <w:bottom w:val="single" w:sz="4" w:space="0" w:color="auto"/>
              <w:right w:val="single" w:sz="4" w:space="0" w:color="auto"/>
            </w:tcBorders>
            <w:shd w:val="clear" w:color="auto" w:fill="auto"/>
          </w:tcPr>
          <w:p w:rsidR="00D06A2F" w:rsidRPr="00E8065F" w:rsidRDefault="00D06A2F" w:rsidP="00D5127A">
            <w:pPr>
              <w:spacing w:line="235" w:lineRule="auto"/>
              <w:jc w:val="center"/>
              <w:rPr>
                <w:color w:val="000000"/>
                <w:sz w:val="20"/>
                <w:szCs w:val="20"/>
              </w:rPr>
            </w:pPr>
            <w:r w:rsidRPr="00E8065F">
              <w:rPr>
                <w:color w:val="000000"/>
                <w:sz w:val="20"/>
                <w:szCs w:val="20"/>
              </w:rPr>
              <w:t>0,9</w:t>
            </w:r>
          </w:p>
        </w:tc>
        <w:tc>
          <w:tcPr>
            <w:tcW w:w="1111" w:type="dxa"/>
            <w:tcBorders>
              <w:top w:val="nil"/>
              <w:left w:val="single" w:sz="4" w:space="0" w:color="auto"/>
              <w:bottom w:val="single" w:sz="4" w:space="0" w:color="auto"/>
              <w:right w:val="single" w:sz="4" w:space="0" w:color="auto"/>
            </w:tcBorders>
            <w:shd w:val="clear" w:color="auto" w:fill="auto"/>
          </w:tcPr>
          <w:p w:rsidR="00D06A2F" w:rsidRPr="00E8065F" w:rsidRDefault="00D06A2F" w:rsidP="00D5127A">
            <w:pPr>
              <w:spacing w:line="235" w:lineRule="auto"/>
              <w:jc w:val="center"/>
              <w:rPr>
                <w:color w:val="000000"/>
                <w:sz w:val="20"/>
                <w:szCs w:val="20"/>
              </w:rPr>
            </w:pPr>
            <w:r w:rsidRPr="00E8065F">
              <w:rPr>
                <w:color w:val="000000"/>
                <w:sz w:val="20"/>
                <w:szCs w:val="20"/>
              </w:rPr>
              <w:t>1</w:t>
            </w:r>
          </w:p>
        </w:tc>
        <w:tc>
          <w:tcPr>
            <w:tcW w:w="1944" w:type="dxa"/>
            <w:tcBorders>
              <w:top w:val="nil"/>
              <w:left w:val="single" w:sz="4" w:space="0" w:color="auto"/>
              <w:bottom w:val="single" w:sz="4" w:space="0" w:color="auto"/>
              <w:right w:val="single" w:sz="4" w:space="0" w:color="auto"/>
            </w:tcBorders>
            <w:shd w:val="clear" w:color="auto" w:fill="auto"/>
          </w:tcPr>
          <w:p w:rsidR="00D06A2F" w:rsidRPr="00E8065F" w:rsidRDefault="00D06A2F" w:rsidP="00D5127A">
            <w:pPr>
              <w:spacing w:line="235" w:lineRule="auto"/>
              <w:jc w:val="center"/>
              <w:rPr>
                <w:color w:val="000000"/>
                <w:sz w:val="20"/>
                <w:szCs w:val="20"/>
              </w:rPr>
            </w:pPr>
            <w:r w:rsidRPr="00E8065F">
              <w:rPr>
                <w:color w:val="000000"/>
                <w:sz w:val="20"/>
                <w:szCs w:val="20"/>
              </w:rPr>
              <w:t>Амбулаторное</w:t>
            </w:r>
          </w:p>
        </w:tc>
      </w:tr>
      <w:tr w:rsidR="00D06A2F" w:rsidRPr="00E8065F" w:rsidTr="00CD3A6F">
        <w:trPr>
          <w:trHeight w:val="20"/>
        </w:trPr>
        <w:tc>
          <w:tcPr>
            <w:tcW w:w="1555" w:type="dxa"/>
            <w:vMerge/>
            <w:tcBorders>
              <w:left w:val="single" w:sz="4" w:space="0" w:color="auto"/>
              <w:right w:val="single" w:sz="4" w:space="0" w:color="auto"/>
            </w:tcBorders>
          </w:tcPr>
          <w:p w:rsidR="00D06A2F" w:rsidRPr="00E8065F" w:rsidRDefault="00D06A2F" w:rsidP="00D5127A">
            <w:pPr>
              <w:spacing w:line="235" w:lineRule="auto"/>
              <w:rPr>
                <w:sz w:val="20"/>
                <w:szCs w:val="20"/>
              </w:rPr>
            </w:pPr>
          </w:p>
        </w:tc>
        <w:tc>
          <w:tcPr>
            <w:tcW w:w="3685" w:type="dxa"/>
            <w:tcBorders>
              <w:top w:val="nil"/>
              <w:left w:val="single" w:sz="4" w:space="0" w:color="auto"/>
              <w:bottom w:val="single" w:sz="4" w:space="0" w:color="auto"/>
              <w:right w:val="nil"/>
            </w:tcBorders>
            <w:shd w:val="clear" w:color="auto" w:fill="auto"/>
          </w:tcPr>
          <w:p w:rsidR="00D06A2F" w:rsidRPr="00E8065F" w:rsidRDefault="00D06A2F" w:rsidP="00D5127A">
            <w:pPr>
              <w:spacing w:line="235" w:lineRule="auto"/>
              <w:jc w:val="both"/>
              <w:rPr>
                <w:color w:val="000000"/>
                <w:sz w:val="20"/>
                <w:szCs w:val="20"/>
              </w:rPr>
            </w:pPr>
            <w:r w:rsidRPr="00E8065F">
              <w:rPr>
                <w:color w:val="000000"/>
                <w:sz w:val="20"/>
                <w:szCs w:val="20"/>
              </w:rPr>
              <w:t xml:space="preserve">ГАУЗ </w:t>
            </w:r>
            <w:r>
              <w:rPr>
                <w:color w:val="000000"/>
                <w:sz w:val="20"/>
                <w:szCs w:val="20"/>
              </w:rPr>
              <w:t>«</w:t>
            </w:r>
            <w:r w:rsidRPr="00E8065F">
              <w:rPr>
                <w:color w:val="000000"/>
                <w:sz w:val="20"/>
                <w:szCs w:val="20"/>
              </w:rPr>
              <w:t>Балтасинская ЦРБ</w:t>
            </w:r>
            <w:r>
              <w:rPr>
                <w:color w:val="000000"/>
                <w:sz w:val="20"/>
                <w:szCs w:val="20"/>
              </w:rPr>
              <w:t>»</w:t>
            </w:r>
          </w:p>
        </w:tc>
        <w:tc>
          <w:tcPr>
            <w:tcW w:w="1994" w:type="dxa"/>
            <w:tcBorders>
              <w:top w:val="nil"/>
              <w:left w:val="single" w:sz="4" w:space="0" w:color="auto"/>
              <w:bottom w:val="single" w:sz="4" w:space="0" w:color="auto"/>
              <w:right w:val="single" w:sz="4" w:space="0" w:color="auto"/>
            </w:tcBorders>
            <w:shd w:val="clear" w:color="auto" w:fill="auto"/>
          </w:tcPr>
          <w:p w:rsidR="00D06A2F" w:rsidRPr="00E8065F" w:rsidRDefault="00D06A2F" w:rsidP="00D5127A">
            <w:pPr>
              <w:spacing w:line="235" w:lineRule="auto"/>
              <w:jc w:val="center"/>
              <w:rPr>
                <w:color w:val="000000"/>
                <w:sz w:val="20"/>
                <w:szCs w:val="20"/>
              </w:rPr>
            </w:pPr>
            <w:r w:rsidRPr="00E8065F">
              <w:rPr>
                <w:color w:val="000000"/>
                <w:sz w:val="20"/>
                <w:szCs w:val="20"/>
              </w:rPr>
              <w:t>Колоноскоп</w:t>
            </w:r>
          </w:p>
        </w:tc>
        <w:tc>
          <w:tcPr>
            <w:tcW w:w="1181" w:type="dxa"/>
            <w:tcBorders>
              <w:top w:val="nil"/>
              <w:left w:val="single" w:sz="4" w:space="0" w:color="auto"/>
              <w:bottom w:val="single" w:sz="4" w:space="0" w:color="auto"/>
              <w:right w:val="single" w:sz="4" w:space="0" w:color="auto"/>
            </w:tcBorders>
            <w:shd w:val="clear" w:color="auto" w:fill="auto"/>
          </w:tcPr>
          <w:p w:rsidR="00D06A2F" w:rsidRPr="005D7240" w:rsidRDefault="00D06A2F" w:rsidP="00D5127A">
            <w:pPr>
              <w:spacing w:line="235" w:lineRule="auto"/>
              <w:jc w:val="center"/>
              <w:rPr>
                <w:color w:val="000000"/>
                <w:sz w:val="20"/>
                <w:szCs w:val="20"/>
                <w:lang w:val="en-US"/>
              </w:rPr>
            </w:pPr>
            <w:r w:rsidRPr="00E8065F">
              <w:rPr>
                <w:color w:val="000000"/>
                <w:sz w:val="20"/>
                <w:szCs w:val="20"/>
              </w:rPr>
              <w:t>2021</w:t>
            </w:r>
            <w:r w:rsidR="003D79B3">
              <w:rPr>
                <w:color w:val="000000"/>
                <w:sz w:val="20"/>
                <w:szCs w:val="20"/>
              </w:rPr>
              <w:t xml:space="preserve"> </w:t>
            </w:r>
            <w:r w:rsidR="005D7240">
              <w:rPr>
                <w:color w:val="000000"/>
                <w:sz w:val="20"/>
                <w:szCs w:val="20"/>
                <w:lang w:val="en-US"/>
              </w:rPr>
              <w:t>(1)</w:t>
            </w:r>
          </w:p>
        </w:tc>
        <w:tc>
          <w:tcPr>
            <w:tcW w:w="1181" w:type="dxa"/>
            <w:shd w:val="clear" w:color="auto" w:fill="auto"/>
          </w:tcPr>
          <w:p w:rsidR="00D06A2F" w:rsidRPr="00E8065F" w:rsidRDefault="00D06A2F" w:rsidP="00D5127A">
            <w:pPr>
              <w:spacing w:line="235" w:lineRule="auto"/>
              <w:jc w:val="center"/>
              <w:rPr>
                <w:color w:val="000000"/>
                <w:sz w:val="20"/>
                <w:szCs w:val="20"/>
              </w:rPr>
            </w:pPr>
            <w:r w:rsidRPr="00E8065F">
              <w:rPr>
                <w:color w:val="000000"/>
                <w:sz w:val="20"/>
                <w:szCs w:val="20"/>
              </w:rPr>
              <w:t>1</w:t>
            </w:r>
          </w:p>
        </w:tc>
        <w:tc>
          <w:tcPr>
            <w:tcW w:w="1478" w:type="dxa"/>
            <w:tcBorders>
              <w:top w:val="nil"/>
              <w:left w:val="single" w:sz="4" w:space="0" w:color="auto"/>
              <w:bottom w:val="single" w:sz="4" w:space="0" w:color="auto"/>
              <w:right w:val="single" w:sz="4" w:space="0" w:color="auto"/>
            </w:tcBorders>
            <w:shd w:val="clear" w:color="auto" w:fill="auto"/>
          </w:tcPr>
          <w:p w:rsidR="00D06A2F" w:rsidRPr="00E8065F" w:rsidRDefault="00D06A2F" w:rsidP="00D5127A">
            <w:pPr>
              <w:spacing w:line="235" w:lineRule="auto"/>
              <w:jc w:val="center"/>
              <w:rPr>
                <w:color w:val="000000"/>
                <w:sz w:val="20"/>
                <w:szCs w:val="20"/>
              </w:rPr>
            </w:pPr>
            <w:r w:rsidRPr="00E8065F">
              <w:rPr>
                <w:color w:val="000000"/>
                <w:sz w:val="20"/>
                <w:szCs w:val="20"/>
              </w:rPr>
              <w:t>1,7</w:t>
            </w:r>
          </w:p>
        </w:tc>
        <w:tc>
          <w:tcPr>
            <w:tcW w:w="1111" w:type="dxa"/>
            <w:tcBorders>
              <w:top w:val="nil"/>
              <w:left w:val="single" w:sz="4" w:space="0" w:color="auto"/>
              <w:bottom w:val="single" w:sz="4" w:space="0" w:color="auto"/>
              <w:right w:val="single" w:sz="4" w:space="0" w:color="auto"/>
            </w:tcBorders>
            <w:shd w:val="clear" w:color="auto" w:fill="auto"/>
          </w:tcPr>
          <w:p w:rsidR="00D06A2F" w:rsidRPr="00E8065F" w:rsidRDefault="00D06A2F" w:rsidP="00D5127A">
            <w:pPr>
              <w:spacing w:line="235" w:lineRule="auto"/>
              <w:jc w:val="center"/>
              <w:rPr>
                <w:color w:val="000000"/>
                <w:sz w:val="20"/>
                <w:szCs w:val="20"/>
              </w:rPr>
            </w:pPr>
            <w:r w:rsidRPr="00E8065F">
              <w:rPr>
                <w:color w:val="000000"/>
                <w:sz w:val="20"/>
                <w:szCs w:val="20"/>
              </w:rPr>
              <w:t>1</w:t>
            </w:r>
          </w:p>
        </w:tc>
        <w:tc>
          <w:tcPr>
            <w:tcW w:w="1944" w:type="dxa"/>
            <w:tcBorders>
              <w:top w:val="nil"/>
              <w:left w:val="single" w:sz="4" w:space="0" w:color="auto"/>
              <w:bottom w:val="single" w:sz="4" w:space="0" w:color="auto"/>
              <w:right w:val="single" w:sz="4" w:space="0" w:color="auto"/>
            </w:tcBorders>
            <w:shd w:val="clear" w:color="auto" w:fill="auto"/>
          </w:tcPr>
          <w:p w:rsidR="00D06A2F" w:rsidRPr="00E8065F" w:rsidRDefault="00D06A2F" w:rsidP="00D5127A">
            <w:pPr>
              <w:spacing w:line="235" w:lineRule="auto"/>
              <w:jc w:val="center"/>
              <w:rPr>
                <w:color w:val="000000"/>
                <w:sz w:val="20"/>
                <w:szCs w:val="20"/>
              </w:rPr>
            </w:pPr>
            <w:r w:rsidRPr="00E8065F">
              <w:rPr>
                <w:color w:val="000000"/>
                <w:sz w:val="20"/>
                <w:szCs w:val="20"/>
              </w:rPr>
              <w:t>Амбулаторное</w:t>
            </w:r>
          </w:p>
        </w:tc>
      </w:tr>
      <w:tr w:rsidR="00D06A2F" w:rsidRPr="00E8065F" w:rsidTr="00CD3A6F">
        <w:trPr>
          <w:trHeight w:val="20"/>
        </w:trPr>
        <w:tc>
          <w:tcPr>
            <w:tcW w:w="1555" w:type="dxa"/>
            <w:vMerge/>
            <w:tcBorders>
              <w:left w:val="single" w:sz="4" w:space="0" w:color="auto"/>
              <w:right w:val="single" w:sz="4" w:space="0" w:color="auto"/>
            </w:tcBorders>
          </w:tcPr>
          <w:p w:rsidR="00D06A2F" w:rsidRPr="00E8065F" w:rsidRDefault="00D06A2F" w:rsidP="00D5127A">
            <w:pPr>
              <w:spacing w:line="235" w:lineRule="auto"/>
              <w:rPr>
                <w:sz w:val="20"/>
                <w:szCs w:val="20"/>
              </w:rPr>
            </w:pPr>
          </w:p>
        </w:tc>
        <w:tc>
          <w:tcPr>
            <w:tcW w:w="3685" w:type="dxa"/>
            <w:tcBorders>
              <w:top w:val="nil"/>
              <w:left w:val="single" w:sz="4" w:space="0" w:color="auto"/>
              <w:bottom w:val="single" w:sz="4" w:space="0" w:color="auto"/>
              <w:right w:val="nil"/>
            </w:tcBorders>
            <w:shd w:val="clear" w:color="auto" w:fill="auto"/>
          </w:tcPr>
          <w:p w:rsidR="00D06A2F" w:rsidRPr="00E8065F" w:rsidRDefault="00D06A2F" w:rsidP="00D5127A">
            <w:pPr>
              <w:spacing w:line="235" w:lineRule="auto"/>
              <w:jc w:val="both"/>
              <w:rPr>
                <w:color w:val="000000"/>
                <w:sz w:val="20"/>
                <w:szCs w:val="20"/>
              </w:rPr>
            </w:pPr>
            <w:r w:rsidRPr="00E8065F">
              <w:rPr>
                <w:color w:val="000000"/>
                <w:sz w:val="20"/>
                <w:szCs w:val="20"/>
              </w:rPr>
              <w:t xml:space="preserve">ГАУЗ </w:t>
            </w:r>
            <w:r>
              <w:rPr>
                <w:color w:val="000000"/>
                <w:sz w:val="20"/>
                <w:szCs w:val="20"/>
              </w:rPr>
              <w:t>«</w:t>
            </w:r>
            <w:r w:rsidRPr="00E8065F">
              <w:rPr>
                <w:color w:val="000000"/>
                <w:sz w:val="20"/>
                <w:szCs w:val="20"/>
              </w:rPr>
              <w:t>Бугульминская ЦРБ</w:t>
            </w:r>
            <w:r>
              <w:rPr>
                <w:color w:val="000000"/>
                <w:sz w:val="20"/>
                <w:szCs w:val="20"/>
              </w:rPr>
              <w:t>»</w:t>
            </w:r>
          </w:p>
        </w:tc>
        <w:tc>
          <w:tcPr>
            <w:tcW w:w="1994" w:type="dxa"/>
            <w:tcBorders>
              <w:top w:val="nil"/>
              <w:left w:val="single" w:sz="4" w:space="0" w:color="auto"/>
              <w:bottom w:val="single" w:sz="4" w:space="0" w:color="auto"/>
              <w:right w:val="single" w:sz="4" w:space="0" w:color="auto"/>
            </w:tcBorders>
            <w:shd w:val="clear" w:color="auto" w:fill="auto"/>
          </w:tcPr>
          <w:p w:rsidR="00D06A2F" w:rsidRPr="00E8065F" w:rsidRDefault="00D06A2F" w:rsidP="00D5127A">
            <w:pPr>
              <w:spacing w:line="235" w:lineRule="auto"/>
              <w:jc w:val="center"/>
              <w:rPr>
                <w:color w:val="000000"/>
                <w:sz w:val="20"/>
                <w:szCs w:val="20"/>
              </w:rPr>
            </w:pPr>
            <w:r w:rsidRPr="00E8065F">
              <w:rPr>
                <w:color w:val="000000"/>
                <w:sz w:val="20"/>
                <w:szCs w:val="20"/>
              </w:rPr>
              <w:t>Колоноскоп</w:t>
            </w:r>
          </w:p>
        </w:tc>
        <w:tc>
          <w:tcPr>
            <w:tcW w:w="1181" w:type="dxa"/>
            <w:tcBorders>
              <w:top w:val="nil"/>
              <w:left w:val="single" w:sz="4" w:space="0" w:color="auto"/>
              <w:bottom w:val="single" w:sz="4" w:space="0" w:color="auto"/>
              <w:right w:val="single" w:sz="4" w:space="0" w:color="auto"/>
            </w:tcBorders>
            <w:shd w:val="clear" w:color="auto" w:fill="auto"/>
          </w:tcPr>
          <w:p w:rsidR="00D06A2F" w:rsidRPr="005D7240" w:rsidRDefault="00D06A2F" w:rsidP="00D5127A">
            <w:pPr>
              <w:spacing w:line="235" w:lineRule="auto"/>
              <w:jc w:val="center"/>
              <w:rPr>
                <w:color w:val="000000"/>
                <w:sz w:val="20"/>
                <w:szCs w:val="20"/>
                <w:lang w:val="en-US"/>
              </w:rPr>
            </w:pPr>
            <w:r w:rsidRPr="00E8065F">
              <w:rPr>
                <w:color w:val="000000"/>
                <w:sz w:val="20"/>
                <w:szCs w:val="20"/>
              </w:rPr>
              <w:t>2022</w:t>
            </w:r>
            <w:r w:rsidR="003D79B3">
              <w:rPr>
                <w:color w:val="000000"/>
                <w:sz w:val="20"/>
                <w:szCs w:val="20"/>
              </w:rPr>
              <w:t xml:space="preserve"> </w:t>
            </w:r>
            <w:r w:rsidR="005D7240">
              <w:rPr>
                <w:color w:val="000000"/>
                <w:sz w:val="20"/>
                <w:szCs w:val="20"/>
                <w:lang w:val="en-US"/>
              </w:rPr>
              <w:t>(1)</w:t>
            </w:r>
          </w:p>
        </w:tc>
        <w:tc>
          <w:tcPr>
            <w:tcW w:w="1181" w:type="dxa"/>
            <w:shd w:val="clear" w:color="auto" w:fill="auto"/>
          </w:tcPr>
          <w:p w:rsidR="00D06A2F" w:rsidRPr="00E8065F" w:rsidRDefault="00D06A2F" w:rsidP="00D5127A">
            <w:pPr>
              <w:spacing w:line="235" w:lineRule="auto"/>
              <w:jc w:val="center"/>
              <w:rPr>
                <w:color w:val="000000"/>
                <w:sz w:val="20"/>
                <w:szCs w:val="20"/>
              </w:rPr>
            </w:pPr>
            <w:r w:rsidRPr="00E8065F">
              <w:rPr>
                <w:color w:val="000000"/>
                <w:sz w:val="20"/>
                <w:szCs w:val="20"/>
              </w:rPr>
              <w:t>1</w:t>
            </w:r>
          </w:p>
        </w:tc>
        <w:tc>
          <w:tcPr>
            <w:tcW w:w="1478" w:type="dxa"/>
            <w:tcBorders>
              <w:top w:val="nil"/>
              <w:left w:val="single" w:sz="4" w:space="0" w:color="auto"/>
              <w:bottom w:val="single" w:sz="4" w:space="0" w:color="auto"/>
              <w:right w:val="single" w:sz="4" w:space="0" w:color="auto"/>
            </w:tcBorders>
            <w:shd w:val="clear" w:color="auto" w:fill="auto"/>
          </w:tcPr>
          <w:p w:rsidR="00D06A2F" w:rsidRPr="00E8065F" w:rsidRDefault="00D06A2F" w:rsidP="00D5127A">
            <w:pPr>
              <w:spacing w:line="235" w:lineRule="auto"/>
              <w:jc w:val="center"/>
              <w:rPr>
                <w:color w:val="000000"/>
                <w:sz w:val="20"/>
                <w:szCs w:val="20"/>
              </w:rPr>
            </w:pPr>
            <w:r w:rsidRPr="00E8065F">
              <w:rPr>
                <w:color w:val="000000"/>
                <w:sz w:val="20"/>
                <w:szCs w:val="20"/>
              </w:rPr>
              <w:t>1,3</w:t>
            </w:r>
          </w:p>
        </w:tc>
        <w:tc>
          <w:tcPr>
            <w:tcW w:w="1111" w:type="dxa"/>
            <w:tcBorders>
              <w:top w:val="nil"/>
              <w:left w:val="single" w:sz="4" w:space="0" w:color="auto"/>
              <w:bottom w:val="single" w:sz="4" w:space="0" w:color="auto"/>
              <w:right w:val="single" w:sz="4" w:space="0" w:color="auto"/>
            </w:tcBorders>
            <w:shd w:val="clear" w:color="auto" w:fill="auto"/>
          </w:tcPr>
          <w:p w:rsidR="00D06A2F" w:rsidRPr="00E8065F" w:rsidRDefault="00D06A2F" w:rsidP="00D5127A">
            <w:pPr>
              <w:spacing w:line="235" w:lineRule="auto"/>
              <w:jc w:val="center"/>
              <w:rPr>
                <w:color w:val="000000"/>
                <w:sz w:val="20"/>
                <w:szCs w:val="20"/>
              </w:rPr>
            </w:pPr>
            <w:r w:rsidRPr="00E8065F">
              <w:rPr>
                <w:color w:val="000000"/>
                <w:sz w:val="20"/>
                <w:szCs w:val="20"/>
              </w:rPr>
              <w:t>1</w:t>
            </w:r>
          </w:p>
        </w:tc>
        <w:tc>
          <w:tcPr>
            <w:tcW w:w="1944" w:type="dxa"/>
            <w:tcBorders>
              <w:top w:val="nil"/>
              <w:left w:val="single" w:sz="4" w:space="0" w:color="auto"/>
              <w:bottom w:val="single" w:sz="4" w:space="0" w:color="auto"/>
              <w:right w:val="single" w:sz="4" w:space="0" w:color="auto"/>
            </w:tcBorders>
            <w:shd w:val="clear" w:color="auto" w:fill="auto"/>
          </w:tcPr>
          <w:p w:rsidR="00D06A2F" w:rsidRPr="00E8065F" w:rsidRDefault="00D06A2F" w:rsidP="00D5127A">
            <w:pPr>
              <w:spacing w:line="235" w:lineRule="auto"/>
              <w:jc w:val="center"/>
              <w:rPr>
                <w:color w:val="000000"/>
                <w:sz w:val="20"/>
                <w:szCs w:val="20"/>
              </w:rPr>
            </w:pPr>
            <w:r w:rsidRPr="00E8065F">
              <w:rPr>
                <w:color w:val="000000"/>
                <w:sz w:val="20"/>
                <w:szCs w:val="20"/>
              </w:rPr>
              <w:t>Амбулаторное/стационарное</w:t>
            </w:r>
          </w:p>
        </w:tc>
      </w:tr>
      <w:tr w:rsidR="00D06A2F" w:rsidRPr="00E8065F" w:rsidTr="00CD3A6F">
        <w:trPr>
          <w:trHeight w:val="20"/>
        </w:trPr>
        <w:tc>
          <w:tcPr>
            <w:tcW w:w="1555" w:type="dxa"/>
            <w:vMerge/>
            <w:tcBorders>
              <w:left w:val="single" w:sz="4" w:space="0" w:color="auto"/>
              <w:right w:val="single" w:sz="4" w:space="0" w:color="auto"/>
            </w:tcBorders>
          </w:tcPr>
          <w:p w:rsidR="00D06A2F" w:rsidRPr="00E8065F" w:rsidRDefault="00D06A2F" w:rsidP="00D5127A">
            <w:pPr>
              <w:spacing w:line="235" w:lineRule="auto"/>
              <w:rPr>
                <w:sz w:val="20"/>
                <w:szCs w:val="20"/>
              </w:rPr>
            </w:pPr>
          </w:p>
        </w:tc>
        <w:tc>
          <w:tcPr>
            <w:tcW w:w="3685" w:type="dxa"/>
            <w:tcBorders>
              <w:top w:val="nil"/>
              <w:left w:val="single" w:sz="4" w:space="0" w:color="auto"/>
              <w:bottom w:val="single" w:sz="4" w:space="0" w:color="auto"/>
              <w:right w:val="nil"/>
            </w:tcBorders>
            <w:shd w:val="clear" w:color="auto" w:fill="auto"/>
          </w:tcPr>
          <w:p w:rsidR="00D06A2F" w:rsidRPr="00E8065F" w:rsidRDefault="00D06A2F" w:rsidP="00D5127A">
            <w:pPr>
              <w:spacing w:line="235" w:lineRule="auto"/>
              <w:jc w:val="both"/>
              <w:rPr>
                <w:color w:val="000000"/>
                <w:sz w:val="20"/>
                <w:szCs w:val="20"/>
              </w:rPr>
            </w:pPr>
            <w:r w:rsidRPr="00E8065F">
              <w:rPr>
                <w:color w:val="000000"/>
                <w:sz w:val="20"/>
                <w:szCs w:val="20"/>
              </w:rPr>
              <w:t xml:space="preserve">ГАУЗ </w:t>
            </w:r>
            <w:r>
              <w:rPr>
                <w:color w:val="000000"/>
                <w:sz w:val="20"/>
                <w:szCs w:val="20"/>
              </w:rPr>
              <w:t>«</w:t>
            </w:r>
            <w:r w:rsidRPr="00E8065F">
              <w:rPr>
                <w:color w:val="000000"/>
                <w:sz w:val="20"/>
                <w:szCs w:val="20"/>
              </w:rPr>
              <w:t>Буинская ЦРБ</w:t>
            </w:r>
            <w:r>
              <w:rPr>
                <w:color w:val="000000"/>
                <w:sz w:val="20"/>
                <w:szCs w:val="20"/>
              </w:rPr>
              <w:t>»</w:t>
            </w:r>
          </w:p>
        </w:tc>
        <w:tc>
          <w:tcPr>
            <w:tcW w:w="1994" w:type="dxa"/>
            <w:tcBorders>
              <w:top w:val="nil"/>
              <w:left w:val="single" w:sz="4" w:space="0" w:color="auto"/>
              <w:bottom w:val="single" w:sz="4" w:space="0" w:color="auto"/>
              <w:right w:val="single" w:sz="4" w:space="0" w:color="auto"/>
            </w:tcBorders>
            <w:shd w:val="clear" w:color="auto" w:fill="auto"/>
          </w:tcPr>
          <w:p w:rsidR="00D06A2F" w:rsidRPr="00E8065F" w:rsidRDefault="00D06A2F" w:rsidP="00D5127A">
            <w:pPr>
              <w:spacing w:line="235" w:lineRule="auto"/>
              <w:jc w:val="center"/>
              <w:rPr>
                <w:color w:val="000000"/>
                <w:sz w:val="20"/>
                <w:szCs w:val="20"/>
              </w:rPr>
            </w:pPr>
            <w:r w:rsidRPr="00E8065F">
              <w:rPr>
                <w:color w:val="000000"/>
                <w:sz w:val="20"/>
                <w:szCs w:val="20"/>
              </w:rPr>
              <w:t>Колоноскоп</w:t>
            </w:r>
          </w:p>
        </w:tc>
        <w:tc>
          <w:tcPr>
            <w:tcW w:w="1181" w:type="dxa"/>
            <w:tcBorders>
              <w:top w:val="nil"/>
              <w:left w:val="single" w:sz="4" w:space="0" w:color="auto"/>
              <w:bottom w:val="single" w:sz="4" w:space="0" w:color="auto"/>
              <w:right w:val="single" w:sz="4" w:space="0" w:color="auto"/>
            </w:tcBorders>
            <w:shd w:val="clear" w:color="auto" w:fill="auto"/>
          </w:tcPr>
          <w:p w:rsidR="00D06A2F" w:rsidRPr="005D7240" w:rsidRDefault="00D06A2F" w:rsidP="00D5127A">
            <w:pPr>
              <w:spacing w:line="235" w:lineRule="auto"/>
              <w:jc w:val="center"/>
              <w:rPr>
                <w:color w:val="000000"/>
                <w:sz w:val="20"/>
                <w:szCs w:val="20"/>
                <w:lang w:val="en-US"/>
              </w:rPr>
            </w:pPr>
            <w:r w:rsidRPr="00E8065F">
              <w:rPr>
                <w:color w:val="000000"/>
                <w:sz w:val="20"/>
                <w:szCs w:val="20"/>
              </w:rPr>
              <w:t>2015</w:t>
            </w:r>
            <w:r w:rsidR="003D79B3">
              <w:rPr>
                <w:color w:val="000000"/>
                <w:sz w:val="20"/>
                <w:szCs w:val="20"/>
              </w:rPr>
              <w:t xml:space="preserve"> </w:t>
            </w:r>
            <w:r w:rsidR="005D7240">
              <w:rPr>
                <w:color w:val="000000"/>
                <w:sz w:val="20"/>
                <w:szCs w:val="20"/>
                <w:lang w:val="en-US"/>
              </w:rPr>
              <w:t>(1)</w:t>
            </w:r>
          </w:p>
          <w:p w:rsidR="00D06A2F" w:rsidRPr="005D7240" w:rsidRDefault="00D06A2F" w:rsidP="00D5127A">
            <w:pPr>
              <w:spacing w:line="235" w:lineRule="auto"/>
              <w:jc w:val="center"/>
              <w:rPr>
                <w:color w:val="000000"/>
                <w:sz w:val="20"/>
                <w:szCs w:val="20"/>
                <w:lang w:val="en-US"/>
              </w:rPr>
            </w:pPr>
            <w:r w:rsidRPr="00E8065F">
              <w:rPr>
                <w:color w:val="000000"/>
                <w:sz w:val="20"/>
                <w:szCs w:val="20"/>
              </w:rPr>
              <w:t>2016</w:t>
            </w:r>
            <w:r w:rsidR="003D79B3">
              <w:rPr>
                <w:color w:val="000000"/>
                <w:sz w:val="20"/>
                <w:szCs w:val="20"/>
              </w:rPr>
              <w:t xml:space="preserve"> </w:t>
            </w:r>
            <w:r w:rsidR="005D7240">
              <w:rPr>
                <w:color w:val="000000"/>
                <w:sz w:val="20"/>
                <w:szCs w:val="20"/>
                <w:lang w:val="en-US"/>
              </w:rPr>
              <w:t>(1)</w:t>
            </w:r>
          </w:p>
        </w:tc>
        <w:tc>
          <w:tcPr>
            <w:tcW w:w="1181" w:type="dxa"/>
            <w:shd w:val="clear" w:color="auto" w:fill="auto"/>
          </w:tcPr>
          <w:p w:rsidR="00D06A2F" w:rsidRPr="00E8065F" w:rsidRDefault="00D06A2F" w:rsidP="00D5127A">
            <w:pPr>
              <w:spacing w:line="235" w:lineRule="auto"/>
              <w:jc w:val="center"/>
              <w:rPr>
                <w:color w:val="000000"/>
                <w:sz w:val="20"/>
                <w:szCs w:val="20"/>
              </w:rPr>
            </w:pPr>
            <w:r w:rsidRPr="00E8065F">
              <w:rPr>
                <w:color w:val="000000"/>
                <w:sz w:val="20"/>
                <w:szCs w:val="20"/>
              </w:rPr>
              <w:t>2</w:t>
            </w:r>
          </w:p>
        </w:tc>
        <w:tc>
          <w:tcPr>
            <w:tcW w:w="1478" w:type="dxa"/>
            <w:tcBorders>
              <w:top w:val="nil"/>
              <w:left w:val="single" w:sz="4" w:space="0" w:color="auto"/>
              <w:bottom w:val="single" w:sz="4" w:space="0" w:color="auto"/>
              <w:right w:val="single" w:sz="4" w:space="0" w:color="auto"/>
            </w:tcBorders>
            <w:shd w:val="clear" w:color="auto" w:fill="auto"/>
          </w:tcPr>
          <w:p w:rsidR="00D06A2F" w:rsidRPr="00E8065F" w:rsidRDefault="00D06A2F" w:rsidP="00D5127A">
            <w:pPr>
              <w:spacing w:line="235" w:lineRule="auto"/>
              <w:jc w:val="center"/>
              <w:rPr>
                <w:color w:val="000000"/>
                <w:sz w:val="20"/>
                <w:szCs w:val="20"/>
              </w:rPr>
            </w:pPr>
            <w:r w:rsidRPr="00E8065F">
              <w:rPr>
                <w:color w:val="000000"/>
                <w:sz w:val="20"/>
                <w:szCs w:val="20"/>
              </w:rPr>
              <w:t>1,9</w:t>
            </w:r>
          </w:p>
        </w:tc>
        <w:tc>
          <w:tcPr>
            <w:tcW w:w="1111" w:type="dxa"/>
            <w:tcBorders>
              <w:top w:val="nil"/>
              <w:left w:val="single" w:sz="4" w:space="0" w:color="auto"/>
              <w:bottom w:val="single" w:sz="4" w:space="0" w:color="auto"/>
              <w:right w:val="single" w:sz="4" w:space="0" w:color="auto"/>
            </w:tcBorders>
            <w:shd w:val="clear" w:color="auto" w:fill="auto"/>
          </w:tcPr>
          <w:p w:rsidR="00D06A2F" w:rsidRPr="00E8065F" w:rsidRDefault="00D06A2F" w:rsidP="00D5127A">
            <w:pPr>
              <w:spacing w:line="235" w:lineRule="auto"/>
              <w:jc w:val="center"/>
              <w:rPr>
                <w:color w:val="000000"/>
                <w:sz w:val="20"/>
                <w:szCs w:val="20"/>
              </w:rPr>
            </w:pPr>
            <w:r w:rsidRPr="00E8065F">
              <w:rPr>
                <w:color w:val="000000"/>
                <w:sz w:val="20"/>
                <w:szCs w:val="20"/>
              </w:rPr>
              <w:t>1</w:t>
            </w:r>
          </w:p>
        </w:tc>
        <w:tc>
          <w:tcPr>
            <w:tcW w:w="1944" w:type="dxa"/>
            <w:tcBorders>
              <w:top w:val="nil"/>
              <w:left w:val="single" w:sz="4" w:space="0" w:color="auto"/>
              <w:bottom w:val="single" w:sz="4" w:space="0" w:color="auto"/>
              <w:right w:val="single" w:sz="4" w:space="0" w:color="auto"/>
            </w:tcBorders>
            <w:shd w:val="clear" w:color="auto" w:fill="auto"/>
          </w:tcPr>
          <w:p w:rsidR="00D06A2F" w:rsidRPr="00E8065F" w:rsidRDefault="00D06A2F" w:rsidP="00D5127A">
            <w:pPr>
              <w:spacing w:line="235" w:lineRule="auto"/>
              <w:jc w:val="center"/>
              <w:rPr>
                <w:color w:val="000000"/>
                <w:sz w:val="20"/>
                <w:szCs w:val="20"/>
              </w:rPr>
            </w:pPr>
            <w:r w:rsidRPr="00E8065F">
              <w:rPr>
                <w:color w:val="000000"/>
                <w:sz w:val="20"/>
                <w:szCs w:val="20"/>
              </w:rPr>
              <w:t>Амбулаторное</w:t>
            </w:r>
          </w:p>
        </w:tc>
      </w:tr>
      <w:tr w:rsidR="00D06A2F" w:rsidRPr="00E8065F" w:rsidTr="00CD3A6F">
        <w:trPr>
          <w:trHeight w:val="20"/>
        </w:trPr>
        <w:tc>
          <w:tcPr>
            <w:tcW w:w="1555" w:type="dxa"/>
            <w:vMerge/>
            <w:tcBorders>
              <w:left w:val="single" w:sz="4" w:space="0" w:color="auto"/>
              <w:right w:val="single" w:sz="4" w:space="0" w:color="auto"/>
            </w:tcBorders>
          </w:tcPr>
          <w:p w:rsidR="00D06A2F" w:rsidRPr="00E8065F" w:rsidRDefault="00D06A2F" w:rsidP="00D5127A">
            <w:pPr>
              <w:spacing w:line="235" w:lineRule="auto"/>
              <w:rPr>
                <w:sz w:val="20"/>
                <w:szCs w:val="20"/>
              </w:rPr>
            </w:pPr>
          </w:p>
        </w:tc>
        <w:tc>
          <w:tcPr>
            <w:tcW w:w="3685" w:type="dxa"/>
            <w:tcBorders>
              <w:top w:val="nil"/>
              <w:left w:val="single" w:sz="4" w:space="0" w:color="auto"/>
              <w:bottom w:val="single" w:sz="4" w:space="0" w:color="auto"/>
              <w:right w:val="nil"/>
            </w:tcBorders>
            <w:shd w:val="clear" w:color="auto" w:fill="auto"/>
          </w:tcPr>
          <w:p w:rsidR="00D06A2F" w:rsidRPr="00E8065F" w:rsidRDefault="00D06A2F" w:rsidP="00D5127A">
            <w:pPr>
              <w:spacing w:line="235" w:lineRule="auto"/>
              <w:jc w:val="both"/>
              <w:rPr>
                <w:color w:val="000000"/>
                <w:sz w:val="20"/>
                <w:szCs w:val="20"/>
              </w:rPr>
            </w:pPr>
            <w:r w:rsidRPr="00E8065F">
              <w:rPr>
                <w:color w:val="000000"/>
                <w:sz w:val="20"/>
                <w:szCs w:val="20"/>
              </w:rPr>
              <w:t xml:space="preserve">ГАУЗ </w:t>
            </w:r>
            <w:r>
              <w:rPr>
                <w:color w:val="000000"/>
                <w:sz w:val="20"/>
                <w:szCs w:val="20"/>
              </w:rPr>
              <w:t>«</w:t>
            </w:r>
            <w:r w:rsidRPr="00E8065F">
              <w:rPr>
                <w:color w:val="000000"/>
                <w:sz w:val="20"/>
                <w:szCs w:val="20"/>
              </w:rPr>
              <w:t>Верхнеуслонская ЦРБ</w:t>
            </w:r>
            <w:r>
              <w:rPr>
                <w:color w:val="000000"/>
                <w:sz w:val="20"/>
                <w:szCs w:val="20"/>
              </w:rPr>
              <w:t>»</w:t>
            </w:r>
          </w:p>
        </w:tc>
        <w:tc>
          <w:tcPr>
            <w:tcW w:w="1994" w:type="dxa"/>
            <w:tcBorders>
              <w:top w:val="nil"/>
              <w:left w:val="single" w:sz="4" w:space="0" w:color="auto"/>
              <w:bottom w:val="single" w:sz="4" w:space="0" w:color="auto"/>
              <w:right w:val="single" w:sz="4" w:space="0" w:color="auto"/>
            </w:tcBorders>
            <w:shd w:val="clear" w:color="auto" w:fill="auto"/>
          </w:tcPr>
          <w:p w:rsidR="00D06A2F" w:rsidRPr="00E8065F" w:rsidRDefault="00D06A2F" w:rsidP="00D5127A">
            <w:pPr>
              <w:spacing w:line="235" w:lineRule="auto"/>
              <w:jc w:val="center"/>
              <w:rPr>
                <w:color w:val="000000"/>
                <w:sz w:val="20"/>
                <w:szCs w:val="20"/>
              </w:rPr>
            </w:pPr>
            <w:r w:rsidRPr="00E8065F">
              <w:rPr>
                <w:color w:val="000000"/>
                <w:sz w:val="20"/>
                <w:szCs w:val="20"/>
              </w:rPr>
              <w:t>Колоноскоп</w:t>
            </w:r>
          </w:p>
        </w:tc>
        <w:tc>
          <w:tcPr>
            <w:tcW w:w="1181" w:type="dxa"/>
            <w:tcBorders>
              <w:top w:val="nil"/>
              <w:left w:val="single" w:sz="4" w:space="0" w:color="auto"/>
              <w:bottom w:val="single" w:sz="4" w:space="0" w:color="auto"/>
              <w:right w:val="single" w:sz="4" w:space="0" w:color="auto"/>
            </w:tcBorders>
            <w:shd w:val="clear" w:color="auto" w:fill="auto"/>
          </w:tcPr>
          <w:p w:rsidR="00D06A2F" w:rsidRPr="005D7240" w:rsidRDefault="00D06A2F" w:rsidP="00D5127A">
            <w:pPr>
              <w:spacing w:line="235" w:lineRule="auto"/>
              <w:jc w:val="center"/>
              <w:rPr>
                <w:color w:val="000000"/>
                <w:sz w:val="20"/>
                <w:szCs w:val="20"/>
                <w:lang w:val="en-US"/>
              </w:rPr>
            </w:pPr>
            <w:r w:rsidRPr="00E8065F">
              <w:rPr>
                <w:color w:val="000000"/>
                <w:sz w:val="20"/>
                <w:szCs w:val="20"/>
              </w:rPr>
              <w:t>2022</w:t>
            </w:r>
            <w:r w:rsidR="003D79B3">
              <w:rPr>
                <w:color w:val="000000"/>
                <w:sz w:val="20"/>
                <w:szCs w:val="20"/>
              </w:rPr>
              <w:t xml:space="preserve"> </w:t>
            </w:r>
            <w:r w:rsidR="005D7240">
              <w:rPr>
                <w:color w:val="000000"/>
                <w:sz w:val="20"/>
                <w:szCs w:val="20"/>
                <w:lang w:val="en-US"/>
              </w:rPr>
              <w:t>(1)</w:t>
            </w:r>
          </w:p>
        </w:tc>
        <w:tc>
          <w:tcPr>
            <w:tcW w:w="1181" w:type="dxa"/>
            <w:shd w:val="clear" w:color="auto" w:fill="auto"/>
          </w:tcPr>
          <w:p w:rsidR="00D06A2F" w:rsidRPr="00E8065F" w:rsidRDefault="00D06A2F" w:rsidP="00D5127A">
            <w:pPr>
              <w:spacing w:line="235" w:lineRule="auto"/>
              <w:jc w:val="center"/>
              <w:rPr>
                <w:color w:val="000000"/>
                <w:sz w:val="20"/>
                <w:szCs w:val="20"/>
              </w:rPr>
            </w:pPr>
            <w:r w:rsidRPr="00E8065F">
              <w:rPr>
                <w:color w:val="000000"/>
                <w:sz w:val="20"/>
                <w:szCs w:val="20"/>
              </w:rPr>
              <w:t>1</w:t>
            </w:r>
          </w:p>
        </w:tc>
        <w:tc>
          <w:tcPr>
            <w:tcW w:w="1478" w:type="dxa"/>
            <w:tcBorders>
              <w:top w:val="nil"/>
              <w:left w:val="single" w:sz="4" w:space="0" w:color="auto"/>
              <w:bottom w:val="single" w:sz="4" w:space="0" w:color="auto"/>
              <w:right w:val="single" w:sz="4" w:space="0" w:color="auto"/>
            </w:tcBorders>
            <w:shd w:val="clear" w:color="auto" w:fill="auto"/>
          </w:tcPr>
          <w:p w:rsidR="00D06A2F" w:rsidRPr="00E8065F" w:rsidRDefault="00D06A2F" w:rsidP="00D5127A">
            <w:pPr>
              <w:spacing w:line="235" w:lineRule="auto"/>
              <w:jc w:val="center"/>
              <w:rPr>
                <w:color w:val="000000"/>
                <w:sz w:val="20"/>
                <w:szCs w:val="20"/>
              </w:rPr>
            </w:pPr>
            <w:r w:rsidRPr="00E8065F">
              <w:rPr>
                <w:color w:val="000000"/>
                <w:sz w:val="20"/>
                <w:szCs w:val="20"/>
              </w:rPr>
              <w:t>1,2</w:t>
            </w:r>
          </w:p>
        </w:tc>
        <w:tc>
          <w:tcPr>
            <w:tcW w:w="1111" w:type="dxa"/>
            <w:tcBorders>
              <w:top w:val="nil"/>
              <w:left w:val="single" w:sz="4" w:space="0" w:color="auto"/>
              <w:bottom w:val="single" w:sz="4" w:space="0" w:color="auto"/>
              <w:right w:val="single" w:sz="4" w:space="0" w:color="auto"/>
            </w:tcBorders>
            <w:shd w:val="clear" w:color="auto" w:fill="auto"/>
          </w:tcPr>
          <w:p w:rsidR="00D06A2F" w:rsidRPr="00E8065F" w:rsidRDefault="00D06A2F" w:rsidP="00D5127A">
            <w:pPr>
              <w:spacing w:line="235" w:lineRule="auto"/>
              <w:jc w:val="center"/>
              <w:rPr>
                <w:color w:val="000000"/>
                <w:sz w:val="20"/>
                <w:szCs w:val="20"/>
              </w:rPr>
            </w:pPr>
            <w:r w:rsidRPr="00E8065F">
              <w:rPr>
                <w:color w:val="000000"/>
                <w:sz w:val="20"/>
                <w:szCs w:val="20"/>
              </w:rPr>
              <w:t>1</w:t>
            </w:r>
          </w:p>
        </w:tc>
        <w:tc>
          <w:tcPr>
            <w:tcW w:w="1944" w:type="dxa"/>
            <w:tcBorders>
              <w:top w:val="nil"/>
              <w:left w:val="single" w:sz="4" w:space="0" w:color="auto"/>
              <w:bottom w:val="single" w:sz="4" w:space="0" w:color="auto"/>
              <w:right w:val="single" w:sz="4" w:space="0" w:color="auto"/>
            </w:tcBorders>
            <w:shd w:val="clear" w:color="auto" w:fill="auto"/>
          </w:tcPr>
          <w:p w:rsidR="00D06A2F" w:rsidRPr="00E8065F" w:rsidRDefault="00D06A2F" w:rsidP="00D5127A">
            <w:pPr>
              <w:spacing w:line="235" w:lineRule="auto"/>
              <w:jc w:val="center"/>
              <w:rPr>
                <w:color w:val="000000"/>
                <w:sz w:val="20"/>
                <w:szCs w:val="20"/>
              </w:rPr>
            </w:pPr>
            <w:r w:rsidRPr="00E8065F">
              <w:rPr>
                <w:color w:val="000000"/>
                <w:sz w:val="20"/>
                <w:szCs w:val="20"/>
              </w:rPr>
              <w:t>Амбулаторное</w:t>
            </w:r>
          </w:p>
        </w:tc>
      </w:tr>
      <w:tr w:rsidR="00D06A2F" w:rsidRPr="00E8065F" w:rsidTr="00CD3A6F">
        <w:trPr>
          <w:trHeight w:val="20"/>
        </w:trPr>
        <w:tc>
          <w:tcPr>
            <w:tcW w:w="1555" w:type="dxa"/>
            <w:vMerge/>
            <w:tcBorders>
              <w:left w:val="single" w:sz="4" w:space="0" w:color="auto"/>
              <w:right w:val="single" w:sz="4" w:space="0" w:color="auto"/>
            </w:tcBorders>
          </w:tcPr>
          <w:p w:rsidR="00D06A2F" w:rsidRPr="00E8065F" w:rsidRDefault="00D06A2F" w:rsidP="00D5127A">
            <w:pPr>
              <w:spacing w:line="235" w:lineRule="auto"/>
              <w:rPr>
                <w:sz w:val="20"/>
                <w:szCs w:val="20"/>
              </w:rPr>
            </w:pPr>
          </w:p>
        </w:tc>
        <w:tc>
          <w:tcPr>
            <w:tcW w:w="3685" w:type="dxa"/>
            <w:tcBorders>
              <w:top w:val="nil"/>
              <w:left w:val="single" w:sz="4" w:space="0" w:color="auto"/>
              <w:bottom w:val="single" w:sz="4" w:space="0" w:color="auto"/>
              <w:right w:val="nil"/>
            </w:tcBorders>
            <w:shd w:val="clear" w:color="auto" w:fill="auto"/>
          </w:tcPr>
          <w:p w:rsidR="00D06A2F" w:rsidRPr="00E8065F" w:rsidRDefault="00D06A2F" w:rsidP="00D5127A">
            <w:pPr>
              <w:spacing w:line="235" w:lineRule="auto"/>
              <w:jc w:val="both"/>
              <w:rPr>
                <w:color w:val="000000"/>
                <w:sz w:val="20"/>
                <w:szCs w:val="20"/>
              </w:rPr>
            </w:pPr>
            <w:r w:rsidRPr="00E8065F">
              <w:rPr>
                <w:color w:val="000000"/>
                <w:sz w:val="20"/>
                <w:szCs w:val="20"/>
              </w:rPr>
              <w:t xml:space="preserve">ГАУЗ </w:t>
            </w:r>
            <w:r>
              <w:rPr>
                <w:color w:val="000000"/>
                <w:sz w:val="20"/>
                <w:szCs w:val="20"/>
              </w:rPr>
              <w:t>«</w:t>
            </w:r>
            <w:r w:rsidRPr="00E8065F">
              <w:rPr>
                <w:color w:val="000000"/>
                <w:sz w:val="20"/>
                <w:szCs w:val="20"/>
              </w:rPr>
              <w:t>Высокогорская ЦРБ</w:t>
            </w:r>
            <w:r>
              <w:rPr>
                <w:color w:val="000000"/>
                <w:sz w:val="20"/>
                <w:szCs w:val="20"/>
              </w:rPr>
              <w:t>»</w:t>
            </w:r>
          </w:p>
        </w:tc>
        <w:tc>
          <w:tcPr>
            <w:tcW w:w="1994" w:type="dxa"/>
            <w:tcBorders>
              <w:top w:val="nil"/>
              <w:left w:val="single" w:sz="4" w:space="0" w:color="auto"/>
              <w:bottom w:val="single" w:sz="4" w:space="0" w:color="auto"/>
              <w:right w:val="single" w:sz="4" w:space="0" w:color="auto"/>
            </w:tcBorders>
            <w:shd w:val="clear" w:color="auto" w:fill="auto"/>
          </w:tcPr>
          <w:p w:rsidR="00D06A2F" w:rsidRPr="00E8065F" w:rsidRDefault="00D06A2F" w:rsidP="00D5127A">
            <w:pPr>
              <w:spacing w:line="235" w:lineRule="auto"/>
              <w:jc w:val="center"/>
              <w:rPr>
                <w:color w:val="000000"/>
                <w:sz w:val="20"/>
                <w:szCs w:val="20"/>
              </w:rPr>
            </w:pPr>
            <w:r w:rsidRPr="00E8065F">
              <w:rPr>
                <w:color w:val="000000"/>
                <w:sz w:val="20"/>
                <w:szCs w:val="20"/>
              </w:rPr>
              <w:t>Колоноскоп</w:t>
            </w:r>
          </w:p>
        </w:tc>
        <w:tc>
          <w:tcPr>
            <w:tcW w:w="1181" w:type="dxa"/>
            <w:tcBorders>
              <w:top w:val="nil"/>
              <w:left w:val="single" w:sz="4" w:space="0" w:color="auto"/>
              <w:bottom w:val="single" w:sz="4" w:space="0" w:color="auto"/>
              <w:right w:val="single" w:sz="4" w:space="0" w:color="auto"/>
            </w:tcBorders>
            <w:shd w:val="clear" w:color="auto" w:fill="auto"/>
          </w:tcPr>
          <w:p w:rsidR="00D06A2F" w:rsidRPr="00E8065F" w:rsidRDefault="00D06A2F" w:rsidP="00D5127A">
            <w:pPr>
              <w:spacing w:line="235" w:lineRule="auto"/>
              <w:jc w:val="center"/>
              <w:rPr>
                <w:color w:val="000000"/>
                <w:sz w:val="20"/>
                <w:szCs w:val="20"/>
              </w:rPr>
            </w:pPr>
            <w:r w:rsidRPr="00E8065F">
              <w:rPr>
                <w:color w:val="000000"/>
                <w:sz w:val="20"/>
                <w:szCs w:val="20"/>
              </w:rPr>
              <w:t>2018</w:t>
            </w:r>
          </w:p>
        </w:tc>
        <w:tc>
          <w:tcPr>
            <w:tcW w:w="1181" w:type="dxa"/>
            <w:shd w:val="clear" w:color="auto" w:fill="auto"/>
          </w:tcPr>
          <w:p w:rsidR="00D06A2F" w:rsidRPr="00E8065F" w:rsidRDefault="00D06A2F" w:rsidP="00D5127A">
            <w:pPr>
              <w:spacing w:line="235" w:lineRule="auto"/>
              <w:jc w:val="center"/>
              <w:rPr>
                <w:color w:val="000000"/>
                <w:sz w:val="20"/>
                <w:szCs w:val="20"/>
              </w:rPr>
            </w:pPr>
            <w:r w:rsidRPr="00E8065F">
              <w:rPr>
                <w:color w:val="000000"/>
                <w:sz w:val="20"/>
                <w:szCs w:val="20"/>
              </w:rPr>
              <w:t>1</w:t>
            </w:r>
          </w:p>
        </w:tc>
        <w:tc>
          <w:tcPr>
            <w:tcW w:w="1478" w:type="dxa"/>
            <w:tcBorders>
              <w:top w:val="nil"/>
              <w:left w:val="single" w:sz="4" w:space="0" w:color="auto"/>
              <w:bottom w:val="single" w:sz="4" w:space="0" w:color="auto"/>
              <w:right w:val="single" w:sz="4" w:space="0" w:color="auto"/>
            </w:tcBorders>
            <w:shd w:val="clear" w:color="auto" w:fill="auto"/>
          </w:tcPr>
          <w:p w:rsidR="00D06A2F" w:rsidRPr="00E8065F" w:rsidRDefault="00D06A2F" w:rsidP="00D5127A">
            <w:pPr>
              <w:spacing w:line="235" w:lineRule="auto"/>
              <w:jc w:val="center"/>
              <w:rPr>
                <w:color w:val="000000"/>
                <w:sz w:val="20"/>
                <w:szCs w:val="20"/>
              </w:rPr>
            </w:pPr>
            <w:r w:rsidRPr="00E8065F">
              <w:rPr>
                <w:color w:val="000000"/>
                <w:sz w:val="20"/>
                <w:szCs w:val="20"/>
              </w:rPr>
              <w:t>0,3</w:t>
            </w:r>
          </w:p>
        </w:tc>
        <w:tc>
          <w:tcPr>
            <w:tcW w:w="1111" w:type="dxa"/>
            <w:tcBorders>
              <w:top w:val="nil"/>
              <w:left w:val="single" w:sz="4" w:space="0" w:color="auto"/>
              <w:bottom w:val="single" w:sz="4" w:space="0" w:color="auto"/>
              <w:right w:val="single" w:sz="4" w:space="0" w:color="auto"/>
            </w:tcBorders>
            <w:shd w:val="clear" w:color="auto" w:fill="auto"/>
          </w:tcPr>
          <w:p w:rsidR="00D06A2F" w:rsidRPr="00E8065F" w:rsidRDefault="00D06A2F" w:rsidP="00D5127A">
            <w:pPr>
              <w:spacing w:line="235" w:lineRule="auto"/>
              <w:jc w:val="center"/>
              <w:rPr>
                <w:color w:val="000000"/>
                <w:sz w:val="20"/>
                <w:szCs w:val="20"/>
              </w:rPr>
            </w:pPr>
            <w:r w:rsidRPr="00E8065F">
              <w:rPr>
                <w:color w:val="000000"/>
                <w:sz w:val="20"/>
                <w:szCs w:val="20"/>
              </w:rPr>
              <w:t>2</w:t>
            </w:r>
          </w:p>
        </w:tc>
        <w:tc>
          <w:tcPr>
            <w:tcW w:w="1944" w:type="dxa"/>
            <w:tcBorders>
              <w:top w:val="nil"/>
              <w:left w:val="single" w:sz="4" w:space="0" w:color="auto"/>
              <w:bottom w:val="single" w:sz="4" w:space="0" w:color="auto"/>
              <w:right w:val="single" w:sz="4" w:space="0" w:color="auto"/>
            </w:tcBorders>
            <w:shd w:val="clear" w:color="auto" w:fill="auto"/>
          </w:tcPr>
          <w:p w:rsidR="00D06A2F" w:rsidRPr="00E8065F" w:rsidRDefault="00D06A2F" w:rsidP="00D5127A">
            <w:pPr>
              <w:spacing w:line="235" w:lineRule="auto"/>
              <w:jc w:val="center"/>
              <w:rPr>
                <w:color w:val="000000"/>
                <w:sz w:val="20"/>
                <w:szCs w:val="20"/>
              </w:rPr>
            </w:pPr>
            <w:r w:rsidRPr="00E8065F">
              <w:rPr>
                <w:color w:val="000000"/>
                <w:sz w:val="20"/>
                <w:szCs w:val="20"/>
              </w:rPr>
              <w:t>Амбулаторное</w:t>
            </w:r>
          </w:p>
        </w:tc>
      </w:tr>
      <w:tr w:rsidR="00D06A2F" w:rsidRPr="00E8065F" w:rsidTr="00CD3A6F">
        <w:trPr>
          <w:trHeight w:val="20"/>
        </w:trPr>
        <w:tc>
          <w:tcPr>
            <w:tcW w:w="1555" w:type="dxa"/>
            <w:vMerge/>
            <w:tcBorders>
              <w:left w:val="single" w:sz="4" w:space="0" w:color="auto"/>
              <w:right w:val="single" w:sz="4" w:space="0" w:color="auto"/>
            </w:tcBorders>
          </w:tcPr>
          <w:p w:rsidR="00D06A2F" w:rsidRPr="00E8065F" w:rsidRDefault="00D06A2F" w:rsidP="00D5127A">
            <w:pPr>
              <w:spacing w:line="235" w:lineRule="auto"/>
              <w:rPr>
                <w:sz w:val="20"/>
                <w:szCs w:val="20"/>
              </w:rPr>
            </w:pPr>
          </w:p>
        </w:tc>
        <w:tc>
          <w:tcPr>
            <w:tcW w:w="3685" w:type="dxa"/>
            <w:tcBorders>
              <w:top w:val="nil"/>
              <w:left w:val="single" w:sz="4" w:space="0" w:color="auto"/>
              <w:bottom w:val="single" w:sz="4" w:space="0" w:color="auto"/>
              <w:right w:val="nil"/>
            </w:tcBorders>
            <w:shd w:val="clear" w:color="auto" w:fill="auto"/>
          </w:tcPr>
          <w:p w:rsidR="00D06A2F" w:rsidRPr="00E8065F" w:rsidRDefault="00D06A2F" w:rsidP="00D5127A">
            <w:pPr>
              <w:spacing w:line="235" w:lineRule="auto"/>
              <w:jc w:val="both"/>
              <w:rPr>
                <w:color w:val="000000"/>
                <w:sz w:val="20"/>
                <w:szCs w:val="20"/>
              </w:rPr>
            </w:pPr>
            <w:r w:rsidRPr="00E8065F">
              <w:rPr>
                <w:color w:val="000000"/>
                <w:sz w:val="20"/>
                <w:szCs w:val="20"/>
              </w:rPr>
              <w:t xml:space="preserve">ГАУЗ </w:t>
            </w:r>
            <w:r>
              <w:rPr>
                <w:color w:val="000000"/>
                <w:sz w:val="20"/>
                <w:szCs w:val="20"/>
              </w:rPr>
              <w:t>«</w:t>
            </w:r>
            <w:r w:rsidRPr="00E8065F">
              <w:rPr>
                <w:color w:val="000000"/>
                <w:sz w:val="20"/>
                <w:szCs w:val="20"/>
              </w:rPr>
              <w:t>Дрожжановская ЦРБ</w:t>
            </w:r>
            <w:r>
              <w:rPr>
                <w:color w:val="000000"/>
                <w:sz w:val="20"/>
                <w:szCs w:val="20"/>
              </w:rPr>
              <w:t>»</w:t>
            </w:r>
          </w:p>
        </w:tc>
        <w:tc>
          <w:tcPr>
            <w:tcW w:w="1994" w:type="dxa"/>
            <w:tcBorders>
              <w:top w:val="nil"/>
              <w:left w:val="single" w:sz="4" w:space="0" w:color="auto"/>
              <w:bottom w:val="single" w:sz="4" w:space="0" w:color="auto"/>
              <w:right w:val="single" w:sz="4" w:space="0" w:color="auto"/>
            </w:tcBorders>
            <w:shd w:val="clear" w:color="auto" w:fill="auto"/>
          </w:tcPr>
          <w:p w:rsidR="00D06A2F" w:rsidRPr="00E8065F" w:rsidRDefault="00D06A2F" w:rsidP="00D5127A">
            <w:pPr>
              <w:spacing w:line="235" w:lineRule="auto"/>
              <w:jc w:val="center"/>
              <w:rPr>
                <w:color w:val="000000"/>
                <w:sz w:val="20"/>
                <w:szCs w:val="20"/>
              </w:rPr>
            </w:pPr>
            <w:r w:rsidRPr="00E8065F">
              <w:rPr>
                <w:color w:val="000000"/>
                <w:sz w:val="20"/>
                <w:szCs w:val="20"/>
              </w:rPr>
              <w:t>Колоноскоп</w:t>
            </w:r>
          </w:p>
        </w:tc>
        <w:tc>
          <w:tcPr>
            <w:tcW w:w="1181" w:type="dxa"/>
            <w:tcBorders>
              <w:top w:val="nil"/>
              <w:left w:val="single" w:sz="4" w:space="0" w:color="auto"/>
              <w:bottom w:val="single" w:sz="4" w:space="0" w:color="auto"/>
              <w:right w:val="single" w:sz="4" w:space="0" w:color="auto"/>
            </w:tcBorders>
            <w:shd w:val="clear" w:color="auto" w:fill="auto"/>
          </w:tcPr>
          <w:p w:rsidR="00D06A2F" w:rsidRPr="005D7240" w:rsidRDefault="00D06A2F" w:rsidP="00D5127A">
            <w:pPr>
              <w:spacing w:line="235" w:lineRule="auto"/>
              <w:jc w:val="center"/>
              <w:rPr>
                <w:color w:val="000000"/>
                <w:sz w:val="20"/>
                <w:szCs w:val="20"/>
                <w:lang w:val="en-US"/>
              </w:rPr>
            </w:pPr>
            <w:r w:rsidRPr="00E8065F">
              <w:rPr>
                <w:color w:val="000000"/>
                <w:sz w:val="20"/>
                <w:szCs w:val="20"/>
              </w:rPr>
              <w:t>2016</w:t>
            </w:r>
            <w:r w:rsidR="003D79B3">
              <w:rPr>
                <w:color w:val="000000"/>
                <w:sz w:val="20"/>
                <w:szCs w:val="20"/>
              </w:rPr>
              <w:t xml:space="preserve"> </w:t>
            </w:r>
            <w:r w:rsidR="005D7240">
              <w:rPr>
                <w:color w:val="000000"/>
                <w:sz w:val="20"/>
                <w:szCs w:val="20"/>
                <w:lang w:val="en-US"/>
              </w:rPr>
              <w:t>(1)</w:t>
            </w:r>
          </w:p>
          <w:p w:rsidR="00D06A2F" w:rsidRPr="005D7240" w:rsidRDefault="00D06A2F" w:rsidP="00D5127A">
            <w:pPr>
              <w:spacing w:line="235" w:lineRule="auto"/>
              <w:jc w:val="center"/>
              <w:rPr>
                <w:color w:val="000000"/>
                <w:sz w:val="20"/>
                <w:szCs w:val="20"/>
                <w:lang w:val="en-US"/>
              </w:rPr>
            </w:pPr>
            <w:r w:rsidRPr="00E8065F">
              <w:rPr>
                <w:color w:val="000000"/>
                <w:sz w:val="20"/>
                <w:szCs w:val="20"/>
              </w:rPr>
              <w:t>2023</w:t>
            </w:r>
            <w:r w:rsidR="003D79B3">
              <w:rPr>
                <w:color w:val="000000"/>
                <w:sz w:val="20"/>
                <w:szCs w:val="20"/>
              </w:rPr>
              <w:t xml:space="preserve"> </w:t>
            </w:r>
            <w:r w:rsidR="005D7240">
              <w:rPr>
                <w:color w:val="000000"/>
                <w:sz w:val="20"/>
                <w:szCs w:val="20"/>
                <w:lang w:val="en-US"/>
              </w:rPr>
              <w:t>(1)</w:t>
            </w:r>
          </w:p>
        </w:tc>
        <w:tc>
          <w:tcPr>
            <w:tcW w:w="1181" w:type="dxa"/>
            <w:shd w:val="clear" w:color="auto" w:fill="auto"/>
          </w:tcPr>
          <w:p w:rsidR="00D06A2F" w:rsidRPr="00E8065F" w:rsidRDefault="00D06A2F" w:rsidP="00D5127A">
            <w:pPr>
              <w:spacing w:line="235" w:lineRule="auto"/>
              <w:jc w:val="center"/>
              <w:rPr>
                <w:color w:val="000000"/>
                <w:sz w:val="20"/>
                <w:szCs w:val="20"/>
              </w:rPr>
            </w:pPr>
            <w:r w:rsidRPr="00E8065F">
              <w:rPr>
                <w:color w:val="000000"/>
                <w:sz w:val="20"/>
                <w:szCs w:val="20"/>
              </w:rPr>
              <w:t>2</w:t>
            </w:r>
          </w:p>
        </w:tc>
        <w:tc>
          <w:tcPr>
            <w:tcW w:w="1478" w:type="dxa"/>
            <w:tcBorders>
              <w:top w:val="nil"/>
              <w:left w:val="single" w:sz="4" w:space="0" w:color="auto"/>
              <w:bottom w:val="single" w:sz="4" w:space="0" w:color="auto"/>
              <w:right w:val="single" w:sz="4" w:space="0" w:color="auto"/>
            </w:tcBorders>
            <w:shd w:val="clear" w:color="auto" w:fill="auto"/>
          </w:tcPr>
          <w:p w:rsidR="00D06A2F" w:rsidRPr="00E8065F" w:rsidRDefault="00D06A2F" w:rsidP="00D5127A">
            <w:pPr>
              <w:spacing w:line="235" w:lineRule="auto"/>
              <w:jc w:val="center"/>
              <w:rPr>
                <w:color w:val="000000"/>
                <w:sz w:val="20"/>
                <w:szCs w:val="20"/>
              </w:rPr>
            </w:pPr>
            <w:r w:rsidRPr="00E8065F">
              <w:rPr>
                <w:color w:val="000000"/>
                <w:sz w:val="20"/>
                <w:szCs w:val="20"/>
              </w:rPr>
              <w:t>0,1</w:t>
            </w:r>
          </w:p>
        </w:tc>
        <w:tc>
          <w:tcPr>
            <w:tcW w:w="1111" w:type="dxa"/>
            <w:tcBorders>
              <w:top w:val="nil"/>
              <w:left w:val="single" w:sz="4" w:space="0" w:color="auto"/>
              <w:bottom w:val="single" w:sz="4" w:space="0" w:color="auto"/>
              <w:right w:val="single" w:sz="4" w:space="0" w:color="auto"/>
            </w:tcBorders>
            <w:shd w:val="clear" w:color="auto" w:fill="auto"/>
          </w:tcPr>
          <w:p w:rsidR="00D06A2F" w:rsidRPr="00E8065F" w:rsidRDefault="00D06A2F" w:rsidP="00D5127A">
            <w:pPr>
              <w:spacing w:line="235" w:lineRule="auto"/>
              <w:jc w:val="center"/>
              <w:rPr>
                <w:color w:val="000000"/>
                <w:sz w:val="20"/>
                <w:szCs w:val="20"/>
              </w:rPr>
            </w:pPr>
            <w:r w:rsidRPr="00E8065F">
              <w:rPr>
                <w:color w:val="000000"/>
                <w:sz w:val="20"/>
                <w:szCs w:val="20"/>
              </w:rPr>
              <w:t>1</w:t>
            </w:r>
          </w:p>
        </w:tc>
        <w:tc>
          <w:tcPr>
            <w:tcW w:w="1944" w:type="dxa"/>
            <w:tcBorders>
              <w:top w:val="nil"/>
              <w:left w:val="single" w:sz="4" w:space="0" w:color="auto"/>
              <w:bottom w:val="single" w:sz="4" w:space="0" w:color="auto"/>
              <w:right w:val="single" w:sz="4" w:space="0" w:color="auto"/>
            </w:tcBorders>
            <w:shd w:val="clear" w:color="auto" w:fill="auto"/>
          </w:tcPr>
          <w:p w:rsidR="00D06A2F" w:rsidRPr="00E8065F" w:rsidRDefault="00D06A2F" w:rsidP="00D5127A">
            <w:pPr>
              <w:spacing w:line="235" w:lineRule="auto"/>
              <w:jc w:val="center"/>
              <w:rPr>
                <w:color w:val="000000"/>
                <w:sz w:val="20"/>
                <w:szCs w:val="20"/>
              </w:rPr>
            </w:pPr>
            <w:r w:rsidRPr="00E8065F">
              <w:rPr>
                <w:color w:val="000000"/>
                <w:sz w:val="20"/>
                <w:szCs w:val="20"/>
              </w:rPr>
              <w:t>Амбулаторное</w:t>
            </w:r>
          </w:p>
        </w:tc>
      </w:tr>
      <w:tr w:rsidR="00D06A2F" w:rsidRPr="00E8065F" w:rsidTr="00CD3A6F">
        <w:trPr>
          <w:trHeight w:val="20"/>
        </w:trPr>
        <w:tc>
          <w:tcPr>
            <w:tcW w:w="1555" w:type="dxa"/>
            <w:vMerge/>
            <w:tcBorders>
              <w:left w:val="single" w:sz="4" w:space="0" w:color="auto"/>
              <w:right w:val="single" w:sz="4" w:space="0" w:color="auto"/>
            </w:tcBorders>
          </w:tcPr>
          <w:p w:rsidR="00D06A2F" w:rsidRPr="00E8065F" w:rsidRDefault="00D06A2F" w:rsidP="00D5127A">
            <w:pPr>
              <w:spacing w:line="235" w:lineRule="auto"/>
              <w:rPr>
                <w:sz w:val="20"/>
                <w:szCs w:val="20"/>
              </w:rPr>
            </w:pPr>
          </w:p>
        </w:tc>
        <w:tc>
          <w:tcPr>
            <w:tcW w:w="3685" w:type="dxa"/>
            <w:tcBorders>
              <w:top w:val="nil"/>
              <w:left w:val="single" w:sz="4" w:space="0" w:color="auto"/>
              <w:bottom w:val="single" w:sz="4" w:space="0" w:color="auto"/>
              <w:right w:val="nil"/>
            </w:tcBorders>
            <w:shd w:val="clear" w:color="auto" w:fill="auto"/>
          </w:tcPr>
          <w:p w:rsidR="00D06A2F" w:rsidRPr="00E8065F" w:rsidRDefault="00D06A2F" w:rsidP="00D5127A">
            <w:pPr>
              <w:spacing w:line="235" w:lineRule="auto"/>
              <w:jc w:val="both"/>
              <w:rPr>
                <w:color w:val="000000"/>
                <w:sz w:val="20"/>
                <w:szCs w:val="20"/>
              </w:rPr>
            </w:pPr>
            <w:r w:rsidRPr="00E8065F">
              <w:rPr>
                <w:color w:val="000000"/>
                <w:sz w:val="20"/>
                <w:szCs w:val="20"/>
              </w:rPr>
              <w:t xml:space="preserve">ГАУЗ </w:t>
            </w:r>
            <w:r>
              <w:rPr>
                <w:color w:val="000000"/>
                <w:sz w:val="20"/>
                <w:szCs w:val="20"/>
              </w:rPr>
              <w:t>«</w:t>
            </w:r>
            <w:r w:rsidRPr="00E8065F">
              <w:rPr>
                <w:color w:val="000000"/>
                <w:sz w:val="20"/>
                <w:szCs w:val="20"/>
              </w:rPr>
              <w:t>Елабужская ЦРБ</w:t>
            </w:r>
            <w:r>
              <w:rPr>
                <w:color w:val="000000"/>
                <w:sz w:val="20"/>
                <w:szCs w:val="20"/>
              </w:rPr>
              <w:t>»</w:t>
            </w:r>
          </w:p>
        </w:tc>
        <w:tc>
          <w:tcPr>
            <w:tcW w:w="1994" w:type="dxa"/>
            <w:tcBorders>
              <w:top w:val="nil"/>
              <w:left w:val="single" w:sz="4" w:space="0" w:color="auto"/>
              <w:bottom w:val="single" w:sz="4" w:space="0" w:color="auto"/>
              <w:right w:val="single" w:sz="4" w:space="0" w:color="auto"/>
            </w:tcBorders>
            <w:shd w:val="clear" w:color="auto" w:fill="auto"/>
          </w:tcPr>
          <w:p w:rsidR="00D06A2F" w:rsidRPr="00E8065F" w:rsidRDefault="00D06A2F" w:rsidP="00D5127A">
            <w:pPr>
              <w:spacing w:line="235" w:lineRule="auto"/>
              <w:jc w:val="center"/>
              <w:rPr>
                <w:color w:val="000000"/>
                <w:sz w:val="20"/>
                <w:szCs w:val="20"/>
              </w:rPr>
            </w:pPr>
            <w:r w:rsidRPr="00E8065F">
              <w:rPr>
                <w:color w:val="000000"/>
                <w:sz w:val="20"/>
                <w:szCs w:val="20"/>
              </w:rPr>
              <w:t>Колоноскоп</w:t>
            </w:r>
          </w:p>
        </w:tc>
        <w:tc>
          <w:tcPr>
            <w:tcW w:w="1181" w:type="dxa"/>
            <w:tcBorders>
              <w:top w:val="nil"/>
              <w:left w:val="single" w:sz="4" w:space="0" w:color="auto"/>
              <w:bottom w:val="single" w:sz="4" w:space="0" w:color="auto"/>
              <w:right w:val="single" w:sz="4" w:space="0" w:color="auto"/>
            </w:tcBorders>
            <w:shd w:val="clear" w:color="auto" w:fill="auto"/>
          </w:tcPr>
          <w:p w:rsidR="00D06A2F" w:rsidRPr="005D7240" w:rsidRDefault="00D06A2F" w:rsidP="00D5127A">
            <w:pPr>
              <w:spacing w:line="235" w:lineRule="auto"/>
              <w:jc w:val="center"/>
              <w:rPr>
                <w:color w:val="000000"/>
                <w:sz w:val="20"/>
                <w:szCs w:val="20"/>
                <w:lang w:val="en-US"/>
              </w:rPr>
            </w:pPr>
            <w:r w:rsidRPr="00E8065F">
              <w:rPr>
                <w:color w:val="000000"/>
                <w:sz w:val="20"/>
                <w:szCs w:val="20"/>
              </w:rPr>
              <w:t>2007</w:t>
            </w:r>
            <w:r w:rsidR="003D79B3">
              <w:rPr>
                <w:color w:val="000000"/>
                <w:sz w:val="20"/>
                <w:szCs w:val="20"/>
              </w:rPr>
              <w:t xml:space="preserve"> </w:t>
            </w:r>
            <w:r w:rsidR="005D7240">
              <w:rPr>
                <w:color w:val="000000"/>
                <w:sz w:val="20"/>
                <w:szCs w:val="20"/>
                <w:lang w:val="en-US"/>
              </w:rPr>
              <w:t>(2)</w:t>
            </w:r>
          </w:p>
          <w:p w:rsidR="00D06A2F" w:rsidRPr="005D7240" w:rsidRDefault="00D06A2F" w:rsidP="00D5127A">
            <w:pPr>
              <w:spacing w:line="235" w:lineRule="auto"/>
              <w:jc w:val="center"/>
              <w:rPr>
                <w:color w:val="000000"/>
                <w:sz w:val="20"/>
                <w:szCs w:val="20"/>
                <w:lang w:val="en-US"/>
              </w:rPr>
            </w:pPr>
            <w:r w:rsidRPr="00E8065F">
              <w:rPr>
                <w:color w:val="000000"/>
                <w:sz w:val="20"/>
                <w:szCs w:val="20"/>
              </w:rPr>
              <w:t>2023</w:t>
            </w:r>
            <w:r w:rsidR="003D79B3">
              <w:rPr>
                <w:color w:val="000000"/>
                <w:sz w:val="20"/>
                <w:szCs w:val="20"/>
              </w:rPr>
              <w:t xml:space="preserve"> </w:t>
            </w:r>
            <w:r w:rsidR="005D7240">
              <w:rPr>
                <w:color w:val="000000"/>
                <w:sz w:val="20"/>
                <w:szCs w:val="20"/>
                <w:lang w:val="en-US"/>
              </w:rPr>
              <w:t>(1)</w:t>
            </w:r>
          </w:p>
        </w:tc>
        <w:tc>
          <w:tcPr>
            <w:tcW w:w="1181" w:type="dxa"/>
            <w:shd w:val="clear" w:color="auto" w:fill="auto"/>
          </w:tcPr>
          <w:p w:rsidR="00D06A2F" w:rsidRPr="00E8065F" w:rsidRDefault="00D06A2F" w:rsidP="00D5127A">
            <w:pPr>
              <w:spacing w:line="235" w:lineRule="auto"/>
              <w:jc w:val="center"/>
              <w:rPr>
                <w:color w:val="000000"/>
                <w:sz w:val="20"/>
                <w:szCs w:val="20"/>
              </w:rPr>
            </w:pPr>
            <w:r w:rsidRPr="00E8065F">
              <w:rPr>
                <w:color w:val="000000"/>
                <w:sz w:val="20"/>
                <w:szCs w:val="20"/>
              </w:rPr>
              <w:t>3</w:t>
            </w:r>
          </w:p>
        </w:tc>
        <w:tc>
          <w:tcPr>
            <w:tcW w:w="1478" w:type="dxa"/>
            <w:tcBorders>
              <w:top w:val="nil"/>
              <w:left w:val="single" w:sz="4" w:space="0" w:color="auto"/>
              <w:bottom w:val="single" w:sz="4" w:space="0" w:color="auto"/>
              <w:right w:val="single" w:sz="4" w:space="0" w:color="auto"/>
            </w:tcBorders>
            <w:shd w:val="clear" w:color="auto" w:fill="auto"/>
          </w:tcPr>
          <w:p w:rsidR="00D06A2F" w:rsidRPr="00E8065F" w:rsidRDefault="00D06A2F" w:rsidP="00D5127A">
            <w:pPr>
              <w:spacing w:line="235" w:lineRule="auto"/>
              <w:jc w:val="center"/>
              <w:rPr>
                <w:color w:val="000000"/>
                <w:sz w:val="20"/>
                <w:szCs w:val="20"/>
              </w:rPr>
            </w:pPr>
            <w:r w:rsidRPr="00E8065F">
              <w:rPr>
                <w:color w:val="000000"/>
                <w:sz w:val="20"/>
                <w:szCs w:val="20"/>
              </w:rPr>
              <w:t>2,6</w:t>
            </w:r>
          </w:p>
        </w:tc>
        <w:tc>
          <w:tcPr>
            <w:tcW w:w="1111" w:type="dxa"/>
            <w:tcBorders>
              <w:top w:val="nil"/>
              <w:left w:val="single" w:sz="4" w:space="0" w:color="auto"/>
              <w:bottom w:val="single" w:sz="4" w:space="0" w:color="auto"/>
              <w:right w:val="single" w:sz="4" w:space="0" w:color="auto"/>
            </w:tcBorders>
            <w:shd w:val="clear" w:color="auto" w:fill="auto"/>
          </w:tcPr>
          <w:p w:rsidR="00D06A2F" w:rsidRPr="00E8065F" w:rsidRDefault="00D06A2F" w:rsidP="00D5127A">
            <w:pPr>
              <w:spacing w:line="235" w:lineRule="auto"/>
              <w:jc w:val="center"/>
              <w:rPr>
                <w:color w:val="000000"/>
                <w:sz w:val="20"/>
                <w:szCs w:val="20"/>
              </w:rPr>
            </w:pPr>
            <w:r w:rsidRPr="00E8065F">
              <w:rPr>
                <w:color w:val="000000"/>
                <w:sz w:val="20"/>
                <w:szCs w:val="20"/>
              </w:rPr>
              <w:t>1</w:t>
            </w:r>
          </w:p>
        </w:tc>
        <w:tc>
          <w:tcPr>
            <w:tcW w:w="1944" w:type="dxa"/>
            <w:tcBorders>
              <w:top w:val="nil"/>
              <w:left w:val="single" w:sz="4" w:space="0" w:color="auto"/>
              <w:bottom w:val="single" w:sz="4" w:space="0" w:color="auto"/>
              <w:right w:val="single" w:sz="4" w:space="0" w:color="auto"/>
            </w:tcBorders>
            <w:shd w:val="clear" w:color="auto" w:fill="auto"/>
          </w:tcPr>
          <w:p w:rsidR="00D06A2F" w:rsidRPr="00E8065F" w:rsidRDefault="00D06A2F" w:rsidP="00D5127A">
            <w:pPr>
              <w:spacing w:line="235" w:lineRule="auto"/>
              <w:jc w:val="center"/>
              <w:rPr>
                <w:color w:val="000000"/>
                <w:sz w:val="20"/>
                <w:szCs w:val="20"/>
              </w:rPr>
            </w:pPr>
            <w:r w:rsidRPr="00E8065F">
              <w:rPr>
                <w:color w:val="000000"/>
                <w:sz w:val="20"/>
                <w:szCs w:val="20"/>
              </w:rPr>
              <w:t>Стационарное</w:t>
            </w:r>
          </w:p>
        </w:tc>
      </w:tr>
      <w:tr w:rsidR="00D06A2F" w:rsidRPr="00E8065F" w:rsidTr="00CD3A6F">
        <w:trPr>
          <w:trHeight w:val="20"/>
        </w:trPr>
        <w:tc>
          <w:tcPr>
            <w:tcW w:w="1555" w:type="dxa"/>
            <w:vMerge/>
            <w:tcBorders>
              <w:left w:val="single" w:sz="4" w:space="0" w:color="auto"/>
              <w:right w:val="single" w:sz="4" w:space="0" w:color="auto"/>
            </w:tcBorders>
          </w:tcPr>
          <w:p w:rsidR="00D06A2F" w:rsidRPr="00E8065F" w:rsidRDefault="00D06A2F" w:rsidP="00D5127A">
            <w:pPr>
              <w:spacing w:line="235" w:lineRule="auto"/>
              <w:rPr>
                <w:sz w:val="20"/>
                <w:szCs w:val="20"/>
              </w:rPr>
            </w:pPr>
          </w:p>
        </w:tc>
        <w:tc>
          <w:tcPr>
            <w:tcW w:w="3685" w:type="dxa"/>
            <w:tcBorders>
              <w:top w:val="nil"/>
              <w:left w:val="single" w:sz="4" w:space="0" w:color="auto"/>
              <w:bottom w:val="single" w:sz="4" w:space="0" w:color="auto"/>
              <w:right w:val="nil"/>
            </w:tcBorders>
            <w:shd w:val="clear" w:color="auto" w:fill="auto"/>
          </w:tcPr>
          <w:p w:rsidR="00D06A2F" w:rsidRPr="00E8065F" w:rsidRDefault="00D06A2F" w:rsidP="00D5127A">
            <w:pPr>
              <w:spacing w:line="235" w:lineRule="auto"/>
              <w:jc w:val="both"/>
              <w:rPr>
                <w:color w:val="000000"/>
                <w:sz w:val="20"/>
                <w:szCs w:val="20"/>
              </w:rPr>
            </w:pPr>
            <w:r w:rsidRPr="00E8065F">
              <w:rPr>
                <w:color w:val="000000"/>
                <w:sz w:val="20"/>
                <w:szCs w:val="20"/>
              </w:rPr>
              <w:t xml:space="preserve">ГАУЗ </w:t>
            </w:r>
            <w:r>
              <w:rPr>
                <w:color w:val="000000"/>
                <w:sz w:val="20"/>
                <w:szCs w:val="20"/>
              </w:rPr>
              <w:t>«</w:t>
            </w:r>
            <w:r w:rsidRPr="00E8065F">
              <w:rPr>
                <w:color w:val="000000"/>
                <w:sz w:val="20"/>
                <w:szCs w:val="20"/>
              </w:rPr>
              <w:t>Заинская ЦРБ</w:t>
            </w:r>
            <w:r>
              <w:rPr>
                <w:color w:val="000000"/>
                <w:sz w:val="20"/>
                <w:szCs w:val="20"/>
              </w:rPr>
              <w:t>»</w:t>
            </w:r>
          </w:p>
        </w:tc>
        <w:tc>
          <w:tcPr>
            <w:tcW w:w="1994" w:type="dxa"/>
            <w:tcBorders>
              <w:top w:val="nil"/>
              <w:left w:val="single" w:sz="4" w:space="0" w:color="auto"/>
              <w:bottom w:val="single" w:sz="4" w:space="0" w:color="auto"/>
              <w:right w:val="single" w:sz="4" w:space="0" w:color="auto"/>
            </w:tcBorders>
            <w:shd w:val="clear" w:color="auto" w:fill="auto"/>
          </w:tcPr>
          <w:p w:rsidR="00D06A2F" w:rsidRPr="00E8065F" w:rsidRDefault="00D06A2F" w:rsidP="00D5127A">
            <w:pPr>
              <w:spacing w:line="235" w:lineRule="auto"/>
              <w:jc w:val="center"/>
              <w:rPr>
                <w:color w:val="000000"/>
                <w:sz w:val="20"/>
                <w:szCs w:val="20"/>
              </w:rPr>
            </w:pPr>
            <w:r w:rsidRPr="00E8065F">
              <w:rPr>
                <w:color w:val="000000"/>
                <w:sz w:val="20"/>
                <w:szCs w:val="20"/>
              </w:rPr>
              <w:t>Колоноскоп</w:t>
            </w:r>
          </w:p>
        </w:tc>
        <w:tc>
          <w:tcPr>
            <w:tcW w:w="1181" w:type="dxa"/>
            <w:tcBorders>
              <w:top w:val="nil"/>
              <w:left w:val="single" w:sz="4" w:space="0" w:color="auto"/>
              <w:bottom w:val="single" w:sz="4" w:space="0" w:color="auto"/>
              <w:right w:val="single" w:sz="4" w:space="0" w:color="auto"/>
            </w:tcBorders>
            <w:shd w:val="clear" w:color="auto" w:fill="auto"/>
          </w:tcPr>
          <w:p w:rsidR="00D06A2F" w:rsidRPr="005D7240" w:rsidRDefault="00D06A2F" w:rsidP="00D5127A">
            <w:pPr>
              <w:spacing w:line="235" w:lineRule="auto"/>
              <w:jc w:val="center"/>
              <w:rPr>
                <w:color w:val="000000"/>
                <w:sz w:val="20"/>
                <w:szCs w:val="20"/>
                <w:lang w:val="en-US"/>
              </w:rPr>
            </w:pPr>
            <w:r w:rsidRPr="00E8065F">
              <w:rPr>
                <w:color w:val="000000"/>
                <w:sz w:val="20"/>
                <w:szCs w:val="20"/>
              </w:rPr>
              <w:t>2019</w:t>
            </w:r>
            <w:r w:rsidR="003D79B3">
              <w:rPr>
                <w:color w:val="000000"/>
                <w:sz w:val="20"/>
                <w:szCs w:val="20"/>
              </w:rPr>
              <w:t xml:space="preserve"> </w:t>
            </w:r>
            <w:r w:rsidR="005D7240">
              <w:rPr>
                <w:color w:val="000000"/>
                <w:sz w:val="20"/>
                <w:szCs w:val="20"/>
                <w:lang w:val="en-US"/>
              </w:rPr>
              <w:t>(1)</w:t>
            </w:r>
          </w:p>
        </w:tc>
        <w:tc>
          <w:tcPr>
            <w:tcW w:w="1181" w:type="dxa"/>
            <w:shd w:val="clear" w:color="auto" w:fill="auto"/>
          </w:tcPr>
          <w:p w:rsidR="00D06A2F" w:rsidRPr="00E8065F" w:rsidRDefault="00D06A2F" w:rsidP="00D5127A">
            <w:pPr>
              <w:spacing w:line="235" w:lineRule="auto"/>
              <w:jc w:val="center"/>
              <w:rPr>
                <w:color w:val="000000"/>
                <w:sz w:val="20"/>
                <w:szCs w:val="20"/>
              </w:rPr>
            </w:pPr>
            <w:r w:rsidRPr="00E8065F">
              <w:rPr>
                <w:color w:val="000000"/>
                <w:sz w:val="20"/>
                <w:szCs w:val="20"/>
              </w:rPr>
              <w:t>1</w:t>
            </w:r>
          </w:p>
        </w:tc>
        <w:tc>
          <w:tcPr>
            <w:tcW w:w="1478" w:type="dxa"/>
            <w:tcBorders>
              <w:top w:val="nil"/>
              <w:left w:val="single" w:sz="4" w:space="0" w:color="auto"/>
              <w:bottom w:val="single" w:sz="4" w:space="0" w:color="auto"/>
              <w:right w:val="single" w:sz="4" w:space="0" w:color="auto"/>
            </w:tcBorders>
            <w:shd w:val="clear" w:color="auto" w:fill="auto"/>
          </w:tcPr>
          <w:p w:rsidR="00D06A2F" w:rsidRPr="00E8065F" w:rsidRDefault="00D06A2F" w:rsidP="00D5127A">
            <w:pPr>
              <w:spacing w:line="235" w:lineRule="auto"/>
              <w:jc w:val="center"/>
              <w:rPr>
                <w:color w:val="000000"/>
                <w:sz w:val="20"/>
                <w:szCs w:val="20"/>
              </w:rPr>
            </w:pPr>
            <w:r w:rsidRPr="00E8065F">
              <w:rPr>
                <w:color w:val="000000"/>
                <w:sz w:val="20"/>
                <w:szCs w:val="20"/>
              </w:rPr>
              <w:t>2,5</w:t>
            </w:r>
          </w:p>
        </w:tc>
        <w:tc>
          <w:tcPr>
            <w:tcW w:w="1111" w:type="dxa"/>
            <w:tcBorders>
              <w:top w:val="nil"/>
              <w:left w:val="single" w:sz="4" w:space="0" w:color="auto"/>
              <w:bottom w:val="single" w:sz="4" w:space="0" w:color="auto"/>
              <w:right w:val="single" w:sz="4" w:space="0" w:color="auto"/>
            </w:tcBorders>
            <w:shd w:val="clear" w:color="auto" w:fill="auto"/>
          </w:tcPr>
          <w:p w:rsidR="00D06A2F" w:rsidRPr="00E8065F" w:rsidRDefault="00D06A2F" w:rsidP="00D5127A">
            <w:pPr>
              <w:spacing w:line="235" w:lineRule="auto"/>
              <w:jc w:val="center"/>
              <w:rPr>
                <w:color w:val="000000"/>
                <w:sz w:val="20"/>
                <w:szCs w:val="20"/>
              </w:rPr>
            </w:pPr>
            <w:r w:rsidRPr="00E8065F">
              <w:rPr>
                <w:color w:val="000000"/>
                <w:sz w:val="20"/>
                <w:szCs w:val="20"/>
              </w:rPr>
              <w:t>1</w:t>
            </w:r>
          </w:p>
        </w:tc>
        <w:tc>
          <w:tcPr>
            <w:tcW w:w="1944" w:type="dxa"/>
            <w:tcBorders>
              <w:top w:val="nil"/>
              <w:left w:val="single" w:sz="4" w:space="0" w:color="auto"/>
              <w:bottom w:val="single" w:sz="4" w:space="0" w:color="auto"/>
              <w:right w:val="single" w:sz="4" w:space="0" w:color="auto"/>
            </w:tcBorders>
            <w:shd w:val="clear" w:color="auto" w:fill="auto"/>
          </w:tcPr>
          <w:p w:rsidR="00D06A2F" w:rsidRPr="00E8065F" w:rsidRDefault="00D06A2F" w:rsidP="00D5127A">
            <w:pPr>
              <w:spacing w:line="235" w:lineRule="auto"/>
              <w:jc w:val="center"/>
              <w:rPr>
                <w:color w:val="000000"/>
                <w:sz w:val="20"/>
                <w:szCs w:val="20"/>
              </w:rPr>
            </w:pPr>
            <w:r w:rsidRPr="00E8065F">
              <w:rPr>
                <w:color w:val="000000"/>
                <w:sz w:val="20"/>
                <w:szCs w:val="20"/>
              </w:rPr>
              <w:t>Амбулаторное</w:t>
            </w:r>
          </w:p>
        </w:tc>
      </w:tr>
      <w:tr w:rsidR="00D06A2F" w:rsidRPr="00E8065F" w:rsidTr="00CD3A6F">
        <w:trPr>
          <w:trHeight w:val="20"/>
        </w:trPr>
        <w:tc>
          <w:tcPr>
            <w:tcW w:w="1555" w:type="dxa"/>
            <w:vMerge/>
            <w:tcBorders>
              <w:left w:val="single" w:sz="4" w:space="0" w:color="auto"/>
              <w:right w:val="single" w:sz="4" w:space="0" w:color="auto"/>
            </w:tcBorders>
          </w:tcPr>
          <w:p w:rsidR="00D06A2F" w:rsidRPr="00E8065F" w:rsidRDefault="00D06A2F" w:rsidP="00D5127A">
            <w:pPr>
              <w:spacing w:line="235" w:lineRule="auto"/>
              <w:rPr>
                <w:sz w:val="20"/>
                <w:szCs w:val="20"/>
              </w:rPr>
            </w:pPr>
          </w:p>
        </w:tc>
        <w:tc>
          <w:tcPr>
            <w:tcW w:w="3685" w:type="dxa"/>
            <w:tcBorders>
              <w:top w:val="nil"/>
              <w:left w:val="single" w:sz="4" w:space="0" w:color="auto"/>
              <w:bottom w:val="single" w:sz="4" w:space="0" w:color="auto"/>
              <w:right w:val="nil"/>
            </w:tcBorders>
            <w:shd w:val="clear" w:color="auto" w:fill="auto"/>
          </w:tcPr>
          <w:p w:rsidR="00D06A2F" w:rsidRPr="00E8065F" w:rsidRDefault="00D06A2F" w:rsidP="00D5127A">
            <w:pPr>
              <w:spacing w:line="235" w:lineRule="auto"/>
              <w:jc w:val="both"/>
              <w:rPr>
                <w:color w:val="000000"/>
                <w:sz w:val="20"/>
                <w:szCs w:val="20"/>
              </w:rPr>
            </w:pPr>
            <w:r w:rsidRPr="00E8065F">
              <w:rPr>
                <w:color w:val="000000"/>
                <w:sz w:val="20"/>
                <w:szCs w:val="20"/>
              </w:rPr>
              <w:t xml:space="preserve">ГАУЗ </w:t>
            </w:r>
            <w:r>
              <w:rPr>
                <w:color w:val="000000"/>
                <w:sz w:val="20"/>
                <w:szCs w:val="20"/>
              </w:rPr>
              <w:t>«</w:t>
            </w:r>
            <w:r w:rsidRPr="00E8065F">
              <w:rPr>
                <w:color w:val="000000"/>
                <w:sz w:val="20"/>
                <w:szCs w:val="20"/>
              </w:rPr>
              <w:t>Зеленодольская ЦРБ</w:t>
            </w:r>
            <w:r>
              <w:rPr>
                <w:color w:val="000000"/>
                <w:sz w:val="20"/>
                <w:szCs w:val="20"/>
              </w:rPr>
              <w:t>»</w:t>
            </w:r>
          </w:p>
        </w:tc>
        <w:tc>
          <w:tcPr>
            <w:tcW w:w="1994" w:type="dxa"/>
            <w:tcBorders>
              <w:top w:val="nil"/>
              <w:left w:val="single" w:sz="4" w:space="0" w:color="auto"/>
              <w:bottom w:val="single" w:sz="4" w:space="0" w:color="auto"/>
              <w:right w:val="single" w:sz="4" w:space="0" w:color="auto"/>
            </w:tcBorders>
            <w:shd w:val="clear" w:color="auto" w:fill="auto"/>
          </w:tcPr>
          <w:p w:rsidR="00D06A2F" w:rsidRPr="00E8065F" w:rsidRDefault="00D06A2F" w:rsidP="00D5127A">
            <w:pPr>
              <w:spacing w:line="235" w:lineRule="auto"/>
              <w:jc w:val="center"/>
              <w:rPr>
                <w:color w:val="000000"/>
                <w:sz w:val="20"/>
                <w:szCs w:val="20"/>
              </w:rPr>
            </w:pPr>
            <w:r w:rsidRPr="00E8065F">
              <w:rPr>
                <w:color w:val="000000"/>
                <w:sz w:val="20"/>
                <w:szCs w:val="20"/>
              </w:rPr>
              <w:t>Колоноскоп</w:t>
            </w:r>
          </w:p>
        </w:tc>
        <w:tc>
          <w:tcPr>
            <w:tcW w:w="1181" w:type="dxa"/>
            <w:tcBorders>
              <w:top w:val="nil"/>
              <w:left w:val="single" w:sz="4" w:space="0" w:color="auto"/>
              <w:bottom w:val="single" w:sz="4" w:space="0" w:color="auto"/>
              <w:right w:val="single" w:sz="4" w:space="0" w:color="auto"/>
            </w:tcBorders>
            <w:shd w:val="clear" w:color="auto" w:fill="auto"/>
          </w:tcPr>
          <w:p w:rsidR="00D06A2F" w:rsidRPr="005D7240" w:rsidRDefault="00D06A2F" w:rsidP="00D5127A">
            <w:pPr>
              <w:spacing w:line="235" w:lineRule="auto"/>
              <w:jc w:val="center"/>
              <w:rPr>
                <w:color w:val="000000"/>
                <w:sz w:val="20"/>
                <w:szCs w:val="20"/>
                <w:lang w:val="en-US"/>
              </w:rPr>
            </w:pPr>
            <w:r w:rsidRPr="00E8065F">
              <w:rPr>
                <w:color w:val="000000"/>
                <w:sz w:val="20"/>
                <w:szCs w:val="20"/>
              </w:rPr>
              <w:t>2016</w:t>
            </w:r>
            <w:r w:rsidR="003D79B3">
              <w:rPr>
                <w:color w:val="000000"/>
                <w:sz w:val="20"/>
                <w:szCs w:val="20"/>
              </w:rPr>
              <w:t xml:space="preserve"> </w:t>
            </w:r>
            <w:r w:rsidR="005D7240">
              <w:rPr>
                <w:color w:val="000000"/>
                <w:sz w:val="20"/>
                <w:szCs w:val="20"/>
                <w:lang w:val="en-US"/>
              </w:rPr>
              <w:t>(2)</w:t>
            </w:r>
          </w:p>
          <w:p w:rsidR="00D06A2F" w:rsidRPr="005D7240" w:rsidRDefault="00D06A2F" w:rsidP="00D5127A">
            <w:pPr>
              <w:spacing w:line="235" w:lineRule="auto"/>
              <w:jc w:val="center"/>
              <w:rPr>
                <w:color w:val="000000"/>
                <w:sz w:val="20"/>
                <w:szCs w:val="20"/>
                <w:lang w:val="en-US"/>
              </w:rPr>
            </w:pPr>
            <w:r w:rsidRPr="00E8065F">
              <w:rPr>
                <w:color w:val="000000"/>
                <w:sz w:val="20"/>
                <w:szCs w:val="20"/>
              </w:rPr>
              <w:t>2017</w:t>
            </w:r>
            <w:r w:rsidR="003D79B3">
              <w:rPr>
                <w:color w:val="000000"/>
                <w:sz w:val="20"/>
                <w:szCs w:val="20"/>
              </w:rPr>
              <w:t xml:space="preserve"> </w:t>
            </w:r>
            <w:r w:rsidR="005D7240">
              <w:rPr>
                <w:color w:val="000000"/>
                <w:sz w:val="20"/>
                <w:szCs w:val="20"/>
                <w:lang w:val="en-US"/>
              </w:rPr>
              <w:t>(1)</w:t>
            </w:r>
          </w:p>
          <w:p w:rsidR="00D06A2F" w:rsidRPr="005D7240" w:rsidRDefault="00D06A2F" w:rsidP="00D5127A">
            <w:pPr>
              <w:spacing w:line="235" w:lineRule="auto"/>
              <w:jc w:val="center"/>
              <w:rPr>
                <w:color w:val="000000"/>
                <w:sz w:val="20"/>
                <w:szCs w:val="20"/>
                <w:lang w:val="en-US"/>
              </w:rPr>
            </w:pPr>
            <w:r w:rsidRPr="00E8065F">
              <w:rPr>
                <w:color w:val="000000"/>
                <w:sz w:val="20"/>
                <w:szCs w:val="20"/>
              </w:rPr>
              <w:t>2021</w:t>
            </w:r>
            <w:r w:rsidR="003D79B3">
              <w:rPr>
                <w:color w:val="000000"/>
                <w:sz w:val="20"/>
                <w:szCs w:val="20"/>
              </w:rPr>
              <w:t xml:space="preserve"> </w:t>
            </w:r>
            <w:r w:rsidR="005D7240">
              <w:rPr>
                <w:color w:val="000000"/>
                <w:sz w:val="20"/>
                <w:szCs w:val="20"/>
                <w:lang w:val="en-US"/>
              </w:rPr>
              <w:t>(1)</w:t>
            </w:r>
          </w:p>
        </w:tc>
        <w:tc>
          <w:tcPr>
            <w:tcW w:w="1181" w:type="dxa"/>
            <w:shd w:val="clear" w:color="auto" w:fill="auto"/>
          </w:tcPr>
          <w:p w:rsidR="00D06A2F" w:rsidRPr="00E8065F" w:rsidRDefault="00D06A2F" w:rsidP="00D5127A">
            <w:pPr>
              <w:spacing w:line="235" w:lineRule="auto"/>
              <w:jc w:val="center"/>
              <w:rPr>
                <w:color w:val="000000"/>
                <w:sz w:val="20"/>
                <w:szCs w:val="20"/>
              </w:rPr>
            </w:pPr>
            <w:r w:rsidRPr="00E8065F">
              <w:rPr>
                <w:color w:val="000000"/>
                <w:sz w:val="20"/>
                <w:szCs w:val="20"/>
              </w:rPr>
              <w:t>4</w:t>
            </w:r>
          </w:p>
        </w:tc>
        <w:tc>
          <w:tcPr>
            <w:tcW w:w="1478" w:type="dxa"/>
            <w:tcBorders>
              <w:top w:val="nil"/>
              <w:left w:val="single" w:sz="4" w:space="0" w:color="auto"/>
              <w:bottom w:val="single" w:sz="4" w:space="0" w:color="auto"/>
              <w:right w:val="single" w:sz="4" w:space="0" w:color="auto"/>
            </w:tcBorders>
            <w:shd w:val="clear" w:color="auto" w:fill="auto"/>
          </w:tcPr>
          <w:p w:rsidR="00D06A2F" w:rsidRPr="00E8065F" w:rsidRDefault="00D06A2F" w:rsidP="00D5127A">
            <w:pPr>
              <w:spacing w:line="235" w:lineRule="auto"/>
              <w:jc w:val="center"/>
              <w:rPr>
                <w:color w:val="000000"/>
                <w:sz w:val="20"/>
                <w:szCs w:val="20"/>
              </w:rPr>
            </w:pPr>
            <w:r w:rsidRPr="00E8065F">
              <w:rPr>
                <w:color w:val="000000"/>
                <w:sz w:val="20"/>
                <w:szCs w:val="20"/>
              </w:rPr>
              <w:t>3,4</w:t>
            </w:r>
          </w:p>
        </w:tc>
        <w:tc>
          <w:tcPr>
            <w:tcW w:w="1111" w:type="dxa"/>
            <w:tcBorders>
              <w:top w:val="nil"/>
              <w:left w:val="single" w:sz="4" w:space="0" w:color="auto"/>
              <w:bottom w:val="single" w:sz="4" w:space="0" w:color="auto"/>
              <w:right w:val="single" w:sz="4" w:space="0" w:color="auto"/>
            </w:tcBorders>
            <w:shd w:val="clear" w:color="auto" w:fill="auto"/>
          </w:tcPr>
          <w:p w:rsidR="00D06A2F" w:rsidRPr="00E8065F" w:rsidRDefault="00D06A2F" w:rsidP="00D5127A">
            <w:pPr>
              <w:spacing w:line="235" w:lineRule="auto"/>
              <w:jc w:val="center"/>
              <w:rPr>
                <w:color w:val="000000"/>
                <w:sz w:val="20"/>
                <w:szCs w:val="20"/>
              </w:rPr>
            </w:pPr>
            <w:r w:rsidRPr="00E8065F">
              <w:rPr>
                <w:color w:val="000000"/>
                <w:sz w:val="20"/>
                <w:szCs w:val="20"/>
              </w:rPr>
              <w:t>1</w:t>
            </w:r>
          </w:p>
        </w:tc>
        <w:tc>
          <w:tcPr>
            <w:tcW w:w="1944" w:type="dxa"/>
            <w:tcBorders>
              <w:top w:val="nil"/>
              <w:left w:val="single" w:sz="4" w:space="0" w:color="auto"/>
              <w:bottom w:val="single" w:sz="4" w:space="0" w:color="auto"/>
              <w:right w:val="single" w:sz="4" w:space="0" w:color="auto"/>
            </w:tcBorders>
            <w:shd w:val="clear" w:color="auto" w:fill="auto"/>
          </w:tcPr>
          <w:p w:rsidR="00D06A2F" w:rsidRPr="00E8065F" w:rsidRDefault="00D06A2F" w:rsidP="00D5127A">
            <w:pPr>
              <w:spacing w:line="235" w:lineRule="auto"/>
              <w:jc w:val="center"/>
              <w:rPr>
                <w:color w:val="000000"/>
                <w:sz w:val="20"/>
                <w:szCs w:val="20"/>
              </w:rPr>
            </w:pPr>
            <w:r w:rsidRPr="00E8065F">
              <w:rPr>
                <w:color w:val="000000"/>
                <w:sz w:val="20"/>
                <w:szCs w:val="20"/>
              </w:rPr>
              <w:t>Амбулаторное/стационарное</w:t>
            </w:r>
          </w:p>
        </w:tc>
      </w:tr>
      <w:tr w:rsidR="00D06A2F" w:rsidRPr="00E8065F" w:rsidTr="00CD3A6F">
        <w:trPr>
          <w:trHeight w:val="20"/>
        </w:trPr>
        <w:tc>
          <w:tcPr>
            <w:tcW w:w="1555" w:type="dxa"/>
            <w:vMerge/>
            <w:tcBorders>
              <w:left w:val="single" w:sz="4" w:space="0" w:color="auto"/>
              <w:right w:val="single" w:sz="4" w:space="0" w:color="auto"/>
            </w:tcBorders>
          </w:tcPr>
          <w:p w:rsidR="00D06A2F" w:rsidRPr="00E8065F" w:rsidRDefault="00D06A2F" w:rsidP="00D5127A">
            <w:pPr>
              <w:spacing w:line="235" w:lineRule="auto"/>
              <w:rPr>
                <w:sz w:val="20"/>
                <w:szCs w:val="20"/>
              </w:rPr>
            </w:pPr>
          </w:p>
        </w:tc>
        <w:tc>
          <w:tcPr>
            <w:tcW w:w="3685" w:type="dxa"/>
            <w:tcBorders>
              <w:top w:val="nil"/>
              <w:left w:val="single" w:sz="4" w:space="0" w:color="auto"/>
              <w:bottom w:val="single" w:sz="4" w:space="0" w:color="auto"/>
              <w:right w:val="nil"/>
            </w:tcBorders>
            <w:shd w:val="clear" w:color="auto" w:fill="auto"/>
          </w:tcPr>
          <w:p w:rsidR="00D06A2F" w:rsidRPr="00E8065F" w:rsidRDefault="00D06A2F" w:rsidP="00D5127A">
            <w:pPr>
              <w:spacing w:line="235" w:lineRule="auto"/>
              <w:jc w:val="both"/>
              <w:rPr>
                <w:color w:val="000000"/>
                <w:sz w:val="20"/>
                <w:szCs w:val="20"/>
              </w:rPr>
            </w:pPr>
            <w:r w:rsidRPr="00E8065F">
              <w:rPr>
                <w:color w:val="000000"/>
                <w:sz w:val="20"/>
                <w:szCs w:val="20"/>
              </w:rPr>
              <w:t xml:space="preserve">ГАУЗ </w:t>
            </w:r>
            <w:r>
              <w:rPr>
                <w:color w:val="000000"/>
                <w:sz w:val="20"/>
                <w:szCs w:val="20"/>
              </w:rPr>
              <w:t>«</w:t>
            </w:r>
            <w:r w:rsidRPr="00E8065F">
              <w:rPr>
                <w:color w:val="000000"/>
                <w:sz w:val="20"/>
                <w:szCs w:val="20"/>
              </w:rPr>
              <w:t>Камско-Устьинская ЦРБ</w:t>
            </w:r>
            <w:r>
              <w:rPr>
                <w:color w:val="000000"/>
                <w:sz w:val="20"/>
                <w:szCs w:val="20"/>
              </w:rPr>
              <w:t>»</w:t>
            </w:r>
          </w:p>
        </w:tc>
        <w:tc>
          <w:tcPr>
            <w:tcW w:w="1994" w:type="dxa"/>
            <w:tcBorders>
              <w:top w:val="nil"/>
              <w:left w:val="single" w:sz="4" w:space="0" w:color="auto"/>
              <w:bottom w:val="single" w:sz="4" w:space="0" w:color="auto"/>
              <w:right w:val="single" w:sz="4" w:space="0" w:color="auto"/>
            </w:tcBorders>
            <w:shd w:val="clear" w:color="auto" w:fill="auto"/>
          </w:tcPr>
          <w:p w:rsidR="00D06A2F" w:rsidRPr="00E8065F" w:rsidRDefault="00D06A2F" w:rsidP="00D5127A">
            <w:pPr>
              <w:spacing w:line="235" w:lineRule="auto"/>
              <w:jc w:val="center"/>
              <w:rPr>
                <w:color w:val="000000"/>
                <w:sz w:val="20"/>
                <w:szCs w:val="20"/>
              </w:rPr>
            </w:pPr>
            <w:r w:rsidRPr="00E8065F">
              <w:rPr>
                <w:color w:val="000000"/>
                <w:sz w:val="20"/>
                <w:szCs w:val="20"/>
              </w:rPr>
              <w:t>Колоноскоп</w:t>
            </w:r>
          </w:p>
        </w:tc>
        <w:tc>
          <w:tcPr>
            <w:tcW w:w="1181" w:type="dxa"/>
            <w:tcBorders>
              <w:top w:val="nil"/>
              <w:left w:val="single" w:sz="4" w:space="0" w:color="auto"/>
              <w:bottom w:val="single" w:sz="4" w:space="0" w:color="auto"/>
              <w:right w:val="single" w:sz="4" w:space="0" w:color="auto"/>
            </w:tcBorders>
            <w:shd w:val="clear" w:color="auto" w:fill="auto"/>
          </w:tcPr>
          <w:p w:rsidR="00D06A2F" w:rsidRPr="005D7240" w:rsidRDefault="00D06A2F" w:rsidP="00D5127A">
            <w:pPr>
              <w:spacing w:line="235" w:lineRule="auto"/>
              <w:jc w:val="center"/>
              <w:rPr>
                <w:color w:val="000000"/>
                <w:sz w:val="20"/>
                <w:szCs w:val="20"/>
                <w:lang w:val="en-US"/>
              </w:rPr>
            </w:pPr>
            <w:r w:rsidRPr="00E8065F">
              <w:rPr>
                <w:color w:val="000000"/>
                <w:sz w:val="20"/>
                <w:szCs w:val="20"/>
              </w:rPr>
              <w:t>2016</w:t>
            </w:r>
            <w:r w:rsidR="003D79B3">
              <w:rPr>
                <w:color w:val="000000"/>
                <w:sz w:val="20"/>
                <w:szCs w:val="20"/>
              </w:rPr>
              <w:t xml:space="preserve"> </w:t>
            </w:r>
            <w:r w:rsidR="005D7240">
              <w:rPr>
                <w:color w:val="000000"/>
                <w:sz w:val="20"/>
                <w:szCs w:val="20"/>
                <w:lang w:val="en-US"/>
              </w:rPr>
              <w:t>(1)</w:t>
            </w:r>
          </w:p>
          <w:p w:rsidR="00D06A2F" w:rsidRPr="005D7240" w:rsidRDefault="00D06A2F" w:rsidP="00D5127A">
            <w:pPr>
              <w:spacing w:line="235" w:lineRule="auto"/>
              <w:jc w:val="center"/>
              <w:rPr>
                <w:color w:val="000000"/>
                <w:sz w:val="20"/>
                <w:szCs w:val="20"/>
                <w:lang w:val="en-US"/>
              </w:rPr>
            </w:pPr>
            <w:r w:rsidRPr="00E8065F">
              <w:rPr>
                <w:color w:val="000000"/>
                <w:sz w:val="20"/>
                <w:szCs w:val="20"/>
              </w:rPr>
              <w:t>2022</w:t>
            </w:r>
            <w:r w:rsidR="003D79B3">
              <w:rPr>
                <w:color w:val="000000"/>
                <w:sz w:val="20"/>
                <w:szCs w:val="20"/>
              </w:rPr>
              <w:t xml:space="preserve"> </w:t>
            </w:r>
            <w:r w:rsidR="005D7240">
              <w:rPr>
                <w:color w:val="000000"/>
                <w:sz w:val="20"/>
                <w:szCs w:val="20"/>
                <w:lang w:val="en-US"/>
              </w:rPr>
              <w:t>(1)</w:t>
            </w:r>
          </w:p>
        </w:tc>
        <w:tc>
          <w:tcPr>
            <w:tcW w:w="1181" w:type="dxa"/>
            <w:shd w:val="clear" w:color="auto" w:fill="auto"/>
          </w:tcPr>
          <w:p w:rsidR="00D06A2F" w:rsidRPr="00E8065F" w:rsidRDefault="00D06A2F" w:rsidP="00D5127A">
            <w:pPr>
              <w:spacing w:line="235" w:lineRule="auto"/>
              <w:jc w:val="center"/>
              <w:rPr>
                <w:color w:val="000000"/>
                <w:sz w:val="20"/>
                <w:szCs w:val="20"/>
              </w:rPr>
            </w:pPr>
            <w:r w:rsidRPr="00E8065F">
              <w:rPr>
                <w:color w:val="000000"/>
                <w:sz w:val="20"/>
                <w:szCs w:val="20"/>
              </w:rPr>
              <w:t>2</w:t>
            </w:r>
          </w:p>
        </w:tc>
        <w:tc>
          <w:tcPr>
            <w:tcW w:w="1478" w:type="dxa"/>
            <w:tcBorders>
              <w:top w:val="nil"/>
              <w:left w:val="single" w:sz="4" w:space="0" w:color="auto"/>
              <w:bottom w:val="single" w:sz="4" w:space="0" w:color="auto"/>
              <w:right w:val="single" w:sz="4" w:space="0" w:color="auto"/>
            </w:tcBorders>
            <w:shd w:val="clear" w:color="auto" w:fill="auto"/>
          </w:tcPr>
          <w:p w:rsidR="00D06A2F" w:rsidRPr="00E8065F" w:rsidRDefault="00D06A2F" w:rsidP="00D5127A">
            <w:pPr>
              <w:spacing w:line="235" w:lineRule="auto"/>
              <w:jc w:val="center"/>
              <w:rPr>
                <w:color w:val="000000"/>
                <w:sz w:val="20"/>
                <w:szCs w:val="20"/>
              </w:rPr>
            </w:pPr>
            <w:r w:rsidRPr="00E8065F">
              <w:rPr>
                <w:color w:val="000000"/>
                <w:sz w:val="20"/>
                <w:szCs w:val="20"/>
              </w:rPr>
              <w:t>1,4</w:t>
            </w:r>
          </w:p>
        </w:tc>
        <w:tc>
          <w:tcPr>
            <w:tcW w:w="1111" w:type="dxa"/>
            <w:tcBorders>
              <w:top w:val="nil"/>
              <w:left w:val="single" w:sz="4" w:space="0" w:color="auto"/>
              <w:bottom w:val="single" w:sz="4" w:space="0" w:color="auto"/>
              <w:right w:val="single" w:sz="4" w:space="0" w:color="auto"/>
            </w:tcBorders>
            <w:shd w:val="clear" w:color="auto" w:fill="auto"/>
          </w:tcPr>
          <w:p w:rsidR="00D06A2F" w:rsidRPr="00E8065F" w:rsidRDefault="00D06A2F" w:rsidP="00D5127A">
            <w:pPr>
              <w:spacing w:line="235" w:lineRule="auto"/>
              <w:jc w:val="center"/>
              <w:rPr>
                <w:color w:val="000000"/>
                <w:sz w:val="20"/>
                <w:szCs w:val="20"/>
              </w:rPr>
            </w:pPr>
            <w:r w:rsidRPr="00E8065F">
              <w:rPr>
                <w:color w:val="000000"/>
                <w:sz w:val="20"/>
                <w:szCs w:val="20"/>
              </w:rPr>
              <w:t>1</w:t>
            </w:r>
          </w:p>
        </w:tc>
        <w:tc>
          <w:tcPr>
            <w:tcW w:w="1944" w:type="dxa"/>
            <w:tcBorders>
              <w:top w:val="nil"/>
              <w:left w:val="single" w:sz="4" w:space="0" w:color="auto"/>
              <w:bottom w:val="single" w:sz="4" w:space="0" w:color="auto"/>
              <w:right w:val="single" w:sz="4" w:space="0" w:color="auto"/>
            </w:tcBorders>
            <w:shd w:val="clear" w:color="auto" w:fill="auto"/>
          </w:tcPr>
          <w:p w:rsidR="00D06A2F" w:rsidRPr="00E8065F" w:rsidRDefault="00D06A2F" w:rsidP="00D5127A">
            <w:pPr>
              <w:spacing w:line="235" w:lineRule="auto"/>
              <w:jc w:val="center"/>
              <w:rPr>
                <w:color w:val="000000"/>
                <w:sz w:val="20"/>
                <w:szCs w:val="20"/>
              </w:rPr>
            </w:pPr>
            <w:r w:rsidRPr="00E8065F">
              <w:rPr>
                <w:color w:val="000000"/>
                <w:sz w:val="20"/>
                <w:szCs w:val="20"/>
              </w:rPr>
              <w:t>Амбулаторное</w:t>
            </w:r>
          </w:p>
        </w:tc>
      </w:tr>
      <w:tr w:rsidR="00D06A2F" w:rsidRPr="00E8065F" w:rsidTr="00CD3A6F">
        <w:trPr>
          <w:trHeight w:val="20"/>
        </w:trPr>
        <w:tc>
          <w:tcPr>
            <w:tcW w:w="1555" w:type="dxa"/>
            <w:vMerge/>
            <w:tcBorders>
              <w:left w:val="single" w:sz="4" w:space="0" w:color="auto"/>
              <w:right w:val="single" w:sz="4" w:space="0" w:color="auto"/>
            </w:tcBorders>
          </w:tcPr>
          <w:p w:rsidR="00D06A2F" w:rsidRPr="00E8065F" w:rsidRDefault="00D06A2F" w:rsidP="00D5127A">
            <w:pPr>
              <w:spacing w:line="235" w:lineRule="auto"/>
              <w:rPr>
                <w:sz w:val="20"/>
                <w:szCs w:val="20"/>
              </w:rPr>
            </w:pPr>
          </w:p>
        </w:tc>
        <w:tc>
          <w:tcPr>
            <w:tcW w:w="3685" w:type="dxa"/>
            <w:tcBorders>
              <w:top w:val="nil"/>
              <w:left w:val="single" w:sz="4" w:space="0" w:color="auto"/>
              <w:bottom w:val="single" w:sz="4" w:space="0" w:color="auto"/>
              <w:right w:val="nil"/>
            </w:tcBorders>
            <w:shd w:val="clear" w:color="auto" w:fill="auto"/>
          </w:tcPr>
          <w:p w:rsidR="00D06A2F" w:rsidRPr="00E8065F" w:rsidRDefault="00D06A2F" w:rsidP="00D5127A">
            <w:pPr>
              <w:spacing w:line="235" w:lineRule="auto"/>
              <w:jc w:val="both"/>
              <w:rPr>
                <w:color w:val="000000"/>
                <w:sz w:val="20"/>
                <w:szCs w:val="20"/>
              </w:rPr>
            </w:pPr>
            <w:r w:rsidRPr="00E8065F">
              <w:rPr>
                <w:color w:val="000000"/>
                <w:sz w:val="20"/>
                <w:szCs w:val="20"/>
              </w:rPr>
              <w:t xml:space="preserve">ГАУЗ </w:t>
            </w:r>
            <w:r>
              <w:rPr>
                <w:color w:val="000000"/>
                <w:sz w:val="20"/>
                <w:szCs w:val="20"/>
              </w:rPr>
              <w:t>«</w:t>
            </w:r>
            <w:r w:rsidRPr="00E8065F">
              <w:rPr>
                <w:color w:val="000000"/>
                <w:sz w:val="20"/>
                <w:szCs w:val="20"/>
              </w:rPr>
              <w:t>Кукморская ЦРБ</w:t>
            </w:r>
            <w:r>
              <w:rPr>
                <w:color w:val="000000"/>
                <w:sz w:val="20"/>
                <w:szCs w:val="20"/>
              </w:rPr>
              <w:t>»</w:t>
            </w:r>
            <w:r w:rsidRPr="00E8065F">
              <w:rPr>
                <w:color w:val="000000"/>
                <w:sz w:val="20"/>
                <w:szCs w:val="20"/>
              </w:rPr>
              <w:t xml:space="preserve"> </w:t>
            </w:r>
          </w:p>
        </w:tc>
        <w:tc>
          <w:tcPr>
            <w:tcW w:w="1994" w:type="dxa"/>
            <w:tcBorders>
              <w:top w:val="nil"/>
              <w:left w:val="single" w:sz="4" w:space="0" w:color="auto"/>
              <w:bottom w:val="single" w:sz="4" w:space="0" w:color="auto"/>
              <w:right w:val="single" w:sz="4" w:space="0" w:color="auto"/>
            </w:tcBorders>
            <w:shd w:val="clear" w:color="auto" w:fill="auto"/>
          </w:tcPr>
          <w:p w:rsidR="00D06A2F" w:rsidRPr="00E8065F" w:rsidRDefault="00D06A2F" w:rsidP="00D5127A">
            <w:pPr>
              <w:spacing w:line="235" w:lineRule="auto"/>
              <w:jc w:val="center"/>
              <w:rPr>
                <w:color w:val="000000"/>
                <w:sz w:val="20"/>
                <w:szCs w:val="20"/>
              </w:rPr>
            </w:pPr>
            <w:r w:rsidRPr="00E8065F">
              <w:rPr>
                <w:color w:val="000000"/>
                <w:sz w:val="20"/>
                <w:szCs w:val="20"/>
              </w:rPr>
              <w:t>Колоноскоп</w:t>
            </w:r>
          </w:p>
        </w:tc>
        <w:tc>
          <w:tcPr>
            <w:tcW w:w="1181" w:type="dxa"/>
            <w:tcBorders>
              <w:top w:val="nil"/>
              <w:left w:val="single" w:sz="4" w:space="0" w:color="auto"/>
              <w:bottom w:val="single" w:sz="4" w:space="0" w:color="auto"/>
              <w:right w:val="single" w:sz="4" w:space="0" w:color="auto"/>
            </w:tcBorders>
            <w:shd w:val="clear" w:color="auto" w:fill="auto"/>
          </w:tcPr>
          <w:p w:rsidR="00D06A2F" w:rsidRPr="00E8065F" w:rsidRDefault="00D06A2F" w:rsidP="00D5127A">
            <w:pPr>
              <w:spacing w:line="235" w:lineRule="auto"/>
              <w:jc w:val="center"/>
              <w:rPr>
                <w:color w:val="000000"/>
                <w:sz w:val="20"/>
                <w:szCs w:val="20"/>
              </w:rPr>
            </w:pPr>
            <w:r w:rsidRPr="00E8065F">
              <w:rPr>
                <w:color w:val="000000"/>
                <w:sz w:val="20"/>
                <w:szCs w:val="20"/>
              </w:rPr>
              <w:t>2019</w:t>
            </w:r>
          </w:p>
        </w:tc>
        <w:tc>
          <w:tcPr>
            <w:tcW w:w="1181" w:type="dxa"/>
            <w:shd w:val="clear" w:color="auto" w:fill="auto"/>
          </w:tcPr>
          <w:p w:rsidR="00D06A2F" w:rsidRPr="00E8065F" w:rsidRDefault="00D06A2F" w:rsidP="00D5127A">
            <w:pPr>
              <w:spacing w:line="235" w:lineRule="auto"/>
              <w:jc w:val="center"/>
              <w:rPr>
                <w:color w:val="000000"/>
                <w:sz w:val="20"/>
                <w:szCs w:val="20"/>
              </w:rPr>
            </w:pPr>
            <w:r w:rsidRPr="00E8065F">
              <w:rPr>
                <w:color w:val="000000"/>
                <w:sz w:val="20"/>
                <w:szCs w:val="20"/>
              </w:rPr>
              <w:t>1</w:t>
            </w:r>
          </w:p>
        </w:tc>
        <w:tc>
          <w:tcPr>
            <w:tcW w:w="1478" w:type="dxa"/>
            <w:tcBorders>
              <w:top w:val="nil"/>
              <w:left w:val="single" w:sz="4" w:space="0" w:color="auto"/>
              <w:bottom w:val="single" w:sz="4" w:space="0" w:color="auto"/>
              <w:right w:val="single" w:sz="4" w:space="0" w:color="auto"/>
            </w:tcBorders>
            <w:shd w:val="clear" w:color="auto" w:fill="auto"/>
          </w:tcPr>
          <w:p w:rsidR="00D06A2F" w:rsidRPr="00E8065F" w:rsidRDefault="00D06A2F" w:rsidP="00D5127A">
            <w:pPr>
              <w:spacing w:line="235" w:lineRule="auto"/>
              <w:jc w:val="center"/>
              <w:rPr>
                <w:color w:val="000000"/>
                <w:sz w:val="20"/>
                <w:szCs w:val="20"/>
              </w:rPr>
            </w:pPr>
            <w:r w:rsidRPr="00E8065F">
              <w:rPr>
                <w:color w:val="000000"/>
                <w:sz w:val="20"/>
                <w:szCs w:val="20"/>
              </w:rPr>
              <w:t>0,6</w:t>
            </w:r>
          </w:p>
        </w:tc>
        <w:tc>
          <w:tcPr>
            <w:tcW w:w="1111" w:type="dxa"/>
            <w:tcBorders>
              <w:top w:val="nil"/>
              <w:left w:val="single" w:sz="4" w:space="0" w:color="auto"/>
              <w:bottom w:val="single" w:sz="4" w:space="0" w:color="auto"/>
              <w:right w:val="single" w:sz="4" w:space="0" w:color="auto"/>
            </w:tcBorders>
            <w:shd w:val="clear" w:color="auto" w:fill="auto"/>
          </w:tcPr>
          <w:p w:rsidR="00D06A2F" w:rsidRPr="00E8065F" w:rsidRDefault="00D06A2F" w:rsidP="00D5127A">
            <w:pPr>
              <w:spacing w:line="235" w:lineRule="auto"/>
              <w:jc w:val="center"/>
              <w:rPr>
                <w:color w:val="000000"/>
                <w:sz w:val="20"/>
                <w:szCs w:val="20"/>
              </w:rPr>
            </w:pPr>
            <w:r w:rsidRPr="00E8065F">
              <w:rPr>
                <w:color w:val="000000"/>
                <w:sz w:val="20"/>
                <w:szCs w:val="20"/>
              </w:rPr>
              <w:t>1</w:t>
            </w:r>
          </w:p>
        </w:tc>
        <w:tc>
          <w:tcPr>
            <w:tcW w:w="1944" w:type="dxa"/>
            <w:tcBorders>
              <w:top w:val="nil"/>
              <w:left w:val="single" w:sz="4" w:space="0" w:color="auto"/>
              <w:bottom w:val="single" w:sz="4" w:space="0" w:color="auto"/>
              <w:right w:val="single" w:sz="4" w:space="0" w:color="auto"/>
            </w:tcBorders>
            <w:shd w:val="clear" w:color="auto" w:fill="auto"/>
          </w:tcPr>
          <w:p w:rsidR="00D06A2F" w:rsidRPr="00E8065F" w:rsidRDefault="00D06A2F" w:rsidP="00D5127A">
            <w:pPr>
              <w:spacing w:line="235" w:lineRule="auto"/>
              <w:jc w:val="center"/>
              <w:rPr>
                <w:color w:val="000000"/>
                <w:sz w:val="20"/>
                <w:szCs w:val="20"/>
              </w:rPr>
            </w:pPr>
            <w:r w:rsidRPr="00E8065F">
              <w:rPr>
                <w:color w:val="000000"/>
                <w:sz w:val="20"/>
                <w:szCs w:val="20"/>
              </w:rPr>
              <w:t>Амбулаторное</w:t>
            </w:r>
          </w:p>
        </w:tc>
      </w:tr>
      <w:tr w:rsidR="00D06A2F" w:rsidRPr="00E8065F" w:rsidTr="00CD3A6F">
        <w:trPr>
          <w:trHeight w:val="20"/>
        </w:trPr>
        <w:tc>
          <w:tcPr>
            <w:tcW w:w="1555" w:type="dxa"/>
            <w:vMerge/>
            <w:tcBorders>
              <w:left w:val="single" w:sz="4" w:space="0" w:color="auto"/>
              <w:right w:val="single" w:sz="4" w:space="0" w:color="auto"/>
            </w:tcBorders>
          </w:tcPr>
          <w:p w:rsidR="00D06A2F" w:rsidRPr="00E8065F" w:rsidRDefault="00D06A2F" w:rsidP="00D5127A">
            <w:pPr>
              <w:spacing w:line="235" w:lineRule="auto"/>
              <w:rPr>
                <w:sz w:val="20"/>
                <w:szCs w:val="20"/>
              </w:rPr>
            </w:pPr>
          </w:p>
        </w:tc>
        <w:tc>
          <w:tcPr>
            <w:tcW w:w="3685" w:type="dxa"/>
            <w:tcBorders>
              <w:top w:val="nil"/>
              <w:left w:val="single" w:sz="4" w:space="0" w:color="auto"/>
              <w:bottom w:val="single" w:sz="4" w:space="0" w:color="auto"/>
              <w:right w:val="nil"/>
            </w:tcBorders>
            <w:shd w:val="clear" w:color="auto" w:fill="auto"/>
          </w:tcPr>
          <w:p w:rsidR="00D06A2F" w:rsidRPr="00E8065F" w:rsidRDefault="00D06A2F" w:rsidP="00D5127A">
            <w:pPr>
              <w:spacing w:line="235" w:lineRule="auto"/>
              <w:jc w:val="both"/>
              <w:rPr>
                <w:color w:val="000000"/>
                <w:sz w:val="20"/>
                <w:szCs w:val="20"/>
              </w:rPr>
            </w:pPr>
            <w:r w:rsidRPr="00E8065F">
              <w:rPr>
                <w:color w:val="000000"/>
                <w:sz w:val="20"/>
                <w:szCs w:val="20"/>
              </w:rPr>
              <w:t xml:space="preserve">ГАУЗ </w:t>
            </w:r>
            <w:r>
              <w:rPr>
                <w:color w:val="000000"/>
                <w:sz w:val="20"/>
                <w:szCs w:val="20"/>
              </w:rPr>
              <w:t>«</w:t>
            </w:r>
            <w:r w:rsidRPr="00E8065F">
              <w:rPr>
                <w:color w:val="000000"/>
                <w:sz w:val="20"/>
                <w:szCs w:val="20"/>
              </w:rPr>
              <w:t>Лаишевская ЦРБ</w:t>
            </w:r>
            <w:r>
              <w:rPr>
                <w:color w:val="000000"/>
                <w:sz w:val="20"/>
                <w:szCs w:val="20"/>
              </w:rPr>
              <w:t>»</w:t>
            </w:r>
          </w:p>
        </w:tc>
        <w:tc>
          <w:tcPr>
            <w:tcW w:w="1994" w:type="dxa"/>
            <w:tcBorders>
              <w:top w:val="nil"/>
              <w:left w:val="single" w:sz="4" w:space="0" w:color="auto"/>
              <w:bottom w:val="single" w:sz="4" w:space="0" w:color="auto"/>
              <w:right w:val="single" w:sz="4" w:space="0" w:color="auto"/>
            </w:tcBorders>
            <w:shd w:val="clear" w:color="auto" w:fill="auto"/>
          </w:tcPr>
          <w:p w:rsidR="00D06A2F" w:rsidRPr="00E8065F" w:rsidRDefault="00D06A2F" w:rsidP="00D5127A">
            <w:pPr>
              <w:spacing w:line="235" w:lineRule="auto"/>
              <w:jc w:val="center"/>
              <w:rPr>
                <w:color w:val="000000"/>
                <w:sz w:val="20"/>
                <w:szCs w:val="20"/>
              </w:rPr>
            </w:pPr>
            <w:r w:rsidRPr="00E8065F">
              <w:rPr>
                <w:color w:val="000000"/>
                <w:sz w:val="20"/>
                <w:szCs w:val="20"/>
              </w:rPr>
              <w:t>Колоноскоп</w:t>
            </w:r>
          </w:p>
        </w:tc>
        <w:tc>
          <w:tcPr>
            <w:tcW w:w="1181" w:type="dxa"/>
            <w:tcBorders>
              <w:top w:val="nil"/>
              <w:left w:val="single" w:sz="4" w:space="0" w:color="auto"/>
              <w:bottom w:val="single" w:sz="4" w:space="0" w:color="auto"/>
              <w:right w:val="single" w:sz="4" w:space="0" w:color="auto"/>
            </w:tcBorders>
            <w:shd w:val="clear" w:color="auto" w:fill="auto"/>
          </w:tcPr>
          <w:p w:rsidR="00D06A2F" w:rsidRPr="005D7240" w:rsidRDefault="00D06A2F" w:rsidP="00D5127A">
            <w:pPr>
              <w:spacing w:line="235" w:lineRule="auto"/>
              <w:jc w:val="center"/>
              <w:rPr>
                <w:color w:val="000000"/>
                <w:sz w:val="20"/>
                <w:szCs w:val="20"/>
                <w:lang w:val="en-US"/>
              </w:rPr>
            </w:pPr>
            <w:r w:rsidRPr="00E8065F">
              <w:rPr>
                <w:color w:val="000000"/>
                <w:sz w:val="20"/>
                <w:szCs w:val="20"/>
              </w:rPr>
              <w:t>2019</w:t>
            </w:r>
            <w:r w:rsidR="003D79B3">
              <w:rPr>
                <w:color w:val="000000"/>
                <w:sz w:val="20"/>
                <w:szCs w:val="20"/>
              </w:rPr>
              <w:t xml:space="preserve"> </w:t>
            </w:r>
            <w:r w:rsidR="005D7240">
              <w:rPr>
                <w:color w:val="000000"/>
                <w:sz w:val="20"/>
                <w:szCs w:val="20"/>
                <w:lang w:val="en-US"/>
              </w:rPr>
              <w:t>(1)</w:t>
            </w:r>
          </w:p>
        </w:tc>
        <w:tc>
          <w:tcPr>
            <w:tcW w:w="1181" w:type="dxa"/>
            <w:shd w:val="clear" w:color="auto" w:fill="auto"/>
          </w:tcPr>
          <w:p w:rsidR="00D06A2F" w:rsidRPr="00E8065F" w:rsidRDefault="00D06A2F" w:rsidP="00D5127A">
            <w:pPr>
              <w:spacing w:line="235" w:lineRule="auto"/>
              <w:jc w:val="center"/>
              <w:rPr>
                <w:color w:val="000000"/>
                <w:sz w:val="20"/>
                <w:szCs w:val="20"/>
              </w:rPr>
            </w:pPr>
            <w:r w:rsidRPr="00E8065F">
              <w:rPr>
                <w:color w:val="000000"/>
                <w:sz w:val="20"/>
                <w:szCs w:val="20"/>
              </w:rPr>
              <w:t>1</w:t>
            </w:r>
          </w:p>
        </w:tc>
        <w:tc>
          <w:tcPr>
            <w:tcW w:w="1478" w:type="dxa"/>
            <w:tcBorders>
              <w:top w:val="nil"/>
              <w:left w:val="single" w:sz="4" w:space="0" w:color="auto"/>
              <w:bottom w:val="single" w:sz="4" w:space="0" w:color="auto"/>
              <w:right w:val="single" w:sz="4" w:space="0" w:color="auto"/>
            </w:tcBorders>
            <w:shd w:val="clear" w:color="auto" w:fill="auto"/>
          </w:tcPr>
          <w:p w:rsidR="00D06A2F" w:rsidRPr="00E8065F" w:rsidRDefault="00D06A2F" w:rsidP="00D5127A">
            <w:pPr>
              <w:spacing w:line="235" w:lineRule="auto"/>
              <w:jc w:val="center"/>
              <w:rPr>
                <w:color w:val="000000"/>
                <w:sz w:val="20"/>
                <w:szCs w:val="20"/>
              </w:rPr>
            </w:pPr>
            <w:r w:rsidRPr="00E8065F">
              <w:rPr>
                <w:color w:val="000000"/>
                <w:sz w:val="20"/>
                <w:szCs w:val="20"/>
              </w:rPr>
              <w:t>0,3</w:t>
            </w:r>
          </w:p>
        </w:tc>
        <w:tc>
          <w:tcPr>
            <w:tcW w:w="1111" w:type="dxa"/>
            <w:tcBorders>
              <w:top w:val="nil"/>
              <w:left w:val="single" w:sz="4" w:space="0" w:color="auto"/>
              <w:bottom w:val="single" w:sz="4" w:space="0" w:color="auto"/>
              <w:right w:val="single" w:sz="4" w:space="0" w:color="auto"/>
            </w:tcBorders>
            <w:shd w:val="clear" w:color="auto" w:fill="auto"/>
          </w:tcPr>
          <w:p w:rsidR="00D06A2F" w:rsidRPr="00E8065F" w:rsidRDefault="00D06A2F" w:rsidP="00D5127A">
            <w:pPr>
              <w:spacing w:line="235" w:lineRule="auto"/>
              <w:jc w:val="center"/>
              <w:rPr>
                <w:color w:val="000000"/>
                <w:sz w:val="20"/>
                <w:szCs w:val="20"/>
              </w:rPr>
            </w:pPr>
            <w:r w:rsidRPr="00E8065F">
              <w:rPr>
                <w:color w:val="000000"/>
                <w:sz w:val="20"/>
                <w:szCs w:val="20"/>
              </w:rPr>
              <w:t>2</w:t>
            </w:r>
          </w:p>
        </w:tc>
        <w:tc>
          <w:tcPr>
            <w:tcW w:w="1944" w:type="dxa"/>
            <w:tcBorders>
              <w:top w:val="nil"/>
              <w:left w:val="single" w:sz="4" w:space="0" w:color="auto"/>
              <w:bottom w:val="single" w:sz="4" w:space="0" w:color="auto"/>
              <w:right w:val="single" w:sz="4" w:space="0" w:color="auto"/>
            </w:tcBorders>
            <w:shd w:val="clear" w:color="auto" w:fill="auto"/>
          </w:tcPr>
          <w:p w:rsidR="00D06A2F" w:rsidRPr="00E8065F" w:rsidRDefault="00D06A2F" w:rsidP="00D5127A">
            <w:pPr>
              <w:spacing w:line="235" w:lineRule="auto"/>
              <w:jc w:val="center"/>
              <w:rPr>
                <w:color w:val="000000"/>
                <w:sz w:val="20"/>
                <w:szCs w:val="20"/>
              </w:rPr>
            </w:pPr>
            <w:r w:rsidRPr="00E8065F">
              <w:rPr>
                <w:color w:val="000000"/>
                <w:sz w:val="20"/>
                <w:szCs w:val="20"/>
              </w:rPr>
              <w:t>Амбулаторное</w:t>
            </w:r>
          </w:p>
        </w:tc>
      </w:tr>
      <w:tr w:rsidR="00D06A2F" w:rsidRPr="00E8065F" w:rsidTr="00CD3A6F">
        <w:trPr>
          <w:trHeight w:val="20"/>
        </w:trPr>
        <w:tc>
          <w:tcPr>
            <w:tcW w:w="1555" w:type="dxa"/>
            <w:vMerge/>
            <w:tcBorders>
              <w:left w:val="single" w:sz="4" w:space="0" w:color="auto"/>
              <w:right w:val="single" w:sz="4" w:space="0" w:color="auto"/>
            </w:tcBorders>
          </w:tcPr>
          <w:p w:rsidR="00D06A2F" w:rsidRPr="00E8065F" w:rsidRDefault="00D06A2F" w:rsidP="00D5127A">
            <w:pPr>
              <w:spacing w:line="235" w:lineRule="auto"/>
              <w:rPr>
                <w:sz w:val="20"/>
                <w:szCs w:val="20"/>
              </w:rPr>
            </w:pPr>
          </w:p>
        </w:tc>
        <w:tc>
          <w:tcPr>
            <w:tcW w:w="3685" w:type="dxa"/>
            <w:tcBorders>
              <w:top w:val="nil"/>
              <w:left w:val="single" w:sz="4" w:space="0" w:color="auto"/>
              <w:bottom w:val="single" w:sz="4" w:space="0" w:color="auto"/>
              <w:right w:val="nil"/>
            </w:tcBorders>
            <w:shd w:val="clear" w:color="auto" w:fill="auto"/>
          </w:tcPr>
          <w:p w:rsidR="00D06A2F" w:rsidRPr="00E8065F" w:rsidRDefault="00D06A2F" w:rsidP="00D5127A">
            <w:pPr>
              <w:spacing w:line="235" w:lineRule="auto"/>
              <w:jc w:val="both"/>
              <w:rPr>
                <w:color w:val="000000"/>
                <w:sz w:val="20"/>
                <w:szCs w:val="20"/>
              </w:rPr>
            </w:pPr>
            <w:r w:rsidRPr="00E8065F">
              <w:rPr>
                <w:color w:val="000000"/>
                <w:sz w:val="20"/>
                <w:szCs w:val="20"/>
              </w:rPr>
              <w:t xml:space="preserve">ГАУЗ </w:t>
            </w:r>
            <w:r>
              <w:rPr>
                <w:color w:val="000000"/>
                <w:sz w:val="20"/>
                <w:szCs w:val="20"/>
              </w:rPr>
              <w:t>«</w:t>
            </w:r>
            <w:r w:rsidRPr="00E8065F">
              <w:rPr>
                <w:color w:val="000000"/>
                <w:sz w:val="20"/>
                <w:szCs w:val="20"/>
              </w:rPr>
              <w:t>Лениногорская ЦРБ</w:t>
            </w:r>
            <w:r>
              <w:rPr>
                <w:color w:val="000000"/>
                <w:sz w:val="20"/>
                <w:szCs w:val="20"/>
              </w:rPr>
              <w:t>»</w:t>
            </w:r>
          </w:p>
        </w:tc>
        <w:tc>
          <w:tcPr>
            <w:tcW w:w="1994" w:type="dxa"/>
            <w:tcBorders>
              <w:top w:val="nil"/>
              <w:left w:val="single" w:sz="4" w:space="0" w:color="auto"/>
              <w:bottom w:val="single" w:sz="4" w:space="0" w:color="auto"/>
              <w:right w:val="single" w:sz="4" w:space="0" w:color="auto"/>
            </w:tcBorders>
            <w:shd w:val="clear" w:color="auto" w:fill="auto"/>
          </w:tcPr>
          <w:p w:rsidR="00D06A2F" w:rsidRPr="00E8065F" w:rsidRDefault="00D06A2F" w:rsidP="00D5127A">
            <w:pPr>
              <w:spacing w:line="235" w:lineRule="auto"/>
              <w:jc w:val="center"/>
              <w:rPr>
                <w:color w:val="000000"/>
                <w:sz w:val="20"/>
                <w:szCs w:val="20"/>
              </w:rPr>
            </w:pPr>
            <w:r w:rsidRPr="00E8065F">
              <w:rPr>
                <w:color w:val="000000"/>
                <w:sz w:val="20"/>
                <w:szCs w:val="20"/>
              </w:rPr>
              <w:t>Колоноскоп</w:t>
            </w:r>
          </w:p>
        </w:tc>
        <w:tc>
          <w:tcPr>
            <w:tcW w:w="1181" w:type="dxa"/>
            <w:tcBorders>
              <w:top w:val="nil"/>
              <w:left w:val="single" w:sz="4" w:space="0" w:color="auto"/>
              <w:bottom w:val="single" w:sz="4" w:space="0" w:color="auto"/>
              <w:right w:val="single" w:sz="4" w:space="0" w:color="auto"/>
            </w:tcBorders>
            <w:shd w:val="clear" w:color="auto" w:fill="auto"/>
          </w:tcPr>
          <w:p w:rsidR="00D06A2F" w:rsidRPr="005D7240" w:rsidRDefault="00D06A2F" w:rsidP="00D5127A">
            <w:pPr>
              <w:spacing w:line="235" w:lineRule="auto"/>
              <w:jc w:val="center"/>
              <w:rPr>
                <w:color w:val="000000"/>
                <w:sz w:val="20"/>
                <w:szCs w:val="20"/>
                <w:lang w:val="en-US"/>
              </w:rPr>
            </w:pPr>
            <w:r w:rsidRPr="00E8065F">
              <w:rPr>
                <w:color w:val="000000"/>
                <w:sz w:val="20"/>
                <w:szCs w:val="20"/>
              </w:rPr>
              <w:t>2017</w:t>
            </w:r>
            <w:r w:rsidR="003D79B3">
              <w:rPr>
                <w:color w:val="000000"/>
                <w:sz w:val="20"/>
                <w:szCs w:val="20"/>
              </w:rPr>
              <w:t xml:space="preserve"> </w:t>
            </w:r>
            <w:r w:rsidR="005D7240">
              <w:rPr>
                <w:color w:val="000000"/>
                <w:sz w:val="20"/>
                <w:szCs w:val="20"/>
                <w:lang w:val="en-US"/>
              </w:rPr>
              <w:t>(1)</w:t>
            </w:r>
          </w:p>
          <w:p w:rsidR="00D06A2F" w:rsidRPr="005D7240" w:rsidRDefault="00D06A2F" w:rsidP="00D5127A">
            <w:pPr>
              <w:spacing w:line="235" w:lineRule="auto"/>
              <w:jc w:val="center"/>
              <w:rPr>
                <w:color w:val="000000"/>
                <w:sz w:val="20"/>
                <w:szCs w:val="20"/>
                <w:lang w:val="en-US"/>
              </w:rPr>
            </w:pPr>
            <w:r w:rsidRPr="00E8065F">
              <w:rPr>
                <w:color w:val="000000"/>
                <w:sz w:val="20"/>
                <w:szCs w:val="20"/>
              </w:rPr>
              <w:t>2018</w:t>
            </w:r>
            <w:r w:rsidR="003D79B3">
              <w:rPr>
                <w:color w:val="000000"/>
                <w:sz w:val="20"/>
                <w:szCs w:val="20"/>
              </w:rPr>
              <w:t xml:space="preserve"> </w:t>
            </w:r>
            <w:r w:rsidR="005D7240">
              <w:rPr>
                <w:color w:val="000000"/>
                <w:sz w:val="20"/>
                <w:szCs w:val="20"/>
                <w:lang w:val="en-US"/>
              </w:rPr>
              <w:t>(1)</w:t>
            </w:r>
          </w:p>
          <w:p w:rsidR="00D06A2F" w:rsidRPr="005D7240" w:rsidRDefault="00D06A2F" w:rsidP="00D5127A">
            <w:pPr>
              <w:spacing w:line="235" w:lineRule="auto"/>
              <w:jc w:val="center"/>
              <w:rPr>
                <w:color w:val="000000"/>
                <w:sz w:val="20"/>
                <w:szCs w:val="20"/>
                <w:lang w:val="en-US"/>
              </w:rPr>
            </w:pPr>
            <w:r w:rsidRPr="00E8065F">
              <w:rPr>
                <w:color w:val="000000"/>
                <w:sz w:val="20"/>
                <w:szCs w:val="20"/>
              </w:rPr>
              <w:t>2019</w:t>
            </w:r>
            <w:r w:rsidR="003D79B3">
              <w:rPr>
                <w:color w:val="000000"/>
                <w:sz w:val="20"/>
                <w:szCs w:val="20"/>
              </w:rPr>
              <w:t xml:space="preserve"> </w:t>
            </w:r>
            <w:r w:rsidR="005D7240">
              <w:rPr>
                <w:color w:val="000000"/>
                <w:sz w:val="20"/>
                <w:szCs w:val="20"/>
                <w:lang w:val="en-US"/>
              </w:rPr>
              <w:t>(1)</w:t>
            </w:r>
          </w:p>
        </w:tc>
        <w:tc>
          <w:tcPr>
            <w:tcW w:w="1181" w:type="dxa"/>
            <w:shd w:val="clear" w:color="auto" w:fill="auto"/>
          </w:tcPr>
          <w:p w:rsidR="00D06A2F" w:rsidRPr="00E8065F" w:rsidRDefault="00D06A2F" w:rsidP="00D5127A">
            <w:pPr>
              <w:spacing w:line="235" w:lineRule="auto"/>
              <w:jc w:val="center"/>
              <w:rPr>
                <w:color w:val="000000"/>
                <w:sz w:val="20"/>
                <w:szCs w:val="20"/>
              </w:rPr>
            </w:pPr>
            <w:r w:rsidRPr="00E8065F">
              <w:rPr>
                <w:color w:val="000000"/>
                <w:sz w:val="20"/>
                <w:szCs w:val="20"/>
              </w:rPr>
              <w:t>3</w:t>
            </w:r>
          </w:p>
        </w:tc>
        <w:tc>
          <w:tcPr>
            <w:tcW w:w="1478" w:type="dxa"/>
            <w:tcBorders>
              <w:top w:val="nil"/>
              <w:left w:val="single" w:sz="4" w:space="0" w:color="auto"/>
              <w:bottom w:val="single" w:sz="4" w:space="0" w:color="auto"/>
              <w:right w:val="single" w:sz="4" w:space="0" w:color="auto"/>
            </w:tcBorders>
            <w:shd w:val="clear" w:color="auto" w:fill="auto"/>
          </w:tcPr>
          <w:p w:rsidR="00D06A2F" w:rsidRPr="00E8065F" w:rsidRDefault="00D06A2F" w:rsidP="00D5127A">
            <w:pPr>
              <w:spacing w:line="235" w:lineRule="auto"/>
              <w:jc w:val="center"/>
              <w:rPr>
                <w:color w:val="000000"/>
                <w:sz w:val="20"/>
                <w:szCs w:val="20"/>
              </w:rPr>
            </w:pPr>
            <w:r w:rsidRPr="00E8065F">
              <w:rPr>
                <w:color w:val="000000"/>
                <w:sz w:val="20"/>
                <w:szCs w:val="20"/>
              </w:rPr>
              <w:t>4,8</w:t>
            </w:r>
          </w:p>
        </w:tc>
        <w:tc>
          <w:tcPr>
            <w:tcW w:w="1111" w:type="dxa"/>
            <w:tcBorders>
              <w:top w:val="nil"/>
              <w:left w:val="single" w:sz="4" w:space="0" w:color="auto"/>
              <w:bottom w:val="single" w:sz="4" w:space="0" w:color="auto"/>
              <w:right w:val="single" w:sz="4" w:space="0" w:color="auto"/>
            </w:tcBorders>
            <w:shd w:val="clear" w:color="auto" w:fill="auto"/>
          </w:tcPr>
          <w:p w:rsidR="00D06A2F" w:rsidRPr="00E8065F" w:rsidRDefault="00D06A2F" w:rsidP="00D5127A">
            <w:pPr>
              <w:spacing w:line="235" w:lineRule="auto"/>
              <w:jc w:val="center"/>
              <w:rPr>
                <w:color w:val="000000"/>
                <w:sz w:val="20"/>
                <w:szCs w:val="20"/>
              </w:rPr>
            </w:pPr>
            <w:r w:rsidRPr="00E8065F">
              <w:rPr>
                <w:color w:val="000000"/>
                <w:sz w:val="20"/>
                <w:szCs w:val="20"/>
              </w:rPr>
              <w:t>1</w:t>
            </w:r>
          </w:p>
        </w:tc>
        <w:tc>
          <w:tcPr>
            <w:tcW w:w="1944" w:type="dxa"/>
            <w:tcBorders>
              <w:top w:val="nil"/>
              <w:left w:val="single" w:sz="4" w:space="0" w:color="auto"/>
              <w:bottom w:val="single" w:sz="4" w:space="0" w:color="auto"/>
              <w:right w:val="single" w:sz="4" w:space="0" w:color="auto"/>
            </w:tcBorders>
            <w:shd w:val="clear" w:color="auto" w:fill="auto"/>
          </w:tcPr>
          <w:p w:rsidR="00D06A2F" w:rsidRPr="00E8065F" w:rsidRDefault="00D06A2F" w:rsidP="00D5127A">
            <w:pPr>
              <w:spacing w:line="235" w:lineRule="auto"/>
              <w:jc w:val="center"/>
              <w:rPr>
                <w:color w:val="000000"/>
                <w:sz w:val="20"/>
                <w:szCs w:val="20"/>
              </w:rPr>
            </w:pPr>
            <w:r w:rsidRPr="00E8065F">
              <w:rPr>
                <w:color w:val="000000"/>
                <w:sz w:val="20"/>
                <w:szCs w:val="20"/>
              </w:rPr>
              <w:t>Стационарное</w:t>
            </w:r>
          </w:p>
        </w:tc>
      </w:tr>
      <w:tr w:rsidR="00D06A2F" w:rsidRPr="00E8065F" w:rsidTr="00CD3A6F">
        <w:trPr>
          <w:trHeight w:val="20"/>
        </w:trPr>
        <w:tc>
          <w:tcPr>
            <w:tcW w:w="1555" w:type="dxa"/>
            <w:vMerge/>
            <w:tcBorders>
              <w:left w:val="single" w:sz="4" w:space="0" w:color="auto"/>
              <w:right w:val="single" w:sz="4" w:space="0" w:color="auto"/>
            </w:tcBorders>
          </w:tcPr>
          <w:p w:rsidR="00D06A2F" w:rsidRPr="00E8065F" w:rsidRDefault="00D06A2F" w:rsidP="00D5127A">
            <w:pPr>
              <w:spacing w:line="235" w:lineRule="auto"/>
              <w:rPr>
                <w:sz w:val="20"/>
                <w:szCs w:val="20"/>
              </w:rPr>
            </w:pPr>
          </w:p>
        </w:tc>
        <w:tc>
          <w:tcPr>
            <w:tcW w:w="3685" w:type="dxa"/>
            <w:tcBorders>
              <w:top w:val="nil"/>
              <w:left w:val="single" w:sz="4" w:space="0" w:color="auto"/>
              <w:bottom w:val="single" w:sz="4" w:space="0" w:color="auto"/>
              <w:right w:val="single" w:sz="4" w:space="0" w:color="auto"/>
            </w:tcBorders>
            <w:shd w:val="clear" w:color="auto" w:fill="auto"/>
          </w:tcPr>
          <w:p w:rsidR="00D06A2F" w:rsidRPr="00E8065F" w:rsidRDefault="00D06A2F" w:rsidP="00D5127A">
            <w:pPr>
              <w:spacing w:line="235" w:lineRule="auto"/>
              <w:jc w:val="both"/>
              <w:rPr>
                <w:color w:val="000000"/>
                <w:sz w:val="20"/>
                <w:szCs w:val="20"/>
              </w:rPr>
            </w:pPr>
            <w:r w:rsidRPr="00E8065F">
              <w:rPr>
                <w:color w:val="000000"/>
                <w:sz w:val="20"/>
                <w:szCs w:val="20"/>
              </w:rPr>
              <w:t xml:space="preserve">ГАУЗ </w:t>
            </w:r>
            <w:r>
              <w:rPr>
                <w:color w:val="000000"/>
                <w:sz w:val="20"/>
                <w:szCs w:val="20"/>
              </w:rPr>
              <w:t>«</w:t>
            </w:r>
            <w:r w:rsidRPr="00E8065F">
              <w:rPr>
                <w:color w:val="000000"/>
                <w:sz w:val="20"/>
                <w:szCs w:val="20"/>
              </w:rPr>
              <w:t>Мамадышская ЦРБ</w:t>
            </w:r>
            <w:r>
              <w:rPr>
                <w:color w:val="000000"/>
                <w:sz w:val="20"/>
                <w:szCs w:val="20"/>
              </w:rPr>
              <w:t>»</w:t>
            </w:r>
          </w:p>
        </w:tc>
        <w:tc>
          <w:tcPr>
            <w:tcW w:w="1994" w:type="dxa"/>
            <w:tcBorders>
              <w:top w:val="nil"/>
              <w:left w:val="single" w:sz="4" w:space="0" w:color="auto"/>
              <w:bottom w:val="single" w:sz="4" w:space="0" w:color="auto"/>
              <w:right w:val="single" w:sz="4" w:space="0" w:color="auto"/>
            </w:tcBorders>
            <w:shd w:val="clear" w:color="auto" w:fill="auto"/>
          </w:tcPr>
          <w:p w:rsidR="00D06A2F" w:rsidRPr="00E8065F" w:rsidRDefault="00D06A2F" w:rsidP="00D5127A">
            <w:pPr>
              <w:spacing w:line="235" w:lineRule="auto"/>
              <w:jc w:val="center"/>
              <w:rPr>
                <w:color w:val="000000"/>
                <w:sz w:val="20"/>
                <w:szCs w:val="20"/>
              </w:rPr>
            </w:pPr>
            <w:r w:rsidRPr="00E8065F">
              <w:rPr>
                <w:color w:val="000000"/>
                <w:sz w:val="20"/>
                <w:szCs w:val="20"/>
              </w:rPr>
              <w:t>Колоноскоп</w:t>
            </w:r>
          </w:p>
        </w:tc>
        <w:tc>
          <w:tcPr>
            <w:tcW w:w="1181" w:type="dxa"/>
            <w:tcBorders>
              <w:top w:val="nil"/>
              <w:left w:val="single" w:sz="4" w:space="0" w:color="auto"/>
              <w:bottom w:val="single" w:sz="4" w:space="0" w:color="auto"/>
              <w:right w:val="single" w:sz="4" w:space="0" w:color="auto"/>
            </w:tcBorders>
            <w:shd w:val="clear" w:color="auto" w:fill="auto"/>
          </w:tcPr>
          <w:p w:rsidR="00D06A2F" w:rsidRPr="005D7240" w:rsidRDefault="00D06A2F" w:rsidP="00D5127A">
            <w:pPr>
              <w:spacing w:line="235" w:lineRule="auto"/>
              <w:jc w:val="center"/>
              <w:rPr>
                <w:color w:val="000000"/>
                <w:sz w:val="20"/>
                <w:szCs w:val="20"/>
                <w:lang w:val="en-US"/>
              </w:rPr>
            </w:pPr>
            <w:r w:rsidRPr="00E8065F">
              <w:rPr>
                <w:color w:val="000000"/>
                <w:sz w:val="20"/>
                <w:szCs w:val="20"/>
              </w:rPr>
              <w:t>2016</w:t>
            </w:r>
            <w:r w:rsidR="003D79B3">
              <w:rPr>
                <w:color w:val="000000"/>
                <w:sz w:val="20"/>
                <w:szCs w:val="20"/>
              </w:rPr>
              <w:t xml:space="preserve"> </w:t>
            </w:r>
            <w:r w:rsidR="005D7240">
              <w:rPr>
                <w:color w:val="000000"/>
                <w:sz w:val="20"/>
                <w:szCs w:val="20"/>
                <w:lang w:val="en-US"/>
              </w:rPr>
              <w:t>(1)</w:t>
            </w:r>
          </w:p>
          <w:p w:rsidR="00D06A2F" w:rsidRPr="005D7240" w:rsidRDefault="00D06A2F" w:rsidP="00D5127A">
            <w:pPr>
              <w:spacing w:line="235" w:lineRule="auto"/>
              <w:jc w:val="center"/>
              <w:rPr>
                <w:color w:val="000000"/>
                <w:sz w:val="20"/>
                <w:szCs w:val="20"/>
                <w:lang w:val="en-US"/>
              </w:rPr>
            </w:pPr>
            <w:r w:rsidRPr="00E8065F">
              <w:rPr>
                <w:color w:val="000000"/>
                <w:sz w:val="20"/>
                <w:szCs w:val="20"/>
              </w:rPr>
              <w:t>2017</w:t>
            </w:r>
            <w:r w:rsidR="003D79B3">
              <w:rPr>
                <w:color w:val="000000"/>
                <w:sz w:val="20"/>
                <w:szCs w:val="20"/>
              </w:rPr>
              <w:t xml:space="preserve"> </w:t>
            </w:r>
            <w:r w:rsidR="005D7240">
              <w:rPr>
                <w:color w:val="000000"/>
                <w:sz w:val="20"/>
                <w:szCs w:val="20"/>
                <w:lang w:val="en-US"/>
              </w:rPr>
              <w:t>(1)</w:t>
            </w:r>
          </w:p>
          <w:p w:rsidR="00D06A2F" w:rsidRPr="005D7240" w:rsidRDefault="00D06A2F" w:rsidP="00D5127A">
            <w:pPr>
              <w:spacing w:line="235" w:lineRule="auto"/>
              <w:jc w:val="center"/>
              <w:rPr>
                <w:color w:val="000000"/>
                <w:sz w:val="20"/>
                <w:szCs w:val="20"/>
                <w:lang w:val="en-US"/>
              </w:rPr>
            </w:pPr>
            <w:r w:rsidRPr="00E8065F">
              <w:rPr>
                <w:color w:val="000000"/>
                <w:sz w:val="20"/>
                <w:szCs w:val="20"/>
              </w:rPr>
              <w:t>2019</w:t>
            </w:r>
            <w:r w:rsidR="003D79B3">
              <w:rPr>
                <w:color w:val="000000"/>
                <w:sz w:val="20"/>
                <w:szCs w:val="20"/>
              </w:rPr>
              <w:t xml:space="preserve"> </w:t>
            </w:r>
            <w:r w:rsidR="005D7240">
              <w:rPr>
                <w:color w:val="000000"/>
                <w:sz w:val="20"/>
                <w:szCs w:val="20"/>
                <w:lang w:val="en-US"/>
              </w:rPr>
              <w:t>(1)</w:t>
            </w:r>
          </w:p>
        </w:tc>
        <w:tc>
          <w:tcPr>
            <w:tcW w:w="1181" w:type="dxa"/>
            <w:shd w:val="clear" w:color="auto" w:fill="auto"/>
          </w:tcPr>
          <w:p w:rsidR="00D06A2F" w:rsidRPr="00E8065F" w:rsidRDefault="00D06A2F" w:rsidP="00D5127A">
            <w:pPr>
              <w:spacing w:line="235" w:lineRule="auto"/>
              <w:jc w:val="center"/>
              <w:rPr>
                <w:color w:val="000000"/>
                <w:sz w:val="20"/>
                <w:szCs w:val="20"/>
              </w:rPr>
            </w:pPr>
            <w:r w:rsidRPr="00E8065F">
              <w:rPr>
                <w:color w:val="000000"/>
                <w:sz w:val="20"/>
                <w:szCs w:val="20"/>
              </w:rPr>
              <w:t>3</w:t>
            </w:r>
          </w:p>
        </w:tc>
        <w:tc>
          <w:tcPr>
            <w:tcW w:w="1478" w:type="dxa"/>
            <w:tcBorders>
              <w:top w:val="nil"/>
              <w:left w:val="single" w:sz="4" w:space="0" w:color="auto"/>
              <w:bottom w:val="single" w:sz="4" w:space="0" w:color="auto"/>
              <w:right w:val="single" w:sz="4" w:space="0" w:color="auto"/>
            </w:tcBorders>
            <w:shd w:val="clear" w:color="auto" w:fill="auto"/>
          </w:tcPr>
          <w:p w:rsidR="00D06A2F" w:rsidRPr="00E8065F" w:rsidRDefault="00D06A2F" w:rsidP="00D5127A">
            <w:pPr>
              <w:spacing w:line="235" w:lineRule="auto"/>
              <w:jc w:val="center"/>
              <w:rPr>
                <w:color w:val="000000"/>
                <w:sz w:val="20"/>
                <w:szCs w:val="20"/>
              </w:rPr>
            </w:pPr>
            <w:r w:rsidRPr="00E8065F">
              <w:rPr>
                <w:color w:val="000000"/>
                <w:sz w:val="20"/>
                <w:szCs w:val="20"/>
              </w:rPr>
              <w:t>2,4</w:t>
            </w:r>
          </w:p>
        </w:tc>
        <w:tc>
          <w:tcPr>
            <w:tcW w:w="1111" w:type="dxa"/>
            <w:tcBorders>
              <w:top w:val="nil"/>
              <w:left w:val="single" w:sz="4" w:space="0" w:color="auto"/>
              <w:bottom w:val="single" w:sz="4" w:space="0" w:color="auto"/>
              <w:right w:val="single" w:sz="4" w:space="0" w:color="auto"/>
            </w:tcBorders>
            <w:shd w:val="clear" w:color="auto" w:fill="auto"/>
          </w:tcPr>
          <w:p w:rsidR="00D06A2F" w:rsidRPr="00E8065F" w:rsidRDefault="00D06A2F" w:rsidP="00D5127A">
            <w:pPr>
              <w:spacing w:line="235" w:lineRule="auto"/>
              <w:jc w:val="center"/>
              <w:rPr>
                <w:color w:val="000000"/>
                <w:sz w:val="20"/>
                <w:szCs w:val="20"/>
              </w:rPr>
            </w:pPr>
            <w:r w:rsidRPr="00E8065F">
              <w:rPr>
                <w:color w:val="000000"/>
                <w:sz w:val="20"/>
                <w:szCs w:val="20"/>
              </w:rPr>
              <w:t>1</w:t>
            </w:r>
          </w:p>
        </w:tc>
        <w:tc>
          <w:tcPr>
            <w:tcW w:w="1944" w:type="dxa"/>
            <w:tcBorders>
              <w:top w:val="nil"/>
              <w:left w:val="single" w:sz="4" w:space="0" w:color="auto"/>
              <w:bottom w:val="single" w:sz="4" w:space="0" w:color="auto"/>
              <w:right w:val="single" w:sz="4" w:space="0" w:color="auto"/>
            </w:tcBorders>
            <w:shd w:val="clear" w:color="auto" w:fill="auto"/>
          </w:tcPr>
          <w:p w:rsidR="00D06A2F" w:rsidRPr="00E8065F" w:rsidRDefault="00D06A2F" w:rsidP="00D5127A">
            <w:pPr>
              <w:spacing w:line="235" w:lineRule="auto"/>
              <w:jc w:val="center"/>
              <w:rPr>
                <w:color w:val="000000"/>
                <w:sz w:val="20"/>
                <w:szCs w:val="20"/>
              </w:rPr>
            </w:pPr>
            <w:r w:rsidRPr="00E8065F">
              <w:rPr>
                <w:color w:val="000000"/>
                <w:sz w:val="20"/>
                <w:szCs w:val="20"/>
              </w:rPr>
              <w:t>Амбулаторное</w:t>
            </w:r>
          </w:p>
        </w:tc>
      </w:tr>
      <w:tr w:rsidR="00D06A2F" w:rsidRPr="00E8065F" w:rsidTr="00CD3A6F">
        <w:trPr>
          <w:trHeight w:val="20"/>
        </w:trPr>
        <w:tc>
          <w:tcPr>
            <w:tcW w:w="1555" w:type="dxa"/>
            <w:vMerge/>
            <w:tcBorders>
              <w:left w:val="single" w:sz="4" w:space="0" w:color="auto"/>
              <w:right w:val="single" w:sz="4" w:space="0" w:color="auto"/>
            </w:tcBorders>
          </w:tcPr>
          <w:p w:rsidR="00D06A2F" w:rsidRPr="00E8065F" w:rsidRDefault="00D06A2F" w:rsidP="00D5127A">
            <w:pPr>
              <w:spacing w:line="235" w:lineRule="auto"/>
              <w:rPr>
                <w:sz w:val="20"/>
                <w:szCs w:val="20"/>
              </w:rPr>
            </w:pPr>
          </w:p>
        </w:tc>
        <w:tc>
          <w:tcPr>
            <w:tcW w:w="3685" w:type="dxa"/>
            <w:tcBorders>
              <w:top w:val="nil"/>
              <w:left w:val="single" w:sz="4" w:space="0" w:color="auto"/>
              <w:bottom w:val="single" w:sz="4" w:space="0" w:color="auto"/>
              <w:right w:val="nil"/>
            </w:tcBorders>
            <w:shd w:val="clear" w:color="auto" w:fill="auto"/>
          </w:tcPr>
          <w:p w:rsidR="00D06A2F" w:rsidRPr="00E8065F" w:rsidRDefault="00D06A2F" w:rsidP="00D5127A">
            <w:pPr>
              <w:spacing w:line="235" w:lineRule="auto"/>
              <w:jc w:val="both"/>
              <w:rPr>
                <w:color w:val="000000"/>
                <w:sz w:val="20"/>
                <w:szCs w:val="20"/>
              </w:rPr>
            </w:pPr>
            <w:r w:rsidRPr="00E8065F">
              <w:rPr>
                <w:color w:val="000000"/>
                <w:sz w:val="20"/>
                <w:szCs w:val="20"/>
              </w:rPr>
              <w:t xml:space="preserve">ГАУЗ </w:t>
            </w:r>
            <w:r>
              <w:rPr>
                <w:color w:val="000000"/>
                <w:sz w:val="20"/>
                <w:szCs w:val="20"/>
              </w:rPr>
              <w:t>«</w:t>
            </w:r>
            <w:r w:rsidRPr="00E8065F">
              <w:rPr>
                <w:color w:val="000000"/>
                <w:sz w:val="20"/>
                <w:szCs w:val="20"/>
              </w:rPr>
              <w:t>Менделеевская ЦРБ</w:t>
            </w:r>
            <w:r>
              <w:rPr>
                <w:color w:val="000000"/>
                <w:sz w:val="20"/>
                <w:szCs w:val="20"/>
              </w:rPr>
              <w:t>»</w:t>
            </w:r>
          </w:p>
        </w:tc>
        <w:tc>
          <w:tcPr>
            <w:tcW w:w="1994" w:type="dxa"/>
            <w:tcBorders>
              <w:top w:val="nil"/>
              <w:left w:val="single" w:sz="4" w:space="0" w:color="auto"/>
              <w:bottom w:val="single" w:sz="4" w:space="0" w:color="auto"/>
              <w:right w:val="single" w:sz="4" w:space="0" w:color="auto"/>
            </w:tcBorders>
            <w:shd w:val="clear" w:color="auto" w:fill="auto"/>
          </w:tcPr>
          <w:p w:rsidR="00D06A2F" w:rsidRPr="00E8065F" w:rsidRDefault="00D06A2F" w:rsidP="00D5127A">
            <w:pPr>
              <w:spacing w:line="235" w:lineRule="auto"/>
              <w:jc w:val="center"/>
              <w:rPr>
                <w:color w:val="000000"/>
                <w:sz w:val="20"/>
                <w:szCs w:val="20"/>
              </w:rPr>
            </w:pPr>
            <w:r w:rsidRPr="00E8065F">
              <w:rPr>
                <w:color w:val="000000"/>
                <w:sz w:val="20"/>
                <w:szCs w:val="20"/>
              </w:rPr>
              <w:t>Колоноскоп</w:t>
            </w:r>
          </w:p>
        </w:tc>
        <w:tc>
          <w:tcPr>
            <w:tcW w:w="1181" w:type="dxa"/>
            <w:tcBorders>
              <w:top w:val="nil"/>
              <w:left w:val="single" w:sz="4" w:space="0" w:color="auto"/>
              <w:bottom w:val="single" w:sz="4" w:space="0" w:color="auto"/>
              <w:right w:val="single" w:sz="4" w:space="0" w:color="auto"/>
            </w:tcBorders>
            <w:shd w:val="clear" w:color="auto" w:fill="auto"/>
          </w:tcPr>
          <w:p w:rsidR="00D06A2F" w:rsidRPr="005D7240" w:rsidRDefault="00D06A2F" w:rsidP="00D5127A">
            <w:pPr>
              <w:spacing w:line="235" w:lineRule="auto"/>
              <w:jc w:val="center"/>
              <w:rPr>
                <w:color w:val="000000"/>
                <w:sz w:val="20"/>
                <w:szCs w:val="20"/>
                <w:lang w:val="en-US"/>
              </w:rPr>
            </w:pPr>
            <w:r w:rsidRPr="00E8065F">
              <w:rPr>
                <w:color w:val="000000"/>
                <w:sz w:val="20"/>
                <w:szCs w:val="20"/>
              </w:rPr>
              <w:t>2015</w:t>
            </w:r>
            <w:r w:rsidR="003D79B3">
              <w:rPr>
                <w:color w:val="000000"/>
                <w:sz w:val="20"/>
                <w:szCs w:val="20"/>
              </w:rPr>
              <w:t xml:space="preserve"> </w:t>
            </w:r>
            <w:r w:rsidR="005D7240">
              <w:rPr>
                <w:color w:val="000000"/>
                <w:sz w:val="20"/>
                <w:szCs w:val="20"/>
                <w:lang w:val="en-US"/>
              </w:rPr>
              <w:t>(2)</w:t>
            </w:r>
          </w:p>
        </w:tc>
        <w:tc>
          <w:tcPr>
            <w:tcW w:w="1181" w:type="dxa"/>
            <w:shd w:val="clear" w:color="auto" w:fill="auto"/>
          </w:tcPr>
          <w:p w:rsidR="00D06A2F" w:rsidRPr="00E8065F" w:rsidRDefault="00D06A2F" w:rsidP="00D5127A">
            <w:pPr>
              <w:spacing w:line="235" w:lineRule="auto"/>
              <w:jc w:val="center"/>
              <w:rPr>
                <w:color w:val="000000"/>
                <w:sz w:val="20"/>
                <w:szCs w:val="20"/>
              </w:rPr>
            </w:pPr>
            <w:r w:rsidRPr="00E8065F">
              <w:rPr>
                <w:color w:val="000000"/>
                <w:sz w:val="20"/>
                <w:szCs w:val="20"/>
              </w:rPr>
              <w:t>2</w:t>
            </w:r>
          </w:p>
        </w:tc>
        <w:tc>
          <w:tcPr>
            <w:tcW w:w="1478" w:type="dxa"/>
            <w:tcBorders>
              <w:top w:val="nil"/>
              <w:left w:val="single" w:sz="4" w:space="0" w:color="auto"/>
              <w:bottom w:val="single" w:sz="4" w:space="0" w:color="auto"/>
              <w:right w:val="single" w:sz="4" w:space="0" w:color="auto"/>
            </w:tcBorders>
            <w:shd w:val="clear" w:color="auto" w:fill="auto"/>
          </w:tcPr>
          <w:p w:rsidR="00D06A2F" w:rsidRPr="00E8065F" w:rsidRDefault="00D06A2F" w:rsidP="00D5127A">
            <w:pPr>
              <w:spacing w:line="235" w:lineRule="auto"/>
              <w:jc w:val="center"/>
              <w:rPr>
                <w:color w:val="000000"/>
                <w:sz w:val="20"/>
                <w:szCs w:val="20"/>
              </w:rPr>
            </w:pPr>
            <w:r w:rsidRPr="00E8065F">
              <w:rPr>
                <w:color w:val="000000"/>
                <w:sz w:val="20"/>
                <w:szCs w:val="20"/>
              </w:rPr>
              <w:t>1,5</w:t>
            </w:r>
          </w:p>
        </w:tc>
        <w:tc>
          <w:tcPr>
            <w:tcW w:w="1111" w:type="dxa"/>
            <w:tcBorders>
              <w:top w:val="nil"/>
              <w:left w:val="single" w:sz="4" w:space="0" w:color="auto"/>
              <w:bottom w:val="single" w:sz="4" w:space="0" w:color="auto"/>
              <w:right w:val="single" w:sz="4" w:space="0" w:color="auto"/>
            </w:tcBorders>
            <w:shd w:val="clear" w:color="auto" w:fill="auto"/>
          </w:tcPr>
          <w:p w:rsidR="00D06A2F" w:rsidRPr="00E8065F" w:rsidRDefault="00D06A2F" w:rsidP="00D5127A">
            <w:pPr>
              <w:spacing w:line="235" w:lineRule="auto"/>
              <w:jc w:val="center"/>
              <w:rPr>
                <w:color w:val="000000"/>
                <w:sz w:val="20"/>
                <w:szCs w:val="20"/>
              </w:rPr>
            </w:pPr>
            <w:r w:rsidRPr="00E8065F">
              <w:rPr>
                <w:color w:val="000000"/>
                <w:sz w:val="20"/>
                <w:szCs w:val="20"/>
              </w:rPr>
              <w:t>1</w:t>
            </w:r>
          </w:p>
        </w:tc>
        <w:tc>
          <w:tcPr>
            <w:tcW w:w="1944" w:type="dxa"/>
            <w:tcBorders>
              <w:top w:val="nil"/>
              <w:left w:val="single" w:sz="4" w:space="0" w:color="auto"/>
              <w:bottom w:val="single" w:sz="4" w:space="0" w:color="auto"/>
              <w:right w:val="single" w:sz="4" w:space="0" w:color="auto"/>
            </w:tcBorders>
            <w:shd w:val="clear" w:color="auto" w:fill="auto"/>
          </w:tcPr>
          <w:p w:rsidR="00D06A2F" w:rsidRPr="00E8065F" w:rsidRDefault="00D06A2F" w:rsidP="00D5127A">
            <w:pPr>
              <w:spacing w:line="235" w:lineRule="auto"/>
              <w:jc w:val="center"/>
              <w:rPr>
                <w:color w:val="000000"/>
                <w:sz w:val="20"/>
                <w:szCs w:val="20"/>
              </w:rPr>
            </w:pPr>
            <w:r w:rsidRPr="00E8065F">
              <w:rPr>
                <w:color w:val="000000"/>
                <w:sz w:val="20"/>
                <w:szCs w:val="20"/>
              </w:rPr>
              <w:t>Амбулаторное</w:t>
            </w:r>
          </w:p>
        </w:tc>
      </w:tr>
      <w:tr w:rsidR="00D06A2F" w:rsidRPr="00E8065F" w:rsidTr="00CD3A6F">
        <w:trPr>
          <w:trHeight w:val="20"/>
        </w:trPr>
        <w:tc>
          <w:tcPr>
            <w:tcW w:w="1555" w:type="dxa"/>
            <w:vMerge/>
            <w:tcBorders>
              <w:left w:val="single" w:sz="4" w:space="0" w:color="auto"/>
              <w:right w:val="single" w:sz="4" w:space="0" w:color="auto"/>
            </w:tcBorders>
          </w:tcPr>
          <w:p w:rsidR="00D06A2F" w:rsidRPr="00E8065F" w:rsidRDefault="00D06A2F" w:rsidP="00D5127A">
            <w:pPr>
              <w:spacing w:line="235" w:lineRule="auto"/>
              <w:rPr>
                <w:sz w:val="20"/>
                <w:szCs w:val="20"/>
              </w:rPr>
            </w:pPr>
          </w:p>
        </w:tc>
        <w:tc>
          <w:tcPr>
            <w:tcW w:w="3685" w:type="dxa"/>
            <w:tcBorders>
              <w:top w:val="nil"/>
              <w:left w:val="single" w:sz="4" w:space="0" w:color="auto"/>
              <w:bottom w:val="single" w:sz="4" w:space="0" w:color="auto"/>
              <w:right w:val="nil"/>
            </w:tcBorders>
            <w:shd w:val="clear" w:color="auto" w:fill="auto"/>
          </w:tcPr>
          <w:p w:rsidR="00D06A2F" w:rsidRPr="00E8065F" w:rsidRDefault="00D06A2F" w:rsidP="00D5127A">
            <w:pPr>
              <w:spacing w:line="235" w:lineRule="auto"/>
              <w:jc w:val="both"/>
              <w:rPr>
                <w:color w:val="000000"/>
                <w:sz w:val="20"/>
                <w:szCs w:val="20"/>
              </w:rPr>
            </w:pPr>
            <w:r w:rsidRPr="00E8065F">
              <w:rPr>
                <w:color w:val="000000"/>
                <w:sz w:val="20"/>
                <w:szCs w:val="20"/>
              </w:rPr>
              <w:t xml:space="preserve">ГАУЗ </w:t>
            </w:r>
            <w:r>
              <w:rPr>
                <w:color w:val="000000"/>
                <w:sz w:val="20"/>
                <w:szCs w:val="20"/>
              </w:rPr>
              <w:t>«</w:t>
            </w:r>
            <w:r w:rsidRPr="00E8065F">
              <w:rPr>
                <w:color w:val="000000"/>
                <w:sz w:val="20"/>
                <w:szCs w:val="20"/>
              </w:rPr>
              <w:t>Муслюмовская ЦРБ</w:t>
            </w:r>
            <w:r>
              <w:rPr>
                <w:color w:val="000000"/>
                <w:sz w:val="20"/>
                <w:szCs w:val="20"/>
              </w:rPr>
              <w:t>»</w:t>
            </w:r>
            <w:r w:rsidRPr="00E8065F">
              <w:rPr>
                <w:color w:val="000000"/>
                <w:sz w:val="20"/>
                <w:szCs w:val="20"/>
              </w:rPr>
              <w:t xml:space="preserve"> </w:t>
            </w:r>
          </w:p>
        </w:tc>
        <w:tc>
          <w:tcPr>
            <w:tcW w:w="1994" w:type="dxa"/>
            <w:tcBorders>
              <w:top w:val="nil"/>
              <w:left w:val="single" w:sz="4" w:space="0" w:color="auto"/>
              <w:bottom w:val="single" w:sz="4" w:space="0" w:color="auto"/>
              <w:right w:val="single" w:sz="4" w:space="0" w:color="auto"/>
            </w:tcBorders>
            <w:shd w:val="clear" w:color="auto" w:fill="auto"/>
          </w:tcPr>
          <w:p w:rsidR="00D06A2F" w:rsidRPr="00E8065F" w:rsidRDefault="00D06A2F" w:rsidP="00D5127A">
            <w:pPr>
              <w:spacing w:line="235" w:lineRule="auto"/>
              <w:jc w:val="center"/>
              <w:rPr>
                <w:color w:val="000000"/>
                <w:sz w:val="20"/>
                <w:szCs w:val="20"/>
              </w:rPr>
            </w:pPr>
            <w:r w:rsidRPr="00E8065F">
              <w:rPr>
                <w:color w:val="000000"/>
                <w:sz w:val="20"/>
                <w:szCs w:val="20"/>
              </w:rPr>
              <w:t>Колоноскоп</w:t>
            </w:r>
          </w:p>
        </w:tc>
        <w:tc>
          <w:tcPr>
            <w:tcW w:w="1181" w:type="dxa"/>
            <w:tcBorders>
              <w:top w:val="nil"/>
              <w:left w:val="single" w:sz="4" w:space="0" w:color="auto"/>
              <w:bottom w:val="single" w:sz="4" w:space="0" w:color="auto"/>
              <w:right w:val="single" w:sz="4" w:space="0" w:color="auto"/>
            </w:tcBorders>
            <w:shd w:val="clear" w:color="auto" w:fill="auto"/>
          </w:tcPr>
          <w:p w:rsidR="00D06A2F" w:rsidRPr="005D7240" w:rsidRDefault="00D06A2F" w:rsidP="00D5127A">
            <w:pPr>
              <w:spacing w:line="235" w:lineRule="auto"/>
              <w:jc w:val="center"/>
              <w:rPr>
                <w:color w:val="000000"/>
                <w:sz w:val="20"/>
                <w:szCs w:val="20"/>
                <w:lang w:val="en-US"/>
              </w:rPr>
            </w:pPr>
            <w:r w:rsidRPr="00E8065F">
              <w:rPr>
                <w:color w:val="000000"/>
                <w:sz w:val="20"/>
                <w:szCs w:val="20"/>
              </w:rPr>
              <w:t>2017</w:t>
            </w:r>
            <w:r w:rsidR="003D79B3">
              <w:rPr>
                <w:color w:val="000000"/>
                <w:sz w:val="20"/>
                <w:szCs w:val="20"/>
              </w:rPr>
              <w:t xml:space="preserve"> </w:t>
            </w:r>
            <w:r w:rsidR="005D7240">
              <w:rPr>
                <w:color w:val="000000"/>
                <w:sz w:val="20"/>
                <w:szCs w:val="20"/>
                <w:lang w:val="en-US"/>
              </w:rPr>
              <w:t>(1)</w:t>
            </w:r>
          </w:p>
          <w:p w:rsidR="00D06A2F" w:rsidRPr="005D7240" w:rsidRDefault="00D06A2F" w:rsidP="00D5127A">
            <w:pPr>
              <w:spacing w:line="235" w:lineRule="auto"/>
              <w:jc w:val="center"/>
              <w:rPr>
                <w:color w:val="000000"/>
                <w:sz w:val="20"/>
                <w:szCs w:val="20"/>
                <w:lang w:val="en-US"/>
              </w:rPr>
            </w:pPr>
            <w:r w:rsidRPr="00E8065F">
              <w:rPr>
                <w:color w:val="000000"/>
                <w:sz w:val="20"/>
                <w:szCs w:val="20"/>
              </w:rPr>
              <w:t>2018</w:t>
            </w:r>
            <w:r w:rsidR="003D79B3">
              <w:rPr>
                <w:color w:val="000000"/>
                <w:sz w:val="20"/>
                <w:szCs w:val="20"/>
              </w:rPr>
              <w:t xml:space="preserve"> </w:t>
            </w:r>
            <w:r w:rsidR="005D7240">
              <w:rPr>
                <w:color w:val="000000"/>
                <w:sz w:val="20"/>
                <w:szCs w:val="20"/>
                <w:lang w:val="en-US"/>
              </w:rPr>
              <w:t>(1)</w:t>
            </w:r>
          </w:p>
        </w:tc>
        <w:tc>
          <w:tcPr>
            <w:tcW w:w="1181" w:type="dxa"/>
            <w:shd w:val="clear" w:color="auto" w:fill="auto"/>
          </w:tcPr>
          <w:p w:rsidR="00D06A2F" w:rsidRPr="00E8065F" w:rsidRDefault="00D06A2F" w:rsidP="00D5127A">
            <w:pPr>
              <w:spacing w:line="235" w:lineRule="auto"/>
              <w:jc w:val="center"/>
              <w:rPr>
                <w:color w:val="000000"/>
                <w:sz w:val="20"/>
                <w:szCs w:val="20"/>
              </w:rPr>
            </w:pPr>
            <w:r w:rsidRPr="00E8065F">
              <w:rPr>
                <w:color w:val="000000"/>
                <w:sz w:val="20"/>
                <w:szCs w:val="20"/>
              </w:rPr>
              <w:t>2</w:t>
            </w:r>
          </w:p>
        </w:tc>
        <w:tc>
          <w:tcPr>
            <w:tcW w:w="1478" w:type="dxa"/>
            <w:tcBorders>
              <w:top w:val="nil"/>
              <w:left w:val="single" w:sz="4" w:space="0" w:color="auto"/>
              <w:bottom w:val="single" w:sz="4" w:space="0" w:color="auto"/>
              <w:right w:val="single" w:sz="4" w:space="0" w:color="auto"/>
            </w:tcBorders>
            <w:shd w:val="clear" w:color="auto" w:fill="auto"/>
          </w:tcPr>
          <w:p w:rsidR="00D06A2F" w:rsidRPr="00E8065F" w:rsidRDefault="00D06A2F" w:rsidP="00D5127A">
            <w:pPr>
              <w:spacing w:line="235" w:lineRule="auto"/>
              <w:jc w:val="center"/>
              <w:rPr>
                <w:color w:val="000000"/>
                <w:sz w:val="20"/>
                <w:szCs w:val="20"/>
              </w:rPr>
            </w:pPr>
            <w:r w:rsidRPr="00E8065F">
              <w:rPr>
                <w:color w:val="000000"/>
                <w:sz w:val="20"/>
                <w:szCs w:val="20"/>
              </w:rPr>
              <w:t>0,8</w:t>
            </w:r>
          </w:p>
        </w:tc>
        <w:tc>
          <w:tcPr>
            <w:tcW w:w="1111" w:type="dxa"/>
            <w:tcBorders>
              <w:top w:val="nil"/>
              <w:left w:val="single" w:sz="4" w:space="0" w:color="auto"/>
              <w:bottom w:val="single" w:sz="4" w:space="0" w:color="auto"/>
              <w:right w:val="single" w:sz="4" w:space="0" w:color="auto"/>
            </w:tcBorders>
            <w:shd w:val="clear" w:color="auto" w:fill="auto"/>
          </w:tcPr>
          <w:p w:rsidR="00D06A2F" w:rsidRPr="00E8065F" w:rsidRDefault="00D06A2F" w:rsidP="00D5127A">
            <w:pPr>
              <w:spacing w:line="235" w:lineRule="auto"/>
              <w:jc w:val="center"/>
              <w:rPr>
                <w:color w:val="000000"/>
                <w:sz w:val="20"/>
                <w:szCs w:val="20"/>
              </w:rPr>
            </w:pPr>
            <w:r w:rsidRPr="00E8065F">
              <w:rPr>
                <w:color w:val="000000"/>
                <w:sz w:val="20"/>
                <w:szCs w:val="20"/>
              </w:rPr>
              <w:t>2</w:t>
            </w:r>
          </w:p>
        </w:tc>
        <w:tc>
          <w:tcPr>
            <w:tcW w:w="1944" w:type="dxa"/>
            <w:tcBorders>
              <w:top w:val="nil"/>
              <w:left w:val="single" w:sz="4" w:space="0" w:color="auto"/>
              <w:bottom w:val="single" w:sz="4" w:space="0" w:color="auto"/>
              <w:right w:val="single" w:sz="4" w:space="0" w:color="auto"/>
            </w:tcBorders>
            <w:shd w:val="clear" w:color="auto" w:fill="auto"/>
          </w:tcPr>
          <w:p w:rsidR="00D06A2F" w:rsidRPr="00E8065F" w:rsidRDefault="00D06A2F" w:rsidP="00D5127A">
            <w:pPr>
              <w:spacing w:line="235" w:lineRule="auto"/>
              <w:jc w:val="center"/>
              <w:rPr>
                <w:color w:val="000000"/>
                <w:sz w:val="20"/>
                <w:szCs w:val="20"/>
              </w:rPr>
            </w:pPr>
            <w:r w:rsidRPr="00E8065F">
              <w:rPr>
                <w:color w:val="000000"/>
                <w:sz w:val="20"/>
                <w:szCs w:val="20"/>
              </w:rPr>
              <w:t>Амбулаторное</w:t>
            </w:r>
          </w:p>
        </w:tc>
      </w:tr>
      <w:tr w:rsidR="00D06A2F" w:rsidRPr="00E8065F" w:rsidTr="00CD3A6F">
        <w:trPr>
          <w:trHeight w:val="20"/>
        </w:trPr>
        <w:tc>
          <w:tcPr>
            <w:tcW w:w="1555" w:type="dxa"/>
            <w:vMerge/>
            <w:tcBorders>
              <w:left w:val="single" w:sz="4" w:space="0" w:color="auto"/>
              <w:right w:val="single" w:sz="4" w:space="0" w:color="auto"/>
            </w:tcBorders>
          </w:tcPr>
          <w:p w:rsidR="00D06A2F" w:rsidRPr="00E8065F" w:rsidRDefault="00D06A2F" w:rsidP="00D5127A">
            <w:pPr>
              <w:spacing w:line="235" w:lineRule="auto"/>
              <w:rPr>
                <w:sz w:val="20"/>
                <w:szCs w:val="20"/>
              </w:rPr>
            </w:pPr>
          </w:p>
        </w:tc>
        <w:tc>
          <w:tcPr>
            <w:tcW w:w="3685" w:type="dxa"/>
            <w:tcBorders>
              <w:top w:val="nil"/>
              <w:left w:val="single" w:sz="4" w:space="0" w:color="auto"/>
              <w:bottom w:val="single" w:sz="4" w:space="0" w:color="auto"/>
              <w:right w:val="single" w:sz="4" w:space="0" w:color="auto"/>
            </w:tcBorders>
            <w:shd w:val="clear" w:color="auto" w:fill="auto"/>
          </w:tcPr>
          <w:p w:rsidR="00D06A2F" w:rsidRPr="00E8065F" w:rsidRDefault="00D06A2F" w:rsidP="00D5127A">
            <w:pPr>
              <w:spacing w:line="235" w:lineRule="auto"/>
              <w:jc w:val="both"/>
              <w:rPr>
                <w:color w:val="000000"/>
                <w:sz w:val="20"/>
                <w:szCs w:val="20"/>
              </w:rPr>
            </w:pPr>
            <w:r>
              <w:rPr>
                <w:color w:val="000000"/>
                <w:sz w:val="20"/>
                <w:szCs w:val="20"/>
              </w:rPr>
              <w:t>ГАУЗ «</w:t>
            </w:r>
            <w:r w:rsidRPr="00E8065F">
              <w:rPr>
                <w:color w:val="000000"/>
                <w:sz w:val="20"/>
                <w:szCs w:val="20"/>
              </w:rPr>
              <w:t xml:space="preserve">Камско-Полянская </w:t>
            </w:r>
            <w:r>
              <w:rPr>
                <w:color w:val="000000"/>
                <w:sz w:val="20"/>
                <w:szCs w:val="20"/>
              </w:rPr>
              <w:t>районная больница»</w:t>
            </w:r>
          </w:p>
        </w:tc>
        <w:tc>
          <w:tcPr>
            <w:tcW w:w="1994" w:type="dxa"/>
            <w:tcBorders>
              <w:top w:val="nil"/>
              <w:left w:val="single" w:sz="4" w:space="0" w:color="auto"/>
              <w:bottom w:val="single" w:sz="4" w:space="0" w:color="auto"/>
              <w:right w:val="single" w:sz="4" w:space="0" w:color="auto"/>
            </w:tcBorders>
            <w:shd w:val="clear" w:color="auto" w:fill="auto"/>
          </w:tcPr>
          <w:p w:rsidR="00D06A2F" w:rsidRPr="00E8065F" w:rsidRDefault="00D06A2F" w:rsidP="00D5127A">
            <w:pPr>
              <w:spacing w:line="235" w:lineRule="auto"/>
              <w:jc w:val="center"/>
              <w:rPr>
                <w:color w:val="000000"/>
                <w:sz w:val="20"/>
                <w:szCs w:val="20"/>
              </w:rPr>
            </w:pPr>
            <w:r w:rsidRPr="00E8065F">
              <w:rPr>
                <w:color w:val="000000"/>
                <w:sz w:val="20"/>
                <w:szCs w:val="20"/>
              </w:rPr>
              <w:t>Колоноскоп</w:t>
            </w:r>
          </w:p>
        </w:tc>
        <w:tc>
          <w:tcPr>
            <w:tcW w:w="1181" w:type="dxa"/>
            <w:tcBorders>
              <w:top w:val="nil"/>
              <w:left w:val="single" w:sz="4" w:space="0" w:color="auto"/>
              <w:bottom w:val="single" w:sz="4" w:space="0" w:color="auto"/>
              <w:right w:val="single" w:sz="4" w:space="0" w:color="auto"/>
            </w:tcBorders>
            <w:shd w:val="clear" w:color="auto" w:fill="auto"/>
          </w:tcPr>
          <w:p w:rsidR="00D06A2F" w:rsidRPr="005D7240" w:rsidRDefault="00D06A2F" w:rsidP="00D5127A">
            <w:pPr>
              <w:spacing w:line="235" w:lineRule="auto"/>
              <w:jc w:val="center"/>
              <w:rPr>
                <w:color w:val="000000"/>
                <w:sz w:val="20"/>
                <w:szCs w:val="20"/>
                <w:lang w:val="en-US"/>
              </w:rPr>
            </w:pPr>
            <w:r w:rsidRPr="00E8065F">
              <w:rPr>
                <w:color w:val="000000"/>
                <w:sz w:val="20"/>
                <w:szCs w:val="20"/>
              </w:rPr>
              <w:t>2023</w:t>
            </w:r>
            <w:r w:rsidR="003D79B3">
              <w:rPr>
                <w:color w:val="000000"/>
                <w:sz w:val="20"/>
                <w:szCs w:val="20"/>
              </w:rPr>
              <w:t xml:space="preserve"> </w:t>
            </w:r>
            <w:r w:rsidR="005D7240">
              <w:rPr>
                <w:color w:val="000000"/>
                <w:sz w:val="20"/>
                <w:szCs w:val="20"/>
                <w:lang w:val="en-US"/>
              </w:rPr>
              <w:t>(1)</w:t>
            </w:r>
          </w:p>
        </w:tc>
        <w:tc>
          <w:tcPr>
            <w:tcW w:w="1181" w:type="dxa"/>
            <w:shd w:val="clear" w:color="auto" w:fill="auto"/>
          </w:tcPr>
          <w:p w:rsidR="00D06A2F" w:rsidRPr="00E8065F" w:rsidRDefault="00D06A2F" w:rsidP="00D5127A">
            <w:pPr>
              <w:spacing w:line="235" w:lineRule="auto"/>
              <w:jc w:val="center"/>
              <w:rPr>
                <w:color w:val="000000"/>
                <w:sz w:val="20"/>
                <w:szCs w:val="20"/>
              </w:rPr>
            </w:pPr>
            <w:r w:rsidRPr="00E8065F">
              <w:rPr>
                <w:color w:val="000000"/>
                <w:sz w:val="20"/>
                <w:szCs w:val="20"/>
              </w:rPr>
              <w:t>1</w:t>
            </w:r>
          </w:p>
        </w:tc>
        <w:tc>
          <w:tcPr>
            <w:tcW w:w="1478" w:type="dxa"/>
            <w:tcBorders>
              <w:top w:val="nil"/>
              <w:left w:val="single" w:sz="4" w:space="0" w:color="auto"/>
              <w:bottom w:val="single" w:sz="4" w:space="0" w:color="auto"/>
              <w:right w:val="single" w:sz="4" w:space="0" w:color="auto"/>
            </w:tcBorders>
            <w:shd w:val="clear" w:color="auto" w:fill="auto"/>
          </w:tcPr>
          <w:p w:rsidR="00D06A2F" w:rsidRPr="00E8065F" w:rsidRDefault="00D06A2F" w:rsidP="00D5127A">
            <w:pPr>
              <w:spacing w:line="235" w:lineRule="auto"/>
              <w:jc w:val="center"/>
              <w:rPr>
                <w:color w:val="000000"/>
                <w:sz w:val="20"/>
                <w:szCs w:val="20"/>
              </w:rPr>
            </w:pPr>
            <w:r w:rsidRPr="00E8065F">
              <w:rPr>
                <w:color w:val="000000"/>
                <w:sz w:val="20"/>
                <w:szCs w:val="20"/>
              </w:rPr>
              <w:t>5,2</w:t>
            </w:r>
          </w:p>
        </w:tc>
        <w:tc>
          <w:tcPr>
            <w:tcW w:w="1111" w:type="dxa"/>
            <w:tcBorders>
              <w:top w:val="nil"/>
              <w:left w:val="single" w:sz="4" w:space="0" w:color="auto"/>
              <w:bottom w:val="single" w:sz="4" w:space="0" w:color="auto"/>
              <w:right w:val="single" w:sz="4" w:space="0" w:color="auto"/>
            </w:tcBorders>
            <w:shd w:val="clear" w:color="auto" w:fill="auto"/>
          </w:tcPr>
          <w:p w:rsidR="00D06A2F" w:rsidRPr="00E8065F" w:rsidRDefault="00D06A2F" w:rsidP="00D5127A">
            <w:pPr>
              <w:spacing w:line="235" w:lineRule="auto"/>
              <w:jc w:val="center"/>
              <w:rPr>
                <w:color w:val="000000"/>
                <w:sz w:val="20"/>
                <w:szCs w:val="20"/>
              </w:rPr>
            </w:pPr>
            <w:r w:rsidRPr="00E8065F">
              <w:rPr>
                <w:color w:val="000000"/>
                <w:sz w:val="20"/>
                <w:szCs w:val="20"/>
              </w:rPr>
              <w:t>2</w:t>
            </w:r>
          </w:p>
        </w:tc>
        <w:tc>
          <w:tcPr>
            <w:tcW w:w="1944" w:type="dxa"/>
            <w:tcBorders>
              <w:top w:val="nil"/>
              <w:left w:val="single" w:sz="4" w:space="0" w:color="auto"/>
              <w:bottom w:val="single" w:sz="4" w:space="0" w:color="auto"/>
              <w:right w:val="single" w:sz="4" w:space="0" w:color="auto"/>
            </w:tcBorders>
            <w:shd w:val="clear" w:color="auto" w:fill="auto"/>
          </w:tcPr>
          <w:p w:rsidR="00D06A2F" w:rsidRPr="00E8065F" w:rsidRDefault="00D06A2F" w:rsidP="00D5127A">
            <w:pPr>
              <w:spacing w:line="235" w:lineRule="auto"/>
              <w:jc w:val="center"/>
              <w:rPr>
                <w:color w:val="000000"/>
                <w:sz w:val="20"/>
                <w:szCs w:val="20"/>
              </w:rPr>
            </w:pPr>
            <w:r w:rsidRPr="00E8065F">
              <w:rPr>
                <w:color w:val="000000"/>
                <w:sz w:val="20"/>
                <w:szCs w:val="20"/>
              </w:rPr>
              <w:t>Амбулаторное</w:t>
            </w:r>
          </w:p>
        </w:tc>
      </w:tr>
      <w:tr w:rsidR="00D06A2F" w:rsidRPr="00E8065F" w:rsidTr="00CD3A6F">
        <w:trPr>
          <w:trHeight w:val="20"/>
        </w:trPr>
        <w:tc>
          <w:tcPr>
            <w:tcW w:w="1555" w:type="dxa"/>
            <w:vMerge/>
            <w:tcBorders>
              <w:left w:val="single" w:sz="4" w:space="0" w:color="auto"/>
              <w:right w:val="single" w:sz="4" w:space="0" w:color="auto"/>
            </w:tcBorders>
          </w:tcPr>
          <w:p w:rsidR="00D06A2F" w:rsidRPr="00E8065F" w:rsidRDefault="00D06A2F" w:rsidP="00D5127A">
            <w:pPr>
              <w:spacing w:line="235" w:lineRule="auto"/>
              <w:rPr>
                <w:sz w:val="20"/>
                <w:szCs w:val="20"/>
              </w:rPr>
            </w:pPr>
          </w:p>
        </w:tc>
        <w:tc>
          <w:tcPr>
            <w:tcW w:w="3685" w:type="dxa"/>
            <w:tcBorders>
              <w:top w:val="nil"/>
              <w:left w:val="single" w:sz="4" w:space="0" w:color="auto"/>
              <w:bottom w:val="single" w:sz="4" w:space="0" w:color="auto"/>
              <w:right w:val="single" w:sz="4" w:space="0" w:color="auto"/>
            </w:tcBorders>
            <w:shd w:val="clear" w:color="auto" w:fill="auto"/>
          </w:tcPr>
          <w:p w:rsidR="00D06A2F" w:rsidRPr="00E8065F" w:rsidRDefault="00D06A2F" w:rsidP="00D5127A">
            <w:pPr>
              <w:spacing w:line="235" w:lineRule="auto"/>
              <w:jc w:val="both"/>
              <w:rPr>
                <w:color w:val="000000"/>
                <w:sz w:val="20"/>
                <w:szCs w:val="20"/>
              </w:rPr>
            </w:pPr>
            <w:r>
              <w:rPr>
                <w:color w:val="000000"/>
                <w:sz w:val="20"/>
                <w:szCs w:val="20"/>
              </w:rPr>
              <w:t xml:space="preserve">ГАУЗ </w:t>
            </w:r>
            <w:r>
              <w:rPr>
                <w:sz w:val="20"/>
                <w:szCs w:val="20"/>
              </w:rPr>
              <w:t>«Нижнекамская центральная районная многопрофильная больница»</w:t>
            </w:r>
            <w:r w:rsidRPr="00E8065F">
              <w:rPr>
                <w:color w:val="000000"/>
                <w:sz w:val="20"/>
                <w:szCs w:val="20"/>
              </w:rPr>
              <w:t xml:space="preserve"> </w:t>
            </w:r>
          </w:p>
        </w:tc>
        <w:tc>
          <w:tcPr>
            <w:tcW w:w="1994" w:type="dxa"/>
            <w:tcBorders>
              <w:top w:val="nil"/>
              <w:left w:val="single" w:sz="4" w:space="0" w:color="auto"/>
              <w:bottom w:val="single" w:sz="4" w:space="0" w:color="auto"/>
              <w:right w:val="single" w:sz="4" w:space="0" w:color="auto"/>
            </w:tcBorders>
            <w:shd w:val="clear" w:color="auto" w:fill="auto"/>
          </w:tcPr>
          <w:p w:rsidR="00D06A2F" w:rsidRPr="00E8065F" w:rsidRDefault="00D06A2F" w:rsidP="00D5127A">
            <w:pPr>
              <w:spacing w:line="235" w:lineRule="auto"/>
              <w:jc w:val="center"/>
              <w:rPr>
                <w:color w:val="000000"/>
                <w:sz w:val="20"/>
                <w:szCs w:val="20"/>
              </w:rPr>
            </w:pPr>
            <w:r w:rsidRPr="00E8065F">
              <w:rPr>
                <w:color w:val="000000"/>
                <w:sz w:val="20"/>
                <w:szCs w:val="20"/>
              </w:rPr>
              <w:t>Колоноскоп</w:t>
            </w:r>
          </w:p>
        </w:tc>
        <w:tc>
          <w:tcPr>
            <w:tcW w:w="1181" w:type="dxa"/>
            <w:tcBorders>
              <w:top w:val="nil"/>
              <w:left w:val="single" w:sz="4" w:space="0" w:color="auto"/>
              <w:bottom w:val="single" w:sz="4" w:space="0" w:color="auto"/>
              <w:right w:val="single" w:sz="4" w:space="0" w:color="auto"/>
            </w:tcBorders>
            <w:shd w:val="clear" w:color="auto" w:fill="auto"/>
          </w:tcPr>
          <w:p w:rsidR="00D06A2F" w:rsidRPr="005D7240" w:rsidRDefault="00D06A2F" w:rsidP="00D5127A">
            <w:pPr>
              <w:spacing w:line="235" w:lineRule="auto"/>
              <w:jc w:val="center"/>
              <w:rPr>
                <w:color w:val="000000"/>
                <w:sz w:val="20"/>
                <w:szCs w:val="20"/>
                <w:lang w:val="en-US"/>
              </w:rPr>
            </w:pPr>
            <w:r w:rsidRPr="00E8065F">
              <w:rPr>
                <w:color w:val="000000"/>
                <w:sz w:val="20"/>
                <w:szCs w:val="20"/>
              </w:rPr>
              <w:t>2016</w:t>
            </w:r>
            <w:r w:rsidR="003D79B3">
              <w:rPr>
                <w:color w:val="000000"/>
                <w:sz w:val="20"/>
                <w:szCs w:val="20"/>
              </w:rPr>
              <w:t xml:space="preserve"> </w:t>
            </w:r>
            <w:r w:rsidR="005D7240">
              <w:rPr>
                <w:color w:val="000000"/>
                <w:sz w:val="20"/>
                <w:szCs w:val="20"/>
                <w:lang w:val="en-US"/>
              </w:rPr>
              <w:t>(2)</w:t>
            </w:r>
          </w:p>
          <w:p w:rsidR="00D06A2F" w:rsidRPr="005D7240" w:rsidRDefault="00D06A2F" w:rsidP="00D5127A">
            <w:pPr>
              <w:spacing w:line="235" w:lineRule="auto"/>
              <w:jc w:val="center"/>
              <w:rPr>
                <w:color w:val="000000"/>
                <w:sz w:val="20"/>
                <w:szCs w:val="20"/>
                <w:lang w:val="en-US"/>
              </w:rPr>
            </w:pPr>
            <w:r w:rsidRPr="00E8065F">
              <w:rPr>
                <w:color w:val="000000"/>
                <w:sz w:val="20"/>
                <w:szCs w:val="20"/>
              </w:rPr>
              <w:t>2017</w:t>
            </w:r>
            <w:r w:rsidR="003D79B3">
              <w:rPr>
                <w:color w:val="000000"/>
                <w:sz w:val="20"/>
                <w:szCs w:val="20"/>
              </w:rPr>
              <w:t xml:space="preserve"> </w:t>
            </w:r>
            <w:r w:rsidR="005D7240">
              <w:rPr>
                <w:color w:val="000000"/>
                <w:sz w:val="20"/>
                <w:szCs w:val="20"/>
                <w:lang w:val="en-US"/>
              </w:rPr>
              <w:t>(2)</w:t>
            </w:r>
          </w:p>
          <w:p w:rsidR="00D06A2F" w:rsidRPr="005D7240" w:rsidRDefault="00D06A2F" w:rsidP="00D5127A">
            <w:pPr>
              <w:spacing w:line="235" w:lineRule="auto"/>
              <w:jc w:val="center"/>
              <w:rPr>
                <w:color w:val="000000"/>
                <w:sz w:val="20"/>
                <w:szCs w:val="20"/>
              </w:rPr>
            </w:pPr>
            <w:r w:rsidRPr="00E8065F">
              <w:rPr>
                <w:color w:val="000000"/>
                <w:sz w:val="20"/>
                <w:szCs w:val="20"/>
              </w:rPr>
              <w:t>2023</w:t>
            </w:r>
            <w:r w:rsidR="003D79B3">
              <w:rPr>
                <w:color w:val="000000"/>
                <w:sz w:val="20"/>
                <w:szCs w:val="20"/>
              </w:rPr>
              <w:t xml:space="preserve"> </w:t>
            </w:r>
            <w:r w:rsidR="005D7240">
              <w:rPr>
                <w:color w:val="000000"/>
                <w:sz w:val="20"/>
                <w:szCs w:val="20"/>
                <w:lang w:val="en-US"/>
              </w:rPr>
              <w:t>(7)</w:t>
            </w:r>
          </w:p>
          <w:p w:rsidR="00D06A2F" w:rsidRPr="00E8065F" w:rsidRDefault="00D06A2F" w:rsidP="00D5127A">
            <w:pPr>
              <w:spacing w:line="235" w:lineRule="auto"/>
              <w:jc w:val="center"/>
              <w:rPr>
                <w:color w:val="000000"/>
                <w:sz w:val="20"/>
                <w:szCs w:val="20"/>
              </w:rPr>
            </w:pPr>
            <w:r w:rsidRPr="00E8065F">
              <w:rPr>
                <w:color w:val="000000"/>
                <w:sz w:val="20"/>
                <w:szCs w:val="20"/>
              </w:rPr>
              <w:t>2024</w:t>
            </w:r>
            <w:r w:rsidR="003D79B3">
              <w:rPr>
                <w:color w:val="000000"/>
                <w:sz w:val="20"/>
                <w:szCs w:val="20"/>
              </w:rPr>
              <w:t xml:space="preserve"> </w:t>
            </w:r>
            <w:r w:rsidR="005D7240">
              <w:rPr>
                <w:color w:val="000000"/>
                <w:sz w:val="20"/>
                <w:szCs w:val="20"/>
              </w:rPr>
              <w:t>(3)</w:t>
            </w:r>
          </w:p>
        </w:tc>
        <w:tc>
          <w:tcPr>
            <w:tcW w:w="1181" w:type="dxa"/>
            <w:shd w:val="clear" w:color="auto" w:fill="auto"/>
          </w:tcPr>
          <w:p w:rsidR="00D06A2F" w:rsidRPr="00E8065F" w:rsidRDefault="00D06A2F" w:rsidP="00D5127A">
            <w:pPr>
              <w:spacing w:line="235" w:lineRule="auto"/>
              <w:jc w:val="center"/>
              <w:rPr>
                <w:color w:val="000000"/>
                <w:sz w:val="20"/>
                <w:szCs w:val="20"/>
              </w:rPr>
            </w:pPr>
            <w:r w:rsidRPr="00E8065F">
              <w:rPr>
                <w:color w:val="000000"/>
                <w:sz w:val="20"/>
                <w:szCs w:val="20"/>
              </w:rPr>
              <w:t>14</w:t>
            </w:r>
          </w:p>
        </w:tc>
        <w:tc>
          <w:tcPr>
            <w:tcW w:w="1478" w:type="dxa"/>
            <w:tcBorders>
              <w:top w:val="nil"/>
              <w:left w:val="single" w:sz="4" w:space="0" w:color="auto"/>
              <w:bottom w:val="single" w:sz="4" w:space="0" w:color="auto"/>
              <w:right w:val="single" w:sz="4" w:space="0" w:color="auto"/>
            </w:tcBorders>
            <w:shd w:val="clear" w:color="auto" w:fill="auto"/>
          </w:tcPr>
          <w:p w:rsidR="00D06A2F" w:rsidRPr="00E8065F" w:rsidRDefault="00D06A2F" w:rsidP="00D5127A">
            <w:pPr>
              <w:spacing w:line="235" w:lineRule="auto"/>
              <w:jc w:val="center"/>
              <w:rPr>
                <w:color w:val="000000"/>
                <w:sz w:val="20"/>
                <w:szCs w:val="20"/>
              </w:rPr>
            </w:pPr>
            <w:r w:rsidRPr="00E8065F">
              <w:rPr>
                <w:color w:val="000000"/>
                <w:sz w:val="20"/>
                <w:szCs w:val="20"/>
              </w:rPr>
              <w:t>16,6</w:t>
            </w:r>
          </w:p>
        </w:tc>
        <w:tc>
          <w:tcPr>
            <w:tcW w:w="1111" w:type="dxa"/>
            <w:tcBorders>
              <w:top w:val="nil"/>
              <w:left w:val="single" w:sz="4" w:space="0" w:color="auto"/>
              <w:bottom w:val="single" w:sz="4" w:space="0" w:color="auto"/>
              <w:right w:val="single" w:sz="4" w:space="0" w:color="auto"/>
            </w:tcBorders>
            <w:shd w:val="clear" w:color="auto" w:fill="auto"/>
          </w:tcPr>
          <w:p w:rsidR="00D06A2F" w:rsidRPr="00E8065F" w:rsidRDefault="00D06A2F" w:rsidP="00D5127A">
            <w:pPr>
              <w:spacing w:line="235" w:lineRule="auto"/>
              <w:jc w:val="center"/>
              <w:rPr>
                <w:color w:val="000000"/>
                <w:sz w:val="20"/>
                <w:szCs w:val="20"/>
              </w:rPr>
            </w:pPr>
            <w:r w:rsidRPr="00E8065F">
              <w:rPr>
                <w:color w:val="000000"/>
                <w:sz w:val="20"/>
                <w:szCs w:val="20"/>
              </w:rPr>
              <w:t>1</w:t>
            </w:r>
          </w:p>
        </w:tc>
        <w:tc>
          <w:tcPr>
            <w:tcW w:w="1944" w:type="dxa"/>
            <w:tcBorders>
              <w:top w:val="nil"/>
              <w:left w:val="single" w:sz="4" w:space="0" w:color="auto"/>
              <w:bottom w:val="single" w:sz="4" w:space="0" w:color="auto"/>
              <w:right w:val="single" w:sz="4" w:space="0" w:color="auto"/>
            </w:tcBorders>
            <w:shd w:val="clear" w:color="auto" w:fill="auto"/>
          </w:tcPr>
          <w:p w:rsidR="00D06A2F" w:rsidRPr="00E8065F" w:rsidRDefault="00D06A2F" w:rsidP="00D5127A">
            <w:pPr>
              <w:spacing w:line="235" w:lineRule="auto"/>
              <w:jc w:val="center"/>
              <w:rPr>
                <w:color w:val="000000"/>
                <w:sz w:val="20"/>
                <w:szCs w:val="20"/>
              </w:rPr>
            </w:pPr>
            <w:r w:rsidRPr="00E8065F">
              <w:rPr>
                <w:color w:val="000000"/>
                <w:sz w:val="20"/>
                <w:szCs w:val="20"/>
              </w:rPr>
              <w:t>Амбулаторное</w:t>
            </w:r>
          </w:p>
        </w:tc>
      </w:tr>
      <w:tr w:rsidR="00D06A2F" w:rsidRPr="00E8065F" w:rsidTr="00CD3A6F">
        <w:trPr>
          <w:trHeight w:val="20"/>
        </w:trPr>
        <w:tc>
          <w:tcPr>
            <w:tcW w:w="1555" w:type="dxa"/>
            <w:vMerge/>
            <w:tcBorders>
              <w:left w:val="single" w:sz="4" w:space="0" w:color="auto"/>
              <w:right w:val="single" w:sz="4" w:space="0" w:color="auto"/>
            </w:tcBorders>
          </w:tcPr>
          <w:p w:rsidR="00D06A2F" w:rsidRPr="00E8065F" w:rsidRDefault="00D06A2F" w:rsidP="00BA1432">
            <w:pPr>
              <w:rPr>
                <w:sz w:val="20"/>
                <w:szCs w:val="20"/>
              </w:rPr>
            </w:pPr>
          </w:p>
        </w:tc>
        <w:tc>
          <w:tcPr>
            <w:tcW w:w="3685" w:type="dxa"/>
            <w:tcBorders>
              <w:top w:val="nil"/>
              <w:left w:val="single" w:sz="4" w:space="0" w:color="auto"/>
              <w:bottom w:val="single" w:sz="4" w:space="0" w:color="auto"/>
              <w:right w:val="single" w:sz="4" w:space="0" w:color="auto"/>
            </w:tcBorders>
            <w:shd w:val="clear" w:color="auto" w:fill="auto"/>
          </w:tcPr>
          <w:p w:rsidR="00D06A2F" w:rsidRPr="00E8065F" w:rsidRDefault="00D06A2F" w:rsidP="00DC0475">
            <w:pPr>
              <w:jc w:val="both"/>
              <w:rPr>
                <w:color w:val="000000"/>
                <w:sz w:val="20"/>
                <w:szCs w:val="20"/>
              </w:rPr>
            </w:pPr>
            <w:r w:rsidRPr="00E8065F">
              <w:rPr>
                <w:color w:val="000000"/>
                <w:sz w:val="20"/>
                <w:szCs w:val="20"/>
              </w:rPr>
              <w:t xml:space="preserve">ГАУЗ </w:t>
            </w:r>
            <w:r>
              <w:rPr>
                <w:color w:val="000000"/>
                <w:sz w:val="20"/>
                <w:szCs w:val="20"/>
              </w:rPr>
              <w:t>«</w:t>
            </w:r>
            <w:r w:rsidRPr="00E8065F">
              <w:rPr>
                <w:color w:val="000000"/>
                <w:sz w:val="20"/>
                <w:szCs w:val="20"/>
              </w:rPr>
              <w:t>Новошешминская ЦРБ</w:t>
            </w:r>
            <w:r>
              <w:rPr>
                <w:color w:val="000000"/>
                <w:sz w:val="20"/>
                <w:szCs w:val="20"/>
              </w:rPr>
              <w:t>»</w:t>
            </w:r>
          </w:p>
        </w:tc>
        <w:tc>
          <w:tcPr>
            <w:tcW w:w="1994" w:type="dxa"/>
            <w:tcBorders>
              <w:top w:val="nil"/>
              <w:left w:val="single" w:sz="4" w:space="0" w:color="auto"/>
              <w:bottom w:val="single" w:sz="4" w:space="0" w:color="auto"/>
              <w:right w:val="single" w:sz="4" w:space="0" w:color="auto"/>
            </w:tcBorders>
            <w:shd w:val="clear" w:color="auto" w:fill="auto"/>
          </w:tcPr>
          <w:p w:rsidR="00D06A2F" w:rsidRPr="00E8065F" w:rsidRDefault="00D06A2F" w:rsidP="00BA1432">
            <w:pPr>
              <w:jc w:val="center"/>
              <w:rPr>
                <w:color w:val="000000"/>
                <w:sz w:val="20"/>
                <w:szCs w:val="20"/>
              </w:rPr>
            </w:pPr>
            <w:r w:rsidRPr="00E8065F">
              <w:rPr>
                <w:color w:val="000000"/>
                <w:sz w:val="20"/>
                <w:szCs w:val="20"/>
              </w:rPr>
              <w:t>Колоноскоп</w:t>
            </w:r>
          </w:p>
        </w:tc>
        <w:tc>
          <w:tcPr>
            <w:tcW w:w="1181" w:type="dxa"/>
            <w:tcBorders>
              <w:top w:val="nil"/>
              <w:left w:val="single" w:sz="4" w:space="0" w:color="auto"/>
              <w:bottom w:val="single" w:sz="4" w:space="0" w:color="auto"/>
              <w:right w:val="single" w:sz="4" w:space="0" w:color="auto"/>
            </w:tcBorders>
            <w:shd w:val="clear" w:color="auto" w:fill="auto"/>
          </w:tcPr>
          <w:p w:rsidR="00D06A2F" w:rsidRPr="00E8065F" w:rsidRDefault="00D06A2F" w:rsidP="000546C2">
            <w:pPr>
              <w:jc w:val="center"/>
              <w:rPr>
                <w:color w:val="000000"/>
                <w:sz w:val="20"/>
                <w:szCs w:val="20"/>
              </w:rPr>
            </w:pPr>
            <w:r w:rsidRPr="00E8065F">
              <w:rPr>
                <w:color w:val="000000"/>
                <w:sz w:val="20"/>
                <w:szCs w:val="20"/>
              </w:rPr>
              <w:t>2016</w:t>
            </w:r>
            <w:r w:rsidR="003D79B3">
              <w:rPr>
                <w:color w:val="000000"/>
                <w:sz w:val="20"/>
                <w:szCs w:val="20"/>
              </w:rPr>
              <w:t xml:space="preserve"> </w:t>
            </w:r>
            <w:r w:rsidR="005D7240">
              <w:rPr>
                <w:color w:val="000000"/>
                <w:sz w:val="20"/>
                <w:szCs w:val="20"/>
              </w:rPr>
              <w:t>(1)</w:t>
            </w:r>
          </w:p>
          <w:p w:rsidR="00D06A2F" w:rsidRPr="00E8065F" w:rsidRDefault="00D06A2F" w:rsidP="000546C2">
            <w:pPr>
              <w:jc w:val="center"/>
              <w:rPr>
                <w:color w:val="000000"/>
                <w:sz w:val="20"/>
                <w:szCs w:val="20"/>
              </w:rPr>
            </w:pPr>
            <w:r w:rsidRPr="00E8065F">
              <w:rPr>
                <w:color w:val="000000"/>
                <w:sz w:val="20"/>
                <w:szCs w:val="20"/>
              </w:rPr>
              <w:t>2022</w:t>
            </w:r>
            <w:r w:rsidR="003D79B3">
              <w:rPr>
                <w:color w:val="000000"/>
                <w:sz w:val="20"/>
                <w:szCs w:val="20"/>
              </w:rPr>
              <w:t xml:space="preserve"> </w:t>
            </w:r>
            <w:r w:rsidR="005D7240">
              <w:rPr>
                <w:color w:val="000000"/>
                <w:sz w:val="20"/>
                <w:szCs w:val="20"/>
              </w:rPr>
              <w:t>(1)</w:t>
            </w:r>
          </w:p>
        </w:tc>
        <w:tc>
          <w:tcPr>
            <w:tcW w:w="1181" w:type="dxa"/>
            <w:shd w:val="clear" w:color="auto" w:fill="auto"/>
          </w:tcPr>
          <w:p w:rsidR="00D06A2F" w:rsidRPr="00E8065F" w:rsidRDefault="00D06A2F" w:rsidP="000546C2">
            <w:pPr>
              <w:jc w:val="center"/>
              <w:rPr>
                <w:color w:val="000000"/>
                <w:sz w:val="20"/>
                <w:szCs w:val="20"/>
              </w:rPr>
            </w:pPr>
            <w:r w:rsidRPr="00E8065F">
              <w:rPr>
                <w:color w:val="000000"/>
                <w:sz w:val="20"/>
                <w:szCs w:val="20"/>
              </w:rPr>
              <w:t>2</w:t>
            </w:r>
          </w:p>
        </w:tc>
        <w:tc>
          <w:tcPr>
            <w:tcW w:w="1478" w:type="dxa"/>
            <w:tcBorders>
              <w:top w:val="nil"/>
              <w:left w:val="single" w:sz="4" w:space="0" w:color="auto"/>
              <w:bottom w:val="single" w:sz="4" w:space="0" w:color="auto"/>
              <w:right w:val="single" w:sz="4" w:space="0" w:color="auto"/>
            </w:tcBorders>
            <w:shd w:val="clear" w:color="auto" w:fill="auto"/>
          </w:tcPr>
          <w:p w:rsidR="00D06A2F" w:rsidRPr="00E8065F" w:rsidRDefault="00D06A2F" w:rsidP="000546C2">
            <w:pPr>
              <w:jc w:val="center"/>
              <w:rPr>
                <w:color w:val="000000"/>
                <w:sz w:val="20"/>
                <w:szCs w:val="20"/>
              </w:rPr>
            </w:pPr>
            <w:r w:rsidRPr="00E8065F">
              <w:rPr>
                <w:color w:val="000000"/>
                <w:sz w:val="20"/>
                <w:szCs w:val="20"/>
              </w:rPr>
              <w:t>0,4</w:t>
            </w:r>
          </w:p>
        </w:tc>
        <w:tc>
          <w:tcPr>
            <w:tcW w:w="1111" w:type="dxa"/>
            <w:tcBorders>
              <w:top w:val="nil"/>
              <w:left w:val="single" w:sz="4" w:space="0" w:color="auto"/>
              <w:bottom w:val="single" w:sz="4" w:space="0" w:color="auto"/>
              <w:right w:val="single" w:sz="4" w:space="0" w:color="auto"/>
            </w:tcBorders>
            <w:shd w:val="clear" w:color="auto" w:fill="auto"/>
          </w:tcPr>
          <w:p w:rsidR="00D06A2F" w:rsidRPr="00E8065F" w:rsidRDefault="00D06A2F" w:rsidP="000546C2">
            <w:pPr>
              <w:jc w:val="center"/>
              <w:rPr>
                <w:color w:val="000000"/>
                <w:sz w:val="20"/>
                <w:szCs w:val="20"/>
              </w:rPr>
            </w:pPr>
            <w:r w:rsidRPr="00E8065F">
              <w:rPr>
                <w:color w:val="000000"/>
                <w:sz w:val="20"/>
                <w:szCs w:val="20"/>
              </w:rPr>
              <w:t>1</w:t>
            </w:r>
          </w:p>
        </w:tc>
        <w:tc>
          <w:tcPr>
            <w:tcW w:w="1944" w:type="dxa"/>
            <w:tcBorders>
              <w:top w:val="nil"/>
              <w:left w:val="single" w:sz="4" w:space="0" w:color="auto"/>
              <w:bottom w:val="single" w:sz="4" w:space="0" w:color="auto"/>
              <w:right w:val="single" w:sz="4" w:space="0" w:color="auto"/>
            </w:tcBorders>
            <w:shd w:val="clear" w:color="auto" w:fill="auto"/>
          </w:tcPr>
          <w:p w:rsidR="00D06A2F" w:rsidRPr="00E8065F" w:rsidRDefault="00D06A2F" w:rsidP="00BA1432">
            <w:pPr>
              <w:jc w:val="center"/>
              <w:rPr>
                <w:color w:val="000000"/>
                <w:sz w:val="20"/>
                <w:szCs w:val="20"/>
              </w:rPr>
            </w:pPr>
            <w:r w:rsidRPr="00E8065F">
              <w:rPr>
                <w:color w:val="000000"/>
                <w:sz w:val="20"/>
                <w:szCs w:val="20"/>
              </w:rPr>
              <w:t>Амбулаторное</w:t>
            </w:r>
          </w:p>
        </w:tc>
      </w:tr>
      <w:tr w:rsidR="00D06A2F" w:rsidRPr="00E8065F" w:rsidTr="00CD3A6F">
        <w:trPr>
          <w:trHeight w:val="20"/>
        </w:trPr>
        <w:tc>
          <w:tcPr>
            <w:tcW w:w="1555" w:type="dxa"/>
            <w:vMerge/>
            <w:tcBorders>
              <w:left w:val="single" w:sz="4" w:space="0" w:color="auto"/>
              <w:right w:val="single" w:sz="4" w:space="0" w:color="auto"/>
            </w:tcBorders>
          </w:tcPr>
          <w:p w:rsidR="00D06A2F" w:rsidRPr="00E8065F" w:rsidRDefault="00D06A2F" w:rsidP="00BA1432">
            <w:pPr>
              <w:rPr>
                <w:sz w:val="20"/>
                <w:szCs w:val="20"/>
              </w:rPr>
            </w:pPr>
          </w:p>
        </w:tc>
        <w:tc>
          <w:tcPr>
            <w:tcW w:w="3685" w:type="dxa"/>
            <w:tcBorders>
              <w:top w:val="nil"/>
              <w:left w:val="single" w:sz="4" w:space="0" w:color="auto"/>
              <w:bottom w:val="single" w:sz="4" w:space="0" w:color="auto"/>
              <w:right w:val="single" w:sz="4" w:space="0" w:color="auto"/>
            </w:tcBorders>
            <w:shd w:val="clear" w:color="auto" w:fill="auto"/>
          </w:tcPr>
          <w:p w:rsidR="00D06A2F" w:rsidRPr="00E8065F" w:rsidRDefault="00D06A2F" w:rsidP="00DC0475">
            <w:pPr>
              <w:jc w:val="both"/>
              <w:rPr>
                <w:color w:val="000000"/>
                <w:sz w:val="20"/>
                <w:szCs w:val="20"/>
              </w:rPr>
            </w:pPr>
            <w:r w:rsidRPr="00E8065F">
              <w:rPr>
                <w:color w:val="000000"/>
                <w:sz w:val="20"/>
                <w:szCs w:val="20"/>
              </w:rPr>
              <w:t xml:space="preserve">ГАУЗ </w:t>
            </w:r>
            <w:r>
              <w:rPr>
                <w:color w:val="000000"/>
                <w:sz w:val="20"/>
                <w:szCs w:val="20"/>
              </w:rPr>
              <w:t>«</w:t>
            </w:r>
            <w:r w:rsidRPr="00E8065F">
              <w:rPr>
                <w:color w:val="000000"/>
                <w:sz w:val="20"/>
                <w:szCs w:val="20"/>
              </w:rPr>
              <w:t>Нурлатская ЦРБ</w:t>
            </w:r>
            <w:r>
              <w:rPr>
                <w:color w:val="000000"/>
                <w:sz w:val="20"/>
                <w:szCs w:val="20"/>
              </w:rPr>
              <w:t>»</w:t>
            </w:r>
          </w:p>
        </w:tc>
        <w:tc>
          <w:tcPr>
            <w:tcW w:w="1994" w:type="dxa"/>
            <w:tcBorders>
              <w:top w:val="nil"/>
              <w:left w:val="single" w:sz="4" w:space="0" w:color="auto"/>
              <w:bottom w:val="single" w:sz="4" w:space="0" w:color="auto"/>
              <w:right w:val="single" w:sz="4" w:space="0" w:color="auto"/>
            </w:tcBorders>
            <w:shd w:val="clear" w:color="auto" w:fill="auto"/>
          </w:tcPr>
          <w:p w:rsidR="00D06A2F" w:rsidRPr="00E8065F" w:rsidRDefault="00D06A2F" w:rsidP="00BA1432">
            <w:pPr>
              <w:jc w:val="center"/>
              <w:rPr>
                <w:color w:val="000000"/>
                <w:sz w:val="20"/>
                <w:szCs w:val="20"/>
              </w:rPr>
            </w:pPr>
            <w:r w:rsidRPr="00E8065F">
              <w:rPr>
                <w:color w:val="000000"/>
                <w:sz w:val="20"/>
                <w:szCs w:val="20"/>
              </w:rPr>
              <w:t>Колоноскоп</w:t>
            </w:r>
          </w:p>
        </w:tc>
        <w:tc>
          <w:tcPr>
            <w:tcW w:w="1181" w:type="dxa"/>
            <w:tcBorders>
              <w:top w:val="nil"/>
              <w:left w:val="single" w:sz="4" w:space="0" w:color="auto"/>
              <w:bottom w:val="single" w:sz="4" w:space="0" w:color="auto"/>
              <w:right w:val="single" w:sz="4" w:space="0" w:color="auto"/>
            </w:tcBorders>
            <w:shd w:val="clear" w:color="auto" w:fill="auto"/>
          </w:tcPr>
          <w:p w:rsidR="00D06A2F" w:rsidRPr="00E8065F" w:rsidRDefault="00D06A2F" w:rsidP="000546C2">
            <w:pPr>
              <w:jc w:val="center"/>
              <w:rPr>
                <w:color w:val="000000"/>
                <w:sz w:val="20"/>
                <w:szCs w:val="20"/>
              </w:rPr>
            </w:pPr>
            <w:r w:rsidRPr="00E8065F">
              <w:rPr>
                <w:color w:val="000000"/>
                <w:sz w:val="20"/>
                <w:szCs w:val="20"/>
              </w:rPr>
              <w:t>2022</w:t>
            </w:r>
          </w:p>
        </w:tc>
        <w:tc>
          <w:tcPr>
            <w:tcW w:w="1181" w:type="dxa"/>
            <w:shd w:val="clear" w:color="auto" w:fill="auto"/>
          </w:tcPr>
          <w:p w:rsidR="00D06A2F" w:rsidRPr="00E8065F" w:rsidRDefault="00D06A2F" w:rsidP="000546C2">
            <w:pPr>
              <w:jc w:val="center"/>
              <w:rPr>
                <w:color w:val="000000"/>
                <w:sz w:val="20"/>
                <w:szCs w:val="20"/>
              </w:rPr>
            </w:pPr>
            <w:r w:rsidRPr="00E8065F">
              <w:rPr>
                <w:color w:val="000000"/>
                <w:sz w:val="20"/>
                <w:szCs w:val="20"/>
              </w:rPr>
              <w:t>1</w:t>
            </w:r>
          </w:p>
        </w:tc>
        <w:tc>
          <w:tcPr>
            <w:tcW w:w="1478" w:type="dxa"/>
            <w:tcBorders>
              <w:top w:val="nil"/>
              <w:left w:val="single" w:sz="4" w:space="0" w:color="auto"/>
              <w:bottom w:val="single" w:sz="4" w:space="0" w:color="auto"/>
              <w:right w:val="single" w:sz="4" w:space="0" w:color="auto"/>
            </w:tcBorders>
            <w:shd w:val="clear" w:color="auto" w:fill="auto"/>
          </w:tcPr>
          <w:p w:rsidR="00D06A2F" w:rsidRPr="00E8065F" w:rsidRDefault="00D06A2F" w:rsidP="000546C2">
            <w:pPr>
              <w:jc w:val="center"/>
              <w:rPr>
                <w:color w:val="000000"/>
                <w:sz w:val="20"/>
                <w:szCs w:val="20"/>
              </w:rPr>
            </w:pPr>
            <w:r w:rsidRPr="00E8065F">
              <w:rPr>
                <w:color w:val="000000"/>
                <w:sz w:val="20"/>
                <w:szCs w:val="20"/>
              </w:rPr>
              <w:t>1,5</w:t>
            </w:r>
          </w:p>
        </w:tc>
        <w:tc>
          <w:tcPr>
            <w:tcW w:w="1111" w:type="dxa"/>
            <w:tcBorders>
              <w:top w:val="nil"/>
              <w:left w:val="single" w:sz="4" w:space="0" w:color="auto"/>
              <w:bottom w:val="single" w:sz="4" w:space="0" w:color="auto"/>
              <w:right w:val="single" w:sz="4" w:space="0" w:color="auto"/>
            </w:tcBorders>
            <w:shd w:val="clear" w:color="auto" w:fill="auto"/>
          </w:tcPr>
          <w:p w:rsidR="00D06A2F" w:rsidRPr="00E8065F" w:rsidRDefault="00D06A2F" w:rsidP="000546C2">
            <w:pPr>
              <w:jc w:val="center"/>
              <w:rPr>
                <w:color w:val="000000"/>
                <w:sz w:val="20"/>
                <w:szCs w:val="20"/>
              </w:rPr>
            </w:pPr>
            <w:r w:rsidRPr="00E8065F">
              <w:rPr>
                <w:color w:val="000000"/>
                <w:sz w:val="20"/>
                <w:szCs w:val="20"/>
              </w:rPr>
              <w:t>1</w:t>
            </w:r>
          </w:p>
        </w:tc>
        <w:tc>
          <w:tcPr>
            <w:tcW w:w="1944" w:type="dxa"/>
            <w:tcBorders>
              <w:top w:val="nil"/>
              <w:left w:val="single" w:sz="4" w:space="0" w:color="auto"/>
              <w:bottom w:val="single" w:sz="4" w:space="0" w:color="auto"/>
              <w:right w:val="single" w:sz="4" w:space="0" w:color="auto"/>
            </w:tcBorders>
            <w:shd w:val="clear" w:color="auto" w:fill="auto"/>
          </w:tcPr>
          <w:p w:rsidR="00D06A2F" w:rsidRPr="00E8065F" w:rsidRDefault="00D06A2F" w:rsidP="00BA1432">
            <w:pPr>
              <w:jc w:val="center"/>
              <w:rPr>
                <w:color w:val="000000"/>
                <w:sz w:val="20"/>
                <w:szCs w:val="20"/>
              </w:rPr>
            </w:pPr>
            <w:r w:rsidRPr="00E8065F">
              <w:rPr>
                <w:color w:val="000000"/>
                <w:sz w:val="20"/>
                <w:szCs w:val="20"/>
              </w:rPr>
              <w:t>Амбулаторное</w:t>
            </w:r>
          </w:p>
        </w:tc>
      </w:tr>
      <w:tr w:rsidR="00D06A2F" w:rsidRPr="00E8065F" w:rsidTr="00CD3A6F">
        <w:trPr>
          <w:trHeight w:val="20"/>
        </w:trPr>
        <w:tc>
          <w:tcPr>
            <w:tcW w:w="1555" w:type="dxa"/>
            <w:vMerge/>
            <w:tcBorders>
              <w:left w:val="single" w:sz="4" w:space="0" w:color="auto"/>
              <w:right w:val="single" w:sz="4" w:space="0" w:color="auto"/>
            </w:tcBorders>
          </w:tcPr>
          <w:p w:rsidR="00D06A2F" w:rsidRPr="00E8065F" w:rsidRDefault="00D06A2F" w:rsidP="00BA1432">
            <w:pPr>
              <w:rPr>
                <w:sz w:val="20"/>
                <w:szCs w:val="20"/>
              </w:rPr>
            </w:pPr>
          </w:p>
        </w:tc>
        <w:tc>
          <w:tcPr>
            <w:tcW w:w="3685" w:type="dxa"/>
            <w:tcBorders>
              <w:top w:val="nil"/>
              <w:left w:val="single" w:sz="4" w:space="0" w:color="auto"/>
              <w:bottom w:val="single" w:sz="4" w:space="0" w:color="auto"/>
              <w:right w:val="single" w:sz="4" w:space="0" w:color="auto"/>
            </w:tcBorders>
            <w:shd w:val="clear" w:color="auto" w:fill="auto"/>
          </w:tcPr>
          <w:p w:rsidR="00D06A2F" w:rsidRPr="00E8065F" w:rsidRDefault="00D06A2F" w:rsidP="00DC0475">
            <w:pPr>
              <w:jc w:val="both"/>
              <w:rPr>
                <w:color w:val="000000"/>
                <w:sz w:val="20"/>
                <w:szCs w:val="20"/>
              </w:rPr>
            </w:pPr>
            <w:r w:rsidRPr="00E8065F">
              <w:rPr>
                <w:color w:val="000000"/>
                <w:sz w:val="20"/>
                <w:szCs w:val="20"/>
              </w:rPr>
              <w:t xml:space="preserve">ГАУЗ </w:t>
            </w:r>
            <w:r>
              <w:rPr>
                <w:color w:val="000000"/>
                <w:sz w:val="20"/>
                <w:szCs w:val="20"/>
              </w:rPr>
              <w:t>«</w:t>
            </w:r>
            <w:r w:rsidRPr="00E8065F">
              <w:rPr>
                <w:color w:val="000000"/>
                <w:sz w:val="20"/>
                <w:szCs w:val="20"/>
              </w:rPr>
              <w:t>Рыбно-Слободская ЦРБ</w:t>
            </w:r>
            <w:r>
              <w:rPr>
                <w:color w:val="000000"/>
                <w:sz w:val="20"/>
                <w:szCs w:val="20"/>
              </w:rPr>
              <w:t>»</w:t>
            </w:r>
          </w:p>
        </w:tc>
        <w:tc>
          <w:tcPr>
            <w:tcW w:w="1994" w:type="dxa"/>
            <w:tcBorders>
              <w:top w:val="nil"/>
              <w:left w:val="single" w:sz="4" w:space="0" w:color="auto"/>
              <w:bottom w:val="single" w:sz="4" w:space="0" w:color="auto"/>
              <w:right w:val="single" w:sz="4" w:space="0" w:color="auto"/>
            </w:tcBorders>
            <w:shd w:val="clear" w:color="auto" w:fill="auto"/>
          </w:tcPr>
          <w:p w:rsidR="00D06A2F" w:rsidRPr="00E8065F" w:rsidRDefault="00D06A2F" w:rsidP="00BA1432">
            <w:pPr>
              <w:jc w:val="center"/>
              <w:rPr>
                <w:color w:val="000000"/>
                <w:sz w:val="20"/>
                <w:szCs w:val="20"/>
              </w:rPr>
            </w:pPr>
            <w:r w:rsidRPr="00E8065F">
              <w:rPr>
                <w:color w:val="000000"/>
                <w:sz w:val="20"/>
                <w:szCs w:val="20"/>
              </w:rPr>
              <w:t>Колоноскоп</w:t>
            </w:r>
          </w:p>
        </w:tc>
        <w:tc>
          <w:tcPr>
            <w:tcW w:w="1181" w:type="dxa"/>
            <w:tcBorders>
              <w:top w:val="nil"/>
              <w:left w:val="single" w:sz="4" w:space="0" w:color="auto"/>
              <w:bottom w:val="single" w:sz="4" w:space="0" w:color="auto"/>
              <w:right w:val="single" w:sz="4" w:space="0" w:color="auto"/>
            </w:tcBorders>
            <w:shd w:val="clear" w:color="auto" w:fill="auto"/>
          </w:tcPr>
          <w:p w:rsidR="00D06A2F" w:rsidRPr="00E8065F" w:rsidRDefault="00D06A2F" w:rsidP="000546C2">
            <w:pPr>
              <w:jc w:val="center"/>
              <w:rPr>
                <w:color w:val="000000"/>
                <w:sz w:val="20"/>
                <w:szCs w:val="20"/>
              </w:rPr>
            </w:pPr>
            <w:r w:rsidRPr="00E8065F">
              <w:rPr>
                <w:color w:val="000000"/>
                <w:sz w:val="20"/>
                <w:szCs w:val="20"/>
              </w:rPr>
              <w:t>2022</w:t>
            </w:r>
          </w:p>
        </w:tc>
        <w:tc>
          <w:tcPr>
            <w:tcW w:w="1181" w:type="dxa"/>
            <w:shd w:val="clear" w:color="auto" w:fill="auto"/>
          </w:tcPr>
          <w:p w:rsidR="00D06A2F" w:rsidRPr="00E8065F" w:rsidRDefault="00D06A2F" w:rsidP="000546C2">
            <w:pPr>
              <w:jc w:val="center"/>
              <w:rPr>
                <w:color w:val="000000"/>
                <w:sz w:val="20"/>
                <w:szCs w:val="20"/>
              </w:rPr>
            </w:pPr>
            <w:r w:rsidRPr="00E8065F">
              <w:rPr>
                <w:color w:val="000000"/>
                <w:sz w:val="20"/>
                <w:szCs w:val="20"/>
              </w:rPr>
              <w:t>1</w:t>
            </w:r>
          </w:p>
        </w:tc>
        <w:tc>
          <w:tcPr>
            <w:tcW w:w="1478" w:type="dxa"/>
            <w:tcBorders>
              <w:top w:val="nil"/>
              <w:left w:val="single" w:sz="4" w:space="0" w:color="auto"/>
              <w:bottom w:val="single" w:sz="4" w:space="0" w:color="auto"/>
              <w:right w:val="single" w:sz="4" w:space="0" w:color="auto"/>
            </w:tcBorders>
            <w:shd w:val="clear" w:color="auto" w:fill="auto"/>
          </w:tcPr>
          <w:p w:rsidR="00D06A2F" w:rsidRPr="00E8065F" w:rsidRDefault="00D06A2F" w:rsidP="000546C2">
            <w:pPr>
              <w:jc w:val="center"/>
              <w:rPr>
                <w:color w:val="000000"/>
                <w:sz w:val="20"/>
                <w:szCs w:val="20"/>
              </w:rPr>
            </w:pPr>
            <w:r w:rsidRPr="00E8065F">
              <w:rPr>
                <w:color w:val="000000"/>
                <w:sz w:val="20"/>
                <w:szCs w:val="20"/>
              </w:rPr>
              <w:t>1,6</w:t>
            </w:r>
          </w:p>
        </w:tc>
        <w:tc>
          <w:tcPr>
            <w:tcW w:w="1111" w:type="dxa"/>
            <w:tcBorders>
              <w:top w:val="nil"/>
              <w:left w:val="single" w:sz="4" w:space="0" w:color="auto"/>
              <w:bottom w:val="single" w:sz="4" w:space="0" w:color="auto"/>
              <w:right w:val="single" w:sz="4" w:space="0" w:color="auto"/>
            </w:tcBorders>
            <w:shd w:val="clear" w:color="auto" w:fill="auto"/>
          </w:tcPr>
          <w:p w:rsidR="00D06A2F" w:rsidRPr="00E8065F" w:rsidRDefault="00D06A2F" w:rsidP="000546C2">
            <w:pPr>
              <w:jc w:val="center"/>
              <w:rPr>
                <w:color w:val="000000"/>
                <w:sz w:val="20"/>
                <w:szCs w:val="20"/>
              </w:rPr>
            </w:pPr>
            <w:r w:rsidRPr="00E8065F">
              <w:rPr>
                <w:color w:val="000000"/>
                <w:sz w:val="20"/>
                <w:szCs w:val="20"/>
              </w:rPr>
              <w:t>1</w:t>
            </w:r>
          </w:p>
        </w:tc>
        <w:tc>
          <w:tcPr>
            <w:tcW w:w="1944" w:type="dxa"/>
            <w:tcBorders>
              <w:top w:val="nil"/>
              <w:left w:val="single" w:sz="4" w:space="0" w:color="auto"/>
              <w:bottom w:val="single" w:sz="4" w:space="0" w:color="auto"/>
              <w:right w:val="single" w:sz="4" w:space="0" w:color="auto"/>
            </w:tcBorders>
            <w:shd w:val="clear" w:color="auto" w:fill="auto"/>
          </w:tcPr>
          <w:p w:rsidR="00D06A2F" w:rsidRPr="00E8065F" w:rsidRDefault="00D06A2F" w:rsidP="00BA1432">
            <w:pPr>
              <w:jc w:val="center"/>
              <w:rPr>
                <w:color w:val="000000"/>
                <w:sz w:val="20"/>
                <w:szCs w:val="20"/>
              </w:rPr>
            </w:pPr>
            <w:r w:rsidRPr="00E8065F">
              <w:rPr>
                <w:color w:val="000000"/>
                <w:sz w:val="20"/>
                <w:szCs w:val="20"/>
              </w:rPr>
              <w:t>Амбулаторное</w:t>
            </w:r>
          </w:p>
        </w:tc>
      </w:tr>
      <w:tr w:rsidR="00D06A2F" w:rsidRPr="00E8065F" w:rsidTr="00CD3A6F">
        <w:trPr>
          <w:trHeight w:val="20"/>
        </w:trPr>
        <w:tc>
          <w:tcPr>
            <w:tcW w:w="1555" w:type="dxa"/>
            <w:vMerge/>
            <w:tcBorders>
              <w:left w:val="single" w:sz="4" w:space="0" w:color="auto"/>
              <w:right w:val="single" w:sz="4" w:space="0" w:color="auto"/>
            </w:tcBorders>
          </w:tcPr>
          <w:p w:rsidR="00D06A2F" w:rsidRPr="00E8065F" w:rsidRDefault="00D06A2F" w:rsidP="00BA1432">
            <w:pPr>
              <w:rPr>
                <w:sz w:val="20"/>
                <w:szCs w:val="20"/>
              </w:rPr>
            </w:pPr>
          </w:p>
        </w:tc>
        <w:tc>
          <w:tcPr>
            <w:tcW w:w="3685" w:type="dxa"/>
            <w:tcBorders>
              <w:top w:val="nil"/>
              <w:left w:val="single" w:sz="4" w:space="0" w:color="auto"/>
              <w:bottom w:val="single" w:sz="4" w:space="0" w:color="auto"/>
              <w:right w:val="single" w:sz="4" w:space="0" w:color="auto"/>
            </w:tcBorders>
            <w:shd w:val="clear" w:color="auto" w:fill="auto"/>
          </w:tcPr>
          <w:p w:rsidR="00D06A2F" w:rsidRPr="00E8065F" w:rsidRDefault="00D06A2F" w:rsidP="00CD3A6F">
            <w:pPr>
              <w:spacing w:line="235" w:lineRule="auto"/>
              <w:jc w:val="both"/>
              <w:rPr>
                <w:color w:val="000000"/>
                <w:sz w:val="20"/>
                <w:szCs w:val="20"/>
              </w:rPr>
            </w:pPr>
            <w:r w:rsidRPr="00E8065F">
              <w:rPr>
                <w:color w:val="000000"/>
                <w:sz w:val="20"/>
                <w:szCs w:val="20"/>
              </w:rPr>
              <w:t xml:space="preserve">ГАУЗ </w:t>
            </w:r>
            <w:r>
              <w:rPr>
                <w:color w:val="000000"/>
                <w:sz w:val="20"/>
                <w:szCs w:val="20"/>
              </w:rPr>
              <w:t>«</w:t>
            </w:r>
            <w:r w:rsidRPr="00E8065F">
              <w:rPr>
                <w:color w:val="000000"/>
                <w:sz w:val="20"/>
                <w:szCs w:val="20"/>
              </w:rPr>
              <w:t>Сабинская ЦРБ</w:t>
            </w:r>
            <w:r>
              <w:rPr>
                <w:color w:val="000000"/>
                <w:sz w:val="20"/>
                <w:szCs w:val="20"/>
              </w:rPr>
              <w:t>»</w:t>
            </w:r>
          </w:p>
        </w:tc>
        <w:tc>
          <w:tcPr>
            <w:tcW w:w="1994" w:type="dxa"/>
            <w:tcBorders>
              <w:top w:val="nil"/>
              <w:left w:val="single" w:sz="4" w:space="0" w:color="auto"/>
              <w:bottom w:val="single" w:sz="4" w:space="0" w:color="auto"/>
              <w:right w:val="single" w:sz="4" w:space="0" w:color="auto"/>
            </w:tcBorders>
            <w:shd w:val="clear" w:color="auto" w:fill="auto"/>
          </w:tcPr>
          <w:p w:rsidR="00D06A2F" w:rsidRPr="00E8065F" w:rsidRDefault="00D06A2F" w:rsidP="00CD3A6F">
            <w:pPr>
              <w:spacing w:line="235" w:lineRule="auto"/>
              <w:jc w:val="center"/>
              <w:rPr>
                <w:color w:val="000000"/>
                <w:sz w:val="20"/>
                <w:szCs w:val="20"/>
              </w:rPr>
            </w:pPr>
            <w:r w:rsidRPr="00E8065F">
              <w:rPr>
                <w:color w:val="000000"/>
                <w:sz w:val="20"/>
                <w:szCs w:val="20"/>
              </w:rPr>
              <w:t>Колоноскоп</w:t>
            </w:r>
          </w:p>
        </w:tc>
        <w:tc>
          <w:tcPr>
            <w:tcW w:w="1181" w:type="dxa"/>
            <w:tcBorders>
              <w:top w:val="nil"/>
              <w:left w:val="single" w:sz="4" w:space="0" w:color="auto"/>
              <w:bottom w:val="single" w:sz="4" w:space="0" w:color="auto"/>
              <w:right w:val="single" w:sz="4" w:space="0" w:color="auto"/>
            </w:tcBorders>
            <w:shd w:val="clear" w:color="auto" w:fill="auto"/>
          </w:tcPr>
          <w:p w:rsidR="00D06A2F" w:rsidRPr="00E8065F" w:rsidRDefault="00D06A2F" w:rsidP="00CD3A6F">
            <w:pPr>
              <w:spacing w:line="235" w:lineRule="auto"/>
              <w:jc w:val="center"/>
              <w:rPr>
                <w:color w:val="000000"/>
                <w:sz w:val="20"/>
                <w:szCs w:val="20"/>
              </w:rPr>
            </w:pPr>
            <w:r w:rsidRPr="00E8065F">
              <w:rPr>
                <w:color w:val="000000"/>
                <w:sz w:val="20"/>
                <w:szCs w:val="20"/>
              </w:rPr>
              <w:t>2022</w:t>
            </w:r>
          </w:p>
        </w:tc>
        <w:tc>
          <w:tcPr>
            <w:tcW w:w="1181" w:type="dxa"/>
            <w:shd w:val="clear" w:color="auto" w:fill="auto"/>
          </w:tcPr>
          <w:p w:rsidR="00D06A2F" w:rsidRPr="00E8065F" w:rsidRDefault="00D06A2F" w:rsidP="00CD3A6F">
            <w:pPr>
              <w:spacing w:line="235" w:lineRule="auto"/>
              <w:jc w:val="center"/>
              <w:rPr>
                <w:color w:val="000000"/>
                <w:sz w:val="20"/>
                <w:szCs w:val="20"/>
              </w:rPr>
            </w:pPr>
            <w:r w:rsidRPr="00E8065F">
              <w:rPr>
                <w:color w:val="000000"/>
                <w:sz w:val="20"/>
                <w:szCs w:val="20"/>
              </w:rPr>
              <w:t>1</w:t>
            </w:r>
          </w:p>
        </w:tc>
        <w:tc>
          <w:tcPr>
            <w:tcW w:w="1478" w:type="dxa"/>
            <w:tcBorders>
              <w:top w:val="nil"/>
              <w:left w:val="single" w:sz="4" w:space="0" w:color="auto"/>
              <w:bottom w:val="single" w:sz="4" w:space="0" w:color="auto"/>
              <w:right w:val="single" w:sz="4" w:space="0" w:color="auto"/>
            </w:tcBorders>
            <w:shd w:val="clear" w:color="auto" w:fill="auto"/>
          </w:tcPr>
          <w:p w:rsidR="00D06A2F" w:rsidRPr="00E8065F" w:rsidRDefault="00D06A2F" w:rsidP="00CD3A6F">
            <w:pPr>
              <w:spacing w:line="235" w:lineRule="auto"/>
              <w:jc w:val="center"/>
              <w:rPr>
                <w:color w:val="000000"/>
                <w:sz w:val="20"/>
                <w:szCs w:val="20"/>
              </w:rPr>
            </w:pPr>
            <w:r w:rsidRPr="00E8065F">
              <w:rPr>
                <w:color w:val="000000"/>
                <w:sz w:val="20"/>
                <w:szCs w:val="20"/>
              </w:rPr>
              <w:t>1,0</w:t>
            </w:r>
          </w:p>
        </w:tc>
        <w:tc>
          <w:tcPr>
            <w:tcW w:w="1111" w:type="dxa"/>
            <w:tcBorders>
              <w:top w:val="nil"/>
              <w:left w:val="single" w:sz="4" w:space="0" w:color="auto"/>
              <w:bottom w:val="single" w:sz="4" w:space="0" w:color="auto"/>
              <w:right w:val="single" w:sz="4" w:space="0" w:color="auto"/>
            </w:tcBorders>
            <w:shd w:val="clear" w:color="auto" w:fill="auto"/>
          </w:tcPr>
          <w:p w:rsidR="00D06A2F" w:rsidRPr="00E8065F" w:rsidRDefault="00D06A2F" w:rsidP="00CD3A6F">
            <w:pPr>
              <w:spacing w:line="235" w:lineRule="auto"/>
              <w:jc w:val="center"/>
              <w:rPr>
                <w:color w:val="000000"/>
                <w:sz w:val="20"/>
                <w:szCs w:val="20"/>
              </w:rPr>
            </w:pPr>
            <w:r w:rsidRPr="00E8065F">
              <w:rPr>
                <w:color w:val="000000"/>
                <w:sz w:val="20"/>
                <w:szCs w:val="20"/>
              </w:rPr>
              <w:t>1</w:t>
            </w:r>
          </w:p>
        </w:tc>
        <w:tc>
          <w:tcPr>
            <w:tcW w:w="1944" w:type="dxa"/>
            <w:tcBorders>
              <w:top w:val="nil"/>
              <w:left w:val="single" w:sz="4" w:space="0" w:color="auto"/>
              <w:bottom w:val="single" w:sz="4" w:space="0" w:color="auto"/>
              <w:right w:val="single" w:sz="4" w:space="0" w:color="auto"/>
            </w:tcBorders>
            <w:shd w:val="clear" w:color="auto" w:fill="auto"/>
          </w:tcPr>
          <w:p w:rsidR="00D06A2F" w:rsidRPr="00E8065F" w:rsidRDefault="00D06A2F" w:rsidP="00CD3A6F">
            <w:pPr>
              <w:spacing w:line="235" w:lineRule="auto"/>
              <w:jc w:val="center"/>
              <w:rPr>
                <w:color w:val="000000"/>
                <w:sz w:val="20"/>
                <w:szCs w:val="20"/>
              </w:rPr>
            </w:pPr>
            <w:r w:rsidRPr="00E8065F">
              <w:rPr>
                <w:color w:val="000000"/>
                <w:sz w:val="20"/>
                <w:szCs w:val="20"/>
              </w:rPr>
              <w:t>Амбулаторное</w:t>
            </w:r>
          </w:p>
        </w:tc>
      </w:tr>
      <w:tr w:rsidR="00D06A2F" w:rsidRPr="00E8065F" w:rsidTr="00CD3A6F">
        <w:trPr>
          <w:trHeight w:val="20"/>
        </w:trPr>
        <w:tc>
          <w:tcPr>
            <w:tcW w:w="1555" w:type="dxa"/>
            <w:vMerge/>
            <w:tcBorders>
              <w:left w:val="single" w:sz="4" w:space="0" w:color="auto"/>
              <w:right w:val="single" w:sz="4" w:space="0" w:color="auto"/>
            </w:tcBorders>
          </w:tcPr>
          <w:p w:rsidR="00D06A2F" w:rsidRPr="00E8065F" w:rsidRDefault="00D06A2F" w:rsidP="00BA1432">
            <w:pPr>
              <w:rPr>
                <w:sz w:val="20"/>
                <w:szCs w:val="20"/>
              </w:rPr>
            </w:pPr>
          </w:p>
        </w:tc>
        <w:tc>
          <w:tcPr>
            <w:tcW w:w="3685" w:type="dxa"/>
            <w:tcBorders>
              <w:top w:val="nil"/>
              <w:left w:val="single" w:sz="4" w:space="0" w:color="auto"/>
              <w:bottom w:val="single" w:sz="4" w:space="0" w:color="auto"/>
              <w:right w:val="single" w:sz="4" w:space="0" w:color="auto"/>
            </w:tcBorders>
            <w:shd w:val="clear" w:color="auto" w:fill="auto"/>
          </w:tcPr>
          <w:p w:rsidR="00D06A2F" w:rsidRPr="00E8065F" w:rsidRDefault="00D06A2F" w:rsidP="00CD3A6F">
            <w:pPr>
              <w:spacing w:line="235" w:lineRule="auto"/>
              <w:jc w:val="both"/>
              <w:rPr>
                <w:color w:val="000000"/>
                <w:sz w:val="20"/>
                <w:szCs w:val="20"/>
              </w:rPr>
            </w:pPr>
            <w:r w:rsidRPr="00E8065F">
              <w:rPr>
                <w:color w:val="000000"/>
                <w:sz w:val="20"/>
                <w:szCs w:val="20"/>
              </w:rPr>
              <w:t xml:space="preserve">ГАУЗ </w:t>
            </w:r>
            <w:r>
              <w:rPr>
                <w:color w:val="000000"/>
                <w:sz w:val="20"/>
                <w:szCs w:val="20"/>
              </w:rPr>
              <w:t>«</w:t>
            </w:r>
            <w:r w:rsidRPr="00E8065F">
              <w:rPr>
                <w:color w:val="000000"/>
                <w:sz w:val="20"/>
                <w:szCs w:val="20"/>
              </w:rPr>
              <w:t>Сармановская ЦРБ</w:t>
            </w:r>
            <w:r>
              <w:rPr>
                <w:color w:val="000000"/>
                <w:sz w:val="20"/>
                <w:szCs w:val="20"/>
              </w:rPr>
              <w:t>»</w:t>
            </w:r>
          </w:p>
        </w:tc>
        <w:tc>
          <w:tcPr>
            <w:tcW w:w="1994" w:type="dxa"/>
            <w:tcBorders>
              <w:top w:val="nil"/>
              <w:left w:val="single" w:sz="4" w:space="0" w:color="auto"/>
              <w:bottom w:val="single" w:sz="4" w:space="0" w:color="auto"/>
              <w:right w:val="single" w:sz="4" w:space="0" w:color="auto"/>
            </w:tcBorders>
            <w:shd w:val="clear" w:color="auto" w:fill="auto"/>
          </w:tcPr>
          <w:p w:rsidR="00D06A2F" w:rsidRPr="00E8065F" w:rsidRDefault="00D06A2F" w:rsidP="00CD3A6F">
            <w:pPr>
              <w:spacing w:line="235" w:lineRule="auto"/>
              <w:jc w:val="center"/>
              <w:rPr>
                <w:color w:val="000000"/>
                <w:sz w:val="20"/>
                <w:szCs w:val="20"/>
              </w:rPr>
            </w:pPr>
            <w:r w:rsidRPr="00E8065F">
              <w:rPr>
                <w:color w:val="000000"/>
                <w:sz w:val="20"/>
                <w:szCs w:val="20"/>
              </w:rPr>
              <w:t>Колоноскоп</w:t>
            </w:r>
          </w:p>
        </w:tc>
        <w:tc>
          <w:tcPr>
            <w:tcW w:w="1181" w:type="dxa"/>
            <w:tcBorders>
              <w:top w:val="nil"/>
              <w:left w:val="single" w:sz="4" w:space="0" w:color="auto"/>
              <w:bottom w:val="single" w:sz="4" w:space="0" w:color="auto"/>
              <w:right w:val="single" w:sz="4" w:space="0" w:color="auto"/>
            </w:tcBorders>
            <w:shd w:val="clear" w:color="auto" w:fill="auto"/>
          </w:tcPr>
          <w:p w:rsidR="00D06A2F" w:rsidRPr="00E8065F" w:rsidRDefault="00D06A2F" w:rsidP="00CD3A6F">
            <w:pPr>
              <w:spacing w:line="235" w:lineRule="auto"/>
              <w:jc w:val="center"/>
              <w:rPr>
                <w:color w:val="000000"/>
                <w:sz w:val="20"/>
                <w:szCs w:val="20"/>
              </w:rPr>
            </w:pPr>
            <w:r w:rsidRPr="00E8065F">
              <w:rPr>
                <w:color w:val="000000"/>
                <w:sz w:val="20"/>
                <w:szCs w:val="20"/>
              </w:rPr>
              <w:t>2023</w:t>
            </w:r>
          </w:p>
        </w:tc>
        <w:tc>
          <w:tcPr>
            <w:tcW w:w="1181" w:type="dxa"/>
            <w:shd w:val="clear" w:color="auto" w:fill="auto"/>
          </w:tcPr>
          <w:p w:rsidR="00D06A2F" w:rsidRPr="00E8065F" w:rsidRDefault="00D06A2F" w:rsidP="00CD3A6F">
            <w:pPr>
              <w:spacing w:line="235" w:lineRule="auto"/>
              <w:jc w:val="center"/>
              <w:rPr>
                <w:color w:val="000000"/>
                <w:sz w:val="20"/>
                <w:szCs w:val="20"/>
              </w:rPr>
            </w:pPr>
            <w:r w:rsidRPr="00E8065F">
              <w:rPr>
                <w:color w:val="000000"/>
                <w:sz w:val="20"/>
                <w:szCs w:val="20"/>
              </w:rPr>
              <w:t>1</w:t>
            </w:r>
          </w:p>
        </w:tc>
        <w:tc>
          <w:tcPr>
            <w:tcW w:w="1478" w:type="dxa"/>
            <w:tcBorders>
              <w:top w:val="nil"/>
              <w:left w:val="single" w:sz="4" w:space="0" w:color="auto"/>
              <w:bottom w:val="single" w:sz="4" w:space="0" w:color="auto"/>
              <w:right w:val="single" w:sz="4" w:space="0" w:color="auto"/>
            </w:tcBorders>
            <w:shd w:val="clear" w:color="auto" w:fill="auto"/>
          </w:tcPr>
          <w:p w:rsidR="00D06A2F" w:rsidRPr="00E8065F" w:rsidRDefault="00D06A2F" w:rsidP="00CD3A6F">
            <w:pPr>
              <w:spacing w:line="235" w:lineRule="auto"/>
              <w:jc w:val="center"/>
              <w:rPr>
                <w:color w:val="000000"/>
                <w:sz w:val="20"/>
                <w:szCs w:val="20"/>
              </w:rPr>
            </w:pPr>
            <w:r w:rsidRPr="00E8065F">
              <w:rPr>
                <w:color w:val="000000"/>
                <w:sz w:val="20"/>
                <w:szCs w:val="20"/>
              </w:rPr>
              <w:t>0,5</w:t>
            </w:r>
          </w:p>
        </w:tc>
        <w:tc>
          <w:tcPr>
            <w:tcW w:w="1111" w:type="dxa"/>
            <w:tcBorders>
              <w:top w:val="nil"/>
              <w:left w:val="single" w:sz="4" w:space="0" w:color="auto"/>
              <w:bottom w:val="single" w:sz="4" w:space="0" w:color="auto"/>
              <w:right w:val="single" w:sz="4" w:space="0" w:color="auto"/>
            </w:tcBorders>
            <w:shd w:val="clear" w:color="auto" w:fill="auto"/>
          </w:tcPr>
          <w:p w:rsidR="00D06A2F" w:rsidRPr="00E8065F" w:rsidRDefault="00D06A2F" w:rsidP="00CD3A6F">
            <w:pPr>
              <w:spacing w:line="235" w:lineRule="auto"/>
              <w:jc w:val="center"/>
              <w:rPr>
                <w:color w:val="000000"/>
                <w:sz w:val="20"/>
                <w:szCs w:val="20"/>
              </w:rPr>
            </w:pPr>
            <w:r w:rsidRPr="00E8065F">
              <w:rPr>
                <w:color w:val="000000"/>
                <w:sz w:val="20"/>
                <w:szCs w:val="20"/>
              </w:rPr>
              <w:t>1</w:t>
            </w:r>
          </w:p>
        </w:tc>
        <w:tc>
          <w:tcPr>
            <w:tcW w:w="1944" w:type="dxa"/>
            <w:tcBorders>
              <w:top w:val="nil"/>
              <w:left w:val="single" w:sz="4" w:space="0" w:color="auto"/>
              <w:bottom w:val="single" w:sz="4" w:space="0" w:color="auto"/>
              <w:right w:val="single" w:sz="4" w:space="0" w:color="auto"/>
            </w:tcBorders>
            <w:shd w:val="clear" w:color="auto" w:fill="auto"/>
          </w:tcPr>
          <w:p w:rsidR="00D06A2F" w:rsidRPr="00E8065F" w:rsidRDefault="00D06A2F" w:rsidP="00CD3A6F">
            <w:pPr>
              <w:spacing w:line="235" w:lineRule="auto"/>
              <w:jc w:val="center"/>
              <w:rPr>
                <w:color w:val="000000"/>
                <w:sz w:val="20"/>
                <w:szCs w:val="20"/>
              </w:rPr>
            </w:pPr>
            <w:r w:rsidRPr="00E8065F">
              <w:rPr>
                <w:color w:val="000000"/>
                <w:sz w:val="20"/>
                <w:szCs w:val="20"/>
              </w:rPr>
              <w:t>Амбулаторное</w:t>
            </w:r>
          </w:p>
        </w:tc>
      </w:tr>
      <w:tr w:rsidR="00D06A2F" w:rsidRPr="00E8065F" w:rsidTr="00CD3A6F">
        <w:trPr>
          <w:trHeight w:val="20"/>
        </w:trPr>
        <w:tc>
          <w:tcPr>
            <w:tcW w:w="1555" w:type="dxa"/>
            <w:vMerge/>
            <w:tcBorders>
              <w:left w:val="single" w:sz="4" w:space="0" w:color="auto"/>
              <w:right w:val="single" w:sz="4" w:space="0" w:color="auto"/>
            </w:tcBorders>
          </w:tcPr>
          <w:p w:rsidR="00D06A2F" w:rsidRPr="00E8065F" w:rsidRDefault="00D06A2F" w:rsidP="00BA1432">
            <w:pPr>
              <w:rPr>
                <w:sz w:val="20"/>
                <w:szCs w:val="20"/>
              </w:rPr>
            </w:pPr>
          </w:p>
        </w:tc>
        <w:tc>
          <w:tcPr>
            <w:tcW w:w="3685" w:type="dxa"/>
            <w:tcBorders>
              <w:top w:val="nil"/>
              <w:left w:val="single" w:sz="4" w:space="0" w:color="auto"/>
              <w:bottom w:val="single" w:sz="4" w:space="0" w:color="auto"/>
              <w:right w:val="single" w:sz="4" w:space="0" w:color="auto"/>
            </w:tcBorders>
            <w:shd w:val="clear" w:color="auto" w:fill="auto"/>
          </w:tcPr>
          <w:p w:rsidR="00D06A2F" w:rsidRPr="00E8065F" w:rsidRDefault="00D06A2F" w:rsidP="00CD3A6F">
            <w:pPr>
              <w:spacing w:line="235" w:lineRule="auto"/>
              <w:jc w:val="both"/>
              <w:rPr>
                <w:color w:val="000000"/>
                <w:sz w:val="20"/>
                <w:szCs w:val="20"/>
              </w:rPr>
            </w:pPr>
            <w:r w:rsidRPr="00E8065F">
              <w:rPr>
                <w:color w:val="000000"/>
                <w:sz w:val="20"/>
                <w:szCs w:val="20"/>
              </w:rPr>
              <w:t xml:space="preserve">ГАУЗ </w:t>
            </w:r>
            <w:r>
              <w:rPr>
                <w:color w:val="000000"/>
                <w:sz w:val="20"/>
                <w:szCs w:val="20"/>
              </w:rPr>
              <w:t>«</w:t>
            </w:r>
            <w:r w:rsidRPr="00E8065F">
              <w:rPr>
                <w:color w:val="000000"/>
                <w:sz w:val="20"/>
                <w:szCs w:val="20"/>
              </w:rPr>
              <w:t>Тетюшская ЦРБ</w:t>
            </w:r>
            <w:r>
              <w:rPr>
                <w:color w:val="000000"/>
                <w:sz w:val="20"/>
                <w:szCs w:val="20"/>
              </w:rPr>
              <w:t>»</w:t>
            </w:r>
          </w:p>
        </w:tc>
        <w:tc>
          <w:tcPr>
            <w:tcW w:w="1994" w:type="dxa"/>
            <w:tcBorders>
              <w:top w:val="nil"/>
              <w:left w:val="single" w:sz="4" w:space="0" w:color="auto"/>
              <w:bottom w:val="single" w:sz="4" w:space="0" w:color="auto"/>
              <w:right w:val="single" w:sz="4" w:space="0" w:color="auto"/>
            </w:tcBorders>
            <w:shd w:val="clear" w:color="auto" w:fill="auto"/>
          </w:tcPr>
          <w:p w:rsidR="00D06A2F" w:rsidRPr="00E8065F" w:rsidRDefault="00D06A2F" w:rsidP="00CD3A6F">
            <w:pPr>
              <w:spacing w:line="235" w:lineRule="auto"/>
              <w:jc w:val="center"/>
              <w:rPr>
                <w:color w:val="000000"/>
                <w:sz w:val="20"/>
                <w:szCs w:val="20"/>
              </w:rPr>
            </w:pPr>
            <w:r w:rsidRPr="00E8065F">
              <w:rPr>
                <w:color w:val="000000"/>
                <w:sz w:val="20"/>
                <w:szCs w:val="20"/>
              </w:rPr>
              <w:t>Колоноскоп</w:t>
            </w:r>
          </w:p>
        </w:tc>
        <w:tc>
          <w:tcPr>
            <w:tcW w:w="1181" w:type="dxa"/>
            <w:tcBorders>
              <w:top w:val="nil"/>
              <w:left w:val="single" w:sz="4" w:space="0" w:color="auto"/>
              <w:bottom w:val="single" w:sz="4" w:space="0" w:color="auto"/>
              <w:right w:val="single" w:sz="4" w:space="0" w:color="auto"/>
            </w:tcBorders>
            <w:shd w:val="clear" w:color="auto" w:fill="auto"/>
          </w:tcPr>
          <w:p w:rsidR="00D06A2F" w:rsidRPr="00E8065F" w:rsidRDefault="00D06A2F" w:rsidP="00CD3A6F">
            <w:pPr>
              <w:spacing w:line="235" w:lineRule="auto"/>
              <w:jc w:val="center"/>
              <w:rPr>
                <w:color w:val="000000"/>
                <w:sz w:val="20"/>
                <w:szCs w:val="20"/>
              </w:rPr>
            </w:pPr>
            <w:r w:rsidRPr="00E8065F">
              <w:rPr>
                <w:color w:val="000000"/>
                <w:sz w:val="20"/>
                <w:szCs w:val="20"/>
              </w:rPr>
              <w:t>2017</w:t>
            </w:r>
            <w:r w:rsidR="003D79B3">
              <w:rPr>
                <w:color w:val="000000"/>
                <w:sz w:val="20"/>
                <w:szCs w:val="20"/>
              </w:rPr>
              <w:t xml:space="preserve"> </w:t>
            </w:r>
            <w:r w:rsidR="005D7240">
              <w:rPr>
                <w:color w:val="000000"/>
                <w:sz w:val="20"/>
                <w:szCs w:val="20"/>
              </w:rPr>
              <w:t>(1)</w:t>
            </w:r>
          </w:p>
          <w:p w:rsidR="00D06A2F" w:rsidRPr="00E8065F" w:rsidRDefault="00D06A2F" w:rsidP="00CD3A6F">
            <w:pPr>
              <w:spacing w:line="235" w:lineRule="auto"/>
              <w:jc w:val="center"/>
              <w:rPr>
                <w:color w:val="000000"/>
                <w:sz w:val="20"/>
                <w:szCs w:val="20"/>
              </w:rPr>
            </w:pPr>
            <w:r w:rsidRPr="00E8065F">
              <w:rPr>
                <w:color w:val="000000"/>
                <w:sz w:val="20"/>
                <w:szCs w:val="20"/>
              </w:rPr>
              <w:t>2021</w:t>
            </w:r>
            <w:r w:rsidR="003D79B3">
              <w:rPr>
                <w:color w:val="000000"/>
                <w:sz w:val="20"/>
                <w:szCs w:val="20"/>
              </w:rPr>
              <w:t xml:space="preserve"> </w:t>
            </w:r>
            <w:r w:rsidR="005D7240">
              <w:rPr>
                <w:color w:val="000000"/>
                <w:sz w:val="20"/>
                <w:szCs w:val="20"/>
              </w:rPr>
              <w:t>(1)</w:t>
            </w:r>
          </w:p>
        </w:tc>
        <w:tc>
          <w:tcPr>
            <w:tcW w:w="1181" w:type="dxa"/>
            <w:shd w:val="clear" w:color="auto" w:fill="auto"/>
          </w:tcPr>
          <w:p w:rsidR="00D06A2F" w:rsidRPr="00E8065F" w:rsidRDefault="00D06A2F" w:rsidP="00CD3A6F">
            <w:pPr>
              <w:spacing w:line="235" w:lineRule="auto"/>
              <w:jc w:val="center"/>
              <w:rPr>
                <w:color w:val="000000"/>
                <w:sz w:val="20"/>
                <w:szCs w:val="20"/>
              </w:rPr>
            </w:pPr>
            <w:r w:rsidRPr="00E8065F">
              <w:rPr>
                <w:color w:val="000000"/>
                <w:sz w:val="20"/>
                <w:szCs w:val="20"/>
              </w:rPr>
              <w:t>2</w:t>
            </w:r>
          </w:p>
        </w:tc>
        <w:tc>
          <w:tcPr>
            <w:tcW w:w="1478" w:type="dxa"/>
            <w:tcBorders>
              <w:top w:val="nil"/>
              <w:left w:val="single" w:sz="4" w:space="0" w:color="auto"/>
              <w:bottom w:val="single" w:sz="4" w:space="0" w:color="auto"/>
              <w:right w:val="single" w:sz="4" w:space="0" w:color="auto"/>
            </w:tcBorders>
            <w:shd w:val="clear" w:color="auto" w:fill="auto"/>
          </w:tcPr>
          <w:p w:rsidR="00D06A2F" w:rsidRPr="00E8065F" w:rsidRDefault="00D06A2F" w:rsidP="00CD3A6F">
            <w:pPr>
              <w:spacing w:line="235" w:lineRule="auto"/>
              <w:jc w:val="center"/>
              <w:rPr>
                <w:color w:val="000000"/>
                <w:sz w:val="20"/>
                <w:szCs w:val="20"/>
              </w:rPr>
            </w:pPr>
            <w:r w:rsidRPr="00E8065F">
              <w:rPr>
                <w:color w:val="000000"/>
                <w:sz w:val="20"/>
                <w:szCs w:val="20"/>
              </w:rPr>
              <w:t>0,5</w:t>
            </w:r>
          </w:p>
        </w:tc>
        <w:tc>
          <w:tcPr>
            <w:tcW w:w="1111" w:type="dxa"/>
            <w:tcBorders>
              <w:top w:val="nil"/>
              <w:left w:val="single" w:sz="4" w:space="0" w:color="auto"/>
              <w:bottom w:val="single" w:sz="4" w:space="0" w:color="auto"/>
              <w:right w:val="single" w:sz="4" w:space="0" w:color="auto"/>
            </w:tcBorders>
            <w:shd w:val="clear" w:color="auto" w:fill="auto"/>
          </w:tcPr>
          <w:p w:rsidR="00D06A2F" w:rsidRPr="00E8065F" w:rsidRDefault="00D06A2F" w:rsidP="00CD3A6F">
            <w:pPr>
              <w:spacing w:line="235" w:lineRule="auto"/>
              <w:jc w:val="center"/>
              <w:rPr>
                <w:color w:val="000000"/>
                <w:sz w:val="20"/>
                <w:szCs w:val="20"/>
              </w:rPr>
            </w:pPr>
            <w:r w:rsidRPr="00E8065F">
              <w:rPr>
                <w:color w:val="000000"/>
                <w:sz w:val="20"/>
                <w:szCs w:val="20"/>
              </w:rPr>
              <w:t>2</w:t>
            </w:r>
          </w:p>
        </w:tc>
        <w:tc>
          <w:tcPr>
            <w:tcW w:w="1944" w:type="dxa"/>
            <w:tcBorders>
              <w:top w:val="nil"/>
              <w:left w:val="single" w:sz="4" w:space="0" w:color="auto"/>
              <w:bottom w:val="single" w:sz="4" w:space="0" w:color="auto"/>
              <w:right w:val="single" w:sz="4" w:space="0" w:color="auto"/>
            </w:tcBorders>
            <w:shd w:val="clear" w:color="auto" w:fill="auto"/>
          </w:tcPr>
          <w:p w:rsidR="00D06A2F" w:rsidRPr="00E8065F" w:rsidRDefault="00D06A2F" w:rsidP="00CD3A6F">
            <w:pPr>
              <w:spacing w:line="235" w:lineRule="auto"/>
              <w:jc w:val="center"/>
              <w:rPr>
                <w:color w:val="000000"/>
                <w:sz w:val="20"/>
                <w:szCs w:val="20"/>
              </w:rPr>
            </w:pPr>
            <w:r w:rsidRPr="00E8065F">
              <w:rPr>
                <w:color w:val="000000"/>
                <w:sz w:val="20"/>
                <w:szCs w:val="20"/>
              </w:rPr>
              <w:t>Стационарное</w:t>
            </w:r>
          </w:p>
        </w:tc>
      </w:tr>
      <w:tr w:rsidR="00D06A2F" w:rsidRPr="00E8065F" w:rsidTr="00CD3A6F">
        <w:trPr>
          <w:trHeight w:val="20"/>
        </w:trPr>
        <w:tc>
          <w:tcPr>
            <w:tcW w:w="1555" w:type="dxa"/>
            <w:vMerge/>
            <w:tcBorders>
              <w:left w:val="single" w:sz="4" w:space="0" w:color="auto"/>
              <w:right w:val="single" w:sz="4" w:space="0" w:color="auto"/>
            </w:tcBorders>
          </w:tcPr>
          <w:p w:rsidR="00D06A2F" w:rsidRPr="00E8065F" w:rsidRDefault="00D06A2F" w:rsidP="00BA1432">
            <w:pPr>
              <w:rPr>
                <w:sz w:val="20"/>
                <w:szCs w:val="20"/>
              </w:rPr>
            </w:pPr>
          </w:p>
        </w:tc>
        <w:tc>
          <w:tcPr>
            <w:tcW w:w="3685" w:type="dxa"/>
            <w:tcBorders>
              <w:top w:val="nil"/>
              <w:left w:val="single" w:sz="4" w:space="0" w:color="auto"/>
              <w:bottom w:val="single" w:sz="4" w:space="0" w:color="auto"/>
              <w:right w:val="single" w:sz="4" w:space="0" w:color="auto"/>
            </w:tcBorders>
            <w:shd w:val="clear" w:color="auto" w:fill="auto"/>
          </w:tcPr>
          <w:p w:rsidR="00D06A2F" w:rsidRPr="00E8065F" w:rsidRDefault="00D06A2F" w:rsidP="00CD3A6F">
            <w:pPr>
              <w:spacing w:line="235" w:lineRule="auto"/>
              <w:jc w:val="both"/>
              <w:rPr>
                <w:color w:val="000000"/>
                <w:sz w:val="20"/>
                <w:szCs w:val="20"/>
              </w:rPr>
            </w:pPr>
            <w:r w:rsidRPr="00E8065F">
              <w:rPr>
                <w:color w:val="000000"/>
                <w:sz w:val="20"/>
                <w:szCs w:val="20"/>
              </w:rPr>
              <w:t xml:space="preserve">ГАУЗ </w:t>
            </w:r>
            <w:r>
              <w:rPr>
                <w:color w:val="000000"/>
                <w:sz w:val="20"/>
                <w:szCs w:val="20"/>
              </w:rPr>
              <w:t>«</w:t>
            </w:r>
            <w:r w:rsidRPr="00E8065F">
              <w:rPr>
                <w:color w:val="000000"/>
                <w:sz w:val="20"/>
                <w:szCs w:val="20"/>
              </w:rPr>
              <w:t>Тукаевская ЦРБ</w:t>
            </w:r>
            <w:r>
              <w:rPr>
                <w:color w:val="000000"/>
                <w:sz w:val="20"/>
                <w:szCs w:val="20"/>
              </w:rPr>
              <w:t>»</w:t>
            </w:r>
          </w:p>
        </w:tc>
        <w:tc>
          <w:tcPr>
            <w:tcW w:w="1994" w:type="dxa"/>
            <w:tcBorders>
              <w:top w:val="nil"/>
              <w:left w:val="single" w:sz="4" w:space="0" w:color="auto"/>
              <w:bottom w:val="single" w:sz="4" w:space="0" w:color="auto"/>
              <w:right w:val="single" w:sz="4" w:space="0" w:color="auto"/>
            </w:tcBorders>
            <w:shd w:val="clear" w:color="auto" w:fill="auto"/>
          </w:tcPr>
          <w:p w:rsidR="00D06A2F" w:rsidRPr="00E8065F" w:rsidRDefault="00D06A2F" w:rsidP="00CD3A6F">
            <w:pPr>
              <w:spacing w:line="235" w:lineRule="auto"/>
              <w:jc w:val="center"/>
              <w:rPr>
                <w:color w:val="000000"/>
                <w:sz w:val="20"/>
                <w:szCs w:val="20"/>
              </w:rPr>
            </w:pPr>
            <w:r w:rsidRPr="00E8065F">
              <w:rPr>
                <w:color w:val="000000"/>
                <w:sz w:val="20"/>
                <w:szCs w:val="20"/>
              </w:rPr>
              <w:t>Колоноскоп</w:t>
            </w:r>
          </w:p>
        </w:tc>
        <w:tc>
          <w:tcPr>
            <w:tcW w:w="1181" w:type="dxa"/>
            <w:tcBorders>
              <w:top w:val="nil"/>
              <w:left w:val="single" w:sz="4" w:space="0" w:color="auto"/>
              <w:bottom w:val="single" w:sz="4" w:space="0" w:color="auto"/>
              <w:right w:val="single" w:sz="4" w:space="0" w:color="auto"/>
            </w:tcBorders>
            <w:shd w:val="clear" w:color="auto" w:fill="auto"/>
          </w:tcPr>
          <w:p w:rsidR="00D06A2F" w:rsidRPr="00E8065F" w:rsidRDefault="00D06A2F" w:rsidP="00CD3A6F">
            <w:pPr>
              <w:spacing w:line="235" w:lineRule="auto"/>
              <w:jc w:val="center"/>
              <w:rPr>
                <w:color w:val="000000"/>
                <w:sz w:val="20"/>
                <w:szCs w:val="20"/>
              </w:rPr>
            </w:pPr>
            <w:r w:rsidRPr="00E8065F">
              <w:rPr>
                <w:color w:val="000000"/>
                <w:sz w:val="20"/>
                <w:szCs w:val="20"/>
              </w:rPr>
              <w:t>2018</w:t>
            </w:r>
            <w:r w:rsidR="003D79B3">
              <w:rPr>
                <w:color w:val="000000"/>
                <w:sz w:val="20"/>
                <w:szCs w:val="20"/>
              </w:rPr>
              <w:t xml:space="preserve"> </w:t>
            </w:r>
            <w:r w:rsidR="005D7240">
              <w:rPr>
                <w:color w:val="000000"/>
                <w:sz w:val="20"/>
                <w:szCs w:val="20"/>
              </w:rPr>
              <w:t>(1)</w:t>
            </w:r>
          </w:p>
          <w:p w:rsidR="00D06A2F" w:rsidRPr="00E8065F" w:rsidRDefault="00D06A2F" w:rsidP="00CD3A6F">
            <w:pPr>
              <w:spacing w:line="235" w:lineRule="auto"/>
              <w:jc w:val="center"/>
              <w:rPr>
                <w:color w:val="000000"/>
                <w:sz w:val="20"/>
                <w:szCs w:val="20"/>
              </w:rPr>
            </w:pPr>
            <w:r w:rsidRPr="00E8065F">
              <w:rPr>
                <w:color w:val="000000"/>
                <w:sz w:val="20"/>
                <w:szCs w:val="20"/>
              </w:rPr>
              <w:t>2023</w:t>
            </w:r>
            <w:r w:rsidR="003D79B3">
              <w:rPr>
                <w:color w:val="000000"/>
                <w:sz w:val="20"/>
                <w:szCs w:val="20"/>
              </w:rPr>
              <w:t xml:space="preserve"> </w:t>
            </w:r>
            <w:r w:rsidR="005D7240">
              <w:rPr>
                <w:color w:val="000000"/>
                <w:sz w:val="20"/>
                <w:szCs w:val="20"/>
              </w:rPr>
              <w:t>(1)</w:t>
            </w:r>
          </w:p>
        </w:tc>
        <w:tc>
          <w:tcPr>
            <w:tcW w:w="1181" w:type="dxa"/>
            <w:tcBorders>
              <w:bottom w:val="single" w:sz="4" w:space="0" w:color="auto"/>
            </w:tcBorders>
            <w:shd w:val="clear" w:color="auto" w:fill="auto"/>
          </w:tcPr>
          <w:p w:rsidR="00D06A2F" w:rsidRPr="00E8065F" w:rsidRDefault="00D06A2F" w:rsidP="00CD3A6F">
            <w:pPr>
              <w:spacing w:line="235" w:lineRule="auto"/>
              <w:jc w:val="center"/>
              <w:rPr>
                <w:color w:val="000000"/>
                <w:sz w:val="20"/>
                <w:szCs w:val="20"/>
              </w:rPr>
            </w:pPr>
            <w:r w:rsidRPr="00E8065F">
              <w:rPr>
                <w:color w:val="000000"/>
                <w:sz w:val="20"/>
                <w:szCs w:val="20"/>
              </w:rPr>
              <w:t>2</w:t>
            </w:r>
          </w:p>
        </w:tc>
        <w:tc>
          <w:tcPr>
            <w:tcW w:w="1478" w:type="dxa"/>
            <w:tcBorders>
              <w:top w:val="nil"/>
              <w:left w:val="single" w:sz="4" w:space="0" w:color="auto"/>
              <w:bottom w:val="single" w:sz="4" w:space="0" w:color="auto"/>
              <w:right w:val="single" w:sz="4" w:space="0" w:color="auto"/>
            </w:tcBorders>
            <w:shd w:val="clear" w:color="auto" w:fill="auto"/>
          </w:tcPr>
          <w:p w:rsidR="00D06A2F" w:rsidRPr="00E8065F" w:rsidRDefault="00D06A2F" w:rsidP="00CD3A6F">
            <w:pPr>
              <w:spacing w:line="235" w:lineRule="auto"/>
              <w:jc w:val="center"/>
              <w:rPr>
                <w:color w:val="000000"/>
                <w:sz w:val="20"/>
                <w:szCs w:val="20"/>
              </w:rPr>
            </w:pPr>
            <w:r w:rsidRPr="00E8065F">
              <w:rPr>
                <w:color w:val="000000"/>
                <w:sz w:val="20"/>
                <w:szCs w:val="20"/>
              </w:rPr>
              <w:t>3,3</w:t>
            </w:r>
          </w:p>
        </w:tc>
        <w:tc>
          <w:tcPr>
            <w:tcW w:w="1111" w:type="dxa"/>
            <w:tcBorders>
              <w:top w:val="nil"/>
              <w:left w:val="single" w:sz="4" w:space="0" w:color="auto"/>
              <w:bottom w:val="single" w:sz="4" w:space="0" w:color="auto"/>
              <w:right w:val="single" w:sz="4" w:space="0" w:color="auto"/>
            </w:tcBorders>
            <w:shd w:val="clear" w:color="auto" w:fill="auto"/>
          </w:tcPr>
          <w:p w:rsidR="00D06A2F" w:rsidRPr="00E8065F" w:rsidRDefault="00D06A2F" w:rsidP="00CD3A6F">
            <w:pPr>
              <w:spacing w:line="235" w:lineRule="auto"/>
              <w:jc w:val="center"/>
              <w:rPr>
                <w:color w:val="000000"/>
                <w:sz w:val="20"/>
                <w:szCs w:val="20"/>
              </w:rPr>
            </w:pPr>
            <w:r w:rsidRPr="00E8065F">
              <w:rPr>
                <w:color w:val="000000"/>
                <w:sz w:val="20"/>
                <w:szCs w:val="20"/>
              </w:rPr>
              <w:t>1</w:t>
            </w:r>
          </w:p>
        </w:tc>
        <w:tc>
          <w:tcPr>
            <w:tcW w:w="1944" w:type="dxa"/>
            <w:tcBorders>
              <w:top w:val="nil"/>
              <w:left w:val="single" w:sz="4" w:space="0" w:color="auto"/>
              <w:bottom w:val="single" w:sz="4" w:space="0" w:color="auto"/>
              <w:right w:val="single" w:sz="4" w:space="0" w:color="auto"/>
            </w:tcBorders>
            <w:shd w:val="clear" w:color="auto" w:fill="auto"/>
          </w:tcPr>
          <w:p w:rsidR="00D06A2F" w:rsidRPr="00E8065F" w:rsidRDefault="00D06A2F" w:rsidP="00CD3A6F">
            <w:pPr>
              <w:spacing w:line="235" w:lineRule="auto"/>
              <w:jc w:val="center"/>
              <w:rPr>
                <w:color w:val="000000"/>
                <w:sz w:val="20"/>
                <w:szCs w:val="20"/>
              </w:rPr>
            </w:pPr>
            <w:r w:rsidRPr="00E8065F">
              <w:rPr>
                <w:color w:val="000000"/>
                <w:sz w:val="20"/>
                <w:szCs w:val="20"/>
              </w:rPr>
              <w:t>Амбулаторное</w:t>
            </w:r>
          </w:p>
        </w:tc>
      </w:tr>
      <w:tr w:rsidR="00D06A2F" w:rsidRPr="00E8065F" w:rsidTr="00CD3A6F">
        <w:trPr>
          <w:trHeight w:val="20"/>
        </w:trPr>
        <w:tc>
          <w:tcPr>
            <w:tcW w:w="1555" w:type="dxa"/>
            <w:vMerge/>
            <w:tcBorders>
              <w:left w:val="single" w:sz="4" w:space="0" w:color="auto"/>
              <w:right w:val="single" w:sz="4" w:space="0" w:color="auto"/>
            </w:tcBorders>
          </w:tcPr>
          <w:p w:rsidR="00D06A2F" w:rsidRPr="00E8065F" w:rsidRDefault="00D06A2F" w:rsidP="00BA1432">
            <w:pPr>
              <w:rPr>
                <w:sz w:val="20"/>
                <w:szCs w:val="20"/>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D06A2F" w:rsidRPr="00E8065F" w:rsidRDefault="00D06A2F" w:rsidP="00CD3A6F">
            <w:pPr>
              <w:spacing w:line="235" w:lineRule="auto"/>
              <w:jc w:val="both"/>
              <w:rPr>
                <w:color w:val="000000"/>
                <w:sz w:val="20"/>
                <w:szCs w:val="20"/>
              </w:rPr>
            </w:pPr>
            <w:r w:rsidRPr="00E8065F">
              <w:rPr>
                <w:color w:val="000000"/>
                <w:sz w:val="20"/>
                <w:szCs w:val="20"/>
              </w:rPr>
              <w:t xml:space="preserve">ГАУЗ </w:t>
            </w:r>
            <w:r>
              <w:rPr>
                <w:color w:val="000000"/>
                <w:sz w:val="20"/>
                <w:szCs w:val="20"/>
              </w:rPr>
              <w:t>«</w:t>
            </w:r>
            <w:r w:rsidRPr="00E8065F">
              <w:rPr>
                <w:color w:val="000000"/>
                <w:sz w:val="20"/>
                <w:szCs w:val="20"/>
              </w:rPr>
              <w:t>Черемшанская ЦРБ</w:t>
            </w:r>
            <w:r>
              <w:rPr>
                <w:color w:val="000000"/>
                <w:sz w:val="20"/>
                <w:szCs w:val="20"/>
              </w:rPr>
              <w:t>»</w:t>
            </w:r>
          </w:p>
        </w:tc>
        <w:tc>
          <w:tcPr>
            <w:tcW w:w="1994" w:type="dxa"/>
            <w:tcBorders>
              <w:top w:val="single" w:sz="4" w:space="0" w:color="auto"/>
              <w:left w:val="single" w:sz="4" w:space="0" w:color="auto"/>
              <w:bottom w:val="single" w:sz="4" w:space="0" w:color="auto"/>
              <w:right w:val="single" w:sz="4" w:space="0" w:color="auto"/>
            </w:tcBorders>
            <w:shd w:val="clear" w:color="auto" w:fill="auto"/>
          </w:tcPr>
          <w:p w:rsidR="00D06A2F" w:rsidRPr="00E8065F" w:rsidRDefault="00D06A2F" w:rsidP="00CD3A6F">
            <w:pPr>
              <w:spacing w:line="235" w:lineRule="auto"/>
              <w:jc w:val="center"/>
              <w:rPr>
                <w:color w:val="000000"/>
                <w:sz w:val="20"/>
                <w:szCs w:val="20"/>
              </w:rPr>
            </w:pPr>
            <w:r w:rsidRPr="00E8065F">
              <w:rPr>
                <w:color w:val="000000"/>
                <w:sz w:val="20"/>
                <w:szCs w:val="20"/>
              </w:rPr>
              <w:t>Колоноскоп</w:t>
            </w:r>
          </w:p>
        </w:tc>
        <w:tc>
          <w:tcPr>
            <w:tcW w:w="1181" w:type="dxa"/>
            <w:tcBorders>
              <w:top w:val="single" w:sz="4" w:space="0" w:color="auto"/>
              <w:left w:val="single" w:sz="4" w:space="0" w:color="auto"/>
              <w:bottom w:val="single" w:sz="4" w:space="0" w:color="auto"/>
              <w:right w:val="single" w:sz="4" w:space="0" w:color="auto"/>
            </w:tcBorders>
            <w:shd w:val="clear" w:color="auto" w:fill="auto"/>
          </w:tcPr>
          <w:p w:rsidR="00D06A2F" w:rsidRPr="00E8065F" w:rsidRDefault="00D06A2F" w:rsidP="00CD3A6F">
            <w:pPr>
              <w:spacing w:line="235" w:lineRule="auto"/>
              <w:jc w:val="center"/>
              <w:rPr>
                <w:color w:val="000000"/>
                <w:sz w:val="20"/>
                <w:szCs w:val="20"/>
              </w:rPr>
            </w:pPr>
            <w:r w:rsidRPr="00E8065F">
              <w:rPr>
                <w:color w:val="000000"/>
                <w:sz w:val="20"/>
                <w:szCs w:val="20"/>
              </w:rPr>
              <w:t>2020</w:t>
            </w:r>
          </w:p>
        </w:tc>
        <w:tc>
          <w:tcPr>
            <w:tcW w:w="1181" w:type="dxa"/>
            <w:tcBorders>
              <w:top w:val="single" w:sz="4" w:space="0" w:color="auto"/>
            </w:tcBorders>
            <w:shd w:val="clear" w:color="auto" w:fill="auto"/>
          </w:tcPr>
          <w:p w:rsidR="00D06A2F" w:rsidRPr="00E8065F" w:rsidRDefault="00D06A2F" w:rsidP="00CD3A6F">
            <w:pPr>
              <w:spacing w:line="235" w:lineRule="auto"/>
              <w:jc w:val="center"/>
              <w:rPr>
                <w:color w:val="000000"/>
                <w:sz w:val="20"/>
                <w:szCs w:val="20"/>
              </w:rPr>
            </w:pPr>
            <w:r w:rsidRPr="00E8065F">
              <w:rPr>
                <w:color w:val="000000"/>
                <w:sz w:val="20"/>
                <w:szCs w:val="20"/>
              </w:rPr>
              <w:t>1</w:t>
            </w:r>
          </w:p>
        </w:tc>
        <w:tc>
          <w:tcPr>
            <w:tcW w:w="1478" w:type="dxa"/>
            <w:tcBorders>
              <w:top w:val="single" w:sz="4" w:space="0" w:color="auto"/>
              <w:left w:val="single" w:sz="4" w:space="0" w:color="auto"/>
              <w:bottom w:val="single" w:sz="4" w:space="0" w:color="auto"/>
              <w:right w:val="single" w:sz="4" w:space="0" w:color="auto"/>
            </w:tcBorders>
            <w:shd w:val="clear" w:color="auto" w:fill="auto"/>
          </w:tcPr>
          <w:p w:rsidR="00D06A2F" w:rsidRPr="00E8065F" w:rsidRDefault="00D06A2F" w:rsidP="00CD3A6F">
            <w:pPr>
              <w:spacing w:line="235" w:lineRule="auto"/>
              <w:jc w:val="center"/>
              <w:rPr>
                <w:color w:val="000000"/>
                <w:sz w:val="20"/>
                <w:szCs w:val="20"/>
              </w:rPr>
            </w:pPr>
            <w:r w:rsidRPr="00E8065F">
              <w:rPr>
                <w:color w:val="000000"/>
                <w:sz w:val="20"/>
                <w:szCs w:val="20"/>
              </w:rPr>
              <w:t>0,6</w:t>
            </w:r>
          </w:p>
        </w:tc>
        <w:tc>
          <w:tcPr>
            <w:tcW w:w="1111" w:type="dxa"/>
            <w:tcBorders>
              <w:top w:val="single" w:sz="4" w:space="0" w:color="auto"/>
              <w:left w:val="single" w:sz="4" w:space="0" w:color="auto"/>
              <w:bottom w:val="single" w:sz="4" w:space="0" w:color="auto"/>
              <w:right w:val="single" w:sz="4" w:space="0" w:color="auto"/>
            </w:tcBorders>
            <w:shd w:val="clear" w:color="auto" w:fill="auto"/>
          </w:tcPr>
          <w:p w:rsidR="00D06A2F" w:rsidRPr="00E8065F" w:rsidRDefault="00D06A2F" w:rsidP="00CD3A6F">
            <w:pPr>
              <w:spacing w:line="235" w:lineRule="auto"/>
              <w:jc w:val="center"/>
              <w:rPr>
                <w:color w:val="000000"/>
                <w:sz w:val="20"/>
                <w:szCs w:val="20"/>
              </w:rPr>
            </w:pPr>
            <w:r w:rsidRPr="00E8065F">
              <w:rPr>
                <w:color w:val="000000"/>
                <w:sz w:val="20"/>
                <w:szCs w:val="20"/>
              </w:rPr>
              <w:t>1</w:t>
            </w:r>
          </w:p>
        </w:tc>
        <w:tc>
          <w:tcPr>
            <w:tcW w:w="1944" w:type="dxa"/>
            <w:tcBorders>
              <w:top w:val="single" w:sz="4" w:space="0" w:color="auto"/>
              <w:left w:val="single" w:sz="4" w:space="0" w:color="auto"/>
              <w:bottom w:val="single" w:sz="4" w:space="0" w:color="auto"/>
              <w:right w:val="single" w:sz="4" w:space="0" w:color="auto"/>
            </w:tcBorders>
            <w:shd w:val="clear" w:color="auto" w:fill="auto"/>
          </w:tcPr>
          <w:p w:rsidR="00D06A2F" w:rsidRPr="00E8065F" w:rsidRDefault="00D06A2F" w:rsidP="00CD3A6F">
            <w:pPr>
              <w:spacing w:line="235" w:lineRule="auto"/>
              <w:jc w:val="center"/>
              <w:rPr>
                <w:color w:val="000000"/>
                <w:sz w:val="20"/>
                <w:szCs w:val="20"/>
              </w:rPr>
            </w:pPr>
            <w:r w:rsidRPr="00E8065F">
              <w:rPr>
                <w:color w:val="000000"/>
                <w:sz w:val="20"/>
                <w:szCs w:val="20"/>
              </w:rPr>
              <w:t>Амбулаторное</w:t>
            </w:r>
          </w:p>
        </w:tc>
      </w:tr>
      <w:tr w:rsidR="00D06A2F" w:rsidRPr="00E8065F" w:rsidTr="00CD3A6F">
        <w:trPr>
          <w:trHeight w:val="20"/>
        </w:trPr>
        <w:tc>
          <w:tcPr>
            <w:tcW w:w="1555" w:type="dxa"/>
            <w:vMerge/>
            <w:tcBorders>
              <w:left w:val="single" w:sz="4" w:space="0" w:color="auto"/>
              <w:right w:val="single" w:sz="4" w:space="0" w:color="auto"/>
            </w:tcBorders>
          </w:tcPr>
          <w:p w:rsidR="00D06A2F" w:rsidRPr="00E8065F" w:rsidRDefault="00D06A2F" w:rsidP="00BA1432">
            <w:pPr>
              <w:rPr>
                <w:sz w:val="20"/>
                <w:szCs w:val="20"/>
              </w:rPr>
            </w:pPr>
          </w:p>
        </w:tc>
        <w:tc>
          <w:tcPr>
            <w:tcW w:w="3685" w:type="dxa"/>
            <w:tcBorders>
              <w:top w:val="nil"/>
              <w:left w:val="single" w:sz="4" w:space="0" w:color="auto"/>
              <w:bottom w:val="single" w:sz="4" w:space="0" w:color="auto"/>
              <w:right w:val="single" w:sz="4" w:space="0" w:color="auto"/>
            </w:tcBorders>
            <w:shd w:val="clear" w:color="auto" w:fill="auto"/>
          </w:tcPr>
          <w:p w:rsidR="00D06A2F" w:rsidRPr="00E8065F" w:rsidRDefault="00D06A2F" w:rsidP="00CD3A6F">
            <w:pPr>
              <w:spacing w:line="235" w:lineRule="auto"/>
              <w:jc w:val="both"/>
              <w:rPr>
                <w:color w:val="000000"/>
                <w:sz w:val="20"/>
                <w:szCs w:val="20"/>
              </w:rPr>
            </w:pPr>
            <w:r w:rsidRPr="00E8065F">
              <w:rPr>
                <w:color w:val="000000"/>
                <w:sz w:val="20"/>
                <w:szCs w:val="20"/>
              </w:rPr>
              <w:t xml:space="preserve">ГАУЗ </w:t>
            </w:r>
            <w:r>
              <w:rPr>
                <w:color w:val="000000"/>
                <w:sz w:val="20"/>
                <w:szCs w:val="20"/>
              </w:rPr>
              <w:t>«</w:t>
            </w:r>
            <w:r w:rsidRPr="00E8065F">
              <w:rPr>
                <w:color w:val="000000"/>
                <w:sz w:val="20"/>
                <w:szCs w:val="20"/>
              </w:rPr>
              <w:t>Чистопольская ЦРБ</w:t>
            </w:r>
            <w:r>
              <w:rPr>
                <w:color w:val="000000"/>
                <w:sz w:val="20"/>
                <w:szCs w:val="20"/>
              </w:rPr>
              <w:t>»</w:t>
            </w:r>
          </w:p>
        </w:tc>
        <w:tc>
          <w:tcPr>
            <w:tcW w:w="1994" w:type="dxa"/>
            <w:tcBorders>
              <w:top w:val="nil"/>
              <w:left w:val="single" w:sz="4" w:space="0" w:color="auto"/>
              <w:bottom w:val="single" w:sz="4" w:space="0" w:color="auto"/>
              <w:right w:val="single" w:sz="4" w:space="0" w:color="auto"/>
            </w:tcBorders>
            <w:shd w:val="clear" w:color="auto" w:fill="auto"/>
          </w:tcPr>
          <w:p w:rsidR="00D06A2F" w:rsidRPr="00E8065F" w:rsidRDefault="00D06A2F" w:rsidP="00CD3A6F">
            <w:pPr>
              <w:spacing w:line="235" w:lineRule="auto"/>
              <w:jc w:val="center"/>
              <w:rPr>
                <w:color w:val="000000"/>
                <w:sz w:val="20"/>
                <w:szCs w:val="20"/>
              </w:rPr>
            </w:pPr>
            <w:r w:rsidRPr="00E8065F">
              <w:rPr>
                <w:color w:val="000000"/>
                <w:sz w:val="20"/>
                <w:szCs w:val="20"/>
              </w:rPr>
              <w:t>Колоноскоп</w:t>
            </w:r>
          </w:p>
        </w:tc>
        <w:tc>
          <w:tcPr>
            <w:tcW w:w="1181" w:type="dxa"/>
            <w:tcBorders>
              <w:top w:val="nil"/>
              <w:left w:val="single" w:sz="4" w:space="0" w:color="auto"/>
              <w:bottom w:val="single" w:sz="4" w:space="0" w:color="auto"/>
              <w:right w:val="single" w:sz="4" w:space="0" w:color="auto"/>
            </w:tcBorders>
            <w:shd w:val="clear" w:color="auto" w:fill="auto"/>
          </w:tcPr>
          <w:p w:rsidR="00D06A2F" w:rsidRPr="00E8065F" w:rsidRDefault="00D06A2F" w:rsidP="00CD3A6F">
            <w:pPr>
              <w:spacing w:line="235" w:lineRule="auto"/>
              <w:jc w:val="center"/>
              <w:rPr>
                <w:color w:val="000000"/>
                <w:sz w:val="20"/>
                <w:szCs w:val="20"/>
              </w:rPr>
            </w:pPr>
            <w:r w:rsidRPr="00E8065F">
              <w:rPr>
                <w:color w:val="000000"/>
                <w:sz w:val="20"/>
                <w:szCs w:val="20"/>
              </w:rPr>
              <w:t>2017</w:t>
            </w:r>
            <w:r w:rsidR="003D79B3">
              <w:rPr>
                <w:color w:val="000000"/>
                <w:sz w:val="20"/>
                <w:szCs w:val="20"/>
              </w:rPr>
              <w:t xml:space="preserve"> </w:t>
            </w:r>
            <w:r w:rsidR="005D7240">
              <w:rPr>
                <w:color w:val="000000"/>
                <w:sz w:val="20"/>
                <w:szCs w:val="20"/>
              </w:rPr>
              <w:t>(1)</w:t>
            </w:r>
          </w:p>
          <w:p w:rsidR="00D06A2F" w:rsidRPr="00E8065F" w:rsidRDefault="00D06A2F" w:rsidP="00CD3A6F">
            <w:pPr>
              <w:spacing w:line="235" w:lineRule="auto"/>
              <w:jc w:val="center"/>
              <w:rPr>
                <w:color w:val="000000"/>
                <w:sz w:val="20"/>
                <w:szCs w:val="20"/>
              </w:rPr>
            </w:pPr>
            <w:r w:rsidRPr="00E8065F">
              <w:rPr>
                <w:color w:val="000000"/>
                <w:sz w:val="20"/>
                <w:szCs w:val="20"/>
              </w:rPr>
              <w:t>2023</w:t>
            </w:r>
            <w:r w:rsidR="003D79B3">
              <w:rPr>
                <w:color w:val="000000"/>
                <w:sz w:val="20"/>
                <w:szCs w:val="20"/>
              </w:rPr>
              <w:t xml:space="preserve"> </w:t>
            </w:r>
            <w:r w:rsidR="005D7240">
              <w:rPr>
                <w:color w:val="000000"/>
                <w:sz w:val="20"/>
                <w:szCs w:val="20"/>
              </w:rPr>
              <w:t>(1)</w:t>
            </w:r>
          </w:p>
        </w:tc>
        <w:tc>
          <w:tcPr>
            <w:tcW w:w="1181" w:type="dxa"/>
            <w:shd w:val="clear" w:color="auto" w:fill="auto"/>
          </w:tcPr>
          <w:p w:rsidR="00D06A2F" w:rsidRPr="00E8065F" w:rsidRDefault="00D06A2F" w:rsidP="00CD3A6F">
            <w:pPr>
              <w:spacing w:line="235" w:lineRule="auto"/>
              <w:jc w:val="center"/>
              <w:rPr>
                <w:color w:val="000000"/>
                <w:sz w:val="20"/>
                <w:szCs w:val="20"/>
              </w:rPr>
            </w:pPr>
            <w:r w:rsidRPr="00E8065F">
              <w:rPr>
                <w:color w:val="000000"/>
                <w:sz w:val="20"/>
                <w:szCs w:val="20"/>
              </w:rPr>
              <w:t>2</w:t>
            </w:r>
          </w:p>
        </w:tc>
        <w:tc>
          <w:tcPr>
            <w:tcW w:w="1478" w:type="dxa"/>
            <w:tcBorders>
              <w:top w:val="nil"/>
              <w:left w:val="single" w:sz="4" w:space="0" w:color="auto"/>
              <w:bottom w:val="single" w:sz="4" w:space="0" w:color="auto"/>
              <w:right w:val="single" w:sz="4" w:space="0" w:color="auto"/>
            </w:tcBorders>
            <w:shd w:val="clear" w:color="auto" w:fill="auto"/>
          </w:tcPr>
          <w:p w:rsidR="00D06A2F" w:rsidRPr="00E8065F" w:rsidRDefault="00D06A2F" w:rsidP="00CD3A6F">
            <w:pPr>
              <w:spacing w:line="235" w:lineRule="auto"/>
              <w:jc w:val="center"/>
              <w:rPr>
                <w:color w:val="000000"/>
                <w:sz w:val="20"/>
                <w:szCs w:val="20"/>
              </w:rPr>
            </w:pPr>
            <w:r w:rsidRPr="00E8065F">
              <w:rPr>
                <w:color w:val="000000"/>
                <w:sz w:val="20"/>
                <w:szCs w:val="20"/>
              </w:rPr>
              <w:t>2,4</w:t>
            </w:r>
          </w:p>
        </w:tc>
        <w:tc>
          <w:tcPr>
            <w:tcW w:w="1111" w:type="dxa"/>
            <w:tcBorders>
              <w:top w:val="nil"/>
              <w:left w:val="single" w:sz="4" w:space="0" w:color="auto"/>
              <w:bottom w:val="single" w:sz="4" w:space="0" w:color="auto"/>
              <w:right w:val="single" w:sz="4" w:space="0" w:color="auto"/>
            </w:tcBorders>
            <w:shd w:val="clear" w:color="auto" w:fill="auto"/>
          </w:tcPr>
          <w:p w:rsidR="00D06A2F" w:rsidRPr="00E8065F" w:rsidRDefault="00D06A2F" w:rsidP="00CD3A6F">
            <w:pPr>
              <w:spacing w:line="235" w:lineRule="auto"/>
              <w:jc w:val="center"/>
              <w:rPr>
                <w:color w:val="000000"/>
                <w:sz w:val="20"/>
                <w:szCs w:val="20"/>
              </w:rPr>
            </w:pPr>
            <w:r w:rsidRPr="00E8065F">
              <w:rPr>
                <w:color w:val="000000"/>
                <w:sz w:val="20"/>
                <w:szCs w:val="20"/>
              </w:rPr>
              <w:t>1</w:t>
            </w:r>
          </w:p>
        </w:tc>
        <w:tc>
          <w:tcPr>
            <w:tcW w:w="1944" w:type="dxa"/>
            <w:tcBorders>
              <w:top w:val="nil"/>
              <w:left w:val="single" w:sz="4" w:space="0" w:color="auto"/>
              <w:bottom w:val="single" w:sz="4" w:space="0" w:color="auto"/>
              <w:right w:val="single" w:sz="4" w:space="0" w:color="auto"/>
            </w:tcBorders>
            <w:shd w:val="clear" w:color="auto" w:fill="auto"/>
          </w:tcPr>
          <w:p w:rsidR="00D06A2F" w:rsidRPr="00E8065F" w:rsidRDefault="00D06A2F" w:rsidP="00CD3A6F">
            <w:pPr>
              <w:spacing w:line="235" w:lineRule="auto"/>
              <w:jc w:val="center"/>
              <w:rPr>
                <w:color w:val="000000"/>
                <w:sz w:val="20"/>
                <w:szCs w:val="20"/>
              </w:rPr>
            </w:pPr>
            <w:r w:rsidRPr="00E8065F">
              <w:rPr>
                <w:color w:val="000000"/>
                <w:sz w:val="20"/>
                <w:szCs w:val="20"/>
              </w:rPr>
              <w:t>Амбулаторное/стационарное</w:t>
            </w:r>
          </w:p>
        </w:tc>
      </w:tr>
      <w:tr w:rsidR="00D06A2F" w:rsidRPr="00E8065F" w:rsidTr="00CD3A6F">
        <w:trPr>
          <w:trHeight w:val="20"/>
        </w:trPr>
        <w:tc>
          <w:tcPr>
            <w:tcW w:w="1555" w:type="dxa"/>
            <w:vMerge/>
            <w:tcBorders>
              <w:left w:val="single" w:sz="4" w:space="0" w:color="auto"/>
              <w:right w:val="single" w:sz="4" w:space="0" w:color="auto"/>
            </w:tcBorders>
          </w:tcPr>
          <w:p w:rsidR="00D06A2F" w:rsidRPr="00E8065F" w:rsidRDefault="00D06A2F" w:rsidP="00BA1432">
            <w:pPr>
              <w:rPr>
                <w:sz w:val="20"/>
                <w:szCs w:val="20"/>
              </w:rPr>
            </w:pPr>
          </w:p>
        </w:tc>
        <w:tc>
          <w:tcPr>
            <w:tcW w:w="3685" w:type="dxa"/>
            <w:tcBorders>
              <w:top w:val="nil"/>
              <w:left w:val="single" w:sz="4" w:space="0" w:color="auto"/>
              <w:bottom w:val="single" w:sz="4" w:space="0" w:color="auto"/>
              <w:right w:val="single" w:sz="4" w:space="0" w:color="auto"/>
            </w:tcBorders>
            <w:shd w:val="clear" w:color="auto" w:fill="auto"/>
          </w:tcPr>
          <w:p w:rsidR="00D06A2F" w:rsidRPr="00E8065F" w:rsidRDefault="00D06A2F" w:rsidP="00CD3A6F">
            <w:pPr>
              <w:spacing w:line="235" w:lineRule="auto"/>
              <w:jc w:val="both"/>
              <w:rPr>
                <w:color w:val="000000"/>
                <w:sz w:val="20"/>
                <w:szCs w:val="20"/>
              </w:rPr>
            </w:pPr>
            <w:r w:rsidRPr="00E8065F">
              <w:rPr>
                <w:color w:val="000000"/>
                <w:sz w:val="20"/>
                <w:szCs w:val="20"/>
              </w:rPr>
              <w:t xml:space="preserve">ГАУЗ </w:t>
            </w:r>
            <w:r>
              <w:rPr>
                <w:color w:val="000000"/>
                <w:sz w:val="20"/>
                <w:szCs w:val="20"/>
              </w:rPr>
              <w:t>«</w:t>
            </w:r>
            <w:r w:rsidRPr="00E8065F">
              <w:rPr>
                <w:color w:val="000000"/>
                <w:sz w:val="20"/>
                <w:szCs w:val="20"/>
              </w:rPr>
              <w:t>Уруссинская ЦРБ</w:t>
            </w:r>
            <w:r>
              <w:rPr>
                <w:color w:val="000000"/>
                <w:sz w:val="20"/>
                <w:szCs w:val="20"/>
              </w:rPr>
              <w:t>»</w:t>
            </w:r>
          </w:p>
        </w:tc>
        <w:tc>
          <w:tcPr>
            <w:tcW w:w="1994" w:type="dxa"/>
            <w:tcBorders>
              <w:top w:val="nil"/>
              <w:left w:val="single" w:sz="4" w:space="0" w:color="auto"/>
              <w:bottom w:val="single" w:sz="4" w:space="0" w:color="auto"/>
              <w:right w:val="single" w:sz="4" w:space="0" w:color="auto"/>
            </w:tcBorders>
            <w:shd w:val="clear" w:color="auto" w:fill="auto"/>
          </w:tcPr>
          <w:p w:rsidR="00D06A2F" w:rsidRPr="00E8065F" w:rsidRDefault="00D06A2F" w:rsidP="00CD3A6F">
            <w:pPr>
              <w:spacing w:line="235" w:lineRule="auto"/>
              <w:jc w:val="center"/>
              <w:rPr>
                <w:color w:val="000000"/>
                <w:sz w:val="20"/>
                <w:szCs w:val="20"/>
              </w:rPr>
            </w:pPr>
            <w:r w:rsidRPr="00E8065F">
              <w:rPr>
                <w:color w:val="000000"/>
                <w:sz w:val="20"/>
                <w:szCs w:val="20"/>
              </w:rPr>
              <w:t>Колоноскоп</w:t>
            </w:r>
          </w:p>
        </w:tc>
        <w:tc>
          <w:tcPr>
            <w:tcW w:w="1181" w:type="dxa"/>
            <w:tcBorders>
              <w:top w:val="nil"/>
              <w:left w:val="single" w:sz="4" w:space="0" w:color="auto"/>
              <w:bottom w:val="single" w:sz="4" w:space="0" w:color="auto"/>
              <w:right w:val="single" w:sz="4" w:space="0" w:color="auto"/>
            </w:tcBorders>
            <w:shd w:val="clear" w:color="auto" w:fill="auto"/>
          </w:tcPr>
          <w:p w:rsidR="00D06A2F" w:rsidRPr="00E8065F" w:rsidRDefault="00D06A2F" w:rsidP="00CD3A6F">
            <w:pPr>
              <w:spacing w:line="235" w:lineRule="auto"/>
              <w:jc w:val="center"/>
              <w:rPr>
                <w:color w:val="000000"/>
                <w:sz w:val="20"/>
                <w:szCs w:val="20"/>
              </w:rPr>
            </w:pPr>
            <w:r w:rsidRPr="00E8065F">
              <w:rPr>
                <w:color w:val="000000"/>
                <w:sz w:val="20"/>
                <w:szCs w:val="20"/>
              </w:rPr>
              <w:t>2022</w:t>
            </w:r>
          </w:p>
        </w:tc>
        <w:tc>
          <w:tcPr>
            <w:tcW w:w="1181" w:type="dxa"/>
            <w:shd w:val="clear" w:color="auto" w:fill="auto"/>
          </w:tcPr>
          <w:p w:rsidR="00D06A2F" w:rsidRPr="00E8065F" w:rsidRDefault="00D06A2F" w:rsidP="00CD3A6F">
            <w:pPr>
              <w:spacing w:line="235" w:lineRule="auto"/>
              <w:jc w:val="center"/>
              <w:rPr>
                <w:color w:val="000000"/>
                <w:sz w:val="20"/>
                <w:szCs w:val="20"/>
              </w:rPr>
            </w:pPr>
            <w:r w:rsidRPr="00E8065F">
              <w:rPr>
                <w:color w:val="000000"/>
                <w:sz w:val="20"/>
                <w:szCs w:val="20"/>
              </w:rPr>
              <w:t>1</w:t>
            </w:r>
          </w:p>
        </w:tc>
        <w:tc>
          <w:tcPr>
            <w:tcW w:w="1478" w:type="dxa"/>
            <w:tcBorders>
              <w:top w:val="nil"/>
              <w:left w:val="single" w:sz="4" w:space="0" w:color="auto"/>
              <w:bottom w:val="single" w:sz="4" w:space="0" w:color="auto"/>
              <w:right w:val="single" w:sz="4" w:space="0" w:color="auto"/>
            </w:tcBorders>
            <w:shd w:val="clear" w:color="auto" w:fill="auto"/>
          </w:tcPr>
          <w:p w:rsidR="00D06A2F" w:rsidRPr="00E8065F" w:rsidRDefault="00D06A2F" w:rsidP="00CD3A6F">
            <w:pPr>
              <w:spacing w:line="235" w:lineRule="auto"/>
              <w:jc w:val="center"/>
              <w:rPr>
                <w:color w:val="000000"/>
                <w:sz w:val="20"/>
                <w:szCs w:val="20"/>
              </w:rPr>
            </w:pPr>
            <w:r w:rsidRPr="00E8065F">
              <w:rPr>
                <w:color w:val="000000"/>
                <w:sz w:val="20"/>
                <w:szCs w:val="20"/>
              </w:rPr>
              <w:t>0,8</w:t>
            </w:r>
          </w:p>
        </w:tc>
        <w:tc>
          <w:tcPr>
            <w:tcW w:w="1111" w:type="dxa"/>
            <w:tcBorders>
              <w:top w:val="nil"/>
              <w:left w:val="single" w:sz="4" w:space="0" w:color="auto"/>
              <w:bottom w:val="single" w:sz="4" w:space="0" w:color="auto"/>
              <w:right w:val="single" w:sz="4" w:space="0" w:color="auto"/>
            </w:tcBorders>
            <w:shd w:val="clear" w:color="auto" w:fill="auto"/>
          </w:tcPr>
          <w:p w:rsidR="00D06A2F" w:rsidRPr="00E8065F" w:rsidRDefault="00D06A2F" w:rsidP="00CD3A6F">
            <w:pPr>
              <w:spacing w:line="235" w:lineRule="auto"/>
              <w:jc w:val="center"/>
              <w:rPr>
                <w:color w:val="000000"/>
                <w:sz w:val="20"/>
                <w:szCs w:val="20"/>
              </w:rPr>
            </w:pPr>
            <w:r w:rsidRPr="00E8065F">
              <w:rPr>
                <w:color w:val="000000"/>
                <w:sz w:val="20"/>
                <w:szCs w:val="20"/>
              </w:rPr>
              <w:t>1</w:t>
            </w:r>
          </w:p>
        </w:tc>
        <w:tc>
          <w:tcPr>
            <w:tcW w:w="1944" w:type="dxa"/>
            <w:tcBorders>
              <w:top w:val="nil"/>
              <w:left w:val="single" w:sz="4" w:space="0" w:color="auto"/>
              <w:bottom w:val="single" w:sz="4" w:space="0" w:color="auto"/>
              <w:right w:val="single" w:sz="4" w:space="0" w:color="auto"/>
            </w:tcBorders>
            <w:shd w:val="clear" w:color="auto" w:fill="auto"/>
          </w:tcPr>
          <w:p w:rsidR="00D06A2F" w:rsidRPr="00E8065F" w:rsidRDefault="00D06A2F" w:rsidP="00CD3A6F">
            <w:pPr>
              <w:spacing w:line="235" w:lineRule="auto"/>
              <w:jc w:val="center"/>
              <w:rPr>
                <w:color w:val="000000"/>
                <w:sz w:val="20"/>
                <w:szCs w:val="20"/>
              </w:rPr>
            </w:pPr>
            <w:r w:rsidRPr="00E8065F">
              <w:rPr>
                <w:color w:val="000000"/>
                <w:sz w:val="20"/>
                <w:szCs w:val="20"/>
              </w:rPr>
              <w:t>Амбулаторное</w:t>
            </w:r>
          </w:p>
        </w:tc>
      </w:tr>
      <w:tr w:rsidR="00D06A2F" w:rsidRPr="00E8065F" w:rsidTr="00CD3A6F">
        <w:trPr>
          <w:trHeight w:val="20"/>
        </w:trPr>
        <w:tc>
          <w:tcPr>
            <w:tcW w:w="1555" w:type="dxa"/>
            <w:vMerge/>
            <w:tcBorders>
              <w:left w:val="single" w:sz="4" w:space="0" w:color="auto"/>
              <w:right w:val="single" w:sz="4" w:space="0" w:color="auto"/>
            </w:tcBorders>
          </w:tcPr>
          <w:p w:rsidR="00D06A2F" w:rsidRPr="00E8065F" w:rsidRDefault="00D06A2F" w:rsidP="00BA1432">
            <w:pPr>
              <w:rPr>
                <w:sz w:val="20"/>
                <w:szCs w:val="20"/>
              </w:rPr>
            </w:pPr>
          </w:p>
        </w:tc>
        <w:tc>
          <w:tcPr>
            <w:tcW w:w="3685" w:type="dxa"/>
            <w:tcBorders>
              <w:top w:val="nil"/>
              <w:left w:val="single" w:sz="4" w:space="0" w:color="auto"/>
              <w:bottom w:val="single" w:sz="4" w:space="0" w:color="auto"/>
              <w:right w:val="single" w:sz="4" w:space="0" w:color="auto"/>
            </w:tcBorders>
            <w:shd w:val="clear" w:color="auto" w:fill="auto"/>
          </w:tcPr>
          <w:p w:rsidR="00D06A2F" w:rsidRPr="00E8065F" w:rsidRDefault="00D06A2F" w:rsidP="00CD3A6F">
            <w:pPr>
              <w:spacing w:line="235" w:lineRule="auto"/>
              <w:jc w:val="both"/>
              <w:rPr>
                <w:color w:val="000000"/>
                <w:sz w:val="20"/>
                <w:szCs w:val="20"/>
              </w:rPr>
            </w:pPr>
            <w:r>
              <w:rPr>
                <w:color w:val="000000"/>
                <w:sz w:val="20"/>
                <w:szCs w:val="20"/>
              </w:rPr>
              <w:t>ГАУЗ «Городская больница № 2» г.Набережные Челны</w:t>
            </w:r>
          </w:p>
        </w:tc>
        <w:tc>
          <w:tcPr>
            <w:tcW w:w="1994" w:type="dxa"/>
            <w:tcBorders>
              <w:top w:val="nil"/>
              <w:left w:val="single" w:sz="4" w:space="0" w:color="auto"/>
              <w:bottom w:val="single" w:sz="4" w:space="0" w:color="auto"/>
              <w:right w:val="single" w:sz="4" w:space="0" w:color="auto"/>
            </w:tcBorders>
            <w:shd w:val="clear" w:color="auto" w:fill="auto"/>
          </w:tcPr>
          <w:p w:rsidR="00D06A2F" w:rsidRPr="00E8065F" w:rsidRDefault="00D06A2F" w:rsidP="00CD3A6F">
            <w:pPr>
              <w:spacing w:line="235" w:lineRule="auto"/>
              <w:jc w:val="center"/>
              <w:rPr>
                <w:color w:val="000000"/>
                <w:sz w:val="20"/>
                <w:szCs w:val="20"/>
              </w:rPr>
            </w:pPr>
            <w:r w:rsidRPr="00E8065F">
              <w:rPr>
                <w:color w:val="000000"/>
                <w:sz w:val="20"/>
                <w:szCs w:val="20"/>
              </w:rPr>
              <w:t>Колоноскоп</w:t>
            </w:r>
          </w:p>
        </w:tc>
        <w:tc>
          <w:tcPr>
            <w:tcW w:w="1181" w:type="dxa"/>
            <w:tcBorders>
              <w:top w:val="nil"/>
              <w:left w:val="single" w:sz="4" w:space="0" w:color="auto"/>
              <w:bottom w:val="single" w:sz="4" w:space="0" w:color="auto"/>
              <w:right w:val="single" w:sz="4" w:space="0" w:color="auto"/>
            </w:tcBorders>
            <w:shd w:val="clear" w:color="auto" w:fill="auto"/>
          </w:tcPr>
          <w:p w:rsidR="00D06A2F" w:rsidRPr="00E8065F" w:rsidRDefault="00D06A2F" w:rsidP="00CD3A6F">
            <w:pPr>
              <w:spacing w:line="235" w:lineRule="auto"/>
              <w:jc w:val="center"/>
              <w:rPr>
                <w:color w:val="000000"/>
                <w:sz w:val="20"/>
                <w:szCs w:val="20"/>
              </w:rPr>
            </w:pPr>
            <w:r w:rsidRPr="00E8065F">
              <w:rPr>
                <w:color w:val="000000"/>
                <w:sz w:val="20"/>
                <w:szCs w:val="20"/>
              </w:rPr>
              <w:t>2017</w:t>
            </w:r>
            <w:r w:rsidR="003D79B3">
              <w:rPr>
                <w:color w:val="000000"/>
                <w:sz w:val="20"/>
                <w:szCs w:val="20"/>
              </w:rPr>
              <w:t xml:space="preserve"> </w:t>
            </w:r>
            <w:r w:rsidR="005D7240">
              <w:rPr>
                <w:color w:val="000000"/>
                <w:sz w:val="20"/>
                <w:szCs w:val="20"/>
              </w:rPr>
              <w:t>(1)</w:t>
            </w:r>
          </w:p>
          <w:p w:rsidR="00D06A2F" w:rsidRPr="00E8065F" w:rsidRDefault="00D06A2F" w:rsidP="00CD3A6F">
            <w:pPr>
              <w:spacing w:line="235" w:lineRule="auto"/>
              <w:jc w:val="center"/>
              <w:rPr>
                <w:color w:val="000000"/>
                <w:sz w:val="20"/>
                <w:szCs w:val="20"/>
              </w:rPr>
            </w:pPr>
            <w:r w:rsidRPr="00E8065F">
              <w:rPr>
                <w:color w:val="000000"/>
                <w:sz w:val="20"/>
                <w:szCs w:val="20"/>
              </w:rPr>
              <w:t>2021</w:t>
            </w:r>
            <w:r w:rsidR="003D79B3">
              <w:rPr>
                <w:color w:val="000000"/>
                <w:sz w:val="20"/>
                <w:szCs w:val="20"/>
              </w:rPr>
              <w:t xml:space="preserve"> </w:t>
            </w:r>
            <w:r w:rsidR="005D7240">
              <w:rPr>
                <w:color w:val="000000"/>
                <w:sz w:val="20"/>
                <w:szCs w:val="20"/>
              </w:rPr>
              <w:t>(1)</w:t>
            </w:r>
          </w:p>
          <w:p w:rsidR="00D06A2F" w:rsidRPr="00E8065F" w:rsidRDefault="00D06A2F" w:rsidP="00CD3A6F">
            <w:pPr>
              <w:spacing w:line="235" w:lineRule="auto"/>
              <w:jc w:val="center"/>
              <w:rPr>
                <w:color w:val="000000"/>
                <w:sz w:val="20"/>
                <w:szCs w:val="20"/>
              </w:rPr>
            </w:pPr>
            <w:r w:rsidRPr="00E8065F">
              <w:rPr>
                <w:color w:val="000000"/>
                <w:sz w:val="20"/>
                <w:szCs w:val="20"/>
              </w:rPr>
              <w:t>2022</w:t>
            </w:r>
            <w:r w:rsidR="003D79B3">
              <w:rPr>
                <w:color w:val="000000"/>
                <w:sz w:val="20"/>
                <w:szCs w:val="20"/>
              </w:rPr>
              <w:t xml:space="preserve"> </w:t>
            </w:r>
            <w:r w:rsidR="005D7240">
              <w:rPr>
                <w:color w:val="000000"/>
                <w:sz w:val="20"/>
                <w:szCs w:val="20"/>
              </w:rPr>
              <w:t>(2)</w:t>
            </w:r>
          </w:p>
        </w:tc>
        <w:tc>
          <w:tcPr>
            <w:tcW w:w="1181" w:type="dxa"/>
            <w:shd w:val="clear" w:color="auto" w:fill="auto"/>
          </w:tcPr>
          <w:p w:rsidR="00D06A2F" w:rsidRPr="00E8065F" w:rsidRDefault="00D06A2F" w:rsidP="00CD3A6F">
            <w:pPr>
              <w:spacing w:line="235" w:lineRule="auto"/>
              <w:jc w:val="center"/>
              <w:rPr>
                <w:color w:val="000000"/>
                <w:sz w:val="20"/>
                <w:szCs w:val="20"/>
              </w:rPr>
            </w:pPr>
            <w:r w:rsidRPr="00E8065F">
              <w:rPr>
                <w:color w:val="000000"/>
                <w:sz w:val="20"/>
                <w:szCs w:val="20"/>
              </w:rPr>
              <w:t>4</w:t>
            </w:r>
          </w:p>
        </w:tc>
        <w:tc>
          <w:tcPr>
            <w:tcW w:w="1478" w:type="dxa"/>
            <w:tcBorders>
              <w:top w:val="nil"/>
              <w:left w:val="single" w:sz="4" w:space="0" w:color="auto"/>
              <w:bottom w:val="single" w:sz="4" w:space="0" w:color="auto"/>
              <w:right w:val="single" w:sz="4" w:space="0" w:color="auto"/>
            </w:tcBorders>
            <w:shd w:val="clear" w:color="auto" w:fill="auto"/>
          </w:tcPr>
          <w:p w:rsidR="00D06A2F" w:rsidRPr="00E8065F" w:rsidRDefault="00D06A2F" w:rsidP="00CD3A6F">
            <w:pPr>
              <w:spacing w:line="235" w:lineRule="auto"/>
              <w:jc w:val="center"/>
              <w:rPr>
                <w:color w:val="000000"/>
                <w:sz w:val="20"/>
                <w:szCs w:val="20"/>
              </w:rPr>
            </w:pPr>
            <w:r w:rsidRPr="00E8065F">
              <w:rPr>
                <w:color w:val="000000"/>
                <w:sz w:val="20"/>
                <w:szCs w:val="20"/>
              </w:rPr>
              <w:t>2,5</w:t>
            </w:r>
          </w:p>
        </w:tc>
        <w:tc>
          <w:tcPr>
            <w:tcW w:w="1111" w:type="dxa"/>
            <w:tcBorders>
              <w:top w:val="nil"/>
              <w:left w:val="single" w:sz="4" w:space="0" w:color="auto"/>
              <w:bottom w:val="single" w:sz="4" w:space="0" w:color="auto"/>
              <w:right w:val="single" w:sz="4" w:space="0" w:color="auto"/>
            </w:tcBorders>
            <w:shd w:val="clear" w:color="auto" w:fill="auto"/>
          </w:tcPr>
          <w:p w:rsidR="00D06A2F" w:rsidRPr="00E8065F" w:rsidRDefault="00D06A2F" w:rsidP="00CD3A6F">
            <w:pPr>
              <w:spacing w:line="235" w:lineRule="auto"/>
              <w:jc w:val="center"/>
              <w:rPr>
                <w:color w:val="000000"/>
                <w:sz w:val="20"/>
                <w:szCs w:val="20"/>
              </w:rPr>
            </w:pPr>
            <w:r w:rsidRPr="00E8065F">
              <w:rPr>
                <w:color w:val="000000"/>
                <w:sz w:val="20"/>
                <w:szCs w:val="20"/>
              </w:rPr>
              <w:t>1</w:t>
            </w:r>
          </w:p>
        </w:tc>
        <w:tc>
          <w:tcPr>
            <w:tcW w:w="1944" w:type="dxa"/>
            <w:tcBorders>
              <w:top w:val="nil"/>
              <w:left w:val="single" w:sz="4" w:space="0" w:color="auto"/>
              <w:bottom w:val="single" w:sz="4" w:space="0" w:color="auto"/>
              <w:right w:val="single" w:sz="4" w:space="0" w:color="auto"/>
            </w:tcBorders>
            <w:shd w:val="clear" w:color="auto" w:fill="auto"/>
          </w:tcPr>
          <w:p w:rsidR="00D06A2F" w:rsidRPr="00E8065F" w:rsidRDefault="00D06A2F" w:rsidP="00CD3A6F">
            <w:pPr>
              <w:spacing w:line="235" w:lineRule="auto"/>
              <w:jc w:val="center"/>
              <w:rPr>
                <w:color w:val="000000"/>
                <w:sz w:val="20"/>
                <w:szCs w:val="20"/>
              </w:rPr>
            </w:pPr>
            <w:r w:rsidRPr="00E8065F">
              <w:rPr>
                <w:color w:val="000000"/>
                <w:sz w:val="20"/>
                <w:szCs w:val="20"/>
              </w:rPr>
              <w:t>Стационарное</w:t>
            </w:r>
          </w:p>
        </w:tc>
      </w:tr>
      <w:tr w:rsidR="00D06A2F" w:rsidRPr="00E8065F" w:rsidTr="00CD3A6F">
        <w:trPr>
          <w:trHeight w:val="20"/>
        </w:trPr>
        <w:tc>
          <w:tcPr>
            <w:tcW w:w="1555" w:type="dxa"/>
            <w:vMerge/>
            <w:tcBorders>
              <w:left w:val="single" w:sz="4" w:space="0" w:color="auto"/>
              <w:right w:val="single" w:sz="4" w:space="0" w:color="auto"/>
            </w:tcBorders>
          </w:tcPr>
          <w:p w:rsidR="00D06A2F" w:rsidRPr="00E8065F" w:rsidRDefault="00D06A2F" w:rsidP="00BA1432">
            <w:pPr>
              <w:rPr>
                <w:sz w:val="20"/>
                <w:szCs w:val="20"/>
              </w:rPr>
            </w:pPr>
          </w:p>
        </w:tc>
        <w:tc>
          <w:tcPr>
            <w:tcW w:w="3685" w:type="dxa"/>
            <w:tcBorders>
              <w:top w:val="nil"/>
              <w:left w:val="single" w:sz="4" w:space="0" w:color="auto"/>
              <w:bottom w:val="single" w:sz="4" w:space="0" w:color="auto"/>
              <w:right w:val="single" w:sz="4" w:space="0" w:color="auto"/>
            </w:tcBorders>
            <w:shd w:val="clear" w:color="auto" w:fill="auto"/>
          </w:tcPr>
          <w:p w:rsidR="00D06A2F" w:rsidRPr="00E8065F" w:rsidRDefault="00D06A2F" w:rsidP="00CD3A6F">
            <w:pPr>
              <w:spacing w:line="235" w:lineRule="auto"/>
              <w:jc w:val="both"/>
              <w:rPr>
                <w:color w:val="000000"/>
                <w:sz w:val="20"/>
                <w:szCs w:val="20"/>
              </w:rPr>
            </w:pPr>
            <w:r>
              <w:rPr>
                <w:color w:val="000000"/>
                <w:sz w:val="20"/>
                <w:szCs w:val="20"/>
              </w:rPr>
              <w:t>ГАУЗ «Городская больница № 5» г.</w:t>
            </w:r>
            <w:r w:rsidRPr="00E8065F">
              <w:rPr>
                <w:color w:val="000000"/>
                <w:sz w:val="20"/>
                <w:szCs w:val="20"/>
              </w:rPr>
              <w:t>Набережные Челны</w:t>
            </w:r>
          </w:p>
        </w:tc>
        <w:tc>
          <w:tcPr>
            <w:tcW w:w="1994" w:type="dxa"/>
            <w:tcBorders>
              <w:top w:val="nil"/>
              <w:left w:val="single" w:sz="4" w:space="0" w:color="auto"/>
              <w:bottom w:val="single" w:sz="4" w:space="0" w:color="auto"/>
              <w:right w:val="single" w:sz="4" w:space="0" w:color="auto"/>
            </w:tcBorders>
            <w:shd w:val="clear" w:color="auto" w:fill="auto"/>
          </w:tcPr>
          <w:p w:rsidR="00D06A2F" w:rsidRPr="00E8065F" w:rsidRDefault="00D06A2F" w:rsidP="00CD3A6F">
            <w:pPr>
              <w:spacing w:line="235" w:lineRule="auto"/>
              <w:jc w:val="center"/>
              <w:rPr>
                <w:color w:val="000000"/>
                <w:sz w:val="20"/>
                <w:szCs w:val="20"/>
              </w:rPr>
            </w:pPr>
            <w:r w:rsidRPr="00E8065F">
              <w:rPr>
                <w:color w:val="000000"/>
                <w:sz w:val="20"/>
                <w:szCs w:val="20"/>
              </w:rPr>
              <w:t>Колоноскоп</w:t>
            </w:r>
          </w:p>
        </w:tc>
        <w:tc>
          <w:tcPr>
            <w:tcW w:w="1181" w:type="dxa"/>
            <w:tcBorders>
              <w:top w:val="nil"/>
              <w:left w:val="single" w:sz="4" w:space="0" w:color="auto"/>
              <w:bottom w:val="single" w:sz="4" w:space="0" w:color="auto"/>
              <w:right w:val="single" w:sz="4" w:space="0" w:color="auto"/>
            </w:tcBorders>
            <w:shd w:val="clear" w:color="auto" w:fill="auto"/>
          </w:tcPr>
          <w:p w:rsidR="00D06A2F" w:rsidRPr="00E8065F" w:rsidRDefault="00D06A2F" w:rsidP="00CD3A6F">
            <w:pPr>
              <w:spacing w:line="235" w:lineRule="auto"/>
              <w:jc w:val="center"/>
              <w:rPr>
                <w:color w:val="000000"/>
                <w:sz w:val="20"/>
                <w:szCs w:val="20"/>
              </w:rPr>
            </w:pPr>
            <w:r w:rsidRPr="00E8065F">
              <w:rPr>
                <w:color w:val="000000"/>
                <w:sz w:val="20"/>
                <w:szCs w:val="20"/>
              </w:rPr>
              <w:t>2021</w:t>
            </w:r>
            <w:r w:rsidR="003D79B3">
              <w:rPr>
                <w:color w:val="000000"/>
                <w:sz w:val="20"/>
                <w:szCs w:val="20"/>
              </w:rPr>
              <w:t xml:space="preserve"> </w:t>
            </w:r>
            <w:r w:rsidR="005D7240">
              <w:rPr>
                <w:color w:val="000000"/>
                <w:sz w:val="20"/>
                <w:szCs w:val="20"/>
              </w:rPr>
              <w:t>(1)</w:t>
            </w:r>
          </w:p>
          <w:p w:rsidR="00D06A2F" w:rsidRPr="00E8065F" w:rsidRDefault="00D06A2F" w:rsidP="00CD3A6F">
            <w:pPr>
              <w:spacing w:line="235" w:lineRule="auto"/>
              <w:jc w:val="center"/>
              <w:rPr>
                <w:color w:val="000000"/>
                <w:sz w:val="20"/>
                <w:szCs w:val="20"/>
              </w:rPr>
            </w:pPr>
            <w:r w:rsidRPr="00E8065F">
              <w:rPr>
                <w:color w:val="000000"/>
                <w:sz w:val="20"/>
                <w:szCs w:val="20"/>
              </w:rPr>
              <w:t>2022</w:t>
            </w:r>
            <w:r w:rsidR="003D79B3">
              <w:rPr>
                <w:color w:val="000000"/>
                <w:sz w:val="20"/>
                <w:szCs w:val="20"/>
              </w:rPr>
              <w:t xml:space="preserve"> </w:t>
            </w:r>
            <w:r w:rsidR="005D7240">
              <w:rPr>
                <w:color w:val="000000"/>
                <w:sz w:val="20"/>
                <w:szCs w:val="20"/>
              </w:rPr>
              <w:t>(1)</w:t>
            </w:r>
          </w:p>
          <w:p w:rsidR="00D06A2F" w:rsidRPr="00E8065F" w:rsidRDefault="00D06A2F" w:rsidP="00CD3A6F">
            <w:pPr>
              <w:spacing w:line="235" w:lineRule="auto"/>
              <w:jc w:val="center"/>
              <w:rPr>
                <w:color w:val="000000"/>
                <w:sz w:val="20"/>
                <w:szCs w:val="20"/>
              </w:rPr>
            </w:pPr>
            <w:r w:rsidRPr="00E8065F">
              <w:rPr>
                <w:color w:val="000000"/>
                <w:sz w:val="20"/>
                <w:szCs w:val="20"/>
              </w:rPr>
              <w:t>2023</w:t>
            </w:r>
            <w:r w:rsidR="003D79B3">
              <w:rPr>
                <w:color w:val="000000"/>
                <w:sz w:val="20"/>
                <w:szCs w:val="20"/>
              </w:rPr>
              <w:t xml:space="preserve"> </w:t>
            </w:r>
            <w:r w:rsidR="005D7240">
              <w:rPr>
                <w:color w:val="000000"/>
                <w:sz w:val="20"/>
                <w:szCs w:val="20"/>
              </w:rPr>
              <w:t>(1)</w:t>
            </w:r>
          </w:p>
        </w:tc>
        <w:tc>
          <w:tcPr>
            <w:tcW w:w="1181" w:type="dxa"/>
            <w:shd w:val="clear" w:color="auto" w:fill="auto"/>
          </w:tcPr>
          <w:p w:rsidR="00D06A2F" w:rsidRPr="00E8065F" w:rsidRDefault="00D06A2F" w:rsidP="00CD3A6F">
            <w:pPr>
              <w:spacing w:line="235" w:lineRule="auto"/>
              <w:jc w:val="center"/>
              <w:rPr>
                <w:color w:val="000000"/>
                <w:sz w:val="20"/>
                <w:szCs w:val="20"/>
              </w:rPr>
            </w:pPr>
            <w:r w:rsidRPr="00E8065F">
              <w:rPr>
                <w:color w:val="000000"/>
                <w:sz w:val="20"/>
                <w:szCs w:val="20"/>
              </w:rPr>
              <w:t>3</w:t>
            </w:r>
          </w:p>
        </w:tc>
        <w:tc>
          <w:tcPr>
            <w:tcW w:w="1478" w:type="dxa"/>
            <w:tcBorders>
              <w:top w:val="nil"/>
              <w:left w:val="single" w:sz="4" w:space="0" w:color="auto"/>
              <w:bottom w:val="single" w:sz="4" w:space="0" w:color="auto"/>
              <w:right w:val="single" w:sz="4" w:space="0" w:color="auto"/>
            </w:tcBorders>
            <w:shd w:val="clear" w:color="auto" w:fill="auto"/>
          </w:tcPr>
          <w:p w:rsidR="00D06A2F" w:rsidRPr="00E8065F" w:rsidRDefault="00D06A2F" w:rsidP="00CD3A6F">
            <w:pPr>
              <w:spacing w:line="235" w:lineRule="auto"/>
              <w:jc w:val="center"/>
              <w:rPr>
                <w:color w:val="000000"/>
                <w:sz w:val="20"/>
                <w:szCs w:val="20"/>
              </w:rPr>
            </w:pPr>
            <w:r w:rsidRPr="00E8065F">
              <w:rPr>
                <w:color w:val="000000"/>
                <w:sz w:val="20"/>
                <w:szCs w:val="20"/>
              </w:rPr>
              <w:t>1,6</w:t>
            </w:r>
          </w:p>
        </w:tc>
        <w:tc>
          <w:tcPr>
            <w:tcW w:w="1111" w:type="dxa"/>
            <w:tcBorders>
              <w:top w:val="nil"/>
              <w:left w:val="single" w:sz="4" w:space="0" w:color="auto"/>
              <w:bottom w:val="single" w:sz="4" w:space="0" w:color="auto"/>
              <w:right w:val="single" w:sz="4" w:space="0" w:color="auto"/>
            </w:tcBorders>
            <w:shd w:val="clear" w:color="auto" w:fill="auto"/>
          </w:tcPr>
          <w:p w:rsidR="00D06A2F" w:rsidRPr="00E8065F" w:rsidRDefault="00D06A2F" w:rsidP="00CD3A6F">
            <w:pPr>
              <w:spacing w:line="235" w:lineRule="auto"/>
              <w:jc w:val="center"/>
              <w:rPr>
                <w:color w:val="000000"/>
                <w:sz w:val="20"/>
                <w:szCs w:val="20"/>
              </w:rPr>
            </w:pPr>
            <w:r w:rsidRPr="00E8065F">
              <w:rPr>
                <w:color w:val="000000"/>
                <w:sz w:val="20"/>
                <w:szCs w:val="20"/>
              </w:rPr>
              <w:t>1</w:t>
            </w:r>
          </w:p>
        </w:tc>
        <w:tc>
          <w:tcPr>
            <w:tcW w:w="1944" w:type="dxa"/>
            <w:tcBorders>
              <w:top w:val="nil"/>
              <w:left w:val="single" w:sz="4" w:space="0" w:color="auto"/>
              <w:bottom w:val="single" w:sz="4" w:space="0" w:color="auto"/>
              <w:right w:val="single" w:sz="4" w:space="0" w:color="auto"/>
            </w:tcBorders>
            <w:shd w:val="clear" w:color="auto" w:fill="auto"/>
          </w:tcPr>
          <w:p w:rsidR="00D06A2F" w:rsidRPr="00E8065F" w:rsidRDefault="00D06A2F" w:rsidP="00CD3A6F">
            <w:pPr>
              <w:spacing w:line="235" w:lineRule="auto"/>
              <w:jc w:val="center"/>
              <w:rPr>
                <w:color w:val="000000"/>
                <w:sz w:val="20"/>
                <w:szCs w:val="20"/>
              </w:rPr>
            </w:pPr>
            <w:r w:rsidRPr="00E8065F">
              <w:rPr>
                <w:color w:val="000000"/>
                <w:sz w:val="20"/>
                <w:szCs w:val="20"/>
              </w:rPr>
              <w:t>Амбулаторное</w:t>
            </w:r>
          </w:p>
        </w:tc>
      </w:tr>
      <w:tr w:rsidR="00D06A2F" w:rsidRPr="00E8065F" w:rsidTr="00CD3A6F">
        <w:trPr>
          <w:trHeight w:val="20"/>
        </w:trPr>
        <w:tc>
          <w:tcPr>
            <w:tcW w:w="1555" w:type="dxa"/>
            <w:vMerge/>
            <w:tcBorders>
              <w:left w:val="single" w:sz="4" w:space="0" w:color="auto"/>
              <w:right w:val="single" w:sz="4" w:space="0" w:color="auto"/>
            </w:tcBorders>
          </w:tcPr>
          <w:p w:rsidR="00D06A2F" w:rsidRPr="00E8065F" w:rsidRDefault="00D06A2F" w:rsidP="00BA1432">
            <w:pPr>
              <w:rPr>
                <w:sz w:val="20"/>
                <w:szCs w:val="20"/>
              </w:rPr>
            </w:pPr>
          </w:p>
        </w:tc>
        <w:tc>
          <w:tcPr>
            <w:tcW w:w="3685" w:type="dxa"/>
            <w:tcBorders>
              <w:top w:val="nil"/>
              <w:left w:val="single" w:sz="4" w:space="0" w:color="auto"/>
              <w:bottom w:val="single" w:sz="4" w:space="0" w:color="auto"/>
              <w:right w:val="single" w:sz="4" w:space="0" w:color="auto"/>
            </w:tcBorders>
            <w:shd w:val="clear" w:color="auto" w:fill="auto"/>
          </w:tcPr>
          <w:p w:rsidR="00D06A2F" w:rsidRPr="00E8065F" w:rsidRDefault="00D06A2F" w:rsidP="00CD3A6F">
            <w:pPr>
              <w:spacing w:line="235" w:lineRule="auto"/>
              <w:jc w:val="both"/>
              <w:rPr>
                <w:color w:val="000000"/>
                <w:sz w:val="20"/>
                <w:szCs w:val="20"/>
              </w:rPr>
            </w:pPr>
            <w:r w:rsidRPr="00E8065F">
              <w:rPr>
                <w:color w:val="000000"/>
                <w:sz w:val="20"/>
                <w:szCs w:val="20"/>
              </w:rPr>
              <w:t>ГАУ</w:t>
            </w:r>
            <w:r>
              <w:rPr>
                <w:color w:val="000000"/>
                <w:sz w:val="20"/>
                <w:szCs w:val="20"/>
              </w:rPr>
              <w:t>З «Городская поликлиника № 7» г.</w:t>
            </w:r>
            <w:r w:rsidRPr="00E8065F">
              <w:rPr>
                <w:color w:val="000000"/>
                <w:sz w:val="20"/>
                <w:szCs w:val="20"/>
              </w:rPr>
              <w:t>Набережные Челны</w:t>
            </w:r>
          </w:p>
        </w:tc>
        <w:tc>
          <w:tcPr>
            <w:tcW w:w="1994" w:type="dxa"/>
            <w:tcBorders>
              <w:top w:val="nil"/>
              <w:left w:val="single" w:sz="4" w:space="0" w:color="auto"/>
              <w:bottom w:val="single" w:sz="4" w:space="0" w:color="auto"/>
              <w:right w:val="single" w:sz="4" w:space="0" w:color="auto"/>
            </w:tcBorders>
            <w:shd w:val="clear" w:color="auto" w:fill="auto"/>
          </w:tcPr>
          <w:p w:rsidR="00D06A2F" w:rsidRPr="00E8065F" w:rsidRDefault="00D06A2F" w:rsidP="00CD3A6F">
            <w:pPr>
              <w:spacing w:line="235" w:lineRule="auto"/>
              <w:jc w:val="center"/>
              <w:rPr>
                <w:color w:val="000000"/>
                <w:sz w:val="20"/>
                <w:szCs w:val="20"/>
              </w:rPr>
            </w:pPr>
            <w:r w:rsidRPr="00E8065F">
              <w:rPr>
                <w:color w:val="000000"/>
                <w:sz w:val="20"/>
                <w:szCs w:val="20"/>
              </w:rPr>
              <w:t>Колоноскоп</w:t>
            </w:r>
          </w:p>
        </w:tc>
        <w:tc>
          <w:tcPr>
            <w:tcW w:w="1181" w:type="dxa"/>
            <w:tcBorders>
              <w:top w:val="nil"/>
              <w:left w:val="single" w:sz="4" w:space="0" w:color="auto"/>
              <w:bottom w:val="single" w:sz="4" w:space="0" w:color="auto"/>
              <w:right w:val="single" w:sz="4" w:space="0" w:color="auto"/>
            </w:tcBorders>
            <w:shd w:val="clear" w:color="auto" w:fill="auto"/>
          </w:tcPr>
          <w:p w:rsidR="00D06A2F" w:rsidRPr="00E8065F" w:rsidRDefault="00D06A2F" w:rsidP="00CD3A6F">
            <w:pPr>
              <w:spacing w:line="235" w:lineRule="auto"/>
              <w:jc w:val="center"/>
              <w:rPr>
                <w:color w:val="000000"/>
                <w:sz w:val="20"/>
                <w:szCs w:val="20"/>
              </w:rPr>
            </w:pPr>
            <w:r w:rsidRPr="00E8065F">
              <w:rPr>
                <w:color w:val="000000"/>
                <w:sz w:val="20"/>
                <w:szCs w:val="20"/>
              </w:rPr>
              <w:t>2018</w:t>
            </w:r>
          </w:p>
        </w:tc>
        <w:tc>
          <w:tcPr>
            <w:tcW w:w="1181" w:type="dxa"/>
            <w:shd w:val="clear" w:color="auto" w:fill="auto"/>
          </w:tcPr>
          <w:p w:rsidR="00D06A2F" w:rsidRPr="00E8065F" w:rsidRDefault="00D06A2F" w:rsidP="00CD3A6F">
            <w:pPr>
              <w:spacing w:line="235" w:lineRule="auto"/>
              <w:jc w:val="center"/>
              <w:rPr>
                <w:color w:val="000000"/>
                <w:sz w:val="20"/>
                <w:szCs w:val="20"/>
              </w:rPr>
            </w:pPr>
            <w:r w:rsidRPr="00E8065F">
              <w:rPr>
                <w:color w:val="000000"/>
                <w:sz w:val="20"/>
                <w:szCs w:val="20"/>
              </w:rPr>
              <w:t>1</w:t>
            </w:r>
          </w:p>
        </w:tc>
        <w:tc>
          <w:tcPr>
            <w:tcW w:w="1478" w:type="dxa"/>
            <w:tcBorders>
              <w:top w:val="nil"/>
              <w:left w:val="single" w:sz="4" w:space="0" w:color="auto"/>
              <w:bottom w:val="single" w:sz="4" w:space="0" w:color="auto"/>
              <w:right w:val="single" w:sz="4" w:space="0" w:color="auto"/>
            </w:tcBorders>
            <w:shd w:val="clear" w:color="auto" w:fill="auto"/>
          </w:tcPr>
          <w:p w:rsidR="00D06A2F" w:rsidRPr="00E8065F" w:rsidRDefault="00D06A2F" w:rsidP="00CD3A6F">
            <w:pPr>
              <w:spacing w:line="235" w:lineRule="auto"/>
              <w:jc w:val="center"/>
              <w:rPr>
                <w:color w:val="000000"/>
                <w:sz w:val="20"/>
                <w:szCs w:val="20"/>
              </w:rPr>
            </w:pPr>
            <w:r w:rsidRPr="00E8065F">
              <w:rPr>
                <w:color w:val="000000"/>
                <w:sz w:val="20"/>
                <w:szCs w:val="20"/>
              </w:rPr>
              <w:t>2,1</w:t>
            </w:r>
          </w:p>
        </w:tc>
        <w:tc>
          <w:tcPr>
            <w:tcW w:w="1111" w:type="dxa"/>
            <w:tcBorders>
              <w:top w:val="nil"/>
              <w:left w:val="single" w:sz="4" w:space="0" w:color="auto"/>
              <w:bottom w:val="single" w:sz="4" w:space="0" w:color="auto"/>
              <w:right w:val="single" w:sz="4" w:space="0" w:color="auto"/>
            </w:tcBorders>
            <w:shd w:val="clear" w:color="auto" w:fill="auto"/>
          </w:tcPr>
          <w:p w:rsidR="00D06A2F" w:rsidRPr="00E8065F" w:rsidRDefault="00D06A2F" w:rsidP="00CD3A6F">
            <w:pPr>
              <w:spacing w:line="235" w:lineRule="auto"/>
              <w:jc w:val="center"/>
              <w:rPr>
                <w:color w:val="000000"/>
                <w:sz w:val="20"/>
                <w:szCs w:val="20"/>
              </w:rPr>
            </w:pPr>
            <w:r w:rsidRPr="00E8065F">
              <w:rPr>
                <w:color w:val="000000"/>
                <w:sz w:val="20"/>
                <w:szCs w:val="20"/>
              </w:rPr>
              <w:t>2</w:t>
            </w:r>
          </w:p>
        </w:tc>
        <w:tc>
          <w:tcPr>
            <w:tcW w:w="1944" w:type="dxa"/>
            <w:tcBorders>
              <w:top w:val="nil"/>
              <w:left w:val="single" w:sz="4" w:space="0" w:color="auto"/>
              <w:bottom w:val="single" w:sz="4" w:space="0" w:color="auto"/>
              <w:right w:val="single" w:sz="4" w:space="0" w:color="auto"/>
            </w:tcBorders>
            <w:shd w:val="clear" w:color="auto" w:fill="auto"/>
          </w:tcPr>
          <w:p w:rsidR="00D06A2F" w:rsidRPr="00E8065F" w:rsidRDefault="00D06A2F" w:rsidP="00CD3A6F">
            <w:pPr>
              <w:spacing w:line="235" w:lineRule="auto"/>
              <w:jc w:val="center"/>
              <w:rPr>
                <w:color w:val="000000"/>
                <w:sz w:val="20"/>
                <w:szCs w:val="20"/>
              </w:rPr>
            </w:pPr>
            <w:r w:rsidRPr="00E8065F">
              <w:rPr>
                <w:color w:val="000000"/>
                <w:sz w:val="20"/>
                <w:szCs w:val="20"/>
              </w:rPr>
              <w:t>Амбулаторное</w:t>
            </w:r>
          </w:p>
        </w:tc>
      </w:tr>
      <w:tr w:rsidR="00D06A2F" w:rsidRPr="00E8065F" w:rsidTr="00CD3A6F">
        <w:trPr>
          <w:trHeight w:val="20"/>
        </w:trPr>
        <w:tc>
          <w:tcPr>
            <w:tcW w:w="1555" w:type="dxa"/>
            <w:vMerge/>
            <w:tcBorders>
              <w:left w:val="single" w:sz="4" w:space="0" w:color="auto"/>
              <w:right w:val="single" w:sz="4" w:space="0" w:color="auto"/>
            </w:tcBorders>
          </w:tcPr>
          <w:p w:rsidR="00D06A2F" w:rsidRPr="00E8065F" w:rsidRDefault="00D06A2F" w:rsidP="00BA1432">
            <w:pPr>
              <w:rPr>
                <w:sz w:val="20"/>
                <w:szCs w:val="20"/>
              </w:rPr>
            </w:pPr>
          </w:p>
        </w:tc>
        <w:tc>
          <w:tcPr>
            <w:tcW w:w="3685" w:type="dxa"/>
            <w:tcBorders>
              <w:top w:val="nil"/>
              <w:left w:val="single" w:sz="4" w:space="0" w:color="auto"/>
              <w:bottom w:val="single" w:sz="4" w:space="0" w:color="auto"/>
              <w:right w:val="single" w:sz="4" w:space="0" w:color="auto"/>
            </w:tcBorders>
            <w:shd w:val="clear" w:color="auto" w:fill="auto"/>
          </w:tcPr>
          <w:p w:rsidR="00D06A2F" w:rsidRPr="00E8065F" w:rsidRDefault="00D06A2F" w:rsidP="00CD3A6F">
            <w:pPr>
              <w:spacing w:line="235" w:lineRule="auto"/>
              <w:jc w:val="both"/>
              <w:rPr>
                <w:color w:val="000000"/>
                <w:sz w:val="20"/>
                <w:szCs w:val="20"/>
              </w:rPr>
            </w:pPr>
            <w:r w:rsidRPr="00E8065F">
              <w:rPr>
                <w:color w:val="000000"/>
                <w:sz w:val="20"/>
                <w:szCs w:val="20"/>
              </w:rPr>
              <w:t xml:space="preserve">ГАУЗ </w:t>
            </w:r>
            <w:r>
              <w:rPr>
                <w:color w:val="000000"/>
                <w:sz w:val="20"/>
                <w:szCs w:val="20"/>
              </w:rPr>
              <w:t>«</w:t>
            </w:r>
            <w:r w:rsidRPr="00E8065F">
              <w:rPr>
                <w:color w:val="000000"/>
                <w:sz w:val="20"/>
                <w:szCs w:val="20"/>
              </w:rPr>
              <w:t>Городская клин</w:t>
            </w:r>
            <w:r>
              <w:rPr>
                <w:color w:val="000000"/>
                <w:sz w:val="20"/>
                <w:szCs w:val="20"/>
              </w:rPr>
              <w:t>ическая больница № 12» г.Казани</w:t>
            </w:r>
          </w:p>
        </w:tc>
        <w:tc>
          <w:tcPr>
            <w:tcW w:w="1994" w:type="dxa"/>
            <w:tcBorders>
              <w:top w:val="nil"/>
              <w:left w:val="single" w:sz="4" w:space="0" w:color="auto"/>
              <w:bottom w:val="single" w:sz="4" w:space="0" w:color="auto"/>
              <w:right w:val="single" w:sz="4" w:space="0" w:color="auto"/>
            </w:tcBorders>
            <w:shd w:val="clear" w:color="auto" w:fill="auto"/>
          </w:tcPr>
          <w:p w:rsidR="00D06A2F" w:rsidRPr="00E8065F" w:rsidRDefault="00D06A2F" w:rsidP="00CD3A6F">
            <w:pPr>
              <w:spacing w:line="235" w:lineRule="auto"/>
              <w:jc w:val="center"/>
              <w:rPr>
                <w:color w:val="000000"/>
                <w:sz w:val="20"/>
                <w:szCs w:val="20"/>
              </w:rPr>
            </w:pPr>
            <w:r w:rsidRPr="00E8065F">
              <w:rPr>
                <w:color w:val="000000"/>
                <w:sz w:val="20"/>
                <w:szCs w:val="20"/>
              </w:rPr>
              <w:t>Колоноскоп</w:t>
            </w:r>
          </w:p>
        </w:tc>
        <w:tc>
          <w:tcPr>
            <w:tcW w:w="1181" w:type="dxa"/>
            <w:tcBorders>
              <w:top w:val="nil"/>
              <w:left w:val="single" w:sz="4" w:space="0" w:color="auto"/>
              <w:bottom w:val="single" w:sz="4" w:space="0" w:color="auto"/>
              <w:right w:val="single" w:sz="4" w:space="0" w:color="auto"/>
            </w:tcBorders>
            <w:shd w:val="clear" w:color="auto" w:fill="auto"/>
          </w:tcPr>
          <w:p w:rsidR="00D06A2F" w:rsidRPr="00E8065F" w:rsidRDefault="00D06A2F" w:rsidP="00CD3A6F">
            <w:pPr>
              <w:spacing w:line="235" w:lineRule="auto"/>
              <w:jc w:val="center"/>
              <w:rPr>
                <w:color w:val="000000"/>
                <w:sz w:val="20"/>
                <w:szCs w:val="20"/>
              </w:rPr>
            </w:pPr>
            <w:r w:rsidRPr="00E8065F">
              <w:rPr>
                <w:color w:val="000000"/>
                <w:sz w:val="20"/>
                <w:szCs w:val="20"/>
              </w:rPr>
              <w:t>2014</w:t>
            </w:r>
            <w:r w:rsidR="003D79B3">
              <w:rPr>
                <w:color w:val="000000"/>
                <w:sz w:val="20"/>
                <w:szCs w:val="20"/>
              </w:rPr>
              <w:t xml:space="preserve"> </w:t>
            </w:r>
            <w:r w:rsidR="005D7240">
              <w:rPr>
                <w:color w:val="000000"/>
                <w:sz w:val="20"/>
                <w:szCs w:val="20"/>
              </w:rPr>
              <w:t>(1)</w:t>
            </w:r>
          </w:p>
          <w:p w:rsidR="00D06A2F" w:rsidRPr="00E8065F" w:rsidRDefault="00D06A2F" w:rsidP="00CD3A6F">
            <w:pPr>
              <w:spacing w:line="235" w:lineRule="auto"/>
              <w:jc w:val="center"/>
              <w:rPr>
                <w:color w:val="000000"/>
                <w:sz w:val="20"/>
                <w:szCs w:val="20"/>
              </w:rPr>
            </w:pPr>
            <w:r w:rsidRPr="00E8065F">
              <w:rPr>
                <w:color w:val="000000"/>
                <w:sz w:val="20"/>
                <w:szCs w:val="20"/>
              </w:rPr>
              <w:t>2022</w:t>
            </w:r>
            <w:r w:rsidR="003D79B3">
              <w:rPr>
                <w:color w:val="000000"/>
                <w:sz w:val="20"/>
                <w:szCs w:val="20"/>
              </w:rPr>
              <w:t xml:space="preserve"> </w:t>
            </w:r>
            <w:r w:rsidR="005D7240">
              <w:rPr>
                <w:color w:val="000000"/>
                <w:sz w:val="20"/>
                <w:szCs w:val="20"/>
              </w:rPr>
              <w:t>(1)</w:t>
            </w:r>
          </w:p>
        </w:tc>
        <w:tc>
          <w:tcPr>
            <w:tcW w:w="1181" w:type="dxa"/>
            <w:tcBorders>
              <w:bottom w:val="single" w:sz="4" w:space="0" w:color="auto"/>
            </w:tcBorders>
            <w:shd w:val="clear" w:color="auto" w:fill="auto"/>
          </w:tcPr>
          <w:p w:rsidR="00D06A2F" w:rsidRPr="00E8065F" w:rsidRDefault="00D06A2F" w:rsidP="00CD3A6F">
            <w:pPr>
              <w:spacing w:line="235" w:lineRule="auto"/>
              <w:jc w:val="center"/>
              <w:rPr>
                <w:color w:val="000000"/>
                <w:sz w:val="20"/>
                <w:szCs w:val="20"/>
              </w:rPr>
            </w:pPr>
            <w:r w:rsidRPr="00E8065F">
              <w:rPr>
                <w:color w:val="000000"/>
                <w:sz w:val="20"/>
                <w:szCs w:val="20"/>
              </w:rPr>
              <w:t>2</w:t>
            </w:r>
          </w:p>
        </w:tc>
        <w:tc>
          <w:tcPr>
            <w:tcW w:w="1478" w:type="dxa"/>
            <w:tcBorders>
              <w:top w:val="nil"/>
              <w:left w:val="single" w:sz="4" w:space="0" w:color="auto"/>
              <w:bottom w:val="single" w:sz="4" w:space="0" w:color="auto"/>
              <w:right w:val="single" w:sz="4" w:space="0" w:color="auto"/>
            </w:tcBorders>
            <w:shd w:val="clear" w:color="auto" w:fill="auto"/>
          </w:tcPr>
          <w:p w:rsidR="00D06A2F" w:rsidRPr="00E8065F" w:rsidRDefault="00D06A2F" w:rsidP="00CD3A6F">
            <w:pPr>
              <w:spacing w:line="235" w:lineRule="auto"/>
              <w:jc w:val="center"/>
              <w:rPr>
                <w:color w:val="000000"/>
                <w:sz w:val="20"/>
                <w:szCs w:val="20"/>
              </w:rPr>
            </w:pPr>
            <w:r w:rsidRPr="00E8065F">
              <w:rPr>
                <w:color w:val="000000"/>
                <w:sz w:val="20"/>
                <w:szCs w:val="20"/>
              </w:rPr>
              <w:t>1,1</w:t>
            </w:r>
          </w:p>
        </w:tc>
        <w:tc>
          <w:tcPr>
            <w:tcW w:w="1111" w:type="dxa"/>
            <w:tcBorders>
              <w:top w:val="nil"/>
              <w:left w:val="single" w:sz="4" w:space="0" w:color="auto"/>
              <w:bottom w:val="single" w:sz="4" w:space="0" w:color="auto"/>
              <w:right w:val="single" w:sz="4" w:space="0" w:color="auto"/>
            </w:tcBorders>
            <w:shd w:val="clear" w:color="auto" w:fill="auto"/>
          </w:tcPr>
          <w:p w:rsidR="00D06A2F" w:rsidRPr="00E8065F" w:rsidRDefault="00D06A2F" w:rsidP="00CD3A6F">
            <w:pPr>
              <w:spacing w:line="235" w:lineRule="auto"/>
              <w:jc w:val="center"/>
              <w:rPr>
                <w:color w:val="000000"/>
                <w:sz w:val="20"/>
                <w:szCs w:val="20"/>
              </w:rPr>
            </w:pPr>
            <w:r w:rsidRPr="00E8065F">
              <w:rPr>
                <w:color w:val="000000"/>
                <w:sz w:val="20"/>
                <w:szCs w:val="20"/>
              </w:rPr>
              <w:t>3</w:t>
            </w:r>
          </w:p>
        </w:tc>
        <w:tc>
          <w:tcPr>
            <w:tcW w:w="1944" w:type="dxa"/>
            <w:tcBorders>
              <w:top w:val="nil"/>
              <w:left w:val="single" w:sz="4" w:space="0" w:color="auto"/>
              <w:bottom w:val="single" w:sz="4" w:space="0" w:color="auto"/>
              <w:right w:val="single" w:sz="4" w:space="0" w:color="auto"/>
            </w:tcBorders>
            <w:shd w:val="clear" w:color="auto" w:fill="auto"/>
          </w:tcPr>
          <w:p w:rsidR="00D06A2F" w:rsidRPr="00E8065F" w:rsidRDefault="00D06A2F" w:rsidP="00CD3A6F">
            <w:pPr>
              <w:spacing w:line="235" w:lineRule="auto"/>
              <w:jc w:val="center"/>
              <w:rPr>
                <w:color w:val="000000"/>
                <w:sz w:val="20"/>
                <w:szCs w:val="20"/>
              </w:rPr>
            </w:pPr>
            <w:r w:rsidRPr="00E8065F">
              <w:rPr>
                <w:color w:val="000000"/>
                <w:sz w:val="20"/>
                <w:szCs w:val="20"/>
              </w:rPr>
              <w:t>Стационарное</w:t>
            </w:r>
          </w:p>
        </w:tc>
      </w:tr>
      <w:tr w:rsidR="00D06A2F" w:rsidRPr="00E8065F" w:rsidTr="00CD3A6F">
        <w:trPr>
          <w:trHeight w:val="20"/>
        </w:trPr>
        <w:tc>
          <w:tcPr>
            <w:tcW w:w="1555" w:type="dxa"/>
            <w:vMerge/>
            <w:tcBorders>
              <w:left w:val="single" w:sz="4" w:space="0" w:color="auto"/>
              <w:right w:val="single" w:sz="4" w:space="0" w:color="auto"/>
            </w:tcBorders>
          </w:tcPr>
          <w:p w:rsidR="00D06A2F" w:rsidRPr="00E8065F" w:rsidRDefault="00D06A2F" w:rsidP="00BA1432">
            <w:pPr>
              <w:rPr>
                <w:sz w:val="20"/>
                <w:szCs w:val="20"/>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D06A2F" w:rsidRPr="00E8065F" w:rsidRDefault="00D06A2F" w:rsidP="00CD3A6F">
            <w:pPr>
              <w:spacing w:line="235" w:lineRule="auto"/>
              <w:jc w:val="both"/>
              <w:rPr>
                <w:color w:val="000000"/>
                <w:sz w:val="20"/>
                <w:szCs w:val="20"/>
              </w:rPr>
            </w:pPr>
            <w:r w:rsidRPr="00E8065F">
              <w:rPr>
                <w:color w:val="000000"/>
                <w:sz w:val="20"/>
                <w:szCs w:val="20"/>
              </w:rPr>
              <w:t>Г</w:t>
            </w:r>
            <w:r>
              <w:rPr>
                <w:color w:val="000000"/>
                <w:sz w:val="20"/>
                <w:szCs w:val="20"/>
              </w:rPr>
              <w:t>АУЗ «Городская больница № 11» г.Казани</w:t>
            </w:r>
          </w:p>
        </w:tc>
        <w:tc>
          <w:tcPr>
            <w:tcW w:w="1994" w:type="dxa"/>
            <w:tcBorders>
              <w:top w:val="single" w:sz="4" w:space="0" w:color="auto"/>
              <w:left w:val="single" w:sz="4" w:space="0" w:color="auto"/>
              <w:bottom w:val="single" w:sz="4" w:space="0" w:color="auto"/>
              <w:right w:val="single" w:sz="4" w:space="0" w:color="auto"/>
            </w:tcBorders>
            <w:shd w:val="clear" w:color="auto" w:fill="auto"/>
          </w:tcPr>
          <w:p w:rsidR="00D06A2F" w:rsidRPr="00E8065F" w:rsidRDefault="00D06A2F" w:rsidP="00CD3A6F">
            <w:pPr>
              <w:spacing w:line="235" w:lineRule="auto"/>
              <w:jc w:val="center"/>
              <w:rPr>
                <w:color w:val="000000"/>
                <w:sz w:val="20"/>
                <w:szCs w:val="20"/>
              </w:rPr>
            </w:pPr>
            <w:r w:rsidRPr="00E8065F">
              <w:rPr>
                <w:color w:val="000000"/>
                <w:sz w:val="20"/>
                <w:szCs w:val="20"/>
              </w:rPr>
              <w:t>Колоноскоп</w:t>
            </w:r>
          </w:p>
        </w:tc>
        <w:tc>
          <w:tcPr>
            <w:tcW w:w="1181" w:type="dxa"/>
            <w:tcBorders>
              <w:top w:val="single" w:sz="4" w:space="0" w:color="auto"/>
              <w:left w:val="single" w:sz="4" w:space="0" w:color="auto"/>
              <w:bottom w:val="single" w:sz="4" w:space="0" w:color="auto"/>
              <w:right w:val="single" w:sz="4" w:space="0" w:color="auto"/>
            </w:tcBorders>
            <w:shd w:val="clear" w:color="auto" w:fill="auto"/>
          </w:tcPr>
          <w:p w:rsidR="00D06A2F" w:rsidRPr="00E8065F" w:rsidRDefault="00D06A2F" w:rsidP="00CD3A6F">
            <w:pPr>
              <w:spacing w:line="235" w:lineRule="auto"/>
              <w:jc w:val="center"/>
              <w:rPr>
                <w:color w:val="000000"/>
                <w:sz w:val="20"/>
                <w:szCs w:val="20"/>
              </w:rPr>
            </w:pPr>
            <w:r w:rsidRPr="00E8065F">
              <w:rPr>
                <w:color w:val="000000"/>
                <w:sz w:val="20"/>
                <w:szCs w:val="20"/>
              </w:rPr>
              <w:t>2018</w:t>
            </w:r>
          </w:p>
        </w:tc>
        <w:tc>
          <w:tcPr>
            <w:tcW w:w="1181" w:type="dxa"/>
            <w:tcBorders>
              <w:top w:val="single" w:sz="4" w:space="0" w:color="auto"/>
              <w:left w:val="single" w:sz="4" w:space="0" w:color="auto"/>
              <w:bottom w:val="single" w:sz="4" w:space="0" w:color="auto"/>
              <w:right w:val="single" w:sz="4" w:space="0" w:color="auto"/>
            </w:tcBorders>
            <w:shd w:val="clear" w:color="auto" w:fill="auto"/>
          </w:tcPr>
          <w:p w:rsidR="00D06A2F" w:rsidRPr="00E8065F" w:rsidRDefault="00D06A2F" w:rsidP="00CD3A6F">
            <w:pPr>
              <w:spacing w:line="235" w:lineRule="auto"/>
              <w:jc w:val="center"/>
              <w:rPr>
                <w:color w:val="000000"/>
                <w:sz w:val="20"/>
                <w:szCs w:val="20"/>
              </w:rPr>
            </w:pPr>
            <w:r w:rsidRPr="00E8065F">
              <w:rPr>
                <w:color w:val="000000"/>
                <w:sz w:val="20"/>
                <w:szCs w:val="20"/>
              </w:rPr>
              <w:t>1</w:t>
            </w:r>
          </w:p>
        </w:tc>
        <w:tc>
          <w:tcPr>
            <w:tcW w:w="1478" w:type="dxa"/>
            <w:tcBorders>
              <w:top w:val="single" w:sz="4" w:space="0" w:color="auto"/>
              <w:left w:val="single" w:sz="4" w:space="0" w:color="auto"/>
              <w:bottom w:val="single" w:sz="4" w:space="0" w:color="auto"/>
              <w:right w:val="single" w:sz="4" w:space="0" w:color="auto"/>
            </w:tcBorders>
            <w:shd w:val="clear" w:color="auto" w:fill="auto"/>
          </w:tcPr>
          <w:p w:rsidR="00D06A2F" w:rsidRPr="00E8065F" w:rsidRDefault="00D06A2F" w:rsidP="00CD3A6F">
            <w:pPr>
              <w:spacing w:line="235" w:lineRule="auto"/>
              <w:jc w:val="center"/>
              <w:rPr>
                <w:color w:val="000000"/>
                <w:sz w:val="20"/>
                <w:szCs w:val="20"/>
              </w:rPr>
            </w:pPr>
            <w:r w:rsidRPr="00E8065F">
              <w:rPr>
                <w:color w:val="000000"/>
                <w:sz w:val="20"/>
                <w:szCs w:val="20"/>
              </w:rPr>
              <w:t>1,0</w:t>
            </w:r>
          </w:p>
        </w:tc>
        <w:tc>
          <w:tcPr>
            <w:tcW w:w="1111" w:type="dxa"/>
            <w:tcBorders>
              <w:top w:val="single" w:sz="4" w:space="0" w:color="auto"/>
              <w:left w:val="single" w:sz="4" w:space="0" w:color="auto"/>
              <w:bottom w:val="single" w:sz="4" w:space="0" w:color="auto"/>
              <w:right w:val="single" w:sz="4" w:space="0" w:color="auto"/>
            </w:tcBorders>
            <w:shd w:val="clear" w:color="auto" w:fill="auto"/>
          </w:tcPr>
          <w:p w:rsidR="00D06A2F" w:rsidRPr="00E8065F" w:rsidRDefault="00D06A2F" w:rsidP="00CD3A6F">
            <w:pPr>
              <w:spacing w:line="235" w:lineRule="auto"/>
              <w:jc w:val="center"/>
              <w:rPr>
                <w:color w:val="000000"/>
                <w:sz w:val="20"/>
                <w:szCs w:val="20"/>
              </w:rPr>
            </w:pPr>
            <w:r w:rsidRPr="00E8065F">
              <w:rPr>
                <w:color w:val="000000"/>
                <w:sz w:val="20"/>
                <w:szCs w:val="20"/>
              </w:rPr>
              <w:t>1</w:t>
            </w:r>
          </w:p>
        </w:tc>
        <w:tc>
          <w:tcPr>
            <w:tcW w:w="1944" w:type="dxa"/>
            <w:tcBorders>
              <w:top w:val="single" w:sz="4" w:space="0" w:color="auto"/>
              <w:left w:val="single" w:sz="4" w:space="0" w:color="auto"/>
              <w:bottom w:val="single" w:sz="4" w:space="0" w:color="auto"/>
              <w:right w:val="single" w:sz="4" w:space="0" w:color="auto"/>
            </w:tcBorders>
            <w:shd w:val="clear" w:color="auto" w:fill="auto"/>
          </w:tcPr>
          <w:p w:rsidR="00D06A2F" w:rsidRPr="00E8065F" w:rsidRDefault="00D06A2F" w:rsidP="00CD3A6F">
            <w:pPr>
              <w:spacing w:line="235" w:lineRule="auto"/>
              <w:jc w:val="center"/>
              <w:rPr>
                <w:color w:val="000000"/>
                <w:sz w:val="20"/>
                <w:szCs w:val="20"/>
              </w:rPr>
            </w:pPr>
            <w:r w:rsidRPr="00E8065F">
              <w:rPr>
                <w:color w:val="000000"/>
                <w:sz w:val="20"/>
                <w:szCs w:val="20"/>
              </w:rPr>
              <w:t>Амбулаторное</w:t>
            </w:r>
          </w:p>
        </w:tc>
      </w:tr>
      <w:tr w:rsidR="00D06A2F" w:rsidRPr="00E8065F" w:rsidTr="00CD3A6F">
        <w:trPr>
          <w:trHeight w:val="20"/>
        </w:trPr>
        <w:tc>
          <w:tcPr>
            <w:tcW w:w="1555" w:type="dxa"/>
            <w:vMerge/>
            <w:tcBorders>
              <w:left w:val="single" w:sz="4" w:space="0" w:color="auto"/>
              <w:right w:val="single" w:sz="4" w:space="0" w:color="auto"/>
            </w:tcBorders>
          </w:tcPr>
          <w:p w:rsidR="00D06A2F" w:rsidRPr="00E8065F" w:rsidRDefault="00D06A2F" w:rsidP="00BA1432">
            <w:pPr>
              <w:rPr>
                <w:sz w:val="20"/>
                <w:szCs w:val="20"/>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D06A2F" w:rsidRPr="00E8065F" w:rsidRDefault="00D06A2F" w:rsidP="00CD3A6F">
            <w:pPr>
              <w:spacing w:line="235" w:lineRule="auto"/>
              <w:jc w:val="both"/>
              <w:rPr>
                <w:color w:val="000000"/>
                <w:sz w:val="20"/>
                <w:szCs w:val="20"/>
              </w:rPr>
            </w:pPr>
            <w:r w:rsidRPr="00E8065F">
              <w:rPr>
                <w:color w:val="000000"/>
                <w:sz w:val="20"/>
                <w:szCs w:val="20"/>
              </w:rPr>
              <w:t xml:space="preserve">ГАУЗ </w:t>
            </w:r>
            <w:r>
              <w:rPr>
                <w:color w:val="000000"/>
                <w:sz w:val="20"/>
                <w:szCs w:val="20"/>
              </w:rPr>
              <w:t>«</w:t>
            </w:r>
            <w:r w:rsidRPr="00E8065F">
              <w:rPr>
                <w:color w:val="000000"/>
                <w:sz w:val="20"/>
                <w:szCs w:val="20"/>
              </w:rPr>
              <w:t>Городская клиническая больница №</w:t>
            </w:r>
            <w:r>
              <w:rPr>
                <w:color w:val="000000"/>
                <w:sz w:val="20"/>
                <w:szCs w:val="20"/>
              </w:rPr>
              <w:t xml:space="preserve"> </w:t>
            </w:r>
            <w:r w:rsidRPr="00E8065F">
              <w:rPr>
                <w:color w:val="000000"/>
                <w:sz w:val="20"/>
                <w:szCs w:val="20"/>
              </w:rPr>
              <w:t>16</w:t>
            </w:r>
            <w:r>
              <w:rPr>
                <w:color w:val="000000"/>
                <w:sz w:val="20"/>
                <w:szCs w:val="20"/>
              </w:rPr>
              <w:t>» г.Казани</w:t>
            </w:r>
          </w:p>
        </w:tc>
        <w:tc>
          <w:tcPr>
            <w:tcW w:w="1994" w:type="dxa"/>
            <w:tcBorders>
              <w:top w:val="single" w:sz="4" w:space="0" w:color="auto"/>
              <w:left w:val="single" w:sz="4" w:space="0" w:color="auto"/>
              <w:bottom w:val="single" w:sz="4" w:space="0" w:color="auto"/>
              <w:right w:val="single" w:sz="4" w:space="0" w:color="auto"/>
            </w:tcBorders>
            <w:shd w:val="clear" w:color="auto" w:fill="auto"/>
          </w:tcPr>
          <w:p w:rsidR="00D06A2F" w:rsidRPr="00E8065F" w:rsidRDefault="00D06A2F" w:rsidP="00CD3A6F">
            <w:pPr>
              <w:spacing w:line="235" w:lineRule="auto"/>
              <w:jc w:val="center"/>
              <w:rPr>
                <w:color w:val="000000"/>
                <w:sz w:val="20"/>
                <w:szCs w:val="20"/>
              </w:rPr>
            </w:pPr>
            <w:r w:rsidRPr="00E8065F">
              <w:rPr>
                <w:color w:val="000000"/>
                <w:sz w:val="20"/>
                <w:szCs w:val="20"/>
              </w:rPr>
              <w:t>Колоноскоп</w:t>
            </w:r>
          </w:p>
        </w:tc>
        <w:tc>
          <w:tcPr>
            <w:tcW w:w="1181" w:type="dxa"/>
            <w:tcBorders>
              <w:top w:val="single" w:sz="4" w:space="0" w:color="auto"/>
              <w:left w:val="single" w:sz="4" w:space="0" w:color="auto"/>
              <w:bottom w:val="single" w:sz="4" w:space="0" w:color="auto"/>
              <w:right w:val="single" w:sz="4" w:space="0" w:color="auto"/>
            </w:tcBorders>
            <w:shd w:val="clear" w:color="auto" w:fill="auto"/>
          </w:tcPr>
          <w:p w:rsidR="00D06A2F" w:rsidRPr="00E8065F" w:rsidRDefault="00D06A2F" w:rsidP="00CD3A6F">
            <w:pPr>
              <w:spacing w:line="235" w:lineRule="auto"/>
              <w:jc w:val="center"/>
              <w:rPr>
                <w:color w:val="000000"/>
                <w:sz w:val="20"/>
                <w:szCs w:val="20"/>
              </w:rPr>
            </w:pPr>
            <w:r w:rsidRPr="00E8065F">
              <w:rPr>
                <w:color w:val="000000"/>
                <w:sz w:val="20"/>
                <w:szCs w:val="20"/>
              </w:rPr>
              <w:t>2016</w:t>
            </w:r>
            <w:r w:rsidR="003D79B3">
              <w:rPr>
                <w:color w:val="000000"/>
                <w:sz w:val="20"/>
                <w:szCs w:val="20"/>
              </w:rPr>
              <w:t xml:space="preserve"> </w:t>
            </w:r>
            <w:r w:rsidR="005D7240">
              <w:rPr>
                <w:color w:val="000000"/>
                <w:sz w:val="20"/>
                <w:szCs w:val="20"/>
              </w:rPr>
              <w:t>(1)</w:t>
            </w:r>
          </w:p>
          <w:p w:rsidR="00D06A2F" w:rsidRPr="00E8065F" w:rsidRDefault="00D06A2F" w:rsidP="00CD3A6F">
            <w:pPr>
              <w:spacing w:line="235" w:lineRule="auto"/>
              <w:jc w:val="center"/>
              <w:rPr>
                <w:color w:val="000000"/>
                <w:sz w:val="20"/>
                <w:szCs w:val="20"/>
              </w:rPr>
            </w:pPr>
            <w:r w:rsidRPr="00E8065F">
              <w:rPr>
                <w:color w:val="000000"/>
                <w:sz w:val="20"/>
                <w:szCs w:val="20"/>
              </w:rPr>
              <w:t>2019</w:t>
            </w:r>
            <w:r w:rsidR="003D79B3">
              <w:rPr>
                <w:color w:val="000000"/>
                <w:sz w:val="20"/>
                <w:szCs w:val="20"/>
              </w:rPr>
              <w:t xml:space="preserve"> </w:t>
            </w:r>
            <w:r w:rsidR="005D7240">
              <w:rPr>
                <w:color w:val="000000"/>
                <w:sz w:val="20"/>
                <w:szCs w:val="20"/>
              </w:rPr>
              <w:t>(2)</w:t>
            </w:r>
          </w:p>
        </w:tc>
        <w:tc>
          <w:tcPr>
            <w:tcW w:w="1181" w:type="dxa"/>
            <w:tcBorders>
              <w:top w:val="single" w:sz="4" w:space="0" w:color="auto"/>
            </w:tcBorders>
            <w:shd w:val="clear" w:color="auto" w:fill="auto"/>
          </w:tcPr>
          <w:p w:rsidR="00D06A2F" w:rsidRPr="00E8065F" w:rsidRDefault="00D06A2F" w:rsidP="00CD3A6F">
            <w:pPr>
              <w:spacing w:line="235" w:lineRule="auto"/>
              <w:jc w:val="center"/>
              <w:rPr>
                <w:color w:val="000000"/>
                <w:sz w:val="20"/>
                <w:szCs w:val="20"/>
              </w:rPr>
            </w:pPr>
            <w:r w:rsidRPr="00E8065F">
              <w:rPr>
                <w:color w:val="000000"/>
                <w:sz w:val="20"/>
                <w:szCs w:val="20"/>
              </w:rPr>
              <w:t>3</w:t>
            </w:r>
          </w:p>
        </w:tc>
        <w:tc>
          <w:tcPr>
            <w:tcW w:w="1478" w:type="dxa"/>
            <w:tcBorders>
              <w:top w:val="single" w:sz="4" w:space="0" w:color="auto"/>
              <w:left w:val="single" w:sz="4" w:space="0" w:color="auto"/>
              <w:bottom w:val="single" w:sz="4" w:space="0" w:color="auto"/>
              <w:right w:val="single" w:sz="4" w:space="0" w:color="auto"/>
            </w:tcBorders>
            <w:shd w:val="clear" w:color="auto" w:fill="auto"/>
          </w:tcPr>
          <w:p w:rsidR="00D06A2F" w:rsidRPr="00E8065F" w:rsidRDefault="00D06A2F" w:rsidP="00CD3A6F">
            <w:pPr>
              <w:spacing w:line="235" w:lineRule="auto"/>
              <w:jc w:val="center"/>
              <w:rPr>
                <w:color w:val="000000"/>
                <w:sz w:val="20"/>
                <w:szCs w:val="20"/>
              </w:rPr>
            </w:pPr>
            <w:r w:rsidRPr="00E8065F">
              <w:rPr>
                <w:color w:val="000000"/>
                <w:sz w:val="20"/>
                <w:szCs w:val="20"/>
              </w:rPr>
              <w:t>3,3</w:t>
            </w:r>
          </w:p>
        </w:tc>
        <w:tc>
          <w:tcPr>
            <w:tcW w:w="1111" w:type="dxa"/>
            <w:tcBorders>
              <w:top w:val="single" w:sz="4" w:space="0" w:color="auto"/>
              <w:left w:val="single" w:sz="4" w:space="0" w:color="auto"/>
              <w:bottom w:val="single" w:sz="4" w:space="0" w:color="auto"/>
              <w:right w:val="single" w:sz="4" w:space="0" w:color="auto"/>
            </w:tcBorders>
            <w:shd w:val="clear" w:color="auto" w:fill="auto"/>
          </w:tcPr>
          <w:p w:rsidR="00D06A2F" w:rsidRPr="00E8065F" w:rsidRDefault="00D06A2F" w:rsidP="00CD3A6F">
            <w:pPr>
              <w:spacing w:line="235" w:lineRule="auto"/>
              <w:jc w:val="center"/>
              <w:rPr>
                <w:color w:val="000000"/>
                <w:sz w:val="20"/>
                <w:szCs w:val="20"/>
              </w:rPr>
            </w:pPr>
            <w:r w:rsidRPr="00E8065F">
              <w:rPr>
                <w:color w:val="000000"/>
                <w:sz w:val="20"/>
                <w:szCs w:val="20"/>
              </w:rPr>
              <w:t>1</w:t>
            </w:r>
          </w:p>
        </w:tc>
        <w:tc>
          <w:tcPr>
            <w:tcW w:w="1944" w:type="dxa"/>
            <w:tcBorders>
              <w:top w:val="single" w:sz="4" w:space="0" w:color="auto"/>
              <w:left w:val="single" w:sz="4" w:space="0" w:color="auto"/>
              <w:bottom w:val="single" w:sz="4" w:space="0" w:color="auto"/>
              <w:right w:val="single" w:sz="4" w:space="0" w:color="auto"/>
            </w:tcBorders>
            <w:shd w:val="clear" w:color="auto" w:fill="auto"/>
          </w:tcPr>
          <w:p w:rsidR="00D06A2F" w:rsidRPr="00E8065F" w:rsidRDefault="00D06A2F" w:rsidP="00CD3A6F">
            <w:pPr>
              <w:spacing w:line="235" w:lineRule="auto"/>
              <w:jc w:val="center"/>
              <w:rPr>
                <w:color w:val="000000"/>
                <w:sz w:val="20"/>
                <w:szCs w:val="20"/>
              </w:rPr>
            </w:pPr>
            <w:r w:rsidRPr="00E8065F">
              <w:rPr>
                <w:color w:val="000000"/>
                <w:sz w:val="20"/>
                <w:szCs w:val="20"/>
              </w:rPr>
              <w:t>Амбулаторное</w:t>
            </w:r>
          </w:p>
        </w:tc>
      </w:tr>
      <w:tr w:rsidR="00D06A2F" w:rsidRPr="00E8065F" w:rsidTr="00CD3A6F">
        <w:trPr>
          <w:trHeight w:val="20"/>
        </w:trPr>
        <w:tc>
          <w:tcPr>
            <w:tcW w:w="1555" w:type="dxa"/>
            <w:vMerge/>
            <w:tcBorders>
              <w:left w:val="single" w:sz="4" w:space="0" w:color="auto"/>
              <w:right w:val="single" w:sz="4" w:space="0" w:color="auto"/>
            </w:tcBorders>
          </w:tcPr>
          <w:p w:rsidR="00D06A2F" w:rsidRPr="00E8065F" w:rsidRDefault="00D06A2F" w:rsidP="00BA1432">
            <w:pPr>
              <w:rPr>
                <w:sz w:val="20"/>
                <w:szCs w:val="20"/>
              </w:rPr>
            </w:pPr>
          </w:p>
        </w:tc>
        <w:tc>
          <w:tcPr>
            <w:tcW w:w="3685" w:type="dxa"/>
            <w:tcBorders>
              <w:top w:val="nil"/>
              <w:left w:val="single" w:sz="4" w:space="0" w:color="auto"/>
              <w:bottom w:val="single" w:sz="4" w:space="0" w:color="auto"/>
              <w:right w:val="single" w:sz="4" w:space="0" w:color="auto"/>
            </w:tcBorders>
            <w:shd w:val="clear" w:color="auto" w:fill="auto"/>
          </w:tcPr>
          <w:p w:rsidR="00D06A2F" w:rsidRPr="00E8065F" w:rsidRDefault="00D06A2F" w:rsidP="00CD3A6F">
            <w:pPr>
              <w:spacing w:line="235" w:lineRule="auto"/>
              <w:jc w:val="both"/>
              <w:rPr>
                <w:color w:val="000000"/>
                <w:sz w:val="20"/>
                <w:szCs w:val="20"/>
              </w:rPr>
            </w:pPr>
            <w:r>
              <w:rPr>
                <w:color w:val="000000"/>
                <w:sz w:val="20"/>
                <w:szCs w:val="20"/>
              </w:rPr>
              <w:t>ГАУЗ «Центральная городская клиническая больница № 18 им.проф.К.Ш.Зыятдинова» г.Казани</w:t>
            </w:r>
          </w:p>
        </w:tc>
        <w:tc>
          <w:tcPr>
            <w:tcW w:w="1994" w:type="dxa"/>
            <w:tcBorders>
              <w:top w:val="nil"/>
              <w:left w:val="single" w:sz="4" w:space="0" w:color="auto"/>
              <w:bottom w:val="single" w:sz="4" w:space="0" w:color="auto"/>
              <w:right w:val="single" w:sz="4" w:space="0" w:color="auto"/>
            </w:tcBorders>
            <w:shd w:val="clear" w:color="auto" w:fill="auto"/>
          </w:tcPr>
          <w:p w:rsidR="00D06A2F" w:rsidRPr="00E8065F" w:rsidRDefault="00D06A2F" w:rsidP="00CD3A6F">
            <w:pPr>
              <w:spacing w:line="235" w:lineRule="auto"/>
              <w:jc w:val="center"/>
              <w:rPr>
                <w:color w:val="000000"/>
                <w:sz w:val="20"/>
                <w:szCs w:val="20"/>
              </w:rPr>
            </w:pPr>
            <w:r w:rsidRPr="00E8065F">
              <w:rPr>
                <w:color w:val="000000"/>
                <w:sz w:val="20"/>
                <w:szCs w:val="20"/>
              </w:rPr>
              <w:t>Колоноскоп</w:t>
            </w:r>
          </w:p>
        </w:tc>
        <w:tc>
          <w:tcPr>
            <w:tcW w:w="1181" w:type="dxa"/>
            <w:tcBorders>
              <w:top w:val="nil"/>
              <w:left w:val="single" w:sz="4" w:space="0" w:color="auto"/>
              <w:bottom w:val="single" w:sz="4" w:space="0" w:color="auto"/>
              <w:right w:val="single" w:sz="4" w:space="0" w:color="auto"/>
            </w:tcBorders>
            <w:shd w:val="clear" w:color="auto" w:fill="auto"/>
          </w:tcPr>
          <w:p w:rsidR="00D06A2F" w:rsidRPr="00E8065F" w:rsidRDefault="00D06A2F" w:rsidP="00CD3A6F">
            <w:pPr>
              <w:spacing w:line="235" w:lineRule="auto"/>
              <w:jc w:val="center"/>
              <w:rPr>
                <w:color w:val="000000"/>
                <w:sz w:val="20"/>
                <w:szCs w:val="20"/>
              </w:rPr>
            </w:pPr>
            <w:r w:rsidRPr="00E8065F">
              <w:rPr>
                <w:color w:val="000000"/>
                <w:sz w:val="20"/>
                <w:szCs w:val="20"/>
              </w:rPr>
              <w:t>2017</w:t>
            </w:r>
            <w:r w:rsidR="003D79B3">
              <w:rPr>
                <w:color w:val="000000"/>
                <w:sz w:val="20"/>
                <w:szCs w:val="20"/>
              </w:rPr>
              <w:t xml:space="preserve"> </w:t>
            </w:r>
            <w:r w:rsidR="005D7240">
              <w:rPr>
                <w:color w:val="000000"/>
                <w:sz w:val="20"/>
                <w:szCs w:val="20"/>
              </w:rPr>
              <w:t>(2)</w:t>
            </w:r>
          </w:p>
          <w:p w:rsidR="00D06A2F" w:rsidRPr="00E8065F" w:rsidRDefault="00D06A2F" w:rsidP="00CD3A6F">
            <w:pPr>
              <w:spacing w:line="235" w:lineRule="auto"/>
              <w:jc w:val="center"/>
              <w:rPr>
                <w:color w:val="000000"/>
                <w:sz w:val="20"/>
                <w:szCs w:val="20"/>
              </w:rPr>
            </w:pPr>
            <w:r w:rsidRPr="00E8065F">
              <w:rPr>
                <w:color w:val="000000"/>
                <w:sz w:val="20"/>
                <w:szCs w:val="20"/>
              </w:rPr>
              <w:t>2022</w:t>
            </w:r>
            <w:r w:rsidR="003D79B3">
              <w:rPr>
                <w:color w:val="000000"/>
                <w:sz w:val="20"/>
                <w:szCs w:val="20"/>
              </w:rPr>
              <w:t xml:space="preserve"> </w:t>
            </w:r>
            <w:r w:rsidR="005D7240">
              <w:rPr>
                <w:color w:val="000000"/>
                <w:sz w:val="20"/>
                <w:szCs w:val="20"/>
              </w:rPr>
              <w:t>(1)</w:t>
            </w:r>
          </w:p>
        </w:tc>
        <w:tc>
          <w:tcPr>
            <w:tcW w:w="1181" w:type="dxa"/>
            <w:shd w:val="clear" w:color="auto" w:fill="auto"/>
          </w:tcPr>
          <w:p w:rsidR="00D06A2F" w:rsidRPr="00E8065F" w:rsidRDefault="00D06A2F" w:rsidP="00CD3A6F">
            <w:pPr>
              <w:spacing w:line="235" w:lineRule="auto"/>
              <w:jc w:val="center"/>
              <w:rPr>
                <w:color w:val="000000"/>
                <w:sz w:val="20"/>
                <w:szCs w:val="20"/>
              </w:rPr>
            </w:pPr>
            <w:r w:rsidRPr="00E8065F">
              <w:rPr>
                <w:color w:val="000000"/>
                <w:sz w:val="20"/>
                <w:szCs w:val="20"/>
              </w:rPr>
              <w:t>3</w:t>
            </w:r>
          </w:p>
        </w:tc>
        <w:tc>
          <w:tcPr>
            <w:tcW w:w="1478" w:type="dxa"/>
            <w:tcBorders>
              <w:top w:val="nil"/>
              <w:left w:val="single" w:sz="4" w:space="0" w:color="auto"/>
              <w:bottom w:val="single" w:sz="4" w:space="0" w:color="auto"/>
              <w:right w:val="single" w:sz="4" w:space="0" w:color="auto"/>
            </w:tcBorders>
            <w:shd w:val="clear" w:color="auto" w:fill="auto"/>
          </w:tcPr>
          <w:p w:rsidR="00D06A2F" w:rsidRPr="00E8065F" w:rsidRDefault="00D06A2F" w:rsidP="00CD3A6F">
            <w:pPr>
              <w:spacing w:line="235" w:lineRule="auto"/>
              <w:jc w:val="center"/>
              <w:rPr>
                <w:color w:val="000000"/>
                <w:sz w:val="20"/>
                <w:szCs w:val="20"/>
              </w:rPr>
            </w:pPr>
            <w:r w:rsidRPr="00E8065F">
              <w:rPr>
                <w:color w:val="000000"/>
                <w:sz w:val="20"/>
                <w:szCs w:val="20"/>
              </w:rPr>
              <w:t>5,6</w:t>
            </w:r>
          </w:p>
        </w:tc>
        <w:tc>
          <w:tcPr>
            <w:tcW w:w="1111" w:type="dxa"/>
            <w:tcBorders>
              <w:top w:val="nil"/>
              <w:left w:val="single" w:sz="4" w:space="0" w:color="auto"/>
              <w:bottom w:val="single" w:sz="4" w:space="0" w:color="auto"/>
              <w:right w:val="single" w:sz="4" w:space="0" w:color="auto"/>
            </w:tcBorders>
            <w:shd w:val="clear" w:color="auto" w:fill="auto"/>
          </w:tcPr>
          <w:p w:rsidR="00D06A2F" w:rsidRPr="00E8065F" w:rsidRDefault="00D06A2F" w:rsidP="00CD3A6F">
            <w:pPr>
              <w:spacing w:line="235" w:lineRule="auto"/>
              <w:jc w:val="center"/>
              <w:rPr>
                <w:color w:val="000000"/>
                <w:sz w:val="20"/>
                <w:szCs w:val="20"/>
              </w:rPr>
            </w:pPr>
            <w:r w:rsidRPr="00E8065F">
              <w:rPr>
                <w:color w:val="000000"/>
                <w:sz w:val="20"/>
                <w:szCs w:val="20"/>
              </w:rPr>
              <w:t>1</w:t>
            </w:r>
          </w:p>
        </w:tc>
        <w:tc>
          <w:tcPr>
            <w:tcW w:w="1944" w:type="dxa"/>
            <w:tcBorders>
              <w:top w:val="nil"/>
              <w:left w:val="single" w:sz="4" w:space="0" w:color="auto"/>
              <w:bottom w:val="single" w:sz="4" w:space="0" w:color="auto"/>
              <w:right w:val="single" w:sz="4" w:space="0" w:color="auto"/>
            </w:tcBorders>
            <w:shd w:val="clear" w:color="auto" w:fill="auto"/>
          </w:tcPr>
          <w:p w:rsidR="00D06A2F" w:rsidRPr="00E8065F" w:rsidRDefault="00D06A2F" w:rsidP="00CD3A6F">
            <w:pPr>
              <w:spacing w:line="235" w:lineRule="auto"/>
              <w:jc w:val="center"/>
              <w:rPr>
                <w:color w:val="000000"/>
                <w:sz w:val="20"/>
                <w:szCs w:val="20"/>
              </w:rPr>
            </w:pPr>
            <w:r w:rsidRPr="00E8065F">
              <w:rPr>
                <w:color w:val="000000"/>
                <w:sz w:val="20"/>
                <w:szCs w:val="20"/>
              </w:rPr>
              <w:t>Амбулаторное/стационарное</w:t>
            </w:r>
          </w:p>
        </w:tc>
      </w:tr>
      <w:tr w:rsidR="00D06A2F" w:rsidRPr="00E8065F" w:rsidTr="00CD3A6F">
        <w:trPr>
          <w:trHeight w:val="20"/>
        </w:trPr>
        <w:tc>
          <w:tcPr>
            <w:tcW w:w="1555" w:type="dxa"/>
            <w:vMerge/>
            <w:tcBorders>
              <w:left w:val="single" w:sz="4" w:space="0" w:color="auto"/>
              <w:right w:val="single" w:sz="4" w:space="0" w:color="auto"/>
            </w:tcBorders>
          </w:tcPr>
          <w:p w:rsidR="00D06A2F" w:rsidRPr="00E8065F" w:rsidRDefault="00D06A2F" w:rsidP="00BA1432">
            <w:pPr>
              <w:rPr>
                <w:sz w:val="20"/>
                <w:szCs w:val="20"/>
              </w:rPr>
            </w:pPr>
          </w:p>
        </w:tc>
        <w:tc>
          <w:tcPr>
            <w:tcW w:w="3685" w:type="dxa"/>
            <w:tcBorders>
              <w:top w:val="nil"/>
              <w:left w:val="single" w:sz="4" w:space="0" w:color="auto"/>
              <w:bottom w:val="single" w:sz="4" w:space="0" w:color="auto"/>
              <w:right w:val="single" w:sz="4" w:space="0" w:color="auto"/>
            </w:tcBorders>
            <w:shd w:val="clear" w:color="auto" w:fill="auto"/>
          </w:tcPr>
          <w:p w:rsidR="00D06A2F" w:rsidRPr="00E8065F" w:rsidRDefault="00D06A2F" w:rsidP="00CD3A6F">
            <w:pPr>
              <w:spacing w:line="235" w:lineRule="auto"/>
              <w:jc w:val="both"/>
              <w:rPr>
                <w:color w:val="000000"/>
                <w:sz w:val="20"/>
                <w:szCs w:val="20"/>
              </w:rPr>
            </w:pPr>
            <w:r>
              <w:rPr>
                <w:color w:val="0D0D0D" w:themeColor="text1" w:themeTint="F2"/>
                <w:sz w:val="20"/>
                <w:szCs w:val="20"/>
              </w:rPr>
              <w:t>ГАУЗ «Клиническая больница № 2» г.Казани</w:t>
            </w:r>
          </w:p>
        </w:tc>
        <w:tc>
          <w:tcPr>
            <w:tcW w:w="1994" w:type="dxa"/>
            <w:tcBorders>
              <w:top w:val="nil"/>
              <w:left w:val="single" w:sz="4" w:space="0" w:color="auto"/>
              <w:bottom w:val="single" w:sz="4" w:space="0" w:color="auto"/>
              <w:right w:val="single" w:sz="4" w:space="0" w:color="auto"/>
            </w:tcBorders>
            <w:shd w:val="clear" w:color="auto" w:fill="auto"/>
          </w:tcPr>
          <w:p w:rsidR="00D06A2F" w:rsidRPr="00E8065F" w:rsidRDefault="00D06A2F" w:rsidP="00CD3A6F">
            <w:pPr>
              <w:spacing w:line="235" w:lineRule="auto"/>
              <w:jc w:val="center"/>
              <w:rPr>
                <w:color w:val="000000"/>
                <w:sz w:val="20"/>
                <w:szCs w:val="20"/>
              </w:rPr>
            </w:pPr>
            <w:r w:rsidRPr="00E8065F">
              <w:rPr>
                <w:color w:val="000000"/>
                <w:sz w:val="20"/>
                <w:szCs w:val="20"/>
              </w:rPr>
              <w:t>Колоноскоп</w:t>
            </w:r>
          </w:p>
        </w:tc>
        <w:tc>
          <w:tcPr>
            <w:tcW w:w="1181" w:type="dxa"/>
            <w:tcBorders>
              <w:top w:val="nil"/>
              <w:left w:val="single" w:sz="4" w:space="0" w:color="auto"/>
              <w:bottom w:val="single" w:sz="4" w:space="0" w:color="auto"/>
              <w:right w:val="single" w:sz="4" w:space="0" w:color="auto"/>
            </w:tcBorders>
            <w:shd w:val="clear" w:color="auto" w:fill="auto"/>
          </w:tcPr>
          <w:p w:rsidR="00D06A2F" w:rsidRPr="00E8065F" w:rsidRDefault="00D06A2F" w:rsidP="00CD3A6F">
            <w:pPr>
              <w:spacing w:line="235" w:lineRule="auto"/>
              <w:jc w:val="center"/>
              <w:rPr>
                <w:color w:val="000000"/>
                <w:sz w:val="20"/>
                <w:szCs w:val="20"/>
              </w:rPr>
            </w:pPr>
            <w:r w:rsidRPr="00E8065F">
              <w:rPr>
                <w:color w:val="000000"/>
                <w:sz w:val="20"/>
                <w:szCs w:val="20"/>
              </w:rPr>
              <w:t>2017</w:t>
            </w:r>
            <w:r w:rsidR="003D79B3">
              <w:rPr>
                <w:color w:val="000000"/>
                <w:sz w:val="20"/>
                <w:szCs w:val="20"/>
              </w:rPr>
              <w:t xml:space="preserve"> </w:t>
            </w:r>
            <w:r w:rsidR="005D7240">
              <w:rPr>
                <w:color w:val="000000"/>
                <w:sz w:val="20"/>
                <w:szCs w:val="20"/>
              </w:rPr>
              <w:t>(1)</w:t>
            </w:r>
          </w:p>
        </w:tc>
        <w:tc>
          <w:tcPr>
            <w:tcW w:w="1181" w:type="dxa"/>
            <w:tcBorders>
              <w:bottom w:val="single" w:sz="4" w:space="0" w:color="auto"/>
            </w:tcBorders>
            <w:shd w:val="clear" w:color="auto" w:fill="auto"/>
          </w:tcPr>
          <w:p w:rsidR="00D06A2F" w:rsidRPr="00E8065F" w:rsidRDefault="00D06A2F" w:rsidP="00CD3A6F">
            <w:pPr>
              <w:spacing w:line="235" w:lineRule="auto"/>
              <w:jc w:val="center"/>
              <w:rPr>
                <w:color w:val="000000"/>
                <w:sz w:val="20"/>
                <w:szCs w:val="20"/>
              </w:rPr>
            </w:pPr>
            <w:r w:rsidRPr="00E8065F">
              <w:rPr>
                <w:color w:val="000000"/>
                <w:sz w:val="20"/>
                <w:szCs w:val="20"/>
              </w:rPr>
              <w:t>1</w:t>
            </w:r>
          </w:p>
        </w:tc>
        <w:tc>
          <w:tcPr>
            <w:tcW w:w="1478" w:type="dxa"/>
            <w:tcBorders>
              <w:top w:val="nil"/>
              <w:left w:val="single" w:sz="4" w:space="0" w:color="auto"/>
              <w:bottom w:val="single" w:sz="4" w:space="0" w:color="auto"/>
              <w:right w:val="single" w:sz="4" w:space="0" w:color="auto"/>
            </w:tcBorders>
            <w:shd w:val="clear" w:color="auto" w:fill="auto"/>
          </w:tcPr>
          <w:p w:rsidR="00D06A2F" w:rsidRPr="00E8065F" w:rsidRDefault="00D06A2F" w:rsidP="00CD3A6F">
            <w:pPr>
              <w:spacing w:line="235" w:lineRule="auto"/>
              <w:jc w:val="center"/>
              <w:rPr>
                <w:color w:val="000000"/>
                <w:sz w:val="20"/>
                <w:szCs w:val="20"/>
              </w:rPr>
            </w:pPr>
            <w:r w:rsidRPr="00E8065F">
              <w:rPr>
                <w:color w:val="000000"/>
                <w:sz w:val="20"/>
                <w:szCs w:val="20"/>
              </w:rPr>
              <w:t>0,7</w:t>
            </w:r>
          </w:p>
        </w:tc>
        <w:tc>
          <w:tcPr>
            <w:tcW w:w="1111" w:type="dxa"/>
            <w:tcBorders>
              <w:top w:val="nil"/>
              <w:left w:val="single" w:sz="4" w:space="0" w:color="auto"/>
              <w:bottom w:val="single" w:sz="4" w:space="0" w:color="auto"/>
              <w:right w:val="single" w:sz="4" w:space="0" w:color="auto"/>
            </w:tcBorders>
            <w:shd w:val="clear" w:color="auto" w:fill="auto"/>
          </w:tcPr>
          <w:p w:rsidR="00D06A2F" w:rsidRPr="00E8065F" w:rsidRDefault="00D06A2F" w:rsidP="00CD3A6F">
            <w:pPr>
              <w:spacing w:line="235" w:lineRule="auto"/>
              <w:jc w:val="center"/>
              <w:rPr>
                <w:color w:val="000000"/>
                <w:sz w:val="20"/>
                <w:szCs w:val="20"/>
              </w:rPr>
            </w:pPr>
            <w:r w:rsidRPr="00E8065F">
              <w:rPr>
                <w:color w:val="000000"/>
                <w:sz w:val="20"/>
                <w:szCs w:val="20"/>
              </w:rPr>
              <w:t>1</w:t>
            </w:r>
          </w:p>
        </w:tc>
        <w:tc>
          <w:tcPr>
            <w:tcW w:w="1944" w:type="dxa"/>
            <w:tcBorders>
              <w:top w:val="nil"/>
              <w:left w:val="single" w:sz="4" w:space="0" w:color="auto"/>
              <w:bottom w:val="single" w:sz="4" w:space="0" w:color="auto"/>
              <w:right w:val="single" w:sz="4" w:space="0" w:color="auto"/>
            </w:tcBorders>
            <w:shd w:val="clear" w:color="auto" w:fill="auto"/>
          </w:tcPr>
          <w:p w:rsidR="00D06A2F" w:rsidRPr="00E8065F" w:rsidRDefault="00D06A2F" w:rsidP="00CD3A6F">
            <w:pPr>
              <w:spacing w:line="235" w:lineRule="auto"/>
              <w:jc w:val="center"/>
              <w:rPr>
                <w:color w:val="000000"/>
                <w:sz w:val="20"/>
                <w:szCs w:val="20"/>
              </w:rPr>
            </w:pPr>
            <w:r w:rsidRPr="00E8065F">
              <w:rPr>
                <w:color w:val="000000"/>
                <w:sz w:val="20"/>
                <w:szCs w:val="20"/>
              </w:rPr>
              <w:t>Амбулаторное</w:t>
            </w:r>
          </w:p>
        </w:tc>
      </w:tr>
      <w:tr w:rsidR="00D06A2F" w:rsidRPr="00E8065F" w:rsidTr="00CD3A6F">
        <w:trPr>
          <w:trHeight w:val="20"/>
        </w:trPr>
        <w:tc>
          <w:tcPr>
            <w:tcW w:w="1555" w:type="dxa"/>
            <w:vMerge/>
            <w:tcBorders>
              <w:left w:val="single" w:sz="4" w:space="0" w:color="auto"/>
              <w:right w:val="single" w:sz="4" w:space="0" w:color="auto"/>
            </w:tcBorders>
          </w:tcPr>
          <w:p w:rsidR="00D06A2F" w:rsidRPr="00E8065F" w:rsidRDefault="00D06A2F" w:rsidP="00BA1432">
            <w:pPr>
              <w:rPr>
                <w:sz w:val="20"/>
                <w:szCs w:val="20"/>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D06A2F" w:rsidRPr="00E8065F" w:rsidRDefault="00D06A2F" w:rsidP="00CD3A6F">
            <w:pPr>
              <w:spacing w:line="235" w:lineRule="auto"/>
              <w:jc w:val="both"/>
              <w:rPr>
                <w:color w:val="000000"/>
                <w:sz w:val="20"/>
                <w:szCs w:val="20"/>
              </w:rPr>
            </w:pPr>
            <w:r>
              <w:rPr>
                <w:color w:val="000000"/>
                <w:sz w:val="20"/>
                <w:szCs w:val="20"/>
              </w:rPr>
              <w:t>ГАУЗ «Городская клиническая больница № 7 им.М.Н.Садыкова» г.Казани</w:t>
            </w:r>
          </w:p>
        </w:tc>
        <w:tc>
          <w:tcPr>
            <w:tcW w:w="1994" w:type="dxa"/>
            <w:tcBorders>
              <w:top w:val="single" w:sz="4" w:space="0" w:color="auto"/>
              <w:left w:val="single" w:sz="4" w:space="0" w:color="auto"/>
              <w:bottom w:val="single" w:sz="4" w:space="0" w:color="auto"/>
              <w:right w:val="single" w:sz="4" w:space="0" w:color="auto"/>
            </w:tcBorders>
            <w:shd w:val="clear" w:color="auto" w:fill="auto"/>
          </w:tcPr>
          <w:p w:rsidR="00D06A2F" w:rsidRPr="00E8065F" w:rsidRDefault="00D06A2F" w:rsidP="00CD3A6F">
            <w:pPr>
              <w:spacing w:line="235" w:lineRule="auto"/>
              <w:jc w:val="center"/>
              <w:rPr>
                <w:color w:val="000000"/>
                <w:sz w:val="20"/>
                <w:szCs w:val="20"/>
              </w:rPr>
            </w:pPr>
            <w:r w:rsidRPr="00E8065F">
              <w:rPr>
                <w:color w:val="000000"/>
                <w:sz w:val="20"/>
                <w:szCs w:val="20"/>
              </w:rPr>
              <w:t>Колоноскоп</w:t>
            </w:r>
          </w:p>
        </w:tc>
        <w:tc>
          <w:tcPr>
            <w:tcW w:w="1181" w:type="dxa"/>
            <w:tcBorders>
              <w:top w:val="single" w:sz="4" w:space="0" w:color="auto"/>
              <w:left w:val="single" w:sz="4" w:space="0" w:color="auto"/>
              <w:bottom w:val="single" w:sz="4" w:space="0" w:color="auto"/>
              <w:right w:val="single" w:sz="4" w:space="0" w:color="auto"/>
            </w:tcBorders>
            <w:shd w:val="clear" w:color="auto" w:fill="auto"/>
          </w:tcPr>
          <w:p w:rsidR="00D06A2F" w:rsidRPr="00E8065F" w:rsidRDefault="00D06A2F" w:rsidP="00CD3A6F">
            <w:pPr>
              <w:spacing w:line="235" w:lineRule="auto"/>
              <w:jc w:val="center"/>
              <w:rPr>
                <w:color w:val="000000"/>
                <w:sz w:val="20"/>
                <w:szCs w:val="20"/>
              </w:rPr>
            </w:pPr>
            <w:r w:rsidRPr="00E8065F">
              <w:rPr>
                <w:color w:val="000000"/>
                <w:sz w:val="20"/>
                <w:szCs w:val="20"/>
              </w:rPr>
              <w:t>2012</w:t>
            </w:r>
            <w:r w:rsidR="003D79B3">
              <w:rPr>
                <w:color w:val="000000"/>
                <w:sz w:val="20"/>
                <w:szCs w:val="20"/>
              </w:rPr>
              <w:t xml:space="preserve"> </w:t>
            </w:r>
            <w:r w:rsidR="005D7240">
              <w:rPr>
                <w:color w:val="000000"/>
                <w:sz w:val="20"/>
                <w:szCs w:val="20"/>
              </w:rPr>
              <w:t>(2)</w:t>
            </w:r>
          </w:p>
          <w:p w:rsidR="00D06A2F" w:rsidRPr="00E8065F" w:rsidRDefault="00D06A2F" w:rsidP="00CD3A6F">
            <w:pPr>
              <w:spacing w:line="235" w:lineRule="auto"/>
              <w:jc w:val="center"/>
              <w:rPr>
                <w:color w:val="000000"/>
                <w:sz w:val="20"/>
                <w:szCs w:val="20"/>
              </w:rPr>
            </w:pPr>
            <w:r w:rsidRPr="00E8065F">
              <w:rPr>
                <w:color w:val="000000"/>
                <w:sz w:val="20"/>
                <w:szCs w:val="20"/>
              </w:rPr>
              <w:t>2013</w:t>
            </w:r>
            <w:r w:rsidR="003D79B3">
              <w:rPr>
                <w:color w:val="000000"/>
                <w:sz w:val="20"/>
                <w:szCs w:val="20"/>
              </w:rPr>
              <w:t xml:space="preserve"> </w:t>
            </w:r>
            <w:r w:rsidR="005D7240">
              <w:rPr>
                <w:color w:val="000000"/>
                <w:sz w:val="20"/>
                <w:szCs w:val="20"/>
              </w:rPr>
              <w:t>(2)</w:t>
            </w:r>
          </w:p>
          <w:p w:rsidR="00D06A2F" w:rsidRPr="00E8065F" w:rsidRDefault="00D06A2F" w:rsidP="00CD3A6F">
            <w:pPr>
              <w:spacing w:line="235" w:lineRule="auto"/>
              <w:jc w:val="center"/>
              <w:rPr>
                <w:color w:val="000000"/>
                <w:sz w:val="20"/>
                <w:szCs w:val="20"/>
              </w:rPr>
            </w:pPr>
            <w:r w:rsidRPr="00E8065F">
              <w:rPr>
                <w:color w:val="000000"/>
                <w:sz w:val="20"/>
                <w:szCs w:val="20"/>
              </w:rPr>
              <w:t>2014</w:t>
            </w:r>
            <w:r w:rsidR="003D79B3">
              <w:rPr>
                <w:color w:val="000000"/>
                <w:sz w:val="20"/>
                <w:szCs w:val="20"/>
              </w:rPr>
              <w:t xml:space="preserve"> </w:t>
            </w:r>
            <w:r w:rsidR="005D7240">
              <w:rPr>
                <w:color w:val="000000"/>
                <w:sz w:val="20"/>
                <w:szCs w:val="20"/>
              </w:rPr>
              <w:t>(3)</w:t>
            </w:r>
          </w:p>
          <w:p w:rsidR="00D06A2F" w:rsidRPr="00E8065F" w:rsidRDefault="00D06A2F" w:rsidP="00CD3A6F">
            <w:pPr>
              <w:spacing w:line="235" w:lineRule="auto"/>
              <w:jc w:val="center"/>
              <w:rPr>
                <w:color w:val="000000"/>
                <w:sz w:val="20"/>
                <w:szCs w:val="20"/>
              </w:rPr>
            </w:pPr>
            <w:r w:rsidRPr="00E8065F">
              <w:rPr>
                <w:color w:val="000000"/>
                <w:sz w:val="20"/>
                <w:szCs w:val="20"/>
              </w:rPr>
              <w:t>2021</w:t>
            </w:r>
            <w:r w:rsidR="003D79B3">
              <w:rPr>
                <w:color w:val="000000"/>
                <w:sz w:val="20"/>
                <w:szCs w:val="20"/>
              </w:rPr>
              <w:t xml:space="preserve"> </w:t>
            </w:r>
            <w:r w:rsidR="005D7240">
              <w:rPr>
                <w:color w:val="000000"/>
                <w:sz w:val="20"/>
                <w:szCs w:val="20"/>
              </w:rPr>
              <w:t>(3)</w:t>
            </w:r>
          </w:p>
          <w:p w:rsidR="00D06A2F" w:rsidRPr="00E8065F" w:rsidRDefault="00D06A2F" w:rsidP="00CD3A6F">
            <w:pPr>
              <w:spacing w:line="235" w:lineRule="auto"/>
              <w:jc w:val="center"/>
              <w:rPr>
                <w:color w:val="000000"/>
                <w:sz w:val="20"/>
                <w:szCs w:val="20"/>
              </w:rPr>
            </w:pPr>
            <w:r w:rsidRPr="00E8065F">
              <w:rPr>
                <w:color w:val="000000"/>
                <w:sz w:val="20"/>
                <w:szCs w:val="20"/>
              </w:rPr>
              <w:t>2023</w:t>
            </w:r>
            <w:r w:rsidR="003D79B3">
              <w:rPr>
                <w:color w:val="000000"/>
                <w:sz w:val="20"/>
                <w:szCs w:val="20"/>
              </w:rPr>
              <w:t xml:space="preserve"> </w:t>
            </w:r>
            <w:r w:rsidR="005D7240">
              <w:rPr>
                <w:color w:val="000000"/>
                <w:sz w:val="20"/>
                <w:szCs w:val="20"/>
              </w:rPr>
              <w:t>(2)</w:t>
            </w:r>
          </w:p>
        </w:tc>
        <w:tc>
          <w:tcPr>
            <w:tcW w:w="1181" w:type="dxa"/>
            <w:tcBorders>
              <w:top w:val="single" w:sz="4" w:space="0" w:color="auto"/>
            </w:tcBorders>
            <w:shd w:val="clear" w:color="auto" w:fill="auto"/>
          </w:tcPr>
          <w:p w:rsidR="00D06A2F" w:rsidRPr="00E8065F" w:rsidRDefault="00D06A2F" w:rsidP="00CD3A6F">
            <w:pPr>
              <w:spacing w:line="235" w:lineRule="auto"/>
              <w:jc w:val="center"/>
              <w:rPr>
                <w:color w:val="000000"/>
                <w:sz w:val="20"/>
                <w:szCs w:val="20"/>
              </w:rPr>
            </w:pPr>
            <w:r w:rsidRPr="00E8065F">
              <w:rPr>
                <w:color w:val="000000"/>
                <w:sz w:val="20"/>
                <w:szCs w:val="20"/>
              </w:rPr>
              <w:t>12</w:t>
            </w:r>
          </w:p>
        </w:tc>
        <w:tc>
          <w:tcPr>
            <w:tcW w:w="1478" w:type="dxa"/>
            <w:tcBorders>
              <w:top w:val="single" w:sz="4" w:space="0" w:color="auto"/>
              <w:left w:val="single" w:sz="4" w:space="0" w:color="auto"/>
              <w:bottom w:val="single" w:sz="4" w:space="0" w:color="auto"/>
              <w:right w:val="single" w:sz="4" w:space="0" w:color="auto"/>
            </w:tcBorders>
            <w:shd w:val="clear" w:color="auto" w:fill="auto"/>
          </w:tcPr>
          <w:p w:rsidR="00D06A2F" w:rsidRPr="00E8065F" w:rsidRDefault="00D06A2F" w:rsidP="00CD3A6F">
            <w:pPr>
              <w:spacing w:line="235" w:lineRule="auto"/>
              <w:jc w:val="center"/>
              <w:rPr>
                <w:color w:val="000000"/>
                <w:sz w:val="20"/>
                <w:szCs w:val="20"/>
              </w:rPr>
            </w:pPr>
            <w:r w:rsidRPr="00E8065F">
              <w:rPr>
                <w:color w:val="000000"/>
                <w:sz w:val="20"/>
                <w:szCs w:val="20"/>
              </w:rPr>
              <w:t>32,2</w:t>
            </w:r>
          </w:p>
        </w:tc>
        <w:tc>
          <w:tcPr>
            <w:tcW w:w="1111" w:type="dxa"/>
            <w:tcBorders>
              <w:top w:val="single" w:sz="4" w:space="0" w:color="auto"/>
              <w:left w:val="single" w:sz="4" w:space="0" w:color="auto"/>
              <w:bottom w:val="single" w:sz="4" w:space="0" w:color="auto"/>
              <w:right w:val="single" w:sz="4" w:space="0" w:color="auto"/>
            </w:tcBorders>
            <w:shd w:val="clear" w:color="auto" w:fill="auto"/>
          </w:tcPr>
          <w:p w:rsidR="00D06A2F" w:rsidRPr="00E8065F" w:rsidRDefault="00D06A2F" w:rsidP="00CD3A6F">
            <w:pPr>
              <w:spacing w:line="235" w:lineRule="auto"/>
              <w:jc w:val="center"/>
              <w:rPr>
                <w:color w:val="000000"/>
                <w:sz w:val="20"/>
                <w:szCs w:val="20"/>
              </w:rPr>
            </w:pPr>
            <w:r w:rsidRPr="00E8065F">
              <w:rPr>
                <w:color w:val="000000"/>
                <w:sz w:val="20"/>
                <w:szCs w:val="20"/>
              </w:rPr>
              <w:t>1</w:t>
            </w:r>
          </w:p>
        </w:tc>
        <w:tc>
          <w:tcPr>
            <w:tcW w:w="1944" w:type="dxa"/>
            <w:tcBorders>
              <w:top w:val="single" w:sz="4" w:space="0" w:color="auto"/>
              <w:left w:val="single" w:sz="4" w:space="0" w:color="auto"/>
              <w:bottom w:val="single" w:sz="4" w:space="0" w:color="auto"/>
              <w:right w:val="single" w:sz="4" w:space="0" w:color="auto"/>
            </w:tcBorders>
            <w:shd w:val="clear" w:color="auto" w:fill="auto"/>
          </w:tcPr>
          <w:p w:rsidR="00D06A2F" w:rsidRPr="00E8065F" w:rsidRDefault="00D06A2F" w:rsidP="00CD3A6F">
            <w:pPr>
              <w:spacing w:line="235" w:lineRule="auto"/>
              <w:jc w:val="center"/>
              <w:rPr>
                <w:color w:val="000000"/>
                <w:sz w:val="20"/>
                <w:szCs w:val="20"/>
              </w:rPr>
            </w:pPr>
            <w:r w:rsidRPr="00E8065F">
              <w:rPr>
                <w:color w:val="000000"/>
                <w:sz w:val="20"/>
                <w:szCs w:val="20"/>
              </w:rPr>
              <w:t>Амбулаторное/стационарное</w:t>
            </w:r>
          </w:p>
        </w:tc>
      </w:tr>
      <w:tr w:rsidR="00D06A2F" w:rsidRPr="00E8065F" w:rsidTr="00CD3A6F">
        <w:trPr>
          <w:trHeight w:val="20"/>
        </w:trPr>
        <w:tc>
          <w:tcPr>
            <w:tcW w:w="1555" w:type="dxa"/>
            <w:vMerge/>
            <w:tcBorders>
              <w:left w:val="single" w:sz="4" w:space="0" w:color="auto"/>
              <w:right w:val="single" w:sz="4" w:space="0" w:color="auto"/>
            </w:tcBorders>
          </w:tcPr>
          <w:p w:rsidR="00D06A2F" w:rsidRPr="00E8065F" w:rsidRDefault="00D06A2F" w:rsidP="00BA1432">
            <w:pPr>
              <w:rPr>
                <w:sz w:val="20"/>
                <w:szCs w:val="20"/>
              </w:rPr>
            </w:pPr>
          </w:p>
        </w:tc>
        <w:tc>
          <w:tcPr>
            <w:tcW w:w="3685" w:type="dxa"/>
            <w:tcBorders>
              <w:top w:val="nil"/>
              <w:left w:val="single" w:sz="4" w:space="0" w:color="auto"/>
              <w:bottom w:val="single" w:sz="4" w:space="0" w:color="auto"/>
              <w:right w:val="single" w:sz="4" w:space="0" w:color="auto"/>
            </w:tcBorders>
            <w:shd w:val="clear" w:color="auto" w:fill="auto"/>
          </w:tcPr>
          <w:p w:rsidR="00D06A2F" w:rsidRPr="00E8065F" w:rsidRDefault="00D06A2F" w:rsidP="00CD3A6F">
            <w:pPr>
              <w:spacing w:line="235" w:lineRule="auto"/>
              <w:jc w:val="both"/>
              <w:rPr>
                <w:color w:val="000000"/>
                <w:sz w:val="20"/>
                <w:szCs w:val="20"/>
              </w:rPr>
            </w:pPr>
            <w:r w:rsidRPr="00E8065F">
              <w:rPr>
                <w:color w:val="000000"/>
                <w:sz w:val="20"/>
                <w:szCs w:val="20"/>
              </w:rPr>
              <w:t xml:space="preserve">ГАУЗ </w:t>
            </w:r>
            <w:r>
              <w:rPr>
                <w:color w:val="000000"/>
                <w:sz w:val="20"/>
                <w:szCs w:val="20"/>
              </w:rPr>
              <w:t>«</w:t>
            </w:r>
            <w:r w:rsidRPr="00E8065F">
              <w:rPr>
                <w:color w:val="000000"/>
                <w:sz w:val="20"/>
                <w:szCs w:val="20"/>
              </w:rPr>
              <w:t>Городская поликлиника №</w:t>
            </w:r>
            <w:r>
              <w:rPr>
                <w:color w:val="000000"/>
                <w:sz w:val="20"/>
                <w:szCs w:val="20"/>
              </w:rPr>
              <w:t xml:space="preserve"> </w:t>
            </w:r>
            <w:r w:rsidRPr="00E8065F">
              <w:rPr>
                <w:color w:val="000000"/>
                <w:sz w:val="20"/>
                <w:szCs w:val="20"/>
              </w:rPr>
              <w:t>10</w:t>
            </w:r>
            <w:r>
              <w:rPr>
                <w:color w:val="000000"/>
                <w:sz w:val="20"/>
                <w:szCs w:val="20"/>
              </w:rPr>
              <w:t>» г.Казани</w:t>
            </w:r>
          </w:p>
        </w:tc>
        <w:tc>
          <w:tcPr>
            <w:tcW w:w="1994" w:type="dxa"/>
            <w:tcBorders>
              <w:top w:val="nil"/>
              <w:left w:val="single" w:sz="4" w:space="0" w:color="auto"/>
              <w:bottom w:val="single" w:sz="4" w:space="0" w:color="auto"/>
              <w:right w:val="single" w:sz="4" w:space="0" w:color="auto"/>
            </w:tcBorders>
            <w:shd w:val="clear" w:color="auto" w:fill="auto"/>
          </w:tcPr>
          <w:p w:rsidR="00D06A2F" w:rsidRPr="00E8065F" w:rsidRDefault="00D06A2F" w:rsidP="00CD3A6F">
            <w:pPr>
              <w:spacing w:line="235" w:lineRule="auto"/>
              <w:jc w:val="center"/>
              <w:rPr>
                <w:color w:val="000000"/>
                <w:sz w:val="20"/>
                <w:szCs w:val="20"/>
              </w:rPr>
            </w:pPr>
            <w:r w:rsidRPr="00E8065F">
              <w:rPr>
                <w:color w:val="000000"/>
                <w:sz w:val="20"/>
                <w:szCs w:val="20"/>
              </w:rPr>
              <w:t>Колоноскоп</w:t>
            </w:r>
          </w:p>
        </w:tc>
        <w:tc>
          <w:tcPr>
            <w:tcW w:w="1181" w:type="dxa"/>
            <w:tcBorders>
              <w:top w:val="nil"/>
              <w:left w:val="single" w:sz="4" w:space="0" w:color="auto"/>
              <w:bottom w:val="single" w:sz="4" w:space="0" w:color="auto"/>
              <w:right w:val="single" w:sz="4" w:space="0" w:color="auto"/>
            </w:tcBorders>
            <w:shd w:val="clear" w:color="auto" w:fill="auto"/>
          </w:tcPr>
          <w:p w:rsidR="00D06A2F" w:rsidRPr="00E8065F" w:rsidRDefault="00D06A2F" w:rsidP="00CD3A6F">
            <w:pPr>
              <w:spacing w:line="235" w:lineRule="auto"/>
              <w:jc w:val="center"/>
              <w:rPr>
                <w:color w:val="000000"/>
                <w:sz w:val="20"/>
                <w:szCs w:val="20"/>
              </w:rPr>
            </w:pPr>
            <w:r w:rsidRPr="00E8065F">
              <w:rPr>
                <w:color w:val="000000"/>
                <w:sz w:val="20"/>
                <w:szCs w:val="20"/>
              </w:rPr>
              <w:t>2019</w:t>
            </w:r>
            <w:r w:rsidR="003D79B3">
              <w:rPr>
                <w:color w:val="000000"/>
                <w:sz w:val="20"/>
                <w:szCs w:val="20"/>
              </w:rPr>
              <w:t xml:space="preserve"> </w:t>
            </w:r>
            <w:r w:rsidR="005D7240">
              <w:rPr>
                <w:color w:val="000000"/>
                <w:sz w:val="20"/>
                <w:szCs w:val="20"/>
              </w:rPr>
              <w:t>(3)</w:t>
            </w:r>
          </w:p>
          <w:p w:rsidR="00D06A2F" w:rsidRPr="00E8065F" w:rsidRDefault="00D06A2F" w:rsidP="00CD3A6F">
            <w:pPr>
              <w:spacing w:line="235" w:lineRule="auto"/>
              <w:jc w:val="center"/>
              <w:rPr>
                <w:color w:val="000000"/>
                <w:sz w:val="20"/>
                <w:szCs w:val="20"/>
              </w:rPr>
            </w:pPr>
            <w:r w:rsidRPr="00E8065F">
              <w:rPr>
                <w:color w:val="000000"/>
                <w:sz w:val="20"/>
                <w:szCs w:val="20"/>
              </w:rPr>
              <w:t>2022</w:t>
            </w:r>
            <w:r w:rsidR="003D79B3">
              <w:rPr>
                <w:color w:val="000000"/>
                <w:sz w:val="20"/>
                <w:szCs w:val="20"/>
              </w:rPr>
              <w:t xml:space="preserve"> </w:t>
            </w:r>
            <w:r w:rsidR="005D7240">
              <w:rPr>
                <w:color w:val="000000"/>
                <w:sz w:val="20"/>
                <w:szCs w:val="20"/>
              </w:rPr>
              <w:t>(1)</w:t>
            </w:r>
          </w:p>
        </w:tc>
        <w:tc>
          <w:tcPr>
            <w:tcW w:w="1181" w:type="dxa"/>
            <w:shd w:val="clear" w:color="auto" w:fill="auto"/>
          </w:tcPr>
          <w:p w:rsidR="00D06A2F" w:rsidRPr="00E8065F" w:rsidRDefault="00D06A2F" w:rsidP="00CD3A6F">
            <w:pPr>
              <w:spacing w:line="235" w:lineRule="auto"/>
              <w:jc w:val="center"/>
              <w:rPr>
                <w:color w:val="000000"/>
                <w:sz w:val="20"/>
                <w:szCs w:val="20"/>
              </w:rPr>
            </w:pPr>
            <w:r w:rsidRPr="00E8065F">
              <w:rPr>
                <w:color w:val="000000"/>
                <w:sz w:val="20"/>
                <w:szCs w:val="20"/>
              </w:rPr>
              <w:t>4</w:t>
            </w:r>
          </w:p>
        </w:tc>
        <w:tc>
          <w:tcPr>
            <w:tcW w:w="1478" w:type="dxa"/>
            <w:tcBorders>
              <w:top w:val="nil"/>
              <w:left w:val="single" w:sz="4" w:space="0" w:color="auto"/>
              <w:bottom w:val="single" w:sz="4" w:space="0" w:color="auto"/>
              <w:right w:val="single" w:sz="4" w:space="0" w:color="auto"/>
            </w:tcBorders>
            <w:shd w:val="clear" w:color="auto" w:fill="auto"/>
          </w:tcPr>
          <w:p w:rsidR="00D06A2F" w:rsidRPr="00E8065F" w:rsidRDefault="00D06A2F" w:rsidP="00CD3A6F">
            <w:pPr>
              <w:spacing w:line="235" w:lineRule="auto"/>
              <w:jc w:val="center"/>
              <w:rPr>
                <w:color w:val="000000"/>
                <w:sz w:val="20"/>
                <w:szCs w:val="20"/>
              </w:rPr>
            </w:pPr>
            <w:r w:rsidRPr="00E8065F">
              <w:rPr>
                <w:color w:val="000000"/>
                <w:sz w:val="20"/>
                <w:szCs w:val="20"/>
              </w:rPr>
              <w:t>2,4</w:t>
            </w:r>
          </w:p>
        </w:tc>
        <w:tc>
          <w:tcPr>
            <w:tcW w:w="1111" w:type="dxa"/>
            <w:tcBorders>
              <w:top w:val="nil"/>
              <w:left w:val="single" w:sz="4" w:space="0" w:color="auto"/>
              <w:bottom w:val="single" w:sz="4" w:space="0" w:color="auto"/>
              <w:right w:val="single" w:sz="4" w:space="0" w:color="auto"/>
            </w:tcBorders>
            <w:shd w:val="clear" w:color="auto" w:fill="auto"/>
          </w:tcPr>
          <w:p w:rsidR="00D06A2F" w:rsidRPr="00E8065F" w:rsidRDefault="00D06A2F" w:rsidP="00CD3A6F">
            <w:pPr>
              <w:spacing w:line="235" w:lineRule="auto"/>
              <w:jc w:val="center"/>
              <w:rPr>
                <w:color w:val="000000"/>
                <w:sz w:val="20"/>
                <w:szCs w:val="20"/>
              </w:rPr>
            </w:pPr>
            <w:r w:rsidRPr="00E8065F">
              <w:rPr>
                <w:color w:val="000000"/>
                <w:sz w:val="20"/>
                <w:szCs w:val="20"/>
              </w:rPr>
              <w:t>1</w:t>
            </w:r>
          </w:p>
        </w:tc>
        <w:tc>
          <w:tcPr>
            <w:tcW w:w="1944" w:type="dxa"/>
            <w:tcBorders>
              <w:top w:val="nil"/>
              <w:left w:val="single" w:sz="4" w:space="0" w:color="auto"/>
              <w:bottom w:val="single" w:sz="4" w:space="0" w:color="auto"/>
              <w:right w:val="single" w:sz="4" w:space="0" w:color="auto"/>
            </w:tcBorders>
            <w:shd w:val="clear" w:color="auto" w:fill="auto"/>
          </w:tcPr>
          <w:p w:rsidR="00D06A2F" w:rsidRPr="00E8065F" w:rsidRDefault="00D06A2F" w:rsidP="00CD3A6F">
            <w:pPr>
              <w:spacing w:line="235" w:lineRule="auto"/>
              <w:jc w:val="center"/>
              <w:rPr>
                <w:color w:val="000000"/>
                <w:sz w:val="20"/>
                <w:szCs w:val="20"/>
              </w:rPr>
            </w:pPr>
            <w:r w:rsidRPr="00E8065F">
              <w:rPr>
                <w:color w:val="000000"/>
                <w:sz w:val="20"/>
                <w:szCs w:val="20"/>
              </w:rPr>
              <w:t>Амбулаторное</w:t>
            </w:r>
          </w:p>
        </w:tc>
      </w:tr>
      <w:tr w:rsidR="00D06A2F" w:rsidRPr="00E8065F" w:rsidTr="00CD3A6F">
        <w:trPr>
          <w:trHeight w:val="20"/>
        </w:trPr>
        <w:tc>
          <w:tcPr>
            <w:tcW w:w="1555" w:type="dxa"/>
            <w:vMerge/>
            <w:tcBorders>
              <w:left w:val="single" w:sz="4" w:space="0" w:color="auto"/>
              <w:right w:val="single" w:sz="4" w:space="0" w:color="auto"/>
            </w:tcBorders>
          </w:tcPr>
          <w:p w:rsidR="00D06A2F" w:rsidRPr="00E8065F" w:rsidRDefault="00D06A2F" w:rsidP="00BA1432">
            <w:pPr>
              <w:rPr>
                <w:sz w:val="20"/>
                <w:szCs w:val="20"/>
              </w:rPr>
            </w:pPr>
          </w:p>
        </w:tc>
        <w:tc>
          <w:tcPr>
            <w:tcW w:w="3685" w:type="dxa"/>
            <w:tcBorders>
              <w:top w:val="nil"/>
              <w:left w:val="single" w:sz="4" w:space="0" w:color="auto"/>
              <w:bottom w:val="single" w:sz="4" w:space="0" w:color="auto"/>
              <w:right w:val="single" w:sz="4" w:space="0" w:color="auto"/>
            </w:tcBorders>
            <w:shd w:val="clear" w:color="auto" w:fill="auto"/>
          </w:tcPr>
          <w:p w:rsidR="00D06A2F" w:rsidRPr="00E8065F" w:rsidRDefault="00D06A2F" w:rsidP="00CD3A6F">
            <w:pPr>
              <w:spacing w:line="235" w:lineRule="auto"/>
              <w:jc w:val="both"/>
              <w:rPr>
                <w:color w:val="000000"/>
                <w:sz w:val="20"/>
                <w:szCs w:val="20"/>
              </w:rPr>
            </w:pPr>
            <w:r w:rsidRPr="00E8065F">
              <w:rPr>
                <w:color w:val="000000"/>
                <w:sz w:val="20"/>
                <w:szCs w:val="20"/>
              </w:rPr>
              <w:t xml:space="preserve">ГАУЗ </w:t>
            </w:r>
            <w:r>
              <w:rPr>
                <w:color w:val="000000"/>
                <w:sz w:val="20"/>
                <w:szCs w:val="20"/>
              </w:rPr>
              <w:t>«</w:t>
            </w:r>
            <w:r w:rsidRPr="00E8065F">
              <w:rPr>
                <w:color w:val="000000"/>
                <w:sz w:val="20"/>
                <w:szCs w:val="20"/>
              </w:rPr>
              <w:t>Городская поликлиника №</w:t>
            </w:r>
            <w:r>
              <w:rPr>
                <w:color w:val="000000"/>
                <w:sz w:val="20"/>
                <w:szCs w:val="20"/>
              </w:rPr>
              <w:t xml:space="preserve"> </w:t>
            </w:r>
            <w:r w:rsidRPr="00E8065F">
              <w:rPr>
                <w:color w:val="000000"/>
                <w:sz w:val="20"/>
                <w:szCs w:val="20"/>
              </w:rPr>
              <w:t>18</w:t>
            </w:r>
            <w:r>
              <w:rPr>
                <w:color w:val="000000"/>
                <w:sz w:val="20"/>
                <w:szCs w:val="20"/>
              </w:rPr>
              <w:t>»</w:t>
            </w:r>
            <w:r w:rsidRPr="00E8065F">
              <w:rPr>
                <w:color w:val="000000"/>
                <w:sz w:val="20"/>
                <w:szCs w:val="20"/>
              </w:rPr>
              <w:t xml:space="preserve"> </w:t>
            </w:r>
            <w:r>
              <w:rPr>
                <w:color w:val="000000"/>
                <w:sz w:val="20"/>
                <w:szCs w:val="20"/>
              </w:rPr>
              <w:t>г.Казани</w:t>
            </w:r>
          </w:p>
        </w:tc>
        <w:tc>
          <w:tcPr>
            <w:tcW w:w="1994" w:type="dxa"/>
            <w:tcBorders>
              <w:top w:val="nil"/>
              <w:left w:val="single" w:sz="4" w:space="0" w:color="auto"/>
              <w:bottom w:val="single" w:sz="4" w:space="0" w:color="auto"/>
              <w:right w:val="single" w:sz="4" w:space="0" w:color="auto"/>
            </w:tcBorders>
            <w:shd w:val="clear" w:color="auto" w:fill="auto"/>
          </w:tcPr>
          <w:p w:rsidR="00D06A2F" w:rsidRPr="00E8065F" w:rsidRDefault="00D06A2F" w:rsidP="00CD3A6F">
            <w:pPr>
              <w:spacing w:line="235" w:lineRule="auto"/>
              <w:jc w:val="center"/>
              <w:rPr>
                <w:color w:val="000000"/>
                <w:sz w:val="20"/>
                <w:szCs w:val="20"/>
              </w:rPr>
            </w:pPr>
            <w:r w:rsidRPr="00E8065F">
              <w:rPr>
                <w:color w:val="000000"/>
                <w:sz w:val="20"/>
                <w:szCs w:val="20"/>
              </w:rPr>
              <w:t>Колоноскоп</w:t>
            </w:r>
          </w:p>
        </w:tc>
        <w:tc>
          <w:tcPr>
            <w:tcW w:w="1181" w:type="dxa"/>
            <w:tcBorders>
              <w:top w:val="nil"/>
              <w:left w:val="single" w:sz="4" w:space="0" w:color="auto"/>
              <w:bottom w:val="single" w:sz="4" w:space="0" w:color="auto"/>
              <w:right w:val="single" w:sz="4" w:space="0" w:color="auto"/>
            </w:tcBorders>
            <w:shd w:val="clear" w:color="auto" w:fill="auto"/>
          </w:tcPr>
          <w:p w:rsidR="00D06A2F" w:rsidRPr="00E8065F" w:rsidRDefault="00D06A2F" w:rsidP="00CD3A6F">
            <w:pPr>
              <w:spacing w:line="235" w:lineRule="auto"/>
              <w:jc w:val="center"/>
              <w:rPr>
                <w:color w:val="000000"/>
                <w:sz w:val="20"/>
                <w:szCs w:val="20"/>
              </w:rPr>
            </w:pPr>
            <w:r w:rsidRPr="00E8065F">
              <w:rPr>
                <w:color w:val="000000"/>
                <w:sz w:val="20"/>
                <w:szCs w:val="20"/>
              </w:rPr>
              <w:t>2022</w:t>
            </w:r>
            <w:r w:rsidR="003D79B3">
              <w:rPr>
                <w:color w:val="000000"/>
                <w:sz w:val="20"/>
                <w:szCs w:val="20"/>
              </w:rPr>
              <w:t xml:space="preserve"> </w:t>
            </w:r>
            <w:r w:rsidR="005D7240">
              <w:rPr>
                <w:color w:val="000000"/>
                <w:sz w:val="20"/>
                <w:szCs w:val="20"/>
              </w:rPr>
              <w:t>(2)</w:t>
            </w:r>
          </w:p>
        </w:tc>
        <w:tc>
          <w:tcPr>
            <w:tcW w:w="1181" w:type="dxa"/>
            <w:shd w:val="clear" w:color="auto" w:fill="auto"/>
          </w:tcPr>
          <w:p w:rsidR="00D06A2F" w:rsidRPr="00E8065F" w:rsidRDefault="00D06A2F" w:rsidP="00CD3A6F">
            <w:pPr>
              <w:spacing w:line="235" w:lineRule="auto"/>
              <w:jc w:val="center"/>
              <w:rPr>
                <w:color w:val="000000"/>
                <w:sz w:val="20"/>
                <w:szCs w:val="20"/>
              </w:rPr>
            </w:pPr>
            <w:r w:rsidRPr="00E8065F">
              <w:rPr>
                <w:color w:val="000000"/>
                <w:sz w:val="20"/>
                <w:szCs w:val="20"/>
              </w:rPr>
              <w:t>2</w:t>
            </w:r>
          </w:p>
        </w:tc>
        <w:tc>
          <w:tcPr>
            <w:tcW w:w="1478" w:type="dxa"/>
            <w:tcBorders>
              <w:top w:val="nil"/>
              <w:left w:val="single" w:sz="4" w:space="0" w:color="auto"/>
              <w:bottom w:val="single" w:sz="4" w:space="0" w:color="auto"/>
              <w:right w:val="single" w:sz="4" w:space="0" w:color="auto"/>
            </w:tcBorders>
            <w:shd w:val="clear" w:color="auto" w:fill="auto"/>
          </w:tcPr>
          <w:p w:rsidR="00D06A2F" w:rsidRPr="00E8065F" w:rsidRDefault="00D06A2F" w:rsidP="00CD3A6F">
            <w:pPr>
              <w:spacing w:line="235" w:lineRule="auto"/>
              <w:jc w:val="center"/>
              <w:rPr>
                <w:color w:val="000000"/>
                <w:sz w:val="20"/>
                <w:szCs w:val="20"/>
              </w:rPr>
            </w:pPr>
            <w:r w:rsidRPr="00E8065F">
              <w:rPr>
                <w:color w:val="000000"/>
                <w:sz w:val="20"/>
                <w:szCs w:val="20"/>
              </w:rPr>
              <w:t>2,9</w:t>
            </w:r>
          </w:p>
        </w:tc>
        <w:tc>
          <w:tcPr>
            <w:tcW w:w="1111" w:type="dxa"/>
            <w:tcBorders>
              <w:top w:val="nil"/>
              <w:left w:val="single" w:sz="4" w:space="0" w:color="auto"/>
              <w:bottom w:val="single" w:sz="4" w:space="0" w:color="auto"/>
              <w:right w:val="single" w:sz="4" w:space="0" w:color="auto"/>
            </w:tcBorders>
            <w:shd w:val="clear" w:color="auto" w:fill="auto"/>
          </w:tcPr>
          <w:p w:rsidR="00D06A2F" w:rsidRPr="00E8065F" w:rsidRDefault="00D06A2F" w:rsidP="00CD3A6F">
            <w:pPr>
              <w:spacing w:line="235" w:lineRule="auto"/>
              <w:jc w:val="center"/>
              <w:rPr>
                <w:color w:val="000000"/>
                <w:sz w:val="20"/>
                <w:szCs w:val="20"/>
              </w:rPr>
            </w:pPr>
            <w:r w:rsidRPr="00E8065F">
              <w:rPr>
                <w:color w:val="000000"/>
                <w:sz w:val="20"/>
                <w:szCs w:val="20"/>
              </w:rPr>
              <w:t>1</w:t>
            </w:r>
          </w:p>
        </w:tc>
        <w:tc>
          <w:tcPr>
            <w:tcW w:w="1944" w:type="dxa"/>
            <w:tcBorders>
              <w:top w:val="nil"/>
              <w:left w:val="single" w:sz="4" w:space="0" w:color="auto"/>
              <w:bottom w:val="single" w:sz="4" w:space="0" w:color="auto"/>
              <w:right w:val="single" w:sz="4" w:space="0" w:color="auto"/>
            </w:tcBorders>
            <w:shd w:val="clear" w:color="auto" w:fill="auto"/>
          </w:tcPr>
          <w:p w:rsidR="00D06A2F" w:rsidRPr="00E8065F" w:rsidRDefault="00D06A2F" w:rsidP="00CD3A6F">
            <w:pPr>
              <w:spacing w:line="235" w:lineRule="auto"/>
              <w:jc w:val="center"/>
              <w:rPr>
                <w:color w:val="000000"/>
                <w:sz w:val="20"/>
                <w:szCs w:val="20"/>
              </w:rPr>
            </w:pPr>
            <w:r w:rsidRPr="00E8065F">
              <w:rPr>
                <w:color w:val="000000"/>
                <w:sz w:val="20"/>
                <w:szCs w:val="20"/>
              </w:rPr>
              <w:t>Амбулаторное</w:t>
            </w:r>
          </w:p>
        </w:tc>
      </w:tr>
      <w:tr w:rsidR="00D06A2F" w:rsidRPr="00E8065F" w:rsidTr="00CD3A6F">
        <w:trPr>
          <w:trHeight w:val="20"/>
        </w:trPr>
        <w:tc>
          <w:tcPr>
            <w:tcW w:w="1555" w:type="dxa"/>
            <w:vMerge/>
            <w:tcBorders>
              <w:left w:val="single" w:sz="4" w:space="0" w:color="auto"/>
              <w:right w:val="single" w:sz="4" w:space="0" w:color="auto"/>
            </w:tcBorders>
          </w:tcPr>
          <w:p w:rsidR="00D06A2F" w:rsidRPr="00E8065F" w:rsidRDefault="00D06A2F" w:rsidP="00BA1432">
            <w:pPr>
              <w:rPr>
                <w:sz w:val="20"/>
                <w:szCs w:val="20"/>
              </w:rPr>
            </w:pPr>
          </w:p>
        </w:tc>
        <w:tc>
          <w:tcPr>
            <w:tcW w:w="3685" w:type="dxa"/>
            <w:tcBorders>
              <w:top w:val="nil"/>
              <w:left w:val="single" w:sz="4" w:space="0" w:color="auto"/>
              <w:bottom w:val="single" w:sz="4" w:space="0" w:color="auto"/>
              <w:right w:val="single" w:sz="4" w:space="0" w:color="auto"/>
            </w:tcBorders>
            <w:shd w:val="clear" w:color="auto" w:fill="auto"/>
          </w:tcPr>
          <w:p w:rsidR="00D06A2F" w:rsidRPr="00E8065F" w:rsidRDefault="00D06A2F" w:rsidP="00CD3A6F">
            <w:pPr>
              <w:spacing w:line="235" w:lineRule="auto"/>
              <w:jc w:val="both"/>
              <w:rPr>
                <w:color w:val="000000"/>
                <w:sz w:val="20"/>
                <w:szCs w:val="20"/>
              </w:rPr>
            </w:pPr>
            <w:r w:rsidRPr="00E8065F">
              <w:rPr>
                <w:color w:val="000000"/>
                <w:sz w:val="20"/>
                <w:szCs w:val="20"/>
              </w:rPr>
              <w:t xml:space="preserve">ГАУЗ </w:t>
            </w:r>
            <w:r>
              <w:rPr>
                <w:color w:val="000000"/>
                <w:sz w:val="20"/>
                <w:szCs w:val="20"/>
              </w:rPr>
              <w:t>«</w:t>
            </w:r>
            <w:r w:rsidRPr="00E8065F">
              <w:rPr>
                <w:color w:val="000000"/>
                <w:sz w:val="20"/>
                <w:szCs w:val="20"/>
              </w:rPr>
              <w:t>Городская поликлиника №</w:t>
            </w:r>
            <w:r>
              <w:rPr>
                <w:color w:val="000000"/>
                <w:sz w:val="20"/>
                <w:szCs w:val="20"/>
              </w:rPr>
              <w:t xml:space="preserve"> </w:t>
            </w:r>
            <w:r w:rsidRPr="00E8065F">
              <w:rPr>
                <w:color w:val="000000"/>
                <w:sz w:val="20"/>
                <w:szCs w:val="20"/>
              </w:rPr>
              <w:t>20</w:t>
            </w:r>
            <w:r>
              <w:rPr>
                <w:color w:val="000000"/>
                <w:sz w:val="20"/>
                <w:szCs w:val="20"/>
              </w:rPr>
              <w:t>» г.Казани</w:t>
            </w:r>
          </w:p>
        </w:tc>
        <w:tc>
          <w:tcPr>
            <w:tcW w:w="1994" w:type="dxa"/>
            <w:tcBorders>
              <w:top w:val="nil"/>
              <w:left w:val="single" w:sz="4" w:space="0" w:color="auto"/>
              <w:bottom w:val="single" w:sz="4" w:space="0" w:color="auto"/>
              <w:right w:val="single" w:sz="4" w:space="0" w:color="auto"/>
            </w:tcBorders>
            <w:shd w:val="clear" w:color="auto" w:fill="auto"/>
          </w:tcPr>
          <w:p w:rsidR="00D06A2F" w:rsidRPr="00E8065F" w:rsidRDefault="00D06A2F" w:rsidP="00CD3A6F">
            <w:pPr>
              <w:spacing w:line="235" w:lineRule="auto"/>
              <w:jc w:val="center"/>
              <w:rPr>
                <w:color w:val="000000"/>
                <w:sz w:val="20"/>
                <w:szCs w:val="20"/>
              </w:rPr>
            </w:pPr>
            <w:r w:rsidRPr="00E8065F">
              <w:rPr>
                <w:color w:val="000000"/>
                <w:sz w:val="20"/>
                <w:szCs w:val="20"/>
              </w:rPr>
              <w:t>Колоноскоп</w:t>
            </w:r>
          </w:p>
        </w:tc>
        <w:tc>
          <w:tcPr>
            <w:tcW w:w="1181" w:type="dxa"/>
            <w:tcBorders>
              <w:top w:val="nil"/>
              <w:left w:val="single" w:sz="4" w:space="0" w:color="auto"/>
              <w:bottom w:val="single" w:sz="4" w:space="0" w:color="auto"/>
              <w:right w:val="single" w:sz="4" w:space="0" w:color="auto"/>
            </w:tcBorders>
            <w:shd w:val="clear" w:color="auto" w:fill="auto"/>
          </w:tcPr>
          <w:p w:rsidR="00D06A2F" w:rsidRPr="00E8065F" w:rsidRDefault="00D06A2F" w:rsidP="00CD3A6F">
            <w:pPr>
              <w:spacing w:line="235" w:lineRule="auto"/>
              <w:jc w:val="center"/>
              <w:rPr>
                <w:color w:val="000000"/>
                <w:sz w:val="20"/>
                <w:szCs w:val="20"/>
              </w:rPr>
            </w:pPr>
            <w:r w:rsidRPr="00E8065F">
              <w:rPr>
                <w:color w:val="000000"/>
                <w:sz w:val="20"/>
                <w:szCs w:val="20"/>
              </w:rPr>
              <w:t>2018</w:t>
            </w:r>
            <w:r w:rsidR="003D79B3">
              <w:rPr>
                <w:color w:val="000000"/>
                <w:sz w:val="20"/>
                <w:szCs w:val="20"/>
              </w:rPr>
              <w:t xml:space="preserve"> </w:t>
            </w:r>
            <w:r w:rsidR="005D7240">
              <w:rPr>
                <w:color w:val="000000"/>
                <w:sz w:val="20"/>
                <w:szCs w:val="20"/>
              </w:rPr>
              <w:t>(2)</w:t>
            </w:r>
          </w:p>
          <w:p w:rsidR="00D06A2F" w:rsidRPr="00E8065F" w:rsidRDefault="00D06A2F" w:rsidP="00CD3A6F">
            <w:pPr>
              <w:spacing w:line="235" w:lineRule="auto"/>
              <w:jc w:val="center"/>
              <w:rPr>
                <w:color w:val="000000"/>
                <w:sz w:val="20"/>
                <w:szCs w:val="20"/>
              </w:rPr>
            </w:pPr>
            <w:r w:rsidRPr="00E8065F">
              <w:rPr>
                <w:color w:val="000000"/>
                <w:sz w:val="20"/>
                <w:szCs w:val="20"/>
              </w:rPr>
              <w:t>2019</w:t>
            </w:r>
            <w:r w:rsidR="003D79B3">
              <w:rPr>
                <w:color w:val="000000"/>
                <w:sz w:val="20"/>
                <w:szCs w:val="20"/>
              </w:rPr>
              <w:t xml:space="preserve"> </w:t>
            </w:r>
            <w:r w:rsidR="005D7240">
              <w:rPr>
                <w:color w:val="000000"/>
                <w:sz w:val="20"/>
                <w:szCs w:val="20"/>
              </w:rPr>
              <w:t>(2)</w:t>
            </w:r>
          </w:p>
        </w:tc>
        <w:tc>
          <w:tcPr>
            <w:tcW w:w="1181" w:type="dxa"/>
            <w:shd w:val="clear" w:color="auto" w:fill="auto"/>
          </w:tcPr>
          <w:p w:rsidR="00D06A2F" w:rsidRPr="00E8065F" w:rsidRDefault="00D06A2F" w:rsidP="00CD3A6F">
            <w:pPr>
              <w:spacing w:line="235" w:lineRule="auto"/>
              <w:jc w:val="center"/>
              <w:rPr>
                <w:color w:val="000000"/>
                <w:sz w:val="20"/>
                <w:szCs w:val="20"/>
              </w:rPr>
            </w:pPr>
            <w:r w:rsidRPr="00E8065F">
              <w:rPr>
                <w:color w:val="000000"/>
                <w:sz w:val="20"/>
                <w:szCs w:val="20"/>
              </w:rPr>
              <w:t>4</w:t>
            </w:r>
          </w:p>
        </w:tc>
        <w:tc>
          <w:tcPr>
            <w:tcW w:w="1478" w:type="dxa"/>
            <w:tcBorders>
              <w:top w:val="nil"/>
              <w:left w:val="single" w:sz="4" w:space="0" w:color="auto"/>
              <w:bottom w:val="single" w:sz="4" w:space="0" w:color="auto"/>
              <w:right w:val="single" w:sz="4" w:space="0" w:color="auto"/>
            </w:tcBorders>
            <w:shd w:val="clear" w:color="auto" w:fill="auto"/>
          </w:tcPr>
          <w:p w:rsidR="00D06A2F" w:rsidRPr="00E8065F" w:rsidRDefault="00D06A2F" w:rsidP="00CD3A6F">
            <w:pPr>
              <w:spacing w:line="235" w:lineRule="auto"/>
              <w:jc w:val="center"/>
              <w:rPr>
                <w:color w:val="000000"/>
                <w:sz w:val="20"/>
                <w:szCs w:val="20"/>
              </w:rPr>
            </w:pPr>
            <w:r w:rsidRPr="00E8065F">
              <w:rPr>
                <w:color w:val="000000"/>
                <w:sz w:val="20"/>
                <w:szCs w:val="20"/>
              </w:rPr>
              <w:t>4,0</w:t>
            </w:r>
          </w:p>
        </w:tc>
        <w:tc>
          <w:tcPr>
            <w:tcW w:w="1111" w:type="dxa"/>
            <w:tcBorders>
              <w:top w:val="nil"/>
              <w:left w:val="single" w:sz="4" w:space="0" w:color="auto"/>
              <w:bottom w:val="single" w:sz="4" w:space="0" w:color="auto"/>
              <w:right w:val="single" w:sz="4" w:space="0" w:color="auto"/>
            </w:tcBorders>
            <w:shd w:val="clear" w:color="auto" w:fill="auto"/>
          </w:tcPr>
          <w:p w:rsidR="00D06A2F" w:rsidRPr="00E8065F" w:rsidRDefault="00D06A2F" w:rsidP="00CD3A6F">
            <w:pPr>
              <w:spacing w:line="235" w:lineRule="auto"/>
              <w:jc w:val="center"/>
              <w:rPr>
                <w:color w:val="000000"/>
                <w:sz w:val="20"/>
                <w:szCs w:val="20"/>
              </w:rPr>
            </w:pPr>
            <w:r w:rsidRPr="00E8065F">
              <w:rPr>
                <w:color w:val="000000"/>
                <w:sz w:val="20"/>
                <w:szCs w:val="20"/>
              </w:rPr>
              <w:t>1</w:t>
            </w:r>
          </w:p>
        </w:tc>
        <w:tc>
          <w:tcPr>
            <w:tcW w:w="1944" w:type="dxa"/>
            <w:tcBorders>
              <w:top w:val="nil"/>
              <w:left w:val="single" w:sz="4" w:space="0" w:color="auto"/>
              <w:bottom w:val="single" w:sz="4" w:space="0" w:color="auto"/>
              <w:right w:val="single" w:sz="4" w:space="0" w:color="auto"/>
            </w:tcBorders>
            <w:shd w:val="clear" w:color="auto" w:fill="auto"/>
          </w:tcPr>
          <w:p w:rsidR="00D06A2F" w:rsidRPr="00E8065F" w:rsidRDefault="00D06A2F" w:rsidP="00CD3A6F">
            <w:pPr>
              <w:spacing w:line="235" w:lineRule="auto"/>
              <w:jc w:val="center"/>
              <w:rPr>
                <w:color w:val="000000"/>
                <w:sz w:val="20"/>
                <w:szCs w:val="20"/>
              </w:rPr>
            </w:pPr>
            <w:r w:rsidRPr="00E8065F">
              <w:rPr>
                <w:color w:val="000000"/>
                <w:sz w:val="20"/>
                <w:szCs w:val="20"/>
              </w:rPr>
              <w:t>Амбулаторное</w:t>
            </w:r>
          </w:p>
        </w:tc>
      </w:tr>
      <w:tr w:rsidR="00D06A2F" w:rsidRPr="00E8065F" w:rsidTr="00CD3A6F">
        <w:trPr>
          <w:trHeight w:val="20"/>
        </w:trPr>
        <w:tc>
          <w:tcPr>
            <w:tcW w:w="1555" w:type="dxa"/>
            <w:vMerge/>
            <w:tcBorders>
              <w:left w:val="single" w:sz="4" w:space="0" w:color="auto"/>
              <w:right w:val="single" w:sz="4" w:space="0" w:color="auto"/>
            </w:tcBorders>
          </w:tcPr>
          <w:p w:rsidR="00D06A2F" w:rsidRPr="00E8065F" w:rsidRDefault="00D06A2F" w:rsidP="00BA1432">
            <w:pPr>
              <w:rPr>
                <w:sz w:val="20"/>
                <w:szCs w:val="20"/>
              </w:rPr>
            </w:pPr>
          </w:p>
        </w:tc>
        <w:tc>
          <w:tcPr>
            <w:tcW w:w="3685" w:type="dxa"/>
            <w:tcBorders>
              <w:top w:val="nil"/>
              <w:left w:val="single" w:sz="4" w:space="0" w:color="auto"/>
              <w:bottom w:val="single" w:sz="4" w:space="0" w:color="auto"/>
              <w:right w:val="single" w:sz="4" w:space="0" w:color="auto"/>
            </w:tcBorders>
            <w:shd w:val="clear" w:color="auto" w:fill="auto"/>
          </w:tcPr>
          <w:p w:rsidR="00D06A2F" w:rsidRPr="00E8065F" w:rsidRDefault="00D06A2F" w:rsidP="00D5127A">
            <w:pPr>
              <w:jc w:val="both"/>
              <w:rPr>
                <w:color w:val="000000"/>
                <w:sz w:val="20"/>
                <w:szCs w:val="20"/>
              </w:rPr>
            </w:pPr>
            <w:r w:rsidRPr="00E8065F">
              <w:rPr>
                <w:color w:val="000000"/>
                <w:sz w:val="20"/>
                <w:szCs w:val="20"/>
              </w:rPr>
              <w:t xml:space="preserve">ГАУЗ </w:t>
            </w:r>
            <w:r>
              <w:rPr>
                <w:color w:val="000000"/>
                <w:sz w:val="20"/>
                <w:szCs w:val="20"/>
              </w:rPr>
              <w:t>«</w:t>
            </w:r>
            <w:r w:rsidRPr="00E8065F">
              <w:rPr>
                <w:color w:val="000000"/>
                <w:sz w:val="20"/>
                <w:szCs w:val="20"/>
              </w:rPr>
              <w:t>Городская поликлиника №</w:t>
            </w:r>
            <w:r>
              <w:rPr>
                <w:color w:val="000000"/>
                <w:sz w:val="20"/>
                <w:szCs w:val="20"/>
              </w:rPr>
              <w:t xml:space="preserve"> </w:t>
            </w:r>
            <w:r w:rsidRPr="00E8065F">
              <w:rPr>
                <w:color w:val="000000"/>
                <w:sz w:val="20"/>
                <w:szCs w:val="20"/>
              </w:rPr>
              <w:t>21</w:t>
            </w:r>
            <w:r>
              <w:rPr>
                <w:color w:val="000000"/>
                <w:sz w:val="20"/>
                <w:szCs w:val="20"/>
              </w:rPr>
              <w:t>»</w:t>
            </w:r>
            <w:r w:rsidRPr="00E8065F">
              <w:rPr>
                <w:color w:val="000000"/>
                <w:sz w:val="20"/>
                <w:szCs w:val="20"/>
              </w:rPr>
              <w:t xml:space="preserve"> г.Казан</w:t>
            </w:r>
            <w:r>
              <w:rPr>
                <w:color w:val="000000"/>
                <w:sz w:val="20"/>
                <w:szCs w:val="20"/>
              </w:rPr>
              <w:t>и</w:t>
            </w:r>
          </w:p>
        </w:tc>
        <w:tc>
          <w:tcPr>
            <w:tcW w:w="1994" w:type="dxa"/>
            <w:tcBorders>
              <w:top w:val="nil"/>
              <w:left w:val="single" w:sz="4" w:space="0" w:color="auto"/>
              <w:bottom w:val="single" w:sz="4" w:space="0" w:color="auto"/>
              <w:right w:val="single" w:sz="4" w:space="0" w:color="auto"/>
            </w:tcBorders>
            <w:shd w:val="clear" w:color="auto" w:fill="auto"/>
          </w:tcPr>
          <w:p w:rsidR="00D06A2F" w:rsidRPr="00E8065F" w:rsidRDefault="00D06A2F" w:rsidP="00BA1432">
            <w:pPr>
              <w:jc w:val="center"/>
              <w:rPr>
                <w:color w:val="000000"/>
                <w:sz w:val="20"/>
                <w:szCs w:val="20"/>
              </w:rPr>
            </w:pPr>
            <w:r w:rsidRPr="00E8065F">
              <w:rPr>
                <w:color w:val="000000"/>
                <w:sz w:val="20"/>
                <w:szCs w:val="20"/>
              </w:rPr>
              <w:t>Колоноскоп</w:t>
            </w:r>
          </w:p>
        </w:tc>
        <w:tc>
          <w:tcPr>
            <w:tcW w:w="1181" w:type="dxa"/>
            <w:tcBorders>
              <w:top w:val="nil"/>
              <w:left w:val="single" w:sz="4" w:space="0" w:color="auto"/>
              <w:bottom w:val="single" w:sz="4" w:space="0" w:color="auto"/>
              <w:right w:val="single" w:sz="4" w:space="0" w:color="auto"/>
            </w:tcBorders>
            <w:shd w:val="clear" w:color="auto" w:fill="auto"/>
          </w:tcPr>
          <w:p w:rsidR="00D06A2F" w:rsidRPr="00E8065F" w:rsidRDefault="00D06A2F" w:rsidP="000546C2">
            <w:pPr>
              <w:jc w:val="center"/>
              <w:rPr>
                <w:color w:val="000000"/>
                <w:sz w:val="20"/>
                <w:szCs w:val="20"/>
              </w:rPr>
            </w:pPr>
            <w:r w:rsidRPr="00E8065F">
              <w:rPr>
                <w:color w:val="000000"/>
                <w:sz w:val="20"/>
                <w:szCs w:val="20"/>
              </w:rPr>
              <w:t>2018</w:t>
            </w:r>
            <w:r w:rsidR="003D79B3">
              <w:rPr>
                <w:color w:val="000000"/>
                <w:sz w:val="20"/>
                <w:szCs w:val="20"/>
              </w:rPr>
              <w:t xml:space="preserve"> </w:t>
            </w:r>
            <w:r w:rsidR="005D7240">
              <w:rPr>
                <w:color w:val="000000"/>
                <w:sz w:val="20"/>
                <w:szCs w:val="20"/>
              </w:rPr>
              <w:t>(1)</w:t>
            </w:r>
          </w:p>
          <w:p w:rsidR="00D06A2F" w:rsidRPr="00E8065F" w:rsidRDefault="00D06A2F" w:rsidP="000546C2">
            <w:pPr>
              <w:jc w:val="center"/>
              <w:rPr>
                <w:color w:val="000000"/>
                <w:sz w:val="20"/>
                <w:szCs w:val="20"/>
              </w:rPr>
            </w:pPr>
            <w:r w:rsidRPr="00E8065F">
              <w:rPr>
                <w:color w:val="000000"/>
                <w:sz w:val="20"/>
                <w:szCs w:val="20"/>
              </w:rPr>
              <w:t>2020</w:t>
            </w:r>
            <w:r w:rsidR="003D79B3">
              <w:rPr>
                <w:color w:val="000000"/>
                <w:sz w:val="20"/>
                <w:szCs w:val="20"/>
              </w:rPr>
              <w:t xml:space="preserve"> </w:t>
            </w:r>
            <w:r w:rsidR="005D7240">
              <w:rPr>
                <w:color w:val="000000"/>
                <w:sz w:val="20"/>
                <w:szCs w:val="20"/>
              </w:rPr>
              <w:t>(1)</w:t>
            </w:r>
          </w:p>
        </w:tc>
        <w:tc>
          <w:tcPr>
            <w:tcW w:w="1181" w:type="dxa"/>
            <w:tcBorders>
              <w:bottom w:val="single" w:sz="4" w:space="0" w:color="auto"/>
            </w:tcBorders>
            <w:shd w:val="clear" w:color="auto" w:fill="auto"/>
          </w:tcPr>
          <w:p w:rsidR="00D06A2F" w:rsidRPr="00E8065F" w:rsidRDefault="00D06A2F" w:rsidP="000546C2">
            <w:pPr>
              <w:jc w:val="center"/>
              <w:rPr>
                <w:color w:val="000000"/>
                <w:sz w:val="20"/>
                <w:szCs w:val="20"/>
              </w:rPr>
            </w:pPr>
            <w:r w:rsidRPr="00E8065F">
              <w:rPr>
                <w:color w:val="000000"/>
                <w:sz w:val="20"/>
                <w:szCs w:val="20"/>
              </w:rPr>
              <w:t>2</w:t>
            </w:r>
          </w:p>
        </w:tc>
        <w:tc>
          <w:tcPr>
            <w:tcW w:w="1478" w:type="dxa"/>
            <w:tcBorders>
              <w:top w:val="nil"/>
              <w:left w:val="single" w:sz="4" w:space="0" w:color="auto"/>
              <w:bottom w:val="single" w:sz="4" w:space="0" w:color="auto"/>
              <w:right w:val="single" w:sz="4" w:space="0" w:color="auto"/>
            </w:tcBorders>
            <w:shd w:val="clear" w:color="auto" w:fill="auto"/>
          </w:tcPr>
          <w:p w:rsidR="00D06A2F" w:rsidRPr="00E8065F" w:rsidRDefault="00D06A2F" w:rsidP="000546C2">
            <w:pPr>
              <w:jc w:val="center"/>
              <w:rPr>
                <w:color w:val="000000"/>
                <w:sz w:val="20"/>
                <w:szCs w:val="20"/>
              </w:rPr>
            </w:pPr>
            <w:r w:rsidRPr="00E8065F">
              <w:rPr>
                <w:color w:val="000000"/>
                <w:sz w:val="20"/>
                <w:szCs w:val="20"/>
              </w:rPr>
              <w:t>4,0</w:t>
            </w:r>
          </w:p>
        </w:tc>
        <w:tc>
          <w:tcPr>
            <w:tcW w:w="1111" w:type="dxa"/>
            <w:tcBorders>
              <w:top w:val="nil"/>
              <w:left w:val="single" w:sz="4" w:space="0" w:color="auto"/>
              <w:bottom w:val="single" w:sz="4" w:space="0" w:color="auto"/>
              <w:right w:val="single" w:sz="4" w:space="0" w:color="auto"/>
            </w:tcBorders>
            <w:shd w:val="clear" w:color="auto" w:fill="auto"/>
          </w:tcPr>
          <w:p w:rsidR="00D06A2F" w:rsidRPr="00E8065F" w:rsidRDefault="00D06A2F" w:rsidP="000546C2">
            <w:pPr>
              <w:jc w:val="center"/>
              <w:rPr>
                <w:color w:val="000000"/>
                <w:sz w:val="20"/>
                <w:szCs w:val="20"/>
              </w:rPr>
            </w:pPr>
            <w:r w:rsidRPr="00E8065F">
              <w:rPr>
                <w:color w:val="000000"/>
                <w:sz w:val="20"/>
                <w:szCs w:val="20"/>
              </w:rPr>
              <w:t>1</w:t>
            </w:r>
          </w:p>
        </w:tc>
        <w:tc>
          <w:tcPr>
            <w:tcW w:w="1944" w:type="dxa"/>
            <w:tcBorders>
              <w:top w:val="nil"/>
              <w:left w:val="single" w:sz="4" w:space="0" w:color="auto"/>
              <w:bottom w:val="single" w:sz="4" w:space="0" w:color="auto"/>
              <w:right w:val="single" w:sz="4" w:space="0" w:color="auto"/>
            </w:tcBorders>
            <w:shd w:val="clear" w:color="auto" w:fill="auto"/>
          </w:tcPr>
          <w:p w:rsidR="00D06A2F" w:rsidRPr="00E8065F" w:rsidRDefault="00D06A2F" w:rsidP="00BA1432">
            <w:pPr>
              <w:jc w:val="center"/>
              <w:rPr>
                <w:color w:val="000000"/>
                <w:sz w:val="20"/>
                <w:szCs w:val="20"/>
              </w:rPr>
            </w:pPr>
            <w:r w:rsidRPr="00E8065F">
              <w:rPr>
                <w:color w:val="000000"/>
                <w:sz w:val="20"/>
                <w:szCs w:val="20"/>
              </w:rPr>
              <w:t>Амбулаторное</w:t>
            </w:r>
          </w:p>
        </w:tc>
      </w:tr>
      <w:tr w:rsidR="00D06A2F" w:rsidRPr="00E8065F" w:rsidTr="00CD3A6F">
        <w:trPr>
          <w:trHeight w:val="20"/>
        </w:trPr>
        <w:tc>
          <w:tcPr>
            <w:tcW w:w="1555" w:type="dxa"/>
            <w:vMerge/>
            <w:tcBorders>
              <w:left w:val="single" w:sz="4" w:space="0" w:color="auto"/>
              <w:right w:val="single" w:sz="4" w:space="0" w:color="auto"/>
            </w:tcBorders>
          </w:tcPr>
          <w:p w:rsidR="00D06A2F" w:rsidRPr="00E8065F" w:rsidRDefault="00D06A2F" w:rsidP="00BA1432">
            <w:pPr>
              <w:rPr>
                <w:sz w:val="20"/>
                <w:szCs w:val="20"/>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D06A2F" w:rsidRPr="00E8065F" w:rsidRDefault="00D06A2F" w:rsidP="00DC0475">
            <w:pPr>
              <w:jc w:val="both"/>
              <w:rPr>
                <w:color w:val="000000"/>
                <w:sz w:val="20"/>
                <w:szCs w:val="20"/>
              </w:rPr>
            </w:pPr>
            <w:r w:rsidRPr="00E8065F">
              <w:rPr>
                <w:color w:val="000000"/>
                <w:sz w:val="20"/>
                <w:szCs w:val="20"/>
              </w:rPr>
              <w:t>ГАУ</w:t>
            </w:r>
            <w:r>
              <w:rPr>
                <w:color w:val="000000"/>
                <w:sz w:val="20"/>
                <w:szCs w:val="20"/>
              </w:rPr>
              <w:t>З «Городская поликлиника № 8» г.Казани</w:t>
            </w:r>
          </w:p>
        </w:tc>
        <w:tc>
          <w:tcPr>
            <w:tcW w:w="1994" w:type="dxa"/>
            <w:tcBorders>
              <w:top w:val="single" w:sz="4" w:space="0" w:color="auto"/>
              <w:left w:val="single" w:sz="4" w:space="0" w:color="auto"/>
              <w:bottom w:val="single" w:sz="4" w:space="0" w:color="auto"/>
              <w:right w:val="single" w:sz="4" w:space="0" w:color="auto"/>
            </w:tcBorders>
            <w:shd w:val="clear" w:color="auto" w:fill="auto"/>
          </w:tcPr>
          <w:p w:rsidR="00D06A2F" w:rsidRPr="00E8065F" w:rsidRDefault="00D06A2F" w:rsidP="00BA1432">
            <w:pPr>
              <w:jc w:val="center"/>
              <w:rPr>
                <w:color w:val="000000"/>
                <w:sz w:val="20"/>
                <w:szCs w:val="20"/>
              </w:rPr>
            </w:pPr>
            <w:r w:rsidRPr="00E8065F">
              <w:rPr>
                <w:color w:val="000000"/>
                <w:sz w:val="20"/>
                <w:szCs w:val="20"/>
              </w:rPr>
              <w:t>Колоноскоп</w:t>
            </w:r>
          </w:p>
        </w:tc>
        <w:tc>
          <w:tcPr>
            <w:tcW w:w="1181" w:type="dxa"/>
            <w:tcBorders>
              <w:top w:val="single" w:sz="4" w:space="0" w:color="auto"/>
              <w:left w:val="single" w:sz="4" w:space="0" w:color="auto"/>
              <w:bottom w:val="single" w:sz="4" w:space="0" w:color="auto"/>
              <w:right w:val="single" w:sz="4" w:space="0" w:color="auto"/>
            </w:tcBorders>
            <w:shd w:val="clear" w:color="auto" w:fill="auto"/>
          </w:tcPr>
          <w:p w:rsidR="00D06A2F" w:rsidRPr="00E8065F" w:rsidRDefault="00D06A2F" w:rsidP="000546C2">
            <w:pPr>
              <w:jc w:val="center"/>
              <w:rPr>
                <w:color w:val="000000"/>
                <w:sz w:val="20"/>
                <w:szCs w:val="20"/>
              </w:rPr>
            </w:pPr>
            <w:r w:rsidRPr="00E8065F">
              <w:rPr>
                <w:color w:val="000000"/>
                <w:sz w:val="20"/>
                <w:szCs w:val="20"/>
              </w:rPr>
              <w:t>2018</w:t>
            </w:r>
            <w:r w:rsidR="003D79B3">
              <w:rPr>
                <w:color w:val="000000"/>
                <w:sz w:val="20"/>
                <w:szCs w:val="20"/>
              </w:rPr>
              <w:t xml:space="preserve"> </w:t>
            </w:r>
            <w:r w:rsidR="005D7240">
              <w:rPr>
                <w:color w:val="000000"/>
                <w:sz w:val="20"/>
                <w:szCs w:val="20"/>
              </w:rPr>
              <w:t>(2)</w:t>
            </w:r>
          </w:p>
          <w:p w:rsidR="00D06A2F" w:rsidRPr="00E8065F" w:rsidRDefault="00D06A2F" w:rsidP="000546C2">
            <w:pPr>
              <w:jc w:val="center"/>
              <w:rPr>
                <w:color w:val="000000"/>
                <w:sz w:val="20"/>
                <w:szCs w:val="20"/>
              </w:rPr>
            </w:pPr>
            <w:r w:rsidRPr="00E8065F">
              <w:rPr>
                <w:color w:val="000000"/>
                <w:sz w:val="20"/>
                <w:szCs w:val="20"/>
              </w:rPr>
              <w:t>2019</w:t>
            </w:r>
            <w:r w:rsidR="003D79B3">
              <w:rPr>
                <w:color w:val="000000"/>
                <w:sz w:val="20"/>
                <w:szCs w:val="20"/>
              </w:rPr>
              <w:t xml:space="preserve"> </w:t>
            </w:r>
            <w:r w:rsidR="005D7240">
              <w:rPr>
                <w:color w:val="000000"/>
                <w:sz w:val="20"/>
                <w:szCs w:val="20"/>
              </w:rPr>
              <w:t>(1)</w:t>
            </w:r>
          </w:p>
        </w:tc>
        <w:tc>
          <w:tcPr>
            <w:tcW w:w="1181" w:type="dxa"/>
            <w:tcBorders>
              <w:top w:val="single" w:sz="4" w:space="0" w:color="auto"/>
              <w:left w:val="single" w:sz="4" w:space="0" w:color="auto"/>
              <w:bottom w:val="single" w:sz="4" w:space="0" w:color="auto"/>
              <w:right w:val="single" w:sz="4" w:space="0" w:color="auto"/>
            </w:tcBorders>
            <w:shd w:val="clear" w:color="auto" w:fill="auto"/>
          </w:tcPr>
          <w:p w:rsidR="00D06A2F" w:rsidRPr="00E8065F" w:rsidRDefault="00D06A2F" w:rsidP="000546C2">
            <w:pPr>
              <w:jc w:val="center"/>
              <w:rPr>
                <w:color w:val="000000"/>
                <w:sz w:val="20"/>
                <w:szCs w:val="20"/>
              </w:rPr>
            </w:pPr>
            <w:r w:rsidRPr="00E8065F">
              <w:rPr>
                <w:color w:val="000000"/>
                <w:sz w:val="20"/>
                <w:szCs w:val="20"/>
              </w:rPr>
              <w:t>3</w:t>
            </w:r>
          </w:p>
        </w:tc>
        <w:tc>
          <w:tcPr>
            <w:tcW w:w="1478" w:type="dxa"/>
            <w:tcBorders>
              <w:top w:val="single" w:sz="4" w:space="0" w:color="auto"/>
              <w:left w:val="single" w:sz="4" w:space="0" w:color="auto"/>
              <w:bottom w:val="single" w:sz="4" w:space="0" w:color="auto"/>
              <w:right w:val="single" w:sz="4" w:space="0" w:color="auto"/>
            </w:tcBorders>
            <w:shd w:val="clear" w:color="auto" w:fill="auto"/>
          </w:tcPr>
          <w:p w:rsidR="00D06A2F" w:rsidRPr="00E8065F" w:rsidRDefault="00D06A2F" w:rsidP="000546C2">
            <w:pPr>
              <w:jc w:val="center"/>
              <w:rPr>
                <w:color w:val="000000"/>
                <w:sz w:val="20"/>
                <w:szCs w:val="20"/>
              </w:rPr>
            </w:pPr>
            <w:r w:rsidRPr="00E8065F">
              <w:rPr>
                <w:color w:val="000000"/>
                <w:sz w:val="20"/>
                <w:szCs w:val="20"/>
              </w:rPr>
              <w:t>2,5</w:t>
            </w:r>
          </w:p>
        </w:tc>
        <w:tc>
          <w:tcPr>
            <w:tcW w:w="1111" w:type="dxa"/>
            <w:tcBorders>
              <w:top w:val="single" w:sz="4" w:space="0" w:color="auto"/>
              <w:left w:val="single" w:sz="4" w:space="0" w:color="auto"/>
              <w:bottom w:val="single" w:sz="4" w:space="0" w:color="auto"/>
              <w:right w:val="single" w:sz="4" w:space="0" w:color="auto"/>
            </w:tcBorders>
            <w:shd w:val="clear" w:color="auto" w:fill="auto"/>
          </w:tcPr>
          <w:p w:rsidR="00D06A2F" w:rsidRPr="00E8065F" w:rsidRDefault="00D06A2F" w:rsidP="000546C2">
            <w:pPr>
              <w:jc w:val="center"/>
              <w:rPr>
                <w:color w:val="000000"/>
                <w:sz w:val="20"/>
                <w:szCs w:val="20"/>
              </w:rPr>
            </w:pPr>
            <w:r w:rsidRPr="00E8065F">
              <w:rPr>
                <w:color w:val="000000"/>
                <w:sz w:val="20"/>
                <w:szCs w:val="20"/>
              </w:rPr>
              <w:t>1</w:t>
            </w:r>
          </w:p>
        </w:tc>
        <w:tc>
          <w:tcPr>
            <w:tcW w:w="1944" w:type="dxa"/>
            <w:tcBorders>
              <w:top w:val="single" w:sz="4" w:space="0" w:color="auto"/>
              <w:left w:val="single" w:sz="4" w:space="0" w:color="auto"/>
              <w:bottom w:val="single" w:sz="4" w:space="0" w:color="auto"/>
              <w:right w:val="single" w:sz="4" w:space="0" w:color="auto"/>
            </w:tcBorders>
            <w:shd w:val="clear" w:color="auto" w:fill="auto"/>
          </w:tcPr>
          <w:p w:rsidR="00D06A2F" w:rsidRPr="00E8065F" w:rsidRDefault="00D06A2F" w:rsidP="00BA1432">
            <w:pPr>
              <w:jc w:val="center"/>
              <w:rPr>
                <w:color w:val="000000"/>
                <w:sz w:val="20"/>
                <w:szCs w:val="20"/>
              </w:rPr>
            </w:pPr>
            <w:r w:rsidRPr="00E8065F">
              <w:rPr>
                <w:color w:val="000000"/>
                <w:sz w:val="20"/>
                <w:szCs w:val="20"/>
              </w:rPr>
              <w:t>Амбулаторное</w:t>
            </w:r>
          </w:p>
        </w:tc>
      </w:tr>
      <w:tr w:rsidR="00D06A2F" w:rsidRPr="00E8065F" w:rsidTr="00CD3A6F">
        <w:trPr>
          <w:trHeight w:val="20"/>
        </w:trPr>
        <w:tc>
          <w:tcPr>
            <w:tcW w:w="1555" w:type="dxa"/>
            <w:vMerge/>
            <w:tcBorders>
              <w:left w:val="single" w:sz="4" w:space="0" w:color="auto"/>
              <w:right w:val="single" w:sz="4" w:space="0" w:color="auto"/>
            </w:tcBorders>
          </w:tcPr>
          <w:p w:rsidR="00D06A2F" w:rsidRPr="00E8065F" w:rsidRDefault="00D06A2F" w:rsidP="00BA1432">
            <w:pPr>
              <w:rPr>
                <w:sz w:val="20"/>
                <w:szCs w:val="20"/>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D06A2F" w:rsidRPr="00E8065F" w:rsidRDefault="00D06A2F" w:rsidP="00DC0475">
            <w:pPr>
              <w:jc w:val="both"/>
              <w:rPr>
                <w:color w:val="000000"/>
                <w:sz w:val="20"/>
                <w:szCs w:val="20"/>
              </w:rPr>
            </w:pPr>
            <w:r w:rsidRPr="00E8065F">
              <w:rPr>
                <w:color w:val="000000"/>
                <w:sz w:val="20"/>
                <w:szCs w:val="20"/>
              </w:rPr>
              <w:t xml:space="preserve">ГАУЗ </w:t>
            </w:r>
            <w:r>
              <w:rPr>
                <w:color w:val="000000"/>
                <w:sz w:val="20"/>
                <w:szCs w:val="20"/>
              </w:rPr>
              <w:t>«</w:t>
            </w:r>
            <w:r w:rsidRPr="00E8065F">
              <w:rPr>
                <w:color w:val="000000"/>
                <w:sz w:val="20"/>
                <w:szCs w:val="20"/>
              </w:rPr>
              <w:t>Клиника медицинского университета</w:t>
            </w:r>
            <w:r>
              <w:rPr>
                <w:color w:val="000000"/>
                <w:sz w:val="20"/>
                <w:szCs w:val="20"/>
              </w:rPr>
              <w:t>» г.Казани</w:t>
            </w:r>
          </w:p>
        </w:tc>
        <w:tc>
          <w:tcPr>
            <w:tcW w:w="1994" w:type="dxa"/>
            <w:tcBorders>
              <w:top w:val="single" w:sz="4" w:space="0" w:color="auto"/>
              <w:left w:val="single" w:sz="4" w:space="0" w:color="auto"/>
              <w:bottom w:val="single" w:sz="4" w:space="0" w:color="auto"/>
              <w:right w:val="single" w:sz="4" w:space="0" w:color="auto"/>
            </w:tcBorders>
            <w:shd w:val="clear" w:color="auto" w:fill="auto"/>
          </w:tcPr>
          <w:p w:rsidR="00D06A2F" w:rsidRPr="00E8065F" w:rsidRDefault="00D06A2F" w:rsidP="00BA1432">
            <w:pPr>
              <w:jc w:val="center"/>
              <w:rPr>
                <w:color w:val="000000"/>
                <w:sz w:val="20"/>
                <w:szCs w:val="20"/>
              </w:rPr>
            </w:pPr>
            <w:r w:rsidRPr="00E8065F">
              <w:rPr>
                <w:color w:val="000000"/>
                <w:sz w:val="20"/>
                <w:szCs w:val="20"/>
              </w:rPr>
              <w:t>Колоноскоп</w:t>
            </w:r>
          </w:p>
        </w:tc>
        <w:tc>
          <w:tcPr>
            <w:tcW w:w="1181" w:type="dxa"/>
            <w:tcBorders>
              <w:top w:val="single" w:sz="4" w:space="0" w:color="auto"/>
              <w:left w:val="single" w:sz="4" w:space="0" w:color="auto"/>
              <w:bottom w:val="single" w:sz="4" w:space="0" w:color="auto"/>
              <w:right w:val="single" w:sz="4" w:space="0" w:color="auto"/>
            </w:tcBorders>
            <w:shd w:val="clear" w:color="auto" w:fill="auto"/>
          </w:tcPr>
          <w:p w:rsidR="00D06A2F" w:rsidRPr="00E8065F" w:rsidRDefault="00D06A2F" w:rsidP="000546C2">
            <w:pPr>
              <w:jc w:val="center"/>
              <w:rPr>
                <w:color w:val="000000"/>
                <w:sz w:val="20"/>
                <w:szCs w:val="20"/>
              </w:rPr>
            </w:pPr>
            <w:r w:rsidRPr="00E8065F">
              <w:rPr>
                <w:color w:val="000000"/>
                <w:sz w:val="20"/>
                <w:szCs w:val="20"/>
              </w:rPr>
              <w:t>2018</w:t>
            </w:r>
            <w:r w:rsidR="003D79B3">
              <w:rPr>
                <w:color w:val="000000"/>
                <w:sz w:val="20"/>
                <w:szCs w:val="20"/>
              </w:rPr>
              <w:t xml:space="preserve"> </w:t>
            </w:r>
            <w:r w:rsidR="005D7240">
              <w:rPr>
                <w:color w:val="000000"/>
                <w:sz w:val="20"/>
                <w:szCs w:val="20"/>
              </w:rPr>
              <w:t>(2)</w:t>
            </w:r>
          </w:p>
          <w:p w:rsidR="00D06A2F" w:rsidRPr="00E8065F" w:rsidRDefault="00D06A2F" w:rsidP="000546C2">
            <w:pPr>
              <w:jc w:val="center"/>
              <w:rPr>
                <w:color w:val="000000"/>
                <w:sz w:val="20"/>
                <w:szCs w:val="20"/>
              </w:rPr>
            </w:pPr>
            <w:r w:rsidRPr="00E8065F">
              <w:rPr>
                <w:color w:val="000000"/>
                <w:sz w:val="20"/>
                <w:szCs w:val="20"/>
              </w:rPr>
              <w:t>2019</w:t>
            </w:r>
            <w:r w:rsidR="003D79B3">
              <w:rPr>
                <w:color w:val="000000"/>
                <w:sz w:val="20"/>
                <w:szCs w:val="20"/>
              </w:rPr>
              <w:t xml:space="preserve"> </w:t>
            </w:r>
            <w:r w:rsidR="005D7240">
              <w:rPr>
                <w:color w:val="000000"/>
                <w:sz w:val="20"/>
                <w:szCs w:val="20"/>
              </w:rPr>
              <w:t>(1)</w:t>
            </w:r>
          </w:p>
        </w:tc>
        <w:tc>
          <w:tcPr>
            <w:tcW w:w="1181" w:type="dxa"/>
            <w:tcBorders>
              <w:top w:val="single" w:sz="4" w:space="0" w:color="auto"/>
            </w:tcBorders>
            <w:shd w:val="clear" w:color="auto" w:fill="auto"/>
          </w:tcPr>
          <w:p w:rsidR="00D06A2F" w:rsidRPr="00E8065F" w:rsidRDefault="00D06A2F" w:rsidP="000546C2">
            <w:pPr>
              <w:jc w:val="center"/>
              <w:rPr>
                <w:color w:val="000000"/>
                <w:sz w:val="20"/>
                <w:szCs w:val="20"/>
              </w:rPr>
            </w:pPr>
            <w:r w:rsidRPr="00E8065F">
              <w:rPr>
                <w:color w:val="000000"/>
                <w:sz w:val="20"/>
                <w:szCs w:val="20"/>
              </w:rPr>
              <w:t>3</w:t>
            </w:r>
          </w:p>
        </w:tc>
        <w:tc>
          <w:tcPr>
            <w:tcW w:w="1478" w:type="dxa"/>
            <w:tcBorders>
              <w:top w:val="single" w:sz="4" w:space="0" w:color="auto"/>
              <w:left w:val="single" w:sz="4" w:space="0" w:color="auto"/>
              <w:bottom w:val="single" w:sz="4" w:space="0" w:color="auto"/>
              <w:right w:val="single" w:sz="4" w:space="0" w:color="auto"/>
            </w:tcBorders>
            <w:shd w:val="clear" w:color="auto" w:fill="auto"/>
          </w:tcPr>
          <w:p w:rsidR="00D06A2F" w:rsidRPr="00E8065F" w:rsidRDefault="00D06A2F" w:rsidP="000546C2">
            <w:pPr>
              <w:jc w:val="center"/>
              <w:rPr>
                <w:color w:val="000000"/>
                <w:sz w:val="20"/>
                <w:szCs w:val="20"/>
              </w:rPr>
            </w:pPr>
            <w:r w:rsidRPr="00E8065F">
              <w:rPr>
                <w:color w:val="000000"/>
                <w:sz w:val="20"/>
                <w:szCs w:val="20"/>
              </w:rPr>
              <w:t>0,8</w:t>
            </w:r>
          </w:p>
        </w:tc>
        <w:tc>
          <w:tcPr>
            <w:tcW w:w="1111" w:type="dxa"/>
            <w:tcBorders>
              <w:top w:val="single" w:sz="4" w:space="0" w:color="auto"/>
              <w:left w:val="single" w:sz="4" w:space="0" w:color="auto"/>
              <w:bottom w:val="single" w:sz="4" w:space="0" w:color="auto"/>
              <w:right w:val="single" w:sz="4" w:space="0" w:color="auto"/>
            </w:tcBorders>
            <w:shd w:val="clear" w:color="auto" w:fill="auto"/>
          </w:tcPr>
          <w:p w:rsidR="00D06A2F" w:rsidRPr="00E8065F" w:rsidRDefault="00D06A2F" w:rsidP="000546C2">
            <w:pPr>
              <w:jc w:val="center"/>
              <w:rPr>
                <w:color w:val="000000"/>
                <w:sz w:val="20"/>
                <w:szCs w:val="20"/>
              </w:rPr>
            </w:pPr>
            <w:r w:rsidRPr="00E8065F">
              <w:rPr>
                <w:color w:val="000000"/>
                <w:sz w:val="20"/>
                <w:szCs w:val="20"/>
              </w:rPr>
              <w:t>2</w:t>
            </w:r>
          </w:p>
        </w:tc>
        <w:tc>
          <w:tcPr>
            <w:tcW w:w="1944" w:type="dxa"/>
            <w:tcBorders>
              <w:top w:val="single" w:sz="4" w:space="0" w:color="auto"/>
              <w:left w:val="single" w:sz="4" w:space="0" w:color="auto"/>
              <w:bottom w:val="single" w:sz="4" w:space="0" w:color="auto"/>
              <w:right w:val="single" w:sz="4" w:space="0" w:color="auto"/>
            </w:tcBorders>
            <w:shd w:val="clear" w:color="auto" w:fill="auto"/>
          </w:tcPr>
          <w:p w:rsidR="00D06A2F" w:rsidRPr="00E8065F" w:rsidRDefault="00D06A2F" w:rsidP="00BA1432">
            <w:pPr>
              <w:jc w:val="center"/>
              <w:rPr>
                <w:color w:val="000000"/>
                <w:sz w:val="20"/>
                <w:szCs w:val="20"/>
              </w:rPr>
            </w:pPr>
            <w:r w:rsidRPr="00E8065F">
              <w:rPr>
                <w:color w:val="000000"/>
                <w:sz w:val="20"/>
                <w:szCs w:val="20"/>
              </w:rPr>
              <w:t>Стационарное</w:t>
            </w:r>
          </w:p>
        </w:tc>
      </w:tr>
      <w:tr w:rsidR="00D06A2F" w:rsidRPr="00E8065F" w:rsidTr="00CD3A6F">
        <w:trPr>
          <w:trHeight w:val="20"/>
        </w:trPr>
        <w:tc>
          <w:tcPr>
            <w:tcW w:w="1555" w:type="dxa"/>
            <w:vMerge/>
            <w:tcBorders>
              <w:left w:val="single" w:sz="4" w:space="0" w:color="auto"/>
              <w:right w:val="single" w:sz="4" w:space="0" w:color="auto"/>
            </w:tcBorders>
          </w:tcPr>
          <w:p w:rsidR="00D06A2F" w:rsidRPr="00E8065F" w:rsidRDefault="00D06A2F" w:rsidP="00BA1432">
            <w:pPr>
              <w:rPr>
                <w:sz w:val="20"/>
                <w:szCs w:val="20"/>
              </w:rPr>
            </w:pPr>
          </w:p>
        </w:tc>
        <w:tc>
          <w:tcPr>
            <w:tcW w:w="3685" w:type="dxa"/>
            <w:tcBorders>
              <w:top w:val="nil"/>
              <w:left w:val="single" w:sz="4" w:space="0" w:color="auto"/>
              <w:bottom w:val="single" w:sz="4" w:space="0" w:color="auto"/>
              <w:right w:val="single" w:sz="4" w:space="0" w:color="auto"/>
            </w:tcBorders>
            <w:shd w:val="clear" w:color="auto" w:fill="auto"/>
          </w:tcPr>
          <w:p w:rsidR="00D06A2F" w:rsidRPr="00E8065F" w:rsidRDefault="00D06A2F" w:rsidP="005126B4">
            <w:pPr>
              <w:jc w:val="both"/>
              <w:rPr>
                <w:color w:val="000000"/>
                <w:sz w:val="20"/>
                <w:szCs w:val="20"/>
              </w:rPr>
            </w:pPr>
            <w:r>
              <w:rPr>
                <w:color w:val="000000"/>
                <w:sz w:val="20"/>
                <w:szCs w:val="20"/>
              </w:rPr>
              <w:t xml:space="preserve">ГАУЗ </w:t>
            </w:r>
            <w:r>
              <w:rPr>
                <w:rFonts w:eastAsia="Calibri"/>
                <w:sz w:val="20"/>
                <w:szCs w:val="20"/>
              </w:rPr>
              <w:t>Республики Татарстан «Больница скорой медицинской помощи</w:t>
            </w:r>
            <w:r w:rsidR="005126B4">
              <w:rPr>
                <w:rFonts w:eastAsia="Calibri"/>
                <w:sz w:val="20"/>
                <w:szCs w:val="20"/>
              </w:rPr>
              <w:t xml:space="preserve"> им. Р.С.Акчурина»</w:t>
            </w:r>
            <w:r>
              <w:rPr>
                <w:rFonts w:eastAsia="Calibri"/>
                <w:sz w:val="20"/>
                <w:szCs w:val="20"/>
              </w:rPr>
              <w:t xml:space="preserve"> </w:t>
            </w:r>
            <w:r>
              <w:rPr>
                <w:sz w:val="20"/>
                <w:szCs w:val="20"/>
              </w:rPr>
              <w:t>г.Набережные Челны</w:t>
            </w:r>
          </w:p>
        </w:tc>
        <w:tc>
          <w:tcPr>
            <w:tcW w:w="1994" w:type="dxa"/>
            <w:tcBorders>
              <w:top w:val="nil"/>
              <w:left w:val="single" w:sz="4" w:space="0" w:color="auto"/>
              <w:bottom w:val="single" w:sz="4" w:space="0" w:color="auto"/>
              <w:right w:val="single" w:sz="4" w:space="0" w:color="auto"/>
            </w:tcBorders>
            <w:shd w:val="clear" w:color="auto" w:fill="auto"/>
          </w:tcPr>
          <w:p w:rsidR="00D06A2F" w:rsidRPr="00E8065F" w:rsidRDefault="00D06A2F" w:rsidP="00BA1432">
            <w:pPr>
              <w:jc w:val="center"/>
              <w:rPr>
                <w:color w:val="000000"/>
                <w:sz w:val="20"/>
                <w:szCs w:val="20"/>
              </w:rPr>
            </w:pPr>
            <w:r w:rsidRPr="00E8065F">
              <w:rPr>
                <w:color w:val="000000"/>
                <w:sz w:val="20"/>
                <w:szCs w:val="20"/>
              </w:rPr>
              <w:t>Колоноскоп</w:t>
            </w:r>
          </w:p>
        </w:tc>
        <w:tc>
          <w:tcPr>
            <w:tcW w:w="1181" w:type="dxa"/>
            <w:tcBorders>
              <w:top w:val="nil"/>
              <w:left w:val="single" w:sz="4" w:space="0" w:color="auto"/>
              <w:bottom w:val="single" w:sz="4" w:space="0" w:color="auto"/>
              <w:right w:val="single" w:sz="4" w:space="0" w:color="auto"/>
            </w:tcBorders>
            <w:shd w:val="clear" w:color="auto" w:fill="auto"/>
          </w:tcPr>
          <w:p w:rsidR="00D06A2F" w:rsidRPr="00E8065F" w:rsidRDefault="00D06A2F" w:rsidP="000546C2">
            <w:pPr>
              <w:jc w:val="center"/>
              <w:rPr>
                <w:color w:val="000000"/>
                <w:sz w:val="20"/>
                <w:szCs w:val="20"/>
              </w:rPr>
            </w:pPr>
            <w:r w:rsidRPr="00E8065F">
              <w:rPr>
                <w:color w:val="000000"/>
                <w:sz w:val="20"/>
                <w:szCs w:val="20"/>
              </w:rPr>
              <w:t>2018</w:t>
            </w:r>
            <w:r w:rsidR="003D79B3">
              <w:rPr>
                <w:color w:val="000000"/>
                <w:sz w:val="20"/>
                <w:szCs w:val="20"/>
              </w:rPr>
              <w:t xml:space="preserve"> </w:t>
            </w:r>
            <w:r w:rsidR="005D7240">
              <w:rPr>
                <w:color w:val="000000"/>
                <w:sz w:val="20"/>
                <w:szCs w:val="20"/>
              </w:rPr>
              <w:t>(3)</w:t>
            </w:r>
          </w:p>
          <w:p w:rsidR="00D06A2F" w:rsidRPr="00E8065F" w:rsidRDefault="00D06A2F" w:rsidP="000546C2">
            <w:pPr>
              <w:jc w:val="center"/>
              <w:rPr>
                <w:color w:val="000000"/>
                <w:sz w:val="20"/>
                <w:szCs w:val="20"/>
              </w:rPr>
            </w:pPr>
            <w:r w:rsidRPr="00E8065F">
              <w:rPr>
                <w:color w:val="000000"/>
                <w:sz w:val="20"/>
                <w:szCs w:val="20"/>
              </w:rPr>
              <w:t>2022</w:t>
            </w:r>
            <w:r w:rsidR="003D79B3">
              <w:rPr>
                <w:color w:val="000000"/>
                <w:sz w:val="20"/>
                <w:szCs w:val="20"/>
              </w:rPr>
              <w:t xml:space="preserve"> </w:t>
            </w:r>
            <w:r w:rsidR="005D7240">
              <w:rPr>
                <w:color w:val="000000"/>
                <w:sz w:val="20"/>
                <w:szCs w:val="20"/>
              </w:rPr>
              <w:t>(3)</w:t>
            </w:r>
          </w:p>
          <w:p w:rsidR="00D06A2F" w:rsidRPr="00E8065F" w:rsidRDefault="00D06A2F" w:rsidP="000546C2">
            <w:pPr>
              <w:jc w:val="center"/>
              <w:rPr>
                <w:color w:val="000000"/>
                <w:sz w:val="20"/>
                <w:szCs w:val="20"/>
              </w:rPr>
            </w:pPr>
            <w:r w:rsidRPr="00E8065F">
              <w:rPr>
                <w:color w:val="000000"/>
                <w:sz w:val="20"/>
                <w:szCs w:val="20"/>
              </w:rPr>
              <w:t>2024</w:t>
            </w:r>
            <w:r w:rsidR="003D79B3">
              <w:rPr>
                <w:color w:val="000000"/>
                <w:sz w:val="20"/>
                <w:szCs w:val="20"/>
              </w:rPr>
              <w:t xml:space="preserve"> </w:t>
            </w:r>
            <w:r w:rsidR="005D7240">
              <w:rPr>
                <w:color w:val="000000"/>
                <w:sz w:val="20"/>
                <w:szCs w:val="20"/>
              </w:rPr>
              <w:t>(2)</w:t>
            </w:r>
          </w:p>
        </w:tc>
        <w:tc>
          <w:tcPr>
            <w:tcW w:w="1181" w:type="dxa"/>
            <w:shd w:val="clear" w:color="auto" w:fill="auto"/>
          </w:tcPr>
          <w:p w:rsidR="00D06A2F" w:rsidRPr="00E8065F" w:rsidRDefault="00D06A2F" w:rsidP="000546C2">
            <w:pPr>
              <w:jc w:val="center"/>
              <w:rPr>
                <w:color w:val="000000"/>
                <w:sz w:val="20"/>
                <w:szCs w:val="20"/>
              </w:rPr>
            </w:pPr>
            <w:r w:rsidRPr="00E8065F">
              <w:rPr>
                <w:color w:val="000000"/>
                <w:sz w:val="20"/>
                <w:szCs w:val="20"/>
              </w:rPr>
              <w:t>8</w:t>
            </w:r>
          </w:p>
        </w:tc>
        <w:tc>
          <w:tcPr>
            <w:tcW w:w="1478" w:type="dxa"/>
            <w:tcBorders>
              <w:top w:val="nil"/>
              <w:left w:val="single" w:sz="4" w:space="0" w:color="auto"/>
              <w:bottom w:val="single" w:sz="4" w:space="0" w:color="auto"/>
              <w:right w:val="single" w:sz="4" w:space="0" w:color="auto"/>
            </w:tcBorders>
            <w:shd w:val="clear" w:color="auto" w:fill="auto"/>
          </w:tcPr>
          <w:p w:rsidR="00D06A2F" w:rsidRPr="00E8065F" w:rsidRDefault="00D06A2F" w:rsidP="000546C2">
            <w:pPr>
              <w:jc w:val="center"/>
              <w:rPr>
                <w:color w:val="000000"/>
                <w:sz w:val="20"/>
                <w:szCs w:val="20"/>
              </w:rPr>
            </w:pPr>
            <w:r w:rsidRPr="00E8065F">
              <w:rPr>
                <w:color w:val="000000"/>
                <w:sz w:val="20"/>
                <w:szCs w:val="20"/>
              </w:rPr>
              <w:t>10,2</w:t>
            </w:r>
          </w:p>
        </w:tc>
        <w:tc>
          <w:tcPr>
            <w:tcW w:w="1111" w:type="dxa"/>
            <w:tcBorders>
              <w:top w:val="nil"/>
              <w:left w:val="single" w:sz="4" w:space="0" w:color="auto"/>
              <w:bottom w:val="single" w:sz="4" w:space="0" w:color="auto"/>
              <w:right w:val="single" w:sz="4" w:space="0" w:color="auto"/>
            </w:tcBorders>
            <w:shd w:val="clear" w:color="auto" w:fill="auto"/>
          </w:tcPr>
          <w:p w:rsidR="00D06A2F" w:rsidRPr="00E8065F" w:rsidRDefault="00D06A2F" w:rsidP="000546C2">
            <w:pPr>
              <w:jc w:val="center"/>
              <w:rPr>
                <w:color w:val="000000"/>
                <w:sz w:val="20"/>
                <w:szCs w:val="20"/>
              </w:rPr>
            </w:pPr>
            <w:r w:rsidRPr="00E8065F">
              <w:rPr>
                <w:color w:val="000000"/>
                <w:sz w:val="20"/>
                <w:szCs w:val="20"/>
              </w:rPr>
              <w:t>1</w:t>
            </w:r>
          </w:p>
        </w:tc>
        <w:tc>
          <w:tcPr>
            <w:tcW w:w="1944" w:type="dxa"/>
            <w:tcBorders>
              <w:top w:val="nil"/>
              <w:left w:val="single" w:sz="4" w:space="0" w:color="auto"/>
              <w:bottom w:val="single" w:sz="4" w:space="0" w:color="auto"/>
              <w:right w:val="single" w:sz="4" w:space="0" w:color="auto"/>
            </w:tcBorders>
            <w:shd w:val="clear" w:color="auto" w:fill="auto"/>
          </w:tcPr>
          <w:p w:rsidR="00D06A2F" w:rsidRPr="00E8065F" w:rsidRDefault="00D06A2F" w:rsidP="00BA1432">
            <w:pPr>
              <w:jc w:val="center"/>
              <w:rPr>
                <w:color w:val="000000"/>
                <w:sz w:val="20"/>
                <w:szCs w:val="20"/>
              </w:rPr>
            </w:pPr>
            <w:r w:rsidRPr="00E8065F">
              <w:rPr>
                <w:color w:val="000000"/>
                <w:sz w:val="20"/>
                <w:szCs w:val="20"/>
              </w:rPr>
              <w:t>Стационарное</w:t>
            </w:r>
          </w:p>
        </w:tc>
      </w:tr>
      <w:tr w:rsidR="00D06A2F" w:rsidRPr="00E8065F" w:rsidTr="00CD3A6F">
        <w:trPr>
          <w:trHeight w:val="20"/>
        </w:trPr>
        <w:tc>
          <w:tcPr>
            <w:tcW w:w="1555" w:type="dxa"/>
            <w:vMerge/>
            <w:tcBorders>
              <w:left w:val="single" w:sz="4" w:space="0" w:color="auto"/>
              <w:right w:val="single" w:sz="4" w:space="0" w:color="auto"/>
            </w:tcBorders>
          </w:tcPr>
          <w:p w:rsidR="00D06A2F" w:rsidRPr="00E8065F" w:rsidRDefault="00D06A2F" w:rsidP="00BA1432">
            <w:pPr>
              <w:rPr>
                <w:sz w:val="20"/>
                <w:szCs w:val="20"/>
              </w:rPr>
            </w:pPr>
          </w:p>
        </w:tc>
        <w:tc>
          <w:tcPr>
            <w:tcW w:w="3685" w:type="dxa"/>
            <w:tcBorders>
              <w:top w:val="nil"/>
              <w:left w:val="single" w:sz="4" w:space="0" w:color="auto"/>
              <w:bottom w:val="single" w:sz="4" w:space="0" w:color="auto"/>
              <w:right w:val="single" w:sz="4" w:space="0" w:color="auto"/>
            </w:tcBorders>
            <w:shd w:val="clear" w:color="auto" w:fill="auto"/>
          </w:tcPr>
          <w:p w:rsidR="00D06A2F" w:rsidRPr="00E8065F" w:rsidRDefault="00D06A2F" w:rsidP="00D5127A">
            <w:pPr>
              <w:jc w:val="both"/>
              <w:rPr>
                <w:color w:val="000000"/>
                <w:sz w:val="20"/>
                <w:szCs w:val="20"/>
              </w:rPr>
            </w:pPr>
            <w:r w:rsidRPr="00E8065F">
              <w:rPr>
                <w:color w:val="000000"/>
                <w:sz w:val="20"/>
                <w:szCs w:val="20"/>
              </w:rPr>
              <w:t xml:space="preserve">ГАУЗ </w:t>
            </w:r>
            <w:r>
              <w:rPr>
                <w:color w:val="000000"/>
                <w:sz w:val="20"/>
                <w:szCs w:val="20"/>
              </w:rPr>
              <w:t>«</w:t>
            </w:r>
            <w:r w:rsidRPr="00E8065F">
              <w:rPr>
                <w:color w:val="000000"/>
                <w:sz w:val="20"/>
                <w:szCs w:val="20"/>
              </w:rPr>
              <w:t>Госпиталь для ветеранов во</w:t>
            </w:r>
            <w:r>
              <w:rPr>
                <w:color w:val="000000"/>
                <w:sz w:val="20"/>
                <w:szCs w:val="20"/>
              </w:rPr>
              <w:t>й</w:t>
            </w:r>
            <w:r w:rsidRPr="00E8065F">
              <w:rPr>
                <w:color w:val="000000"/>
                <w:sz w:val="20"/>
                <w:szCs w:val="20"/>
              </w:rPr>
              <w:t>н</w:t>
            </w:r>
            <w:r>
              <w:rPr>
                <w:color w:val="000000"/>
                <w:sz w:val="20"/>
                <w:szCs w:val="20"/>
              </w:rPr>
              <w:t>» г.Казани</w:t>
            </w:r>
          </w:p>
        </w:tc>
        <w:tc>
          <w:tcPr>
            <w:tcW w:w="1994" w:type="dxa"/>
            <w:tcBorders>
              <w:top w:val="nil"/>
              <w:left w:val="single" w:sz="4" w:space="0" w:color="auto"/>
              <w:bottom w:val="single" w:sz="4" w:space="0" w:color="auto"/>
              <w:right w:val="single" w:sz="4" w:space="0" w:color="auto"/>
            </w:tcBorders>
            <w:shd w:val="clear" w:color="auto" w:fill="auto"/>
          </w:tcPr>
          <w:p w:rsidR="00D06A2F" w:rsidRPr="00E8065F" w:rsidRDefault="00D06A2F" w:rsidP="00BA1432">
            <w:pPr>
              <w:jc w:val="center"/>
              <w:rPr>
                <w:color w:val="000000"/>
                <w:sz w:val="20"/>
                <w:szCs w:val="20"/>
              </w:rPr>
            </w:pPr>
            <w:r w:rsidRPr="00E8065F">
              <w:rPr>
                <w:color w:val="000000"/>
                <w:sz w:val="20"/>
                <w:szCs w:val="20"/>
              </w:rPr>
              <w:t>Колоноскоп</w:t>
            </w:r>
          </w:p>
        </w:tc>
        <w:tc>
          <w:tcPr>
            <w:tcW w:w="1181" w:type="dxa"/>
            <w:tcBorders>
              <w:top w:val="nil"/>
              <w:left w:val="single" w:sz="4" w:space="0" w:color="auto"/>
              <w:bottom w:val="single" w:sz="4" w:space="0" w:color="auto"/>
              <w:right w:val="single" w:sz="4" w:space="0" w:color="auto"/>
            </w:tcBorders>
            <w:shd w:val="clear" w:color="auto" w:fill="auto"/>
          </w:tcPr>
          <w:p w:rsidR="00D06A2F" w:rsidRPr="00E8065F" w:rsidRDefault="00D06A2F" w:rsidP="000546C2">
            <w:pPr>
              <w:jc w:val="center"/>
              <w:rPr>
                <w:color w:val="000000"/>
                <w:sz w:val="20"/>
                <w:szCs w:val="20"/>
              </w:rPr>
            </w:pPr>
            <w:r w:rsidRPr="00E8065F">
              <w:rPr>
                <w:color w:val="000000"/>
                <w:sz w:val="20"/>
                <w:szCs w:val="20"/>
              </w:rPr>
              <w:t>2021</w:t>
            </w:r>
            <w:r w:rsidR="003D79B3">
              <w:rPr>
                <w:color w:val="000000"/>
                <w:sz w:val="20"/>
                <w:szCs w:val="20"/>
              </w:rPr>
              <w:t xml:space="preserve"> </w:t>
            </w:r>
            <w:r w:rsidR="005D7240">
              <w:rPr>
                <w:color w:val="000000"/>
                <w:sz w:val="20"/>
                <w:szCs w:val="20"/>
              </w:rPr>
              <w:t>(1)</w:t>
            </w:r>
          </w:p>
          <w:p w:rsidR="00D06A2F" w:rsidRPr="00E8065F" w:rsidRDefault="00D06A2F" w:rsidP="000546C2">
            <w:pPr>
              <w:jc w:val="center"/>
              <w:rPr>
                <w:color w:val="000000"/>
                <w:sz w:val="20"/>
                <w:szCs w:val="20"/>
              </w:rPr>
            </w:pPr>
            <w:r w:rsidRPr="00E8065F">
              <w:rPr>
                <w:color w:val="000000"/>
                <w:sz w:val="20"/>
                <w:szCs w:val="20"/>
              </w:rPr>
              <w:t>2022</w:t>
            </w:r>
            <w:r w:rsidR="003D79B3">
              <w:rPr>
                <w:color w:val="000000"/>
                <w:sz w:val="20"/>
                <w:szCs w:val="20"/>
              </w:rPr>
              <w:t xml:space="preserve"> </w:t>
            </w:r>
            <w:r w:rsidR="005D7240">
              <w:rPr>
                <w:color w:val="000000"/>
                <w:sz w:val="20"/>
                <w:szCs w:val="20"/>
              </w:rPr>
              <w:t>(3)</w:t>
            </w:r>
          </w:p>
        </w:tc>
        <w:tc>
          <w:tcPr>
            <w:tcW w:w="1181" w:type="dxa"/>
            <w:shd w:val="clear" w:color="auto" w:fill="auto"/>
          </w:tcPr>
          <w:p w:rsidR="00D06A2F" w:rsidRPr="00E8065F" w:rsidRDefault="00D06A2F" w:rsidP="000546C2">
            <w:pPr>
              <w:jc w:val="center"/>
              <w:rPr>
                <w:color w:val="000000"/>
                <w:sz w:val="20"/>
                <w:szCs w:val="20"/>
              </w:rPr>
            </w:pPr>
            <w:r w:rsidRPr="00E8065F">
              <w:rPr>
                <w:color w:val="000000"/>
                <w:sz w:val="20"/>
                <w:szCs w:val="20"/>
              </w:rPr>
              <w:t>4</w:t>
            </w:r>
          </w:p>
        </w:tc>
        <w:tc>
          <w:tcPr>
            <w:tcW w:w="1478" w:type="dxa"/>
            <w:tcBorders>
              <w:top w:val="nil"/>
              <w:left w:val="single" w:sz="4" w:space="0" w:color="auto"/>
              <w:bottom w:val="single" w:sz="4" w:space="0" w:color="auto"/>
              <w:right w:val="single" w:sz="4" w:space="0" w:color="auto"/>
            </w:tcBorders>
            <w:shd w:val="clear" w:color="auto" w:fill="auto"/>
          </w:tcPr>
          <w:p w:rsidR="00D06A2F" w:rsidRPr="00E8065F" w:rsidRDefault="00D06A2F" w:rsidP="000546C2">
            <w:pPr>
              <w:jc w:val="center"/>
              <w:rPr>
                <w:color w:val="000000"/>
                <w:sz w:val="20"/>
                <w:szCs w:val="20"/>
              </w:rPr>
            </w:pPr>
            <w:r w:rsidRPr="00E8065F">
              <w:rPr>
                <w:color w:val="000000"/>
                <w:sz w:val="20"/>
                <w:szCs w:val="20"/>
              </w:rPr>
              <w:t>4,0</w:t>
            </w:r>
          </w:p>
        </w:tc>
        <w:tc>
          <w:tcPr>
            <w:tcW w:w="1111" w:type="dxa"/>
            <w:tcBorders>
              <w:top w:val="nil"/>
              <w:left w:val="single" w:sz="4" w:space="0" w:color="auto"/>
              <w:bottom w:val="single" w:sz="4" w:space="0" w:color="auto"/>
              <w:right w:val="single" w:sz="4" w:space="0" w:color="auto"/>
            </w:tcBorders>
            <w:shd w:val="clear" w:color="auto" w:fill="auto"/>
          </w:tcPr>
          <w:p w:rsidR="00D06A2F" w:rsidRPr="00E8065F" w:rsidRDefault="00D06A2F" w:rsidP="000546C2">
            <w:pPr>
              <w:jc w:val="center"/>
              <w:rPr>
                <w:color w:val="000000"/>
                <w:sz w:val="20"/>
                <w:szCs w:val="20"/>
              </w:rPr>
            </w:pPr>
            <w:r w:rsidRPr="00E8065F">
              <w:rPr>
                <w:color w:val="000000"/>
                <w:sz w:val="20"/>
                <w:szCs w:val="20"/>
              </w:rPr>
              <w:t>1</w:t>
            </w:r>
          </w:p>
        </w:tc>
        <w:tc>
          <w:tcPr>
            <w:tcW w:w="1944" w:type="dxa"/>
            <w:tcBorders>
              <w:top w:val="nil"/>
              <w:left w:val="single" w:sz="4" w:space="0" w:color="auto"/>
              <w:bottom w:val="single" w:sz="4" w:space="0" w:color="auto"/>
              <w:right w:val="single" w:sz="4" w:space="0" w:color="auto"/>
            </w:tcBorders>
            <w:shd w:val="clear" w:color="auto" w:fill="auto"/>
          </w:tcPr>
          <w:p w:rsidR="00D06A2F" w:rsidRPr="00E8065F" w:rsidRDefault="00D06A2F" w:rsidP="00BA1432">
            <w:pPr>
              <w:jc w:val="center"/>
              <w:rPr>
                <w:color w:val="000000"/>
                <w:sz w:val="20"/>
                <w:szCs w:val="20"/>
              </w:rPr>
            </w:pPr>
            <w:r w:rsidRPr="00E8065F">
              <w:rPr>
                <w:color w:val="000000"/>
                <w:sz w:val="20"/>
                <w:szCs w:val="20"/>
              </w:rPr>
              <w:t>Амбулаторное/стационарное</w:t>
            </w:r>
          </w:p>
        </w:tc>
      </w:tr>
      <w:tr w:rsidR="00D06A2F" w:rsidRPr="00E8065F" w:rsidTr="00CD3A6F">
        <w:trPr>
          <w:trHeight w:val="20"/>
        </w:trPr>
        <w:tc>
          <w:tcPr>
            <w:tcW w:w="1555" w:type="dxa"/>
            <w:vMerge/>
            <w:tcBorders>
              <w:left w:val="single" w:sz="4" w:space="0" w:color="auto"/>
              <w:right w:val="single" w:sz="4" w:space="0" w:color="auto"/>
            </w:tcBorders>
          </w:tcPr>
          <w:p w:rsidR="00D06A2F" w:rsidRPr="00E8065F" w:rsidRDefault="00D06A2F" w:rsidP="00BA1432">
            <w:pPr>
              <w:rPr>
                <w:sz w:val="20"/>
                <w:szCs w:val="20"/>
              </w:rPr>
            </w:pPr>
          </w:p>
        </w:tc>
        <w:tc>
          <w:tcPr>
            <w:tcW w:w="3685" w:type="dxa"/>
            <w:tcBorders>
              <w:top w:val="nil"/>
              <w:left w:val="single" w:sz="4" w:space="0" w:color="auto"/>
              <w:bottom w:val="single" w:sz="4" w:space="0" w:color="auto"/>
              <w:right w:val="single" w:sz="4" w:space="0" w:color="auto"/>
            </w:tcBorders>
            <w:shd w:val="clear" w:color="auto" w:fill="auto"/>
          </w:tcPr>
          <w:p w:rsidR="00D06A2F" w:rsidRPr="00E8065F" w:rsidRDefault="00D06A2F" w:rsidP="00D5127A">
            <w:pPr>
              <w:jc w:val="both"/>
              <w:rPr>
                <w:color w:val="000000"/>
                <w:sz w:val="20"/>
                <w:szCs w:val="20"/>
              </w:rPr>
            </w:pPr>
            <w:r w:rsidRPr="00E8065F">
              <w:rPr>
                <w:color w:val="000000"/>
                <w:sz w:val="20"/>
                <w:szCs w:val="20"/>
              </w:rPr>
              <w:t xml:space="preserve">ГАУЗ </w:t>
            </w:r>
            <w:r>
              <w:rPr>
                <w:color w:val="000000"/>
                <w:sz w:val="20"/>
                <w:szCs w:val="20"/>
              </w:rPr>
              <w:t>«</w:t>
            </w:r>
            <w:r w:rsidRPr="00E8065F">
              <w:rPr>
                <w:color w:val="000000"/>
                <w:sz w:val="20"/>
                <w:szCs w:val="20"/>
              </w:rPr>
              <w:t xml:space="preserve">Госпиталь </w:t>
            </w:r>
            <w:r>
              <w:rPr>
                <w:color w:val="000000"/>
                <w:sz w:val="20"/>
                <w:szCs w:val="20"/>
              </w:rPr>
              <w:t>для ветеранов вой</w:t>
            </w:r>
            <w:r w:rsidRPr="00E8065F">
              <w:rPr>
                <w:color w:val="000000"/>
                <w:sz w:val="20"/>
                <w:szCs w:val="20"/>
              </w:rPr>
              <w:t>н</w:t>
            </w:r>
            <w:r>
              <w:rPr>
                <w:color w:val="000000"/>
                <w:sz w:val="20"/>
                <w:szCs w:val="20"/>
              </w:rPr>
              <w:t>»</w:t>
            </w:r>
            <w:r w:rsidRPr="00E8065F">
              <w:rPr>
                <w:color w:val="000000"/>
                <w:sz w:val="20"/>
                <w:szCs w:val="20"/>
              </w:rPr>
              <w:t xml:space="preserve"> г.Набережные Челны</w:t>
            </w:r>
          </w:p>
        </w:tc>
        <w:tc>
          <w:tcPr>
            <w:tcW w:w="1994" w:type="dxa"/>
            <w:tcBorders>
              <w:top w:val="nil"/>
              <w:left w:val="single" w:sz="4" w:space="0" w:color="auto"/>
              <w:bottom w:val="single" w:sz="4" w:space="0" w:color="auto"/>
              <w:right w:val="single" w:sz="4" w:space="0" w:color="auto"/>
            </w:tcBorders>
            <w:shd w:val="clear" w:color="auto" w:fill="auto"/>
          </w:tcPr>
          <w:p w:rsidR="00D06A2F" w:rsidRPr="00E8065F" w:rsidRDefault="00D06A2F" w:rsidP="00BA1432">
            <w:pPr>
              <w:jc w:val="center"/>
              <w:rPr>
                <w:color w:val="000000"/>
                <w:sz w:val="20"/>
                <w:szCs w:val="20"/>
              </w:rPr>
            </w:pPr>
            <w:r w:rsidRPr="00E8065F">
              <w:rPr>
                <w:color w:val="000000"/>
                <w:sz w:val="20"/>
                <w:szCs w:val="20"/>
              </w:rPr>
              <w:t>Колоноскоп</w:t>
            </w:r>
          </w:p>
        </w:tc>
        <w:tc>
          <w:tcPr>
            <w:tcW w:w="1181" w:type="dxa"/>
            <w:tcBorders>
              <w:top w:val="nil"/>
              <w:left w:val="single" w:sz="4" w:space="0" w:color="auto"/>
              <w:bottom w:val="single" w:sz="4" w:space="0" w:color="auto"/>
              <w:right w:val="single" w:sz="4" w:space="0" w:color="auto"/>
            </w:tcBorders>
            <w:shd w:val="clear" w:color="auto" w:fill="auto"/>
          </w:tcPr>
          <w:p w:rsidR="00D06A2F" w:rsidRPr="00E8065F" w:rsidRDefault="00D06A2F" w:rsidP="000546C2">
            <w:pPr>
              <w:jc w:val="center"/>
              <w:rPr>
                <w:color w:val="000000"/>
                <w:sz w:val="20"/>
                <w:szCs w:val="20"/>
              </w:rPr>
            </w:pPr>
            <w:r w:rsidRPr="00E8065F">
              <w:rPr>
                <w:color w:val="000000"/>
                <w:sz w:val="20"/>
                <w:szCs w:val="20"/>
              </w:rPr>
              <w:t>2022</w:t>
            </w:r>
            <w:r w:rsidR="003D79B3">
              <w:rPr>
                <w:color w:val="000000"/>
                <w:sz w:val="20"/>
                <w:szCs w:val="20"/>
              </w:rPr>
              <w:t xml:space="preserve"> </w:t>
            </w:r>
            <w:r w:rsidR="005D7240">
              <w:rPr>
                <w:color w:val="000000"/>
                <w:sz w:val="20"/>
                <w:szCs w:val="20"/>
              </w:rPr>
              <w:t>(2)</w:t>
            </w:r>
          </w:p>
        </w:tc>
        <w:tc>
          <w:tcPr>
            <w:tcW w:w="1181" w:type="dxa"/>
            <w:shd w:val="clear" w:color="auto" w:fill="auto"/>
          </w:tcPr>
          <w:p w:rsidR="00D06A2F" w:rsidRPr="00E8065F" w:rsidRDefault="00D06A2F" w:rsidP="000546C2">
            <w:pPr>
              <w:jc w:val="center"/>
              <w:rPr>
                <w:color w:val="000000"/>
                <w:sz w:val="20"/>
                <w:szCs w:val="20"/>
              </w:rPr>
            </w:pPr>
            <w:r w:rsidRPr="00E8065F">
              <w:rPr>
                <w:color w:val="000000"/>
                <w:sz w:val="20"/>
                <w:szCs w:val="20"/>
              </w:rPr>
              <w:t>2</w:t>
            </w:r>
          </w:p>
        </w:tc>
        <w:tc>
          <w:tcPr>
            <w:tcW w:w="1478" w:type="dxa"/>
            <w:tcBorders>
              <w:top w:val="nil"/>
              <w:left w:val="single" w:sz="4" w:space="0" w:color="auto"/>
              <w:bottom w:val="single" w:sz="4" w:space="0" w:color="auto"/>
              <w:right w:val="single" w:sz="4" w:space="0" w:color="auto"/>
            </w:tcBorders>
            <w:shd w:val="clear" w:color="auto" w:fill="auto"/>
          </w:tcPr>
          <w:p w:rsidR="00D06A2F" w:rsidRPr="00E8065F" w:rsidRDefault="00D06A2F" w:rsidP="000546C2">
            <w:pPr>
              <w:jc w:val="center"/>
              <w:rPr>
                <w:color w:val="000000"/>
                <w:sz w:val="20"/>
                <w:szCs w:val="20"/>
              </w:rPr>
            </w:pPr>
            <w:r w:rsidRPr="00E8065F">
              <w:rPr>
                <w:color w:val="000000"/>
                <w:sz w:val="20"/>
                <w:szCs w:val="20"/>
              </w:rPr>
              <w:t>0,4</w:t>
            </w:r>
          </w:p>
        </w:tc>
        <w:tc>
          <w:tcPr>
            <w:tcW w:w="1111" w:type="dxa"/>
            <w:tcBorders>
              <w:top w:val="nil"/>
              <w:left w:val="single" w:sz="4" w:space="0" w:color="auto"/>
              <w:bottom w:val="single" w:sz="4" w:space="0" w:color="auto"/>
              <w:right w:val="single" w:sz="4" w:space="0" w:color="auto"/>
            </w:tcBorders>
            <w:shd w:val="clear" w:color="auto" w:fill="auto"/>
          </w:tcPr>
          <w:p w:rsidR="00D06A2F" w:rsidRPr="00E8065F" w:rsidRDefault="00D06A2F" w:rsidP="000546C2">
            <w:pPr>
              <w:jc w:val="center"/>
              <w:rPr>
                <w:color w:val="000000"/>
                <w:sz w:val="20"/>
                <w:szCs w:val="20"/>
              </w:rPr>
            </w:pPr>
            <w:r w:rsidRPr="00E8065F">
              <w:rPr>
                <w:color w:val="000000"/>
                <w:sz w:val="20"/>
                <w:szCs w:val="20"/>
              </w:rPr>
              <w:t>2</w:t>
            </w:r>
          </w:p>
        </w:tc>
        <w:tc>
          <w:tcPr>
            <w:tcW w:w="1944" w:type="dxa"/>
            <w:tcBorders>
              <w:top w:val="nil"/>
              <w:left w:val="single" w:sz="4" w:space="0" w:color="auto"/>
              <w:bottom w:val="single" w:sz="4" w:space="0" w:color="auto"/>
              <w:right w:val="single" w:sz="4" w:space="0" w:color="auto"/>
            </w:tcBorders>
            <w:shd w:val="clear" w:color="auto" w:fill="auto"/>
          </w:tcPr>
          <w:p w:rsidR="00D06A2F" w:rsidRPr="00E8065F" w:rsidRDefault="00D06A2F" w:rsidP="00BA1432">
            <w:pPr>
              <w:jc w:val="center"/>
              <w:rPr>
                <w:color w:val="000000"/>
                <w:sz w:val="20"/>
                <w:szCs w:val="20"/>
              </w:rPr>
            </w:pPr>
            <w:r w:rsidRPr="00E8065F">
              <w:rPr>
                <w:color w:val="000000"/>
                <w:sz w:val="20"/>
                <w:szCs w:val="20"/>
              </w:rPr>
              <w:t>Амбулаторное</w:t>
            </w:r>
          </w:p>
        </w:tc>
      </w:tr>
      <w:tr w:rsidR="00D06A2F" w:rsidRPr="00E8065F" w:rsidTr="00CD3A6F">
        <w:trPr>
          <w:trHeight w:val="20"/>
        </w:trPr>
        <w:tc>
          <w:tcPr>
            <w:tcW w:w="1555" w:type="dxa"/>
            <w:vMerge/>
            <w:tcBorders>
              <w:left w:val="single" w:sz="4" w:space="0" w:color="auto"/>
              <w:right w:val="single" w:sz="4" w:space="0" w:color="auto"/>
            </w:tcBorders>
          </w:tcPr>
          <w:p w:rsidR="00D06A2F" w:rsidRPr="00E8065F" w:rsidRDefault="00D06A2F" w:rsidP="00BA1432">
            <w:pPr>
              <w:rPr>
                <w:sz w:val="20"/>
                <w:szCs w:val="20"/>
              </w:rPr>
            </w:pPr>
          </w:p>
        </w:tc>
        <w:tc>
          <w:tcPr>
            <w:tcW w:w="3685" w:type="dxa"/>
            <w:tcBorders>
              <w:top w:val="nil"/>
              <w:left w:val="single" w:sz="4" w:space="0" w:color="auto"/>
              <w:bottom w:val="single" w:sz="4" w:space="0" w:color="auto"/>
              <w:right w:val="single" w:sz="4" w:space="0" w:color="auto"/>
            </w:tcBorders>
            <w:shd w:val="clear" w:color="auto" w:fill="auto"/>
          </w:tcPr>
          <w:p w:rsidR="00D06A2F" w:rsidRPr="00E8065F" w:rsidRDefault="00D06A2F" w:rsidP="00DC0475">
            <w:pPr>
              <w:jc w:val="both"/>
              <w:rPr>
                <w:color w:val="000000"/>
                <w:sz w:val="20"/>
                <w:szCs w:val="20"/>
              </w:rPr>
            </w:pPr>
            <w:r>
              <w:rPr>
                <w:color w:val="000000"/>
                <w:sz w:val="20"/>
                <w:szCs w:val="20"/>
              </w:rPr>
              <w:t xml:space="preserve">ГАУЗ </w:t>
            </w:r>
            <w:r>
              <w:rPr>
                <w:rFonts w:eastAsia="Calibri"/>
                <w:sz w:val="20"/>
                <w:szCs w:val="20"/>
              </w:rPr>
              <w:t>«Детская республиканская клиническая больница Министерства здравоохранения Республики Татарстан»</w:t>
            </w:r>
          </w:p>
        </w:tc>
        <w:tc>
          <w:tcPr>
            <w:tcW w:w="1994" w:type="dxa"/>
            <w:tcBorders>
              <w:top w:val="nil"/>
              <w:left w:val="single" w:sz="4" w:space="0" w:color="auto"/>
              <w:bottom w:val="single" w:sz="4" w:space="0" w:color="auto"/>
              <w:right w:val="single" w:sz="4" w:space="0" w:color="auto"/>
            </w:tcBorders>
            <w:shd w:val="clear" w:color="auto" w:fill="auto"/>
          </w:tcPr>
          <w:p w:rsidR="00D06A2F" w:rsidRPr="00E8065F" w:rsidRDefault="00D06A2F" w:rsidP="00BA1432">
            <w:pPr>
              <w:jc w:val="center"/>
              <w:rPr>
                <w:color w:val="000000"/>
                <w:sz w:val="20"/>
                <w:szCs w:val="20"/>
              </w:rPr>
            </w:pPr>
            <w:r w:rsidRPr="00E8065F">
              <w:rPr>
                <w:color w:val="000000"/>
                <w:sz w:val="20"/>
                <w:szCs w:val="20"/>
              </w:rPr>
              <w:t>Колоноскоп</w:t>
            </w:r>
          </w:p>
        </w:tc>
        <w:tc>
          <w:tcPr>
            <w:tcW w:w="1181" w:type="dxa"/>
            <w:tcBorders>
              <w:top w:val="nil"/>
              <w:left w:val="single" w:sz="4" w:space="0" w:color="auto"/>
              <w:bottom w:val="single" w:sz="4" w:space="0" w:color="auto"/>
              <w:right w:val="single" w:sz="4" w:space="0" w:color="auto"/>
            </w:tcBorders>
            <w:shd w:val="clear" w:color="auto" w:fill="auto"/>
          </w:tcPr>
          <w:p w:rsidR="00D06A2F" w:rsidRPr="00E8065F" w:rsidRDefault="00D06A2F" w:rsidP="000546C2">
            <w:pPr>
              <w:jc w:val="center"/>
              <w:rPr>
                <w:color w:val="000000"/>
                <w:sz w:val="20"/>
                <w:szCs w:val="20"/>
              </w:rPr>
            </w:pPr>
            <w:r w:rsidRPr="00E8065F">
              <w:rPr>
                <w:color w:val="000000"/>
                <w:sz w:val="20"/>
                <w:szCs w:val="20"/>
              </w:rPr>
              <w:t>2015</w:t>
            </w:r>
            <w:r w:rsidR="003D79B3">
              <w:rPr>
                <w:color w:val="000000"/>
                <w:sz w:val="20"/>
                <w:szCs w:val="20"/>
              </w:rPr>
              <w:t xml:space="preserve"> </w:t>
            </w:r>
            <w:r w:rsidR="003744A6">
              <w:rPr>
                <w:color w:val="000000"/>
                <w:sz w:val="20"/>
                <w:szCs w:val="20"/>
              </w:rPr>
              <w:t>(1)</w:t>
            </w:r>
          </w:p>
          <w:p w:rsidR="00D06A2F" w:rsidRPr="00E8065F" w:rsidRDefault="00D06A2F" w:rsidP="000546C2">
            <w:pPr>
              <w:jc w:val="center"/>
              <w:rPr>
                <w:color w:val="000000"/>
                <w:sz w:val="20"/>
                <w:szCs w:val="20"/>
              </w:rPr>
            </w:pPr>
            <w:r w:rsidRPr="00E8065F">
              <w:rPr>
                <w:color w:val="000000"/>
                <w:sz w:val="20"/>
                <w:szCs w:val="20"/>
              </w:rPr>
              <w:t>2016</w:t>
            </w:r>
            <w:r w:rsidR="003D79B3">
              <w:rPr>
                <w:color w:val="000000"/>
                <w:sz w:val="20"/>
                <w:szCs w:val="20"/>
              </w:rPr>
              <w:t xml:space="preserve"> </w:t>
            </w:r>
            <w:r w:rsidR="003744A6">
              <w:rPr>
                <w:color w:val="000000"/>
                <w:sz w:val="20"/>
                <w:szCs w:val="20"/>
              </w:rPr>
              <w:t>(2)</w:t>
            </w:r>
          </w:p>
        </w:tc>
        <w:tc>
          <w:tcPr>
            <w:tcW w:w="1181" w:type="dxa"/>
            <w:shd w:val="clear" w:color="auto" w:fill="auto"/>
          </w:tcPr>
          <w:p w:rsidR="00D06A2F" w:rsidRPr="00E8065F" w:rsidRDefault="00D06A2F" w:rsidP="000546C2">
            <w:pPr>
              <w:jc w:val="center"/>
              <w:rPr>
                <w:color w:val="000000"/>
                <w:sz w:val="20"/>
                <w:szCs w:val="20"/>
              </w:rPr>
            </w:pPr>
            <w:r w:rsidRPr="00E8065F">
              <w:rPr>
                <w:color w:val="000000"/>
                <w:sz w:val="20"/>
                <w:szCs w:val="20"/>
              </w:rPr>
              <w:t>3</w:t>
            </w:r>
          </w:p>
        </w:tc>
        <w:tc>
          <w:tcPr>
            <w:tcW w:w="1478" w:type="dxa"/>
            <w:tcBorders>
              <w:top w:val="nil"/>
              <w:left w:val="single" w:sz="4" w:space="0" w:color="auto"/>
              <w:bottom w:val="single" w:sz="4" w:space="0" w:color="auto"/>
              <w:right w:val="single" w:sz="4" w:space="0" w:color="auto"/>
            </w:tcBorders>
            <w:shd w:val="clear" w:color="auto" w:fill="auto"/>
          </w:tcPr>
          <w:p w:rsidR="00D06A2F" w:rsidRPr="00E8065F" w:rsidRDefault="00D06A2F" w:rsidP="000546C2">
            <w:pPr>
              <w:jc w:val="center"/>
              <w:rPr>
                <w:color w:val="000000"/>
                <w:sz w:val="20"/>
                <w:szCs w:val="20"/>
              </w:rPr>
            </w:pPr>
            <w:r w:rsidRPr="00E8065F">
              <w:rPr>
                <w:color w:val="000000"/>
                <w:sz w:val="20"/>
                <w:szCs w:val="20"/>
              </w:rPr>
              <w:t>0,3</w:t>
            </w:r>
          </w:p>
        </w:tc>
        <w:tc>
          <w:tcPr>
            <w:tcW w:w="1111" w:type="dxa"/>
            <w:tcBorders>
              <w:top w:val="nil"/>
              <w:left w:val="single" w:sz="4" w:space="0" w:color="auto"/>
              <w:bottom w:val="single" w:sz="4" w:space="0" w:color="auto"/>
              <w:right w:val="single" w:sz="4" w:space="0" w:color="auto"/>
            </w:tcBorders>
            <w:shd w:val="clear" w:color="auto" w:fill="auto"/>
          </w:tcPr>
          <w:p w:rsidR="00D06A2F" w:rsidRPr="00E8065F" w:rsidRDefault="00D06A2F" w:rsidP="000546C2">
            <w:pPr>
              <w:jc w:val="center"/>
              <w:rPr>
                <w:color w:val="000000"/>
                <w:sz w:val="20"/>
                <w:szCs w:val="20"/>
              </w:rPr>
            </w:pPr>
            <w:r w:rsidRPr="00E8065F">
              <w:rPr>
                <w:color w:val="000000"/>
                <w:sz w:val="20"/>
                <w:szCs w:val="20"/>
              </w:rPr>
              <w:t>3</w:t>
            </w:r>
          </w:p>
        </w:tc>
        <w:tc>
          <w:tcPr>
            <w:tcW w:w="1944" w:type="dxa"/>
            <w:tcBorders>
              <w:top w:val="nil"/>
              <w:left w:val="single" w:sz="4" w:space="0" w:color="auto"/>
              <w:bottom w:val="single" w:sz="4" w:space="0" w:color="auto"/>
              <w:right w:val="single" w:sz="4" w:space="0" w:color="auto"/>
            </w:tcBorders>
            <w:shd w:val="clear" w:color="auto" w:fill="auto"/>
          </w:tcPr>
          <w:p w:rsidR="00D06A2F" w:rsidRPr="00E8065F" w:rsidRDefault="00D06A2F" w:rsidP="00BA1432">
            <w:pPr>
              <w:jc w:val="center"/>
              <w:rPr>
                <w:color w:val="000000"/>
                <w:sz w:val="20"/>
                <w:szCs w:val="20"/>
              </w:rPr>
            </w:pPr>
            <w:r w:rsidRPr="00E8065F">
              <w:rPr>
                <w:color w:val="000000"/>
                <w:sz w:val="20"/>
                <w:szCs w:val="20"/>
              </w:rPr>
              <w:t>Стационарное</w:t>
            </w:r>
          </w:p>
        </w:tc>
      </w:tr>
      <w:tr w:rsidR="00D06A2F" w:rsidRPr="00E8065F" w:rsidTr="00CD3A6F">
        <w:trPr>
          <w:trHeight w:val="20"/>
        </w:trPr>
        <w:tc>
          <w:tcPr>
            <w:tcW w:w="1555" w:type="dxa"/>
            <w:vMerge/>
            <w:tcBorders>
              <w:left w:val="single" w:sz="4" w:space="0" w:color="auto"/>
              <w:right w:val="single" w:sz="4" w:space="0" w:color="auto"/>
            </w:tcBorders>
          </w:tcPr>
          <w:p w:rsidR="00D06A2F" w:rsidRPr="00E8065F" w:rsidRDefault="00D06A2F" w:rsidP="00BA1432">
            <w:pPr>
              <w:rPr>
                <w:sz w:val="20"/>
                <w:szCs w:val="20"/>
              </w:rPr>
            </w:pPr>
          </w:p>
        </w:tc>
        <w:tc>
          <w:tcPr>
            <w:tcW w:w="3685" w:type="dxa"/>
            <w:tcBorders>
              <w:top w:val="nil"/>
              <w:left w:val="single" w:sz="4" w:space="0" w:color="auto"/>
              <w:bottom w:val="single" w:sz="4" w:space="0" w:color="auto"/>
              <w:right w:val="single" w:sz="4" w:space="0" w:color="auto"/>
            </w:tcBorders>
            <w:shd w:val="clear" w:color="auto" w:fill="auto"/>
          </w:tcPr>
          <w:p w:rsidR="00D06A2F" w:rsidRPr="00E8065F" w:rsidRDefault="00D06A2F" w:rsidP="00DC0475">
            <w:pPr>
              <w:jc w:val="both"/>
              <w:rPr>
                <w:color w:val="000000"/>
                <w:sz w:val="20"/>
                <w:szCs w:val="20"/>
              </w:rPr>
            </w:pPr>
            <w:r>
              <w:rPr>
                <w:color w:val="000000"/>
                <w:sz w:val="20"/>
                <w:szCs w:val="20"/>
              </w:rPr>
              <w:t xml:space="preserve">ГАУЗ </w:t>
            </w:r>
            <w:r>
              <w:rPr>
                <w:rFonts w:eastAsia="Calibri"/>
                <w:sz w:val="20"/>
                <w:szCs w:val="20"/>
              </w:rPr>
              <w:t>«Межрегиональный клинико-диагностический центр»</w:t>
            </w:r>
          </w:p>
        </w:tc>
        <w:tc>
          <w:tcPr>
            <w:tcW w:w="1994" w:type="dxa"/>
            <w:tcBorders>
              <w:top w:val="nil"/>
              <w:left w:val="single" w:sz="4" w:space="0" w:color="auto"/>
              <w:bottom w:val="single" w:sz="4" w:space="0" w:color="auto"/>
              <w:right w:val="single" w:sz="4" w:space="0" w:color="auto"/>
            </w:tcBorders>
            <w:shd w:val="clear" w:color="auto" w:fill="auto"/>
          </w:tcPr>
          <w:p w:rsidR="00D06A2F" w:rsidRPr="00E8065F" w:rsidRDefault="00D06A2F" w:rsidP="00BA1432">
            <w:pPr>
              <w:jc w:val="center"/>
              <w:rPr>
                <w:color w:val="000000"/>
                <w:sz w:val="20"/>
                <w:szCs w:val="20"/>
              </w:rPr>
            </w:pPr>
            <w:r w:rsidRPr="00E8065F">
              <w:rPr>
                <w:color w:val="000000"/>
                <w:sz w:val="20"/>
                <w:szCs w:val="20"/>
              </w:rPr>
              <w:t>Колоноскоп</w:t>
            </w:r>
          </w:p>
        </w:tc>
        <w:tc>
          <w:tcPr>
            <w:tcW w:w="1181" w:type="dxa"/>
            <w:tcBorders>
              <w:top w:val="nil"/>
              <w:left w:val="single" w:sz="4" w:space="0" w:color="auto"/>
              <w:bottom w:val="single" w:sz="4" w:space="0" w:color="auto"/>
              <w:right w:val="single" w:sz="4" w:space="0" w:color="auto"/>
            </w:tcBorders>
            <w:shd w:val="clear" w:color="auto" w:fill="auto"/>
          </w:tcPr>
          <w:p w:rsidR="00D06A2F" w:rsidRPr="00E8065F" w:rsidRDefault="00D06A2F" w:rsidP="000546C2">
            <w:pPr>
              <w:jc w:val="center"/>
              <w:rPr>
                <w:color w:val="000000"/>
                <w:sz w:val="20"/>
                <w:szCs w:val="20"/>
              </w:rPr>
            </w:pPr>
            <w:r w:rsidRPr="00E8065F">
              <w:rPr>
                <w:color w:val="000000"/>
                <w:sz w:val="20"/>
                <w:szCs w:val="20"/>
              </w:rPr>
              <w:t>2016</w:t>
            </w:r>
            <w:r w:rsidR="003D79B3">
              <w:rPr>
                <w:color w:val="000000"/>
                <w:sz w:val="20"/>
                <w:szCs w:val="20"/>
              </w:rPr>
              <w:t xml:space="preserve"> </w:t>
            </w:r>
            <w:r w:rsidR="003744A6">
              <w:rPr>
                <w:color w:val="000000"/>
                <w:sz w:val="20"/>
                <w:szCs w:val="20"/>
              </w:rPr>
              <w:t>(3)</w:t>
            </w:r>
          </w:p>
          <w:p w:rsidR="00D06A2F" w:rsidRPr="00E8065F" w:rsidRDefault="00D06A2F" w:rsidP="000546C2">
            <w:pPr>
              <w:jc w:val="center"/>
              <w:rPr>
                <w:color w:val="000000"/>
                <w:sz w:val="20"/>
                <w:szCs w:val="20"/>
              </w:rPr>
            </w:pPr>
            <w:r w:rsidRPr="00E8065F">
              <w:rPr>
                <w:color w:val="000000"/>
                <w:sz w:val="20"/>
                <w:szCs w:val="20"/>
              </w:rPr>
              <w:t>2017</w:t>
            </w:r>
            <w:r w:rsidR="003D79B3">
              <w:rPr>
                <w:color w:val="000000"/>
                <w:sz w:val="20"/>
                <w:szCs w:val="20"/>
              </w:rPr>
              <w:t xml:space="preserve"> </w:t>
            </w:r>
            <w:r w:rsidR="003744A6">
              <w:rPr>
                <w:color w:val="000000"/>
                <w:sz w:val="20"/>
                <w:szCs w:val="20"/>
              </w:rPr>
              <w:t>(3)</w:t>
            </w:r>
          </w:p>
        </w:tc>
        <w:tc>
          <w:tcPr>
            <w:tcW w:w="1181" w:type="dxa"/>
            <w:shd w:val="clear" w:color="auto" w:fill="auto"/>
          </w:tcPr>
          <w:p w:rsidR="00D06A2F" w:rsidRPr="00E8065F" w:rsidRDefault="00D06A2F" w:rsidP="000546C2">
            <w:pPr>
              <w:jc w:val="center"/>
              <w:rPr>
                <w:color w:val="000000"/>
                <w:sz w:val="20"/>
                <w:szCs w:val="20"/>
              </w:rPr>
            </w:pPr>
            <w:r w:rsidRPr="00E8065F">
              <w:rPr>
                <w:color w:val="000000"/>
                <w:sz w:val="20"/>
                <w:szCs w:val="20"/>
              </w:rPr>
              <w:t>6</w:t>
            </w:r>
          </w:p>
        </w:tc>
        <w:tc>
          <w:tcPr>
            <w:tcW w:w="1478" w:type="dxa"/>
            <w:tcBorders>
              <w:top w:val="nil"/>
              <w:left w:val="single" w:sz="4" w:space="0" w:color="auto"/>
              <w:bottom w:val="single" w:sz="4" w:space="0" w:color="auto"/>
              <w:right w:val="single" w:sz="4" w:space="0" w:color="auto"/>
            </w:tcBorders>
            <w:shd w:val="clear" w:color="auto" w:fill="auto"/>
          </w:tcPr>
          <w:p w:rsidR="00D06A2F" w:rsidRPr="00E8065F" w:rsidRDefault="00D06A2F" w:rsidP="000546C2">
            <w:pPr>
              <w:jc w:val="center"/>
              <w:rPr>
                <w:color w:val="000000"/>
                <w:sz w:val="20"/>
                <w:szCs w:val="20"/>
              </w:rPr>
            </w:pPr>
            <w:r w:rsidRPr="00E8065F">
              <w:rPr>
                <w:color w:val="000000"/>
                <w:sz w:val="20"/>
                <w:szCs w:val="20"/>
              </w:rPr>
              <w:t>13,9</w:t>
            </w:r>
          </w:p>
        </w:tc>
        <w:tc>
          <w:tcPr>
            <w:tcW w:w="1111" w:type="dxa"/>
            <w:tcBorders>
              <w:top w:val="nil"/>
              <w:left w:val="single" w:sz="4" w:space="0" w:color="auto"/>
              <w:bottom w:val="single" w:sz="4" w:space="0" w:color="auto"/>
              <w:right w:val="single" w:sz="4" w:space="0" w:color="auto"/>
            </w:tcBorders>
            <w:shd w:val="clear" w:color="auto" w:fill="auto"/>
          </w:tcPr>
          <w:p w:rsidR="00D06A2F" w:rsidRPr="00E8065F" w:rsidRDefault="00D06A2F" w:rsidP="000546C2">
            <w:pPr>
              <w:jc w:val="center"/>
              <w:rPr>
                <w:color w:val="000000"/>
                <w:sz w:val="20"/>
                <w:szCs w:val="20"/>
              </w:rPr>
            </w:pPr>
            <w:r w:rsidRPr="00E8065F">
              <w:rPr>
                <w:color w:val="000000"/>
                <w:sz w:val="20"/>
                <w:szCs w:val="20"/>
              </w:rPr>
              <w:t>1</w:t>
            </w:r>
          </w:p>
        </w:tc>
        <w:tc>
          <w:tcPr>
            <w:tcW w:w="1944" w:type="dxa"/>
            <w:tcBorders>
              <w:top w:val="nil"/>
              <w:left w:val="single" w:sz="4" w:space="0" w:color="auto"/>
              <w:bottom w:val="single" w:sz="4" w:space="0" w:color="auto"/>
              <w:right w:val="single" w:sz="4" w:space="0" w:color="auto"/>
            </w:tcBorders>
            <w:shd w:val="clear" w:color="auto" w:fill="auto"/>
          </w:tcPr>
          <w:p w:rsidR="00D06A2F" w:rsidRPr="00E8065F" w:rsidRDefault="00D06A2F" w:rsidP="00BA1432">
            <w:pPr>
              <w:jc w:val="center"/>
              <w:rPr>
                <w:color w:val="000000"/>
                <w:sz w:val="20"/>
                <w:szCs w:val="20"/>
              </w:rPr>
            </w:pPr>
            <w:r w:rsidRPr="00E8065F">
              <w:rPr>
                <w:color w:val="000000"/>
                <w:sz w:val="20"/>
                <w:szCs w:val="20"/>
              </w:rPr>
              <w:t>Стационарное</w:t>
            </w:r>
          </w:p>
        </w:tc>
      </w:tr>
      <w:tr w:rsidR="00D06A2F" w:rsidRPr="00E8065F" w:rsidTr="00CD3A6F">
        <w:trPr>
          <w:trHeight w:val="20"/>
        </w:trPr>
        <w:tc>
          <w:tcPr>
            <w:tcW w:w="1555" w:type="dxa"/>
            <w:vMerge/>
            <w:tcBorders>
              <w:left w:val="single" w:sz="4" w:space="0" w:color="auto"/>
              <w:right w:val="single" w:sz="4" w:space="0" w:color="auto"/>
            </w:tcBorders>
          </w:tcPr>
          <w:p w:rsidR="00D06A2F" w:rsidRPr="00E8065F" w:rsidRDefault="00D06A2F" w:rsidP="00BA1432">
            <w:pPr>
              <w:rPr>
                <w:sz w:val="20"/>
                <w:szCs w:val="20"/>
              </w:rPr>
            </w:pPr>
          </w:p>
        </w:tc>
        <w:tc>
          <w:tcPr>
            <w:tcW w:w="3685" w:type="dxa"/>
            <w:tcBorders>
              <w:top w:val="nil"/>
              <w:left w:val="single" w:sz="4" w:space="0" w:color="auto"/>
              <w:bottom w:val="single" w:sz="4" w:space="0" w:color="auto"/>
              <w:right w:val="single" w:sz="4" w:space="0" w:color="auto"/>
            </w:tcBorders>
            <w:shd w:val="clear" w:color="auto" w:fill="auto"/>
          </w:tcPr>
          <w:p w:rsidR="00D06A2F" w:rsidRPr="00E8065F" w:rsidRDefault="00D06A2F" w:rsidP="00DC0475">
            <w:pPr>
              <w:jc w:val="both"/>
              <w:rPr>
                <w:color w:val="000000"/>
                <w:sz w:val="20"/>
                <w:szCs w:val="20"/>
              </w:rPr>
            </w:pPr>
            <w:r>
              <w:rPr>
                <w:color w:val="000000"/>
                <w:sz w:val="20"/>
                <w:szCs w:val="20"/>
              </w:rPr>
              <w:t xml:space="preserve">ГАУЗ </w:t>
            </w:r>
            <w:r>
              <w:rPr>
                <w:rFonts w:eastAsia="Calibri"/>
                <w:sz w:val="20"/>
                <w:szCs w:val="20"/>
              </w:rPr>
              <w:t>«Республиканская клиническая больница Министерства здравоохранения Республики Татарстан»</w:t>
            </w:r>
          </w:p>
        </w:tc>
        <w:tc>
          <w:tcPr>
            <w:tcW w:w="1994" w:type="dxa"/>
            <w:tcBorders>
              <w:top w:val="nil"/>
              <w:left w:val="single" w:sz="4" w:space="0" w:color="auto"/>
              <w:bottom w:val="single" w:sz="4" w:space="0" w:color="auto"/>
              <w:right w:val="single" w:sz="4" w:space="0" w:color="auto"/>
            </w:tcBorders>
            <w:shd w:val="clear" w:color="auto" w:fill="auto"/>
          </w:tcPr>
          <w:p w:rsidR="00D06A2F" w:rsidRPr="00E8065F" w:rsidRDefault="00D06A2F" w:rsidP="00BA1432">
            <w:pPr>
              <w:jc w:val="center"/>
              <w:rPr>
                <w:color w:val="000000"/>
                <w:sz w:val="20"/>
                <w:szCs w:val="20"/>
              </w:rPr>
            </w:pPr>
            <w:r w:rsidRPr="00E8065F">
              <w:rPr>
                <w:color w:val="000000"/>
                <w:sz w:val="20"/>
                <w:szCs w:val="20"/>
              </w:rPr>
              <w:t>Колоноскоп</w:t>
            </w:r>
          </w:p>
        </w:tc>
        <w:tc>
          <w:tcPr>
            <w:tcW w:w="1181" w:type="dxa"/>
            <w:tcBorders>
              <w:top w:val="nil"/>
              <w:left w:val="single" w:sz="4" w:space="0" w:color="auto"/>
              <w:bottom w:val="single" w:sz="4" w:space="0" w:color="auto"/>
              <w:right w:val="single" w:sz="4" w:space="0" w:color="auto"/>
            </w:tcBorders>
            <w:shd w:val="clear" w:color="auto" w:fill="auto"/>
          </w:tcPr>
          <w:p w:rsidR="00D06A2F" w:rsidRPr="00E8065F" w:rsidRDefault="00D06A2F" w:rsidP="000546C2">
            <w:pPr>
              <w:jc w:val="center"/>
              <w:rPr>
                <w:color w:val="000000"/>
                <w:sz w:val="20"/>
                <w:szCs w:val="20"/>
              </w:rPr>
            </w:pPr>
            <w:r w:rsidRPr="00E8065F">
              <w:rPr>
                <w:color w:val="000000"/>
                <w:sz w:val="20"/>
                <w:szCs w:val="20"/>
              </w:rPr>
              <w:t>2020</w:t>
            </w:r>
            <w:r w:rsidR="003D79B3">
              <w:rPr>
                <w:color w:val="000000"/>
                <w:sz w:val="20"/>
                <w:szCs w:val="20"/>
              </w:rPr>
              <w:t xml:space="preserve"> </w:t>
            </w:r>
            <w:r w:rsidR="003744A6">
              <w:rPr>
                <w:color w:val="000000"/>
                <w:sz w:val="20"/>
                <w:szCs w:val="20"/>
              </w:rPr>
              <w:t>(2)</w:t>
            </w:r>
          </w:p>
          <w:p w:rsidR="00D06A2F" w:rsidRPr="00E8065F" w:rsidRDefault="00D06A2F" w:rsidP="000546C2">
            <w:pPr>
              <w:jc w:val="center"/>
              <w:rPr>
                <w:color w:val="000000"/>
                <w:sz w:val="20"/>
                <w:szCs w:val="20"/>
              </w:rPr>
            </w:pPr>
            <w:r w:rsidRPr="00E8065F">
              <w:rPr>
                <w:color w:val="000000"/>
                <w:sz w:val="20"/>
                <w:szCs w:val="20"/>
              </w:rPr>
              <w:t>2021</w:t>
            </w:r>
            <w:r w:rsidR="003D79B3">
              <w:rPr>
                <w:color w:val="000000"/>
                <w:sz w:val="20"/>
                <w:szCs w:val="20"/>
              </w:rPr>
              <w:t xml:space="preserve"> </w:t>
            </w:r>
            <w:r w:rsidR="003744A6">
              <w:rPr>
                <w:color w:val="000000"/>
                <w:sz w:val="20"/>
                <w:szCs w:val="20"/>
              </w:rPr>
              <w:t>(1)</w:t>
            </w:r>
          </w:p>
          <w:p w:rsidR="00D06A2F" w:rsidRPr="00E8065F" w:rsidRDefault="00D06A2F" w:rsidP="000546C2">
            <w:pPr>
              <w:jc w:val="center"/>
              <w:rPr>
                <w:color w:val="000000"/>
                <w:sz w:val="20"/>
                <w:szCs w:val="20"/>
              </w:rPr>
            </w:pPr>
            <w:r w:rsidRPr="00E8065F">
              <w:rPr>
                <w:color w:val="000000"/>
                <w:sz w:val="20"/>
                <w:szCs w:val="20"/>
              </w:rPr>
              <w:t>2022</w:t>
            </w:r>
            <w:r w:rsidR="003D79B3">
              <w:rPr>
                <w:color w:val="000000"/>
                <w:sz w:val="20"/>
                <w:szCs w:val="20"/>
              </w:rPr>
              <w:t xml:space="preserve"> </w:t>
            </w:r>
            <w:r w:rsidR="003744A6">
              <w:rPr>
                <w:color w:val="000000"/>
                <w:sz w:val="20"/>
                <w:szCs w:val="20"/>
              </w:rPr>
              <w:t>(2)</w:t>
            </w:r>
          </w:p>
        </w:tc>
        <w:tc>
          <w:tcPr>
            <w:tcW w:w="1181" w:type="dxa"/>
            <w:shd w:val="clear" w:color="auto" w:fill="auto"/>
          </w:tcPr>
          <w:p w:rsidR="00D06A2F" w:rsidRPr="00E8065F" w:rsidRDefault="00D06A2F" w:rsidP="000546C2">
            <w:pPr>
              <w:jc w:val="center"/>
              <w:rPr>
                <w:color w:val="000000"/>
                <w:sz w:val="20"/>
                <w:szCs w:val="20"/>
              </w:rPr>
            </w:pPr>
            <w:r w:rsidRPr="00E8065F">
              <w:rPr>
                <w:color w:val="000000"/>
                <w:sz w:val="20"/>
                <w:szCs w:val="20"/>
              </w:rPr>
              <w:t>5</w:t>
            </w:r>
          </w:p>
        </w:tc>
        <w:tc>
          <w:tcPr>
            <w:tcW w:w="1478" w:type="dxa"/>
            <w:tcBorders>
              <w:top w:val="nil"/>
              <w:left w:val="single" w:sz="4" w:space="0" w:color="auto"/>
              <w:bottom w:val="single" w:sz="4" w:space="0" w:color="auto"/>
              <w:right w:val="single" w:sz="4" w:space="0" w:color="auto"/>
            </w:tcBorders>
            <w:shd w:val="clear" w:color="auto" w:fill="auto"/>
          </w:tcPr>
          <w:p w:rsidR="00D06A2F" w:rsidRPr="00E8065F" w:rsidRDefault="00D06A2F" w:rsidP="000546C2">
            <w:pPr>
              <w:jc w:val="center"/>
              <w:rPr>
                <w:color w:val="000000"/>
                <w:sz w:val="20"/>
                <w:szCs w:val="20"/>
              </w:rPr>
            </w:pPr>
            <w:r w:rsidRPr="00E8065F">
              <w:rPr>
                <w:color w:val="000000"/>
                <w:sz w:val="20"/>
                <w:szCs w:val="20"/>
              </w:rPr>
              <w:t>16,5</w:t>
            </w:r>
          </w:p>
        </w:tc>
        <w:tc>
          <w:tcPr>
            <w:tcW w:w="1111" w:type="dxa"/>
            <w:tcBorders>
              <w:top w:val="nil"/>
              <w:left w:val="single" w:sz="4" w:space="0" w:color="auto"/>
              <w:bottom w:val="single" w:sz="4" w:space="0" w:color="auto"/>
              <w:right w:val="single" w:sz="4" w:space="0" w:color="auto"/>
            </w:tcBorders>
            <w:shd w:val="clear" w:color="auto" w:fill="auto"/>
          </w:tcPr>
          <w:p w:rsidR="00D06A2F" w:rsidRPr="00E8065F" w:rsidRDefault="00D06A2F" w:rsidP="000546C2">
            <w:pPr>
              <w:jc w:val="center"/>
              <w:rPr>
                <w:color w:val="000000"/>
                <w:sz w:val="20"/>
                <w:szCs w:val="20"/>
              </w:rPr>
            </w:pPr>
            <w:r w:rsidRPr="00E8065F">
              <w:rPr>
                <w:color w:val="000000"/>
                <w:sz w:val="20"/>
                <w:szCs w:val="20"/>
              </w:rPr>
              <w:t>1</w:t>
            </w:r>
          </w:p>
        </w:tc>
        <w:tc>
          <w:tcPr>
            <w:tcW w:w="1944" w:type="dxa"/>
            <w:tcBorders>
              <w:top w:val="nil"/>
              <w:left w:val="single" w:sz="4" w:space="0" w:color="auto"/>
              <w:bottom w:val="single" w:sz="4" w:space="0" w:color="auto"/>
              <w:right w:val="single" w:sz="4" w:space="0" w:color="auto"/>
            </w:tcBorders>
            <w:shd w:val="clear" w:color="auto" w:fill="auto"/>
          </w:tcPr>
          <w:p w:rsidR="00D06A2F" w:rsidRPr="00E8065F" w:rsidRDefault="00D06A2F" w:rsidP="00BA1432">
            <w:pPr>
              <w:jc w:val="center"/>
              <w:rPr>
                <w:color w:val="000000"/>
                <w:sz w:val="20"/>
                <w:szCs w:val="20"/>
              </w:rPr>
            </w:pPr>
            <w:r w:rsidRPr="00E8065F">
              <w:rPr>
                <w:color w:val="000000"/>
                <w:sz w:val="20"/>
                <w:szCs w:val="20"/>
              </w:rPr>
              <w:t>Амбулаторное/стационарное</w:t>
            </w:r>
          </w:p>
        </w:tc>
      </w:tr>
      <w:tr w:rsidR="00D06A2F" w:rsidRPr="00E8065F" w:rsidTr="00CD3A6F">
        <w:trPr>
          <w:trHeight w:val="20"/>
        </w:trPr>
        <w:tc>
          <w:tcPr>
            <w:tcW w:w="1555" w:type="dxa"/>
            <w:vMerge/>
            <w:tcBorders>
              <w:left w:val="single" w:sz="4" w:space="0" w:color="auto"/>
              <w:bottom w:val="single" w:sz="4" w:space="0" w:color="auto"/>
              <w:right w:val="single" w:sz="4" w:space="0" w:color="auto"/>
            </w:tcBorders>
          </w:tcPr>
          <w:p w:rsidR="00D06A2F" w:rsidRPr="00E8065F" w:rsidRDefault="00D06A2F" w:rsidP="00BA1432">
            <w:pPr>
              <w:rPr>
                <w:sz w:val="20"/>
                <w:szCs w:val="20"/>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D06A2F" w:rsidRPr="00E8065F" w:rsidRDefault="00D06A2F" w:rsidP="00D5127A">
            <w:pPr>
              <w:jc w:val="both"/>
              <w:rPr>
                <w:color w:val="000000"/>
                <w:sz w:val="20"/>
                <w:szCs w:val="20"/>
              </w:rPr>
            </w:pPr>
            <w:r w:rsidRPr="00E8065F">
              <w:rPr>
                <w:color w:val="000000"/>
                <w:sz w:val="20"/>
                <w:szCs w:val="20"/>
              </w:rPr>
              <w:t xml:space="preserve">ГАУЗ </w:t>
            </w:r>
            <w:r>
              <w:rPr>
                <w:color w:val="000000"/>
                <w:sz w:val="20"/>
                <w:szCs w:val="20"/>
              </w:rPr>
              <w:t>«</w:t>
            </w:r>
            <w:r w:rsidRPr="00E8065F">
              <w:rPr>
                <w:color w:val="000000"/>
                <w:sz w:val="20"/>
                <w:szCs w:val="20"/>
              </w:rPr>
              <w:t>РКОД МЗ РТ им.проф.М.З.Сигала</w:t>
            </w:r>
            <w:r>
              <w:rPr>
                <w:color w:val="000000"/>
                <w:sz w:val="20"/>
                <w:szCs w:val="20"/>
              </w:rPr>
              <w:t>»</w:t>
            </w:r>
          </w:p>
        </w:tc>
        <w:tc>
          <w:tcPr>
            <w:tcW w:w="1994" w:type="dxa"/>
            <w:tcBorders>
              <w:top w:val="single" w:sz="4" w:space="0" w:color="auto"/>
              <w:left w:val="single" w:sz="4" w:space="0" w:color="auto"/>
              <w:bottom w:val="single" w:sz="4" w:space="0" w:color="auto"/>
              <w:right w:val="single" w:sz="4" w:space="0" w:color="auto"/>
            </w:tcBorders>
            <w:shd w:val="clear" w:color="auto" w:fill="auto"/>
          </w:tcPr>
          <w:p w:rsidR="00D06A2F" w:rsidRPr="00E8065F" w:rsidRDefault="00D06A2F" w:rsidP="00BA1432">
            <w:pPr>
              <w:jc w:val="center"/>
              <w:rPr>
                <w:color w:val="000000"/>
                <w:sz w:val="20"/>
                <w:szCs w:val="20"/>
              </w:rPr>
            </w:pPr>
            <w:r w:rsidRPr="00E8065F">
              <w:rPr>
                <w:color w:val="000000"/>
                <w:sz w:val="20"/>
                <w:szCs w:val="20"/>
              </w:rPr>
              <w:t>Колоноскоп</w:t>
            </w:r>
          </w:p>
        </w:tc>
        <w:tc>
          <w:tcPr>
            <w:tcW w:w="1181" w:type="dxa"/>
            <w:tcBorders>
              <w:top w:val="single" w:sz="4" w:space="0" w:color="auto"/>
              <w:left w:val="single" w:sz="4" w:space="0" w:color="auto"/>
              <w:bottom w:val="single" w:sz="4" w:space="0" w:color="auto"/>
              <w:right w:val="single" w:sz="4" w:space="0" w:color="auto"/>
            </w:tcBorders>
            <w:shd w:val="clear" w:color="auto" w:fill="auto"/>
          </w:tcPr>
          <w:p w:rsidR="00D06A2F" w:rsidRPr="00E8065F" w:rsidRDefault="00D06A2F" w:rsidP="000546C2">
            <w:pPr>
              <w:jc w:val="center"/>
              <w:rPr>
                <w:color w:val="000000"/>
                <w:sz w:val="20"/>
                <w:szCs w:val="20"/>
              </w:rPr>
            </w:pPr>
            <w:r w:rsidRPr="00E8065F">
              <w:rPr>
                <w:color w:val="000000"/>
                <w:sz w:val="20"/>
                <w:szCs w:val="20"/>
              </w:rPr>
              <w:t>2014</w:t>
            </w:r>
            <w:r w:rsidR="003D79B3">
              <w:rPr>
                <w:color w:val="000000"/>
                <w:sz w:val="20"/>
                <w:szCs w:val="20"/>
              </w:rPr>
              <w:t xml:space="preserve"> </w:t>
            </w:r>
            <w:r w:rsidR="003744A6">
              <w:rPr>
                <w:color w:val="000000"/>
                <w:sz w:val="20"/>
                <w:szCs w:val="20"/>
              </w:rPr>
              <w:t>(4)</w:t>
            </w:r>
          </w:p>
          <w:p w:rsidR="00D06A2F" w:rsidRPr="00E8065F" w:rsidRDefault="00D06A2F" w:rsidP="000546C2">
            <w:pPr>
              <w:jc w:val="center"/>
              <w:rPr>
                <w:color w:val="000000"/>
                <w:sz w:val="20"/>
                <w:szCs w:val="20"/>
              </w:rPr>
            </w:pPr>
            <w:r w:rsidRPr="00E8065F">
              <w:rPr>
                <w:color w:val="000000"/>
                <w:sz w:val="20"/>
                <w:szCs w:val="20"/>
              </w:rPr>
              <w:t>2015</w:t>
            </w:r>
            <w:r w:rsidR="003D79B3">
              <w:rPr>
                <w:color w:val="000000"/>
                <w:sz w:val="20"/>
                <w:szCs w:val="20"/>
              </w:rPr>
              <w:t xml:space="preserve"> </w:t>
            </w:r>
            <w:r w:rsidR="00417E61">
              <w:rPr>
                <w:color w:val="000000"/>
                <w:sz w:val="20"/>
                <w:szCs w:val="20"/>
              </w:rPr>
              <w:t>(2)</w:t>
            </w:r>
          </w:p>
          <w:p w:rsidR="00D06A2F" w:rsidRPr="00E8065F" w:rsidRDefault="00D06A2F" w:rsidP="000546C2">
            <w:pPr>
              <w:jc w:val="center"/>
              <w:rPr>
                <w:color w:val="000000"/>
                <w:sz w:val="20"/>
                <w:szCs w:val="20"/>
              </w:rPr>
            </w:pPr>
            <w:r w:rsidRPr="00E8065F">
              <w:rPr>
                <w:color w:val="000000"/>
                <w:sz w:val="20"/>
                <w:szCs w:val="20"/>
              </w:rPr>
              <w:t>2016</w:t>
            </w:r>
            <w:r w:rsidR="003D79B3">
              <w:rPr>
                <w:color w:val="000000"/>
                <w:sz w:val="20"/>
                <w:szCs w:val="20"/>
              </w:rPr>
              <w:t xml:space="preserve"> </w:t>
            </w:r>
            <w:r w:rsidR="00417E61">
              <w:rPr>
                <w:color w:val="000000"/>
                <w:sz w:val="20"/>
                <w:szCs w:val="20"/>
              </w:rPr>
              <w:t>(4)</w:t>
            </w:r>
          </w:p>
          <w:p w:rsidR="00D06A2F" w:rsidRPr="00E8065F" w:rsidRDefault="00D06A2F" w:rsidP="000546C2">
            <w:pPr>
              <w:jc w:val="center"/>
              <w:rPr>
                <w:color w:val="000000"/>
                <w:sz w:val="20"/>
                <w:szCs w:val="20"/>
              </w:rPr>
            </w:pPr>
            <w:r w:rsidRPr="00E8065F">
              <w:rPr>
                <w:color w:val="000000"/>
                <w:sz w:val="20"/>
                <w:szCs w:val="20"/>
              </w:rPr>
              <w:t>2017</w:t>
            </w:r>
            <w:r w:rsidR="003D79B3">
              <w:rPr>
                <w:color w:val="000000"/>
                <w:sz w:val="20"/>
                <w:szCs w:val="20"/>
              </w:rPr>
              <w:t xml:space="preserve"> </w:t>
            </w:r>
            <w:r w:rsidR="00417E61">
              <w:rPr>
                <w:color w:val="000000"/>
                <w:sz w:val="20"/>
                <w:szCs w:val="20"/>
              </w:rPr>
              <w:t>(6)</w:t>
            </w:r>
          </w:p>
          <w:p w:rsidR="00D06A2F" w:rsidRPr="00E8065F" w:rsidRDefault="00D06A2F" w:rsidP="000546C2">
            <w:pPr>
              <w:jc w:val="center"/>
              <w:rPr>
                <w:color w:val="000000"/>
                <w:sz w:val="20"/>
                <w:szCs w:val="20"/>
              </w:rPr>
            </w:pPr>
            <w:r w:rsidRPr="00E8065F">
              <w:rPr>
                <w:color w:val="000000"/>
                <w:sz w:val="20"/>
                <w:szCs w:val="20"/>
              </w:rPr>
              <w:t>2018</w:t>
            </w:r>
            <w:r w:rsidR="003D79B3">
              <w:rPr>
                <w:color w:val="000000"/>
                <w:sz w:val="20"/>
                <w:szCs w:val="20"/>
              </w:rPr>
              <w:t xml:space="preserve"> </w:t>
            </w:r>
            <w:r w:rsidR="00417E61">
              <w:rPr>
                <w:color w:val="000000"/>
                <w:sz w:val="20"/>
                <w:szCs w:val="20"/>
              </w:rPr>
              <w:t>(5)</w:t>
            </w:r>
          </w:p>
          <w:p w:rsidR="00D06A2F" w:rsidRPr="00E8065F" w:rsidRDefault="00D06A2F" w:rsidP="000546C2">
            <w:pPr>
              <w:jc w:val="center"/>
              <w:rPr>
                <w:color w:val="000000"/>
                <w:sz w:val="20"/>
                <w:szCs w:val="20"/>
              </w:rPr>
            </w:pPr>
            <w:r w:rsidRPr="00E8065F">
              <w:rPr>
                <w:color w:val="000000"/>
                <w:sz w:val="20"/>
                <w:szCs w:val="20"/>
              </w:rPr>
              <w:t xml:space="preserve"> 2019</w:t>
            </w:r>
            <w:r w:rsidR="003D79B3">
              <w:rPr>
                <w:color w:val="000000"/>
                <w:sz w:val="20"/>
                <w:szCs w:val="20"/>
              </w:rPr>
              <w:t xml:space="preserve"> </w:t>
            </w:r>
            <w:r w:rsidR="00417E61">
              <w:rPr>
                <w:color w:val="000000"/>
                <w:sz w:val="20"/>
                <w:szCs w:val="20"/>
              </w:rPr>
              <w:t>(6)</w:t>
            </w:r>
          </w:p>
          <w:p w:rsidR="00D06A2F" w:rsidRPr="00E8065F" w:rsidRDefault="00D06A2F" w:rsidP="000546C2">
            <w:pPr>
              <w:jc w:val="center"/>
              <w:rPr>
                <w:color w:val="000000"/>
                <w:sz w:val="20"/>
                <w:szCs w:val="20"/>
              </w:rPr>
            </w:pPr>
            <w:r w:rsidRPr="00E8065F">
              <w:rPr>
                <w:color w:val="000000"/>
                <w:sz w:val="20"/>
                <w:szCs w:val="20"/>
              </w:rPr>
              <w:t xml:space="preserve"> 2022</w:t>
            </w:r>
            <w:r w:rsidR="003D79B3">
              <w:rPr>
                <w:color w:val="000000"/>
                <w:sz w:val="20"/>
                <w:szCs w:val="20"/>
              </w:rPr>
              <w:t xml:space="preserve"> </w:t>
            </w:r>
            <w:r w:rsidR="00417E61">
              <w:rPr>
                <w:color w:val="000000"/>
                <w:sz w:val="20"/>
                <w:szCs w:val="20"/>
              </w:rPr>
              <w:t>(10)</w:t>
            </w:r>
          </w:p>
          <w:p w:rsidR="00D06A2F" w:rsidRPr="00E8065F" w:rsidRDefault="00D06A2F" w:rsidP="000546C2">
            <w:pPr>
              <w:jc w:val="center"/>
              <w:rPr>
                <w:color w:val="000000"/>
                <w:sz w:val="20"/>
                <w:szCs w:val="20"/>
              </w:rPr>
            </w:pPr>
            <w:r w:rsidRPr="00E8065F">
              <w:rPr>
                <w:color w:val="000000"/>
                <w:sz w:val="20"/>
                <w:szCs w:val="20"/>
              </w:rPr>
              <w:t xml:space="preserve"> 2023</w:t>
            </w:r>
            <w:r w:rsidR="003D79B3">
              <w:rPr>
                <w:color w:val="000000"/>
                <w:sz w:val="20"/>
                <w:szCs w:val="20"/>
              </w:rPr>
              <w:t xml:space="preserve"> </w:t>
            </w:r>
            <w:r w:rsidR="00417E61">
              <w:rPr>
                <w:color w:val="000000"/>
                <w:sz w:val="20"/>
                <w:szCs w:val="20"/>
              </w:rPr>
              <w:t>(5)</w:t>
            </w:r>
          </w:p>
          <w:p w:rsidR="00D06A2F" w:rsidRPr="00E8065F" w:rsidRDefault="00D06A2F" w:rsidP="000546C2">
            <w:pPr>
              <w:jc w:val="center"/>
              <w:rPr>
                <w:color w:val="000000"/>
                <w:sz w:val="20"/>
                <w:szCs w:val="20"/>
              </w:rPr>
            </w:pPr>
            <w:r w:rsidRPr="00E8065F">
              <w:rPr>
                <w:color w:val="000000"/>
                <w:sz w:val="20"/>
                <w:szCs w:val="20"/>
              </w:rPr>
              <w:t xml:space="preserve"> 2024</w:t>
            </w:r>
            <w:r w:rsidR="003D79B3">
              <w:rPr>
                <w:color w:val="000000"/>
                <w:sz w:val="20"/>
                <w:szCs w:val="20"/>
              </w:rPr>
              <w:t xml:space="preserve"> </w:t>
            </w:r>
            <w:r w:rsidR="00417E61">
              <w:rPr>
                <w:color w:val="000000"/>
                <w:sz w:val="20"/>
                <w:szCs w:val="20"/>
              </w:rPr>
              <w:t>(2)</w:t>
            </w:r>
          </w:p>
        </w:tc>
        <w:tc>
          <w:tcPr>
            <w:tcW w:w="1181" w:type="dxa"/>
            <w:tcBorders>
              <w:top w:val="single" w:sz="4" w:space="0" w:color="auto"/>
              <w:left w:val="single" w:sz="4" w:space="0" w:color="auto"/>
              <w:bottom w:val="single" w:sz="4" w:space="0" w:color="auto"/>
              <w:right w:val="single" w:sz="4" w:space="0" w:color="auto"/>
            </w:tcBorders>
            <w:shd w:val="clear" w:color="auto" w:fill="auto"/>
          </w:tcPr>
          <w:p w:rsidR="00D06A2F" w:rsidRPr="00E8065F" w:rsidRDefault="00D06A2F" w:rsidP="000546C2">
            <w:pPr>
              <w:jc w:val="center"/>
              <w:rPr>
                <w:color w:val="000000"/>
                <w:sz w:val="20"/>
                <w:szCs w:val="20"/>
              </w:rPr>
            </w:pPr>
            <w:r w:rsidRPr="00E8065F">
              <w:rPr>
                <w:color w:val="000000"/>
                <w:sz w:val="20"/>
                <w:szCs w:val="20"/>
              </w:rPr>
              <w:t>44</w:t>
            </w:r>
          </w:p>
        </w:tc>
        <w:tc>
          <w:tcPr>
            <w:tcW w:w="1478" w:type="dxa"/>
            <w:tcBorders>
              <w:top w:val="single" w:sz="4" w:space="0" w:color="auto"/>
              <w:left w:val="single" w:sz="4" w:space="0" w:color="auto"/>
              <w:bottom w:val="single" w:sz="4" w:space="0" w:color="auto"/>
              <w:right w:val="single" w:sz="4" w:space="0" w:color="auto"/>
            </w:tcBorders>
            <w:shd w:val="clear" w:color="auto" w:fill="auto"/>
          </w:tcPr>
          <w:p w:rsidR="00D06A2F" w:rsidRPr="00E8065F" w:rsidRDefault="00D06A2F" w:rsidP="000546C2">
            <w:pPr>
              <w:jc w:val="center"/>
              <w:rPr>
                <w:color w:val="000000"/>
                <w:sz w:val="20"/>
                <w:szCs w:val="20"/>
              </w:rPr>
            </w:pPr>
            <w:r w:rsidRPr="00E8065F">
              <w:rPr>
                <w:color w:val="000000"/>
                <w:sz w:val="20"/>
                <w:szCs w:val="20"/>
              </w:rPr>
              <w:t>24,5</w:t>
            </w:r>
          </w:p>
        </w:tc>
        <w:tc>
          <w:tcPr>
            <w:tcW w:w="1111" w:type="dxa"/>
            <w:tcBorders>
              <w:top w:val="single" w:sz="4" w:space="0" w:color="auto"/>
              <w:left w:val="single" w:sz="4" w:space="0" w:color="auto"/>
              <w:bottom w:val="single" w:sz="4" w:space="0" w:color="auto"/>
              <w:right w:val="single" w:sz="4" w:space="0" w:color="auto"/>
            </w:tcBorders>
            <w:shd w:val="clear" w:color="auto" w:fill="auto"/>
          </w:tcPr>
          <w:p w:rsidR="00D06A2F" w:rsidRPr="00E8065F" w:rsidRDefault="00D06A2F" w:rsidP="000546C2">
            <w:pPr>
              <w:jc w:val="center"/>
              <w:rPr>
                <w:color w:val="000000"/>
                <w:sz w:val="20"/>
                <w:szCs w:val="20"/>
              </w:rPr>
            </w:pPr>
            <w:r w:rsidRPr="00E8065F">
              <w:rPr>
                <w:color w:val="000000"/>
                <w:sz w:val="20"/>
                <w:szCs w:val="20"/>
              </w:rPr>
              <w:t>3</w:t>
            </w:r>
          </w:p>
        </w:tc>
        <w:tc>
          <w:tcPr>
            <w:tcW w:w="1944" w:type="dxa"/>
            <w:tcBorders>
              <w:top w:val="single" w:sz="4" w:space="0" w:color="auto"/>
              <w:left w:val="single" w:sz="4" w:space="0" w:color="auto"/>
              <w:bottom w:val="single" w:sz="4" w:space="0" w:color="auto"/>
              <w:right w:val="single" w:sz="4" w:space="0" w:color="auto"/>
            </w:tcBorders>
            <w:shd w:val="clear" w:color="auto" w:fill="auto"/>
          </w:tcPr>
          <w:p w:rsidR="00D06A2F" w:rsidRPr="00E8065F" w:rsidRDefault="00D06A2F" w:rsidP="00BA1432">
            <w:pPr>
              <w:jc w:val="center"/>
              <w:rPr>
                <w:color w:val="000000"/>
                <w:sz w:val="20"/>
                <w:szCs w:val="20"/>
              </w:rPr>
            </w:pPr>
            <w:r w:rsidRPr="00E8065F">
              <w:rPr>
                <w:color w:val="000000"/>
                <w:sz w:val="20"/>
                <w:szCs w:val="20"/>
              </w:rPr>
              <w:t>Амбулаторное</w:t>
            </w:r>
          </w:p>
        </w:tc>
      </w:tr>
      <w:tr w:rsidR="00BA1432" w:rsidRPr="00E8065F" w:rsidTr="000546C2">
        <w:trPr>
          <w:trHeight w:val="20"/>
        </w:trPr>
        <w:tc>
          <w:tcPr>
            <w:tcW w:w="1555" w:type="dxa"/>
          </w:tcPr>
          <w:p w:rsidR="00DB578E" w:rsidRPr="00E8065F" w:rsidRDefault="00DB578E" w:rsidP="00BA1432">
            <w:pPr>
              <w:rPr>
                <w:sz w:val="20"/>
                <w:szCs w:val="20"/>
              </w:rPr>
            </w:pPr>
          </w:p>
        </w:tc>
        <w:tc>
          <w:tcPr>
            <w:tcW w:w="3685" w:type="dxa"/>
            <w:tcBorders>
              <w:top w:val="nil"/>
              <w:left w:val="single" w:sz="4" w:space="0" w:color="auto"/>
              <w:bottom w:val="single" w:sz="4" w:space="0" w:color="auto"/>
              <w:right w:val="single" w:sz="4" w:space="0" w:color="auto"/>
            </w:tcBorders>
            <w:shd w:val="clear" w:color="auto" w:fill="auto"/>
          </w:tcPr>
          <w:p w:rsidR="00DB578E" w:rsidRPr="00E8065F" w:rsidRDefault="00DB578E" w:rsidP="00DC0475">
            <w:pPr>
              <w:jc w:val="both"/>
              <w:rPr>
                <w:color w:val="000000"/>
                <w:sz w:val="20"/>
                <w:szCs w:val="20"/>
              </w:rPr>
            </w:pPr>
          </w:p>
        </w:tc>
        <w:tc>
          <w:tcPr>
            <w:tcW w:w="1994" w:type="dxa"/>
            <w:shd w:val="clear" w:color="auto" w:fill="auto"/>
          </w:tcPr>
          <w:p w:rsidR="00DB578E" w:rsidRPr="004170CC" w:rsidRDefault="009C7AAF" w:rsidP="00BA1432">
            <w:pPr>
              <w:jc w:val="center"/>
              <w:rPr>
                <w:sz w:val="20"/>
                <w:szCs w:val="20"/>
              </w:rPr>
            </w:pPr>
            <w:r>
              <w:rPr>
                <w:sz w:val="20"/>
                <w:szCs w:val="20"/>
              </w:rPr>
              <w:t>В</w:t>
            </w:r>
            <w:r w:rsidR="00DB578E" w:rsidRPr="004170CC">
              <w:rPr>
                <w:sz w:val="20"/>
                <w:szCs w:val="20"/>
              </w:rPr>
              <w:t>сего</w:t>
            </w:r>
          </w:p>
        </w:tc>
        <w:tc>
          <w:tcPr>
            <w:tcW w:w="1181" w:type="dxa"/>
            <w:tcBorders>
              <w:top w:val="nil"/>
              <w:left w:val="single" w:sz="4" w:space="0" w:color="auto"/>
              <w:bottom w:val="single" w:sz="4" w:space="0" w:color="auto"/>
              <w:right w:val="single" w:sz="4" w:space="0" w:color="auto"/>
            </w:tcBorders>
            <w:shd w:val="clear" w:color="auto" w:fill="auto"/>
          </w:tcPr>
          <w:p w:rsidR="00DB578E" w:rsidRPr="004170CC" w:rsidRDefault="00DB578E" w:rsidP="000546C2">
            <w:pPr>
              <w:jc w:val="center"/>
              <w:rPr>
                <w:color w:val="000000"/>
                <w:sz w:val="20"/>
                <w:szCs w:val="20"/>
              </w:rPr>
            </w:pPr>
          </w:p>
        </w:tc>
        <w:tc>
          <w:tcPr>
            <w:tcW w:w="1181" w:type="dxa"/>
            <w:shd w:val="clear" w:color="auto" w:fill="auto"/>
          </w:tcPr>
          <w:p w:rsidR="00DB578E" w:rsidRPr="004170CC" w:rsidRDefault="00DB578E" w:rsidP="000546C2">
            <w:pPr>
              <w:jc w:val="center"/>
              <w:rPr>
                <w:color w:val="000000"/>
                <w:sz w:val="20"/>
                <w:szCs w:val="20"/>
              </w:rPr>
            </w:pPr>
            <w:r w:rsidRPr="004170CC">
              <w:rPr>
                <w:color w:val="000000"/>
                <w:sz w:val="20"/>
                <w:szCs w:val="20"/>
              </w:rPr>
              <w:t>203</w:t>
            </w:r>
          </w:p>
        </w:tc>
        <w:tc>
          <w:tcPr>
            <w:tcW w:w="1478" w:type="dxa"/>
            <w:shd w:val="clear" w:color="auto" w:fill="auto"/>
          </w:tcPr>
          <w:p w:rsidR="00DB578E" w:rsidRPr="00E8065F" w:rsidRDefault="00DB578E" w:rsidP="000546C2">
            <w:pPr>
              <w:jc w:val="center"/>
              <w:rPr>
                <w:sz w:val="20"/>
                <w:szCs w:val="20"/>
              </w:rPr>
            </w:pPr>
          </w:p>
        </w:tc>
        <w:tc>
          <w:tcPr>
            <w:tcW w:w="1111" w:type="dxa"/>
            <w:tcBorders>
              <w:top w:val="nil"/>
              <w:left w:val="single" w:sz="4" w:space="0" w:color="auto"/>
              <w:bottom w:val="single" w:sz="4" w:space="0" w:color="auto"/>
              <w:right w:val="single" w:sz="4" w:space="0" w:color="auto"/>
            </w:tcBorders>
            <w:shd w:val="clear" w:color="auto" w:fill="auto"/>
          </w:tcPr>
          <w:p w:rsidR="00DB578E" w:rsidRPr="00E8065F" w:rsidRDefault="00DB578E" w:rsidP="000546C2">
            <w:pPr>
              <w:jc w:val="center"/>
              <w:rPr>
                <w:color w:val="000000"/>
                <w:sz w:val="20"/>
                <w:szCs w:val="20"/>
              </w:rPr>
            </w:pPr>
          </w:p>
        </w:tc>
        <w:tc>
          <w:tcPr>
            <w:tcW w:w="1944" w:type="dxa"/>
            <w:shd w:val="clear" w:color="auto" w:fill="auto"/>
          </w:tcPr>
          <w:p w:rsidR="00DB578E" w:rsidRPr="00E8065F" w:rsidRDefault="00DB578E" w:rsidP="00BA1432">
            <w:pPr>
              <w:rPr>
                <w:sz w:val="20"/>
                <w:szCs w:val="20"/>
              </w:rPr>
            </w:pPr>
          </w:p>
        </w:tc>
      </w:tr>
      <w:tr w:rsidR="0080478F" w:rsidRPr="00E8065F" w:rsidTr="000546C2">
        <w:trPr>
          <w:trHeight w:val="20"/>
        </w:trPr>
        <w:tc>
          <w:tcPr>
            <w:tcW w:w="1555" w:type="dxa"/>
            <w:vMerge w:val="restart"/>
          </w:tcPr>
          <w:p w:rsidR="0080478F" w:rsidRPr="00E8065F" w:rsidRDefault="0080478F" w:rsidP="00BA1432">
            <w:pPr>
              <w:rPr>
                <w:sz w:val="20"/>
                <w:szCs w:val="20"/>
              </w:rPr>
            </w:pPr>
            <w:r>
              <w:rPr>
                <w:color w:val="000000"/>
                <w:sz w:val="20"/>
                <w:szCs w:val="20"/>
              </w:rPr>
              <w:t>Компьютерный томограф</w:t>
            </w:r>
            <w:r w:rsidRPr="00E8065F">
              <w:rPr>
                <w:sz w:val="20"/>
                <w:szCs w:val="20"/>
              </w:rPr>
              <w:t xml:space="preserve"> </w:t>
            </w: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80478F" w:rsidRPr="00E8065F" w:rsidRDefault="0080478F" w:rsidP="00DC0475">
            <w:pPr>
              <w:jc w:val="both"/>
              <w:rPr>
                <w:color w:val="000000"/>
                <w:sz w:val="20"/>
                <w:szCs w:val="20"/>
              </w:rPr>
            </w:pPr>
            <w:r>
              <w:rPr>
                <w:color w:val="000000"/>
                <w:sz w:val="20"/>
                <w:szCs w:val="20"/>
              </w:rPr>
              <w:t>ГАУЗ «Агрызская ЦРБ»</w:t>
            </w:r>
          </w:p>
        </w:tc>
        <w:tc>
          <w:tcPr>
            <w:tcW w:w="1994" w:type="dxa"/>
            <w:tcBorders>
              <w:top w:val="single" w:sz="4" w:space="0" w:color="auto"/>
              <w:left w:val="single" w:sz="4" w:space="0" w:color="auto"/>
              <w:bottom w:val="single" w:sz="4" w:space="0" w:color="auto"/>
              <w:right w:val="single" w:sz="4" w:space="0" w:color="auto"/>
            </w:tcBorders>
            <w:shd w:val="clear" w:color="auto" w:fill="auto"/>
          </w:tcPr>
          <w:p w:rsidR="0080478F" w:rsidRPr="00E8065F" w:rsidRDefault="0080478F" w:rsidP="00BA1432">
            <w:pPr>
              <w:jc w:val="center"/>
              <w:rPr>
                <w:color w:val="000000"/>
                <w:sz w:val="20"/>
                <w:szCs w:val="20"/>
              </w:rPr>
            </w:pPr>
            <w:r w:rsidRPr="00E8065F">
              <w:rPr>
                <w:color w:val="000000"/>
                <w:sz w:val="20"/>
                <w:szCs w:val="20"/>
              </w:rPr>
              <w:t>Компьютерный томограф</w:t>
            </w:r>
          </w:p>
        </w:tc>
        <w:tc>
          <w:tcPr>
            <w:tcW w:w="1181" w:type="dxa"/>
            <w:tcBorders>
              <w:bottom w:val="single" w:sz="4" w:space="0" w:color="auto"/>
            </w:tcBorders>
            <w:shd w:val="clear" w:color="auto" w:fill="auto"/>
          </w:tcPr>
          <w:p w:rsidR="0080478F" w:rsidRPr="00E8065F" w:rsidRDefault="0080478F" w:rsidP="000546C2">
            <w:pPr>
              <w:jc w:val="center"/>
              <w:rPr>
                <w:sz w:val="20"/>
                <w:szCs w:val="20"/>
              </w:rPr>
            </w:pPr>
            <w:r w:rsidRPr="00E8065F">
              <w:rPr>
                <w:sz w:val="20"/>
                <w:szCs w:val="20"/>
              </w:rPr>
              <w:t>2023</w:t>
            </w:r>
          </w:p>
          <w:p w:rsidR="0080478F" w:rsidRPr="00E8065F" w:rsidRDefault="0080478F" w:rsidP="000546C2">
            <w:pPr>
              <w:jc w:val="center"/>
              <w:rPr>
                <w:sz w:val="20"/>
                <w:szCs w:val="20"/>
              </w:rPr>
            </w:pPr>
          </w:p>
        </w:tc>
        <w:tc>
          <w:tcPr>
            <w:tcW w:w="1181" w:type="dxa"/>
            <w:tcBorders>
              <w:top w:val="single" w:sz="4" w:space="0" w:color="auto"/>
              <w:left w:val="single" w:sz="4" w:space="0" w:color="auto"/>
              <w:bottom w:val="single" w:sz="4" w:space="0" w:color="auto"/>
              <w:right w:val="single" w:sz="4" w:space="0" w:color="auto"/>
            </w:tcBorders>
            <w:shd w:val="clear" w:color="auto" w:fill="auto"/>
          </w:tcPr>
          <w:p w:rsidR="0080478F" w:rsidRPr="00E8065F" w:rsidRDefault="0080478F" w:rsidP="000546C2">
            <w:pPr>
              <w:jc w:val="center"/>
              <w:rPr>
                <w:color w:val="000000"/>
                <w:sz w:val="20"/>
                <w:szCs w:val="20"/>
              </w:rPr>
            </w:pPr>
            <w:r w:rsidRPr="00E8065F">
              <w:rPr>
                <w:color w:val="000000"/>
                <w:sz w:val="20"/>
                <w:szCs w:val="20"/>
              </w:rPr>
              <w:t>1</w:t>
            </w:r>
          </w:p>
        </w:tc>
        <w:tc>
          <w:tcPr>
            <w:tcW w:w="1478" w:type="dxa"/>
            <w:tcBorders>
              <w:top w:val="single" w:sz="4" w:space="0" w:color="auto"/>
              <w:left w:val="single" w:sz="4" w:space="0" w:color="auto"/>
              <w:bottom w:val="single" w:sz="4" w:space="0" w:color="auto"/>
              <w:right w:val="single" w:sz="4" w:space="0" w:color="auto"/>
            </w:tcBorders>
            <w:shd w:val="clear" w:color="auto" w:fill="auto"/>
          </w:tcPr>
          <w:p w:rsidR="0080478F" w:rsidRPr="00E8065F" w:rsidRDefault="0080478F" w:rsidP="000546C2">
            <w:pPr>
              <w:jc w:val="center"/>
              <w:rPr>
                <w:color w:val="000000"/>
                <w:sz w:val="20"/>
                <w:szCs w:val="20"/>
              </w:rPr>
            </w:pPr>
            <w:r w:rsidRPr="00E8065F">
              <w:rPr>
                <w:color w:val="000000"/>
                <w:sz w:val="20"/>
                <w:szCs w:val="20"/>
              </w:rPr>
              <w:t>2</w:t>
            </w:r>
          </w:p>
        </w:tc>
        <w:tc>
          <w:tcPr>
            <w:tcW w:w="1111" w:type="dxa"/>
            <w:tcBorders>
              <w:top w:val="single" w:sz="4" w:space="0" w:color="auto"/>
              <w:left w:val="single" w:sz="4" w:space="0" w:color="auto"/>
              <w:bottom w:val="single" w:sz="4" w:space="0" w:color="auto"/>
              <w:right w:val="single" w:sz="4" w:space="0" w:color="auto"/>
            </w:tcBorders>
            <w:shd w:val="clear" w:color="auto" w:fill="auto"/>
          </w:tcPr>
          <w:p w:rsidR="0080478F" w:rsidRPr="00E8065F" w:rsidRDefault="0080478F" w:rsidP="000546C2">
            <w:pPr>
              <w:jc w:val="center"/>
              <w:rPr>
                <w:color w:val="000000"/>
                <w:sz w:val="20"/>
                <w:szCs w:val="20"/>
              </w:rPr>
            </w:pPr>
            <w:r w:rsidRPr="00E8065F">
              <w:rPr>
                <w:color w:val="000000"/>
                <w:sz w:val="20"/>
                <w:szCs w:val="20"/>
              </w:rPr>
              <w:t>2</w:t>
            </w:r>
          </w:p>
        </w:tc>
        <w:tc>
          <w:tcPr>
            <w:tcW w:w="1944" w:type="dxa"/>
            <w:tcBorders>
              <w:top w:val="single" w:sz="4" w:space="0" w:color="auto"/>
              <w:left w:val="single" w:sz="4" w:space="0" w:color="auto"/>
              <w:bottom w:val="single" w:sz="4" w:space="0" w:color="auto"/>
              <w:right w:val="single" w:sz="4" w:space="0" w:color="auto"/>
            </w:tcBorders>
            <w:shd w:val="clear" w:color="auto" w:fill="auto"/>
          </w:tcPr>
          <w:p w:rsidR="0080478F" w:rsidRPr="00E8065F" w:rsidRDefault="0080478F" w:rsidP="00BA1432">
            <w:pPr>
              <w:jc w:val="center"/>
              <w:rPr>
                <w:color w:val="000000"/>
                <w:sz w:val="20"/>
                <w:szCs w:val="20"/>
              </w:rPr>
            </w:pPr>
            <w:r w:rsidRPr="00E8065F">
              <w:rPr>
                <w:color w:val="000000"/>
                <w:sz w:val="20"/>
                <w:szCs w:val="20"/>
              </w:rPr>
              <w:t>Амбулаторное</w:t>
            </w:r>
          </w:p>
        </w:tc>
      </w:tr>
      <w:tr w:rsidR="0080478F" w:rsidRPr="00E8065F" w:rsidTr="00CD3A6F">
        <w:trPr>
          <w:trHeight w:val="20"/>
        </w:trPr>
        <w:tc>
          <w:tcPr>
            <w:tcW w:w="1555" w:type="dxa"/>
            <w:vMerge/>
          </w:tcPr>
          <w:p w:rsidR="0080478F" w:rsidRPr="00E8065F" w:rsidRDefault="0080478F" w:rsidP="00BA1432">
            <w:pPr>
              <w:rPr>
                <w:sz w:val="20"/>
                <w:szCs w:val="20"/>
              </w:rPr>
            </w:pPr>
          </w:p>
        </w:tc>
        <w:tc>
          <w:tcPr>
            <w:tcW w:w="3685" w:type="dxa"/>
            <w:tcBorders>
              <w:top w:val="single" w:sz="4" w:space="0" w:color="auto"/>
              <w:bottom w:val="single" w:sz="4" w:space="0" w:color="auto"/>
              <w:right w:val="single" w:sz="4" w:space="0" w:color="auto"/>
            </w:tcBorders>
            <w:shd w:val="clear" w:color="auto" w:fill="auto"/>
          </w:tcPr>
          <w:p w:rsidR="0080478F" w:rsidRPr="00E8065F" w:rsidRDefault="0080478F" w:rsidP="00DC0475">
            <w:pPr>
              <w:jc w:val="both"/>
              <w:rPr>
                <w:color w:val="000000"/>
                <w:sz w:val="20"/>
                <w:szCs w:val="20"/>
              </w:rPr>
            </w:pPr>
            <w:r w:rsidRPr="00E8065F">
              <w:rPr>
                <w:color w:val="000000"/>
                <w:sz w:val="20"/>
                <w:szCs w:val="20"/>
              </w:rPr>
              <w:t xml:space="preserve">ГАУЗ </w:t>
            </w:r>
            <w:r>
              <w:rPr>
                <w:color w:val="000000"/>
                <w:sz w:val="20"/>
                <w:szCs w:val="20"/>
              </w:rPr>
              <w:t>«</w:t>
            </w:r>
            <w:r w:rsidRPr="00E8065F">
              <w:rPr>
                <w:color w:val="000000"/>
                <w:sz w:val="20"/>
                <w:szCs w:val="20"/>
              </w:rPr>
              <w:t>Азнакаевская ЦРБ</w:t>
            </w:r>
            <w:r>
              <w:rPr>
                <w:color w:val="000000"/>
                <w:sz w:val="20"/>
                <w:szCs w:val="20"/>
              </w:rPr>
              <w:t>»</w:t>
            </w:r>
          </w:p>
          <w:p w:rsidR="0080478F" w:rsidRPr="00E8065F" w:rsidRDefault="0080478F" w:rsidP="00DC0475">
            <w:pPr>
              <w:jc w:val="both"/>
              <w:rPr>
                <w:color w:val="000000"/>
                <w:sz w:val="20"/>
                <w:szCs w:val="20"/>
              </w:rPr>
            </w:pPr>
          </w:p>
        </w:tc>
        <w:tc>
          <w:tcPr>
            <w:tcW w:w="1994" w:type="dxa"/>
            <w:tcBorders>
              <w:top w:val="single" w:sz="4" w:space="0" w:color="auto"/>
              <w:left w:val="single" w:sz="4" w:space="0" w:color="auto"/>
              <w:bottom w:val="single" w:sz="4" w:space="0" w:color="auto"/>
              <w:right w:val="single" w:sz="4" w:space="0" w:color="auto"/>
            </w:tcBorders>
            <w:shd w:val="clear" w:color="auto" w:fill="auto"/>
          </w:tcPr>
          <w:p w:rsidR="0080478F" w:rsidRPr="00E8065F" w:rsidRDefault="0080478F" w:rsidP="00BA1432">
            <w:pPr>
              <w:jc w:val="center"/>
              <w:rPr>
                <w:color w:val="000000"/>
                <w:sz w:val="20"/>
                <w:szCs w:val="20"/>
              </w:rPr>
            </w:pPr>
            <w:r w:rsidRPr="00E8065F">
              <w:rPr>
                <w:color w:val="000000"/>
                <w:sz w:val="20"/>
                <w:szCs w:val="20"/>
              </w:rPr>
              <w:t>Компьютерный томограф</w:t>
            </w:r>
          </w:p>
        </w:tc>
        <w:tc>
          <w:tcPr>
            <w:tcW w:w="1181" w:type="dxa"/>
            <w:tcBorders>
              <w:top w:val="single" w:sz="4" w:space="0" w:color="auto"/>
              <w:left w:val="single" w:sz="4" w:space="0" w:color="auto"/>
              <w:bottom w:val="single" w:sz="4" w:space="0" w:color="auto"/>
              <w:right w:val="single" w:sz="4" w:space="0" w:color="auto"/>
            </w:tcBorders>
            <w:shd w:val="clear" w:color="auto" w:fill="auto"/>
          </w:tcPr>
          <w:p w:rsidR="0080478F" w:rsidRPr="00E8065F" w:rsidRDefault="0080478F" w:rsidP="000546C2">
            <w:pPr>
              <w:jc w:val="center"/>
              <w:rPr>
                <w:sz w:val="20"/>
                <w:szCs w:val="20"/>
              </w:rPr>
            </w:pPr>
            <w:r w:rsidRPr="00E8065F">
              <w:rPr>
                <w:sz w:val="20"/>
                <w:szCs w:val="20"/>
              </w:rPr>
              <w:t>2024</w:t>
            </w:r>
          </w:p>
        </w:tc>
        <w:tc>
          <w:tcPr>
            <w:tcW w:w="1181" w:type="dxa"/>
            <w:tcBorders>
              <w:top w:val="single" w:sz="4" w:space="0" w:color="auto"/>
              <w:left w:val="single" w:sz="4" w:space="0" w:color="auto"/>
              <w:bottom w:val="single" w:sz="4" w:space="0" w:color="auto"/>
              <w:right w:val="single" w:sz="4" w:space="0" w:color="auto"/>
            </w:tcBorders>
            <w:shd w:val="clear" w:color="auto" w:fill="auto"/>
          </w:tcPr>
          <w:p w:rsidR="0080478F" w:rsidRPr="00E8065F" w:rsidRDefault="0080478F" w:rsidP="000546C2">
            <w:pPr>
              <w:jc w:val="center"/>
              <w:rPr>
                <w:color w:val="000000"/>
                <w:sz w:val="20"/>
                <w:szCs w:val="20"/>
              </w:rPr>
            </w:pPr>
            <w:r w:rsidRPr="00E8065F">
              <w:rPr>
                <w:color w:val="000000"/>
                <w:sz w:val="20"/>
                <w:szCs w:val="20"/>
              </w:rPr>
              <w:t>1</w:t>
            </w:r>
          </w:p>
        </w:tc>
        <w:tc>
          <w:tcPr>
            <w:tcW w:w="1478" w:type="dxa"/>
            <w:tcBorders>
              <w:top w:val="single" w:sz="4" w:space="0" w:color="auto"/>
              <w:left w:val="single" w:sz="4" w:space="0" w:color="auto"/>
              <w:bottom w:val="single" w:sz="4" w:space="0" w:color="auto"/>
              <w:right w:val="single" w:sz="4" w:space="0" w:color="auto"/>
            </w:tcBorders>
            <w:shd w:val="clear" w:color="auto" w:fill="auto"/>
          </w:tcPr>
          <w:p w:rsidR="0080478F" w:rsidRPr="00E8065F" w:rsidRDefault="0080478F" w:rsidP="000546C2">
            <w:pPr>
              <w:jc w:val="center"/>
              <w:rPr>
                <w:color w:val="000000"/>
                <w:sz w:val="20"/>
                <w:szCs w:val="20"/>
              </w:rPr>
            </w:pPr>
            <w:r w:rsidRPr="00E8065F">
              <w:rPr>
                <w:color w:val="000000"/>
                <w:sz w:val="20"/>
                <w:szCs w:val="20"/>
              </w:rPr>
              <w:t>5,6</w:t>
            </w:r>
          </w:p>
        </w:tc>
        <w:tc>
          <w:tcPr>
            <w:tcW w:w="1111" w:type="dxa"/>
            <w:tcBorders>
              <w:top w:val="single" w:sz="4" w:space="0" w:color="auto"/>
              <w:left w:val="single" w:sz="4" w:space="0" w:color="auto"/>
              <w:bottom w:val="single" w:sz="4" w:space="0" w:color="auto"/>
              <w:right w:val="single" w:sz="4" w:space="0" w:color="auto"/>
            </w:tcBorders>
            <w:shd w:val="clear" w:color="auto" w:fill="auto"/>
          </w:tcPr>
          <w:p w:rsidR="0080478F" w:rsidRPr="00E8065F" w:rsidRDefault="0080478F" w:rsidP="000546C2">
            <w:pPr>
              <w:jc w:val="center"/>
              <w:rPr>
                <w:color w:val="000000"/>
                <w:sz w:val="20"/>
                <w:szCs w:val="20"/>
              </w:rPr>
            </w:pPr>
            <w:r w:rsidRPr="00E8065F">
              <w:rPr>
                <w:color w:val="000000"/>
                <w:sz w:val="20"/>
                <w:szCs w:val="20"/>
              </w:rPr>
              <w:t>1</w:t>
            </w:r>
          </w:p>
        </w:tc>
        <w:tc>
          <w:tcPr>
            <w:tcW w:w="1944" w:type="dxa"/>
            <w:tcBorders>
              <w:top w:val="single" w:sz="4" w:space="0" w:color="auto"/>
              <w:left w:val="single" w:sz="4" w:space="0" w:color="auto"/>
              <w:bottom w:val="single" w:sz="4" w:space="0" w:color="auto"/>
              <w:right w:val="single" w:sz="4" w:space="0" w:color="auto"/>
            </w:tcBorders>
            <w:shd w:val="clear" w:color="auto" w:fill="auto"/>
          </w:tcPr>
          <w:p w:rsidR="0080478F" w:rsidRPr="00E8065F" w:rsidRDefault="0080478F" w:rsidP="00BA1432">
            <w:pPr>
              <w:jc w:val="center"/>
              <w:rPr>
                <w:color w:val="000000"/>
                <w:sz w:val="20"/>
                <w:szCs w:val="20"/>
              </w:rPr>
            </w:pPr>
            <w:r w:rsidRPr="00E8065F">
              <w:rPr>
                <w:color w:val="000000"/>
                <w:sz w:val="20"/>
                <w:szCs w:val="20"/>
              </w:rPr>
              <w:t>Стационарное</w:t>
            </w:r>
          </w:p>
        </w:tc>
      </w:tr>
      <w:tr w:rsidR="0080478F" w:rsidRPr="00E8065F" w:rsidTr="000546C2">
        <w:trPr>
          <w:trHeight w:val="20"/>
        </w:trPr>
        <w:tc>
          <w:tcPr>
            <w:tcW w:w="1555" w:type="dxa"/>
            <w:vMerge/>
          </w:tcPr>
          <w:p w:rsidR="0080478F" w:rsidRPr="00E8065F" w:rsidRDefault="0080478F" w:rsidP="00BA1432">
            <w:pPr>
              <w:rPr>
                <w:sz w:val="20"/>
                <w:szCs w:val="20"/>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80478F" w:rsidRPr="00E8065F" w:rsidRDefault="0080478F" w:rsidP="00DC0475">
            <w:pPr>
              <w:jc w:val="both"/>
              <w:rPr>
                <w:color w:val="000000"/>
                <w:sz w:val="20"/>
                <w:szCs w:val="20"/>
              </w:rPr>
            </w:pPr>
            <w:r w:rsidRPr="00E8065F">
              <w:rPr>
                <w:color w:val="000000"/>
                <w:sz w:val="20"/>
                <w:szCs w:val="20"/>
              </w:rPr>
              <w:t xml:space="preserve">ГАУЗ </w:t>
            </w:r>
            <w:r>
              <w:rPr>
                <w:color w:val="000000"/>
                <w:sz w:val="20"/>
                <w:szCs w:val="20"/>
              </w:rPr>
              <w:t>«</w:t>
            </w:r>
            <w:r w:rsidRPr="00E8065F">
              <w:rPr>
                <w:color w:val="000000"/>
                <w:sz w:val="20"/>
                <w:szCs w:val="20"/>
              </w:rPr>
              <w:t>Актанышская ЦРБ</w:t>
            </w:r>
            <w:r>
              <w:rPr>
                <w:color w:val="000000"/>
                <w:sz w:val="20"/>
                <w:szCs w:val="20"/>
              </w:rPr>
              <w:t>»</w:t>
            </w:r>
          </w:p>
        </w:tc>
        <w:tc>
          <w:tcPr>
            <w:tcW w:w="1994" w:type="dxa"/>
            <w:tcBorders>
              <w:top w:val="single" w:sz="4" w:space="0" w:color="auto"/>
              <w:left w:val="single" w:sz="4" w:space="0" w:color="auto"/>
              <w:bottom w:val="single" w:sz="4" w:space="0" w:color="auto"/>
              <w:right w:val="single" w:sz="4" w:space="0" w:color="auto"/>
            </w:tcBorders>
            <w:shd w:val="clear" w:color="auto" w:fill="auto"/>
          </w:tcPr>
          <w:p w:rsidR="0080478F" w:rsidRPr="00E8065F" w:rsidRDefault="0080478F" w:rsidP="00BA1432">
            <w:pPr>
              <w:jc w:val="center"/>
              <w:rPr>
                <w:color w:val="000000"/>
                <w:sz w:val="20"/>
                <w:szCs w:val="20"/>
              </w:rPr>
            </w:pPr>
            <w:r w:rsidRPr="00E8065F">
              <w:rPr>
                <w:color w:val="000000"/>
                <w:sz w:val="20"/>
                <w:szCs w:val="20"/>
              </w:rPr>
              <w:t>Компьютерный томограф</w:t>
            </w:r>
          </w:p>
        </w:tc>
        <w:tc>
          <w:tcPr>
            <w:tcW w:w="1181" w:type="dxa"/>
            <w:tcBorders>
              <w:top w:val="single" w:sz="4" w:space="0" w:color="auto"/>
            </w:tcBorders>
            <w:shd w:val="clear" w:color="auto" w:fill="auto"/>
          </w:tcPr>
          <w:p w:rsidR="0080478F" w:rsidRPr="00E8065F" w:rsidRDefault="0080478F" w:rsidP="000546C2">
            <w:pPr>
              <w:jc w:val="center"/>
              <w:rPr>
                <w:sz w:val="20"/>
                <w:szCs w:val="20"/>
              </w:rPr>
            </w:pPr>
            <w:r w:rsidRPr="00E8065F">
              <w:rPr>
                <w:sz w:val="20"/>
                <w:szCs w:val="20"/>
              </w:rPr>
              <w:t>2023</w:t>
            </w:r>
          </w:p>
        </w:tc>
        <w:tc>
          <w:tcPr>
            <w:tcW w:w="1181" w:type="dxa"/>
            <w:tcBorders>
              <w:top w:val="single" w:sz="4" w:space="0" w:color="auto"/>
              <w:left w:val="single" w:sz="4" w:space="0" w:color="auto"/>
              <w:bottom w:val="single" w:sz="4" w:space="0" w:color="auto"/>
              <w:right w:val="single" w:sz="4" w:space="0" w:color="auto"/>
            </w:tcBorders>
            <w:shd w:val="clear" w:color="auto" w:fill="auto"/>
          </w:tcPr>
          <w:p w:rsidR="0080478F" w:rsidRPr="00E8065F" w:rsidRDefault="0080478F" w:rsidP="000546C2">
            <w:pPr>
              <w:jc w:val="center"/>
              <w:rPr>
                <w:color w:val="000000"/>
                <w:sz w:val="20"/>
                <w:szCs w:val="20"/>
              </w:rPr>
            </w:pPr>
            <w:r w:rsidRPr="00E8065F">
              <w:rPr>
                <w:color w:val="000000"/>
                <w:sz w:val="20"/>
                <w:szCs w:val="20"/>
              </w:rPr>
              <w:t>1</w:t>
            </w:r>
          </w:p>
        </w:tc>
        <w:tc>
          <w:tcPr>
            <w:tcW w:w="1478" w:type="dxa"/>
            <w:tcBorders>
              <w:top w:val="single" w:sz="4" w:space="0" w:color="auto"/>
              <w:left w:val="single" w:sz="4" w:space="0" w:color="auto"/>
              <w:bottom w:val="single" w:sz="4" w:space="0" w:color="auto"/>
              <w:right w:val="single" w:sz="4" w:space="0" w:color="auto"/>
            </w:tcBorders>
            <w:shd w:val="clear" w:color="auto" w:fill="auto"/>
          </w:tcPr>
          <w:p w:rsidR="0080478F" w:rsidRPr="00E8065F" w:rsidRDefault="0080478F" w:rsidP="000546C2">
            <w:pPr>
              <w:jc w:val="center"/>
              <w:rPr>
                <w:color w:val="000000"/>
                <w:sz w:val="20"/>
                <w:szCs w:val="20"/>
              </w:rPr>
            </w:pPr>
            <w:r w:rsidRPr="00E8065F">
              <w:rPr>
                <w:color w:val="000000"/>
                <w:sz w:val="20"/>
                <w:szCs w:val="20"/>
              </w:rPr>
              <w:t>6</w:t>
            </w:r>
          </w:p>
        </w:tc>
        <w:tc>
          <w:tcPr>
            <w:tcW w:w="1111" w:type="dxa"/>
            <w:tcBorders>
              <w:top w:val="single" w:sz="4" w:space="0" w:color="auto"/>
              <w:left w:val="single" w:sz="4" w:space="0" w:color="auto"/>
              <w:bottom w:val="single" w:sz="4" w:space="0" w:color="auto"/>
              <w:right w:val="single" w:sz="4" w:space="0" w:color="auto"/>
            </w:tcBorders>
            <w:shd w:val="clear" w:color="auto" w:fill="auto"/>
          </w:tcPr>
          <w:p w:rsidR="0080478F" w:rsidRPr="00E8065F" w:rsidRDefault="0080478F" w:rsidP="000546C2">
            <w:pPr>
              <w:jc w:val="center"/>
              <w:rPr>
                <w:color w:val="000000"/>
                <w:sz w:val="20"/>
                <w:szCs w:val="20"/>
              </w:rPr>
            </w:pPr>
            <w:r w:rsidRPr="00E8065F">
              <w:rPr>
                <w:color w:val="000000"/>
                <w:sz w:val="20"/>
                <w:szCs w:val="20"/>
              </w:rPr>
              <w:t>2</w:t>
            </w:r>
          </w:p>
        </w:tc>
        <w:tc>
          <w:tcPr>
            <w:tcW w:w="1944" w:type="dxa"/>
            <w:tcBorders>
              <w:top w:val="single" w:sz="4" w:space="0" w:color="auto"/>
              <w:left w:val="single" w:sz="4" w:space="0" w:color="auto"/>
              <w:bottom w:val="single" w:sz="4" w:space="0" w:color="auto"/>
              <w:right w:val="single" w:sz="4" w:space="0" w:color="auto"/>
            </w:tcBorders>
            <w:shd w:val="clear" w:color="auto" w:fill="auto"/>
          </w:tcPr>
          <w:p w:rsidR="0080478F" w:rsidRPr="00E8065F" w:rsidRDefault="0080478F" w:rsidP="00BA1432">
            <w:pPr>
              <w:jc w:val="center"/>
              <w:rPr>
                <w:color w:val="000000"/>
                <w:sz w:val="20"/>
                <w:szCs w:val="20"/>
              </w:rPr>
            </w:pPr>
            <w:r w:rsidRPr="00E8065F">
              <w:rPr>
                <w:color w:val="000000"/>
                <w:sz w:val="20"/>
                <w:szCs w:val="20"/>
              </w:rPr>
              <w:t>Амбулаторное</w:t>
            </w:r>
          </w:p>
        </w:tc>
      </w:tr>
      <w:tr w:rsidR="0080478F" w:rsidRPr="00E8065F" w:rsidTr="000546C2">
        <w:trPr>
          <w:trHeight w:val="20"/>
        </w:trPr>
        <w:tc>
          <w:tcPr>
            <w:tcW w:w="1555" w:type="dxa"/>
            <w:vMerge/>
          </w:tcPr>
          <w:p w:rsidR="0080478F" w:rsidRPr="00E8065F" w:rsidRDefault="0080478F" w:rsidP="00BA1432">
            <w:pPr>
              <w:rPr>
                <w:sz w:val="20"/>
                <w:szCs w:val="20"/>
              </w:rPr>
            </w:pPr>
          </w:p>
        </w:tc>
        <w:tc>
          <w:tcPr>
            <w:tcW w:w="3685" w:type="dxa"/>
            <w:tcBorders>
              <w:top w:val="nil"/>
              <w:left w:val="single" w:sz="4" w:space="0" w:color="auto"/>
              <w:bottom w:val="single" w:sz="4" w:space="0" w:color="auto"/>
              <w:right w:val="single" w:sz="4" w:space="0" w:color="auto"/>
            </w:tcBorders>
            <w:shd w:val="clear" w:color="auto" w:fill="auto"/>
          </w:tcPr>
          <w:p w:rsidR="0080478F" w:rsidRPr="00E8065F" w:rsidRDefault="0080478F" w:rsidP="00DC0475">
            <w:pPr>
              <w:jc w:val="both"/>
              <w:rPr>
                <w:color w:val="000000"/>
                <w:sz w:val="20"/>
                <w:szCs w:val="20"/>
              </w:rPr>
            </w:pPr>
            <w:r w:rsidRPr="00E8065F">
              <w:rPr>
                <w:color w:val="000000"/>
                <w:sz w:val="20"/>
                <w:szCs w:val="20"/>
              </w:rPr>
              <w:t xml:space="preserve">ГАУЗ </w:t>
            </w:r>
            <w:r>
              <w:rPr>
                <w:color w:val="000000"/>
                <w:sz w:val="20"/>
                <w:szCs w:val="20"/>
              </w:rPr>
              <w:t>«</w:t>
            </w:r>
            <w:r w:rsidRPr="00E8065F">
              <w:rPr>
                <w:color w:val="000000"/>
                <w:sz w:val="20"/>
                <w:szCs w:val="20"/>
              </w:rPr>
              <w:t>Алексеевская ЦРБ</w:t>
            </w:r>
            <w:r>
              <w:rPr>
                <w:color w:val="000000"/>
                <w:sz w:val="20"/>
                <w:szCs w:val="20"/>
              </w:rPr>
              <w:t>»</w:t>
            </w:r>
          </w:p>
        </w:tc>
        <w:tc>
          <w:tcPr>
            <w:tcW w:w="1994" w:type="dxa"/>
            <w:tcBorders>
              <w:top w:val="nil"/>
              <w:left w:val="single" w:sz="4" w:space="0" w:color="auto"/>
              <w:bottom w:val="single" w:sz="4" w:space="0" w:color="auto"/>
              <w:right w:val="single" w:sz="4" w:space="0" w:color="auto"/>
            </w:tcBorders>
            <w:shd w:val="clear" w:color="auto" w:fill="auto"/>
          </w:tcPr>
          <w:p w:rsidR="0080478F" w:rsidRPr="00E8065F" w:rsidRDefault="0080478F" w:rsidP="00BA1432">
            <w:pPr>
              <w:jc w:val="center"/>
              <w:rPr>
                <w:color w:val="000000"/>
                <w:sz w:val="20"/>
                <w:szCs w:val="20"/>
              </w:rPr>
            </w:pPr>
            <w:r w:rsidRPr="00E8065F">
              <w:rPr>
                <w:color w:val="000000"/>
                <w:sz w:val="20"/>
                <w:szCs w:val="20"/>
              </w:rPr>
              <w:t>Компьютерный томограф</w:t>
            </w:r>
          </w:p>
        </w:tc>
        <w:tc>
          <w:tcPr>
            <w:tcW w:w="1181" w:type="dxa"/>
            <w:shd w:val="clear" w:color="auto" w:fill="auto"/>
          </w:tcPr>
          <w:p w:rsidR="0080478F" w:rsidRPr="00E8065F" w:rsidRDefault="0080478F" w:rsidP="000546C2">
            <w:pPr>
              <w:jc w:val="center"/>
              <w:rPr>
                <w:sz w:val="20"/>
                <w:szCs w:val="20"/>
              </w:rPr>
            </w:pPr>
            <w:r w:rsidRPr="00E8065F">
              <w:rPr>
                <w:sz w:val="20"/>
                <w:szCs w:val="20"/>
              </w:rPr>
              <w:t>2021</w:t>
            </w:r>
          </w:p>
        </w:tc>
        <w:tc>
          <w:tcPr>
            <w:tcW w:w="1181" w:type="dxa"/>
            <w:tcBorders>
              <w:top w:val="nil"/>
              <w:left w:val="single" w:sz="4" w:space="0" w:color="auto"/>
              <w:bottom w:val="single" w:sz="4" w:space="0" w:color="auto"/>
              <w:right w:val="single" w:sz="4" w:space="0" w:color="auto"/>
            </w:tcBorders>
            <w:shd w:val="clear" w:color="auto" w:fill="auto"/>
          </w:tcPr>
          <w:p w:rsidR="0080478F" w:rsidRPr="00E8065F" w:rsidRDefault="0080478F" w:rsidP="000546C2">
            <w:pPr>
              <w:jc w:val="center"/>
              <w:rPr>
                <w:color w:val="000000"/>
                <w:sz w:val="20"/>
                <w:szCs w:val="20"/>
              </w:rPr>
            </w:pPr>
            <w:r w:rsidRPr="00E8065F">
              <w:rPr>
                <w:color w:val="000000"/>
                <w:sz w:val="20"/>
                <w:szCs w:val="20"/>
              </w:rPr>
              <w:t>1</w:t>
            </w:r>
          </w:p>
        </w:tc>
        <w:tc>
          <w:tcPr>
            <w:tcW w:w="1478" w:type="dxa"/>
            <w:tcBorders>
              <w:top w:val="nil"/>
              <w:left w:val="single" w:sz="4" w:space="0" w:color="auto"/>
              <w:bottom w:val="single" w:sz="4" w:space="0" w:color="auto"/>
              <w:right w:val="single" w:sz="4" w:space="0" w:color="auto"/>
            </w:tcBorders>
            <w:shd w:val="clear" w:color="auto" w:fill="auto"/>
          </w:tcPr>
          <w:p w:rsidR="0080478F" w:rsidRPr="00E8065F" w:rsidRDefault="0080478F" w:rsidP="000546C2">
            <w:pPr>
              <w:jc w:val="center"/>
              <w:rPr>
                <w:color w:val="000000"/>
                <w:sz w:val="20"/>
                <w:szCs w:val="20"/>
              </w:rPr>
            </w:pPr>
            <w:r w:rsidRPr="00E8065F">
              <w:rPr>
                <w:color w:val="000000"/>
                <w:sz w:val="20"/>
                <w:szCs w:val="20"/>
              </w:rPr>
              <w:t>6</w:t>
            </w:r>
          </w:p>
        </w:tc>
        <w:tc>
          <w:tcPr>
            <w:tcW w:w="1111" w:type="dxa"/>
            <w:tcBorders>
              <w:top w:val="nil"/>
              <w:left w:val="single" w:sz="4" w:space="0" w:color="auto"/>
              <w:bottom w:val="single" w:sz="4" w:space="0" w:color="auto"/>
              <w:right w:val="single" w:sz="4" w:space="0" w:color="auto"/>
            </w:tcBorders>
            <w:shd w:val="clear" w:color="auto" w:fill="auto"/>
          </w:tcPr>
          <w:p w:rsidR="0080478F" w:rsidRPr="00E8065F" w:rsidRDefault="0080478F" w:rsidP="000546C2">
            <w:pPr>
              <w:jc w:val="center"/>
              <w:rPr>
                <w:color w:val="000000"/>
                <w:sz w:val="20"/>
                <w:szCs w:val="20"/>
              </w:rPr>
            </w:pPr>
            <w:r w:rsidRPr="00E8065F">
              <w:rPr>
                <w:color w:val="000000"/>
                <w:sz w:val="20"/>
                <w:szCs w:val="20"/>
              </w:rPr>
              <w:t>2</w:t>
            </w:r>
          </w:p>
        </w:tc>
        <w:tc>
          <w:tcPr>
            <w:tcW w:w="1944" w:type="dxa"/>
            <w:tcBorders>
              <w:top w:val="nil"/>
              <w:left w:val="single" w:sz="4" w:space="0" w:color="auto"/>
              <w:bottom w:val="single" w:sz="4" w:space="0" w:color="auto"/>
              <w:right w:val="single" w:sz="4" w:space="0" w:color="auto"/>
            </w:tcBorders>
            <w:shd w:val="clear" w:color="auto" w:fill="auto"/>
          </w:tcPr>
          <w:p w:rsidR="0080478F" w:rsidRPr="00E8065F" w:rsidRDefault="0080478F" w:rsidP="00BA1432">
            <w:pPr>
              <w:jc w:val="center"/>
              <w:rPr>
                <w:color w:val="000000"/>
                <w:sz w:val="20"/>
                <w:szCs w:val="20"/>
              </w:rPr>
            </w:pPr>
            <w:r w:rsidRPr="00E8065F">
              <w:rPr>
                <w:color w:val="000000"/>
                <w:sz w:val="20"/>
                <w:szCs w:val="20"/>
              </w:rPr>
              <w:t>Стационарное</w:t>
            </w:r>
          </w:p>
        </w:tc>
      </w:tr>
      <w:tr w:rsidR="0080478F" w:rsidRPr="00E8065F" w:rsidTr="000546C2">
        <w:trPr>
          <w:trHeight w:val="20"/>
        </w:trPr>
        <w:tc>
          <w:tcPr>
            <w:tcW w:w="1555" w:type="dxa"/>
            <w:vMerge/>
          </w:tcPr>
          <w:p w:rsidR="0080478F" w:rsidRPr="00E8065F" w:rsidRDefault="0080478F" w:rsidP="00BA1432">
            <w:pPr>
              <w:rPr>
                <w:sz w:val="20"/>
                <w:szCs w:val="20"/>
              </w:rPr>
            </w:pPr>
          </w:p>
        </w:tc>
        <w:tc>
          <w:tcPr>
            <w:tcW w:w="3685" w:type="dxa"/>
            <w:tcBorders>
              <w:top w:val="nil"/>
              <w:left w:val="single" w:sz="4" w:space="0" w:color="auto"/>
              <w:bottom w:val="single" w:sz="4" w:space="0" w:color="auto"/>
              <w:right w:val="single" w:sz="4" w:space="0" w:color="auto"/>
            </w:tcBorders>
            <w:shd w:val="clear" w:color="auto" w:fill="auto"/>
          </w:tcPr>
          <w:p w:rsidR="0080478F" w:rsidRPr="00E8065F" w:rsidRDefault="0080478F" w:rsidP="00DC0475">
            <w:pPr>
              <w:jc w:val="both"/>
              <w:rPr>
                <w:color w:val="000000"/>
                <w:sz w:val="20"/>
                <w:szCs w:val="20"/>
              </w:rPr>
            </w:pPr>
            <w:r>
              <w:rPr>
                <w:color w:val="000000"/>
                <w:sz w:val="20"/>
                <w:szCs w:val="20"/>
              </w:rPr>
              <w:t xml:space="preserve">ГАУЗ </w:t>
            </w:r>
            <w:r>
              <w:rPr>
                <w:rFonts w:eastAsia="Arial"/>
                <w:sz w:val="20"/>
                <w:szCs w:val="20"/>
              </w:rPr>
              <w:t>«Альметьевская межрайонная многопрофильная больница»</w:t>
            </w:r>
          </w:p>
        </w:tc>
        <w:tc>
          <w:tcPr>
            <w:tcW w:w="1994" w:type="dxa"/>
            <w:tcBorders>
              <w:top w:val="nil"/>
              <w:left w:val="single" w:sz="4" w:space="0" w:color="auto"/>
              <w:bottom w:val="single" w:sz="4" w:space="0" w:color="auto"/>
              <w:right w:val="single" w:sz="4" w:space="0" w:color="auto"/>
            </w:tcBorders>
            <w:shd w:val="clear" w:color="auto" w:fill="auto"/>
          </w:tcPr>
          <w:p w:rsidR="0080478F" w:rsidRPr="00E8065F" w:rsidRDefault="0080478F" w:rsidP="00BA1432">
            <w:pPr>
              <w:jc w:val="center"/>
              <w:rPr>
                <w:color w:val="000000"/>
                <w:sz w:val="20"/>
                <w:szCs w:val="20"/>
              </w:rPr>
            </w:pPr>
            <w:r w:rsidRPr="00E8065F">
              <w:rPr>
                <w:color w:val="000000"/>
                <w:sz w:val="20"/>
                <w:szCs w:val="20"/>
              </w:rPr>
              <w:t>Компьютерный томограф</w:t>
            </w:r>
          </w:p>
        </w:tc>
        <w:tc>
          <w:tcPr>
            <w:tcW w:w="1181" w:type="dxa"/>
            <w:shd w:val="clear" w:color="auto" w:fill="auto"/>
          </w:tcPr>
          <w:p w:rsidR="0080478F" w:rsidRPr="00E8065F" w:rsidRDefault="0080478F" w:rsidP="000546C2">
            <w:pPr>
              <w:jc w:val="center"/>
              <w:rPr>
                <w:sz w:val="20"/>
                <w:szCs w:val="20"/>
              </w:rPr>
            </w:pPr>
            <w:r w:rsidRPr="00E8065F">
              <w:rPr>
                <w:sz w:val="20"/>
                <w:szCs w:val="20"/>
              </w:rPr>
              <w:t>2018</w:t>
            </w:r>
            <w:r w:rsidR="003D79B3">
              <w:rPr>
                <w:sz w:val="20"/>
                <w:szCs w:val="20"/>
              </w:rPr>
              <w:t xml:space="preserve"> </w:t>
            </w:r>
            <w:r w:rsidR="00417E61">
              <w:rPr>
                <w:sz w:val="20"/>
                <w:szCs w:val="20"/>
              </w:rPr>
              <w:t>(2)</w:t>
            </w:r>
          </w:p>
        </w:tc>
        <w:tc>
          <w:tcPr>
            <w:tcW w:w="1181" w:type="dxa"/>
            <w:tcBorders>
              <w:top w:val="nil"/>
              <w:left w:val="single" w:sz="4" w:space="0" w:color="auto"/>
              <w:bottom w:val="single" w:sz="4" w:space="0" w:color="auto"/>
              <w:right w:val="single" w:sz="4" w:space="0" w:color="auto"/>
            </w:tcBorders>
            <w:shd w:val="clear" w:color="auto" w:fill="auto"/>
          </w:tcPr>
          <w:p w:rsidR="0080478F" w:rsidRPr="00E8065F" w:rsidRDefault="0080478F" w:rsidP="000546C2">
            <w:pPr>
              <w:jc w:val="center"/>
              <w:rPr>
                <w:color w:val="000000"/>
                <w:sz w:val="20"/>
                <w:szCs w:val="20"/>
              </w:rPr>
            </w:pPr>
            <w:r w:rsidRPr="00E8065F">
              <w:rPr>
                <w:color w:val="000000"/>
                <w:sz w:val="20"/>
                <w:szCs w:val="20"/>
              </w:rPr>
              <w:t>2</w:t>
            </w:r>
          </w:p>
        </w:tc>
        <w:tc>
          <w:tcPr>
            <w:tcW w:w="1478" w:type="dxa"/>
            <w:tcBorders>
              <w:top w:val="nil"/>
              <w:left w:val="single" w:sz="4" w:space="0" w:color="auto"/>
              <w:bottom w:val="single" w:sz="4" w:space="0" w:color="auto"/>
              <w:right w:val="single" w:sz="4" w:space="0" w:color="auto"/>
            </w:tcBorders>
            <w:shd w:val="clear" w:color="auto" w:fill="auto"/>
          </w:tcPr>
          <w:p w:rsidR="0080478F" w:rsidRPr="00E8065F" w:rsidRDefault="0080478F" w:rsidP="000546C2">
            <w:pPr>
              <w:jc w:val="center"/>
              <w:rPr>
                <w:color w:val="000000"/>
                <w:sz w:val="20"/>
                <w:szCs w:val="20"/>
              </w:rPr>
            </w:pPr>
            <w:r w:rsidRPr="00E8065F">
              <w:rPr>
                <w:color w:val="000000"/>
                <w:sz w:val="20"/>
                <w:szCs w:val="20"/>
              </w:rPr>
              <w:t>33</w:t>
            </w:r>
          </w:p>
        </w:tc>
        <w:tc>
          <w:tcPr>
            <w:tcW w:w="1111" w:type="dxa"/>
            <w:tcBorders>
              <w:top w:val="nil"/>
              <w:left w:val="single" w:sz="4" w:space="0" w:color="auto"/>
              <w:bottom w:val="single" w:sz="4" w:space="0" w:color="auto"/>
              <w:right w:val="single" w:sz="4" w:space="0" w:color="auto"/>
            </w:tcBorders>
            <w:shd w:val="clear" w:color="auto" w:fill="auto"/>
          </w:tcPr>
          <w:p w:rsidR="0080478F" w:rsidRPr="00E8065F" w:rsidRDefault="0080478F" w:rsidP="000546C2">
            <w:pPr>
              <w:jc w:val="center"/>
              <w:rPr>
                <w:color w:val="000000"/>
                <w:sz w:val="20"/>
                <w:szCs w:val="20"/>
              </w:rPr>
            </w:pPr>
            <w:r w:rsidRPr="00E8065F">
              <w:rPr>
                <w:color w:val="000000"/>
                <w:sz w:val="20"/>
                <w:szCs w:val="20"/>
              </w:rPr>
              <w:t>2</w:t>
            </w:r>
          </w:p>
        </w:tc>
        <w:tc>
          <w:tcPr>
            <w:tcW w:w="1944" w:type="dxa"/>
            <w:tcBorders>
              <w:top w:val="nil"/>
              <w:left w:val="single" w:sz="4" w:space="0" w:color="auto"/>
              <w:bottom w:val="single" w:sz="4" w:space="0" w:color="auto"/>
              <w:right w:val="single" w:sz="4" w:space="0" w:color="auto"/>
            </w:tcBorders>
            <w:shd w:val="clear" w:color="auto" w:fill="auto"/>
          </w:tcPr>
          <w:p w:rsidR="0080478F" w:rsidRPr="00E8065F" w:rsidRDefault="0080478F" w:rsidP="00BA1432">
            <w:pPr>
              <w:jc w:val="center"/>
              <w:rPr>
                <w:color w:val="000000"/>
                <w:sz w:val="20"/>
                <w:szCs w:val="20"/>
              </w:rPr>
            </w:pPr>
            <w:r w:rsidRPr="00E8065F">
              <w:rPr>
                <w:color w:val="000000"/>
                <w:sz w:val="20"/>
                <w:szCs w:val="20"/>
              </w:rPr>
              <w:t>Амбулаторное</w:t>
            </w:r>
          </w:p>
        </w:tc>
      </w:tr>
      <w:tr w:rsidR="0080478F" w:rsidRPr="00E8065F" w:rsidTr="00CD3A6F">
        <w:trPr>
          <w:trHeight w:val="20"/>
        </w:trPr>
        <w:tc>
          <w:tcPr>
            <w:tcW w:w="1555" w:type="dxa"/>
            <w:vMerge/>
          </w:tcPr>
          <w:p w:rsidR="0080478F" w:rsidRPr="00E8065F" w:rsidRDefault="0080478F" w:rsidP="00BA1432">
            <w:pPr>
              <w:rPr>
                <w:sz w:val="20"/>
                <w:szCs w:val="20"/>
              </w:rPr>
            </w:pPr>
          </w:p>
        </w:tc>
        <w:tc>
          <w:tcPr>
            <w:tcW w:w="3685" w:type="dxa"/>
            <w:tcBorders>
              <w:top w:val="nil"/>
              <w:left w:val="single" w:sz="4" w:space="0" w:color="auto"/>
              <w:bottom w:val="single" w:sz="4" w:space="0" w:color="auto"/>
              <w:right w:val="single" w:sz="4" w:space="0" w:color="auto"/>
            </w:tcBorders>
            <w:shd w:val="clear" w:color="auto" w:fill="auto"/>
          </w:tcPr>
          <w:p w:rsidR="0080478F" w:rsidRPr="00E8065F" w:rsidRDefault="0080478F" w:rsidP="00DC0475">
            <w:pPr>
              <w:jc w:val="both"/>
              <w:rPr>
                <w:color w:val="000000"/>
                <w:sz w:val="20"/>
                <w:szCs w:val="20"/>
              </w:rPr>
            </w:pPr>
            <w:r w:rsidRPr="00E8065F">
              <w:rPr>
                <w:color w:val="000000"/>
                <w:sz w:val="20"/>
                <w:szCs w:val="20"/>
              </w:rPr>
              <w:t xml:space="preserve">ГАУЗ </w:t>
            </w:r>
            <w:r>
              <w:rPr>
                <w:color w:val="000000"/>
                <w:sz w:val="20"/>
                <w:szCs w:val="20"/>
              </w:rPr>
              <w:t>«</w:t>
            </w:r>
            <w:r w:rsidRPr="00E8065F">
              <w:rPr>
                <w:color w:val="000000"/>
                <w:sz w:val="20"/>
                <w:szCs w:val="20"/>
              </w:rPr>
              <w:t>Альметьевская ЦРБ</w:t>
            </w:r>
            <w:r>
              <w:rPr>
                <w:color w:val="000000"/>
                <w:sz w:val="20"/>
                <w:szCs w:val="20"/>
              </w:rPr>
              <w:t>»</w:t>
            </w:r>
          </w:p>
          <w:p w:rsidR="0080478F" w:rsidRPr="00E8065F" w:rsidRDefault="0080478F" w:rsidP="00DC0475">
            <w:pPr>
              <w:jc w:val="both"/>
              <w:rPr>
                <w:color w:val="000000"/>
                <w:sz w:val="20"/>
                <w:szCs w:val="20"/>
              </w:rPr>
            </w:pPr>
          </w:p>
        </w:tc>
        <w:tc>
          <w:tcPr>
            <w:tcW w:w="1994" w:type="dxa"/>
            <w:tcBorders>
              <w:top w:val="nil"/>
              <w:left w:val="single" w:sz="4" w:space="0" w:color="auto"/>
              <w:bottom w:val="single" w:sz="4" w:space="0" w:color="auto"/>
              <w:right w:val="single" w:sz="4" w:space="0" w:color="auto"/>
            </w:tcBorders>
            <w:shd w:val="clear" w:color="auto" w:fill="auto"/>
          </w:tcPr>
          <w:p w:rsidR="0080478F" w:rsidRPr="00E8065F" w:rsidRDefault="0080478F" w:rsidP="00BA1432">
            <w:pPr>
              <w:jc w:val="center"/>
              <w:rPr>
                <w:color w:val="000000"/>
                <w:sz w:val="20"/>
                <w:szCs w:val="20"/>
              </w:rPr>
            </w:pPr>
            <w:r w:rsidRPr="00E8065F">
              <w:rPr>
                <w:color w:val="000000"/>
                <w:sz w:val="20"/>
                <w:szCs w:val="20"/>
              </w:rPr>
              <w:t>Компьютерный томограф</w:t>
            </w:r>
          </w:p>
        </w:tc>
        <w:tc>
          <w:tcPr>
            <w:tcW w:w="1181" w:type="dxa"/>
            <w:tcBorders>
              <w:bottom w:val="single" w:sz="4" w:space="0" w:color="auto"/>
            </w:tcBorders>
            <w:shd w:val="clear" w:color="auto" w:fill="auto"/>
          </w:tcPr>
          <w:p w:rsidR="0080478F" w:rsidRPr="00E8065F" w:rsidRDefault="0080478F" w:rsidP="000546C2">
            <w:pPr>
              <w:jc w:val="center"/>
              <w:rPr>
                <w:sz w:val="20"/>
                <w:szCs w:val="20"/>
              </w:rPr>
            </w:pPr>
            <w:r w:rsidRPr="00E8065F">
              <w:rPr>
                <w:sz w:val="20"/>
                <w:szCs w:val="20"/>
              </w:rPr>
              <w:t>2019</w:t>
            </w:r>
            <w:r w:rsidR="003D79B3">
              <w:rPr>
                <w:sz w:val="20"/>
                <w:szCs w:val="20"/>
              </w:rPr>
              <w:t xml:space="preserve"> </w:t>
            </w:r>
            <w:r w:rsidR="00417E61">
              <w:rPr>
                <w:sz w:val="20"/>
                <w:szCs w:val="20"/>
              </w:rPr>
              <w:t>(1)</w:t>
            </w:r>
          </w:p>
          <w:p w:rsidR="0080478F" w:rsidRPr="00E8065F" w:rsidRDefault="0080478F" w:rsidP="000546C2">
            <w:pPr>
              <w:jc w:val="center"/>
              <w:rPr>
                <w:sz w:val="20"/>
                <w:szCs w:val="20"/>
              </w:rPr>
            </w:pPr>
            <w:r w:rsidRPr="00E8065F">
              <w:rPr>
                <w:sz w:val="20"/>
                <w:szCs w:val="20"/>
              </w:rPr>
              <w:t>2022</w:t>
            </w:r>
            <w:r w:rsidR="003D79B3">
              <w:rPr>
                <w:sz w:val="20"/>
                <w:szCs w:val="20"/>
              </w:rPr>
              <w:t xml:space="preserve"> </w:t>
            </w:r>
            <w:r w:rsidR="00417E61">
              <w:rPr>
                <w:sz w:val="20"/>
                <w:szCs w:val="20"/>
              </w:rPr>
              <w:t>(1)</w:t>
            </w:r>
          </w:p>
        </w:tc>
        <w:tc>
          <w:tcPr>
            <w:tcW w:w="1181" w:type="dxa"/>
            <w:tcBorders>
              <w:top w:val="nil"/>
              <w:left w:val="single" w:sz="4" w:space="0" w:color="auto"/>
              <w:bottom w:val="single" w:sz="4" w:space="0" w:color="auto"/>
              <w:right w:val="single" w:sz="4" w:space="0" w:color="auto"/>
            </w:tcBorders>
            <w:shd w:val="clear" w:color="auto" w:fill="auto"/>
          </w:tcPr>
          <w:p w:rsidR="0080478F" w:rsidRPr="00E8065F" w:rsidRDefault="0080478F" w:rsidP="000546C2">
            <w:pPr>
              <w:jc w:val="center"/>
              <w:rPr>
                <w:color w:val="000000"/>
                <w:sz w:val="20"/>
                <w:szCs w:val="20"/>
              </w:rPr>
            </w:pPr>
            <w:r w:rsidRPr="00E8065F">
              <w:rPr>
                <w:color w:val="000000"/>
                <w:sz w:val="20"/>
                <w:szCs w:val="20"/>
              </w:rPr>
              <w:t>2</w:t>
            </w:r>
          </w:p>
        </w:tc>
        <w:tc>
          <w:tcPr>
            <w:tcW w:w="1478" w:type="dxa"/>
            <w:tcBorders>
              <w:top w:val="nil"/>
              <w:left w:val="single" w:sz="4" w:space="0" w:color="auto"/>
              <w:bottom w:val="single" w:sz="4" w:space="0" w:color="auto"/>
              <w:right w:val="single" w:sz="4" w:space="0" w:color="auto"/>
            </w:tcBorders>
            <w:shd w:val="clear" w:color="auto" w:fill="auto"/>
          </w:tcPr>
          <w:p w:rsidR="0080478F" w:rsidRPr="00E8065F" w:rsidRDefault="0080478F" w:rsidP="000546C2">
            <w:pPr>
              <w:jc w:val="center"/>
              <w:rPr>
                <w:color w:val="000000"/>
                <w:sz w:val="20"/>
                <w:szCs w:val="20"/>
              </w:rPr>
            </w:pPr>
            <w:r w:rsidRPr="00E8065F">
              <w:rPr>
                <w:color w:val="000000"/>
                <w:sz w:val="20"/>
                <w:szCs w:val="20"/>
              </w:rPr>
              <w:t>40</w:t>
            </w:r>
          </w:p>
        </w:tc>
        <w:tc>
          <w:tcPr>
            <w:tcW w:w="1111" w:type="dxa"/>
            <w:tcBorders>
              <w:top w:val="nil"/>
              <w:left w:val="single" w:sz="4" w:space="0" w:color="auto"/>
              <w:bottom w:val="single" w:sz="4" w:space="0" w:color="auto"/>
              <w:right w:val="single" w:sz="4" w:space="0" w:color="auto"/>
            </w:tcBorders>
            <w:shd w:val="clear" w:color="auto" w:fill="auto"/>
          </w:tcPr>
          <w:p w:rsidR="0080478F" w:rsidRPr="00E8065F" w:rsidRDefault="0080478F" w:rsidP="000546C2">
            <w:pPr>
              <w:jc w:val="center"/>
              <w:rPr>
                <w:color w:val="000000"/>
                <w:sz w:val="20"/>
                <w:szCs w:val="20"/>
              </w:rPr>
            </w:pPr>
            <w:r w:rsidRPr="00E8065F">
              <w:rPr>
                <w:color w:val="000000"/>
                <w:sz w:val="20"/>
                <w:szCs w:val="20"/>
              </w:rPr>
              <w:t>2</w:t>
            </w:r>
          </w:p>
        </w:tc>
        <w:tc>
          <w:tcPr>
            <w:tcW w:w="1944" w:type="dxa"/>
            <w:tcBorders>
              <w:top w:val="nil"/>
              <w:left w:val="single" w:sz="4" w:space="0" w:color="auto"/>
              <w:bottom w:val="single" w:sz="4" w:space="0" w:color="auto"/>
              <w:right w:val="single" w:sz="4" w:space="0" w:color="auto"/>
            </w:tcBorders>
            <w:shd w:val="clear" w:color="auto" w:fill="auto"/>
          </w:tcPr>
          <w:p w:rsidR="0080478F" w:rsidRPr="00E8065F" w:rsidRDefault="0080478F" w:rsidP="00BA1432">
            <w:pPr>
              <w:jc w:val="center"/>
              <w:rPr>
                <w:color w:val="000000"/>
                <w:sz w:val="20"/>
                <w:szCs w:val="20"/>
              </w:rPr>
            </w:pPr>
            <w:r w:rsidRPr="00E8065F">
              <w:rPr>
                <w:color w:val="000000"/>
                <w:sz w:val="20"/>
                <w:szCs w:val="20"/>
              </w:rPr>
              <w:t>Стационарное</w:t>
            </w:r>
          </w:p>
        </w:tc>
      </w:tr>
      <w:tr w:rsidR="0080478F" w:rsidRPr="00E8065F" w:rsidTr="00CD3A6F">
        <w:trPr>
          <w:trHeight w:val="20"/>
        </w:trPr>
        <w:tc>
          <w:tcPr>
            <w:tcW w:w="1555" w:type="dxa"/>
            <w:vMerge/>
          </w:tcPr>
          <w:p w:rsidR="0080478F" w:rsidRPr="00E8065F" w:rsidRDefault="0080478F" w:rsidP="00BA1432">
            <w:pPr>
              <w:rPr>
                <w:sz w:val="20"/>
                <w:szCs w:val="20"/>
              </w:rPr>
            </w:pPr>
          </w:p>
        </w:tc>
        <w:tc>
          <w:tcPr>
            <w:tcW w:w="3685" w:type="dxa"/>
            <w:tcBorders>
              <w:top w:val="single" w:sz="4" w:space="0" w:color="auto"/>
              <w:bottom w:val="single" w:sz="4" w:space="0" w:color="auto"/>
              <w:right w:val="single" w:sz="4" w:space="0" w:color="auto"/>
            </w:tcBorders>
            <w:shd w:val="clear" w:color="auto" w:fill="auto"/>
          </w:tcPr>
          <w:p w:rsidR="0080478F" w:rsidRPr="00E8065F" w:rsidRDefault="0080478F" w:rsidP="00DC0475">
            <w:pPr>
              <w:jc w:val="both"/>
              <w:rPr>
                <w:color w:val="000000"/>
                <w:sz w:val="20"/>
                <w:szCs w:val="20"/>
              </w:rPr>
            </w:pPr>
            <w:r w:rsidRPr="00E8065F">
              <w:rPr>
                <w:color w:val="000000"/>
                <w:sz w:val="20"/>
                <w:szCs w:val="20"/>
              </w:rPr>
              <w:t xml:space="preserve">ГАУЗ </w:t>
            </w:r>
            <w:r>
              <w:rPr>
                <w:color w:val="000000"/>
                <w:sz w:val="20"/>
                <w:szCs w:val="20"/>
              </w:rPr>
              <w:t>«</w:t>
            </w:r>
            <w:r w:rsidRPr="00E8065F">
              <w:rPr>
                <w:color w:val="000000"/>
                <w:sz w:val="20"/>
                <w:szCs w:val="20"/>
              </w:rPr>
              <w:t>Арская ЦРБ</w:t>
            </w:r>
            <w:r>
              <w:rPr>
                <w:color w:val="000000"/>
                <w:sz w:val="20"/>
                <w:szCs w:val="20"/>
              </w:rPr>
              <w:t>»</w:t>
            </w:r>
          </w:p>
        </w:tc>
        <w:tc>
          <w:tcPr>
            <w:tcW w:w="1994" w:type="dxa"/>
            <w:tcBorders>
              <w:top w:val="single" w:sz="4" w:space="0" w:color="auto"/>
              <w:left w:val="single" w:sz="4" w:space="0" w:color="auto"/>
              <w:bottom w:val="single" w:sz="4" w:space="0" w:color="auto"/>
              <w:right w:val="single" w:sz="4" w:space="0" w:color="auto"/>
            </w:tcBorders>
            <w:shd w:val="clear" w:color="auto" w:fill="auto"/>
          </w:tcPr>
          <w:p w:rsidR="0080478F" w:rsidRPr="00E8065F" w:rsidRDefault="0080478F" w:rsidP="00BA1432">
            <w:pPr>
              <w:jc w:val="center"/>
              <w:rPr>
                <w:color w:val="000000"/>
                <w:sz w:val="20"/>
                <w:szCs w:val="20"/>
              </w:rPr>
            </w:pPr>
            <w:r w:rsidRPr="00E8065F">
              <w:rPr>
                <w:color w:val="000000"/>
                <w:sz w:val="20"/>
                <w:szCs w:val="20"/>
              </w:rPr>
              <w:t>Компьютерный томограф</w:t>
            </w:r>
          </w:p>
        </w:tc>
        <w:tc>
          <w:tcPr>
            <w:tcW w:w="1181" w:type="dxa"/>
            <w:tcBorders>
              <w:top w:val="single" w:sz="4" w:space="0" w:color="auto"/>
              <w:left w:val="single" w:sz="4" w:space="0" w:color="auto"/>
              <w:bottom w:val="single" w:sz="4" w:space="0" w:color="auto"/>
              <w:right w:val="single" w:sz="4" w:space="0" w:color="auto"/>
            </w:tcBorders>
            <w:shd w:val="clear" w:color="auto" w:fill="auto"/>
          </w:tcPr>
          <w:p w:rsidR="0080478F" w:rsidRPr="00E8065F" w:rsidRDefault="0080478F" w:rsidP="000546C2">
            <w:pPr>
              <w:jc w:val="center"/>
              <w:rPr>
                <w:sz w:val="20"/>
                <w:szCs w:val="20"/>
              </w:rPr>
            </w:pPr>
            <w:r w:rsidRPr="00E8065F">
              <w:rPr>
                <w:sz w:val="20"/>
                <w:szCs w:val="20"/>
              </w:rPr>
              <w:t>2021</w:t>
            </w:r>
          </w:p>
        </w:tc>
        <w:tc>
          <w:tcPr>
            <w:tcW w:w="1181" w:type="dxa"/>
            <w:tcBorders>
              <w:top w:val="single" w:sz="4" w:space="0" w:color="auto"/>
              <w:left w:val="single" w:sz="4" w:space="0" w:color="auto"/>
              <w:bottom w:val="single" w:sz="4" w:space="0" w:color="auto"/>
              <w:right w:val="single" w:sz="4" w:space="0" w:color="auto"/>
            </w:tcBorders>
            <w:shd w:val="clear" w:color="auto" w:fill="auto"/>
          </w:tcPr>
          <w:p w:rsidR="0080478F" w:rsidRPr="00E8065F" w:rsidRDefault="0080478F" w:rsidP="000546C2">
            <w:pPr>
              <w:jc w:val="center"/>
              <w:rPr>
                <w:color w:val="000000"/>
                <w:sz w:val="20"/>
                <w:szCs w:val="20"/>
              </w:rPr>
            </w:pPr>
            <w:r w:rsidRPr="00E8065F">
              <w:rPr>
                <w:color w:val="000000"/>
                <w:sz w:val="20"/>
                <w:szCs w:val="20"/>
              </w:rPr>
              <w:t>1</w:t>
            </w:r>
          </w:p>
        </w:tc>
        <w:tc>
          <w:tcPr>
            <w:tcW w:w="1478" w:type="dxa"/>
            <w:tcBorders>
              <w:top w:val="single" w:sz="4" w:space="0" w:color="auto"/>
              <w:left w:val="single" w:sz="4" w:space="0" w:color="auto"/>
              <w:bottom w:val="single" w:sz="4" w:space="0" w:color="auto"/>
              <w:right w:val="single" w:sz="4" w:space="0" w:color="auto"/>
            </w:tcBorders>
            <w:shd w:val="clear" w:color="auto" w:fill="auto"/>
          </w:tcPr>
          <w:p w:rsidR="0080478F" w:rsidRPr="00E8065F" w:rsidRDefault="0080478F" w:rsidP="000546C2">
            <w:pPr>
              <w:jc w:val="center"/>
              <w:rPr>
                <w:color w:val="000000"/>
                <w:sz w:val="20"/>
                <w:szCs w:val="20"/>
              </w:rPr>
            </w:pPr>
            <w:r w:rsidRPr="00E8065F">
              <w:rPr>
                <w:color w:val="000000"/>
                <w:sz w:val="20"/>
                <w:szCs w:val="20"/>
              </w:rPr>
              <w:t>16</w:t>
            </w:r>
          </w:p>
        </w:tc>
        <w:tc>
          <w:tcPr>
            <w:tcW w:w="1111" w:type="dxa"/>
            <w:tcBorders>
              <w:top w:val="single" w:sz="4" w:space="0" w:color="auto"/>
              <w:left w:val="single" w:sz="4" w:space="0" w:color="auto"/>
              <w:bottom w:val="single" w:sz="4" w:space="0" w:color="auto"/>
              <w:right w:val="single" w:sz="4" w:space="0" w:color="auto"/>
            </w:tcBorders>
            <w:shd w:val="clear" w:color="auto" w:fill="auto"/>
          </w:tcPr>
          <w:p w:rsidR="0080478F" w:rsidRPr="00E8065F" w:rsidRDefault="0080478F" w:rsidP="000546C2">
            <w:pPr>
              <w:jc w:val="center"/>
              <w:rPr>
                <w:color w:val="000000"/>
                <w:sz w:val="20"/>
                <w:szCs w:val="20"/>
              </w:rPr>
            </w:pPr>
            <w:r w:rsidRPr="00E8065F">
              <w:rPr>
                <w:color w:val="000000"/>
                <w:sz w:val="20"/>
                <w:szCs w:val="20"/>
              </w:rPr>
              <w:t>2</w:t>
            </w:r>
          </w:p>
        </w:tc>
        <w:tc>
          <w:tcPr>
            <w:tcW w:w="1944" w:type="dxa"/>
            <w:tcBorders>
              <w:top w:val="single" w:sz="4" w:space="0" w:color="auto"/>
              <w:left w:val="single" w:sz="4" w:space="0" w:color="auto"/>
              <w:bottom w:val="single" w:sz="4" w:space="0" w:color="auto"/>
              <w:right w:val="single" w:sz="4" w:space="0" w:color="auto"/>
            </w:tcBorders>
            <w:shd w:val="clear" w:color="auto" w:fill="auto"/>
          </w:tcPr>
          <w:p w:rsidR="0080478F" w:rsidRPr="00E8065F" w:rsidRDefault="0080478F" w:rsidP="00BA1432">
            <w:pPr>
              <w:jc w:val="center"/>
              <w:rPr>
                <w:color w:val="000000"/>
                <w:sz w:val="20"/>
                <w:szCs w:val="20"/>
              </w:rPr>
            </w:pPr>
            <w:r w:rsidRPr="00E8065F">
              <w:rPr>
                <w:color w:val="000000"/>
                <w:sz w:val="20"/>
                <w:szCs w:val="20"/>
              </w:rPr>
              <w:t>Стационарное</w:t>
            </w:r>
          </w:p>
        </w:tc>
      </w:tr>
      <w:tr w:rsidR="0080478F" w:rsidRPr="00E8065F" w:rsidTr="00CD3A6F">
        <w:trPr>
          <w:trHeight w:val="20"/>
        </w:trPr>
        <w:tc>
          <w:tcPr>
            <w:tcW w:w="1555" w:type="dxa"/>
            <w:vMerge/>
          </w:tcPr>
          <w:p w:rsidR="0080478F" w:rsidRPr="00E8065F" w:rsidRDefault="0080478F" w:rsidP="00BA1432">
            <w:pPr>
              <w:rPr>
                <w:sz w:val="20"/>
                <w:szCs w:val="20"/>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80478F" w:rsidRPr="00E8065F" w:rsidRDefault="0080478F" w:rsidP="00DC0475">
            <w:pPr>
              <w:jc w:val="both"/>
              <w:rPr>
                <w:color w:val="000000"/>
                <w:sz w:val="20"/>
                <w:szCs w:val="20"/>
              </w:rPr>
            </w:pPr>
            <w:r w:rsidRPr="00E8065F">
              <w:rPr>
                <w:color w:val="000000"/>
                <w:sz w:val="20"/>
                <w:szCs w:val="20"/>
              </w:rPr>
              <w:t xml:space="preserve">ГАУЗ </w:t>
            </w:r>
            <w:r>
              <w:rPr>
                <w:color w:val="000000"/>
                <w:sz w:val="20"/>
                <w:szCs w:val="20"/>
              </w:rPr>
              <w:t>«</w:t>
            </w:r>
            <w:r w:rsidRPr="00E8065F">
              <w:rPr>
                <w:color w:val="000000"/>
                <w:sz w:val="20"/>
                <w:szCs w:val="20"/>
              </w:rPr>
              <w:t>Балтасинская ЦРБ</w:t>
            </w:r>
            <w:r>
              <w:rPr>
                <w:color w:val="000000"/>
                <w:sz w:val="20"/>
                <w:szCs w:val="20"/>
              </w:rPr>
              <w:t>»</w:t>
            </w:r>
          </w:p>
        </w:tc>
        <w:tc>
          <w:tcPr>
            <w:tcW w:w="1994" w:type="dxa"/>
            <w:tcBorders>
              <w:top w:val="single" w:sz="4" w:space="0" w:color="auto"/>
              <w:left w:val="single" w:sz="4" w:space="0" w:color="auto"/>
              <w:bottom w:val="single" w:sz="4" w:space="0" w:color="auto"/>
              <w:right w:val="single" w:sz="4" w:space="0" w:color="auto"/>
            </w:tcBorders>
            <w:shd w:val="clear" w:color="auto" w:fill="auto"/>
          </w:tcPr>
          <w:p w:rsidR="0080478F" w:rsidRPr="00E8065F" w:rsidRDefault="0080478F" w:rsidP="00BA1432">
            <w:pPr>
              <w:jc w:val="center"/>
              <w:rPr>
                <w:color w:val="000000"/>
                <w:sz w:val="20"/>
                <w:szCs w:val="20"/>
              </w:rPr>
            </w:pPr>
            <w:r w:rsidRPr="00E8065F">
              <w:rPr>
                <w:color w:val="000000"/>
                <w:sz w:val="20"/>
                <w:szCs w:val="20"/>
              </w:rPr>
              <w:t>Компьютерный томограф</w:t>
            </w:r>
          </w:p>
        </w:tc>
        <w:tc>
          <w:tcPr>
            <w:tcW w:w="1181" w:type="dxa"/>
            <w:tcBorders>
              <w:top w:val="single" w:sz="4" w:space="0" w:color="auto"/>
            </w:tcBorders>
            <w:shd w:val="clear" w:color="auto" w:fill="auto"/>
          </w:tcPr>
          <w:p w:rsidR="0080478F" w:rsidRPr="00E8065F" w:rsidRDefault="0080478F" w:rsidP="000546C2">
            <w:pPr>
              <w:jc w:val="center"/>
              <w:rPr>
                <w:sz w:val="20"/>
                <w:szCs w:val="20"/>
              </w:rPr>
            </w:pPr>
            <w:r w:rsidRPr="00E8065F">
              <w:rPr>
                <w:sz w:val="20"/>
                <w:szCs w:val="20"/>
              </w:rPr>
              <w:t>2021</w:t>
            </w:r>
          </w:p>
        </w:tc>
        <w:tc>
          <w:tcPr>
            <w:tcW w:w="1181" w:type="dxa"/>
            <w:tcBorders>
              <w:top w:val="single" w:sz="4" w:space="0" w:color="auto"/>
              <w:left w:val="single" w:sz="4" w:space="0" w:color="auto"/>
              <w:bottom w:val="single" w:sz="4" w:space="0" w:color="auto"/>
              <w:right w:val="single" w:sz="4" w:space="0" w:color="auto"/>
            </w:tcBorders>
            <w:shd w:val="clear" w:color="auto" w:fill="auto"/>
          </w:tcPr>
          <w:p w:rsidR="0080478F" w:rsidRPr="00E8065F" w:rsidRDefault="0080478F" w:rsidP="000546C2">
            <w:pPr>
              <w:jc w:val="center"/>
              <w:rPr>
                <w:color w:val="000000"/>
                <w:sz w:val="20"/>
                <w:szCs w:val="20"/>
              </w:rPr>
            </w:pPr>
            <w:r w:rsidRPr="00E8065F">
              <w:rPr>
                <w:color w:val="000000"/>
                <w:sz w:val="20"/>
                <w:szCs w:val="20"/>
              </w:rPr>
              <w:t>1</w:t>
            </w:r>
          </w:p>
        </w:tc>
        <w:tc>
          <w:tcPr>
            <w:tcW w:w="1478" w:type="dxa"/>
            <w:tcBorders>
              <w:top w:val="single" w:sz="4" w:space="0" w:color="auto"/>
              <w:left w:val="single" w:sz="4" w:space="0" w:color="auto"/>
              <w:bottom w:val="single" w:sz="4" w:space="0" w:color="auto"/>
              <w:right w:val="single" w:sz="4" w:space="0" w:color="auto"/>
            </w:tcBorders>
            <w:shd w:val="clear" w:color="auto" w:fill="auto"/>
          </w:tcPr>
          <w:p w:rsidR="0080478F" w:rsidRPr="00E8065F" w:rsidRDefault="0080478F" w:rsidP="000546C2">
            <w:pPr>
              <w:jc w:val="center"/>
              <w:rPr>
                <w:color w:val="000000"/>
                <w:sz w:val="20"/>
                <w:szCs w:val="20"/>
              </w:rPr>
            </w:pPr>
            <w:r w:rsidRPr="00E8065F">
              <w:rPr>
                <w:color w:val="000000"/>
                <w:sz w:val="20"/>
                <w:szCs w:val="20"/>
              </w:rPr>
              <w:t>4</w:t>
            </w:r>
          </w:p>
        </w:tc>
        <w:tc>
          <w:tcPr>
            <w:tcW w:w="1111" w:type="dxa"/>
            <w:tcBorders>
              <w:top w:val="single" w:sz="4" w:space="0" w:color="auto"/>
              <w:left w:val="single" w:sz="4" w:space="0" w:color="auto"/>
              <w:bottom w:val="single" w:sz="4" w:space="0" w:color="auto"/>
              <w:right w:val="single" w:sz="4" w:space="0" w:color="auto"/>
            </w:tcBorders>
            <w:shd w:val="clear" w:color="auto" w:fill="auto"/>
          </w:tcPr>
          <w:p w:rsidR="0080478F" w:rsidRPr="00E8065F" w:rsidRDefault="0080478F" w:rsidP="000546C2">
            <w:pPr>
              <w:jc w:val="center"/>
              <w:rPr>
                <w:color w:val="000000"/>
                <w:sz w:val="20"/>
                <w:szCs w:val="20"/>
              </w:rPr>
            </w:pPr>
            <w:r w:rsidRPr="00E8065F">
              <w:rPr>
                <w:color w:val="000000"/>
                <w:sz w:val="20"/>
                <w:szCs w:val="20"/>
              </w:rPr>
              <w:t>2</w:t>
            </w:r>
          </w:p>
        </w:tc>
        <w:tc>
          <w:tcPr>
            <w:tcW w:w="1944" w:type="dxa"/>
            <w:tcBorders>
              <w:top w:val="single" w:sz="4" w:space="0" w:color="auto"/>
              <w:left w:val="single" w:sz="4" w:space="0" w:color="auto"/>
              <w:bottom w:val="single" w:sz="4" w:space="0" w:color="auto"/>
              <w:right w:val="single" w:sz="4" w:space="0" w:color="auto"/>
            </w:tcBorders>
            <w:shd w:val="clear" w:color="auto" w:fill="auto"/>
          </w:tcPr>
          <w:p w:rsidR="0080478F" w:rsidRPr="00E8065F" w:rsidRDefault="0080478F" w:rsidP="00BA1432">
            <w:pPr>
              <w:jc w:val="center"/>
              <w:rPr>
                <w:color w:val="000000"/>
                <w:sz w:val="20"/>
                <w:szCs w:val="20"/>
              </w:rPr>
            </w:pPr>
            <w:r w:rsidRPr="00E8065F">
              <w:rPr>
                <w:color w:val="000000"/>
                <w:sz w:val="20"/>
                <w:szCs w:val="20"/>
              </w:rPr>
              <w:t>Амбулаторное</w:t>
            </w:r>
          </w:p>
        </w:tc>
      </w:tr>
      <w:tr w:rsidR="0080478F" w:rsidRPr="00E8065F" w:rsidTr="000546C2">
        <w:trPr>
          <w:trHeight w:val="20"/>
        </w:trPr>
        <w:tc>
          <w:tcPr>
            <w:tcW w:w="1555" w:type="dxa"/>
            <w:vMerge/>
          </w:tcPr>
          <w:p w:rsidR="0080478F" w:rsidRPr="00E8065F" w:rsidRDefault="0080478F" w:rsidP="00BA1432">
            <w:pPr>
              <w:rPr>
                <w:sz w:val="20"/>
                <w:szCs w:val="20"/>
              </w:rPr>
            </w:pPr>
          </w:p>
        </w:tc>
        <w:tc>
          <w:tcPr>
            <w:tcW w:w="3685" w:type="dxa"/>
            <w:tcBorders>
              <w:top w:val="nil"/>
              <w:left w:val="single" w:sz="4" w:space="0" w:color="auto"/>
              <w:bottom w:val="single" w:sz="4" w:space="0" w:color="auto"/>
              <w:right w:val="single" w:sz="4" w:space="0" w:color="auto"/>
            </w:tcBorders>
            <w:shd w:val="clear" w:color="auto" w:fill="auto"/>
          </w:tcPr>
          <w:p w:rsidR="0080478F" w:rsidRPr="00E8065F" w:rsidRDefault="0080478F" w:rsidP="00DC0475">
            <w:pPr>
              <w:jc w:val="both"/>
              <w:rPr>
                <w:color w:val="000000"/>
                <w:sz w:val="20"/>
                <w:szCs w:val="20"/>
              </w:rPr>
            </w:pPr>
            <w:r w:rsidRPr="00E8065F">
              <w:rPr>
                <w:color w:val="000000"/>
                <w:sz w:val="20"/>
                <w:szCs w:val="20"/>
              </w:rPr>
              <w:t xml:space="preserve">ГАУЗ </w:t>
            </w:r>
            <w:r>
              <w:rPr>
                <w:color w:val="000000"/>
                <w:sz w:val="20"/>
                <w:szCs w:val="20"/>
              </w:rPr>
              <w:t>«</w:t>
            </w:r>
            <w:r w:rsidRPr="00E8065F">
              <w:rPr>
                <w:color w:val="000000"/>
                <w:sz w:val="20"/>
                <w:szCs w:val="20"/>
              </w:rPr>
              <w:t>Бугульминская ЦРБ</w:t>
            </w:r>
            <w:r>
              <w:rPr>
                <w:color w:val="000000"/>
                <w:sz w:val="20"/>
                <w:szCs w:val="20"/>
              </w:rPr>
              <w:t>»</w:t>
            </w:r>
          </w:p>
        </w:tc>
        <w:tc>
          <w:tcPr>
            <w:tcW w:w="1994" w:type="dxa"/>
            <w:tcBorders>
              <w:top w:val="nil"/>
              <w:left w:val="single" w:sz="4" w:space="0" w:color="auto"/>
              <w:bottom w:val="single" w:sz="4" w:space="0" w:color="auto"/>
              <w:right w:val="single" w:sz="4" w:space="0" w:color="auto"/>
            </w:tcBorders>
            <w:shd w:val="clear" w:color="auto" w:fill="auto"/>
          </w:tcPr>
          <w:p w:rsidR="0080478F" w:rsidRPr="00E8065F" w:rsidRDefault="0080478F" w:rsidP="00BA1432">
            <w:pPr>
              <w:jc w:val="center"/>
              <w:rPr>
                <w:color w:val="000000"/>
                <w:sz w:val="20"/>
                <w:szCs w:val="20"/>
              </w:rPr>
            </w:pPr>
            <w:r w:rsidRPr="00E8065F">
              <w:rPr>
                <w:color w:val="000000"/>
                <w:sz w:val="20"/>
                <w:szCs w:val="20"/>
              </w:rPr>
              <w:t>Компьютерный томограф</w:t>
            </w:r>
          </w:p>
        </w:tc>
        <w:tc>
          <w:tcPr>
            <w:tcW w:w="1181" w:type="dxa"/>
            <w:shd w:val="clear" w:color="auto" w:fill="auto"/>
          </w:tcPr>
          <w:p w:rsidR="0080478F" w:rsidRPr="00E8065F" w:rsidRDefault="0080478F" w:rsidP="000546C2">
            <w:pPr>
              <w:jc w:val="center"/>
              <w:rPr>
                <w:sz w:val="20"/>
                <w:szCs w:val="20"/>
              </w:rPr>
            </w:pPr>
            <w:r w:rsidRPr="00E8065F">
              <w:rPr>
                <w:sz w:val="20"/>
                <w:szCs w:val="20"/>
              </w:rPr>
              <w:t>2010</w:t>
            </w:r>
            <w:r w:rsidR="003D79B3">
              <w:rPr>
                <w:sz w:val="20"/>
                <w:szCs w:val="20"/>
              </w:rPr>
              <w:t xml:space="preserve"> </w:t>
            </w:r>
            <w:r w:rsidR="00417E61">
              <w:rPr>
                <w:sz w:val="20"/>
                <w:szCs w:val="20"/>
              </w:rPr>
              <w:t>(1)</w:t>
            </w:r>
          </w:p>
          <w:p w:rsidR="0080478F" w:rsidRPr="00E8065F" w:rsidRDefault="0080478F" w:rsidP="000546C2">
            <w:pPr>
              <w:jc w:val="center"/>
              <w:rPr>
                <w:sz w:val="20"/>
                <w:szCs w:val="20"/>
              </w:rPr>
            </w:pPr>
            <w:r w:rsidRPr="00E8065F">
              <w:rPr>
                <w:sz w:val="20"/>
                <w:szCs w:val="20"/>
              </w:rPr>
              <w:t>2022</w:t>
            </w:r>
            <w:r w:rsidR="003D79B3">
              <w:rPr>
                <w:sz w:val="20"/>
                <w:szCs w:val="20"/>
              </w:rPr>
              <w:t xml:space="preserve"> </w:t>
            </w:r>
            <w:r w:rsidR="00417E61">
              <w:rPr>
                <w:sz w:val="20"/>
                <w:szCs w:val="20"/>
              </w:rPr>
              <w:t>(1)</w:t>
            </w:r>
          </w:p>
        </w:tc>
        <w:tc>
          <w:tcPr>
            <w:tcW w:w="1181" w:type="dxa"/>
            <w:tcBorders>
              <w:top w:val="nil"/>
              <w:left w:val="single" w:sz="4" w:space="0" w:color="auto"/>
              <w:bottom w:val="single" w:sz="4" w:space="0" w:color="auto"/>
              <w:right w:val="single" w:sz="4" w:space="0" w:color="auto"/>
            </w:tcBorders>
            <w:shd w:val="clear" w:color="auto" w:fill="auto"/>
          </w:tcPr>
          <w:p w:rsidR="0080478F" w:rsidRPr="00E8065F" w:rsidRDefault="0080478F" w:rsidP="000546C2">
            <w:pPr>
              <w:jc w:val="center"/>
              <w:rPr>
                <w:color w:val="000000"/>
                <w:sz w:val="20"/>
                <w:szCs w:val="20"/>
              </w:rPr>
            </w:pPr>
            <w:r w:rsidRPr="00E8065F">
              <w:rPr>
                <w:color w:val="000000"/>
                <w:sz w:val="20"/>
                <w:szCs w:val="20"/>
              </w:rPr>
              <w:t>2</w:t>
            </w:r>
          </w:p>
        </w:tc>
        <w:tc>
          <w:tcPr>
            <w:tcW w:w="1478" w:type="dxa"/>
            <w:tcBorders>
              <w:top w:val="nil"/>
              <w:left w:val="single" w:sz="4" w:space="0" w:color="auto"/>
              <w:bottom w:val="single" w:sz="4" w:space="0" w:color="auto"/>
              <w:right w:val="single" w:sz="4" w:space="0" w:color="auto"/>
            </w:tcBorders>
            <w:shd w:val="clear" w:color="auto" w:fill="auto"/>
          </w:tcPr>
          <w:p w:rsidR="0080478F" w:rsidRPr="00E8065F" w:rsidRDefault="0080478F" w:rsidP="000546C2">
            <w:pPr>
              <w:jc w:val="center"/>
              <w:rPr>
                <w:color w:val="000000"/>
                <w:sz w:val="20"/>
                <w:szCs w:val="20"/>
              </w:rPr>
            </w:pPr>
            <w:r w:rsidRPr="00E8065F">
              <w:rPr>
                <w:color w:val="000000"/>
                <w:sz w:val="20"/>
                <w:szCs w:val="20"/>
              </w:rPr>
              <w:t>24</w:t>
            </w:r>
          </w:p>
        </w:tc>
        <w:tc>
          <w:tcPr>
            <w:tcW w:w="1111" w:type="dxa"/>
            <w:tcBorders>
              <w:top w:val="nil"/>
              <w:left w:val="single" w:sz="4" w:space="0" w:color="auto"/>
              <w:bottom w:val="single" w:sz="4" w:space="0" w:color="auto"/>
              <w:right w:val="single" w:sz="4" w:space="0" w:color="auto"/>
            </w:tcBorders>
            <w:shd w:val="clear" w:color="auto" w:fill="auto"/>
          </w:tcPr>
          <w:p w:rsidR="0080478F" w:rsidRPr="00E8065F" w:rsidRDefault="0080478F" w:rsidP="000546C2">
            <w:pPr>
              <w:jc w:val="center"/>
              <w:rPr>
                <w:color w:val="000000"/>
                <w:sz w:val="20"/>
                <w:szCs w:val="20"/>
              </w:rPr>
            </w:pPr>
            <w:r w:rsidRPr="00E8065F">
              <w:rPr>
                <w:color w:val="000000"/>
                <w:sz w:val="20"/>
                <w:szCs w:val="20"/>
              </w:rPr>
              <w:t>2</w:t>
            </w:r>
          </w:p>
        </w:tc>
        <w:tc>
          <w:tcPr>
            <w:tcW w:w="1944" w:type="dxa"/>
            <w:tcBorders>
              <w:top w:val="nil"/>
              <w:left w:val="single" w:sz="4" w:space="0" w:color="auto"/>
              <w:bottom w:val="single" w:sz="4" w:space="0" w:color="auto"/>
              <w:right w:val="single" w:sz="4" w:space="0" w:color="auto"/>
            </w:tcBorders>
            <w:shd w:val="clear" w:color="auto" w:fill="auto"/>
          </w:tcPr>
          <w:p w:rsidR="0080478F" w:rsidRPr="00E8065F" w:rsidRDefault="0080478F" w:rsidP="00BA1432">
            <w:pPr>
              <w:jc w:val="center"/>
              <w:rPr>
                <w:color w:val="000000"/>
                <w:sz w:val="20"/>
                <w:szCs w:val="20"/>
              </w:rPr>
            </w:pPr>
            <w:r w:rsidRPr="00E8065F">
              <w:rPr>
                <w:color w:val="000000"/>
                <w:sz w:val="20"/>
                <w:szCs w:val="20"/>
              </w:rPr>
              <w:t>Стационарное</w:t>
            </w:r>
          </w:p>
        </w:tc>
      </w:tr>
      <w:tr w:rsidR="0080478F" w:rsidRPr="00E8065F" w:rsidTr="000546C2">
        <w:trPr>
          <w:trHeight w:val="20"/>
        </w:trPr>
        <w:tc>
          <w:tcPr>
            <w:tcW w:w="1555" w:type="dxa"/>
            <w:vMerge/>
          </w:tcPr>
          <w:p w:rsidR="0080478F" w:rsidRPr="00E8065F" w:rsidRDefault="0080478F" w:rsidP="00BA1432">
            <w:pPr>
              <w:rPr>
                <w:sz w:val="20"/>
                <w:szCs w:val="20"/>
              </w:rPr>
            </w:pPr>
          </w:p>
        </w:tc>
        <w:tc>
          <w:tcPr>
            <w:tcW w:w="3685" w:type="dxa"/>
            <w:tcBorders>
              <w:top w:val="nil"/>
              <w:left w:val="single" w:sz="4" w:space="0" w:color="auto"/>
              <w:bottom w:val="single" w:sz="4" w:space="0" w:color="auto"/>
              <w:right w:val="single" w:sz="4" w:space="0" w:color="auto"/>
            </w:tcBorders>
            <w:shd w:val="clear" w:color="auto" w:fill="auto"/>
          </w:tcPr>
          <w:p w:rsidR="0080478F" w:rsidRPr="00E8065F" w:rsidRDefault="0080478F" w:rsidP="00DC0475">
            <w:pPr>
              <w:jc w:val="both"/>
              <w:rPr>
                <w:color w:val="000000"/>
                <w:sz w:val="20"/>
                <w:szCs w:val="20"/>
              </w:rPr>
            </w:pPr>
            <w:r w:rsidRPr="00E8065F">
              <w:rPr>
                <w:color w:val="000000"/>
                <w:sz w:val="20"/>
                <w:szCs w:val="20"/>
              </w:rPr>
              <w:t xml:space="preserve">ГАУЗ </w:t>
            </w:r>
            <w:r>
              <w:rPr>
                <w:color w:val="000000"/>
                <w:sz w:val="20"/>
                <w:szCs w:val="20"/>
              </w:rPr>
              <w:t>«</w:t>
            </w:r>
            <w:r w:rsidRPr="00E8065F">
              <w:rPr>
                <w:color w:val="000000"/>
                <w:sz w:val="20"/>
                <w:szCs w:val="20"/>
              </w:rPr>
              <w:t>Буинская ЦРБ</w:t>
            </w:r>
            <w:r>
              <w:rPr>
                <w:color w:val="000000"/>
                <w:sz w:val="20"/>
                <w:szCs w:val="20"/>
              </w:rPr>
              <w:t>»</w:t>
            </w:r>
          </w:p>
        </w:tc>
        <w:tc>
          <w:tcPr>
            <w:tcW w:w="1994" w:type="dxa"/>
            <w:tcBorders>
              <w:top w:val="nil"/>
              <w:left w:val="single" w:sz="4" w:space="0" w:color="auto"/>
              <w:bottom w:val="single" w:sz="4" w:space="0" w:color="auto"/>
              <w:right w:val="single" w:sz="4" w:space="0" w:color="auto"/>
            </w:tcBorders>
            <w:shd w:val="clear" w:color="auto" w:fill="auto"/>
          </w:tcPr>
          <w:p w:rsidR="0080478F" w:rsidRPr="00E8065F" w:rsidRDefault="0080478F" w:rsidP="00BA1432">
            <w:pPr>
              <w:jc w:val="center"/>
              <w:rPr>
                <w:color w:val="000000"/>
                <w:sz w:val="20"/>
                <w:szCs w:val="20"/>
              </w:rPr>
            </w:pPr>
            <w:r w:rsidRPr="00E8065F">
              <w:rPr>
                <w:color w:val="000000"/>
                <w:sz w:val="20"/>
                <w:szCs w:val="20"/>
              </w:rPr>
              <w:t>Компьютерный томограф</w:t>
            </w:r>
          </w:p>
        </w:tc>
        <w:tc>
          <w:tcPr>
            <w:tcW w:w="1181" w:type="dxa"/>
            <w:shd w:val="clear" w:color="auto" w:fill="auto"/>
          </w:tcPr>
          <w:p w:rsidR="0080478F" w:rsidRPr="00E8065F" w:rsidRDefault="0080478F" w:rsidP="000546C2">
            <w:pPr>
              <w:jc w:val="center"/>
              <w:rPr>
                <w:sz w:val="20"/>
                <w:szCs w:val="20"/>
              </w:rPr>
            </w:pPr>
            <w:r w:rsidRPr="00E8065F">
              <w:rPr>
                <w:sz w:val="20"/>
                <w:szCs w:val="20"/>
              </w:rPr>
              <w:t>2021</w:t>
            </w:r>
            <w:r w:rsidR="003D79B3">
              <w:rPr>
                <w:sz w:val="20"/>
                <w:szCs w:val="20"/>
              </w:rPr>
              <w:t xml:space="preserve"> </w:t>
            </w:r>
            <w:r w:rsidR="00417E61">
              <w:rPr>
                <w:sz w:val="20"/>
                <w:szCs w:val="20"/>
              </w:rPr>
              <w:t>(2)</w:t>
            </w:r>
          </w:p>
          <w:p w:rsidR="0080478F" w:rsidRPr="00E8065F" w:rsidRDefault="0080478F" w:rsidP="000546C2">
            <w:pPr>
              <w:jc w:val="center"/>
              <w:rPr>
                <w:sz w:val="20"/>
                <w:szCs w:val="20"/>
              </w:rPr>
            </w:pPr>
          </w:p>
        </w:tc>
        <w:tc>
          <w:tcPr>
            <w:tcW w:w="1181" w:type="dxa"/>
            <w:tcBorders>
              <w:top w:val="nil"/>
              <w:left w:val="single" w:sz="4" w:space="0" w:color="auto"/>
              <w:bottom w:val="single" w:sz="4" w:space="0" w:color="auto"/>
              <w:right w:val="single" w:sz="4" w:space="0" w:color="auto"/>
            </w:tcBorders>
            <w:shd w:val="clear" w:color="auto" w:fill="auto"/>
          </w:tcPr>
          <w:p w:rsidR="0080478F" w:rsidRPr="00E8065F" w:rsidRDefault="0080478F" w:rsidP="000546C2">
            <w:pPr>
              <w:jc w:val="center"/>
              <w:rPr>
                <w:color w:val="000000"/>
                <w:sz w:val="20"/>
                <w:szCs w:val="20"/>
              </w:rPr>
            </w:pPr>
            <w:r w:rsidRPr="00E8065F">
              <w:rPr>
                <w:color w:val="000000"/>
                <w:sz w:val="20"/>
                <w:szCs w:val="20"/>
              </w:rPr>
              <w:t>2</w:t>
            </w:r>
          </w:p>
        </w:tc>
        <w:tc>
          <w:tcPr>
            <w:tcW w:w="1478" w:type="dxa"/>
            <w:tcBorders>
              <w:top w:val="nil"/>
              <w:left w:val="single" w:sz="4" w:space="0" w:color="auto"/>
              <w:bottom w:val="single" w:sz="4" w:space="0" w:color="auto"/>
              <w:right w:val="single" w:sz="4" w:space="0" w:color="auto"/>
            </w:tcBorders>
            <w:shd w:val="clear" w:color="auto" w:fill="auto"/>
          </w:tcPr>
          <w:p w:rsidR="0080478F" w:rsidRPr="00E8065F" w:rsidRDefault="0080478F" w:rsidP="000546C2">
            <w:pPr>
              <w:jc w:val="center"/>
              <w:rPr>
                <w:color w:val="000000"/>
                <w:sz w:val="20"/>
                <w:szCs w:val="20"/>
              </w:rPr>
            </w:pPr>
            <w:r w:rsidRPr="00E8065F">
              <w:rPr>
                <w:color w:val="000000"/>
                <w:sz w:val="20"/>
                <w:szCs w:val="20"/>
              </w:rPr>
              <w:t>24</w:t>
            </w:r>
          </w:p>
        </w:tc>
        <w:tc>
          <w:tcPr>
            <w:tcW w:w="1111" w:type="dxa"/>
            <w:tcBorders>
              <w:top w:val="nil"/>
              <w:left w:val="single" w:sz="4" w:space="0" w:color="auto"/>
              <w:bottom w:val="single" w:sz="4" w:space="0" w:color="auto"/>
              <w:right w:val="single" w:sz="4" w:space="0" w:color="auto"/>
            </w:tcBorders>
            <w:shd w:val="clear" w:color="auto" w:fill="auto"/>
          </w:tcPr>
          <w:p w:rsidR="0080478F" w:rsidRPr="00E8065F" w:rsidRDefault="0080478F" w:rsidP="000546C2">
            <w:pPr>
              <w:jc w:val="center"/>
              <w:rPr>
                <w:color w:val="000000"/>
                <w:sz w:val="20"/>
                <w:szCs w:val="20"/>
              </w:rPr>
            </w:pPr>
            <w:r w:rsidRPr="00E8065F">
              <w:rPr>
                <w:color w:val="000000"/>
                <w:sz w:val="20"/>
                <w:szCs w:val="20"/>
              </w:rPr>
              <w:t>2</w:t>
            </w:r>
          </w:p>
        </w:tc>
        <w:tc>
          <w:tcPr>
            <w:tcW w:w="1944" w:type="dxa"/>
            <w:tcBorders>
              <w:top w:val="nil"/>
              <w:left w:val="single" w:sz="4" w:space="0" w:color="auto"/>
              <w:bottom w:val="single" w:sz="4" w:space="0" w:color="auto"/>
              <w:right w:val="single" w:sz="4" w:space="0" w:color="auto"/>
            </w:tcBorders>
            <w:shd w:val="clear" w:color="auto" w:fill="auto"/>
          </w:tcPr>
          <w:p w:rsidR="0080478F" w:rsidRPr="00E8065F" w:rsidRDefault="0080478F" w:rsidP="00BA1432">
            <w:pPr>
              <w:jc w:val="center"/>
              <w:rPr>
                <w:color w:val="000000"/>
                <w:sz w:val="20"/>
                <w:szCs w:val="20"/>
              </w:rPr>
            </w:pPr>
            <w:r w:rsidRPr="00E8065F">
              <w:rPr>
                <w:color w:val="000000"/>
                <w:sz w:val="20"/>
                <w:szCs w:val="20"/>
              </w:rPr>
              <w:t>Амбулаторное</w:t>
            </w:r>
          </w:p>
        </w:tc>
      </w:tr>
      <w:tr w:rsidR="0080478F" w:rsidRPr="00E8065F" w:rsidTr="000546C2">
        <w:trPr>
          <w:trHeight w:val="20"/>
        </w:trPr>
        <w:tc>
          <w:tcPr>
            <w:tcW w:w="1555" w:type="dxa"/>
            <w:vMerge/>
          </w:tcPr>
          <w:p w:rsidR="0080478F" w:rsidRPr="00E8065F" w:rsidRDefault="0080478F" w:rsidP="00BA1432">
            <w:pPr>
              <w:rPr>
                <w:sz w:val="20"/>
                <w:szCs w:val="20"/>
              </w:rPr>
            </w:pPr>
          </w:p>
        </w:tc>
        <w:tc>
          <w:tcPr>
            <w:tcW w:w="3685" w:type="dxa"/>
            <w:tcBorders>
              <w:top w:val="nil"/>
              <w:left w:val="single" w:sz="4" w:space="0" w:color="auto"/>
              <w:bottom w:val="single" w:sz="4" w:space="0" w:color="auto"/>
              <w:right w:val="single" w:sz="4" w:space="0" w:color="auto"/>
            </w:tcBorders>
            <w:shd w:val="clear" w:color="auto" w:fill="auto"/>
          </w:tcPr>
          <w:p w:rsidR="0080478F" w:rsidRPr="00E8065F" w:rsidRDefault="0080478F" w:rsidP="00DC0475">
            <w:pPr>
              <w:jc w:val="both"/>
              <w:rPr>
                <w:color w:val="000000"/>
                <w:sz w:val="20"/>
                <w:szCs w:val="20"/>
              </w:rPr>
            </w:pPr>
            <w:r w:rsidRPr="00E8065F">
              <w:rPr>
                <w:color w:val="000000"/>
                <w:sz w:val="20"/>
                <w:szCs w:val="20"/>
              </w:rPr>
              <w:t xml:space="preserve">ГАУЗ </w:t>
            </w:r>
            <w:r>
              <w:rPr>
                <w:color w:val="000000"/>
                <w:sz w:val="20"/>
                <w:szCs w:val="20"/>
              </w:rPr>
              <w:t>«</w:t>
            </w:r>
            <w:r w:rsidRPr="00E8065F">
              <w:rPr>
                <w:color w:val="000000"/>
                <w:sz w:val="20"/>
                <w:szCs w:val="20"/>
              </w:rPr>
              <w:t>Высокогорская ЦРБ</w:t>
            </w:r>
            <w:r>
              <w:rPr>
                <w:color w:val="000000"/>
                <w:sz w:val="20"/>
                <w:szCs w:val="20"/>
              </w:rPr>
              <w:t>»</w:t>
            </w:r>
          </w:p>
        </w:tc>
        <w:tc>
          <w:tcPr>
            <w:tcW w:w="1994" w:type="dxa"/>
            <w:tcBorders>
              <w:top w:val="nil"/>
              <w:left w:val="single" w:sz="4" w:space="0" w:color="auto"/>
              <w:bottom w:val="single" w:sz="4" w:space="0" w:color="auto"/>
              <w:right w:val="single" w:sz="4" w:space="0" w:color="auto"/>
            </w:tcBorders>
            <w:shd w:val="clear" w:color="auto" w:fill="auto"/>
          </w:tcPr>
          <w:p w:rsidR="0080478F" w:rsidRPr="00E8065F" w:rsidRDefault="0080478F" w:rsidP="00BA1432">
            <w:pPr>
              <w:jc w:val="center"/>
              <w:rPr>
                <w:color w:val="000000"/>
                <w:sz w:val="20"/>
                <w:szCs w:val="20"/>
              </w:rPr>
            </w:pPr>
            <w:r w:rsidRPr="00E8065F">
              <w:rPr>
                <w:color w:val="000000"/>
                <w:sz w:val="20"/>
                <w:szCs w:val="20"/>
              </w:rPr>
              <w:t>Компьютерный томограф</w:t>
            </w:r>
          </w:p>
        </w:tc>
        <w:tc>
          <w:tcPr>
            <w:tcW w:w="1181" w:type="dxa"/>
            <w:shd w:val="clear" w:color="auto" w:fill="auto"/>
          </w:tcPr>
          <w:p w:rsidR="0080478F" w:rsidRPr="00E8065F" w:rsidRDefault="0080478F" w:rsidP="000546C2">
            <w:pPr>
              <w:jc w:val="center"/>
              <w:rPr>
                <w:sz w:val="20"/>
                <w:szCs w:val="20"/>
              </w:rPr>
            </w:pPr>
            <w:r w:rsidRPr="00E8065F">
              <w:rPr>
                <w:sz w:val="20"/>
                <w:szCs w:val="20"/>
              </w:rPr>
              <w:t>2022</w:t>
            </w:r>
          </w:p>
        </w:tc>
        <w:tc>
          <w:tcPr>
            <w:tcW w:w="1181" w:type="dxa"/>
            <w:tcBorders>
              <w:top w:val="nil"/>
              <w:left w:val="single" w:sz="4" w:space="0" w:color="auto"/>
              <w:bottom w:val="single" w:sz="4" w:space="0" w:color="auto"/>
              <w:right w:val="single" w:sz="4" w:space="0" w:color="auto"/>
            </w:tcBorders>
            <w:shd w:val="clear" w:color="auto" w:fill="auto"/>
          </w:tcPr>
          <w:p w:rsidR="0080478F" w:rsidRPr="00E8065F" w:rsidRDefault="0080478F" w:rsidP="000546C2">
            <w:pPr>
              <w:jc w:val="center"/>
              <w:rPr>
                <w:color w:val="000000"/>
                <w:sz w:val="20"/>
                <w:szCs w:val="20"/>
              </w:rPr>
            </w:pPr>
            <w:r w:rsidRPr="00E8065F">
              <w:rPr>
                <w:color w:val="000000"/>
                <w:sz w:val="20"/>
                <w:szCs w:val="20"/>
              </w:rPr>
              <w:t>1</w:t>
            </w:r>
          </w:p>
        </w:tc>
        <w:tc>
          <w:tcPr>
            <w:tcW w:w="1478" w:type="dxa"/>
            <w:tcBorders>
              <w:top w:val="nil"/>
              <w:left w:val="single" w:sz="4" w:space="0" w:color="auto"/>
              <w:bottom w:val="single" w:sz="4" w:space="0" w:color="auto"/>
              <w:right w:val="single" w:sz="4" w:space="0" w:color="auto"/>
            </w:tcBorders>
            <w:shd w:val="clear" w:color="auto" w:fill="auto"/>
          </w:tcPr>
          <w:p w:rsidR="0080478F" w:rsidRPr="00E8065F" w:rsidRDefault="0080478F" w:rsidP="000546C2">
            <w:pPr>
              <w:jc w:val="center"/>
              <w:rPr>
                <w:color w:val="000000"/>
                <w:sz w:val="20"/>
                <w:szCs w:val="20"/>
              </w:rPr>
            </w:pPr>
            <w:r w:rsidRPr="00E8065F">
              <w:rPr>
                <w:color w:val="000000"/>
                <w:sz w:val="20"/>
                <w:szCs w:val="20"/>
              </w:rPr>
              <w:t>5</w:t>
            </w:r>
          </w:p>
        </w:tc>
        <w:tc>
          <w:tcPr>
            <w:tcW w:w="1111" w:type="dxa"/>
            <w:tcBorders>
              <w:top w:val="nil"/>
              <w:left w:val="single" w:sz="4" w:space="0" w:color="auto"/>
              <w:bottom w:val="single" w:sz="4" w:space="0" w:color="auto"/>
              <w:right w:val="single" w:sz="4" w:space="0" w:color="auto"/>
            </w:tcBorders>
            <w:shd w:val="clear" w:color="auto" w:fill="auto"/>
          </w:tcPr>
          <w:p w:rsidR="0080478F" w:rsidRPr="00E8065F" w:rsidRDefault="0080478F" w:rsidP="000546C2">
            <w:pPr>
              <w:jc w:val="center"/>
              <w:rPr>
                <w:color w:val="000000"/>
                <w:sz w:val="20"/>
                <w:szCs w:val="20"/>
              </w:rPr>
            </w:pPr>
            <w:r w:rsidRPr="00E8065F">
              <w:rPr>
                <w:color w:val="000000"/>
                <w:sz w:val="20"/>
                <w:szCs w:val="20"/>
              </w:rPr>
              <w:t>2</w:t>
            </w:r>
          </w:p>
        </w:tc>
        <w:tc>
          <w:tcPr>
            <w:tcW w:w="1944" w:type="dxa"/>
            <w:tcBorders>
              <w:top w:val="nil"/>
              <w:left w:val="single" w:sz="4" w:space="0" w:color="auto"/>
              <w:bottom w:val="single" w:sz="4" w:space="0" w:color="auto"/>
              <w:right w:val="single" w:sz="4" w:space="0" w:color="auto"/>
            </w:tcBorders>
            <w:shd w:val="clear" w:color="auto" w:fill="auto"/>
          </w:tcPr>
          <w:p w:rsidR="0080478F" w:rsidRPr="00E8065F" w:rsidRDefault="0080478F" w:rsidP="00BA1432">
            <w:pPr>
              <w:jc w:val="center"/>
              <w:rPr>
                <w:color w:val="000000"/>
                <w:sz w:val="20"/>
                <w:szCs w:val="20"/>
              </w:rPr>
            </w:pPr>
            <w:r w:rsidRPr="00E8065F">
              <w:rPr>
                <w:color w:val="000000"/>
                <w:sz w:val="20"/>
                <w:szCs w:val="20"/>
              </w:rPr>
              <w:t>Амбулаторное</w:t>
            </w:r>
          </w:p>
        </w:tc>
      </w:tr>
      <w:tr w:rsidR="0080478F" w:rsidRPr="00E8065F" w:rsidTr="000546C2">
        <w:trPr>
          <w:trHeight w:val="20"/>
        </w:trPr>
        <w:tc>
          <w:tcPr>
            <w:tcW w:w="1555" w:type="dxa"/>
            <w:vMerge/>
          </w:tcPr>
          <w:p w:rsidR="0080478F" w:rsidRPr="00E8065F" w:rsidRDefault="0080478F" w:rsidP="00BA1432">
            <w:pPr>
              <w:rPr>
                <w:sz w:val="20"/>
                <w:szCs w:val="20"/>
              </w:rPr>
            </w:pPr>
          </w:p>
        </w:tc>
        <w:tc>
          <w:tcPr>
            <w:tcW w:w="3685" w:type="dxa"/>
            <w:tcBorders>
              <w:top w:val="nil"/>
              <w:left w:val="single" w:sz="4" w:space="0" w:color="auto"/>
              <w:bottom w:val="single" w:sz="4" w:space="0" w:color="auto"/>
              <w:right w:val="single" w:sz="4" w:space="0" w:color="auto"/>
            </w:tcBorders>
            <w:shd w:val="clear" w:color="auto" w:fill="auto"/>
          </w:tcPr>
          <w:p w:rsidR="0080478F" w:rsidRPr="00E8065F" w:rsidRDefault="0080478F" w:rsidP="00DC0475">
            <w:pPr>
              <w:jc w:val="both"/>
              <w:rPr>
                <w:color w:val="000000"/>
                <w:sz w:val="20"/>
                <w:szCs w:val="20"/>
              </w:rPr>
            </w:pPr>
            <w:r w:rsidRPr="00E8065F">
              <w:rPr>
                <w:color w:val="000000"/>
                <w:sz w:val="20"/>
                <w:szCs w:val="20"/>
              </w:rPr>
              <w:t xml:space="preserve">ГАУЗ </w:t>
            </w:r>
            <w:r>
              <w:rPr>
                <w:color w:val="000000"/>
                <w:sz w:val="20"/>
                <w:szCs w:val="20"/>
              </w:rPr>
              <w:t>«</w:t>
            </w:r>
            <w:r w:rsidRPr="00E8065F">
              <w:rPr>
                <w:color w:val="000000"/>
                <w:sz w:val="20"/>
                <w:szCs w:val="20"/>
              </w:rPr>
              <w:t>Дрожжановская ЦРБ</w:t>
            </w:r>
            <w:r>
              <w:rPr>
                <w:color w:val="000000"/>
                <w:sz w:val="20"/>
                <w:szCs w:val="20"/>
              </w:rPr>
              <w:t>»</w:t>
            </w:r>
          </w:p>
        </w:tc>
        <w:tc>
          <w:tcPr>
            <w:tcW w:w="1994" w:type="dxa"/>
            <w:tcBorders>
              <w:top w:val="nil"/>
              <w:left w:val="single" w:sz="4" w:space="0" w:color="auto"/>
              <w:bottom w:val="single" w:sz="4" w:space="0" w:color="auto"/>
              <w:right w:val="single" w:sz="4" w:space="0" w:color="auto"/>
            </w:tcBorders>
            <w:shd w:val="clear" w:color="auto" w:fill="auto"/>
          </w:tcPr>
          <w:p w:rsidR="0080478F" w:rsidRPr="00E8065F" w:rsidRDefault="0080478F" w:rsidP="00BA1432">
            <w:pPr>
              <w:jc w:val="center"/>
              <w:rPr>
                <w:color w:val="000000"/>
                <w:sz w:val="20"/>
                <w:szCs w:val="20"/>
              </w:rPr>
            </w:pPr>
            <w:r w:rsidRPr="00E8065F">
              <w:rPr>
                <w:color w:val="000000"/>
                <w:sz w:val="20"/>
                <w:szCs w:val="20"/>
              </w:rPr>
              <w:t>Компьютерный томограф</w:t>
            </w:r>
          </w:p>
        </w:tc>
        <w:tc>
          <w:tcPr>
            <w:tcW w:w="1181" w:type="dxa"/>
            <w:shd w:val="clear" w:color="auto" w:fill="auto"/>
          </w:tcPr>
          <w:p w:rsidR="0080478F" w:rsidRPr="00E8065F" w:rsidRDefault="0080478F" w:rsidP="000546C2">
            <w:pPr>
              <w:jc w:val="center"/>
              <w:rPr>
                <w:sz w:val="20"/>
                <w:szCs w:val="20"/>
              </w:rPr>
            </w:pPr>
            <w:r w:rsidRPr="00E8065F">
              <w:rPr>
                <w:sz w:val="20"/>
                <w:szCs w:val="20"/>
              </w:rPr>
              <w:t>2022</w:t>
            </w:r>
          </w:p>
        </w:tc>
        <w:tc>
          <w:tcPr>
            <w:tcW w:w="1181" w:type="dxa"/>
            <w:tcBorders>
              <w:top w:val="nil"/>
              <w:left w:val="single" w:sz="4" w:space="0" w:color="auto"/>
              <w:bottom w:val="single" w:sz="4" w:space="0" w:color="auto"/>
              <w:right w:val="single" w:sz="4" w:space="0" w:color="auto"/>
            </w:tcBorders>
            <w:shd w:val="clear" w:color="auto" w:fill="auto"/>
          </w:tcPr>
          <w:p w:rsidR="0080478F" w:rsidRPr="00E8065F" w:rsidRDefault="0080478F" w:rsidP="000546C2">
            <w:pPr>
              <w:jc w:val="center"/>
              <w:rPr>
                <w:color w:val="000000"/>
                <w:sz w:val="20"/>
                <w:szCs w:val="20"/>
              </w:rPr>
            </w:pPr>
            <w:r w:rsidRPr="00E8065F">
              <w:rPr>
                <w:color w:val="000000"/>
                <w:sz w:val="20"/>
                <w:szCs w:val="20"/>
              </w:rPr>
              <w:t>1</w:t>
            </w:r>
          </w:p>
        </w:tc>
        <w:tc>
          <w:tcPr>
            <w:tcW w:w="1478" w:type="dxa"/>
            <w:tcBorders>
              <w:top w:val="nil"/>
              <w:left w:val="single" w:sz="4" w:space="0" w:color="auto"/>
              <w:bottom w:val="single" w:sz="4" w:space="0" w:color="auto"/>
              <w:right w:val="single" w:sz="4" w:space="0" w:color="auto"/>
            </w:tcBorders>
            <w:shd w:val="clear" w:color="auto" w:fill="auto"/>
          </w:tcPr>
          <w:p w:rsidR="0080478F" w:rsidRPr="00E8065F" w:rsidRDefault="0080478F" w:rsidP="000546C2">
            <w:pPr>
              <w:jc w:val="center"/>
              <w:rPr>
                <w:color w:val="000000"/>
                <w:sz w:val="20"/>
                <w:szCs w:val="20"/>
              </w:rPr>
            </w:pPr>
            <w:r w:rsidRPr="00E8065F">
              <w:rPr>
                <w:color w:val="000000"/>
                <w:sz w:val="20"/>
                <w:szCs w:val="20"/>
              </w:rPr>
              <w:t>4</w:t>
            </w:r>
          </w:p>
        </w:tc>
        <w:tc>
          <w:tcPr>
            <w:tcW w:w="1111" w:type="dxa"/>
            <w:tcBorders>
              <w:top w:val="nil"/>
              <w:left w:val="single" w:sz="4" w:space="0" w:color="auto"/>
              <w:bottom w:val="single" w:sz="4" w:space="0" w:color="auto"/>
              <w:right w:val="single" w:sz="4" w:space="0" w:color="auto"/>
            </w:tcBorders>
            <w:shd w:val="clear" w:color="auto" w:fill="auto"/>
          </w:tcPr>
          <w:p w:rsidR="0080478F" w:rsidRPr="00E8065F" w:rsidRDefault="0080478F" w:rsidP="000546C2">
            <w:pPr>
              <w:jc w:val="center"/>
              <w:rPr>
                <w:color w:val="000000"/>
                <w:sz w:val="20"/>
                <w:szCs w:val="20"/>
              </w:rPr>
            </w:pPr>
            <w:r w:rsidRPr="00E8065F">
              <w:rPr>
                <w:color w:val="000000"/>
                <w:sz w:val="20"/>
                <w:szCs w:val="20"/>
              </w:rPr>
              <w:t>2</w:t>
            </w:r>
          </w:p>
        </w:tc>
        <w:tc>
          <w:tcPr>
            <w:tcW w:w="1944" w:type="dxa"/>
            <w:tcBorders>
              <w:top w:val="nil"/>
              <w:left w:val="single" w:sz="4" w:space="0" w:color="auto"/>
              <w:bottom w:val="single" w:sz="4" w:space="0" w:color="auto"/>
              <w:right w:val="single" w:sz="4" w:space="0" w:color="auto"/>
            </w:tcBorders>
            <w:shd w:val="clear" w:color="auto" w:fill="auto"/>
          </w:tcPr>
          <w:p w:rsidR="0080478F" w:rsidRPr="00E8065F" w:rsidRDefault="0080478F" w:rsidP="00BA1432">
            <w:pPr>
              <w:jc w:val="center"/>
              <w:rPr>
                <w:color w:val="000000"/>
                <w:sz w:val="20"/>
                <w:szCs w:val="20"/>
              </w:rPr>
            </w:pPr>
            <w:r w:rsidRPr="00E8065F">
              <w:rPr>
                <w:color w:val="000000"/>
                <w:sz w:val="20"/>
                <w:szCs w:val="20"/>
              </w:rPr>
              <w:t>Амбулаторное</w:t>
            </w:r>
          </w:p>
        </w:tc>
      </w:tr>
      <w:tr w:rsidR="0080478F" w:rsidRPr="00E8065F" w:rsidTr="000546C2">
        <w:trPr>
          <w:trHeight w:val="20"/>
        </w:trPr>
        <w:tc>
          <w:tcPr>
            <w:tcW w:w="1555" w:type="dxa"/>
            <w:vMerge/>
          </w:tcPr>
          <w:p w:rsidR="0080478F" w:rsidRPr="00E8065F" w:rsidRDefault="0080478F" w:rsidP="00BA1432">
            <w:pPr>
              <w:rPr>
                <w:sz w:val="20"/>
                <w:szCs w:val="20"/>
              </w:rPr>
            </w:pPr>
          </w:p>
        </w:tc>
        <w:tc>
          <w:tcPr>
            <w:tcW w:w="3685" w:type="dxa"/>
            <w:tcBorders>
              <w:top w:val="nil"/>
              <w:left w:val="single" w:sz="4" w:space="0" w:color="auto"/>
              <w:bottom w:val="single" w:sz="4" w:space="0" w:color="auto"/>
              <w:right w:val="single" w:sz="4" w:space="0" w:color="auto"/>
            </w:tcBorders>
            <w:shd w:val="clear" w:color="auto" w:fill="auto"/>
          </w:tcPr>
          <w:p w:rsidR="0080478F" w:rsidRPr="00E8065F" w:rsidRDefault="0080478F" w:rsidP="00DC0475">
            <w:pPr>
              <w:jc w:val="both"/>
              <w:rPr>
                <w:color w:val="000000"/>
                <w:sz w:val="20"/>
                <w:szCs w:val="20"/>
              </w:rPr>
            </w:pPr>
            <w:r w:rsidRPr="00E8065F">
              <w:rPr>
                <w:color w:val="000000"/>
                <w:sz w:val="20"/>
                <w:szCs w:val="20"/>
              </w:rPr>
              <w:t xml:space="preserve">ГАУЗ </w:t>
            </w:r>
            <w:r>
              <w:rPr>
                <w:color w:val="000000"/>
                <w:sz w:val="20"/>
                <w:szCs w:val="20"/>
              </w:rPr>
              <w:t>«</w:t>
            </w:r>
            <w:r w:rsidRPr="00E8065F">
              <w:rPr>
                <w:color w:val="000000"/>
                <w:sz w:val="20"/>
                <w:szCs w:val="20"/>
              </w:rPr>
              <w:t>Елабужская ЦРБ</w:t>
            </w:r>
            <w:r>
              <w:rPr>
                <w:color w:val="000000"/>
                <w:sz w:val="20"/>
                <w:szCs w:val="20"/>
              </w:rPr>
              <w:t>»</w:t>
            </w:r>
          </w:p>
        </w:tc>
        <w:tc>
          <w:tcPr>
            <w:tcW w:w="1994" w:type="dxa"/>
            <w:tcBorders>
              <w:top w:val="nil"/>
              <w:left w:val="single" w:sz="4" w:space="0" w:color="auto"/>
              <w:bottom w:val="single" w:sz="4" w:space="0" w:color="auto"/>
              <w:right w:val="single" w:sz="4" w:space="0" w:color="auto"/>
            </w:tcBorders>
            <w:shd w:val="clear" w:color="auto" w:fill="auto"/>
          </w:tcPr>
          <w:p w:rsidR="0080478F" w:rsidRPr="00E8065F" w:rsidRDefault="0080478F" w:rsidP="00BA1432">
            <w:pPr>
              <w:jc w:val="center"/>
              <w:rPr>
                <w:color w:val="000000"/>
                <w:sz w:val="20"/>
                <w:szCs w:val="20"/>
              </w:rPr>
            </w:pPr>
            <w:r w:rsidRPr="00E8065F">
              <w:rPr>
                <w:color w:val="000000"/>
                <w:sz w:val="20"/>
                <w:szCs w:val="20"/>
              </w:rPr>
              <w:t>Компьютерный томограф</w:t>
            </w:r>
          </w:p>
        </w:tc>
        <w:tc>
          <w:tcPr>
            <w:tcW w:w="1181" w:type="dxa"/>
            <w:shd w:val="clear" w:color="auto" w:fill="auto"/>
          </w:tcPr>
          <w:p w:rsidR="0080478F" w:rsidRPr="00E8065F" w:rsidRDefault="0080478F" w:rsidP="000546C2">
            <w:pPr>
              <w:jc w:val="center"/>
              <w:rPr>
                <w:sz w:val="20"/>
                <w:szCs w:val="20"/>
              </w:rPr>
            </w:pPr>
            <w:r w:rsidRPr="00E8065F">
              <w:rPr>
                <w:sz w:val="20"/>
                <w:szCs w:val="20"/>
              </w:rPr>
              <w:t>2008</w:t>
            </w:r>
            <w:r w:rsidR="003D79B3">
              <w:rPr>
                <w:sz w:val="20"/>
                <w:szCs w:val="20"/>
              </w:rPr>
              <w:t xml:space="preserve"> </w:t>
            </w:r>
            <w:r w:rsidR="00417E61">
              <w:rPr>
                <w:sz w:val="20"/>
                <w:szCs w:val="20"/>
              </w:rPr>
              <w:t>(1)</w:t>
            </w:r>
          </w:p>
          <w:p w:rsidR="0080478F" w:rsidRPr="00E8065F" w:rsidRDefault="0080478F" w:rsidP="000546C2">
            <w:pPr>
              <w:jc w:val="center"/>
              <w:rPr>
                <w:sz w:val="20"/>
                <w:szCs w:val="20"/>
              </w:rPr>
            </w:pPr>
            <w:r w:rsidRPr="00E8065F">
              <w:rPr>
                <w:sz w:val="20"/>
                <w:szCs w:val="20"/>
              </w:rPr>
              <w:t>2021</w:t>
            </w:r>
            <w:r w:rsidR="003D79B3">
              <w:rPr>
                <w:sz w:val="20"/>
                <w:szCs w:val="20"/>
              </w:rPr>
              <w:t xml:space="preserve"> </w:t>
            </w:r>
            <w:r w:rsidR="00417E61">
              <w:rPr>
                <w:sz w:val="20"/>
                <w:szCs w:val="20"/>
              </w:rPr>
              <w:t>(1)</w:t>
            </w:r>
          </w:p>
        </w:tc>
        <w:tc>
          <w:tcPr>
            <w:tcW w:w="1181" w:type="dxa"/>
            <w:tcBorders>
              <w:top w:val="nil"/>
              <w:left w:val="single" w:sz="4" w:space="0" w:color="auto"/>
              <w:bottom w:val="single" w:sz="4" w:space="0" w:color="auto"/>
              <w:right w:val="single" w:sz="4" w:space="0" w:color="auto"/>
            </w:tcBorders>
            <w:shd w:val="clear" w:color="auto" w:fill="auto"/>
          </w:tcPr>
          <w:p w:rsidR="0080478F" w:rsidRPr="00E8065F" w:rsidRDefault="0080478F" w:rsidP="000546C2">
            <w:pPr>
              <w:jc w:val="center"/>
              <w:rPr>
                <w:color w:val="000000"/>
                <w:sz w:val="20"/>
                <w:szCs w:val="20"/>
              </w:rPr>
            </w:pPr>
            <w:r w:rsidRPr="00E8065F">
              <w:rPr>
                <w:color w:val="000000"/>
                <w:sz w:val="20"/>
                <w:szCs w:val="20"/>
              </w:rPr>
              <w:t>2</w:t>
            </w:r>
          </w:p>
        </w:tc>
        <w:tc>
          <w:tcPr>
            <w:tcW w:w="1478" w:type="dxa"/>
            <w:tcBorders>
              <w:top w:val="nil"/>
              <w:left w:val="single" w:sz="4" w:space="0" w:color="auto"/>
              <w:bottom w:val="single" w:sz="4" w:space="0" w:color="auto"/>
              <w:right w:val="single" w:sz="4" w:space="0" w:color="auto"/>
            </w:tcBorders>
            <w:shd w:val="clear" w:color="auto" w:fill="auto"/>
          </w:tcPr>
          <w:p w:rsidR="0080478F" w:rsidRPr="00E8065F" w:rsidRDefault="0080478F" w:rsidP="000546C2">
            <w:pPr>
              <w:jc w:val="center"/>
              <w:rPr>
                <w:color w:val="000000"/>
                <w:sz w:val="20"/>
                <w:szCs w:val="20"/>
              </w:rPr>
            </w:pPr>
            <w:r w:rsidRPr="00E8065F">
              <w:rPr>
                <w:color w:val="000000"/>
                <w:sz w:val="20"/>
                <w:szCs w:val="20"/>
              </w:rPr>
              <w:t>26</w:t>
            </w:r>
          </w:p>
        </w:tc>
        <w:tc>
          <w:tcPr>
            <w:tcW w:w="1111" w:type="dxa"/>
            <w:tcBorders>
              <w:top w:val="nil"/>
              <w:left w:val="single" w:sz="4" w:space="0" w:color="auto"/>
              <w:bottom w:val="single" w:sz="4" w:space="0" w:color="auto"/>
              <w:right w:val="single" w:sz="4" w:space="0" w:color="auto"/>
            </w:tcBorders>
            <w:shd w:val="clear" w:color="auto" w:fill="auto"/>
          </w:tcPr>
          <w:p w:rsidR="0080478F" w:rsidRPr="00E8065F" w:rsidRDefault="0080478F" w:rsidP="000546C2">
            <w:pPr>
              <w:jc w:val="center"/>
              <w:rPr>
                <w:color w:val="000000"/>
                <w:sz w:val="20"/>
                <w:szCs w:val="20"/>
              </w:rPr>
            </w:pPr>
            <w:r w:rsidRPr="00E8065F">
              <w:rPr>
                <w:color w:val="000000"/>
                <w:sz w:val="20"/>
                <w:szCs w:val="20"/>
              </w:rPr>
              <w:t>2</w:t>
            </w:r>
          </w:p>
        </w:tc>
        <w:tc>
          <w:tcPr>
            <w:tcW w:w="1944" w:type="dxa"/>
            <w:tcBorders>
              <w:top w:val="nil"/>
              <w:left w:val="single" w:sz="4" w:space="0" w:color="auto"/>
              <w:bottom w:val="single" w:sz="4" w:space="0" w:color="auto"/>
              <w:right w:val="single" w:sz="4" w:space="0" w:color="auto"/>
            </w:tcBorders>
            <w:shd w:val="clear" w:color="auto" w:fill="auto"/>
          </w:tcPr>
          <w:p w:rsidR="0080478F" w:rsidRPr="00E8065F" w:rsidRDefault="0080478F" w:rsidP="00BA1432">
            <w:pPr>
              <w:jc w:val="center"/>
              <w:rPr>
                <w:color w:val="000000"/>
                <w:sz w:val="20"/>
                <w:szCs w:val="20"/>
              </w:rPr>
            </w:pPr>
            <w:r w:rsidRPr="00E8065F">
              <w:rPr>
                <w:color w:val="000000"/>
                <w:sz w:val="20"/>
                <w:szCs w:val="20"/>
              </w:rPr>
              <w:t>Стационарное</w:t>
            </w:r>
          </w:p>
        </w:tc>
      </w:tr>
      <w:tr w:rsidR="0080478F" w:rsidRPr="00E8065F" w:rsidTr="000546C2">
        <w:trPr>
          <w:trHeight w:val="20"/>
        </w:trPr>
        <w:tc>
          <w:tcPr>
            <w:tcW w:w="1555" w:type="dxa"/>
            <w:vMerge/>
          </w:tcPr>
          <w:p w:rsidR="0080478F" w:rsidRPr="00E8065F" w:rsidRDefault="0080478F" w:rsidP="00BA1432">
            <w:pPr>
              <w:rPr>
                <w:sz w:val="20"/>
                <w:szCs w:val="20"/>
              </w:rPr>
            </w:pPr>
          </w:p>
        </w:tc>
        <w:tc>
          <w:tcPr>
            <w:tcW w:w="3685" w:type="dxa"/>
            <w:tcBorders>
              <w:top w:val="nil"/>
              <w:left w:val="single" w:sz="4" w:space="0" w:color="auto"/>
              <w:bottom w:val="single" w:sz="4" w:space="0" w:color="auto"/>
              <w:right w:val="single" w:sz="4" w:space="0" w:color="auto"/>
            </w:tcBorders>
            <w:shd w:val="clear" w:color="auto" w:fill="auto"/>
          </w:tcPr>
          <w:p w:rsidR="0080478F" w:rsidRPr="00E8065F" w:rsidRDefault="0080478F" w:rsidP="00DC0475">
            <w:pPr>
              <w:jc w:val="both"/>
              <w:rPr>
                <w:color w:val="000000"/>
                <w:sz w:val="20"/>
                <w:szCs w:val="20"/>
              </w:rPr>
            </w:pPr>
            <w:r w:rsidRPr="00E8065F">
              <w:rPr>
                <w:color w:val="000000"/>
                <w:sz w:val="20"/>
                <w:szCs w:val="20"/>
              </w:rPr>
              <w:t xml:space="preserve">ГАУЗ </w:t>
            </w:r>
            <w:r>
              <w:rPr>
                <w:color w:val="000000"/>
                <w:sz w:val="20"/>
                <w:szCs w:val="20"/>
              </w:rPr>
              <w:t>«</w:t>
            </w:r>
            <w:r w:rsidRPr="00E8065F">
              <w:rPr>
                <w:color w:val="000000"/>
                <w:sz w:val="20"/>
                <w:szCs w:val="20"/>
              </w:rPr>
              <w:t>Зеленодольская ЦРБ</w:t>
            </w:r>
            <w:r>
              <w:rPr>
                <w:color w:val="000000"/>
                <w:sz w:val="20"/>
                <w:szCs w:val="20"/>
              </w:rPr>
              <w:t>»</w:t>
            </w:r>
          </w:p>
        </w:tc>
        <w:tc>
          <w:tcPr>
            <w:tcW w:w="1994" w:type="dxa"/>
            <w:tcBorders>
              <w:top w:val="nil"/>
              <w:left w:val="single" w:sz="4" w:space="0" w:color="auto"/>
              <w:bottom w:val="single" w:sz="4" w:space="0" w:color="auto"/>
              <w:right w:val="single" w:sz="4" w:space="0" w:color="auto"/>
            </w:tcBorders>
            <w:shd w:val="clear" w:color="auto" w:fill="auto"/>
          </w:tcPr>
          <w:p w:rsidR="0080478F" w:rsidRPr="00E8065F" w:rsidRDefault="0080478F" w:rsidP="00BA1432">
            <w:pPr>
              <w:jc w:val="center"/>
              <w:rPr>
                <w:color w:val="000000"/>
                <w:sz w:val="20"/>
                <w:szCs w:val="20"/>
              </w:rPr>
            </w:pPr>
            <w:r w:rsidRPr="00E8065F">
              <w:rPr>
                <w:color w:val="000000"/>
                <w:sz w:val="20"/>
                <w:szCs w:val="20"/>
              </w:rPr>
              <w:t>Компьютерный томограф</w:t>
            </w:r>
          </w:p>
        </w:tc>
        <w:tc>
          <w:tcPr>
            <w:tcW w:w="1181" w:type="dxa"/>
            <w:shd w:val="clear" w:color="auto" w:fill="auto"/>
          </w:tcPr>
          <w:p w:rsidR="0080478F" w:rsidRPr="00E8065F" w:rsidRDefault="0080478F" w:rsidP="000546C2">
            <w:pPr>
              <w:jc w:val="center"/>
              <w:rPr>
                <w:sz w:val="20"/>
                <w:szCs w:val="20"/>
              </w:rPr>
            </w:pPr>
            <w:r w:rsidRPr="00E8065F">
              <w:rPr>
                <w:sz w:val="20"/>
                <w:szCs w:val="20"/>
              </w:rPr>
              <w:t>2021</w:t>
            </w:r>
            <w:r w:rsidR="003D79B3">
              <w:rPr>
                <w:sz w:val="20"/>
                <w:szCs w:val="20"/>
              </w:rPr>
              <w:t xml:space="preserve"> </w:t>
            </w:r>
            <w:r w:rsidR="00417E61">
              <w:rPr>
                <w:sz w:val="20"/>
                <w:szCs w:val="20"/>
              </w:rPr>
              <w:t>(1)</w:t>
            </w:r>
          </w:p>
          <w:p w:rsidR="0080478F" w:rsidRPr="00E8065F" w:rsidRDefault="0080478F" w:rsidP="000546C2">
            <w:pPr>
              <w:jc w:val="center"/>
              <w:rPr>
                <w:sz w:val="20"/>
                <w:szCs w:val="20"/>
              </w:rPr>
            </w:pPr>
            <w:r w:rsidRPr="00E8065F">
              <w:rPr>
                <w:sz w:val="20"/>
                <w:szCs w:val="20"/>
              </w:rPr>
              <w:t>2023</w:t>
            </w:r>
            <w:r w:rsidR="003D79B3">
              <w:rPr>
                <w:sz w:val="20"/>
                <w:szCs w:val="20"/>
              </w:rPr>
              <w:t xml:space="preserve"> </w:t>
            </w:r>
            <w:r w:rsidR="00417E61">
              <w:rPr>
                <w:sz w:val="20"/>
                <w:szCs w:val="20"/>
              </w:rPr>
              <w:t>(1)</w:t>
            </w:r>
          </w:p>
        </w:tc>
        <w:tc>
          <w:tcPr>
            <w:tcW w:w="1181" w:type="dxa"/>
            <w:tcBorders>
              <w:top w:val="nil"/>
              <w:left w:val="single" w:sz="4" w:space="0" w:color="auto"/>
              <w:bottom w:val="single" w:sz="4" w:space="0" w:color="auto"/>
              <w:right w:val="single" w:sz="4" w:space="0" w:color="auto"/>
            </w:tcBorders>
            <w:shd w:val="clear" w:color="auto" w:fill="auto"/>
          </w:tcPr>
          <w:p w:rsidR="0080478F" w:rsidRPr="00E8065F" w:rsidRDefault="0080478F" w:rsidP="000546C2">
            <w:pPr>
              <w:jc w:val="center"/>
              <w:rPr>
                <w:color w:val="000000"/>
                <w:sz w:val="20"/>
                <w:szCs w:val="20"/>
              </w:rPr>
            </w:pPr>
            <w:r w:rsidRPr="00E8065F">
              <w:rPr>
                <w:color w:val="000000"/>
                <w:sz w:val="20"/>
                <w:szCs w:val="20"/>
              </w:rPr>
              <w:t>2</w:t>
            </w:r>
          </w:p>
        </w:tc>
        <w:tc>
          <w:tcPr>
            <w:tcW w:w="1478" w:type="dxa"/>
            <w:tcBorders>
              <w:top w:val="nil"/>
              <w:left w:val="single" w:sz="4" w:space="0" w:color="auto"/>
              <w:bottom w:val="single" w:sz="4" w:space="0" w:color="auto"/>
              <w:right w:val="single" w:sz="4" w:space="0" w:color="auto"/>
            </w:tcBorders>
            <w:shd w:val="clear" w:color="auto" w:fill="auto"/>
          </w:tcPr>
          <w:p w:rsidR="0080478F" w:rsidRPr="00E8065F" w:rsidRDefault="0080478F" w:rsidP="000546C2">
            <w:pPr>
              <w:jc w:val="center"/>
              <w:rPr>
                <w:color w:val="000000"/>
                <w:sz w:val="20"/>
                <w:szCs w:val="20"/>
              </w:rPr>
            </w:pPr>
            <w:r w:rsidRPr="00E8065F">
              <w:rPr>
                <w:color w:val="000000"/>
                <w:sz w:val="20"/>
                <w:szCs w:val="20"/>
              </w:rPr>
              <w:t>25</w:t>
            </w:r>
          </w:p>
        </w:tc>
        <w:tc>
          <w:tcPr>
            <w:tcW w:w="1111" w:type="dxa"/>
            <w:tcBorders>
              <w:top w:val="nil"/>
              <w:left w:val="single" w:sz="4" w:space="0" w:color="auto"/>
              <w:bottom w:val="single" w:sz="4" w:space="0" w:color="auto"/>
              <w:right w:val="single" w:sz="4" w:space="0" w:color="auto"/>
            </w:tcBorders>
            <w:shd w:val="clear" w:color="auto" w:fill="auto"/>
          </w:tcPr>
          <w:p w:rsidR="0080478F" w:rsidRPr="00E8065F" w:rsidRDefault="0080478F" w:rsidP="000546C2">
            <w:pPr>
              <w:jc w:val="center"/>
              <w:rPr>
                <w:color w:val="000000"/>
                <w:sz w:val="20"/>
                <w:szCs w:val="20"/>
              </w:rPr>
            </w:pPr>
            <w:r w:rsidRPr="00E8065F">
              <w:rPr>
                <w:color w:val="000000"/>
                <w:sz w:val="20"/>
                <w:szCs w:val="20"/>
              </w:rPr>
              <w:t>2</w:t>
            </w:r>
          </w:p>
        </w:tc>
        <w:tc>
          <w:tcPr>
            <w:tcW w:w="1944" w:type="dxa"/>
            <w:tcBorders>
              <w:top w:val="nil"/>
              <w:left w:val="single" w:sz="4" w:space="0" w:color="auto"/>
              <w:bottom w:val="single" w:sz="4" w:space="0" w:color="auto"/>
              <w:right w:val="single" w:sz="4" w:space="0" w:color="auto"/>
            </w:tcBorders>
            <w:shd w:val="clear" w:color="auto" w:fill="auto"/>
          </w:tcPr>
          <w:p w:rsidR="0080478F" w:rsidRPr="00E8065F" w:rsidRDefault="0080478F" w:rsidP="00BA1432">
            <w:pPr>
              <w:jc w:val="center"/>
              <w:rPr>
                <w:color w:val="000000"/>
                <w:sz w:val="20"/>
                <w:szCs w:val="20"/>
              </w:rPr>
            </w:pPr>
            <w:r w:rsidRPr="00E8065F">
              <w:rPr>
                <w:color w:val="000000"/>
                <w:sz w:val="20"/>
                <w:szCs w:val="20"/>
              </w:rPr>
              <w:t>Амбулаторное/стационарное</w:t>
            </w:r>
          </w:p>
        </w:tc>
      </w:tr>
      <w:tr w:rsidR="0080478F" w:rsidRPr="00E8065F" w:rsidTr="00CD3A6F">
        <w:trPr>
          <w:trHeight w:val="20"/>
        </w:trPr>
        <w:tc>
          <w:tcPr>
            <w:tcW w:w="1555" w:type="dxa"/>
            <w:vMerge/>
          </w:tcPr>
          <w:p w:rsidR="0080478F" w:rsidRPr="00E8065F" w:rsidRDefault="0080478F" w:rsidP="00BA1432">
            <w:pPr>
              <w:rPr>
                <w:sz w:val="20"/>
                <w:szCs w:val="20"/>
              </w:rPr>
            </w:pPr>
          </w:p>
        </w:tc>
        <w:tc>
          <w:tcPr>
            <w:tcW w:w="3685" w:type="dxa"/>
            <w:tcBorders>
              <w:top w:val="nil"/>
              <w:left w:val="single" w:sz="4" w:space="0" w:color="auto"/>
              <w:bottom w:val="single" w:sz="4" w:space="0" w:color="auto"/>
              <w:right w:val="single" w:sz="4" w:space="0" w:color="auto"/>
            </w:tcBorders>
            <w:shd w:val="clear" w:color="auto" w:fill="auto"/>
          </w:tcPr>
          <w:p w:rsidR="0080478F" w:rsidRPr="00E8065F" w:rsidRDefault="0080478F" w:rsidP="00DC0475">
            <w:pPr>
              <w:jc w:val="both"/>
              <w:rPr>
                <w:color w:val="000000"/>
                <w:sz w:val="20"/>
                <w:szCs w:val="20"/>
              </w:rPr>
            </w:pPr>
            <w:r w:rsidRPr="00E8065F">
              <w:rPr>
                <w:color w:val="000000"/>
                <w:sz w:val="20"/>
                <w:szCs w:val="20"/>
              </w:rPr>
              <w:t xml:space="preserve">ГАУЗ </w:t>
            </w:r>
            <w:r>
              <w:rPr>
                <w:color w:val="000000"/>
                <w:sz w:val="20"/>
                <w:szCs w:val="20"/>
              </w:rPr>
              <w:t>«</w:t>
            </w:r>
            <w:r w:rsidRPr="00E8065F">
              <w:rPr>
                <w:color w:val="000000"/>
                <w:sz w:val="20"/>
                <w:szCs w:val="20"/>
              </w:rPr>
              <w:t>Камско-Устьинская ЦРБ</w:t>
            </w:r>
            <w:r>
              <w:rPr>
                <w:color w:val="000000"/>
                <w:sz w:val="20"/>
                <w:szCs w:val="20"/>
              </w:rPr>
              <w:t>»</w:t>
            </w:r>
          </w:p>
          <w:p w:rsidR="0080478F" w:rsidRPr="00E8065F" w:rsidRDefault="0080478F" w:rsidP="00DC0475">
            <w:pPr>
              <w:jc w:val="both"/>
              <w:rPr>
                <w:color w:val="000000"/>
                <w:sz w:val="20"/>
                <w:szCs w:val="20"/>
              </w:rPr>
            </w:pPr>
          </w:p>
        </w:tc>
        <w:tc>
          <w:tcPr>
            <w:tcW w:w="1994" w:type="dxa"/>
            <w:tcBorders>
              <w:top w:val="nil"/>
              <w:left w:val="single" w:sz="4" w:space="0" w:color="auto"/>
              <w:bottom w:val="single" w:sz="4" w:space="0" w:color="auto"/>
              <w:right w:val="single" w:sz="4" w:space="0" w:color="auto"/>
            </w:tcBorders>
            <w:shd w:val="clear" w:color="auto" w:fill="auto"/>
          </w:tcPr>
          <w:p w:rsidR="0080478F" w:rsidRPr="00E8065F" w:rsidRDefault="0080478F" w:rsidP="00BA1432">
            <w:pPr>
              <w:jc w:val="center"/>
              <w:rPr>
                <w:color w:val="000000"/>
                <w:sz w:val="20"/>
                <w:szCs w:val="20"/>
              </w:rPr>
            </w:pPr>
            <w:r w:rsidRPr="00E8065F">
              <w:rPr>
                <w:color w:val="000000"/>
                <w:sz w:val="20"/>
                <w:szCs w:val="20"/>
              </w:rPr>
              <w:t>Компьютерный томограф</w:t>
            </w:r>
          </w:p>
        </w:tc>
        <w:tc>
          <w:tcPr>
            <w:tcW w:w="1181" w:type="dxa"/>
            <w:tcBorders>
              <w:bottom w:val="single" w:sz="4" w:space="0" w:color="auto"/>
            </w:tcBorders>
            <w:shd w:val="clear" w:color="auto" w:fill="auto"/>
          </w:tcPr>
          <w:p w:rsidR="0080478F" w:rsidRPr="00E8065F" w:rsidRDefault="0080478F" w:rsidP="000546C2">
            <w:pPr>
              <w:jc w:val="center"/>
              <w:rPr>
                <w:sz w:val="20"/>
                <w:szCs w:val="20"/>
              </w:rPr>
            </w:pPr>
            <w:r w:rsidRPr="00E8065F">
              <w:rPr>
                <w:sz w:val="20"/>
                <w:szCs w:val="20"/>
              </w:rPr>
              <w:t>2022</w:t>
            </w:r>
          </w:p>
        </w:tc>
        <w:tc>
          <w:tcPr>
            <w:tcW w:w="1181" w:type="dxa"/>
            <w:tcBorders>
              <w:top w:val="nil"/>
              <w:left w:val="single" w:sz="4" w:space="0" w:color="auto"/>
              <w:bottom w:val="single" w:sz="4" w:space="0" w:color="auto"/>
              <w:right w:val="single" w:sz="4" w:space="0" w:color="auto"/>
            </w:tcBorders>
            <w:shd w:val="clear" w:color="auto" w:fill="auto"/>
          </w:tcPr>
          <w:p w:rsidR="0080478F" w:rsidRPr="00E8065F" w:rsidRDefault="0080478F" w:rsidP="000546C2">
            <w:pPr>
              <w:jc w:val="center"/>
              <w:rPr>
                <w:color w:val="000000"/>
                <w:sz w:val="20"/>
                <w:szCs w:val="20"/>
              </w:rPr>
            </w:pPr>
            <w:r w:rsidRPr="00E8065F">
              <w:rPr>
                <w:color w:val="000000"/>
                <w:sz w:val="20"/>
                <w:szCs w:val="20"/>
              </w:rPr>
              <w:t>1</w:t>
            </w:r>
          </w:p>
        </w:tc>
        <w:tc>
          <w:tcPr>
            <w:tcW w:w="1478" w:type="dxa"/>
            <w:tcBorders>
              <w:top w:val="nil"/>
              <w:left w:val="single" w:sz="4" w:space="0" w:color="auto"/>
              <w:bottom w:val="single" w:sz="4" w:space="0" w:color="auto"/>
              <w:right w:val="single" w:sz="4" w:space="0" w:color="auto"/>
            </w:tcBorders>
            <w:shd w:val="clear" w:color="auto" w:fill="auto"/>
          </w:tcPr>
          <w:p w:rsidR="0080478F" w:rsidRPr="00E8065F" w:rsidRDefault="0080478F" w:rsidP="000546C2">
            <w:pPr>
              <w:jc w:val="center"/>
              <w:rPr>
                <w:color w:val="000000"/>
                <w:sz w:val="20"/>
                <w:szCs w:val="20"/>
              </w:rPr>
            </w:pPr>
            <w:r w:rsidRPr="00E8065F">
              <w:rPr>
                <w:color w:val="000000"/>
                <w:sz w:val="20"/>
                <w:szCs w:val="20"/>
              </w:rPr>
              <w:t>3</w:t>
            </w:r>
          </w:p>
        </w:tc>
        <w:tc>
          <w:tcPr>
            <w:tcW w:w="1111" w:type="dxa"/>
            <w:tcBorders>
              <w:top w:val="nil"/>
              <w:left w:val="single" w:sz="4" w:space="0" w:color="auto"/>
              <w:bottom w:val="single" w:sz="4" w:space="0" w:color="auto"/>
              <w:right w:val="single" w:sz="4" w:space="0" w:color="auto"/>
            </w:tcBorders>
            <w:shd w:val="clear" w:color="auto" w:fill="auto"/>
          </w:tcPr>
          <w:p w:rsidR="0080478F" w:rsidRPr="00E8065F" w:rsidRDefault="0080478F" w:rsidP="000546C2">
            <w:pPr>
              <w:jc w:val="center"/>
              <w:rPr>
                <w:color w:val="000000"/>
                <w:sz w:val="20"/>
                <w:szCs w:val="20"/>
              </w:rPr>
            </w:pPr>
            <w:r w:rsidRPr="00E8065F">
              <w:rPr>
                <w:color w:val="000000"/>
                <w:sz w:val="20"/>
                <w:szCs w:val="20"/>
              </w:rPr>
              <w:t>2</w:t>
            </w:r>
          </w:p>
        </w:tc>
        <w:tc>
          <w:tcPr>
            <w:tcW w:w="1944" w:type="dxa"/>
            <w:tcBorders>
              <w:top w:val="nil"/>
              <w:left w:val="single" w:sz="4" w:space="0" w:color="auto"/>
              <w:bottom w:val="single" w:sz="4" w:space="0" w:color="auto"/>
              <w:right w:val="single" w:sz="4" w:space="0" w:color="auto"/>
            </w:tcBorders>
            <w:shd w:val="clear" w:color="auto" w:fill="auto"/>
          </w:tcPr>
          <w:p w:rsidR="0080478F" w:rsidRPr="00E8065F" w:rsidRDefault="0080478F" w:rsidP="00BA1432">
            <w:pPr>
              <w:jc w:val="center"/>
              <w:rPr>
                <w:color w:val="000000"/>
                <w:sz w:val="20"/>
                <w:szCs w:val="20"/>
              </w:rPr>
            </w:pPr>
            <w:r w:rsidRPr="00E8065F">
              <w:rPr>
                <w:color w:val="000000"/>
                <w:sz w:val="20"/>
                <w:szCs w:val="20"/>
              </w:rPr>
              <w:t>Амбулаторное</w:t>
            </w:r>
          </w:p>
        </w:tc>
      </w:tr>
      <w:tr w:rsidR="0080478F" w:rsidRPr="00E8065F" w:rsidTr="00CD3A6F">
        <w:trPr>
          <w:trHeight w:val="20"/>
        </w:trPr>
        <w:tc>
          <w:tcPr>
            <w:tcW w:w="1555" w:type="dxa"/>
            <w:vMerge/>
          </w:tcPr>
          <w:p w:rsidR="0080478F" w:rsidRPr="00E8065F" w:rsidRDefault="0080478F" w:rsidP="00BA1432">
            <w:pPr>
              <w:rPr>
                <w:sz w:val="20"/>
                <w:szCs w:val="20"/>
              </w:rPr>
            </w:pPr>
          </w:p>
        </w:tc>
        <w:tc>
          <w:tcPr>
            <w:tcW w:w="3685" w:type="dxa"/>
            <w:tcBorders>
              <w:top w:val="single" w:sz="4" w:space="0" w:color="auto"/>
              <w:bottom w:val="single" w:sz="4" w:space="0" w:color="auto"/>
              <w:right w:val="single" w:sz="4" w:space="0" w:color="auto"/>
            </w:tcBorders>
            <w:shd w:val="clear" w:color="auto" w:fill="auto"/>
          </w:tcPr>
          <w:p w:rsidR="0080478F" w:rsidRPr="00E8065F" w:rsidRDefault="0080478F" w:rsidP="00DC0475">
            <w:pPr>
              <w:jc w:val="both"/>
              <w:rPr>
                <w:color w:val="000000"/>
                <w:sz w:val="20"/>
                <w:szCs w:val="20"/>
              </w:rPr>
            </w:pPr>
            <w:r w:rsidRPr="00E8065F">
              <w:rPr>
                <w:color w:val="000000"/>
                <w:sz w:val="20"/>
                <w:szCs w:val="20"/>
              </w:rPr>
              <w:t xml:space="preserve">ГАУЗ </w:t>
            </w:r>
            <w:r>
              <w:rPr>
                <w:color w:val="000000"/>
                <w:sz w:val="20"/>
                <w:szCs w:val="20"/>
              </w:rPr>
              <w:t>«</w:t>
            </w:r>
            <w:r w:rsidRPr="00E8065F">
              <w:rPr>
                <w:color w:val="000000"/>
                <w:sz w:val="20"/>
                <w:szCs w:val="20"/>
              </w:rPr>
              <w:t>Кукморская ЦРБ</w:t>
            </w:r>
            <w:r>
              <w:rPr>
                <w:color w:val="000000"/>
                <w:sz w:val="20"/>
                <w:szCs w:val="20"/>
              </w:rPr>
              <w:t>»</w:t>
            </w:r>
            <w:r w:rsidRPr="00E8065F">
              <w:rPr>
                <w:color w:val="000000"/>
                <w:sz w:val="20"/>
                <w:szCs w:val="20"/>
              </w:rPr>
              <w:t xml:space="preserve"> </w:t>
            </w:r>
          </w:p>
          <w:p w:rsidR="0080478F" w:rsidRPr="00E8065F" w:rsidRDefault="0080478F" w:rsidP="00DC0475">
            <w:pPr>
              <w:jc w:val="both"/>
              <w:rPr>
                <w:color w:val="000000"/>
                <w:sz w:val="20"/>
                <w:szCs w:val="20"/>
              </w:rPr>
            </w:pPr>
          </w:p>
        </w:tc>
        <w:tc>
          <w:tcPr>
            <w:tcW w:w="1994" w:type="dxa"/>
            <w:tcBorders>
              <w:top w:val="single" w:sz="4" w:space="0" w:color="auto"/>
              <w:left w:val="single" w:sz="4" w:space="0" w:color="auto"/>
              <w:bottom w:val="single" w:sz="4" w:space="0" w:color="auto"/>
              <w:right w:val="single" w:sz="4" w:space="0" w:color="auto"/>
            </w:tcBorders>
            <w:shd w:val="clear" w:color="auto" w:fill="auto"/>
          </w:tcPr>
          <w:p w:rsidR="0080478F" w:rsidRPr="00E8065F" w:rsidRDefault="0080478F" w:rsidP="00BA1432">
            <w:pPr>
              <w:jc w:val="center"/>
              <w:rPr>
                <w:color w:val="000000"/>
                <w:sz w:val="20"/>
                <w:szCs w:val="20"/>
              </w:rPr>
            </w:pPr>
            <w:r w:rsidRPr="00E8065F">
              <w:rPr>
                <w:color w:val="000000"/>
                <w:sz w:val="20"/>
                <w:szCs w:val="20"/>
              </w:rPr>
              <w:t>Компьютерный томограф</w:t>
            </w:r>
          </w:p>
        </w:tc>
        <w:tc>
          <w:tcPr>
            <w:tcW w:w="1181" w:type="dxa"/>
            <w:tcBorders>
              <w:top w:val="single" w:sz="4" w:space="0" w:color="auto"/>
              <w:left w:val="single" w:sz="4" w:space="0" w:color="auto"/>
              <w:bottom w:val="single" w:sz="4" w:space="0" w:color="auto"/>
              <w:right w:val="single" w:sz="4" w:space="0" w:color="auto"/>
            </w:tcBorders>
            <w:shd w:val="clear" w:color="auto" w:fill="auto"/>
          </w:tcPr>
          <w:p w:rsidR="0080478F" w:rsidRPr="00E8065F" w:rsidRDefault="0080478F" w:rsidP="000546C2">
            <w:pPr>
              <w:jc w:val="center"/>
              <w:rPr>
                <w:sz w:val="20"/>
                <w:szCs w:val="20"/>
              </w:rPr>
            </w:pPr>
            <w:r w:rsidRPr="00E8065F">
              <w:rPr>
                <w:sz w:val="20"/>
                <w:szCs w:val="20"/>
              </w:rPr>
              <w:t>2022</w:t>
            </w:r>
          </w:p>
        </w:tc>
        <w:tc>
          <w:tcPr>
            <w:tcW w:w="1181" w:type="dxa"/>
            <w:tcBorders>
              <w:top w:val="single" w:sz="4" w:space="0" w:color="auto"/>
              <w:left w:val="single" w:sz="4" w:space="0" w:color="auto"/>
              <w:bottom w:val="single" w:sz="4" w:space="0" w:color="auto"/>
              <w:right w:val="single" w:sz="4" w:space="0" w:color="auto"/>
            </w:tcBorders>
            <w:shd w:val="clear" w:color="auto" w:fill="auto"/>
          </w:tcPr>
          <w:p w:rsidR="0080478F" w:rsidRPr="00E8065F" w:rsidRDefault="0080478F" w:rsidP="000546C2">
            <w:pPr>
              <w:jc w:val="center"/>
              <w:rPr>
                <w:color w:val="000000"/>
                <w:sz w:val="20"/>
                <w:szCs w:val="20"/>
              </w:rPr>
            </w:pPr>
            <w:r w:rsidRPr="00E8065F">
              <w:rPr>
                <w:color w:val="000000"/>
                <w:sz w:val="20"/>
                <w:szCs w:val="20"/>
              </w:rPr>
              <w:t>1</w:t>
            </w:r>
          </w:p>
        </w:tc>
        <w:tc>
          <w:tcPr>
            <w:tcW w:w="1478" w:type="dxa"/>
            <w:tcBorders>
              <w:top w:val="single" w:sz="4" w:space="0" w:color="auto"/>
              <w:left w:val="single" w:sz="4" w:space="0" w:color="auto"/>
              <w:bottom w:val="single" w:sz="4" w:space="0" w:color="auto"/>
              <w:right w:val="single" w:sz="4" w:space="0" w:color="auto"/>
            </w:tcBorders>
            <w:shd w:val="clear" w:color="auto" w:fill="auto"/>
          </w:tcPr>
          <w:p w:rsidR="0080478F" w:rsidRPr="00E8065F" w:rsidRDefault="0080478F" w:rsidP="000546C2">
            <w:pPr>
              <w:jc w:val="center"/>
              <w:rPr>
                <w:color w:val="000000"/>
                <w:sz w:val="20"/>
                <w:szCs w:val="20"/>
              </w:rPr>
            </w:pPr>
            <w:r w:rsidRPr="00E8065F">
              <w:rPr>
                <w:color w:val="000000"/>
                <w:sz w:val="20"/>
                <w:szCs w:val="20"/>
              </w:rPr>
              <w:t>5</w:t>
            </w:r>
          </w:p>
        </w:tc>
        <w:tc>
          <w:tcPr>
            <w:tcW w:w="1111" w:type="dxa"/>
            <w:tcBorders>
              <w:top w:val="single" w:sz="4" w:space="0" w:color="auto"/>
              <w:left w:val="single" w:sz="4" w:space="0" w:color="auto"/>
              <w:bottom w:val="single" w:sz="4" w:space="0" w:color="auto"/>
              <w:right w:val="single" w:sz="4" w:space="0" w:color="auto"/>
            </w:tcBorders>
            <w:shd w:val="clear" w:color="auto" w:fill="auto"/>
          </w:tcPr>
          <w:p w:rsidR="0080478F" w:rsidRPr="00E8065F" w:rsidRDefault="0080478F" w:rsidP="000546C2">
            <w:pPr>
              <w:jc w:val="center"/>
              <w:rPr>
                <w:color w:val="000000"/>
                <w:sz w:val="20"/>
                <w:szCs w:val="20"/>
              </w:rPr>
            </w:pPr>
            <w:r w:rsidRPr="00E8065F">
              <w:rPr>
                <w:color w:val="000000"/>
                <w:sz w:val="20"/>
                <w:szCs w:val="20"/>
              </w:rPr>
              <w:t>2</w:t>
            </w:r>
          </w:p>
        </w:tc>
        <w:tc>
          <w:tcPr>
            <w:tcW w:w="1944" w:type="dxa"/>
            <w:tcBorders>
              <w:top w:val="single" w:sz="4" w:space="0" w:color="auto"/>
              <w:left w:val="single" w:sz="4" w:space="0" w:color="auto"/>
              <w:bottom w:val="single" w:sz="4" w:space="0" w:color="auto"/>
              <w:right w:val="single" w:sz="4" w:space="0" w:color="auto"/>
            </w:tcBorders>
            <w:shd w:val="clear" w:color="auto" w:fill="auto"/>
          </w:tcPr>
          <w:p w:rsidR="0080478F" w:rsidRPr="00E8065F" w:rsidRDefault="0080478F" w:rsidP="00BA1432">
            <w:pPr>
              <w:jc w:val="center"/>
              <w:rPr>
                <w:color w:val="000000"/>
                <w:sz w:val="20"/>
                <w:szCs w:val="20"/>
              </w:rPr>
            </w:pPr>
            <w:r w:rsidRPr="00E8065F">
              <w:rPr>
                <w:color w:val="000000"/>
                <w:sz w:val="20"/>
                <w:szCs w:val="20"/>
              </w:rPr>
              <w:t>Амбулаторное</w:t>
            </w:r>
          </w:p>
        </w:tc>
      </w:tr>
      <w:tr w:rsidR="0080478F" w:rsidRPr="00E8065F" w:rsidTr="00CD3A6F">
        <w:trPr>
          <w:trHeight w:val="20"/>
        </w:trPr>
        <w:tc>
          <w:tcPr>
            <w:tcW w:w="1555" w:type="dxa"/>
            <w:vMerge/>
          </w:tcPr>
          <w:p w:rsidR="0080478F" w:rsidRPr="00E8065F" w:rsidRDefault="0080478F" w:rsidP="00BA1432">
            <w:pPr>
              <w:rPr>
                <w:sz w:val="20"/>
                <w:szCs w:val="20"/>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80478F" w:rsidRPr="00E8065F" w:rsidRDefault="0080478F" w:rsidP="00DC0475">
            <w:pPr>
              <w:jc w:val="both"/>
              <w:rPr>
                <w:color w:val="000000"/>
                <w:sz w:val="20"/>
                <w:szCs w:val="20"/>
              </w:rPr>
            </w:pPr>
            <w:r w:rsidRPr="00E8065F">
              <w:rPr>
                <w:color w:val="000000"/>
                <w:sz w:val="20"/>
                <w:szCs w:val="20"/>
              </w:rPr>
              <w:t xml:space="preserve">ГАУЗ </w:t>
            </w:r>
            <w:r>
              <w:rPr>
                <w:color w:val="000000"/>
                <w:sz w:val="20"/>
                <w:szCs w:val="20"/>
              </w:rPr>
              <w:t>«</w:t>
            </w:r>
            <w:r w:rsidRPr="00E8065F">
              <w:rPr>
                <w:color w:val="000000"/>
                <w:sz w:val="20"/>
                <w:szCs w:val="20"/>
              </w:rPr>
              <w:t>Лаишевская ЦРБ</w:t>
            </w:r>
            <w:r>
              <w:rPr>
                <w:color w:val="000000"/>
                <w:sz w:val="20"/>
                <w:szCs w:val="20"/>
              </w:rPr>
              <w:t>»</w:t>
            </w:r>
          </w:p>
        </w:tc>
        <w:tc>
          <w:tcPr>
            <w:tcW w:w="1994" w:type="dxa"/>
            <w:tcBorders>
              <w:top w:val="single" w:sz="4" w:space="0" w:color="auto"/>
              <w:left w:val="single" w:sz="4" w:space="0" w:color="auto"/>
              <w:bottom w:val="single" w:sz="4" w:space="0" w:color="auto"/>
              <w:right w:val="single" w:sz="4" w:space="0" w:color="auto"/>
            </w:tcBorders>
            <w:shd w:val="clear" w:color="auto" w:fill="auto"/>
          </w:tcPr>
          <w:p w:rsidR="0080478F" w:rsidRPr="00E8065F" w:rsidRDefault="0080478F" w:rsidP="00BA1432">
            <w:pPr>
              <w:jc w:val="center"/>
              <w:rPr>
                <w:color w:val="000000"/>
                <w:sz w:val="20"/>
                <w:szCs w:val="20"/>
              </w:rPr>
            </w:pPr>
            <w:r w:rsidRPr="00E8065F">
              <w:rPr>
                <w:color w:val="000000"/>
                <w:sz w:val="20"/>
                <w:szCs w:val="20"/>
              </w:rPr>
              <w:t>Компьютерный томограф</w:t>
            </w:r>
          </w:p>
        </w:tc>
        <w:tc>
          <w:tcPr>
            <w:tcW w:w="1181" w:type="dxa"/>
            <w:tcBorders>
              <w:top w:val="single" w:sz="4" w:space="0" w:color="auto"/>
            </w:tcBorders>
            <w:shd w:val="clear" w:color="auto" w:fill="auto"/>
          </w:tcPr>
          <w:p w:rsidR="0080478F" w:rsidRPr="00E8065F" w:rsidRDefault="0080478F" w:rsidP="000546C2">
            <w:pPr>
              <w:jc w:val="center"/>
              <w:rPr>
                <w:sz w:val="20"/>
                <w:szCs w:val="20"/>
              </w:rPr>
            </w:pPr>
            <w:r w:rsidRPr="00E8065F">
              <w:rPr>
                <w:sz w:val="20"/>
                <w:szCs w:val="20"/>
              </w:rPr>
              <w:t>2022</w:t>
            </w:r>
          </w:p>
        </w:tc>
        <w:tc>
          <w:tcPr>
            <w:tcW w:w="1181" w:type="dxa"/>
            <w:tcBorders>
              <w:top w:val="single" w:sz="4" w:space="0" w:color="auto"/>
              <w:left w:val="single" w:sz="4" w:space="0" w:color="auto"/>
              <w:bottom w:val="single" w:sz="4" w:space="0" w:color="auto"/>
              <w:right w:val="single" w:sz="4" w:space="0" w:color="auto"/>
            </w:tcBorders>
            <w:shd w:val="clear" w:color="auto" w:fill="auto"/>
          </w:tcPr>
          <w:p w:rsidR="0080478F" w:rsidRPr="00E8065F" w:rsidRDefault="0080478F" w:rsidP="000546C2">
            <w:pPr>
              <w:jc w:val="center"/>
              <w:rPr>
                <w:color w:val="000000"/>
                <w:sz w:val="20"/>
                <w:szCs w:val="20"/>
              </w:rPr>
            </w:pPr>
            <w:r w:rsidRPr="00E8065F">
              <w:rPr>
                <w:color w:val="000000"/>
                <w:sz w:val="20"/>
                <w:szCs w:val="20"/>
              </w:rPr>
              <w:t>1</w:t>
            </w:r>
          </w:p>
        </w:tc>
        <w:tc>
          <w:tcPr>
            <w:tcW w:w="1478" w:type="dxa"/>
            <w:tcBorders>
              <w:top w:val="single" w:sz="4" w:space="0" w:color="auto"/>
              <w:left w:val="single" w:sz="4" w:space="0" w:color="auto"/>
              <w:bottom w:val="single" w:sz="4" w:space="0" w:color="auto"/>
              <w:right w:val="single" w:sz="4" w:space="0" w:color="auto"/>
            </w:tcBorders>
            <w:shd w:val="clear" w:color="auto" w:fill="auto"/>
          </w:tcPr>
          <w:p w:rsidR="0080478F" w:rsidRPr="00E8065F" w:rsidRDefault="0080478F" w:rsidP="000546C2">
            <w:pPr>
              <w:jc w:val="center"/>
              <w:rPr>
                <w:color w:val="000000"/>
                <w:sz w:val="20"/>
                <w:szCs w:val="20"/>
              </w:rPr>
            </w:pPr>
            <w:r w:rsidRPr="00E8065F">
              <w:rPr>
                <w:color w:val="000000"/>
                <w:sz w:val="20"/>
                <w:szCs w:val="20"/>
              </w:rPr>
              <w:t>5</w:t>
            </w:r>
          </w:p>
        </w:tc>
        <w:tc>
          <w:tcPr>
            <w:tcW w:w="1111" w:type="dxa"/>
            <w:tcBorders>
              <w:top w:val="single" w:sz="4" w:space="0" w:color="auto"/>
              <w:left w:val="single" w:sz="4" w:space="0" w:color="auto"/>
              <w:bottom w:val="single" w:sz="4" w:space="0" w:color="auto"/>
              <w:right w:val="single" w:sz="4" w:space="0" w:color="auto"/>
            </w:tcBorders>
            <w:shd w:val="clear" w:color="auto" w:fill="auto"/>
          </w:tcPr>
          <w:p w:rsidR="0080478F" w:rsidRPr="00E8065F" w:rsidRDefault="0080478F" w:rsidP="000546C2">
            <w:pPr>
              <w:jc w:val="center"/>
              <w:rPr>
                <w:color w:val="000000"/>
                <w:sz w:val="20"/>
                <w:szCs w:val="20"/>
              </w:rPr>
            </w:pPr>
            <w:r w:rsidRPr="00E8065F">
              <w:rPr>
                <w:color w:val="000000"/>
                <w:sz w:val="20"/>
                <w:szCs w:val="20"/>
              </w:rPr>
              <w:t>2</w:t>
            </w:r>
          </w:p>
        </w:tc>
        <w:tc>
          <w:tcPr>
            <w:tcW w:w="1944" w:type="dxa"/>
            <w:tcBorders>
              <w:top w:val="single" w:sz="4" w:space="0" w:color="auto"/>
              <w:left w:val="single" w:sz="4" w:space="0" w:color="auto"/>
              <w:bottom w:val="single" w:sz="4" w:space="0" w:color="auto"/>
              <w:right w:val="single" w:sz="4" w:space="0" w:color="auto"/>
            </w:tcBorders>
            <w:shd w:val="clear" w:color="auto" w:fill="auto"/>
          </w:tcPr>
          <w:p w:rsidR="0080478F" w:rsidRPr="00E8065F" w:rsidRDefault="0080478F" w:rsidP="00BA1432">
            <w:pPr>
              <w:jc w:val="center"/>
              <w:rPr>
                <w:color w:val="000000"/>
                <w:sz w:val="20"/>
                <w:szCs w:val="20"/>
              </w:rPr>
            </w:pPr>
            <w:r w:rsidRPr="00E8065F">
              <w:rPr>
                <w:color w:val="000000"/>
                <w:sz w:val="20"/>
                <w:szCs w:val="20"/>
              </w:rPr>
              <w:t>Стационарное</w:t>
            </w:r>
          </w:p>
        </w:tc>
      </w:tr>
      <w:tr w:rsidR="0080478F" w:rsidRPr="00E8065F" w:rsidTr="000546C2">
        <w:trPr>
          <w:trHeight w:val="20"/>
        </w:trPr>
        <w:tc>
          <w:tcPr>
            <w:tcW w:w="1555" w:type="dxa"/>
            <w:vMerge/>
          </w:tcPr>
          <w:p w:rsidR="0080478F" w:rsidRPr="00E8065F" w:rsidRDefault="0080478F" w:rsidP="00BA1432">
            <w:pPr>
              <w:rPr>
                <w:sz w:val="20"/>
                <w:szCs w:val="20"/>
              </w:rPr>
            </w:pPr>
          </w:p>
        </w:tc>
        <w:tc>
          <w:tcPr>
            <w:tcW w:w="3685" w:type="dxa"/>
            <w:tcBorders>
              <w:top w:val="nil"/>
              <w:left w:val="single" w:sz="4" w:space="0" w:color="auto"/>
              <w:bottom w:val="single" w:sz="4" w:space="0" w:color="auto"/>
              <w:right w:val="single" w:sz="4" w:space="0" w:color="auto"/>
            </w:tcBorders>
            <w:shd w:val="clear" w:color="auto" w:fill="auto"/>
          </w:tcPr>
          <w:p w:rsidR="0080478F" w:rsidRPr="00E8065F" w:rsidRDefault="0080478F" w:rsidP="00DC0475">
            <w:pPr>
              <w:jc w:val="both"/>
              <w:rPr>
                <w:color w:val="000000"/>
                <w:sz w:val="20"/>
                <w:szCs w:val="20"/>
              </w:rPr>
            </w:pPr>
            <w:r w:rsidRPr="00E8065F">
              <w:rPr>
                <w:color w:val="000000"/>
                <w:sz w:val="20"/>
                <w:szCs w:val="20"/>
              </w:rPr>
              <w:t xml:space="preserve">ГАУЗ </w:t>
            </w:r>
            <w:r>
              <w:rPr>
                <w:color w:val="000000"/>
                <w:sz w:val="20"/>
                <w:szCs w:val="20"/>
              </w:rPr>
              <w:t>«</w:t>
            </w:r>
            <w:r w:rsidRPr="00E8065F">
              <w:rPr>
                <w:color w:val="000000"/>
                <w:sz w:val="20"/>
                <w:szCs w:val="20"/>
              </w:rPr>
              <w:t>Лениногорская ЦРБ</w:t>
            </w:r>
            <w:r>
              <w:rPr>
                <w:color w:val="000000"/>
                <w:sz w:val="20"/>
                <w:szCs w:val="20"/>
              </w:rPr>
              <w:t>»</w:t>
            </w:r>
            <w:r w:rsidRPr="00E8065F">
              <w:rPr>
                <w:color w:val="000000"/>
                <w:sz w:val="20"/>
                <w:szCs w:val="20"/>
              </w:rPr>
              <w:t xml:space="preserve"> </w:t>
            </w:r>
          </w:p>
        </w:tc>
        <w:tc>
          <w:tcPr>
            <w:tcW w:w="1994" w:type="dxa"/>
            <w:tcBorders>
              <w:top w:val="nil"/>
              <w:left w:val="single" w:sz="4" w:space="0" w:color="auto"/>
              <w:bottom w:val="single" w:sz="4" w:space="0" w:color="auto"/>
              <w:right w:val="single" w:sz="4" w:space="0" w:color="auto"/>
            </w:tcBorders>
            <w:shd w:val="clear" w:color="auto" w:fill="auto"/>
          </w:tcPr>
          <w:p w:rsidR="0080478F" w:rsidRPr="00E8065F" w:rsidRDefault="0080478F" w:rsidP="00BA1432">
            <w:pPr>
              <w:jc w:val="center"/>
              <w:rPr>
                <w:color w:val="000000"/>
                <w:sz w:val="20"/>
                <w:szCs w:val="20"/>
              </w:rPr>
            </w:pPr>
            <w:r w:rsidRPr="00E8065F">
              <w:rPr>
                <w:color w:val="000000"/>
                <w:sz w:val="20"/>
                <w:szCs w:val="20"/>
              </w:rPr>
              <w:t>Компьютерный томограф</w:t>
            </w:r>
          </w:p>
        </w:tc>
        <w:tc>
          <w:tcPr>
            <w:tcW w:w="1181" w:type="dxa"/>
            <w:shd w:val="clear" w:color="auto" w:fill="auto"/>
          </w:tcPr>
          <w:p w:rsidR="0080478F" w:rsidRPr="00E8065F" w:rsidRDefault="0080478F" w:rsidP="000546C2">
            <w:pPr>
              <w:jc w:val="center"/>
              <w:rPr>
                <w:sz w:val="20"/>
                <w:szCs w:val="20"/>
              </w:rPr>
            </w:pPr>
            <w:r w:rsidRPr="00E8065F">
              <w:rPr>
                <w:sz w:val="20"/>
                <w:szCs w:val="20"/>
              </w:rPr>
              <w:t>2020</w:t>
            </w:r>
          </w:p>
        </w:tc>
        <w:tc>
          <w:tcPr>
            <w:tcW w:w="1181" w:type="dxa"/>
            <w:tcBorders>
              <w:top w:val="nil"/>
              <w:left w:val="single" w:sz="4" w:space="0" w:color="auto"/>
              <w:bottom w:val="single" w:sz="4" w:space="0" w:color="auto"/>
              <w:right w:val="single" w:sz="4" w:space="0" w:color="auto"/>
            </w:tcBorders>
            <w:shd w:val="clear" w:color="auto" w:fill="auto"/>
          </w:tcPr>
          <w:p w:rsidR="0080478F" w:rsidRPr="00E8065F" w:rsidRDefault="0080478F" w:rsidP="000546C2">
            <w:pPr>
              <w:jc w:val="center"/>
              <w:rPr>
                <w:color w:val="000000"/>
                <w:sz w:val="20"/>
                <w:szCs w:val="20"/>
              </w:rPr>
            </w:pPr>
            <w:r w:rsidRPr="00E8065F">
              <w:rPr>
                <w:color w:val="000000"/>
                <w:sz w:val="20"/>
                <w:szCs w:val="20"/>
              </w:rPr>
              <w:t>1</w:t>
            </w:r>
          </w:p>
        </w:tc>
        <w:tc>
          <w:tcPr>
            <w:tcW w:w="1478" w:type="dxa"/>
            <w:tcBorders>
              <w:top w:val="nil"/>
              <w:left w:val="single" w:sz="4" w:space="0" w:color="auto"/>
              <w:bottom w:val="single" w:sz="4" w:space="0" w:color="auto"/>
              <w:right w:val="single" w:sz="4" w:space="0" w:color="auto"/>
            </w:tcBorders>
            <w:shd w:val="clear" w:color="auto" w:fill="auto"/>
          </w:tcPr>
          <w:p w:rsidR="0080478F" w:rsidRPr="00E8065F" w:rsidRDefault="0080478F" w:rsidP="000546C2">
            <w:pPr>
              <w:jc w:val="center"/>
              <w:rPr>
                <w:color w:val="000000"/>
                <w:sz w:val="20"/>
                <w:szCs w:val="20"/>
              </w:rPr>
            </w:pPr>
            <w:r w:rsidRPr="00E8065F">
              <w:rPr>
                <w:color w:val="000000"/>
                <w:sz w:val="20"/>
                <w:szCs w:val="20"/>
              </w:rPr>
              <w:t>21</w:t>
            </w:r>
          </w:p>
        </w:tc>
        <w:tc>
          <w:tcPr>
            <w:tcW w:w="1111" w:type="dxa"/>
            <w:tcBorders>
              <w:top w:val="nil"/>
              <w:left w:val="single" w:sz="4" w:space="0" w:color="auto"/>
              <w:bottom w:val="single" w:sz="4" w:space="0" w:color="auto"/>
              <w:right w:val="single" w:sz="4" w:space="0" w:color="auto"/>
            </w:tcBorders>
            <w:shd w:val="clear" w:color="auto" w:fill="auto"/>
          </w:tcPr>
          <w:p w:rsidR="0080478F" w:rsidRPr="00E8065F" w:rsidRDefault="0080478F" w:rsidP="000546C2">
            <w:pPr>
              <w:jc w:val="center"/>
              <w:rPr>
                <w:color w:val="000000"/>
                <w:sz w:val="20"/>
                <w:szCs w:val="20"/>
              </w:rPr>
            </w:pPr>
            <w:r w:rsidRPr="00E8065F">
              <w:rPr>
                <w:color w:val="000000"/>
                <w:sz w:val="20"/>
                <w:szCs w:val="20"/>
              </w:rPr>
              <w:t>2</w:t>
            </w:r>
          </w:p>
        </w:tc>
        <w:tc>
          <w:tcPr>
            <w:tcW w:w="1944" w:type="dxa"/>
            <w:tcBorders>
              <w:top w:val="nil"/>
              <w:left w:val="single" w:sz="4" w:space="0" w:color="auto"/>
              <w:bottom w:val="single" w:sz="4" w:space="0" w:color="auto"/>
              <w:right w:val="single" w:sz="4" w:space="0" w:color="auto"/>
            </w:tcBorders>
            <w:shd w:val="clear" w:color="auto" w:fill="auto"/>
          </w:tcPr>
          <w:p w:rsidR="0080478F" w:rsidRPr="00E8065F" w:rsidRDefault="0080478F" w:rsidP="00BA1432">
            <w:pPr>
              <w:jc w:val="center"/>
              <w:rPr>
                <w:color w:val="000000"/>
                <w:sz w:val="20"/>
                <w:szCs w:val="20"/>
              </w:rPr>
            </w:pPr>
            <w:r w:rsidRPr="00E8065F">
              <w:rPr>
                <w:color w:val="000000"/>
                <w:sz w:val="20"/>
                <w:szCs w:val="20"/>
              </w:rPr>
              <w:t>Стационарное</w:t>
            </w:r>
          </w:p>
        </w:tc>
      </w:tr>
      <w:tr w:rsidR="0080478F" w:rsidRPr="00E8065F" w:rsidTr="00CD3A6F">
        <w:trPr>
          <w:trHeight w:val="20"/>
        </w:trPr>
        <w:tc>
          <w:tcPr>
            <w:tcW w:w="1555" w:type="dxa"/>
            <w:vMerge/>
          </w:tcPr>
          <w:p w:rsidR="0080478F" w:rsidRPr="00E8065F" w:rsidRDefault="0080478F" w:rsidP="00BA1432">
            <w:pPr>
              <w:rPr>
                <w:sz w:val="20"/>
                <w:szCs w:val="20"/>
              </w:rPr>
            </w:pPr>
          </w:p>
        </w:tc>
        <w:tc>
          <w:tcPr>
            <w:tcW w:w="3685" w:type="dxa"/>
            <w:tcBorders>
              <w:top w:val="nil"/>
              <w:left w:val="single" w:sz="4" w:space="0" w:color="auto"/>
              <w:bottom w:val="single" w:sz="4" w:space="0" w:color="auto"/>
              <w:right w:val="single" w:sz="4" w:space="0" w:color="auto"/>
            </w:tcBorders>
            <w:shd w:val="clear" w:color="auto" w:fill="auto"/>
          </w:tcPr>
          <w:p w:rsidR="0080478F" w:rsidRPr="00E8065F" w:rsidRDefault="0080478F" w:rsidP="00DC0475">
            <w:pPr>
              <w:jc w:val="both"/>
              <w:rPr>
                <w:color w:val="000000"/>
                <w:sz w:val="20"/>
                <w:szCs w:val="20"/>
              </w:rPr>
            </w:pPr>
            <w:r w:rsidRPr="00E8065F">
              <w:rPr>
                <w:color w:val="000000"/>
                <w:sz w:val="20"/>
                <w:szCs w:val="20"/>
              </w:rPr>
              <w:t xml:space="preserve">ГАУЗ </w:t>
            </w:r>
            <w:r>
              <w:rPr>
                <w:color w:val="000000"/>
                <w:sz w:val="20"/>
                <w:szCs w:val="20"/>
              </w:rPr>
              <w:t>«</w:t>
            </w:r>
            <w:r w:rsidRPr="00E8065F">
              <w:rPr>
                <w:color w:val="000000"/>
                <w:sz w:val="20"/>
                <w:szCs w:val="20"/>
              </w:rPr>
              <w:t>Мамадышская ЦРБ</w:t>
            </w:r>
            <w:r>
              <w:rPr>
                <w:color w:val="000000"/>
                <w:sz w:val="20"/>
                <w:szCs w:val="20"/>
              </w:rPr>
              <w:t>»</w:t>
            </w:r>
          </w:p>
          <w:p w:rsidR="0080478F" w:rsidRPr="00E8065F" w:rsidRDefault="0080478F" w:rsidP="00DC0475">
            <w:pPr>
              <w:jc w:val="both"/>
              <w:rPr>
                <w:color w:val="000000"/>
                <w:sz w:val="20"/>
                <w:szCs w:val="20"/>
              </w:rPr>
            </w:pPr>
          </w:p>
        </w:tc>
        <w:tc>
          <w:tcPr>
            <w:tcW w:w="1994" w:type="dxa"/>
            <w:tcBorders>
              <w:top w:val="nil"/>
              <w:left w:val="single" w:sz="4" w:space="0" w:color="auto"/>
              <w:bottom w:val="single" w:sz="4" w:space="0" w:color="auto"/>
              <w:right w:val="single" w:sz="4" w:space="0" w:color="auto"/>
            </w:tcBorders>
            <w:shd w:val="clear" w:color="auto" w:fill="auto"/>
          </w:tcPr>
          <w:p w:rsidR="0080478F" w:rsidRPr="00E8065F" w:rsidRDefault="0080478F" w:rsidP="00BA1432">
            <w:pPr>
              <w:jc w:val="center"/>
              <w:rPr>
                <w:color w:val="000000"/>
                <w:sz w:val="20"/>
                <w:szCs w:val="20"/>
              </w:rPr>
            </w:pPr>
            <w:r w:rsidRPr="00E8065F">
              <w:rPr>
                <w:color w:val="000000"/>
                <w:sz w:val="20"/>
                <w:szCs w:val="20"/>
              </w:rPr>
              <w:t>Компьютерный томограф</w:t>
            </w:r>
          </w:p>
        </w:tc>
        <w:tc>
          <w:tcPr>
            <w:tcW w:w="1181" w:type="dxa"/>
            <w:tcBorders>
              <w:bottom w:val="single" w:sz="4" w:space="0" w:color="auto"/>
            </w:tcBorders>
            <w:shd w:val="clear" w:color="auto" w:fill="auto"/>
          </w:tcPr>
          <w:p w:rsidR="0080478F" w:rsidRPr="00E8065F" w:rsidRDefault="0080478F" w:rsidP="000546C2">
            <w:pPr>
              <w:jc w:val="center"/>
              <w:rPr>
                <w:sz w:val="20"/>
                <w:szCs w:val="20"/>
              </w:rPr>
            </w:pPr>
            <w:r w:rsidRPr="00E8065F">
              <w:rPr>
                <w:sz w:val="20"/>
                <w:szCs w:val="20"/>
              </w:rPr>
              <w:t>2022</w:t>
            </w:r>
          </w:p>
        </w:tc>
        <w:tc>
          <w:tcPr>
            <w:tcW w:w="1181" w:type="dxa"/>
            <w:tcBorders>
              <w:top w:val="nil"/>
              <w:left w:val="single" w:sz="4" w:space="0" w:color="auto"/>
              <w:bottom w:val="single" w:sz="4" w:space="0" w:color="auto"/>
              <w:right w:val="single" w:sz="4" w:space="0" w:color="auto"/>
            </w:tcBorders>
            <w:shd w:val="clear" w:color="auto" w:fill="auto"/>
          </w:tcPr>
          <w:p w:rsidR="0080478F" w:rsidRPr="00E8065F" w:rsidRDefault="0080478F" w:rsidP="000546C2">
            <w:pPr>
              <w:jc w:val="center"/>
              <w:rPr>
                <w:color w:val="000000"/>
                <w:sz w:val="20"/>
                <w:szCs w:val="20"/>
              </w:rPr>
            </w:pPr>
            <w:r w:rsidRPr="00E8065F">
              <w:rPr>
                <w:color w:val="000000"/>
                <w:sz w:val="20"/>
                <w:szCs w:val="20"/>
              </w:rPr>
              <w:t>1</w:t>
            </w:r>
          </w:p>
        </w:tc>
        <w:tc>
          <w:tcPr>
            <w:tcW w:w="1478" w:type="dxa"/>
            <w:tcBorders>
              <w:top w:val="nil"/>
              <w:left w:val="single" w:sz="4" w:space="0" w:color="auto"/>
              <w:bottom w:val="single" w:sz="4" w:space="0" w:color="auto"/>
              <w:right w:val="single" w:sz="4" w:space="0" w:color="auto"/>
            </w:tcBorders>
            <w:shd w:val="clear" w:color="auto" w:fill="auto"/>
          </w:tcPr>
          <w:p w:rsidR="0080478F" w:rsidRPr="00E8065F" w:rsidRDefault="0080478F" w:rsidP="000546C2">
            <w:pPr>
              <w:jc w:val="center"/>
              <w:rPr>
                <w:color w:val="000000"/>
                <w:sz w:val="20"/>
                <w:szCs w:val="20"/>
              </w:rPr>
            </w:pPr>
            <w:r w:rsidRPr="00E8065F">
              <w:rPr>
                <w:color w:val="000000"/>
                <w:sz w:val="20"/>
                <w:szCs w:val="20"/>
              </w:rPr>
              <w:t>4</w:t>
            </w:r>
          </w:p>
        </w:tc>
        <w:tc>
          <w:tcPr>
            <w:tcW w:w="1111" w:type="dxa"/>
            <w:tcBorders>
              <w:top w:val="nil"/>
              <w:left w:val="single" w:sz="4" w:space="0" w:color="auto"/>
              <w:bottom w:val="single" w:sz="4" w:space="0" w:color="auto"/>
              <w:right w:val="single" w:sz="4" w:space="0" w:color="auto"/>
            </w:tcBorders>
            <w:shd w:val="clear" w:color="auto" w:fill="auto"/>
          </w:tcPr>
          <w:p w:rsidR="0080478F" w:rsidRPr="00E8065F" w:rsidRDefault="0080478F" w:rsidP="000546C2">
            <w:pPr>
              <w:jc w:val="center"/>
              <w:rPr>
                <w:color w:val="000000"/>
                <w:sz w:val="20"/>
                <w:szCs w:val="20"/>
              </w:rPr>
            </w:pPr>
            <w:r w:rsidRPr="00E8065F">
              <w:rPr>
                <w:color w:val="000000"/>
                <w:sz w:val="20"/>
                <w:szCs w:val="20"/>
              </w:rPr>
              <w:t>2</w:t>
            </w:r>
          </w:p>
        </w:tc>
        <w:tc>
          <w:tcPr>
            <w:tcW w:w="1944" w:type="dxa"/>
            <w:tcBorders>
              <w:top w:val="nil"/>
              <w:left w:val="single" w:sz="4" w:space="0" w:color="auto"/>
              <w:bottom w:val="single" w:sz="4" w:space="0" w:color="auto"/>
              <w:right w:val="single" w:sz="4" w:space="0" w:color="auto"/>
            </w:tcBorders>
            <w:shd w:val="clear" w:color="auto" w:fill="auto"/>
          </w:tcPr>
          <w:p w:rsidR="0080478F" w:rsidRPr="00E8065F" w:rsidRDefault="0080478F" w:rsidP="00BA1432">
            <w:pPr>
              <w:jc w:val="center"/>
              <w:rPr>
                <w:color w:val="000000"/>
                <w:sz w:val="20"/>
                <w:szCs w:val="20"/>
              </w:rPr>
            </w:pPr>
            <w:r w:rsidRPr="00E8065F">
              <w:rPr>
                <w:color w:val="000000"/>
                <w:sz w:val="20"/>
                <w:szCs w:val="20"/>
              </w:rPr>
              <w:t>Амбулаторное</w:t>
            </w:r>
          </w:p>
        </w:tc>
      </w:tr>
      <w:tr w:rsidR="0080478F" w:rsidRPr="00E8065F" w:rsidTr="00CD3A6F">
        <w:trPr>
          <w:trHeight w:val="20"/>
        </w:trPr>
        <w:tc>
          <w:tcPr>
            <w:tcW w:w="1555" w:type="dxa"/>
            <w:vMerge/>
          </w:tcPr>
          <w:p w:rsidR="0080478F" w:rsidRPr="00E8065F" w:rsidRDefault="0080478F" w:rsidP="00BA1432">
            <w:pPr>
              <w:rPr>
                <w:sz w:val="20"/>
                <w:szCs w:val="20"/>
              </w:rPr>
            </w:pPr>
          </w:p>
        </w:tc>
        <w:tc>
          <w:tcPr>
            <w:tcW w:w="3685" w:type="dxa"/>
            <w:tcBorders>
              <w:top w:val="single" w:sz="4" w:space="0" w:color="auto"/>
              <w:bottom w:val="single" w:sz="4" w:space="0" w:color="auto"/>
              <w:right w:val="single" w:sz="4" w:space="0" w:color="auto"/>
            </w:tcBorders>
            <w:shd w:val="clear" w:color="auto" w:fill="auto"/>
          </w:tcPr>
          <w:p w:rsidR="0080478F" w:rsidRPr="00E8065F" w:rsidRDefault="0080478F" w:rsidP="00DC0475">
            <w:pPr>
              <w:jc w:val="both"/>
              <w:rPr>
                <w:color w:val="000000"/>
                <w:sz w:val="20"/>
                <w:szCs w:val="20"/>
              </w:rPr>
            </w:pPr>
            <w:r w:rsidRPr="00E8065F">
              <w:rPr>
                <w:color w:val="000000"/>
                <w:sz w:val="20"/>
                <w:szCs w:val="20"/>
              </w:rPr>
              <w:t xml:space="preserve">ГАУЗ </w:t>
            </w:r>
            <w:r>
              <w:rPr>
                <w:color w:val="000000"/>
                <w:sz w:val="20"/>
                <w:szCs w:val="20"/>
              </w:rPr>
              <w:t>«</w:t>
            </w:r>
            <w:r w:rsidRPr="00E8065F">
              <w:rPr>
                <w:color w:val="000000"/>
                <w:sz w:val="20"/>
                <w:szCs w:val="20"/>
              </w:rPr>
              <w:t>Менделеевская ЦРБ</w:t>
            </w:r>
            <w:r>
              <w:rPr>
                <w:color w:val="000000"/>
                <w:sz w:val="20"/>
                <w:szCs w:val="20"/>
              </w:rPr>
              <w:t>»</w:t>
            </w:r>
          </w:p>
        </w:tc>
        <w:tc>
          <w:tcPr>
            <w:tcW w:w="1994" w:type="dxa"/>
            <w:tcBorders>
              <w:top w:val="single" w:sz="4" w:space="0" w:color="auto"/>
              <w:left w:val="single" w:sz="4" w:space="0" w:color="auto"/>
              <w:bottom w:val="single" w:sz="4" w:space="0" w:color="auto"/>
              <w:right w:val="single" w:sz="4" w:space="0" w:color="auto"/>
            </w:tcBorders>
            <w:shd w:val="clear" w:color="auto" w:fill="auto"/>
          </w:tcPr>
          <w:p w:rsidR="0080478F" w:rsidRPr="00E8065F" w:rsidRDefault="0080478F" w:rsidP="00BA1432">
            <w:pPr>
              <w:jc w:val="center"/>
              <w:rPr>
                <w:color w:val="000000"/>
                <w:sz w:val="20"/>
                <w:szCs w:val="20"/>
              </w:rPr>
            </w:pPr>
            <w:r w:rsidRPr="00E8065F">
              <w:rPr>
                <w:color w:val="000000"/>
                <w:sz w:val="20"/>
                <w:szCs w:val="20"/>
              </w:rPr>
              <w:t>Компьютерный томограф</w:t>
            </w:r>
          </w:p>
        </w:tc>
        <w:tc>
          <w:tcPr>
            <w:tcW w:w="1181" w:type="dxa"/>
            <w:tcBorders>
              <w:top w:val="single" w:sz="4" w:space="0" w:color="auto"/>
              <w:left w:val="single" w:sz="4" w:space="0" w:color="auto"/>
              <w:bottom w:val="single" w:sz="4" w:space="0" w:color="auto"/>
              <w:right w:val="single" w:sz="4" w:space="0" w:color="auto"/>
            </w:tcBorders>
            <w:shd w:val="clear" w:color="auto" w:fill="auto"/>
          </w:tcPr>
          <w:p w:rsidR="0080478F" w:rsidRPr="00E8065F" w:rsidRDefault="0080478F" w:rsidP="000546C2">
            <w:pPr>
              <w:jc w:val="center"/>
              <w:rPr>
                <w:sz w:val="20"/>
                <w:szCs w:val="20"/>
              </w:rPr>
            </w:pPr>
            <w:r w:rsidRPr="00E8065F">
              <w:rPr>
                <w:sz w:val="20"/>
                <w:szCs w:val="20"/>
              </w:rPr>
              <w:t>2022</w:t>
            </w:r>
          </w:p>
        </w:tc>
        <w:tc>
          <w:tcPr>
            <w:tcW w:w="1181" w:type="dxa"/>
            <w:tcBorders>
              <w:top w:val="single" w:sz="4" w:space="0" w:color="auto"/>
              <w:left w:val="single" w:sz="4" w:space="0" w:color="auto"/>
              <w:bottom w:val="single" w:sz="4" w:space="0" w:color="auto"/>
              <w:right w:val="single" w:sz="4" w:space="0" w:color="auto"/>
            </w:tcBorders>
            <w:shd w:val="clear" w:color="auto" w:fill="auto"/>
          </w:tcPr>
          <w:p w:rsidR="0080478F" w:rsidRPr="00E8065F" w:rsidRDefault="0080478F" w:rsidP="000546C2">
            <w:pPr>
              <w:jc w:val="center"/>
              <w:rPr>
                <w:color w:val="000000"/>
                <w:sz w:val="20"/>
                <w:szCs w:val="20"/>
              </w:rPr>
            </w:pPr>
            <w:r w:rsidRPr="00E8065F">
              <w:rPr>
                <w:color w:val="000000"/>
                <w:sz w:val="20"/>
                <w:szCs w:val="20"/>
              </w:rPr>
              <w:t>1</w:t>
            </w:r>
          </w:p>
        </w:tc>
        <w:tc>
          <w:tcPr>
            <w:tcW w:w="1478" w:type="dxa"/>
            <w:tcBorders>
              <w:top w:val="single" w:sz="4" w:space="0" w:color="auto"/>
              <w:left w:val="single" w:sz="4" w:space="0" w:color="auto"/>
              <w:bottom w:val="single" w:sz="4" w:space="0" w:color="auto"/>
              <w:right w:val="single" w:sz="4" w:space="0" w:color="auto"/>
            </w:tcBorders>
            <w:shd w:val="clear" w:color="auto" w:fill="auto"/>
          </w:tcPr>
          <w:p w:rsidR="0080478F" w:rsidRPr="00E8065F" w:rsidRDefault="0080478F" w:rsidP="000546C2">
            <w:pPr>
              <w:jc w:val="center"/>
              <w:rPr>
                <w:color w:val="000000"/>
                <w:sz w:val="20"/>
                <w:szCs w:val="20"/>
              </w:rPr>
            </w:pPr>
            <w:r w:rsidRPr="00E8065F">
              <w:rPr>
                <w:color w:val="000000"/>
                <w:sz w:val="20"/>
                <w:szCs w:val="20"/>
              </w:rPr>
              <w:t>5</w:t>
            </w:r>
          </w:p>
        </w:tc>
        <w:tc>
          <w:tcPr>
            <w:tcW w:w="1111" w:type="dxa"/>
            <w:tcBorders>
              <w:top w:val="single" w:sz="4" w:space="0" w:color="auto"/>
              <w:left w:val="single" w:sz="4" w:space="0" w:color="auto"/>
              <w:bottom w:val="single" w:sz="4" w:space="0" w:color="auto"/>
              <w:right w:val="single" w:sz="4" w:space="0" w:color="auto"/>
            </w:tcBorders>
            <w:shd w:val="clear" w:color="auto" w:fill="auto"/>
          </w:tcPr>
          <w:p w:rsidR="0080478F" w:rsidRPr="00E8065F" w:rsidRDefault="0080478F" w:rsidP="000546C2">
            <w:pPr>
              <w:jc w:val="center"/>
              <w:rPr>
                <w:color w:val="000000"/>
                <w:sz w:val="20"/>
                <w:szCs w:val="20"/>
              </w:rPr>
            </w:pPr>
            <w:r w:rsidRPr="00E8065F">
              <w:rPr>
                <w:color w:val="000000"/>
                <w:sz w:val="20"/>
                <w:szCs w:val="20"/>
              </w:rPr>
              <w:t>2</w:t>
            </w:r>
          </w:p>
        </w:tc>
        <w:tc>
          <w:tcPr>
            <w:tcW w:w="1944" w:type="dxa"/>
            <w:tcBorders>
              <w:top w:val="single" w:sz="4" w:space="0" w:color="auto"/>
              <w:left w:val="single" w:sz="4" w:space="0" w:color="auto"/>
              <w:bottom w:val="single" w:sz="4" w:space="0" w:color="auto"/>
              <w:right w:val="single" w:sz="4" w:space="0" w:color="auto"/>
            </w:tcBorders>
            <w:shd w:val="clear" w:color="auto" w:fill="auto"/>
          </w:tcPr>
          <w:p w:rsidR="0080478F" w:rsidRPr="00E8065F" w:rsidRDefault="0080478F" w:rsidP="00BA1432">
            <w:pPr>
              <w:jc w:val="center"/>
              <w:rPr>
                <w:color w:val="000000"/>
                <w:sz w:val="20"/>
                <w:szCs w:val="20"/>
              </w:rPr>
            </w:pPr>
            <w:r w:rsidRPr="00E8065F">
              <w:rPr>
                <w:color w:val="000000"/>
                <w:sz w:val="20"/>
                <w:szCs w:val="20"/>
              </w:rPr>
              <w:t>Стационарное</w:t>
            </w:r>
          </w:p>
        </w:tc>
      </w:tr>
      <w:tr w:rsidR="0080478F" w:rsidRPr="00E8065F" w:rsidTr="00CD3A6F">
        <w:trPr>
          <w:trHeight w:val="20"/>
        </w:trPr>
        <w:tc>
          <w:tcPr>
            <w:tcW w:w="1555" w:type="dxa"/>
            <w:vMerge/>
          </w:tcPr>
          <w:p w:rsidR="0080478F" w:rsidRPr="00E8065F" w:rsidRDefault="0080478F" w:rsidP="00BA1432">
            <w:pPr>
              <w:rPr>
                <w:sz w:val="20"/>
                <w:szCs w:val="20"/>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80478F" w:rsidRPr="00E8065F" w:rsidRDefault="0080478F" w:rsidP="00DC0475">
            <w:pPr>
              <w:jc w:val="both"/>
              <w:rPr>
                <w:color w:val="000000"/>
                <w:sz w:val="20"/>
                <w:szCs w:val="20"/>
              </w:rPr>
            </w:pPr>
            <w:r w:rsidRPr="00E8065F">
              <w:rPr>
                <w:color w:val="000000"/>
                <w:sz w:val="20"/>
                <w:szCs w:val="20"/>
              </w:rPr>
              <w:t xml:space="preserve">ГАУЗ </w:t>
            </w:r>
            <w:r>
              <w:rPr>
                <w:color w:val="000000"/>
                <w:sz w:val="20"/>
                <w:szCs w:val="20"/>
              </w:rPr>
              <w:t>«</w:t>
            </w:r>
            <w:r w:rsidRPr="00E8065F">
              <w:rPr>
                <w:color w:val="000000"/>
                <w:sz w:val="20"/>
                <w:szCs w:val="20"/>
              </w:rPr>
              <w:t>Муслюмовская ЦРБ</w:t>
            </w:r>
            <w:r>
              <w:rPr>
                <w:color w:val="000000"/>
                <w:sz w:val="20"/>
                <w:szCs w:val="20"/>
              </w:rPr>
              <w:t>»</w:t>
            </w:r>
            <w:r w:rsidRPr="00E8065F">
              <w:rPr>
                <w:color w:val="000000"/>
                <w:sz w:val="20"/>
                <w:szCs w:val="20"/>
              </w:rPr>
              <w:t xml:space="preserve"> </w:t>
            </w:r>
          </w:p>
        </w:tc>
        <w:tc>
          <w:tcPr>
            <w:tcW w:w="1994" w:type="dxa"/>
            <w:tcBorders>
              <w:top w:val="single" w:sz="4" w:space="0" w:color="auto"/>
              <w:left w:val="single" w:sz="4" w:space="0" w:color="auto"/>
              <w:bottom w:val="single" w:sz="4" w:space="0" w:color="auto"/>
              <w:right w:val="single" w:sz="4" w:space="0" w:color="auto"/>
            </w:tcBorders>
            <w:shd w:val="clear" w:color="auto" w:fill="auto"/>
          </w:tcPr>
          <w:p w:rsidR="0080478F" w:rsidRPr="00E8065F" w:rsidRDefault="0080478F" w:rsidP="00BA1432">
            <w:pPr>
              <w:jc w:val="center"/>
              <w:rPr>
                <w:color w:val="000000"/>
                <w:sz w:val="20"/>
                <w:szCs w:val="20"/>
              </w:rPr>
            </w:pPr>
            <w:r w:rsidRPr="00E8065F">
              <w:rPr>
                <w:color w:val="000000"/>
                <w:sz w:val="20"/>
                <w:szCs w:val="20"/>
              </w:rPr>
              <w:t>Компьютерный томограф</w:t>
            </w:r>
          </w:p>
        </w:tc>
        <w:tc>
          <w:tcPr>
            <w:tcW w:w="1181" w:type="dxa"/>
            <w:tcBorders>
              <w:top w:val="single" w:sz="4" w:space="0" w:color="auto"/>
            </w:tcBorders>
            <w:shd w:val="clear" w:color="auto" w:fill="auto"/>
          </w:tcPr>
          <w:p w:rsidR="0080478F" w:rsidRPr="00E8065F" w:rsidRDefault="0080478F" w:rsidP="000546C2">
            <w:pPr>
              <w:jc w:val="center"/>
              <w:rPr>
                <w:sz w:val="20"/>
                <w:szCs w:val="20"/>
              </w:rPr>
            </w:pPr>
            <w:r w:rsidRPr="00E8065F">
              <w:rPr>
                <w:sz w:val="20"/>
                <w:szCs w:val="20"/>
              </w:rPr>
              <w:t>2022</w:t>
            </w:r>
          </w:p>
        </w:tc>
        <w:tc>
          <w:tcPr>
            <w:tcW w:w="1181" w:type="dxa"/>
            <w:tcBorders>
              <w:top w:val="single" w:sz="4" w:space="0" w:color="auto"/>
              <w:left w:val="single" w:sz="4" w:space="0" w:color="auto"/>
              <w:bottom w:val="single" w:sz="4" w:space="0" w:color="auto"/>
              <w:right w:val="single" w:sz="4" w:space="0" w:color="auto"/>
            </w:tcBorders>
            <w:shd w:val="clear" w:color="auto" w:fill="auto"/>
          </w:tcPr>
          <w:p w:rsidR="0080478F" w:rsidRPr="00E8065F" w:rsidRDefault="0080478F" w:rsidP="000546C2">
            <w:pPr>
              <w:jc w:val="center"/>
              <w:rPr>
                <w:color w:val="000000"/>
                <w:sz w:val="20"/>
                <w:szCs w:val="20"/>
              </w:rPr>
            </w:pPr>
            <w:r w:rsidRPr="00E8065F">
              <w:rPr>
                <w:color w:val="000000"/>
                <w:sz w:val="20"/>
                <w:szCs w:val="20"/>
              </w:rPr>
              <w:t>1</w:t>
            </w:r>
          </w:p>
        </w:tc>
        <w:tc>
          <w:tcPr>
            <w:tcW w:w="1478" w:type="dxa"/>
            <w:tcBorders>
              <w:top w:val="single" w:sz="4" w:space="0" w:color="auto"/>
              <w:left w:val="single" w:sz="4" w:space="0" w:color="auto"/>
              <w:bottom w:val="single" w:sz="4" w:space="0" w:color="auto"/>
              <w:right w:val="single" w:sz="4" w:space="0" w:color="auto"/>
            </w:tcBorders>
            <w:shd w:val="clear" w:color="auto" w:fill="auto"/>
          </w:tcPr>
          <w:p w:rsidR="0080478F" w:rsidRPr="00E8065F" w:rsidRDefault="0080478F" w:rsidP="000546C2">
            <w:pPr>
              <w:jc w:val="center"/>
              <w:rPr>
                <w:color w:val="000000"/>
                <w:sz w:val="20"/>
                <w:szCs w:val="20"/>
              </w:rPr>
            </w:pPr>
            <w:r w:rsidRPr="00E8065F">
              <w:rPr>
                <w:color w:val="000000"/>
                <w:sz w:val="20"/>
                <w:szCs w:val="20"/>
              </w:rPr>
              <w:t>3</w:t>
            </w:r>
          </w:p>
        </w:tc>
        <w:tc>
          <w:tcPr>
            <w:tcW w:w="1111" w:type="dxa"/>
            <w:tcBorders>
              <w:top w:val="single" w:sz="4" w:space="0" w:color="auto"/>
              <w:left w:val="single" w:sz="4" w:space="0" w:color="auto"/>
              <w:bottom w:val="single" w:sz="4" w:space="0" w:color="auto"/>
              <w:right w:val="single" w:sz="4" w:space="0" w:color="auto"/>
            </w:tcBorders>
            <w:shd w:val="clear" w:color="auto" w:fill="auto"/>
          </w:tcPr>
          <w:p w:rsidR="0080478F" w:rsidRPr="00E8065F" w:rsidRDefault="0080478F" w:rsidP="000546C2">
            <w:pPr>
              <w:jc w:val="center"/>
              <w:rPr>
                <w:color w:val="000000"/>
                <w:sz w:val="20"/>
                <w:szCs w:val="20"/>
              </w:rPr>
            </w:pPr>
            <w:r w:rsidRPr="00E8065F">
              <w:rPr>
                <w:color w:val="000000"/>
                <w:sz w:val="20"/>
                <w:szCs w:val="20"/>
              </w:rPr>
              <w:t>2</w:t>
            </w:r>
          </w:p>
        </w:tc>
        <w:tc>
          <w:tcPr>
            <w:tcW w:w="1944" w:type="dxa"/>
            <w:tcBorders>
              <w:top w:val="single" w:sz="4" w:space="0" w:color="auto"/>
              <w:left w:val="single" w:sz="4" w:space="0" w:color="auto"/>
              <w:bottom w:val="single" w:sz="4" w:space="0" w:color="auto"/>
              <w:right w:val="single" w:sz="4" w:space="0" w:color="auto"/>
            </w:tcBorders>
            <w:shd w:val="clear" w:color="auto" w:fill="auto"/>
          </w:tcPr>
          <w:p w:rsidR="0080478F" w:rsidRPr="00E8065F" w:rsidRDefault="0080478F" w:rsidP="00BA1432">
            <w:pPr>
              <w:jc w:val="center"/>
              <w:rPr>
                <w:color w:val="000000"/>
                <w:sz w:val="20"/>
                <w:szCs w:val="20"/>
              </w:rPr>
            </w:pPr>
            <w:r w:rsidRPr="00E8065F">
              <w:rPr>
                <w:color w:val="000000"/>
                <w:sz w:val="20"/>
                <w:szCs w:val="20"/>
              </w:rPr>
              <w:t>Амбулаторное</w:t>
            </w:r>
          </w:p>
        </w:tc>
      </w:tr>
      <w:tr w:rsidR="0080478F" w:rsidRPr="00E8065F" w:rsidTr="000546C2">
        <w:trPr>
          <w:trHeight w:val="20"/>
        </w:trPr>
        <w:tc>
          <w:tcPr>
            <w:tcW w:w="1555" w:type="dxa"/>
            <w:vMerge/>
          </w:tcPr>
          <w:p w:rsidR="0080478F" w:rsidRPr="00E8065F" w:rsidRDefault="0080478F" w:rsidP="00BA1432">
            <w:pPr>
              <w:rPr>
                <w:sz w:val="20"/>
                <w:szCs w:val="20"/>
              </w:rPr>
            </w:pPr>
          </w:p>
        </w:tc>
        <w:tc>
          <w:tcPr>
            <w:tcW w:w="3685" w:type="dxa"/>
            <w:tcBorders>
              <w:top w:val="nil"/>
              <w:left w:val="single" w:sz="4" w:space="0" w:color="auto"/>
              <w:bottom w:val="single" w:sz="4" w:space="0" w:color="auto"/>
              <w:right w:val="single" w:sz="4" w:space="0" w:color="auto"/>
            </w:tcBorders>
            <w:shd w:val="clear" w:color="auto" w:fill="auto"/>
          </w:tcPr>
          <w:p w:rsidR="0080478F" w:rsidRPr="00E8065F" w:rsidRDefault="0080478F" w:rsidP="00DC0475">
            <w:pPr>
              <w:jc w:val="both"/>
              <w:rPr>
                <w:color w:val="000000"/>
                <w:sz w:val="20"/>
                <w:szCs w:val="20"/>
              </w:rPr>
            </w:pPr>
            <w:r>
              <w:rPr>
                <w:color w:val="000000"/>
                <w:sz w:val="20"/>
                <w:szCs w:val="20"/>
              </w:rPr>
              <w:t xml:space="preserve">ГАУЗ </w:t>
            </w:r>
            <w:r>
              <w:rPr>
                <w:sz w:val="20"/>
                <w:szCs w:val="20"/>
              </w:rPr>
              <w:t>«Нижнекамская центральная районная многопрофильная больница»</w:t>
            </w:r>
            <w:r w:rsidRPr="00E8065F">
              <w:rPr>
                <w:color w:val="000000"/>
                <w:sz w:val="20"/>
                <w:szCs w:val="20"/>
              </w:rPr>
              <w:t xml:space="preserve"> </w:t>
            </w:r>
          </w:p>
        </w:tc>
        <w:tc>
          <w:tcPr>
            <w:tcW w:w="1994" w:type="dxa"/>
            <w:tcBorders>
              <w:top w:val="nil"/>
              <w:left w:val="single" w:sz="4" w:space="0" w:color="auto"/>
              <w:bottom w:val="single" w:sz="4" w:space="0" w:color="auto"/>
              <w:right w:val="single" w:sz="4" w:space="0" w:color="auto"/>
            </w:tcBorders>
            <w:shd w:val="clear" w:color="auto" w:fill="auto"/>
          </w:tcPr>
          <w:p w:rsidR="0080478F" w:rsidRPr="00E8065F" w:rsidRDefault="0080478F" w:rsidP="00BA1432">
            <w:pPr>
              <w:jc w:val="center"/>
              <w:rPr>
                <w:color w:val="000000"/>
                <w:sz w:val="20"/>
                <w:szCs w:val="20"/>
              </w:rPr>
            </w:pPr>
            <w:r w:rsidRPr="00E8065F">
              <w:rPr>
                <w:color w:val="000000"/>
                <w:sz w:val="20"/>
                <w:szCs w:val="20"/>
              </w:rPr>
              <w:t>Компьютерный томограф</w:t>
            </w:r>
          </w:p>
        </w:tc>
        <w:tc>
          <w:tcPr>
            <w:tcW w:w="1181" w:type="dxa"/>
            <w:shd w:val="clear" w:color="auto" w:fill="auto"/>
          </w:tcPr>
          <w:p w:rsidR="0080478F" w:rsidRPr="00E8065F" w:rsidRDefault="0080478F" w:rsidP="000546C2">
            <w:pPr>
              <w:jc w:val="center"/>
              <w:rPr>
                <w:sz w:val="20"/>
                <w:szCs w:val="20"/>
              </w:rPr>
            </w:pPr>
            <w:r w:rsidRPr="00E8065F">
              <w:rPr>
                <w:sz w:val="20"/>
                <w:szCs w:val="20"/>
              </w:rPr>
              <w:t>2020</w:t>
            </w:r>
            <w:r w:rsidR="003D79B3">
              <w:rPr>
                <w:sz w:val="20"/>
                <w:szCs w:val="20"/>
              </w:rPr>
              <w:t xml:space="preserve"> </w:t>
            </w:r>
            <w:r w:rsidR="00417E61">
              <w:rPr>
                <w:sz w:val="20"/>
                <w:szCs w:val="20"/>
              </w:rPr>
              <w:t>(1)</w:t>
            </w:r>
          </w:p>
          <w:p w:rsidR="0080478F" w:rsidRPr="00E8065F" w:rsidRDefault="0080478F" w:rsidP="000546C2">
            <w:pPr>
              <w:jc w:val="center"/>
              <w:rPr>
                <w:sz w:val="20"/>
                <w:szCs w:val="20"/>
              </w:rPr>
            </w:pPr>
            <w:r>
              <w:rPr>
                <w:sz w:val="20"/>
                <w:szCs w:val="20"/>
              </w:rPr>
              <w:t>2023</w:t>
            </w:r>
            <w:r w:rsidR="003D79B3">
              <w:rPr>
                <w:sz w:val="20"/>
                <w:szCs w:val="20"/>
              </w:rPr>
              <w:t xml:space="preserve"> </w:t>
            </w:r>
            <w:r w:rsidR="00417E61">
              <w:rPr>
                <w:sz w:val="20"/>
                <w:szCs w:val="20"/>
              </w:rPr>
              <w:t>(1)</w:t>
            </w:r>
          </w:p>
        </w:tc>
        <w:tc>
          <w:tcPr>
            <w:tcW w:w="1181" w:type="dxa"/>
            <w:tcBorders>
              <w:top w:val="nil"/>
              <w:left w:val="single" w:sz="4" w:space="0" w:color="auto"/>
              <w:bottom w:val="single" w:sz="4" w:space="0" w:color="auto"/>
              <w:right w:val="single" w:sz="4" w:space="0" w:color="auto"/>
            </w:tcBorders>
            <w:shd w:val="clear" w:color="auto" w:fill="auto"/>
          </w:tcPr>
          <w:p w:rsidR="0080478F" w:rsidRPr="00E8065F" w:rsidRDefault="0080478F" w:rsidP="000546C2">
            <w:pPr>
              <w:jc w:val="center"/>
              <w:rPr>
                <w:color w:val="000000"/>
                <w:sz w:val="20"/>
                <w:szCs w:val="20"/>
              </w:rPr>
            </w:pPr>
            <w:r w:rsidRPr="00E8065F">
              <w:rPr>
                <w:color w:val="000000"/>
                <w:sz w:val="20"/>
                <w:szCs w:val="20"/>
              </w:rPr>
              <w:t>2</w:t>
            </w:r>
          </w:p>
        </w:tc>
        <w:tc>
          <w:tcPr>
            <w:tcW w:w="1478" w:type="dxa"/>
            <w:tcBorders>
              <w:top w:val="nil"/>
              <w:left w:val="single" w:sz="4" w:space="0" w:color="auto"/>
              <w:bottom w:val="single" w:sz="4" w:space="0" w:color="auto"/>
              <w:right w:val="single" w:sz="4" w:space="0" w:color="auto"/>
            </w:tcBorders>
            <w:shd w:val="clear" w:color="auto" w:fill="auto"/>
          </w:tcPr>
          <w:p w:rsidR="0080478F" w:rsidRPr="00E8065F" w:rsidRDefault="0080478F" w:rsidP="000546C2">
            <w:pPr>
              <w:jc w:val="center"/>
              <w:rPr>
                <w:color w:val="000000"/>
                <w:sz w:val="20"/>
                <w:szCs w:val="20"/>
              </w:rPr>
            </w:pPr>
            <w:r w:rsidRPr="00E8065F">
              <w:rPr>
                <w:color w:val="000000"/>
                <w:sz w:val="20"/>
                <w:szCs w:val="20"/>
              </w:rPr>
              <w:t>34</w:t>
            </w:r>
          </w:p>
        </w:tc>
        <w:tc>
          <w:tcPr>
            <w:tcW w:w="1111" w:type="dxa"/>
            <w:tcBorders>
              <w:top w:val="nil"/>
              <w:left w:val="single" w:sz="4" w:space="0" w:color="auto"/>
              <w:bottom w:val="single" w:sz="4" w:space="0" w:color="auto"/>
              <w:right w:val="single" w:sz="4" w:space="0" w:color="auto"/>
            </w:tcBorders>
            <w:shd w:val="clear" w:color="auto" w:fill="auto"/>
          </w:tcPr>
          <w:p w:rsidR="0080478F" w:rsidRPr="00E8065F" w:rsidRDefault="0080478F" w:rsidP="000546C2">
            <w:pPr>
              <w:jc w:val="center"/>
              <w:rPr>
                <w:color w:val="000000"/>
                <w:sz w:val="20"/>
                <w:szCs w:val="20"/>
              </w:rPr>
            </w:pPr>
            <w:r w:rsidRPr="00E8065F">
              <w:rPr>
                <w:color w:val="000000"/>
                <w:sz w:val="20"/>
                <w:szCs w:val="20"/>
              </w:rPr>
              <w:t>2</w:t>
            </w:r>
          </w:p>
        </w:tc>
        <w:tc>
          <w:tcPr>
            <w:tcW w:w="1944" w:type="dxa"/>
            <w:tcBorders>
              <w:top w:val="nil"/>
              <w:left w:val="single" w:sz="4" w:space="0" w:color="auto"/>
              <w:bottom w:val="single" w:sz="4" w:space="0" w:color="auto"/>
              <w:right w:val="single" w:sz="4" w:space="0" w:color="auto"/>
            </w:tcBorders>
            <w:shd w:val="clear" w:color="auto" w:fill="auto"/>
          </w:tcPr>
          <w:p w:rsidR="0080478F" w:rsidRPr="00E8065F" w:rsidRDefault="0080478F" w:rsidP="00BA1432">
            <w:pPr>
              <w:jc w:val="center"/>
              <w:rPr>
                <w:color w:val="000000"/>
                <w:sz w:val="20"/>
                <w:szCs w:val="20"/>
              </w:rPr>
            </w:pPr>
            <w:r w:rsidRPr="00E8065F">
              <w:rPr>
                <w:color w:val="000000"/>
                <w:sz w:val="20"/>
                <w:szCs w:val="20"/>
              </w:rPr>
              <w:t>Амбулаторное/стационарное</w:t>
            </w:r>
          </w:p>
        </w:tc>
      </w:tr>
      <w:tr w:rsidR="0080478F" w:rsidRPr="00E8065F" w:rsidTr="00CD3A6F">
        <w:trPr>
          <w:trHeight w:val="20"/>
        </w:trPr>
        <w:tc>
          <w:tcPr>
            <w:tcW w:w="1555" w:type="dxa"/>
            <w:vMerge/>
          </w:tcPr>
          <w:p w:rsidR="0080478F" w:rsidRPr="00E8065F" w:rsidRDefault="0080478F" w:rsidP="00BA1432">
            <w:pPr>
              <w:rPr>
                <w:sz w:val="20"/>
                <w:szCs w:val="20"/>
              </w:rPr>
            </w:pPr>
          </w:p>
        </w:tc>
        <w:tc>
          <w:tcPr>
            <w:tcW w:w="3685" w:type="dxa"/>
            <w:tcBorders>
              <w:top w:val="nil"/>
              <w:left w:val="single" w:sz="4" w:space="0" w:color="auto"/>
              <w:bottom w:val="single" w:sz="4" w:space="0" w:color="auto"/>
              <w:right w:val="single" w:sz="4" w:space="0" w:color="auto"/>
            </w:tcBorders>
            <w:shd w:val="clear" w:color="auto" w:fill="auto"/>
          </w:tcPr>
          <w:p w:rsidR="0080478F" w:rsidRPr="00E8065F" w:rsidRDefault="0080478F" w:rsidP="00DC0475">
            <w:pPr>
              <w:jc w:val="both"/>
              <w:rPr>
                <w:color w:val="000000"/>
                <w:sz w:val="20"/>
                <w:szCs w:val="20"/>
              </w:rPr>
            </w:pPr>
            <w:r w:rsidRPr="00E8065F">
              <w:rPr>
                <w:color w:val="000000"/>
                <w:sz w:val="20"/>
                <w:szCs w:val="20"/>
              </w:rPr>
              <w:t xml:space="preserve">ГАУЗ </w:t>
            </w:r>
            <w:r>
              <w:rPr>
                <w:color w:val="000000"/>
                <w:sz w:val="20"/>
                <w:szCs w:val="20"/>
              </w:rPr>
              <w:t>«</w:t>
            </w:r>
            <w:r w:rsidRPr="00E8065F">
              <w:rPr>
                <w:color w:val="000000"/>
                <w:sz w:val="20"/>
                <w:szCs w:val="20"/>
              </w:rPr>
              <w:t>Нурлатская ЦРБ</w:t>
            </w:r>
            <w:r>
              <w:rPr>
                <w:color w:val="000000"/>
                <w:sz w:val="20"/>
                <w:szCs w:val="20"/>
              </w:rPr>
              <w:t>»</w:t>
            </w:r>
          </w:p>
          <w:p w:rsidR="0080478F" w:rsidRPr="00E8065F" w:rsidRDefault="0080478F" w:rsidP="00DC0475">
            <w:pPr>
              <w:jc w:val="both"/>
              <w:rPr>
                <w:color w:val="000000"/>
                <w:sz w:val="20"/>
                <w:szCs w:val="20"/>
              </w:rPr>
            </w:pPr>
          </w:p>
        </w:tc>
        <w:tc>
          <w:tcPr>
            <w:tcW w:w="1994" w:type="dxa"/>
            <w:tcBorders>
              <w:top w:val="nil"/>
              <w:left w:val="single" w:sz="4" w:space="0" w:color="auto"/>
              <w:bottom w:val="single" w:sz="4" w:space="0" w:color="auto"/>
              <w:right w:val="single" w:sz="4" w:space="0" w:color="auto"/>
            </w:tcBorders>
            <w:shd w:val="clear" w:color="auto" w:fill="auto"/>
          </w:tcPr>
          <w:p w:rsidR="0080478F" w:rsidRPr="00E8065F" w:rsidRDefault="0080478F" w:rsidP="00BA1432">
            <w:pPr>
              <w:jc w:val="center"/>
              <w:rPr>
                <w:color w:val="000000"/>
                <w:sz w:val="20"/>
                <w:szCs w:val="20"/>
              </w:rPr>
            </w:pPr>
            <w:r w:rsidRPr="00E8065F">
              <w:rPr>
                <w:color w:val="000000"/>
                <w:sz w:val="20"/>
                <w:szCs w:val="20"/>
              </w:rPr>
              <w:t>Компьютерный томограф</w:t>
            </w:r>
          </w:p>
        </w:tc>
        <w:tc>
          <w:tcPr>
            <w:tcW w:w="1181" w:type="dxa"/>
            <w:tcBorders>
              <w:bottom w:val="single" w:sz="4" w:space="0" w:color="auto"/>
            </w:tcBorders>
            <w:shd w:val="clear" w:color="auto" w:fill="auto"/>
          </w:tcPr>
          <w:p w:rsidR="0080478F" w:rsidRPr="00E8065F" w:rsidRDefault="0080478F" w:rsidP="000546C2">
            <w:pPr>
              <w:jc w:val="center"/>
              <w:rPr>
                <w:sz w:val="20"/>
                <w:szCs w:val="20"/>
              </w:rPr>
            </w:pPr>
            <w:r w:rsidRPr="00E8065F">
              <w:rPr>
                <w:sz w:val="20"/>
                <w:szCs w:val="20"/>
              </w:rPr>
              <w:t>2023</w:t>
            </w:r>
          </w:p>
        </w:tc>
        <w:tc>
          <w:tcPr>
            <w:tcW w:w="1181" w:type="dxa"/>
            <w:tcBorders>
              <w:top w:val="nil"/>
              <w:left w:val="single" w:sz="4" w:space="0" w:color="auto"/>
              <w:bottom w:val="single" w:sz="4" w:space="0" w:color="auto"/>
              <w:right w:val="single" w:sz="4" w:space="0" w:color="auto"/>
            </w:tcBorders>
            <w:shd w:val="clear" w:color="auto" w:fill="auto"/>
          </w:tcPr>
          <w:p w:rsidR="0080478F" w:rsidRPr="00E8065F" w:rsidRDefault="0080478F" w:rsidP="000546C2">
            <w:pPr>
              <w:jc w:val="center"/>
              <w:rPr>
                <w:color w:val="000000"/>
                <w:sz w:val="20"/>
                <w:szCs w:val="20"/>
              </w:rPr>
            </w:pPr>
            <w:r w:rsidRPr="00E8065F">
              <w:rPr>
                <w:color w:val="000000"/>
                <w:sz w:val="20"/>
                <w:szCs w:val="20"/>
              </w:rPr>
              <w:t>1</w:t>
            </w:r>
          </w:p>
        </w:tc>
        <w:tc>
          <w:tcPr>
            <w:tcW w:w="1478" w:type="dxa"/>
            <w:tcBorders>
              <w:top w:val="nil"/>
              <w:left w:val="single" w:sz="4" w:space="0" w:color="auto"/>
              <w:bottom w:val="single" w:sz="4" w:space="0" w:color="auto"/>
              <w:right w:val="single" w:sz="4" w:space="0" w:color="auto"/>
            </w:tcBorders>
            <w:shd w:val="clear" w:color="auto" w:fill="auto"/>
          </w:tcPr>
          <w:p w:rsidR="0080478F" w:rsidRPr="00E8065F" w:rsidRDefault="0080478F" w:rsidP="000546C2">
            <w:pPr>
              <w:jc w:val="center"/>
              <w:rPr>
                <w:color w:val="000000"/>
                <w:sz w:val="20"/>
                <w:szCs w:val="20"/>
              </w:rPr>
            </w:pPr>
          </w:p>
        </w:tc>
        <w:tc>
          <w:tcPr>
            <w:tcW w:w="1111" w:type="dxa"/>
            <w:tcBorders>
              <w:top w:val="nil"/>
              <w:left w:val="single" w:sz="4" w:space="0" w:color="auto"/>
              <w:bottom w:val="single" w:sz="4" w:space="0" w:color="auto"/>
              <w:right w:val="single" w:sz="4" w:space="0" w:color="auto"/>
            </w:tcBorders>
            <w:shd w:val="clear" w:color="auto" w:fill="auto"/>
          </w:tcPr>
          <w:p w:rsidR="0080478F" w:rsidRPr="00E8065F" w:rsidRDefault="0080478F" w:rsidP="000546C2">
            <w:pPr>
              <w:jc w:val="center"/>
              <w:rPr>
                <w:color w:val="000000"/>
                <w:sz w:val="20"/>
                <w:szCs w:val="20"/>
              </w:rPr>
            </w:pPr>
          </w:p>
        </w:tc>
        <w:tc>
          <w:tcPr>
            <w:tcW w:w="1944" w:type="dxa"/>
            <w:tcBorders>
              <w:top w:val="nil"/>
              <w:left w:val="single" w:sz="4" w:space="0" w:color="auto"/>
              <w:bottom w:val="single" w:sz="4" w:space="0" w:color="auto"/>
              <w:right w:val="single" w:sz="4" w:space="0" w:color="auto"/>
            </w:tcBorders>
            <w:shd w:val="clear" w:color="auto" w:fill="auto"/>
          </w:tcPr>
          <w:p w:rsidR="0080478F" w:rsidRPr="00E8065F" w:rsidRDefault="0080478F" w:rsidP="00BA1432">
            <w:pPr>
              <w:jc w:val="center"/>
              <w:rPr>
                <w:color w:val="000000"/>
                <w:sz w:val="20"/>
                <w:szCs w:val="20"/>
              </w:rPr>
            </w:pPr>
            <w:r w:rsidRPr="00E8065F">
              <w:rPr>
                <w:color w:val="000000"/>
                <w:sz w:val="20"/>
                <w:szCs w:val="20"/>
              </w:rPr>
              <w:t>Стационарное</w:t>
            </w:r>
          </w:p>
        </w:tc>
      </w:tr>
      <w:tr w:rsidR="0080478F" w:rsidRPr="00E8065F" w:rsidTr="00CD3A6F">
        <w:trPr>
          <w:trHeight w:val="20"/>
        </w:trPr>
        <w:tc>
          <w:tcPr>
            <w:tcW w:w="1555" w:type="dxa"/>
            <w:vMerge/>
          </w:tcPr>
          <w:p w:rsidR="0080478F" w:rsidRPr="00E8065F" w:rsidRDefault="0080478F" w:rsidP="00BA1432">
            <w:pPr>
              <w:rPr>
                <w:sz w:val="20"/>
                <w:szCs w:val="20"/>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80478F" w:rsidRPr="00E8065F" w:rsidRDefault="0080478F" w:rsidP="00DC0475">
            <w:pPr>
              <w:jc w:val="both"/>
              <w:rPr>
                <w:color w:val="000000"/>
                <w:sz w:val="20"/>
                <w:szCs w:val="20"/>
              </w:rPr>
            </w:pPr>
            <w:r w:rsidRPr="00E8065F">
              <w:rPr>
                <w:color w:val="000000"/>
                <w:sz w:val="20"/>
                <w:szCs w:val="20"/>
              </w:rPr>
              <w:t xml:space="preserve">ГАУЗ </w:t>
            </w:r>
            <w:r>
              <w:rPr>
                <w:color w:val="000000"/>
                <w:sz w:val="20"/>
                <w:szCs w:val="20"/>
              </w:rPr>
              <w:t>«</w:t>
            </w:r>
            <w:r w:rsidRPr="00E8065F">
              <w:rPr>
                <w:color w:val="000000"/>
                <w:sz w:val="20"/>
                <w:szCs w:val="20"/>
              </w:rPr>
              <w:t>Рыбно-Слободская ЦРБ</w:t>
            </w:r>
            <w:r>
              <w:rPr>
                <w:color w:val="000000"/>
                <w:sz w:val="20"/>
                <w:szCs w:val="20"/>
              </w:rPr>
              <w:t>»</w:t>
            </w:r>
            <w:r w:rsidRPr="00E8065F">
              <w:rPr>
                <w:color w:val="000000"/>
                <w:sz w:val="20"/>
                <w:szCs w:val="20"/>
              </w:rPr>
              <w:t xml:space="preserve"> </w:t>
            </w:r>
          </w:p>
        </w:tc>
        <w:tc>
          <w:tcPr>
            <w:tcW w:w="1994" w:type="dxa"/>
            <w:tcBorders>
              <w:top w:val="single" w:sz="4" w:space="0" w:color="auto"/>
              <w:left w:val="single" w:sz="4" w:space="0" w:color="auto"/>
              <w:bottom w:val="single" w:sz="4" w:space="0" w:color="auto"/>
              <w:right w:val="single" w:sz="4" w:space="0" w:color="auto"/>
            </w:tcBorders>
            <w:shd w:val="clear" w:color="auto" w:fill="auto"/>
          </w:tcPr>
          <w:p w:rsidR="0080478F" w:rsidRPr="00E8065F" w:rsidRDefault="0080478F" w:rsidP="00BA1432">
            <w:pPr>
              <w:jc w:val="center"/>
              <w:rPr>
                <w:color w:val="000000"/>
                <w:sz w:val="20"/>
                <w:szCs w:val="20"/>
              </w:rPr>
            </w:pPr>
            <w:r w:rsidRPr="00E8065F">
              <w:rPr>
                <w:color w:val="000000"/>
                <w:sz w:val="20"/>
                <w:szCs w:val="20"/>
              </w:rPr>
              <w:t>Компьютерный томограф</w:t>
            </w:r>
          </w:p>
        </w:tc>
        <w:tc>
          <w:tcPr>
            <w:tcW w:w="1181" w:type="dxa"/>
            <w:tcBorders>
              <w:top w:val="single" w:sz="4" w:space="0" w:color="auto"/>
            </w:tcBorders>
            <w:shd w:val="clear" w:color="auto" w:fill="auto"/>
          </w:tcPr>
          <w:p w:rsidR="0080478F" w:rsidRPr="00E8065F" w:rsidRDefault="0080478F" w:rsidP="000546C2">
            <w:pPr>
              <w:jc w:val="center"/>
              <w:rPr>
                <w:sz w:val="20"/>
                <w:szCs w:val="20"/>
              </w:rPr>
            </w:pPr>
            <w:r w:rsidRPr="00E8065F">
              <w:rPr>
                <w:sz w:val="20"/>
                <w:szCs w:val="20"/>
              </w:rPr>
              <w:t>2022</w:t>
            </w:r>
          </w:p>
        </w:tc>
        <w:tc>
          <w:tcPr>
            <w:tcW w:w="1181" w:type="dxa"/>
            <w:tcBorders>
              <w:top w:val="single" w:sz="4" w:space="0" w:color="auto"/>
              <w:left w:val="single" w:sz="4" w:space="0" w:color="auto"/>
              <w:bottom w:val="single" w:sz="4" w:space="0" w:color="auto"/>
              <w:right w:val="single" w:sz="4" w:space="0" w:color="auto"/>
            </w:tcBorders>
            <w:shd w:val="clear" w:color="auto" w:fill="auto"/>
          </w:tcPr>
          <w:p w:rsidR="0080478F" w:rsidRPr="00E8065F" w:rsidRDefault="0080478F" w:rsidP="000546C2">
            <w:pPr>
              <w:jc w:val="center"/>
              <w:rPr>
                <w:color w:val="000000"/>
                <w:sz w:val="20"/>
                <w:szCs w:val="20"/>
              </w:rPr>
            </w:pPr>
            <w:r w:rsidRPr="00E8065F">
              <w:rPr>
                <w:color w:val="000000"/>
                <w:sz w:val="20"/>
                <w:szCs w:val="20"/>
              </w:rPr>
              <w:t>1</w:t>
            </w:r>
          </w:p>
        </w:tc>
        <w:tc>
          <w:tcPr>
            <w:tcW w:w="1478" w:type="dxa"/>
            <w:tcBorders>
              <w:top w:val="single" w:sz="4" w:space="0" w:color="auto"/>
              <w:left w:val="single" w:sz="4" w:space="0" w:color="auto"/>
              <w:bottom w:val="single" w:sz="4" w:space="0" w:color="auto"/>
              <w:right w:val="single" w:sz="4" w:space="0" w:color="auto"/>
            </w:tcBorders>
            <w:shd w:val="clear" w:color="auto" w:fill="auto"/>
          </w:tcPr>
          <w:p w:rsidR="0080478F" w:rsidRPr="00E8065F" w:rsidRDefault="0080478F" w:rsidP="000546C2">
            <w:pPr>
              <w:jc w:val="center"/>
              <w:rPr>
                <w:color w:val="000000"/>
                <w:sz w:val="20"/>
                <w:szCs w:val="20"/>
              </w:rPr>
            </w:pPr>
            <w:r w:rsidRPr="00E8065F">
              <w:rPr>
                <w:color w:val="000000"/>
                <w:sz w:val="20"/>
                <w:szCs w:val="20"/>
              </w:rPr>
              <w:t>6</w:t>
            </w:r>
          </w:p>
        </w:tc>
        <w:tc>
          <w:tcPr>
            <w:tcW w:w="1111" w:type="dxa"/>
            <w:tcBorders>
              <w:top w:val="single" w:sz="4" w:space="0" w:color="auto"/>
              <w:left w:val="single" w:sz="4" w:space="0" w:color="auto"/>
              <w:bottom w:val="single" w:sz="4" w:space="0" w:color="auto"/>
              <w:right w:val="single" w:sz="4" w:space="0" w:color="auto"/>
            </w:tcBorders>
            <w:shd w:val="clear" w:color="auto" w:fill="auto"/>
          </w:tcPr>
          <w:p w:rsidR="0080478F" w:rsidRPr="00E8065F" w:rsidRDefault="0080478F" w:rsidP="000546C2">
            <w:pPr>
              <w:jc w:val="center"/>
              <w:rPr>
                <w:color w:val="000000"/>
                <w:sz w:val="20"/>
                <w:szCs w:val="20"/>
              </w:rPr>
            </w:pPr>
            <w:r w:rsidRPr="00E8065F">
              <w:rPr>
                <w:color w:val="000000"/>
                <w:sz w:val="20"/>
                <w:szCs w:val="20"/>
              </w:rPr>
              <w:t>2</w:t>
            </w:r>
          </w:p>
        </w:tc>
        <w:tc>
          <w:tcPr>
            <w:tcW w:w="1944" w:type="dxa"/>
            <w:tcBorders>
              <w:top w:val="single" w:sz="4" w:space="0" w:color="auto"/>
              <w:left w:val="single" w:sz="4" w:space="0" w:color="auto"/>
              <w:bottom w:val="single" w:sz="4" w:space="0" w:color="auto"/>
              <w:right w:val="single" w:sz="4" w:space="0" w:color="auto"/>
            </w:tcBorders>
            <w:shd w:val="clear" w:color="auto" w:fill="auto"/>
          </w:tcPr>
          <w:p w:rsidR="0080478F" w:rsidRPr="00E8065F" w:rsidRDefault="0080478F" w:rsidP="00BA1432">
            <w:pPr>
              <w:jc w:val="center"/>
              <w:rPr>
                <w:color w:val="000000"/>
                <w:sz w:val="20"/>
                <w:szCs w:val="20"/>
              </w:rPr>
            </w:pPr>
            <w:r w:rsidRPr="00E8065F">
              <w:rPr>
                <w:color w:val="000000"/>
                <w:sz w:val="20"/>
                <w:szCs w:val="20"/>
              </w:rPr>
              <w:t>Амбулаторное</w:t>
            </w:r>
          </w:p>
        </w:tc>
      </w:tr>
      <w:tr w:rsidR="0080478F" w:rsidRPr="00E8065F" w:rsidTr="000546C2">
        <w:trPr>
          <w:trHeight w:val="20"/>
        </w:trPr>
        <w:tc>
          <w:tcPr>
            <w:tcW w:w="1555" w:type="dxa"/>
            <w:vMerge/>
          </w:tcPr>
          <w:p w:rsidR="0080478F" w:rsidRPr="00E8065F" w:rsidRDefault="0080478F" w:rsidP="00BA1432">
            <w:pPr>
              <w:rPr>
                <w:sz w:val="20"/>
                <w:szCs w:val="20"/>
              </w:rPr>
            </w:pPr>
          </w:p>
        </w:tc>
        <w:tc>
          <w:tcPr>
            <w:tcW w:w="3685" w:type="dxa"/>
            <w:tcBorders>
              <w:top w:val="nil"/>
              <w:left w:val="single" w:sz="4" w:space="0" w:color="auto"/>
              <w:bottom w:val="single" w:sz="4" w:space="0" w:color="auto"/>
              <w:right w:val="single" w:sz="4" w:space="0" w:color="auto"/>
            </w:tcBorders>
            <w:shd w:val="clear" w:color="auto" w:fill="auto"/>
          </w:tcPr>
          <w:p w:rsidR="0080478F" w:rsidRPr="00E8065F" w:rsidRDefault="0080478F" w:rsidP="00DC0475">
            <w:pPr>
              <w:jc w:val="both"/>
              <w:rPr>
                <w:color w:val="000000"/>
                <w:sz w:val="20"/>
                <w:szCs w:val="20"/>
              </w:rPr>
            </w:pPr>
            <w:r w:rsidRPr="00E8065F">
              <w:rPr>
                <w:color w:val="000000"/>
                <w:sz w:val="20"/>
                <w:szCs w:val="20"/>
              </w:rPr>
              <w:t xml:space="preserve">ГАУЗ </w:t>
            </w:r>
            <w:r>
              <w:rPr>
                <w:color w:val="000000"/>
                <w:sz w:val="20"/>
                <w:szCs w:val="20"/>
              </w:rPr>
              <w:t>«</w:t>
            </w:r>
            <w:r w:rsidRPr="00E8065F">
              <w:rPr>
                <w:color w:val="000000"/>
                <w:sz w:val="20"/>
                <w:szCs w:val="20"/>
              </w:rPr>
              <w:t>Сабинская ЦРБ</w:t>
            </w:r>
            <w:r>
              <w:rPr>
                <w:color w:val="000000"/>
                <w:sz w:val="20"/>
                <w:szCs w:val="20"/>
              </w:rPr>
              <w:t>»</w:t>
            </w:r>
          </w:p>
        </w:tc>
        <w:tc>
          <w:tcPr>
            <w:tcW w:w="1994" w:type="dxa"/>
            <w:tcBorders>
              <w:top w:val="nil"/>
              <w:left w:val="single" w:sz="4" w:space="0" w:color="auto"/>
              <w:bottom w:val="single" w:sz="4" w:space="0" w:color="auto"/>
              <w:right w:val="single" w:sz="4" w:space="0" w:color="auto"/>
            </w:tcBorders>
            <w:shd w:val="clear" w:color="auto" w:fill="auto"/>
          </w:tcPr>
          <w:p w:rsidR="0080478F" w:rsidRPr="00E8065F" w:rsidRDefault="0080478F" w:rsidP="00BA1432">
            <w:pPr>
              <w:jc w:val="center"/>
              <w:rPr>
                <w:color w:val="000000"/>
                <w:sz w:val="20"/>
                <w:szCs w:val="20"/>
              </w:rPr>
            </w:pPr>
            <w:r w:rsidRPr="00E8065F">
              <w:rPr>
                <w:color w:val="000000"/>
                <w:sz w:val="20"/>
                <w:szCs w:val="20"/>
              </w:rPr>
              <w:t>Компьютерный томограф</w:t>
            </w:r>
          </w:p>
        </w:tc>
        <w:tc>
          <w:tcPr>
            <w:tcW w:w="1181" w:type="dxa"/>
            <w:shd w:val="clear" w:color="auto" w:fill="auto"/>
          </w:tcPr>
          <w:p w:rsidR="0080478F" w:rsidRPr="00E8065F" w:rsidRDefault="0080478F" w:rsidP="000546C2">
            <w:pPr>
              <w:jc w:val="center"/>
              <w:rPr>
                <w:sz w:val="20"/>
                <w:szCs w:val="20"/>
              </w:rPr>
            </w:pPr>
            <w:r w:rsidRPr="00E8065F">
              <w:rPr>
                <w:sz w:val="20"/>
                <w:szCs w:val="20"/>
              </w:rPr>
              <w:t>2023</w:t>
            </w:r>
          </w:p>
        </w:tc>
        <w:tc>
          <w:tcPr>
            <w:tcW w:w="1181" w:type="dxa"/>
            <w:tcBorders>
              <w:top w:val="nil"/>
              <w:left w:val="single" w:sz="4" w:space="0" w:color="auto"/>
              <w:bottom w:val="single" w:sz="4" w:space="0" w:color="auto"/>
              <w:right w:val="single" w:sz="4" w:space="0" w:color="auto"/>
            </w:tcBorders>
            <w:shd w:val="clear" w:color="auto" w:fill="auto"/>
          </w:tcPr>
          <w:p w:rsidR="0080478F" w:rsidRPr="00E8065F" w:rsidRDefault="0080478F" w:rsidP="000546C2">
            <w:pPr>
              <w:jc w:val="center"/>
              <w:rPr>
                <w:color w:val="000000"/>
                <w:sz w:val="20"/>
                <w:szCs w:val="20"/>
              </w:rPr>
            </w:pPr>
            <w:r w:rsidRPr="00E8065F">
              <w:rPr>
                <w:color w:val="000000"/>
                <w:sz w:val="20"/>
                <w:szCs w:val="20"/>
              </w:rPr>
              <w:t>1</w:t>
            </w:r>
          </w:p>
        </w:tc>
        <w:tc>
          <w:tcPr>
            <w:tcW w:w="1478" w:type="dxa"/>
            <w:tcBorders>
              <w:top w:val="nil"/>
              <w:left w:val="single" w:sz="4" w:space="0" w:color="auto"/>
              <w:bottom w:val="single" w:sz="4" w:space="0" w:color="auto"/>
              <w:right w:val="single" w:sz="4" w:space="0" w:color="auto"/>
            </w:tcBorders>
            <w:shd w:val="clear" w:color="auto" w:fill="auto"/>
          </w:tcPr>
          <w:p w:rsidR="0080478F" w:rsidRPr="00E8065F" w:rsidRDefault="0080478F" w:rsidP="000546C2">
            <w:pPr>
              <w:jc w:val="center"/>
              <w:rPr>
                <w:color w:val="000000"/>
                <w:sz w:val="20"/>
                <w:szCs w:val="20"/>
              </w:rPr>
            </w:pPr>
            <w:r w:rsidRPr="00E8065F">
              <w:rPr>
                <w:color w:val="000000"/>
                <w:sz w:val="20"/>
                <w:szCs w:val="20"/>
              </w:rPr>
              <w:t>12</w:t>
            </w:r>
          </w:p>
        </w:tc>
        <w:tc>
          <w:tcPr>
            <w:tcW w:w="1111" w:type="dxa"/>
            <w:tcBorders>
              <w:top w:val="nil"/>
              <w:left w:val="single" w:sz="4" w:space="0" w:color="auto"/>
              <w:bottom w:val="single" w:sz="4" w:space="0" w:color="auto"/>
              <w:right w:val="single" w:sz="4" w:space="0" w:color="auto"/>
            </w:tcBorders>
            <w:shd w:val="clear" w:color="auto" w:fill="auto"/>
          </w:tcPr>
          <w:p w:rsidR="0080478F" w:rsidRPr="00E8065F" w:rsidRDefault="0080478F" w:rsidP="000546C2">
            <w:pPr>
              <w:jc w:val="center"/>
              <w:rPr>
                <w:color w:val="000000"/>
                <w:sz w:val="20"/>
                <w:szCs w:val="20"/>
              </w:rPr>
            </w:pPr>
            <w:r w:rsidRPr="00E8065F">
              <w:rPr>
                <w:color w:val="000000"/>
                <w:sz w:val="20"/>
                <w:szCs w:val="20"/>
              </w:rPr>
              <w:t>2</w:t>
            </w:r>
          </w:p>
        </w:tc>
        <w:tc>
          <w:tcPr>
            <w:tcW w:w="1944" w:type="dxa"/>
            <w:tcBorders>
              <w:top w:val="nil"/>
              <w:left w:val="single" w:sz="4" w:space="0" w:color="auto"/>
              <w:bottom w:val="single" w:sz="4" w:space="0" w:color="auto"/>
              <w:right w:val="single" w:sz="4" w:space="0" w:color="auto"/>
            </w:tcBorders>
            <w:shd w:val="clear" w:color="auto" w:fill="auto"/>
          </w:tcPr>
          <w:p w:rsidR="0080478F" w:rsidRPr="00E8065F" w:rsidRDefault="0080478F" w:rsidP="00BA1432">
            <w:pPr>
              <w:jc w:val="center"/>
              <w:rPr>
                <w:color w:val="000000"/>
                <w:sz w:val="20"/>
                <w:szCs w:val="20"/>
              </w:rPr>
            </w:pPr>
            <w:r w:rsidRPr="00E8065F">
              <w:rPr>
                <w:color w:val="000000"/>
                <w:sz w:val="20"/>
                <w:szCs w:val="20"/>
              </w:rPr>
              <w:t>Стационарное</w:t>
            </w:r>
          </w:p>
        </w:tc>
      </w:tr>
      <w:tr w:rsidR="0080478F" w:rsidRPr="00E8065F" w:rsidTr="000546C2">
        <w:trPr>
          <w:trHeight w:val="20"/>
        </w:trPr>
        <w:tc>
          <w:tcPr>
            <w:tcW w:w="1555" w:type="dxa"/>
            <w:vMerge/>
          </w:tcPr>
          <w:p w:rsidR="0080478F" w:rsidRPr="00E8065F" w:rsidRDefault="0080478F" w:rsidP="00BA1432">
            <w:pPr>
              <w:rPr>
                <w:sz w:val="20"/>
                <w:szCs w:val="20"/>
              </w:rPr>
            </w:pPr>
          </w:p>
        </w:tc>
        <w:tc>
          <w:tcPr>
            <w:tcW w:w="3685" w:type="dxa"/>
            <w:tcBorders>
              <w:top w:val="nil"/>
              <w:left w:val="single" w:sz="4" w:space="0" w:color="auto"/>
              <w:bottom w:val="single" w:sz="4" w:space="0" w:color="auto"/>
              <w:right w:val="single" w:sz="4" w:space="0" w:color="auto"/>
            </w:tcBorders>
            <w:shd w:val="clear" w:color="auto" w:fill="auto"/>
          </w:tcPr>
          <w:p w:rsidR="0080478F" w:rsidRPr="00E8065F" w:rsidRDefault="0080478F" w:rsidP="00DC0475">
            <w:pPr>
              <w:jc w:val="both"/>
              <w:rPr>
                <w:color w:val="000000"/>
                <w:sz w:val="20"/>
                <w:szCs w:val="20"/>
              </w:rPr>
            </w:pPr>
            <w:r w:rsidRPr="00E8065F">
              <w:rPr>
                <w:color w:val="000000"/>
                <w:sz w:val="20"/>
                <w:szCs w:val="20"/>
              </w:rPr>
              <w:t xml:space="preserve">ГАУЗ </w:t>
            </w:r>
            <w:r>
              <w:rPr>
                <w:color w:val="000000"/>
                <w:sz w:val="20"/>
                <w:szCs w:val="20"/>
              </w:rPr>
              <w:t>«</w:t>
            </w:r>
            <w:r w:rsidRPr="00E8065F">
              <w:rPr>
                <w:color w:val="000000"/>
                <w:sz w:val="20"/>
                <w:szCs w:val="20"/>
              </w:rPr>
              <w:t>Сармановская ЦРБ</w:t>
            </w:r>
            <w:r>
              <w:rPr>
                <w:color w:val="000000"/>
                <w:sz w:val="20"/>
                <w:szCs w:val="20"/>
              </w:rPr>
              <w:t>»</w:t>
            </w:r>
          </w:p>
        </w:tc>
        <w:tc>
          <w:tcPr>
            <w:tcW w:w="1994" w:type="dxa"/>
            <w:tcBorders>
              <w:top w:val="nil"/>
              <w:left w:val="single" w:sz="4" w:space="0" w:color="auto"/>
              <w:bottom w:val="single" w:sz="4" w:space="0" w:color="auto"/>
              <w:right w:val="single" w:sz="4" w:space="0" w:color="auto"/>
            </w:tcBorders>
            <w:shd w:val="clear" w:color="auto" w:fill="auto"/>
          </w:tcPr>
          <w:p w:rsidR="0080478F" w:rsidRPr="00E8065F" w:rsidRDefault="0080478F" w:rsidP="00BA1432">
            <w:pPr>
              <w:jc w:val="center"/>
              <w:rPr>
                <w:color w:val="000000"/>
                <w:sz w:val="20"/>
                <w:szCs w:val="20"/>
              </w:rPr>
            </w:pPr>
            <w:r w:rsidRPr="00E8065F">
              <w:rPr>
                <w:color w:val="000000"/>
                <w:sz w:val="20"/>
                <w:szCs w:val="20"/>
              </w:rPr>
              <w:t>Компьютерный томограф</w:t>
            </w:r>
          </w:p>
        </w:tc>
        <w:tc>
          <w:tcPr>
            <w:tcW w:w="1181" w:type="dxa"/>
            <w:shd w:val="clear" w:color="auto" w:fill="auto"/>
          </w:tcPr>
          <w:p w:rsidR="0080478F" w:rsidRPr="00E8065F" w:rsidRDefault="0080478F" w:rsidP="000546C2">
            <w:pPr>
              <w:jc w:val="center"/>
              <w:rPr>
                <w:sz w:val="20"/>
                <w:szCs w:val="20"/>
              </w:rPr>
            </w:pPr>
            <w:r w:rsidRPr="00E8065F">
              <w:rPr>
                <w:sz w:val="20"/>
                <w:szCs w:val="20"/>
              </w:rPr>
              <w:t>2023</w:t>
            </w:r>
          </w:p>
        </w:tc>
        <w:tc>
          <w:tcPr>
            <w:tcW w:w="1181" w:type="dxa"/>
            <w:tcBorders>
              <w:top w:val="nil"/>
              <w:left w:val="single" w:sz="4" w:space="0" w:color="auto"/>
              <w:bottom w:val="single" w:sz="4" w:space="0" w:color="auto"/>
              <w:right w:val="single" w:sz="4" w:space="0" w:color="auto"/>
            </w:tcBorders>
            <w:shd w:val="clear" w:color="auto" w:fill="auto"/>
          </w:tcPr>
          <w:p w:rsidR="0080478F" w:rsidRPr="00E8065F" w:rsidRDefault="0080478F" w:rsidP="000546C2">
            <w:pPr>
              <w:jc w:val="center"/>
              <w:rPr>
                <w:color w:val="000000"/>
                <w:sz w:val="20"/>
                <w:szCs w:val="20"/>
              </w:rPr>
            </w:pPr>
            <w:r w:rsidRPr="00E8065F">
              <w:rPr>
                <w:color w:val="000000"/>
                <w:sz w:val="20"/>
                <w:szCs w:val="20"/>
              </w:rPr>
              <w:t>1</w:t>
            </w:r>
          </w:p>
        </w:tc>
        <w:tc>
          <w:tcPr>
            <w:tcW w:w="1478" w:type="dxa"/>
            <w:tcBorders>
              <w:top w:val="nil"/>
              <w:left w:val="single" w:sz="4" w:space="0" w:color="auto"/>
              <w:bottom w:val="single" w:sz="4" w:space="0" w:color="auto"/>
              <w:right w:val="single" w:sz="4" w:space="0" w:color="auto"/>
            </w:tcBorders>
            <w:shd w:val="clear" w:color="auto" w:fill="auto"/>
          </w:tcPr>
          <w:p w:rsidR="0080478F" w:rsidRPr="00E8065F" w:rsidRDefault="0080478F" w:rsidP="000546C2">
            <w:pPr>
              <w:jc w:val="center"/>
              <w:rPr>
                <w:color w:val="000000"/>
                <w:sz w:val="20"/>
                <w:szCs w:val="20"/>
              </w:rPr>
            </w:pPr>
            <w:r w:rsidRPr="00E8065F">
              <w:rPr>
                <w:color w:val="000000"/>
                <w:sz w:val="20"/>
                <w:szCs w:val="20"/>
              </w:rPr>
              <w:t>6,1</w:t>
            </w:r>
          </w:p>
        </w:tc>
        <w:tc>
          <w:tcPr>
            <w:tcW w:w="1111" w:type="dxa"/>
            <w:tcBorders>
              <w:top w:val="nil"/>
              <w:left w:val="single" w:sz="4" w:space="0" w:color="auto"/>
              <w:bottom w:val="single" w:sz="4" w:space="0" w:color="auto"/>
              <w:right w:val="single" w:sz="4" w:space="0" w:color="auto"/>
            </w:tcBorders>
            <w:shd w:val="clear" w:color="auto" w:fill="auto"/>
          </w:tcPr>
          <w:p w:rsidR="0080478F" w:rsidRPr="00E8065F" w:rsidRDefault="0080478F" w:rsidP="000546C2">
            <w:pPr>
              <w:jc w:val="center"/>
              <w:rPr>
                <w:color w:val="000000"/>
                <w:sz w:val="20"/>
                <w:szCs w:val="20"/>
              </w:rPr>
            </w:pPr>
            <w:r w:rsidRPr="00E8065F">
              <w:rPr>
                <w:color w:val="000000"/>
                <w:sz w:val="20"/>
                <w:szCs w:val="20"/>
              </w:rPr>
              <w:t>1</w:t>
            </w:r>
          </w:p>
        </w:tc>
        <w:tc>
          <w:tcPr>
            <w:tcW w:w="1944" w:type="dxa"/>
            <w:tcBorders>
              <w:top w:val="nil"/>
              <w:left w:val="single" w:sz="4" w:space="0" w:color="auto"/>
              <w:bottom w:val="single" w:sz="4" w:space="0" w:color="auto"/>
              <w:right w:val="single" w:sz="4" w:space="0" w:color="auto"/>
            </w:tcBorders>
            <w:shd w:val="clear" w:color="auto" w:fill="auto"/>
          </w:tcPr>
          <w:p w:rsidR="0080478F" w:rsidRPr="00E8065F" w:rsidRDefault="0080478F" w:rsidP="00BA1432">
            <w:pPr>
              <w:jc w:val="center"/>
              <w:rPr>
                <w:color w:val="000000"/>
                <w:sz w:val="20"/>
                <w:szCs w:val="20"/>
              </w:rPr>
            </w:pPr>
            <w:r w:rsidRPr="00E8065F">
              <w:rPr>
                <w:color w:val="000000"/>
                <w:sz w:val="20"/>
                <w:szCs w:val="20"/>
              </w:rPr>
              <w:t>Амбулаторное</w:t>
            </w:r>
          </w:p>
        </w:tc>
      </w:tr>
      <w:tr w:rsidR="0080478F" w:rsidRPr="00E8065F" w:rsidTr="000546C2">
        <w:trPr>
          <w:trHeight w:val="20"/>
        </w:trPr>
        <w:tc>
          <w:tcPr>
            <w:tcW w:w="1555" w:type="dxa"/>
            <w:vMerge/>
          </w:tcPr>
          <w:p w:rsidR="0080478F" w:rsidRPr="00E8065F" w:rsidRDefault="0080478F" w:rsidP="00BA1432">
            <w:pPr>
              <w:rPr>
                <w:sz w:val="20"/>
                <w:szCs w:val="20"/>
              </w:rPr>
            </w:pPr>
          </w:p>
        </w:tc>
        <w:tc>
          <w:tcPr>
            <w:tcW w:w="3685" w:type="dxa"/>
            <w:tcBorders>
              <w:top w:val="nil"/>
              <w:left w:val="single" w:sz="4" w:space="0" w:color="auto"/>
              <w:bottom w:val="single" w:sz="4" w:space="0" w:color="auto"/>
              <w:right w:val="single" w:sz="4" w:space="0" w:color="auto"/>
            </w:tcBorders>
            <w:shd w:val="clear" w:color="auto" w:fill="auto"/>
          </w:tcPr>
          <w:p w:rsidR="0080478F" w:rsidRPr="00E8065F" w:rsidRDefault="0080478F" w:rsidP="00DC0475">
            <w:pPr>
              <w:jc w:val="both"/>
              <w:rPr>
                <w:color w:val="000000"/>
                <w:sz w:val="20"/>
                <w:szCs w:val="20"/>
              </w:rPr>
            </w:pPr>
            <w:r w:rsidRPr="00E8065F">
              <w:rPr>
                <w:color w:val="000000"/>
                <w:sz w:val="20"/>
                <w:szCs w:val="20"/>
              </w:rPr>
              <w:t xml:space="preserve">ГАУЗ </w:t>
            </w:r>
            <w:r>
              <w:rPr>
                <w:color w:val="000000"/>
                <w:sz w:val="20"/>
                <w:szCs w:val="20"/>
              </w:rPr>
              <w:t>«</w:t>
            </w:r>
            <w:r w:rsidRPr="00E8065F">
              <w:rPr>
                <w:color w:val="000000"/>
                <w:sz w:val="20"/>
                <w:szCs w:val="20"/>
              </w:rPr>
              <w:t>Тукаевская ЦРБ</w:t>
            </w:r>
            <w:r>
              <w:rPr>
                <w:color w:val="000000"/>
                <w:sz w:val="20"/>
                <w:szCs w:val="20"/>
              </w:rPr>
              <w:t>»</w:t>
            </w:r>
          </w:p>
        </w:tc>
        <w:tc>
          <w:tcPr>
            <w:tcW w:w="1994" w:type="dxa"/>
            <w:tcBorders>
              <w:top w:val="nil"/>
              <w:left w:val="single" w:sz="4" w:space="0" w:color="auto"/>
              <w:bottom w:val="single" w:sz="4" w:space="0" w:color="auto"/>
              <w:right w:val="single" w:sz="4" w:space="0" w:color="auto"/>
            </w:tcBorders>
            <w:shd w:val="clear" w:color="auto" w:fill="auto"/>
          </w:tcPr>
          <w:p w:rsidR="0080478F" w:rsidRPr="00E8065F" w:rsidRDefault="0080478F" w:rsidP="00BA1432">
            <w:pPr>
              <w:jc w:val="center"/>
              <w:rPr>
                <w:color w:val="000000"/>
                <w:sz w:val="20"/>
                <w:szCs w:val="20"/>
              </w:rPr>
            </w:pPr>
            <w:r w:rsidRPr="00E8065F">
              <w:rPr>
                <w:color w:val="000000"/>
                <w:sz w:val="20"/>
                <w:szCs w:val="20"/>
              </w:rPr>
              <w:t>Компьютерный томограф</w:t>
            </w:r>
          </w:p>
        </w:tc>
        <w:tc>
          <w:tcPr>
            <w:tcW w:w="1181" w:type="dxa"/>
            <w:shd w:val="clear" w:color="auto" w:fill="auto"/>
          </w:tcPr>
          <w:p w:rsidR="0080478F" w:rsidRPr="00E8065F" w:rsidRDefault="0080478F" w:rsidP="000546C2">
            <w:pPr>
              <w:jc w:val="center"/>
              <w:rPr>
                <w:sz w:val="20"/>
                <w:szCs w:val="20"/>
              </w:rPr>
            </w:pPr>
            <w:r w:rsidRPr="00E8065F">
              <w:rPr>
                <w:sz w:val="20"/>
                <w:szCs w:val="20"/>
              </w:rPr>
              <w:t>2022</w:t>
            </w:r>
          </w:p>
        </w:tc>
        <w:tc>
          <w:tcPr>
            <w:tcW w:w="1181" w:type="dxa"/>
            <w:tcBorders>
              <w:top w:val="nil"/>
              <w:left w:val="single" w:sz="4" w:space="0" w:color="auto"/>
              <w:bottom w:val="single" w:sz="4" w:space="0" w:color="auto"/>
              <w:right w:val="single" w:sz="4" w:space="0" w:color="auto"/>
            </w:tcBorders>
            <w:shd w:val="clear" w:color="auto" w:fill="auto"/>
          </w:tcPr>
          <w:p w:rsidR="0080478F" w:rsidRPr="00E8065F" w:rsidRDefault="0080478F" w:rsidP="000546C2">
            <w:pPr>
              <w:jc w:val="center"/>
              <w:rPr>
                <w:color w:val="000000"/>
                <w:sz w:val="20"/>
                <w:szCs w:val="20"/>
              </w:rPr>
            </w:pPr>
            <w:r w:rsidRPr="00E8065F">
              <w:rPr>
                <w:color w:val="000000"/>
                <w:sz w:val="20"/>
                <w:szCs w:val="20"/>
              </w:rPr>
              <w:t>1</w:t>
            </w:r>
          </w:p>
        </w:tc>
        <w:tc>
          <w:tcPr>
            <w:tcW w:w="1478" w:type="dxa"/>
            <w:tcBorders>
              <w:top w:val="nil"/>
              <w:left w:val="single" w:sz="4" w:space="0" w:color="auto"/>
              <w:bottom w:val="single" w:sz="4" w:space="0" w:color="auto"/>
              <w:right w:val="single" w:sz="4" w:space="0" w:color="auto"/>
            </w:tcBorders>
            <w:shd w:val="clear" w:color="auto" w:fill="auto"/>
          </w:tcPr>
          <w:p w:rsidR="0080478F" w:rsidRPr="00E8065F" w:rsidRDefault="0080478F" w:rsidP="000546C2">
            <w:pPr>
              <w:jc w:val="center"/>
              <w:rPr>
                <w:color w:val="000000"/>
                <w:sz w:val="20"/>
                <w:szCs w:val="20"/>
              </w:rPr>
            </w:pPr>
            <w:r w:rsidRPr="00E8065F">
              <w:rPr>
                <w:color w:val="000000"/>
                <w:sz w:val="20"/>
                <w:szCs w:val="20"/>
              </w:rPr>
              <w:t>7</w:t>
            </w:r>
          </w:p>
        </w:tc>
        <w:tc>
          <w:tcPr>
            <w:tcW w:w="1111" w:type="dxa"/>
            <w:tcBorders>
              <w:top w:val="nil"/>
              <w:left w:val="single" w:sz="4" w:space="0" w:color="auto"/>
              <w:bottom w:val="single" w:sz="4" w:space="0" w:color="auto"/>
              <w:right w:val="single" w:sz="4" w:space="0" w:color="auto"/>
            </w:tcBorders>
            <w:shd w:val="clear" w:color="auto" w:fill="auto"/>
          </w:tcPr>
          <w:p w:rsidR="0080478F" w:rsidRPr="00E8065F" w:rsidRDefault="0080478F" w:rsidP="000546C2">
            <w:pPr>
              <w:jc w:val="center"/>
              <w:rPr>
                <w:color w:val="000000"/>
                <w:sz w:val="20"/>
                <w:szCs w:val="20"/>
              </w:rPr>
            </w:pPr>
            <w:r w:rsidRPr="00E8065F">
              <w:rPr>
                <w:color w:val="000000"/>
                <w:sz w:val="20"/>
                <w:szCs w:val="20"/>
              </w:rPr>
              <w:t>2</w:t>
            </w:r>
          </w:p>
        </w:tc>
        <w:tc>
          <w:tcPr>
            <w:tcW w:w="1944" w:type="dxa"/>
            <w:tcBorders>
              <w:top w:val="nil"/>
              <w:left w:val="single" w:sz="4" w:space="0" w:color="auto"/>
              <w:bottom w:val="single" w:sz="4" w:space="0" w:color="auto"/>
              <w:right w:val="single" w:sz="4" w:space="0" w:color="auto"/>
            </w:tcBorders>
            <w:shd w:val="clear" w:color="auto" w:fill="auto"/>
          </w:tcPr>
          <w:p w:rsidR="0080478F" w:rsidRPr="00E8065F" w:rsidRDefault="0080478F" w:rsidP="00BA1432">
            <w:pPr>
              <w:jc w:val="center"/>
              <w:rPr>
                <w:color w:val="000000"/>
                <w:sz w:val="20"/>
                <w:szCs w:val="20"/>
              </w:rPr>
            </w:pPr>
            <w:r w:rsidRPr="00E8065F">
              <w:rPr>
                <w:color w:val="000000"/>
                <w:sz w:val="20"/>
                <w:szCs w:val="20"/>
              </w:rPr>
              <w:t>Стационарное</w:t>
            </w:r>
          </w:p>
        </w:tc>
      </w:tr>
      <w:tr w:rsidR="0080478F" w:rsidRPr="00E8065F" w:rsidTr="000546C2">
        <w:trPr>
          <w:trHeight w:val="20"/>
        </w:trPr>
        <w:tc>
          <w:tcPr>
            <w:tcW w:w="1555" w:type="dxa"/>
            <w:vMerge/>
          </w:tcPr>
          <w:p w:rsidR="0080478F" w:rsidRPr="00E8065F" w:rsidRDefault="0080478F" w:rsidP="00BA1432">
            <w:pPr>
              <w:rPr>
                <w:sz w:val="20"/>
                <w:szCs w:val="20"/>
              </w:rPr>
            </w:pPr>
          </w:p>
        </w:tc>
        <w:tc>
          <w:tcPr>
            <w:tcW w:w="3685" w:type="dxa"/>
            <w:tcBorders>
              <w:top w:val="nil"/>
              <w:left w:val="single" w:sz="4" w:space="0" w:color="auto"/>
              <w:bottom w:val="single" w:sz="4" w:space="0" w:color="auto"/>
              <w:right w:val="single" w:sz="4" w:space="0" w:color="auto"/>
            </w:tcBorders>
            <w:shd w:val="clear" w:color="auto" w:fill="auto"/>
          </w:tcPr>
          <w:p w:rsidR="0080478F" w:rsidRPr="00E8065F" w:rsidRDefault="0080478F" w:rsidP="00DC0475">
            <w:pPr>
              <w:jc w:val="both"/>
              <w:rPr>
                <w:color w:val="000000"/>
                <w:sz w:val="20"/>
                <w:szCs w:val="20"/>
              </w:rPr>
            </w:pPr>
            <w:r w:rsidRPr="00E8065F">
              <w:rPr>
                <w:color w:val="000000"/>
                <w:sz w:val="20"/>
                <w:szCs w:val="20"/>
              </w:rPr>
              <w:t xml:space="preserve">ГАУЗ </w:t>
            </w:r>
            <w:r>
              <w:rPr>
                <w:color w:val="000000"/>
                <w:sz w:val="20"/>
                <w:szCs w:val="20"/>
              </w:rPr>
              <w:t>«</w:t>
            </w:r>
            <w:r w:rsidRPr="00E8065F">
              <w:rPr>
                <w:color w:val="000000"/>
                <w:sz w:val="20"/>
                <w:szCs w:val="20"/>
              </w:rPr>
              <w:t>Черемшанская ЦРБ</w:t>
            </w:r>
            <w:r>
              <w:rPr>
                <w:color w:val="000000"/>
                <w:sz w:val="20"/>
                <w:szCs w:val="20"/>
              </w:rPr>
              <w:t>»</w:t>
            </w:r>
          </w:p>
        </w:tc>
        <w:tc>
          <w:tcPr>
            <w:tcW w:w="1994" w:type="dxa"/>
            <w:tcBorders>
              <w:top w:val="nil"/>
              <w:left w:val="single" w:sz="4" w:space="0" w:color="auto"/>
              <w:bottom w:val="single" w:sz="4" w:space="0" w:color="auto"/>
              <w:right w:val="single" w:sz="4" w:space="0" w:color="auto"/>
            </w:tcBorders>
            <w:shd w:val="clear" w:color="auto" w:fill="auto"/>
          </w:tcPr>
          <w:p w:rsidR="0080478F" w:rsidRPr="00E8065F" w:rsidRDefault="0080478F" w:rsidP="00BA1432">
            <w:pPr>
              <w:jc w:val="center"/>
              <w:rPr>
                <w:color w:val="000000"/>
                <w:sz w:val="20"/>
                <w:szCs w:val="20"/>
              </w:rPr>
            </w:pPr>
            <w:r w:rsidRPr="00E8065F">
              <w:rPr>
                <w:color w:val="000000"/>
                <w:sz w:val="20"/>
                <w:szCs w:val="20"/>
              </w:rPr>
              <w:t>Компьютерный томограф</w:t>
            </w:r>
          </w:p>
        </w:tc>
        <w:tc>
          <w:tcPr>
            <w:tcW w:w="1181" w:type="dxa"/>
            <w:shd w:val="clear" w:color="auto" w:fill="auto"/>
          </w:tcPr>
          <w:p w:rsidR="0080478F" w:rsidRPr="00E8065F" w:rsidRDefault="0080478F" w:rsidP="000546C2">
            <w:pPr>
              <w:jc w:val="center"/>
              <w:rPr>
                <w:sz w:val="20"/>
                <w:szCs w:val="20"/>
              </w:rPr>
            </w:pPr>
            <w:r w:rsidRPr="00E8065F">
              <w:rPr>
                <w:sz w:val="20"/>
                <w:szCs w:val="20"/>
              </w:rPr>
              <w:t>2022</w:t>
            </w:r>
          </w:p>
        </w:tc>
        <w:tc>
          <w:tcPr>
            <w:tcW w:w="1181" w:type="dxa"/>
            <w:tcBorders>
              <w:top w:val="nil"/>
              <w:left w:val="single" w:sz="4" w:space="0" w:color="auto"/>
              <w:bottom w:val="single" w:sz="4" w:space="0" w:color="auto"/>
              <w:right w:val="single" w:sz="4" w:space="0" w:color="auto"/>
            </w:tcBorders>
            <w:shd w:val="clear" w:color="auto" w:fill="auto"/>
          </w:tcPr>
          <w:p w:rsidR="0080478F" w:rsidRPr="00E8065F" w:rsidRDefault="0080478F" w:rsidP="000546C2">
            <w:pPr>
              <w:jc w:val="center"/>
              <w:rPr>
                <w:color w:val="000000"/>
                <w:sz w:val="20"/>
                <w:szCs w:val="20"/>
              </w:rPr>
            </w:pPr>
            <w:r w:rsidRPr="00E8065F">
              <w:rPr>
                <w:color w:val="000000"/>
                <w:sz w:val="20"/>
                <w:szCs w:val="20"/>
              </w:rPr>
              <w:t>1</w:t>
            </w:r>
          </w:p>
        </w:tc>
        <w:tc>
          <w:tcPr>
            <w:tcW w:w="1478" w:type="dxa"/>
            <w:tcBorders>
              <w:top w:val="nil"/>
              <w:left w:val="single" w:sz="4" w:space="0" w:color="auto"/>
              <w:bottom w:val="single" w:sz="4" w:space="0" w:color="auto"/>
              <w:right w:val="single" w:sz="4" w:space="0" w:color="auto"/>
            </w:tcBorders>
            <w:shd w:val="clear" w:color="auto" w:fill="auto"/>
          </w:tcPr>
          <w:p w:rsidR="0080478F" w:rsidRPr="00E8065F" w:rsidRDefault="0080478F" w:rsidP="000546C2">
            <w:pPr>
              <w:jc w:val="center"/>
              <w:rPr>
                <w:color w:val="000000"/>
                <w:sz w:val="20"/>
                <w:szCs w:val="20"/>
              </w:rPr>
            </w:pPr>
            <w:r w:rsidRPr="00E8065F">
              <w:rPr>
                <w:color w:val="000000"/>
                <w:sz w:val="20"/>
                <w:szCs w:val="20"/>
              </w:rPr>
              <w:t>4</w:t>
            </w:r>
          </w:p>
        </w:tc>
        <w:tc>
          <w:tcPr>
            <w:tcW w:w="1111" w:type="dxa"/>
            <w:tcBorders>
              <w:top w:val="nil"/>
              <w:left w:val="single" w:sz="4" w:space="0" w:color="auto"/>
              <w:bottom w:val="single" w:sz="4" w:space="0" w:color="auto"/>
              <w:right w:val="single" w:sz="4" w:space="0" w:color="auto"/>
            </w:tcBorders>
            <w:shd w:val="clear" w:color="auto" w:fill="auto"/>
          </w:tcPr>
          <w:p w:rsidR="0080478F" w:rsidRPr="00E8065F" w:rsidRDefault="0080478F" w:rsidP="000546C2">
            <w:pPr>
              <w:jc w:val="center"/>
              <w:rPr>
                <w:color w:val="000000"/>
                <w:sz w:val="20"/>
                <w:szCs w:val="20"/>
              </w:rPr>
            </w:pPr>
            <w:r w:rsidRPr="00E8065F">
              <w:rPr>
                <w:color w:val="000000"/>
                <w:sz w:val="20"/>
                <w:szCs w:val="20"/>
              </w:rPr>
              <w:t>2</w:t>
            </w:r>
          </w:p>
        </w:tc>
        <w:tc>
          <w:tcPr>
            <w:tcW w:w="1944" w:type="dxa"/>
            <w:tcBorders>
              <w:top w:val="nil"/>
              <w:left w:val="single" w:sz="4" w:space="0" w:color="auto"/>
              <w:bottom w:val="single" w:sz="4" w:space="0" w:color="auto"/>
              <w:right w:val="single" w:sz="4" w:space="0" w:color="auto"/>
            </w:tcBorders>
            <w:shd w:val="clear" w:color="auto" w:fill="auto"/>
          </w:tcPr>
          <w:p w:rsidR="0080478F" w:rsidRPr="00E8065F" w:rsidRDefault="0080478F" w:rsidP="00BA1432">
            <w:pPr>
              <w:jc w:val="center"/>
              <w:rPr>
                <w:color w:val="000000"/>
                <w:sz w:val="20"/>
                <w:szCs w:val="20"/>
              </w:rPr>
            </w:pPr>
            <w:r w:rsidRPr="00E8065F">
              <w:rPr>
                <w:color w:val="000000"/>
                <w:sz w:val="20"/>
                <w:szCs w:val="20"/>
              </w:rPr>
              <w:t>Стационарное</w:t>
            </w:r>
          </w:p>
        </w:tc>
      </w:tr>
      <w:tr w:rsidR="0080478F" w:rsidRPr="00E8065F" w:rsidTr="000546C2">
        <w:trPr>
          <w:trHeight w:val="20"/>
        </w:trPr>
        <w:tc>
          <w:tcPr>
            <w:tcW w:w="1555" w:type="dxa"/>
            <w:vMerge/>
          </w:tcPr>
          <w:p w:rsidR="0080478F" w:rsidRPr="00E8065F" w:rsidRDefault="0080478F" w:rsidP="00BA1432">
            <w:pPr>
              <w:rPr>
                <w:sz w:val="20"/>
                <w:szCs w:val="20"/>
              </w:rPr>
            </w:pPr>
          </w:p>
        </w:tc>
        <w:tc>
          <w:tcPr>
            <w:tcW w:w="3685" w:type="dxa"/>
            <w:tcBorders>
              <w:top w:val="nil"/>
              <w:left w:val="single" w:sz="4" w:space="0" w:color="auto"/>
              <w:bottom w:val="single" w:sz="4" w:space="0" w:color="auto"/>
              <w:right w:val="single" w:sz="4" w:space="0" w:color="auto"/>
            </w:tcBorders>
            <w:shd w:val="clear" w:color="auto" w:fill="auto"/>
          </w:tcPr>
          <w:p w:rsidR="0080478F" w:rsidRPr="00E8065F" w:rsidRDefault="0080478F" w:rsidP="00DC0475">
            <w:pPr>
              <w:jc w:val="both"/>
              <w:rPr>
                <w:color w:val="000000"/>
                <w:sz w:val="20"/>
                <w:szCs w:val="20"/>
              </w:rPr>
            </w:pPr>
            <w:r w:rsidRPr="00E8065F">
              <w:rPr>
                <w:color w:val="000000"/>
                <w:sz w:val="20"/>
                <w:szCs w:val="20"/>
              </w:rPr>
              <w:t xml:space="preserve">ГАУЗ </w:t>
            </w:r>
            <w:r>
              <w:rPr>
                <w:color w:val="000000"/>
                <w:sz w:val="20"/>
                <w:szCs w:val="20"/>
              </w:rPr>
              <w:t>«</w:t>
            </w:r>
            <w:r w:rsidRPr="00E8065F">
              <w:rPr>
                <w:color w:val="000000"/>
                <w:sz w:val="20"/>
                <w:szCs w:val="20"/>
              </w:rPr>
              <w:t>Чистопольская ЦРБ</w:t>
            </w:r>
            <w:r>
              <w:rPr>
                <w:color w:val="000000"/>
                <w:sz w:val="20"/>
                <w:szCs w:val="20"/>
              </w:rPr>
              <w:t>»</w:t>
            </w:r>
          </w:p>
        </w:tc>
        <w:tc>
          <w:tcPr>
            <w:tcW w:w="1994" w:type="dxa"/>
            <w:tcBorders>
              <w:top w:val="nil"/>
              <w:left w:val="single" w:sz="4" w:space="0" w:color="auto"/>
              <w:bottom w:val="single" w:sz="4" w:space="0" w:color="auto"/>
              <w:right w:val="single" w:sz="4" w:space="0" w:color="auto"/>
            </w:tcBorders>
            <w:shd w:val="clear" w:color="auto" w:fill="auto"/>
          </w:tcPr>
          <w:p w:rsidR="0080478F" w:rsidRPr="00E8065F" w:rsidRDefault="0080478F" w:rsidP="00BA1432">
            <w:pPr>
              <w:jc w:val="center"/>
              <w:rPr>
                <w:color w:val="000000"/>
                <w:sz w:val="20"/>
                <w:szCs w:val="20"/>
              </w:rPr>
            </w:pPr>
            <w:r w:rsidRPr="00E8065F">
              <w:rPr>
                <w:color w:val="000000"/>
                <w:sz w:val="20"/>
                <w:szCs w:val="20"/>
              </w:rPr>
              <w:t>Компьютерный томограф</w:t>
            </w:r>
          </w:p>
        </w:tc>
        <w:tc>
          <w:tcPr>
            <w:tcW w:w="1181" w:type="dxa"/>
            <w:shd w:val="clear" w:color="auto" w:fill="auto"/>
          </w:tcPr>
          <w:p w:rsidR="0080478F" w:rsidRPr="00E8065F" w:rsidRDefault="0080478F" w:rsidP="000546C2">
            <w:pPr>
              <w:jc w:val="center"/>
              <w:rPr>
                <w:sz w:val="20"/>
                <w:szCs w:val="20"/>
              </w:rPr>
            </w:pPr>
            <w:r w:rsidRPr="00E8065F">
              <w:rPr>
                <w:sz w:val="20"/>
                <w:szCs w:val="20"/>
              </w:rPr>
              <w:t>2008</w:t>
            </w:r>
            <w:r w:rsidR="003D79B3">
              <w:rPr>
                <w:sz w:val="20"/>
                <w:szCs w:val="20"/>
              </w:rPr>
              <w:t xml:space="preserve"> </w:t>
            </w:r>
            <w:r w:rsidR="00417E61">
              <w:rPr>
                <w:sz w:val="20"/>
                <w:szCs w:val="20"/>
              </w:rPr>
              <w:t>(1)</w:t>
            </w:r>
          </w:p>
          <w:p w:rsidR="0080478F" w:rsidRPr="00E8065F" w:rsidRDefault="0080478F" w:rsidP="000546C2">
            <w:pPr>
              <w:jc w:val="center"/>
              <w:rPr>
                <w:sz w:val="20"/>
                <w:szCs w:val="20"/>
              </w:rPr>
            </w:pPr>
            <w:r w:rsidRPr="00E8065F">
              <w:rPr>
                <w:sz w:val="20"/>
                <w:szCs w:val="20"/>
              </w:rPr>
              <w:t>2020</w:t>
            </w:r>
            <w:r w:rsidR="003D79B3">
              <w:rPr>
                <w:sz w:val="20"/>
                <w:szCs w:val="20"/>
              </w:rPr>
              <w:t xml:space="preserve"> </w:t>
            </w:r>
            <w:r w:rsidR="00417E61">
              <w:rPr>
                <w:sz w:val="20"/>
                <w:szCs w:val="20"/>
              </w:rPr>
              <w:t>(1)</w:t>
            </w:r>
          </w:p>
          <w:p w:rsidR="0080478F" w:rsidRPr="00E8065F" w:rsidRDefault="0080478F" w:rsidP="000546C2">
            <w:pPr>
              <w:jc w:val="center"/>
              <w:rPr>
                <w:sz w:val="20"/>
                <w:szCs w:val="20"/>
              </w:rPr>
            </w:pPr>
            <w:r>
              <w:rPr>
                <w:sz w:val="20"/>
                <w:szCs w:val="20"/>
              </w:rPr>
              <w:t>2022</w:t>
            </w:r>
            <w:r w:rsidR="003D79B3">
              <w:rPr>
                <w:sz w:val="20"/>
                <w:szCs w:val="20"/>
              </w:rPr>
              <w:t xml:space="preserve"> </w:t>
            </w:r>
            <w:r w:rsidR="00417E61">
              <w:rPr>
                <w:sz w:val="20"/>
                <w:szCs w:val="20"/>
              </w:rPr>
              <w:t>(1)</w:t>
            </w:r>
          </w:p>
        </w:tc>
        <w:tc>
          <w:tcPr>
            <w:tcW w:w="1181" w:type="dxa"/>
            <w:tcBorders>
              <w:top w:val="nil"/>
              <w:left w:val="single" w:sz="4" w:space="0" w:color="auto"/>
              <w:bottom w:val="single" w:sz="4" w:space="0" w:color="auto"/>
              <w:right w:val="single" w:sz="4" w:space="0" w:color="auto"/>
            </w:tcBorders>
            <w:shd w:val="clear" w:color="auto" w:fill="auto"/>
          </w:tcPr>
          <w:p w:rsidR="0080478F" w:rsidRPr="00E8065F" w:rsidRDefault="0080478F" w:rsidP="000546C2">
            <w:pPr>
              <w:jc w:val="center"/>
              <w:rPr>
                <w:color w:val="000000"/>
                <w:sz w:val="20"/>
                <w:szCs w:val="20"/>
              </w:rPr>
            </w:pPr>
            <w:r w:rsidRPr="00E8065F">
              <w:rPr>
                <w:color w:val="000000"/>
                <w:sz w:val="20"/>
                <w:szCs w:val="20"/>
              </w:rPr>
              <w:t>3</w:t>
            </w:r>
          </w:p>
        </w:tc>
        <w:tc>
          <w:tcPr>
            <w:tcW w:w="1478" w:type="dxa"/>
            <w:tcBorders>
              <w:top w:val="nil"/>
              <w:left w:val="single" w:sz="4" w:space="0" w:color="auto"/>
              <w:bottom w:val="single" w:sz="4" w:space="0" w:color="auto"/>
              <w:right w:val="single" w:sz="4" w:space="0" w:color="auto"/>
            </w:tcBorders>
            <w:shd w:val="clear" w:color="auto" w:fill="auto"/>
          </w:tcPr>
          <w:p w:rsidR="0080478F" w:rsidRPr="00E8065F" w:rsidRDefault="0080478F" w:rsidP="000546C2">
            <w:pPr>
              <w:jc w:val="center"/>
              <w:rPr>
                <w:color w:val="000000"/>
                <w:sz w:val="20"/>
                <w:szCs w:val="20"/>
              </w:rPr>
            </w:pPr>
            <w:r w:rsidRPr="00E8065F">
              <w:rPr>
                <w:color w:val="000000"/>
                <w:sz w:val="20"/>
                <w:szCs w:val="20"/>
              </w:rPr>
              <w:t>23</w:t>
            </w:r>
          </w:p>
        </w:tc>
        <w:tc>
          <w:tcPr>
            <w:tcW w:w="1111" w:type="dxa"/>
            <w:tcBorders>
              <w:top w:val="nil"/>
              <w:left w:val="single" w:sz="4" w:space="0" w:color="auto"/>
              <w:bottom w:val="single" w:sz="4" w:space="0" w:color="auto"/>
              <w:right w:val="single" w:sz="4" w:space="0" w:color="auto"/>
            </w:tcBorders>
            <w:shd w:val="clear" w:color="auto" w:fill="auto"/>
          </w:tcPr>
          <w:p w:rsidR="0080478F" w:rsidRPr="00E8065F" w:rsidRDefault="0080478F" w:rsidP="000546C2">
            <w:pPr>
              <w:jc w:val="center"/>
              <w:rPr>
                <w:color w:val="000000"/>
                <w:sz w:val="20"/>
                <w:szCs w:val="20"/>
              </w:rPr>
            </w:pPr>
            <w:r w:rsidRPr="00E8065F">
              <w:rPr>
                <w:color w:val="000000"/>
                <w:sz w:val="20"/>
                <w:szCs w:val="20"/>
              </w:rPr>
              <w:t>2</w:t>
            </w:r>
          </w:p>
        </w:tc>
        <w:tc>
          <w:tcPr>
            <w:tcW w:w="1944" w:type="dxa"/>
            <w:tcBorders>
              <w:top w:val="nil"/>
              <w:left w:val="single" w:sz="4" w:space="0" w:color="auto"/>
              <w:bottom w:val="single" w:sz="4" w:space="0" w:color="auto"/>
              <w:right w:val="single" w:sz="4" w:space="0" w:color="auto"/>
            </w:tcBorders>
            <w:shd w:val="clear" w:color="auto" w:fill="auto"/>
          </w:tcPr>
          <w:p w:rsidR="0080478F" w:rsidRPr="00E8065F" w:rsidRDefault="0080478F" w:rsidP="00BA1432">
            <w:pPr>
              <w:jc w:val="center"/>
              <w:rPr>
                <w:color w:val="000000"/>
                <w:sz w:val="20"/>
                <w:szCs w:val="20"/>
              </w:rPr>
            </w:pPr>
            <w:r w:rsidRPr="00E8065F">
              <w:rPr>
                <w:color w:val="000000"/>
                <w:sz w:val="20"/>
                <w:szCs w:val="20"/>
              </w:rPr>
              <w:t>Амбулаторное/стационарное</w:t>
            </w:r>
          </w:p>
        </w:tc>
      </w:tr>
      <w:tr w:rsidR="0080478F" w:rsidRPr="00E8065F" w:rsidTr="000546C2">
        <w:trPr>
          <w:trHeight w:val="20"/>
        </w:trPr>
        <w:tc>
          <w:tcPr>
            <w:tcW w:w="1555" w:type="dxa"/>
            <w:vMerge/>
          </w:tcPr>
          <w:p w:rsidR="0080478F" w:rsidRPr="00E8065F" w:rsidRDefault="0080478F" w:rsidP="00BA1432">
            <w:pPr>
              <w:rPr>
                <w:sz w:val="20"/>
                <w:szCs w:val="20"/>
              </w:rPr>
            </w:pPr>
          </w:p>
        </w:tc>
        <w:tc>
          <w:tcPr>
            <w:tcW w:w="3685" w:type="dxa"/>
            <w:tcBorders>
              <w:top w:val="nil"/>
              <w:left w:val="single" w:sz="4" w:space="0" w:color="auto"/>
              <w:bottom w:val="single" w:sz="4" w:space="0" w:color="auto"/>
              <w:right w:val="single" w:sz="4" w:space="0" w:color="auto"/>
            </w:tcBorders>
            <w:shd w:val="clear" w:color="auto" w:fill="auto"/>
          </w:tcPr>
          <w:p w:rsidR="0080478F" w:rsidRPr="00E8065F" w:rsidRDefault="0080478F" w:rsidP="00DC0475">
            <w:pPr>
              <w:jc w:val="both"/>
              <w:rPr>
                <w:color w:val="000000"/>
                <w:sz w:val="20"/>
                <w:szCs w:val="20"/>
              </w:rPr>
            </w:pPr>
            <w:r w:rsidRPr="00E8065F">
              <w:rPr>
                <w:color w:val="000000"/>
                <w:sz w:val="20"/>
                <w:szCs w:val="20"/>
              </w:rPr>
              <w:t xml:space="preserve">ГАУЗ </w:t>
            </w:r>
            <w:r>
              <w:rPr>
                <w:color w:val="000000"/>
                <w:sz w:val="20"/>
                <w:szCs w:val="20"/>
              </w:rPr>
              <w:t>«</w:t>
            </w:r>
            <w:r w:rsidRPr="00E8065F">
              <w:rPr>
                <w:color w:val="000000"/>
                <w:sz w:val="20"/>
                <w:szCs w:val="20"/>
              </w:rPr>
              <w:t>Урус</w:t>
            </w:r>
            <w:r w:rsidR="009C7AAF">
              <w:rPr>
                <w:color w:val="000000"/>
                <w:sz w:val="20"/>
                <w:szCs w:val="20"/>
              </w:rPr>
              <w:t>с</w:t>
            </w:r>
            <w:r w:rsidRPr="00E8065F">
              <w:rPr>
                <w:color w:val="000000"/>
                <w:sz w:val="20"/>
                <w:szCs w:val="20"/>
              </w:rPr>
              <w:t>инская ЦРБ</w:t>
            </w:r>
            <w:r>
              <w:rPr>
                <w:color w:val="000000"/>
                <w:sz w:val="20"/>
                <w:szCs w:val="20"/>
              </w:rPr>
              <w:t>»</w:t>
            </w:r>
          </w:p>
        </w:tc>
        <w:tc>
          <w:tcPr>
            <w:tcW w:w="1994" w:type="dxa"/>
            <w:tcBorders>
              <w:top w:val="nil"/>
              <w:left w:val="single" w:sz="4" w:space="0" w:color="auto"/>
              <w:bottom w:val="single" w:sz="4" w:space="0" w:color="auto"/>
              <w:right w:val="single" w:sz="4" w:space="0" w:color="auto"/>
            </w:tcBorders>
            <w:shd w:val="clear" w:color="auto" w:fill="auto"/>
          </w:tcPr>
          <w:p w:rsidR="0080478F" w:rsidRPr="00E8065F" w:rsidRDefault="0080478F" w:rsidP="00BA1432">
            <w:pPr>
              <w:jc w:val="center"/>
              <w:rPr>
                <w:color w:val="000000"/>
                <w:sz w:val="20"/>
                <w:szCs w:val="20"/>
              </w:rPr>
            </w:pPr>
            <w:r w:rsidRPr="00E8065F">
              <w:rPr>
                <w:color w:val="000000"/>
                <w:sz w:val="20"/>
                <w:szCs w:val="20"/>
              </w:rPr>
              <w:t>Компьютерный томограф</w:t>
            </w:r>
          </w:p>
        </w:tc>
        <w:tc>
          <w:tcPr>
            <w:tcW w:w="1181" w:type="dxa"/>
            <w:shd w:val="clear" w:color="auto" w:fill="auto"/>
          </w:tcPr>
          <w:p w:rsidR="0080478F" w:rsidRPr="00E8065F" w:rsidRDefault="0080478F" w:rsidP="000546C2">
            <w:pPr>
              <w:jc w:val="center"/>
              <w:rPr>
                <w:sz w:val="20"/>
                <w:szCs w:val="20"/>
              </w:rPr>
            </w:pPr>
            <w:r w:rsidRPr="00E8065F">
              <w:rPr>
                <w:sz w:val="20"/>
                <w:szCs w:val="20"/>
              </w:rPr>
              <w:t>2022</w:t>
            </w:r>
          </w:p>
        </w:tc>
        <w:tc>
          <w:tcPr>
            <w:tcW w:w="1181" w:type="dxa"/>
            <w:tcBorders>
              <w:top w:val="nil"/>
              <w:left w:val="single" w:sz="4" w:space="0" w:color="auto"/>
              <w:bottom w:val="single" w:sz="4" w:space="0" w:color="auto"/>
              <w:right w:val="single" w:sz="4" w:space="0" w:color="auto"/>
            </w:tcBorders>
            <w:shd w:val="clear" w:color="auto" w:fill="auto"/>
          </w:tcPr>
          <w:p w:rsidR="0080478F" w:rsidRPr="00E8065F" w:rsidRDefault="0080478F" w:rsidP="000546C2">
            <w:pPr>
              <w:jc w:val="center"/>
              <w:rPr>
                <w:color w:val="000000"/>
                <w:sz w:val="20"/>
                <w:szCs w:val="20"/>
              </w:rPr>
            </w:pPr>
            <w:r w:rsidRPr="00E8065F">
              <w:rPr>
                <w:color w:val="000000"/>
                <w:sz w:val="20"/>
                <w:szCs w:val="20"/>
              </w:rPr>
              <w:t>1</w:t>
            </w:r>
          </w:p>
        </w:tc>
        <w:tc>
          <w:tcPr>
            <w:tcW w:w="1478" w:type="dxa"/>
            <w:tcBorders>
              <w:top w:val="nil"/>
              <w:left w:val="single" w:sz="4" w:space="0" w:color="auto"/>
              <w:bottom w:val="single" w:sz="4" w:space="0" w:color="auto"/>
              <w:right w:val="single" w:sz="4" w:space="0" w:color="auto"/>
            </w:tcBorders>
            <w:shd w:val="clear" w:color="auto" w:fill="auto"/>
          </w:tcPr>
          <w:p w:rsidR="0080478F" w:rsidRPr="00E8065F" w:rsidRDefault="0080478F" w:rsidP="000546C2">
            <w:pPr>
              <w:jc w:val="center"/>
              <w:rPr>
                <w:color w:val="000000"/>
                <w:sz w:val="20"/>
                <w:szCs w:val="20"/>
              </w:rPr>
            </w:pPr>
            <w:r w:rsidRPr="00E8065F">
              <w:rPr>
                <w:color w:val="000000"/>
                <w:sz w:val="20"/>
                <w:szCs w:val="20"/>
              </w:rPr>
              <w:t>9</w:t>
            </w:r>
          </w:p>
        </w:tc>
        <w:tc>
          <w:tcPr>
            <w:tcW w:w="1111" w:type="dxa"/>
            <w:tcBorders>
              <w:top w:val="nil"/>
              <w:left w:val="single" w:sz="4" w:space="0" w:color="auto"/>
              <w:bottom w:val="single" w:sz="4" w:space="0" w:color="auto"/>
              <w:right w:val="single" w:sz="4" w:space="0" w:color="auto"/>
            </w:tcBorders>
            <w:shd w:val="clear" w:color="auto" w:fill="auto"/>
          </w:tcPr>
          <w:p w:rsidR="0080478F" w:rsidRPr="00E8065F" w:rsidRDefault="0080478F" w:rsidP="000546C2">
            <w:pPr>
              <w:jc w:val="center"/>
              <w:rPr>
                <w:color w:val="000000"/>
                <w:sz w:val="20"/>
                <w:szCs w:val="20"/>
              </w:rPr>
            </w:pPr>
            <w:r w:rsidRPr="00E8065F">
              <w:rPr>
                <w:color w:val="000000"/>
                <w:sz w:val="20"/>
                <w:szCs w:val="20"/>
              </w:rPr>
              <w:t>2</w:t>
            </w:r>
          </w:p>
        </w:tc>
        <w:tc>
          <w:tcPr>
            <w:tcW w:w="1944" w:type="dxa"/>
            <w:tcBorders>
              <w:top w:val="nil"/>
              <w:left w:val="single" w:sz="4" w:space="0" w:color="auto"/>
              <w:bottom w:val="single" w:sz="4" w:space="0" w:color="auto"/>
              <w:right w:val="single" w:sz="4" w:space="0" w:color="auto"/>
            </w:tcBorders>
            <w:shd w:val="clear" w:color="auto" w:fill="auto"/>
          </w:tcPr>
          <w:p w:rsidR="0080478F" w:rsidRPr="00E8065F" w:rsidRDefault="0080478F" w:rsidP="00BA1432">
            <w:pPr>
              <w:jc w:val="center"/>
              <w:rPr>
                <w:color w:val="000000"/>
                <w:sz w:val="20"/>
                <w:szCs w:val="20"/>
              </w:rPr>
            </w:pPr>
            <w:r w:rsidRPr="00E8065F">
              <w:rPr>
                <w:color w:val="000000"/>
                <w:sz w:val="20"/>
                <w:szCs w:val="20"/>
              </w:rPr>
              <w:t>Амбулаторное</w:t>
            </w:r>
          </w:p>
        </w:tc>
      </w:tr>
      <w:tr w:rsidR="0080478F" w:rsidRPr="00E8065F" w:rsidTr="000546C2">
        <w:trPr>
          <w:trHeight w:val="20"/>
        </w:trPr>
        <w:tc>
          <w:tcPr>
            <w:tcW w:w="1555" w:type="dxa"/>
            <w:vMerge/>
          </w:tcPr>
          <w:p w:rsidR="0080478F" w:rsidRPr="00E8065F" w:rsidRDefault="0080478F" w:rsidP="00BA1432">
            <w:pPr>
              <w:rPr>
                <w:sz w:val="20"/>
                <w:szCs w:val="20"/>
              </w:rPr>
            </w:pPr>
          </w:p>
        </w:tc>
        <w:tc>
          <w:tcPr>
            <w:tcW w:w="3685" w:type="dxa"/>
            <w:tcBorders>
              <w:top w:val="nil"/>
              <w:left w:val="single" w:sz="4" w:space="0" w:color="auto"/>
              <w:bottom w:val="single" w:sz="4" w:space="0" w:color="auto"/>
              <w:right w:val="single" w:sz="4" w:space="0" w:color="auto"/>
            </w:tcBorders>
            <w:shd w:val="clear" w:color="auto" w:fill="auto"/>
          </w:tcPr>
          <w:p w:rsidR="0080478F" w:rsidRPr="00E8065F" w:rsidRDefault="0080478F" w:rsidP="00DC0475">
            <w:pPr>
              <w:jc w:val="both"/>
              <w:rPr>
                <w:color w:val="000000"/>
                <w:sz w:val="20"/>
                <w:szCs w:val="20"/>
              </w:rPr>
            </w:pPr>
            <w:r>
              <w:rPr>
                <w:color w:val="000000"/>
                <w:sz w:val="20"/>
                <w:szCs w:val="20"/>
              </w:rPr>
              <w:t>ГАУЗ «Городская больница № 2» г.Набережные Челны</w:t>
            </w:r>
          </w:p>
        </w:tc>
        <w:tc>
          <w:tcPr>
            <w:tcW w:w="1994" w:type="dxa"/>
            <w:tcBorders>
              <w:top w:val="nil"/>
              <w:left w:val="single" w:sz="4" w:space="0" w:color="auto"/>
              <w:bottom w:val="single" w:sz="4" w:space="0" w:color="auto"/>
              <w:right w:val="single" w:sz="4" w:space="0" w:color="auto"/>
            </w:tcBorders>
            <w:shd w:val="clear" w:color="auto" w:fill="auto"/>
          </w:tcPr>
          <w:p w:rsidR="0080478F" w:rsidRPr="00E8065F" w:rsidRDefault="0080478F" w:rsidP="00BA1432">
            <w:pPr>
              <w:jc w:val="center"/>
              <w:rPr>
                <w:color w:val="000000"/>
                <w:sz w:val="20"/>
                <w:szCs w:val="20"/>
              </w:rPr>
            </w:pPr>
            <w:r w:rsidRPr="00E8065F">
              <w:rPr>
                <w:color w:val="000000"/>
                <w:sz w:val="20"/>
                <w:szCs w:val="20"/>
              </w:rPr>
              <w:t>Компьютерный томограф</w:t>
            </w:r>
          </w:p>
        </w:tc>
        <w:tc>
          <w:tcPr>
            <w:tcW w:w="1181" w:type="dxa"/>
            <w:shd w:val="clear" w:color="auto" w:fill="auto"/>
          </w:tcPr>
          <w:p w:rsidR="0080478F" w:rsidRPr="00E8065F" w:rsidRDefault="0080478F" w:rsidP="000546C2">
            <w:pPr>
              <w:jc w:val="center"/>
              <w:rPr>
                <w:sz w:val="20"/>
                <w:szCs w:val="20"/>
              </w:rPr>
            </w:pPr>
            <w:r w:rsidRPr="00E8065F">
              <w:rPr>
                <w:sz w:val="20"/>
                <w:szCs w:val="20"/>
              </w:rPr>
              <w:t>2017</w:t>
            </w:r>
          </w:p>
        </w:tc>
        <w:tc>
          <w:tcPr>
            <w:tcW w:w="1181" w:type="dxa"/>
            <w:tcBorders>
              <w:top w:val="nil"/>
              <w:left w:val="single" w:sz="4" w:space="0" w:color="auto"/>
              <w:bottom w:val="single" w:sz="4" w:space="0" w:color="auto"/>
              <w:right w:val="single" w:sz="4" w:space="0" w:color="auto"/>
            </w:tcBorders>
            <w:shd w:val="clear" w:color="auto" w:fill="auto"/>
          </w:tcPr>
          <w:p w:rsidR="0080478F" w:rsidRPr="00E8065F" w:rsidRDefault="0080478F" w:rsidP="000546C2">
            <w:pPr>
              <w:jc w:val="center"/>
              <w:rPr>
                <w:color w:val="000000"/>
                <w:sz w:val="20"/>
                <w:szCs w:val="20"/>
              </w:rPr>
            </w:pPr>
            <w:r w:rsidRPr="00E8065F">
              <w:rPr>
                <w:color w:val="000000"/>
                <w:sz w:val="20"/>
                <w:szCs w:val="20"/>
              </w:rPr>
              <w:t>1</w:t>
            </w:r>
          </w:p>
        </w:tc>
        <w:tc>
          <w:tcPr>
            <w:tcW w:w="1478" w:type="dxa"/>
            <w:tcBorders>
              <w:top w:val="nil"/>
              <w:left w:val="single" w:sz="4" w:space="0" w:color="auto"/>
              <w:bottom w:val="single" w:sz="4" w:space="0" w:color="auto"/>
              <w:right w:val="single" w:sz="4" w:space="0" w:color="auto"/>
            </w:tcBorders>
            <w:shd w:val="clear" w:color="auto" w:fill="auto"/>
          </w:tcPr>
          <w:p w:rsidR="0080478F" w:rsidRPr="00E8065F" w:rsidRDefault="0080478F" w:rsidP="000546C2">
            <w:pPr>
              <w:jc w:val="center"/>
              <w:rPr>
                <w:color w:val="000000"/>
                <w:sz w:val="20"/>
                <w:szCs w:val="20"/>
              </w:rPr>
            </w:pPr>
            <w:r w:rsidRPr="00E8065F">
              <w:rPr>
                <w:color w:val="000000"/>
                <w:sz w:val="20"/>
                <w:szCs w:val="20"/>
              </w:rPr>
              <w:t>27</w:t>
            </w:r>
          </w:p>
        </w:tc>
        <w:tc>
          <w:tcPr>
            <w:tcW w:w="1111" w:type="dxa"/>
            <w:tcBorders>
              <w:top w:val="nil"/>
              <w:left w:val="single" w:sz="4" w:space="0" w:color="auto"/>
              <w:bottom w:val="single" w:sz="4" w:space="0" w:color="auto"/>
              <w:right w:val="single" w:sz="4" w:space="0" w:color="auto"/>
            </w:tcBorders>
            <w:shd w:val="clear" w:color="auto" w:fill="auto"/>
          </w:tcPr>
          <w:p w:rsidR="0080478F" w:rsidRPr="00E8065F" w:rsidRDefault="0080478F" w:rsidP="000546C2">
            <w:pPr>
              <w:jc w:val="center"/>
              <w:rPr>
                <w:color w:val="000000"/>
                <w:sz w:val="20"/>
                <w:szCs w:val="20"/>
              </w:rPr>
            </w:pPr>
            <w:r w:rsidRPr="00E8065F">
              <w:rPr>
                <w:color w:val="000000"/>
                <w:sz w:val="20"/>
                <w:szCs w:val="20"/>
              </w:rPr>
              <w:t>2</w:t>
            </w:r>
          </w:p>
        </w:tc>
        <w:tc>
          <w:tcPr>
            <w:tcW w:w="1944" w:type="dxa"/>
            <w:tcBorders>
              <w:top w:val="nil"/>
              <w:left w:val="single" w:sz="4" w:space="0" w:color="auto"/>
              <w:bottom w:val="single" w:sz="4" w:space="0" w:color="auto"/>
              <w:right w:val="single" w:sz="4" w:space="0" w:color="auto"/>
            </w:tcBorders>
            <w:shd w:val="clear" w:color="auto" w:fill="auto"/>
          </w:tcPr>
          <w:p w:rsidR="0080478F" w:rsidRPr="00E8065F" w:rsidRDefault="0080478F" w:rsidP="00BA1432">
            <w:pPr>
              <w:jc w:val="center"/>
              <w:rPr>
                <w:color w:val="000000"/>
                <w:sz w:val="20"/>
                <w:szCs w:val="20"/>
              </w:rPr>
            </w:pPr>
            <w:r w:rsidRPr="00E8065F">
              <w:rPr>
                <w:color w:val="000000"/>
                <w:sz w:val="20"/>
                <w:szCs w:val="20"/>
              </w:rPr>
              <w:t>Стационарное</w:t>
            </w:r>
          </w:p>
        </w:tc>
      </w:tr>
      <w:tr w:rsidR="0080478F" w:rsidRPr="00E8065F" w:rsidTr="000546C2">
        <w:trPr>
          <w:trHeight w:val="20"/>
        </w:trPr>
        <w:tc>
          <w:tcPr>
            <w:tcW w:w="1555" w:type="dxa"/>
            <w:vMerge/>
          </w:tcPr>
          <w:p w:rsidR="0080478F" w:rsidRPr="00E8065F" w:rsidRDefault="0080478F" w:rsidP="00BA1432">
            <w:pPr>
              <w:rPr>
                <w:sz w:val="20"/>
                <w:szCs w:val="20"/>
              </w:rPr>
            </w:pPr>
          </w:p>
        </w:tc>
        <w:tc>
          <w:tcPr>
            <w:tcW w:w="3685" w:type="dxa"/>
            <w:tcBorders>
              <w:top w:val="nil"/>
              <w:left w:val="single" w:sz="4" w:space="0" w:color="auto"/>
              <w:bottom w:val="single" w:sz="4" w:space="0" w:color="auto"/>
              <w:right w:val="single" w:sz="4" w:space="0" w:color="auto"/>
            </w:tcBorders>
            <w:shd w:val="clear" w:color="auto" w:fill="auto"/>
          </w:tcPr>
          <w:p w:rsidR="0080478F" w:rsidRPr="00E8065F" w:rsidRDefault="0080478F" w:rsidP="00DC0475">
            <w:pPr>
              <w:jc w:val="both"/>
              <w:rPr>
                <w:color w:val="000000"/>
                <w:sz w:val="20"/>
                <w:szCs w:val="20"/>
              </w:rPr>
            </w:pPr>
            <w:r>
              <w:rPr>
                <w:color w:val="000000"/>
                <w:sz w:val="20"/>
                <w:szCs w:val="20"/>
              </w:rPr>
              <w:t>ГАУЗ «Городская больница № 5» г.</w:t>
            </w:r>
            <w:r w:rsidRPr="00E8065F">
              <w:rPr>
                <w:color w:val="000000"/>
                <w:sz w:val="20"/>
                <w:szCs w:val="20"/>
              </w:rPr>
              <w:t>Набережные Челны</w:t>
            </w:r>
          </w:p>
        </w:tc>
        <w:tc>
          <w:tcPr>
            <w:tcW w:w="1994" w:type="dxa"/>
            <w:tcBorders>
              <w:top w:val="nil"/>
              <w:left w:val="single" w:sz="4" w:space="0" w:color="auto"/>
              <w:bottom w:val="single" w:sz="4" w:space="0" w:color="auto"/>
              <w:right w:val="single" w:sz="4" w:space="0" w:color="auto"/>
            </w:tcBorders>
            <w:shd w:val="clear" w:color="auto" w:fill="auto"/>
          </w:tcPr>
          <w:p w:rsidR="0080478F" w:rsidRPr="00E8065F" w:rsidRDefault="0080478F" w:rsidP="00BA1432">
            <w:pPr>
              <w:jc w:val="center"/>
              <w:rPr>
                <w:color w:val="000000"/>
                <w:sz w:val="20"/>
                <w:szCs w:val="20"/>
              </w:rPr>
            </w:pPr>
            <w:r w:rsidRPr="00E8065F">
              <w:rPr>
                <w:color w:val="000000"/>
                <w:sz w:val="20"/>
                <w:szCs w:val="20"/>
              </w:rPr>
              <w:t>Компьютерный томограф</w:t>
            </w:r>
          </w:p>
        </w:tc>
        <w:tc>
          <w:tcPr>
            <w:tcW w:w="1181" w:type="dxa"/>
            <w:shd w:val="clear" w:color="auto" w:fill="auto"/>
          </w:tcPr>
          <w:p w:rsidR="0080478F" w:rsidRPr="00E8065F" w:rsidRDefault="0080478F" w:rsidP="000546C2">
            <w:pPr>
              <w:jc w:val="center"/>
              <w:rPr>
                <w:sz w:val="20"/>
                <w:szCs w:val="20"/>
              </w:rPr>
            </w:pPr>
            <w:r w:rsidRPr="00E8065F">
              <w:rPr>
                <w:sz w:val="20"/>
                <w:szCs w:val="20"/>
              </w:rPr>
              <w:t>2019</w:t>
            </w:r>
          </w:p>
        </w:tc>
        <w:tc>
          <w:tcPr>
            <w:tcW w:w="1181" w:type="dxa"/>
            <w:tcBorders>
              <w:top w:val="nil"/>
              <w:left w:val="single" w:sz="4" w:space="0" w:color="auto"/>
              <w:bottom w:val="single" w:sz="4" w:space="0" w:color="auto"/>
              <w:right w:val="single" w:sz="4" w:space="0" w:color="auto"/>
            </w:tcBorders>
            <w:shd w:val="clear" w:color="auto" w:fill="auto"/>
          </w:tcPr>
          <w:p w:rsidR="0080478F" w:rsidRPr="00E8065F" w:rsidRDefault="0080478F" w:rsidP="000546C2">
            <w:pPr>
              <w:jc w:val="center"/>
              <w:rPr>
                <w:color w:val="000000"/>
                <w:sz w:val="20"/>
                <w:szCs w:val="20"/>
              </w:rPr>
            </w:pPr>
            <w:r w:rsidRPr="00E8065F">
              <w:rPr>
                <w:color w:val="000000"/>
                <w:sz w:val="20"/>
                <w:szCs w:val="20"/>
              </w:rPr>
              <w:t>1</w:t>
            </w:r>
          </w:p>
        </w:tc>
        <w:tc>
          <w:tcPr>
            <w:tcW w:w="1478" w:type="dxa"/>
            <w:tcBorders>
              <w:top w:val="nil"/>
              <w:left w:val="single" w:sz="4" w:space="0" w:color="auto"/>
              <w:bottom w:val="single" w:sz="4" w:space="0" w:color="auto"/>
              <w:right w:val="single" w:sz="4" w:space="0" w:color="auto"/>
            </w:tcBorders>
            <w:shd w:val="clear" w:color="auto" w:fill="auto"/>
          </w:tcPr>
          <w:p w:rsidR="0080478F" w:rsidRPr="00E8065F" w:rsidRDefault="0080478F" w:rsidP="000546C2">
            <w:pPr>
              <w:jc w:val="center"/>
              <w:rPr>
                <w:color w:val="000000"/>
                <w:sz w:val="20"/>
                <w:szCs w:val="20"/>
              </w:rPr>
            </w:pPr>
            <w:r w:rsidRPr="00E8065F">
              <w:rPr>
                <w:color w:val="000000"/>
                <w:sz w:val="20"/>
                <w:szCs w:val="20"/>
              </w:rPr>
              <w:t>31</w:t>
            </w:r>
          </w:p>
        </w:tc>
        <w:tc>
          <w:tcPr>
            <w:tcW w:w="1111" w:type="dxa"/>
            <w:tcBorders>
              <w:top w:val="nil"/>
              <w:left w:val="single" w:sz="4" w:space="0" w:color="auto"/>
              <w:bottom w:val="single" w:sz="4" w:space="0" w:color="auto"/>
              <w:right w:val="single" w:sz="4" w:space="0" w:color="auto"/>
            </w:tcBorders>
            <w:shd w:val="clear" w:color="auto" w:fill="auto"/>
          </w:tcPr>
          <w:p w:rsidR="0080478F" w:rsidRPr="00E8065F" w:rsidRDefault="0080478F" w:rsidP="000546C2">
            <w:pPr>
              <w:jc w:val="center"/>
              <w:rPr>
                <w:color w:val="000000"/>
                <w:sz w:val="20"/>
                <w:szCs w:val="20"/>
              </w:rPr>
            </w:pPr>
            <w:r w:rsidRPr="00E8065F">
              <w:rPr>
                <w:color w:val="000000"/>
                <w:sz w:val="20"/>
                <w:szCs w:val="20"/>
              </w:rPr>
              <w:t>2</w:t>
            </w:r>
          </w:p>
        </w:tc>
        <w:tc>
          <w:tcPr>
            <w:tcW w:w="1944" w:type="dxa"/>
            <w:tcBorders>
              <w:top w:val="nil"/>
              <w:left w:val="single" w:sz="4" w:space="0" w:color="auto"/>
              <w:bottom w:val="single" w:sz="4" w:space="0" w:color="auto"/>
              <w:right w:val="single" w:sz="4" w:space="0" w:color="auto"/>
            </w:tcBorders>
            <w:shd w:val="clear" w:color="auto" w:fill="auto"/>
          </w:tcPr>
          <w:p w:rsidR="0080478F" w:rsidRPr="00E8065F" w:rsidRDefault="0080478F" w:rsidP="00BA1432">
            <w:pPr>
              <w:jc w:val="center"/>
              <w:rPr>
                <w:color w:val="000000"/>
                <w:sz w:val="20"/>
                <w:szCs w:val="20"/>
              </w:rPr>
            </w:pPr>
            <w:r w:rsidRPr="00E8065F">
              <w:rPr>
                <w:color w:val="000000"/>
                <w:sz w:val="20"/>
                <w:szCs w:val="20"/>
              </w:rPr>
              <w:t>Стационарное</w:t>
            </w:r>
          </w:p>
        </w:tc>
      </w:tr>
      <w:tr w:rsidR="0080478F" w:rsidRPr="00E8065F" w:rsidTr="00CD3A6F">
        <w:trPr>
          <w:trHeight w:val="20"/>
        </w:trPr>
        <w:tc>
          <w:tcPr>
            <w:tcW w:w="1555" w:type="dxa"/>
            <w:vMerge/>
          </w:tcPr>
          <w:p w:rsidR="0080478F" w:rsidRPr="00E8065F" w:rsidRDefault="0080478F" w:rsidP="00BA1432">
            <w:pPr>
              <w:rPr>
                <w:sz w:val="20"/>
                <w:szCs w:val="20"/>
              </w:rPr>
            </w:pPr>
          </w:p>
        </w:tc>
        <w:tc>
          <w:tcPr>
            <w:tcW w:w="3685" w:type="dxa"/>
            <w:tcBorders>
              <w:top w:val="single" w:sz="4" w:space="0" w:color="auto"/>
              <w:bottom w:val="single" w:sz="4" w:space="0" w:color="auto"/>
              <w:right w:val="single" w:sz="4" w:space="0" w:color="auto"/>
            </w:tcBorders>
            <w:shd w:val="clear" w:color="auto" w:fill="auto"/>
          </w:tcPr>
          <w:p w:rsidR="0080478F" w:rsidRPr="00E8065F" w:rsidRDefault="0080478F" w:rsidP="00D5127A">
            <w:pPr>
              <w:jc w:val="both"/>
              <w:rPr>
                <w:color w:val="000000"/>
                <w:sz w:val="20"/>
                <w:szCs w:val="20"/>
              </w:rPr>
            </w:pPr>
            <w:r w:rsidRPr="00E8065F">
              <w:rPr>
                <w:color w:val="000000"/>
                <w:sz w:val="20"/>
                <w:szCs w:val="20"/>
              </w:rPr>
              <w:t xml:space="preserve">ГАУЗ </w:t>
            </w:r>
            <w:r>
              <w:rPr>
                <w:color w:val="000000"/>
                <w:sz w:val="20"/>
                <w:szCs w:val="20"/>
              </w:rPr>
              <w:t>«</w:t>
            </w:r>
            <w:r w:rsidRPr="00E8065F">
              <w:rPr>
                <w:color w:val="000000"/>
                <w:sz w:val="20"/>
                <w:szCs w:val="20"/>
              </w:rPr>
              <w:t>Городская клиническая больница №</w:t>
            </w:r>
            <w:r>
              <w:rPr>
                <w:color w:val="000000"/>
                <w:sz w:val="20"/>
                <w:szCs w:val="20"/>
              </w:rPr>
              <w:t xml:space="preserve"> </w:t>
            </w:r>
            <w:r w:rsidRPr="00E8065F">
              <w:rPr>
                <w:color w:val="000000"/>
                <w:sz w:val="20"/>
                <w:szCs w:val="20"/>
              </w:rPr>
              <w:t>12</w:t>
            </w:r>
            <w:r>
              <w:rPr>
                <w:color w:val="000000"/>
                <w:sz w:val="20"/>
                <w:szCs w:val="20"/>
              </w:rPr>
              <w:t>»</w:t>
            </w:r>
            <w:r w:rsidRPr="00E8065F">
              <w:rPr>
                <w:color w:val="000000"/>
                <w:sz w:val="20"/>
                <w:szCs w:val="20"/>
              </w:rPr>
              <w:t xml:space="preserve"> г.Казани</w:t>
            </w:r>
          </w:p>
        </w:tc>
        <w:tc>
          <w:tcPr>
            <w:tcW w:w="1994" w:type="dxa"/>
            <w:tcBorders>
              <w:top w:val="single" w:sz="4" w:space="0" w:color="auto"/>
              <w:left w:val="single" w:sz="4" w:space="0" w:color="auto"/>
              <w:bottom w:val="single" w:sz="4" w:space="0" w:color="auto"/>
              <w:right w:val="single" w:sz="4" w:space="0" w:color="auto"/>
            </w:tcBorders>
            <w:shd w:val="clear" w:color="auto" w:fill="auto"/>
          </w:tcPr>
          <w:p w:rsidR="0080478F" w:rsidRPr="00E8065F" w:rsidRDefault="0080478F" w:rsidP="00BA1432">
            <w:pPr>
              <w:jc w:val="center"/>
              <w:rPr>
                <w:color w:val="000000"/>
                <w:sz w:val="20"/>
                <w:szCs w:val="20"/>
              </w:rPr>
            </w:pPr>
            <w:r w:rsidRPr="00E8065F">
              <w:rPr>
                <w:color w:val="000000"/>
                <w:sz w:val="20"/>
                <w:szCs w:val="20"/>
              </w:rPr>
              <w:t>Компьютерный томограф</w:t>
            </w:r>
          </w:p>
        </w:tc>
        <w:tc>
          <w:tcPr>
            <w:tcW w:w="1181" w:type="dxa"/>
            <w:tcBorders>
              <w:top w:val="single" w:sz="4" w:space="0" w:color="auto"/>
              <w:left w:val="single" w:sz="4" w:space="0" w:color="auto"/>
              <w:bottom w:val="single" w:sz="4" w:space="0" w:color="auto"/>
              <w:right w:val="single" w:sz="4" w:space="0" w:color="auto"/>
            </w:tcBorders>
            <w:shd w:val="clear" w:color="auto" w:fill="auto"/>
          </w:tcPr>
          <w:p w:rsidR="0080478F" w:rsidRPr="00E8065F" w:rsidRDefault="0080478F" w:rsidP="000546C2">
            <w:pPr>
              <w:jc w:val="center"/>
              <w:rPr>
                <w:sz w:val="20"/>
                <w:szCs w:val="20"/>
              </w:rPr>
            </w:pPr>
            <w:r w:rsidRPr="00E8065F">
              <w:rPr>
                <w:sz w:val="20"/>
                <w:szCs w:val="20"/>
              </w:rPr>
              <w:t>2013</w:t>
            </w:r>
            <w:r w:rsidR="003D79B3">
              <w:rPr>
                <w:sz w:val="20"/>
                <w:szCs w:val="20"/>
              </w:rPr>
              <w:t xml:space="preserve"> </w:t>
            </w:r>
            <w:r w:rsidR="00417E61">
              <w:rPr>
                <w:sz w:val="20"/>
                <w:szCs w:val="20"/>
              </w:rPr>
              <w:t>(1)</w:t>
            </w:r>
          </w:p>
          <w:p w:rsidR="0080478F" w:rsidRPr="00E8065F" w:rsidRDefault="0080478F" w:rsidP="000546C2">
            <w:pPr>
              <w:jc w:val="center"/>
              <w:rPr>
                <w:sz w:val="20"/>
                <w:szCs w:val="20"/>
              </w:rPr>
            </w:pPr>
            <w:r>
              <w:rPr>
                <w:sz w:val="20"/>
                <w:szCs w:val="20"/>
              </w:rPr>
              <w:t>2022</w:t>
            </w:r>
            <w:r w:rsidR="003D79B3">
              <w:rPr>
                <w:sz w:val="20"/>
                <w:szCs w:val="20"/>
              </w:rPr>
              <w:t xml:space="preserve"> </w:t>
            </w:r>
            <w:r w:rsidR="00417E61">
              <w:rPr>
                <w:sz w:val="20"/>
                <w:szCs w:val="20"/>
              </w:rPr>
              <w:t>(1)</w:t>
            </w:r>
          </w:p>
        </w:tc>
        <w:tc>
          <w:tcPr>
            <w:tcW w:w="1181" w:type="dxa"/>
            <w:tcBorders>
              <w:top w:val="single" w:sz="4" w:space="0" w:color="auto"/>
              <w:left w:val="single" w:sz="4" w:space="0" w:color="auto"/>
              <w:bottom w:val="single" w:sz="4" w:space="0" w:color="auto"/>
              <w:right w:val="single" w:sz="4" w:space="0" w:color="auto"/>
            </w:tcBorders>
            <w:shd w:val="clear" w:color="auto" w:fill="auto"/>
          </w:tcPr>
          <w:p w:rsidR="0080478F" w:rsidRPr="00E8065F" w:rsidRDefault="0080478F" w:rsidP="000546C2">
            <w:pPr>
              <w:jc w:val="center"/>
              <w:rPr>
                <w:color w:val="000000"/>
                <w:sz w:val="20"/>
                <w:szCs w:val="20"/>
              </w:rPr>
            </w:pPr>
            <w:r w:rsidRPr="00E8065F">
              <w:rPr>
                <w:color w:val="000000"/>
                <w:sz w:val="20"/>
                <w:szCs w:val="20"/>
              </w:rPr>
              <w:t>2</w:t>
            </w:r>
          </w:p>
        </w:tc>
        <w:tc>
          <w:tcPr>
            <w:tcW w:w="1478" w:type="dxa"/>
            <w:tcBorders>
              <w:top w:val="single" w:sz="4" w:space="0" w:color="auto"/>
              <w:left w:val="single" w:sz="4" w:space="0" w:color="auto"/>
              <w:bottom w:val="single" w:sz="4" w:space="0" w:color="auto"/>
              <w:right w:val="single" w:sz="4" w:space="0" w:color="auto"/>
            </w:tcBorders>
            <w:shd w:val="clear" w:color="auto" w:fill="auto"/>
          </w:tcPr>
          <w:p w:rsidR="0080478F" w:rsidRPr="00E8065F" w:rsidRDefault="0080478F" w:rsidP="000546C2">
            <w:pPr>
              <w:jc w:val="center"/>
              <w:rPr>
                <w:color w:val="000000"/>
                <w:sz w:val="20"/>
                <w:szCs w:val="20"/>
              </w:rPr>
            </w:pPr>
            <w:r w:rsidRPr="00E8065F">
              <w:rPr>
                <w:color w:val="000000"/>
                <w:sz w:val="20"/>
                <w:szCs w:val="20"/>
              </w:rPr>
              <w:t>37</w:t>
            </w:r>
          </w:p>
        </w:tc>
        <w:tc>
          <w:tcPr>
            <w:tcW w:w="1111" w:type="dxa"/>
            <w:tcBorders>
              <w:top w:val="single" w:sz="4" w:space="0" w:color="auto"/>
              <w:left w:val="single" w:sz="4" w:space="0" w:color="auto"/>
              <w:bottom w:val="single" w:sz="4" w:space="0" w:color="auto"/>
              <w:right w:val="single" w:sz="4" w:space="0" w:color="auto"/>
            </w:tcBorders>
            <w:shd w:val="clear" w:color="auto" w:fill="auto"/>
          </w:tcPr>
          <w:p w:rsidR="0080478F" w:rsidRPr="00E8065F" w:rsidRDefault="0080478F" w:rsidP="000546C2">
            <w:pPr>
              <w:jc w:val="center"/>
              <w:rPr>
                <w:color w:val="000000"/>
                <w:sz w:val="20"/>
                <w:szCs w:val="20"/>
              </w:rPr>
            </w:pPr>
            <w:r w:rsidRPr="00E8065F">
              <w:rPr>
                <w:color w:val="000000"/>
                <w:sz w:val="20"/>
                <w:szCs w:val="20"/>
              </w:rPr>
              <w:t>2</w:t>
            </w:r>
          </w:p>
        </w:tc>
        <w:tc>
          <w:tcPr>
            <w:tcW w:w="1944" w:type="dxa"/>
            <w:tcBorders>
              <w:top w:val="single" w:sz="4" w:space="0" w:color="auto"/>
              <w:left w:val="single" w:sz="4" w:space="0" w:color="auto"/>
              <w:bottom w:val="single" w:sz="4" w:space="0" w:color="auto"/>
              <w:right w:val="single" w:sz="4" w:space="0" w:color="auto"/>
            </w:tcBorders>
            <w:shd w:val="clear" w:color="auto" w:fill="auto"/>
          </w:tcPr>
          <w:p w:rsidR="0080478F" w:rsidRPr="00E8065F" w:rsidRDefault="0080478F" w:rsidP="00BA1432">
            <w:pPr>
              <w:jc w:val="center"/>
              <w:rPr>
                <w:color w:val="000000"/>
                <w:sz w:val="20"/>
                <w:szCs w:val="20"/>
              </w:rPr>
            </w:pPr>
            <w:r w:rsidRPr="00E8065F">
              <w:rPr>
                <w:color w:val="000000"/>
                <w:sz w:val="20"/>
                <w:szCs w:val="20"/>
              </w:rPr>
              <w:t>Стационарное</w:t>
            </w:r>
          </w:p>
        </w:tc>
      </w:tr>
      <w:tr w:rsidR="0080478F" w:rsidRPr="00E8065F" w:rsidTr="00CD3A6F">
        <w:trPr>
          <w:trHeight w:val="20"/>
        </w:trPr>
        <w:tc>
          <w:tcPr>
            <w:tcW w:w="1555" w:type="dxa"/>
            <w:vMerge/>
          </w:tcPr>
          <w:p w:rsidR="0080478F" w:rsidRPr="00E8065F" w:rsidRDefault="0080478F" w:rsidP="00BA1432">
            <w:pPr>
              <w:rPr>
                <w:sz w:val="20"/>
                <w:szCs w:val="20"/>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80478F" w:rsidRPr="00E8065F" w:rsidRDefault="0080478F" w:rsidP="00D5127A">
            <w:pPr>
              <w:jc w:val="both"/>
              <w:rPr>
                <w:color w:val="000000"/>
                <w:sz w:val="20"/>
                <w:szCs w:val="20"/>
              </w:rPr>
            </w:pPr>
            <w:r w:rsidRPr="00E8065F">
              <w:rPr>
                <w:color w:val="000000"/>
                <w:sz w:val="20"/>
                <w:szCs w:val="20"/>
              </w:rPr>
              <w:t xml:space="preserve">ГАУЗ </w:t>
            </w:r>
            <w:r>
              <w:rPr>
                <w:color w:val="000000"/>
                <w:sz w:val="20"/>
                <w:szCs w:val="20"/>
              </w:rPr>
              <w:t>«</w:t>
            </w:r>
            <w:r w:rsidRPr="00E8065F">
              <w:rPr>
                <w:color w:val="000000"/>
                <w:sz w:val="20"/>
                <w:szCs w:val="20"/>
              </w:rPr>
              <w:t>Городская клиническая больница №</w:t>
            </w:r>
            <w:r>
              <w:rPr>
                <w:color w:val="000000"/>
                <w:sz w:val="20"/>
                <w:szCs w:val="20"/>
              </w:rPr>
              <w:t xml:space="preserve"> </w:t>
            </w:r>
            <w:r w:rsidRPr="00E8065F">
              <w:rPr>
                <w:color w:val="000000"/>
                <w:sz w:val="20"/>
                <w:szCs w:val="20"/>
              </w:rPr>
              <w:t>16</w:t>
            </w:r>
            <w:r>
              <w:rPr>
                <w:color w:val="000000"/>
                <w:sz w:val="20"/>
                <w:szCs w:val="20"/>
              </w:rPr>
              <w:t>»</w:t>
            </w:r>
            <w:r w:rsidRPr="00E8065F">
              <w:rPr>
                <w:color w:val="000000"/>
                <w:sz w:val="20"/>
                <w:szCs w:val="20"/>
              </w:rPr>
              <w:t xml:space="preserve"> г.Казани</w:t>
            </w:r>
          </w:p>
        </w:tc>
        <w:tc>
          <w:tcPr>
            <w:tcW w:w="1994" w:type="dxa"/>
            <w:tcBorders>
              <w:top w:val="single" w:sz="4" w:space="0" w:color="auto"/>
              <w:left w:val="single" w:sz="4" w:space="0" w:color="auto"/>
              <w:bottom w:val="single" w:sz="4" w:space="0" w:color="auto"/>
              <w:right w:val="single" w:sz="4" w:space="0" w:color="auto"/>
            </w:tcBorders>
            <w:shd w:val="clear" w:color="auto" w:fill="auto"/>
          </w:tcPr>
          <w:p w:rsidR="0080478F" w:rsidRPr="00E8065F" w:rsidRDefault="0080478F" w:rsidP="00BA1432">
            <w:pPr>
              <w:jc w:val="center"/>
              <w:rPr>
                <w:color w:val="000000"/>
                <w:sz w:val="20"/>
                <w:szCs w:val="20"/>
              </w:rPr>
            </w:pPr>
            <w:r w:rsidRPr="00E8065F">
              <w:rPr>
                <w:color w:val="000000"/>
                <w:sz w:val="20"/>
                <w:szCs w:val="20"/>
              </w:rPr>
              <w:t>Компьютерный томограф</w:t>
            </w:r>
          </w:p>
        </w:tc>
        <w:tc>
          <w:tcPr>
            <w:tcW w:w="1181" w:type="dxa"/>
            <w:tcBorders>
              <w:top w:val="single" w:sz="4" w:space="0" w:color="auto"/>
            </w:tcBorders>
            <w:shd w:val="clear" w:color="auto" w:fill="auto"/>
          </w:tcPr>
          <w:p w:rsidR="0080478F" w:rsidRPr="00E8065F" w:rsidRDefault="0080478F" w:rsidP="000546C2">
            <w:pPr>
              <w:jc w:val="center"/>
              <w:rPr>
                <w:sz w:val="20"/>
                <w:szCs w:val="20"/>
              </w:rPr>
            </w:pPr>
            <w:r w:rsidRPr="00E8065F">
              <w:rPr>
                <w:sz w:val="20"/>
                <w:szCs w:val="20"/>
              </w:rPr>
              <w:t>2020</w:t>
            </w:r>
          </w:p>
        </w:tc>
        <w:tc>
          <w:tcPr>
            <w:tcW w:w="1181" w:type="dxa"/>
            <w:tcBorders>
              <w:top w:val="single" w:sz="4" w:space="0" w:color="auto"/>
              <w:left w:val="single" w:sz="4" w:space="0" w:color="auto"/>
              <w:bottom w:val="single" w:sz="4" w:space="0" w:color="auto"/>
              <w:right w:val="single" w:sz="4" w:space="0" w:color="auto"/>
            </w:tcBorders>
            <w:shd w:val="clear" w:color="auto" w:fill="auto"/>
          </w:tcPr>
          <w:p w:rsidR="0080478F" w:rsidRPr="00E8065F" w:rsidRDefault="0080478F" w:rsidP="000546C2">
            <w:pPr>
              <w:jc w:val="center"/>
              <w:rPr>
                <w:color w:val="000000"/>
                <w:sz w:val="20"/>
                <w:szCs w:val="20"/>
              </w:rPr>
            </w:pPr>
            <w:r w:rsidRPr="00E8065F">
              <w:rPr>
                <w:color w:val="000000"/>
                <w:sz w:val="20"/>
                <w:szCs w:val="20"/>
              </w:rPr>
              <w:t>1</w:t>
            </w:r>
          </w:p>
        </w:tc>
        <w:tc>
          <w:tcPr>
            <w:tcW w:w="1478" w:type="dxa"/>
            <w:tcBorders>
              <w:top w:val="single" w:sz="4" w:space="0" w:color="auto"/>
              <w:left w:val="single" w:sz="4" w:space="0" w:color="auto"/>
              <w:bottom w:val="single" w:sz="4" w:space="0" w:color="auto"/>
              <w:right w:val="single" w:sz="4" w:space="0" w:color="auto"/>
            </w:tcBorders>
            <w:shd w:val="clear" w:color="auto" w:fill="auto"/>
          </w:tcPr>
          <w:p w:rsidR="0080478F" w:rsidRPr="00E8065F" w:rsidRDefault="0080478F" w:rsidP="000546C2">
            <w:pPr>
              <w:jc w:val="center"/>
              <w:rPr>
                <w:color w:val="000000"/>
                <w:sz w:val="20"/>
                <w:szCs w:val="20"/>
              </w:rPr>
            </w:pPr>
            <w:r w:rsidRPr="00E8065F">
              <w:rPr>
                <w:color w:val="000000"/>
                <w:sz w:val="20"/>
                <w:szCs w:val="20"/>
              </w:rPr>
              <w:t>5</w:t>
            </w:r>
          </w:p>
        </w:tc>
        <w:tc>
          <w:tcPr>
            <w:tcW w:w="1111" w:type="dxa"/>
            <w:tcBorders>
              <w:top w:val="single" w:sz="4" w:space="0" w:color="auto"/>
              <w:left w:val="single" w:sz="4" w:space="0" w:color="auto"/>
              <w:bottom w:val="single" w:sz="4" w:space="0" w:color="auto"/>
              <w:right w:val="single" w:sz="4" w:space="0" w:color="auto"/>
            </w:tcBorders>
            <w:shd w:val="clear" w:color="auto" w:fill="auto"/>
          </w:tcPr>
          <w:p w:rsidR="0080478F" w:rsidRPr="00E8065F" w:rsidRDefault="0080478F" w:rsidP="000546C2">
            <w:pPr>
              <w:jc w:val="center"/>
              <w:rPr>
                <w:color w:val="000000"/>
                <w:sz w:val="20"/>
                <w:szCs w:val="20"/>
              </w:rPr>
            </w:pPr>
            <w:r w:rsidRPr="00E8065F">
              <w:rPr>
                <w:color w:val="000000"/>
                <w:sz w:val="20"/>
                <w:szCs w:val="20"/>
              </w:rPr>
              <w:t>2</w:t>
            </w:r>
          </w:p>
        </w:tc>
        <w:tc>
          <w:tcPr>
            <w:tcW w:w="1944" w:type="dxa"/>
            <w:tcBorders>
              <w:top w:val="single" w:sz="4" w:space="0" w:color="auto"/>
              <w:left w:val="single" w:sz="4" w:space="0" w:color="auto"/>
              <w:bottom w:val="single" w:sz="4" w:space="0" w:color="auto"/>
              <w:right w:val="single" w:sz="4" w:space="0" w:color="auto"/>
            </w:tcBorders>
            <w:shd w:val="clear" w:color="auto" w:fill="auto"/>
          </w:tcPr>
          <w:p w:rsidR="0080478F" w:rsidRPr="00E8065F" w:rsidRDefault="0080478F" w:rsidP="00BA1432">
            <w:pPr>
              <w:jc w:val="center"/>
              <w:rPr>
                <w:color w:val="000000"/>
                <w:sz w:val="20"/>
                <w:szCs w:val="20"/>
              </w:rPr>
            </w:pPr>
            <w:r w:rsidRPr="00E8065F">
              <w:rPr>
                <w:color w:val="000000"/>
                <w:sz w:val="20"/>
                <w:szCs w:val="20"/>
              </w:rPr>
              <w:t>Стационарное</w:t>
            </w:r>
          </w:p>
        </w:tc>
      </w:tr>
      <w:tr w:rsidR="0080478F" w:rsidRPr="00E8065F" w:rsidTr="000546C2">
        <w:trPr>
          <w:trHeight w:val="20"/>
        </w:trPr>
        <w:tc>
          <w:tcPr>
            <w:tcW w:w="1555" w:type="dxa"/>
            <w:vMerge/>
          </w:tcPr>
          <w:p w:rsidR="0080478F" w:rsidRPr="00E8065F" w:rsidRDefault="0080478F" w:rsidP="00BA1432">
            <w:pPr>
              <w:rPr>
                <w:sz w:val="20"/>
                <w:szCs w:val="20"/>
              </w:rPr>
            </w:pPr>
          </w:p>
        </w:tc>
        <w:tc>
          <w:tcPr>
            <w:tcW w:w="3685" w:type="dxa"/>
            <w:tcBorders>
              <w:top w:val="nil"/>
              <w:left w:val="single" w:sz="4" w:space="0" w:color="auto"/>
              <w:bottom w:val="single" w:sz="4" w:space="0" w:color="auto"/>
              <w:right w:val="single" w:sz="4" w:space="0" w:color="auto"/>
            </w:tcBorders>
            <w:shd w:val="clear" w:color="auto" w:fill="auto"/>
          </w:tcPr>
          <w:p w:rsidR="0080478F" w:rsidRPr="00E8065F" w:rsidRDefault="0080478F" w:rsidP="00D5127A">
            <w:pPr>
              <w:jc w:val="both"/>
              <w:rPr>
                <w:color w:val="000000"/>
                <w:sz w:val="20"/>
                <w:szCs w:val="20"/>
              </w:rPr>
            </w:pPr>
            <w:r>
              <w:rPr>
                <w:color w:val="000000"/>
                <w:sz w:val="20"/>
                <w:szCs w:val="20"/>
              </w:rPr>
              <w:t>ГАУЗ «Центральная городская клиническая больница № 18 им.проф.К.Ш.Зыятдинова» г.Казани</w:t>
            </w:r>
          </w:p>
        </w:tc>
        <w:tc>
          <w:tcPr>
            <w:tcW w:w="1994" w:type="dxa"/>
            <w:tcBorders>
              <w:top w:val="nil"/>
              <w:left w:val="single" w:sz="4" w:space="0" w:color="auto"/>
              <w:bottom w:val="single" w:sz="4" w:space="0" w:color="auto"/>
              <w:right w:val="single" w:sz="4" w:space="0" w:color="auto"/>
            </w:tcBorders>
            <w:shd w:val="clear" w:color="auto" w:fill="auto"/>
          </w:tcPr>
          <w:p w:rsidR="0080478F" w:rsidRPr="00E8065F" w:rsidRDefault="0080478F" w:rsidP="00BA1432">
            <w:pPr>
              <w:jc w:val="center"/>
              <w:rPr>
                <w:color w:val="000000"/>
                <w:sz w:val="20"/>
                <w:szCs w:val="20"/>
              </w:rPr>
            </w:pPr>
            <w:r w:rsidRPr="00E8065F">
              <w:rPr>
                <w:color w:val="000000"/>
                <w:sz w:val="20"/>
                <w:szCs w:val="20"/>
              </w:rPr>
              <w:t>Компьютерный томограф</w:t>
            </w:r>
          </w:p>
        </w:tc>
        <w:tc>
          <w:tcPr>
            <w:tcW w:w="1181" w:type="dxa"/>
            <w:shd w:val="clear" w:color="auto" w:fill="auto"/>
          </w:tcPr>
          <w:p w:rsidR="0080478F" w:rsidRPr="00E8065F" w:rsidRDefault="0080478F" w:rsidP="000546C2">
            <w:pPr>
              <w:jc w:val="center"/>
              <w:rPr>
                <w:sz w:val="20"/>
                <w:szCs w:val="20"/>
              </w:rPr>
            </w:pPr>
            <w:r w:rsidRPr="00E8065F">
              <w:rPr>
                <w:sz w:val="20"/>
                <w:szCs w:val="20"/>
              </w:rPr>
              <w:t>2022</w:t>
            </w:r>
          </w:p>
        </w:tc>
        <w:tc>
          <w:tcPr>
            <w:tcW w:w="1181" w:type="dxa"/>
            <w:tcBorders>
              <w:top w:val="nil"/>
              <w:left w:val="single" w:sz="4" w:space="0" w:color="auto"/>
              <w:bottom w:val="single" w:sz="4" w:space="0" w:color="auto"/>
              <w:right w:val="single" w:sz="4" w:space="0" w:color="auto"/>
            </w:tcBorders>
            <w:shd w:val="clear" w:color="auto" w:fill="auto"/>
          </w:tcPr>
          <w:p w:rsidR="0080478F" w:rsidRPr="00E8065F" w:rsidRDefault="0080478F" w:rsidP="000546C2">
            <w:pPr>
              <w:jc w:val="center"/>
              <w:rPr>
                <w:color w:val="000000"/>
                <w:sz w:val="20"/>
                <w:szCs w:val="20"/>
              </w:rPr>
            </w:pPr>
            <w:r w:rsidRPr="00E8065F">
              <w:rPr>
                <w:color w:val="000000"/>
                <w:sz w:val="20"/>
                <w:szCs w:val="20"/>
              </w:rPr>
              <w:t>1</w:t>
            </w:r>
          </w:p>
        </w:tc>
        <w:tc>
          <w:tcPr>
            <w:tcW w:w="1478" w:type="dxa"/>
            <w:tcBorders>
              <w:top w:val="nil"/>
              <w:left w:val="single" w:sz="4" w:space="0" w:color="auto"/>
              <w:bottom w:val="single" w:sz="4" w:space="0" w:color="auto"/>
              <w:right w:val="single" w:sz="4" w:space="0" w:color="auto"/>
            </w:tcBorders>
            <w:shd w:val="clear" w:color="auto" w:fill="auto"/>
          </w:tcPr>
          <w:p w:rsidR="0080478F" w:rsidRPr="00E8065F" w:rsidRDefault="0080478F" w:rsidP="000546C2">
            <w:pPr>
              <w:jc w:val="center"/>
              <w:rPr>
                <w:color w:val="000000"/>
                <w:sz w:val="20"/>
                <w:szCs w:val="20"/>
              </w:rPr>
            </w:pPr>
            <w:r w:rsidRPr="00E8065F">
              <w:rPr>
                <w:color w:val="000000"/>
                <w:sz w:val="20"/>
                <w:szCs w:val="20"/>
              </w:rPr>
              <w:t>6</w:t>
            </w:r>
          </w:p>
        </w:tc>
        <w:tc>
          <w:tcPr>
            <w:tcW w:w="1111" w:type="dxa"/>
            <w:tcBorders>
              <w:top w:val="nil"/>
              <w:left w:val="single" w:sz="4" w:space="0" w:color="auto"/>
              <w:bottom w:val="single" w:sz="4" w:space="0" w:color="auto"/>
              <w:right w:val="single" w:sz="4" w:space="0" w:color="auto"/>
            </w:tcBorders>
            <w:shd w:val="clear" w:color="auto" w:fill="auto"/>
          </w:tcPr>
          <w:p w:rsidR="0080478F" w:rsidRPr="00E8065F" w:rsidRDefault="0080478F" w:rsidP="000546C2">
            <w:pPr>
              <w:jc w:val="center"/>
              <w:rPr>
                <w:color w:val="000000"/>
                <w:sz w:val="20"/>
                <w:szCs w:val="20"/>
              </w:rPr>
            </w:pPr>
            <w:r w:rsidRPr="00E8065F">
              <w:rPr>
                <w:color w:val="000000"/>
                <w:sz w:val="20"/>
                <w:szCs w:val="20"/>
              </w:rPr>
              <w:t>2</w:t>
            </w:r>
          </w:p>
        </w:tc>
        <w:tc>
          <w:tcPr>
            <w:tcW w:w="1944" w:type="dxa"/>
            <w:tcBorders>
              <w:top w:val="nil"/>
              <w:left w:val="single" w:sz="4" w:space="0" w:color="auto"/>
              <w:bottom w:val="single" w:sz="4" w:space="0" w:color="auto"/>
              <w:right w:val="single" w:sz="4" w:space="0" w:color="auto"/>
            </w:tcBorders>
            <w:shd w:val="clear" w:color="auto" w:fill="auto"/>
          </w:tcPr>
          <w:p w:rsidR="0080478F" w:rsidRPr="00E8065F" w:rsidRDefault="0080478F" w:rsidP="00BA1432">
            <w:pPr>
              <w:jc w:val="center"/>
              <w:rPr>
                <w:color w:val="000000"/>
                <w:sz w:val="20"/>
                <w:szCs w:val="20"/>
              </w:rPr>
            </w:pPr>
            <w:r w:rsidRPr="00E8065F">
              <w:rPr>
                <w:color w:val="000000"/>
                <w:sz w:val="20"/>
                <w:szCs w:val="20"/>
              </w:rPr>
              <w:t>Стационарное</w:t>
            </w:r>
          </w:p>
        </w:tc>
      </w:tr>
      <w:tr w:rsidR="0080478F" w:rsidRPr="00E8065F" w:rsidTr="00CD3A6F">
        <w:trPr>
          <w:trHeight w:val="20"/>
        </w:trPr>
        <w:tc>
          <w:tcPr>
            <w:tcW w:w="1555" w:type="dxa"/>
            <w:vMerge/>
          </w:tcPr>
          <w:p w:rsidR="0080478F" w:rsidRPr="00E8065F" w:rsidRDefault="0080478F" w:rsidP="00BA1432">
            <w:pPr>
              <w:rPr>
                <w:sz w:val="20"/>
                <w:szCs w:val="20"/>
              </w:rPr>
            </w:pPr>
          </w:p>
        </w:tc>
        <w:tc>
          <w:tcPr>
            <w:tcW w:w="3685" w:type="dxa"/>
            <w:tcBorders>
              <w:top w:val="nil"/>
              <w:left w:val="single" w:sz="4" w:space="0" w:color="auto"/>
              <w:bottom w:val="single" w:sz="4" w:space="0" w:color="auto"/>
              <w:right w:val="single" w:sz="4" w:space="0" w:color="auto"/>
            </w:tcBorders>
            <w:shd w:val="clear" w:color="auto" w:fill="auto"/>
          </w:tcPr>
          <w:p w:rsidR="0080478F" w:rsidRPr="00E8065F" w:rsidRDefault="0080478F" w:rsidP="00DC0475">
            <w:pPr>
              <w:jc w:val="both"/>
              <w:rPr>
                <w:color w:val="000000"/>
                <w:sz w:val="20"/>
                <w:szCs w:val="20"/>
              </w:rPr>
            </w:pPr>
            <w:r>
              <w:rPr>
                <w:color w:val="0D0D0D" w:themeColor="text1" w:themeTint="F2"/>
                <w:sz w:val="20"/>
                <w:szCs w:val="20"/>
              </w:rPr>
              <w:t>ГАУЗ «Клиническая больница № 2» г.Казани</w:t>
            </w:r>
          </w:p>
        </w:tc>
        <w:tc>
          <w:tcPr>
            <w:tcW w:w="1994" w:type="dxa"/>
            <w:tcBorders>
              <w:top w:val="nil"/>
              <w:left w:val="single" w:sz="4" w:space="0" w:color="auto"/>
              <w:bottom w:val="single" w:sz="4" w:space="0" w:color="auto"/>
              <w:right w:val="single" w:sz="4" w:space="0" w:color="auto"/>
            </w:tcBorders>
            <w:shd w:val="clear" w:color="auto" w:fill="auto"/>
          </w:tcPr>
          <w:p w:rsidR="0080478F" w:rsidRPr="00E8065F" w:rsidRDefault="0080478F" w:rsidP="00BA1432">
            <w:pPr>
              <w:jc w:val="center"/>
              <w:rPr>
                <w:color w:val="000000"/>
                <w:sz w:val="20"/>
                <w:szCs w:val="20"/>
              </w:rPr>
            </w:pPr>
            <w:r w:rsidRPr="00E8065F">
              <w:rPr>
                <w:color w:val="000000"/>
                <w:sz w:val="20"/>
                <w:szCs w:val="20"/>
              </w:rPr>
              <w:t>Компьютерный томограф</w:t>
            </w:r>
          </w:p>
        </w:tc>
        <w:tc>
          <w:tcPr>
            <w:tcW w:w="1181" w:type="dxa"/>
            <w:tcBorders>
              <w:bottom w:val="single" w:sz="4" w:space="0" w:color="auto"/>
            </w:tcBorders>
            <w:shd w:val="clear" w:color="auto" w:fill="auto"/>
          </w:tcPr>
          <w:p w:rsidR="0080478F" w:rsidRPr="00E8065F" w:rsidRDefault="0080478F" w:rsidP="000546C2">
            <w:pPr>
              <w:jc w:val="center"/>
              <w:rPr>
                <w:sz w:val="20"/>
                <w:szCs w:val="20"/>
              </w:rPr>
            </w:pPr>
            <w:r w:rsidRPr="00E8065F">
              <w:rPr>
                <w:sz w:val="20"/>
                <w:szCs w:val="20"/>
              </w:rPr>
              <w:t>2022</w:t>
            </w:r>
          </w:p>
        </w:tc>
        <w:tc>
          <w:tcPr>
            <w:tcW w:w="1181" w:type="dxa"/>
            <w:tcBorders>
              <w:top w:val="nil"/>
              <w:left w:val="single" w:sz="4" w:space="0" w:color="auto"/>
              <w:bottom w:val="single" w:sz="4" w:space="0" w:color="auto"/>
              <w:right w:val="single" w:sz="4" w:space="0" w:color="auto"/>
            </w:tcBorders>
            <w:shd w:val="clear" w:color="auto" w:fill="auto"/>
          </w:tcPr>
          <w:p w:rsidR="0080478F" w:rsidRPr="00E8065F" w:rsidRDefault="0080478F" w:rsidP="000546C2">
            <w:pPr>
              <w:jc w:val="center"/>
              <w:rPr>
                <w:color w:val="000000"/>
                <w:sz w:val="20"/>
                <w:szCs w:val="20"/>
              </w:rPr>
            </w:pPr>
            <w:r w:rsidRPr="00E8065F">
              <w:rPr>
                <w:color w:val="000000"/>
                <w:sz w:val="20"/>
                <w:szCs w:val="20"/>
              </w:rPr>
              <w:t>1</w:t>
            </w:r>
          </w:p>
        </w:tc>
        <w:tc>
          <w:tcPr>
            <w:tcW w:w="1478" w:type="dxa"/>
            <w:tcBorders>
              <w:top w:val="nil"/>
              <w:left w:val="single" w:sz="4" w:space="0" w:color="auto"/>
              <w:bottom w:val="single" w:sz="4" w:space="0" w:color="auto"/>
              <w:right w:val="single" w:sz="4" w:space="0" w:color="auto"/>
            </w:tcBorders>
            <w:shd w:val="clear" w:color="auto" w:fill="auto"/>
          </w:tcPr>
          <w:p w:rsidR="0080478F" w:rsidRPr="00E8065F" w:rsidRDefault="0080478F" w:rsidP="000546C2">
            <w:pPr>
              <w:jc w:val="center"/>
              <w:rPr>
                <w:color w:val="000000"/>
                <w:sz w:val="20"/>
                <w:szCs w:val="20"/>
              </w:rPr>
            </w:pPr>
            <w:r w:rsidRPr="00E8065F">
              <w:rPr>
                <w:color w:val="000000"/>
                <w:sz w:val="20"/>
                <w:szCs w:val="20"/>
              </w:rPr>
              <w:t>14</w:t>
            </w:r>
          </w:p>
        </w:tc>
        <w:tc>
          <w:tcPr>
            <w:tcW w:w="1111" w:type="dxa"/>
            <w:tcBorders>
              <w:top w:val="nil"/>
              <w:left w:val="single" w:sz="4" w:space="0" w:color="auto"/>
              <w:bottom w:val="single" w:sz="4" w:space="0" w:color="auto"/>
              <w:right w:val="single" w:sz="4" w:space="0" w:color="auto"/>
            </w:tcBorders>
            <w:shd w:val="clear" w:color="auto" w:fill="auto"/>
          </w:tcPr>
          <w:p w:rsidR="0080478F" w:rsidRPr="00E8065F" w:rsidRDefault="0080478F" w:rsidP="000546C2">
            <w:pPr>
              <w:jc w:val="center"/>
              <w:rPr>
                <w:color w:val="000000"/>
                <w:sz w:val="20"/>
                <w:szCs w:val="20"/>
              </w:rPr>
            </w:pPr>
            <w:r w:rsidRPr="00E8065F">
              <w:rPr>
                <w:color w:val="000000"/>
                <w:sz w:val="20"/>
                <w:szCs w:val="20"/>
              </w:rPr>
              <w:t>2</w:t>
            </w:r>
          </w:p>
        </w:tc>
        <w:tc>
          <w:tcPr>
            <w:tcW w:w="1944" w:type="dxa"/>
            <w:tcBorders>
              <w:top w:val="nil"/>
              <w:left w:val="single" w:sz="4" w:space="0" w:color="auto"/>
              <w:bottom w:val="single" w:sz="4" w:space="0" w:color="auto"/>
              <w:right w:val="single" w:sz="4" w:space="0" w:color="auto"/>
            </w:tcBorders>
            <w:shd w:val="clear" w:color="auto" w:fill="auto"/>
          </w:tcPr>
          <w:p w:rsidR="0080478F" w:rsidRPr="00E8065F" w:rsidRDefault="0080478F" w:rsidP="00BA1432">
            <w:pPr>
              <w:jc w:val="center"/>
              <w:rPr>
                <w:color w:val="000000"/>
                <w:sz w:val="20"/>
                <w:szCs w:val="20"/>
              </w:rPr>
            </w:pPr>
            <w:r w:rsidRPr="00E8065F">
              <w:rPr>
                <w:color w:val="000000"/>
                <w:sz w:val="20"/>
                <w:szCs w:val="20"/>
              </w:rPr>
              <w:t>Стационарное</w:t>
            </w:r>
          </w:p>
        </w:tc>
      </w:tr>
      <w:tr w:rsidR="0080478F" w:rsidRPr="00E8065F" w:rsidTr="00CD3A6F">
        <w:trPr>
          <w:trHeight w:val="20"/>
        </w:trPr>
        <w:tc>
          <w:tcPr>
            <w:tcW w:w="1555" w:type="dxa"/>
            <w:vMerge/>
          </w:tcPr>
          <w:p w:rsidR="0080478F" w:rsidRPr="00E8065F" w:rsidRDefault="0080478F" w:rsidP="00BA1432">
            <w:pPr>
              <w:rPr>
                <w:sz w:val="20"/>
                <w:szCs w:val="20"/>
              </w:rPr>
            </w:pPr>
          </w:p>
        </w:tc>
        <w:tc>
          <w:tcPr>
            <w:tcW w:w="3685" w:type="dxa"/>
            <w:tcBorders>
              <w:top w:val="single" w:sz="4" w:space="0" w:color="auto"/>
              <w:bottom w:val="single" w:sz="4" w:space="0" w:color="auto"/>
              <w:right w:val="single" w:sz="4" w:space="0" w:color="auto"/>
            </w:tcBorders>
            <w:shd w:val="clear" w:color="auto" w:fill="auto"/>
          </w:tcPr>
          <w:p w:rsidR="0080478F" w:rsidRPr="00E8065F" w:rsidRDefault="0080478F" w:rsidP="00D5127A">
            <w:pPr>
              <w:jc w:val="both"/>
              <w:rPr>
                <w:color w:val="000000"/>
                <w:sz w:val="20"/>
                <w:szCs w:val="20"/>
              </w:rPr>
            </w:pPr>
            <w:r>
              <w:rPr>
                <w:color w:val="000000"/>
                <w:sz w:val="20"/>
                <w:szCs w:val="20"/>
              </w:rPr>
              <w:t>ГАУЗ «Городская клиническая больница № 7 им.М.Н.Садыкова» г. Казани</w:t>
            </w:r>
          </w:p>
        </w:tc>
        <w:tc>
          <w:tcPr>
            <w:tcW w:w="1994" w:type="dxa"/>
            <w:tcBorders>
              <w:top w:val="single" w:sz="4" w:space="0" w:color="auto"/>
              <w:left w:val="single" w:sz="4" w:space="0" w:color="auto"/>
              <w:bottom w:val="single" w:sz="4" w:space="0" w:color="auto"/>
              <w:right w:val="single" w:sz="4" w:space="0" w:color="auto"/>
            </w:tcBorders>
            <w:shd w:val="clear" w:color="auto" w:fill="auto"/>
          </w:tcPr>
          <w:p w:rsidR="0080478F" w:rsidRPr="00E8065F" w:rsidRDefault="0080478F" w:rsidP="00BA1432">
            <w:pPr>
              <w:jc w:val="center"/>
              <w:rPr>
                <w:color w:val="000000"/>
                <w:sz w:val="20"/>
                <w:szCs w:val="20"/>
              </w:rPr>
            </w:pPr>
            <w:r w:rsidRPr="00E8065F">
              <w:rPr>
                <w:color w:val="000000"/>
                <w:sz w:val="20"/>
                <w:szCs w:val="20"/>
              </w:rPr>
              <w:t>Компьютерный томограф</w:t>
            </w:r>
          </w:p>
        </w:tc>
        <w:tc>
          <w:tcPr>
            <w:tcW w:w="1181" w:type="dxa"/>
            <w:tcBorders>
              <w:top w:val="single" w:sz="4" w:space="0" w:color="auto"/>
              <w:left w:val="single" w:sz="4" w:space="0" w:color="auto"/>
              <w:bottom w:val="single" w:sz="4" w:space="0" w:color="auto"/>
              <w:right w:val="single" w:sz="4" w:space="0" w:color="auto"/>
            </w:tcBorders>
            <w:shd w:val="clear" w:color="auto" w:fill="auto"/>
          </w:tcPr>
          <w:p w:rsidR="0080478F" w:rsidRPr="00E8065F" w:rsidRDefault="0080478F" w:rsidP="000546C2">
            <w:pPr>
              <w:jc w:val="center"/>
              <w:rPr>
                <w:sz w:val="20"/>
                <w:szCs w:val="20"/>
              </w:rPr>
            </w:pPr>
            <w:r w:rsidRPr="00E8065F">
              <w:rPr>
                <w:sz w:val="20"/>
                <w:szCs w:val="20"/>
              </w:rPr>
              <w:t>2013</w:t>
            </w:r>
            <w:r w:rsidR="003D79B3">
              <w:rPr>
                <w:sz w:val="20"/>
                <w:szCs w:val="20"/>
              </w:rPr>
              <w:t xml:space="preserve"> </w:t>
            </w:r>
            <w:r w:rsidR="00417E61">
              <w:rPr>
                <w:sz w:val="20"/>
                <w:szCs w:val="20"/>
              </w:rPr>
              <w:t>(1)</w:t>
            </w:r>
          </w:p>
          <w:p w:rsidR="0080478F" w:rsidRPr="00E8065F" w:rsidRDefault="0080478F" w:rsidP="000546C2">
            <w:pPr>
              <w:jc w:val="center"/>
              <w:rPr>
                <w:sz w:val="20"/>
                <w:szCs w:val="20"/>
              </w:rPr>
            </w:pPr>
            <w:r w:rsidRPr="00E8065F">
              <w:rPr>
                <w:sz w:val="20"/>
                <w:szCs w:val="20"/>
              </w:rPr>
              <w:t>2020</w:t>
            </w:r>
            <w:r w:rsidR="003D79B3">
              <w:rPr>
                <w:sz w:val="20"/>
                <w:szCs w:val="20"/>
              </w:rPr>
              <w:t xml:space="preserve"> </w:t>
            </w:r>
            <w:r w:rsidR="00417E61">
              <w:rPr>
                <w:sz w:val="20"/>
                <w:szCs w:val="20"/>
              </w:rPr>
              <w:t>(1)</w:t>
            </w:r>
          </w:p>
          <w:p w:rsidR="0080478F" w:rsidRPr="00E8065F" w:rsidRDefault="0080478F" w:rsidP="000546C2">
            <w:pPr>
              <w:jc w:val="center"/>
              <w:rPr>
                <w:sz w:val="20"/>
                <w:szCs w:val="20"/>
              </w:rPr>
            </w:pPr>
            <w:r w:rsidRPr="00E8065F">
              <w:rPr>
                <w:sz w:val="20"/>
                <w:szCs w:val="20"/>
              </w:rPr>
              <w:t>2021</w:t>
            </w:r>
            <w:r w:rsidR="003D79B3">
              <w:rPr>
                <w:sz w:val="20"/>
                <w:szCs w:val="20"/>
              </w:rPr>
              <w:t xml:space="preserve"> </w:t>
            </w:r>
            <w:r w:rsidR="00417E61">
              <w:rPr>
                <w:sz w:val="20"/>
                <w:szCs w:val="20"/>
              </w:rPr>
              <w:t>(1)</w:t>
            </w:r>
          </w:p>
          <w:p w:rsidR="0080478F" w:rsidRPr="00306B4C" w:rsidRDefault="0080478F" w:rsidP="000546C2">
            <w:pPr>
              <w:jc w:val="center"/>
              <w:rPr>
                <w:sz w:val="20"/>
                <w:szCs w:val="20"/>
              </w:rPr>
            </w:pPr>
            <w:r w:rsidRPr="00E8065F">
              <w:rPr>
                <w:sz w:val="20"/>
                <w:szCs w:val="20"/>
              </w:rPr>
              <w:t>2023</w:t>
            </w:r>
            <w:r w:rsidR="003D79B3">
              <w:rPr>
                <w:sz w:val="20"/>
                <w:szCs w:val="20"/>
              </w:rPr>
              <w:t xml:space="preserve"> </w:t>
            </w:r>
            <w:r w:rsidR="00417E61">
              <w:rPr>
                <w:sz w:val="20"/>
                <w:szCs w:val="20"/>
              </w:rPr>
              <w:t>(2)</w:t>
            </w:r>
          </w:p>
        </w:tc>
        <w:tc>
          <w:tcPr>
            <w:tcW w:w="1181" w:type="dxa"/>
            <w:tcBorders>
              <w:top w:val="single" w:sz="4" w:space="0" w:color="auto"/>
              <w:left w:val="single" w:sz="4" w:space="0" w:color="auto"/>
              <w:bottom w:val="single" w:sz="4" w:space="0" w:color="auto"/>
              <w:right w:val="single" w:sz="4" w:space="0" w:color="auto"/>
            </w:tcBorders>
            <w:shd w:val="clear" w:color="auto" w:fill="auto"/>
          </w:tcPr>
          <w:p w:rsidR="0080478F" w:rsidRPr="00E8065F" w:rsidRDefault="0080478F" w:rsidP="000546C2">
            <w:pPr>
              <w:jc w:val="center"/>
              <w:rPr>
                <w:color w:val="000000"/>
                <w:sz w:val="20"/>
                <w:szCs w:val="20"/>
              </w:rPr>
            </w:pPr>
            <w:r w:rsidRPr="00E8065F">
              <w:rPr>
                <w:color w:val="000000"/>
                <w:sz w:val="20"/>
                <w:szCs w:val="20"/>
              </w:rPr>
              <w:t>5</w:t>
            </w:r>
          </w:p>
        </w:tc>
        <w:tc>
          <w:tcPr>
            <w:tcW w:w="1478" w:type="dxa"/>
            <w:tcBorders>
              <w:top w:val="single" w:sz="4" w:space="0" w:color="auto"/>
              <w:left w:val="single" w:sz="4" w:space="0" w:color="auto"/>
              <w:bottom w:val="single" w:sz="4" w:space="0" w:color="auto"/>
              <w:right w:val="single" w:sz="4" w:space="0" w:color="auto"/>
            </w:tcBorders>
            <w:shd w:val="clear" w:color="auto" w:fill="auto"/>
          </w:tcPr>
          <w:p w:rsidR="0080478F" w:rsidRPr="00E8065F" w:rsidRDefault="0080478F" w:rsidP="000546C2">
            <w:pPr>
              <w:jc w:val="center"/>
              <w:rPr>
                <w:color w:val="000000"/>
                <w:sz w:val="20"/>
                <w:szCs w:val="20"/>
              </w:rPr>
            </w:pPr>
            <w:r w:rsidRPr="00E8065F">
              <w:rPr>
                <w:color w:val="000000"/>
                <w:sz w:val="20"/>
                <w:szCs w:val="20"/>
              </w:rPr>
              <w:t>188</w:t>
            </w:r>
          </w:p>
        </w:tc>
        <w:tc>
          <w:tcPr>
            <w:tcW w:w="1111" w:type="dxa"/>
            <w:tcBorders>
              <w:top w:val="single" w:sz="4" w:space="0" w:color="auto"/>
              <w:left w:val="single" w:sz="4" w:space="0" w:color="auto"/>
              <w:bottom w:val="single" w:sz="4" w:space="0" w:color="auto"/>
              <w:right w:val="single" w:sz="4" w:space="0" w:color="auto"/>
            </w:tcBorders>
            <w:shd w:val="clear" w:color="auto" w:fill="auto"/>
          </w:tcPr>
          <w:p w:rsidR="0080478F" w:rsidRPr="00E8065F" w:rsidRDefault="0080478F" w:rsidP="000546C2">
            <w:pPr>
              <w:jc w:val="center"/>
              <w:rPr>
                <w:color w:val="000000"/>
                <w:sz w:val="20"/>
                <w:szCs w:val="20"/>
              </w:rPr>
            </w:pPr>
            <w:r w:rsidRPr="00E8065F">
              <w:rPr>
                <w:color w:val="000000"/>
                <w:sz w:val="20"/>
                <w:szCs w:val="20"/>
              </w:rPr>
              <w:t>2</w:t>
            </w:r>
          </w:p>
        </w:tc>
        <w:tc>
          <w:tcPr>
            <w:tcW w:w="1944" w:type="dxa"/>
            <w:tcBorders>
              <w:top w:val="single" w:sz="4" w:space="0" w:color="auto"/>
              <w:left w:val="single" w:sz="4" w:space="0" w:color="auto"/>
              <w:bottom w:val="single" w:sz="4" w:space="0" w:color="auto"/>
              <w:right w:val="single" w:sz="4" w:space="0" w:color="auto"/>
            </w:tcBorders>
            <w:shd w:val="clear" w:color="auto" w:fill="auto"/>
          </w:tcPr>
          <w:p w:rsidR="0080478F" w:rsidRPr="00E8065F" w:rsidRDefault="0080478F" w:rsidP="00BA1432">
            <w:pPr>
              <w:jc w:val="center"/>
              <w:rPr>
                <w:color w:val="000000"/>
                <w:sz w:val="20"/>
                <w:szCs w:val="20"/>
              </w:rPr>
            </w:pPr>
            <w:r w:rsidRPr="00E8065F">
              <w:rPr>
                <w:color w:val="000000"/>
                <w:sz w:val="20"/>
                <w:szCs w:val="20"/>
              </w:rPr>
              <w:t>Стационарное</w:t>
            </w:r>
          </w:p>
        </w:tc>
      </w:tr>
      <w:tr w:rsidR="0080478F" w:rsidRPr="00E8065F" w:rsidTr="00CD3A6F">
        <w:trPr>
          <w:trHeight w:val="20"/>
        </w:trPr>
        <w:tc>
          <w:tcPr>
            <w:tcW w:w="1555" w:type="dxa"/>
            <w:vMerge/>
          </w:tcPr>
          <w:p w:rsidR="0080478F" w:rsidRPr="00E8065F" w:rsidRDefault="0080478F" w:rsidP="00BA1432">
            <w:pPr>
              <w:rPr>
                <w:sz w:val="20"/>
                <w:szCs w:val="20"/>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80478F" w:rsidRPr="00E8065F" w:rsidRDefault="0080478F" w:rsidP="005126B4">
            <w:pPr>
              <w:jc w:val="both"/>
              <w:rPr>
                <w:color w:val="000000"/>
                <w:sz w:val="20"/>
                <w:szCs w:val="20"/>
              </w:rPr>
            </w:pPr>
            <w:r>
              <w:rPr>
                <w:color w:val="000000"/>
                <w:sz w:val="20"/>
                <w:szCs w:val="20"/>
              </w:rPr>
              <w:t xml:space="preserve">ГАУЗ </w:t>
            </w:r>
            <w:r>
              <w:rPr>
                <w:rFonts w:eastAsia="Calibri"/>
                <w:sz w:val="20"/>
                <w:szCs w:val="20"/>
              </w:rPr>
              <w:t>Республики Татарстан «Больница скорой медицинской помощи</w:t>
            </w:r>
            <w:r w:rsidR="005126B4">
              <w:rPr>
                <w:rFonts w:eastAsia="Calibri"/>
                <w:sz w:val="20"/>
                <w:szCs w:val="20"/>
              </w:rPr>
              <w:t xml:space="preserve"> им. Р.С.Акчурина»</w:t>
            </w:r>
            <w:r>
              <w:rPr>
                <w:rFonts w:eastAsia="Calibri"/>
                <w:sz w:val="20"/>
                <w:szCs w:val="20"/>
              </w:rPr>
              <w:t xml:space="preserve"> </w:t>
            </w:r>
            <w:r>
              <w:rPr>
                <w:sz w:val="20"/>
                <w:szCs w:val="20"/>
              </w:rPr>
              <w:t>г.Набережные Челны</w:t>
            </w:r>
          </w:p>
        </w:tc>
        <w:tc>
          <w:tcPr>
            <w:tcW w:w="1994" w:type="dxa"/>
            <w:tcBorders>
              <w:top w:val="single" w:sz="4" w:space="0" w:color="auto"/>
              <w:left w:val="single" w:sz="4" w:space="0" w:color="auto"/>
              <w:bottom w:val="single" w:sz="4" w:space="0" w:color="auto"/>
              <w:right w:val="single" w:sz="4" w:space="0" w:color="auto"/>
            </w:tcBorders>
            <w:shd w:val="clear" w:color="auto" w:fill="auto"/>
          </w:tcPr>
          <w:p w:rsidR="0080478F" w:rsidRPr="00E8065F" w:rsidRDefault="0080478F" w:rsidP="00BA1432">
            <w:pPr>
              <w:jc w:val="center"/>
              <w:rPr>
                <w:color w:val="000000"/>
                <w:sz w:val="20"/>
                <w:szCs w:val="20"/>
              </w:rPr>
            </w:pPr>
            <w:r w:rsidRPr="00E8065F">
              <w:rPr>
                <w:color w:val="000000"/>
                <w:sz w:val="20"/>
                <w:szCs w:val="20"/>
              </w:rPr>
              <w:t>Компьютерный томограф</w:t>
            </w:r>
          </w:p>
        </w:tc>
        <w:tc>
          <w:tcPr>
            <w:tcW w:w="1181" w:type="dxa"/>
            <w:tcBorders>
              <w:top w:val="single" w:sz="4" w:space="0" w:color="auto"/>
            </w:tcBorders>
            <w:shd w:val="clear" w:color="auto" w:fill="auto"/>
          </w:tcPr>
          <w:p w:rsidR="0080478F" w:rsidRPr="00E8065F" w:rsidRDefault="0080478F" w:rsidP="000546C2">
            <w:pPr>
              <w:jc w:val="center"/>
              <w:rPr>
                <w:sz w:val="20"/>
                <w:szCs w:val="20"/>
              </w:rPr>
            </w:pPr>
            <w:r w:rsidRPr="00E8065F">
              <w:rPr>
                <w:sz w:val="20"/>
                <w:szCs w:val="20"/>
              </w:rPr>
              <w:t>2021</w:t>
            </w:r>
            <w:r w:rsidR="003D79B3">
              <w:rPr>
                <w:sz w:val="20"/>
                <w:szCs w:val="20"/>
              </w:rPr>
              <w:t xml:space="preserve"> </w:t>
            </w:r>
            <w:r w:rsidR="00417E61">
              <w:rPr>
                <w:sz w:val="20"/>
                <w:szCs w:val="20"/>
              </w:rPr>
              <w:t>(2)</w:t>
            </w:r>
          </w:p>
        </w:tc>
        <w:tc>
          <w:tcPr>
            <w:tcW w:w="1181" w:type="dxa"/>
            <w:tcBorders>
              <w:top w:val="single" w:sz="4" w:space="0" w:color="auto"/>
              <w:left w:val="single" w:sz="4" w:space="0" w:color="auto"/>
              <w:bottom w:val="single" w:sz="4" w:space="0" w:color="auto"/>
              <w:right w:val="single" w:sz="4" w:space="0" w:color="auto"/>
            </w:tcBorders>
            <w:shd w:val="clear" w:color="auto" w:fill="auto"/>
          </w:tcPr>
          <w:p w:rsidR="0080478F" w:rsidRPr="00E8065F" w:rsidRDefault="0080478F" w:rsidP="000546C2">
            <w:pPr>
              <w:jc w:val="center"/>
              <w:rPr>
                <w:color w:val="000000"/>
                <w:sz w:val="20"/>
                <w:szCs w:val="20"/>
              </w:rPr>
            </w:pPr>
            <w:r w:rsidRPr="00E8065F">
              <w:rPr>
                <w:color w:val="000000"/>
                <w:sz w:val="20"/>
                <w:szCs w:val="20"/>
              </w:rPr>
              <w:t>2</w:t>
            </w:r>
          </w:p>
        </w:tc>
        <w:tc>
          <w:tcPr>
            <w:tcW w:w="1478" w:type="dxa"/>
            <w:tcBorders>
              <w:top w:val="single" w:sz="4" w:space="0" w:color="auto"/>
              <w:left w:val="single" w:sz="4" w:space="0" w:color="auto"/>
              <w:bottom w:val="single" w:sz="4" w:space="0" w:color="auto"/>
              <w:right w:val="single" w:sz="4" w:space="0" w:color="auto"/>
            </w:tcBorders>
            <w:shd w:val="clear" w:color="auto" w:fill="auto"/>
          </w:tcPr>
          <w:p w:rsidR="0080478F" w:rsidRPr="00E8065F" w:rsidRDefault="0080478F" w:rsidP="000546C2">
            <w:pPr>
              <w:jc w:val="center"/>
              <w:rPr>
                <w:color w:val="000000"/>
                <w:sz w:val="20"/>
                <w:szCs w:val="20"/>
              </w:rPr>
            </w:pPr>
            <w:r w:rsidRPr="00E8065F">
              <w:rPr>
                <w:color w:val="000000"/>
                <w:sz w:val="20"/>
                <w:szCs w:val="20"/>
              </w:rPr>
              <w:t>62</w:t>
            </w:r>
          </w:p>
        </w:tc>
        <w:tc>
          <w:tcPr>
            <w:tcW w:w="1111" w:type="dxa"/>
            <w:tcBorders>
              <w:top w:val="single" w:sz="4" w:space="0" w:color="auto"/>
              <w:left w:val="single" w:sz="4" w:space="0" w:color="auto"/>
              <w:bottom w:val="single" w:sz="4" w:space="0" w:color="auto"/>
              <w:right w:val="single" w:sz="4" w:space="0" w:color="auto"/>
            </w:tcBorders>
            <w:shd w:val="clear" w:color="auto" w:fill="auto"/>
          </w:tcPr>
          <w:p w:rsidR="0080478F" w:rsidRPr="00E8065F" w:rsidRDefault="0080478F" w:rsidP="000546C2">
            <w:pPr>
              <w:jc w:val="center"/>
              <w:rPr>
                <w:color w:val="000000"/>
                <w:sz w:val="20"/>
                <w:szCs w:val="20"/>
              </w:rPr>
            </w:pPr>
            <w:r w:rsidRPr="00E8065F">
              <w:rPr>
                <w:color w:val="000000"/>
                <w:sz w:val="20"/>
                <w:szCs w:val="20"/>
              </w:rPr>
              <w:t>2</w:t>
            </w:r>
          </w:p>
        </w:tc>
        <w:tc>
          <w:tcPr>
            <w:tcW w:w="1944" w:type="dxa"/>
            <w:tcBorders>
              <w:top w:val="single" w:sz="4" w:space="0" w:color="auto"/>
              <w:left w:val="single" w:sz="4" w:space="0" w:color="auto"/>
              <w:bottom w:val="single" w:sz="4" w:space="0" w:color="auto"/>
              <w:right w:val="single" w:sz="4" w:space="0" w:color="auto"/>
            </w:tcBorders>
            <w:shd w:val="clear" w:color="auto" w:fill="auto"/>
          </w:tcPr>
          <w:p w:rsidR="0080478F" w:rsidRPr="00E8065F" w:rsidRDefault="0080478F" w:rsidP="00BA1432">
            <w:pPr>
              <w:jc w:val="center"/>
              <w:rPr>
                <w:color w:val="000000"/>
                <w:sz w:val="20"/>
                <w:szCs w:val="20"/>
              </w:rPr>
            </w:pPr>
            <w:r w:rsidRPr="00E8065F">
              <w:rPr>
                <w:color w:val="000000"/>
                <w:sz w:val="20"/>
                <w:szCs w:val="20"/>
              </w:rPr>
              <w:t>Стационарное</w:t>
            </w:r>
          </w:p>
        </w:tc>
      </w:tr>
      <w:tr w:rsidR="0080478F" w:rsidRPr="00E8065F" w:rsidTr="000546C2">
        <w:trPr>
          <w:trHeight w:val="20"/>
        </w:trPr>
        <w:tc>
          <w:tcPr>
            <w:tcW w:w="1555" w:type="dxa"/>
            <w:vMerge/>
          </w:tcPr>
          <w:p w:rsidR="0080478F" w:rsidRPr="00E8065F" w:rsidRDefault="0080478F" w:rsidP="00BA1432">
            <w:pPr>
              <w:rPr>
                <w:sz w:val="20"/>
                <w:szCs w:val="20"/>
              </w:rPr>
            </w:pPr>
          </w:p>
        </w:tc>
        <w:tc>
          <w:tcPr>
            <w:tcW w:w="3685" w:type="dxa"/>
            <w:tcBorders>
              <w:top w:val="nil"/>
              <w:left w:val="single" w:sz="4" w:space="0" w:color="auto"/>
              <w:bottom w:val="single" w:sz="4" w:space="0" w:color="auto"/>
              <w:right w:val="single" w:sz="4" w:space="0" w:color="auto"/>
            </w:tcBorders>
            <w:shd w:val="clear" w:color="auto" w:fill="auto"/>
          </w:tcPr>
          <w:p w:rsidR="0080478F" w:rsidRPr="00E8065F" w:rsidRDefault="0080478F" w:rsidP="00D5127A">
            <w:pPr>
              <w:jc w:val="both"/>
              <w:rPr>
                <w:color w:val="000000"/>
                <w:sz w:val="20"/>
                <w:szCs w:val="20"/>
              </w:rPr>
            </w:pPr>
            <w:r w:rsidRPr="00E8065F">
              <w:rPr>
                <w:color w:val="000000"/>
                <w:sz w:val="20"/>
                <w:szCs w:val="20"/>
              </w:rPr>
              <w:t xml:space="preserve">ГАУЗ </w:t>
            </w:r>
            <w:r>
              <w:rPr>
                <w:color w:val="000000"/>
                <w:sz w:val="20"/>
                <w:szCs w:val="20"/>
              </w:rPr>
              <w:t>«</w:t>
            </w:r>
            <w:r w:rsidRPr="00E8065F">
              <w:rPr>
                <w:color w:val="000000"/>
                <w:sz w:val="20"/>
                <w:szCs w:val="20"/>
              </w:rPr>
              <w:t>Госпиталь для ветеранов во</w:t>
            </w:r>
            <w:r>
              <w:rPr>
                <w:color w:val="000000"/>
                <w:sz w:val="20"/>
                <w:szCs w:val="20"/>
              </w:rPr>
              <w:t>й</w:t>
            </w:r>
            <w:r w:rsidRPr="00E8065F">
              <w:rPr>
                <w:color w:val="000000"/>
                <w:sz w:val="20"/>
                <w:szCs w:val="20"/>
              </w:rPr>
              <w:t>н</w:t>
            </w:r>
            <w:r>
              <w:rPr>
                <w:color w:val="000000"/>
                <w:sz w:val="20"/>
                <w:szCs w:val="20"/>
              </w:rPr>
              <w:t>» г.Казани</w:t>
            </w:r>
          </w:p>
        </w:tc>
        <w:tc>
          <w:tcPr>
            <w:tcW w:w="1994" w:type="dxa"/>
            <w:tcBorders>
              <w:top w:val="nil"/>
              <w:left w:val="single" w:sz="4" w:space="0" w:color="auto"/>
              <w:bottom w:val="single" w:sz="4" w:space="0" w:color="auto"/>
              <w:right w:val="single" w:sz="4" w:space="0" w:color="auto"/>
            </w:tcBorders>
            <w:shd w:val="clear" w:color="auto" w:fill="auto"/>
          </w:tcPr>
          <w:p w:rsidR="0080478F" w:rsidRPr="00E8065F" w:rsidRDefault="0080478F" w:rsidP="00BA1432">
            <w:pPr>
              <w:jc w:val="center"/>
              <w:rPr>
                <w:color w:val="000000"/>
                <w:sz w:val="20"/>
                <w:szCs w:val="20"/>
              </w:rPr>
            </w:pPr>
            <w:r w:rsidRPr="00E8065F">
              <w:rPr>
                <w:color w:val="000000"/>
                <w:sz w:val="20"/>
                <w:szCs w:val="20"/>
              </w:rPr>
              <w:t>Компьютерный томограф</w:t>
            </w:r>
          </w:p>
        </w:tc>
        <w:tc>
          <w:tcPr>
            <w:tcW w:w="1181" w:type="dxa"/>
            <w:shd w:val="clear" w:color="auto" w:fill="auto"/>
          </w:tcPr>
          <w:p w:rsidR="0080478F" w:rsidRPr="00E8065F" w:rsidRDefault="0080478F" w:rsidP="000546C2">
            <w:pPr>
              <w:jc w:val="center"/>
              <w:rPr>
                <w:sz w:val="20"/>
                <w:szCs w:val="20"/>
              </w:rPr>
            </w:pPr>
            <w:r w:rsidRPr="00E8065F">
              <w:rPr>
                <w:sz w:val="20"/>
                <w:szCs w:val="20"/>
              </w:rPr>
              <w:t>2022</w:t>
            </w:r>
          </w:p>
        </w:tc>
        <w:tc>
          <w:tcPr>
            <w:tcW w:w="1181" w:type="dxa"/>
            <w:tcBorders>
              <w:top w:val="nil"/>
              <w:left w:val="single" w:sz="4" w:space="0" w:color="auto"/>
              <w:bottom w:val="single" w:sz="4" w:space="0" w:color="auto"/>
              <w:right w:val="single" w:sz="4" w:space="0" w:color="auto"/>
            </w:tcBorders>
            <w:shd w:val="clear" w:color="auto" w:fill="auto"/>
          </w:tcPr>
          <w:p w:rsidR="0080478F" w:rsidRPr="00E8065F" w:rsidRDefault="0080478F" w:rsidP="000546C2">
            <w:pPr>
              <w:jc w:val="center"/>
              <w:rPr>
                <w:color w:val="000000"/>
                <w:sz w:val="20"/>
                <w:szCs w:val="20"/>
              </w:rPr>
            </w:pPr>
            <w:r w:rsidRPr="00E8065F">
              <w:rPr>
                <w:color w:val="000000"/>
                <w:sz w:val="20"/>
                <w:szCs w:val="20"/>
              </w:rPr>
              <w:t>1</w:t>
            </w:r>
          </w:p>
        </w:tc>
        <w:tc>
          <w:tcPr>
            <w:tcW w:w="1478" w:type="dxa"/>
            <w:tcBorders>
              <w:top w:val="nil"/>
              <w:left w:val="single" w:sz="4" w:space="0" w:color="auto"/>
              <w:bottom w:val="single" w:sz="4" w:space="0" w:color="auto"/>
              <w:right w:val="single" w:sz="4" w:space="0" w:color="auto"/>
            </w:tcBorders>
            <w:shd w:val="clear" w:color="auto" w:fill="auto"/>
          </w:tcPr>
          <w:p w:rsidR="0080478F" w:rsidRPr="00E8065F" w:rsidRDefault="0080478F" w:rsidP="000546C2">
            <w:pPr>
              <w:jc w:val="center"/>
              <w:rPr>
                <w:color w:val="000000"/>
                <w:sz w:val="20"/>
                <w:szCs w:val="20"/>
              </w:rPr>
            </w:pPr>
            <w:r w:rsidRPr="00E8065F">
              <w:rPr>
                <w:color w:val="000000"/>
                <w:sz w:val="20"/>
                <w:szCs w:val="20"/>
              </w:rPr>
              <w:t>13</w:t>
            </w:r>
          </w:p>
        </w:tc>
        <w:tc>
          <w:tcPr>
            <w:tcW w:w="1111" w:type="dxa"/>
            <w:tcBorders>
              <w:top w:val="nil"/>
              <w:left w:val="single" w:sz="4" w:space="0" w:color="auto"/>
              <w:bottom w:val="single" w:sz="4" w:space="0" w:color="auto"/>
              <w:right w:val="single" w:sz="4" w:space="0" w:color="auto"/>
            </w:tcBorders>
            <w:shd w:val="clear" w:color="auto" w:fill="auto"/>
          </w:tcPr>
          <w:p w:rsidR="0080478F" w:rsidRPr="00E8065F" w:rsidRDefault="0080478F" w:rsidP="000546C2">
            <w:pPr>
              <w:jc w:val="center"/>
              <w:rPr>
                <w:color w:val="000000"/>
                <w:sz w:val="20"/>
                <w:szCs w:val="20"/>
              </w:rPr>
            </w:pPr>
            <w:r w:rsidRPr="00E8065F">
              <w:rPr>
                <w:color w:val="000000"/>
                <w:sz w:val="20"/>
                <w:szCs w:val="20"/>
              </w:rPr>
              <w:t>2</w:t>
            </w:r>
          </w:p>
        </w:tc>
        <w:tc>
          <w:tcPr>
            <w:tcW w:w="1944" w:type="dxa"/>
            <w:tcBorders>
              <w:top w:val="nil"/>
              <w:left w:val="single" w:sz="4" w:space="0" w:color="auto"/>
              <w:bottom w:val="single" w:sz="4" w:space="0" w:color="auto"/>
              <w:right w:val="single" w:sz="4" w:space="0" w:color="auto"/>
            </w:tcBorders>
            <w:shd w:val="clear" w:color="auto" w:fill="auto"/>
          </w:tcPr>
          <w:p w:rsidR="0080478F" w:rsidRPr="00E8065F" w:rsidRDefault="0080478F" w:rsidP="00BA1432">
            <w:pPr>
              <w:jc w:val="center"/>
              <w:rPr>
                <w:color w:val="000000"/>
                <w:sz w:val="20"/>
                <w:szCs w:val="20"/>
              </w:rPr>
            </w:pPr>
            <w:r w:rsidRPr="00E8065F">
              <w:rPr>
                <w:color w:val="000000"/>
                <w:sz w:val="20"/>
                <w:szCs w:val="20"/>
              </w:rPr>
              <w:t>Стационарное</w:t>
            </w:r>
          </w:p>
        </w:tc>
      </w:tr>
      <w:tr w:rsidR="0080478F" w:rsidRPr="00E8065F" w:rsidTr="00CD3A6F">
        <w:trPr>
          <w:trHeight w:val="20"/>
        </w:trPr>
        <w:tc>
          <w:tcPr>
            <w:tcW w:w="1555" w:type="dxa"/>
            <w:vMerge/>
          </w:tcPr>
          <w:p w:rsidR="0080478F" w:rsidRPr="00E8065F" w:rsidRDefault="0080478F" w:rsidP="00BA1432">
            <w:pPr>
              <w:rPr>
                <w:sz w:val="20"/>
                <w:szCs w:val="20"/>
              </w:rPr>
            </w:pPr>
          </w:p>
        </w:tc>
        <w:tc>
          <w:tcPr>
            <w:tcW w:w="3685" w:type="dxa"/>
            <w:tcBorders>
              <w:top w:val="nil"/>
              <w:left w:val="single" w:sz="4" w:space="0" w:color="auto"/>
              <w:bottom w:val="single" w:sz="4" w:space="0" w:color="auto"/>
              <w:right w:val="single" w:sz="4" w:space="0" w:color="auto"/>
            </w:tcBorders>
            <w:shd w:val="clear" w:color="auto" w:fill="auto"/>
          </w:tcPr>
          <w:p w:rsidR="0080478F" w:rsidRPr="00E8065F" w:rsidRDefault="0080478F" w:rsidP="00DC0475">
            <w:pPr>
              <w:jc w:val="both"/>
              <w:rPr>
                <w:color w:val="000000"/>
                <w:sz w:val="20"/>
                <w:szCs w:val="20"/>
              </w:rPr>
            </w:pPr>
            <w:r>
              <w:rPr>
                <w:color w:val="000000"/>
                <w:sz w:val="20"/>
                <w:szCs w:val="20"/>
              </w:rPr>
              <w:t xml:space="preserve">ГАУЗ </w:t>
            </w:r>
            <w:r>
              <w:rPr>
                <w:rFonts w:eastAsia="Calibri"/>
                <w:sz w:val="20"/>
                <w:szCs w:val="20"/>
              </w:rPr>
              <w:t>«Детская республиканская клиническая больница Министерства здравоохранения Республики Татарстан»</w:t>
            </w:r>
          </w:p>
        </w:tc>
        <w:tc>
          <w:tcPr>
            <w:tcW w:w="1994" w:type="dxa"/>
            <w:tcBorders>
              <w:top w:val="nil"/>
              <w:left w:val="single" w:sz="4" w:space="0" w:color="auto"/>
              <w:bottom w:val="single" w:sz="4" w:space="0" w:color="auto"/>
              <w:right w:val="single" w:sz="4" w:space="0" w:color="auto"/>
            </w:tcBorders>
            <w:shd w:val="clear" w:color="auto" w:fill="auto"/>
          </w:tcPr>
          <w:p w:rsidR="0080478F" w:rsidRPr="00E8065F" w:rsidRDefault="0080478F" w:rsidP="00BA1432">
            <w:pPr>
              <w:jc w:val="center"/>
              <w:rPr>
                <w:color w:val="000000"/>
                <w:sz w:val="20"/>
                <w:szCs w:val="20"/>
              </w:rPr>
            </w:pPr>
            <w:r w:rsidRPr="00E8065F">
              <w:rPr>
                <w:color w:val="000000"/>
                <w:sz w:val="20"/>
                <w:szCs w:val="20"/>
              </w:rPr>
              <w:t>Компьютерный томограф</w:t>
            </w:r>
          </w:p>
        </w:tc>
        <w:tc>
          <w:tcPr>
            <w:tcW w:w="1181" w:type="dxa"/>
            <w:tcBorders>
              <w:bottom w:val="single" w:sz="4" w:space="0" w:color="auto"/>
            </w:tcBorders>
            <w:shd w:val="clear" w:color="auto" w:fill="auto"/>
          </w:tcPr>
          <w:p w:rsidR="0080478F" w:rsidRPr="00E8065F" w:rsidRDefault="0080478F" w:rsidP="000546C2">
            <w:pPr>
              <w:jc w:val="center"/>
              <w:rPr>
                <w:sz w:val="20"/>
                <w:szCs w:val="20"/>
              </w:rPr>
            </w:pPr>
            <w:r w:rsidRPr="00E8065F">
              <w:rPr>
                <w:sz w:val="20"/>
                <w:szCs w:val="20"/>
              </w:rPr>
              <w:t>2012</w:t>
            </w:r>
            <w:r w:rsidR="003D79B3">
              <w:rPr>
                <w:sz w:val="20"/>
                <w:szCs w:val="20"/>
              </w:rPr>
              <w:t xml:space="preserve"> </w:t>
            </w:r>
            <w:r w:rsidR="00417E61">
              <w:rPr>
                <w:sz w:val="20"/>
                <w:szCs w:val="20"/>
              </w:rPr>
              <w:t>(1)</w:t>
            </w:r>
          </w:p>
          <w:p w:rsidR="0080478F" w:rsidRPr="00E8065F" w:rsidRDefault="0080478F" w:rsidP="000546C2">
            <w:pPr>
              <w:jc w:val="center"/>
              <w:rPr>
                <w:sz w:val="20"/>
                <w:szCs w:val="20"/>
              </w:rPr>
            </w:pPr>
            <w:r w:rsidRPr="00E8065F">
              <w:rPr>
                <w:sz w:val="20"/>
                <w:szCs w:val="20"/>
              </w:rPr>
              <w:t>2019</w:t>
            </w:r>
            <w:r w:rsidR="003D79B3">
              <w:rPr>
                <w:sz w:val="20"/>
                <w:szCs w:val="20"/>
              </w:rPr>
              <w:t xml:space="preserve"> </w:t>
            </w:r>
            <w:r w:rsidR="00417E61">
              <w:rPr>
                <w:sz w:val="20"/>
                <w:szCs w:val="20"/>
              </w:rPr>
              <w:t>(1)</w:t>
            </w:r>
          </w:p>
          <w:p w:rsidR="0080478F" w:rsidRPr="00E8065F" w:rsidRDefault="0080478F" w:rsidP="000546C2">
            <w:pPr>
              <w:jc w:val="center"/>
              <w:rPr>
                <w:sz w:val="20"/>
                <w:szCs w:val="20"/>
              </w:rPr>
            </w:pPr>
            <w:r w:rsidRPr="00E8065F">
              <w:rPr>
                <w:sz w:val="20"/>
                <w:szCs w:val="20"/>
              </w:rPr>
              <w:t>2021</w:t>
            </w:r>
            <w:r w:rsidR="003D79B3">
              <w:rPr>
                <w:sz w:val="20"/>
                <w:szCs w:val="20"/>
              </w:rPr>
              <w:t xml:space="preserve"> </w:t>
            </w:r>
            <w:r w:rsidR="00417E61">
              <w:rPr>
                <w:sz w:val="20"/>
                <w:szCs w:val="20"/>
              </w:rPr>
              <w:t>(1)</w:t>
            </w:r>
          </w:p>
        </w:tc>
        <w:tc>
          <w:tcPr>
            <w:tcW w:w="1181" w:type="dxa"/>
            <w:tcBorders>
              <w:top w:val="nil"/>
              <w:left w:val="single" w:sz="4" w:space="0" w:color="auto"/>
              <w:bottom w:val="single" w:sz="4" w:space="0" w:color="auto"/>
              <w:right w:val="single" w:sz="4" w:space="0" w:color="auto"/>
            </w:tcBorders>
            <w:shd w:val="clear" w:color="auto" w:fill="auto"/>
          </w:tcPr>
          <w:p w:rsidR="0080478F" w:rsidRPr="00E8065F" w:rsidRDefault="0080478F" w:rsidP="000546C2">
            <w:pPr>
              <w:jc w:val="center"/>
              <w:rPr>
                <w:color w:val="000000"/>
                <w:sz w:val="20"/>
                <w:szCs w:val="20"/>
              </w:rPr>
            </w:pPr>
            <w:r w:rsidRPr="00E8065F">
              <w:rPr>
                <w:color w:val="000000"/>
                <w:sz w:val="20"/>
                <w:szCs w:val="20"/>
              </w:rPr>
              <w:t>3</w:t>
            </w:r>
          </w:p>
        </w:tc>
        <w:tc>
          <w:tcPr>
            <w:tcW w:w="1478" w:type="dxa"/>
            <w:tcBorders>
              <w:top w:val="nil"/>
              <w:left w:val="single" w:sz="4" w:space="0" w:color="auto"/>
              <w:bottom w:val="single" w:sz="4" w:space="0" w:color="auto"/>
              <w:right w:val="single" w:sz="4" w:space="0" w:color="auto"/>
            </w:tcBorders>
            <w:shd w:val="clear" w:color="auto" w:fill="auto"/>
          </w:tcPr>
          <w:p w:rsidR="0080478F" w:rsidRPr="00E8065F" w:rsidRDefault="0080478F" w:rsidP="000546C2">
            <w:pPr>
              <w:jc w:val="center"/>
              <w:rPr>
                <w:color w:val="000000"/>
                <w:sz w:val="20"/>
                <w:szCs w:val="20"/>
              </w:rPr>
            </w:pPr>
            <w:r w:rsidRPr="00E8065F">
              <w:rPr>
                <w:color w:val="000000"/>
                <w:sz w:val="20"/>
                <w:szCs w:val="20"/>
              </w:rPr>
              <w:t>52</w:t>
            </w:r>
          </w:p>
        </w:tc>
        <w:tc>
          <w:tcPr>
            <w:tcW w:w="1111" w:type="dxa"/>
            <w:tcBorders>
              <w:top w:val="nil"/>
              <w:left w:val="single" w:sz="4" w:space="0" w:color="auto"/>
              <w:bottom w:val="single" w:sz="4" w:space="0" w:color="auto"/>
              <w:right w:val="single" w:sz="4" w:space="0" w:color="auto"/>
            </w:tcBorders>
            <w:shd w:val="clear" w:color="auto" w:fill="auto"/>
          </w:tcPr>
          <w:p w:rsidR="0080478F" w:rsidRPr="00E8065F" w:rsidRDefault="0080478F" w:rsidP="000546C2">
            <w:pPr>
              <w:jc w:val="center"/>
              <w:rPr>
                <w:color w:val="000000"/>
                <w:sz w:val="20"/>
                <w:szCs w:val="20"/>
              </w:rPr>
            </w:pPr>
            <w:r w:rsidRPr="00E8065F">
              <w:rPr>
                <w:color w:val="000000"/>
                <w:sz w:val="20"/>
                <w:szCs w:val="20"/>
              </w:rPr>
              <w:t>2</w:t>
            </w:r>
          </w:p>
        </w:tc>
        <w:tc>
          <w:tcPr>
            <w:tcW w:w="1944" w:type="dxa"/>
            <w:tcBorders>
              <w:top w:val="nil"/>
              <w:left w:val="single" w:sz="4" w:space="0" w:color="auto"/>
              <w:bottom w:val="single" w:sz="4" w:space="0" w:color="auto"/>
              <w:right w:val="single" w:sz="4" w:space="0" w:color="auto"/>
            </w:tcBorders>
            <w:shd w:val="clear" w:color="auto" w:fill="auto"/>
          </w:tcPr>
          <w:p w:rsidR="0080478F" w:rsidRPr="00E8065F" w:rsidRDefault="0080478F" w:rsidP="00BA1432">
            <w:pPr>
              <w:jc w:val="center"/>
              <w:rPr>
                <w:color w:val="000000"/>
                <w:sz w:val="20"/>
                <w:szCs w:val="20"/>
              </w:rPr>
            </w:pPr>
            <w:r w:rsidRPr="00E8065F">
              <w:rPr>
                <w:color w:val="000000"/>
                <w:sz w:val="20"/>
                <w:szCs w:val="20"/>
              </w:rPr>
              <w:t>Амбулаторное/стационарное</w:t>
            </w:r>
          </w:p>
        </w:tc>
      </w:tr>
      <w:tr w:rsidR="0080478F" w:rsidRPr="00E8065F" w:rsidTr="00CD3A6F">
        <w:trPr>
          <w:trHeight w:val="20"/>
        </w:trPr>
        <w:tc>
          <w:tcPr>
            <w:tcW w:w="1555" w:type="dxa"/>
            <w:vMerge/>
          </w:tcPr>
          <w:p w:rsidR="0080478F" w:rsidRPr="00E8065F" w:rsidRDefault="0080478F" w:rsidP="00BA1432">
            <w:pPr>
              <w:rPr>
                <w:sz w:val="20"/>
                <w:szCs w:val="20"/>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80478F" w:rsidRPr="00E8065F" w:rsidRDefault="0080478F" w:rsidP="00DC0475">
            <w:pPr>
              <w:jc w:val="both"/>
              <w:rPr>
                <w:color w:val="000000"/>
                <w:sz w:val="20"/>
                <w:szCs w:val="20"/>
              </w:rPr>
            </w:pPr>
            <w:r>
              <w:rPr>
                <w:color w:val="000000"/>
                <w:sz w:val="20"/>
                <w:szCs w:val="20"/>
              </w:rPr>
              <w:t xml:space="preserve">ГАУЗ </w:t>
            </w:r>
            <w:r>
              <w:rPr>
                <w:rFonts w:eastAsia="Calibri"/>
                <w:sz w:val="20"/>
                <w:szCs w:val="20"/>
              </w:rPr>
              <w:t>«Межрегиональный клинико-диагностический центр»</w:t>
            </w:r>
          </w:p>
        </w:tc>
        <w:tc>
          <w:tcPr>
            <w:tcW w:w="1994" w:type="dxa"/>
            <w:tcBorders>
              <w:top w:val="single" w:sz="4" w:space="0" w:color="auto"/>
              <w:left w:val="single" w:sz="4" w:space="0" w:color="auto"/>
              <w:bottom w:val="single" w:sz="4" w:space="0" w:color="auto"/>
              <w:right w:val="single" w:sz="4" w:space="0" w:color="auto"/>
            </w:tcBorders>
            <w:shd w:val="clear" w:color="auto" w:fill="auto"/>
          </w:tcPr>
          <w:p w:rsidR="0080478F" w:rsidRPr="00E8065F" w:rsidRDefault="0080478F" w:rsidP="00BA1432">
            <w:pPr>
              <w:jc w:val="center"/>
              <w:rPr>
                <w:color w:val="000000"/>
                <w:sz w:val="20"/>
                <w:szCs w:val="20"/>
              </w:rPr>
            </w:pPr>
            <w:r w:rsidRPr="00E8065F">
              <w:rPr>
                <w:color w:val="000000"/>
                <w:sz w:val="20"/>
                <w:szCs w:val="20"/>
              </w:rPr>
              <w:t>Компьютерный томограф</w:t>
            </w:r>
          </w:p>
        </w:tc>
        <w:tc>
          <w:tcPr>
            <w:tcW w:w="1181" w:type="dxa"/>
            <w:tcBorders>
              <w:top w:val="single" w:sz="4" w:space="0" w:color="auto"/>
            </w:tcBorders>
            <w:shd w:val="clear" w:color="auto" w:fill="auto"/>
          </w:tcPr>
          <w:p w:rsidR="0080478F" w:rsidRPr="00E8065F" w:rsidRDefault="0080478F" w:rsidP="000546C2">
            <w:pPr>
              <w:jc w:val="center"/>
              <w:rPr>
                <w:sz w:val="20"/>
                <w:szCs w:val="20"/>
              </w:rPr>
            </w:pPr>
            <w:r w:rsidRPr="00E8065F">
              <w:rPr>
                <w:sz w:val="20"/>
                <w:szCs w:val="20"/>
              </w:rPr>
              <w:t>2023</w:t>
            </w:r>
            <w:r w:rsidR="003D79B3">
              <w:rPr>
                <w:sz w:val="20"/>
                <w:szCs w:val="20"/>
              </w:rPr>
              <w:t xml:space="preserve"> </w:t>
            </w:r>
            <w:r w:rsidR="00417E61">
              <w:rPr>
                <w:sz w:val="20"/>
                <w:szCs w:val="20"/>
              </w:rPr>
              <w:t>(1)</w:t>
            </w:r>
          </w:p>
          <w:p w:rsidR="0080478F" w:rsidRPr="00E8065F" w:rsidRDefault="0080478F" w:rsidP="000546C2">
            <w:pPr>
              <w:jc w:val="center"/>
              <w:rPr>
                <w:sz w:val="20"/>
                <w:szCs w:val="20"/>
              </w:rPr>
            </w:pPr>
            <w:r w:rsidRPr="00E8065F">
              <w:rPr>
                <w:sz w:val="20"/>
                <w:szCs w:val="20"/>
              </w:rPr>
              <w:t>2024</w:t>
            </w:r>
            <w:r w:rsidR="003D79B3">
              <w:rPr>
                <w:sz w:val="20"/>
                <w:szCs w:val="20"/>
              </w:rPr>
              <w:t xml:space="preserve"> </w:t>
            </w:r>
            <w:r w:rsidR="00417E61">
              <w:rPr>
                <w:sz w:val="20"/>
                <w:szCs w:val="20"/>
              </w:rPr>
              <w:t>(1)</w:t>
            </w:r>
          </w:p>
        </w:tc>
        <w:tc>
          <w:tcPr>
            <w:tcW w:w="1181" w:type="dxa"/>
            <w:tcBorders>
              <w:top w:val="single" w:sz="4" w:space="0" w:color="auto"/>
              <w:left w:val="single" w:sz="4" w:space="0" w:color="auto"/>
              <w:bottom w:val="single" w:sz="4" w:space="0" w:color="auto"/>
              <w:right w:val="single" w:sz="4" w:space="0" w:color="auto"/>
            </w:tcBorders>
            <w:shd w:val="clear" w:color="auto" w:fill="auto"/>
          </w:tcPr>
          <w:p w:rsidR="0080478F" w:rsidRPr="00E8065F" w:rsidRDefault="0080478F" w:rsidP="000546C2">
            <w:pPr>
              <w:jc w:val="center"/>
              <w:rPr>
                <w:color w:val="000000"/>
                <w:sz w:val="20"/>
                <w:szCs w:val="20"/>
              </w:rPr>
            </w:pPr>
            <w:r w:rsidRPr="00E8065F">
              <w:rPr>
                <w:color w:val="000000"/>
                <w:sz w:val="20"/>
                <w:szCs w:val="20"/>
              </w:rPr>
              <w:t>2</w:t>
            </w:r>
          </w:p>
        </w:tc>
        <w:tc>
          <w:tcPr>
            <w:tcW w:w="1478" w:type="dxa"/>
            <w:tcBorders>
              <w:top w:val="single" w:sz="4" w:space="0" w:color="auto"/>
              <w:left w:val="single" w:sz="4" w:space="0" w:color="auto"/>
              <w:bottom w:val="single" w:sz="4" w:space="0" w:color="auto"/>
              <w:right w:val="single" w:sz="4" w:space="0" w:color="auto"/>
            </w:tcBorders>
            <w:shd w:val="clear" w:color="auto" w:fill="auto"/>
          </w:tcPr>
          <w:p w:rsidR="0080478F" w:rsidRPr="00E8065F" w:rsidRDefault="0080478F" w:rsidP="000546C2">
            <w:pPr>
              <w:jc w:val="center"/>
              <w:rPr>
                <w:color w:val="000000"/>
                <w:sz w:val="20"/>
                <w:szCs w:val="20"/>
              </w:rPr>
            </w:pPr>
            <w:r w:rsidRPr="00E8065F">
              <w:rPr>
                <w:color w:val="000000"/>
                <w:sz w:val="20"/>
                <w:szCs w:val="20"/>
              </w:rPr>
              <w:t>30</w:t>
            </w:r>
          </w:p>
        </w:tc>
        <w:tc>
          <w:tcPr>
            <w:tcW w:w="1111" w:type="dxa"/>
            <w:tcBorders>
              <w:top w:val="single" w:sz="4" w:space="0" w:color="auto"/>
              <w:left w:val="single" w:sz="4" w:space="0" w:color="auto"/>
              <w:bottom w:val="single" w:sz="4" w:space="0" w:color="auto"/>
              <w:right w:val="single" w:sz="4" w:space="0" w:color="auto"/>
            </w:tcBorders>
            <w:shd w:val="clear" w:color="auto" w:fill="auto"/>
          </w:tcPr>
          <w:p w:rsidR="0080478F" w:rsidRPr="00E8065F" w:rsidRDefault="0080478F" w:rsidP="000546C2">
            <w:pPr>
              <w:jc w:val="center"/>
              <w:rPr>
                <w:color w:val="000000"/>
                <w:sz w:val="20"/>
                <w:szCs w:val="20"/>
              </w:rPr>
            </w:pPr>
            <w:r w:rsidRPr="00E8065F">
              <w:rPr>
                <w:color w:val="000000"/>
                <w:sz w:val="20"/>
                <w:szCs w:val="20"/>
              </w:rPr>
              <w:t>2</w:t>
            </w:r>
          </w:p>
        </w:tc>
        <w:tc>
          <w:tcPr>
            <w:tcW w:w="1944" w:type="dxa"/>
            <w:tcBorders>
              <w:top w:val="single" w:sz="4" w:space="0" w:color="auto"/>
              <w:left w:val="single" w:sz="4" w:space="0" w:color="auto"/>
              <w:bottom w:val="single" w:sz="4" w:space="0" w:color="auto"/>
              <w:right w:val="single" w:sz="4" w:space="0" w:color="auto"/>
            </w:tcBorders>
            <w:shd w:val="clear" w:color="auto" w:fill="auto"/>
          </w:tcPr>
          <w:p w:rsidR="0080478F" w:rsidRPr="00E8065F" w:rsidRDefault="0080478F" w:rsidP="00BA1432">
            <w:pPr>
              <w:jc w:val="center"/>
              <w:rPr>
                <w:color w:val="000000"/>
                <w:sz w:val="20"/>
                <w:szCs w:val="20"/>
              </w:rPr>
            </w:pPr>
            <w:r w:rsidRPr="00E8065F">
              <w:rPr>
                <w:color w:val="000000"/>
                <w:sz w:val="20"/>
                <w:szCs w:val="20"/>
              </w:rPr>
              <w:t>Стационарное</w:t>
            </w:r>
          </w:p>
        </w:tc>
      </w:tr>
      <w:tr w:rsidR="0080478F" w:rsidRPr="00E8065F" w:rsidTr="000546C2">
        <w:trPr>
          <w:trHeight w:val="20"/>
        </w:trPr>
        <w:tc>
          <w:tcPr>
            <w:tcW w:w="1555" w:type="dxa"/>
            <w:vMerge/>
          </w:tcPr>
          <w:p w:rsidR="0080478F" w:rsidRPr="00E8065F" w:rsidRDefault="0080478F" w:rsidP="00BA1432">
            <w:pPr>
              <w:rPr>
                <w:sz w:val="20"/>
                <w:szCs w:val="20"/>
              </w:rPr>
            </w:pPr>
          </w:p>
        </w:tc>
        <w:tc>
          <w:tcPr>
            <w:tcW w:w="3685" w:type="dxa"/>
            <w:tcBorders>
              <w:top w:val="nil"/>
              <w:left w:val="single" w:sz="4" w:space="0" w:color="auto"/>
              <w:bottom w:val="single" w:sz="4" w:space="0" w:color="auto"/>
              <w:right w:val="single" w:sz="4" w:space="0" w:color="auto"/>
            </w:tcBorders>
            <w:shd w:val="clear" w:color="auto" w:fill="auto"/>
          </w:tcPr>
          <w:p w:rsidR="0080478F" w:rsidRPr="00E8065F" w:rsidRDefault="0080478F" w:rsidP="00DC0475">
            <w:pPr>
              <w:jc w:val="both"/>
              <w:rPr>
                <w:color w:val="000000"/>
                <w:sz w:val="20"/>
                <w:szCs w:val="20"/>
              </w:rPr>
            </w:pPr>
            <w:r>
              <w:rPr>
                <w:color w:val="000000"/>
                <w:sz w:val="20"/>
                <w:szCs w:val="20"/>
              </w:rPr>
              <w:t xml:space="preserve">ГАУЗ </w:t>
            </w:r>
            <w:r>
              <w:rPr>
                <w:rFonts w:eastAsia="Calibri"/>
                <w:sz w:val="20"/>
                <w:szCs w:val="20"/>
              </w:rPr>
              <w:t>«Республиканская клиническая больница Министерства здравоохранения Республики Татарстан»</w:t>
            </w:r>
          </w:p>
        </w:tc>
        <w:tc>
          <w:tcPr>
            <w:tcW w:w="1994" w:type="dxa"/>
            <w:tcBorders>
              <w:top w:val="nil"/>
              <w:left w:val="single" w:sz="4" w:space="0" w:color="auto"/>
              <w:bottom w:val="single" w:sz="4" w:space="0" w:color="auto"/>
              <w:right w:val="single" w:sz="4" w:space="0" w:color="auto"/>
            </w:tcBorders>
            <w:shd w:val="clear" w:color="auto" w:fill="auto"/>
          </w:tcPr>
          <w:p w:rsidR="0080478F" w:rsidRPr="00E8065F" w:rsidRDefault="0080478F" w:rsidP="00BA1432">
            <w:pPr>
              <w:jc w:val="center"/>
              <w:rPr>
                <w:color w:val="000000"/>
                <w:sz w:val="20"/>
                <w:szCs w:val="20"/>
              </w:rPr>
            </w:pPr>
            <w:r w:rsidRPr="00E8065F">
              <w:rPr>
                <w:color w:val="000000"/>
                <w:sz w:val="20"/>
                <w:szCs w:val="20"/>
              </w:rPr>
              <w:t>Компьютерный томограф</w:t>
            </w:r>
          </w:p>
        </w:tc>
        <w:tc>
          <w:tcPr>
            <w:tcW w:w="1181" w:type="dxa"/>
            <w:shd w:val="clear" w:color="auto" w:fill="auto"/>
          </w:tcPr>
          <w:p w:rsidR="0080478F" w:rsidRPr="00E8065F" w:rsidRDefault="0080478F" w:rsidP="000546C2">
            <w:pPr>
              <w:jc w:val="center"/>
              <w:rPr>
                <w:sz w:val="20"/>
                <w:szCs w:val="20"/>
              </w:rPr>
            </w:pPr>
            <w:r w:rsidRPr="00E8065F">
              <w:rPr>
                <w:sz w:val="20"/>
                <w:szCs w:val="20"/>
              </w:rPr>
              <w:t>2019</w:t>
            </w:r>
            <w:r w:rsidR="003D79B3">
              <w:rPr>
                <w:sz w:val="20"/>
                <w:szCs w:val="20"/>
              </w:rPr>
              <w:t xml:space="preserve"> </w:t>
            </w:r>
            <w:r w:rsidR="00417E61">
              <w:rPr>
                <w:sz w:val="20"/>
                <w:szCs w:val="20"/>
              </w:rPr>
              <w:t>(2)</w:t>
            </w:r>
          </w:p>
          <w:p w:rsidR="0080478F" w:rsidRPr="00E8065F" w:rsidRDefault="0080478F" w:rsidP="000546C2">
            <w:pPr>
              <w:jc w:val="center"/>
              <w:rPr>
                <w:sz w:val="20"/>
                <w:szCs w:val="20"/>
              </w:rPr>
            </w:pPr>
            <w:r w:rsidRPr="00E8065F">
              <w:rPr>
                <w:sz w:val="20"/>
                <w:szCs w:val="20"/>
              </w:rPr>
              <w:t>2020</w:t>
            </w:r>
            <w:r w:rsidR="003D79B3">
              <w:rPr>
                <w:sz w:val="20"/>
                <w:szCs w:val="20"/>
              </w:rPr>
              <w:t xml:space="preserve"> </w:t>
            </w:r>
            <w:r w:rsidR="00417E61">
              <w:rPr>
                <w:sz w:val="20"/>
                <w:szCs w:val="20"/>
              </w:rPr>
              <w:t>(1)</w:t>
            </w:r>
          </w:p>
          <w:p w:rsidR="0080478F" w:rsidRPr="00E8065F" w:rsidRDefault="0080478F" w:rsidP="000546C2">
            <w:pPr>
              <w:jc w:val="center"/>
              <w:rPr>
                <w:sz w:val="20"/>
                <w:szCs w:val="20"/>
              </w:rPr>
            </w:pPr>
            <w:r>
              <w:rPr>
                <w:sz w:val="20"/>
                <w:szCs w:val="20"/>
              </w:rPr>
              <w:t>2022</w:t>
            </w:r>
            <w:r w:rsidR="003D79B3">
              <w:rPr>
                <w:sz w:val="20"/>
                <w:szCs w:val="20"/>
              </w:rPr>
              <w:t xml:space="preserve"> </w:t>
            </w:r>
            <w:r w:rsidR="00417E61">
              <w:rPr>
                <w:sz w:val="20"/>
                <w:szCs w:val="20"/>
              </w:rPr>
              <w:t>(1)</w:t>
            </w:r>
          </w:p>
        </w:tc>
        <w:tc>
          <w:tcPr>
            <w:tcW w:w="1181" w:type="dxa"/>
            <w:tcBorders>
              <w:top w:val="nil"/>
              <w:left w:val="single" w:sz="4" w:space="0" w:color="auto"/>
              <w:bottom w:val="single" w:sz="4" w:space="0" w:color="auto"/>
              <w:right w:val="single" w:sz="4" w:space="0" w:color="auto"/>
            </w:tcBorders>
            <w:shd w:val="clear" w:color="auto" w:fill="auto"/>
          </w:tcPr>
          <w:p w:rsidR="0080478F" w:rsidRPr="00E8065F" w:rsidRDefault="0080478F" w:rsidP="000546C2">
            <w:pPr>
              <w:jc w:val="center"/>
              <w:rPr>
                <w:color w:val="000000"/>
                <w:sz w:val="20"/>
                <w:szCs w:val="20"/>
              </w:rPr>
            </w:pPr>
            <w:r w:rsidRPr="00E8065F">
              <w:rPr>
                <w:color w:val="000000"/>
                <w:sz w:val="20"/>
                <w:szCs w:val="20"/>
              </w:rPr>
              <w:t>4</w:t>
            </w:r>
          </w:p>
        </w:tc>
        <w:tc>
          <w:tcPr>
            <w:tcW w:w="1478" w:type="dxa"/>
            <w:tcBorders>
              <w:top w:val="nil"/>
              <w:left w:val="single" w:sz="4" w:space="0" w:color="auto"/>
              <w:bottom w:val="single" w:sz="4" w:space="0" w:color="auto"/>
              <w:right w:val="single" w:sz="4" w:space="0" w:color="auto"/>
            </w:tcBorders>
            <w:shd w:val="clear" w:color="auto" w:fill="auto"/>
          </w:tcPr>
          <w:p w:rsidR="0080478F" w:rsidRPr="00E8065F" w:rsidRDefault="0080478F" w:rsidP="000546C2">
            <w:pPr>
              <w:jc w:val="center"/>
              <w:rPr>
                <w:color w:val="000000"/>
                <w:sz w:val="20"/>
                <w:szCs w:val="20"/>
              </w:rPr>
            </w:pPr>
            <w:r w:rsidRPr="00E8065F">
              <w:rPr>
                <w:color w:val="000000"/>
                <w:sz w:val="20"/>
                <w:szCs w:val="20"/>
              </w:rPr>
              <w:t>163</w:t>
            </w:r>
          </w:p>
        </w:tc>
        <w:tc>
          <w:tcPr>
            <w:tcW w:w="1111" w:type="dxa"/>
            <w:tcBorders>
              <w:top w:val="nil"/>
              <w:left w:val="single" w:sz="4" w:space="0" w:color="auto"/>
              <w:bottom w:val="single" w:sz="4" w:space="0" w:color="auto"/>
              <w:right w:val="single" w:sz="4" w:space="0" w:color="auto"/>
            </w:tcBorders>
            <w:shd w:val="clear" w:color="auto" w:fill="auto"/>
          </w:tcPr>
          <w:p w:rsidR="0080478F" w:rsidRPr="00E8065F" w:rsidRDefault="0080478F" w:rsidP="000546C2">
            <w:pPr>
              <w:jc w:val="center"/>
              <w:rPr>
                <w:color w:val="000000"/>
                <w:sz w:val="20"/>
                <w:szCs w:val="20"/>
              </w:rPr>
            </w:pPr>
            <w:r w:rsidRPr="00E8065F">
              <w:rPr>
                <w:color w:val="000000"/>
                <w:sz w:val="20"/>
                <w:szCs w:val="20"/>
              </w:rPr>
              <w:t>2</w:t>
            </w:r>
          </w:p>
        </w:tc>
        <w:tc>
          <w:tcPr>
            <w:tcW w:w="1944" w:type="dxa"/>
            <w:tcBorders>
              <w:top w:val="nil"/>
              <w:left w:val="single" w:sz="4" w:space="0" w:color="auto"/>
              <w:bottom w:val="single" w:sz="4" w:space="0" w:color="auto"/>
              <w:right w:val="single" w:sz="4" w:space="0" w:color="auto"/>
            </w:tcBorders>
            <w:shd w:val="clear" w:color="auto" w:fill="auto"/>
          </w:tcPr>
          <w:p w:rsidR="0080478F" w:rsidRPr="00E8065F" w:rsidRDefault="0080478F" w:rsidP="00BA1432">
            <w:pPr>
              <w:jc w:val="center"/>
              <w:rPr>
                <w:color w:val="000000"/>
                <w:sz w:val="20"/>
                <w:szCs w:val="20"/>
              </w:rPr>
            </w:pPr>
            <w:r w:rsidRPr="00E8065F">
              <w:rPr>
                <w:color w:val="000000"/>
                <w:sz w:val="20"/>
                <w:szCs w:val="20"/>
              </w:rPr>
              <w:t>Стационарное</w:t>
            </w:r>
          </w:p>
        </w:tc>
      </w:tr>
      <w:tr w:rsidR="0080478F" w:rsidRPr="00E8065F" w:rsidTr="000546C2">
        <w:trPr>
          <w:trHeight w:val="20"/>
        </w:trPr>
        <w:tc>
          <w:tcPr>
            <w:tcW w:w="1555" w:type="dxa"/>
            <w:vMerge/>
          </w:tcPr>
          <w:p w:rsidR="0080478F" w:rsidRPr="00E8065F" w:rsidRDefault="0080478F" w:rsidP="00D5127A">
            <w:pPr>
              <w:spacing w:line="235" w:lineRule="auto"/>
              <w:rPr>
                <w:sz w:val="20"/>
                <w:szCs w:val="20"/>
              </w:rPr>
            </w:pPr>
          </w:p>
        </w:tc>
        <w:tc>
          <w:tcPr>
            <w:tcW w:w="3685" w:type="dxa"/>
            <w:tcBorders>
              <w:top w:val="nil"/>
              <w:left w:val="single" w:sz="4" w:space="0" w:color="auto"/>
              <w:bottom w:val="single" w:sz="4" w:space="0" w:color="auto"/>
              <w:right w:val="single" w:sz="4" w:space="0" w:color="auto"/>
            </w:tcBorders>
            <w:shd w:val="clear" w:color="auto" w:fill="auto"/>
          </w:tcPr>
          <w:p w:rsidR="0080478F" w:rsidRPr="00E8065F" w:rsidRDefault="0080478F" w:rsidP="00D5127A">
            <w:pPr>
              <w:spacing w:line="235" w:lineRule="auto"/>
              <w:jc w:val="both"/>
              <w:rPr>
                <w:color w:val="000000"/>
                <w:sz w:val="20"/>
                <w:szCs w:val="20"/>
              </w:rPr>
            </w:pPr>
            <w:r w:rsidRPr="00E8065F">
              <w:rPr>
                <w:color w:val="000000"/>
                <w:sz w:val="20"/>
                <w:szCs w:val="20"/>
              </w:rPr>
              <w:t xml:space="preserve">ГАУЗ </w:t>
            </w:r>
            <w:r>
              <w:rPr>
                <w:color w:val="000000"/>
                <w:sz w:val="20"/>
                <w:szCs w:val="20"/>
              </w:rPr>
              <w:t>«РКОД МЗ РТ им.</w:t>
            </w:r>
            <w:r w:rsidRPr="00E8065F">
              <w:rPr>
                <w:color w:val="000000"/>
                <w:sz w:val="20"/>
                <w:szCs w:val="20"/>
              </w:rPr>
              <w:t>проф.М.З.Сигала</w:t>
            </w:r>
            <w:r>
              <w:rPr>
                <w:color w:val="000000"/>
                <w:sz w:val="20"/>
                <w:szCs w:val="20"/>
              </w:rPr>
              <w:t>»</w:t>
            </w:r>
          </w:p>
        </w:tc>
        <w:tc>
          <w:tcPr>
            <w:tcW w:w="1994" w:type="dxa"/>
            <w:tcBorders>
              <w:top w:val="nil"/>
              <w:left w:val="single" w:sz="4" w:space="0" w:color="auto"/>
              <w:bottom w:val="single" w:sz="4" w:space="0" w:color="auto"/>
              <w:right w:val="single" w:sz="4" w:space="0" w:color="auto"/>
            </w:tcBorders>
            <w:shd w:val="clear" w:color="auto" w:fill="auto"/>
          </w:tcPr>
          <w:p w:rsidR="0080478F" w:rsidRPr="00E8065F" w:rsidRDefault="0080478F" w:rsidP="00D5127A">
            <w:pPr>
              <w:spacing w:line="235" w:lineRule="auto"/>
              <w:jc w:val="center"/>
              <w:rPr>
                <w:color w:val="000000"/>
                <w:sz w:val="20"/>
                <w:szCs w:val="20"/>
              </w:rPr>
            </w:pPr>
            <w:r w:rsidRPr="00E8065F">
              <w:rPr>
                <w:color w:val="000000"/>
                <w:sz w:val="20"/>
                <w:szCs w:val="20"/>
              </w:rPr>
              <w:t>Компьютерный томограф</w:t>
            </w:r>
          </w:p>
        </w:tc>
        <w:tc>
          <w:tcPr>
            <w:tcW w:w="1181" w:type="dxa"/>
            <w:shd w:val="clear" w:color="auto" w:fill="auto"/>
          </w:tcPr>
          <w:p w:rsidR="0080478F" w:rsidRPr="00E8065F" w:rsidRDefault="0080478F" w:rsidP="00D5127A">
            <w:pPr>
              <w:spacing w:line="235" w:lineRule="auto"/>
              <w:jc w:val="center"/>
              <w:rPr>
                <w:sz w:val="20"/>
                <w:szCs w:val="20"/>
              </w:rPr>
            </w:pPr>
            <w:r w:rsidRPr="00E8065F">
              <w:rPr>
                <w:sz w:val="20"/>
                <w:szCs w:val="20"/>
              </w:rPr>
              <w:t>2017</w:t>
            </w:r>
            <w:r w:rsidR="003D79B3">
              <w:rPr>
                <w:sz w:val="20"/>
                <w:szCs w:val="20"/>
              </w:rPr>
              <w:t xml:space="preserve"> </w:t>
            </w:r>
            <w:r w:rsidR="00417E61">
              <w:rPr>
                <w:sz w:val="20"/>
                <w:szCs w:val="20"/>
              </w:rPr>
              <w:t>(2)</w:t>
            </w:r>
          </w:p>
          <w:p w:rsidR="0080478F" w:rsidRPr="00E8065F" w:rsidRDefault="0080478F" w:rsidP="00D5127A">
            <w:pPr>
              <w:spacing w:line="235" w:lineRule="auto"/>
              <w:jc w:val="center"/>
              <w:rPr>
                <w:sz w:val="20"/>
                <w:szCs w:val="20"/>
              </w:rPr>
            </w:pPr>
            <w:r w:rsidRPr="00E8065F">
              <w:rPr>
                <w:sz w:val="20"/>
                <w:szCs w:val="20"/>
              </w:rPr>
              <w:t>2019</w:t>
            </w:r>
            <w:r w:rsidR="003D79B3">
              <w:rPr>
                <w:sz w:val="20"/>
                <w:szCs w:val="20"/>
              </w:rPr>
              <w:t xml:space="preserve"> </w:t>
            </w:r>
            <w:r w:rsidR="00417E61">
              <w:rPr>
                <w:sz w:val="20"/>
                <w:szCs w:val="20"/>
              </w:rPr>
              <w:t>(2)</w:t>
            </w:r>
          </w:p>
          <w:p w:rsidR="0080478F" w:rsidRPr="00E8065F" w:rsidRDefault="0080478F" w:rsidP="00D5127A">
            <w:pPr>
              <w:spacing w:line="235" w:lineRule="auto"/>
              <w:jc w:val="center"/>
              <w:rPr>
                <w:sz w:val="20"/>
                <w:szCs w:val="20"/>
              </w:rPr>
            </w:pPr>
            <w:r w:rsidRPr="00E8065F">
              <w:rPr>
                <w:sz w:val="20"/>
                <w:szCs w:val="20"/>
              </w:rPr>
              <w:t>2020</w:t>
            </w:r>
            <w:r w:rsidR="003D79B3">
              <w:rPr>
                <w:sz w:val="20"/>
                <w:szCs w:val="20"/>
              </w:rPr>
              <w:t xml:space="preserve"> </w:t>
            </w:r>
            <w:r w:rsidR="00417E61">
              <w:rPr>
                <w:sz w:val="20"/>
                <w:szCs w:val="20"/>
              </w:rPr>
              <w:t>(1)</w:t>
            </w:r>
          </w:p>
          <w:p w:rsidR="0080478F" w:rsidRPr="00E8065F" w:rsidRDefault="0080478F" w:rsidP="00D5127A">
            <w:pPr>
              <w:spacing w:line="235" w:lineRule="auto"/>
              <w:jc w:val="center"/>
              <w:rPr>
                <w:sz w:val="20"/>
                <w:szCs w:val="20"/>
              </w:rPr>
            </w:pPr>
            <w:r w:rsidRPr="00E8065F">
              <w:rPr>
                <w:sz w:val="20"/>
                <w:szCs w:val="20"/>
              </w:rPr>
              <w:t>2021</w:t>
            </w:r>
            <w:r w:rsidR="003D79B3">
              <w:rPr>
                <w:sz w:val="20"/>
                <w:szCs w:val="20"/>
              </w:rPr>
              <w:t xml:space="preserve"> </w:t>
            </w:r>
            <w:r w:rsidR="00417E61">
              <w:rPr>
                <w:sz w:val="20"/>
                <w:szCs w:val="20"/>
              </w:rPr>
              <w:t>(1)</w:t>
            </w:r>
          </w:p>
        </w:tc>
        <w:tc>
          <w:tcPr>
            <w:tcW w:w="1181" w:type="dxa"/>
            <w:tcBorders>
              <w:top w:val="nil"/>
              <w:left w:val="single" w:sz="4" w:space="0" w:color="auto"/>
              <w:bottom w:val="single" w:sz="4" w:space="0" w:color="auto"/>
              <w:right w:val="single" w:sz="4" w:space="0" w:color="auto"/>
            </w:tcBorders>
            <w:shd w:val="clear" w:color="auto" w:fill="auto"/>
          </w:tcPr>
          <w:p w:rsidR="0080478F" w:rsidRPr="00E8065F" w:rsidRDefault="0080478F" w:rsidP="00D5127A">
            <w:pPr>
              <w:spacing w:line="235" w:lineRule="auto"/>
              <w:jc w:val="center"/>
              <w:rPr>
                <w:color w:val="000000"/>
                <w:sz w:val="20"/>
                <w:szCs w:val="20"/>
              </w:rPr>
            </w:pPr>
            <w:r w:rsidRPr="00E8065F">
              <w:rPr>
                <w:color w:val="000000"/>
                <w:sz w:val="20"/>
                <w:szCs w:val="20"/>
              </w:rPr>
              <w:t>6</w:t>
            </w:r>
          </w:p>
        </w:tc>
        <w:tc>
          <w:tcPr>
            <w:tcW w:w="1478" w:type="dxa"/>
            <w:tcBorders>
              <w:top w:val="nil"/>
              <w:left w:val="single" w:sz="4" w:space="0" w:color="auto"/>
              <w:bottom w:val="single" w:sz="4" w:space="0" w:color="auto"/>
              <w:right w:val="single" w:sz="4" w:space="0" w:color="auto"/>
            </w:tcBorders>
            <w:shd w:val="clear" w:color="auto" w:fill="auto"/>
          </w:tcPr>
          <w:p w:rsidR="0080478F" w:rsidRPr="00E8065F" w:rsidRDefault="0080478F" w:rsidP="00D5127A">
            <w:pPr>
              <w:spacing w:line="235" w:lineRule="auto"/>
              <w:jc w:val="center"/>
              <w:rPr>
                <w:color w:val="000000"/>
                <w:sz w:val="20"/>
                <w:szCs w:val="20"/>
              </w:rPr>
            </w:pPr>
            <w:r w:rsidRPr="00E8065F">
              <w:rPr>
                <w:color w:val="000000"/>
                <w:sz w:val="20"/>
                <w:szCs w:val="20"/>
              </w:rPr>
              <w:t>93</w:t>
            </w:r>
          </w:p>
        </w:tc>
        <w:tc>
          <w:tcPr>
            <w:tcW w:w="1111" w:type="dxa"/>
            <w:tcBorders>
              <w:top w:val="nil"/>
              <w:left w:val="single" w:sz="4" w:space="0" w:color="auto"/>
              <w:bottom w:val="single" w:sz="4" w:space="0" w:color="auto"/>
              <w:right w:val="single" w:sz="4" w:space="0" w:color="auto"/>
            </w:tcBorders>
            <w:shd w:val="clear" w:color="auto" w:fill="auto"/>
          </w:tcPr>
          <w:p w:rsidR="0080478F" w:rsidRPr="00E8065F" w:rsidRDefault="0080478F" w:rsidP="00D5127A">
            <w:pPr>
              <w:spacing w:line="235" w:lineRule="auto"/>
              <w:jc w:val="center"/>
              <w:rPr>
                <w:color w:val="000000"/>
                <w:sz w:val="20"/>
                <w:szCs w:val="20"/>
              </w:rPr>
            </w:pPr>
            <w:r w:rsidRPr="00E8065F">
              <w:rPr>
                <w:color w:val="000000"/>
                <w:sz w:val="20"/>
                <w:szCs w:val="20"/>
              </w:rPr>
              <w:t>2</w:t>
            </w:r>
          </w:p>
        </w:tc>
        <w:tc>
          <w:tcPr>
            <w:tcW w:w="1944" w:type="dxa"/>
            <w:tcBorders>
              <w:top w:val="nil"/>
              <w:left w:val="single" w:sz="4" w:space="0" w:color="auto"/>
              <w:bottom w:val="single" w:sz="4" w:space="0" w:color="auto"/>
              <w:right w:val="single" w:sz="4" w:space="0" w:color="auto"/>
            </w:tcBorders>
            <w:shd w:val="clear" w:color="auto" w:fill="auto"/>
          </w:tcPr>
          <w:p w:rsidR="0080478F" w:rsidRPr="00E8065F" w:rsidRDefault="0080478F" w:rsidP="00D5127A">
            <w:pPr>
              <w:spacing w:line="235" w:lineRule="auto"/>
              <w:jc w:val="center"/>
              <w:rPr>
                <w:color w:val="000000"/>
                <w:sz w:val="20"/>
                <w:szCs w:val="20"/>
              </w:rPr>
            </w:pPr>
            <w:r w:rsidRPr="00E8065F">
              <w:rPr>
                <w:color w:val="000000"/>
                <w:sz w:val="20"/>
                <w:szCs w:val="20"/>
              </w:rPr>
              <w:t>Амбулаторное/стационарное</w:t>
            </w:r>
          </w:p>
        </w:tc>
      </w:tr>
      <w:tr w:rsidR="00BA1432" w:rsidRPr="00E8065F" w:rsidTr="000546C2">
        <w:trPr>
          <w:trHeight w:val="20"/>
        </w:trPr>
        <w:tc>
          <w:tcPr>
            <w:tcW w:w="1555" w:type="dxa"/>
          </w:tcPr>
          <w:p w:rsidR="00DB578E" w:rsidRPr="00E8065F" w:rsidRDefault="00DB578E" w:rsidP="00D5127A">
            <w:pPr>
              <w:spacing w:line="235" w:lineRule="auto"/>
              <w:rPr>
                <w:sz w:val="20"/>
                <w:szCs w:val="20"/>
              </w:rPr>
            </w:pPr>
          </w:p>
        </w:tc>
        <w:tc>
          <w:tcPr>
            <w:tcW w:w="3685" w:type="dxa"/>
            <w:tcBorders>
              <w:top w:val="nil"/>
              <w:left w:val="single" w:sz="4" w:space="0" w:color="auto"/>
              <w:bottom w:val="single" w:sz="4" w:space="0" w:color="auto"/>
              <w:right w:val="single" w:sz="4" w:space="0" w:color="auto"/>
            </w:tcBorders>
            <w:shd w:val="clear" w:color="auto" w:fill="auto"/>
          </w:tcPr>
          <w:p w:rsidR="00DB578E" w:rsidRPr="000E54C2" w:rsidRDefault="00DB578E" w:rsidP="00D5127A">
            <w:pPr>
              <w:spacing w:line="235" w:lineRule="auto"/>
              <w:jc w:val="both"/>
              <w:rPr>
                <w:color w:val="000000"/>
                <w:sz w:val="20"/>
                <w:szCs w:val="20"/>
              </w:rPr>
            </w:pPr>
          </w:p>
        </w:tc>
        <w:tc>
          <w:tcPr>
            <w:tcW w:w="1994" w:type="dxa"/>
            <w:tcBorders>
              <w:top w:val="nil"/>
              <w:left w:val="single" w:sz="4" w:space="0" w:color="auto"/>
              <w:bottom w:val="single" w:sz="4" w:space="0" w:color="auto"/>
              <w:right w:val="single" w:sz="4" w:space="0" w:color="auto"/>
            </w:tcBorders>
            <w:shd w:val="clear" w:color="auto" w:fill="auto"/>
          </w:tcPr>
          <w:p w:rsidR="00DB578E" w:rsidRPr="000E54C2" w:rsidRDefault="009C7AAF" w:rsidP="00D5127A">
            <w:pPr>
              <w:spacing w:line="235" w:lineRule="auto"/>
              <w:jc w:val="center"/>
              <w:rPr>
                <w:color w:val="000000"/>
                <w:sz w:val="20"/>
                <w:szCs w:val="20"/>
              </w:rPr>
            </w:pPr>
            <w:r>
              <w:rPr>
                <w:color w:val="000000"/>
                <w:sz w:val="20"/>
                <w:szCs w:val="20"/>
              </w:rPr>
              <w:t>В</w:t>
            </w:r>
            <w:r w:rsidR="00715F7C" w:rsidRPr="000E54C2">
              <w:rPr>
                <w:color w:val="000000"/>
                <w:sz w:val="20"/>
                <w:szCs w:val="20"/>
              </w:rPr>
              <w:t>сего</w:t>
            </w:r>
          </w:p>
        </w:tc>
        <w:tc>
          <w:tcPr>
            <w:tcW w:w="1181" w:type="dxa"/>
            <w:shd w:val="clear" w:color="auto" w:fill="auto"/>
          </w:tcPr>
          <w:p w:rsidR="00DB578E" w:rsidRPr="000E54C2" w:rsidRDefault="003D79B3" w:rsidP="00D5127A">
            <w:pPr>
              <w:spacing w:line="235" w:lineRule="auto"/>
              <w:jc w:val="center"/>
              <w:rPr>
                <w:sz w:val="20"/>
                <w:szCs w:val="20"/>
              </w:rPr>
            </w:pPr>
            <w:r>
              <w:rPr>
                <w:sz w:val="20"/>
                <w:szCs w:val="20"/>
              </w:rPr>
              <w:t xml:space="preserve"> </w:t>
            </w:r>
          </w:p>
        </w:tc>
        <w:tc>
          <w:tcPr>
            <w:tcW w:w="1181" w:type="dxa"/>
            <w:tcBorders>
              <w:top w:val="nil"/>
              <w:left w:val="single" w:sz="4" w:space="0" w:color="auto"/>
              <w:bottom w:val="single" w:sz="4" w:space="0" w:color="auto"/>
              <w:right w:val="single" w:sz="4" w:space="0" w:color="auto"/>
            </w:tcBorders>
            <w:shd w:val="clear" w:color="auto" w:fill="auto"/>
          </w:tcPr>
          <w:p w:rsidR="00DB578E" w:rsidRPr="000E54C2" w:rsidRDefault="00DB578E" w:rsidP="00D5127A">
            <w:pPr>
              <w:spacing w:line="235" w:lineRule="auto"/>
              <w:jc w:val="center"/>
              <w:rPr>
                <w:color w:val="000000"/>
                <w:sz w:val="20"/>
                <w:szCs w:val="20"/>
              </w:rPr>
            </w:pPr>
            <w:r w:rsidRPr="000E54C2">
              <w:rPr>
                <w:color w:val="000000"/>
                <w:sz w:val="20"/>
                <w:szCs w:val="20"/>
              </w:rPr>
              <w:t>84</w:t>
            </w:r>
          </w:p>
        </w:tc>
        <w:tc>
          <w:tcPr>
            <w:tcW w:w="1478" w:type="dxa"/>
            <w:tcBorders>
              <w:top w:val="nil"/>
              <w:left w:val="single" w:sz="4" w:space="0" w:color="auto"/>
              <w:bottom w:val="single" w:sz="4" w:space="0" w:color="auto"/>
              <w:right w:val="single" w:sz="4" w:space="0" w:color="auto"/>
            </w:tcBorders>
            <w:shd w:val="clear" w:color="auto" w:fill="auto"/>
          </w:tcPr>
          <w:p w:rsidR="00DB578E" w:rsidRPr="00E8065F" w:rsidRDefault="00DB578E" w:rsidP="00D5127A">
            <w:pPr>
              <w:spacing w:line="235" w:lineRule="auto"/>
              <w:jc w:val="center"/>
              <w:rPr>
                <w:color w:val="000000"/>
                <w:sz w:val="20"/>
                <w:szCs w:val="20"/>
              </w:rPr>
            </w:pPr>
          </w:p>
        </w:tc>
        <w:tc>
          <w:tcPr>
            <w:tcW w:w="1111" w:type="dxa"/>
            <w:tcBorders>
              <w:top w:val="nil"/>
              <w:left w:val="single" w:sz="4" w:space="0" w:color="auto"/>
              <w:bottom w:val="single" w:sz="4" w:space="0" w:color="auto"/>
              <w:right w:val="single" w:sz="4" w:space="0" w:color="auto"/>
            </w:tcBorders>
            <w:shd w:val="clear" w:color="auto" w:fill="auto"/>
          </w:tcPr>
          <w:p w:rsidR="00DB578E" w:rsidRPr="00E8065F" w:rsidRDefault="00DB578E" w:rsidP="00D5127A">
            <w:pPr>
              <w:spacing w:line="235" w:lineRule="auto"/>
              <w:jc w:val="center"/>
              <w:rPr>
                <w:color w:val="000000"/>
                <w:sz w:val="20"/>
                <w:szCs w:val="20"/>
              </w:rPr>
            </w:pPr>
          </w:p>
        </w:tc>
        <w:tc>
          <w:tcPr>
            <w:tcW w:w="1944" w:type="dxa"/>
            <w:tcBorders>
              <w:top w:val="nil"/>
              <w:left w:val="single" w:sz="4" w:space="0" w:color="auto"/>
              <w:bottom w:val="single" w:sz="4" w:space="0" w:color="auto"/>
              <w:right w:val="single" w:sz="4" w:space="0" w:color="auto"/>
            </w:tcBorders>
            <w:shd w:val="clear" w:color="auto" w:fill="auto"/>
          </w:tcPr>
          <w:p w:rsidR="00DB578E" w:rsidRPr="00E8065F" w:rsidRDefault="00DB578E" w:rsidP="00D5127A">
            <w:pPr>
              <w:spacing w:line="235" w:lineRule="auto"/>
              <w:jc w:val="center"/>
              <w:rPr>
                <w:color w:val="000000"/>
                <w:sz w:val="20"/>
                <w:szCs w:val="20"/>
              </w:rPr>
            </w:pPr>
          </w:p>
        </w:tc>
      </w:tr>
      <w:tr w:rsidR="00BA1432" w:rsidRPr="00E8065F" w:rsidTr="000546C2">
        <w:trPr>
          <w:trHeight w:val="20"/>
        </w:trPr>
        <w:tc>
          <w:tcPr>
            <w:tcW w:w="1555" w:type="dxa"/>
            <w:vMerge w:val="restart"/>
          </w:tcPr>
          <w:p w:rsidR="000E54C2" w:rsidRPr="00E8065F" w:rsidRDefault="000E54C2" w:rsidP="00D5127A">
            <w:pPr>
              <w:spacing w:line="235" w:lineRule="auto"/>
              <w:rPr>
                <w:sz w:val="20"/>
                <w:szCs w:val="20"/>
              </w:rPr>
            </w:pPr>
            <w:r w:rsidRPr="00E8065F">
              <w:rPr>
                <w:sz w:val="20"/>
                <w:szCs w:val="20"/>
              </w:rPr>
              <w:t>Магнитно-резонансный томограф</w:t>
            </w: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0E54C2" w:rsidRPr="00E8065F" w:rsidRDefault="000E54C2" w:rsidP="00D5127A">
            <w:pPr>
              <w:spacing w:line="235" w:lineRule="auto"/>
              <w:jc w:val="both"/>
              <w:rPr>
                <w:color w:val="000000"/>
                <w:sz w:val="20"/>
                <w:szCs w:val="20"/>
              </w:rPr>
            </w:pPr>
            <w:r>
              <w:rPr>
                <w:color w:val="000000"/>
                <w:sz w:val="20"/>
                <w:szCs w:val="20"/>
              </w:rPr>
              <w:t xml:space="preserve">ГАУЗ </w:t>
            </w:r>
            <w:r w:rsidR="002F7358">
              <w:rPr>
                <w:rFonts w:eastAsia="Arial"/>
                <w:sz w:val="20"/>
                <w:szCs w:val="20"/>
              </w:rPr>
              <w:t>«</w:t>
            </w:r>
            <w:r>
              <w:rPr>
                <w:rFonts w:eastAsia="Arial"/>
                <w:sz w:val="20"/>
                <w:szCs w:val="20"/>
              </w:rPr>
              <w:t>Альметьевская межрайонная многопрофильная больница</w:t>
            </w:r>
            <w:r w:rsidR="002F7358">
              <w:rPr>
                <w:rFonts w:eastAsia="Arial"/>
                <w:sz w:val="20"/>
                <w:szCs w:val="20"/>
              </w:rPr>
              <w:t>»</w:t>
            </w:r>
          </w:p>
        </w:tc>
        <w:tc>
          <w:tcPr>
            <w:tcW w:w="1994" w:type="dxa"/>
            <w:shd w:val="clear" w:color="auto" w:fill="auto"/>
          </w:tcPr>
          <w:p w:rsidR="000E54C2" w:rsidRPr="00E8065F" w:rsidRDefault="000E54C2" w:rsidP="00D5127A">
            <w:pPr>
              <w:spacing w:line="235" w:lineRule="auto"/>
              <w:jc w:val="center"/>
              <w:rPr>
                <w:sz w:val="20"/>
                <w:szCs w:val="20"/>
              </w:rPr>
            </w:pPr>
            <w:r w:rsidRPr="00E8065F">
              <w:rPr>
                <w:sz w:val="20"/>
                <w:szCs w:val="20"/>
              </w:rPr>
              <w:t>Магнитно-резонансный томограф</w:t>
            </w:r>
          </w:p>
        </w:tc>
        <w:tc>
          <w:tcPr>
            <w:tcW w:w="1181" w:type="dxa"/>
            <w:shd w:val="clear" w:color="auto" w:fill="auto"/>
          </w:tcPr>
          <w:p w:rsidR="000E54C2" w:rsidRPr="00E8065F" w:rsidRDefault="000E54C2" w:rsidP="00D5127A">
            <w:pPr>
              <w:spacing w:line="235" w:lineRule="auto"/>
              <w:jc w:val="center"/>
              <w:rPr>
                <w:sz w:val="20"/>
                <w:szCs w:val="20"/>
              </w:rPr>
            </w:pPr>
            <w:r w:rsidRPr="00E8065F">
              <w:rPr>
                <w:sz w:val="20"/>
                <w:szCs w:val="20"/>
              </w:rPr>
              <w:t>2012</w:t>
            </w:r>
          </w:p>
        </w:tc>
        <w:tc>
          <w:tcPr>
            <w:tcW w:w="1181" w:type="dxa"/>
            <w:tcBorders>
              <w:top w:val="single" w:sz="4" w:space="0" w:color="auto"/>
              <w:left w:val="single" w:sz="4" w:space="0" w:color="auto"/>
              <w:bottom w:val="single" w:sz="4" w:space="0" w:color="auto"/>
              <w:right w:val="single" w:sz="4" w:space="0" w:color="auto"/>
            </w:tcBorders>
            <w:shd w:val="clear" w:color="auto" w:fill="auto"/>
          </w:tcPr>
          <w:p w:rsidR="000E54C2" w:rsidRPr="00E8065F" w:rsidRDefault="000E54C2" w:rsidP="00D5127A">
            <w:pPr>
              <w:spacing w:line="235" w:lineRule="auto"/>
              <w:jc w:val="center"/>
              <w:rPr>
                <w:color w:val="000000"/>
                <w:sz w:val="20"/>
                <w:szCs w:val="20"/>
              </w:rPr>
            </w:pPr>
            <w:r w:rsidRPr="00E8065F">
              <w:rPr>
                <w:color w:val="000000"/>
                <w:sz w:val="20"/>
                <w:szCs w:val="20"/>
              </w:rPr>
              <w:t>1</w:t>
            </w:r>
          </w:p>
        </w:tc>
        <w:tc>
          <w:tcPr>
            <w:tcW w:w="1478" w:type="dxa"/>
            <w:tcBorders>
              <w:top w:val="single" w:sz="4" w:space="0" w:color="auto"/>
              <w:left w:val="single" w:sz="4" w:space="0" w:color="auto"/>
              <w:bottom w:val="single" w:sz="4" w:space="0" w:color="auto"/>
              <w:right w:val="single" w:sz="4" w:space="0" w:color="auto"/>
            </w:tcBorders>
            <w:shd w:val="clear" w:color="auto" w:fill="auto"/>
          </w:tcPr>
          <w:p w:rsidR="000E54C2" w:rsidRPr="00E8065F" w:rsidRDefault="000E54C2" w:rsidP="00D5127A">
            <w:pPr>
              <w:spacing w:line="235" w:lineRule="auto"/>
              <w:jc w:val="center"/>
              <w:rPr>
                <w:color w:val="000000"/>
                <w:sz w:val="20"/>
                <w:szCs w:val="20"/>
              </w:rPr>
            </w:pPr>
            <w:r w:rsidRPr="00E8065F">
              <w:rPr>
                <w:color w:val="000000"/>
                <w:sz w:val="20"/>
                <w:szCs w:val="20"/>
              </w:rPr>
              <w:t>3</w:t>
            </w:r>
          </w:p>
        </w:tc>
        <w:tc>
          <w:tcPr>
            <w:tcW w:w="1111" w:type="dxa"/>
            <w:tcBorders>
              <w:top w:val="single" w:sz="4" w:space="0" w:color="auto"/>
              <w:left w:val="single" w:sz="4" w:space="0" w:color="auto"/>
              <w:bottom w:val="single" w:sz="4" w:space="0" w:color="auto"/>
              <w:right w:val="single" w:sz="4" w:space="0" w:color="auto"/>
            </w:tcBorders>
            <w:shd w:val="clear" w:color="auto" w:fill="auto"/>
          </w:tcPr>
          <w:p w:rsidR="000E54C2" w:rsidRPr="00E8065F" w:rsidRDefault="000E54C2" w:rsidP="00D5127A">
            <w:pPr>
              <w:spacing w:line="235" w:lineRule="auto"/>
              <w:jc w:val="center"/>
              <w:rPr>
                <w:color w:val="000000"/>
                <w:sz w:val="20"/>
                <w:szCs w:val="20"/>
              </w:rPr>
            </w:pPr>
            <w:r w:rsidRPr="00E8065F">
              <w:rPr>
                <w:color w:val="000000"/>
                <w:sz w:val="20"/>
                <w:szCs w:val="20"/>
              </w:rPr>
              <w:t>2</w:t>
            </w:r>
          </w:p>
        </w:tc>
        <w:tc>
          <w:tcPr>
            <w:tcW w:w="1944" w:type="dxa"/>
            <w:tcBorders>
              <w:top w:val="single" w:sz="4" w:space="0" w:color="auto"/>
              <w:left w:val="single" w:sz="4" w:space="0" w:color="auto"/>
              <w:bottom w:val="single" w:sz="4" w:space="0" w:color="auto"/>
              <w:right w:val="single" w:sz="4" w:space="0" w:color="auto"/>
            </w:tcBorders>
            <w:shd w:val="clear" w:color="auto" w:fill="auto"/>
          </w:tcPr>
          <w:p w:rsidR="000E54C2" w:rsidRPr="00E8065F" w:rsidRDefault="000E54C2" w:rsidP="00D5127A">
            <w:pPr>
              <w:spacing w:line="235" w:lineRule="auto"/>
              <w:jc w:val="center"/>
              <w:rPr>
                <w:color w:val="000000"/>
                <w:sz w:val="20"/>
                <w:szCs w:val="20"/>
              </w:rPr>
            </w:pPr>
            <w:r w:rsidRPr="00E8065F">
              <w:rPr>
                <w:color w:val="000000"/>
                <w:sz w:val="20"/>
                <w:szCs w:val="20"/>
              </w:rPr>
              <w:t>Амбулаторное</w:t>
            </w:r>
          </w:p>
        </w:tc>
      </w:tr>
      <w:tr w:rsidR="00BA1432" w:rsidRPr="00E8065F" w:rsidTr="000546C2">
        <w:trPr>
          <w:trHeight w:val="20"/>
        </w:trPr>
        <w:tc>
          <w:tcPr>
            <w:tcW w:w="1555" w:type="dxa"/>
            <w:vMerge/>
          </w:tcPr>
          <w:p w:rsidR="000E54C2" w:rsidRPr="00E8065F" w:rsidRDefault="000E54C2" w:rsidP="00D5127A">
            <w:pPr>
              <w:spacing w:line="235" w:lineRule="auto"/>
              <w:rPr>
                <w:sz w:val="20"/>
                <w:szCs w:val="20"/>
              </w:rPr>
            </w:pPr>
          </w:p>
        </w:tc>
        <w:tc>
          <w:tcPr>
            <w:tcW w:w="3685" w:type="dxa"/>
            <w:tcBorders>
              <w:top w:val="nil"/>
              <w:left w:val="single" w:sz="4" w:space="0" w:color="auto"/>
              <w:bottom w:val="single" w:sz="4" w:space="0" w:color="auto"/>
              <w:right w:val="single" w:sz="4" w:space="0" w:color="auto"/>
            </w:tcBorders>
            <w:shd w:val="clear" w:color="auto" w:fill="auto"/>
          </w:tcPr>
          <w:p w:rsidR="000E54C2" w:rsidRPr="00E8065F" w:rsidRDefault="000E54C2" w:rsidP="00D5127A">
            <w:pPr>
              <w:spacing w:line="235" w:lineRule="auto"/>
              <w:jc w:val="both"/>
              <w:rPr>
                <w:color w:val="000000"/>
                <w:sz w:val="20"/>
                <w:szCs w:val="20"/>
              </w:rPr>
            </w:pPr>
            <w:r w:rsidRPr="00E8065F">
              <w:rPr>
                <w:color w:val="000000"/>
                <w:sz w:val="20"/>
                <w:szCs w:val="20"/>
              </w:rPr>
              <w:t xml:space="preserve">ГАУЗ </w:t>
            </w:r>
            <w:r w:rsidR="002F7358">
              <w:rPr>
                <w:color w:val="000000"/>
                <w:sz w:val="20"/>
                <w:szCs w:val="20"/>
              </w:rPr>
              <w:t>«</w:t>
            </w:r>
            <w:r w:rsidRPr="00E8065F">
              <w:rPr>
                <w:color w:val="000000"/>
                <w:sz w:val="20"/>
                <w:szCs w:val="20"/>
              </w:rPr>
              <w:t>Альметьевская ЦРБ</w:t>
            </w:r>
            <w:r w:rsidR="002F7358">
              <w:rPr>
                <w:color w:val="000000"/>
                <w:sz w:val="20"/>
                <w:szCs w:val="20"/>
              </w:rPr>
              <w:t>»</w:t>
            </w:r>
          </w:p>
        </w:tc>
        <w:tc>
          <w:tcPr>
            <w:tcW w:w="1994" w:type="dxa"/>
            <w:tcBorders>
              <w:bottom w:val="single" w:sz="4" w:space="0" w:color="auto"/>
            </w:tcBorders>
            <w:shd w:val="clear" w:color="auto" w:fill="auto"/>
          </w:tcPr>
          <w:p w:rsidR="000E54C2" w:rsidRPr="00E8065F" w:rsidRDefault="000E54C2" w:rsidP="00D5127A">
            <w:pPr>
              <w:spacing w:line="235" w:lineRule="auto"/>
              <w:jc w:val="center"/>
              <w:rPr>
                <w:sz w:val="20"/>
                <w:szCs w:val="20"/>
              </w:rPr>
            </w:pPr>
            <w:r w:rsidRPr="00E8065F">
              <w:rPr>
                <w:sz w:val="20"/>
                <w:szCs w:val="20"/>
              </w:rPr>
              <w:t>Магнитно-резонансный томограф</w:t>
            </w:r>
          </w:p>
        </w:tc>
        <w:tc>
          <w:tcPr>
            <w:tcW w:w="1181" w:type="dxa"/>
            <w:tcBorders>
              <w:bottom w:val="single" w:sz="4" w:space="0" w:color="auto"/>
            </w:tcBorders>
            <w:shd w:val="clear" w:color="auto" w:fill="auto"/>
          </w:tcPr>
          <w:p w:rsidR="000E54C2" w:rsidRPr="00E8065F" w:rsidRDefault="000E54C2" w:rsidP="00D5127A">
            <w:pPr>
              <w:spacing w:line="235" w:lineRule="auto"/>
              <w:jc w:val="center"/>
              <w:rPr>
                <w:sz w:val="20"/>
                <w:szCs w:val="20"/>
              </w:rPr>
            </w:pPr>
            <w:r w:rsidRPr="00E8065F">
              <w:rPr>
                <w:sz w:val="20"/>
                <w:szCs w:val="20"/>
              </w:rPr>
              <w:t>2024</w:t>
            </w:r>
          </w:p>
        </w:tc>
        <w:tc>
          <w:tcPr>
            <w:tcW w:w="1181" w:type="dxa"/>
            <w:tcBorders>
              <w:top w:val="nil"/>
              <w:left w:val="single" w:sz="4" w:space="0" w:color="auto"/>
              <w:bottom w:val="single" w:sz="4" w:space="0" w:color="auto"/>
              <w:right w:val="single" w:sz="4" w:space="0" w:color="auto"/>
            </w:tcBorders>
            <w:shd w:val="clear" w:color="auto" w:fill="auto"/>
          </w:tcPr>
          <w:p w:rsidR="000E54C2" w:rsidRPr="00E8065F" w:rsidRDefault="000E54C2" w:rsidP="00D5127A">
            <w:pPr>
              <w:spacing w:line="235" w:lineRule="auto"/>
              <w:jc w:val="center"/>
              <w:rPr>
                <w:color w:val="000000"/>
                <w:sz w:val="20"/>
                <w:szCs w:val="20"/>
              </w:rPr>
            </w:pPr>
            <w:r w:rsidRPr="00E8065F">
              <w:rPr>
                <w:color w:val="000000"/>
                <w:sz w:val="20"/>
                <w:szCs w:val="20"/>
              </w:rPr>
              <w:t>1</w:t>
            </w:r>
          </w:p>
        </w:tc>
        <w:tc>
          <w:tcPr>
            <w:tcW w:w="1478" w:type="dxa"/>
            <w:tcBorders>
              <w:top w:val="nil"/>
              <w:left w:val="single" w:sz="4" w:space="0" w:color="auto"/>
              <w:bottom w:val="single" w:sz="4" w:space="0" w:color="auto"/>
              <w:right w:val="single" w:sz="4" w:space="0" w:color="auto"/>
            </w:tcBorders>
            <w:shd w:val="clear" w:color="auto" w:fill="auto"/>
          </w:tcPr>
          <w:p w:rsidR="000E54C2" w:rsidRPr="00E8065F" w:rsidRDefault="000E54C2" w:rsidP="00D5127A">
            <w:pPr>
              <w:spacing w:line="235" w:lineRule="auto"/>
              <w:jc w:val="center"/>
              <w:rPr>
                <w:color w:val="000000"/>
                <w:sz w:val="20"/>
                <w:szCs w:val="20"/>
              </w:rPr>
            </w:pPr>
          </w:p>
        </w:tc>
        <w:tc>
          <w:tcPr>
            <w:tcW w:w="1111" w:type="dxa"/>
            <w:tcBorders>
              <w:top w:val="nil"/>
              <w:left w:val="single" w:sz="4" w:space="0" w:color="auto"/>
              <w:bottom w:val="single" w:sz="4" w:space="0" w:color="auto"/>
              <w:right w:val="single" w:sz="4" w:space="0" w:color="auto"/>
            </w:tcBorders>
            <w:shd w:val="clear" w:color="auto" w:fill="auto"/>
          </w:tcPr>
          <w:p w:rsidR="000E54C2" w:rsidRPr="00E8065F" w:rsidRDefault="000E54C2" w:rsidP="00D5127A">
            <w:pPr>
              <w:spacing w:line="235" w:lineRule="auto"/>
              <w:jc w:val="center"/>
              <w:rPr>
                <w:color w:val="000000"/>
                <w:sz w:val="20"/>
                <w:szCs w:val="20"/>
              </w:rPr>
            </w:pPr>
          </w:p>
        </w:tc>
        <w:tc>
          <w:tcPr>
            <w:tcW w:w="1944" w:type="dxa"/>
            <w:tcBorders>
              <w:top w:val="nil"/>
              <w:left w:val="single" w:sz="4" w:space="0" w:color="auto"/>
              <w:bottom w:val="single" w:sz="4" w:space="0" w:color="auto"/>
              <w:right w:val="single" w:sz="4" w:space="0" w:color="auto"/>
            </w:tcBorders>
            <w:shd w:val="clear" w:color="auto" w:fill="auto"/>
          </w:tcPr>
          <w:p w:rsidR="000E54C2" w:rsidRPr="00E8065F" w:rsidRDefault="000E54C2" w:rsidP="00D5127A">
            <w:pPr>
              <w:spacing w:line="235" w:lineRule="auto"/>
              <w:jc w:val="center"/>
              <w:rPr>
                <w:color w:val="000000"/>
                <w:sz w:val="20"/>
                <w:szCs w:val="20"/>
              </w:rPr>
            </w:pPr>
            <w:r w:rsidRPr="00E8065F">
              <w:rPr>
                <w:color w:val="000000"/>
                <w:sz w:val="20"/>
                <w:szCs w:val="20"/>
              </w:rPr>
              <w:t>Стационарное</w:t>
            </w:r>
          </w:p>
        </w:tc>
      </w:tr>
      <w:tr w:rsidR="00BA1432" w:rsidRPr="00E8065F" w:rsidTr="000546C2">
        <w:trPr>
          <w:trHeight w:val="20"/>
        </w:trPr>
        <w:tc>
          <w:tcPr>
            <w:tcW w:w="1555" w:type="dxa"/>
            <w:vMerge/>
          </w:tcPr>
          <w:p w:rsidR="000E54C2" w:rsidRPr="00E8065F" w:rsidRDefault="000E54C2" w:rsidP="00D5127A">
            <w:pPr>
              <w:spacing w:line="235" w:lineRule="auto"/>
              <w:rPr>
                <w:sz w:val="20"/>
                <w:szCs w:val="20"/>
              </w:rPr>
            </w:pPr>
          </w:p>
        </w:tc>
        <w:tc>
          <w:tcPr>
            <w:tcW w:w="3685" w:type="dxa"/>
            <w:tcBorders>
              <w:top w:val="single" w:sz="4" w:space="0" w:color="auto"/>
              <w:bottom w:val="single" w:sz="4" w:space="0" w:color="auto"/>
              <w:right w:val="single" w:sz="4" w:space="0" w:color="auto"/>
            </w:tcBorders>
            <w:shd w:val="clear" w:color="auto" w:fill="auto"/>
          </w:tcPr>
          <w:p w:rsidR="000E54C2" w:rsidRPr="00E8065F" w:rsidRDefault="000E54C2" w:rsidP="00D5127A">
            <w:pPr>
              <w:spacing w:line="235" w:lineRule="auto"/>
              <w:jc w:val="both"/>
              <w:rPr>
                <w:color w:val="000000"/>
                <w:sz w:val="20"/>
                <w:szCs w:val="20"/>
              </w:rPr>
            </w:pPr>
            <w:r w:rsidRPr="00E8065F">
              <w:rPr>
                <w:color w:val="000000"/>
                <w:sz w:val="20"/>
                <w:szCs w:val="20"/>
              </w:rPr>
              <w:t xml:space="preserve">ГАУЗ </w:t>
            </w:r>
            <w:r w:rsidR="002F7358">
              <w:rPr>
                <w:color w:val="000000"/>
                <w:sz w:val="20"/>
                <w:szCs w:val="20"/>
              </w:rPr>
              <w:t>«</w:t>
            </w:r>
            <w:r w:rsidRPr="00E8065F">
              <w:rPr>
                <w:color w:val="000000"/>
                <w:sz w:val="20"/>
                <w:szCs w:val="20"/>
              </w:rPr>
              <w:t>Буинская ЦРБ</w:t>
            </w:r>
            <w:r w:rsidR="002F7358">
              <w:rPr>
                <w:color w:val="000000"/>
                <w:sz w:val="20"/>
                <w:szCs w:val="20"/>
              </w:rPr>
              <w:t>»</w:t>
            </w:r>
          </w:p>
        </w:tc>
        <w:tc>
          <w:tcPr>
            <w:tcW w:w="1994" w:type="dxa"/>
            <w:tcBorders>
              <w:top w:val="single" w:sz="4" w:space="0" w:color="auto"/>
              <w:left w:val="single" w:sz="4" w:space="0" w:color="auto"/>
              <w:bottom w:val="single" w:sz="4" w:space="0" w:color="auto"/>
              <w:right w:val="single" w:sz="4" w:space="0" w:color="auto"/>
            </w:tcBorders>
            <w:shd w:val="clear" w:color="auto" w:fill="auto"/>
          </w:tcPr>
          <w:p w:rsidR="000E54C2" w:rsidRPr="00E8065F" w:rsidRDefault="000E54C2" w:rsidP="00D5127A">
            <w:pPr>
              <w:spacing w:line="235" w:lineRule="auto"/>
              <w:jc w:val="center"/>
              <w:rPr>
                <w:sz w:val="20"/>
                <w:szCs w:val="20"/>
              </w:rPr>
            </w:pPr>
            <w:r w:rsidRPr="00E8065F">
              <w:rPr>
                <w:sz w:val="20"/>
                <w:szCs w:val="20"/>
              </w:rPr>
              <w:t>Магнитно-резонансный томограф</w:t>
            </w:r>
          </w:p>
        </w:tc>
        <w:tc>
          <w:tcPr>
            <w:tcW w:w="1181" w:type="dxa"/>
            <w:tcBorders>
              <w:top w:val="single" w:sz="4" w:space="0" w:color="auto"/>
              <w:left w:val="single" w:sz="4" w:space="0" w:color="auto"/>
              <w:bottom w:val="single" w:sz="4" w:space="0" w:color="auto"/>
              <w:right w:val="single" w:sz="4" w:space="0" w:color="auto"/>
            </w:tcBorders>
            <w:shd w:val="clear" w:color="auto" w:fill="auto"/>
          </w:tcPr>
          <w:p w:rsidR="000E54C2" w:rsidRPr="00E8065F" w:rsidRDefault="000E54C2" w:rsidP="00D5127A">
            <w:pPr>
              <w:spacing w:line="235" w:lineRule="auto"/>
              <w:jc w:val="center"/>
              <w:rPr>
                <w:sz w:val="20"/>
                <w:szCs w:val="20"/>
              </w:rPr>
            </w:pPr>
            <w:r w:rsidRPr="00E8065F">
              <w:rPr>
                <w:sz w:val="20"/>
                <w:szCs w:val="20"/>
              </w:rPr>
              <w:t>2021</w:t>
            </w:r>
          </w:p>
        </w:tc>
        <w:tc>
          <w:tcPr>
            <w:tcW w:w="1181" w:type="dxa"/>
            <w:tcBorders>
              <w:top w:val="single" w:sz="4" w:space="0" w:color="auto"/>
              <w:left w:val="single" w:sz="4" w:space="0" w:color="auto"/>
              <w:bottom w:val="single" w:sz="4" w:space="0" w:color="auto"/>
              <w:right w:val="single" w:sz="4" w:space="0" w:color="auto"/>
            </w:tcBorders>
            <w:shd w:val="clear" w:color="auto" w:fill="auto"/>
          </w:tcPr>
          <w:p w:rsidR="000E54C2" w:rsidRPr="00E8065F" w:rsidRDefault="000E54C2" w:rsidP="00D5127A">
            <w:pPr>
              <w:spacing w:line="235" w:lineRule="auto"/>
              <w:jc w:val="center"/>
              <w:rPr>
                <w:color w:val="000000"/>
                <w:sz w:val="20"/>
                <w:szCs w:val="20"/>
              </w:rPr>
            </w:pPr>
            <w:r w:rsidRPr="00E8065F">
              <w:rPr>
                <w:color w:val="000000"/>
                <w:sz w:val="20"/>
                <w:szCs w:val="20"/>
              </w:rPr>
              <w:t>1</w:t>
            </w:r>
          </w:p>
        </w:tc>
        <w:tc>
          <w:tcPr>
            <w:tcW w:w="1478" w:type="dxa"/>
            <w:tcBorders>
              <w:top w:val="single" w:sz="4" w:space="0" w:color="auto"/>
              <w:left w:val="single" w:sz="4" w:space="0" w:color="auto"/>
              <w:bottom w:val="single" w:sz="4" w:space="0" w:color="auto"/>
              <w:right w:val="single" w:sz="4" w:space="0" w:color="auto"/>
            </w:tcBorders>
            <w:shd w:val="clear" w:color="auto" w:fill="auto"/>
          </w:tcPr>
          <w:p w:rsidR="000E54C2" w:rsidRPr="00E8065F" w:rsidRDefault="000E54C2" w:rsidP="00D5127A">
            <w:pPr>
              <w:spacing w:line="235" w:lineRule="auto"/>
              <w:jc w:val="center"/>
              <w:rPr>
                <w:color w:val="000000"/>
                <w:sz w:val="20"/>
                <w:szCs w:val="20"/>
              </w:rPr>
            </w:pPr>
            <w:r w:rsidRPr="00E8065F">
              <w:rPr>
                <w:color w:val="000000"/>
                <w:sz w:val="20"/>
                <w:szCs w:val="20"/>
              </w:rPr>
              <w:t>6</w:t>
            </w:r>
          </w:p>
        </w:tc>
        <w:tc>
          <w:tcPr>
            <w:tcW w:w="1111" w:type="dxa"/>
            <w:tcBorders>
              <w:top w:val="single" w:sz="4" w:space="0" w:color="auto"/>
              <w:left w:val="single" w:sz="4" w:space="0" w:color="auto"/>
              <w:bottom w:val="single" w:sz="4" w:space="0" w:color="auto"/>
              <w:right w:val="single" w:sz="4" w:space="0" w:color="auto"/>
            </w:tcBorders>
            <w:shd w:val="clear" w:color="auto" w:fill="auto"/>
          </w:tcPr>
          <w:p w:rsidR="000E54C2" w:rsidRPr="00E8065F" w:rsidRDefault="000E54C2" w:rsidP="00D5127A">
            <w:pPr>
              <w:spacing w:line="235" w:lineRule="auto"/>
              <w:jc w:val="center"/>
              <w:rPr>
                <w:color w:val="000000"/>
                <w:sz w:val="20"/>
                <w:szCs w:val="20"/>
              </w:rPr>
            </w:pPr>
            <w:r w:rsidRPr="00E8065F">
              <w:rPr>
                <w:color w:val="000000"/>
                <w:sz w:val="20"/>
                <w:szCs w:val="20"/>
              </w:rPr>
              <w:t>2</w:t>
            </w:r>
          </w:p>
        </w:tc>
        <w:tc>
          <w:tcPr>
            <w:tcW w:w="1944" w:type="dxa"/>
            <w:tcBorders>
              <w:top w:val="single" w:sz="4" w:space="0" w:color="auto"/>
              <w:left w:val="single" w:sz="4" w:space="0" w:color="auto"/>
              <w:bottom w:val="single" w:sz="4" w:space="0" w:color="auto"/>
              <w:right w:val="single" w:sz="4" w:space="0" w:color="auto"/>
            </w:tcBorders>
            <w:shd w:val="clear" w:color="auto" w:fill="auto"/>
          </w:tcPr>
          <w:p w:rsidR="000E54C2" w:rsidRPr="00E8065F" w:rsidRDefault="000E54C2" w:rsidP="00D5127A">
            <w:pPr>
              <w:spacing w:line="235" w:lineRule="auto"/>
              <w:jc w:val="center"/>
              <w:rPr>
                <w:color w:val="000000"/>
                <w:sz w:val="20"/>
                <w:szCs w:val="20"/>
              </w:rPr>
            </w:pPr>
            <w:r w:rsidRPr="00E8065F">
              <w:rPr>
                <w:color w:val="000000"/>
                <w:sz w:val="20"/>
                <w:szCs w:val="20"/>
              </w:rPr>
              <w:t>Амбулаторное</w:t>
            </w:r>
          </w:p>
        </w:tc>
      </w:tr>
      <w:tr w:rsidR="00BA1432" w:rsidRPr="00E8065F" w:rsidTr="000546C2">
        <w:trPr>
          <w:trHeight w:val="20"/>
        </w:trPr>
        <w:tc>
          <w:tcPr>
            <w:tcW w:w="1555" w:type="dxa"/>
            <w:vMerge/>
          </w:tcPr>
          <w:p w:rsidR="000E54C2" w:rsidRPr="00E8065F" w:rsidRDefault="000E54C2" w:rsidP="00D5127A">
            <w:pPr>
              <w:spacing w:line="235" w:lineRule="auto"/>
              <w:rPr>
                <w:sz w:val="20"/>
                <w:szCs w:val="20"/>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0E54C2" w:rsidRPr="00E8065F" w:rsidRDefault="000E54C2" w:rsidP="00D5127A">
            <w:pPr>
              <w:spacing w:line="235" w:lineRule="auto"/>
              <w:jc w:val="both"/>
              <w:rPr>
                <w:color w:val="000000"/>
                <w:sz w:val="20"/>
                <w:szCs w:val="20"/>
              </w:rPr>
            </w:pPr>
            <w:r>
              <w:rPr>
                <w:color w:val="000000"/>
                <w:sz w:val="20"/>
                <w:szCs w:val="20"/>
              </w:rPr>
              <w:t xml:space="preserve">ГАУЗ </w:t>
            </w:r>
            <w:r w:rsidR="002F7358">
              <w:rPr>
                <w:sz w:val="20"/>
                <w:szCs w:val="20"/>
              </w:rPr>
              <w:t>«</w:t>
            </w:r>
            <w:r>
              <w:rPr>
                <w:sz w:val="20"/>
                <w:szCs w:val="20"/>
              </w:rPr>
              <w:t>Нижнекамская центральная районная многопрофильная больница</w:t>
            </w:r>
            <w:r w:rsidR="002F7358">
              <w:rPr>
                <w:sz w:val="20"/>
                <w:szCs w:val="20"/>
              </w:rPr>
              <w:t>»</w:t>
            </w:r>
          </w:p>
        </w:tc>
        <w:tc>
          <w:tcPr>
            <w:tcW w:w="1994" w:type="dxa"/>
            <w:tcBorders>
              <w:top w:val="single" w:sz="4" w:space="0" w:color="auto"/>
            </w:tcBorders>
            <w:shd w:val="clear" w:color="auto" w:fill="auto"/>
          </w:tcPr>
          <w:p w:rsidR="000E54C2" w:rsidRPr="00E8065F" w:rsidRDefault="000E54C2" w:rsidP="00D5127A">
            <w:pPr>
              <w:spacing w:line="235" w:lineRule="auto"/>
              <w:jc w:val="center"/>
              <w:rPr>
                <w:sz w:val="20"/>
                <w:szCs w:val="20"/>
              </w:rPr>
            </w:pPr>
            <w:r w:rsidRPr="00E8065F">
              <w:rPr>
                <w:sz w:val="20"/>
                <w:szCs w:val="20"/>
              </w:rPr>
              <w:t>Магнитно-резонансный томограф</w:t>
            </w:r>
          </w:p>
        </w:tc>
        <w:tc>
          <w:tcPr>
            <w:tcW w:w="1181" w:type="dxa"/>
            <w:tcBorders>
              <w:top w:val="single" w:sz="4" w:space="0" w:color="auto"/>
            </w:tcBorders>
            <w:shd w:val="clear" w:color="auto" w:fill="auto"/>
          </w:tcPr>
          <w:p w:rsidR="000E54C2" w:rsidRPr="00E8065F" w:rsidRDefault="000E54C2" w:rsidP="00D5127A">
            <w:pPr>
              <w:spacing w:line="235" w:lineRule="auto"/>
              <w:jc w:val="center"/>
              <w:rPr>
                <w:sz w:val="20"/>
                <w:szCs w:val="20"/>
              </w:rPr>
            </w:pPr>
            <w:r w:rsidRPr="00E8065F">
              <w:rPr>
                <w:sz w:val="20"/>
                <w:szCs w:val="20"/>
              </w:rPr>
              <w:t>2023</w:t>
            </w:r>
          </w:p>
        </w:tc>
        <w:tc>
          <w:tcPr>
            <w:tcW w:w="1181" w:type="dxa"/>
            <w:tcBorders>
              <w:top w:val="single" w:sz="4" w:space="0" w:color="auto"/>
              <w:left w:val="single" w:sz="4" w:space="0" w:color="auto"/>
              <w:bottom w:val="single" w:sz="4" w:space="0" w:color="auto"/>
              <w:right w:val="single" w:sz="4" w:space="0" w:color="auto"/>
            </w:tcBorders>
            <w:shd w:val="clear" w:color="auto" w:fill="auto"/>
          </w:tcPr>
          <w:p w:rsidR="000E54C2" w:rsidRPr="00E8065F" w:rsidRDefault="000E54C2" w:rsidP="00D5127A">
            <w:pPr>
              <w:spacing w:line="235" w:lineRule="auto"/>
              <w:jc w:val="center"/>
              <w:rPr>
                <w:color w:val="000000"/>
                <w:sz w:val="20"/>
                <w:szCs w:val="20"/>
              </w:rPr>
            </w:pPr>
            <w:r w:rsidRPr="00E8065F">
              <w:rPr>
                <w:color w:val="000000"/>
                <w:sz w:val="20"/>
                <w:szCs w:val="20"/>
              </w:rPr>
              <w:t>1</w:t>
            </w:r>
          </w:p>
        </w:tc>
        <w:tc>
          <w:tcPr>
            <w:tcW w:w="1478" w:type="dxa"/>
            <w:tcBorders>
              <w:top w:val="single" w:sz="4" w:space="0" w:color="auto"/>
              <w:left w:val="single" w:sz="4" w:space="0" w:color="auto"/>
              <w:bottom w:val="single" w:sz="4" w:space="0" w:color="auto"/>
              <w:right w:val="single" w:sz="4" w:space="0" w:color="auto"/>
            </w:tcBorders>
            <w:shd w:val="clear" w:color="auto" w:fill="auto"/>
          </w:tcPr>
          <w:p w:rsidR="000E54C2" w:rsidRPr="00E8065F" w:rsidRDefault="000E54C2" w:rsidP="00D5127A">
            <w:pPr>
              <w:spacing w:line="235" w:lineRule="auto"/>
              <w:jc w:val="center"/>
              <w:rPr>
                <w:color w:val="000000"/>
                <w:sz w:val="20"/>
                <w:szCs w:val="20"/>
              </w:rPr>
            </w:pPr>
            <w:r w:rsidRPr="00E8065F">
              <w:rPr>
                <w:color w:val="000000"/>
                <w:sz w:val="20"/>
                <w:szCs w:val="20"/>
              </w:rPr>
              <w:t>11</w:t>
            </w:r>
          </w:p>
        </w:tc>
        <w:tc>
          <w:tcPr>
            <w:tcW w:w="1111" w:type="dxa"/>
            <w:tcBorders>
              <w:top w:val="single" w:sz="4" w:space="0" w:color="auto"/>
              <w:left w:val="single" w:sz="4" w:space="0" w:color="auto"/>
              <w:bottom w:val="single" w:sz="4" w:space="0" w:color="auto"/>
              <w:right w:val="single" w:sz="4" w:space="0" w:color="auto"/>
            </w:tcBorders>
            <w:shd w:val="clear" w:color="auto" w:fill="auto"/>
          </w:tcPr>
          <w:p w:rsidR="000E54C2" w:rsidRPr="00E8065F" w:rsidRDefault="000E54C2" w:rsidP="00D5127A">
            <w:pPr>
              <w:spacing w:line="235" w:lineRule="auto"/>
              <w:jc w:val="center"/>
              <w:rPr>
                <w:color w:val="000000"/>
                <w:sz w:val="20"/>
                <w:szCs w:val="20"/>
              </w:rPr>
            </w:pPr>
            <w:r w:rsidRPr="00E8065F">
              <w:rPr>
                <w:color w:val="000000"/>
                <w:sz w:val="20"/>
                <w:szCs w:val="20"/>
              </w:rPr>
              <w:t>2</w:t>
            </w:r>
          </w:p>
        </w:tc>
        <w:tc>
          <w:tcPr>
            <w:tcW w:w="1944" w:type="dxa"/>
            <w:tcBorders>
              <w:top w:val="single" w:sz="4" w:space="0" w:color="auto"/>
              <w:left w:val="single" w:sz="4" w:space="0" w:color="auto"/>
              <w:bottom w:val="single" w:sz="4" w:space="0" w:color="auto"/>
              <w:right w:val="single" w:sz="4" w:space="0" w:color="auto"/>
            </w:tcBorders>
            <w:shd w:val="clear" w:color="auto" w:fill="auto"/>
          </w:tcPr>
          <w:p w:rsidR="000E54C2" w:rsidRPr="00E8065F" w:rsidRDefault="000E54C2" w:rsidP="00D5127A">
            <w:pPr>
              <w:spacing w:line="235" w:lineRule="auto"/>
              <w:jc w:val="center"/>
              <w:rPr>
                <w:color w:val="000000"/>
                <w:sz w:val="20"/>
                <w:szCs w:val="20"/>
              </w:rPr>
            </w:pPr>
            <w:r w:rsidRPr="00E8065F">
              <w:rPr>
                <w:color w:val="000000"/>
                <w:sz w:val="20"/>
                <w:szCs w:val="20"/>
              </w:rPr>
              <w:t>Амбулаторное</w:t>
            </w:r>
          </w:p>
        </w:tc>
      </w:tr>
      <w:tr w:rsidR="00BA1432" w:rsidRPr="00E8065F" w:rsidTr="000546C2">
        <w:trPr>
          <w:trHeight w:val="20"/>
        </w:trPr>
        <w:tc>
          <w:tcPr>
            <w:tcW w:w="1555" w:type="dxa"/>
            <w:vMerge/>
          </w:tcPr>
          <w:p w:rsidR="000E54C2" w:rsidRPr="00E8065F" w:rsidRDefault="000E54C2" w:rsidP="00D5127A">
            <w:pPr>
              <w:spacing w:line="235" w:lineRule="auto"/>
              <w:rPr>
                <w:sz w:val="20"/>
                <w:szCs w:val="20"/>
              </w:rPr>
            </w:pPr>
          </w:p>
        </w:tc>
        <w:tc>
          <w:tcPr>
            <w:tcW w:w="3685" w:type="dxa"/>
            <w:tcBorders>
              <w:top w:val="nil"/>
              <w:left w:val="single" w:sz="4" w:space="0" w:color="auto"/>
              <w:bottom w:val="single" w:sz="4" w:space="0" w:color="auto"/>
              <w:right w:val="single" w:sz="4" w:space="0" w:color="auto"/>
            </w:tcBorders>
            <w:shd w:val="clear" w:color="auto" w:fill="auto"/>
            <w:vAlign w:val="center"/>
          </w:tcPr>
          <w:p w:rsidR="000E54C2" w:rsidRPr="00E8065F" w:rsidRDefault="000E54C2" w:rsidP="00D5127A">
            <w:pPr>
              <w:spacing w:line="235" w:lineRule="auto"/>
              <w:jc w:val="both"/>
              <w:rPr>
                <w:color w:val="000000"/>
                <w:sz w:val="20"/>
                <w:szCs w:val="20"/>
              </w:rPr>
            </w:pPr>
            <w:r w:rsidRPr="00E8065F">
              <w:rPr>
                <w:color w:val="000000"/>
                <w:sz w:val="20"/>
                <w:szCs w:val="20"/>
              </w:rPr>
              <w:t xml:space="preserve">ГАУЗ </w:t>
            </w:r>
            <w:r w:rsidR="002F7358">
              <w:rPr>
                <w:color w:val="000000"/>
                <w:sz w:val="20"/>
                <w:szCs w:val="20"/>
              </w:rPr>
              <w:t>«</w:t>
            </w:r>
            <w:r w:rsidRPr="00E8065F">
              <w:rPr>
                <w:color w:val="000000"/>
                <w:sz w:val="20"/>
                <w:szCs w:val="20"/>
              </w:rPr>
              <w:t>Городская клин</w:t>
            </w:r>
            <w:r>
              <w:rPr>
                <w:color w:val="000000"/>
                <w:sz w:val="20"/>
                <w:szCs w:val="20"/>
              </w:rPr>
              <w:t>ическая больница №</w:t>
            </w:r>
            <w:r w:rsidR="00D5127A">
              <w:rPr>
                <w:color w:val="000000"/>
                <w:sz w:val="20"/>
                <w:szCs w:val="20"/>
              </w:rPr>
              <w:t xml:space="preserve"> </w:t>
            </w:r>
            <w:r>
              <w:rPr>
                <w:color w:val="000000"/>
                <w:sz w:val="20"/>
                <w:szCs w:val="20"/>
              </w:rPr>
              <w:t>16</w:t>
            </w:r>
            <w:r w:rsidR="002F7358">
              <w:rPr>
                <w:color w:val="000000"/>
                <w:sz w:val="20"/>
                <w:szCs w:val="20"/>
              </w:rPr>
              <w:t>» г.Казани</w:t>
            </w:r>
          </w:p>
        </w:tc>
        <w:tc>
          <w:tcPr>
            <w:tcW w:w="1994" w:type="dxa"/>
            <w:tcBorders>
              <w:bottom w:val="single" w:sz="4" w:space="0" w:color="auto"/>
            </w:tcBorders>
            <w:shd w:val="clear" w:color="auto" w:fill="auto"/>
          </w:tcPr>
          <w:p w:rsidR="000E54C2" w:rsidRPr="00E8065F" w:rsidRDefault="000E54C2" w:rsidP="00D5127A">
            <w:pPr>
              <w:spacing w:line="235" w:lineRule="auto"/>
              <w:jc w:val="center"/>
              <w:rPr>
                <w:sz w:val="20"/>
                <w:szCs w:val="20"/>
              </w:rPr>
            </w:pPr>
            <w:r>
              <w:rPr>
                <w:sz w:val="20"/>
                <w:szCs w:val="20"/>
              </w:rPr>
              <w:t>Магнитно-резонансный томограф</w:t>
            </w:r>
          </w:p>
        </w:tc>
        <w:tc>
          <w:tcPr>
            <w:tcW w:w="1181" w:type="dxa"/>
            <w:tcBorders>
              <w:bottom w:val="single" w:sz="4" w:space="0" w:color="auto"/>
            </w:tcBorders>
            <w:shd w:val="clear" w:color="auto" w:fill="auto"/>
          </w:tcPr>
          <w:p w:rsidR="000E54C2" w:rsidRPr="00E8065F" w:rsidRDefault="000E54C2" w:rsidP="00D5127A">
            <w:pPr>
              <w:spacing w:line="235" w:lineRule="auto"/>
              <w:jc w:val="center"/>
              <w:rPr>
                <w:sz w:val="20"/>
                <w:szCs w:val="20"/>
              </w:rPr>
            </w:pPr>
            <w:r w:rsidRPr="00E8065F">
              <w:rPr>
                <w:sz w:val="20"/>
                <w:szCs w:val="20"/>
              </w:rPr>
              <w:t>2021</w:t>
            </w:r>
          </w:p>
        </w:tc>
        <w:tc>
          <w:tcPr>
            <w:tcW w:w="1181" w:type="dxa"/>
            <w:tcBorders>
              <w:top w:val="nil"/>
              <w:left w:val="single" w:sz="4" w:space="0" w:color="auto"/>
              <w:bottom w:val="single" w:sz="4" w:space="0" w:color="auto"/>
              <w:right w:val="single" w:sz="4" w:space="0" w:color="auto"/>
            </w:tcBorders>
            <w:shd w:val="clear" w:color="auto" w:fill="auto"/>
          </w:tcPr>
          <w:p w:rsidR="000E54C2" w:rsidRPr="00E8065F" w:rsidRDefault="000E54C2" w:rsidP="00D5127A">
            <w:pPr>
              <w:spacing w:line="235" w:lineRule="auto"/>
              <w:jc w:val="center"/>
              <w:rPr>
                <w:color w:val="000000"/>
                <w:sz w:val="20"/>
                <w:szCs w:val="20"/>
              </w:rPr>
            </w:pPr>
            <w:r w:rsidRPr="00E8065F">
              <w:rPr>
                <w:color w:val="000000"/>
                <w:sz w:val="20"/>
                <w:szCs w:val="20"/>
              </w:rPr>
              <w:t>1</w:t>
            </w:r>
          </w:p>
        </w:tc>
        <w:tc>
          <w:tcPr>
            <w:tcW w:w="1478" w:type="dxa"/>
            <w:tcBorders>
              <w:top w:val="nil"/>
              <w:left w:val="single" w:sz="4" w:space="0" w:color="auto"/>
              <w:bottom w:val="single" w:sz="4" w:space="0" w:color="auto"/>
              <w:right w:val="single" w:sz="4" w:space="0" w:color="auto"/>
            </w:tcBorders>
            <w:shd w:val="clear" w:color="auto" w:fill="auto"/>
          </w:tcPr>
          <w:p w:rsidR="000E54C2" w:rsidRPr="00E8065F" w:rsidRDefault="000E54C2" w:rsidP="00D5127A">
            <w:pPr>
              <w:spacing w:line="235" w:lineRule="auto"/>
              <w:jc w:val="center"/>
              <w:rPr>
                <w:color w:val="000000"/>
                <w:sz w:val="20"/>
                <w:szCs w:val="20"/>
              </w:rPr>
            </w:pPr>
            <w:r w:rsidRPr="00E8065F">
              <w:rPr>
                <w:color w:val="000000"/>
                <w:sz w:val="20"/>
                <w:szCs w:val="20"/>
              </w:rPr>
              <w:t>0</w:t>
            </w:r>
          </w:p>
        </w:tc>
        <w:tc>
          <w:tcPr>
            <w:tcW w:w="1111" w:type="dxa"/>
            <w:tcBorders>
              <w:top w:val="nil"/>
              <w:left w:val="single" w:sz="4" w:space="0" w:color="auto"/>
              <w:bottom w:val="single" w:sz="4" w:space="0" w:color="auto"/>
              <w:right w:val="single" w:sz="4" w:space="0" w:color="auto"/>
            </w:tcBorders>
            <w:shd w:val="clear" w:color="auto" w:fill="auto"/>
          </w:tcPr>
          <w:p w:rsidR="000E54C2" w:rsidRPr="00E8065F" w:rsidRDefault="000E54C2" w:rsidP="00D5127A">
            <w:pPr>
              <w:spacing w:line="235" w:lineRule="auto"/>
              <w:jc w:val="center"/>
              <w:rPr>
                <w:color w:val="000000"/>
                <w:sz w:val="20"/>
                <w:szCs w:val="20"/>
              </w:rPr>
            </w:pPr>
            <w:r w:rsidRPr="00E8065F">
              <w:rPr>
                <w:color w:val="000000"/>
                <w:sz w:val="20"/>
                <w:szCs w:val="20"/>
              </w:rPr>
              <w:t>2</w:t>
            </w:r>
          </w:p>
        </w:tc>
        <w:tc>
          <w:tcPr>
            <w:tcW w:w="1944" w:type="dxa"/>
            <w:tcBorders>
              <w:top w:val="nil"/>
              <w:left w:val="single" w:sz="4" w:space="0" w:color="auto"/>
              <w:bottom w:val="single" w:sz="4" w:space="0" w:color="auto"/>
              <w:right w:val="single" w:sz="4" w:space="0" w:color="auto"/>
            </w:tcBorders>
            <w:shd w:val="clear" w:color="auto" w:fill="auto"/>
          </w:tcPr>
          <w:p w:rsidR="000E54C2" w:rsidRPr="00E8065F" w:rsidRDefault="000E54C2" w:rsidP="00D5127A">
            <w:pPr>
              <w:spacing w:line="235" w:lineRule="auto"/>
              <w:jc w:val="center"/>
              <w:rPr>
                <w:color w:val="000000"/>
                <w:sz w:val="20"/>
                <w:szCs w:val="20"/>
              </w:rPr>
            </w:pPr>
            <w:r w:rsidRPr="00E8065F">
              <w:rPr>
                <w:color w:val="000000"/>
                <w:sz w:val="20"/>
                <w:szCs w:val="20"/>
              </w:rPr>
              <w:t>Амбулаторное</w:t>
            </w:r>
          </w:p>
        </w:tc>
      </w:tr>
      <w:tr w:rsidR="00BA1432" w:rsidRPr="00E8065F" w:rsidTr="000546C2">
        <w:trPr>
          <w:trHeight w:val="20"/>
        </w:trPr>
        <w:tc>
          <w:tcPr>
            <w:tcW w:w="1555" w:type="dxa"/>
            <w:vMerge/>
          </w:tcPr>
          <w:p w:rsidR="000E54C2" w:rsidRPr="00E8065F" w:rsidRDefault="000E54C2" w:rsidP="00D5127A">
            <w:pPr>
              <w:spacing w:line="235" w:lineRule="auto"/>
              <w:rPr>
                <w:sz w:val="20"/>
                <w:szCs w:val="20"/>
              </w:rPr>
            </w:pPr>
          </w:p>
        </w:tc>
        <w:tc>
          <w:tcPr>
            <w:tcW w:w="3685" w:type="dxa"/>
            <w:tcBorders>
              <w:top w:val="single" w:sz="4" w:space="0" w:color="auto"/>
              <w:bottom w:val="single" w:sz="4" w:space="0" w:color="auto"/>
              <w:right w:val="single" w:sz="4" w:space="0" w:color="auto"/>
            </w:tcBorders>
            <w:shd w:val="clear" w:color="auto" w:fill="auto"/>
          </w:tcPr>
          <w:p w:rsidR="000E54C2" w:rsidRPr="00E8065F" w:rsidRDefault="000E54C2" w:rsidP="00D5127A">
            <w:pPr>
              <w:spacing w:line="235" w:lineRule="auto"/>
              <w:jc w:val="both"/>
              <w:rPr>
                <w:color w:val="000000"/>
                <w:sz w:val="20"/>
                <w:szCs w:val="20"/>
              </w:rPr>
            </w:pPr>
            <w:r>
              <w:rPr>
                <w:color w:val="000000"/>
                <w:sz w:val="20"/>
                <w:szCs w:val="20"/>
              </w:rPr>
              <w:t xml:space="preserve">ГАУЗ </w:t>
            </w:r>
            <w:r w:rsidR="002F7358">
              <w:rPr>
                <w:color w:val="000000"/>
                <w:sz w:val="20"/>
                <w:szCs w:val="20"/>
              </w:rPr>
              <w:t>«</w:t>
            </w:r>
            <w:r>
              <w:rPr>
                <w:color w:val="000000"/>
                <w:sz w:val="20"/>
                <w:szCs w:val="20"/>
              </w:rPr>
              <w:t>Городс</w:t>
            </w:r>
            <w:r w:rsidR="00D5127A">
              <w:rPr>
                <w:color w:val="000000"/>
                <w:sz w:val="20"/>
                <w:szCs w:val="20"/>
              </w:rPr>
              <w:t>кая клиническая больница № 7 им.</w:t>
            </w:r>
            <w:r>
              <w:rPr>
                <w:color w:val="000000"/>
                <w:sz w:val="20"/>
                <w:szCs w:val="20"/>
              </w:rPr>
              <w:t>М.Н.Садыкова</w:t>
            </w:r>
            <w:r w:rsidR="002F7358">
              <w:rPr>
                <w:color w:val="000000"/>
                <w:sz w:val="20"/>
                <w:szCs w:val="20"/>
              </w:rPr>
              <w:t>»</w:t>
            </w:r>
            <w:r>
              <w:rPr>
                <w:color w:val="000000"/>
                <w:sz w:val="20"/>
                <w:szCs w:val="20"/>
              </w:rPr>
              <w:t xml:space="preserve"> г.Казани</w:t>
            </w:r>
          </w:p>
        </w:tc>
        <w:tc>
          <w:tcPr>
            <w:tcW w:w="1994" w:type="dxa"/>
            <w:tcBorders>
              <w:top w:val="single" w:sz="4" w:space="0" w:color="auto"/>
              <w:left w:val="single" w:sz="4" w:space="0" w:color="auto"/>
              <w:bottom w:val="single" w:sz="4" w:space="0" w:color="auto"/>
              <w:right w:val="single" w:sz="4" w:space="0" w:color="auto"/>
            </w:tcBorders>
            <w:shd w:val="clear" w:color="auto" w:fill="auto"/>
          </w:tcPr>
          <w:p w:rsidR="000E54C2" w:rsidRPr="00E8065F" w:rsidRDefault="000E54C2" w:rsidP="00D5127A">
            <w:pPr>
              <w:spacing w:line="235" w:lineRule="auto"/>
              <w:jc w:val="center"/>
              <w:rPr>
                <w:sz w:val="20"/>
                <w:szCs w:val="20"/>
              </w:rPr>
            </w:pPr>
            <w:r w:rsidRPr="00E8065F">
              <w:rPr>
                <w:sz w:val="20"/>
                <w:szCs w:val="20"/>
              </w:rPr>
              <w:t>Магнитно-резонансный томограф</w:t>
            </w:r>
          </w:p>
        </w:tc>
        <w:tc>
          <w:tcPr>
            <w:tcW w:w="1181" w:type="dxa"/>
            <w:tcBorders>
              <w:top w:val="single" w:sz="4" w:space="0" w:color="auto"/>
              <w:left w:val="single" w:sz="4" w:space="0" w:color="auto"/>
              <w:bottom w:val="single" w:sz="4" w:space="0" w:color="auto"/>
              <w:right w:val="single" w:sz="4" w:space="0" w:color="auto"/>
            </w:tcBorders>
            <w:shd w:val="clear" w:color="auto" w:fill="auto"/>
          </w:tcPr>
          <w:p w:rsidR="000E54C2" w:rsidRPr="00E8065F" w:rsidRDefault="000E54C2" w:rsidP="00D5127A">
            <w:pPr>
              <w:spacing w:line="235" w:lineRule="auto"/>
              <w:jc w:val="center"/>
              <w:rPr>
                <w:sz w:val="20"/>
                <w:szCs w:val="20"/>
              </w:rPr>
            </w:pPr>
            <w:r w:rsidRPr="00E8065F">
              <w:rPr>
                <w:sz w:val="20"/>
                <w:szCs w:val="20"/>
              </w:rPr>
              <w:t>2013</w:t>
            </w:r>
            <w:r w:rsidR="003D79B3">
              <w:rPr>
                <w:sz w:val="20"/>
                <w:szCs w:val="20"/>
              </w:rPr>
              <w:t xml:space="preserve"> </w:t>
            </w:r>
            <w:r w:rsidR="00D81DCD">
              <w:rPr>
                <w:sz w:val="20"/>
                <w:szCs w:val="20"/>
              </w:rPr>
              <w:t>(1)</w:t>
            </w:r>
          </w:p>
          <w:p w:rsidR="000E54C2" w:rsidRPr="00E8065F" w:rsidRDefault="000E54C2" w:rsidP="00D5127A">
            <w:pPr>
              <w:spacing w:line="235" w:lineRule="auto"/>
              <w:jc w:val="center"/>
              <w:rPr>
                <w:sz w:val="20"/>
                <w:szCs w:val="20"/>
              </w:rPr>
            </w:pPr>
            <w:r w:rsidRPr="00E8065F">
              <w:rPr>
                <w:sz w:val="20"/>
                <w:szCs w:val="20"/>
              </w:rPr>
              <w:t>2018</w:t>
            </w:r>
            <w:r w:rsidR="003D79B3">
              <w:rPr>
                <w:sz w:val="20"/>
                <w:szCs w:val="20"/>
              </w:rPr>
              <w:t xml:space="preserve"> </w:t>
            </w:r>
            <w:r w:rsidR="00D81DCD">
              <w:rPr>
                <w:sz w:val="20"/>
                <w:szCs w:val="20"/>
              </w:rPr>
              <w:t>(1)</w:t>
            </w:r>
          </w:p>
          <w:p w:rsidR="000E54C2" w:rsidRPr="00E8065F" w:rsidRDefault="000E54C2" w:rsidP="00D5127A">
            <w:pPr>
              <w:spacing w:line="235" w:lineRule="auto"/>
              <w:jc w:val="center"/>
              <w:rPr>
                <w:sz w:val="20"/>
                <w:szCs w:val="20"/>
              </w:rPr>
            </w:pPr>
            <w:r w:rsidRPr="00E8065F">
              <w:rPr>
                <w:sz w:val="20"/>
                <w:szCs w:val="20"/>
              </w:rPr>
              <w:t>2022</w:t>
            </w:r>
            <w:r w:rsidR="003D79B3">
              <w:rPr>
                <w:sz w:val="20"/>
                <w:szCs w:val="20"/>
              </w:rPr>
              <w:t xml:space="preserve"> </w:t>
            </w:r>
            <w:r w:rsidR="00D81DCD">
              <w:rPr>
                <w:sz w:val="20"/>
                <w:szCs w:val="20"/>
              </w:rPr>
              <w:t>(1)</w:t>
            </w:r>
          </w:p>
          <w:p w:rsidR="000E54C2" w:rsidRPr="00E8065F" w:rsidRDefault="000E54C2" w:rsidP="00D5127A">
            <w:pPr>
              <w:spacing w:line="235" w:lineRule="auto"/>
              <w:jc w:val="center"/>
              <w:rPr>
                <w:sz w:val="20"/>
                <w:szCs w:val="20"/>
              </w:rPr>
            </w:pPr>
            <w:r>
              <w:rPr>
                <w:sz w:val="20"/>
                <w:szCs w:val="20"/>
              </w:rPr>
              <w:t>2023</w:t>
            </w:r>
            <w:r w:rsidR="003D79B3">
              <w:rPr>
                <w:sz w:val="20"/>
                <w:szCs w:val="20"/>
              </w:rPr>
              <w:t xml:space="preserve"> </w:t>
            </w:r>
            <w:r w:rsidR="00D81DCD">
              <w:rPr>
                <w:sz w:val="20"/>
                <w:szCs w:val="20"/>
              </w:rPr>
              <w:t>(1)</w:t>
            </w:r>
          </w:p>
        </w:tc>
        <w:tc>
          <w:tcPr>
            <w:tcW w:w="1181" w:type="dxa"/>
            <w:tcBorders>
              <w:top w:val="single" w:sz="4" w:space="0" w:color="auto"/>
              <w:left w:val="single" w:sz="4" w:space="0" w:color="auto"/>
              <w:bottom w:val="single" w:sz="4" w:space="0" w:color="auto"/>
              <w:right w:val="single" w:sz="4" w:space="0" w:color="auto"/>
            </w:tcBorders>
            <w:shd w:val="clear" w:color="auto" w:fill="auto"/>
          </w:tcPr>
          <w:p w:rsidR="000E54C2" w:rsidRPr="00E8065F" w:rsidRDefault="000E54C2" w:rsidP="00D5127A">
            <w:pPr>
              <w:spacing w:line="235" w:lineRule="auto"/>
              <w:jc w:val="center"/>
              <w:rPr>
                <w:color w:val="000000"/>
                <w:sz w:val="20"/>
                <w:szCs w:val="20"/>
              </w:rPr>
            </w:pPr>
            <w:r w:rsidRPr="00E8065F">
              <w:rPr>
                <w:color w:val="000000"/>
                <w:sz w:val="20"/>
                <w:szCs w:val="20"/>
              </w:rPr>
              <w:t>4</w:t>
            </w:r>
          </w:p>
        </w:tc>
        <w:tc>
          <w:tcPr>
            <w:tcW w:w="1478" w:type="dxa"/>
            <w:tcBorders>
              <w:top w:val="single" w:sz="4" w:space="0" w:color="auto"/>
              <w:left w:val="single" w:sz="4" w:space="0" w:color="auto"/>
              <w:bottom w:val="single" w:sz="4" w:space="0" w:color="auto"/>
              <w:right w:val="single" w:sz="4" w:space="0" w:color="auto"/>
            </w:tcBorders>
            <w:shd w:val="clear" w:color="auto" w:fill="auto"/>
          </w:tcPr>
          <w:p w:rsidR="000E54C2" w:rsidRPr="00E8065F" w:rsidRDefault="000E54C2" w:rsidP="00D5127A">
            <w:pPr>
              <w:spacing w:line="235" w:lineRule="auto"/>
              <w:jc w:val="center"/>
              <w:rPr>
                <w:color w:val="000000"/>
                <w:sz w:val="20"/>
                <w:szCs w:val="20"/>
              </w:rPr>
            </w:pPr>
            <w:r w:rsidRPr="00E8065F">
              <w:rPr>
                <w:color w:val="000000"/>
                <w:sz w:val="20"/>
                <w:szCs w:val="20"/>
              </w:rPr>
              <w:t>35</w:t>
            </w:r>
          </w:p>
        </w:tc>
        <w:tc>
          <w:tcPr>
            <w:tcW w:w="1111" w:type="dxa"/>
            <w:tcBorders>
              <w:top w:val="single" w:sz="4" w:space="0" w:color="auto"/>
              <w:left w:val="single" w:sz="4" w:space="0" w:color="auto"/>
              <w:bottom w:val="single" w:sz="4" w:space="0" w:color="auto"/>
              <w:right w:val="single" w:sz="4" w:space="0" w:color="auto"/>
            </w:tcBorders>
            <w:shd w:val="clear" w:color="auto" w:fill="auto"/>
          </w:tcPr>
          <w:p w:rsidR="000E54C2" w:rsidRPr="00E8065F" w:rsidRDefault="000E54C2" w:rsidP="00D5127A">
            <w:pPr>
              <w:spacing w:line="235" w:lineRule="auto"/>
              <w:jc w:val="center"/>
              <w:rPr>
                <w:color w:val="000000"/>
                <w:sz w:val="20"/>
                <w:szCs w:val="20"/>
              </w:rPr>
            </w:pPr>
            <w:r w:rsidRPr="00E8065F">
              <w:rPr>
                <w:color w:val="000000"/>
                <w:sz w:val="20"/>
                <w:szCs w:val="20"/>
              </w:rPr>
              <w:t>2</w:t>
            </w:r>
          </w:p>
        </w:tc>
        <w:tc>
          <w:tcPr>
            <w:tcW w:w="1944" w:type="dxa"/>
            <w:tcBorders>
              <w:top w:val="single" w:sz="4" w:space="0" w:color="auto"/>
              <w:left w:val="single" w:sz="4" w:space="0" w:color="auto"/>
              <w:bottom w:val="single" w:sz="4" w:space="0" w:color="auto"/>
              <w:right w:val="single" w:sz="4" w:space="0" w:color="auto"/>
            </w:tcBorders>
            <w:shd w:val="clear" w:color="auto" w:fill="auto"/>
          </w:tcPr>
          <w:p w:rsidR="000E54C2" w:rsidRPr="00E8065F" w:rsidRDefault="000E54C2" w:rsidP="00D5127A">
            <w:pPr>
              <w:spacing w:line="235" w:lineRule="auto"/>
              <w:jc w:val="center"/>
              <w:rPr>
                <w:color w:val="000000"/>
                <w:sz w:val="20"/>
                <w:szCs w:val="20"/>
              </w:rPr>
            </w:pPr>
            <w:r w:rsidRPr="00E8065F">
              <w:rPr>
                <w:color w:val="000000"/>
                <w:sz w:val="20"/>
                <w:szCs w:val="20"/>
              </w:rPr>
              <w:t>Амбулаторное</w:t>
            </w:r>
          </w:p>
        </w:tc>
      </w:tr>
      <w:tr w:rsidR="00BA1432" w:rsidRPr="00E8065F" w:rsidTr="000546C2">
        <w:trPr>
          <w:trHeight w:val="20"/>
        </w:trPr>
        <w:tc>
          <w:tcPr>
            <w:tcW w:w="1555" w:type="dxa"/>
            <w:vMerge/>
          </w:tcPr>
          <w:p w:rsidR="000E54C2" w:rsidRPr="00E8065F" w:rsidRDefault="000E54C2" w:rsidP="00D5127A">
            <w:pPr>
              <w:spacing w:line="235" w:lineRule="auto"/>
              <w:rPr>
                <w:sz w:val="20"/>
                <w:szCs w:val="20"/>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0E54C2" w:rsidRPr="00E8065F" w:rsidRDefault="000E54C2" w:rsidP="005126B4">
            <w:pPr>
              <w:spacing w:line="235" w:lineRule="auto"/>
              <w:jc w:val="both"/>
              <w:rPr>
                <w:color w:val="000000"/>
                <w:sz w:val="20"/>
                <w:szCs w:val="20"/>
              </w:rPr>
            </w:pPr>
            <w:r>
              <w:rPr>
                <w:color w:val="000000"/>
                <w:sz w:val="20"/>
                <w:szCs w:val="20"/>
              </w:rPr>
              <w:t xml:space="preserve">ГАУЗ </w:t>
            </w:r>
            <w:r>
              <w:rPr>
                <w:rFonts w:eastAsia="Calibri"/>
                <w:sz w:val="20"/>
                <w:szCs w:val="20"/>
              </w:rPr>
              <w:t xml:space="preserve">Республики Татарстан </w:t>
            </w:r>
            <w:r w:rsidR="002F7358">
              <w:rPr>
                <w:rFonts w:eastAsia="Calibri"/>
                <w:sz w:val="20"/>
                <w:szCs w:val="20"/>
              </w:rPr>
              <w:t>«</w:t>
            </w:r>
            <w:r>
              <w:rPr>
                <w:rFonts w:eastAsia="Calibri"/>
                <w:sz w:val="20"/>
                <w:szCs w:val="20"/>
              </w:rPr>
              <w:t>Больница скорой медицинской помощи</w:t>
            </w:r>
            <w:r w:rsidR="005126B4">
              <w:rPr>
                <w:rFonts w:eastAsia="Calibri"/>
                <w:sz w:val="20"/>
                <w:szCs w:val="20"/>
              </w:rPr>
              <w:t xml:space="preserve"> им. Р.С.Акчурина»</w:t>
            </w:r>
            <w:r>
              <w:rPr>
                <w:rFonts w:eastAsia="Calibri"/>
                <w:sz w:val="20"/>
                <w:szCs w:val="20"/>
              </w:rPr>
              <w:t xml:space="preserve"> </w:t>
            </w:r>
            <w:r>
              <w:rPr>
                <w:sz w:val="20"/>
                <w:szCs w:val="20"/>
              </w:rPr>
              <w:t>г.Набережные Челны</w:t>
            </w:r>
          </w:p>
        </w:tc>
        <w:tc>
          <w:tcPr>
            <w:tcW w:w="1994" w:type="dxa"/>
            <w:tcBorders>
              <w:top w:val="single" w:sz="4" w:space="0" w:color="auto"/>
            </w:tcBorders>
            <w:shd w:val="clear" w:color="auto" w:fill="auto"/>
          </w:tcPr>
          <w:p w:rsidR="000E54C2" w:rsidRPr="00E8065F" w:rsidRDefault="000E54C2" w:rsidP="00D5127A">
            <w:pPr>
              <w:spacing w:line="235" w:lineRule="auto"/>
              <w:jc w:val="center"/>
              <w:rPr>
                <w:sz w:val="20"/>
                <w:szCs w:val="20"/>
              </w:rPr>
            </w:pPr>
            <w:r w:rsidRPr="00E8065F">
              <w:rPr>
                <w:sz w:val="20"/>
                <w:szCs w:val="20"/>
              </w:rPr>
              <w:t>Магнитно-резонансный томограф</w:t>
            </w:r>
          </w:p>
        </w:tc>
        <w:tc>
          <w:tcPr>
            <w:tcW w:w="1181" w:type="dxa"/>
            <w:tcBorders>
              <w:top w:val="single" w:sz="4" w:space="0" w:color="auto"/>
            </w:tcBorders>
            <w:shd w:val="clear" w:color="auto" w:fill="auto"/>
          </w:tcPr>
          <w:p w:rsidR="000E54C2" w:rsidRPr="00E8065F" w:rsidRDefault="000E54C2" w:rsidP="00D5127A">
            <w:pPr>
              <w:spacing w:line="235" w:lineRule="auto"/>
              <w:jc w:val="center"/>
              <w:rPr>
                <w:sz w:val="20"/>
                <w:szCs w:val="20"/>
              </w:rPr>
            </w:pPr>
            <w:r w:rsidRPr="00E8065F">
              <w:rPr>
                <w:sz w:val="20"/>
                <w:szCs w:val="20"/>
              </w:rPr>
              <w:t>2010</w:t>
            </w:r>
          </w:p>
        </w:tc>
        <w:tc>
          <w:tcPr>
            <w:tcW w:w="1181" w:type="dxa"/>
            <w:tcBorders>
              <w:top w:val="single" w:sz="4" w:space="0" w:color="auto"/>
              <w:left w:val="single" w:sz="4" w:space="0" w:color="auto"/>
              <w:bottom w:val="single" w:sz="4" w:space="0" w:color="auto"/>
              <w:right w:val="single" w:sz="4" w:space="0" w:color="auto"/>
            </w:tcBorders>
            <w:shd w:val="clear" w:color="auto" w:fill="auto"/>
          </w:tcPr>
          <w:p w:rsidR="000E54C2" w:rsidRPr="00E8065F" w:rsidRDefault="000E54C2" w:rsidP="00D5127A">
            <w:pPr>
              <w:spacing w:line="235" w:lineRule="auto"/>
              <w:jc w:val="center"/>
              <w:rPr>
                <w:color w:val="000000"/>
                <w:sz w:val="20"/>
                <w:szCs w:val="20"/>
              </w:rPr>
            </w:pPr>
            <w:r w:rsidRPr="00E8065F">
              <w:rPr>
                <w:color w:val="000000"/>
                <w:sz w:val="20"/>
                <w:szCs w:val="20"/>
              </w:rPr>
              <w:t>1</w:t>
            </w:r>
          </w:p>
        </w:tc>
        <w:tc>
          <w:tcPr>
            <w:tcW w:w="1478" w:type="dxa"/>
            <w:tcBorders>
              <w:top w:val="single" w:sz="4" w:space="0" w:color="auto"/>
              <w:left w:val="single" w:sz="4" w:space="0" w:color="auto"/>
              <w:bottom w:val="single" w:sz="4" w:space="0" w:color="auto"/>
              <w:right w:val="single" w:sz="4" w:space="0" w:color="auto"/>
            </w:tcBorders>
            <w:shd w:val="clear" w:color="auto" w:fill="auto"/>
          </w:tcPr>
          <w:p w:rsidR="000E54C2" w:rsidRPr="00E8065F" w:rsidRDefault="000E54C2" w:rsidP="00D5127A">
            <w:pPr>
              <w:spacing w:line="235" w:lineRule="auto"/>
              <w:jc w:val="center"/>
              <w:rPr>
                <w:color w:val="000000"/>
                <w:sz w:val="20"/>
                <w:szCs w:val="20"/>
              </w:rPr>
            </w:pPr>
            <w:r w:rsidRPr="00E8065F">
              <w:rPr>
                <w:color w:val="000000"/>
                <w:sz w:val="20"/>
                <w:szCs w:val="20"/>
              </w:rPr>
              <w:t>17</w:t>
            </w:r>
          </w:p>
        </w:tc>
        <w:tc>
          <w:tcPr>
            <w:tcW w:w="1111" w:type="dxa"/>
            <w:tcBorders>
              <w:top w:val="single" w:sz="4" w:space="0" w:color="auto"/>
              <w:left w:val="single" w:sz="4" w:space="0" w:color="auto"/>
              <w:bottom w:val="single" w:sz="4" w:space="0" w:color="auto"/>
              <w:right w:val="single" w:sz="4" w:space="0" w:color="auto"/>
            </w:tcBorders>
            <w:shd w:val="clear" w:color="auto" w:fill="auto"/>
          </w:tcPr>
          <w:p w:rsidR="000E54C2" w:rsidRPr="00E8065F" w:rsidRDefault="000E54C2" w:rsidP="00D5127A">
            <w:pPr>
              <w:spacing w:line="235" w:lineRule="auto"/>
              <w:jc w:val="center"/>
              <w:rPr>
                <w:color w:val="000000"/>
                <w:sz w:val="20"/>
                <w:szCs w:val="20"/>
              </w:rPr>
            </w:pPr>
            <w:r w:rsidRPr="00E8065F">
              <w:rPr>
                <w:color w:val="000000"/>
                <w:sz w:val="20"/>
                <w:szCs w:val="20"/>
              </w:rPr>
              <w:t>2</w:t>
            </w:r>
          </w:p>
        </w:tc>
        <w:tc>
          <w:tcPr>
            <w:tcW w:w="1944" w:type="dxa"/>
            <w:tcBorders>
              <w:top w:val="single" w:sz="4" w:space="0" w:color="auto"/>
              <w:left w:val="single" w:sz="4" w:space="0" w:color="auto"/>
              <w:bottom w:val="single" w:sz="4" w:space="0" w:color="auto"/>
              <w:right w:val="single" w:sz="4" w:space="0" w:color="auto"/>
            </w:tcBorders>
            <w:shd w:val="clear" w:color="auto" w:fill="auto"/>
          </w:tcPr>
          <w:p w:rsidR="000E54C2" w:rsidRPr="00E8065F" w:rsidRDefault="000E54C2" w:rsidP="00D5127A">
            <w:pPr>
              <w:spacing w:line="235" w:lineRule="auto"/>
              <w:jc w:val="center"/>
              <w:rPr>
                <w:color w:val="000000"/>
                <w:sz w:val="20"/>
                <w:szCs w:val="20"/>
              </w:rPr>
            </w:pPr>
            <w:r w:rsidRPr="00E8065F">
              <w:rPr>
                <w:color w:val="000000"/>
                <w:sz w:val="20"/>
                <w:szCs w:val="20"/>
              </w:rPr>
              <w:t>Стационарное</w:t>
            </w:r>
          </w:p>
        </w:tc>
      </w:tr>
      <w:tr w:rsidR="00BA1432" w:rsidRPr="00E8065F" w:rsidTr="000546C2">
        <w:trPr>
          <w:trHeight w:val="20"/>
        </w:trPr>
        <w:tc>
          <w:tcPr>
            <w:tcW w:w="1555" w:type="dxa"/>
            <w:vMerge/>
          </w:tcPr>
          <w:p w:rsidR="000E54C2" w:rsidRPr="00E8065F" w:rsidRDefault="000E54C2" w:rsidP="00D5127A">
            <w:pPr>
              <w:spacing w:line="235" w:lineRule="auto"/>
              <w:rPr>
                <w:sz w:val="20"/>
                <w:szCs w:val="20"/>
              </w:rPr>
            </w:pPr>
          </w:p>
        </w:tc>
        <w:tc>
          <w:tcPr>
            <w:tcW w:w="3685" w:type="dxa"/>
            <w:tcBorders>
              <w:top w:val="nil"/>
              <w:left w:val="single" w:sz="4" w:space="0" w:color="auto"/>
              <w:bottom w:val="single" w:sz="4" w:space="0" w:color="auto"/>
              <w:right w:val="single" w:sz="4" w:space="0" w:color="auto"/>
            </w:tcBorders>
            <w:shd w:val="clear" w:color="auto" w:fill="auto"/>
          </w:tcPr>
          <w:p w:rsidR="000E54C2" w:rsidRPr="00E8065F" w:rsidRDefault="000E54C2" w:rsidP="00D5127A">
            <w:pPr>
              <w:spacing w:line="235" w:lineRule="auto"/>
              <w:jc w:val="both"/>
              <w:rPr>
                <w:color w:val="000000"/>
                <w:sz w:val="20"/>
                <w:szCs w:val="20"/>
              </w:rPr>
            </w:pPr>
            <w:r>
              <w:rPr>
                <w:color w:val="000000"/>
                <w:sz w:val="20"/>
                <w:szCs w:val="20"/>
              </w:rPr>
              <w:t xml:space="preserve">ГАУЗ </w:t>
            </w:r>
            <w:r w:rsidR="002F7358">
              <w:rPr>
                <w:rFonts w:eastAsia="Calibri"/>
                <w:sz w:val="20"/>
                <w:szCs w:val="20"/>
              </w:rPr>
              <w:t>«</w:t>
            </w:r>
            <w:r>
              <w:rPr>
                <w:rFonts w:eastAsia="Calibri"/>
                <w:sz w:val="20"/>
                <w:szCs w:val="20"/>
              </w:rPr>
              <w:t>Детская республиканская клиническая больница Министерства здравоохранения Республики Татарстан</w:t>
            </w:r>
            <w:r w:rsidR="002F7358">
              <w:rPr>
                <w:rFonts w:eastAsia="Calibri"/>
                <w:sz w:val="20"/>
                <w:szCs w:val="20"/>
              </w:rPr>
              <w:t>»</w:t>
            </w:r>
          </w:p>
        </w:tc>
        <w:tc>
          <w:tcPr>
            <w:tcW w:w="1994" w:type="dxa"/>
            <w:tcBorders>
              <w:bottom w:val="single" w:sz="4" w:space="0" w:color="auto"/>
            </w:tcBorders>
            <w:shd w:val="clear" w:color="auto" w:fill="auto"/>
          </w:tcPr>
          <w:p w:rsidR="000E54C2" w:rsidRPr="00E8065F" w:rsidRDefault="000E54C2" w:rsidP="00D5127A">
            <w:pPr>
              <w:spacing w:line="235" w:lineRule="auto"/>
              <w:jc w:val="center"/>
              <w:rPr>
                <w:sz w:val="20"/>
                <w:szCs w:val="20"/>
              </w:rPr>
            </w:pPr>
            <w:r w:rsidRPr="00E8065F">
              <w:rPr>
                <w:sz w:val="20"/>
                <w:szCs w:val="20"/>
              </w:rPr>
              <w:t>Магнитно-резонансный томограф</w:t>
            </w:r>
          </w:p>
        </w:tc>
        <w:tc>
          <w:tcPr>
            <w:tcW w:w="1181" w:type="dxa"/>
            <w:tcBorders>
              <w:bottom w:val="single" w:sz="4" w:space="0" w:color="auto"/>
            </w:tcBorders>
            <w:shd w:val="clear" w:color="auto" w:fill="auto"/>
          </w:tcPr>
          <w:p w:rsidR="000E54C2" w:rsidRPr="00E8065F" w:rsidRDefault="000E54C2" w:rsidP="00D5127A">
            <w:pPr>
              <w:spacing w:line="235" w:lineRule="auto"/>
              <w:jc w:val="center"/>
              <w:rPr>
                <w:sz w:val="20"/>
                <w:szCs w:val="20"/>
              </w:rPr>
            </w:pPr>
            <w:r w:rsidRPr="00E8065F">
              <w:rPr>
                <w:sz w:val="20"/>
                <w:szCs w:val="20"/>
              </w:rPr>
              <w:t>2012</w:t>
            </w:r>
            <w:r w:rsidR="003D79B3">
              <w:rPr>
                <w:sz w:val="20"/>
                <w:szCs w:val="20"/>
              </w:rPr>
              <w:t xml:space="preserve"> </w:t>
            </w:r>
            <w:r w:rsidR="00D81DCD">
              <w:rPr>
                <w:sz w:val="20"/>
                <w:szCs w:val="20"/>
              </w:rPr>
              <w:t>(1)</w:t>
            </w:r>
          </w:p>
          <w:p w:rsidR="000E54C2" w:rsidRPr="00E8065F" w:rsidRDefault="000E54C2" w:rsidP="00D5127A">
            <w:pPr>
              <w:spacing w:line="235" w:lineRule="auto"/>
              <w:jc w:val="center"/>
              <w:rPr>
                <w:sz w:val="20"/>
                <w:szCs w:val="20"/>
              </w:rPr>
            </w:pPr>
            <w:r w:rsidRPr="00E8065F">
              <w:rPr>
                <w:sz w:val="20"/>
                <w:szCs w:val="20"/>
              </w:rPr>
              <w:t>2019</w:t>
            </w:r>
            <w:r w:rsidR="003D79B3">
              <w:rPr>
                <w:sz w:val="20"/>
                <w:szCs w:val="20"/>
              </w:rPr>
              <w:t xml:space="preserve"> </w:t>
            </w:r>
            <w:r w:rsidR="00D81DCD">
              <w:rPr>
                <w:sz w:val="20"/>
                <w:szCs w:val="20"/>
              </w:rPr>
              <w:t>(1)</w:t>
            </w:r>
          </w:p>
          <w:p w:rsidR="000E54C2" w:rsidRPr="00E8065F" w:rsidRDefault="000E54C2" w:rsidP="00D5127A">
            <w:pPr>
              <w:spacing w:line="235" w:lineRule="auto"/>
              <w:jc w:val="center"/>
              <w:rPr>
                <w:sz w:val="20"/>
                <w:szCs w:val="20"/>
              </w:rPr>
            </w:pPr>
            <w:r w:rsidRPr="00E8065F">
              <w:rPr>
                <w:sz w:val="20"/>
                <w:szCs w:val="20"/>
              </w:rPr>
              <w:t>2021</w:t>
            </w:r>
            <w:r w:rsidR="003D79B3">
              <w:rPr>
                <w:sz w:val="20"/>
                <w:szCs w:val="20"/>
              </w:rPr>
              <w:t xml:space="preserve"> </w:t>
            </w:r>
            <w:r w:rsidR="00D81DCD">
              <w:rPr>
                <w:sz w:val="20"/>
                <w:szCs w:val="20"/>
              </w:rPr>
              <w:t>(1)</w:t>
            </w:r>
          </w:p>
        </w:tc>
        <w:tc>
          <w:tcPr>
            <w:tcW w:w="1181" w:type="dxa"/>
            <w:tcBorders>
              <w:top w:val="nil"/>
              <w:left w:val="single" w:sz="4" w:space="0" w:color="auto"/>
              <w:bottom w:val="single" w:sz="4" w:space="0" w:color="auto"/>
              <w:right w:val="single" w:sz="4" w:space="0" w:color="auto"/>
            </w:tcBorders>
            <w:shd w:val="clear" w:color="auto" w:fill="auto"/>
          </w:tcPr>
          <w:p w:rsidR="000E54C2" w:rsidRPr="00E8065F" w:rsidRDefault="000E54C2" w:rsidP="00D5127A">
            <w:pPr>
              <w:spacing w:line="235" w:lineRule="auto"/>
              <w:jc w:val="center"/>
              <w:rPr>
                <w:color w:val="000000"/>
                <w:sz w:val="20"/>
                <w:szCs w:val="20"/>
              </w:rPr>
            </w:pPr>
            <w:r w:rsidRPr="00E8065F">
              <w:rPr>
                <w:color w:val="000000"/>
                <w:sz w:val="20"/>
                <w:szCs w:val="20"/>
              </w:rPr>
              <w:t>3</w:t>
            </w:r>
          </w:p>
        </w:tc>
        <w:tc>
          <w:tcPr>
            <w:tcW w:w="1478" w:type="dxa"/>
            <w:tcBorders>
              <w:top w:val="nil"/>
              <w:left w:val="single" w:sz="4" w:space="0" w:color="auto"/>
              <w:bottom w:val="single" w:sz="4" w:space="0" w:color="auto"/>
              <w:right w:val="single" w:sz="4" w:space="0" w:color="auto"/>
            </w:tcBorders>
            <w:shd w:val="clear" w:color="auto" w:fill="auto"/>
          </w:tcPr>
          <w:p w:rsidR="000E54C2" w:rsidRPr="00E8065F" w:rsidRDefault="000E54C2" w:rsidP="00D5127A">
            <w:pPr>
              <w:spacing w:line="235" w:lineRule="auto"/>
              <w:jc w:val="center"/>
              <w:rPr>
                <w:color w:val="000000"/>
                <w:sz w:val="20"/>
                <w:szCs w:val="20"/>
              </w:rPr>
            </w:pPr>
            <w:r w:rsidRPr="00E8065F">
              <w:rPr>
                <w:color w:val="000000"/>
                <w:sz w:val="20"/>
                <w:szCs w:val="20"/>
              </w:rPr>
              <w:t>33</w:t>
            </w:r>
          </w:p>
        </w:tc>
        <w:tc>
          <w:tcPr>
            <w:tcW w:w="1111" w:type="dxa"/>
            <w:tcBorders>
              <w:top w:val="nil"/>
              <w:left w:val="single" w:sz="4" w:space="0" w:color="auto"/>
              <w:bottom w:val="single" w:sz="4" w:space="0" w:color="auto"/>
              <w:right w:val="single" w:sz="4" w:space="0" w:color="auto"/>
            </w:tcBorders>
            <w:shd w:val="clear" w:color="auto" w:fill="auto"/>
          </w:tcPr>
          <w:p w:rsidR="000E54C2" w:rsidRPr="00E8065F" w:rsidRDefault="000E54C2" w:rsidP="00D5127A">
            <w:pPr>
              <w:spacing w:line="235" w:lineRule="auto"/>
              <w:jc w:val="center"/>
              <w:rPr>
                <w:color w:val="000000"/>
                <w:sz w:val="20"/>
                <w:szCs w:val="20"/>
              </w:rPr>
            </w:pPr>
            <w:r w:rsidRPr="00E8065F">
              <w:rPr>
                <w:color w:val="000000"/>
                <w:sz w:val="20"/>
                <w:szCs w:val="20"/>
              </w:rPr>
              <w:t>2</w:t>
            </w:r>
          </w:p>
        </w:tc>
        <w:tc>
          <w:tcPr>
            <w:tcW w:w="1944" w:type="dxa"/>
            <w:tcBorders>
              <w:top w:val="nil"/>
              <w:left w:val="single" w:sz="4" w:space="0" w:color="auto"/>
              <w:bottom w:val="single" w:sz="4" w:space="0" w:color="auto"/>
              <w:right w:val="single" w:sz="4" w:space="0" w:color="auto"/>
            </w:tcBorders>
            <w:shd w:val="clear" w:color="auto" w:fill="auto"/>
          </w:tcPr>
          <w:p w:rsidR="000E54C2" w:rsidRPr="00E8065F" w:rsidRDefault="000E54C2" w:rsidP="00D5127A">
            <w:pPr>
              <w:spacing w:line="235" w:lineRule="auto"/>
              <w:jc w:val="center"/>
              <w:rPr>
                <w:color w:val="000000"/>
                <w:sz w:val="20"/>
                <w:szCs w:val="20"/>
              </w:rPr>
            </w:pPr>
            <w:r w:rsidRPr="00E8065F">
              <w:rPr>
                <w:color w:val="000000"/>
                <w:sz w:val="20"/>
                <w:szCs w:val="20"/>
              </w:rPr>
              <w:t>Амбулаторное/стационарное</w:t>
            </w:r>
          </w:p>
        </w:tc>
      </w:tr>
      <w:tr w:rsidR="00BA1432" w:rsidRPr="00E8065F" w:rsidTr="000546C2">
        <w:trPr>
          <w:trHeight w:val="20"/>
        </w:trPr>
        <w:tc>
          <w:tcPr>
            <w:tcW w:w="1555" w:type="dxa"/>
            <w:vMerge/>
          </w:tcPr>
          <w:p w:rsidR="000E54C2" w:rsidRPr="00E8065F" w:rsidRDefault="000E54C2" w:rsidP="00D5127A">
            <w:pPr>
              <w:spacing w:line="235" w:lineRule="auto"/>
              <w:rPr>
                <w:sz w:val="20"/>
                <w:szCs w:val="20"/>
              </w:rPr>
            </w:pPr>
          </w:p>
        </w:tc>
        <w:tc>
          <w:tcPr>
            <w:tcW w:w="3685" w:type="dxa"/>
            <w:tcBorders>
              <w:top w:val="single" w:sz="4" w:space="0" w:color="auto"/>
              <w:bottom w:val="single" w:sz="4" w:space="0" w:color="auto"/>
              <w:right w:val="single" w:sz="4" w:space="0" w:color="auto"/>
            </w:tcBorders>
            <w:shd w:val="clear" w:color="auto" w:fill="auto"/>
          </w:tcPr>
          <w:p w:rsidR="000E54C2" w:rsidRPr="00E8065F" w:rsidRDefault="000E54C2" w:rsidP="00D5127A">
            <w:pPr>
              <w:spacing w:line="235" w:lineRule="auto"/>
              <w:jc w:val="both"/>
              <w:rPr>
                <w:color w:val="000000"/>
                <w:sz w:val="20"/>
                <w:szCs w:val="20"/>
              </w:rPr>
            </w:pPr>
            <w:r>
              <w:rPr>
                <w:color w:val="000000"/>
                <w:sz w:val="20"/>
                <w:szCs w:val="20"/>
              </w:rPr>
              <w:t xml:space="preserve">ГАУЗ </w:t>
            </w:r>
            <w:r w:rsidR="002F7358">
              <w:rPr>
                <w:rFonts w:eastAsia="Calibri"/>
                <w:sz w:val="20"/>
                <w:szCs w:val="20"/>
              </w:rPr>
              <w:t>«</w:t>
            </w:r>
            <w:r>
              <w:rPr>
                <w:rFonts w:eastAsia="Calibri"/>
                <w:sz w:val="20"/>
                <w:szCs w:val="20"/>
              </w:rPr>
              <w:t>Межрегиональный клинико-диагностический центр</w:t>
            </w:r>
            <w:r w:rsidR="002F7358">
              <w:rPr>
                <w:rFonts w:eastAsia="Calibri"/>
                <w:sz w:val="20"/>
                <w:szCs w:val="20"/>
              </w:rPr>
              <w:t>»</w:t>
            </w:r>
          </w:p>
        </w:tc>
        <w:tc>
          <w:tcPr>
            <w:tcW w:w="1994" w:type="dxa"/>
            <w:tcBorders>
              <w:top w:val="single" w:sz="4" w:space="0" w:color="auto"/>
              <w:left w:val="single" w:sz="4" w:space="0" w:color="auto"/>
              <w:bottom w:val="single" w:sz="4" w:space="0" w:color="auto"/>
              <w:right w:val="single" w:sz="4" w:space="0" w:color="auto"/>
            </w:tcBorders>
            <w:shd w:val="clear" w:color="auto" w:fill="auto"/>
          </w:tcPr>
          <w:p w:rsidR="000E54C2" w:rsidRPr="00E8065F" w:rsidRDefault="000E54C2" w:rsidP="00D5127A">
            <w:pPr>
              <w:spacing w:line="235" w:lineRule="auto"/>
              <w:jc w:val="center"/>
              <w:rPr>
                <w:sz w:val="20"/>
                <w:szCs w:val="20"/>
              </w:rPr>
            </w:pPr>
            <w:r w:rsidRPr="00E8065F">
              <w:rPr>
                <w:sz w:val="20"/>
                <w:szCs w:val="20"/>
              </w:rPr>
              <w:t>Магнитно-резонансный томограф</w:t>
            </w:r>
          </w:p>
        </w:tc>
        <w:tc>
          <w:tcPr>
            <w:tcW w:w="1181" w:type="dxa"/>
            <w:tcBorders>
              <w:top w:val="single" w:sz="4" w:space="0" w:color="auto"/>
              <w:left w:val="single" w:sz="4" w:space="0" w:color="auto"/>
              <w:bottom w:val="single" w:sz="4" w:space="0" w:color="auto"/>
              <w:right w:val="single" w:sz="4" w:space="0" w:color="auto"/>
            </w:tcBorders>
            <w:shd w:val="clear" w:color="auto" w:fill="auto"/>
          </w:tcPr>
          <w:p w:rsidR="000E54C2" w:rsidRPr="00E8065F" w:rsidRDefault="000E54C2" w:rsidP="00D5127A">
            <w:pPr>
              <w:spacing w:line="235" w:lineRule="auto"/>
              <w:jc w:val="center"/>
              <w:rPr>
                <w:sz w:val="20"/>
                <w:szCs w:val="20"/>
              </w:rPr>
            </w:pPr>
            <w:r w:rsidRPr="00E8065F">
              <w:rPr>
                <w:sz w:val="20"/>
                <w:szCs w:val="20"/>
              </w:rPr>
              <w:t>2023</w:t>
            </w:r>
            <w:r w:rsidR="003D79B3">
              <w:rPr>
                <w:sz w:val="20"/>
                <w:szCs w:val="20"/>
              </w:rPr>
              <w:t xml:space="preserve"> </w:t>
            </w:r>
            <w:r w:rsidR="00D81DCD">
              <w:rPr>
                <w:sz w:val="20"/>
                <w:szCs w:val="20"/>
              </w:rPr>
              <w:t>(1)</w:t>
            </w:r>
          </w:p>
          <w:p w:rsidR="000E54C2" w:rsidRPr="00E8065F" w:rsidRDefault="000E54C2" w:rsidP="00D5127A">
            <w:pPr>
              <w:spacing w:line="235" w:lineRule="auto"/>
              <w:jc w:val="center"/>
              <w:rPr>
                <w:sz w:val="20"/>
                <w:szCs w:val="20"/>
              </w:rPr>
            </w:pPr>
            <w:r w:rsidRPr="00E8065F">
              <w:rPr>
                <w:sz w:val="20"/>
                <w:szCs w:val="20"/>
              </w:rPr>
              <w:t>2024</w:t>
            </w:r>
            <w:r w:rsidR="003D79B3">
              <w:rPr>
                <w:sz w:val="20"/>
                <w:szCs w:val="20"/>
              </w:rPr>
              <w:t xml:space="preserve"> </w:t>
            </w:r>
            <w:r w:rsidR="00D81DCD">
              <w:rPr>
                <w:sz w:val="20"/>
                <w:szCs w:val="20"/>
              </w:rPr>
              <w:t>(1)</w:t>
            </w:r>
          </w:p>
        </w:tc>
        <w:tc>
          <w:tcPr>
            <w:tcW w:w="1181" w:type="dxa"/>
            <w:tcBorders>
              <w:top w:val="single" w:sz="4" w:space="0" w:color="auto"/>
              <w:left w:val="single" w:sz="4" w:space="0" w:color="auto"/>
              <w:bottom w:val="single" w:sz="4" w:space="0" w:color="auto"/>
              <w:right w:val="single" w:sz="4" w:space="0" w:color="auto"/>
            </w:tcBorders>
            <w:shd w:val="clear" w:color="auto" w:fill="auto"/>
          </w:tcPr>
          <w:p w:rsidR="000E54C2" w:rsidRPr="00E8065F" w:rsidRDefault="000E54C2" w:rsidP="00D5127A">
            <w:pPr>
              <w:spacing w:line="235" w:lineRule="auto"/>
              <w:jc w:val="center"/>
              <w:rPr>
                <w:color w:val="000000"/>
                <w:sz w:val="20"/>
                <w:szCs w:val="20"/>
              </w:rPr>
            </w:pPr>
            <w:r w:rsidRPr="00E8065F">
              <w:rPr>
                <w:color w:val="000000"/>
                <w:sz w:val="20"/>
                <w:szCs w:val="20"/>
              </w:rPr>
              <w:t>2</w:t>
            </w:r>
          </w:p>
        </w:tc>
        <w:tc>
          <w:tcPr>
            <w:tcW w:w="1478" w:type="dxa"/>
            <w:tcBorders>
              <w:top w:val="single" w:sz="4" w:space="0" w:color="auto"/>
              <w:left w:val="single" w:sz="4" w:space="0" w:color="auto"/>
              <w:bottom w:val="single" w:sz="4" w:space="0" w:color="auto"/>
              <w:right w:val="single" w:sz="4" w:space="0" w:color="auto"/>
            </w:tcBorders>
            <w:shd w:val="clear" w:color="auto" w:fill="auto"/>
          </w:tcPr>
          <w:p w:rsidR="000E54C2" w:rsidRPr="00E8065F" w:rsidRDefault="000E54C2" w:rsidP="00D5127A">
            <w:pPr>
              <w:spacing w:line="235" w:lineRule="auto"/>
              <w:jc w:val="center"/>
              <w:rPr>
                <w:color w:val="000000"/>
                <w:sz w:val="20"/>
                <w:szCs w:val="20"/>
              </w:rPr>
            </w:pPr>
            <w:r w:rsidRPr="00E8065F">
              <w:rPr>
                <w:color w:val="000000"/>
                <w:sz w:val="20"/>
                <w:szCs w:val="20"/>
              </w:rPr>
              <w:t>23</w:t>
            </w:r>
          </w:p>
        </w:tc>
        <w:tc>
          <w:tcPr>
            <w:tcW w:w="1111" w:type="dxa"/>
            <w:tcBorders>
              <w:top w:val="single" w:sz="4" w:space="0" w:color="auto"/>
              <w:left w:val="single" w:sz="4" w:space="0" w:color="auto"/>
              <w:bottom w:val="single" w:sz="4" w:space="0" w:color="auto"/>
              <w:right w:val="single" w:sz="4" w:space="0" w:color="auto"/>
            </w:tcBorders>
            <w:shd w:val="clear" w:color="auto" w:fill="auto"/>
          </w:tcPr>
          <w:p w:rsidR="000E54C2" w:rsidRPr="00E8065F" w:rsidRDefault="000E54C2" w:rsidP="00D5127A">
            <w:pPr>
              <w:spacing w:line="235" w:lineRule="auto"/>
              <w:jc w:val="center"/>
              <w:rPr>
                <w:color w:val="000000"/>
                <w:sz w:val="20"/>
                <w:szCs w:val="20"/>
              </w:rPr>
            </w:pPr>
            <w:r w:rsidRPr="00E8065F">
              <w:rPr>
                <w:color w:val="000000"/>
                <w:sz w:val="20"/>
                <w:szCs w:val="20"/>
              </w:rPr>
              <w:t>2</w:t>
            </w:r>
          </w:p>
        </w:tc>
        <w:tc>
          <w:tcPr>
            <w:tcW w:w="1944" w:type="dxa"/>
            <w:tcBorders>
              <w:top w:val="single" w:sz="4" w:space="0" w:color="auto"/>
              <w:left w:val="single" w:sz="4" w:space="0" w:color="auto"/>
              <w:bottom w:val="single" w:sz="4" w:space="0" w:color="auto"/>
              <w:right w:val="single" w:sz="4" w:space="0" w:color="auto"/>
            </w:tcBorders>
            <w:shd w:val="clear" w:color="auto" w:fill="auto"/>
          </w:tcPr>
          <w:p w:rsidR="000E54C2" w:rsidRPr="00E8065F" w:rsidRDefault="000E54C2" w:rsidP="00D5127A">
            <w:pPr>
              <w:spacing w:line="235" w:lineRule="auto"/>
              <w:jc w:val="center"/>
              <w:rPr>
                <w:color w:val="000000"/>
                <w:sz w:val="20"/>
                <w:szCs w:val="20"/>
              </w:rPr>
            </w:pPr>
            <w:r w:rsidRPr="00E8065F">
              <w:rPr>
                <w:color w:val="000000"/>
                <w:sz w:val="20"/>
                <w:szCs w:val="20"/>
              </w:rPr>
              <w:t>Стационарное</w:t>
            </w:r>
          </w:p>
        </w:tc>
      </w:tr>
      <w:tr w:rsidR="00BA1432" w:rsidRPr="00E8065F" w:rsidTr="00D5127A">
        <w:trPr>
          <w:trHeight w:val="20"/>
        </w:trPr>
        <w:tc>
          <w:tcPr>
            <w:tcW w:w="1555" w:type="dxa"/>
            <w:vMerge/>
          </w:tcPr>
          <w:p w:rsidR="000E54C2" w:rsidRPr="00E8065F" w:rsidRDefault="000E54C2" w:rsidP="00D5127A">
            <w:pPr>
              <w:spacing w:line="235" w:lineRule="auto"/>
              <w:rPr>
                <w:sz w:val="20"/>
                <w:szCs w:val="20"/>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0E54C2" w:rsidRPr="00E8065F" w:rsidRDefault="000E54C2" w:rsidP="00D5127A">
            <w:pPr>
              <w:spacing w:line="235" w:lineRule="auto"/>
              <w:jc w:val="both"/>
              <w:rPr>
                <w:color w:val="000000"/>
                <w:sz w:val="20"/>
                <w:szCs w:val="20"/>
              </w:rPr>
            </w:pPr>
            <w:r>
              <w:rPr>
                <w:color w:val="000000"/>
                <w:sz w:val="20"/>
                <w:szCs w:val="20"/>
              </w:rPr>
              <w:t xml:space="preserve">ГАУЗ </w:t>
            </w:r>
            <w:r w:rsidR="002F7358">
              <w:rPr>
                <w:rFonts w:eastAsia="Calibri"/>
                <w:sz w:val="20"/>
                <w:szCs w:val="20"/>
              </w:rPr>
              <w:t>«</w:t>
            </w:r>
            <w:r>
              <w:rPr>
                <w:rFonts w:eastAsia="Calibri"/>
                <w:sz w:val="20"/>
                <w:szCs w:val="20"/>
              </w:rPr>
              <w:t>Республиканская клиническая больница Министерства здравоохранения Республики Татарстан</w:t>
            </w:r>
            <w:r w:rsidR="002F7358">
              <w:rPr>
                <w:rFonts w:eastAsia="Calibri"/>
                <w:sz w:val="20"/>
                <w:szCs w:val="20"/>
              </w:rPr>
              <w:t>»</w:t>
            </w:r>
          </w:p>
        </w:tc>
        <w:tc>
          <w:tcPr>
            <w:tcW w:w="1994" w:type="dxa"/>
            <w:tcBorders>
              <w:top w:val="single" w:sz="4" w:space="0" w:color="auto"/>
            </w:tcBorders>
            <w:shd w:val="clear" w:color="auto" w:fill="auto"/>
          </w:tcPr>
          <w:p w:rsidR="000E54C2" w:rsidRPr="00E8065F" w:rsidRDefault="000E54C2" w:rsidP="00D5127A">
            <w:pPr>
              <w:spacing w:line="235" w:lineRule="auto"/>
              <w:jc w:val="center"/>
              <w:rPr>
                <w:sz w:val="20"/>
                <w:szCs w:val="20"/>
              </w:rPr>
            </w:pPr>
            <w:r w:rsidRPr="00E8065F">
              <w:rPr>
                <w:sz w:val="20"/>
                <w:szCs w:val="20"/>
              </w:rPr>
              <w:t>Магнитно-резонансный томограф</w:t>
            </w:r>
          </w:p>
        </w:tc>
        <w:tc>
          <w:tcPr>
            <w:tcW w:w="1181" w:type="dxa"/>
            <w:tcBorders>
              <w:top w:val="single" w:sz="4" w:space="0" w:color="auto"/>
            </w:tcBorders>
            <w:shd w:val="clear" w:color="auto" w:fill="auto"/>
          </w:tcPr>
          <w:p w:rsidR="000E54C2" w:rsidRPr="00E8065F" w:rsidRDefault="000E54C2" w:rsidP="00D5127A">
            <w:pPr>
              <w:spacing w:line="235" w:lineRule="auto"/>
              <w:jc w:val="center"/>
              <w:rPr>
                <w:sz w:val="20"/>
                <w:szCs w:val="20"/>
              </w:rPr>
            </w:pPr>
            <w:r w:rsidRPr="00E8065F">
              <w:rPr>
                <w:sz w:val="20"/>
                <w:szCs w:val="20"/>
              </w:rPr>
              <w:t>2013</w:t>
            </w:r>
            <w:r w:rsidR="003D79B3">
              <w:rPr>
                <w:sz w:val="20"/>
                <w:szCs w:val="20"/>
              </w:rPr>
              <w:t xml:space="preserve"> </w:t>
            </w:r>
            <w:r w:rsidR="00D81DCD">
              <w:rPr>
                <w:sz w:val="20"/>
                <w:szCs w:val="20"/>
              </w:rPr>
              <w:t>(1)</w:t>
            </w:r>
          </w:p>
          <w:p w:rsidR="000E54C2" w:rsidRPr="00E8065F" w:rsidRDefault="000E54C2" w:rsidP="00D5127A">
            <w:pPr>
              <w:spacing w:line="235" w:lineRule="auto"/>
              <w:jc w:val="center"/>
              <w:rPr>
                <w:sz w:val="20"/>
                <w:szCs w:val="20"/>
              </w:rPr>
            </w:pPr>
            <w:r w:rsidRPr="00E8065F">
              <w:rPr>
                <w:sz w:val="20"/>
                <w:szCs w:val="20"/>
              </w:rPr>
              <w:t>2024</w:t>
            </w:r>
            <w:r w:rsidR="003D79B3">
              <w:rPr>
                <w:sz w:val="20"/>
                <w:szCs w:val="20"/>
              </w:rPr>
              <w:t xml:space="preserve"> </w:t>
            </w:r>
            <w:r w:rsidR="00D81DCD">
              <w:rPr>
                <w:sz w:val="20"/>
                <w:szCs w:val="20"/>
              </w:rPr>
              <w:t>(2)</w:t>
            </w:r>
          </w:p>
        </w:tc>
        <w:tc>
          <w:tcPr>
            <w:tcW w:w="1181" w:type="dxa"/>
            <w:tcBorders>
              <w:top w:val="single" w:sz="4" w:space="0" w:color="auto"/>
              <w:left w:val="single" w:sz="4" w:space="0" w:color="auto"/>
              <w:bottom w:val="single" w:sz="4" w:space="0" w:color="auto"/>
              <w:right w:val="single" w:sz="4" w:space="0" w:color="auto"/>
            </w:tcBorders>
            <w:shd w:val="clear" w:color="auto" w:fill="auto"/>
          </w:tcPr>
          <w:p w:rsidR="000E54C2" w:rsidRPr="00E8065F" w:rsidRDefault="000E54C2" w:rsidP="00D5127A">
            <w:pPr>
              <w:spacing w:line="235" w:lineRule="auto"/>
              <w:jc w:val="center"/>
              <w:rPr>
                <w:color w:val="000000"/>
                <w:sz w:val="20"/>
                <w:szCs w:val="20"/>
              </w:rPr>
            </w:pPr>
            <w:r w:rsidRPr="00E8065F">
              <w:rPr>
                <w:color w:val="000000"/>
                <w:sz w:val="20"/>
                <w:szCs w:val="20"/>
              </w:rPr>
              <w:t>3</w:t>
            </w:r>
          </w:p>
        </w:tc>
        <w:tc>
          <w:tcPr>
            <w:tcW w:w="1478" w:type="dxa"/>
            <w:tcBorders>
              <w:top w:val="single" w:sz="4" w:space="0" w:color="auto"/>
              <w:left w:val="single" w:sz="4" w:space="0" w:color="auto"/>
              <w:bottom w:val="single" w:sz="4" w:space="0" w:color="auto"/>
              <w:right w:val="single" w:sz="4" w:space="0" w:color="auto"/>
            </w:tcBorders>
            <w:shd w:val="clear" w:color="auto" w:fill="auto"/>
          </w:tcPr>
          <w:p w:rsidR="000E54C2" w:rsidRPr="00E8065F" w:rsidRDefault="000E54C2" w:rsidP="00D5127A">
            <w:pPr>
              <w:spacing w:line="235" w:lineRule="auto"/>
              <w:jc w:val="center"/>
              <w:rPr>
                <w:color w:val="000000"/>
                <w:sz w:val="20"/>
                <w:szCs w:val="20"/>
              </w:rPr>
            </w:pPr>
            <w:r w:rsidRPr="00E8065F">
              <w:rPr>
                <w:color w:val="000000"/>
                <w:sz w:val="20"/>
                <w:szCs w:val="20"/>
              </w:rPr>
              <w:t>46</w:t>
            </w:r>
          </w:p>
        </w:tc>
        <w:tc>
          <w:tcPr>
            <w:tcW w:w="1111" w:type="dxa"/>
            <w:tcBorders>
              <w:top w:val="single" w:sz="4" w:space="0" w:color="auto"/>
              <w:left w:val="single" w:sz="4" w:space="0" w:color="auto"/>
              <w:bottom w:val="single" w:sz="4" w:space="0" w:color="auto"/>
              <w:right w:val="single" w:sz="4" w:space="0" w:color="auto"/>
            </w:tcBorders>
            <w:shd w:val="clear" w:color="auto" w:fill="auto"/>
          </w:tcPr>
          <w:p w:rsidR="000E54C2" w:rsidRPr="00E8065F" w:rsidRDefault="000E54C2" w:rsidP="00D5127A">
            <w:pPr>
              <w:spacing w:line="235" w:lineRule="auto"/>
              <w:jc w:val="center"/>
              <w:rPr>
                <w:color w:val="000000"/>
                <w:sz w:val="20"/>
                <w:szCs w:val="20"/>
              </w:rPr>
            </w:pPr>
            <w:r w:rsidRPr="00E8065F">
              <w:rPr>
                <w:color w:val="000000"/>
                <w:sz w:val="20"/>
                <w:szCs w:val="20"/>
              </w:rPr>
              <w:t>2</w:t>
            </w:r>
          </w:p>
        </w:tc>
        <w:tc>
          <w:tcPr>
            <w:tcW w:w="1944" w:type="dxa"/>
            <w:tcBorders>
              <w:top w:val="single" w:sz="4" w:space="0" w:color="auto"/>
              <w:left w:val="single" w:sz="4" w:space="0" w:color="auto"/>
              <w:bottom w:val="single" w:sz="4" w:space="0" w:color="auto"/>
              <w:right w:val="single" w:sz="4" w:space="0" w:color="auto"/>
            </w:tcBorders>
            <w:shd w:val="clear" w:color="auto" w:fill="auto"/>
          </w:tcPr>
          <w:p w:rsidR="000E54C2" w:rsidRPr="00E8065F" w:rsidRDefault="000E54C2" w:rsidP="00D5127A">
            <w:pPr>
              <w:spacing w:line="235" w:lineRule="auto"/>
              <w:jc w:val="center"/>
              <w:rPr>
                <w:color w:val="000000"/>
                <w:sz w:val="20"/>
                <w:szCs w:val="20"/>
              </w:rPr>
            </w:pPr>
            <w:r w:rsidRPr="00E8065F">
              <w:rPr>
                <w:color w:val="000000"/>
                <w:sz w:val="20"/>
                <w:szCs w:val="20"/>
              </w:rPr>
              <w:t>Стационарное</w:t>
            </w:r>
          </w:p>
        </w:tc>
      </w:tr>
      <w:tr w:rsidR="00BA1432" w:rsidRPr="00E8065F" w:rsidTr="00D5127A">
        <w:trPr>
          <w:trHeight w:val="20"/>
        </w:trPr>
        <w:tc>
          <w:tcPr>
            <w:tcW w:w="1555" w:type="dxa"/>
            <w:vMerge/>
          </w:tcPr>
          <w:p w:rsidR="000E54C2" w:rsidRPr="00E8065F" w:rsidRDefault="000E54C2" w:rsidP="00D5127A">
            <w:pPr>
              <w:spacing w:line="235" w:lineRule="auto"/>
              <w:rPr>
                <w:sz w:val="20"/>
                <w:szCs w:val="20"/>
              </w:rPr>
            </w:pPr>
          </w:p>
        </w:tc>
        <w:tc>
          <w:tcPr>
            <w:tcW w:w="3685" w:type="dxa"/>
            <w:tcBorders>
              <w:top w:val="nil"/>
              <w:left w:val="single" w:sz="4" w:space="0" w:color="auto"/>
              <w:bottom w:val="single" w:sz="4" w:space="0" w:color="auto"/>
              <w:right w:val="single" w:sz="4" w:space="0" w:color="auto"/>
            </w:tcBorders>
            <w:shd w:val="clear" w:color="auto" w:fill="auto"/>
          </w:tcPr>
          <w:p w:rsidR="000E54C2" w:rsidRPr="00E8065F" w:rsidRDefault="000E54C2" w:rsidP="00D5127A">
            <w:pPr>
              <w:spacing w:line="235" w:lineRule="auto"/>
              <w:jc w:val="both"/>
              <w:rPr>
                <w:color w:val="000000"/>
                <w:sz w:val="20"/>
                <w:szCs w:val="20"/>
              </w:rPr>
            </w:pPr>
            <w:r w:rsidRPr="00E8065F">
              <w:rPr>
                <w:color w:val="000000"/>
                <w:sz w:val="20"/>
                <w:szCs w:val="20"/>
              </w:rPr>
              <w:t xml:space="preserve">ГАУЗ </w:t>
            </w:r>
            <w:r w:rsidR="002F7358">
              <w:rPr>
                <w:color w:val="000000"/>
                <w:sz w:val="20"/>
                <w:szCs w:val="20"/>
              </w:rPr>
              <w:t>«</w:t>
            </w:r>
            <w:r w:rsidRPr="00E8065F">
              <w:rPr>
                <w:color w:val="000000"/>
                <w:sz w:val="20"/>
                <w:szCs w:val="20"/>
              </w:rPr>
              <w:t>РКОД МЗ РТ им.проф.М.З.Сигала</w:t>
            </w:r>
            <w:r w:rsidR="002F7358">
              <w:rPr>
                <w:color w:val="000000"/>
                <w:sz w:val="20"/>
                <w:szCs w:val="20"/>
              </w:rPr>
              <w:t>»</w:t>
            </w:r>
          </w:p>
        </w:tc>
        <w:tc>
          <w:tcPr>
            <w:tcW w:w="1994" w:type="dxa"/>
            <w:shd w:val="clear" w:color="auto" w:fill="auto"/>
          </w:tcPr>
          <w:p w:rsidR="000E54C2" w:rsidRPr="00E8065F" w:rsidRDefault="000E54C2" w:rsidP="00D5127A">
            <w:pPr>
              <w:spacing w:line="235" w:lineRule="auto"/>
              <w:jc w:val="center"/>
              <w:rPr>
                <w:sz w:val="20"/>
                <w:szCs w:val="20"/>
              </w:rPr>
            </w:pPr>
            <w:r w:rsidRPr="00E8065F">
              <w:rPr>
                <w:sz w:val="20"/>
                <w:szCs w:val="20"/>
              </w:rPr>
              <w:t>Магнитно-резонансный томограф</w:t>
            </w:r>
          </w:p>
        </w:tc>
        <w:tc>
          <w:tcPr>
            <w:tcW w:w="1181" w:type="dxa"/>
            <w:tcBorders>
              <w:right w:val="single" w:sz="4" w:space="0" w:color="auto"/>
            </w:tcBorders>
            <w:shd w:val="clear" w:color="auto" w:fill="auto"/>
          </w:tcPr>
          <w:p w:rsidR="000E54C2" w:rsidRPr="00E8065F" w:rsidRDefault="000E54C2" w:rsidP="00D5127A">
            <w:pPr>
              <w:spacing w:line="235" w:lineRule="auto"/>
              <w:jc w:val="center"/>
              <w:rPr>
                <w:sz w:val="20"/>
                <w:szCs w:val="20"/>
              </w:rPr>
            </w:pPr>
            <w:r w:rsidRPr="00E8065F">
              <w:rPr>
                <w:sz w:val="20"/>
                <w:szCs w:val="20"/>
              </w:rPr>
              <w:t>2017</w:t>
            </w:r>
            <w:r w:rsidR="003D79B3">
              <w:rPr>
                <w:sz w:val="20"/>
                <w:szCs w:val="20"/>
              </w:rPr>
              <w:t xml:space="preserve"> </w:t>
            </w:r>
            <w:r w:rsidR="00D81DCD">
              <w:rPr>
                <w:sz w:val="20"/>
                <w:szCs w:val="20"/>
              </w:rPr>
              <w:t>(1)</w:t>
            </w:r>
          </w:p>
          <w:p w:rsidR="000E54C2" w:rsidRPr="00E8065F" w:rsidRDefault="000E54C2" w:rsidP="00D5127A">
            <w:pPr>
              <w:spacing w:line="235" w:lineRule="auto"/>
              <w:jc w:val="center"/>
              <w:rPr>
                <w:sz w:val="20"/>
                <w:szCs w:val="20"/>
              </w:rPr>
            </w:pPr>
            <w:r w:rsidRPr="00E8065F">
              <w:rPr>
                <w:sz w:val="20"/>
                <w:szCs w:val="20"/>
              </w:rPr>
              <w:t>2021</w:t>
            </w:r>
            <w:r w:rsidR="003D79B3">
              <w:rPr>
                <w:sz w:val="20"/>
                <w:szCs w:val="20"/>
              </w:rPr>
              <w:t xml:space="preserve"> </w:t>
            </w:r>
            <w:r w:rsidR="00D81DCD">
              <w:rPr>
                <w:sz w:val="20"/>
                <w:szCs w:val="20"/>
              </w:rPr>
              <w:t>(2)</w:t>
            </w:r>
          </w:p>
        </w:tc>
        <w:tc>
          <w:tcPr>
            <w:tcW w:w="1181" w:type="dxa"/>
            <w:tcBorders>
              <w:top w:val="single" w:sz="4" w:space="0" w:color="auto"/>
              <w:left w:val="single" w:sz="4" w:space="0" w:color="auto"/>
              <w:bottom w:val="single" w:sz="4" w:space="0" w:color="auto"/>
              <w:right w:val="single" w:sz="4" w:space="0" w:color="auto"/>
            </w:tcBorders>
            <w:shd w:val="clear" w:color="auto" w:fill="auto"/>
          </w:tcPr>
          <w:p w:rsidR="000E54C2" w:rsidRPr="00E8065F" w:rsidRDefault="000E54C2" w:rsidP="00D5127A">
            <w:pPr>
              <w:spacing w:line="235" w:lineRule="auto"/>
              <w:jc w:val="center"/>
              <w:rPr>
                <w:color w:val="000000"/>
                <w:sz w:val="20"/>
                <w:szCs w:val="20"/>
              </w:rPr>
            </w:pPr>
            <w:r w:rsidRPr="00E8065F">
              <w:rPr>
                <w:color w:val="000000"/>
                <w:sz w:val="20"/>
                <w:szCs w:val="20"/>
              </w:rPr>
              <w:t>3</w:t>
            </w:r>
          </w:p>
        </w:tc>
        <w:tc>
          <w:tcPr>
            <w:tcW w:w="1478" w:type="dxa"/>
            <w:tcBorders>
              <w:top w:val="nil"/>
              <w:left w:val="single" w:sz="4" w:space="0" w:color="auto"/>
              <w:bottom w:val="single" w:sz="4" w:space="0" w:color="auto"/>
              <w:right w:val="single" w:sz="4" w:space="0" w:color="auto"/>
            </w:tcBorders>
            <w:shd w:val="clear" w:color="auto" w:fill="auto"/>
          </w:tcPr>
          <w:p w:rsidR="000E54C2" w:rsidRPr="00E8065F" w:rsidRDefault="000E54C2" w:rsidP="00D5127A">
            <w:pPr>
              <w:spacing w:line="235" w:lineRule="auto"/>
              <w:jc w:val="center"/>
              <w:rPr>
                <w:color w:val="000000"/>
                <w:sz w:val="20"/>
                <w:szCs w:val="20"/>
              </w:rPr>
            </w:pPr>
            <w:r w:rsidRPr="00E8065F">
              <w:rPr>
                <w:color w:val="000000"/>
                <w:sz w:val="20"/>
                <w:szCs w:val="20"/>
              </w:rPr>
              <w:t>49</w:t>
            </w:r>
          </w:p>
        </w:tc>
        <w:tc>
          <w:tcPr>
            <w:tcW w:w="1111" w:type="dxa"/>
            <w:tcBorders>
              <w:top w:val="nil"/>
              <w:left w:val="single" w:sz="4" w:space="0" w:color="auto"/>
              <w:bottom w:val="single" w:sz="4" w:space="0" w:color="auto"/>
              <w:right w:val="single" w:sz="4" w:space="0" w:color="auto"/>
            </w:tcBorders>
            <w:shd w:val="clear" w:color="auto" w:fill="auto"/>
          </w:tcPr>
          <w:p w:rsidR="000E54C2" w:rsidRPr="00E8065F" w:rsidRDefault="000E54C2" w:rsidP="00D5127A">
            <w:pPr>
              <w:spacing w:line="235" w:lineRule="auto"/>
              <w:jc w:val="center"/>
              <w:rPr>
                <w:color w:val="000000"/>
                <w:sz w:val="20"/>
                <w:szCs w:val="20"/>
              </w:rPr>
            </w:pPr>
            <w:r w:rsidRPr="00E8065F">
              <w:rPr>
                <w:color w:val="000000"/>
                <w:sz w:val="20"/>
                <w:szCs w:val="20"/>
              </w:rPr>
              <w:t>2</w:t>
            </w:r>
          </w:p>
        </w:tc>
        <w:tc>
          <w:tcPr>
            <w:tcW w:w="1944" w:type="dxa"/>
            <w:tcBorders>
              <w:top w:val="nil"/>
              <w:left w:val="single" w:sz="4" w:space="0" w:color="auto"/>
              <w:bottom w:val="single" w:sz="4" w:space="0" w:color="auto"/>
              <w:right w:val="single" w:sz="4" w:space="0" w:color="auto"/>
            </w:tcBorders>
            <w:shd w:val="clear" w:color="auto" w:fill="auto"/>
          </w:tcPr>
          <w:p w:rsidR="000E54C2" w:rsidRPr="00E8065F" w:rsidRDefault="000E54C2" w:rsidP="00D5127A">
            <w:pPr>
              <w:spacing w:line="235" w:lineRule="auto"/>
              <w:jc w:val="center"/>
              <w:rPr>
                <w:color w:val="000000"/>
                <w:sz w:val="20"/>
                <w:szCs w:val="20"/>
              </w:rPr>
            </w:pPr>
            <w:r w:rsidRPr="00E8065F">
              <w:rPr>
                <w:color w:val="000000"/>
                <w:sz w:val="20"/>
                <w:szCs w:val="20"/>
              </w:rPr>
              <w:t>Амбулаторное/стационарное</w:t>
            </w:r>
          </w:p>
        </w:tc>
      </w:tr>
      <w:tr w:rsidR="00BA1432" w:rsidRPr="00E8065F" w:rsidTr="00D5127A">
        <w:trPr>
          <w:trHeight w:val="20"/>
        </w:trPr>
        <w:tc>
          <w:tcPr>
            <w:tcW w:w="1555" w:type="dxa"/>
          </w:tcPr>
          <w:p w:rsidR="00DB578E" w:rsidRPr="00E8065F" w:rsidRDefault="00DB578E" w:rsidP="00BA1432">
            <w:pPr>
              <w:rPr>
                <w:sz w:val="20"/>
                <w:szCs w:val="20"/>
              </w:rPr>
            </w:pPr>
          </w:p>
        </w:tc>
        <w:tc>
          <w:tcPr>
            <w:tcW w:w="3685" w:type="dxa"/>
            <w:shd w:val="clear" w:color="auto" w:fill="auto"/>
          </w:tcPr>
          <w:p w:rsidR="00DB578E" w:rsidRPr="000E54C2" w:rsidRDefault="00DB578E" w:rsidP="00DC0475">
            <w:pPr>
              <w:jc w:val="both"/>
              <w:rPr>
                <w:sz w:val="20"/>
                <w:szCs w:val="20"/>
              </w:rPr>
            </w:pPr>
          </w:p>
        </w:tc>
        <w:tc>
          <w:tcPr>
            <w:tcW w:w="1994" w:type="dxa"/>
            <w:shd w:val="clear" w:color="auto" w:fill="auto"/>
          </w:tcPr>
          <w:p w:rsidR="00DB578E" w:rsidRPr="000E54C2" w:rsidRDefault="003D79B3" w:rsidP="00BA1432">
            <w:pPr>
              <w:jc w:val="center"/>
              <w:rPr>
                <w:sz w:val="20"/>
                <w:szCs w:val="20"/>
              </w:rPr>
            </w:pPr>
            <w:r>
              <w:rPr>
                <w:sz w:val="20"/>
                <w:szCs w:val="20"/>
              </w:rPr>
              <w:t>В</w:t>
            </w:r>
            <w:r w:rsidR="009C7AAF" w:rsidRPr="000E54C2">
              <w:rPr>
                <w:sz w:val="20"/>
                <w:szCs w:val="20"/>
              </w:rPr>
              <w:t>сего</w:t>
            </w:r>
          </w:p>
        </w:tc>
        <w:tc>
          <w:tcPr>
            <w:tcW w:w="1181" w:type="dxa"/>
            <w:shd w:val="clear" w:color="auto" w:fill="auto"/>
          </w:tcPr>
          <w:p w:rsidR="00DB578E" w:rsidRPr="000E54C2" w:rsidRDefault="00DB578E" w:rsidP="000546C2">
            <w:pPr>
              <w:jc w:val="center"/>
              <w:rPr>
                <w:sz w:val="20"/>
                <w:szCs w:val="20"/>
              </w:rPr>
            </w:pPr>
          </w:p>
        </w:tc>
        <w:tc>
          <w:tcPr>
            <w:tcW w:w="1181" w:type="dxa"/>
            <w:tcBorders>
              <w:top w:val="single" w:sz="4" w:space="0" w:color="auto"/>
              <w:left w:val="single" w:sz="4" w:space="0" w:color="auto"/>
              <w:bottom w:val="single" w:sz="4" w:space="0" w:color="auto"/>
              <w:right w:val="single" w:sz="4" w:space="0" w:color="auto"/>
            </w:tcBorders>
            <w:shd w:val="clear" w:color="auto" w:fill="auto"/>
          </w:tcPr>
          <w:p w:rsidR="00DB578E" w:rsidRPr="000E54C2" w:rsidRDefault="00DB578E" w:rsidP="000546C2">
            <w:pPr>
              <w:jc w:val="center"/>
              <w:rPr>
                <w:color w:val="000000"/>
                <w:sz w:val="20"/>
                <w:szCs w:val="20"/>
              </w:rPr>
            </w:pPr>
            <w:r w:rsidRPr="000E54C2">
              <w:rPr>
                <w:color w:val="000000"/>
                <w:sz w:val="20"/>
                <w:szCs w:val="20"/>
              </w:rPr>
              <w:t>26</w:t>
            </w:r>
          </w:p>
        </w:tc>
        <w:tc>
          <w:tcPr>
            <w:tcW w:w="1478" w:type="dxa"/>
            <w:shd w:val="clear" w:color="auto" w:fill="auto"/>
          </w:tcPr>
          <w:p w:rsidR="00DB578E" w:rsidRPr="00E8065F" w:rsidRDefault="00DB578E" w:rsidP="000546C2">
            <w:pPr>
              <w:jc w:val="center"/>
              <w:rPr>
                <w:sz w:val="20"/>
                <w:szCs w:val="20"/>
              </w:rPr>
            </w:pPr>
          </w:p>
        </w:tc>
        <w:tc>
          <w:tcPr>
            <w:tcW w:w="1111" w:type="dxa"/>
            <w:tcBorders>
              <w:top w:val="nil"/>
              <w:left w:val="single" w:sz="4" w:space="0" w:color="auto"/>
              <w:bottom w:val="single" w:sz="4" w:space="0" w:color="auto"/>
              <w:right w:val="single" w:sz="4" w:space="0" w:color="auto"/>
            </w:tcBorders>
            <w:shd w:val="clear" w:color="auto" w:fill="auto"/>
          </w:tcPr>
          <w:p w:rsidR="00DB578E" w:rsidRPr="00E8065F" w:rsidRDefault="00DB578E" w:rsidP="000546C2">
            <w:pPr>
              <w:jc w:val="center"/>
              <w:rPr>
                <w:color w:val="000000"/>
                <w:sz w:val="20"/>
                <w:szCs w:val="20"/>
              </w:rPr>
            </w:pPr>
          </w:p>
        </w:tc>
        <w:tc>
          <w:tcPr>
            <w:tcW w:w="1944" w:type="dxa"/>
            <w:shd w:val="clear" w:color="auto" w:fill="auto"/>
          </w:tcPr>
          <w:p w:rsidR="00DB578E" w:rsidRPr="00E8065F" w:rsidRDefault="00DB578E" w:rsidP="00BA1432">
            <w:pPr>
              <w:rPr>
                <w:sz w:val="20"/>
                <w:szCs w:val="20"/>
              </w:rPr>
            </w:pPr>
          </w:p>
        </w:tc>
      </w:tr>
      <w:tr w:rsidR="00BA1432" w:rsidRPr="00E8065F" w:rsidTr="000546C2">
        <w:trPr>
          <w:trHeight w:val="20"/>
        </w:trPr>
        <w:tc>
          <w:tcPr>
            <w:tcW w:w="1555" w:type="dxa"/>
            <w:vMerge w:val="restart"/>
          </w:tcPr>
          <w:p w:rsidR="000E54C2" w:rsidRPr="00E8065F" w:rsidRDefault="009C7AAF" w:rsidP="00BA1432">
            <w:pPr>
              <w:rPr>
                <w:sz w:val="20"/>
                <w:szCs w:val="20"/>
              </w:rPr>
            </w:pPr>
            <w:r>
              <w:rPr>
                <w:sz w:val="20"/>
                <w:szCs w:val="20"/>
              </w:rPr>
              <w:t>Маммограф</w:t>
            </w: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0E54C2" w:rsidRPr="00E8065F" w:rsidRDefault="000E54C2" w:rsidP="00DC0475">
            <w:pPr>
              <w:jc w:val="both"/>
              <w:rPr>
                <w:color w:val="000000"/>
                <w:sz w:val="20"/>
                <w:szCs w:val="20"/>
              </w:rPr>
            </w:pPr>
            <w:r w:rsidRPr="00E8065F">
              <w:rPr>
                <w:color w:val="000000"/>
                <w:sz w:val="20"/>
                <w:szCs w:val="20"/>
              </w:rPr>
              <w:t xml:space="preserve">ГАУЗ </w:t>
            </w:r>
            <w:r w:rsidR="002F7358">
              <w:rPr>
                <w:color w:val="000000"/>
                <w:sz w:val="20"/>
                <w:szCs w:val="20"/>
              </w:rPr>
              <w:t>«</w:t>
            </w:r>
            <w:r w:rsidRPr="00E8065F">
              <w:rPr>
                <w:color w:val="000000"/>
                <w:sz w:val="20"/>
                <w:szCs w:val="20"/>
              </w:rPr>
              <w:t>Агрызская ЦРБ</w:t>
            </w:r>
            <w:r w:rsidR="002F7358">
              <w:rPr>
                <w:color w:val="000000"/>
                <w:sz w:val="20"/>
                <w:szCs w:val="20"/>
              </w:rPr>
              <w:t>»</w:t>
            </w:r>
          </w:p>
        </w:tc>
        <w:tc>
          <w:tcPr>
            <w:tcW w:w="1994" w:type="dxa"/>
            <w:tcBorders>
              <w:top w:val="single" w:sz="4" w:space="0" w:color="auto"/>
              <w:left w:val="single" w:sz="4" w:space="0" w:color="auto"/>
              <w:bottom w:val="single" w:sz="4" w:space="0" w:color="auto"/>
              <w:right w:val="single" w:sz="4" w:space="0" w:color="auto"/>
            </w:tcBorders>
            <w:shd w:val="clear" w:color="auto" w:fill="auto"/>
          </w:tcPr>
          <w:p w:rsidR="000E54C2" w:rsidRPr="00E8065F" w:rsidRDefault="000E54C2" w:rsidP="00BA1432">
            <w:pPr>
              <w:jc w:val="center"/>
              <w:rPr>
                <w:color w:val="000000"/>
                <w:sz w:val="20"/>
                <w:szCs w:val="20"/>
              </w:rPr>
            </w:pPr>
            <w:r w:rsidRPr="00E8065F">
              <w:rPr>
                <w:color w:val="000000"/>
                <w:sz w:val="20"/>
                <w:szCs w:val="20"/>
              </w:rPr>
              <w:t>Маммограф</w:t>
            </w:r>
          </w:p>
        </w:tc>
        <w:tc>
          <w:tcPr>
            <w:tcW w:w="1181" w:type="dxa"/>
            <w:shd w:val="clear" w:color="auto" w:fill="auto"/>
          </w:tcPr>
          <w:p w:rsidR="000E54C2" w:rsidRPr="00D81DCD" w:rsidRDefault="000E54C2" w:rsidP="00D81DCD">
            <w:pPr>
              <w:jc w:val="center"/>
              <w:rPr>
                <w:sz w:val="20"/>
                <w:szCs w:val="20"/>
              </w:rPr>
            </w:pPr>
            <w:r w:rsidRPr="00D81DCD">
              <w:rPr>
                <w:sz w:val="20"/>
                <w:szCs w:val="20"/>
              </w:rPr>
              <w:t>2011</w:t>
            </w:r>
            <w:r w:rsidR="003D79B3">
              <w:rPr>
                <w:sz w:val="20"/>
                <w:szCs w:val="20"/>
              </w:rPr>
              <w:t xml:space="preserve"> </w:t>
            </w:r>
            <w:r w:rsidR="00D81DCD">
              <w:rPr>
                <w:sz w:val="20"/>
                <w:szCs w:val="20"/>
              </w:rPr>
              <w:t>(1)</w:t>
            </w:r>
          </w:p>
          <w:p w:rsidR="000E54C2" w:rsidRPr="00E8065F" w:rsidRDefault="000E54C2" w:rsidP="000546C2">
            <w:pPr>
              <w:pStyle w:val="af9"/>
              <w:ind w:left="360" w:hanging="360"/>
              <w:contextualSpacing w:val="0"/>
              <w:jc w:val="center"/>
              <w:rPr>
                <w:sz w:val="20"/>
                <w:szCs w:val="20"/>
              </w:rPr>
            </w:pPr>
            <w:r w:rsidRPr="00E8065F">
              <w:rPr>
                <w:sz w:val="20"/>
                <w:szCs w:val="20"/>
                <w:lang w:val="ru-RU"/>
              </w:rPr>
              <w:t>2022</w:t>
            </w:r>
            <w:r w:rsidR="003D79B3">
              <w:rPr>
                <w:sz w:val="20"/>
                <w:szCs w:val="20"/>
                <w:lang w:val="ru-RU"/>
              </w:rPr>
              <w:t xml:space="preserve"> </w:t>
            </w:r>
            <w:r w:rsidR="00D81DCD">
              <w:rPr>
                <w:sz w:val="20"/>
                <w:szCs w:val="20"/>
                <w:lang w:val="ru-RU"/>
              </w:rPr>
              <w:t>(1)</w:t>
            </w:r>
          </w:p>
        </w:tc>
        <w:tc>
          <w:tcPr>
            <w:tcW w:w="1181" w:type="dxa"/>
            <w:tcBorders>
              <w:top w:val="single" w:sz="4" w:space="0" w:color="auto"/>
              <w:left w:val="single" w:sz="4" w:space="0" w:color="auto"/>
              <w:bottom w:val="single" w:sz="4" w:space="0" w:color="auto"/>
              <w:right w:val="single" w:sz="4" w:space="0" w:color="auto"/>
            </w:tcBorders>
            <w:shd w:val="clear" w:color="auto" w:fill="auto"/>
          </w:tcPr>
          <w:p w:rsidR="000E54C2" w:rsidRPr="00E8065F" w:rsidRDefault="000E54C2" w:rsidP="000546C2">
            <w:pPr>
              <w:jc w:val="center"/>
              <w:rPr>
                <w:color w:val="000000"/>
                <w:sz w:val="20"/>
                <w:szCs w:val="20"/>
              </w:rPr>
            </w:pPr>
            <w:r w:rsidRPr="00E8065F">
              <w:rPr>
                <w:color w:val="000000"/>
                <w:sz w:val="20"/>
                <w:szCs w:val="20"/>
              </w:rPr>
              <w:t>2</w:t>
            </w:r>
          </w:p>
        </w:tc>
        <w:tc>
          <w:tcPr>
            <w:tcW w:w="1478" w:type="dxa"/>
            <w:tcBorders>
              <w:top w:val="single" w:sz="4" w:space="0" w:color="auto"/>
              <w:left w:val="single" w:sz="4" w:space="0" w:color="auto"/>
              <w:bottom w:val="single" w:sz="4" w:space="0" w:color="auto"/>
              <w:right w:val="single" w:sz="4" w:space="0" w:color="auto"/>
            </w:tcBorders>
            <w:shd w:val="clear" w:color="auto" w:fill="auto"/>
          </w:tcPr>
          <w:p w:rsidR="000E54C2" w:rsidRPr="00E8065F" w:rsidRDefault="000E54C2" w:rsidP="000546C2">
            <w:pPr>
              <w:jc w:val="center"/>
              <w:rPr>
                <w:color w:val="000000"/>
                <w:sz w:val="20"/>
                <w:szCs w:val="20"/>
              </w:rPr>
            </w:pPr>
            <w:r w:rsidRPr="00E8065F">
              <w:rPr>
                <w:color w:val="000000"/>
                <w:sz w:val="20"/>
                <w:szCs w:val="20"/>
              </w:rPr>
              <w:t>21</w:t>
            </w:r>
          </w:p>
        </w:tc>
        <w:tc>
          <w:tcPr>
            <w:tcW w:w="1111" w:type="dxa"/>
            <w:tcBorders>
              <w:top w:val="single" w:sz="4" w:space="0" w:color="auto"/>
              <w:left w:val="single" w:sz="4" w:space="0" w:color="auto"/>
              <w:bottom w:val="single" w:sz="4" w:space="0" w:color="auto"/>
              <w:right w:val="single" w:sz="4" w:space="0" w:color="auto"/>
            </w:tcBorders>
            <w:shd w:val="clear" w:color="auto" w:fill="auto"/>
          </w:tcPr>
          <w:p w:rsidR="000E54C2" w:rsidRPr="00E8065F" w:rsidRDefault="000E54C2" w:rsidP="000546C2">
            <w:pPr>
              <w:jc w:val="center"/>
              <w:rPr>
                <w:color w:val="000000"/>
                <w:sz w:val="20"/>
                <w:szCs w:val="20"/>
              </w:rPr>
            </w:pPr>
            <w:r w:rsidRPr="00E8065F">
              <w:rPr>
                <w:color w:val="000000"/>
                <w:sz w:val="20"/>
                <w:szCs w:val="20"/>
              </w:rPr>
              <w:t>2</w:t>
            </w:r>
          </w:p>
        </w:tc>
        <w:tc>
          <w:tcPr>
            <w:tcW w:w="1944" w:type="dxa"/>
            <w:tcBorders>
              <w:top w:val="single" w:sz="4" w:space="0" w:color="auto"/>
              <w:left w:val="single" w:sz="4" w:space="0" w:color="auto"/>
              <w:bottom w:val="single" w:sz="4" w:space="0" w:color="auto"/>
              <w:right w:val="single" w:sz="4" w:space="0" w:color="auto"/>
            </w:tcBorders>
            <w:shd w:val="clear" w:color="auto" w:fill="auto"/>
          </w:tcPr>
          <w:p w:rsidR="000E54C2" w:rsidRPr="00E8065F" w:rsidRDefault="000E54C2" w:rsidP="00BA1432">
            <w:pPr>
              <w:jc w:val="center"/>
              <w:rPr>
                <w:color w:val="000000"/>
                <w:sz w:val="20"/>
                <w:szCs w:val="20"/>
              </w:rPr>
            </w:pPr>
            <w:r w:rsidRPr="00E8065F">
              <w:rPr>
                <w:color w:val="000000"/>
                <w:sz w:val="20"/>
                <w:szCs w:val="20"/>
              </w:rPr>
              <w:t>Амбулаторное</w:t>
            </w:r>
          </w:p>
        </w:tc>
      </w:tr>
      <w:tr w:rsidR="00BA1432" w:rsidRPr="00E8065F" w:rsidTr="000546C2">
        <w:trPr>
          <w:trHeight w:val="20"/>
        </w:trPr>
        <w:tc>
          <w:tcPr>
            <w:tcW w:w="1555" w:type="dxa"/>
            <w:vMerge/>
          </w:tcPr>
          <w:p w:rsidR="000E54C2" w:rsidRPr="00E8065F" w:rsidRDefault="000E54C2" w:rsidP="00BA1432">
            <w:pPr>
              <w:rPr>
                <w:sz w:val="20"/>
                <w:szCs w:val="20"/>
              </w:rPr>
            </w:pPr>
          </w:p>
        </w:tc>
        <w:tc>
          <w:tcPr>
            <w:tcW w:w="3685" w:type="dxa"/>
            <w:tcBorders>
              <w:top w:val="nil"/>
              <w:left w:val="single" w:sz="4" w:space="0" w:color="auto"/>
              <w:bottom w:val="single" w:sz="4" w:space="0" w:color="auto"/>
              <w:right w:val="single" w:sz="4" w:space="0" w:color="auto"/>
            </w:tcBorders>
            <w:shd w:val="clear" w:color="auto" w:fill="auto"/>
          </w:tcPr>
          <w:p w:rsidR="000E54C2" w:rsidRPr="00E8065F" w:rsidRDefault="000E54C2" w:rsidP="00DC0475">
            <w:pPr>
              <w:jc w:val="both"/>
              <w:rPr>
                <w:color w:val="000000"/>
                <w:sz w:val="20"/>
                <w:szCs w:val="20"/>
              </w:rPr>
            </w:pPr>
            <w:r w:rsidRPr="00E8065F">
              <w:rPr>
                <w:color w:val="000000"/>
                <w:sz w:val="20"/>
                <w:szCs w:val="20"/>
              </w:rPr>
              <w:t xml:space="preserve">ГАУЗ </w:t>
            </w:r>
            <w:r w:rsidR="002F7358">
              <w:rPr>
                <w:color w:val="000000"/>
                <w:sz w:val="20"/>
                <w:szCs w:val="20"/>
              </w:rPr>
              <w:t>«</w:t>
            </w:r>
            <w:r w:rsidRPr="00E8065F">
              <w:rPr>
                <w:color w:val="000000"/>
                <w:sz w:val="20"/>
                <w:szCs w:val="20"/>
              </w:rPr>
              <w:t>Азнакаевская ЦРБ</w:t>
            </w:r>
            <w:r w:rsidR="002F7358">
              <w:rPr>
                <w:color w:val="000000"/>
                <w:sz w:val="20"/>
                <w:szCs w:val="20"/>
              </w:rPr>
              <w:t>»</w:t>
            </w:r>
          </w:p>
        </w:tc>
        <w:tc>
          <w:tcPr>
            <w:tcW w:w="1994" w:type="dxa"/>
            <w:tcBorders>
              <w:top w:val="nil"/>
              <w:left w:val="single" w:sz="4" w:space="0" w:color="auto"/>
              <w:bottom w:val="single" w:sz="4" w:space="0" w:color="auto"/>
              <w:right w:val="single" w:sz="4" w:space="0" w:color="auto"/>
            </w:tcBorders>
            <w:shd w:val="clear" w:color="auto" w:fill="auto"/>
          </w:tcPr>
          <w:p w:rsidR="000E54C2" w:rsidRPr="00E8065F" w:rsidRDefault="000E54C2" w:rsidP="00BA1432">
            <w:pPr>
              <w:jc w:val="center"/>
              <w:rPr>
                <w:color w:val="000000"/>
                <w:sz w:val="20"/>
                <w:szCs w:val="20"/>
              </w:rPr>
            </w:pPr>
            <w:r w:rsidRPr="00E8065F">
              <w:rPr>
                <w:color w:val="000000"/>
                <w:sz w:val="20"/>
                <w:szCs w:val="20"/>
              </w:rPr>
              <w:t>Маммограф</w:t>
            </w:r>
          </w:p>
        </w:tc>
        <w:tc>
          <w:tcPr>
            <w:tcW w:w="1181" w:type="dxa"/>
            <w:shd w:val="clear" w:color="auto" w:fill="auto"/>
          </w:tcPr>
          <w:p w:rsidR="000E54C2" w:rsidRPr="00E8065F" w:rsidRDefault="000E54C2" w:rsidP="000546C2">
            <w:pPr>
              <w:jc w:val="center"/>
              <w:rPr>
                <w:sz w:val="20"/>
                <w:szCs w:val="20"/>
              </w:rPr>
            </w:pPr>
            <w:r w:rsidRPr="00E8065F">
              <w:rPr>
                <w:sz w:val="20"/>
                <w:szCs w:val="20"/>
              </w:rPr>
              <w:t>2012</w:t>
            </w:r>
          </w:p>
        </w:tc>
        <w:tc>
          <w:tcPr>
            <w:tcW w:w="1181" w:type="dxa"/>
            <w:tcBorders>
              <w:top w:val="nil"/>
              <w:left w:val="single" w:sz="4" w:space="0" w:color="auto"/>
              <w:bottom w:val="single" w:sz="4" w:space="0" w:color="auto"/>
              <w:right w:val="single" w:sz="4" w:space="0" w:color="auto"/>
            </w:tcBorders>
            <w:shd w:val="clear" w:color="auto" w:fill="auto"/>
          </w:tcPr>
          <w:p w:rsidR="000E54C2" w:rsidRPr="00E8065F" w:rsidRDefault="000E54C2" w:rsidP="000546C2">
            <w:pPr>
              <w:jc w:val="center"/>
              <w:rPr>
                <w:color w:val="000000"/>
                <w:sz w:val="20"/>
                <w:szCs w:val="20"/>
              </w:rPr>
            </w:pPr>
            <w:r w:rsidRPr="00E8065F">
              <w:rPr>
                <w:color w:val="000000"/>
                <w:sz w:val="20"/>
                <w:szCs w:val="20"/>
              </w:rPr>
              <w:t>1</w:t>
            </w:r>
          </w:p>
        </w:tc>
        <w:tc>
          <w:tcPr>
            <w:tcW w:w="1478" w:type="dxa"/>
            <w:tcBorders>
              <w:top w:val="nil"/>
              <w:left w:val="single" w:sz="4" w:space="0" w:color="auto"/>
              <w:bottom w:val="single" w:sz="4" w:space="0" w:color="auto"/>
              <w:right w:val="single" w:sz="4" w:space="0" w:color="auto"/>
            </w:tcBorders>
            <w:shd w:val="clear" w:color="auto" w:fill="auto"/>
          </w:tcPr>
          <w:p w:rsidR="000E54C2" w:rsidRPr="00E8065F" w:rsidRDefault="000E54C2" w:rsidP="000546C2">
            <w:pPr>
              <w:jc w:val="center"/>
              <w:rPr>
                <w:color w:val="000000"/>
                <w:sz w:val="20"/>
                <w:szCs w:val="20"/>
              </w:rPr>
            </w:pPr>
            <w:r w:rsidRPr="00E8065F">
              <w:rPr>
                <w:color w:val="000000"/>
                <w:sz w:val="20"/>
                <w:szCs w:val="20"/>
              </w:rPr>
              <w:t>46</w:t>
            </w:r>
          </w:p>
        </w:tc>
        <w:tc>
          <w:tcPr>
            <w:tcW w:w="1111" w:type="dxa"/>
            <w:tcBorders>
              <w:top w:val="nil"/>
              <w:left w:val="single" w:sz="4" w:space="0" w:color="auto"/>
              <w:bottom w:val="single" w:sz="4" w:space="0" w:color="auto"/>
              <w:right w:val="single" w:sz="4" w:space="0" w:color="auto"/>
            </w:tcBorders>
            <w:shd w:val="clear" w:color="auto" w:fill="auto"/>
          </w:tcPr>
          <w:p w:rsidR="000E54C2" w:rsidRPr="00E8065F" w:rsidRDefault="000E54C2" w:rsidP="000546C2">
            <w:pPr>
              <w:jc w:val="center"/>
              <w:rPr>
                <w:color w:val="000000"/>
                <w:sz w:val="20"/>
                <w:szCs w:val="20"/>
              </w:rPr>
            </w:pPr>
            <w:r w:rsidRPr="00E8065F">
              <w:rPr>
                <w:color w:val="000000"/>
                <w:sz w:val="20"/>
                <w:szCs w:val="20"/>
              </w:rPr>
              <w:t>2</w:t>
            </w:r>
          </w:p>
        </w:tc>
        <w:tc>
          <w:tcPr>
            <w:tcW w:w="1944" w:type="dxa"/>
            <w:tcBorders>
              <w:top w:val="nil"/>
              <w:left w:val="single" w:sz="4" w:space="0" w:color="auto"/>
              <w:bottom w:val="single" w:sz="4" w:space="0" w:color="auto"/>
              <w:right w:val="single" w:sz="4" w:space="0" w:color="auto"/>
            </w:tcBorders>
            <w:shd w:val="clear" w:color="auto" w:fill="auto"/>
          </w:tcPr>
          <w:p w:rsidR="000E54C2" w:rsidRPr="00E8065F" w:rsidRDefault="000E54C2" w:rsidP="00BA1432">
            <w:pPr>
              <w:jc w:val="center"/>
              <w:rPr>
                <w:color w:val="000000"/>
                <w:sz w:val="20"/>
                <w:szCs w:val="20"/>
              </w:rPr>
            </w:pPr>
            <w:r w:rsidRPr="00E8065F">
              <w:rPr>
                <w:color w:val="000000"/>
                <w:sz w:val="20"/>
                <w:szCs w:val="20"/>
              </w:rPr>
              <w:t>Амбулаторное</w:t>
            </w:r>
          </w:p>
        </w:tc>
      </w:tr>
      <w:tr w:rsidR="00BA1432" w:rsidRPr="00E8065F" w:rsidTr="000546C2">
        <w:trPr>
          <w:trHeight w:val="20"/>
        </w:trPr>
        <w:tc>
          <w:tcPr>
            <w:tcW w:w="1555" w:type="dxa"/>
            <w:vMerge/>
          </w:tcPr>
          <w:p w:rsidR="000E54C2" w:rsidRPr="00E8065F" w:rsidRDefault="000E54C2" w:rsidP="00BA1432">
            <w:pPr>
              <w:rPr>
                <w:sz w:val="20"/>
                <w:szCs w:val="20"/>
              </w:rPr>
            </w:pPr>
          </w:p>
        </w:tc>
        <w:tc>
          <w:tcPr>
            <w:tcW w:w="3685" w:type="dxa"/>
            <w:tcBorders>
              <w:top w:val="nil"/>
              <w:left w:val="single" w:sz="4" w:space="0" w:color="auto"/>
              <w:bottom w:val="single" w:sz="4" w:space="0" w:color="auto"/>
              <w:right w:val="single" w:sz="4" w:space="0" w:color="auto"/>
            </w:tcBorders>
            <w:shd w:val="clear" w:color="auto" w:fill="auto"/>
          </w:tcPr>
          <w:p w:rsidR="000E54C2" w:rsidRPr="00E8065F" w:rsidRDefault="000E54C2" w:rsidP="00DC0475">
            <w:pPr>
              <w:jc w:val="both"/>
              <w:rPr>
                <w:color w:val="000000"/>
                <w:sz w:val="20"/>
                <w:szCs w:val="20"/>
              </w:rPr>
            </w:pPr>
            <w:r w:rsidRPr="00E8065F">
              <w:rPr>
                <w:color w:val="000000"/>
                <w:sz w:val="20"/>
                <w:szCs w:val="20"/>
              </w:rPr>
              <w:t xml:space="preserve">ГАУЗ </w:t>
            </w:r>
            <w:r w:rsidR="002F7358">
              <w:rPr>
                <w:color w:val="000000"/>
                <w:sz w:val="20"/>
                <w:szCs w:val="20"/>
              </w:rPr>
              <w:t>«</w:t>
            </w:r>
            <w:r w:rsidRPr="00E8065F">
              <w:rPr>
                <w:color w:val="000000"/>
                <w:sz w:val="20"/>
                <w:szCs w:val="20"/>
              </w:rPr>
              <w:t>Актанышская ЦРБ</w:t>
            </w:r>
            <w:r w:rsidR="002F7358">
              <w:rPr>
                <w:color w:val="000000"/>
                <w:sz w:val="20"/>
                <w:szCs w:val="20"/>
              </w:rPr>
              <w:t>»</w:t>
            </w:r>
          </w:p>
        </w:tc>
        <w:tc>
          <w:tcPr>
            <w:tcW w:w="1994" w:type="dxa"/>
            <w:tcBorders>
              <w:top w:val="nil"/>
              <w:left w:val="single" w:sz="4" w:space="0" w:color="auto"/>
              <w:bottom w:val="single" w:sz="4" w:space="0" w:color="auto"/>
              <w:right w:val="single" w:sz="4" w:space="0" w:color="auto"/>
            </w:tcBorders>
            <w:shd w:val="clear" w:color="auto" w:fill="auto"/>
          </w:tcPr>
          <w:p w:rsidR="000E54C2" w:rsidRPr="00E8065F" w:rsidRDefault="000E54C2" w:rsidP="00BA1432">
            <w:pPr>
              <w:jc w:val="center"/>
              <w:rPr>
                <w:color w:val="000000"/>
                <w:sz w:val="20"/>
                <w:szCs w:val="20"/>
              </w:rPr>
            </w:pPr>
            <w:r w:rsidRPr="00E8065F">
              <w:rPr>
                <w:color w:val="000000"/>
                <w:sz w:val="20"/>
                <w:szCs w:val="20"/>
              </w:rPr>
              <w:t>Маммограф</w:t>
            </w:r>
          </w:p>
        </w:tc>
        <w:tc>
          <w:tcPr>
            <w:tcW w:w="1181" w:type="dxa"/>
            <w:shd w:val="clear" w:color="auto" w:fill="auto"/>
          </w:tcPr>
          <w:p w:rsidR="000E54C2" w:rsidRPr="00E8065F" w:rsidRDefault="000E54C2" w:rsidP="000546C2">
            <w:pPr>
              <w:jc w:val="center"/>
              <w:rPr>
                <w:sz w:val="20"/>
                <w:szCs w:val="20"/>
              </w:rPr>
            </w:pPr>
            <w:r w:rsidRPr="00E8065F">
              <w:rPr>
                <w:sz w:val="20"/>
                <w:szCs w:val="20"/>
              </w:rPr>
              <w:t>2022</w:t>
            </w:r>
          </w:p>
        </w:tc>
        <w:tc>
          <w:tcPr>
            <w:tcW w:w="1181" w:type="dxa"/>
            <w:tcBorders>
              <w:top w:val="nil"/>
              <w:left w:val="single" w:sz="4" w:space="0" w:color="auto"/>
              <w:bottom w:val="single" w:sz="4" w:space="0" w:color="auto"/>
              <w:right w:val="single" w:sz="4" w:space="0" w:color="auto"/>
            </w:tcBorders>
            <w:shd w:val="clear" w:color="auto" w:fill="auto"/>
          </w:tcPr>
          <w:p w:rsidR="000E54C2" w:rsidRPr="00E8065F" w:rsidRDefault="000E54C2" w:rsidP="000546C2">
            <w:pPr>
              <w:jc w:val="center"/>
              <w:rPr>
                <w:color w:val="000000"/>
                <w:sz w:val="20"/>
                <w:szCs w:val="20"/>
              </w:rPr>
            </w:pPr>
            <w:r w:rsidRPr="00E8065F">
              <w:rPr>
                <w:color w:val="000000"/>
                <w:sz w:val="20"/>
                <w:szCs w:val="20"/>
              </w:rPr>
              <w:t>1</w:t>
            </w:r>
          </w:p>
        </w:tc>
        <w:tc>
          <w:tcPr>
            <w:tcW w:w="1478" w:type="dxa"/>
            <w:tcBorders>
              <w:top w:val="nil"/>
              <w:left w:val="single" w:sz="4" w:space="0" w:color="auto"/>
              <w:bottom w:val="single" w:sz="4" w:space="0" w:color="auto"/>
              <w:right w:val="single" w:sz="4" w:space="0" w:color="auto"/>
            </w:tcBorders>
            <w:shd w:val="clear" w:color="auto" w:fill="auto"/>
          </w:tcPr>
          <w:p w:rsidR="000E54C2" w:rsidRPr="00E8065F" w:rsidRDefault="000E54C2" w:rsidP="000546C2">
            <w:pPr>
              <w:jc w:val="center"/>
              <w:rPr>
                <w:color w:val="000000"/>
                <w:sz w:val="20"/>
                <w:szCs w:val="20"/>
              </w:rPr>
            </w:pPr>
            <w:r w:rsidRPr="00E8065F">
              <w:rPr>
                <w:color w:val="000000"/>
                <w:sz w:val="20"/>
                <w:szCs w:val="20"/>
              </w:rPr>
              <w:t>4</w:t>
            </w:r>
          </w:p>
        </w:tc>
        <w:tc>
          <w:tcPr>
            <w:tcW w:w="1111" w:type="dxa"/>
            <w:tcBorders>
              <w:top w:val="nil"/>
              <w:left w:val="single" w:sz="4" w:space="0" w:color="auto"/>
              <w:bottom w:val="single" w:sz="4" w:space="0" w:color="auto"/>
              <w:right w:val="single" w:sz="4" w:space="0" w:color="auto"/>
            </w:tcBorders>
            <w:shd w:val="clear" w:color="auto" w:fill="auto"/>
          </w:tcPr>
          <w:p w:rsidR="000E54C2" w:rsidRPr="00E8065F" w:rsidRDefault="000E54C2" w:rsidP="000546C2">
            <w:pPr>
              <w:jc w:val="center"/>
              <w:rPr>
                <w:color w:val="000000"/>
                <w:sz w:val="20"/>
                <w:szCs w:val="20"/>
              </w:rPr>
            </w:pPr>
            <w:r w:rsidRPr="00E8065F">
              <w:rPr>
                <w:color w:val="000000"/>
                <w:sz w:val="20"/>
                <w:szCs w:val="20"/>
              </w:rPr>
              <w:t>2</w:t>
            </w:r>
          </w:p>
        </w:tc>
        <w:tc>
          <w:tcPr>
            <w:tcW w:w="1944" w:type="dxa"/>
            <w:tcBorders>
              <w:top w:val="nil"/>
              <w:left w:val="single" w:sz="4" w:space="0" w:color="auto"/>
              <w:bottom w:val="single" w:sz="4" w:space="0" w:color="auto"/>
              <w:right w:val="single" w:sz="4" w:space="0" w:color="auto"/>
            </w:tcBorders>
            <w:shd w:val="clear" w:color="auto" w:fill="auto"/>
          </w:tcPr>
          <w:p w:rsidR="000E54C2" w:rsidRPr="00E8065F" w:rsidRDefault="000E54C2" w:rsidP="00BA1432">
            <w:pPr>
              <w:jc w:val="center"/>
              <w:rPr>
                <w:color w:val="000000"/>
                <w:sz w:val="20"/>
                <w:szCs w:val="20"/>
              </w:rPr>
            </w:pPr>
            <w:r w:rsidRPr="00E8065F">
              <w:rPr>
                <w:color w:val="000000"/>
                <w:sz w:val="20"/>
                <w:szCs w:val="20"/>
              </w:rPr>
              <w:t>Амбулаторное</w:t>
            </w:r>
          </w:p>
        </w:tc>
      </w:tr>
      <w:tr w:rsidR="00BA1432" w:rsidRPr="00E8065F" w:rsidTr="000546C2">
        <w:trPr>
          <w:trHeight w:val="20"/>
        </w:trPr>
        <w:tc>
          <w:tcPr>
            <w:tcW w:w="1555" w:type="dxa"/>
            <w:vMerge/>
          </w:tcPr>
          <w:p w:rsidR="000E54C2" w:rsidRPr="00E8065F" w:rsidRDefault="000E54C2" w:rsidP="00BA1432">
            <w:pPr>
              <w:rPr>
                <w:sz w:val="20"/>
                <w:szCs w:val="20"/>
              </w:rPr>
            </w:pPr>
          </w:p>
        </w:tc>
        <w:tc>
          <w:tcPr>
            <w:tcW w:w="3685" w:type="dxa"/>
            <w:tcBorders>
              <w:top w:val="nil"/>
              <w:left w:val="single" w:sz="4" w:space="0" w:color="auto"/>
              <w:bottom w:val="single" w:sz="4" w:space="0" w:color="auto"/>
              <w:right w:val="single" w:sz="4" w:space="0" w:color="auto"/>
            </w:tcBorders>
            <w:shd w:val="clear" w:color="auto" w:fill="auto"/>
          </w:tcPr>
          <w:p w:rsidR="000E54C2" w:rsidRPr="00E8065F" w:rsidRDefault="000E54C2" w:rsidP="00DC0475">
            <w:pPr>
              <w:jc w:val="both"/>
              <w:rPr>
                <w:color w:val="000000"/>
                <w:sz w:val="20"/>
                <w:szCs w:val="20"/>
              </w:rPr>
            </w:pPr>
            <w:r w:rsidRPr="00E8065F">
              <w:rPr>
                <w:color w:val="000000"/>
                <w:sz w:val="20"/>
                <w:szCs w:val="20"/>
              </w:rPr>
              <w:t xml:space="preserve">ГАУЗ </w:t>
            </w:r>
            <w:r w:rsidR="002F7358">
              <w:rPr>
                <w:color w:val="000000"/>
                <w:sz w:val="20"/>
                <w:szCs w:val="20"/>
              </w:rPr>
              <w:t>«</w:t>
            </w:r>
            <w:r w:rsidRPr="00E8065F">
              <w:rPr>
                <w:color w:val="000000"/>
                <w:sz w:val="20"/>
                <w:szCs w:val="20"/>
              </w:rPr>
              <w:t>Алексеевская ЦРБ</w:t>
            </w:r>
            <w:r w:rsidR="002F7358">
              <w:rPr>
                <w:color w:val="000000"/>
                <w:sz w:val="20"/>
                <w:szCs w:val="20"/>
              </w:rPr>
              <w:t>»</w:t>
            </w:r>
          </w:p>
        </w:tc>
        <w:tc>
          <w:tcPr>
            <w:tcW w:w="1994" w:type="dxa"/>
            <w:tcBorders>
              <w:top w:val="nil"/>
              <w:left w:val="single" w:sz="4" w:space="0" w:color="auto"/>
              <w:bottom w:val="single" w:sz="4" w:space="0" w:color="auto"/>
              <w:right w:val="single" w:sz="4" w:space="0" w:color="auto"/>
            </w:tcBorders>
            <w:shd w:val="clear" w:color="auto" w:fill="auto"/>
          </w:tcPr>
          <w:p w:rsidR="000E54C2" w:rsidRPr="00E8065F" w:rsidRDefault="000E54C2" w:rsidP="00BA1432">
            <w:pPr>
              <w:jc w:val="center"/>
              <w:rPr>
                <w:color w:val="000000"/>
                <w:sz w:val="20"/>
                <w:szCs w:val="20"/>
              </w:rPr>
            </w:pPr>
            <w:r w:rsidRPr="00E8065F">
              <w:rPr>
                <w:color w:val="000000"/>
                <w:sz w:val="20"/>
                <w:szCs w:val="20"/>
              </w:rPr>
              <w:t>Маммограф</w:t>
            </w:r>
          </w:p>
        </w:tc>
        <w:tc>
          <w:tcPr>
            <w:tcW w:w="1181" w:type="dxa"/>
            <w:shd w:val="clear" w:color="auto" w:fill="auto"/>
          </w:tcPr>
          <w:p w:rsidR="000E54C2" w:rsidRPr="00E8065F" w:rsidRDefault="000E54C2" w:rsidP="000546C2">
            <w:pPr>
              <w:jc w:val="center"/>
              <w:rPr>
                <w:sz w:val="20"/>
                <w:szCs w:val="20"/>
              </w:rPr>
            </w:pPr>
            <w:r w:rsidRPr="00E8065F">
              <w:rPr>
                <w:sz w:val="20"/>
                <w:szCs w:val="20"/>
              </w:rPr>
              <w:t>2022</w:t>
            </w:r>
          </w:p>
        </w:tc>
        <w:tc>
          <w:tcPr>
            <w:tcW w:w="1181" w:type="dxa"/>
            <w:tcBorders>
              <w:top w:val="nil"/>
              <w:left w:val="single" w:sz="4" w:space="0" w:color="auto"/>
              <w:bottom w:val="single" w:sz="4" w:space="0" w:color="auto"/>
              <w:right w:val="single" w:sz="4" w:space="0" w:color="auto"/>
            </w:tcBorders>
            <w:shd w:val="clear" w:color="auto" w:fill="auto"/>
          </w:tcPr>
          <w:p w:rsidR="000E54C2" w:rsidRPr="00E8065F" w:rsidRDefault="000E54C2" w:rsidP="000546C2">
            <w:pPr>
              <w:jc w:val="center"/>
              <w:rPr>
                <w:color w:val="000000"/>
                <w:sz w:val="20"/>
                <w:szCs w:val="20"/>
              </w:rPr>
            </w:pPr>
            <w:r w:rsidRPr="00E8065F">
              <w:rPr>
                <w:color w:val="000000"/>
                <w:sz w:val="20"/>
                <w:szCs w:val="20"/>
              </w:rPr>
              <w:t>1</w:t>
            </w:r>
          </w:p>
        </w:tc>
        <w:tc>
          <w:tcPr>
            <w:tcW w:w="1478" w:type="dxa"/>
            <w:tcBorders>
              <w:top w:val="nil"/>
              <w:left w:val="single" w:sz="4" w:space="0" w:color="auto"/>
              <w:bottom w:val="single" w:sz="4" w:space="0" w:color="auto"/>
              <w:right w:val="single" w:sz="4" w:space="0" w:color="auto"/>
            </w:tcBorders>
            <w:shd w:val="clear" w:color="auto" w:fill="auto"/>
          </w:tcPr>
          <w:p w:rsidR="000E54C2" w:rsidRPr="00E8065F" w:rsidRDefault="000E54C2" w:rsidP="000546C2">
            <w:pPr>
              <w:jc w:val="center"/>
              <w:rPr>
                <w:color w:val="000000"/>
                <w:sz w:val="20"/>
                <w:szCs w:val="20"/>
              </w:rPr>
            </w:pPr>
            <w:r w:rsidRPr="00E8065F">
              <w:rPr>
                <w:color w:val="000000"/>
                <w:sz w:val="20"/>
                <w:szCs w:val="20"/>
              </w:rPr>
              <w:t>14</w:t>
            </w:r>
          </w:p>
        </w:tc>
        <w:tc>
          <w:tcPr>
            <w:tcW w:w="1111" w:type="dxa"/>
            <w:tcBorders>
              <w:top w:val="nil"/>
              <w:left w:val="single" w:sz="4" w:space="0" w:color="auto"/>
              <w:bottom w:val="single" w:sz="4" w:space="0" w:color="auto"/>
              <w:right w:val="single" w:sz="4" w:space="0" w:color="auto"/>
            </w:tcBorders>
            <w:shd w:val="clear" w:color="auto" w:fill="auto"/>
          </w:tcPr>
          <w:p w:rsidR="000E54C2" w:rsidRPr="00E8065F" w:rsidRDefault="000E54C2" w:rsidP="000546C2">
            <w:pPr>
              <w:jc w:val="center"/>
              <w:rPr>
                <w:color w:val="000000"/>
                <w:sz w:val="20"/>
                <w:szCs w:val="20"/>
              </w:rPr>
            </w:pPr>
            <w:r w:rsidRPr="00E8065F">
              <w:rPr>
                <w:color w:val="000000"/>
                <w:sz w:val="20"/>
                <w:szCs w:val="20"/>
              </w:rPr>
              <w:t>2</w:t>
            </w:r>
          </w:p>
        </w:tc>
        <w:tc>
          <w:tcPr>
            <w:tcW w:w="1944" w:type="dxa"/>
            <w:tcBorders>
              <w:top w:val="nil"/>
              <w:left w:val="single" w:sz="4" w:space="0" w:color="auto"/>
              <w:bottom w:val="single" w:sz="4" w:space="0" w:color="auto"/>
              <w:right w:val="single" w:sz="4" w:space="0" w:color="auto"/>
            </w:tcBorders>
            <w:shd w:val="clear" w:color="auto" w:fill="auto"/>
          </w:tcPr>
          <w:p w:rsidR="000E54C2" w:rsidRPr="00E8065F" w:rsidRDefault="000E54C2" w:rsidP="00BA1432">
            <w:pPr>
              <w:jc w:val="center"/>
              <w:rPr>
                <w:color w:val="000000"/>
                <w:sz w:val="20"/>
                <w:szCs w:val="20"/>
              </w:rPr>
            </w:pPr>
            <w:r w:rsidRPr="00E8065F">
              <w:rPr>
                <w:color w:val="000000"/>
                <w:sz w:val="20"/>
                <w:szCs w:val="20"/>
              </w:rPr>
              <w:t>Амбулаторное</w:t>
            </w:r>
          </w:p>
        </w:tc>
      </w:tr>
      <w:tr w:rsidR="00BA1432" w:rsidRPr="00E8065F" w:rsidTr="000546C2">
        <w:trPr>
          <w:trHeight w:val="20"/>
        </w:trPr>
        <w:tc>
          <w:tcPr>
            <w:tcW w:w="1555" w:type="dxa"/>
            <w:vMerge/>
          </w:tcPr>
          <w:p w:rsidR="000E54C2" w:rsidRPr="00E8065F" w:rsidRDefault="000E54C2" w:rsidP="00BA1432">
            <w:pPr>
              <w:rPr>
                <w:sz w:val="20"/>
                <w:szCs w:val="20"/>
              </w:rPr>
            </w:pPr>
          </w:p>
        </w:tc>
        <w:tc>
          <w:tcPr>
            <w:tcW w:w="3685" w:type="dxa"/>
            <w:tcBorders>
              <w:top w:val="nil"/>
              <w:left w:val="single" w:sz="4" w:space="0" w:color="auto"/>
              <w:bottom w:val="single" w:sz="4" w:space="0" w:color="auto"/>
              <w:right w:val="single" w:sz="4" w:space="0" w:color="auto"/>
            </w:tcBorders>
            <w:shd w:val="clear" w:color="auto" w:fill="auto"/>
          </w:tcPr>
          <w:p w:rsidR="000E54C2" w:rsidRPr="00E8065F" w:rsidRDefault="000E54C2" w:rsidP="00DC0475">
            <w:pPr>
              <w:jc w:val="both"/>
              <w:rPr>
                <w:color w:val="000000"/>
                <w:sz w:val="20"/>
                <w:szCs w:val="20"/>
              </w:rPr>
            </w:pPr>
            <w:r w:rsidRPr="00E8065F">
              <w:rPr>
                <w:color w:val="000000"/>
                <w:sz w:val="20"/>
                <w:szCs w:val="20"/>
              </w:rPr>
              <w:t xml:space="preserve">ГАУЗ </w:t>
            </w:r>
            <w:r w:rsidR="002F7358">
              <w:rPr>
                <w:color w:val="000000"/>
                <w:sz w:val="20"/>
                <w:szCs w:val="20"/>
              </w:rPr>
              <w:t>«</w:t>
            </w:r>
            <w:r w:rsidRPr="00E8065F">
              <w:rPr>
                <w:color w:val="000000"/>
                <w:sz w:val="20"/>
                <w:szCs w:val="20"/>
              </w:rPr>
              <w:t>Базарно-Матакская ЦРБ</w:t>
            </w:r>
            <w:r w:rsidR="002F7358">
              <w:rPr>
                <w:color w:val="000000"/>
                <w:sz w:val="20"/>
                <w:szCs w:val="20"/>
              </w:rPr>
              <w:t>»</w:t>
            </w:r>
            <w:r w:rsidRPr="00E8065F">
              <w:rPr>
                <w:color w:val="000000"/>
                <w:sz w:val="20"/>
                <w:szCs w:val="20"/>
              </w:rPr>
              <w:t xml:space="preserve"> </w:t>
            </w:r>
          </w:p>
        </w:tc>
        <w:tc>
          <w:tcPr>
            <w:tcW w:w="1994" w:type="dxa"/>
            <w:tcBorders>
              <w:top w:val="nil"/>
              <w:left w:val="single" w:sz="4" w:space="0" w:color="auto"/>
              <w:bottom w:val="single" w:sz="4" w:space="0" w:color="auto"/>
              <w:right w:val="single" w:sz="4" w:space="0" w:color="auto"/>
            </w:tcBorders>
            <w:shd w:val="clear" w:color="auto" w:fill="auto"/>
          </w:tcPr>
          <w:p w:rsidR="000E54C2" w:rsidRPr="00E8065F" w:rsidRDefault="000E54C2" w:rsidP="00BA1432">
            <w:pPr>
              <w:jc w:val="center"/>
              <w:rPr>
                <w:color w:val="000000"/>
                <w:sz w:val="20"/>
                <w:szCs w:val="20"/>
              </w:rPr>
            </w:pPr>
            <w:r w:rsidRPr="00E8065F">
              <w:rPr>
                <w:color w:val="000000"/>
                <w:sz w:val="20"/>
                <w:szCs w:val="20"/>
              </w:rPr>
              <w:t>Маммограф</w:t>
            </w:r>
          </w:p>
        </w:tc>
        <w:tc>
          <w:tcPr>
            <w:tcW w:w="1181" w:type="dxa"/>
            <w:shd w:val="clear" w:color="auto" w:fill="auto"/>
          </w:tcPr>
          <w:p w:rsidR="000E54C2" w:rsidRPr="00E8065F" w:rsidRDefault="000E54C2" w:rsidP="000546C2">
            <w:pPr>
              <w:jc w:val="center"/>
              <w:rPr>
                <w:sz w:val="20"/>
                <w:szCs w:val="20"/>
              </w:rPr>
            </w:pPr>
            <w:r w:rsidRPr="00E8065F">
              <w:rPr>
                <w:sz w:val="20"/>
                <w:szCs w:val="20"/>
              </w:rPr>
              <w:t>2022</w:t>
            </w:r>
          </w:p>
        </w:tc>
        <w:tc>
          <w:tcPr>
            <w:tcW w:w="1181" w:type="dxa"/>
            <w:tcBorders>
              <w:top w:val="nil"/>
              <w:left w:val="single" w:sz="4" w:space="0" w:color="auto"/>
              <w:bottom w:val="single" w:sz="4" w:space="0" w:color="auto"/>
              <w:right w:val="single" w:sz="4" w:space="0" w:color="auto"/>
            </w:tcBorders>
            <w:shd w:val="clear" w:color="auto" w:fill="auto"/>
          </w:tcPr>
          <w:p w:rsidR="000E54C2" w:rsidRPr="00E8065F" w:rsidRDefault="000E54C2" w:rsidP="000546C2">
            <w:pPr>
              <w:jc w:val="center"/>
              <w:rPr>
                <w:color w:val="000000"/>
                <w:sz w:val="20"/>
                <w:szCs w:val="20"/>
              </w:rPr>
            </w:pPr>
            <w:r w:rsidRPr="00E8065F">
              <w:rPr>
                <w:color w:val="000000"/>
                <w:sz w:val="20"/>
                <w:szCs w:val="20"/>
              </w:rPr>
              <w:t>1</w:t>
            </w:r>
          </w:p>
        </w:tc>
        <w:tc>
          <w:tcPr>
            <w:tcW w:w="1478" w:type="dxa"/>
            <w:tcBorders>
              <w:top w:val="nil"/>
              <w:left w:val="single" w:sz="4" w:space="0" w:color="auto"/>
              <w:bottom w:val="single" w:sz="4" w:space="0" w:color="auto"/>
              <w:right w:val="single" w:sz="4" w:space="0" w:color="auto"/>
            </w:tcBorders>
            <w:shd w:val="clear" w:color="auto" w:fill="auto"/>
          </w:tcPr>
          <w:p w:rsidR="000E54C2" w:rsidRPr="00E8065F" w:rsidRDefault="000E54C2" w:rsidP="000546C2">
            <w:pPr>
              <w:jc w:val="center"/>
              <w:rPr>
                <w:color w:val="000000"/>
                <w:sz w:val="20"/>
                <w:szCs w:val="20"/>
              </w:rPr>
            </w:pPr>
            <w:r w:rsidRPr="00E8065F">
              <w:rPr>
                <w:color w:val="000000"/>
                <w:sz w:val="20"/>
                <w:szCs w:val="20"/>
              </w:rPr>
              <w:t>4</w:t>
            </w:r>
          </w:p>
        </w:tc>
        <w:tc>
          <w:tcPr>
            <w:tcW w:w="1111" w:type="dxa"/>
            <w:tcBorders>
              <w:top w:val="nil"/>
              <w:left w:val="single" w:sz="4" w:space="0" w:color="auto"/>
              <w:bottom w:val="single" w:sz="4" w:space="0" w:color="auto"/>
              <w:right w:val="single" w:sz="4" w:space="0" w:color="auto"/>
            </w:tcBorders>
            <w:shd w:val="clear" w:color="auto" w:fill="auto"/>
          </w:tcPr>
          <w:p w:rsidR="000E54C2" w:rsidRPr="00E8065F" w:rsidRDefault="000E54C2" w:rsidP="000546C2">
            <w:pPr>
              <w:jc w:val="center"/>
              <w:rPr>
                <w:color w:val="000000"/>
                <w:sz w:val="20"/>
                <w:szCs w:val="20"/>
              </w:rPr>
            </w:pPr>
            <w:r w:rsidRPr="00E8065F">
              <w:rPr>
                <w:color w:val="000000"/>
                <w:sz w:val="20"/>
                <w:szCs w:val="20"/>
              </w:rPr>
              <w:t>2</w:t>
            </w:r>
          </w:p>
        </w:tc>
        <w:tc>
          <w:tcPr>
            <w:tcW w:w="1944" w:type="dxa"/>
            <w:tcBorders>
              <w:top w:val="nil"/>
              <w:left w:val="single" w:sz="4" w:space="0" w:color="auto"/>
              <w:bottom w:val="single" w:sz="4" w:space="0" w:color="auto"/>
              <w:right w:val="single" w:sz="4" w:space="0" w:color="auto"/>
            </w:tcBorders>
            <w:shd w:val="clear" w:color="auto" w:fill="auto"/>
          </w:tcPr>
          <w:p w:rsidR="000E54C2" w:rsidRPr="00E8065F" w:rsidRDefault="000E54C2" w:rsidP="00BA1432">
            <w:pPr>
              <w:jc w:val="center"/>
              <w:rPr>
                <w:color w:val="000000"/>
                <w:sz w:val="20"/>
                <w:szCs w:val="20"/>
              </w:rPr>
            </w:pPr>
            <w:r w:rsidRPr="00E8065F">
              <w:rPr>
                <w:color w:val="000000"/>
                <w:sz w:val="20"/>
                <w:szCs w:val="20"/>
              </w:rPr>
              <w:t>Амбулаторное</w:t>
            </w:r>
          </w:p>
        </w:tc>
      </w:tr>
      <w:tr w:rsidR="00BA1432" w:rsidRPr="00E8065F" w:rsidTr="000546C2">
        <w:trPr>
          <w:trHeight w:val="20"/>
        </w:trPr>
        <w:tc>
          <w:tcPr>
            <w:tcW w:w="1555" w:type="dxa"/>
            <w:vMerge/>
          </w:tcPr>
          <w:p w:rsidR="000E54C2" w:rsidRPr="00E8065F" w:rsidRDefault="000E54C2" w:rsidP="00BA1432">
            <w:pPr>
              <w:rPr>
                <w:sz w:val="20"/>
                <w:szCs w:val="20"/>
              </w:rPr>
            </w:pPr>
          </w:p>
        </w:tc>
        <w:tc>
          <w:tcPr>
            <w:tcW w:w="3685" w:type="dxa"/>
            <w:tcBorders>
              <w:top w:val="nil"/>
              <w:left w:val="single" w:sz="4" w:space="0" w:color="auto"/>
              <w:bottom w:val="single" w:sz="4" w:space="0" w:color="auto"/>
              <w:right w:val="single" w:sz="4" w:space="0" w:color="auto"/>
            </w:tcBorders>
            <w:shd w:val="clear" w:color="auto" w:fill="auto"/>
          </w:tcPr>
          <w:p w:rsidR="000E54C2" w:rsidRPr="00E8065F" w:rsidRDefault="000E54C2" w:rsidP="00CD3A6F">
            <w:pPr>
              <w:spacing w:line="242" w:lineRule="auto"/>
              <w:jc w:val="both"/>
              <w:rPr>
                <w:color w:val="000000"/>
                <w:sz w:val="20"/>
                <w:szCs w:val="20"/>
              </w:rPr>
            </w:pPr>
            <w:r>
              <w:rPr>
                <w:color w:val="000000"/>
                <w:sz w:val="20"/>
                <w:szCs w:val="20"/>
              </w:rPr>
              <w:t xml:space="preserve">ГАУЗ </w:t>
            </w:r>
            <w:r w:rsidR="002F7358">
              <w:rPr>
                <w:rFonts w:eastAsia="Arial"/>
                <w:sz w:val="20"/>
                <w:szCs w:val="20"/>
              </w:rPr>
              <w:t>«</w:t>
            </w:r>
            <w:r>
              <w:rPr>
                <w:rFonts w:eastAsia="Arial"/>
                <w:sz w:val="20"/>
                <w:szCs w:val="20"/>
              </w:rPr>
              <w:t>Альметьевская межрайонная многопрофильная больница</w:t>
            </w:r>
            <w:r w:rsidR="002F7358">
              <w:rPr>
                <w:rFonts w:eastAsia="Arial"/>
                <w:sz w:val="20"/>
                <w:szCs w:val="20"/>
              </w:rPr>
              <w:t>»</w:t>
            </w:r>
          </w:p>
        </w:tc>
        <w:tc>
          <w:tcPr>
            <w:tcW w:w="1994" w:type="dxa"/>
            <w:tcBorders>
              <w:top w:val="nil"/>
              <w:left w:val="single" w:sz="4" w:space="0" w:color="auto"/>
              <w:bottom w:val="single" w:sz="4" w:space="0" w:color="auto"/>
              <w:right w:val="single" w:sz="4" w:space="0" w:color="auto"/>
            </w:tcBorders>
            <w:shd w:val="clear" w:color="auto" w:fill="auto"/>
          </w:tcPr>
          <w:p w:rsidR="000E54C2" w:rsidRPr="00E8065F" w:rsidRDefault="000E54C2" w:rsidP="00CD3A6F">
            <w:pPr>
              <w:spacing w:line="242" w:lineRule="auto"/>
              <w:jc w:val="center"/>
              <w:rPr>
                <w:color w:val="000000"/>
                <w:sz w:val="20"/>
                <w:szCs w:val="20"/>
              </w:rPr>
            </w:pPr>
            <w:r w:rsidRPr="00E8065F">
              <w:rPr>
                <w:color w:val="000000"/>
                <w:sz w:val="20"/>
                <w:szCs w:val="20"/>
              </w:rPr>
              <w:t>Маммограф</w:t>
            </w:r>
          </w:p>
        </w:tc>
        <w:tc>
          <w:tcPr>
            <w:tcW w:w="1181" w:type="dxa"/>
            <w:shd w:val="clear" w:color="auto" w:fill="auto"/>
          </w:tcPr>
          <w:p w:rsidR="000E54C2" w:rsidRPr="00E8065F" w:rsidRDefault="000E54C2" w:rsidP="00CD3A6F">
            <w:pPr>
              <w:spacing w:line="242" w:lineRule="auto"/>
              <w:jc w:val="center"/>
              <w:rPr>
                <w:sz w:val="20"/>
                <w:szCs w:val="20"/>
              </w:rPr>
            </w:pPr>
            <w:r w:rsidRPr="00E8065F">
              <w:rPr>
                <w:sz w:val="20"/>
                <w:szCs w:val="20"/>
              </w:rPr>
              <w:t>2020</w:t>
            </w:r>
          </w:p>
        </w:tc>
        <w:tc>
          <w:tcPr>
            <w:tcW w:w="1181" w:type="dxa"/>
            <w:tcBorders>
              <w:top w:val="nil"/>
              <w:left w:val="single" w:sz="4" w:space="0" w:color="auto"/>
              <w:bottom w:val="single" w:sz="4" w:space="0" w:color="auto"/>
              <w:right w:val="single" w:sz="4" w:space="0" w:color="auto"/>
            </w:tcBorders>
            <w:shd w:val="clear" w:color="auto" w:fill="auto"/>
          </w:tcPr>
          <w:p w:rsidR="000E54C2" w:rsidRPr="00E8065F" w:rsidRDefault="000E54C2" w:rsidP="00CD3A6F">
            <w:pPr>
              <w:spacing w:line="242" w:lineRule="auto"/>
              <w:jc w:val="center"/>
              <w:rPr>
                <w:color w:val="000000"/>
                <w:sz w:val="20"/>
                <w:szCs w:val="20"/>
              </w:rPr>
            </w:pPr>
            <w:r w:rsidRPr="00E8065F">
              <w:rPr>
                <w:color w:val="000000"/>
                <w:sz w:val="20"/>
                <w:szCs w:val="20"/>
              </w:rPr>
              <w:t>1</w:t>
            </w:r>
          </w:p>
        </w:tc>
        <w:tc>
          <w:tcPr>
            <w:tcW w:w="1478" w:type="dxa"/>
            <w:tcBorders>
              <w:top w:val="nil"/>
              <w:left w:val="single" w:sz="4" w:space="0" w:color="auto"/>
              <w:bottom w:val="single" w:sz="4" w:space="0" w:color="auto"/>
              <w:right w:val="single" w:sz="4" w:space="0" w:color="auto"/>
            </w:tcBorders>
            <w:shd w:val="clear" w:color="auto" w:fill="auto"/>
          </w:tcPr>
          <w:p w:rsidR="000E54C2" w:rsidRPr="00E8065F" w:rsidRDefault="000E54C2" w:rsidP="00CD3A6F">
            <w:pPr>
              <w:spacing w:line="242" w:lineRule="auto"/>
              <w:jc w:val="center"/>
              <w:rPr>
                <w:color w:val="000000"/>
                <w:sz w:val="20"/>
                <w:szCs w:val="20"/>
              </w:rPr>
            </w:pPr>
            <w:r w:rsidRPr="00E8065F">
              <w:rPr>
                <w:color w:val="000000"/>
                <w:sz w:val="20"/>
                <w:szCs w:val="20"/>
              </w:rPr>
              <w:t>7</w:t>
            </w:r>
          </w:p>
        </w:tc>
        <w:tc>
          <w:tcPr>
            <w:tcW w:w="1111" w:type="dxa"/>
            <w:tcBorders>
              <w:top w:val="nil"/>
              <w:left w:val="single" w:sz="4" w:space="0" w:color="auto"/>
              <w:bottom w:val="single" w:sz="4" w:space="0" w:color="auto"/>
              <w:right w:val="single" w:sz="4" w:space="0" w:color="auto"/>
            </w:tcBorders>
            <w:shd w:val="clear" w:color="auto" w:fill="auto"/>
          </w:tcPr>
          <w:p w:rsidR="000E54C2" w:rsidRPr="00E8065F" w:rsidRDefault="000E54C2" w:rsidP="00CD3A6F">
            <w:pPr>
              <w:spacing w:line="242" w:lineRule="auto"/>
              <w:jc w:val="center"/>
              <w:rPr>
                <w:color w:val="000000"/>
                <w:sz w:val="20"/>
                <w:szCs w:val="20"/>
              </w:rPr>
            </w:pPr>
            <w:r w:rsidRPr="00E8065F">
              <w:rPr>
                <w:color w:val="000000"/>
                <w:sz w:val="20"/>
                <w:szCs w:val="20"/>
              </w:rPr>
              <w:t>2</w:t>
            </w:r>
          </w:p>
        </w:tc>
        <w:tc>
          <w:tcPr>
            <w:tcW w:w="1944" w:type="dxa"/>
            <w:tcBorders>
              <w:top w:val="nil"/>
              <w:left w:val="single" w:sz="4" w:space="0" w:color="auto"/>
              <w:bottom w:val="single" w:sz="4" w:space="0" w:color="auto"/>
              <w:right w:val="single" w:sz="4" w:space="0" w:color="auto"/>
            </w:tcBorders>
            <w:shd w:val="clear" w:color="auto" w:fill="auto"/>
          </w:tcPr>
          <w:p w:rsidR="000E54C2" w:rsidRPr="00E8065F" w:rsidRDefault="000E54C2" w:rsidP="00CD3A6F">
            <w:pPr>
              <w:spacing w:line="242" w:lineRule="auto"/>
              <w:jc w:val="center"/>
              <w:rPr>
                <w:color w:val="000000"/>
                <w:sz w:val="20"/>
                <w:szCs w:val="20"/>
              </w:rPr>
            </w:pPr>
            <w:r w:rsidRPr="00E8065F">
              <w:rPr>
                <w:color w:val="000000"/>
                <w:sz w:val="20"/>
                <w:szCs w:val="20"/>
              </w:rPr>
              <w:t>Амбулаторное</w:t>
            </w:r>
          </w:p>
        </w:tc>
      </w:tr>
      <w:tr w:rsidR="00BA1432" w:rsidRPr="00E8065F" w:rsidTr="000546C2">
        <w:trPr>
          <w:trHeight w:val="20"/>
        </w:trPr>
        <w:tc>
          <w:tcPr>
            <w:tcW w:w="1555" w:type="dxa"/>
            <w:vMerge/>
          </w:tcPr>
          <w:p w:rsidR="000E54C2" w:rsidRPr="00E8065F" w:rsidRDefault="000E54C2" w:rsidP="00BA1432">
            <w:pPr>
              <w:rPr>
                <w:sz w:val="20"/>
                <w:szCs w:val="20"/>
              </w:rPr>
            </w:pPr>
          </w:p>
        </w:tc>
        <w:tc>
          <w:tcPr>
            <w:tcW w:w="3685" w:type="dxa"/>
            <w:tcBorders>
              <w:top w:val="nil"/>
              <w:left w:val="single" w:sz="4" w:space="0" w:color="auto"/>
              <w:bottom w:val="single" w:sz="4" w:space="0" w:color="auto"/>
              <w:right w:val="single" w:sz="4" w:space="0" w:color="auto"/>
            </w:tcBorders>
            <w:shd w:val="clear" w:color="auto" w:fill="auto"/>
          </w:tcPr>
          <w:p w:rsidR="000E54C2" w:rsidRPr="00E8065F" w:rsidRDefault="000E54C2" w:rsidP="00CD3A6F">
            <w:pPr>
              <w:spacing w:line="242" w:lineRule="auto"/>
              <w:jc w:val="both"/>
              <w:rPr>
                <w:color w:val="000000"/>
                <w:sz w:val="20"/>
                <w:szCs w:val="20"/>
              </w:rPr>
            </w:pPr>
            <w:r w:rsidRPr="00E8065F">
              <w:rPr>
                <w:color w:val="000000"/>
                <w:sz w:val="20"/>
                <w:szCs w:val="20"/>
              </w:rPr>
              <w:t xml:space="preserve">ГАУЗ </w:t>
            </w:r>
            <w:r w:rsidR="002F7358">
              <w:rPr>
                <w:color w:val="000000"/>
                <w:sz w:val="20"/>
                <w:szCs w:val="20"/>
              </w:rPr>
              <w:t>«</w:t>
            </w:r>
            <w:r w:rsidRPr="00E8065F">
              <w:rPr>
                <w:color w:val="000000"/>
                <w:sz w:val="20"/>
                <w:szCs w:val="20"/>
              </w:rPr>
              <w:t>Альметьевская городская поликлиника №</w:t>
            </w:r>
            <w:r w:rsidR="00D5127A">
              <w:rPr>
                <w:color w:val="000000"/>
                <w:sz w:val="20"/>
                <w:szCs w:val="20"/>
              </w:rPr>
              <w:t xml:space="preserve"> </w:t>
            </w:r>
            <w:r w:rsidRPr="00E8065F">
              <w:rPr>
                <w:color w:val="000000"/>
                <w:sz w:val="20"/>
                <w:szCs w:val="20"/>
              </w:rPr>
              <w:t>3</w:t>
            </w:r>
            <w:r w:rsidR="002F7358">
              <w:rPr>
                <w:color w:val="000000"/>
                <w:sz w:val="20"/>
                <w:szCs w:val="20"/>
              </w:rPr>
              <w:t>»</w:t>
            </w:r>
          </w:p>
        </w:tc>
        <w:tc>
          <w:tcPr>
            <w:tcW w:w="1994" w:type="dxa"/>
            <w:tcBorders>
              <w:top w:val="nil"/>
              <w:left w:val="single" w:sz="4" w:space="0" w:color="auto"/>
              <w:bottom w:val="single" w:sz="4" w:space="0" w:color="auto"/>
              <w:right w:val="single" w:sz="4" w:space="0" w:color="auto"/>
            </w:tcBorders>
            <w:shd w:val="clear" w:color="auto" w:fill="auto"/>
          </w:tcPr>
          <w:p w:rsidR="000E54C2" w:rsidRPr="00E8065F" w:rsidRDefault="000E54C2" w:rsidP="00CD3A6F">
            <w:pPr>
              <w:spacing w:line="242" w:lineRule="auto"/>
              <w:jc w:val="center"/>
              <w:rPr>
                <w:color w:val="000000"/>
                <w:sz w:val="20"/>
                <w:szCs w:val="20"/>
              </w:rPr>
            </w:pPr>
            <w:r w:rsidRPr="00E8065F">
              <w:rPr>
                <w:color w:val="000000"/>
                <w:sz w:val="20"/>
                <w:szCs w:val="20"/>
              </w:rPr>
              <w:t>Маммограф</w:t>
            </w:r>
          </w:p>
        </w:tc>
        <w:tc>
          <w:tcPr>
            <w:tcW w:w="1181" w:type="dxa"/>
            <w:shd w:val="clear" w:color="auto" w:fill="auto"/>
          </w:tcPr>
          <w:p w:rsidR="000E54C2" w:rsidRPr="00E8065F" w:rsidRDefault="000E54C2" w:rsidP="00CD3A6F">
            <w:pPr>
              <w:spacing w:line="242" w:lineRule="auto"/>
              <w:jc w:val="center"/>
              <w:rPr>
                <w:sz w:val="20"/>
                <w:szCs w:val="20"/>
              </w:rPr>
            </w:pPr>
            <w:r w:rsidRPr="00E8065F">
              <w:rPr>
                <w:sz w:val="20"/>
                <w:szCs w:val="20"/>
              </w:rPr>
              <w:t>2017</w:t>
            </w:r>
          </w:p>
        </w:tc>
        <w:tc>
          <w:tcPr>
            <w:tcW w:w="1181" w:type="dxa"/>
            <w:tcBorders>
              <w:top w:val="nil"/>
              <w:left w:val="single" w:sz="4" w:space="0" w:color="auto"/>
              <w:bottom w:val="single" w:sz="4" w:space="0" w:color="auto"/>
              <w:right w:val="single" w:sz="4" w:space="0" w:color="auto"/>
            </w:tcBorders>
            <w:shd w:val="clear" w:color="auto" w:fill="auto"/>
          </w:tcPr>
          <w:p w:rsidR="000E54C2" w:rsidRPr="00E8065F" w:rsidRDefault="000E54C2" w:rsidP="00CD3A6F">
            <w:pPr>
              <w:spacing w:line="242" w:lineRule="auto"/>
              <w:jc w:val="center"/>
              <w:rPr>
                <w:color w:val="000000"/>
                <w:sz w:val="20"/>
                <w:szCs w:val="20"/>
              </w:rPr>
            </w:pPr>
            <w:r w:rsidRPr="00E8065F">
              <w:rPr>
                <w:color w:val="000000"/>
                <w:sz w:val="20"/>
                <w:szCs w:val="20"/>
              </w:rPr>
              <w:t>1</w:t>
            </w:r>
          </w:p>
        </w:tc>
        <w:tc>
          <w:tcPr>
            <w:tcW w:w="1478" w:type="dxa"/>
            <w:tcBorders>
              <w:top w:val="nil"/>
              <w:left w:val="single" w:sz="4" w:space="0" w:color="auto"/>
              <w:bottom w:val="single" w:sz="4" w:space="0" w:color="auto"/>
              <w:right w:val="single" w:sz="4" w:space="0" w:color="auto"/>
            </w:tcBorders>
            <w:shd w:val="clear" w:color="auto" w:fill="auto"/>
          </w:tcPr>
          <w:p w:rsidR="000E54C2" w:rsidRPr="00E8065F" w:rsidRDefault="000E54C2" w:rsidP="00CD3A6F">
            <w:pPr>
              <w:spacing w:line="242" w:lineRule="auto"/>
              <w:jc w:val="center"/>
              <w:rPr>
                <w:color w:val="000000"/>
                <w:sz w:val="20"/>
                <w:szCs w:val="20"/>
              </w:rPr>
            </w:pPr>
            <w:r w:rsidRPr="00E8065F">
              <w:rPr>
                <w:color w:val="000000"/>
                <w:sz w:val="20"/>
                <w:szCs w:val="20"/>
              </w:rPr>
              <w:t>10</w:t>
            </w:r>
          </w:p>
        </w:tc>
        <w:tc>
          <w:tcPr>
            <w:tcW w:w="1111" w:type="dxa"/>
            <w:tcBorders>
              <w:top w:val="nil"/>
              <w:left w:val="single" w:sz="4" w:space="0" w:color="auto"/>
              <w:bottom w:val="single" w:sz="4" w:space="0" w:color="auto"/>
              <w:right w:val="single" w:sz="4" w:space="0" w:color="auto"/>
            </w:tcBorders>
            <w:shd w:val="clear" w:color="auto" w:fill="auto"/>
          </w:tcPr>
          <w:p w:rsidR="000E54C2" w:rsidRPr="00E8065F" w:rsidRDefault="000E54C2" w:rsidP="00CD3A6F">
            <w:pPr>
              <w:spacing w:line="242" w:lineRule="auto"/>
              <w:jc w:val="center"/>
              <w:rPr>
                <w:color w:val="000000"/>
                <w:sz w:val="20"/>
                <w:szCs w:val="20"/>
              </w:rPr>
            </w:pPr>
            <w:r w:rsidRPr="00E8065F">
              <w:rPr>
                <w:color w:val="000000"/>
                <w:sz w:val="20"/>
                <w:szCs w:val="20"/>
              </w:rPr>
              <w:t>2</w:t>
            </w:r>
          </w:p>
        </w:tc>
        <w:tc>
          <w:tcPr>
            <w:tcW w:w="1944" w:type="dxa"/>
            <w:tcBorders>
              <w:top w:val="nil"/>
              <w:left w:val="single" w:sz="4" w:space="0" w:color="auto"/>
              <w:bottom w:val="single" w:sz="4" w:space="0" w:color="auto"/>
              <w:right w:val="single" w:sz="4" w:space="0" w:color="auto"/>
            </w:tcBorders>
            <w:shd w:val="clear" w:color="auto" w:fill="auto"/>
          </w:tcPr>
          <w:p w:rsidR="000E54C2" w:rsidRPr="00E8065F" w:rsidRDefault="000E54C2" w:rsidP="00CD3A6F">
            <w:pPr>
              <w:spacing w:line="242" w:lineRule="auto"/>
              <w:jc w:val="center"/>
              <w:rPr>
                <w:color w:val="000000"/>
                <w:sz w:val="20"/>
                <w:szCs w:val="20"/>
              </w:rPr>
            </w:pPr>
            <w:r w:rsidRPr="00E8065F">
              <w:rPr>
                <w:color w:val="000000"/>
                <w:sz w:val="20"/>
                <w:szCs w:val="20"/>
              </w:rPr>
              <w:t>Амбулаторное</w:t>
            </w:r>
          </w:p>
        </w:tc>
      </w:tr>
      <w:tr w:rsidR="00BA1432" w:rsidRPr="00E8065F" w:rsidTr="000546C2">
        <w:trPr>
          <w:trHeight w:val="20"/>
        </w:trPr>
        <w:tc>
          <w:tcPr>
            <w:tcW w:w="1555" w:type="dxa"/>
            <w:vMerge/>
          </w:tcPr>
          <w:p w:rsidR="000E54C2" w:rsidRPr="00E8065F" w:rsidRDefault="000E54C2" w:rsidP="00BA1432">
            <w:pPr>
              <w:rPr>
                <w:sz w:val="20"/>
                <w:szCs w:val="20"/>
              </w:rPr>
            </w:pPr>
          </w:p>
        </w:tc>
        <w:tc>
          <w:tcPr>
            <w:tcW w:w="3685" w:type="dxa"/>
            <w:tcBorders>
              <w:top w:val="nil"/>
              <w:left w:val="single" w:sz="4" w:space="0" w:color="auto"/>
              <w:bottom w:val="single" w:sz="4" w:space="0" w:color="auto"/>
              <w:right w:val="single" w:sz="4" w:space="0" w:color="auto"/>
            </w:tcBorders>
            <w:shd w:val="clear" w:color="auto" w:fill="auto"/>
          </w:tcPr>
          <w:p w:rsidR="000E54C2" w:rsidRPr="00E8065F" w:rsidRDefault="000E54C2" w:rsidP="00CD3A6F">
            <w:pPr>
              <w:spacing w:line="242" w:lineRule="auto"/>
              <w:jc w:val="both"/>
              <w:rPr>
                <w:color w:val="000000"/>
                <w:sz w:val="20"/>
                <w:szCs w:val="20"/>
              </w:rPr>
            </w:pPr>
            <w:r w:rsidRPr="00E8065F">
              <w:rPr>
                <w:color w:val="000000"/>
                <w:sz w:val="20"/>
                <w:szCs w:val="20"/>
              </w:rPr>
              <w:t xml:space="preserve">ГАУЗ </w:t>
            </w:r>
            <w:r w:rsidR="002F7358">
              <w:rPr>
                <w:color w:val="000000"/>
                <w:sz w:val="20"/>
                <w:szCs w:val="20"/>
              </w:rPr>
              <w:t>«</w:t>
            </w:r>
            <w:r w:rsidRPr="00E8065F">
              <w:rPr>
                <w:color w:val="000000"/>
                <w:sz w:val="20"/>
                <w:szCs w:val="20"/>
              </w:rPr>
              <w:t>Альметьевская ЦРБ</w:t>
            </w:r>
            <w:r w:rsidR="002F7358">
              <w:rPr>
                <w:color w:val="000000"/>
                <w:sz w:val="20"/>
                <w:szCs w:val="20"/>
              </w:rPr>
              <w:t>»</w:t>
            </w:r>
          </w:p>
        </w:tc>
        <w:tc>
          <w:tcPr>
            <w:tcW w:w="1994" w:type="dxa"/>
            <w:tcBorders>
              <w:top w:val="nil"/>
              <w:left w:val="single" w:sz="4" w:space="0" w:color="auto"/>
              <w:bottom w:val="single" w:sz="4" w:space="0" w:color="auto"/>
              <w:right w:val="single" w:sz="4" w:space="0" w:color="auto"/>
            </w:tcBorders>
            <w:shd w:val="clear" w:color="auto" w:fill="auto"/>
          </w:tcPr>
          <w:p w:rsidR="000E54C2" w:rsidRPr="00E8065F" w:rsidRDefault="000E54C2" w:rsidP="00CD3A6F">
            <w:pPr>
              <w:spacing w:line="242" w:lineRule="auto"/>
              <w:jc w:val="center"/>
              <w:rPr>
                <w:color w:val="000000"/>
                <w:sz w:val="20"/>
                <w:szCs w:val="20"/>
              </w:rPr>
            </w:pPr>
            <w:r w:rsidRPr="00E8065F">
              <w:rPr>
                <w:color w:val="000000"/>
                <w:sz w:val="20"/>
                <w:szCs w:val="20"/>
              </w:rPr>
              <w:t>Маммограф</w:t>
            </w:r>
          </w:p>
        </w:tc>
        <w:tc>
          <w:tcPr>
            <w:tcW w:w="1181" w:type="dxa"/>
            <w:shd w:val="clear" w:color="auto" w:fill="auto"/>
          </w:tcPr>
          <w:p w:rsidR="000E54C2" w:rsidRPr="00E8065F" w:rsidRDefault="000E54C2" w:rsidP="00CD3A6F">
            <w:pPr>
              <w:spacing w:line="242" w:lineRule="auto"/>
              <w:jc w:val="center"/>
              <w:rPr>
                <w:sz w:val="20"/>
                <w:szCs w:val="20"/>
              </w:rPr>
            </w:pPr>
            <w:r w:rsidRPr="00E8065F">
              <w:rPr>
                <w:sz w:val="20"/>
                <w:szCs w:val="20"/>
              </w:rPr>
              <w:t>2022</w:t>
            </w:r>
          </w:p>
        </w:tc>
        <w:tc>
          <w:tcPr>
            <w:tcW w:w="1181" w:type="dxa"/>
            <w:tcBorders>
              <w:top w:val="nil"/>
              <w:left w:val="single" w:sz="4" w:space="0" w:color="auto"/>
              <w:bottom w:val="single" w:sz="4" w:space="0" w:color="auto"/>
              <w:right w:val="single" w:sz="4" w:space="0" w:color="auto"/>
            </w:tcBorders>
            <w:shd w:val="clear" w:color="auto" w:fill="auto"/>
          </w:tcPr>
          <w:p w:rsidR="000E54C2" w:rsidRPr="00E8065F" w:rsidRDefault="000E54C2" w:rsidP="00CD3A6F">
            <w:pPr>
              <w:spacing w:line="242" w:lineRule="auto"/>
              <w:jc w:val="center"/>
              <w:rPr>
                <w:color w:val="000000"/>
                <w:sz w:val="20"/>
                <w:szCs w:val="20"/>
              </w:rPr>
            </w:pPr>
            <w:r w:rsidRPr="00E8065F">
              <w:rPr>
                <w:color w:val="000000"/>
                <w:sz w:val="20"/>
                <w:szCs w:val="20"/>
              </w:rPr>
              <w:t>1</w:t>
            </w:r>
          </w:p>
        </w:tc>
        <w:tc>
          <w:tcPr>
            <w:tcW w:w="1478" w:type="dxa"/>
            <w:tcBorders>
              <w:top w:val="nil"/>
              <w:left w:val="single" w:sz="4" w:space="0" w:color="auto"/>
              <w:bottom w:val="single" w:sz="4" w:space="0" w:color="auto"/>
              <w:right w:val="single" w:sz="4" w:space="0" w:color="auto"/>
            </w:tcBorders>
            <w:shd w:val="clear" w:color="auto" w:fill="auto"/>
          </w:tcPr>
          <w:p w:rsidR="000E54C2" w:rsidRPr="00E8065F" w:rsidRDefault="000E54C2" w:rsidP="00CD3A6F">
            <w:pPr>
              <w:spacing w:line="242" w:lineRule="auto"/>
              <w:jc w:val="center"/>
              <w:rPr>
                <w:color w:val="000000"/>
                <w:sz w:val="20"/>
                <w:szCs w:val="20"/>
              </w:rPr>
            </w:pPr>
            <w:r w:rsidRPr="00E8065F">
              <w:rPr>
                <w:color w:val="000000"/>
                <w:sz w:val="20"/>
                <w:szCs w:val="20"/>
              </w:rPr>
              <w:t>58</w:t>
            </w:r>
          </w:p>
        </w:tc>
        <w:tc>
          <w:tcPr>
            <w:tcW w:w="1111" w:type="dxa"/>
            <w:tcBorders>
              <w:top w:val="nil"/>
              <w:left w:val="single" w:sz="4" w:space="0" w:color="auto"/>
              <w:bottom w:val="single" w:sz="4" w:space="0" w:color="auto"/>
              <w:right w:val="single" w:sz="4" w:space="0" w:color="auto"/>
            </w:tcBorders>
            <w:shd w:val="clear" w:color="auto" w:fill="auto"/>
          </w:tcPr>
          <w:p w:rsidR="000E54C2" w:rsidRPr="00E8065F" w:rsidRDefault="000E54C2" w:rsidP="00CD3A6F">
            <w:pPr>
              <w:spacing w:line="242" w:lineRule="auto"/>
              <w:jc w:val="center"/>
              <w:rPr>
                <w:color w:val="000000"/>
                <w:sz w:val="20"/>
                <w:szCs w:val="20"/>
              </w:rPr>
            </w:pPr>
            <w:r w:rsidRPr="00E8065F">
              <w:rPr>
                <w:color w:val="000000"/>
                <w:sz w:val="20"/>
                <w:szCs w:val="20"/>
              </w:rPr>
              <w:t>2</w:t>
            </w:r>
          </w:p>
        </w:tc>
        <w:tc>
          <w:tcPr>
            <w:tcW w:w="1944" w:type="dxa"/>
            <w:tcBorders>
              <w:top w:val="nil"/>
              <w:left w:val="single" w:sz="4" w:space="0" w:color="auto"/>
              <w:bottom w:val="single" w:sz="4" w:space="0" w:color="auto"/>
              <w:right w:val="single" w:sz="4" w:space="0" w:color="auto"/>
            </w:tcBorders>
            <w:shd w:val="clear" w:color="auto" w:fill="auto"/>
          </w:tcPr>
          <w:p w:rsidR="000E54C2" w:rsidRPr="00E8065F" w:rsidRDefault="000E54C2" w:rsidP="00CD3A6F">
            <w:pPr>
              <w:spacing w:line="242" w:lineRule="auto"/>
              <w:jc w:val="center"/>
              <w:rPr>
                <w:color w:val="000000"/>
                <w:sz w:val="20"/>
                <w:szCs w:val="20"/>
              </w:rPr>
            </w:pPr>
            <w:r w:rsidRPr="00E8065F">
              <w:rPr>
                <w:color w:val="000000"/>
                <w:sz w:val="20"/>
                <w:szCs w:val="20"/>
              </w:rPr>
              <w:t>Амбулаторное</w:t>
            </w:r>
          </w:p>
        </w:tc>
      </w:tr>
      <w:tr w:rsidR="00BA1432" w:rsidRPr="00E8065F" w:rsidTr="000546C2">
        <w:trPr>
          <w:trHeight w:val="20"/>
        </w:trPr>
        <w:tc>
          <w:tcPr>
            <w:tcW w:w="1555" w:type="dxa"/>
            <w:vMerge/>
          </w:tcPr>
          <w:p w:rsidR="000E54C2" w:rsidRPr="00E8065F" w:rsidRDefault="000E54C2" w:rsidP="00BA1432">
            <w:pPr>
              <w:rPr>
                <w:sz w:val="20"/>
                <w:szCs w:val="20"/>
              </w:rPr>
            </w:pPr>
          </w:p>
        </w:tc>
        <w:tc>
          <w:tcPr>
            <w:tcW w:w="3685" w:type="dxa"/>
            <w:tcBorders>
              <w:top w:val="nil"/>
              <w:left w:val="single" w:sz="4" w:space="0" w:color="auto"/>
              <w:bottom w:val="single" w:sz="4" w:space="0" w:color="auto"/>
              <w:right w:val="single" w:sz="4" w:space="0" w:color="auto"/>
            </w:tcBorders>
            <w:shd w:val="clear" w:color="auto" w:fill="auto"/>
          </w:tcPr>
          <w:p w:rsidR="000E54C2" w:rsidRPr="00E8065F" w:rsidRDefault="000E54C2" w:rsidP="00CD3A6F">
            <w:pPr>
              <w:spacing w:line="242" w:lineRule="auto"/>
              <w:jc w:val="both"/>
              <w:rPr>
                <w:color w:val="000000"/>
                <w:sz w:val="20"/>
                <w:szCs w:val="20"/>
              </w:rPr>
            </w:pPr>
            <w:r w:rsidRPr="00E8065F">
              <w:rPr>
                <w:color w:val="000000"/>
                <w:sz w:val="20"/>
                <w:szCs w:val="20"/>
              </w:rPr>
              <w:t xml:space="preserve">ГАУЗ </w:t>
            </w:r>
            <w:r w:rsidR="002F7358">
              <w:rPr>
                <w:color w:val="000000"/>
                <w:sz w:val="20"/>
                <w:szCs w:val="20"/>
              </w:rPr>
              <w:t>«</w:t>
            </w:r>
            <w:r w:rsidRPr="00E8065F">
              <w:rPr>
                <w:color w:val="000000"/>
                <w:sz w:val="20"/>
                <w:szCs w:val="20"/>
              </w:rPr>
              <w:t>Апастовская ЦРБ</w:t>
            </w:r>
            <w:r w:rsidR="002F7358">
              <w:rPr>
                <w:color w:val="000000"/>
                <w:sz w:val="20"/>
                <w:szCs w:val="20"/>
              </w:rPr>
              <w:t>»</w:t>
            </w:r>
          </w:p>
        </w:tc>
        <w:tc>
          <w:tcPr>
            <w:tcW w:w="1994" w:type="dxa"/>
            <w:tcBorders>
              <w:top w:val="nil"/>
              <w:left w:val="single" w:sz="4" w:space="0" w:color="auto"/>
              <w:bottom w:val="single" w:sz="4" w:space="0" w:color="auto"/>
              <w:right w:val="single" w:sz="4" w:space="0" w:color="auto"/>
            </w:tcBorders>
            <w:shd w:val="clear" w:color="auto" w:fill="auto"/>
          </w:tcPr>
          <w:p w:rsidR="000E54C2" w:rsidRPr="00E8065F" w:rsidRDefault="000E54C2" w:rsidP="00CD3A6F">
            <w:pPr>
              <w:spacing w:line="242" w:lineRule="auto"/>
              <w:jc w:val="center"/>
              <w:rPr>
                <w:color w:val="000000"/>
                <w:sz w:val="20"/>
                <w:szCs w:val="20"/>
              </w:rPr>
            </w:pPr>
            <w:r w:rsidRPr="00E8065F">
              <w:rPr>
                <w:color w:val="000000"/>
                <w:sz w:val="20"/>
                <w:szCs w:val="20"/>
              </w:rPr>
              <w:t>Маммограф</w:t>
            </w:r>
          </w:p>
        </w:tc>
        <w:tc>
          <w:tcPr>
            <w:tcW w:w="1181" w:type="dxa"/>
            <w:shd w:val="clear" w:color="auto" w:fill="auto"/>
          </w:tcPr>
          <w:p w:rsidR="000E54C2" w:rsidRPr="00E8065F" w:rsidRDefault="000E54C2" w:rsidP="00CD3A6F">
            <w:pPr>
              <w:spacing w:line="242" w:lineRule="auto"/>
              <w:jc w:val="center"/>
              <w:rPr>
                <w:sz w:val="20"/>
                <w:szCs w:val="20"/>
              </w:rPr>
            </w:pPr>
            <w:r w:rsidRPr="00E8065F">
              <w:rPr>
                <w:sz w:val="20"/>
                <w:szCs w:val="20"/>
              </w:rPr>
              <w:t>2019</w:t>
            </w:r>
          </w:p>
        </w:tc>
        <w:tc>
          <w:tcPr>
            <w:tcW w:w="1181" w:type="dxa"/>
            <w:tcBorders>
              <w:top w:val="nil"/>
              <w:left w:val="single" w:sz="4" w:space="0" w:color="auto"/>
              <w:bottom w:val="single" w:sz="4" w:space="0" w:color="auto"/>
              <w:right w:val="single" w:sz="4" w:space="0" w:color="auto"/>
            </w:tcBorders>
            <w:shd w:val="clear" w:color="auto" w:fill="auto"/>
          </w:tcPr>
          <w:p w:rsidR="000E54C2" w:rsidRPr="00E8065F" w:rsidRDefault="000E54C2" w:rsidP="00CD3A6F">
            <w:pPr>
              <w:spacing w:line="242" w:lineRule="auto"/>
              <w:jc w:val="center"/>
              <w:rPr>
                <w:color w:val="000000"/>
                <w:sz w:val="20"/>
                <w:szCs w:val="20"/>
              </w:rPr>
            </w:pPr>
            <w:r w:rsidRPr="00E8065F">
              <w:rPr>
                <w:color w:val="000000"/>
                <w:sz w:val="20"/>
                <w:szCs w:val="20"/>
              </w:rPr>
              <w:t>1</w:t>
            </w:r>
          </w:p>
        </w:tc>
        <w:tc>
          <w:tcPr>
            <w:tcW w:w="1478" w:type="dxa"/>
            <w:tcBorders>
              <w:top w:val="nil"/>
              <w:left w:val="single" w:sz="4" w:space="0" w:color="auto"/>
              <w:bottom w:val="single" w:sz="4" w:space="0" w:color="auto"/>
              <w:right w:val="single" w:sz="4" w:space="0" w:color="auto"/>
            </w:tcBorders>
            <w:shd w:val="clear" w:color="auto" w:fill="auto"/>
          </w:tcPr>
          <w:p w:rsidR="000E54C2" w:rsidRPr="00E8065F" w:rsidRDefault="000E54C2" w:rsidP="00CD3A6F">
            <w:pPr>
              <w:spacing w:line="242" w:lineRule="auto"/>
              <w:jc w:val="center"/>
              <w:rPr>
                <w:color w:val="000000"/>
                <w:sz w:val="20"/>
                <w:szCs w:val="20"/>
              </w:rPr>
            </w:pPr>
            <w:r w:rsidRPr="00E8065F">
              <w:rPr>
                <w:color w:val="000000"/>
                <w:sz w:val="20"/>
                <w:szCs w:val="20"/>
              </w:rPr>
              <w:t>2</w:t>
            </w:r>
          </w:p>
        </w:tc>
        <w:tc>
          <w:tcPr>
            <w:tcW w:w="1111" w:type="dxa"/>
            <w:tcBorders>
              <w:top w:val="nil"/>
              <w:left w:val="single" w:sz="4" w:space="0" w:color="auto"/>
              <w:bottom w:val="single" w:sz="4" w:space="0" w:color="auto"/>
              <w:right w:val="single" w:sz="4" w:space="0" w:color="auto"/>
            </w:tcBorders>
            <w:shd w:val="clear" w:color="auto" w:fill="auto"/>
          </w:tcPr>
          <w:p w:rsidR="000E54C2" w:rsidRPr="00E8065F" w:rsidRDefault="000E54C2" w:rsidP="00CD3A6F">
            <w:pPr>
              <w:spacing w:line="242" w:lineRule="auto"/>
              <w:jc w:val="center"/>
              <w:rPr>
                <w:color w:val="000000"/>
                <w:sz w:val="20"/>
                <w:szCs w:val="20"/>
              </w:rPr>
            </w:pPr>
            <w:r w:rsidRPr="00E8065F">
              <w:rPr>
                <w:color w:val="000000"/>
                <w:sz w:val="20"/>
                <w:szCs w:val="20"/>
              </w:rPr>
              <w:t>2</w:t>
            </w:r>
          </w:p>
        </w:tc>
        <w:tc>
          <w:tcPr>
            <w:tcW w:w="1944" w:type="dxa"/>
            <w:tcBorders>
              <w:top w:val="nil"/>
              <w:left w:val="single" w:sz="4" w:space="0" w:color="auto"/>
              <w:bottom w:val="single" w:sz="4" w:space="0" w:color="auto"/>
              <w:right w:val="single" w:sz="4" w:space="0" w:color="auto"/>
            </w:tcBorders>
            <w:shd w:val="clear" w:color="auto" w:fill="auto"/>
          </w:tcPr>
          <w:p w:rsidR="000E54C2" w:rsidRPr="00E8065F" w:rsidRDefault="000E54C2" w:rsidP="00CD3A6F">
            <w:pPr>
              <w:spacing w:line="242" w:lineRule="auto"/>
              <w:jc w:val="center"/>
              <w:rPr>
                <w:color w:val="000000"/>
                <w:sz w:val="20"/>
                <w:szCs w:val="20"/>
              </w:rPr>
            </w:pPr>
            <w:r w:rsidRPr="00E8065F">
              <w:rPr>
                <w:color w:val="000000"/>
                <w:sz w:val="20"/>
                <w:szCs w:val="20"/>
              </w:rPr>
              <w:t>Амбулаторное</w:t>
            </w:r>
          </w:p>
        </w:tc>
      </w:tr>
      <w:tr w:rsidR="00BA1432" w:rsidRPr="00E8065F" w:rsidTr="000546C2">
        <w:trPr>
          <w:trHeight w:val="20"/>
        </w:trPr>
        <w:tc>
          <w:tcPr>
            <w:tcW w:w="1555" w:type="dxa"/>
            <w:vMerge/>
          </w:tcPr>
          <w:p w:rsidR="000E54C2" w:rsidRPr="00E8065F" w:rsidRDefault="000E54C2" w:rsidP="00BA1432">
            <w:pPr>
              <w:rPr>
                <w:sz w:val="20"/>
                <w:szCs w:val="20"/>
              </w:rPr>
            </w:pPr>
          </w:p>
        </w:tc>
        <w:tc>
          <w:tcPr>
            <w:tcW w:w="3685" w:type="dxa"/>
            <w:tcBorders>
              <w:top w:val="nil"/>
              <w:left w:val="single" w:sz="4" w:space="0" w:color="auto"/>
              <w:bottom w:val="single" w:sz="4" w:space="0" w:color="auto"/>
              <w:right w:val="single" w:sz="4" w:space="0" w:color="auto"/>
            </w:tcBorders>
            <w:shd w:val="clear" w:color="auto" w:fill="auto"/>
          </w:tcPr>
          <w:p w:rsidR="000E54C2" w:rsidRPr="00E8065F" w:rsidRDefault="000E54C2" w:rsidP="00CD3A6F">
            <w:pPr>
              <w:spacing w:line="242" w:lineRule="auto"/>
              <w:jc w:val="both"/>
              <w:rPr>
                <w:color w:val="000000"/>
                <w:sz w:val="20"/>
                <w:szCs w:val="20"/>
              </w:rPr>
            </w:pPr>
            <w:r w:rsidRPr="00E8065F">
              <w:rPr>
                <w:color w:val="000000"/>
                <w:sz w:val="20"/>
                <w:szCs w:val="20"/>
              </w:rPr>
              <w:t xml:space="preserve">ГАУЗ </w:t>
            </w:r>
            <w:r w:rsidR="002F7358">
              <w:rPr>
                <w:color w:val="000000"/>
                <w:sz w:val="20"/>
                <w:szCs w:val="20"/>
              </w:rPr>
              <w:t>«</w:t>
            </w:r>
            <w:r w:rsidRPr="00E8065F">
              <w:rPr>
                <w:color w:val="000000"/>
                <w:sz w:val="20"/>
                <w:szCs w:val="20"/>
              </w:rPr>
              <w:t>Арская ЦРБ</w:t>
            </w:r>
            <w:r w:rsidR="002F7358">
              <w:rPr>
                <w:color w:val="000000"/>
                <w:sz w:val="20"/>
                <w:szCs w:val="20"/>
              </w:rPr>
              <w:t>»</w:t>
            </w:r>
          </w:p>
        </w:tc>
        <w:tc>
          <w:tcPr>
            <w:tcW w:w="1994" w:type="dxa"/>
            <w:tcBorders>
              <w:top w:val="nil"/>
              <w:left w:val="single" w:sz="4" w:space="0" w:color="auto"/>
              <w:bottom w:val="single" w:sz="4" w:space="0" w:color="auto"/>
              <w:right w:val="single" w:sz="4" w:space="0" w:color="auto"/>
            </w:tcBorders>
            <w:shd w:val="clear" w:color="auto" w:fill="auto"/>
          </w:tcPr>
          <w:p w:rsidR="000E54C2" w:rsidRPr="00E8065F" w:rsidRDefault="000E54C2" w:rsidP="00CD3A6F">
            <w:pPr>
              <w:spacing w:line="242" w:lineRule="auto"/>
              <w:jc w:val="center"/>
              <w:rPr>
                <w:color w:val="000000"/>
                <w:sz w:val="20"/>
                <w:szCs w:val="20"/>
              </w:rPr>
            </w:pPr>
            <w:r w:rsidRPr="00E8065F">
              <w:rPr>
                <w:color w:val="000000"/>
                <w:sz w:val="20"/>
                <w:szCs w:val="20"/>
              </w:rPr>
              <w:t>Маммограф</w:t>
            </w:r>
          </w:p>
        </w:tc>
        <w:tc>
          <w:tcPr>
            <w:tcW w:w="1181" w:type="dxa"/>
            <w:shd w:val="clear" w:color="auto" w:fill="auto"/>
          </w:tcPr>
          <w:p w:rsidR="000E54C2" w:rsidRPr="00E8065F" w:rsidRDefault="000E54C2" w:rsidP="00CD3A6F">
            <w:pPr>
              <w:spacing w:line="242" w:lineRule="auto"/>
              <w:jc w:val="center"/>
              <w:rPr>
                <w:sz w:val="20"/>
                <w:szCs w:val="20"/>
              </w:rPr>
            </w:pPr>
            <w:r w:rsidRPr="00E8065F">
              <w:rPr>
                <w:sz w:val="20"/>
                <w:szCs w:val="20"/>
              </w:rPr>
              <w:t>2019</w:t>
            </w:r>
          </w:p>
        </w:tc>
        <w:tc>
          <w:tcPr>
            <w:tcW w:w="1181" w:type="dxa"/>
            <w:tcBorders>
              <w:top w:val="nil"/>
              <w:left w:val="single" w:sz="4" w:space="0" w:color="auto"/>
              <w:bottom w:val="single" w:sz="4" w:space="0" w:color="auto"/>
              <w:right w:val="single" w:sz="4" w:space="0" w:color="auto"/>
            </w:tcBorders>
            <w:shd w:val="clear" w:color="auto" w:fill="auto"/>
          </w:tcPr>
          <w:p w:rsidR="000E54C2" w:rsidRPr="00E8065F" w:rsidRDefault="000E54C2" w:rsidP="00CD3A6F">
            <w:pPr>
              <w:spacing w:line="242" w:lineRule="auto"/>
              <w:jc w:val="center"/>
              <w:rPr>
                <w:color w:val="000000"/>
                <w:sz w:val="20"/>
                <w:szCs w:val="20"/>
              </w:rPr>
            </w:pPr>
            <w:r w:rsidRPr="00E8065F">
              <w:rPr>
                <w:color w:val="000000"/>
                <w:sz w:val="20"/>
                <w:szCs w:val="20"/>
              </w:rPr>
              <w:t>1</w:t>
            </w:r>
          </w:p>
        </w:tc>
        <w:tc>
          <w:tcPr>
            <w:tcW w:w="1478" w:type="dxa"/>
            <w:tcBorders>
              <w:top w:val="nil"/>
              <w:left w:val="single" w:sz="4" w:space="0" w:color="auto"/>
              <w:bottom w:val="single" w:sz="4" w:space="0" w:color="auto"/>
              <w:right w:val="single" w:sz="4" w:space="0" w:color="auto"/>
            </w:tcBorders>
            <w:shd w:val="clear" w:color="auto" w:fill="auto"/>
          </w:tcPr>
          <w:p w:rsidR="000E54C2" w:rsidRPr="00E8065F" w:rsidRDefault="000E54C2" w:rsidP="00CD3A6F">
            <w:pPr>
              <w:spacing w:line="242" w:lineRule="auto"/>
              <w:jc w:val="center"/>
              <w:rPr>
                <w:color w:val="000000"/>
                <w:sz w:val="20"/>
                <w:szCs w:val="20"/>
              </w:rPr>
            </w:pPr>
            <w:r w:rsidRPr="00E8065F">
              <w:rPr>
                <w:color w:val="000000"/>
                <w:sz w:val="20"/>
                <w:szCs w:val="20"/>
              </w:rPr>
              <w:t>26</w:t>
            </w:r>
          </w:p>
        </w:tc>
        <w:tc>
          <w:tcPr>
            <w:tcW w:w="1111" w:type="dxa"/>
            <w:tcBorders>
              <w:top w:val="nil"/>
              <w:left w:val="single" w:sz="4" w:space="0" w:color="auto"/>
              <w:bottom w:val="single" w:sz="4" w:space="0" w:color="auto"/>
              <w:right w:val="single" w:sz="4" w:space="0" w:color="auto"/>
            </w:tcBorders>
            <w:shd w:val="clear" w:color="auto" w:fill="auto"/>
          </w:tcPr>
          <w:p w:rsidR="000E54C2" w:rsidRPr="00E8065F" w:rsidRDefault="000E54C2" w:rsidP="00CD3A6F">
            <w:pPr>
              <w:spacing w:line="242" w:lineRule="auto"/>
              <w:jc w:val="center"/>
              <w:rPr>
                <w:color w:val="000000"/>
                <w:sz w:val="20"/>
                <w:szCs w:val="20"/>
              </w:rPr>
            </w:pPr>
            <w:r w:rsidRPr="00E8065F">
              <w:rPr>
                <w:color w:val="000000"/>
                <w:sz w:val="20"/>
                <w:szCs w:val="20"/>
              </w:rPr>
              <w:t>2</w:t>
            </w:r>
          </w:p>
        </w:tc>
        <w:tc>
          <w:tcPr>
            <w:tcW w:w="1944" w:type="dxa"/>
            <w:tcBorders>
              <w:top w:val="nil"/>
              <w:left w:val="single" w:sz="4" w:space="0" w:color="auto"/>
              <w:bottom w:val="single" w:sz="4" w:space="0" w:color="auto"/>
              <w:right w:val="single" w:sz="4" w:space="0" w:color="auto"/>
            </w:tcBorders>
            <w:shd w:val="clear" w:color="auto" w:fill="auto"/>
          </w:tcPr>
          <w:p w:rsidR="000E54C2" w:rsidRPr="00E8065F" w:rsidRDefault="000E54C2" w:rsidP="00CD3A6F">
            <w:pPr>
              <w:spacing w:line="242" w:lineRule="auto"/>
              <w:jc w:val="center"/>
              <w:rPr>
                <w:color w:val="000000"/>
                <w:sz w:val="20"/>
                <w:szCs w:val="20"/>
              </w:rPr>
            </w:pPr>
            <w:r w:rsidRPr="00E8065F">
              <w:rPr>
                <w:color w:val="000000"/>
                <w:sz w:val="20"/>
                <w:szCs w:val="20"/>
              </w:rPr>
              <w:t>Амбулаторное</w:t>
            </w:r>
          </w:p>
        </w:tc>
      </w:tr>
      <w:tr w:rsidR="00BA1432" w:rsidRPr="00E8065F" w:rsidTr="000546C2">
        <w:trPr>
          <w:trHeight w:val="20"/>
        </w:trPr>
        <w:tc>
          <w:tcPr>
            <w:tcW w:w="1555" w:type="dxa"/>
            <w:vMerge/>
          </w:tcPr>
          <w:p w:rsidR="000E54C2" w:rsidRPr="00E8065F" w:rsidRDefault="000E54C2" w:rsidP="00BA1432">
            <w:pPr>
              <w:rPr>
                <w:sz w:val="20"/>
                <w:szCs w:val="20"/>
              </w:rPr>
            </w:pPr>
          </w:p>
        </w:tc>
        <w:tc>
          <w:tcPr>
            <w:tcW w:w="3685" w:type="dxa"/>
            <w:tcBorders>
              <w:top w:val="nil"/>
              <w:left w:val="single" w:sz="4" w:space="0" w:color="auto"/>
              <w:bottom w:val="single" w:sz="4" w:space="0" w:color="auto"/>
              <w:right w:val="single" w:sz="4" w:space="0" w:color="auto"/>
            </w:tcBorders>
            <w:shd w:val="clear" w:color="auto" w:fill="auto"/>
          </w:tcPr>
          <w:p w:rsidR="000E54C2" w:rsidRPr="00E8065F" w:rsidRDefault="000E54C2" w:rsidP="00CD3A6F">
            <w:pPr>
              <w:spacing w:line="242" w:lineRule="auto"/>
              <w:jc w:val="both"/>
              <w:rPr>
                <w:color w:val="000000"/>
                <w:sz w:val="20"/>
                <w:szCs w:val="20"/>
              </w:rPr>
            </w:pPr>
            <w:r w:rsidRPr="00E8065F">
              <w:rPr>
                <w:color w:val="000000"/>
                <w:sz w:val="20"/>
                <w:szCs w:val="20"/>
              </w:rPr>
              <w:t xml:space="preserve">ГАУЗ </w:t>
            </w:r>
            <w:r w:rsidR="002F7358">
              <w:rPr>
                <w:color w:val="000000"/>
                <w:sz w:val="20"/>
                <w:szCs w:val="20"/>
              </w:rPr>
              <w:t>«</w:t>
            </w:r>
            <w:r w:rsidRPr="00E8065F">
              <w:rPr>
                <w:color w:val="000000"/>
                <w:sz w:val="20"/>
                <w:szCs w:val="20"/>
              </w:rPr>
              <w:t>Бавлинская ЦРБ</w:t>
            </w:r>
            <w:r w:rsidR="002F7358">
              <w:rPr>
                <w:color w:val="000000"/>
                <w:sz w:val="20"/>
                <w:szCs w:val="20"/>
              </w:rPr>
              <w:t>»</w:t>
            </w:r>
          </w:p>
        </w:tc>
        <w:tc>
          <w:tcPr>
            <w:tcW w:w="1994" w:type="dxa"/>
            <w:tcBorders>
              <w:top w:val="nil"/>
              <w:left w:val="single" w:sz="4" w:space="0" w:color="auto"/>
              <w:bottom w:val="single" w:sz="4" w:space="0" w:color="auto"/>
              <w:right w:val="single" w:sz="4" w:space="0" w:color="auto"/>
            </w:tcBorders>
            <w:shd w:val="clear" w:color="auto" w:fill="auto"/>
          </w:tcPr>
          <w:p w:rsidR="000E54C2" w:rsidRPr="00E8065F" w:rsidRDefault="000E54C2" w:rsidP="00CD3A6F">
            <w:pPr>
              <w:spacing w:line="242" w:lineRule="auto"/>
              <w:jc w:val="center"/>
              <w:rPr>
                <w:color w:val="000000"/>
                <w:sz w:val="20"/>
                <w:szCs w:val="20"/>
              </w:rPr>
            </w:pPr>
            <w:r w:rsidRPr="00E8065F">
              <w:rPr>
                <w:color w:val="000000"/>
                <w:sz w:val="20"/>
                <w:szCs w:val="20"/>
              </w:rPr>
              <w:t>Маммограф</w:t>
            </w:r>
          </w:p>
        </w:tc>
        <w:tc>
          <w:tcPr>
            <w:tcW w:w="1181" w:type="dxa"/>
            <w:shd w:val="clear" w:color="auto" w:fill="auto"/>
          </w:tcPr>
          <w:p w:rsidR="000E54C2" w:rsidRPr="00E8065F" w:rsidRDefault="000E54C2" w:rsidP="00CD3A6F">
            <w:pPr>
              <w:spacing w:line="242" w:lineRule="auto"/>
              <w:jc w:val="center"/>
              <w:rPr>
                <w:sz w:val="20"/>
                <w:szCs w:val="20"/>
              </w:rPr>
            </w:pPr>
            <w:r w:rsidRPr="00E8065F">
              <w:rPr>
                <w:sz w:val="20"/>
                <w:szCs w:val="20"/>
              </w:rPr>
              <w:t>2022</w:t>
            </w:r>
          </w:p>
        </w:tc>
        <w:tc>
          <w:tcPr>
            <w:tcW w:w="1181" w:type="dxa"/>
            <w:tcBorders>
              <w:top w:val="nil"/>
              <w:left w:val="single" w:sz="4" w:space="0" w:color="auto"/>
              <w:bottom w:val="single" w:sz="4" w:space="0" w:color="auto"/>
              <w:right w:val="single" w:sz="4" w:space="0" w:color="auto"/>
            </w:tcBorders>
            <w:shd w:val="clear" w:color="auto" w:fill="auto"/>
          </w:tcPr>
          <w:p w:rsidR="000E54C2" w:rsidRPr="00E8065F" w:rsidRDefault="000E54C2" w:rsidP="00CD3A6F">
            <w:pPr>
              <w:spacing w:line="242" w:lineRule="auto"/>
              <w:jc w:val="center"/>
              <w:rPr>
                <w:color w:val="000000"/>
                <w:sz w:val="20"/>
                <w:szCs w:val="20"/>
              </w:rPr>
            </w:pPr>
            <w:r w:rsidRPr="00E8065F">
              <w:rPr>
                <w:color w:val="000000"/>
                <w:sz w:val="20"/>
                <w:szCs w:val="20"/>
              </w:rPr>
              <w:t>1</w:t>
            </w:r>
          </w:p>
        </w:tc>
        <w:tc>
          <w:tcPr>
            <w:tcW w:w="1478" w:type="dxa"/>
            <w:tcBorders>
              <w:top w:val="nil"/>
              <w:left w:val="single" w:sz="4" w:space="0" w:color="auto"/>
              <w:bottom w:val="single" w:sz="4" w:space="0" w:color="auto"/>
              <w:right w:val="single" w:sz="4" w:space="0" w:color="auto"/>
            </w:tcBorders>
            <w:shd w:val="clear" w:color="auto" w:fill="auto"/>
          </w:tcPr>
          <w:p w:rsidR="000E54C2" w:rsidRPr="00E8065F" w:rsidRDefault="000E54C2" w:rsidP="00CD3A6F">
            <w:pPr>
              <w:spacing w:line="242" w:lineRule="auto"/>
              <w:jc w:val="center"/>
              <w:rPr>
                <w:color w:val="000000"/>
                <w:sz w:val="20"/>
                <w:szCs w:val="20"/>
              </w:rPr>
            </w:pPr>
            <w:r w:rsidRPr="00E8065F">
              <w:rPr>
                <w:color w:val="000000"/>
                <w:sz w:val="20"/>
                <w:szCs w:val="20"/>
              </w:rPr>
              <w:t>5</w:t>
            </w:r>
          </w:p>
        </w:tc>
        <w:tc>
          <w:tcPr>
            <w:tcW w:w="1111" w:type="dxa"/>
            <w:tcBorders>
              <w:top w:val="nil"/>
              <w:left w:val="single" w:sz="4" w:space="0" w:color="auto"/>
              <w:bottom w:val="single" w:sz="4" w:space="0" w:color="auto"/>
              <w:right w:val="single" w:sz="4" w:space="0" w:color="auto"/>
            </w:tcBorders>
            <w:shd w:val="clear" w:color="auto" w:fill="auto"/>
          </w:tcPr>
          <w:p w:rsidR="000E54C2" w:rsidRPr="00E8065F" w:rsidRDefault="000E54C2" w:rsidP="00CD3A6F">
            <w:pPr>
              <w:spacing w:line="242" w:lineRule="auto"/>
              <w:jc w:val="center"/>
              <w:rPr>
                <w:color w:val="000000"/>
                <w:sz w:val="20"/>
                <w:szCs w:val="20"/>
              </w:rPr>
            </w:pPr>
            <w:r w:rsidRPr="00E8065F">
              <w:rPr>
                <w:color w:val="000000"/>
                <w:sz w:val="20"/>
                <w:szCs w:val="20"/>
              </w:rPr>
              <w:t>2</w:t>
            </w:r>
          </w:p>
        </w:tc>
        <w:tc>
          <w:tcPr>
            <w:tcW w:w="1944" w:type="dxa"/>
            <w:tcBorders>
              <w:top w:val="nil"/>
              <w:left w:val="single" w:sz="4" w:space="0" w:color="auto"/>
              <w:bottom w:val="single" w:sz="4" w:space="0" w:color="auto"/>
              <w:right w:val="single" w:sz="4" w:space="0" w:color="auto"/>
            </w:tcBorders>
            <w:shd w:val="clear" w:color="auto" w:fill="auto"/>
          </w:tcPr>
          <w:p w:rsidR="000E54C2" w:rsidRPr="00E8065F" w:rsidRDefault="000E54C2" w:rsidP="00CD3A6F">
            <w:pPr>
              <w:spacing w:line="242" w:lineRule="auto"/>
              <w:jc w:val="center"/>
              <w:rPr>
                <w:color w:val="000000"/>
                <w:sz w:val="20"/>
                <w:szCs w:val="20"/>
              </w:rPr>
            </w:pPr>
            <w:r w:rsidRPr="00E8065F">
              <w:rPr>
                <w:color w:val="000000"/>
                <w:sz w:val="20"/>
                <w:szCs w:val="20"/>
              </w:rPr>
              <w:t>Амбулаторное</w:t>
            </w:r>
          </w:p>
        </w:tc>
      </w:tr>
      <w:tr w:rsidR="00BA1432" w:rsidRPr="00E8065F" w:rsidTr="000546C2">
        <w:trPr>
          <w:trHeight w:val="20"/>
        </w:trPr>
        <w:tc>
          <w:tcPr>
            <w:tcW w:w="1555" w:type="dxa"/>
            <w:vMerge/>
          </w:tcPr>
          <w:p w:rsidR="000E54C2" w:rsidRPr="00E8065F" w:rsidRDefault="000E54C2" w:rsidP="00BA1432">
            <w:pPr>
              <w:rPr>
                <w:sz w:val="20"/>
                <w:szCs w:val="20"/>
              </w:rPr>
            </w:pPr>
          </w:p>
        </w:tc>
        <w:tc>
          <w:tcPr>
            <w:tcW w:w="3685" w:type="dxa"/>
            <w:tcBorders>
              <w:top w:val="nil"/>
              <w:left w:val="single" w:sz="4" w:space="0" w:color="auto"/>
              <w:bottom w:val="single" w:sz="4" w:space="0" w:color="auto"/>
              <w:right w:val="single" w:sz="4" w:space="0" w:color="auto"/>
            </w:tcBorders>
            <w:shd w:val="clear" w:color="auto" w:fill="auto"/>
          </w:tcPr>
          <w:p w:rsidR="000E54C2" w:rsidRPr="00E8065F" w:rsidRDefault="000E54C2" w:rsidP="00CD3A6F">
            <w:pPr>
              <w:spacing w:line="242" w:lineRule="auto"/>
              <w:jc w:val="both"/>
              <w:rPr>
                <w:color w:val="000000"/>
                <w:sz w:val="20"/>
                <w:szCs w:val="20"/>
              </w:rPr>
            </w:pPr>
            <w:r w:rsidRPr="00E8065F">
              <w:rPr>
                <w:color w:val="000000"/>
                <w:sz w:val="20"/>
                <w:szCs w:val="20"/>
              </w:rPr>
              <w:t xml:space="preserve">ГАУЗ </w:t>
            </w:r>
            <w:r w:rsidR="002F7358">
              <w:rPr>
                <w:color w:val="000000"/>
                <w:sz w:val="20"/>
                <w:szCs w:val="20"/>
              </w:rPr>
              <w:t>«</w:t>
            </w:r>
            <w:r w:rsidRPr="00E8065F">
              <w:rPr>
                <w:color w:val="000000"/>
                <w:sz w:val="20"/>
                <w:szCs w:val="20"/>
              </w:rPr>
              <w:t>Балтасинская ЦРБ</w:t>
            </w:r>
            <w:r w:rsidR="002F7358">
              <w:rPr>
                <w:color w:val="000000"/>
                <w:sz w:val="20"/>
                <w:szCs w:val="20"/>
              </w:rPr>
              <w:t>»</w:t>
            </w:r>
          </w:p>
        </w:tc>
        <w:tc>
          <w:tcPr>
            <w:tcW w:w="1994" w:type="dxa"/>
            <w:tcBorders>
              <w:top w:val="nil"/>
              <w:left w:val="single" w:sz="4" w:space="0" w:color="auto"/>
              <w:bottom w:val="single" w:sz="4" w:space="0" w:color="auto"/>
              <w:right w:val="single" w:sz="4" w:space="0" w:color="auto"/>
            </w:tcBorders>
            <w:shd w:val="clear" w:color="auto" w:fill="auto"/>
          </w:tcPr>
          <w:p w:rsidR="000E54C2" w:rsidRPr="00E8065F" w:rsidRDefault="000E54C2" w:rsidP="00CD3A6F">
            <w:pPr>
              <w:spacing w:line="242" w:lineRule="auto"/>
              <w:jc w:val="center"/>
              <w:rPr>
                <w:color w:val="000000"/>
                <w:sz w:val="20"/>
                <w:szCs w:val="20"/>
              </w:rPr>
            </w:pPr>
            <w:r w:rsidRPr="00E8065F">
              <w:rPr>
                <w:color w:val="000000"/>
                <w:sz w:val="20"/>
                <w:szCs w:val="20"/>
              </w:rPr>
              <w:t>Маммограф</w:t>
            </w:r>
          </w:p>
        </w:tc>
        <w:tc>
          <w:tcPr>
            <w:tcW w:w="1181" w:type="dxa"/>
            <w:shd w:val="clear" w:color="auto" w:fill="auto"/>
          </w:tcPr>
          <w:p w:rsidR="000E54C2" w:rsidRPr="00E8065F" w:rsidRDefault="000E54C2" w:rsidP="00CD3A6F">
            <w:pPr>
              <w:spacing w:line="242" w:lineRule="auto"/>
              <w:jc w:val="center"/>
              <w:rPr>
                <w:sz w:val="20"/>
                <w:szCs w:val="20"/>
              </w:rPr>
            </w:pPr>
            <w:r w:rsidRPr="00E8065F">
              <w:rPr>
                <w:sz w:val="20"/>
                <w:szCs w:val="20"/>
              </w:rPr>
              <w:t>2022</w:t>
            </w:r>
          </w:p>
        </w:tc>
        <w:tc>
          <w:tcPr>
            <w:tcW w:w="1181" w:type="dxa"/>
            <w:tcBorders>
              <w:top w:val="nil"/>
              <w:left w:val="single" w:sz="4" w:space="0" w:color="auto"/>
              <w:bottom w:val="single" w:sz="4" w:space="0" w:color="auto"/>
              <w:right w:val="single" w:sz="4" w:space="0" w:color="auto"/>
            </w:tcBorders>
            <w:shd w:val="clear" w:color="auto" w:fill="auto"/>
          </w:tcPr>
          <w:p w:rsidR="000E54C2" w:rsidRPr="00E8065F" w:rsidRDefault="000E54C2" w:rsidP="00CD3A6F">
            <w:pPr>
              <w:spacing w:line="242" w:lineRule="auto"/>
              <w:jc w:val="center"/>
              <w:rPr>
                <w:color w:val="000000"/>
                <w:sz w:val="20"/>
                <w:szCs w:val="20"/>
              </w:rPr>
            </w:pPr>
            <w:r w:rsidRPr="00E8065F">
              <w:rPr>
                <w:color w:val="000000"/>
                <w:sz w:val="20"/>
                <w:szCs w:val="20"/>
              </w:rPr>
              <w:t>1</w:t>
            </w:r>
          </w:p>
        </w:tc>
        <w:tc>
          <w:tcPr>
            <w:tcW w:w="1478" w:type="dxa"/>
            <w:tcBorders>
              <w:top w:val="nil"/>
              <w:left w:val="single" w:sz="4" w:space="0" w:color="auto"/>
              <w:bottom w:val="single" w:sz="4" w:space="0" w:color="auto"/>
              <w:right w:val="single" w:sz="4" w:space="0" w:color="auto"/>
            </w:tcBorders>
            <w:shd w:val="clear" w:color="auto" w:fill="auto"/>
          </w:tcPr>
          <w:p w:rsidR="000E54C2" w:rsidRPr="00E8065F" w:rsidRDefault="000E54C2" w:rsidP="00CD3A6F">
            <w:pPr>
              <w:spacing w:line="242" w:lineRule="auto"/>
              <w:jc w:val="center"/>
              <w:rPr>
                <w:color w:val="000000"/>
                <w:sz w:val="20"/>
                <w:szCs w:val="20"/>
              </w:rPr>
            </w:pPr>
            <w:r w:rsidRPr="00E8065F">
              <w:rPr>
                <w:color w:val="000000"/>
                <w:sz w:val="20"/>
                <w:szCs w:val="20"/>
              </w:rPr>
              <w:t>7</w:t>
            </w:r>
          </w:p>
        </w:tc>
        <w:tc>
          <w:tcPr>
            <w:tcW w:w="1111" w:type="dxa"/>
            <w:tcBorders>
              <w:top w:val="nil"/>
              <w:left w:val="single" w:sz="4" w:space="0" w:color="auto"/>
              <w:bottom w:val="single" w:sz="4" w:space="0" w:color="auto"/>
              <w:right w:val="single" w:sz="4" w:space="0" w:color="auto"/>
            </w:tcBorders>
            <w:shd w:val="clear" w:color="auto" w:fill="auto"/>
          </w:tcPr>
          <w:p w:rsidR="000E54C2" w:rsidRPr="00E8065F" w:rsidRDefault="000E54C2" w:rsidP="00CD3A6F">
            <w:pPr>
              <w:spacing w:line="242" w:lineRule="auto"/>
              <w:jc w:val="center"/>
              <w:rPr>
                <w:color w:val="000000"/>
                <w:sz w:val="20"/>
                <w:szCs w:val="20"/>
              </w:rPr>
            </w:pPr>
            <w:r w:rsidRPr="00E8065F">
              <w:rPr>
                <w:color w:val="000000"/>
                <w:sz w:val="20"/>
                <w:szCs w:val="20"/>
              </w:rPr>
              <w:t>2</w:t>
            </w:r>
          </w:p>
        </w:tc>
        <w:tc>
          <w:tcPr>
            <w:tcW w:w="1944" w:type="dxa"/>
            <w:tcBorders>
              <w:top w:val="nil"/>
              <w:left w:val="single" w:sz="4" w:space="0" w:color="auto"/>
              <w:bottom w:val="single" w:sz="4" w:space="0" w:color="auto"/>
              <w:right w:val="single" w:sz="4" w:space="0" w:color="auto"/>
            </w:tcBorders>
            <w:shd w:val="clear" w:color="auto" w:fill="auto"/>
          </w:tcPr>
          <w:p w:rsidR="000E54C2" w:rsidRPr="00E8065F" w:rsidRDefault="000E54C2" w:rsidP="00CD3A6F">
            <w:pPr>
              <w:spacing w:line="242" w:lineRule="auto"/>
              <w:jc w:val="center"/>
              <w:rPr>
                <w:color w:val="000000"/>
                <w:sz w:val="20"/>
                <w:szCs w:val="20"/>
              </w:rPr>
            </w:pPr>
            <w:r w:rsidRPr="00E8065F">
              <w:rPr>
                <w:color w:val="000000"/>
                <w:sz w:val="20"/>
                <w:szCs w:val="20"/>
              </w:rPr>
              <w:t>Амбулаторное</w:t>
            </w:r>
          </w:p>
        </w:tc>
      </w:tr>
      <w:tr w:rsidR="00BA1432" w:rsidRPr="00E8065F" w:rsidTr="000546C2">
        <w:trPr>
          <w:trHeight w:val="20"/>
        </w:trPr>
        <w:tc>
          <w:tcPr>
            <w:tcW w:w="1555" w:type="dxa"/>
            <w:vMerge/>
          </w:tcPr>
          <w:p w:rsidR="000E54C2" w:rsidRPr="00E8065F" w:rsidRDefault="000E54C2" w:rsidP="00BA1432">
            <w:pPr>
              <w:rPr>
                <w:sz w:val="20"/>
                <w:szCs w:val="20"/>
              </w:rPr>
            </w:pPr>
          </w:p>
        </w:tc>
        <w:tc>
          <w:tcPr>
            <w:tcW w:w="3685" w:type="dxa"/>
            <w:tcBorders>
              <w:top w:val="nil"/>
              <w:left w:val="single" w:sz="4" w:space="0" w:color="auto"/>
              <w:bottom w:val="single" w:sz="4" w:space="0" w:color="auto"/>
              <w:right w:val="single" w:sz="4" w:space="0" w:color="auto"/>
            </w:tcBorders>
            <w:shd w:val="clear" w:color="auto" w:fill="auto"/>
          </w:tcPr>
          <w:p w:rsidR="000E54C2" w:rsidRPr="00E8065F" w:rsidRDefault="000E54C2" w:rsidP="00CD3A6F">
            <w:pPr>
              <w:spacing w:line="242" w:lineRule="auto"/>
              <w:jc w:val="both"/>
              <w:rPr>
                <w:color w:val="000000"/>
                <w:sz w:val="20"/>
                <w:szCs w:val="20"/>
              </w:rPr>
            </w:pPr>
            <w:r w:rsidRPr="00E8065F">
              <w:rPr>
                <w:color w:val="000000"/>
                <w:sz w:val="20"/>
                <w:szCs w:val="20"/>
              </w:rPr>
              <w:t xml:space="preserve">ГАУЗ </w:t>
            </w:r>
            <w:r w:rsidR="002F7358">
              <w:rPr>
                <w:color w:val="000000"/>
                <w:sz w:val="20"/>
                <w:szCs w:val="20"/>
              </w:rPr>
              <w:t>«</w:t>
            </w:r>
            <w:r w:rsidRPr="00E8065F">
              <w:rPr>
                <w:color w:val="000000"/>
                <w:sz w:val="20"/>
                <w:szCs w:val="20"/>
              </w:rPr>
              <w:t>Бугульминская ЦРБ</w:t>
            </w:r>
            <w:r w:rsidR="002F7358">
              <w:rPr>
                <w:color w:val="000000"/>
                <w:sz w:val="20"/>
                <w:szCs w:val="20"/>
              </w:rPr>
              <w:t>»</w:t>
            </w:r>
          </w:p>
        </w:tc>
        <w:tc>
          <w:tcPr>
            <w:tcW w:w="1994" w:type="dxa"/>
            <w:tcBorders>
              <w:top w:val="nil"/>
              <w:left w:val="single" w:sz="4" w:space="0" w:color="auto"/>
              <w:bottom w:val="single" w:sz="4" w:space="0" w:color="auto"/>
              <w:right w:val="single" w:sz="4" w:space="0" w:color="auto"/>
            </w:tcBorders>
            <w:shd w:val="clear" w:color="auto" w:fill="auto"/>
          </w:tcPr>
          <w:p w:rsidR="000E54C2" w:rsidRPr="00E8065F" w:rsidRDefault="000E54C2" w:rsidP="00CD3A6F">
            <w:pPr>
              <w:spacing w:line="242" w:lineRule="auto"/>
              <w:jc w:val="center"/>
              <w:rPr>
                <w:color w:val="000000"/>
                <w:sz w:val="20"/>
                <w:szCs w:val="20"/>
              </w:rPr>
            </w:pPr>
            <w:r w:rsidRPr="00E8065F">
              <w:rPr>
                <w:color w:val="000000"/>
                <w:sz w:val="20"/>
                <w:szCs w:val="20"/>
              </w:rPr>
              <w:t>Маммограф</w:t>
            </w:r>
          </w:p>
        </w:tc>
        <w:tc>
          <w:tcPr>
            <w:tcW w:w="1181" w:type="dxa"/>
            <w:shd w:val="clear" w:color="auto" w:fill="auto"/>
          </w:tcPr>
          <w:p w:rsidR="000E54C2" w:rsidRPr="00E8065F" w:rsidRDefault="000E54C2" w:rsidP="00CD3A6F">
            <w:pPr>
              <w:spacing w:line="242" w:lineRule="auto"/>
              <w:jc w:val="center"/>
              <w:rPr>
                <w:sz w:val="20"/>
                <w:szCs w:val="20"/>
              </w:rPr>
            </w:pPr>
            <w:r w:rsidRPr="00E8065F">
              <w:rPr>
                <w:sz w:val="20"/>
                <w:szCs w:val="20"/>
              </w:rPr>
              <w:t>2010</w:t>
            </w:r>
            <w:r w:rsidR="00AA5FB3">
              <w:rPr>
                <w:sz w:val="20"/>
                <w:szCs w:val="20"/>
              </w:rPr>
              <w:t xml:space="preserve"> </w:t>
            </w:r>
            <w:r w:rsidR="00D81DCD">
              <w:rPr>
                <w:sz w:val="20"/>
                <w:szCs w:val="20"/>
              </w:rPr>
              <w:t>(1)</w:t>
            </w:r>
          </w:p>
          <w:p w:rsidR="000E54C2" w:rsidRPr="00E8065F" w:rsidRDefault="000E54C2" w:rsidP="00CD3A6F">
            <w:pPr>
              <w:spacing w:line="242" w:lineRule="auto"/>
              <w:jc w:val="center"/>
              <w:rPr>
                <w:sz w:val="20"/>
                <w:szCs w:val="20"/>
              </w:rPr>
            </w:pPr>
            <w:r w:rsidRPr="00E8065F">
              <w:rPr>
                <w:sz w:val="20"/>
                <w:szCs w:val="20"/>
              </w:rPr>
              <w:t>2019</w:t>
            </w:r>
            <w:r w:rsidR="00AA5FB3">
              <w:rPr>
                <w:sz w:val="20"/>
                <w:szCs w:val="20"/>
              </w:rPr>
              <w:t xml:space="preserve"> </w:t>
            </w:r>
            <w:r w:rsidR="00D81DCD">
              <w:rPr>
                <w:sz w:val="20"/>
                <w:szCs w:val="20"/>
              </w:rPr>
              <w:t>(1)</w:t>
            </w:r>
          </w:p>
        </w:tc>
        <w:tc>
          <w:tcPr>
            <w:tcW w:w="1181" w:type="dxa"/>
            <w:tcBorders>
              <w:top w:val="nil"/>
              <w:left w:val="single" w:sz="4" w:space="0" w:color="auto"/>
              <w:bottom w:val="single" w:sz="4" w:space="0" w:color="auto"/>
              <w:right w:val="single" w:sz="4" w:space="0" w:color="auto"/>
            </w:tcBorders>
            <w:shd w:val="clear" w:color="auto" w:fill="auto"/>
          </w:tcPr>
          <w:p w:rsidR="000E54C2" w:rsidRPr="00E8065F" w:rsidRDefault="000E54C2" w:rsidP="00CD3A6F">
            <w:pPr>
              <w:spacing w:line="242" w:lineRule="auto"/>
              <w:jc w:val="center"/>
              <w:rPr>
                <w:color w:val="000000"/>
                <w:sz w:val="20"/>
                <w:szCs w:val="20"/>
              </w:rPr>
            </w:pPr>
            <w:r w:rsidRPr="00E8065F">
              <w:rPr>
                <w:color w:val="000000"/>
                <w:sz w:val="20"/>
                <w:szCs w:val="20"/>
              </w:rPr>
              <w:t>2</w:t>
            </w:r>
          </w:p>
        </w:tc>
        <w:tc>
          <w:tcPr>
            <w:tcW w:w="1478" w:type="dxa"/>
            <w:tcBorders>
              <w:top w:val="nil"/>
              <w:left w:val="single" w:sz="4" w:space="0" w:color="auto"/>
              <w:bottom w:val="single" w:sz="4" w:space="0" w:color="auto"/>
              <w:right w:val="single" w:sz="4" w:space="0" w:color="auto"/>
            </w:tcBorders>
            <w:shd w:val="clear" w:color="auto" w:fill="auto"/>
          </w:tcPr>
          <w:p w:rsidR="000E54C2" w:rsidRPr="00E8065F" w:rsidRDefault="000E54C2" w:rsidP="00CD3A6F">
            <w:pPr>
              <w:spacing w:line="242" w:lineRule="auto"/>
              <w:jc w:val="center"/>
              <w:rPr>
                <w:color w:val="000000"/>
                <w:sz w:val="20"/>
                <w:szCs w:val="20"/>
              </w:rPr>
            </w:pPr>
            <w:r w:rsidRPr="00E8065F">
              <w:rPr>
                <w:color w:val="000000"/>
                <w:sz w:val="20"/>
                <w:szCs w:val="20"/>
              </w:rPr>
              <w:t>34</w:t>
            </w:r>
          </w:p>
        </w:tc>
        <w:tc>
          <w:tcPr>
            <w:tcW w:w="1111" w:type="dxa"/>
            <w:tcBorders>
              <w:top w:val="nil"/>
              <w:left w:val="single" w:sz="4" w:space="0" w:color="auto"/>
              <w:bottom w:val="single" w:sz="4" w:space="0" w:color="auto"/>
              <w:right w:val="single" w:sz="4" w:space="0" w:color="auto"/>
            </w:tcBorders>
            <w:shd w:val="clear" w:color="auto" w:fill="auto"/>
          </w:tcPr>
          <w:p w:rsidR="000E54C2" w:rsidRPr="00E8065F" w:rsidRDefault="000E54C2" w:rsidP="00CD3A6F">
            <w:pPr>
              <w:spacing w:line="242" w:lineRule="auto"/>
              <w:jc w:val="center"/>
              <w:rPr>
                <w:color w:val="000000"/>
                <w:sz w:val="20"/>
                <w:szCs w:val="20"/>
              </w:rPr>
            </w:pPr>
            <w:r w:rsidRPr="00E8065F">
              <w:rPr>
                <w:color w:val="000000"/>
                <w:sz w:val="20"/>
                <w:szCs w:val="20"/>
              </w:rPr>
              <w:t>2</w:t>
            </w:r>
          </w:p>
        </w:tc>
        <w:tc>
          <w:tcPr>
            <w:tcW w:w="1944" w:type="dxa"/>
            <w:tcBorders>
              <w:top w:val="nil"/>
              <w:left w:val="single" w:sz="4" w:space="0" w:color="auto"/>
              <w:bottom w:val="single" w:sz="4" w:space="0" w:color="auto"/>
              <w:right w:val="single" w:sz="4" w:space="0" w:color="auto"/>
            </w:tcBorders>
            <w:shd w:val="clear" w:color="auto" w:fill="auto"/>
          </w:tcPr>
          <w:p w:rsidR="000E54C2" w:rsidRPr="00E8065F" w:rsidRDefault="000E54C2" w:rsidP="00CD3A6F">
            <w:pPr>
              <w:spacing w:line="242" w:lineRule="auto"/>
              <w:jc w:val="center"/>
              <w:rPr>
                <w:color w:val="000000"/>
                <w:sz w:val="20"/>
                <w:szCs w:val="20"/>
              </w:rPr>
            </w:pPr>
            <w:r w:rsidRPr="00E8065F">
              <w:rPr>
                <w:color w:val="000000"/>
                <w:sz w:val="20"/>
                <w:szCs w:val="20"/>
              </w:rPr>
              <w:t>Амбулаторное</w:t>
            </w:r>
          </w:p>
        </w:tc>
      </w:tr>
      <w:tr w:rsidR="00BA1432" w:rsidRPr="00E8065F" w:rsidTr="000546C2">
        <w:trPr>
          <w:trHeight w:val="20"/>
        </w:trPr>
        <w:tc>
          <w:tcPr>
            <w:tcW w:w="1555" w:type="dxa"/>
            <w:vMerge/>
          </w:tcPr>
          <w:p w:rsidR="000E54C2" w:rsidRPr="00E8065F" w:rsidRDefault="000E54C2" w:rsidP="00BA1432">
            <w:pPr>
              <w:rPr>
                <w:sz w:val="20"/>
                <w:szCs w:val="20"/>
              </w:rPr>
            </w:pPr>
          </w:p>
        </w:tc>
        <w:tc>
          <w:tcPr>
            <w:tcW w:w="3685" w:type="dxa"/>
            <w:tcBorders>
              <w:top w:val="nil"/>
              <w:left w:val="single" w:sz="4" w:space="0" w:color="auto"/>
              <w:bottom w:val="single" w:sz="4" w:space="0" w:color="auto"/>
              <w:right w:val="single" w:sz="4" w:space="0" w:color="auto"/>
            </w:tcBorders>
            <w:shd w:val="clear" w:color="auto" w:fill="auto"/>
          </w:tcPr>
          <w:p w:rsidR="000E54C2" w:rsidRPr="00E8065F" w:rsidRDefault="000E54C2" w:rsidP="00CD3A6F">
            <w:pPr>
              <w:spacing w:line="242" w:lineRule="auto"/>
              <w:jc w:val="both"/>
              <w:rPr>
                <w:color w:val="000000"/>
                <w:sz w:val="20"/>
                <w:szCs w:val="20"/>
              </w:rPr>
            </w:pPr>
            <w:r w:rsidRPr="00E8065F">
              <w:rPr>
                <w:color w:val="000000"/>
                <w:sz w:val="20"/>
                <w:szCs w:val="20"/>
              </w:rPr>
              <w:t xml:space="preserve">ГАУЗ </w:t>
            </w:r>
            <w:r w:rsidR="002F7358">
              <w:rPr>
                <w:color w:val="000000"/>
                <w:sz w:val="20"/>
                <w:szCs w:val="20"/>
              </w:rPr>
              <w:t>«</w:t>
            </w:r>
            <w:r w:rsidRPr="00E8065F">
              <w:rPr>
                <w:color w:val="000000"/>
                <w:sz w:val="20"/>
                <w:szCs w:val="20"/>
              </w:rPr>
              <w:t>Буинская ЦРБ</w:t>
            </w:r>
            <w:r w:rsidR="002F7358">
              <w:rPr>
                <w:color w:val="000000"/>
                <w:sz w:val="20"/>
                <w:szCs w:val="20"/>
              </w:rPr>
              <w:t>»</w:t>
            </w:r>
          </w:p>
        </w:tc>
        <w:tc>
          <w:tcPr>
            <w:tcW w:w="1994" w:type="dxa"/>
            <w:tcBorders>
              <w:top w:val="nil"/>
              <w:left w:val="single" w:sz="4" w:space="0" w:color="auto"/>
              <w:bottom w:val="single" w:sz="4" w:space="0" w:color="auto"/>
              <w:right w:val="single" w:sz="4" w:space="0" w:color="auto"/>
            </w:tcBorders>
            <w:shd w:val="clear" w:color="auto" w:fill="auto"/>
          </w:tcPr>
          <w:p w:rsidR="000E54C2" w:rsidRPr="00E8065F" w:rsidRDefault="000E54C2" w:rsidP="00CD3A6F">
            <w:pPr>
              <w:spacing w:line="242" w:lineRule="auto"/>
              <w:jc w:val="center"/>
              <w:rPr>
                <w:color w:val="000000"/>
                <w:sz w:val="20"/>
                <w:szCs w:val="20"/>
              </w:rPr>
            </w:pPr>
            <w:r w:rsidRPr="00E8065F">
              <w:rPr>
                <w:color w:val="000000"/>
                <w:sz w:val="20"/>
                <w:szCs w:val="20"/>
              </w:rPr>
              <w:t>Маммограф</w:t>
            </w:r>
          </w:p>
        </w:tc>
        <w:tc>
          <w:tcPr>
            <w:tcW w:w="1181" w:type="dxa"/>
            <w:shd w:val="clear" w:color="auto" w:fill="auto"/>
          </w:tcPr>
          <w:p w:rsidR="000E54C2" w:rsidRPr="00E8065F" w:rsidRDefault="000E54C2" w:rsidP="00CD3A6F">
            <w:pPr>
              <w:spacing w:line="242" w:lineRule="auto"/>
              <w:jc w:val="center"/>
              <w:rPr>
                <w:sz w:val="20"/>
                <w:szCs w:val="20"/>
              </w:rPr>
            </w:pPr>
            <w:r w:rsidRPr="00E8065F">
              <w:rPr>
                <w:sz w:val="20"/>
                <w:szCs w:val="20"/>
              </w:rPr>
              <w:t>2006</w:t>
            </w:r>
            <w:r w:rsidR="00AA5FB3">
              <w:rPr>
                <w:sz w:val="20"/>
                <w:szCs w:val="20"/>
              </w:rPr>
              <w:t xml:space="preserve"> </w:t>
            </w:r>
            <w:r w:rsidR="00D81DCD">
              <w:rPr>
                <w:sz w:val="20"/>
                <w:szCs w:val="20"/>
              </w:rPr>
              <w:t>(1)</w:t>
            </w:r>
          </w:p>
          <w:p w:rsidR="000E54C2" w:rsidRPr="00E8065F" w:rsidRDefault="000E54C2" w:rsidP="00CD3A6F">
            <w:pPr>
              <w:spacing w:line="242" w:lineRule="auto"/>
              <w:jc w:val="center"/>
              <w:rPr>
                <w:sz w:val="20"/>
                <w:szCs w:val="20"/>
              </w:rPr>
            </w:pPr>
            <w:r w:rsidRPr="00E8065F">
              <w:rPr>
                <w:sz w:val="20"/>
                <w:szCs w:val="20"/>
              </w:rPr>
              <w:t>2016</w:t>
            </w:r>
            <w:r w:rsidR="00AA5FB3">
              <w:rPr>
                <w:sz w:val="20"/>
                <w:szCs w:val="20"/>
              </w:rPr>
              <w:t xml:space="preserve"> </w:t>
            </w:r>
            <w:r w:rsidR="00D81DCD">
              <w:rPr>
                <w:sz w:val="20"/>
                <w:szCs w:val="20"/>
              </w:rPr>
              <w:t>(1)</w:t>
            </w:r>
          </w:p>
          <w:p w:rsidR="000E54C2" w:rsidRPr="00E8065F" w:rsidRDefault="000E54C2" w:rsidP="00CD3A6F">
            <w:pPr>
              <w:spacing w:line="242" w:lineRule="auto"/>
              <w:jc w:val="center"/>
              <w:rPr>
                <w:sz w:val="20"/>
                <w:szCs w:val="20"/>
              </w:rPr>
            </w:pPr>
            <w:r w:rsidRPr="00E8065F">
              <w:rPr>
                <w:sz w:val="20"/>
                <w:szCs w:val="20"/>
              </w:rPr>
              <w:t>2022</w:t>
            </w:r>
            <w:r w:rsidR="00AA5FB3">
              <w:rPr>
                <w:sz w:val="20"/>
                <w:szCs w:val="20"/>
              </w:rPr>
              <w:t xml:space="preserve">  </w:t>
            </w:r>
            <w:r w:rsidR="00D81DCD">
              <w:rPr>
                <w:sz w:val="20"/>
                <w:szCs w:val="20"/>
              </w:rPr>
              <w:t>(1)</w:t>
            </w:r>
          </w:p>
        </w:tc>
        <w:tc>
          <w:tcPr>
            <w:tcW w:w="1181" w:type="dxa"/>
            <w:tcBorders>
              <w:top w:val="nil"/>
              <w:left w:val="single" w:sz="4" w:space="0" w:color="auto"/>
              <w:bottom w:val="single" w:sz="4" w:space="0" w:color="auto"/>
              <w:right w:val="single" w:sz="4" w:space="0" w:color="auto"/>
            </w:tcBorders>
            <w:shd w:val="clear" w:color="auto" w:fill="auto"/>
          </w:tcPr>
          <w:p w:rsidR="000E54C2" w:rsidRPr="00E8065F" w:rsidRDefault="000E54C2" w:rsidP="00CD3A6F">
            <w:pPr>
              <w:spacing w:line="242" w:lineRule="auto"/>
              <w:jc w:val="center"/>
              <w:rPr>
                <w:color w:val="000000"/>
                <w:sz w:val="20"/>
                <w:szCs w:val="20"/>
              </w:rPr>
            </w:pPr>
            <w:r w:rsidRPr="00E8065F">
              <w:rPr>
                <w:color w:val="000000"/>
                <w:sz w:val="20"/>
                <w:szCs w:val="20"/>
              </w:rPr>
              <w:t>3</w:t>
            </w:r>
          </w:p>
        </w:tc>
        <w:tc>
          <w:tcPr>
            <w:tcW w:w="1478" w:type="dxa"/>
            <w:tcBorders>
              <w:top w:val="nil"/>
              <w:left w:val="single" w:sz="4" w:space="0" w:color="auto"/>
              <w:bottom w:val="single" w:sz="4" w:space="0" w:color="auto"/>
              <w:right w:val="single" w:sz="4" w:space="0" w:color="auto"/>
            </w:tcBorders>
            <w:shd w:val="clear" w:color="auto" w:fill="auto"/>
          </w:tcPr>
          <w:p w:rsidR="000E54C2" w:rsidRPr="00E8065F" w:rsidRDefault="000E54C2" w:rsidP="00CD3A6F">
            <w:pPr>
              <w:spacing w:line="242" w:lineRule="auto"/>
              <w:jc w:val="center"/>
              <w:rPr>
                <w:color w:val="000000"/>
                <w:sz w:val="20"/>
                <w:szCs w:val="20"/>
              </w:rPr>
            </w:pPr>
            <w:r w:rsidRPr="00E8065F">
              <w:rPr>
                <w:color w:val="000000"/>
                <w:sz w:val="20"/>
                <w:szCs w:val="20"/>
              </w:rPr>
              <w:t>7</w:t>
            </w:r>
          </w:p>
        </w:tc>
        <w:tc>
          <w:tcPr>
            <w:tcW w:w="1111" w:type="dxa"/>
            <w:tcBorders>
              <w:top w:val="nil"/>
              <w:left w:val="single" w:sz="4" w:space="0" w:color="auto"/>
              <w:bottom w:val="single" w:sz="4" w:space="0" w:color="auto"/>
              <w:right w:val="single" w:sz="4" w:space="0" w:color="auto"/>
            </w:tcBorders>
            <w:shd w:val="clear" w:color="auto" w:fill="auto"/>
          </w:tcPr>
          <w:p w:rsidR="000E54C2" w:rsidRPr="00E8065F" w:rsidRDefault="000E54C2" w:rsidP="00CD3A6F">
            <w:pPr>
              <w:spacing w:line="242" w:lineRule="auto"/>
              <w:jc w:val="center"/>
              <w:rPr>
                <w:color w:val="000000"/>
                <w:sz w:val="20"/>
                <w:szCs w:val="20"/>
              </w:rPr>
            </w:pPr>
            <w:r w:rsidRPr="00E8065F">
              <w:rPr>
                <w:color w:val="000000"/>
                <w:sz w:val="20"/>
                <w:szCs w:val="20"/>
              </w:rPr>
              <w:t>2</w:t>
            </w:r>
          </w:p>
        </w:tc>
        <w:tc>
          <w:tcPr>
            <w:tcW w:w="1944" w:type="dxa"/>
            <w:tcBorders>
              <w:top w:val="nil"/>
              <w:left w:val="single" w:sz="4" w:space="0" w:color="auto"/>
              <w:bottom w:val="single" w:sz="4" w:space="0" w:color="auto"/>
              <w:right w:val="single" w:sz="4" w:space="0" w:color="auto"/>
            </w:tcBorders>
            <w:shd w:val="clear" w:color="auto" w:fill="auto"/>
          </w:tcPr>
          <w:p w:rsidR="000E54C2" w:rsidRPr="00E8065F" w:rsidRDefault="000E54C2" w:rsidP="00CD3A6F">
            <w:pPr>
              <w:spacing w:line="242" w:lineRule="auto"/>
              <w:jc w:val="center"/>
              <w:rPr>
                <w:color w:val="000000"/>
                <w:sz w:val="20"/>
                <w:szCs w:val="20"/>
              </w:rPr>
            </w:pPr>
            <w:r w:rsidRPr="00E8065F">
              <w:rPr>
                <w:color w:val="000000"/>
                <w:sz w:val="20"/>
                <w:szCs w:val="20"/>
              </w:rPr>
              <w:t>Амбулаторное</w:t>
            </w:r>
          </w:p>
        </w:tc>
      </w:tr>
      <w:tr w:rsidR="00BA1432" w:rsidRPr="00E8065F" w:rsidTr="000546C2">
        <w:trPr>
          <w:trHeight w:val="20"/>
        </w:trPr>
        <w:tc>
          <w:tcPr>
            <w:tcW w:w="1555" w:type="dxa"/>
            <w:vMerge/>
          </w:tcPr>
          <w:p w:rsidR="000E54C2" w:rsidRPr="00E8065F" w:rsidRDefault="000E54C2" w:rsidP="00BA1432">
            <w:pPr>
              <w:rPr>
                <w:sz w:val="20"/>
                <w:szCs w:val="20"/>
              </w:rPr>
            </w:pPr>
          </w:p>
        </w:tc>
        <w:tc>
          <w:tcPr>
            <w:tcW w:w="3685" w:type="dxa"/>
            <w:tcBorders>
              <w:top w:val="nil"/>
              <w:left w:val="single" w:sz="4" w:space="0" w:color="auto"/>
              <w:bottom w:val="single" w:sz="4" w:space="0" w:color="auto"/>
              <w:right w:val="single" w:sz="4" w:space="0" w:color="auto"/>
            </w:tcBorders>
            <w:shd w:val="clear" w:color="auto" w:fill="auto"/>
          </w:tcPr>
          <w:p w:rsidR="000E54C2" w:rsidRPr="00E8065F" w:rsidRDefault="000E54C2" w:rsidP="00CD3A6F">
            <w:pPr>
              <w:spacing w:line="242" w:lineRule="auto"/>
              <w:jc w:val="both"/>
              <w:rPr>
                <w:color w:val="000000"/>
                <w:sz w:val="20"/>
                <w:szCs w:val="20"/>
              </w:rPr>
            </w:pPr>
            <w:r w:rsidRPr="00E8065F">
              <w:rPr>
                <w:color w:val="000000"/>
                <w:sz w:val="20"/>
                <w:szCs w:val="20"/>
              </w:rPr>
              <w:t xml:space="preserve">ГАУЗ </w:t>
            </w:r>
            <w:r w:rsidR="002F7358">
              <w:rPr>
                <w:color w:val="000000"/>
                <w:sz w:val="20"/>
                <w:szCs w:val="20"/>
              </w:rPr>
              <w:t>«</w:t>
            </w:r>
            <w:r w:rsidRPr="00E8065F">
              <w:rPr>
                <w:color w:val="000000"/>
                <w:sz w:val="20"/>
                <w:szCs w:val="20"/>
              </w:rPr>
              <w:t>Высокогорская ЦРБ</w:t>
            </w:r>
            <w:r w:rsidR="002F7358">
              <w:rPr>
                <w:color w:val="000000"/>
                <w:sz w:val="20"/>
                <w:szCs w:val="20"/>
              </w:rPr>
              <w:t>»</w:t>
            </w:r>
          </w:p>
        </w:tc>
        <w:tc>
          <w:tcPr>
            <w:tcW w:w="1994" w:type="dxa"/>
            <w:tcBorders>
              <w:top w:val="nil"/>
              <w:left w:val="single" w:sz="4" w:space="0" w:color="auto"/>
              <w:bottom w:val="single" w:sz="4" w:space="0" w:color="auto"/>
              <w:right w:val="single" w:sz="4" w:space="0" w:color="auto"/>
            </w:tcBorders>
            <w:shd w:val="clear" w:color="auto" w:fill="auto"/>
          </w:tcPr>
          <w:p w:rsidR="000E54C2" w:rsidRPr="00E8065F" w:rsidRDefault="000E54C2" w:rsidP="00CD3A6F">
            <w:pPr>
              <w:spacing w:line="242" w:lineRule="auto"/>
              <w:jc w:val="center"/>
              <w:rPr>
                <w:color w:val="000000"/>
                <w:sz w:val="20"/>
                <w:szCs w:val="20"/>
              </w:rPr>
            </w:pPr>
            <w:r w:rsidRPr="00E8065F">
              <w:rPr>
                <w:color w:val="000000"/>
                <w:sz w:val="20"/>
                <w:szCs w:val="20"/>
              </w:rPr>
              <w:t>Маммограф</w:t>
            </w:r>
          </w:p>
        </w:tc>
        <w:tc>
          <w:tcPr>
            <w:tcW w:w="1181" w:type="dxa"/>
            <w:shd w:val="clear" w:color="auto" w:fill="auto"/>
          </w:tcPr>
          <w:p w:rsidR="000E54C2" w:rsidRPr="00E8065F" w:rsidRDefault="000E54C2" w:rsidP="00CD3A6F">
            <w:pPr>
              <w:spacing w:line="242" w:lineRule="auto"/>
              <w:jc w:val="center"/>
              <w:rPr>
                <w:sz w:val="20"/>
                <w:szCs w:val="20"/>
              </w:rPr>
            </w:pPr>
            <w:r w:rsidRPr="00E8065F">
              <w:rPr>
                <w:sz w:val="20"/>
                <w:szCs w:val="20"/>
              </w:rPr>
              <w:t>2022</w:t>
            </w:r>
          </w:p>
        </w:tc>
        <w:tc>
          <w:tcPr>
            <w:tcW w:w="1181" w:type="dxa"/>
            <w:tcBorders>
              <w:top w:val="nil"/>
              <w:left w:val="single" w:sz="4" w:space="0" w:color="auto"/>
              <w:bottom w:val="single" w:sz="4" w:space="0" w:color="auto"/>
              <w:right w:val="single" w:sz="4" w:space="0" w:color="auto"/>
            </w:tcBorders>
            <w:shd w:val="clear" w:color="auto" w:fill="auto"/>
          </w:tcPr>
          <w:p w:rsidR="000E54C2" w:rsidRPr="00E8065F" w:rsidRDefault="000E54C2" w:rsidP="00CD3A6F">
            <w:pPr>
              <w:spacing w:line="242" w:lineRule="auto"/>
              <w:jc w:val="center"/>
              <w:rPr>
                <w:color w:val="000000"/>
                <w:sz w:val="20"/>
                <w:szCs w:val="20"/>
              </w:rPr>
            </w:pPr>
            <w:r w:rsidRPr="00E8065F">
              <w:rPr>
                <w:color w:val="000000"/>
                <w:sz w:val="20"/>
                <w:szCs w:val="20"/>
              </w:rPr>
              <w:t>1</w:t>
            </w:r>
          </w:p>
        </w:tc>
        <w:tc>
          <w:tcPr>
            <w:tcW w:w="1478" w:type="dxa"/>
            <w:tcBorders>
              <w:top w:val="nil"/>
              <w:left w:val="single" w:sz="4" w:space="0" w:color="auto"/>
              <w:bottom w:val="single" w:sz="4" w:space="0" w:color="auto"/>
              <w:right w:val="single" w:sz="4" w:space="0" w:color="auto"/>
            </w:tcBorders>
            <w:shd w:val="clear" w:color="auto" w:fill="auto"/>
          </w:tcPr>
          <w:p w:rsidR="000E54C2" w:rsidRPr="00E8065F" w:rsidRDefault="000E54C2" w:rsidP="00CD3A6F">
            <w:pPr>
              <w:spacing w:line="242" w:lineRule="auto"/>
              <w:jc w:val="center"/>
              <w:rPr>
                <w:color w:val="000000"/>
                <w:sz w:val="20"/>
                <w:szCs w:val="20"/>
              </w:rPr>
            </w:pPr>
            <w:r w:rsidRPr="00E8065F">
              <w:rPr>
                <w:color w:val="000000"/>
                <w:sz w:val="20"/>
                <w:szCs w:val="20"/>
              </w:rPr>
              <w:t>5</w:t>
            </w:r>
          </w:p>
        </w:tc>
        <w:tc>
          <w:tcPr>
            <w:tcW w:w="1111" w:type="dxa"/>
            <w:tcBorders>
              <w:top w:val="nil"/>
              <w:left w:val="single" w:sz="4" w:space="0" w:color="auto"/>
              <w:bottom w:val="single" w:sz="4" w:space="0" w:color="auto"/>
              <w:right w:val="single" w:sz="4" w:space="0" w:color="auto"/>
            </w:tcBorders>
            <w:shd w:val="clear" w:color="auto" w:fill="auto"/>
          </w:tcPr>
          <w:p w:rsidR="000E54C2" w:rsidRPr="00E8065F" w:rsidRDefault="000E54C2" w:rsidP="00CD3A6F">
            <w:pPr>
              <w:spacing w:line="242" w:lineRule="auto"/>
              <w:jc w:val="center"/>
              <w:rPr>
                <w:color w:val="000000"/>
                <w:sz w:val="20"/>
                <w:szCs w:val="20"/>
              </w:rPr>
            </w:pPr>
            <w:r w:rsidRPr="00E8065F">
              <w:rPr>
                <w:color w:val="000000"/>
                <w:sz w:val="20"/>
                <w:szCs w:val="20"/>
              </w:rPr>
              <w:t>2</w:t>
            </w:r>
          </w:p>
        </w:tc>
        <w:tc>
          <w:tcPr>
            <w:tcW w:w="1944" w:type="dxa"/>
            <w:tcBorders>
              <w:top w:val="nil"/>
              <w:left w:val="single" w:sz="4" w:space="0" w:color="auto"/>
              <w:bottom w:val="single" w:sz="4" w:space="0" w:color="auto"/>
              <w:right w:val="single" w:sz="4" w:space="0" w:color="auto"/>
            </w:tcBorders>
            <w:shd w:val="clear" w:color="auto" w:fill="auto"/>
          </w:tcPr>
          <w:p w:rsidR="000E54C2" w:rsidRPr="00E8065F" w:rsidRDefault="000E54C2" w:rsidP="00CD3A6F">
            <w:pPr>
              <w:spacing w:line="242" w:lineRule="auto"/>
              <w:jc w:val="center"/>
              <w:rPr>
                <w:color w:val="000000"/>
                <w:sz w:val="20"/>
                <w:szCs w:val="20"/>
              </w:rPr>
            </w:pPr>
            <w:r w:rsidRPr="00E8065F">
              <w:rPr>
                <w:color w:val="000000"/>
                <w:sz w:val="20"/>
                <w:szCs w:val="20"/>
              </w:rPr>
              <w:t>Амбулаторное</w:t>
            </w:r>
          </w:p>
        </w:tc>
      </w:tr>
      <w:tr w:rsidR="00BA1432" w:rsidRPr="00E8065F" w:rsidTr="000546C2">
        <w:trPr>
          <w:trHeight w:val="20"/>
        </w:trPr>
        <w:tc>
          <w:tcPr>
            <w:tcW w:w="1555" w:type="dxa"/>
            <w:vMerge/>
          </w:tcPr>
          <w:p w:rsidR="000E54C2" w:rsidRPr="00E8065F" w:rsidRDefault="000E54C2" w:rsidP="00BA1432">
            <w:pPr>
              <w:rPr>
                <w:sz w:val="20"/>
                <w:szCs w:val="20"/>
              </w:rPr>
            </w:pPr>
          </w:p>
        </w:tc>
        <w:tc>
          <w:tcPr>
            <w:tcW w:w="3685" w:type="dxa"/>
            <w:tcBorders>
              <w:top w:val="nil"/>
              <w:left w:val="single" w:sz="4" w:space="0" w:color="auto"/>
              <w:bottom w:val="single" w:sz="4" w:space="0" w:color="auto"/>
              <w:right w:val="single" w:sz="4" w:space="0" w:color="auto"/>
            </w:tcBorders>
            <w:shd w:val="clear" w:color="auto" w:fill="auto"/>
          </w:tcPr>
          <w:p w:rsidR="000E54C2" w:rsidRPr="00E8065F" w:rsidRDefault="000E54C2" w:rsidP="00CD3A6F">
            <w:pPr>
              <w:spacing w:line="242" w:lineRule="auto"/>
              <w:jc w:val="both"/>
              <w:rPr>
                <w:color w:val="000000"/>
                <w:sz w:val="20"/>
                <w:szCs w:val="20"/>
              </w:rPr>
            </w:pPr>
            <w:r w:rsidRPr="00E8065F">
              <w:rPr>
                <w:color w:val="000000"/>
                <w:sz w:val="20"/>
                <w:szCs w:val="20"/>
              </w:rPr>
              <w:t xml:space="preserve">ГАУЗ </w:t>
            </w:r>
            <w:r w:rsidR="002F7358">
              <w:rPr>
                <w:color w:val="000000"/>
                <w:sz w:val="20"/>
                <w:szCs w:val="20"/>
              </w:rPr>
              <w:t>«</w:t>
            </w:r>
            <w:r w:rsidRPr="00E8065F">
              <w:rPr>
                <w:color w:val="000000"/>
                <w:sz w:val="20"/>
                <w:szCs w:val="20"/>
              </w:rPr>
              <w:t>Дрожжановская ЦРБ</w:t>
            </w:r>
            <w:r w:rsidR="002F7358">
              <w:rPr>
                <w:color w:val="000000"/>
                <w:sz w:val="20"/>
                <w:szCs w:val="20"/>
              </w:rPr>
              <w:t>»</w:t>
            </w:r>
          </w:p>
        </w:tc>
        <w:tc>
          <w:tcPr>
            <w:tcW w:w="1994" w:type="dxa"/>
            <w:tcBorders>
              <w:top w:val="nil"/>
              <w:left w:val="single" w:sz="4" w:space="0" w:color="auto"/>
              <w:bottom w:val="single" w:sz="4" w:space="0" w:color="auto"/>
              <w:right w:val="single" w:sz="4" w:space="0" w:color="auto"/>
            </w:tcBorders>
            <w:shd w:val="clear" w:color="auto" w:fill="auto"/>
          </w:tcPr>
          <w:p w:rsidR="000E54C2" w:rsidRPr="00E8065F" w:rsidRDefault="000E54C2" w:rsidP="00CD3A6F">
            <w:pPr>
              <w:spacing w:line="242" w:lineRule="auto"/>
              <w:jc w:val="center"/>
              <w:rPr>
                <w:color w:val="000000"/>
                <w:sz w:val="20"/>
                <w:szCs w:val="20"/>
              </w:rPr>
            </w:pPr>
            <w:r w:rsidRPr="00E8065F">
              <w:rPr>
                <w:color w:val="000000"/>
                <w:sz w:val="20"/>
                <w:szCs w:val="20"/>
              </w:rPr>
              <w:t>Маммограф</w:t>
            </w:r>
          </w:p>
        </w:tc>
        <w:tc>
          <w:tcPr>
            <w:tcW w:w="1181" w:type="dxa"/>
            <w:shd w:val="clear" w:color="auto" w:fill="auto"/>
          </w:tcPr>
          <w:p w:rsidR="000E54C2" w:rsidRPr="00E8065F" w:rsidRDefault="000E54C2" w:rsidP="00CD3A6F">
            <w:pPr>
              <w:spacing w:line="242" w:lineRule="auto"/>
              <w:jc w:val="center"/>
              <w:rPr>
                <w:sz w:val="20"/>
                <w:szCs w:val="20"/>
              </w:rPr>
            </w:pPr>
            <w:r w:rsidRPr="00E8065F">
              <w:rPr>
                <w:sz w:val="20"/>
                <w:szCs w:val="20"/>
              </w:rPr>
              <w:t>2023</w:t>
            </w:r>
          </w:p>
        </w:tc>
        <w:tc>
          <w:tcPr>
            <w:tcW w:w="1181" w:type="dxa"/>
            <w:tcBorders>
              <w:top w:val="nil"/>
              <w:left w:val="single" w:sz="4" w:space="0" w:color="auto"/>
              <w:bottom w:val="single" w:sz="4" w:space="0" w:color="auto"/>
              <w:right w:val="single" w:sz="4" w:space="0" w:color="auto"/>
            </w:tcBorders>
            <w:shd w:val="clear" w:color="auto" w:fill="auto"/>
          </w:tcPr>
          <w:p w:rsidR="000E54C2" w:rsidRPr="00E8065F" w:rsidRDefault="000E54C2" w:rsidP="00CD3A6F">
            <w:pPr>
              <w:spacing w:line="242" w:lineRule="auto"/>
              <w:jc w:val="center"/>
              <w:rPr>
                <w:color w:val="000000"/>
                <w:sz w:val="20"/>
                <w:szCs w:val="20"/>
              </w:rPr>
            </w:pPr>
            <w:r w:rsidRPr="00E8065F">
              <w:rPr>
                <w:color w:val="000000"/>
                <w:sz w:val="20"/>
                <w:szCs w:val="20"/>
              </w:rPr>
              <w:t>1</w:t>
            </w:r>
          </w:p>
        </w:tc>
        <w:tc>
          <w:tcPr>
            <w:tcW w:w="1478" w:type="dxa"/>
            <w:tcBorders>
              <w:top w:val="nil"/>
              <w:left w:val="single" w:sz="4" w:space="0" w:color="auto"/>
              <w:bottom w:val="single" w:sz="4" w:space="0" w:color="auto"/>
              <w:right w:val="single" w:sz="4" w:space="0" w:color="auto"/>
            </w:tcBorders>
            <w:shd w:val="clear" w:color="auto" w:fill="auto"/>
          </w:tcPr>
          <w:p w:rsidR="000E54C2" w:rsidRPr="00E8065F" w:rsidRDefault="000E54C2" w:rsidP="00CD3A6F">
            <w:pPr>
              <w:spacing w:line="242" w:lineRule="auto"/>
              <w:jc w:val="center"/>
              <w:rPr>
                <w:color w:val="000000"/>
                <w:sz w:val="20"/>
                <w:szCs w:val="20"/>
              </w:rPr>
            </w:pPr>
          </w:p>
        </w:tc>
        <w:tc>
          <w:tcPr>
            <w:tcW w:w="1111" w:type="dxa"/>
            <w:tcBorders>
              <w:top w:val="nil"/>
              <w:left w:val="single" w:sz="4" w:space="0" w:color="auto"/>
              <w:bottom w:val="single" w:sz="4" w:space="0" w:color="auto"/>
              <w:right w:val="single" w:sz="4" w:space="0" w:color="auto"/>
            </w:tcBorders>
            <w:shd w:val="clear" w:color="auto" w:fill="auto"/>
          </w:tcPr>
          <w:p w:rsidR="000E54C2" w:rsidRPr="00E8065F" w:rsidRDefault="000E54C2" w:rsidP="00CD3A6F">
            <w:pPr>
              <w:spacing w:line="242" w:lineRule="auto"/>
              <w:jc w:val="center"/>
              <w:rPr>
                <w:color w:val="000000"/>
                <w:sz w:val="20"/>
                <w:szCs w:val="20"/>
              </w:rPr>
            </w:pPr>
          </w:p>
        </w:tc>
        <w:tc>
          <w:tcPr>
            <w:tcW w:w="1944" w:type="dxa"/>
            <w:tcBorders>
              <w:top w:val="nil"/>
              <w:left w:val="single" w:sz="4" w:space="0" w:color="auto"/>
              <w:bottom w:val="single" w:sz="4" w:space="0" w:color="auto"/>
              <w:right w:val="single" w:sz="4" w:space="0" w:color="auto"/>
            </w:tcBorders>
            <w:shd w:val="clear" w:color="auto" w:fill="auto"/>
          </w:tcPr>
          <w:p w:rsidR="000E54C2" w:rsidRPr="00E8065F" w:rsidRDefault="000E54C2" w:rsidP="00CD3A6F">
            <w:pPr>
              <w:spacing w:line="242" w:lineRule="auto"/>
              <w:jc w:val="center"/>
              <w:rPr>
                <w:color w:val="000000"/>
                <w:sz w:val="20"/>
                <w:szCs w:val="20"/>
              </w:rPr>
            </w:pPr>
            <w:r w:rsidRPr="00E8065F">
              <w:rPr>
                <w:color w:val="000000"/>
                <w:sz w:val="20"/>
                <w:szCs w:val="20"/>
              </w:rPr>
              <w:t>Амбулаторное</w:t>
            </w:r>
          </w:p>
        </w:tc>
      </w:tr>
      <w:tr w:rsidR="00BA1432" w:rsidRPr="00E8065F" w:rsidTr="000546C2">
        <w:trPr>
          <w:trHeight w:val="20"/>
        </w:trPr>
        <w:tc>
          <w:tcPr>
            <w:tcW w:w="1555" w:type="dxa"/>
            <w:vMerge/>
          </w:tcPr>
          <w:p w:rsidR="000E54C2" w:rsidRPr="00E8065F" w:rsidRDefault="000E54C2" w:rsidP="00BA1432">
            <w:pPr>
              <w:rPr>
                <w:sz w:val="20"/>
                <w:szCs w:val="20"/>
              </w:rPr>
            </w:pPr>
          </w:p>
        </w:tc>
        <w:tc>
          <w:tcPr>
            <w:tcW w:w="3685" w:type="dxa"/>
            <w:tcBorders>
              <w:top w:val="nil"/>
              <w:left w:val="single" w:sz="4" w:space="0" w:color="auto"/>
              <w:bottom w:val="single" w:sz="4" w:space="0" w:color="auto"/>
              <w:right w:val="single" w:sz="4" w:space="0" w:color="auto"/>
            </w:tcBorders>
            <w:shd w:val="clear" w:color="auto" w:fill="auto"/>
          </w:tcPr>
          <w:p w:rsidR="000E54C2" w:rsidRPr="00E8065F" w:rsidRDefault="000E54C2" w:rsidP="00CD3A6F">
            <w:pPr>
              <w:spacing w:line="242" w:lineRule="auto"/>
              <w:jc w:val="both"/>
              <w:rPr>
                <w:color w:val="000000"/>
                <w:sz w:val="20"/>
                <w:szCs w:val="20"/>
              </w:rPr>
            </w:pPr>
            <w:r w:rsidRPr="00E8065F">
              <w:rPr>
                <w:color w:val="000000"/>
                <w:sz w:val="20"/>
                <w:szCs w:val="20"/>
              </w:rPr>
              <w:t xml:space="preserve">ГАУЗ </w:t>
            </w:r>
            <w:r w:rsidR="002F7358">
              <w:rPr>
                <w:color w:val="000000"/>
                <w:sz w:val="20"/>
                <w:szCs w:val="20"/>
              </w:rPr>
              <w:t>«</w:t>
            </w:r>
            <w:r w:rsidRPr="00E8065F">
              <w:rPr>
                <w:color w:val="000000"/>
                <w:sz w:val="20"/>
                <w:szCs w:val="20"/>
              </w:rPr>
              <w:t>Елабужская ЦРБ</w:t>
            </w:r>
            <w:r w:rsidR="002F7358">
              <w:rPr>
                <w:color w:val="000000"/>
                <w:sz w:val="20"/>
                <w:szCs w:val="20"/>
              </w:rPr>
              <w:t>»</w:t>
            </w:r>
          </w:p>
        </w:tc>
        <w:tc>
          <w:tcPr>
            <w:tcW w:w="1994" w:type="dxa"/>
            <w:tcBorders>
              <w:top w:val="nil"/>
              <w:left w:val="single" w:sz="4" w:space="0" w:color="auto"/>
              <w:bottom w:val="single" w:sz="4" w:space="0" w:color="auto"/>
              <w:right w:val="single" w:sz="4" w:space="0" w:color="auto"/>
            </w:tcBorders>
            <w:shd w:val="clear" w:color="auto" w:fill="auto"/>
          </w:tcPr>
          <w:p w:rsidR="000E54C2" w:rsidRPr="00E8065F" w:rsidRDefault="000E54C2" w:rsidP="00CD3A6F">
            <w:pPr>
              <w:spacing w:line="242" w:lineRule="auto"/>
              <w:jc w:val="center"/>
              <w:rPr>
                <w:color w:val="000000"/>
                <w:sz w:val="20"/>
                <w:szCs w:val="20"/>
              </w:rPr>
            </w:pPr>
            <w:r w:rsidRPr="00E8065F">
              <w:rPr>
                <w:color w:val="000000"/>
                <w:sz w:val="20"/>
                <w:szCs w:val="20"/>
              </w:rPr>
              <w:t>Маммограф</w:t>
            </w:r>
          </w:p>
        </w:tc>
        <w:tc>
          <w:tcPr>
            <w:tcW w:w="1181" w:type="dxa"/>
            <w:shd w:val="clear" w:color="auto" w:fill="auto"/>
          </w:tcPr>
          <w:p w:rsidR="000E54C2" w:rsidRPr="00E8065F" w:rsidRDefault="000E54C2" w:rsidP="00CD3A6F">
            <w:pPr>
              <w:spacing w:line="242" w:lineRule="auto"/>
              <w:jc w:val="center"/>
              <w:rPr>
                <w:sz w:val="20"/>
                <w:szCs w:val="20"/>
              </w:rPr>
            </w:pPr>
            <w:r w:rsidRPr="00E8065F">
              <w:rPr>
                <w:sz w:val="20"/>
                <w:szCs w:val="20"/>
              </w:rPr>
              <w:t>2018</w:t>
            </w:r>
          </w:p>
        </w:tc>
        <w:tc>
          <w:tcPr>
            <w:tcW w:w="1181" w:type="dxa"/>
            <w:tcBorders>
              <w:top w:val="nil"/>
              <w:left w:val="single" w:sz="4" w:space="0" w:color="auto"/>
              <w:bottom w:val="single" w:sz="4" w:space="0" w:color="auto"/>
              <w:right w:val="single" w:sz="4" w:space="0" w:color="auto"/>
            </w:tcBorders>
            <w:shd w:val="clear" w:color="auto" w:fill="auto"/>
          </w:tcPr>
          <w:p w:rsidR="000E54C2" w:rsidRPr="00E8065F" w:rsidRDefault="000E54C2" w:rsidP="00CD3A6F">
            <w:pPr>
              <w:spacing w:line="242" w:lineRule="auto"/>
              <w:jc w:val="center"/>
              <w:rPr>
                <w:color w:val="000000"/>
                <w:sz w:val="20"/>
                <w:szCs w:val="20"/>
              </w:rPr>
            </w:pPr>
            <w:r w:rsidRPr="00E8065F">
              <w:rPr>
                <w:color w:val="000000"/>
                <w:sz w:val="20"/>
                <w:szCs w:val="20"/>
              </w:rPr>
              <w:t>1</w:t>
            </w:r>
          </w:p>
        </w:tc>
        <w:tc>
          <w:tcPr>
            <w:tcW w:w="1478" w:type="dxa"/>
            <w:tcBorders>
              <w:top w:val="nil"/>
              <w:left w:val="single" w:sz="4" w:space="0" w:color="auto"/>
              <w:bottom w:val="single" w:sz="4" w:space="0" w:color="auto"/>
              <w:right w:val="single" w:sz="4" w:space="0" w:color="auto"/>
            </w:tcBorders>
            <w:shd w:val="clear" w:color="auto" w:fill="auto"/>
          </w:tcPr>
          <w:p w:rsidR="000E54C2" w:rsidRPr="00E8065F" w:rsidRDefault="000E54C2" w:rsidP="00CD3A6F">
            <w:pPr>
              <w:spacing w:line="242" w:lineRule="auto"/>
              <w:jc w:val="center"/>
              <w:rPr>
                <w:color w:val="000000"/>
                <w:sz w:val="20"/>
                <w:szCs w:val="20"/>
              </w:rPr>
            </w:pPr>
            <w:r w:rsidRPr="00E8065F">
              <w:rPr>
                <w:color w:val="000000"/>
                <w:sz w:val="20"/>
                <w:szCs w:val="20"/>
              </w:rPr>
              <w:t>13</w:t>
            </w:r>
          </w:p>
        </w:tc>
        <w:tc>
          <w:tcPr>
            <w:tcW w:w="1111" w:type="dxa"/>
            <w:tcBorders>
              <w:top w:val="nil"/>
              <w:left w:val="single" w:sz="4" w:space="0" w:color="auto"/>
              <w:bottom w:val="single" w:sz="4" w:space="0" w:color="auto"/>
              <w:right w:val="single" w:sz="4" w:space="0" w:color="auto"/>
            </w:tcBorders>
            <w:shd w:val="clear" w:color="auto" w:fill="auto"/>
          </w:tcPr>
          <w:p w:rsidR="000E54C2" w:rsidRPr="00E8065F" w:rsidRDefault="000E54C2" w:rsidP="00CD3A6F">
            <w:pPr>
              <w:spacing w:line="242" w:lineRule="auto"/>
              <w:jc w:val="center"/>
              <w:rPr>
                <w:color w:val="000000"/>
                <w:sz w:val="20"/>
                <w:szCs w:val="20"/>
              </w:rPr>
            </w:pPr>
            <w:r w:rsidRPr="00E8065F">
              <w:rPr>
                <w:color w:val="000000"/>
                <w:sz w:val="20"/>
                <w:szCs w:val="20"/>
              </w:rPr>
              <w:t>2</w:t>
            </w:r>
          </w:p>
        </w:tc>
        <w:tc>
          <w:tcPr>
            <w:tcW w:w="1944" w:type="dxa"/>
            <w:tcBorders>
              <w:top w:val="nil"/>
              <w:left w:val="single" w:sz="4" w:space="0" w:color="auto"/>
              <w:bottom w:val="single" w:sz="4" w:space="0" w:color="auto"/>
              <w:right w:val="single" w:sz="4" w:space="0" w:color="auto"/>
            </w:tcBorders>
            <w:shd w:val="clear" w:color="auto" w:fill="auto"/>
          </w:tcPr>
          <w:p w:rsidR="000E54C2" w:rsidRPr="00E8065F" w:rsidRDefault="000E54C2" w:rsidP="00CD3A6F">
            <w:pPr>
              <w:spacing w:line="242" w:lineRule="auto"/>
              <w:jc w:val="center"/>
              <w:rPr>
                <w:color w:val="000000"/>
                <w:sz w:val="20"/>
                <w:szCs w:val="20"/>
              </w:rPr>
            </w:pPr>
            <w:r w:rsidRPr="00E8065F">
              <w:rPr>
                <w:color w:val="000000"/>
                <w:sz w:val="20"/>
                <w:szCs w:val="20"/>
              </w:rPr>
              <w:t>Амбулаторное</w:t>
            </w:r>
          </w:p>
        </w:tc>
      </w:tr>
      <w:tr w:rsidR="00BA1432" w:rsidRPr="00E8065F" w:rsidTr="000546C2">
        <w:trPr>
          <w:trHeight w:val="20"/>
        </w:trPr>
        <w:tc>
          <w:tcPr>
            <w:tcW w:w="1555" w:type="dxa"/>
            <w:vMerge/>
          </w:tcPr>
          <w:p w:rsidR="000E54C2" w:rsidRPr="00E8065F" w:rsidRDefault="000E54C2" w:rsidP="00BA1432">
            <w:pPr>
              <w:rPr>
                <w:sz w:val="20"/>
                <w:szCs w:val="20"/>
              </w:rPr>
            </w:pPr>
          </w:p>
        </w:tc>
        <w:tc>
          <w:tcPr>
            <w:tcW w:w="3685" w:type="dxa"/>
            <w:tcBorders>
              <w:top w:val="nil"/>
              <w:left w:val="single" w:sz="4" w:space="0" w:color="auto"/>
              <w:bottom w:val="single" w:sz="4" w:space="0" w:color="auto"/>
              <w:right w:val="single" w:sz="4" w:space="0" w:color="auto"/>
            </w:tcBorders>
            <w:shd w:val="clear" w:color="auto" w:fill="auto"/>
          </w:tcPr>
          <w:p w:rsidR="000E54C2" w:rsidRPr="00E8065F" w:rsidRDefault="000E54C2" w:rsidP="00CD3A6F">
            <w:pPr>
              <w:spacing w:line="242" w:lineRule="auto"/>
              <w:jc w:val="both"/>
              <w:rPr>
                <w:color w:val="000000"/>
                <w:sz w:val="20"/>
                <w:szCs w:val="20"/>
              </w:rPr>
            </w:pPr>
            <w:r w:rsidRPr="00E8065F">
              <w:rPr>
                <w:color w:val="000000"/>
                <w:sz w:val="20"/>
                <w:szCs w:val="20"/>
              </w:rPr>
              <w:t xml:space="preserve">ГАУЗ </w:t>
            </w:r>
            <w:r w:rsidR="002F7358">
              <w:rPr>
                <w:color w:val="000000"/>
                <w:sz w:val="20"/>
                <w:szCs w:val="20"/>
              </w:rPr>
              <w:t>«</w:t>
            </w:r>
            <w:r w:rsidRPr="00E8065F">
              <w:rPr>
                <w:color w:val="000000"/>
                <w:sz w:val="20"/>
                <w:szCs w:val="20"/>
              </w:rPr>
              <w:t>Заинская ЦРБ</w:t>
            </w:r>
            <w:r w:rsidR="002F7358">
              <w:rPr>
                <w:color w:val="000000"/>
                <w:sz w:val="20"/>
                <w:szCs w:val="20"/>
              </w:rPr>
              <w:t>»</w:t>
            </w:r>
          </w:p>
        </w:tc>
        <w:tc>
          <w:tcPr>
            <w:tcW w:w="1994" w:type="dxa"/>
            <w:tcBorders>
              <w:top w:val="nil"/>
              <w:left w:val="single" w:sz="4" w:space="0" w:color="auto"/>
              <w:bottom w:val="single" w:sz="4" w:space="0" w:color="auto"/>
              <w:right w:val="single" w:sz="4" w:space="0" w:color="auto"/>
            </w:tcBorders>
            <w:shd w:val="clear" w:color="auto" w:fill="auto"/>
          </w:tcPr>
          <w:p w:rsidR="000E54C2" w:rsidRPr="00E8065F" w:rsidRDefault="000E54C2" w:rsidP="00CD3A6F">
            <w:pPr>
              <w:spacing w:line="242" w:lineRule="auto"/>
              <w:jc w:val="center"/>
              <w:rPr>
                <w:color w:val="000000"/>
                <w:sz w:val="20"/>
                <w:szCs w:val="20"/>
              </w:rPr>
            </w:pPr>
            <w:r w:rsidRPr="00E8065F">
              <w:rPr>
                <w:color w:val="000000"/>
                <w:sz w:val="20"/>
                <w:szCs w:val="20"/>
              </w:rPr>
              <w:t>Маммограф</w:t>
            </w:r>
          </w:p>
        </w:tc>
        <w:tc>
          <w:tcPr>
            <w:tcW w:w="1181" w:type="dxa"/>
            <w:tcBorders>
              <w:bottom w:val="single" w:sz="4" w:space="0" w:color="auto"/>
            </w:tcBorders>
            <w:shd w:val="clear" w:color="auto" w:fill="auto"/>
          </w:tcPr>
          <w:p w:rsidR="000E54C2" w:rsidRPr="00E8065F" w:rsidRDefault="000E54C2" w:rsidP="00CD3A6F">
            <w:pPr>
              <w:spacing w:line="242" w:lineRule="auto"/>
              <w:jc w:val="center"/>
              <w:rPr>
                <w:sz w:val="20"/>
                <w:szCs w:val="20"/>
              </w:rPr>
            </w:pPr>
            <w:r w:rsidRPr="00E8065F">
              <w:rPr>
                <w:sz w:val="20"/>
                <w:szCs w:val="20"/>
              </w:rPr>
              <w:t>2021</w:t>
            </w:r>
          </w:p>
        </w:tc>
        <w:tc>
          <w:tcPr>
            <w:tcW w:w="1181" w:type="dxa"/>
            <w:tcBorders>
              <w:top w:val="nil"/>
              <w:left w:val="single" w:sz="4" w:space="0" w:color="auto"/>
              <w:bottom w:val="single" w:sz="4" w:space="0" w:color="auto"/>
              <w:right w:val="single" w:sz="4" w:space="0" w:color="auto"/>
            </w:tcBorders>
            <w:shd w:val="clear" w:color="auto" w:fill="auto"/>
          </w:tcPr>
          <w:p w:rsidR="000E54C2" w:rsidRPr="00E8065F" w:rsidRDefault="000E54C2" w:rsidP="00CD3A6F">
            <w:pPr>
              <w:spacing w:line="242" w:lineRule="auto"/>
              <w:jc w:val="center"/>
              <w:rPr>
                <w:color w:val="000000"/>
                <w:sz w:val="20"/>
                <w:szCs w:val="20"/>
              </w:rPr>
            </w:pPr>
            <w:r w:rsidRPr="00E8065F">
              <w:rPr>
                <w:color w:val="000000"/>
                <w:sz w:val="20"/>
                <w:szCs w:val="20"/>
              </w:rPr>
              <w:t>1</w:t>
            </w:r>
          </w:p>
        </w:tc>
        <w:tc>
          <w:tcPr>
            <w:tcW w:w="1478" w:type="dxa"/>
            <w:tcBorders>
              <w:top w:val="nil"/>
              <w:left w:val="single" w:sz="4" w:space="0" w:color="auto"/>
              <w:bottom w:val="single" w:sz="4" w:space="0" w:color="auto"/>
              <w:right w:val="single" w:sz="4" w:space="0" w:color="auto"/>
            </w:tcBorders>
            <w:shd w:val="clear" w:color="auto" w:fill="auto"/>
          </w:tcPr>
          <w:p w:rsidR="000E54C2" w:rsidRPr="00E8065F" w:rsidRDefault="000E54C2" w:rsidP="00CD3A6F">
            <w:pPr>
              <w:spacing w:line="242" w:lineRule="auto"/>
              <w:jc w:val="center"/>
              <w:rPr>
                <w:color w:val="000000"/>
                <w:sz w:val="20"/>
                <w:szCs w:val="20"/>
              </w:rPr>
            </w:pPr>
            <w:r w:rsidRPr="00E8065F">
              <w:rPr>
                <w:color w:val="000000"/>
                <w:sz w:val="20"/>
                <w:szCs w:val="20"/>
              </w:rPr>
              <w:t>39</w:t>
            </w:r>
          </w:p>
        </w:tc>
        <w:tc>
          <w:tcPr>
            <w:tcW w:w="1111" w:type="dxa"/>
            <w:tcBorders>
              <w:top w:val="nil"/>
              <w:left w:val="single" w:sz="4" w:space="0" w:color="auto"/>
              <w:bottom w:val="single" w:sz="4" w:space="0" w:color="auto"/>
              <w:right w:val="single" w:sz="4" w:space="0" w:color="auto"/>
            </w:tcBorders>
            <w:shd w:val="clear" w:color="auto" w:fill="auto"/>
          </w:tcPr>
          <w:p w:rsidR="000E54C2" w:rsidRPr="00E8065F" w:rsidRDefault="000E54C2" w:rsidP="00CD3A6F">
            <w:pPr>
              <w:spacing w:line="242" w:lineRule="auto"/>
              <w:jc w:val="center"/>
              <w:rPr>
                <w:color w:val="000000"/>
                <w:sz w:val="20"/>
                <w:szCs w:val="20"/>
              </w:rPr>
            </w:pPr>
            <w:r w:rsidRPr="00E8065F">
              <w:rPr>
                <w:color w:val="000000"/>
                <w:sz w:val="20"/>
                <w:szCs w:val="20"/>
              </w:rPr>
              <w:t>2</w:t>
            </w:r>
          </w:p>
        </w:tc>
        <w:tc>
          <w:tcPr>
            <w:tcW w:w="1944" w:type="dxa"/>
            <w:tcBorders>
              <w:top w:val="nil"/>
              <w:left w:val="single" w:sz="4" w:space="0" w:color="auto"/>
              <w:bottom w:val="single" w:sz="4" w:space="0" w:color="auto"/>
              <w:right w:val="single" w:sz="4" w:space="0" w:color="auto"/>
            </w:tcBorders>
            <w:shd w:val="clear" w:color="auto" w:fill="auto"/>
          </w:tcPr>
          <w:p w:rsidR="000E54C2" w:rsidRPr="00E8065F" w:rsidRDefault="000E54C2" w:rsidP="00CD3A6F">
            <w:pPr>
              <w:spacing w:line="242" w:lineRule="auto"/>
              <w:jc w:val="center"/>
              <w:rPr>
                <w:color w:val="000000"/>
                <w:sz w:val="20"/>
                <w:szCs w:val="20"/>
              </w:rPr>
            </w:pPr>
            <w:r w:rsidRPr="00E8065F">
              <w:rPr>
                <w:color w:val="000000"/>
                <w:sz w:val="20"/>
                <w:szCs w:val="20"/>
              </w:rPr>
              <w:t>Амбулаторное</w:t>
            </w:r>
          </w:p>
        </w:tc>
      </w:tr>
      <w:tr w:rsidR="00BA1432" w:rsidRPr="00E8065F" w:rsidTr="000546C2">
        <w:trPr>
          <w:trHeight w:val="20"/>
        </w:trPr>
        <w:tc>
          <w:tcPr>
            <w:tcW w:w="1555" w:type="dxa"/>
            <w:vMerge/>
          </w:tcPr>
          <w:p w:rsidR="000E54C2" w:rsidRPr="00E8065F" w:rsidRDefault="000E54C2" w:rsidP="00BA1432">
            <w:pPr>
              <w:rPr>
                <w:sz w:val="20"/>
                <w:szCs w:val="20"/>
              </w:rPr>
            </w:pPr>
          </w:p>
        </w:tc>
        <w:tc>
          <w:tcPr>
            <w:tcW w:w="3685" w:type="dxa"/>
            <w:tcBorders>
              <w:top w:val="single" w:sz="4" w:space="0" w:color="auto"/>
              <w:bottom w:val="single" w:sz="4" w:space="0" w:color="auto"/>
              <w:right w:val="single" w:sz="4" w:space="0" w:color="auto"/>
            </w:tcBorders>
            <w:shd w:val="clear" w:color="auto" w:fill="auto"/>
          </w:tcPr>
          <w:p w:rsidR="000E54C2" w:rsidRPr="00E8065F" w:rsidRDefault="000E54C2" w:rsidP="00CD3A6F">
            <w:pPr>
              <w:spacing w:line="242" w:lineRule="auto"/>
              <w:jc w:val="both"/>
              <w:rPr>
                <w:color w:val="000000"/>
                <w:sz w:val="20"/>
                <w:szCs w:val="20"/>
              </w:rPr>
            </w:pPr>
            <w:r w:rsidRPr="00E8065F">
              <w:rPr>
                <w:color w:val="000000"/>
                <w:sz w:val="20"/>
                <w:szCs w:val="20"/>
              </w:rPr>
              <w:t xml:space="preserve">ГАУЗ </w:t>
            </w:r>
            <w:r w:rsidR="002F7358">
              <w:rPr>
                <w:color w:val="000000"/>
                <w:sz w:val="20"/>
                <w:szCs w:val="20"/>
              </w:rPr>
              <w:t>«</w:t>
            </w:r>
            <w:r w:rsidRPr="00E8065F">
              <w:rPr>
                <w:color w:val="000000"/>
                <w:sz w:val="20"/>
                <w:szCs w:val="20"/>
              </w:rPr>
              <w:t>Зеленодольская ЦРБ</w:t>
            </w:r>
            <w:r w:rsidR="002F7358">
              <w:rPr>
                <w:color w:val="000000"/>
                <w:sz w:val="20"/>
                <w:szCs w:val="20"/>
              </w:rPr>
              <w:t>»</w:t>
            </w:r>
          </w:p>
        </w:tc>
        <w:tc>
          <w:tcPr>
            <w:tcW w:w="1994" w:type="dxa"/>
            <w:tcBorders>
              <w:top w:val="single" w:sz="4" w:space="0" w:color="auto"/>
              <w:left w:val="single" w:sz="4" w:space="0" w:color="auto"/>
              <w:bottom w:val="single" w:sz="4" w:space="0" w:color="auto"/>
              <w:right w:val="single" w:sz="4" w:space="0" w:color="auto"/>
            </w:tcBorders>
            <w:shd w:val="clear" w:color="auto" w:fill="auto"/>
          </w:tcPr>
          <w:p w:rsidR="000E54C2" w:rsidRPr="00E8065F" w:rsidRDefault="000E54C2" w:rsidP="00CD3A6F">
            <w:pPr>
              <w:spacing w:line="242" w:lineRule="auto"/>
              <w:jc w:val="center"/>
              <w:rPr>
                <w:color w:val="000000"/>
                <w:sz w:val="20"/>
                <w:szCs w:val="20"/>
              </w:rPr>
            </w:pPr>
            <w:r w:rsidRPr="00E8065F">
              <w:rPr>
                <w:color w:val="000000"/>
                <w:sz w:val="20"/>
                <w:szCs w:val="20"/>
              </w:rPr>
              <w:t>Маммограф</w:t>
            </w:r>
          </w:p>
        </w:tc>
        <w:tc>
          <w:tcPr>
            <w:tcW w:w="1181" w:type="dxa"/>
            <w:tcBorders>
              <w:top w:val="single" w:sz="4" w:space="0" w:color="auto"/>
              <w:left w:val="single" w:sz="4" w:space="0" w:color="auto"/>
              <w:bottom w:val="single" w:sz="4" w:space="0" w:color="auto"/>
              <w:right w:val="single" w:sz="4" w:space="0" w:color="auto"/>
            </w:tcBorders>
            <w:shd w:val="clear" w:color="auto" w:fill="auto"/>
          </w:tcPr>
          <w:p w:rsidR="000E54C2" w:rsidRPr="00E8065F" w:rsidRDefault="000E54C2" w:rsidP="00CD3A6F">
            <w:pPr>
              <w:spacing w:line="242" w:lineRule="auto"/>
              <w:jc w:val="center"/>
              <w:rPr>
                <w:sz w:val="20"/>
                <w:szCs w:val="20"/>
              </w:rPr>
            </w:pPr>
            <w:r w:rsidRPr="00E8065F">
              <w:rPr>
                <w:sz w:val="20"/>
                <w:szCs w:val="20"/>
              </w:rPr>
              <w:t>2019</w:t>
            </w:r>
            <w:r w:rsidR="00AA5FB3">
              <w:rPr>
                <w:sz w:val="20"/>
                <w:szCs w:val="20"/>
              </w:rPr>
              <w:t xml:space="preserve"> </w:t>
            </w:r>
            <w:r w:rsidR="00D81DCD">
              <w:rPr>
                <w:sz w:val="20"/>
                <w:szCs w:val="20"/>
              </w:rPr>
              <w:t>(1)</w:t>
            </w:r>
          </w:p>
          <w:p w:rsidR="000E54C2" w:rsidRPr="00E8065F" w:rsidRDefault="000E54C2" w:rsidP="00CD3A6F">
            <w:pPr>
              <w:spacing w:line="242" w:lineRule="auto"/>
              <w:jc w:val="center"/>
              <w:rPr>
                <w:sz w:val="20"/>
                <w:szCs w:val="20"/>
              </w:rPr>
            </w:pPr>
            <w:r w:rsidRPr="00E8065F">
              <w:rPr>
                <w:sz w:val="20"/>
                <w:szCs w:val="20"/>
              </w:rPr>
              <w:t>2022</w:t>
            </w:r>
            <w:r w:rsidR="00AA5FB3">
              <w:rPr>
                <w:sz w:val="20"/>
                <w:szCs w:val="20"/>
              </w:rPr>
              <w:t xml:space="preserve"> </w:t>
            </w:r>
            <w:r w:rsidR="00D81DCD">
              <w:rPr>
                <w:sz w:val="20"/>
                <w:szCs w:val="20"/>
              </w:rPr>
              <w:t>(1)</w:t>
            </w:r>
          </w:p>
        </w:tc>
        <w:tc>
          <w:tcPr>
            <w:tcW w:w="1181" w:type="dxa"/>
            <w:tcBorders>
              <w:top w:val="single" w:sz="4" w:space="0" w:color="auto"/>
              <w:left w:val="single" w:sz="4" w:space="0" w:color="auto"/>
              <w:bottom w:val="single" w:sz="4" w:space="0" w:color="auto"/>
              <w:right w:val="single" w:sz="4" w:space="0" w:color="auto"/>
            </w:tcBorders>
            <w:shd w:val="clear" w:color="auto" w:fill="auto"/>
          </w:tcPr>
          <w:p w:rsidR="000E54C2" w:rsidRPr="00E8065F" w:rsidRDefault="000E54C2" w:rsidP="00CD3A6F">
            <w:pPr>
              <w:spacing w:line="242" w:lineRule="auto"/>
              <w:jc w:val="center"/>
              <w:rPr>
                <w:color w:val="000000"/>
                <w:sz w:val="20"/>
                <w:szCs w:val="20"/>
              </w:rPr>
            </w:pPr>
            <w:r w:rsidRPr="00E8065F">
              <w:rPr>
                <w:color w:val="000000"/>
                <w:sz w:val="20"/>
                <w:szCs w:val="20"/>
              </w:rPr>
              <w:t>2</w:t>
            </w:r>
          </w:p>
        </w:tc>
        <w:tc>
          <w:tcPr>
            <w:tcW w:w="1478" w:type="dxa"/>
            <w:tcBorders>
              <w:top w:val="single" w:sz="4" w:space="0" w:color="auto"/>
              <w:left w:val="single" w:sz="4" w:space="0" w:color="auto"/>
              <w:bottom w:val="single" w:sz="4" w:space="0" w:color="auto"/>
              <w:right w:val="single" w:sz="4" w:space="0" w:color="auto"/>
            </w:tcBorders>
            <w:shd w:val="clear" w:color="auto" w:fill="auto"/>
          </w:tcPr>
          <w:p w:rsidR="000E54C2" w:rsidRPr="00E8065F" w:rsidRDefault="000E54C2" w:rsidP="00CD3A6F">
            <w:pPr>
              <w:spacing w:line="242" w:lineRule="auto"/>
              <w:jc w:val="center"/>
              <w:rPr>
                <w:color w:val="000000"/>
                <w:sz w:val="20"/>
                <w:szCs w:val="20"/>
              </w:rPr>
            </w:pPr>
            <w:r w:rsidRPr="00E8065F">
              <w:rPr>
                <w:color w:val="000000"/>
                <w:sz w:val="20"/>
                <w:szCs w:val="20"/>
              </w:rPr>
              <w:t>23</w:t>
            </w:r>
          </w:p>
        </w:tc>
        <w:tc>
          <w:tcPr>
            <w:tcW w:w="1111" w:type="dxa"/>
            <w:tcBorders>
              <w:top w:val="single" w:sz="4" w:space="0" w:color="auto"/>
              <w:left w:val="single" w:sz="4" w:space="0" w:color="auto"/>
              <w:bottom w:val="single" w:sz="4" w:space="0" w:color="auto"/>
              <w:right w:val="single" w:sz="4" w:space="0" w:color="auto"/>
            </w:tcBorders>
            <w:shd w:val="clear" w:color="auto" w:fill="auto"/>
          </w:tcPr>
          <w:p w:rsidR="000E54C2" w:rsidRPr="00E8065F" w:rsidRDefault="000E54C2" w:rsidP="00CD3A6F">
            <w:pPr>
              <w:spacing w:line="242" w:lineRule="auto"/>
              <w:jc w:val="center"/>
              <w:rPr>
                <w:color w:val="000000"/>
                <w:sz w:val="20"/>
                <w:szCs w:val="20"/>
              </w:rPr>
            </w:pPr>
            <w:r w:rsidRPr="00E8065F">
              <w:rPr>
                <w:color w:val="000000"/>
                <w:sz w:val="20"/>
                <w:szCs w:val="20"/>
              </w:rPr>
              <w:t>2</w:t>
            </w:r>
          </w:p>
        </w:tc>
        <w:tc>
          <w:tcPr>
            <w:tcW w:w="1944" w:type="dxa"/>
            <w:tcBorders>
              <w:top w:val="single" w:sz="4" w:space="0" w:color="auto"/>
              <w:left w:val="single" w:sz="4" w:space="0" w:color="auto"/>
              <w:bottom w:val="single" w:sz="4" w:space="0" w:color="auto"/>
              <w:right w:val="single" w:sz="4" w:space="0" w:color="auto"/>
            </w:tcBorders>
            <w:shd w:val="clear" w:color="auto" w:fill="auto"/>
          </w:tcPr>
          <w:p w:rsidR="000E54C2" w:rsidRPr="00E8065F" w:rsidRDefault="000E54C2" w:rsidP="00CD3A6F">
            <w:pPr>
              <w:spacing w:line="242" w:lineRule="auto"/>
              <w:jc w:val="center"/>
              <w:rPr>
                <w:color w:val="000000"/>
                <w:sz w:val="20"/>
                <w:szCs w:val="20"/>
              </w:rPr>
            </w:pPr>
            <w:r w:rsidRPr="00E8065F">
              <w:rPr>
                <w:color w:val="000000"/>
                <w:sz w:val="20"/>
                <w:szCs w:val="20"/>
              </w:rPr>
              <w:t>Амбулаторное</w:t>
            </w:r>
          </w:p>
        </w:tc>
      </w:tr>
      <w:tr w:rsidR="00BA1432" w:rsidRPr="00E8065F" w:rsidTr="000546C2">
        <w:trPr>
          <w:trHeight w:val="20"/>
        </w:trPr>
        <w:tc>
          <w:tcPr>
            <w:tcW w:w="1555" w:type="dxa"/>
            <w:vMerge/>
          </w:tcPr>
          <w:p w:rsidR="000E54C2" w:rsidRPr="00E8065F" w:rsidRDefault="000E54C2" w:rsidP="00BA1432">
            <w:pPr>
              <w:rPr>
                <w:sz w:val="20"/>
                <w:szCs w:val="20"/>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0E54C2" w:rsidRPr="00E8065F" w:rsidRDefault="000E54C2" w:rsidP="00CD3A6F">
            <w:pPr>
              <w:spacing w:line="242" w:lineRule="auto"/>
              <w:jc w:val="both"/>
              <w:rPr>
                <w:color w:val="000000"/>
                <w:sz w:val="20"/>
                <w:szCs w:val="20"/>
              </w:rPr>
            </w:pPr>
            <w:r w:rsidRPr="00E8065F">
              <w:rPr>
                <w:color w:val="000000"/>
                <w:sz w:val="20"/>
                <w:szCs w:val="20"/>
              </w:rPr>
              <w:t xml:space="preserve">ГАУЗ </w:t>
            </w:r>
            <w:r w:rsidR="002F7358">
              <w:rPr>
                <w:color w:val="000000"/>
                <w:sz w:val="20"/>
                <w:szCs w:val="20"/>
              </w:rPr>
              <w:t>«</w:t>
            </w:r>
            <w:r w:rsidRPr="00E8065F">
              <w:rPr>
                <w:color w:val="000000"/>
                <w:sz w:val="20"/>
                <w:szCs w:val="20"/>
              </w:rPr>
              <w:t>Камско-Устьинская ЦРБ</w:t>
            </w:r>
            <w:r w:rsidR="002F7358">
              <w:rPr>
                <w:color w:val="000000"/>
                <w:sz w:val="20"/>
                <w:szCs w:val="20"/>
              </w:rPr>
              <w:t>»</w:t>
            </w:r>
          </w:p>
        </w:tc>
        <w:tc>
          <w:tcPr>
            <w:tcW w:w="1994" w:type="dxa"/>
            <w:tcBorders>
              <w:top w:val="single" w:sz="4" w:space="0" w:color="auto"/>
              <w:left w:val="single" w:sz="4" w:space="0" w:color="auto"/>
              <w:bottom w:val="single" w:sz="4" w:space="0" w:color="auto"/>
              <w:right w:val="single" w:sz="4" w:space="0" w:color="auto"/>
            </w:tcBorders>
            <w:shd w:val="clear" w:color="auto" w:fill="auto"/>
          </w:tcPr>
          <w:p w:rsidR="000E54C2" w:rsidRPr="00E8065F" w:rsidRDefault="000E54C2" w:rsidP="00CD3A6F">
            <w:pPr>
              <w:spacing w:line="242" w:lineRule="auto"/>
              <w:jc w:val="center"/>
              <w:rPr>
                <w:color w:val="000000"/>
                <w:sz w:val="20"/>
                <w:szCs w:val="20"/>
              </w:rPr>
            </w:pPr>
            <w:r w:rsidRPr="00E8065F">
              <w:rPr>
                <w:color w:val="000000"/>
                <w:sz w:val="20"/>
                <w:szCs w:val="20"/>
              </w:rPr>
              <w:t>Маммограф</w:t>
            </w:r>
          </w:p>
        </w:tc>
        <w:tc>
          <w:tcPr>
            <w:tcW w:w="1181" w:type="dxa"/>
            <w:tcBorders>
              <w:top w:val="single" w:sz="4" w:space="0" w:color="auto"/>
            </w:tcBorders>
            <w:shd w:val="clear" w:color="auto" w:fill="auto"/>
          </w:tcPr>
          <w:p w:rsidR="000E54C2" w:rsidRPr="00E8065F" w:rsidRDefault="000E54C2" w:rsidP="00CD3A6F">
            <w:pPr>
              <w:spacing w:line="242" w:lineRule="auto"/>
              <w:jc w:val="center"/>
              <w:rPr>
                <w:sz w:val="20"/>
                <w:szCs w:val="20"/>
              </w:rPr>
            </w:pPr>
            <w:r w:rsidRPr="00E8065F">
              <w:rPr>
                <w:sz w:val="20"/>
                <w:szCs w:val="20"/>
              </w:rPr>
              <w:t>2022</w:t>
            </w:r>
          </w:p>
        </w:tc>
        <w:tc>
          <w:tcPr>
            <w:tcW w:w="1181" w:type="dxa"/>
            <w:tcBorders>
              <w:top w:val="single" w:sz="4" w:space="0" w:color="auto"/>
              <w:left w:val="single" w:sz="4" w:space="0" w:color="auto"/>
              <w:bottom w:val="single" w:sz="4" w:space="0" w:color="auto"/>
              <w:right w:val="single" w:sz="4" w:space="0" w:color="auto"/>
            </w:tcBorders>
            <w:shd w:val="clear" w:color="auto" w:fill="auto"/>
          </w:tcPr>
          <w:p w:rsidR="000E54C2" w:rsidRPr="00E8065F" w:rsidRDefault="000E54C2" w:rsidP="00CD3A6F">
            <w:pPr>
              <w:spacing w:line="242" w:lineRule="auto"/>
              <w:jc w:val="center"/>
              <w:rPr>
                <w:color w:val="000000"/>
                <w:sz w:val="20"/>
                <w:szCs w:val="20"/>
              </w:rPr>
            </w:pPr>
            <w:r w:rsidRPr="00E8065F">
              <w:rPr>
                <w:color w:val="000000"/>
                <w:sz w:val="20"/>
                <w:szCs w:val="20"/>
              </w:rPr>
              <w:t>1</w:t>
            </w:r>
          </w:p>
        </w:tc>
        <w:tc>
          <w:tcPr>
            <w:tcW w:w="1478" w:type="dxa"/>
            <w:tcBorders>
              <w:top w:val="single" w:sz="4" w:space="0" w:color="auto"/>
              <w:left w:val="single" w:sz="4" w:space="0" w:color="auto"/>
              <w:bottom w:val="single" w:sz="4" w:space="0" w:color="auto"/>
              <w:right w:val="single" w:sz="4" w:space="0" w:color="auto"/>
            </w:tcBorders>
            <w:shd w:val="clear" w:color="auto" w:fill="auto"/>
          </w:tcPr>
          <w:p w:rsidR="000E54C2" w:rsidRPr="00E8065F" w:rsidRDefault="000E54C2" w:rsidP="00CD3A6F">
            <w:pPr>
              <w:spacing w:line="242" w:lineRule="auto"/>
              <w:jc w:val="center"/>
              <w:rPr>
                <w:color w:val="000000"/>
                <w:sz w:val="20"/>
                <w:szCs w:val="20"/>
              </w:rPr>
            </w:pPr>
            <w:r w:rsidRPr="00E8065F">
              <w:rPr>
                <w:color w:val="000000"/>
                <w:sz w:val="20"/>
                <w:szCs w:val="20"/>
              </w:rPr>
              <w:t>2</w:t>
            </w:r>
          </w:p>
        </w:tc>
        <w:tc>
          <w:tcPr>
            <w:tcW w:w="1111" w:type="dxa"/>
            <w:tcBorders>
              <w:top w:val="single" w:sz="4" w:space="0" w:color="auto"/>
              <w:left w:val="single" w:sz="4" w:space="0" w:color="auto"/>
              <w:bottom w:val="single" w:sz="4" w:space="0" w:color="auto"/>
              <w:right w:val="single" w:sz="4" w:space="0" w:color="auto"/>
            </w:tcBorders>
            <w:shd w:val="clear" w:color="auto" w:fill="auto"/>
          </w:tcPr>
          <w:p w:rsidR="000E54C2" w:rsidRPr="00E8065F" w:rsidRDefault="000E54C2" w:rsidP="00CD3A6F">
            <w:pPr>
              <w:spacing w:line="242" w:lineRule="auto"/>
              <w:jc w:val="center"/>
              <w:rPr>
                <w:color w:val="000000"/>
                <w:sz w:val="20"/>
                <w:szCs w:val="20"/>
              </w:rPr>
            </w:pPr>
            <w:r w:rsidRPr="00E8065F">
              <w:rPr>
                <w:color w:val="000000"/>
                <w:sz w:val="20"/>
                <w:szCs w:val="20"/>
              </w:rPr>
              <w:t>2</w:t>
            </w:r>
          </w:p>
        </w:tc>
        <w:tc>
          <w:tcPr>
            <w:tcW w:w="1944" w:type="dxa"/>
            <w:tcBorders>
              <w:top w:val="single" w:sz="4" w:space="0" w:color="auto"/>
              <w:left w:val="single" w:sz="4" w:space="0" w:color="auto"/>
              <w:bottom w:val="single" w:sz="4" w:space="0" w:color="auto"/>
              <w:right w:val="single" w:sz="4" w:space="0" w:color="auto"/>
            </w:tcBorders>
            <w:shd w:val="clear" w:color="auto" w:fill="auto"/>
          </w:tcPr>
          <w:p w:rsidR="000E54C2" w:rsidRPr="00E8065F" w:rsidRDefault="000E54C2" w:rsidP="00CD3A6F">
            <w:pPr>
              <w:spacing w:line="242" w:lineRule="auto"/>
              <w:jc w:val="center"/>
              <w:rPr>
                <w:color w:val="000000"/>
                <w:sz w:val="20"/>
                <w:szCs w:val="20"/>
              </w:rPr>
            </w:pPr>
            <w:r w:rsidRPr="00E8065F">
              <w:rPr>
                <w:color w:val="000000"/>
                <w:sz w:val="20"/>
                <w:szCs w:val="20"/>
              </w:rPr>
              <w:t>Амбулаторное</w:t>
            </w:r>
          </w:p>
        </w:tc>
      </w:tr>
      <w:tr w:rsidR="00BA1432" w:rsidRPr="00E8065F" w:rsidTr="000546C2">
        <w:trPr>
          <w:trHeight w:val="20"/>
        </w:trPr>
        <w:tc>
          <w:tcPr>
            <w:tcW w:w="1555" w:type="dxa"/>
            <w:vMerge/>
          </w:tcPr>
          <w:p w:rsidR="000E54C2" w:rsidRPr="00E8065F" w:rsidRDefault="000E54C2" w:rsidP="00BA1432">
            <w:pPr>
              <w:rPr>
                <w:sz w:val="20"/>
                <w:szCs w:val="20"/>
              </w:rPr>
            </w:pPr>
          </w:p>
        </w:tc>
        <w:tc>
          <w:tcPr>
            <w:tcW w:w="3685" w:type="dxa"/>
            <w:tcBorders>
              <w:top w:val="nil"/>
              <w:left w:val="single" w:sz="4" w:space="0" w:color="auto"/>
              <w:bottom w:val="single" w:sz="4" w:space="0" w:color="auto"/>
              <w:right w:val="single" w:sz="4" w:space="0" w:color="auto"/>
            </w:tcBorders>
            <w:shd w:val="clear" w:color="auto" w:fill="auto"/>
          </w:tcPr>
          <w:p w:rsidR="000E54C2" w:rsidRPr="00E8065F" w:rsidRDefault="000E54C2" w:rsidP="00CD3A6F">
            <w:pPr>
              <w:spacing w:line="242" w:lineRule="auto"/>
              <w:jc w:val="both"/>
              <w:rPr>
                <w:color w:val="000000"/>
                <w:sz w:val="20"/>
                <w:szCs w:val="20"/>
              </w:rPr>
            </w:pPr>
            <w:r w:rsidRPr="00E8065F">
              <w:rPr>
                <w:color w:val="000000"/>
                <w:sz w:val="20"/>
                <w:szCs w:val="20"/>
              </w:rPr>
              <w:t xml:space="preserve">ГАУЗ </w:t>
            </w:r>
            <w:r w:rsidR="002F7358">
              <w:rPr>
                <w:color w:val="000000"/>
                <w:sz w:val="20"/>
                <w:szCs w:val="20"/>
              </w:rPr>
              <w:t>«</w:t>
            </w:r>
            <w:r w:rsidRPr="00E8065F">
              <w:rPr>
                <w:color w:val="000000"/>
                <w:sz w:val="20"/>
                <w:szCs w:val="20"/>
              </w:rPr>
              <w:t>Кукморская ЦРБ</w:t>
            </w:r>
            <w:r w:rsidR="002F7358">
              <w:rPr>
                <w:color w:val="000000"/>
                <w:sz w:val="20"/>
                <w:szCs w:val="20"/>
              </w:rPr>
              <w:t>»</w:t>
            </w:r>
          </w:p>
        </w:tc>
        <w:tc>
          <w:tcPr>
            <w:tcW w:w="1994" w:type="dxa"/>
            <w:tcBorders>
              <w:top w:val="nil"/>
              <w:left w:val="single" w:sz="4" w:space="0" w:color="auto"/>
              <w:bottom w:val="single" w:sz="4" w:space="0" w:color="auto"/>
              <w:right w:val="single" w:sz="4" w:space="0" w:color="auto"/>
            </w:tcBorders>
            <w:shd w:val="clear" w:color="auto" w:fill="auto"/>
          </w:tcPr>
          <w:p w:rsidR="000E54C2" w:rsidRPr="00E8065F" w:rsidRDefault="000E54C2" w:rsidP="00CD3A6F">
            <w:pPr>
              <w:spacing w:line="242" w:lineRule="auto"/>
              <w:jc w:val="center"/>
              <w:rPr>
                <w:color w:val="000000"/>
                <w:sz w:val="20"/>
                <w:szCs w:val="20"/>
              </w:rPr>
            </w:pPr>
            <w:r w:rsidRPr="00E8065F">
              <w:rPr>
                <w:color w:val="000000"/>
                <w:sz w:val="20"/>
                <w:szCs w:val="20"/>
              </w:rPr>
              <w:t>Маммограф</w:t>
            </w:r>
          </w:p>
        </w:tc>
        <w:tc>
          <w:tcPr>
            <w:tcW w:w="1181" w:type="dxa"/>
            <w:shd w:val="clear" w:color="auto" w:fill="auto"/>
          </w:tcPr>
          <w:p w:rsidR="000E54C2" w:rsidRPr="00E8065F" w:rsidRDefault="000E54C2" w:rsidP="00CD3A6F">
            <w:pPr>
              <w:spacing w:line="242" w:lineRule="auto"/>
              <w:jc w:val="center"/>
              <w:rPr>
                <w:sz w:val="20"/>
                <w:szCs w:val="20"/>
              </w:rPr>
            </w:pPr>
            <w:r w:rsidRPr="00E8065F">
              <w:rPr>
                <w:sz w:val="20"/>
                <w:szCs w:val="20"/>
              </w:rPr>
              <w:t>2022</w:t>
            </w:r>
          </w:p>
        </w:tc>
        <w:tc>
          <w:tcPr>
            <w:tcW w:w="1181" w:type="dxa"/>
            <w:tcBorders>
              <w:top w:val="nil"/>
              <w:left w:val="single" w:sz="4" w:space="0" w:color="auto"/>
              <w:bottom w:val="single" w:sz="4" w:space="0" w:color="auto"/>
              <w:right w:val="single" w:sz="4" w:space="0" w:color="auto"/>
            </w:tcBorders>
            <w:shd w:val="clear" w:color="auto" w:fill="auto"/>
          </w:tcPr>
          <w:p w:rsidR="000E54C2" w:rsidRPr="00E8065F" w:rsidRDefault="000E54C2" w:rsidP="00CD3A6F">
            <w:pPr>
              <w:spacing w:line="242" w:lineRule="auto"/>
              <w:jc w:val="center"/>
              <w:rPr>
                <w:color w:val="000000"/>
                <w:sz w:val="20"/>
                <w:szCs w:val="20"/>
              </w:rPr>
            </w:pPr>
            <w:r w:rsidRPr="00E8065F">
              <w:rPr>
                <w:color w:val="000000"/>
                <w:sz w:val="20"/>
                <w:szCs w:val="20"/>
              </w:rPr>
              <w:t>1</w:t>
            </w:r>
          </w:p>
        </w:tc>
        <w:tc>
          <w:tcPr>
            <w:tcW w:w="1478" w:type="dxa"/>
            <w:tcBorders>
              <w:top w:val="nil"/>
              <w:left w:val="single" w:sz="4" w:space="0" w:color="auto"/>
              <w:bottom w:val="single" w:sz="4" w:space="0" w:color="auto"/>
              <w:right w:val="single" w:sz="4" w:space="0" w:color="auto"/>
            </w:tcBorders>
            <w:shd w:val="clear" w:color="auto" w:fill="auto"/>
          </w:tcPr>
          <w:p w:rsidR="000E54C2" w:rsidRPr="00E8065F" w:rsidRDefault="000E54C2" w:rsidP="00CD3A6F">
            <w:pPr>
              <w:spacing w:line="242" w:lineRule="auto"/>
              <w:jc w:val="center"/>
              <w:rPr>
                <w:color w:val="000000"/>
                <w:sz w:val="20"/>
                <w:szCs w:val="20"/>
              </w:rPr>
            </w:pPr>
            <w:r w:rsidRPr="00E8065F">
              <w:rPr>
                <w:color w:val="000000"/>
                <w:sz w:val="20"/>
                <w:szCs w:val="20"/>
              </w:rPr>
              <w:t>9</w:t>
            </w:r>
          </w:p>
        </w:tc>
        <w:tc>
          <w:tcPr>
            <w:tcW w:w="1111" w:type="dxa"/>
            <w:tcBorders>
              <w:top w:val="nil"/>
              <w:left w:val="single" w:sz="4" w:space="0" w:color="auto"/>
              <w:bottom w:val="single" w:sz="4" w:space="0" w:color="auto"/>
              <w:right w:val="single" w:sz="4" w:space="0" w:color="auto"/>
            </w:tcBorders>
            <w:shd w:val="clear" w:color="auto" w:fill="auto"/>
          </w:tcPr>
          <w:p w:rsidR="000E54C2" w:rsidRPr="00E8065F" w:rsidRDefault="000E54C2" w:rsidP="00CD3A6F">
            <w:pPr>
              <w:spacing w:line="242" w:lineRule="auto"/>
              <w:jc w:val="center"/>
              <w:rPr>
                <w:color w:val="000000"/>
                <w:sz w:val="20"/>
                <w:szCs w:val="20"/>
              </w:rPr>
            </w:pPr>
            <w:r w:rsidRPr="00E8065F">
              <w:rPr>
                <w:color w:val="000000"/>
                <w:sz w:val="20"/>
                <w:szCs w:val="20"/>
              </w:rPr>
              <w:t>2</w:t>
            </w:r>
          </w:p>
        </w:tc>
        <w:tc>
          <w:tcPr>
            <w:tcW w:w="1944" w:type="dxa"/>
            <w:tcBorders>
              <w:top w:val="nil"/>
              <w:left w:val="single" w:sz="4" w:space="0" w:color="auto"/>
              <w:bottom w:val="single" w:sz="4" w:space="0" w:color="auto"/>
              <w:right w:val="single" w:sz="4" w:space="0" w:color="auto"/>
            </w:tcBorders>
            <w:shd w:val="clear" w:color="auto" w:fill="auto"/>
          </w:tcPr>
          <w:p w:rsidR="000E54C2" w:rsidRPr="00E8065F" w:rsidRDefault="000E54C2" w:rsidP="00CD3A6F">
            <w:pPr>
              <w:spacing w:line="242" w:lineRule="auto"/>
              <w:jc w:val="center"/>
              <w:rPr>
                <w:color w:val="000000"/>
                <w:sz w:val="20"/>
                <w:szCs w:val="20"/>
              </w:rPr>
            </w:pPr>
            <w:r w:rsidRPr="00E8065F">
              <w:rPr>
                <w:color w:val="000000"/>
                <w:sz w:val="20"/>
                <w:szCs w:val="20"/>
              </w:rPr>
              <w:t>Амбулаторное</w:t>
            </w:r>
          </w:p>
        </w:tc>
      </w:tr>
      <w:tr w:rsidR="00BA1432" w:rsidRPr="00E8065F" w:rsidTr="000546C2">
        <w:trPr>
          <w:trHeight w:val="20"/>
        </w:trPr>
        <w:tc>
          <w:tcPr>
            <w:tcW w:w="1555" w:type="dxa"/>
            <w:vMerge/>
          </w:tcPr>
          <w:p w:rsidR="000E54C2" w:rsidRPr="00E8065F" w:rsidRDefault="000E54C2" w:rsidP="00BA1432">
            <w:pPr>
              <w:rPr>
                <w:sz w:val="20"/>
                <w:szCs w:val="20"/>
              </w:rPr>
            </w:pPr>
          </w:p>
        </w:tc>
        <w:tc>
          <w:tcPr>
            <w:tcW w:w="3685" w:type="dxa"/>
            <w:tcBorders>
              <w:top w:val="nil"/>
              <w:left w:val="single" w:sz="4" w:space="0" w:color="auto"/>
              <w:bottom w:val="single" w:sz="4" w:space="0" w:color="auto"/>
              <w:right w:val="single" w:sz="4" w:space="0" w:color="auto"/>
            </w:tcBorders>
            <w:shd w:val="clear" w:color="auto" w:fill="auto"/>
          </w:tcPr>
          <w:p w:rsidR="000E54C2" w:rsidRPr="00E8065F" w:rsidRDefault="000E54C2" w:rsidP="00CD3A6F">
            <w:pPr>
              <w:spacing w:line="242" w:lineRule="auto"/>
              <w:jc w:val="both"/>
              <w:rPr>
                <w:color w:val="000000"/>
                <w:sz w:val="20"/>
                <w:szCs w:val="20"/>
              </w:rPr>
            </w:pPr>
            <w:r w:rsidRPr="00E8065F">
              <w:rPr>
                <w:color w:val="000000"/>
                <w:sz w:val="20"/>
                <w:szCs w:val="20"/>
              </w:rPr>
              <w:t xml:space="preserve">ГАУЗ </w:t>
            </w:r>
            <w:r w:rsidR="002F7358">
              <w:rPr>
                <w:color w:val="000000"/>
                <w:sz w:val="20"/>
                <w:szCs w:val="20"/>
              </w:rPr>
              <w:t>«</w:t>
            </w:r>
            <w:r w:rsidRPr="00E8065F">
              <w:rPr>
                <w:color w:val="000000"/>
                <w:sz w:val="20"/>
                <w:szCs w:val="20"/>
              </w:rPr>
              <w:t>Лениногорская ЦРБ</w:t>
            </w:r>
            <w:r w:rsidR="002F7358">
              <w:rPr>
                <w:color w:val="000000"/>
                <w:sz w:val="20"/>
                <w:szCs w:val="20"/>
              </w:rPr>
              <w:t>»</w:t>
            </w:r>
          </w:p>
        </w:tc>
        <w:tc>
          <w:tcPr>
            <w:tcW w:w="1994" w:type="dxa"/>
            <w:tcBorders>
              <w:top w:val="nil"/>
              <w:left w:val="single" w:sz="4" w:space="0" w:color="auto"/>
              <w:bottom w:val="single" w:sz="4" w:space="0" w:color="auto"/>
              <w:right w:val="single" w:sz="4" w:space="0" w:color="auto"/>
            </w:tcBorders>
            <w:shd w:val="clear" w:color="auto" w:fill="auto"/>
          </w:tcPr>
          <w:p w:rsidR="000E54C2" w:rsidRPr="00E8065F" w:rsidRDefault="000E54C2" w:rsidP="00CD3A6F">
            <w:pPr>
              <w:spacing w:line="242" w:lineRule="auto"/>
              <w:jc w:val="center"/>
              <w:rPr>
                <w:color w:val="000000"/>
                <w:sz w:val="20"/>
                <w:szCs w:val="20"/>
              </w:rPr>
            </w:pPr>
            <w:r w:rsidRPr="00E8065F">
              <w:rPr>
                <w:color w:val="000000"/>
                <w:sz w:val="20"/>
                <w:szCs w:val="20"/>
              </w:rPr>
              <w:t>Маммограф</w:t>
            </w:r>
          </w:p>
        </w:tc>
        <w:tc>
          <w:tcPr>
            <w:tcW w:w="1181" w:type="dxa"/>
            <w:shd w:val="clear" w:color="auto" w:fill="auto"/>
          </w:tcPr>
          <w:p w:rsidR="000E54C2" w:rsidRPr="00E8065F" w:rsidRDefault="000E54C2" w:rsidP="00CD3A6F">
            <w:pPr>
              <w:spacing w:line="242" w:lineRule="auto"/>
              <w:jc w:val="center"/>
              <w:rPr>
                <w:sz w:val="20"/>
                <w:szCs w:val="20"/>
              </w:rPr>
            </w:pPr>
            <w:r w:rsidRPr="00E8065F">
              <w:rPr>
                <w:sz w:val="20"/>
                <w:szCs w:val="20"/>
              </w:rPr>
              <w:t>2013</w:t>
            </w:r>
          </w:p>
        </w:tc>
        <w:tc>
          <w:tcPr>
            <w:tcW w:w="1181" w:type="dxa"/>
            <w:tcBorders>
              <w:top w:val="nil"/>
              <w:left w:val="single" w:sz="4" w:space="0" w:color="auto"/>
              <w:bottom w:val="single" w:sz="4" w:space="0" w:color="auto"/>
              <w:right w:val="single" w:sz="4" w:space="0" w:color="auto"/>
            </w:tcBorders>
            <w:shd w:val="clear" w:color="auto" w:fill="auto"/>
          </w:tcPr>
          <w:p w:rsidR="000E54C2" w:rsidRPr="00E8065F" w:rsidRDefault="000E54C2" w:rsidP="00CD3A6F">
            <w:pPr>
              <w:spacing w:line="242" w:lineRule="auto"/>
              <w:jc w:val="center"/>
              <w:rPr>
                <w:color w:val="000000"/>
                <w:sz w:val="20"/>
                <w:szCs w:val="20"/>
              </w:rPr>
            </w:pPr>
            <w:r w:rsidRPr="00E8065F">
              <w:rPr>
                <w:color w:val="000000"/>
                <w:sz w:val="20"/>
                <w:szCs w:val="20"/>
              </w:rPr>
              <w:t>1</w:t>
            </w:r>
          </w:p>
        </w:tc>
        <w:tc>
          <w:tcPr>
            <w:tcW w:w="1478" w:type="dxa"/>
            <w:tcBorders>
              <w:top w:val="nil"/>
              <w:left w:val="single" w:sz="4" w:space="0" w:color="auto"/>
              <w:bottom w:val="single" w:sz="4" w:space="0" w:color="auto"/>
              <w:right w:val="single" w:sz="4" w:space="0" w:color="auto"/>
            </w:tcBorders>
            <w:shd w:val="clear" w:color="auto" w:fill="auto"/>
          </w:tcPr>
          <w:p w:rsidR="000E54C2" w:rsidRPr="00E8065F" w:rsidRDefault="000E54C2" w:rsidP="00CD3A6F">
            <w:pPr>
              <w:spacing w:line="242" w:lineRule="auto"/>
              <w:jc w:val="center"/>
              <w:rPr>
                <w:color w:val="000000"/>
                <w:sz w:val="20"/>
                <w:szCs w:val="20"/>
              </w:rPr>
            </w:pPr>
            <w:r w:rsidRPr="00E8065F">
              <w:rPr>
                <w:color w:val="000000"/>
                <w:sz w:val="20"/>
                <w:szCs w:val="20"/>
              </w:rPr>
              <w:t>14</w:t>
            </w:r>
          </w:p>
        </w:tc>
        <w:tc>
          <w:tcPr>
            <w:tcW w:w="1111" w:type="dxa"/>
            <w:tcBorders>
              <w:top w:val="nil"/>
              <w:left w:val="single" w:sz="4" w:space="0" w:color="auto"/>
              <w:bottom w:val="single" w:sz="4" w:space="0" w:color="auto"/>
              <w:right w:val="single" w:sz="4" w:space="0" w:color="auto"/>
            </w:tcBorders>
            <w:shd w:val="clear" w:color="auto" w:fill="auto"/>
          </w:tcPr>
          <w:p w:rsidR="000E54C2" w:rsidRPr="00E8065F" w:rsidRDefault="000E54C2" w:rsidP="00CD3A6F">
            <w:pPr>
              <w:spacing w:line="242" w:lineRule="auto"/>
              <w:jc w:val="center"/>
              <w:rPr>
                <w:color w:val="000000"/>
                <w:sz w:val="20"/>
                <w:szCs w:val="20"/>
              </w:rPr>
            </w:pPr>
            <w:r w:rsidRPr="00E8065F">
              <w:rPr>
                <w:color w:val="000000"/>
                <w:sz w:val="20"/>
                <w:szCs w:val="20"/>
              </w:rPr>
              <w:t>2</w:t>
            </w:r>
          </w:p>
        </w:tc>
        <w:tc>
          <w:tcPr>
            <w:tcW w:w="1944" w:type="dxa"/>
            <w:tcBorders>
              <w:top w:val="nil"/>
              <w:left w:val="single" w:sz="4" w:space="0" w:color="auto"/>
              <w:bottom w:val="single" w:sz="4" w:space="0" w:color="auto"/>
              <w:right w:val="single" w:sz="4" w:space="0" w:color="auto"/>
            </w:tcBorders>
            <w:shd w:val="clear" w:color="auto" w:fill="auto"/>
          </w:tcPr>
          <w:p w:rsidR="000E54C2" w:rsidRPr="00E8065F" w:rsidRDefault="000E54C2" w:rsidP="00CD3A6F">
            <w:pPr>
              <w:spacing w:line="242" w:lineRule="auto"/>
              <w:jc w:val="center"/>
              <w:rPr>
                <w:color w:val="000000"/>
                <w:sz w:val="20"/>
                <w:szCs w:val="20"/>
              </w:rPr>
            </w:pPr>
            <w:r w:rsidRPr="00E8065F">
              <w:rPr>
                <w:color w:val="000000"/>
                <w:sz w:val="20"/>
                <w:szCs w:val="20"/>
              </w:rPr>
              <w:t>Стационарное</w:t>
            </w:r>
          </w:p>
        </w:tc>
      </w:tr>
      <w:tr w:rsidR="00BA1432" w:rsidRPr="00E8065F" w:rsidTr="000546C2">
        <w:trPr>
          <w:trHeight w:val="20"/>
        </w:trPr>
        <w:tc>
          <w:tcPr>
            <w:tcW w:w="1555" w:type="dxa"/>
            <w:vMerge/>
          </w:tcPr>
          <w:p w:rsidR="000E54C2" w:rsidRPr="00E8065F" w:rsidRDefault="000E54C2" w:rsidP="00BA1432">
            <w:pPr>
              <w:rPr>
                <w:sz w:val="20"/>
                <w:szCs w:val="20"/>
              </w:rPr>
            </w:pPr>
          </w:p>
        </w:tc>
        <w:tc>
          <w:tcPr>
            <w:tcW w:w="3685" w:type="dxa"/>
            <w:tcBorders>
              <w:top w:val="nil"/>
              <w:left w:val="single" w:sz="4" w:space="0" w:color="auto"/>
              <w:bottom w:val="single" w:sz="4" w:space="0" w:color="auto"/>
              <w:right w:val="single" w:sz="4" w:space="0" w:color="auto"/>
            </w:tcBorders>
            <w:shd w:val="clear" w:color="auto" w:fill="auto"/>
          </w:tcPr>
          <w:p w:rsidR="000E54C2" w:rsidRPr="00E8065F" w:rsidRDefault="000E54C2" w:rsidP="00CD3A6F">
            <w:pPr>
              <w:spacing w:line="242" w:lineRule="auto"/>
              <w:jc w:val="both"/>
              <w:rPr>
                <w:color w:val="000000"/>
                <w:sz w:val="20"/>
                <w:szCs w:val="20"/>
              </w:rPr>
            </w:pPr>
            <w:r w:rsidRPr="00E8065F">
              <w:rPr>
                <w:color w:val="000000"/>
                <w:sz w:val="20"/>
                <w:szCs w:val="20"/>
              </w:rPr>
              <w:t xml:space="preserve">ГАУЗ </w:t>
            </w:r>
            <w:r w:rsidR="002F7358">
              <w:rPr>
                <w:color w:val="000000"/>
                <w:sz w:val="20"/>
                <w:szCs w:val="20"/>
              </w:rPr>
              <w:t>«</w:t>
            </w:r>
            <w:r w:rsidRPr="00E8065F">
              <w:rPr>
                <w:color w:val="000000"/>
                <w:sz w:val="20"/>
                <w:szCs w:val="20"/>
              </w:rPr>
              <w:t>Мамадышская ЦРБ</w:t>
            </w:r>
            <w:r w:rsidR="002F7358">
              <w:rPr>
                <w:color w:val="000000"/>
                <w:sz w:val="20"/>
                <w:szCs w:val="20"/>
              </w:rPr>
              <w:t>»</w:t>
            </w:r>
          </w:p>
        </w:tc>
        <w:tc>
          <w:tcPr>
            <w:tcW w:w="1994" w:type="dxa"/>
            <w:tcBorders>
              <w:top w:val="nil"/>
              <w:left w:val="single" w:sz="4" w:space="0" w:color="auto"/>
              <w:bottom w:val="single" w:sz="4" w:space="0" w:color="auto"/>
              <w:right w:val="single" w:sz="4" w:space="0" w:color="auto"/>
            </w:tcBorders>
            <w:shd w:val="clear" w:color="auto" w:fill="auto"/>
          </w:tcPr>
          <w:p w:rsidR="000E54C2" w:rsidRPr="00E8065F" w:rsidRDefault="000E54C2" w:rsidP="00CD3A6F">
            <w:pPr>
              <w:spacing w:line="242" w:lineRule="auto"/>
              <w:jc w:val="center"/>
              <w:rPr>
                <w:color w:val="000000"/>
                <w:sz w:val="20"/>
                <w:szCs w:val="20"/>
              </w:rPr>
            </w:pPr>
            <w:r w:rsidRPr="00E8065F">
              <w:rPr>
                <w:color w:val="000000"/>
                <w:sz w:val="20"/>
                <w:szCs w:val="20"/>
              </w:rPr>
              <w:t>Маммограф</w:t>
            </w:r>
          </w:p>
        </w:tc>
        <w:tc>
          <w:tcPr>
            <w:tcW w:w="1181" w:type="dxa"/>
            <w:shd w:val="clear" w:color="auto" w:fill="auto"/>
          </w:tcPr>
          <w:p w:rsidR="000E54C2" w:rsidRPr="00E8065F" w:rsidRDefault="000E54C2" w:rsidP="00CD3A6F">
            <w:pPr>
              <w:spacing w:line="242" w:lineRule="auto"/>
              <w:jc w:val="center"/>
              <w:rPr>
                <w:sz w:val="20"/>
                <w:szCs w:val="20"/>
              </w:rPr>
            </w:pPr>
            <w:r w:rsidRPr="00E8065F">
              <w:rPr>
                <w:sz w:val="20"/>
                <w:szCs w:val="20"/>
              </w:rPr>
              <w:t>2022</w:t>
            </w:r>
          </w:p>
        </w:tc>
        <w:tc>
          <w:tcPr>
            <w:tcW w:w="1181" w:type="dxa"/>
            <w:tcBorders>
              <w:top w:val="nil"/>
              <w:left w:val="single" w:sz="4" w:space="0" w:color="auto"/>
              <w:bottom w:val="single" w:sz="4" w:space="0" w:color="auto"/>
              <w:right w:val="single" w:sz="4" w:space="0" w:color="auto"/>
            </w:tcBorders>
            <w:shd w:val="clear" w:color="auto" w:fill="auto"/>
          </w:tcPr>
          <w:p w:rsidR="000E54C2" w:rsidRPr="00E8065F" w:rsidRDefault="000E54C2" w:rsidP="00CD3A6F">
            <w:pPr>
              <w:spacing w:line="242" w:lineRule="auto"/>
              <w:jc w:val="center"/>
              <w:rPr>
                <w:color w:val="000000"/>
                <w:sz w:val="20"/>
                <w:szCs w:val="20"/>
              </w:rPr>
            </w:pPr>
            <w:r w:rsidRPr="00E8065F">
              <w:rPr>
                <w:color w:val="000000"/>
                <w:sz w:val="20"/>
                <w:szCs w:val="20"/>
              </w:rPr>
              <w:t>1</w:t>
            </w:r>
          </w:p>
        </w:tc>
        <w:tc>
          <w:tcPr>
            <w:tcW w:w="1478" w:type="dxa"/>
            <w:tcBorders>
              <w:top w:val="nil"/>
              <w:left w:val="single" w:sz="4" w:space="0" w:color="auto"/>
              <w:bottom w:val="single" w:sz="4" w:space="0" w:color="auto"/>
              <w:right w:val="single" w:sz="4" w:space="0" w:color="auto"/>
            </w:tcBorders>
            <w:shd w:val="clear" w:color="auto" w:fill="auto"/>
          </w:tcPr>
          <w:p w:rsidR="000E54C2" w:rsidRPr="00E8065F" w:rsidRDefault="000E54C2" w:rsidP="00CD3A6F">
            <w:pPr>
              <w:spacing w:line="242" w:lineRule="auto"/>
              <w:jc w:val="center"/>
              <w:rPr>
                <w:color w:val="000000"/>
                <w:sz w:val="20"/>
                <w:szCs w:val="20"/>
              </w:rPr>
            </w:pPr>
            <w:r w:rsidRPr="00E8065F">
              <w:rPr>
                <w:color w:val="000000"/>
                <w:sz w:val="20"/>
                <w:szCs w:val="20"/>
              </w:rPr>
              <w:t>30</w:t>
            </w:r>
          </w:p>
        </w:tc>
        <w:tc>
          <w:tcPr>
            <w:tcW w:w="1111" w:type="dxa"/>
            <w:tcBorders>
              <w:top w:val="nil"/>
              <w:left w:val="single" w:sz="4" w:space="0" w:color="auto"/>
              <w:bottom w:val="single" w:sz="4" w:space="0" w:color="auto"/>
              <w:right w:val="single" w:sz="4" w:space="0" w:color="auto"/>
            </w:tcBorders>
            <w:shd w:val="clear" w:color="auto" w:fill="auto"/>
          </w:tcPr>
          <w:p w:rsidR="000E54C2" w:rsidRPr="00E8065F" w:rsidRDefault="000E54C2" w:rsidP="00CD3A6F">
            <w:pPr>
              <w:spacing w:line="242" w:lineRule="auto"/>
              <w:jc w:val="center"/>
              <w:rPr>
                <w:color w:val="000000"/>
                <w:sz w:val="20"/>
                <w:szCs w:val="20"/>
              </w:rPr>
            </w:pPr>
            <w:r w:rsidRPr="00E8065F">
              <w:rPr>
                <w:color w:val="000000"/>
                <w:sz w:val="20"/>
                <w:szCs w:val="20"/>
              </w:rPr>
              <w:t>2</w:t>
            </w:r>
          </w:p>
        </w:tc>
        <w:tc>
          <w:tcPr>
            <w:tcW w:w="1944" w:type="dxa"/>
            <w:tcBorders>
              <w:top w:val="nil"/>
              <w:left w:val="single" w:sz="4" w:space="0" w:color="auto"/>
              <w:bottom w:val="single" w:sz="4" w:space="0" w:color="auto"/>
              <w:right w:val="single" w:sz="4" w:space="0" w:color="auto"/>
            </w:tcBorders>
            <w:shd w:val="clear" w:color="auto" w:fill="auto"/>
          </w:tcPr>
          <w:p w:rsidR="000E54C2" w:rsidRPr="00E8065F" w:rsidRDefault="000E54C2" w:rsidP="00CD3A6F">
            <w:pPr>
              <w:spacing w:line="242" w:lineRule="auto"/>
              <w:jc w:val="center"/>
              <w:rPr>
                <w:color w:val="000000"/>
                <w:sz w:val="20"/>
                <w:szCs w:val="20"/>
              </w:rPr>
            </w:pPr>
            <w:r w:rsidRPr="00E8065F">
              <w:rPr>
                <w:color w:val="000000"/>
                <w:sz w:val="20"/>
                <w:szCs w:val="20"/>
              </w:rPr>
              <w:t>Амбулаторное</w:t>
            </w:r>
          </w:p>
        </w:tc>
      </w:tr>
      <w:tr w:rsidR="00BA1432" w:rsidRPr="00E8065F" w:rsidTr="000546C2">
        <w:trPr>
          <w:trHeight w:val="20"/>
        </w:trPr>
        <w:tc>
          <w:tcPr>
            <w:tcW w:w="1555" w:type="dxa"/>
            <w:vMerge/>
          </w:tcPr>
          <w:p w:rsidR="000E54C2" w:rsidRPr="00E8065F" w:rsidRDefault="000E54C2" w:rsidP="00BA1432">
            <w:pPr>
              <w:rPr>
                <w:sz w:val="20"/>
                <w:szCs w:val="20"/>
              </w:rPr>
            </w:pPr>
          </w:p>
        </w:tc>
        <w:tc>
          <w:tcPr>
            <w:tcW w:w="3685" w:type="dxa"/>
            <w:tcBorders>
              <w:top w:val="nil"/>
              <w:left w:val="single" w:sz="4" w:space="0" w:color="auto"/>
              <w:bottom w:val="single" w:sz="4" w:space="0" w:color="auto"/>
              <w:right w:val="single" w:sz="4" w:space="0" w:color="auto"/>
            </w:tcBorders>
            <w:shd w:val="clear" w:color="auto" w:fill="auto"/>
          </w:tcPr>
          <w:p w:rsidR="000E54C2" w:rsidRPr="00E8065F" w:rsidRDefault="000E54C2" w:rsidP="00CD3A6F">
            <w:pPr>
              <w:spacing w:line="242" w:lineRule="auto"/>
              <w:jc w:val="both"/>
              <w:rPr>
                <w:color w:val="000000"/>
                <w:sz w:val="20"/>
                <w:szCs w:val="20"/>
              </w:rPr>
            </w:pPr>
            <w:r w:rsidRPr="00E8065F">
              <w:rPr>
                <w:color w:val="000000"/>
                <w:sz w:val="20"/>
                <w:szCs w:val="20"/>
              </w:rPr>
              <w:t xml:space="preserve">ГАУЗ </w:t>
            </w:r>
            <w:r w:rsidR="002F7358">
              <w:rPr>
                <w:color w:val="000000"/>
                <w:sz w:val="20"/>
                <w:szCs w:val="20"/>
              </w:rPr>
              <w:t>«</w:t>
            </w:r>
            <w:r w:rsidRPr="00E8065F">
              <w:rPr>
                <w:color w:val="000000"/>
                <w:sz w:val="20"/>
                <w:szCs w:val="20"/>
              </w:rPr>
              <w:t>Менделеевская ЦРБ</w:t>
            </w:r>
            <w:r w:rsidR="002F7358">
              <w:rPr>
                <w:color w:val="000000"/>
                <w:sz w:val="20"/>
                <w:szCs w:val="20"/>
              </w:rPr>
              <w:t>»</w:t>
            </w:r>
          </w:p>
        </w:tc>
        <w:tc>
          <w:tcPr>
            <w:tcW w:w="1994" w:type="dxa"/>
            <w:tcBorders>
              <w:top w:val="nil"/>
              <w:left w:val="single" w:sz="4" w:space="0" w:color="auto"/>
              <w:bottom w:val="single" w:sz="4" w:space="0" w:color="auto"/>
              <w:right w:val="single" w:sz="4" w:space="0" w:color="auto"/>
            </w:tcBorders>
            <w:shd w:val="clear" w:color="auto" w:fill="auto"/>
          </w:tcPr>
          <w:p w:rsidR="000E54C2" w:rsidRPr="00E8065F" w:rsidRDefault="000E54C2" w:rsidP="00CD3A6F">
            <w:pPr>
              <w:spacing w:line="242" w:lineRule="auto"/>
              <w:jc w:val="center"/>
              <w:rPr>
                <w:color w:val="000000"/>
                <w:sz w:val="20"/>
                <w:szCs w:val="20"/>
              </w:rPr>
            </w:pPr>
            <w:r w:rsidRPr="00E8065F">
              <w:rPr>
                <w:color w:val="000000"/>
                <w:sz w:val="20"/>
                <w:szCs w:val="20"/>
              </w:rPr>
              <w:t>Маммограф</w:t>
            </w:r>
          </w:p>
        </w:tc>
        <w:tc>
          <w:tcPr>
            <w:tcW w:w="1181" w:type="dxa"/>
            <w:shd w:val="clear" w:color="auto" w:fill="auto"/>
          </w:tcPr>
          <w:p w:rsidR="000E54C2" w:rsidRPr="00E8065F" w:rsidRDefault="000E54C2" w:rsidP="00CD3A6F">
            <w:pPr>
              <w:spacing w:line="242" w:lineRule="auto"/>
              <w:jc w:val="center"/>
              <w:rPr>
                <w:sz w:val="20"/>
                <w:szCs w:val="20"/>
              </w:rPr>
            </w:pPr>
            <w:r w:rsidRPr="00E8065F">
              <w:rPr>
                <w:sz w:val="20"/>
                <w:szCs w:val="20"/>
              </w:rPr>
              <w:t>2023</w:t>
            </w:r>
          </w:p>
        </w:tc>
        <w:tc>
          <w:tcPr>
            <w:tcW w:w="1181" w:type="dxa"/>
            <w:tcBorders>
              <w:top w:val="nil"/>
              <w:left w:val="single" w:sz="4" w:space="0" w:color="auto"/>
              <w:bottom w:val="single" w:sz="4" w:space="0" w:color="auto"/>
              <w:right w:val="single" w:sz="4" w:space="0" w:color="auto"/>
            </w:tcBorders>
            <w:shd w:val="clear" w:color="auto" w:fill="auto"/>
          </w:tcPr>
          <w:p w:rsidR="000E54C2" w:rsidRPr="00E8065F" w:rsidRDefault="000E54C2" w:rsidP="00CD3A6F">
            <w:pPr>
              <w:spacing w:line="242" w:lineRule="auto"/>
              <w:jc w:val="center"/>
              <w:rPr>
                <w:color w:val="000000"/>
                <w:sz w:val="20"/>
                <w:szCs w:val="20"/>
              </w:rPr>
            </w:pPr>
            <w:r w:rsidRPr="00E8065F">
              <w:rPr>
                <w:color w:val="000000"/>
                <w:sz w:val="20"/>
                <w:szCs w:val="20"/>
              </w:rPr>
              <w:t>1</w:t>
            </w:r>
          </w:p>
        </w:tc>
        <w:tc>
          <w:tcPr>
            <w:tcW w:w="1478" w:type="dxa"/>
            <w:tcBorders>
              <w:top w:val="nil"/>
              <w:left w:val="single" w:sz="4" w:space="0" w:color="auto"/>
              <w:bottom w:val="single" w:sz="4" w:space="0" w:color="auto"/>
              <w:right w:val="single" w:sz="4" w:space="0" w:color="auto"/>
            </w:tcBorders>
            <w:shd w:val="clear" w:color="auto" w:fill="auto"/>
          </w:tcPr>
          <w:p w:rsidR="000E54C2" w:rsidRPr="00E8065F" w:rsidRDefault="000E54C2" w:rsidP="00CD3A6F">
            <w:pPr>
              <w:spacing w:line="242" w:lineRule="auto"/>
              <w:jc w:val="center"/>
              <w:rPr>
                <w:color w:val="000000"/>
                <w:sz w:val="20"/>
                <w:szCs w:val="20"/>
              </w:rPr>
            </w:pPr>
          </w:p>
        </w:tc>
        <w:tc>
          <w:tcPr>
            <w:tcW w:w="1111" w:type="dxa"/>
            <w:tcBorders>
              <w:top w:val="nil"/>
              <w:left w:val="single" w:sz="4" w:space="0" w:color="auto"/>
              <w:bottom w:val="single" w:sz="4" w:space="0" w:color="auto"/>
              <w:right w:val="single" w:sz="4" w:space="0" w:color="auto"/>
            </w:tcBorders>
            <w:shd w:val="clear" w:color="auto" w:fill="auto"/>
          </w:tcPr>
          <w:p w:rsidR="000E54C2" w:rsidRPr="00E8065F" w:rsidRDefault="000E54C2" w:rsidP="00CD3A6F">
            <w:pPr>
              <w:spacing w:line="242" w:lineRule="auto"/>
              <w:jc w:val="center"/>
              <w:rPr>
                <w:color w:val="000000"/>
                <w:sz w:val="20"/>
                <w:szCs w:val="20"/>
              </w:rPr>
            </w:pPr>
          </w:p>
        </w:tc>
        <w:tc>
          <w:tcPr>
            <w:tcW w:w="1944" w:type="dxa"/>
            <w:tcBorders>
              <w:top w:val="nil"/>
              <w:left w:val="single" w:sz="4" w:space="0" w:color="auto"/>
              <w:bottom w:val="single" w:sz="4" w:space="0" w:color="auto"/>
              <w:right w:val="single" w:sz="4" w:space="0" w:color="auto"/>
            </w:tcBorders>
            <w:shd w:val="clear" w:color="auto" w:fill="auto"/>
          </w:tcPr>
          <w:p w:rsidR="000E54C2" w:rsidRPr="00E8065F" w:rsidRDefault="000E54C2" w:rsidP="00CD3A6F">
            <w:pPr>
              <w:spacing w:line="242" w:lineRule="auto"/>
              <w:jc w:val="center"/>
              <w:rPr>
                <w:color w:val="000000"/>
                <w:sz w:val="20"/>
                <w:szCs w:val="20"/>
              </w:rPr>
            </w:pPr>
            <w:r w:rsidRPr="00E8065F">
              <w:rPr>
                <w:color w:val="000000"/>
                <w:sz w:val="20"/>
                <w:szCs w:val="20"/>
              </w:rPr>
              <w:t>Амбулаторное</w:t>
            </w:r>
          </w:p>
        </w:tc>
      </w:tr>
      <w:tr w:rsidR="00BA1432" w:rsidRPr="00E8065F" w:rsidTr="000546C2">
        <w:trPr>
          <w:trHeight w:val="20"/>
        </w:trPr>
        <w:tc>
          <w:tcPr>
            <w:tcW w:w="1555" w:type="dxa"/>
            <w:vMerge/>
          </w:tcPr>
          <w:p w:rsidR="000E54C2" w:rsidRPr="00E8065F" w:rsidRDefault="000E54C2" w:rsidP="00BA1432">
            <w:pPr>
              <w:rPr>
                <w:sz w:val="20"/>
                <w:szCs w:val="20"/>
              </w:rPr>
            </w:pPr>
          </w:p>
        </w:tc>
        <w:tc>
          <w:tcPr>
            <w:tcW w:w="3685" w:type="dxa"/>
            <w:tcBorders>
              <w:top w:val="nil"/>
              <w:left w:val="single" w:sz="4" w:space="0" w:color="auto"/>
              <w:bottom w:val="single" w:sz="4" w:space="0" w:color="auto"/>
              <w:right w:val="single" w:sz="4" w:space="0" w:color="auto"/>
            </w:tcBorders>
            <w:shd w:val="clear" w:color="auto" w:fill="auto"/>
          </w:tcPr>
          <w:p w:rsidR="000E54C2" w:rsidRPr="00E8065F" w:rsidRDefault="000E54C2" w:rsidP="00CD3A6F">
            <w:pPr>
              <w:spacing w:line="242" w:lineRule="auto"/>
              <w:jc w:val="both"/>
              <w:rPr>
                <w:color w:val="000000"/>
                <w:sz w:val="20"/>
                <w:szCs w:val="20"/>
              </w:rPr>
            </w:pPr>
            <w:r>
              <w:rPr>
                <w:color w:val="000000"/>
                <w:sz w:val="20"/>
                <w:szCs w:val="20"/>
              </w:rPr>
              <w:t xml:space="preserve">ГАУЗ </w:t>
            </w:r>
            <w:r w:rsidR="002F7358">
              <w:rPr>
                <w:sz w:val="20"/>
                <w:szCs w:val="20"/>
              </w:rPr>
              <w:t>«</w:t>
            </w:r>
            <w:r>
              <w:rPr>
                <w:sz w:val="20"/>
                <w:szCs w:val="20"/>
              </w:rPr>
              <w:t>Нижнекамская центральная районная многопрофильная больница</w:t>
            </w:r>
            <w:r w:rsidR="002F7358">
              <w:rPr>
                <w:sz w:val="20"/>
                <w:szCs w:val="20"/>
              </w:rPr>
              <w:t>»</w:t>
            </w:r>
          </w:p>
        </w:tc>
        <w:tc>
          <w:tcPr>
            <w:tcW w:w="1994" w:type="dxa"/>
            <w:tcBorders>
              <w:top w:val="nil"/>
              <w:left w:val="single" w:sz="4" w:space="0" w:color="auto"/>
              <w:bottom w:val="single" w:sz="4" w:space="0" w:color="auto"/>
              <w:right w:val="single" w:sz="4" w:space="0" w:color="auto"/>
            </w:tcBorders>
            <w:shd w:val="clear" w:color="auto" w:fill="auto"/>
          </w:tcPr>
          <w:p w:rsidR="000E54C2" w:rsidRPr="00E8065F" w:rsidRDefault="000E54C2" w:rsidP="00CD3A6F">
            <w:pPr>
              <w:spacing w:line="242" w:lineRule="auto"/>
              <w:jc w:val="center"/>
              <w:rPr>
                <w:color w:val="000000"/>
                <w:sz w:val="20"/>
                <w:szCs w:val="20"/>
              </w:rPr>
            </w:pPr>
            <w:r w:rsidRPr="00E8065F">
              <w:rPr>
                <w:color w:val="000000"/>
                <w:sz w:val="20"/>
                <w:szCs w:val="20"/>
              </w:rPr>
              <w:t>Маммограф</w:t>
            </w:r>
          </w:p>
        </w:tc>
        <w:tc>
          <w:tcPr>
            <w:tcW w:w="1181" w:type="dxa"/>
            <w:shd w:val="clear" w:color="auto" w:fill="auto"/>
          </w:tcPr>
          <w:p w:rsidR="000E54C2" w:rsidRPr="00E8065F" w:rsidRDefault="000E54C2" w:rsidP="00CD3A6F">
            <w:pPr>
              <w:spacing w:line="242" w:lineRule="auto"/>
              <w:jc w:val="center"/>
              <w:rPr>
                <w:sz w:val="20"/>
                <w:szCs w:val="20"/>
              </w:rPr>
            </w:pPr>
            <w:r w:rsidRPr="00E8065F">
              <w:rPr>
                <w:sz w:val="20"/>
                <w:szCs w:val="20"/>
              </w:rPr>
              <w:t>2007</w:t>
            </w:r>
            <w:r w:rsidR="00AA5FB3">
              <w:rPr>
                <w:sz w:val="20"/>
                <w:szCs w:val="20"/>
              </w:rPr>
              <w:t xml:space="preserve"> </w:t>
            </w:r>
            <w:r w:rsidR="00D81DCD">
              <w:rPr>
                <w:sz w:val="20"/>
                <w:szCs w:val="20"/>
              </w:rPr>
              <w:t>(1)</w:t>
            </w:r>
          </w:p>
          <w:p w:rsidR="000E54C2" w:rsidRPr="00E8065F" w:rsidRDefault="000E54C2" w:rsidP="00CD3A6F">
            <w:pPr>
              <w:spacing w:line="242" w:lineRule="auto"/>
              <w:jc w:val="center"/>
              <w:rPr>
                <w:sz w:val="20"/>
                <w:szCs w:val="20"/>
              </w:rPr>
            </w:pPr>
            <w:r w:rsidRPr="00E8065F">
              <w:rPr>
                <w:sz w:val="20"/>
                <w:szCs w:val="20"/>
              </w:rPr>
              <w:t>2021</w:t>
            </w:r>
            <w:r w:rsidR="00AA5FB3">
              <w:rPr>
                <w:sz w:val="20"/>
                <w:szCs w:val="20"/>
              </w:rPr>
              <w:t xml:space="preserve"> </w:t>
            </w:r>
            <w:r w:rsidR="00D81DCD">
              <w:rPr>
                <w:sz w:val="20"/>
                <w:szCs w:val="20"/>
              </w:rPr>
              <w:t>(1)</w:t>
            </w:r>
          </w:p>
          <w:p w:rsidR="000E54C2" w:rsidRPr="00E8065F" w:rsidRDefault="000E54C2" w:rsidP="00CD3A6F">
            <w:pPr>
              <w:spacing w:line="242" w:lineRule="auto"/>
              <w:jc w:val="center"/>
              <w:rPr>
                <w:sz w:val="20"/>
                <w:szCs w:val="20"/>
              </w:rPr>
            </w:pPr>
            <w:r w:rsidRPr="00E8065F">
              <w:rPr>
                <w:sz w:val="20"/>
                <w:szCs w:val="20"/>
              </w:rPr>
              <w:t>2022</w:t>
            </w:r>
            <w:r w:rsidR="00AA5FB3">
              <w:rPr>
                <w:sz w:val="20"/>
                <w:szCs w:val="20"/>
              </w:rPr>
              <w:t xml:space="preserve"> </w:t>
            </w:r>
            <w:r w:rsidR="00D81DCD">
              <w:rPr>
                <w:sz w:val="20"/>
                <w:szCs w:val="20"/>
              </w:rPr>
              <w:t>(1)</w:t>
            </w:r>
          </w:p>
        </w:tc>
        <w:tc>
          <w:tcPr>
            <w:tcW w:w="1181" w:type="dxa"/>
            <w:tcBorders>
              <w:top w:val="nil"/>
              <w:left w:val="single" w:sz="4" w:space="0" w:color="auto"/>
              <w:bottom w:val="single" w:sz="4" w:space="0" w:color="auto"/>
              <w:right w:val="single" w:sz="4" w:space="0" w:color="auto"/>
            </w:tcBorders>
            <w:shd w:val="clear" w:color="auto" w:fill="auto"/>
          </w:tcPr>
          <w:p w:rsidR="000E54C2" w:rsidRPr="00E8065F" w:rsidRDefault="000E54C2" w:rsidP="00CD3A6F">
            <w:pPr>
              <w:spacing w:line="242" w:lineRule="auto"/>
              <w:jc w:val="center"/>
              <w:rPr>
                <w:color w:val="000000"/>
                <w:sz w:val="20"/>
                <w:szCs w:val="20"/>
              </w:rPr>
            </w:pPr>
            <w:r w:rsidRPr="00E8065F">
              <w:rPr>
                <w:color w:val="000000"/>
                <w:sz w:val="20"/>
                <w:szCs w:val="20"/>
              </w:rPr>
              <w:t>3</w:t>
            </w:r>
          </w:p>
        </w:tc>
        <w:tc>
          <w:tcPr>
            <w:tcW w:w="1478" w:type="dxa"/>
            <w:tcBorders>
              <w:top w:val="nil"/>
              <w:left w:val="single" w:sz="4" w:space="0" w:color="auto"/>
              <w:bottom w:val="single" w:sz="4" w:space="0" w:color="auto"/>
              <w:right w:val="single" w:sz="4" w:space="0" w:color="auto"/>
            </w:tcBorders>
            <w:shd w:val="clear" w:color="auto" w:fill="auto"/>
          </w:tcPr>
          <w:p w:rsidR="000E54C2" w:rsidRPr="00E8065F" w:rsidRDefault="000E54C2" w:rsidP="00CD3A6F">
            <w:pPr>
              <w:spacing w:line="242" w:lineRule="auto"/>
              <w:jc w:val="center"/>
              <w:rPr>
                <w:color w:val="000000"/>
                <w:sz w:val="20"/>
                <w:szCs w:val="20"/>
              </w:rPr>
            </w:pPr>
            <w:r w:rsidRPr="00E8065F">
              <w:rPr>
                <w:color w:val="000000"/>
                <w:sz w:val="20"/>
                <w:szCs w:val="20"/>
              </w:rPr>
              <w:t>30</w:t>
            </w:r>
          </w:p>
        </w:tc>
        <w:tc>
          <w:tcPr>
            <w:tcW w:w="1111" w:type="dxa"/>
            <w:tcBorders>
              <w:top w:val="nil"/>
              <w:left w:val="single" w:sz="4" w:space="0" w:color="auto"/>
              <w:bottom w:val="single" w:sz="4" w:space="0" w:color="auto"/>
              <w:right w:val="single" w:sz="4" w:space="0" w:color="auto"/>
            </w:tcBorders>
            <w:shd w:val="clear" w:color="auto" w:fill="auto"/>
          </w:tcPr>
          <w:p w:rsidR="000E54C2" w:rsidRPr="00E8065F" w:rsidRDefault="000E54C2" w:rsidP="00CD3A6F">
            <w:pPr>
              <w:spacing w:line="242" w:lineRule="auto"/>
              <w:jc w:val="center"/>
              <w:rPr>
                <w:color w:val="000000"/>
                <w:sz w:val="20"/>
                <w:szCs w:val="20"/>
              </w:rPr>
            </w:pPr>
            <w:r w:rsidRPr="00E8065F">
              <w:rPr>
                <w:color w:val="000000"/>
                <w:sz w:val="20"/>
                <w:szCs w:val="20"/>
              </w:rPr>
              <w:t>2</w:t>
            </w:r>
          </w:p>
        </w:tc>
        <w:tc>
          <w:tcPr>
            <w:tcW w:w="1944" w:type="dxa"/>
            <w:tcBorders>
              <w:top w:val="nil"/>
              <w:left w:val="single" w:sz="4" w:space="0" w:color="auto"/>
              <w:bottom w:val="single" w:sz="4" w:space="0" w:color="auto"/>
              <w:right w:val="single" w:sz="4" w:space="0" w:color="auto"/>
            </w:tcBorders>
            <w:shd w:val="clear" w:color="auto" w:fill="auto"/>
          </w:tcPr>
          <w:p w:rsidR="000E54C2" w:rsidRPr="00E8065F" w:rsidRDefault="000E54C2" w:rsidP="00CD3A6F">
            <w:pPr>
              <w:spacing w:line="242" w:lineRule="auto"/>
              <w:jc w:val="center"/>
              <w:rPr>
                <w:color w:val="000000"/>
                <w:sz w:val="20"/>
                <w:szCs w:val="20"/>
              </w:rPr>
            </w:pPr>
            <w:r w:rsidRPr="00E8065F">
              <w:rPr>
                <w:color w:val="000000"/>
                <w:sz w:val="20"/>
                <w:szCs w:val="20"/>
              </w:rPr>
              <w:t>Амбулаторное</w:t>
            </w:r>
          </w:p>
        </w:tc>
      </w:tr>
      <w:tr w:rsidR="00BA1432" w:rsidRPr="00E8065F" w:rsidTr="000546C2">
        <w:trPr>
          <w:trHeight w:val="20"/>
        </w:trPr>
        <w:tc>
          <w:tcPr>
            <w:tcW w:w="1555" w:type="dxa"/>
            <w:vMerge/>
          </w:tcPr>
          <w:p w:rsidR="000E54C2" w:rsidRPr="00E8065F" w:rsidRDefault="000E54C2" w:rsidP="00BA1432">
            <w:pPr>
              <w:rPr>
                <w:sz w:val="20"/>
                <w:szCs w:val="20"/>
              </w:rPr>
            </w:pPr>
          </w:p>
        </w:tc>
        <w:tc>
          <w:tcPr>
            <w:tcW w:w="3685" w:type="dxa"/>
            <w:tcBorders>
              <w:top w:val="nil"/>
              <w:left w:val="single" w:sz="4" w:space="0" w:color="auto"/>
              <w:bottom w:val="single" w:sz="4" w:space="0" w:color="auto"/>
              <w:right w:val="single" w:sz="4" w:space="0" w:color="auto"/>
            </w:tcBorders>
            <w:shd w:val="clear" w:color="auto" w:fill="auto"/>
          </w:tcPr>
          <w:p w:rsidR="000E54C2" w:rsidRPr="00E8065F" w:rsidRDefault="000E54C2" w:rsidP="00CD3A6F">
            <w:pPr>
              <w:spacing w:line="242" w:lineRule="auto"/>
              <w:jc w:val="both"/>
              <w:rPr>
                <w:color w:val="000000"/>
                <w:sz w:val="20"/>
                <w:szCs w:val="20"/>
              </w:rPr>
            </w:pPr>
            <w:r w:rsidRPr="00E8065F">
              <w:rPr>
                <w:color w:val="000000"/>
                <w:sz w:val="20"/>
                <w:szCs w:val="20"/>
              </w:rPr>
              <w:t xml:space="preserve">ГАУЗ </w:t>
            </w:r>
            <w:r w:rsidR="002F7358">
              <w:rPr>
                <w:color w:val="000000"/>
                <w:sz w:val="20"/>
                <w:szCs w:val="20"/>
              </w:rPr>
              <w:t>«</w:t>
            </w:r>
            <w:r w:rsidRPr="00E8065F">
              <w:rPr>
                <w:color w:val="000000"/>
                <w:sz w:val="20"/>
                <w:szCs w:val="20"/>
              </w:rPr>
              <w:t>Нурлатская ЦРБ</w:t>
            </w:r>
            <w:r w:rsidR="002F7358">
              <w:rPr>
                <w:color w:val="000000"/>
                <w:sz w:val="20"/>
                <w:szCs w:val="20"/>
              </w:rPr>
              <w:t>»</w:t>
            </w:r>
          </w:p>
        </w:tc>
        <w:tc>
          <w:tcPr>
            <w:tcW w:w="1994" w:type="dxa"/>
            <w:tcBorders>
              <w:top w:val="nil"/>
              <w:left w:val="single" w:sz="4" w:space="0" w:color="auto"/>
              <w:bottom w:val="single" w:sz="4" w:space="0" w:color="auto"/>
              <w:right w:val="single" w:sz="4" w:space="0" w:color="auto"/>
            </w:tcBorders>
            <w:shd w:val="clear" w:color="auto" w:fill="auto"/>
          </w:tcPr>
          <w:p w:rsidR="000E54C2" w:rsidRPr="00E8065F" w:rsidRDefault="000E54C2" w:rsidP="00CD3A6F">
            <w:pPr>
              <w:spacing w:line="242" w:lineRule="auto"/>
              <w:jc w:val="center"/>
              <w:rPr>
                <w:color w:val="000000"/>
                <w:sz w:val="20"/>
                <w:szCs w:val="20"/>
              </w:rPr>
            </w:pPr>
            <w:r w:rsidRPr="00E8065F">
              <w:rPr>
                <w:color w:val="000000"/>
                <w:sz w:val="20"/>
                <w:szCs w:val="20"/>
              </w:rPr>
              <w:t>Маммограф</w:t>
            </w:r>
          </w:p>
        </w:tc>
        <w:tc>
          <w:tcPr>
            <w:tcW w:w="1181" w:type="dxa"/>
            <w:shd w:val="clear" w:color="auto" w:fill="auto"/>
          </w:tcPr>
          <w:p w:rsidR="000E54C2" w:rsidRPr="00E8065F" w:rsidRDefault="000E54C2" w:rsidP="00CD3A6F">
            <w:pPr>
              <w:spacing w:line="242" w:lineRule="auto"/>
              <w:jc w:val="center"/>
              <w:rPr>
                <w:sz w:val="20"/>
                <w:szCs w:val="20"/>
              </w:rPr>
            </w:pPr>
            <w:r w:rsidRPr="00E8065F">
              <w:rPr>
                <w:sz w:val="20"/>
                <w:szCs w:val="20"/>
              </w:rPr>
              <w:t>2022</w:t>
            </w:r>
          </w:p>
        </w:tc>
        <w:tc>
          <w:tcPr>
            <w:tcW w:w="1181" w:type="dxa"/>
            <w:tcBorders>
              <w:top w:val="nil"/>
              <w:left w:val="single" w:sz="4" w:space="0" w:color="auto"/>
              <w:bottom w:val="single" w:sz="4" w:space="0" w:color="auto"/>
              <w:right w:val="single" w:sz="4" w:space="0" w:color="auto"/>
            </w:tcBorders>
            <w:shd w:val="clear" w:color="auto" w:fill="auto"/>
          </w:tcPr>
          <w:p w:rsidR="000E54C2" w:rsidRPr="00E8065F" w:rsidRDefault="000E54C2" w:rsidP="00CD3A6F">
            <w:pPr>
              <w:spacing w:line="242" w:lineRule="auto"/>
              <w:jc w:val="center"/>
              <w:rPr>
                <w:color w:val="000000"/>
                <w:sz w:val="20"/>
                <w:szCs w:val="20"/>
              </w:rPr>
            </w:pPr>
            <w:r w:rsidRPr="00E8065F">
              <w:rPr>
                <w:color w:val="000000"/>
                <w:sz w:val="20"/>
                <w:szCs w:val="20"/>
              </w:rPr>
              <w:t>1</w:t>
            </w:r>
          </w:p>
        </w:tc>
        <w:tc>
          <w:tcPr>
            <w:tcW w:w="1478" w:type="dxa"/>
            <w:tcBorders>
              <w:top w:val="nil"/>
              <w:left w:val="single" w:sz="4" w:space="0" w:color="auto"/>
              <w:bottom w:val="single" w:sz="4" w:space="0" w:color="auto"/>
              <w:right w:val="single" w:sz="4" w:space="0" w:color="auto"/>
            </w:tcBorders>
            <w:shd w:val="clear" w:color="auto" w:fill="auto"/>
          </w:tcPr>
          <w:p w:rsidR="000E54C2" w:rsidRPr="00E8065F" w:rsidRDefault="000E54C2" w:rsidP="00CD3A6F">
            <w:pPr>
              <w:spacing w:line="242" w:lineRule="auto"/>
              <w:jc w:val="center"/>
              <w:rPr>
                <w:color w:val="000000"/>
                <w:sz w:val="20"/>
                <w:szCs w:val="20"/>
              </w:rPr>
            </w:pPr>
            <w:r w:rsidRPr="00E8065F">
              <w:rPr>
                <w:color w:val="000000"/>
                <w:sz w:val="20"/>
                <w:szCs w:val="20"/>
              </w:rPr>
              <w:t>8</w:t>
            </w:r>
          </w:p>
        </w:tc>
        <w:tc>
          <w:tcPr>
            <w:tcW w:w="1111" w:type="dxa"/>
            <w:tcBorders>
              <w:top w:val="nil"/>
              <w:left w:val="single" w:sz="4" w:space="0" w:color="auto"/>
              <w:bottom w:val="single" w:sz="4" w:space="0" w:color="auto"/>
              <w:right w:val="single" w:sz="4" w:space="0" w:color="auto"/>
            </w:tcBorders>
            <w:shd w:val="clear" w:color="auto" w:fill="auto"/>
          </w:tcPr>
          <w:p w:rsidR="000E54C2" w:rsidRPr="00E8065F" w:rsidRDefault="000E54C2" w:rsidP="00CD3A6F">
            <w:pPr>
              <w:spacing w:line="242" w:lineRule="auto"/>
              <w:jc w:val="center"/>
              <w:rPr>
                <w:color w:val="000000"/>
                <w:sz w:val="20"/>
                <w:szCs w:val="20"/>
              </w:rPr>
            </w:pPr>
            <w:r w:rsidRPr="00E8065F">
              <w:rPr>
                <w:color w:val="000000"/>
                <w:sz w:val="20"/>
                <w:szCs w:val="20"/>
              </w:rPr>
              <w:t>2</w:t>
            </w:r>
          </w:p>
        </w:tc>
        <w:tc>
          <w:tcPr>
            <w:tcW w:w="1944" w:type="dxa"/>
            <w:tcBorders>
              <w:top w:val="nil"/>
              <w:left w:val="single" w:sz="4" w:space="0" w:color="auto"/>
              <w:bottom w:val="single" w:sz="4" w:space="0" w:color="auto"/>
              <w:right w:val="single" w:sz="4" w:space="0" w:color="auto"/>
            </w:tcBorders>
            <w:shd w:val="clear" w:color="auto" w:fill="auto"/>
          </w:tcPr>
          <w:p w:rsidR="000E54C2" w:rsidRPr="00E8065F" w:rsidRDefault="000E54C2" w:rsidP="00CD3A6F">
            <w:pPr>
              <w:spacing w:line="242" w:lineRule="auto"/>
              <w:jc w:val="center"/>
              <w:rPr>
                <w:color w:val="000000"/>
                <w:sz w:val="20"/>
                <w:szCs w:val="20"/>
              </w:rPr>
            </w:pPr>
            <w:r w:rsidRPr="00E8065F">
              <w:rPr>
                <w:color w:val="000000"/>
                <w:sz w:val="20"/>
                <w:szCs w:val="20"/>
              </w:rPr>
              <w:t>Амбулаторное</w:t>
            </w:r>
          </w:p>
        </w:tc>
      </w:tr>
      <w:tr w:rsidR="00BA1432" w:rsidRPr="00E8065F" w:rsidTr="000546C2">
        <w:trPr>
          <w:trHeight w:val="20"/>
        </w:trPr>
        <w:tc>
          <w:tcPr>
            <w:tcW w:w="1555" w:type="dxa"/>
            <w:vMerge/>
          </w:tcPr>
          <w:p w:rsidR="000E54C2" w:rsidRPr="00E8065F" w:rsidRDefault="000E54C2" w:rsidP="00BA1432">
            <w:pPr>
              <w:rPr>
                <w:sz w:val="20"/>
                <w:szCs w:val="20"/>
              </w:rPr>
            </w:pPr>
          </w:p>
        </w:tc>
        <w:tc>
          <w:tcPr>
            <w:tcW w:w="3685" w:type="dxa"/>
            <w:tcBorders>
              <w:top w:val="nil"/>
              <w:left w:val="single" w:sz="4" w:space="0" w:color="auto"/>
              <w:bottom w:val="single" w:sz="4" w:space="0" w:color="auto"/>
              <w:right w:val="single" w:sz="4" w:space="0" w:color="auto"/>
            </w:tcBorders>
            <w:shd w:val="clear" w:color="auto" w:fill="auto"/>
          </w:tcPr>
          <w:p w:rsidR="000E54C2" w:rsidRPr="00E8065F" w:rsidRDefault="000E54C2" w:rsidP="00CD3A6F">
            <w:pPr>
              <w:spacing w:line="242" w:lineRule="auto"/>
              <w:jc w:val="both"/>
              <w:rPr>
                <w:color w:val="000000"/>
                <w:sz w:val="20"/>
                <w:szCs w:val="20"/>
              </w:rPr>
            </w:pPr>
            <w:r w:rsidRPr="00E8065F">
              <w:rPr>
                <w:color w:val="000000"/>
                <w:sz w:val="20"/>
                <w:szCs w:val="20"/>
              </w:rPr>
              <w:t xml:space="preserve">ГАУЗ </w:t>
            </w:r>
            <w:r w:rsidR="002F7358">
              <w:rPr>
                <w:color w:val="000000"/>
                <w:sz w:val="20"/>
                <w:szCs w:val="20"/>
              </w:rPr>
              <w:t>«</w:t>
            </w:r>
            <w:r w:rsidRPr="00E8065F">
              <w:rPr>
                <w:color w:val="000000"/>
                <w:sz w:val="20"/>
                <w:szCs w:val="20"/>
              </w:rPr>
              <w:t>Пестречинская ЦРБ</w:t>
            </w:r>
            <w:r w:rsidR="002F7358">
              <w:rPr>
                <w:color w:val="000000"/>
                <w:sz w:val="20"/>
                <w:szCs w:val="20"/>
              </w:rPr>
              <w:t>»</w:t>
            </w:r>
          </w:p>
        </w:tc>
        <w:tc>
          <w:tcPr>
            <w:tcW w:w="1994" w:type="dxa"/>
            <w:tcBorders>
              <w:top w:val="nil"/>
              <w:left w:val="single" w:sz="4" w:space="0" w:color="auto"/>
              <w:bottom w:val="single" w:sz="4" w:space="0" w:color="auto"/>
              <w:right w:val="single" w:sz="4" w:space="0" w:color="auto"/>
            </w:tcBorders>
            <w:shd w:val="clear" w:color="auto" w:fill="auto"/>
          </w:tcPr>
          <w:p w:rsidR="000E54C2" w:rsidRPr="00E8065F" w:rsidRDefault="000E54C2" w:rsidP="00CD3A6F">
            <w:pPr>
              <w:spacing w:line="242" w:lineRule="auto"/>
              <w:jc w:val="center"/>
              <w:rPr>
                <w:color w:val="000000"/>
                <w:sz w:val="20"/>
                <w:szCs w:val="20"/>
              </w:rPr>
            </w:pPr>
            <w:r w:rsidRPr="00E8065F">
              <w:rPr>
                <w:color w:val="000000"/>
                <w:sz w:val="20"/>
                <w:szCs w:val="20"/>
              </w:rPr>
              <w:t>Маммограф</w:t>
            </w:r>
          </w:p>
        </w:tc>
        <w:tc>
          <w:tcPr>
            <w:tcW w:w="1181" w:type="dxa"/>
            <w:shd w:val="clear" w:color="auto" w:fill="auto"/>
          </w:tcPr>
          <w:p w:rsidR="000E54C2" w:rsidRPr="00E8065F" w:rsidRDefault="000E54C2" w:rsidP="00CD3A6F">
            <w:pPr>
              <w:spacing w:line="242" w:lineRule="auto"/>
              <w:jc w:val="center"/>
              <w:rPr>
                <w:sz w:val="20"/>
                <w:szCs w:val="20"/>
              </w:rPr>
            </w:pPr>
            <w:r w:rsidRPr="00E8065F">
              <w:rPr>
                <w:sz w:val="20"/>
                <w:szCs w:val="20"/>
              </w:rPr>
              <w:t>2023</w:t>
            </w:r>
          </w:p>
        </w:tc>
        <w:tc>
          <w:tcPr>
            <w:tcW w:w="1181" w:type="dxa"/>
            <w:tcBorders>
              <w:top w:val="nil"/>
              <w:left w:val="single" w:sz="4" w:space="0" w:color="auto"/>
              <w:bottom w:val="single" w:sz="4" w:space="0" w:color="auto"/>
              <w:right w:val="single" w:sz="4" w:space="0" w:color="auto"/>
            </w:tcBorders>
            <w:shd w:val="clear" w:color="auto" w:fill="auto"/>
          </w:tcPr>
          <w:p w:rsidR="000E54C2" w:rsidRPr="00E8065F" w:rsidRDefault="000E54C2" w:rsidP="00CD3A6F">
            <w:pPr>
              <w:spacing w:line="242" w:lineRule="auto"/>
              <w:jc w:val="center"/>
              <w:rPr>
                <w:color w:val="000000"/>
                <w:sz w:val="20"/>
                <w:szCs w:val="20"/>
              </w:rPr>
            </w:pPr>
            <w:r w:rsidRPr="00E8065F">
              <w:rPr>
                <w:color w:val="000000"/>
                <w:sz w:val="20"/>
                <w:szCs w:val="20"/>
              </w:rPr>
              <w:t>1</w:t>
            </w:r>
          </w:p>
        </w:tc>
        <w:tc>
          <w:tcPr>
            <w:tcW w:w="1478" w:type="dxa"/>
            <w:tcBorders>
              <w:top w:val="nil"/>
              <w:left w:val="single" w:sz="4" w:space="0" w:color="auto"/>
              <w:bottom w:val="single" w:sz="4" w:space="0" w:color="auto"/>
              <w:right w:val="single" w:sz="4" w:space="0" w:color="auto"/>
            </w:tcBorders>
            <w:shd w:val="clear" w:color="auto" w:fill="auto"/>
          </w:tcPr>
          <w:p w:rsidR="000E54C2" w:rsidRPr="00E8065F" w:rsidRDefault="000E54C2" w:rsidP="00CD3A6F">
            <w:pPr>
              <w:spacing w:line="242" w:lineRule="auto"/>
              <w:jc w:val="center"/>
              <w:rPr>
                <w:color w:val="000000"/>
                <w:sz w:val="20"/>
                <w:szCs w:val="20"/>
              </w:rPr>
            </w:pPr>
            <w:r w:rsidRPr="00E8065F">
              <w:rPr>
                <w:color w:val="000000"/>
                <w:sz w:val="20"/>
                <w:szCs w:val="20"/>
              </w:rPr>
              <w:t>5</w:t>
            </w:r>
          </w:p>
        </w:tc>
        <w:tc>
          <w:tcPr>
            <w:tcW w:w="1111" w:type="dxa"/>
            <w:tcBorders>
              <w:top w:val="nil"/>
              <w:left w:val="single" w:sz="4" w:space="0" w:color="auto"/>
              <w:bottom w:val="single" w:sz="4" w:space="0" w:color="auto"/>
              <w:right w:val="single" w:sz="4" w:space="0" w:color="auto"/>
            </w:tcBorders>
            <w:shd w:val="clear" w:color="auto" w:fill="auto"/>
          </w:tcPr>
          <w:p w:rsidR="000E54C2" w:rsidRPr="00E8065F" w:rsidRDefault="000E54C2" w:rsidP="00CD3A6F">
            <w:pPr>
              <w:spacing w:line="242" w:lineRule="auto"/>
              <w:jc w:val="center"/>
              <w:rPr>
                <w:color w:val="000000"/>
                <w:sz w:val="20"/>
                <w:szCs w:val="20"/>
              </w:rPr>
            </w:pPr>
            <w:r w:rsidRPr="00E8065F">
              <w:rPr>
                <w:color w:val="000000"/>
                <w:sz w:val="20"/>
                <w:szCs w:val="20"/>
              </w:rPr>
              <w:t>2</w:t>
            </w:r>
          </w:p>
        </w:tc>
        <w:tc>
          <w:tcPr>
            <w:tcW w:w="1944" w:type="dxa"/>
            <w:tcBorders>
              <w:top w:val="nil"/>
              <w:left w:val="single" w:sz="4" w:space="0" w:color="auto"/>
              <w:bottom w:val="single" w:sz="4" w:space="0" w:color="auto"/>
              <w:right w:val="single" w:sz="4" w:space="0" w:color="auto"/>
            </w:tcBorders>
            <w:shd w:val="clear" w:color="auto" w:fill="auto"/>
          </w:tcPr>
          <w:p w:rsidR="000E54C2" w:rsidRPr="00E8065F" w:rsidRDefault="000E54C2" w:rsidP="00CD3A6F">
            <w:pPr>
              <w:spacing w:line="242" w:lineRule="auto"/>
              <w:jc w:val="center"/>
              <w:rPr>
                <w:color w:val="000000"/>
                <w:sz w:val="20"/>
                <w:szCs w:val="20"/>
              </w:rPr>
            </w:pPr>
            <w:r w:rsidRPr="00E8065F">
              <w:rPr>
                <w:color w:val="000000"/>
                <w:sz w:val="20"/>
                <w:szCs w:val="20"/>
              </w:rPr>
              <w:t>Амбулаторное</w:t>
            </w:r>
          </w:p>
        </w:tc>
      </w:tr>
      <w:tr w:rsidR="00BA1432" w:rsidRPr="00E8065F" w:rsidTr="000546C2">
        <w:trPr>
          <w:trHeight w:val="20"/>
        </w:trPr>
        <w:tc>
          <w:tcPr>
            <w:tcW w:w="1555" w:type="dxa"/>
            <w:vMerge/>
          </w:tcPr>
          <w:p w:rsidR="000E54C2" w:rsidRPr="00E8065F" w:rsidRDefault="000E54C2" w:rsidP="00BA1432">
            <w:pPr>
              <w:rPr>
                <w:sz w:val="20"/>
                <w:szCs w:val="20"/>
              </w:rPr>
            </w:pPr>
          </w:p>
        </w:tc>
        <w:tc>
          <w:tcPr>
            <w:tcW w:w="3685" w:type="dxa"/>
            <w:tcBorders>
              <w:top w:val="nil"/>
              <w:left w:val="single" w:sz="4" w:space="0" w:color="auto"/>
              <w:bottom w:val="single" w:sz="4" w:space="0" w:color="auto"/>
              <w:right w:val="single" w:sz="4" w:space="0" w:color="auto"/>
            </w:tcBorders>
            <w:shd w:val="clear" w:color="auto" w:fill="auto"/>
          </w:tcPr>
          <w:p w:rsidR="000E54C2" w:rsidRPr="00E8065F" w:rsidRDefault="000E54C2" w:rsidP="00CD3A6F">
            <w:pPr>
              <w:spacing w:line="242" w:lineRule="auto"/>
              <w:jc w:val="both"/>
              <w:rPr>
                <w:color w:val="000000"/>
                <w:sz w:val="20"/>
                <w:szCs w:val="20"/>
              </w:rPr>
            </w:pPr>
            <w:r w:rsidRPr="00E8065F">
              <w:rPr>
                <w:color w:val="000000"/>
                <w:sz w:val="20"/>
                <w:szCs w:val="20"/>
              </w:rPr>
              <w:t xml:space="preserve">ГАУЗ </w:t>
            </w:r>
            <w:r w:rsidR="002F7358">
              <w:rPr>
                <w:color w:val="000000"/>
                <w:sz w:val="20"/>
                <w:szCs w:val="20"/>
              </w:rPr>
              <w:t>«</w:t>
            </w:r>
            <w:r w:rsidRPr="00E8065F">
              <w:rPr>
                <w:color w:val="000000"/>
                <w:sz w:val="20"/>
                <w:szCs w:val="20"/>
              </w:rPr>
              <w:t>Рыбно-Слободская ЦРБ</w:t>
            </w:r>
            <w:r w:rsidR="002F7358">
              <w:rPr>
                <w:color w:val="000000"/>
                <w:sz w:val="20"/>
                <w:szCs w:val="20"/>
              </w:rPr>
              <w:t>»</w:t>
            </w:r>
          </w:p>
        </w:tc>
        <w:tc>
          <w:tcPr>
            <w:tcW w:w="1994" w:type="dxa"/>
            <w:tcBorders>
              <w:top w:val="nil"/>
              <w:left w:val="single" w:sz="4" w:space="0" w:color="auto"/>
              <w:bottom w:val="single" w:sz="4" w:space="0" w:color="auto"/>
              <w:right w:val="single" w:sz="4" w:space="0" w:color="auto"/>
            </w:tcBorders>
            <w:shd w:val="clear" w:color="auto" w:fill="auto"/>
          </w:tcPr>
          <w:p w:rsidR="000E54C2" w:rsidRPr="00E8065F" w:rsidRDefault="000E54C2" w:rsidP="00CD3A6F">
            <w:pPr>
              <w:spacing w:line="242" w:lineRule="auto"/>
              <w:jc w:val="center"/>
              <w:rPr>
                <w:color w:val="000000"/>
                <w:sz w:val="20"/>
                <w:szCs w:val="20"/>
              </w:rPr>
            </w:pPr>
            <w:r w:rsidRPr="00E8065F">
              <w:rPr>
                <w:color w:val="000000"/>
                <w:sz w:val="20"/>
                <w:szCs w:val="20"/>
              </w:rPr>
              <w:t>Маммограф</w:t>
            </w:r>
          </w:p>
        </w:tc>
        <w:tc>
          <w:tcPr>
            <w:tcW w:w="1181" w:type="dxa"/>
            <w:shd w:val="clear" w:color="auto" w:fill="auto"/>
          </w:tcPr>
          <w:p w:rsidR="000E54C2" w:rsidRPr="00E8065F" w:rsidRDefault="000E54C2" w:rsidP="00CD3A6F">
            <w:pPr>
              <w:spacing w:line="242" w:lineRule="auto"/>
              <w:jc w:val="center"/>
              <w:rPr>
                <w:sz w:val="20"/>
                <w:szCs w:val="20"/>
              </w:rPr>
            </w:pPr>
            <w:r w:rsidRPr="00E8065F">
              <w:rPr>
                <w:sz w:val="20"/>
                <w:szCs w:val="20"/>
              </w:rPr>
              <w:t>2022</w:t>
            </w:r>
          </w:p>
        </w:tc>
        <w:tc>
          <w:tcPr>
            <w:tcW w:w="1181" w:type="dxa"/>
            <w:tcBorders>
              <w:top w:val="nil"/>
              <w:left w:val="single" w:sz="4" w:space="0" w:color="auto"/>
              <w:bottom w:val="single" w:sz="4" w:space="0" w:color="auto"/>
              <w:right w:val="single" w:sz="4" w:space="0" w:color="auto"/>
            </w:tcBorders>
            <w:shd w:val="clear" w:color="auto" w:fill="auto"/>
          </w:tcPr>
          <w:p w:rsidR="000E54C2" w:rsidRPr="00E8065F" w:rsidRDefault="000E54C2" w:rsidP="00CD3A6F">
            <w:pPr>
              <w:spacing w:line="242" w:lineRule="auto"/>
              <w:jc w:val="center"/>
              <w:rPr>
                <w:color w:val="000000"/>
                <w:sz w:val="20"/>
                <w:szCs w:val="20"/>
              </w:rPr>
            </w:pPr>
            <w:r w:rsidRPr="00E8065F">
              <w:rPr>
                <w:color w:val="000000"/>
                <w:sz w:val="20"/>
                <w:szCs w:val="20"/>
              </w:rPr>
              <w:t>1</w:t>
            </w:r>
          </w:p>
        </w:tc>
        <w:tc>
          <w:tcPr>
            <w:tcW w:w="1478" w:type="dxa"/>
            <w:tcBorders>
              <w:top w:val="nil"/>
              <w:left w:val="single" w:sz="4" w:space="0" w:color="auto"/>
              <w:bottom w:val="single" w:sz="4" w:space="0" w:color="auto"/>
              <w:right w:val="single" w:sz="4" w:space="0" w:color="auto"/>
            </w:tcBorders>
            <w:shd w:val="clear" w:color="auto" w:fill="auto"/>
          </w:tcPr>
          <w:p w:rsidR="000E54C2" w:rsidRPr="00E8065F" w:rsidRDefault="000E54C2" w:rsidP="00CD3A6F">
            <w:pPr>
              <w:spacing w:line="242" w:lineRule="auto"/>
              <w:jc w:val="center"/>
              <w:rPr>
                <w:color w:val="000000"/>
                <w:sz w:val="20"/>
                <w:szCs w:val="20"/>
              </w:rPr>
            </w:pPr>
            <w:r w:rsidRPr="00E8065F">
              <w:rPr>
                <w:color w:val="000000"/>
                <w:sz w:val="20"/>
                <w:szCs w:val="20"/>
              </w:rPr>
              <w:t>5</w:t>
            </w:r>
          </w:p>
        </w:tc>
        <w:tc>
          <w:tcPr>
            <w:tcW w:w="1111" w:type="dxa"/>
            <w:tcBorders>
              <w:top w:val="nil"/>
              <w:left w:val="single" w:sz="4" w:space="0" w:color="auto"/>
              <w:bottom w:val="single" w:sz="4" w:space="0" w:color="auto"/>
              <w:right w:val="single" w:sz="4" w:space="0" w:color="auto"/>
            </w:tcBorders>
            <w:shd w:val="clear" w:color="auto" w:fill="auto"/>
          </w:tcPr>
          <w:p w:rsidR="000E54C2" w:rsidRPr="00E8065F" w:rsidRDefault="000E54C2" w:rsidP="00CD3A6F">
            <w:pPr>
              <w:spacing w:line="242" w:lineRule="auto"/>
              <w:jc w:val="center"/>
              <w:rPr>
                <w:color w:val="000000"/>
                <w:sz w:val="20"/>
                <w:szCs w:val="20"/>
              </w:rPr>
            </w:pPr>
            <w:r w:rsidRPr="00E8065F">
              <w:rPr>
                <w:color w:val="000000"/>
                <w:sz w:val="20"/>
                <w:szCs w:val="20"/>
              </w:rPr>
              <w:t>2</w:t>
            </w:r>
          </w:p>
        </w:tc>
        <w:tc>
          <w:tcPr>
            <w:tcW w:w="1944" w:type="dxa"/>
            <w:tcBorders>
              <w:top w:val="nil"/>
              <w:left w:val="single" w:sz="4" w:space="0" w:color="auto"/>
              <w:bottom w:val="single" w:sz="4" w:space="0" w:color="auto"/>
              <w:right w:val="single" w:sz="4" w:space="0" w:color="auto"/>
            </w:tcBorders>
            <w:shd w:val="clear" w:color="auto" w:fill="auto"/>
          </w:tcPr>
          <w:p w:rsidR="000E54C2" w:rsidRPr="00E8065F" w:rsidRDefault="000E54C2" w:rsidP="00CD3A6F">
            <w:pPr>
              <w:spacing w:line="242" w:lineRule="auto"/>
              <w:jc w:val="center"/>
              <w:rPr>
                <w:color w:val="000000"/>
                <w:sz w:val="20"/>
                <w:szCs w:val="20"/>
              </w:rPr>
            </w:pPr>
            <w:r w:rsidRPr="00E8065F">
              <w:rPr>
                <w:color w:val="000000"/>
                <w:sz w:val="20"/>
                <w:szCs w:val="20"/>
              </w:rPr>
              <w:t>Амбулаторное</w:t>
            </w:r>
          </w:p>
        </w:tc>
      </w:tr>
      <w:tr w:rsidR="00BA1432" w:rsidRPr="00E8065F" w:rsidTr="000546C2">
        <w:trPr>
          <w:trHeight w:val="20"/>
        </w:trPr>
        <w:tc>
          <w:tcPr>
            <w:tcW w:w="1555" w:type="dxa"/>
            <w:vMerge/>
          </w:tcPr>
          <w:p w:rsidR="000E54C2" w:rsidRPr="00E8065F" w:rsidRDefault="000E54C2" w:rsidP="00BA1432">
            <w:pPr>
              <w:rPr>
                <w:sz w:val="20"/>
                <w:szCs w:val="20"/>
                <w:lang w:val="en-US"/>
              </w:rPr>
            </w:pPr>
          </w:p>
        </w:tc>
        <w:tc>
          <w:tcPr>
            <w:tcW w:w="3685" w:type="dxa"/>
            <w:tcBorders>
              <w:top w:val="nil"/>
              <w:left w:val="single" w:sz="4" w:space="0" w:color="auto"/>
              <w:bottom w:val="single" w:sz="4" w:space="0" w:color="auto"/>
              <w:right w:val="single" w:sz="4" w:space="0" w:color="auto"/>
            </w:tcBorders>
            <w:shd w:val="clear" w:color="auto" w:fill="auto"/>
          </w:tcPr>
          <w:p w:rsidR="000E54C2" w:rsidRPr="00E8065F" w:rsidRDefault="000E54C2" w:rsidP="00CD3A6F">
            <w:pPr>
              <w:spacing w:line="242" w:lineRule="auto"/>
              <w:jc w:val="both"/>
              <w:rPr>
                <w:color w:val="000000"/>
                <w:sz w:val="20"/>
                <w:szCs w:val="20"/>
              </w:rPr>
            </w:pPr>
            <w:r w:rsidRPr="00E8065F">
              <w:rPr>
                <w:color w:val="000000"/>
                <w:sz w:val="20"/>
                <w:szCs w:val="20"/>
              </w:rPr>
              <w:t xml:space="preserve">ГАУЗ </w:t>
            </w:r>
            <w:r w:rsidR="002F7358">
              <w:rPr>
                <w:color w:val="000000"/>
                <w:sz w:val="20"/>
                <w:szCs w:val="20"/>
              </w:rPr>
              <w:t>«</w:t>
            </w:r>
            <w:r w:rsidRPr="00E8065F">
              <w:rPr>
                <w:color w:val="000000"/>
                <w:sz w:val="20"/>
                <w:szCs w:val="20"/>
              </w:rPr>
              <w:t>Сабинская ЦРБ</w:t>
            </w:r>
            <w:r w:rsidR="002F7358">
              <w:rPr>
                <w:color w:val="000000"/>
                <w:sz w:val="20"/>
                <w:szCs w:val="20"/>
              </w:rPr>
              <w:t>»</w:t>
            </w:r>
          </w:p>
        </w:tc>
        <w:tc>
          <w:tcPr>
            <w:tcW w:w="1994" w:type="dxa"/>
            <w:tcBorders>
              <w:top w:val="nil"/>
              <w:left w:val="single" w:sz="4" w:space="0" w:color="auto"/>
              <w:bottom w:val="single" w:sz="4" w:space="0" w:color="auto"/>
              <w:right w:val="single" w:sz="4" w:space="0" w:color="auto"/>
            </w:tcBorders>
            <w:shd w:val="clear" w:color="auto" w:fill="auto"/>
          </w:tcPr>
          <w:p w:rsidR="000E54C2" w:rsidRPr="00E8065F" w:rsidRDefault="000E54C2" w:rsidP="00CD3A6F">
            <w:pPr>
              <w:spacing w:line="242" w:lineRule="auto"/>
              <w:jc w:val="center"/>
              <w:rPr>
                <w:color w:val="000000"/>
                <w:sz w:val="20"/>
                <w:szCs w:val="20"/>
              </w:rPr>
            </w:pPr>
            <w:r w:rsidRPr="00E8065F">
              <w:rPr>
                <w:color w:val="000000"/>
                <w:sz w:val="20"/>
                <w:szCs w:val="20"/>
              </w:rPr>
              <w:t>Маммограф</w:t>
            </w:r>
          </w:p>
        </w:tc>
        <w:tc>
          <w:tcPr>
            <w:tcW w:w="1181" w:type="dxa"/>
            <w:shd w:val="clear" w:color="auto" w:fill="auto"/>
          </w:tcPr>
          <w:p w:rsidR="000E54C2" w:rsidRPr="00E8065F" w:rsidRDefault="000E54C2" w:rsidP="00CD3A6F">
            <w:pPr>
              <w:spacing w:line="242" w:lineRule="auto"/>
              <w:jc w:val="center"/>
              <w:rPr>
                <w:sz w:val="20"/>
                <w:szCs w:val="20"/>
              </w:rPr>
            </w:pPr>
            <w:r w:rsidRPr="00E8065F">
              <w:rPr>
                <w:sz w:val="20"/>
                <w:szCs w:val="20"/>
              </w:rPr>
              <w:t>2023</w:t>
            </w:r>
          </w:p>
        </w:tc>
        <w:tc>
          <w:tcPr>
            <w:tcW w:w="1181" w:type="dxa"/>
            <w:tcBorders>
              <w:top w:val="nil"/>
              <w:left w:val="single" w:sz="4" w:space="0" w:color="auto"/>
              <w:bottom w:val="single" w:sz="4" w:space="0" w:color="auto"/>
              <w:right w:val="single" w:sz="4" w:space="0" w:color="auto"/>
            </w:tcBorders>
            <w:shd w:val="clear" w:color="auto" w:fill="auto"/>
          </w:tcPr>
          <w:p w:rsidR="000E54C2" w:rsidRPr="00E8065F" w:rsidRDefault="000E54C2" w:rsidP="00CD3A6F">
            <w:pPr>
              <w:spacing w:line="242" w:lineRule="auto"/>
              <w:jc w:val="center"/>
              <w:rPr>
                <w:color w:val="000000"/>
                <w:sz w:val="20"/>
                <w:szCs w:val="20"/>
              </w:rPr>
            </w:pPr>
            <w:r w:rsidRPr="00E8065F">
              <w:rPr>
                <w:color w:val="000000"/>
                <w:sz w:val="20"/>
                <w:szCs w:val="20"/>
              </w:rPr>
              <w:t>1</w:t>
            </w:r>
          </w:p>
        </w:tc>
        <w:tc>
          <w:tcPr>
            <w:tcW w:w="1478" w:type="dxa"/>
            <w:tcBorders>
              <w:top w:val="nil"/>
              <w:left w:val="single" w:sz="4" w:space="0" w:color="auto"/>
              <w:bottom w:val="single" w:sz="4" w:space="0" w:color="auto"/>
              <w:right w:val="single" w:sz="4" w:space="0" w:color="auto"/>
            </w:tcBorders>
            <w:shd w:val="clear" w:color="auto" w:fill="auto"/>
          </w:tcPr>
          <w:p w:rsidR="000E54C2" w:rsidRPr="00E8065F" w:rsidRDefault="000E54C2" w:rsidP="00CD3A6F">
            <w:pPr>
              <w:spacing w:line="242" w:lineRule="auto"/>
              <w:jc w:val="center"/>
              <w:rPr>
                <w:color w:val="000000"/>
                <w:sz w:val="20"/>
                <w:szCs w:val="20"/>
              </w:rPr>
            </w:pPr>
          </w:p>
        </w:tc>
        <w:tc>
          <w:tcPr>
            <w:tcW w:w="1111" w:type="dxa"/>
            <w:tcBorders>
              <w:top w:val="nil"/>
              <w:left w:val="single" w:sz="4" w:space="0" w:color="auto"/>
              <w:bottom w:val="single" w:sz="4" w:space="0" w:color="auto"/>
              <w:right w:val="single" w:sz="4" w:space="0" w:color="auto"/>
            </w:tcBorders>
            <w:shd w:val="clear" w:color="auto" w:fill="auto"/>
          </w:tcPr>
          <w:p w:rsidR="000E54C2" w:rsidRPr="00E8065F" w:rsidRDefault="000E54C2" w:rsidP="00CD3A6F">
            <w:pPr>
              <w:spacing w:line="242" w:lineRule="auto"/>
              <w:jc w:val="center"/>
              <w:rPr>
                <w:color w:val="000000"/>
                <w:sz w:val="20"/>
                <w:szCs w:val="20"/>
              </w:rPr>
            </w:pPr>
          </w:p>
        </w:tc>
        <w:tc>
          <w:tcPr>
            <w:tcW w:w="1944" w:type="dxa"/>
            <w:tcBorders>
              <w:top w:val="nil"/>
              <w:left w:val="single" w:sz="4" w:space="0" w:color="auto"/>
              <w:bottom w:val="single" w:sz="4" w:space="0" w:color="auto"/>
              <w:right w:val="single" w:sz="4" w:space="0" w:color="auto"/>
            </w:tcBorders>
            <w:shd w:val="clear" w:color="auto" w:fill="auto"/>
          </w:tcPr>
          <w:p w:rsidR="000E54C2" w:rsidRPr="00E8065F" w:rsidRDefault="000E54C2" w:rsidP="00CD3A6F">
            <w:pPr>
              <w:spacing w:line="242" w:lineRule="auto"/>
              <w:jc w:val="center"/>
              <w:rPr>
                <w:color w:val="000000"/>
                <w:sz w:val="20"/>
                <w:szCs w:val="20"/>
              </w:rPr>
            </w:pPr>
            <w:r w:rsidRPr="00E8065F">
              <w:rPr>
                <w:color w:val="000000"/>
                <w:sz w:val="20"/>
                <w:szCs w:val="20"/>
              </w:rPr>
              <w:t>Амбулаторное</w:t>
            </w:r>
          </w:p>
        </w:tc>
      </w:tr>
      <w:tr w:rsidR="00BA1432" w:rsidRPr="00E8065F" w:rsidTr="000546C2">
        <w:trPr>
          <w:trHeight w:val="20"/>
        </w:trPr>
        <w:tc>
          <w:tcPr>
            <w:tcW w:w="1555" w:type="dxa"/>
            <w:vMerge/>
          </w:tcPr>
          <w:p w:rsidR="000E54C2" w:rsidRPr="00E8065F" w:rsidRDefault="000E54C2" w:rsidP="00BA1432">
            <w:pPr>
              <w:rPr>
                <w:sz w:val="20"/>
                <w:szCs w:val="20"/>
              </w:rPr>
            </w:pPr>
          </w:p>
        </w:tc>
        <w:tc>
          <w:tcPr>
            <w:tcW w:w="3685" w:type="dxa"/>
            <w:tcBorders>
              <w:top w:val="nil"/>
              <w:left w:val="single" w:sz="4" w:space="0" w:color="auto"/>
              <w:bottom w:val="single" w:sz="4" w:space="0" w:color="auto"/>
              <w:right w:val="single" w:sz="4" w:space="0" w:color="auto"/>
            </w:tcBorders>
            <w:shd w:val="clear" w:color="auto" w:fill="auto"/>
          </w:tcPr>
          <w:p w:rsidR="000E54C2" w:rsidRPr="00E8065F" w:rsidRDefault="000E54C2" w:rsidP="00CD3A6F">
            <w:pPr>
              <w:spacing w:line="242" w:lineRule="auto"/>
              <w:jc w:val="both"/>
              <w:rPr>
                <w:color w:val="000000"/>
                <w:sz w:val="20"/>
                <w:szCs w:val="20"/>
              </w:rPr>
            </w:pPr>
            <w:r w:rsidRPr="00E8065F">
              <w:rPr>
                <w:color w:val="000000"/>
                <w:sz w:val="20"/>
                <w:szCs w:val="20"/>
              </w:rPr>
              <w:t xml:space="preserve">ГАУЗ </w:t>
            </w:r>
            <w:r w:rsidR="002F7358">
              <w:rPr>
                <w:color w:val="000000"/>
                <w:sz w:val="20"/>
                <w:szCs w:val="20"/>
              </w:rPr>
              <w:t>«</w:t>
            </w:r>
            <w:r w:rsidRPr="00E8065F">
              <w:rPr>
                <w:color w:val="000000"/>
                <w:sz w:val="20"/>
                <w:szCs w:val="20"/>
              </w:rPr>
              <w:t>Сармановская ЦРБ</w:t>
            </w:r>
            <w:r w:rsidR="002F7358">
              <w:rPr>
                <w:color w:val="000000"/>
                <w:sz w:val="20"/>
                <w:szCs w:val="20"/>
              </w:rPr>
              <w:t>»</w:t>
            </w:r>
          </w:p>
        </w:tc>
        <w:tc>
          <w:tcPr>
            <w:tcW w:w="1994" w:type="dxa"/>
            <w:tcBorders>
              <w:top w:val="nil"/>
              <w:left w:val="single" w:sz="4" w:space="0" w:color="auto"/>
              <w:bottom w:val="single" w:sz="4" w:space="0" w:color="auto"/>
              <w:right w:val="single" w:sz="4" w:space="0" w:color="auto"/>
            </w:tcBorders>
            <w:shd w:val="clear" w:color="auto" w:fill="auto"/>
          </w:tcPr>
          <w:p w:rsidR="000E54C2" w:rsidRPr="00E8065F" w:rsidRDefault="000E54C2" w:rsidP="00CD3A6F">
            <w:pPr>
              <w:spacing w:line="242" w:lineRule="auto"/>
              <w:jc w:val="center"/>
              <w:rPr>
                <w:color w:val="000000"/>
                <w:sz w:val="20"/>
                <w:szCs w:val="20"/>
              </w:rPr>
            </w:pPr>
            <w:r w:rsidRPr="00E8065F">
              <w:rPr>
                <w:color w:val="000000"/>
                <w:sz w:val="20"/>
                <w:szCs w:val="20"/>
              </w:rPr>
              <w:t>Маммограф</w:t>
            </w:r>
          </w:p>
        </w:tc>
        <w:tc>
          <w:tcPr>
            <w:tcW w:w="1181" w:type="dxa"/>
            <w:shd w:val="clear" w:color="auto" w:fill="auto"/>
          </w:tcPr>
          <w:p w:rsidR="000E54C2" w:rsidRPr="00E8065F" w:rsidRDefault="000E54C2" w:rsidP="00CD3A6F">
            <w:pPr>
              <w:spacing w:line="242" w:lineRule="auto"/>
              <w:jc w:val="center"/>
              <w:rPr>
                <w:sz w:val="20"/>
                <w:szCs w:val="20"/>
              </w:rPr>
            </w:pPr>
            <w:r w:rsidRPr="00E8065F">
              <w:rPr>
                <w:sz w:val="20"/>
                <w:szCs w:val="20"/>
              </w:rPr>
              <w:t>2023</w:t>
            </w:r>
          </w:p>
        </w:tc>
        <w:tc>
          <w:tcPr>
            <w:tcW w:w="1181" w:type="dxa"/>
            <w:tcBorders>
              <w:top w:val="nil"/>
              <w:left w:val="single" w:sz="4" w:space="0" w:color="auto"/>
              <w:bottom w:val="single" w:sz="4" w:space="0" w:color="auto"/>
              <w:right w:val="single" w:sz="4" w:space="0" w:color="auto"/>
            </w:tcBorders>
            <w:shd w:val="clear" w:color="auto" w:fill="auto"/>
          </w:tcPr>
          <w:p w:rsidR="000E54C2" w:rsidRPr="00E8065F" w:rsidRDefault="000E54C2" w:rsidP="00CD3A6F">
            <w:pPr>
              <w:spacing w:line="242" w:lineRule="auto"/>
              <w:jc w:val="center"/>
              <w:rPr>
                <w:color w:val="000000"/>
                <w:sz w:val="20"/>
                <w:szCs w:val="20"/>
              </w:rPr>
            </w:pPr>
            <w:r w:rsidRPr="00E8065F">
              <w:rPr>
                <w:color w:val="000000"/>
                <w:sz w:val="20"/>
                <w:szCs w:val="20"/>
              </w:rPr>
              <w:t>1</w:t>
            </w:r>
          </w:p>
        </w:tc>
        <w:tc>
          <w:tcPr>
            <w:tcW w:w="1478" w:type="dxa"/>
            <w:tcBorders>
              <w:top w:val="nil"/>
              <w:left w:val="single" w:sz="4" w:space="0" w:color="auto"/>
              <w:bottom w:val="single" w:sz="4" w:space="0" w:color="auto"/>
              <w:right w:val="single" w:sz="4" w:space="0" w:color="auto"/>
            </w:tcBorders>
            <w:shd w:val="clear" w:color="auto" w:fill="auto"/>
          </w:tcPr>
          <w:p w:rsidR="000E54C2" w:rsidRPr="00E8065F" w:rsidRDefault="000E54C2" w:rsidP="00CD3A6F">
            <w:pPr>
              <w:spacing w:line="242" w:lineRule="auto"/>
              <w:jc w:val="center"/>
              <w:rPr>
                <w:color w:val="000000"/>
                <w:sz w:val="20"/>
                <w:szCs w:val="20"/>
              </w:rPr>
            </w:pPr>
          </w:p>
        </w:tc>
        <w:tc>
          <w:tcPr>
            <w:tcW w:w="1111" w:type="dxa"/>
            <w:tcBorders>
              <w:top w:val="nil"/>
              <w:left w:val="single" w:sz="4" w:space="0" w:color="auto"/>
              <w:bottom w:val="single" w:sz="4" w:space="0" w:color="auto"/>
              <w:right w:val="single" w:sz="4" w:space="0" w:color="auto"/>
            </w:tcBorders>
            <w:shd w:val="clear" w:color="auto" w:fill="auto"/>
          </w:tcPr>
          <w:p w:rsidR="000E54C2" w:rsidRPr="00E8065F" w:rsidRDefault="000E54C2" w:rsidP="00CD3A6F">
            <w:pPr>
              <w:spacing w:line="242" w:lineRule="auto"/>
              <w:jc w:val="center"/>
              <w:rPr>
                <w:color w:val="000000"/>
                <w:sz w:val="20"/>
                <w:szCs w:val="20"/>
              </w:rPr>
            </w:pPr>
          </w:p>
        </w:tc>
        <w:tc>
          <w:tcPr>
            <w:tcW w:w="1944" w:type="dxa"/>
            <w:tcBorders>
              <w:top w:val="nil"/>
              <w:left w:val="single" w:sz="4" w:space="0" w:color="auto"/>
              <w:bottom w:val="single" w:sz="4" w:space="0" w:color="auto"/>
              <w:right w:val="single" w:sz="4" w:space="0" w:color="auto"/>
            </w:tcBorders>
            <w:shd w:val="clear" w:color="auto" w:fill="auto"/>
          </w:tcPr>
          <w:p w:rsidR="000E54C2" w:rsidRPr="00E8065F" w:rsidRDefault="000E54C2" w:rsidP="00CD3A6F">
            <w:pPr>
              <w:spacing w:line="242" w:lineRule="auto"/>
              <w:jc w:val="center"/>
              <w:rPr>
                <w:color w:val="000000"/>
                <w:sz w:val="20"/>
                <w:szCs w:val="20"/>
              </w:rPr>
            </w:pPr>
            <w:r w:rsidRPr="00E8065F">
              <w:rPr>
                <w:color w:val="000000"/>
                <w:sz w:val="20"/>
                <w:szCs w:val="20"/>
              </w:rPr>
              <w:t>Амбулаторное</w:t>
            </w:r>
          </w:p>
        </w:tc>
      </w:tr>
      <w:tr w:rsidR="00BA1432" w:rsidRPr="00E8065F" w:rsidTr="000546C2">
        <w:trPr>
          <w:trHeight w:val="20"/>
        </w:trPr>
        <w:tc>
          <w:tcPr>
            <w:tcW w:w="1555" w:type="dxa"/>
            <w:vMerge/>
          </w:tcPr>
          <w:p w:rsidR="000E54C2" w:rsidRPr="00E8065F" w:rsidRDefault="000E54C2" w:rsidP="00BA1432">
            <w:pPr>
              <w:rPr>
                <w:sz w:val="20"/>
                <w:szCs w:val="20"/>
              </w:rPr>
            </w:pPr>
          </w:p>
        </w:tc>
        <w:tc>
          <w:tcPr>
            <w:tcW w:w="3685" w:type="dxa"/>
            <w:tcBorders>
              <w:top w:val="nil"/>
              <w:left w:val="single" w:sz="4" w:space="0" w:color="auto"/>
              <w:bottom w:val="single" w:sz="4" w:space="0" w:color="auto"/>
              <w:right w:val="single" w:sz="4" w:space="0" w:color="auto"/>
            </w:tcBorders>
            <w:shd w:val="clear" w:color="auto" w:fill="auto"/>
          </w:tcPr>
          <w:p w:rsidR="000E54C2" w:rsidRPr="00E8065F" w:rsidRDefault="000E54C2" w:rsidP="00CD3A6F">
            <w:pPr>
              <w:spacing w:line="242" w:lineRule="auto"/>
              <w:jc w:val="both"/>
              <w:rPr>
                <w:color w:val="000000"/>
                <w:sz w:val="20"/>
                <w:szCs w:val="20"/>
              </w:rPr>
            </w:pPr>
            <w:r w:rsidRPr="00E8065F">
              <w:rPr>
                <w:color w:val="000000"/>
                <w:sz w:val="20"/>
                <w:szCs w:val="20"/>
              </w:rPr>
              <w:t xml:space="preserve">ГАУЗ </w:t>
            </w:r>
            <w:r w:rsidR="002F7358">
              <w:rPr>
                <w:color w:val="000000"/>
                <w:sz w:val="20"/>
                <w:szCs w:val="20"/>
              </w:rPr>
              <w:t>«</w:t>
            </w:r>
            <w:r w:rsidRPr="00E8065F">
              <w:rPr>
                <w:color w:val="000000"/>
                <w:sz w:val="20"/>
                <w:szCs w:val="20"/>
              </w:rPr>
              <w:t>Тетюшская ЦРБ</w:t>
            </w:r>
            <w:r w:rsidR="002F7358">
              <w:rPr>
                <w:color w:val="000000"/>
                <w:sz w:val="20"/>
                <w:szCs w:val="20"/>
              </w:rPr>
              <w:t>»</w:t>
            </w:r>
          </w:p>
        </w:tc>
        <w:tc>
          <w:tcPr>
            <w:tcW w:w="1994" w:type="dxa"/>
            <w:tcBorders>
              <w:top w:val="nil"/>
              <w:left w:val="single" w:sz="4" w:space="0" w:color="auto"/>
              <w:bottom w:val="single" w:sz="4" w:space="0" w:color="auto"/>
              <w:right w:val="single" w:sz="4" w:space="0" w:color="auto"/>
            </w:tcBorders>
            <w:shd w:val="clear" w:color="auto" w:fill="auto"/>
          </w:tcPr>
          <w:p w:rsidR="000E54C2" w:rsidRPr="00E8065F" w:rsidRDefault="000E54C2" w:rsidP="00CD3A6F">
            <w:pPr>
              <w:spacing w:line="242" w:lineRule="auto"/>
              <w:jc w:val="center"/>
              <w:rPr>
                <w:color w:val="000000"/>
                <w:sz w:val="20"/>
                <w:szCs w:val="20"/>
              </w:rPr>
            </w:pPr>
            <w:r w:rsidRPr="00E8065F">
              <w:rPr>
                <w:color w:val="000000"/>
                <w:sz w:val="20"/>
                <w:szCs w:val="20"/>
              </w:rPr>
              <w:t>Маммограф</w:t>
            </w:r>
          </w:p>
        </w:tc>
        <w:tc>
          <w:tcPr>
            <w:tcW w:w="1181" w:type="dxa"/>
            <w:shd w:val="clear" w:color="auto" w:fill="auto"/>
          </w:tcPr>
          <w:p w:rsidR="000E54C2" w:rsidRPr="00E8065F" w:rsidRDefault="000E54C2" w:rsidP="00CD3A6F">
            <w:pPr>
              <w:spacing w:line="242" w:lineRule="auto"/>
              <w:jc w:val="center"/>
              <w:rPr>
                <w:sz w:val="20"/>
                <w:szCs w:val="20"/>
              </w:rPr>
            </w:pPr>
            <w:r w:rsidRPr="00E8065F">
              <w:rPr>
                <w:sz w:val="20"/>
                <w:szCs w:val="20"/>
              </w:rPr>
              <w:t>2022</w:t>
            </w:r>
          </w:p>
        </w:tc>
        <w:tc>
          <w:tcPr>
            <w:tcW w:w="1181" w:type="dxa"/>
            <w:tcBorders>
              <w:top w:val="nil"/>
              <w:left w:val="single" w:sz="4" w:space="0" w:color="auto"/>
              <w:bottom w:val="single" w:sz="4" w:space="0" w:color="auto"/>
              <w:right w:val="single" w:sz="4" w:space="0" w:color="auto"/>
            </w:tcBorders>
            <w:shd w:val="clear" w:color="auto" w:fill="auto"/>
          </w:tcPr>
          <w:p w:rsidR="000E54C2" w:rsidRPr="00E8065F" w:rsidRDefault="000E54C2" w:rsidP="00CD3A6F">
            <w:pPr>
              <w:spacing w:line="242" w:lineRule="auto"/>
              <w:jc w:val="center"/>
              <w:rPr>
                <w:color w:val="000000"/>
                <w:sz w:val="20"/>
                <w:szCs w:val="20"/>
              </w:rPr>
            </w:pPr>
            <w:r w:rsidRPr="00E8065F">
              <w:rPr>
                <w:color w:val="000000"/>
                <w:sz w:val="20"/>
                <w:szCs w:val="20"/>
              </w:rPr>
              <w:t>1</w:t>
            </w:r>
          </w:p>
        </w:tc>
        <w:tc>
          <w:tcPr>
            <w:tcW w:w="1478" w:type="dxa"/>
            <w:tcBorders>
              <w:top w:val="nil"/>
              <w:left w:val="single" w:sz="4" w:space="0" w:color="auto"/>
              <w:bottom w:val="single" w:sz="4" w:space="0" w:color="auto"/>
              <w:right w:val="single" w:sz="4" w:space="0" w:color="auto"/>
            </w:tcBorders>
            <w:shd w:val="clear" w:color="auto" w:fill="auto"/>
          </w:tcPr>
          <w:p w:rsidR="000E54C2" w:rsidRPr="00E8065F" w:rsidRDefault="000E54C2" w:rsidP="00CD3A6F">
            <w:pPr>
              <w:spacing w:line="242" w:lineRule="auto"/>
              <w:jc w:val="center"/>
              <w:rPr>
                <w:color w:val="000000"/>
                <w:sz w:val="20"/>
                <w:szCs w:val="20"/>
              </w:rPr>
            </w:pPr>
            <w:r w:rsidRPr="00E8065F">
              <w:rPr>
                <w:color w:val="000000"/>
                <w:sz w:val="20"/>
                <w:szCs w:val="20"/>
              </w:rPr>
              <w:t>4</w:t>
            </w:r>
          </w:p>
        </w:tc>
        <w:tc>
          <w:tcPr>
            <w:tcW w:w="1111" w:type="dxa"/>
            <w:tcBorders>
              <w:top w:val="nil"/>
              <w:left w:val="single" w:sz="4" w:space="0" w:color="auto"/>
              <w:bottom w:val="single" w:sz="4" w:space="0" w:color="auto"/>
              <w:right w:val="single" w:sz="4" w:space="0" w:color="auto"/>
            </w:tcBorders>
            <w:shd w:val="clear" w:color="auto" w:fill="auto"/>
          </w:tcPr>
          <w:p w:rsidR="000E54C2" w:rsidRPr="00E8065F" w:rsidRDefault="000E54C2" w:rsidP="00CD3A6F">
            <w:pPr>
              <w:spacing w:line="242" w:lineRule="auto"/>
              <w:jc w:val="center"/>
              <w:rPr>
                <w:color w:val="000000"/>
                <w:sz w:val="20"/>
                <w:szCs w:val="20"/>
              </w:rPr>
            </w:pPr>
            <w:r w:rsidRPr="00E8065F">
              <w:rPr>
                <w:color w:val="000000"/>
                <w:sz w:val="20"/>
                <w:szCs w:val="20"/>
              </w:rPr>
              <w:t>2</w:t>
            </w:r>
          </w:p>
        </w:tc>
        <w:tc>
          <w:tcPr>
            <w:tcW w:w="1944" w:type="dxa"/>
            <w:tcBorders>
              <w:top w:val="nil"/>
              <w:left w:val="single" w:sz="4" w:space="0" w:color="auto"/>
              <w:bottom w:val="single" w:sz="4" w:space="0" w:color="auto"/>
              <w:right w:val="single" w:sz="4" w:space="0" w:color="auto"/>
            </w:tcBorders>
            <w:shd w:val="clear" w:color="auto" w:fill="auto"/>
          </w:tcPr>
          <w:p w:rsidR="000E54C2" w:rsidRPr="00E8065F" w:rsidRDefault="000E54C2" w:rsidP="00CD3A6F">
            <w:pPr>
              <w:spacing w:line="242" w:lineRule="auto"/>
              <w:jc w:val="center"/>
              <w:rPr>
                <w:color w:val="000000"/>
                <w:sz w:val="20"/>
                <w:szCs w:val="20"/>
              </w:rPr>
            </w:pPr>
            <w:r w:rsidRPr="00E8065F">
              <w:rPr>
                <w:color w:val="000000"/>
                <w:sz w:val="20"/>
                <w:szCs w:val="20"/>
              </w:rPr>
              <w:t>Амбулаторное</w:t>
            </w:r>
          </w:p>
        </w:tc>
      </w:tr>
      <w:tr w:rsidR="00BA1432" w:rsidRPr="00E8065F" w:rsidTr="000546C2">
        <w:trPr>
          <w:trHeight w:val="20"/>
        </w:trPr>
        <w:tc>
          <w:tcPr>
            <w:tcW w:w="1555" w:type="dxa"/>
            <w:vMerge/>
          </w:tcPr>
          <w:p w:rsidR="000E54C2" w:rsidRPr="00E8065F" w:rsidRDefault="000E54C2" w:rsidP="00BA1432">
            <w:pPr>
              <w:rPr>
                <w:sz w:val="20"/>
                <w:szCs w:val="20"/>
              </w:rPr>
            </w:pPr>
          </w:p>
        </w:tc>
        <w:tc>
          <w:tcPr>
            <w:tcW w:w="3685" w:type="dxa"/>
            <w:tcBorders>
              <w:top w:val="nil"/>
              <w:left w:val="single" w:sz="4" w:space="0" w:color="auto"/>
              <w:bottom w:val="single" w:sz="4" w:space="0" w:color="auto"/>
              <w:right w:val="single" w:sz="4" w:space="0" w:color="auto"/>
            </w:tcBorders>
            <w:shd w:val="clear" w:color="auto" w:fill="auto"/>
          </w:tcPr>
          <w:p w:rsidR="000E54C2" w:rsidRPr="00E8065F" w:rsidRDefault="000E54C2" w:rsidP="00CD3A6F">
            <w:pPr>
              <w:spacing w:line="242" w:lineRule="auto"/>
              <w:jc w:val="both"/>
              <w:rPr>
                <w:color w:val="000000"/>
                <w:sz w:val="20"/>
                <w:szCs w:val="20"/>
              </w:rPr>
            </w:pPr>
            <w:r w:rsidRPr="00E8065F">
              <w:rPr>
                <w:color w:val="000000"/>
                <w:sz w:val="20"/>
                <w:szCs w:val="20"/>
              </w:rPr>
              <w:t xml:space="preserve">ГАУЗ </w:t>
            </w:r>
            <w:r w:rsidR="002F7358">
              <w:rPr>
                <w:color w:val="000000"/>
                <w:sz w:val="20"/>
                <w:szCs w:val="20"/>
              </w:rPr>
              <w:t>«</w:t>
            </w:r>
            <w:r w:rsidRPr="00E8065F">
              <w:rPr>
                <w:color w:val="000000"/>
                <w:sz w:val="20"/>
                <w:szCs w:val="20"/>
              </w:rPr>
              <w:t>Тукаевская ЦРБ</w:t>
            </w:r>
            <w:r w:rsidR="002F7358">
              <w:rPr>
                <w:color w:val="000000"/>
                <w:sz w:val="20"/>
                <w:szCs w:val="20"/>
              </w:rPr>
              <w:t>»</w:t>
            </w:r>
          </w:p>
        </w:tc>
        <w:tc>
          <w:tcPr>
            <w:tcW w:w="1994" w:type="dxa"/>
            <w:tcBorders>
              <w:top w:val="nil"/>
              <w:left w:val="single" w:sz="4" w:space="0" w:color="auto"/>
              <w:bottom w:val="single" w:sz="4" w:space="0" w:color="auto"/>
              <w:right w:val="single" w:sz="4" w:space="0" w:color="auto"/>
            </w:tcBorders>
            <w:shd w:val="clear" w:color="auto" w:fill="auto"/>
          </w:tcPr>
          <w:p w:rsidR="000E54C2" w:rsidRPr="00E8065F" w:rsidRDefault="000E54C2" w:rsidP="00CD3A6F">
            <w:pPr>
              <w:spacing w:line="242" w:lineRule="auto"/>
              <w:jc w:val="center"/>
              <w:rPr>
                <w:color w:val="000000"/>
                <w:sz w:val="20"/>
                <w:szCs w:val="20"/>
              </w:rPr>
            </w:pPr>
            <w:r w:rsidRPr="00E8065F">
              <w:rPr>
                <w:color w:val="000000"/>
                <w:sz w:val="20"/>
                <w:szCs w:val="20"/>
              </w:rPr>
              <w:t>Маммограф</w:t>
            </w:r>
          </w:p>
        </w:tc>
        <w:tc>
          <w:tcPr>
            <w:tcW w:w="1181" w:type="dxa"/>
            <w:shd w:val="clear" w:color="auto" w:fill="auto"/>
          </w:tcPr>
          <w:p w:rsidR="000E54C2" w:rsidRPr="00E8065F" w:rsidRDefault="000E54C2" w:rsidP="00CD3A6F">
            <w:pPr>
              <w:spacing w:line="242" w:lineRule="auto"/>
              <w:jc w:val="center"/>
              <w:rPr>
                <w:sz w:val="20"/>
                <w:szCs w:val="20"/>
              </w:rPr>
            </w:pPr>
            <w:r w:rsidRPr="00E8065F">
              <w:rPr>
                <w:sz w:val="20"/>
                <w:szCs w:val="20"/>
              </w:rPr>
              <w:t>2021</w:t>
            </w:r>
          </w:p>
        </w:tc>
        <w:tc>
          <w:tcPr>
            <w:tcW w:w="1181" w:type="dxa"/>
            <w:tcBorders>
              <w:top w:val="nil"/>
              <w:left w:val="single" w:sz="4" w:space="0" w:color="auto"/>
              <w:bottom w:val="single" w:sz="4" w:space="0" w:color="auto"/>
              <w:right w:val="single" w:sz="4" w:space="0" w:color="auto"/>
            </w:tcBorders>
            <w:shd w:val="clear" w:color="auto" w:fill="auto"/>
          </w:tcPr>
          <w:p w:rsidR="000E54C2" w:rsidRPr="00E8065F" w:rsidRDefault="000E54C2" w:rsidP="00CD3A6F">
            <w:pPr>
              <w:spacing w:line="242" w:lineRule="auto"/>
              <w:jc w:val="center"/>
              <w:rPr>
                <w:color w:val="000000"/>
                <w:sz w:val="20"/>
                <w:szCs w:val="20"/>
              </w:rPr>
            </w:pPr>
            <w:r w:rsidRPr="00E8065F">
              <w:rPr>
                <w:color w:val="000000"/>
                <w:sz w:val="20"/>
                <w:szCs w:val="20"/>
              </w:rPr>
              <w:t>1</w:t>
            </w:r>
          </w:p>
        </w:tc>
        <w:tc>
          <w:tcPr>
            <w:tcW w:w="1478" w:type="dxa"/>
            <w:tcBorders>
              <w:top w:val="nil"/>
              <w:left w:val="single" w:sz="4" w:space="0" w:color="auto"/>
              <w:bottom w:val="single" w:sz="4" w:space="0" w:color="auto"/>
              <w:right w:val="single" w:sz="4" w:space="0" w:color="auto"/>
            </w:tcBorders>
            <w:shd w:val="clear" w:color="auto" w:fill="auto"/>
          </w:tcPr>
          <w:p w:rsidR="000E54C2" w:rsidRPr="00E8065F" w:rsidRDefault="000E54C2" w:rsidP="00CD3A6F">
            <w:pPr>
              <w:spacing w:line="242" w:lineRule="auto"/>
              <w:jc w:val="center"/>
              <w:rPr>
                <w:color w:val="000000"/>
                <w:sz w:val="20"/>
                <w:szCs w:val="20"/>
              </w:rPr>
            </w:pPr>
            <w:r w:rsidRPr="00E8065F">
              <w:rPr>
                <w:color w:val="000000"/>
                <w:sz w:val="20"/>
                <w:szCs w:val="20"/>
              </w:rPr>
              <w:t>7</w:t>
            </w:r>
          </w:p>
        </w:tc>
        <w:tc>
          <w:tcPr>
            <w:tcW w:w="1111" w:type="dxa"/>
            <w:tcBorders>
              <w:top w:val="nil"/>
              <w:left w:val="single" w:sz="4" w:space="0" w:color="auto"/>
              <w:bottom w:val="single" w:sz="4" w:space="0" w:color="auto"/>
              <w:right w:val="single" w:sz="4" w:space="0" w:color="auto"/>
            </w:tcBorders>
            <w:shd w:val="clear" w:color="auto" w:fill="auto"/>
          </w:tcPr>
          <w:p w:rsidR="000E54C2" w:rsidRPr="00E8065F" w:rsidRDefault="000E54C2" w:rsidP="00CD3A6F">
            <w:pPr>
              <w:spacing w:line="242" w:lineRule="auto"/>
              <w:jc w:val="center"/>
              <w:rPr>
                <w:color w:val="000000"/>
                <w:sz w:val="20"/>
                <w:szCs w:val="20"/>
              </w:rPr>
            </w:pPr>
            <w:r w:rsidRPr="00E8065F">
              <w:rPr>
                <w:color w:val="000000"/>
                <w:sz w:val="20"/>
                <w:szCs w:val="20"/>
              </w:rPr>
              <w:t>2</w:t>
            </w:r>
          </w:p>
        </w:tc>
        <w:tc>
          <w:tcPr>
            <w:tcW w:w="1944" w:type="dxa"/>
            <w:tcBorders>
              <w:top w:val="nil"/>
              <w:left w:val="single" w:sz="4" w:space="0" w:color="auto"/>
              <w:bottom w:val="single" w:sz="4" w:space="0" w:color="auto"/>
              <w:right w:val="single" w:sz="4" w:space="0" w:color="auto"/>
            </w:tcBorders>
            <w:shd w:val="clear" w:color="auto" w:fill="auto"/>
          </w:tcPr>
          <w:p w:rsidR="000E54C2" w:rsidRPr="00E8065F" w:rsidRDefault="000E54C2" w:rsidP="00CD3A6F">
            <w:pPr>
              <w:spacing w:line="242" w:lineRule="auto"/>
              <w:jc w:val="center"/>
              <w:rPr>
                <w:color w:val="000000"/>
                <w:sz w:val="20"/>
                <w:szCs w:val="20"/>
              </w:rPr>
            </w:pPr>
            <w:r w:rsidRPr="00E8065F">
              <w:rPr>
                <w:color w:val="000000"/>
                <w:sz w:val="20"/>
                <w:szCs w:val="20"/>
              </w:rPr>
              <w:t>Амбулаторное</w:t>
            </w:r>
          </w:p>
        </w:tc>
      </w:tr>
      <w:tr w:rsidR="00BA1432" w:rsidRPr="00E8065F" w:rsidTr="000546C2">
        <w:trPr>
          <w:trHeight w:val="20"/>
        </w:trPr>
        <w:tc>
          <w:tcPr>
            <w:tcW w:w="1555" w:type="dxa"/>
            <w:vMerge/>
          </w:tcPr>
          <w:p w:rsidR="000E54C2" w:rsidRPr="00E8065F" w:rsidRDefault="000E54C2" w:rsidP="00BA1432">
            <w:pPr>
              <w:rPr>
                <w:sz w:val="20"/>
                <w:szCs w:val="20"/>
              </w:rPr>
            </w:pPr>
          </w:p>
        </w:tc>
        <w:tc>
          <w:tcPr>
            <w:tcW w:w="3685" w:type="dxa"/>
            <w:tcBorders>
              <w:top w:val="nil"/>
              <w:left w:val="single" w:sz="4" w:space="0" w:color="auto"/>
              <w:bottom w:val="single" w:sz="4" w:space="0" w:color="auto"/>
              <w:right w:val="single" w:sz="4" w:space="0" w:color="auto"/>
            </w:tcBorders>
            <w:shd w:val="clear" w:color="auto" w:fill="auto"/>
          </w:tcPr>
          <w:p w:rsidR="000E54C2" w:rsidRPr="00E8065F" w:rsidRDefault="000E54C2" w:rsidP="00CD3A6F">
            <w:pPr>
              <w:spacing w:line="242" w:lineRule="auto"/>
              <w:jc w:val="both"/>
              <w:rPr>
                <w:color w:val="000000"/>
                <w:sz w:val="20"/>
                <w:szCs w:val="20"/>
              </w:rPr>
            </w:pPr>
            <w:r w:rsidRPr="00E8065F">
              <w:rPr>
                <w:color w:val="000000"/>
                <w:sz w:val="20"/>
                <w:szCs w:val="20"/>
              </w:rPr>
              <w:t xml:space="preserve">ГАУЗ </w:t>
            </w:r>
            <w:r w:rsidR="002F7358">
              <w:rPr>
                <w:color w:val="000000"/>
                <w:sz w:val="20"/>
                <w:szCs w:val="20"/>
              </w:rPr>
              <w:t>«</w:t>
            </w:r>
            <w:r w:rsidRPr="00E8065F">
              <w:rPr>
                <w:color w:val="000000"/>
                <w:sz w:val="20"/>
                <w:szCs w:val="20"/>
              </w:rPr>
              <w:t>Чистопольская ЦРБ</w:t>
            </w:r>
            <w:r w:rsidR="002F7358">
              <w:rPr>
                <w:color w:val="000000"/>
                <w:sz w:val="20"/>
                <w:szCs w:val="20"/>
              </w:rPr>
              <w:t>»</w:t>
            </w:r>
          </w:p>
        </w:tc>
        <w:tc>
          <w:tcPr>
            <w:tcW w:w="1994" w:type="dxa"/>
            <w:tcBorders>
              <w:top w:val="nil"/>
              <w:left w:val="single" w:sz="4" w:space="0" w:color="auto"/>
              <w:bottom w:val="single" w:sz="4" w:space="0" w:color="auto"/>
              <w:right w:val="single" w:sz="4" w:space="0" w:color="auto"/>
            </w:tcBorders>
            <w:shd w:val="clear" w:color="auto" w:fill="auto"/>
          </w:tcPr>
          <w:p w:rsidR="000E54C2" w:rsidRPr="00E8065F" w:rsidRDefault="000E54C2" w:rsidP="00CD3A6F">
            <w:pPr>
              <w:spacing w:line="242" w:lineRule="auto"/>
              <w:jc w:val="center"/>
              <w:rPr>
                <w:color w:val="000000"/>
                <w:sz w:val="20"/>
                <w:szCs w:val="20"/>
              </w:rPr>
            </w:pPr>
            <w:r w:rsidRPr="00E8065F">
              <w:rPr>
                <w:color w:val="000000"/>
                <w:sz w:val="20"/>
                <w:szCs w:val="20"/>
              </w:rPr>
              <w:t>Маммограф</w:t>
            </w:r>
          </w:p>
        </w:tc>
        <w:tc>
          <w:tcPr>
            <w:tcW w:w="1181" w:type="dxa"/>
            <w:shd w:val="clear" w:color="auto" w:fill="auto"/>
          </w:tcPr>
          <w:p w:rsidR="000E54C2" w:rsidRPr="00E8065F" w:rsidRDefault="000E54C2" w:rsidP="00CD3A6F">
            <w:pPr>
              <w:spacing w:line="242" w:lineRule="auto"/>
              <w:jc w:val="center"/>
              <w:rPr>
                <w:sz w:val="20"/>
                <w:szCs w:val="20"/>
              </w:rPr>
            </w:pPr>
            <w:r w:rsidRPr="00E8065F">
              <w:rPr>
                <w:sz w:val="20"/>
                <w:szCs w:val="20"/>
              </w:rPr>
              <w:t>2016</w:t>
            </w:r>
            <w:r w:rsidR="00AA5FB3">
              <w:rPr>
                <w:sz w:val="20"/>
                <w:szCs w:val="20"/>
              </w:rPr>
              <w:t xml:space="preserve"> </w:t>
            </w:r>
            <w:r w:rsidR="00B7341A">
              <w:rPr>
                <w:sz w:val="20"/>
                <w:szCs w:val="20"/>
              </w:rPr>
              <w:t>(1)</w:t>
            </w:r>
          </w:p>
          <w:p w:rsidR="000E54C2" w:rsidRPr="00E8065F" w:rsidRDefault="000E54C2" w:rsidP="00CD3A6F">
            <w:pPr>
              <w:spacing w:line="242" w:lineRule="auto"/>
              <w:jc w:val="center"/>
              <w:rPr>
                <w:sz w:val="20"/>
                <w:szCs w:val="20"/>
              </w:rPr>
            </w:pPr>
            <w:r w:rsidRPr="00E8065F">
              <w:rPr>
                <w:sz w:val="20"/>
                <w:szCs w:val="20"/>
              </w:rPr>
              <w:t>2022</w:t>
            </w:r>
            <w:r w:rsidR="00AA5FB3">
              <w:rPr>
                <w:sz w:val="20"/>
                <w:szCs w:val="20"/>
              </w:rPr>
              <w:t xml:space="preserve"> </w:t>
            </w:r>
            <w:r w:rsidR="00B7341A">
              <w:rPr>
                <w:sz w:val="20"/>
                <w:szCs w:val="20"/>
              </w:rPr>
              <w:t>(1)</w:t>
            </w:r>
          </w:p>
        </w:tc>
        <w:tc>
          <w:tcPr>
            <w:tcW w:w="1181" w:type="dxa"/>
            <w:tcBorders>
              <w:top w:val="nil"/>
              <w:left w:val="single" w:sz="4" w:space="0" w:color="auto"/>
              <w:bottom w:val="single" w:sz="4" w:space="0" w:color="auto"/>
              <w:right w:val="single" w:sz="4" w:space="0" w:color="auto"/>
            </w:tcBorders>
            <w:shd w:val="clear" w:color="auto" w:fill="auto"/>
          </w:tcPr>
          <w:p w:rsidR="000E54C2" w:rsidRPr="00E8065F" w:rsidRDefault="000E54C2" w:rsidP="00CD3A6F">
            <w:pPr>
              <w:spacing w:line="242" w:lineRule="auto"/>
              <w:jc w:val="center"/>
              <w:rPr>
                <w:color w:val="000000"/>
                <w:sz w:val="20"/>
                <w:szCs w:val="20"/>
              </w:rPr>
            </w:pPr>
            <w:r w:rsidRPr="00E8065F">
              <w:rPr>
                <w:color w:val="000000"/>
                <w:sz w:val="20"/>
                <w:szCs w:val="20"/>
              </w:rPr>
              <w:t>2</w:t>
            </w:r>
          </w:p>
        </w:tc>
        <w:tc>
          <w:tcPr>
            <w:tcW w:w="1478" w:type="dxa"/>
            <w:tcBorders>
              <w:top w:val="nil"/>
              <w:left w:val="single" w:sz="4" w:space="0" w:color="auto"/>
              <w:bottom w:val="single" w:sz="4" w:space="0" w:color="auto"/>
              <w:right w:val="single" w:sz="4" w:space="0" w:color="auto"/>
            </w:tcBorders>
            <w:shd w:val="clear" w:color="auto" w:fill="auto"/>
          </w:tcPr>
          <w:p w:rsidR="000E54C2" w:rsidRPr="00E8065F" w:rsidRDefault="000E54C2" w:rsidP="00CD3A6F">
            <w:pPr>
              <w:spacing w:line="242" w:lineRule="auto"/>
              <w:jc w:val="center"/>
              <w:rPr>
                <w:color w:val="000000"/>
                <w:sz w:val="20"/>
                <w:szCs w:val="20"/>
              </w:rPr>
            </w:pPr>
            <w:r w:rsidRPr="00E8065F">
              <w:rPr>
                <w:color w:val="000000"/>
                <w:sz w:val="20"/>
                <w:szCs w:val="20"/>
              </w:rPr>
              <w:t>26</w:t>
            </w:r>
          </w:p>
        </w:tc>
        <w:tc>
          <w:tcPr>
            <w:tcW w:w="1111" w:type="dxa"/>
            <w:tcBorders>
              <w:top w:val="nil"/>
              <w:left w:val="single" w:sz="4" w:space="0" w:color="auto"/>
              <w:bottom w:val="single" w:sz="4" w:space="0" w:color="auto"/>
              <w:right w:val="single" w:sz="4" w:space="0" w:color="auto"/>
            </w:tcBorders>
            <w:shd w:val="clear" w:color="auto" w:fill="auto"/>
          </w:tcPr>
          <w:p w:rsidR="000E54C2" w:rsidRPr="00E8065F" w:rsidRDefault="000E54C2" w:rsidP="00CD3A6F">
            <w:pPr>
              <w:spacing w:line="242" w:lineRule="auto"/>
              <w:jc w:val="center"/>
              <w:rPr>
                <w:color w:val="000000"/>
                <w:sz w:val="20"/>
                <w:szCs w:val="20"/>
              </w:rPr>
            </w:pPr>
            <w:r w:rsidRPr="00E8065F">
              <w:rPr>
                <w:color w:val="000000"/>
                <w:sz w:val="20"/>
                <w:szCs w:val="20"/>
              </w:rPr>
              <w:t>2</w:t>
            </w:r>
          </w:p>
        </w:tc>
        <w:tc>
          <w:tcPr>
            <w:tcW w:w="1944" w:type="dxa"/>
            <w:tcBorders>
              <w:top w:val="nil"/>
              <w:left w:val="single" w:sz="4" w:space="0" w:color="auto"/>
              <w:bottom w:val="single" w:sz="4" w:space="0" w:color="auto"/>
              <w:right w:val="single" w:sz="4" w:space="0" w:color="auto"/>
            </w:tcBorders>
            <w:shd w:val="clear" w:color="auto" w:fill="auto"/>
          </w:tcPr>
          <w:p w:rsidR="000E54C2" w:rsidRPr="00E8065F" w:rsidRDefault="000E54C2" w:rsidP="00CD3A6F">
            <w:pPr>
              <w:spacing w:line="242" w:lineRule="auto"/>
              <w:jc w:val="center"/>
              <w:rPr>
                <w:color w:val="000000"/>
                <w:sz w:val="20"/>
                <w:szCs w:val="20"/>
              </w:rPr>
            </w:pPr>
            <w:r w:rsidRPr="00E8065F">
              <w:rPr>
                <w:color w:val="000000"/>
                <w:sz w:val="20"/>
                <w:szCs w:val="20"/>
              </w:rPr>
              <w:t>Амбулаторное</w:t>
            </w:r>
          </w:p>
        </w:tc>
      </w:tr>
      <w:tr w:rsidR="00BA1432" w:rsidRPr="00E8065F" w:rsidTr="000546C2">
        <w:trPr>
          <w:trHeight w:val="20"/>
        </w:trPr>
        <w:tc>
          <w:tcPr>
            <w:tcW w:w="1555" w:type="dxa"/>
            <w:vMerge/>
          </w:tcPr>
          <w:p w:rsidR="000E54C2" w:rsidRPr="00E8065F" w:rsidRDefault="000E54C2" w:rsidP="00BA1432">
            <w:pPr>
              <w:rPr>
                <w:sz w:val="20"/>
                <w:szCs w:val="20"/>
              </w:rPr>
            </w:pPr>
          </w:p>
        </w:tc>
        <w:tc>
          <w:tcPr>
            <w:tcW w:w="3685" w:type="dxa"/>
            <w:tcBorders>
              <w:top w:val="nil"/>
              <w:left w:val="single" w:sz="4" w:space="0" w:color="auto"/>
              <w:bottom w:val="single" w:sz="4" w:space="0" w:color="auto"/>
              <w:right w:val="single" w:sz="4" w:space="0" w:color="auto"/>
            </w:tcBorders>
            <w:shd w:val="clear" w:color="auto" w:fill="auto"/>
          </w:tcPr>
          <w:p w:rsidR="000E54C2" w:rsidRPr="00E8065F" w:rsidRDefault="000E54C2" w:rsidP="00CD3A6F">
            <w:pPr>
              <w:spacing w:line="242" w:lineRule="auto"/>
              <w:jc w:val="both"/>
              <w:rPr>
                <w:color w:val="000000"/>
                <w:sz w:val="20"/>
                <w:szCs w:val="20"/>
              </w:rPr>
            </w:pPr>
            <w:r w:rsidRPr="00E8065F">
              <w:rPr>
                <w:color w:val="000000"/>
                <w:sz w:val="20"/>
                <w:szCs w:val="20"/>
              </w:rPr>
              <w:t xml:space="preserve">ГАУЗ </w:t>
            </w:r>
            <w:r w:rsidR="002F7358">
              <w:rPr>
                <w:color w:val="000000"/>
                <w:sz w:val="20"/>
                <w:szCs w:val="20"/>
              </w:rPr>
              <w:t>«</w:t>
            </w:r>
            <w:r w:rsidRPr="00E8065F">
              <w:rPr>
                <w:color w:val="000000"/>
                <w:sz w:val="20"/>
                <w:szCs w:val="20"/>
              </w:rPr>
              <w:t>Уруссинская ЦРБ</w:t>
            </w:r>
            <w:r w:rsidR="002F7358">
              <w:rPr>
                <w:color w:val="000000"/>
                <w:sz w:val="20"/>
                <w:szCs w:val="20"/>
              </w:rPr>
              <w:t>»</w:t>
            </w:r>
          </w:p>
        </w:tc>
        <w:tc>
          <w:tcPr>
            <w:tcW w:w="1994" w:type="dxa"/>
            <w:tcBorders>
              <w:top w:val="nil"/>
              <w:left w:val="single" w:sz="4" w:space="0" w:color="auto"/>
              <w:bottom w:val="single" w:sz="4" w:space="0" w:color="auto"/>
              <w:right w:val="single" w:sz="4" w:space="0" w:color="auto"/>
            </w:tcBorders>
            <w:shd w:val="clear" w:color="auto" w:fill="auto"/>
          </w:tcPr>
          <w:p w:rsidR="000E54C2" w:rsidRPr="00E8065F" w:rsidRDefault="000E54C2" w:rsidP="00CD3A6F">
            <w:pPr>
              <w:spacing w:line="242" w:lineRule="auto"/>
              <w:jc w:val="center"/>
              <w:rPr>
                <w:color w:val="000000"/>
                <w:sz w:val="20"/>
                <w:szCs w:val="20"/>
              </w:rPr>
            </w:pPr>
            <w:r w:rsidRPr="00E8065F">
              <w:rPr>
                <w:color w:val="000000"/>
                <w:sz w:val="20"/>
                <w:szCs w:val="20"/>
              </w:rPr>
              <w:t>Маммограф</w:t>
            </w:r>
          </w:p>
        </w:tc>
        <w:tc>
          <w:tcPr>
            <w:tcW w:w="1181" w:type="dxa"/>
            <w:shd w:val="clear" w:color="auto" w:fill="auto"/>
          </w:tcPr>
          <w:p w:rsidR="000E54C2" w:rsidRPr="00E8065F" w:rsidRDefault="000E54C2" w:rsidP="00CD3A6F">
            <w:pPr>
              <w:spacing w:line="242" w:lineRule="auto"/>
              <w:jc w:val="center"/>
              <w:rPr>
                <w:sz w:val="20"/>
                <w:szCs w:val="20"/>
              </w:rPr>
            </w:pPr>
            <w:r w:rsidRPr="00E8065F">
              <w:rPr>
                <w:sz w:val="20"/>
                <w:szCs w:val="20"/>
              </w:rPr>
              <w:t>2022</w:t>
            </w:r>
          </w:p>
        </w:tc>
        <w:tc>
          <w:tcPr>
            <w:tcW w:w="1181" w:type="dxa"/>
            <w:tcBorders>
              <w:top w:val="nil"/>
              <w:left w:val="single" w:sz="4" w:space="0" w:color="auto"/>
              <w:bottom w:val="single" w:sz="4" w:space="0" w:color="auto"/>
              <w:right w:val="single" w:sz="4" w:space="0" w:color="auto"/>
            </w:tcBorders>
            <w:shd w:val="clear" w:color="auto" w:fill="auto"/>
          </w:tcPr>
          <w:p w:rsidR="000E54C2" w:rsidRPr="00E8065F" w:rsidRDefault="000E54C2" w:rsidP="00CD3A6F">
            <w:pPr>
              <w:spacing w:line="242" w:lineRule="auto"/>
              <w:jc w:val="center"/>
              <w:rPr>
                <w:color w:val="000000"/>
                <w:sz w:val="20"/>
                <w:szCs w:val="20"/>
              </w:rPr>
            </w:pPr>
            <w:r w:rsidRPr="00E8065F">
              <w:rPr>
                <w:color w:val="000000"/>
                <w:sz w:val="20"/>
                <w:szCs w:val="20"/>
              </w:rPr>
              <w:t>1</w:t>
            </w:r>
          </w:p>
        </w:tc>
        <w:tc>
          <w:tcPr>
            <w:tcW w:w="1478" w:type="dxa"/>
            <w:tcBorders>
              <w:top w:val="nil"/>
              <w:left w:val="single" w:sz="4" w:space="0" w:color="auto"/>
              <w:bottom w:val="single" w:sz="4" w:space="0" w:color="auto"/>
              <w:right w:val="single" w:sz="4" w:space="0" w:color="auto"/>
            </w:tcBorders>
            <w:shd w:val="clear" w:color="auto" w:fill="auto"/>
          </w:tcPr>
          <w:p w:rsidR="000E54C2" w:rsidRPr="00E8065F" w:rsidRDefault="000E54C2" w:rsidP="00CD3A6F">
            <w:pPr>
              <w:spacing w:line="242" w:lineRule="auto"/>
              <w:jc w:val="center"/>
              <w:rPr>
                <w:color w:val="000000"/>
                <w:sz w:val="20"/>
                <w:szCs w:val="20"/>
              </w:rPr>
            </w:pPr>
            <w:r w:rsidRPr="00E8065F">
              <w:rPr>
                <w:color w:val="000000"/>
                <w:sz w:val="20"/>
                <w:szCs w:val="20"/>
              </w:rPr>
              <w:t>3</w:t>
            </w:r>
          </w:p>
        </w:tc>
        <w:tc>
          <w:tcPr>
            <w:tcW w:w="1111" w:type="dxa"/>
            <w:tcBorders>
              <w:top w:val="nil"/>
              <w:left w:val="single" w:sz="4" w:space="0" w:color="auto"/>
              <w:bottom w:val="single" w:sz="4" w:space="0" w:color="auto"/>
              <w:right w:val="single" w:sz="4" w:space="0" w:color="auto"/>
            </w:tcBorders>
            <w:shd w:val="clear" w:color="auto" w:fill="auto"/>
          </w:tcPr>
          <w:p w:rsidR="000E54C2" w:rsidRPr="00E8065F" w:rsidRDefault="000E54C2" w:rsidP="00CD3A6F">
            <w:pPr>
              <w:spacing w:line="242" w:lineRule="auto"/>
              <w:jc w:val="center"/>
              <w:rPr>
                <w:color w:val="000000"/>
                <w:sz w:val="20"/>
                <w:szCs w:val="20"/>
              </w:rPr>
            </w:pPr>
            <w:r w:rsidRPr="00E8065F">
              <w:rPr>
                <w:color w:val="000000"/>
                <w:sz w:val="20"/>
                <w:szCs w:val="20"/>
              </w:rPr>
              <w:t>2</w:t>
            </w:r>
          </w:p>
        </w:tc>
        <w:tc>
          <w:tcPr>
            <w:tcW w:w="1944" w:type="dxa"/>
            <w:tcBorders>
              <w:top w:val="nil"/>
              <w:left w:val="single" w:sz="4" w:space="0" w:color="auto"/>
              <w:bottom w:val="single" w:sz="4" w:space="0" w:color="auto"/>
              <w:right w:val="single" w:sz="4" w:space="0" w:color="auto"/>
            </w:tcBorders>
            <w:shd w:val="clear" w:color="auto" w:fill="auto"/>
          </w:tcPr>
          <w:p w:rsidR="000E54C2" w:rsidRPr="00E8065F" w:rsidRDefault="000E54C2" w:rsidP="00CD3A6F">
            <w:pPr>
              <w:spacing w:line="242" w:lineRule="auto"/>
              <w:jc w:val="center"/>
              <w:rPr>
                <w:color w:val="000000"/>
                <w:sz w:val="20"/>
                <w:szCs w:val="20"/>
              </w:rPr>
            </w:pPr>
            <w:r w:rsidRPr="00E8065F">
              <w:rPr>
                <w:color w:val="000000"/>
                <w:sz w:val="20"/>
                <w:szCs w:val="20"/>
              </w:rPr>
              <w:t>Амбулаторное</w:t>
            </w:r>
          </w:p>
        </w:tc>
      </w:tr>
      <w:tr w:rsidR="00BA1432" w:rsidRPr="00E8065F" w:rsidTr="000546C2">
        <w:trPr>
          <w:trHeight w:val="20"/>
        </w:trPr>
        <w:tc>
          <w:tcPr>
            <w:tcW w:w="1555" w:type="dxa"/>
            <w:vMerge/>
          </w:tcPr>
          <w:p w:rsidR="000E54C2" w:rsidRPr="00E8065F" w:rsidRDefault="000E54C2" w:rsidP="00BA1432">
            <w:pPr>
              <w:rPr>
                <w:sz w:val="20"/>
                <w:szCs w:val="20"/>
              </w:rPr>
            </w:pPr>
          </w:p>
        </w:tc>
        <w:tc>
          <w:tcPr>
            <w:tcW w:w="3685" w:type="dxa"/>
            <w:tcBorders>
              <w:top w:val="nil"/>
              <w:left w:val="single" w:sz="4" w:space="0" w:color="auto"/>
              <w:bottom w:val="single" w:sz="4" w:space="0" w:color="auto"/>
              <w:right w:val="single" w:sz="4" w:space="0" w:color="auto"/>
            </w:tcBorders>
            <w:shd w:val="clear" w:color="auto" w:fill="auto"/>
          </w:tcPr>
          <w:p w:rsidR="000E54C2" w:rsidRPr="00E8065F" w:rsidRDefault="000E54C2" w:rsidP="00CD3A6F">
            <w:pPr>
              <w:spacing w:line="242" w:lineRule="auto"/>
              <w:jc w:val="both"/>
              <w:rPr>
                <w:color w:val="000000"/>
                <w:sz w:val="20"/>
                <w:szCs w:val="20"/>
              </w:rPr>
            </w:pPr>
            <w:r>
              <w:rPr>
                <w:color w:val="000000"/>
                <w:sz w:val="20"/>
                <w:szCs w:val="20"/>
              </w:rPr>
              <w:t xml:space="preserve">ГАУЗ </w:t>
            </w:r>
            <w:r w:rsidR="002F7358">
              <w:rPr>
                <w:color w:val="000000"/>
                <w:sz w:val="20"/>
                <w:szCs w:val="20"/>
              </w:rPr>
              <w:t>«</w:t>
            </w:r>
            <w:r>
              <w:rPr>
                <w:color w:val="000000"/>
                <w:sz w:val="20"/>
                <w:szCs w:val="20"/>
              </w:rPr>
              <w:t>Городская больница №</w:t>
            </w:r>
            <w:r w:rsidR="00D5127A">
              <w:rPr>
                <w:color w:val="000000"/>
                <w:sz w:val="20"/>
                <w:szCs w:val="20"/>
              </w:rPr>
              <w:t> </w:t>
            </w:r>
            <w:r>
              <w:rPr>
                <w:color w:val="000000"/>
                <w:sz w:val="20"/>
                <w:szCs w:val="20"/>
              </w:rPr>
              <w:t>2</w:t>
            </w:r>
            <w:r w:rsidR="002F7358">
              <w:rPr>
                <w:color w:val="000000"/>
                <w:sz w:val="20"/>
                <w:szCs w:val="20"/>
              </w:rPr>
              <w:t>»</w:t>
            </w:r>
            <w:r>
              <w:rPr>
                <w:color w:val="000000"/>
                <w:sz w:val="20"/>
                <w:szCs w:val="20"/>
              </w:rPr>
              <w:t xml:space="preserve"> г.Набережные Челны</w:t>
            </w:r>
          </w:p>
        </w:tc>
        <w:tc>
          <w:tcPr>
            <w:tcW w:w="1994" w:type="dxa"/>
            <w:tcBorders>
              <w:top w:val="nil"/>
              <w:left w:val="single" w:sz="4" w:space="0" w:color="auto"/>
              <w:bottom w:val="single" w:sz="4" w:space="0" w:color="auto"/>
              <w:right w:val="single" w:sz="4" w:space="0" w:color="auto"/>
            </w:tcBorders>
            <w:shd w:val="clear" w:color="auto" w:fill="auto"/>
          </w:tcPr>
          <w:p w:rsidR="000E54C2" w:rsidRPr="00E8065F" w:rsidRDefault="000E54C2" w:rsidP="00CD3A6F">
            <w:pPr>
              <w:spacing w:line="242" w:lineRule="auto"/>
              <w:jc w:val="center"/>
              <w:rPr>
                <w:color w:val="000000"/>
                <w:sz w:val="20"/>
                <w:szCs w:val="20"/>
              </w:rPr>
            </w:pPr>
            <w:r w:rsidRPr="00E8065F">
              <w:rPr>
                <w:color w:val="000000"/>
                <w:sz w:val="20"/>
                <w:szCs w:val="20"/>
              </w:rPr>
              <w:t>Маммограф</w:t>
            </w:r>
          </w:p>
        </w:tc>
        <w:tc>
          <w:tcPr>
            <w:tcW w:w="1181" w:type="dxa"/>
            <w:shd w:val="clear" w:color="auto" w:fill="auto"/>
          </w:tcPr>
          <w:p w:rsidR="000E54C2" w:rsidRPr="00E8065F" w:rsidRDefault="000E54C2" w:rsidP="00CD3A6F">
            <w:pPr>
              <w:spacing w:line="242" w:lineRule="auto"/>
              <w:jc w:val="center"/>
              <w:rPr>
                <w:sz w:val="20"/>
                <w:szCs w:val="20"/>
              </w:rPr>
            </w:pPr>
            <w:r w:rsidRPr="00E8065F">
              <w:rPr>
                <w:sz w:val="20"/>
                <w:szCs w:val="20"/>
              </w:rPr>
              <w:t>2018</w:t>
            </w:r>
          </w:p>
        </w:tc>
        <w:tc>
          <w:tcPr>
            <w:tcW w:w="1181" w:type="dxa"/>
            <w:tcBorders>
              <w:top w:val="nil"/>
              <w:left w:val="single" w:sz="4" w:space="0" w:color="auto"/>
              <w:bottom w:val="single" w:sz="4" w:space="0" w:color="auto"/>
              <w:right w:val="single" w:sz="4" w:space="0" w:color="auto"/>
            </w:tcBorders>
            <w:shd w:val="clear" w:color="auto" w:fill="auto"/>
          </w:tcPr>
          <w:p w:rsidR="000E54C2" w:rsidRPr="00E8065F" w:rsidRDefault="000E54C2" w:rsidP="00CD3A6F">
            <w:pPr>
              <w:spacing w:line="242" w:lineRule="auto"/>
              <w:jc w:val="center"/>
              <w:rPr>
                <w:color w:val="000000"/>
                <w:sz w:val="20"/>
                <w:szCs w:val="20"/>
              </w:rPr>
            </w:pPr>
            <w:r w:rsidRPr="00E8065F">
              <w:rPr>
                <w:color w:val="000000"/>
                <w:sz w:val="20"/>
                <w:szCs w:val="20"/>
              </w:rPr>
              <w:t>1</w:t>
            </w:r>
          </w:p>
        </w:tc>
        <w:tc>
          <w:tcPr>
            <w:tcW w:w="1478" w:type="dxa"/>
            <w:tcBorders>
              <w:top w:val="nil"/>
              <w:left w:val="single" w:sz="4" w:space="0" w:color="auto"/>
              <w:bottom w:val="single" w:sz="4" w:space="0" w:color="auto"/>
              <w:right w:val="single" w:sz="4" w:space="0" w:color="auto"/>
            </w:tcBorders>
            <w:shd w:val="clear" w:color="auto" w:fill="auto"/>
          </w:tcPr>
          <w:p w:rsidR="000E54C2" w:rsidRPr="00E8065F" w:rsidRDefault="000E54C2" w:rsidP="00CD3A6F">
            <w:pPr>
              <w:spacing w:line="242" w:lineRule="auto"/>
              <w:jc w:val="center"/>
              <w:rPr>
                <w:color w:val="000000"/>
                <w:sz w:val="20"/>
                <w:szCs w:val="20"/>
              </w:rPr>
            </w:pPr>
            <w:r w:rsidRPr="00E8065F">
              <w:rPr>
                <w:color w:val="000000"/>
                <w:sz w:val="20"/>
                <w:szCs w:val="20"/>
              </w:rPr>
              <w:t>4</w:t>
            </w:r>
          </w:p>
        </w:tc>
        <w:tc>
          <w:tcPr>
            <w:tcW w:w="1111" w:type="dxa"/>
            <w:tcBorders>
              <w:top w:val="nil"/>
              <w:left w:val="single" w:sz="4" w:space="0" w:color="auto"/>
              <w:bottom w:val="single" w:sz="4" w:space="0" w:color="auto"/>
              <w:right w:val="single" w:sz="4" w:space="0" w:color="auto"/>
            </w:tcBorders>
            <w:shd w:val="clear" w:color="auto" w:fill="auto"/>
          </w:tcPr>
          <w:p w:rsidR="000E54C2" w:rsidRPr="00E8065F" w:rsidRDefault="000E54C2" w:rsidP="00CD3A6F">
            <w:pPr>
              <w:spacing w:line="242" w:lineRule="auto"/>
              <w:jc w:val="center"/>
              <w:rPr>
                <w:color w:val="000000"/>
                <w:sz w:val="20"/>
                <w:szCs w:val="20"/>
              </w:rPr>
            </w:pPr>
            <w:r w:rsidRPr="00E8065F">
              <w:rPr>
                <w:color w:val="000000"/>
                <w:sz w:val="20"/>
                <w:szCs w:val="20"/>
              </w:rPr>
              <w:t>2</w:t>
            </w:r>
          </w:p>
        </w:tc>
        <w:tc>
          <w:tcPr>
            <w:tcW w:w="1944" w:type="dxa"/>
            <w:tcBorders>
              <w:top w:val="nil"/>
              <w:left w:val="single" w:sz="4" w:space="0" w:color="auto"/>
              <w:bottom w:val="single" w:sz="4" w:space="0" w:color="auto"/>
              <w:right w:val="single" w:sz="4" w:space="0" w:color="auto"/>
            </w:tcBorders>
            <w:shd w:val="clear" w:color="auto" w:fill="auto"/>
          </w:tcPr>
          <w:p w:rsidR="000E54C2" w:rsidRPr="00E8065F" w:rsidRDefault="000E54C2" w:rsidP="00CD3A6F">
            <w:pPr>
              <w:spacing w:line="242" w:lineRule="auto"/>
              <w:jc w:val="center"/>
              <w:rPr>
                <w:color w:val="000000"/>
                <w:sz w:val="20"/>
                <w:szCs w:val="20"/>
              </w:rPr>
            </w:pPr>
            <w:r w:rsidRPr="00E8065F">
              <w:rPr>
                <w:color w:val="000000"/>
                <w:sz w:val="20"/>
                <w:szCs w:val="20"/>
              </w:rPr>
              <w:t>Амбулаторное</w:t>
            </w:r>
          </w:p>
        </w:tc>
      </w:tr>
      <w:tr w:rsidR="00BA1432" w:rsidRPr="00E8065F" w:rsidTr="000546C2">
        <w:trPr>
          <w:trHeight w:val="20"/>
        </w:trPr>
        <w:tc>
          <w:tcPr>
            <w:tcW w:w="1555" w:type="dxa"/>
            <w:vMerge/>
          </w:tcPr>
          <w:p w:rsidR="000E54C2" w:rsidRPr="00E8065F" w:rsidRDefault="000E54C2" w:rsidP="00BA1432">
            <w:pPr>
              <w:rPr>
                <w:sz w:val="20"/>
                <w:szCs w:val="20"/>
              </w:rPr>
            </w:pPr>
          </w:p>
        </w:tc>
        <w:tc>
          <w:tcPr>
            <w:tcW w:w="3685" w:type="dxa"/>
            <w:tcBorders>
              <w:top w:val="nil"/>
              <w:left w:val="single" w:sz="4" w:space="0" w:color="auto"/>
              <w:bottom w:val="single" w:sz="4" w:space="0" w:color="auto"/>
              <w:right w:val="single" w:sz="4" w:space="0" w:color="auto"/>
            </w:tcBorders>
            <w:shd w:val="clear" w:color="auto" w:fill="auto"/>
          </w:tcPr>
          <w:p w:rsidR="000E54C2" w:rsidRPr="00E8065F" w:rsidRDefault="000E54C2" w:rsidP="00D5127A">
            <w:pPr>
              <w:spacing w:line="235" w:lineRule="auto"/>
              <w:jc w:val="both"/>
              <w:rPr>
                <w:color w:val="000000"/>
                <w:sz w:val="20"/>
                <w:szCs w:val="20"/>
              </w:rPr>
            </w:pPr>
            <w:r>
              <w:rPr>
                <w:color w:val="000000"/>
                <w:sz w:val="20"/>
                <w:szCs w:val="20"/>
              </w:rPr>
              <w:t xml:space="preserve">ГАУЗ </w:t>
            </w:r>
            <w:r w:rsidR="002F7358">
              <w:rPr>
                <w:color w:val="000000"/>
                <w:sz w:val="20"/>
                <w:szCs w:val="20"/>
              </w:rPr>
              <w:t>«</w:t>
            </w:r>
            <w:r>
              <w:rPr>
                <w:color w:val="000000"/>
                <w:sz w:val="20"/>
                <w:szCs w:val="20"/>
              </w:rPr>
              <w:t>Городская больница №</w:t>
            </w:r>
            <w:r w:rsidR="00D5127A">
              <w:rPr>
                <w:color w:val="000000"/>
                <w:sz w:val="20"/>
                <w:szCs w:val="20"/>
              </w:rPr>
              <w:t> </w:t>
            </w:r>
            <w:r>
              <w:rPr>
                <w:color w:val="000000"/>
                <w:sz w:val="20"/>
                <w:szCs w:val="20"/>
              </w:rPr>
              <w:t>5</w:t>
            </w:r>
            <w:r w:rsidR="002F7358">
              <w:rPr>
                <w:color w:val="000000"/>
                <w:sz w:val="20"/>
                <w:szCs w:val="20"/>
              </w:rPr>
              <w:t>»</w:t>
            </w:r>
            <w:r>
              <w:rPr>
                <w:color w:val="000000"/>
                <w:sz w:val="20"/>
                <w:szCs w:val="20"/>
              </w:rPr>
              <w:t xml:space="preserve"> г.</w:t>
            </w:r>
            <w:r w:rsidRPr="00E8065F">
              <w:rPr>
                <w:color w:val="000000"/>
                <w:sz w:val="20"/>
                <w:szCs w:val="20"/>
              </w:rPr>
              <w:t>Набережные Челны</w:t>
            </w:r>
          </w:p>
        </w:tc>
        <w:tc>
          <w:tcPr>
            <w:tcW w:w="1994" w:type="dxa"/>
            <w:tcBorders>
              <w:top w:val="nil"/>
              <w:left w:val="single" w:sz="4" w:space="0" w:color="auto"/>
              <w:bottom w:val="single" w:sz="4" w:space="0" w:color="auto"/>
              <w:right w:val="single" w:sz="4" w:space="0" w:color="auto"/>
            </w:tcBorders>
            <w:shd w:val="clear" w:color="auto" w:fill="auto"/>
          </w:tcPr>
          <w:p w:rsidR="000E54C2" w:rsidRPr="00E8065F" w:rsidRDefault="000E54C2" w:rsidP="00D5127A">
            <w:pPr>
              <w:spacing w:line="235" w:lineRule="auto"/>
              <w:jc w:val="center"/>
              <w:rPr>
                <w:color w:val="000000"/>
                <w:sz w:val="20"/>
                <w:szCs w:val="20"/>
              </w:rPr>
            </w:pPr>
            <w:r w:rsidRPr="00E8065F">
              <w:rPr>
                <w:color w:val="000000"/>
                <w:sz w:val="20"/>
                <w:szCs w:val="20"/>
              </w:rPr>
              <w:t>Маммограф</w:t>
            </w:r>
          </w:p>
        </w:tc>
        <w:tc>
          <w:tcPr>
            <w:tcW w:w="1181" w:type="dxa"/>
            <w:shd w:val="clear" w:color="auto" w:fill="auto"/>
          </w:tcPr>
          <w:p w:rsidR="000E54C2" w:rsidRPr="00E8065F" w:rsidRDefault="000E54C2" w:rsidP="00D5127A">
            <w:pPr>
              <w:spacing w:line="235" w:lineRule="auto"/>
              <w:jc w:val="center"/>
              <w:rPr>
                <w:sz w:val="20"/>
                <w:szCs w:val="20"/>
              </w:rPr>
            </w:pPr>
            <w:r w:rsidRPr="00E8065F">
              <w:rPr>
                <w:sz w:val="20"/>
                <w:szCs w:val="20"/>
              </w:rPr>
              <w:t>2014</w:t>
            </w:r>
            <w:r w:rsidR="00AA5FB3">
              <w:rPr>
                <w:sz w:val="20"/>
                <w:szCs w:val="20"/>
              </w:rPr>
              <w:t xml:space="preserve"> (</w:t>
            </w:r>
            <w:r w:rsidR="00B7341A">
              <w:rPr>
                <w:sz w:val="20"/>
                <w:szCs w:val="20"/>
              </w:rPr>
              <w:t>1)</w:t>
            </w:r>
          </w:p>
          <w:p w:rsidR="000E54C2" w:rsidRPr="00E8065F" w:rsidRDefault="000E54C2" w:rsidP="00D5127A">
            <w:pPr>
              <w:spacing w:line="235" w:lineRule="auto"/>
              <w:jc w:val="center"/>
              <w:rPr>
                <w:sz w:val="20"/>
                <w:szCs w:val="20"/>
              </w:rPr>
            </w:pPr>
            <w:r w:rsidRPr="00E8065F">
              <w:rPr>
                <w:sz w:val="20"/>
                <w:szCs w:val="20"/>
              </w:rPr>
              <w:t>2023</w:t>
            </w:r>
            <w:r w:rsidR="00AA5FB3">
              <w:rPr>
                <w:sz w:val="20"/>
                <w:szCs w:val="20"/>
              </w:rPr>
              <w:t xml:space="preserve"> </w:t>
            </w:r>
            <w:r w:rsidR="00B7341A">
              <w:rPr>
                <w:sz w:val="20"/>
                <w:szCs w:val="20"/>
              </w:rPr>
              <w:t>(1)</w:t>
            </w:r>
          </w:p>
        </w:tc>
        <w:tc>
          <w:tcPr>
            <w:tcW w:w="1181" w:type="dxa"/>
            <w:tcBorders>
              <w:top w:val="nil"/>
              <w:left w:val="single" w:sz="4" w:space="0" w:color="auto"/>
              <w:bottom w:val="single" w:sz="4" w:space="0" w:color="auto"/>
              <w:right w:val="single" w:sz="4" w:space="0" w:color="auto"/>
            </w:tcBorders>
            <w:shd w:val="clear" w:color="auto" w:fill="auto"/>
          </w:tcPr>
          <w:p w:rsidR="000E54C2" w:rsidRPr="00E8065F" w:rsidRDefault="000E54C2" w:rsidP="00D5127A">
            <w:pPr>
              <w:spacing w:line="235" w:lineRule="auto"/>
              <w:jc w:val="center"/>
              <w:rPr>
                <w:color w:val="000000"/>
                <w:sz w:val="20"/>
                <w:szCs w:val="20"/>
              </w:rPr>
            </w:pPr>
            <w:r w:rsidRPr="00E8065F">
              <w:rPr>
                <w:color w:val="000000"/>
                <w:sz w:val="20"/>
                <w:szCs w:val="20"/>
              </w:rPr>
              <w:t>2</w:t>
            </w:r>
          </w:p>
        </w:tc>
        <w:tc>
          <w:tcPr>
            <w:tcW w:w="1478" w:type="dxa"/>
            <w:tcBorders>
              <w:top w:val="nil"/>
              <w:left w:val="single" w:sz="4" w:space="0" w:color="auto"/>
              <w:bottom w:val="single" w:sz="4" w:space="0" w:color="auto"/>
              <w:right w:val="single" w:sz="4" w:space="0" w:color="auto"/>
            </w:tcBorders>
            <w:shd w:val="clear" w:color="auto" w:fill="auto"/>
          </w:tcPr>
          <w:p w:rsidR="000E54C2" w:rsidRPr="00E8065F" w:rsidRDefault="000E54C2" w:rsidP="00D5127A">
            <w:pPr>
              <w:spacing w:line="235" w:lineRule="auto"/>
              <w:jc w:val="center"/>
              <w:rPr>
                <w:color w:val="000000"/>
                <w:sz w:val="20"/>
                <w:szCs w:val="20"/>
              </w:rPr>
            </w:pPr>
            <w:r w:rsidRPr="00E8065F">
              <w:rPr>
                <w:color w:val="000000"/>
                <w:sz w:val="20"/>
                <w:szCs w:val="20"/>
              </w:rPr>
              <w:t>47</w:t>
            </w:r>
          </w:p>
        </w:tc>
        <w:tc>
          <w:tcPr>
            <w:tcW w:w="1111" w:type="dxa"/>
            <w:tcBorders>
              <w:top w:val="nil"/>
              <w:left w:val="single" w:sz="4" w:space="0" w:color="auto"/>
              <w:bottom w:val="single" w:sz="4" w:space="0" w:color="auto"/>
              <w:right w:val="single" w:sz="4" w:space="0" w:color="auto"/>
            </w:tcBorders>
            <w:shd w:val="clear" w:color="auto" w:fill="auto"/>
          </w:tcPr>
          <w:p w:rsidR="000E54C2" w:rsidRPr="00E8065F" w:rsidRDefault="000E54C2" w:rsidP="00D5127A">
            <w:pPr>
              <w:spacing w:line="235" w:lineRule="auto"/>
              <w:jc w:val="center"/>
              <w:rPr>
                <w:color w:val="000000"/>
                <w:sz w:val="20"/>
                <w:szCs w:val="20"/>
              </w:rPr>
            </w:pPr>
            <w:r w:rsidRPr="00E8065F">
              <w:rPr>
                <w:color w:val="000000"/>
                <w:sz w:val="20"/>
                <w:szCs w:val="20"/>
              </w:rPr>
              <w:t>2</w:t>
            </w:r>
          </w:p>
        </w:tc>
        <w:tc>
          <w:tcPr>
            <w:tcW w:w="1944" w:type="dxa"/>
            <w:tcBorders>
              <w:top w:val="nil"/>
              <w:left w:val="single" w:sz="4" w:space="0" w:color="auto"/>
              <w:bottom w:val="single" w:sz="4" w:space="0" w:color="auto"/>
              <w:right w:val="single" w:sz="4" w:space="0" w:color="auto"/>
            </w:tcBorders>
            <w:shd w:val="clear" w:color="auto" w:fill="auto"/>
          </w:tcPr>
          <w:p w:rsidR="000E54C2" w:rsidRPr="00E8065F" w:rsidRDefault="000E54C2" w:rsidP="00D5127A">
            <w:pPr>
              <w:spacing w:line="235" w:lineRule="auto"/>
              <w:jc w:val="center"/>
              <w:rPr>
                <w:color w:val="000000"/>
                <w:sz w:val="20"/>
                <w:szCs w:val="20"/>
              </w:rPr>
            </w:pPr>
            <w:r w:rsidRPr="00E8065F">
              <w:rPr>
                <w:color w:val="000000"/>
                <w:sz w:val="20"/>
                <w:szCs w:val="20"/>
              </w:rPr>
              <w:t>Амбулаторное</w:t>
            </w:r>
          </w:p>
        </w:tc>
      </w:tr>
      <w:tr w:rsidR="00BA1432" w:rsidRPr="00E8065F" w:rsidTr="000546C2">
        <w:trPr>
          <w:trHeight w:val="20"/>
        </w:trPr>
        <w:tc>
          <w:tcPr>
            <w:tcW w:w="1555" w:type="dxa"/>
            <w:vMerge/>
          </w:tcPr>
          <w:p w:rsidR="000E54C2" w:rsidRPr="00E8065F" w:rsidRDefault="000E54C2" w:rsidP="00BA1432">
            <w:pPr>
              <w:rPr>
                <w:sz w:val="20"/>
                <w:szCs w:val="20"/>
              </w:rPr>
            </w:pPr>
          </w:p>
        </w:tc>
        <w:tc>
          <w:tcPr>
            <w:tcW w:w="3685" w:type="dxa"/>
            <w:tcBorders>
              <w:top w:val="nil"/>
              <w:left w:val="single" w:sz="4" w:space="0" w:color="auto"/>
              <w:bottom w:val="single" w:sz="4" w:space="0" w:color="auto"/>
              <w:right w:val="single" w:sz="4" w:space="0" w:color="auto"/>
            </w:tcBorders>
            <w:shd w:val="clear" w:color="auto" w:fill="auto"/>
          </w:tcPr>
          <w:p w:rsidR="000E54C2" w:rsidRPr="00E8065F" w:rsidRDefault="000E54C2" w:rsidP="00D5127A">
            <w:pPr>
              <w:spacing w:line="235" w:lineRule="auto"/>
              <w:jc w:val="both"/>
              <w:rPr>
                <w:color w:val="000000"/>
                <w:sz w:val="20"/>
                <w:szCs w:val="20"/>
              </w:rPr>
            </w:pPr>
            <w:r>
              <w:rPr>
                <w:color w:val="000000"/>
                <w:sz w:val="20"/>
                <w:szCs w:val="20"/>
              </w:rPr>
              <w:t xml:space="preserve">ГАУЗ </w:t>
            </w:r>
            <w:r w:rsidR="002F7358">
              <w:rPr>
                <w:color w:val="000000"/>
                <w:sz w:val="20"/>
                <w:szCs w:val="20"/>
              </w:rPr>
              <w:t>«</w:t>
            </w:r>
            <w:r>
              <w:rPr>
                <w:color w:val="000000"/>
                <w:sz w:val="20"/>
                <w:szCs w:val="20"/>
              </w:rPr>
              <w:t>Городская больница №</w:t>
            </w:r>
            <w:r w:rsidR="00D5127A">
              <w:rPr>
                <w:color w:val="000000"/>
                <w:sz w:val="20"/>
                <w:szCs w:val="20"/>
              </w:rPr>
              <w:t> </w:t>
            </w:r>
            <w:r>
              <w:rPr>
                <w:color w:val="000000"/>
                <w:sz w:val="20"/>
                <w:szCs w:val="20"/>
              </w:rPr>
              <w:t>3</w:t>
            </w:r>
            <w:r w:rsidR="002F7358">
              <w:rPr>
                <w:color w:val="000000"/>
                <w:sz w:val="20"/>
                <w:szCs w:val="20"/>
              </w:rPr>
              <w:t>»</w:t>
            </w:r>
            <w:r>
              <w:rPr>
                <w:color w:val="000000"/>
                <w:sz w:val="20"/>
                <w:szCs w:val="20"/>
              </w:rPr>
              <w:t xml:space="preserve"> г.</w:t>
            </w:r>
            <w:r w:rsidRPr="00E8065F">
              <w:rPr>
                <w:color w:val="000000"/>
                <w:sz w:val="20"/>
                <w:szCs w:val="20"/>
              </w:rPr>
              <w:t>Набережные Челны</w:t>
            </w:r>
          </w:p>
        </w:tc>
        <w:tc>
          <w:tcPr>
            <w:tcW w:w="1994" w:type="dxa"/>
            <w:tcBorders>
              <w:top w:val="nil"/>
              <w:left w:val="single" w:sz="4" w:space="0" w:color="auto"/>
              <w:bottom w:val="single" w:sz="4" w:space="0" w:color="auto"/>
              <w:right w:val="single" w:sz="4" w:space="0" w:color="auto"/>
            </w:tcBorders>
            <w:shd w:val="clear" w:color="auto" w:fill="auto"/>
          </w:tcPr>
          <w:p w:rsidR="000E54C2" w:rsidRPr="00E8065F" w:rsidRDefault="000E54C2" w:rsidP="00D5127A">
            <w:pPr>
              <w:spacing w:line="235" w:lineRule="auto"/>
              <w:jc w:val="center"/>
              <w:rPr>
                <w:color w:val="000000"/>
                <w:sz w:val="20"/>
                <w:szCs w:val="20"/>
              </w:rPr>
            </w:pPr>
            <w:r w:rsidRPr="00E8065F">
              <w:rPr>
                <w:color w:val="000000"/>
                <w:sz w:val="20"/>
                <w:szCs w:val="20"/>
              </w:rPr>
              <w:t>Маммограф</w:t>
            </w:r>
          </w:p>
        </w:tc>
        <w:tc>
          <w:tcPr>
            <w:tcW w:w="1181" w:type="dxa"/>
            <w:shd w:val="clear" w:color="auto" w:fill="auto"/>
          </w:tcPr>
          <w:p w:rsidR="000E54C2" w:rsidRPr="00E8065F" w:rsidRDefault="000E54C2" w:rsidP="00D5127A">
            <w:pPr>
              <w:spacing w:line="235" w:lineRule="auto"/>
              <w:jc w:val="center"/>
              <w:rPr>
                <w:sz w:val="20"/>
                <w:szCs w:val="20"/>
              </w:rPr>
            </w:pPr>
            <w:r w:rsidRPr="00E8065F">
              <w:rPr>
                <w:sz w:val="20"/>
                <w:szCs w:val="20"/>
              </w:rPr>
              <w:t>2024</w:t>
            </w:r>
          </w:p>
        </w:tc>
        <w:tc>
          <w:tcPr>
            <w:tcW w:w="1181" w:type="dxa"/>
            <w:tcBorders>
              <w:top w:val="nil"/>
              <w:left w:val="single" w:sz="4" w:space="0" w:color="auto"/>
              <w:bottom w:val="single" w:sz="4" w:space="0" w:color="auto"/>
              <w:right w:val="single" w:sz="4" w:space="0" w:color="auto"/>
            </w:tcBorders>
            <w:shd w:val="clear" w:color="auto" w:fill="auto"/>
          </w:tcPr>
          <w:p w:rsidR="000E54C2" w:rsidRPr="00E8065F" w:rsidRDefault="000E54C2" w:rsidP="00D5127A">
            <w:pPr>
              <w:spacing w:line="235" w:lineRule="auto"/>
              <w:jc w:val="center"/>
              <w:rPr>
                <w:color w:val="000000"/>
                <w:sz w:val="20"/>
                <w:szCs w:val="20"/>
              </w:rPr>
            </w:pPr>
            <w:r w:rsidRPr="00E8065F">
              <w:rPr>
                <w:color w:val="000000"/>
                <w:sz w:val="20"/>
                <w:szCs w:val="20"/>
              </w:rPr>
              <w:t>1</w:t>
            </w:r>
          </w:p>
        </w:tc>
        <w:tc>
          <w:tcPr>
            <w:tcW w:w="1478" w:type="dxa"/>
            <w:tcBorders>
              <w:top w:val="nil"/>
              <w:left w:val="single" w:sz="4" w:space="0" w:color="auto"/>
              <w:bottom w:val="single" w:sz="4" w:space="0" w:color="auto"/>
              <w:right w:val="single" w:sz="4" w:space="0" w:color="auto"/>
            </w:tcBorders>
            <w:shd w:val="clear" w:color="auto" w:fill="auto"/>
          </w:tcPr>
          <w:p w:rsidR="000E54C2" w:rsidRPr="00E8065F" w:rsidRDefault="000E54C2" w:rsidP="00D5127A">
            <w:pPr>
              <w:spacing w:line="235" w:lineRule="auto"/>
              <w:jc w:val="center"/>
              <w:rPr>
                <w:color w:val="000000"/>
                <w:sz w:val="20"/>
                <w:szCs w:val="20"/>
              </w:rPr>
            </w:pPr>
          </w:p>
        </w:tc>
        <w:tc>
          <w:tcPr>
            <w:tcW w:w="1111" w:type="dxa"/>
            <w:tcBorders>
              <w:top w:val="nil"/>
              <w:left w:val="single" w:sz="4" w:space="0" w:color="auto"/>
              <w:bottom w:val="single" w:sz="4" w:space="0" w:color="auto"/>
              <w:right w:val="single" w:sz="4" w:space="0" w:color="auto"/>
            </w:tcBorders>
            <w:shd w:val="clear" w:color="auto" w:fill="auto"/>
          </w:tcPr>
          <w:p w:rsidR="000E54C2" w:rsidRPr="00E8065F" w:rsidRDefault="000E54C2" w:rsidP="00D5127A">
            <w:pPr>
              <w:spacing w:line="235" w:lineRule="auto"/>
              <w:jc w:val="center"/>
              <w:rPr>
                <w:color w:val="000000"/>
                <w:sz w:val="20"/>
                <w:szCs w:val="20"/>
              </w:rPr>
            </w:pPr>
          </w:p>
        </w:tc>
        <w:tc>
          <w:tcPr>
            <w:tcW w:w="1944" w:type="dxa"/>
            <w:tcBorders>
              <w:top w:val="nil"/>
              <w:left w:val="single" w:sz="4" w:space="0" w:color="auto"/>
              <w:bottom w:val="single" w:sz="4" w:space="0" w:color="auto"/>
              <w:right w:val="single" w:sz="4" w:space="0" w:color="auto"/>
            </w:tcBorders>
            <w:shd w:val="clear" w:color="auto" w:fill="auto"/>
          </w:tcPr>
          <w:p w:rsidR="000E54C2" w:rsidRPr="00E8065F" w:rsidRDefault="000E54C2" w:rsidP="00D5127A">
            <w:pPr>
              <w:spacing w:line="235" w:lineRule="auto"/>
              <w:jc w:val="center"/>
              <w:rPr>
                <w:color w:val="000000"/>
                <w:sz w:val="20"/>
                <w:szCs w:val="20"/>
              </w:rPr>
            </w:pPr>
            <w:r w:rsidRPr="00E8065F">
              <w:rPr>
                <w:color w:val="000000"/>
                <w:sz w:val="20"/>
                <w:szCs w:val="20"/>
              </w:rPr>
              <w:t>Амбулаторное</w:t>
            </w:r>
          </w:p>
        </w:tc>
      </w:tr>
      <w:tr w:rsidR="00BA1432" w:rsidRPr="00E8065F" w:rsidTr="000546C2">
        <w:trPr>
          <w:trHeight w:val="20"/>
        </w:trPr>
        <w:tc>
          <w:tcPr>
            <w:tcW w:w="1555" w:type="dxa"/>
            <w:vMerge/>
          </w:tcPr>
          <w:p w:rsidR="000E54C2" w:rsidRPr="00E8065F" w:rsidRDefault="000E54C2" w:rsidP="00BA1432">
            <w:pPr>
              <w:rPr>
                <w:sz w:val="20"/>
                <w:szCs w:val="20"/>
              </w:rPr>
            </w:pPr>
          </w:p>
        </w:tc>
        <w:tc>
          <w:tcPr>
            <w:tcW w:w="3685" w:type="dxa"/>
            <w:tcBorders>
              <w:top w:val="nil"/>
              <w:left w:val="single" w:sz="4" w:space="0" w:color="auto"/>
              <w:bottom w:val="single" w:sz="4" w:space="0" w:color="auto"/>
              <w:right w:val="single" w:sz="4" w:space="0" w:color="auto"/>
            </w:tcBorders>
            <w:shd w:val="clear" w:color="auto" w:fill="auto"/>
          </w:tcPr>
          <w:p w:rsidR="000E54C2" w:rsidRPr="00E8065F" w:rsidRDefault="000E54C2" w:rsidP="00D5127A">
            <w:pPr>
              <w:spacing w:line="235" w:lineRule="auto"/>
              <w:jc w:val="both"/>
              <w:rPr>
                <w:color w:val="000000"/>
                <w:sz w:val="20"/>
                <w:szCs w:val="20"/>
              </w:rPr>
            </w:pPr>
            <w:r>
              <w:rPr>
                <w:color w:val="000000"/>
                <w:sz w:val="20"/>
                <w:szCs w:val="20"/>
              </w:rPr>
              <w:t xml:space="preserve">ГАУЗ </w:t>
            </w:r>
            <w:r w:rsidR="002F7358">
              <w:rPr>
                <w:color w:val="000000"/>
                <w:sz w:val="20"/>
                <w:szCs w:val="20"/>
              </w:rPr>
              <w:t>«</w:t>
            </w:r>
            <w:r w:rsidRPr="00E8065F">
              <w:rPr>
                <w:color w:val="000000"/>
                <w:sz w:val="20"/>
                <w:szCs w:val="20"/>
              </w:rPr>
              <w:t>Городская поликлиника №</w:t>
            </w:r>
            <w:r w:rsidR="00D5127A">
              <w:rPr>
                <w:color w:val="000000"/>
                <w:sz w:val="20"/>
                <w:szCs w:val="20"/>
              </w:rPr>
              <w:t> </w:t>
            </w:r>
            <w:r w:rsidRPr="00E8065F">
              <w:rPr>
                <w:color w:val="000000"/>
                <w:sz w:val="20"/>
                <w:szCs w:val="20"/>
              </w:rPr>
              <w:t>4 им.Л.Н.Ганиевой</w:t>
            </w:r>
            <w:r w:rsidR="002F7358">
              <w:rPr>
                <w:color w:val="000000"/>
                <w:sz w:val="20"/>
                <w:szCs w:val="20"/>
              </w:rPr>
              <w:t>»</w:t>
            </w:r>
            <w:r w:rsidR="00D5127A">
              <w:rPr>
                <w:color w:val="000000"/>
                <w:sz w:val="20"/>
                <w:szCs w:val="20"/>
              </w:rPr>
              <w:t xml:space="preserve"> г.</w:t>
            </w:r>
            <w:r w:rsidRPr="00E8065F">
              <w:rPr>
                <w:color w:val="000000"/>
                <w:sz w:val="20"/>
                <w:szCs w:val="20"/>
              </w:rPr>
              <w:t>Набережные Челны</w:t>
            </w:r>
          </w:p>
        </w:tc>
        <w:tc>
          <w:tcPr>
            <w:tcW w:w="1994" w:type="dxa"/>
            <w:tcBorders>
              <w:top w:val="nil"/>
              <w:left w:val="single" w:sz="4" w:space="0" w:color="auto"/>
              <w:bottom w:val="single" w:sz="4" w:space="0" w:color="auto"/>
              <w:right w:val="single" w:sz="4" w:space="0" w:color="auto"/>
            </w:tcBorders>
            <w:shd w:val="clear" w:color="auto" w:fill="auto"/>
          </w:tcPr>
          <w:p w:rsidR="000E54C2" w:rsidRPr="00E8065F" w:rsidRDefault="000E54C2" w:rsidP="00D5127A">
            <w:pPr>
              <w:spacing w:line="235" w:lineRule="auto"/>
              <w:jc w:val="center"/>
              <w:rPr>
                <w:color w:val="000000"/>
                <w:sz w:val="20"/>
                <w:szCs w:val="20"/>
              </w:rPr>
            </w:pPr>
            <w:r w:rsidRPr="00E8065F">
              <w:rPr>
                <w:color w:val="000000"/>
                <w:sz w:val="20"/>
                <w:szCs w:val="20"/>
              </w:rPr>
              <w:t>Маммограф</w:t>
            </w:r>
          </w:p>
        </w:tc>
        <w:tc>
          <w:tcPr>
            <w:tcW w:w="1181" w:type="dxa"/>
            <w:shd w:val="clear" w:color="auto" w:fill="auto"/>
          </w:tcPr>
          <w:p w:rsidR="000E54C2" w:rsidRPr="00E8065F" w:rsidRDefault="000E54C2" w:rsidP="00D5127A">
            <w:pPr>
              <w:spacing w:line="235" w:lineRule="auto"/>
              <w:jc w:val="center"/>
              <w:rPr>
                <w:sz w:val="20"/>
                <w:szCs w:val="20"/>
              </w:rPr>
            </w:pPr>
            <w:r w:rsidRPr="00E8065F">
              <w:rPr>
                <w:sz w:val="20"/>
                <w:szCs w:val="20"/>
              </w:rPr>
              <w:t>2023</w:t>
            </w:r>
          </w:p>
          <w:p w:rsidR="000E54C2" w:rsidRPr="00E8065F" w:rsidRDefault="000E54C2" w:rsidP="00D5127A">
            <w:pPr>
              <w:spacing w:line="235" w:lineRule="auto"/>
              <w:jc w:val="center"/>
              <w:rPr>
                <w:sz w:val="20"/>
                <w:szCs w:val="20"/>
              </w:rPr>
            </w:pPr>
          </w:p>
        </w:tc>
        <w:tc>
          <w:tcPr>
            <w:tcW w:w="1181" w:type="dxa"/>
            <w:tcBorders>
              <w:top w:val="nil"/>
              <w:left w:val="single" w:sz="4" w:space="0" w:color="auto"/>
              <w:bottom w:val="single" w:sz="4" w:space="0" w:color="auto"/>
              <w:right w:val="single" w:sz="4" w:space="0" w:color="auto"/>
            </w:tcBorders>
            <w:shd w:val="clear" w:color="auto" w:fill="auto"/>
          </w:tcPr>
          <w:p w:rsidR="000E54C2" w:rsidRPr="00E8065F" w:rsidRDefault="000E54C2" w:rsidP="00D5127A">
            <w:pPr>
              <w:spacing w:line="235" w:lineRule="auto"/>
              <w:jc w:val="center"/>
              <w:rPr>
                <w:color w:val="000000"/>
                <w:sz w:val="20"/>
                <w:szCs w:val="20"/>
              </w:rPr>
            </w:pPr>
            <w:r w:rsidRPr="00E8065F">
              <w:rPr>
                <w:color w:val="000000"/>
                <w:sz w:val="20"/>
                <w:szCs w:val="20"/>
              </w:rPr>
              <w:t>1</w:t>
            </w:r>
          </w:p>
        </w:tc>
        <w:tc>
          <w:tcPr>
            <w:tcW w:w="1478" w:type="dxa"/>
            <w:tcBorders>
              <w:top w:val="nil"/>
              <w:left w:val="single" w:sz="4" w:space="0" w:color="auto"/>
              <w:bottom w:val="single" w:sz="4" w:space="0" w:color="auto"/>
              <w:right w:val="single" w:sz="4" w:space="0" w:color="auto"/>
            </w:tcBorders>
            <w:shd w:val="clear" w:color="auto" w:fill="auto"/>
          </w:tcPr>
          <w:p w:rsidR="000E54C2" w:rsidRPr="00E8065F" w:rsidRDefault="000E54C2" w:rsidP="00D5127A">
            <w:pPr>
              <w:spacing w:line="235" w:lineRule="auto"/>
              <w:jc w:val="center"/>
              <w:rPr>
                <w:color w:val="000000"/>
                <w:sz w:val="20"/>
                <w:szCs w:val="20"/>
              </w:rPr>
            </w:pPr>
            <w:r w:rsidRPr="00E8065F">
              <w:rPr>
                <w:color w:val="000000"/>
                <w:sz w:val="20"/>
                <w:szCs w:val="20"/>
              </w:rPr>
              <w:t>16</w:t>
            </w:r>
          </w:p>
        </w:tc>
        <w:tc>
          <w:tcPr>
            <w:tcW w:w="1111" w:type="dxa"/>
            <w:tcBorders>
              <w:top w:val="nil"/>
              <w:left w:val="single" w:sz="4" w:space="0" w:color="auto"/>
              <w:bottom w:val="single" w:sz="4" w:space="0" w:color="auto"/>
              <w:right w:val="single" w:sz="4" w:space="0" w:color="auto"/>
            </w:tcBorders>
            <w:shd w:val="clear" w:color="auto" w:fill="auto"/>
          </w:tcPr>
          <w:p w:rsidR="000E54C2" w:rsidRPr="00E8065F" w:rsidRDefault="000E54C2" w:rsidP="00D5127A">
            <w:pPr>
              <w:spacing w:line="235" w:lineRule="auto"/>
              <w:jc w:val="center"/>
              <w:rPr>
                <w:color w:val="000000"/>
                <w:sz w:val="20"/>
                <w:szCs w:val="20"/>
              </w:rPr>
            </w:pPr>
            <w:r w:rsidRPr="00E8065F">
              <w:rPr>
                <w:color w:val="000000"/>
                <w:sz w:val="20"/>
                <w:szCs w:val="20"/>
              </w:rPr>
              <w:t>2</w:t>
            </w:r>
          </w:p>
        </w:tc>
        <w:tc>
          <w:tcPr>
            <w:tcW w:w="1944" w:type="dxa"/>
            <w:tcBorders>
              <w:top w:val="nil"/>
              <w:left w:val="single" w:sz="4" w:space="0" w:color="auto"/>
              <w:bottom w:val="single" w:sz="4" w:space="0" w:color="auto"/>
              <w:right w:val="single" w:sz="4" w:space="0" w:color="auto"/>
            </w:tcBorders>
            <w:shd w:val="clear" w:color="auto" w:fill="auto"/>
          </w:tcPr>
          <w:p w:rsidR="000E54C2" w:rsidRPr="00E8065F" w:rsidRDefault="000E54C2" w:rsidP="00D5127A">
            <w:pPr>
              <w:spacing w:line="235" w:lineRule="auto"/>
              <w:jc w:val="center"/>
              <w:rPr>
                <w:color w:val="000000"/>
                <w:sz w:val="20"/>
                <w:szCs w:val="20"/>
              </w:rPr>
            </w:pPr>
            <w:r w:rsidRPr="00E8065F">
              <w:rPr>
                <w:color w:val="000000"/>
                <w:sz w:val="20"/>
                <w:szCs w:val="20"/>
              </w:rPr>
              <w:t>Амбулаторное</w:t>
            </w:r>
          </w:p>
        </w:tc>
      </w:tr>
      <w:tr w:rsidR="00BA1432" w:rsidRPr="00E8065F" w:rsidTr="000546C2">
        <w:trPr>
          <w:trHeight w:val="20"/>
        </w:trPr>
        <w:tc>
          <w:tcPr>
            <w:tcW w:w="1555" w:type="dxa"/>
            <w:vMerge/>
          </w:tcPr>
          <w:p w:rsidR="000E54C2" w:rsidRPr="00E8065F" w:rsidRDefault="000E54C2" w:rsidP="00BA1432">
            <w:pPr>
              <w:rPr>
                <w:sz w:val="20"/>
                <w:szCs w:val="20"/>
              </w:rPr>
            </w:pPr>
          </w:p>
        </w:tc>
        <w:tc>
          <w:tcPr>
            <w:tcW w:w="3685" w:type="dxa"/>
            <w:tcBorders>
              <w:top w:val="nil"/>
              <w:left w:val="single" w:sz="4" w:space="0" w:color="auto"/>
              <w:bottom w:val="single" w:sz="4" w:space="0" w:color="auto"/>
              <w:right w:val="single" w:sz="4" w:space="0" w:color="auto"/>
            </w:tcBorders>
            <w:shd w:val="clear" w:color="auto" w:fill="auto"/>
          </w:tcPr>
          <w:p w:rsidR="000E54C2" w:rsidRPr="00E8065F" w:rsidRDefault="000E54C2" w:rsidP="00D5127A">
            <w:pPr>
              <w:spacing w:line="235" w:lineRule="auto"/>
              <w:jc w:val="both"/>
              <w:rPr>
                <w:color w:val="000000"/>
                <w:sz w:val="20"/>
                <w:szCs w:val="20"/>
              </w:rPr>
            </w:pPr>
            <w:r w:rsidRPr="00E8065F">
              <w:rPr>
                <w:color w:val="000000"/>
                <w:sz w:val="20"/>
                <w:szCs w:val="20"/>
              </w:rPr>
              <w:t>ГАУ</w:t>
            </w:r>
            <w:r>
              <w:rPr>
                <w:color w:val="000000"/>
                <w:sz w:val="20"/>
                <w:szCs w:val="20"/>
              </w:rPr>
              <w:t xml:space="preserve">З </w:t>
            </w:r>
            <w:r w:rsidR="002F7358">
              <w:rPr>
                <w:color w:val="000000"/>
                <w:sz w:val="20"/>
                <w:szCs w:val="20"/>
              </w:rPr>
              <w:t>«</w:t>
            </w:r>
            <w:r>
              <w:rPr>
                <w:color w:val="000000"/>
                <w:sz w:val="20"/>
                <w:szCs w:val="20"/>
              </w:rPr>
              <w:t>Городская поликлиника №</w:t>
            </w:r>
            <w:r w:rsidR="00D5127A">
              <w:rPr>
                <w:color w:val="000000"/>
                <w:sz w:val="20"/>
                <w:szCs w:val="20"/>
              </w:rPr>
              <w:t xml:space="preserve"> </w:t>
            </w:r>
            <w:r>
              <w:rPr>
                <w:color w:val="000000"/>
                <w:sz w:val="20"/>
                <w:szCs w:val="20"/>
              </w:rPr>
              <w:t>6</w:t>
            </w:r>
            <w:r w:rsidR="002F7358">
              <w:rPr>
                <w:color w:val="000000"/>
                <w:sz w:val="20"/>
                <w:szCs w:val="20"/>
              </w:rPr>
              <w:t>»</w:t>
            </w:r>
            <w:r>
              <w:rPr>
                <w:color w:val="000000"/>
                <w:sz w:val="20"/>
                <w:szCs w:val="20"/>
              </w:rPr>
              <w:t xml:space="preserve"> г.</w:t>
            </w:r>
            <w:r w:rsidRPr="00E8065F">
              <w:rPr>
                <w:color w:val="000000"/>
                <w:sz w:val="20"/>
                <w:szCs w:val="20"/>
              </w:rPr>
              <w:t>Набережные Челны</w:t>
            </w:r>
          </w:p>
        </w:tc>
        <w:tc>
          <w:tcPr>
            <w:tcW w:w="1994" w:type="dxa"/>
            <w:tcBorders>
              <w:top w:val="nil"/>
              <w:left w:val="single" w:sz="4" w:space="0" w:color="auto"/>
              <w:bottom w:val="single" w:sz="4" w:space="0" w:color="auto"/>
              <w:right w:val="single" w:sz="4" w:space="0" w:color="auto"/>
            </w:tcBorders>
            <w:shd w:val="clear" w:color="auto" w:fill="auto"/>
          </w:tcPr>
          <w:p w:rsidR="000E54C2" w:rsidRPr="00E8065F" w:rsidRDefault="000E54C2" w:rsidP="00D5127A">
            <w:pPr>
              <w:spacing w:line="235" w:lineRule="auto"/>
              <w:jc w:val="center"/>
              <w:rPr>
                <w:color w:val="000000"/>
                <w:sz w:val="20"/>
                <w:szCs w:val="20"/>
              </w:rPr>
            </w:pPr>
            <w:r w:rsidRPr="00E8065F">
              <w:rPr>
                <w:color w:val="000000"/>
                <w:sz w:val="20"/>
                <w:szCs w:val="20"/>
              </w:rPr>
              <w:t>Маммограф</w:t>
            </w:r>
          </w:p>
        </w:tc>
        <w:tc>
          <w:tcPr>
            <w:tcW w:w="1181" w:type="dxa"/>
            <w:shd w:val="clear" w:color="auto" w:fill="auto"/>
          </w:tcPr>
          <w:p w:rsidR="000E54C2" w:rsidRPr="00E8065F" w:rsidRDefault="000E54C2" w:rsidP="00D5127A">
            <w:pPr>
              <w:spacing w:line="235" w:lineRule="auto"/>
              <w:jc w:val="center"/>
              <w:rPr>
                <w:sz w:val="20"/>
                <w:szCs w:val="20"/>
              </w:rPr>
            </w:pPr>
            <w:r w:rsidRPr="00E8065F">
              <w:rPr>
                <w:sz w:val="20"/>
                <w:szCs w:val="20"/>
              </w:rPr>
              <w:t>2018</w:t>
            </w:r>
          </w:p>
        </w:tc>
        <w:tc>
          <w:tcPr>
            <w:tcW w:w="1181" w:type="dxa"/>
            <w:tcBorders>
              <w:top w:val="nil"/>
              <w:left w:val="single" w:sz="4" w:space="0" w:color="auto"/>
              <w:bottom w:val="single" w:sz="4" w:space="0" w:color="auto"/>
              <w:right w:val="single" w:sz="4" w:space="0" w:color="auto"/>
            </w:tcBorders>
            <w:shd w:val="clear" w:color="auto" w:fill="auto"/>
          </w:tcPr>
          <w:p w:rsidR="000E54C2" w:rsidRPr="00E8065F" w:rsidRDefault="000E54C2" w:rsidP="00D5127A">
            <w:pPr>
              <w:spacing w:line="235" w:lineRule="auto"/>
              <w:jc w:val="center"/>
              <w:rPr>
                <w:color w:val="000000"/>
                <w:sz w:val="20"/>
                <w:szCs w:val="20"/>
              </w:rPr>
            </w:pPr>
            <w:r w:rsidRPr="00E8065F">
              <w:rPr>
                <w:color w:val="000000"/>
                <w:sz w:val="20"/>
                <w:szCs w:val="20"/>
              </w:rPr>
              <w:t>1</w:t>
            </w:r>
          </w:p>
        </w:tc>
        <w:tc>
          <w:tcPr>
            <w:tcW w:w="1478" w:type="dxa"/>
            <w:tcBorders>
              <w:top w:val="nil"/>
              <w:left w:val="single" w:sz="4" w:space="0" w:color="auto"/>
              <w:bottom w:val="single" w:sz="4" w:space="0" w:color="auto"/>
              <w:right w:val="single" w:sz="4" w:space="0" w:color="auto"/>
            </w:tcBorders>
            <w:shd w:val="clear" w:color="auto" w:fill="auto"/>
          </w:tcPr>
          <w:p w:rsidR="000E54C2" w:rsidRPr="00E8065F" w:rsidRDefault="000E54C2" w:rsidP="00D5127A">
            <w:pPr>
              <w:spacing w:line="235" w:lineRule="auto"/>
              <w:jc w:val="center"/>
              <w:rPr>
                <w:color w:val="000000"/>
                <w:sz w:val="20"/>
                <w:szCs w:val="20"/>
              </w:rPr>
            </w:pPr>
            <w:r w:rsidRPr="00E8065F">
              <w:rPr>
                <w:color w:val="000000"/>
                <w:sz w:val="20"/>
                <w:szCs w:val="20"/>
              </w:rPr>
              <w:t>15</w:t>
            </w:r>
          </w:p>
        </w:tc>
        <w:tc>
          <w:tcPr>
            <w:tcW w:w="1111" w:type="dxa"/>
            <w:tcBorders>
              <w:top w:val="nil"/>
              <w:left w:val="single" w:sz="4" w:space="0" w:color="auto"/>
              <w:bottom w:val="single" w:sz="4" w:space="0" w:color="auto"/>
              <w:right w:val="single" w:sz="4" w:space="0" w:color="auto"/>
            </w:tcBorders>
            <w:shd w:val="clear" w:color="auto" w:fill="auto"/>
          </w:tcPr>
          <w:p w:rsidR="000E54C2" w:rsidRPr="00E8065F" w:rsidRDefault="000E54C2" w:rsidP="00D5127A">
            <w:pPr>
              <w:spacing w:line="235" w:lineRule="auto"/>
              <w:jc w:val="center"/>
              <w:rPr>
                <w:color w:val="000000"/>
                <w:sz w:val="20"/>
                <w:szCs w:val="20"/>
              </w:rPr>
            </w:pPr>
            <w:r w:rsidRPr="00E8065F">
              <w:rPr>
                <w:color w:val="000000"/>
                <w:sz w:val="20"/>
                <w:szCs w:val="20"/>
              </w:rPr>
              <w:t>2</w:t>
            </w:r>
          </w:p>
        </w:tc>
        <w:tc>
          <w:tcPr>
            <w:tcW w:w="1944" w:type="dxa"/>
            <w:tcBorders>
              <w:top w:val="nil"/>
              <w:left w:val="single" w:sz="4" w:space="0" w:color="auto"/>
              <w:bottom w:val="single" w:sz="4" w:space="0" w:color="auto"/>
              <w:right w:val="single" w:sz="4" w:space="0" w:color="auto"/>
            </w:tcBorders>
            <w:shd w:val="clear" w:color="auto" w:fill="auto"/>
          </w:tcPr>
          <w:p w:rsidR="000E54C2" w:rsidRPr="00E8065F" w:rsidRDefault="000E54C2" w:rsidP="00D5127A">
            <w:pPr>
              <w:spacing w:line="235" w:lineRule="auto"/>
              <w:jc w:val="center"/>
              <w:rPr>
                <w:color w:val="000000"/>
                <w:sz w:val="20"/>
                <w:szCs w:val="20"/>
              </w:rPr>
            </w:pPr>
            <w:r w:rsidRPr="00E8065F">
              <w:rPr>
                <w:color w:val="000000"/>
                <w:sz w:val="20"/>
                <w:szCs w:val="20"/>
              </w:rPr>
              <w:t>Амбулаторное</w:t>
            </w:r>
          </w:p>
        </w:tc>
      </w:tr>
      <w:tr w:rsidR="00BA1432" w:rsidRPr="00E8065F" w:rsidTr="000546C2">
        <w:trPr>
          <w:trHeight w:val="20"/>
        </w:trPr>
        <w:tc>
          <w:tcPr>
            <w:tcW w:w="1555" w:type="dxa"/>
            <w:vMerge/>
          </w:tcPr>
          <w:p w:rsidR="000E54C2" w:rsidRPr="00E8065F" w:rsidRDefault="000E54C2" w:rsidP="00BA1432">
            <w:pPr>
              <w:rPr>
                <w:sz w:val="20"/>
                <w:szCs w:val="20"/>
              </w:rPr>
            </w:pPr>
          </w:p>
        </w:tc>
        <w:tc>
          <w:tcPr>
            <w:tcW w:w="3685" w:type="dxa"/>
            <w:tcBorders>
              <w:top w:val="nil"/>
              <w:left w:val="single" w:sz="4" w:space="0" w:color="auto"/>
              <w:bottom w:val="single" w:sz="4" w:space="0" w:color="auto"/>
              <w:right w:val="single" w:sz="4" w:space="0" w:color="auto"/>
            </w:tcBorders>
            <w:shd w:val="clear" w:color="auto" w:fill="auto"/>
          </w:tcPr>
          <w:p w:rsidR="000E54C2" w:rsidRPr="00E8065F" w:rsidRDefault="000E54C2" w:rsidP="00D5127A">
            <w:pPr>
              <w:spacing w:line="235" w:lineRule="auto"/>
              <w:jc w:val="both"/>
              <w:rPr>
                <w:color w:val="000000"/>
                <w:sz w:val="20"/>
                <w:szCs w:val="20"/>
              </w:rPr>
            </w:pPr>
            <w:r w:rsidRPr="00E8065F">
              <w:rPr>
                <w:color w:val="000000"/>
                <w:sz w:val="20"/>
                <w:szCs w:val="20"/>
              </w:rPr>
              <w:t xml:space="preserve">ГАУЗ </w:t>
            </w:r>
            <w:r w:rsidR="002F7358">
              <w:rPr>
                <w:color w:val="000000"/>
                <w:sz w:val="20"/>
                <w:szCs w:val="20"/>
              </w:rPr>
              <w:t>«</w:t>
            </w:r>
            <w:r w:rsidRPr="00E8065F">
              <w:rPr>
                <w:color w:val="000000"/>
                <w:sz w:val="20"/>
                <w:szCs w:val="20"/>
              </w:rPr>
              <w:t>Гор</w:t>
            </w:r>
            <w:r>
              <w:rPr>
                <w:color w:val="000000"/>
                <w:sz w:val="20"/>
                <w:szCs w:val="20"/>
              </w:rPr>
              <w:t>одская поликлиника №</w:t>
            </w:r>
            <w:r w:rsidR="00D5127A">
              <w:rPr>
                <w:color w:val="000000"/>
                <w:sz w:val="20"/>
                <w:szCs w:val="20"/>
              </w:rPr>
              <w:t xml:space="preserve"> </w:t>
            </w:r>
            <w:r>
              <w:rPr>
                <w:color w:val="000000"/>
                <w:sz w:val="20"/>
                <w:szCs w:val="20"/>
              </w:rPr>
              <w:t>7</w:t>
            </w:r>
            <w:r w:rsidR="002F7358">
              <w:rPr>
                <w:color w:val="000000"/>
                <w:sz w:val="20"/>
                <w:szCs w:val="20"/>
              </w:rPr>
              <w:t>»</w:t>
            </w:r>
            <w:r>
              <w:rPr>
                <w:color w:val="000000"/>
                <w:sz w:val="20"/>
                <w:szCs w:val="20"/>
              </w:rPr>
              <w:t xml:space="preserve"> г.</w:t>
            </w:r>
            <w:r w:rsidRPr="00E8065F">
              <w:rPr>
                <w:color w:val="000000"/>
                <w:sz w:val="20"/>
                <w:szCs w:val="20"/>
              </w:rPr>
              <w:t>Набережные Челны</w:t>
            </w:r>
          </w:p>
        </w:tc>
        <w:tc>
          <w:tcPr>
            <w:tcW w:w="1994" w:type="dxa"/>
            <w:tcBorders>
              <w:top w:val="nil"/>
              <w:left w:val="single" w:sz="4" w:space="0" w:color="auto"/>
              <w:bottom w:val="single" w:sz="4" w:space="0" w:color="auto"/>
              <w:right w:val="single" w:sz="4" w:space="0" w:color="auto"/>
            </w:tcBorders>
            <w:shd w:val="clear" w:color="auto" w:fill="auto"/>
          </w:tcPr>
          <w:p w:rsidR="000E54C2" w:rsidRPr="00E8065F" w:rsidRDefault="000E54C2" w:rsidP="00D5127A">
            <w:pPr>
              <w:spacing w:line="235" w:lineRule="auto"/>
              <w:jc w:val="center"/>
              <w:rPr>
                <w:color w:val="000000"/>
                <w:sz w:val="20"/>
                <w:szCs w:val="20"/>
              </w:rPr>
            </w:pPr>
            <w:r w:rsidRPr="00E8065F">
              <w:rPr>
                <w:color w:val="000000"/>
                <w:sz w:val="20"/>
                <w:szCs w:val="20"/>
              </w:rPr>
              <w:t>Маммограф</w:t>
            </w:r>
          </w:p>
        </w:tc>
        <w:tc>
          <w:tcPr>
            <w:tcW w:w="1181" w:type="dxa"/>
            <w:tcBorders>
              <w:bottom w:val="single" w:sz="4" w:space="0" w:color="auto"/>
            </w:tcBorders>
            <w:shd w:val="clear" w:color="auto" w:fill="auto"/>
          </w:tcPr>
          <w:p w:rsidR="000E54C2" w:rsidRPr="00E8065F" w:rsidRDefault="000E54C2" w:rsidP="00D5127A">
            <w:pPr>
              <w:spacing w:line="235" w:lineRule="auto"/>
              <w:jc w:val="center"/>
              <w:rPr>
                <w:sz w:val="20"/>
                <w:szCs w:val="20"/>
              </w:rPr>
            </w:pPr>
            <w:r w:rsidRPr="00E8065F">
              <w:rPr>
                <w:sz w:val="20"/>
                <w:szCs w:val="20"/>
              </w:rPr>
              <w:t>2018</w:t>
            </w:r>
          </w:p>
        </w:tc>
        <w:tc>
          <w:tcPr>
            <w:tcW w:w="1181" w:type="dxa"/>
            <w:tcBorders>
              <w:top w:val="nil"/>
              <w:left w:val="single" w:sz="4" w:space="0" w:color="auto"/>
              <w:bottom w:val="single" w:sz="4" w:space="0" w:color="auto"/>
              <w:right w:val="single" w:sz="4" w:space="0" w:color="auto"/>
            </w:tcBorders>
            <w:shd w:val="clear" w:color="auto" w:fill="auto"/>
          </w:tcPr>
          <w:p w:rsidR="000E54C2" w:rsidRPr="00E8065F" w:rsidRDefault="000E54C2" w:rsidP="00D5127A">
            <w:pPr>
              <w:spacing w:line="235" w:lineRule="auto"/>
              <w:jc w:val="center"/>
              <w:rPr>
                <w:color w:val="000000"/>
                <w:sz w:val="20"/>
                <w:szCs w:val="20"/>
              </w:rPr>
            </w:pPr>
            <w:r w:rsidRPr="00E8065F">
              <w:rPr>
                <w:color w:val="000000"/>
                <w:sz w:val="20"/>
                <w:szCs w:val="20"/>
              </w:rPr>
              <w:t>1</w:t>
            </w:r>
          </w:p>
        </w:tc>
        <w:tc>
          <w:tcPr>
            <w:tcW w:w="1478" w:type="dxa"/>
            <w:tcBorders>
              <w:top w:val="nil"/>
              <w:left w:val="single" w:sz="4" w:space="0" w:color="auto"/>
              <w:bottom w:val="single" w:sz="4" w:space="0" w:color="auto"/>
              <w:right w:val="single" w:sz="4" w:space="0" w:color="auto"/>
            </w:tcBorders>
            <w:shd w:val="clear" w:color="auto" w:fill="auto"/>
          </w:tcPr>
          <w:p w:rsidR="000E54C2" w:rsidRPr="00E8065F" w:rsidRDefault="000E54C2" w:rsidP="00D5127A">
            <w:pPr>
              <w:spacing w:line="235" w:lineRule="auto"/>
              <w:jc w:val="center"/>
              <w:rPr>
                <w:color w:val="000000"/>
                <w:sz w:val="20"/>
                <w:szCs w:val="20"/>
              </w:rPr>
            </w:pPr>
            <w:r w:rsidRPr="00E8065F">
              <w:rPr>
                <w:color w:val="000000"/>
                <w:sz w:val="20"/>
                <w:szCs w:val="20"/>
              </w:rPr>
              <w:t>69</w:t>
            </w:r>
          </w:p>
        </w:tc>
        <w:tc>
          <w:tcPr>
            <w:tcW w:w="1111" w:type="dxa"/>
            <w:tcBorders>
              <w:top w:val="nil"/>
              <w:left w:val="single" w:sz="4" w:space="0" w:color="auto"/>
              <w:bottom w:val="single" w:sz="4" w:space="0" w:color="auto"/>
              <w:right w:val="single" w:sz="4" w:space="0" w:color="auto"/>
            </w:tcBorders>
            <w:shd w:val="clear" w:color="auto" w:fill="auto"/>
          </w:tcPr>
          <w:p w:rsidR="000E54C2" w:rsidRPr="00E8065F" w:rsidRDefault="000E54C2" w:rsidP="00D5127A">
            <w:pPr>
              <w:spacing w:line="235" w:lineRule="auto"/>
              <w:jc w:val="center"/>
              <w:rPr>
                <w:color w:val="000000"/>
                <w:sz w:val="20"/>
                <w:szCs w:val="20"/>
              </w:rPr>
            </w:pPr>
            <w:r w:rsidRPr="00E8065F">
              <w:rPr>
                <w:color w:val="000000"/>
                <w:sz w:val="20"/>
                <w:szCs w:val="20"/>
              </w:rPr>
              <w:t>2</w:t>
            </w:r>
          </w:p>
        </w:tc>
        <w:tc>
          <w:tcPr>
            <w:tcW w:w="1944" w:type="dxa"/>
            <w:tcBorders>
              <w:top w:val="nil"/>
              <w:left w:val="single" w:sz="4" w:space="0" w:color="auto"/>
              <w:bottom w:val="single" w:sz="4" w:space="0" w:color="auto"/>
              <w:right w:val="single" w:sz="4" w:space="0" w:color="auto"/>
            </w:tcBorders>
            <w:shd w:val="clear" w:color="auto" w:fill="auto"/>
          </w:tcPr>
          <w:p w:rsidR="000E54C2" w:rsidRPr="00E8065F" w:rsidRDefault="000E54C2" w:rsidP="00D5127A">
            <w:pPr>
              <w:spacing w:line="235" w:lineRule="auto"/>
              <w:jc w:val="center"/>
              <w:rPr>
                <w:color w:val="000000"/>
                <w:sz w:val="20"/>
                <w:szCs w:val="20"/>
              </w:rPr>
            </w:pPr>
            <w:r w:rsidRPr="00E8065F">
              <w:rPr>
                <w:color w:val="000000"/>
                <w:sz w:val="20"/>
                <w:szCs w:val="20"/>
              </w:rPr>
              <w:t>Амбулаторное</w:t>
            </w:r>
          </w:p>
        </w:tc>
      </w:tr>
      <w:tr w:rsidR="00BA1432" w:rsidRPr="00E8065F" w:rsidTr="000546C2">
        <w:trPr>
          <w:trHeight w:val="20"/>
        </w:trPr>
        <w:tc>
          <w:tcPr>
            <w:tcW w:w="1555" w:type="dxa"/>
            <w:vMerge/>
          </w:tcPr>
          <w:p w:rsidR="000E54C2" w:rsidRPr="00E8065F" w:rsidRDefault="000E54C2" w:rsidP="00BA1432">
            <w:pPr>
              <w:rPr>
                <w:sz w:val="20"/>
                <w:szCs w:val="20"/>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0E54C2" w:rsidRPr="00E8065F" w:rsidRDefault="000E54C2" w:rsidP="00D5127A">
            <w:pPr>
              <w:spacing w:line="235" w:lineRule="auto"/>
              <w:jc w:val="both"/>
              <w:rPr>
                <w:color w:val="000000"/>
                <w:sz w:val="20"/>
                <w:szCs w:val="20"/>
              </w:rPr>
            </w:pPr>
            <w:r w:rsidRPr="00E8065F">
              <w:rPr>
                <w:color w:val="000000"/>
                <w:sz w:val="20"/>
                <w:szCs w:val="20"/>
              </w:rPr>
              <w:t xml:space="preserve">ГАУЗ </w:t>
            </w:r>
            <w:r w:rsidR="002F7358">
              <w:rPr>
                <w:color w:val="000000"/>
                <w:sz w:val="20"/>
                <w:szCs w:val="20"/>
              </w:rPr>
              <w:t>«</w:t>
            </w:r>
            <w:r w:rsidRPr="00E8065F">
              <w:rPr>
                <w:color w:val="000000"/>
                <w:sz w:val="20"/>
                <w:szCs w:val="20"/>
              </w:rPr>
              <w:t>Городская клиническая больница №12</w:t>
            </w:r>
            <w:r w:rsidR="002F7358">
              <w:rPr>
                <w:color w:val="000000"/>
                <w:sz w:val="20"/>
                <w:szCs w:val="20"/>
              </w:rPr>
              <w:t>» г. Казани</w:t>
            </w:r>
          </w:p>
        </w:tc>
        <w:tc>
          <w:tcPr>
            <w:tcW w:w="1994" w:type="dxa"/>
            <w:tcBorders>
              <w:top w:val="single" w:sz="4" w:space="0" w:color="auto"/>
              <w:left w:val="single" w:sz="4" w:space="0" w:color="auto"/>
              <w:bottom w:val="single" w:sz="4" w:space="0" w:color="auto"/>
              <w:right w:val="single" w:sz="4" w:space="0" w:color="auto"/>
            </w:tcBorders>
            <w:shd w:val="clear" w:color="auto" w:fill="auto"/>
          </w:tcPr>
          <w:p w:rsidR="000E54C2" w:rsidRPr="00E8065F" w:rsidRDefault="000E54C2" w:rsidP="00D5127A">
            <w:pPr>
              <w:spacing w:line="235" w:lineRule="auto"/>
              <w:jc w:val="center"/>
              <w:rPr>
                <w:color w:val="000000"/>
                <w:sz w:val="20"/>
                <w:szCs w:val="20"/>
              </w:rPr>
            </w:pPr>
            <w:r w:rsidRPr="00E8065F">
              <w:rPr>
                <w:color w:val="000000"/>
                <w:sz w:val="20"/>
                <w:szCs w:val="20"/>
              </w:rPr>
              <w:t>Маммограф</w:t>
            </w:r>
          </w:p>
        </w:tc>
        <w:tc>
          <w:tcPr>
            <w:tcW w:w="1181" w:type="dxa"/>
            <w:tcBorders>
              <w:top w:val="single" w:sz="4" w:space="0" w:color="auto"/>
            </w:tcBorders>
            <w:shd w:val="clear" w:color="auto" w:fill="auto"/>
          </w:tcPr>
          <w:p w:rsidR="000E54C2" w:rsidRPr="00E8065F" w:rsidRDefault="000E54C2" w:rsidP="00D5127A">
            <w:pPr>
              <w:spacing w:line="235" w:lineRule="auto"/>
              <w:jc w:val="center"/>
              <w:rPr>
                <w:sz w:val="20"/>
                <w:szCs w:val="20"/>
              </w:rPr>
            </w:pPr>
            <w:r w:rsidRPr="00E8065F">
              <w:rPr>
                <w:sz w:val="20"/>
                <w:szCs w:val="20"/>
              </w:rPr>
              <w:t>2024</w:t>
            </w:r>
          </w:p>
        </w:tc>
        <w:tc>
          <w:tcPr>
            <w:tcW w:w="1181" w:type="dxa"/>
            <w:tcBorders>
              <w:top w:val="single" w:sz="4" w:space="0" w:color="auto"/>
              <w:left w:val="single" w:sz="4" w:space="0" w:color="auto"/>
              <w:bottom w:val="single" w:sz="4" w:space="0" w:color="auto"/>
              <w:right w:val="single" w:sz="4" w:space="0" w:color="auto"/>
            </w:tcBorders>
            <w:shd w:val="clear" w:color="auto" w:fill="auto"/>
          </w:tcPr>
          <w:p w:rsidR="000E54C2" w:rsidRPr="00E8065F" w:rsidRDefault="000E54C2" w:rsidP="00D5127A">
            <w:pPr>
              <w:spacing w:line="235" w:lineRule="auto"/>
              <w:jc w:val="center"/>
              <w:rPr>
                <w:color w:val="000000"/>
                <w:sz w:val="20"/>
                <w:szCs w:val="20"/>
              </w:rPr>
            </w:pPr>
            <w:r w:rsidRPr="00E8065F">
              <w:rPr>
                <w:color w:val="000000"/>
                <w:sz w:val="20"/>
                <w:szCs w:val="20"/>
              </w:rPr>
              <w:t>1</w:t>
            </w:r>
          </w:p>
        </w:tc>
        <w:tc>
          <w:tcPr>
            <w:tcW w:w="1478" w:type="dxa"/>
            <w:tcBorders>
              <w:top w:val="single" w:sz="4" w:space="0" w:color="auto"/>
              <w:left w:val="single" w:sz="4" w:space="0" w:color="auto"/>
              <w:bottom w:val="single" w:sz="4" w:space="0" w:color="auto"/>
              <w:right w:val="single" w:sz="4" w:space="0" w:color="auto"/>
            </w:tcBorders>
            <w:shd w:val="clear" w:color="auto" w:fill="auto"/>
          </w:tcPr>
          <w:p w:rsidR="000E54C2" w:rsidRPr="00E8065F" w:rsidRDefault="000E54C2" w:rsidP="00D5127A">
            <w:pPr>
              <w:spacing w:line="235" w:lineRule="auto"/>
              <w:jc w:val="center"/>
              <w:rPr>
                <w:color w:val="000000"/>
                <w:sz w:val="20"/>
                <w:szCs w:val="20"/>
              </w:rPr>
            </w:pPr>
            <w:r w:rsidRPr="00E8065F">
              <w:rPr>
                <w:color w:val="000000"/>
                <w:sz w:val="20"/>
                <w:szCs w:val="20"/>
              </w:rPr>
              <w:t>6</w:t>
            </w:r>
          </w:p>
        </w:tc>
        <w:tc>
          <w:tcPr>
            <w:tcW w:w="1111" w:type="dxa"/>
            <w:tcBorders>
              <w:top w:val="single" w:sz="4" w:space="0" w:color="auto"/>
              <w:left w:val="single" w:sz="4" w:space="0" w:color="auto"/>
              <w:bottom w:val="single" w:sz="4" w:space="0" w:color="auto"/>
              <w:right w:val="single" w:sz="4" w:space="0" w:color="auto"/>
            </w:tcBorders>
            <w:shd w:val="clear" w:color="auto" w:fill="auto"/>
          </w:tcPr>
          <w:p w:rsidR="000E54C2" w:rsidRPr="00E8065F" w:rsidRDefault="000E54C2" w:rsidP="00D5127A">
            <w:pPr>
              <w:spacing w:line="235" w:lineRule="auto"/>
              <w:jc w:val="center"/>
              <w:rPr>
                <w:color w:val="000000"/>
                <w:sz w:val="20"/>
                <w:szCs w:val="20"/>
              </w:rPr>
            </w:pPr>
            <w:r w:rsidRPr="00E8065F">
              <w:rPr>
                <w:color w:val="000000"/>
                <w:sz w:val="20"/>
                <w:szCs w:val="20"/>
              </w:rPr>
              <w:t>2</w:t>
            </w:r>
          </w:p>
        </w:tc>
        <w:tc>
          <w:tcPr>
            <w:tcW w:w="1944" w:type="dxa"/>
            <w:tcBorders>
              <w:top w:val="single" w:sz="4" w:space="0" w:color="auto"/>
              <w:left w:val="single" w:sz="4" w:space="0" w:color="auto"/>
              <w:bottom w:val="single" w:sz="4" w:space="0" w:color="auto"/>
              <w:right w:val="single" w:sz="4" w:space="0" w:color="auto"/>
            </w:tcBorders>
            <w:shd w:val="clear" w:color="auto" w:fill="auto"/>
          </w:tcPr>
          <w:p w:rsidR="000E54C2" w:rsidRPr="00E8065F" w:rsidRDefault="000E54C2" w:rsidP="00D5127A">
            <w:pPr>
              <w:spacing w:line="235" w:lineRule="auto"/>
              <w:jc w:val="center"/>
              <w:rPr>
                <w:color w:val="000000"/>
                <w:sz w:val="20"/>
                <w:szCs w:val="20"/>
              </w:rPr>
            </w:pPr>
            <w:r w:rsidRPr="00E8065F">
              <w:rPr>
                <w:color w:val="000000"/>
                <w:sz w:val="20"/>
                <w:szCs w:val="20"/>
              </w:rPr>
              <w:t>Амбулаторное</w:t>
            </w:r>
          </w:p>
        </w:tc>
      </w:tr>
      <w:tr w:rsidR="00BA1432" w:rsidRPr="00E8065F" w:rsidTr="000546C2">
        <w:trPr>
          <w:trHeight w:val="20"/>
        </w:trPr>
        <w:tc>
          <w:tcPr>
            <w:tcW w:w="1555" w:type="dxa"/>
            <w:vMerge/>
          </w:tcPr>
          <w:p w:rsidR="000E54C2" w:rsidRPr="00E8065F" w:rsidRDefault="000E54C2" w:rsidP="00BA1432">
            <w:pPr>
              <w:rPr>
                <w:sz w:val="20"/>
                <w:szCs w:val="20"/>
              </w:rPr>
            </w:pPr>
          </w:p>
        </w:tc>
        <w:tc>
          <w:tcPr>
            <w:tcW w:w="3685" w:type="dxa"/>
            <w:tcBorders>
              <w:top w:val="nil"/>
              <w:left w:val="single" w:sz="4" w:space="0" w:color="auto"/>
              <w:bottom w:val="single" w:sz="4" w:space="0" w:color="auto"/>
              <w:right w:val="single" w:sz="4" w:space="0" w:color="auto"/>
            </w:tcBorders>
            <w:shd w:val="clear" w:color="auto" w:fill="auto"/>
          </w:tcPr>
          <w:p w:rsidR="000E54C2" w:rsidRPr="00E8065F" w:rsidRDefault="000E54C2" w:rsidP="00D5127A">
            <w:pPr>
              <w:spacing w:line="235" w:lineRule="auto"/>
              <w:jc w:val="both"/>
              <w:rPr>
                <w:color w:val="000000"/>
                <w:sz w:val="20"/>
                <w:szCs w:val="20"/>
              </w:rPr>
            </w:pPr>
            <w:r w:rsidRPr="00E8065F">
              <w:rPr>
                <w:color w:val="000000"/>
                <w:sz w:val="20"/>
                <w:szCs w:val="20"/>
              </w:rPr>
              <w:t>Г</w:t>
            </w:r>
            <w:r>
              <w:rPr>
                <w:color w:val="000000"/>
                <w:sz w:val="20"/>
                <w:szCs w:val="20"/>
              </w:rPr>
              <w:t xml:space="preserve">АУЗ </w:t>
            </w:r>
            <w:r w:rsidR="002F7358">
              <w:rPr>
                <w:color w:val="000000"/>
                <w:sz w:val="20"/>
                <w:szCs w:val="20"/>
              </w:rPr>
              <w:t>«</w:t>
            </w:r>
            <w:r>
              <w:rPr>
                <w:color w:val="000000"/>
                <w:sz w:val="20"/>
                <w:szCs w:val="20"/>
              </w:rPr>
              <w:t>Городская больница №</w:t>
            </w:r>
            <w:r w:rsidR="00D5127A">
              <w:rPr>
                <w:color w:val="000000"/>
                <w:sz w:val="20"/>
                <w:szCs w:val="20"/>
              </w:rPr>
              <w:t xml:space="preserve"> </w:t>
            </w:r>
            <w:r>
              <w:rPr>
                <w:color w:val="000000"/>
                <w:sz w:val="20"/>
                <w:szCs w:val="20"/>
              </w:rPr>
              <w:t>11</w:t>
            </w:r>
            <w:r w:rsidR="002F7358">
              <w:rPr>
                <w:color w:val="000000"/>
                <w:sz w:val="20"/>
                <w:szCs w:val="20"/>
              </w:rPr>
              <w:t>»</w:t>
            </w:r>
            <w:r>
              <w:rPr>
                <w:color w:val="000000"/>
                <w:sz w:val="20"/>
                <w:szCs w:val="20"/>
              </w:rPr>
              <w:t xml:space="preserve"> г.</w:t>
            </w:r>
            <w:r w:rsidR="002F7358">
              <w:rPr>
                <w:color w:val="000000"/>
                <w:sz w:val="20"/>
                <w:szCs w:val="20"/>
              </w:rPr>
              <w:t>Казани</w:t>
            </w:r>
          </w:p>
        </w:tc>
        <w:tc>
          <w:tcPr>
            <w:tcW w:w="1994" w:type="dxa"/>
            <w:tcBorders>
              <w:top w:val="nil"/>
              <w:left w:val="single" w:sz="4" w:space="0" w:color="auto"/>
              <w:bottom w:val="single" w:sz="4" w:space="0" w:color="auto"/>
              <w:right w:val="single" w:sz="4" w:space="0" w:color="auto"/>
            </w:tcBorders>
            <w:shd w:val="clear" w:color="auto" w:fill="auto"/>
          </w:tcPr>
          <w:p w:rsidR="000E54C2" w:rsidRPr="00E8065F" w:rsidRDefault="000E54C2" w:rsidP="00D5127A">
            <w:pPr>
              <w:spacing w:line="235" w:lineRule="auto"/>
              <w:jc w:val="center"/>
              <w:rPr>
                <w:color w:val="000000"/>
                <w:sz w:val="20"/>
                <w:szCs w:val="20"/>
              </w:rPr>
            </w:pPr>
            <w:r w:rsidRPr="00E8065F">
              <w:rPr>
                <w:color w:val="000000"/>
                <w:sz w:val="20"/>
                <w:szCs w:val="20"/>
              </w:rPr>
              <w:t>Маммограф</w:t>
            </w:r>
          </w:p>
        </w:tc>
        <w:tc>
          <w:tcPr>
            <w:tcW w:w="1181" w:type="dxa"/>
            <w:shd w:val="clear" w:color="auto" w:fill="auto"/>
          </w:tcPr>
          <w:p w:rsidR="000E54C2" w:rsidRPr="00E8065F" w:rsidRDefault="000E54C2" w:rsidP="00D5127A">
            <w:pPr>
              <w:spacing w:line="235" w:lineRule="auto"/>
              <w:jc w:val="center"/>
              <w:rPr>
                <w:sz w:val="20"/>
                <w:szCs w:val="20"/>
              </w:rPr>
            </w:pPr>
            <w:r w:rsidRPr="00E8065F">
              <w:rPr>
                <w:sz w:val="20"/>
                <w:szCs w:val="20"/>
              </w:rPr>
              <w:t>2024</w:t>
            </w:r>
          </w:p>
        </w:tc>
        <w:tc>
          <w:tcPr>
            <w:tcW w:w="1181" w:type="dxa"/>
            <w:tcBorders>
              <w:top w:val="nil"/>
              <w:left w:val="single" w:sz="4" w:space="0" w:color="auto"/>
              <w:bottom w:val="single" w:sz="4" w:space="0" w:color="auto"/>
              <w:right w:val="single" w:sz="4" w:space="0" w:color="auto"/>
            </w:tcBorders>
            <w:shd w:val="clear" w:color="auto" w:fill="auto"/>
          </w:tcPr>
          <w:p w:rsidR="000E54C2" w:rsidRPr="00E8065F" w:rsidRDefault="000E54C2" w:rsidP="00D5127A">
            <w:pPr>
              <w:spacing w:line="235" w:lineRule="auto"/>
              <w:jc w:val="center"/>
              <w:rPr>
                <w:color w:val="000000"/>
                <w:sz w:val="20"/>
                <w:szCs w:val="20"/>
              </w:rPr>
            </w:pPr>
            <w:r w:rsidRPr="00E8065F">
              <w:rPr>
                <w:color w:val="000000"/>
                <w:sz w:val="20"/>
                <w:szCs w:val="20"/>
              </w:rPr>
              <w:t>1</w:t>
            </w:r>
          </w:p>
        </w:tc>
        <w:tc>
          <w:tcPr>
            <w:tcW w:w="1478" w:type="dxa"/>
            <w:tcBorders>
              <w:top w:val="nil"/>
              <w:left w:val="single" w:sz="4" w:space="0" w:color="auto"/>
              <w:bottom w:val="single" w:sz="4" w:space="0" w:color="auto"/>
              <w:right w:val="single" w:sz="4" w:space="0" w:color="auto"/>
            </w:tcBorders>
            <w:shd w:val="clear" w:color="auto" w:fill="auto"/>
          </w:tcPr>
          <w:p w:rsidR="000E54C2" w:rsidRPr="00E8065F" w:rsidRDefault="000E54C2" w:rsidP="00D5127A">
            <w:pPr>
              <w:spacing w:line="235" w:lineRule="auto"/>
              <w:jc w:val="center"/>
              <w:rPr>
                <w:color w:val="000000"/>
                <w:sz w:val="20"/>
                <w:szCs w:val="20"/>
              </w:rPr>
            </w:pPr>
            <w:r w:rsidRPr="00E8065F">
              <w:rPr>
                <w:color w:val="000000"/>
                <w:sz w:val="20"/>
                <w:szCs w:val="20"/>
              </w:rPr>
              <w:t>0</w:t>
            </w:r>
          </w:p>
        </w:tc>
        <w:tc>
          <w:tcPr>
            <w:tcW w:w="1111" w:type="dxa"/>
            <w:tcBorders>
              <w:top w:val="nil"/>
              <w:left w:val="single" w:sz="4" w:space="0" w:color="auto"/>
              <w:bottom w:val="single" w:sz="4" w:space="0" w:color="auto"/>
              <w:right w:val="single" w:sz="4" w:space="0" w:color="auto"/>
            </w:tcBorders>
            <w:shd w:val="clear" w:color="auto" w:fill="auto"/>
          </w:tcPr>
          <w:p w:rsidR="000E54C2" w:rsidRPr="00E8065F" w:rsidRDefault="000E54C2" w:rsidP="00D5127A">
            <w:pPr>
              <w:spacing w:line="235" w:lineRule="auto"/>
              <w:jc w:val="center"/>
              <w:rPr>
                <w:color w:val="000000"/>
                <w:sz w:val="20"/>
                <w:szCs w:val="20"/>
              </w:rPr>
            </w:pPr>
          </w:p>
        </w:tc>
        <w:tc>
          <w:tcPr>
            <w:tcW w:w="1944" w:type="dxa"/>
            <w:tcBorders>
              <w:top w:val="nil"/>
              <w:left w:val="single" w:sz="4" w:space="0" w:color="auto"/>
              <w:bottom w:val="single" w:sz="4" w:space="0" w:color="auto"/>
              <w:right w:val="single" w:sz="4" w:space="0" w:color="auto"/>
            </w:tcBorders>
            <w:shd w:val="clear" w:color="auto" w:fill="auto"/>
          </w:tcPr>
          <w:p w:rsidR="000E54C2" w:rsidRPr="00E8065F" w:rsidRDefault="000E54C2" w:rsidP="00D5127A">
            <w:pPr>
              <w:spacing w:line="235" w:lineRule="auto"/>
              <w:jc w:val="center"/>
              <w:rPr>
                <w:color w:val="000000"/>
                <w:sz w:val="20"/>
                <w:szCs w:val="20"/>
              </w:rPr>
            </w:pPr>
            <w:r w:rsidRPr="00E8065F">
              <w:rPr>
                <w:color w:val="000000"/>
                <w:sz w:val="20"/>
                <w:szCs w:val="20"/>
              </w:rPr>
              <w:t>Амбулаторное</w:t>
            </w:r>
          </w:p>
        </w:tc>
      </w:tr>
      <w:tr w:rsidR="00BA1432" w:rsidRPr="00E8065F" w:rsidTr="000546C2">
        <w:trPr>
          <w:trHeight w:val="20"/>
        </w:trPr>
        <w:tc>
          <w:tcPr>
            <w:tcW w:w="1555" w:type="dxa"/>
            <w:vMerge/>
          </w:tcPr>
          <w:p w:rsidR="000E54C2" w:rsidRPr="00E8065F" w:rsidRDefault="000E54C2" w:rsidP="00BA1432">
            <w:pPr>
              <w:rPr>
                <w:sz w:val="20"/>
                <w:szCs w:val="20"/>
              </w:rPr>
            </w:pPr>
          </w:p>
        </w:tc>
        <w:tc>
          <w:tcPr>
            <w:tcW w:w="3685" w:type="dxa"/>
            <w:tcBorders>
              <w:top w:val="nil"/>
              <w:left w:val="single" w:sz="4" w:space="0" w:color="auto"/>
              <w:bottom w:val="single" w:sz="4" w:space="0" w:color="auto"/>
              <w:right w:val="single" w:sz="4" w:space="0" w:color="auto"/>
            </w:tcBorders>
            <w:shd w:val="clear" w:color="auto" w:fill="auto"/>
          </w:tcPr>
          <w:p w:rsidR="000E54C2" w:rsidRPr="00E8065F" w:rsidRDefault="000E54C2" w:rsidP="00D5127A">
            <w:pPr>
              <w:spacing w:line="235" w:lineRule="auto"/>
              <w:jc w:val="both"/>
              <w:rPr>
                <w:color w:val="000000"/>
                <w:sz w:val="20"/>
                <w:szCs w:val="20"/>
              </w:rPr>
            </w:pPr>
            <w:r w:rsidRPr="00E8065F">
              <w:rPr>
                <w:color w:val="000000"/>
                <w:sz w:val="20"/>
                <w:szCs w:val="20"/>
              </w:rPr>
              <w:t xml:space="preserve">ГАУЗ </w:t>
            </w:r>
            <w:r w:rsidR="002F7358">
              <w:rPr>
                <w:color w:val="000000"/>
                <w:sz w:val="20"/>
                <w:szCs w:val="20"/>
              </w:rPr>
              <w:t>«</w:t>
            </w:r>
            <w:r w:rsidRPr="00E8065F">
              <w:rPr>
                <w:color w:val="000000"/>
                <w:sz w:val="20"/>
                <w:szCs w:val="20"/>
              </w:rPr>
              <w:t>Городская клиническая больница №</w:t>
            </w:r>
            <w:r w:rsidR="00D5127A">
              <w:rPr>
                <w:color w:val="000000"/>
                <w:sz w:val="20"/>
                <w:szCs w:val="20"/>
              </w:rPr>
              <w:t xml:space="preserve"> </w:t>
            </w:r>
            <w:r w:rsidRPr="00E8065F">
              <w:rPr>
                <w:color w:val="000000"/>
                <w:sz w:val="20"/>
                <w:szCs w:val="20"/>
              </w:rPr>
              <w:t>16</w:t>
            </w:r>
            <w:r w:rsidR="002F7358">
              <w:rPr>
                <w:color w:val="000000"/>
                <w:sz w:val="20"/>
                <w:szCs w:val="20"/>
              </w:rPr>
              <w:t>» г.Казани</w:t>
            </w:r>
          </w:p>
        </w:tc>
        <w:tc>
          <w:tcPr>
            <w:tcW w:w="1994" w:type="dxa"/>
            <w:tcBorders>
              <w:top w:val="nil"/>
              <w:left w:val="single" w:sz="4" w:space="0" w:color="auto"/>
              <w:bottom w:val="single" w:sz="4" w:space="0" w:color="auto"/>
              <w:right w:val="single" w:sz="4" w:space="0" w:color="auto"/>
            </w:tcBorders>
            <w:shd w:val="clear" w:color="auto" w:fill="auto"/>
          </w:tcPr>
          <w:p w:rsidR="000E54C2" w:rsidRPr="00E8065F" w:rsidRDefault="000E54C2" w:rsidP="00D5127A">
            <w:pPr>
              <w:spacing w:line="235" w:lineRule="auto"/>
              <w:jc w:val="center"/>
              <w:rPr>
                <w:color w:val="000000"/>
                <w:sz w:val="20"/>
                <w:szCs w:val="20"/>
              </w:rPr>
            </w:pPr>
            <w:r w:rsidRPr="00E8065F">
              <w:rPr>
                <w:color w:val="000000"/>
                <w:sz w:val="20"/>
                <w:szCs w:val="20"/>
              </w:rPr>
              <w:t>Маммограф</w:t>
            </w:r>
          </w:p>
        </w:tc>
        <w:tc>
          <w:tcPr>
            <w:tcW w:w="1181" w:type="dxa"/>
            <w:shd w:val="clear" w:color="auto" w:fill="auto"/>
          </w:tcPr>
          <w:p w:rsidR="000E54C2" w:rsidRPr="00E8065F" w:rsidRDefault="000E54C2" w:rsidP="00D5127A">
            <w:pPr>
              <w:spacing w:line="235" w:lineRule="auto"/>
              <w:jc w:val="center"/>
              <w:rPr>
                <w:sz w:val="20"/>
                <w:szCs w:val="20"/>
              </w:rPr>
            </w:pPr>
            <w:r w:rsidRPr="00E8065F">
              <w:rPr>
                <w:sz w:val="20"/>
                <w:szCs w:val="20"/>
              </w:rPr>
              <w:t>2016</w:t>
            </w:r>
          </w:p>
        </w:tc>
        <w:tc>
          <w:tcPr>
            <w:tcW w:w="1181" w:type="dxa"/>
            <w:tcBorders>
              <w:top w:val="nil"/>
              <w:left w:val="single" w:sz="4" w:space="0" w:color="auto"/>
              <w:bottom w:val="single" w:sz="4" w:space="0" w:color="auto"/>
              <w:right w:val="single" w:sz="4" w:space="0" w:color="auto"/>
            </w:tcBorders>
            <w:shd w:val="clear" w:color="auto" w:fill="auto"/>
          </w:tcPr>
          <w:p w:rsidR="000E54C2" w:rsidRPr="00E8065F" w:rsidRDefault="000E54C2" w:rsidP="00D5127A">
            <w:pPr>
              <w:spacing w:line="235" w:lineRule="auto"/>
              <w:jc w:val="center"/>
              <w:rPr>
                <w:color w:val="000000"/>
                <w:sz w:val="20"/>
                <w:szCs w:val="20"/>
              </w:rPr>
            </w:pPr>
            <w:r w:rsidRPr="00E8065F">
              <w:rPr>
                <w:color w:val="000000"/>
                <w:sz w:val="20"/>
                <w:szCs w:val="20"/>
              </w:rPr>
              <w:t>1</w:t>
            </w:r>
          </w:p>
        </w:tc>
        <w:tc>
          <w:tcPr>
            <w:tcW w:w="1478" w:type="dxa"/>
            <w:tcBorders>
              <w:top w:val="nil"/>
              <w:left w:val="single" w:sz="4" w:space="0" w:color="auto"/>
              <w:bottom w:val="single" w:sz="4" w:space="0" w:color="auto"/>
              <w:right w:val="single" w:sz="4" w:space="0" w:color="auto"/>
            </w:tcBorders>
            <w:shd w:val="clear" w:color="auto" w:fill="auto"/>
          </w:tcPr>
          <w:p w:rsidR="000E54C2" w:rsidRPr="00E8065F" w:rsidRDefault="000E54C2" w:rsidP="00D5127A">
            <w:pPr>
              <w:spacing w:line="235" w:lineRule="auto"/>
              <w:jc w:val="center"/>
              <w:rPr>
                <w:color w:val="000000"/>
                <w:sz w:val="20"/>
                <w:szCs w:val="20"/>
              </w:rPr>
            </w:pPr>
            <w:r w:rsidRPr="00E8065F">
              <w:rPr>
                <w:color w:val="000000"/>
                <w:sz w:val="20"/>
                <w:szCs w:val="20"/>
              </w:rPr>
              <w:t>11</w:t>
            </w:r>
          </w:p>
        </w:tc>
        <w:tc>
          <w:tcPr>
            <w:tcW w:w="1111" w:type="dxa"/>
            <w:tcBorders>
              <w:top w:val="nil"/>
              <w:left w:val="single" w:sz="4" w:space="0" w:color="auto"/>
              <w:bottom w:val="single" w:sz="4" w:space="0" w:color="auto"/>
              <w:right w:val="single" w:sz="4" w:space="0" w:color="auto"/>
            </w:tcBorders>
            <w:shd w:val="clear" w:color="auto" w:fill="auto"/>
          </w:tcPr>
          <w:p w:rsidR="000E54C2" w:rsidRPr="00E8065F" w:rsidRDefault="000E54C2" w:rsidP="00D5127A">
            <w:pPr>
              <w:spacing w:line="235" w:lineRule="auto"/>
              <w:jc w:val="center"/>
              <w:rPr>
                <w:color w:val="000000"/>
                <w:sz w:val="20"/>
                <w:szCs w:val="20"/>
              </w:rPr>
            </w:pPr>
            <w:r w:rsidRPr="00E8065F">
              <w:rPr>
                <w:color w:val="000000"/>
                <w:sz w:val="20"/>
                <w:szCs w:val="20"/>
              </w:rPr>
              <w:t>2</w:t>
            </w:r>
          </w:p>
        </w:tc>
        <w:tc>
          <w:tcPr>
            <w:tcW w:w="1944" w:type="dxa"/>
            <w:tcBorders>
              <w:top w:val="nil"/>
              <w:left w:val="single" w:sz="4" w:space="0" w:color="auto"/>
              <w:bottom w:val="single" w:sz="4" w:space="0" w:color="auto"/>
              <w:right w:val="single" w:sz="4" w:space="0" w:color="auto"/>
            </w:tcBorders>
            <w:shd w:val="clear" w:color="auto" w:fill="auto"/>
          </w:tcPr>
          <w:p w:rsidR="000E54C2" w:rsidRPr="00E8065F" w:rsidRDefault="000E54C2" w:rsidP="00D5127A">
            <w:pPr>
              <w:spacing w:line="235" w:lineRule="auto"/>
              <w:jc w:val="center"/>
              <w:rPr>
                <w:color w:val="000000"/>
                <w:sz w:val="20"/>
                <w:szCs w:val="20"/>
              </w:rPr>
            </w:pPr>
            <w:r w:rsidRPr="00E8065F">
              <w:rPr>
                <w:color w:val="000000"/>
                <w:sz w:val="20"/>
                <w:szCs w:val="20"/>
              </w:rPr>
              <w:t>Амбулаторное</w:t>
            </w:r>
          </w:p>
        </w:tc>
      </w:tr>
      <w:tr w:rsidR="00BA1432" w:rsidRPr="00E8065F" w:rsidTr="000546C2">
        <w:trPr>
          <w:trHeight w:val="20"/>
        </w:trPr>
        <w:tc>
          <w:tcPr>
            <w:tcW w:w="1555" w:type="dxa"/>
            <w:vMerge/>
          </w:tcPr>
          <w:p w:rsidR="000E54C2" w:rsidRPr="00E8065F" w:rsidRDefault="000E54C2" w:rsidP="00BA1432">
            <w:pPr>
              <w:rPr>
                <w:sz w:val="20"/>
                <w:szCs w:val="20"/>
              </w:rPr>
            </w:pPr>
          </w:p>
        </w:tc>
        <w:tc>
          <w:tcPr>
            <w:tcW w:w="3685" w:type="dxa"/>
            <w:tcBorders>
              <w:top w:val="nil"/>
              <w:left w:val="single" w:sz="4" w:space="0" w:color="auto"/>
              <w:bottom w:val="single" w:sz="4" w:space="0" w:color="auto"/>
              <w:right w:val="single" w:sz="4" w:space="0" w:color="auto"/>
            </w:tcBorders>
            <w:shd w:val="clear" w:color="auto" w:fill="auto"/>
          </w:tcPr>
          <w:p w:rsidR="000E54C2" w:rsidRPr="00E8065F" w:rsidRDefault="000E54C2" w:rsidP="00D5127A">
            <w:pPr>
              <w:spacing w:line="235" w:lineRule="auto"/>
              <w:jc w:val="both"/>
              <w:rPr>
                <w:color w:val="000000"/>
                <w:sz w:val="20"/>
                <w:szCs w:val="20"/>
              </w:rPr>
            </w:pPr>
            <w:r>
              <w:rPr>
                <w:color w:val="000000"/>
                <w:sz w:val="20"/>
                <w:szCs w:val="20"/>
              </w:rPr>
              <w:t xml:space="preserve">ГАУЗ </w:t>
            </w:r>
            <w:r w:rsidR="002F7358">
              <w:rPr>
                <w:color w:val="000000"/>
                <w:sz w:val="20"/>
                <w:szCs w:val="20"/>
              </w:rPr>
              <w:t>«</w:t>
            </w:r>
            <w:r>
              <w:rPr>
                <w:color w:val="000000"/>
                <w:sz w:val="20"/>
                <w:szCs w:val="20"/>
              </w:rPr>
              <w:t>Центральная городская клиническая больница № 18 им.проф.К.Ш.Зыятдинова</w:t>
            </w:r>
            <w:r w:rsidR="002F7358">
              <w:rPr>
                <w:color w:val="000000"/>
                <w:sz w:val="20"/>
                <w:szCs w:val="20"/>
              </w:rPr>
              <w:t>»</w:t>
            </w:r>
            <w:r>
              <w:rPr>
                <w:color w:val="000000"/>
                <w:sz w:val="20"/>
                <w:szCs w:val="20"/>
              </w:rPr>
              <w:t xml:space="preserve"> г.Казани</w:t>
            </w:r>
          </w:p>
        </w:tc>
        <w:tc>
          <w:tcPr>
            <w:tcW w:w="1994" w:type="dxa"/>
            <w:tcBorders>
              <w:top w:val="nil"/>
              <w:left w:val="single" w:sz="4" w:space="0" w:color="auto"/>
              <w:bottom w:val="single" w:sz="4" w:space="0" w:color="auto"/>
              <w:right w:val="single" w:sz="4" w:space="0" w:color="auto"/>
            </w:tcBorders>
            <w:shd w:val="clear" w:color="auto" w:fill="auto"/>
          </w:tcPr>
          <w:p w:rsidR="000E54C2" w:rsidRPr="00E8065F" w:rsidRDefault="000E54C2" w:rsidP="00D5127A">
            <w:pPr>
              <w:spacing w:line="235" w:lineRule="auto"/>
              <w:jc w:val="center"/>
              <w:rPr>
                <w:color w:val="000000"/>
                <w:sz w:val="20"/>
                <w:szCs w:val="20"/>
              </w:rPr>
            </w:pPr>
            <w:r w:rsidRPr="00E8065F">
              <w:rPr>
                <w:color w:val="000000"/>
                <w:sz w:val="20"/>
                <w:szCs w:val="20"/>
              </w:rPr>
              <w:t>Маммограф</w:t>
            </w:r>
          </w:p>
        </w:tc>
        <w:tc>
          <w:tcPr>
            <w:tcW w:w="1181" w:type="dxa"/>
            <w:shd w:val="clear" w:color="auto" w:fill="auto"/>
          </w:tcPr>
          <w:p w:rsidR="000E54C2" w:rsidRPr="00E8065F" w:rsidRDefault="000E54C2" w:rsidP="00D5127A">
            <w:pPr>
              <w:spacing w:line="235" w:lineRule="auto"/>
              <w:jc w:val="center"/>
              <w:rPr>
                <w:sz w:val="20"/>
                <w:szCs w:val="20"/>
              </w:rPr>
            </w:pPr>
          </w:p>
        </w:tc>
        <w:tc>
          <w:tcPr>
            <w:tcW w:w="1181" w:type="dxa"/>
            <w:tcBorders>
              <w:top w:val="nil"/>
              <w:left w:val="single" w:sz="4" w:space="0" w:color="auto"/>
              <w:bottom w:val="single" w:sz="4" w:space="0" w:color="auto"/>
              <w:right w:val="single" w:sz="4" w:space="0" w:color="auto"/>
            </w:tcBorders>
            <w:shd w:val="clear" w:color="auto" w:fill="auto"/>
          </w:tcPr>
          <w:p w:rsidR="000E54C2" w:rsidRPr="00E8065F" w:rsidRDefault="000E54C2" w:rsidP="00D5127A">
            <w:pPr>
              <w:spacing w:line="235" w:lineRule="auto"/>
              <w:jc w:val="center"/>
              <w:rPr>
                <w:color w:val="000000"/>
                <w:sz w:val="20"/>
                <w:szCs w:val="20"/>
              </w:rPr>
            </w:pPr>
            <w:r w:rsidRPr="00E8065F">
              <w:rPr>
                <w:color w:val="000000"/>
                <w:sz w:val="20"/>
                <w:szCs w:val="20"/>
              </w:rPr>
              <w:t>1</w:t>
            </w:r>
          </w:p>
        </w:tc>
        <w:tc>
          <w:tcPr>
            <w:tcW w:w="1478" w:type="dxa"/>
            <w:tcBorders>
              <w:top w:val="nil"/>
              <w:left w:val="single" w:sz="4" w:space="0" w:color="auto"/>
              <w:bottom w:val="single" w:sz="4" w:space="0" w:color="auto"/>
              <w:right w:val="single" w:sz="4" w:space="0" w:color="auto"/>
            </w:tcBorders>
            <w:shd w:val="clear" w:color="auto" w:fill="auto"/>
          </w:tcPr>
          <w:p w:rsidR="000E54C2" w:rsidRPr="00E8065F" w:rsidRDefault="000E54C2" w:rsidP="00D5127A">
            <w:pPr>
              <w:spacing w:line="235" w:lineRule="auto"/>
              <w:jc w:val="center"/>
              <w:rPr>
                <w:color w:val="000000"/>
                <w:sz w:val="20"/>
                <w:szCs w:val="20"/>
              </w:rPr>
            </w:pPr>
          </w:p>
        </w:tc>
        <w:tc>
          <w:tcPr>
            <w:tcW w:w="1111" w:type="dxa"/>
            <w:tcBorders>
              <w:top w:val="nil"/>
              <w:left w:val="single" w:sz="4" w:space="0" w:color="auto"/>
              <w:bottom w:val="single" w:sz="4" w:space="0" w:color="auto"/>
              <w:right w:val="single" w:sz="4" w:space="0" w:color="auto"/>
            </w:tcBorders>
            <w:shd w:val="clear" w:color="auto" w:fill="auto"/>
          </w:tcPr>
          <w:p w:rsidR="000E54C2" w:rsidRPr="00E8065F" w:rsidRDefault="000E54C2" w:rsidP="00D5127A">
            <w:pPr>
              <w:spacing w:line="235" w:lineRule="auto"/>
              <w:jc w:val="center"/>
              <w:rPr>
                <w:color w:val="000000"/>
                <w:sz w:val="20"/>
                <w:szCs w:val="20"/>
              </w:rPr>
            </w:pPr>
          </w:p>
        </w:tc>
        <w:tc>
          <w:tcPr>
            <w:tcW w:w="1944" w:type="dxa"/>
            <w:tcBorders>
              <w:top w:val="nil"/>
              <w:left w:val="single" w:sz="4" w:space="0" w:color="auto"/>
              <w:bottom w:val="single" w:sz="4" w:space="0" w:color="auto"/>
              <w:right w:val="single" w:sz="4" w:space="0" w:color="auto"/>
            </w:tcBorders>
            <w:shd w:val="clear" w:color="auto" w:fill="auto"/>
          </w:tcPr>
          <w:p w:rsidR="000E54C2" w:rsidRPr="00E8065F" w:rsidRDefault="000E54C2" w:rsidP="00D5127A">
            <w:pPr>
              <w:spacing w:line="235" w:lineRule="auto"/>
              <w:jc w:val="center"/>
              <w:rPr>
                <w:color w:val="000000"/>
                <w:sz w:val="20"/>
                <w:szCs w:val="20"/>
              </w:rPr>
            </w:pPr>
            <w:r w:rsidRPr="00E8065F">
              <w:rPr>
                <w:color w:val="000000"/>
                <w:sz w:val="20"/>
                <w:szCs w:val="20"/>
              </w:rPr>
              <w:t>Амбулаторное</w:t>
            </w:r>
          </w:p>
        </w:tc>
      </w:tr>
      <w:tr w:rsidR="00BA1432" w:rsidRPr="00E8065F" w:rsidTr="000546C2">
        <w:trPr>
          <w:trHeight w:val="20"/>
        </w:trPr>
        <w:tc>
          <w:tcPr>
            <w:tcW w:w="1555" w:type="dxa"/>
            <w:vMerge/>
          </w:tcPr>
          <w:p w:rsidR="000E54C2" w:rsidRPr="00E8065F" w:rsidRDefault="000E54C2" w:rsidP="00BA1432">
            <w:pPr>
              <w:rPr>
                <w:sz w:val="20"/>
                <w:szCs w:val="20"/>
              </w:rPr>
            </w:pPr>
          </w:p>
        </w:tc>
        <w:tc>
          <w:tcPr>
            <w:tcW w:w="3685" w:type="dxa"/>
            <w:tcBorders>
              <w:top w:val="single" w:sz="4" w:space="0" w:color="auto"/>
              <w:bottom w:val="single" w:sz="4" w:space="0" w:color="auto"/>
              <w:right w:val="single" w:sz="4" w:space="0" w:color="auto"/>
            </w:tcBorders>
            <w:shd w:val="clear" w:color="auto" w:fill="auto"/>
          </w:tcPr>
          <w:p w:rsidR="000E54C2" w:rsidRPr="00E8065F" w:rsidRDefault="000E54C2" w:rsidP="00D5127A">
            <w:pPr>
              <w:spacing w:line="235" w:lineRule="auto"/>
              <w:jc w:val="both"/>
              <w:rPr>
                <w:color w:val="000000"/>
                <w:sz w:val="20"/>
                <w:szCs w:val="20"/>
              </w:rPr>
            </w:pPr>
            <w:r>
              <w:rPr>
                <w:color w:val="0D0D0D" w:themeColor="text1" w:themeTint="F2"/>
                <w:sz w:val="20"/>
                <w:szCs w:val="20"/>
              </w:rPr>
              <w:t xml:space="preserve">ГАУЗ </w:t>
            </w:r>
            <w:r w:rsidR="002F7358">
              <w:rPr>
                <w:color w:val="0D0D0D" w:themeColor="text1" w:themeTint="F2"/>
                <w:sz w:val="20"/>
                <w:szCs w:val="20"/>
              </w:rPr>
              <w:t>«</w:t>
            </w:r>
            <w:r>
              <w:rPr>
                <w:color w:val="0D0D0D" w:themeColor="text1" w:themeTint="F2"/>
                <w:sz w:val="20"/>
                <w:szCs w:val="20"/>
              </w:rPr>
              <w:t>Клиническая больница № 2</w:t>
            </w:r>
            <w:r w:rsidR="002F7358">
              <w:rPr>
                <w:color w:val="0D0D0D" w:themeColor="text1" w:themeTint="F2"/>
                <w:sz w:val="20"/>
                <w:szCs w:val="20"/>
              </w:rPr>
              <w:t>»</w:t>
            </w:r>
            <w:r>
              <w:rPr>
                <w:color w:val="0D0D0D" w:themeColor="text1" w:themeTint="F2"/>
                <w:sz w:val="20"/>
                <w:szCs w:val="20"/>
              </w:rPr>
              <w:t xml:space="preserve"> г.Казани</w:t>
            </w:r>
          </w:p>
        </w:tc>
        <w:tc>
          <w:tcPr>
            <w:tcW w:w="1994" w:type="dxa"/>
            <w:tcBorders>
              <w:top w:val="single" w:sz="4" w:space="0" w:color="auto"/>
              <w:left w:val="single" w:sz="4" w:space="0" w:color="auto"/>
              <w:bottom w:val="single" w:sz="4" w:space="0" w:color="auto"/>
              <w:right w:val="single" w:sz="4" w:space="0" w:color="auto"/>
            </w:tcBorders>
            <w:shd w:val="clear" w:color="auto" w:fill="auto"/>
          </w:tcPr>
          <w:p w:rsidR="000E54C2" w:rsidRPr="00E8065F" w:rsidRDefault="000E54C2" w:rsidP="00D5127A">
            <w:pPr>
              <w:spacing w:line="235" w:lineRule="auto"/>
              <w:jc w:val="center"/>
              <w:rPr>
                <w:color w:val="000000"/>
                <w:sz w:val="20"/>
                <w:szCs w:val="20"/>
              </w:rPr>
            </w:pPr>
            <w:r w:rsidRPr="00E8065F">
              <w:rPr>
                <w:color w:val="000000"/>
                <w:sz w:val="20"/>
                <w:szCs w:val="20"/>
              </w:rPr>
              <w:t>Маммограф</w:t>
            </w:r>
          </w:p>
        </w:tc>
        <w:tc>
          <w:tcPr>
            <w:tcW w:w="1181" w:type="dxa"/>
            <w:tcBorders>
              <w:top w:val="single" w:sz="4" w:space="0" w:color="auto"/>
              <w:left w:val="single" w:sz="4" w:space="0" w:color="auto"/>
              <w:bottom w:val="single" w:sz="4" w:space="0" w:color="auto"/>
              <w:right w:val="single" w:sz="4" w:space="0" w:color="auto"/>
            </w:tcBorders>
            <w:shd w:val="clear" w:color="auto" w:fill="auto"/>
          </w:tcPr>
          <w:p w:rsidR="000E54C2" w:rsidRPr="00E8065F" w:rsidRDefault="000E54C2" w:rsidP="00D5127A">
            <w:pPr>
              <w:spacing w:line="235" w:lineRule="auto"/>
              <w:jc w:val="center"/>
              <w:rPr>
                <w:sz w:val="20"/>
                <w:szCs w:val="20"/>
              </w:rPr>
            </w:pPr>
            <w:r w:rsidRPr="00E8065F">
              <w:rPr>
                <w:sz w:val="20"/>
                <w:szCs w:val="20"/>
              </w:rPr>
              <w:t>2023</w:t>
            </w:r>
            <w:r w:rsidR="00AA5FB3">
              <w:rPr>
                <w:sz w:val="20"/>
                <w:szCs w:val="20"/>
              </w:rPr>
              <w:t xml:space="preserve"> </w:t>
            </w:r>
            <w:r w:rsidR="00B7341A">
              <w:rPr>
                <w:sz w:val="20"/>
                <w:szCs w:val="20"/>
              </w:rPr>
              <w:t>(2)</w:t>
            </w:r>
          </w:p>
          <w:p w:rsidR="000E54C2" w:rsidRPr="00E8065F" w:rsidRDefault="000E54C2" w:rsidP="00D5127A">
            <w:pPr>
              <w:spacing w:line="235" w:lineRule="auto"/>
              <w:jc w:val="center"/>
              <w:rPr>
                <w:sz w:val="20"/>
                <w:szCs w:val="20"/>
              </w:rPr>
            </w:pPr>
          </w:p>
        </w:tc>
        <w:tc>
          <w:tcPr>
            <w:tcW w:w="1181" w:type="dxa"/>
            <w:tcBorders>
              <w:top w:val="single" w:sz="4" w:space="0" w:color="auto"/>
              <w:left w:val="single" w:sz="4" w:space="0" w:color="auto"/>
              <w:bottom w:val="single" w:sz="4" w:space="0" w:color="auto"/>
              <w:right w:val="single" w:sz="4" w:space="0" w:color="auto"/>
            </w:tcBorders>
            <w:shd w:val="clear" w:color="auto" w:fill="auto"/>
          </w:tcPr>
          <w:p w:rsidR="000E54C2" w:rsidRPr="00E8065F" w:rsidRDefault="000E54C2" w:rsidP="00D5127A">
            <w:pPr>
              <w:spacing w:line="235" w:lineRule="auto"/>
              <w:jc w:val="center"/>
              <w:rPr>
                <w:color w:val="000000"/>
                <w:sz w:val="20"/>
                <w:szCs w:val="20"/>
              </w:rPr>
            </w:pPr>
            <w:r w:rsidRPr="00E8065F">
              <w:rPr>
                <w:color w:val="000000"/>
                <w:sz w:val="20"/>
                <w:szCs w:val="20"/>
              </w:rPr>
              <w:t>2</w:t>
            </w:r>
          </w:p>
        </w:tc>
        <w:tc>
          <w:tcPr>
            <w:tcW w:w="1478" w:type="dxa"/>
            <w:tcBorders>
              <w:top w:val="single" w:sz="4" w:space="0" w:color="auto"/>
              <w:left w:val="single" w:sz="4" w:space="0" w:color="auto"/>
              <w:bottom w:val="single" w:sz="4" w:space="0" w:color="auto"/>
              <w:right w:val="single" w:sz="4" w:space="0" w:color="auto"/>
            </w:tcBorders>
            <w:shd w:val="clear" w:color="auto" w:fill="auto"/>
          </w:tcPr>
          <w:p w:rsidR="000E54C2" w:rsidRPr="00E8065F" w:rsidRDefault="000E54C2" w:rsidP="00D5127A">
            <w:pPr>
              <w:spacing w:line="235" w:lineRule="auto"/>
              <w:jc w:val="center"/>
              <w:rPr>
                <w:color w:val="000000"/>
                <w:sz w:val="20"/>
                <w:szCs w:val="20"/>
              </w:rPr>
            </w:pPr>
            <w:r w:rsidRPr="00E8065F">
              <w:rPr>
                <w:color w:val="000000"/>
                <w:sz w:val="20"/>
                <w:szCs w:val="20"/>
              </w:rPr>
              <w:t>36</w:t>
            </w:r>
          </w:p>
        </w:tc>
        <w:tc>
          <w:tcPr>
            <w:tcW w:w="1111" w:type="dxa"/>
            <w:tcBorders>
              <w:top w:val="single" w:sz="4" w:space="0" w:color="auto"/>
              <w:left w:val="single" w:sz="4" w:space="0" w:color="auto"/>
              <w:bottom w:val="single" w:sz="4" w:space="0" w:color="auto"/>
              <w:right w:val="single" w:sz="4" w:space="0" w:color="auto"/>
            </w:tcBorders>
            <w:shd w:val="clear" w:color="auto" w:fill="auto"/>
          </w:tcPr>
          <w:p w:rsidR="000E54C2" w:rsidRPr="00E8065F" w:rsidRDefault="000E54C2" w:rsidP="00D5127A">
            <w:pPr>
              <w:spacing w:line="235" w:lineRule="auto"/>
              <w:jc w:val="center"/>
              <w:rPr>
                <w:color w:val="000000"/>
                <w:sz w:val="20"/>
                <w:szCs w:val="20"/>
              </w:rPr>
            </w:pPr>
            <w:r w:rsidRPr="00E8065F">
              <w:rPr>
                <w:color w:val="000000"/>
                <w:sz w:val="20"/>
                <w:szCs w:val="20"/>
              </w:rPr>
              <w:t>2</w:t>
            </w:r>
          </w:p>
        </w:tc>
        <w:tc>
          <w:tcPr>
            <w:tcW w:w="1944" w:type="dxa"/>
            <w:tcBorders>
              <w:top w:val="single" w:sz="4" w:space="0" w:color="auto"/>
              <w:left w:val="single" w:sz="4" w:space="0" w:color="auto"/>
              <w:bottom w:val="single" w:sz="4" w:space="0" w:color="auto"/>
              <w:right w:val="single" w:sz="4" w:space="0" w:color="auto"/>
            </w:tcBorders>
            <w:shd w:val="clear" w:color="auto" w:fill="auto"/>
          </w:tcPr>
          <w:p w:rsidR="000E54C2" w:rsidRPr="00E8065F" w:rsidRDefault="000E54C2" w:rsidP="00D5127A">
            <w:pPr>
              <w:spacing w:line="235" w:lineRule="auto"/>
              <w:jc w:val="center"/>
              <w:rPr>
                <w:color w:val="000000"/>
                <w:sz w:val="20"/>
                <w:szCs w:val="20"/>
              </w:rPr>
            </w:pPr>
            <w:r w:rsidRPr="00E8065F">
              <w:rPr>
                <w:color w:val="000000"/>
                <w:sz w:val="20"/>
                <w:szCs w:val="20"/>
              </w:rPr>
              <w:t>Амбулаторное</w:t>
            </w:r>
          </w:p>
        </w:tc>
      </w:tr>
      <w:tr w:rsidR="00BA1432" w:rsidRPr="00E8065F" w:rsidTr="000546C2">
        <w:trPr>
          <w:trHeight w:val="20"/>
        </w:trPr>
        <w:tc>
          <w:tcPr>
            <w:tcW w:w="1555" w:type="dxa"/>
            <w:vMerge/>
          </w:tcPr>
          <w:p w:rsidR="000E54C2" w:rsidRPr="00E8065F" w:rsidRDefault="000E54C2" w:rsidP="00BA1432">
            <w:pPr>
              <w:rPr>
                <w:sz w:val="20"/>
                <w:szCs w:val="20"/>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0E54C2" w:rsidRPr="00E8065F" w:rsidRDefault="000E54C2" w:rsidP="00D5127A">
            <w:pPr>
              <w:spacing w:line="235" w:lineRule="auto"/>
              <w:jc w:val="both"/>
              <w:rPr>
                <w:color w:val="000000"/>
                <w:sz w:val="20"/>
                <w:szCs w:val="20"/>
              </w:rPr>
            </w:pPr>
            <w:r>
              <w:rPr>
                <w:color w:val="000000"/>
                <w:sz w:val="20"/>
                <w:szCs w:val="20"/>
              </w:rPr>
              <w:t xml:space="preserve">ГАУЗ </w:t>
            </w:r>
            <w:r w:rsidR="002F7358">
              <w:rPr>
                <w:color w:val="000000"/>
                <w:sz w:val="20"/>
                <w:szCs w:val="20"/>
              </w:rPr>
              <w:t>«</w:t>
            </w:r>
            <w:r>
              <w:rPr>
                <w:color w:val="000000"/>
                <w:sz w:val="20"/>
                <w:szCs w:val="20"/>
              </w:rPr>
              <w:t>Городская клиническая больница №</w:t>
            </w:r>
            <w:r w:rsidR="00D5127A">
              <w:rPr>
                <w:color w:val="000000"/>
                <w:sz w:val="20"/>
                <w:szCs w:val="20"/>
              </w:rPr>
              <w:t xml:space="preserve"> </w:t>
            </w:r>
            <w:r>
              <w:rPr>
                <w:color w:val="000000"/>
                <w:sz w:val="20"/>
                <w:szCs w:val="20"/>
              </w:rPr>
              <w:t>7 им.М.Н.Садыкова</w:t>
            </w:r>
            <w:r w:rsidR="002F7358">
              <w:rPr>
                <w:color w:val="000000"/>
                <w:sz w:val="20"/>
                <w:szCs w:val="20"/>
              </w:rPr>
              <w:t>»</w:t>
            </w:r>
            <w:r>
              <w:rPr>
                <w:color w:val="000000"/>
                <w:sz w:val="20"/>
                <w:szCs w:val="20"/>
              </w:rPr>
              <w:t xml:space="preserve"> г.Казани</w:t>
            </w:r>
          </w:p>
        </w:tc>
        <w:tc>
          <w:tcPr>
            <w:tcW w:w="1994" w:type="dxa"/>
            <w:tcBorders>
              <w:top w:val="single" w:sz="4" w:space="0" w:color="auto"/>
              <w:left w:val="single" w:sz="4" w:space="0" w:color="auto"/>
              <w:bottom w:val="single" w:sz="4" w:space="0" w:color="auto"/>
              <w:right w:val="single" w:sz="4" w:space="0" w:color="auto"/>
            </w:tcBorders>
            <w:shd w:val="clear" w:color="auto" w:fill="auto"/>
          </w:tcPr>
          <w:p w:rsidR="000E54C2" w:rsidRPr="00E8065F" w:rsidRDefault="000E54C2" w:rsidP="00D5127A">
            <w:pPr>
              <w:spacing w:line="235" w:lineRule="auto"/>
              <w:jc w:val="center"/>
              <w:rPr>
                <w:color w:val="000000"/>
                <w:sz w:val="20"/>
                <w:szCs w:val="20"/>
              </w:rPr>
            </w:pPr>
            <w:r w:rsidRPr="00E8065F">
              <w:rPr>
                <w:color w:val="000000"/>
                <w:sz w:val="20"/>
                <w:szCs w:val="20"/>
              </w:rPr>
              <w:t>Маммограф</w:t>
            </w:r>
          </w:p>
        </w:tc>
        <w:tc>
          <w:tcPr>
            <w:tcW w:w="1181" w:type="dxa"/>
            <w:tcBorders>
              <w:top w:val="single" w:sz="4" w:space="0" w:color="auto"/>
              <w:bottom w:val="single" w:sz="4" w:space="0" w:color="auto"/>
            </w:tcBorders>
            <w:shd w:val="clear" w:color="auto" w:fill="auto"/>
          </w:tcPr>
          <w:p w:rsidR="000E54C2" w:rsidRPr="00E8065F" w:rsidRDefault="000E54C2" w:rsidP="00D5127A">
            <w:pPr>
              <w:spacing w:line="235" w:lineRule="auto"/>
              <w:jc w:val="center"/>
              <w:rPr>
                <w:sz w:val="20"/>
                <w:szCs w:val="20"/>
              </w:rPr>
            </w:pPr>
          </w:p>
        </w:tc>
        <w:tc>
          <w:tcPr>
            <w:tcW w:w="1181" w:type="dxa"/>
            <w:tcBorders>
              <w:top w:val="single" w:sz="4" w:space="0" w:color="auto"/>
              <w:left w:val="single" w:sz="4" w:space="0" w:color="auto"/>
              <w:bottom w:val="single" w:sz="4" w:space="0" w:color="auto"/>
              <w:right w:val="single" w:sz="4" w:space="0" w:color="auto"/>
            </w:tcBorders>
            <w:shd w:val="clear" w:color="auto" w:fill="auto"/>
          </w:tcPr>
          <w:p w:rsidR="000E54C2" w:rsidRPr="00E8065F" w:rsidRDefault="000E54C2" w:rsidP="00D5127A">
            <w:pPr>
              <w:spacing w:line="235" w:lineRule="auto"/>
              <w:jc w:val="center"/>
              <w:rPr>
                <w:color w:val="000000"/>
                <w:sz w:val="20"/>
                <w:szCs w:val="20"/>
              </w:rPr>
            </w:pPr>
            <w:r w:rsidRPr="00E8065F">
              <w:rPr>
                <w:color w:val="000000"/>
                <w:sz w:val="20"/>
                <w:szCs w:val="20"/>
              </w:rPr>
              <w:t>2</w:t>
            </w:r>
          </w:p>
        </w:tc>
        <w:tc>
          <w:tcPr>
            <w:tcW w:w="1478" w:type="dxa"/>
            <w:tcBorders>
              <w:top w:val="single" w:sz="4" w:space="0" w:color="auto"/>
              <w:left w:val="single" w:sz="4" w:space="0" w:color="auto"/>
              <w:bottom w:val="single" w:sz="4" w:space="0" w:color="auto"/>
              <w:right w:val="single" w:sz="4" w:space="0" w:color="auto"/>
            </w:tcBorders>
            <w:shd w:val="clear" w:color="auto" w:fill="auto"/>
          </w:tcPr>
          <w:p w:rsidR="000E54C2" w:rsidRPr="00E8065F" w:rsidRDefault="000E54C2" w:rsidP="00D5127A">
            <w:pPr>
              <w:spacing w:line="235" w:lineRule="auto"/>
              <w:jc w:val="center"/>
              <w:rPr>
                <w:color w:val="000000"/>
                <w:sz w:val="20"/>
                <w:szCs w:val="20"/>
              </w:rPr>
            </w:pPr>
            <w:r w:rsidRPr="00E8065F">
              <w:rPr>
                <w:color w:val="000000"/>
                <w:sz w:val="20"/>
                <w:szCs w:val="20"/>
              </w:rPr>
              <w:t>18</w:t>
            </w:r>
          </w:p>
        </w:tc>
        <w:tc>
          <w:tcPr>
            <w:tcW w:w="1111" w:type="dxa"/>
            <w:tcBorders>
              <w:top w:val="single" w:sz="4" w:space="0" w:color="auto"/>
              <w:left w:val="single" w:sz="4" w:space="0" w:color="auto"/>
              <w:bottom w:val="single" w:sz="4" w:space="0" w:color="auto"/>
              <w:right w:val="single" w:sz="4" w:space="0" w:color="auto"/>
            </w:tcBorders>
            <w:shd w:val="clear" w:color="auto" w:fill="auto"/>
          </w:tcPr>
          <w:p w:rsidR="000E54C2" w:rsidRPr="00E8065F" w:rsidRDefault="000E54C2" w:rsidP="00D5127A">
            <w:pPr>
              <w:spacing w:line="235" w:lineRule="auto"/>
              <w:jc w:val="center"/>
              <w:rPr>
                <w:color w:val="000000"/>
                <w:sz w:val="20"/>
                <w:szCs w:val="20"/>
              </w:rPr>
            </w:pPr>
            <w:r w:rsidRPr="00E8065F">
              <w:rPr>
                <w:color w:val="000000"/>
                <w:sz w:val="20"/>
                <w:szCs w:val="20"/>
              </w:rPr>
              <w:t>2</w:t>
            </w:r>
          </w:p>
        </w:tc>
        <w:tc>
          <w:tcPr>
            <w:tcW w:w="1944" w:type="dxa"/>
            <w:tcBorders>
              <w:top w:val="single" w:sz="4" w:space="0" w:color="auto"/>
              <w:left w:val="single" w:sz="4" w:space="0" w:color="auto"/>
              <w:bottom w:val="single" w:sz="4" w:space="0" w:color="auto"/>
              <w:right w:val="single" w:sz="4" w:space="0" w:color="auto"/>
            </w:tcBorders>
            <w:shd w:val="clear" w:color="auto" w:fill="auto"/>
          </w:tcPr>
          <w:p w:rsidR="000E54C2" w:rsidRPr="00E8065F" w:rsidRDefault="000E54C2" w:rsidP="00D5127A">
            <w:pPr>
              <w:spacing w:line="235" w:lineRule="auto"/>
              <w:jc w:val="center"/>
              <w:rPr>
                <w:color w:val="000000"/>
                <w:sz w:val="20"/>
                <w:szCs w:val="20"/>
              </w:rPr>
            </w:pPr>
            <w:r w:rsidRPr="00E8065F">
              <w:rPr>
                <w:color w:val="000000"/>
                <w:sz w:val="20"/>
                <w:szCs w:val="20"/>
              </w:rPr>
              <w:t>Амбулаторное/передвижное</w:t>
            </w:r>
          </w:p>
        </w:tc>
      </w:tr>
      <w:tr w:rsidR="00BA1432" w:rsidRPr="00E8065F" w:rsidTr="000546C2">
        <w:trPr>
          <w:trHeight w:val="20"/>
        </w:trPr>
        <w:tc>
          <w:tcPr>
            <w:tcW w:w="1555" w:type="dxa"/>
            <w:vMerge/>
          </w:tcPr>
          <w:p w:rsidR="000E54C2" w:rsidRPr="00E8065F" w:rsidRDefault="000E54C2" w:rsidP="00BA1432">
            <w:pPr>
              <w:rPr>
                <w:sz w:val="20"/>
                <w:szCs w:val="20"/>
              </w:rPr>
            </w:pPr>
          </w:p>
        </w:tc>
        <w:tc>
          <w:tcPr>
            <w:tcW w:w="3685" w:type="dxa"/>
            <w:tcBorders>
              <w:top w:val="single" w:sz="4" w:space="0" w:color="auto"/>
              <w:bottom w:val="single" w:sz="4" w:space="0" w:color="auto"/>
              <w:right w:val="single" w:sz="4" w:space="0" w:color="auto"/>
            </w:tcBorders>
            <w:shd w:val="clear" w:color="auto" w:fill="auto"/>
          </w:tcPr>
          <w:p w:rsidR="000E54C2" w:rsidRPr="00E8065F" w:rsidRDefault="000E54C2" w:rsidP="00D5127A">
            <w:pPr>
              <w:spacing w:line="235" w:lineRule="auto"/>
              <w:jc w:val="both"/>
              <w:rPr>
                <w:color w:val="000000"/>
                <w:sz w:val="20"/>
                <w:szCs w:val="20"/>
              </w:rPr>
            </w:pPr>
            <w:r w:rsidRPr="00E8065F">
              <w:rPr>
                <w:color w:val="000000"/>
                <w:sz w:val="20"/>
                <w:szCs w:val="20"/>
              </w:rPr>
              <w:t xml:space="preserve">ГАУЗ </w:t>
            </w:r>
            <w:r w:rsidR="002F7358">
              <w:rPr>
                <w:color w:val="000000"/>
                <w:sz w:val="20"/>
                <w:szCs w:val="20"/>
              </w:rPr>
              <w:t>«</w:t>
            </w:r>
            <w:r w:rsidRPr="00E8065F">
              <w:rPr>
                <w:color w:val="000000"/>
                <w:sz w:val="20"/>
                <w:szCs w:val="20"/>
              </w:rPr>
              <w:t>Городская поликлиника №</w:t>
            </w:r>
            <w:r w:rsidR="00D5127A">
              <w:rPr>
                <w:color w:val="000000"/>
                <w:sz w:val="20"/>
                <w:szCs w:val="20"/>
              </w:rPr>
              <w:t xml:space="preserve"> </w:t>
            </w:r>
            <w:r w:rsidRPr="00E8065F">
              <w:rPr>
                <w:color w:val="000000"/>
                <w:sz w:val="20"/>
                <w:szCs w:val="20"/>
              </w:rPr>
              <w:t>10</w:t>
            </w:r>
            <w:r w:rsidR="002F7358">
              <w:rPr>
                <w:color w:val="000000"/>
                <w:sz w:val="20"/>
                <w:szCs w:val="20"/>
              </w:rPr>
              <w:t>» г.Казани</w:t>
            </w:r>
          </w:p>
        </w:tc>
        <w:tc>
          <w:tcPr>
            <w:tcW w:w="1994" w:type="dxa"/>
            <w:tcBorders>
              <w:top w:val="single" w:sz="4" w:space="0" w:color="auto"/>
              <w:left w:val="single" w:sz="4" w:space="0" w:color="auto"/>
              <w:bottom w:val="single" w:sz="4" w:space="0" w:color="auto"/>
              <w:right w:val="single" w:sz="4" w:space="0" w:color="auto"/>
            </w:tcBorders>
            <w:shd w:val="clear" w:color="auto" w:fill="auto"/>
          </w:tcPr>
          <w:p w:rsidR="000E54C2" w:rsidRPr="00E8065F" w:rsidRDefault="000E54C2" w:rsidP="00D5127A">
            <w:pPr>
              <w:spacing w:line="235" w:lineRule="auto"/>
              <w:jc w:val="center"/>
              <w:rPr>
                <w:color w:val="000000"/>
                <w:sz w:val="20"/>
                <w:szCs w:val="20"/>
              </w:rPr>
            </w:pPr>
            <w:r w:rsidRPr="00E8065F">
              <w:rPr>
                <w:color w:val="000000"/>
                <w:sz w:val="20"/>
                <w:szCs w:val="20"/>
              </w:rPr>
              <w:t>Маммограф</w:t>
            </w:r>
          </w:p>
        </w:tc>
        <w:tc>
          <w:tcPr>
            <w:tcW w:w="1181" w:type="dxa"/>
            <w:tcBorders>
              <w:top w:val="single" w:sz="4" w:space="0" w:color="auto"/>
              <w:left w:val="single" w:sz="4" w:space="0" w:color="auto"/>
              <w:bottom w:val="single" w:sz="4" w:space="0" w:color="auto"/>
              <w:right w:val="single" w:sz="4" w:space="0" w:color="auto"/>
            </w:tcBorders>
            <w:shd w:val="clear" w:color="auto" w:fill="auto"/>
          </w:tcPr>
          <w:p w:rsidR="000E54C2" w:rsidRPr="00E8065F" w:rsidRDefault="000E54C2" w:rsidP="00D5127A">
            <w:pPr>
              <w:spacing w:line="235" w:lineRule="auto"/>
              <w:jc w:val="center"/>
              <w:rPr>
                <w:sz w:val="20"/>
                <w:szCs w:val="20"/>
              </w:rPr>
            </w:pPr>
            <w:r w:rsidRPr="00E8065F">
              <w:rPr>
                <w:sz w:val="20"/>
                <w:szCs w:val="20"/>
              </w:rPr>
              <w:t>2018</w:t>
            </w:r>
          </w:p>
        </w:tc>
        <w:tc>
          <w:tcPr>
            <w:tcW w:w="1181" w:type="dxa"/>
            <w:tcBorders>
              <w:top w:val="single" w:sz="4" w:space="0" w:color="auto"/>
              <w:left w:val="single" w:sz="4" w:space="0" w:color="auto"/>
              <w:bottom w:val="single" w:sz="4" w:space="0" w:color="auto"/>
              <w:right w:val="single" w:sz="4" w:space="0" w:color="auto"/>
            </w:tcBorders>
            <w:shd w:val="clear" w:color="auto" w:fill="auto"/>
          </w:tcPr>
          <w:p w:rsidR="000E54C2" w:rsidRPr="00E8065F" w:rsidRDefault="000E54C2" w:rsidP="00D5127A">
            <w:pPr>
              <w:spacing w:line="235" w:lineRule="auto"/>
              <w:jc w:val="center"/>
              <w:rPr>
                <w:color w:val="000000"/>
                <w:sz w:val="20"/>
                <w:szCs w:val="20"/>
              </w:rPr>
            </w:pPr>
            <w:r w:rsidRPr="00E8065F">
              <w:rPr>
                <w:color w:val="000000"/>
                <w:sz w:val="20"/>
                <w:szCs w:val="20"/>
              </w:rPr>
              <w:t>1</w:t>
            </w:r>
          </w:p>
        </w:tc>
        <w:tc>
          <w:tcPr>
            <w:tcW w:w="1478" w:type="dxa"/>
            <w:tcBorders>
              <w:top w:val="single" w:sz="4" w:space="0" w:color="auto"/>
              <w:left w:val="single" w:sz="4" w:space="0" w:color="auto"/>
              <w:bottom w:val="single" w:sz="4" w:space="0" w:color="auto"/>
              <w:right w:val="single" w:sz="4" w:space="0" w:color="auto"/>
            </w:tcBorders>
            <w:shd w:val="clear" w:color="auto" w:fill="auto"/>
          </w:tcPr>
          <w:p w:rsidR="000E54C2" w:rsidRPr="00E8065F" w:rsidRDefault="000E54C2" w:rsidP="00D5127A">
            <w:pPr>
              <w:spacing w:line="235" w:lineRule="auto"/>
              <w:jc w:val="center"/>
              <w:rPr>
                <w:color w:val="000000"/>
                <w:sz w:val="20"/>
                <w:szCs w:val="20"/>
              </w:rPr>
            </w:pPr>
            <w:r w:rsidRPr="00E8065F">
              <w:rPr>
                <w:color w:val="000000"/>
                <w:sz w:val="20"/>
                <w:szCs w:val="20"/>
              </w:rPr>
              <w:t>16</w:t>
            </w:r>
          </w:p>
        </w:tc>
        <w:tc>
          <w:tcPr>
            <w:tcW w:w="1111" w:type="dxa"/>
            <w:tcBorders>
              <w:top w:val="single" w:sz="4" w:space="0" w:color="auto"/>
              <w:left w:val="single" w:sz="4" w:space="0" w:color="auto"/>
              <w:bottom w:val="single" w:sz="4" w:space="0" w:color="auto"/>
              <w:right w:val="single" w:sz="4" w:space="0" w:color="auto"/>
            </w:tcBorders>
            <w:shd w:val="clear" w:color="auto" w:fill="auto"/>
          </w:tcPr>
          <w:p w:rsidR="000E54C2" w:rsidRPr="00E8065F" w:rsidRDefault="000E54C2" w:rsidP="00D5127A">
            <w:pPr>
              <w:spacing w:line="235" w:lineRule="auto"/>
              <w:jc w:val="center"/>
              <w:rPr>
                <w:color w:val="000000"/>
                <w:sz w:val="20"/>
                <w:szCs w:val="20"/>
              </w:rPr>
            </w:pPr>
            <w:r w:rsidRPr="00E8065F">
              <w:rPr>
                <w:color w:val="000000"/>
                <w:sz w:val="20"/>
                <w:szCs w:val="20"/>
              </w:rPr>
              <w:t>2</w:t>
            </w:r>
          </w:p>
        </w:tc>
        <w:tc>
          <w:tcPr>
            <w:tcW w:w="1944" w:type="dxa"/>
            <w:tcBorders>
              <w:top w:val="single" w:sz="4" w:space="0" w:color="auto"/>
              <w:left w:val="single" w:sz="4" w:space="0" w:color="auto"/>
              <w:bottom w:val="single" w:sz="4" w:space="0" w:color="auto"/>
              <w:right w:val="single" w:sz="4" w:space="0" w:color="auto"/>
            </w:tcBorders>
            <w:shd w:val="clear" w:color="auto" w:fill="auto"/>
          </w:tcPr>
          <w:p w:rsidR="000E54C2" w:rsidRPr="00E8065F" w:rsidRDefault="000E54C2" w:rsidP="00D5127A">
            <w:pPr>
              <w:spacing w:line="235" w:lineRule="auto"/>
              <w:jc w:val="center"/>
              <w:rPr>
                <w:color w:val="000000"/>
                <w:sz w:val="20"/>
                <w:szCs w:val="20"/>
              </w:rPr>
            </w:pPr>
            <w:r w:rsidRPr="00E8065F">
              <w:rPr>
                <w:color w:val="000000"/>
                <w:sz w:val="20"/>
                <w:szCs w:val="20"/>
              </w:rPr>
              <w:t>Амбулаторное</w:t>
            </w:r>
          </w:p>
        </w:tc>
      </w:tr>
      <w:tr w:rsidR="00BA1432" w:rsidRPr="00E8065F" w:rsidTr="000546C2">
        <w:trPr>
          <w:trHeight w:val="20"/>
        </w:trPr>
        <w:tc>
          <w:tcPr>
            <w:tcW w:w="1555" w:type="dxa"/>
            <w:vMerge/>
          </w:tcPr>
          <w:p w:rsidR="000E54C2" w:rsidRPr="00E8065F" w:rsidRDefault="000E54C2" w:rsidP="00BA1432">
            <w:pPr>
              <w:rPr>
                <w:sz w:val="20"/>
                <w:szCs w:val="20"/>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0E54C2" w:rsidRPr="00E8065F" w:rsidRDefault="000E54C2" w:rsidP="00D5127A">
            <w:pPr>
              <w:spacing w:line="235" w:lineRule="auto"/>
              <w:jc w:val="both"/>
              <w:rPr>
                <w:color w:val="000000"/>
                <w:sz w:val="20"/>
                <w:szCs w:val="20"/>
              </w:rPr>
            </w:pPr>
            <w:r w:rsidRPr="00E8065F">
              <w:rPr>
                <w:color w:val="000000"/>
                <w:sz w:val="20"/>
                <w:szCs w:val="20"/>
              </w:rPr>
              <w:t xml:space="preserve">ГАУЗ </w:t>
            </w:r>
            <w:r w:rsidR="002F7358">
              <w:rPr>
                <w:color w:val="000000"/>
                <w:sz w:val="20"/>
                <w:szCs w:val="20"/>
              </w:rPr>
              <w:t>«</w:t>
            </w:r>
            <w:r w:rsidRPr="00E8065F">
              <w:rPr>
                <w:color w:val="000000"/>
                <w:sz w:val="20"/>
                <w:szCs w:val="20"/>
              </w:rPr>
              <w:t>Городская поликлиника №</w:t>
            </w:r>
            <w:r w:rsidR="00D5127A">
              <w:rPr>
                <w:color w:val="000000"/>
                <w:sz w:val="20"/>
                <w:szCs w:val="20"/>
              </w:rPr>
              <w:t xml:space="preserve"> </w:t>
            </w:r>
            <w:r w:rsidRPr="00E8065F">
              <w:rPr>
                <w:color w:val="000000"/>
                <w:sz w:val="20"/>
                <w:szCs w:val="20"/>
              </w:rPr>
              <w:t>18</w:t>
            </w:r>
            <w:r w:rsidR="002F7358">
              <w:rPr>
                <w:color w:val="000000"/>
                <w:sz w:val="20"/>
                <w:szCs w:val="20"/>
              </w:rPr>
              <w:t>» г.Казани</w:t>
            </w:r>
          </w:p>
        </w:tc>
        <w:tc>
          <w:tcPr>
            <w:tcW w:w="1994" w:type="dxa"/>
            <w:tcBorders>
              <w:top w:val="single" w:sz="4" w:space="0" w:color="auto"/>
              <w:left w:val="single" w:sz="4" w:space="0" w:color="auto"/>
              <w:bottom w:val="single" w:sz="4" w:space="0" w:color="auto"/>
              <w:right w:val="single" w:sz="4" w:space="0" w:color="auto"/>
            </w:tcBorders>
            <w:shd w:val="clear" w:color="auto" w:fill="auto"/>
          </w:tcPr>
          <w:p w:rsidR="000E54C2" w:rsidRPr="00E8065F" w:rsidRDefault="000E54C2" w:rsidP="00D5127A">
            <w:pPr>
              <w:spacing w:line="235" w:lineRule="auto"/>
              <w:jc w:val="center"/>
              <w:rPr>
                <w:color w:val="000000"/>
                <w:sz w:val="20"/>
                <w:szCs w:val="20"/>
              </w:rPr>
            </w:pPr>
            <w:r w:rsidRPr="00E8065F">
              <w:rPr>
                <w:color w:val="000000"/>
                <w:sz w:val="20"/>
                <w:szCs w:val="20"/>
              </w:rPr>
              <w:t>Маммограф</w:t>
            </w:r>
          </w:p>
        </w:tc>
        <w:tc>
          <w:tcPr>
            <w:tcW w:w="1181" w:type="dxa"/>
            <w:tcBorders>
              <w:top w:val="single" w:sz="4" w:space="0" w:color="auto"/>
            </w:tcBorders>
            <w:shd w:val="clear" w:color="auto" w:fill="auto"/>
          </w:tcPr>
          <w:p w:rsidR="000E54C2" w:rsidRPr="00E8065F" w:rsidRDefault="000E54C2" w:rsidP="00D5127A">
            <w:pPr>
              <w:spacing w:line="235" w:lineRule="auto"/>
              <w:jc w:val="center"/>
              <w:rPr>
                <w:sz w:val="20"/>
                <w:szCs w:val="20"/>
              </w:rPr>
            </w:pPr>
            <w:r w:rsidRPr="00E8065F">
              <w:rPr>
                <w:sz w:val="20"/>
                <w:szCs w:val="20"/>
              </w:rPr>
              <w:t>2024</w:t>
            </w:r>
          </w:p>
        </w:tc>
        <w:tc>
          <w:tcPr>
            <w:tcW w:w="1181" w:type="dxa"/>
            <w:tcBorders>
              <w:top w:val="single" w:sz="4" w:space="0" w:color="auto"/>
              <w:left w:val="single" w:sz="4" w:space="0" w:color="auto"/>
              <w:bottom w:val="single" w:sz="4" w:space="0" w:color="auto"/>
              <w:right w:val="single" w:sz="4" w:space="0" w:color="auto"/>
            </w:tcBorders>
            <w:shd w:val="clear" w:color="auto" w:fill="auto"/>
          </w:tcPr>
          <w:p w:rsidR="000E54C2" w:rsidRPr="00E8065F" w:rsidRDefault="000E54C2" w:rsidP="00D5127A">
            <w:pPr>
              <w:spacing w:line="235" w:lineRule="auto"/>
              <w:jc w:val="center"/>
              <w:rPr>
                <w:color w:val="000000"/>
                <w:sz w:val="20"/>
                <w:szCs w:val="20"/>
              </w:rPr>
            </w:pPr>
            <w:r w:rsidRPr="00E8065F">
              <w:rPr>
                <w:color w:val="000000"/>
                <w:sz w:val="20"/>
                <w:szCs w:val="20"/>
              </w:rPr>
              <w:t>1</w:t>
            </w:r>
          </w:p>
        </w:tc>
        <w:tc>
          <w:tcPr>
            <w:tcW w:w="1478" w:type="dxa"/>
            <w:tcBorders>
              <w:top w:val="single" w:sz="4" w:space="0" w:color="auto"/>
              <w:left w:val="single" w:sz="4" w:space="0" w:color="auto"/>
              <w:bottom w:val="single" w:sz="4" w:space="0" w:color="auto"/>
              <w:right w:val="single" w:sz="4" w:space="0" w:color="auto"/>
            </w:tcBorders>
            <w:shd w:val="clear" w:color="auto" w:fill="auto"/>
          </w:tcPr>
          <w:p w:rsidR="000E54C2" w:rsidRPr="00E8065F" w:rsidRDefault="000E54C2" w:rsidP="00D5127A">
            <w:pPr>
              <w:spacing w:line="235" w:lineRule="auto"/>
              <w:jc w:val="center"/>
              <w:rPr>
                <w:color w:val="000000"/>
                <w:sz w:val="20"/>
                <w:szCs w:val="20"/>
              </w:rPr>
            </w:pPr>
            <w:r w:rsidRPr="00E8065F">
              <w:rPr>
                <w:color w:val="000000"/>
                <w:sz w:val="20"/>
                <w:szCs w:val="20"/>
              </w:rPr>
              <w:t>15</w:t>
            </w:r>
          </w:p>
        </w:tc>
        <w:tc>
          <w:tcPr>
            <w:tcW w:w="1111" w:type="dxa"/>
            <w:tcBorders>
              <w:top w:val="single" w:sz="4" w:space="0" w:color="auto"/>
              <w:left w:val="single" w:sz="4" w:space="0" w:color="auto"/>
              <w:bottom w:val="single" w:sz="4" w:space="0" w:color="auto"/>
              <w:right w:val="single" w:sz="4" w:space="0" w:color="auto"/>
            </w:tcBorders>
            <w:shd w:val="clear" w:color="auto" w:fill="auto"/>
          </w:tcPr>
          <w:p w:rsidR="000E54C2" w:rsidRPr="00E8065F" w:rsidRDefault="000E54C2" w:rsidP="00D5127A">
            <w:pPr>
              <w:spacing w:line="235" w:lineRule="auto"/>
              <w:jc w:val="center"/>
              <w:rPr>
                <w:color w:val="000000"/>
                <w:sz w:val="20"/>
                <w:szCs w:val="20"/>
              </w:rPr>
            </w:pPr>
            <w:r w:rsidRPr="00E8065F">
              <w:rPr>
                <w:color w:val="000000"/>
                <w:sz w:val="20"/>
                <w:szCs w:val="20"/>
              </w:rPr>
              <w:t>2</w:t>
            </w:r>
          </w:p>
        </w:tc>
        <w:tc>
          <w:tcPr>
            <w:tcW w:w="1944" w:type="dxa"/>
            <w:tcBorders>
              <w:top w:val="single" w:sz="4" w:space="0" w:color="auto"/>
              <w:left w:val="single" w:sz="4" w:space="0" w:color="auto"/>
              <w:bottom w:val="single" w:sz="4" w:space="0" w:color="auto"/>
              <w:right w:val="single" w:sz="4" w:space="0" w:color="auto"/>
            </w:tcBorders>
            <w:shd w:val="clear" w:color="auto" w:fill="auto"/>
          </w:tcPr>
          <w:p w:rsidR="000E54C2" w:rsidRPr="00E8065F" w:rsidRDefault="000E54C2" w:rsidP="00D5127A">
            <w:pPr>
              <w:spacing w:line="235" w:lineRule="auto"/>
              <w:jc w:val="center"/>
              <w:rPr>
                <w:color w:val="000000"/>
                <w:sz w:val="20"/>
                <w:szCs w:val="20"/>
              </w:rPr>
            </w:pPr>
            <w:r w:rsidRPr="00E8065F">
              <w:rPr>
                <w:color w:val="000000"/>
                <w:sz w:val="20"/>
                <w:szCs w:val="20"/>
              </w:rPr>
              <w:t>Амбулаторное</w:t>
            </w:r>
          </w:p>
        </w:tc>
      </w:tr>
      <w:tr w:rsidR="00BA1432" w:rsidRPr="00E8065F" w:rsidTr="000546C2">
        <w:trPr>
          <w:trHeight w:val="20"/>
        </w:trPr>
        <w:tc>
          <w:tcPr>
            <w:tcW w:w="1555" w:type="dxa"/>
            <w:vMerge/>
          </w:tcPr>
          <w:p w:rsidR="000E54C2" w:rsidRPr="00E8065F" w:rsidRDefault="000E54C2" w:rsidP="00BA1432">
            <w:pPr>
              <w:rPr>
                <w:sz w:val="20"/>
                <w:szCs w:val="20"/>
              </w:rPr>
            </w:pPr>
          </w:p>
        </w:tc>
        <w:tc>
          <w:tcPr>
            <w:tcW w:w="3685" w:type="dxa"/>
            <w:tcBorders>
              <w:top w:val="nil"/>
              <w:left w:val="single" w:sz="4" w:space="0" w:color="auto"/>
              <w:bottom w:val="single" w:sz="4" w:space="0" w:color="auto"/>
              <w:right w:val="single" w:sz="4" w:space="0" w:color="auto"/>
            </w:tcBorders>
            <w:shd w:val="clear" w:color="auto" w:fill="auto"/>
          </w:tcPr>
          <w:p w:rsidR="000E54C2" w:rsidRPr="00E8065F" w:rsidRDefault="000E54C2" w:rsidP="00D5127A">
            <w:pPr>
              <w:spacing w:line="235" w:lineRule="auto"/>
              <w:jc w:val="both"/>
              <w:rPr>
                <w:color w:val="000000"/>
                <w:sz w:val="20"/>
                <w:szCs w:val="20"/>
              </w:rPr>
            </w:pPr>
            <w:r w:rsidRPr="00E8065F">
              <w:rPr>
                <w:color w:val="000000"/>
                <w:sz w:val="20"/>
                <w:szCs w:val="20"/>
              </w:rPr>
              <w:t xml:space="preserve">ГАУЗ </w:t>
            </w:r>
            <w:r w:rsidR="002F7358">
              <w:rPr>
                <w:color w:val="000000"/>
                <w:sz w:val="20"/>
                <w:szCs w:val="20"/>
              </w:rPr>
              <w:t>«</w:t>
            </w:r>
            <w:r w:rsidRPr="00E8065F">
              <w:rPr>
                <w:color w:val="000000"/>
                <w:sz w:val="20"/>
                <w:szCs w:val="20"/>
              </w:rPr>
              <w:t>Городская поликлиника №</w:t>
            </w:r>
            <w:r w:rsidR="00D5127A">
              <w:rPr>
                <w:color w:val="000000"/>
                <w:sz w:val="20"/>
                <w:szCs w:val="20"/>
              </w:rPr>
              <w:t xml:space="preserve"> </w:t>
            </w:r>
            <w:r w:rsidRPr="00E8065F">
              <w:rPr>
                <w:color w:val="000000"/>
                <w:sz w:val="20"/>
                <w:szCs w:val="20"/>
              </w:rPr>
              <w:t>20</w:t>
            </w:r>
            <w:r w:rsidR="002F7358">
              <w:rPr>
                <w:color w:val="000000"/>
                <w:sz w:val="20"/>
                <w:szCs w:val="20"/>
              </w:rPr>
              <w:t>» г.Казани</w:t>
            </w:r>
          </w:p>
        </w:tc>
        <w:tc>
          <w:tcPr>
            <w:tcW w:w="1994" w:type="dxa"/>
            <w:tcBorders>
              <w:top w:val="nil"/>
              <w:left w:val="single" w:sz="4" w:space="0" w:color="auto"/>
              <w:bottom w:val="single" w:sz="4" w:space="0" w:color="auto"/>
              <w:right w:val="single" w:sz="4" w:space="0" w:color="auto"/>
            </w:tcBorders>
            <w:shd w:val="clear" w:color="auto" w:fill="auto"/>
          </w:tcPr>
          <w:p w:rsidR="000E54C2" w:rsidRPr="00E8065F" w:rsidRDefault="000E54C2" w:rsidP="00D5127A">
            <w:pPr>
              <w:spacing w:line="235" w:lineRule="auto"/>
              <w:jc w:val="center"/>
              <w:rPr>
                <w:color w:val="000000"/>
                <w:sz w:val="20"/>
                <w:szCs w:val="20"/>
              </w:rPr>
            </w:pPr>
            <w:r w:rsidRPr="00E8065F">
              <w:rPr>
                <w:color w:val="000000"/>
                <w:sz w:val="20"/>
                <w:szCs w:val="20"/>
              </w:rPr>
              <w:t>Маммограф</w:t>
            </w:r>
          </w:p>
        </w:tc>
        <w:tc>
          <w:tcPr>
            <w:tcW w:w="1181" w:type="dxa"/>
            <w:shd w:val="clear" w:color="auto" w:fill="auto"/>
          </w:tcPr>
          <w:p w:rsidR="000E54C2" w:rsidRPr="00E8065F" w:rsidRDefault="000E54C2" w:rsidP="00D5127A">
            <w:pPr>
              <w:spacing w:line="235" w:lineRule="auto"/>
              <w:jc w:val="center"/>
              <w:rPr>
                <w:sz w:val="20"/>
                <w:szCs w:val="20"/>
              </w:rPr>
            </w:pPr>
            <w:r w:rsidRPr="00E8065F">
              <w:rPr>
                <w:sz w:val="20"/>
                <w:szCs w:val="20"/>
              </w:rPr>
              <w:t>2007</w:t>
            </w:r>
            <w:r w:rsidR="00AA5FB3">
              <w:rPr>
                <w:sz w:val="20"/>
                <w:szCs w:val="20"/>
              </w:rPr>
              <w:t xml:space="preserve"> </w:t>
            </w:r>
            <w:r w:rsidR="00B7341A">
              <w:rPr>
                <w:sz w:val="20"/>
                <w:szCs w:val="20"/>
              </w:rPr>
              <w:t>(1)</w:t>
            </w:r>
          </w:p>
          <w:p w:rsidR="000E54C2" w:rsidRPr="00E8065F" w:rsidRDefault="000E54C2" w:rsidP="00D5127A">
            <w:pPr>
              <w:spacing w:line="235" w:lineRule="auto"/>
              <w:jc w:val="center"/>
              <w:rPr>
                <w:sz w:val="20"/>
                <w:szCs w:val="20"/>
              </w:rPr>
            </w:pPr>
            <w:r w:rsidRPr="00E8065F">
              <w:rPr>
                <w:sz w:val="20"/>
                <w:szCs w:val="20"/>
              </w:rPr>
              <w:t>2018</w:t>
            </w:r>
            <w:r w:rsidR="00AA5FB3">
              <w:rPr>
                <w:sz w:val="20"/>
                <w:szCs w:val="20"/>
              </w:rPr>
              <w:t xml:space="preserve"> </w:t>
            </w:r>
            <w:r w:rsidR="00B7341A">
              <w:rPr>
                <w:sz w:val="20"/>
                <w:szCs w:val="20"/>
              </w:rPr>
              <w:t>(1)</w:t>
            </w:r>
          </w:p>
        </w:tc>
        <w:tc>
          <w:tcPr>
            <w:tcW w:w="1181" w:type="dxa"/>
            <w:tcBorders>
              <w:top w:val="nil"/>
              <w:left w:val="single" w:sz="4" w:space="0" w:color="auto"/>
              <w:bottom w:val="single" w:sz="4" w:space="0" w:color="auto"/>
              <w:right w:val="single" w:sz="4" w:space="0" w:color="auto"/>
            </w:tcBorders>
            <w:shd w:val="clear" w:color="auto" w:fill="auto"/>
          </w:tcPr>
          <w:p w:rsidR="000E54C2" w:rsidRPr="00E8065F" w:rsidRDefault="000E54C2" w:rsidP="00D5127A">
            <w:pPr>
              <w:spacing w:line="235" w:lineRule="auto"/>
              <w:jc w:val="center"/>
              <w:rPr>
                <w:color w:val="000000"/>
                <w:sz w:val="20"/>
                <w:szCs w:val="20"/>
              </w:rPr>
            </w:pPr>
            <w:r w:rsidRPr="00E8065F">
              <w:rPr>
                <w:color w:val="000000"/>
                <w:sz w:val="20"/>
                <w:szCs w:val="20"/>
              </w:rPr>
              <w:t>2</w:t>
            </w:r>
          </w:p>
        </w:tc>
        <w:tc>
          <w:tcPr>
            <w:tcW w:w="1478" w:type="dxa"/>
            <w:tcBorders>
              <w:top w:val="nil"/>
              <w:left w:val="single" w:sz="4" w:space="0" w:color="auto"/>
              <w:bottom w:val="single" w:sz="4" w:space="0" w:color="auto"/>
              <w:right w:val="single" w:sz="4" w:space="0" w:color="auto"/>
            </w:tcBorders>
            <w:shd w:val="clear" w:color="auto" w:fill="auto"/>
          </w:tcPr>
          <w:p w:rsidR="000E54C2" w:rsidRPr="00E8065F" w:rsidRDefault="000E54C2" w:rsidP="00D5127A">
            <w:pPr>
              <w:spacing w:line="235" w:lineRule="auto"/>
              <w:jc w:val="center"/>
              <w:rPr>
                <w:color w:val="000000"/>
                <w:sz w:val="20"/>
                <w:szCs w:val="20"/>
              </w:rPr>
            </w:pPr>
            <w:r w:rsidRPr="00E8065F">
              <w:rPr>
                <w:color w:val="000000"/>
                <w:sz w:val="20"/>
                <w:szCs w:val="20"/>
              </w:rPr>
              <w:t>70</w:t>
            </w:r>
          </w:p>
        </w:tc>
        <w:tc>
          <w:tcPr>
            <w:tcW w:w="1111" w:type="dxa"/>
            <w:tcBorders>
              <w:top w:val="nil"/>
              <w:left w:val="single" w:sz="4" w:space="0" w:color="auto"/>
              <w:bottom w:val="single" w:sz="4" w:space="0" w:color="auto"/>
              <w:right w:val="single" w:sz="4" w:space="0" w:color="auto"/>
            </w:tcBorders>
            <w:shd w:val="clear" w:color="auto" w:fill="auto"/>
          </w:tcPr>
          <w:p w:rsidR="000E54C2" w:rsidRPr="00E8065F" w:rsidRDefault="000E54C2" w:rsidP="00D5127A">
            <w:pPr>
              <w:spacing w:line="235" w:lineRule="auto"/>
              <w:jc w:val="center"/>
              <w:rPr>
                <w:color w:val="000000"/>
                <w:sz w:val="20"/>
                <w:szCs w:val="20"/>
              </w:rPr>
            </w:pPr>
            <w:r w:rsidRPr="00E8065F">
              <w:rPr>
                <w:color w:val="000000"/>
                <w:sz w:val="20"/>
                <w:szCs w:val="20"/>
              </w:rPr>
              <w:t>2</w:t>
            </w:r>
          </w:p>
        </w:tc>
        <w:tc>
          <w:tcPr>
            <w:tcW w:w="1944" w:type="dxa"/>
            <w:tcBorders>
              <w:top w:val="nil"/>
              <w:left w:val="single" w:sz="4" w:space="0" w:color="auto"/>
              <w:bottom w:val="single" w:sz="4" w:space="0" w:color="auto"/>
              <w:right w:val="single" w:sz="4" w:space="0" w:color="auto"/>
            </w:tcBorders>
            <w:shd w:val="clear" w:color="auto" w:fill="auto"/>
          </w:tcPr>
          <w:p w:rsidR="000E54C2" w:rsidRPr="00E8065F" w:rsidRDefault="000E54C2" w:rsidP="00D5127A">
            <w:pPr>
              <w:spacing w:line="235" w:lineRule="auto"/>
              <w:jc w:val="center"/>
              <w:rPr>
                <w:color w:val="000000"/>
                <w:sz w:val="20"/>
                <w:szCs w:val="20"/>
              </w:rPr>
            </w:pPr>
            <w:r w:rsidRPr="00E8065F">
              <w:rPr>
                <w:color w:val="000000"/>
                <w:sz w:val="20"/>
                <w:szCs w:val="20"/>
              </w:rPr>
              <w:t>Амбулаторное</w:t>
            </w:r>
          </w:p>
        </w:tc>
      </w:tr>
      <w:tr w:rsidR="00BA1432" w:rsidRPr="00E8065F" w:rsidTr="000546C2">
        <w:trPr>
          <w:trHeight w:val="20"/>
        </w:trPr>
        <w:tc>
          <w:tcPr>
            <w:tcW w:w="1555" w:type="dxa"/>
            <w:vMerge/>
          </w:tcPr>
          <w:p w:rsidR="000E54C2" w:rsidRPr="00E8065F" w:rsidRDefault="000E54C2" w:rsidP="00BA1432">
            <w:pPr>
              <w:rPr>
                <w:sz w:val="20"/>
                <w:szCs w:val="20"/>
              </w:rPr>
            </w:pPr>
          </w:p>
        </w:tc>
        <w:tc>
          <w:tcPr>
            <w:tcW w:w="3685" w:type="dxa"/>
            <w:tcBorders>
              <w:top w:val="nil"/>
              <w:left w:val="single" w:sz="4" w:space="0" w:color="auto"/>
              <w:bottom w:val="single" w:sz="4" w:space="0" w:color="auto"/>
              <w:right w:val="single" w:sz="4" w:space="0" w:color="auto"/>
            </w:tcBorders>
            <w:shd w:val="clear" w:color="auto" w:fill="auto"/>
          </w:tcPr>
          <w:p w:rsidR="000E54C2" w:rsidRPr="00E8065F" w:rsidRDefault="000E54C2" w:rsidP="00D5127A">
            <w:pPr>
              <w:spacing w:line="235" w:lineRule="auto"/>
              <w:jc w:val="both"/>
              <w:rPr>
                <w:color w:val="000000"/>
                <w:sz w:val="20"/>
                <w:szCs w:val="20"/>
              </w:rPr>
            </w:pPr>
            <w:r w:rsidRPr="00E8065F">
              <w:rPr>
                <w:color w:val="000000"/>
                <w:sz w:val="20"/>
                <w:szCs w:val="20"/>
              </w:rPr>
              <w:t xml:space="preserve">ГАУЗ </w:t>
            </w:r>
            <w:r w:rsidR="002F7358">
              <w:rPr>
                <w:color w:val="000000"/>
                <w:sz w:val="20"/>
                <w:szCs w:val="20"/>
              </w:rPr>
              <w:t>«</w:t>
            </w:r>
            <w:r w:rsidRPr="00E8065F">
              <w:rPr>
                <w:color w:val="000000"/>
                <w:sz w:val="20"/>
                <w:szCs w:val="20"/>
              </w:rPr>
              <w:t>Городская поликлиника №</w:t>
            </w:r>
            <w:r w:rsidR="00D5127A">
              <w:rPr>
                <w:color w:val="000000"/>
                <w:sz w:val="20"/>
                <w:szCs w:val="20"/>
              </w:rPr>
              <w:t xml:space="preserve"> </w:t>
            </w:r>
            <w:r w:rsidRPr="00E8065F">
              <w:rPr>
                <w:color w:val="000000"/>
                <w:sz w:val="20"/>
                <w:szCs w:val="20"/>
              </w:rPr>
              <w:t>21</w:t>
            </w:r>
            <w:r w:rsidR="002F7358">
              <w:rPr>
                <w:color w:val="000000"/>
                <w:sz w:val="20"/>
                <w:szCs w:val="20"/>
              </w:rPr>
              <w:t>» г.Казани</w:t>
            </w:r>
          </w:p>
        </w:tc>
        <w:tc>
          <w:tcPr>
            <w:tcW w:w="1994" w:type="dxa"/>
            <w:tcBorders>
              <w:top w:val="nil"/>
              <w:left w:val="single" w:sz="4" w:space="0" w:color="auto"/>
              <w:bottom w:val="single" w:sz="4" w:space="0" w:color="auto"/>
              <w:right w:val="single" w:sz="4" w:space="0" w:color="auto"/>
            </w:tcBorders>
            <w:shd w:val="clear" w:color="auto" w:fill="auto"/>
          </w:tcPr>
          <w:p w:rsidR="000E54C2" w:rsidRPr="00E8065F" w:rsidRDefault="000E54C2" w:rsidP="00D5127A">
            <w:pPr>
              <w:spacing w:line="235" w:lineRule="auto"/>
              <w:jc w:val="center"/>
              <w:rPr>
                <w:color w:val="000000"/>
                <w:sz w:val="20"/>
                <w:szCs w:val="20"/>
              </w:rPr>
            </w:pPr>
            <w:r w:rsidRPr="00E8065F">
              <w:rPr>
                <w:color w:val="000000"/>
                <w:sz w:val="20"/>
                <w:szCs w:val="20"/>
              </w:rPr>
              <w:t>Маммограф</w:t>
            </w:r>
          </w:p>
        </w:tc>
        <w:tc>
          <w:tcPr>
            <w:tcW w:w="1181" w:type="dxa"/>
            <w:shd w:val="clear" w:color="auto" w:fill="auto"/>
          </w:tcPr>
          <w:p w:rsidR="000E54C2" w:rsidRPr="00E8065F" w:rsidRDefault="000E54C2" w:rsidP="00D5127A">
            <w:pPr>
              <w:spacing w:line="235" w:lineRule="auto"/>
              <w:jc w:val="center"/>
              <w:rPr>
                <w:sz w:val="20"/>
                <w:szCs w:val="20"/>
              </w:rPr>
            </w:pPr>
            <w:r w:rsidRPr="00E8065F">
              <w:rPr>
                <w:sz w:val="20"/>
                <w:szCs w:val="20"/>
              </w:rPr>
              <w:t>2017</w:t>
            </w:r>
          </w:p>
        </w:tc>
        <w:tc>
          <w:tcPr>
            <w:tcW w:w="1181" w:type="dxa"/>
            <w:tcBorders>
              <w:top w:val="nil"/>
              <w:left w:val="single" w:sz="4" w:space="0" w:color="auto"/>
              <w:bottom w:val="single" w:sz="4" w:space="0" w:color="auto"/>
              <w:right w:val="single" w:sz="4" w:space="0" w:color="auto"/>
            </w:tcBorders>
            <w:shd w:val="clear" w:color="auto" w:fill="auto"/>
          </w:tcPr>
          <w:p w:rsidR="000E54C2" w:rsidRPr="00E8065F" w:rsidRDefault="000E54C2" w:rsidP="00D5127A">
            <w:pPr>
              <w:spacing w:line="235" w:lineRule="auto"/>
              <w:jc w:val="center"/>
              <w:rPr>
                <w:color w:val="000000"/>
                <w:sz w:val="20"/>
                <w:szCs w:val="20"/>
              </w:rPr>
            </w:pPr>
            <w:r w:rsidRPr="00E8065F">
              <w:rPr>
                <w:color w:val="000000"/>
                <w:sz w:val="20"/>
                <w:szCs w:val="20"/>
              </w:rPr>
              <w:t>1</w:t>
            </w:r>
          </w:p>
        </w:tc>
        <w:tc>
          <w:tcPr>
            <w:tcW w:w="1478" w:type="dxa"/>
            <w:tcBorders>
              <w:top w:val="nil"/>
              <w:left w:val="single" w:sz="4" w:space="0" w:color="auto"/>
              <w:bottom w:val="single" w:sz="4" w:space="0" w:color="auto"/>
              <w:right w:val="single" w:sz="4" w:space="0" w:color="auto"/>
            </w:tcBorders>
            <w:shd w:val="clear" w:color="auto" w:fill="auto"/>
          </w:tcPr>
          <w:p w:rsidR="000E54C2" w:rsidRPr="00E8065F" w:rsidRDefault="000E54C2" w:rsidP="00D5127A">
            <w:pPr>
              <w:spacing w:line="235" w:lineRule="auto"/>
              <w:jc w:val="center"/>
              <w:rPr>
                <w:color w:val="000000"/>
                <w:sz w:val="20"/>
                <w:szCs w:val="20"/>
              </w:rPr>
            </w:pPr>
            <w:r w:rsidRPr="00E8065F">
              <w:rPr>
                <w:color w:val="000000"/>
                <w:sz w:val="20"/>
                <w:szCs w:val="20"/>
              </w:rPr>
              <w:t>19</w:t>
            </w:r>
          </w:p>
        </w:tc>
        <w:tc>
          <w:tcPr>
            <w:tcW w:w="1111" w:type="dxa"/>
            <w:tcBorders>
              <w:top w:val="nil"/>
              <w:left w:val="single" w:sz="4" w:space="0" w:color="auto"/>
              <w:bottom w:val="single" w:sz="4" w:space="0" w:color="auto"/>
              <w:right w:val="single" w:sz="4" w:space="0" w:color="auto"/>
            </w:tcBorders>
            <w:shd w:val="clear" w:color="auto" w:fill="auto"/>
          </w:tcPr>
          <w:p w:rsidR="000E54C2" w:rsidRPr="00E8065F" w:rsidRDefault="000E54C2" w:rsidP="00D5127A">
            <w:pPr>
              <w:spacing w:line="235" w:lineRule="auto"/>
              <w:jc w:val="center"/>
              <w:rPr>
                <w:color w:val="000000"/>
                <w:sz w:val="20"/>
                <w:szCs w:val="20"/>
              </w:rPr>
            </w:pPr>
            <w:r w:rsidRPr="00E8065F">
              <w:rPr>
                <w:color w:val="000000"/>
                <w:sz w:val="20"/>
                <w:szCs w:val="20"/>
              </w:rPr>
              <w:t>2</w:t>
            </w:r>
          </w:p>
        </w:tc>
        <w:tc>
          <w:tcPr>
            <w:tcW w:w="1944" w:type="dxa"/>
            <w:tcBorders>
              <w:top w:val="nil"/>
              <w:left w:val="single" w:sz="4" w:space="0" w:color="auto"/>
              <w:bottom w:val="single" w:sz="4" w:space="0" w:color="auto"/>
              <w:right w:val="single" w:sz="4" w:space="0" w:color="auto"/>
            </w:tcBorders>
            <w:shd w:val="clear" w:color="auto" w:fill="auto"/>
          </w:tcPr>
          <w:p w:rsidR="000E54C2" w:rsidRPr="00E8065F" w:rsidRDefault="000E54C2" w:rsidP="00D5127A">
            <w:pPr>
              <w:spacing w:line="235" w:lineRule="auto"/>
              <w:jc w:val="center"/>
              <w:rPr>
                <w:color w:val="000000"/>
                <w:sz w:val="20"/>
                <w:szCs w:val="20"/>
              </w:rPr>
            </w:pPr>
            <w:r w:rsidRPr="00E8065F">
              <w:rPr>
                <w:color w:val="000000"/>
                <w:sz w:val="20"/>
                <w:szCs w:val="20"/>
              </w:rPr>
              <w:t>Амбулаторное</w:t>
            </w:r>
          </w:p>
        </w:tc>
      </w:tr>
      <w:tr w:rsidR="00BA1432" w:rsidRPr="00E8065F" w:rsidTr="000546C2">
        <w:trPr>
          <w:trHeight w:val="20"/>
        </w:trPr>
        <w:tc>
          <w:tcPr>
            <w:tcW w:w="1555" w:type="dxa"/>
            <w:vMerge/>
          </w:tcPr>
          <w:p w:rsidR="000E54C2" w:rsidRPr="00E8065F" w:rsidRDefault="000E54C2" w:rsidP="00BA1432">
            <w:pPr>
              <w:rPr>
                <w:sz w:val="20"/>
                <w:szCs w:val="20"/>
              </w:rPr>
            </w:pPr>
          </w:p>
        </w:tc>
        <w:tc>
          <w:tcPr>
            <w:tcW w:w="3685" w:type="dxa"/>
            <w:tcBorders>
              <w:top w:val="nil"/>
              <w:left w:val="single" w:sz="4" w:space="0" w:color="auto"/>
              <w:bottom w:val="single" w:sz="4" w:space="0" w:color="auto"/>
              <w:right w:val="single" w:sz="4" w:space="0" w:color="auto"/>
            </w:tcBorders>
            <w:shd w:val="clear" w:color="auto" w:fill="auto"/>
          </w:tcPr>
          <w:p w:rsidR="000E54C2" w:rsidRPr="00E8065F" w:rsidRDefault="000E54C2" w:rsidP="00D5127A">
            <w:pPr>
              <w:spacing w:line="235" w:lineRule="auto"/>
              <w:jc w:val="both"/>
              <w:rPr>
                <w:color w:val="000000"/>
                <w:sz w:val="20"/>
                <w:szCs w:val="20"/>
              </w:rPr>
            </w:pPr>
            <w:r w:rsidRPr="00E8065F">
              <w:rPr>
                <w:color w:val="000000"/>
                <w:sz w:val="20"/>
                <w:szCs w:val="20"/>
              </w:rPr>
              <w:t xml:space="preserve">ГАУЗ </w:t>
            </w:r>
            <w:r w:rsidR="002F7358">
              <w:rPr>
                <w:color w:val="000000"/>
                <w:sz w:val="20"/>
                <w:szCs w:val="20"/>
              </w:rPr>
              <w:t>«</w:t>
            </w:r>
            <w:r w:rsidRPr="00E8065F">
              <w:rPr>
                <w:color w:val="000000"/>
                <w:sz w:val="20"/>
                <w:szCs w:val="20"/>
              </w:rPr>
              <w:t>Городская поликлиника №</w:t>
            </w:r>
            <w:r w:rsidR="00D5127A">
              <w:rPr>
                <w:color w:val="000000"/>
                <w:sz w:val="20"/>
                <w:szCs w:val="20"/>
              </w:rPr>
              <w:t xml:space="preserve"> </w:t>
            </w:r>
            <w:r w:rsidRPr="00E8065F">
              <w:rPr>
                <w:color w:val="000000"/>
                <w:sz w:val="20"/>
                <w:szCs w:val="20"/>
              </w:rPr>
              <w:t>7</w:t>
            </w:r>
            <w:r w:rsidR="002F7358">
              <w:rPr>
                <w:color w:val="000000"/>
                <w:sz w:val="20"/>
                <w:szCs w:val="20"/>
              </w:rPr>
              <w:t>» г.Казани</w:t>
            </w:r>
          </w:p>
        </w:tc>
        <w:tc>
          <w:tcPr>
            <w:tcW w:w="1994" w:type="dxa"/>
            <w:tcBorders>
              <w:top w:val="nil"/>
              <w:left w:val="single" w:sz="4" w:space="0" w:color="auto"/>
              <w:bottom w:val="single" w:sz="4" w:space="0" w:color="auto"/>
              <w:right w:val="single" w:sz="4" w:space="0" w:color="auto"/>
            </w:tcBorders>
            <w:shd w:val="clear" w:color="auto" w:fill="auto"/>
          </w:tcPr>
          <w:p w:rsidR="000E54C2" w:rsidRPr="00E8065F" w:rsidRDefault="000E54C2" w:rsidP="00D5127A">
            <w:pPr>
              <w:spacing w:line="235" w:lineRule="auto"/>
              <w:jc w:val="center"/>
              <w:rPr>
                <w:color w:val="000000"/>
                <w:sz w:val="20"/>
                <w:szCs w:val="20"/>
              </w:rPr>
            </w:pPr>
            <w:r w:rsidRPr="00E8065F">
              <w:rPr>
                <w:color w:val="000000"/>
                <w:sz w:val="20"/>
                <w:szCs w:val="20"/>
              </w:rPr>
              <w:t>Маммограф</w:t>
            </w:r>
          </w:p>
        </w:tc>
        <w:tc>
          <w:tcPr>
            <w:tcW w:w="1181" w:type="dxa"/>
            <w:shd w:val="clear" w:color="auto" w:fill="auto"/>
          </w:tcPr>
          <w:p w:rsidR="000E54C2" w:rsidRPr="00E8065F" w:rsidRDefault="000E54C2" w:rsidP="00D5127A">
            <w:pPr>
              <w:spacing w:line="235" w:lineRule="auto"/>
              <w:jc w:val="center"/>
              <w:rPr>
                <w:sz w:val="20"/>
                <w:szCs w:val="20"/>
              </w:rPr>
            </w:pPr>
            <w:r w:rsidRPr="00E8065F">
              <w:rPr>
                <w:sz w:val="20"/>
                <w:szCs w:val="20"/>
              </w:rPr>
              <w:t>2018</w:t>
            </w:r>
          </w:p>
        </w:tc>
        <w:tc>
          <w:tcPr>
            <w:tcW w:w="1181" w:type="dxa"/>
            <w:tcBorders>
              <w:top w:val="nil"/>
              <w:left w:val="single" w:sz="4" w:space="0" w:color="auto"/>
              <w:bottom w:val="single" w:sz="4" w:space="0" w:color="auto"/>
              <w:right w:val="single" w:sz="4" w:space="0" w:color="auto"/>
            </w:tcBorders>
            <w:shd w:val="clear" w:color="auto" w:fill="auto"/>
          </w:tcPr>
          <w:p w:rsidR="000E54C2" w:rsidRPr="00E8065F" w:rsidRDefault="000E54C2" w:rsidP="00D5127A">
            <w:pPr>
              <w:spacing w:line="235" w:lineRule="auto"/>
              <w:jc w:val="center"/>
              <w:rPr>
                <w:color w:val="000000"/>
                <w:sz w:val="20"/>
                <w:szCs w:val="20"/>
              </w:rPr>
            </w:pPr>
            <w:r w:rsidRPr="00E8065F">
              <w:rPr>
                <w:color w:val="000000"/>
                <w:sz w:val="20"/>
                <w:szCs w:val="20"/>
              </w:rPr>
              <w:t>1</w:t>
            </w:r>
          </w:p>
        </w:tc>
        <w:tc>
          <w:tcPr>
            <w:tcW w:w="1478" w:type="dxa"/>
            <w:tcBorders>
              <w:top w:val="nil"/>
              <w:left w:val="single" w:sz="4" w:space="0" w:color="auto"/>
              <w:bottom w:val="single" w:sz="4" w:space="0" w:color="auto"/>
              <w:right w:val="single" w:sz="4" w:space="0" w:color="auto"/>
            </w:tcBorders>
            <w:shd w:val="clear" w:color="auto" w:fill="auto"/>
          </w:tcPr>
          <w:p w:rsidR="000E54C2" w:rsidRPr="00E8065F" w:rsidRDefault="000E54C2" w:rsidP="00D5127A">
            <w:pPr>
              <w:spacing w:line="235" w:lineRule="auto"/>
              <w:jc w:val="center"/>
              <w:rPr>
                <w:color w:val="000000"/>
                <w:sz w:val="20"/>
                <w:szCs w:val="20"/>
              </w:rPr>
            </w:pPr>
            <w:r w:rsidRPr="00E8065F">
              <w:rPr>
                <w:color w:val="000000"/>
                <w:sz w:val="20"/>
                <w:szCs w:val="20"/>
              </w:rPr>
              <w:t>9</w:t>
            </w:r>
          </w:p>
        </w:tc>
        <w:tc>
          <w:tcPr>
            <w:tcW w:w="1111" w:type="dxa"/>
            <w:tcBorders>
              <w:top w:val="nil"/>
              <w:left w:val="single" w:sz="4" w:space="0" w:color="auto"/>
              <w:bottom w:val="single" w:sz="4" w:space="0" w:color="auto"/>
              <w:right w:val="single" w:sz="4" w:space="0" w:color="auto"/>
            </w:tcBorders>
            <w:shd w:val="clear" w:color="auto" w:fill="auto"/>
          </w:tcPr>
          <w:p w:rsidR="000E54C2" w:rsidRPr="00E8065F" w:rsidRDefault="000E54C2" w:rsidP="00D5127A">
            <w:pPr>
              <w:spacing w:line="235" w:lineRule="auto"/>
              <w:jc w:val="center"/>
              <w:rPr>
                <w:color w:val="000000"/>
                <w:sz w:val="20"/>
                <w:szCs w:val="20"/>
              </w:rPr>
            </w:pPr>
            <w:r w:rsidRPr="00E8065F">
              <w:rPr>
                <w:color w:val="000000"/>
                <w:sz w:val="20"/>
                <w:szCs w:val="20"/>
              </w:rPr>
              <w:t>2</w:t>
            </w:r>
          </w:p>
        </w:tc>
        <w:tc>
          <w:tcPr>
            <w:tcW w:w="1944" w:type="dxa"/>
            <w:tcBorders>
              <w:top w:val="nil"/>
              <w:left w:val="single" w:sz="4" w:space="0" w:color="auto"/>
              <w:bottom w:val="single" w:sz="4" w:space="0" w:color="auto"/>
              <w:right w:val="single" w:sz="4" w:space="0" w:color="auto"/>
            </w:tcBorders>
            <w:shd w:val="clear" w:color="auto" w:fill="auto"/>
          </w:tcPr>
          <w:p w:rsidR="000E54C2" w:rsidRPr="00E8065F" w:rsidRDefault="000E54C2" w:rsidP="00D5127A">
            <w:pPr>
              <w:spacing w:line="235" w:lineRule="auto"/>
              <w:jc w:val="center"/>
              <w:rPr>
                <w:color w:val="000000"/>
                <w:sz w:val="20"/>
                <w:szCs w:val="20"/>
              </w:rPr>
            </w:pPr>
            <w:r w:rsidRPr="00E8065F">
              <w:rPr>
                <w:color w:val="000000"/>
                <w:sz w:val="20"/>
                <w:szCs w:val="20"/>
              </w:rPr>
              <w:t>Амбулаторное</w:t>
            </w:r>
          </w:p>
        </w:tc>
      </w:tr>
      <w:tr w:rsidR="00BA1432" w:rsidRPr="00E8065F" w:rsidTr="000546C2">
        <w:trPr>
          <w:trHeight w:val="20"/>
        </w:trPr>
        <w:tc>
          <w:tcPr>
            <w:tcW w:w="1555" w:type="dxa"/>
            <w:vMerge/>
          </w:tcPr>
          <w:p w:rsidR="000E54C2" w:rsidRPr="00E8065F" w:rsidRDefault="000E54C2" w:rsidP="00BA1432">
            <w:pPr>
              <w:rPr>
                <w:sz w:val="20"/>
                <w:szCs w:val="20"/>
              </w:rPr>
            </w:pPr>
          </w:p>
        </w:tc>
        <w:tc>
          <w:tcPr>
            <w:tcW w:w="3685" w:type="dxa"/>
            <w:tcBorders>
              <w:top w:val="nil"/>
              <w:left w:val="single" w:sz="4" w:space="0" w:color="auto"/>
              <w:bottom w:val="single" w:sz="4" w:space="0" w:color="auto"/>
              <w:right w:val="single" w:sz="4" w:space="0" w:color="auto"/>
            </w:tcBorders>
            <w:shd w:val="clear" w:color="auto" w:fill="auto"/>
          </w:tcPr>
          <w:p w:rsidR="000E54C2" w:rsidRPr="00E8065F" w:rsidRDefault="000E54C2" w:rsidP="00D5127A">
            <w:pPr>
              <w:spacing w:line="235" w:lineRule="auto"/>
              <w:jc w:val="both"/>
              <w:rPr>
                <w:color w:val="000000"/>
                <w:sz w:val="20"/>
                <w:szCs w:val="20"/>
              </w:rPr>
            </w:pPr>
            <w:r w:rsidRPr="00E8065F">
              <w:rPr>
                <w:color w:val="000000"/>
                <w:sz w:val="20"/>
                <w:szCs w:val="20"/>
              </w:rPr>
              <w:t xml:space="preserve">ГАУЗ </w:t>
            </w:r>
            <w:r w:rsidR="002F7358">
              <w:rPr>
                <w:color w:val="000000"/>
                <w:sz w:val="20"/>
                <w:szCs w:val="20"/>
              </w:rPr>
              <w:t>«</w:t>
            </w:r>
            <w:r w:rsidRPr="00E8065F">
              <w:rPr>
                <w:color w:val="000000"/>
                <w:sz w:val="20"/>
                <w:szCs w:val="20"/>
              </w:rPr>
              <w:t>Городская поликлиника №</w:t>
            </w:r>
            <w:r w:rsidR="00D5127A">
              <w:rPr>
                <w:color w:val="000000"/>
                <w:sz w:val="20"/>
                <w:szCs w:val="20"/>
              </w:rPr>
              <w:t xml:space="preserve"> </w:t>
            </w:r>
            <w:r w:rsidRPr="00E8065F">
              <w:rPr>
                <w:color w:val="000000"/>
                <w:sz w:val="20"/>
                <w:szCs w:val="20"/>
              </w:rPr>
              <w:t>8</w:t>
            </w:r>
            <w:r w:rsidR="002F7358">
              <w:rPr>
                <w:color w:val="000000"/>
                <w:sz w:val="20"/>
                <w:szCs w:val="20"/>
              </w:rPr>
              <w:t>»</w:t>
            </w:r>
            <w:r w:rsidRPr="00E8065F">
              <w:rPr>
                <w:color w:val="000000"/>
                <w:sz w:val="20"/>
                <w:szCs w:val="20"/>
              </w:rPr>
              <w:t xml:space="preserve"> г.</w:t>
            </w:r>
            <w:r w:rsidR="002F7358">
              <w:rPr>
                <w:color w:val="000000"/>
                <w:sz w:val="20"/>
                <w:szCs w:val="20"/>
              </w:rPr>
              <w:t>Казани</w:t>
            </w:r>
          </w:p>
        </w:tc>
        <w:tc>
          <w:tcPr>
            <w:tcW w:w="1994" w:type="dxa"/>
            <w:tcBorders>
              <w:top w:val="nil"/>
              <w:left w:val="single" w:sz="4" w:space="0" w:color="auto"/>
              <w:bottom w:val="single" w:sz="4" w:space="0" w:color="auto"/>
              <w:right w:val="single" w:sz="4" w:space="0" w:color="auto"/>
            </w:tcBorders>
            <w:shd w:val="clear" w:color="auto" w:fill="auto"/>
          </w:tcPr>
          <w:p w:rsidR="000E54C2" w:rsidRPr="00E8065F" w:rsidRDefault="000E54C2" w:rsidP="00D5127A">
            <w:pPr>
              <w:spacing w:line="235" w:lineRule="auto"/>
              <w:jc w:val="center"/>
              <w:rPr>
                <w:color w:val="000000"/>
                <w:sz w:val="20"/>
                <w:szCs w:val="20"/>
              </w:rPr>
            </w:pPr>
            <w:r w:rsidRPr="00E8065F">
              <w:rPr>
                <w:color w:val="000000"/>
                <w:sz w:val="20"/>
                <w:szCs w:val="20"/>
              </w:rPr>
              <w:t>Маммограф</w:t>
            </w:r>
          </w:p>
        </w:tc>
        <w:tc>
          <w:tcPr>
            <w:tcW w:w="1181" w:type="dxa"/>
            <w:shd w:val="clear" w:color="auto" w:fill="auto"/>
          </w:tcPr>
          <w:p w:rsidR="000E54C2" w:rsidRPr="00E8065F" w:rsidRDefault="000E54C2" w:rsidP="00D5127A">
            <w:pPr>
              <w:spacing w:line="235" w:lineRule="auto"/>
              <w:jc w:val="center"/>
              <w:rPr>
                <w:sz w:val="20"/>
                <w:szCs w:val="20"/>
              </w:rPr>
            </w:pPr>
            <w:r w:rsidRPr="00E8065F">
              <w:rPr>
                <w:sz w:val="20"/>
                <w:szCs w:val="20"/>
              </w:rPr>
              <w:t>2023</w:t>
            </w:r>
          </w:p>
        </w:tc>
        <w:tc>
          <w:tcPr>
            <w:tcW w:w="1181" w:type="dxa"/>
            <w:tcBorders>
              <w:top w:val="nil"/>
              <w:left w:val="single" w:sz="4" w:space="0" w:color="auto"/>
              <w:bottom w:val="single" w:sz="4" w:space="0" w:color="auto"/>
              <w:right w:val="single" w:sz="4" w:space="0" w:color="auto"/>
            </w:tcBorders>
            <w:shd w:val="clear" w:color="auto" w:fill="auto"/>
          </w:tcPr>
          <w:p w:rsidR="000E54C2" w:rsidRPr="00E8065F" w:rsidRDefault="000E54C2" w:rsidP="00D5127A">
            <w:pPr>
              <w:spacing w:line="235" w:lineRule="auto"/>
              <w:jc w:val="center"/>
              <w:rPr>
                <w:color w:val="000000"/>
                <w:sz w:val="20"/>
                <w:szCs w:val="20"/>
              </w:rPr>
            </w:pPr>
            <w:r w:rsidRPr="00E8065F">
              <w:rPr>
                <w:color w:val="000000"/>
                <w:sz w:val="20"/>
                <w:szCs w:val="20"/>
              </w:rPr>
              <w:t>1</w:t>
            </w:r>
          </w:p>
        </w:tc>
        <w:tc>
          <w:tcPr>
            <w:tcW w:w="1478" w:type="dxa"/>
            <w:tcBorders>
              <w:top w:val="nil"/>
              <w:left w:val="single" w:sz="4" w:space="0" w:color="auto"/>
              <w:bottom w:val="single" w:sz="4" w:space="0" w:color="auto"/>
              <w:right w:val="single" w:sz="4" w:space="0" w:color="auto"/>
            </w:tcBorders>
            <w:shd w:val="clear" w:color="auto" w:fill="auto"/>
          </w:tcPr>
          <w:p w:rsidR="000E54C2" w:rsidRPr="00E8065F" w:rsidRDefault="000E54C2" w:rsidP="00D5127A">
            <w:pPr>
              <w:spacing w:line="235" w:lineRule="auto"/>
              <w:jc w:val="center"/>
              <w:rPr>
                <w:color w:val="000000"/>
                <w:sz w:val="20"/>
                <w:szCs w:val="20"/>
              </w:rPr>
            </w:pPr>
          </w:p>
        </w:tc>
        <w:tc>
          <w:tcPr>
            <w:tcW w:w="1111" w:type="dxa"/>
            <w:tcBorders>
              <w:top w:val="nil"/>
              <w:left w:val="single" w:sz="4" w:space="0" w:color="auto"/>
              <w:bottom w:val="single" w:sz="4" w:space="0" w:color="auto"/>
              <w:right w:val="single" w:sz="4" w:space="0" w:color="auto"/>
            </w:tcBorders>
            <w:shd w:val="clear" w:color="auto" w:fill="auto"/>
          </w:tcPr>
          <w:p w:rsidR="000E54C2" w:rsidRPr="00E8065F" w:rsidRDefault="000E54C2" w:rsidP="00D5127A">
            <w:pPr>
              <w:spacing w:line="235" w:lineRule="auto"/>
              <w:jc w:val="center"/>
              <w:rPr>
                <w:color w:val="000000"/>
                <w:sz w:val="20"/>
                <w:szCs w:val="20"/>
              </w:rPr>
            </w:pPr>
          </w:p>
        </w:tc>
        <w:tc>
          <w:tcPr>
            <w:tcW w:w="1944" w:type="dxa"/>
            <w:tcBorders>
              <w:top w:val="nil"/>
              <w:left w:val="single" w:sz="4" w:space="0" w:color="auto"/>
              <w:bottom w:val="single" w:sz="4" w:space="0" w:color="auto"/>
              <w:right w:val="single" w:sz="4" w:space="0" w:color="auto"/>
            </w:tcBorders>
            <w:shd w:val="clear" w:color="auto" w:fill="auto"/>
          </w:tcPr>
          <w:p w:rsidR="000E54C2" w:rsidRPr="00E8065F" w:rsidRDefault="000E54C2" w:rsidP="00D5127A">
            <w:pPr>
              <w:spacing w:line="235" w:lineRule="auto"/>
              <w:jc w:val="center"/>
              <w:rPr>
                <w:color w:val="000000"/>
                <w:sz w:val="20"/>
                <w:szCs w:val="20"/>
              </w:rPr>
            </w:pPr>
            <w:r w:rsidRPr="00E8065F">
              <w:rPr>
                <w:color w:val="000000"/>
                <w:sz w:val="20"/>
                <w:szCs w:val="20"/>
              </w:rPr>
              <w:t>Амбулаторное</w:t>
            </w:r>
          </w:p>
        </w:tc>
      </w:tr>
      <w:tr w:rsidR="00BA1432" w:rsidRPr="00E8065F" w:rsidTr="000546C2">
        <w:trPr>
          <w:trHeight w:val="20"/>
        </w:trPr>
        <w:tc>
          <w:tcPr>
            <w:tcW w:w="1555" w:type="dxa"/>
            <w:vMerge/>
          </w:tcPr>
          <w:p w:rsidR="000E54C2" w:rsidRPr="00E8065F" w:rsidRDefault="000E54C2" w:rsidP="00BA1432">
            <w:pPr>
              <w:rPr>
                <w:sz w:val="20"/>
                <w:szCs w:val="20"/>
              </w:rPr>
            </w:pPr>
          </w:p>
        </w:tc>
        <w:tc>
          <w:tcPr>
            <w:tcW w:w="3685" w:type="dxa"/>
            <w:tcBorders>
              <w:top w:val="nil"/>
              <w:left w:val="single" w:sz="4" w:space="0" w:color="auto"/>
              <w:bottom w:val="single" w:sz="4" w:space="0" w:color="auto"/>
              <w:right w:val="single" w:sz="4" w:space="0" w:color="auto"/>
            </w:tcBorders>
            <w:shd w:val="clear" w:color="auto" w:fill="auto"/>
          </w:tcPr>
          <w:p w:rsidR="000E54C2" w:rsidRPr="00E8065F" w:rsidRDefault="000E54C2" w:rsidP="00DC0475">
            <w:pPr>
              <w:jc w:val="both"/>
              <w:rPr>
                <w:color w:val="000000"/>
                <w:sz w:val="20"/>
                <w:szCs w:val="20"/>
              </w:rPr>
            </w:pPr>
            <w:r>
              <w:rPr>
                <w:color w:val="000000"/>
                <w:sz w:val="20"/>
                <w:szCs w:val="20"/>
              </w:rPr>
              <w:t xml:space="preserve">ГАУЗ </w:t>
            </w:r>
            <w:r w:rsidR="002F7358">
              <w:rPr>
                <w:color w:val="000000"/>
                <w:sz w:val="20"/>
                <w:szCs w:val="20"/>
              </w:rPr>
              <w:t>«</w:t>
            </w:r>
            <w:r>
              <w:rPr>
                <w:color w:val="000000"/>
                <w:sz w:val="20"/>
                <w:szCs w:val="20"/>
              </w:rPr>
              <w:t>Клиника медицинского</w:t>
            </w:r>
            <w:r w:rsidRPr="00E8065F">
              <w:rPr>
                <w:color w:val="000000"/>
                <w:sz w:val="20"/>
                <w:szCs w:val="20"/>
              </w:rPr>
              <w:t xml:space="preserve"> университета</w:t>
            </w:r>
            <w:r w:rsidR="002F7358">
              <w:rPr>
                <w:color w:val="000000"/>
                <w:sz w:val="20"/>
                <w:szCs w:val="20"/>
              </w:rPr>
              <w:t>»</w:t>
            </w:r>
            <w:r w:rsidR="00D5127A">
              <w:rPr>
                <w:color w:val="000000"/>
                <w:sz w:val="20"/>
                <w:szCs w:val="20"/>
              </w:rPr>
              <w:t xml:space="preserve"> г.</w:t>
            </w:r>
            <w:r w:rsidRPr="00E8065F">
              <w:rPr>
                <w:color w:val="000000"/>
                <w:sz w:val="20"/>
                <w:szCs w:val="20"/>
              </w:rPr>
              <w:t>Казани</w:t>
            </w:r>
          </w:p>
        </w:tc>
        <w:tc>
          <w:tcPr>
            <w:tcW w:w="1994" w:type="dxa"/>
            <w:tcBorders>
              <w:top w:val="nil"/>
              <w:left w:val="single" w:sz="4" w:space="0" w:color="auto"/>
              <w:bottom w:val="single" w:sz="4" w:space="0" w:color="auto"/>
              <w:right w:val="single" w:sz="4" w:space="0" w:color="auto"/>
            </w:tcBorders>
            <w:shd w:val="clear" w:color="auto" w:fill="auto"/>
          </w:tcPr>
          <w:p w:rsidR="000E54C2" w:rsidRPr="00E8065F" w:rsidRDefault="000E54C2" w:rsidP="00BA1432">
            <w:pPr>
              <w:jc w:val="center"/>
              <w:rPr>
                <w:color w:val="000000"/>
                <w:sz w:val="20"/>
                <w:szCs w:val="20"/>
              </w:rPr>
            </w:pPr>
            <w:r w:rsidRPr="00E8065F">
              <w:rPr>
                <w:color w:val="000000"/>
                <w:sz w:val="20"/>
                <w:szCs w:val="20"/>
              </w:rPr>
              <w:t>Маммограф</w:t>
            </w:r>
          </w:p>
        </w:tc>
        <w:tc>
          <w:tcPr>
            <w:tcW w:w="1181" w:type="dxa"/>
            <w:shd w:val="clear" w:color="auto" w:fill="auto"/>
          </w:tcPr>
          <w:p w:rsidR="000E54C2" w:rsidRPr="00E8065F" w:rsidRDefault="000E54C2" w:rsidP="000546C2">
            <w:pPr>
              <w:jc w:val="center"/>
              <w:rPr>
                <w:sz w:val="20"/>
                <w:szCs w:val="20"/>
              </w:rPr>
            </w:pPr>
            <w:r w:rsidRPr="00E8065F">
              <w:rPr>
                <w:sz w:val="20"/>
                <w:szCs w:val="20"/>
              </w:rPr>
              <w:t>2023</w:t>
            </w:r>
          </w:p>
        </w:tc>
        <w:tc>
          <w:tcPr>
            <w:tcW w:w="1181" w:type="dxa"/>
            <w:tcBorders>
              <w:top w:val="nil"/>
              <w:left w:val="single" w:sz="4" w:space="0" w:color="auto"/>
              <w:bottom w:val="single" w:sz="4" w:space="0" w:color="auto"/>
              <w:right w:val="single" w:sz="4" w:space="0" w:color="auto"/>
            </w:tcBorders>
            <w:shd w:val="clear" w:color="auto" w:fill="auto"/>
          </w:tcPr>
          <w:p w:rsidR="000E54C2" w:rsidRPr="00E8065F" w:rsidRDefault="000E54C2" w:rsidP="000546C2">
            <w:pPr>
              <w:jc w:val="center"/>
              <w:rPr>
                <w:color w:val="000000"/>
                <w:sz w:val="20"/>
                <w:szCs w:val="20"/>
              </w:rPr>
            </w:pPr>
            <w:r w:rsidRPr="00E8065F">
              <w:rPr>
                <w:color w:val="000000"/>
                <w:sz w:val="20"/>
                <w:szCs w:val="20"/>
              </w:rPr>
              <w:t>1</w:t>
            </w:r>
          </w:p>
        </w:tc>
        <w:tc>
          <w:tcPr>
            <w:tcW w:w="1478" w:type="dxa"/>
            <w:tcBorders>
              <w:top w:val="nil"/>
              <w:left w:val="single" w:sz="4" w:space="0" w:color="auto"/>
              <w:bottom w:val="single" w:sz="4" w:space="0" w:color="auto"/>
              <w:right w:val="single" w:sz="4" w:space="0" w:color="auto"/>
            </w:tcBorders>
            <w:shd w:val="clear" w:color="auto" w:fill="auto"/>
          </w:tcPr>
          <w:p w:rsidR="000E54C2" w:rsidRPr="00E8065F" w:rsidRDefault="000E54C2" w:rsidP="000546C2">
            <w:pPr>
              <w:jc w:val="center"/>
              <w:rPr>
                <w:color w:val="000000"/>
                <w:sz w:val="20"/>
                <w:szCs w:val="20"/>
              </w:rPr>
            </w:pPr>
          </w:p>
        </w:tc>
        <w:tc>
          <w:tcPr>
            <w:tcW w:w="1111" w:type="dxa"/>
            <w:tcBorders>
              <w:top w:val="nil"/>
              <w:left w:val="single" w:sz="4" w:space="0" w:color="auto"/>
              <w:bottom w:val="single" w:sz="4" w:space="0" w:color="auto"/>
              <w:right w:val="single" w:sz="4" w:space="0" w:color="auto"/>
            </w:tcBorders>
            <w:shd w:val="clear" w:color="auto" w:fill="auto"/>
          </w:tcPr>
          <w:p w:rsidR="000E54C2" w:rsidRPr="00E8065F" w:rsidRDefault="000E54C2" w:rsidP="000546C2">
            <w:pPr>
              <w:jc w:val="center"/>
              <w:rPr>
                <w:color w:val="000000"/>
                <w:sz w:val="20"/>
                <w:szCs w:val="20"/>
              </w:rPr>
            </w:pPr>
          </w:p>
        </w:tc>
        <w:tc>
          <w:tcPr>
            <w:tcW w:w="1944" w:type="dxa"/>
            <w:tcBorders>
              <w:top w:val="nil"/>
              <w:left w:val="single" w:sz="4" w:space="0" w:color="auto"/>
              <w:bottom w:val="single" w:sz="4" w:space="0" w:color="auto"/>
              <w:right w:val="single" w:sz="4" w:space="0" w:color="auto"/>
            </w:tcBorders>
            <w:shd w:val="clear" w:color="auto" w:fill="auto"/>
          </w:tcPr>
          <w:p w:rsidR="000E54C2" w:rsidRPr="00E8065F" w:rsidRDefault="000E54C2" w:rsidP="00BA1432">
            <w:pPr>
              <w:jc w:val="center"/>
              <w:rPr>
                <w:color w:val="000000"/>
                <w:sz w:val="20"/>
                <w:szCs w:val="20"/>
              </w:rPr>
            </w:pPr>
            <w:r w:rsidRPr="00E8065F">
              <w:rPr>
                <w:color w:val="000000"/>
                <w:sz w:val="20"/>
                <w:szCs w:val="20"/>
              </w:rPr>
              <w:t>Амбулаторное</w:t>
            </w:r>
          </w:p>
        </w:tc>
      </w:tr>
      <w:tr w:rsidR="00BA1432" w:rsidRPr="00E8065F" w:rsidTr="000546C2">
        <w:trPr>
          <w:trHeight w:val="20"/>
        </w:trPr>
        <w:tc>
          <w:tcPr>
            <w:tcW w:w="1555" w:type="dxa"/>
            <w:vMerge/>
          </w:tcPr>
          <w:p w:rsidR="000E54C2" w:rsidRPr="00E8065F" w:rsidRDefault="000E54C2" w:rsidP="00BA1432">
            <w:pPr>
              <w:rPr>
                <w:sz w:val="20"/>
                <w:szCs w:val="20"/>
              </w:rPr>
            </w:pPr>
          </w:p>
        </w:tc>
        <w:tc>
          <w:tcPr>
            <w:tcW w:w="3685" w:type="dxa"/>
            <w:tcBorders>
              <w:top w:val="nil"/>
              <w:left w:val="single" w:sz="4" w:space="0" w:color="auto"/>
              <w:bottom w:val="single" w:sz="4" w:space="0" w:color="auto"/>
              <w:right w:val="single" w:sz="4" w:space="0" w:color="auto"/>
            </w:tcBorders>
            <w:shd w:val="clear" w:color="auto" w:fill="auto"/>
          </w:tcPr>
          <w:p w:rsidR="000E54C2" w:rsidRPr="00E8065F" w:rsidRDefault="000E54C2" w:rsidP="001164A3">
            <w:pPr>
              <w:jc w:val="both"/>
              <w:rPr>
                <w:color w:val="000000"/>
                <w:sz w:val="20"/>
                <w:szCs w:val="20"/>
              </w:rPr>
            </w:pPr>
            <w:r>
              <w:rPr>
                <w:color w:val="000000"/>
                <w:sz w:val="20"/>
                <w:szCs w:val="20"/>
              </w:rPr>
              <w:t xml:space="preserve">ГАУЗ </w:t>
            </w:r>
            <w:r w:rsidR="002F7358">
              <w:rPr>
                <w:color w:val="000000"/>
                <w:sz w:val="20"/>
                <w:szCs w:val="20"/>
              </w:rPr>
              <w:t>«</w:t>
            </w:r>
            <w:r>
              <w:rPr>
                <w:color w:val="000000"/>
                <w:sz w:val="20"/>
                <w:szCs w:val="20"/>
              </w:rPr>
              <w:t>Госпиталь для ветеранов войн</w:t>
            </w:r>
            <w:r w:rsidR="002F7358">
              <w:rPr>
                <w:color w:val="000000"/>
                <w:sz w:val="20"/>
                <w:szCs w:val="20"/>
              </w:rPr>
              <w:t>»</w:t>
            </w:r>
            <w:r>
              <w:rPr>
                <w:color w:val="000000"/>
                <w:sz w:val="20"/>
                <w:szCs w:val="20"/>
              </w:rPr>
              <w:t xml:space="preserve"> г.Казани</w:t>
            </w:r>
          </w:p>
        </w:tc>
        <w:tc>
          <w:tcPr>
            <w:tcW w:w="1994" w:type="dxa"/>
            <w:tcBorders>
              <w:top w:val="nil"/>
              <w:left w:val="single" w:sz="4" w:space="0" w:color="auto"/>
              <w:bottom w:val="single" w:sz="4" w:space="0" w:color="auto"/>
              <w:right w:val="single" w:sz="4" w:space="0" w:color="auto"/>
            </w:tcBorders>
            <w:shd w:val="clear" w:color="auto" w:fill="auto"/>
          </w:tcPr>
          <w:p w:rsidR="000E54C2" w:rsidRPr="00E8065F" w:rsidRDefault="000E54C2" w:rsidP="00BA1432">
            <w:pPr>
              <w:jc w:val="center"/>
              <w:rPr>
                <w:color w:val="000000"/>
                <w:sz w:val="20"/>
                <w:szCs w:val="20"/>
              </w:rPr>
            </w:pPr>
            <w:r w:rsidRPr="00E8065F">
              <w:rPr>
                <w:color w:val="000000"/>
                <w:sz w:val="20"/>
                <w:szCs w:val="20"/>
              </w:rPr>
              <w:t>Маммограф</w:t>
            </w:r>
          </w:p>
        </w:tc>
        <w:tc>
          <w:tcPr>
            <w:tcW w:w="1181" w:type="dxa"/>
            <w:shd w:val="clear" w:color="auto" w:fill="auto"/>
          </w:tcPr>
          <w:p w:rsidR="000E54C2" w:rsidRPr="00E8065F" w:rsidRDefault="000E54C2" w:rsidP="000546C2">
            <w:pPr>
              <w:jc w:val="center"/>
              <w:rPr>
                <w:sz w:val="20"/>
                <w:szCs w:val="20"/>
              </w:rPr>
            </w:pPr>
            <w:r w:rsidRPr="00E8065F">
              <w:rPr>
                <w:sz w:val="20"/>
                <w:szCs w:val="20"/>
              </w:rPr>
              <w:t>2021</w:t>
            </w:r>
          </w:p>
        </w:tc>
        <w:tc>
          <w:tcPr>
            <w:tcW w:w="1181" w:type="dxa"/>
            <w:tcBorders>
              <w:top w:val="nil"/>
              <w:left w:val="single" w:sz="4" w:space="0" w:color="auto"/>
              <w:bottom w:val="single" w:sz="4" w:space="0" w:color="auto"/>
              <w:right w:val="single" w:sz="4" w:space="0" w:color="auto"/>
            </w:tcBorders>
            <w:shd w:val="clear" w:color="auto" w:fill="auto"/>
          </w:tcPr>
          <w:p w:rsidR="000E54C2" w:rsidRPr="00E8065F" w:rsidRDefault="000E54C2" w:rsidP="000546C2">
            <w:pPr>
              <w:jc w:val="center"/>
              <w:rPr>
                <w:color w:val="000000"/>
                <w:sz w:val="20"/>
                <w:szCs w:val="20"/>
              </w:rPr>
            </w:pPr>
            <w:r w:rsidRPr="00E8065F">
              <w:rPr>
                <w:color w:val="000000"/>
                <w:sz w:val="20"/>
                <w:szCs w:val="20"/>
              </w:rPr>
              <w:t>1</w:t>
            </w:r>
          </w:p>
        </w:tc>
        <w:tc>
          <w:tcPr>
            <w:tcW w:w="1478" w:type="dxa"/>
            <w:tcBorders>
              <w:top w:val="nil"/>
              <w:left w:val="single" w:sz="4" w:space="0" w:color="auto"/>
              <w:bottom w:val="single" w:sz="4" w:space="0" w:color="auto"/>
              <w:right w:val="single" w:sz="4" w:space="0" w:color="auto"/>
            </w:tcBorders>
            <w:shd w:val="clear" w:color="auto" w:fill="auto"/>
          </w:tcPr>
          <w:p w:rsidR="000E54C2" w:rsidRPr="00E8065F" w:rsidRDefault="000E54C2" w:rsidP="000546C2">
            <w:pPr>
              <w:jc w:val="center"/>
              <w:rPr>
                <w:color w:val="000000"/>
                <w:sz w:val="20"/>
                <w:szCs w:val="20"/>
              </w:rPr>
            </w:pPr>
            <w:r w:rsidRPr="00E8065F">
              <w:rPr>
                <w:color w:val="000000"/>
                <w:sz w:val="20"/>
                <w:szCs w:val="20"/>
              </w:rPr>
              <w:t>18</w:t>
            </w:r>
          </w:p>
        </w:tc>
        <w:tc>
          <w:tcPr>
            <w:tcW w:w="1111" w:type="dxa"/>
            <w:tcBorders>
              <w:top w:val="nil"/>
              <w:left w:val="single" w:sz="4" w:space="0" w:color="auto"/>
              <w:bottom w:val="single" w:sz="4" w:space="0" w:color="auto"/>
              <w:right w:val="single" w:sz="4" w:space="0" w:color="auto"/>
            </w:tcBorders>
            <w:shd w:val="clear" w:color="auto" w:fill="auto"/>
          </w:tcPr>
          <w:p w:rsidR="000E54C2" w:rsidRPr="00E8065F" w:rsidRDefault="000E54C2" w:rsidP="000546C2">
            <w:pPr>
              <w:jc w:val="center"/>
              <w:rPr>
                <w:color w:val="000000"/>
                <w:sz w:val="20"/>
                <w:szCs w:val="20"/>
              </w:rPr>
            </w:pPr>
            <w:r w:rsidRPr="00E8065F">
              <w:rPr>
                <w:color w:val="000000"/>
                <w:sz w:val="20"/>
                <w:szCs w:val="20"/>
              </w:rPr>
              <w:t>2</w:t>
            </w:r>
          </w:p>
        </w:tc>
        <w:tc>
          <w:tcPr>
            <w:tcW w:w="1944" w:type="dxa"/>
            <w:tcBorders>
              <w:top w:val="nil"/>
              <w:left w:val="single" w:sz="4" w:space="0" w:color="auto"/>
              <w:bottom w:val="single" w:sz="4" w:space="0" w:color="auto"/>
              <w:right w:val="single" w:sz="4" w:space="0" w:color="auto"/>
            </w:tcBorders>
            <w:shd w:val="clear" w:color="auto" w:fill="auto"/>
          </w:tcPr>
          <w:p w:rsidR="000E54C2" w:rsidRPr="00E8065F" w:rsidRDefault="000E54C2" w:rsidP="00BA1432">
            <w:pPr>
              <w:jc w:val="center"/>
              <w:rPr>
                <w:color w:val="000000"/>
                <w:sz w:val="20"/>
                <w:szCs w:val="20"/>
              </w:rPr>
            </w:pPr>
            <w:r w:rsidRPr="00E8065F">
              <w:rPr>
                <w:color w:val="000000"/>
                <w:sz w:val="20"/>
                <w:szCs w:val="20"/>
              </w:rPr>
              <w:t>Амбулаторное</w:t>
            </w:r>
          </w:p>
        </w:tc>
      </w:tr>
      <w:tr w:rsidR="00BA1432" w:rsidRPr="00E8065F" w:rsidTr="000546C2">
        <w:trPr>
          <w:trHeight w:val="20"/>
        </w:trPr>
        <w:tc>
          <w:tcPr>
            <w:tcW w:w="1555" w:type="dxa"/>
            <w:vMerge/>
          </w:tcPr>
          <w:p w:rsidR="000E54C2" w:rsidRPr="00E8065F" w:rsidRDefault="000E54C2" w:rsidP="00BA1432">
            <w:pPr>
              <w:rPr>
                <w:sz w:val="20"/>
                <w:szCs w:val="20"/>
              </w:rPr>
            </w:pPr>
          </w:p>
        </w:tc>
        <w:tc>
          <w:tcPr>
            <w:tcW w:w="3685" w:type="dxa"/>
            <w:tcBorders>
              <w:top w:val="nil"/>
              <w:left w:val="single" w:sz="4" w:space="0" w:color="auto"/>
              <w:bottom w:val="single" w:sz="4" w:space="0" w:color="auto"/>
              <w:right w:val="single" w:sz="4" w:space="0" w:color="auto"/>
            </w:tcBorders>
            <w:shd w:val="clear" w:color="auto" w:fill="auto"/>
          </w:tcPr>
          <w:p w:rsidR="000E54C2" w:rsidRPr="00E8065F" w:rsidRDefault="000E54C2" w:rsidP="001164A3">
            <w:pPr>
              <w:jc w:val="both"/>
              <w:rPr>
                <w:color w:val="000000"/>
                <w:sz w:val="20"/>
                <w:szCs w:val="20"/>
              </w:rPr>
            </w:pPr>
            <w:r>
              <w:rPr>
                <w:color w:val="000000"/>
                <w:sz w:val="20"/>
                <w:szCs w:val="20"/>
              </w:rPr>
              <w:t xml:space="preserve">ГАУЗ </w:t>
            </w:r>
            <w:r w:rsidR="002F7358">
              <w:rPr>
                <w:rFonts w:eastAsia="Calibri"/>
                <w:sz w:val="20"/>
                <w:szCs w:val="20"/>
              </w:rPr>
              <w:t>«</w:t>
            </w:r>
            <w:r>
              <w:rPr>
                <w:rFonts w:eastAsia="Calibri"/>
                <w:sz w:val="20"/>
                <w:szCs w:val="20"/>
              </w:rPr>
              <w:t>Республиканская клиническая больница Министерства здравоохранения Республики Татарстан</w:t>
            </w:r>
            <w:r w:rsidR="002F7358">
              <w:rPr>
                <w:rFonts w:eastAsia="Calibri"/>
                <w:sz w:val="20"/>
                <w:szCs w:val="20"/>
              </w:rPr>
              <w:t>»</w:t>
            </w:r>
          </w:p>
        </w:tc>
        <w:tc>
          <w:tcPr>
            <w:tcW w:w="1994" w:type="dxa"/>
            <w:tcBorders>
              <w:top w:val="nil"/>
              <w:left w:val="single" w:sz="4" w:space="0" w:color="auto"/>
              <w:bottom w:val="single" w:sz="4" w:space="0" w:color="auto"/>
              <w:right w:val="single" w:sz="4" w:space="0" w:color="auto"/>
            </w:tcBorders>
            <w:shd w:val="clear" w:color="auto" w:fill="auto"/>
          </w:tcPr>
          <w:p w:rsidR="000E54C2" w:rsidRPr="00E8065F" w:rsidRDefault="000E54C2" w:rsidP="00BA1432">
            <w:pPr>
              <w:jc w:val="center"/>
              <w:rPr>
                <w:color w:val="000000"/>
                <w:sz w:val="20"/>
                <w:szCs w:val="20"/>
              </w:rPr>
            </w:pPr>
            <w:r w:rsidRPr="00E8065F">
              <w:rPr>
                <w:color w:val="000000"/>
                <w:sz w:val="20"/>
                <w:szCs w:val="20"/>
              </w:rPr>
              <w:t>Маммограф</w:t>
            </w:r>
          </w:p>
        </w:tc>
        <w:tc>
          <w:tcPr>
            <w:tcW w:w="1181" w:type="dxa"/>
            <w:shd w:val="clear" w:color="auto" w:fill="auto"/>
          </w:tcPr>
          <w:p w:rsidR="000E54C2" w:rsidRPr="00E8065F" w:rsidRDefault="000E54C2" w:rsidP="000546C2">
            <w:pPr>
              <w:jc w:val="center"/>
              <w:rPr>
                <w:sz w:val="20"/>
                <w:szCs w:val="20"/>
              </w:rPr>
            </w:pPr>
            <w:r w:rsidRPr="00E8065F">
              <w:rPr>
                <w:sz w:val="20"/>
                <w:szCs w:val="20"/>
              </w:rPr>
              <w:t>2023</w:t>
            </w:r>
            <w:r w:rsidR="00AA5FB3">
              <w:rPr>
                <w:sz w:val="20"/>
                <w:szCs w:val="20"/>
              </w:rPr>
              <w:t xml:space="preserve"> </w:t>
            </w:r>
            <w:r w:rsidR="00B7341A">
              <w:rPr>
                <w:sz w:val="20"/>
                <w:szCs w:val="20"/>
              </w:rPr>
              <w:t>(1)</w:t>
            </w:r>
          </w:p>
          <w:p w:rsidR="000E54C2" w:rsidRPr="00E8065F" w:rsidRDefault="000E54C2" w:rsidP="000546C2">
            <w:pPr>
              <w:jc w:val="center"/>
              <w:rPr>
                <w:sz w:val="20"/>
                <w:szCs w:val="20"/>
              </w:rPr>
            </w:pPr>
            <w:r w:rsidRPr="00E8065F">
              <w:rPr>
                <w:sz w:val="20"/>
                <w:szCs w:val="20"/>
              </w:rPr>
              <w:t>2024</w:t>
            </w:r>
            <w:r w:rsidR="00AA5FB3">
              <w:rPr>
                <w:sz w:val="20"/>
                <w:szCs w:val="20"/>
              </w:rPr>
              <w:t xml:space="preserve"> </w:t>
            </w:r>
            <w:r w:rsidR="00B7341A">
              <w:rPr>
                <w:sz w:val="20"/>
                <w:szCs w:val="20"/>
              </w:rPr>
              <w:t>(1)</w:t>
            </w:r>
          </w:p>
        </w:tc>
        <w:tc>
          <w:tcPr>
            <w:tcW w:w="1181" w:type="dxa"/>
            <w:tcBorders>
              <w:top w:val="nil"/>
              <w:left w:val="single" w:sz="4" w:space="0" w:color="auto"/>
              <w:bottom w:val="single" w:sz="4" w:space="0" w:color="auto"/>
              <w:right w:val="single" w:sz="4" w:space="0" w:color="auto"/>
            </w:tcBorders>
            <w:shd w:val="clear" w:color="auto" w:fill="auto"/>
          </w:tcPr>
          <w:p w:rsidR="000E54C2" w:rsidRPr="00E8065F" w:rsidRDefault="000E54C2" w:rsidP="000546C2">
            <w:pPr>
              <w:jc w:val="center"/>
              <w:rPr>
                <w:color w:val="000000"/>
                <w:sz w:val="20"/>
                <w:szCs w:val="20"/>
              </w:rPr>
            </w:pPr>
            <w:r w:rsidRPr="00E8065F">
              <w:rPr>
                <w:color w:val="000000"/>
                <w:sz w:val="20"/>
                <w:szCs w:val="20"/>
              </w:rPr>
              <w:t>2</w:t>
            </w:r>
          </w:p>
        </w:tc>
        <w:tc>
          <w:tcPr>
            <w:tcW w:w="1478" w:type="dxa"/>
            <w:tcBorders>
              <w:top w:val="nil"/>
              <w:left w:val="single" w:sz="4" w:space="0" w:color="auto"/>
              <w:bottom w:val="single" w:sz="4" w:space="0" w:color="auto"/>
              <w:right w:val="single" w:sz="4" w:space="0" w:color="auto"/>
            </w:tcBorders>
            <w:shd w:val="clear" w:color="auto" w:fill="auto"/>
          </w:tcPr>
          <w:p w:rsidR="000E54C2" w:rsidRPr="00E8065F" w:rsidRDefault="000E54C2" w:rsidP="000546C2">
            <w:pPr>
              <w:jc w:val="center"/>
              <w:rPr>
                <w:color w:val="000000"/>
                <w:sz w:val="20"/>
                <w:szCs w:val="20"/>
              </w:rPr>
            </w:pPr>
            <w:r w:rsidRPr="00E8065F">
              <w:rPr>
                <w:color w:val="000000"/>
                <w:sz w:val="20"/>
                <w:szCs w:val="20"/>
              </w:rPr>
              <w:t>13</w:t>
            </w:r>
          </w:p>
        </w:tc>
        <w:tc>
          <w:tcPr>
            <w:tcW w:w="1111" w:type="dxa"/>
            <w:tcBorders>
              <w:top w:val="nil"/>
              <w:left w:val="single" w:sz="4" w:space="0" w:color="auto"/>
              <w:bottom w:val="single" w:sz="4" w:space="0" w:color="auto"/>
              <w:right w:val="single" w:sz="4" w:space="0" w:color="auto"/>
            </w:tcBorders>
            <w:shd w:val="clear" w:color="auto" w:fill="auto"/>
          </w:tcPr>
          <w:p w:rsidR="000E54C2" w:rsidRPr="00E8065F" w:rsidRDefault="000E54C2" w:rsidP="000546C2">
            <w:pPr>
              <w:jc w:val="center"/>
              <w:rPr>
                <w:color w:val="000000"/>
                <w:sz w:val="20"/>
                <w:szCs w:val="20"/>
              </w:rPr>
            </w:pPr>
            <w:r w:rsidRPr="00E8065F">
              <w:rPr>
                <w:color w:val="000000"/>
                <w:sz w:val="20"/>
                <w:szCs w:val="20"/>
              </w:rPr>
              <w:t>2</w:t>
            </w:r>
          </w:p>
        </w:tc>
        <w:tc>
          <w:tcPr>
            <w:tcW w:w="1944" w:type="dxa"/>
            <w:tcBorders>
              <w:top w:val="nil"/>
              <w:left w:val="single" w:sz="4" w:space="0" w:color="auto"/>
              <w:bottom w:val="single" w:sz="4" w:space="0" w:color="auto"/>
              <w:right w:val="single" w:sz="4" w:space="0" w:color="auto"/>
            </w:tcBorders>
            <w:shd w:val="clear" w:color="auto" w:fill="auto"/>
          </w:tcPr>
          <w:p w:rsidR="000E54C2" w:rsidRPr="00E8065F" w:rsidRDefault="000E54C2" w:rsidP="00BA1432">
            <w:pPr>
              <w:jc w:val="center"/>
              <w:rPr>
                <w:color w:val="000000"/>
                <w:sz w:val="20"/>
                <w:szCs w:val="20"/>
              </w:rPr>
            </w:pPr>
            <w:r w:rsidRPr="00E8065F">
              <w:rPr>
                <w:color w:val="000000"/>
                <w:sz w:val="20"/>
                <w:szCs w:val="20"/>
              </w:rPr>
              <w:t>Стационарное</w:t>
            </w:r>
          </w:p>
        </w:tc>
      </w:tr>
      <w:tr w:rsidR="00BA1432" w:rsidRPr="00E8065F" w:rsidTr="000546C2">
        <w:trPr>
          <w:trHeight w:val="20"/>
        </w:trPr>
        <w:tc>
          <w:tcPr>
            <w:tcW w:w="1555" w:type="dxa"/>
            <w:vMerge/>
          </w:tcPr>
          <w:p w:rsidR="000E54C2" w:rsidRPr="00E8065F" w:rsidRDefault="000E54C2" w:rsidP="00BA1432">
            <w:pPr>
              <w:rPr>
                <w:sz w:val="20"/>
                <w:szCs w:val="20"/>
              </w:rPr>
            </w:pPr>
          </w:p>
        </w:tc>
        <w:tc>
          <w:tcPr>
            <w:tcW w:w="3685" w:type="dxa"/>
            <w:tcBorders>
              <w:top w:val="nil"/>
              <w:left w:val="single" w:sz="4" w:space="0" w:color="auto"/>
              <w:bottom w:val="single" w:sz="4" w:space="0" w:color="auto"/>
              <w:right w:val="single" w:sz="4" w:space="0" w:color="auto"/>
            </w:tcBorders>
            <w:shd w:val="clear" w:color="auto" w:fill="auto"/>
          </w:tcPr>
          <w:p w:rsidR="000E54C2" w:rsidRPr="00E8065F" w:rsidRDefault="000E54C2" w:rsidP="001164A3">
            <w:pPr>
              <w:pStyle w:val="2"/>
              <w:keepNext w:val="0"/>
              <w:keepLines w:val="0"/>
              <w:shd w:val="clear" w:color="auto" w:fill="FFFFFF"/>
              <w:spacing w:before="0"/>
              <w:jc w:val="both"/>
              <w:outlineLvl w:val="1"/>
              <w:rPr>
                <w:color w:val="000000"/>
                <w:sz w:val="20"/>
                <w:szCs w:val="20"/>
              </w:rPr>
            </w:pPr>
            <w:r w:rsidRPr="00DF794F">
              <w:rPr>
                <w:rFonts w:ascii="Times New Roman" w:hAnsi="Times New Roman"/>
                <w:b w:val="0"/>
                <w:color w:val="000000"/>
                <w:sz w:val="20"/>
                <w:szCs w:val="20"/>
              </w:rPr>
              <w:t>ГАУЗ</w:t>
            </w:r>
            <w:r w:rsidR="001164A3">
              <w:rPr>
                <w:rFonts w:ascii="Times New Roman" w:hAnsi="Times New Roman"/>
                <w:b w:val="0"/>
                <w:color w:val="000000"/>
                <w:sz w:val="20"/>
                <w:szCs w:val="20"/>
                <w:lang w:val="ru-RU"/>
              </w:rPr>
              <w:t xml:space="preserve"> </w:t>
            </w:r>
            <w:r w:rsidR="002F7358">
              <w:rPr>
                <w:rFonts w:ascii="Times New Roman" w:hAnsi="Times New Roman"/>
                <w:color w:val="000000"/>
                <w:sz w:val="20"/>
                <w:szCs w:val="20"/>
              </w:rPr>
              <w:t>«</w:t>
            </w:r>
            <w:r w:rsidRPr="001164A3">
              <w:rPr>
                <w:rFonts w:ascii="Times New Roman" w:eastAsia="Calibri" w:hAnsi="Times New Roman"/>
                <w:b w:val="0"/>
                <w:bCs w:val="0"/>
                <w:color w:val="auto"/>
                <w:sz w:val="20"/>
                <w:szCs w:val="20"/>
                <w:lang w:val="ru-RU"/>
              </w:rPr>
              <w:t>Республиканский клинический кожно-венерологический диспансер</w:t>
            </w:r>
            <w:r w:rsidR="001164A3" w:rsidRPr="001164A3">
              <w:rPr>
                <w:rFonts w:ascii="Times New Roman" w:eastAsia="Calibri" w:hAnsi="Times New Roman"/>
                <w:b w:val="0"/>
                <w:bCs w:val="0"/>
                <w:color w:val="auto"/>
                <w:sz w:val="20"/>
                <w:szCs w:val="20"/>
                <w:lang w:val="ru-RU"/>
              </w:rPr>
              <w:t xml:space="preserve"> </w:t>
            </w:r>
            <w:r w:rsidRPr="001164A3">
              <w:rPr>
                <w:rFonts w:ascii="Times New Roman" w:eastAsia="Calibri" w:hAnsi="Times New Roman"/>
                <w:b w:val="0"/>
                <w:bCs w:val="0"/>
                <w:color w:val="auto"/>
                <w:sz w:val="20"/>
                <w:szCs w:val="20"/>
                <w:lang w:val="ru-RU"/>
              </w:rPr>
              <w:t xml:space="preserve">Министерства здравоохранения Республики Татарстан </w:t>
            </w:r>
            <w:r w:rsidR="001164A3" w:rsidRPr="001164A3">
              <w:rPr>
                <w:rFonts w:ascii="Times New Roman" w:eastAsia="Calibri" w:hAnsi="Times New Roman"/>
                <w:b w:val="0"/>
                <w:bCs w:val="0"/>
                <w:color w:val="auto"/>
                <w:sz w:val="20"/>
                <w:szCs w:val="20"/>
                <w:lang w:val="ru-RU"/>
              </w:rPr>
              <w:t>им.</w:t>
            </w:r>
            <w:r w:rsidRPr="001164A3">
              <w:rPr>
                <w:rFonts w:ascii="Times New Roman" w:eastAsia="Calibri" w:hAnsi="Times New Roman"/>
                <w:b w:val="0"/>
                <w:bCs w:val="0"/>
                <w:color w:val="auto"/>
                <w:sz w:val="20"/>
                <w:szCs w:val="20"/>
                <w:lang w:val="ru-RU"/>
              </w:rPr>
              <w:t>проф.А.Г.Ге</w:t>
            </w:r>
            <w:r w:rsidR="002F7358" w:rsidRPr="001164A3">
              <w:rPr>
                <w:rFonts w:ascii="Times New Roman" w:eastAsia="Calibri" w:hAnsi="Times New Roman"/>
                <w:b w:val="0"/>
                <w:bCs w:val="0"/>
                <w:color w:val="auto"/>
                <w:sz w:val="20"/>
                <w:szCs w:val="20"/>
                <w:lang w:val="ru-RU"/>
              </w:rPr>
              <w:t>»</w:t>
            </w:r>
          </w:p>
        </w:tc>
        <w:tc>
          <w:tcPr>
            <w:tcW w:w="1994" w:type="dxa"/>
            <w:tcBorders>
              <w:top w:val="nil"/>
              <w:left w:val="single" w:sz="4" w:space="0" w:color="auto"/>
              <w:bottom w:val="single" w:sz="4" w:space="0" w:color="auto"/>
              <w:right w:val="single" w:sz="4" w:space="0" w:color="auto"/>
            </w:tcBorders>
            <w:shd w:val="clear" w:color="auto" w:fill="auto"/>
          </w:tcPr>
          <w:p w:rsidR="000E54C2" w:rsidRPr="00E8065F" w:rsidRDefault="000E54C2" w:rsidP="00BA1432">
            <w:pPr>
              <w:jc w:val="center"/>
              <w:rPr>
                <w:color w:val="000000"/>
                <w:sz w:val="20"/>
                <w:szCs w:val="20"/>
              </w:rPr>
            </w:pPr>
            <w:r w:rsidRPr="00E8065F">
              <w:rPr>
                <w:color w:val="000000"/>
                <w:sz w:val="20"/>
                <w:szCs w:val="20"/>
              </w:rPr>
              <w:t>Маммограф</w:t>
            </w:r>
          </w:p>
        </w:tc>
        <w:tc>
          <w:tcPr>
            <w:tcW w:w="1181" w:type="dxa"/>
            <w:shd w:val="clear" w:color="auto" w:fill="auto"/>
          </w:tcPr>
          <w:p w:rsidR="000E54C2" w:rsidRPr="00E8065F" w:rsidRDefault="000E54C2" w:rsidP="000546C2">
            <w:pPr>
              <w:jc w:val="center"/>
              <w:rPr>
                <w:sz w:val="20"/>
                <w:szCs w:val="20"/>
              </w:rPr>
            </w:pPr>
          </w:p>
        </w:tc>
        <w:tc>
          <w:tcPr>
            <w:tcW w:w="1181" w:type="dxa"/>
            <w:tcBorders>
              <w:top w:val="nil"/>
              <w:left w:val="single" w:sz="4" w:space="0" w:color="auto"/>
              <w:bottom w:val="single" w:sz="4" w:space="0" w:color="auto"/>
              <w:right w:val="single" w:sz="4" w:space="0" w:color="auto"/>
            </w:tcBorders>
            <w:shd w:val="clear" w:color="auto" w:fill="auto"/>
          </w:tcPr>
          <w:p w:rsidR="000E54C2" w:rsidRPr="00E8065F" w:rsidRDefault="000E54C2" w:rsidP="000546C2">
            <w:pPr>
              <w:jc w:val="center"/>
              <w:rPr>
                <w:color w:val="000000"/>
                <w:sz w:val="20"/>
                <w:szCs w:val="20"/>
              </w:rPr>
            </w:pPr>
            <w:r w:rsidRPr="00E8065F">
              <w:rPr>
                <w:color w:val="000000"/>
                <w:sz w:val="20"/>
                <w:szCs w:val="20"/>
              </w:rPr>
              <w:t>1</w:t>
            </w:r>
          </w:p>
        </w:tc>
        <w:tc>
          <w:tcPr>
            <w:tcW w:w="1478" w:type="dxa"/>
            <w:tcBorders>
              <w:top w:val="nil"/>
              <w:left w:val="single" w:sz="4" w:space="0" w:color="auto"/>
              <w:bottom w:val="single" w:sz="4" w:space="0" w:color="auto"/>
              <w:right w:val="single" w:sz="4" w:space="0" w:color="auto"/>
            </w:tcBorders>
            <w:shd w:val="clear" w:color="auto" w:fill="auto"/>
          </w:tcPr>
          <w:p w:rsidR="000E54C2" w:rsidRPr="00E8065F" w:rsidRDefault="000E54C2" w:rsidP="000546C2">
            <w:pPr>
              <w:jc w:val="center"/>
              <w:rPr>
                <w:color w:val="000000"/>
                <w:sz w:val="20"/>
                <w:szCs w:val="20"/>
              </w:rPr>
            </w:pPr>
            <w:r w:rsidRPr="00E8065F">
              <w:rPr>
                <w:color w:val="000000"/>
                <w:sz w:val="20"/>
                <w:szCs w:val="20"/>
              </w:rPr>
              <w:t>44</w:t>
            </w:r>
          </w:p>
        </w:tc>
        <w:tc>
          <w:tcPr>
            <w:tcW w:w="1111" w:type="dxa"/>
            <w:tcBorders>
              <w:top w:val="nil"/>
              <w:left w:val="single" w:sz="4" w:space="0" w:color="auto"/>
              <w:bottom w:val="single" w:sz="4" w:space="0" w:color="auto"/>
              <w:right w:val="single" w:sz="4" w:space="0" w:color="auto"/>
            </w:tcBorders>
            <w:shd w:val="clear" w:color="auto" w:fill="auto"/>
          </w:tcPr>
          <w:p w:rsidR="000E54C2" w:rsidRPr="00E8065F" w:rsidRDefault="000E54C2" w:rsidP="000546C2">
            <w:pPr>
              <w:jc w:val="center"/>
              <w:rPr>
                <w:color w:val="000000"/>
                <w:sz w:val="20"/>
                <w:szCs w:val="20"/>
              </w:rPr>
            </w:pPr>
            <w:r w:rsidRPr="00E8065F">
              <w:rPr>
                <w:color w:val="000000"/>
                <w:sz w:val="20"/>
                <w:szCs w:val="20"/>
              </w:rPr>
              <w:t>2</w:t>
            </w:r>
          </w:p>
        </w:tc>
        <w:tc>
          <w:tcPr>
            <w:tcW w:w="1944" w:type="dxa"/>
            <w:tcBorders>
              <w:top w:val="nil"/>
              <w:left w:val="single" w:sz="4" w:space="0" w:color="auto"/>
              <w:bottom w:val="single" w:sz="4" w:space="0" w:color="auto"/>
              <w:right w:val="single" w:sz="4" w:space="0" w:color="auto"/>
            </w:tcBorders>
            <w:shd w:val="clear" w:color="auto" w:fill="auto"/>
          </w:tcPr>
          <w:p w:rsidR="000E54C2" w:rsidRPr="00E8065F" w:rsidRDefault="000E54C2" w:rsidP="00BA1432">
            <w:pPr>
              <w:jc w:val="center"/>
              <w:rPr>
                <w:color w:val="000000"/>
                <w:sz w:val="20"/>
                <w:szCs w:val="20"/>
              </w:rPr>
            </w:pPr>
            <w:r w:rsidRPr="00E8065F">
              <w:rPr>
                <w:color w:val="000000"/>
                <w:sz w:val="20"/>
                <w:szCs w:val="20"/>
              </w:rPr>
              <w:t>Амбулаторное</w:t>
            </w:r>
          </w:p>
        </w:tc>
      </w:tr>
      <w:tr w:rsidR="00BA1432" w:rsidRPr="00E8065F" w:rsidTr="000546C2">
        <w:trPr>
          <w:trHeight w:val="20"/>
        </w:trPr>
        <w:tc>
          <w:tcPr>
            <w:tcW w:w="1555" w:type="dxa"/>
            <w:vMerge/>
          </w:tcPr>
          <w:p w:rsidR="000E54C2" w:rsidRPr="00E8065F" w:rsidRDefault="000E54C2" w:rsidP="00BA1432">
            <w:pPr>
              <w:rPr>
                <w:sz w:val="20"/>
                <w:szCs w:val="20"/>
              </w:rPr>
            </w:pPr>
          </w:p>
        </w:tc>
        <w:tc>
          <w:tcPr>
            <w:tcW w:w="3685" w:type="dxa"/>
            <w:tcBorders>
              <w:top w:val="nil"/>
              <w:left w:val="single" w:sz="4" w:space="0" w:color="auto"/>
              <w:bottom w:val="single" w:sz="4" w:space="0" w:color="auto"/>
              <w:right w:val="single" w:sz="4" w:space="0" w:color="auto"/>
            </w:tcBorders>
            <w:shd w:val="clear" w:color="auto" w:fill="auto"/>
          </w:tcPr>
          <w:p w:rsidR="000E54C2" w:rsidRPr="00E8065F" w:rsidRDefault="000E54C2" w:rsidP="001164A3">
            <w:pPr>
              <w:jc w:val="both"/>
              <w:rPr>
                <w:color w:val="000000"/>
                <w:sz w:val="20"/>
                <w:szCs w:val="20"/>
              </w:rPr>
            </w:pPr>
            <w:r w:rsidRPr="00E8065F">
              <w:rPr>
                <w:color w:val="000000"/>
                <w:sz w:val="20"/>
                <w:szCs w:val="20"/>
              </w:rPr>
              <w:t xml:space="preserve">ГАУЗ </w:t>
            </w:r>
            <w:r w:rsidR="002F7358">
              <w:rPr>
                <w:color w:val="000000"/>
                <w:sz w:val="20"/>
                <w:szCs w:val="20"/>
              </w:rPr>
              <w:t>«</w:t>
            </w:r>
            <w:r w:rsidR="001164A3">
              <w:rPr>
                <w:color w:val="000000"/>
                <w:sz w:val="20"/>
                <w:szCs w:val="20"/>
              </w:rPr>
              <w:t>РКОД МЗ РТ им.</w:t>
            </w:r>
            <w:r w:rsidRPr="00E8065F">
              <w:rPr>
                <w:color w:val="000000"/>
                <w:sz w:val="20"/>
                <w:szCs w:val="20"/>
              </w:rPr>
              <w:t>проф.М.З.Сигала</w:t>
            </w:r>
            <w:r w:rsidR="002F7358">
              <w:rPr>
                <w:color w:val="000000"/>
                <w:sz w:val="20"/>
                <w:szCs w:val="20"/>
              </w:rPr>
              <w:t>»</w:t>
            </w:r>
          </w:p>
        </w:tc>
        <w:tc>
          <w:tcPr>
            <w:tcW w:w="1994" w:type="dxa"/>
            <w:tcBorders>
              <w:top w:val="nil"/>
              <w:left w:val="single" w:sz="4" w:space="0" w:color="auto"/>
              <w:bottom w:val="single" w:sz="4" w:space="0" w:color="auto"/>
              <w:right w:val="single" w:sz="4" w:space="0" w:color="auto"/>
            </w:tcBorders>
            <w:shd w:val="clear" w:color="auto" w:fill="auto"/>
          </w:tcPr>
          <w:p w:rsidR="000E54C2" w:rsidRPr="00E8065F" w:rsidRDefault="000E54C2" w:rsidP="00BA1432">
            <w:pPr>
              <w:jc w:val="center"/>
              <w:rPr>
                <w:color w:val="000000"/>
                <w:sz w:val="20"/>
                <w:szCs w:val="20"/>
              </w:rPr>
            </w:pPr>
            <w:r w:rsidRPr="00E8065F">
              <w:rPr>
                <w:color w:val="000000"/>
                <w:sz w:val="20"/>
                <w:szCs w:val="20"/>
              </w:rPr>
              <w:t>Маммограф</w:t>
            </w:r>
          </w:p>
        </w:tc>
        <w:tc>
          <w:tcPr>
            <w:tcW w:w="1181" w:type="dxa"/>
            <w:shd w:val="clear" w:color="auto" w:fill="auto"/>
          </w:tcPr>
          <w:p w:rsidR="000E54C2" w:rsidRPr="00E8065F" w:rsidRDefault="000E54C2" w:rsidP="000546C2">
            <w:pPr>
              <w:jc w:val="center"/>
              <w:rPr>
                <w:sz w:val="20"/>
                <w:szCs w:val="20"/>
              </w:rPr>
            </w:pPr>
            <w:r w:rsidRPr="00E8065F">
              <w:rPr>
                <w:sz w:val="20"/>
                <w:szCs w:val="20"/>
              </w:rPr>
              <w:t>2010</w:t>
            </w:r>
            <w:r w:rsidR="00AA5FB3">
              <w:rPr>
                <w:sz w:val="20"/>
                <w:szCs w:val="20"/>
              </w:rPr>
              <w:t xml:space="preserve"> </w:t>
            </w:r>
            <w:r w:rsidR="00B7341A">
              <w:rPr>
                <w:sz w:val="20"/>
                <w:szCs w:val="20"/>
              </w:rPr>
              <w:t>(2)</w:t>
            </w:r>
          </w:p>
          <w:p w:rsidR="000E54C2" w:rsidRPr="00E8065F" w:rsidRDefault="000E54C2" w:rsidP="000546C2">
            <w:pPr>
              <w:jc w:val="center"/>
              <w:rPr>
                <w:sz w:val="20"/>
                <w:szCs w:val="20"/>
              </w:rPr>
            </w:pPr>
            <w:r w:rsidRPr="00E8065F">
              <w:rPr>
                <w:sz w:val="20"/>
                <w:szCs w:val="20"/>
              </w:rPr>
              <w:t>2012</w:t>
            </w:r>
            <w:r w:rsidR="00AA5FB3">
              <w:rPr>
                <w:sz w:val="20"/>
                <w:szCs w:val="20"/>
              </w:rPr>
              <w:t xml:space="preserve"> </w:t>
            </w:r>
            <w:r w:rsidR="00B7341A">
              <w:rPr>
                <w:sz w:val="20"/>
                <w:szCs w:val="20"/>
              </w:rPr>
              <w:t>(1)</w:t>
            </w:r>
          </w:p>
          <w:p w:rsidR="000E54C2" w:rsidRPr="00E8065F" w:rsidRDefault="000E54C2" w:rsidP="000546C2">
            <w:pPr>
              <w:jc w:val="center"/>
              <w:rPr>
                <w:sz w:val="20"/>
                <w:szCs w:val="20"/>
              </w:rPr>
            </w:pPr>
            <w:r w:rsidRPr="00E8065F">
              <w:rPr>
                <w:sz w:val="20"/>
                <w:szCs w:val="20"/>
              </w:rPr>
              <w:t>2013</w:t>
            </w:r>
            <w:r w:rsidR="00AA5FB3">
              <w:rPr>
                <w:sz w:val="20"/>
                <w:szCs w:val="20"/>
              </w:rPr>
              <w:t xml:space="preserve"> </w:t>
            </w:r>
            <w:r w:rsidR="00B7341A">
              <w:rPr>
                <w:sz w:val="20"/>
                <w:szCs w:val="20"/>
              </w:rPr>
              <w:t>(1)</w:t>
            </w:r>
          </w:p>
          <w:p w:rsidR="000E54C2" w:rsidRPr="00E8065F" w:rsidRDefault="000E54C2" w:rsidP="000546C2">
            <w:pPr>
              <w:jc w:val="center"/>
              <w:rPr>
                <w:sz w:val="20"/>
                <w:szCs w:val="20"/>
              </w:rPr>
            </w:pPr>
            <w:r w:rsidRPr="00E8065F">
              <w:rPr>
                <w:sz w:val="20"/>
                <w:szCs w:val="20"/>
              </w:rPr>
              <w:t>2019</w:t>
            </w:r>
            <w:r w:rsidR="00AA5FB3">
              <w:rPr>
                <w:sz w:val="20"/>
                <w:szCs w:val="20"/>
              </w:rPr>
              <w:t xml:space="preserve"> </w:t>
            </w:r>
            <w:r w:rsidR="00B7341A">
              <w:rPr>
                <w:sz w:val="20"/>
                <w:szCs w:val="20"/>
              </w:rPr>
              <w:t>(3)</w:t>
            </w:r>
          </w:p>
          <w:p w:rsidR="000E54C2" w:rsidRPr="00E8065F" w:rsidRDefault="000E54C2" w:rsidP="000546C2">
            <w:pPr>
              <w:jc w:val="center"/>
              <w:rPr>
                <w:sz w:val="20"/>
                <w:szCs w:val="20"/>
              </w:rPr>
            </w:pPr>
            <w:r w:rsidRPr="00E8065F">
              <w:rPr>
                <w:sz w:val="20"/>
                <w:szCs w:val="20"/>
              </w:rPr>
              <w:t>2020</w:t>
            </w:r>
            <w:r w:rsidR="00AA5FB3">
              <w:rPr>
                <w:sz w:val="20"/>
                <w:szCs w:val="20"/>
              </w:rPr>
              <w:t xml:space="preserve"> </w:t>
            </w:r>
            <w:r w:rsidR="00B7341A">
              <w:rPr>
                <w:sz w:val="20"/>
                <w:szCs w:val="20"/>
              </w:rPr>
              <w:t>(4)</w:t>
            </w:r>
          </w:p>
          <w:p w:rsidR="000E54C2" w:rsidRPr="00E8065F" w:rsidRDefault="000E54C2" w:rsidP="000546C2">
            <w:pPr>
              <w:jc w:val="center"/>
              <w:rPr>
                <w:sz w:val="20"/>
                <w:szCs w:val="20"/>
              </w:rPr>
            </w:pPr>
            <w:r w:rsidRPr="00E8065F">
              <w:rPr>
                <w:sz w:val="20"/>
                <w:szCs w:val="20"/>
              </w:rPr>
              <w:t>2023</w:t>
            </w:r>
            <w:r w:rsidR="00AA5FB3">
              <w:rPr>
                <w:sz w:val="20"/>
                <w:szCs w:val="20"/>
              </w:rPr>
              <w:t xml:space="preserve"> </w:t>
            </w:r>
            <w:r w:rsidR="00B7341A">
              <w:rPr>
                <w:sz w:val="20"/>
                <w:szCs w:val="20"/>
              </w:rPr>
              <w:t>(1)</w:t>
            </w:r>
          </w:p>
        </w:tc>
        <w:tc>
          <w:tcPr>
            <w:tcW w:w="1181" w:type="dxa"/>
            <w:tcBorders>
              <w:top w:val="nil"/>
              <w:left w:val="single" w:sz="4" w:space="0" w:color="auto"/>
              <w:bottom w:val="single" w:sz="4" w:space="0" w:color="auto"/>
              <w:right w:val="single" w:sz="4" w:space="0" w:color="auto"/>
            </w:tcBorders>
            <w:shd w:val="clear" w:color="auto" w:fill="auto"/>
          </w:tcPr>
          <w:p w:rsidR="000E54C2" w:rsidRPr="00E8065F" w:rsidRDefault="000E54C2" w:rsidP="000546C2">
            <w:pPr>
              <w:jc w:val="center"/>
              <w:rPr>
                <w:color w:val="000000"/>
                <w:sz w:val="20"/>
                <w:szCs w:val="20"/>
              </w:rPr>
            </w:pPr>
            <w:r w:rsidRPr="00E8065F">
              <w:rPr>
                <w:color w:val="000000"/>
                <w:sz w:val="20"/>
                <w:szCs w:val="20"/>
              </w:rPr>
              <w:t>12</w:t>
            </w:r>
          </w:p>
        </w:tc>
        <w:tc>
          <w:tcPr>
            <w:tcW w:w="1478" w:type="dxa"/>
            <w:tcBorders>
              <w:top w:val="nil"/>
              <w:left w:val="single" w:sz="4" w:space="0" w:color="auto"/>
              <w:bottom w:val="single" w:sz="4" w:space="0" w:color="auto"/>
              <w:right w:val="single" w:sz="4" w:space="0" w:color="auto"/>
            </w:tcBorders>
            <w:shd w:val="clear" w:color="auto" w:fill="auto"/>
          </w:tcPr>
          <w:p w:rsidR="000E54C2" w:rsidRPr="00E8065F" w:rsidRDefault="000E54C2" w:rsidP="000546C2">
            <w:pPr>
              <w:jc w:val="center"/>
              <w:rPr>
                <w:color w:val="000000"/>
                <w:sz w:val="20"/>
                <w:szCs w:val="20"/>
              </w:rPr>
            </w:pPr>
            <w:r w:rsidRPr="00E8065F">
              <w:rPr>
                <w:color w:val="000000"/>
                <w:sz w:val="20"/>
                <w:szCs w:val="20"/>
              </w:rPr>
              <w:t>95</w:t>
            </w:r>
          </w:p>
        </w:tc>
        <w:tc>
          <w:tcPr>
            <w:tcW w:w="1111" w:type="dxa"/>
            <w:tcBorders>
              <w:top w:val="nil"/>
              <w:left w:val="single" w:sz="4" w:space="0" w:color="auto"/>
              <w:bottom w:val="single" w:sz="4" w:space="0" w:color="auto"/>
              <w:right w:val="single" w:sz="4" w:space="0" w:color="auto"/>
            </w:tcBorders>
            <w:shd w:val="clear" w:color="auto" w:fill="auto"/>
          </w:tcPr>
          <w:p w:rsidR="000E54C2" w:rsidRPr="00E8065F" w:rsidRDefault="000E54C2" w:rsidP="000546C2">
            <w:pPr>
              <w:jc w:val="center"/>
              <w:rPr>
                <w:color w:val="000000"/>
                <w:sz w:val="20"/>
                <w:szCs w:val="20"/>
              </w:rPr>
            </w:pPr>
            <w:r w:rsidRPr="00E8065F">
              <w:rPr>
                <w:color w:val="000000"/>
                <w:sz w:val="20"/>
                <w:szCs w:val="20"/>
              </w:rPr>
              <w:t>2</w:t>
            </w:r>
          </w:p>
        </w:tc>
        <w:tc>
          <w:tcPr>
            <w:tcW w:w="1944" w:type="dxa"/>
            <w:tcBorders>
              <w:top w:val="nil"/>
              <w:left w:val="single" w:sz="4" w:space="0" w:color="auto"/>
              <w:bottom w:val="single" w:sz="4" w:space="0" w:color="auto"/>
              <w:right w:val="single" w:sz="4" w:space="0" w:color="auto"/>
            </w:tcBorders>
            <w:shd w:val="clear" w:color="auto" w:fill="auto"/>
          </w:tcPr>
          <w:p w:rsidR="000E54C2" w:rsidRPr="00E8065F" w:rsidRDefault="000E54C2" w:rsidP="00BA1432">
            <w:pPr>
              <w:jc w:val="center"/>
              <w:rPr>
                <w:color w:val="000000"/>
                <w:sz w:val="20"/>
                <w:szCs w:val="20"/>
              </w:rPr>
            </w:pPr>
            <w:r w:rsidRPr="00E8065F">
              <w:rPr>
                <w:color w:val="000000"/>
                <w:sz w:val="20"/>
                <w:szCs w:val="20"/>
              </w:rPr>
              <w:t>Амбулаторное/стационарное/передвижное</w:t>
            </w:r>
          </w:p>
        </w:tc>
      </w:tr>
      <w:tr w:rsidR="00BA1432" w:rsidRPr="00E8065F" w:rsidTr="000546C2">
        <w:trPr>
          <w:trHeight w:val="20"/>
        </w:trPr>
        <w:tc>
          <w:tcPr>
            <w:tcW w:w="1555" w:type="dxa"/>
          </w:tcPr>
          <w:p w:rsidR="00DB578E" w:rsidRPr="00E8065F" w:rsidRDefault="00DB578E" w:rsidP="00BA1432">
            <w:pPr>
              <w:rPr>
                <w:sz w:val="20"/>
                <w:szCs w:val="20"/>
              </w:rPr>
            </w:pPr>
          </w:p>
        </w:tc>
        <w:tc>
          <w:tcPr>
            <w:tcW w:w="3685" w:type="dxa"/>
          </w:tcPr>
          <w:p w:rsidR="00DB578E" w:rsidRPr="000E54C2" w:rsidRDefault="00DB578E" w:rsidP="00DC0475">
            <w:pPr>
              <w:jc w:val="both"/>
              <w:rPr>
                <w:sz w:val="20"/>
                <w:szCs w:val="20"/>
              </w:rPr>
            </w:pPr>
          </w:p>
        </w:tc>
        <w:tc>
          <w:tcPr>
            <w:tcW w:w="1994" w:type="dxa"/>
          </w:tcPr>
          <w:p w:rsidR="00DB578E" w:rsidRPr="000E54C2" w:rsidRDefault="009C7AAF" w:rsidP="00BA1432">
            <w:pPr>
              <w:jc w:val="center"/>
              <w:rPr>
                <w:sz w:val="20"/>
                <w:szCs w:val="20"/>
              </w:rPr>
            </w:pPr>
            <w:r>
              <w:rPr>
                <w:sz w:val="20"/>
                <w:szCs w:val="20"/>
              </w:rPr>
              <w:t>В</w:t>
            </w:r>
            <w:r w:rsidR="00715F7C" w:rsidRPr="000E54C2">
              <w:rPr>
                <w:sz w:val="20"/>
                <w:szCs w:val="20"/>
              </w:rPr>
              <w:t>сего</w:t>
            </w:r>
          </w:p>
        </w:tc>
        <w:tc>
          <w:tcPr>
            <w:tcW w:w="1181" w:type="dxa"/>
          </w:tcPr>
          <w:p w:rsidR="00DB578E" w:rsidRPr="000E54C2" w:rsidRDefault="00DB578E" w:rsidP="000546C2">
            <w:pPr>
              <w:jc w:val="center"/>
              <w:rPr>
                <w:sz w:val="20"/>
                <w:szCs w:val="20"/>
              </w:rPr>
            </w:pPr>
          </w:p>
        </w:tc>
        <w:tc>
          <w:tcPr>
            <w:tcW w:w="1181" w:type="dxa"/>
          </w:tcPr>
          <w:p w:rsidR="00DB578E" w:rsidRPr="000E54C2" w:rsidRDefault="004170CC" w:rsidP="000546C2">
            <w:pPr>
              <w:jc w:val="center"/>
              <w:rPr>
                <w:color w:val="000000"/>
                <w:sz w:val="20"/>
                <w:szCs w:val="20"/>
              </w:rPr>
            </w:pPr>
            <w:r w:rsidRPr="000E54C2">
              <w:rPr>
                <w:color w:val="000000"/>
                <w:sz w:val="20"/>
                <w:szCs w:val="20"/>
              </w:rPr>
              <w:t>81</w:t>
            </w:r>
          </w:p>
        </w:tc>
        <w:tc>
          <w:tcPr>
            <w:tcW w:w="1478" w:type="dxa"/>
          </w:tcPr>
          <w:p w:rsidR="00DB578E" w:rsidRPr="00E8065F" w:rsidRDefault="00DB578E" w:rsidP="000546C2">
            <w:pPr>
              <w:jc w:val="center"/>
              <w:rPr>
                <w:sz w:val="20"/>
                <w:szCs w:val="20"/>
              </w:rPr>
            </w:pPr>
          </w:p>
        </w:tc>
        <w:tc>
          <w:tcPr>
            <w:tcW w:w="1111" w:type="dxa"/>
          </w:tcPr>
          <w:p w:rsidR="00DB578E" w:rsidRPr="00E8065F" w:rsidRDefault="00DB578E" w:rsidP="000546C2">
            <w:pPr>
              <w:jc w:val="center"/>
              <w:rPr>
                <w:sz w:val="20"/>
                <w:szCs w:val="20"/>
              </w:rPr>
            </w:pPr>
          </w:p>
        </w:tc>
        <w:tc>
          <w:tcPr>
            <w:tcW w:w="1944" w:type="dxa"/>
          </w:tcPr>
          <w:p w:rsidR="00DB578E" w:rsidRPr="00E8065F" w:rsidRDefault="00DB578E" w:rsidP="00BA1432">
            <w:pPr>
              <w:rPr>
                <w:sz w:val="20"/>
                <w:szCs w:val="20"/>
              </w:rPr>
            </w:pPr>
          </w:p>
        </w:tc>
      </w:tr>
      <w:tr w:rsidR="00BA1432" w:rsidRPr="00E8065F" w:rsidTr="000546C2">
        <w:trPr>
          <w:trHeight w:val="20"/>
        </w:trPr>
        <w:tc>
          <w:tcPr>
            <w:tcW w:w="1555" w:type="dxa"/>
            <w:vMerge w:val="restart"/>
          </w:tcPr>
          <w:p w:rsidR="000E54C2" w:rsidRPr="00E8065F" w:rsidRDefault="000E54C2" w:rsidP="00BA1432">
            <w:pPr>
              <w:rPr>
                <w:sz w:val="20"/>
                <w:szCs w:val="20"/>
              </w:rPr>
            </w:pPr>
            <w:r w:rsidRPr="00E8065F">
              <w:rPr>
                <w:color w:val="000000"/>
                <w:sz w:val="20"/>
                <w:szCs w:val="20"/>
              </w:rPr>
              <w:t>Рентгенодиагностические аппараты</w:t>
            </w: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0E54C2" w:rsidRPr="00E8065F" w:rsidRDefault="000E54C2" w:rsidP="00DC0475">
            <w:pPr>
              <w:jc w:val="both"/>
              <w:rPr>
                <w:color w:val="000000"/>
                <w:sz w:val="20"/>
                <w:szCs w:val="20"/>
              </w:rPr>
            </w:pPr>
            <w:r w:rsidRPr="00E8065F">
              <w:rPr>
                <w:color w:val="000000"/>
                <w:sz w:val="20"/>
                <w:szCs w:val="20"/>
              </w:rPr>
              <w:t xml:space="preserve">ГАУЗ </w:t>
            </w:r>
            <w:r w:rsidR="002F7358">
              <w:rPr>
                <w:color w:val="000000"/>
                <w:sz w:val="20"/>
                <w:szCs w:val="20"/>
              </w:rPr>
              <w:t>«</w:t>
            </w:r>
            <w:r w:rsidRPr="00E8065F">
              <w:rPr>
                <w:color w:val="000000"/>
                <w:sz w:val="20"/>
                <w:szCs w:val="20"/>
              </w:rPr>
              <w:t>Агрызская ЦРБ</w:t>
            </w:r>
            <w:r w:rsidR="002F7358">
              <w:rPr>
                <w:color w:val="000000"/>
                <w:sz w:val="20"/>
                <w:szCs w:val="20"/>
              </w:rPr>
              <w:t>»</w:t>
            </w:r>
          </w:p>
        </w:tc>
        <w:tc>
          <w:tcPr>
            <w:tcW w:w="1994" w:type="dxa"/>
            <w:tcBorders>
              <w:top w:val="single" w:sz="4" w:space="0" w:color="auto"/>
              <w:left w:val="single" w:sz="4" w:space="0" w:color="auto"/>
              <w:bottom w:val="single" w:sz="4" w:space="0" w:color="auto"/>
              <w:right w:val="single" w:sz="4" w:space="0" w:color="auto"/>
            </w:tcBorders>
            <w:shd w:val="clear" w:color="auto" w:fill="auto"/>
          </w:tcPr>
          <w:p w:rsidR="000E54C2" w:rsidRPr="00E8065F" w:rsidRDefault="000E54C2" w:rsidP="00BA1432">
            <w:pPr>
              <w:jc w:val="center"/>
              <w:rPr>
                <w:color w:val="000000"/>
                <w:sz w:val="20"/>
                <w:szCs w:val="20"/>
              </w:rPr>
            </w:pPr>
            <w:r w:rsidRPr="00E8065F">
              <w:rPr>
                <w:color w:val="000000"/>
                <w:sz w:val="20"/>
                <w:szCs w:val="20"/>
              </w:rPr>
              <w:t>Рентгенодиагностические аппараты</w:t>
            </w:r>
          </w:p>
        </w:tc>
        <w:tc>
          <w:tcPr>
            <w:tcW w:w="1181" w:type="dxa"/>
            <w:shd w:val="clear" w:color="auto" w:fill="auto"/>
          </w:tcPr>
          <w:p w:rsidR="000E54C2" w:rsidRPr="00E8065F" w:rsidRDefault="000E54C2" w:rsidP="000546C2">
            <w:pPr>
              <w:jc w:val="center"/>
              <w:rPr>
                <w:sz w:val="20"/>
                <w:szCs w:val="20"/>
              </w:rPr>
            </w:pPr>
            <w:r w:rsidRPr="00E8065F">
              <w:rPr>
                <w:sz w:val="20"/>
                <w:szCs w:val="20"/>
              </w:rPr>
              <w:t>2011</w:t>
            </w:r>
            <w:r w:rsidR="00AA5FB3">
              <w:rPr>
                <w:sz w:val="20"/>
                <w:szCs w:val="20"/>
              </w:rPr>
              <w:t xml:space="preserve"> </w:t>
            </w:r>
            <w:r w:rsidR="00B7341A">
              <w:rPr>
                <w:sz w:val="20"/>
                <w:szCs w:val="20"/>
              </w:rPr>
              <w:t>(1)</w:t>
            </w:r>
          </w:p>
          <w:p w:rsidR="000E54C2" w:rsidRPr="00E8065F" w:rsidRDefault="000E54C2" w:rsidP="000546C2">
            <w:pPr>
              <w:jc w:val="center"/>
              <w:rPr>
                <w:sz w:val="20"/>
                <w:szCs w:val="20"/>
              </w:rPr>
            </w:pPr>
            <w:r w:rsidRPr="00E8065F">
              <w:rPr>
                <w:sz w:val="20"/>
                <w:szCs w:val="20"/>
              </w:rPr>
              <w:t>2013</w:t>
            </w:r>
            <w:r w:rsidR="00AA5FB3">
              <w:rPr>
                <w:sz w:val="20"/>
                <w:szCs w:val="20"/>
              </w:rPr>
              <w:t xml:space="preserve"> </w:t>
            </w:r>
            <w:r w:rsidR="00B7341A">
              <w:rPr>
                <w:sz w:val="20"/>
                <w:szCs w:val="20"/>
              </w:rPr>
              <w:t>(1)</w:t>
            </w:r>
          </w:p>
          <w:p w:rsidR="000E54C2" w:rsidRPr="00E8065F" w:rsidRDefault="000E54C2" w:rsidP="000546C2">
            <w:pPr>
              <w:jc w:val="center"/>
              <w:rPr>
                <w:sz w:val="20"/>
                <w:szCs w:val="20"/>
              </w:rPr>
            </w:pPr>
            <w:r w:rsidRPr="00E8065F">
              <w:rPr>
                <w:sz w:val="20"/>
                <w:szCs w:val="20"/>
              </w:rPr>
              <w:t>2022</w:t>
            </w:r>
            <w:r w:rsidR="00AA5FB3">
              <w:rPr>
                <w:sz w:val="20"/>
                <w:szCs w:val="20"/>
              </w:rPr>
              <w:t xml:space="preserve"> </w:t>
            </w:r>
            <w:r w:rsidR="00B7341A">
              <w:rPr>
                <w:sz w:val="20"/>
                <w:szCs w:val="20"/>
              </w:rPr>
              <w:t>(2)</w:t>
            </w:r>
          </w:p>
        </w:tc>
        <w:tc>
          <w:tcPr>
            <w:tcW w:w="1181" w:type="dxa"/>
            <w:tcBorders>
              <w:top w:val="single" w:sz="4" w:space="0" w:color="auto"/>
              <w:left w:val="single" w:sz="4" w:space="0" w:color="auto"/>
              <w:bottom w:val="single" w:sz="4" w:space="0" w:color="auto"/>
              <w:right w:val="single" w:sz="4" w:space="0" w:color="auto"/>
            </w:tcBorders>
            <w:shd w:val="clear" w:color="auto" w:fill="auto"/>
          </w:tcPr>
          <w:p w:rsidR="000E54C2" w:rsidRPr="00E8065F" w:rsidRDefault="000E54C2" w:rsidP="000546C2">
            <w:pPr>
              <w:jc w:val="center"/>
              <w:rPr>
                <w:color w:val="000000"/>
                <w:sz w:val="20"/>
                <w:szCs w:val="20"/>
              </w:rPr>
            </w:pPr>
            <w:r w:rsidRPr="00E8065F">
              <w:rPr>
                <w:color w:val="000000"/>
                <w:sz w:val="20"/>
                <w:szCs w:val="20"/>
              </w:rPr>
              <w:t>4</w:t>
            </w:r>
          </w:p>
        </w:tc>
        <w:tc>
          <w:tcPr>
            <w:tcW w:w="1478" w:type="dxa"/>
            <w:tcBorders>
              <w:top w:val="single" w:sz="4" w:space="0" w:color="auto"/>
              <w:left w:val="single" w:sz="4" w:space="0" w:color="auto"/>
              <w:bottom w:val="single" w:sz="4" w:space="0" w:color="auto"/>
              <w:right w:val="single" w:sz="4" w:space="0" w:color="auto"/>
            </w:tcBorders>
            <w:shd w:val="clear" w:color="auto" w:fill="auto"/>
          </w:tcPr>
          <w:p w:rsidR="000E54C2" w:rsidRPr="00E8065F" w:rsidRDefault="000E54C2" w:rsidP="000546C2">
            <w:pPr>
              <w:jc w:val="center"/>
              <w:rPr>
                <w:color w:val="000000"/>
                <w:sz w:val="20"/>
                <w:szCs w:val="20"/>
              </w:rPr>
            </w:pPr>
            <w:r w:rsidRPr="00E8065F">
              <w:rPr>
                <w:color w:val="000000"/>
                <w:sz w:val="20"/>
                <w:szCs w:val="20"/>
              </w:rPr>
              <w:t>39</w:t>
            </w:r>
          </w:p>
        </w:tc>
        <w:tc>
          <w:tcPr>
            <w:tcW w:w="1111" w:type="dxa"/>
            <w:tcBorders>
              <w:top w:val="single" w:sz="4" w:space="0" w:color="auto"/>
              <w:left w:val="single" w:sz="4" w:space="0" w:color="auto"/>
              <w:bottom w:val="single" w:sz="4" w:space="0" w:color="auto"/>
              <w:right w:val="single" w:sz="4" w:space="0" w:color="auto"/>
            </w:tcBorders>
            <w:shd w:val="clear" w:color="auto" w:fill="auto"/>
          </w:tcPr>
          <w:p w:rsidR="000E54C2" w:rsidRPr="00E8065F" w:rsidRDefault="000E54C2" w:rsidP="000546C2">
            <w:pPr>
              <w:jc w:val="center"/>
              <w:rPr>
                <w:color w:val="000000"/>
                <w:sz w:val="20"/>
                <w:szCs w:val="20"/>
              </w:rPr>
            </w:pPr>
            <w:r w:rsidRPr="00E8065F">
              <w:rPr>
                <w:color w:val="000000"/>
                <w:sz w:val="20"/>
                <w:szCs w:val="20"/>
              </w:rPr>
              <w:t>2</w:t>
            </w:r>
          </w:p>
        </w:tc>
        <w:tc>
          <w:tcPr>
            <w:tcW w:w="1944" w:type="dxa"/>
            <w:tcBorders>
              <w:top w:val="single" w:sz="4" w:space="0" w:color="auto"/>
              <w:left w:val="single" w:sz="4" w:space="0" w:color="auto"/>
              <w:bottom w:val="single" w:sz="4" w:space="0" w:color="auto"/>
              <w:right w:val="single" w:sz="4" w:space="0" w:color="auto"/>
            </w:tcBorders>
            <w:shd w:val="clear" w:color="auto" w:fill="auto"/>
          </w:tcPr>
          <w:p w:rsidR="000E54C2" w:rsidRPr="00E8065F" w:rsidRDefault="000E54C2" w:rsidP="00BA1432">
            <w:pPr>
              <w:jc w:val="center"/>
              <w:rPr>
                <w:color w:val="000000"/>
                <w:sz w:val="20"/>
                <w:szCs w:val="20"/>
              </w:rPr>
            </w:pPr>
            <w:r w:rsidRPr="00E8065F">
              <w:rPr>
                <w:color w:val="000000"/>
                <w:sz w:val="20"/>
                <w:szCs w:val="20"/>
              </w:rPr>
              <w:t>Амбулаторное/стационарное</w:t>
            </w:r>
          </w:p>
        </w:tc>
      </w:tr>
      <w:tr w:rsidR="00BA1432" w:rsidRPr="00E8065F" w:rsidTr="000546C2">
        <w:trPr>
          <w:trHeight w:val="20"/>
        </w:trPr>
        <w:tc>
          <w:tcPr>
            <w:tcW w:w="1555" w:type="dxa"/>
            <w:vMerge/>
          </w:tcPr>
          <w:p w:rsidR="000E54C2" w:rsidRPr="00E8065F" w:rsidRDefault="000E54C2" w:rsidP="00BA1432">
            <w:pPr>
              <w:rPr>
                <w:sz w:val="20"/>
                <w:szCs w:val="20"/>
              </w:rPr>
            </w:pPr>
          </w:p>
        </w:tc>
        <w:tc>
          <w:tcPr>
            <w:tcW w:w="3685" w:type="dxa"/>
            <w:tcBorders>
              <w:top w:val="nil"/>
              <w:left w:val="single" w:sz="4" w:space="0" w:color="auto"/>
              <w:bottom w:val="single" w:sz="4" w:space="0" w:color="auto"/>
              <w:right w:val="single" w:sz="4" w:space="0" w:color="auto"/>
            </w:tcBorders>
            <w:shd w:val="clear" w:color="auto" w:fill="auto"/>
          </w:tcPr>
          <w:p w:rsidR="000E54C2" w:rsidRPr="00E8065F" w:rsidRDefault="000E54C2" w:rsidP="00DC0475">
            <w:pPr>
              <w:jc w:val="both"/>
              <w:rPr>
                <w:color w:val="000000"/>
                <w:sz w:val="20"/>
                <w:szCs w:val="20"/>
              </w:rPr>
            </w:pPr>
            <w:r w:rsidRPr="00E8065F">
              <w:rPr>
                <w:color w:val="000000"/>
                <w:sz w:val="20"/>
                <w:szCs w:val="20"/>
              </w:rPr>
              <w:t xml:space="preserve">ГАУЗ </w:t>
            </w:r>
            <w:r w:rsidR="002F7358">
              <w:rPr>
                <w:color w:val="000000"/>
                <w:sz w:val="20"/>
                <w:szCs w:val="20"/>
              </w:rPr>
              <w:t>«</w:t>
            </w:r>
            <w:r w:rsidRPr="00E8065F">
              <w:rPr>
                <w:color w:val="000000"/>
                <w:sz w:val="20"/>
                <w:szCs w:val="20"/>
              </w:rPr>
              <w:t>Азнакаевская ЦРБ</w:t>
            </w:r>
            <w:r w:rsidR="002F7358">
              <w:rPr>
                <w:color w:val="000000"/>
                <w:sz w:val="20"/>
                <w:szCs w:val="20"/>
              </w:rPr>
              <w:t>»</w:t>
            </w:r>
          </w:p>
        </w:tc>
        <w:tc>
          <w:tcPr>
            <w:tcW w:w="1994" w:type="dxa"/>
            <w:tcBorders>
              <w:top w:val="nil"/>
              <w:left w:val="single" w:sz="4" w:space="0" w:color="auto"/>
              <w:bottom w:val="single" w:sz="4" w:space="0" w:color="auto"/>
              <w:right w:val="single" w:sz="4" w:space="0" w:color="auto"/>
            </w:tcBorders>
            <w:shd w:val="clear" w:color="auto" w:fill="auto"/>
          </w:tcPr>
          <w:p w:rsidR="000E54C2" w:rsidRPr="00E8065F" w:rsidRDefault="000E54C2" w:rsidP="00BA1432">
            <w:pPr>
              <w:jc w:val="center"/>
              <w:rPr>
                <w:color w:val="000000"/>
                <w:sz w:val="20"/>
                <w:szCs w:val="20"/>
              </w:rPr>
            </w:pPr>
            <w:r w:rsidRPr="00E8065F">
              <w:rPr>
                <w:color w:val="000000"/>
                <w:sz w:val="20"/>
                <w:szCs w:val="20"/>
              </w:rPr>
              <w:t>Рентгенодиагностические аппараты</w:t>
            </w:r>
          </w:p>
        </w:tc>
        <w:tc>
          <w:tcPr>
            <w:tcW w:w="1181" w:type="dxa"/>
            <w:shd w:val="clear" w:color="auto" w:fill="auto"/>
          </w:tcPr>
          <w:p w:rsidR="000E54C2" w:rsidRPr="00E8065F" w:rsidRDefault="000E54C2" w:rsidP="000546C2">
            <w:pPr>
              <w:jc w:val="center"/>
              <w:rPr>
                <w:sz w:val="20"/>
                <w:szCs w:val="20"/>
              </w:rPr>
            </w:pPr>
            <w:r w:rsidRPr="00E8065F">
              <w:rPr>
                <w:sz w:val="20"/>
                <w:szCs w:val="20"/>
              </w:rPr>
              <w:t>2008</w:t>
            </w:r>
            <w:r w:rsidR="00AA5FB3">
              <w:rPr>
                <w:sz w:val="20"/>
                <w:szCs w:val="20"/>
              </w:rPr>
              <w:t xml:space="preserve"> </w:t>
            </w:r>
            <w:r w:rsidR="00B7341A">
              <w:rPr>
                <w:sz w:val="20"/>
                <w:szCs w:val="20"/>
              </w:rPr>
              <w:t>(1)</w:t>
            </w:r>
          </w:p>
          <w:p w:rsidR="000E54C2" w:rsidRPr="00E8065F" w:rsidRDefault="000E54C2" w:rsidP="000546C2">
            <w:pPr>
              <w:jc w:val="center"/>
              <w:rPr>
                <w:sz w:val="20"/>
                <w:szCs w:val="20"/>
              </w:rPr>
            </w:pPr>
            <w:r w:rsidRPr="00E8065F">
              <w:rPr>
                <w:sz w:val="20"/>
                <w:szCs w:val="20"/>
              </w:rPr>
              <w:t>2019</w:t>
            </w:r>
            <w:r w:rsidR="00AA5FB3">
              <w:rPr>
                <w:sz w:val="20"/>
                <w:szCs w:val="20"/>
              </w:rPr>
              <w:t xml:space="preserve"> </w:t>
            </w:r>
            <w:r w:rsidR="00B7341A">
              <w:rPr>
                <w:sz w:val="20"/>
                <w:szCs w:val="20"/>
              </w:rPr>
              <w:t>(1)</w:t>
            </w:r>
          </w:p>
          <w:p w:rsidR="000E54C2" w:rsidRPr="00E8065F" w:rsidRDefault="000E54C2" w:rsidP="000546C2">
            <w:pPr>
              <w:jc w:val="center"/>
              <w:rPr>
                <w:sz w:val="20"/>
                <w:szCs w:val="20"/>
              </w:rPr>
            </w:pPr>
            <w:r w:rsidRPr="00E8065F">
              <w:rPr>
                <w:sz w:val="20"/>
                <w:szCs w:val="20"/>
              </w:rPr>
              <w:t>2021</w:t>
            </w:r>
            <w:r w:rsidR="00AA5FB3">
              <w:rPr>
                <w:sz w:val="20"/>
                <w:szCs w:val="20"/>
              </w:rPr>
              <w:t xml:space="preserve"> </w:t>
            </w:r>
            <w:r w:rsidR="00B7341A">
              <w:rPr>
                <w:sz w:val="20"/>
                <w:szCs w:val="20"/>
              </w:rPr>
              <w:t>(1)</w:t>
            </w:r>
          </w:p>
        </w:tc>
        <w:tc>
          <w:tcPr>
            <w:tcW w:w="1181" w:type="dxa"/>
            <w:tcBorders>
              <w:top w:val="nil"/>
              <w:left w:val="single" w:sz="4" w:space="0" w:color="auto"/>
              <w:bottom w:val="single" w:sz="4" w:space="0" w:color="auto"/>
              <w:right w:val="single" w:sz="4" w:space="0" w:color="auto"/>
            </w:tcBorders>
            <w:shd w:val="clear" w:color="auto" w:fill="auto"/>
          </w:tcPr>
          <w:p w:rsidR="000E54C2" w:rsidRPr="00E8065F" w:rsidRDefault="000E54C2" w:rsidP="000546C2">
            <w:pPr>
              <w:jc w:val="center"/>
              <w:rPr>
                <w:color w:val="000000"/>
                <w:sz w:val="20"/>
                <w:szCs w:val="20"/>
              </w:rPr>
            </w:pPr>
            <w:r w:rsidRPr="00E8065F">
              <w:rPr>
                <w:color w:val="000000"/>
                <w:sz w:val="20"/>
                <w:szCs w:val="20"/>
              </w:rPr>
              <w:t>3</w:t>
            </w:r>
          </w:p>
        </w:tc>
        <w:tc>
          <w:tcPr>
            <w:tcW w:w="1478" w:type="dxa"/>
            <w:tcBorders>
              <w:top w:val="nil"/>
              <w:left w:val="single" w:sz="4" w:space="0" w:color="auto"/>
              <w:bottom w:val="single" w:sz="4" w:space="0" w:color="auto"/>
              <w:right w:val="single" w:sz="4" w:space="0" w:color="auto"/>
            </w:tcBorders>
            <w:shd w:val="clear" w:color="auto" w:fill="auto"/>
          </w:tcPr>
          <w:p w:rsidR="000E54C2" w:rsidRPr="00E8065F" w:rsidRDefault="000E54C2" w:rsidP="000546C2">
            <w:pPr>
              <w:jc w:val="center"/>
              <w:rPr>
                <w:color w:val="000000"/>
                <w:sz w:val="20"/>
                <w:szCs w:val="20"/>
              </w:rPr>
            </w:pPr>
            <w:r w:rsidRPr="00E8065F">
              <w:rPr>
                <w:color w:val="000000"/>
                <w:sz w:val="20"/>
                <w:szCs w:val="20"/>
              </w:rPr>
              <w:t>110</w:t>
            </w:r>
          </w:p>
        </w:tc>
        <w:tc>
          <w:tcPr>
            <w:tcW w:w="1111" w:type="dxa"/>
            <w:tcBorders>
              <w:top w:val="nil"/>
              <w:left w:val="single" w:sz="4" w:space="0" w:color="auto"/>
              <w:bottom w:val="single" w:sz="4" w:space="0" w:color="auto"/>
              <w:right w:val="single" w:sz="4" w:space="0" w:color="auto"/>
            </w:tcBorders>
            <w:shd w:val="clear" w:color="auto" w:fill="auto"/>
          </w:tcPr>
          <w:p w:rsidR="000E54C2" w:rsidRPr="00E8065F" w:rsidRDefault="000E54C2" w:rsidP="000546C2">
            <w:pPr>
              <w:jc w:val="center"/>
              <w:rPr>
                <w:color w:val="000000"/>
                <w:sz w:val="20"/>
                <w:szCs w:val="20"/>
              </w:rPr>
            </w:pPr>
            <w:r w:rsidRPr="00E8065F">
              <w:rPr>
                <w:color w:val="000000"/>
                <w:sz w:val="20"/>
                <w:szCs w:val="20"/>
              </w:rPr>
              <w:t>2</w:t>
            </w:r>
          </w:p>
        </w:tc>
        <w:tc>
          <w:tcPr>
            <w:tcW w:w="1944" w:type="dxa"/>
            <w:tcBorders>
              <w:top w:val="nil"/>
              <w:left w:val="single" w:sz="4" w:space="0" w:color="auto"/>
              <w:bottom w:val="single" w:sz="4" w:space="0" w:color="auto"/>
              <w:right w:val="single" w:sz="4" w:space="0" w:color="auto"/>
            </w:tcBorders>
            <w:shd w:val="clear" w:color="auto" w:fill="auto"/>
          </w:tcPr>
          <w:p w:rsidR="000E54C2" w:rsidRPr="00E8065F" w:rsidRDefault="000E54C2" w:rsidP="00BA1432">
            <w:pPr>
              <w:jc w:val="center"/>
              <w:rPr>
                <w:color w:val="000000"/>
                <w:sz w:val="20"/>
                <w:szCs w:val="20"/>
              </w:rPr>
            </w:pPr>
            <w:r w:rsidRPr="00E8065F">
              <w:rPr>
                <w:color w:val="000000"/>
                <w:sz w:val="20"/>
                <w:szCs w:val="20"/>
              </w:rPr>
              <w:t>Амбулаторное/стационарное</w:t>
            </w:r>
          </w:p>
        </w:tc>
      </w:tr>
      <w:tr w:rsidR="00BA1432" w:rsidRPr="00E8065F" w:rsidTr="000546C2">
        <w:trPr>
          <w:trHeight w:val="20"/>
        </w:trPr>
        <w:tc>
          <w:tcPr>
            <w:tcW w:w="1555" w:type="dxa"/>
            <w:vMerge/>
          </w:tcPr>
          <w:p w:rsidR="000E54C2" w:rsidRPr="00E8065F" w:rsidRDefault="000E54C2" w:rsidP="00BA1432">
            <w:pPr>
              <w:rPr>
                <w:sz w:val="20"/>
                <w:szCs w:val="20"/>
              </w:rPr>
            </w:pPr>
          </w:p>
        </w:tc>
        <w:tc>
          <w:tcPr>
            <w:tcW w:w="3685" w:type="dxa"/>
            <w:tcBorders>
              <w:top w:val="nil"/>
              <w:left w:val="single" w:sz="4" w:space="0" w:color="auto"/>
              <w:bottom w:val="single" w:sz="4" w:space="0" w:color="auto"/>
              <w:right w:val="single" w:sz="4" w:space="0" w:color="auto"/>
            </w:tcBorders>
            <w:shd w:val="clear" w:color="auto" w:fill="auto"/>
          </w:tcPr>
          <w:p w:rsidR="000E54C2" w:rsidRPr="00E8065F" w:rsidRDefault="000E54C2" w:rsidP="00DC0475">
            <w:pPr>
              <w:jc w:val="both"/>
              <w:rPr>
                <w:color w:val="000000"/>
                <w:sz w:val="20"/>
                <w:szCs w:val="20"/>
              </w:rPr>
            </w:pPr>
            <w:r w:rsidRPr="00E8065F">
              <w:rPr>
                <w:color w:val="000000"/>
                <w:sz w:val="20"/>
                <w:szCs w:val="20"/>
              </w:rPr>
              <w:t xml:space="preserve">ГАУЗ </w:t>
            </w:r>
            <w:r w:rsidR="002F7358">
              <w:rPr>
                <w:color w:val="000000"/>
                <w:sz w:val="20"/>
                <w:szCs w:val="20"/>
              </w:rPr>
              <w:t>«</w:t>
            </w:r>
            <w:r w:rsidRPr="00E8065F">
              <w:rPr>
                <w:color w:val="000000"/>
                <w:sz w:val="20"/>
                <w:szCs w:val="20"/>
              </w:rPr>
              <w:t>Аксубаевская ЦРБ</w:t>
            </w:r>
            <w:r w:rsidR="002F7358">
              <w:rPr>
                <w:color w:val="000000"/>
                <w:sz w:val="20"/>
                <w:szCs w:val="20"/>
              </w:rPr>
              <w:t>»</w:t>
            </w:r>
          </w:p>
        </w:tc>
        <w:tc>
          <w:tcPr>
            <w:tcW w:w="1994" w:type="dxa"/>
            <w:tcBorders>
              <w:top w:val="nil"/>
              <w:left w:val="single" w:sz="4" w:space="0" w:color="auto"/>
              <w:bottom w:val="single" w:sz="4" w:space="0" w:color="auto"/>
              <w:right w:val="single" w:sz="4" w:space="0" w:color="auto"/>
            </w:tcBorders>
            <w:shd w:val="clear" w:color="auto" w:fill="auto"/>
          </w:tcPr>
          <w:p w:rsidR="000E54C2" w:rsidRPr="00E8065F" w:rsidRDefault="000E54C2" w:rsidP="00BA1432">
            <w:pPr>
              <w:jc w:val="center"/>
              <w:rPr>
                <w:color w:val="000000"/>
                <w:sz w:val="20"/>
                <w:szCs w:val="20"/>
              </w:rPr>
            </w:pPr>
            <w:r w:rsidRPr="00E8065F">
              <w:rPr>
                <w:color w:val="000000"/>
                <w:sz w:val="20"/>
                <w:szCs w:val="20"/>
              </w:rPr>
              <w:t>Рентгенодиагностические аппараты</w:t>
            </w:r>
          </w:p>
        </w:tc>
        <w:tc>
          <w:tcPr>
            <w:tcW w:w="1181" w:type="dxa"/>
            <w:tcBorders>
              <w:bottom w:val="single" w:sz="4" w:space="0" w:color="auto"/>
            </w:tcBorders>
            <w:shd w:val="clear" w:color="auto" w:fill="auto"/>
          </w:tcPr>
          <w:p w:rsidR="000E54C2" w:rsidRPr="00E8065F" w:rsidRDefault="000E54C2" w:rsidP="000546C2">
            <w:pPr>
              <w:jc w:val="center"/>
              <w:rPr>
                <w:sz w:val="20"/>
                <w:szCs w:val="20"/>
              </w:rPr>
            </w:pPr>
            <w:r w:rsidRPr="00E8065F">
              <w:rPr>
                <w:sz w:val="20"/>
                <w:szCs w:val="20"/>
              </w:rPr>
              <w:t>2001</w:t>
            </w:r>
            <w:r w:rsidR="00AA5FB3">
              <w:rPr>
                <w:sz w:val="20"/>
                <w:szCs w:val="20"/>
              </w:rPr>
              <w:t xml:space="preserve"> </w:t>
            </w:r>
            <w:r w:rsidR="00B7341A">
              <w:rPr>
                <w:sz w:val="20"/>
                <w:szCs w:val="20"/>
              </w:rPr>
              <w:t>(1)</w:t>
            </w:r>
          </w:p>
          <w:p w:rsidR="000E54C2" w:rsidRPr="00E8065F" w:rsidRDefault="000E54C2" w:rsidP="000546C2">
            <w:pPr>
              <w:jc w:val="center"/>
              <w:rPr>
                <w:sz w:val="20"/>
                <w:szCs w:val="20"/>
              </w:rPr>
            </w:pPr>
            <w:r w:rsidRPr="00E8065F">
              <w:rPr>
                <w:sz w:val="20"/>
                <w:szCs w:val="20"/>
              </w:rPr>
              <w:t>2019</w:t>
            </w:r>
            <w:r w:rsidR="00AA5FB3">
              <w:rPr>
                <w:sz w:val="20"/>
                <w:szCs w:val="20"/>
              </w:rPr>
              <w:t xml:space="preserve"> </w:t>
            </w:r>
            <w:r w:rsidR="00B7341A">
              <w:rPr>
                <w:sz w:val="20"/>
                <w:szCs w:val="20"/>
              </w:rPr>
              <w:t>(1)</w:t>
            </w:r>
          </w:p>
          <w:p w:rsidR="000E54C2" w:rsidRPr="00E8065F" w:rsidRDefault="000E54C2" w:rsidP="000546C2">
            <w:pPr>
              <w:jc w:val="center"/>
              <w:rPr>
                <w:sz w:val="20"/>
                <w:szCs w:val="20"/>
              </w:rPr>
            </w:pPr>
            <w:r w:rsidRPr="00E8065F">
              <w:rPr>
                <w:sz w:val="20"/>
                <w:szCs w:val="20"/>
              </w:rPr>
              <w:t>2022</w:t>
            </w:r>
            <w:r w:rsidR="00AA5FB3">
              <w:rPr>
                <w:sz w:val="20"/>
                <w:szCs w:val="20"/>
              </w:rPr>
              <w:t xml:space="preserve"> </w:t>
            </w:r>
            <w:r w:rsidR="00B7341A">
              <w:rPr>
                <w:sz w:val="20"/>
                <w:szCs w:val="20"/>
              </w:rPr>
              <w:t>(1)</w:t>
            </w:r>
          </w:p>
          <w:p w:rsidR="000E54C2" w:rsidRPr="00E8065F" w:rsidRDefault="00AA5FB3" w:rsidP="000546C2">
            <w:pPr>
              <w:jc w:val="center"/>
              <w:rPr>
                <w:sz w:val="20"/>
                <w:szCs w:val="20"/>
              </w:rPr>
            </w:pPr>
            <w:r>
              <w:rPr>
                <w:sz w:val="20"/>
                <w:szCs w:val="20"/>
              </w:rPr>
              <w:t xml:space="preserve"> </w:t>
            </w:r>
          </w:p>
        </w:tc>
        <w:tc>
          <w:tcPr>
            <w:tcW w:w="1181" w:type="dxa"/>
            <w:tcBorders>
              <w:top w:val="nil"/>
              <w:left w:val="single" w:sz="4" w:space="0" w:color="auto"/>
              <w:bottom w:val="single" w:sz="4" w:space="0" w:color="auto"/>
              <w:right w:val="single" w:sz="4" w:space="0" w:color="auto"/>
            </w:tcBorders>
            <w:shd w:val="clear" w:color="auto" w:fill="auto"/>
          </w:tcPr>
          <w:p w:rsidR="000E54C2" w:rsidRPr="00E8065F" w:rsidRDefault="000E54C2" w:rsidP="000546C2">
            <w:pPr>
              <w:jc w:val="center"/>
              <w:rPr>
                <w:color w:val="000000"/>
                <w:sz w:val="20"/>
                <w:szCs w:val="20"/>
              </w:rPr>
            </w:pPr>
            <w:r w:rsidRPr="00E8065F">
              <w:rPr>
                <w:color w:val="000000"/>
                <w:sz w:val="20"/>
                <w:szCs w:val="20"/>
              </w:rPr>
              <w:t>3</w:t>
            </w:r>
          </w:p>
        </w:tc>
        <w:tc>
          <w:tcPr>
            <w:tcW w:w="1478" w:type="dxa"/>
            <w:tcBorders>
              <w:top w:val="nil"/>
              <w:left w:val="single" w:sz="4" w:space="0" w:color="auto"/>
              <w:bottom w:val="single" w:sz="4" w:space="0" w:color="auto"/>
              <w:right w:val="single" w:sz="4" w:space="0" w:color="auto"/>
            </w:tcBorders>
            <w:shd w:val="clear" w:color="auto" w:fill="auto"/>
          </w:tcPr>
          <w:p w:rsidR="000E54C2" w:rsidRPr="00E8065F" w:rsidRDefault="000E54C2" w:rsidP="000546C2">
            <w:pPr>
              <w:jc w:val="center"/>
              <w:rPr>
                <w:color w:val="000000"/>
                <w:sz w:val="20"/>
                <w:szCs w:val="20"/>
              </w:rPr>
            </w:pPr>
            <w:r w:rsidRPr="00E8065F">
              <w:rPr>
                <w:color w:val="000000"/>
                <w:sz w:val="20"/>
                <w:szCs w:val="20"/>
              </w:rPr>
              <w:t>20</w:t>
            </w:r>
          </w:p>
        </w:tc>
        <w:tc>
          <w:tcPr>
            <w:tcW w:w="1111" w:type="dxa"/>
            <w:tcBorders>
              <w:top w:val="nil"/>
              <w:left w:val="single" w:sz="4" w:space="0" w:color="auto"/>
              <w:bottom w:val="single" w:sz="4" w:space="0" w:color="auto"/>
              <w:right w:val="single" w:sz="4" w:space="0" w:color="auto"/>
            </w:tcBorders>
            <w:shd w:val="clear" w:color="auto" w:fill="auto"/>
          </w:tcPr>
          <w:p w:rsidR="000E54C2" w:rsidRPr="00E8065F" w:rsidRDefault="000E54C2" w:rsidP="000546C2">
            <w:pPr>
              <w:jc w:val="center"/>
              <w:rPr>
                <w:color w:val="000000"/>
                <w:sz w:val="20"/>
                <w:szCs w:val="20"/>
              </w:rPr>
            </w:pPr>
            <w:r w:rsidRPr="00E8065F">
              <w:rPr>
                <w:color w:val="000000"/>
                <w:sz w:val="20"/>
                <w:szCs w:val="20"/>
              </w:rPr>
              <w:t>2</w:t>
            </w:r>
          </w:p>
        </w:tc>
        <w:tc>
          <w:tcPr>
            <w:tcW w:w="1944" w:type="dxa"/>
            <w:tcBorders>
              <w:top w:val="nil"/>
              <w:left w:val="single" w:sz="4" w:space="0" w:color="auto"/>
              <w:bottom w:val="single" w:sz="4" w:space="0" w:color="auto"/>
              <w:right w:val="single" w:sz="4" w:space="0" w:color="auto"/>
            </w:tcBorders>
            <w:shd w:val="clear" w:color="auto" w:fill="auto"/>
          </w:tcPr>
          <w:p w:rsidR="000E54C2" w:rsidRPr="00E8065F" w:rsidRDefault="000E54C2" w:rsidP="00BA1432">
            <w:pPr>
              <w:jc w:val="center"/>
              <w:rPr>
                <w:color w:val="000000"/>
                <w:sz w:val="20"/>
                <w:szCs w:val="20"/>
              </w:rPr>
            </w:pPr>
            <w:r w:rsidRPr="00E8065F">
              <w:rPr>
                <w:color w:val="000000"/>
                <w:sz w:val="20"/>
                <w:szCs w:val="20"/>
              </w:rPr>
              <w:t>Амбулаторное/стационарное</w:t>
            </w:r>
          </w:p>
        </w:tc>
      </w:tr>
      <w:tr w:rsidR="00BA1432" w:rsidRPr="00E8065F" w:rsidTr="000546C2">
        <w:trPr>
          <w:trHeight w:val="20"/>
        </w:trPr>
        <w:tc>
          <w:tcPr>
            <w:tcW w:w="1555" w:type="dxa"/>
            <w:vMerge/>
          </w:tcPr>
          <w:p w:rsidR="000E54C2" w:rsidRPr="00E8065F" w:rsidRDefault="000E54C2" w:rsidP="00BA1432">
            <w:pPr>
              <w:rPr>
                <w:sz w:val="20"/>
                <w:szCs w:val="20"/>
              </w:rPr>
            </w:pPr>
          </w:p>
        </w:tc>
        <w:tc>
          <w:tcPr>
            <w:tcW w:w="3685" w:type="dxa"/>
            <w:tcBorders>
              <w:top w:val="single" w:sz="4" w:space="0" w:color="auto"/>
              <w:bottom w:val="single" w:sz="4" w:space="0" w:color="auto"/>
              <w:right w:val="single" w:sz="4" w:space="0" w:color="auto"/>
            </w:tcBorders>
            <w:shd w:val="clear" w:color="auto" w:fill="auto"/>
          </w:tcPr>
          <w:p w:rsidR="000E54C2" w:rsidRPr="00E8065F" w:rsidRDefault="000E54C2" w:rsidP="00DC0475">
            <w:pPr>
              <w:jc w:val="both"/>
              <w:rPr>
                <w:color w:val="000000"/>
                <w:sz w:val="20"/>
                <w:szCs w:val="20"/>
              </w:rPr>
            </w:pPr>
            <w:r w:rsidRPr="00E8065F">
              <w:rPr>
                <w:color w:val="000000"/>
                <w:sz w:val="20"/>
                <w:szCs w:val="20"/>
              </w:rPr>
              <w:t xml:space="preserve">ГАУЗ </w:t>
            </w:r>
            <w:r w:rsidR="002F7358">
              <w:rPr>
                <w:color w:val="000000"/>
                <w:sz w:val="20"/>
                <w:szCs w:val="20"/>
              </w:rPr>
              <w:t>«</w:t>
            </w:r>
            <w:r w:rsidRPr="00E8065F">
              <w:rPr>
                <w:color w:val="000000"/>
                <w:sz w:val="20"/>
                <w:szCs w:val="20"/>
              </w:rPr>
              <w:t>Актанышская ЦРБ</w:t>
            </w:r>
            <w:r w:rsidR="002F7358">
              <w:rPr>
                <w:color w:val="000000"/>
                <w:sz w:val="20"/>
                <w:szCs w:val="20"/>
              </w:rPr>
              <w:t>»</w:t>
            </w:r>
          </w:p>
        </w:tc>
        <w:tc>
          <w:tcPr>
            <w:tcW w:w="1994" w:type="dxa"/>
            <w:tcBorders>
              <w:top w:val="single" w:sz="4" w:space="0" w:color="auto"/>
              <w:left w:val="single" w:sz="4" w:space="0" w:color="auto"/>
              <w:bottom w:val="single" w:sz="4" w:space="0" w:color="auto"/>
              <w:right w:val="single" w:sz="4" w:space="0" w:color="auto"/>
            </w:tcBorders>
            <w:shd w:val="clear" w:color="auto" w:fill="auto"/>
          </w:tcPr>
          <w:p w:rsidR="000E54C2" w:rsidRPr="00E8065F" w:rsidRDefault="000E54C2" w:rsidP="00BA1432">
            <w:pPr>
              <w:jc w:val="center"/>
              <w:rPr>
                <w:color w:val="000000"/>
                <w:sz w:val="20"/>
                <w:szCs w:val="20"/>
              </w:rPr>
            </w:pPr>
            <w:r w:rsidRPr="00E8065F">
              <w:rPr>
                <w:color w:val="000000"/>
                <w:sz w:val="20"/>
                <w:szCs w:val="20"/>
              </w:rPr>
              <w:t>Рентгенодиагностические аппараты</w:t>
            </w:r>
          </w:p>
        </w:tc>
        <w:tc>
          <w:tcPr>
            <w:tcW w:w="1181" w:type="dxa"/>
            <w:tcBorders>
              <w:top w:val="single" w:sz="4" w:space="0" w:color="auto"/>
              <w:left w:val="single" w:sz="4" w:space="0" w:color="auto"/>
              <w:bottom w:val="single" w:sz="4" w:space="0" w:color="auto"/>
              <w:right w:val="single" w:sz="4" w:space="0" w:color="auto"/>
            </w:tcBorders>
            <w:shd w:val="clear" w:color="auto" w:fill="auto"/>
          </w:tcPr>
          <w:p w:rsidR="000E54C2" w:rsidRPr="00E8065F" w:rsidRDefault="000E54C2" w:rsidP="000546C2">
            <w:pPr>
              <w:jc w:val="center"/>
              <w:rPr>
                <w:sz w:val="20"/>
                <w:szCs w:val="20"/>
              </w:rPr>
            </w:pPr>
            <w:r w:rsidRPr="00E8065F">
              <w:rPr>
                <w:sz w:val="20"/>
                <w:szCs w:val="20"/>
              </w:rPr>
              <w:t>2015</w:t>
            </w:r>
            <w:r w:rsidR="00AA5FB3">
              <w:rPr>
                <w:sz w:val="20"/>
                <w:szCs w:val="20"/>
              </w:rPr>
              <w:t xml:space="preserve"> </w:t>
            </w:r>
            <w:r w:rsidR="00B7341A">
              <w:rPr>
                <w:sz w:val="20"/>
                <w:szCs w:val="20"/>
              </w:rPr>
              <w:t>(1)</w:t>
            </w:r>
          </w:p>
          <w:p w:rsidR="000E54C2" w:rsidRPr="00E8065F" w:rsidRDefault="000E54C2" w:rsidP="000546C2">
            <w:pPr>
              <w:jc w:val="center"/>
              <w:rPr>
                <w:sz w:val="20"/>
                <w:szCs w:val="20"/>
              </w:rPr>
            </w:pPr>
            <w:r w:rsidRPr="00E8065F">
              <w:rPr>
                <w:sz w:val="20"/>
                <w:szCs w:val="20"/>
              </w:rPr>
              <w:t>2019</w:t>
            </w:r>
            <w:r w:rsidR="00AA5FB3">
              <w:rPr>
                <w:sz w:val="20"/>
                <w:szCs w:val="20"/>
              </w:rPr>
              <w:t xml:space="preserve"> </w:t>
            </w:r>
            <w:r w:rsidR="00B7341A">
              <w:rPr>
                <w:sz w:val="20"/>
                <w:szCs w:val="20"/>
              </w:rPr>
              <w:t>(1)</w:t>
            </w:r>
          </w:p>
        </w:tc>
        <w:tc>
          <w:tcPr>
            <w:tcW w:w="1181" w:type="dxa"/>
            <w:tcBorders>
              <w:top w:val="single" w:sz="4" w:space="0" w:color="auto"/>
              <w:left w:val="single" w:sz="4" w:space="0" w:color="auto"/>
              <w:bottom w:val="single" w:sz="4" w:space="0" w:color="auto"/>
              <w:right w:val="single" w:sz="4" w:space="0" w:color="auto"/>
            </w:tcBorders>
            <w:shd w:val="clear" w:color="auto" w:fill="auto"/>
          </w:tcPr>
          <w:p w:rsidR="000E54C2" w:rsidRPr="00E8065F" w:rsidRDefault="000E54C2" w:rsidP="000546C2">
            <w:pPr>
              <w:jc w:val="center"/>
              <w:rPr>
                <w:color w:val="000000"/>
                <w:sz w:val="20"/>
                <w:szCs w:val="20"/>
              </w:rPr>
            </w:pPr>
            <w:r w:rsidRPr="00E8065F">
              <w:rPr>
                <w:color w:val="000000"/>
                <w:sz w:val="20"/>
                <w:szCs w:val="20"/>
              </w:rPr>
              <w:t>2</w:t>
            </w:r>
          </w:p>
        </w:tc>
        <w:tc>
          <w:tcPr>
            <w:tcW w:w="1478" w:type="dxa"/>
            <w:tcBorders>
              <w:top w:val="single" w:sz="4" w:space="0" w:color="auto"/>
              <w:left w:val="single" w:sz="4" w:space="0" w:color="auto"/>
              <w:bottom w:val="single" w:sz="4" w:space="0" w:color="auto"/>
              <w:right w:val="single" w:sz="4" w:space="0" w:color="auto"/>
            </w:tcBorders>
            <w:shd w:val="clear" w:color="auto" w:fill="auto"/>
          </w:tcPr>
          <w:p w:rsidR="000E54C2" w:rsidRPr="00E8065F" w:rsidRDefault="000E54C2" w:rsidP="000546C2">
            <w:pPr>
              <w:jc w:val="center"/>
              <w:rPr>
                <w:color w:val="000000"/>
                <w:sz w:val="20"/>
                <w:szCs w:val="20"/>
              </w:rPr>
            </w:pPr>
            <w:r w:rsidRPr="00E8065F">
              <w:rPr>
                <w:color w:val="000000"/>
                <w:sz w:val="20"/>
                <w:szCs w:val="20"/>
              </w:rPr>
              <w:t>31</w:t>
            </w:r>
          </w:p>
        </w:tc>
        <w:tc>
          <w:tcPr>
            <w:tcW w:w="1111" w:type="dxa"/>
            <w:tcBorders>
              <w:top w:val="single" w:sz="4" w:space="0" w:color="auto"/>
              <w:left w:val="single" w:sz="4" w:space="0" w:color="auto"/>
              <w:bottom w:val="single" w:sz="4" w:space="0" w:color="auto"/>
              <w:right w:val="single" w:sz="4" w:space="0" w:color="auto"/>
            </w:tcBorders>
            <w:shd w:val="clear" w:color="auto" w:fill="auto"/>
          </w:tcPr>
          <w:p w:rsidR="000E54C2" w:rsidRPr="00E8065F" w:rsidRDefault="000E54C2" w:rsidP="000546C2">
            <w:pPr>
              <w:jc w:val="center"/>
              <w:rPr>
                <w:color w:val="000000"/>
                <w:sz w:val="20"/>
                <w:szCs w:val="20"/>
              </w:rPr>
            </w:pPr>
            <w:r w:rsidRPr="00E8065F">
              <w:rPr>
                <w:color w:val="000000"/>
                <w:sz w:val="20"/>
                <w:szCs w:val="20"/>
              </w:rPr>
              <w:t>2</w:t>
            </w:r>
          </w:p>
        </w:tc>
        <w:tc>
          <w:tcPr>
            <w:tcW w:w="1944" w:type="dxa"/>
            <w:tcBorders>
              <w:top w:val="single" w:sz="4" w:space="0" w:color="auto"/>
              <w:left w:val="single" w:sz="4" w:space="0" w:color="auto"/>
              <w:bottom w:val="single" w:sz="4" w:space="0" w:color="auto"/>
              <w:right w:val="single" w:sz="4" w:space="0" w:color="auto"/>
            </w:tcBorders>
            <w:shd w:val="clear" w:color="auto" w:fill="auto"/>
          </w:tcPr>
          <w:p w:rsidR="000E54C2" w:rsidRPr="00E8065F" w:rsidRDefault="000E54C2" w:rsidP="00BA1432">
            <w:pPr>
              <w:jc w:val="center"/>
              <w:rPr>
                <w:color w:val="000000"/>
                <w:sz w:val="20"/>
                <w:szCs w:val="20"/>
              </w:rPr>
            </w:pPr>
            <w:r w:rsidRPr="00E8065F">
              <w:rPr>
                <w:color w:val="000000"/>
                <w:sz w:val="20"/>
                <w:szCs w:val="20"/>
              </w:rPr>
              <w:t>Амбулаторное/стационарное</w:t>
            </w:r>
          </w:p>
        </w:tc>
      </w:tr>
      <w:tr w:rsidR="00BA1432" w:rsidRPr="00E8065F" w:rsidTr="000546C2">
        <w:trPr>
          <w:trHeight w:val="20"/>
        </w:trPr>
        <w:tc>
          <w:tcPr>
            <w:tcW w:w="1555" w:type="dxa"/>
            <w:vMerge/>
          </w:tcPr>
          <w:p w:rsidR="000E54C2" w:rsidRPr="00E8065F" w:rsidRDefault="000E54C2" w:rsidP="00BA1432">
            <w:pPr>
              <w:rPr>
                <w:sz w:val="20"/>
                <w:szCs w:val="20"/>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0E54C2" w:rsidRPr="00E8065F" w:rsidRDefault="000E54C2" w:rsidP="00DC0475">
            <w:pPr>
              <w:jc w:val="both"/>
              <w:rPr>
                <w:color w:val="000000"/>
                <w:sz w:val="20"/>
                <w:szCs w:val="20"/>
              </w:rPr>
            </w:pPr>
            <w:r w:rsidRPr="00E8065F">
              <w:rPr>
                <w:color w:val="000000"/>
                <w:sz w:val="20"/>
                <w:szCs w:val="20"/>
              </w:rPr>
              <w:t xml:space="preserve">ГАУЗ </w:t>
            </w:r>
            <w:r w:rsidR="002F7358">
              <w:rPr>
                <w:color w:val="000000"/>
                <w:sz w:val="20"/>
                <w:szCs w:val="20"/>
              </w:rPr>
              <w:t>«</w:t>
            </w:r>
            <w:r w:rsidRPr="00E8065F">
              <w:rPr>
                <w:color w:val="000000"/>
                <w:sz w:val="20"/>
                <w:szCs w:val="20"/>
              </w:rPr>
              <w:t>Алексеевская ЦРБ</w:t>
            </w:r>
            <w:r w:rsidR="002F7358">
              <w:rPr>
                <w:color w:val="000000"/>
                <w:sz w:val="20"/>
                <w:szCs w:val="20"/>
              </w:rPr>
              <w:t>»</w:t>
            </w:r>
          </w:p>
        </w:tc>
        <w:tc>
          <w:tcPr>
            <w:tcW w:w="1994" w:type="dxa"/>
            <w:tcBorders>
              <w:top w:val="single" w:sz="4" w:space="0" w:color="auto"/>
              <w:left w:val="single" w:sz="4" w:space="0" w:color="auto"/>
              <w:bottom w:val="single" w:sz="4" w:space="0" w:color="auto"/>
              <w:right w:val="single" w:sz="4" w:space="0" w:color="auto"/>
            </w:tcBorders>
            <w:shd w:val="clear" w:color="auto" w:fill="auto"/>
          </w:tcPr>
          <w:p w:rsidR="000E54C2" w:rsidRPr="00E8065F" w:rsidRDefault="000E54C2" w:rsidP="00BA1432">
            <w:pPr>
              <w:jc w:val="center"/>
              <w:rPr>
                <w:color w:val="000000"/>
                <w:sz w:val="20"/>
                <w:szCs w:val="20"/>
              </w:rPr>
            </w:pPr>
            <w:r w:rsidRPr="00E8065F">
              <w:rPr>
                <w:color w:val="000000"/>
                <w:sz w:val="20"/>
                <w:szCs w:val="20"/>
              </w:rPr>
              <w:t>Рентгенодиагностические аппараты</w:t>
            </w:r>
          </w:p>
        </w:tc>
        <w:tc>
          <w:tcPr>
            <w:tcW w:w="1181" w:type="dxa"/>
            <w:tcBorders>
              <w:top w:val="single" w:sz="4" w:space="0" w:color="auto"/>
            </w:tcBorders>
            <w:shd w:val="clear" w:color="auto" w:fill="auto"/>
          </w:tcPr>
          <w:p w:rsidR="000E54C2" w:rsidRPr="00E8065F" w:rsidRDefault="000E54C2" w:rsidP="000546C2">
            <w:pPr>
              <w:jc w:val="center"/>
              <w:rPr>
                <w:sz w:val="20"/>
                <w:szCs w:val="20"/>
              </w:rPr>
            </w:pPr>
            <w:r w:rsidRPr="00E8065F">
              <w:rPr>
                <w:sz w:val="20"/>
                <w:szCs w:val="20"/>
              </w:rPr>
              <w:t>2007</w:t>
            </w:r>
            <w:r w:rsidR="00AA5FB3">
              <w:rPr>
                <w:sz w:val="20"/>
                <w:szCs w:val="20"/>
              </w:rPr>
              <w:t xml:space="preserve"> </w:t>
            </w:r>
            <w:r w:rsidR="00B7341A">
              <w:rPr>
                <w:sz w:val="20"/>
                <w:szCs w:val="20"/>
              </w:rPr>
              <w:t>(1)</w:t>
            </w:r>
          </w:p>
          <w:p w:rsidR="000E54C2" w:rsidRPr="00E8065F" w:rsidRDefault="000E54C2" w:rsidP="000546C2">
            <w:pPr>
              <w:jc w:val="center"/>
              <w:rPr>
                <w:sz w:val="20"/>
                <w:szCs w:val="20"/>
              </w:rPr>
            </w:pPr>
            <w:r w:rsidRPr="00E8065F">
              <w:rPr>
                <w:sz w:val="20"/>
                <w:szCs w:val="20"/>
              </w:rPr>
              <w:t>2020</w:t>
            </w:r>
            <w:r w:rsidR="00AA5FB3">
              <w:rPr>
                <w:sz w:val="20"/>
                <w:szCs w:val="20"/>
              </w:rPr>
              <w:t xml:space="preserve"> </w:t>
            </w:r>
            <w:r w:rsidR="00B7341A">
              <w:rPr>
                <w:sz w:val="20"/>
                <w:szCs w:val="20"/>
              </w:rPr>
              <w:t>(1)</w:t>
            </w:r>
          </w:p>
          <w:p w:rsidR="000E54C2" w:rsidRPr="00E8065F" w:rsidRDefault="000E54C2" w:rsidP="000546C2">
            <w:pPr>
              <w:jc w:val="center"/>
              <w:rPr>
                <w:sz w:val="20"/>
                <w:szCs w:val="20"/>
              </w:rPr>
            </w:pPr>
            <w:r w:rsidRPr="00E8065F">
              <w:rPr>
                <w:sz w:val="20"/>
                <w:szCs w:val="20"/>
              </w:rPr>
              <w:t>2022</w:t>
            </w:r>
            <w:r w:rsidR="00AA5FB3">
              <w:rPr>
                <w:sz w:val="20"/>
                <w:szCs w:val="20"/>
              </w:rPr>
              <w:t xml:space="preserve"> </w:t>
            </w:r>
            <w:r w:rsidR="00B7341A">
              <w:rPr>
                <w:sz w:val="20"/>
                <w:szCs w:val="20"/>
              </w:rPr>
              <w:t>(1)</w:t>
            </w:r>
          </w:p>
        </w:tc>
        <w:tc>
          <w:tcPr>
            <w:tcW w:w="1181" w:type="dxa"/>
            <w:tcBorders>
              <w:top w:val="single" w:sz="4" w:space="0" w:color="auto"/>
              <w:left w:val="single" w:sz="4" w:space="0" w:color="auto"/>
              <w:bottom w:val="single" w:sz="4" w:space="0" w:color="auto"/>
              <w:right w:val="single" w:sz="4" w:space="0" w:color="auto"/>
            </w:tcBorders>
            <w:shd w:val="clear" w:color="auto" w:fill="auto"/>
          </w:tcPr>
          <w:p w:rsidR="000E54C2" w:rsidRPr="00E8065F" w:rsidRDefault="000E54C2" w:rsidP="000546C2">
            <w:pPr>
              <w:jc w:val="center"/>
              <w:rPr>
                <w:color w:val="000000"/>
                <w:sz w:val="20"/>
                <w:szCs w:val="20"/>
              </w:rPr>
            </w:pPr>
            <w:r w:rsidRPr="00E8065F">
              <w:rPr>
                <w:color w:val="000000"/>
                <w:sz w:val="20"/>
                <w:szCs w:val="20"/>
              </w:rPr>
              <w:t>3</w:t>
            </w:r>
          </w:p>
        </w:tc>
        <w:tc>
          <w:tcPr>
            <w:tcW w:w="1478" w:type="dxa"/>
            <w:tcBorders>
              <w:top w:val="single" w:sz="4" w:space="0" w:color="auto"/>
              <w:left w:val="single" w:sz="4" w:space="0" w:color="auto"/>
              <w:bottom w:val="single" w:sz="4" w:space="0" w:color="auto"/>
              <w:right w:val="single" w:sz="4" w:space="0" w:color="auto"/>
            </w:tcBorders>
            <w:shd w:val="clear" w:color="auto" w:fill="auto"/>
          </w:tcPr>
          <w:p w:rsidR="000E54C2" w:rsidRPr="00E8065F" w:rsidRDefault="000E54C2" w:rsidP="000546C2">
            <w:pPr>
              <w:jc w:val="center"/>
              <w:rPr>
                <w:color w:val="000000"/>
                <w:sz w:val="20"/>
                <w:szCs w:val="20"/>
              </w:rPr>
            </w:pPr>
            <w:r w:rsidRPr="00E8065F">
              <w:rPr>
                <w:color w:val="000000"/>
                <w:sz w:val="20"/>
                <w:szCs w:val="20"/>
              </w:rPr>
              <w:t>26</w:t>
            </w:r>
          </w:p>
        </w:tc>
        <w:tc>
          <w:tcPr>
            <w:tcW w:w="1111" w:type="dxa"/>
            <w:tcBorders>
              <w:top w:val="single" w:sz="4" w:space="0" w:color="auto"/>
              <w:left w:val="single" w:sz="4" w:space="0" w:color="auto"/>
              <w:bottom w:val="single" w:sz="4" w:space="0" w:color="auto"/>
              <w:right w:val="single" w:sz="4" w:space="0" w:color="auto"/>
            </w:tcBorders>
            <w:shd w:val="clear" w:color="auto" w:fill="auto"/>
          </w:tcPr>
          <w:p w:rsidR="000E54C2" w:rsidRPr="00E8065F" w:rsidRDefault="000E54C2" w:rsidP="000546C2">
            <w:pPr>
              <w:jc w:val="center"/>
              <w:rPr>
                <w:color w:val="000000"/>
                <w:sz w:val="20"/>
                <w:szCs w:val="20"/>
              </w:rPr>
            </w:pPr>
            <w:r w:rsidRPr="00E8065F">
              <w:rPr>
                <w:color w:val="000000"/>
                <w:sz w:val="20"/>
                <w:szCs w:val="20"/>
              </w:rPr>
              <w:t>2</w:t>
            </w:r>
          </w:p>
        </w:tc>
        <w:tc>
          <w:tcPr>
            <w:tcW w:w="1944" w:type="dxa"/>
            <w:tcBorders>
              <w:top w:val="single" w:sz="4" w:space="0" w:color="auto"/>
              <w:left w:val="single" w:sz="4" w:space="0" w:color="auto"/>
              <w:bottom w:val="single" w:sz="4" w:space="0" w:color="auto"/>
              <w:right w:val="single" w:sz="4" w:space="0" w:color="auto"/>
            </w:tcBorders>
            <w:shd w:val="clear" w:color="auto" w:fill="auto"/>
          </w:tcPr>
          <w:p w:rsidR="000E54C2" w:rsidRPr="00E8065F" w:rsidRDefault="000E54C2" w:rsidP="00BA1432">
            <w:pPr>
              <w:jc w:val="center"/>
              <w:rPr>
                <w:color w:val="000000"/>
                <w:sz w:val="20"/>
                <w:szCs w:val="20"/>
              </w:rPr>
            </w:pPr>
            <w:r w:rsidRPr="00E8065F">
              <w:rPr>
                <w:color w:val="000000"/>
                <w:sz w:val="20"/>
                <w:szCs w:val="20"/>
              </w:rPr>
              <w:t>Амбулаторное/стационарное</w:t>
            </w:r>
          </w:p>
        </w:tc>
      </w:tr>
      <w:tr w:rsidR="00BA1432" w:rsidRPr="00E8065F" w:rsidTr="000546C2">
        <w:trPr>
          <w:trHeight w:val="20"/>
        </w:trPr>
        <w:tc>
          <w:tcPr>
            <w:tcW w:w="1555" w:type="dxa"/>
            <w:vMerge/>
          </w:tcPr>
          <w:p w:rsidR="000E54C2" w:rsidRPr="00E8065F" w:rsidRDefault="000E54C2" w:rsidP="00BA1432">
            <w:pPr>
              <w:rPr>
                <w:sz w:val="20"/>
                <w:szCs w:val="20"/>
              </w:rPr>
            </w:pPr>
          </w:p>
        </w:tc>
        <w:tc>
          <w:tcPr>
            <w:tcW w:w="3685" w:type="dxa"/>
            <w:tcBorders>
              <w:top w:val="nil"/>
              <w:left w:val="single" w:sz="4" w:space="0" w:color="auto"/>
              <w:bottom w:val="single" w:sz="4" w:space="0" w:color="auto"/>
              <w:right w:val="single" w:sz="4" w:space="0" w:color="auto"/>
            </w:tcBorders>
            <w:shd w:val="clear" w:color="auto" w:fill="auto"/>
          </w:tcPr>
          <w:p w:rsidR="000E54C2" w:rsidRPr="00E8065F" w:rsidRDefault="000E54C2" w:rsidP="00DC0475">
            <w:pPr>
              <w:jc w:val="both"/>
              <w:rPr>
                <w:color w:val="000000"/>
                <w:sz w:val="20"/>
                <w:szCs w:val="20"/>
              </w:rPr>
            </w:pPr>
            <w:r w:rsidRPr="00E8065F">
              <w:rPr>
                <w:color w:val="000000"/>
                <w:sz w:val="20"/>
                <w:szCs w:val="20"/>
              </w:rPr>
              <w:t xml:space="preserve">ГАУЗ </w:t>
            </w:r>
            <w:r w:rsidR="002F7358">
              <w:rPr>
                <w:color w:val="000000"/>
                <w:sz w:val="20"/>
                <w:szCs w:val="20"/>
              </w:rPr>
              <w:t>«</w:t>
            </w:r>
            <w:r w:rsidRPr="00E8065F">
              <w:rPr>
                <w:color w:val="000000"/>
                <w:sz w:val="20"/>
                <w:szCs w:val="20"/>
              </w:rPr>
              <w:t>Базарно-Матакская ЦРБ</w:t>
            </w:r>
            <w:r w:rsidR="002F7358">
              <w:rPr>
                <w:color w:val="000000"/>
                <w:sz w:val="20"/>
                <w:szCs w:val="20"/>
              </w:rPr>
              <w:t>»</w:t>
            </w:r>
          </w:p>
        </w:tc>
        <w:tc>
          <w:tcPr>
            <w:tcW w:w="1994" w:type="dxa"/>
            <w:tcBorders>
              <w:top w:val="nil"/>
              <w:left w:val="single" w:sz="4" w:space="0" w:color="auto"/>
              <w:bottom w:val="single" w:sz="4" w:space="0" w:color="auto"/>
              <w:right w:val="single" w:sz="4" w:space="0" w:color="auto"/>
            </w:tcBorders>
            <w:shd w:val="clear" w:color="auto" w:fill="auto"/>
          </w:tcPr>
          <w:p w:rsidR="000E54C2" w:rsidRPr="00E8065F" w:rsidRDefault="000E54C2" w:rsidP="00BA1432">
            <w:pPr>
              <w:jc w:val="center"/>
              <w:rPr>
                <w:color w:val="000000"/>
                <w:sz w:val="20"/>
                <w:szCs w:val="20"/>
              </w:rPr>
            </w:pPr>
            <w:r w:rsidRPr="00E8065F">
              <w:rPr>
                <w:color w:val="000000"/>
                <w:sz w:val="20"/>
                <w:szCs w:val="20"/>
              </w:rPr>
              <w:t>Рентгенодиагностические аппараты</w:t>
            </w:r>
          </w:p>
        </w:tc>
        <w:tc>
          <w:tcPr>
            <w:tcW w:w="1181" w:type="dxa"/>
            <w:shd w:val="clear" w:color="auto" w:fill="auto"/>
          </w:tcPr>
          <w:p w:rsidR="000E54C2" w:rsidRPr="00E8065F" w:rsidRDefault="000E54C2" w:rsidP="000546C2">
            <w:pPr>
              <w:jc w:val="center"/>
              <w:rPr>
                <w:sz w:val="20"/>
                <w:szCs w:val="20"/>
              </w:rPr>
            </w:pPr>
            <w:r w:rsidRPr="00E8065F">
              <w:rPr>
                <w:sz w:val="20"/>
                <w:szCs w:val="20"/>
              </w:rPr>
              <w:t>2022</w:t>
            </w:r>
            <w:r w:rsidR="00AA5FB3">
              <w:rPr>
                <w:sz w:val="20"/>
                <w:szCs w:val="20"/>
              </w:rPr>
              <w:t xml:space="preserve"> </w:t>
            </w:r>
            <w:r w:rsidR="00B7341A">
              <w:rPr>
                <w:sz w:val="20"/>
                <w:szCs w:val="20"/>
              </w:rPr>
              <w:t>(1)</w:t>
            </w:r>
          </w:p>
        </w:tc>
        <w:tc>
          <w:tcPr>
            <w:tcW w:w="1181" w:type="dxa"/>
            <w:tcBorders>
              <w:top w:val="nil"/>
              <w:left w:val="single" w:sz="4" w:space="0" w:color="auto"/>
              <w:bottom w:val="single" w:sz="4" w:space="0" w:color="auto"/>
              <w:right w:val="single" w:sz="4" w:space="0" w:color="auto"/>
            </w:tcBorders>
            <w:shd w:val="clear" w:color="auto" w:fill="auto"/>
          </w:tcPr>
          <w:p w:rsidR="000E54C2" w:rsidRPr="00E8065F" w:rsidRDefault="000E54C2" w:rsidP="000546C2">
            <w:pPr>
              <w:jc w:val="center"/>
              <w:rPr>
                <w:color w:val="000000"/>
                <w:sz w:val="20"/>
                <w:szCs w:val="20"/>
              </w:rPr>
            </w:pPr>
            <w:r w:rsidRPr="00E8065F">
              <w:rPr>
                <w:color w:val="000000"/>
                <w:sz w:val="20"/>
                <w:szCs w:val="20"/>
              </w:rPr>
              <w:t>1</w:t>
            </w:r>
          </w:p>
        </w:tc>
        <w:tc>
          <w:tcPr>
            <w:tcW w:w="1478" w:type="dxa"/>
            <w:tcBorders>
              <w:top w:val="nil"/>
              <w:left w:val="single" w:sz="4" w:space="0" w:color="auto"/>
              <w:bottom w:val="single" w:sz="4" w:space="0" w:color="auto"/>
              <w:right w:val="single" w:sz="4" w:space="0" w:color="auto"/>
            </w:tcBorders>
            <w:shd w:val="clear" w:color="auto" w:fill="auto"/>
          </w:tcPr>
          <w:p w:rsidR="000E54C2" w:rsidRPr="00E8065F" w:rsidRDefault="000E54C2" w:rsidP="000546C2">
            <w:pPr>
              <w:jc w:val="center"/>
              <w:rPr>
                <w:color w:val="000000"/>
                <w:sz w:val="20"/>
                <w:szCs w:val="20"/>
              </w:rPr>
            </w:pPr>
            <w:r w:rsidRPr="00E8065F">
              <w:rPr>
                <w:color w:val="000000"/>
                <w:sz w:val="20"/>
                <w:szCs w:val="20"/>
              </w:rPr>
              <w:t>11</w:t>
            </w:r>
          </w:p>
        </w:tc>
        <w:tc>
          <w:tcPr>
            <w:tcW w:w="1111" w:type="dxa"/>
            <w:tcBorders>
              <w:top w:val="nil"/>
              <w:left w:val="single" w:sz="4" w:space="0" w:color="auto"/>
              <w:bottom w:val="single" w:sz="4" w:space="0" w:color="auto"/>
              <w:right w:val="single" w:sz="4" w:space="0" w:color="auto"/>
            </w:tcBorders>
            <w:shd w:val="clear" w:color="auto" w:fill="auto"/>
          </w:tcPr>
          <w:p w:rsidR="000E54C2" w:rsidRPr="00E8065F" w:rsidRDefault="000E54C2" w:rsidP="000546C2">
            <w:pPr>
              <w:jc w:val="center"/>
              <w:rPr>
                <w:color w:val="000000"/>
                <w:sz w:val="20"/>
                <w:szCs w:val="20"/>
              </w:rPr>
            </w:pPr>
            <w:r w:rsidRPr="00E8065F">
              <w:rPr>
                <w:color w:val="000000"/>
                <w:sz w:val="20"/>
                <w:szCs w:val="20"/>
              </w:rPr>
              <w:t>2</w:t>
            </w:r>
          </w:p>
        </w:tc>
        <w:tc>
          <w:tcPr>
            <w:tcW w:w="1944" w:type="dxa"/>
            <w:tcBorders>
              <w:top w:val="nil"/>
              <w:left w:val="single" w:sz="4" w:space="0" w:color="auto"/>
              <w:bottom w:val="single" w:sz="4" w:space="0" w:color="auto"/>
              <w:right w:val="single" w:sz="4" w:space="0" w:color="auto"/>
            </w:tcBorders>
            <w:shd w:val="clear" w:color="auto" w:fill="auto"/>
          </w:tcPr>
          <w:p w:rsidR="000E54C2" w:rsidRPr="00E8065F" w:rsidRDefault="000E54C2" w:rsidP="00BA1432">
            <w:pPr>
              <w:jc w:val="center"/>
              <w:rPr>
                <w:color w:val="000000"/>
                <w:sz w:val="20"/>
                <w:szCs w:val="20"/>
              </w:rPr>
            </w:pPr>
            <w:r w:rsidRPr="00E8065F">
              <w:rPr>
                <w:color w:val="000000"/>
                <w:sz w:val="20"/>
                <w:szCs w:val="20"/>
              </w:rPr>
              <w:t>Амбулаторное/стационарное</w:t>
            </w:r>
          </w:p>
        </w:tc>
      </w:tr>
      <w:tr w:rsidR="00BA1432" w:rsidRPr="00E8065F" w:rsidTr="000546C2">
        <w:trPr>
          <w:trHeight w:val="20"/>
        </w:trPr>
        <w:tc>
          <w:tcPr>
            <w:tcW w:w="1555" w:type="dxa"/>
            <w:vMerge/>
          </w:tcPr>
          <w:p w:rsidR="000E54C2" w:rsidRPr="00E8065F" w:rsidRDefault="000E54C2" w:rsidP="00BA1432">
            <w:pPr>
              <w:rPr>
                <w:sz w:val="20"/>
                <w:szCs w:val="20"/>
              </w:rPr>
            </w:pPr>
          </w:p>
        </w:tc>
        <w:tc>
          <w:tcPr>
            <w:tcW w:w="3685" w:type="dxa"/>
            <w:tcBorders>
              <w:top w:val="nil"/>
              <w:left w:val="single" w:sz="4" w:space="0" w:color="auto"/>
              <w:bottom w:val="single" w:sz="4" w:space="0" w:color="auto"/>
              <w:right w:val="single" w:sz="4" w:space="0" w:color="auto"/>
            </w:tcBorders>
            <w:shd w:val="clear" w:color="auto" w:fill="auto"/>
          </w:tcPr>
          <w:p w:rsidR="000E54C2" w:rsidRPr="00E8065F" w:rsidRDefault="000E54C2" w:rsidP="00DC0475">
            <w:pPr>
              <w:jc w:val="both"/>
              <w:rPr>
                <w:color w:val="000000"/>
                <w:sz w:val="20"/>
                <w:szCs w:val="20"/>
              </w:rPr>
            </w:pPr>
            <w:r>
              <w:rPr>
                <w:color w:val="000000"/>
                <w:sz w:val="20"/>
                <w:szCs w:val="20"/>
              </w:rPr>
              <w:t xml:space="preserve">ГАУЗ </w:t>
            </w:r>
            <w:r w:rsidR="002F7358">
              <w:rPr>
                <w:rFonts w:eastAsia="Arial"/>
                <w:sz w:val="20"/>
                <w:szCs w:val="20"/>
              </w:rPr>
              <w:t>«</w:t>
            </w:r>
            <w:r>
              <w:rPr>
                <w:rFonts w:eastAsia="Arial"/>
                <w:sz w:val="20"/>
                <w:szCs w:val="20"/>
              </w:rPr>
              <w:t>Альметьевская межрайонная многопрофильная больница</w:t>
            </w:r>
            <w:r w:rsidR="002F7358">
              <w:rPr>
                <w:rFonts w:eastAsia="Arial"/>
                <w:sz w:val="20"/>
                <w:szCs w:val="20"/>
              </w:rPr>
              <w:t>»</w:t>
            </w:r>
          </w:p>
        </w:tc>
        <w:tc>
          <w:tcPr>
            <w:tcW w:w="1994" w:type="dxa"/>
            <w:tcBorders>
              <w:top w:val="nil"/>
              <w:left w:val="single" w:sz="4" w:space="0" w:color="auto"/>
              <w:bottom w:val="single" w:sz="4" w:space="0" w:color="auto"/>
              <w:right w:val="single" w:sz="4" w:space="0" w:color="auto"/>
            </w:tcBorders>
            <w:shd w:val="clear" w:color="auto" w:fill="auto"/>
          </w:tcPr>
          <w:p w:rsidR="000E54C2" w:rsidRPr="00E8065F" w:rsidRDefault="000E54C2" w:rsidP="00BA1432">
            <w:pPr>
              <w:jc w:val="center"/>
              <w:rPr>
                <w:color w:val="000000"/>
                <w:sz w:val="20"/>
                <w:szCs w:val="20"/>
              </w:rPr>
            </w:pPr>
            <w:r w:rsidRPr="00E8065F">
              <w:rPr>
                <w:color w:val="000000"/>
                <w:sz w:val="20"/>
                <w:szCs w:val="20"/>
              </w:rPr>
              <w:t>Рентгенодиагностические аппараты</w:t>
            </w:r>
          </w:p>
        </w:tc>
        <w:tc>
          <w:tcPr>
            <w:tcW w:w="1181" w:type="dxa"/>
            <w:shd w:val="clear" w:color="auto" w:fill="auto"/>
          </w:tcPr>
          <w:p w:rsidR="000E54C2" w:rsidRPr="00E8065F" w:rsidRDefault="000E54C2" w:rsidP="000546C2">
            <w:pPr>
              <w:jc w:val="center"/>
              <w:rPr>
                <w:sz w:val="20"/>
                <w:szCs w:val="20"/>
              </w:rPr>
            </w:pPr>
            <w:r w:rsidRPr="00E8065F">
              <w:rPr>
                <w:sz w:val="20"/>
                <w:szCs w:val="20"/>
              </w:rPr>
              <w:t>2013</w:t>
            </w:r>
            <w:r w:rsidR="00AA5FB3">
              <w:rPr>
                <w:sz w:val="20"/>
                <w:szCs w:val="20"/>
              </w:rPr>
              <w:t xml:space="preserve"> </w:t>
            </w:r>
            <w:r w:rsidR="00B7341A">
              <w:rPr>
                <w:sz w:val="20"/>
                <w:szCs w:val="20"/>
              </w:rPr>
              <w:t>(1)</w:t>
            </w:r>
          </w:p>
          <w:p w:rsidR="000E54C2" w:rsidRPr="00E8065F" w:rsidRDefault="000E54C2" w:rsidP="000546C2">
            <w:pPr>
              <w:jc w:val="center"/>
              <w:rPr>
                <w:sz w:val="20"/>
                <w:szCs w:val="20"/>
              </w:rPr>
            </w:pPr>
            <w:r w:rsidRPr="00E8065F">
              <w:rPr>
                <w:sz w:val="20"/>
                <w:szCs w:val="20"/>
              </w:rPr>
              <w:t>2015</w:t>
            </w:r>
            <w:r w:rsidR="00AA5FB3">
              <w:rPr>
                <w:sz w:val="20"/>
                <w:szCs w:val="20"/>
              </w:rPr>
              <w:t xml:space="preserve"> </w:t>
            </w:r>
            <w:r w:rsidR="00B7341A">
              <w:rPr>
                <w:sz w:val="20"/>
                <w:szCs w:val="20"/>
              </w:rPr>
              <w:t>(1)</w:t>
            </w:r>
          </w:p>
          <w:p w:rsidR="000E54C2" w:rsidRPr="00E8065F" w:rsidRDefault="000E54C2" w:rsidP="000546C2">
            <w:pPr>
              <w:jc w:val="center"/>
              <w:rPr>
                <w:sz w:val="20"/>
                <w:szCs w:val="20"/>
              </w:rPr>
            </w:pPr>
            <w:r w:rsidRPr="00E8065F">
              <w:rPr>
                <w:sz w:val="20"/>
                <w:szCs w:val="20"/>
              </w:rPr>
              <w:t>2018</w:t>
            </w:r>
            <w:r w:rsidR="00AA5FB3">
              <w:rPr>
                <w:sz w:val="20"/>
                <w:szCs w:val="20"/>
              </w:rPr>
              <w:t xml:space="preserve"> </w:t>
            </w:r>
            <w:r w:rsidR="00B7341A">
              <w:rPr>
                <w:sz w:val="20"/>
                <w:szCs w:val="20"/>
              </w:rPr>
              <w:t>(1)</w:t>
            </w:r>
          </w:p>
          <w:p w:rsidR="000E54C2" w:rsidRPr="00E8065F" w:rsidRDefault="000E54C2" w:rsidP="000546C2">
            <w:pPr>
              <w:jc w:val="center"/>
              <w:rPr>
                <w:sz w:val="20"/>
                <w:szCs w:val="20"/>
              </w:rPr>
            </w:pPr>
            <w:r>
              <w:rPr>
                <w:sz w:val="20"/>
                <w:szCs w:val="20"/>
              </w:rPr>
              <w:t>2020</w:t>
            </w:r>
            <w:r w:rsidR="00AA5FB3">
              <w:rPr>
                <w:sz w:val="20"/>
                <w:szCs w:val="20"/>
              </w:rPr>
              <w:t xml:space="preserve"> </w:t>
            </w:r>
            <w:r w:rsidR="00B7341A">
              <w:rPr>
                <w:sz w:val="20"/>
                <w:szCs w:val="20"/>
              </w:rPr>
              <w:t>(1)</w:t>
            </w:r>
          </w:p>
        </w:tc>
        <w:tc>
          <w:tcPr>
            <w:tcW w:w="1181" w:type="dxa"/>
            <w:tcBorders>
              <w:top w:val="nil"/>
              <w:left w:val="single" w:sz="4" w:space="0" w:color="auto"/>
              <w:bottom w:val="single" w:sz="4" w:space="0" w:color="auto"/>
              <w:right w:val="single" w:sz="4" w:space="0" w:color="auto"/>
            </w:tcBorders>
            <w:shd w:val="clear" w:color="auto" w:fill="auto"/>
          </w:tcPr>
          <w:p w:rsidR="000E54C2" w:rsidRPr="00E8065F" w:rsidRDefault="000E54C2" w:rsidP="000546C2">
            <w:pPr>
              <w:jc w:val="center"/>
              <w:rPr>
                <w:color w:val="000000"/>
                <w:sz w:val="20"/>
                <w:szCs w:val="20"/>
              </w:rPr>
            </w:pPr>
            <w:r w:rsidRPr="00E8065F">
              <w:rPr>
                <w:color w:val="000000"/>
                <w:sz w:val="20"/>
                <w:szCs w:val="20"/>
              </w:rPr>
              <w:t>4</w:t>
            </w:r>
          </w:p>
        </w:tc>
        <w:tc>
          <w:tcPr>
            <w:tcW w:w="1478" w:type="dxa"/>
            <w:tcBorders>
              <w:top w:val="nil"/>
              <w:left w:val="single" w:sz="4" w:space="0" w:color="auto"/>
              <w:bottom w:val="single" w:sz="4" w:space="0" w:color="auto"/>
              <w:right w:val="single" w:sz="4" w:space="0" w:color="auto"/>
            </w:tcBorders>
            <w:shd w:val="clear" w:color="auto" w:fill="auto"/>
          </w:tcPr>
          <w:p w:rsidR="000E54C2" w:rsidRPr="00E8065F" w:rsidRDefault="000E54C2" w:rsidP="000546C2">
            <w:pPr>
              <w:jc w:val="center"/>
              <w:rPr>
                <w:color w:val="000000"/>
                <w:sz w:val="20"/>
                <w:szCs w:val="20"/>
              </w:rPr>
            </w:pPr>
            <w:r w:rsidRPr="00E8065F">
              <w:rPr>
                <w:color w:val="000000"/>
                <w:sz w:val="20"/>
                <w:szCs w:val="20"/>
              </w:rPr>
              <w:t>81</w:t>
            </w:r>
          </w:p>
        </w:tc>
        <w:tc>
          <w:tcPr>
            <w:tcW w:w="1111" w:type="dxa"/>
            <w:tcBorders>
              <w:top w:val="nil"/>
              <w:left w:val="single" w:sz="4" w:space="0" w:color="auto"/>
              <w:bottom w:val="single" w:sz="4" w:space="0" w:color="auto"/>
              <w:right w:val="single" w:sz="4" w:space="0" w:color="auto"/>
            </w:tcBorders>
            <w:shd w:val="clear" w:color="auto" w:fill="auto"/>
          </w:tcPr>
          <w:p w:rsidR="000E54C2" w:rsidRPr="00E8065F" w:rsidRDefault="000E54C2" w:rsidP="000546C2">
            <w:pPr>
              <w:jc w:val="center"/>
              <w:rPr>
                <w:color w:val="000000"/>
                <w:sz w:val="20"/>
                <w:szCs w:val="20"/>
              </w:rPr>
            </w:pPr>
            <w:r w:rsidRPr="00E8065F">
              <w:rPr>
                <w:color w:val="000000"/>
                <w:sz w:val="20"/>
                <w:szCs w:val="20"/>
              </w:rPr>
              <w:t>2</w:t>
            </w:r>
          </w:p>
        </w:tc>
        <w:tc>
          <w:tcPr>
            <w:tcW w:w="1944" w:type="dxa"/>
            <w:tcBorders>
              <w:top w:val="nil"/>
              <w:left w:val="single" w:sz="4" w:space="0" w:color="auto"/>
              <w:bottom w:val="single" w:sz="4" w:space="0" w:color="auto"/>
              <w:right w:val="single" w:sz="4" w:space="0" w:color="auto"/>
            </w:tcBorders>
            <w:shd w:val="clear" w:color="auto" w:fill="auto"/>
          </w:tcPr>
          <w:p w:rsidR="000E54C2" w:rsidRPr="00E8065F" w:rsidRDefault="000E54C2" w:rsidP="00BA1432">
            <w:pPr>
              <w:jc w:val="center"/>
              <w:rPr>
                <w:color w:val="000000"/>
                <w:sz w:val="20"/>
                <w:szCs w:val="20"/>
              </w:rPr>
            </w:pPr>
            <w:r w:rsidRPr="00E8065F">
              <w:rPr>
                <w:color w:val="000000"/>
                <w:sz w:val="20"/>
                <w:szCs w:val="20"/>
              </w:rPr>
              <w:t>Амбулаторное/стационарное</w:t>
            </w:r>
          </w:p>
        </w:tc>
      </w:tr>
      <w:tr w:rsidR="00BA1432" w:rsidRPr="00E8065F" w:rsidTr="000546C2">
        <w:trPr>
          <w:trHeight w:val="20"/>
        </w:trPr>
        <w:tc>
          <w:tcPr>
            <w:tcW w:w="1555" w:type="dxa"/>
            <w:vMerge/>
          </w:tcPr>
          <w:p w:rsidR="000E54C2" w:rsidRPr="00E8065F" w:rsidRDefault="000E54C2" w:rsidP="00BA1432">
            <w:pPr>
              <w:rPr>
                <w:sz w:val="20"/>
                <w:szCs w:val="20"/>
              </w:rPr>
            </w:pPr>
          </w:p>
        </w:tc>
        <w:tc>
          <w:tcPr>
            <w:tcW w:w="3685" w:type="dxa"/>
            <w:tcBorders>
              <w:top w:val="nil"/>
              <w:left w:val="single" w:sz="4" w:space="0" w:color="auto"/>
              <w:bottom w:val="single" w:sz="4" w:space="0" w:color="auto"/>
              <w:right w:val="single" w:sz="4" w:space="0" w:color="auto"/>
            </w:tcBorders>
            <w:shd w:val="clear" w:color="auto" w:fill="auto"/>
          </w:tcPr>
          <w:p w:rsidR="000E54C2" w:rsidRPr="00E8065F" w:rsidRDefault="000E54C2" w:rsidP="00DC0475">
            <w:pPr>
              <w:jc w:val="both"/>
              <w:rPr>
                <w:color w:val="000000"/>
                <w:sz w:val="20"/>
                <w:szCs w:val="20"/>
              </w:rPr>
            </w:pPr>
            <w:r w:rsidRPr="00E8065F">
              <w:rPr>
                <w:color w:val="000000"/>
                <w:sz w:val="20"/>
                <w:szCs w:val="20"/>
              </w:rPr>
              <w:t xml:space="preserve">ГАУЗ </w:t>
            </w:r>
            <w:r w:rsidR="002F7358">
              <w:rPr>
                <w:color w:val="000000"/>
                <w:sz w:val="20"/>
                <w:szCs w:val="20"/>
              </w:rPr>
              <w:t>«</w:t>
            </w:r>
            <w:r w:rsidRPr="00E8065F">
              <w:rPr>
                <w:color w:val="000000"/>
                <w:sz w:val="20"/>
                <w:szCs w:val="20"/>
              </w:rPr>
              <w:t>Альметьевская городская поликлиника №3</w:t>
            </w:r>
            <w:r w:rsidR="002F7358">
              <w:rPr>
                <w:color w:val="000000"/>
                <w:sz w:val="20"/>
                <w:szCs w:val="20"/>
              </w:rPr>
              <w:t>»</w:t>
            </w:r>
          </w:p>
        </w:tc>
        <w:tc>
          <w:tcPr>
            <w:tcW w:w="1994" w:type="dxa"/>
            <w:tcBorders>
              <w:top w:val="nil"/>
              <w:left w:val="single" w:sz="4" w:space="0" w:color="auto"/>
              <w:bottom w:val="single" w:sz="4" w:space="0" w:color="auto"/>
              <w:right w:val="single" w:sz="4" w:space="0" w:color="auto"/>
            </w:tcBorders>
            <w:shd w:val="clear" w:color="auto" w:fill="auto"/>
          </w:tcPr>
          <w:p w:rsidR="000E54C2" w:rsidRPr="00E8065F" w:rsidRDefault="000E54C2" w:rsidP="00BA1432">
            <w:pPr>
              <w:jc w:val="center"/>
              <w:rPr>
                <w:color w:val="000000"/>
                <w:sz w:val="20"/>
                <w:szCs w:val="20"/>
              </w:rPr>
            </w:pPr>
            <w:r w:rsidRPr="00E8065F">
              <w:rPr>
                <w:color w:val="000000"/>
                <w:sz w:val="20"/>
                <w:szCs w:val="20"/>
              </w:rPr>
              <w:t>Рентгенодиагностические аппараты</w:t>
            </w:r>
          </w:p>
        </w:tc>
        <w:tc>
          <w:tcPr>
            <w:tcW w:w="1181" w:type="dxa"/>
            <w:shd w:val="clear" w:color="auto" w:fill="auto"/>
          </w:tcPr>
          <w:p w:rsidR="000E54C2" w:rsidRPr="00E8065F" w:rsidRDefault="000E54C2" w:rsidP="000546C2">
            <w:pPr>
              <w:jc w:val="center"/>
              <w:rPr>
                <w:sz w:val="20"/>
                <w:szCs w:val="20"/>
              </w:rPr>
            </w:pPr>
            <w:r w:rsidRPr="00E8065F">
              <w:rPr>
                <w:sz w:val="20"/>
                <w:szCs w:val="20"/>
              </w:rPr>
              <w:t>2018</w:t>
            </w:r>
            <w:r w:rsidR="00AA5FB3">
              <w:rPr>
                <w:sz w:val="20"/>
                <w:szCs w:val="20"/>
              </w:rPr>
              <w:t xml:space="preserve"> </w:t>
            </w:r>
            <w:r w:rsidR="00B7341A">
              <w:rPr>
                <w:sz w:val="20"/>
                <w:szCs w:val="20"/>
              </w:rPr>
              <w:t>(1)</w:t>
            </w:r>
          </w:p>
        </w:tc>
        <w:tc>
          <w:tcPr>
            <w:tcW w:w="1181" w:type="dxa"/>
            <w:tcBorders>
              <w:top w:val="nil"/>
              <w:left w:val="single" w:sz="4" w:space="0" w:color="auto"/>
              <w:bottom w:val="single" w:sz="4" w:space="0" w:color="auto"/>
              <w:right w:val="single" w:sz="4" w:space="0" w:color="auto"/>
            </w:tcBorders>
            <w:shd w:val="clear" w:color="auto" w:fill="auto"/>
          </w:tcPr>
          <w:p w:rsidR="000E54C2" w:rsidRPr="00E8065F" w:rsidRDefault="000E54C2" w:rsidP="000546C2">
            <w:pPr>
              <w:jc w:val="center"/>
              <w:rPr>
                <w:color w:val="000000"/>
                <w:sz w:val="20"/>
                <w:szCs w:val="20"/>
              </w:rPr>
            </w:pPr>
            <w:r w:rsidRPr="00E8065F">
              <w:rPr>
                <w:color w:val="000000"/>
                <w:sz w:val="20"/>
                <w:szCs w:val="20"/>
              </w:rPr>
              <w:t>1</w:t>
            </w:r>
          </w:p>
        </w:tc>
        <w:tc>
          <w:tcPr>
            <w:tcW w:w="1478" w:type="dxa"/>
            <w:tcBorders>
              <w:top w:val="nil"/>
              <w:left w:val="single" w:sz="4" w:space="0" w:color="auto"/>
              <w:bottom w:val="single" w:sz="4" w:space="0" w:color="auto"/>
              <w:right w:val="single" w:sz="4" w:space="0" w:color="auto"/>
            </w:tcBorders>
            <w:shd w:val="clear" w:color="auto" w:fill="auto"/>
          </w:tcPr>
          <w:p w:rsidR="000E54C2" w:rsidRPr="00E8065F" w:rsidRDefault="000E54C2" w:rsidP="000546C2">
            <w:pPr>
              <w:jc w:val="center"/>
              <w:rPr>
                <w:color w:val="000000"/>
                <w:sz w:val="20"/>
                <w:szCs w:val="20"/>
              </w:rPr>
            </w:pPr>
            <w:r w:rsidRPr="00E8065F">
              <w:rPr>
                <w:color w:val="000000"/>
                <w:sz w:val="20"/>
                <w:szCs w:val="20"/>
              </w:rPr>
              <w:t>104</w:t>
            </w:r>
          </w:p>
        </w:tc>
        <w:tc>
          <w:tcPr>
            <w:tcW w:w="1111" w:type="dxa"/>
            <w:tcBorders>
              <w:top w:val="nil"/>
              <w:left w:val="single" w:sz="4" w:space="0" w:color="auto"/>
              <w:bottom w:val="single" w:sz="4" w:space="0" w:color="auto"/>
              <w:right w:val="single" w:sz="4" w:space="0" w:color="auto"/>
            </w:tcBorders>
            <w:shd w:val="clear" w:color="auto" w:fill="auto"/>
          </w:tcPr>
          <w:p w:rsidR="000E54C2" w:rsidRPr="00E8065F" w:rsidRDefault="000E54C2" w:rsidP="000546C2">
            <w:pPr>
              <w:jc w:val="center"/>
              <w:rPr>
                <w:color w:val="000000"/>
                <w:sz w:val="20"/>
                <w:szCs w:val="20"/>
              </w:rPr>
            </w:pPr>
            <w:r w:rsidRPr="00E8065F">
              <w:rPr>
                <w:color w:val="000000"/>
                <w:sz w:val="20"/>
                <w:szCs w:val="20"/>
              </w:rPr>
              <w:t>2</w:t>
            </w:r>
          </w:p>
        </w:tc>
        <w:tc>
          <w:tcPr>
            <w:tcW w:w="1944" w:type="dxa"/>
            <w:tcBorders>
              <w:top w:val="nil"/>
              <w:left w:val="single" w:sz="4" w:space="0" w:color="auto"/>
              <w:bottom w:val="single" w:sz="4" w:space="0" w:color="auto"/>
              <w:right w:val="single" w:sz="4" w:space="0" w:color="auto"/>
            </w:tcBorders>
            <w:shd w:val="clear" w:color="auto" w:fill="auto"/>
          </w:tcPr>
          <w:p w:rsidR="000E54C2" w:rsidRPr="00E8065F" w:rsidRDefault="000E54C2" w:rsidP="00BA1432">
            <w:pPr>
              <w:jc w:val="center"/>
              <w:rPr>
                <w:color w:val="000000"/>
                <w:sz w:val="20"/>
                <w:szCs w:val="20"/>
              </w:rPr>
            </w:pPr>
            <w:r w:rsidRPr="00E8065F">
              <w:rPr>
                <w:color w:val="000000"/>
                <w:sz w:val="20"/>
                <w:szCs w:val="20"/>
              </w:rPr>
              <w:t>Амбулаторное</w:t>
            </w:r>
          </w:p>
        </w:tc>
      </w:tr>
      <w:tr w:rsidR="00BA1432" w:rsidRPr="00E8065F" w:rsidTr="000546C2">
        <w:trPr>
          <w:trHeight w:val="20"/>
        </w:trPr>
        <w:tc>
          <w:tcPr>
            <w:tcW w:w="1555" w:type="dxa"/>
            <w:vMerge/>
          </w:tcPr>
          <w:p w:rsidR="000E54C2" w:rsidRPr="00E8065F" w:rsidRDefault="000E54C2" w:rsidP="00BA1432">
            <w:pPr>
              <w:rPr>
                <w:sz w:val="20"/>
                <w:szCs w:val="20"/>
              </w:rPr>
            </w:pPr>
          </w:p>
        </w:tc>
        <w:tc>
          <w:tcPr>
            <w:tcW w:w="3685" w:type="dxa"/>
            <w:tcBorders>
              <w:top w:val="nil"/>
              <w:left w:val="single" w:sz="4" w:space="0" w:color="auto"/>
              <w:bottom w:val="single" w:sz="4" w:space="0" w:color="auto"/>
              <w:right w:val="single" w:sz="4" w:space="0" w:color="auto"/>
            </w:tcBorders>
            <w:shd w:val="clear" w:color="auto" w:fill="auto"/>
          </w:tcPr>
          <w:p w:rsidR="000E54C2" w:rsidRPr="00E8065F" w:rsidRDefault="000E54C2" w:rsidP="00DC0475">
            <w:pPr>
              <w:jc w:val="both"/>
              <w:rPr>
                <w:color w:val="000000"/>
                <w:sz w:val="20"/>
                <w:szCs w:val="20"/>
              </w:rPr>
            </w:pPr>
            <w:r w:rsidRPr="00E8065F">
              <w:rPr>
                <w:color w:val="000000"/>
                <w:sz w:val="20"/>
                <w:szCs w:val="20"/>
              </w:rPr>
              <w:t xml:space="preserve">ГАУЗ </w:t>
            </w:r>
            <w:r w:rsidR="002F7358">
              <w:rPr>
                <w:color w:val="000000"/>
                <w:sz w:val="20"/>
                <w:szCs w:val="20"/>
              </w:rPr>
              <w:t>«</w:t>
            </w:r>
            <w:r w:rsidRPr="00E8065F">
              <w:rPr>
                <w:color w:val="000000"/>
                <w:sz w:val="20"/>
                <w:szCs w:val="20"/>
              </w:rPr>
              <w:t>Альметьевская ЦРБ</w:t>
            </w:r>
            <w:r w:rsidR="002F7358">
              <w:rPr>
                <w:color w:val="000000"/>
                <w:sz w:val="20"/>
                <w:szCs w:val="20"/>
              </w:rPr>
              <w:t>»</w:t>
            </w:r>
          </w:p>
        </w:tc>
        <w:tc>
          <w:tcPr>
            <w:tcW w:w="1994" w:type="dxa"/>
            <w:tcBorders>
              <w:top w:val="nil"/>
              <w:left w:val="single" w:sz="4" w:space="0" w:color="auto"/>
              <w:bottom w:val="single" w:sz="4" w:space="0" w:color="auto"/>
              <w:right w:val="single" w:sz="4" w:space="0" w:color="auto"/>
            </w:tcBorders>
            <w:shd w:val="clear" w:color="auto" w:fill="auto"/>
          </w:tcPr>
          <w:p w:rsidR="000E54C2" w:rsidRPr="00E8065F" w:rsidRDefault="000E54C2" w:rsidP="00BA1432">
            <w:pPr>
              <w:jc w:val="center"/>
              <w:rPr>
                <w:color w:val="000000"/>
                <w:sz w:val="20"/>
                <w:szCs w:val="20"/>
              </w:rPr>
            </w:pPr>
            <w:r w:rsidRPr="00E8065F">
              <w:rPr>
                <w:color w:val="000000"/>
                <w:sz w:val="20"/>
                <w:szCs w:val="20"/>
              </w:rPr>
              <w:t>Рентгенодиагностические аппараты</w:t>
            </w:r>
          </w:p>
        </w:tc>
        <w:tc>
          <w:tcPr>
            <w:tcW w:w="1181" w:type="dxa"/>
            <w:shd w:val="clear" w:color="auto" w:fill="auto"/>
          </w:tcPr>
          <w:p w:rsidR="000E54C2" w:rsidRPr="00E8065F" w:rsidRDefault="000E54C2" w:rsidP="000546C2">
            <w:pPr>
              <w:jc w:val="center"/>
              <w:rPr>
                <w:sz w:val="20"/>
                <w:szCs w:val="20"/>
              </w:rPr>
            </w:pPr>
            <w:r w:rsidRPr="00E8065F">
              <w:rPr>
                <w:sz w:val="20"/>
                <w:szCs w:val="20"/>
              </w:rPr>
              <w:t>2012</w:t>
            </w:r>
            <w:r w:rsidR="00AA5FB3">
              <w:rPr>
                <w:sz w:val="20"/>
                <w:szCs w:val="20"/>
              </w:rPr>
              <w:t xml:space="preserve"> </w:t>
            </w:r>
            <w:r w:rsidR="00B7341A">
              <w:rPr>
                <w:sz w:val="20"/>
                <w:szCs w:val="20"/>
              </w:rPr>
              <w:t>(1)</w:t>
            </w:r>
          </w:p>
          <w:p w:rsidR="000E54C2" w:rsidRPr="00E8065F" w:rsidRDefault="000E54C2" w:rsidP="000546C2">
            <w:pPr>
              <w:jc w:val="center"/>
              <w:rPr>
                <w:sz w:val="20"/>
                <w:szCs w:val="20"/>
              </w:rPr>
            </w:pPr>
            <w:r w:rsidRPr="00E8065F">
              <w:rPr>
                <w:sz w:val="20"/>
                <w:szCs w:val="20"/>
              </w:rPr>
              <w:t>2018</w:t>
            </w:r>
            <w:r w:rsidR="00AA5FB3">
              <w:rPr>
                <w:sz w:val="20"/>
                <w:szCs w:val="20"/>
              </w:rPr>
              <w:t xml:space="preserve"> </w:t>
            </w:r>
            <w:r w:rsidR="00B7341A">
              <w:rPr>
                <w:sz w:val="20"/>
                <w:szCs w:val="20"/>
              </w:rPr>
              <w:t>(1)</w:t>
            </w:r>
          </w:p>
          <w:p w:rsidR="000E54C2" w:rsidRPr="00E8065F" w:rsidRDefault="000E54C2" w:rsidP="000546C2">
            <w:pPr>
              <w:jc w:val="center"/>
              <w:rPr>
                <w:sz w:val="20"/>
                <w:szCs w:val="20"/>
              </w:rPr>
            </w:pPr>
            <w:r>
              <w:rPr>
                <w:sz w:val="20"/>
                <w:szCs w:val="20"/>
              </w:rPr>
              <w:t>2022</w:t>
            </w:r>
            <w:r w:rsidR="00AA5FB3">
              <w:rPr>
                <w:sz w:val="20"/>
                <w:szCs w:val="20"/>
              </w:rPr>
              <w:t xml:space="preserve"> </w:t>
            </w:r>
            <w:r w:rsidR="00B7341A">
              <w:rPr>
                <w:sz w:val="20"/>
                <w:szCs w:val="20"/>
              </w:rPr>
              <w:t>(1)</w:t>
            </w:r>
          </w:p>
        </w:tc>
        <w:tc>
          <w:tcPr>
            <w:tcW w:w="1181" w:type="dxa"/>
            <w:tcBorders>
              <w:top w:val="nil"/>
              <w:left w:val="single" w:sz="4" w:space="0" w:color="auto"/>
              <w:bottom w:val="single" w:sz="4" w:space="0" w:color="auto"/>
              <w:right w:val="single" w:sz="4" w:space="0" w:color="auto"/>
            </w:tcBorders>
            <w:shd w:val="clear" w:color="auto" w:fill="auto"/>
          </w:tcPr>
          <w:p w:rsidR="000E54C2" w:rsidRPr="00E8065F" w:rsidRDefault="000E54C2" w:rsidP="000546C2">
            <w:pPr>
              <w:jc w:val="center"/>
              <w:rPr>
                <w:color w:val="000000"/>
                <w:sz w:val="20"/>
                <w:szCs w:val="20"/>
              </w:rPr>
            </w:pPr>
            <w:r w:rsidRPr="00E8065F">
              <w:rPr>
                <w:color w:val="000000"/>
                <w:sz w:val="20"/>
                <w:szCs w:val="20"/>
              </w:rPr>
              <w:t>3</w:t>
            </w:r>
          </w:p>
        </w:tc>
        <w:tc>
          <w:tcPr>
            <w:tcW w:w="1478" w:type="dxa"/>
            <w:tcBorders>
              <w:top w:val="nil"/>
              <w:left w:val="single" w:sz="4" w:space="0" w:color="auto"/>
              <w:bottom w:val="single" w:sz="4" w:space="0" w:color="auto"/>
              <w:right w:val="single" w:sz="4" w:space="0" w:color="auto"/>
            </w:tcBorders>
            <w:shd w:val="clear" w:color="auto" w:fill="auto"/>
          </w:tcPr>
          <w:p w:rsidR="000E54C2" w:rsidRPr="00E8065F" w:rsidRDefault="000E54C2" w:rsidP="000546C2">
            <w:pPr>
              <w:jc w:val="center"/>
              <w:rPr>
                <w:color w:val="000000"/>
                <w:sz w:val="20"/>
                <w:szCs w:val="20"/>
              </w:rPr>
            </w:pPr>
            <w:r w:rsidRPr="00E8065F">
              <w:rPr>
                <w:color w:val="000000"/>
                <w:sz w:val="20"/>
                <w:szCs w:val="20"/>
              </w:rPr>
              <w:t>49</w:t>
            </w:r>
          </w:p>
        </w:tc>
        <w:tc>
          <w:tcPr>
            <w:tcW w:w="1111" w:type="dxa"/>
            <w:tcBorders>
              <w:top w:val="nil"/>
              <w:left w:val="single" w:sz="4" w:space="0" w:color="auto"/>
              <w:bottom w:val="single" w:sz="4" w:space="0" w:color="auto"/>
              <w:right w:val="single" w:sz="4" w:space="0" w:color="auto"/>
            </w:tcBorders>
            <w:shd w:val="clear" w:color="auto" w:fill="auto"/>
          </w:tcPr>
          <w:p w:rsidR="000E54C2" w:rsidRPr="00E8065F" w:rsidRDefault="000E54C2" w:rsidP="000546C2">
            <w:pPr>
              <w:jc w:val="center"/>
              <w:rPr>
                <w:color w:val="000000"/>
                <w:sz w:val="20"/>
                <w:szCs w:val="20"/>
              </w:rPr>
            </w:pPr>
            <w:r w:rsidRPr="00E8065F">
              <w:rPr>
                <w:color w:val="000000"/>
                <w:sz w:val="20"/>
                <w:szCs w:val="20"/>
              </w:rPr>
              <w:t>2</w:t>
            </w:r>
          </w:p>
        </w:tc>
        <w:tc>
          <w:tcPr>
            <w:tcW w:w="1944" w:type="dxa"/>
            <w:tcBorders>
              <w:top w:val="nil"/>
              <w:left w:val="single" w:sz="4" w:space="0" w:color="auto"/>
              <w:bottom w:val="single" w:sz="4" w:space="0" w:color="auto"/>
              <w:right w:val="single" w:sz="4" w:space="0" w:color="auto"/>
            </w:tcBorders>
            <w:shd w:val="clear" w:color="auto" w:fill="auto"/>
          </w:tcPr>
          <w:p w:rsidR="000E54C2" w:rsidRPr="00E8065F" w:rsidRDefault="000E54C2" w:rsidP="00BA1432">
            <w:pPr>
              <w:jc w:val="center"/>
              <w:rPr>
                <w:color w:val="000000"/>
                <w:sz w:val="20"/>
                <w:szCs w:val="20"/>
              </w:rPr>
            </w:pPr>
            <w:r w:rsidRPr="00E8065F">
              <w:rPr>
                <w:color w:val="000000"/>
                <w:sz w:val="20"/>
                <w:szCs w:val="20"/>
              </w:rPr>
              <w:t>Амбулаторное/стационарное</w:t>
            </w:r>
          </w:p>
        </w:tc>
      </w:tr>
      <w:tr w:rsidR="00BA1432" w:rsidRPr="00E8065F" w:rsidTr="000546C2">
        <w:trPr>
          <w:trHeight w:val="20"/>
        </w:trPr>
        <w:tc>
          <w:tcPr>
            <w:tcW w:w="1555" w:type="dxa"/>
            <w:vMerge/>
          </w:tcPr>
          <w:p w:rsidR="000E54C2" w:rsidRPr="00E8065F" w:rsidRDefault="000E54C2" w:rsidP="00BA1432">
            <w:pPr>
              <w:rPr>
                <w:sz w:val="20"/>
                <w:szCs w:val="20"/>
              </w:rPr>
            </w:pPr>
          </w:p>
        </w:tc>
        <w:tc>
          <w:tcPr>
            <w:tcW w:w="3685" w:type="dxa"/>
            <w:tcBorders>
              <w:top w:val="nil"/>
              <w:left w:val="single" w:sz="4" w:space="0" w:color="auto"/>
              <w:bottom w:val="single" w:sz="4" w:space="0" w:color="auto"/>
              <w:right w:val="single" w:sz="4" w:space="0" w:color="auto"/>
            </w:tcBorders>
            <w:shd w:val="clear" w:color="auto" w:fill="auto"/>
          </w:tcPr>
          <w:p w:rsidR="000E54C2" w:rsidRPr="00E8065F" w:rsidRDefault="000E54C2" w:rsidP="00DC0475">
            <w:pPr>
              <w:jc w:val="both"/>
              <w:rPr>
                <w:color w:val="000000"/>
                <w:sz w:val="20"/>
                <w:szCs w:val="20"/>
              </w:rPr>
            </w:pPr>
            <w:r w:rsidRPr="00E8065F">
              <w:rPr>
                <w:color w:val="000000"/>
                <w:sz w:val="20"/>
                <w:szCs w:val="20"/>
              </w:rPr>
              <w:t xml:space="preserve">ГАУЗ </w:t>
            </w:r>
            <w:r w:rsidR="002F7358">
              <w:rPr>
                <w:color w:val="000000"/>
                <w:sz w:val="20"/>
                <w:szCs w:val="20"/>
              </w:rPr>
              <w:t>«</w:t>
            </w:r>
            <w:r w:rsidRPr="00E8065F">
              <w:rPr>
                <w:color w:val="000000"/>
                <w:sz w:val="20"/>
                <w:szCs w:val="20"/>
              </w:rPr>
              <w:t>Апастовская ЦРБ</w:t>
            </w:r>
            <w:r w:rsidR="002F7358">
              <w:rPr>
                <w:color w:val="000000"/>
                <w:sz w:val="20"/>
                <w:szCs w:val="20"/>
              </w:rPr>
              <w:t>»</w:t>
            </w:r>
          </w:p>
          <w:p w:rsidR="000E54C2" w:rsidRPr="00E8065F" w:rsidRDefault="000E54C2" w:rsidP="00DC0475">
            <w:pPr>
              <w:jc w:val="both"/>
              <w:rPr>
                <w:color w:val="000000"/>
                <w:sz w:val="20"/>
                <w:szCs w:val="20"/>
              </w:rPr>
            </w:pPr>
          </w:p>
        </w:tc>
        <w:tc>
          <w:tcPr>
            <w:tcW w:w="1994" w:type="dxa"/>
            <w:tcBorders>
              <w:top w:val="nil"/>
              <w:left w:val="single" w:sz="4" w:space="0" w:color="auto"/>
              <w:bottom w:val="single" w:sz="4" w:space="0" w:color="auto"/>
              <w:right w:val="single" w:sz="4" w:space="0" w:color="auto"/>
            </w:tcBorders>
            <w:shd w:val="clear" w:color="auto" w:fill="auto"/>
          </w:tcPr>
          <w:p w:rsidR="000E54C2" w:rsidRPr="00E8065F" w:rsidRDefault="000E54C2" w:rsidP="00BA1432">
            <w:pPr>
              <w:jc w:val="center"/>
              <w:rPr>
                <w:color w:val="000000"/>
                <w:sz w:val="20"/>
                <w:szCs w:val="20"/>
              </w:rPr>
            </w:pPr>
            <w:r w:rsidRPr="00E8065F">
              <w:rPr>
                <w:color w:val="000000"/>
                <w:sz w:val="20"/>
                <w:szCs w:val="20"/>
              </w:rPr>
              <w:t>Рентгенодиагностические аппараты</w:t>
            </w:r>
          </w:p>
        </w:tc>
        <w:tc>
          <w:tcPr>
            <w:tcW w:w="1181" w:type="dxa"/>
            <w:tcBorders>
              <w:bottom w:val="single" w:sz="4" w:space="0" w:color="auto"/>
            </w:tcBorders>
            <w:shd w:val="clear" w:color="auto" w:fill="auto"/>
          </w:tcPr>
          <w:p w:rsidR="000E54C2" w:rsidRPr="00E8065F" w:rsidRDefault="000E54C2" w:rsidP="000546C2">
            <w:pPr>
              <w:jc w:val="center"/>
              <w:rPr>
                <w:sz w:val="20"/>
                <w:szCs w:val="20"/>
              </w:rPr>
            </w:pPr>
            <w:r w:rsidRPr="00E8065F">
              <w:rPr>
                <w:sz w:val="20"/>
                <w:szCs w:val="20"/>
              </w:rPr>
              <w:t>2018</w:t>
            </w:r>
          </w:p>
        </w:tc>
        <w:tc>
          <w:tcPr>
            <w:tcW w:w="1181" w:type="dxa"/>
            <w:tcBorders>
              <w:top w:val="nil"/>
              <w:left w:val="single" w:sz="4" w:space="0" w:color="auto"/>
              <w:bottom w:val="single" w:sz="4" w:space="0" w:color="auto"/>
              <w:right w:val="single" w:sz="4" w:space="0" w:color="auto"/>
            </w:tcBorders>
            <w:shd w:val="clear" w:color="auto" w:fill="auto"/>
          </w:tcPr>
          <w:p w:rsidR="000E54C2" w:rsidRPr="00E8065F" w:rsidRDefault="000E54C2" w:rsidP="000546C2">
            <w:pPr>
              <w:jc w:val="center"/>
              <w:rPr>
                <w:color w:val="000000"/>
                <w:sz w:val="20"/>
                <w:szCs w:val="20"/>
              </w:rPr>
            </w:pPr>
            <w:r w:rsidRPr="00E8065F">
              <w:rPr>
                <w:color w:val="000000"/>
                <w:sz w:val="20"/>
                <w:szCs w:val="20"/>
              </w:rPr>
              <w:t>1</w:t>
            </w:r>
          </w:p>
        </w:tc>
        <w:tc>
          <w:tcPr>
            <w:tcW w:w="1478" w:type="dxa"/>
            <w:tcBorders>
              <w:top w:val="nil"/>
              <w:left w:val="single" w:sz="4" w:space="0" w:color="auto"/>
              <w:bottom w:val="single" w:sz="4" w:space="0" w:color="auto"/>
              <w:right w:val="single" w:sz="4" w:space="0" w:color="auto"/>
            </w:tcBorders>
            <w:shd w:val="clear" w:color="auto" w:fill="auto"/>
          </w:tcPr>
          <w:p w:rsidR="000E54C2" w:rsidRPr="00E8065F" w:rsidRDefault="000E54C2" w:rsidP="000546C2">
            <w:pPr>
              <w:jc w:val="center"/>
              <w:rPr>
                <w:color w:val="000000"/>
                <w:sz w:val="20"/>
                <w:szCs w:val="20"/>
              </w:rPr>
            </w:pPr>
            <w:r w:rsidRPr="00E8065F">
              <w:rPr>
                <w:color w:val="000000"/>
                <w:sz w:val="20"/>
                <w:szCs w:val="20"/>
              </w:rPr>
              <w:t>13</w:t>
            </w:r>
          </w:p>
        </w:tc>
        <w:tc>
          <w:tcPr>
            <w:tcW w:w="1111" w:type="dxa"/>
            <w:tcBorders>
              <w:top w:val="nil"/>
              <w:left w:val="single" w:sz="4" w:space="0" w:color="auto"/>
              <w:bottom w:val="single" w:sz="4" w:space="0" w:color="auto"/>
              <w:right w:val="single" w:sz="4" w:space="0" w:color="auto"/>
            </w:tcBorders>
            <w:shd w:val="clear" w:color="auto" w:fill="auto"/>
          </w:tcPr>
          <w:p w:rsidR="000E54C2" w:rsidRPr="00E8065F" w:rsidRDefault="000E54C2" w:rsidP="000546C2">
            <w:pPr>
              <w:jc w:val="center"/>
              <w:rPr>
                <w:color w:val="000000"/>
                <w:sz w:val="20"/>
                <w:szCs w:val="20"/>
              </w:rPr>
            </w:pPr>
            <w:r w:rsidRPr="00E8065F">
              <w:rPr>
                <w:color w:val="000000"/>
                <w:sz w:val="20"/>
                <w:szCs w:val="20"/>
              </w:rPr>
              <w:t>2</w:t>
            </w:r>
          </w:p>
        </w:tc>
        <w:tc>
          <w:tcPr>
            <w:tcW w:w="1944" w:type="dxa"/>
            <w:tcBorders>
              <w:top w:val="nil"/>
              <w:left w:val="single" w:sz="4" w:space="0" w:color="auto"/>
              <w:bottom w:val="single" w:sz="4" w:space="0" w:color="auto"/>
              <w:right w:val="single" w:sz="4" w:space="0" w:color="auto"/>
            </w:tcBorders>
            <w:shd w:val="clear" w:color="auto" w:fill="auto"/>
          </w:tcPr>
          <w:p w:rsidR="000E54C2" w:rsidRPr="00E8065F" w:rsidRDefault="000E54C2" w:rsidP="00BA1432">
            <w:pPr>
              <w:jc w:val="center"/>
              <w:rPr>
                <w:color w:val="000000"/>
                <w:sz w:val="20"/>
                <w:szCs w:val="20"/>
              </w:rPr>
            </w:pPr>
            <w:r w:rsidRPr="00E8065F">
              <w:rPr>
                <w:color w:val="000000"/>
                <w:sz w:val="20"/>
                <w:szCs w:val="20"/>
              </w:rPr>
              <w:t>Амбулаторное/стационарное</w:t>
            </w:r>
          </w:p>
        </w:tc>
      </w:tr>
      <w:tr w:rsidR="00BA1432" w:rsidRPr="00E8065F" w:rsidTr="000546C2">
        <w:trPr>
          <w:trHeight w:val="20"/>
        </w:trPr>
        <w:tc>
          <w:tcPr>
            <w:tcW w:w="1555" w:type="dxa"/>
            <w:vMerge/>
          </w:tcPr>
          <w:p w:rsidR="000E54C2" w:rsidRPr="00E8065F" w:rsidRDefault="000E54C2" w:rsidP="00BA1432">
            <w:pPr>
              <w:rPr>
                <w:sz w:val="20"/>
                <w:szCs w:val="20"/>
              </w:rPr>
            </w:pPr>
          </w:p>
        </w:tc>
        <w:tc>
          <w:tcPr>
            <w:tcW w:w="3685" w:type="dxa"/>
            <w:tcBorders>
              <w:top w:val="single" w:sz="4" w:space="0" w:color="auto"/>
              <w:bottom w:val="single" w:sz="4" w:space="0" w:color="auto"/>
              <w:right w:val="single" w:sz="4" w:space="0" w:color="auto"/>
            </w:tcBorders>
            <w:shd w:val="clear" w:color="auto" w:fill="auto"/>
          </w:tcPr>
          <w:p w:rsidR="000E54C2" w:rsidRPr="00E8065F" w:rsidRDefault="000E54C2" w:rsidP="00DC0475">
            <w:pPr>
              <w:jc w:val="both"/>
              <w:rPr>
                <w:color w:val="000000"/>
                <w:sz w:val="20"/>
                <w:szCs w:val="20"/>
              </w:rPr>
            </w:pPr>
            <w:r w:rsidRPr="00E8065F">
              <w:rPr>
                <w:color w:val="000000"/>
                <w:sz w:val="20"/>
                <w:szCs w:val="20"/>
              </w:rPr>
              <w:t xml:space="preserve">ГАУЗ </w:t>
            </w:r>
            <w:r w:rsidR="002F7358">
              <w:rPr>
                <w:color w:val="000000"/>
                <w:sz w:val="20"/>
                <w:szCs w:val="20"/>
              </w:rPr>
              <w:t>«</w:t>
            </w:r>
            <w:r w:rsidRPr="00E8065F">
              <w:rPr>
                <w:color w:val="000000"/>
                <w:sz w:val="20"/>
                <w:szCs w:val="20"/>
              </w:rPr>
              <w:t>Арская ЦРБ</w:t>
            </w:r>
            <w:r w:rsidR="002F7358">
              <w:rPr>
                <w:color w:val="000000"/>
                <w:sz w:val="20"/>
                <w:szCs w:val="20"/>
              </w:rPr>
              <w:t>»</w:t>
            </w:r>
          </w:p>
          <w:p w:rsidR="000E54C2" w:rsidRPr="00E8065F" w:rsidRDefault="000E54C2" w:rsidP="00DC0475">
            <w:pPr>
              <w:jc w:val="both"/>
              <w:rPr>
                <w:color w:val="000000"/>
                <w:sz w:val="20"/>
                <w:szCs w:val="20"/>
              </w:rPr>
            </w:pPr>
          </w:p>
        </w:tc>
        <w:tc>
          <w:tcPr>
            <w:tcW w:w="1994" w:type="dxa"/>
            <w:tcBorders>
              <w:top w:val="single" w:sz="4" w:space="0" w:color="auto"/>
              <w:left w:val="single" w:sz="4" w:space="0" w:color="auto"/>
              <w:bottom w:val="single" w:sz="4" w:space="0" w:color="auto"/>
              <w:right w:val="single" w:sz="4" w:space="0" w:color="auto"/>
            </w:tcBorders>
            <w:shd w:val="clear" w:color="auto" w:fill="auto"/>
          </w:tcPr>
          <w:p w:rsidR="000E54C2" w:rsidRPr="00E8065F" w:rsidRDefault="000E54C2" w:rsidP="009C7AAF">
            <w:pPr>
              <w:jc w:val="center"/>
              <w:rPr>
                <w:color w:val="000000"/>
                <w:sz w:val="20"/>
                <w:szCs w:val="20"/>
              </w:rPr>
            </w:pPr>
            <w:r w:rsidRPr="00E8065F">
              <w:rPr>
                <w:color w:val="000000"/>
                <w:sz w:val="20"/>
                <w:szCs w:val="20"/>
              </w:rPr>
              <w:t>Рентгенодиагностические аппараты</w:t>
            </w:r>
          </w:p>
        </w:tc>
        <w:tc>
          <w:tcPr>
            <w:tcW w:w="1181" w:type="dxa"/>
            <w:tcBorders>
              <w:top w:val="single" w:sz="4" w:space="0" w:color="auto"/>
              <w:left w:val="single" w:sz="4" w:space="0" w:color="auto"/>
              <w:bottom w:val="single" w:sz="4" w:space="0" w:color="auto"/>
              <w:right w:val="single" w:sz="4" w:space="0" w:color="auto"/>
            </w:tcBorders>
            <w:shd w:val="clear" w:color="auto" w:fill="auto"/>
          </w:tcPr>
          <w:p w:rsidR="000E54C2" w:rsidRPr="00E8065F" w:rsidRDefault="000E54C2" w:rsidP="000546C2">
            <w:pPr>
              <w:jc w:val="center"/>
              <w:rPr>
                <w:sz w:val="20"/>
                <w:szCs w:val="20"/>
              </w:rPr>
            </w:pPr>
            <w:r w:rsidRPr="00E8065F">
              <w:rPr>
                <w:sz w:val="20"/>
                <w:szCs w:val="20"/>
              </w:rPr>
              <w:t>2010</w:t>
            </w:r>
            <w:r w:rsidR="00AA5FB3">
              <w:rPr>
                <w:sz w:val="20"/>
                <w:szCs w:val="20"/>
              </w:rPr>
              <w:t xml:space="preserve"> </w:t>
            </w:r>
            <w:r w:rsidR="00512E03">
              <w:rPr>
                <w:sz w:val="20"/>
                <w:szCs w:val="20"/>
              </w:rPr>
              <w:t>(1)</w:t>
            </w:r>
          </w:p>
          <w:p w:rsidR="000E54C2" w:rsidRPr="00E8065F" w:rsidRDefault="000E54C2" w:rsidP="000546C2">
            <w:pPr>
              <w:jc w:val="center"/>
              <w:rPr>
                <w:sz w:val="20"/>
                <w:szCs w:val="20"/>
              </w:rPr>
            </w:pPr>
            <w:r w:rsidRPr="00E8065F">
              <w:rPr>
                <w:sz w:val="20"/>
                <w:szCs w:val="20"/>
              </w:rPr>
              <w:t>2019</w:t>
            </w:r>
            <w:r w:rsidR="00AA5FB3">
              <w:rPr>
                <w:sz w:val="20"/>
                <w:szCs w:val="20"/>
              </w:rPr>
              <w:t xml:space="preserve"> </w:t>
            </w:r>
            <w:r w:rsidR="00512E03">
              <w:rPr>
                <w:sz w:val="20"/>
                <w:szCs w:val="20"/>
              </w:rPr>
              <w:t>(1)</w:t>
            </w:r>
          </w:p>
        </w:tc>
        <w:tc>
          <w:tcPr>
            <w:tcW w:w="1181" w:type="dxa"/>
            <w:tcBorders>
              <w:top w:val="single" w:sz="4" w:space="0" w:color="auto"/>
              <w:left w:val="single" w:sz="4" w:space="0" w:color="auto"/>
              <w:bottom w:val="single" w:sz="4" w:space="0" w:color="auto"/>
              <w:right w:val="single" w:sz="4" w:space="0" w:color="auto"/>
            </w:tcBorders>
            <w:shd w:val="clear" w:color="auto" w:fill="auto"/>
          </w:tcPr>
          <w:p w:rsidR="000E54C2" w:rsidRPr="00E8065F" w:rsidRDefault="000E54C2" w:rsidP="000546C2">
            <w:pPr>
              <w:jc w:val="center"/>
              <w:rPr>
                <w:color w:val="000000"/>
                <w:sz w:val="20"/>
                <w:szCs w:val="20"/>
              </w:rPr>
            </w:pPr>
            <w:r w:rsidRPr="00E8065F">
              <w:rPr>
                <w:color w:val="000000"/>
                <w:sz w:val="20"/>
                <w:szCs w:val="20"/>
              </w:rPr>
              <w:t>1</w:t>
            </w:r>
          </w:p>
        </w:tc>
        <w:tc>
          <w:tcPr>
            <w:tcW w:w="1478" w:type="dxa"/>
            <w:tcBorders>
              <w:top w:val="single" w:sz="4" w:space="0" w:color="auto"/>
              <w:left w:val="single" w:sz="4" w:space="0" w:color="auto"/>
              <w:bottom w:val="single" w:sz="4" w:space="0" w:color="auto"/>
              <w:right w:val="single" w:sz="4" w:space="0" w:color="auto"/>
            </w:tcBorders>
            <w:shd w:val="clear" w:color="auto" w:fill="auto"/>
          </w:tcPr>
          <w:p w:rsidR="000E54C2" w:rsidRPr="00E8065F" w:rsidRDefault="000E54C2" w:rsidP="000546C2">
            <w:pPr>
              <w:jc w:val="center"/>
              <w:rPr>
                <w:color w:val="000000"/>
                <w:sz w:val="20"/>
                <w:szCs w:val="20"/>
              </w:rPr>
            </w:pPr>
            <w:r w:rsidRPr="00E8065F">
              <w:rPr>
                <w:color w:val="000000"/>
                <w:sz w:val="20"/>
                <w:szCs w:val="20"/>
              </w:rPr>
              <w:t>57</w:t>
            </w:r>
          </w:p>
        </w:tc>
        <w:tc>
          <w:tcPr>
            <w:tcW w:w="1111" w:type="dxa"/>
            <w:tcBorders>
              <w:top w:val="single" w:sz="4" w:space="0" w:color="auto"/>
              <w:left w:val="single" w:sz="4" w:space="0" w:color="auto"/>
              <w:bottom w:val="single" w:sz="4" w:space="0" w:color="auto"/>
              <w:right w:val="single" w:sz="4" w:space="0" w:color="auto"/>
            </w:tcBorders>
            <w:shd w:val="clear" w:color="auto" w:fill="auto"/>
          </w:tcPr>
          <w:p w:rsidR="000E54C2" w:rsidRPr="00E8065F" w:rsidRDefault="000E54C2" w:rsidP="000546C2">
            <w:pPr>
              <w:jc w:val="center"/>
              <w:rPr>
                <w:color w:val="000000"/>
                <w:sz w:val="20"/>
                <w:szCs w:val="20"/>
              </w:rPr>
            </w:pPr>
            <w:r w:rsidRPr="00E8065F">
              <w:rPr>
                <w:color w:val="000000"/>
                <w:sz w:val="20"/>
                <w:szCs w:val="20"/>
              </w:rPr>
              <w:t>2</w:t>
            </w:r>
          </w:p>
        </w:tc>
        <w:tc>
          <w:tcPr>
            <w:tcW w:w="1944" w:type="dxa"/>
            <w:tcBorders>
              <w:top w:val="single" w:sz="4" w:space="0" w:color="auto"/>
              <w:left w:val="single" w:sz="4" w:space="0" w:color="auto"/>
              <w:bottom w:val="single" w:sz="4" w:space="0" w:color="auto"/>
              <w:right w:val="single" w:sz="4" w:space="0" w:color="auto"/>
            </w:tcBorders>
            <w:shd w:val="clear" w:color="auto" w:fill="auto"/>
          </w:tcPr>
          <w:p w:rsidR="000E54C2" w:rsidRPr="00E8065F" w:rsidRDefault="000E54C2" w:rsidP="00BA1432">
            <w:pPr>
              <w:jc w:val="center"/>
              <w:rPr>
                <w:color w:val="000000"/>
                <w:sz w:val="20"/>
                <w:szCs w:val="20"/>
              </w:rPr>
            </w:pPr>
            <w:r w:rsidRPr="00E8065F">
              <w:rPr>
                <w:color w:val="000000"/>
                <w:sz w:val="20"/>
                <w:szCs w:val="20"/>
              </w:rPr>
              <w:t>Амбулаторное/стационарное</w:t>
            </w:r>
          </w:p>
        </w:tc>
      </w:tr>
      <w:tr w:rsidR="00BA1432" w:rsidRPr="00E8065F" w:rsidTr="000546C2">
        <w:trPr>
          <w:trHeight w:val="20"/>
        </w:trPr>
        <w:tc>
          <w:tcPr>
            <w:tcW w:w="1555" w:type="dxa"/>
            <w:vMerge/>
          </w:tcPr>
          <w:p w:rsidR="000E54C2" w:rsidRPr="00E8065F" w:rsidRDefault="000E54C2" w:rsidP="00BA1432">
            <w:pPr>
              <w:rPr>
                <w:sz w:val="20"/>
                <w:szCs w:val="20"/>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0E54C2" w:rsidRPr="00E8065F" w:rsidRDefault="000E54C2" w:rsidP="00DC0475">
            <w:pPr>
              <w:jc w:val="both"/>
              <w:rPr>
                <w:color w:val="000000"/>
                <w:sz w:val="20"/>
                <w:szCs w:val="20"/>
              </w:rPr>
            </w:pPr>
            <w:r w:rsidRPr="00E8065F">
              <w:rPr>
                <w:color w:val="000000"/>
                <w:sz w:val="20"/>
                <w:szCs w:val="20"/>
              </w:rPr>
              <w:t xml:space="preserve">ГАУЗ </w:t>
            </w:r>
            <w:r w:rsidR="002F7358">
              <w:rPr>
                <w:color w:val="000000"/>
                <w:sz w:val="20"/>
                <w:szCs w:val="20"/>
              </w:rPr>
              <w:t>«</w:t>
            </w:r>
            <w:r w:rsidRPr="00E8065F">
              <w:rPr>
                <w:color w:val="000000"/>
                <w:sz w:val="20"/>
                <w:szCs w:val="20"/>
              </w:rPr>
              <w:t>Атнинская ЦРБ</w:t>
            </w:r>
            <w:r w:rsidR="002F7358">
              <w:rPr>
                <w:color w:val="000000"/>
                <w:sz w:val="20"/>
                <w:szCs w:val="20"/>
              </w:rPr>
              <w:t>»</w:t>
            </w:r>
          </w:p>
        </w:tc>
        <w:tc>
          <w:tcPr>
            <w:tcW w:w="1994" w:type="dxa"/>
            <w:tcBorders>
              <w:top w:val="single" w:sz="4" w:space="0" w:color="auto"/>
              <w:left w:val="single" w:sz="4" w:space="0" w:color="auto"/>
              <w:bottom w:val="single" w:sz="4" w:space="0" w:color="auto"/>
              <w:right w:val="single" w:sz="4" w:space="0" w:color="auto"/>
            </w:tcBorders>
            <w:shd w:val="clear" w:color="auto" w:fill="auto"/>
          </w:tcPr>
          <w:p w:rsidR="000E54C2" w:rsidRPr="00E8065F" w:rsidRDefault="000E54C2" w:rsidP="00BA1432">
            <w:pPr>
              <w:jc w:val="center"/>
              <w:rPr>
                <w:color w:val="000000"/>
                <w:sz w:val="20"/>
                <w:szCs w:val="20"/>
              </w:rPr>
            </w:pPr>
            <w:r w:rsidRPr="00E8065F">
              <w:rPr>
                <w:color w:val="000000"/>
                <w:sz w:val="20"/>
                <w:szCs w:val="20"/>
              </w:rPr>
              <w:t>Рентгенодиагностические аппараты</w:t>
            </w:r>
          </w:p>
        </w:tc>
        <w:tc>
          <w:tcPr>
            <w:tcW w:w="1181" w:type="dxa"/>
            <w:tcBorders>
              <w:top w:val="single" w:sz="4" w:space="0" w:color="auto"/>
            </w:tcBorders>
            <w:shd w:val="clear" w:color="auto" w:fill="auto"/>
          </w:tcPr>
          <w:p w:rsidR="000E54C2" w:rsidRPr="00E8065F" w:rsidRDefault="000E54C2" w:rsidP="000546C2">
            <w:pPr>
              <w:jc w:val="center"/>
              <w:rPr>
                <w:sz w:val="20"/>
                <w:szCs w:val="20"/>
              </w:rPr>
            </w:pPr>
            <w:r w:rsidRPr="00E8065F">
              <w:rPr>
                <w:sz w:val="20"/>
                <w:szCs w:val="20"/>
              </w:rPr>
              <w:t>2016</w:t>
            </w:r>
            <w:r w:rsidR="00AA5FB3">
              <w:rPr>
                <w:sz w:val="20"/>
                <w:szCs w:val="20"/>
              </w:rPr>
              <w:t xml:space="preserve"> </w:t>
            </w:r>
            <w:r w:rsidR="00512E03">
              <w:rPr>
                <w:sz w:val="20"/>
                <w:szCs w:val="20"/>
              </w:rPr>
              <w:t>(1)</w:t>
            </w:r>
          </w:p>
          <w:p w:rsidR="000E54C2" w:rsidRPr="00E8065F" w:rsidRDefault="000E54C2" w:rsidP="000546C2">
            <w:pPr>
              <w:jc w:val="center"/>
              <w:rPr>
                <w:sz w:val="20"/>
                <w:szCs w:val="20"/>
              </w:rPr>
            </w:pPr>
            <w:r w:rsidRPr="00E8065F">
              <w:rPr>
                <w:sz w:val="20"/>
                <w:szCs w:val="20"/>
              </w:rPr>
              <w:t>2024</w:t>
            </w:r>
            <w:r w:rsidR="00AA5FB3">
              <w:rPr>
                <w:sz w:val="20"/>
                <w:szCs w:val="20"/>
              </w:rPr>
              <w:t xml:space="preserve"> </w:t>
            </w:r>
            <w:r w:rsidR="00512E03">
              <w:rPr>
                <w:sz w:val="20"/>
                <w:szCs w:val="20"/>
              </w:rPr>
              <w:t>(1)</w:t>
            </w:r>
          </w:p>
        </w:tc>
        <w:tc>
          <w:tcPr>
            <w:tcW w:w="1181" w:type="dxa"/>
            <w:tcBorders>
              <w:top w:val="single" w:sz="4" w:space="0" w:color="auto"/>
              <w:left w:val="single" w:sz="4" w:space="0" w:color="auto"/>
              <w:bottom w:val="single" w:sz="4" w:space="0" w:color="auto"/>
              <w:right w:val="single" w:sz="4" w:space="0" w:color="auto"/>
            </w:tcBorders>
            <w:shd w:val="clear" w:color="auto" w:fill="auto"/>
          </w:tcPr>
          <w:p w:rsidR="000E54C2" w:rsidRPr="00E8065F" w:rsidRDefault="000E54C2" w:rsidP="000546C2">
            <w:pPr>
              <w:jc w:val="center"/>
              <w:rPr>
                <w:color w:val="000000"/>
                <w:sz w:val="20"/>
                <w:szCs w:val="20"/>
              </w:rPr>
            </w:pPr>
            <w:r w:rsidRPr="00E8065F">
              <w:rPr>
                <w:color w:val="000000"/>
                <w:sz w:val="20"/>
                <w:szCs w:val="20"/>
              </w:rPr>
              <w:t>2</w:t>
            </w:r>
          </w:p>
        </w:tc>
        <w:tc>
          <w:tcPr>
            <w:tcW w:w="1478" w:type="dxa"/>
            <w:tcBorders>
              <w:top w:val="single" w:sz="4" w:space="0" w:color="auto"/>
              <w:left w:val="single" w:sz="4" w:space="0" w:color="auto"/>
              <w:bottom w:val="single" w:sz="4" w:space="0" w:color="auto"/>
              <w:right w:val="single" w:sz="4" w:space="0" w:color="auto"/>
            </w:tcBorders>
            <w:shd w:val="clear" w:color="auto" w:fill="auto"/>
          </w:tcPr>
          <w:p w:rsidR="000E54C2" w:rsidRPr="00E8065F" w:rsidRDefault="000E54C2" w:rsidP="000546C2">
            <w:pPr>
              <w:jc w:val="center"/>
              <w:rPr>
                <w:color w:val="000000"/>
                <w:sz w:val="20"/>
                <w:szCs w:val="20"/>
              </w:rPr>
            </w:pPr>
            <w:r w:rsidRPr="00E8065F">
              <w:rPr>
                <w:color w:val="000000"/>
                <w:sz w:val="20"/>
                <w:szCs w:val="20"/>
              </w:rPr>
              <w:t>11</w:t>
            </w:r>
          </w:p>
        </w:tc>
        <w:tc>
          <w:tcPr>
            <w:tcW w:w="1111" w:type="dxa"/>
            <w:tcBorders>
              <w:top w:val="single" w:sz="4" w:space="0" w:color="auto"/>
              <w:left w:val="single" w:sz="4" w:space="0" w:color="auto"/>
              <w:bottom w:val="single" w:sz="4" w:space="0" w:color="auto"/>
              <w:right w:val="single" w:sz="4" w:space="0" w:color="auto"/>
            </w:tcBorders>
            <w:shd w:val="clear" w:color="auto" w:fill="auto"/>
          </w:tcPr>
          <w:p w:rsidR="000E54C2" w:rsidRPr="00E8065F" w:rsidRDefault="000E54C2" w:rsidP="000546C2">
            <w:pPr>
              <w:jc w:val="center"/>
              <w:rPr>
                <w:color w:val="000000"/>
                <w:sz w:val="20"/>
                <w:szCs w:val="20"/>
              </w:rPr>
            </w:pPr>
            <w:r w:rsidRPr="00E8065F">
              <w:rPr>
                <w:color w:val="000000"/>
                <w:sz w:val="20"/>
                <w:szCs w:val="20"/>
              </w:rPr>
              <w:t>2</w:t>
            </w:r>
          </w:p>
        </w:tc>
        <w:tc>
          <w:tcPr>
            <w:tcW w:w="1944" w:type="dxa"/>
            <w:tcBorders>
              <w:top w:val="single" w:sz="4" w:space="0" w:color="auto"/>
              <w:left w:val="single" w:sz="4" w:space="0" w:color="auto"/>
              <w:bottom w:val="single" w:sz="4" w:space="0" w:color="auto"/>
              <w:right w:val="single" w:sz="4" w:space="0" w:color="auto"/>
            </w:tcBorders>
            <w:shd w:val="clear" w:color="auto" w:fill="auto"/>
          </w:tcPr>
          <w:p w:rsidR="000E54C2" w:rsidRPr="00E8065F" w:rsidRDefault="000E54C2" w:rsidP="00BA1432">
            <w:pPr>
              <w:jc w:val="center"/>
              <w:rPr>
                <w:color w:val="000000"/>
                <w:sz w:val="20"/>
                <w:szCs w:val="20"/>
              </w:rPr>
            </w:pPr>
            <w:r w:rsidRPr="00E8065F">
              <w:rPr>
                <w:color w:val="000000"/>
                <w:sz w:val="20"/>
                <w:szCs w:val="20"/>
              </w:rPr>
              <w:t>Амбулаторное/стационарное</w:t>
            </w:r>
          </w:p>
        </w:tc>
      </w:tr>
      <w:tr w:rsidR="00BA1432" w:rsidRPr="00E8065F" w:rsidTr="000546C2">
        <w:trPr>
          <w:trHeight w:val="20"/>
        </w:trPr>
        <w:tc>
          <w:tcPr>
            <w:tcW w:w="1555" w:type="dxa"/>
            <w:vMerge/>
          </w:tcPr>
          <w:p w:rsidR="000E54C2" w:rsidRPr="00E8065F" w:rsidRDefault="000E54C2" w:rsidP="00BA1432">
            <w:pPr>
              <w:rPr>
                <w:sz w:val="20"/>
                <w:szCs w:val="20"/>
              </w:rPr>
            </w:pPr>
          </w:p>
        </w:tc>
        <w:tc>
          <w:tcPr>
            <w:tcW w:w="3685" w:type="dxa"/>
            <w:tcBorders>
              <w:top w:val="nil"/>
              <w:left w:val="single" w:sz="4" w:space="0" w:color="auto"/>
              <w:bottom w:val="single" w:sz="4" w:space="0" w:color="auto"/>
              <w:right w:val="single" w:sz="4" w:space="0" w:color="auto"/>
            </w:tcBorders>
            <w:shd w:val="clear" w:color="auto" w:fill="auto"/>
          </w:tcPr>
          <w:p w:rsidR="000E54C2" w:rsidRPr="00E8065F" w:rsidRDefault="000E54C2" w:rsidP="00DC0475">
            <w:pPr>
              <w:jc w:val="both"/>
              <w:rPr>
                <w:color w:val="000000"/>
                <w:sz w:val="20"/>
                <w:szCs w:val="20"/>
              </w:rPr>
            </w:pPr>
            <w:r w:rsidRPr="00E8065F">
              <w:rPr>
                <w:color w:val="000000"/>
                <w:sz w:val="20"/>
                <w:szCs w:val="20"/>
              </w:rPr>
              <w:t xml:space="preserve">ГАУЗ </w:t>
            </w:r>
            <w:r w:rsidR="002F7358">
              <w:rPr>
                <w:color w:val="000000"/>
                <w:sz w:val="20"/>
                <w:szCs w:val="20"/>
              </w:rPr>
              <w:t>«</w:t>
            </w:r>
            <w:r w:rsidRPr="00E8065F">
              <w:rPr>
                <w:color w:val="000000"/>
                <w:sz w:val="20"/>
                <w:szCs w:val="20"/>
              </w:rPr>
              <w:t>Бавлинская ЦРБ</w:t>
            </w:r>
            <w:r w:rsidR="002F7358">
              <w:rPr>
                <w:color w:val="000000"/>
                <w:sz w:val="20"/>
                <w:szCs w:val="20"/>
              </w:rPr>
              <w:t>»</w:t>
            </w:r>
          </w:p>
        </w:tc>
        <w:tc>
          <w:tcPr>
            <w:tcW w:w="1994" w:type="dxa"/>
            <w:tcBorders>
              <w:top w:val="nil"/>
              <w:left w:val="single" w:sz="4" w:space="0" w:color="auto"/>
              <w:bottom w:val="single" w:sz="4" w:space="0" w:color="auto"/>
              <w:right w:val="single" w:sz="4" w:space="0" w:color="auto"/>
            </w:tcBorders>
            <w:shd w:val="clear" w:color="auto" w:fill="auto"/>
          </w:tcPr>
          <w:p w:rsidR="000E54C2" w:rsidRPr="00E8065F" w:rsidRDefault="000E54C2" w:rsidP="00BA1432">
            <w:pPr>
              <w:jc w:val="center"/>
              <w:rPr>
                <w:color w:val="000000"/>
                <w:sz w:val="20"/>
                <w:szCs w:val="20"/>
              </w:rPr>
            </w:pPr>
            <w:r w:rsidRPr="00E8065F">
              <w:rPr>
                <w:color w:val="000000"/>
                <w:sz w:val="20"/>
                <w:szCs w:val="20"/>
              </w:rPr>
              <w:t>Рентгенодиагностические аппараты</w:t>
            </w:r>
          </w:p>
        </w:tc>
        <w:tc>
          <w:tcPr>
            <w:tcW w:w="1181" w:type="dxa"/>
            <w:shd w:val="clear" w:color="auto" w:fill="auto"/>
          </w:tcPr>
          <w:p w:rsidR="000E54C2" w:rsidRPr="00E8065F" w:rsidRDefault="000E54C2" w:rsidP="000546C2">
            <w:pPr>
              <w:jc w:val="center"/>
              <w:rPr>
                <w:sz w:val="20"/>
                <w:szCs w:val="20"/>
              </w:rPr>
            </w:pPr>
            <w:r w:rsidRPr="00E8065F">
              <w:rPr>
                <w:sz w:val="20"/>
                <w:szCs w:val="20"/>
              </w:rPr>
              <w:t>2018</w:t>
            </w:r>
          </w:p>
        </w:tc>
        <w:tc>
          <w:tcPr>
            <w:tcW w:w="1181" w:type="dxa"/>
            <w:tcBorders>
              <w:top w:val="nil"/>
              <w:left w:val="single" w:sz="4" w:space="0" w:color="auto"/>
              <w:bottom w:val="single" w:sz="4" w:space="0" w:color="auto"/>
              <w:right w:val="single" w:sz="4" w:space="0" w:color="auto"/>
            </w:tcBorders>
            <w:shd w:val="clear" w:color="auto" w:fill="auto"/>
          </w:tcPr>
          <w:p w:rsidR="000E54C2" w:rsidRPr="00E8065F" w:rsidRDefault="000E54C2" w:rsidP="000546C2">
            <w:pPr>
              <w:jc w:val="center"/>
              <w:rPr>
                <w:color w:val="000000"/>
                <w:sz w:val="20"/>
                <w:szCs w:val="20"/>
              </w:rPr>
            </w:pPr>
            <w:r w:rsidRPr="00E8065F">
              <w:rPr>
                <w:color w:val="000000"/>
                <w:sz w:val="20"/>
                <w:szCs w:val="20"/>
              </w:rPr>
              <w:t>1</w:t>
            </w:r>
          </w:p>
        </w:tc>
        <w:tc>
          <w:tcPr>
            <w:tcW w:w="1478" w:type="dxa"/>
            <w:tcBorders>
              <w:top w:val="nil"/>
              <w:left w:val="single" w:sz="4" w:space="0" w:color="auto"/>
              <w:bottom w:val="single" w:sz="4" w:space="0" w:color="auto"/>
              <w:right w:val="single" w:sz="4" w:space="0" w:color="auto"/>
            </w:tcBorders>
            <w:shd w:val="clear" w:color="auto" w:fill="auto"/>
          </w:tcPr>
          <w:p w:rsidR="000E54C2" w:rsidRPr="00E8065F" w:rsidRDefault="000E54C2" w:rsidP="000546C2">
            <w:pPr>
              <w:jc w:val="center"/>
              <w:rPr>
                <w:color w:val="000000"/>
                <w:sz w:val="20"/>
                <w:szCs w:val="20"/>
              </w:rPr>
            </w:pPr>
            <w:r w:rsidRPr="00E8065F">
              <w:rPr>
                <w:color w:val="000000"/>
                <w:sz w:val="20"/>
                <w:szCs w:val="20"/>
              </w:rPr>
              <w:t>38</w:t>
            </w:r>
          </w:p>
        </w:tc>
        <w:tc>
          <w:tcPr>
            <w:tcW w:w="1111" w:type="dxa"/>
            <w:tcBorders>
              <w:top w:val="nil"/>
              <w:left w:val="single" w:sz="4" w:space="0" w:color="auto"/>
              <w:bottom w:val="single" w:sz="4" w:space="0" w:color="auto"/>
              <w:right w:val="single" w:sz="4" w:space="0" w:color="auto"/>
            </w:tcBorders>
            <w:shd w:val="clear" w:color="auto" w:fill="auto"/>
          </w:tcPr>
          <w:p w:rsidR="000E54C2" w:rsidRPr="00E8065F" w:rsidRDefault="000E54C2" w:rsidP="000546C2">
            <w:pPr>
              <w:jc w:val="center"/>
              <w:rPr>
                <w:color w:val="000000"/>
                <w:sz w:val="20"/>
                <w:szCs w:val="20"/>
              </w:rPr>
            </w:pPr>
            <w:r w:rsidRPr="00E8065F">
              <w:rPr>
                <w:color w:val="000000"/>
                <w:sz w:val="20"/>
                <w:szCs w:val="20"/>
              </w:rPr>
              <w:t>2</w:t>
            </w:r>
          </w:p>
        </w:tc>
        <w:tc>
          <w:tcPr>
            <w:tcW w:w="1944" w:type="dxa"/>
            <w:tcBorders>
              <w:top w:val="nil"/>
              <w:left w:val="single" w:sz="4" w:space="0" w:color="auto"/>
              <w:bottom w:val="single" w:sz="4" w:space="0" w:color="auto"/>
              <w:right w:val="single" w:sz="4" w:space="0" w:color="auto"/>
            </w:tcBorders>
            <w:shd w:val="clear" w:color="auto" w:fill="auto"/>
          </w:tcPr>
          <w:p w:rsidR="000E54C2" w:rsidRPr="00E8065F" w:rsidRDefault="000E54C2" w:rsidP="00BA1432">
            <w:pPr>
              <w:jc w:val="center"/>
              <w:rPr>
                <w:color w:val="000000"/>
                <w:sz w:val="20"/>
                <w:szCs w:val="20"/>
              </w:rPr>
            </w:pPr>
            <w:r w:rsidRPr="00E8065F">
              <w:rPr>
                <w:color w:val="000000"/>
                <w:sz w:val="20"/>
                <w:szCs w:val="20"/>
              </w:rPr>
              <w:t>Амбулаторное/стационарное</w:t>
            </w:r>
          </w:p>
        </w:tc>
      </w:tr>
      <w:tr w:rsidR="00BA1432" w:rsidRPr="00E8065F" w:rsidTr="000546C2">
        <w:trPr>
          <w:trHeight w:val="20"/>
        </w:trPr>
        <w:tc>
          <w:tcPr>
            <w:tcW w:w="1555" w:type="dxa"/>
            <w:vMerge/>
          </w:tcPr>
          <w:p w:rsidR="000E54C2" w:rsidRPr="00E8065F" w:rsidRDefault="000E54C2" w:rsidP="00BA1432">
            <w:pPr>
              <w:rPr>
                <w:sz w:val="20"/>
                <w:szCs w:val="20"/>
              </w:rPr>
            </w:pPr>
          </w:p>
        </w:tc>
        <w:tc>
          <w:tcPr>
            <w:tcW w:w="3685" w:type="dxa"/>
            <w:tcBorders>
              <w:top w:val="nil"/>
              <w:left w:val="single" w:sz="4" w:space="0" w:color="auto"/>
              <w:bottom w:val="single" w:sz="4" w:space="0" w:color="auto"/>
              <w:right w:val="single" w:sz="4" w:space="0" w:color="auto"/>
            </w:tcBorders>
            <w:shd w:val="clear" w:color="auto" w:fill="auto"/>
          </w:tcPr>
          <w:p w:rsidR="000E54C2" w:rsidRPr="00E8065F" w:rsidRDefault="000E54C2" w:rsidP="00DC0475">
            <w:pPr>
              <w:jc w:val="both"/>
              <w:rPr>
                <w:color w:val="000000"/>
                <w:sz w:val="20"/>
                <w:szCs w:val="20"/>
              </w:rPr>
            </w:pPr>
            <w:r w:rsidRPr="00E8065F">
              <w:rPr>
                <w:color w:val="000000"/>
                <w:sz w:val="20"/>
                <w:szCs w:val="20"/>
              </w:rPr>
              <w:t xml:space="preserve">ГАУЗ </w:t>
            </w:r>
            <w:r w:rsidR="002F7358">
              <w:rPr>
                <w:color w:val="000000"/>
                <w:sz w:val="20"/>
                <w:szCs w:val="20"/>
              </w:rPr>
              <w:t>«</w:t>
            </w:r>
            <w:r w:rsidRPr="00E8065F">
              <w:rPr>
                <w:color w:val="000000"/>
                <w:sz w:val="20"/>
                <w:szCs w:val="20"/>
              </w:rPr>
              <w:t>Балтасинская ЦРБ</w:t>
            </w:r>
            <w:r w:rsidR="002F7358">
              <w:rPr>
                <w:color w:val="000000"/>
                <w:sz w:val="20"/>
                <w:szCs w:val="20"/>
              </w:rPr>
              <w:t>»</w:t>
            </w:r>
          </w:p>
        </w:tc>
        <w:tc>
          <w:tcPr>
            <w:tcW w:w="1994" w:type="dxa"/>
            <w:tcBorders>
              <w:top w:val="nil"/>
              <w:left w:val="single" w:sz="4" w:space="0" w:color="auto"/>
              <w:bottom w:val="single" w:sz="4" w:space="0" w:color="auto"/>
              <w:right w:val="single" w:sz="4" w:space="0" w:color="auto"/>
            </w:tcBorders>
            <w:shd w:val="clear" w:color="auto" w:fill="auto"/>
          </w:tcPr>
          <w:p w:rsidR="000E54C2" w:rsidRPr="00E8065F" w:rsidRDefault="000E54C2" w:rsidP="00BA1432">
            <w:pPr>
              <w:jc w:val="center"/>
              <w:rPr>
                <w:color w:val="000000"/>
                <w:sz w:val="20"/>
                <w:szCs w:val="20"/>
              </w:rPr>
            </w:pPr>
            <w:r w:rsidRPr="00E8065F">
              <w:rPr>
                <w:color w:val="000000"/>
                <w:sz w:val="20"/>
                <w:szCs w:val="20"/>
              </w:rPr>
              <w:t>Рентгенодиагностические аппараты</w:t>
            </w:r>
          </w:p>
        </w:tc>
        <w:tc>
          <w:tcPr>
            <w:tcW w:w="1181" w:type="dxa"/>
            <w:tcBorders>
              <w:bottom w:val="single" w:sz="4" w:space="0" w:color="auto"/>
            </w:tcBorders>
            <w:shd w:val="clear" w:color="auto" w:fill="auto"/>
          </w:tcPr>
          <w:p w:rsidR="000E54C2" w:rsidRPr="00E8065F" w:rsidRDefault="000E54C2" w:rsidP="000546C2">
            <w:pPr>
              <w:jc w:val="center"/>
              <w:rPr>
                <w:sz w:val="20"/>
                <w:szCs w:val="20"/>
              </w:rPr>
            </w:pPr>
            <w:r w:rsidRPr="00E8065F">
              <w:rPr>
                <w:sz w:val="20"/>
                <w:szCs w:val="20"/>
              </w:rPr>
              <w:t>2019</w:t>
            </w:r>
            <w:r w:rsidR="00AA5FB3">
              <w:rPr>
                <w:sz w:val="20"/>
                <w:szCs w:val="20"/>
              </w:rPr>
              <w:t xml:space="preserve"> </w:t>
            </w:r>
            <w:r w:rsidR="00512E03">
              <w:rPr>
                <w:sz w:val="20"/>
                <w:szCs w:val="20"/>
              </w:rPr>
              <w:t>(1)</w:t>
            </w:r>
          </w:p>
          <w:p w:rsidR="000E54C2" w:rsidRPr="00E8065F" w:rsidRDefault="000E54C2" w:rsidP="000546C2">
            <w:pPr>
              <w:jc w:val="center"/>
              <w:rPr>
                <w:sz w:val="20"/>
                <w:szCs w:val="20"/>
              </w:rPr>
            </w:pPr>
            <w:r w:rsidRPr="00E8065F">
              <w:rPr>
                <w:sz w:val="20"/>
                <w:szCs w:val="20"/>
              </w:rPr>
              <w:t>2022</w:t>
            </w:r>
            <w:r w:rsidR="00AA5FB3">
              <w:rPr>
                <w:sz w:val="20"/>
                <w:szCs w:val="20"/>
              </w:rPr>
              <w:t xml:space="preserve"> </w:t>
            </w:r>
            <w:r w:rsidR="00512E03">
              <w:rPr>
                <w:sz w:val="20"/>
                <w:szCs w:val="20"/>
              </w:rPr>
              <w:t>(1)</w:t>
            </w:r>
          </w:p>
        </w:tc>
        <w:tc>
          <w:tcPr>
            <w:tcW w:w="1181" w:type="dxa"/>
            <w:tcBorders>
              <w:top w:val="nil"/>
              <w:left w:val="single" w:sz="4" w:space="0" w:color="auto"/>
              <w:bottom w:val="single" w:sz="4" w:space="0" w:color="auto"/>
              <w:right w:val="single" w:sz="4" w:space="0" w:color="auto"/>
            </w:tcBorders>
            <w:shd w:val="clear" w:color="auto" w:fill="auto"/>
          </w:tcPr>
          <w:p w:rsidR="000E54C2" w:rsidRPr="00E8065F" w:rsidRDefault="000E54C2" w:rsidP="000546C2">
            <w:pPr>
              <w:jc w:val="center"/>
              <w:rPr>
                <w:color w:val="000000"/>
                <w:sz w:val="20"/>
                <w:szCs w:val="20"/>
              </w:rPr>
            </w:pPr>
            <w:r w:rsidRPr="00E8065F">
              <w:rPr>
                <w:color w:val="000000"/>
                <w:sz w:val="20"/>
                <w:szCs w:val="20"/>
              </w:rPr>
              <w:t>2</w:t>
            </w:r>
          </w:p>
        </w:tc>
        <w:tc>
          <w:tcPr>
            <w:tcW w:w="1478" w:type="dxa"/>
            <w:tcBorders>
              <w:top w:val="nil"/>
              <w:left w:val="single" w:sz="4" w:space="0" w:color="auto"/>
              <w:bottom w:val="single" w:sz="4" w:space="0" w:color="auto"/>
              <w:right w:val="single" w:sz="4" w:space="0" w:color="auto"/>
            </w:tcBorders>
            <w:shd w:val="clear" w:color="auto" w:fill="auto"/>
          </w:tcPr>
          <w:p w:rsidR="000E54C2" w:rsidRPr="00E8065F" w:rsidRDefault="000E54C2" w:rsidP="000546C2">
            <w:pPr>
              <w:jc w:val="center"/>
              <w:rPr>
                <w:color w:val="000000"/>
                <w:sz w:val="20"/>
                <w:szCs w:val="20"/>
              </w:rPr>
            </w:pPr>
            <w:r w:rsidRPr="00E8065F">
              <w:rPr>
                <w:color w:val="000000"/>
                <w:sz w:val="20"/>
                <w:szCs w:val="20"/>
              </w:rPr>
              <w:t>38</w:t>
            </w:r>
          </w:p>
        </w:tc>
        <w:tc>
          <w:tcPr>
            <w:tcW w:w="1111" w:type="dxa"/>
            <w:tcBorders>
              <w:top w:val="nil"/>
              <w:left w:val="single" w:sz="4" w:space="0" w:color="auto"/>
              <w:bottom w:val="single" w:sz="4" w:space="0" w:color="auto"/>
              <w:right w:val="single" w:sz="4" w:space="0" w:color="auto"/>
            </w:tcBorders>
            <w:shd w:val="clear" w:color="auto" w:fill="auto"/>
          </w:tcPr>
          <w:p w:rsidR="000E54C2" w:rsidRPr="00E8065F" w:rsidRDefault="000E54C2" w:rsidP="000546C2">
            <w:pPr>
              <w:jc w:val="center"/>
              <w:rPr>
                <w:color w:val="000000"/>
                <w:sz w:val="20"/>
                <w:szCs w:val="20"/>
              </w:rPr>
            </w:pPr>
            <w:r w:rsidRPr="00E8065F">
              <w:rPr>
                <w:color w:val="000000"/>
                <w:sz w:val="20"/>
                <w:szCs w:val="20"/>
              </w:rPr>
              <w:t>2</w:t>
            </w:r>
          </w:p>
        </w:tc>
        <w:tc>
          <w:tcPr>
            <w:tcW w:w="1944" w:type="dxa"/>
            <w:tcBorders>
              <w:top w:val="nil"/>
              <w:left w:val="single" w:sz="4" w:space="0" w:color="auto"/>
              <w:bottom w:val="single" w:sz="4" w:space="0" w:color="auto"/>
              <w:right w:val="single" w:sz="4" w:space="0" w:color="auto"/>
            </w:tcBorders>
            <w:shd w:val="clear" w:color="auto" w:fill="auto"/>
          </w:tcPr>
          <w:p w:rsidR="000E54C2" w:rsidRPr="00E8065F" w:rsidRDefault="000E54C2" w:rsidP="00BA1432">
            <w:pPr>
              <w:jc w:val="center"/>
              <w:rPr>
                <w:color w:val="000000"/>
                <w:sz w:val="20"/>
                <w:szCs w:val="20"/>
              </w:rPr>
            </w:pPr>
            <w:r w:rsidRPr="00E8065F">
              <w:rPr>
                <w:color w:val="000000"/>
                <w:sz w:val="20"/>
                <w:szCs w:val="20"/>
              </w:rPr>
              <w:t>Амбулаторное/стационарное</w:t>
            </w:r>
          </w:p>
        </w:tc>
      </w:tr>
      <w:tr w:rsidR="00BA1432" w:rsidRPr="00E8065F" w:rsidTr="000546C2">
        <w:trPr>
          <w:trHeight w:val="20"/>
        </w:trPr>
        <w:tc>
          <w:tcPr>
            <w:tcW w:w="1555" w:type="dxa"/>
            <w:vMerge/>
          </w:tcPr>
          <w:p w:rsidR="000E54C2" w:rsidRPr="00E8065F" w:rsidRDefault="000E54C2" w:rsidP="00BA1432">
            <w:pPr>
              <w:rPr>
                <w:sz w:val="20"/>
                <w:szCs w:val="20"/>
              </w:rPr>
            </w:pPr>
          </w:p>
        </w:tc>
        <w:tc>
          <w:tcPr>
            <w:tcW w:w="3685" w:type="dxa"/>
            <w:tcBorders>
              <w:top w:val="single" w:sz="4" w:space="0" w:color="auto"/>
              <w:bottom w:val="single" w:sz="4" w:space="0" w:color="auto"/>
              <w:right w:val="single" w:sz="4" w:space="0" w:color="auto"/>
            </w:tcBorders>
            <w:shd w:val="clear" w:color="auto" w:fill="auto"/>
          </w:tcPr>
          <w:p w:rsidR="000E54C2" w:rsidRPr="00E8065F" w:rsidRDefault="000E54C2" w:rsidP="00DC0475">
            <w:pPr>
              <w:jc w:val="both"/>
              <w:rPr>
                <w:color w:val="000000"/>
                <w:sz w:val="20"/>
                <w:szCs w:val="20"/>
              </w:rPr>
            </w:pPr>
            <w:r w:rsidRPr="00E8065F">
              <w:rPr>
                <w:color w:val="000000"/>
                <w:sz w:val="20"/>
                <w:szCs w:val="20"/>
              </w:rPr>
              <w:t xml:space="preserve">ГАУЗ </w:t>
            </w:r>
            <w:r w:rsidR="002F7358">
              <w:rPr>
                <w:color w:val="000000"/>
                <w:sz w:val="20"/>
                <w:szCs w:val="20"/>
              </w:rPr>
              <w:t>«</w:t>
            </w:r>
            <w:r w:rsidRPr="00E8065F">
              <w:rPr>
                <w:color w:val="000000"/>
                <w:sz w:val="20"/>
                <w:szCs w:val="20"/>
              </w:rPr>
              <w:t>Бугульминская ЦРБ</w:t>
            </w:r>
            <w:r w:rsidR="002F7358">
              <w:rPr>
                <w:color w:val="000000"/>
                <w:sz w:val="20"/>
                <w:szCs w:val="20"/>
              </w:rPr>
              <w:t>»</w:t>
            </w:r>
          </w:p>
        </w:tc>
        <w:tc>
          <w:tcPr>
            <w:tcW w:w="1994" w:type="dxa"/>
            <w:tcBorders>
              <w:top w:val="single" w:sz="4" w:space="0" w:color="auto"/>
              <w:left w:val="single" w:sz="4" w:space="0" w:color="auto"/>
              <w:bottom w:val="single" w:sz="4" w:space="0" w:color="auto"/>
              <w:right w:val="single" w:sz="4" w:space="0" w:color="auto"/>
            </w:tcBorders>
            <w:shd w:val="clear" w:color="auto" w:fill="auto"/>
          </w:tcPr>
          <w:p w:rsidR="000E54C2" w:rsidRPr="00E8065F" w:rsidRDefault="000E54C2" w:rsidP="00BA1432">
            <w:pPr>
              <w:jc w:val="center"/>
              <w:rPr>
                <w:color w:val="000000"/>
                <w:sz w:val="20"/>
                <w:szCs w:val="20"/>
              </w:rPr>
            </w:pPr>
            <w:r w:rsidRPr="00E8065F">
              <w:rPr>
                <w:color w:val="000000"/>
                <w:sz w:val="20"/>
                <w:szCs w:val="20"/>
              </w:rPr>
              <w:t>Рентгенодиагностические аппараты</w:t>
            </w:r>
          </w:p>
        </w:tc>
        <w:tc>
          <w:tcPr>
            <w:tcW w:w="1181" w:type="dxa"/>
            <w:tcBorders>
              <w:top w:val="single" w:sz="4" w:space="0" w:color="auto"/>
              <w:left w:val="single" w:sz="4" w:space="0" w:color="auto"/>
              <w:bottom w:val="single" w:sz="4" w:space="0" w:color="auto"/>
              <w:right w:val="single" w:sz="4" w:space="0" w:color="auto"/>
            </w:tcBorders>
            <w:shd w:val="clear" w:color="auto" w:fill="auto"/>
          </w:tcPr>
          <w:p w:rsidR="000E54C2" w:rsidRPr="00E8065F" w:rsidRDefault="000E54C2" w:rsidP="000546C2">
            <w:pPr>
              <w:jc w:val="center"/>
              <w:rPr>
                <w:sz w:val="20"/>
                <w:szCs w:val="20"/>
              </w:rPr>
            </w:pPr>
            <w:r w:rsidRPr="00E8065F">
              <w:rPr>
                <w:sz w:val="20"/>
                <w:szCs w:val="20"/>
              </w:rPr>
              <w:t>2001</w:t>
            </w:r>
            <w:r w:rsidR="00AA5FB3">
              <w:rPr>
                <w:sz w:val="20"/>
                <w:szCs w:val="20"/>
              </w:rPr>
              <w:t xml:space="preserve"> </w:t>
            </w:r>
            <w:r w:rsidR="00512E03">
              <w:rPr>
                <w:sz w:val="20"/>
                <w:szCs w:val="20"/>
              </w:rPr>
              <w:t>(1)</w:t>
            </w:r>
          </w:p>
          <w:p w:rsidR="00512E03" w:rsidRPr="00E8065F" w:rsidRDefault="000E54C2" w:rsidP="00512E03">
            <w:pPr>
              <w:jc w:val="center"/>
              <w:rPr>
                <w:sz w:val="20"/>
                <w:szCs w:val="20"/>
              </w:rPr>
            </w:pPr>
            <w:r w:rsidRPr="00E8065F">
              <w:rPr>
                <w:sz w:val="20"/>
                <w:szCs w:val="20"/>
              </w:rPr>
              <w:t>2010</w:t>
            </w:r>
            <w:r w:rsidR="00AA5FB3">
              <w:rPr>
                <w:sz w:val="20"/>
                <w:szCs w:val="20"/>
              </w:rPr>
              <w:t xml:space="preserve"> </w:t>
            </w:r>
            <w:r w:rsidR="00512E03">
              <w:rPr>
                <w:sz w:val="20"/>
                <w:szCs w:val="20"/>
              </w:rPr>
              <w:t>(1)</w:t>
            </w:r>
          </w:p>
          <w:p w:rsidR="00512E03" w:rsidRPr="00E8065F" w:rsidRDefault="000E54C2" w:rsidP="00512E03">
            <w:pPr>
              <w:jc w:val="center"/>
              <w:rPr>
                <w:sz w:val="20"/>
                <w:szCs w:val="20"/>
              </w:rPr>
            </w:pPr>
            <w:r w:rsidRPr="00E8065F">
              <w:rPr>
                <w:sz w:val="20"/>
                <w:szCs w:val="20"/>
              </w:rPr>
              <w:t>2018</w:t>
            </w:r>
            <w:r w:rsidR="00AA5FB3">
              <w:rPr>
                <w:sz w:val="20"/>
                <w:szCs w:val="20"/>
              </w:rPr>
              <w:t xml:space="preserve"> </w:t>
            </w:r>
            <w:r w:rsidR="00512E03">
              <w:rPr>
                <w:sz w:val="20"/>
                <w:szCs w:val="20"/>
              </w:rPr>
              <w:t>(1)</w:t>
            </w:r>
          </w:p>
          <w:p w:rsidR="000E54C2" w:rsidRPr="00E8065F" w:rsidRDefault="000E54C2" w:rsidP="00AA5FB3">
            <w:pPr>
              <w:jc w:val="center"/>
              <w:rPr>
                <w:sz w:val="20"/>
                <w:szCs w:val="20"/>
              </w:rPr>
            </w:pPr>
            <w:r w:rsidRPr="00E8065F">
              <w:rPr>
                <w:sz w:val="20"/>
                <w:szCs w:val="20"/>
              </w:rPr>
              <w:t>2019</w:t>
            </w:r>
            <w:r w:rsidR="00AA5FB3">
              <w:rPr>
                <w:sz w:val="20"/>
                <w:szCs w:val="20"/>
              </w:rPr>
              <w:t xml:space="preserve"> </w:t>
            </w:r>
            <w:r w:rsidR="00512E03">
              <w:rPr>
                <w:sz w:val="20"/>
                <w:szCs w:val="20"/>
              </w:rPr>
              <w:t>(1)</w:t>
            </w:r>
          </w:p>
        </w:tc>
        <w:tc>
          <w:tcPr>
            <w:tcW w:w="1181" w:type="dxa"/>
            <w:tcBorders>
              <w:top w:val="single" w:sz="4" w:space="0" w:color="auto"/>
              <w:left w:val="single" w:sz="4" w:space="0" w:color="auto"/>
              <w:bottom w:val="single" w:sz="4" w:space="0" w:color="auto"/>
              <w:right w:val="single" w:sz="4" w:space="0" w:color="auto"/>
            </w:tcBorders>
            <w:shd w:val="clear" w:color="auto" w:fill="auto"/>
          </w:tcPr>
          <w:p w:rsidR="000E54C2" w:rsidRPr="00E8065F" w:rsidRDefault="000E54C2" w:rsidP="000546C2">
            <w:pPr>
              <w:jc w:val="center"/>
              <w:rPr>
                <w:color w:val="000000"/>
                <w:sz w:val="20"/>
                <w:szCs w:val="20"/>
              </w:rPr>
            </w:pPr>
            <w:r w:rsidRPr="00E8065F">
              <w:rPr>
                <w:color w:val="000000"/>
                <w:sz w:val="20"/>
                <w:szCs w:val="20"/>
              </w:rPr>
              <w:t>4</w:t>
            </w:r>
          </w:p>
        </w:tc>
        <w:tc>
          <w:tcPr>
            <w:tcW w:w="1478" w:type="dxa"/>
            <w:tcBorders>
              <w:top w:val="single" w:sz="4" w:space="0" w:color="auto"/>
              <w:left w:val="single" w:sz="4" w:space="0" w:color="auto"/>
              <w:bottom w:val="single" w:sz="4" w:space="0" w:color="auto"/>
              <w:right w:val="single" w:sz="4" w:space="0" w:color="auto"/>
            </w:tcBorders>
            <w:shd w:val="clear" w:color="auto" w:fill="auto"/>
          </w:tcPr>
          <w:p w:rsidR="000E54C2" w:rsidRPr="00E8065F" w:rsidRDefault="000E54C2" w:rsidP="000546C2">
            <w:pPr>
              <w:jc w:val="center"/>
              <w:rPr>
                <w:color w:val="000000"/>
                <w:sz w:val="20"/>
                <w:szCs w:val="20"/>
              </w:rPr>
            </w:pPr>
            <w:r w:rsidRPr="00E8065F">
              <w:rPr>
                <w:color w:val="000000"/>
                <w:sz w:val="20"/>
                <w:szCs w:val="20"/>
              </w:rPr>
              <w:t>220</w:t>
            </w:r>
          </w:p>
        </w:tc>
        <w:tc>
          <w:tcPr>
            <w:tcW w:w="1111" w:type="dxa"/>
            <w:tcBorders>
              <w:top w:val="single" w:sz="4" w:space="0" w:color="auto"/>
              <w:left w:val="single" w:sz="4" w:space="0" w:color="auto"/>
              <w:bottom w:val="single" w:sz="4" w:space="0" w:color="auto"/>
              <w:right w:val="single" w:sz="4" w:space="0" w:color="auto"/>
            </w:tcBorders>
            <w:shd w:val="clear" w:color="auto" w:fill="auto"/>
          </w:tcPr>
          <w:p w:rsidR="000E54C2" w:rsidRPr="00E8065F" w:rsidRDefault="000E54C2" w:rsidP="000546C2">
            <w:pPr>
              <w:jc w:val="center"/>
              <w:rPr>
                <w:color w:val="000000"/>
                <w:sz w:val="20"/>
                <w:szCs w:val="20"/>
              </w:rPr>
            </w:pPr>
            <w:r w:rsidRPr="00E8065F">
              <w:rPr>
                <w:color w:val="000000"/>
                <w:sz w:val="20"/>
                <w:szCs w:val="20"/>
              </w:rPr>
              <w:t>2</w:t>
            </w:r>
          </w:p>
        </w:tc>
        <w:tc>
          <w:tcPr>
            <w:tcW w:w="1944" w:type="dxa"/>
            <w:tcBorders>
              <w:top w:val="single" w:sz="4" w:space="0" w:color="auto"/>
              <w:left w:val="single" w:sz="4" w:space="0" w:color="auto"/>
              <w:bottom w:val="single" w:sz="4" w:space="0" w:color="auto"/>
              <w:right w:val="single" w:sz="4" w:space="0" w:color="auto"/>
            </w:tcBorders>
            <w:shd w:val="clear" w:color="auto" w:fill="auto"/>
          </w:tcPr>
          <w:p w:rsidR="000E54C2" w:rsidRPr="00E8065F" w:rsidRDefault="000E54C2" w:rsidP="00BA1432">
            <w:pPr>
              <w:jc w:val="center"/>
              <w:rPr>
                <w:color w:val="000000"/>
                <w:sz w:val="20"/>
                <w:szCs w:val="20"/>
              </w:rPr>
            </w:pPr>
            <w:r w:rsidRPr="00E8065F">
              <w:rPr>
                <w:color w:val="000000"/>
                <w:sz w:val="20"/>
                <w:szCs w:val="20"/>
              </w:rPr>
              <w:t>Амбулаторное/стационарное</w:t>
            </w:r>
          </w:p>
        </w:tc>
      </w:tr>
      <w:tr w:rsidR="00BA1432" w:rsidRPr="00E8065F" w:rsidTr="000546C2">
        <w:trPr>
          <w:trHeight w:val="20"/>
        </w:trPr>
        <w:tc>
          <w:tcPr>
            <w:tcW w:w="1555" w:type="dxa"/>
            <w:vMerge/>
          </w:tcPr>
          <w:p w:rsidR="000E54C2" w:rsidRPr="00E8065F" w:rsidRDefault="000E54C2" w:rsidP="00BA1432">
            <w:pPr>
              <w:rPr>
                <w:sz w:val="20"/>
                <w:szCs w:val="20"/>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0E54C2" w:rsidRPr="00E8065F" w:rsidRDefault="000E54C2" w:rsidP="00DC0475">
            <w:pPr>
              <w:jc w:val="both"/>
              <w:rPr>
                <w:color w:val="000000"/>
                <w:sz w:val="20"/>
                <w:szCs w:val="20"/>
              </w:rPr>
            </w:pPr>
            <w:r w:rsidRPr="00E8065F">
              <w:rPr>
                <w:color w:val="000000"/>
                <w:sz w:val="20"/>
                <w:szCs w:val="20"/>
              </w:rPr>
              <w:t xml:space="preserve">ГАУЗ </w:t>
            </w:r>
            <w:r w:rsidR="002F7358">
              <w:rPr>
                <w:color w:val="000000"/>
                <w:sz w:val="20"/>
                <w:szCs w:val="20"/>
              </w:rPr>
              <w:t>«</w:t>
            </w:r>
            <w:r w:rsidRPr="00E8065F">
              <w:rPr>
                <w:color w:val="000000"/>
                <w:sz w:val="20"/>
                <w:szCs w:val="20"/>
              </w:rPr>
              <w:t>Буинская ЦРБ</w:t>
            </w:r>
            <w:r w:rsidR="002F7358">
              <w:rPr>
                <w:color w:val="000000"/>
                <w:sz w:val="20"/>
                <w:szCs w:val="20"/>
              </w:rPr>
              <w:t>»</w:t>
            </w:r>
          </w:p>
        </w:tc>
        <w:tc>
          <w:tcPr>
            <w:tcW w:w="1994" w:type="dxa"/>
            <w:tcBorders>
              <w:top w:val="single" w:sz="4" w:space="0" w:color="auto"/>
              <w:left w:val="single" w:sz="4" w:space="0" w:color="auto"/>
              <w:bottom w:val="single" w:sz="4" w:space="0" w:color="auto"/>
              <w:right w:val="single" w:sz="4" w:space="0" w:color="auto"/>
            </w:tcBorders>
            <w:shd w:val="clear" w:color="auto" w:fill="auto"/>
          </w:tcPr>
          <w:p w:rsidR="000E54C2" w:rsidRPr="00E8065F" w:rsidRDefault="000E54C2" w:rsidP="00BA1432">
            <w:pPr>
              <w:jc w:val="center"/>
              <w:rPr>
                <w:color w:val="000000"/>
                <w:sz w:val="20"/>
                <w:szCs w:val="20"/>
              </w:rPr>
            </w:pPr>
            <w:r w:rsidRPr="00E8065F">
              <w:rPr>
                <w:color w:val="000000"/>
                <w:sz w:val="20"/>
                <w:szCs w:val="20"/>
              </w:rPr>
              <w:t>Рентгенодиагностические аппараты</w:t>
            </w:r>
          </w:p>
        </w:tc>
        <w:tc>
          <w:tcPr>
            <w:tcW w:w="1181" w:type="dxa"/>
            <w:tcBorders>
              <w:top w:val="single" w:sz="4" w:space="0" w:color="auto"/>
            </w:tcBorders>
            <w:shd w:val="clear" w:color="auto" w:fill="auto"/>
          </w:tcPr>
          <w:p w:rsidR="00512E03" w:rsidRPr="00E8065F" w:rsidRDefault="000E54C2" w:rsidP="00512E03">
            <w:pPr>
              <w:jc w:val="center"/>
              <w:rPr>
                <w:sz w:val="20"/>
                <w:szCs w:val="20"/>
              </w:rPr>
            </w:pPr>
            <w:r w:rsidRPr="00E8065F">
              <w:rPr>
                <w:sz w:val="20"/>
                <w:szCs w:val="20"/>
              </w:rPr>
              <w:t>2019</w:t>
            </w:r>
            <w:r w:rsidR="00AA5FB3">
              <w:rPr>
                <w:sz w:val="20"/>
                <w:szCs w:val="20"/>
              </w:rPr>
              <w:t xml:space="preserve"> </w:t>
            </w:r>
            <w:r w:rsidR="00512E03">
              <w:rPr>
                <w:sz w:val="20"/>
                <w:szCs w:val="20"/>
              </w:rPr>
              <w:t>(1)</w:t>
            </w:r>
          </w:p>
          <w:p w:rsidR="000E54C2" w:rsidRPr="00E8065F" w:rsidRDefault="000E54C2" w:rsidP="00AA5FB3">
            <w:pPr>
              <w:jc w:val="center"/>
              <w:rPr>
                <w:sz w:val="20"/>
                <w:szCs w:val="20"/>
              </w:rPr>
            </w:pPr>
            <w:r w:rsidRPr="00E8065F">
              <w:rPr>
                <w:sz w:val="20"/>
                <w:szCs w:val="20"/>
              </w:rPr>
              <w:t>2012</w:t>
            </w:r>
            <w:r w:rsidR="00AA5FB3">
              <w:rPr>
                <w:sz w:val="20"/>
                <w:szCs w:val="20"/>
              </w:rPr>
              <w:t xml:space="preserve"> </w:t>
            </w:r>
            <w:r w:rsidR="00512E03">
              <w:rPr>
                <w:sz w:val="20"/>
                <w:szCs w:val="20"/>
              </w:rPr>
              <w:t>(1)</w:t>
            </w:r>
          </w:p>
        </w:tc>
        <w:tc>
          <w:tcPr>
            <w:tcW w:w="1181" w:type="dxa"/>
            <w:tcBorders>
              <w:top w:val="single" w:sz="4" w:space="0" w:color="auto"/>
              <w:left w:val="single" w:sz="4" w:space="0" w:color="auto"/>
              <w:bottom w:val="single" w:sz="4" w:space="0" w:color="auto"/>
              <w:right w:val="single" w:sz="4" w:space="0" w:color="auto"/>
            </w:tcBorders>
            <w:shd w:val="clear" w:color="auto" w:fill="auto"/>
          </w:tcPr>
          <w:p w:rsidR="000E54C2" w:rsidRPr="00E8065F" w:rsidRDefault="000E54C2" w:rsidP="000546C2">
            <w:pPr>
              <w:jc w:val="center"/>
              <w:rPr>
                <w:color w:val="000000"/>
                <w:sz w:val="20"/>
                <w:szCs w:val="20"/>
              </w:rPr>
            </w:pPr>
            <w:r w:rsidRPr="00E8065F">
              <w:rPr>
                <w:color w:val="000000"/>
                <w:sz w:val="20"/>
                <w:szCs w:val="20"/>
              </w:rPr>
              <w:t>2</w:t>
            </w:r>
          </w:p>
        </w:tc>
        <w:tc>
          <w:tcPr>
            <w:tcW w:w="1478" w:type="dxa"/>
            <w:tcBorders>
              <w:top w:val="single" w:sz="4" w:space="0" w:color="auto"/>
              <w:left w:val="single" w:sz="4" w:space="0" w:color="auto"/>
              <w:bottom w:val="single" w:sz="4" w:space="0" w:color="auto"/>
              <w:right w:val="single" w:sz="4" w:space="0" w:color="auto"/>
            </w:tcBorders>
            <w:shd w:val="clear" w:color="auto" w:fill="auto"/>
          </w:tcPr>
          <w:p w:rsidR="000E54C2" w:rsidRPr="00E8065F" w:rsidRDefault="000E54C2" w:rsidP="000546C2">
            <w:pPr>
              <w:jc w:val="center"/>
              <w:rPr>
                <w:color w:val="000000"/>
                <w:sz w:val="20"/>
                <w:szCs w:val="20"/>
              </w:rPr>
            </w:pPr>
            <w:r w:rsidRPr="00E8065F">
              <w:rPr>
                <w:color w:val="000000"/>
                <w:sz w:val="20"/>
                <w:szCs w:val="20"/>
              </w:rPr>
              <w:t>38</w:t>
            </w:r>
          </w:p>
        </w:tc>
        <w:tc>
          <w:tcPr>
            <w:tcW w:w="1111" w:type="dxa"/>
            <w:tcBorders>
              <w:top w:val="single" w:sz="4" w:space="0" w:color="auto"/>
              <w:left w:val="single" w:sz="4" w:space="0" w:color="auto"/>
              <w:bottom w:val="single" w:sz="4" w:space="0" w:color="auto"/>
              <w:right w:val="single" w:sz="4" w:space="0" w:color="auto"/>
            </w:tcBorders>
            <w:shd w:val="clear" w:color="auto" w:fill="auto"/>
          </w:tcPr>
          <w:p w:rsidR="000E54C2" w:rsidRPr="00E8065F" w:rsidRDefault="000E54C2" w:rsidP="000546C2">
            <w:pPr>
              <w:jc w:val="center"/>
              <w:rPr>
                <w:color w:val="000000"/>
                <w:sz w:val="20"/>
                <w:szCs w:val="20"/>
              </w:rPr>
            </w:pPr>
            <w:r w:rsidRPr="00E8065F">
              <w:rPr>
                <w:color w:val="000000"/>
                <w:sz w:val="20"/>
                <w:szCs w:val="20"/>
              </w:rPr>
              <w:t>2</w:t>
            </w:r>
          </w:p>
        </w:tc>
        <w:tc>
          <w:tcPr>
            <w:tcW w:w="1944" w:type="dxa"/>
            <w:tcBorders>
              <w:top w:val="single" w:sz="4" w:space="0" w:color="auto"/>
              <w:left w:val="single" w:sz="4" w:space="0" w:color="auto"/>
              <w:bottom w:val="single" w:sz="4" w:space="0" w:color="auto"/>
              <w:right w:val="single" w:sz="4" w:space="0" w:color="auto"/>
            </w:tcBorders>
            <w:shd w:val="clear" w:color="auto" w:fill="auto"/>
          </w:tcPr>
          <w:p w:rsidR="000E54C2" w:rsidRPr="00E8065F" w:rsidRDefault="000E54C2" w:rsidP="00BA1432">
            <w:pPr>
              <w:jc w:val="center"/>
              <w:rPr>
                <w:color w:val="000000"/>
                <w:sz w:val="20"/>
                <w:szCs w:val="20"/>
              </w:rPr>
            </w:pPr>
            <w:r w:rsidRPr="00E8065F">
              <w:rPr>
                <w:color w:val="000000"/>
                <w:sz w:val="20"/>
                <w:szCs w:val="20"/>
              </w:rPr>
              <w:t>Амбулаторное/стационарное</w:t>
            </w:r>
          </w:p>
        </w:tc>
      </w:tr>
      <w:tr w:rsidR="00BA1432" w:rsidRPr="00E8065F" w:rsidTr="000546C2">
        <w:trPr>
          <w:trHeight w:val="20"/>
        </w:trPr>
        <w:tc>
          <w:tcPr>
            <w:tcW w:w="1555" w:type="dxa"/>
            <w:vMerge/>
          </w:tcPr>
          <w:p w:rsidR="000E54C2" w:rsidRPr="00E8065F" w:rsidRDefault="000E54C2" w:rsidP="00BA1432">
            <w:pPr>
              <w:rPr>
                <w:sz w:val="20"/>
                <w:szCs w:val="20"/>
              </w:rPr>
            </w:pPr>
          </w:p>
        </w:tc>
        <w:tc>
          <w:tcPr>
            <w:tcW w:w="3685" w:type="dxa"/>
            <w:tcBorders>
              <w:top w:val="nil"/>
              <w:left w:val="single" w:sz="4" w:space="0" w:color="auto"/>
              <w:bottom w:val="single" w:sz="4" w:space="0" w:color="auto"/>
              <w:right w:val="single" w:sz="4" w:space="0" w:color="auto"/>
            </w:tcBorders>
            <w:shd w:val="clear" w:color="auto" w:fill="auto"/>
          </w:tcPr>
          <w:p w:rsidR="000E54C2" w:rsidRPr="00E8065F" w:rsidRDefault="000E54C2" w:rsidP="00DC0475">
            <w:pPr>
              <w:jc w:val="both"/>
              <w:rPr>
                <w:color w:val="000000"/>
                <w:sz w:val="20"/>
                <w:szCs w:val="20"/>
              </w:rPr>
            </w:pPr>
            <w:r w:rsidRPr="00E8065F">
              <w:rPr>
                <w:color w:val="000000"/>
                <w:sz w:val="20"/>
                <w:szCs w:val="20"/>
              </w:rPr>
              <w:t xml:space="preserve">ГАУЗ </w:t>
            </w:r>
            <w:r w:rsidR="002F7358">
              <w:rPr>
                <w:color w:val="000000"/>
                <w:sz w:val="20"/>
                <w:szCs w:val="20"/>
              </w:rPr>
              <w:t>«</w:t>
            </w:r>
            <w:r w:rsidRPr="00E8065F">
              <w:rPr>
                <w:color w:val="000000"/>
                <w:sz w:val="20"/>
                <w:szCs w:val="20"/>
              </w:rPr>
              <w:t>Верхнеуслонская ЦРБ</w:t>
            </w:r>
            <w:r w:rsidR="002F7358">
              <w:rPr>
                <w:color w:val="000000"/>
                <w:sz w:val="20"/>
                <w:szCs w:val="20"/>
              </w:rPr>
              <w:t>»</w:t>
            </w:r>
          </w:p>
        </w:tc>
        <w:tc>
          <w:tcPr>
            <w:tcW w:w="1994" w:type="dxa"/>
            <w:tcBorders>
              <w:top w:val="nil"/>
              <w:left w:val="single" w:sz="4" w:space="0" w:color="auto"/>
              <w:bottom w:val="single" w:sz="4" w:space="0" w:color="auto"/>
              <w:right w:val="single" w:sz="4" w:space="0" w:color="auto"/>
            </w:tcBorders>
            <w:shd w:val="clear" w:color="auto" w:fill="auto"/>
          </w:tcPr>
          <w:p w:rsidR="000E54C2" w:rsidRPr="00E8065F" w:rsidRDefault="000E54C2" w:rsidP="00BA1432">
            <w:pPr>
              <w:jc w:val="center"/>
              <w:rPr>
                <w:color w:val="000000"/>
                <w:sz w:val="20"/>
                <w:szCs w:val="20"/>
              </w:rPr>
            </w:pPr>
            <w:r w:rsidRPr="00E8065F">
              <w:rPr>
                <w:color w:val="000000"/>
                <w:sz w:val="20"/>
                <w:szCs w:val="20"/>
              </w:rPr>
              <w:t>Рентгенодиагностические аппараты</w:t>
            </w:r>
          </w:p>
        </w:tc>
        <w:tc>
          <w:tcPr>
            <w:tcW w:w="1181" w:type="dxa"/>
            <w:shd w:val="clear" w:color="auto" w:fill="auto"/>
          </w:tcPr>
          <w:p w:rsidR="000E54C2" w:rsidRPr="00E8065F" w:rsidRDefault="000E54C2" w:rsidP="000546C2">
            <w:pPr>
              <w:jc w:val="center"/>
              <w:rPr>
                <w:sz w:val="20"/>
                <w:szCs w:val="20"/>
              </w:rPr>
            </w:pPr>
            <w:r w:rsidRPr="00E8065F">
              <w:rPr>
                <w:sz w:val="20"/>
                <w:szCs w:val="20"/>
              </w:rPr>
              <w:t>2018</w:t>
            </w:r>
            <w:r w:rsidR="00AA5FB3">
              <w:rPr>
                <w:sz w:val="20"/>
                <w:szCs w:val="20"/>
              </w:rPr>
              <w:t xml:space="preserve"> </w:t>
            </w:r>
          </w:p>
        </w:tc>
        <w:tc>
          <w:tcPr>
            <w:tcW w:w="1181" w:type="dxa"/>
            <w:tcBorders>
              <w:top w:val="nil"/>
              <w:left w:val="single" w:sz="4" w:space="0" w:color="auto"/>
              <w:bottom w:val="single" w:sz="4" w:space="0" w:color="auto"/>
              <w:right w:val="single" w:sz="4" w:space="0" w:color="auto"/>
            </w:tcBorders>
            <w:shd w:val="clear" w:color="auto" w:fill="auto"/>
          </w:tcPr>
          <w:p w:rsidR="000E54C2" w:rsidRPr="00E8065F" w:rsidRDefault="000E54C2" w:rsidP="000546C2">
            <w:pPr>
              <w:jc w:val="center"/>
              <w:rPr>
                <w:color w:val="000000"/>
                <w:sz w:val="20"/>
                <w:szCs w:val="20"/>
              </w:rPr>
            </w:pPr>
            <w:r w:rsidRPr="00E8065F">
              <w:rPr>
                <w:color w:val="000000"/>
                <w:sz w:val="20"/>
                <w:szCs w:val="20"/>
              </w:rPr>
              <w:t>1</w:t>
            </w:r>
          </w:p>
        </w:tc>
        <w:tc>
          <w:tcPr>
            <w:tcW w:w="1478" w:type="dxa"/>
            <w:tcBorders>
              <w:top w:val="nil"/>
              <w:left w:val="single" w:sz="4" w:space="0" w:color="auto"/>
              <w:bottom w:val="single" w:sz="4" w:space="0" w:color="auto"/>
              <w:right w:val="single" w:sz="4" w:space="0" w:color="auto"/>
            </w:tcBorders>
            <w:shd w:val="clear" w:color="auto" w:fill="auto"/>
          </w:tcPr>
          <w:p w:rsidR="000E54C2" w:rsidRPr="00E8065F" w:rsidRDefault="000E54C2" w:rsidP="000546C2">
            <w:pPr>
              <w:jc w:val="center"/>
              <w:rPr>
                <w:color w:val="000000"/>
                <w:sz w:val="20"/>
                <w:szCs w:val="20"/>
              </w:rPr>
            </w:pPr>
            <w:r w:rsidRPr="00E8065F">
              <w:rPr>
                <w:color w:val="000000"/>
                <w:sz w:val="20"/>
                <w:szCs w:val="20"/>
              </w:rPr>
              <w:t>19</w:t>
            </w:r>
          </w:p>
        </w:tc>
        <w:tc>
          <w:tcPr>
            <w:tcW w:w="1111" w:type="dxa"/>
            <w:tcBorders>
              <w:top w:val="nil"/>
              <w:left w:val="single" w:sz="4" w:space="0" w:color="auto"/>
              <w:bottom w:val="single" w:sz="4" w:space="0" w:color="auto"/>
              <w:right w:val="single" w:sz="4" w:space="0" w:color="auto"/>
            </w:tcBorders>
            <w:shd w:val="clear" w:color="auto" w:fill="auto"/>
          </w:tcPr>
          <w:p w:rsidR="000E54C2" w:rsidRPr="00E8065F" w:rsidRDefault="000E54C2" w:rsidP="000546C2">
            <w:pPr>
              <w:jc w:val="center"/>
              <w:rPr>
                <w:color w:val="000000"/>
                <w:sz w:val="20"/>
                <w:szCs w:val="20"/>
              </w:rPr>
            </w:pPr>
            <w:r w:rsidRPr="00E8065F">
              <w:rPr>
                <w:color w:val="000000"/>
                <w:sz w:val="20"/>
                <w:szCs w:val="20"/>
              </w:rPr>
              <w:t>2</w:t>
            </w:r>
          </w:p>
        </w:tc>
        <w:tc>
          <w:tcPr>
            <w:tcW w:w="1944" w:type="dxa"/>
            <w:tcBorders>
              <w:top w:val="nil"/>
              <w:left w:val="single" w:sz="4" w:space="0" w:color="auto"/>
              <w:bottom w:val="single" w:sz="4" w:space="0" w:color="auto"/>
              <w:right w:val="single" w:sz="4" w:space="0" w:color="auto"/>
            </w:tcBorders>
            <w:shd w:val="clear" w:color="auto" w:fill="auto"/>
          </w:tcPr>
          <w:p w:rsidR="000E54C2" w:rsidRPr="00E8065F" w:rsidRDefault="000E54C2" w:rsidP="00BA1432">
            <w:pPr>
              <w:jc w:val="center"/>
              <w:rPr>
                <w:color w:val="000000"/>
                <w:sz w:val="20"/>
                <w:szCs w:val="20"/>
              </w:rPr>
            </w:pPr>
            <w:r w:rsidRPr="00E8065F">
              <w:rPr>
                <w:color w:val="000000"/>
                <w:sz w:val="20"/>
                <w:szCs w:val="20"/>
              </w:rPr>
              <w:t>Амбулаторное/стационарное</w:t>
            </w:r>
          </w:p>
        </w:tc>
      </w:tr>
      <w:tr w:rsidR="00BA1432" w:rsidRPr="00E8065F" w:rsidTr="000546C2">
        <w:trPr>
          <w:trHeight w:val="20"/>
        </w:trPr>
        <w:tc>
          <w:tcPr>
            <w:tcW w:w="1555" w:type="dxa"/>
            <w:vMerge/>
          </w:tcPr>
          <w:p w:rsidR="000E54C2" w:rsidRPr="00E8065F" w:rsidRDefault="000E54C2" w:rsidP="00BA1432">
            <w:pPr>
              <w:rPr>
                <w:sz w:val="20"/>
                <w:szCs w:val="20"/>
              </w:rPr>
            </w:pPr>
          </w:p>
        </w:tc>
        <w:tc>
          <w:tcPr>
            <w:tcW w:w="3685" w:type="dxa"/>
            <w:tcBorders>
              <w:top w:val="nil"/>
              <w:left w:val="single" w:sz="4" w:space="0" w:color="auto"/>
              <w:bottom w:val="single" w:sz="4" w:space="0" w:color="auto"/>
              <w:right w:val="single" w:sz="4" w:space="0" w:color="auto"/>
            </w:tcBorders>
            <w:shd w:val="clear" w:color="auto" w:fill="auto"/>
          </w:tcPr>
          <w:p w:rsidR="000E54C2" w:rsidRPr="00E8065F" w:rsidRDefault="000E54C2" w:rsidP="00DC0475">
            <w:pPr>
              <w:jc w:val="both"/>
              <w:rPr>
                <w:color w:val="000000"/>
                <w:sz w:val="20"/>
                <w:szCs w:val="20"/>
              </w:rPr>
            </w:pPr>
            <w:r w:rsidRPr="00E8065F">
              <w:rPr>
                <w:color w:val="000000"/>
                <w:sz w:val="20"/>
                <w:szCs w:val="20"/>
              </w:rPr>
              <w:t xml:space="preserve">ГАУЗ </w:t>
            </w:r>
            <w:r w:rsidR="002F7358">
              <w:rPr>
                <w:color w:val="000000"/>
                <w:sz w:val="20"/>
                <w:szCs w:val="20"/>
              </w:rPr>
              <w:t>«</w:t>
            </w:r>
            <w:r w:rsidRPr="00E8065F">
              <w:rPr>
                <w:color w:val="000000"/>
                <w:sz w:val="20"/>
                <w:szCs w:val="20"/>
              </w:rPr>
              <w:t>Высокогорская ЦРБ</w:t>
            </w:r>
            <w:r w:rsidR="002F7358">
              <w:rPr>
                <w:color w:val="000000"/>
                <w:sz w:val="20"/>
                <w:szCs w:val="20"/>
              </w:rPr>
              <w:t>»</w:t>
            </w:r>
          </w:p>
        </w:tc>
        <w:tc>
          <w:tcPr>
            <w:tcW w:w="1994" w:type="dxa"/>
            <w:tcBorders>
              <w:top w:val="nil"/>
              <w:left w:val="single" w:sz="4" w:space="0" w:color="auto"/>
              <w:bottom w:val="single" w:sz="4" w:space="0" w:color="auto"/>
              <w:right w:val="single" w:sz="4" w:space="0" w:color="auto"/>
            </w:tcBorders>
            <w:shd w:val="clear" w:color="auto" w:fill="auto"/>
          </w:tcPr>
          <w:p w:rsidR="000E54C2" w:rsidRPr="00E8065F" w:rsidRDefault="000E54C2" w:rsidP="00BA1432">
            <w:pPr>
              <w:jc w:val="center"/>
              <w:rPr>
                <w:color w:val="000000"/>
                <w:sz w:val="20"/>
                <w:szCs w:val="20"/>
              </w:rPr>
            </w:pPr>
            <w:r w:rsidRPr="00E8065F">
              <w:rPr>
                <w:color w:val="000000"/>
                <w:sz w:val="20"/>
                <w:szCs w:val="20"/>
              </w:rPr>
              <w:t>Рентгенодиагностические аппараты</w:t>
            </w:r>
          </w:p>
        </w:tc>
        <w:tc>
          <w:tcPr>
            <w:tcW w:w="1181" w:type="dxa"/>
            <w:shd w:val="clear" w:color="auto" w:fill="auto"/>
          </w:tcPr>
          <w:p w:rsidR="00512E03" w:rsidRPr="00E8065F" w:rsidRDefault="000E54C2" w:rsidP="00512E03">
            <w:pPr>
              <w:jc w:val="center"/>
              <w:rPr>
                <w:sz w:val="20"/>
                <w:szCs w:val="20"/>
              </w:rPr>
            </w:pPr>
            <w:r w:rsidRPr="00E8065F">
              <w:rPr>
                <w:sz w:val="20"/>
                <w:szCs w:val="20"/>
              </w:rPr>
              <w:t>2014</w:t>
            </w:r>
            <w:r w:rsidR="00AA5FB3">
              <w:rPr>
                <w:sz w:val="20"/>
                <w:szCs w:val="20"/>
              </w:rPr>
              <w:t xml:space="preserve"> </w:t>
            </w:r>
            <w:r w:rsidR="00512E03">
              <w:rPr>
                <w:sz w:val="20"/>
                <w:szCs w:val="20"/>
              </w:rPr>
              <w:t>(1)</w:t>
            </w:r>
          </w:p>
          <w:p w:rsidR="000E54C2" w:rsidRPr="00E8065F" w:rsidRDefault="000E54C2" w:rsidP="000546C2">
            <w:pPr>
              <w:jc w:val="center"/>
              <w:rPr>
                <w:sz w:val="20"/>
                <w:szCs w:val="20"/>
              </w:rPr>
            </w:pPr>
            <w:r w:rsidRPr="00E8065F">
              <w:rPr>
                <w:sz w:val="20"/>
                <w:szCs w:val="20"/>
              </w:rPr>
              <w:t>2022</w:t>
            </w:r>
            <w:r w:rsidR="00AA5FB3">
              <w:rPr>
                <w:sz w:val="20"/>
                <w:szCs w:val="20"/>
              </w:rPr>
              <w:t xml:space="preserve"> </w:t>
            </w:r>
            <w:r w:rsidR="00512E03">
              <w:rPr>
                <w:sz w:val="20"/>
                <w:szCs w:val="20"/>
              </w:rPr>
              <w:t>(2)</w:t>
            </w:r>
          </w:p>
        </w:tc>
        <w:tc>
          <w:tcPr>
            <w:tcW w:w="1181" w:type="dxa"/>
            <w:tcBorders>
              <w:top w:val="nil"/>
              <w:left w:val="single" w:sz="4" w:space="0" w:color="auto"/>
              <w:bottom w:val="single" w:sz="4" w:space="0" w:color="auto"/>
              <w:right w:val="single" w:sz="4" w:space="0" w:color="auto"/>
            </w:tcBorders>
            <w:shd w:val="clear" w:color="auto" w:fill="auto"/>
          </w:tcPr>
          <w:p w:rsidR="000E54C2" w:rsidRPr="00E8065F" w:rsidRDefault="000E54C2" w:rsidP="000546C2">
            <w:pPr>
              <w:jc w:val="center"/>
              <w:rPr>
                <w:color w:val="000000"/>
                <w:sz w:val="20"/>
                <w:szCs w:val="20"/>
              </w:rPr>
            </w:pPr>
            <w:r w:rsidRPr="00E8065F">
              <w:rPr>
                <w:color w:val="000000"/>
                <w:sz w:val="20"/>
                <w:szCs w:val="20"/>
              </w:rPr>
              <w:t>3</w:t>
            </w:r>
          </w:p>
        </w:tc>
        <w:tc>
          <w:tcPr>
            <w:tcW w:w="1478" w:type="dxa"/>
            <w:tcBorders>
              <w:top w:val="nil"/>
              <w:left w:val="single" w:sz="4" w:space="0" w:color="auto"/>
              <w:bottom w:val="single" w:sz="4" w:space="0" w:color="auto"/>
              <w:right w:val="single" w:sz="4" w:space="0" w:color="auto"/>
            </w:tcBorders>
            <w:shd w:val="clear" w:color="auto" w:fill="auto"/>
          </w:tcPr>
          <w:p w:rsidR="000E54C2" w:rsidRPr="00E8065F" w:rsidRDefault="000E54C2" w:rsidP="000546C2">
            <w:pPr>
              <w:jc w:val="center"/>
              <w:rPr>
                <w:color w:val="000000"/>
                <w:sz w:val="20"/>
                <w:szCs w:val="20"/>
              </w:rPr>
            </w:pPr>
            <w:r w:rsidRPr="00E8065F">
              <w:rPr>
                <w:color w:val="000000"/>
                <w:sz w:val="20"/>
                <w:szCs w:val="20"/>
              </w:rPr>
              <w:t>15</w:t>
            </w:r>
          </w:p>
        </w:tc>
        <w:tc>
          <w:tcPr>
            <w:tcW w:w="1111" w:type="dxa"/>
            <w:tcBorders>
              <w:top w:val="nil"/>
              <w:left w:val="single" w:sz="4" w:space="0" w:color="auto"/>
              <w:bottom w:val="single" w:sz="4" w:space="0" w:color="auto"/>
              <w:right w:val="single" w:sz="4" w:space="0" w:color="auto"/>
            </w:tcBorders>
            <w:shd w:val="clear" w:color="auto" w:fill="auto"/>
          </w:tcPr>
          <w:p w:rsidR="000E54C2" w:rsidRPr="00E8065F" w:rsidRDefault="000E54C2" w:rsidP="000546C2">
            <w:pPr>
              <w:jc w:val="center"/>
              <w:rPr>
                <w:color w:val="000000"/>
                <w:sz w:val="20"/>
                <w:szCs w:val="20"/>
              </w:rPr>
            </w:pPr>
            <w:r w:rsidRPr="00E8065F">
              <w:rPr>
                <w:color w:val="000000"/>
                <w:sz w:val="20"/>
                <w:szCs w:val="20"/>
              </w:rPr>
              <w:t>2</w:t>
            </w:r>
          </w:p>
        </w:tc>
        <w:tc>
          <w:tcPr>
            <w:tcW w:w="1944" w:type="dxa"/>
            <w:tcBorders>
              <w:top w:val="nil"/>
              <w:left w:val="single" w:sz="4" w:space="0" w:color="auto"/>
              <w:bottom w:val="single" w:sz="4" w:space="0" w:color="auto"/>
              <w:right w:val="single" w:sz="4" w:space="0" w:color="auto"/>
            </w:tcBorders>
            <w:shd w:val="clear" w:color="auto" w:fill="auto"/>
          </w:tcPr>
          <w:p w:rsidR="000E54C2" w:rsidRPr="00E8065F" w:rsidRDefault="000E54C2" w:rsidP="00BA1432">
            <w:pPr>
              <w:jc w:val="center"/>
              <w:rPr>
                <w:color w:val="000000"/>
                <w:sz w:val="20"/>
                <w:szCs w:val="20"/>
              </w:rPr>
            </w:pPr>
            <w:r w:rsidRPr="00E8065F">
              <w:rPr>
                <w:color w:val="000000"/>
                <w:sz w:val="20"/>
                <w:szCs w:val="20"/>
              </w:rPr>
              <w:t>Амбулаторное/стационарное</w:t>
            </w:r>
          </w:p>
        </w:tc>
      </w:tr>
      <w:tr w:rsidR="00BA1432" w:rsidRPr="00E8065F" w:rsidTr="000546C2">
        <w:trPr>
          <w:trHeight w:val="20"/>
        </w:trPr>
        <w:tc>
          <w:tcPr>
            <w:tcW w:w="1555" w:type="dxa"/>
            <w:vMerge/>
          </w:tcPr>
          <w:p w:rsidR="000E54C2" w:rsidRPr="00E8065F" w:rsidRDefault="000E54C2" w:rsidP="00BA1432">
            <w:pPr>
              <w:rPr>
                <w:sz w:val="20"/>
                <w:szCs w:val="20"/>
              </w:rPr>
            </w:pPr>
          </w:p>
        </w:tc>
        <w:tc>
          <w:tcPr>
            <w:tcW w:w="3685" w:type="dxa"/>
            <w:tcBorders>
              <w:top w:val="nil"/>
              <w:left w:val="single" w:sz="4" w:space="0" w:color="auto"/>
              <w:bottom w:val="single" w:sz="4" w:space="0" w:color="auto"/>
              <w:right w:val="single" w:sz="4" w:space="0" w:color="auto"/>
            </w:tcBorders>
            <w:shd w:val="clear" w:color="auto" w:fill="auto"/>
          </w:tcPr>
          <w:p w:rsidR="000E54C2" w:rsidRPr="00E8065F" w:rsidRDefault="000E54C2" w:rsidP="00DC0475">
            <w:pPr>
              <w:jc w:val="both"/>
              <w:rPr>
                <w:color w:val="000000"/>
                <w:sz w:val="20"/>
                <w:szCs w:val="20"/>
              </w:rPr>
            </w:pPr>
            <w:r w:rsidRPr="00E8065F">
              <w:rPr>
                <w:color w:val="000000"/>
                <w:sz w:val="20"/>
                <w:szCs w:val="20"/>
              </w:rPr>
              <w:t xml:space="preserve">ГАУЗ </w:t>
            </w:r>
            <w:r w:rsidR="002F7358">
              <w:rPr>
                <w:color w:val="000000"/>
                <w:sz w:val="20"/>
                <w:szCs w:val="20"/>
              </w:rPr>
              <w:t>«</w:t>
            </w:r>
            <w:r w:rsidRPr="00E8065F">
              <w:rPr>
                <w:color w:val="000000"/>
                <w:sz w:val="20"/>
                <w:szCs w:val="20"/>
              </w:rPr>
              <w:t>Дрожжановская ЦРБ</w:t>
            </w:r>
            <w:r w:rsidR="002F7358">
              <w:rPr>
                <w:color w:val="000000"/>
                <w:sz w:val="20"/>
                <w:szCs w:val="20"/>
              </w:rPr>
              <w:t>»</w:t>
            </w:r>
          </w:p>
        </w:tc>
        <w:tc>
          <w:tcPr>
            <w:tcW w:w="1994" w:type="dxa"/>
            <w:tcBorders>
              <w:top w:val="nil"/>
              <w:left w:val="single" w:sz="4" w:space="0" w:color="auto"/>
              <w:bottom w:val="single" w:sz="4" w:space="0" w:color="auto"/>
              <w:right w:val="single" w:sz="4" w:space="0" w:color="auto"/>
            </w:tcBorders>
            <w:shd w:val="clear" w:color="auto" w:fill="auto"/>
          </w:tcPr>
          <w:p w:rsidR="000E54C2" w:rsidRPr="00E8065F" w:rsidRDefault="000E54C2" w:rsidP="00BA1432">
            <w:pPr>
              <w:jc w:val="center"/>
              <w:rPr>
                <w:color w:val="000000"/>
                <w:sz w:val="20"/>
                <w:szCs w:val="20"/>
              </w:rPr>
            </w:pPr>
            <w:r w:rsidRPr="00E8065F">
              <w:rPr>
                <w:color w:val="000000"/>
                <w:sz w:val="20"/>
                <w:szCs w:val="20"/>
              </w:rPr>
              <w:t>Рентгенодиагностические аппараты</w:t>
            </w:r>
          </w:p>
        </w:tc>
        <w:tc>
          <w:tcPr>
            <w:tcW w:w="1181" w:type="dxa"/>
            <w:shd w:val="clear" w:color="auto" w:fill="auto"/>
          </w:tcPr>
          <w:p w:rsidR="00512E03" w:rsidRPr="00E8065F" w:rsidRDefault="000E54C2" w:rsidP="00512E03">
            <w:pPr>
              <w:jc w:val="center"/>
              <w:rPr>
                <w:sz w:val="20"/>
                <w:szCs w:val="20"/>
              </w:rPr>
            </w:pPr>
            <w:r w:rsidRPr="00E8065F">
              <w:rPr>
                <w:sz w:val="20"/>
                <w:szCs w:val="20"/>
              </w:rPr>
              <w:t>2013</w:t>
            </w:r>
            <w:r w:rsidR="00AA5FB3">
              <w:rPr>
                <w:sz w:val="20"/>
                <w:szCs w:val="20"/>
              </w:rPr>
              <w:t xml:space="preserve"> </w:t>
            </w:r>
            <w:r w:rsidR="00512E03">
              <w:rPr>
                <w:sz w:val="20"/>
                <w:szCs w:val="20"/>
              </w:rPr>
              <w:t>(1)</w:t>
            </w:r>
          </w:p>
          <w:p w:rsidR="000E54C2" w:rsidRPr="00E8065F" w:rsidRDefault="000E54C2" w:rsidP="00512E03">
            <w:pPr>
              <w:jc w:val="center"/>
              <w:rPr>
                <w:sz w:val="20"/>
                <w:szCs w:val="20"/>
              </w:rPr>
            </w:pPr>
            <w:r w:rsidRPr="00E8065F">
              <w:rPr>
                <w:sz w:val="20"/>
                <w:szCs w:val="20"/>
              </w:rPr>
              <w:t>2023</w:t>
            </w:r>
            <w:r w:rsidR="00AA5FB3">
              <w:rPr>
                <w:sz w:val="20"/>
                <w:szCs w:val="20"/>
              </w:rPr>
              <w:t xml:space="preserve"> </w:t>
            </w:r>
            <w:r w:rsidR="00512E03">
              <w:rPr>
                <w:sz w:val="20"/>
                <w:szCs w:val="20"/>
              </w:rPr>
              <w:t>(1)</w:t>
            </w:r>
          </w:p>
        </w:tc>
        <w:tc>
          <w:tcPr>
            <w:tcW w:w="1181" w:type="dxa"/>
            <w:tcBorders>
              <w:top w:val="nil"/>
              <w:left w:val="single" w:sz="4" w:space="0" w:color="auto"/>
              <w:bottom w:val="single" w:sz="4" w:space="0" w:color="auto"/>
              <w:right w:val="single" w:sz="4" w:space="0" w:color="auto"/>
            </w:tcBorders>
            <w:shd w:val="clear" w:color="auto" w:fill="auto"/>
          </w:tcPr>
          <w:p w:rsidR="000E54C2" w:rsidRPr="00E8065F" w:rsidRDefault="000E54C2" w:rsidP="000546C2">
            <w:pPr>
              <w:jc w:val="center"/>
              <w:rPr>
                <w:color w:val="000000"/>
                <w:sz w:val="20"/>
                <w:szCs w:val="20"/>
              </w:rPr>
            </w:pPr>
            <w:r w:rsidRPr="00E8065F">
              <w:rPr>
                <w:color w:val="000000"/>
                <w:sz w:val="20"/>
                <w:szCs w:val="20"/>
              </w:rPr>
              <w:t>2</w:t>
            </w:r>
          </w:p>
        </w:tc>
        <w:tc>
          <w:tcPr>
            <w:tcW w:w="1478" w:type="dxa"/>
            <w:tcBorders>
              <w:top w:val="nil"/>
              <w:left w:val="single" w:sz="4" w:space="0" w:color="auto"/>
              <w:bottom w:val="single" w:sz="4" w:space="0" w:color="auto"/>
              <w:right w:val="single" w:sz="4" w:space="0" w:color="auto"/>
            </w:tcBorders>
            <w:shd w:val="clear" w:color="auto" w:fill="auto"/>
          </w:tcPr>
          <w:p w:rsidR="000E54C2" w:rsidRPr="00E8065F" w:rsidRDefault="000E54C2" w:rsidP="000546C2">
            <w:pPr>
              <w:jc w:val="center"/>
              <w:rPr>
                <w:color w:val="000000"/>
                <w:sz w:val="20"/>
                <w:szCs w:val="20"/>
              </w:rPr>
            </w:pPr>
            <w:r w:rsidRPr="00E8065F">
              <w:rPr>
                <w:color w:val="000000"/>
                <w:sz w:val="20"/>
                <w:szCs w:val="20"/>
              </w:rPr>
              <w:t>11</w:t>
            </w:r>
          </w:p>
        </w:tc>
        <w:tc>
          <w:tcPr>
            <w:tcW w:w="1111" w:type="dxa"/>
            <w:tcBorders>
              <w:top w:val="nil"/>
              <w:left w:val="single" w:sz="4" w:space="0" w:color="auto"/>
              <w:bottom w:val="single" w:sz="4" w:space="0" w:color="auto"/>
              <w:right w:val="single" w:sz="4" w:space="0" w:color="auto"/>
            </w:tcBorders>
            <w:shd w:val="clear" w:color="auto" w:fill="auto"/>
          </w:tcPr>
          <w:p w:rsidR="000E54C2" w:rsidRPr="00E8065F" w:rsidRDefault="000E54C2" w:rsidP="000546C2">
            <w:pPr>
              <w:jc w:val="center"/>
              <w:rPr>
                <w:color w:val="000000"/>
                <w:sz w:val="20"/>
                <w:szCs w:val="20"/>
              </w:rPr>
            </w:pPr>
            <w:r w:rsidRPr="00E8065F">
              <w:rPr>
                <w:color w:val="000000"/>
                <w:sz w:val="20"/>
                <w:szCs w:val="20"/>
              </w:rPr>
              <w:t>2</w:t>
            </w:r>
          </w:p>
        </w:tc>
        <w:tc>
          <w:tcPr>
            <w:tcW w:w="1944" w:type="dxa"/>
            <w:tcBorders>
              <w:top w:val="nil"/>
              <w:left w:val="single" w:sz="4" w:space="0" w:color="auto"/>
              <w:bottom w:val="single" w:sz="4" w:space="0" w:color="auto"/>
              <w:right w:val="single" w:sz="4" w:space="0" w:color="auto"/>
            </w:tcBorders>
            <w:shd w:val="clear" w:color="auto" w:fill="auto"/>
          </w:tcPr>
          <w:p w:rsidR="000E54C2" w:rsidRPr="00E8065F" w:rsidRDefault="000E54C2" w:rsidP="00BA1432">
            <w:pPr>
              <w:jc w:val="center"/>
              <w:rPr>
                <w:color w:val="000000"/>
                <w:sz w:val="20"/>
                <w:szCs w:val="20"/>
              </w:rPr>
            </w:pPr>
            <w:r w:rsidRPr="00E8065F">
              <w:rPr>
                <w:color w:val="000000"/>
                <w:sz w:val="20"/>
                <w:szCs w:val="20"/>
              </w:rPr>
              <w:t>Амбулаторное/стационарное</w:t>
            </w:r>
          </w:p>
        </w:tc>
      </w:tr>
      <w:tr w:rsidR="00BA1432" w:rsidRPr="00E8065F" w:rsidTr="000546C2">
        <w:trPr>
          <w:trHeight w:val="20"/>
        </w:trPr>
        <w:tc>
          <w:tcPr>
            <w:tcW w:w="1555" w:type="dxa"/>
            <w:vMerge/>
          </w:tcPr>
          <w:p w:rsidR="000E54C2" w:rsidRPr="00E8065F" w:rsidRDefault="000E54C2" w:rsidP="00BA1432">
            <w:pPr>
              <w:rPr>
                <w:sz w:val="20"/>
                <w:szCs w:val="20"/>
              </w:rPr>
            </w:pPr>
          </w:p>
        </w:tc>
        <w:tc>
          <w:tcPr>
            <w:tcW w:w="3685" w:type="dxa"/>
            <w:tcBorders>
              <w:top w:val="nil"/>
              <w:left w:val="single" w:sz="4" w:space="0" w:color="auto"/>
              <w:bottom w:val="single" w:sz="4" w:space="0" w:color="auto"/>
              <w:right w:val="single" w:sz="4" w:space="0" w:color="auto"/>
            </w:tcBorders>
            <w:shd w:val="clear" w:color="auto" w:fill="auto"/>
          </w:tcPr>
          <w:p w:rsidR="000E54C2" w:rsidRPr="00E8065F" w:rsidRDefault="000E54C2" w:rsidP="00DC0475">
            <w:pPr>
              <w:jc w:val="both"/>
              <w:rPr>
                <w:color w:val="000000"/>
                <w:sz w:val="20"/>
                <w:szCs w:val="20"/>
              </w:rPr>
            </w:pPr>
            <w:r w:rsidRPr="00E8065F">
              <w:rPr>
                <w:color w:val="000000"/>
                <w:sz w:val="20"/>
                <w:szCs w:val="20"/>
              </w:rPr>
              <w:t xml:space="preserve">ГАУЗ </w:t>
            </w:r>
            <w:r w:rsidR="002F7358">
              <w:rPr>
                <w:color w:val="000000"/>
                <w:sz w:val="20"/>
                <w:szCs w:val="20"/>
              </w:rPr>
              <w:t>«</w:t>
            </w:r>
            <w:r w:rsidRPr="00E8065F">
              <w:rPr>
                <w:color w:val="000000"/>
                <w:sz w:val="20"/>
                <w:szCs w:val="20"/>
              </w:rPr>
              <w:t>Елабужская ЦРБ</w:t>
            </w:r>
            <w:r w:rsidR="002F7358">
              <w:rPr>
                <w:color w:val="000000"/>
                <w:sz w:val="20"/>
                <w:szCs w:val="20"/>
              </w:rPr>
              <w:t>»</w:t>
            </w:r>
          </w:p>
        </w:tc>
        <w:tc>
          <w:tcPr>
            <w:tcW w:w="1994" w:type="dxa"/>
            <w:tcBorders>
              <w:top w:val="nil"/>
              <w:left w:val="single" w:sz="4" w:space="0" w:color="auto"/>
              <w:bottom w:val="single" w:sz="4" w:space="0" w:color="auto"/>
              <w:right w:val="single" w:sz="4" w:space="0" w:color="auto"/>
            </w:tcBorders>
            <w:shd w:val="clear" w:color="auto" w:fill="auto"/>
          </w:tcPr>
          <w:p w:rsidR="000E54C2" w:rsidRPr="00E8065F" w:rsidRDefault="000E54C2" w:rsidP="00BA1432">
            <w:pPr>
              <w:jc w:val="center"/>
              <w:rPr>
                <w:color w:val="000000"/>
                <w:sz w:val="20"/>
                <w:szCs w:val="20"/>
              </w:rPr>
            </w:pPr>
            <w:r w:rsidRPr="00E8065F">
              <w:rPr>
                <w:color w:val="000000"/>
                <w:sz w:val="20"/>
                <w:szCs w:val="20"/>
              </w:rPr>
              <w:t>Рентгенодиагностические аппараты</w:t>
            </w:r>
          </w:p>
        </w:tc>
        <w:tc>
          <w:tcPr>
            <w:tcW w:w="1181" w:type="dxa"/>
            <w:shd w:val="clear" w:color="auto" w:fill="auto"/>
          </w:tcPr>
          <w:p w:rsidR="00512E03" w:rsidRPr="00E8065F" w:rsidRDefault="000E54C2" w:rsidP="00512E03">
            <w:pPr>
              <w:jc w:val="center"/>
              <w:rPr>
                <w:sz w:val="20"/>
                <w:szCs w:val="20"/>
              </w:rPr>
            </w:pPr>
            <w:r w:rsidRPr="00E8065F">
              <w:rPr>
                <w:sz w:val="20"/>
                <w:szCs w:val="20"/>
              </w:rPr>
              <w:t>2006</w:t>
            </w:r>
            <w:r w:rsidR="00AA5FB3">
              <w:rPr>
                <w:sz w:val="20"/>
                <w:szCs w:val="20"/>
              </w:rPr>
              <w:t xml:space="preserve"> </w:t>
            </w:r>
            <w:r w:rsidR="00512E03">
              <w:rPr>
                <w:sz w:val="20"/>
                <w:szCs w:val="20"/>
              </w:rPr>
              <w:t>(1)</w:t>
            </w:r>
          </w:p>
          <w:p w:rsidR="00512E03" w:rsidRPr="00E8065F" w:rsidRDefault="000E54C2" w:rsidP="00512E03">
            <w:pPr>
              <w:jc w:val="center"/>
              <w:rPr>
                <w:sz w:val="20"/>
                <w:szCs w:val="20"/>
              </w:rPr>
            </w:pPr>
            <w:r w:rsidRPr="00E8065F">
              <w:rPr>
                <w:sz w:val="20"/>
                <w:szCs w:val="20"/>
              </w:rPr>
              <w:t>2008</w:t>
            </w:r>
            <w:r w:rsidR="00AA5FB3">
              <w:rPr>
                <w:sz w:val="20"/>
                <w:szCs w:val="20"/>
              </w:rPr>
              <w:t xml:space="preserve"> </w:t>
            </w:r>
            <w:r w:rsidR="00512E03">
              <w:rPr>
                <w:sz w:val="20"/>
                <w:szCs w:val="20"/>
              </w:rPr>
              <w:t>(1)</w:t>
            </w:r>
          </w:p>
          <w:p w:rsidR="00512E03" w:rsidRPr="00E8065F" w:rsidRDefault="000E54C2" w:rsidP="00512E03">
            <w:pPr>
              <w:jc w:val="center"/>
              <w:rPr>
                <w:sz w:val="20"/>
                <w:szCs w:val="20"/>
              </w:rPr>
            </w:pPr>
            <w:r w:rsidRPr="00E8065F">
              <w:rPr>
                <w:sz w:val="20"/>
                <w:szCs w:val="20"/>
              </w:rPr>
              <w:t>2011</w:t>
            </w:r>
            <w:r w:rsidR="00AA5FB3">
              <w:rPr>
                <w:sz w:val="20"/>
                <w:szCs w:val="20"/>
              </w:rPr>
              <w:t xml:space="preserve"> </w:t>
            </w:r>
            <w:r w:rsidR="00512E03">
              <w:rPr>
                <w:sz w:val="20"/>
                <w:szCs w:val="20"/>
              </w:rPr>
              <w:t>(1)</w:t>
            </w:r>
          </w:p>
          <w:p w:rsidR="000E54C2" w:rsidRPr="00E8065F" w:rsidRDefault="000E54C2" w:rsidP="00512E03">
            <w:pPr>
              <w:jc w:val="center"/>
              <w:rPr>
                <w:sz w:val="20"/>
                <w:szCs w:val="20"/>
              </w:rPr>
            </w:pPr>
            <w:r w:rsidRPr="00E8065F">
              <w:rPr>
                <w:sz w:val="20"/>
                <w:szCs w:val="20"/>
              </w:rPr>
              <w:t>2022</w:t>
            </w:r>
            <w:r w:rsidR="00AA5FB3">
              <w:rPr>
                <w:sz w:val="20"/>
                <w:szCs w:val="20"/>
              </w:rPr>
              <w:t xml:space="preserve"> </w:t>
            </w:r>
            <w:r w:rsidR="00512E03">
              <w:rPr>
                <w:sz w:val="20"/>
                <w:szCs w:val="20"/>
              </w:rPr>
              <w:t>(1)</w:t>
            </w:r>
          </w:p>
        </w:tc>
        <w:tc>
          <w:tcPr>
            <w:tcW w:w="1181" w:type="dxa"/>
            <w:tcBorders>
              <w:top w:val="nil"/>
              <w:left w:val="single" w:sz="4" w:space="0" w:color="auto"/>
              <w:bottom w:val="single" w:sz="4" w:space="0" w:color="auto"/>
              <w:right w:val="single" w:sz="4" w:space="0" w:color="auto"/>
            </w:tcBorders>
            <w:shd w:val="clear" w:color="auto" w:fill="auto"/>
          </w:tcPr>
          <w:p w:rsidR="000E54C2" w:rsidRPr="00E8065F" w:rsidRDefault="000E54C2" w:rsidP="000546C2">
            <w:pPr>
              <w:jc w:val="center"/>
              <w:rPr>
                <w:color w:val="000000"/>
                <w:sz w:val="20"/>
                <w:szCs w:val="20"/>
              </w:rPr>
            </w:pPr>
            <w:r w:rsidRPr="00E8065F">
              <w:rPr>
                <w:color w:val="000000"/>
                <w:sz w:val="20"/>
                <w:szCs w:val="20"/>
              </w:rPr>
              <w:t>4</w:t>
            </w:r>
          </w:p>
        </w:tc>
        <w:tc>
          <w:tcPr>
            <w:tcW w:w="1478" w:type="dxa"/>
            <w:tcBorders>
              <w:top w:val="nil"/>
              <w:left w:val="single" w:sz="4" w:space="0" w:color="auto"/>
              <w:bottom w:val="single" w:sz="4" w:space="0" w:color="auto"/>
              <w:right w:val="single" w:sz="4" w:space="0" w:color="auto"/>
            </w:tcBorders>
            <w:shd w:val="clear" w:color="auto" w:fill="auto"/>
          </w:tcPr>
          <w:p w:rsidR="000E54C2" w:rsidRPr="00E8065F" w:rsidRDefault="000E54C2" w:rsidP="000546C2">
            <w:pPr>
              <w:jc w:val="center"/>
              <w:rPr>
                <w:color w:val="000000"/>
                <w:sz w:val="20"/>
                <w:szCs w:val="20"/>
              </w:rPr>
            </w:pPr>
            <w:r w:rsidRPr="00E8065F">
              <w:rPr>
                <w:color w:val="000000"/>
                <w:sz w:val="20"/>
                <w:szCs w:val="20"/>
              </w:rPr>
              <w:t>136</w:t>
            </w:r>
          </w:p>
        </w:tc>
        <w:tc>
          <w:tcPr>
            <w:tcW w:w="1111" w:type="dxa"/>
            <w:tcBorders>
              <w:top w:val="nil"/>
              <w:left w:val="single" w:sz="4" w:space="0" w:color="auto"/>
              <w:bottom w:val="single" w:sz="4" w:space="0" w:color="auto"/>
              <w:right w:val="single" w:sz="4" w:space="0" w:color="auto"/>
            </w:tcBorders>
            <w:shd w:val="clear" w:color="auto" w:fill="auto"/>
          </w:tcPr>
          <w:p w:rsidR="000E54C2" w:rsidRPr="00E8065F" w:rsidRDefault="000E54C2" w:rsidP="000546C2">
            <w:pPr>
              <w:jc w:val="center"/>
              <w:rPr>
                <w:color w:val="000000"/>
                <w:sz w:val="20"/>
                <w:szCs w:val="20"/>
              </w:rPr>
            </w:pPr>
            <w:r w:rsidRPr="00E8065F">
              <w:rPr>
                <w:color w:val="000000"/>
                <w:sz w:val="20"/>
                <w:szCs w:val="20"/>
              </w:rPr>
              <w:t>2</w:t>
            </w:r>
          </w:p>
        </w:tc>
        <w:tc>
          <w:tcPr>
            <w:tcW w:w="1944" w:type="dxa"/>
            <w:tcBorders>
              <w:top w:val="nil"/>
              <w:left w:val="single" w:sz="4" w:space="0" w:color="auto"/>
              <w:bottom w:val="single" w:sz="4" w:space="0" w:color="auto"/>
              <w:right w:val="single" w:sz="4" w:space="0" w:color="auto"/>
            </w:tcBorders>
            <w:shd w:val="clear" w:color="auto" w:fill="auto"/>
          </w:tcPr>
          <w:p w:rsidR="000E54C2" w:rsidRPr="00E8065F" w:rsidRDefault="000E54C2" w:rsidP="00BA1432">
            <w:pPr>
              <w:jc w:val="center"/>
              <w:rPr>
                <w:color w:val="000000"/>
                <w:sz w:val="20"/>
                <w:szCs w:val="20"/>
              </w:rPr>
            </w:pPr>
            <w:r w:rsidRPr="00E8065F">
              <w:rPr>
                <w:color w:val="000000"/>
                <w:sz w:val="20"/>
                <w:szCs w:val="20"/>
              </w:rPr>
              <w:t>Амбулаторное/стационарное</w:t>
            </w:r>
          </w:p>
        </w:tc>
      </w:tr>
      <w:tr w:rsidR="00BA1432" w:rsidRPr="00E8065F" w:rsidTr="000546C2">
        <w:trPr>
          <w:trHeight w:val="20"/>
        </w:trPr>
        <w:tc>
          <w:tcPr>
            <w:tcW w:w="1555" w:type="dxa"/>
            <w:vMerge/>
          </w:tcPr>
          <w:p w:rsidR="000E54C2" w:rsidRPr="00E8065F" w:rsidRDefault="000E54C2" w:rsidP="00BA1432">
            <w:pPr>
              <w:rPr>
                <w:sz w:val="20"/>
                <w:szCs w:val="20"/>
              </w:rPr>
            </w:pPr>
          </w:p>
        </w:tc>
        <w:tc>
          <w:tcPr>
            <w:tcW w:w="3685" w:type="dxa"/>
            <w:tcBorders>
              <w:top w:val="nil"/>
              <w:left w:val="single" w:sz="4" w:space="0" w:color="auto"/>
              <w:bottom w:val="single" w:sz="4" w:space="0" w:color="auto"/>
              <w:right w:val="single" w:sz="4" w:space="0" w:color="auto"/>
            </w:tcBorders>
            <w:shd w:val="clear" w:color="auto" w:fill="auto"/>
          </w:tcPr>
          <w:p w:rsidR="000E54C2" w:rsidRPr="00E8065F" w:rsidRDefault="000E54C2" w:rsidP="00DC0475">
            <w:pPr>
              <w:jc w:val="both"/>
              <w:rPr>
                <w:color w:val="000000"/>
                <w:sz w:val="20"/>
                <w:szCs w:val="20"/>
              </w:rPr>
            </w:pPr>
            <w:r w:rsidRPr="00E8065F">
              <w:rPr>
                <w:color w:val="000000"/>
                <w:sz w:val="20"/>
                <w:szCs w:val="20"/>
              </w:rPr>
              <w:t xml:space="preserve">ГАУЗ </w:t>
            </w:r>
            <w:r w:rsidR="002F7358">
              <w:rPr>
                <w:color w:val="000000"/>
                <w:sz w:val="20"/>
                <w:szCs w:val="20"/>
              </w:rPr>
              <w:t>«</w:t>
            </w:r>
            <w:r w:rsidRPr="00E8065F">
              <w:rPr>
                <w:color w:val="000000"/>
                <w:sz w:val="20"/>
                <w:szCs w:val="20"/>
              </w:rPr>
              <w:t>Заинская ЦРБ</w:t>
            </w:r>
            <w:r w:rsidR="002F7358">
              <w:rPr>
                <w:color w:val="000000"/>
                <w:sz w:val="20"/>
                <w:szCs w:val="20"/>
              </w:rPr>
              <w:t>»</w:t>
            </w:r>
          </w:p>
        </w:tc>
        <w:tc>
          <w:tcPr>
            <w:tcW w:w="1994" w:type="dxa"/>
            <w:tcBorders>
              <w:top w:val="nil"/>
              <w:left w:val="single" w:sz="4" w:space="0" w:color="auto"/>
              <w:bottom w:val="single" w:sz="4" w:space="0" w:color="auto"/>
              <w:right w:val="single" w:sz="4" w:space="0" w:color="auto"/>
            </w:tcBorders>
            <w:shd w:val="clear" w:color="auto" w:fill="auto"/>
          </w:tcPr>
          <w:p w:rsidR="000E54C2" w:rsidRPr="00E8065F" w:rsidRDefault="000E54C2" w:rsidP="00BA1432">
            <w:pPr>
              <w:jc w:val="center"/>
              <w:rPr>
                <w:color w:val="000000"/>
                <w:sz w:val="20"/>
                <w:szCs w:val="20"/>
              </w:rPr>
            </w:pPr>
            <w:r w:rsidRPr="00E8065F">
              <w:rPr>
                <w:color w:val="000000"/>
                <w:sz w:val="20"/>
                <w:szCs w:val="20"/>
              </w:rPr>
              <w:t>Рентгенодиагностические аппараты</w:t>
            </w:r>
          </w:p>
        </w:tc>
        <w:tc>
          <w:tcPr>
            <w:tcW w:w="1181" w:type="dxa"/>
            <w:shd w:val="clear" w:color="auto" w:fill="auto"/>
          </w:tcPr>
          <w:p w:rsidR="00512E03" w:rsidRPr="00E8065F" w:rsidRDefault="000E54C2" w:rsidP="00512E03">
            <w:pPr>
              <w:jc w:val="center"/>
              <w:rPr>
                <w:sz w:val="20"/>
                <w:szCs w:val="20"/>
              </w:rPr>
            </w:pPr>
            <w:r w:rsidRPr="00E8065F">
              <w:rPr>
                <w:sz w:val="20"/>
                <w:szCs w:val="20"/>
              </w:rPr>
              <w:t>2012</w:t>
            </w:r>
            <w:r w:rsidR="00AA5FB3">
              <w:rPr>
                <w:sz w:val="20"/>
                <w:szCs w:val="20"/>
              </w:rPr>
              <w:t xml:space="preserve"> </w:t>
            </w:r>
            <w:r w:rsidR="00512E03">
              <w:rPr>
                <w:sz w:val="20"/>
                <w:szCs w:val="20"/>
              </w:rPr>
              <w:t>(1)</w:t>
            </w:r>
          </w:p>
          <w:p w:rsidR="000E54C2" w:rsidRPr="00E8065F" w:rsidRDefault="000E54C2" w:rsidP="00512E03">
            <w:pPr>
              <w:jc w:val="center"/>
              <w:rPr>
                <w:sz w:val="20"/>
                <w:szCs w:val="20"/>
              </w:rPr>
            </w:pPr>
            <w:r w:rsidRPr="00E8065F">
              <w:rPr>
                <w:sz w:val="20"/>
                <w:szCs w:val="20"/>
              </w:rPr>
              <w:t>2021</w:t>
            </w:r>
            <w:r w:rsidR="00AA5FB3">
              <w:rPr>
                <w:sz w:val="20"/>
                <w:szCs w:val="20"/>
              </w:rPr>
              <w:t xml:space="preserve"> </w:t>
            </w:r>
            <w:r w:rsidR="00512E03">
              <w:rPr>
                <w:sz w:val="20"/>
                <w:szCs w:val="20"/>
              </w:rPr>
              <w:t>(1)</w:t>
            </w:r>
          </w:p>
        </w:tc>
        <w:tc>
          <w:tcPr>
            <w:tcW w:w="1181" w:type="dxa"/>
            <w:tcBorders>
              <w:top w:val="nil"/>
              <w:left w:val="single" w:sz="4" w:space="0" w:color="auto"/>
              <w:bottom w:val="single" w:sz="4" w:space="0" w:color="auto"/>
              <w:right w:val="single" w:sz="4" w:space="0" w:color="auto"/>
            </w:tcBorders>
            <w:shd w:val="clear" w:color="auto" w:fill="auto"/>
          </w:tcPr>
          <w:p w:rsidR="000E54C2" w:rsidRPr="00E8065F" w:rsidRDefault="000E54C2" w:rsidP="000546C2">
            <w:pPr>
              <w:jc w:val="center"/>
              <w:rPr>
                <w:color w:val="000000"/>
                <w:sz w:val="20"/>
                <w:szCs w:val="20"/>
              </w:rPr>
            </w:pPr>
            <w:r w:rsidRPr="00E8065F">
              <w:rPr>
                <w:color w:val="000000"/>
                <w:sz w:val="20"/>
                <w:szCs w:val="20"/>
              </w:rPr>
              <w:t>2</w:t>
            </w:r>
          </w:p>
        </w:tc>
        <w:tc>
          <w:tcPr>
            <w:tcW w:w="1478" w:type="dxa"/>
            <w:tcBorders>
              <w:top w:val="nil"/>
              <w:left w:val="single" w:sz="4" w:space="0" w:color="auto"/>
              <w:bottom w:val="single" w:sz="4" w:space="0" w:color="auto"/>
              <w:right w:val="single" w:sz="4" w:space="0" w:color="auto"/>
            </w:tcBorders>
            <w:shd w:val="clear" w:color="auto" w:fill="auto"/>
          </w:tcPr>
          <w:p w:rsidR="000E54C2" w:rsidRPr="00E8065F" w:rsidRDefault="000E54C2" w:rsidP="000546C2">
            <w:pPr>
              <w:jc w:val="center"/>
              <w:rPr>
                <w:color w:val="000000"/>
                <w:sz w:val="20"/>
                <w:szCs w:val="20"/>
              </w:rPr>
            </w:pPr>
            <w:r w:rsidRPr="00E8065F">
              <w:rPr>
                <w:color w:val="000000"/>
                <w:sz w:val="20"/>
                <w:szCs w:val="20"/>
              </w:rPr>
              <w:t>73</w:t>
            </w:r>
          </w:p>
        </w:tc>
        <w:tc>
          <w:tcPr>
            <w:tcW w:w="1111" w:type="dxa"/>
            <w:tcBorders>
              <w:top w:val="nil"/>
              <w:left w:val="single" w:sz="4" w:space="0" w:color="auto"/>
              <w:bottom w:val="single" w:sz="4" w:space="0" w:color="auto"/>
              <w:right w:val="single" w:sz="4" w:space="0" w:color="auto"/>
            </w:tcBorders>
            <w:shd w:val="clear" w:color="auto" w:fill="auto"/>
          </w:tcPr>
          <w:p w:rsidR="000E54C2" w:rsidRPr="00E8065F" w:rsidRDefault="000E54C2" w:rsidP="000546C2">
            <w:pPr>
              <w:jc w:val="center"/>
              <w:rPr>
                <w:color w:val="000000"/>
                <w:sz w:val="20"/>
                <w:szCs w:val="20"/>
              </w:rPr>
            </w:pPr>
            <w:r w:rsidRPr="00E8065F">
              <w:rPr>
                <w:color w:val="000000"/>
                <w:sz w:val="20"/>
                <w:szCs w:val="20"/>
              </w:rPr>
              <w:t>2</w:t>
            </w:r>
          </w:p>
        </w:tc>
        <w:tc>
          <w:tcPr>
            <w:tcW w:w="1944" w:type="dxa"/>
            <w:tcBorders>
              <w:top w:val="nil"/>
              <w:left w:val="single" w:sz="4" w:space="0" w:color="auto"/>
              <w:bottom w:val="single" w:sz="4" w:space="0" w:color="auto"/>
              <w:right w:val="single" w:sz="4" w:space="0" w:color="auto"/>
            </w:tcBorders>
            <w:shd w:val="clear" w:color="auto" w:fill="auto"/>
          </w:tcPr>
          <w:p w:rsidR="000E54C2" w:rsidRPr="00E8065F" w:rsidRDefault="000E54C2" w:rsidP="00BA1432">
            <w:pPr>
              <w:jc w:val="center"/>
              <w:rPr>
                <w:color w:val="000000"/>
                <w:sz w:val="20"/>
                <w:szCs w:val="20"/>
              </w:rPr>
            </w:pPr>
            <w:r w:rsidRPr="00E8065F">
              <w:rPr>
                <w:color w:val="000000"/>
                <w:sz w:val="20"/>
                <w:szCs w:val="20"/>
              </w:rPr>
              <w:t>Амбулаторное/стационарное</w:t>
            </w:r>
          </w:p>
        </w:tc>
      </w:tr>
      <w:tr w:rsidR="00BA1432" w:rsidRPr="00E8065F" w:rsidTr="000546C2">
        <w:trPr>
          <w:trHeight w:val="20"/>
        </w:trPr>
        <w:tc>
          <w:tcPr>
            <w:tcW w:w="1555" w:type="dxa"/>
            <w:vMerge/>
          </w:tcPr>
          <w:p w:rsidR="000E54C2" w:rsidRPr="00E8065F" w:rsidRDefault="000E54C2" w:rsidP="00BA1432">
            <w:pPr>
              <w:rPr>
                <w:sz w:val="20"/>
                <w:szCs w:val="20"/>
              </w:rPr>
            </w:pPr>
          </w:p>
        </w:tc>
        <w:tc>
          <w:tcPr>
            <w:tcW w:w="3685" w:type="dxa"/>
            <w:tcBorders>
              <w:top w:val="nil"/>
              <w:left w:val="single" w:sz="4" w:space="0" w:color="auto"/>
              <w:bottom w:val="single" w:sz="4" w:space="0" w:color="auto"/>
              <w:right w:val="single" w:sz="4" w:space="0" w:color="auto"/>
            </w:tcBorders>
            <w:shd w:val="clear" w:color="auto" w:fill="auto"/>
          </w:tcPr>
          <w:p w:rsidR="000E54C2" w:rsidRPr="00E8065F" w:rsidRDefault="000E54C2" w:rsidP="00DC0475">
            <w:pPr>
              <w:jc w:val="both"/>
              <w:rPr>
                <w:color w:val="000000"/>
                <w:sz w:val="20"/>
                <w:szCs w:val="20"/>
              </w:rPr>
            </w:pPr>
            <w:r w:rsidRPr="00E8065F">
              <w:rPr>
                <w:color w:val="000000"/>
                <w:sz w:val="20"/>
                <w:szCs w:val="20"/>
              </w:rPr>
              <w:t xml:space="preserve">ГАУЗ </w:t>
            </w:r>
            <w:r w:rsidR="002F7358">
              <w:rPr>
                <w:color w:val="000000"/>
                <w:sz w:val="20"/>
                <w:szCs w:val="20"/>
              </w:rPr>
              <w:t>«</w:t>
            </w:r>
            <w:r w:rsidRPr="00E8065F">
              <w:rPr>
                <w:color w:val="000000"/>
                <w:sz w:val="20"/>
                <w:szCs w:val="20"/>
              </w:rPr>
              <w:t>Зеленодольская ЦРБ</w:t>
            </w:r>
            <w:r w:rsidR="002F7358">
              <w:rPr>
                <w:color w:val="000000"/>
                <w:sz w:val="20"/>
                <w:szCs w:val="20"/>
              </w:rPr>
              <w:t>»</w:t>
            </w:r>
          </w:p>
        </w:tc>
        <w:tc>
          <w:tcPr>
            <w:tcW w:w="1994" w:type="dxa"/>
            <w:tcBorders>
              <w:top w:val="nil"/>
              <w:left w:val="single" w:sz="4" w:space="0" w:color="auto"/>
              <w:bottom w:val="single" w:sz="4" w:space="0" w:color="auto"/>
              <w:right w:val="single" w:sz="4" w:space="0" w:color="auto"/>
            </w:tcBorders>
            <w:shd w:val="clear" w:color="auto" w:fill="auto"/>
          </w:tcPr>
          <w:p w:rsidR="000E54C2" w:rsidRPr="00E8065F" w:rsidRDefault="000E54C2" w:rsidP="00BA1432">
            <w:pPr>
              <w:jc w:val="center"/>
              <w:rPr>
                <w:color w:val="000000"/>
                <w:sz w:val="20"/>
                <w:szCs w:val="20"/>
              </w:rPr>
            </w:pPr>
            <w:r w:rsidRPr="00E8065F">
              <w:rPr>
                <w:color w:val="000000"/>
                <w:sz w:val="20"/>
                <w:szCs w:val="20"/>
              </w:rPr>
              <w:t>Рентгенодиагностические аппараты</w:t>
            </w:r>
          </w:p>
        </w:tc>
        <w:tc>
          <w:tcPr>
            <w:tcW w:w="1181" w:type="dxa"/>
            <w:shd w:val="clear" w:color="auto" w:fill="auto"/>
          </w:tcPr>
          <w:p w:rsidR="00512E03" w:rsidRPr="00E8065F" w:rsidRDefault="000E54C2" w:rsidP="00512E03">
            <w:pPr>
              <w:jc w:val="center"/>
              <w:rPr>
                <w:sz w:val="20"/>
                <w:szCs w:val="20"/>
              </w:rPr>
            </w:pPr>
            <w:r w:rsidRPr="00E8065F">
              <w:rPr>
                <w:sz w:val="20"/>
                <w:szCs w:val="20"/>
              </w:rPr>
              <w:t>2009</w:t>
            </w:r>
            <w:r w:rsidR="00AA5FB3">
              <w:rPr>
                <w:sz w:val="20"/>
                <w:szCs w:val="20"/>
              </w:rPr>
              <w:t xml:space="preserve"> </w:t>
            </w:r>
            <w:r w:rsidR="00512E03">
              <w:rPr>
                <w:sz w:val="20"/>
                <w:szCs w:val="20"/>
              </w:rPr>
              <w:t>(1)</w:t>
            </w:r>
          </w:p>
          <w:p w:rsidR="00512E03" w:rsidRPr="00E8065F" w:rsidRDefault="000E54C2" w:rsidP="00512E03">
            <w:pPr>
              <w:jc w:val="center"/>
              <w:rPr>
                <w:sz w:val="20"/>
                <w:szCs w:val="20"/>
              </w:rPr>
            </w:pPr>
            <w:r w:rsidRPr="00E8065F">
              <w:rPr>
                <w:sz w:val="20"/>
                <w:szCs w:val="20"/>
              </w:rPr>
              <w:t>2011</w:t>
            </w:r>
            <w:r w:rsidR="00AA5FB3">
              <w:rPr>
                <w:sz w:val="20"/>
                <w:szCs w:val="20"/>
              </w:rPr>
              <w:t xml:space="preserve"> </w:t>
            </w:r>
            <w:r w:rsidR="00512E03">
              <w:rPr>
                <w:sz w:val="20"/>
                <w:szCs w:val="20"/>
              </w:rPr>
              <w:t>(1)</w:t>
            </w:r>
          </w:p>
          <w:p w:rsidR="00512E03" w:rsidRPr="00E8065F" w:rsidRDefault="000E54C2" w:rsidP="00512E03">
            <w:pPr>
              <w:jc w:val="center"/>
              <w:rPr>
                <w:sz w:val="20"/>
                <w:szCs w:val="20"/>
              </w:rPr>
            </w:pPr>
            <w:r w:rsidRPr="00E8065F">
              <w:rPr>
                <w:sz w:val="20"/>
                <w:szCs w:val="20"/>
              </w:rPr>
              <w:t>2012</w:t>
            </w:r>
            <w:r w:rsidR="00AA5FB3">
              <w:rPr>
                <w:sz w:val="20"/>
                <w:szCs w:val="20"/>
              </w:rPr>
              <w:t xml:space="preserve"> </w:t>
            </w:r>
            <w:r w:rsidR="00512E03">
              <w:rPr>
                <w:sz w:val="20"/>
                <w:szCs w:val="20"/>
              </w:rPr>
              <w:t>(1)</w:t>
            </w:r>
          </w:p>
          <w:p w:rsidR="00512E03" w:rsidRPr="00E8065F" w:rsidRDefault="000E54C2" w:rsidP="00512E03">
            <w:pPr>
              <w:jc w:val="center"/>
              <w:rPr>
                <w:sz w:val="20"/>
                <w:szCs w:val="20"/>
              </w:rPr>
            </w:pPr>
            <w:r w:rsidRPr="00E8065F">
              <w:rPr>
                <w:sz w:val="20"/>
                <w:szCs w:val="20"/>
              </w:rPr>
              <w:t>2014</w:t>
            </w:r>
            <w:r w:rsidR="00AA5FB3">
              <w:rPr>
                <w:sz w:val="20"/>
                <w:szCs w:val="20"/>
              </w:rPr>
              <w:t xml:space="preserve"> </w:t>
            </w:r>
            <w:r w:rsidR="00512E03">
              <w:rPr>
                <w:sz w:val="20"/>
                <w:szCs w:val="20"/>
              </w:rPr>
              <w:t>(1)</w:t>
            </w:r>
          </w:p>
          <w:p w:rsidR="000E54C2" w:rsidRPr="00E8065F" w:rsidRDefault="000E54C2" w:rsidP="000546C2">
            <w:pPr>
              <w:jc w:val="center"/>
              <w:rPr>
                <w:sz w:val="20"/>
                <w:szCs w:val="20"/>
              </w:rPr>
            </w:pPr>
            <w:r w:rsidRPr="00E8065F">
              <w:rPr>
                <w:sz w:val="20"/>
                <w:szCs w:val="20"/>
              </w:rPr>
              <w:t>2013</w:t>
            </w:r>
            <w:r w:rsidR="00AA5FB3">
              <w:rPr>
                <w:sz w:val="20"/>
                <w:szCs w:val="20"/>
              </w:rPr>
              <w:t xml:space="preserve"> </w:t>
            </w:r>
            <w:r w:rsidR="00512E03">
              <w:rPr>
                <w:sz w:val="20"/>
                <w:szCs w:val="20"/>
              </w:rPr>
              <w:t>(3)</w:t>
            </w:r>
          </w:p>
          <w:p w:rsidR="00512E03" w:rsidRPr="00E8065F" w:rsidRDefault="000E54C2" w:rsidP="00512E03">
            <w:pPr>
              <w:jc w:val="center"/>
              <w:rPr>
                <w:sz w:val="20"/>
                <w:szCs w:val="20"/>
              </w:rPr>
            </w:pPr>
            <w:r w:rsidRPr="00E8065F">
              <w:rPr>
                <w:sz w:val="20"/>
                <w:szCs w:val="20"/>
              </w:rPr>
              <w:t>2019</w:t>
            </w:r>
            <w:r w:rsidR="00AA5FB3">
              <w:rPr>
                <w:sz w:val="20"/>
                <w:szCs w:val="20"/>
              </w:rPr>
              <w:t xml:space="preserve"> </w:t>
            </w:r>
            <w:r w:rsidR="00512E03">
              <w:rPr>
                <w:sz w:val="20"/>
                <w:szCs w:val="20"/>
              </w:rPr>
              <w:t>(1)</w:t>
            </w:r>
          </w:p>
          <w:p w:rsidR="00512E03" w:rsidRPr="00E8065F" w:rsidRDefault="000E54C2" w:rsidP="00512E03">
            <w:pPr>
              <w:jc w:val="center"/>
              <w:rPr>
                <w:sz w:val="20"/>
                <w:szCs w:val="20"/>
              </w:rPr>
            </w:pPr>
            <w:r w:rsidRPr="00E8065F">
              <w:rPr>
                <w:sz w:val="20"/>
                <w:szCs w:val="20"/>
              </w:rPr>
              <w:t>2021</w:t>
            </w:r>
            <w:r w:rsidR="00AA5FB3">
              <w:rPr>
                <w:sz w:val="20"/>
                <w:szCs w:val="20"/>
              </w:rPr>
              <w:t xml:space="preserve"> </w:t>
            </w:r>
            <w:r w:rsidR="00512E03">
              <w:rPr>
                <w:sz w:val="20"/>
                <w:szCs w:val="20"/>
              </w:rPr>
              <w:t>(1)</w:t>
            </w:r>
          </w:p>
          <w:p w:rsidR="000E54C2" w:rsidRPr="00E8065F" w:rsidRDefault="000E54C2" w:rsidP="000546C2">
            <w:pPr>
              <w:jc w:val="center"/>
              <w:rPr>
                <w:sz w:val="20"/>
                <w:szCs w:val="20"/>
              </w:rPr>
            </w:pPr>
            <w:r w:rsidRPr="00E8065F">
              <w:rPr>
                <w:sz w:val="20"/>
                <w:szCs w:val="20"/>
              </w:rPr>
              <w:t>2022</w:t>
            </w:r>
            <w:r w:rsidR="00AA5FB3">
              <w:rPr>
                <w:sz w:val="20"/>
                <w:szCs w:val="20"/>
              </w:rPr>
              <w:t xml:space="preserve"> </w:t>
            </w:r>
            <w:r w:rsidR="00512E03">
              <w:rPr>
                <w:sz w:val="20"/>
                <w:szCs w:val="20"/>
              </w:rPr>
              <w:t>(2)</w:t>
            </w:r>
          </w:p>
          <w:p w:rsidR="000E54C2" w:rsidRPr="00E8065F" w:rsidRDefault="000E54C2" w:rsidP="000546C2">
            <w:pPr>
              <w:jc w:val="center"/>
              <w:rPr>
                <w:sz w:val="20"/>
                <w:szCs w:val="20"/>
              </w:rPr>
            </w:pPr>
            <w:r w:rsidRPr="00E8065F">
              <w:rPr>
                <w:sz w:val="20"/>
                <w:szCs w:val="20"/>
              </w:rPr>
              <w:t>2023</w:t>
            </w:r>
            <w:r w:rsidR="00AA5FB3">
              <w:rPr>
                <w:sz w:val="20"/>
                <w:szCs w:val="20"/>
              </w:rPr>
              <w:t xml:space="preserve"> </w:t>
            </w:r>
            <w:r w:rsidR="00512E03">
              <w:rPr>
                <w:sz w:val="20"/>
                <w:szCs w:val="20"/>
              </w:rPr>
              <w:t>(2)</w:t>
            </w:r>
          </w:p>
        </w:tc>
        <w:tc>
          <w:tcPr>
            <w:tcW w:w="1181" w:type="dxa"/>
            <w:tcBorders>
              <w:top w:val="nil"/>
              <w:left w:val="single" w:sz="4" w:space="0" w:color="auto"/>
              <w:bottom w:val="single" w:sz="4" w:space="0" w:color="auto"/>
              <w:right w:val="single" w:sz="4" w:space="0" w:color="auto"/>
            </w:tcBorders>
            <w:shd w:val="clear" w:color="auto" w:fill="auto"/>
          </w:tcPr>
          <w:p w:rsidR="000E54C2" w:rsidRPr="00E8065F" w:rsidRDefault="000E54C2" w:rsidP="000546C2">
            <w:pPr>
              <w:jc w:val="center"/>
              <w:rPr>
                <w:color w:val="000000"/>
                <w:sz w:val="20"/>
                <w:szCs w:val="20"/>
              </w:rPr>
            </w:pPr>
            <w:r w:rsidRPr="00E8065F">
              <w:rPr>
                <w:color w:val="000000"/>
                <w:sz w:val="20"/>
                <w:szCs w:val="20"/>
              </w:rPr>
              <w:t>13</w:t>
            </w:r>
          </w:p>
        </w:tc>
        <w:tc>
          <w:tcPr>
            <w:tcW w:w="1478" w:type="dxa"/>
            <w:tcBorders>
              <w:top w:val="nil"/>
              <w:left w:val="single" w:sz="4" w:space="0" w:color="auto"/>
              <w:bottom w:val="single" w:sz="4" w:space="0" w:color="auto"/>
              <w:right w:val="single" w:sz="4" w:space="0" w:color="auto"/>
            </w:tcBorders>
            <w:shd w:val="clear" w:color="auto" w:fill="auto"/>
          </w:tcPr>
          <w:p w:rsidR="000E54C2" w:rsidRPr="00E8065F" w:rsidRDefault="000E54C2" w:rsidP="000546C2">
            <w:pPr>
              <w:jc w:val="center"/>
              <w:rPr>
                <w:color w:val="000000"/>
                <w:sz w:val="20"/>
                <w:szCs w:val="20"/>
              </w:rPr>
            </w:pPr>
            <w:r w:rsidRPr="00E8065F">
              <w:rPr>
                <w:color w:val="000000"/>
                <w:sz w:val="20"/>
                <w:szCs w:val="20"/>
              </w:rPr>
              <w:t>289</w:t>
            </w:r>
          </w:p>
        </w:tc>
        <w:tc>
          <w:tcPr>
            <w:tcW w:w="1111" w:type="dxa"/>
            <w:tcBorders>
              <w:top w:val="nil"/>
              <w:left w:val="single" w:sz="4" w:space="0" w:color="auto"/>
              <w:bottom w:val="single" w:sz="4" w:space="0" w:color="auto"/>
              <w:right w:val="single" w:sz="4" w:space="0" w:color="auto"/>
            </w:tcBorders>
            <w:shd w:val="clear" w:color="auto" w:fill="auto"/>
          </w:tcPr>
          <w:p w:rsidR="000E54C2" w:rsidRPr="00E8065F" w:rsidRDefault="000E54C2" w:rsidP="000546C2">
            <w:pPr>
              <w:jc w:val="center"/>
              <w:rPr>
                <w:color w:val="000000"/>
                <w:sz w:val="20"/>
                <w:szCs w:val="20"/>
              </w:rPr>
            </w:pPr>
            <w:r w:rsidRPr="00E8065F">
              <w:rPr>
                <w:color w:val="000000"/>
                <w:sz w:val="20"/>
                <w:szCs w:val="20"/>
              </w:rPr>
              <w:t>2</w:t>
            </w:r>
          </w:p>
        </w:tc>
        <w:tc>
          <w:tcPr>
            <w:tcW w:w="1944" w:type="dxa"/>
            <w:tcBorders>
              <w:top w:val="nil"/>
              <w:left w:val="single" w:sz="4" w:space="0" w:color="auto"/>
              <w:bottom w:val="single" w:sz="4" w:space="0" w:color="auto"/>
              <w:right w:val="single" w:sz="4" w:space="0" w:color="auto"/>
            </w:tcBorders>
            <w:shd w:val="clear" w:color="auto" w:fill="auto"/>
          </w:tcPr>
          <w:p w:rsidR="000E54C2" w:rsidRPr="00E8065F" w:rsidRDefault="000E54C2" w:rsidP="00BA1432">
            <w:pPr>
              <w:jc w:val="center"/>
              <w:rPr>
                <w:color w:val="000000"/>
                <w:sz w:val="20"/>
                <w:szCs w:val="20"/>
              </w:rPr>
            </w:pPr>
            <w:r w:rsidRPr="00E8065F">
              <w:rPr>
                <w:color w:val="000000"/>
                <w:sz w:val="20"/>
                <w:szCs w:val="20"/>
              </w:rPr>
              <w:t>Амбулаторное/стационарное</w:t>
            </w:r>
          </w:p>
        </w:tc>
      </w:tr>
      <w:tr w:rsidR="00BA1432" w:rsidRPr="00E8065F" w:rsidTr="000546C2">
        <w:trPr>
          <w:trHeight w:val="20"/>
        </w:trPr>
        <w:tc>
          <w:tcPr>
            <w:tcW w:w="1555" w:type="dxa"/>
            <w:vMerge/>
          </w:tcPr>
          <w:p w:rsidR="000E54C2" w:rsidRPr="00E8065F" w:rsidRDefault="000E54C2" w:rsidP="00BA1432">
            <w:pPr>
              <w:rPr>
                <w:sz w:val="20"/>
                <w:szCs w:val="20"/>
              </w:rPr>
            </w:pPr>
          </w:p>
        </w:tc>
        <w:tc>
          <w:tcPr>
            <w:tcW w:w="3685" w:type="dxa"/>
            <w:tcBorders>
              <w:top w:val="nil"/>
              <w:left w:val="single" w:sz="4" w:space="0" w:color="auto"/>
              <w:bottom w:val="single" w:sz="4" w:space="0" w:color="auto"/>
              <w:right w:val="single" w:sz="4" w:space="0" w:color="auto"/>
            </w:tcBorders>
            <w:shd w:val="clear" w:color="auto" w:fill="auto"/>
          </w:tcPr>
          <w:p w:rsidR="000E54C2" w:rsidRPr="00E8065F" w:rsidRDefault="000E54C2" w:rsidP="00DC0475">
            <w:pPr>
              <w:jc w:val="both"/>
              <w:rPr>
                <w:color w:val="000000"/>
                <w:sz w:val="20"/>
                <w:szCs w:val="20"/>
              </w:rPr>
            </w:pPr>
            <w:r w:rsidRPr="00E8065F">
              <w:rPr>
                <w:color w:val="000000"/>
                <w:sz w:val="20"/>
                <w:szCs w:val="20"/>
              </w:rPr>
              <w:t xml:space="preserve">ГАУЗ </w:t>
            </w:r>
            <w:r w:rsidR="002F7358">
              <w:rPr>
                <w:color w:val="000000"/>
                <w:sz w:val="20"/>
                <w:szCs w:val="20"/>
              </w:rPr>
              <w:t>«</w:t>
            </w:r>
            <w:r w:rsidRPr="00E8065F">
              <w:rPr>
                <w:color w:val="000000"/>
                <w:sz w:val="20"/>
                <w:szCs w:val="20"/>
              </w:rPr>
              <w:t>Кайбицкая ЦРБ</w:t>
            </w:r>
            <w:r w:rsidR="002F7358">
              <w:rPr>
                <w:color w:val="000000"/>
                <w:sz w:val="20"/>
                <w:szCs w:val="20"/>
              </w:rPr>
              <w:t>»</w:t>
            </w:r>
          </w:p>
        </w:tc>
        <w:tc>
          <w:tcPr>
            <w:tcW w:w="1994" w:type="dxa"/>
            <w:tcBorders>
              <w:top w:val="nil"/>
              <w:left w:val="single" w:sz="4" w:space="0" w:color="auto"/>
              <w:bottom w:val="single" w:sz="4" w:space="0" w:color="auto"/>
              <w:right w:val="single" w:sz="4" w:space="0" w:color="auto"/>
            </w:tcBorders>
            <w:shd w:val="clear" w:color="auto" w:fill="auto"/>
          </w:tcPr>
          <w:p w:rsidR="000E54C2" w:rsidRPr="00E8065F" w:rsidRDefault="000E54C2" w:rsidP="00BA1432">
            <w:pPr>
              <w:jc w:val="center"/>
              <w:rPr>
                <w:color w:val="000000"/>
                <w:sz w:val="20"/>
                <w:szCs w:val="20"/>
              </w:rPr>
            </w:pPr>
            <w:r w:rsidRPr="00E8065F">
              <w:rPr>
                <w:color w:val="000000"/>
                <w:sz w:val="20"/>
                <w:szCs w:val="20"/>
              </w:rPr>
              <w:t>Рентгенодиагностические аппараты</w:t>
            </w:r>
          </w:p>
        </w:tc>
        <w:tc>
          <w:tcPr>
            <w:tcW w:w="1181" w:type="dxa"/>
            <w:tcBorders>
              <w:bottom w:val="single" w:sz="4" w:space="0" w:color="auto"/>
            </w:tcBorders>
            <w:shd w:val="clear" w:color="auto" w:fill="auto"/>
          </w:tcPr>
          <w:p w:rsidR="00512E03" w:rsidRPr="00E8065F" w:rsidRDefault="000E54C2" w:rsidP="00512E03">
            <w:pPr>
              <w:jc w:val="center"/>
              <w:rPr>
                <w:sz w:val="20"/>
                <w:szCs w:val="20"/>
              </w:rPr>
            </w:pPr>
            <w:r w:rsidRPr="00E8065F">
              <w:rPr>
                <w:sz w:val="20"/>
                <w:szCs w:val="20"/>
              </w:rPr>
              <w:t>2018</w:t>
            </w:r>
            <w:r w:rsidR="00AA5FB3">
              <w:rPr>
                <w:sz w:val="20"/>
                <w:szCs w:val="20"/>
              </w:rPr>
              <w:t xml:space="preserve"> </w:t>
            </w:r>
            <w:r w:rsidR="00512E03">
              <w:rPr>
                <w:sz w:val="20"/>
                <w:szCs w:val="20"/>
              </w:rPr>
              <w:t>(1)</w:t>
            </w:r>
          </w:p>
          <w:p w:rsidR="000E54C2" w:rsidRPr="00E8065F" w:rsidRDefault="000E54C2" w:rsidP="00512E03">
            <w:pPr>
              <w:jc w:val="center"/>
              <w:rPr>
                <w:sz w:val="20"/>
                <w:szCs w:val="20"/>
              </w:rPr>
            </w:pPr>
            <w:r w:rsidRPr="00E8065F">
              <w:rPr>
                <w:sz w:val="20"/>
                <w:szCs w:val="20"/>
              </w:rPr>
              <w:t>2023</w:t>
            </w:r>
            <w:r w:rsidR="00AA5FB3">
              <w:rPr>
                <w:sz w:val="20"/>
                <w:szCs w:val="20"/>
              </w:rPr>
              <w:t xml:space="preserve"> </w:t>
            </w:r>
            <w:r w:rsidR="00512E03">
              <w:rPr>
                <w:sz w:val="20"/>
                <w:szCs w:val="20"/>
              </w:rPr>
              <w:t>(1)</w:t>
            </w:r>
          </w:p>
        </w:tc>
        <w:tc>
          <w:tcPr>
            <w:tcW w:w="1181" w:type="dxa"/>
            <w:tcBorders>
              <w:top w:val="nil"/>
              <w:left w:val="single" w:sz="4" w:space="0" w:color="auto"/>
              <w:bottom w:val="single" w:sz="4" w:space="0" w:color="auto"/>
              <w:right w:val="single" w:sz="4" w:space="0" w:color="auto"/>
            </w:tcBorders>
            <w:shd w:val="clear" w:color="auto" w:fill="auto"/>
          </w:tcPr>
          <w:p w:rsidR="000E54C2" w:rsidRPr="00E8065F" w:rsidRDefault="000E54C2" w:rsidP="000546C2">
            <w:pPr>
              <w:jc w:val="center"/>
              <w:rPr>
                <w:color w:val="000000"/>
                <w:sz w:val="20"/>
                <w:szCs w:val="20"/>
              </w:rPr>
            </w:pPr>
            <w:r w:rsidRPr="00E8065F">
              <w:rPr>
                <w:color w:val="000000"/>
                <w:sz w:val="20"/>
                <w:szCs w:val="20"/>
              </w:rPr>
              <w:t>2</w:t>
            </w:r>
          </w:p>
        </w:tc>
        <w:tc>
          <w:tcPr>
            <w:tcW w:w="1478" w:type="dxa"/>
            <w:tcBorders>
              <w:top w:val="nil"/>
              <w:left w:val="single" w:sz="4" w:space="0" w:color="auto"/>
              <w:bottom w:val="single" w:sz="4" w:space="0" w:color="auto"/>
              <w:right w:val="single" w:sz="4" w:space="0" w:color="auto"/>
            </w:tcBorders>
            <w:shd w:val="clear" w:color="auto" w:fill="auto"/>
          </w:tcPr>
          <w:p w:rsidR="000E54C2" w:rsidRPr="00E8065F" w:rsidRDefault="000E54C2" w:rsidP="000546C2">
            <w:pPr>
              <w:jc w:val="center"/>
              <w:rPr>
                <w:color w:val="000000"/>
                <w:sz w:val="20"/>
                <w:szCs w:val="20"/>
              </w:rPr>
            </w:pPr>
            <w:r w:rsidRPr="00E8065F">
              <w:rPr>
                <w:color w:val="000000"/>
                <w:sz w:val="20"/>
                <w:szCs w:val="20"/>
              </w:rPr>
              <w:t>32</w:t>
            </w:r>
          </w:p>
        </w:tc>
        <w:tc>
          <w:tcPr>
            <w:tcW w:w="1111" w:type="dxa"/>
            <w:tcBorders>
              <w:top w:val="nil"/>
              <w:left w:val="single" w:sz="4" w:space="0" w:color="auto"/>
              <w:bottom w:val="single" w:sz="4" w:space="0" w:color="auto"/>
              <w:right w:val="single" w:sz="4" w:space="0" w:color="auto"/>
            </w:tcBorders>
            <w:shd w:val="clear" w:color="auto" w:fill="auto"/>
          </w:tcPr>
          <w:p w:rsidR="000E54C2" w:rsidRPr="00E8065F" w:rsidRDefault="000E54C2" w:rsidP="000546C2">
            <w:pPr>
              <w:jc w:val="center"/>
              <w:rPr>
                <w:color w:val="000000"/>
                <w:sz w:val="20"/>
                <w:szCs w:val="20"/>
              </w:rPr>
            </w:pPr>
            <w:r w:rsidRPr="00E8065F">
              <w:rPr>
                <w:color w:val="000000"/>
                <w:sz w:val="20"/>
                <w:szCs w:val="20"/>
              </w:rPr>
              <w:t>2</w:t>
            </w:r>
          </w:p>
        </w:tc>
        <w:tc>
          <w:tcPr>
            <w:tcW w:w="1944" w:type="dxa"/>
            <w:tcBorders>
              <w:top w:val="nil"/>
              <w:left w:val="single" w:sz="4" w:space="0" w:color="auto"/>
              <w:bottom w:val="single" w:sz="4" w:space="0" w:color="auto"/>
              <w:right w:val="single" w:sz="4" w:space="0" w:color="auto"/>
            </w:tcBorders>
            <w:shd w:val="clear" w:color="auto" w:fill="auto"/>
          </w:tcPr>
          <w:p w:rsidR="000E54C2" w:rsidRPr="00E8065F" w:rsidRDefault="000E54C2" w:rsidP="00BA1432">
            <w:pPr>
              <w:jc w:val="center"/>
              <w:rPr>
                <w:color w:val="000000"/>
                <w:sz w:val="20"/>
                <w:szCs w:val="20"/>
              </w:rPr>
            </w:pPr>
            <w:r w:rsidRPr="00E8065F">
              <w:rPr>
                <w:color w:val="000000"/>
                <w:sz w:val="20"/>
                <w:szCs w:val="20"/>
              </w:rPr>
              <w:t>Амбулаторное/стационарное</w:t>
            </w:r>
          </w:p>
        </w:tc>
      </w:tr>
      <w:tr w:rsidR="00BA1432" w:rsidRPr="00E8065F" w:rsidTr="000546C2">
        <w:trPr>
          <w:trHeight w:val="20"/>
        </w:trPr>
        <w:tc>
          <w:tcPr>
            <w:tcW w:w="1555" w:type="dxa"/>
            <w:vMerge/>
          </w:tcPr>
          <w:p w:rsidR="000E54C2" w:rsidRPr="00E8065F" w:rsidRDefault="000E54C2" w:rsidP="00BA1432">
            <w:pPr>
              <w:rPr>
                <w:sz w:val="20"/>
                <w:szCs w:val="20"/>
              </w:rPr>
            </w:pPr>
          </w:p>
        </w:tc>
        <w:tc>
          <w:tcPr>
            <w:tcW w:w="3685" w:type="dxa"/>
            <w:tcBorders>
              <w:top w:val="single" w:sz="4" w:space="0" w:color="auto"/>
              <w:bottom w:val="single" w:sz="4" w:space="0" w:color="auto"/>
              <w:right w:val="single" w:sz="4" w:space="0" w:color="auto"/>
            </w:tcBorders>
            <w:shd w:val="clear" w:color="auto" w:fill="auto"/>
          </w:tcPr>
          <w:p w:rsidR="000E54C2" w:rsidRPr="00E8065F" w:rsidRDefault="000E54C2" w:rsidP="00DC0475">
            <w:pPr>
              <w:jc w:val="both"/>
              <w:rPr>
                <w:color w:val="000000"/>
                <w:sz w:val="20"/>
                <w:szCs w:val="20"/>
              </w:rPr>
            </w:pPr>
            <w:r w:rsidRPr="00E8065F">
              <w:rPr>
                <w:color w:val="000000"/>
                <w:sz w:val="20"/>
                <w:szCs w:val="20"/>
              </w:rPr>
              <w:t xml:space="preserve">ГАУЗ </w:t>
            </w:r>
            <w:r w:rsidR="002F7358">
              <w:rPr>
                <w:color w:val="000000"/>
                <w:sz w:val="20"/>
                <w:szCs w:val="20"/>
              </w:rPr>
              <w:t>«</w:t>
            </w:r>
            <w:r w:rsidRPr="00E8065F">
              <w:rPr>
                <w:color w:val="000000"/>
                <w:sz w:val="20"/>
                <w:szCs w:val="20"/>
              </w:rPr>
              <w:t>Камско-Устьинская ЦРБ</w:t>
            </w:r>
            <w:r w:rsidR="002F7358">
              <w:rPr>
                <w:color w:val="000000"/>
                <w:sz w:val="20"/>
                <w:szCs w:val="20"/>
              </w:rPr>
              <w:t>»</w:t>
            </w:r>
          </w:p>
        </w:tc>
        <w:tc>
          <w:tcPr>
            <w:tcW w:w="1994" w:type="dxa"/>
            <w:tcBorders>
              <w:top w:val="single" w:sz="4" w:space="0" w:color="auto"/>
              <w:left w:val="single" w:sz="4" w:space="0" w:color="auto"/>
              <w:bottom w:val="single" w:sz="4" w:space="0" w:color="auto"/>
              <w:right w:val="single" w:sz="4" w:space="0" w:color="auto"/>
            </w:tcBorders>
            <w:shd w:val="clear" w:color="auto" w:fill="auto"/>
          </w:tcPr>
          <w:p w:rsidR="000E54C2" w:rsidRPr="00E8065F" w:rsidRDefault="000E54C2" w:rsidP="00BA1432">
            <w:pPr>
              <w:jc w:val="center"/>
              <w:rPr>
                <w:color w:val="000000"/>
                <w:sz w:val="20"/>
                <w:szCs w:val="20"/>
              </w:rPr>
            </w:pPr>
            <w:r w:rsidRPr="00E8065F">
              <w:rPr>
                <w:color w:val="000000"/>
                <w:sz w:val="20"/>
                <w:szCs w:val="20"/>
              </w:rPr>
              <w:t>Рентгенодиагностические аппараты</w:t>
            </w:r>
          </w:p>
        </w:tc>
        <w:tc>
          <w:tcPr>
            <w:tcW w:w="1181" w:type="dxa"/>
            <w:tcBorders>
              <w:top w:val="single" w:sz="4" w:space="0" w:color="auto"/>
              <w:left w:val="single" w:sz="4" w:space="0" w:color="auto"/>
              <w:bottom w:val="single" w:sz="4" w:space="0" w:color="auto"/>
              <w:right w:val="single" w:sz="4" w:space="0" w:color="auto"/>
            </w:tcBorders>
            <w:shd w:val="clear" w:color="auto" w:fill="auto"/>
          </w:tcPr>
          <w:p w:rsidR="000E54C2" w:rsidRPr="00E8065F" w:rsidRDefault="000E54C2" w:rsidP="000546C2">
            <w:pPr>
              <w:jc w:val="center"/>
              <w:rPr>
                <w:sz w:val="20"/>
                <w:szCs w:val="20"/>
              </w:rPr>
            </w:pPr>
            <w:r w:rsidRPr="00E8065F">
              <w:rPr>
                <w:sz w:val="20"/>
                <w:szCs w:val="20"/>
              </w:rPr>
              <w:t>2023</w:t>
            </w:r>
          </w:p>
        </w:tc>
        <w:tc>
          <w:tcPr>
            <w:tcW w:w="1181" w:type="dxa"/>
            <w:tcBorders>
              <w:top w:val="single" w:sz="4" w:space="0" w:color="auto"/>
              <w:left w:val="single" w:sz="4" w:space="0" w:color="auto"/>
              <w:bottom w:val="single" w:sz="4" w:space="0" w:color="auto"/>
              <w:right w:val="single" w:sz="4" w:space="0" w:color="auto"/>
            </w:tcBorders>
            <w:shd w:val="clear" w:color="auto" w:fill="auto"/>
          </w:tcPr>
          <w:p w:rsidR="000E54C2" w:rsidRPr="00E8065F" w:rsidRDefault="000E54C2" w:rsidP="000546C2">
            <w:pPr>
              <w:jc w:val="center"/>
              <w:rPr>
                <w:color w:val="000000"/>
                <w:sz w:val="20"/>
                <w:szCs w:val="20"/>
              </w:rPr>
            </w:pPr>
            <w:r w:rsidRPr="00E8065F">
              <w:rPr>
                <w:color w:val="000000"/>
                <w:sz w:val="20"/>
                <w:szCs w:val="20"/>
              </w:rPr>
              <w:t>1</w:t>
            </w:r>
          </w:p>
        </w:tc>
        <w:tc>
          <w:tcPr>
            <w:tcW w:w="1478" w:type="dxa"/>
            <w:tcBorders>
              <w:top w:val="single" w:sz="4" w:space="0" w:color="auto"/>
              <w:left w:val="single" w:sz="4" w:space="0" w:color="auto"/>
              <w:bottom w:val="single" w:sz="4" w:space="0" w:color="auto"/>
              <w:right w:val="single" w:sz="4" w:space="0" w:color="auto"/>
            </w:tcBorders>
            <w:shd w:val="clear" w:color="auto" w:fill="auto"/>
          </w:tcPr>
          <w:p w:rsidR="000E54C2" w:rsidRPr="00E8065F" w:rsidRDefault="000E54C2" w:rsidP="000546C2">
            <w:pPr>
              <w:jc w:val="center"/>
              <w:rPr>
                <w:color w:val="000000"/>
                <w:sz w:val="20"/>
                <w:szCs w:val="20"/>
              </w:rPr>
            </w:pPr>
            <w:r w:rsidRPr="00E8065F">
              <w:rPr>
                <w:color w:val="000000"/>
                <w:sz w:val="20"/>
                <w:szCs w:val="20"/>
              </w:rPr>
              <w:t>11</w:t>
            </w:r>
          </w:p>
        </w:tc>
        <w:tc>
          <w:tcPr>
            <w:tcW w:w="1111" w:type="dxa"/>
            <w:tcBorders>
              <w:top w:val="single" w:sz="4" w:space="0" w:color="auto"/>
              <w:left w:val="single" w:sz="4" w:space="0" w:color="auto"/>
              <w:bottom w:val="single" w:sz="4" w:space="0" w:color="auto"/>
              <w:right w:val="single" w:sz="4" w:space="0" w:color="auto"/>
            </w:tcBorders>
            <w:shd w:val="clear" w:color="auto" w:fill="auto"/>
          </w:tcPr>
          <w:p w:rsidR="000E54C2" w:rsidRPr="00E8065F" w:rsidRDefault="000E54C2" w:rsidP="000546C2">
            <w:pPr>
              <w:jc w:val="center"/>
              <w:rPr>
                <w:color w:val="000000"/>
                <w:sz w:val="20"/>
                <w:szCs w:val="20"/>
              </w:rPr>
            </w:pPr>
            <w:r w:rsidRPr="00E8065F">
              <w:rPr>
                <w:color w:val="000000"/>
                <w:sz w:val="20"/>
                <w:szCs w:val="20"/>
              </w:rPr>
              <w:t>2</w:t>
            </w:r>
          </w:p>
        </w:tc>
        <w:tc>
          <w:tcPr>
            <w:tcW w:w="1944" w:type="dxa"/>
            <w:tcBorders>
              <w:top w:val="single" w:sz="4" w:space="0" w:color="auto"/>
              <w:left w:val="single" w:sz="4" w:space="0" w:color="auto"/>
              <w:bottom w:val="single" w:sz="4" w:space="0" w:color="auto"/>
              <w:right w:val="single" w:sz="4" w:space="0" w:color="auto"/>
            </w:tcBorders>
            <w:shd w:val="clear" w:color="auto" w:fill="auto"/>
          </w:tcPr>
          <w:p w:rsidR="000E54C2" w:rsidRPr="00E8065F" w:rsidRDefault="000E54C2" w:rsidP="00BA1432">
            <w:pPr>
              <w:jc w:val="center"/>
              <w:rPr>
                <w:color w:val="000000"/>
                <w:sz w:val="20"/>
                <w:szCs w:val="20"/>
              </w:rPr>
            </w:pPr>
            <w:r w:rsidRPr="00E8065F">
              <w:rPr>
                <w:color w:val="000000"/>
                <w:sz w:val="20"/>
                <w:szCs w:val="20"/>
              </w:rPr>
              <w:t>Амбулаторное/стационарное</w:t>
            </w:r>
          </w:p>
        </w:tc>
      </w:tr>
      <w:tr w:rsidR="00BA1432" w:rsidRPr="00E8065F" w:rsidTr="000546C2">
        <w:trPr>
          <w:trHeight w:val="20"/>
        </w:trPr>
        <w:tc>
          <w:tcPr>
            <w:tcW w:w="1555" w:type="dxa"/>
            <w:vMerge/>
          </w:tcPr>
          <w:p w:rsidR="000E54C2" w:rsidRPr="00E8065F" w:rsidRDefault="000E54C2" w:rsidP="00BA1432">
            <w:pPr>
              <w:rPr>
                <w:sz w:val="20"/>
                <w:szCs w:val="20"/>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0E54C2" w:rsidRPr="00E8065F" w:rsidRDefault="000E54C2" w:rsidP="00DC0475">
            <w:pPr>
              <w:jc w:val="both"/>
              <w:rPr>
                <w:color w:val="000000"/>
                <w:sz w:val="20"/>
                <w:szCs w:val="20"/>
              </w:rPr>
            </w:pPr>
            <w:r w:rsidRPr="00E8065F">
              <w:rPr>
                <w:color w:val="000000"/>
                <w:sz w:val="20"/>
                <w:szCs w:val="20"/>
              </w:rPr>
              <w:t xml:space="preserve">ГАУЗ </w:t>
            </w:r>
            <w:r w:rsidR="002F7358">
              <w:rPr>
                <w:color w:val="000000"/>
                <w:sz w:val="20"/>
                <w:szCs w:val="20"/>
              </w:rPr>
              <w:t>«</w:t>
            </w:r>
            <w:r w:rsidRPr="00E8065F">
              <w:rPr>
                <w:color w:val="000000"/>
                <w:sz w:val="20"/>
                <w:szCs w:val="20"/>
              </w:rPr>
              <w:t>Кукморская ЦРБ</w:t>
            </w:r>
            <w:r w:rsidR="002F7358">
              <w:rPr>
                <w:color w:val="000000"/>
                <w:sz w:val="20"/>
                <w:szCs w:val="20"/>
              </w:rPr>
              <w:t>»</w:t>
            </w:r>
          </w:p>
        </w:tc>
        <w:tc>
          <w:tcPr>
            <w:tcW w:w="1994" w:type="dxa"/>
            <w:tcBorders>
              <w:top w:val="single" w:sz="4" w:space="0" w:color="auto"/>
              <w:left w:val="single" w:sz="4" w:space="0" w:color="auto"/>
              <w:bottom w:val="single" w:sz="4" w:space="0" w:color="auto"/>
              <w:right w:val="single" w:sz="4" w:space="0" w:color="auto"/>
            </w:tcBorders>
            <w:shd w:val="clear" w:color="auto" w:fill="auto"/>
          </w:tcPr>
          <w:p w:rsidR="000E54C2" w:rsidRPr="00E8065F" w:rsidRDefault="000E54C2" w:rsidP="00BA1432">
            <w:pPr>
              <w:jc w:val="center"/>
              <w:rPr>
                <w:color w:val="000000"/>
                <w:sz w:val="20"/>
                <w:szCs w:val="20"/>
              </w:rPr>
            </w:pPr>
            <w:r w:rsidRPr="00E8065F">
              <w:rPr>
                <w:color w:val="000000"/>
                <w:sz w:val="20"/>
                <w:szCs w:val="20"/>
              </w:rPr>
              <w:t>Рентгенодиагностические аппараты</w:t>
            </w:r>
          </w:p>
        </w:tc>
        <w:tc>
          <w:tcPr>
            <w:tcW w:w="1181" w:type="dxa"/>
            <w:tcBorders>
              <w:top w:val="single" w:sz="4" w:space="0" w:color="auto"/>
            </w:tcBorders>
            <w:shd w:val="clear" w:color="auto" w:fill="auto"/>
          </w:tcPr>
          <w:p w:rsidR="000E54C2" w:rsidRPr="00E8065F" w:rsidRDefault="000E54C2" w:rsidP="000546C2">
            <w:pPr>
              <w:jc w:val="center"/>
              <w:rPr>
                <w:sz w:val="20"/>
                <w:szCs w:val="20"/>
              </w:rPr>
            </w:pPr>
            <w:r w:rsidRPr="00E8065F">
              <w:rPr>
                <w:sz w:val="20"/>
                <w:szCs w:val="20"/>
              </w:rPr>
              <w:t>2019</w:t>
            </w:r>
          </w:p>
        </w:tc>
        <w:tc>
          <w:tcPr>
            <w:tcW w:w="1181" w:type="dxa"/>
            <w:tcBorders>
              <w:top w:val="single" w:sz="4" w:space="0" w:color="auto"/>
              <w:left w:val="single" w:sz="4" w:space="0" w:color="auto"/>
              <w:bottom w:val="single" w:sz="4" w:space="0" w:color="auto"/>
              <w:right w:val="single" w:sz="4" w:space="0" w:color="auto"/>
            </w:tcBorders>
            <w:shd w:val="clear" w:color="auto" w:fill="auto"/>
          </w:tcPr>
          <w:p w:rsidR="000E54C2" w:rsidRPr="00E8065F" w:rsidRDefault="000E54C2" w:rsidP="000546C2">
            <w:pPr>
              <w:jc w:val="center"/>
              <w:rPr>
                <w:color w:val="000000"/>
                <w:sz w:val="20"/>
                <w:szCs w:val="20"/>
              </w:rPr>
            </w:pPr>
            <w:r w:rsidRPr="00E8065F">
              <w:rPr>
                <w:color w:val="000000"/>
                <w:sz w:val="20"/>
                <w:szCs w:val="20"/>
              </w:rPr>
              <w:t>1</w:t>
            </w:r>
          </w:p>
        </w:tc>
        <w:tc>
          <w:tcPr>
            <w:tcW w:w="1478" w:type="dxa"/>
            <w:tcBorders>
              <w:top w:val="single" w:sz="4" w:space="0" w:color="auto"/>
              <w:left w:val="single" w:sz="4" w:space="0" w:color="auto"/>
              <w:bottom w:val="single" w:sz="4" w:space="0" w:color="auto"/>
              <w:right w:val="single" w:sz="4" w:space="0" w:color="auto"/>
            </w:tcBorders>
            <w:shd w:val="clear" w:color="auto" w:fill="auto"/>
          </w:tcPr>
          <w:p w:rsidR="000E54C2" w:rsidRPr="00E8065F" w:rsidRDefault="000E54C2" w:rsidP="000546C2">
            <w:pPr>
              <w:jc w:val="center"/>
              <w:rPr>
                <w:color w:val="000000"/>
                <w:sz w:val="20"/>
                <w:szCs w:val="20"/>
              </w:rPr>
            </w:pPr>
            <w:r w:rsidRPr="00E8065F">
              <w:rPr>
                <w:color w:val="000000"/>
                <w:sz w:val="20"/>
                <w:szCs w:val="20"/>
              </w:rPr>
              <w:t>41</w:t>
            </w:r>
          </w:p>
        </w:tc>
        <w:tc>
          <w:tcPr>
            <w:tcW w:w="1111" w:type="dxa"/>
            <w:tcBorders>
              <w:top w:val="single" w:sz="4" w:space="0" w:color="auto"/>
              <w:left w:val="single" w:sz="4" w:space="0" w:color="auto"/>
              <w:bottom w:val="single" w:sz="4" w:space="0" w:color="auto"/>
              <w:right w:val="single" w:sz="4" w:space="0" w:color="auto"/>
            </w:tcBorders>
            <w:shd w:val="clear" w:color="auto" w:fill="auto"/>
          </w:tcPr>
          <w:p w:rsidR="000E54C2" w:rsidRPr="00E8065F" w:rsidRDefault="000E54C2" w:rsidP="000546C2">
            <w:pPr>
              <w:jc w:val="center"/>
              <w:rPr>
                <w:color w:val="000000"/>
                <w:sz w:val="20"/>
                <w:szCs w:val="20"/>
              </w:rPr>
            </w:pPr>
            <w:r w:rsidRPr="00E8065F">
              <w:rPr>
                <w:color w:val="000000"/>
                <w:sz w:val="20"/>
                <w:szCs w:val="20"/>
              </w:rPr>
              <w:t>2</w:t>
            </w:r>
          </w:p>
        </w:tc>
        <w:tc>
          <w:tcPr>
            <w:tcW w:w="1944" w:type="dxa"/>
            <w:tcBorders>
              <w:top w:val="single" w:sz="4" w:space="0" w:color="auto"/>
              <w:left w:val="single" w:sz="4" w:space="0" w:color="auto"/>
              <w:bottom w:val="single" w:sz="4" w:space="0" w:color="auto"/>
              <w:right w:val="single" w:sz="4" w:space="0" w:color="auto"/>
            </w:tcBorders>
            <w:shd w:val="clear" w:color="auto" w:fill="auto"/>
          </w:tcPr>
          <w:p w:rsidR="000E54C2" w:rsidRPr="00E8065F" w:rsidRDefault="000E54C2" w:rsidP="00BA1432">
            <w:pPr>
              <w:jc w:val="center"/>
              <w:rPr>
                <w:color w:val="000000"/>
                <w:sz w:val="20"/>
                <w:szCs w:val="20"/>
              </w:rPr>
            </w:pPr>
            <w:r w:rsidRPr="00E8065F">
              <w:rPr>
                <w:color w:val="000000"/>
                <w:sz w:val="20"/>
                <w:szCs w:val="20"/>
              </w:rPr>
              <w:t>Амбулаторное/стационарное</w:t>
            </w:r>
          </w:p>
        </w:tc>
      </w:tr>
      <w:tr w:rsidR="00BA1432" w:rsidRPr="00E8065F" w:rsidTr="000546C2">
        <w:trPr>
          <w:trHeight w:val="20"/>
        </w:trPr>
        <w:tc>
          <w:tcPr>
            <w:tcW w:w="1555" w:type="dxa"/>
            <w:vMerge/>
          </w:tcPr>
          <w:p w:rsidR="000E54C2" w:rsidRPr="00E8065F" w:rsidRDefault="000E54C2" w:rsidP="00BA1432">
            <w:pPr>
              <w:rPr>
                <w:sz w:val="20"/>
                <w:szCs w:val="20"/>
              </w:rPr>
            </w:pPr>
          </w:p>
        </w:tc>
        <w:tc>
          <w:tcPr>
            <w:tcW w:w="3685" w:type="dxa"/>
            <w:tcBorders>
              <w:top w:val="nil"/>
              <w:left w:val="single" w:sz="4" w:space="0" w:color="auto"/>
              <w:bottom w:val="single" w:sz="4" w:space="0" w:color="auto"/>
              <w:right w:val="single" w:sz="4" w:space="0" w:color="auto"/>
            </w:tcBorders>
            <w:shd w:val="clear" w:color="auto" w:fill="auto"/>
          </w:tcPr>
          <w:p w:rsidR="000E54C2" w:rsidRPr="00E8065F" w:rsidRDefault="000E54C2" w:rsidP="00DC0475">
            <w:pPr>
              <w:jc w:val="both"/>
              <w:rPr>
                <w:color w:val="000000"/>
                <w:sz w:val="20"/>
                <w:szCs w:val="20"/>
              </w:rPr>
            </w:pPr>
            <w:r w:rsidRPr="00E8065F">
              <w:rPr>
                <w:color w:val="000000"/>
                <w:sz w:val="20"/>
                <w:szCs w:val="20"/>
              </w:rPr>
              <w:t xml:space="preserve">ГАУЗ </w:t>
            </w:r>
            <w:r w:rsidR="002F7358">
              <w:rPr>
                <w:color w:val="000000"/>
                <w:sz w:val="20"/>
                <w:szCs w:val="20"/>
              </w:rPr>
              <w:t>«</w:t>
            </w:r>
            <w:r w:rsidRPr="00E8065F">
              <w:rPr>
                <w:color w:val="000000"/>
                <w:sz w:val="20"/>
                <w:szCs w:val="20"/>
              </w:rPr>
              <w:t>Лаишевская ЦРБ</w:t>
            </w:r>
            <w:r w:rsidR="002F7358">
              <w:rPr>
                <w:color w:val="000000"/>
                <w:sz w:val="20"/>
                <w:szCs w:val="20"/>
              </w:rPr>
              <w:t>»</w:t>
            </w:r>
          </w:p>
        </w:tc>
        <w:tc>
          <w:tcPr>
            <w:tcW w:w="1994" w:type="dxa"/>
            <w:tcBorders>
              <w:top w:val="nil"/>
              <w:left w:val="single" w:sz="4" w:space="0" w:color="auto"/>
              <w:bottom w:val="single" w:sz="4" w:space="0" w:color="auto"/>
              <w:right w:val="single" w:sz="4" w:space="0" w:color="auto"/>
            </w:tcBorders>
            <w:shd w:val="clear" w:color="auto" w:fill="auto"/>
          </w:tcPr>
          <w:p w:rsidR="000E54C2" w:rsidRPr="00E8065F" w:rsidRDefault="000E54C2" w:rsidP="00BA1432">
            <w:pPr>
              <w:jc w:val="center"/>
              <w:rPr>
                <w:color w:val="000000"/>
                <w:sz w:val="20"/>
                <w:szCs w:val="20"/>
              </w:rPr>
            </w:pPr>
            <w:r w:rsidRPr="00E8065F">
              <w:rPr>
                <w:color w:val="000000"/>
                <w:sz w:val="20"/>
                <w:szCs w:val="20"/>
              </w:rPr>
              <w:t>Рентгенодиагностические аппараты</w:t>
            </w:r>
          </w:p>
        </w:tc>
        <w:tc>
          <w:tcPr>
            <w:tcW w:w="1181" w:type="dxa"/>
            <w:shd w:val="clear" w:color="auto" w:fill="auto"/>
          </w:tcPr>
          <w:p w:rsidR="00512E03" w:rsidRPr="00E8065F" w:rsidRDefault="000E54C2" w:rsidP="00512E03">
            <w:pPr>
              <w:jc w:val="center"/>
              <w:rPr>
                <w:sz w:val="20"/>
                <w:szCs w:val="20"/>
              </w:rPr>
            </w:pPr>
            <w:r w:rsidRPr="00E8065F">
              <w:rPr>
                <w:sz w:val="20"/>
                <w:szCs w:val="20"/>
              </w:rPr>
              <w:t>2013</w:t>
            </w:r>
            <w:r w:rsidR="00AA5FB3">
              <w:rPr>
                <w:sz w:val="20"/>
                <w:szCs w:val="20"/>
              </w:rPr>
              <w:t xml:space="preserve"> </w:t>
            </w:r>
            <w:r w:rsidR="00512E03">
              <w:rPr>
                <w:sz w:val="20"/>
                <w:szCs w:val="20"/>
              </w:rPr>
              <w:t>(1)</w:t>
            </w:r>
          </w:p>
          <w:p w:rsidR="000E54C2" w:rsidRPr="00E8065F" w:rsidRDefault="000E54C2" w:rsidP="000546C2">
            <w:pPr>
              <w:jc w:val="center"/>
              <w:rPr>
                <w:sz w:val="20"/>
                <w:szCs w:val="20"/>
              </w:rPr>
            </w:pPr>
            <w:r w:rsidRPr="00E8065F">
              <w:rPr>
                <w:sz w:val="20"/>
                <w:szCs w:val="20"/>
              </w:rPr>
              <w:t>2019</w:t>
            </w:r>
            <w:r w:rsidR="00AA5FB3">
              <w:rPr>
                <w:sz w:val="20"/>
                <w:szCs w:val="20"/>
              </w:rPr>
              <w:t xml:space="preserve"> </w:t>
            </w:r>
            <w:r w:rsidR="00512E03">
              <w:rPr>
                <w:sz w:val="20"/>
                <w:szCs w:val="20"/>
              </w:rPr>
              <w:t>(2)</w:t>
            </w:r>
          </w:p>
        </w:tc>
        <w:tc>
          <w:tcPr>
            <w:tcW w:w="1181" w:type="dxa"/>
            <w:tcBorders>
              <w:top w:val="nil"/>
              <w:left w:val="single" w:sz="4" w:space="0" w:color="auto"/>
              <w:bottom w:val="single" w:sz="4" w:space="0" w:color="auto"/>
              <w:right w:val="single" w:sz="4" w:space="0" w:color="auto"/>
            </w:tcBorders>
            <w:shd w:val="clear" w:color="auto" w:fill="auto"/>
          </w:tcPr>
          <w:p w:rsidR="000E54C2" w:rsidRPr="00E8065F" w:rsidRDefault="000E54C2" w:rsidP="000546C2">
            <w:pPr>
              <w:jc w:val="center"/>
              <w:rPr>
                <w:color w:val="000000"/>
                <w:sz w:val="20"/>
                <w:szCs w:val="20"/>
              </w:rPr>
            </w:pPr>
            <w:r w:rsidRPr="00E8065F">
              <w:rPr>
                <w:color w:val="000000"/>
                <w:sz w:val="20"/>
                <w:szCs w:val="20"/>
              </w:rPr>
              <w:t>3</w:t>
            </w:r>
          </w:p>
        </w:tc>
        <w:tc>
          <w:tcPr>
            <w:tcW w:w="1478" w:type="dxa"/>
            <w:tcBorders>
              <w:top w:val="nil"/>
              <w:left w:val="single" w:sz="4" w:space="0" w:color="auto"/>
              <w:bottom w:val="single" w:sz="4" w:space="0" w:color="auto"/>
              <w:right w:val="single" w:sz="4" w:space="0" w:color="auto"/>
            </w:tcBorders>
            <w:shd w:val="clear" w:color="auto" w:fill="auto"/>
          </w:tcPr>
          <w:p w:rsidR="000E54C2" w:rsidRPr="00E8065F" w:rsidRDefault="000E54C2" w:rsidP="000546C2">
            <w:pPr>
              <w:jc w:val="center"/>
              <w:rPr>
                <w:color w:val="000000"/>
                <w:sz w:val="20"/>
                <w:szCs w:val="20"/>
              </w:rPr>
            </w:pPr>
            <w:r w:rsidRPr="00E8065F">
              <w:rPr>
                <w:color w:val="000000"/>
                <w:sz w:val="20"/>
                <w:szCs w:val="20"/>
              </w:rPr>
              <w:t>36</w:t>
            </w:r>
          </w:p>
        </w:tc>
        <w:tc>
          <w:tcPr>
            <w:tcW w:w="1111" w:type="dxa"/>
            <w:tcBorders>
              <w:top w:val="nil"/>
              <w:left w:val="single" w:sz="4" w:space="0" w:color="auto"/>
              <w:bottom w:val="single" w:sz="4" w:space="0" w:color="auto"/>
              <w:right w:val="single" w:sz="4" w:space="0" w:color="auto"/>
            </w:tcBorders>
            <w:shd w:val="clear" w:color="auto" w:fill="auto"/>
          </w:tcPr>
          <w:p w:rsidR="000E54C2" w:rsidRPr="00E8065F" w:rsidRDefault="000E54C2" w:rsidP="000546C2">
            <w:pPr>
              <w:jc w:val="center"/>
              <w:rPr>
                <w:color w:val="000000"/>
                <w:sz w:val="20"/>
                <w:szCs w:val="20"/>
              </w:rPr>
            </w:pPr>
            <w:r w:rsidRPr="00E8065F">
              <w:rPr>
                <w:color w:val="000000"/>
                <w:sz w:val="20"/>
                <w:szCs w:val="20"/>
              </w:rPr>
              <w:t>2</w:t>
            </w:r>
          </w:p>
        </w:tc>
        <w:tc>
          <w:tcPr>
            <w:tcW w:w="1944" w:type="dxa"/>
            <w:tcBorders>
              <w:top w:val="nil"/>
              <w:left w:val="single" w:sz="4" w:space="0" w:color="auto"/>
              <w:bottom w:val="single" w:sz="4" w:space="0" w:color="auto"/>
              <w:right w:val="single" w:sz="4" w:space="0" w:color="auto"/>
            </w:tcBorders>
            <w:shd w:val="clear" w:color="auto" w:fill="auto"/>
          </w:tcPr>
          <w:p w:rsidR="000E54C2" w:rsidRPr="00E8065F" w:rsidRDefault="000E54C2" w:rsidP="00BA1432">
            <w:pPr>
              <w:jc w:val="center"/>
              <w:rPr>
                <w:color w:val="000000"/>
                <w:sz w:val="20"/>
                <w:szCs w:val="20"/>
              </w:rPr>
            </w:pPr>
            <w:r w:rsidRPr="00E8065F">
              <w:rPr>
                <w:color w:val="000000"/>
                <w:sz w:val="20"/>
                <w:szCs w:val="20"/>
              </w:rPr>
              <w:t>Амбулаторное/стационарное</w:t>
            </w:r>
          </w:p>
        </w:tc>
      </w:tr>
      <w:tr w:rsidR="00BA1432" w:rsidRPr="00E8065F" w:rsidTr="000546C2">
        <w:trPr>
          <w:trHeight w:val="20"/>
        </w:trPr>
        <w:tc>
          <w:tcPr>
            <w:tcW w:w="1555" w:type="dxa"/>
            <w:vMerge/>
          </w:tcPr>
          <w:p w:rsidR="000E54C2" w:rsidRPr="00E8065F" w:rsidRDefault="000E54C2" w:rsidP="00BA1432">
            <w:pPr>
              <w:rPr>
                <w:sz w:val="20"/>
                <w:szCs w:val="20"/>
              </w:rPr>
            </w:pPr>
          </w:p>
        </w:tc>
        <w:tc>
          <w:tcPr>
            <w:tcW w:w="3685" w:type="dxa"/>
            <w:tcBorders>
              <w:top w:val="nil"/>
              <w:left w:val="single" w:sz="4" w:space="0" w:color="auto"/>
              <w:bottom w:val="single" w:sz="4" w:space="0" w:color="auto"/>
              <w:right w:val="single" w:sz="4" w:space="0" w:color="auto"/>
            </w:tcBorders>
            <w:shd w:val="clear" w:color="auto" w:fill="auto"/>
          </w:tcPr>
          <w:p w:rsidR="000E54C2" w:rsidRPr="00E8065F" w:rsidRDefault="000E54C2" w:rsidP="00DC0475">
            <w:pPr>
              <w:jc w:val="both"/>
              <w:rPr>
                <w:color w:val="000000"/>
                <w:sz w:val="20"/>
                <w:szCs w:val="20"/>
              </w:rPr>
            </w:pPr>
            <w:r w:rsidRPr="00E8065F">
              <w:rPr>
                <w:color w:val="000000"/>
                <w:sz w:val="20"/>
                <w:szCs w:val="20"/>
              </w:rPr>
              <w:t xml:space="preserve">ГАУЗ </w:t>
            </w:r>
            <w:r w:rsidR="002F7358">
              <w:rPr>
                <w:color w:val="000000"/>
                <w:sz w:val="20"/>
                <w:szCs w:val="20"/>
              </w:rPr>
              <w:t>«</w:t>
            </w:r>
            <w:r w:rsidRPr="00E8065F">
              <w:rPr>
                <w:color w:val="000000"/>
                <w:sz w:val="20"/>
                <w:szCs w:val="20"/>
              </w:rPr>
              <w:t>Лениногорская ЦРБ</w:t>
            </w:r>
            <w:r w:rsidR="002F7358">
              <w:rPr>
                <w:color w:val="000000"/>
                <w:sz w:val="20"/>
                <w:szCs w:val="20"/>
              </w:rPr>
              <w:t>»</w:t>
            </w:r>
          </w:p>
          <w:p w:rsidR="000E54C2" w:rsidRPr="00E8065F" w:rsidRDefault="000E54C2" w:rsidP="00DC0475">
            <w:pPr>
              <w:jc w:val="both"/>
              <w:rPr>
                <w:color w:val="000000"/>
                <w:sz w:val="20"/>
                <w:szCs w:val="20"/>
              </w:rPr>
            </w:pPr>
          </w:p>
          <w:p w:rsidR="000E54C2" w:rsidRPr="00E8065F" w:rsidRDefault="000E54C2" w:rsidP="00DC0475">
            <w:pPr>
              <w:jc w:val="both"/>
              <w:rPr>
                <w:color w:val="000000"/>
                <w:sz w:val="20"/>
                <w:szCs w:val="20"/>
              </w:rPr>
            </w:pPr>
          </w:p>
          <w:p w:rsidR="000E54C2" w:rsidRPr="00E8065F" w:rsidRDefault="000E54C2" w:rsidP="00DC0475">
            <w:pPr>
              <w:jc w:val="both"/>
              <w:rPr>
                <w:color w:val="000000"/>
                <w:sz w:val="20"/>
                <w:szCs w:val="20"/>
              </w:rPr>
            </w:pPr>
          </w:p>
        </w:tc>
        <w:tc>
          <w:tcPr>
            <w:tcW w:w="1994" w:type="dxa"/>
            <w:tcBorders>
              <w:top w:val="nil"/>
              <w:left w:val="single" w:sz="4" w:space="0" w:color="auto"/>
              <w:bottom w:val="single" w:sz="4" w:space="0" w:color="auto"/>
              <w:right w:val="single" w:sz="4" w:space="0" w:color="auto"/>
            </w:tcBorders>
            <w:shd w:val="clear" w:color="auto" w:fill="auto"/>
          </w:tcPr>
          <w:p w:rsidR="000E54C2" w:rsidRPr="00E8065F" w:rsidRDefault="000E54C2" w:rsidP="00BA1432">
            <w:pPr>
              <w:jc w:val="center"/>
              <w:rPr>
                <w:color w:val="000000"/>
                <w:sz w:val="20"/>
                <w:szCs w:val="20"/>
              </w:rPr>
            </w:pPr>
            <w:r w:rsidRPr="00E8065F">
              <w:rPr>
                <w:color w:val="000000"/>
                <w:sz w:val="20"/>
                <w:szCs w:val="20"/>
              </w:rPr>
              <w:t>Рентгенодиагностические аппараты</w:t>
            </w:r>
          </w:p>
        </w:tc>
        <w:tc>
          <w:tcPr>
            <w:tcW w:w="1181" w:type="dxa"/>
            <w:tcBorders>
              <w:bottom w:val="single" w:sz="4" w:space="0" w:color="auto"/>
            </w:tcBorders>
            <w:shd w:val="clear" w:color="auto" w:fill="auto"/>
          </w:tcPr>
          <w:p w:rsidR="00512E03" w:rsidRPr="00E8065F" w:rsidRDefault="000E54C2" w:rsidP="00512E03">
            <w:pPr>
              <w:jc w:val="center"/>
              <w:rPr>
                <w:sz w:val="20"/>
                <w:szCs w:val="20"/>
              </w:rPr>
            </w:pPr>
            <w:r w:rsidRPr="00E8065F">
              <w:rPr>
                <w:sz w:val="20"/>
                <w:szCs w:val="20"/>
              </w:rPr>
              <w:t>2003</w:t>
            </w:r>
            <w:r w:rsidR="00AA5FB3">
              <w:rPr>
                <w:sz w:val="20"/>
                <w:szCs w:val="20"/>
              </w:rPr>
              <w:t xml:space="preserve"> </w:t>
            </w:r>
            <w:r w:rsidR="00512E03">
              <w:rPr>
                <w:sz w:val="20"/>
                <w:szCs w:val="20"/>
              </w:rPr>
              <w:t>(1)</w:t>
            </w:r>
          </w:p>
          <w:p w:rsidR="00512E03" w:rsidRPr="00E8065F" w:rsidRDefault="000E54C2" w:rsidP="00512E03">
            <w:pPr>
              <w:jc w:val="center"/>
              <w:rPr>
                <w:sz w:val="20"/>
                <w:szCs w:val="20"/>
              </w:rPr>
            </w:pPr>
            <w:r w:rsidRPr="00E8065F">
              <w:rPr>
                <w:sz w:val="20"/>
                <w:szCs w:val="20"/>
              </w:rPr>
              <w:t>2006</w:t>
            </w:r>
            <w:r w:rsidR="00AA5FB3">
              <w:rPr>
                <w:sz w:val="20"/>
                <w:szCs w:val="20"/>
              </w:rPr>
              <w:t xml:space="preserve"> </w:t>
            </w:r>
            <w:r w:rsidR="00512E03">
              <w:rPr>
                <w:sz w:val="20"/>
                <w:szCs w:val="20"/>
              </w:rPr>
              <w:t>(1)</w:t>
            </w:r>
          </w:p>
          <w:p w:rsidR="00512E03" w:rsidRPr="00E8065F" w:rsidRDefault="000E54C2" w:rsidP="00512E03">
            <w:pPr>
              <w:jc w:val="center"/>
              <w:rPr>
                <w:sz w:val="20"/>
                <w:szCs w:val="20"/>
              </w:rPr>
            </w:pPr>
            <w:r w:rsidRPr="00E8065F">
              <w:rPr>
                <w:sz w:val="20"/>
                <w:szCs w:val="20"/>
              </w:rPr>
              <w:t>2011</w:t>
            </w:r>
            <w:r w:rsidR="00AA5FB3">
              <w:rPr>
                <w:sz w:val="20"/>
                <w:szCs w:val="20"/>
              </w:rPr>
              <w:t xml:space="preserve"> </w:t>
            </w:r>
            <w:r w:rsidR="00512E03">
              <w:rPr>
                <w:sz w:val="20"/>
                <w:szCs w:val="20"/>
              </w:rPr>
              <w:t>(1)</w:t>
            </w:r>
          </w:p>
          <w:p w:rsidR="00512E03" w:rsidRPr="00E8065F" w:rsidRDefault="000E54C2" w:rsidP="00512E03">
            <w:pPr>
              <w:jc w:val="center"/>
              <w:rPr>
                <w:sz w:val="20"/>
                <w:szCs w:val="20"/>
              </w:rPr>
            </w:pPr>
            <w:r w:rsidRPr="00E8065F">
              <w:rPr>
                <w:sz w:val="20"/>
                <w:szCs w:val="20"/>
              </w:rPr>
              <w:t>2019</w:t>
            </w:r>
            <w:r w:rsidR="00AA5FB3">
              <w:rPr>
                <w:sz w:val="20"/>
                <w:szCs w:val="20"/>
              </w:rPr>
              <w:t xml:space="preserve"> </w:t>
            </w:r>
            <w:r w:rsidR="00512E03">
              <w:rPr>
                <w:sz w:val="20"/>
                <w:szCs w:val="20"/>
              </w:rPr>
              <w:t>(1)</w:t>
            </w:r>
          </w:p>
          <w:p w:rsidR="000E54C2" w:rsidRPr="00E8065F" w:rsidRDefault="000E54C2" w:rsidP="00512E03">
            <w:pPr>
              <w:jc w:val="center"/>
              <w:rPr>
                <w:sz w:val="20"/>
                <w:szCs w:val="20"/>
              </w:rPr>
            </w:pPr>
            <w:r w:rsidRPr="00E8065F">
              <w:rPr>
                <w:sz w:val="20"/>
                <w:szCs w:val="20"/>
              </w:rPr>
              <w:t>2020</w:t>
            </w:r>
            <w:r w:rsidR="00AA5FB3">
              <w:rPr>
                <w:sz w:val="20"/>
                <w:szCs w:val="20"/>
              </w:rPr>
              <w:t xml:space="preserve"> </w:t>
            </w:r>
            <w:r w:rsidR="00512E03">
              <w:rPr>
                <w:sz w:val="20"/>
                <w:szCs w:val="20"/>
              </w:rPr>
              <w:t>(1)</w:t>
            </w:r>
          </w:p>
        </w:tc>
        <w:tc>
          <w:tcPr>
            <w:tcW w:w="1181" w:type="dxa"/>
            <w:tcBorders>
              <w:top w:val="nil"/>
              <w:left w:val="single" w:sz="4" w:space="0" w:color="auto"/>
              <w:bottom w:val="single" w:sz="4" w:space="0" w:color="auto"/>
              <w:right w:val="single" w:sz="4" w:space="0" w:color="auto"/>
            </w:tcBorders>
            <w:shd w:val="clear" w:color="auto" w:fill="auto"/>
          </w:tcPr>
          <w:p w:rsidR="000E54C2" w:rsidRPr="00E8065F" w:rsidRDefault="000E54C2" w:rsidP="000546C2">
            <w:pPr>
              <w:jc w:val="center"/>
              <w:rPr>
                <w:color w:val="000000"/>
                <w:sz w:val="20"/>
                <w:szCs w:val="20"/>
              </w:rPr>
            </w:pPr>
            <w:r w:rsidRPr="00E8065F">
              <w:rPr>
                <w:color w:val="000000"/>
                <w:sz w:val="20"/>
                <w:szCs w:val="20"/>
              </w:rPr>
              <w:t>5</w:t>
            </w:r>
          </w:p>
        </w:tc>
        <w:tc>
          <w:tcPr>
            <w:tcW w:w="1478" w:type="dxa"/>
            <w:tcBorders>
              <w:top w:val="nil"/>
              <w:left w:val="single" w:sz="4" w:space="0" w:color="auto"/>
              <w:bottom w:val="single" w:sz="4" w:space="0" w:color="auto"/>
              <w:right w:val="single" w:sz="4" w:space="0" w:color="auto"/>
            </w:tcBorders>
            <w:shd w:val="clear" w:color="auto" w:fill="auto"/>
          </w:tcPr>
          <w:p w:rsidR="000E54C2" w:rsidRPr="00E8065F" w:rsidRDefault="000E54C2" w:rsidP="000546C2">
            <w:pPr>
              <w:jc w:val="center"/>
              <w:rPr>
                <w:color w:val="000000"/>
                <w:sz w:val="20"/>
                <w:szCs w:val="20"/>
              </w:rPr>
            </w:pPr>
            <w:r w:rsidRPr="00E8065F">
              <w:rPr>
                <w:color w:val="000000"/>
                <w:sz w:val="20"/>
                <w:szCs w:val="20"/>
              </w:rPr>
              <w:t>120</w:t>
            </w:r>
          </w:p>
        </w:tc>
        <w:tc>
          <w:tcPr>
            <w:tcW w:w="1111" w:type="dxa"/>
            <w:tcBorders>
              <w:top w:val="nil"/>
              <w:left w:val="single" w:sz="4" w:space="0" w:color="auto"/>
              <w:bottom w:val="single" w:sz="4" w:space="0" w:color="auto"/>
              <w:right w:val="single" w:sz="4" w:space="0" w:color="auto"/>
            </w:tcBorders>
            <w:shd w:val="clear" w:color="auto" w:fill="auto"/>
          </w:tcPr>
          <w:p w:rsidR="000E54C2" w:rsidRPr="00E8065F" w:rsidRDefault="000E54C2" w:rsidP="000546C2">
            <w:pPr>
              <w:jc w:val="center"/>
              <w:rPr>
                <w:color w:val="000000"/>
                <w:sz w:val="20"/>
                <w:szCs w:val="20"/>
              </w:rPr>
            </w:pPr>
            <w:r w:rsidRPr="00E8065F">
              <w:rPr>
                <w:color w:val="000000"/>
                <w:sz w:val="20"/>
                <w:szCs w:val="20"/>
              </w:rPr>
              <w:t>2</w:t>
            </w:r>
          </w:p>
        </w:tc>
        <w:tc>
          <w:tcPr>
            <w:tcW w:w="1944" w:type="dxa"/>
            <w:tcBorders>
              <w:top w:val="nil"/>
              <w:left w:val="single" w:sz="4" w:space="0" w:color="auto"/>
              <w:bottom w:val="single" w:sz="4" w:space="0" w:color="auto"/>
              <w:right w:val="single" w:sz="4" w:space="0" w:color="auto"/>
            </w:tcBorders>
            <w:shd w:val="clear" w:color="auto" w:fill="auto"/>
          </w:tcPr>
          <w:p w:rsidR="000E54C2" w:rsidRPr="00E8065F" w:rsidRDefault="000E54C2" w:rsidP="00BA1432">
            <w:pPr>
              <w:jc w:val="center"/>
              <w:rPr>
                <w:color w:val="000000"/>
                <w:sz w:val="20"/>
                <w:szCs w:val="20"/>
              </w:rPr>
            </w:pPr>
            <w:r w:rsidRPr="00E8065F">
              <w:rPr>
                <w:color w:val="000000"/>
                <w:sz w:val="20"/>
                <w:szCs w:val="20"/>
              </w:rPr>
              <w:t>Амбулаторное/стационарное</w:t>
            </w:r>
          </w:p>
        </w:tc>
      </w:tr>
      <w:tr w:rsidR="00BA1432" w:rsidRPr="00E8065F" w:rsidTr="000546C2">
        <w:trPr>
          <w:trHeight w:val="20"/>
        </w:trPr>
        <w:tc>
          <w:tcPr>
            <w:tcW w:w="1555" w:type="dxa"/>
            <w:vMerge/>
          </w:tcPr>
          <w:p w:rsidR="000E54C2" w:rsidRPr="00E8065F" w:rsidRDefault="000E54C2" w:rsidP="00BA1432">
            <w:pPr>
              <w:rPr>
                <w:sz w:val="20"/>
                <w:szCs w:val="20"/>
              </w:rPr>
            </w:pPr>
          </w:p>
        </w:tc>
        <w:tc>
          <w:tcPr>
            <w:tcW w:w="3685" w:type="dxa"/>
            <w:tcBorders>
              <w:top w:val="single" w:sz="4" w:space="0" w:color="auto"/>
              <w:bottom w:val="single" w:sz="4" w:space="0" w:color="auto"/>
              <w:right w:val="single" w:sz="4" w:space="0" w:color="auto"/>
            </w:tcBorders>
            <w:shd w:val="clear" w:color="auto" w:fill="auto"/>
          </w:tcPr>
          <w:p w:rsidR="000E54C2" w:rsidRPr="00E8065F" w:rsidRDefault="000E54C2" w:rsidP="00DC0475">
            <w:pPr>
              <w:jc w:val="both"/>
              <w:rPr>
                <w:color w:val="000000"/>
                <w:sz w:val="20"/>
                <w:szCs w:val="20"/>
              </w:rPr>
            </w:pPr>
            <w:r w:rsidRPr="00E8065F">
              <w:rPr>
                <w:color w:val="000000"/>
                <w:sz w:val="20"/>
                <w:szCs w:val="20"/>
              </w:rPr>
              <w:t xml:space="preserve">ГАУЗ </w:t>
            </w:r>
            <w:r w:rsidR="002F7358">
              <w:rPr>
                <w:color w:val="000000"/>
                <w:sz w:val="20"/>
                <w:szCs w:val="20"/>
              </w:rPr>
              <w:t>«</w:t>
            </w:r>
            <w:r w:rsidRPr="00E8065F">
              <w:rPr>
                <w:color w:val="000000"/>
                <w:sz w:val="20"/>
                <w:szCs w:val="20"/>
              </w:rPr>
              <w:t>Мамадышская ЦРБ</w:t>
            </w:r>
            <w:r w:rsidR="002F7358">
              <w:rPr>
                <w:color w:val="000000"/>
                <w:sz w:val="20"/>
                <w:szCs w:val="20"/>
              </w:rPr>
              <w:t>»</w:t>
            </w:r>
          </w:p>
        </w:tc>
        <w:tc>
          <w:tcPr>
            <w:tcW w:w="1994" w:type="dxa"/>
            <w:tcBorders>
              <w:top w:val="single" w:sz="4" w:space="0" w:color="auto"/>
              <w:left w:val="single" w:sz="4" w:space="0" w:color="auto"/>
              <w:bottom w:val="single" w:sz="4" w:space="0" w:color="auto"/>
              <w:right w:val="single" w:sz="4" w:space="0" w:color="auto"/>
            </w:tcBorders>
            <w:shd w:val="clear" w:color="auto" w:fill="auto"/>
          </w:tcPr>
          <w:p w:rsidR="000E54C2" w:rsidRPr="00E8065F" w:rsidRDefault="000E54C2" w:rsidP="00BA1432">
            <w:pPr>
              <w:jc w:val="center"/>
              <w:rPr>
                <w:color w:val="000000"/>
                <w:sz w:val="20"/>
                <w:szCs w:val="20"/>
              </w:rPr>
            </w:pPr>
            <w:r w:rsidRPr="00E8065F">
              <w:rPr>
                <w:color w:val="000000"/>
                <w:sz w:val="20"/>
                <w:szCs w:val="20"/>
              </w:rPr>
              <w:t>Рентгенодиагностические аппараты</w:t>
            </w:r>
          </w:p>
        </w:tc>
        <w:tc>
          <w:tcPr>
            <w:tcW w:w="1181" w:type="dxa"/>
            <w:tcBorders>
              <w:top w:val="single" w:sz="4" w:space="0" w:color="auto"/>
              <w:left w:val="single" w:sz="4" w:space="0" w:color="auto"/>
              <w:bottom w:val="single" w:sz="4" w:space="0" w:color="auto"/>
              <w:right w:val="single" w:sz="4" w:space="0" w:color="auto"/>
            </w:tcBorders>
            <w:shd w:val="clear" w:color="auto" w:fill="auto"/>
          </w:tcPr>
          <w:p w:rsidR="000E54C2" w:rsidRPr="00E8065F" w:rsidRDefault="000E54C2" w:rsidP="000546C2">
            <w:pPr>
              <w:jc w:val="center"/>
              <w:rPr>
                <w:sz w:val="20"/>
                <w:szCs w:val="20"/>
              </w:rPr>
            </w:pPr>
            <w:r w:rsidRPr="00E8065F">
              <w:rPr>
                <w:sz w:val="20"/>
                <w:szCs w:val="20"/>
              </w:rPr>
              <w:t>2019</w:t>
            </w:r>
          </w:p>
        </w:tc>
        <w:tc>
          <w:tcPr>
            <w:tcW w:w="1181" w:type="dxa"/>
            <w:tcBorders>
              <w:top w:val="single" w:sz="4" w:space="0" w:color="auto"/>
              <w:left w:val="single" w:sz="4" w:space="0" w:color="auto"/>
              <w:bottom w:val="single" w:sz="4" w:space="0" w:color="auto"/>
              <w:right w:val="single" w:sz="4" w:space="0" w:color="auto"/>
            </w:tcBorders>
            <w:shd w:val="clear" w:color="auto" w:fill="auto"/>
          </w:tcPr>
          <w:p w:rsidR="000E54C2" w:rsidRPr="00E8065F" w:rsidRDefault="000E54C2" w:rsidP="000546C2">
            <w:pPr>
              <w:jc w:val="center"/>
              <w:rPr>
                <w:color w:val="000000"/>
                <w:sz w:val="20"/>
                <w:szCs w:val="20"/>
              </w:rPr>
            </w:pPr>
            <w:r w:rsidRPr="00E8065F">
              <w:rPr>
                <w:color w:val="000000"/>
                <w:sz w:val="20"/>
                <w:szCs w:val="20"/>
              </w:rPr>
              <w:t>1</w:t>
            </w:r>
          </w:p>
        </w:tc>
        <w:tc>
          <w:tcPr>
            <w:tcW w:w="1478" w:type="dxa"/>
            <w:tcBorders>
              <w:top w:val="single" w:sz="4" w:space="0" w:color="auto"/>
              <w:left w:val="single" w:sz="4" w:space="0" w:color="auto"/>
              <w:bottom w:val="single" w:sz="4" w:space="0" w:color="auto"/>
              <w:right w:val="single" w:sz="4" w:space="0" w:color="auto"/>
            </w:tcBorders>
            <w:shd w:val="clear" w:color="auto" w:fill="auto"/>
          </w:tcPr>
          <w:p w:rsidR="000E54C2" w:rsidRPr="00E8065F" w:rsidRDefault="000E54C2" w:rsidP="000546C2">
            <w:pPr>
              <w:jc w:val="center"/>
              <w:rPr>
                <w:color w:val="000000"/>
                <w:sz w:val="20"/>
                <w:szCs w:val="20"/>
              </w:rPr>
            </w:pPr>
            <w:r w:rsidRPr="00E8065F">
              <w:rPr>
                <w:color w:val="000000"/>
                <w:sz w:val="20"/>
                <w:szCs w:val="20"/>
              </w:rPr>
              <w:t>45</w:t>
            </w:r>
          </w:p>
        </w:tc>
        <w:tc>
          <w:tcPr>
            <w:tcW w:w="1111" w:type="dxa"/>
            <w:tcBorders>
              <w:top w:val="single" w:sz="4" w:space="0" w:color="auto"/>
              <w:left w:val="single" w:sz="4" w:space="0" w:color="auto"/>
              <w:bottom w:val="single" w:sz="4" w:space="0" w:color="auto"/>
              <w:right w:val="single" w:sz="4" w:space="0" w:color="auto"/>
            </w:tcBorders>
            <w:shd w:val="clear" w:color="auto" w:fill="auto"/>
          </w:tcPr>
          <w:p w:rsidR="000E54C2" w:rsidRPr="00E8065F" w:rsidRDefault="000E54C2" w:rsidP="000546C2">
            <w:pPr>
              <w:jc w:val="center"/>
              <w:rPr>
                <w:color w:val="000000"/>
                <w:sz w:val="20"/>
                <w:szCs w:val="20"/>
              </w:rPr>
            </w:pPr>
            <w:r w:rsidRPr="00E8065F">
              <w:rPr>
                <w:color w:val="000000"/>
                <w:sz w:val="20"/>
                <w:szCs w:val="20"/>
              </w:rPr>
              <w:t>2</w:t>
            </w:r>
          </w:p>
        </w:tc>
        <w:tc>
          <w:tcPr>
            <w:tcW w:w="1944" w:type="dxa"/>
            <w:tcBorders>
              <w:top w:val="single" w:sz="4" w:space="0" w:color="auto"/>
              <w:left w:val="single" w:sz="4" w:space="0" w:color="auto"/>
              <w:bottom w:val="single" w:sz="4" w:space="0" w:color="auto"/>
              <w:right w:val="single" w:sz="4" w:space="0" w:color="auto"/>
            </w:tcBorders>
            <w:shd w:val="clear" w:color="auto" w:fill="auto"/>
          </w:tcPr>
          <w:p w:rsidR="000E54C2" w:rsidRPr="00E8065F" w:rsidRDefault="000E54C2" w:rsidP="00BA1432">
            <w:pPr>
              <w:jc w:val="center"/>
              <w:rPr>
                <w:color w:val="000000"/>
                <w:sz w:val="20"/>
                <w:szCs w:val="20"/>
              </w:rPr>
            </w:pPr>
            <w:r w:rsidRPr="00E8065F">
              <w:rPr>
                <w:color w:val="000000"/>
                <w:sz w:val="20"/>
                <w:szCs w:val="20"/>
              </w:rPr>
              <w:t>Амбулаторное/стационарное</w:t>
            </w:r>
          </w:p>
        </w:tc>
      </w:tr>
      <w:tr w:rsidR="00BA1432" w:rsidRPr="00E8065F" w:rsidTr="000546C2">
        <w:trPr>
          <w:trHeight w:val="20"/>
        </w:trPr>
        <w:tc>
          <w:tcPr>
            <w:tcW w:w="1555" w:type="dxa"/>
            <w:vMerge/>
          </w:tcPr>
          <w:p w:rsidR="000E54C2" w:rsidRPr="00E8065F" w:rsidRDefault="000E54C2" w:rsidP="00BA1432">
            <w:pPr>
              <w:rPr>
                <w:sz w:val="20"/>
                <w:szCs w:val="20"/>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0E54C2" w:rsidRPr="00E8065F" w:rsidRDefault="000E54C2" w:rsidP="00DC0475">
            <w:pPr>
              <w:jc w:val="both"/>
              <w:rPr>
                <w:color w:val="000000"/>
                <w:sz w:val="20"/>
                <w:szCs w:val="20"/>
              </w:rPr>
            </w:pPr>
            <w:r w:rsidRPr="00E8065F">
              <w:rPr>
                <w:color w:val="000000"/>
                <w:sz w:val="20"/>
                <w:szCs w:val="20"/>
              </w:rPr>
              <w:t xml:space="preserve">ГАУЗ </w:t>
            </w:r>
            <w:r w:rsidR="002F7358">
              <w:rPr>
                <w:color w:val="000000"/>
                <w:sz w:val="20"/>
                <w:szCs w:val="20"/>
              </w:rPr>
              <w:t>«</w:t>
            </w:r>
            <w:r w:rsidRPr="00E8065F">
              <w:rPr>
                <w:color w:val="000000"/>
                <w:sz w:val="20"/>
                <w:szCs w:val="20"/>
              </w:rPr>
              <w:t>Менделеевская ЦРБ</w:t>
            </w:r>
            <w:r w:rsidR="002F7358">
              <w:rPr>
                <w:color w:val="000000"/>
                <w:sz w:val="20"/>
                <w:szCs w:val="20"/>
              </w:rPr>
              <w:t>»</w:t>
            </w:r>
          </w:p>
        </w:tc>
        <w:tc>
          <w:tcPr>
            <w:tcW w:w="1994" w:type="dxa"/>
            <w:tcBorders>
              <w:top w:val="single" w:sz="4" w:space="0" w:color="auto"/>
              <w:left w:val="single" w:sz="4" w:space="0" w:color="auto"/>
              <w:bottom w:val="single" w:sz="4" w:space="0" w:color="auto"/>
              <w:right w:val="single" w:sz="4" w:space="0" w:color="auto"/>
            </w:tcBorders>
            <w:shd w:val="clear" w:color="auto" w:fill="auto"/>
          </w:tcPr>
          <w:p w:rsidR="000E54C2" w:rsidRPr="00E8065F" w:rsidRDefault="000E54C2" w:rsidP="00BA1432">
            <w:pPr>
              <w:jc w:val="center"/>
              <w:rPr>
                <w:color w:val="000000"/>
                <w:sz w:val="20"/>
                <w:szCs w:val="20"/>
              </w:rPr>
            </w:pPr>
            <w:r w:rsidRPr="00E8065F">
              <w:rPr>
                <w:color w:val="000000"/>
                <w:sz w:val="20"/>
                <w:szCs w:val="20"/>
              </w:rPr>
              <w:t>Рентгенодиагностические аппараты</w:t>
            </w:r>
          </w:p>
        </w:tc>
        <w:tc>
          <w:tcPr>
            <w:tcW w:w="1181" w:type="dxa"/>
            <w:tcBorders>
              <w:top w:val="single" w:sz="4" w:space="0" w:color="auto"/>
            </w:tcBorders>
            <w:shd w:val="clear" w:color="auto" w:fill="auto"/>
          </w:tcPr>
          <w:p w:rsidR="00512E03" w:rsidRPr="00E8065F" w:rsidRDefault="000E54C2" w:rsidP="00512E03">
            <w:pPr>
              <w:jc w:val="center"/>
              <w:rPr>
                <w:sz w:val="20"/>
                <w:szCs w:val="20"/>
              </w:rPr>
            </w:pPr>
            <w:r w:rsidRPr="00E8065F">
              <w:rPr>
                <w:sz w:val="20"/>
                <w:szCs w:val="20"/>
              </w:rPr>
              <w:t>2015</w:t>
            </w:r>
            <w:r w:rsidR="00AA5FB3">
              <w:rPr>
                <w:sz w:val="20"/>
                <w:szCs w:val="20"/>
              </w:rPr>
              <w:t xml:space="preserve"> </w:t>
            </w:r>
            <w:r w:rsidR="00512E03">
              <w:rPr>
                <w:sz w:val="20"/>
                <w:szCs w:val="20"/>
              </w:rPr>
              <w:t>(1)</w:t>
            </w:r>
          </w:p>
          <w:p w:rsidR="000E54C2" w:rsidRPr="00E8065F" w:rsidRDefault="000E54C2" w:rsidP="00512E03">
            <w:pPr>
              <w:jc w:val="center"/>
              <w:rPr>
                <w:sz w:val="20"/>
                <w:szCs w:val="20"/>
              </w:rPr>
            </w:pPr>
            <w:r w:rsidRPr="00E8065F">
              <w:rPr>
                <w:sz w:val="20"/>
                <w:szCs w:val="20"/>
              </w:rPr>
              <w:t>2022</w:t>
            </w:r>
            <w:r w:rsidR="00AA5FB3">
              <w:rPr>
                <w:sz w:val="20"/>
                <w:szCs w:val="20"/>
              </w:rPr>
              <w:t xml:space="preserve"> </w:t>
            </w:r>
            <w:r w:rsidR="00512E03">
              <w:rPr>
                <w:sz w:val="20"/>
                <w:szCs w:val="20"/>
              </w:rPr>
              <w:t>(1)</w:t>
            </w:r>
          </w:p>
        </w:tc>
        <w:tc>
          <w:tcPr>
            <w:tcW w:w="1181" w:type="dxa"/>
            <w:tcBorders>
              <w:top w:val="single" w:sz="4" w:space="0" w:color="auto"/>
              <w:left w:val="single" w:sz="4" w:space="0" w:color="auto"/>
              <w:bottom w:val="single" w:sz="4" w:space="0" w:color="auto"/>
              <w:right w:val="single" w:sz="4" w:space="0" w:color="auto"/>
            </w:tcBorders>
            <w:shd w:val="clear" w:color="auto" w:fill="auto"/>
          </w:tcPr>
          <w:p w:rsidR="000E54C2" w:rsidRPr="00E8065F" w:rsidRDefault="000E54C2" w:rsidP="000546C2">
            <w:pPr>
              <w:jc w:val="center"/>
              <w:rPr>
                <w:color w:val="000000"/>
                <w:sz w:val="20"/>
                <w:szCs w:val="20"/>
              </w:rPr>
            </w:pPr>
            <w:r w:rsidRPr="00E8065F">
              <w:rPr>
                <w:color w:val="000000"/>
                <w:sz w:val="20"/>
                <w:szCs w:val="20"/>
              </w:rPr>
              <w:t>2</w:t>
            </w:r>
          </w:p>
        </w:tc>
        <w:tc>
          <w:tcPr>
            <w:tcW w:w="1478" w:type="dxa"/>
            <w:tcBorders>
              <w:top w:val="single" w:sz="4" w:space="0" w:color="auto"/>
              <w:left w:val="single" w:sz="4" w:space="0" w:color="auto"/>
              <w:bottom w:val="single" w:sz="4" w:space="0" w:color="auto"/>
              <w:right w:val="single" w:sz="4" w:space="0" w:color="auto"/>
            </w:tcBorders>
            <w:shd w:val="clear" w:color="auto" w:fill="auto"/>
          </w:tcPr>
          <w:p w:rsidR="000E54C2" w:rsidRPr="00E8065F" w:rsidRDefault="000E54C2" w:rsidP="000546C2">
            <w:pPr>
              <w:jc w:val="center"/>
              <w:rPr>
                <w:color w:val="000000"/>
                <w:sz w:val="20"/>
                <w:szCs w:val="20"/>
              </w:rPr>
            </w:pPr>
            <w:r w:rsidRPr="00E8065F">
              <w:rPr>
                <w:color w:val="000000"/>
                <w:sz w:val="20"/>
                <w:szCs w:val="20"/>
              </w:rPr>
              <w:t>37</w:t>
            </w:r>
          </w:p>
        </w:tc>
        <w:tc>
          <w:tcPr>
            <w:tcW w:w="1111" w:type="dxa"/>
            <w:tcBorders>
              <w:top w:val="single" w:sz="4" w:space="0" w:color="auto"/>
              <w:left w:val="single" w:sz="4" w:space="0" w:color="auto"/>
              <w:bottom w:val="single" w:sz="4" w:space="0" w:color="auto"/>
              <w:right w:val="single" w:sz="4" w:space="0" w:color="auto"/>
            </w:tcBorders>
            <w:shd w:val="clear" w:color="auto" w:fill="auto"/>
          </w:tcPr>
          <w:p w:rsidR="000E54C2" w:rsidRPr="00E8065F" w:rsidRDefault="000E54C2" w:rsidP="000546C2">
            <w:pPr>
              <w:jc w:val="center"/>
              <w:rPr>
                <w:color w:val="000000"/>
                <w:sz w:val="20"/>
                <w:szCs w:val="20"/>
              </w:rPr>
            </w:pPr>
            <w:r w:rsidRPr="00E8065F">
              <w:rPr>
                <w:color w:val="000000"/>
                <w:sz w:val="20"/>
                <w:szCs w:val="20"/>
              </w:rPr>
              <w:t>2</w:t>
            </w:r>
          </w:p>
        </w:tc>
        <w:tc>
          <w:tcPr>
            <w:tcW w:w="1944" w:type="dxa"/>
            <w:tcBorders>
              <w:top w:val="single" w:sz="4" w:space="0" w:color="auto"/>
              <w:left w:val="single" w:sz="4" w:space="0" w:color="auto"/>
              <w:bottom w:val="single" w:sz="4" w:space="0" w:color="auto"/>
              <w:right w:val="single" w:sz="4" w:space="0" w:color="auto"/>
            </w:tcBorders>
            <w:shd w:val="clear" w:color="auto" w:fill="auto"/>
          </w:tcPr>
          <w:p w:rsidR="000E54C2" w:rsidRPr="00E8065F" w:rsidRDefault="000E54C2" w:rsidP="00BA1432">
            <w:pPr>
              <w:jc w:val="center"/>
              <w:rPr>
                <w:color w:val="000000"/>
                <w:sz w:val="20"/>
                <w:szCs w:val="20"/>
              </w:rPr>
            </w:pPr>
            <w:r w:rsidRPr="00E8065F">
              <w:rPr>
                <w:color w:val="000000"/>
                <w:sz w:val="20"/>
                <w:szCs w:val="20"/>
              </w:rPr>
              <w:t>Амбулаторное/стационарное</w:t>
            </w:r>
          </w:p>
        </w:tc>
      </w:tr>
      <w:tr w:rsidR="00BA1432" w:rsidRPr="00E8065F" w:rsidTr="000546C2">
        <w:trPr>
          <w:trHeight w:val="20"/>
        </w:trPr>
        <w:tc>
          <w:tcPr>
            <w:tcW w:w="1555" w:type="dxa"/>
            <w:vMerge/>
          </w:tcPr>
          <w:p w:rsidR="000E54C2" w:rsidRPr="00E8065F" w:rsidRDefault="000E54C2" w:rsidP="00BA1432">
            <w:pPr>
              <w:rPr>
                <w:sz w:val="20"/>
                <w:szCs w:val="20"/>
              </w:rPr>
            </w:pPr>
          </w:p>
        </w:tc>
        <w:tc>
          <w:tcPr>
            <w:tcW w:w="3685" w:type="dxa"/>
            <w:tcBorders>
              <w:top w:val="nil"/>
              <w:left w:val="single" w:sz="4" w:space="0" w:color="auto"/>
              <w:bottom w:val="single" w:sz="4" w:space="0" w:color="auto"/>
              <w:right w:val="single" w:sz="4" w:space="0" w:color="auto"/>
            </w:tcBorders>
            <w:shd w:val="clear" w:color="auto" w:fill="auto"/>
          </w:tcPr>
          <w:p w:rsidR="000E54C2" w:rsidRPr="00E8065F" w:rsidRDefault="000E54C2" w:rsidP="00DC0475">
            <w:pPr>
              <w:jc w:val="both"/>
              <w:rPr>
                <w:color w:val="000000"/>
                <w:sz w:val="20"/>
                <w:szCs w:val="20"/>
              </w:rPr>
            </w:pPr>
            <w:r w:rsidRPr="00E8065F">
              <w:rPr>
                <w:color w:val="000000"/>
                <w:sz w:val="20"/>
                <w:szCs w:val="20"/>
              </w:rPr>
              <w:t xml:space="preserve">ГАУЗ </w:t>
            </w:r>
            <w:r w:rsidR="002F7358">
              <w:rPr>
                <w:color w:val="000000"/>
                <w:sz w:val="20"/>
                <w:szCs w:val="20"/>
              </w:rPr>
              <w:t>«</w:t>
            </w:r>
            <w:r w:rsidRPr="00E8065F">
              <w:rPr>
                <w:color w:val="000000"/>
                <w:sz w:val="20"/>
                <w:szCs w:val="20"/>
              </w:rPr>
              <w:t>Мензелинская ЦРБ</w:t>
            </w:r>
            <w:r w:rsidR="002F7358">
              <w:rPr>
                <w:color w:val="000000"/>
                <w:sz w:val="20"/>
                <w:szCs w:val="20"/>
              </w:rPr>
              <w:t>»</w:t>
            </w:r>
            <w:r w:rsidRPr="00E8065F">
              <w:rPr>
                <w:color w:val="000000"/>
                <w:sz w:val="20"/>
                <w:szCs w:val="20"/>
              </w:rPr>
              <w:t xml:space="preserve"> </w:t>
            </w:r>
          </w:p>
        </w:tc>
        <w:tc>
          <w:tcPr>
            <w:tcW w:w="1994" w:type="dxa"/>
            <w:tcBorders>
              <w:top w:val="nil"/>
              <w:left w:val="single" w:sz="4" w:space="0" w:color="auto"/>
              <w:bottom w:val="single" w:sz="4" w:space="0" w:color="auto"/>
              <w:right w:val="single" w:sz="4" w:space="0" w:color="auto"/>
            </w:tcBorders>
            <w:shd w:val="clear" w:color="auto" w:fill="auto"/>
          </w:tcPr>
          <w:p w:rsidR="000E54C2" w:rsidRPr="00E8065F" w:rsidRDefault="000E54C2" w:rsidP="00BA1432">
            <w:pPr>
              <w:jc w:val="center"/>
              <w:rPr>
                <w:color w:val="000000"/>
                <w:sz w:val="20"/>
                <w:szCs w:val="20"/>
              </w:rPr>
            </w:pPr>
            <w:r w:rsidRPr="00E8065F">
              <w:rPr>
                <w:color w:val="000000"/>
                <w:sz w:val="20"/>
                <w:szCs w:val="20"/>
              </w:rPr>
              <w:t>Рентгенодиагностические аппараты</w:t>
            </w:r>
          </w:p>
        </w:tc>
        <w:tc>
          <w:tcPr>
            <w:tcW w:w="1181" w:type="dxa"/>
            <w:shd w:val="clear" w:color="auto" w:fill="auto"/>
          </w:tcPr>
          <w:p w:rsidR="000E54C2" w:rsidRPr="00E8065F" w:rsidRDefault="000E54C2" w:rsidP="000546C2">
            <w:pPr>
              <w:jc w:val="center"/>
              <w:rPr>
                <w:sz w:val="20"/>
                <w:szCs w:val="20"/>
              </w:rPr>
            </w:pPr>
            <w:r w:rsidRPr="00E8065F">
              <w:rPr>
                <w:sz w:val="20"/>
                <w:szCs w:val="20"/>
              </w:rPr>
              <w:t>2019</w:t>
            </w:r>
          </w:p>
        </w:tc>
        <w:tc>
          <w:tcPr>
            <w:tcW w:w="1181" w:type="dxa"/>
            <w:tcBorders>
              <w:top w:val="nil"/>
              <w:left w:val="single" w:sz="4" w:space="0" w:color="auto"/>
              <w:bottom w:val="single" w:sz="4" w:space="0" w:color="auto"/>
              <w:right w:val="single" w:sz="4" w:space="0" w:color="auto"/>
            </w:tcBorders>
            <w:shd w:val="clear" w:color="auto" w:fill="auto"/>
          </w:tcPr>
          <w:p w:rsidR="000E54C2" w:rsidRPr="00E8065F" w:rsidRDefault="000E54C2" w:rsidP="000546C2">
            <w:pPr>
              <w:jc w:val="center"/>
              <w:rPr>
                <w:color w:val="000000"/>
                <w:sz w:val="20"/>
                <w:szCs w:val="20"/>
              </w:rPr>
            </w:pPr>
            <w:r w:rsidRPr="00E8065F">
              <w:rPr>
                <w:color w:val="000000"/>
                <w:sz w:val="20"/>
                <w:szCs w:val="20"/>
              </w:rPr>
              <w:t>1</w:t>
            </w:r>
          </w:p>
        </w:tc>
        <w:tc>
          <w:tcPr>
            <w:tcW w:w="1478" w:type="dxa"/>
            <w:tcBorders>
              <w:top w:val="nil"/>
              <w:left w:val="single" w:sz="4" w:space="0" w:color="auto"/>
              <w:bottom w:val="single" w:sz="4" w:space="0" w:color="auto"/>
              <w:right w:val="single" w:sz="4" w:space="0" w:color="auto"/>
            </w:tcBorders>
            <w:shd w:val="clear" w:color="auto" w:fill="auto"/>
          </w:tcPr>
          <w:p w:rsidR="000E54C2" w:rsidRPr="00E8065F" w:rsidRDefault="000E54C2" w:rsidP="000546C2">
            <w:pPr>
              <w:jc w:val="center"/>
              <w:rPr>
                <w:color w:val="000000"/>
                <w:sz w:val="20"/>
                <w:szCs w:val="20"/>
              </w:rPr>
            </w:pPr>
            <w:r w:rsidRPr="00E8065F">
              <w:rPr>
                <w:color w:val="000000"/>
                <w:sz w:val="20"/>
                <w:szCs w:val="20"/>
              </w:rPr>
              <w:t>33</w:t>
            </w:r>
          </w:p>
        </w:tc>
        <w:tc>
          <w:tcPr>
            <w:tcW w:w="1111" w:type="dxa"/>
            <w:tcBorders>
              <w:top w:val="nil"/>
              <w:left w:val="single" w:sz="4" w:space="0" w:color="auto"/>
              <w:bottom w:val="single" w:sz="4" w:space="0" w:color="auto"/>
              <w:right w:val="single" w:sz="4" w:space="0" w:color="auto"/>
            </w:tcBorders>
            <w:shd w:val="clear" w:color="auto" w:fill="auto"/>
          </w:tcPr>
          <w:p w:rsidR="000E54C2" w:rsidRPr="00E8065F" w:rsidRDefault="000E54C2" w:rsidP="000546C2">
            <w:pPr>
              <w:jc w:val="center"/>
              <w:rPr>
                <w:color w:val="000000"/>
                <w:sz w:val="20"/>
                <w:szCs w:val="20"/>
              </w:rPr>
            </w:pPr>
            <w:r w:rsidRPr="00E8065F">
              <w:rPr>
                <w:color w:val="000000"/>
                <w:sz w:val="20"/>
                <w:szCs w:val="20"/>
              </w:rPr>
              <w:t>2</w:t>
            </w:r>
          </w:p>
        </w:tc>
        <w:tc>
          <w:tcPr>
            <w:tcW w:w="1944" w:type="dxa"/>
            <w:tcBorders>
              <w:top w:val="nil"/>
              <w:left w:val="single" w:sz="4" w:space="0" w:color="auto"/>
              <w:bottom w:val="single" w:sz="4" w:space="0" w:color="auto"/>
              <w:right w:val="single" w:sz="4" w:space="0" w:color="auto"/>
            </w:tcBorders>
            <w:shd w:val="clear" w:color="auto" w:fill="auto"/>
          </w:tcPr>
          <w:p w:rsidR="000E54C2" w:rsidRPr="00E8065F" w:rsidRDefault="000E54C2" w:rsidP="00BA1432">
            <w:pPr>
              <w:jc w:val="center"/>
              <w:rPr>
                <w:color w:val="000000"/>
                <w:sz w:val="20"/>
                <w:szCs w:val="20"/>
              </w:rPr>
            </w:pPr>
            <w:r w:rsidRPr="00E8065F">
              <w:rPr>
                <w:color w:val="000000"/>
                <w:sz w:val="20"/>
                <w:szCs w:val="20"/>
              </w:rPr>
              <w:t>Амбулаторное/стационарное</w:t>
            </w:r>
          </w:p>
        </w:tc>
      </w:tr>
      <w:tr w:rsidR="00BA1432" w:rsidRPr="00E8065F" w:rsidTr="000546C2">
        <w:trPr>
          <w:trHeight w:val="20"/>
        </w:trPr>
        <w:tc>
          <w:tcPr>
            <w:tcW w:w="1555" w:type="dxa"/>
            <w:vMerge/>
          </w:tcPr>
          <w:p w:rsidR="000E54C2" w:rsidRPr="00E8065F" w:rsidRDefault="000E54C2" w:rsidP="00BA1432">
            <w:pPr>
              <w:rPr>
                <w:sz w:val="20"/>
                <w:szCs w:val="20"/>
              </w:rPr>
            </w:pPr>
          </w:p>
        </w:tc>
        <w:tc>
          <w:tcPr>
            <w:tcW w:w="3685" w:type="dxa"/>
            <w:tcBorders>
              <w:top w:val="nil"/>
              <w:left w:val="single" w:sz="4" w:space="0" w:color="auto"/>
              <w:bottom w:val="single" w:sz="4" w:space="0" w:color="auto"/>
              <w:right w:val="single" w:sz="4" w:space="0" w:color="auto"/>
            </w:tcBorders>
            <w:shd w:val="clear" w:color="auto" w:fill="auto"/>
          </w:tcPr>
          <w:p w:rsidR="000E54C2" w:rsidRPr="00E8065F" w:rsidRDefault="000E54C2" w:rsidP="00DC0475">
            <w:pPr>
              <w:jc w:val="both"/>
              <w:rPr>
                <w:color w:val="000000"/>
                <w:sz w:val="20"/>
                <w:szCs w:val="20"/>
              </w:rPr>
            </w:pPr>
            <w:r w:rsidRPr="00E8065F">
              <w:rPr>
                <w:color w:val="000000"/>
                <w:sz w:val="20"/>
                <w:szCs w:val="20"/>
              </w:rPr>
              <w:t xml:space="preserve">ГАУЗ </w:t>
            </w:r>
            <w:r w:rsidR="002F7358">
              <w:rPr>
                <w:color w:val="000000"/>
                <w:sz w:val="20"/>
                <w:szCs w:val="20"/>
              </w:rPr>
              <w:t>«</w:t>
            </w:r>
            <w:r w:rsidRPr="00E8065F">
              <w:rPr>
                <w:color w:val="000000"/>
                <w:sz w:val="20"/>
                <w:szCs w:val="20"/>
              </w:rPr>
              <w:t>Муслюмовская ЦРБ</w:t>
            </w:r>
            <w:r w:rsidR="002F7358">
              <w:rPr>
                <w:color w:val="000000"/>
                <w:sz w:val="20"/>
                <w:szCs w:val="20"/>
              </w:rPr>
              <w:t>»</w:t>
            </w:r>
          </w:p>
        </w:tc>
        <w:tc>
          <w:tcPr>
            <w:tcW w:w="1994" w:type="dxa"/>
            <w:tcBorders>
              <w:top w:val="nil"/>
              <w:left w:val="single" w:sz="4" w:space="0" w:color="auto"/>
              <w:bottom w:val="single" w:sz="4" w:space="0" w:color="auto"/>
              <w:right w:val="single" w:sz="4" w:space="0" w:color="auto"/>
            </w:tcBorders>
            <w:shd w:val="clear" w:color="auto" w:fill="auto"/>
          </w:tcPr>
          <w:p w:rsidR="000E54C2" w:rsidRPr="00E8065F" w:rsidRDefault="000E54C2" w:rsidP="00BA1432">
            <w:pPr>
              <w:jc w:val="center"/>
              <w:rPr>
                <w:color w:val="000000"/>
                <w:sz w:val="20"/>
                <w:szCs w:val="20"/>
              </w:rPr>
            </w:pPr>
            <w:r w:rsidRPr="00E8065F">
              <w:rPr>
                <w:color w:val="000000"/>
                <w:sz w:val="20"/>
                <w:szCs w:val="20"/>
              </w:rPr>
              <w:t>Рентгенодиагностические аппараты</w:t>
            </w:r>
          </w:p>
        </w:tc>
        <w:tc>
          <w:tcPr>
            <w:tcW w:w="1181" w:type="dxa"/>
            <w:shd w:val="clear" w:color="auto" w:fill="auto"/>
          </w:tcPr>
          <w:p w:rsidR="000E54C2" w:rsidRPr="00E8065F" w:rsidRDefault="000E54C2" w:rsidP="000546C2">
            <w:pPr>
              <w:jc w:val="center"/>
              <w:rPr>
                <w:sz w:val="20"/>
                <w:szCs w:val="20"/>
              </w:rPr>
            </w:pPr>
            <w:r w:rsidRPr="00E8065F">
              <w:rPr>
                <w:sz w:val="20"/>
                <w:szCs w:val="20"/>
              </w:rPr>
              <w:t>2015</w:t>
            </w:r>
          </w:p>
        </w:tc>
        <w:tc>
          <w:tcPr>
            <w:tcW w:w="1181" w:type="dxa"/>
            <w:tcBorders>
              <w:top w:val="nil"/>
              <w:left w:val="single" w:sz="4" w:space="0" w:color="auto"/>
              <w:bottom w:val="single" w:sz="4" w:space="0" w:color="auto"/>
              <w:right w:val="single" w:sz="4" w:space="0" w:color="auto"/>
            </w:tcBorders>
            <w:shd w:val="clear" w:color="auto" w:fill="auto"/>
          </w:tcPr>
          <w:p w:rsidR="000E54C2" w:rsidRPr="00E8065F" w:rsidRDefault="000E54C2" w:rsidP="000546C2">
            <w:pPr>
              <w:jc w:val="center"/>
              <w:rPr>
                <w:color w:val="000000"/>
                <w:sz w:val="20"/>
                <w:szCs w:val="20"/>
              </w:rPr>
            </w:pPr>
            <w:r w:rsidRPr="00E8065F">
              <w:rPr>
                <w:color w:val="000000"/>
                <w:sz w:val="20"/>
                <w:szCs w:val="20"/>
              </w:rPr>
              <w:t>1</w:t>
            </w:r>
          </w:p>
        </w:tc>
        <w:tc>
          <w:tcPr>
            <w:tcW w:w="1478" w:type="dxa"/>
            <w:tcBorders>
              <w:top w:val="nil"/>
              <w:left w:val="single" w:sz="4" w:space="0" w:color="auto"/>
              <w:bottom w:val="single" w:sz="4" w:space="0" w:color="auto"/>
              <w:right w:val="single" w:sz="4" w:space="0" w:color="auto"/>
            </w:tcBorders>
            <w:shd w:val="clear" w:color="auto" w:fill="auto"/>
          </w:tcPr>
          <w:p w:rsidR="000E54C2" w:rsidRPr="00E8065F" w:rsidRDefault="000E54C2" w:rsidP="000546C2">
            <w:pPr>
              <w:jc w:val="center"/>
              <w:rPr>
                <w:color w:val="000000"/>
                <w:sz w:val="20"/>
                <w:szCs w:val="20"/>
              </w:rPr>
            </w:pPr>
            <w:r w:rsidRPr="00E8065F">
              <w:rPr>
                <w:color w:val="000000"/>
                <w:sz w:val="20"/>
                <w:szCs w:val="20"/>
              </w:rPr>
              <w:t>24</w:t>
            </w:r>
          </w:p>
        </w:tc>
        <w:tc>
          <w:tcPr>
            <w:tcW w:w="1111" w:type="dxa"/>
            <w:tcBorders>
              <w:top w:val="nil"/>
              <w:left w:val="single" w:sz="4" w:space="0" w:color="auto"/>
              <w:bottom w:val="single" w:sz="4" w:space="0" w:color="auto"/>
              <w:right w:val="single" w:sz="4" w:space="0" w:color="auto"/>
            </w:tcBorders>
            <w:shd w:val="clear" w:color="auto" w:fill="auto"/>
          </w:tcPr>
          <w:p w:rsidR="000E54C2" w:rsidRPr="00E8065F" w:rsidRDefault="000E54C2" w:rsidP="000546C2">
            <w:pPr>
              <w:jc w:val="center"/>
              <w:rPr>
                <w:color w:val="000000"/>
                <w:sz w:val="20"/>
                <w:szCs w:val="20"/>
              </w:rPr>
            </w:pPr>
            <w:r w:rsidRPr="00E8065F">
              <w:rPr>
                <w:color w:val="000000"/>
                <w:sz w:val="20"/>
                <w:szCs w:val="20"/>
              </w:rPr>
              <w:t>2</w:t>
            </w:r>
          </w:p>
        </w:tc>
        <w:tc>
          <w:tcPr>
            <w:tcW w:w="1944" w:type="dxa"/>
            <w:tcBorders>
              <w:top w:val="nil"/>
              <w:left w:val="single" w:sz="4" w:space="0" w:color="auto"/>
              <w:bottom w:val="single" w:sz="4" w:space="0" w:color="auto"/>
              <w:right w:val="single" w:sz="4" w:space="0" w:color="auto"/>
            </w:tcBorders>
            <w:shd w:val="clear" w:color="auto" w:fill="auto"/>
          </w:tcPr>
          <w:p w:rsidR="000E54C2" w:rsidRPr="00E8065F" w:rsidRDefault="000E54C2" w:rsidP="00BA1432">
            <w:pPr>
              <w:jc w:val="center"/>
              <w:rPr>
                <w:color w:val="000000"/>
                <w:sz w:val="20"/>
                <w:szCs w:val="20"/>
              </w:rPr>
            </w:pPr>
            <w:r w:rsidRPr="00E8065F">
              <w:rPr>
                <w:color w:val="000000"/>
                <w:sz w:val="20"/>
                <w:szCs w:val="20"/>
              </w:rPr>
              <w:t>Амбулаторное/стационарное</w:t>
            </w:r>
          </w:p>
        </w:tc>
      </w:tr>
      <w:tr w:rsidR="00BA1432" w:rsidRPr="00E8065F" w:rsidTr="000546C2">
        <w:trPr>
          <w:trHeight w:val="20"/>
        </w:trPr>
        <w:tc>
          <w:tcPr>
            <w:tcW w:w="1555" w:type="dxa"/>
            <w:vMerge/>
          </w:tcPr>
          <w:p w:rsidR="000E54C2" w:rsidRPr="00E8065F" w:rsidRDefault="000E54C2" w:rsidP="00BA1432">
            <w:pPr>
              <w:rPr>
                <w:sz w:val="20"/>
                <w:szCs w:val="20"/>
              </w:rPr>
            </w:pPr>
          </w:p>
        </w:tc>
        <w:tc>
          <w:tcPr>
            <w:tcW w:w="3685" w:type="dxa"/>
            <w:tcBorders>
              <w:top w:val="nil"/>
              <w:left w:val="single" w:sz="4" w:space="0" w:color="auto"/>
              <w:bottom w:val="single" w:sz="4" w:space="0" w:color="auto"/>
              <w:right w:val="single" w:sz="4" w:space="0" w:color="auto"/>
            </w:tcBorders>
            <w:shd w:val="clear" w:color="auto" w:fill="auto"/>
          </w:tcPr>
          <w:p w:rsidR="000E54C2" w:rsidRPr="00E8065F" w:rsidRDefault="000E54C2" w:rsidP="00DC0475">
            <w:pPr>
              <w:jc w:val="both"/>
              <w:rPr>
                <w:color w:val="000000"/>
                <w:sz w:val="20"/>
                <w:szCs w:val="20"/>
              </w:rPr>
            </w:pPr>
            <w:r w:rsidRPr="00E8065F">
              <w:rPr>
                <w:color w:val="000000"/>
                <w:sz w:val="20"/>
                <w:szCs w:val="20"/>
              </w:rPr>
              <w:t xml:space="preserve">ГАУЗ </w:t>
            </w:r>
            <w:r w:rsidR="002F7358">
              <w:rPr>
                <w:color w:val="000000"/>
                <w:sz w:val="20"/>
                <w:szCs w:val="20"/>
              </w:rPr>
              <w:t>«</w:t>
            </w:r>
            <w:r w:rsidRPr="00E8065F">
              <w:rPr>
                <w:color w:val="000000"/>
                <w:sz w:val="20"/>
                <w:szCs w:val="20"/>
              </w:rPr>
              <w:t>Камско-Полянская РБ</w:t>
            </w:r>
            <w:r w:rsidR="002F7358">
              <w:rPr>
                <w:color w:val="000000"/>
                <w:sz w:val="20"/>
                <w:szCs w:val="20"/>
              </w:rPr>
              <w:t>»</w:t>
            </w:r>
          </w:p>
        </w:tc>
        <w:tc>
          <w:tcPr>
            <w:tcW w:w="1994" w:type="dxa"/>
            <w:tcBorders>
              <w:top w:val="nil"/>
              <w:left w:val="single" w:sz="4" w:space="0" w:color="auto"/>
              <w:bottom w:val="single" w:sz="4" w:space="0" w:color="auto"/>
              <w:right w:val="single" w:sz="4" w:space="0" w:color="auto"/>
            </w:tcBorders>
            <w:shd w:val="clear" w:color="auto" w:fill="auto"/>
          </w:tcPr>
          <w:p w:rsidR="000E54C2" w:rsidRPr="00E8065F" w:rsidRDefault="000E54C2" w:rsidP="00BA1432">
            <w:pPr>
              <w:jc w:val="center"/>
              <w:rPr>
                <w:color w:val="000000"/>
                <w:sz w:val="20"/>
                <w:szCs w:val="20"/>
              </w:rPr>
            </w:pPr>
            <w:r w:rsidRPr="00E8065F">
              <w:rPr>
                <w:color w:val="000000"/>
                <w:sz w:val="20"/>
                <w:szCs w:val="20"/>
              </w:rPr>
              <w:t>Рентгенодиагностические аппараты</w:t>
            </w:r>
          </w:p>
        </w:tc>
        <w:tc>
          <w:tcPr>
            <w:tcW w:w="1181" w:type="dxa"/>
            <w:shd w:val="clear" w:color="auto" w:fill="auto"/>
          </w:tcPr>
          <w:p w:rsidR="000E54C2" w:rsidRPr="00E8065F" w:rsidRDefault="000E54C2" w:rsidP="000546C2">
            <w:pPr>
              <w:jc w:val="center"/>
              <w:rPr>
                <w:sz w:val="20"/>
                <w:szCs w:val="20"/>
              </w:rPr>
            </w:pPr>
            <w:r w:rsidRPr="00E8065F">
              <w:rPr>
                <w:sz w:val="20"/>
                <w:szCs w:val="20"/>
              </w:rPr>
              <w:t>2023</w:t>
            </w:r>
          </w:p>
        </w:tc>
        <w:tc>
          <w:tcPr>
            <w:tcW w:w="1181" w:type="dxa"/>
            <w:tcBorders>
              <w:top w:val="nil"/>
              <w:left w:val="single" w:sz="4" w:space="0" w:color="auto"/>
              <w:bottom w:val="single" w:sz="4" w:space="0" w:color="auto"/>
              <w:right w:val="single" w:sz="4" w:space="0" w:color="auto"/>
            </w:tcBorders>
            <w:shd w:val="clear" w:color="auto" w:fill="auto"/>
          </w:tcPr>
          <w:p w:rsidR="000E54C2" w:rsidRPr="00E8065F" w:rsidRDefault="000E54C2" w:rsidP="000546C2">
            <w:pPr>
              <w:jc w:val="center"/>
              <w:rPr>
                <w:color w:val="000000"/>
                <w:sz w:val="20"/>
                <w:szCs w:val="20"/>
              </w:rPr>
            </w:pPr>
            <w:r w:rsidRPr="00E8065F">
              <w:rPr>
                <w:color w:val="000000"/>
                <w:sz w:val="20"/>
                <w:szCs w:val="20"/>
              </w:rPr>
              <w:t>1</w:t>
            </w:r>
          </w:p>
        </w:tc>
        <w:tc>
          <w:tcPr>
            <w:tcW w:w="1478" w:type="dxa"/>
            <w:tcBorders>
              <w:top w:val="nil"/>
              <w:left w:val="single" w:sz="4" w:space="0" w:color="auto"/>
              <w:bottom w:val="single" w:sz="4" w:space="0" w:color="auto"/>
              <w:right w:val="single" w:sz="4" w:space="0" w:color="auto"/>
            </w:tcBorders>
            <w:shd w:val="clear" w:color="auto" w:fill="auto"/>
          </w:tcPr>
          <w:p w:rsidR="000E54C2" w:rsidRPr="00E8065F" w:rsidRDefault="000E54C2" w:rsidP="000546C2">
            <w:pPr>
              <w:jc w:val="center"/>
              <w:rPr>
                <w:color w:val="000000"/>
                <w:sz w:val="20"/>
                <w:szCs w:val="20"/>
              </w:rPr>
            </w:pPr>
            <w:r w:rsidRPr="00E8065F">
              <w:rPr>
                <w:color w:val="000000"/>
                <w:sz w:val="20"/>
                <w:szCs w:val="20"/>
              </w:rPr>
              <w:t>21</w:t>
            </w:r>
          </w:p>
        </w:tc>
        <w:tc>
          <w:tcPr>
            <w:tcW w:w="1111" w:type="dxa"/>
            <w:tcBorders>
              <w:top w:val="nil"/>
              <w:left w:val="single" w:sz="4" w:space="0" w:color="auto"/>
              <w:bottom w:val="single" w:sz="4" w:space="0" w:color="auto"/>
              <w:right w:val="single" w:sz="4" w:space="0" w:color="auto"/>
            </w:tcBorders>
            <w:shd w:val="clear" w:color="auto" w:fill="auto"/>
          </w:tcPr>
          <w:p w:rsidR="000E54C2" w:rsidRPr="00E8065F" w:rsidRDefault="000E54C2" w:rsidP="000546C2">
            <w:pPr>
              <w:jc w:val="center"/>
              <w:rPr>
                <w:color w:val="000000"/>
                <w:sz w:val="20"/>
                <w:szCs w:val="20"/>
              </w:rPr>
            </w:pPr>
            <w:r w:rsidRPr="00E8065F">
              <w:rPr>
                <w:color w:val="000000"/>
                <w:sz w:val="20"/>
                <w:szCs w:val="20"/>
              </w:rPr>
              <w:t>2</w:t>
            </w:r>
          </w:p>
        </w:tc>
        <w:tc>
          <w:tcPr>
            <w:tcW w:w="1944" w:type="dxa"/>
            <w:tcBorders>
              <w:top w:val="nil"/>
              <w:left w:val="single" w:sz="4" w:space="0" w:color="auto"/>
              <w:bottom w:val="single" w:sz="4" w:space="0" w:color="auto"/>
              <w:right w:val="single" w:sz="4" w:space="0" w:color="auto"/>
            </w:tcBorders>
            <w:shd w:val="clear" w:color="auto" w:fill="auto"/>
          </w:tcPr>
          <w:p w:rsidR="000E54C2" w:rsidRPr="00E8065F" w:rsidRDefault="000E54C2" w:rsidP="00BA1432">
            <w:pPr>
              <w:jc w:val="center"/>
              <w:rPr>
                <w:color w:val="000000"/>
                <w:sz w:val="20"/>
                <w:szCs w:val="20"/>
              </w:rPr>
            </w:pPr>
            <w:r w:rsidRPr="00E8065F">
              <w:rPr>
                <w:color w:val="000000"/>
                <w:sz w:val="20"/>
                <w:szCs w:val="20"/>
              </w:rPr>
              <w:t>Амбулаторное/стационарное</w:t>
            </w:r>
          </w:p>
        </w:tc>
      </w:tr>
      <w:tr w:rsidR="00BA1432" w:rsidRPr="00E8065F" w:rsidTr="000546C2">
        <w:trPr>
          <w:trHeight w:val="20"/>
        </w:trPr>
        <w:tc>
          <w:tcPr>
            <w:tcW w:w="1555" w:type="dxa"/>
            <w:vMerge/>
          </w:tcPr>
          <w:p w:rsidR="000E54C2" w:rsidRPr="00E8065F" w:rsidRDefault="000E54C2" w:rsidP="00BA1432">
            <w:pPr>
              <w:rPr>
                <w:sz w:val="20"/>
                <w:szCs w:val="20"/>
              </w:rPr>
            </w:pPr>
          </w:p>
        </w:tc>
        <w:tc>
          <w:tcPr>
            <w:tcW w:w="3685" w:type="dxa"/>
            <w:tcBorders>
              <w:top w:val="nil"/>
              <w:left w:val="single" w:sz="4" w:space="0" w:color="auto"/>
              <w:bottom w:val="single" w:sz="4" w:space="0" w:color="auto"/>
              <w:right w:val="single" w:sz="4" w:space="0" w:color="auto"/>
            </w:tcBorders>
            <w:shd w:val="clear" w:color="auto" w:fill="auto"/>
          </w:tcPr>
          <w:p w:rsidR="000E54C2" w:rsidRPr="00E8065F" w:rsidRDefault="002F7358" w:rsidP="00DC0475">
            <w:pPr>
              <w:jc w:val="both"/>
              <w:rPr>
                <w:color w:val="000000"/>
                <w:sz w:val="20"/>
                <w:szCs w:val="20"/>
              </w:rPr>
            </w:pPr>
            <w:r>
              <w:rPr>
                <w:color w:val="000000"/>
                <w:sz w:val="20"/>
                <w:szCs w:val="20"/>
              </w:rPr>
              <w:t xml:space="preserve">ГАУЗ </w:t>
            </w:r>
            <w:r>
              <w:rPr>
                <w:sz w:val="20"/>
                <w:szCs w:val="20"/>
              </w:rPr>
              <w:t>«Нижнекамская центральная районная многопрофильная больница»</w:t>
            </w:r>
          </w:p>
        </w:tc>
        <w:tc>
          <w:tcPr>
            <w:tcW w:w="1994" w:type="dxa"/>
            <w:tcBorders>
              <w:top w:val="nil"/>
              <w:left w:val="single" w:sz="4" w:space="0" w:color="auto"/>
              <w:bottom w:val="single" w:sz="4" w:space="0" w:color="auto"/>
              <w:right w:val="single" w:sz="4" w:space="0" w:color="auto"/>
            </w:tcBorders>
            <w:shd w:val="clear" w:color="auto" w:fill="auto"/>
          </w:tcPr>
          <w:p w:rsidR="000E54C2" w:rsidRPr="00E8065F" w:rsidRDefault="000E54C2" w:rsidP="00BA1432">
            <w:pPr>
              <w:jc w:val="center"/>
              <w:rPr>
                <w:color w:val="000000"/>
                <w:sz w:val="20"/>
                <w:szCs w:val="20"/>
              </w:rPr>
            </w:pPr>
            <w:r w:rsidRPr="00E8065F">
              <w:rPr>
                <w:color w:val="000000"/>
                <w:sz w:val="20"/>
                <w:szCs w:val="20"/>
              </w:rPr>
              <w:t>Рентгенодиагностические аппараты</w:t>
            </w:r>
          </w:p>
        </w:tc>
        <w:tc>
          <w:tcPr>
            <w:tcW w:w="1181" w:type="dxa"/>
            <w:shd w:val="clear" w:color="auto" w:fill="auto"/>
          </w:tcPr>
          <w:p w:rsidR="00512E03" w:rsidRPr="00E8065F" w:rsidRDefault="000E54C2" w:rsidP="00512E03">
            <w:pPr>
              <w:jc w:val="center"/>
              <w:rPr>
                <w:sz w:val="20"/>
                <w:szCs w:val="20"/>
              </w:rPr>
            </w:pPr>
            <w:r w:rsidRPr="00E8065F">
              <w:rPr>
                <w:sz w:val="20"/>
                <w:szCs w:val="20"/>
              </w:rPr>
              <w:t>2005</w:t>
            </w:r>
            <w:r w:rsidR="00AA5FB3">
              <w:rPr>
                <w:sz w:val="20"/>
                <w:szCs w:val="20"/>
              </w:rPr>
              <w:t xml:space="preserve"> </w:t>
            </w:r>
            <w:r w:rsidR="00512E03">
              <w:rPr>
                <w:sz w:val="20"/>
                <w:szCs w:val="20"/>
              </w:rPr>
              <w:t>(1)</w:t>
            </w:r>
          </w:p>
          <w:p w:rsidR="00B96806" w:rsidRPr="00E8065F" w:rsidRDefault="000E54C2" w:rsidP="00B96806">
            <w:pPr>
              <w:jc w:val="center"/>
              <w:rPr>
                <w:sz w:val="20"/>
                <w:szCs w:val="20"/>
              </w:rPr>
            </w:pPr>
            <w:r w:rsidRPr="00E8065F">
              <w:rPr>
                <w:sz w:val="20"/>
                <w:szCs w:val="20"/>
              </w:rPr>
              <w:t>2011</w:t>
            </w:r>
            <w:r w:rsidR="00AA5FB3">
              <w:rPr>
                <w:sz w:val="20"/>
                <w:szCs w:val="20"/>
              </w:rPr>
              <w:t xml:space="preserve"> </w:t>
            </w:r>
            <w:r w:rsidR="00B96806">
              <w:rPr>
                <w:sz w:val="20"/>
                <w:szCs w:val="20"/>
              </w:rPr>
              <w:t>(1)</w:t>
            </w:r>
          </w:p>
          <w:p w:rsidR="00B96806" w:rsidRPr="00E8065F" w:rsidRDefault="000E54C2" w:rsidP="00B96806">
            <w:pPr>
              <w:jc w:val="center"/>
              <w:rPr>
                <w:sz w:val="20"/>
                <w:szCs w:val="20"/>
              </w:rPr>
            </w:pPr>
            <w:r w:rsidRPr="00E8065F">
              <w:rPr>
                <w:sz w:val="20"/>
                <w:szCs w:val="20"/>
              </w:rPr>
              <w:t>2015</w:t>
            </w:r>
            <w:r w:rsidR="00AA5FB3">
              <w:rPr>
                <w:sz w:val="20"/>
                <w:szCs w:val="20"/>
              </w:rPr>
              <w:t xml:space="preserve"> </w:t>
            </w:r>
            <w:r w:rsidR="00B96806">
              <w:rPr>
                <w:sz w:val="20"/>
                <w:szCs w:val="20"/>
              </w:rPr>
              <w:t>(1)</w:t>
            </w:r>
          </w:p>
          <w:p w:rsidR="00B96806" w:rsidRPr="00E8065F" w:rsidRDefault="000E54C2" w:rsidP="00B96806">
            <w:pPr>
              <w:jc w:val="center"/>
              <w:rPr>
                <w:sz w:val="20"/>
                <w:szCs w:val="20"/>
              </w:rPr>
            </w:pPr>
            <w:r w:rsidRPr="00E8065F">
              <w:rPr>
                <w:sz w:val="20"/>
                <w:szCs w:val="20"/>
              </w:rPr>
              <w:t>2018</w:t>
            </w:r>
            <w:r w:rsidR="00AA5FB3">
              <w:rPr>
                <w:sz w:val="20"/>
                <w:szCs w:val="20"/>
              </w:rPr>
              <w:t xml:space="preserve"> </w:t>
            </w:r>
            <w:r w:rsidR="00B96806">
              <w:rPr>
                <w:sz w:val="20"/>
                <w:szCs w:val="20"/>
              </w:rPr>
              <w:t>(1)</w:t>
            </w:r>
          </w:p>
          <w:p w:rsidR="000E54C2" w:rsidRPr="00E8065F" w:rsidRDefault="000E54C2" w:rsidP="00B96806">
            <w:pPr>
              <w:jc w:val="center"/>
              <w:rPr>
                <w:sz w:val="20"/>
                <w:szCs w:val="20"/>
              </w:rPr>
            </w:pPr>
            <w:r w:rsidRPr="00E8065F">
              <w:rPr>
                <w:sz w:val="20"/>
                <w:szCs w:val="20"/>
              </w:rPr>
              <w:t>2022</w:t>
            </w:r>
            <w:r w:rsidR="00AA5FB3">
              <w:rPr>
                <w:sz w:val="20"/>
                <w:szCs w:val="20"/>
              </w:rPr>
              <w:t xml:space="preserve"> </w:t>
            </w:r>
            <w:r w:rsidR="00B96806">
              <w:rPr>
                <w:sz w:val="20"/>
                <w:szCs w:val="20"/>
              </w:rPr>
              <w:t>(1)</w:t>
            </w:r>
          </w:p>
        </w:tc>
        <w:tc>
          <w:tcPr>
            <w:tcW w:w="1181" w:type="dxa"/>
            <w:tcBorders>
              <w:top w:val="nil"/>
              <w:left w:val="single" w:sz="4" w:space="0" w:color="auto"/>
              <w:bottom w:val="single" w:sz="4" w:space="0" w:color="auto"/>
              <w:right w:val="single" w:sz="4" w:space="0" w:color="auto"/>
            </w:tcBorders>
            <w:shd w:val="clear" w:color="auto" w:fill="auto"/>
          </w:tcPr>
          <w:p w:rsidR="000E54C2" w:rsidRPr="00E8065F" w:rsidRDefault="000E54C2" w:rsidP="000546C2">
            <w:pPr>
              <w:jc w:val="center"/>
              <w:rPr>
                <w:color w:val="000000"/>
                <w:sz w:val="20"/>
                <w:szCs w:val="20"/>
              </w:rPr>
            </w:pPr>
            <w:r w:rsidRPr="00E8065F">
              <w:rPr>
                <w:color w:val="000000"/>
                <w:sz w:val="20"/>
                <w:szCs w:val="20"/>
              </w:rPr>
              <w:t>5</w:t>
            </w:r>
          </w:p>
        </w:tc>
        <w:tc>
          <w:tcPr>
            <w:tcW w:w="1478" w:type="dxa"/>
            <w:tcBorders>
              <w:top w:val="nil"/>
              <w:left w:val="single" w:sz="4" w:space="0" w:color="auto"/>
              <w:bottom w:val="single" w:sz="4" w:space="0" w:color="auto"/>
              <w:right w:val="single" w:sz="4" w:space="0" w:color="auto"/>
            </w:tcBorders>
            <w:shd w:val="clear" w:color="auto" w:fill="auto"/>
          </w:tcPr>
          <w:p w:rsidR="000E54C2" w:rsidRPr="00E8065F" w:rsidRDefault="000E54C2" w:rsidP="000546C2">
            <w:pPr>
              <w:jc w:val="center"/>
              <w:rPr>
                <w:color w:val="000000"/>
                <w:sz w:val="20"/>
                <w:szCs w:val="20"/>
              </w:rPr>
            </w:pPr>
            <w:r w:rsidRPr="00E8065F">
              <w:rPr>
                <w:color w:val="000000"/>
                <w:sz w:val="20"/>
                <w:szCs w:val="20"/>
              </w:rPr>
              <w:t>329</w:t>
            </w:r>
          </w:p>
        </w:tc>
        <w:tc>
          <w:tcPr>
            <w:tcW w:w="1111" w:type="dxa"/>
            <w:tcBorders>
              <w:top w:val="nil"/>
              <w:left w:val="single" w:sz="4" w:space="0" w:color="auto"/>
              <w:bottom w:val="single" w:sz="4" w:space="0" w:color="auto"/>
              <w:right w:val="single" w:sz="4" w:space="0" w:color="auto"/>
            </w:tcBorders>
            <w:shd w:val="clear" w:color="auto" w:fill="auto"/>
          </w:tcPr>
          <w:p w:rsidR="000E54C2" w:rsidRPr="00E8065F" w:rsidRDefault="000E54C2" w:rsidP="000546C2">
            <w:pPr>
              <w:jc w:val="center"/>
              <w:rPr>
                <w:color w:val="000000"/>
                <w:sz w:val="20"/>
                <w:szCs w:val="20"/>
              </w:rPr>
            </w:pPr>
            <w:r w:rsidRPr="00E8065F">
              <w:rPr>
                <w:color w:val="000000"/>
                <w:sz w:val="20"/>
                <w:szCs w:val="20"/>
              </w:rPr>
              <w:t>2</w:t>
            </w:r>
          </w:p>
        </w:tc>
        <w:tc>
          <w:tcPr>
            <w:tcW w:w="1944" w:type="dxa"/>
            <w:tcBorders>
              <w:top w:val="nil"/>
              <w:left w:val="single" w:sz="4" w:space="0" w:color="auto"/>
              <w:bottom w:val="single" w:sz="4" w:space="0" w:color="auto"/>
              <w:right w:val="single" w:sz="4" w:space="0" w:color="auto"/>
            </w:tcBorders>
            <w:shd w:val="clear" w:color="auto" w:fill="auto"/>
          </w:tcPr>
          <w:p w:rsidR="000E54C2" w:rsidRPr="00E8065F" w:rsidRDefault="000E54C2" w:rsidP="00BA1432">
            <w:pPr>
              <w:jc w:val="center"/>
              <w:rPr>
                <w:color w:val="000000"/>
                <w:sz w:val="20"/>
                <w:szCs w:val="20"/>
              </w:rPr>
            </w:pPr>
            <w:r w:rsidRPr="00E8065F">
              <w:rPr>
                <w:color w:val="000000"/>
                <w:sz w:val="20"/>
                <w:szCs w:val="20"/>
              </w:rPr>
              <w:t>Амбулаторное/стационарное</w:t>
            </w:r>
          </w:p>
        </w:tc>
      </w:tr>
      <w:tr w:rsidR="00BA1432" w:rsidRPr="00E8065F" w:rsidTr="000546C2">
        <w:trPr>
          <w:trHeight w:val="20"/>
        </w:trPr>
        <w:tc>
          <w:tcPr>
            <w:tcW w:w="1555" w:type="dxa"/>
            <w:vMerge/>
          </w:tcPr>
          <w:p w:rsidR="000E54C2" w:rsidRPr="00E8065F" w:rsidRDefault="000E54C2" w:rsidP="00BA1432">
            <w:pPr>
              <w:rPr>
                <w:sz w:val="20"/>
                <w:szCs w:val="20"/>
              </w:rPr>
            </w:pPr>
          </w:p>
        </w:tc>
        <w:tc>
          <w:tcPr>
            <w:tcW w:w="3685" w:type="dxa"/>
            <w:tcBorders>
              <w:top w:val="nil"/>
              <w:left w:val="single" w:sz="4" w:space="0" w:color="auto"/>
              <w:bottom w:val="single" w:sz="4" w:space="0" w:color="auto"/>
              <w:right w:val="single" w:sz="4" w:space="0" w:color="auto"/>
            </w:tcBorders>
            <w:shd w:val="clear" w:color="auto" w:fill="auto"/>
          </w:tcPr>
          <w:p w:rsidR="000E54C2" w:rsidRPr="00E8065F" w:rsidRDefault="000E54C2" w:rsidP="00DC0475">
            <w:pPr>
              <w:jc w:val="both"/>
              <w:rPr>
                <w:color w:val="000000"/>
                <w:sz w:val="20"/>
                <w:szCs w:val="20"/>
              </w:rPr>
            </w:pPr>
            <w:r w:rsidRPr="00E8065F">
              <w:rPr>
                <w:color w:val="000000"/>
                <w:sz w:val="20"/>
                <w:szCs w:val="20"/>
              </w:rPr>
              <w:t xml:space="preserve">ГАУЗ </w:t>
            </w:r>
            <w:r w:rsidR="002F7358">
              <w:rPr>
                <w:color w:val="000000"/>
                <w:sz w:val="20"/>
                <w:szCs w:val="20"/>
              </w:rPr>
              <w:t>«</w:t>
            </w:r>
            <w:r w:rsidRPr="00E8065F">
              <w:rPr>
                <w:color w:val="000000"/>
                <w:sz w:val="20"/>
                <w:szCs w:val="20"/>
              </w:rPr>
              <w:t>Новошешминская ЦРБ</w:t>
            </w:r>
            <w:r w:rsidR="002F7358">
              <w:rPr>
                <w:color w:val="000000"/>
                <w:sz w:val="20"/>
                <w:szCs w:val="20"/>
              </w:rPr>
              <w:t>»</w:t>
            </w:r>
          </w:p>
        </w:tc>
        <w:tc>
          <w:tcPr>
            <w:tcW w:w="1994" w:type="dxa"/>
            <w:tcBorders>
              <w:top w:val="nil"/>
              <w:left w:val="single" w:sz="4" w:space="0" w:color="auto"/>
              <w:bottom w:val="single" w:sz="4" w:space="0" w:color="auto"/>
              <w:right w:val="single" w:sz="4" w:space="0" w:color="auto"/>
            </w:tcBorders>
            <w:shd w:val="clear" w:color="auto" w:fill="auto"/>
          </w:tcPr>
          <w:p w:rsidR="000E54C2" w:rsidRPr="00E8065F" w:rsidRDefault="000E54C2" w:rsidP="00BA1432">
            <w:pPr>
              <w:jc w:val="center"/>
              <w:rPr>
                <w:color w:val="000000"/>
                <w:sz w:val="20"/>
                <w:szCs w:val="20"/>
              </w:rPr>
            </w:pPr>
            <w:r w:rsidRPr="00E8065F">
              <w:rPr>
                <w:color w:val="000000"/>
                <w:sz w:val="20"/>
                <w:szCs w:val="20"/>
              </w:rPr>
              <w:t>Рентгенодиагностические аппараты</w:t>
            </w:r>
          </w:p>
        </w:tc>
        <w:tc>
          <w:tcPr>
            <w:tcW w:w="1181" w:type="dxa"/>
            <w:shd w:val="clear" w:color="auto" w:fill="auto"/>
          </w:tcPr>
          <w:p w:rsidR="000E54C2" w:rsidRPr="00E8065F" w:rsidRDefault="000E54C2" w:rsidP="000546C2">
            <w:pPr>
              <w:jc w:val="center"/>
              <w:rPr>
                <w:sz w:val="20"/>
                <w:szCs w:val="20"/>
              </w:rPr>
            </w:pPr>
            <w:r w:rsidRPr="00E8065F">
              <w:rPr>
                <w:sz w:val="20"/>
                <w:szCs w:val="20"/>
              </w:rPr>
              <w:t>2019</w:t>
            </w:r>
          </w:p>
        </w:tc>
        <w:tc>
          <w:tcPr>
            <w:tcW w:w="1181" w:type="dxa"/>
            <w:tcBorders>
              <w:top w:val="nil"/>
              <w:left w:val="single" w:sz="4" w:space="0" w:color="auto"/>
              <w:bottom w:val="single" w:sz="4" w:space="0" w:color="auto"/>
              <w:right w:val="single" w:sz="4" w:space="0" w:color="auto"/>
            </w:tcBorders>
            <w:shd w:val="clear" w:color="auto" w:fill="auto"/>
          </w:tcPr>
          <w:p w:rsidR="000E54C2" w:rsidRPr="00E8065F" w:rsidRDefault="000E54C2" w:rsidP="000546C2">
            <w:pPr>
              <w:jc w:val="center"/>
              <w:rPr>
                <w:color w:val="000000"/>
                <w:sz w:val="20"/>
                <w:szCs w:val="20"/>
              </w:rPr>
            </w:pPr>
            <w:r w:rsidRPr="00E8065F">
              <w:rPr>
                <w:color w:val="000000"/>
                <w:sz w:val="20"/>
                <w:szCs w:val="20"/>
              </w:rPr>
              <w:t>1</w:t>
            </w:r>
          </w:p>
        </w:tc>
        <w:tc>
          <w:tcPr>
            <w:tcW w:w="1478" w:type="dxa"/>
            <w:tcBorders>
              <w:top w:val="nil"/>
              <w:left w:val="single" w:sz="4" w:space="0" w:color="auto"/>
              <w:bottom w:val="single" w:sz="4" w:space="0" w:color="auto"/>
              <w:right w:val="single" w:sz="4" w:space="0" w:color="auto"/>
            </w:tcBorders>
            <w:shd w:val="clear" w:color="auto" w:fill="auto"/>
          </w:tcPr>
          <w:p w:rsidR="000E54C2" w:rsidRPr="00E8065F" w:rsidRDefault="000E54C2" w:rsidP="000546C2">
            <w:pPr>
              <w:jc w:val="center"/>
              <w:rPr>
                <w:color w:val="000000"/>
                <w:sz w:val="20"/>
                <w:szCs w:val="20"/>
              </w:rPr>
            </w:pPr>
            <w:r w:rsidRPr="00E8065F">
              <w:rPr>
                <w:color w:val="000000"/>
                <w:sz w:val="20"/>
                <w:szCs w:val="20"/>
              </w:rPr>
              <w:t>19</w:t>
            </w:r>
          </w:p>
        </w:tc>
        <w:tc>
          <w:tcPr>
            <w:tcW w:w="1111" w:type="dxa"/>
            <w:tcBorders>
              <w:top w:val="nil"/>
              <w:left w:val="single" w:sz="4" w:space="0" w:color="auto"/>
              <w:bottom w:val="single" w:sz="4" w:space="0" w:color="auto"/>
              <w:right w:val="single" w:sz="4" w:space="0" w:color="auto"/>
            </w:tcBorders>
            <w:shd w:val="clear" w:color="auto" w:fill="auto"/>
          </w:tcPr>
          <w:p w:rsidR="000E54C2" w:rsidRPr="00E8065F" w:rsidRDefault="000E54C2" w:rsidP="000546C2">
            <w:pPr>
              <w:jc w:val="center"/>
              <w:rPr>
                <w:color w:val="000000"/>
                <w:sz w:val="20"/>
                <w:szCs w:val="20"/>
              </w:rPr>
            </w:pPr>
            <w:r w:rsidRPr="00E8065F">
              <w:rPr>
                <w:color w:val="000000"/>
                <w:sz w:val="20"/>
                <w:szCs w:val="20"/>
              </w:rPr>
              <w:t>2</w:t>
            </w:r>
          </w:p>
        </w:tc>
        <w:tc>
          <w:tcPr>
            <w:tcW w:w="1944" w:type="dxa"/>
            <w:tcBorders>
              <w:top w:val="nil"/>
              <w:left w:val="single" w:sz="4" w:space="0" w:color="auto"/>
              <w:bottom w:val="single" w:sz="4" w:space="0" w:color="auto"/>
              <w:right w:val="single" w:sz="4" w:space="0" w:color="auto"/>
            </w:tcBorders>
            <w:shd w:val="clear" w:color="auto" w:fill="auto"/>
          </w:tcPr>
          <w:p w:rsidR="000E54C2" w:rsidRPr="00E8065F" w:rsidRDefault="000E54C2" w:rsidP="00BA1432">
            <w:pPr>
              <w:jc w:val="center"/>
              <w:rPr>
                <w:color w:val="000000"/>
                <w:sz w:val="20"/>
                <w:szCs w:val="20"/>
              </w:rPr>
            </w:pPr>
            <w:r w:rsidRPr="00E8065F">
              <w:rPr>
                <w:color w:val="000000"/>
                <w:sz w:val="20"/>
                <w:szCs w:val="20"/>
              </w:rPr>
              <w:t>Амбулаторное/стационарное</w:t>
            </w:r>
          </w:p>
        </w:tc>
      </w:tr>
      <w:tr w:rsidR="00BA1432" w:rsidRPr="00E8065F" w:rsidTr="000546C2">
        <w:trPr>
          <w:trHeight w:val="20"/>
        </w:trPr>
        <w:tc>
          <w:tcPr>
            <w:tcW w:w="1555" w:type="dxa"/>
            <w:vMerge/>
          </w:tcPr>
          <w:p w:rsidR="000E54C2" w:rsidRPr="00E8065F" w:rsidRDefault="000E54C2" w:rsidP="00BA1432">
            <w:pPr>
              <w:rPr>
                <w:sz w:val="20"/>
                <w:szCs w:val="20"/>
              </w:rPr>
            </w:pPr>
          </w:p>
        </w:tc>
        <w:tc>
          <w:tcPr>
            <w:tcW w:w="3685" w:type="dxa"/>
            <w:tcBorders>
              <w:top w:val="nil"/>
              <w:left w:val="single" w:sz="4" w:space="0" w:color="auto"/>
              <w:bottom w:val="single" w:sz="4" w:space="0" w:color="auto"/>
              <w:right w:val="single" w:sz="4" w:space="0" w:color="auto"/>
            </w:tcBorders>
            <w:shd w:val="clear" w:color="auto" w:fill="auto"/>
          </w:tcPr>
          <w:p w:rsidR="000E54C2" w:rsidRPr="00E8065F" w:rsidRDefault="000E54C2" w:rsidP="00DC0475">
            <w:pPr>
              <w:jc w:val="both"/>
              <w:rPr>
                <w:color w:val="000000"/>
                <w:sz w:val="20"/>
                <w:szCs w:val="20"/>
              </w:rPr>
            </w:pPr>
            <w:r w:rsidRPr="00E8065F">
              <w:rPr>
                <w:color w:val="000000"/>
                <w:sz w:val="20"/>
                <w:szCs w:val="20"/>
              </w:rPr>
              <w:t xml:space="preserve">ГАУЗ </w:t>
            </w:r>
            <w:r w:rsidR="002F7358">
              <w:rPr>
                <w:color w:val="000000"/>
                <w:sz w:val="20"/>
                <w:szCs w:val="20"/>
              </w:rPr>
              <w:t>«</w:t>
            </w:r>
            <w:r w:rsidRPr="00E8065F">
              <w:rPr>
                <w:color w:val="000000"/>
                <w:sz w:val="20"/>
                <w:szCs w:val="20"/>
              </w:rPr>
              <w:t>Нурлатская ЦРБ</w:t>
            </w:r>
            <w:r w:rsidR="002F7358">
              <w:rPr>
                <w:color w:val="000000"/>
                <w:sz w:val="20"/>
                <w:szCs w:val="20"/>
              </w:rPr>
              <w:t>»</w:t>
            </w:r>
          </w:p>
        </w:tc>
        <w:tc>
          <w:tcPr>
            <w:tcW w:w="1994" w:type="dxa"/>
            <w:tcBorders>
              <w:top w:val="nil"/>
              <w:left w:val="single" w:sz="4" w:space="0" w:color="auto"/>
              <w:bottom w:val="single" w:sz="4" w:space="0" w:color="auto"/>
              <w:right w:val="single" w:sz="4" w:space="0" w:color="auto"/>
            </w:tcBorders>
            <w:shd w:val="clear" w:color="auto" w:fill="auto"/>
          </w:tcPr>
          <w:p w:rsidR="000E54C2" w:rsidRPr="00E8065F" w:rsidRDefault="000E54C2" w:rsidP="00BA1432">
            <w:pPr>
              <w:jc w:val="center"/>
              <w:rPr>
                <w:color w:val="000000"/>
                <w:sz w:val="20"/>
                <w:szCs w:val="20"/>
              </w:rPr>
            </w:pPr>
            <w:r w:rsidRPr="00E8065F">
              <w:rPr>
                <w:color w:val="000000"/>
                <w:sz w:val="20"/>
                <w:szCs w:val="20"/>
              </w:rPr>
              <w:t>Рентгенодиагностические аппараты</w:t>
            </w:r>
          </w:p>
        </w:tc>
        <w:tc>
          <w:tcPr>
            <w:tcW w:w="1181" w:type="dxa"/>
            <w:tcBorders>
              <w:bottom w:val="single" w:sz="4" w:space="0" w:color="auto"/>
            </w:tcBorders>
            <w:shd w:val="clear" w:color="auto" w:fill="auto"/>
          </w:tcPr>
          <w:p w:rsidR="00B96806" w:rsidRPr="00E8065F" w:rsidRDefault="000E54C2" w:rsidP="00B96806">
            <w:pPr>
              <w:jc w:val="center"/>
              <w:rPr>
                <w:sz w:val="20"/>
                <w:szCs w:val="20"/>
              </w:rPr>
            </w:pPr>
            <w:r w:rsidRPr="00E8065F">
              <w:rPr>
                <w:sz w:val="20"/>
                <w:szCs w:val="20"/>
              </w:rPr>
              <w:t>2019</w:t>
            </w:r>
            <w:r w:rsidR="00AA5FB3">
              <w:rPr>
                <w:sz w:val="20"/>
                <w:szCs w:val="20"/>
              </w:rPr>
              <w:t xml:space="preserve"> </w:t>
            </w:r>
            <w:r w:rsidR="00B96806">
              <w:rPr>
                <w:sz w:val="20"/>
                <w:szCs w:val="20"/>
              </w:rPr>
              <w:t>(1)</w:t>
            </w:r>
          </w:p>
          <w:p w:rsidR="000E54C2" w:rsidRPr="00E8065F" w:rsidRDefault="000E54C2" w:rsidP="00B96806">
            <w:pPr>
              <w:jc w:val="center"/>
              <w:rPr>
                <w:sz w:val="20"/>
                <w:szCs w:val="20"/>
              </w:rPr>
            </w:pPr>
            <w:r w:rsidRPr="00E8065F">
              <w:rPr>
                <w:sz w:val="20"/>
                <w:szCs w:val="20"/>
              </w:rPr>
              <w:t>2022</w:t>
            </w:r>
            <w:r w:rsidR="00AA5FB3">
              <w:rPr>
                <w:sz w:val="20"/>
                <w:szCs w:val="20"/>
              </w:rPr>
              <w:t xml:space="preserve"> </w:t>
            </w:r>
            <w:r w:rsidR="00B96806">
              <w:rPr>
                <w:sz w:val="20"/>
                <w:szCs w:val="20"/>
              </w:rPr>
              <w:t>(1)</w:t>
            </w:r>
          </w:p>
        </w:tc>
        <w:tc>
          <w:tcPr>
            <w:tcW w:w="1181" w:type="dxa"/>
            <w:tcBorders>
              <w:top w:val="nil"/>
              <w:left w:val="single" w:sz="4" w:space="0" w:color="auto"/>
              <w:bottom w:val="single" w:sz="4" w:space="0" w:color="auto"/>
              <w:right w:val="single" w:sz="4" w:space="0" w:color="auto"/>
            </w:tcBorders>
            <w:shd w:val="clear" w:color="auto" w:fill="auto"/>
          </w:tcPr>
          <w:p w:rsidR="000E54C2" w:rsidRPr="00E8065F" w:rsidRDefault="000E54C2" w:rsidP="000546C2">
            <w:pPr>
              <w:jc w:val="center"/>
              <w:rPr>
                <w:color w:val="000000"/>
                <w:sz w:val="20"/>
                <w:szCs w:val="20"/>
              </w:rPr>
            </w:pPr>
            <w:r w:rsidRPr="00E8065F">
              <w:rPr>
                <w:color w:val="000000"/>
                <w:sz w:val="20"/>
                <w:szCs w:val="20"/>
              </w:rPr>
              <w:t>2</w:t>
            </w:r>
          </w:p>
        </w:tc>
        <w:tc>
          <w:tcPr>
            <w:tcW w:w="1478" w:type="dxa"/>
            <w:tcBorders>
              <w:top w:val="nil"/>
              <w:left w:val="single" w:sz="4" w:space="0" w:color="auto"/>
              <w:bottom w:val="single" w:sz="4" w:space="0" w:color="auto"/>
              <w:right w:val="single" w:sz="4" w:space="0" w:color="auto"/>
            </w:tcBorders>
            <w:shd w:val="clear" w:color="auto" w:fill="auto"/>
          </w:tcPr>
          <w:p w:rsidR="000E54C2" w:rsidRPr="00E8065F" w:rsidRDefault="000E54C2" w:rsidP="000546C2">
            <w:pPr>
              <w:jc w:val="center"/>
              <w:rPr>
                <w:color w:val="000000"/>
                <w:sz w:val="20"/>
                <w:szCs w:val="20"/>
              </w:rPr>
            </w:pPr>
            <w:r w:rsidRPr="00E8065F">
              <w:rPr>
                <w:color w:val="000000"/>
                <w:sz w:val="20"/>
                <w:szCs w:val="20"/>
              </w:rPr>
              <w:t>57</w:t>
            </w:r>
          </w:p>
        </w:tc>
        <w:tc>
          <w:tcPr>
            <w:tcW w:w="1111" w:type="dxa"/>
            <w:tcBorders>
              <w:top w:val="nil"/>
              <w:left w:val="single" w:sz="4" w:space="0" w:color="auto"/>
              <w:bottom w:val="single" w:sz="4" w:space="0" w:color="auto"/>
              <w:right w:val="single" w:sz="4" w:space="0" w:color="auto"/>
            </w:tcBorders>
            <w:shd w:val="clear" w:color="auto" w:fill="auto"/>
          </w:tcPr>
          <w:p w:rsidR="000E54C2" w:rsidRPr="00E8065F" w:rsidRDefault="000E54C2" w:rsidP="000546C2">
            <w:pPr>
              <w:jc w:val="center"/>
              <w:rPr>
                <w:color w:val="000000"/>
                <w:sz w:val="20"/>
                <w:szCs w:val="20"/>
              </w:rPr>
            </w:pPr>
            <w:r w:rsidRPr="00E8065F">
              <w:rPr>
                <w:color w:val="000000"/>
                <w:sz w:val="20"/>
                <w:szCs w:val="20"/>
              </w:rPr>
              <w:t>2</w:t>
            </w:r>
          </w:p>
        </w:tc>
        <w:tc>
          <w:tcPr>
            <w:tcW w:w="1944" w:type="dxa"/>
            <w:tcBorders>
              <w:top w:val="nil"/>
              <w:left w:val="single" w:sz="4" w:space="0" w:color="auto"/>
              <w:bottom w:val="single" w:sz="4" w:space="0" w:color="auto"/>
              <w:right w:val="single" w:sz="4" w:space="0" w:color="auto"/>
            </w:tcBorders>
            <w:shd w:val="clear" w:color="auto" w:fill="auto"/>
          </w:tcPr>
          <w:p w:rsidR="000E54C2" w:rsidRPr="00E8065F" w:rsidRDefault="000E54C2" w:rsidP="00BA1432">
            <w:pPr>
              <w:jc w:val="center"/>
              <w:rPr>
                <w:color w:val="000000"/>
                <w:sz w:val="20"/>
                <w:szCs w:val="20"/>
              </w:rPr>
            </w:pPr>
            <w:r w:rsidRPr="00E8065F">
              <w:rPr>
                <w:color w:val="000000"/>
                <w:sz w:val="20"/>
                <w:szCs w:val="20"/>
              </w:rPr>
              <w:t>Амбулаторное/стационарное</w:t>
            </w:r>
          </w:p>
        </w:tc>
      </w:tr>
      <w:tr w:rsidR="00BA1432" w:rsidRPr="00E8065F" w:rsidTr="000546C2">
        <w:trPr>
          <w:trHeight w:val="20"/>
        </w:trPr>
        <w:tc>
          <w:tcPr>
            <w:tcW w:w="1555" w:type="dxa"/>
            <w:vMerge/>
          </w:tcPr>
          <w:p w:rsidR="000E54C2" w:rsidRPr="00E8065F" w:rsidRDefault="000E54C2" w:rsidP="00BA1432">
            <w:pPr>
              <w:rPr>
                <w:sz w:val="20"/>
                <w:szCs w:val="20"/>
              </w:rPr>
            </w:pPr>
          </w:p>
        </w:tc>
        <w:tc>
          <w:tcPr>
            <w:tcW w:w="3685" w:type="dxa"/>
            <w:tcBorders>
              <w:top w:val="single" w:sz="4" w:space="0" w:color="auto"/>
              <w:bottom w:val="single" w:sz="4" w:space="0" w:color="auto"/>
              <w:right w:val="single" w:sz="4" w:space="0" w:color="auto"/>
            </w:tcBorders>
            <w:shd w:val="clear" w:color="auto" w:fill="auto"/>
          </w:tcPr>
          <w:p w:rsidR="000E54C2" w:rsidRPr="00E8065F" w:rsidRDefault="000E54C2" w:rsidP="00DC0475">
            <w:pPr>
              <w:jc w:val="both"/>
              <w:rPr>
                <w:color w:val="000000"/>
                <w:sz w:val="20"/>
                <w:szCs w:val="20"/>
              </w:rPr>
            </w:pPr>
            <w:r w:rsidRPr="00E8065F">
              <w:rPr>
                <w:color w:val="000000"/>
                <w:sz w:val="20"/>
                <w:szCs w:val="20"/>
              </w:rPr>
              <w:t xml:space="preserve">ГАУЗ </w:t>
            </w:r>
            <w:r w:rsidR="002F7358">
              <w:rPr>
                <w:color w:val="000000"/>
                <w:sz w:val="20"/>
                <w:szCs w:val="20"/>
              </w:rPr>
              <w:t>«</w:t>
            </w:r>
            <w:r w:rsidRPr="00E8065F">
              <w:rPr>
                <w:color w:val="000000"/>
                <w:sz w:val="20"/>
                <w:szCs w:val="20"/>
              </w:rPr>
              <w:t>Пестречинская ЦРБ</w:t>
            </w:r>
            <w:r w:rsidR="002F7358">
              <w:rPr>
                <w:color w:val="000000"/>
                <w:sz w:val="20"/>
                <w:szCs w:val="20"/>
              </w:rPr>
              <w:t>»</w:t>
            </w:r>
          </w:p>
        </w:tc>
        <w:tc>
          <w:tcPr>
            <w:tcW w:w="1994" w:type="dxa"/>
            <w:tcBorders>
              <w:top w:val="single" w:sz="4" w:space="0" w:color="auto"/>
              <w:left w:val="single" w:sz="4" w:space="0" w:color="auto"/>
              <w:bottom w:val="single" w:sz="4" w:space="0" w:color="auto"/>
              <w:right w:val="single" w:sz="4" w:space="0" w:color="auto"/>
            </w:tcBorders>
            <w:shd w:val="clear" w:color="auto" w:fill="auto"/>
          </w:tcPr>
          <w:p w:rsidR="000E54C2" w:rsidRPr="00E8065F" w:rsidRDefault="000E54C2" w:rsidP="00BA1432">
            <w:pPr>
              <w:jc w:val="center"/>
              <w:rPr>
                <w:color w:val="000000"/>
                <w:sz w:val="20"/>
                <w:szCs w:val="20"/>
              </w:rPr>
            </w:pPr>
            <w:r w:rsidRPr="00E8065F">
              <w:rPr>
                <w:color w:val="000000"/>
                <w:sz w:val="20"/>
                <w:szCs w:val="20"/>
              </w:rPr>
              <w:t>Рентгенодиагностические аппараты</w:t>
            </w:r>
          </w:p>
        </w:tc>
        <w:tc>
          <w:tcPr>
            <w:tcW w:w="1181" w:type="dxa"/>
            <w:tcBorders>
              <w:top w:val="single" w:sz="4" w:space="0" w:color="auto"/>
              <w:left w:val="single" w:sz="4" w:space="0" w:color="auto"/>
              <w:bottom w:val="single" w:sz="4" w:space="0" w:color="auto"/>
              <w:right w:val="single" w:sz="4" w:space="0" w:color="auto"/>
            </w:tcBorders>
            <w:shd w:val="clear" w:color="auto" w:fill="auto"/>
          </w:tcPr>
          <w:p w:rsidR="00B96806" w:rsidRPr="00E8065F" w:rsidRDefault="000E54C2" w:rsidP="00B96806">
            <w:pPr>
              <w:jc w:val="center"/>
              <w:rPr>
                <w:sz w:val="20"/>
                <w:szCs w:val="20"/>
              </w:rPr>
            </w:pPr>
            <w:r w:rsidRPr="00E8065F">
              <w:rPr>
                <w:sz w:val="20"/>
                <w:szCs w:val="20"/>
              </w:rPr>
              <w:t>2018</w:t>
            </w:r>
            <w:r w:rsidR="00AA5FB3">
              <w:rPr>
                <w:sz w:val="20"/>
                <w:szCs w:val="20"/>
              </w:rPr>
              <w:t xml:space="preserve"> </w:t>
            </w:r>
            <w:r w:rsidR="00B96806">
              <w:rPr>
                <w:sz w:val="20"/>
                <w:szCs w:val="20"/>
              </w:rPr>
              <w:t>(1)</w:t>
            </w:r>
          </w:p>
          <w:p w:rsidR="000E54C2" w:rsidRPr="00E8065F" w:rsidRDefault="000E54C2" w:rsidP="00B96806">
            <w:pPr>
              <w:jc w:val="center"/>
              <w:rPr>
                <w:sz w:val="20"/>
                <w:szCs w:val="20"/>
              </w:rPr>
            </w:pPr>
            <w:r w:rsidRPr="00E8065F">
              <w:rPr>
                <w:sz w:val="20"/>
                <w:szCs w:val="20"/>
              </w:rPr>
              <w:t>2023</w:t>
            </w:r>
            <w:r w:rsidR="00AA5FB3">
              <w:rPr>
                <w:sz w:val="20"/>
                <w:szCs w:val="20"/>
              </w:rPr>
              <w:t xml:space="preserve"> </w:t>
            </w:r>
            <w:r w:rsidR="00B96806">
              <w:rPr>
                <w:sz w:val="20"/>
                <w:szCs w:val="20"/>
              </w:rPr>
              <w:t>(1)</w:t>
            </w:r>
          </w:p>
        </w:tc>
        <w:tc>
          <w:tcPr>
            <w:tcW w:w="1181" w:type="dxa"/>
            <w:tcBorders>
              <w:top w:val="single" w:sz="4" w:space="0" w:color="auto"/>
              <w:left w:val="single" w:sz="4" w:space="0" w:color="auto"/>
              <w:bottom w:val="single" w:sz="4" w:space="0" w:color="auto"/>
              <w:right w:val="single" w:sz="4" w:space="0" w:color="auto"/>
            </w:tcBorders>
            <w:shd w:val="clear" w:color="auto" w:fill="auto"/>
          </w:tcPr>
          <w:p w:rsidR="000E54C2" w:rsidRPr="00E8065F" w:rsidRDefault="000E54C2" w:rsidP="000546C2">
            <w:pPr>
              <w:jc w:val="center"/>
              <w:rPr>
                <w:color w:val="000000"/>
                <w:sz w:val="20"/>
                <w:szCs w:val="20"/>
              </w:rPr>
            </w:pPr>
            <w:r w:rsidRPr="00E8065F">
              <w:rPr>
                <w:color w:val="000000"/>
                <w:sz w:val="20"/>
                <w:szCs w:val="20"/>
              </w:rPr>
              <w:t>2</w:t>
            </w:r>
          </w:p>
        </w:tc>
        <w:tc>
          <w:tcPr>
            <w:tcW w:w="1478" w:type="dxa"/>
            <w:tcBorders>
              <w:top w:val="single" w:sz="4" w:space="0" w:color="auto"/>
              <w:left w:val="single" w:sz="4" w:space="0" w:color="auto"/>
              <w:bottom w:val="single" w:sz="4" w:space="0" w:color="auto"/>
              <w:right w:val="single" w:sz="4" w:space="0" w:color="auto"/>
            </w:tcBorders>
            <w:shd w:val="clear" w:color="auto" w:fill="auto"/>
          </w:tcPr>
          <w:p w:rsidR="000E54C2" w:rsidRPr="00E8065F" w:rsidRDefault="000E54C2" w:rsidP="000546C2">
            <w:pPr>
              <w:jc w:val="center"/>
              <w:rPr>
                <w:color w:val="000000"/>
                <w:sz w:val="20"/>
                <w:szCs w:val="20"/>
              </w:rPr>
            </w:pPr>
            <w:r w:rsidRPr="00E8065F">
              <w:rPr>
                <w:color w:val="000000"/>
                <w:sz w:val="20"/>
                <w:szCs w:val="20"/>
              </w:rPr>
              <w:t>35</w:t>
            </w:r>
          </w:p>
        </w:tc>
        <w:tc>
          <w:tcPr>
            <w:tcW w:w="1111" w:type="dxa"/>
            <w:tcBorders>
              <w:top w:val="single" w:sz="4" w:space="0" w:color="auto"/>
              <w:left w:val="single" w:sz="4" w:space="0" w:color="auto"/>
              <w:bottom w:val="single" w:sz="4" w:space="0" w:color="auto"/>
              <w:right w:val="single" w:sz="4" w:space="0" w:color="auto"/>
            </w:tcBorders>
            <w:shd w:val="clear" w:color="auto" w:fill="auto"/>
          </w:tcPr>
          <w:p w:rsidR="000E54C2" w:rsidRPr="00E8065F" w:rsidRDefault="000E54C2" w:rsidP="000546C2">
            <w:pPr>
              <w:jc w:val="center"/>
              <w:rPr>
                <w:color w:val="000000"/>
                <w:sz w:val="20"/>
                <w:szCs w:val="20"/>
              </w:rPr>
            </w:pPr>
            <w:r w:rsidRPr="00E8065F">
              <w:rPr>
                <w:color w:val="000000"/>
                <w:sz w:val="20"/>
                <w:szCs w:val="20"/>
              </w:rPr>
              <w:t>2</w:t>
            </w:r>
          </w:p>
        </w:tc>
        <w:tc>
          <w:tcPr>
            <w:tcW w:w="1944" w:type="dxa"/>
            <w:tcBorders>
              <w:top w:val="single" w:sz="4" w:space="0" w:color="auto"/>
              <w:left w:val="single" w:sz="4" w:space="0" w:color="auto"/>
              <w:bottom w:val="single" w:sz="4" w:space="0" w:color="auto"/>
              <w:right w:val="single" w:sz="4" w:space="0" w:color="auto"/>
            </w:tcBorders>
            <w:shd w:val="clear" w:color="auto" w:fill="auto"/>
          </w:tcPr>
          <w:p w:rsidR="000E54C2" w:rsidRPr="00E8065F" w:rsidRDefault="000E54C2" w:rsidP="00BA1432">
            <w:pPr>
              <w:jc w:val="center"/>
              <w:rPr>
                <w:color w:val="000000"/>
                <w:sz w:val="20"/>
                <w:szCs w:val="20"/>
              </w:rPr>
            </w:pPr>
            <w:r w:rsidRPr="00E8065F">
              <w:rPr>
                <w:color w:val="000000"/>
                <w:sz w:val="20"/>
                <w:szCs w:val="20"/>
              </w:rPr>
              <w:t>Амбулаторное/стационарное</w:t>
            </w:r>
          </w:p>
        </w:tc>
      </w:tr>
      <w:tr w:rsidR="00BA1432" w:rsidRPr="00E8065F" w:rsidTr="000546C2">
        <w:trPr>
          <w:trHeight w:val="20"/>
        </w:trPr>
        <w:tc>
          <w:tcPr>
            <w:tcW w:w="1555" w:type="dxa"/>
            <w:vMerge/>
          </w:tcPr>
          <w:p w:rsidR="000E54C2" w:rsidRPr="00E8065F" w:rsidRDefault="000E54C2" w:rsidP="00BA1432">
            <w:pPr>
              <w:rPr>
                <w:sz w:val="20"/>
                <w:szCs w:val="20"/>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0E54C2" w:rsidRPr="00E8065F" w:rsidRDefault="000E54C2" w:rsidP="00DC0475">
            <w:pPr>
              <w:jc w:val="both"/>
              <w:rPr>
                <w:color w:val="000000"/>
                <w:sz w:val="20"/>
                <w:szCs w:val="20"/>
              </w:rPr>
            </w:pPr>
            <w:r w:rsidRPr="00E8065F">
              <w:rPr>
                <w:color w:val="000000"/>
                <w:sz w:val="20"/>
                <w:szCs w:val="20"/>
              </w:rPr>
              <w:t xml:space="preserve">ГАУЗ </w:t>
            </w:r>
            <w:r w:rsidR="002F7358">
              <w:rPr>
                <w:color w:val="000000"/>
                <w:sz w:val="20"/>
                <w:szCs w:val="20"/>
              </w:rPr>
              <w:t>«</w:t>
            </w:r>
            <w:r w:rsidRPr="00E8065F">
              <w:rPr>
                <w:color w:val="000000"/>
                <w:sz w:val="20"/>
                <w:szCs w:val="20"/>
              </w:rPr>
              <w:t>Рыбно-Слободская ЦРБ</w:t>
            </w:r>
            <w:r w:rsidR="002F7358">
              <w:rPr>
                <w:color w:val="000000"/>
                <w:sz w:val="20"/>
                <w:szCs w:val="20"/>
              </w:rPr>
              <w:t>»</w:t>
            </w:r>
          </w:p>
        </w:tc>
        <w:tc>
          <w:tcPr>
            <w:tcW w:w="1994" w:type="dxa"/>
            <w:tcBorders>
              <w:top w:val="single" w:sz="4" w:space="0" w:color="auto"/>
              <w:left w:val="single" w:sz="4" w:space="0" w:color="auto"/>
              <w:bottom w:val="single" w:sz="4" w:space="0" w:color="auto"/>
              <w:right w:val="single" w:sz="4" w:space="0" w:color="auto"/>
            </w:tcBorders>
            <w:shd w:val="clear" w:color="auto" w:fill="auto"/>
          </w:tcPr>
          <w:p w:rsidR="000E54C2" w:rsidRPr="00E8065F" w:rsidRDefault="000E54C2" w:rsidP="00BA1432">
            <w:pPr>
              <w:jc w:val="center"/>
              <w:rPr>
                <w:color w:val="000000"/>
                <w:sz w:val="20"/>
                <w:szCs w:val="20"/>
              </w:rPr>
            </w:pPr>
            <w:r w:rsidRPr="00E8065F">
              <w:rPr>
                <w:color w:val="000000"/>
                <w:sz w:val="20"/>
                <w:szCs w:val="20"/>
              </w:rPr>
              <w:t>Рентгенодиагностические аппараты</w:t>
            </w:r>
          </w:p>
        </w:tc>
        <w:tc>
          <w:tcPr>
            <w:tcW w:w="1181" w:type="dxa"/>
            <w:tcBorders>
              <w:top w:val="single" w:sz="4" w:space="0" w:color="auto"/>
            </w:tcBorders>
            <w:shd w:val="clear" w:color="auto" w:fill="auto"/>
          </w:tcPr>
          <w:p w:rsidR="000E54C2" w:rsidRPr="00E8065F" w:rsidRDefault="000E54C2" w:rsidP="000546C2">
            <w:pPr>
              <w:jc w:val="center"/>
              <w:rPr>
                <w:sz w:val="20"/>
                <w:szCs w:val="20"/>
              </w:rPr>
            </w:pPr>
            <w:r w:rsidRPr="00E8065F">
              <w:rPr>
                <w:sz w:val="20"/>
                <w:szCs w:val="20"/>
              </w:rPr>
              <w:t>2019</w:t>
            </w:r>
          </w:p>
        </w:tc>
        <w:tc>
          <w:tcPr>
            <w:tcW w:w="1181" w:type="dxa"/>
            <w:tcBorders>
              <w:top w:val="single" w:sz="4" w:space="0" w:color="auto"/>
              <w:left w:val="single" w:sz="4" w:space="0" w:color="auto"/>
              <w:bottom w:val="single" w:sz="4" w:space="0" w:color="auto"/>
              <w:right w:val="single" w:sz="4" w:space="0" w:color="auto"/>
            </w:tcBorders>
            <w:shd w:val="clear" w:color="auto" w:fill="auto"/>
          </w:tcPr>
          <w:p w:rsidR="000E54C2" w:rsidRPr="00E8065F" w:rsidRDefault="000E54C2" w:rsidP="000546C2">
            <w:pPr>
              <w:jc w:val="center"/>
              <w:rPr>
                <w:color w:val="000000"/>
                <w:sz w:val="20"/>
                <w:szCs w:val="20"/>
              </w:rPr>
            </w:pPr>
            <w:r w:rsidRPr="00E8065F">
              <w:rPr>
                <w:color w:val="000000"/>
                <w:sz w:val="20"/>
                <w:szCs w:val="20"/>
              </w:rPr>
              <w:t>1</w:t>
            </w:r>
          </w:p>
        </w:tc>
        <w:tc>
          <w:tcPr>
            <w:tcW w:w="1478" w:type="dxa"/>
            <w:tcBorders>
              <w:top w:val="single" w:sz="4" w:space="0" w:color="auto"/>
              <w:left w:val="single" w:sz="4" w:space="0" w:color="auto"/>
              <w:bottom w:val="single" w:sz="4" w:space="0" w:color="auto"/>
              <w:right w:val="single" w:sz="4" w:space="0" w:color="auto"/>
            </w:tcBorders>
            <w:shd w:val="clear" w:color="auto" w:fill="auto"/>
          </w:tcPr>
          <w:p w:rsidR="000E54C2" w:rsidRPr="00E8065F" w:rsidRDefault="000E54C2" w:rsidP="000546C2">
            <w:pPr>
              <w:jc w:val="center"/>
              <w:rPr>
                <w:color w:val="000000"/>
                <w:sz w:val="20"/>
                <w:szCs w:val="20"/>
              </w:rPr>
            </w:pPr>
            <w:r w:rsidRPr="00E8065F">
              <w:rPr>
                <w:color w:val="000000"/>
                <w:sz w:val="20"/>
                <w:szCs w:val="20"/>
              </w:rPr>
              <w:t>19</w:t>
            </w:r>
          </w:p>
        </w:tc>
        <w:tc>
          <w:tcPr>
            <w:tcW w:w="1111" w:type="dxa"/>
            <w:tcBorders>
              <w:top w:val="single" w:sz="4" w:space="0" w:color="auto"/>
              <w:left w:val="single" w:sz="4" w:space="0" w:color="auto"/>
              <w:bottom w:val="single" w:sz="4" w:space="0" w:color="auto"/>
              <w:right w:val="single" w:sz="4" w:space="0" w:color="auto"/>
            </w:tcBorders>
            <w:shd w:val="clear" w:color="auto" w:fill="auto"/>
          </w:tcPr>
          <w:p w:rsidR="000E54C2" w:rsidRPr="00E8065F" w:rsidRDefault="000E54C2" w:rsidP="000546C2">
            <w:pPr>
              <w:jc w:val="center"/>
              <w:rPr>
                <w:color w:val="000000"/>
                <w:sz w:val="20"/>
                <w:szCs w:val="20"/>
              </w:rPr>
            </w:pPr>
            <w:r w:rsidRPr="00E8065F">
              <w:rPr>
                <w:color w:val="000000"/>
                <w:sz w:val="20"/>
                <w:szCs w:val="20"/>
              </w:rPr>
              <w:t>2</w:t>
            </w:r>
          </w:p>
        </w:tc>
        <w:tc>
          <w:tcPr>
            <w:tcW w:w="1944" w:type="dxa"/>
            <w:tcBorders>
              <w:top w:val="single" w:sz="4" w:space="0" w:color="auto"/>
              <w:left w:val="single" w:sz="4" w:space="0" w:color="auto"/>
              <w:bottom w:val="single" w:sz="4" w:space="0" w:color="auto"/>
              <w:right w:val="single" w:sz="4" w:space="0" w:color="auto"/>
            </w:tcBorders>
            <w:shd w:val="clear" w:color="auto" w:fill="auto"/>
          </w:tcPr>
          <w:p w:rsidR="000E54C2" w:rsidRPr="00E8065F" w:rsidRDefault="000E54C2" w:rsidP="00BA1432">
            <w:pPr>
              <w:jc w:val="center"/>
              <w:rPr>
                <w:color w:val="000000"/>
                <w:sz w:val="20"/>
                <w:szCs w:val="20"/>
              </w:rPr>
            </w:pPr>
            <w:r w:rsidRPr="00E8065F">
              <w:rPr>
                <w:color w:val="000000"/>
                <w:sz w:val="20"/>
                <w:szCs w:val="20"/>
              </w:rPr>
              <w:t>Амбулаторное/стационарное</w:t>
            </w:r>
          </w:p>
        </w:tc>
      </w:tr>
      <w:tr w:rsidR="00BA1432" w:rsidRPr="00E8065F" w:rsidTr="000546C2">
        <w:trPr>
          <w:trHeight w:val="20"/>
        </w:trPr>
        <w:tc>
          <w:tcPr>
            <w:tcW w:w="1555" w:type="dxa"/>
            <w:vMerge/>
          </w:tcPr>
          <w:p w:rsidR="000E54C2" w:rsidRPr="00E8065F" w:rsidRDefault="000E54C2" w:rsidP="00BA1432">
            <w:pPr>
              <w:rPr>
                <w:sz w:val="20"/>
                <w:szCs w:val="20"/>
              </w:rPr>
            </w:pPr>
          </w:p>
        </w:tc>
        <w:tc>
          <w:tcPr>
            <w:tcW w:w="3685" w:type="dxa"/>
            <w:tcBorders>
              <w:top w:val="nil"/>
              <w:left w:val="single" w:sz="4" w:space="0" w:color="auto"/>
              <w:bottom w:val="single" w:sz="4" w:space="0" w:color="auto"/>
              <w:right w:val="single" w:sz="4" w:space="0" w:color="auto"/>
            </w:tcBorders>
            <w:shd w:val="clear" w:color="auto" w:fill="auto"/>
          </w:tcPr>
          <w:p w:rsidR="000E54C2" w:rsidRPr="00E8065F" w:rsidRDefault="000E54C2" w:rsidP="00DC0475">
            <w:pPr>
              <w:jc w:val="both"/>
              <w:rPr>
                <w:color w:val="000000"/>
                <w:sz w:val="20"/>
                <w:szCs w:val="20"/>
              </w:rPr>
            </w:pPr>
            <w:r w:rsidRPr="00E8065F">
              <w:rPr>
                <w:color w:val="000000"/>
                <w:sz w:val="20"/>
                <w:szCs w:val="20"/>
              </w:rPr>
              <w:t xml:space="preserve">ГАУЗ </w:t>
            </w:r>
            <w:r w:rsidR="002F7358">
              <w:rPr>
                <w:color w:val="000000"/>
                <w:sz w:val="20"/>
                <w:szCs w:val="20"/>
              </w:rPr>
              <w:t>«</w:t>
            </w:r>
            <w:r w:rsidRPr="00E8065F">
              <w:rPr>
                <w:color w:val="000000"/>
                <w:sz w:val="20"/>
                <w:szCs w:val="20"/>
              </w:rPr>
              <w:t>Сабинская ЦРБ</w:t>
            </w:r>
            <w:r w:rsidR="002F7358">
              <w:rPr>
                <w:color w:val="000000"/>
                <w:sz w:val="20"/>
                <w:szCs w:val="20"/>
              </w:rPr>
              <w:t>»</w:t>
            </w:r>
          </w:p>
        </w:tc>
        <w:tc>
          <w:tcPr>
            <w:tcW w:w="1994" w:type="dxa"/>
            <w:tcBorders>
              <w:top w:val="nil"/>
              <w:left w:val="single" w:sz="4" w:space="0" w:color="auto"/>
              <w:bottom w:val="single" w:sz="4" w:space="0" w:color="auto"/>
              <w:right w:val="single" w:sz="4" w:space="0" w:color="auto"/>
            </w:tcBorders>
            <w:shd w:val="clear" w:color="auto" w:fill="auto"/>
          </w:tcPr>
          <w:p w:rsidR="000E54C2" w:rsidRPr="00E8065F" w:rsidRDefault="000E54C2" w:rsidP="00BA1432">
            <w:pPr>
              <w:jc w:val="center"/>
              <w:rPr>
                <w:color w:val="000000"/>
                <w:sz w:val="20"/>
                <w:szCs w:val="20"/>
              </w:rPr>
            </w:pPr>
            <w:r w:rsidRPr="00E8065F">
              <w:rPr>
                <w:color w:val="000000"/>
                <w:sz w:val="20"/>
                <w:szCs w:val="20"/>
              </w:rPr>
              <w:t>Рентгенодиагностические аппараты</w:t>
            </w:r>
          </w:p>
        </w:tc>
        <w:tc>
          <w:tcPr>
            <w:tcW w:w="1181" w:type="dxa"/>
            <w:shd w:val="clear" w:color="auto" w:fill="auto"/>
          </w:tcPr>
          <w:p w:rsidR="00B96806" w:rsidRPr="00E8065F" w:rsidRDefault="000E54C2" w:rsidP="00B96806">
            <w:pPr>
              <w:jc w:val="center"/>
              <w:rPr>
                <w:sz w:val="20"/>
                <w:szCs w:val="20"/>
              </w:rPr>
            </w:pPr>
            <w:r w:rsidRPr="00E8065F">
              <w:rPr>
                <w:sz w:val="20"/>
                <w:szCs w:val="20"/>
              </w:rPr>
              <w:t>2010</w:t>
            </w:r>
            <w:r w:rsidR="00AA5FB3">
              <w:rPr>
                <w:sz w:val="20"/>
                <w:szCs w:val="20"/>
              </w:rPr>
              <w:t xml:space="preserve"> </w:t>
            </w:r>
            <w:r w:rsidR="00B96806">
              <w:rPr>
                <w:sz w:val="20"/>
                <w:szCs w:val="20"/>
              </w:rPr>
              <w:t>(1)</w:t>
            </w:r>
          </w:p>
          <w:p w:rsidR="00B96806" w:rsidRPr="00E8065F" w:rsidRDefault="000E54C2" w:rsidP="00B96806">
            <w:pPr>
              <w:jc w:val="center"/>
              <w:rPr>
                <w:sz w:val="20"/>
                <w:szCs w:val="20"/>
              </w:rPr>
            </w:pPr>
            <w:r w:rsidRPr="00E8065F">
              <w:rPr>
                <w:sz w:val="20"/>
                <w:szCs w:val="20"/>
              </w:rPr>
              <w:t>2022</w:t>
            </w:r>
            <w:r w:rsidR="00AA5FB3">
              <w:rPr>
                <w:sz w:val="20"/>
                <w:szCs w:val="20"/>
              </w:rPr>
              <w:t xml:space="preserve"> </w:t>
            </w:r>
            <w:r w:rsidR="00B96806">
              <w:rPr>
                <w:sz w:val="20"/>
                <w:szCs w:val="20"/>
              </w:rPr>
              <w:t>(1)</w:t>
            </w:r>
          </w:p>
          <w:p w:rsidR="000E54C2" w:rsidRPr="00E8065F" w:rsidRDefault="000E54C2" w:rsidP="00B96806">
            <w:pPr>
              <w:jc w:val="center"/>
              <w:rPr>
                <w:sz w:val="20"/>
                <w:szCs w:val="20"/>
              </w:rPr>
            </w:pPr>
            <w:r w:rsidRPr="00E8065F">
              <w:rPr>
                <w:sz w:val="20"/>
                <w:szCs w:val="20"/>
              </w:rPr>
              <w:t>2023</w:t>
            </w:r>
            <w:r w:rsidR="00AA5FB3">
              <w:rPr>
                <w:sz w:val="20"/>
                <w:szCs w:val="20"/>
              </w:rPr>
              <w:t xml:space="preserve"> </w:t>
            </w:r>
            <w:r w:rsidR="00B96806">
              <w:rPr>
                <w:sz w:val="20"/>
                <w:szCs w:val="20"/>
              </w:rPr>
              <w:t>(1)</w:t>
            </w:r>
          </w:p>
        </w:tc>
        <w:tc>
          <w:tcPr>
            <w:tcW w:w="1181" w:type="dxa"/>
            <w:tcBorders>
              <w:top w:val="nil"/>
              <w:left w:val="single" w:sz="4" w:space="0" w:color="auto"/>
              <w:bottom w:val="single" w:sz="4" w:space="0" w:color="auto"/>
              <w:right w:val="single" w:sz="4" w:space="0" w:color="auto"/>
            </w:tcBorders>
            <w:shd w:val="clear" w:color="auto" w:fill="auto"/>
          </w:tcPr>
          <w:p w:rsidR="000E54C2" w:rsidRPr="00E8065F" w:rsidRDefault="000E54C2" w:rsidP="000546C2">
            <w:pPr>
              <w:jc w:val="center"/>
              <w:rPr>
                <w:color w:val="000000"/>
                <w:sz w:val="20"/>
                <w:szCs w:val="20"/>
              </w:rPr>
            </w:pPr>
            <w:r w:rsidRPr="00E8065F">
              <w:rPr>
                <w:color w:val="000000"/>
                <w:sz w:val="20"/>
                <w:szCs w:val="20"/>
              </w:rPr>
              <w:t>3</w:t>
            </w:r>
          </w:p>
        </w:tc>
        <w:tc>
          <w:tcPr>
            <w:tcW w:w="1478" w:type="dxa"/>
            <w:tcBorders>
              <w:top w:val="nil"/>
              <w:left w:val="single" w:sz="4" w:space="0" w:color="auto"/>
              <w:bottom w:val="single" w:sz="4" w:space="0" w:color="auto"/>
              <w:right w:val="single" w:sz="4" w:space="0" w:color="auto"/>
            </w:tcBorders>
            <w:shd w:val="clear" w:color="auto" w:fill="auto"/>
          </w:tcPr>
          <w:p w:rsidR="000E54C2" w:rsidRPr="00E8065F" w:rsidRDefault="000E54C2" w:rsidP="000546C2">
            <w:pPr>
              <w:jc w:val="center"/>
              <w:rPr>
                <w:color w:val="000000"/>
                <w:sz w:val="20"/>
                <w:szCs w:val="20"/>
              </w:rPr>
            </w:pPr>
            <w:r w:rsidRPr="00E8065F">
              <w:rPr>
                <w:color w:val="000000"/>
                <w:sz w:val="20"/>
                <w:szCs w:val="20"/>
              </w:rPr>
              <w:t>50</w:t>
            </w:r>
          </w:p>
        </w:tc>
        <w:tc>
          <w:tcPr>
            <w:tcW w:w="1111" w:type="dxa"/>
            <w:tcBorders>
              <w:top w:val="nil"/>
              <w:left w:val="single" w:sz="4" w:space="0" w:color="auto"/>
              <w:bottom w:val="single" w:sz="4" w:space="0" w:color="auto"/>
              <w:right w:val="single" w:sz="4" w:space="0" w:color="auto"/>
            </w:tcBorders>
            <w:shd w:val="clear" w:color="auto" w:fill="auto"/>
          </w:tcPr>
          <w:p w:rsidR="000E54C2" w:rsidRPr="00E8065F" w:rsidRDefault="000E54C2" w:rsidP="000546C2">
            <w:pPr>
              <w:jc w:val="center"/>
              <w:rPr>
                <w:color w:val="000000"/>
                <w:sz w:val="20"/>
                <w:szCs w:val="20"/>
              </w:rPr>
            </w:pPr>
            <w:r w:rsidRPr="00E8065F">
              <w:rPr>
                <w:color w:val="000000"/>
                <w:sz w:val="20"/>
                <w:szCs w:val="20"/>
              </w:rPr>
              <w:t>2</w:t>
            </w:r>
          </w:p>
        </w:tc>
        <w:tc>
          <w:tcPr>
            <w:tcW w:w="1944" w:type="dxa"/>
            <w:tcBorders>
              <w:top w:val="nil"/>
              <w:left w:val="single" w:sz="4" w:space="0" w:color="auto"/>
              <w:bottom w:val="single" w:sz="4" w:space="0" w:color="auto"/>
              <w:right w:val="single" w:sz="4" w:space="0" w:color="auto"/>
            </w:tcBorders>
            <w:shd w:val="clear" w:color="auto" w:fill="auto"/>
          </w:tcPr>
          <w:p w:rsidR="000E54C2" w:rsidRPr="00E8065F" w:rsidRDefault="000E54C2" w:rsidP="00BA1432">
            <w:pPr>
              <w:jc w:val="center"/>
              <w:rPr>
                <w:color w:val="000000"/>
                <w:sz w:val="20"/>
                <w:szCs w:val="20"/>
              </w:rPr>
            </w:pPr>
            <w:r w:rsidRPr="00E8065F">
              <w:rPr>
                <w:color w:val="000000"/>
                <w:sz w:val="20"/>
                <w:szCs w:val="20"/>
              </w:rPr>
              <w:t>Амбулаторное/стационарное</w:t>
            </w:r>
          </w:p>
        </w:tc>
      </w:tr>
      <w:tr w:rsidR="00BA1432" w:rsidRPr="00E8065F" w:rsidTr="000546C2">
        <w:trPr>
          <w:trHeight w:val="20"/>
        </w:trPr>
        <w:tc>
          <w:tcPr>
            <w:tcW w:w="1555" w:type="dxa"/>
            <w:vMerge/>
          </w:tcPr>
          <w:p w:rsidR="000E54C2" w:rsidRPr="00E8065F" w:rsidRDefault="000E54C2" w:rsidP="00BA1432">
            <w:pPr>
              <w:rPr>
                <w:sz w:val="20"/>
                <w:szCs w:val="20"/>
              </w:rPr>
            </w:pPr>
          </w:p>
        </w:tc>
        <w:tc>
          <w:tcPr>
            <w:tcW w:w="3685" w:type="dxa"/>
            <w:tcBorders>
              <w:top w:val="nil"/>
              <w:left w:val="single" w:sz="4" w:space="0" w:color="auto"/>
              <w:bottom w:val="single" w:sz="4" w:space="0" w:color="auto"/>
              <w:right w:val="single" w:sz="4" w:space="0" w:color="auto"/>
            </w:tcBorders>
            <w:shd w:val="clear" w:color="auto" w:fill="auto"/>
          </w:tcPr>
          <w:p w:rsidR="000E54C2" w:rsidRPr="00E8065F" w:rsidRDefault="000E54C2" w:rsidP="00DC0475">
            <w:pPr>
              <w:jc w:val="both"/>
              <w:rPr>
                <w:color w:val="000000"/>
                <w:sz w:val="20"/>
                <w:szCs w:val="20"/>
              </w:rPr>
            </w:pPr>
            <w:r w:rsidRPr="00E8065F">
              <w:rPr>
                <w:color w:val="000000"/>
                <w:sz w:val="20"/>
                <w:szCs w:val="20"/>
              </w:rPr>
              <w:t xml:space="preserve">ГАУЗ </w:t>
            </w:r>
            <w:r w:rsidR="002F7358">
              <w:rPr>
                <w:color w:val="000000"/>
                <w:sz w:val="20"/>
                <w:szCs w:val="20"/>
              </w:rPr>
              <w:t>«</w:t>
            </w:r>
            <w:r w:rsidRPr="00E8065F">
              <w:rPr>
                <w:color w:val="000000"/>
                <w:sz w:val="20"/>
                <w:szCs w:val="20"/>
              </w:rPr>
              <w:t>Сармановская ЦРБ</w:t>
            </w:r>
            <w:r w:rsidR="002F7358">
              <w:rPr>
                <w:color w:val="000000"/>
                <w:sz w:val="20"/>
                <w:szCs w:val="20"/>
              </w:rPr>
              <w:t>»</w:t>
            </w:r>
          </w:p>
        </w:tc>
        <w:tc>
          <w:tcPr>
            <w:tcW w:w="1994" w:type="dxa"/>
            <w:tcBorders>
              <w:top w:val="nil"/>
              <w:left w:val="single" w:sz="4" w:space="0" w:color="auto"/>
              <w:bottom w:val="single" w:sz="4" w:space="0" w:color="auto"/>
              <w:right w:val="single" w:sz="4" w:space="0" w:color="auto"/>
            </w:tcBorders>
            <w:shd w:val="clear" w:color="auto" w:fill="auto"/>
          </w:tcPr>
          <w:p w:rsidR="000E54C2" w:rsidRPr="00E8065F" w:rsidRDefault="000E54C2" w:rsidP="00BA1432">
            <w:pPr>
              <w:jc w:val="center"/>
              <w:rPr>
                <w:color w:val="000000"/>
                <w:sz w:val="20"/>
                <w:szCs w:val="20"/>
              </w:rPr>
            </w:pPr>
            <w:r w:rsidRPr="00E8065F">
              <w:rPr>
                <w:color w:val="000000"/>
                <w:sz w:val="20"/>
                <w:szCs w:val="20"/>
              </w:rPr>
              <w:t>Рентгенодиагностические аппараты</w:t>
            </w:r>
          </w:p>
        </w:tc>
        <w:tc>
          <w:tcPr>
            <w:tcW w:w="1181" w:type="dxa"/>
            <w:tcBorders>
              <w:bottom w:val="single" w:sz="4" w:space="0" w:color="auto"/>
            </w:tcBorders>
            <w:shd w:val="clear" w:color="auto" w:fill="auto"/>
          </w:tcPr>
          <w:p w:rsidR="000E54C2" w:rsidRPr="00E8065F" w:rsidRDefault="000E54C2" w:rsidP="000546C2">
            <w:pPr>
              <w:jc w:val="center"/>
              <w:rPr>
                <w:sz w:val="20"/>
                <w:szCs w:val="20"/>
              </w:rPr>
            </w:pPr>
            <w:r w:rsidRPr="00E8065F">
              <w:rPr>
                <w:sz w:val="20"/>
                <w:szCs w:val="20"/>
              </w:rPr>
              <w:t>2022</w:t>
            </w:r>
            <w:r w:rsidR="00AA5FB3">
              <w:rPr>
                <w:sz w:val="20"/>
                <w:szCs w:val="20"/>
              </w:rPr>
              <w:t xml:space="preserve"> </w:t>
            </w:r>
            <w:r w:rsidR="00B96806">
              <w:rPr>
                <w:sz w:val="20"/>
                <w:szCs w:val="20"/>
              </w:rPr>
              <w:t>(2)</w:t>
            </w:r>
          </w:p>
          <w:p w:rsidR="000E54C2" w:rsidRPr="00E8065F" w:rsidRDefault="000E54C2" w:rsidP="000546C2">
            <w:pPr>
              <w:jc w:val="center"/>
              <w:rPr>
                <w:sz w:val="20"/>
                <w:szCs w:val="20"/>
              </w:rPr>
            </w:pPr>
          </w:p>
        </w:tc>
        <w:tc>
          <w:tcPr>
            <w:tcW w:w="1181" w:type="dxa"/>
            <w:tcBorders>
              <w:top w:val="nil"/>
              <w:left w:val="single" w:sz="4" w:space="0" w:color="auto"/>
              <w:bottom w:val="single" w:sz="4" w:space="0" w:color="auto"/>
              <w:right w:val="single" w:sz="4" w:space="0" w:color="auto"/>
            </w:tcBorders>
            <w:shd w:val="clear" w:color="auto" w:fill="auto"/>
          </w:tcPr>
          <w:p w:rsidR="000E54C2" w:rsidRPr="00E8065F" w:rsidRDefault="000E54C2" w:rsidP="000546C2">
            <w:pPr>
              <w:jc w:val="center"/>
              <w:rPr>
                <w:color w:val="000000"/>
                <w:sz w:val="20"/>
                <w:szCs w:val="20"/>
              </w:rPr>
            </w:pPr>
            <w:r w:rsidRPr="00E8065F">
              <w:rPr>
                <w:color w:val="000000"/>
                <w:sz w:val="20"/>
                <w:szCs w:val="20"/>
              </w:rPr>
              <w:t>2</w:t>
            </w:r>
          </w:p>
        </w:tc>
        <w:tc>
          <w:tcPr>
            <w:tcW w:w="1478" w:type="dxa"/>
            <w:tcBorders>
              <w:top w:val="nil"/>
              <w:left w:val="single" w:sz="4" w:space="0" w:color="auto"/>
              <w:bottom w:val="single" w:sz="4" w:space="0" w:color="auto"/>
              <w:right w:val="single" w:sz="4" w:space="0" w:color="auto"/>
            </w:tcBorders>
            <w:shd w:val="clear" w:color="auto" w:fill="auto"/>
          </w:tcPr>
          <w:p w:rsidR="000E54C2" w:rsidRPr="00E8065F" w:rsidRDefault="000E54C2" w:rsidP="000546C2">
            <w:pPr>
              <w:jc w:val="center"/>
              <w:rPr>
                <w:color w:val="000000"/>
                <w:sz w:val="20"/>
                <w:szCs w:val="20"/>
              </w:rPr>
            </w:pPr>
            <w:r w:rsidRPr="00E8065F">
              <w:rPr>
                <w:color w:val="000000"/>
                <w:sz w:val="20"/>
                <w:szCs w:val="20"/>
              </w:rPr>
              <w:t>35</w:t>
            </w:r>
          </w:p>
        </w:tc>
        <w:tc>
          <w:tcPr>
            <w:tcW w:w="1111" w:type="dxa"/>
            <w:tcBorders>
              <w:top w:val="nil"/>
              <w:left w:val="single" w:sz="4" w:space="0" w:color="auto"/>
              <w:bottom w:val="single" w:sz="4" w:space="0" w:color="auto"/>
              <w:right w:val="single" w:sz="4" w:space="0" w:color="auto"/>
            </w:tcBorders>
            <w:shd w:val="clear" w:color="auto" w:fill="auto"/>
          </w:tcPr>
          <w:p w:rsidR="000E54C2" w:rsidRPr="00E8065F" w:rsidRDefault="000E54C2" w:rsidP="000546C2">
            <w:pPr>
              <w:jc w:val="center"/>
              <w:rPr>
                <w:color w:val="000000"/>
                <w:sz w:val="20"/>
                <w:szCs w:val="20"/>
              </w:rPr>
            </w:pPr>
            <w:r w:rsidRPr="00E8065F">
              <w:rPr>
                <w:color w:val="000000"/>
                <w:sz w:val="20"/>
                <w:szCs w:val="20"/>
              </w:rPr>
              <w:t>2</w:t>
            </w:r>
          </w:p>
        </w:tc>
        <w:tc>
          <w:tcPr>
            <w:tcW w:w="1944" w:type="dxa"/>
            <w:tcBorders>
              <w:top w:val="nil"/>
              <w:left w:val="single" w:sz="4" w:space="0" w:color="auto"/>
              <w:bottom w:val="single" w:sz="4" w:space="0" w:color="auto"/>
              <w:right w:val="single" w:sz="4" w:space="0" w:color="auto"/>
            </w:tcBorders>
            <w:shd w:val="clear" w:color="auto" w:fill="auto"/>
          </w:tcPr>
          <w:p w:rsidR="000E54C2" w:rsidRPr="00E8065F" w:rsidRDefault="000E54C2" w:rsidP="00BA1432">
            <w:pPr>
              <w:jc w:val="center"/>
              <w:rPr>
                <w:color w:val="000000"/>
                <w:sz w:val="20"/>
                <w:szCs w:val="20"/>
              </w:rPr>
            </w:pPr>
            <w:r w:rsidRPr="00E8065F">
              <w:rPr>
                <w:color w:val="000000"/>
                <w:sz w:val="20"/>
                <w:szCs w:val="20"/>
              </w:rPr>
              <w:t>Амбулаторное/стационарное</w:t>
            </w:r>
          </w:p>
        </w:tc>
      </w:tr>
      <w:tr w:rsidR="00BA1432" w:rsidRPr="00E8065F" w:rsidTr="000546C2">
        <w:trPr>
          <w:trHeight w:val="20"/>
        </w:trPr>
        <w:tc>
          <w:tcPr>
            <w:tcW w:w="1555" w:type="dxa"/>
            <w:vMerge/>
          </w:tcPr>
          <w:p w:rsidR="000E54C2" w:rsidRPr="00E8065F" w:rsidRDefault="000E54C2" w:rsidP="00BA1432">
            <w:pPr>
              <w:rPr>
                <w:sz w:val="20"/>
                <w:szCs w:val="20"/>
              </w:rPr>
            </w:pPr>
          </w:p>
        </w:tc>
        <w:tc>
          <w:tcPr>
            <w:tcW w:w="3685" w:type="dxa"/>
            <w:tcBorders>
              <w:top w:val="single" w:sz="4" w:space="0" w:color="auto"/>
              <w:bottom w:val="single" w:sz="4" w:space="0" w:color="auto"/>
              <w:right w:val="single" w:sz="4" w:space="0" w:color="auto"/>
            </w:tcBorders>
            <w:shd w:val="clear" w:color="auto" w:fill="auto"/>
          </w:tcPr>
          <w:p w:rsidR="000E54C2" w:rsidRPr="00E8065F" w:rsidRDefault="000E54C2" w:rsidP="00DC0475">
            <w:pPr>
              <w:jc w:val="both"/>
              <w:rPr>
                <w:color w:val="000000"/>
                <w:sz w:val="20"/>
                <w:szCs w:val="20"/>
              </w:rPr>
            </w:pPr>
            <w:r w:rsidRPr="00E8065F">
              <w:rPr>
                <w:color w:val="000000"/>
                <w:sz w:val="20"/>
                <w:szCs w:val="20"/>
              </w:rPr>
              <w:t xml:space="preserve">ГАУЗ </w:t>
            </w:r>
            <w:r w:rsidR="002F7358">
              <w:rPr>
                <w:color w:val="000000"/>
                <w:sz w:val="20"/>
                <w:szCs w:val="20"/>
              </w:rPr>
              <w:t>«</w:t>
            </w:r>
            <w:r w:rsidRPr="00E8065F">
              <w:rPr>
                <w:color w:val="000000"/>
                <w:sz w:val="20"/>
                <w:szCs w:val="20"/>
              </w:rPr>
              <w:t>Тетюшская ЦРБ</w:t>
            </w:r>
            <w:r w:rsidR="002F7358">
              <w:rPr>
                <w:color w:val="000000"/>
                <w:sz w:val="20"/>
                <w:szCs w:val="20"/>
              </w:rPr>
              <w:t>»</w:t>
            </w:r>
          </w:p>
        </w:tc>
        <w:tc>
          <w:tcPr>
            <w:tcW w:w="1994" w:type="dxa"/>
            <w:tcBorders>
              <w:top w:val="single" w:sz="4" w:space="0" w:color="auto"/>
              <w:left w:val="single" w:sz="4" w:space="0" w:color="auto"/>
              <w:bottom w:val="single" w:sz="4" w:space="0" w:color="auto"/>
              <w:right w:val="single" w:sz="4" w:space="0" w:color="auto"/>
            </w:tcBorders>
            <w:shd w:val="clear" w:color="auto" w:fill="auto"/>
          </w:tcPr>
          <w:p w:rsidR="000E54C2" w:rsidRPr="00E8065F" w:rsidRDefault="000E54C2" w:rsidP="00BA1432">
            <w:pPr>
              <w:jc w:val="center"/>
              <w:rPr>
                <w:color w:val="000000"/>
                <w:sz w:val="20"/>
                <w:szCs w:val="20"/>
              </w:rPr>
            </w:pPr>
            <w:r w:rsidRPr="00E8065F">
              <w:rPr>
                <w:color w:val="000000"/>
                <w:sz w:val="20"/>
                <w:szCs w:val="20"/>
              </w:rPr>
              <w:t>Рентгенодиагностические аппараты</w:t>
            </w:r>
          </w:p>
        </w:tc>
        <w:tc>
          <w:tcPr>
            <w:tcW w:w="1181" w:type="dxa"/>
            <w:tcBorders>
              <w:top w:val="single" w:sz="4" w:space="0" w:color="auto"/>
              <w:left w:val="single" w:sz="4" w:space="0" w:color="auto"/>
              <w:bottom w:val="single" w:sz="4" w:space="0" w:color="auto"/>
              <w:right w:val="single" w:sz="4" w:space="0" w:color="auto"/>
            </w:tcBorders>
            <w:shd w:val="clear" w:color="auto" w:fill="auto"/>
          </w:tcPr>
          <w:p w:rsidR="000E54C2" w:rsidRPr="00E8065F" w:rsidRDefault="000E54C2" w:rsidP="000546C2">
            <w:pPr>
              <w:jc w:val="center"/>
              <w:rPr>
                <w:sz w:val="20"/>
                <w:szCs w:val="20"/>
              </w:rPr>
            </w:pPr>
            <w:r w:rsidRPr="00E8065F">
              <w:rPr>
                <w:sz w:val="20"/>
                <w:szCs w:val="20"/>
              </w:rPr>
              <w:t>2022</w:t>
            </w:r>
          </w:p>
        </w:tc>
        <w:tc>
          <w:tcPr>
            <w:tcW w:w="1181" w:type="dxa"/>
            <w:tcBorders>
              <w:top w:val="single" w:sz="4" w:space="0" w:color="auto"/>
              <w:left w:val="single" w:sz="4" w:space="0" w:color="auto"/>
              <w:bottom w:val="single" w:sz="4" w:space="0" w:color="auto"/>
              <w:right w:val="single" w:sz="4" w:space="0" w:color="auto"/>
            </w:tcBorders>
            <w:shd w:val="clear" w:color="auto" w:fill="auto"/>
          </w:tcPr>
          <w:p w:rsidR="000E54C2" w:rsidRPr="00E8065F" w:rsidRDefault="000E54C2" w:rsidP="000546C2">
            <w:pPr>
              <w:jc w:val="center"/>
              <w:rPr>
                <w:color w:val="000000"/>
                <w:sz w:val="20"/>
                <w:szCs w:val="20"/>
              </w:rPr>
            </w:pPr>
            <w:r w:rsidRPr="00E8065F">
              <w:rPr>
                <w:color w:val="000000"/>
                <w:sz w:val="20"/>
                <w:szCs w:val="20"/>
              </w:rPr>
              <w:t>1</w:t>
            </w:r>
          </w:p>
        </w:tc>
        <w:tc>
          <w:tcPr>
            <w:tcW w:w="1478" w:type="dxa"/>
            <w:tcBorders>
              <w:top w:val="single" w:sz="4" w:space="0" w:color="auto"/>
              <w:left w:val="single" w:sz="4" w:space="0" w:color="auto"/>
              <w:bottom w:val="single" w:sz="4" w:space="0" w:color="auto"/>
              <w:right w:val="single" w:sz="4" w:space="0" w:color="auto"/>
            </w:tcBorders>
            <w:shd w:val="clear" w:color="auto" w:fill="auto"/>
          </w:tcPr>
          <w:p w:rsidR="000E54C2" w:rsidRPr="00E8065F" w:rsidRDefault="000E54C2" w:rsidP="000546C2">
            <w:pPr>
              <w:jc w:val="center"/>
              <w:rPr>
                <w:color w:val="000000"/>
                <w:sz w:val="20"/>
                <w:szCs w:val="20"/>
              </w:rPr>
            </w:pPr>
            <w:r w:rsidRPr="00E8065F">
              <w:rPr>
                <w:color w:val="000000"/>
                <w:sz w:val="20"/>
                <w:szCs w:val="20"/>
              </w:rPr>
              <w:t>25</w:t>
            </w:r>
          </w:p>
        </w:tc>
        <w:tc>
          <w:tcPr>
            <w:tcW w:w="1111" w:type="dxa"/>
            <w:tcBorders>
              <w:top w:val="single" w:sz="4" w:space="0" w:color="auto"/>
              <w:left w:val="single" w:sz="4" w:space="0" w:color="auto"/>
              <w:bottom w:val="single" w:sz="4" w:space="0" w:color="auto"/>
              <w:right w:val="single" w:sz="4" w:space="0" w:color="auto"/>
            </w:tcBorders>
            <w:shd w:val="clear" w:color="auto" w:fill="auto"/>
          </w:tcPr>
          <w:p w:rsidR="000E54C2" w:rsidRPr="00E8065F" w:rsidRDefault="000E54C2" w:rsidP="000546C2">
            <w:pPr>
              <w:jc w:val="center"/>
              <w:rPr>
                <w:color w:val="000000"/>
                <w:sz w:val="20"/>
                <w:szCs w:val="20"/>
              </w:rPr>
            </w:pPr>
            <w:r w:rsidRPr="00E8065F">
              <w:rPr>
                <w:color w:val="000000"/>
                <w:sz w:val="20"/>
                <w:szCs w:val="20"/>
              </w:rPr>
              <w:t>2</w:t>
            </w:r>
          </w:p>
        </w:tc>
        <w:tc>
          <w:tcPr>
            <w:tcW w:w="1944" w:type="dxa"/>
            <w:tcBorders>
              <w:top w:val="single" w:sz="4" w:space="0" w:color="auto"/>
              <w:left w:val="single" w:sz="4" w:space="0" w:color="auto"/>
              <w:bottom w:val="single" w:sz="4" w:space="0" w:color="auto"/>
              <w:right w:val="single" w:sz="4" w:space="0" w:color="auto"/>
            </w:tcBorders>
            <w:shd w:val="clear" w:color="auto" w:fill="auto"/>
          </w:tcPr>
          <w:p w:rsidR="000E54C2" w:rsidRPr="00E8065F" w:rsidRDefault="000E54C2" w:rsidP="00BA1432">
            <w:pPr>
              <w:jc w:val="center"/>
              <w:rPr>
                <w:color w:val="000000"/>
                <w:sz w:val="20"/>
                <w:szCs w:val="20"/>
              </w:rPr>
            </w:pPr>
            <w:r w:rsidRPr="00E8065F">
              <w:rPr>
                <w:color w:val="000000"/>
                <w:sz w:val="20"/>
                <w:szCs w:val="20"/>
              </w:rPr>
              <w:t>Амбулаторное/стационарное</w:t>
            </w:r>
          </w:p>
        </w:tc>
      </w:tr>
      <w:tr w:rsidR="00BA1432" w:rsidRPr="00E8065F" w:rsidTr="000546C2">
        <w:trPr>
          <w:trHeight w:val="20"/>
        </w:trPr>
        <w:tc>
          <w:tcPr>
            <w:tcW w:w="1555" w:type="dxa"/>
            <w:vMerge/>
          </w:tcPr>
          <w:p w:rsidR="000E54C2" w:rsidRPr="00E8065F" w:rsidRDefault="000E54C2" w:rsidP="00BA1432">
            <w:pPr>
              <w:rPr>
                <w:sz w:val="20"/>
                <w:szCs w:val="20"/>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0E54C2" w:rsidRPr="00E8065F" w:rsidRDefault="000E54C2" w:rsidP="00DC0475">
            <w:pPr>
              <w:jc w:val="both"/>
              <w:rPr>
                <w:color w:val="000000"/>
                <w:sz w:val="20"/>
                <w:szCs w:val="20"/>
              </w:rPr>
            </w:pPr>
            <w:r w:rsidRPr="00E8065F">
              <w:rPr>
                <w:color w:val="000000"/>
                <w:sz w:val="20"/>
                <w:szCs w:val="20"/>
              </w:rPr>
              <w:t xml:space="preserve">ГАУЗ </w:t>
            </w:r>
            <w:r w:rsidR="002F7358">
              <w:rPr>
                <w:color w:val="000000"/>
                <w:sz w:val="20"/>
                <w:szCs w:val="20"/>
              </w:rPr>
              <w:t>«</w:t>
            </w:r>
            <w:r w:rsidRPr="00E8065F">
              <w:rPr>
                <w:color w:val="000000"/>
                <w:sz w:val="20"/>
                <w:szCs w:val="20"/>
              </w:rPr>
              <w:t>Тукаевская ЦРБ</w:t>
            </w:r>
            <w:r w:rsidR="002F7358">
              <w:rPr>
                <w:color w:val="000000"/>
                <w:sz w:val="20"/>
                <w:szCs w:val="20"/>
              </w:rPr>
              <w:t>»</w:t>
            </w:r>
          </w:p>
        </w:tc>
        <w:tc>
          <w:tcPr>
            <w:tcW w:w="1994" w:type="dxa"/>
            <w:tcBorders>
              <w:top w:val="single" w:sz="4" w:space="0" w:color="auto"/>
              <w:left w:val="single" w:sz="4" w:space="0" w:color="auto"/>
              <w:bottom w:val="single" w:sz="4" w:space="0" w:color="auto"/>
              <w:right w:val="single" w:sz="4" w:space="0" w:color="auto"/>
            </w:tcBorders>
            <w:shd w:val="clear" w:color="auto" w:fill="auto"/>
          </w:tcPr>
          <w:p w:rsidR="000E54C2" w:rsidRPr="00E8065F" w:rsidRDefault="000E54C2" w:rsidP="00BA1432">
            <w:pPr>
              <w:jc w:val="center"/>
              <w:rPr>
                <w:color w:val="000000"/>
                <w:sz w:val="20"/>
                <w:szCs w:val="20"/>
              </w:rPr>
            </w:pPr>
            <w:r w:rsidRPr="00E8065F">
              <w:rPr>
                <w:color w:val="000000"/>
                <w:sz w:val="20"/>
                <w:szCs w:val="20"/>
              </w:rPr>
              <w:t>Рентгенодиагностические аппараты</w:t>
            </w:r>
          </w:p>
        </w:tc>
        <w:tc>
          <w:tcPr>
            <w:tcW w:w="1181" w:type="dxa"/>
            <w:tcBorders>
              <w:top w:val="single" w:sz="4" w:space="0" w:color="auto"/>
            </w:tcBorders>
            <w:shd w:val="clear" w:color="auto" w:fill="auto"/>
          </w:tcPr>
          <w:p w:rsidR="000E54C2" w:rsidRPr="00E8065F" w:rsidRDefault="000E54C2" w:rsidP="000546C2">
            <w:pPr>
              <w:jc w:val="center"/>
              <w:rPr>
                <w:sz w:val="20"/>
                <w:szCs w:val="20"/>
              </w:rPr>
            </w:pPr>
            <w:r w:rsidRPr="00E8065F">
              <w:rPr>
                <w:sz w:val="20"/>
                <w:szCs w:val="20"/>
              </w:rPr>
              <w:t>2020</w:t>
            </w:r>
          </w:p>
        </w:tc>
        <w:tc>
          <w:tcPr>
            <w:tcW w:w="1181" w:type="dxa"/>
            <w:tcBorders>
              <w:top w:val="single" w:sz="4" w:space="0" w:color="auto"/>
              <w:left w:val="single" w:sz="4" w:space="0" w:color="auto"/>
              <w:bottom w:val="single" w:sz="4" w:space="0" w:color="auto"/>
              <w:right w:val="single" w:sz="4" w:space="0" w:color="auto"/>
            </w:tcBorders>
            <w:shd w:val="clear" w:color="auto" w:fill="auto"/>
          </w:tcPr>
          <w:p w:rsidR="000E54C2" w:rsidRPr="00E8065F" w:rsidRDefault="000E54C2" w:rsidP="000546C2">
            <w:pPr>
              <w:jc w:val="center"/>
              <w:rPr>
                <w:color w:val="000000"/>
                <w:sz w:val="20"/>
                <w:szCs w:val="20"/>
              </w:rPr>
            </w:pPr>
            <w:r w:rsidRPr="00E8065F">
              <w:rPr>
                <w:color w:val="000000"/>
                <w:sz w:val="20"/>
                <w:szCs w:val="20"/>
              </w:rPr>
              <w:t>1</w:t>
            </w:r>
          </w:p>
        </w:tc>
        <w:tc>
          <w:tcPr>
            <w:tcW w:w="1478" w:type="dxa"/>
            <w:tcBorders>
              <w:top w:val="single" w:sz="4" w:space="0" w:color="auto"/>
              <w:left w:val="single" w:sz="4" w:space="0" w:color="auto"/>
              <w:bottom w:val="single" w:sz="4" w:space="0" w:color="auto"/>
              <w:right w:val="single" w:sz="4" w:space="0" w:color="auto"/>
            </w:tcBorders>
            <w:shd w:val="clear" w:color="auto" w:fill="auto"/>
          </w:tcPr>
          <w:p w:rsidR="000E54C2" w:rsidRPr="00E8065F" w:rsidRDefault="000E54C2" w:rsidP="000546C2">
            <w:pPr>
              <w:jc w:val="center"/>
              <w:rPr>
                <w:color w:val="000000"/>
                <w:sz w:val="20"/>
                <w:szCs w:val="20"/>
              </w:rPr>
            </w:pPr>
            <w:r w:rsidRPr="00E8065F">
              <w:rPr>
                <w:color w:val="000000"/>
                <w:sz w:val="20"/>
                <w:szCs w:val="20"/>
              </w:rPr>
              <w:t>26</w:t>
            </w:r>
          </w:p>
        </w:tc>
        <w:tc>
          <w:tcPr>
            <w:tcW w:w="1111" w:type="dxa"/>
            <w:tcBorders>
              <w:top w:val="single" w:sz="4" w:space="0" w:color="auto"/>
              <w:left w:val="single" w:sz="4" w:space="0" w:color="auto"/>
              <w:bottom w:val="single" w:sz="4" w:space="0" w:color="auto"/>
              <w:right w:val="single" w:sz="4" w:space="0" w:color="auto"/>
            </w:tcBorders>
            <w:shd w:val="clear" w:color="auto" w:fill="auto"/>
          </w:tcPr>
          <w:p w:rsidR="000E54C2" w:rsidRPr="00E8065F" w:rsidRDefault="000E54C2" w:rsidP="000546C2">
            <w:pPr>
              <w:jc w:val="center"/>
              <w:rPr>
                <w:color w:val="000000"/>
                <w:sz w:val="20"/>
                <w:szCs w:val="20"/>
              </w:rPr>
            </w:pPr>
            <w:r w:rsidRPr="00E8065F">
              <w:rPr>
                <w:color w:val="000000"/>
                <w:sz w:val="20"/>
                <w:szCs w:val="20"/>
              </w:rPr>
              <w:t>2</w:t>
            </w:r>
          </w:p>
        </w:tc>
        <w:tc>
          <w:tcPr>
            <w:tcW w:w="1944" w:type="dxa"/>
            <w:tcBorders>
              <w:top w:val="single" w:sz="4" w:space="0" w:color="auto"/>
              <w:left w:val="single" w:sz="4" w:space="0" w:color="auto"/>
              <w:bottom w:val="single" w:sz="4" w:space="0" w:color="auto"/>
              <w:right w:val="single" w:sz="4" w:space="0" w:color="auto"/>
            </w:tcBorders>
            <w:shd w:val="clear" w:color="auto" w:fill="auto"/>
          </w:tcPr>
          <w:p w:rsidR="000E54C2" w:rsidRPr="00E8065F" w:rsidRDefault="000E54C2" w:rsidP="00BA1432">
            <w:pPr>
              <w:jc w:val="center"/>
              <w:rPr>
                <w:color w:val="000000"/>
                <w:sz w:val="20"/>
                <w:szCs w:val="20"/>
              </w:rPr>
            </w:pPr>
            <w:r w:rsidRPr="00E8065F">
              <w:rPr>
                <w:color w:val="000000"/>
                <w:sz w:val="20"/>
                <w:szCs w:val="20"/>
              </w:rPr>
              <w:t>Амбулаторное/стационарное</w:t>
            </w:r>
          </w:p>
        </w:tc>
      </w:tr>
      <w:tr w:rsidR="00BA1432" w:rsidRPr="00E8065F" w:rsidTr="000546C2">
        <w:trPr>
          <w:trHeight w:val="20"/>
        </w:trPr>
        <w:tc>
          <w:tcPr>
            <w:tcW w:w="1555" w:type="dxa"/>
            <w:vMerge/>
          </w:tcPr>
          <w:p w:rsidR="000E54C2" w:rsidRPr="00E8065F" w:rsidRDefault="000E54C2" w:rsidP="00BA1432">
            <w:pPr>
              <w:rPr>
                <w:sz w:val="20"/>
                <w:szCs w:val="20"/>
              </w:rPr>
            </w:pPr>
          </w:p>
        </w:tc>
        <w:tc>
          <w:tcPr>
            <w:tcW w:w="3685" w:type="dxa"/>
            <w:tcBorders>
              <w:top w:val="nil"/>
              <w:left w:val="single" w:sz="4" w:space="0" w:color="auto"/>
              <w:bottom w:val="single" w:sz="4" w:space="0" w:color="auto"/>
              <w:right w:val="single" w:sz="4" w:space="0" w:color="auto"/>
            </w:tcBorders>
            <w:shd w:val="clear" w:color="auto" w:fill="auto"/>
          </w:tcPr>
          <w:p w:rsidR="000E54C2" w:rsidRPr="00E8065F" w:rsidRDefault="000E54C2" w:rsidP="00DC0475">
            <w:pPr>
              <w:jc w:val="both"/>
              <w:rPr>
                <w:color w:val="000000"/>
                <w:sz w:val="20"/>
                <w:szCs w:val="20"/>
              </w:rPr>
            </w:pPr>
            <w:r w:rsidRPr="00E8065F">
              <w:rPr>
                <w:color w:val="000000"/>
                <w:sz w:val="20"/>
                <w:szCs w:val="20"/>
              </w:rPr>
              <w:t xml:space="preserve">ГАУЗ </w:t>
            </w:r>
            <w:r w:rsidR="002F7358">
              <w:rPr>
                <w:color w:val="000000"/>
                <w:sz w:val="20"/>
                <w:szCs w:val="20"/>
              </w:rPr>
              <w:t>«</w:t>
            </w:r>
            <w:r w:rsidRPr="00E8065F">
              <w:rPr>
                <w:color w:val="000000"/>
                <w:sz w:val="20"/>
                <w:szCs w:val="20"/>
              </w:rPr>
              <w:t>Тюлячинская ЦРБ</w:t>
            </w:r>
            <w:r w:rsidR="002F7358">
              <w:rPr>
                <w:color w:val="000000"/>
                <w:sz w:val="20"/>
                <w:szCs w:val="20"/>
              </w:rPr>
              <w:t>»</w:t>
            </w:r>
          </w:p>
        </w:tc>
        <w:tc>
          <w:tcPr>
            <w:tcW w:w="1994" w:type="dxa"/>
            <w:tcBorders>
              <w:top w:val="nil"/>
              <w:left w:val="single" w:sz="4" w:space="0" w:color="auto"/>
              <w:bottom w:val="single" w:sz="4" w:space="0" w:color="auto"/>
              <w:right w:val="single" w:sz="4" w:space="0" w:color="auto"/>
            </w:tcBorders>
            <w:shd w:val="clear" w:color="auto" w:fill="auto"/>
          </w:tcPr>
          <w:p w:rsidR="000E54C2" w:rsidRPr="00E8065F" w:rsidRDefault="000E54C2" w:rsidP="00BA1432">
            <w:pPr>
              <w:jc w:val="center"/>
              <w:rPr>
                <w:color w:val="000000"/>
                <w:sz w:val="20"/>
                <w:szCs w:val="20"/>
              </w:rPr>
            </w:pPr>
            <w:r w:rsidRPr="00E8065F">
              <w:rPr>
                <w:color w:val="000000"/>
                <w:sz w:val="20"/>
                <w:szCs w:val="20"/>
              </w:rPr>
              <w:t>Рентгенодиагностические аппараты</w:t>
            </w:r>
          </w:p>
        </w:tc>
        <w:tc>
          <w:tcPr>
            <w:tcW w:w="1181" w:type="dxa"/>
            <w:shd w:val="clear" w:color="auto" w:fill="auto"/>
          </w:tcPr>
          <w:p w:rsidR="00B96806" w:rsidRPr="00E8065F" w:rsidRDefault="000E54C2" w:rsidP="00B96806">
            <w:pPr>
              <w:jc w:val="center"/>
              <w:rPr>
                <w:sz w:val="20"/>
                <w:szCs w:val="20"/>
              </w:rPr>
            </w:pPr>
            <w:r w:rsidRPr="00E8065F">
              <w:rPr>
                <w:sz w:val="20"/>
                <w:szCs w:val="20"/>
              </w:rPr>
              <w:t>2006</w:t>
            </w:r>
            <w:r w:rsidR="00AA5FB3">
              <w:rPr>
                <w:sz w:val="20"/>
                <w:szCs w:val="20"/>
              </w:rPr>
              <w:t xml:space="preserve"> </w:t>
            </w:r>
            <w:r w:rsidR="00B96806">
              <w:rPr>
                <w:sz w:val="20"/>
                <w:szCs w:val="20"/>
              </w:rPr>
              <w:t>(1)</w:t>
            </w:r>
          </w:p>
          <w:p w:rsidR="000E54C2" w:rsidRPr="00E8065F" w:rsidRDefault="000E54C2" w:rsidP="00B96806">
            <w:pPr>
              <w:jc w:val="center"/>
              <w:rPr>
                <w:sz w:val="20"/>
                <w:szCs w:val="20"/>
              </w:rPr>
            </w:pPr>
            <w:r w:rsidRPr="00E8065F">
              <w:rPr>
                <w:sz w:val="20"/>
                <w:szCs w:val="20"/>
              </w:rPr>
              <w:t>2022</w:t>
            </w:r>
            <w:r w:rsidR="00AA5FB3">
              <w:rPr>
                <w:sz w:val="20"/>
                <w:szCs w:val="20"/>
              </w:rPr>
              <w:t xml:space="preserve"> </w:t>
            </w:r>
            <w:r w:rsidR="00B96806">
              <w:rPr>
                <w:sz w:val="20"/>
                <w:szCs w:val="20"/>
              </w:rPr>
              <w:t>(1)</w:t>
            </w:r>
          </w:p>
        </w:tc>
        <w:tc>
          <w:tcPr>
            <w:tcW w:w="1181" w:type="dxa"/>
            <w:tcBorders>
              <w:top w:val="nil"/>
              <w:left w:val="single" w:sz="4" w:space="0" w:color="auto"/>
              <w:bottom w:val="single" w:sz="4" w:space="0" w:color="auto"/>
              <w:right w:val="single" w:sz="4" w:space="0" w:color="auto"/>
            </w:tcBorders>
            <w:shd w:val="clear" w:color="auto" w:fill="auto"/>
          </w:tcPr>
          <w:p w:rsidR="000E54C2" w:rsidRPr="00E8065F" w:rsidRDefault="000E54C2" w:rsidP="000546C2">
            <w:pPr>
              <w:jc w:val="center"/>
              <w:rPr>
                <w:color w:val="000000"/>
                <w:sz w:val="20"/>
                <w:szCs w:val="20"/>
              </w:rPr>
            </w:pPr>
            <w:r w:rsidRPr="00E8065F">
              <w:rPr>
                <w:color w:val="000000"/>
                <w:sz w:val="20"/>
                <w:szCs w:val="20"/>
              </w:rPr>
              <w:t>2</w:t>
            </w:r>
          </w:p>
        </w:tc>
        <w:tc>
          <w:tcPr>
            <w:tcW w:w="1478" w:type="dxa"/>
            <w:tcBorders>
              <w:top w:val="nil"/>
              <w:left w:val="single" w:sz="4" w:space="0" w:color="auto"/>
              <w:bottom w:val="single" w:sz="4" w:space="0" w:color="auto"/>
              <w:right w:val="single" w:sz="4" w:space="0" w:color="auto"/>
            </w:tcBorders>
            <w:shd w:val="clear" w:color="auto" w:fill="auto"/>
          </w:tcPr>
          <w:p w:rsidR="000E54C2" w:rsidRPr="00E8065F" w:rsidRDefault="000E54C2" w:rsidP="000546C2">
            <w:pPr>
              <w:jc w:val="center"/>
              <w:rPr>
                <w:color w:val="000000"/>
                <w:sz w:val="20"/>
                <w:szCs w:val="20"/>
              </w:rPr>
            </w:pPr>
            <w:r w:rsidRPr="00E8065F">
              <w:rPr>
                <w:color w:val="000000"/>
                <w:sz w:val="20"/>
                <w:szCs w:val="20"/>
              </w:rPr>
              <w:t>21</w:t>
            </w:r>
          </w:p>
        </w:tc>
        <w:tc>
          <w:tcPr>
            <w:tcW w:w="1111" w:type="dxa"/>
            <w:tcBorders>
              <w:top w:val="nil"/>
              <w:left w:val="single" w:sz="4" w:space="0" w:color="auto"/>
              <w:bottom w:val="single" w:sz="4" w:space="0" w:color="auto"/>
              <w:right w:val="single" w:sz="4" w:space="0" w:color="auto"/>
            </w:tcBorders>
            <w:shd w:val="clear" w:color="auto" w:fill="auto"/>
          </w:tcPr>
          <w:p w:rsidR="000E54C2" w:rsidRPr="00E8065F" w:rsidRDefault="000E54C2" w:rsidP="000546C2">
            <w:pPr>
              <w:jc w:val="center"/>
              <w:rPr>
                <w:color w:val="000000"/>
                <w:sz w:val="20"/>
                <w:szCs w:val="20"/>
              </w:rPr>
            </w:pPr>
            <w:r w:rsidRPr="00E8065F">
              <w:rPr>
                <w:color w:val="000000"/>
                <w:sz w:val="20"/>
                <w:szCs w:val="20"/>
              </w:rPr>
              <w:t>2</w:t>
            </w:r>
          </w:p>
        </w:tc>
        <w:tc>
          <w:tcPr>
            <w:tcW w:w="1944" w:type="dxa"/>
            <w:tcBorders>
              <w:top w:val="nil"/>
              <w:left w:val="single" w:sz="4" w:space="0" w:color="auto"/>
              <w:bottom w:val="single" w:sz="4" w:space="0" w:color="auto"/>
              <w:right w:val="single" w:sz="4" w:space="0" w:color="auto"/>
            </w:tcBorders>
            <w:shd w:val="clear" w:color="auto" w:fill="auto"/>
          </w:tcPr>
          <w:p w:rsidR="000E54C2" w:rsidRPr="00E8065F" w:rsidRDefault="000E54C2" w:rsidP="00BA1432">
            <w:pPr>
              <w:jc w:val="center"/>
              <w:rPr>
                <w:color w:val="000000"/>
                <w:sz w:val="20"/>
                <w:szCs w:val="20"/>
              </w:rPr>
            </w:pPr>
            <w:r w:rsidRPr="00E8065F">
              <w:rPr>
                <w:color w:val="000000"/>
                <w:sz w:val="20"/>
                <w:szCs w:val="20"/>
              </w:rPr>
              <w:t>Амбулаторное/стационарное</w:t>
            </w:r>
          </w:p>
        </w:tc>
      </w:tr>
      <w:tr w:rsidR="00BA1432" w:rsidRPr="00E8065F" w:rsidTr="000546C2">
        <w:trPr>
          <w:trHeight w:val="20"/>
        </w:trPr>
        <w:tc>
          <w:tcPr>
            <w:tcW w:w="1555" w:type="dxa"/>
            <w:vMerge/>
          </w:tcPr>
          <w:p w:rsidR="000E54C2" w:rsidRPr="00E8065F" w:rsidRDefault="000E54C2" w:rsidP="00BA1432">
            <w:pPr>
              <w:rPr>
                <w:sz w:val="20"/>
                <w:szCs w:val="20"/>
              </w:rPr>
            </w:pPr>
          </w:p>
        </w:tc>
        <w:tc>
          <w:tcPr>
            <w:tcW w:w="3685" w:type="dxa"/>
            <w:tcBorders>
              <w:top w:val="nil"/>
              <w:left w:val="single" w:sz="4" w:space="0" w:color="auto"/>
              <w:bottom w:val="single" w:sz="4" w:space="0" w:color="auto"/>
              <w:right w:val="single" w:sz="4" w:space="0" w:color="auto"/>
            </w:tcBorders>
            <w:shd w:val="clear" w:color="auto" w:fill="auto"/>
          </w:tcPr>
          <w:p w:rsidR="000E54C2" w:rsidRPr="00E8065F" w:rsidRDefault="000E54C2" w:rsidP="00DC0475">
            <w:pPr>
              <w:jc w:val="both"/>
              <w:rPr>
                <w:color w:val="000000"/>
                <w:sz w:val="20"/>
                <w:szCs w:val="20"/>
              </w:rPr>
            </w:pPr>
            <w:r w:rsidRPr="00E8065F">
              <w:rPr>
                <w:color w:val="000000"/>
                <w:sz w:val="20"/>
                <w:szCs w:val="20"/>
              </w:rPr>
              <w:t xml:space="preserve">ГАУЗ </w:t>
            </w:r>
            <w:r w:rsidR="002F7358">
              <w:rPr>
                <w:color w:val="000000"/>
                <w:sz w:val="20"/>
                <w:szCs w:val="20"/>
              </w:rPr>
              <w:t>«</w:t>
            </w:r>
            <w:r w:rsidRPr="00E8065F">
              <w:rPr>
                <w:color w:val="000000"/>
                <w:sz w:val="20"/>
                <w:szCs w:val="20"/>
              </w:rPr>
              <w:t>Черемшанская ЦРБ</w:t>
            </w:r>
            <w:r w:rsidR="002F7358">
              <w:rPr>
                <w:color w:val="000000"/>
                <w:sz w:val="20"/>
                <w:szCs w:val="20"/>
              </w:rPr>
              <w:t>»</w:t>
            </w:r>
          </w:p>
        </w:tc>
        <w:tc>
          <w:tcPr>
            <w:tcW w:w="1994" w:type="dxa"/>
            <w:tcBorders>
              <w:top w:val="nil"/>
              <w:left w:val="single" w:sz="4" w:space="0" w:color="auto"/>
              <w:bottom w:val="single" w:sz="4" w:space="0" w:color="auto"/>
              <w:right w:val="single" w:sz="4" w:space="0" w:color="auto"/>
            </w:tcBorders>
            <w:shd w:val="clear" w:color="auto" w:fill="auto"/>
          </w:tcPr>
          <w:p w:rsidR="000E54C2" w:rsidRPr="00E8065F" w:rsidRDefault="000E54C2" w:rsidP="00BA1432">
            <w:pPr>
              <w:jc w:val="center"/>
              <w:rPr>
                <w:color w:val="000000"/>
                <w:sz w:val="20"/>
                <w:szCs w:val="20"/>
              </w:rPr>
            </w:pPr>
            <w:r w:rsidRPr="00E8065F">
              <w:rPr>
                <w:color w:val="000000"/>
                <w:sz w:val="20"/>
                <w:szCs w:val="20"/>
              </w:rPr>
              <w:t>Рентгенодиагностические аппараты</w:t>
            </w:r>
          </w:p>
        </w:tc>
        <w:tc>
          <w:tcPr>
            <w:tcW w:w="1181" w:type="dxa"/>
            <w:shd w:val="clear" w:color="auto" w:fill="auto"/>
          </w:tcPr>
          <w:p w:rsidR="000E54C2" w:rsidRPr="00E8065F" w:rsidRDefault="000E54C2" w:rsidP="000546C2">
            <w:pPr>
              <w:jc w:val="center"/>
              <w:rPr>
                <w:sz w:val="20"/>
                <w:szCs w:val="20"/>
              </w:rPr>
            </w:pPr>
            <w:r w:rsidRPr="00E8065F">
              <w:rPr>
                <w:sz w:val="20"/>
                <w:szCs w:val="20"/>
              </w:rPr>
              <w:t>2023</w:t>
            </w:r>
          </w:p>
        </w:tc>
        <w:tc>
          <w:tcPr>
            <w:tcW w:w="1181" w:type="dxa"/>
            <w:tcBorders>
              <w:top w:val="nil"/>
              <w:left w:val="single" w:sz="4" w:space="0" w:color="auto"/>
              <w:bottom w:val="single" w:sz="4" w:space="0" w:color="auto"/>
              <w:right w:val="single" w:sz="4" w:space="0" w:color="auto"/>
            </w:tcBorders>
            <w:shd w:val="clear" w:color="auto" w:fill="auto"/>
          </w:tcPr>
          <w:p w:rsidR="000E54C2" w:rsidRPr="00E8065F" w:rsidRDefault="000E54C2" w:rsidP="000546C2">
            <w:pPr>
              <w:jc w:val="center"/>
              <w:rPr>
                <w:color w:val="000000"/>
                <w:sz w:val="20"/>
                <w:szCs w:val="20"/>
              </w:rPr>
            </w:pPr>
            <w:r w:rsidRPr="00E8065F">
              <w:rPr>
                <w:color w:val="000000"/>
                <w:sz w:val="20"/>
                <w:szCs w:val="20"/>
              </w:rPr>
              <w:t>1</w:t>
            </w:r>
          </w:p>
        </w:tc>
        <w:tc>
          <w:tcPr>
            <w:tcW w:w="1478" w:type="dxa"/>
            <w:tcBorders>
              <w:top w:val="nil"/>
              <w:left w:val="single" w:sz="4" w:space="0" w:color="auto"/>
              <w:bottom w:val="single" w:sz="4" w:space="0" w:color="auto"/>
              <w:right w:val="single" w:sz="4" w:space="0" w:color="auto"/>
            </w:tcBorders>
            <w:shd w:val="clear" w:color="auto" w:fill="auto"/>
          </w:tcPr>
          <w:p w:rsidR="000E54C2" w:rsidRPr="00E8065F" w:rsidRDefault="000E54C2" w:rsidP="000546C2">
            <w:pPr>
              <w:jc w:val="center"/>
              <w:rPr>
                <w:color w:val="000000"/>
                <w:sz w:val="20"/>
                <w:szCs w:val="20"/>
              </w:rPr>
            </w:pPr>
            <w:r w:rsidRPr="00E8065F">
              <w:rPr>
                <w:color w:val="000000"/>
                <w:sz w:val="20"/>
                <w:szCs w:val="20"/>
              </w:rPr>
              <w:t>23</w:t>
            </w:r>
          </w:p>
        </w:tc>
        <w:tc>
          <w:tcPr>
            <w:tcW w:w="1111" w:type="dxa"/>
            <w:tcBorders>
              <w:top w:val="nil"/>
              <w:left w:val="single" w:sz="4" w:space="0" w:color="auto"/>
              <w:bottom w:val="single" w:sz="4" w:space="0" w:color="auto"/>
              <w:right w:val="single" w:sz="4" w:space="0" w:color="auto"/>
            </w:tcBorders>
            <w:shd w:val="clear" w:color="auto" w:fill="auto"/>
          </w:tcPr>
          <w:p w:rsidR="000E54C2" w:rsidRPr="00E8065F" w:rsidRDefault="000E54C2" w:rsidP="000546C2">
            <w:pPr>
              <w:jc w:val="center"/>
              <w:rPr>
                <w:color w:val="000000"/>
                <w:sz w:val="20"/>
                <w:szCs w:val="20"/>
              </w:rPr>
            </w:pPr>
            <w:r w:rsidRPr="00E8065F">
              <w:rPr>
                <w:color w:val="000000"/>
                <w:sz w:val="20"/>
                <w:szCs w:val="20"/>
              </w:rPr>
              <w:t>2</w:t>
            </w:r>
          </w:p>
        </w:tc>
        <w:tc>
          <w:tcPr>
            <w:tcW w:w="1944" w:type="dxa"/>
            <w:tcBorders>
              <w:top w:val="nil"/>
              <w:left w:val="single" w:sz="4" w:space="0" w:color="auto"/>
              <w:bottom w:val="single" w:sz="4" w:space="0" w:color="auto"/>
              <w:right w:val="single" w:sz="4" w:space="0" w:color="auto"/>
            </w:tcBorders>
            <w:shd w:val="clear" w:color="auto" w:fill="auto"/>
          </w:tcPr>
          <w:p w:rsidR="000E54C2" w:rsidRPr="00E8065F" w:rsidRDefault="000E54C2" w:rsidP="00BA1432">
            <w:pPr>
              <w:jc w:val="center"/>
              <w:rPr>
                <w:color w:val="000000"/>
                <w:sz w:val="20"/>
                <w:szCs w:val="20"/>
              </w:rPr>
            </w:pPr>
            <w:r w:rsidRPr="00E8065F">
              <w:rPr>
                <w:color w:val="000000"/>
                <w:sz w:val="20"/>
                <w:szCs w:val="20"/>
              </w:rPr>
              <w:t>Амбулаторное/стационарное</w:t>
            </w:r>
          </w:p>
        </w:tc>
      </w:tr>
      <w:tr w:rsidR="00BA1432" w:rsidRPr="00E8065F" w:rsidTr="000546C2">
        <w:trPr>
          <w:trHeight w:val="20"/>
        </w:trPr>
        <w:tc>
          <w:tcPr>
            <w:tcW w:w="1555" w:type="dxa"/>
            <w:vMerge/>
          </w:tcPr>
          <w:p w:rsidR="000E54C2" w:rsidRPr="00E8065F" w:rsidRDefault="000E54C2" w:rsidP="00BA1432">
            <w:pPr>
              <w:rPr>
                <w:sz w:val="20"/>
                <w:szCs w:val="20"/>
              </w:rPr>
            </w:pPr>
          </w:p>
        </w:tc>
        <w:tc>
          <w:tcPr>
            <w:tcW w:w="3685" w:type="dxa"/>
            <w:tcBorders>
              <w:top w:val="nil"/>
              <w:left w:val="single" w:sz="4" w:space="0" w:color="auto"/>
              <w:bottom w:val="single" w:sz="4" w:space="0" w:color="auto"/>
              <w:right w:val="single" w:sz="4" w:space="0" w:color="auto"/>
            </w:tcBorders>
            <w:shd w:val="clear" w:color="auto" w:fill="auto"/>
          </w:tcPr>
          <w:p w:rsidR="000E54C2" w:rsidRPr="00E8065F" w:rsidRDefault="000E54C2" w:rsidP="00DC0475">
            <w:pPr>
              <w:jc w:val="both"/>
              <w:rPr>
                <w:color w:val="000000"/>
                <w:sz w:val="20"/>
                <w:szCs w:val="20"/>
              </w:rPr>
            </w:pPr>
            <w:r w:rsidRPr="00E8065F">
              <w:rPr>
                <w:color w:val="000000"/>
                <w:sz w:val="20"/>
                <w:szCs w:val="20"/>
              </w:rPr>
              <w:t xml:space="preserve">ГАУЗ </w:t>
            </w:r>
            <w:r w:rsidR="002F7358">
              <w:rPr>
                <w:color w:val="000000"/>
                <w:sz w:val="20"/>
                <w:szCs w:val="20"/>
              </w:rPr>
              <w:t>«</w:t>
            </w:r>
            <w:r w:rsidRPr="00E8065F">
              <w:rPr>
                <w:color w:val="000000"/>
                <w:sz w:val="20"/>
                <w:szCs w:val="20"/>
              </w:rPr>
              <w:t>Чистопольская ЦРБ</w:t>
            </w:r>
            <w:r w:rsidR="002F7358">
              <w:rPr>
                <w:color w:val="000000"/>
                <w:sz w:val="20"/>
                <w:szCs w:val="20"/>
              </w:rPr>
              <w:t>»</w:t>
            </w:r>
          </w:p>
        </w:tc>
        <w:tc>
          <w:tcPr>
            <w:tcW w:w="1994" w:type="dxa"/>
            <w:tcBorders>
              <w:top w:val="nil"/>
              <w:left w:val="single" w:sz="4" w:space="0" w:color="auto"/>
              <w:bottom w:val="single" w:sz="4" w:space="0" w:color="auto"/>
              <w:right w:val="single" w:sz="4" w:space="0" w:color="auto"/>
            </w:tcBorders>
            <w:shd w:val="clear" w:color="auto" w:fill="auto"/>
          </w:tcPr>
          <w:p w:rsidR="000E54C2" w:rsidRPr="00E8065F" w:rsidRDefault="000E54C2" w:rsidP="00BA1432">
            <w:pPr>
              <w:jc w:val="center"/>
              <w:rPr>
                <w:color w:val="000000"/>
                <w:sz w:val="20"/>
                <w:szCs w:val="20"/>
              </w:rPr>
            </w:pPr>
            <w:r w:rsidRPr="00E8065F">
              <w:rPr>
                <w:color w:val="000000"/>
                <w:sz w:val="20"/>
                <w:szCs w:val="20"/>
              </w:rPr>
              <w:t>Рентгенодиагностические аппараты</w:t>
            </w:r>
          </w:p>
        </w:tc>
        <w:tc>
          <w:tcPr>
            <w:tcW w:w="1181" w:type="dxa"/>
            <w:shd w:val="clear" w:color="auto" w:fill="auto"/>
          </w:tcPr>
          <w:p w:rsidR="000E54C2" w:rsidRPr="00E8065F" w:rsidRDefault="000E54C2" w:rsidP="000546C2">
            <w:pPr>
              <w:jc w:val="center"/>
              <w:rPr>
                <w:sz w:val="20"/>
                <w:szCs w:val="20"/>
              </w:rPr>
            </w:pPr>
            <w:r w:rsidRPr="00E8065F">
              <w:rPr>
                <w:sz w:val="20"/>
                <w:szCs w:val="20"/>
              </w:rPr>
              <w:t>2004</w:t>
            </w:r>
            <w:r w:rsidR="00AA5FB3">
              <w:rPr>
                <w:sz w:val="20"/>
                <w:szCs w:val="20"/>
              </w:rPr>
              <w:t xml:space="preserve"> </w:t>
            </w:r>
            <w:r w:rsidR="00B96806">
              <w:rPr>
                <w:sz w:val="20"/>
                <w:szCs w:val="20"/>
              </w:rPr>
              <w:t>(1)</w:t>
            </w:r>
          </w:p>
          <w:p w:rsidR="00B96806" w:rsidRPr="00E8065F" w:rsidRDefault="000E54C2" w:rsidP="00B96806">
            <w:pPr>
              <w:jc w:val="center"/>
              <w:rPr>
                <w:sz w:val="20"/>
                <w:szCs w:val="20"/>
              </w:rPr>
            </w:pPr>
            <w:r w:rsidRPr="00E8065F">
              <w:rPr>
                <w:sz w:val="20"/>
                <w:szCs w:val="20"/>
              </w:rPr>
              <w:t>2012</w:t>
            </w:r>
            <w:r w:rsidR="00AA5FB3">
              <w:rPr>
                <w:sz w:val="20"/>
                <w:szCs w:val="20"/>
              </w:rPr>
              <w:t xml:space="preserve"> </w:t>
            </w:r>
            <w:r w:rsidR="00B96806">
              <w:rPr>
                <w:sz w:val="20"/>
                <w:szCs w:val="20"/>
              </w:rPr>
              <w:t>(1)</w:t>
            </w:r>
          </w:p>
          <w:p w:rsidR="00B96806" w:rsidRPr="00E8065F" w:rsidRDefault="000E54C2" w:rsidP="00B96806">
            <w:pPr>
              <w:jc w:val="center"/>
              <w:rPr>
                <w:sz w:val="20"/>
                <w:szCs w:val="20"/>
              </w:rPr>
            </w:pPr>
            <w:r w:rsidRPr="00E8065F">
              <w:rPr>
                <w:sz w:val="20"/>
                <w:szCs w:val="20"/>
              </w:rPr>
              <w:t>2019</w:t>
            </w:r>
            <w:r w:rsidR="00AA5FB3">
              <w:rPr>
                <w:sz w:val="20"/>
                <w:szCs w:val="20"/>
              </w:rPr>
              <w:t xml:space="preserve"> </w:t>
            </w:r>
            <w:r w:rsidR="00B96806">
              <w:rPr>
                <w:sz w:val="20"/>
                <w:szCs w:val="20"/>
              </w:rPr>
              <w:t>(1)</w:t>
            </w:r>
          </w:p>
          <w:p w:rsidR="000E54C2" w:rsidRPr="00E8065F" w:rsidRDefault="000E54C2" w:rsidP="00B96806">
            <w:pPr>
              <w:jc w:val="center"/>
              <w:rPr>
                <w:sz w:val="20"/>
                <w:szCs w:val="20"/>
              </w:rPr>
            </w:pPr>
            <w:r w:rsidRPr="00E8065F">
              <w:rPr>
                <w:sz w:val="20"/>
                <w:szCs w:val="20"/>
              </w:rPr>
              <w:t>2021</w:t>
            </w:r>
            <w:r w:rsidR="00AA5FB3">
              <w:rPr>
                <w:sz w:val="20"/>
                <w:szCs w:val="20"/>
              </w:rPr>
              <w:t xml:space="preserve"> </w:t>
            </w:r>
            <w:r w:rsidR="00B96806">
              <w:rPr>
                <w:sz w:val="20"/>
                <w:szCs w:val="20"/>
              </w:rPr>
              <w:t>(1)</w:t>
            </w:r>
          </w:p>
        </w:tc>
        <w:tc>
          <w:tcPr>
            <w:tcW w:w="1181" w:type="dxa"/>
            <w:tcBorders>
              <w:top w:val="nil"/>
              <w:left w:val="single" w:sz="4" w:space="0" w:color="auto"/>
              <w:bottom w:val="single" w:sz="4" w:space="0" w:color="auto"/>
              <w:right w:val="single" w:sz="4" w:space="0" w:color="auto"/>
            </w:tcBorders>
            <w:shd w:val="clear" w:color="auto" w:fill="auto"/>
          </w:tcPr>
          <w:p w:rsidR="000E54C2" w:rsidRPr="00E8065F" w:rsidRDefault="000E54C2" w:rsidP="000546C2">
            <w:pPr>
              <w:jc w:val="center"/>
              <w:rPr>
                <w:color w:val="000000"/>
                <w:sz w:val="20"/>
                <w:szCs w:val="20"/>
              </w:rPr>
            </w:pPr>
            <w:r w:rsidRPr="00E8065F">
              <w:rPr>
                <w:color w:val="000000"/>
                <w:sz w:val="20"/>
                <w:szCs w:val="20"/>
              </w:rPr>
              <w:t>4</w:t>
            </w:r>
          </w:p>
        </w:tc>
        <w:tc>
          <w:tcPr>
            <w:tcW w:w="1478" w:type="dxa"/>
            <w:tcBorders>
              <w:top w:val="nil"/>
              <w:left w:val="single" w:sz="4" w:space="0" w:color="auto"/>
              <w:bottom w:val="single" w:sz="4" w:space="0" w:color="auto"/>
              <w:right w:val="single" w:sz="4" w:space="0" w:color="auto"/>
            </w:tcBorders>
            <w:shd w:val="clear" w:color="auto" w:fill="auto"/>
          </w:tcPr>
          <w:p w:rsidR="000E54C2" w:rsidRPr="00E8065F" w:rsidRDefault="000E54C2" w:rsidP="000546C2">
            <w:pPr>
              <w:jc w:val="center"/>
              <w:rPr>
                <w:color w:val="000000"/>
                <w:sz w:val="20"/>
                <w:szCs w:val="20"/>
              </w:rPr>
            </w:pPr>
            <w:r w:rsidRPr="00E8065F">
              <w:rPr>
                <w:color w:val="000000"/>
                <w:sz w:val="20"/>
                <w:szCs w:val="20"/>
              </w:rPr>
              <w:t>122</w:t>
            </w:r>
          </w:p>
        </w:tc>
        <w:tc>
          <w:tcPr>
            <w:tcW w:w="1111" w:type="dxa"/>
            <w:tcBorders>
              <w:top w:val="nil"/>
              <w:left w:val="single" w:sz="4" w:space="0" w:color="auto"/>
              <w:bottom w:val="single" w:sz="4" w:space="0" w:color="auto"/>
              <w:right w:val="single" w:sz="4" w:space="0" w:color="auto"/>
            </w:tcBorders>
            <w:shd w:val="clear" w:color="auto" w:fill="auto"/>
          </w:tcPr>
          <w:p w:rsidR="000E54C2" w:rsidRPr="00E8065F" w:rsidRDefault="000E54C2" w:rsidP="000546C2">
            <w:pPr>
              <w:jc w:val="center"/>
              <w:rPr>
                <w:color w:val="000000"/>
                <w:sz w:val="20"/>
                <w:szCs w:val="20"/>
              </w:rPr>
            </w:pPr>
            <w:r w:rsidRPr="00E8065F">
              <w:rPr>
                <w:color w:val="000000"/>
                <w:sz w:val="20"/>
                <w:szCs w:val="20"/>
              </w:rPr>
              <w:t>2</w:t>
            </w:r>
          </w:p>
        </w:tc>
        <w:tc>
          <w:tcPr>
            <w:tcW w:w="1944" w:type="dxa"/>
            <w:tcBorders>
              <w:top w:val="nil"/>
              <w:left w:val="single" w:sz="4" w:space="0" w:color="auto"/>
              <w:bottom w:val="single" w:sz="4" w:space="0" w:color="auto"/>
              <w:right w:val="single" w:sz="4" w:space="0" w:color="auto"/>
            </w:tcBorders>
            <w:shd w:val="clear" w:color="auto" w:fill="auto"/>
          </w:tcPr>
          <w:p w:rsidR="000E54C2" w:rsidRPr="00E8065F" w:rsidRDefault="000E54C2" w:rsidP="00BA1432">
            <w:pPr>
              <w:jc w:val="center"/>
              <w:rPr>
                <w:color w:val="000000"/>
                <w:sz w:val="20"/>
                <w:szCs w:val="20"/>
              </w:rPr>
            </w:pPr>
            <w:r w:rsidRPr="00E8065F">
              <w:rPr>
                <w:color w:val="000000"/>
                <w:sz w:val="20"/>
                <w:szCs w:val="20"/>
              </w:rPr>
              <w:t>Амбулаторное/стационарное</w:t>
            </w:r>
          </w:p>
        </w:tc>
      </w:tr>
      <w:tr w:rsidR="00BA1432" w:rsidRPr="00E8065F" w:rsidTr="000546C2">
        <w:trPr>
          <w:trHeight w:val="20"/>
        </w:trPr>
        <w:tc>
          <w:tcPr>
            <w:tcW w:w="1555" w:type="dxa"/>
            <w:vMerge/>
          </w:tcPr>
          <w:p w:rsidR="000E54C2" w:rsidRPr="00E8065F" w:rsidRDefault="000E54C2" w:rsidP="00BA1432">
            <w:pPr>
              <w:rPr>
                <w:sz w:val="20"/>
                <w:szCs w:val="20"/>
              </w:rPr>
            </w:pPr>
          </w:p>
        </w:tc>
        <w:tc>
          <w:tcPr>
            <w:tcW w:w="3685" w:type="dxa"/>
            <w:tcBorders>
              <w:top w:val="nil"/>
              <w:left w:val="single" w:sz="4" w:space="0" w:color="auto"/>
              <w:bottom w:val="single" w:sz="4" w:space="0" w:color="auto"/>
              <w:right w:val="single" w:sz="4" w:space="0" w:color="auto"/>
            </w:tcBorders>
            <w:shd w:val="clear" w:color="auto" w:fill="auto"/>
          </w:tcPr>
          <w:p w:rsidR="000E54C2" w:rsidRPr="00E8065F" w:rsidRDefault="000E54C2" w:rsidP="00DC0475">
            <w:pPr>
              <w:jc w:val="both"/>
              <w:rPr>
                <w:color w:val="000000"/>
                <w:sz w:val="20"/>
                <w:szCs w:val="20"/>
              </w:rPr>
            </w:pPr>
            <w:r w:rsidRPr="00E8065F">
              <w:rPr>
                <w:color w:val="000000"/>
                <w:sz w:val="20"/>
                <w:szCs w:val="20"/>
              </w:rPr>
              <w:t xml:space="preserve">ГАУЗ </w:t>
            </w:r>
            <w:r w:rsidR="002F7358">
              <w:rPr>
                <w:color w:val="000000"/>
                <w:sz w:val="20"/>
                <w:szCs w:val="20"/>
              </w:rPr>
              <w:t>«</w:t>
            </w:r>
            <w:r w:rsidRPr="00E8065F">
              <w:rPr>
                <w:color w:val="000000"/>
                <w:sz w:val="20"/>
                <w:szCs w:val="20"/>
              </w:rPr>
              <w:t>Уруссинская ЦРБ</w:t>
            </w:r>
            <w:r w:rsidR="002F7358">
              <w:rPr>
                <w:color w:val="000000"/>
                <w:sz w:val="20"/>
                <w:szCs w:val="20"/>
              </w:rPr>
              <w:t>»</w:t>
            </w:r>
          </w:p>
        </w:tc>
        <w:tc>
          <w:tcPr>
            <w:tcW w:w="1994" w:type="dxa"/>
            <w:tcBorders>
              <w:top w:val="nil"/>
              <w:left w:val="single" w:sz="4" w:space="0" w:color="auto"/>
              <w:bottom w:val="single" w:sz="4" w:space="0" w:color="auto"/>
              <w:right w:val="single" w:sz="4" w:space="0" w:color="auto"/>
            </w:tcBorders>
            <w:shd w:val="clear" w:color="auto" w:fill="auto"/>
          </w:tcPr>
          <w:p w:rsidR="000E54C2" w:rsidRPr="00E8065F" w:rsidRDefault="000E54C2" w:rsidP="00BA1432">
            <w:pPr>
              <w:jc w:val="center"/>
              <w:rPr>
                <w:color w:val="000000"/>
                <w:sz w:val="20"/>
                <w:szCs w:val="20"/>
              </w:rPr>
            </w:pPr>
            <w:r w:rsidRPr="00E8065F">
              <w:rPr>
                <w:color w:val="000000"/>
                <w:sz w:val="20"/>
                <w:szCs w:val="20"/>
              </w:rPr>
              <w:t>Рентгенодиагностические аппараты</w:t>
            </w:r>
          </w:p>
        </w:tc>
        <w:tc>
          <w:tcPr>
            <w:tcW w:w="1181" w:type="dxa"/>
            <w:shd w:val="clear" w:color="auto" w:fill="auto"/>
          </w:tcPr>
          <w:p w:rsidR="00B96806" w:rsidRPr="00E8065F" w:rsidRDefault="000E54C2" w:rsidP="00B96806">
            <w:pPr>
              <w:jc w:val="center"/>
              <w:rPr>
                <w:sz w:val="20"/>
                <w:szCs w:val="20"/>
              </w:rPr>
            </w:pPr>
            <w:r w:rsidRPr="00E8065F">
              <w:rPr>
                <w:sz w:val="20"/>
                <w:szCs w:val="20"/>
              </w:rPr>
              <w:t>2022</w:t>
            </w:r>
            <w:r w:rsidR="00AA5FB3">
              <w:rPr>
                <w:sz w:val="20"/>
                <w:szCs w:val="20"/>
              </w:rPr>
              <w:t xml:space="preserve"> </w:t>
            </w:r>
            <w:r w:rsidR="00B96806">
              <w:rPr>
                <w:sz w:val="20"/>
                <w:szCs w:val="20"/>
              </w:rPr>
              <w:t>(1)</w:t>
            </w:r>
          </w:p>
          <w:p w:rsidR="000E54C2" w:rsidRPr="00E8065F" w:rsidRDefault="000E54C2" w:rsidP="000546C2">
            <w:pPr>
              <w:jc w:val="center"/>
              <w:rPr>
                <w:sz w:val="20"/>
                <w:szCs w:val="20"/>
              </w:rPr>
            </w:pPr>
          </w:p>
        </w:tc>
        <w:tc>
          <w:tcPr>
            <w:tcW w:w="1181" w:type="dxa"/>
            <w:tcBorders>
              <w:top w:val="nil"/>
              <w:left w:val="single" w:sz="4" w:space="0" w:color="auto"/>
              <w:bottom w:val="single" w:sz="4" w:space="0" w:color="auto"/>
              <w:right w:val="single" w:sz="4" w:space="0" w:color="auto"/>
            </w:tcBorders>
            <w:shd w:val="clear" w:color="auto" w:fill="auto"/>
          </w:tcPr>
          <w:p w:rsidR="000E54C2" w:rsidRPr="00E8065F" w:rsidRDefault="000E54C2" w:rsidP="000546C2">
            <w:pPr>
              <w:jc w:val="center"/>
              <w:rPr>
                <w:color w:val="000000"/>
                <w:sz w:val="20"/>
                <w:szCs w:val="20"/>
              </w:rPr>
            </w:pPr>
            <w:r w:rsidRPr="00E8065F">
              <w:rPr>
                <w:color w:val="000000"/>
                <w:sz w:val="20"/>
                <w:szCs w:val="20"/>
              </w:rPr>
              <w:t>1</w:t>
            </w:r>
          </w:p>
        </w:tc>
        <w:tc>
          <w:tcPr>
            <w:tcW w:w="1478" w:type="dxa"/>
            <w:tcBorders>
              <w:top w:val="nil"/>
              <w:left w:val="single" w:sz="4" w:space="0" w:color="auto"/>
              <w:bottom w:val="single" w:sz="4" w:space="0" w:color="auto"/>
              <w:right w:val="single" w:sz="4" w:space="0" w:color="auto"/>
            </w:tcBorders>
            <w:shd w:val="clear" w:color="auto" w:fill="auto"/>
          </w:tcPr>
          <w:p w:rsidR="000E54C2" w:rsidRPr="00E8065F" w:rsidRDefault="000E54C2" w:rsidP="000546C2">
            <w:pPr>
              <w:jc w:val="center"/>
              <w:rPr>
                <w:color w:val="000000"/>
                <w:sz w:val="20"/>
                <w:szCs w:val="20"/>
              </w:rPr>
            </w:pPr>
            <w:r w:rsidRPr="00E8065F">
              <w:rPr>
                <w:color w:val="000000"/>
                <w:sz w:val="20"/>
                <w:szCs w:val="20"/>
              </w:rPr>
              <w:t>12</w:t>
            </w:r>
          </w:p>
        </w:tc>
        <w:tc>
          <w:tcPr>
            <w:tcW w:w="1111" w:type="dxa"/>
            <w:tcBorders>
              <w:top w:val="nil"/>
              <w:left w:val="single" w:sz="4" w:space="0" w:color="auto"/>
              <w:bottom w:val="single" w:sz="4" w:space="0" w:color="auto"/>
              <w:right w:val="single" w:sz="4" w:space="0" w:color="auto"/>
            </w:tcBorders>
            <w:shd w:val="clear" w:color="auto" w:fill="auto"/>
          </w:tcPr>
          <w:p w:rsidR="000E54C2" w:rsidRPr="00E8065F" w:rsidRDefault="000E54C2" w:rsidP="000546C2">
            <w:pPr>
              <w:jc w:val="center"/>
              <w:rPr>
                <w:color w:val="000000"/>
                <w:sz w:val="20"/>
                <w:szCs w:val="20"/>
              </w:rPr>
            </w:pPr>
            <w:r w:rsidRPr="00E8065F">
              <w:rPr>
                <w:color w:val="000000"/>
                <w:sz w:val="20"/>
                <w:szCs w:val="20"/>
              </w:rPr>
              <w:t>2</w:t>
            </w:r>
          </w:p>
        </w:tc>
        <w:tc>
          <w:tcPr>
            <w:tcW w:w="1944" w:type="dxa"/>
            <w:tcBorders>
              <w:top w:val="nil"/>
              <w:left w:val="single" w:sz="4" w:space="0" w:color="auto"/>
              <w:bottom w:val="single" w:sz="4" w:space="0" w:color="auto"/>
              <w:right w:val="single" w:sz="4" w:space="0" w:color="auto"/>
            </w:tcBorders>
            <w:shd w:val="clear" w:color="auto" w:fill="auto"/>
          </w:tcPr>
          <w:p w:rsidR="000E54C2" w:rsidRPr="00E8065F" w:rsidRDefault="000E54C2" w:rsidP="00BA1432">
            <w:pPr>
              <w:jc w:val="center"/>
              <w:rPr>
                <w:color w:val="000000"/>
                <w:sz w:val="20"/>
                <w:szCs w:val="20"/>
              </w:rPr>
            </w:pPr>
            <w:r w:rsidRPr="00E8065F">
              <w:rPr>
                <w:color w:val="000000"/>
                <w:sz w:val="20"/>
                <w:szCs w:val="20"/>
              </w:rPr>
              <w:t>Амбулаторное/стационарное</w:t>
            </w:r>
          </w:p>
        </w:tc>
      </w:tr>
      <w:tr w:rsidR="00BA1432" w:rsidRPr="00E8065F" w:rsidTr="000546C2">
        <w:trPr>
          <w:trHeight w:val="20"/>
        </w:trPr>
        <w:tc>
          <w:tcPr>
            <w:tcW w:w="1555" w:type="dxa"/>
            <w:vMerge/>
          </w:tcPr>
          <w:p w:rsidR="000E54C2" w:rsidRPr="00E8065F" w:rsidRDefault="000E54C2" w:rsidP="00BA1432">
            <w:pPr>
              <w:rPr>
                <w:sz w:val="20"/>
                <w:szCs w:val="20"/>
              </w:rPr>
            </w:pPr>
          </w:p>
        </w:tc>
        <w:tc>
          <w:tcPr>
            <w:tcW w:w="3685" w:type="dxa"/>
            <w:tcBorders>
              <w:top w:val="nil"/>
              <w:left w:val="single" w:sz="4" w:space="0" w:color="auto"/>
              <w:bottom w:val="single" w:sz="4" w:space="0" w:color="auto"/>
              <w:right w:val="single" w:sz="4" w:space="0" w:color="auto"/>
            </w:tcBorders>
            <w:shd w:val="clear" w:color="auto" w:fill="auto"/>
          </w:tcPr>
          <w:p w:rsidR="000E54C2" w:rsidRPr="00E8065F" w:rsidRDefault="000E54C2" w:rsidP="00DC0475">
            <w:pPr>
              <w:jc w:val="both"/>
              <w:rPr>
                <w:color w:val="000000"/>
                <w:sz w:val="20"/>
                <w:szCs w:val="20"/>
              </w:rPr>
            </w:pPr>
            <w:r>
              <w:rPr>
                <w:color w:val="000000"/>
                <w:sz w:val="20"/>
                <w:szCs w:val="20"/>
              </w:rPr>
              <w:t xml:space="preserve">ГАУЗ </w:t>
            </w:r>
            <w:r w:rsidR="002F7358">
              <w:rPr>
                <w:color w:val="000000"/>
                <w:sz w:val="20"/>
                <w:szCs w:val="20"/>
              </w:rPr>
              <w:t>«</w:t>
            </w:r>
            <w:r>
              <w:rPr>
                <w:color w:val="000000"/>
                <w:sz w:val="20"/>
                <w:szCs w:val="20"/>
              </w:rPr>
              <w:t>Городская больница №</w:t>
            </w:r>
            <w:r w:rsidR="001164A3">
              <w:rPr>
                <w:color w:val="000000"/>
                <w:sz w:val="20"/>
                <w:szCs w:val="20"/>
              </w:rPr>
              <w:t> </w:t>
            </w:r>
            <w:r>
              <w:rPr>
                <w:color w:val="000000"/>
                <w:sz w:val="20"/>
                <w:szCs w:val="20"/>
              </w:rPr>
              <w:t>2</w:t>
            </w:r>
            <w:r w:rsidR="002F7358">
              <w:rPr>
                <w:color w:val="000000"/>
                <w:sz w:val="20"/>
                <w:szCs w:val="20"/>
              </w:rPr>
              <w:t>»</w:t>
            </w:r>
            <w:r>
              <w:rPr>
                <w:color w:val="000000"/>
                <w:sz w:val="20"/>
                <w:szCs w:val="20"/>
              </w:rPr>
              <w:t xml:space="preserve"> г.Набережные Челны</w:t>
            </w:r>
          </w:p>
        </w:tc>
        <w:tc>
          <w:tcPr>
            <w:tcW w:w="1994" w:type="dxa"/>
            <w:tcBorders>
              <w:top w:val="nil"/>
              <w:left w:val="single" w:sz="4" w:space="0" w:color="auto"/>
              <w:bottom w:val="single" w:sz="4" w:space="0" w:color="auto"/>
              <w:right w:val="single" w:sz="4" w:space="0" w:color="auto"/>
            </w:tcBorders>
            <w:shd w:val="clear" w:color="auto" w:fill="auto"/>
          </w:tcPr>
          <w:p w:rsidR="000E54C2" w:rsidRPr="00E8065F" w:rsidRDefault="000E54C2" w:rsidP="00BA1432">
            <w:pPr>
              <w:jc w:val="center"/>
              <w:rPr>
                <w:color w:val="000000"/>
                <w:sz w:val="20"/>
                <w:szCs w:val="20"/>
              </w:rPr>
            </w:pPr>
            <w:r w:rsidRPr="00E8065F">
              <w:rPr>
                <w:color w:val="000000"/>
                <w:sz w:val="20"/>
                <w:szCs w:val="20"/>
              </w:rPr>
              <w:t>Рентгенодиагностические аппараты</w:t>
            </w:r>
          </w:p>
        </w:tc>
        <w:tc>
          <w:tcPr>
            <w:tcW w:w="1181" w:type="dxa"/>
            <w:shd w:val="clear" w:color="auto" w:fill="auto"/>
          </w:tcPr>
          <w:p w:rsidR="000E54C2" w:rsidRPr="00E8065F" w:rsidRDefault="000E54C2" w:rsidP="000546C2">
            <w:pPr>
              <w:jc w:val="center"/>
              <w:rPr>
                <w:sz w:val="20"/>
                <w:szCs w:val="20"/>
              </w:rPr>
            </w:pPr>
            <w:r w:rsidRPr="00E8065F">
              <w:rPr>
                <w:sz w:val="20"/>
                <w:szCs w:val="20"/>
              </w:rPr>
              <w:t>2023</w:t>
            </w:r>
          </w:p>
        </w:tc>
        <w:tc>
          <w:tcPr>
            <w:tcW w:w="1181" w:type="dxa"/>
            <w:tcBorders>
              <w:top w:val="nil"/>
              <w:left w:val="single" w:sz="4" w:space="0" w:color="auto"/>
              <w:bottom w:val="single" w:sz="4" w:space="0" w:color="auto"/>
              <w:right w:val="single" w:sz="4" w:space="0" w:color="auto"/>
            </w:tcBorders>
            <w:shd w:val="clear" w:color="auto" w:fill="auto"/>
          </w:tcPr>
          <w:p w:rsidR="000E54C2" w:rsidRPr="00E8065F" w:rsidRDefault="000E54C2" w:rsidP="000546C2">
            <w:pPr>
              <w:jc w:val="center"/>
              <w:rPr>
                <w:color w:val="000000"/>
                <w:sz w:val="20"/>
                <w:szCs w:val="20"/>
              </w:rPr>
            </w:pPr>
            <w:r w:rsidRPr="00E8065F">
              <w:rPr>
                <w:color w:val="000000"/>
                <w:sz w:val="20"/>
                <w:szCs w:val="20"/>
              </w:rPr>
              <w:t>1</w:t>
            </w:r>
          </w:p>
        </w:tc>
        <w:tc>
          <w:tcPr>
            <w:tcW w:w="1478" w:type="dxa"/>
            <w:tcBorders>
              <w:top w:val="nil"/>
              <w:left w:val="single" w:sz="4" w:space="0" w:color="auto"/>
              <w:bottom w:val="single" w:sz="4" w:space="0" w:color="auto"/>
              <w:right w:val="single" w:sz="4" w:space="0" w:color="auto"/>
            </w:tcBorders>
            <w:shd w:val="clear" w:color="auto" w:fill="auto"/>
          </w:tcPr>
          <w:p w:rsidR="000E54C2" w:rsidRPr="00E8065F" w:rsidRDefault="000E54C2" w:rsidP="000546C2">
            <w:pPr>
              <w:jc w:val="center"/>
              <w:rPr>
                <w:color w:val="000000"/>
                <w:sz w:val="20"/>
                <w:szCs w:val="20"/>
              </w:rPr>
            </w:pPr>
            <w:r w:rsidRPr="00E8065F">
              <w:rPr>
                <w:color w:val="000000"/>
                <w:sz w:val="20"/>
                <w:szCs w:val="20"/>
              </w:rPr>
              <w:t>23</w:t>
            </w:r>
          </w:p>
        </w:tc>
        <w:tc>
          <w:tcPr>
            <w:tcW w:w="1111" w:type="dxa"/>
            <w:tcBorders>
              <w:top w:val="nil"/>
              <w:left w:val="single" w:sz="4" w:space="0" w:color="auto"/>
              <w:bottom w:val="single" w:sz="4" w:space="0" w:color="auto"/>
              <w:right w:val="single" w:sz="4" w:space="0" w:color="auto"/>
            </w:tcBorders>
            <w:shd w:val="clear" w:color="auto" w:fill="auto"/>
          </w:tcPr>
          <w:p w:rsidR="000E54C2" w:rsidRPr="00E8065F" w:rsidRDefault="000E54C2" w:rsidP="000546C2">
            <w:pPr>
              <w:jc w:val="center"/>
              <w:rPr>
                <w:color w:val="000000"/>
                <w:sz w:val="20"/>
                <w:szCs w:val="20"/>
              </w:rPr>
            </w:pPr>
            <w:r w:rsidRPr="00E8065F">
              <w:rPr>
                <w:color w:val="000000"/>
                <w:sz w:val="20"/>
                <w:szCs w:val="20"/>
              </w:rPr>
              <w:t>2</w:t>
            </w:r>
          </w:p>
        </w:tc>
        <w:tc>
          <w:tcPr>
            <w:tcW w:w="1944" w:type="dxa"/>
            <w:tcBorders>
              <w:top w:val="nil"/>
              <w:left w:val="single" w:sz="4" w:space="0" w:color="auto"/>
              <w:bottom w:val="single" w:sz="4" w:space="0" w:color="auto"/>
              <w:right w:val="single" w:sz="4" w:space="0" w:color="auto"/>
            </w:tcBorders>
            <w:shd w:val="clear" w:color="auto" w:fill="auto"/>
          </w:tcPr>
          <w:p w:rsidR="000E54C2" w:rsidRPr="00E8065F" w:rsidRDefault="000E54C2" w:rsidP="00BA1432">
            <w:pPr>
              <w:jc w:val="center"/>
              <w:rPr>
                <w:color w:val="000000"/>
                <w:sz w:val="20"/>
                <w:szCs w:val="20"/>
              </w:rPr>
            </w:pPr>
            <w:r w:rsidRPr="00E8065F">
              <w:rPr>
                <w:color w:val="000000"/>
                <w:sz w:val="20"/>
                <w:szCs w:val="20"/>
              </w:rPr>
              <w:t>Амбулаторное/стационарное</w:t>
            </w:r>
          </w:p>
        </w:tc>
      </w:tr>
      <w:tr w:rsidR="00BA1432" w:rsidRPr="00E8065F" w:rsidTr="000546C2">
        <w:trPr>
          <w:trHeight w:val="20"/>
        </w:trPr>
        <w:tc>
          <w:tcPr>
            <w:tcW w:w="1555" w:type="dxa"/>
            <w:vMerge/>
          </w:tcPr>
          <w:p w:rsidR="000E54C2" w:rsidRPr="00E8065F" w:rsidRDefault="000E54C2" w:rsidP="00BA1432">
            <w:pPr>
              <w:rPr>
                <w:sz w:val="20"/>
                <w:szCs w:val="20"/>
              </w:rPr>
            </w:pPr>
          </w:p>
        </w:tc>
        <w:tc>
          <w:tcPr>
            <w:tcW w:w="3685" w:type="dxa"/>
            <w:tcBorders>
              <w:top w:val="nil"/>
              <w:left w:val="single" w:sz="4" w:space="0" w:color="auto"/>
              <w:bottom w:val="single" w:sz="4" w:space="0" w:color="auto"/>
              <w:right w:val="single" w:sz="4" w:space="0" w:color="auto"/>
            </w:tcBorders>
            <w:shd w:val="clear" w:color="auto" w:fill="auto"/>
          </w:tcPr>
          <w:p w:rsidR="000E54C2" w:rsidRPr="00E8065F" w:rsidRDefault="000E54C2" w:rsidP="00DC0475">
            <w:pPr>
              <w:jc w:val="both"/>
              <w:rPr>
                <w:color w:val="000000"/>
                <w:sz w:val="20"/>
                <w:szCs w:val="20"/>
              </w:rPr>
            </w:pPr>
            <w:r w:rsidRPr="00E8065F">
              <w:rPr>
                <w:color w:val="000000"/>
                <w:sz w:val="20"/>
                <w:szCs w:val="20"/>
              </w:rPr>
              <w:t xml:space="preserve">ГАУЗ </w:t>
            </w:r>
            <w:r w:rsidR="002F7358">
              <w:rPr>
                <w:color w:val="000000"/>
                <w:sz w:val="20"/>
                <w:szCs w:val="20"/>
              </w:rPr>
              <w:t>«</w:t>
            </w:r>
            <w:r w:rsidRPr="00E8065F">
              <w:rPr>
                <w:color w:val="000000"/>
                <w:sz w:val="20"/>
                <w:szCs w:val="20"/>
              </w:rPr>
              <w:t>Городская больница №</w:t>
            </w:r>
            <w:r w:rsidR="001164A3">
              <w:rPr>
                <w:color w:val="000000"/>
                <w:sz w:val="20"/>
                <w:szCs w:val="20"/>
              </w:rPr>
              <w:t> </w:t>
            </w:r>
            <w:r w:rsidRPr="00E8065F">
              <w:rPr>
                <w:color w:val="000000"/>
                <w:sz w:val="20"/>
                <w:szCs w:val="20"/>
              </w:rPr>
              <w:t>5</w:t>
            </w:r>
            <w:r w:rsidR="002F7358">
              <w:rPr>
                <w:color w:val="000000"/>
                <w:sz w:val="20"/>
                <w:szCs w:val="20"/>
              </w:rPr>
              <w:t>»</w:t>
            </w:r>
            <w:r w:rsidR="003722E0">
              <w:rPr>
                <w:color w:val="000000"/>
                <w:sz w:val="20"/>
                <w:szCs w:val="20"/>
              </w:rPr>
              <w:t xml:space="preserve"> г.</w:t>
            </w:r>
            <w:r w:rsidRPr="00E8065F">
              <w:rPr>
                <w:color w:val="000000"/>
                <w:sz w:val="20"/>
                <w:szCs w:val="20"/>
              </w:rPr>
              <w:t>Набережные Челны</w:t>
            </w:r>
          </w:p>
        </w:tc>
        <w:tc>
          <w:tcPr>
            <w:tcW w:w="1994" w:type="dxa"/>
            <w:tcBorders>
              <w:top w:val="nil"/>
              <w:left w:val="single" w:sz="4" w:space="0" w:color="auto"/>
              <w:bottom w:val="single" w:sz="4" w:space="0" w:color="auto"/>
              <w:right w:val="single" w:sz="4" w:space="0" w:color="auto"/>
            </w:tcBorders>
            <w:shd w:val="clear" w:color="auto" w:fill="auto"/>
          </w:tcPr>
          <w:p w:rsidR="000E54C2" w:rsidRPr="00E8065F" w:rsidRDefault="000E54C2" w:rsidP="00BA1432">
            <w:pPr>
              <w:jc w:val="center"/>
              <w:rPr>
                <w:color w:val="000000"/>
                <w:sz w:val="20"/>
                <w:szCs w:val="20"/>
              </w:rPr>
            </w:pPr>
            <w:r w:rsidRPr="00E8065F">
              <w:rPr>
                <w:color w:val="000000"/>
                <w:sz w:val="20"/>
                <w:szCs w:val="20"/>
              </w:rPr>
              <w:t>Рентгенодиагностические аппараты</w:t>
            </w:r>
          </w:p>
        </w:tc>
        <w:tc>
          <w:tcPr>
            <w:tcW w:w="1181" w:type="dxa"/>
            <w:shd w:val="clear" w:color="auto" w:fill="auto"/>
          </w:tcPr>
          <w:p w:rsidR="00B96806" w:rsidRPr="00E8065F" w:rsidRDefault="000E54C2" w:rsidP="00B96806">
            <w:pPr>
              <w:jc w:val="center"/>
              <w:rPr>
                <w:sz w:val="20"/>
                <w:szCs w:val="20"/>
              </w:rPr>
            </w:pPr>
            <w:r w:rsidRPr="00E8065F">
              <w:rPr>
                <w:sz w:val="20"/>
                <w:szCs w:val="20"/>
              </w:rPr>
              <w:t>2012</w:t>
            </w:r>
            <w:r w:rsidR="00AA5FB3">
              <w:rPr>
                <w:sz w:val="20"/>
                <w:szCs w:val="20"/>
              </w:rPr>
              <w:t xml:space="preserve"> </w:t>
            </w:r>
            <w:r w:rsidR="00B96806">
              <w:rPr>
                <w:sz w:val="20"/>
                <w:szCs w:val="20"/>
              </w:rPr>
              <w:t>(1)</w:t>
            </w:r>
          </w:p>
          <w:p w:rsidR="00B96806" w:rsidRPr="00E8065F" w:rsidRDefault="000E54C2" w:rsidP="00B96806">
            <w:pPr>
              <w:jc w:val="center"/>
              <w:rPr>
                <w:sz w:val="20"/>
                <w:szCs w:val="20"/>
              </w:rPr>
            </w:pPr>
            <w:r w:rsidRPr="00E8065F">
              <w:rPr>
                <w:sz w:val="20"/>
                <w:szCs w:val="20"/>
              </w:rPr>
              <w:t>2018</w:t>
            </w:r>
            <w:r w:rsidR="00AA5FB3">
              <w:rPr>
                <w:sz w:val="20"/>
                <w:szCs w:val="20"/>
              </w:rPr>
              <w:t xml:space="preserve"> </w:t>
            </w:r>
            <w:r w:rsidR="00B96806">
              <w:rPr>
                <w:sz w:val="20"/>
                <w:szCs w:val="20"/>
              </w:rPr>
              <w:t>(1)</w:t>
            </w:r>
          </w:p>
          <w:p w:rsidR="000E54C2" w:rsidRPr="00E8065F" w:rsidRDefault="000E54C2" w:rsidP="00B96806">
            <w:pPr>
              <w:jc w:val="center"/>
              <w:rPr>
                <w:sz w:val="20"/>
                <w:szCs w:val="20"/>
              </w:rPr>
            </w:pPr>
            <w:r w:rsidRPr="00E8065F">
              <w:rPr>
                <w:sz w:val="20"/>
                <w:szCs w:val="20"/>
              </w:rPr>
              <w:t>2023</w:t>
            </w:r>
            <w:r w:rsidR="00AA5FB3">
              <w:rPr>
                <w:sz w:val="20"/>
                <w:szCs w:val="20"/>
              </w:rPr>
              <w:t xml:space="preserve"> </w:t>
            </w:r>
            <w:r w:rsidR="00B96806">
              <w:rPr>
                <w:sz w:val="20"/>
                <w:szCs w:val="20"/>
              </w:rPr>
              <w:t>(1)</w:t>
            </w:r>
          </w:p>
        </w:tc>
        <w:tc>
          <w:tcPr>
            <w:tcW w:w="1181" w:type="dxa"/>
            <w:tcBorders>
              <w:top w:val="nil"/>
              <w:left w:val="single" w:sz="4" w:space="0" w:color="auto"/>
              <w:bottom w:val="single" w:sz="4" w:space="0" w:color="auto"/>
              <w:right w:val="single" w:sz="4" w:space="0" w:color="auto"/>
            </w:tcBorders>
            <w:shd w:val="clear" w:color="auto" w:fill="auto"/>
          </w:tcPr>
          <w:p w:rsidR="000E54C2" w:rsidRPr="00E8065F" w:rsidRDefault="000E54C2" w:rsidP="000546C2">
            <w:pPr>
              <w:jc w:val="center"/>
              <w:rPr>
                <w:color w:val="000000"/>
                <w:sz w:val="20"/>
                <w:szCs w:val="20"/>
              </w:rPr>
            </w:pPr>
            <w:r w:rsidRPr="00E8065F">
              <w:rPr>
                <w:color w:val="000000"/>
                <w:sz w:val="20"/>
                <w:szCs w:val="20"/>
              </w:rPr>
              <w:t>3</w:t>
            </w:r>
          </w:p>
        </w:tc>
        <w:tc>
          <w:tcPr>
            <w:tcW w:w="1478" w:type="dxa"/>
            <w:tcBorders>
              <w:top w:val="nil"/>
              <w:left w:val="single" w:sz="4" w:space="0" w:color="auto"/>
              <w:bottom w:val="single" w:sz="4" w:space="0" w:color="auto"/>
              <w:right w:val="single" w:sz="4" w:space="0" w:color="auto"/>
            </w:tcBorders>
            <w:shd w:val="clear" w:color="auto" w:fill="auto"/>
          </w:tcPr>
          <w:p w:rsidR="000E54C2" w:rsidRPr="00E8065F" w:rsidRDefault="000E54C2" w:rsidP="000546C2">
            <w:pPr>
              <w:jc w:val="center"/>
              <w:rPr>
                <w:color w:val="000000"/>
                <w:sz w:val="20"/>
                <w:szCs w:val="20"/>
              </w:rPr>
            </w:pPr>
            <w:r w:rsidRPr="00E8065F">
              <w:rPr>
                <w:color w:val="000000"/>
                <w:sz w:val="20"/>
                <w:szCs w:val="20"/>
              </w:rPr>
              <w:t>84</w:t>
            </w:r>
          </w:p>
        </w:tc>
        <w:tc>
          <w:tcPr>
            <w:tcW w:w="1111" w:type="dxa"/>
            <w:tcBorders>
              <w:top w:val="nil"/>
              <w:left w:val="single" w:sz="4" w:space="0" w:color="auto"/>
              <w:bottom w:val="single" w:sz="4" w:space="0" w:color="auto"/>
              <w:right w:val="single" w:sz="4" w:space="0" w:color="auto"/>
            </w:tcBorders>
            <w:shd w:val="clear" w:color="auto" w:fill="auto"/>
          </w:tcPr>
          <w:p w:rsidR="000E54C2" w:rsidRPr="00E8065F" w:rsidRDefault="000E54C2" w:rsidP="000546C2">
            <w:pPr>
              <w:jc w:val="center"/>
              <w:rPr>
                <w:color w:val="000000"/>
                <w:sz w:val="20"/>
                <w:szCs w:val="20"/>
              </w:rPr>
            </w:pPr>
            <w:r w:rsidRPr="00E8065F">
              <w:rPr>
                <w:color w:val="000000"/>
                <w:sz w:val="20"/>
                <w:szCs w:val="20"/>
              </w:rPr>
              <w:t>2</w:t>
            </w:r>
          </w:p>
        </w:tc>
        <w:tc>
          <w:tcPr>
            <w:tcW w:w="1944" w:type="dxa"/>
            <w:tcBorders>
              <w:top w:val="nil"/>
              <w:left w:val="single" w:sz="4" w:space="0" w:color="auto"/>
              <w:bottom w:val="single" w:sz="4" w:space="0" w:color="auto"/>
              <w:right w:val="single" w:sz="4" w:space="0" w:color="auto"/>
            </w:tcBorders>
            <w:shd w:val="clear" w:color="auto" w:fill="auto"/>
          </w:tcPr>
          <w:p w:rsidR="000E54C2" w:rsidRPr="00E8065F" w:rsidRDefault="000E54C2" w:rsidP="00BA1432">
            <w:pPr>
              <w:jc w:val="center"/>
              <w:rPr>
                <w:color w:val="000000"/>
                <w:sz w:val="20"/>
                <w:szCs w:val="20"/>
              </w:rPr>
            </w:pPr>
            <w:r w:rsidRPr="00E8065F">
              <w:rPr>
                <w:color w:val="000000"/>
                <w:sz w:val="20"/>
                <w:szCs w:val="20"/>
              </w:rPr>
              <w:t>Амбулаторное/стационарное</w:t>
            </w:r>
          </w:p>
        </w:tc>
      </w:tr>
      <w:tr w:rsidR="00BA1432" w:rsidRPr="00E8065F" w:rsidTr="000546C2">
        <w:trPr>
          <w:trHeight w:val="20"/>
        </w:trPr>
        <w:tc>
          <w:tcPr>
            <w:tcW w:w="1555" w:type="dxa"/>
            <w:vMerge/>
          </w:tcPr>
          <w:p w:rsidR="000E54C2" w:rsidRPr="00E8065F" w:rsidRDefault="000E54C2" w:rsidP="00BA1432">
            <w:pPr>
              <w:rPr>
                <w:sz w:val="20"/>
                <w:szCs w:val="20"/>
              </w:rPr>
            </w:pPr>
          </w:p>
        </w:tc>
        <w:tc>
          <w:tcPr>
            <w:tcW w:w="3685" w:type="dxa"/>
            <w:tcBorders>
              <w:top w:val="nil"/>
              <w:left w:val="single" w:sz="4" w:space="0" w:color="auto"/>
              <w:bottom w:val="single" w:sz="4" w:space="0" w:color="auto"/>
              <w:right w:val="single" w:sz="4" w:space="0" w:color="auto"/>
            </w:tcBorders>
            <w:shd w:val="clear" w:color="auto" w:fill="auto"/>
          </w:tcPr>
          <w:p w:rsidR="000E54C2" w:rsidRPr="00E8065F" w:rsidRDefault="000E54C2" w:rsidP="00DC0475">
            <w:pPr>
              <w:jc w:val="both"/>
              <w:rPr>
                <w:color w:val="000000"/>
                <w:sz w:val="20"/>
                <w:szCs w:val="20"/>
              </w:rPr>
            </w:pPr>
            <w:r w:rsidRPr="00E8065F">
              <w:rPr>
                <w:color w:val="000000"/>
                <w:sz w:val="20"/>
                <w:szCs w:val="20"/>
              </w:rPr>
              <w:t xml:space="preserve">ГАУЗ </w:t>
            </w:r>
            <w:r w:rsidR="002F7358">
              <w:rPr>
                <w:color w:val="000000"/>
                <w:sz w:val="20"/>
                <w:szCs w:val="20"/>
              </w:rPr>
              <w:t>«</w:t>
            </w:r>
            <w:r w:rsidRPr="00E8065F">
              <w:rPr>
                <w:color w:val="000000"/>
                <w:sz w:val="20"/>
                <w:szCs w:val="20"/>
              </w:rPr>
              <w:t>Городская поликлиника №</w:t>
            </w:r>
            <w:r w:rsidR="001164A3">
              <w:rPr>
                <w:color w:val="000000"/>
                <w:sz w:val="20"/>
                <w:szCs w:val="20"/>
              </w:rPr>
              <w:t xml:space="preserve"> </w:t>
            </w:r>
            <w:r w:rsidRPr="00E8065F">
              <w:rPr>
                <w:color w:val="000000"/>
                <w:sz w:val="20"/>
                <w:szCs w:val="20"/>
              </w:rPr>
              <w:t>3</w:t>
            </w:r>
            <w:r w:rsidR="002F7358">
              <w:rPr>
                <w:color w:val="000000"/>
                <w:sz w:val="20"/>
                <w:szCs w:val="20"/>
              </w:rPr>
              <w:t>»</w:t>
            </w:r>
            <w:r w:rsidR="003722E0">
              <w:rPr>
                <w:color w:val="000000"/>
                <w:sz w:val="20"/>
                <w:szCs w:val="20"/>
              </w:rPr>
              <w:t xml:space="preserve"> г.</w:t>
            </w:r>
            <w:r w:rsidRPr="00E8065F">
              <w:rPr>
                <w:color w:val="000000"/>
                <w:sz w:val="20"/>
                <w:szCs w:val="20"/>
              </w:rPr>
              <w:t>Набережные Челны</w:t>
            </w:r>
          </w:p>
        </w:tc>
        <w:tc>
          <w:tcPr>
            <w:tcW w:w="1994" w:type="dxa"/>
            <w:tcBorders>
              <w:top w:val="nil"/>
              <w:left w:val="single" w:sz="4" w:space="0" w:color="auto"/>
              <w:bottom w:val="single" w:sz="4" w:space="0" w:color="auto"/>
              <w:right w:val="single" w:sz="4" w:space="0" w:color="auto"/>
            </w:tcBorders>
            <w:shd w:val="clear" w:color="auto" w:fill="auto"/>
          </w:tcPr>
          <w:p w:rsidR="000E54C2" w:rsidRPr="00E8065F" w:rsidRDefault="000E54C2" w:rsidP="00BA1432">
            <w:pPr>
              <w:jc w:val="center"/>
              <w:rPr>
                <w:color w:val="000000"/>
                <w:sz w:val="20"/>
                <w:szCs w:val="20"/>
              </w:rPr>
            </w:pPr>
            <w:r w:rsidRPr="00E8065F">
              <w:rPr>
                <w:color w:val="000000"/>
                <w:sz w:val="20"/>
                <w:szCs w:val="20"/>
              </w:rPr>
              <w:t>Рентгенодиагностические аппараты</w:t>
            </w:r>
          </w:p>
        </w:tc>
        <w:tc>
          <w:tcPr>
            <w:tcW w:w="1181" w:type="dxa"/>
            <w:tcBorders>
              <w:bottom w:val="single" w:sz="4" w:space="0" w:color="auto"/>
            </w:tcBorders>
            <w:shd w:val="clear" w:color="auto" w:fill="auto"/>
          </w:tcPr>
          <w:p w:rsidR="000E54C2" w:rsidRPr="00E8065F" w:rsidRDefault="000E54C2" w:rsidP="000546C2">
            <w:pPr>
              <w:jc w:val="center"/>
              <w:rPr>
                <w:sz w:val="20"/>
                <w:szCs w:val="20"/>
              </w:rPr>
            </w:pPr>
            <w:r w:rsidRPr="00E8065F">
              <w:rPr>
                <w:sz w:val="20"/>
                <w:szCs w:val="20"/>
              </w:rPr>
              <w:t>2018</w:t>
            </w:r>
          </w:p>
        </w:tc>
        <w:tc>
          <w:tcPr>
            <w:tcW w:w="1181" w:type="dxa"/>
            <w:tcBorders>
              <w:top w:val="nil"/>
              <w:left w:val="single" w:sz="4" w:space="0" w:color="auto"/>
              <w:bottom w:val="single" w:sz="4" w:space="0" w:color="auto"/>
              <w:right w:val="single" w:sz="4" w:space="0" w:color="auto"/>
            </w:tcBorders>
            <w:shd w:val="clear" w:color="auto" w:fill="auto"/>
          </w:tcPr>
          <w:p w:rsidR="000E54C2" w:rsidRPr="00E8065F" w:rsidRDefault="000E54C2" w:rsidP="000546C2">
            <w:pPr>
              <w:jc w:val="center"/>
              <w:rPr>
                <w:color w:val="000000"/>
                <w:sz w:val="20"/>
                <w:szCs w:val="20"/>
              </w:rPr>
            </w:pPr>
            <w:r w:rsidRPr="00E8065F">
              <w:rPr>
                <w:color w:val="000000"/>
                <w:sz w:val="20"/>
                <w:szCs w:val="20"/>
              </w:rPr>
              <w:t>1</w:t>
            </w:r>
          </w:p>
        </w:tc>
        <w:tc>
          <w:tcPr>
            <w:tcW w:w="1478" w:type="dxa"/>
            <w:tcBorders>
              <w:top w:val="nil"/>
              <w:left w:val="single" w:sz="4" w:space="0" w:color="auto"/>
              <w:bottom w:val="single" w:sz="4" w:space="0" w:color="auto"/>
              <w:right w:val="single" w:sz="4" w:space="0" w:color="auto"/>
            </w:tcBorders>
            <w:shd w:val="clear" w:color="auto" w:fill="auto"/>
          </w:tcPr>
          <w:p w:rsidR="000E54C2" w:rsidRPr="00E8065F" w:rsidRDefault="000E54C2" w:rsidP="000546C2">
            <w:pPr>
              <w:jc w:val="center"/>
              <w:rPr>
                <w:color w:val="000000"/>
                <w:sz w:val="20"/>
                <w:szCs w:val="20"/>
              </w:rPr>
            </w:pPr>
            <w:r w:rsidRPr="00E8065F">
              <w:rPr>
                <w:color w:val="000000"/>
                <w:sz w:val="20"/>
                <w:szCs w:val="20"/>
              </w:rPr>
              <w:t>18</w:t>
            </w:r>
          </w:p>
        </w:tc>
        <w:tc>
          <w:tcPr>
            <w:tcW w:w="1111" w:type="dxa"/>
            <w:tcBorders>
              <w:top w:val="nil"/>
              <w:left w:val="single" w:sz="4" w:space="0" w:color="auto"/>
              <w:bottom w:val="single" w:sz="4" w:space="0" w:color="auto"/>
              <w:right w:val="single" w:sz="4" w:space="0" w:color="auto"/>
            </w:tcBorders>
            <w:shd w:val="clear" w:color="auto" w:fill="auto"/>
          </w:tcPr>
          <w:p w:rsidR="000E54C2" w:rsidRPr="00E8065F" w:rsidRDefault="000E54C2" w:rsidP="000546C2">
            <w:pPr>
              <w:jc w:val="center"/>
              <w:rPr>
                <w:color w:val="000000"/>
                <w:sz w:val="20"/>
                <w:szCs w:val="20"/>
              </w:rPr>
            </w:pPr>
            <w:r w:rsidRPr="00E8065F">
              <w:rPr>
                <w:color w:val="000000"/>
                <w:sz w:val="20"/>
                <w:szCs w:val="20"/>
              </w:rPr>
              <w:t>2</w:t>
            </w:r>
          </w:p>
        </w:tc>
        <w:tc>
          <w:tcPr>
            <w:tcW w:w="1944" w:type="dxa"/>
            <w:tcBorders>
              <w:top w:val="nil"/>
              <w:left w:val="single" w:sz="4" w:space="0" w:color="auto"/>
              <w:bottom w:val="single" w:sz="4" w:space="0" w:color="auto"/>
              <w:right w:val="single" w:sz="4" w:space="0" w:color="auto"/>
            </w:tcBorders>
            <w:shd w:val="clear" w:color="auto" w:fill="auto"/>
          </w:tcPr>
          <w:p w:rsidR="000E54C2" w:rsidRPr="00E8065F" w:rsidRDefault="000E54C2" w:rsidP="00BA1432">
            <w:pPr>
              <w:jc w:val="center"/>
              <w:rPr>
                <w:color w:val="000000"/>
                <w:sz w:val="20"/>
                <w:szCs w:val="20"/>
              </w:rPr>
            </w:pPr>
            <w:r w:rsidRPr="00E8065F">
              <w:rPr>
                <w:color w:val="000000"/>
                <w:sz w:val="20"/>
                <w:szCs w:val="20"/>
              </w:rPr>
              <w:t>Амбулаторное</w:t>
            </w:r>
          </w:p>
        </w:tc>
      </w:tr>
      <w:tr w:rsidR="00BA1432" w:rsidRPr="00E8065F" w:rsidTr="000546C2">
        <w:trPr>
          <w:trHeight w:val="20"/>
        </w:trPr>
        <w:tc>
          <w:tcPr>
            <w:tcW w:w="1555" w:type="dxa"/>
            <w:vMerge/>
          </w:tcPr>
          <w:p w:rsidR="000E54C2" w:rsidRPr="00E8065F" w:rsidRDefault="000E54C2" w:rsidP="00BA1432">
            <w:pPr>
              <w:rPr>
                <w:sz w:val="20"/>
                <w:szCs w:val="20"/>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0E54C2" w:rsidRPr="00E8065F" w:rsidRDefault="000E54C2" w:rsidP="001164A3">
            <w:pPr>
              <w:jc w:val="both"/>
              <w:rPr>
                <w:color w:val="000000"/>
                <w:sz w:val="20"/>
                <w:szCs w:val="20"/>
              </w:rPr>
            </w:pPr>
            <w:r w:rsidRPr="00E8065F">
              <w:rPr>
                <w:color w:val="000000"/>
                <w:sz w:val="20"/>
                <w:szCs w:val="20"/>
              </w:rPr>
              <w:t xml:space="preserve">ГАУЗ </w:t>
            </w:r>
            <w:r w:rsidR="002F7358">
              <w:rPr>
                <w:color w:val="000000"/>
                <w:sz w:val="20"/>
                <w:szCs w:val="20"/>
              </w:rPr>
              <w:t>«</w:t>
            </w:r>
            <w:r w:rsidRPr="00E8065F">
              <w:rPr>
                <w:color w:val="000000"/>
                <w:sz w:val="20"/>
                <w:szCs w:val="20"/>
              </w:rPr>
              <w:t>Городская поликлиника №</w:t>
            </w:r>
            <w:r w:rsidR="001164A3">
              <w:rPr>
                <w:color w:val="000000"/>
                <w:sz w:val="20"/>
                <w:szCs w:val="20"/>
              </w:rPr>
              <w:t xml:space="preserve"> </w:t>
            </w:r>
            <w:r w:rsidRPr="00E8065F">
              <w:rPr>
                <w:color w:val="000000"/>
                <w:sz w:val="20"/>
                <w:szCs w:val="20"/>
              </w:rPr>
              <w:t>4 им.Л.Н.Ганиевой</w:t>
            </w:r>
            <w:r w:rsidR="003722E0">
              <w:rPr>
                <w:color w:val="000000"/>
                <w:sz w:val="20"/>
                <w:szCs w:val="20"/>
              </w:rPr>
              <w:t>»</w:t>
            </w:r>
            <w:r w:rsidR="001164A3">
              <w:rPr>
                <w:color w:val="000000"/>
                <w:sz w:val="20"/>
                <w:szCs w:val="20"/>
              </w:rPr>
              <w:t xml:space="preserve"> г.</w:t>
            </w:r>
            <w:r w:rsidRPr="00E8065F">
              <w:rPr>
                <w:color w:val="000000"/>
                <w:sz w:val="20"/>
                <w:szCs w:val="20"/>
              </w:rPr>
              <w:t>Набережные Челны</w:t>
            </w:r>
          </w:p>
        </w:tc>
        <w:tc>
          <w:tcPr>
            <w:tcW w:w="1994" w:type="dxa"/>
            <w:tcBorders>
              <w:top w:val="single" w:sz="4" w:space="0" w:color="auto"/>
              <w:left w:val="single" w:sz="4" w:space="0" w:color="auto"/>
              <w:bottom w:val="single" w:sz="4" w:space="0" w:color="auto"/>
              <w:right w:val="single" w:sz="4" w:space="0" w:color="auto"/>
            </w:tcBorders>
            <w:shd w:val="clear" w:color="auto" w:fill="auto"/>
          </w:tcPr>
          <w:p w:rsidR="000E54C2" w:rsidRPr="00E8065F" w:rsidRDefault="000E54C2" w:rsidP="00BA1432">
            <w:pPr>
              <w:jc w:val="center"/>
              <w:rPr>
                <w:b/>
                <w:color w:val="000000"/>
                <w:sz w:val="20"/>
                <w:szCs w:val="20"/>
              </w:rPr>
            </w:pPr>
            <w:r w:rsidRPr="00E8065F">
              <w:rPr>
                <w:color w:val="000000"/>
                <w:sz w:val="20"/>
                <w:szCs w:val="20"/>
              </w:rPr>
              <w:t>Рентгенодиагностические аппараты</w:t>
            </w:r>
          </w:p>
        </w:tc>
        <w:tc>
          <w:tcPr>
            <w:tcW w:w="1181" w:type="dxa"/>
            <w:tcBorders>
              <w:top w:val="single" w:sz="4" w:space="0" w:color="auto"/>
            </w:tcBorders>
            <w:shd w:val="clear" w:color="auto" w:fill="auto"/>
          </w:tcPr>
          <w:p w:rsidR="000E54C2" w:rsidRPr="00E8065F" w:rsidRDefault="000E54C2" w:rsidP="000546C2">
            <w:pPr>
              <w:jc w:val="center"/>
              <w:rPr>
                <w:sz w:val="20"/>
                <w:szCs w:val="20"/>
              </w:rPr>
            </w:pPr>
            <w:r w:rsidRPr="00E8065F">
              <w:rPr>
                <w:sz w:val="20"/>
                <w:szCs w:val="20"/>
              </w:rPr>
              <w:t>2006</w:t>
            </w:r>
          </w:p>
        </w:tc>
        <w:tc>
          <w:tcPr>
            <w:tcW w:w="1181" w:type="dxa"/>
            <w:tcBorders>
              <w:top w:val="single" w:sz="4" w:space="0" w:color="auto"/>
              <w:left w:val="single" w:sz="4" w:space="0" w:color="auto"/>
              <w:bottom w:val="single" w:sz="4" w:space="0" w:color="auto"/>
              <w:right w:val="single" w:sz="4" w:space="0" w:color="auto"/>
            </w:tcBorders>
            <w:shd w:val="clear" w:color="auto" w:fill="auto"/>
          </w:tcPr>
          <w:p w:rsidR="000E54C2" w:rsidRPr="00E8065F" w:rsidRDefault="000E54C2" w:rsidP="000546C2">
            <w:pPr>
              <w:jc w:val="center"/>
              <w:rPr>
                <w:color w:val="000000"/>
                <w:sz w:val="20"/>
                <w:szCs w:val="20"/>
              </w:rPr>
            </w:pPr>
            <w:r w:rsidRPr="00E8065F">
              <w:rPr>
                <w:color w:val="000000"/>
                <w:sz w:val="20"/>
                <w:szCs w:val="20"/>
              </w:rPr>
              <w:t>1</w:t>
            </w:r>
          </w:p>
        </w:tc>
        <w:tc>
          <w:tcPr>
            <w:tcW w:w="1478" w:type="dxa"/>
            <w:tcBorders>
              <w:top w:val="single" w:sz="4" w:space="0" w:color="auto"/>
              <w:left w:val="single" w:sz="4" w:space="0" w:color="auto"/>
              <w:bottom w:val="single" w:sz="4" w:space="0" w:color="auto"/>
              <w:right w:val="single" w:sz="4" w:space="0" w:color="auto"/>
            </w:tcBorders>
            <w:shd w:val="clear" w:color="auto" w:fill="auto"/>
          </w:tcPr>
          <w:p w:rsidR="000E54C2" w:rsidRPr="00E8065F" w:rsidRDefault="000E54C2" w:rsidP="000546C2">
            <w:pPr>
              <w:jc w:val="center"/>
              <w:rPr>
                <w:color w:val="000000"/>
                <w:sz w:val="20"/>
                <w:szCs w:val="20"/>
              </w:rPr>
            </w:pPr>
          </w:p>
        </w:tc>
        <w:tc>
          <w:tcPr>
            <w:tcW w:w="1111" w:type="dxa"/>
            <w:tcBorders>
              <w:top w:val="single" w:sz="4" w:space="0" w:color="auto"/>
              <w:left w:val="single" w:sz="4" w:space="0" w:color="auto"/>
              <w:bottom w:val="single" w:sz="4" w:space="0" w:color="auto"/>
              <w:right w:val="single" w:sz="4" w:space="0" w:color="auto"/>
            </w:tcBorders>
            <w:shd w:val="clear" w:color="auto" w:fill="auto"/>
          </w:tcPr>
          <w:p w:rsidR="000E54C2" w:rsidRPr="00E8065F" w:rsidRDefault="000E54C2" w:rsidP="000546C2">
            <w:pPr>
              <w:jc w:val="center"/>
              <w:rPr>
                <w:color w:val="000000"/>
                <w:sz w:val="20"/>
                <w:szCs w:val="20"/>
              </w:rPr>
            </w:pPr>
          </w:p>
        </w:tc>
        <w:tc>
          <w:tcPr>
            <w:tcW w:w="1944" w:type="dxa"/>
            <w:tcBorders>
              <w:top w:val="single" w:sz="4" w:space="0" w:color="auto"/>
              <w:left w:val="single" w:sz="4" w:space="0" w:color="auto"/>
              <w:bottom w:val="single" w:sz="4" w:space="0" w:color="auto"/>
              <w:right w:val="single" w:sz="4" w:space="0" w:color="auto"/>
            </w:tcBorders>
            <w:shd w:val="clear" w:color="auto" w:fill="auto"/>
          </w:tcPr>
          <w:p w:rsidR="000E54C2" w:rsidRPr="00E8065F" w:rsidRDefault="000E54C2" w:rsidP="00BA1432">
            <w:pPr>
              <w:jc w:val="center"/>
              <w:rPr>
                <w:color w:val="000000"/>
                <w:sz w:val="20"/>
                <w:szCs w:val="20"/>
              </w:rPr>
            </w:pPr>
          </w:p>
        </w:tc>
      </w:tr>
      <w:tr w:rsidR="00BA1432" w:rsidRPr="00E8065F" w:rsidTr="000546C2">
        <w:trPr>
          <w:trHeight w:val="20"/>
        </w:trPr>
        <w:tc>
          <w:tcPr>
            <w:tcW w:w="1555" w:type="dxa"/>
            <w:vMerge/>
          </w:tcPr>
          <w:p w:rsidR="000E54C2" w:rsidRPr="00E8065F" w:rsidRDefault="000E54C2" w:rsidP="00BA1432">
            <w:pPr>
              <w:rPr>
                <w:sz w:val="20"/>
                <w:szCs w:val="20"/>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0E54C2" w:rsidRPr="00E8065F" w:rsidRDefault="000E54C2" w:rsidP="00DC0475">
            <w:pPr>
              <w:jc w:val="both"/>
              <w:rPr>
                <w:color w:val="000000"/>
                <w:sz w:val="20"/>
                <w:szCs w:val="20"/>
              </w:rPr>
            </w:pPr>
            <w:r w:rsidRPr="00E8065F">
              <w:rPr>
                <w:color w:val="000000"/>
                <w:sz w:val="20"/>
                <w:szCs w:val="20"/>
              </w:rPr>
              <w:t xml:space="preserve">ГАУЗ </w:t>
            </w:r>
            <w:r w:rsidR="002F7358">
              <w:rPr>
                <w:color w:val="000000"/>
                <w:sz w:val="20"/>
                <w:szCs w:val="20"/>
              </w:rPr>
              <w:t>«</w:t>
            </w:r>
            <w:r w:rsidRPr="00E8065F">
              <w:rPr>
                <w:color w:val="000000"/>
                <w:sz w:val="20"/>
                <w:szCs w:val="20"/>
              </w:rPr>
              <w:t>Городская поликлиника №</w:t>
            </w:r>
            <w:r w:rsidR="001164A3">
              <w:rPr>
                <w:color w:val="000000"/>
                <w:sz w:val="20"/>
                <w:szCs w:val="20"/>
              </w:rPr>
              <w:t xml:space="preserve"> </w:t>
            </w:r>
            <w:r w:rsidRPr="00E8065F">
              <w:rPr>
                <w:color w:val="000000"/>
                <w:sz w:val="20"/>
                <w:szCs w:val="20"/>
              </w:rPr>
              <w:t>6</w:t>
            </w:r>
            <w:r w:rsidR="002F7358">
              <w:rPr>
                <w:color w:val="000000"/>
                <w:sz w:val="20"/>
                <w:szCs w:val="20"/>
              </w:rPr>
              <w:t>»</w:t>
            </w:r>
            <w:r w:rsidR="003722E0">
              <w:rPr>
                <w:color w:val="000000"/>
                <w:sz w:val="20"/>
                <w:szCs w:val="20"/>
              </w:rPr>
              <w:t xml:space="preserve"> г.</w:t>
            </w:r>
            <w:r w:rsidRPr="00E8065F">
              <w:rPr>
                <w:color w:val="000000"/>
                <w:sz w:val="20"/>
                <w:szCs w:val="20"/>
              </w:rPr>
              <w:t>Набережные Челны</w:t>
            </w:r>
          </w:p>
        </w:tc>
        <w:tc>
          <w:tcPr>
            <w:tcW w:w="1994" w:type="dxa"/>
            <w:tcBorders>
              <w:top w:val="single" w:sz="4" w:space="0" w:color="auto"/>
              <w:left w:val="single" w:sz="4" w:space="0" w:color="auto"/>
              <w:bottom w:val="single" w:sz="4" w:space="0" w:color="auto"/>
              <w:right w:val="single" w:sz="4" w:space="0" w:color="auto"/>
            </w:tcBorders>
            <w:shd w:val="clear" w:color="auto" w:fill="auto"/>
          </w:tcPr>
          <w:p w:rsidR="000E54C2" w:rsidRPr="00E8065F" w:rsidRDefault="000E54C2" w:rsidP="00BA1432">
            <w:pPr>
              <w:jc w:val="center"/>
              <w:rPr>
                <w:color w:val="000000"/>
                <w:sz w:val="20"/>
                <w:szCs w:val="20"/>
              </w:rPr>
            </w:pPr>
            <w:r w:rsidRPr="00E8065F">
              <w:rPr>
                <w:color w:val="000000"/>
                <w:sz w:val="20"/>
                <w:szCs w:val="20"/>
              </w:rPr>
              <w:t>Рентгенодиагностические аппараты</w:t>
            </w:r>
          </w:p>
        </w:tc>
        <w:tc>
          <w:tcPr>
            <w:tcW w:w="1181" w:type="dxa"/>
            <w:tcBorders>
              <w:top w:val="single" w:sz="4" w:space="0" w:color="auto"/>
            </w:tcBorders>
            <w:shd w:val="clear" w:color="auto" w:fill="auto"/>
          </w:tcPr>
          <w:p w:rsidR="000E54C2" w:rsidRPr="00E8065F" w:rsidRDefault="000E54C2" w:rsidP="000546C2">
            <w:pPr>
              <w:jc w:val="center"/>
              <w:rPr>
                <w:sz w:val="20"/>
                <w:szCs w:val="20"/>
              </w:rPr>
            </w:pPr>
            <w:r w:rsidRPr="00E8065F">
              <w:rPr>
                <w:sz w:val="20"/>
                <w:szCs w:val="20"/>
              </w:rPr>
              <w:t>2023</w:t>
            </w:r>
          </w:p>
        </w:tc>
        <w:tc>
          <w:tcPr>
            <w:tcW w:w="1181" w:type="dxa"/>
            <w:tcBorders>
              <w:top w:val="single" w:sz="4" w:space="0" w:color="auto"/>
              <w:left w:val="single" w:sz="4" w:space="0" w:color="auto"/>
              <w:bottom w:val="single" w:sz="4" w:space="0" w:color="auto"/>
              <w:right w:val="single" w:sz="4" w:space="0" w:color="auto"/>
            </w:tcBorders>
            <w:shd w:val="clear" w:color="auto" w:fill="auto"/>
          </w:tcPr>
          <w:p w:rsidR="000E54C2" w:rsidRPr="00E8065F" w:rsidRDefault="000E54C2" w:rsidP="000546C2">
            <w:pPr>
              <w:jc w:val="center"/>
              <w:rPr>
                <w:color w:val="000000"/>
                <w:sz w:val="20"/>
                <w:szCs w:val="20"/>
              </w:rPr>
            </w:pPr>
            <w:r w:rsidRPr="00E8065F">
              <w:rPr>
                <w:color w:val="000000"/>
                <w:sz w:val="20"/>
                <w:szCs w:val="20"/>
              </w:rPr>
              <w:t>1</w:t>
            </w:r>
          </w:p>
        </w:tc>
        <w:tc>
          <w:tcPr>
            <w:tcW w:w="1478" w:type="dxa"/>
            <w:tcBorders>
              <w:top w:val="single" w:sz="4" w:space="0" w:color="auto"/>
              <w:left w:val="single" w:sz="4" w:space="0" w:color="auto"/>
              <w:bottom w:val="single" w:sz="4" w:space="0" w:color="auto"/>
              <w:right w:val="single" w:sz="4" w:space="0" w:color="auto"/>
            </w:tcBorders>
            <w:shd w:val="clear" w:color="auto" w:fill="auto"/>
          </w:tcPr>
          <w:p w:rsidR="000E54C2" w:rsidRPr="00E8065F" w:rsidRDefault="000E54C2" w:rsidP="000546C2">
            <w:pPr>
              <w:jc w:val="center"/>
              <w:rPr>
                <w:color w:val="000000"/>
                <w:sz w:val="20"/>
                <w:szCs w:val="20"/>
              </w:rPr>
            </w:pPr>
            <w:r w:rsidRPr="00E8065F">
              <w:rPr>
                <w:color w:val="000000"/>
                <w:sz w:val="20"/>
                <w:szCs w:val="20"/>
              </w:rPr>
              <w:t>39</w:t>
            </w:r>
          </w:p>
        </w:tc>
        <w:tc>
          <w:tcPr>
            <w:tcW w:w="1111" w:type="dxa"/>
            <w:tcBorders>
              <w:top w:val="single" w:sz="4" w:space="0" w:color="auto"/>
              <w:left w:val="single" w:sz="4" w:space="0" w:color="auto"/>
              <w:bottom w:val="single" w:sz="4" w:space="0" w:color="auto"/>
              <w:right w:val="single" w:sz="4" w:space="0" w:color="auto"/>
            </w:tcBorders>
            <w:shd w:val="clear" w:color="auto" w:fill="auto"/>
          </w:tcPr>
          <w:p w:rsidR="000E54C2" w:rsidRPr="00E8065F" w:rsidRDefault="000E54C2" w:rsidP="000546C2">
            <w:pPr>
              <w:jc w:val="center"/>
              <w:rPr>
                <w:color w:val="000000"/>
                <w:sz w:val="20"/>
                <w:szCs w:val="20"/>
              </w:rPr>
            </w:pPr>
            <w:r w:rsidRPr="00E8065F">
              <w:rPr>
                <w:color w:val="000000"/>
                <w:sz w:val="20"/>
                <w:szCs w:val="20"/>
              </w:rPr>
              <w:t>2</w:t>
            </w:r>
          </w:p>
        </w:tc>
        <w:tc>
          <w:tcPr>
            <w:tcW w:w="1944" w:type="dxa"/>
            <w:tcBorders>
              <w:top w:val="single" w:sz="4" w:space="0" w:color="auto"/>
              <w:left w:val="single" w:sz="4" w:space="0" w:color="auto"/>
              <w:bottom w:val="single" w:sz="4" w:space="0" w:color="auto"/>
              <w:right w:val="single" w:sz="4" w:space="0" w:color="auto"/>
            </w:tcBorders>
            <w:shd w:val="clear" w:color="auto" w:fill="auto"/>
          </w:tcPr>
          <w:p w:rsidR="000E54C2" w:rsidRPr="00E8065F" w:rsidRDefault="000E54C2" w:rsidP="00BA1432">
            <w:pPr>
              <w:jc w:val="center"/>
              <w:rPr>
                <w:color w:val="000000"/>
                <w:sz w:val="20"/>
                <w:szCs w:val="20"/>
              </w:rPr>
            </w:pPr>
            <w:r w:rsidRPr="00E8065F">
              <w:rPr>
                <w:color w:val="000000"/>
                <w:sz w:val="20"/>
                <w:szCs w:val="20"/>
              </w:rPr>
              <w:t>Амбулаторное</w:t>
            </w:r>
          </w:p>
        </w:tc>
      </w:tr>
      <w:tr w:rsidR="00BA1432" w:rsidRPr="00E8065F" w:rsidTr="000546C2">
        <w:trPr>
          <w:trHeight w:val="20"/>
        </w:trPr>
        <w:tc>
          <w:tcPr>
            <w:tcW w:w="1555" w:type="dxa"/>
            <w:vMerge/>
          </w:tcPr>
          <w:p w:rsidR="000E54C2" w:rsidRPr="00E8065F" w:rsidRDefault="000E54C2" w:rsidP="00BA1432">
            <w:pPr>
              <w:rPr>
                <w:sz w:val="20"/>
                <w:szCs w:val="20"/>
              </w:rPr>
            </w:pPr>
          </w:p>
        </w:tc>
        <w:tc>
          <w:tcPr>
            <w:tcW w:w="3685" w:type="dxa"/>
            <w:tcBorders>
              <w:top w:val="nil"/>
              <w:left w:val="single" w:sz="4" w:space="0" w:color="auto"/>
              <w:bottom w:val="single" w:sz="4" w:space="0" w:color="auto"/>
              <w:right w:val="single" w:sz="4" w:space="0" w:color="auto"/>
            </w:tcBorders>
            <w:shd w:val="clear" w:color="auto" w:fill="auto"/>
          </w:tcPr>
          <w:p w:rsidR="000E54C2" w:rsidRPr="00E8065F" w:rsidRDefault="000E54C2" w:rsidP="00DC0475">
            <w:pPr>
              <w:jc w:val="both"/>
              <w:rPr>
                <w:color w:val="000000"/>
                <w:sz w:val="20"/>
                <w:szCs w:val="20"/>
              </w:rPr>
            </w:pPr>
            <w:r w:rsidRPr="00E8065F">
              <w:rPr>
                <w:color w:val="000000"/>
                <w:sz w:val="20"/>
                <w:szCs w:val="20"/>
              </w:rPr>
              <w:t xml:space="preserve">ГАУЗ </w:t>
            </w:r>
            <w:r w:rsidR="002F7358">
              <w:rPr>
                <w:color w:val="000000"/>
                <w:sz w:val="20"/>
                <w:szCs w:val="20"/>
              </w:rPr>
              <w:t>«</w:t>
            </w:r>
            <w:r w:rsidRPr="00E8065F">
              <w:rPr>
                <w:color w:val="000000"/>
                <w:sz w:val="20"/>
                <w:szCs w:val="20"/>
              </w:rPr>
              <w:t>Городская поликлиника №</w:t>
            </w:r>
            <w:r w:rsidR="001164A3">
              <w:rPr>
                <w:color w:val="000000"/>
                <w:sz w:val="20"/>
                <w:szCs w:val="20"/>
              </w:rPr>
              <w:t xml:space="preserve"> </w:t>
            </w:r>
            <w:r w:rsidRPr="00E8065F">
              <w:rPr>
                <w:color w:val="000000"/>
                <w:sz w:val="20"/>
                <w:szCs w:val="20"/>
              </w:rPr>
              <w:t>7</w:t>
            </w:r>
            <w:r w:rsidR="002F7358">
              <w:rPr>
                <w:color w:val="000000"/>
                <w:sz w:val="20"/>
                <w:szCs w:val="20"/>
              </w:rPr>
              <w:t>»</w:t>
            </w:r>
            <w:r w:rsidR="003722E0">
              <w:rPr>
                <w:color w:val="000000"/>
                <w:sz w:val="20"/>
                <w:szCs w:val="20"/>
              </w:rPr>
              <w:t xml:space="preserve"> г.</w:t>
            </w:r>
            <w:r w:rsidRPr="00E8065F">
              <w:rPr>
                <w:color w:val="000000"/>
                <w:sz w:val="20"/>
                <w:szCs w:val="20"/>
              </w:rPr>
              <w:t>Набережные Челны</w:t>
            </w:r>
          </w:p>
        </w:tc>
        <w:tc>
          <w:tcPr>
            <w:tcW w:w="1994" w:type="dxa"/>
            <w:tcBorders>
              <w:top w:val="nil"/>
              <w:left w:val="single" w:sz="4" w:space="0" w:color="auto"/>
              <w:bottom w:val="single" w:sz="4" w:space="0" w:color="auto"/>
              <w:right w:val="single" w:sz="4" w:space="0" w:color="auto"/>
            </w:tcBorders>
            <w:shd w:val="clear" w:color="auto" w:fill="auto"/>
          </w:tcPr>
          <w:p w:rsidR="000E54C2" w:rsidRPr="00E8065F" w:rsidRDefault="000E54C2" w:rsidP="00BA1432">
            <w:pPr>
              <w:jc w:val="center"/>
              <w:rPr>
                <w:color w:val="000000"/>
                <w:sz w:val="20"/>
                <w:szCs w:val="20"/>
              </w:rPr>
            </w:pPr>
            <w:r w:rsidRPr="00E8065F">
              <w:rPr>
                <w:color w:val="000000"/>
                <w:sz w:val="20"/>
                <w:szCs w:val="20"/>
              </w:rPr>
              <w:t>Рентгенодиагностические аппараты</w:t>
            </w:r>
          </w:p>
        </w:tc>
        <w:tc>
          <w:tcPr>
            <w:tcW w:w="1181" w:type="dxa"/>
            <w:shd w:val="clear" w:color="auto" w:fill="auto"/>
          </w:tcPr>
          <w:p w:rsidR="000E54C2" w:rsidRPr="00E8065F" w:rsidRDefault="000E54C2" w:rsidP="000546C2">
            <w:pPr>
              <w:jc w:val="center"/>
              <w:rPr>
                <w:sz w:val="20"/>
                <w:szCs w:val="20"/>
              </w:rPr>
            </w:pPr>
            <w:r w:rsidRPr="00E8065F">
              <w:rPr>
                <w:sz w:val="20"/>
                <w:szCs w:val="20"/>
              </w:rPr>
              <w:t>2023</w:t>
            </w:r>
          </w:p>
        </w:tc>
        <w:tc>
          <w:tcPr>
            <w:tcW w:w="1181" w:type="dxa"/>
            <w:tcBorders>
              <w:top w:val="nil"/>
              <w:left w:val="single" w:sz="4" w:space="0" w:color="auto"/>
              <w:bottom w:val="single" w:sz="4" w:space="0" w:color="auto"/>
              <w:right w:val="single" w:sz="4" w:space="0" w:color="auto"/>
            </w:tcBorders>
            <w:shd w:val="clear" w:color="auto" w:fill="auto"/>
          </w:tcPr>
          <w:p w:rsidR="000E54C2" w:rsidRPr="00E8065F" w:rsidRDefault="000E54C2" w:rsidP="000546C2">
            <w:pPr>
              <w:jc w:val="center"/>
              <w:rPr>
                <w:color w:val="000000"/>
                <w:sz w:val="20"/>
                <w:szCs w:val="20"/>
              </w:rPr>
            </w:pPr>
            <w:r w:rsidRPr="00E8065F">
              <w:rPr>
                <w:color w:val="000000"/>
                <w:sz w:val="20"/>
                <w:szCs w:val="20"/>
              </w:rPr>
              <w:t>1</w:t>
            </w:r>
          </w:p>
        </w:tc>
        <w:tc>
          <w:tcPr>
            <w:tcW w:w="1478" w:type="dxa"/>
            <w:tcBorders>
              <w:top w:val="nil"/>
              <w:left w:val="single" w:sz="4" w:space="0" w:color="auto"/>
              <w:bottom w:val="single" w:sz="4" w:space="0" w:color="auto"/>
              <w:right w:val="single" w:sz="4" w:space="0" w:color="auto"/>
            </w:tcBorders>
            <w:shd w:val="clear" w:color="auto" w:fill="auto"/>
          </w:tcPr>
          <w:p w:rsidR="000E54C2" w:rsidRPr="00E8065F" w:rsidRDefault="000E54C2" w:rsidP="000546C2">
            <w:pPr>
              <w:jc w:val="center"/>
              <w:rPr>
                <w:color w:val="000000"/>
                <w:sz w:val="20"/>
                <w:szCs w:val="20"/>
              </w:rPr>
            </w:pPr>
            <w:r w:rsidRPr="00E8065F">
              <w:rPr>
                <w:color w:val="000000"/>
                <w:sz w:val="20"/>
                <w:szCs w:val="20"/>
              </w:rPr>
              <w:t>31</w:t>
            </w:r>
          </w:p>
        </w:tc>
        <w:tc>
          <w:tcPr>
            <w:tcW w:w="1111" w:type="dxa"/>
            <w:tcBorders>
              <w:top w:val="nil"/>
              <w:left w:val="single" w:sz="4" w:space="0" w:color="auto"/>
              <w:bottom w:val="single" w:sz="4" w:space="0" w:color="auto"/>
              <w:right w:val="single" w:sz="4" w:space="0" w:color="auto"/>
            </w:tcBorders>
            <w:shd w:val="clear" w:color="auto" w:fill="auto"/>
          </w:tcPr>
          <w:p w:rsidR="000E54C2" w:rsidRPr="00E8065F" w:rsidRDefault="000E54C2" w:rsidP="000546C2">
            <w:pPr>
              <w:jc w:val="center"/>
              <w:rPr>
                <w:color w:val="000000"/>
                <w:sz w:val="20"/>
                <w:szCs w:val="20"/>
              </w:rPr>
            </w:pPr>
            <w:r w:rsidRPr="00E8065F">
              <w:rPr>
                <w:color w:val="000000"/>
                <w:sz w:val="20"/>
                <w:szCs w:val="20"/>
              </w:rPr>
              <w:t>2</w:t>
            </w:r>
          </w:p>
        </w:tc>
        <w:tc>
          <w:tcPr>
            <w:tcW w:w="1944" w:type="dxa"/>
            <w:tcBorders>
              <w:top w:val="nil"/>
              <w:left w:val="single" w:sz="4" w:space="0" w:color="auto"/>
              <w:bottom w:val="single" w:sz="4" w:space="0" w:color="auto"/>
              <w:right w:val="single" w:sz="4" w:space="0" w:color="auto"/>
            </w:tcBorders>
            <w:shd w:val="clear" w:color="auto" w:fill="auto"/>
          </w:tcPr>
          <w:p w:rsidR="000E54C2" w:rsidRPr="00E8065F" w:rsidRDefault="000E54C2" w:rsidP="00BA1432">
            <w:pPr>
              <w:jc w:val="center"/>
              <w:rPr>
                <w:color w:val="000000"/>
                <w:sz w:val="20"/>
                <w:szCs w:val="20"/>
              </w:rPr>
            </w:pPr>
            <w:r w:rsidRPr="00E8065F">
              <w:rPr>
                <w:color w:val="000000"/>
                <w:sz w:val="20"/>
                <w:szCs w:val="20"/>
              </w:rPr>
              <w:t>Амбулаторное</w:t>
            </w:r>
          </w:p>
        </w:tc>
      </w:tr>
      <w:tr w:rsidR="00BA1432" w:rsidRPr="00E8065F" w:rsidTr="000546C2">
        <w:trPr>
          <w:trHeight w:val="20"/>
        </w:trPr>
        <w:tc>
          <w:tcPr>
            <w:tcW w:w="1555" w:type="dxa"/>
            <w:vMerge/>
          </w:tcPr>
          <w:p w:rsidR="000E54C2" w:rsidRPr="00E8065F" w:rsidRDefault="000E54C2" w:rsidP="00BA1432">
            <w:pPr>
              <w:rPr>
                <w:sz w:val="20"/>
                <w:szCs w:val="20"/>
              </w:rPr>
            </w:pPr>
          </w:p>
        </w:tc>
        <w:tc>
          <w:tcPr>
            <w:tcW w:w="3685" w:type="dxa"/>
            <w:tcBorders>
              <w:top w:val="single" w:sz="4" w:space="0" w:color="auto"/>
              <w:bottom w:val="single" w:sz="4" w:space="0" w:color="auto"/>
              <w:right w:val="single" w:sz="4" w:space="0" w:color="auto"/>
            </w:tcBorders>
            <w:shd w:val="clear" w:color="auto" w:fill="auto"/>
          </w:tcPr>
          <w:p w:rsidR="000E54C2" w:rsidRPr="00E8065F" w:rsidRDefault="000E54C2" w:rsidP="00DC0475">
            <w:pPr>
              <w:jc w:val="both"/>
              <w:rPr>
                <w:color w:val="000000"/>
                <w:sz w:val="20"/>
                <w:szCs w:val="20"/>
              </w:rPr>
            </w:pPr>
            <w:r w:rsidRPr="00E8065F">
              <w:rPr>
                <w:color w:val="000000"/>
                <w:sz w:val="20"/>
                <w:szCs w:val="20"/>
              </w:rPr>
              <w:t xml:space="preserve">ГАУЗ </w:t>
            </w:r>
            <w:r w:rsidR="002F7358">
              <w:rPr>
                <w:color w:val="000000"/>
                <w:sz w:val="20"/>
                <w:szCs w:val="20"/>
              </w:rPr>
              <w:t>«</w:t>
            </w:r>
            <w:r w:rsidRPr="00E8065F">
              <w:rPr>
                <w:color w:val="000000"/>
                <w:sz w:val="20"/>
                <w:szCs w:val="20"/>
              </w:rPr>
              <w:t>Городская клиническая больница №</w:t>
            </w:r>
            <w:r w:rsidR="001164A3">
              <w:rPr>
                <w:color w:val="000000"/>
                <w:sz w:val="20"/>
                <w:szCs w:val="20"/>
              </w:rPr>
              <w:t xml:space="preserve"> </w:t>
            </w:r>
            <w:r w:rsidRPr="00E8065F">
              <w:rPr>
                <w:color w:val="000000"/>
                <w:sz w:val="20"/>
                <w:szCs w:val="20"/>
              </w:rPr>
              <w:t>12</w:t>
            </w:r>
            <w:r w:rsidR="002F7358">
              <w:rPr>
                <w:color w:val="000000"/>
                <w:sz w:val="20"/>
                <w:szCs w:val="20"/>
              </w:rPr>
              <w:t>»</w:t>
            </w:r>
            <w:r w:rsidR="001164A3">
              <w:rPr>
                <w:color w:val="000000"/>
                <w:sz w:val="20"/>
                <w:szCs w:val="20"/>
              </w:rPr>
              <w:t xml:space="preserve"> г.</w:t>
            </w:r>
            <w:r w:rsidR="003722E0">
              <w:rPr>
                <w:color w:val="000000"/>
                <w:sz w:val="20"/>
                <w:szCs w:val="20"/>
              </w:rPr>
              <w:t>Казани</w:t>
            </w:r>
          </w:p>
        </w:tc>
        <w:tc>
          <w:tcPr>
            <w:tcW w:w="1994" w:type="dxa"/>
            <w:tcBorders>
              <w:top w:val="single" w:sz="4" w:space="0" w:color="auto"/>
              <w:left w:val="single" w:sz="4" w:space="0" w:color="auto"/>
              <w:bottom w:val="single" w:sz="4" w:space="0" w:color="auto"/>
              <w:right w:val="single" w:sz="4" w:space="0" w:color="auto"/>
            </w:tcBorders>
            <w:shd w:val="clear" w:color="auto" w:fill="auto"/>
          </w:tcPr>
          <w:p w:rsidR="000E54C2" w:rsidRPr="00E8065F" w:rsidRDefault="000E54C2" w:rsidP="00BA1432">
            <w:pPr>
              <w:jc w:val="center"/>
              <w:rPr>
                <w:color w:val="000000"/>
                <w:sz w:val="20"/>
                <w:szCs w:val="20"/>
              </w:rPr>
            </w:pPr>
            <w:r w:rsidRPr="00E8065F">
              <w:rPr>
                <w:color w:val="000000"/>
                <w:sz w:val="20"/>
                <w:szCs w:val="20"/>
              </w:rPr>
              <w:t>Рентгенодиагностические аппараты</w:t>
            </w:r>
          </w:p>
        </w:tc>
        <w:tc>
          <w:tcPr>
            <w:tcW w:w="1181" w:type="dxa"/>
            <w:tcBorders>
              <w:top w:val="single" w:sz="4" w:space="0" w:color="auto"/>
              <w:left w:val="single" w:sz="4" w:space="0" w:color="auto"/>
              <w:bottom w:val="single" w:sz="4" w:space="0" w:color="auto"/>
              <w:right w:val="single" w:sz="4" w:space="0" w:color="auto"/>
            </w:tcBorders>
            <w:shd w:val="clear" w:color="auto" w:fill="auto"/>
          </w:tcPr>
          <w:p w:rsidR="00B96806" w:rsidRPr="00E8065F" w:rsidRDefault="000E54C2" w:rsidP="00B96806">
            <w:pPr>
              <w:jc w:val="center"/>
              <w:rPr>
                <w:sz w:val="20"/>
                <w:szCs w:val="20"/>
              </w:rPr>
            </w:pPr>
            <w:r w:rsidRPr="00E8065F">
              <w:rPr>
                <w:sz w:val="20"/>
                <w:szCs w:val="20"/>
              </w:rPr>
              <w:t>2015</w:t>
            </w:r>
            <w:r w:rsidR="00AA5FB3">
              <w:rPr>
                <w:sz w:val="20"/>
                <w:szCs w:val="20"/>
              </w:rPr>
              <w:t xml:space="preserve"> </w:t>
            </w:r>
            <w:r w:rsidR="00B96806">
              <w:rPr>
                <w:sz w:val="20"/>
                <w:szCs w:val="20"/>
              </w:rPr>
              <w:t>(1)</w:t>
            </w:r>
          </w:p>
          <w:p w:rsidR="00B96806" w:rsidRPr="00E8065F" w:rsidRDefault="000E54C2" w:rsidP="00B96806">
            <w:pPr>
              <w:jc w:val="center"/>
              <w:rPr>
                <w:sz w:val="20"/>
                <w:szCs w:val="20"/>
              </w:rPr>
            </w:pPr>
            <w:r w:rsidRPr="00E8065F">
              <w:rPr>
                <w:sz w:val="20"/>
                <w:szCs w:val="20"/>
              </w:rPr>
              <w:t>2023</w:t>
            </w:r>
            <w:r w:rsidR="00AA5FB3">
              <w:rPr>
                <w:sz w:val="20"/>
                <w:szCs w:val="20"/>
              </w:rPr>
              <w:t xml:space="preserve"> </w:t>
            </w:r>
            <w:r w:rsidR="00B96806">
              <w:rPr>
                <w:sz w:val="20"/>
                <w:szCs w:val="20"/>
              </w:rPr>
              <w:t>(1)</w:t>
            </w:r>
          </w:p>
          <w:p w:rsidR="000E54C2" w:rsidRPr="00E8065F" w:rsidRDefault="000E54C2" w:rsidP="00B96806">
            <w:pPr>
              <w:jc w:val="center"/>
              <w:rPr>
                <w:sz w:val="20"/>
                <w:szCs w:val="20"/>
              </w:rPr>
            </w:pPr>
            <w:r w:rsidRPr="00E8065F">
              <w:rPr>
                <w:sz w:val="20"/>
                <w:szCs w:val="20"/>
              </w:rPr>
              <w:t>2024</w:t>
            </w:r>
            <w:r w:rsidR="00AA5FB3">
              <w:rPr>
                <w:sz w:val="20"/>
                <w:szCs w:val="20"/>
              </w:rPr>
              <w:t xml:space="preserve"> </w:t>
            </w:r>
            <w:r w:rsidR="00B96806">
              <w:rPr>
                <w:sz w:val="20"/>
                <w:szCs w:val="20"/>
              </w:rPr>
              <w:t>(1)</w:t>
            </w:r>
          </w:p>
        </w:tc>
        <w:tc>
          <w:tcPr>
            <w:tcW w:w="1181" w:type="dxa"/>
            <w:tcBorders>
              <w:top w:val="single" w:sz="4" w:space="0" w:color="auto"/>
              <w:left w:val="single" w:sz="4" w:space="0" w:color="auto"/>
              <w:bottom w:val="single" w:sz="4" w:space="0" w:color="auto"/>
              <w:right w:val="single" w:sz="4" w:space="0" w:color="auto"/>
            </w:tcBorders>
            <w:shd w:val="clear" w:color="auto" w:fill="auto"/>
          </w:tcPr>
          <w:p w:rsidR="000E54C2" w:rsidRPr="00E8065F" w:rsidRDefault="000E54C2" w:rsidP="000546C2">
            <w:pPr>
              <w:jc w:val="center"/>
              <w:rPr>
                <w:color w:val="000000"/>
                <w:sz w:val="20"/>
                <w:szCs w:val="20"/>
              </w:rPr>
            </w:pPr>
            <w:r w:rsidRPr="00E8065F">
              <w:rPr>
                <w:color w:val="000000"/>
                <w:sz w:val="20"/>
                <w:szCs w:val="20"/>
              </w:rPr>
              <w:t>3</w:t>
            </w:r>
          </w:p>
        </w:tc>
        <w:tc>
          <w:tcPr>
            <w:tcW w:w="1478" w:type="dxa"/>
            <w:tcBorders>
              <w:top w:val="single" w:sz="4" w:space="0" w:color="auto"/>
              <w:left w:val="single" w:sz="4" w:space="0" w:color="auto"/>
              <w:bottom w:val="single" w:sz="4" w:space="0" w:color="auto"/>
              <w:right w:val="single" w:sz="4" w:space="0" w:color="auto"/>
            </w:tcBorders>
            <w:shd w:val="clear" w:color="auto" w:fill="auto"/>
          </w:tcPr>
          <w:p w:rsidR="000E54C2" w:rsidRPr="00E8065F" w:rsidRDefault="000E54C2" w:rsidP="000546C2">
            <w:pPr>
              <w:jc w:val="center"/>
              <w:rPr>
                <w:color w:val="000000"/>
                <w:sz w:val="20"/>
                <w:szCs w:val="20"/>
              </w:rPr>
            </w:pPr>
            <w:r w:rsidRPr="00E8065F">
              <w:rPr>
                <w:color w:val="000000"/>
                <w:sz w:val="20"/>
                <w:szCs w:val="20"/>
              </w:rPr>
              <w:t>147</w:t>
            </w:r>
          </w:p>
        </w:tc>
        <w:tc>
          <w:tcPr>
            <w:tcW w:w="1111" w:type="dxa"/>
            <w:tcBorders>
              <w:top w:val="single" w:sz="4" w:space="0" w:color="auto"/>
              <w:left w:val="single" w:sz="4" w:space="0" w:color="auto"/>
              <w:bottom w:val="single" w:sz="4" w:space="0" w:color="auto"/>
              <w:right w:val="single" w:sz="4" w:space="0" w:color="auto"/>
            </w:tcBorders>
            <w:shd w:val="clear" w:color="auto" w:fill="auto"/>
          </w:tcPr>
          <w:p w:rsidR="000E54C2" w:rsidRPr="00E8065F" w:rsidRDefault="000E54C2" w:rsidP="000546C2">
            <w:pPr>
              <w:jc w:val="center"/>
              <w:rPr>
                <w:color w:val="000000"/>
                <w:sz w:val="20"/>
                <w:szCs w:val="20"/>
              </w:rPr>
            </w:pPr>
            <w:r w:rsidRPr="00E8065F">
              <w:rPr>
                <w:color w:val="000000"/>
                <w:sz w:val="20"/>
                <w:szCs w:val="20"/>
              </w:rPr>
              <w:t>2</w:t>
            </w:r>
          </w:p>
        </w:tc>
        <w:tc>
          <w:tcPr>
            <w:tcW w:w="1944" w:type="dxa"/>
            <w:tcBorders>
              <w:top w:val="single" w:sz="4" w:space="0" w:color="auto"/>
              <w:left w:val="single" w:sz="4" w:space="0" w:color="auto"/>
              <w:bottom w:val="single" w:sz="4" w:space="0" w:color="auto"/>
              <w:right w:val="single" w:sz="4" w:space="0" w:color="auto"/>
            </w:tcBorders>
            <w:shd w:val="clear" w:color="auto" w:fill="auto"/>
          </w:tcPr>
          <w:p w:rsidR="000E54C2" w:rsidRPr="00E8065F" w:rsidRDefault="000E54C2" w:rsidP="00BA1432">
            <w:pPr>
              <w:jc w:val="center"/>
              <w:rPr>
                <w:color w:val="000000"/>
                <w:sz w:val="20"/>
                <w:szCs w:val="20"/>
              </w:rPr>
            </w:pPr>
            <w:r w:rsidRPr="00E8065F">
              <w:rPr>
                <w:color w:val="000000"/>
                <w:sz w:val="20"/>
                <w:szCs w:val="20"/>
              </w:rPr>
              <w:t>Амбулаторное/стационарное</w:t>
            </w:r>
          </w:p>
        </w:tc>
      </w:tr>
      <w:tr w:rsidR="00BA1432" w:rsidRPr="00E8065F" w:rsidTr="000546C2">
        <w:trPr>
          <w:trHeight w:val="20"/>
        </w:trPr>
        <w:tc>
          <w:tcPr>
            <w:tcW w:w="1555" w:type="dxa"/>
            <w:vMerge/>
          </w:tcPr>
          <w:p w:rsidR="000E54C2" w:rsidRPr="00E8065F" w:rsidRDefault="000E54C2" w:rsidP="00BA1432">
            <w:pPr>
              <w:rPr>
                <w:sz w:val="20"/>
                <w:szCs w:val="20"/>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0E54C2" w:rsidRPr="00E8065F" w:rsidRDefault="000E54C2" w:rsidP="00DC0475">
            <w:pPr>
              <w:jc w:val="both"/>
              <w:rPr>
                <w:color w:val="000000"/>
                <w:sz w:val="20"/>
                <w:szCs w:val="20"/>
              </w:rPr>
            </w:pPr>
            <w:r w:rsidRPr="00E8065F">
              <w:rPr>
                <w:color w:val="000000"/>
                <w:sz w:val="20"/>
                <w:szCs w:val="20"/>
              </w:rPr>
              <w:t xml:space="preserve">ГАУЗ </w:t>
            </w:r>
            <w:r w:rsidR="002F7358">
              <w:rPr>
                <w:color w:val="000000"/>
                <w:sz w:val="20"/>
                <w:szCs w:val="20"/>
              </w:rPr>
              <w:t>«</w:t>
            </w:r>
            <w:r w:rsidRPr="00E8065F">
              <w:rPr>
                <w:color w:val="000000"/>
                <w:sz w:val="20"/>
                <w:szCs w:val="20"/>
              </w:rPr>
              <w:t>Городская больница №</w:t>
            </w:r>
            <w:r w:rsidR="001164A3">
              <w:rPr>
                <w:color w:val="000000"/>
                <w:sz w:val="20"/>
                <w:szCs w:val="20"/>
              </w:rPr>
              <w:t xml:space="preserve"> </w:t>
            </w:r>
            <w:r w:rsidRPr="00E8065F">
              <w:rPr>
                <w:color w:val="000000"/>
                <w:sz w:val="20"/>
                <w:szCs w:val="20"/>
              </w:rPr>
              <w:t>11</w:t>
            </w:r>
            <w:r w:rsidR="002F7358">
              <w:rPr>
                <w:color w:val="000000"/>
                <w:sz w:val="20"/>
                <w:szCs w:val="20"/>
              </w:rPr>
              <w:t>»</w:t>
            </w:r>
            <w:r w:rsidR="003722E0">
              <w:rPr>
                <w:color w:val="000000"/>
                <w:sz w:val="20"/>
                <w:szCs w:val="20"/>
              </w:rPr>
              <w:t xml:space="preserve"> г.Казани</w:t>
            </w:r>
          </w:p>
        </w:tc>
        <w:tc>
          <w:tcPr>
            <w:tcW w:w="1994" w:type="dxa"/>
            <w:tcBorders>
              <w:top w:val="single" w:sz="4" w:space="0" w:color="auto"/>
              <w:left w:val="single" w:sz="4" w:space="0" w:color="auto"/>
              <w:bottom w:val="single" w:sz="4" w:space="0" w:color="auto"/>
              <w:right w:val="single" w:sz="4" w:space="0" w:color="auto"/>
            </w:tcBorders>
            <w:shd w:val="clear" w:color="auto" w:fill="auto"/>
          </w:tcPr>
          <w:p w:rsidR="000E54C2" w:rsidRPr="00E8065F" w:rsidRDefault="000E54C2" w:rsidP="00BA1432">
            <w:pPr>
              <w:jc w:val="center"/>
              <w:rPr>
                <w:color w:val="000000"/>
                <w:sz w:val="20"/>
                <w:szCs w:val="20"/>
              </w:rPr>
            </w:pPr>
            <w:r w:rsidRPr="00E8065F">
              <w:rPr>
                <w:color w:val="000000"/>
                <w:sz w:val="20"/>
                <w:szCs w:val="20"/>
              </w:rPr>
              <w:t>Рентгенодиагностические аппараты</w:t>
            </w:r>
          </w:p>
        </w:tc>
        <w:tc>
          <w:tcPr>
            <w:tcW w:w="1181" w:type="dxa"/>
            <w:tcBorders>
              <w:top w:val="single" w:sz="4" w:space="0" w:color="auto"/>
            </w:tcBorders>
            <w:shd w:val="clear" w:color="auto" w:fill="auto"/>
          </w:tcPr>
          <w:p w:rsidR="000E54C2" w:rsidRPr="00E8065F" w:rsidRDefault="000E54C2" w:rsidP="000546C2">
            <w:pPr>
              <w:jc w:val="center"/>
              <w:rPr>
                <w:sz w:val="20"/>
                <w:szCs w:val="20"/>
              </w:rPr>
            </w:pPr>
            <w:r w:rsidRPr="00E8065F">
              <w:rPr>
                <w:sz w:val="20"/>
                <w:szCs w:val="20"/>
              </w:rPr>
              <w:t>2023</w:t>
            </w:r>
          </w:p>
        </w:tc>
        <w:tc>
          <w:tcPr>
            <w:tcW w:w="1181" w:type="dxa"/>
            <w:tcBorders>
              <w:top w:val="single" w:sz="4" w:space="0" w:color="auto"/>
              <w:left w:val="single" w:sz="4" w:space="0" w:color="auto"/>
              <w:bottom w:val="single" w:sz="4" w:space="0" w:color="auto"/>
              <w:right w:val="single" w:sz="4" w:space="0" w:color="auto"/>
            </w:tcBorders>
            <w:shd w:val="clear" w:color="auto" w:fill="auto"/>
          </w:tcPr>
          <w:p w:rsidR="000E54C2" w:rsidRPr="00E8065F" w:rsidRDefault="000E54C2" w:rsidP="000546C2">
            <w:pPr>
              <w:jc w:val="center"/>
              <w:rPr>
                <w:color w:val="000000"/>
                <w:sz w:val="20"/>
                <w:szCs w:val="20"/>
              </w:rPr>
            </w:pPr>
            <w:r w:rsidRPr="00E8065F">
              <w:rPr>
                <w:color w:val="000000"/>
                <w:sz w:val="20"/>
                <w:szCs w:val="20"/>
              </w:rPr>
              <w:t>1</w:t>
            </w:r>
          </w:p>
        </w:tc>
        <w:tc>
          <w:tcPr>
            <w:tcW w:w="1478" w:type="dxa"/>
            <w:tcBorders>
              <w:top w:val="single" w:sz="4" w:space="0" w:color="auto"/>
              <w:left w:val="single" w:sz="4" w:space="0" w:color="auto"/>
              <w:bottom w:val="single" w:sz="4" w:space="0" w:color="auto"/>
              <w:right w:val="single" w:sz="4" w:space="0" w:color="auto"/>
            </w:tcBorders>
            <w:shd w:val="clear" w:color="auto" w:fill="auto"/>
          </w:tcPr>
          <w:p w:rsidR="000E54C2" w:rsidRPr="00E8065F" w:rsidRDefault="000E54C2" w:rsidP="000546C2">
            <w:pPr>
              <w:jc w:val="center"/>
              <w:rPr>
                <w:color w:val="000000"/>
                <w:sz w:val="20"/>
                <w:szCs w:val="20"/>
              </w:rPr>
            </w:pPr>
            <w:r w:rsidRPr="00E8065F">
              <w:rPr>
                <w:color w:val="000000"/>
                <w:sz w:val="20"/>
                <w:szCs w:val="20"/>
              </w:rPr>
              <w:t>12</w:t>
            </w:r>
          </w:p>
        </w:tc>
        <w:tc>
          <w:tcPr>
            <w:tcW w:w="1111" w:type="dxa"/>
            <w:tcBorders>
              <w:top w:val="single" w:sz="4" w:space="0" w:color="auto"/>
              <w:left w:val="single" w:sz="4" w:space="0" w:color="auto"/>
              <w:bottom w:val="single" w:sz="4" w:space="0" w:color="auto"/>
              <w:right w:val="single" w:sz="4" w:space="0" w:color="auto"/>
            </w:tcBorders>
            <w:shd w:val="clear" w:color="auto" w:fill="auto"/>
          </w:tcPr>
          <w:p w:rsidR="000E54C2" w:rsidRPr="00E8065F" w:rsidRDefault="000E54C2" w:rsidP="000546C2">
            <w:pPr>
              <w:jc w:val="center"/>
              <w:rPr>
                <w:color w:val="000000"/>
                <w:sz w:val="20"/>
                <w:szCs w:val="20"/>
              </w:rPr>
            </w:pPr>
            <w:r w:rsidRPr="00E8065F">
              <w:rPr>
                <w:color w:val="000000"/>
                <w:sz w:val="20"/>
                <w:szCs w:val="20"/>
              </w:rPr>
              <w:t>2</w:t>
            </w:r>
          </w:p>
        </w:tc>
        <w:tc>
          <w:tcPr>
            <w:tcW w:w="1944" w:type="dxa"/>
            <w:tcBorders>
              <w:top w:val="single" w:sz="4" w:space="0" w:color="auto"/>
              <w:left w:val="single" w:sz="4" w:space="0" w:color="auto"/>
              <w:bottom w:val="single" w:sz="4" w:space="0" w:color="auto"/>
              <w:right w:val="single" w:sz="4" w:space="0" w:color="auto"/>
            </w:tcBorders>
            <w:shd w:val="clear" w:color="auto" w:fill="auto"/>
          </w:tcPr>
          <w:p w:rsidR="000E54C2" w:rsidRPr="00E8065F" w:rsidRDefault="000E54C2" w:rsidP="00BA1432">
            <w:pPr>
              <w:jc w:val="center"/>
              <w:rPr>
                <w:color w:val="000000"/>
                <w:sz w:val="20"/>
                <w:szCs w:val="20"/>
              </w:rPr>
            </w:pPr>
            <w:r w:rsidRPr="00E8065F">
              <w:rPr>
                <w:color w:val="000000"/>
                <w:sz w:val="20"/>
                <w:szCs w:val="20"/>
              </w:rPr>
              <w:t>Амбулаторное/стационарное</w:t>
            </w:r>
          </w:p>
        </w:tc>
      </w:tr>
      <w:tr w:rsidR="00BA1432" w:rsidRPr="00E8065F" w:rsidTr="000546C2">
        <w:trPr>
          <w:trHeight w:val="20"/>
        </w:trPr>
        <w:tc>
          <w:tcPr>
            <w:tcW w:w="1555" w:type="dxa"/>
            <w:vMerge/>
          </w:tcPr>
          <w:p w:rsidR="000E54C2" w:rsidRPr="00E8065F" w:rsidRDefault="000E54C2" w:rsidP="00BA1432">
            <w:pPr>
              <w:rPr>
                <w:sz w:val="20"/>
                <w:szCs w:val="20"/>
              </w:rPr>
            </w:pPr>
          </w:p>
        </w:tc>
        <w:tc>
          <w:tcPr>
            <w:tcW w:w="3685" w:type="dxa"/>
            <w:tcBorders>
              <w:top w:val="nil"/>
              <w:left w:val="single" w:sz="4" w:space="0" w:color="auto"/>
              <w:bottom w:val="single" w:sz="4" w:space="0" w:color="auto"/>
              <w:right w:val="single" w:sz="4" w:space="0" w:color="auto"/>
            </w:tcBorders>
            <w:shd w:val="clear" w:color="auto" w:fill="auto"/>
          </w:tcPr>
          <w:p w:rsidR="000E54C2" w:rsidRPr="00E8065F" w:rsidRDefault="000E54C2" w:rsidP="00DC0475">
            <w:pPr>
              <w:jc w:val="both"/>
              <w:rPr>
                <w:color w:val="000000"/>
                <w:sz w:val="20"/>
                <w:szCs w:val="20"/>
              </w:rPr>
            </w:pPr>
            <w:r w:rsidRPr="00E8065F">
              <w:rPr>
                <w:color w:val="000000"/>
                <w:sz w:val="20"/>
                <w:szCs w:val="20"/>
              </w:rPr>
              <w:t xml:space="preserve">ГАУЗ </w:t>
            </w:r>
            <w:r w:rsidR="002F7358">
              <w:rPr>
                <w:color w:val="000000"/>
                <w:sz w:val="20"/>
                <w:szCs w:val="20"/>
              </w:rPr>
              <w:t>«</w:t>
            </w:r>
            <w:r w:rsidRPr="00E8065F">
              <w:rPr>
                <w:color w:val="000000"/>
                <w:sz w:val="20"/>
                <w:szCs w:val="20"/>
              </w:rPr>
              <w:t>Городская клиническая больница №</w:t>
            </w:r>
            <w:r w:rsidR="001164A3">
              <w:rPr>
                <w:color w:val="000000"/>
                <w:sz w:val="20"/>
                <w:szCs w:val="20"/>
              </w:rPr>
              <w:t xml:space="preserve"> </w:t>
            </w:r>
            <w:r w:rsidRPr="00E8065F">
              <w:rPr>
                <w:color w:val="000000"/>
                <w:sz w:val="20"/>
                <w:szCs w:val="20"/>
              </w:rPr>
              <w:t>16</w:t>
            </w:r>
            <w:r w:rsidR="002F7358">
              <w:rPr>
                <w:color w:val="000000"/>
                <w:sz w:val="20"/>
                <w:szCs w:val="20"/>
              </w:rPr>
              <w:t>»</w:t>
            </w:r>
            <w:r w:rsidR="001164A3">
              <w:rPr>
                <w:color w:val="000000"/>
                <w:sz w:val="20"/>
                <w:szCs w:val="20"/>
              </w:rPr>
              <w:t xml:space="preserve"> г.</w:t>
            </w:r>
            <w:r w:rsidR="003722E0">
              <w:rPr>
                <w:color w:val="000000"/>
                <w:sz w:val="20"/>
                <w:szCs w:val="20"/>
              </w:rPr>
              <w:t>Казани</w:t>
            </w:r>
          </w:p>
        </w:tc>
        <w:tc>
          <w:tcPr>
            <w:tcW w:w="1994" w:type="dxa"/>
            <w:tcBorders>
              <w:top w:val="nil"/>
              <w:left w:val="single" w:sz="4" w:space="0" w:color="auto"/>
              <w:bottom w:val="single" w:sz="4" w:space="0" w:color="auto"/>
              <w:right w:val="single" w:sz="4" w:space="0" w:color="auto"/>
            </w:tcBorders>
            <w:shd w:val="clear" w:color="auto" w:fill="auto"/>
          </w:tcPr>
          <w:p w:rsidR="000E54C2" w:rsidRPr="00E8065F" w:rsidRDefault="000E54C2" w:rsidP="00BA1432">
            <w:pPr>
              <w:jc w:val="center"/>
              <w:rPr>
                <w:color w:val="000000"/>
                <w:sz w:val="20"/>
                <w:szCs w:val="20"/>
              </w:rPr>
            </w:pPr>
            <w:r w:rsidRPr="00E8065F">
              <w:rPr>
                <w:color w:val="000000"/>
                <w:sz w:val="20"/>
                <w:szCs w:val="20"/>
              </w:rPr>
              <w:t>Рентгенодиагностические аппараты</w:t>
            </w:r>
          </w:p>
        </w:tc>
        <w:tc>
          <w:tcPr>
            <w:tcW w:w="1181" w:type="dxa"/>
            <w:shd w:val="clear" w:color="auto" w:fill="auto"/>
          </w:tcPr>
          <w:p w:rsidR="00B96806" w:rsidRPr="00E8065F" w:rsidRDefault="000E54C2" w:rsidP="00B96806">
            <w:pPr>
              <w:jc w:val="center"/>
              <w:rPr>
                <w:sz w:val="20"/>
                <w:szCs w:val="20"/>
              </w:rPr>
            </w:pPr>
            <w:r w:rsidRPr="00E8065F">
              <w:rPr>
                <w:sz w:val="20"/>
                <w:szCs w:val="20"/>
              </w:rPr>
              <w:t>2007</w:t>
            </w:r>
            <w:r w:rsidR="00AA5FB3">
              <w:rPr>
                <w:sz w:val="20"/>
                <w:szCs w:val="20"/>
              </w:rPr>
              <w:t xml:space="preserve"> </w:t>
            </w:r>
            <w:r w:rsidR="00B96806">
              <w:rPr>
                <w:sz w:val="20"/>
                <w:szCs w:val="20"/>
              </w:rPr>
              <w:t>(1)</w:t>
            </w:r>
          </w:p>
          <w:p w:rsidR="000E54C2" w:rsidRPr="00E8065F" w:rsidRDefault="000E54C2" w:rsidP="00B96806">
            <w:pPr>
              <w:jc w:val="center"/>
              <w:rPr>
                <w:sz w:val="20"/>
                <w:szCs w:val="20"/>
              </w:rPr>
            </w:pPr>
            <w:r w:rsidRPr="00E8065F">
              <w:rPr>
                <w:sz w:val="20"/>
                <w:szCs w:val="20"/>
              </w:rPr>
              <w:t>2014</w:t>
            </w:r>
            <w:r w:rsidR="00AA5FB3">
              <w:rPr>
                <w:sz w:val="20"/>
                <w:szCs w:val="20"/>
              </w:rPr>
              <w:t xml:space="preserve"> </w:t>
            </w:r>
            <w:r w:rsidR="00B96806">
              <w:rPr>
                <w:sz w:val="20"/>
                <w:szCs w:val="20"/>
              </w:rPr>
              <w:t>(1)</w:t>
            </w:r>
          </w:p>
        </w:tc>
        <w:tc>
          <w:tcPr>
            <w:tcW w:w="1181" w:type="dxa"/>
            <w:tcBorders>
              <w:top w:val="nil"/>
              <w:left w:val="single" w:sz="4" w:space="0" w:color="auto"/>
              <w:bottom w:val="single" w:sz="4" w:space="0" w:color="auto"/>
              <w:right w:val="single" w:sz="4" w:space="0" w:color="auto"/>
            </w:tcBorders>
            <w:shd w:val="clear" w:color="auto" w:fill="auto"/>
          </w:tcPr>
          <w:p w:rsidR="000E54C2" w:rsidRPr="00E8065F" w:rsidRDefault="000E54C2" w:rsidP="000546C2">
            <w:pPr>
              <w:jc w:val="center"/>
              <w:rPr>
                <w:color w:val="000000"/>
                <w:sz w:val="20"/>
                <w:szCs w:val="20"/>
              </w:rPr>
            </w:pPr>
            <w:r w:rsidRPr="00E8065F">
              <w:rPr>
                <w:color w:val="000000"/>
                <w:sz w:val="20"/>
                <w:szCs w:val="20"/>
              </w:rPr>
              <w:t>2</w:t>
            </w:r>
          </w:p>
        </w:tc>
        <w:tc>
          <w:tcPr>
            <w:tcW w:w="1478" w:type="dxa"/>
            <w:tcBorders>
              <w:top w:val="nil"/>
              <w:left w:val="single" w:sz="4" w:space="0" w:color="auto"/>
              <w:bottom w:val="single" w:sz="4" w:space="0" w:color="auto"/>
              <w:right w:val="single" w:sz="4" w:space="0" w:color="auto"/>
            </w:tcBorders>
            <w:shd w:val="clear" w:color="auto" w:fill="auto"/>
          </w:tcPr>
          <w:p w:rsidR="000E54C2" w:rsidRPr="00E8065F" w:rsidRDefault="000E54C2" w:rsidP="000546C2">
            <w:pPr>
              <w:jc w:val="center"/>
              <w:rPr>
                <w:color w:val="000000"/>
                <w:sz w:val="20"/>
                <w:szCs w:val="20"/>
              </w:rPr>
            </w:pPr>
            <w:r w:rsidRPr="00E8065F">
              <w:rPr>
                <w:color w:val="000000"/>
                <w:sz w:val="20"/>
                <w:szCs w:val="20"/>
              </w:rPr>
              <w:t>90</w:t>
            </w:r>
          </w:p>
        </w:tc>
        <w:tc>
          <w:tcPr>
            <w:tcW w:w="1111" w:type="dxa"/>
            <w:tcBorders>
              <w:top w:val="nil"/>
              <w:left w:val="single" w:sz="4" w:space="0" w:color="auto"/>
              <w:bottom w:val="single" w:sz="4" w:space="0" w:color="auto"/>
              <w:right w:val="single" w:sz="4" w:space="0" w:color="auto"/>
            </w:tcBorders>
            <w:shd w:val="clear" w:color="auto" w:fill="auto"/>
          </w:tcPr>
          <w:p w:rsidR="000E54C2" w:rsidRPr="00E8065F" w:rsidRDefault="000E54C2" w:rsidP="000546C2">
            <w:pPr>
              <w:jc w:val="center"/>
              <w:rPr>
                <w:color w:val="000000"/>
                <w:sz w:val="20"/>
                <w:szCs w:val="20"/>
              </w:rPr>
            </w:pPr>
            <w:r w:rsidRPr="00E8065F">
              <w:rPr>
                <w:color w:val="000000"/>
                <w:sz w:val="20"/>
                <w:szCs w:val="20"/>
              </w:rPr>
              <w:t>2</w:t>
            </w:r>
          </w:p>
        </w:tc>
        <w:tc>
          <w:tcPr>
            <w:tcW w:w="1944" w:type="dxa"/>
            <w:tcBorders>
              <w:top w:val="nil"/>
              <w:left w:val="single" w:sz="4" w:space="0" w:color="auto"/>
              <w:bottom w:val="single" w:sz="4" w:space="0" w:color="auto"/>
              <w:right w:val="single" w:sz="4" w:space="0" w:color="auto"/>
            </w:tcBorders>
            <w:shd w:val="clear" w:color="auto" w:fill="auto"/>
          </w:tcPr>
          <w:p w:rsidR="000E54C2" w:rsidRPr="00E8065F" w:rsidRDefault="000E54C2" w:rsidP="00BA1432">
            <w:pPr>
              <w:jc w:val="center"/>
              <w:rPr>
                <w:color w:val="000000"/>
                <w:sz w:val="20"/>
                <w:szCs w:val="20"/>
              </w:rPr>
            </w:pPr>
            <w:r w:rsidRPr="00E8065F">
              <w:rPr>
                <w:color w:val="000000"/>
                <w:sz w:val="20"/>
                <w:szCs w:val="20"/>
              </w:rPr>
              <w:t>Амбулаторное/стационарное</w:t>
            </w:r>
          </w:p>
        </w:tc>
      </w:tr>
      <w:tr w:rsidR="00BA1432" w:rsidRPr="00E8065F" w:rsidTr="000546C2">
        <w:trPr>
          <w:trHeight w:val="20"/>
        </w:trPr>
        <w:tc>
          <w:tcPr>
            <w:tcW w:w="1555" w:type="dxa"/>
            <w:vMerge/>
          </w:tcPr>
          <w:p w:rsidR="000E54C2" w:rsidRPr="00E8065F" w:rsidRDefault="000E54C2" w:rsidP="00BA1432">
            <w:pPr>
              <w:rPr>
                <w:sz w:val="20"/>
                <w:szCs w:val="20"/>
              </w:rPr>
            </w:pPr>
          </w:p>
        </w:tc>
        <w:tc>
          <w:tcPr>
            <w:tcW w:w="3685" w:type="dxa"/>
            <w:tcBorders>
              <w:top w:val="nil"/>
              <w:left w:val="single" w:sz="4" w:space="0" w:color="auto"/>
              <w:bottom w:val="single" w:sz="4" w:space="0" w:color="auto"/>
              <w:right w:val="single" w:sz="4" w:space="0" w:color="auto"/>
            </w:tcBorders>
            <w:shd w:val="clear" w:color="auto" w:fill="auto"/>
          </w:tcPr>
          <w:p w:rsidR="000E54C2" w:rsidRPr="00E8065F" w:rsidRDefault="000E54C2" w:rsidP="00DC0475">
            <w:pPr>
              <w:jc w:val="both"/>
              <w:rPr>
                <w:color w:val="000000"/>
                <w:sz w:val="20"/>
                <w:szCs w:val="20"/>
              </w:rPr>
            </w:pPr>
            <w:r>
              <w:rPr>
                <w:color w:val="000000"/>
                <w:sz w:val="20"/>
                <w:szCs w:val="20"/>
              </w:rPr>
              <w:t xml:space="preserve">ГАУЗ </w:t>
            </w:r>
            <w:r w:rsidR="002F7358">
              <w:rPr>
                <w:color w:val="000000"/>
                <w:sz w:val="20"/>
                <w:szCs w:val="20"/>
              </w:rPr>
              <w:t>«</w:t>
            </w:r>
            <w:r>
              <w:rPr>
                <w:color w:val="000000"/>
                <w:sz w:val="20"/>
                <w:szCs w:val="20"/>
              </w:rPr>
              <w:t>Центральная городска</w:t>
            </w:r>
            <w:r w:rsidR="001164A3">
              <w:rPr>
                <w:color w:val="000000"/>
                <w:sz w:val="20"/>
                <w:szCs w:val="20"/>
              </w:rPr>
              <w:t>я клиническая больница № 18 им.</w:t>
            </w:r>
            <w:r>
              <w:rPr>
                <w:color w:val="000000"/>
                <w:sz w:val="20"/>
                <w:szCs w:val="20"/>
              </w:rPr>
              <w:t>проф.К.Ш.Зыятдинова</w:t>
            </w:r>
            <w:r w:rsidR="002F7358">
              <w:rPr>
                <w:color w:val="000000"/>
                <w:sz w:val="20"/>
                <w:szCs w:val="20"/>
              </w:rPr>
              <w:t>»</w:t>
            </w:r>
            <w:r>
              <w:rPr>
                <w:color w:val="000000"/>
                <w:sz w:val="20"/>
                <w:szCs w:val="20"/>
              </w:rPr>
              <w:t xml:space="preserve"> г.Казани</w:t>
            </w:r>
          </w:p>
        </w:tc>
        <w:tc>
          <w:tcPr>
            <w:tcW w:w="1994" w:type="dxa"/>
            <w:tcBorders>
              <w:top w:val="nil"/>
              <w:left w:val="single" w:sz="4" w:space="0" w:color="auto"/>
              <w:bottom w:val="single" w:sz="4" w:space="0" w:color="auto"/>
              <w:right w:val="single" w:sz="4" w:space="0" w:color="auto"/>
            </w:tcBorders>
            <w:shd w:val="clear" w:color="auto" w:fill="auto"/>
          </w:tcPr>
          <w:p w:rsidR="000E54C2" w:rsidRPr="00E8065F" w:rsidRDefault="000E54C2" w:rsidP="00BA1432">
            <w:pPr>
              <w:jc w:val="center"/>
              <w:rPr>
                <w:color w:val="000000"/>
                <w:sz w:val="20"/>
                <w:szCs w:val="20"/>
              </w:rPr>
            </w:pPr>
            <w:r w:rsidRPr="00E8065F">
              <w:rPr>
                <w:color w:val="000000"/>
                <w:sz w:val="20"/>
                <w:szCs w:val="20"/>
              </w:rPr>
              <w:t>Рентгенодиагностические аппараты</w:t>
            </w:r>
          </w:p>
        </w:tc>
        <w:tc>
          <w:tcPr>
            <w:tcW w:w="1181" w:type="dxa"/>
            <w:tcBorders>
              <w:bottom w:val="single" w:sz="4" w:space="0" w:color="auto"/>
            </w:tcBorders>
            <w:shd w:val="clear" w:color="auto" w:fill="auto"/>
          </w:tcPr>
          <w:p w:rsidR="00B96806" w:rsidRPr="00E8065F" w:rsidRDefault="000E54C2" w:rsidP="00B96806">
            <w:pPr>
              <w:jc w:val="center"/>
              <w:rPr>
                <w:sz w:val="20"/>
                <w:szCs w:val="20"/>
              </w:rPr>
            </w:pPr>
            <w:r w:rsidRPr="00E8065F">
              <w:rPr>
                <w:sz w:val="20"/>
                <w:szCs w:val="20"/>
              </w:rPr>
              <w:t>2002</w:t>
            </w:r>
            <w:r w:rsidR="00AA5FB3">
              <w:rPr>
                <w:sz w:val="20"/>
                <w:szCs w:val="20"/>
              </w:rPr>
              <w:t xml:space="preserve"> </w:t>
            </w:r>
            <w:r w:rsidR="00B96806">
              <w:rPr>
                <w:sz w:val="20"/>
                <w:szCs w:val="20"/>
              </w:rPr>
              <w:t>(1)</w:t>
            </w:r>
          </w:p>
          <w:p w:rsidR="00B96806" w:rsidRPr="00E8065F" w:rsidRDefault="000E54C2" w:rsidP="00B96806">
            <w:pPr>
              <w:jc w:val="center"/>
              <w:rPr>
                <w:sz w:val="20"/>
                <w:szCs w:val="20"/>
              </w:rPr>
            </w:pPr>
            <w:r w:rsidRPr="00E8065F">
              <w:rPr>
                <w:sz w:val="20"/>
                <w:szCs w:val="20"/>
              </w:rPr>
              <w:t>2007</w:t>
            </w:r>
            <w:r w:rsidR="00AA5FB3">
              <w:rPr>
                <w:sz w:val="20"/>
                <w:szCs w:val="20"/>
              </w:rPr>
              <w:t xml:space="preserve"> </w:t>
            </w:r>
            <w:r w:rsidR="00B96806">
              <w:rPr>
                <w:sz w:val="20"/>
                <w:szCs w:val="20"/>
              </w:rPr>
              <w:t>(1)</w:t>
            </w:r>
          </w:p>
          <w:p w:rsidR="000E54C2" w:rsidRPr="00E8065F" w:rsidRDefault="000E54C2" w:rsidP="00B96806">
            <w:pPr>
              <w:jc w:val="center"/>
              <w:rPr>
                <w:sz w:val="20"/>
                <w:szCs w:val="20"/>
              </w:rPr>
            </w:pPr>
            <w:r w:rsidRPr="00E8065F">
              <w:rPr>
                <w:sz w:val="20"/>
                <w:szCs w:val="20"/>
              </w:rPr>
              <w:t>2018</w:t>
            </w:r>
            <w:r w:rsidR="00AA5FB3">
              <w:rPr>
                <w:sz w:val="20"/>
                <w:szCs w:val="20"/>
              </w:rPr>
              <w:t xml:space="preserve"> </w:t>
            </w:r>
            <w:r w:rsidR="00B96806">
              <w:rPr>
                <w:sz w:val="20"/>
                <w:szCs w:val="20"/>
              </w:rPr>
              <w:t>(1)</w:t>
            </w:r>
          </w:p>
        </w:tc>
        <w:tc>
          <w:tcPr>
            <w:tcW w:w="1181" w:type="dxa"/>
            <w:tcBorders>
              <w:top w:val="nil"/>
              <w:left w:val="single" w:sz="4" w:space="0" w:color="auto"/>
              <w:bottom w:val="single" w:sz="4" w:space="0" w:color="auto"/>
              <w:right w:val="single" w:sz="4" w:space="0" w:color="auto"/>
            </w:tcBorders>
            <w:shd w:val="clear" w:color="auto" w:fill="auto"/>
          </w:tcPr>
          <w:p w:rsidR="000E54C2" w:rsidRPr="00E8065F" w:rsidRDefault="000E54C2" w:rsidP="000546C2">
            <w:pPr>
              <w:jc w:val="center"/>
              <w:rPr>
                <w:color w:val="000000"/>
                <w:sz w:val="20"/>
                <w:szCs w:val="20"/>
              </w:rPr>
            </w:pPr>
            <w:r w:rsidRPr="00E8065F">
              <w:rPr>
                <w:color w:val="000000"/>
                <w:sz w:val="20"/>
                <w:szCs w:val="20"/>
              </w:rPr>
              <w:t>3</w:t>
            </w:r>
          </w:p>
        </w:tc>
        <w:tc>
          <w:tcPr>
            <w:tcW w:w="1478" w:type="dxa"/>
            <w:tcBorders>
              <w:top w:val="nil"/>
              <w:left w:val="single" w:sz="4" w:space="0" w:color="auto"/>
              <w:bottom w:val="single" w:sz="4" w:space="0" w:color="auto"/>
              <w:right w:val="single" w:sz="4" w:space="0" w:color="auto"/>
            </w:tcBorders>
            <w:shd w:val="clear" w:color="auto" w:fill="auto"/>
          </w:tcPr>
          <w:p w:rsidR="000E54C2" w:rsidRPr="00E8065F" w:rsidRDefault="000E54C2" w:rsidP="000546C2">
            <w:pPr>
              <w:jc w:val="center"/>
              <w:rPr>
                <w:color w:val="000000"/>
                <w:sz w:val="20"/>
                <w:szCs w:val="20"/>
              </w:rPr>
            </w:pPr>
            <w:r w:rsidRPr="00E8065F">
              <w:rPr>
                <w:color w:val="000000"/>
                <w:sz w:val="20"/>
                <w:szCs w:val="20"/>
              </w:rPr>
              <w:t>145</w:t>
            </w:r>
          </w:p>
        </w:tc>
        <w:tc>
          <w:tcPr>
            <w:tcW w:w="1111" w:type="dxa"/>
            <w:tcBorders>
              <w:top w:val="nil"/>
              <w:left w:val="single" w:sz="4" w:space="0" w:color="auto"/>
              <w:bottom w:val="single" w:sz="4" w:space="0" w:color="auto"/>
              <w:right w:val="single" w:sz="4" w:space="0" w:color="auto"/>
            </w:tcBorders>
            <w:shd w:val="clear" w:color="auto" w:fill="auto"/>
          </w:tcPr>
          <w:p w:rsidR="000E54C2" w:rsidRPr="00E8065F" w:rsidRDefault="000E54C2" w:rsidP="000546C2">
            <w:pPr>
              <w:jc w:val="center"/>
              <w:rPr>
                <w:color w:val="000000"/>
                <w:sz w:val="20"/>
                <w:szCs w:val="20"/>
              </w:rPr>
            </w:pPr>
            <w:r w:rsidRPr="00E8065F">
              <w:rPr>
                <w:color w:val="000000"/>
                <w:sz w:val="20"/>
                <w:szCs w:val="20"/>
              </w:rPr>
              <w:t>2</w:t>
            </w:r>
          </w:p>
        </w:tc>
        <w:tc>
          <w:tcPr>
            <w:tcW w:w="1944" w:type="dxa"/>
            <w:tcBorders>
              <w:top w:val="nil"/>
              <w:left w:val="single" w:sz="4" w:space="0" w:color="auto"/>
              <w:bottom w:val="single" w:sz="4" w:space="0" w:color="auto"/>
              <w:right w:val="single" w:sz="4" w:space="0" w:color="auto"/>
            </w:tcBorders>
            <w:shd w:val="clear" w:color="auto" w:fill="auto"/>
          </w:tcPr>
          <w:p w:rsidR="000E54C2" w:rsidRPr="00E8065F" w:rsidRDefault="000E54C2" w:rsidP="00BA1432">
            <w:pPr>
              <w:jc w:val="center"/>
              <w:rPr>
                <w:color w:val="000000"/>
                <w:sz w:val="20"/>
                <w:szCs w:val="20"/>
              </w:rPr>
            </w:pPr>
            <w:r w:rsidRPr="00E8065F">
              <w:rPr>
                <w:color w:val="000000"/>
                <w:sz w:val="20"/>
                <w:szCs w:val="20"/>
              </w:rPr>
              <w:t>Амбулаторное/стационарное</w:t>
            </w:r>
          </w:p>
        </w:tc>
      </w:tr>
      <w:tr w:rsidR="00BA1432" w:rsidRPr="00E8065F" w:rsidTr="000546C2">
        <w:trPr>
          <w:trHeight w:val="20"/>
        </w:trPr>
        <w:tc>
          <w:tcPr>
            <w:tcW w:w="1555" w:type="dxa"/>
            <w:vMerge/>
          </w:tcPr>
          <w:p w:rsidR="000E54C2" w:rsidRPr="00E8065F" w:rsidRDefault="000E54C2" w:rsidP="00BA1432">
            <w:pPr>
              <w:rPr>
                <w:sz w:val="20"/>
                <w:szCs w:val="20"/>
              </w:rPr>
            </w:pPr>
          </w:p>
        </w:tc>
        <w:tc>
          <w:tcPr>
            <w:tcW w:w="3685" w:type="dxa"/>
            <w:tcBorders>
              <w:top w:val="single" w:sz="4" w:space="0" w:color="auto"/>
              <w:bottom w:val="single" w:sz="4" w:space="0" w:color="auto"/>
              <w:right w:val="single" w:sz="4" w:space="0" w:color="auto"/>
            </w:tcBorders>
            <w:shd w:val="clear" w:color="auto" w:fill="auto"/>
          </w:tcPr>
          <w:p w:rsidR="000E54C2" w:rsidRPr="00E8065F" w:rsidRDefault="000E54C2" w:rsidP="00DC0475">
            <w:pPr>
              <w:jc w:val="both"/>
              <w:rPr>
                <w:color w:val="000000"/>
                <w:sz w:val="20"/>
                <w:szCs w:val="20"/>
              </w:rPr>
            </w:pPr>
            <w:r>
              <w:rPr>
                <w:color w:val="0D0D0D" w:themeColor="text1" w:themeTint="F2"/>
                <w:sz w:val="20"/>
                <w:szCs w:val="20"/>
              </w:rPr>
              <w:t xml:space="preserve">ГАУЗ </w:t>
            </w:r>
            <w:r w:rsidR="002F7358">
              <w:rPr>
                <w:color w:val="0D0D0D" w:themeColor="text1" w:themeTint="F2"/>
                <w:sz w:val="20"/>
                <w:szCs w:val="20"/>
              </w:rPr>
              <w:t>«</w:t>
            </w:r>
            <w:r>
              <w:rPr>
                <w:color w:val="0D0D0D" w:themeColor="text1" w:themeTint="F2"/>
                <w:sz w:val="20"/>
                <w:szCs w:val="20"/>
              </w:rPr>
              <w:t>Клиническая больница № 2</w:t>
            </w:r>
            <w:r w:rsidR="002F7358">
              <w:rPr>
                <w:color w:val="0D0D0D" w:themeColor="text1" w:themeTint="F2"/>
                <w:sz w:val="20"/>
                <w:szCs w:val="20"/>
              </w:rPr>
              <w:t>»</w:t>
            </w:r>
            <w:r>
              <w:rPr>
                <w:color w:val="0D0D0D" w:themeColor="text1" w:themeTint="F2"/>
                <w:sz w:val="20"/>
                <w:szCs w:val="20"/>
              </w:rPr>
              <w:t xml:space="preserve"> г.Казани</w:t>
            </w:r>
          </w:p>
        </w:tc>
        <w:tc>
          <w:tcPr>
            <w:tcW w:w="1994" w:type="dxa"/>
            <w:tcBorders>
              <w:top w:val="single" w:sz="4" w:space="0" w:color="auto"/>
              <w:left w:val="single" w:sz="4" w:space="0" w:color="auto"/>
              <w:bottom w:val="single" w:sz="4" w:space="0" w:color="auto"/>
              <w:right w:val="single" w:sz="4" w:space="0" w:color="auto"/>
            </w:tcBorders>
            <w:shd w:val="clear" w:color="auto" w:fill="auto"/>
          </w:tcPr>
          <w:p w:rsidR="000E54C2" w:rsidRPr="00E8065F" w:rsidRDefault="000E54C2" w:rsidP="00BA1432">
            <w:pPr>
              <w:jc w:val="center"/>
              <w:rPr>
                <w:color w:val="000000"/>
                <w:sz w:val="20"/>
                <w:szCs w:val="20"/>
              </w:rPr>
            </w:pPr>
            <w:r w:rsidRPr="00E8065F">
              <w:rPr>
                <w:color w:val="000000"/>
                <w:sz w:val="20"/>
                <w:szCs w:val="20"/>
              </w:rPr>
              <w:t>Рентгенодиагностические аппараты</w:t>
            </w:r>
          </w:p>
        </w:tc>
        <w:tc>
          <w:tcPr>
            <w:tcW w:w="1181" w:type="dxa"/>
            <w:tcBorders>
              <w:top w:val="single" w:sz="4" w:space="0" w:color="auto"/>
              <w:left w:val="single" w:sz="4" w:space="0" w:color="auto"/>
              <w:bottom w:val="single" w:sz="4" w:space="0" w:color="auto"/>
              <w:right w:val="single" w:sz="4" w:space="0" w:color="auto"/>
            </w:tcBorders>
            <w:shd w:val="clear" w:color="auto" w:fill="auto"/>
          </w:tcPr>
          <w:p w:rsidR="00B96806" w:rsidRPr="00E8065F" w:rsidRDefault="000E54C2" w:rsidP="00B96806">
            <w:pPr>
              <w:jc w:val="center"/>
              <w:rPr>
                <w:sz w:val="20"/>
                <w:szCs w:val="20"/>
              </w:rPr>
            </w:pPr>
            <w:r w:rsidRPr="00E8065F">
              <w:rPr>
                <w:sz w:val="20"/>
                <w:szCs w:val="20"/>
              </w:rPr>
              <w:t>2014</w:t>
            </w:r>
            <w:r w:rsidR="00AA5FB3">
              <w:rPr>
                <w:sz w:val="20"/>
                <w:szCs w:val="20"/>
              </w:rPr>
              <w:t xml:space="preserve"> </w:t>
            </w:r>
            <w:r w:rsidR="00B96806">
              <w:rPr>
                <w:sz w:val="20"/>
                <w:szCs w:val="20"/>
              </w:rPr>
              <w:t>(1)</w:t>
            </w:r>
          </w:p>
          <w:p w:rsidR="000E54C2" w:rsidRPr="00E8065F" w:rsidRDefault="000E54C2" w:rsidP="000546C2">
            <w:pPr>
              <w:jc w:val="center"/>
              <w:rPr>
                <w:sz w:val="20"/>
                <w:szCs w:val="20"/>
              </w:rPr>
            </w:pPr>
            <w:r w:rsidRPr="00E8065F">
              <w:rPr>
                <w:sz w:val="20"/>
                <w:szCs w:val="20"/>
              </w:rPr>
              <w:t>2020</w:t>
            </w:r>
            <w:r w:rsidR="00AA5FB3">
              <w:rPr>
                <w:sz w:val="20"/>
                <w:szCs w:val="20"/>
              </w:rPr>
              <w:t xml:space="preserve"> </w:t>
            </w:r>
            <w:r w:rsidR="00B96806">
              <w:rPr>
                <w:sz w:val="20"/>
                <w:szCs w:val="20"/>
              </w:rPr>
              <w:t>(2)</w:t>
            </w:r>
          </w:p>
        </w:tc>
        <w:tc>
          <w:tcPr>
            <w:tcW w:w="1181" w:type="dxa"/>
            <w:tcBorders>
              <w:top w:val="single" w:sz="4" w:space="0" w:color="auto"/>
              <w:left w:val="single" w:sz="4" w:space="0" w:color="auto"/>
              <w:bottom w:val="single" w:sz="4" w:space="0" w:color="auto"/>
              <w:right w:val="single" w:sz="4" w:space="0" w:color="auto"/>
            </w:tcBorders>
            <w:shd w:val="clear" w:color="auto" w:fill="auto"/>
          </w:tcPr>
          <w:p w:rsidR="000E54C2" w:rsidRPr="00E8065F" w:rsidRDefault="000E54C2" w:rsidP="000546C2">
            <w:pPr>
              <w:jc w:val="center"/>
              <w:rPr>
                <w:color w:val="000000"/>
                <w:sz w:val="20"/>
                <w:szCs w:val="20"/>
              </w:rPr>
            </w:pPr>
            <w:r w:rsidRPr="00E8065F">
              <w:rPr>
                <w:color w:val="000000"/>
                <w:sz w:val="20"/>
                <w:szCs w:val="20"/>
              </w:rPr>
              <w:t>3</w:t>
            </w:r>
          </w:p>
        </w:tc>
        <w:tc>
          <w:tcPr>
            <w:tcW w:w="1478" w:type="dxa"/>
            <w:tcBorders>
              <w:top w:val="single" w:sz="4" w:space="0" w:color="auto"/>
              <w:left w:val="single" w:sz="4" w:space="0" w:color="auto"/>
              <w:bottom w:val="single" w:sz="4" w:space="0" w:color="auto"/>
              <w:right w:val="single" w:sz="4" w:space="0" w:color="auto"/>
            </w:tcBorders>
            <w:shd w:val="clear" w:color="auto" w:fill="auto"/>
          </w:tcPr>
          <w:p w:rsidR="000E54C2" w:rsidRPr="00E8065F" w:rsidRDefault="000E54C2" w:rsidP="000546C2">
            <w:pPr>
              <w:jc w:val="center"/>
              <w:rPr>
                <w:color w:val="000000"/>
                <w:sz w:val="20"/>
                <w:szCs w:val="20"/>
              </w:rPr>
            </w:pPr>
            <w:r w:rsidRPr="00E8065F">
              <w:rPr>
                <w:color w:val="000000"/>
                <w:sz w:val="20"/>
                <w:szCs w:val="20"/>
              </w:rPr>
              <w:t>66</w:t>
            </w:r>
          </w:p>
        </w:tc>
        <w:tc>
          <w:tcPr>
            <w:tcW w:w="1111" w:type="dxa"/>
            <w:tcBorders>
              <w:top w:val="single" w:sz="4" w:space="0" w:color="auto"/>
              <w:left w:val="single" w:sz="4" w:space="0" w:color="auto"/>
              <w:bottom w:val="single" w:sz="4" w:space="0" w:color="auto"/>
              <w:right w:val="single" w:sz="4" w:space="0" w:color="auto"/>
            </w:tcBorders>
            <w:shd w:val="clear" w:color="auto" w:fill="auto"/>
          </w:tcPr>
          <w:p w:rsidR="000E54C2" w:rsidRPr="00E8065F" w:rsidRDefault="000E54C2" w:rsidP="000546C2">
            <w:pPr>
              <w:jc w:val="center"/>
              <w:rPr>
                <w:color w:val="000000"/>
                <w:sz w:val="20"/>
                <w:szCs w:val="20"/>
              </w:rPr>
            </w:pPr>
            <w:r w:rsidRPr="00E8065F">
              <w:rPr>
                <w:color w:val="000000"/>
                <w:sz w:val="20"/>
                <w:szCs w:val="20"/>
              </w:rPr>
              <w:t>2</w:t>
            </w:r>
          </w:p>
        </w:tc>
        <w:tc>
          <w:tcPr>
            <w:tcW w:w="1944" w:type="dxa"/>
            <w:tcBorders>
              <w:top w:val="single" w:sz="4" w:space="0" w:color="auto"/>
              <w:left w:val="single" w:sz="4" w:space="0" w:color="auto"/>
              <w:bottom w:val="single" w:sz="4" w:space="0" w:color="auto"/>
              <w:right w:val="single" w:sz="4" w:space="0" w:color="auto"/>
            </w:tcBorders>
            <w:shd w:val="clear" w:color="auto" w:fill="auto"/>
          </w:tcPr>
          <w:p w:rsidR="000E54C2" w:rsidRPr="00E8065F" w:rsidRDefault="000E54C2" w:rsidP="00BA1432">
            <w:pPr>
              <w:jc w:val="center"/>
              <w:rPr>
                <w:color w:val="000000"/>
                <w:sz w:val="20"/>
                <w:szCs w:val="20"/>
              </w:rPr>
            </w:pPr>
            <w:r w:rsidRPr="00E8065F">
              <w:rPr>
                <w:color w:val="000000"/>
                <w:sz w:val="20"/>
                <w:szCs w:val="20"/>
              </w:rPr>
              <w:t>Амбулаторное/стационарное</w:t>
            </w:r>
          </w:p>
        </w:tc>
      </w:tr>
      <w:tr w:rsidR="00BA1432" w:rsidRPr="00E8065F" w:rsidTr="000546C2">
        <w:trPr>
          <w:trHeight w:val="20"/>
        </w:trPr>
        <w:tc>
          <w:tcPr>
            <w:tcW w:w="1555" w:type="dxa"/>
            <w:vMerge/>
          </w:tcPr>
          <w:p w:rsidR="000E54C2" w:rsidRPr="00E8065F" w:rsidRDefault="000E54C2" w:rsidP="00BA1432">
            <w:pPr>
              <w:rPr>
                <w:sz w:val="20"/>
                <w:szCs w:val="20"/>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0E54C2" w:rsidRPr="00E8065F" w:rsidRDefault="000E54C2" w:rsidP="001164A3">
            <w:pPr>
              <w:jc w:val="both"/>
              <w:rPr>
                <w:color w:val="000000"/>
                <w:sz w:val="20"/>
                <w:szCs w:val="20"/>
              </w:rPr>
            </w:pPr>
            <w:r w:rsidRPr="00E8065F">
              <w:rPr>
                <w:color w:val="000000"/>
                <w:sz w:val="20"/>
                <w:szCs w:val="20"/>
              </w:rPr>
              <w:t xml:space="preserve">ГАУЗ </w:t>
            </w:r>
            <w:r w:rsidR="002F7358">
              <w:rPr>
                <w:color w:val="000000"/>
                <w:sz w:val="20"/>
                <w:szCs w:val="20"/>
              </w:rPr>
              <w:t>«</w:t>
            </w:r>
            <w:r w:rsidRPr="00E8065F">
              <w:rPr>
                <w:color w:val="000000"/>
                <w:sz w:val="20"/>
                <w:szCs w:val="20"/>
              </w:rPr>
              <w:t>Городская клиническая больница №</w:t>
            </w:r>
            <w:r w:rsidR="001164A3">
              <w:rPr>
                <w:color w:val="000000"/>
                <w:sz w:val="20"/>
                <w:szCs w:val="20"/>
              </w:rPr>
              <w:t xml:space="preserve"> </w:t>
            </w:r>
            <w:r w:rsidRPr="00E8065F">
              <w:rPr>
                <w:color w:val="000000"/>
                <w:sz w:val="20"/>
                <w:szCs w:val="20"/>
              </w:rPr>
              <w:t>7 им.М.Н.Садыкова</w:t>
            </w:r>
            <w:r w:rsidR="002F7358">
              <w:rPr>
                <w:color w:val="000000"/>
                <w:sz w:val="20"/>
                <w:szCs w:val="20"/>
              </w:rPr>
              <w:t>»</w:t>
            </w:r>
            <w:r w:rsidRPr="00E8065F">
              <w:rPr>
                <w:color w:val="000000"/>
                <w:sz w:val="20"/>
                <w:szCs w:val="20"/>
              </w:rPr>
              <w:t xml:space="preserve"> г.Казани</w:t>
            </w:r>
          </w:p>
        </w:tc>
        <w:tc>
          <w:tcPr>
            <w:tcW w:w="1994" w:type="dxa"/>
            <w:tcBorders>
              <w:top w:val="single" w:sz="4" w:space="0" w:color="auto"/>
              <w:left w:val="single" w:sz="4" w:space="0" w:color="auto"/>
              <w:bottom w:val="single" w:sz="4" w:space="0" w:color="auto"/>
              <w:right w:val="single" w:sz="4" w:space="0" w:color="auto"/>
            </w:tcBorders>
            <w:shd w:val="clear" w:color="auto" w:fill="auto"/>
          </w:tcPr>
          <w:p w:rsidR="000E54C2" w:rsidRPr="00E8065F" w:rsidRDefault="000E54C2" w:rsidP="00BA1432">
            <w:pPr>
              <w:jc w:val="center"/>
              <w:rPr>
                <w:color w:val="000000"/>
                <w:sz w:val="20"/>
                <w:szCs w:val="20"/>
              </w:rPr>
            </w:pPr>
            <w:r w:rsidRPr="00E8065F">
              <w:rPr>
                <w:color w:val="000000"/>
                <w:sz w:val="20"/>
                <w:szCs w:val="20"/>
              </w:rPr>
              <w:t>Рентгенодиагностические аппараты</w:t>
            </w:r>
          </w:p>
        </w:tc>
        <w:tc>
          <w:tcPr>
            <w:tcW w:w="1181" w:type="dxa"/>
            <w:tcBorders>
              <w:top w:val="single" w:sz="4" w:space="0" w:color="auto"/>
            </w:tcBorders>
            <w:shd w:val="clear" w:color="auto" w:fill="auto"/>
          </w:tcPr>
          <w:p w:rsidR="00B96806" w:rsidRPr="00E8065F" w:rsidRDefault="000E54C2" w:rsidP="00B96806">
            <w:pPr>
              <w:jc w:val="center"/>
              <w:rPr>
                <w:sz w:val="20"/>
                <w:szCs w:val="20"/>
              </w:rPr>
            </w:pPr>
            <w:r w:rsidRPr="00E8065F">
              <w:rPr>
                <w:sz w:val="20"/>
                <w:szCs w:val="20"/>
              </w:rPr>
              <w:t>2013</w:t>
            </w:r>
            <w:r w:rsidR="00AA5FB3">
              <w:rPr>
                <w:sz w:val="20"/>
                <w:szCs w:val="20"/>
              </w:rPr>
              <w:t xml:space="preserve"> </w:t>
            </w:r>
            <w:r w:rsidR="00B96806">
              <w:rPr>
                <w:sz w:val="20"/>
                <w:szCs w:val="20"/>
              </w:rPr>
              <w:t>(1)</w:t>
            </w:r>
          </w:p>
          <w:p w:rsidR="000E54C2" w:rsidRPr="00E8065F" w:rsidRDefault="00AA5FB3" w:rsidP="000546C2">
            <w:pPr>
              <w:jc w:val="center"/>
              <w:rPr>
                <w:sz w:val="20"/>
                <w:szCs w:val="20"/>
              </w:rPr>
            </w:pPr>
            <w:r w:rsidRPr="00E8065F">
              <w:rPr>
                <w:sz w:val="20"/>
                <w:szCs w:val="20"/>
              </w:rPr>
              <w:t>2014</w:t>
            </w:r>
            <w:r>
              <w:rPr>
                <w:sz w:val="20"/>
                <w:szCs w:val="20"/>
              </w:rPr>
              <w:t xml:space="preserve"> </w:t>
            </w:r>
            <w:r w:rsidR="00B96806">
              <w:rPr>
                <w:sz w:val="20"/>
                <w:szCs w:val="20"/>
              </w:rPr>
              <w:t>(3)</w:t>
            </w:r>
          </w:p>
          <w:p w:rsidR="00B96806" w:rsidRPr="00E8065F" w:rsidRDefault="000E54C2" w:rsidP="00B96806">
            <w:pPr>
              <w:jc w:val="center"/>
              <w:rPr>
                <w:sz w:val="20"/>
                <w:szCs w:val="20"/>
              </w:rPr>
            </w:pPr>
            <w:r w:rsidRPr="00E8065F">
              <w:rPr>
                <w:sz w:val="20"/>
                <w:szCs w:val="20"/>
              </w:rPr>
              <w:t>2020</w:t>
            </w:r>
            <w:r w:rsidR="00AA5FB3">
              <w:rPr>
                <w:sz w:val="20"/>
                <w:szCs w:val="20"/>
              </w:rPr>
              <w:t xml:space="preserve"> </w:t>
            </w:r>
            <w:r w:rsidR="00B96806">
              <w:rPr>
                <w:sz w:val="20"/>
                <w:szCs w:val="20"/>
              </w:rPr>
              <w:t>(1)</w:t>
            </w:r>
          </w:p>
          <w:p w:rsidR="000E54C2" w:rsidRPr="00E8065F" w:rsidRDefault="000E54C2" w:rsidP="00B96806">
            <w:pPr>
              <w:jc w:val="center"/>
              <w:rPr>
                <w:sz w:val="20"/>
                <w:szCs w:val="20"/>
              </w:rPr>
            </w:pPr>
            <w:r w:rsidRPr="00E8065F">
              <w:rPr>
                <w:sz w:val="20"/>
                <w:szCs w:val="20"/>
              </w:rPr>
              <w:t>2023</w:t>
            </w:r>
            <w:r w:rsidR="00AA5FB3">
              <w:rPr>
                <w:sz w:val="20"/>
                <w:szCs w:val="20"/>
              </w:rPr>
              <w:t xml:space="preserve"> </w:t>
            </w:r>
            <w:r w:rsidR="00B96806">
              <w:rPr>
                <w:sz w:val="20"/>
                <w:szCs w:val="20"/>
              </w:rPr>
              <w:t>(1)</w:t>
            </w:r>
          </w:p>
        </w:tc>
        <w:tc>
          <w:tcPr>
            <w:tcW w:w="1181" w:type="dxa"/>
            <w:tcBorders>
              <w:top w:val="single" w:sz="4" w:space="0" w:color="auto"/>
              <w:left w:val="single" w:sz="4" w:space="0" w:color="auto"/>
              <w:bottom w:val="single" w:sz="4" w:space="0" w:color="auto"/>
              <w:right w:val="single" w:sz="4" w:space="0" w:color="auto"/>
            </w:tcBorders>
            <w:shd w:val="clear" w:color="auto" w:fill="auto"/>
          </w:tcPr>
          <w:p w:rsidR="000E54C2" w:rsidRPr="00E8065F" w:rsidRDefault="000E54C2" w:rsidP="000546C2">
            <w:pPr>
              <w:jc w:val="center"/>
              <w:rPr>
                <w:color w:val="000000"/>
                <w:sz w:val="20"/>
                <w:szCs w:val="20"/>
              </w:rPr>
            </w:pPr>
            <w:r w:rsidRPr="00E8065F">
              <w:rPr>
                <w:color w:val="000000"/>
                <w:sz w:val="20"/>
                <w:szCs w:val="20"/>
              </w:rPr>
              <w:t>6</w:t>
            </w:r>
          </w:p>
        </w:tc>
        <w:tc>
          <w:tcPr>
            <w:tcW w:w="1478" w:type="dxa"/>
            <w:tcBorders>
              <w:top w:val="single" w:sz="4" w:space="0" w:color="auto"/>
              <w:left w:val="single" w:sz="4" w:space="0" w:color="auto"/>
              <w:bottom w:val="single" w:sz="4" w:space="0" w:color="auto"/>
              <w:right w:val="single" w:sz="4" w:space="0" w:color="auto"/>
            </w:tcBorders>
            <w:shd w:val="clear" w:color="auto" w:fill="auto"/>
          </w:tcPr>
          <w:p w:rsidR="000E54C2" w:rsidRPr="00E8065F" w:rsidRDefault="000E54C2" w:rsidP="000546C2">
            <w:pPr>
              <w:jc w:val="center"/>
              <w:rPr>
                <w:color w:val="000000"/>
                <w:sz w:val="20"/>
                <w:szCs w:val="20"/>
              </w:rPr>
            </w:pPr>
            <w:r w:rsidRPr="00E8065F">
              <w:rPr>
                <w:color w:val="000000"/>
                <w:sz w:val="20"/>
                <w:szCs w:val="20"/>
              </w:rPr>
              <w:t>632</w:t>
            </w:r>
          </w:p>
        </w:tc>
        <w:tc>
          <w:tcPr>
            <w:tcW w:w="1111" w:type="dxa"/>
            <w:tcBorders>
              <w:top w:val="single" w:sz="4" w:space="0" w:color="auto"/>
              <w:left w:val="single" w:sz="4" w:space="0" w:color="auto"/>
              <w:bottom w:val="single" w:sz="4" w:space="0" w:color="auto"/>
              <w:right w:val="single" w:sz="4" w:space="0" w:color="auto"/>
            </w:tcBorders>
            <w:shd w:val="clear" w:color="auto" w:fill="auto"/>
          </w:tcPr>
          <w:p w:rsidR="000E54C2" w:rsidRPr="00E8065F" w:rsidRDefault="000E54C2" w:rsidP="000546C2">
            <w:pPr>
              <w:jc w:val="center"/>
              <w:rPr>
                <w:color w:val="000000"/>
                <w:sz w:val="20"/>
                <w:szCs w:val="20"/>
              </w:rPr>
            </w:pPr>
            <w:r w:rsidRPr="00E8065F">
              <w:rPr>
                <w:color w:val="000000"/>
                <w:sz w:val="20"/>
                <w:szCs w:val="20"/>
              </w:rPr>
              <w:t>2</w:t>
            </w:r>
          </w:p>
        </w:tc>
        <w:tc>
          <w:tcPr>
            <w:tcW w:w="1944" w:type="dxa"/>
            <w:tcBorders>
              <w:top w:val="single" w:sz="4" w:space="0" w:color="auto"/>
              <w:left w:val="single" w:sz="4" w:space="0" w:color="auto"/>
              <w:bottom w:val="single" w:sz="4" w:space="0" w:color="auto"/>
              <w:right w:val="single" w:sz="4" w:space="0" w:color="auto"/>
            </w:tcBorders>
            <w:shd w:val="clear" w:color="auto" w:fill="auto"/>
          </w:tcPr>
          <w:p w:rsidR="000E54C2" w:rsidRPr="00E8065F" w:rsidRDefault="000E54C2" w:rsidP="00BA1432">
            <w:pPr>
              <w:jc w:val="center"/>
              <w:rPr>
                <w:color w:val="000000"/>
                <w:sz w:val="20"/>
                <w:szCs w:val="20"/>
              </w:rPr>
            </w:pPr>
            <w:r w:rsidRPr="00E8065F">
              <w:rPr>
                <w:color w:val="000000"/>
                <w:sz w:val="20"/>
                <w:szCs w:val="20"/>
              </w:rPr>
              <w:t>Амбулаторное/стационарное</w:t>
            </w:r>
          </w:p>
        </w:tc>
      </w:tr>
      <w:tr w:rsidR="00BA1432" w:rsidRPr="00E8065F" w:rsidTr="000546C2">
        <w:trPr>
          <w:trHeight w:val="20"/>
        </w:trPr>
        <w:tc>
          <w:tcPr>
            <w:tcW w:w="1555" w:type="dxa"/>
            <w:vMerge/>
          </w:tcPr>
          <w:p w:rsidR="000E54C2" w:rsidRPr="00E8065F" w:rsidRDefault="000E54C2" w:rsidP="00BA1432">
            <w:pPr>
              <w:rPr>
                <w:sz w:val="20"/>
                <w:szCs w:val="20"/>
              </w:rPr>
            </w:pPr>
          </w:p>
        </w:tc>
        <w:tc>
          <w:tcPr>
            <w:tcW w:w="3685" w:type="dxa"/>
            <w:tcBorders>
              <w:top w:val="nil"/>
              <w:left w:val="single" w:sz="4" w:space="0" w:color="auto"/>
              <w:bottom w:val="single" w:sz="4" w:space="0" w:color="auto"/>
              <w:right w:val="single" w:sz="4" w:space="0" w:color="auto"/>
            </w:tcBorders>
            <w:shd w:val="clear" w:color="auto" w:fill="auto"/>
          </w:tcPr>
          <w:p w:rsidR="000E54C2" w:rsidRPr="00E8065F" w:rsidRDefault="000E54C2" w:rsidP="001164A3">
            <w:pPr>
              <w:jc w:val="both"/>
              <w:rPr>
                <w:color w:val="000000"/>
                <w:sz w:val="20"/>
                <w:szCs w:val="20"/>
              </w:rPr>
            </w:pPr>
            <w:r w:rsidRPr="00E8065F">
              <w:rPr>
                <w:color w:val="000000"/>
                <w:sz w:val="20"/>
                <w:szCs w:val="20"/>
              </w:rPr>
              <w:t xml:space="preserve">ГАУЗ </w:t>
            </w:r>
            <w:r w:rsidR="002F7358">
              <w:rPr>
                <w:color w:val="000000"/>
                <w:sz w:val="20"/>
                <w:szCs w:val="20"/>
              </w:rPr>
              <w:t>«</w:t>
            </w:r>
            <w:r w:rsidRPr="00E8065F">
              <w:rPr>
                <w:color w:val="000000"/>
                <w:sz w:val="20"/>
                <w:szCs w:val="20"/>
              </w:rPr>
              <w:t>Городская поликлиника №</w:t>
            </w:r>
            <w:r w:rsidR="001164A3">
              <w:rPr>
                <w:color w:val="000000"/>
                <w:sz w:val="20"/>
                <w:szCs w:val="20"/>
              </w:rPr>
              <w:t> </w:t>
            </w:r>
            <w:r w:rsidRPr="00E8065F">
              <w:rPr>
                <w:color w:val="000000"/>
                <w:sz w:val="20"/>
                <w:szCs w:val="20"/>
              </w:rPr>
              <w:t>10</w:t>
            </w:r>
            <w:r w:rsidR="002F7358">
              <w:rPr>
                <w:color w:val="000000"/>
                <w:sz w:val="20"/>
                <w:szCs w:val="20"/>
              </w:rPr>
              <w:t>»</w:t>
            </w:r>
            <w:r w:rsidR="003722E0">
              <w:rPr>
                <w:color w:val="000000"/>
                <w:sz w:val="20"/>
                <w:szCs w:val="20"/>
              </w:rPr>
              <w:t xml:space="preserve"> г.Казани</w:t>
            </w:r>
          </w:p>
        </w:tc>
        <w:tc>
          <w:tcPr>
            <w:tcW w:w="1994" w:type="dxa"/>
            <w:tcBorders>
              <w:top w:val="nil"/>
              <w:left w:val="single" w:sz="4" w:space="0" w:color="auto"/>
              <w:bottom w:val="single" w:sz="4" w:space="0" w:color="auto"/>
              <w:right w:val="single" w:sz="4" w:space="0" w:color="auto"/>
            </w:tcBorders>
            <w:shd w:val="clear" w:color="auto" w:fill="auto"/>
          </w:tcPr>
          <w:p w:rsidR="000E54C2" w:rsidRPr="00E8065F" w:rsidRDefault="000E54C2" w:rsidP="00BA1432">
            <w:pPr>
              <w:jc w:val="center"/>
              <w:rPr>
                <w:color w:val="000000"/>
                <w:sz w:val="20"/>
                <w:szCs w:val="20"/>
              </w:rPr>
            </w:pPr>
            <w:r w:rsidRPr="00E8065F">
              <w:rPr>
                <w:color w:val="000000"/>
                <w:sz w:val="20"/>
                <w:szCs w:val="20"/>
              </w:rPr>
              <w:t>Рентгенодиагностические аппараты</w:t>
            </w:r>
          </w:p>
        </w:tc>
        <w:tc>
          <w:tcPr>
            <w:tcW w:w="1181" w:type="dxa"/>
            <w:shd w:val="clear" w:color="auto" w:fill="auto"/>
          </w:tcPr>
          <w:p w:rsidR="000E54C2" w:rsidRPr="00E8065F" w:rsidRDefault="000E54C2" w:rsidP="000546C2">
            <w:pPr>
              <w:jc w:val="center"/>
              <w:rPr>
                <w:sz w:val="20"/>
                <w:szCs w:val="20"/>
              </w:rPr>
            </w:pPr>
            <w:r w:rsidRPr="00E8065F">
              <w:rPr>
                <w:sz w:val="20"/>
                <w:szCs w:val="20"/>
              </w:rPr>
              <w:t>2018</w:t>
            </w:r>
          </w:p>
        </w:tc>
        <w:tc>
          <w:tcPr>
            <w:tcW w:w="1181" w:type="dxa"/>
            <w:tcBorders>
              <w:top w:val="nil"/>
              <w:left w:val="single" w:sz="4" w:space="0" w:color="auto"/>
              <w:bottom w:val="single" w:sz="4" w:space="0" w:color="auto"/>
              <w:right w:val="single" w:sz="4" w:space="0" w:color="auto"/>
            </w:tcBorders>
            <w:shd w:val="clear" w:color="auto" w:fill="auto"/>
          </w:tcPr>
          <w:p w:rsidR="000E54C2" w:rsidRPr="00E8065F" w:rsidRDefault="000E54C2" w:rsidP="000546C2">
            <w:pPr>
              <w:jc w:val="center"/>
              <w:rPr>
                <w:color w:val="000000"/>
                <w:sz w:val="20"/>
                <w:szCs w:val="20"/>
              </w:rPr>
            </w:pPr>
            <w:r w:rsidRPr="00E8065F">
              <w:rPr>
                <w:color w:val="000000"/>
                <w:sz w:val="20"/>
                <w:szCs w:val="20"/>
              </w:rPr>
              <w:t>1</w:t>
            </w:r>
          </w:p>
        </w:tc>
        <w:tc>
          <w:tcPr>
            <w:tcW w:w="1478" w:type="dxa"/>
            <w:tcBorders>
              <w:top w:val="nil"/>
              <w:left w:val="single" w:sz="4" w:space="0" w:color="auto"/>
              <w:bottom w:val="single" w:sz="4" w:space="0" w:color="auto"/>
              <w:right w:val="single" w:sz="4" w:space="0" w:color="auto"/>
            </w:tcBorders>
            <w:shd w:val="clear" w:color="auto" w:fill="auto"/>
          </w:tcPr>
          <w:p w:rsidR="000E54C2" w:rsidRPr="00E8065F" w:rsidRDefault="000E54C2" w:rsidP="000546C2">
            <w:pPr>
              <w:jc w:val="center"/>
              <w:rPr>
                <w:color w:val="000000"/>
                <w:sz w:val="20"/>
                <w:szCs w:val="20"/>
              </w:rPr>
            </w:pPr>
            <w:r w:rsidRPr="00E8065F">
              <w:rPr>
                <w:color w:val="000000"/>
                <w:sz w:val="20"/>
                <w:szCs w:val="20"/>
              </w:rPr>
              <w:t>54</w:t>
            </w:r>
          </w:p>
        </w:tc>
        <w:tc>
          <w:tcPr>
            <w:tcW w:w="1111" w:type="dxa"/>
            <w:tcBorders>
              <w:top w:val="nil"/>
              <w:left w:val="single" w:sz="4" w:space="0" w:color="auto"/>
              <w:bottom w:val="single" w:sz="4" w:space="0" w:color="auto"/>
              <w:right w:val="single" w:sz="4" w:space="0" w:color="auto"/>
            </w:tcBorders>
            <w:shd w:val="clear" w:color="auto" w:fill="auto"/>
          </w:tcPr>
          <w:p w:rsidR="000E54C2" w:rsidRPr="00E8065F" w:rsidRDefault="000E54C2" w:rsidP="000546C2">
            <w:pPr>
              <w:jc w:val="center"/>
              <w:rPr>
                <w:color w:val="000000"/>
                <w:sz w:val="20"/>
                <w:szCs w:val="20"/>
              </w:rPr>
            </w:pPr>
            <w:r w:rsidRPr="00E8065F">
              <w:rPr>
                <w:color w:val="000000"/>
                <w:sz w:val="20"/>
                <w:szCs w:val="20"/>
              </w:rPr>
              <w:t>2</w:t>
            </w:r>
          </w:p>
        </w:tc>
        <w:tc>
          <w:tcPr>
            <w:tcW w:w="1944" w:type="dxa"/>
            <w:tcBorders>
              <w:top w:val="nil"/>
              <w:left w:val="single" w:sz="4" w:space="0" w:color="auto"/>
              <w:bottom w:val="single" w:sz="4" w:space="0" w:color="auto"/>
              <w:right w:val="single" w:sz="4" w:space="0" w:color="auto"/>
            </w:tcBorders>
            <w:shd w:val="clear" w:color="auto" w:fill="auto"/>
          </w:tcPr>
          <w:p w:rsidR="000E54C2" w:rsidRPr="00E8065F" w:rsidRDefault="000E54C2" w:rsidP="00BA1432">
            <w:pPr>
              <w:jc w:val="center"/>
              <w:rPr>
                <w:color w:val="000000"/>
                <w:sz w:val="20"/>
                <w:szCs w:val="20"/>
              </w:rPr>
            </w:pPr>
            <w:r w:rsidRPr="00E8065F">
              <w:rPr>
                <w:color w:val="000000"/>
                <w:sz w:val="20"/>
                <w:szCs w:val="20"/>
              </w:rPr>
              <w:t>Амбулаторное</w:t>
            </w:r>
          </w:p>
        </w:tc>
      </w:tr>
      <w:tr w:rsidR="00BA1432" w:rsidRPr="00E8065F" w:rsidTr="000546C2">
        <w:trPr>
          <w:trHeight w:val="20"/>
        </w:trPr>
        <w:tc>
          <w:tcPr>
            <w:tcW w:w="1555" w:type="dxa"/>
            <w:vMerge/>
          </w:tcPr>
          <w:p w:rsidR="000E54C2" w:rsidRPr="00E8065F" w:rsidRDefault="000E54C2" w:rsidP="00BA1432">
            <w:pPr>
              <w:rPr>
                <w:sz w:val="20"/>
                <w:szCs w:val="20"/>
              </w:rPr>
            </w:pPr>
          </w:p>
        </w:tc>
        <w:tc>
          <w:tcPr>
            <w:tcW w:w="3685" w:type="dxa"/>
            <w:tcBorders>
              <w:top w:val="nil"/>
              <w:left w:val="single" w:sz="4" w:space="0" w:color="auto"/>
              <w:bottom w:val="single" w:sz="4" w:space="0" w:color="auto"/>
              <w:right w:val="single" w:sz="4" w:space="0" w:color="auto"/>
            </w:tcBorders>
            <w:shd w:val="clear" w:color="auto" w:fill="auto"/>
          </w:tcPr>
          <w:p w:rsidR="000E54C2" w:rsidRPr="00E8065F" w:rsidRDefault="000E54C2" w:rsidP="001164A3">
            <w:pPr>
              <w:jc w:val="both"/>
              <w:rPr>
                <w:color w:val="000000"/>
                <w:sz w:val="20"/>
                <w:szCs w:val="20"/>
              </w:rPr>
            </w:pPr>
            <w:r w:rsidRPr="00E8065F">
              <w:rPr>
                <w:color w:val="000000"/>
                <w:sz w:val="20"/>
                <w:szCs w:val="20"/>
              </w:rPr>
              <w:t xml:space="preserve">ГАУЗ </w:t>
            </w:r>
            <w:r w:rsidR="002F7358">
              <w:rPr>
                <w:color w:val="000000"/>
                <w:sz w:val="20"/>
                <w:szCs w:val="20"/>
              </w:rPr>
              <w:t>«</w:t>
            </w:r>
            <w:r w:rsidRPr="00E8065F">
              <w:rPr>
                <w:color w:val="000000"/>
                <w:sz w:val="20"/>
                <w:szCs w:val="20"/>
              </w:rPr>
              <w:t>Городская поликлиника №</w:t>
            </w:r>
            <w:r w:rsidR="001164A3">
              <w:rPr>
                <w:color w:val="000000"/>
                <w:sz w:val="20"/>
                <w:szCs w:val="20"/>
              </w:rPr>
              <w:t xml:space="preserve"> </w:t>
            </w:r>
            <w:r w:rsidRPr="00E8065F">
              <w:rPr>
                <w:color w:val="000000"/>
                <w:sz w:val="20"/>
                <w:szCs w:val="20"/>
              </w:rPr>
              <w:t>18</w:t>
            </w:r>
            <w:r w:rsidR="002F7358">
              <w:rPr>
                <w:color w:val="000000"/>
                <w:sz w:val="20"/>
                <w:szCs w:val="20"/>
              </w:rPr>
              <w:t>»</w:t>
            </w:r>
            <w:r w:rsidR="003722E0">
              <w:rPr>
                <w:color w:val="000000"/>
                <w:sz w:val="20"/>
                <w:szCs w:val="20"/>
              </w:rPr>
              <w:t xml:space="preserve"> г.Казани</w:t>
            </w:r>
          </w:p>
        </w:tc>
        <w:tc>
          <w:tcPr>
            <w:tcW w:w="1994" w:type="dxa"/>
            <w:tcBorders>
              <w:top w:val="nil"/>
              <w:left w:val="single" w:sz="4" w:space="0" w:color="auto"/>
              <w:bottom w:val="single" w:sz="4" w:space="0" w:color="auto"/>
              <w:right w:val="single" w:sz="4" w:space="0" w:color="auto"/>
            </w:tcBorders>
            <w:shd w:val="clear" w:color="auto" w:fill="auto"/>
          </w:tcPr>
          <w:p w:rsidR="000E54C2" w:rsidRPr="00E8065F" w:rsidRDefault="000E54C2" w:rsidP="00BA1432">
            <w:pPr>
              <w:jc w:val="center"/>
              <w:rPr>
                <w:color w:val="000000"/>
                <w:sz w:val="20"/>
                <w:szCs w:val="20"/>
              </w:rPr>
            </w:pPr>
            <w:r w:rsidRPr="00E8065F">
              <w:rPr>
                <w:color w:val="000000"/>
                <w:sz w:val="20"/>
                <w:szCs w:val="20"/>
              </w:rPr>
              <w:t>Рентгенодиагностические аппараты</w:t>
            </w:r>
          </w:p>
        </w:tc>
        <w:tc>
          <w:tcPr>
            <w:tcW w:w="1181" w:type="dxa"/>
            <w:shd w:val="clear" w:color="auto" w:fill="auto"/>
          </w:tcPr>
          <w:p w:rsidR="000E54C2" w:rsidRPr="00E8065F" w:rsidRDefault="000E54C2" w:rsidP="000546C2">
            <w:pPr>
              <w:jc w:val="center"/>
              <w:rPr>
                <w:sz w:val="20"/>
                <w:szCs w:val="20"/>
              </w:rPr>
            </w:pPr>
            <w:r w:rsidRPr="00E8065F">
              <w:rPr>
                <w:sz w:val="20"/>
                <w:szCs w:val="20"/>
              </w:rPr>
              <w:t>2018</w:t>
            </w:r>
          </w:p>
        </w:tc>
        <w:tc>
          <w:tcPr>
            <w:tcW w:w="1181" w:type="dxa"/>
            <w:tcBorders>
              <w:top w:val="nil"/>
              <w:left w:val="single" w:sz="4" w:space="0" w:color="auto"/>
              <w:bottom w:val="single" w:sz="4" w:space="0" w:color="auto"/>
              <w:right w:val="single" w:sz="4" w:space="0" w:color="auto"/>
            </w:tcBorders>
            <w:shd w:val="clear" w:color="auto" w:fill="auto"/>
          </w:tcPr>
          <w:p w:rsidR="000E54C2" w:rsidRPr="00E8065F" w:rsidRDefault="000E54C2" w:rsidP="000546C2">
            <w:pPr>
              <w:jc w:val="center"/>
              <w:rPr>
                <w:color w:val="000000"/>
                <w:sz w:val="20"/>
                <w:szCs w:val="20"/>
              </w:rPr>
            </w:pPr>
            <w:r w:rsidRPr="00E8065F">
              <w:rPr>
                <w:color w:val="000000"/>
                <w:sz w:val="20"/>
                <w:szCs w:val="20"/>
              </w:rPr>
              <w:t>1</w:t>
            </w:r>
          </w:p>
        </w:tc>
        <w:tc>
          <w:tcPr>
            <w:tcW w:w="1478" w:type="dxa"/>
            <w:tcBorders>
              <w:top w:val="nil"/>
              <w:left w:val="single" w:sz="4" w:space="0" w:color="auto"/>
              <w:bottom w:val="single" w:sz="4" w:space="0" w:color="auto"/>
              <w:right w:val="single" w:sz="4" w:space="0" w:color="auto"/>
            </w:tcBorders>
            <w:shd w:val="clear" w:color="auto" w:fill="auto"/>
          </w:tcPr>
          <w:p w:rsidR="000E54C2" w:rsidRPr="00E8065F" w:rsidRDefault="000E54C2" w:rsidP="000546C2">
            <w:pPr>
              <w:jc w:val="center"/>
              <w:rPr>
                <w:color w:val="000000"/>
                <w:sz w:val="20"/>
                <w:szCs w:val="20"/>
              </w:rPr>
            </w:pPr>
            <w:r w:rsidRPr="00E8065F">
              <w:rPr>
                <w:color w:val="000000"/>
                <w:sz w:val="20"/>
                <w:szCs w:val="20"/>
              </w:rPr>
              <w:t>103</w:t>
            </w:r>
          </w:p>
        </w:tc>
        <w:tc>
          <w:tcPr>
            <w:tcW w:w="1111" w:type="dxa"/>
            <w:tcBorders>
              <w:top w:val="nil"/>
              <w:left w:val="single" w:sz="4" w:space="0" w:color="auto"/>
              <w:bottom w:val="single" w:sz="4" w:space="0" w:color="auto"/>
              <w:right w:val="single" w:sz="4" w:space="0" w:color="auto"/>
            </w:tcBorders>
            <w:shd w:val="clear" w:color="auto" w:fill="auto"/>
          </w:tcPr>
          <w:p w:rsidR="000E54C2" w:rsidRPr="00E8065F" w:rsidRDefault="000E54C2" w:rsidP="000546C2">
            <w:pPr>
              <w:jc w:val="center"/>
              <w:rPr>
                <w:color w:val="000000"/>
                <w:sz w:val="20"/>
                <w:szCs w:val="20"/>
              </w:rPr>
            </w:pPr>
            <w:r w:rsidRPr="00E8065F">
              <w:rPr>
                <w:color w:val="000000"/>
                <w:sz w:val="20"/>
                <w:szCs w:val="20"/>
              </w:rPr>
              <w:t>2</w:t>
            </w:r>
          </w:p>
        </w:tc>
        <w:tc>
          <w:tcPr>
            <w:tcW w:w="1944" w:type="dxa"/>
            <w:tcBorders>
              <w:top w:val="nil"/>
              <w:left w:val="single" w:sz="4" w:space="0" w:color="auto"/>
              <w:bottom w:val="single" w:sz="4" w:space="0" w:color="auto"/>
              <w:right w:val="single" w:sz="4" w:space="0" w:color="auto"/>
            </w:tcBorders>
            <w:shd w:val="clear" w:color="auto" w:fill="auto"/>
          </w:tcPr>
          <w:p w:rsidR="000E54C2" w:rsidRPr="00E8065F" w:rsidRDefault="000E54C2" w:rsidP="00BA1432">
            <w:pPr>
              <w:jc w:val="center"/>
              <w:rPr>
                <w:color w:val="000000"/>
                <w:sz w:val="20"/>
                <w:szCs w:val="20"/>
              </w:rPr>
            </w:pPr>
            <w:r w:rsidRPr="00E8065F">
              <w:rPr>
                <w:color w:val="000000"/>
                <w:sz w:val="20"/>
                <w:szCs w:val="20"/>
              </w:rPr>
              <w:t>Амбулаторное</w:t>
            </w:r>
          </w:p>
        </w:tc>
      </w:tr>
      <w:tr w:rsidR="00BA1432" w:rsidRPr="00E8065F" w:rsidTr="000546C2">
        <w:trPr>
          <w:trHeight w:val="20"/>
        </w:trPr>
        <w:tc>
          <w:tcPr>
            <w:tcW w:w="1555" w:type="dxa"/>
            <w:vMerge/>
          </w:tcPr>
          <w:p w:rsidR="000E54C2" w:rsidRPr="00E8065F" w:rsidRDefault="000E54C2" w:rsidP="00BA1432">
            <w:pPr>
              <w:rPr>
                <w:sz w:val="20"/>
                <w:szCs w:val="20"/>
              </w:rPr>
            </w:pPr>
          </w:p>
        </w:tc>
        <w:tc>
          <w:tcPr>
            <w:tcW w:w="3685" w:type="dxa"/>
            <w:tcBorders>
              <w:top w:val="nil"/>
              <w:left w:val="single" w:sz="4" w:space="0" w:color="auto"/>
              <w:bottom w:val="single" w:sz="4" w:space="0" w:color="auto"/>
              <w:right w:val="single" w:sz="4" w:space="0" w:color="auto"/>
            </w:tcBorders>
            <w:shd w:val="clear" w:color="auto" w:fill="auto"/>
          </w:tcPr>
          <w:p w:rsidR="000E54C2" w:rsidRPr="00E8065F" w:rsidRDefault="000E54C2" w:rsidP="001164A3">
            <w:pPr>
              <w:jc w:val="both"/>
              <w:rPr>
                <w:color w:val="000000"/>
                <w:sz w:val="20"/>
                <w:szCs w:val="20"/>
              </w:rPr>
            </w:pPr>
            <w:r w:rsidRPr="00E8065F">
              <w:rPr>
                <w:color w:val="000000"/>
                <w:sz w:val="20"/>
                <w:szCs w:val="20"/>
              </w:rPr>
              <w:t xml:space="preserve">ГАУЗ </w:t>
            </w:r>
            <w:r w:rsidR="002F7358">
              <w:rPr>
                <w:color w:val="000000"/>
                <w:sz w:val="20"/>
                <w:szCs w:val="20"/>
              </w:rPr>
              <w:t>«</w:t>
            </w:r>
            <w:r w:rsidRPr="00E8065F">
              <w:rPr>
                <w:color w:val="000000"/>
                <w:sz w:val="20"/>
                <w:szCs w:val="20"/>
              </w:rPr>
              <w:t>Городская поликлиника №</w:t>
            </w:r>
            <w:r w:rsidR="001164A3">
              <w:rPr>
                <w:color w:val="000000"/>
                <w:sz w:val="20"/>
                <w:szCs w:val="20"/>
              </w:rPr>
              <w:t xml:space="preserve"> </w:t>
            </w:r>
            <w:r w:rsidRPr="00E8065F">
              <w:rPr>
                <w:color w:val="000000"/>
                <w:sz w:val="20"/>
                <w:szCs w:val="20"/>
              </w:rPr>
              <w:t>20</w:t>
            </w:r>
            <w:r w:rsidR="002F7358">
              <w:rPr>
                <w:color w:val="000000"/>
                <w:sz w:val="20"/>
                <w:szCs w:val="20"/>
              </w:rPr>
              <w:t>»</w:t>
            </w:r>
            <w:r w:rsidR="003722E0">
              <w:rPr>
                <w:color w:val="000000"/>
                <w:sz w:val="20"/>
                <w:szCs w:val="20"/>
              </w:rPr>
              <w:t xml:space="preserve"> г.Казани</w:t>
            </w:r>
          </w:p>
        </w:tc>
        <w:tc>
          <w:tcPr>
            <w:tcW w:w="1994" w:type="dxa"/>
            <w:tcBorders>
              <w:top w:val="nil"/>
              <w:left w:val="single" w:sz="4" w:space="0" w:color="auto"/>
              <w:bottom w:val="single" w:sz="4" w:space="0" w:color="auto"/>
              <w:right w:val="single" w:sz="4" w:space="0" w:color="auto"/>
            </w:tcBorders>
            <w:shd w:val="clear" w:color="auto" w:fill="auto"/>
          </w:tcPr>
          <w:p w:rsidR="000E54C2" w:rsidRPr="00E8065F" w:rsidRDefault="000E54C2" w:rsidP="00BA1432">
            <w:pPr>
              <w:jc w:val="center"/>
              <w:rPr>
                <w:color w:val="000000"/>
                <w:sz w:val="20"/>
                <w:szCs w:val="20"/>
              </w:rPr>
            </w:pPr>
            <w:r w:rsidRPr="00E8065F">
              <w:rPr>
                <w:color w:val="000000"/>
                <w:sz w:val="20"/>
                <w:szCs w:val="20"/>
              </w:rPr>
              <w:t>Рентгенодиагностические аппараты</w:t>
            </w:r>
          </w:p>
        </w:tc>
        <w:tc>
          <w:tcPr>
            <w:tcW w:w="1181" w:type="dxa"/>
            <w:shd w:val="clear" w:color="auto" w:fill="auto"/>
          </w:tcPr>
          <w:p w:rsidR="000E54C2" w:rsidRPr="00E8065F" w:rsidRDefault="000E54C2" w:rsidP="000546C2">
            <w:pPr>
              <w:jc w:val="center"/>
              <w:rPr>
                <w:sz w:val="20"/>
                <w:szCs w:val="20"/>
              </w:rPr>
            </w:pPr>
            <w:r w:rsidRPr="00E8065F">
              <w:rPr>
                <w:sz w:val="20"/>
                <w:szCs w:val="20"/>
              </w:rPr>
              <w:t>2023</w:t>
            </w:r>
          </w:p>
        </w:tc>
        <w:tc>
          <w:tcPr>
            <w:tcW w:w="1181" w:type="dxa"/>
            <w:tcBorders>
              <w:top w:val="nil"/>
              <w:left w:val="single" w:sz="4" w:space="0" w:color="auto"/>
              <w:bottom w:val="single" w:sz="4" w:space="0" w:color="auto"/>
              <w:right w:val="single" w:sz="4" w:space="0" w:color="auto"/>
            </w:tcBorders>
            <w:shd w:val="clear" w:color="auto" w:fill="auto"/>
          </w:tcPr>
          <w:p w:rsidR="000E54C2" w:rsidRPr="00E8065F" w:rsidRDefault="000E54C2" w:rsidP="000546C2">
            <w:pPr>
              <w:jc w:val="center"/>
              <w:rPr>
                <w:color w:val="000000"/>
                <w:sz w:val="20"/>
                <w:szCs w:val="20"/>
              </w:rPr>
            </w:pPr>
            <w:r w:rsidRPr="00E8065F">
              <w:rPr>
                <w:color w:val="000000"/>
                <w:sz w:val="20"/>
                <w:szCs w:val="20"/>
              </w:rPr>
              <w:t>1</w:t>
            </w:r>
          </w:p>
        </w:tc>
        <w:tc>
          <w:tcPr>
            <w:tcW w:w="1478" w:type="dxa"/>
            <w:tcBorders>
              <w:top w:val="nil"/>
              <w:left w:val="single" w:sz="4" w:space="0" w:color="auto"/>
              <w:bottom w:val="single" w:sz="4" w:space="0" w:color="auto"/>
              <w:right w:val="single" w:sz="4" w:space="0" w:color="auto"/>
            </w:tcBorders>
            <w:shd w:val="clear" w:color="auto" w:fill="auto"/>
          </w:tcPr>
          <w:p w:rsidR="000E54C2" w:rsidRPr="00E8065F" w:rsidRDefault="000E54C2" w:rsidP="000546C2">
            <w:pPr>
              <w:jc w:val="center"/>
              <w:rPr>
                <w:color w:val="000000"/>
                <w:sz w:val="20"/>
                <w:szCs w:val="20"/>
              </w:rPr>
            </w:pPr>
            <w:r w:rsidRPr="00E8065F">
              <w:rPr>
                <w:color w:val="000000"/>
                <w:sz w:val="20"/>
                <w:szCs w:val="20"/>
              </w:rPr>
              <w:t>43</w:t>
            </w:r>
          </w:p>
        </w:tc>
        <w:tc>
          <w:tcPr>
            <w:tcW w:w="1111" w:type="dxa"/>
            <w:tcBorders>
              <w:top w:val="nil"/>
              <w:left w:val="single" w:sz="4" w:space="0" w:color="auto"/>
              <w:bottom w:val="single" w:sz="4" w:space="0" w:color="auto"/>
              <w:right w:val="single" w:sz="4" w:space="0" w:color="auto"/>
            </w:tcBorders>
            <w:shd w:val="clear" w:color="auto" w:fill="auto"/>
          </w:tcPr>
          <w:p w:rsidR="000E54C2" w:rsidRPr="00E8065F" w:rsidRDefault="000E54C2" w:rsidP="000546C2">
            <w:pPr>
              <w:jc w:val="center"/>
              <w:rPr>
                <w:color w:val="000000"/>
                <w:sz w:val="20"/>
                <w:szCs w:val="20"/>
              </w:rPr>
            </w:pPr>
            <w:r w:rsidRPr="00E8065F">
              <w:rPr>
                <w:color w:val="000000"/>
                <w:sz w:val="20"/>
                <w:szCs w:val="20"/>
              </w:rPr>
              <w:t>2</w:t>
            </w:r>
          </w:p>
        </w:tc>
        <w:tc>
          <w:tcPr>
            <w:tcW w:w="1944" w:type="dxa"/>
            <w:tcBorders>
              <w:top w:val="nil"/>
              <w:left w:val="single" w:sz="4" w:space="0" w:color="auto"/>
              <w:bottom w:val="single" w:sz="4" w:space="0" w:color="auto"/>
              <w:right w:val="single" w:sz="4" w:space="0" w:color="auto"/>
            </w:tcBorders>
            <w:shd w:val="clear" w:color="auto" w:fill="auto"/>
          </w:tcPr>
          <w:p w:rsidR="000E54C2" w:rsidRPr="00E8065F" w:rsidRDefault="000E54C2" w:rsidP="00BA1432">
            <w:pPr>
              <w:jc w:val="center"/>
              <w:rPr>
                <w:color w:val="000000"/>
                <w:sz w:val="20"/>
                <w:szCs w:val="20"/>
              </w:rPr>
            </w:pPr>
            <w:r w:rsidRPr="00E8065F">
              <w:rPr>
                <w:color w:val="000000"/>
                <w:sz w:val="20"/>
                <w:szCs w:val="20"/>
              </w:rPr>
              <w:t>Амбулаторное</w:t>
            </w:r>
          </w:p>
        </w:tc>
      </w:tr>
      <w:tr w:rsidR="00BA1432" w:rsidRPr="00E8065F" w:rsidTr="000546C2">
        <w:trPr>
          <w:trHeight w:val="20"/>
        </w:trPr>
        <w:tc>
          <w:tcPr>
            <w:tcW w:w="1555" w:type="dxa"/>
            <w:vMerge/>
          </w:tcPr>
          <w:p w:rsidR="000E54C2" w:rsidRPr="00E8065F" w:rsidRDefault="000E54C2" w:rsidP="00BA1432">
            <w:pPr>
              <w:rPr>
                <w:sz w:val="20"/>
                <w:szCs w:val="20"/>
              </w:rPr>
            </w:pPr>
          </w:p>
        </w:tc>
        <w:tc>
          <w:tcPr>
            <w:tcW w:w="3685" w:type="dxa"/>
            <w:tcBorders>
              <w:top w:val="nil"/>
              <w:left w:val="single" w:sz="4" w:space="0" w:color="auto"/>
              <w:bottom w:val="single" w:sz="4" w:space="0" w:color="auto"/>
              <w:right w:val="single" w:sz="4" w:space="0" w:color="auto"/>
            </w:tcBorders>
            <w:shd w:val="clear" w:color="auto" w:fill="auto"/>
          </w:tcPr>
          <w:p w:rsidR="000E54C2" w:rsidRPr="00E8065F" w:rsidRDefault="000E54C2" w:rsidP="001164A3">
            <w:pPr>
              <w:jc w:val="both"/>
              <w:rPr>
                <w:color w:val="000000"/>
                <w:sz w:val="20"/>
                <w:szCs w:val="20"/>
              </w:rPr>
            </w:pPr>
            <w:r w:rsidRPr="00E8065F">
              <w:rPr>
                <w:color w:val="000000"/>
                <w:sz w:val="20"/>
                <w:szCs w:val="20"/>
              </w:rPr>
              <w:t xml:space="preserve">ГАУЗ </w:t>
            </w:r>
            <w:r w:rsidR="002F7358">
              <w:rPr>
                <w:color w:val="000000"/>
                <w:sz w:val="20"/>
                <w:szCs w:val="20"/>
              </w:rPr>
              <w:t>«</w:t>
            </w:r>
            <w:r w:rsidRPr="00E8065F">
              <w:rPr>
                <w:color w:val="000000"/>
                <w:sz w:val="20"/>
                <w:szCs w:val="20"/>
              </w:rPr>
              <w:t>Городская поликлиника №</w:t>
            </w:r>
            <w:r w:rsidR="001164A3">
              <w:rPr>
                <w:color w:val="000000"/>
                <w:sz w:val="20"/>
                <w:szCs w:val="20"/>
              </w:rPr>
              <w:t xml:space="preserve"> </w:t>
            </w:r>
            <w:r w:rsidRPr="00E8065F">
              <w:rPr>
                <w:color w:val="000000"/>
                <w:sz w:val="20"/>
                <w:szCs w:val="20"/>
              </w:rPr>
              <w:t>21</w:t>
            </w:r>
            <w:r w:rsidR="002F7358">
              <w:rPr>
                <w:color w:val="000000"/>
                <w:sz w:val="20"/>
                <w:szCs w:val="20"/>
              </w:rPr>
              <w:t>»</w:t>
            </w:r>
            <w:r w:rsidRPr="00E8065F">
              <w:rPr>
                <w:color w:val="000000"/>
                <w:sz w:val="20"/>
                <w:szCs w:val="20"/>
              </w:rPr>
              <w:t xml:space="preserve"> </w:t>
            </w:r>
            <w:r w:rsidR="003722E0">
              <w:rPr>
                <w:color w:val="000000"/>
                <w:sz w:val="20"/>
                <w:szCs w:val="20"/>
              </w:rPr>
              <w:t>г.Казани</w:t>
            </w:r>
          </w:p>
        </w:tc>
        <w:tc>
          <w:tcPr>
            <w:tcW w:w="1994" w:type="dxa"/>
            <w:tcBorders>
              <w:top w:val="nil"/>
              <w:left w:val="single" w:sz="4" w:space="0" w:color="auto"/>
              <w:bottom w:val="single" w:sz="4" w:space="0" w:color="auto"/>
              <w:right w:val="single" w:sz="4" w:space="0" w:color="auto"/>
            </w:tcBorders>
            <w:shd w:val="clear" w:color="auto" w:fill="auto"/>
          </w:tcPr>
          <w:p w:rsidR="000E54C2" w:rsidRPr="00E8065F" w:rsidRDefault="000E54C2" w:rsidP="00BA1432">
            <w:pPr>
              <w:jc w:val="center"/>
              <w:rPr>
                <w:color w:val="000000"/>
                <w:sz w:val="20"/>
                <w:szCs w:val="20"/>
              </w:rPr>
            </w:pPr>
            <w:r w:rsidRPr="00E8065F">
              <w:rPr>
                <w:color w:val="000000"/>
                <w:sz w:val="20"/>
                <w:szCs w:val="20"/>
              </w:rPr>
              <w:t>Рентгенодиагностические аппараты</w:t>
            </w:r>
          </w:p>
        </w:tc>
        <w:tc>
          <w:tcPr>
            <w:tcW w:w="1181" w:type="dxa"/>
            <w:shd w:val="clear" w:color="auto" w:fill="auto"/>
          </w:tcPr>
          <w:p w:rsidR="00B96806" w:rsidRPr="00E8065F" w:rsidRDefault="000E54C2" w:rsidP="00B96806">
            <w:pPr>
              <w:jc w:val="center"/>
              <w:rPr>
                <w:sz w:val="20"/>
                <w:szCs w:val="20"/>
              </w:rPr>
            </w:pPr>
            <w:r w:rsidRPr="00E8065F">
              <w:rPr>
                <w:sz w:val="20"/>
                <w:szCs w:val="20"/>
              </w:rPr>
              <w:t>2017</w:t>
            </w:r>
            <w:r w:rsidR="00AA5FB3">
              <w:rPr>
                <w:sz w:val="20"/>
                <w:szCs w:val="20"/>
              </w:rPr>
              <w:t xml:space="preserve"> </w:t>
            </w:r>
            <w:r w:rsidR="00B96806">
              <w:rPr>
                <w:sz w:val="20"/>
                <w:szCs w:val="20"/>
              </w:rPr>
              <w:t>(1)</w:t>
            </w:r>
          </w:p>
          <w:p w:rsidR="000E54C2" w:rsidRPr="00E8065F" w:rsidRDefault="000E54C2" w:rsidP="00B96806">
            <w:pPr>
              <w:jc w:val="center"/>
              <w:rPr>
                <w:sz w:val="20"/>
                <w:szCs w:val="20"/>
              </w:rPr>
            </w:pPr>
            <w:r w:rsidRPr="00E8065F">
              <w:rPr>
                <w:sz w:val="20"/>
                <w:szCs w:val="20"/>
              </w:rPr>
              <w:t>2018</w:t>
            </w:r>
            <w:r w:rsidR="00AA5FB3">
              <w:rPr>
                <w:sz w:val="20"/>
                <w:szCs w:val="20"/>
              </w:rPr>
              <w:t xml:space="preserve"> </w:t>
            </w:r>
            <w:r w:rsidR="00B96806">
              <w:rPr>
                <w:sz w:val="20"/>
                <w:szCs w:val="20"/>
              </w:rPr>
              <w:t>(1)</w:t>
            </w:r>
          </w:p>
        </w:tc>
        <w:tc>
          <w:tcPr>
            <w:tcW w:w="1181" w:type="dxa"/>
            <w:tcBorders>
              <w:top w:val="nil"/>
              <w:left w:val="single" w:sz="4" w:space="0" w:color="auto"/>
              <w:bottom w:val="single" w:sz="4" w:space="0" w:color="auto"/>
              <w:right w:val="single" w:sz="4" w:space="0" w:color="auto"/>
            </w:tcBorders>
            <w:shd w:val="clear" w:color="auto" w:fill="auto"/>
          </w:tcPr>
          <w:p w:rsidR="000E54C2" w:rsidRPr="00E8065F" w:rsidRDefault="000E54C2" w:rsidP="000546C2">
            <w:pPr>
              <w:jc w:val="center"/>
              <w:rPr>
                <w:color w:val="000000"/>
                <w:sz w:val="20"/>
                <w:szCs w:val="20"/>
              </w:rPr>
            </w:pPr>
            <w:r w:rsidRPr="00E8065F">
              <w:rPr>
                <w:color w:val="000000"/>
                <w:sz w:val="20"/>
                <w:szCs w:val="20"/>
              </w:rPr>
              <w:t>2</w:t>
            </w:r>
          </w:p>
        </w:tc>
        <w:tc>
          <w:tcPr>
            <w:tcW w:w="1478" w:type="dxa"/>
            <w:tcBorders>
              <w:top w:val="nil"/>
              <w:left w:val="single" w:sz="4" w:space="0" w:color="auto"/>
              <w:bottom w:val="single" w:sz="4" w:space="0" w:color="auto"/>
              <w:right w:val="single" w:sz="4" w:space="0" w:color="auto"/>
            </w:tcBorders>
            <w:shd w:val="clear" w:color="auto" w:fill="auto"/>
          </w:tcPr>
          <w:p w:rsidR="000E54C2" w:rsidRPr="00E8065F" w:rsidRDefault="000E54C2" w:rsidP="000546C2">
            <w:pPr>
              <w:jc w:val="center"/>
              <w:rPr>
                <w:color w:val="000000"/>
                <w:sz w:val="20"/>
                <w:szCs w:val="20"/>
              </w:rPr>
            </w:pPr>
            <w:r w:rsidRPr="00E8065F">
              <w:rPr>
                <w:color w:val="000000"/>
                <w:sz w:val="20"/>
                <w:szCs w:val="20"/>
              </w:rPr>
              <w:t>47</w:t>
            </w:r>
          </w:p>
        </w:tc>
        <w:tc>
          <w:tcPr>
            <w:tcW w:w="1111" w:type="dxa"/>
            <w:tcBorders>
              <w:top w:val="nil"/>
              <w:left w:val="single" w:sz="4" w:space="0" w:color="auto"/>
              <w:bottom w:val="single" w:sz="4" w:space="0" w:color="auto"/>
              <w:right w:val="single" w:sz="4" w:space="0" w:color="auto"/>
            </w:tcBorders>
            <w:shd w:val="clear" w:color="auto" w:fill="auto"/>
          </w:tcPr>
          <w:p w:rsidR="000E54C2" w:rsidRPr="00E8065F" w:rsidRDefault="000E54C2" w:rsidP="000546C2">
            <w:pPr>
              <w:jc w:val="center"/>
              <w:rPr>
                <w:color w:val="000000"/>
                <w:sz w:val="20"/>
                <w:szCs w:val="20"/>
              </w:rPr>
            </w:pPr>
            <w:r w:rsidRPr="00E8065F">
              <w:rPr>
                <w:color w:val="000000"/>
                <w:sz w:val="20"/>
                <w:szCs w:val="20"/>
              </w:rPr>
              <w:t>2</w:t>
            </w:r>
          </w:p>
        </w:tc>
        <w:tc>
          <w:tcPr>
            <w:tcW w:w="1944" w:type="dxa"/>
            <w:tcBorders>
              <w:top w:val="nil"/>
              <w:left w:val="single" w:sz="4" w:space="0" w:color="auto"/>
              <w:bottom w:val="single" w:sz="4" w:space="0" w:color="auto"/>
              <w:right w:val="single" w:sz="4" w:space="0" w:color="auto"/>
            </w:tcBorders>
            <w:shd w:val="clear" w:color="auto" w:fill="auto"/>
          </w:tcPr>
          <w:p w:rsidR="000E54C2" w:rsidRPr="00E8065F" w:rsidRDefault="000E54C2" w:rsidP="00BA1432">
            <w:pPr>
              <w:jc w:val="center"/>
              <w:rPr>
                <w:color w:val="000000"/>
                <w:sz w:val="20"/>
                <w:szCs w:val="20"/>
              </w:rPr>
            </w:pPr>
            <w:r w:rsidRPr="00E8065F">
              <w:rPr>
                <w:color w:val="000000"/>
                <w:sz w:val="20"/>
                <w:szCs w:val="20"/>
              </w:rPr>
              <w:t>Амбулаторное</w:t>
            </w:r>
          </w:p>
        </w:tc>
      </w:tr>
      <w:tr w:rsidR="00BA1432" w:rsidRPr="00E8065F" w:rsidTr="000546C2">
        <w:trPr>
          <w:trHeight w:val="20"/>
        </w:trPr>
        <w:tc>
          <w:tcPr>
            <w:tcW w:w="1555" w:type="dxa"/>
            <w:vMerge/>
          </w:tcPr>
          <w:p w:rsidR="000E54C2" w:rsidRPr="00E8065F" w:rsidRDefault="000E54C2" w:rsidP="00BA1432">
            <w:pPr>
              <w:rPr>
                <w:sz w:val="20"/>
                <w:szCs w:val="20"/>
              </w:rPr>
            </w:pPr>
          </w:p>
        </w:tc>
        <w:tc>
          <w:tcPr>
            <w:tcW w:w="3685" w:type="dxa"/>
            <w:tcBorders>
              <w:top w:val="nil"/>
              <w:left w:val="single" w:sz="4" w:space="0" w:color="auto"/>
              <w:bottom w:val="single" w:sz="4" w:space="0" w:color="auto"/>
              <w:right w:val="single" w:sz="4" w:space="0" w:color="auto"/>
            </w:tcBorders>
            <w:shd w:val="clear" w:color="auto" w:fill="auto"/>
          </w:tcPr>
          <w:p w:rsidR="000E54C2" w:rsidRPr="00E8065F" w:rsidRDefault="000E54C2" w:rsidP="00DC0475">
            <w:pPr>
              <w:jc w:val="both"/>
              <w:rPr>
                <w:color w:val="000000"/>
                <w:sz w:val="20"/>
                <w:szCs w:val="20"/>
              </w:rPr>
            </w:pPr>
            <w:r w:rsidRPr="00E8065F">
              <w:rPr>
                <w:color w:val="000000"/>
                <w:sz w:val="20"/>
                <w:szCs w:val="20"/>
              </w:rPr>
              <w:t xml:space="preserve">ГАУЗ </w:t>
            </w:r>
            <w:r w:rsidR="002F7358">
              <w:rPr>
                <w:color w:val="000000"/>
                <w:sz w:val="20"/>
                <w:szCs w:val="20"/>
              </w:rPr>
              <w:t>«</w:t>
            </w:r>
            <w:r w:rsidRPr="00E8065F">
              <w:rPr>
                <w:color w:val="000000"/>
                <w:sz w:val="20"/>
                <w:szCs w:val="20"/>
              </w:rPr>
              <w:t>Городская поликлиника №</w:t>
            </w:r>
            <w:r w:rsidR="001164A3">
              <w:rPr>
                <w:color w:val="000000"/>
                <w:sz w:val="20"/>
                <w:szCs w:val="20"/>
              </w:rPr>
              <w:t xml:space="preserve"> </w:t>
            </w:r>
            <w:r w:rsidRPr="00E8065F">
              <w:rPr>
                <w:color w:val="000000"/>
                <w:sz w:val="20"/>
                <w:szCs w:val="20"/>
              </w:rPr>
              <w:t>7</w:t>
            </w:r>
            <w:r w:rsidR="002F7358">
              <w:rPr>
                <w:color w:val="000000"/>
                <w:sz w:val="20"/>
                <w:szCs w:val="20"/>
              </w:rPr>
              <w:t>»</w:t>
            </w:r>
            <w:r w:rsidR="003722E0">
              <w:rPr>
                <w:color w:val="000000"/>
                <w:sz w:val="20"/>
                <w:szCs w:val="20"/>
              </w:rPr>
              <w:t xml:space="preserve"> г.Казани</w:t>
            </w:r>
          </w:p>
        </w:tc>
        <w:tc>
          <w:tcPr>
            <w:tcW w:w="1994" w:type="dxa"/>
            <w:tcBorders>
              <w:top w:val="nil"/>
              <w:left w:val="single" w:sz="4" w:space="0" w:color="auto"/>
              <w:bottom w:val="single" w:sz="4" w:space="0" w:color="auto"/>
              <w:right w:val="single" w:sz="4" w:space="0" w:color="auto"/>
            </w:tcBorders>
            <w:shd w:val="clear" w:color="auto" w:fill="auto"/>
          </w:tcPr>
          <w:p w:rsidR="000E54C2" w:rsidRPr="00E8065F" w:rsidRDefault="000E54C2" w:rsidP="00BA1432">
            <w:pPr>
              <w:jc w:val="center"/>
              <w:rPr>
                <w:color w:val="000000"/>
                <w:sz w:val="20"/>
                <w:szCs w:val="20"/>
              </w:rPr>
            </w:pPr>
            <w:r w:rsidRPr="00E8065F">
              <w:rPr>
                <w:color w:val="000000"/>
                <w:sz w:val="20"/>
                <w:szCs w:val="20"/>
              </w:rPr>
              <w:t>Рентгенодиагностические аппараты</w:t>
            </w:r>
          </w:p>
        </w:tc>
        <w:tc>
          <w:tcPr>
            <w:tcW w:w="1181" w:type="dxa"/>
            <w:tcBorders>
              <w:bottom w:val="single" w:sz="4" w:space="0" w:color="auto"/>
            </w:tcBorders>
            <w:shd w:val="clear" w:color="auto" w:fill="auto"/>
          </w:tcPr>
          <w:p w:rsidR="000E54C2" w:rsidRPr="00E8065F" w:rsidRDefault="000E54C2" w:rsidP="000546C2">
            <w:pPr>
              <w:jc w:val="center"/>
              <w:rPr>
                <w:sz w:val="20"/>
                <w:szCs w:val="20"/>
              </w:rPr>
            </w:pPr>
            <w:r w:rsidRPr="00E8065F">
              <w:rPr>
                <w:sz w:val="20"/>
                <w:szCs w:val="20"/>
              </w:rPr>
              <w:t>2023</w:t>
            </w:r>
          </w:p>
        </w:tc>
        <w:tc>
          <w:tcPr>
            <w:tcW w:w="1181" w:type="dxa"/>
            <w:tcBorders>
              <w:top w:val="nil"/>
              <w:left w:val="single" w:sz="4" w:space="0" w:color="auto"/>
              <w:bottom w:val="single" w:sz="4" w:space="0" w:color="auto"/>
              <w:right w:val="single" w:sz="4" w:space="0" w:color="auto"/>
            </w:tcBorders>
            <w:shd w:val="clear" w:color="auto" w:fill="auto"/>
          </w:tcPr>
          <w:p w:rsidR="000E54C2" w:rsidRPr="00E8065F" w:rsidRDefault="000E54C2" w:rsidP="000546C2">
            <w:pPr>
              <w:jc w:val="center"/>
              <w:rPr>
                <w:color w:val="000000"/>
                <w:sz w:val="20"/>
                <w:szCs w:val="20"/>
              </w:rPr>
            </w:pPr>
            <w:r w:rsidRPr="00E8065F">
              <w:rPr>
                <w:color w:val="000000"/>
                <w:sz w:val="20"/>
                <w:szCs w:val="20"/>
              </w:rPr>
              <w:t>1</w:t>
            </w:r>
          </w:p>
        </w:tc>
        <w:tc>
          <w:tcPr>
            <w:tcW w:w="1478" w:type="dxa"/>
            <w:tcBorders>
              <w:top w:val="nil"/>
              <w:left w:val="single" w:sz="4" w:space="0" w:color="auto"/>
              <w:bottom w:val="single" w:sz="4" w:space="0" w:color="auto"/>
              <w:right w:val="single" w:sz="4" w:space="0" w:color="auto"/>
            </w:tcBorders>
            <w:shd w:val="clear" w:color="auto" w:fill="auto"/>
          </w:tcPr>
          <w:p w:rsidR="000E54C2" w:rsidRPr="00E8065F" w:rsidRDefault="000E54C2" w:rsidP="000546C2">
            <w:pPr>
              <w:jc w:val="center"/>
              <w:rPr>
                <w:color w:val="000000"/>
                <w:sz w:val="20"/>
                <w:szCs w:val="20"/>
              </w:rPr>
            </w:pPr>
            <w:r w:rsidRPr="00E8065F">
              <w:rPr>
                <w:color w:val="000000"/>
                <w:sz w:val="20"/>
                <w:szCs w:val="20"/>
              </w:rPr>
              <w:t>100</w:t>
            </w:r>
          </w:p>
        </w:tc>
        <w:tc>
          <w:tcPr>
            <w:tcW w:w="1111" w:type="dxa"/>
            <w:tcBorders>
              <w:top w:val="nil"/>
              <w:left w:val="single" w:sz="4" w:space="0" w:color="auto"/>
              <w:bottom w:val="single" w:sz="4" w:space="0" w:color="auto"/>
              <w:right w:val="single" w:sz="4" w:space="0" w:color="auto"/>
            </w:tcBorders>
            <w:shd w:val="clear" w:color="auto" w:fill="auto"/>
          </w:tcPr>
          <w:p w:rsidR="000E54C2" w:rsidRPr="00E8065F" w:rsidRDefault="000E54C2" w:rsidP="000546C2">
            <w:pPr>
              <w:jc w:val="center"/>
              <w:rPr>
                <w:color w:val="000000"/>
                <w:sz w:val="20"/>
                <w:szCs w:val="20"/>
              </w:rPr>
            </w:pPr>
            <w:r w:rsidRPr="00E8065F">
              <w:rPr>
                <w:color w:val="000000"/>
                <w:sz w:val="20"/>
                <w:szCs w:val="20"/>
              </w:rPr>
              <w:t>2</w:t>
            </w:r>
          </w:p>
        </w:tc>
        <w:tc>
          <w:tcPr>
            <w:tcW w:w="1944" w:type="dxa"/>
            <w:tcBorders>
              <w:top w:val="nil"/>
              <w:left w:val="single" w:sz="4" w:space="0" w:color="auto"/>
              <w:bottom w:val="single" w:sz="4" w:space="0" w:color="auto"/>
              <w:right w:val="single" w:sz="4" w:space="0" w:color="auto"/>
            </w:tcBorders>
            <w:shd w:val="clear" w:color="auto" w:fill="auto"/>
          </w:tcPr>
          <w:p w:rsidR="000E54C2" w:rsidRPr="00E8065F" w:rsidRDefault="000E54C2" w:rsidP="00BA1432">
            <w:pPr>
              <w:jc w:val="center"/>
              <w:rPr>
                <w:color w:val="000000"/>
                <w:sz w:val="20"/>
                <w:szCs w:val="20"/>
              </w:rPr>
            </w:pPr>
            <w:r w:rsidRPr="00E8065F">
              <w:rPr>
                <w:color w:val="000000"/>
                <w:sz w:val="20"/>
                <w:szCs w:val="20"/>
              </w:rPr>
              <w:t>Амбулаторное</w:t>
            </w:r>
          </w:p>
        </w:tc>
      </w:tr>
      <w:tr w:rsidR="00BA1432" w:rsidRPr="00E8065F" w:rsidTr="000546C2">
        <w:trPr>
          <w:trHeight w:val="20"/>
        </w:trPr>
        <w:tc>
          <w:tcPr>
            <w:tcW w:w="1555" w:type="dxa"/>
            <w:vMerge/>
          </w:tcPr>
          <w:p w:rsidR="000E54C2" w:rsidRPr="00E8065F" w:rsidRDefault="000E54C2" w:rsidP="00BA1432">
            <w:pPr>
              <w:rPr>
                <w:sz w:val="20"/>
                <w:szCs w:val="20"/>
              </w:rPr>
            </w:pPr>
          </w:p>
        </w:tc>
        <w:tc>
          <w:tcPr>
            <w:tcW w:w="3685" w:type="dxa"/>
            <w:tcBorders>
              <w:top w:val="single" w:sz="4" w:space="0" w:color="auto"/>
              <w:bottom w:val="single" w:sz="4" w:space="0" w:color="auto"/>
              <w:right w:val="single" w:sz="4" w:space="0" w:color="auto"/>
            </w:tcBorders>
            <w:shd w:val="clear" w:color="auto" w:fill="auto"/>
          </w:tcPr>
          <w:p w:rsidR="000E54C2" w:rsidRPr="00E8065F" w:rsidRDefault="000E54C2" w:rsidP="00DC0475">
            <w:pPr>
              <w:jc w:val="both"/>
              <w:rPr>
                <w:color w:val="000000"/>
                <w:sz w:val="20"/>
                <w:szCs w:val="20"/>
              </w:rPr>
            </w:pPr>
            <w:r w:rsidRPr="00E8065F">
              <w:rPr>
                <w:color w:val="000000"/>
                <w:sz w:val="20"/>
                <w:szCs w:val="20"/>
              </w:rPr>
              <w:t xml:space="preserve">ГАУЗ </w:t>
            </w:r>
            <w:r w:rsidR="002F7358">
              <w:rPr>
                <w:color w:val="000000"/>
                <w:sz w:val="20"/>
                <w:szCs w:val="20"/>
              </w:rPr>
              <w:t>«</w:t>
            </w:r>
            <w:r w:rsidRPr="00E8065F">
              <w:rPr>
                <w:color w:val="000000"/>
                <w:sz w:val="20"/>
                <w:szCs w:val="20"/>
              </w:rPr>
              <w:t>Городская поликлиника №</w:t>
            </w:r>
            <w:r w:rsidR="001164A3">
              <w:rPr>
                <w:color w:val="000000"/>
                <w:sz w:val="20"/>
                <w:szCs w:val="20"/>
              </w:rPr>
              <w:t xml:space="preserve"> </w:t>
            </w:r>
            <w:r w:rsidRPr="00E8065F">
              <w:rPr>
                <w:color w:val="000000"/>
                <w:sz w:val="20"/>
                <w:szCs w:val="20"/>
              </w:rPr>
              <w:t>8</w:t>
            </w:r>
            <w:r w:rsidR="002F7358">
              <w:rPr>
                <w:color w:val="000000"/>
                <w:sz w:val="20"/>
                <w:szCs w:val="20"/>
              </w:rPr>
              <w:t>»</w:t>
            </w:r>
            <w:r w:rsidR="003722E0">
              <w:rPr>
                <w:color w:val="000000"/>
                <w:sz w:val="20"/>
                <w:szCs w:val="20"/>
              </w:rPr>
              <w:t xml:space="preserve"> г.Казани</w:t>
            </w:r>
          </w:p>
        </w:tc>
        <w:tc>
          <w:tcPr>
            <w:tcW w:w="1994" w:type="dxa"/>
            <w:tcBorders>
              <w:top w:val="single" w:sz="4" w:space="0" w:color="auto"/>
              <w:left w:val="single" w:sz="4" w:space="0" w:color="auto"/>
              <w:bottom w:val="single" w:sz="4" w:space="0" w:color="auto"/>
              <w:right w:val="single" w:sz="4" w:space="0" w:color="auto"/>
            </w:tcBorders>
            <w:shd w:val="clear" w:color="auto" w:fill="auto"/>
          </w:tcPr>
          <w:p w:rsidR="000E54C2" w:rsidRPr="00E8065F" w:rsidRDefault="000E54C2" w:rsidP="00BA1432">
            <w:pPr>
              <w:jc w:val="center"/>
              <w:rPr>
                <w:color w:val="000000"/>
                <w:sz w:val="20"/>
                <w:szCs w:val="20"/>
              </w:rPr>
            </w:pPr>
            <w:r w:rsidRPr="00E8065F">
              <w:rPr>
                <w:color w:val="000000"/>
                <w:sz w:val="20"/>
                <w:szCs w:val="20"/>
              </w:rPr>
              <w:t>Рентгенодиагностические аппараты</w:t>
            </w:r>
          </w:p>
        </w:tc>
        <w:tc>
          <w:tcPr>
            <w:tcW w:w="1181" w:type="dxa"/>
            <w:tcBorders>
              <w:top w:val="single" w:sz="4" w:space="0" w:color="auto"/>
              <w:left w:val="single" w:sz="4" w:space="0" w:color="auto"/>
              <w:bottom w:val="single" w:sz="4" w:space="0" w:color="auto"/>
              <w:right w:val="single" w:sz="4" w:space="0" w:color="auto"/>
            </w:tcBorders>
            <w:shd w:val="clear" w:color="auto" w:fill="auto"/>
          </w:tcPr>
          <w:p w:rsidR="00B96806" w:rsidRPr="00E8065F" w:rsidRDefault="000E54C2" w:rsidP="00B96806">
            <w:pPr>
              <w:jc w:val="center"/>
              <w:rPr>
                <w:sz w:val="20"/>
                <w:szCs w:val="20"/>
              </w:rPr>
            </w:pPr>
            <w:r w:rsidRPr="00E8065F">
              <w:rPr>
                <w:sz w:val="20"/>
                <w:szCs w:val="20"/>
              </w:rPr>
              <w:t>2014</w:t>
            </w:r>
            <w:r w:rsidR="00AA5FB3">
              <w:rPr>
                <w:sz w:val="20"/>
                <w:szCs w:val="20"/>
              </w:rPr>
              <w:t xml:space="preserve"> </w:t>
            </w:r>
            <w:r w:rsidR="00B96806">
              <w:rPr>
                <w:sz w:val="20"/>
                <w:szCs w:val="20"/>
              </w:rPr>
              <w:t>(1)</w:t>
            </w:r>
          </w:p>
          <w:p w:rsidR="000E54C2" w:rsidRPr="00E8065F" w:rsidRDefault="000E54C2" w:rsidP="00B96806">
            <w:pPr>
              <w:jc w:val="center"/>
              <w:rPr>
                <w:sz w:val="20"/>
                <w:szCs w:val="20"/>
              </w:rPr>
            </w:pPr>
            <w:r w:rsidRPr="00E8065F">
              <w:rPr>
                <w:sz w:val="20"/>
                <w:szCs w:val="20"/>
              </w:rPr>
              <w:t>2018</w:t>
            </w:r>
            <w:r w:rsidR="00AA5FB3">
              <w:rPr>
                <w:sz w:val="20"/>
                <w:szCs w:val="20"/>
              </w:rPr>
              <w:t xml:space="preserve"> </w:t>
            </w:r>
            <w:r w:rsidR="00B96806">
              <w:rPr>
                <w:sz w:val="20"/>
                <w:szCs w:val="20"/>
              </w:rPr>
              <w:t>(1)</w:t>
            </w:r>
          </w:p>
        </w:tc>
        <w:tc>
          <w:tcPr>
            <w:tcW w:w="1181" w:type="dxa"/>
            <w:tcBorders>
              <w:top w:val="single" w:sz="4" w:space="0" w:color="auto"/>
              <w:left w:val="single" w:sz="4" w:space="0" w:color="auto"/>
              <w:bottom w:val="single" w:sz="4" w:space="0" w:color="auto"/>
              <w:right w:val="single" w:sz="4" w:space="0" w:color="auto"/>
            </w:tcBorders>
            <w:shd w:val="clear" w:color="auto" w:fill="auto"/>
          </w:tcPr>
          <w:p w:rsidR="000E54C2" w:rsidRPr="00E8065F" w:rsidRDefault="000E54C2" w:rsidP="000546C2">
            <w:pPr>
              <w:jc w:val="center"/>
              <w:rPr>
                <w:color w:val="000000"/>
                <w:sz w:val="20"/>
                <w:szCs w:val="20"/>
              </w:rPr>
            </w:pPr>
            <w:r w:rsidRPr="00E8065F">
              <w:rPr>
                <w:color w:val="000000"/>
                <w:sz w:val="20"/>
                <w:szCs w:val="20"/>
              </w:rPr>
              <w:t>2</w:t>
            </w:r>
          </w:p>
        </w:tc>
        <w:tc>
          <w:tcPr>
            <w:tcW w:w="1478" w:type="dxa"/>
            <w:tcBorders>
              <w:top w:val="single" w:sz="4" w:space="0" w:color="auto"/>
              <w:left w:val="single" w:sz="4" w:space="0" w:color="auto"/>
              <w:bottom w:val="single" w:sz="4" w:space="0" w:color="auto"/>
              <w:right w:val="single" w:sz="4" w:space="0" w:color="auto"/>
            </w:tcBorders>
            <w:shd w:val="clear" w:color="auto" w:fill="auto"/>
          </w:tcPr>
          <w:p w:rsidR="000E54C2" w:rsidRPr="00E8065F" w:rsidRDefault="000E54C2" w:rsidP="000546C2">
            <w:pPr>
              <w:jc w:val="center"/>
              <w:rPr>
                <w:color w:val="000000"/>
                <w:sz w:val="20"/>
                <w:szCs w:val="20"/>
              </w:rPr>
            </w:pPr>
            <w:r w:rsidRPr="00E8065F">
              <w:rPr>
                <w:color w:val="000000"/>
                <w:sz w:val="20"/>
                <w:szCs w:val="20"/>
              </w:rPr>
              <w:t>60</w:t>
            </w:r>
          </w:p>
        </w:tc>
        <w:tc>
          <w:tcPr>
            <w:tcW w:w="1111" w:type="dxa"/>
            <w:tcBorders>
              <w:top w:val="single" w:sz="4" w:space="0" w:color="auto"/>
              <w:left w:val="single" w:sz="4" w:space="0" w:color="auto"/>
              <w:bottom w:val="single" w:sz="4" w:space="0" w:color="auto"/>
              <w:right w:val="single" w:sz="4" w:space="0" w:color="auto"/>
            </w:tcBorders>
            <w:shd w:val="clear" w:color="auto" w:fill="auto"/>
          </w:tcPr>
          <w:p w:rsidR="000E54C2" w:rsidRPr="00E8065F" w:rsidRDefault="000E54C2" w:rsidP="000546C2">
            <w:pPr>
              <w:jc w:val="center"/>
              <w:rPr>
                <w:color w:val="000000"/>
                <w:sz w:val="20"/>
                <w:szCs w:val="20"/>
              </w:rPr>
            </w:pPr>
            <w:r w:rsidRPr="00E8065F">
              <w:rPr>
                <w:color w:val="000000"/>
                <w:sz w:val="20"/>
                <w:szCs w:val="20"/>
              </w:rPr>
              <w:t>2</w:t>
            </w:r>
          </w:p>
        </w:tc>
        <w:tc>
          <w:tcPr>
            <w:tcW w:w="1944" w:type="dxa"/>
            <w:tcBorders>
              <w:top w:val="single" w:sz="4" w:space="0" w:color="auto"/>
              <w:left w:val="single" w:sz="4" w:space="0" w:color="auto"/>
              <w:bottom w:val="single" w:sz="4" w:space="0" w:color="auto"/>
              <w:right w:val="single" w:sz="4" w:space="0" w:color="auto"/>
            </w:tcBorders>
            <w:shd w:val="clear" w:color="auto" w:fill="auto"/>
          </w:tcPr>
          <w:p w:rsidR="000E54C2" w:rsidRPr="00E8065F" w:rsidRDefault="000E54C2" w:rsidP="00BA1432">
            <w:pPr>
              <w:jc w:val="center"/>
              <w:rPr>
                <w:color w:val="000000"/>
                <w:sz w:val="20"/>
                <w:szCs w:val="20"/>
              </w:rPr>
            </w:pPr>
            <w:r w:rsidRPr="00E8065F">
              <w:rPr>
                <w:color w:val="000000"/>
                <w:sz w:val="20"/>
                <w:szCs w:val="20"/>
              </w:rPr>
              <w:t>Амбулаторное</w:t>
            </w:r>
          </w:p>
        </w:tc>
      </w:tr>
      <w:tr w:rsidR="00BA1432" w:rsidRPr="00E8065F" w:rsidTr="000546C2">
        <w:trPr>
          <w:trHeight w:val="20"/>
        </w:trPr>
        <w:tc>
          <w:tcPr>
            <w:tcW w:w="1555" w:type="dxa"/>
            <w:vMerge/>
          </w:tcPr>
          <w:p w:rsidR="000E54C2" w:rsidRPr="00E8065F" w:rsidRDefault="000E54C2" w:rsidP="00BA1432">
            <w:pPr>
              <w:rPr>
                <w:sz w:val="20"/>
                <w:szCs w:val="20"/>
              </w:rPr>
            </w:pPr>
          </w:p>
        </w:tc>
        <w:tc>
          <w:tcPr>
            <w:tcW w:w="3685" w:type="dxa"/>
            <w:tcBorders>
              <w:top w:val="nil"/>
              <w:left w:val="single" w:sz="4" w:space="0" w:color="auto"/>
              <w:bottom w:val="single" w:sz="4" w:space="0" w:color="auto"/>
              <w:right w:val="single" w:sz="4" w:space="0" w:color="auto"/>
            </w:tcBorders>
            <w:shd w:val="clear" w:color="auto" w:fill="auto"/>
          </w:tcPr>
          <w:p w:rsidR="000E54C2" w:rsidRPr="00E8065F" w:rsidRDefault="000E54C2" w:rsidP="00DC0475">
            <w:pPr>
              <w:jc w:val="both"/>
              <w:rPr>
                <w:color w:val="000000"/>
                <w:sz w:val="20"/>
                <w:szCs w:val="20"/>
              </w:rPr>
            </w:pPr>
            <w:r>
              <w:rPr>
                <w:color w:val="000000"/>
                <w:sz w:val="20"/>
                <w:szCs w:val="20"/>
              </w:rPr>
              <w:t xml:space="preserve">ГАУЗ </w:t>
            </w:r>
            <w:r w:rsidR="002F7358">
              <w:rPr>
                <w:color w:val="000000"/>
                <w:sz w:val="20"/>
                <w:szCs w:val="20"/>
              </w:rPr>
              <w:t>«</w:t>
            </w:r>
            <w:r>
              <w:rPr>
                <w:color w:val="000000"/>
                <w:sz w:val="20"/>
                <w:szCs w:val="20"/>
              </w:rPr>
              <w:t>Клиника медицинского университета</w:t>
            </w:r>
            <w:r w:rsidR="002F7358">
              <w:rPr>
                <w:color w:val="000000"/>
                <w:sz w:val="20"/>
                <w:szCs w:val="20"/>
              </w:rPr>
              <w:t>»</w:t>
            </w:r>
            <w:r w:rsidR="001164A3">
              <w:rPr>
                <w:color w:val="000000"/>
                <w:sz w:val="20"/>
                <w:szCs w:val="20"/>
              </w:rPr>
              <w:t xml:space="preserve"> г.</w:t>
            </w:r>
            <w:r>
              <w:rPr>
                <w:color w:val="000000"/>
                <w:sz w:val="20"/>
                <w:szCs w:val="20"/>
              </w:rPr>
              <w:t>Казани</w:t>
            </w:r>
          </w:p>
        </w:tc>
        <w:tc>
          <w:tcPr>
            <w:tcW w:w="1994" w:type="dxa"/>
            <w:tcBorders>
              <w:top w:val="nil"/>
              <w:left w:val="single" w:sz="4" w:space="0" w:color="auto"/>
              <w:bottom w:val="single" w:sz="4" w:space="0" w:color="auto"/>
              <w:right w:val="single" w:sz="4" w:space="0" w:color="auto"/>
            </w:tcBorders>
            <w:shd w:val="clear" w:color="auto" w:fill="auto"/>
          </w:tcPr>
          <w:p w:rsidR="000E54C2" w:rsidRPr="00E8065F" w:rsidRDefault="000E54C2" w:rsidP="00BA1432">
            <w:pPr>
              <w:jc w:val="center"/>
              <w:rPr>
                <w:color w:val="000000"/>
                <w:sz w:val="20"/>
                <w:szCs w:val="20"/>
              </w:rPr>
            </w:pPr>
            <w:r w:rsidRPr="00E8065F">
              <w:rPr>
                <w:color w:val="000000"/>
                <w:sz w:val="20"/>
                <w:szCs w:val="20"/>
              </w:rPr>
              <w:t>Рентгенодиагностические аппараты</w:t>
            </w:r>
          </w:p>
        </w:tc>
        <w:tc>
          <w:tcPr>
            <w:tcW w:w="1181" w:type="dxa"/>
            <w:shd w:val="clear" w:color="auto" w:fill="auto"/>
          </w:tcPr>
          <w:p w:rsidR="00B96806" w:rsidRPr="00E8065F" w:rsidRDefault="000E54C2" w:rsidP="00B96806">
            <w:pPr>
              <w:jc w:val="center"/>
              <w:rPr>
                <w:sz w:val="20"/>
                <w:szCs w:val="20"/>
              </w:rPr>
            </w:pPr>
            <w:r w:rsidRPr="00E8065F">
              <w:rPr>
                <w:sz w:val="20"/>
                <w:szCs w:val="20"/>
              </w:rPr>
              <w:t>2017</w:t>
            </w:r>
            <w:r w:rsidR="00AA5FB3">
              <w:rPr>
                <w:sz w:val="20"/>
                <w:szCs w:val="20"/>
              </w:rPr>
              <w:t xml:space="preserve"> </w:t>
            </w:r>
            <w:r w:rsidR="00B96806">
              <w:rPr>
                <w:sz w:val="20"/>
                <w:szCs w:val="20"/>
              </w:rPr>
              <w:t>(1)</w:t>
            </w:r>
          </w:p>
          <w:p w:rsidR="00B96806" w:rsidRPr="00E8065F" w:rsidRDefault="000E54C2" w:rsidP="00B96806">
            <w:pPr>
              <w:jc w:val="center"/>
              <w:rPr>
                <w:sz w:val="20"/>
                <w:szCs w:val="20"/>
              </w:rPr>
            </w:pPr>
            <w:r w:rsidRPr="00E8065F">
              <w:rPr>
                <w:sz w:val="20"/>
                <w:szCs w:val="20"/>
              </w:rPr>
              <w:t>2021</w:t>
            </w:r>
            <w:r w:rsidR="00AA5FB3">
              <w:rPr>
                <w:sz w:val="20"/>
                <w:szCs w:val="20"/>
              </w:rPr>
              <w:t xml:space="preserve"> </w:t>
            </w:r>
            <w:r w:rsidR="00B96806">
              <w:rPr>
                <w:sz w:val="20"/>
                <w:szCs w:val="20"/>
              </w:rPr>
              <w:t>(1)</w:t>
            </w:r>
          </w:p>
          <w:p w:rsidR="000E54C2" w:rsidRPr="00E8065F" w:rsidRDefault="000E54C2" w:rsidP="00B96806">
            <w:pPr>
              <w:jc w:val="center"/>
              <w:rPr>
                <w:sz w:val="20"/>
                <w:szCs w:val="20"/>
              </w:rPr>
            </w:pPr>
            <w:r w:rsidRPr="00E8065F">
              <w:rPr>
                <w:sz w:val="20"/>
                <w:szCs w:val="20"/>
              </w:rPr>
              <w:t>2023</w:t>
            </w:r>
            <w:r w:rsidR="00AA5FB3">
              <w:rPr>
                <w:sz w:val="20"/>
                <w:szCs w:val="20"/>
              </w:rPr>
              <w:t xml:space="preserve"> </w:t>
            </w:r>
            <w:r w:rsidR="00B96806">
              <w:rPr>
                <w:sz w:val="20"/>
                <w:szCs w:val="20"/>
              </w:rPr>
              <w:t>(1)</w:t>
            </w:r>
          </w:p>
        </w:tc>
        <w:tc>
          <w:tcPr>
            <w:tcW w:w="1181" w:type="dxa"/>
            <w:tcBorders>
              <w:top w:val="nil"/>
              <w:left w:val="single" w:sz="4" w:space="0" w:color="auto"/>
              <w:bottom w:val="single" w:sz="4" w:space="0" w:color="auto"/>
              <w:right w:val="single" w:sz="4" w:space="0" w:color="auto"/>
            </w:tcBorders>
            <w:shd w:val="clear" w:color="auto" w:fill="auto"/>
          </w:tcPr>
          <w:p w:rsidR="000E54C2" w:rsidRPr="00E8065F" w:rsidRDefault="000E54C2" w:rsidP="000546C2">
            <w:pPr>
              <w:jc w:val="center"/>
              <w:rPr>
                <w:color w:val="000000"/>
                <w:sz w:val="20"/>
                <w:szCs w:val="20"/>
              </w:rPr>
            </w:pPr>
            <w:r w:rsidRPr="00E8065F">
              <w:rPr>
                <w:color w:val="000000"/>
                <w:sz w:val="20"/>
                <w:szCs w:val="20"/>
              </w:rPr>
              <w:t>3</w:t>
            </w:r>
          </w:p>
        </w:tc>
        <w:tc>
          <w:tcPr>
            <w:tcW w:w="1478" w:type="dxa"/>
            <w:tcBorders>
              <w:top w:val="nil"/>
              <w:left w:val="single" w:sz="4" w:space="0" w:color="auto"/>
              <w:bottom w:val="single" w:sz="4" w:space="0" w:color="auto"/>
              <w:right w:val="single" w:sz="4" w:space="0" w:color="auto"/>
            </w:tcBorders>
            <w:shd w:val="clear" w:color="auto" w:fill="auto"/>
          </w:tcPr>
          <w:p w:rsidR="000E54C2" w:rsidRPr="00E8065F" w:rsidRDefault="000E54C2" w:rsidP="000546C2">
            <w:pPr>
              <w:jc w:val="center"/>
              <w:rPr>
                <w:color w:val="000000"/>
                <w:sz w:val="20"/>
                <w:szCs w:val="20"/>
              </w:rPr>
            </w:pPr>
            <w:r w:rsidRPr="00E8065F">
              <w:rPr>
                <w:color w:val="000000"/>
                <w:sz w:val="20"/>
                <w:szCs w:val="20"/>
              </w:rPr>
              <w:t>83</w:t>
            </w:r>
          </w:p>
        </w:tc>
        <w:tc>
          <w:tcPr>
            <w:tcW w:w="1111" w:type="dxa"/>
            <w:tcBorders>
              <w:top w:val="nil"/>
              <w:left w:val="single" w:sz="4" w:space="0" w:color="auto"/>
              <w:bottom w:val="single" w:sz="4" w:space="0" w:color="auto"/>
              <w:right w:val="single" w:sz="4" w:space="0" w:color="auto"/>
            </w:tcBorders>
            <w:shd w:val="clear" w:color="auto" w:fill="auto"/>
          </w:tcPr>
          <w:p w:rsidR="000E54C2" w:rsidRPr="00E8065F" w:rsidRDefault="000E54C2" w:rsidP="000546C2">
            <w:pPr>
              <w:jc w:val="center"/>
              <w:rPr>
                <w:color w:val="000000"/>
                <w:sz w:val="20"/>
                <w:szCs w:val="20"/>
              </w:rPr>
            </w:pPr>
            <w:r w:rsidRPr="00E8065F">
              <w:rPr>
                <w:color w:val="000000"/>
                <w:sz w:val="20"/>
                <w:szCs w:val="20"/>
              </w:rPr>
              <w:t>2</w:t>
            </w:r>
          </w:p>
        </w:tc>
        <w:tc>
          <w:tcPr>
            <w:tcW w:w="1944" w:type="dxa"/>
            <w:tcBorders>
              <w:top w:val="nil"/>
              <w:left w:val="single" w:sz="4" w:space="0" w:color="auto"/>
              <w:bottom w:val="single" w:sz="4" w:space="0" w:color="auto"/>
              <w:right w:val="single" w:sz="4" w:space="0" w:color="auto"/>
            </w:tcBorders>
            <w:shd w:val="clear" w:color="auto" w:fill="auto"/>
          </w:tcPr>
          <w:p w:rsidR="000E54C2" w:rsidRPr="00E8065F" w:rsidRDefault="000E54C2" w:rsidP="00BA1432">
            <w:pPr>
              <w:jc w:val="center"/>
              <w:rPr>
                <w:color w:val="000000"/>
                <w:sz w:val="20"/>
                <w:szCs w:val="20"/>
              </w:rPr>
            </w:pPr>
            <w:r w:rsidRPr="00E8065F">
              <w:rPr>
                <w:color w:val="000000"/>
                <w:sz w:val="20"/>
                <w:szCs w:val="20"/>
              </w:rPr>
              <w:t>Амбулаторное/стационарное</w:t>
            </w:r>
          </w:p>
        </w:tc>
      </w:tr>
      <w:tr w:rsidR="00BA1432" w:rsidRPr="00E8065F" w:rsidTr="000546C2">
        <w:trPr>
          <w:trHeight w:val="20"/>
        </w:trPr>
        <w:tc>
          <w:tcPr>
            <w:tcW w:w="1555" w:type="dxa"/>
            <w:vMerge/>
          </w:tcPr>
          <w:p w:rsidR="000E54C2" w:rsidRPr="00E8065F" w:rsidRDefault="000E54C2" w:rsidP="00BA1432">
            <w:pPr>
              <w:rPr>
                <w:sz w:val="20"/>
                <w:szCs w:val="20"/>
              </w:rPr>
            </w:pPr>
          </w:p>
        </w:tc>
        <w:tc>
          <w:tcPr>
            <w:tcW w:w="3685" w:type="dxa"/>
            <w:tcBorders>
              <w:top w:val="nil"/>
              <w:left w:val="single" w:sz="4" w:space="0" w:color="auto"/>
              <w:bottom w:val="single" w:sz="4" w:space="0" w:color="auto"/>
              <w:right w:val="single" w:sz="4" w:space="0" w:color="auto"/>
            </w:tcBorders>
            <w:shd w:val="clear" w:color="auto" w:fill="auto"/>
          </w:tcPr>
          <w:p w:rsidR="000E54C2" w:rsidRPr="00E8065F" w:rsidRDefault="000E54C2" w:rsidP="005126B4">
            <w:pPr>
              <w:jc w:val="both"/>
              <w:rPr>
                <w:color w:val="000000"/>
                <w:sz w:val="20"/>
                <w:szCs w:val="20"/>
              </w:rPr>
            </w:pPr>
            <w:r>
              <w:rPr>
                <w:color w:val="000000"/>
                <w:sz w:val="20"/>
                <w:szCs w:val="20"/>
              </w:rPr>
              <w:t xml:space="preserve">ГАУЗ </w:t>
            </w:r>
            <w:r>
              <w:rPr>
                <w:rFonts w:eastAsia="Calibri"/>
                <w:sz w:val="20"/>
                <w:szCs w:val="20"/>
              </w:rPr>
              <w:t xml:space="preserve">Республики Татарстан </w:t>
            </w:r>
            <w:r w:rsidR="002F7358">
              <w:rPr>
                <w:rFonts w:eastAsia="Calibri"/>
                <w:sz w:val="20"/>
                <w:szCs w:val="20"/>
              </w:rPr>
              <w:t>«</w:t>
            </w:r>
            <w:r>
              <w:rPr>
                <w:rFonts w:eastAsia="Calibri"/>
                <w:sz w:val="20"/>
                <w:szCs w:val="20"/>
              </w:rPr>
              <w:t>Больница скорой медицинской помощи</w:t>
            </w:r>
            <w:r w:rsidR="005126B4">
              <w:rPr>
                <w:rFonts w:eastAsia="Calibri"/>
                <w:sz w:val="20"/>
                <w:szCs w:val="20"/>
              </w:rPr>
              <w:t xml:space="preserve"> им. Р.С.Акчурина»</w:t>
            </w:r>
            <w:r>
              <w:rPr>
                <w:rFonts w:eastAsia="Calibri"/>
                <w:sz w:val="20"/>
                <w:szCs w:val="20"/>
              </w:rPr>
              <w:t xml:space="preserve"> </w:t>
            </w:r>
            <w:r>
              <w:rPr>
                <w:sz w:val="20"/>
                <w:szCs w:val="20"/>
              </w:rPr>
              <w:t>г.Набережные Челны</w:t>
            </w:r>
          </w:p>
        </w:tc>
        <w:tc>
          <w:tcPr>
            <w:tcW w:w="1994" w:type="dxa"/>
            <w:tcBorders>
              <w:top w:val="nil"/>
              <w:left w:val="single" w:sz="4" w:space="0" w:color="auto"/>
              <w:bottom w:val="single" w:sz="4" w:space="0" w:color="auto"/>
              <w:right w:val="single" w:sz="4" w:space="0" w:color="auto"/>
            </w:tcBorders>
            <w:shd w:val="clear" w:color="auto" w:fill="auto"/>
          </w:tcPr>
          <w:p w:rsidR="000E54C2" w:rsidRPr="00E8065F" w:rsidRDefault="000E54C2" w:rsidP="00BA1432">
            <w:pPr>
              <w:jc w:val="center"/>
              <w:rPr>
                <w:color w:val="000000"/>
                <w:sz w:val="20"/>
                <w:szCs w:val="20"/>
              </w:rPr>
            </w:pPr>
            <w:r w:rsidRPr="00E8065F">
              <w:rPr>
                <w:color w:val="000000"/>
                <w:sz w:val="20"/>
                <w:szCs w:val="20"/>
              </w:rPr>
              <w:t>Рентгенодиагностические аппараты</w:t>
            </w:r>
          </w:p>
        </w:tc>
        <w:tc>
          <w:tcPr>
            <w:tcW w:w="1181" w:type="dxa"/>
            <w:shd w:val="clear" w:color="auto" w:fill="auto"/>
          </w:tcPr>
          <w:p w:rsidR="000E54C2" w:rsidRPr="00E8065F" w:rsidRDefault="000E54C2" w:rsidP="000546C2">
            <w:pPr>
              <w:jc w:val="center"/>
              <w:rPr>
                <w:sz w:val="20"/>
                <w:szCs w:val="20"/>
              </w:rPr>
            </w:pPr>
            <w:r w:rsidRPr="00E8065F">
              <w:rPr>
                <w:sz w:val="20"/>
                <w:szCs w:val="20"/>
              </w:rPr>
              <w:t>2010</w:t>
            </w:r>
            <w:r w:rsidR="00AA5FB3">
              <w:rPr>
                <w:sz w:val="20"/>
                <w:szCs w:val="20"/>
              </w:rPr>
              <w:t xml:space="preserve"> </w:t>
            </w:r>
            <w:r w:rsidR="00B96806">
              <w:rPr>
                <w:sz w:val="20"/>
                <w:szCs w:val="20"/>
              </w:rPr>
              <w:t>(4)</w:t>
            </w:r>
          </w:p>
          <w:p w:rsidR="000E54C2" w:rsidRPr="00E8065F" w:rsidRDefault="000E54C2" w:rsidP="000546C2">
            <w:pPr>
              <w:jc w:val="center"/>
              <w:rPr>
                <w:sz w:val="20"/>
                <w:szCs w:val="20"/>
              </w:rPr>
            </w:pPr>
            <w:r w:rsidRPr="00E8065F">
              <w:rPr>
                <w:sz w:val="20"/>
                <w:szCs w:val="20"/>
              </w:rPr>
              <w:t>2018</w:t>
            </w:r>
            <w:r w:rsidR="00AA5FB3">
              <w:rPr>
                <w:sz w:val="20"/>
                <w:szCs w:val="20"/>
              </w:rPr>
              <w:t xml:space="preserve"> </w:t>
            </w:r>
            <w:r w:rsidR="00B96806">
              <w:rPr>
                <w:sz w:val="20"/>
                <w:szCs w:val="20"/>
              </w:rPr>
              <w:t>(2)</w:t>
            </w:r>
          </w:p>
          <w:p w:rsidR="000E54C2" w:rsidRPr="00E8065F" w:rsidRDefault="000E54C2" w:rsidP="000546C2">
            <w:pPr>
              <w:jc w:val="center"/>
              <w:rPr>
                <w:sz w:val="20"/>
                <w:szCs w:val="20"/>
              </w:rPr>
            </w:pPr>
            <w:r w:rsidRPr="00E8065F">
              <w:rPr>
                <w:sz w:val="20"/>
                <w:szCs w:val="20"/>
              </w:rPr>
              <w:t>2022</w:t>
            </w:r>
            <w:r w:rsidR="00AA5FB3">
              <w:rPr>
                <w:sz w:val="20"/>
                <w:szCs w:val="20"/>
              </w:rPr>
              <w:t xml:space="preserve"> </w:t>
            </w:r>
            <w:r w:rsidR="00B96806">
              <w:rPr>
                <w:sz w:val="20"/>
                <w:szCs w:val="20"/>
              </w:rPr>
              <w:t>(1)</w:t>
            </w:r>
          </w:p>
        </w:tc>
        <w:tc>
          <w:tcPr>
            <w:tcW w:w="1181" w:type="dxa"/>
            <w:tcBorders>
              <w:top w:val="nil"/>
              <w:left w:val="single" w:sz="4" w:space="0" w:color="auto"/>
              <w:bottom w:val="single" w:sz="4" w:space="0" w:color="auto"/>
              <w:right w:val="single" w:sz="4" w:space="0" w:color="auto"/>
            </w:tcBorders>
            <w:shd w:val="clear" w:color="auto" w:fill="auto"/>
          </w:tcPr>
          <w:p w:rsidR="000E54C2" w:rsidRPr="00E8065F" w:rsidRDefault="000E54C2" w:rsidP="000546C2">
            <w:pPr>
              <w:jc w:val="center"/>
              <w:rPr>
                <w:color w:val="000000"/>
                <w:sz w:val="20"/>
                <w:szCs w:val="20"/>
              </w:rPr>
            </w:pPr>
            <w:r w:rsidRPr="00E8065F">
              <w:rPr>
                <w:color w:val="000000"/>
                <w:sz w:val="20"/>
                <w:szCs w:val="20"/>
              </w:rPr>
              <w:t>7</w:t>
            </w:r>
          </w:p>
        </w:tc>
        <w:tc>
          <w:tcPr>
            <w:tcW w:w="1478" w:type="dxa"/>
            <w:tcBorders>
              <w:top w:val="nil"/>
              <w:left w:val="single" w:sz="4" w:space="0" w:color="auto"/>
              <w:bottom w:val="single" w:sz="4" w:space="0" w:color="auto"/>
              <w:right w:val="single" w:sz="4" w:space="0" w:color="auto"/>
            </w:tcBorders>
            <w:shd w:val="clear" w:color="auto" w:fill="auto"/>
          </w:tcPr>
          <w:p w:rsidR="000E54C2" w:rsidRPr="00E8065F" w:rsidRDefault="000E54C2" w:rsidP="000546C2">
            <w:pPr>
              <w:jc w:val="center"/>
              <w:rPr>
                <w:color w:val="000000"/>
                <w:sz w:val="20"/>
                <w:szCs w:val="20"/>
              </w:rPr>
            </w:pPr>
            <w:r w:rsidRPr="00E8065F">
              <w:rPr>
                <w:color w:val="000000"/>
                <w:sz w:val="20"/>
                <w:szCs w:val="20"/>
              </w:rPr>
              <w:t>280</w:t>
            </w:r>
          </w:p>
        </w:tc>
        <w:tc>
          <w:tcPr>
            <w:tcW w:w="1111" w:type="dxa"/>
            <w:tcBorders>
              <w:top w:val="nil"/>
              <w:left w:val="single" w:sz="4" w:space="0" w:color="auto"/>
              <w:bottom w:val="single" w:sz="4" w:space="0" w:color="auto"/>
              <w:right w:val="single" w:sz="4" w:space="0" w:color="auto"/>
            </w:tcBorders>
            <w:shd w:val="clear" w:color="auto" w:fill="auto"/>
          </w:tcPr>
          <w:p w:rsidR="000E54C2" w:rsidRPr="00E8065F" w:rsidRDefault="000E54C2" w:rsidP="000546C2">
            <w:pPr>
              <w:jc w:val="center"/>
              <w:rPr>
                <w:color w:val="000000"/>
                <w:sz w:val="20"/>
                <w:szCs w:val="20"/>
              </w:rPr>
            </w:pPr>
            <w:r w:rsidRPr="00E8065F">
              <w:rPr>
                <w:color w:val="000000"/>
                <w:sz w:val="20"/>
                <w:szCs w:val="20"/>
              </w:rPr>
              <w:t>2</w:t>
            </w:r>
          </w:p>
        </w:tc>
        <w:tc>
          <w:tcPr>
            <w:tcW w:w="1944" w:type="dxa"/>
            <w:tcBorders>
              <w:top w:val="nil"/>
              <w:left w:val="single" w:sz="4" w:space="0" w:color="auto"/>
              <w:bottom w:val="single" w:sz="4" w:space="0" w:color="auto"/>
              <w:right w:val="single" w:sz="4" w:space="0" w:color="auto"/>
            </w:tcBorders>
            <w:shd w:val="clear" w:color="auto" w:fill="auto"/>
          </w:tcPr>
          <w:p w:rsidR="000E54C2" w:rsidRPr="00E8065F" w:rsidRDefault="000E54C2" w:rsidP="00BA1432">
            <w:pPr>
              <w:jc w:val="center"/>
              <w:rPr>
                <w:color w:val="000000"/>
                <w:sz w:val="20"/>
                <w:szCs w:val="20"/>
              </w:rPr>
            </w:pPr>
            <w:r w:rsidRPr="00E8065F">
              <w:rPr>
                <w:color w:val="000000"/>
                <w:sz w:val="20"/>
                <w:szCs w:val="20"/>
              </w:rPr>
              <w:t>Стационарное</w:t>
            </w:r>
          </w:p>
        </w:tc>
      </w:tr>
      <w:tr w:rsidR="00BA1432" w:rsidRPr="00E8065F" w:rsidTr="000546C2">
        <w:trPr>
          <w:trHeight w:val="20"/>
        </w:trPr>
        <w:tc>
          <w:tcPr>
            <w:tcW w:w="1555" w:type="dxa"/>
            <w:vMerge/>
          </w:tcPr>
          <w:p w:rsidR="000E54C2" w:rsidRPr="00E8065F" w:rsidRDefault="000E54C2" w:rsidP="00BA1432">
            <w:pPr>
              <w:rPr>
                <w:sz w:val="20"/>
                <w:szCs w:val="20"/>
              </w:rPr>
            </w:pPr>
          </w:p>
        </w:tc>
        <w:tc>
          <w:tcPr>
            <w:tcW w:w="3685" w:type="dxa"/>
            <w:tcBorders>
              <w:top w:val="nil"/>
              <w:left w:val="single" w:sz="4" w:space="0" w:color="auto"/>
              <w:bottom w:val="single" w:sz="4" w:space="0" w:color="auto"/>
              <w:right w:val="single" w:sz="4" w:space="0" w:color="auto"/>
            </w:tcBorders>
            <w:shd w:val="clear" w:color="auto" w:fill="auto"/>
          </w:tcPr>
          <w:p w:rsidR="000E54C2" w:rsidRPr="00E8065F" w:rsidRDefault="000E54C2" w:rsidP="001164A3">
            <w:pPr>
              <w:jc w:val="both"/>
              <w:rPr>
                <w:color w:val="000000"/>
                <w:sz w:val="20"/>
                <w:szCs w:val="20"/>
              </w:rPr>
            </w:pPr>
            <w:r>
              <w:rPr>
                <w:color w:val="000000"/>
                <w:sz w:val="20"/>
                <w:szCs w:val="20"/>
              </w:rPr>
              <w:t xml:space="preserve">ГАУЗ </w:t>
            </w:r>
            <w:r w:rsidR="002F7358">
              <w:rPr>
                <w:color w:val="000000"/>
                <w:sz w:val="20"/>
                <w:szCs w:val="20"/>
              </w:rPr>
              <w:t>«</w:t>
            </w:r>
            <w:r>
              <w:rPr>
                <w:color w:val="000000"/>
                <w:sz w:val="20"/>
                <w:szCs w:val="20"/>
              </w:rPr>
              <w:t>Госпиталь для ветеранов войн</w:t>
            </w:r>
            <w:r w:rsidR="002F7358">
              <w:rPr>
                <w:color w:val="000000"/>
                <w:sz w:val="20"/>
                <w:szCs w:val="20"/>
              </w:rPr>
              <w:t>»</w:t>
            </w:r>
            <w:r>
              <w:rPr>
                <w:color w:val="000000"/>
                <w:sz w:val="20"/>
                <w:szCs w:val="20"/>
              </w:rPr>
              <w:t xml:space="preserve"> г.Казани</w:t>
            </w:r>
          </w:p>
        </w:tc>
        <w:tc>
          <w:tcPr>
            <w:tcW w:w="1994" w:type="dxa"/>
            <w:tcBorders>
              <w:top w:val="nil"/>
              <w:left w:val="single" w:sz="4" w:space="0" w:color="auto"/>
              <w:bottom w:val="single" w:sz="4" w:space="0" w:color="auto"/>
              <w:right w:val="single" w:sz="4" w:space="0" w:color="auto"/>
            </w:tcBorders>
            <w:shd w:val="clear" w:color="auto" w:fill="auto"/>
          </w:tcPr>
          <w:p w:rsidR="000E54C2" w:rsidRPr="00E8065F" w:rsidRDefault="000E54C2" w:rsidP="00BA1432">
            <w:pPr>
              <w:jc w:val="center"/>
              <w:rPr>
                <w:color w:val="000000"/>
                <w:sz w:val="20"/>
                <w:szCs w:val="20"/>
              </w:rPr>
            </w:pPr>
            <w:r w:rsidRPr="00E8065F">
              <w:rPr>
                <w:color w:val="000000"/>
                <w:sz w:val="20"/>
                <w:szCs w:val="20"/>
              </w:rPr>
              <w:t>Рентгенодиагностические аппараты</w:t>
            </w:r>
          </w:p>
        </w:tc>
        <w:tc>
          <w:tcPr>
            <w:tcW w:w="1181" w:type="dxa"/>
            <w:shd w:val="clear" w:color="auto" w:fill="auto"/>
          </w:tcPr>
          <w:p w:rsidR="00B96806" w:rsidRPr="00E8065F" w:rsidRDefault="000E54C2" w:rsidP="00B96806">
            <w:pPr>
              <w:jc w:val="center"/>
              <w:rPr>
                <w:sz w:val="20"/>
                <w:szCs w:val="20"/>
              </w:rPr>
            </w:pPr>
            <w:r w:rsidRPr="00E8065F">
              <w:rPr>
                <w:sz w:val="20"/>
                <w:szCs w:val="20"/>
              </w:rPr>
              <w:t>2007</w:t>
            </w:r>
            <w:r w:rsidR="00AA5FB3">
              <w:rPr>
                <w:sz w:val="20"/>
                <w:szCs w:val="20"/>
              </w:rPr>
              <w:t xml:space="preserve"> </w:t>
            </w:r>
            <w:r w:rsidR="00B96806">
              <w:rPr>
                <w:sz w:val="20"/>
                <w:szCs w:val="20"/>
              </w:rPr>
              <w:t>(1)</w:t>
            </w:r>
          </w:p>
          <w:p w:rsidR="00B96806" w:rsidRPr="00E8065F" w:rsidRDefault="000E54C2" w:rsidP="00B96806">
            <w:pPr>
              <w:jc w:val="center"/>
              <w:rPr>
                <w:sz w:val="20"/>
                <w:szCs w:val="20"/>
              </w:rPr>
            </w:pPr>
            <w:r w:rsidRPr="00E8065F">
              <w:rPr>
                <w:sz w:val="20"/>
                <w:szCs w:val="20"/>
              </w:rPr>
              <w:t>2018</w:t>
            </w:r>
            <w:r w:rsidR="00AA5FB3">
              <w:rPr>
                <w:sz w:val="20"/>
                <w:szCs w:val="20"/>
              </w:rPr>
              <w:t xml:space="preserve"> </w:t>
            </w:r>
            <w:r w:rsidR="00B96806">
              <w:rPr>
                <w:sz w:val="20"/>
                <w:szCs w:val="20"/>
              </w:rPr>
              <w:t>(1)</w:t>
            </w:r>
          </w:p>
          <w:p w:rsidR="000E54C2" w:rsidRPr="00E8065F" w:rsidRDefault="000E54C2" w:rsidP="00B96806">
            <w:pPr>
              <w:jc w:val="center"/>
              <w:rPr>
                <w:sz w:val="20"/>
                <w:szCs w:val="20"/>
              </w:rPr>
            </w:pPr>
            <w:r w:rsidRPr="00E8065F">
              <w:rPr>
                <w:sz w:val="20"/>
                <w:szCs w:val="20"/>
              </w:rPr>
              <w:t>2020</w:t>
            </w:r>
            <w:r w:rsidR="00AA5FB3">
              <w:rPr>
                <w:sz w:val="20"/>
                <w:szCs w:val="20"/>
              </w:rPr>
              <w:t xml:space="preserve"> </w:t>
            </w:r>
            <w:r w:rsidR="00B96806">
              <w:rPr>
                <w:sz w:val="20"/>
                <w:szCs w:val="20"/>
              </w:rPr>
              <w:t>(1)</w:t>
            </w:r>
          </w:p>
        </w:tc>
        <w:tc>
          <w:tcPr>
            <w:tcW w:w="1181" w:type="dxa"/>
            <w:tcBorders>
              <w:top w:val="nil"/>
              <w:left w:val="single" w:sz="4" w:space="0" w:color="auto"/>
              <w:bottom w:val="single" w:sz="4" w:space="0" w:color="auto"/>
              <w:right w:val="single" w:sz="4" w:space="0" w:color="auto"/>
            </w:tcBorders>
            <w:shd w:val="clear" w:color="auto" w:fill="auto"/>
          </w:tcPr>
          <w:p w:rsidR="000E54C2" w:rsidRPr="00E8065F" w:rsidRDefault="000E54C2" w:rsidP="000546C2">
            <w:pPr>
              <w:jc w:val="center"/>
              <w:rPr>
                <w:color w:val="000000"/>
                <w:sz w:val="20"/>
                <w:szCs w:val="20"/>
              </w:rPr>
            </w:pPr>
            <w:r w:rsidRPr="00E8065F">
              <w:rPr>
                <w:color w:val="000000"/>
                <w:sz w:val="20"/>
                <w:szCs w:val="20"/>
              </w:rPr>
              <w:t>3</w:t>
            </w:r>
          </w:p>
        </w:tc>
        <w:tc>
          <w:tcPr>
            <w:tcW w:w="1478" w:type="dxa"/>
            <w:tcBorders>
              <w:top w:val="nil"/>
              <w:left w:val="single" w:sz="4" w:space="0" w:color="auto"/>
              <w:bottom w:val="single" w:sz="4" w:space="0" w:color="auto"/>
              <w:right w:val="single" w:sz="4" w:space="0" w:color="auto"/>
            </w:tcBorders>
            <w:shd w:val="clear" w:color="auto" w:fill="auto"/>
          </w:tcPr>
          <w:p w:rsidR="000E54C2" w:rsidRPr="00E8065F" w:rsidRDefault="000E54C2" w:rsidP="000546C2">
            <w:pPr>
              <w:jc w:val="center"/>
              <w:rPr>
                <w:color w:val="000000"/>
                <w:sz w:val="20"/>
                <w:szCs w:val="20"/>
              </w:rPr>
            </w:pPr>
            <w:r w:rsidRPr="00E8065F">
              <w:rPr>
                <w:color w:val="000000"/>
                <w:sz w:val="20"/>
                <w:szCs w:val="20"/>
              </w:rPr>
              <w:t>93</w:t>
            </w:r>
          </w:p>
        </w:tc>
        <w:tc>
          <w:tcPr>
            <w:tcW w:w="1111" w:type="dxa"/>
            <w:tcBorders>
              <w:top w:val="nil"/>
              <w:left w:val="single" w:sz="4" w:space="0" w:color="auto"/>
              <w:bottom w:val="single" w:sz="4" w:space="0" w:color="auto"/>
              <w:right w:val="single" w:sz="4" w:space="0" w:color="auto"/>
            </w:tcBorders>
            <w:shd w:val="clear" w:color="auto" w:fill="auto"/>
          </w:tcPr>
          <w:p w:rsidR="000E54C2" w:rsidRPr="00E8065F" w:rsidRDefault="000E54C2" w:rsidP="000546C2">
            <w:pPr>
              <w:jc w:val="center"/>
              <w:rPr>
                <w:color w:val="000000"/>
                <w:sz w:val="20"/>
                <w:szCs w:val="20"/>
              </w:rPr>
            </w:pPr>
            <w:r w:rsidRPr="00E8065F">
              <w:rPr>
                <w:color w:val="000000"/>
                <w:sz w:val="20"/>
                <w:szCs w:val="20"/>
              </w:rPr>
              <w:t>2</w:t>
            </w:r>
          </w:p>
        </w:tc>
        <w:tc>
          <w:tcPr>
            <w:tcW w:w="1944" w:type="dxa"/>
            <w:tcBorders>
              <w:top w:val="nil"/>
              <w:left w:val="single" w:sz="4" w:space="0" w:color="auto"/>
              <w:bottom w:val="single" w:sz="4" w:space="0" w:color="auto"/>
              <w:right w:val="single" w:sz="4" w:space="0" w:color="auto"/>
            </w:tcBorders>
            <w:shd w:val="clear" w:color="auto" w:fill="auto"/>
          </w:tcPr>
          <w:p w:rsidR="000E54C2" w:rsidRPr="00E8065F" w:rsidRDefault="000E54C2" w:rsidP="00BA1432">
            <w:pPr>
              <w:jc w:val="center"/>
              <w:rPr>
                <w:color w:val="000000"/>
                <w:sz w:val="20"/>
                <w:szCs w:val="20"/>
              </w:rPr>
            </w:pPr>
            <w:r w:rsidRPr="00E8065F">
              <w:rPr>
                <w:color w:val="000000"/>
                <w:sz w:val="20"/>
                <w:szCs w:val="20"/>
              </w:rPr>
              <w:t>Амбулаторное/стационарное</w:t>
            </w:r>
          </w:p>
        </w:tc>
      </w:tr>
      <w:tr w:rsidR="00BA1432" w:rsidRPr="00E8065F" w:rsidTr="000546C2">
        <w:trPr>
          <w:trHeight w:val="20"/>
        </w:trPr>
        <w:tc>
          <w:tcPr>
            <w:tcW w:w="1555" w:type="dxa"/>
            <w:vMerge/>
          </w:tcPr>
          <w:p w:rsidR="000E54C2" w:rsidRPr="00E8065F" w:rsidRDefault="000E54C2" w:rsidP="00BA1432">
            <w:pPr>
              <w:rPr>
                <w:sz w:val="20"/>
                <w:szCs w:val="20"/>
              </w:rPr>
            </w:pPr>
          </w:p>
        </w:tc>
        <w:tc>
          <w:tcPr>
            <w:tcW w:w="3685" w:type="dxa"/>
            <w:tcBorders>
              <w:top w:val="nil"/>
              <w:left w:val="single" w:sz="4" w:space="0" w:color="auto"/>
              <w:bottom w:val="single" w:sz="4" w:space="0" w:color="auto"/>
              <w:right w:val="single" w:sz="4" w:space="0" w:color="auto"/>
            </w:tcBorders>
            <w:shd w:val="clear" w:color="auto" w:fill="auto"/>
          </w:tcPr>
          <w:p w:rsidR="000E54C2" w:rsidRPr="00E8065F" w:rsidRDefault="000E54C2" w:rsidP="001164A3">
            <w:pPr>
              <w:jc w:val="both"/>
              <w:rPr>
                <w:color w:val="000000"/>
                <w:sz w:val="20"/>
                <w:szCs w:val="20"/>
              </w:rPr>
            </w:pPr>
            <w:r>
              <w:rPr>
                <w:color w:val="000000"/>
                <w:sz w:val="20"/>
                <w:szCs w:val="20"/>
              </w:rPr>
              <w:t xml:space="preserve">ГАУЗ </w:t>
            </w:r>
            <w:r w:rsidR="002F7358">
              <w:rPr>
                <w:color w:val="000000"/>
                <w:sz w:val="20"/>
                <w:szCs w:val="20"/>
              </w:rPr>
              <w:t>«</w:t>
            </w:r>
            <w:r>
              <w:rPr>
                <w:color w:val="000000"/>
                <w:sz w:val="20"/>
                <w:szCs w:val="20"/>
              </w:rPr>
              <w:t>Госпиталь для ветеранов войн</w:t>
            </w:r>
            <w:r w:rsidR="002F7358">
              <w:rPr>
                <w:color w:val="000000"/>
                <w:sz w:val="20"/>
                <w:szCs w:val="20"/>
              </w:rPr>
              <w:t>»</w:t>
            </w:r>
            <w:r>
              <w:rPr>
                <w:color w:val="000000"/>
                <w:sz w:val="20"/>
                <w:szCs w:val="20"/>
              </w:rPr>
              <w:t xml:space="preserve"> г.Набережные Челны</w:t>
            </w:r>
          </w:p>
        </w:tc>
        <w:tc>
          <w:tcPr>
            <w:tcW w:w="1994" w:type="dxa"/>
            <w:tcBorders>
              <w:top w:val="nil"/>
              <w:left w:val="single" w:sz="4" w:space="0" w:color="auto"/>
              <w:bottom w:val="single" w:sz="4" w:space="0" w:color="auto"/>
              <w:right w:val="single" w:sz="4" w:space="0" w:color="auto"/>
            </w:tcBorders>
            <w:shd w:val="clear" w:color="auto" w:fill="auto"/>
          </w:tcPr>
          <w:p w:rsidR="000E54C2" w:rsidRPr="00E8065F" w:rsidRDefault="000E54C2" w:rsidP="00BA1432">
            <w:pPr>
              <w:jc w:val="center"/>
              <w:rPr>
                <w:color w:val="000000"/>
                <w:sz w:val="20"/>
                <w:szCs w:val="20"/>
              </w:rPr>
            </w:pPr>
            <w:r w:rsidRPr="00E8065F">
              <w:rPr>
                <w:color w:val="000000"/>
                <w:sz w:val="20"/>
                <w:szCs w:val="20"/>
              </w:rPr>
              <w:t>Рентгенодиагностические аппараты</w:t>
            </w:r>
          </w:p>
        </w:tc>
        <w:tc>
          <w:tcPr>
            <w:tcW w:w="1181" w:type="dxa"/>
            <w:shd w:val="clear" w:color="auto" w:fill="auto"/>
          </w:tcPr>
          <w:p w:rsidR="00B96806" w:rsidRPr="00E8065F" w:rsidRDefault="000E54C2" w:rsidP="00B96806">
            <w:pPr>
              <w:jc w:val="center"/>
              <w:rPr>
                <w:sz w:val="20"/>
                <w:szCs w:val="20"/>
              </w:rPr>
            </w:pPr>
            <w:r w:rsidRPr="00E8065F">
              <w:rPr>
                <w:sz w:val="20"/>
                <w:szCs w:val="20"/>
              </w:rPr>
              <w:t>2017</w:t>
            </w:r>
            <w:r w:rsidR="00AA5FB3">
              <w:rPr>
                <w:sz w:val="20"/>
                <w:szCs w:val="20"/>
              </w:rPr>
              <w:t xml:space="preserve"> </w:t>
            </w:r>
            <w:r w:rsidR="00B96806">
              <w:rPr>
                <w:sz w:val="20"/>
                <w:szCs w:val="20"/>
              </w:rPr>
              <w:t>(1)</w:t>
            </w:r>
          </w:p>
          <w:p w:rsidR="000E54C2" w:rsidRPr="00E8065F" w:rsidRDefault="000E54C2" w:rsidP="00B96806">
            <w:pPr>
              <w:jc w:val="center"/>
              <w:rPr>
                <w:sz w:val="20"/>
                <w:szCs w:val="20"/>
              </w:rPr>
            </w:pPr>
            <w:r w:rsidRPr="00E8065F">
              <w:rPr>
                <w:sz w:val="20"/>
                <w:szCs w:val="20"/>
              </w:rPr>
              <w:t>2023</w:t>
            </w:r>
            <w:r w:rsidR="00AA5FB3">
              <w:rPr>
                <w:sz w:val="20"/>
                <w:szCs w:val="20"/>
              </w:rPr>
              <w:t xml:space="preserve"> </w:t>
            </w:r>
            <w:r w:rsidR="00B96806">
              <w:rPr>
                <w:sz w:val="20"/>
                <w:szCs w:val="20"/>
              </w:rPr>
              <w:t>(1)</w:t>
            </w:r>
          </w:p>
        </w:tc>
        <w:tc>
          <w:tcPr>
            <w:tcW w:w="1181" w:type="dxa"/>
            <w:tcBorders>
              <w:top w:val="nil"/>
              <w:left w:val="single" w:sz="4" w:space="0" w:color="auto"/>
              <w:bottom w:val="single" w:sz="4" w:space="0" w:color="auto"/>
              <w:right w:val="single" w:sz="4" w:space="0" w:color="auto"/>
            </w:tcBorders>
            <w:shd w:val="clear" w:color="auto" w:fill="auto"/>
          </w:tcPr>
          <w:p w:rsidR="000E54C2" w:rsidRPr="00E8065F" w:rsidRDefault="000E54C2" w:rsidP="000546C2">
            <w:pPr>
              <w:jc w:val="center"/>
              <w:rPr>
                <w:color w:val="000000"/>
                <w:sz w:val="20"/>
                <w:szCs w:val="20"/>
              </w:rPr>
            </w:pPr>
            <w:r w:rsidRPr="00E8065F">
              <w:rPr>
                <w:color w:val="000000"/>
                <w:sz w:val="20"/>
                <w:szCs w:val="20"/>
              </w:rPr>
              <w:t>2</w:t>
            </w:r>
          </w:p>
        </w:tc>
        <w:tc>
          <w:tcPr>
            <w:tcW w:w="1478" w:type="dxa"/>
            <w:tcBorders>
              <w:top w:val="nil"/>
              <w:left w:val="single" w:sz="4" w:space="0" w:color="auto"/>
              <w:bottom w:val="single" w:sz="4" w:space="0" w:color="auto"/>
              <w:right w:val="single" w:sz="4" w:space="0" w:color="auto"/>
            </w:tcBorders>
            <w:shd w:val="clear" w:color="auto" w:fill="auto"/>
          </w:tcPr>
          <w:p w:rsidR="000E54C2" w:rsidRPr="00E8065F" w:rsidRDefault="000E54C2" w:rsidP="000546C2">
            <w:pPr>
              <w:jc w:val="center"/>
              <w:rPr>
                <w:color w:val="000000"/>
                <w:sz w:val="20"/>
                <w:szCs w:val="20"/>
              </w:rPr>
            </w:pPr>
            <w:r w:rsidRPr="00E8065F">
              <w:rPr>
                <w:color w:val="000000"/>
                <w:sz w:val="20"/>
                <w:szCs w:val="20"/>
              </w:rPr>
              <w:t>29</w:t>
            </w:r>
          </w:p>
        </w:tc>
        <w:tc>
          <w:tcPr>
            <w:tcW w:w="1111" w:type="dxa"/>
            <w:tcBorders>
              <w:top w:val="nil"/>
              <w:left w:val="single" w:sz="4" w:space="0" w:color="auto"/>
              <w:bottom w:val="single" w:sz="4" w:space="0" w:color="auto"/>
              <w:right w:val="single" w:sz="4" w:space="0" w:color="auto"/>
            </w:tcBorders>
            <w:shd w:val="clear" w:color="auto" w:fill="auto"/>
          </w:tcPr>
          <w:p w:rsidR="000E54C2" w:rsidRPr="00E8065F" w:rsidRDefault="000E54C2" w:rsidP="000546C2">
            <w:pPr>
              <w:jc w:val="center"/>
              <w:rPr>
                <w:color w:val="000000"/>
                <w:sz w:val="20"/>
                <w:szCs w:val="20"/>
              </w:rPr>
            </w:pPr>
            <w:r w:rsidRPr="00E8065F">
              <w:rPr>
                <w:color w:val="000000"/>
                <w:sz w:val="20"/>
                <w:szCs w:val="20"/>
              </w:rPr>
              <w:t>2</w:t>
            </w:r>
          </w:p>
        </w:tc>
        <w:tc>
          <w:tcPr>
            <w:tcW w:w="1944" w:type="dxa"/>
            <w:tcBorders>
              <w:top w:val="nil"/>
              <w:left w:val="single" w:sz="4" w:space="0" w:color="auto"/>
              <w:bottom w:val="single" w:sz="4" w:space="0" w:color="auto"/>
              <w:right w:val="single" w:sz="4" w:space="0" w:color="auto"/>
            </w:tcBorders>
            <w:shd w:val="clear" w:color="auto" w:fill="auto"/>
          </w:tcPr>
          <w:p w:rsidR="000E54C2" w:rsidRPr="00E8065F" w:rsidRDefault="000E54C2" w:rsidP="00BA1432">
            <w:pPr>
              <w:jc w:val="center"/>
              <w:rPr>
                <w:color w:val="000000"/>
                <w:sz w:val="20"/>
                <w:szCs w:val="20"/>
              </w:rPr>
            </w:pPr>
            <w:r w:rsidRPr="00E8065F">
              <w:rPr>
                <w:color w:val="000000"/>
                <w:sz w:val="20"/>
                <w:szCs w:val="20"/>
              </w:rPr>
              <w:t>Амбулаторное/стационарное</w:t>
            </w:r>
          </w:p>
        </w:tc>
      </w:tr>
      <w:tr w:rsidR="00BA1432" w:rsidRPr="00E8065F" w:rsidTr="000546C2">
        <w:trPr>
          <w:trHeight w:val="20"/>
        </w:trPr>
        <w:tc>
          <w:tcPr>
            <w:tcW w:w="1555" w:type="dxa"/>
            <w:vMerge/>
          </w:tcPr>
          <w:p w:rsidR="000E54C2" w:rsidRPr="00E8065F" w:rsidRDefault="000E54C2" w:rsidP="00BA1432">
            <w:pPr>
              <w:rPr>
                <w:sz w:val="20"/>
                <w:szCs w:val="20"/>
              </w:rPr>
            </w:pPr>
          </w:p>
        </w:tc>
        <w:tc>
          <w:tcPr>
            <w:tcW w:w="3685" w:type="dxa"/>
            <w:tcBorders>
              <w:top w:val="nil"/>
              <w:left w:val="single" w:sz="4" w:space="0" w:color="auto"/>
              <w:bottom w:val="single" w:sz="4" w:space="0" w:color="auto"/>
              <w:right w:val="single" w:sz="4" w:space="0" w:color="auto"/>
            </w:tcBorders>
            <w:shd w:val="clear" w:color="auto" w:fill="auto"/>
          </w:tcPr>
          <w:p w:rsidR="000E54C2" w:rsidRPr="00E8065F" w:rsidRDefault="000E54C2" w:rsidP="00DC0475">
            <w:pPr>
              <w:jc w:val="both"/>
              <w:rPr>
                <w:color w:val="000000"/>
                <w:sz w:val="20"/>
                <w:szCs w:val="20"/>
              </w:rPr>
            </w:pPr>
            <w:r>
              <w:rPr>
                <w:color w:val="000000"/>
                <w:sz w:val="20"/>
                <w:szCs w:val="20"/>
              </w:rPr>
              <w:t xml:space="preserve">ГАУЗ </w:t>
            </w:r>
            <w:r w:rsidR="002F7358">
              <w:rPr>
                <w:rFonts w:eastAsia="Calibri"/>
                <w:sz w:val="20"/>
                <w:szCs w:val="20"/>
              </w:rPr>
              <w:t>«</w:t>
            </w:r>
            <w:r>
              <w:rPr>
                <w:rFonts w:eastAsia="Calibri"/>
                <w:sz w:val="20"/>
                <w:szCs w:val="20"/>
              </w:rPr>
              <w:t>Детская республиканская клиническая больница Министерства здравоохранения Республики Татарстан</w:t>
            </w:r>
            <w:r w:rsidR="002F7358">
              <w:rPr>
                <w:rFonts w:eastAsia="Calibri"/>
                <w:sz w:val="20"/>
                <w:szCs w:val="20"/>
              </w:rPr>
              <w:t>»</w:t>
            </w:r>
          </w:p>
        </w:tc>
        <w:tc>
          <w:tcPr>
            <w:tcW w:w="1994" w:type="dxa"/>
            <w:tcBorders>
              <w:top w:val="nil"/>
              <w:left w:val="single" w:sz="4" w:space="0" w:color="auto"/>
              <w:bottom w:val="single" w:sz="4" w:space="0" w:color="auto"/>
              <w:right w:val="single" w:sz="4" w:space="0" w:color="auto"/>
            </w:tcBorders>
            <w:shd w:val="clear" w:color="auto" w:fill="auto"/>
          </w:tcPr>
          <w:p w:rsidR="000E54C2" w:rsidRPr="00E8065F" w:rsidRDefault="000E54C2" w:rsidP="00BA1432">
            <w:pPr>
              <w:jc w:val="center"/>
              <w:rPr>
                <w:color w:val="000000"/>
                <w:sz w:val="20"/>
                <w:szCs w:val="20"/>
              </w:rPr>
            </w:pPr>
            <w:r w:rsidRPr="00E8065F">
              <w:rPr>
                <w:color w:val="000000"/>
                <w:sz w:val="20"/>
                <w:szCs w:val="20"/>
              </w:rPr>
              <w:t>Рентгенодиагностические аппараты</w:t>
            </w:r>
          </w:p>
        </w:tc>
        <w:tc>
          <w:tcPr>
            <w:tcW w:w="1181" w:type="dxa"/>
            <w:tcBorders>
              <w:bottom w:val="single" w:sz="4" w:space="0" w:color="auto"/>
            </w:tcBorders>
            <w:shd w:val="clear" w:color="auto" w:fill="auto"/>
          </w:tcPr>
          <w:p w:rsidR="00B96806" w:rsidRPr="00E8065F" w:rsidRDefault="000E54C2" w:rsidP="00B96806">
            <w:pPr>
              <w:jc w:val="center"/>
              <w:rPr>
                <w:sz w:val="20"/>
                <w:szCs w:val="20"/>
              </w:rPr>
            </w:pPr>
            <w:r w:rsidRPr="00E8065F">
              <w:rPr>
                <w:sz w:val="20"/>
                <w:szCs w:val="20"/>
              </w:rPr>
              <w:t>2010</w:t>
            </w:r>
            <w:r w:rsidR="00AA5FB3">
              <w:rPr>
                <w:sz w:val="20"/>
                <w:szCs w:val="20"/>
              </w:rPr>
              <w:t xml:space="preserve"> </w:t>
            </w:r>
            <w:r w:rsidR="00B96806">
              <w:rPr>
                <w:sz w:val="20"/>
                <w:szCs w:val="20"/>
              </w:rPr>
              <w:t>(1)</w:t>
            </w:r>
          </w:p>
          <w:p w:rsidR="00B96806" w:rsidRPr="00E8065F" w:rsidRDefault="000E54C2" w:rsidP="00B96806">
            <w:pPr>
              <w:jc w:val="center"/>
              <w:rPr>
                <w:sz w:val="20"/>
                <w:szCs w:val="20"/>
              </w:rPr>
            </w:pPr>
            <w:r w:rsidRPr="00E8065F">
              <w:rPr>
                <w:sz w:val="20"/>
                <w:szCs w:val="20"/>
              </w:rPr>
              <w:t>2014</w:t>
            </w:r>
            <w:r w:rsidR="00AA5FB3">
              <w:rPr>
                <w:sz w:val="20"/>
                <w:szCs w:val="20"/>
              </w:rPr>
              <w:t xml:space="preserve"> </w:t>
            </w:r>
            <w:r w:rsidR="00B96806">
              <w:rPr>
                <w:sz w:val="20"/>
                <w:szCs w:val="20"/>
              </w:rPr>
              <w:t>(1)</w:t>
            </w:r>
          </w:p>
          <w:p w:rsidR="00B96806" w:rsidRPr="00E8065F" w:rsidRDefault="000E54C2" w:rsidP="00B96806">
            <w:pPr>
              <w:jc w:val="center"/>
              <w:rPr>
                <w:sz w:val="20"/>
                <w:szCs w:val="20"/>
              </w:rPr>
            </w:pPr>
            <w:r w:rsidRPr="00E8065F">
              <w:rPr>
                <w:sz w:val="20"/>
                <w:szCs w:val="20"/>
              </w:rPr>
              <w:t>2017</w:t>
            </w:r>
            <w:r w:rsidR="00AA5FB3">
              <w:rPr>
                <w:sz w:val="20"/>
                <w:szCs w:val="20"/>
              </w:rPr>
              <w:t xml:space="preserve"> </w:t>
            </w:r>
            <w:r w:rsidR="00B96806">
              <w:rPr>
                <w:sz w:val="20"/>
                <w:szCs w:val="20"/>
              </w:rPr>
              <w:t>(1)</w:t>
            </w:r>
          </w:p>
          <w:p w:rsidR="00B96806" w:rsidRPr="00E8065F" w:rsidRDefault="000E54C2" w:rsidP="00B96806">
            <w:pPr>
              <w:jc w:val="center"/>
              <w:rPr>
                <w:sz w:val="20"/>
                <w:szCs w:val="20"/>
              </w:rPr>
            </w:pPr>
            <w:r w:rsidRPr="00E8065F">
              <w:rPr>
                <w:sz w:val="20"/>
                <w:szCs w:val="20"/>
              </w:rPr>
              <w:t>2018</w:t>
            </w:r>
            <w:r w:rsidR="00AA5FB3">
              <w:rPr>
                <w:sz w:val="20"/>
                <w:szCs w:val="20"/>
              </w:rPr>
              <w:t xml:space="preserve"> </w:t>
            </w:r>
            <w:r w:rsidR="00B96806">
              <w:rPr>
                <w:sz w:val="20"/>
                <w:szCs w:val="20"/>
              </w:rPr>
              <w:t>(1)</w:t>
            </w:r>
          </w:p>
          <w:p w:rsidR="00B96806" w:rsidRPr="00E8065F" w:rsidRDefault="000E54C2" w:rsidP="00B96806">
            <w:pPr>
              <w:jc w:val="center"/>
              <w:rPr>
                <w:sz w:val="20"/>
                <w:szCs w:val="20"/>
              </w:rPr>
            </w:pPr>
            <w:r w:rsidRPr="00E8065F">
              <w:rPr>
                <w:sz w:val="20"/>
                <w:szCs w:val="20"/>
              </w:rPr>
              <w:t>2019</w:t>
            </w:r>
            <w:r w:rsidR="00AA5FB3">
              <w:rPr>
                <w:sz w:val="20"/>
                <w:szCs w:val="20"/>
              </w:rPr>
              <w:t xml:space="preserve"> </w:t>
            </w:r>
            <w:r w:rsidR="00B96806">
              <w:rPr>
                <w:sz w:val="20"/>
                <w:szCs w:val="20"/>
              </w:rPr>
              <w:t>(1)</w:t>
            </w:r>
          </w:p>
          <w:p w:rsidR="00B96806" w:rsidRPr="00E8065F" w:rsidRDefault="000E54C2" w:rsidP="00B96806">
            <w:pPr>
              <w:jc w:val="center"/>
              <w:rPr>
                <w:sz w:val="20"/>
                <w:szCs w:val="20"/>
              </w:rPr>
            </w:pPr>
            <w:r w:rsidRPr="00E8065F">
              <w:rPr>
                <w:sz w:val="20"/>
                <w:szCs w:val="20"/>
              </w:rPr>
              <w:t>2020</w:t>
            </w:r>
            <w:r w:rsidR="00AA5FB3">
              <w:rPr>
                <w:sz w:val="20"/>
                <w:szCs w:val="20"/>
              </w:rPr>
              <w:t xml:space="preserve"> </w:t>
            </w:r>
            <w:r w:rsidR="00B96806">
              <w:rPr>
                <w:sz w:val="20"/>
                <w:szCs w:val="20"/>
              </w:rPr>
              <w:t>(1)</w:t>
            </w:r>
          </w:p>
          <w:p w:rsidR="000E54C2" w:rsidRPr="00E8065F" w:rsidRDefault="000E54C2" w:rsidP="000546C2">
            <w:pPr>
              <w:jc w:val="center"/>
              <w:rPr>
                <w:sz w:val="20"/>
                <w:szCs w:val="20"/>
              </w:rPr>
            </w:pPr>
            <w:r w:rsidRPr="00E8065F">
              <w:rPr>
                <w:sz w:val="20"/>
                <w:szCs w:val="20"/>
              </w:rPr>
              <w:t>2021</w:t>
            </w:r>
            <w:r w:rsidR="00AA5FB3">
              <w:rPr>
                <w:sz w:val="20"/>
                <w:szCs w:val="20"/>
              </w:rPr>
              <w:t xml:space="preserve"> </w:t>
            </w:r>
            <w:r w:rsidR="00B96806">
              <w:rPr>
                <w:sz w:val="20"/>
                <w:szCs w:val="20"/>
              </w:rPr>
              <w:t>(2)</w:t>
            </w:r>
          </w:p>
        </w:tc>
        <w:tc>
          <w:tcPr>
            <w:tcW w:w="1181" w:type="dxa"/>
            <w:tcBorders>
              <w:top w:val="nil"/>
              <w:left w:val="single" w:sz="4" w:space="0" w:color="auto"/>
              <w:bottom w:val="single" w:sz="4" w:space="0" w:color="auto"/>
              <w:right w:val="single" w:sz="4" w:space="0" w:color="auto"/>
            </w:tcBorders>
            <w:shd w:val="clear" w:color="auto" w:fill="auto"/>
          </w:tcPr>
          <w:p w:rsidR="000E54C2" w:rsidRPr="00E8065F" w:rsidRDefault="000E54C2" w:rsidP="000546C2">
            <w:pPr>
              <w:jc w:val="center"/>
              <w:rPr>
                <w:color w:val="000000"/>
                <w:sz w:val="20"/>
                <w:szCs w:val="20"/>
              </w:rPr>
            </w:pPr>
            <w:r w:rsidRPr="00E8065F">
              <w:rPr>
                <w:color w:val="000000"/>
                <w:sz w:val="20"/>
                <w:szCs w:val="20"/>
              </w:rPr>
              <w:t>8</w:t>
            </w:r>
          </w:p>
        </w:tc>
        <w:tc>
          <w:tcPr>
            <w:tcW w:w="1478" w:type="dxa"/>
            <w:tcBorders>
              <w:top w:val="nil"/>
              <w:left w:val="single" w:sz="4" w:space="0" w:color="auto"/>
              <w:bottom w:val="single" w:sz="4" w:space="0" w:color="auto"/>
              <w:right w:val="single" w:sz="4" w:space="0" w:color="auto"/>
            </w:tcBorders>
            <w:shd w:val="clear" w:color="auto" w:fill="auto"/>
          </w:tcPr>
          <w:p w:rsidR="000E54C2" w:rsidRPr="00E8065F" w:rsidRDefault="000E54C2" w:rsidP="000546C2">
            <w:pPr>
              <w:jc w:val="center"/>
              <w:rPr>
                <w:color w:val="000000"/>
                <w:sz w:val="20"/>
                <w:szCs w:val="20"/>
              </w:rPr>
            </w:pPr>
            <w:r w:rsidRPr="00E8065F">
              <w:rPr>
                <w:color w:val="000000"/>
                <w:sz w:val="20"/>
                <w:szCs w:val="20"/>
              </w:rPr>
              <w:t>464</w:t>
            </w:r>
          </w:p>
        </w:tc>
        <w:tc>
          <w:tcPr>
            <w:tcW w:w="1111" w:type="dxa"/>
            <w:tcBorders>
              <w:top w:val="nil"/>
              <w:left w:val="single" w:sz="4" w:space="0" w:color="auto"/>
              <w:bottom w:val="single" w:sz="4" w:space="0" w:color="auto"/>
              <w:right w:val="single" w:sz="4" w:space="0" w:color="auto"/>
            </w:tcBorders>
            <w:shd w:val="clear" w:color="auto" w:fill="auto"/>
          </w:tcPr>
          <w:p w:rsidR="000E54C2" w:rsidRPr="00E8065F" w:rsidRDefault="000E54C2" w:rsidP="000546C2">
            <w:pPr>
              <w:jc w:val="center"/>
              <w:rPr>
                <w:color w:val="000000"/>
                <w:sz w:val="20"/>
                <w:szCs w:val="20"/>
              </w:rPr>
            </w:pPr>
            <w:r w:rsidRPr="00E8065F">
              <w:rPr>
                <w:color w:val="000000"/>
                <w:sz w:val="20"/>
                <w:szCs w:val="20"/>
              </w:rPr>
              <w:t>2</w:t>
            </w:r>
          </w:p>
        </w:tc>
        <w:tc>
          <w:tcPr>
            <w:tcW w:w="1944" w:type="dxa"/>
            <w:tcBorders>
              <w:top w:val="nil"/>
              <w:left w:val="single" w:sz="4" w:space="0" w:color="auto"/>
              <w:bottom w:val="single" w:sz="4" w:space="0" w:color="auto"/>
              <w:right w:val="single" w:sz="4" w:space="0" w:color="auto"/>
            </w:tcBorders>
            <w:shd w:val="clear" w:color="auto" w:fill="auto"/>
          </w:tcPr>
          <w:p w:rsidR="000E54C2" w:rsidRPr="00E8065F" w:rsidRDefault="000E54C2" w:rsidP="00BA1432">
            <w:pPr>
              <w:jc w:val="center"/>
              <w:rPr>
                <w:color w:val="000000"/>
                <w:sz w:val="20"/>
                <w:szCs w:val="20"/>
              </w:rPr>
            </w:pPr>
            <w:r w:rsidRPr="00E8065F">
              <w:rPr>
                <w:color w:val="000000"/>
                <w:sz w:val="20"/>
                <w:szCs w:val="20"/>
              </w:rPr>
              <w:t>Амбулаторное/стационарное</w:t>
            </w:r>
          </w:p>
        </w:tc>
      </w:tr>
      <w:tr w:rsidR="00BA1432" w:rsidRPr="00E8065F" w:rsidTr="000546C2">
        <w:trPr>
          <w:trHeight w:val="20"/>
        </w:trPr>
        <w:tc>
          <w:tcPr>
            <w:tcW w:w="1555" w:type="dxa"/>
            <w:vMerge/>
          </w:tcPr>
          <w:p w:rsidR="000E54C2" w:rsidRPr="00E8065F" w:rsidRDefault="000E54C2" w:rsidP="00BA1432">
            <w:pPr>
              <w:rPr>
                <w:sz w:val="20"/>
                <w:szCs w:val="20"/>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0E54C2" w:rsidRPr="00E8065F" w:rsidRDefault="000E54C2" w:rsidP="00DC0475">
            <w:pPr>
              <w:jc w:val="both"/>
              <w:rPr>
                <w:color w:val="000000"/>
                <w:sz w:val="20"/>
                <w:szCs w:val="20"/>
              </w:rPr>
            </w:pPr>
            <w:r>
              <w:rPr>
                <w:color w:val="000000"/>
                <w:sz w:val="20"/>
                <w:szCs w:val="20"/>
              </w:rPr>
              <w:t xml:space="preserve">ГАУЗ </w:t>
            </w:r>
            <w:r w:rsidR="002F7358">
              <w:rPr>
                <w:rFonts w:eastAsia="Calibri"/>
                <w:sz w:val="20"/>
                <w:szCs w:val="20"/>
              </w:rPr>
              <w:t>«</w:t>
            </w:r>
            <w:r>
              <w:rPr>
                <w:rFonts w:eastAsia="Calibri"/>
                <w:sz w:val="20"/>
                <w:szCs w:val="20"/>
              </w:rPr>
              <w:t>Межрегиональный клинико-диагностический центр</w:t>
            </w:r>
            <w:r w:rsidR="002F7358">
              <w:rPr>
                <w:rFonts w:eastAsia="Calibri"/>
                <w:sz w:val="20"/>
                <w:szCs w:val="20"/>
              </w:rPr>
              <w:t>»</w:t>
            </w:r>
          </w:p>
        </w:tc>
        <w:tc>
          <w:tcPr>
            <w:tcW w:w="1994" w:type="dxa"/>
            <w:tcBorders>
              <w:top w:val="single" w:sz="4" w:space="0" w:color="auto"/>
              <w:left w:val="single" w:sz="4" w:space="0" w:color="auto"/>
              <w:bottom w:val="single" w:sz="4" w:space="0" w:color="auto"/>
              <w:right w:val="single" w:sz="4" w:space="0" w:color="auto"/>
            </w:tcBorders>
            <w:shd w:val="clear" w:color="auto" w:fill="auto"/>
          </w:tcPr>
          <w:p w:rsidR="000E54C2" w:rsidRPr="00E8065F" w:rsidRDefault="000E54C2" w:rsidP="00BA1432">
            <w:pPr>
              <w:jc w:val="center"/>
              <w:rPr>
                <w:color w:val="000000"/>
                <w:sz w:val="20"/>
                <w:szCs w:val="20"/>
              </w:rPr>
            </w:pPr>
            <w:r w:rsidRPr="00E8065F">
              <w:rPr>
                <w:color w:val="000000"/>
                <w:sz w:val="20"/>
                <w:szCs w:val="20"/>
              </w:rPr>
              <w:t>Рентгенодиагностические аппараты</w:t>
            </w:r>
          </w:p>
        </w:tc>
        <w:tc>
          <w:tcPr>
            <w:tcW w:w="1181" w:type="dxa"/>
            <w:tcBorders>
              <w:top w:val="single" w:sz="4" w:space="0" w:color="auto"/>
            </w:tcBorders>
            <w:shd w:val="clear" w:color="auto" w:fill="auto"/>
          </w:tcPr>
          <w:p w:rsidR="000E54C2" w:rsidRPr="00E8065F" w:rsidRDefault="000E54C2" w:rsidP="000546C2">
            <w:pPr>
              <w:jc w:val="center"/>
              <w:rPr>
                <w:sz w:val="20"/>
                <w:szCs w:val="20"/>
              </w:rPr>
            </w:pPr>
            <w:r w:rsidRPr="00E8065F">
              <w:rPr>
                <w:sz w:val="20"/>
                <w:szCs w:val="20"/>
              </w:rPr>
              <w:t>2010</w:t>
            </w:r>
            <w:r w:rsidR="00AA5FB3">
              <w:rPr>
                <w:sz w:val="20"/>
                <w:szCs w:val="20"/>
              </w:rPr>
              <w:t xml:space="preserve"> </w:t>
            </w:r>
            <w:r w:rsidR="00B96806">
              <w:rPr>
                <w:sz w:val="20"/>
                <w:szCs w:val="20"/>
              </w:rPr>
              <w:t>(2)</w:t>
            </w:r>
          </w:p>
          <w:p w:rsidR="00B96806" w:rsidRPr="00E8065F" w:rsidRDefault="000E54C2" w:rsidP="00B96806">
            <w:pPr>
              <w:jc w:val="center"/>
              <w:rPr>
                <w:sz w:val="20"/>
                <w:szCs w:val="20"/>
              </w:rPr>
            </w:pPr>
            <w:r w:rsidRPr="00E8065F">
              <w:rPr>
                <w:sz w:val="20"/>
                <w:szCs w:val="20"/>
              </w:rPr>
              <w:t>2016</w:t>
            </w:r>
            <w:r w:rsidR="00AA5FB3">
              <w:rPr>
                <w:sz w:val="20"/>
                <w:szCs w:val="20"/>
              </w:rPr>
              <w:t xml:space="preserve"> </w:t>
            </w:r>
            <w:r w:rsidR="00B96806">
              <w:rPr>
                <w:sz w:val="20"/>
                <w:szCs w:val="20"/>
              </w:rPr>
              <w:t>(1)</w:t>
            </w:r>
          </w:p>
          <w:p w:rsidR="000E54C2" w:rsidRPr="00E8065F" w:rsidRDefault="000E54C2" w:rsidP="00B96806">
            <w:pPr>
              <w:jc w:val="center"/>
              <w:rPr>
                <w:sz w:val="20"/>
                <w:szCs w:val="20"/>
              </w:rPr>
            </w:pPr>
            <w:r w:rsidRPr="00E8065F">
              <w:rPr>
                <w:sz w:val="20"/>
                <w:szCs w:val="20"/>
              </w:rPr>
              <w:t>2018</w:t>
            </w:r>
            <w:r w:rsidR="00AA5FB3">
              <w:rPr>
                <w:sz w:val="20"/>
                <w:szCs w:val="20"/>
              </w:rPr>
              <w:t xml:space="preserve"> </w:t>
            </w:r>
            <w:r w:rsidR="00B96806">
              <w:rPr>
                <w:sz w:val="20"/>
                <w:szCs w:val="20"/>
              </w:rPr>
              <w:t>(1)</w:t>
            </w:r>
          </w:p>
        </w:tc>
        <w:tc>
          <w:tcPr>
            <w:tcW w:w="1181" w:type="dxa"/>
            <w:tcBorders>
              <w:top w:val="single" w:sz="4" w:space="0" w:color="auto"/>
              <w:left w:val="single" w:sz="4" w:space="0" w:color="auto"/>
              <w:bottom w:val="single" w:sz="4" w:space="0" w:color="auto"/>
              <w:right w:val="single" w:sz="4" w:space="0" w:color="auto"/>
            </w:tcBorders>
            <w:shd w:val="clear" w:color="auto" w:fill="auto"/>
          </w:tcPr>
          <w:p w:rsidR="000E54C2" w:rsidRPr="00E8065F" w:rsidRDefault="000E54C2" w:rsidP="000546C2">
            <w:pPr>
              <w:jc w:val="center"/>
              <w:rPr>
                <w:color w:val="000000"/>
                <w:sz w:val="20"/>
                <w:szCs w:val="20"/>
              </w:rPr>
            </w:pPr>
            <w:r w:rsidRPr="00E8065F">
              <w:rPr>
                <w:color w:val="000000"/>
                <w:sz w:val="20"/>
                <w:szCs w:val="20"/>
              </w:rPr>
              <w:t>4</w:t>
            </w:r>
          </w:p>
        </w:tc>
        <w:tc>
          <w:tcPr>
            <w:tcW w:w="1478" w:type="dxa"/>
            <w:tcBorders>
              <w:top w:val="single" w:sz="4" w:space="0" w:color="auto"/>
              <w:left w:val="single" w:sz="4" w:space="0" w:color="auto"/>
              <w:bottom w:val="single" w:sz="4" w:space="0" w:color="auto"/>
              <w:right w:val="single" w:sz="4" w:space="0" w:color="auto"/>
            </w:tcBorders>
            <w:shd w:val="clear" w:color="auto" w:fill="auto"/>
          </w:tcPr>
          <w:p w:rsidR="000E54C2" w:rsidRPr="00E8065F" w:rsidRDefault="000E54C2" w:rsidP="000546C2">
            <w:pPr>
              <w:jc w:val="center"/>
              <w:rPr>
                <w:color w:val="000000"/>
                <w:sz w:val="20"/>
                <w:szCs w:val="20"/>
              </w:rPr>
            </w:pPr>
            <w:r w:rsidRPr="00E8065F">
              <w:rPr>
                <w:color w:val="000000"/>
                <w:sz w:val="20"/>
                <w:szCs w:val="20"/>
              </w:rPr>
              <w:t>64</w:t>
            </w:r>
          </w:p>
        </w:tc>
        <w:tc>
          <w:tcPr>
            <w:tcW w:w="1111" w:type="dxa"/>
            <w:tcBorders>
              <w:top w:val="single" w:sz="4" w:space="0" w:color="auto"/>
              <w:left w:val="single" w:sz="4" w:space="0" w:color="auto"/>
              <w:bottom w:val="single" w:sz="4" w:space="0" w:color="auto"/>
              <w:right w:val="single" w:sz="4" w:space="0" w:color="auto"/>
            </w:tcBorders>
            <w:shd w:val="clear" w:color="auto" w:fill="auto"/>
          </w:tcPr>
          <w:p w:rsidR="000E54C2" w:rsidRPr="00E8065F" w:rsidRDefault="000E54C2" w:rsidP="000546C2">
            <w:pPr>
              <w:jc w:val="center"/>
              <w:rPr>
                <w:color w:val="000000"/>
                <w:sz w:val="20"/>
                <w:szCs w:val="20"/>
              </w:rPr>
            </w:pPr>
            <w:r w:rsidRPr="00E8065F">
              <w:rPr>
                <w:color w:val="000000"/>
                <w:sz w:val="20"/>
                <w:szCs w:val="20"/>
              </w:rPr>
              <w:t>2</w:t>
            </w:r>
          </w:p>
        </w:tc>
        <w:tc>
          <w:tcPr>
            <w:tcW w:w="1944" w:type="dxa"/>
            <w:tcBorders>
              <w:top w:val="single" w:sz="4" w:space="0" w:color="auto"/>
              <w:left w:val="single" w:sz="4" w:space="0" w:color="auto"/>
              <w:bottom w:val="single" w:sz="4" w:space="0" w:color="auto"/>
              <w:right w:val="single" w:sz="4" w:space="0" w:color="auto"/>
            </w:tcBorders>
            <w:shd w:val="clear" w:color="auto" w:fill="auto"/>
          </w:tcPr>
          <w:p w:rsidR="000E54C2" w:rsidRPr="00E8065F" w:rsidRDefault="000E54C2" w:rsidP="00BA1432">
            <w:pPr>
              <w:jc w:val="center"/>
              <w:rPr>
                <w:color w:val="000000"/>
                <w:sz w:val="20"/>
                <w:szCs w:val="20"/>
              </w:rPr>
            </w:pPr>
            <w:r w:rsidRPr="00E8065F">
              <w:rPr>
                <w:color w:val="000000"/>
                <w:sz w:val="20"/>
                <w:szCs w:val="20"/>
              </w:rPr>
              <w:t>Амбулаторное/стационарное</w:t>
            </w:r>
          </w:p>
        </w:tc>
      </w:tr>
      <w:tr w:rsidR="00BA1432" w:rsidRPr="00E8065F" w:rsidTr="000546C2">
        <w:trPr>
          <w:trHeight w:val="20"/>
        </w:trPr>
        <w:tc>
          <w:tcPr>
            <w:tcW w:w="1555" w:type="dxa"/>
            <w:vMerge/>
          </w:tcPr>
          <w:p w:rsidR="000E54C2" w:rsidRPr="00E8065F" w:rsidRDefault="000E54C2" w:rsidP="00BA1432">
            <w:pPr>
              <w:rPr>
                <w:sz w:val="20"/>
                <w:szCs w:val="20"/>
              </w:rPr>
            </w:pPr>
          </w:p>
        </w:tc>
        <w:tc>
          <w:tcPr>
            <w:tcW w:w="3685" w:type="dxa"/>
            <w:tcBorders>
              <w:top w:val="nil"/>
              <w:left w:val="single" w:sz="4" w:space="0" w:color="auto"/>
              <w:bottom w:val="single" w:sz="4" w:space="0" w:color="auto"/>
              <w:right w:val="single" w:sz="4" w:space="0" w:color="auto"/>
            </w:tcBorders>
            <w:shd w:val="clear" w:color="auto" w:fill="auto"/>
          </w:tcPr>
          <w:p w:rsidR="000E54C2" w:rsidRPr="00E8065F" w:rsidRDefault="000E54C2" w:rsidP="009C7AAF">
            <w:pPr>
              <w:jc w:val="both"/>
              <w:rPr>
                <w:color w:val="000000"/>
                <w:sz w:val="20"/>
                <w:szCs w:val="20"/>
              </w:rPr>
            </w:pPr>
            <w:r w:rsidRPr="003A4AA1">
              <w:rPr>
                <w:color w:val="000000"/>
                <w:sz w:val="20"/>
                <w:szCs w:val="20"/>
              </w:rPr>
              <w:t xml:space="preserve">ГАУЗ </w:t>
            </w:r>
            <w:r w:rsidR="002F7358">
              <w:rPr>
                <w:color w:val="000000"/>
                <w:sz w:val="20"/>
                <w:szCs w:val="20"/>
              </w:rPr>
              <w:t>«</w:t>
            </w:r>
            <w:r w:rsidRPr="003A4AA1">
              <w:rPr>
                <w:color w:val="000000"/>
                <w:sz w:val="20"/>
                <w:szCs w:val="20"/>
              </w:rPr>
              <w:t>Республиканская клиническая больница Министерства здравоохранения Республики Татарстан</w:t>
            </w:r>
            <w:r w:rsidR="002F7358">
              <w:rPr>
                <w:color w:val="000000"/>
                <w:sz w:val="20"/>
                <w:szCs w:val="20"/>
              </w:rPr>
              <w:t>»</w:t>
            </w:r>
          </w:p>
        </w:tc>
        <w:tc>
          <w:tcPr>
            <w:tcW w:w="1994" w:type="dxa"/>
            <w:tcBorders>
              <w:top w:val="nil"/>
              <w:left w:val="single" w:sz="4" w:space="0" w:color="auto"/>
              <w:bottom w:val="single" w:sz="4" w:space="0" w:color="auto"/>
              <w:right w:val="single" w:sz="4" w:space="0" w:color="auto"/>
            </w:tcBorders>
            <w:shd w:val="clear" w:color="auto" w:fill="auto"/>
          </w:tcPr>
          <w:p w:rsidR="000E54C2" w:rsidRPr="00E8065F" w:rsidRDefault="000E54C2" w:rsidP="00BA1432">
            <w:pPr>
              <w:jc w:val="center"/>
              <w:rPr>
                <w:color w:val="000000"/>
                <w:sz w:val="20"/>
                <w:szCs w:val="20"/>
              </w:rPr>
            </w:pPr>
            <w:r w:rsidRPr="00E8065F">
              <w:rPr>
                <w:color w:val="000000"/>
                <w:sz w:val="20"/>
                <w:szCs w:val="20"/>
              </w:rPr>
              <w:t>Рентгенодиагностические аппараты</w:t>
            </w:r>
          </w:p>
        </w:tc>
        <w:tc>
          <w:tcPr>
            <w:tcW w:w="1181" w:type="dxa"/>
            <w:tcBorders>
              <w:bottom w:val="single" w:sz="4" w:space="0" w:color="auto"/>
            </w:tcBorders>
            <w:shd w:val="clear" w:color="auto" w:fill="auto"/>
          </w:tcPr>
          <w:p w:rsidR="00B96806" w:rsidRPr="00E8065F" w:rsidRDefault="000E54C2" w:rsidP="00B96806">
            <w:pPr>
              <w:jc w:val="center"/>
              <w:rPr>
                <w:sz w:val="20"/>
                <w:szCs w:val="20"/>
              </w:rPr>
            </w:pPr>
            <w:r w:rsidRPr="00E8065F">
              <w:rPr>
                <w:sz w:val="20"/>
                <w:szCs w:val="20"/>
              </w:rPr>
              <w:t>2011</w:t>
            </w:r>
            <w:r w:rsidR="00AA5FB3">
              <w:rPr>
                <w:sz w:val="20"/>
                <w:szCs w:val="20"/>
              </w:rPr>
              <w:t xml:space="preserve"> </w:t>
            </w:r>
            <w:r w:rsidR="00B96806">
              <w:rPr>
                <w:sz w:val="20"/>
                <w:szCs w:val="20"/>
              </w:rPr>
              <w:t>(1)</w:t>
            </w:r>
          </w:p>
          <w:p w:rsidR="00B96806" w:rsidRPr="00E8065F" w:rsidRDefault="000E54C2" w:rsidP="00B96806">
            <w:pPr>
              <w:jc w:val="center"/>
              <w:rPr>
                <w:sz w:val="20"/>
                <w:szCs w:val="20"/>
              </w:rPr>
            </w:pPr>
            <w:r w:rsidRPr="00E8065F">
              <w:rPr>
                <w:sz w:val="20"/>
                <w:szCs w:val="20"/>
              </w:rPr>
              <w:t>2012</w:t>
            </w:r>
            <w:r w:rsidR="00AA5FB3">
              <w:rPr>
                <w:sz w:val="20"/>
                <w:szCs w:val="20"/>
              </w:rPr>
              <w:t xml:space="preserve"> </w:t>
            </w:r>
            <w:r w:rsidR="00B96806">
              <w:rPr>
                <w:sz w:val="20"/>
                <w:szCs w:val="20"/>
              </w:rPr>
              <w:t>(1)</w:t>
            </w:r>
          </w:p>
          <w:p w:rsidR="000E54C2" w:rsidRPr="00E8065F" w:rsidRDefault="000E54C2" w:rsidP="000546C2">
            <w:pPr>
              <w:jc w:val="center"/>
              <w:rPr>
                <w:sz w:val="20"/>
                <w:szCs w:val="20"/>
              </w:rPr>
            </w:pPr>
            <w:r w:rsidRPr="00E8065F">
              <w:rPr>
                <w:sz w:val="20"/>
                <w:szCs w:val="20"/>
              </w:rPr>
              <w:t>2013</w:t>
            </w:r>
            <w:r w:rsidR="00AA5FB3">
              <w:rPr>
                <w:sz w:val="20"/>
                <w:szCs w:val="20"/>
              </w:rPr>
              <w:t xml:space="preserve"> </w:t>
            </w:r>
            <w:r w:rsidR="00B96806">
              <w:rPr>
                <w:sz w:val="20"/>
                <w:szCs w:val="20"/>
              </w:rPr>
              <w:t>(2)</w:t>
            </w:r>
          </w:p>
          <w:p w:rsidR="00B96806" w:rsidRPr="00E8065F" w:rsidRDefault="000E54C2" w:rsidP="00B96806">
            <w:pPr>
              <w:jc w:val="center"/>
              <w:rPr>
                <w:sz w:val="20"/>
                <w:szCs w:val="20"/>
              </w:rPr>
            </w:pPr>
            <w:r w:rsidRPr="00E8065F">
              <w:rPr>
                <w:sz w:val="20"/>
                <w:szCs w:val="20"/>
              </w:rPr>
              <w:t>2022</w:t>
            </w:r>
            <w:r w:rsidR="00AA5FB3">
              <w:rPr>
                <w:sz w:val="20"/>
                <w:szCs w:val="20"/>
              </w:rPr>
              <w:t xml:space="preserve"> </w:t>
            </w:r>
            <w:r w:rsidR="00B96806">
              <w:rPr>
                <w:sz w:val="20"/>
                <w:szCs w:val="20"/>
              </w:rPr>
              <w:t>(1)</w:t>
            </w:r>
          </w:p>
          <w:p w:rsidR="00B96806" w:rsidRPr="00E8065F" w:rsidRDefault="000E54C2" w:rsidP="00B96806">
            <w:pPr>
              <w:jc w:val="center"/>
              <w:rPr>
                <w:sz w:val="20"/>
                <w:szCs w:val="20"/>
              </w:rPr>
            </w:pPr>
            <w:r w:rsidRPr="00E8065F">
              <w:rPr>
                <w:sz w:val="20"/>
                <w:szCs w:val="20"/>
              </w:rPr>
              <w:t>2023</w:t>
            </w:r>
            <w:r w:rsidR="00AA5FB3">
              <w:rPr>
                <w:sz w:val="20"/>
                <w:szCs w:val="20"/>
              </w:rPr>
              <w:t xml:space="preserve"> </w:t>
            </w:r>
            <w:r w:rsidR="00B96806">
              <w:rPr>
                <w:sz w:val="20"/>
                <w:szCs w:val="20"/>
              </w:rPr>
              <w:t>(1)</w:t>
            </w:r>
          </w:p>
          <w:p w:rsidR="000E54C2" w:rsidRPr="00E8065F" w:rsidRDefault="000E54C2" w:rsidP="00B96806">
            <w:pPr>
              <w:jc w:val="center"/>
              <w:rPr>
                <w:sz w:val="20"/>
                <w:szCs w:val="20"/>
              </w:rPr>
            </w:pPr>
            <w:r w:rsidRPr="00E8065F">
              <w:rPr>
                <w:sz w:val="20"/>
                <w:szCs w:val="20"/>
              </w:rPr>
              <w:t>2024</w:t>
            </w:r>
            <w:r w:rsidR="00AA5FB3">
              <w:rPr>
                <w:sz w:val="20"/>
                <w:szCs w:val="20"/>
              </w:rPr>
              <w:t xml:space="preserve"> </w:t>
            </w:r>
            <w:r w:rsidR="00B96806">
              <w:rPr>
                <w:sz w:val="20"/>
                <w:szCs w:val="20"/>
              </w:rPr>
              <w:t>(1)</w:t>
            </w:r>
          </w:p>
        </w:tc>
        <w:tc>
          <w:tcPr>
            <w:tcW w:w="1181" w:type="dxa"/>
            <w:tcBorders>
              <w:top w:val="nil"/>
              <w:left w:val="single" w:sz="4" w:space="0" w:color="auto"/>
              <w:bottom w:val="single" w:sz="4" w:space="0" w:color="auto"/>
              <w:right w:val="single" w:sz="4" w:space="0" w:color="auto"/>
            </w:tcBorders>
            <w:shd w:val="clear" w:color="auto" w:fill="auto"/>
          </w:tcPr>
          <w:p w:rsidR="000E54C2" w:rsidRPr="00E8065F" w:rsidRDefault="000E54C2" w:rsidP="000546C2">
            <w:pPr>
              <w:jc w:val="center"/>
              <w:rPr>
                <w:color w:val="000000"/>
                <w:sz w:val="20"/>
                <w:szCs w:val="20"/>
              </w:rPr>
            </w:pPr>
            <w:r w:rsidRPr="00E8065F">
              <w:rPr>
                <w:color w:val="000000"/>
                <w:sz w:val="20"/>
                <w:szCs w:val="20"/>
              </w:rPr>
              <w:t>7</w:t>
            </w:r>
          </w:p>
        </w:tc>
        <w:tc>
          <w:tcPr>
            <w:tcW w:w="1478" w:type="dxa"/>
            <w:tcBorders>
              <w:top w:val="nil"/>
              <w:left w:val="single" w:sz="4" w:space="0" w:color="auto"/>
              <w:bottom w:val="single" w:sz="4" w:space="0" w:color="auto"/>
              <w:right w:val="single" w:sz="4" w:space="0" w:color="auto"/>
            </w:tcBorders>
            <w:shd w:val="clear" w:color="auto" w:fill="auto"/>
          </w:tcPr>
          <w:p w:rsidR="000E54C2" w:rsidRPr="00E8065F" w:rsidRDefault="000E54C2" w:rsidP="000546C2">
            <w:pPr>
              <w:jc w:val="center"/>
              <w:rPr>
                <w:color w:val="000000"/>
                <w:sz w:val="20"/>
                <w:szCs w:val="20"/>
              </w:rPr>
            </w:pPr>
            <w:r w:rsidRPr="00E8065F">
              <w:rPr>
                <w:color w:val="000000"/>
                <w:sz w:val="20"/>
                <w:szCs w:val="20"/>
              </w:rPr>
              <w:t>722</w:t>
            </w:r>
          </w:p>
        </w:tc>
        <w:tc>
          <w:tcPr>
            <w:tcW w:w="1111" w:type="dxa"/>
            <w:tcBorders>
              <w:top w:val="nil"/>
              <w:left w:val="single" w:sz="4" w:space="0" w:color="auto"/>
              <w:bottom w:val="single" w:sz="4" w:space="0" w:color="auto"/>
              <w:right w:val="single" w:sz="4" w:space="0" w:color="auto"/>
            </w:tcBorders>
            <w:shd w:val="clear" w:color="auto" w:fill="auto"/>
          </w:tcPr>
          <w:p w:rsidR="000E54C2" w:rsidRPr="00E8065F" w:rsidRDefault="000E54C2" w:rsidP="000546C2">
            <w:pPr>
              <w:jc w:val="center"/>
              <w:rPr>
                <w:color w:val="000000"/>
                <w:sz w:val="20"/>
                <w:szCs w:val="20"/>
              </w:rPr>
            </w:pPr>
            <w:r w:rsidRPr="00E8065F">
              <w:rPr>
                <w:color w:val="000000"/>
                <w:sz w:val="20"/>
                <w:szCs w:val="20"/>
              </w:rPr>
              <w:t>2</w:t>
            </w:r>
          </w:p>
        </w:tc>
        <w:tc>
          <w:tcPr>
            <w:tcW w:w="1944" w:type="dxa"/>
            <w:tcBorders>
              <w:top w:val="nil"/>
              <w:left w:val="single" w:sz="4" w:space="0" w:color="auto"/>
              <w:bottom w:val="single" w:sz="4" w:space="0" w:color="auto"/>
              <w:right w:val="single" w:sz="4" w:space="0" w:color="auto"/>
            </w:tcBorders>
            <w:shd w:val="clear" w:color="auto" w:fill="auto"/>
          </w:tcPr>
          <w:p w:rsidR="000E54C2" w:rsidRPr="00E8065F" w:rsidRDefault="000E54C2" w:rsidP="00BA1432">
            <w:pPr>
              <w:jc w:val="center"/>
              <w:rPr>
                <w:color w:val="000000"/>
                <w:sz w:val="20"/>
                <w:szCs w:val="20"/>
              </w:rPr>
            </w:pPr>
            <w:r w:rsidRPr="00E8065F">
              <w:rPr>
                <w:color w:val="000000"/>
                <w:sz w:val="20"/>
                <w:szCs w:val="20"/>
              </w:rPr>
              <w:t>Амбулаторное/стационарное</w:t>
            </w:r>
          </w:p>
        </w:tc>
      </w:tr>
      <w:tr w:rsidR="00BA1432" w:rsidRPr="00E8065F" w:rsidTr="000546C2">
        <w:trPr>
          <w:trHeight w:val="20"/>
        </w:trPr>
        <w:tc>
          <w:tcPr>
            <w:tcW w:w="1555" w:type="dxa"/>
            <w:vMerge/>
          </w:tcPr>
          <w:p w:rsidR="000E54C2" w:rsidRPr="00E8065F" w:rsidRDefault="000E54C2" w:rsidP="00BA1432">
            <w:pPr>
              <w:rPr>
                <w:sz w:val="20"/>
                <w:szCs w:val="20"/>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0E54C2" w:rsidRPr="00E8065F" w:rsidRDefault="000E54C2" w:rsidP="001164A3">
            <w:pPr>
              <w:jc w:val="both"/>
              <w:rPr>
                <w:color w:val="000000"/>
                <w:sz w:val="20"/>
                <w:szCs w:val="20"/>
              </w:rPr>
            </w:pPr>
            <w:r w:rsidRPr="00E8065F">
              <w:rPr>
                <w:color w:val="000000"/>
                <w:sz w:val="20"/>
                <w:szCs w:val="20"/>
              </w:rPr>
              <w:t xml:space="preserve">ГАУЗ </w:t>
            </w:r>
            <w:r w:rsidR="002F7358">
              <w:rPr>
                <w:color w:val="000000"/>
                <w:sz w:val="20"/>
                <w:szCs w:val="20"/>
              </w:rPr>
              <w:t>«</w:t>
            </w:r>
            <w:r w:rsidRPr="00E8065F">
              <w:rPr>
                <w:color w:val="000000"/>
                <w:sz w:val="20"/>
                <w:szCs w:val="20"/>
              </w:rPr>
              <w:t>РКОД МЗ РТ им.проф.М.З.Сигала</w:t>
            </w:r>
            <w:r w:rsidR="002F7358">
              <w:rPr>
                <w:color w:val="000000"/>
                <w:sz w:val="20"/>
                <w:szCs w:val="20"/>
              </w:rPr>
              <w:t>»</w:t>
            </w:r>
          </w:p>
        </w:tc>
        <w:tc>
          <w:tcPr>
            <w:tcW w:w="1994" w:type="dxa"/>
            <w:tcBorders>
              <w:top w:val="single" w:sz="4" w:space="0" w:color="auto"/>
              <w:left w:val="single" w:sz="4" w:space="0" w:color="auto"/>
              <w:bottom w:val="single" w:sz="4" w:space="0" w:color="auto"/>
              <w:right w:val="single" w:sz="4" w:space="0" w:color="auto"/>
            </w:tcBorders>
            <w:shd w:val="clear" w:color="auto" w:fill="auto"/>
          </w:tcPr>
          <w:p w:rsidR="000E54C2" w:rsidRPr="00E8065F" w:rsidRDefault="000E54C2" w:rsidP="00BA1432">
            <w:pPr>
              <w:jc w:val="center"/>
              <w:rPr>
                <w:color w:val="000000"/>
                <w:sz w:val="20"/>
                <w:szCs w:val="20"/>
              </w:rPr>
            </w:pPr>
            <w:r w:rsidRPr="00E8065F">
              <w:rPr>
                <w:color w:val="000000"/>
                <w:sz w:val="20"/>
                <w:szCs w:val="20"/>
              </w:rPr>
              <w:t>Рентгенодиагностические аппараты</w:t>
            </w:r>
          </w:p>
        </w:tc>
        <w:tc>
          <w:tcPr>
            <w:tcW w:w="1181" w:type="dxa"/>
            <w:tcBorders>
              <w:top w:val="single" w:sz="4" w:space="0" w:color="auto"/>
            </w:tcBorders>
            <w:shd w:val="clear" w:color="auto" w:fill="auto"/>
          </w:tcPr>
          <w:p w:rsidR="00B96806" w:rsidRPr="00E8065F" w:rsidRDefault="000E54C2" w:rsidP="00B96806">
            <w:pPr>
              <w:jc w:val="center"/>
              <w:rPr>
                <w:sz w:val="20"/>
                <w:szCs w:val="20"/>
              </w:rPr>
            </w:pPr>
            <w:r w:rsidRPr="00E8065F">
              <w:rPr>
                <w:sz w:val="20"/>
                <w:szCs w:val="20"/>
              </w:rPr>
              <w:t>2013</w:t>
            </w:r>
            <w:r w:rsidR="00AA5FB3">
              <w:rPr>
                <w:sz w:val="20"/>
                <w:szCs w:val="20"/>
              </w:rPr>
              <w:t xml:space="preserve"> </w:t>
            </w:r>
            <w:r w:rsidR="00B96806">
              <w:rPr>
                <w:sz w:val="20"/>
                <w:szCs w:val="20"/>
              </w:rPr>
              <w:t>(1)</w:t>
            </w:r>
          </w:p>
          <w:p w:rsidR="000E54C2" w:rsidRPr="00E8065F" w:rsidRDefault="000E54C2" w:rsidP="000546C2">
            <w:pPr>
              <w:jc w:val="center"/>
              <w:rPr>
                <w:sz w:val="20"/>
                <w:szCs w:val="20"/>
              </w:rPr>
            </w:pPr>
            <w:r w:rsidRPr="00E8065F">
              <w:rPr>
                <w:sz w:val="20"/>
                <w:szCs w:val="20"/>
              </w:rPr>
              <w:t>2015</w:t>
            </w:r>
            <w:r w:rsidR="00AA5FB3">
              <w:rPr>
                <w:sz w:val="20"/>
                <w:szCs w:val="20"/>
              </w:rPr>
              <w:t xml:space="preserve"> </w:t>
            </w:r>
            <w:r w:rsidR="00B96806">
              <w:rPr>
                <w:sz w:val="20"/>
                <w:szCs w:val="20"/>
              </w:rPr>
              <w:t>(2)</w:t>
            </w:r>
          </w:p>
          <w:p w:rsidR="000E54C2" w:rsidRPr="00E8065F" w:rsidRDefault="000E54C2" w:rsidP="000546C2">
            <w:pPr>
              <w:jc w:val="center"/>
              <w:rPr>
                <w:sz w:val="20"/>
                <w:szCs w:val="20"/>
              </w:rPr>
            </w:pPr>
            <w:r w:rsidRPr="00E8065F">
              <w:rPr>
                <w:sz w:val="20"/>
                <w:szCs w:val="20"/>
              </w:rPr>
              <w:t>2018</w:t>
            </w:r>
            <w:r w:rsidR="00AA5FB3">
              <w:rPr>
                <w:sz w:val="20"/>
                <w:szCs w:val="20"/>
              </w:rPr>
              <w:t xml:space="preserve"> </w:t>
            </w:r>
            <w:r w:rsidR="00B96806">
              <w:rPr>
                <w:sz w:val="20"/>
                <w:szCs w:val="20"/>
              </w:rPr>
              <w:t>(2)</w:t>
            </w:r>
          </w:p>
          <w:p w:rsidR="000E54C2" w:rsidRPr="00E8065F" w:rsidRDefault="000E54C2" w:rsidP="00B96806">
            <w:pPr>
              <w:jc w:val="center"/>
              <w:rPr>
                <w:sz w:val="20"/>
                <w:szCs w:val="20"/>
              </w:rPr>
            </w:pPr>
            <w:r w:rsidRPr="00E8065F">
              <w:rPr>
                <w:sz w:val="20"/>
                <w:szCs w:val="20"/>
              </w:rPr>
              <w:t>2020</w:t>
            </w:r>
            <w:r w:rsidR="00AA5FB3">
              <w:rPr>
                <w:sz w:val="20"/>
                <w:szCs w:val="20"/>
              </w:rPr>
              <w:t xml:space="preserve"> </w:t>
            </w:r>
            <w:r w:rsidR="00B96806">
              <w:rPr>
                <w:sz w:val="20"/>
                <w:szCs w:val="20"/>
              </w:rPr>
              <w:t>(1)</w:t>
            </w:r>
          </w:p>
        </w:tc>
        <w:tc>
          <w:tcPr>
            <w:tcW w:w="1181" w:type="dxa"/>
            <w:tcBorders>
              <w:top w:val="single" w:sz="4" w:space="0" w:color="auto"/>
              <w:left w:val="single" w:sz="4" w:space="0" w:color="auto"/>
              <w:bottom w:val="single" w:sz="4" w:space="0" w:color="auto"/>
              <w:right w:val="single" w:sz="4" w:space="0" w:color="auto"/>
            </w:tcBorders>
            <w:shd w:val="clear" w:color="auto" w:fill="auto"/>
          </w:tcPr>
          <w:p w:rsidR="000E54C2" w:rsidRPr="00E8065F" w:rsidRDefault="000E54C2" w:rsidP="000546C2">
            <w:pPr>
              <w:jc w:val="center"/>
              <w:rPr>
                <w:color w:val="000000"/>
                <w:sz w:val="20"/>
                <w:szCs w:val="20"/>
              </w:rPr>
            </w:pPr>
            <w:r w:rsidRPr="00E8065F">
              <w:rPr>
                <w:color w:val="000000"/>
                <w:sz w:val="20"/>
                <w:szCs w:val="20"/>
              </w:rPr>
              <w:t>6</w:t>
            </w:r>
          </w:p>
        </w:tc>
        <w:tc>
          <w:tcPr>
            <w:tcW w:w="1478" w:type="dxa"/>
            <w:tcBorders>
              <w:top w:val="single" w:sz="4" w:space="0" w:color="auto"/>
              <w:left w:val="single" w:sz="4" w:space="0" w:color="auto"/>
              <w:bottom w:val="single" w:sz="4" w:space="0" w:color="auto"/>
              <w:right w:val="single" w:sz="4" w:space="0" w:color="auto"/>
            </w:tcBorders>
            <w:shd w:val="clear" w:color="auto" w:fill="auto"/>
          </w:tcPr>
          <w:p w:rsidR="000E54C2" w:rsidRPr="00E8065F" w:rsidRDefault="000E54C2" w:rsidP="000546C2">
            <w:pPr>
              <w:jc w:val="center"/>
              <w:rPr>
                <w:color w:val="000000"/>
                <w:sz w:val="20"/>
                <w:szCs w:val="20"/>
              </w:rPr>
            </w:pPr>
            <w:r w:rsidRPr="00E8065F">
              <w:rPr>
                <w:color w:val="000000"/>
                <w:sz w:val="20"/>
                <w:szCs w:val="20"/>
              </w:rPr>
              <w:t>339</w:t>
            </w:r>
          </w:p>
        </w:tc>
        <w:tc>
          <w:tcPr>
            <w:tcW w:w="1111" w:type="dxa"/>
            <w:tcBorders>
              <w:top w:val="single" w:sz="4" w:space="0" w:color="auto"/>
              <w:left w:val="single" w:sz="4" w:space="0" w:color="auto"/>
              <w:bottom w:val="single" w:sz="4" w:space="0" w:color="auto"/>
              <w:right w:val="single" w:sz="4" w:space="0" w:color="auto"/>
            </w:tcBorders>
            <w:shd w:val="clear" w:color="auto" w:fill="auto"/>
          </w:tcPr>
          <w:p w:rsidR="000E54C2" w:rsidRPr="00E8065F" w:rsidRDefault="000E54C2" w:rsidP="000546C2">
            <w:pPr>
              <w:jc w:val="center"/>
              <w:rPr>
                <w:color w:val="000000"/>
                <w:sz w:val="20"/>
                <w:szCs w:val="20"/>
              </w:rPr>
            </w:pPr>
            <w:r w:rsidRPr="00E8065F">
              <w:rPr>
                <w:color w:val="000000"/>
                <w:sz w:val="20"/>
                <w:szCs w:val="20"/>
              </w:rPr>
              <w:t>2</w:t>
            </w:r>
          </w:p>
        </w:tc>
        <w:tc>
          <w:tcPr>
            <w:tcW w:w="1944" w:type="dxa"/>
            <w:tcBorders>
              <w:top w:val="single" w:sz="4" w:space="0" w:color="auto"/>
              <w:left w:val="single" w:sz="4" w:space="0" w:color="auto"/>
              <w:bottom w:val="single" w:sz="4" w:space="0" w:color="auto"/>
              <w:right w:val="single" w:sz="4" w:space="0" w:color="auto"/>
            </w:tcBorders>
            <w:shd w:val="clear" w:color="auto" w:fill="auto"/>
          </w:tcPr>
          <w:p w:rsidR="000E54C2" w:rsidRPr="00E8065F" w:rsidRDefault="000E54C2" w:rsidP="00BA1432">
            <w:pPr>
              <w:jc w:val="center"/>
              <w:rPr>
                <w:color w:val="000000"/>
                <w:sz w:val="20"/>
                <w:szCs w:val="20"/>
              </w:rPr>
            </w:pPr>
            <w:r w:rsidRPr="00E8065F">
              <w:rPr>
                <w:color w:val="000000"/>
                <w:sz w:val="20"/>
                <w:szCs w:val="20"/>
              </w:rPr>
              <w:t>Амбулаторное/стационарное</w:t>
            </w:r>
          </w:p>
        </w:tc>
      </w:tr>
      <w:tr w:rsidR="00BA1432" w:rsidRPr="00E8065F" w:rsidTr="000546C2">
        <w:trPr>
          <w:trHeight w:val="20"/>
        </w:trPr>
        <w:tc>
          <w:tcPr>
            <w:tcW w:w="1555" w:type="dxa"/>
          </w:tcPr>
          <w:p w:rsidR="00DB578E" w:rsidRPr="00E8065F" w:rsidRDefault="00DB578E" w:rsidP="00BC5958">
            <w:pPr>
              <w:spacing w:line="233" w:lineRule="auto"/>
              <w:rPr>
                <w:sz w:val="20"/>
                <w:szCs w:val="20"/>
              </w:rPr>
            </w:pPr>
          </w:p>
        </w:tc>
        <w:tc>
          <w:tcPr>
            <w:tcW w:w="3685" w:type="dxa"/>
          </w:tcPr>
          <w:p w:rsidR="00DB578E" w:rsidRPr="000E54C2" w:rsidRDefault="00DB578E" w:rsidP="00BC5958">
            <w:pPr>
              <w:spacing w:line="233" w:lineRule="auto"/>
              <w:jc w:val="both"/>
              <w:rPr>
                <w:sz w:val="20"/>
                <w:szCs w:val="20"/>
              </w:rPr>
            </w:pPr>
          </w:p>
        </w:tc>
        <w:tc>
          <w:tcPr>
            <w:tcW w:w="1994" w:type="dxa"/>
            <w:tcBorders>
              <w:top w:val="nil"/>
              <w:left w:val="single" w:sz="4" w:space="0" w:color="auto"/>
              <w:bottom w:val="single" w:sz="4" w:space="0" w:color="auto"/>
              <w:right w:val="single" w:sz="4" w:space="0" w:color="auto"/>
            </w:tcBorders>
            <w:shd w:val="clear" w:color="auto" w:fill="auto"/>
          </w:tcPr>
          <w:p w:rsidR="00DB578E" w:rsidRPr="000E54C2" w:rsidRDefault="009C7AAF" w:rsidP="00BC5958">
            <w:pPr>
              <w:spacing w:line="233" w:lineRule="auto"/>
              <w:jc w:val="center"/>
              <w:rPr>
                <w:color w:val="000000"/>
                <w:sz w:val="20"/>
                <w:szCs w:val="20"/>
              </w:rPr>
            </w:pPr>
            <w:r>
              <w:rPr>
                <w:color w:val="000000"/>
                <w:sz w:val="20"/>
                <w:szCs w:val="20"/>
              </w:rPr>
              <w:t>В</w:t>
            </w:r>
            <w:r w:rsidR="00715F7C" w:rsidRPr="000E54C2">
              <w:rPr>
                <w:color w:val="000000"/>
                <w:sz w:val="20"/>
                <w:szCs w:val="20"/>
              </w:rPr>
              <w:t>сего</w:t>
            </w:r>
          </w:p>
        </w:tc>
        <w:tc>
          <w:tcPr>
            <w:tcW w:w="1181" w:type="dxa"/>
            <w:shd w:val="clear" w:color="auto" w:fill="auto"/>
          </w:tcPr>
          <w:p w:rsidR="00DB578E" w:rsidRPr="000E54C2" w:rsidRDefault="00DB578E" w:rsidP="00BC5958">
            <w:pPr>
              <w:spacing w:line="233" w:lineRule="auto"/>
              <w:jc w:val="center"/>
              <w:rPr>
                <w:sz w:val="20"/>
                <w:szCs w:val="20"/>
              </w:rPr>
            </w:pPr>
          </w:p>
        </w:tc>
        <w:tc>
          <w:tcPr>
            <w:tcW w:w="1181" w:type="dxa"/>
            <w:tcBorders>
              <w:top w:val="nil"/>
              <w:left w:val="single" w:sz="4" w:space="0" w:color="auto"/>
              <w:bottom w:val="single" w:sz="4" w:space="0" w:color="auto"/>
              <w:right w:val="single" w:sz="4" w:space="0" w:color="auto"/>
            </w:tcBorders>
            <w:shd w:val="clear" w:color="auto" w:fill="auto"/>
          </w:tcPr>
          <w:p w:rsidR="00DB578E" w:rsidRPr="000E54C2" w:rsidRDefault="00DB578E" w:rsidP="00BC5958">
            <w:pPr>
              <w:spacing w:line="233" w:lineRule="auto"/>
              <w:jc w:val="center"/>
              <w:rPr>
                <w:color w:val="000000"/>
                <w:sz w:val="20"/>
                <w:szCs w:val="20"/>
              </w:rPr>
            </w:pPr>
            <w:r w:rsidRPr="000E54C2">
              <w:rPr>
                <w:color w:val="000000"/>
                <w:sz w:val="20"/>
                <w:szCs w:val="20"/>
              </w:rPr>
              <w:t>210</w:t>
            </w:r>
          </w:p>
        </w:tc>
        <w:tc>
          <w:tcPr>
            <w:tcW w:w="1478" w:type="dxa"/>
          </w:tcPr>
          <w:p w:rsidR="00DB578E" w:rsidRPr="00E8065F" w:rsidRDefault="00DB578E" w:rsidP="00BC5958">
            <w:pPr>
              <w:spacing w:line="233" w:lineRule="auto"/>
              <w:jc w:val="center"/>
              <w:rPr>
                <w:sz w:val="20"/>
                <w:szCs w:val="20"/>
              </w:rPr>
            </w:pPr>
          </w:p>
        </w:tc>
        <w:tc>
          <w:tcPr>
            <w:tcW w:w="1111" w:type="dxa"/>
          </w:tcPr>
          <w:p w:rsidR="00DB578E" w:rsidRPr="00E8065F" w:rsidRDefault="00DB578E" w:rsidP="00BC5958">
            <w:pPr>
              <w:spacing w:line="233" w:lineRule="auto"/>
              <w:jc w:val="center"/>
              <w:rPr>
                <w:sz w:val="20"/>
                <w:szCs w:val="20"/>
              </w:rPr>
            </w:pPr>
          </w:p>
        </w:tc>
        <w:tc>
          <w:tcPr>
            <w:tcW w:w="1944" w:type="dxa"/>
          </w:tcPr>
          <w:p w:rsidR="00DB578E" w:rsidRPr="00E8065F" w:rsidRDefault="00DB578E" w:rsidP="00BC5958">
            <w:pPr>
              <w:spacing w:line="233" w:lineRule="auto"/>
              <w:rPr>
                <w:sz w:val="20"/>
                <w:szCs w:val="20"/>
              </w:rPr>
            </w:pPr>
          </w:p>
        </w:tc>
      </w:tr>
      <w:tr w:rsidR="00BA1432" w:rsidRPr="00E8065F" w:rsidTr="000546C2">
        <w:trPr>
          <w:trHeight w:val="20"/>
        </w:trPr>
        <w:tc>
          <w:tcPr>
            <w:tcW w:w="1555" w:type="dxa"/>
            <w:vMerge w:val="restart"/>
          </w:tcPr>
          <w:p w:rsidR="000E54C2" w:rsidRPr="001164A3" w:rsidRDefault="000E54C2" w:rsidP="00783899">
            <w:pPr>
              <w:rPr>
                <w:bCs/>
                <w:color w:val="000000"/>
                <w:sz w:val="20"/>
                <w:szCs w:val="20"/>
              </w:rPr>
            </w:pPr>
            <w:r w:rsidRPr="001164A3">
              <w:rPr>
                <w:bCs/>
                <w:color w:val="000000"/>
                <w:sz w:val="20"/>
                <w:szCs w:val="20"/>
              </w:rPr>
              <w:t>Флюорограф</w:t>
            </w:r>
          </w:p>
          <w:p w:rsidR="000E54C2" w:rsidRPr="001164A3" w:rsidRDefault="000E54C2" w:rsidP="00783899">
            <w:pPr>
              <w:rPr>
                <w:sz w:val="20"/>
                <w:szCs w:val="20"/>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0E54C2" w:rsidRPr="00E8065F" w:rsidRDefault="000E54C2" w:rsidP="00783899">
            <w:pPr>
              <w:jc w:val="both"/>
              <w:rPr>
                <w:color w:val="000000"/>
                <w:sz w:val="20"/>
                <w:szCs w:val="20"/>
              </w:rPr>
            </w:pPr>
            <w:r w:rsidRPr="00E8065F">
              <w:rPr>
                <w:color w:val="000000"/>
                <w:sz w:val="20"/>
                <w:szCs w:val="20"/>
              </w:rPr>
              <w:t xml:space="preserve">ГАУЗ </w:t>
            </w:r>
            <w:r w:rsidR="002F7358">
              <w:rPr>
                <w:color w:val="000000"/>
                <w:sz w:val="20"/>
                <w:szCs w:val="20"/>
              </w:rPr>
              <w:t>«</w:t>
            </w:r>
            <w:r w:rsidRPr="00E8065F">
              <w:rPr>
                <w:color w:val="000000"/>
                <w:sz w:val="20"/>
                <w:szCs w:val="20"/>
              </w:rPr>
              <w:t>Агрызская ЦРБ</w:t>
            </w:r>
            <w:r w:rsidR="002F7358">
              <w:rPr>
                <w:color w:val="000000"/>
                <w:sz w:val="20"/>
                <w:szCs w:val="20"/>
              </w:rPr>
              <w:t>»</w:t>
            </w:r>
          </w:p>
        </w:tc>
        <w:tc>
          <w:tcPr>
            <w:tcW w:w="1994" w:type="dxa"/>
            <w:tcBorders>
              <w:top w:val="single" w:sz="4" w:space="0" w:color="auto"/>
              <w:left w:val="single" w:sz="4" w:space="0" w:color="auto"/>
              <w:bottom w:val="single" w:sz="4" w:space="0" w:color="auto"/>
              <w:right w:val="single" w:sz="4" w:space="0" w:color="auto"/>
            </w:tcBorders>
            <w:shd w:val="clear" w:color="auto" w:fill="auto"/>
          </w:tcPr>
          <w:p w:rsidR="000E54C2" w:rsidRPr="00E8065F" w:rsidRDefault="000E54C2" w:rsidP="00783899">
            <w:pPr>
              <w:jc w:val="center"/>
              <w:rPr>
                <w:color w:val="000000"/>
                <w:sz w:val="20"/>
                <w:szCs w:val="20"/>
              </w:rPr>
            </w:pPr>
            <w:r w:rsidRPr="00E8065F">
              <w:rPr>
                <w:color w:val="000000"/>
                <w:sz w:val="20"/>
                <w:szCs w:val="20"/>
              </w:rPr>
              <w:t>Флюорограф</w:t>
            </w:r>
          </w:p>
        </w:tc>
        <w:tc>
          <w:tcPr>
            <w:tcW w:w="1181" w:type="dxa"/>
            <w:shd w:val="clear" w:color="auto" w:fill="auto"/>
          </w:tcPr>
          <w:p w:rsidR="00B96806" w:rsidRPr="00E8065F" w:rsidRDefault="000E54C2" w:rsidP="00783899">
            <w:pPr>
              <w:jc w:val="center"/>
              <w:rPr>
                <w:sz w:val="20"/>
                <w:szCs w:val="20"/>
              </w:rPr>
            </w:pPr>
            <w:r w:rsidRPr="00E8065F">
              <w:rPr>
                <w:sz w:val="20"/>
                <w:szCs w:val="20"/>
              </w:rPr>
              <w:t>2012</w:t>
            </w:r>
            <w:r w:rsidR="00AA5FB3">
              <w:rPr>
                <w:sz w:val="20"/>
                <w:szCs w:val="20"/>
              </w:rPr>
              <w:t xml:space="preserve"> </w:t>
            </w:r>
            <w:r w:rsidR="00B96806">
              <w:rPr>
                <w:sz w:val="20"/>
                <w:szCs w:val="20"/>
              </w:rPr>
              <w:t>(1)</w:t>
            </w:r>
          </w:p>
          <w:p w:rsidR="000E54C2" w:rsidRPr="00E8065F" w:rsidRDefault="000E54C2" w:rsidP="00783899">
            <w:pPr>
              <w:jc w:val="center"/>
              <w:rPr>
                <w:sz w:val="20"/>
                <w:szCs w:val="20"/>
              </w:rPr>
            </w:pPr>
            <w:r w:rsidRPr="00E8065F">
              <w:rPr>
                <w:sz w:val="20"/>
                <w:szCs w:val="20"/>
              </w:rPr>
              <w:t>2022</w:t>
            </w:r>
            <w:r w:rsidR="00AA5FB3">
              <w:rPr>
                <w:sz w:val="20"/>
                <w:szCs w:val="20"/>
              </w:rPr>
              <w:t xml:space="preserve"> </w:t>
            </w:r>
            <w:r w:rsidR="00B96806">
              <w:rPr>
                <w:sz w:val="20"/>
                <w:szCs w:val="20"/>
              </w:rPr>
              <w:t>(1)</w:t>
            </w:r>
          </w:p>
        </w:tc>
        <w:tc>
          <w:tcPr>
            <w:tcW w:w="1181" w:type="dxa"/>
            <w:tcBorders>
              <w:top w:val="single" w:sz="4" w:space="0" w:color="auto"/>
              <w:left w:val="single" w:sz="4" w:space="0" w:color="auto"/>
              <w:bottom w:val="single" w:sz="4" w:space="0" w:color="auto"/>
              <w:right w:val="single" w:sz="4" w:space="0" w:color="auto"/>
            </w:tcBorders>
            <w:shd w:val="clear" w:color="auto" w:fill="auto"/>
          </w:tcPr>
          <w:p w:rsidR="000E54C2" w:rsidRPr="00E8065F" w:rsidRDefault="000E54C2" w:rsidP="00783899">
            <w:pPr>
              <w:jc w:val="center"/>
              <w:rPr>
                <w:color w:val="000000"/>
                <w:sz w:val="20"/>
                <w:szCs w:val="20"/>
              </w:rPr>
            </w:pPr>
            <w:r w:rsidRPr="00E8065F">
              <w:rPr>
                <w:color w:val="000000"/>
                <w:sz w:val="20"/>
                <w:szCs w:val="20"/>
              </w:rPr>
              <w:t>2</w:t>
            </w:r>
          </w:p>
        </w:tc>
        <w:tc>
          <w:tcPr>
            <w:tcW w:w="1478" w:type="dxa"/>
            <w:tcBorders>
              <w:top w:val="single" w:sz="4" w:space="0" w:color="auto"/>
              <w:left w:val="single" w:sz="4" w:space="0" w:color="auto"/>
              <w:bottom w:val="single" w:sz="4" w:space="0" w:color="auto"/>
              <w:right w:val="single" w:sz="4" w:space="0" w:color="auto"/>
            </w:tcBorders>
            <w:shd w:val="clear" w:color="auto" w:fill="auto"/>
          </w:tcPr>
          <w:p w:rsidR="000E54C2" w:rsidRPr="00E8065F" w:rsidRDefault="000E54C2" w:rsidP="00783899">
            <w:pPr>
              <w:jc w:val="center"/>
              <w:rPr>
                <w:color w:val="000000"/>
                <w:sz w:val="20"/>
                <w:szCs w:val="20"/>
              </w:rPr>
            </w:pPr>
            <w:r w:rsidRPr="00E8065F">
              <w:rPr>
                <w:color w:val="000000"/>
                <w:sz w:val="20"/>
                <w:szCs w:val="20"/>
              </w:rPr>
              <w:t>28,1</w:t>
            </w:r>
          </w:p>
        </w:tc>
        <w:tc>
          <w:tcPr>
            <w:tcW w:w="1111" w:type="dxa"/>
            <w:tcBorders>
              <w:top w:val="single" w:sz="4" w:space="0" w:color="auto"/>
              <w:left w:val="single" w:sz="4" w:space="0" w:color="auto"/>
              <w:bottom w:val="single" w:sz="4" w:space="0" w:color="auto"/>
              <w:right w:val="single" w:sz="4" w:space="0" w:color="auto"/>
            </w:tcBorders>
            <w:shd w:val="clear" w:color="auto" w:fill="auto"/>
          </w:tcPr>
          <w:p w:rsidR="000E54C2" w:rsidRPr="00E8065F" w:rsidRDefault="000E54C2" w:rsidP="00783899">
            <w:pPr>
              <w:jc w:val="center"/>
              <w:rPr>
                <w:color w:val="000000"/>
                <w:sz w:val="20"/>
                <w:szCs w:val="20"/>
              </w:rPr>
            </w:pPr>
            <w:r w:rsidRPr="00E8065F">
              <w:rPr>
                <w:color w:val="000000"/>
                <w:sz w:val="20"/>
                <w:szCs w:val="20"/>
              </w:rPr>
              <w:t>2</w:t>
            </w:r>
          </w:p>
        </w:tc>
        <w:tc>
          <w:tcPr>
            <w:tcW w:w="1944" w:type="dxa"/>
            <w:tcBorders>
              <w:top w:val="single" w:sz="4" w:space="0" w:color="auto"/>
              <w:left w:val="single" w:sz="4" w:space="0" w:color="auto"/>
              <w:bottom w:val="single" w:sz="4" w:space="0" w:color="auto"/>
              <w:right w:val="single" w:sz="4" w:space="0" w:color="auto"/>
            </w:tcBorders>
            <w:shd w:val="clear" w:color="auto" w:fill="auto"/>
          </w:tcPr>
          <w:p w:rsidR="000E54C2" w:rsidRPr="00E8065F" w:rsidRDefault="000E54C2" w:rsidP="00783899">
            <w:pPr>
              <w:jc w:val="center"/>
              <w:rPr>
                <w:color w:val="000000"/>
                <w:sz w:val="20"/>
                <w:szCs w:val="20"/>
              </w:rPr>
            </w:pPr>
            <w:r w:rsidRPr="00E8065F">
              <w:rPr>
                <w:color w:val="000000"/>
                <w:sz w:val="20"/>
                <w:szCs w:val="20"/>
              </w:rPr>
              <w:t>Амбулаторное</w:t>
            </w:r>
          </w:p>
        </w:tc>
      </w:tr>
      <w:tr w:rsidR="00BA1432" w:rsidRPr="00E8065F" w:rsidTr="000546C2">
        <w:trPr>
          <w:trHeight w:val="20"/>
        </w:trPr>
        <w:tc>
          <w:tcPr>
            <w:tcW w:w="1555" w:type="dxa"/>
            <w:vMerge/>
          </w:tcPr>
          <w:p w:rsidR="000E54C2" w:rsidRPr="00E8065F" w:rsidRDefault="000E54C2" w:rsidP="00783899">
            <w:pPr>
              <w:rPr>
                <w:sz w:val="20"/>
                <w:szCs w:val="20"/>
              </w:rPr>
            </w:pPr>
          </w:p>
        </w:tc>
        <w:tc>
          <w:tcPr>
            <w:tcW w:w="3685" w:type="dxa"/>
            <w:tcBorders>
              <w:top w:val="nil"/>
              <w:left w:val="single" w:sz="4" w:space="0" w:color="auto"/>
              <w:bottom w:val="single" w:sz="4" w:space="0" w:color="auto"/>
              <w:right w:val="single" w:sz="4" w:space="0" w:color="auto"/>
            </w:tcBorders>
            <w:shd w:val="clear" w:color="auto" w:fill="auto"/>
          </w:tcPr>
          <w:p w:rsidR="000E54C2" w:rsidRPr="00E8065F" w:rsidRDefault="000E54C2" w:rsidP="00783899">
            <w:pPr>
              <w:jc w:val="both"/>
              <w:rPr>
                <w:color w:val="000000"/>
                <w:sz w:val="20"/>
                <w:szCs w:val="20"/>
              </w:rPr>
            </w:pPr>
            <w:r w:rsidRPr="00E8065F">
              <w:rPr>
                <w:color w:val="000000"/>
                <w:sz w:val="20"/>
                <w:szCs w:val="20"/>
              </w:rPr>
              <w:t xml:space="preserve">ГАУЗ </w:t>
            </w:r>
            <w:r w:rsidR="002F7358">
              <w:rPr>
                <w:color w:val="000000"/>
                <w:sz w:val="20"/>
                <w:szCs w:val="20"/>
              </w:rPr>
              <w:t>«</w:t>
            </w:r>
            <w:r w:rsidRPr="00E8065F">
              <w:rPr>
                <w:color w:val="000000"/>
                <w:sz w:val="20"/>
                <w:szCs w:val="20"/>
              </w:rPr>
              <w:t>Азнакаевская ЦРБ</w:t>
            </w:r>
            <w:r w:rsidR="002F7358">
              <w:rPr>
                <w:color w:val="000000"/>
                <w:sz w:val="20"/>
                <w:szCs w:val="20"/>
              </w:rPr>
              <w:t>»</w:t>
            </w:r>
          </w:p>
        </w:tc>
        <w:tc>
          <w:tcPr>
            <w:tcW w:w="1994" w:type="dxa"/>
            <w:tcBorders>
              <w:top w:val="nil"/>
              <w:left w:val="single" w:sz="4" w:space="0" w:color="auto"/>
              <w:bottom w:val="single" w:sz="4" w:space="0" w:color="auto"/>
              <w:right w:val="single" w:sz="4" w:space="0" w:color="auto"/>
            </w:tcBorders>
            <w:shd w:val="clear" w:color="auto" w:fill="auto"/>
          </w:tcPr>
          <w:p w:rsidR="000E54C2" w:rsidRPr="00E8065F" w:rsidRDefault="000E54C2" w:rsidP="00783899">
            <w:pPr>
              <w:jc w:val="center"/>
              <w:rPr>
                <w:color w:val="000000"/>
                <w:sz w:val="20"/>
                <w:szCs w:val="20"/>
              </w:rPr>
            </w:pPr>
            <w:r w:rsidRPr="00E8065F">
              <w:rPr>
                <w:color w:val="000000"/>
                <w:sz w:val="20"/>
                <w:szCs w:val="20"/>
              </w:rPr>
              <w:t>Флюорограф</w:t>
            </w:r>
          </w:p>
        </w:tc>
        <w:tc>
          <w:tcPr>
            <w:tcW w:w="1181" w:type="dxa"/>
            <w:tcBorders>
              <w:bottom w:val="single" w:sz="4" w:space="0" w:color="auto"/>
            </w:tcBorders>
            <w:shd w:val="clear" w:color="auto" w:fill="auto"/>
          </w:tcPr>
          <w:p w:rsidR="00B96806" w:rsidRPr="00E8065F" w:rsidRDefault="000E54C2" w:rsidP="00783899">
            <w:pPr>
              <w:jc w:val="center"/>
              <w:rPr>
                <w:sz w:val="20"/>
                <w:szCs w:val="20"/>
              </w:rPr>
            </w:pPr>
            <w:r w:rsidRPr="00E8065F">
              <w:rPr>
                <w:sz w:val="20"/>
                <w:szCs w:val="20"/>
              </w:rPr>
              <w:t>2007</w:t>
            </w:r>
            <w:r w:rsidR="00AA5FB3">
              <w:rPr>
                <w:sz w:val="20"/>
                <w:szCs w:val="20"/>
              </w:rPr>
              <w:t xml:space="preserve"> </w:t>
            </w:r>
            <w:r w:rsidR="00B96806">
              <w:rPr>
                <w:sz w:val="20"/>
                <w:szCs w:val="20"/>
              </w:rPr>
              <w:t>(1)</w:t>
            </w:r>
          </w:p>
          <w:p w:rsidR="000E54C2" w:rsidRPr="00E8065F" w:rsidRDefault="000E54C2" w:rsidP="00783899">
            <w:pPr>
              <w:jc w:val="center"/>
              <w:rPr>
                <w:sz w:val="20"/>
                <w:szCs w:val="20"/>
              </w:rPr>
            </w:pPr>
            <w:r w:rsidRPr="00E8065F">
              <w:rPr>
                <w:sz w:val="20"/>
                <w:szCs w:val="20"/>
              </w:rPr>
              <w:t>2018</w:t>
            </w:r>
            <w:r w:rsidR="00AA5FB3">
              <w:rPr>
                <w:sz w:val="20"/>
                <w:szCs w:val="20"/>
              </w:rPr>
              <w:t xml:space="preserve"> </w:t>
            </w:r>
            <w:r w:rsidR="00B96806">
              <w:rPr>
                <w:sz w:val="20"/>
                <w:szCs w:val="20"/>
              </w:rPr>
              <w:t>(1)</w:t>
            </w:r>
          </w:p>
        </w:tc>
        <w:tc>
          <w:tcPr>
            <w:tcW w:w="1181" w:type="dxa"/>
            <w:tcBorders>
              <w:top w:val="nil"/>
              <w:left w:val="single" w:sz="4" w:space="0" w:color="auto"/>
              <w:bottom w:val="single" w:sz="4" w:space="0" w:color="auto"/>
              <w:right w:val="single" w:sz="4" w:space="0" w:color="auto"/>
            </w:tcBorders>
            <w:shd w:val="clear" w:color="auto" w:fill="auto"/>
          </w:tcPr>
          <w:p w:rsidR="000E54C2" w:rsidRPr="00E8065F" w:rsidRDefault="000E54C2" w:rsidP="00783899">
            <w:pPr>
              <w:jc w:val="center"/>
              <w:rPr>
                <w:color w:val="000000"/>
                <w:sz w:val="20"/>
                <w:szCs w:val="20"/>
              </w:rPr>
            </w:pPr>
            <w:r w:rsidRPr="00E8065F">
              <w:rPr>
                <w:color w:val="000000"/>
                <w:sz w:val="20"/>
                <w:szCs w:val="20"/>
              </w:rPr>
              <w:t>2</w:t>
            </w:r>
          </w:p>
        </w:tc>
        <w:tc>
          <w:tcPr>
            <w:tcW w:w="1478" w:type="dxa"/>
            <w:tcBorders>
              <w:top w:val="nil"/>
              <w:left w:val="single" w:sz="4" w:space="0" w:color="auto"/>
              <w:bottom w:val="single" w:sz="4" w:space="0" w:color="auto"/>
              <w:right w:val="single" w:sz="4" w:space="0" w:color="auto"/>
            </w:tcBorders>
            <w:shd w:val="clear" w:color="auto" w:fill="auto"/>
          </w:tcPr>
          <w:p w:rsidR="000E54C2" w:rsidRPr="00E8065F" w:rsidRDefault="000E54C2" w:rsidP="00783899">
            <w:pPr>
              <w:jc w:val="center"/>
              <w:rPr>
                <w:color w:val="000000"/>
                <w:sz w:val="20"/>
                <w:szCs w:val="20"/>
              </w:rPr>
            </w:pPr>
            <w:r w:rsidRPr="00E8065F">
              <w:rPr>
                <w:color w:val="000000"/>
                <w:sz w:val="20"/>
                <w:szCs w:val="20"/>
              </w:rPr>
              <w:t>73,1</w:t>
            </w:r>
          </w:p>
        </w:tc>
        <w:tc>
          <w:tcPr>
            <w:tcW w:w="1111" w:type="dxa"/>
            <w:tcBorders>
              <w:top w:val="nil"/>
              <w:left w:val="single" w:sz="4" w:space="0" w:color="auto"/>
              <w:bottom w:val="single" w:sz="4" w:space="0" w:color="auto"/>
              <w:right w:val="single" w:sz="4" w:space="0" w:color="auto"/>
            </w:tcBorders>
            <w:shd w:val="clear" w:color="auto" w:fill="auto"/>
          </w:tcPr>
          <w:p w:rsidR="000E54C2" w:rsidRPr="00E8065F" w:rsidRDefault="000E54C2" w:rsidP="00783899">
            <w:pPr>
              <w:jc w:val="center"/>
              <w:rPr>
                <w:color w:val="000000"/>
                <w:sz w:val="20"/>
                <w:szCs w:val="20"/>
              </w:rPr>
            </w:pPr>
            <w:r w:rsidRPr="00E8065F">
              <w:rPr>
                <w:color w:val="000000"/>
                <w:sz w:val="20"/>
                <w:szCs w:val="20"/>
              </w:rPr>
              <w:t>2</w:t>
            </w:r>
          </w:p>
        </w:tc>
        <w:tc>
          <w:tcPr>
            <w:tcW w:w="1944" w:type="dxa"/>
            <w:tcBorders>
              <w:top w:val="nil"/>
              <w:left w:val="single" w:sz="4" w:space="0" w:color="auto"/>
              <w:bottom w:val="single" w:sz="4" w:space="0" w:color="auto"/>
              <w:right w:val="single" w:sz="4" w:space="0" w:color="auto"/>
            </w:tcBorders>
            <w:shd w:val="clear" w:color="auto" w:fill="auto"/>
          </w:tcPr>
          <w:p w:rsidR="000E54C2" w:rsidRPr="00E8065F" w:rsidRDefault="000E54C2" w:rsidP="00783899">
            <w:pPr>
              <w:jc w:val="center"/>
              <w:rPr>
                <w:color w:val="000000"/>
                <w:sz w:val="20"/>
                <w:szCs w:val="20"/>
              </w:rPr>
            </w:pPr>
            <w:r w:rsidRPr="00E8065F">
              <w:rPr>
                <w:color w:val="000000"/>
                <w:sz w:val="20"/>
                <w:szCs w:val="20"/>
              </w:rPr>
              <w:t>Амбулаторное</w:t>
            </w:r>
          </w:p>
        </w:tc>
      </w:tr>
      <w:tr w:rsidR="00BA1432" w:rsidRPr="00E8065F" w:rsidTr="000546C2">
        <w:trPr>
          <w:trHeight w:val="20"/>
        </w:trPr>
        <w:tc>
          <w:tcPr>
            <w:tcW w:w="1555" w:type="dxa"/>
            <w:vMerge/>
          </w:tcPr>
          <w:p w:rsidR="000E54C2" w:rsidRPr="00E8065F" w:rsidRDefault="000E54C2" w:rsidP="00783899">
            <w:pPr>
              <w:rPr>
                <w:sz w:val="20"/>
                <w:szCs w:val="20"/>
              </w:rPr>
            </w:pPr>
          </w:p>
        </w:tc>
        <w:tc>
          <w:tcPr>
            <w:tcW w:w="3685" w:type="dxa"/>
            <w:tcBorders>
              <w:top w:val="single" w:sz="4" w:space="0" w:color="auto"/>
              <w:bottom w:val="single" w:sz="4" w:space="0" w:color="auto"/>
              <w:right w:val="single" w:sz="4" w:space="0" w:color="auto"/>
            </w:tcBorders>
            <w:shd w:val="clear" w:color="auto" w:fill="auto"/>
          </w:tcPr>
          <w:p w:rsidR="000E54C2" w:rsidRPr="00E8065F" w:rsidRDefault="000E54C2" w:rsidP="00783899">
            <w:pPr>
              <w:jc w:val="both"/>
              <w:rPr>
                <w:color w:val="000000"/>
                <w:sz w:val="20"/>
                <w:szCs w:val="20"/>
              </w:rPr>
            </w:pPr>
            <w:r w:rsidRPr="00E8065F">
              <w:rPr>
                <w:color w:val="000000"/>
                <w:sz w:val="20"/>
                <w:szCs w:val="20"/>
              </w:rPr>
              <w:t xml:space="preserve">ГАУЗ </w:t>
            </w:r>
            <w:r w:rsidR="002F7358">
              <w:rPr>
                <w:color w:val="000000"/>
                <w:sz w:val="20"/>
                <w:szCs w:val="20"/>
              </w:rPr>
              <w:t>«</w:t>
            </w:r>
            <w:r w:rsidRPr="00E8065F">
              <w:rPr>
                <w:color w:val="000000"/>
                <w:sz w:val="20"/>
                <w:szCs w:val="20"/>
              </w:rPr>
              <w:t>Аксубаевская ЦРБ</w:t>
            </w:r>
            <w:r w:rsidR="002F7358">
              <w:rPr>
                <w:color w:val="000000"/>
                <w:sz w:val="20"/>
                <w:szCs w:val="20"/>
              </w:rPr>
              <w:t>»</w:t>
            </w:r>
          </w:p>
        </w:tc>
        <w:tc>
          <w:tcPr>
            <w:tcW w:w="1994" w:type="dxa"/>
            <w:tcBorders>
              <w:top w:val="single" w:sz="4" w:space="0" w:color="auto"/>
              <w:left w:val="single" w:sz="4" w:space="0" w:color="auto"/>
              <w:bottom w:val="single" w:sz="4" w:space="0" w:color="auto"/>
              <w:right w:val="single" w:sz="4" w:space="0" w:color="auto"/>
            </w:tcBorders>
            <w:shd w:val="clear" w:color="auto" w:fill="auto"/>
          </w:tcPr>
          <w:p w:rsidR="000E54C2" w:rsidRPr="00E8065F" w:rsidRDefault="000E54C2" w:rsidP="00783899">
            <w:pPr>
              <w:jc w:val="center"/>
              <w:rPr>
                <w:color w:val="000000"/>
                <w:sz w:val="20"/>
                <w:szCs w:val="20"/>
              </w:rPr>
            </w:pPr>
            <w:r w:rsidRPr="00E8065F">
              <w:rPr>
                <w:color w:val="000000"/>
                <w:sz w:val="20"/>
                <w:szCs w:val="20"/>
              </w:rPr>
              <w:t>Флюорограф</w:t>
            </w:r>
          </w:p>
        </w:tc>
        <w:tc>
          <w:tcPr>
            <w:tcW w:w="1181" w:type="dxa"/>
            <w:tcBorders>
              <w:top w:val="single" w:sz="4" w:space="0" w:color="auto"/>
              <w:left w:val="single" w:sz="4" w:space="0" w:color="auto"/>
              <w:bottom w:val="single" w:sz="4" w:space="0" w:color="auto"/>
              <w:right w:val="single" w:sz="4" w:space="0" w:color="auto"/>
            </w:tcBorders>
            <w:shd w:val="clear" w:color="auto" w:fill="auto"/>
          </w:tcPr>
          <w:p w:rsidR="000E54C2" w:rsidRPr="00E8065F" w:rsidRDefault="000E54C2" w:rsidP="00783899">
            <w:pPr>
              <w:jc w:val="center"/>
              <w:rPr>
                <w:sz w:val="20"/>
                <w:szCs w:val="20"/>
              </w:rPr>
            </w:pPr>
            <w:r w:rsidRPr="00E8065F">
              <w:rPr>
                <w:sz w:val="20"/>
                <w:szCs w:val="20"/>
              </w:rPr>
              <w:t>2020</w:t>
            </w:r>
          </w:p>
        </w:tc>
        <w:tc>
          <w:tcPr>
            <w:tcW w:w="1181" w:type="dxa"/>
            <w:tcBorders>
              <w:top w:val="single" w:sz="4" w:space="0" w:color="auto"/>
              <w:left w:val="single" w:sz="4" w:space="0" w:color="auto"/>
              <w:bottom w:val="single" w:sz="4" w:space="0" w:color="auto"/>
              <w:right w:val="single" w:sz="4" w:space="0" w:color="auto"/>
            </w:tcBorders>
            <w:shd w:val="clear" w:color="auto" w:fill="auto"/>
          </w:tcPr>
          <w:p w:rsidR="000E54C2" w:rsidRPr="00E8065F" w:rsidRDefault="000E54C2" w:rsidP="00783899">
            <w:pPr>
              <w:jc w:val="center"/>
              <w:rPr>
                <w:color w:val="000000"/>
                <w:sz w:val="20"/>
                <w:szCs w:val="20"/>
              </w:rPr>
            </w:pPr>
            <w:r w:rsidRPr="00E8065F">
              <w:rPr>
                <w:color w:val="000000"/>
                <w:sz w:val="20"/>
                <w:szCs w:val="20"/>
              </w:rPr>
              <w:t>1</w:t>
            </w:r>
          </w:p>
        </w:tc>
        <w:tc>
          <w:tcPr>
            <w:tcW w:w="1478" w:type="dxa"/>
            <w:tcBorders>
              <w:top w:val="single" w:sz="4" w:space="0" w:color="auto"/>
              <w:left w:val="single" w:sz="4" w:space="0" w:color="auto"/>
              <w:bottom w:val="single" w:sz="4" w:space="0" w:color="auto"/>
              <w:right w:val="single" w:sz="4" w:space="0" w:color="auto"/>
            </w:tcBorders>
            <w:shd w:val="clear" w:color="auto" w:fill="auto"/>
          </w:tcPr>
          <w:p w:rsidR="000E54C2" w:rsidRPr="00E8065F" w:rsidRDefault="000E54C2" w:rsidP="00783899">
            <w:pPr>
              <w:jc w:val="center"/>
              <w:rPr>
                <w:color w:val="000000"/>
                <w:sz w:val="20"/>
                <w:szCs w:val="20"/>
              </w:rPr>
            </w:pPr>
            <w:r w:rsidRPr="00E8065F">
              <w:rPr>
                <w:color w:val="000000"/>
                <w:sz w:val="20"/>
                <w:szCs w:val="20"/>
              </w:rPr>
              <w:t>24,9</w:t>
            </w:r>
          </w:p>
        </w:tc>
        <w:tc>
          <w:tcPr>
            <w:tcW w:w="1111" w:type="dxa"/>
            <w:tcBorders>
              <w:top w:val="single" w:sz="4" w:space="0" w:color="auto"/>
              <w:left w:val="single" w:sz="4" w:space="0" w:color="auto"/>
              <w:bottom w:val="single" w:sz="4" w:space="0" w:color="auto"/>
              <w:right w:val="single" w:sz="4" w:space="0" w:color="auto"/>
            </w:tcBorders>
            <w:shd w:val="clear" w:color="auto" w:fill="auto"/>
          </w:tcPr>
          <w:p w:rsidR="000E54C2" w:rsidRPr="00E8065F" w:rsidRDefault="000E54C2" w:rsidP="00783899">
            <w:pPr>
              <w:jc w:val="center"/>
              <w:rPr>
                <w:color w:val="000000"/>
                <w:sz w:val="20"/>
                <w:szCs w:val="20"/>
              </w:rPr>
            </w:pPr>
            <w:r w:rsidRPr="00E8065F">
              <w:rPr>
                <w:color w:val="000000"/>
                <w:sz w:val="20"/>
                <w:szCs w:val="20"/>
              </w:rPr>
              <w:t>2</w:t>
            </w:r>
          </w:p>
        </w:tc>
        <w:tc>
          <w:tcPr>
            <w:tcW w:w="1944" w:type="dxa"/>
            <w:tcBorders>
              <w:top w:val="single" w:sz="4" w:space="0" w:color="auto"/>
              <w:left w:val="single" w:sz="4" w:space="0" w:color="auto"/>
              <w:bottom w:val="single" w:sz="4" w:space="0" w:color="auto"/>
              <w:right w:val="single" w:sz="4" w:space="0" w:color="auto"/>
            </w:tcBorders>
            <w:shd w:val="clear" w:color="auto" w:fill="auto"/>
          </w:tcPr>
          <w:p w:rsidR="000E54C2" w:rsidRPr="00E8065F" w:rsidRDefault="000E54C2" w:rsidP="00783899">
            <w:pPr>
              <w:jc w:val="center"/>
              <w:rPr>
                <w:color w:val="000000"/>
                <w:sz w:val="20"/>
                <w:szCs w:val="20"/>
              </w:rPr>
            </w:pPr>
            <w:r w:rsidRPr="00E8065F">
              <w:rPr>
                <w:color w:val="000000"/>
                <w:sz w:val="20"/>
                <w:szCs w:val="20"/>
              </w:rPr>
              <w:t>Амбулаторное</w:t>
            </w:r>
          </w:p>
        </w:tc>
      </w:tr>
      <w:tr w:rsidR="00BA1432" w:rsidRPr="00E8065F" w:rsidTr="000546C2">
        <w:trPr>
          <w:trHeight w:val="20"/>
        </w:trPr>
        <w:tc>
          <w:tcPr>
            <w:tcW w:w="1555" w:type="dxa"/>
            <w:vMerge/>
          </w:tcPr>
          <w:p w:rsidR="000E54C2" w:rsidRPr="00E8065F" w:rsidRDefault="000E54C2" w:rsidP="00783899">
            <w:pPr>
              <w:rPr>
                <w:sz w:val="20"/>
                <w:szCs w:val="20"/>
              </w:rPr>
            </w:pPr>
          </w:p>
        </w:tc>
        <w:tc>
          <w:tcPr>
            <w:tcW w:w="3685" w:type="dxa"/>
            <w:tcBorders>
              <w:top w:val="single" w:sz="4" w:space="0" w:color="auto"/>
              <w:left w:val="single" w:sz="4" w:space="0" w:color="auto"/>
              <w:bottom w:val="single" w:sz="4" w:space="0" w:color="auto"/>
              <w:right w:val="nil"/>
            </w:tcBorders>
            <w:shd w:val="clear" w:color="auto" w:fill="auto"/>
          </w:tcPr>
          <w:p w:rsidR="000E54C2" w:rsidRPr="00E8065F" w:rsidRDefault="000E54C2" w:rsidP="00783899">
            <w:pPr>
              <w:jc w:val="both"/>
              <w:rPr>
                <w:color w:val="000000"/>
                <w:sz w:val="20"/>
                <w:szCs w:val="20"/>
              </w:rPr>
            </w:pPr>
            <w:r w:rsidRPr="00E8065F">
              <w:rPr>
                <w:color w:val="000000"/>
                <w:sz w:val="20"/>
                <w:szCs w:val="20"/>
              </w:rPr>
              <w:t xml:space="preserve">ГАУЗ </w:t>
            </w:r>
            <w:r w:rsidR="002F7358">
              <w:rPr>
                <w:color w:val="000000"/>
                <w:sz w:val="20"/>
                <w:szCs w:val="20"/>
              </w:rPr>
              <w:t>«</w:t>
            </w:r>
            <w:r w:rsidRPr="00E8065F">
              <w:rPr>
                <w:color w:val="000000"/>
                <w:sz w:val="20"/>
                <w:szCs w:val="20"/>
              </w:rPr>
              <w:t>Актанышская ЦРБ</w:t>
            </w:r>
            <w:r w:rsidR="002F7358">
              <w:rPr>
                <w:color w:val="000000"/>
                <w:sz w:val="20"/>
                <w:szCs w:val="20"/>
              </w:rPr>
              <w:t>»</w:t>
            </w:r>
          </w:p>
        </w:tc>
        <w:tc>
          <w:tcPr>
            <w:tcW w:w="1994" w:type="dxa"/>
            <w:tcBorders>
              <w:top w:val="single" w:sz="4" w:space="0" w:color="auto"/>
              <w:left w:val="single" w:sz="4" w:space="0" w:color="auto"/>
              <w:bottom w:val="single" w:sz="4" w:space="0" w:color="auto"/>
              <w:right w:val="single" w:sz="4" w:space="0" w:color="auto"/>
            </w:tcBorders>
            <w:shd w:val="clear" w:color="auto" w:fill="auto"/>
          </w:tcPr>
          <w:p w:rsidR="000E54C2" w:rsidRPr="00E8065F" w:rsidRDefault="000E54C2" w:rsidP="00783899">
            <w:pPr>
              <w:jc w:val="center"/>
              <w:rPr>
                <w:color w:val="000000"/>
                <w:sz w:val="20"/>
                <w:szCs w:val="20"/>
              </w:rPr>
            </w:pPr>
            <w:r w:rsidRPr="00E8065F">
              <w:rPr>
                <w:color w:val="000000"/>
                <w:sz w:val="20"/>
                <w:szCs w:val="20"/>
              </w:rPr>
              <w:t>Флюорограф</w:t>
            </w:r>
          </w:p>
        </w:tc>
        <w:tc>
          <w:tcPr>
            <w:tcW w:w="1181" w:type="dxa"/>
            <w:tcBorders>
              <w:top w:val="single" w:sz="4" w:space="0" w:color="auto"/>
            </w:tcBorders>
            <w:shd w:val="clear" w:color="auto" w:fill="auto"/>
          </w:tcPr>
          <w:p w:rsidR="000E54C2" w:rsidRPr="00E8065F" w:rsidRDefault="000E54C2" w:rsidP="00783899">
            <w:pPr>
              <w:jc w:val="center"/>
              <w:rPr>
                <w:sz w:val="20"/>
                <w:szCs w:val="20"/>
              </w:rPr>
            </w:pPr>
            <w:r w:rsidRPr="00E8065F">
              <w:rPr>
                <w:sz w:val="20"/>
                <w:szCs w:val="20"/>
              </w:rPr>
              <w:t>2006</w:t>
            </w:r>
          </w:p>
        </w:tc>
        <w:tc>
          <w:tcPr>
            <w:tcW w:w="1181" w:type="dxa"/>
            <w:tcBorders>
              <w:top w:val="single" w:sz="4" w:space="0" w:color="auto"/>
              <w:left w:val="single" w:sz="4" w:space="0" w:color="auto"/>
              <w:bottom w:val="single" w:sz="4" w:space="0" w:color="auto"/>
              <w:right w:val="single" w:sz="4" w:space="0" w:color="auto"/>
            </w:tcBorders>
            <w:shd w:val="clear" w:color="auto" w:fill="auto"/>
          </w:tcPr>
          <w:p w:rsidR="000E54C2" w:rsidRPr="00E8065F" w:rsidRDefault="000E54C2" w:rsidP="00783899">
            <w:pPr>
              <w:jc w:val="center"/>
              <w:rPr>
                <w:color w:val="000000"/>
                <w:sz w:val="20"/>
                <w:szCs w:val="20"/>
              </w:rPr>
            </w:pPr>
            <w:r w:rsidRPr="00E8065F">
              <w:rPr>
                <w:color w:val="000000"/>
                <w:sz w:val="20"/>
                <w:szCs w:val="20"/>
              </w:rPr>
              <w:t>1</w:t>
            </w:r>
          </w:p>
        </w:tc>
        <w:tc>
          <w:tcPr>
            <w:tcW w:w="1478" w:type="dxa"/>
            <w:tcBorders>
              <w:top w:val="single" w:sz="4" w:space="0" w:color="auto"/>
              <w:left w:val="single" w:sz="4" w:space="0" w:color="auto"/>
              <w:bottom w:val="single" w:sz="4" w:space="0" w:color="auto"/>
              <w:right w:val="single" w:sz="4" w:space="0" w:color="auto"/>
            </w:tcBorders>
            <w:shd w:val="clear" w:color="auto" w:fill="auto"/>
          </w:tcPr>
          <w:p w:rsidR="000E54C2" w:rsidRPr="00E8065F" w:rsidRDefault="000E54C2" w:rsidP="00783899">
            <w:pPr>
              <w:jc w:val="center"/>
              <w:rPr>
                <w:color w:val="000000"/>
                <w:sz w:val="20"/>
                <w:szCs w:val="20"/>
              </w:rPr>
            </w:pPr>
            <w:r w:rsidRPr="00E8065F">
              <w:rPr>
                <w:color w:val="000000"/>
                <w:sz w:val="20"/>
                <w:szCs w:val="20"/>
              </w:rPr>
              <w:t>37,0</w:t>
            </w:r>
          </w:p>
        </w:tc>
        <w:tc>
          <w:tcPr>
            <w:tcW w:w="1111" w:type="dxa"/>
            <w:tcBorders>
              <w:top w:val="single" w:sz="4" w:space="0" w:color="auto"/>
              <w:left w:val="single" w:sz="4" w:space="0" w:color="auto"/>
              <w:bottom w:val="single" w:sz="4" w:space="0" w:color="auto"/>
              <w:right w:val="single" w:sz="4" w:space="0" w:color="auto"/>
            </w:tcBorders>
            <w:shd w:val="clear" w:color="auto" w:fill="auto"/>
          </w:tcPr>
          <w:p w:rsidR="000E54C2" w:rsidRPr="00E8065F" w:rsidRDefault="000E54C2" w:rsidP="00783899">
            <w:pPr>
              <w:jc w:val="center"/>
              <w:rPr>
                <w:color w:val="000000"/>
                <w:sz w:val="20"/>
                <w:szCs w:val="20"/>
              </w:rPr>
            </w:pPr>
            <w:r w:rsidRPr="00E8065F">
              <w:rPr>
                <w:color w:val="000000"/>
                <w:sz w:val="20"/>
                <w:szCs w:val="20"/>
              </w:rPr>
              <w:t>2</w:t>
            </w:r>
          </w:p>
        </w:tc>
        <w:tc>
          <w:tcPr>
            <w:tcW w:w="1944" w:type="dxa"/>
            <w:tcBorders>
              <w:top w:val="single" w:sz="4" w:space="0" w:color="auto"/>
              <w:left w:val="single" w:sz="4" w:space="0" w:color="auto"/>
              <w:bottom w:val="single" w:sz="4" w:space="0" w:color="auto"/>
              <w:right w:val="single" w:sz="4" w:space="0" w:color="auto"/>
            </w:tcBorders>
            <w:shd w:val="clear" w:color="auto" w:fill="auto"/>
          </w:tcPr>
          <w:p w:rsidR="000E54C2" w:rsidRPr="00E8065F" w:rsidRDefault="000E54C2" w:rsidP="00783899">
            <w:pPr>
              <w:jc w:val="center"/>
              <w:rPr>
                <w:color w:val="000000"/>
                <w:sz w:val="20"/>
                <w:szCs w:val="20"/>
              </w:rPr>
            </w:pPr>
            <w:r w:rsidRPr="00E8065F">
              <w:rPr>
                <w:color w:val="000000"/>
                <w:sz w:val="20"/>
                <w:szCs w:val="20"/>
              </w:rPr>
              <w:t>Амбулаторное</w:t>
            </w:r>
          </w:p>
        </w:tc>
      </w:tr>
      <w:tr w:rsidR="00BA1432" w:rsidRPr="00E8065F" w:rsidTr="000546C2">
        <w:trPr>
          <w:trHeight w:val="20"/>
        </w:trPr>
        <w:tc>
          <w:tcPr>
            <w:tcW w:w="1555" w:type="dxa"/>
            <w:vMerge/>
          </w:tcPr>
          <w:p w:rsidR="000E54C2" w:rsidRPr="00E8065F" w:rsidRDefault="000E54C2" w:rsidP="00783899">
            <w:pPr>
              <w:rPr>
                <w:sz w:val="20"/>
                <w:szCs w:val="20"/>
              </w:rPr>
            </w:pPr>
          </w:p>
        </w:tc>
        <w:tc>
          <w:tcPr>
            <w:tcW w:w="3685" w:type="dxa"/>
            <w:tcBorders>
              <w:top w:val="nil"/>
              <w:left w:val="single" w:sz="4" w:space="0" w:color="auto"/>
              <w:bottom w:val="single" w:sz="4" w:space="0" w:color="auto"/>
              <w:right w:val="nil"/>
            </w:tcBorders>
            <w:shd w:val="clear" w:color="auto" w:fill="auto"/>
          </w:tcPr>
          <w:p w:rsidR="000E54C2" w:rsidRPr="00E8065F" w:rsidRDefault="000E54C2" w:rsidP="00783899">
            <w:pPr>
              <w:jc w:val="both"/>
              <w:rPr>
                <w:color w:val="000000"/>
                <w:sz w:val="20"/>
                <w:szCs w:val="20"/>
              </w:rPr>
            </w:pPr>
            <w:r w:rsidRPr="00E8065F">
              <w:rPr>
                <w:color w:val="000000"/>
                <w:sz w:val="20"/>
                <w:szCs w:val="20"/>
              </w:rPr>
              <w:t xml:space="preserve">ГАУЗ </w:t>
            </w:r>
            <w:r w:rsidR="002F7358">
              <w:rPr>
                <w:color w:val="000000"/>
                <w:sz w:val="20"/>
                <w:szCs w:val="20"/>
              </w:rPr>
              <w:t>«</w:t>
            </w:r>
            <w:r w:rsidRPr="00E8065F">
              <w:rPr>
                <w:color w:val="000000"/>
                <w:sz w:val="20"/>
                <w:szCs w:val="20"/>
              </w:rPr>
              <w:t>Алексеевская ЦРБ</w:t>
            </w:r>
            <w:r w:rsidR="002F7358">
              <w:rPr>
                <w:color w:val="000000"/>
                <w:sz w:val="20"/>
                <w:szCs w:val="20"/>
              </w:rPr>
              <w:t>»</w:t>
            </w:r>
          </w:p>
        </w:tc>
        <w:tc>
          <w:tcPr>
            <w:tcW w:w="1994" w:type="dxa"/>
            <w:tcBorders>
              <w:top w:val="nil"/>
              <w:left w:val="single" w:sz="4" w:space="0" w:color="auto"/>
              <w:bottom w:val="single" w:sz="4" w:space="0" w:color="auto"/>
              <w:right w:val="single" w:sz="4" w:space="0" w:color="auto"/>
            </w:tcBorders>
            <w:shd w:val="clear" w:color="auto" w:fill="auto"/>
          </w:tcPr>
          <w:p w:rsidR="000E54C2" w:rsidRPr="00E8065F" w:rsidRDefault="000E54C2" w:rsidP="00783899">
            <w:pPr>
              <w:jc w:val="center"/>
              <w:rPr>
                <w:color w:val="000000"/>
                <w:sz w:val="20"/>
                <w:szCs w:val="20"/>
              </w:rPr>
            </w:pPr>
            <w:r w:rsidRPr="00E8065F">
              <w:rPr>
                <w:color w:val="000000"/>
                <w:sz w:val="20"/>
                <w:szCs w:val="20"/>
              </w:rPr>
              <w:t>Флюорограф</w:t>
            </w:r>
          </w:p>
        </w:tc>
        <w:tc>
          <w:tcPr>
            <w:tcW w:w="1181" w:type="dxa"/>
            <w:shd w:val="clear" w:color="auto" w:fill="auto"/>
          </w:tcPr>
          <w:p w:rsidR="000E54C2" w:rsidRPr="00E8065F" w:rsidRDefault="000E54C2" w:rsidP="00783899">
            <w:pPr>
              <w:jc w:val="center"/>
              <w:rPr>
                <w:sz w:val="20"/>
                <w:szCs w:val="20"/>
              </w:rPr>
            </w:pPr>
            <w:r w:rsidRPr="00E8065F">
              <w:rPr>
                <w:sz w:val="20"/>
                <w:szCs w:val="20"/>
              </w:rPr>
              <w:t>2022</w:t>
            </w:r>
            <w:r w:rsidR="00AA5FB3">
              <w:rPr>
                <w:sz w:val="20"/>
                <w:szCs w:val="20"/>
              </w:rPr>
              <w:t xml:space="preserve"> </w:t>
            </w:r>
            <w:r w:rsidR="00B96806">
              <w:rPr>
                <w:sz w:val="20"/>
                <w:szCs w:val="20"/>
              </w:rPr>
              <w:t>(1)</w:t>
            </w:r>
          </w:p>
          <w:p w:rsidR="000E54C2" w:rsidRPr="00E8065F" w:rsidRDefault="000E54C2" w:rsidP="00783899">
            <w:pPr>
              <w:jc w:val="center"/>
              <w:rPr>
                <w:sz w:val="20"/>
                <w:szCs w:val="20"/>
              </w:rPr>
            </w:pPr>
            <w:r w:rsidRPr="00E8065F">
              <w:rPr>
                <w:sz w:val="20"/>
                <w:szCs w:val="20"/>
              </w:rPr>
              <w:t>2024</w:t>
            </w:r>
            <w:r w:rsidR="00AA5FB3">
              <w:rPr>
                <w:sz w:val="20"/>
                <w:szCs w:val="20"/>
              </w:rPr>
              <w:t xml:space="preserve"> </w:t>
            </w:r>
            <w:r w:rsidR="00B96806">
              <w:rPr>
                <w:sz w:val="20"/>
                <w:szCs w:val="20"/>
              </w:rPr>
              <w:t>(1)</w:t>
            </w:r>
          </w:p>
        </w:tc>
        <w:tc>
          <w:tcPr>
            <w:tcW w:w="1181" w:type="dxa"/>
            <w:tcBorders>
              <w:top w:val="nil"/>
              <w:left w:val="single" w:sz="4" w:space="0" w:color="auto"/>
              <w:bottom w:val="single" w:sz="4" w:space="0" w:color="auto"/>
              <w:right w:val="single" w:sz="4" w:space="0" w:color="auto"/>
            </w:tcBorders>
            <w:shd w:val="clear" w:color="auto" w:fill="auto"/>
          </w:tcPr>
          <w:p w:rsidR="000E54C2" w:rsidRPr="00E8065F" w:rsidRDefault="000E54C2" w:rsidP="00783899">
            <w:pPr>
              <w:jc w:val="center"/>
              <w:rPr>
                <w:color w:val="000000"/>
                <w:sz w:val="20"/>
                <w:szCs w:val="20"/>
              </w:rPr>
            </w:pPr>
            <w:r w:rsidRPr="00E8065F">
              <w:rPr>
                <w:color w:val="000000"/>
                <w:sz w:val="20"/>
                <w:szCs w:val="20"/>
              </w:rPr>
              <w:t>2</w:t>
            </w:r>
          </w:p>
        </w:tc>
        <w:tc>
          <w:tcPr>
            <w:tcW w:w="1478" w:type="dxa"/>
            <w:tcBorders>
              <w:top w:val="nil"/>
              <w:left w:val="single" w:sz="4" w:space="0" w:color="auto"/>
              <w:bottom w:val="single" w:sz="4" w:space="0" w:color="auto"/>
              <w:right w:val="single" w:sz="4" w:space="0" w:color="auto"/>
            </w:tcBorders>
            <w:shd w:val="clear" w:color="auto" w:fill="auto"/>
          </w:tcPr>
          <w:p w:rsidR="000E54C2" w:rsidRPr="00E8065F" w:rsidRDefault="000E54C2" w:rsidP="00783899">
            <w:pPr>
              <w:jc w:val="center"/>
              <w:rPr>
                <w:color w:val="000000"/>
                <w:sz w:val="20"/>
                <w:szCs w:val="20"/>
              </w:rPr>
            </w:pPr>
            <w:r w:rsidRPr="00E8065F">
              <w:rPr>
                <w:color w:val="000000"/>
                <w:sz w:val="20"/>
                <w:szCs w:val="20"/>
              </w:rPr>
              <w:t>30,7</w:t>
            </w:r>
          </w:p>
        </w:tc>
        <w:tc>
          <w:tcPr>
            <w:tcW w:w="1111" w:type="dxa"/>
            <w:tcBorders>
              <w:top w:val="nil"/>
              <w:left w:val="single" w:sz="4" w:space="0" w:color="auto"/>
              <w:bottom w:val="single" w:sz="4" w:space="0" w:color="auto"/>
              <w:right w:val="single" w:sz="4" w:space="0" w:color="auto"/>
            </w:tcBorders>
            <w:shd w:val="clear" w:color="auto" w:fill="auto"/>
          </w:tcPr>
          <w:p w:rsidR="000E54C2" w:rsidRPr="00E8065F" w:rsidRDefault="000E54C2" w:rsidP="00783899">
            <w:pPr>
              <w:jc w:val="center"/>
              <w:rPr>
                <w:color w:val="000000"/>
                <w:sz w:val="20"/>
                <w:szCs w:val="20"/>
              </w:rPr>
            </w:pPr>
            <w:r w:rsidRPr="00E8065F">
              <w:rPr>
                <w:color w:val="000000"/>
                <w:sz w:val="20"/>
                <w:szCs w:val="20"/>
              </w:rPr>
              <w:t>2</w:t>
            </w:r>
          </w:p>
        </w:tc>
        <w:tc>
          <w:tcPr>
            <w:tcW w:w="1944" w:type="dxa"/>
            <w:tcBorders>
              <w:top w:val="nil"/>
              <w:left w:val="single" w:sz="4" w:space="0" w:color="auto"/>
              <w:bottom w:val="single" w:sz="4" w:space="0" w:color="auto"/>
              <w:right w:val="single" w:sz="4" w:space="0" w:color="auto"/>
            </w:tcBorders>
            <w:shd w:val="clear" w:color="auto" w:fill="auto"/>
          </w:tcPr>
          <w:p w:rsidR="000E54C2" w:rsidRPr="00E8065F" w:rsidRDefault="000E54C2" w:rsidP="00783899">
            <w:pPr>
              <w:jc w:val="center"/>
              <w:rPr>
                <w:color w:val="000000"/>
                <w:sz w:val="20"/>
                <w:szCs w:val="20"/>
              </w:rPr>
            </w:pPr>
            <w:r w:rsidRPr="00E8065F">
              <w:rPr>
                <w:color w:val="000000"/>
                <w:sz w:val="20"/>
                <w:szCs w:val="20"/>
              </w:rPr>
              <w:t>Амбулаторное</w:t>
            </w:r>
          </w:p>
        </w:tc>
      </w:tr>
      <w:tr w:rsidR="00BA1432" w:rsidRPr="00E8065F" w:rsidTr="000546C2">
        <w:trPr>
          <w:trHeight w:val="20"/>
        </w:trPr>
        <w:tc>
          <w:tcPr>
            <w:tcW w:w="1555" w:type="dxa"/>
            <w:vMerge/>
          </w:tcPr>
          <w:p w:rsidR="000E54C2" w:rsidRPr="00E8065F" w:rsidRDefault="000E54C2" w:rsidP="00783899">
            <w:pPr>
              <w:rPr>
                <w:sz w:val="20"/>
                <w:szCs w:val="20"/>
              </w:rPr>
            </w:pPr>
          </w:p>
        </w:tc>
        <w:tc>
          <w:tcPr>
            <w:tcW w:w="3685" w:type="dxa"/>
            <w:tcBorders>
              <w:top w:val="nil"/>
              <w:left w:val="single" w:sz="4" w:space="0" w:color="auto"/>
              <w:bottom w:val="single" w:sz="4" w:space="0" w:color="auto"/>
              <w:right w:val="single" w:sz="4" w:space="0" w:color="auto"/>
            </w:tcBorders>
            <w:shd w:val="clear" w:color="auto" w:fill="auto"/>
          </w:tcPr>
          <w:p w:rsidR="000E54C2" w:rsidRPr="00E8065F" w:rsidRDefault="000E54C2" w:rsidP="00783899">
            <w:pPr>
              <w:jc w:val="both"/>
              <w:rPr>
                <w:color w:val="000000"/>
                <w:sz w:val="20"/>
                <w:szCs w:val="20"/>
              </w:rPr>
            </w:pPr>
            <w:r w:rsidRPr="00E8065F">
              <w:rPr>
                <w:color w:val="000000"/>
                <w:sz w:val="20"/>
                <w:szCs w:val="20"/>
              </w:rPr>
              <w:t xml:space="preserve">ГАУЗ </w:t>
            </w:r>
            <w:r w:rsidR="002F7358">
              <w:rPr>
                <w:color w:val="000000"/>
                <w:sz w:val="20"/>
                <w:szCs w:val="20"/>
              </w:rPr>
              <w:t>«</w:t>
            </w:r>
            <w:r w:rsidRPr="00E8065F">
              <w:rPr>
                <w:color w:val="000000"/>
                <w:sz w:val="20"/>
                <w:szCs w:val="20"/>
              </w:rPr>
              <w:t>Базарно-Матакская ЦРБ</w:t>
            </w:r>
            <w:r w:rsidR="002F7358">
              <w:rPr>
                <w:color w:val="000000"/>
                <w:sz w:val="20"/>
                <w:szCs w:val="20"/>
              </w:rPr>
              <w:t>»</w:t>
            </w:r>
          </w:p>
        </w:tc>
        <w:tc>
          <w:tcPr>
            <w:tcW w:w="1994" w:type="dxa"/>
            <w:tcBorders>
              <w:top w:val="nil"/>
              <w:left w:val="single" w:sz="4" w:space="0" w:color="auto"/>
              <w:bottom w:val="single" w:sz="4" w:space="0" w:color="auto"/>
              <w:right w:val="single" w:sz="4" w:space="0" w:color="auto"/>
            </w:tcBorders>
            <w:shd w:val="clear" w:color="auto" w:fill="auto"/>
          </w:tcPr>
          <w:p w:rsidR="000E54C2" w:rsidRPr="00E8065F" w:rsidRDefault="000E54C2" w:rsidP="00783899">
            <w:pPr>
              <w:jc w:val="center"/>
              <w:rPr>
                <w:color w:val="000000"/>
                <w:sz w:val="20"/>
                <w:szCs w:val="20"/>
              </w:rPr>
            </w:pPr>
            <w:r w:rsidRPr="00E8065F">
              <w:rPr>
                <w:color w:val="000000"/>
                <w:sz w:val="20"/>
                <w:szCs w:val="20"/>
              </w:rPr>
              <w:t>Флюорограф</w:t>
            </w:r>
          </w:p>
        </w:tc>
        <w:tc>
          <w:tcPr>
            <w:tcW w:w="1181" w:type="dxa"/>
            <w:shd w:val="clear" w:color="auto" w:fill="auto"/>
          </w:tcPr>
          <w:p w:rsidR="00B96806" w:rsidRPr="00E8065F" w:rsidRDefault="000E54C2" w:rsidP="00783899">
            <w:pPr>
              <w:jc w:val="center"/>
              <w:rPr>
                <w:sz w:val="20"/>
                <w:szCs w:val="20"/>
              </w:rPr>
            </w:pPr>
            <w:r w:rsidRPr="00E8065F">
              <w:rPr>
                <w:sz w:val="20"/>
                <w:szCs w:val="20"/>
              </w:rPr>
              <w:t>2007</w:t>
            </w:r>
            <w:r w:rsidR="00AA5FB3">
              <w:rPr>
                <w:sz w:val="20"/>
                <w:szCs w:val="20"/>
              </w:rPr>
              <w:t xml:space="preserve"> </w:t>
            </w:r>
            <w:r w:rsidR="00B96806">
              <w:rPr>
                <w:sz w:val="20"/>
                <w:szCs w:val="20"/>
              </w:rPr>
              <w:t>(1)</w:t>
            </w:r>
          </w:p>
          <w:p w:rsidR="000E54C2" w:rsidRPr="00E8065F" w:rsidRDefault="000E54C2" w:rsidP="00783899">
            <w:pPr>
              <w:jc w:val="center"/>
              <w:rPr>
                <w:sz w:val="20"/>
                <w:szCs w:val="20"/>
              </w:rPr>
            </w:pPr>
            <w:r w:rsidRPr="00E8065F">
              <w:rPr>
                <w:sz w:val="20"/>
                <w:szCs w:val="20"/>
              </w:rPr>
              <w:t>2023</w:t>
            </w:r>
            <w:r w:rsidR="00AA5FB3">
              <w:rPr>
                <w:sz w:val="20"/>
                <w:szCs w:val="20"/>
              </w:rPr>
              <w:t xml:space="preserve"> </w:t>
            </w:r>
            <w:r w:rsidR="00B96806">
              <w:rPr>
                <w:sz w:val="20"/>
                <w:szCs w:val="20"/>
              </w:rPr>
              <w:t>(1)</w:t>
            </w:r>
          </w:p>
        </w:tc>
        <w:tc>
          <w:tcPr>
            <w:tcW w:w="1181" w:type="dxa"/>
            <w:tcBorders>
              <w:top w:val="nil"/>
              <w:left w:val="single" w:sz="4" w:space="0" w:color="auto"/>
              <w:bottom w:val="single" w:sz="4" w:space="0" w:color="auto"/>
              <w:right w:val="single" w:sz="4" w:space="0" w:color="auto"/>
            </w:tcBorders>
            <w:shd w:val="clear" w:color="auto" w:fill="auto"/>
          </w:tcPr>
          <w:p w:rsidR="000E54C2" w:rsidRPr="00E8065F" w:rsidRDefault="000E54C2" w:rsidP="00783899">
            <w:pPr>
              <w:jc w:val="center"/>
              <w:rPr>
                <w:color w:val="000000"/>
                <w:sz w:val="20"/>
                <w:szCs w:val="20"/>
              </w:rPr>
            </w:pPr>
            <w:r w:rsidRPr="00E8065F">
              <w:rPr>
                <w:color w:val="000000"/>
                <w:sz w:val="20"/>
                <w:szCs w:val="20"/>
              </w:rPr>
              <w:t>2</w:t>
            </w:r>
          </w:p>
        </w:tc>
        <w:tc>
          <w:tcPr>
            <w:tcW w:w="1478" w:type="dxa"/>
            <w:tcBorders>
              <w:top w:val="nil"/>
              <w:left w:val="single" w:sz="4" w:space="0" w:color="auto"/>
              <w:bottom w:val="single" w:sz="4" w:space="0" w:color="auto"/>
              <w:right w:val="single" w:sz="4" w:space="0" w:color="auto"/>
            </w:tcBorders>
            <w:shd w:val="clear" w:color="auto" w:fill="auto"/>
          </w:tcPr>
          <w:p w:rsidR="000E54C2" w:rsidRPr="00E8065F" w:rsidRDefault="000E54C2" w:rsidP="00783899">
            <w:pPr>
              <w:jc w:val="center"/>
              <w:rPr>
                <w:color w:val="000000"/>
                <w:sz w:val="20"/>
                <w:szCs w:val="20"/>
              </w:rPr>
            </w:pPr>
            <w:r w:rsidRPr="00E8065F">
              <w:rPr>
                <w:color w:val="000000"/>
                <w:sz w:val="20"/>
                <w:szCs w:val="20"/>
              </w:rPr>
              <w:t>23,8</w:t>
            </w:r>
          </w:p>
        </w:tc>
        <w:tc>
          <w:tcPr>
            <w:tcW w:w="1111" w:type="dxa"/>
            <w:tcBorders>
              <w:top w:val="nil"/>
              <w:left w:val="single" w:sz="4" w:space="0" w:color="auto"/>
              <w:bottom w:val="single" w:sz="4" w:space="0" w:color="auto"/>
              <w:right w:val="single" w:sz="4" w:space="0" w:color="auto"/>
            </w:tcBorders>
            <w:shd w:val="clear" w:color="auto" w:fill="auto"/>
          </w:tcPr>
          <w:p w:rsidR="000E54C2" w:rsidRPr="00E8065F" w:rsidRDefault="000E54C2" w:rsidP="00783899">
            <w:pPr>
              <w:jc w:val="center"/>
              <w:rPr>
                <w:color w:val="000000"/>
                <w:sz w:val="20"/>
                <w:szCs w:val="20"/>
              </w:rPr>
            </w:pPr>
            <w:r w:rsidRPr="00E8065F">
              <w:rPr>
                <w:color w:val="000000"/>
                <w:sz w:val="20"/>
                <w:szCs w:val="20"/>
              </w:rPr>
              <w:t>2</w:t>
            </w:r>
          </w:p>
        </w:tc>
        <w:tc>
          <w:tcPr>
            <w:tcW w:w="1944" w:type="dxa"/>
            <w:tcBorders>
              <w:top w:val="nil"/>
              <w:left w:val="single" w:sz="4" w:space="0" w:color="auto"/>
              <w:bottom w:val="single" w:sz="4" w:space="0" w:color="auto"/>
              <w:right w:val="single" w:sz="4" w:space="0" w:color="auto"/>
            </w:tcBorders>
            <w:shd w:val="clear" w:color="auto" w:fill="auto"/>
          </w:tcPr>
          <w:p w:rsidR="000E54C2" w:rsidRPr="00E8065F" w:rsidRDefault="000E54C2" w:rsidP="00783899">
            <w:pPr>
              <w:jc w:val="center"/>
              <w:rPr>
                <w:color w:val="000000"/>
                <w:sz w:val="20"/>
                <w:szCs w:val="20"/>
              </w:rPr>
            </w:pPr>
            <w:r w:rsidRPr="00E8065F">
              <w:rPr>
                <w:color w:val="000000"/>
                <w:sz w:val="20"/>
                <w:szCs w:val="20"/>
              </w:rPr>
              <w:t>Амбулаторное</w:t>
            </w:r>
          </w:p>
        </w:tc>
      </w:tr>
      <w:tr w:rsidR="00BA1432" w:rsidRPr="00E8065F" w:rsidTr="000546C2">
        <w:trPr>
          <w:trHeight w:val="20"/>
        </w:trPr>
        <w:tc>
          <w:tcPr>
            <w:tcW w:w="1555" w:type="dxa"/>
            <w:vMerge/>
          </w:tcPr>
          <w:p w:rsidR="000E54C2" w:rsidRPr="00E8065F" w:rsidRDefault="000E54C2" w:rsidP="00783899">
            <w:pPr>
              <w:rPr>
                <w:sz w:val="20"/>
                <w:szCs w:val="20"/>
              </w:rPr>
            </w:pPr>
          </w:p>
        </w:tc>
        <w:tc>
          <w:tcPr>
            <w:tcW w:w="3685" w:type="dxa"/>
            <w:tcBorders>
              <w:top w:val="nil"/>
              <w:left w:val="single" w:sz="4" w:space="0" w:color="auto"/>
              <w:bottom w:val="single" w:sz="4" w:space="0" w:color="auto"/>
              <w:right w:val="single" w:sz="4" w:space="0" w:color="auto"/>
            </w:tcBorders>
            <w:shd w:val="clear" w:color="auto" w:fill="auto"/>
          </w:tcPr>
          <w:p w:rsidR="000E54C2" w:rsidRPr="00E8065F" w:rsidRDefault="000E54C2" w:rsidP="00783899">
            <w:pPr>
              <w:jc w:val="both"/>
              <w:rPr>
                <w:color w:val="000000"/>
                <w:sz w:val="20"/>
                <w:szCs w:val="20"/>
              </w:rPr>
            </w:pPr>
            <w:r>
              <w:rPr>
                <w:color w:val="000000"/>
                <w:sz w:val="20"/>
                <w:szCs w:val="20"/>
              </w:rPr>
              <w:t xml:space="preserve">ГАУЗ </w:t>
            </w:r>
            <w:r w:rsidR="002F7358">
              <w:rPr>
                <w:rFonts w:eastAsia="Arial"/>
                <w:sz w:val="20"/>
                <w:szCs w:val="20"/>
              </w:rPr>
              <w:t>«</w:t>
            </w:r>
            <w:r>
              <w:rPr>
                <w:rFonts w:eastAsia="Arial"/>
                <w:sz w:val="20"/>
                <w:szCs w:val="20"/>
              </w:rPr>
              <w:t>Альметьевская межрайонная многопрофильная больница</w:t>
            </w:r>
            <w:r w:rsidR="002F7358">
              <w:rPr>
                <w:rFonts w:eastAsia="Arial"/>
                <w:sz w:val="20"/>
                <w:szCs w:val="20"/>
              </w:rPr>
              <w:t>»</w:t>
            </w:r>
          </w:p>
        </w:tc>
        <w:tc>
          <w:tcPr>
            <w:tcW w:w="1994" w:type="dxa"/>
            <w:tcBorders>
              <w:top w:val="nil"/>
              <w:left w:val="single" w:sz="4" w:space="0" w:color="auto"/>
              <w:bottom w:val="single" w:sz="4" w:space="0" w:color="auto"/>
              <w:right w:val="single" w:sz="4" w:space="0" w:color="auto"/>
            </w:tcBorders>
            <w:shd w:val="clear" w:color="auto" w:fill="auto"/>
          </w:tcPr>
          <w:p w:rsidR="000E54C2" w:rsidRPr="00E8065F" w:rsidRDefault="000E54C2" w:rsidP="00783899">
            <w:pPr>
              <w:jc w:val="center"/>
              <w:rPr>
                <w:color w:val="000000"/>
                <w:sz w:val="20"/>
                <w:szCs w:val="20"/>
              </w:rPr>
            </w:pPr>
            <w:r w:rsidRPr="00E8065F">
              <w:rPr>
                <w:color w:val="000000"/>
                <w:sz w:val="20"/>
                <w:szCs w:val="20"/>
              </w:rPr>
              <w:t>Флюорограф</w:t>
            </w:r>
          </w:p>
        </w:tc>
        <w:tc>
          <w:tcPr>
            <w:tcW w:w="1181" w:type="dxa"/>
            <w:shd w:val="clear" w:color="auto" w:fill="auto"/>
          </w:tcPr>
          <w:p w:rsidR="00B96806" w:rsidRPr="00E8065F" w:rsidRDefault="000E54C2" w:rsidP="00783899">
            <w:pPr>
              <w:jc w:val="center"/>
              <w:rPr>
                <w:sz w:val="20"/>
                <w:szCs w:val="20"/>
              </w:rPr>
            </w:pPr>
            <w:r w:rsidRPr="00E8065F">
              <w:rPr>
                <w:sz w:val="20"/>
                <w:szCs w:val="20"/>
              </w:rPr>
              <w:t>2018</w:t>
            </w:r>
            <w:r w:rsidR="00AA5FB3">
              <w:rPr>
                <w:sz w:val="20"/>
                <w:szCs w:val="20"/>
              </w:rPr>
              <w:t xml:space="preserve"> </w:t>
            </w:r>
            <w:r w:rsidR="00B96806">
              <w:rPr>
                <w:sz w:val="20"/>
                <w:szCs w:val="20"/>
              </w:rPr>
              <w:t>(1)</w:t>
            </w:r>
          </w:p>
          <w:p w:rsidR="00B96806" w:rsidRPr="00E8065F" w:rsidRDefault="000E54C2" w:rsidP="00783899">
            <w:pPr>
              <w:jc w:val="center"/>
              <w:rPr>
                <w:sz w:val="20"/>
                <w:szCs w:val="20"/>
              </w:rPr>
            </w:pPr>
            <w:r w:rsidRPr="00E8065F">
              <w:rPr>
                <w:sz w:val="20"/>
                <w:szCs w:val="20"/>
              </w:rPr>
              <w:t>2024</w:t>
            </w:r>
            <w:r w:rsidR="00AA5FB3">
              <w:rPr>
                <w:sz w:val="20"/>
                <w:szCs w:val="20"/>
              </w:rPr>
              <w:t xml:space="preserve"> </w:t>
            </w:r>
            <w:r w:rsidR="00B96806">
              <w:rPr>
                <w:sz w:val="20"/>
                <w:szCs w:val="20"/>
              </w:rPr>
              <w:t>(1)</w:t>
            </w:r>
          </w:p>
          <w:p w:rsidR="000E54C2" w:rsidRPr="00E8065F" w:rsidRDefault="00AA5FB3" w:rsidP="00783899">
            <w:pPr>
              <w:jc w:val="center"/>
              <w:rPr>
                <w:sz w:val="20"/>
                <w:szCs w:val="20"/>
              </w:rPr>
            </w:pPr>
            <w:r>
              <w:rPr>
                <w:sz w:val="20"/>
                <w:szCs w:val="20"/>
              </w:rPr>
              <w:t xml:space="preserve"> </w:t>
            </w:r>
          </w:p>
        </w:tc>
        <w:tc>
          <w:tcPr>
            <w:tcW w:w="1181" w:type="dxa"/>
            <w:tcBorders>
              <w:top w:val="nil"/>
              <w:left w:val="single" w:sz="4" w:space="0" w:color="auto"/>
              <w:bottom w:val="single" w:sz="4" w:space="0" w:color="auto"/>
              <w:right w:val="single" w:sz="4" w:space="0" w:color="auto"/>
            </w:tcBorders>
            <w:shd w:val="clear" w:color="auto" w:fill="auto"/>
          </w:tcPr>
          <w:p w:rsidR="000E54C2" w:rsidRPr="00E8065F" w:rsidRDefault="000E54C2" w:rsidP="00783899">
            <w:pPr>
              <w:jc w:val="center"/>
              <w:rPr>
                <w:color w:val="000000"/>
                <w:sz w:val="20"/>
                <w:szCs w:val="20"/>
              </w:rPr>
            </w:pPr>
            <w:r w:rsidRPr="00E8065F">
              <w:rPr>
                <w:color w:val="000000"/>
                <w:sz w:val="20"/>
                <w:szCs w:val="20"/>
              </w:rPr>
              <w:t>2</w:t>
            </w:r>
          </w:p>
        </w:tc>
        <w:tc>
          <w:tcPr>
            <w:tcW w:w="1478" w:type="dxa"/>
            <w:tcBorders>
              <w:top w:val="nil"/>
              <w:left w:val="single" w:sz="4" w:space="0" w:color="auto"/>
              <w:bottom w:val="single" w:sz="4" w:space="0" w:color="auto"/>
              <w:right w:val="single" w:sz="4" w:space="0" w:color="auto"/>
            </w:tcBorders>
            <w:shd w:val="clear" w:color="auto" w:fill="auto"/>
          </w:tcPr>
          <w:p w:rsidR="000E54C2" w:rsidRPr="00E8065F" w:rsidRDefault="000E54C2" w:rsidP="00783899">
            <w:pPr>
              <w:jc w:val="center"/>
              <w:rPr>
                <w:color w:val="000000"/>
                <w:sz w:val="20"/>
                <w:szCs w:val="20"/>
              </w:rPr>
            </w:pPr>
            <w:r w:rsidRPr="00E8065F">
              <w:rPr>
                <w:color w:val="000000"/>
                <w:sz w:val="20"/>
                <w:szCs w:val="20"/>
              </w:rPr>
              <w:t>40,3</w:t>
            </w:r>
          </w:p>
        </w:tc>
        <w:tc>
          <w:tcPr>
            <w:tcW w:w="1111" w:type="dxa"/>
            <w:tcBorders>
              <w:top w:val="nil"/>
              <w:left w:val="single" w:sz="4" w:space="0" w:color="auto"/>
              <w:bottom w:val="single" w:sz="4" w:space="0" w:color="auto"/>
              <w:right w:val="single" w:sz="4" w:space="0" w:color="auto"/>
            </w:tcBorders>
            <w:shd w:val="clear" w:color="auto" w:fill="auto"/>
          </w:tcPr>
          <w:p w:rsidR="000E54C2" w:rsidRPr="00E8065F" w:rsidRDefault="000E54C2" w:rsidP="00783899">
            <w:pPr>
              <w:jc w:val="center"/>
              <w:rPr>
                <w:color w:val="000000"/>
                <w:sz w:val="20"/>
                <w:szCs w:val="20"/>
              </w:rPr>
            </w:pPr>
            <w:r w:rsidRPr="00E8065F">
              <w:rPr>
                <w:color w:val="000000"/>
                <w:sz w:val="20"/>
                <w:szCs w:val="20"/>
              </w:rPr>
              <w:t>2</w:t>
            </w:r>
          </w:p>
        </w:tc>
        <w:tc>
          <w:tcPr>
            <w:tcW w:w="1944" w:type="dxa"/>
            <w:tcBorders>
              <w:top w:val="nil"/>
              <w:left w:val="single" w:sz="4" w:space="0" w:color="auto"/>
              <w:bottom w:val="single" w:sz="4" w:space="0" w:color="auto"/>
              <w:right w:val="single" w:sz="4" w:space="0" w:color="auto"/>
            </w:tcBorders>
            <w:shd w:val="clear" w:color="auto" w:fill="auto"/>
          </w:tcPr>
          <w:p w:rsidR="000E54C2" w:rsidRPr="00E8065F" w:rsidRDefault="000E54C2" w:rsidP="00783899">
            <w:pPr>
              <w:jc w:val="center"/>
              <w:rPr>
                <w:color w:val="000000"/>
                <w:sz w:val="20"/>
                <w:szCs w:val="20"/>
              </w:rPr>
            </w:pPr>
            <w:r w:rsidRPr="00E8065F">
              <w:rPr>
                <w:color w:val="000000"/>
                <w:sz w:val="20"/>
                <w:szCs w:val="20"/>
              </w:rPr>
              <w:t>Амбулаторное/стационарное/передвижное</w:t>
            </w:r>
          </w:p>
        </w:tc>
      </w:tr>
      <w:tr w:rsidR="00BA1432" w:rsidRPr="00E8065F" w:rsidTr="000546C2">
        <w:trPr>
          <w:trHeight w:val="20"/>
        </w:trPr>
        <w:tc>
          <w:tcPr>
            <w:tcW w:w="1555" w:type="dxa"/>
            <w:vMerge/>
          </w:tcPr>
          <w:p w:rsidR="000E54C2" w:rsidRPr="00E8065F" w:rsidRDefault="000E54C2" w:rsidP="00783899">
            <w:pPr>
              <w:rPr>
                <w:sz w:val="20"/>
                <w:szCs w:val="20"/>
              </w:rPr>
            </w:pPr>
          </w:p>
        </w:tc>
        <w:tc>
          <w:tcPr>
            <w:tcW w:w="3685" w:type="dxa"/>
            <w:tcBorders>
              <w:top w:val="nil"/>
              <w:left w:val="single" w:sz="4" w:space="0" w:color="auto"/>
              <w:bottom w:val="single" w:sz="4" w:space="0" w:color="auto"/>
              <w:right w:val="single" w:sz="4" w:space="0" w:color="auto"/>
            </w:tcBorders>
            <w:shd w:val="clear" w:color="auto" w:fill="auto"/>
          </w:tcPr>
          <w:p w:rsidR="000E54C2" w:rsidRPr="00E8065F" w:rsidRDefault="000E54C2" w:rsidP="00783899">
            <w:pPr>
              <w:jc w:val="both"/>
              <w:rPr>
                <w:color w:val="000000"/>
                <w:sz w:val="20"/>
                <w:szCs w:val="20"/>
              </w:rPr>
            </w:pPr>
            <w:r w:rsidRPr="00E8065F">
              <w:rPr>
                <w:color w:val="000000"/>
                <w:sz w:val="20"/>
                <w:szCs w:val="20"/>
              </w:rPr>
              <w:t xml:space="preserve">ГАУЗ </w:t>
            </w:r>
            <w:r w:rsidR="002F7358">
              <w:rPr>
                <w:color w:val="000000"/>
                <w:sz w:val="20"/>
                <w:szCs w:val="20"/>
              </w:rPr>
              <w:t>«</w:t>
            </w:r>
            <w:r w:rsidRPr="00E8065F">
              <w:rPr>
                <w:color w:val="000000"/>
                <w:sz w:val="20"/>
                <w:szCs w:val="20"/>
              </w:rPr>
              <w:t>Альметьевская городская поликлиника №</w:t>
            </w:r>
            <w:r w:rsidR="001164A3">
              <w:rPr>
                <w:color w:val="000000"/>
                <w:sz w:val="20"/>
                <w:szCs w:val="20"/>
              </w:rPr>
              <w:t xml:space="preserve"> </w:t>
            </w:r>
            <w:r w:rsidRPr="00E8065F">
              <w:rPr>
                <w:color w:val="000000"/>
                <w:sz w:val="20"/>
                <w:szCs w:val="20"/>
              </w:rPr>
              <w:t>3</w:t>
            </w:r>
            <w:r w:rsidR="002F7358">
              <w:rPr>
                <w:color w:val="000000"/>
                <w:sz w:val="20"/>
                <w:szCs w:val="20"/>
              </w:rPr>
              <w:t>»</w:t>
            </w:r>
          </w:p>
        </w:tc>
        <w:tc>
          <w:tcPr>
            <w:tcW w:w="1994" w:type="dxa"/>
            <w:tcBorders>
              <w:top w:val="nil"/>
              <w:left w:val="single" w:sz="4" w:space="0" w:color="auto"/>
              <w:bottom w:val="single" w:sz="4" w:space="0" w:color="auto"/>
              <w:right w:val="single" w:sz="4" w:space="0" w:color="auto"/>
            </w:tcBorders>
            <w:shd w:val="clear" w:color="auto" w:fill="auto"/>
          </w:tcPr>
          <w:p w:rsidR="000E54C2" w:rsidRPr="00E8065F" w:rsidRDefault="000E54C2" w:rsidP="00783899">
            <w:pPr>
              <w:jc w:val="center"/>
              <w:rPr>
                <w:color w:val="000000"/>
                <w:sz w:val="20"/>
                <w:szCs w:val="20"/>
              </w:rPr>
            </w:pPr>
            <w:r w:rsidRPr="00E8065F">
              <w:rPr>
                <w:color w:val="000000"/>
                <w:sz w:val="20"/>
                <w:szCs w:val="20"/>
              </w:rPr>
              <w:t>Флюорограф</w:t>
            </w:r>
          </w:p>
        </w:tc>
        <w:tc>
          <w:tcPr>
            <w:tcW w:w="1181" w:type="dxa"/>
            <w:shd w:val="clear" w:color="auto" w:fill="auto"/>
          </w:tcPr>
          <w:p w:rsidR="000E54C2" w:rsidRPr="00E8065F" w:rsidRDefault="000E54C2" w:rsidP="00783899">
            <w:pPr>
              <w:jc w:val="center"/>
              <w:rPr>
                <w:sz w:val="20"/>
                <w:szCs w:val="20"/>
              </w:rPr>
            </w:pPr>
            <w:r w:rsidRPr="00E8065F">
              <w:rPr>
                <w:sz w:val="20"/>
                <w:szCs w:val="20"/>
              </w:rPr>
              <w:t>2018</w:t>
            </w:r>
          </w:p>
        </w:tc>
        <w:tc>
          <w:tcPr>
            <w:tcW w:w="1181" w:type="dxa"/>
            <w:tcBorders>
              <w:top w:val="nil"/>
              <w:left w:val="single" w:sz="4" w:space="0" w:color="auto"/>
              <w:bottom w:val="single" w:sz="4" w:space="0" w:color="auto"/>
              <w:right w:val="single" w:sz="4" w:space="0" w:color="auto"/>
            </w:tcBorders>
            <w:shd w:val="clear" w:color="auto" w:fill="auto"/>
          </w:tcPr>
          <w:p w:rsidR="000E54C2" w:rsidRPr="00E8065F" w:rsidRDefault="000E54C2" w:rsidP="00783899">
            <w:pPr>
              <w:jc w:val="center"/>
              <w:rPr>
                <w:color w:val="000000"/>
                <w:sz w:val="20"/>
                <w:szCs w:val="20"/>
              </w:rPr>
            </w:pPr>
            <w:r w:rsidRPr="00E8065F">
              <w:rPr>
                <w:color w:val="000000"/>
                <w:sz w:val="20"/>
                <w:szCs w:val="20"/>
              </w:rPr>
              <w:t>1</w:t>
            </w:r>
          </w:p>
        </w:tc>
        <w:tc>
          <w:tcPr>
            <w:tcW w:w="1478" w:type="dxa"/>
            <w:tcBorders>
              <w:top w:val="nil"/>
              <w:left w:val="single" w:sz="4" w:space="0" w:color="auto"/>
              <w:bottom w:val="single" w:sz="4" w:space="0" w:color="auto"/>
              <w:right w:val="single" w:sz="4" w:space="0" w:color="auto"/>
            </w:tcBorders>
            <w:shd w:val="clear" w:color="auto" w:fill="auto"/>
          </w:tcPr>
          <w:p w:rsidR="000E54C2" w:rsidRPr="00E8065F" w:rsidRDefault="000E54C2" w:rsidP="00783899">
            <w:pPr>
              <w:jc w:val="center"/>
              <w:rPr>
                <w:color w:val="000000"/>
                <w:sz w:val="20"/>
                <w:szCs w:val="20"/>
              </w:rPr>
            </w:pPr>
            <w:r w:rsidRPr="00E8065F">
              <w:rPr>
                <w:color w:val="000000"/>
                <w:sz w:val="20"/>
                <w:szCs w:val="20"/>
              </w:rPr>
              <w:t>49,5</w:t>
            </w:r>
          </w:p>
        </w:tc>
        <w:tc>
          <w:tcPr>
            <w:tcW w:w="1111" w:type="dxa"/>
            <w:tcBorders>
              <w:top w:val="nil"/>
              <w:left w:val="single" w:sz="4" w:space="0" w:color="auto"/>
              <w:bottom w:val="single" w:sz="4" w:space="0" w:color="auto"/>
              <w:right w:val="single" w:sz="4" w:space="0" w:color="auto"/>
            </w:tcBorders>
            <w:shd w:val="clear" w:color="auto" w:fill="auto"/>
          </w:tcPr>
          <w:p w:rsidR="000E54C2" w:rsidRPr="00E8065F" w:rsidRDefault="000E54C2" w:rsidP="00783899">
            <w:pPr>
              <w:jc w:val="center"/>
              <w:rPr>
                <w:color w:val="000000"/>
                <w:sz w:val="20"/>
                <w:szCs w:val="20"/>
              </w:rPr>
            </w:pPr>
            <w:r w:rsidRPr="00E8065F">
              <w:rPr>
                <w:color w:val="000000"/>
                <w:sz w:val="20"/>
                <w:szCs w:val="20"/>
              </w:rPr>
              <w:t>2</w:t>
            </w:r>
          </w:p>
        </w:tc>
        <w:tc>
          <w:tcPr>
            <w:tcW w:w="1944" w:type="dxa"/>
            <w:tcBorders>
              <w:top w:val="nil"/>
              <w:left w:val="single" w:sz="4" w:space="0" w:color="auto"/>
              <w:bottom w:val="single" w:sz="4" w:space="0" w:color="auto"/>
              <w:right w:val="single" w:sz="4" w:space="0" w:color="auto"/>
            </w:tcBorders>
            <w:shd w:val="clear" w:color="auto" w:fill="auto"/>
          </w:tcPr>
          <w:p w:rsidR="000E54C2" w:rsidRPr="00E8065F" w:rsidRDefault="000E54C2" w:rsidP="00783899">
            <w:pPr>
              <w:jc w:val="center"/>
              <w:rPr>
                <w:color w:val="000000"/>
                <w:sz w:val="20"/>
                <w:szCs w:val="20"/>
              </w:rPr>
            </w:pPr>
            <w:r w:rsidRPr="00E8065F">
              <w:rPr>
                <w:color w:val="000000"/>
                <w:sz w:val="20"/>
                <w:szCs w:val="20"/>
              </w:rPr>
              <w:t>Амбулаторное</w:t>
            </w:r>
          </w:p>
        </w:tc>
      </w:tr>
      <w:tr w:rsidR="00BA1432" w:rsidRPr="00E8065F" w:rsidTr="000546C2">
        <w:trPr>
          <w:trHeight w:val="20"/>
        </w:trPr>
        <w:tc>
          <w:tcPr>
            <w:tcW w:w="1555" w:type="dxa"/>
            <w:vMerge/>
          </w:tcPr>
          <w:p w:rsidR="000E54C2" w:rsidRPr="00E8065F" w:rsidRDefault="000E54C2" w:rsidP="00783899">
            <w:pPr>
              <w:rPr>
                <w:sz w:val="20"/>
                <w:szCs w:val="20"/>
              </w:rPr>
            </w:pPr>
          </w:p>
        </w:tc>
        <w:tc>
          <w:tcPr>
            <w:tcW w:w="3685" w:type="dxa"/>
            <w:tcBorders>
              <w:top w:val="nil"/>
              <w:left w:val="single" w:sz="4" w:space="0" w:color="auto"/>
              <w:bottom w:val="single" w:sz="4" w:space="0" w:color="auto"/>
              <w:right w:val="nil"/>
            </w:tcBorders>
            <w:shd w:val="clear" w:color="auto" w:fill="auto"/>
          </w:tcPr>
          <w:p w:rsidR="000E54C2" w:rsidRPr="00E8065F" w:rsidRDefault="000E54C2" w:rsidP="00783899">
            <w:pPr>
              <w:jc w:val="both"/>
              <w:rPr>
                <w:color w:val="000000"/>
                <w:sz w:val="20"/>
                <w:szCs w:val="20"/>
              </w:rPr>
            </w:pPr>
            <w:r w:rsidRPr="00E8065F">
              <w:rPr>
                <w:color w:val="000000"/>
                <w:sz w:val="20"/>
                <w:szCs w:val="20"/>
              </w:rPr>
              <w:t xml:space="preserve">ГАУЗ </w:t>
            </w:r>
            <w:r w:rsidR="002F7358">
              <w:rPr>
                <w:color w:val="000000"/>
                <w:sz w:val="20"/>
                <w:szCs w:val="20"/>
              </w:rPr>
              <w:t>«</w:t>
            </w:r>
            <w:r w:rsidRPr="00E8065F">
              <w:rPr>
                <w:color w:val="000000"/>
                <w:sz w:val="20"/>
                <w:szCs w:val="20"/>
              </w:rPr>
              <w:t>Альметьевская ЦРБ</w:t>
            </w:r>
            <w:r w:rsidR="002F7358">
              <w:rPr>
                <w:color w:val="000000"/>
                <w:sz w:val="20"/>
                <w:szCs w:val="20"/>
              </w:rPr>
              <w:t>»</w:t>
            </w:r>
          </w:p>
        </w:tc>
        <w:tc>
          <w:tcPr>
            <w:tcW w:w="1994" w:type="dxa"/>
            <w:tcBorders>
              <w:top w:val="nil"/>
              <w:left w:val="single" w:sz="4" w:space="0" w:color="auto"/>
              <w:bottom w:val="single" w:sz="4" w:space="0" w:color="auto"/>
              <w:right w:val="single" w:sz="4" w:space="0" w:color="auto"/>
            </w:tcBorders>
            <w:shd w:val="clear" w:color="auto" w:fill="auto"/>
          </w:tcPr>
          <w:p w:rsidR="000E54C2" w:rsidRPr="00E8065F" w:rsidRDefault="000E54C2" w:rsidP="00783899">
            <w:pPr>
              <w:jc w:val="center"/>
              <w:rPr>
                <w:color w:val="000000"/>
                <w:sz w:val="20"/>
                <w:szCs w:val="20"/>
              </w:rPr>
            </w:pPr>
            <w:r w:rsidRPr="00E8065F">
              <w:rPr>
                <w:color w:val="000000"/>
                <w:sz w:val="20"/>
                <w:szCs w:val="20"/>
              </w:rPr>
              <w:t>Флюорограф</w:t>
            </w:r>
          </w:p>
        </w:tc>
        <w:tc>
          <w:tcPr>
            <w:tcW w:w="1181" w:type="dxa"/>
            <w:shd w:val="clear" w:color="auto" w:fill="auto"/>
          </w:tcPr>
          <w:p w:rsidR="00B96806" w:rsidRPr="00E8065F" w:rsidRDefault="000E54C2" w:rsidP="00783899">
            <w:pPr>
              <w:jc w:val="center"/>
              <w:rPr>
                <w:sz w:val="20"/>
                <w:szCs w:val="20"/>
              </w:rPr>
            </w:pPr>
            <w:r w:rsidRPr="00E8065F">
              <w:rPr>
                <w:sz w:val="20"/>
                <w:szCs w:val="20"/>
              </w:rPr>
              <w:t>2006</w:t>
            </w:r>
            <w:r w:rsidR="00AA5FB3">
              <w:rPr>
                <w:sz w:val="20"/>
                <w:szCs w:val="20"/>
              </w:rPr>
              <w:t xml:space="preserve"> </w:t>
            </w:r>
            <w:r w:rsidR="00B96806">
              <w:rPr>
                <w:sz w:val="20"/>
                <w:szCs w:val="20"/>
              </w:rPr>
              <w:t>(1)</w:t>
            </w:r>
          </w:p>
          <w:p w:rsidR="00B96806" w:rsidRPr="00E8065F" w:rsidRDefault="000E54C2" w:rsidP="00783899">
            <w:pPr>
              <w:jc w:val="center"/>
              <w:rPr>
                <w:sz w:val="20"/>
                <w:szCs w:val="20"/>
              </w:rPr>
            </w:pPr>
            <w:r w:rsidRPr="00E8065F">
              <w:rPr>
                <w:sz w:val="20"/>
                <w:szCs w:val="20"/>
              </w:rPr>
              <w:t>2023</w:t>
            </w:r>
            <w:r w:rsidR="00AA5FB3">
              <w:rPr>
                <w:sz w:val="20"/>
                <w:szCs w:val="20"/>
              </w:rPr>
              <w:t xml:space="preserve"> </w:t>
            </w:r>
            <w:r w:rsidR="00B96806">
              <w:rPr>
                <w:sz w:val="20"/>
                <w:szCs w:val="20"/>
              </w:rPr>
              <w:t>(1)</w:t>
            </w:r>
          </w:p>
          <w:p w:rsidR="000E54C2" w:rsidRPr="00E8065F" w:rsidRDefault="000E54C2" w:rsidP="00783899">
            <w:pPr>
              <w:jc w:val="center"/>
              <w:rPr>
                <w:sz w:val="20"/>
                <w:szCs w:val="20"/>
              </w:rPr>
            </w:pPr>
          </w:p>
        </w:tc>
        <w:tc>
          <w:tcPr>
            <w:tcW w:w="1181" w:type="dxa"/>
            <w:tcBorders>
              <w:top w:val="nil"/>
              <w:left w:val="single" w:sz="4" w:space="0" w:color="auto"/>
              <w:bottom w:val="single" w:sz="4" w:space="0" w:color="auto"/>
              <w:right w:val="single" w:sz="4" w:space="0" w:color="auto"/>
            </w:tcBorders>
            <w:shd w:val="clear" w:color="auto" w:fill="auto"/>
          </w:tcPr>
          <w:p w:rsidR="000E54C2" w:rsidRPr="00E8065F" w:rsidRDefault="000E54C2" w:rsidP="00783899">
            <w:pPr>
              <w:jc w:val="center"/>
              <w:rPr>
                <w:color w:val="000000"/>
                <w:sz w:val="20"/>
                <w:szCs w:val="20"/>
              </w:rPr>
            </w:pPr>
            <w:r w:rsidRPr="00E8065F">
              <w:rPr>
                <w:color w:val="000000"/>
                <w:sz w:val="20"/>
                <w:szCs w:val="20"/>
              </w:rPr>
              <w:t>2</w:t>
            </w:r>
          </w:p>
        </w:tc>
        <w:tc>
          <w:tcPr>
            <w:tcW w:w="1478" w:type="dxa"/>
            <w:tcBorders>
              <w:top w:val="nil"/>
              <w:left w:val="single" w:sz="4" w:space="0" w:color="auto"/>
              <w:bottom w:val="single" w:sz="4" w:space="0" w:color="auto"/>
              <w:right w:val="single" w:sz="4" w:space="0" w:color="auto"/>
            </w:tcBorders>
            <w:shd w:val="clear" w:color="auto" w:fill="auto"/>
          </w:tcPr>
          <w:p w:rsidR="000E54C2" w:rsidRPr="00E8065F" w:rsidRDefault="000E54C2" w:rsidP="00783899">
            <w:pPr>
              <w:jc w:val="center"/>
              <w:rPr>
                <w:color w:val="000000"/>
                <w:sz w:val="20"/>
                <w:szCs w:val="20"/>
              </w:rPr>
            </w:pPr>
            <w:r w:rsidRPr="00E8065F">
              <w:rPr>
                <w:color w:val="000000"/>
                <w:sz w:val="20"/>
                <w:szCs w:val="20"/>
              </w:rPr>
              <w:t>73,7</w:t>
            </w:r>
          </w:p>
        </w:tc>
        <w:tc>
          <w:tcPr>
            <w:tcW w:w="1111" w:type="dxa"/>
            <w:tcBorders>
              <w:top w:val="nil"/>
              <w:left w:val="single" w:sz="4" w:space="0" w:color="auto"/>
              <w:bottom w:val="single" w:sz="4" w:space="0" w:color="auto"/>
              <w:right w:val="single" w:sz="4" w:space="0" w:color="auto"/>
            </w:tcBorders>
            <w:shd w:val="clear" w:color="auto" w:fill="auto"/>
          </w:tcPr>
          <w:p w:rsidR="000E54C2" w:rsidRPr="00E8065F" w:rsidRDefault="000E54C2" w:rsidP="00783899">
            <w:pPr>
              <w:jc w:val="center"/>
              <w:rPr>
                <w:color w:val="000000"/>
                <w:sz w:val="20"/>
                <w:szCs w:val="20"/>
              </w:rPr>
            </w:pPr>
            <w:r w:rsidRPr="00E8065F">
              <w:rPr>
                <w:color w:val="000000"/>
                <w:sz w:val="20"/>
                <w:szCs w:val="20"/>
              </w:rPr>
              <w:t>2</w:t>
            </w:r>
          </w:p>
        </w:tc>
        <w:tc>
          <w:tcPr>
            <w:tcW w:w="1944" w:type="dxa"/>
            <w:tcBorders>
              <w:top w:val="nil"/>
              <w:left w:val="single" w:sz="4" w:space="0" w:color="auto"/>
              <w:bottom w:val="single" w:sz="4" w:space="0" w:color="auto"/>
              <w:right w:val="single" w:sz="4" w:space="0" w:color="auto"/>
            </w:tcBorders>
            <w:shd w:val="clear" w:color="auto" w:fill="auto"/>
          </w:tcPr>
          <w:p w:rsidR="000E54C2" w:rsidRPr="00E8065F" w:rsidRDefault="000E54C2" w:rsidP="00783899">
            <w:pPr>
              <w:jc w:val="center"/>
              <w:rPr>
                <w:color w:val="000000"/>
                <w:sz w:val="20"/>
                <w:szCs w:val="20"/>
              </w:rPr>
            </w:pPr>
            <w:r w:rsidRPr="00E8065F">
              <w:rPr>
                <w:color w:val="000000"/>
                <w:sz w:val="20"/>
                <w:szCs w:val="20"/>
              </w:rPr>
              <w:t>Амбулаторное/стационарное/передвижное</w:t>
            </w:r>
          </w:p>
        </w:tc>
      </w:tr>
      <w:tr w:rsidR="00BA1432" w:rsidRPr="00E8065F" w:rsidTr="000546C2">
        <w:trPr>
          <w:trHeight w:val="20"/>
        </w:trPr>
        <w:tc>
          <w:tcPr>
            <w:tcW w:w="1555" w:type="dxa"/>
            <w:vMerge/>
          </w:tcPr>
          <w:p w:rsidR="000E54C2" w:rsidRPr="00E8065F" w:rsidRDefault="000E54C2" w:rsidP="00783899">
            <w:pPr>
              <w:rPr>
                <w:sz w:val="20"/>
                <w:szCs w:val="20"/>
              </w:rPr>
            </w:pPr>
          </w:p>
        </w:tc>
        <w:tc>
          <w:tcPr>
            <w:tcW w:w="3685" w:type="dxa"/>
            <w:tcBorders>
              <w:top w:val="nil"/>
              <w:left w:val="single" w:sz="4" w:space="0" w:color="auto"/>
              <w:bottom w:val="single" w:sz="4" w:space="0" w:color="auto"/>
              <w:right w:val="single" w:sz="4" w:space="0" w:color="auto"/>
            </w:tcBorders>
            <w:shd w:val="clear" w:color="auto" w:fill="auto"/>
          </w:tcPr>
          <w:p w:rsidR="000E54C2" w:rsidRPr="00E8065F" w:rsidRDefault="000E54C2" w:rsidP="00783899">
            <w:pPr>
              <w:jc w:val="both"/>
              <w:rPr>
                <w:color w:val="000000"/>
                <w:sz w:val="20"/>
                <w:szCs w:val="20"/>
              </w:rPr>
            </w:pPr>
            <w:r w:rsidRPr="00E8065F">
              <w:rPr>
                <w:color w:val="000000"/>
                <w:sz w:val="20"/>
                <w:szCs w:val="20"/>
              </w:rPr>
              <w:t xml:space="preserve">ГАУЗ </w:t>
            </w:r>
            <w:r w:rsidR="002F7358">
              <w:rPr>
                <w:color w:val="000000"/>
                <w:sz w:val="20"/>
                <w:szCs w:val="20"/>
              </w:rPr>
              <w:t>«</w:t>
            </w:r>
            <w:r w:rsidRPr="00E8065F">
              <w:rPr>
                <w:color w:val="000000"/>
                <w:sz w:val="20"/>
                <w:szCs w:val="20"/>
              </w:rPr>
              <w:t>Апастовская ЦРБ</w:t>
            </w:r>
            <w:r w:rsidR="002F7358">
              <w:rPr>
                <w:color w:val="000000"/>
                <w:sz w:val="20"/>
                <w:szCs w:val="20"/>
              </w:rPr>
              <w:t>»</w:t>
            </w:r>
          </w:p>
        </w:tc>
        <w:tc>
          <w:tcPr>
            <w:tcW w:w="1994" w:type="dxa"/>
            <w:tcBorders>
              <w:top w:val="nil"/>
              <w:left w:val="single" w:sz="4" w:space="0" w:color="auto"/>
              <w:bottom w:val="single" w:sz="4" w:space="0" w:color="auto"/>
              <w:right w:val="single" w:sz="4" w:space="0" w:color="auto"/>
            </w:tcBorders>
            <w:shd w:val="clear" w:color="auto" w:fill="auto"/>
          </w:tcPr>
          <w:p w:rsidR="000E54C2" w:rsidRPr="00E8065F" w:rsidRDefault="000E54C2" w:rsidP="00783899">
            <w:pPr>
              <w:jc w:val="center"/>
              <w:rPr>
                <w:color w:val="000000"/>
                <w:sz w:val="20"/>
                <w:szCs w:val="20"/>
              </w:rPr>
            </w:pPr>
            <w:r w:rsidRPr="00E8065F">
              <w:rPr>
                <w:color w:val="000000"/>
                <w:sz w:val="20"/>
                <w:szCs w:val="20"/>
              </w:rPr>
              <w:t>Флюорограф</w:t>
            </w:r>
          </w:p>
        </w:tc>
        <w:tc>
          <w:tcPr>
            <w:tcW w:w="1181" w:type="dxa"/>
            <w:tcBorders>
              <w:bottom w:val="single" w:sz="4" w:space="0" w:color="auto"/>
            </w:tcBorders>
            <w:shd w:val="clear" w:color="auto" w:fill="auto"/>
          </w:tcPr>
          <w:p w:rsidR="000E54C2" w:rsidRPr="00E8065F" w:rsidRDefault="000E54C2" w:rsidP="00783899">
            <w:pPr>
              <w:jc w:val="center"/>
              <w:rPr>
                <w:sz w:val="20"/>
                <w:szCs w:val="20"/>
              </w:rPr>
            </w:pPr>
            <w:r w:rsidRPr="00E8065F">
              <w:rPr>
                <w:sz w:val="20"/>
                <w:szCs w:val="20"/>
              </w:rPr>
              <w:t>2006</w:t>
            </w:r>
          </w:p>
        </w:tc>
        <w:tc>
          <w:tcPr>
            <w:tcW w:w="1181" w:type="dxa"/>
            <w:tcBorders>
              <w:top w:val="nil"/>
              <w:left w:val="single" w:sz="4" w:space="0" w:color="auto"/>
              <w:bottom w:val="single" w:sz="4" w:space="0" w:color="auto"/>
              <w:right w:val="single" w:sz="4" w:space="0" w:color="auto"/>
            </w:tcBorders>
            <w:shd w:val="clear" w:color="auto" w:fill="auto"/>
          </w:tcPr>
          <w:p w:rsidR="000E54C2" w:rsidRPr="00E8065F" w:rsidRDefault="000E54C2" w:rsidP="00783899">
            <w:pPr>
              <w:jc w:val="center"/>
              <w:rPr>
                <w:color w:val="000000"/>
                <w:sz w:val="20"/>
                <w:szCs w:val="20"/>
              </w:rPr>
            </w:pPr>
            <w:r w:rsidRPr="00E8065F">
              <w:rPr>
                <w:color w:val="000000"/>
                <w:sz w:val="20"/>
                <w:szCs w:val="20"/>
              </w:rPr>
              <w:t>1</w:t>
            </w:r>
          </w:p>
        </w:tc>
        <w:tc>
          <w:tcPr>
            <w:tcW w:w="1478" w:type="dxa"/>
            <w:tcBorders>
              <w:top w:val="nil"/>
              <w:left w:val="single" w:sz="4" w:space="0" w:color="auto"/>
              <w:bottom w:val="single" w:sz="4" w:space="0" w:color="auto"/>
              <w:right w:val="single" w:sz="4" w:space="0" w:color="auto"/>
            </w:tcBorders>
            <w:shd w:val="clear" w:color="auto" w:fill="auto"/>
          </w:tcPr>
          <w:p w:rsidR="000E54C2" w:rsidRPr="00E8065F" w:rsidRDefault="000E54C2" w:rsidP="00783899">
            <w:pPr>
              <w:jc w:val="center"/>
              <w:rPr>
                <w:color w:val="000000"/>
                <w:sz w:val="20"/>
                <w:szCs w:val="20"/>
              </w:rPr>
            </w:pPr>
            <w:r w:rsidRPr="00E8065F">
              <w:rPr>
                <w:color w:val="000000"/>
                <w:sz w:val="20"/>
                <w:szCs w:val="20"/>
              </w:rPr>
              <w:t>17,0</w:t>
            </w:r>
          </w:p>
        </w:tc>
        <w:tc>
          <w:tcPr>
            <w:tcW w:w="1111" w:type="dxa"/>
            <w:tcBorders>
              <w:top w:val="nil"/>
              <w:left w:val="single" w:sz="4" w:space="0" w:color="auto"/>
              <w:bottom w:val="single" w:sz="4" w:space="0" w:color="auto"/>
              <w:right w:val="single" w:sz="4" w:space="0" w:color="auto"/>
            </w:tcBorders>
            <w:shd w:val="clear" w:color="auto" w:fill="auto"/>
          </w:tcPr>
          <w:p w:rsidR="000E54C2" w:rsidRPr="00E8065F" w:rsidRDefault="000E54C2" w:rsidP="00783899">
            <w:pPr>
              <w:jc w:val="center"/>
              <w:rPr>
                <w:color w:val="000000"/>
                <w:sz w:val="20"/>
                <w:szCs w:val="20"/>
              </w:rPr>
            </w:pPr>
            <w:r w:rsidRPr="00E8065F">
              <w:rPr>
                <w:color w:val="000000"/>
                <w:sz w:val="20"/>
                <w:szCs w:val="20"/>
              </w:rPr>
              <w:t>2</w:t>
            </w:r>
          </w:p>
        </w:tc>
        <w:tc>
          <w:tcPr>
            <w:tcW w:w="1944" w:type="dxa"/>
            <w:tcBorders>
              <w:top w:val="nil"/>
              <w:left w:val="single" w:sz="4" w:space="0" w:color="auto"/>
              <w:bottom w:val="single" w:sz="4" w:space="0" w:color="auto"/>
              <w:right w:val="single" w:sz="4" w:space="0" w:color="auto"/>
            </w:tcBorders>
            <w:shd w:val="clear" w:color="auto" w:fill="auto"/>
          </w:tcPr>
          <w:p w:rsidR="000E54C2" w:rsidRPr="00E8065F" w:rsidRDefault="000E54C2" w:rsidP="00783899">
            <w:pPr>
              <w:jc w:val="center"/>
              <w:rPr>
                <w:color w:val="000000"/>
                <w:sz w:val="20"/>
                <w:szCs w:val="20"/>
              </w:rPr>
            </w:pPr>
            <w:r w:rsidRPr="00E8065F">
              <w:rPr>
                <w:color w:val="000000"/>
                <w:sz w:val="20"/>
                <w:szCs w:val="20"/>
              </w:rPr>
              <w:t>Амбулаторное</w:t>
            </w:r>
          </w:p>
        </w:tc>
      </w:tr>
      <w:tr w:rsidR="00BA1432" w:rsidRPr="00E8065F" w:rsidTr="000546C2">
        <w:trPr>
          <w:trHeight w:val="20"/>
        </w:trPr>
        <w:tc>
          <w:tcPr>
            <w:tcW w:w="1555" w:type="dxa"/>
            <w:vMerge/>
          </w:tcPr>
          <w:p w:rsidR="000E54C2" w:rsidRPr="00E8065F" w:rsidRDefault="000E54C2" w:rsidP="00783899">
            <w:pPr>
              <w:rPr>
                <w:sz w:val="20"/>
                <w:szCs w:val="20"/>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0E54C2" w:rsidRPr="00E8065F" w:rsidRDefault="000E54C2" w:rsidP="00783899">
            <w:pPr>
              <w:jc w:val="both"/>
              <w:rPr>
                <w:color w:val="000000"/>
                <w:sz w:val="20"/>
                <w:szCs w:val="20"/>
              </w:rPr>
            </w:pPr>
            <w:r w:rsidRPr="00E8065F">
              <w:rPr>
                <w:color w:val="000000"/>
                <w:sz w:val="20"/>
                <w:szCs w:val="20"/>
              </w:rPr>
              <w:t xml:space="preserve">ГАУЗ </w:t>
            </w:r>
            <w:r w:rsidR="002F7358">
              <w:rPr>
                <w:color w:val="000000"/>
                <w:sz w:val="20"/>
                <w:szCs w:val="20"/>
              </w:rPr>
              <w:t>«</w:t>
            </w:r>
            <w:r w:rsidRPr="00E8065F">
              <w:rPr>
                <w:color w:val="000000"/>
                <w:sz w:val="20"/>
                <w:szCs w:val="20"/>
              </w:rPr>
              <w:t>Арская ЦРБ</w:t>
            </w:r>
            <w:r w:rsidR="002F7358">
              <w:rPr>
                <w:color w:val="000000"/>
                <w:sz w:val="20"/>
                <w:szCs w:val="20"/>
              </w:rPr>
              <w:t>»</w:t>
            </w:r>
          </w:p>
        </w:tc>
        <w:tc>
          <w:tcPr>
            <w:tcW w:w="1994" w:type="dxa"/>
            <w:tcBorders>
              <w:top w:val="single" w:sz="4" w:space="0" w:color="auto"/>
              <w:left w:val="single" w:sz="4" w:space="0" w:color="auto"/>
              <w:bottom w:val="single" w:sz="4" w:space="0" w:color="auto"/>
              <w:right w:val="single" w:sz="4" w:space="0" w:color="auto"/>
            </w:tcBorders>
            <w:shd w:val="clear" w:color="auto" w:fill="auto"/>
          </w:tcPr>
          <w:p w:rsidR="000E54C2" w:rsidRPr="00E8065F" w:rsidRDefault="000E54C2" w:rsidP="00783899">
            <w:pPr>
              <w:jc w:val="center"/>
              <w:rPr>
                <w:color w:val="000000"/>
                <w:sz w:val="20"/>
                <w:szCs w:val="20"/>
              </w:rPr>
            </w:pPr>
            <w:r w:rsidRPr="00E8065F">
              <w:rPr>
                <w:color w:val="000000"/>
                <w:sz w:val="20"/>
                <w:szCs w:val="20"/>
              </w:rPr>
              <w:t>Флюорограф</w:t>
            </w:r>
          </w:p>
        </w:tc>
        <w:tc>
          <w:tcPr>
            <w:tcW w:w="1181" w:type="dxa"/>
            <w:tcBorders>
              <w:top w:val="single" w:sz="4" w:space="0" w:color="auto"/>
              <w:bottom w:val="single" w:sz="4" w:space="0" w:color="auto"/>
            </w:tcBorders>
            <w:shd w:val="clear" w:color="auto" w:fill="auto"/>
          </w:tcPr>
          <w:p w:rsidR="000E54C2" w:rsidRPr="00E8065F" w:rsidRDefault="000E54C2" w:rsidP="00783899">
            <w:pPr>
              <w:jc w:val="center"/>
              <w:rPr>
                <w:sz w:val="20"/>
                <w:szCs w:val="20"/>
              </w:rPr>
            </w:pPr>
            <w:r w:rsidRPr="00E8065F">
              <w:rPr>
                <w:sz w:val="20"/>
                <w:szCs w:val="20"/>
              </w:rPr>
              <w:t>2006</w:t>
            </w:r>
          </w:p>
        </w:tc>
        <w:tc>
          <w:tcPr>
            <w:tcW w:w="1181" w:type="dxa"/>
            <w:tcBorders>
              <w:top w:val="single" w:sz="4" w:space="0" w:color="auto"/>
              <w:left w:val="single" w:sz="4" w:space="0" w:color="auto"/>
              <w:bottom w:val="single" w:sz="4" w:space="0" w:color="auto"/>
              <w:right w:val="single" w:sz="4" w:space="0" w:color="auto"/>
            </w:tcBorders>
            <w:shd w:val="clear" w:color="auto" w:fill="auto"/>
          </w:tcPr>
          <w:p w:rsidR="000E54C2" w:rsidRPr="00E8065F" w:rsidRDefault="000E54C2" w:rsidP="00783899">
            <w:pPr>
              <w:jc w:val="center"/>
              <w:rPr>
                <w:color w:val="000000"/>
                <w:sz w:val="20"/>
                <w:szCs w:val="20"/>
              </w:rPr>
            </w:pPr>
            <w:r w:rsidRPr="00E8065F">
              <w:rPr>
                <w:color w:val="000000"/>
                <w:sz w:val="20"/>
                <w:szCs w:val="20"/>
              </w:rPr>
              <w:t>1</w:t>
            </w:r>
          </w:p>
        </w:tc>
        <w:tc>
          <w:tcPr>
            <w:tcW w:w="1478" w:type="dxa"/>
            <w:tcBorders>
              <w:top w:val="single" w:sz="4" w:space="0" w:color="auto"/>
              <w:left w:val="single" w:sz="4" w:space="0" w:color="auto"/>
              <w:bottom w:val="single" w:sz="4" w:space="0" w:color="auto"/>
              <w:right w:val="single" w:sz="4" w:space="0" w:color="auto"/>
            </w:tcBorders>
            <w:shd w:val="clear" w:color="auto" w:fill="auto"/>
          </w:tcPr>
          <w:p w:rsidR="000E54C2" w:rsidRPr="00E8065F" w:rsidRDefault="000E54C2" w:rsidP="00783899">
            <w:pPr>
              <w:jc w:val="center"/>
              <w:rPr>
                <w:color w:val="000000"/>
                <w:sz w:val="20"/>
                <w:szCs w:val="20"/>
              </w:rPr>
            </w:pPr>
            <w:r w:rsidRPr="00E8065F">
              <w:rPr>
                <w:color w:val="000000"/>
                <w:sz w:val="20"/>
                <w:szCs w:val="20"/>
              </w:rPr>
              <w:t>37,8</w:t>
            </w:r>
          </w:p>
        </w:tc>
        <w:tc>
          <w:tcPr>
            <w:tcW w:w="1111" w:type="dxa"/>
            <w:tcBorders>
              <w:top w:val="single" w:sz="4" w:space="0" w:color="auto"/>
              <w:left w:val="single" w:sz="4" w:space="0" w:color="auto"/>
              <w:bottom w:val="single" w:sz="4" w:space="0" w:color="auto"/>
              <w:right w:val="single" w:sz="4" w:space="0" w:color="auto"/>
            </w:tcBorders>
            <w:shd w:val="clear" w:color="auto" w:fill="auto"/>
          </w:tcPr>
          <w:p w:rsidR="000E54C2" w:rsidRPr="00E8065F" w:rsidRDefault="000E54C2" w:rsidP="00783899">
            <w:pPr>
              <w:jc w:val="center"/>
              <w:rPr>
                <w:color w:val="000000"/>
                <w:sz w:val="20"/>
                <w:szCs w:val="20"/>
              </w:rPr>
            </w:pPr>
            <w:r w:rsidRPr="00E8065F">
              <w:rPr>
                <w:color w:val="000000"/>
                <w:sz w:val="20"/>
                <w:szCs w:val="20"/>
              </w:rPr>
              <w:t>2</w:t>
            </w:r>
          </w:p>
        </w:tc>
        <w:tc>
          <w:tcPr>
            <w:tcW w:w="1944" w:type="dxa"/>
            <w:tcBorders>
              <w:top w:val="single" w:sz="4" w:space="0" w:color="auto"/>
              <w:left w:val="single" w:sz="4" w:space="0" w:color="auto"/>
              <w:bottom w:val="single" w:sz="4" w:space="0" w:color="auto"/>
              <w:right w:val="single" w:sz="4" w:space="0" w:color="auto"/>
            </w:tcBorders>
            <w:shd w:val="clear" w:color="auto" w:fill="auto"/>
          </w:tcPr>
          <w:p w:rsidR="000E54C2" w:rsidRPr="00E8065F" w:rsidRDefault="000E54C2" w:rsidP="00783899">
            <w:pPr>
              <w:jc w:val="center"/>
              <w:rPr>
                <w:color w:val="000000"/>
                <w:sz w:val="20"/>
                <w:szCs w:val="20"/>
              </w:rPr>
            </w:pPr>
            <w:r w:rsidRPr="00E8065F">
              <w:rPr>
                <w:color w:val="000000"/>
                <w:sz w:val="20"/>
                <w:szCs w:val="20"/>
              </w:rPr>
              <w:t>Амбулаторное</w:t>
            </w:r>
          </w:p>
        </w:tc>
      </w:tr>
      <w:tr w:rsidR="00BA1432" w:rsidRPr="00E8065F" w:rsidTr="000546C2">
        <w:trPr>
          <w:trHeight w:val="20"/>
        </w:trPr>
        <w:tc>
          <w:tcPr>
            <w:tcW w:w="1555" w:type="dxa"/>
            <w:vMerge/>
          </w:tcPr>
          <w:p w:rsidR="000E54C2" w:rsidRPr="00E8065F" w:rsidRDefault="000E54C2" w:rsidP="00783899">
            <w:pPr>
              <w:rPr>
                <w:sz w:val="20"/>
                <w:szCs w:val="20"/>
              </w:rPr>
            </w:pPr>
          </w:p>
        </w:tc>
        <w:tc>
          <w:tcPr>
            <w:tcW w:w="3685" w:type="dxa"/>
            <w:tcBorders>
              <w:top w:val="single" w:sz="4" w:space="0" w:color="auto"/>
              <w:bottom w:val="single" w:sz="4" w:space="0" w:color="auto"/>
              <w:right w:val="single" w:sz="4" w:space="0" w:color="auto"/>
            </w:tcBorders>
            <w:shd w:val="clear" w:color="auto" w:fill="auto"/>
          </w:tcPr>
          <w:p w:rsidR="000E54C2" w:rsidRPr="00E8065F" w:rsidRDefault="000E54C2" w:rsidP="00783899">
            <w:pPr>
              <w:jc w:val="both"/>
              <w:rPr>
                <w:color w:val="000000"/>
                <w:sz w:val="20"/>
                <w:szCs w:val="20"/>
              </w:rPr>
            </w:pPr>
            <w:r w:rsidRPr="00E8065F">
              <w:rPr>
                <w:color w:val="000000"/>
                <w:sz w:val="20"/>
                <w:szCs w:val="20"/>
              </w:rPr>
              <w:t xml:space="preserve">ГАУЗ </w:t>
            </w:r>
            <w:r w:rsidR="002F7358">
              <w:rPr>
                <w:color w:val="000000"/>
                <w:sz w:val="20"/>
                <w:szCs w:val="20"/>
              </w:rPr>
              <w:t>«</w:t>
            </w:r>
            <w:r w:rsidRPr="00E8065F">
              <w:rPr>
                <w:color w:val="000000"/>
                <w:sz w:val="20"/>
                <w:szCs w:val="20"/>
              </w:rPr>
              <w:t>Атнинская ЦРБ</w:t>
            </w:r>
            <w:r w:rsidR="002F7358">
              <w:rPr>
                <w:color w:val="000000"/>
                <w:sz w:val="20"/>
                <w:szCs w:val="20"/>
              </w:rPr>
              <w:t>»</w:t>
            </w:r>
          </w:p>
        </w:tc>
        <w:tc>
          <w:tcPr>
            <w:tcW w:w="1994" w:type="dxa"/>
            <w:tcBorders>
              <w:top w:val="single" w:sz="4" w:space="0" w:color="auto"/>
              <w:left w:val="single" w:sz="4" w:space="0" w:color="auto"/>
              <w:bottom w:val="single" w:sz="4" w:space="0" w:color="auto"/>
              <w:right w:val="single" w:sz="4" w:space="0" w:color="auto"/>
            </w:tcBorders>
            <w:shd w:val="clear" w:color="auto" w:fill="auto"/>
          </w:tcPr>
          <w:p w:rsidR="000E54C2" w:rsidRPr="00E8065F" w:rsidRDefault="000E54C2" w:rsidP="00783899">
            <w:pPr>
              <w:jc w:val="center"/>
              <w:rPr>
                <w:color w:val="000000"/>
                <w:sz w:val="20"/>
                <w:szCs w:val="20"/>
              </w:rPr>
            </w:pPr>
            <w:r w:rsidRPr="00E8065F">
              <w:rPr>
                <w:color w:val="000000"/>
                <w:sz w:val="20"/>
                <w:szCs w:val="20"/>
              </w:rPr>
              <w:t>Флюорограф</w:t>
            </w:r>
          </w:p>
        </w:tc>
        <w:tc>
          <w:tcPr>
            <w:tcW w:w="1181" w:type="dxa"/>
            <w:tcBorders>
              <w:top w:val="single" w:sz="4" w:space="0" w:color="auto"/>
              <w:left w:val="single" w:sz="4" w:space="0" w:color="auto"/>
              <w:bottom w:val="single" w:sz="4" w:space="0" w:color="auto"/>
              <w:right w:val="single" w:sz="4" w:space="0" w:color="auto"/>
            </w:tcBorders>
            <w:shd w:val="clear" w:color="auto" w:fill="auto"/>
          </w:tcPr>
          <w:p w:rsidR="00B96806" w:rsidRPr="00E8065F" w:rsidRDefault="000E54C2" w:rsidP="00783899">
            <w:pPr>
              <w:jc w:val="center"/>
              <w:rPr>
                <w:sz w:val="20"/>
                <w:szCs w:val="20"/>
              </w:rPr>
            </w:pPr>
            <w:r w:rsidRPr="00E8065F">
              <w:rPr>
                <w:sz w:val="20"/>
                <w:szCs w:val="20"/>
              </w:rPr>
              <w:t>2011</w:t>
            </w:r>
            <w:r w:rsidR="00AA5FB3">
              <w:rPr>
                <w:sz w:val="20"/>
                <w:szCs w:val="20"/>
              </w:rPr>
              <w:t xml:space="preserve"> </w:t>
            </w:r>
            <w:r w:rsidR="00B96806">
              <w:rPr>
                <w:sz w:val="20"/>
                <w:szCs w:val="20"/>
              </w:rPr>
              <w:t>(1)</w:t>
            </w:r>
          </w:p>
          <w:p w:rsidR="000E54C2" w:rsidRPr="00E8065F" w:rsidRDefault="000E54C2" w:rsidP="00783899">
            <w:pPr>
              <w:jc w:val="center"/>
              <w:rPr>
                <w:sz w:val="20"/>
                <w:szCs w:val="20"/>
              </w:rPr>
            </w:pPr>
            <w:r w:rsidRPr="00E8065F">
              <w:rPr>
                <w:sz w:val="20"/>
                <w:szCs w:val="20"/>
              </w:rPr>
              <w:t>2022</w:t>
            </w:r>
            <w:r w:rsidR="00AA5FB3">
              <w:rPr>
                <w:sz w:val="20"/>
                <w:szCs w:val="20"/>
              </w:rPr>
              <w:t xml:space="preserve"> </w:t>
            </w:r>
            <w:r w:rsidR="00B96806">
              <w:rPr>
                <w:sz w:val="20"/>
                <w:szCs w:val="20"/>
              </w:rPr>
              <w:t>(1)</w:t>
            </w:r>
          </w:p>
        </w:tc>
        <w:tc>
          <w:tcPr>
            <w:tcW w:w="1181" w:type="dxa"/>
            <w:tcBorders>
              <w:top w:val="single" w:sz="4" w:space="0" w:color="auto"/>
              <w:left w:val="single" w:sz="4" w:space="0" w:color="auto"/>
              <w:bottom w:val="single" w:sz="4" w:space="0" w:color="auto"/>
              <w:right w:val="single" w:sz="4" w:space="0" w:color="auto"/>
            </w:tcBorders>
            <w:shd w:val="clear" w:color="auto" w:fill="auto"/>
          </w:tcPr>
          <w:p w:rsidR="000E54C2" w:rsidRPr="00E8065F" w:rsidRDefault="000E54C2" w:rsidP="00783899">
            <w:pPr>
              <w:jc w:val="center"/>
              <w:rPr>
                <w:color w:val="000000"/>
                <w:sz w:val="20"/>
                <w:szCs w:val="20"/>
              </w:rPr>
            </w:pPr>
            <w:r w:rsidRPr="00E8065F">
              <w:rPr>
                <w:color w:val="000000"/>
                <w:sz w:val="20"/>
                <w:szCs w:val="20"/>
              </w:rPr>
              <w:t>2</w:t>
            </w:r>
          </w:p>
        </w:tc>
        <w:tc>
          <w:tcPr>
            <w:tcW w:w="1478" w:type="dxa"/>
            <w:tcBorders>
              <w:top w:val="single" w:sz="4" w:space="0" w:color="auto"/>
              <w:left w:val="single" w:sz="4" w:space="0" w:color="auto"/>
              <w:bottom w:val="single" w:sz="4" w:space="0" w:color="auto"/>
              <w:right w:val="single" w:sz="4" w:space="0" w:color="auto"/>
            </w:tcBorders>
            <w:shd w:val="clear" w:color="auto" w:fill="auto"/>
          </w:tcPr>
          <w:p w:rsidR="000E54C2" w:rsidRPr="00E8065F" w:rsidRDefault="000E54C2" w:rsidP="00783899">
            <w:pPr>
              <w:jc w:val="center"/>
              <w:rPr>
                <w:color w:val="000000"/>
                <w:sz w:val="20"/>
                <w:szCs w:val="20"/>
              </w:rPr>
            </w:pPr>
            <w:r w:rsidRPr="00E8065F">
              <w:rPr>
                <w:color w:val="000000"/>
                <w:sz w:val="20"/>
                <w:szCs w:val="20"/>
              </w:rPr>
              <w:t>14,9</w:t>
            </w:r>
          </w:p>
        </w:tc>
        <w:tc>
          <w:tcPr>
            <w:tcW w:w="1111" w:type="dxa"/>
            <w:tcBorders>
              <w:top w:val="single" w:sz="4" w:space="0" w:color="auto"/>
              <w:left w:val="single" w:sz="4" w:space="0" w:color="auto"/>
              <w:bottom w:val="single" w:sz="4" w:space="0" w:color="auto"/>
              <w:right w:val="single" w:sz="4" w:space="0" w:color="auto"/>
            </w:tcBorders>
            <w:shd w:val="clear" w:color="auto" w:fill="auto"/>
          </w:tcPr>
          <w:p w:rsidR="000E54C2" w:rsidRPr="00E8065F" w:rsidRDefault="000E54C2" w:rsidP="00783899">
            <w:pPr>
              <w:jc w:val="center"/>
              <w:rPr>
                <w:color w:val="000000"/>
                <w:sz w:val="20"/>
                <w:szCs w:val="20"/>
              </w:rPr>
            </w:pPr>
            <w:r w:rsidRPr="00E8065F">
              <w:rPr>
                <w:color w:val="000000"/>
                <w:sz w:val="20"/>
                <w:szCs w:val="20"/>
              </w:rPr>
              <w:t>2</w:t>
            </w:r>
          </w:p>
        </w:tc>
        <w:tc>
          <w:tcPr>
            <w:tcW w:w="1944" w:type="dxa"/>
            <w:tcBorders>
              <w:top w:val="single" w:sz="4" w:space="0" w:color="auto"/>
              <w:left w:val="single" w:sz="4" w:space="0" w:color="auto"/>
              <w:bottom w:val="single" w:sz="4" w:space="0" w:color="auto"/>
              <w:right w:val="single" w:sz="4" w:space="0" w:color="auto"/>
            </w:tcBorders>
            <w:shd w:val="clear" w:color="auto" w:fill="auto"/>
          </w:tcPr>
          <w:p w:rsidR="000E54C2" w:rsidRPr="00E8065F" w:rsidRDefault="000E54C2" w:rsidP="00783899">
            <w:pPr>
              <w:jc w:val="center"/>
              <w:rPr>
                <w:color w:val="000000"/>
                <w:sz w:val="20"/>
                <w:szCs w:val="20"/>
              </w:rPr>
            </w:pPr>
            <w:r w:rsidRPr="00E8065F">
              <w:rPr>
                <w:color w:val="000000"/>
                <w:sz w:val="20"/>
                <w:szCs w:val="20"/>
              </w:rPr>
              <w:t>Амбулаторное</w:t>
            </w:r>
          </w:p>
        </w:tc>
      </w:tr>
      <w:tr w:rsidR="00BA1432" w:rsidRPr="00E8065F" w:rsidTr="000546C2">
        <w:trPr>
          <w:trHeight w:val="20"/>
        </w:trPr>
        <w:tc>
          <w:tcPr>
            <w:tcW w:w="1555" w:type="dxa"/>
            <w:vMerge/>
          </w:tcPr>
          <w:p w:rsidR="000E54C2" w:rsidRPr="00E8065F" w:rsidRDefault="000E54C2" w:rsidP="00783899">
            <w:pPr>
              <w:rPr>
                <w:sz w:val="20"/>
                <w:szCs w:val="20"/>
              </w:rPr>
            </w:pPr>
          </w:p>
        </w:tc>
        <w:tc>
          <w:tcPr>
            <w:tcW w:w="3685" w:type="dxa"/>
            <w:tcBorders>
              <w:top w:val="single" w:sz="4" w:space="0" w:color="auto"/>
              <w:left w:val="single" w:sz="4" w:space="0" w:color="auto"/>
              <w:bottom w:val="single" w:sz="4" w:space="0" w:color="auto"/>
              <w:right w:val="nil"/>
            </w:tcBorders>
            <w:shd w:val="clear" w:color="auto" w:fill="auto"/>
          </w:tcPr>
          <w:p w:rsidR="000E54C2" w:rsidRPr="00E8065F" w:rsidRDefault="000E54C2" w:rsidP="00783899">
            <w:pPr>
              <w:jc w:val="both"/>
              <w:rPr>
                <w:color w:val="000000"/>
                <w:sz w:val="20"/>
                <w:szCs w:val="20"/>
              </w:rPr>
            </w:pPr>
            <w:r w:rsidRPr="00E8065F">
              <w:rPr>
                <w:color w:val="000000"/>
                <w:sz w:val="20"/>
                <w:szCs w:val="20"/>
              </w:rPr>
              <w:t xml:space="preserve">ГАУЗ </w:t>
            </w:r>
            <w:r w:rsidR="002F7358">
              <w:rPr>
                <w:color w:val="000000"/>
                <w:sz w:val="20"/>
                <w:szCs w:val="20"/>
              </w:rPr>
              <w:t>«</w:t>
            </w:r>
            <w:r w:rsidRPr="00E8065F">
              <w:rPr>
                <w:color w:val="000000"/>
                <w:sz w:val="20"/>
                <w:szCs w:val="20"/>
              </w:rPr>
              <w:t>Бавлинская ЦРБ</w:t>
            </w:r>
            <w:r w:rsidR="002F7358">
              <w:rPr>
                <w:color w:val="000000"/>
                <w:sz w:val="20"/>
                <w:szCs w:val="20"/>
              </w:rPr>
              <w:t>»</w:t>
            </w:r>
          </w:p>
        </w:tc>
        <w:tc>
          <w:tcPr>
            <w:tcW w:w="1994" w:type="dxa"/>
            <w:tcBorders>
              <w:top w:val="single" w:sz="4" w:space="0" w:color="auto"/>
              <w:left w:val="single" w:sz="4" w:space="0" w:color="auto"/>
              <w:bottom w:val="single" w:sz="4" w:space="0" w:color="auto"/>
              <w:right w:val="single" w:sz="4" w:space="0" w:color="auto"/>
            </w:tcBorders>
            <w:shd w:val="clear" w:color="auto" w:fill="auto"/>
          </w:tcPr>
          <w:p w:rsidR="000E54C2" w:rsidRPr="00E8065F" w:rsidRDefault="000E54C2" w:rsidP="00783899">
            <w:pPr>
              <w:jc w:val="center"/>
              <w:rPr>
                <w:color w:val="000000"/>
                <w:sz w:val="20"/>
                <w:szCs w:val="20"/>
              </w:rPr>
            </w:pPr>
            <w:r w:rsidRPr="00E8065F">
              <w:rPr>
                <w:color w:val="000000"/>
                <w:sz w:val="20"/>
                <w:szCs w:val="20"/>
              </w:rPr>
              <w:t>Флюорограф</w:t>
            </w:r>
          </w:p>
        </w:tc>
        <w:tc>
          <w:tcPr>
            <w:tcW w:w="1181" w:type="dxa"/>
            <w:tcBorders>
              <w:top w:val="single" w:sz="4" w:space="0" w:color="auto"/>
            </w:tcBorders>
            <w:shd w:val="clear" w:color="auto" w:fill="auto"/>
          </w:tcPr>
          <w:p w:rsidR="000E54C2" w:rsidRPr="00E8065F" w:rsidRDefault="000E54C2" w:rsidP="00783899">
            <w:pPr>
              <w:jc w:val="center"/>
              <w:rPr>
                <w:sz w:val="20"/>
                <w:szCs w:val="20"/>
              </w:rPr>
            </w:pPr>
            <w:r w:rsidRPr="00E8065F">
              <w:rPr>
                <w:sz w:val="20"/>
                <w:szCs w:val="20"/>
              </w:rPr>
              <w:t>201</w:t>
            </w:r>
            <w:r w:rsidR="00AA5FB3">
              <w:rPr>
                <w:sz w:val="20"/>
                <w:szCs w:val="20"/>
              </w:rPr>
              <w:t xml:space="preserve"> </w:t>
            </w:r>
            <w:r w:rsidRPr="00E8065F">
              <w:rPr>
                <w:sz w:val="20"/>
                <w:szCs w:val="20"/>
              </w:rPr>
              <w:t>7</w:t>
            </w:r>
          </w:p>
        </w:tc>
        <w:tc>
          <w:tcPr>
            <w:tcW w:w="1181" w:type="dxa"/>
            <w:tcBorders>
              <w:top w:val="single" w:sz="4" w:space="0" w:color="auto"/>
              <w:left w:val="single" w:sz="4" w:space="0" w:color="auto"/>
              <w:bottom w:val="single" w:sz="4" w:space="0" w:color="auto"/>
              <w:right w:val="single" w:sz="4" w:space="0" w:color="auto"/>
            </w:tcBorders>
            <w:shd w:val="clear" w:color="auto" w:fill="auto"/>
          </w:tcPr>
          <w:p w:rsidR="000E54C2" w:rsidRPr="00E8065F" w:rsidRDefault="000E54C2" w:rsidP="00783899">
            <w:pPr>
              <w:jc w:val="center"/>
              <w:rPr>
                <w:color w:val="000000"/>
                <w:sz w:val="20"/>
                <w:szCs w:val="20"/>
              </w:rPr>
            </w:pPr>
            <w:r w:rsidRPr="00E8065F">
              <w:rPr>
                <w:color w:val="000000"/>
                <w:sz w:val="20"/>
                <w:szCs w:val="20"/>
              </w:rPr>
              <w:t>1</w:t>
            </w:r>
          </w:p>
        </w:tc>
        <w:tc>
          <w:tcPr>
            <w:tcW w:w="1478" w:type="dxa"/>
            <w:tcBorders>
              <w:top w:val="single" w:sz="4" w:space="0" w:color="auto"/>
              <w:left w:val="single" w:sz="4" w:space="0" w:color="auto"/>
              <w:bottom w:val="single" w:sz="4" w:space="0" w:color="auto"/>
              <w:right w:val="single" w:sz="4" w:space="0" w:color="auto"/>
            </w:tcBorders>
            <w:shd w:val="clear" w:color="auto" w:fill="auto"/>
          </w:tcPr>
          <w:p w:rsidR="000E54C2" w:rsidRPr="00E8065F" w:rsidRDefault="000E54C2" w:rsidP="00783899">
            <w:pPr>
              <w:jc w:val="center"/>
              <w:rPr>
                <w:color w:val="000000"/>
                <w:sz w:val="20"/>
                <w:szCs w:val="20"/>
              </w:rPr>
            </w:pPr>
            <w:r w:rsidRPr="00E8065F">
              <w:rPr>
                <w:color w:val="000000"/>
                <w:sz w:val="20"/>
                <w:szCs w:val="20"/>
              </w:rPr>
              <w:t>42,8</w:t>
            </w:r>
          </w:p>
        </w:tc>
        <w:tc>
          <w:tcPr>
            <w:tcW w:w="1111" w:type="dxa"/>
            <w:tcBorders>
              <w:top w:val="single" w:sz="4" w:space="0" w:color="auto"/>
              <w:left w:val="single" w:sz="4" w:space="0" w:color="auto"/>
              <w:bottom w:val="single" w:sz="4" w:space="0" w:color="auto"/>
              <w:right w:val="single" w:sz="4" w:space="0" w:color="auto"/>
            </w:tcBorders>
            <w:shd w:val="clear" w:color="auto" w:fill="auto"/>
          </w:tcPr>
          <w:p w:rsidR="000E54C2" w:rsidRPr="00E8065F" w:rsidRDefault="000E54C2" w:rsidP="00783899">
            <w:pPr>
              <w:jc w:val="center"/>
              <w:rPr>
                <w:color w:val="000000"/>
                <w:sz w:val="20"/>
                <w:szCs w:val="20"/>
              </w:rPr>
            </w:pPr>
            <w:r w:rsidRPr="00E8065F">
              <w:rPr>
                <w:color w:val="000000"/>
                <w:sz w:val="20"/>
                <w:szCs w:val="20"/>
              </w:rPr>
              <w:t>2</w:t>
            </w:r>
          </w:p>
        </w:tc>
        <w:tc>
          <w:tcPr>
            <w:tcW w:w="1944" w:type="dxa"/>
            <w:tcBorders>
              <w:top w:val="single" w:sz="4" w:space="0" w:color="auto"/>
              <w:left w:val="single" w:sz="4" w:space="0" w:color="auto"/>
              <w:bottom w:val="single" w:sz="4" w:space="0" w:color="auto"/>
              <w:right w:val="single" w:sz="4" w:space="0" w:color="auto"/>
            </w:tcBorders>
            <w:shd w:val="clear" w:color="auto" w:fill="auto"/>
          </w:tcPr>
          <w:p w:rsidR="000E54C2" w:rsidRPr="00E8065F" w:rsidRDefault="000E54C2" w:rsidP="00783899">
            <w:pPr>
              <w:jc w:val="center"/>
              <w:rPr>
                <w:color w:val="000000"/>
                <w:sz w:val="20"/>
                <w:szCs w:val="20"/>
              </w:rPr>
            </w:pPr>
            <w:r w:rsidRPr="00E8065F">
              <w:rPr>
                <w:color w:val="000000"/>
                <w:sz w:val="20"/>
                <w:szCs w:val="20"/>
              </w:rPr>
              <w:t>Амбулаторное</w:t>
            </w:r>
          </w:p>
        </w:tc>
      </w:tr>
      <w:tr w:rsidR="00BA1432" w:rsidRPr="00E8065F" w:rsidTr="000546C2">
        <w:trPr>
          <w:trHeight w:val="20"/>
        </w:trPr>
        <w:tc>
          <w:tcPr>
            <w:tcW w:w="1555" w:type="dxa"/>
            <w:vMerge/>
          </w:tcPr>
          <w:p w:rsidR="000E54C2" w:rsidRPr="00E8065F" w:rsidRDefault="000E54C2" w:rsidP="00783899">
            <w:pPr>
              <w:rPr>
                <w:sz w:val="20"/>
                <w:szCs w:val="20"/>
              </w:rPr>
            </w:pPr>
          </w:p>
        </w:tc>
        <w:tc>
          <w:tcPr>
            <w:tcW w:w="3685" w:type="dxa"/>
            <w:tcBorders>
              <w:top w:val="nil"/>
              <w:left w:val="single" w:sz="4" w:space="0" w:color="auto"/>
              <w:bottom w:val="single" w:sz="4" w:space="0" w:color="auto"/>
              <w:right w:val="nil"/>
            </w:tcBorders>
            <w:shd w:val="clear" w:color="auto" w:fill="auto"/>
          </w:tcPr>
          <w:p w:rsidR="000E54C2" w:rsidRPr="00E8065F" w:rsidRDefault="000E54C2" w:rsidP="00783899">
            <w:pPr>
              <w:jc w:val="both"/>
              <w:rPr>
                <w:color w:val="000000"/>
                <w:sz w:val="20"/>
                <w:szCs w:val="20"/>
              </w:rPr>
            </w:pPr>
            <w:r w:rsidRPr="00E8065F">
              <w:rPr>
                <w:color w:val="000000"/>
                <w:sz w:val="20"/>
                <w:szCs w:val="20"/>
              </w:rPr>
              <w:t xml:space="preserve">ГАУЗ </w:t>
            </w:r>
            <w:r w:rsidR="002F7358">
              <w:rPr>
                <w:color w:val="000000"/>
                <w:sz w:val="20"/>
                <w:szCs w:val="20"/>
              </w:rPr>
              <w:t>«</w:t>
            </w:r>
            <w:r w:rsidRPr="00E8065F">
              <w:rPr>
                <w:color w:val="000000"/>
                <w:sz w:val="20"/>
                <w:szCs w:val="20"/>
              </w:rPr>
              <w:t>Балтасинская ЦРБ</w:t>
            </w:r>
            <w:r w:rsidR="002F7358">
              <w:rPr>
                <w:color w:val="000000"/>
                <w:sz w:val="20"/>
                <w:szCs w:val="20"/>
              </w:rPr>
              <w:t>»</w:t>
            </w:r>
          </w:p>
        </w:tc>
        <w:tc>
          <w:tcPr>
            <w:tcW w:w="1994" w:type="dxa"/>
            <w:tcBorders>
              <w:top w:val="nil"/>
              <w:left w:val="single" w:sz="4" w:space="0" w:color="auto"/>
              <w:bottom w:val="single" w:sz="4" w:space="0" w:color="auto"/>
              <w:right w:val="single" w:sz="4" w:space="0" w:color="auto"/>
            </w:tcBorders>
            <w:shd w:val="clear" w:color="auto" w:fill="auto"/>
          </w:tcPr>
          <w:p w:rsidR="000E54C2" w:rsidRPr="00E8065F" w:rsidRDefault="000E54C2" w:rsidP="00783899">
            <w:pPr>
              <w:jc w:val="center"/>
              <w:rPr>
                <w:color w:val="000000"/>
                <w:sz w:val="20"/>
                <w:szCs w:val="20"/>
              </w:rPr>
            </w:pPr>
            <w:r w:rsidRPr="00E8065F">
              <w:rPr>
                <w:color w:val="000000"/>
                <w:sz w:val="20"/>
                <w:szCs w:val="20"/>
              </w:rPr>
              <w:t>Флюорограф</w:t>
            </w:r>
          </w:p>
        </w:tc>
        <w:tc>
          <w:tcPr>
            <w:tcW w:w="1181" w:type="dxa"/>
            <w:shd w:val="clear" w:color="auto" w:fill="auto"/>
          </w:tcPr>
          <w:p w:rsidR="000E54C2" w:rsidRPr="00E8065F" w:rsidRDefault="000E54C2" w:rsidP="00783899">
            <w:pPr>
              <w:jc w:val="center"/>
              <w:rPr>
                <w:sz w:val="20"/>
                <w:szCs w:val="20"/>
              </w:rPr>
            </w:pPr>
            <w:r w:rsidRPr="00E8065F">
              <w:rPr>
                <w:sz w:val="20"/>
                <w:szCs w:val="20"/>
              </w:rPr>
              <w:t>2021</w:t>
            </w:r>
          </w:p>
        </w:tc>
        <w:tc>
          <w:tcPr>
            <w:tcW w:w="1181" w:type="dxa"/>
            <w:tcBorders>
              <w:top w:val="nil"/>
              <w:left w:val="single" w:sz="4" w:space="0" w:color="auto"/>
              <w:bottom w:val="single" w:sz="4" w:space="0" w:color="auto"/>
              <w:right w:val="single" w:sz="4" w:space="0" w:color="auto"/>
            </w:tcBorders>
            <w:shd w:val="clear" w:color="auto" w:fill="auto"/>
          </w:tcPr>
          <w:p w:rsidR="000E54C2" w:rsidRPr="00E8065F" w:rsidRDefault="000E54C2" w:rsidP="00783899">
            <w:pPr>
              <w:jc w:val="center"/>
              <w:rPr>
                <w:color w:val="000000"/>
                <w:sz w:val="20"/>
                <w:szCs w:val="20"/>
              </w:rPr>
            </w:pPr>
            <w:r w:rsidRPr="00E8065F">
              <w:rPr>
                <w:color w:val="000000"/>
                <w:sz w:val="20"/>
                <w:szCs w:val="20"/>
              </w:rPr>
              <w:t>1</w:t>
            </w:r>
          </w:p>
        </w:tc>
        <w:tc>
          <w:tcPr>
            <w:tcW w:w="1478" w:type="dxa"/>
            <w:tcBorders>
              <w:top w:val="nil"/>
              <w:left w:val="single" w:sz="4" w:space="0" w:color="auto"/>
              <w:bottom w:val="single" w:sz="4" w:space="0" w:color="auto"/>
              <w:right w:val="single" w:sz="4" w:space="0" w:color="auto"/>
            </w:tcBorders>
            <w:shd w:val="clear" w:color="auto" w:fill="auto"/>
          </w:tcPr>
          <w:p w:rsidR="000E54C2" w:rsidRPr="00E8065F" w:rsidRDefault="000E54C2" w:rsidP="00783899">
            <w:pPr>
              <w:jc w:val="center"/>
              <w:rPr>
                <w:color w:val="000000"/>
                <w:sz w:val="20"/>
                <w:szCs w:val="20"/>
              </w:rPr>
            </w:pPr>
            <w:r w:rsidRPr="00E8065F">
              <w:rPr>
                <w:color w:val="000000"/>
                <w:sz w:val="20"/>
                <w:szCs w:val="20"/>
              </w:rPr>
              <w:t>40,4</w:t>
            </w:r>
          </w:p>
        </w:tc>
        <w:tc>
          <w:tcPr>
            <w:tcW w:w="1111" w:type="dxa"/>
            <w:tcBorders>
              <w:top w:val="nil"/>
              <w:left w:val="single" w:sz="4" w:space="0" w:color="auto"/>
              <w:bottom w:val="single" w:sz="4" w:space="0" w:color="auto"/>
              <w:right w:val="single" w:sz="4" w:space="0" w:color="auto"/>
            </w:tcBorders>
            <w:shd w:val="clear" w:color="auto" w:fill="auto"/>
          </w:tcPr>
          <w:p w:rsidR="000E54C2" w:rsidRPr="00E8065F" w:rsidRDefault="000E54C2" w:rsidP="00783899">
            <w:pPr>
              <w:jc w:val="center"/>
              <w:rPr>
                <w:color w:val="000000"/>
                <w:sz w:val="20"/>
                <w:szCs w:val="20"/>
              </w:rPr>
            </w:pPr>
            <w:r w:rsidRPr="00E8065F">
              <w:rPr>
                <w:color w:val="000000"/>
                <w:sz w:val="20"/>
                <w:szCs w:val="20"/>
              </w:rPr>
              <w:t>2</w:t>
            </w:r>
          </w:p>
        </w:tc>
        <w:tc>
          <w:tcPr>
            <w:tcW w:w="1944" w:type="dxa"/>
            <w:tcBorders>
              <w:top w:val="nil"/>
              <w:left w:val="single" w:sz="4" w:space="0" w:color="auto"/>
              <w:bottom w:val="single" w:sz="4" w:space="0" w:color="auto"/>
              <w:right w:val="single" w:sz="4" w:space="0" w:color="auto"/>
            </w:tcBorders>
            <w:shd w:val="clear" w:color="auto" w:fill="auto"/>
          </w:tcPr>
          <w:p w:rsidR="000E54C2" w:rsidRPr="00E8065F" w:rsidRDefault="000E54C2" w:rsidP="00783899">
            <w:pPr>
              <w:jc w:val="center"/>
              <w:rPr>
                <w:color w:val="000000"/>
                <w:sz w:val="20"/>
                <w:szCs w:val="20"/>
              </w:rPr>
            </w:pPr>
            <w:r w:rsidRPr="00E8065F">
              <w:rPr>
                <w:color w:val="000000"/>
                <w:sz w:val="20"/>
                <w:szCs w:val="20"/>
              </w:rPr>
              <w:t>Амбулаторное</w:t>
            </w:r>
          </w:p>
        </w:tc>
      </w:tr>
      <w:tr w:rsidR="00BA1432" w:rsidRPr="00E8065F" w:rsidTr="00783899">
        <w:trPr>
          <w:trHeight w:val="542"/>
        </w:trPr>
        <w:tc>
          <w:tcPr>
            <w:tcW w:w="1555" w:type="dxa"/>
            <w:vMerge/>
          </w:tcPr>
          <w:p w:rsidR="000E54C2" w:rsidRPr="00E8065F" w:rsidRDefault="000E54C2" w:rsidP="00783899">
            <w:pPr>
              <w:rPr>
                <w:sz w:val="20"/>
                <w:szCs w:val="20"/>
              </w:rPr>
            </w:pPr>
          </w:p>
        </w:tc>
        <w:tc>
          <w:tcPr>
            <w:tcW w:w="3685" w:type="dxa"/>
            <w:tcBorders>
              <w:top w:val="nil"/>
              <w:left w:val="single" w:sz="4" w:space="0" w:color="auto"/>
              <w:bottom w:val="single" w:sz="4" w:space="0" w:color="auto"/>
              <w:right w:val="nil"/>
            </w:tcBorders>
            <w:shd w:val="clear" w:color="auto" w:fill="auto"/>
          </w:tcPr>
          <w:p w:rsidR="000E54C2" w:rsidRPr="00E8065F" w:rsidRDefault="000E54C2" w:rsidP="00783899">
            <w:pPr>
              <w:jc w:val="both"/>
              <w:rPr>
                <w:color w:val="000000"/>
                <w:sz w:val="20"/>
                <w:szCs w:val="20"/>
              </w:rPr>
            </w:pPr>
            <w:r w:rsidRPr="00E8065F">
              <w:rPr>
                <w:color w:val="000000"/>
                <w:sz w:val="20"/>
                <w:szCs w:val="20"/>
              </w:rPr>
              <w:t xml:space="preserve">ГАУЗ </w:t>
            </w:r>
            <w:r w:rsidR="002F7358">
              <w:rPr>
                <w:color w:val="000000"/>
                <w:sz w:val="20"/>
                <w:szCs w:val="20"/>
              </w:rPr>
              <w:t>«</w:t>
            </w:r>
            <w:r w:rsidRPr="00E8065F">
              <w:rPr>
                <w:color w:val="000000"/>
                <w:sz w:val="20"/>
                <w:szCs w:val="20"/>
              </w:rPr>
              <w:t>Бугульминская ЦРБ</w:t>
            </w:r>
            <w:r w:rsidR="002F7358">
              <w:rPr>
                <w:color w:val="000000"/>
                <w:sz w:val="20"/>
                <w:szCs w:val="20"/>
              </w:rPr>
              <w:t>»</w:t>
            </w:r>
          </w:p>
        </w:tc>
        <w:tc>
          <w:tcPr>
            <w:tcW w:w="1994" w:type="dxa"/>
            <w:tcBorders>
              <w:top w:val="nil"/>
              <w:left w:val="single" w:sz="4" w:space="0" w:color="auto"/>
              <w:bottom w:val="single" w:sz="4" w:space="0" w:color="auto"/>
              <w:right w:val="single" w:sz="4" w:space="0" w:color="auto"/>
            </w:tcBorders>
            <w:shd w:val="clear" w:color="auto" w:fill="auto"/>
          </w:tcPr>
          <w:p w:rsidR="000E54C2" w:rsidRPr="00E8065F" w:rsidRDefault="000E54C2" w:rsidP="00783899">
            <w:pPr>
              <w:jc w:val="center"/>
              <w:rPr>
                <w:color w:val="000000"/>
                <w:sz w:val="20"/>
                <w:szCs w:val="20"/>
              </w:rPr>
            </w:pPr>
            <w:r w:rsidRPr="00E8065F">
              <w:rPr>
                <w:color w:val="000000"/>
                <w:sz w:val="20"/>
                <w:szCs w:val="20"/>
              </w:rPr>
              <w:t>Флюорограф</w:t>
            </w:r>
          </w:p>
        </w:tc>
        <w:tc>
          <w:tcPr>
            <w:tcW w:w="1181" w:type="dxa"/>
            <w:shd w:val="clear" w:color="auto" w:fill="auto"/>
          </w:tcPr>
          <w:p w:rsidR="00B96806" w:rsidRPr="00E8065F" w:rsidRDefault="000E54C2" w:rsidP="00783899">
            <w:pPr>
              <w:jc w:val="center"/>
              <w:rPr>
                <w:sz w:val="20"/>
                <w:szCs w:val="20"/>
              </w:rPr>
            </w:pPr>
            <w:r w:rsidRPr="00E8065F">
              <w:rPr>
                <w:sz w:val="20"/>
                <w:szCs w:val="20"/>
              </w:rPr>
              <w:t>2017</w:t>
            </w:r>
            <w:r w:rsidR="00AA5FB3">
              <w:rPr>
                <w:sz w:val="20"/>
                <w:szCs w:val="20"/>
              </w:rPr>
              <w:t xml:space="preserve"> </w:t>
            </w:r>
            <w:r w:rsidR="00B96806">
              <w:rPr>
                <w:sz w:val="20"/>
                <w:szCs w:val="20"/>
              </w:rPr>
              <w:t>(1)</w:t>
            </w:r>
          </w:p>
          <w:p w:rsidR="000E54C2" w:rsidRPr="00E8065F" w:rsidRDefault="000E54C2" w:rsidP="00783899">
            <w:pPr>
              <w:jc w:val="center"/>
              <w:rPr>
                <w:sz w:val="20"/>
                <w:szCs w:val="20"/>
              </w:rPr>
            </w:pPr>
            <w:r w:rsidRPr="00E8065F">
              <w:rPr>
                <w:sz w:val="20"/>
                <w:szCs w:val="20"/>
              </w:rPr>
              <w:t>2022</w:t>
            </w:r>
            <w:r w:rsidR="00AA5FB3">
              <w:rPr>
                <w:sz w:val="20"/>
                <w:szCs w:val="20"/>
              </w:rPr>
              <w:t xml:space="preserve"> </w:t>
            </w:r>
            <w:r w:rsidR="00B96806">
              <w:rPr>
                <w:sz w:val="20"/>
                <w:szCs w:val="20"/>
              </w:rPr>
              <w:t>(1)</w:t>
            </w:r>
          </w:p>
        </w:tc>
        <w:tc>
          <w:tcPr>
            <w:tcW w:w="1181" w:type="dxa"/>
            <w:tcBorders>
              <w:top w:val="nil"/>
              <w:left w:val="single" w:sz="4" w:space="0" w:color="auto"/>
              <w:bottom w:val="single" w:sz="4" w:space="0" w:color="auto"/>
              <w:right w:val="single" w:sz="4" w:space="0" w:color="auto"/>
            </w:tcBorders>
            <w:shd w:val="clear" w:color="auto" w:fill="auto"/>
          </w:tcPr>
          <w:p w:rsidR="000E54C2" w:rsidRPr="00E8065F" w:rsidRDefault="000E54C2" w:rsidP="00783899">
            <w:pPr>
              <w:jc w:val="center"/>
              <w:rPr>
                <w:color w:val="000000"/>
                <w:sz w:val="20"/>
                <w:szCs w:val="20"/>
              </w:rPr>
            </w:pPr>
            <w:r w:rsidRPr="00E8065F">
              <w:rPr>
                <w:color w:val="000000"/>
                <w:sz w:val="20"/>
                <w:szCs w:val="20"/>
              </w:rPr>
              <w:t>2</w:t>
            </w:r>
          </w:p>
        </w:tc>
        <w:tc>
          <w:tcPr>
            <w:tcW w:w="1478" w:type="dxa"/>
            <w:tcBorders>
              <w:top w:val="nil"/>
              <w:left w:val="single" w:sz="4" w:space="0" w:color="auto"/>
              <w:bottom w:val="single" w:sz="4" w:space="0" w:color="auto"/>
              <w:right w:val="single" w:sz="4" w:space="0" w:color="auto"/>
            </w:tcBorders>
            <w:shd w:val="clear" w:color="auto" w:fill="auto"/>
          </w:tcPr>
          <w:p w:rsidR="000E54C2" w:rsidRPr="00E8065F" w:rsidRDefault="000E54C2" w:rsidP="00783899">
            <w:pPr>
              <w:jc w:val="center"/>
              <w:rPr>
                <w:color w:val="000000"/>
                <w:sz w:val="20"/>
                <w:szCs w:val="20"/>
              </w:rPr>
            </w:pPr>
            <w:r w:rsidRPr="00E8065F">
              <w:rPr>
                <w:color w:val="000000"/>
                <w:sz w:val="20"/>
                <w:szCs w:val="20"/>
              </w:rPr>
              <w:t>130,9</w:t>
            </w:r>
          </w:p>
        </w:tc>
        <w:tc>
          <w:tcPr>
            <w:tcW w:w="1111" w:type="dxa"/>
            <w:tcBorders>
              <w:top w:val="nil"/>
              <w:left w:val="single" w:sz="4" w:space="0" w:color="auto"/>
              <w:bottom w:val="single" w:sz="4" w:space="0" w:color="auto"/>
              <w:right w:val="single" w:sz="4" w:space="0" w:color="auto"/>
            </w:tcBorders>
            <w:shd w:val="clear" w:color="auto" w:fill="auto"/>
          </w:tcPr>
          <w:p w:rsidR="000E54C2" w:rsidRPr="00E8065F" w:rsidRDefault="000E54C2" w:rsidP="00783899">
            <w:pPr>
              <w:jc w:val="center"/>
              <w:rPr>
                <w:color w:val="000000"/>
                <w:sz w:val="20"/>
                <w:szCs w:val="20"/>
              </w:rPr>
            </w:pPr>
            <w:r w:rsidRPr="00E8065F">
              <w:rPr>
                <w:color w:val="000000"/>
                <w:sz w:val="20"/>
                <w:szCs w:val="20"/>
              </w:rPr>
              <w:t>2</w:t>
            </w:r>
          </w:p>
        </w:tc>
        <w:tc>
          <w:tcPr>
            <w:tcW w:w="1944" w:type="dxa"/>
            <w:tcBorders>
              <w:top w:val="nil"/>
              <w:left w:val="single" w:sz="4" w:space="0" w:color="auto"/>
              <w:bottom w:val="single" w:sz="4" w:space="0" w:color="auto"/>
              <w:right w:val="single" w:sz="4" w:space="0" w:color="auto"/>
            </w:tcBorders>
            <w:shd w:val="clear" w:color="auto" w:fill="auto"/>
          </w:tcPr>
          <w:p w:rsidR="000E54C2" w:rsidRPr="00E8065F" w:rsidRDefault="000E54C2" w:rsidP="00783899">
            <w:pPr>
              <w:jc w:val="center"/>
              <w:rPr>
                <w:color w:val="000000"/>
                <w:sz w:val="20"/>
                <w:szCs w:val="20"/>
              </w:rPr>
            </w:pPr>
            <w:r w:rsidRPr="00E8065F">
              <w:rPr>
                <w:color w:val="000000"/>
                <w:sz w:val="20"/>
                <w:szCs w:val="20"/>
              </w:rPr>
              <w:t>Амбулаторное</w:t>
            </w:r>
          </w:p>
        </w:tc>
      </w:tr>
      <w:tr w:rsidR="00BA1432" w:rsidRPr="00E8065F" w:rsidTr="00783899">
        <w:trPr>
          <w:trHeight w:val="788"/>
        </w:trPr>
        <w:tc>
          <w:tcPr>
            <w:tcW w:w="1555" w:type="dxa"/>
            <w:vMerge/>
          </w:tcPr>
          <w:p w:rsidR="000E54C2" w:rsidRPr="00E8065F" w:rsidRDefault="000E54C2" w:rsidP="00783899">
            <w:pPr>
              <w:rPr>
                <w:sz w:val="20"/>
                <w:szCs w:val="20"/>
              </w:rPr>
            </w:pPr>
          </w:p>
        </w:tc>
        <w:tc>
          <w:tcPr>
            <w:tcW w:w="3685" w:type="dxa"/>
            <w:tcBorders>
              <w:top w:val="nil"/>
              <w:left w:val="single" w:sz="4" w:space="0" w:color="auto"/>
              <w:bottom w:val="single" w:sz="4" w:space="0" w:color="auto"/>
              <w:right w:val="nil"/>
            </w:tcBorders>
            <w:shd w:val="clear" w:color="auto" w:fill="auto"/>
          </w:tcPr>
          <w:p w:rsidR="000E54C2" w:rsidRPr="00E8065F" w:rsidRDefault="000E54C2" w:rsidP="00783899">
            <w:pPr>
              <w:jc w:val="both"/>
              <w:rPr>
                <w:color w:val="000000"/>
                <w:sz w:val="20"/>
                <w:szCs w:val="20"/>
              </w:rPr>
            </w:pPr>
            <w:r w:rsidRPr="00E8065F">
              <w:rPr>
                <w:color w:val="000000"/>
                <w:sz w:val="20"/>
                <w:szCs w:val="20"/>
              </w:rPr>
              <w:t xml:space="preserve">ГАУЗ </w:t>
            </w:r>
            <w:r w:rsidR="002F7358">
              <w:rPr>
                <w:color w:val="000000"/>
                <w:sz w:val="20"/>
                <w:szCs w:val="20"/>
              </w:rPr>
              <w:t>«</w:t>
            </w:r>
            <w:r w:rsidRPr="00E8065F">
              <w:rPr>
                <w:color w:val="000000"/>
                <w:sz w:val="20"/>
                <w:szCs w:val="20"/>
              </w:rPr>
              <w:t>Буинская ЦРБ</w:t>
            </w:r>
            <w:r w:rsidR="002F7358">
              <w:rPr>
                <w:color w:val="000000"/>
                <w:sz w:val="20"/>
                <w:szCs w:val="20"/>
              </w:rPr>
              <w:t>»</w:t>
            </w:r>
          </w:p>
        </w:tc>
        <w:tc>
          <w:tcPr>
            <w:tcW w:w="1994" w:type="dxa"/>
            <w:tcBorders>
              <w:top w:val="nil"/>
              <w:left w:val="single" w:sz="4" w:space="0" w:color="auto"/>
              <w:bottom w:val="single" w:sz="4" w:space="0" w:color="auto"/>
              <w:right w:val="single" w:sz="4" w:space="0" w:color="auto"/>
            </w:tcBorders>
            <w:shd w:val="clear" w:color="auto" w:fill="auto"/>
          </w:tcPr>
          <w:p w:rsidR="000E54C2" w:rsidRPr="00E8065F" w:rsidRDefault="000E54C2" w:rsidP="00783899">
            <w:pPr>
              <w:jc w:val="center"/>
              <w:rPr>
                <w:color w:val="000000"/>
                <w:sz w:val="20"/>
                <w:szCs w:val="20"/>
              </w:rPr>
            </w:pPr>
            <w:r w:rsidRPr="00E8065F">
              <w:rPr>
                <w:color w:val="000000"/>
                <w:sz w:val="20"/>
                <w:szCs w:val="20"/>
              </w:rPr>
              <w:t>Флюорограф</w:t>
            </w:r>
          </w:p>
        </w:tc>
        <w:tc>
          <w:tcPr>
            <w:tcW w:w="1181" w:type="dxa"/>
            <w:shd w:val="clear" w:color="auto" w:fill="auto"/>
          </w:tcPr>
          <w:p w:rsidR="00B96806" w:rsidRPr="00E8065F" w:rsidRDefault="000E54C2" w:rsidP="00783899">
            <w:pPr>
              <w:jc w:val="center"/>
              <w:rPr>
                <w:sz w:val="20"/>
                <w:szCs w:val="20"/>
              </w:rPr>
            </w:pPr>
            <w:r w:rsidRPr="00E8065F">
              <w:rPr>
                <w:sz w:val="20"/>
                <w:szCs w:val="20"/>
              </w:rPr>
              <w:t>2003</w:t>
            </w:r>
            <w:r w:rsidR="00AA5FB3">
              <w:rPr>
                <w:sz w:val="20"/>
                <w:szCs w:val="20"/>
              </w:rPr>
              <w:t xml:space="preserve"> </w:t>
            </w:r>
            <w:r w:rsidR="00B96806">
              <w:rPr>
                <w:sz w:val="20"/>
                <w:szCs w:val="20"/>
              </w:rPr>
              <w:t>(1)</w:t>
            </w:r>
          </w:p>
          <w:p w:rsidR="00B96806" w:rsidRPr="00E8065F" w:rsidRDefault="000E54C2" w:rsidP="00783899">
            <w:pPr>
              <w:jc w:val="center"/>
              <w:rPr>
                <w:sz w:val="20"/>
                <w:szCs w:val="20"/>
              </w:rPr>
            </w:pPr>
            <w:r w:rsidRPr="00E8065F">
              <w:rPr>
                <w:sz w:val="20"/>
                <w:szCs w:val="20"/>
              </w:rPr>
              <w:t>2010</w:t>
            </w:r>
            <w:r w:rsidR="00AA5FB3">
              <w:rPr>
                <w:sz w:val="20"/>
                <w:szCs w:val="20"/>
              </w:rPr>
              <w:t xml:space="preserve"> </w:t>
            </w:r>
            <w:r w:rsidR="00B96806">
              <w:rPr>
                <w:sz w:val="20"/>
                <w:szCs w:val="20"/>
              </w:rPr>
              <w:t>(1)</w:t>
            </w:r>
          </w:p>
          <w:p w:rsidR="000E54C2" w:rsidRPr="00E8065F" w:rsidRDefault="000E54C2" w:rsidP="00783899">
            <w:pPr>
              <w:jc w:val="center"/>
              <w:rPr>
                <w:sz w:val="20"/>
                <w:szCs w:val="20"/>
              </w:rPr>
            </w:pPr>
            <w:r w:rsidRPr="00E8065F">
              <w:rPr>
                <w:sz w:val="20"/>
                <w:szCs w:val="20"/>
              </w:rPr>
              <w:t>2022</w:t>
            </w:r>
            <w:r w:rsidR="00AA5FB3">
              <w:rPr>
                <w:sz w:val="20"/>
                <w:szCs w:val="20"/>
              </w:rPr>
              <w:t xml:space="preserve"> </w:t>
            </w:r>
            <w:r w:rsidR="00B96806">
              <w:rPr>
                <w:sz w:val="20"/>
                <w:szCs w:val="20"/>
              </w:rPr>
              <w:t>(1)</w:t>
            </w:r>
          </w:p>
        </w:tc>
        <w:tc>
          <w:tcPr>
            <w:tcW w:w="1181" w:type="dxa"/>
            <w:tcBorders>
              <w:top w:val="nil"/>
              <w:left w:val="single" w:sz="4" w:space="0" w:color="auto"/>
              <w:bottom w:val="single" w:sz="4" w:space="0" w:color="auto"/>
              <w:right w:val="single" w:sz="4" w:space="0" w:color="auto"/>
            </w:tcBorders>
            <w:shd w:val="clear" w:color="auto" w:fill="auto"/>
          </w:tcPr>
          <w:p w:rsidR="000E54C2" w:rsidRPr="00E8065F" w:rsidRDefault="000E54C2" w:rsidP="00783899">
            <w:pPr>
              <w:jc w:val="center"/>
              <w:rPr>
                <w:color w:val="000000"/>
                <w:sz w:val="20"/>
                <w:szCs w:val="20"/>
              </w:rPr>
            </w:pPr>
            <w:r w:rsidRPr="00E8065F">
              <w:rPr>
                <w:color w:val="000000"/>
                <w:sz w:val="20"/>
                <w:szCs w:val="20"/>
              </w:rPr>
              <w:t>3</w:t>
            </w:r>
          </w:p>
        </w:tc>
        <w:tc>
          <w:tcPr>
            <w:tcW w:w="1478" w:type="dxa"/>
            <w:tcBorders>
              <w:top w:val="nil"/>
              <w:left w:val="single" w:sz="4" w:space="0" w:color="auto"/>
              <w:bottom w:val="single" w:sz="4" w:space="0" w:color="auto"/>
              <w:right w:val="single" w:sz="4" w:space="0" w:color="auto"/>
            </w:tcBorders>
            <w:shd w:val="clear" w:color="auto" w:fill="auto"/>
          </w:tcPr>
          <w:p w:rsidR="000E54C2" w:rsidRPr="00E8065F" w:rsidRDefault="000E54C2" w:rsidP="00783899">
            <w:pPr>
              <w:jc w:val="center"/>
              <w:rPr>
                <w:color w:val="000000"/>
                <w:sz w:val="20"/>
                <w:szCs w:val="20"/>
              </w:rPr>
            </w:pPr>
            <w:r w:rsidRPr="00E8065F">
              <w:rPr>
                <w:color w:val="000000"/>
                <w:sz w:val="20"/>
                <w:szCs w:val="20"/>
              </w:rPr>
              <w:t>33,3</w:t>
            </w:r>
          </w:p>
        </w:tc>
        <w:tc>
          <w:tcPr>
            <w:tcW w:w="1111" w:type="dxa"/>
            <w:tcBorders>
              <w:top w:val="nil"/>
              <w:left w:val="single" w:sz="4" w:space="0" w:color="auto"/>
              <w:bottom w:val="single" w:sz="4" w:space="0" w:color="auto"/>
              <w:right w:val="single" w:sz="4" w:space="0" w:color="auto"/>
            </w:tcBorders>
            <w:shd w:val="clear" w:color="auto" w:fill="auto"/>
          </w:tcPr>
          <w:p w:rsidR="000E54C2" w:rsidRPr="00E8065F" w:rsidRDefault="000E54C2" w:rsidP="00783899">
            <w:pPr>
              <w:jc w:val="center"/>
              <w:rPr>
                <w:color w:val="000000"/>
                <w:sz w:val="20"/>
                <w:szCs w:val="20"/>
              </w:rPr>
            </w:pPr>
            <w:r w:rsidRPr="00E8065F">
              <w:rPr>
                <w:color w:val="000000"/>
                <w:sz w:val="20"/>
                <w:szCs w:val="20"/>
              </w:rPr>
              <w:t>2</w:t>
            </w:r>
          </w:p>
        </w:tc>
        <w:tc>
          <w:tcPr>
            <w:tcW w:w="1944" w:type="dxa"/>
            <w:tcBorders>
              <w:top w:val="nil"/>
              <w:left w:val="single" w:sz="4" w:space="0" w:color="auto"/>
              <w:bottom w:val="single" w:sz="4" w:space="0" w:color="auto"/>
              <w:right w:val="single" w:sz="4" w:space="0" w:color="auto"/>
            </w:tcBorders>
            <w:shd w:val="clear" w:color="auto" w:fill="auto"/>
          </w:tcPr>
          <w:p w:rsidR="000E54C2" w:rsidRPr="00E8065F" w:rsidRDefault="000E54C2" w:rsidP="00783899">
            <w:pPr>
              <w:jc w:val="center"/>
              <w:rPr>
                <w:color w:val="000000"/>
                <w:sz w:val="20"/>
                <w:szCs w:val="20"/>
              </w:rPr>
            </w:pPr>
            <w:r w:rsidRPr="00E8065F">
              <w:rPr>
                <w:color w:val="000000"/>
                <w:sz w:val="20"/>
                <w:szCs w:val="20"/>
              </w:rPr>
              <w:t>Амбулаторное/передвижное</w:t>
            </w:r>
          </w:p>
        </w:tc>
      </w:tr>
      <w:tr w:rsidR="00BA1432" w:rsidRPr="00E8065F" w:rsidTr="000546C2">
        <w:trPr>
          <w:trHeight w:val="20"/>
        </w:trPr>
        <w:tc>
          <w:tcPr>
            <w:tcW w:w="1555" w:type="dxa"/>
            <w:vMerge/>
          </w:tcPr>
          <w:p w:rsidR="000E54C2" w:rsidRPr="00E8065F" w:rsidRDefault="000E54C2" w:rsidP="00783899">
            <w:pPr>
              <w:rPr>
                <w:sz w:val="20"/>
                <w:szCs w:val="20"/>
              </w:rPr>
            </w:pPr>
          </w:p>
        </w:tc>
        <w:tc>
          <w:tcPr>
            <w:tcW w:w="3685" w:type="dxa"/>
            <w:tcBorders>
              <w:top w:val="nil"/>
              <w:left w:val="single" w:sz="4" w:space="0" w:color="auto"/>
              <w:bottom w:val="single" w:sz="4" w:space="0" w:color="auto"/>
              <w:right w:val="nil"/>
            </w:tcBorders>
            <w:shd w:val="clear" w:color="auto" w:fill="auto"/>
          </w:tcPr>
          <w:p w:rsidR="000E54C2" w:rsidRPr="00E8065F" w:rsidRDefault="000E54C2" w:rsidP="00783899">
            <w:pPr>
              <w:jc w:val="both"/>
              <w:rPr>
                <w:color w:val="000000"/>
                <w:sz w:val="20"/>
                <w:szCs w:val="20"/>
              </w:rPr>
            </w:pPr>
            <w:r w:rsidRPr="00E8065F">
              <w:rPr>
                <w:color w:val="000000"/>
                <w:sz w:val="20"/>
                <w:szCs w:val="20"/>
              </w:rPr>
              <w:t xml:space="preserve">ГАУЗ </w:t>
            </w:r>
            <w:r w:rsidR="002F7358">
              <w:rPr>
                <w:color w:val="000000"/>
                <w:sz w:val="20"/>
                <w:szCs w:val="20"/>
              </w:rPr>
              <w:t>«</w:t>
            </w:r>
            <w:r w:rsidRPr="00E8065F">
              <w:rPr>
                <w:color w:val="000000"/>
                <w:sz w:val="20"/>
                <w:szCs w:val="20"/>
              </w:rPr>
              <w:t>Верхнеуслонская ЦРБ</w:t>
            </w:r>
            <w:r w:rsidR="002F7358">
              <w:rPr>
                <w:color w:val="000000"/>
                <w:sz w:val="20"/>
                <w:szCs w:val="20"/>
              </w:rPr>
              <w:t>»</w:t>
            </w:r>
          </w:p>
        </w:tc>
        <w:tc>
          <w:tcPr>
            <w:tcW w:w="1994" w:type="dxa"/>
            <w:tcBorders>
              <w:top w:val="nil"/>
              <w:left w:val="single" w:sz="4" w:space="0" w:color="auto"/>
              <w:bottom w:val="single" w:sz="4" w:space="0" w:color="auto"/>
              <w:right w:val="single" w:sz="4" w:space="0" w:color="auto"/>
            </w:tcBorders>
            <w:shd w:val="clear" w:color="auto" w:fill="auto"/>
          </w:tcPr>
          <w:p w:rsidR="000E54C2" w:rsidRPr="00E8065F" w:rsidRDefault="000E54C2" w:rsidP="00783899">
            <w:pPr>
              <w:jc w:val="center"/>
              <w:rPr>
                <w:color w:val="000000"/>
                <w:sz w:val="20"/>
                <w:szCs w:val="20"/>
              </w:rPr>
            </w:pPr>
            <w:r w:rsidRPr="00E8065F">
              <w:rPr>
                <w:color w:val="000000"/>
                <w:sz w:val="20"/>
                <w:szCs w:val="20"/>
              </w:rPr>
              <w:t>Флюорограф</w:t>
            </w:r>
          </w:p>
        </w:tc>
        <w:tc>
          <w:tcPr>
            <w:tcW w:w="1181" w:type="dxa"/>
            <w:shd w:val="clear" w:color="auto" w:fill="auto"/>
          </w:tcPr>
          <w:p w:rsidR="000E54C2" w:rsidRPr="00E8065F" w:rsidRDefault="000E54C2" w:rsidP="00783899">
            <w:pPr>
              <w:jc w:val="center"/>
              <w:rPr>
                <w:sz w:val="20"/>
                <w:szCs w:val="20"/>
              </w:rPr>
            </w:pPr>
            <w:r w:rsidRPr="00E8065F">
              <w:rPr>
                <w:sz w:val="20"/>
                <w:szCs w:val="20"/>
              </w:rPr>
              <w:t>2018</w:t>
            </w:r>
          </w:p>
        </w:tc>
        <w:tc>
          <w:tcPr>
            <w:tcW w:w="1181" w:type="dxa"/>
            <w:tcBorders>
              <w:top w:val="nil"/>
              <w:left w:val="single" w:sz="4" w:space="0" w:color="auto"/>
              <w:bottom w:val="single" w:sz="4" w:space="0" w:color="auto"/>
              <w:right w:val="single" w:sz="4" w:space="0" w:color="auto"/>
            </w:tcBorders>
            <w:shd w:val="clear" w:color="auto" w:fill="auto"/>
          </w:tcPr>
          <w:p w:rsidR="000E54C2" w:rsidRPr="00E8065F" w:rsidRDefault="000E54C2" w:rsidP="00783899">
            <w:pPr>
              <w:jc w:val="center"/>
              <w:rPr>
                <w:color w:val="000000"/>
                <w:sz w:val="20"/>
                <w:szCs w:val="20"/>
              </w:rPr>
            </w:pPr>
            <w:r w:rsidRPr="00E8065F">
              <w:rPr>
                <w:color w:val="000000"/>
                <w:sz w:val="20"/>
                <w:szCs w:val="20"/>
              </w:rPr>
              <w:t>1</w:t>
            </w:r>
          </w:p>
        </w:tc>
        <w:tc>
          <w:tcPr>
            <w:tcW w:w="1478" w:type="dxa"/>
            <w:tcBorders>
              <w:top w:val="nil"/>
              <w:left w:val="single" w:sz="4" w:space="0" w:color="auto"/>
              <w:bottom w:val="single" w:sz="4" w:space="0" w:color="auto"/>
              <w:right w:val="single" w:sz="4" w:space="0" w:color="auto"/>
            </w:tcBorders>
            <w:shd w:val="clear" w:color="auto" w:fill="auto"/>
          </w:tcPr>
          <w:p w:rsidR="000E54C2" w:rsidRPr="00E8065F" w:rsidRDefault="000E54C2" w:rsidP="00783899">
            <w:pPr>
              <w:jc w:val="center"/>
              <w:rPr>
                <w:color w:val="000000"/>
                <w:sz w:val="20"/>
                <w:szCs w:val="20"/>
              </w:rPr>
            </w:pPr>
            <w:r w:rsidRPr="00E8065F">
              <w:rPr>
                <w:color w:val="000000"/>
                <w:sz w:val="20"/>
                <w:szCs w:val="20"/>
              </w:rPr>
              <w:t>10,1</w:t>
            </w:r>
          </w:p>
        </w:tc>
        <w:tc>
          <w:tcPr>
            <w:tcW w:w="1111" w:type="dxa"/>
            <w:tcBorders>
              <w:top w:val="nil"/>
              <w:left w:val="single" w:sz="4" w:space="0" w:color="auto"/>
              <w:bottom w:val="single" w:sz="4" w:space="0" w:color="auto"/>
              <w:right w:val="single" w:sz="4" w:space="0" w:color="auto"/>
            </w:tcBorders>
            <w:shd w:val="clear" w:color="auto" w:fill="auto"/>
          </w:tcPr>
          <w:p w:rsidR="000E54C2" w:rsidRPr="00E8065F" w:rsidRDefault="000E54C2" w:rsidP="00783899">
            <w:pPr>
              <w:jc w:val="center"/>
              <w:rPr>
                <w:color w:val="000000"/>
                <w:sz w:val="20"/>
                <w:szCs w:val="20"/>
              </w:rPr>
            </w:pPr>
            <w:r w:rsidRPr="00E8065F">
              <w:rPr>
                <w:color w:val="000000"/>
                <w:sz w:val="20"/>
                <w:szCs w:val="20"/>
              </w:rPr>
              <w:t>2</w:t>
            </w:r>
          </w:p>
        </w:tc>
        <w:tc>
          <w:tcPr>
            <w:tcW w:w="1944" w:type="dxa"/>
            <w:tcBorders>
              <w:top w:val="nil"/>
              <w:left w:val="single" w:sz="4" w:space="0" w:color="auto"/>
              <w:bottom w:val="single" w:sz="4" w:space="0" w:color="auto"/>
              <w:right w:val="single" w:sz="4" w:space="0" w:color="auto"/>
            </w:tcBorders>
            <w:shd w:val="clear" w:color="auto" w:fill="auto"/>
          </w:tcPr>
          <w:p w:rsidR="000E54C2" w:rsidRPr="00E8065F" w:rsidRDefault="000E54C2" w:rsidP="00783899">
            <w:pPr>
              <w:jc w:val="center"/>
              <w:rPr>
                <w:color w:val="000000"/>
                <w:sz w:val="20"/>
                <w:szCs w:val="20"/>
              </w:rPr>
            </w:pPr>
            <w:r w:rsidRPr="00E8065F">
              <w:rPr>
                <w:color w:val="000000"/>
                <w:sz w:val="20"/>
                <w:szCs w:val="20"/>
              </w:rPr>
              <w:t>Амбулаторное</w:t>
            </w:r>
          </w:p>
        </w:tc>
      </w:tr>
      <w:tr w:rsidR="00BA1432" w:rsidRPr="00E8065F" w:rsidTr="000546C2">
        <w:trPr>
          <w:trHeight w:val="20"/>
        </w:trPr>
        <w:tc>
          <w:tcPr>
            <w:tcW w:w="1555" w:type="dxa"/>
            <w:vMerge/>
          </w:tcPr>
          <w:p w:rsidR="000E54C2" w:rsidRPr="00E8065F" w:rsidRDefault="000E54C2" w:rsidP="00783899">
            <w:pPr>
              <w:rPr>
                <w:sz w:val="20"/>
                <w:szCs w:val="20"/>
              </w:rPr>
            </w:pPr>
          </w:p>
        </w:tc>
        <w:tc>
          <w:tcPr>
            <w:tcW w:w="3685" w:type="dxa"/>
            <w:tcBorders>
              <w:top w:val="nil"/>
              <w:left w:val="single" w:sz="4" w:space="0" w:color="auto"/>
              <w:bottom w:val="single" w:sz="4" w:space="0" w:color="auto"/>
              <w:right w:val="nil"/>
            </w:tcBorders>
            <w:shd w:val="clear" w:color="auto" w:fill="auto"/>
          </w:tcPr>
          <w:p w:rsidR="000E54C2" w:rsidRPr="00E8065F" w:rsidRDefault="000E54C2" w:rsidP="00783899">
            <w:pPr>
              <w:jc w:val="both"/>
              <w:rPr>
                <w:color w:val="000000"/>
                <w:sz w:val="20"/>
                <w:szCs w:val="20"/>
              </w:rPr>
            </w:pPr>
            <w:r w:rsidRPr="00E8065F">
              <w:rPr>
                <w:color w:val="000000"/>
                <w:sz w:val="20"/>
                <w:szCs w:val="20"/>
              </w:rPr>
              <w:t xml:space="preserve">ГАУЗ </w:t>
            </w:r>
            <w:r w:rsidR="002F7358">
              <w:rPr>
                <w:color w:val="000000"/>
                <w:sz w:val="20"/>
                <w:szCs w:val="20"/>
              </w:rPr>
              <w:t>«</w:t>
            </w:r>
            <w:r w:rsidRPr="00E8065F">
              <w:rPr>
                <w:color w:val="000000"/>
                <w:sz w:val="20"/>
                <w:szCs w:val="20"/>
              </w:rPr>
              <w:t>Высокогорская ЦРБ</w:t>
            </w:r>
            <w:r w:rsidR="002F7358">
              <w:rPr>
                <w:color w:val="000000"/>
                <w:sz w:val="20"/>
                <w:szCs w:val="20"/>
              </w:rPr>
              <w:t>»</w:t>
            </w:r>
          </w:p>
        </w:tc>
        <w:tc>
          <w:tcPr>
            <w:tcW w:w="1994" w:type="dxa"/>
            <w:tcBorders>
              <w:top w:val="nil"/>
              <w:left w:val="single" w:sz="4" w:space="0" w:color="auto"/>
              <w:bottom w:val="single" w:sz="4" w:space="0" w:color="auto"/>
              <w:right w:val="single" w:sz="4" w:space="0" w:color="auto"/>
            </w:tcBorders>
            <w:shd w:val="clear" w:color="auto" w:fill="auto"/>
          </w:tcPr>
          <w:p w:rsidR="000E54C2" w:rsidRPr="00E8065F" w:rsidRDefault="000E54C2" w:rsidP="00783899">
            <w:pPr>
              <w:jc w:val="center"/>
              <w:rPr>
                <w:color w:val="000000"/>
                <w:sz w:val="20"/>
                <w:szCs w:val="20"/>
              </w:rPr>
            </w:pPr>
            <w:r w:rsidRPr="00E8065F">
              <w:rPr>
                <w:color w:val="000000"/>
                <w:sz w:val="20"/>
                <w:szCs w:val="20"/>
              </w:rPr>
              <w:t>Флюорограф</w:t>
            </w:r>
          </w:p>
        </w:tc>
        <w:tc>
          <w:tcPr>
            <w:tcW w:w="1181" w:type="dxa"/>
            <w:shd w:val="clear" w:color="auto" w:fill="auto"/>
          </w:tcPr>
          <w:p w:rsidR="000E54C2" w:rsidRPr="00E8065F" w:rsidRDefault="000E54C2" w:rsidP="00783899">
            <w:pPr>
              <w:jc w:val="center"/>
              <w:rPr>
                <w:sz w:val="20"/>
                <w:szCs w:val="20"/>
              </w:rPr>
            </w:pPr>
            <w:r w:rsidRPr="00E8065F">
              <w:rPr>
                <w:sz w:val="20"/>
                <w:szCs w:val="20"/>
              </w:rPr>
              <w:t>2019</w:t>
            </w:r>
          </w:p>
        </w:tc>
        <w:tc>
          <w:tcPr>
            <w:tcW w:w="1181" w:type="dxa"/>
            <w:tcBorders>
              <w:top w:val="nil"/>
              <w:left w:val="single" w:sz="4" w:space="0" w:color="auto"/>
              <w:bottom w:val="single" w:sz="4" w:space="0" w:color="auto"/>
              <w:right w:val="single" w:sz="4" w:space="0" w:color="auto"/>
            </w:tcBorders>
            <w:shd w:val="clear" w:color="auto" w:fill="auto"/>
          </w:tcPr>
          <w:p w:rsidR="000E54C2" w:rsidRPr="00E8065F" w:rsidRDefault="000E54C2" w:rsidP="00783899">
            <w:pPr>
              <w:jc w:val="center"/>
              <w:rPr>
                <w:color w:val="000000"/>
                <w:sz w:val="20"/>
                <w:szCs w:val="20"/>
              </w:rPr>
            </w:pPr>
            <w:r w:rsidRPr="00E8065F">
              <w:rPr>
                <w:color w:val="000000"/>
                <w:sz w:val="20"/>
                <w:szCs w:val="20"/>
              </w:rPr>
              <w:t>1</w:t>
            </w:r>
          </w:p>
        </w:tc>
        <w:tc>
          <w:tcPr>
            <w:tcW w:w="1478" w:type="dxa"/>
            <w:tcBorders>
              <w:top w:val="nil"/>
              <w:left w:val="single" w:sz="4" w:space="0" w:color="auto"/>
              <w:bottom w:val="single" w:sz="4" w:space="0" w:color="auto"/>
              <w:right w:val="single" w:sz="4" w:space="0" w:color="auto"/>
            </w:tcBorders>
            <w:shd w:val="clear" w:color="auto" w:fill="auto"/>
          </w:tcPr>
          <w:p w:rsidR="000E54C2" w:rsidRPr="00E8065F" w:rsidRDefault="000E54C2" w:rsidP="00783899">
            <w:pPr>
              <w:jc w:val="center"/>
              <w:rPr>
                <w:color w:val="000000"/>
                <w:sz w:val="20"/>
                <w:szCs w:val="20"/>
              </w:rPr>
            </w:pPr>
            <w:r w:rsidRPr="00E8065F">
              <w:rPr>
                <w:color w:val="000000"/>
                <w:sz w:val="20"/>
                <w:szCs w:val="20"/>
              </w:rPr>
              <w:t>33,0</w:t>
            </w:r>
          </w:p>
        </w:tc>
        <w:tc>
          <w:tcPr>
            <w:tcW w:w="1111" w:type="dxa"/>
            <w:tcBorders>
              <w:top w:val="nil"/>
              <w:left w:val="single" w:sz="4" w:space="0" w:color="auto"/>
              <w:bottom w:val="single" w:sz="4" w:space="0" w:color="auto"/>
              <w:right w:val="single" w:sz="4" w:space="0" w:color="auto"/>
            </w:tcBorders>
            <w:shd w:val="clear" w:color="auto" w:fill="auto"/>
          </w:tcPr>
          <w:p w:rsidR="000E54C2" w:rsidRPr="00E8065F" w:rsidRDefault="000E54C2" w:rsidP="00783899">
            <w:pPr>
              <w:jc w:val="center"/>
              <w:rPr>
                <w:color w:val="000000"/>
                <w:sz w:val="20"/>
                <w:szCs w:val="20"/>
              </w:rPr>
            </w:pPr>
            <w:r w:rsidRPr="00E8065F">
              <w:rPr>
                <w:color w:val="000000"/>
                <w:sz w:val="20"/>
                <w:szCs w:val="20"/>
              </w:rPr>
              <w:t>2</w:t>
            </w:r>
          </w:p>
        </w:tc>
        <w:tc>
          <w:tcPr>
            <w:tcW w:w="1944" w:type="dxa"/>
            <w:tcBorders>
              <w:top w:val="nil"/>
              <w:left w:val="single" w:sz="4" w:space="0" w:color="auto"/>
              <w:bottom w:val="single" w:sz="4" w:space="0" w:color="auto"/>
              <w:right w:val="single" w:sz="4" w:space="0" w:color="auto"/>
            </w:tcBorders>
            <w:shd w:val="clear" w:color="auto" w:fill="auto"/>
          </w:tcPr>
          <w:p w:rsidR="000E54C2" w:rsidRPr="00E8065F" w:rsidRDefault="000E54C2" w:rsidP="00783899">
            <w:pPr>
              <w:jc w:val="center"/>
              <w:rPr>
                <w:color w:val="000000"/>
                <w:sz w:val="20"/>
                <w:szCs w:val="20"/>
              </w:rPr>
            </w:pPr>
            <w:r w:rsidRPr="00E8065F">
              <w:rPr>
                <w:color w:val="000000"/>
                <w:sz w:val="20"/>
                <w:szCs w:val="20"/>
              </w:rPr>
              <w:t>Амбулаторное</w:t>
            </w:r>
          </w:p>
        </w:tc>
      </w:tr>
      <w:tr w:rsidR="00BA1432" w:rsidRPr="00E8065F" w:rsidTr="000546C2">
        <w:trPr>
          <w:trHeight w:val="20"/>
        </w:trPr>
        <w:tc>
          <w:tcPr>
            <w:tcW w:w="1555" w:type="dxa"/>
            <w:vMerge/>
          </w:tcPr>
          <w:p w:rsidR="000E54C2" w:rsidRPr="00E8065F" w:rsidRDefault="000E54C2" w:rsidP="00783899">
            <w:pPr>
              <w:rPr>
                <w:sz w:val="20"/>
                <w:szCs w:val="20"/>
              </w:rPr>
            </w:pPr>
          </w:p>
        </w:tc>
        <w:tc>
          <w:tcPr>
            <w:tcW w:w="3685" w:type="dxa"/>
            <w:tcBorders>
              <w:top w:val="nil"/>
              <w:left w:val="single" w:sz="4" w:space="0" w:color="auto"/>
              <w:bottom w:val="single" w:sz="4" w:space="0" w:color="auto"/>
              <w:right w:val="nil"/>
            </w:tcBorders>
            <w:shd w:val="clear" w:color="auto" w:fill="auto"/>
          </w:tcPr>
          <w:p w:rsidR="000E54C2" w:rsidRPr="00E8065F" w:rsidRDefault="000E54C2" w:rsidP="00783899">
            <w:pPr>
              <w:jc w:val="both"/>
              <w:rPr>
                <w:color w:val="000000"/>
                <w:sz w:val="20"/>
                <w:szCs w:val="20"/>
              </w:rPr>
            </w:pPr>
            <w:r w:rsidRPr="00E8065F">
              <w:rPr>
                <w:color w:val="000000"/>
                <w:sz w:val="20"/>
                <w:szCs w:val="20"/>
              </w:rPr>
              <w:t xml:space="preserve">ГАУЗ </w:t>
            </w:r>
            <w:r w:rsidR="002F7358">
              <w:rPr>
                <w:color w:val="000000"/>
                <w:sz w:val="20"/>
                <w:szCs w:val="20"/>
              </w:rPr>
              <w:t>«</w:t>
            </w:r>
            <w:r w:rsidRPr="00E8065F">
              <w:rPr>
                <w:color w:val="000000"/>
                <w:sz w:val="20"/>
                <w:szCs w:val="20"/>
              </w:rPr>
              <w:t>Дрожжановская ЦРБ</w:t>
            </w:r>
            <w:r w:rsidR="002F7358">
              <w:rPr>
                <w:color w:val="000000"/>
                <w:sz w:val="20"/>
                <w:szCs w:val="20"/>
              </w:rPr>
              <w:t>»</w:t>
            </w:r>
          </w:p>
        </w:tc>
        <w:tc>
          <w:tcPr>
            <w:tcW w:w="1994" w:type="dxa"/>
            <w:tcBorders>
              <w:top w:val="nil"/>
              <w:left w:val="single" w:sz="4" w:space="0" w:color="auto"/>
              <w:bottom w:val="single" w:sz="4" w:space="0" w:color="auto"/>
              <w:right w:val="single" w:sz="4" w:space="0" w:color="auto"/>
            </w:tcBorders>
            <w:shd w:val="clear" w:color="auto" w:fill="auto"/>
          </w:tcPr>
          <w:p w:rsidR="000E54C2" w:rsidRPr="00E8065F" w:rsidRDefault="000E54C2" w:rsidP="00783899">
            <w:pPr>
              <w:jc w:val="center"/>
              <w:rPr>
                <w:color w:val="000000"/>
                <w:sz w:val="20"/>
                <w:szCs w:val="20"/>
              </w:rPr>
            </w:pPr>
            <w:r w:rsidRPr="00E8065F">
              <w:rPr>
                <w:color w:val="000000"/>
                <w:sz w:val="20"/>
                <w:szCs w:val="20"/>
              </w:rPr>
              <w:t>Флюорограф</w:t>
            </w:r>
          </w:p>
        </w:tc>
        <w:tc>
          <w:tcPr>
            <w:tcW w:w="1181" w:type="dxa"/>
            <w:shd w:val="clear" w:color="auto" w:fill="auto"/>
          </w:tcPr>
          <w:p w:rsidR="00B96806" w:rsidRPr="00E8065F" w:rsidRDefault="000E54C2" w:rsidP="00783899">
            <w:pPr>
              <w:jc w:val="center"/>
              <w:rPr>
                <w:sz w:val="20"/>
                <w:szCs w:val="20"/>
              </w:rPr>
            </w:pPr>
            <w:r w:rsidRPr="00E8065F">
              <w:rPr>
                <w:sz w:val="20"/>
                <w:szCs w:val="20"/>
              </w:rPr>
              <w:t>2006</w:t>
            </w:r>
            <w:r w:rsidR="00AA5FB3">
              <w:rPr>
                <w:sz w:val="20"/>
                <w:szCs w:val="20"/>
              </w:rPr>
              <w:t xml:space="preserve"> </w:t>
            </w:r>
            <w:r w:rsidR="00B96806">
              <w:rPr>
                <w:sz w:val="20"/>
                <w:szCs w:val="20"/>
              </w:rPr>
              <w:t>(1)</w:t>
            </w:r>
          </w:p>
          <w:p w:rsidR="000E54C2" w:rsidRPr="00E8065F" w:rsidRDefault="000E54C2" w:rsidP="00783899">
            <w:pPr>
              <w:jc w:val="center"/>
              <w:rPr>
                <w:sz w:val="20"/>
                <w:szCs w:val="20"/>
              </w:rPr>
            </w:pPr>
            <w:r w:rsidRPr="00E8065F">
              <w:rPr>
                <w:sz w:val="20"/>
                <w:szCs w:val="20"/>
              </w:rPr>
              <w:t>2022</w:t>
            </w:r>
            <w:r w:rsidR="00AA5FB3">
              <w:rPr>
                <w:sz w:val="20"/>
                <w:szCs w:val="20"/>
              </w:rPr>
              <w:t xml:space="preserve"> </w:t>
            </w:r>
            <w:r w:rsidR="00B96806">
              <w:rPr>
                <w:sz w:val="20"/>
                <w:szCs w:val="20"/>
              </w:rPr>
              <w:t>(1)</w:t>
            </w:r>
          </w:p>
        </w:tc>
        <w:tc>
          <w:tcPr>
            <w:tcW w:w="1181" w:type="dxa"/>
            <w:tcBorders>
              <w:top w:val="nil"/>
              <w:left w:val="single" w:sz="4" w:space="0" w:color="auto"/>
              <w:bottom w:val="single" w:sz="4" w:space="0" w:color="auto"/>
              <w:right w:val="single" w:sz="4" w:space="0" w:color="auto"/>
            </w:tcBorders>
            <w:shd w:val="clear" w:color="auto" w:fill="auto"/>
          </w:tcPr>
          <w:p w:rsidR="000E54C2" w:rsidRPr="00E8065F" w:rsidRDefault="000E54C2" w:rsidP="00783899">
            <w:pPr>
              <w:jc w:val="center"/>
              <w:rPr>
                <w:color w:val="000000"/>
                <w:sz w:val="20"/>
                <w:szCs w:val="20"/>
              </w:rPr>
            </w:pPr>
            <w:r w:rsidRPr="00E8065F">
              <w:rPr>
                <w:color w:val="000000"/>
                <w:sz w:val="20"/>
                <w:szCs w:val="20"/>
              </w:rPr>
              <w:t>2</w:t>
            </w:r>
          </w:p>
        </w:tc>
        <w:tc>
          <w:tcPr>
            <w:tcW w:w="1478" w:type="dxa"/>
            <w:tcBorders>
              <w:top w:val="nil"/>
              <w:left w:val="single" w:sz="4" w:space="0" w:color="auto"/>
              <w:bottom w:val="single" w:sz="4" w:space="0" w:color="auto"/>
              <w:right w:val="single" w:sz="4" w:space="0" w:color="auto"/>
            </w:tcBorders>
            <w:shd w:val="clear" w:color="auto" w:fill="auto"/>
          </w:tcPr>
          <w:p w:rsidR="000E54C2" w:rsidRPr="00E8065F" w:rsidRDefault="000E54C2" w:rsidP="00783899">
            <w:pPr>
              <w:jc w:val="center"/>
              <w:rPr>
                <w:color w:val="000000"/>
                <w:sz w:val="20"/>
                <w:szCs w:val="20"/>
              </w:rPr>
            </w:pPr>
            <w:r w:rsidRPr="00E8065F">
              <w:rPr>
                <w:color w:val="000000"/>
                <w:sz w:val="20"/>
                <w:szCs w:val="20"/>
              </w:rPr>
              <w:t>22,7</w:t>
            </w:r>
          </w:p>
        </w:tc>
        <w:tc>
          <w:tcPr>
            <w:tcW w:w="1111" w:type="dxa"/>
            <w:tcBorders>
              <w:top w:val="nil"/>
              <w:left w:val="single" w:sz="4" w:space="0" w:color="auto"/>
              <w:bottom w:val="single" w:sz="4" w:space="0" w:color="auto"/>
              <w:right w:val="single" w:sz="4" w:space="0" w:color="auto"/>
            </w:tcBorders>
            <w:shd w:val="clear" w:color="auto" w:fill="auto"/>
          </w:tcPr>
          <w:p w:rsidR="000E54C2" w:rsidRPr="00E8065F" w:rsidRDefault="000E54C2" w:rsidP="00783899">
            <w:pPr>
              <w:jc w:val="center"/>
              <w:rPr>
                <w:color w:val="000000"/>
                <w:sz w:val="20"/>
                <w:szCs w:val="20"/>
              </w:rPr>
            </w:pPr>
            <w:r w:rsidRPr="00E8065F">
              <w:rPr>
                <w:color w:val="000000"/>
                <w:sz w:val="20"/>
                <w:szCs w:val="20"/>
              </w:rPr>
              <w:t>2</w:t>
            </w:r>
          </w:p>
        </w:tc>
        <w:tc>
          <w:tcPr>
            <w:tcW w:w="1944" w:type="dxa"/>
            <w:tcBorders>
              <w:top w:val="nil"/>
              <w:left w:val="single" w:sz="4" w:space="0" w:color="auto"/>
              <w:bottom w:val="single" w:sz="4" w:space="0" w:color="auto"/>
              <w:right w:val="single" w:sz="4" w:space="0" w:color="auto"/>
            </w:tcBorders>
            <w:shd w:val="clear" w:color="auto" w:fill="auto"/>
          </w:tcPr>
          <w:p w:rsidR="000E54C2" w:rsidRPr="00E8065F" w:rsidRDefault="000E54C2" w:rsidP="00783899">
            <w:pPr>
              <w:jc w:val="center"/>
              <w:rPr>
                <w:color w:val="000000"/>
                <w:sz w:val="20"/>
                <w:szCs w:val="20"/>
              </w:rPr>
            </w:pPr>
            <w:r w:rsidRPr="00E8065F">
              <w:rPr>
                <w:color w:val="000000"/>
                <w:sz w:val="20"/>
                <w:szCs w:val="20"/>
              </w:rPr>
              <w:t>Амбулаторное</w:t>
            </w:r>
          </w:p>
        </w:tc>
      </w:tr>
      <w:tr w:rsidR="00BA1432" w:rsidRPr="00E8065F" w:rsidTr="000546C2">
        <w:trPr>
          <w:trHeight w:val="20"/>
        </w:trPr>
        <w:tc>
          <w:tcPr>
            <w:tcW w:w="1555" w:type="dxa"/>
            <w:vMerge/>
          </w:tcPr>
          <w:p w:rsidR="000E54C2" w:rsidRPr="00E8065F" w:rsidRDefault="000E54C2" w:rsidP="00BA1432">
            <w:pPr>
              <w:rPr>
                <w:sz w:val="20"/>
                <w:szCs w:val="20"/>
              </w:rPr>
            </w:pPr>
          </w:p>
        </w:tc>
        <w:tc>
          <w:tcPr>
            <w:tcW w:w="3685" w:type="dxa"/>
            <w:tcBorders>
              <w:top w:val="nil"/>
              <w:left w:val="single" w:sz="4" w:space="0" w:color="auto"/>
              <w:bottom w:val="single" w:sz="4" w:space="0" w:color="auto"/>
              <w:right w:val="nil"/>
            </w:tcBorders>
            <w:shd w:val="clear" w:color="auto" w:fill="auto"/>
          </w:tcPr>
          <w:p w:rsidR="000E54C2" w:rsidRPr="00E8065F" w:rsidRDefault="000E54C2" w:rsidP="001164A3">
            <w:pPr>
              <w:spacing w:line="235" w:lineRule="auto"/>
              <w:jc w:val="both"/>
              <w:rPr>
                <w:color w:val="000000"/>
                <w:sz w:val="20"/>
                <w:szCs w:val="20"/>
              </w:rPr>
            </w:pPr>
            <w:r w:rsidRPr="00E8065F">
              <w:rPr>
                <w:color w:val="000000"/>
                <w:sz w:val="20"/>
                <w:szCs w:val="20"/>
              </w:rPr>
              <w:t xml:space="preserve">ГАУЗ </w:t>
            </w:r>
            <w:r w:rsidR="002F7358">
              <w:rPr>
                <w:color w:val="000000"/>
                <w:sz w:val="20"/>
                <w:szCs w:val="20"/>
              </w:rPr>
              <w:t>«</w:t>
            </w:r>
            <w:r w:rsidRPr="00E8065F">
              <w:rPr>
                <w:color w:val="000000"/>
                <w:sz w:val="20"/>
                <w:szCs w:val="20"/>
              </w:rPr>
              <w:t>Елабужская ЦРБ</w:t>
            </w:r>
            <w:r w:rsidR="002F7358">
              <w:rPr>
                <w:color w:val="000000"/>
                <w:sz w:val="20"/>
                <w:szCs w:val="20"/>
              </w:rPr>
              <w:t>»</w:t>
            </w:r>
          </w:p>
        </w:tc>
        <w:tc>
          <w:tcPr>
            <w:tcW w:w="1994" w:type="dxa"/>
            <w:tcBorders>
              <w:top w:val="nil"/>
              <w:left w:val="single" w:sz="4" w:space="0" w:color="auto"/>
              <w:bottom w:val="single" w:sz="4" w:space="0" w:color="auto"/>
              <w:right w:val="single" w:sz="4" w:space="0" w:color="auto"/>
            </w:tcBorders>
            <w:shd w:val="clear" w:color="auto" w:fill="auto"/>
          </w:tcPr>
          <w:p w:rsidR="000E54C2" w:rsidRPr="00E8065F" w:rsidRDefault="000E54C2" w:rsidP="001164A3">
            <w:pPr>
              <w:spacing w:line="235" w:lineRule="auto"/>
              <w:jc w:val="center"/>
              <w:rPr>
                <w:color w:val="000000"/>
                <w:sz w:val="20"/>
                <w:szCs w:val="20"/>
              </w:rPr>
            </w:pPr>
            <w:r w:rsidRPr="00E8065F">
              <w:rPr>
                <w:color w:val="000000"/>
                <w:sz w:val="20"/>
                <w:szCs w:val="20"/>
              </w:rPr>
              <w:t>Флюорограф</w:t>
            </w:r>
          </w:p>
        </w:tc>
        <w:tc>
          <w:tcPr>
            <w:tcW w:w="1181" w:type="dxa"/>
            <w:shd w:val="clear" w:color="auto" w:fill="auto"/>
          </w:tcPr>
          <w:p w:rsidR="000E54C2" w:rsidRPr="00E8065F" w:rsidRDefault="000E54C2" w:rsidP="001164A3">
            <w:pPr>
              <w:spacing w:line="235" w:lineRule="auto"/>
              <w:jc w:val="center"/>
              <w:rPr>
                <w:sz w:val="20"/>
                <w:szCs w:val="20"/>
              </w:rPr>
            </w:pPr>
            <w:r w:rsidRPr="00E8065F">
              <w:rPr>
                <w:sz w:val="20"/>
                <w:szCs w:val="20"/>
              </w:rPr>
              <w:t>2019</w:t>
            </w:r>
          </w:p>
        </w:tc>
        <w:tc>
          <w:tcPr>
            <w:tcW w:w="1181" w:type="dxa"/>
            <w:tcBorders>
              <w:top w:val="nil"/>
              <w:left w:val="single" w:sz="4" w:space="0" w:color="auto"/>
              <w:bottom w:val="single" w:sz="4" w:space="0" w:color="auto"/>
              <w:right w:val="single" w:sz="4" w:space="0" w:color="auto"/>
            </w:tcBorders>
            <w:shd w:val="clear" w:color="auto" w:fill="auto"/>
          </w:tcPr>
          <w:p w:rsidR="000E54C2" w:rsidRPr="00E8065F" w:rsidRDefault="000E54C2" w:rsidP="001164A3">
            <w:pPr>
              <w:spacing w:line="235" w:lineRule="auto"/>
              <w:jc w:val="center"/>
              <w:rPr>
                <w:color w:val="000000"/>
                <w:sz w:val="20"/>
                <w:szCs w:val="20"/>
              </w:rPr>
            </w:pPr>
            <w:r w:rsidRPr="00E8065F">
              <w:rPr>
                <w:color w:val="000000"/>
                <w:sz w:val="20"/>
                <w:szCs w:val="20"/>
              </w:rPr>
              <w:t>1</w:t>
            </w:r>
          </w:p>
        </w:tc>
        <w:tc>
          <w:tcPr>
            <w:tcW w:w="1478" w:type="dxa"/>
            <w:tcBorders>
              <w:top w:val="nil"/>
              <w:left w:val="single" w:sz="4" w:space="0" w:color="auto"/>
              <w:bottom w:val="single" w:sz="4" w:space="0" w:color="auto"/>
              <w:right w:val="single" w:sz="4" w:space="0" w:color="auto"/>
            </w:tcBorders>
            <w:shd w:val="clear" w:color="auto" w:fill="auto"/>
          </w:tcPr>
          <w:p w:rsidR="000E54C2" w:rsidRPr="00E8065F" w:rsidRDefault="000E54C2" w:rsidP="001164A3">
            <w:pPr>
              <w:spacing w:line="235" w:lineRule="auto"/>
              <w:jc w:val="center"/>
              <w:rPr>
                <w:color w:val="000000"/>
                <w:sz w:val="20"/>
                <w:szCs w:val="20"/>
              </w:rPr>
            </w:pPr>
            <w:r w:rsidRPr="00E8065F">
              <w:rPr>
                <w:color w:val="000000"/>
                <w:sz w:val="20"/>
                <w:szCs w:val="20"/>
              </w:rPr>
              <w:t>108,4</w:t>
            </w:r>
          </w:p>
        </w:tc>
        <w:tc>
          <w:tcPr>
            <w:tcW w:w="1111" w:type="dxa"/>
            <w:tcBorders>
              <w:top w:val="nil"/>
              <w:left w:val="single" w:sz="4" w:space="0" w:color="auto"/>
              <w:bottom w:val="single" w:sz="4" w:space="0" w:color="auto"/>
              <w:right w:val="single" w:sz="4" w:space="0" w:color="auto"/>
            </w:tcBorders>
            <w:shd w:val="clear" w:color="auto" w:fill="auto"/>
          </w:tcPr>
          <w:p w:rsidR="000E54C2" w:rsidRPr="00E8065F" w:rsidRDefault="000E54C2" w:rsidP="001164A3">
            <w:pPr>
              <w:spacing w:line="235" w:lineRule="auto"/>
              <w:jc w:val="center"/>
              <w:rPr>
                <w:color w:val="000000"/>
                <w:sz w:val="20"/>
                <w:szCs w:val="20"/>
              </w:rPr>
            </w:pPr>
            <w:r w:rsidRPr="00E8065F">
              <w:rPr>
                <w:color w:val="000000"/>
                <w:sz w:val="20"/>
                <w:szCs w:val="20"/>
              </w:rPr>
              <w:t>2</w:t>
            </w:r>
          </w:p>
        </w:tc>
        <w:tc>
          <w:tcPr>
            <w:tcW w:w="1944" w:type="dxa"/>
            <w:tcBorders>
              <w:top w:val="nil"/>
              <w:left w:val="single" w:sz="4" w:space="0" w:color="auto"/>
              <w:bottom w:val="single" w:sz="4" w:space="0" w:color="auto"/>
              <w:right w:val="single" w:sz="4" w:space="0" w:color="auto"/>
            </w:tcBorders>
            <w:shd w:val="clear" w:color="auto" w:fill="auto"/>
          </w:tcPr>
          <w:p w:rsidR="000E54C2" w:rsidRPr="00E8065F" w:rsidRDefault="000E54C2" w:rsidP="001164A3">
            <w:pPr>
              <w:spacing w:line="235" w:lineRule="auto"/>
              <w:jc w:val="center"/>
              <w:rPr>
                <w:color w:val="000000"/>
                <w:sz w:val="20"/>
                <w:szCs w:val="20"/>
              </w:rPr>
            </w:pPr>
            <w:r w:rsidRPr="00E8065F">
              <w:rPr>
                <w:color w:val="000000"/>
                <w:sz w:val="20"/>
                <w:szCs w:val="20"/>
              </w:rPr>
              <w:t>Амбулаторное</w:t>
            </w:r>
          </w:p>
        </w:tc>
      </w:tr>
      <w:tr w:rsidR="00BA1432" w:rsidRPr="00E8065F" w:rsidTr="000546C2">
        <w:trPr>
          <w:trHeight w:val="20"/>
        </w:trPr>
        <w:tc>
          <w:tcPr>
            <w:tcW w:w="1555" w:type="dxa"/>
            <w:vMerge/>
          </w:tcPr>
          <w:p w:rsidR="000E54C2" w:rsidRPr="00E8065F" w:rsidRDefault="000E54C2" w:rsidP="00BA1432">
            <w:pPr>
              <w:rPr>
                <w:sz w:val="20"/>
                <w:szCs w:val="20"/>
              </w:rPr>
            </w:pPr>
          </w:p>
        </w:tc>
        <w:tc>
          <w:tcPr>
            <w:tcW w:w="3685" w:type="dxa"/>
            <w:tcBorders>
              <w:top w:val="nil"/>
              <w:left w:val="single" w:sz="4" w:space="0" w:color="auto"/>
              <w:bottom w:val="single" w:sz="4" w:space="0" w:color="auto"/>
              <w:right w:val="nil"/>
            </w:tcBorders>
            <w:shd w:val="clear" w:color="auto" w:fill="auto"/>
          </w:tcPr>
          <w:p w:rsidR="000E54C2" w:rsidRPr="00E8065F" w:rsidRDefault="000E54C2" w:rsidP="001164A3">
            <w:pPr>
              <w:spacing w:line="235" w:lineRule="auto"/>
              <w:jc w:val="both"/>
              <w:rPr>
                <w:color w:val="000000"/>
                <w:sz w:val="20"/>
                <w:szCs w:val="20"/>
              </w:rPr>
            </w:pPr>
            <w:r w:rsidRPr="00E8065F">
              <w:rPr>
                <w:color w:val="000000"/>
                <w:sz w:val="20"/>
                <w:szCs w:val="20"/>
              </w:rPr>
              <w:t xml:space="preserve">ГАУЗ </w:t>
            </w:r>
            <w:r w:rsidR="002F7358">
              <w:rPr>
                <w:color w:val="000000"/>
                <w:sz w:val="20"/>
                <w:szCs w:val="20"/>
              </w:rPr>
              <w:t>«</w:t>
            </w:r>
            <w:r w:rsidRPr="00E8065F">
              <w:rPr>
                <w:color w:val="000000"/>
                <w:sz w:val="20"/>
                <w:szCs w:val="20"/>
              </w:rPr>
              <w:t>Заинская ЦРБ</w:t>
            </w:r>
            <w:r w:rsidR="002F7358">
              <w:rPr>
                <w:color w:val="000000"/>
                <w:sz w:val="20"/>
                <w:szCs w:val="20"/>
              </w:rPr>
              <w:t>»</w:t>
            </w:r>
          </w:p>
        </w:tc>
        <w:tc>
          <w:tcPr>
            <w:tcW w:w="1994" w:type="dxa"/>
            <w:tcBorders>
              <w:top w:val="nil"/>
              <w:left w:val="single" w:sz="4" w:space="0" w:color="auto"/>
              <w:bottom w:val="single" w:sz="4" w:space="0" w:color="auto"/>
              <w:right w:val="single" w:sz="4" w:space="0" w:color="auto"/>
            </w:tcBorders>
            <w:shd w:val="clear" w:color="auto" w:fill="auto"/>
          </w:tcPr>
          <w:p w:rsidR="000E54C2" w:rsidRPr="00E8065F" w:rsidRDefault="000E54C2" w:rsidP="001164A3">
            <w:pPr>
              <w:spacing w:line="235" w:lineRule="auto"/>
              <w:jc w:val="center"/>
              <w:rPr>
                <w:color w:val="000000"/>
                <w:sz w:val="20"/>
                <w:szCs w:val="20"/>
              </w:rPr>
            </w:pPr>
            <w:r w:rsidRPr="00E8065F">
              <w:rPr>
                <w:color w:val="000000"/>
                <w:sz w:val="20"/>
                <w:szCs w:val="20"/>
              </w:rPr>
              <w:t>Флюорограф</w:t>
            </w:r>
          </w:p>
        </w:tc>
        <w:tc>
          <w:tcPr>
            <w:tcW w:w="1181" w:type="dxa"/>
            <w:shd w:val="clear" w:color="auto" w:fill="auto"/>
          </w:tcPr>
          <w:p w:rsidR="000E54C2" w:rsidRPr="00E8065F" w:rsidRDefault="000E54C2" w:rsidP="001164A3">
            <w:pPr>
              <w:spacing w:line="235" w:lineRule="auto"/>
              <w:jc w:val="center"/>
              <w:rPr>
                <w:sz w:val="20"/>
                <w:szCs w:val="20"/>
              </w:rPr>
            </w:pPr>
            <w:r w:rsidRPr="00E8065F">
              <w:rPr>
                <w:sz w:val="20"/>
                <w:szCs w:val="20"/>
              </w:rPr>
              <w:t>2019</w:t>
            </w:r>
          </w:p>
        </w:tc>
        <w:tc>
          <w:tcPr>
            <w:tcW w:w="1181" w:type="dxa"/>
            <w:tcBorders>
              <w:top w:val="nil"/>
              <w:left w:val="single" w:sz="4" w:space="0" w:color="auto"/>
              <w:bottom w:val="single" w:sz="4" w:space="0" w:color="auto"/>
              <w:right w:val="single" w:sz="4" w:space="0" w:color="auto"/>
            </w:tcBorders>
            <w:shd w:val="clear" w:color="auto" w:fill="auto"/>
          </w:tcPr>
          <w:p w:rsidR="000E54C2" w:rsidRPr="00E8065F" w:rsidRDefault="000E54C2" w:rsidP="001164A3">
            <w:pPr>
              <w:spacing w:line="235" w:lineRule="auto"/>
              <w:jc w:val="center"/>
              <w:rPr>
                <w:color w:val="000000"/>
                <w:sz w:val="20"/>
                <w:szCs w:val="20"/>
              </w:rPr>
            </w:pPr>
            <w:r w:rsidRPr="00E8065F">
              <w:rPr>
                <w:color w:val="000000"/>
                <w:sz w:val="20"/>
                <w:szCs w:val="20"/>
              </w:rPr>
              <w:t>1</w:t>
            </w:r>
          </w:p>
        </w:tc>
        <w:tc>
          <w:tcPr>
            <w:tcW w:w="1478" w:type="dxa"/>
            <w:tcBorders>
              <w:top w:val="nil"/>
              <w:left w:val="single" w:sz="4" w:space="0" w:color="auto"/>
              <w:bottom w:val="single" w:sz="4" w:space="0" w:color="auto"/>
              <w:right w:val="single" w:sz="4" w:space="0" w:color="auto"/>
            </w:tcBorders>
            <w:shd w:val="clear" w:color="auto" w:fill="auto"/>
          </w:tcPr>
          <w:p w:rsidR="000E54C2" w:rsidRPr="00E8065F" w:rsidRDefault="000E54C2" w:rsidP="001164A3">
            <w:pPr>
              <w:spacing w:line="235" w:lineRule="auto"/>
              <w:jc w:val="center"/>
              <w:rPr>
                <w:color w:val="000000"/>
                <w:sz w:val="20"/>
                <w:szCs w:val="20"/>
              </w:rPr>
            </w:pPr>
            <w:r w:rsidRPr="00E8065F">
              <w:rPr>
                <w:color w:val="000000"/>
                <w:sz w:val="20"/>
                <w:szCs w:val="20"/>
              </w:rPr>
              <w:t>69,4</w:t>
            </w:r>
          </w:p>
        </w:tc>
        <w:tc>
          <w:tcPr>
            <w:tcW w:w="1111" w:type="dxa"/>
            <w:tcBorders>
              <w:top w:val="nil"/>
              <w:left w:val="single" w:sz="4" w:space="0" w:color="auto"/>
              <w:bottom w:val="single" w:sz="4" w:space="0" w:color="auto"/>
              <w:right w:val="single" w:sz="4" w:space="0" w:color="auto"/>
            </w:tcBorders>
            <w:shd w:val="clear" w:color="auto" w:fill="auto"/>
          </w:tcPr>
          <w:p w:rsidR="000E54C2" w:rsidRPr="00E8065F" w:rsidRDefault="000E54C2" w:rsidP="001164A3">
            <w:pPr>
              <w:spacing w:line="235" w:lineRule="auto"/>
              <w:jc w:val="center"/>
              <w:rPr>
                <w:color w:val="000000"/>
                <w:sz w:val="20"/>
                <w:szCs w:val="20"/>
              </w:rPr>
            </w:pPr>
            <w:r w:rsidRPr="00E8065F">
              <w:rPr>
                <w:color w:val="000000"/>
                <w:sz w:val="20"/>
                <w:szCs w:val="20"/>
              </w:rPr>
              <w:t>2</w:t>
            </w:r>
          </w:p>
        </w:tc>
        <w:tc>
          <w:tcPr>
            <w:tcW w:w="1944" w:type="dxa"/>
            <w:tcBorders>
              <w:top w:val="nil"/>
              <w:left w:val="single" w:sz="4" w:space="0" w:color="auto"/>
              <w:bottom w:val="single" w:sz="4" w:space="0" w:color="auto"/>
              <w:right w:val="single" w:sz="4" w:space="0" w:color="auto"/>
            </w:tcBorders>
            <w:shd w:val="clear" w:color="auto" w:fill="auto"/>
          </w:tcPr>
          <w:p w:rsidR="000E54C2" w:rsidRPr="00E8065F" w:rsidRDefault="000E54C2" w:rsidP="001164A3">
            <w:pPr>
              <w:spacing w:line="235" w:lineRule="auto"/>
              <w:jc w:val="center"/>
              <w:rPr>
                <w:color w:val="000000"/>
                <w:sz w:val="20"/>
                <w:szCs w:val="20"/>
              </w:rPr>
            </w:pPr>
            <w:r w:rsidRPr="00E8065F">
              <w:rPr>
                <w:color w:val="000000"/>
                <w:sz w:val="20"/>
                <w:szCs w:val="20"/>
              </w:rPr>
              <w:t>Амбулаторное</w:t>
            </w:r>
          </w:p>
        </w:tc>
      </w:tr>
      <w:tr w:rsidR="00BA1432" w:rsidRPr="00E8065F" w:rsidTr="000546C2">
        <w:trPr>
          <w:trHeight w:val="20"/>
        </w:trPr>
        <w:tc>
          <w:tcPr>
            <w:tcW w:w="1555" w:type="dxa"/>
            <w:vMerge/>
          </w:tcPr>
          <w:p w:rsidR="000E54C2" w:rsidRPr="00E8065F" w:rsidRDefault="000E54C2" w:rsidP="00BA1432">
            <w:pPr>
              <w:rPr>
                <w:sz w:val="20"/>
                <w:szCs w:val="20"/>
              </w:rPr>
            </w:pPr>
          </w:p>
        </w:tc>
        <w:tc>
          <w:tcPr>
            <w:tcW w:w="3685" w:type="dxa"/>
            <w:tcBorders>
              <w:top w:val="nil"/>
              <w:left w:val="single" w:sz="4" w:space="0" w:color="auto"/>
              <w:bottom w:val="single" w:sz="4" w:space="0" w:color="auto"/>
              <w:right w:val="nil"/>
            </w:tcBorders>
            <w:shd w:val="clear" w:color="auto" w:fill="auto"/>
          </w:tcPr>
          <w:p w:rsidR="000E54C2" w:rsidRPr="00E8065F" w:rsidRDefault="000E54C2" w:rsidP="001164A3">
            <w:pPr>
              <w:spacing w:line="235" w:lineRule="auto"/>
              <w:jc w:val="both"/>
              <w:rPr>
                <w:color w:val="000000"/>
                <w:sz w:val="20"/>
                <w:szCs w:val="20"/>
              </w:rPr>
            </w:pPr>
            <w:r w:rsidRPr="00E8065F">
              <w:rPr>
                <w:color w:val="000000"/>
                <w:sz w:val="20"/>
                <w:szCs w:val="20"/>
              </w:rPr>
              <w:t xml:space="preserve">ГАУЗ </w:t>
            </w:r>
            <w:r w:rsidR="002F7358">
              <w:rPr>
                <w:color w:val="000000"/>
                <w:sz w:val="20"/>
                <w:szCs w:val="20"/>
              </w:rPr>
              <w:t>«</w:t>
            </w:r>
            <w:r w:rsidRPr="00E8065F">
              <w:rPr>
                <w:color w:val="000000"/>
                <w:sz w:val="20"/>
                <w:szCs w:val="20"/>
              </w:rPr>
              <w:t>Зеленодольская ЦРБ</w:t>
            </w:r>
            <w:r w:rsidR="002F7358">
              <w:rPr>
                <w:color w:val="000000"/>
                <w:sz w:val="20"/>
                <w:szCs w:val="20"/>
              </w:rPr>
              <w:t>»</w:t>
            </w:r>
          </w:p>
        </w:tc>
        <w:tc>
          <w:tcPr>
            <w:tcW w:w="1994" w:type="dxa"/>
            <w:tcBorders>
              <w:top w:val="nil"/>
              <w:left w:val="single" w:sz="4" w:space="0" w:color="auto"/>
              <w:bottom w:val="single" w:sz="4" w:space="0" w:color="auto"/>
              <w:right w:val="single" w:sz="4" w:space="0" w:color="auto"/>
            </w:tcBorders>
            <w:shd w:val="clear" w:color="auto" w:fill="auto"/>
          </w:tcPr>
          <w:p w:rsidR="000E54C2" w:rsidRPr="00E8065F" w:rsidRDefault="000E54C2" w:rsidP="001164A3">
            <w:pPr>
              <w:spacing w:line="235" w:lineRule="auto"/>
              <w:jc w:val="center"/>
              <w:rPr>
                <w:color w:val="000000"/>
                <w:sz w:val="20"/>
                <w:szCs w:val="20"/>
              </w:rPr>
            </w:pPr>
            <w:r w:rsidRPr="00E8065F">
              <w:rPr>
                <w:color w:val="000000"/>
                <w:sz w:val="20"/>
                <w:szCs w:val="20"/>
              </w:rPr>
              <w:t>Флюорограф</w:t>
            </w:r>
          </w:p>
        </w:tc>
        <w:tc>
          <w:tcPr>
            <w:tcW w:w="1181" w:type="dxa"/>
            <w:shd w:val="clear" w:color="auto" w:fill="auto"/>
          </w:tcPr>
          <w:p w:rsidR="00783899" w:rsidRPr="00E8065F" w:rsidRDefault="000E54C2" w:rsidP="00783899">
            <w:pPr>
              <w:jc w:val="center"/>
              <w:rPr>
                <w:sz w:val="20"/>
                <w:szCs w:val="20"/>
              </w:rPr>
            </w:pPr>
            <w:r w:rsidRPr="00E8065F">
              <w:rPr>
                <w:sz w:val="20"/>
                <w:szCs w:val="20"/>
              </w:rPr>
              <w:t>2011</w:t>
            </w:r>
            <w:r w:rsidR="00AA5FB3">
              <w:rPr>
                <w:sz w:val="20"/>
                <w:szCs w:val="20"/>
              </w:rPr>
              <w:t xml:space="preserve"> </w:t>
            </w:r>
            <w:r w:rsidR="00783899">
              <w:rPr>
                <w:sz w:val="20"/>
                <w:szCs w:val="20"/>
              </w:rPr>
              <w:t>(1)</w:t>
            </w:r>
          </w:p>
          <w:p w:rsidR="00783899" w:rsidRPr="00E8065F" w:rsidRDefault="000E54C2" w:rsidP="00783899">
            <w:pPr>
              <w:jc w:val="center"/>
              <w:rPr>
                <w:sz w:val="20"/>
                <w:szCs w:val="20"/>
              </w:rPr>
            </w:pPr>
            <w:r w:rsidRPr="00E8065F">
              <w:rPr>
                <w:sz w:val="20"/>
                <w:szCs w:val="20"/>
              </w:rPr>
              <w:t>2012</w:t>
            </w:r>
            <w:r w:rsidR="00AA5FB3">
              <w:rPr>
                <w:sz w:val="20"/>
                <w:szCs w:val="20"/>
              </w:rPr>
              <w:t xml:space="preserve"> </w:t>
            </w:r>
            <w:r w:rsidR="00783899">
              <w:rPr>
                <w:sz w:val="20"/>
                <w:szCs w:val="20"/>
              </w:rPr>
              <w:t>(1)</w:t>
            </w:r>
          </w:p>
          <w:p w:rsidR="00783899" w:rsidRPr="00E8065F" w:rsidRDefault="000E54C2" w:rsidP="00783899">
            <w:pPr>
              <w:jc w:val="center"/>
              <w:rPr>
                <w:sz w:val="20"/>
                <w:szCs w:val="20"/>
              </w:rPr>
            </w:pPr>
            <w:r w:rsidRPr="00E8065F">
              <w:rPr>
                <w:sz w:val="20"/>
                <w:szCs w:val="20"/>
              </w:rPr>
              <w:t>2013</w:t>
            </w:r>
            <w:r w:rsidR="00AA5FB3">
              <w:rPr>
                <w:sz w:val="20"/>
                <w:szCs w:val="20"/>
              </w:rPr>
              <w:t xml:space="preserve"> </w:t>
            </w:r>
            <w:r w:rsidR="00783899">
              <w:rPr>
                <w:sz w:val="20"/>
                <w:szCs w:val="20"/>
              </w:rPr>
              <w:t>(1)</w:t>
            </w:r>
          </w:p>
          <w:p w:rsidR="00783899" w:rsidRPr="00E8065F" w:rsidRDefault="000E54C2" w:rsidP="00783899">
            <w:pPr>
              <w:jc w:val="center"/>
              <w:rPr>
                <w:sz w:val="20"/>
                <w:szCs w:val="20"/>
              </w:rPr>
            </w:pPr>
            <w:r w:rsidRPr="00E8065F">
              <w:rPr>
                <w:sz w:val="20"/>
                <w:szCs w:val="20"/>
              </w:rPr>
              <w:t>2022</w:t>
            </w:r>
            <w:r w:rsidR="00AA5FB3">
              <w:rPr>
                <w:sz w:val="20"/>
                <w:szCs w:val="20"/>
              </w:rPr>
              <w:t xml:space="preserve"> </w:t>
            </w:r>
            <w:r w:rsidR="00783899">
              <w:rPr>
                <w:sz w:val="20"/>
                <w:szCs w:val="20"/>
              </w:rPr>
              <w:t>(1)</w:t>
            </w:r>
          </w:p>
          <w:p w:rsidR="000E54C2" w:rsidRPr="00E8065F" w:rsidRDefault="000E54C2" w:rsidP="00AA5FB3">
            <w:pPr>
              <w:spacing w:line="235" w:lineRule="auto"/>
              <w:jc w:val="center"/>
              <w:rPr>
                <w:sz w:val="20"/>
                <w:szCs w:val="20"/>
              </w:rPr>
            </w:pPr>
            <w:r w:rsidRPr="00E8065F">
              <w:rPr>
                <w:sz w:val="20"/>
                <w:szCs w:val="20"/>
              </w:rPr>
              <w:t>2023</w:t>
            </w:r>
            <w:r w:rsidR="00641DAA">
              <w:rPr>
                <w:sz w:val="20"/>
                <w:szCs w:val="20"/>
              </w:rPr>
              <w:t xml:space="preserve"> </w:t>
            </w:r>
            <w:r w:rsidR="00AA5FB3">
              <w:rPr>
                <w:sz w:val="20"/>
                <w:szCs w:val="20"/>
              </w:rPr>
              <w:t>(</w:t>
            </w:r>
            <w:r w:rsidR="00783899">
              <w:rPr>
                <w:sz w:val="20"/>
                <w:szCs w:val="20"/>
              </w:rPr>
              <w:t>2)</w:t>
            </w:r>
          </w:p>
        </w:tc>
        <w:tc>
          <w:tcPr>
            <w:tcW w:w="1181" w:type="dxa"/>
            <w:tcBorders>
              <w:top w:val="nil"/>
              <w:left w:val="single" w:sz="4" w:space="0" w:color="auto"/>
              <w:bottom w:val="single" w:sz="4" w:space="0" w:color="auto"/>
              <w:right w:val="single" w:sz="4" w:space="0" w:color="auto"/>
            </w:tcBorders>
            <w:shd w:val="clear" w:color="auto" w:fill="auto"/>
          </w:tcPr>
          <w:p w:rsidR="000E54C2" w:rsidRPr="00E8065F" w:rsidRDefault="000E54C2" w:rsidP="001164A3">
            <w:pPr>
              <w:spacing w:line="235" w:lineRule="auto"/>
              <w:jc w:val="center"/>
              <w:rPr>
                <w:color w:val="000000"/>
                <w:sz w:val="20"/>
                <w:szCs w:val="20"/>
              </w:rPr>
            </w:pPr>
            <w:r w:rsidRPr="00E8065F">
              <w:rPr>
                <w:color w:val="000000"/>
                <w:sz w:val="20"/>
                <w:szCs w:val="20"/>
              </w:rPr>
              <w:t>6</w:t>
            </w:r>
          </w:p>
        </w:tc>
        <w:tc>
          <w:tcPr>
            <w:tcW w:w="1478" w:type="dxa"/>
            <w:tcBorders>
              <w:top w:val="nil"/>
              <w:left w:val="single" w:sz="4" w:space="0" w:color="auto"/>
              <w:bottom w:val="single" w:sz="4" w:space="0" w:color="auto"/>
              <w:right w:val="single" w:sz="4" w:space="0" w:color="auto"/>
            </w:tcBorders>
            <w:shd w:val="clear" w:color="auto" w:fill="auto"/>
          </w:tcPr>
          <w:p w:rsidR="000E54C2" w:rsidRPr="00E8065F" w:rsidRDefault="000E54C2" w:rsidP="001164A3">
            <w:pPr>
              <w:spacing w:line="235" w:lineRule="auto"/>
              <w:jc w:val="center"/>
              <w:rPr>
                <w:color w:val="000000"/>
                <w:sz w:val="20"/>
                <w:szCs w:val="20"/>
              </w:rPr>
            </w:pPr>
            <w:r w:rsidRPr="00E8065F">
              <w:rPr>
                <w:color w:val="000000"/>
                <w:sz w:val="20"/>
                <w:szCs w:val="20"/>
              </w:rPr>
              <w:t>214,1</w:t>
            </w:r>
          </w:p>
        </w:tc>
        <w:tc>
          <w:tcPr>
            <w:tcW w:w="1111" w:type="dxa"/>
            <w:tcBorders>
              <w:top w:val="nil"/>
              <w:left w:val="single" w:sz="4" w:space="0" w:color="auto"/>
              <w:bottom w:val="single" w:sz="4" w:space="0" w:color="auto"/>
              <w:right w:val="single" w:sz="4" w:space="0" w:color="auto"/>
            </w:tcBorders>
            <w:shd w:val="clear" w:color="auto" w:fill="auto"/>
          </w:tcPr>
          <w:p w:rsidR="000E54C2" w:rsidRPr="00E8065F" w:rsidRDefault="000E54C2" w:rsidP="001164A3">
            <w:pPr>
              <w:spacing w:line="235" w:lineRule="auto"/>
              <w:jc w:val="center"/>
              <w:rPr>
                <w:color w:val="000000"/>
                <w:sz w:val="20"/>
                <w:szCs w:val="20"/>
              </w:rPr>
            </w:pPr>
            <w:r w:rsidRPr="00E8065F">
              <w:rPr>
                <w:color w:val="000000"/>
                <w:sz w:val="20"/>
                <w:szCs w:val="20"/>
              </w:rPr>
              <w:t>2</w:t>
            </w:r>
          </w:p>
        </w:tc>
        <w:tc>
          <w:tcPr>
            <w:tcW w:w="1944" w:type="dxa"/>
            <w:tcBorders>
              <w:top w:val="nil"/>
              <w:left w:val="single" w:sz="4" w:space="0" w:color="auto"/>
              <w:bottom w:val="single" w:sz="4" w:space="0" w:color="auto"/>
              <w:right w:val="single" w:sz="4" w:space="0" w:color="auto"/>
            </w:tcBorders>
            <w:shd w:val="clear" w:color="auto" w:fill="auto"/>
          </w:tcPr>
          <w:p w:rsidR="000E54C2" w:rsidRPr="00E8065F" w:rsidRDefault="000E54C2" w:rsidP="001164A3">
            <w:pPr>
              <w:spacing w:line="235" w:lineRule="auto"/>
              <w:jc w:val="center"/>
              <w:rPr>
                <w:color w:val="000000"/>
                <w:sz w:val="20"/>
                <w:szCs w:val="20"/>
              </w:rPr>
            </w:pPr>
            <w:r w:rsidRPr="00E8065F">
              <w:rPr>
                <w:color w:val="000000"/>
                <w:sz w:val="20"/>
                <w:szCs w:val="20"/>
              </w:rPr>
              <w:t>Амбулаторное/передвижное</w:t>
            </w:r>
          </w:p>
        </w:tc>
      </w:tr>
      <w:tr w:rsidR="00BA1432" w:rsidRPr="00E8065F" w:rsidTr="000546C2">
        <w:trPr>
          <w:trHeight w:val="20"/>
        </w:trPr>
        <w:tc>
          <w:tcPr>
            <w:tcW w:w="1555" w:type="dxa"/>
            <w:vMerge/>
          </w:tcPr>
          <w:p w:rsidR="000E54C2" w:rsidRPr="00E8065F" w:rsidRDefault="000E54C2" w:rsidP="00BA1432">
            <w:pPr>
              <w:rPr>
                <w:sz w:val="20"/>
                <w:szCs w:val="20"/>
              </w:rPr>
            </w:pPr>
          </w:p>
        </w:tc>
        <w:tc>
          <w:tcPr>
            <w:tcW w:w="3685" w:type="dxa"/>
            <w:tcBorders>
              <w:top w:val="nil"/>
              <w:left w:val="single" w:sz="4" w:space="0" w:color="auto"/>
              <w:bottom w:val="single" w:sz="4" w:space="0" w:color="auto"/>
              <w:right w:val="nil"/>
            </w:tcBorders>
            <w:shd w:val="clear" w:color="auto" w:fill="auto"/>
          </w:tcPr>
          <w:p w:rsidR="000E54C2" w:rsidRPr="00E8065F" w:rsidRDefault="000E54C2" w:rsidP="001164A3">
            <w:pPr>
              <w:spacing w:line="235" w:lineRule="auto"/>
              <w:jc w:val="both"/>
              <w:rPr>
                <w:color w:val="000000"/>
                <w:sz w:val="20"/>
                <w:szCs w:val="20"/>
              </w:rPr>
            </w:pPr>
            <w:r w:rsidRPr="00E8065F">
              <w:rPr>
                <w:color w:val="000000"/>
                <w:sz w:val="20"/>
                <w:szCs w:val="20"/>
              </w:rPr>
              <w:t xml:space="preserve">ГАУЗ </w:t>
            </w:r>
            <w:r w:rsidR="002F7358">
              <w:rPr>
                <w:color w:val="000000"/>
                <w:sz w:val="20"/>
                <w:szCs w:val="20"/>
              </w:rPr>
              <w:t>«</w:t>
            </w:r>
            <w:r w:rsidRPr="00E8065F">
              <w:rPr>
                <w:color w:val="000000"/>
                <w:sz w:val="20"/>
                <w:szCs w:val="20"/>
              </w:rPr>
              <w:t>Кайбицкая ЦРБ</w:t>
            </w:r>
            <w:r w:rsidR="002F7358">
              <w:rPr>
                <w:color w:val="000000"/>
                <w:sz w:val="20"/>
                <w:szCs w:val="20"/>
              </w:rPr>
              <w:t>»</w:t>
            </w:r>
          </w:p>
        </w:tc>
        <w:tc>
          <w:tcPr>
            <w:tcW w:w="1994" w:type="dxa"/>
            <w:tcBorders>
              <w:top w:val="nil"/>
              <w:left w:val="single" w:sz="4" w:space="0" w:color="auto"/>
              <w:bottom w:val="single" w:sz="4" w:space="0" w:color="auto"/>
              <w:right w:val="single" w:sz="4" w:space="0" w:color="auto"/>
            </w:tcBorders>
            <w:shd w:val="clear" w:color="auto" w:fill="auto"/>
          </w:tcPr>
          <w:p w:rsidR="000E54C2" w:rsidRPr="00E8065F" w:rsidRDefault="000E54C2" w:rsidP="001164A3">
            <w:pPr>
              <w:spacing w:line="235" w:lineRule="auto"/>
              <w:jc w:val="center"/>
              <w:rPr>
                <w:color w:val="000000"/>
                <w:sz w:val="20"/>
                <w:szCs w:val="20"/>
              </w:rPr>
            </w:pPr>
            <w:r w:rsidRPr="00E8065F">
              <w:rPr>
                <w:color w:val="000000"/>
                <w:sz w:val="20"/>
                <w:szCs w:val="20"/>
              </w:rPr>
              <w:t>Флюорограф</w:t>
            </w:r>
          </w:p>
        </w:tc>
        <w:tc>
          <w:tcPr>
            <w:tcW w:w="1181" w:type="dxa"/>
            <w:shd w:val="clear" w:color="auto" w:fill="auto"/>
          </w:tcPr>
          <w:p w:rsidR="000E54C2" w:rsidRPr="00E8065F" w:rsidRDefault="000E54C2" w:rsidP="001164A3">
            <w:pPr>
              <w:spacing w:line="235" w:lineRule="auto"/>
              <w:jc w:val="center"/>
              <w:rPr>
                <w:sz w:val="20"/>
                <w:szCs w:val="20"/>
              </w:rPr>
            </w:pPr>
            <w:r w:rsidRPr="00E8065F">
              <w:rPr>
                <w:sz w:val="20"/>
                <w:szCs w:val="20"/>
              </w:rPr>
              <w:t>2023</w:t>
            </w:r>
          </w:p>
        </w:tc>
        <w:tc>
          <w:tcPr>
            <w:tcW w:w="1181" w:type="dxa"/>
            <w:tcBorders>
              <w:top w:val="nil"/>
              <w:left w:val="single" w:sz="4" w:space="0" w:color="auto"/>
              <w:bottom w:val="single" w:sz="4" w:space="0" w:color="auto"/>
              <w:right w:val="single" w:sz="4" w:space="0" w:color="auto"/>
            </w:tcBorders>
            <w:shd w:val="clear" w:color="auto" w:fill="auto"/>
          </w:tcPr>
          <w:p w:rsidR="000E54C2" w:rsidRPr="00E8065F" w:rsidRDefault="000E54C2" w:rsidP="001164A3">
            <w:pPr>
              <w:spacing w:line="235" w:lineRule="auto"/>
              <w:jc w:val="center"/>
              <w:rPr>
                <w:color w:val="000000"/>
                <w:sz w:val="20"/>
                <w:szCs w:val="20"/>
              </w:rPr>
            </w:pPr>
            <w:r w:rsidRPr="00E8065F">
              <w:rPr>
                <w:color w:val="000000"/>
                <w:sz w:val="20"/>
                <w:szCs w:val="20"/>
              </w:rPr>
              <w:t>1</w:t>
            </w:r>
          </w:p>
        </w:tc>
        <w:tc>
          <w:tcPr>
            <w:tcW w:w="1478" w:type="dxa"/>
            <w:tcBorders>
              <w:top w:val="nil"/>
              <w:left w:val="single" w:sz="4" w:space="0" w:color="auto"/>
              <w:bottom w:val="single" w:sz="4" w:space="0" w:color="auto"/>
              <w:right w:val="single" w:sz="4" w:space="0" w:color="auto"/>
            </w:tcBorders>
            <w:shd w:val="clear" w:color="auto" w:fill="auto"/>
          </w:tcPr>
          <w:p w:rsidR="000E54C2" w:rsidRPr="00E8065F" w:rsidRDefault="000E54C2" w:rsidP="001164A3">
            <w:pPr>
              <w:spacing w:line="235" w:lineRule="auto"/>
              <w:jc w:val="center"/>
              <w:rPr>
                <w:color w:val="000000"/>
                <w:sz w:val="20"/>
                <w:szCs w:val="20"/>
              </w:rPr>
            </w:pPr>
            <w:r w:rsidRPr="00E8065F">
              <w:rPr>
                <w:color w:val="000000"/>
                <w:sz w:val="20"/>
                <w:szCs w:val="20"/>
              </w:rPr>
              <w:t>16,8</w:t>
            </w:r>
          </w:p>
        </w:tc>
        <w:tc>
          <w:tcPr>
            <w:tcW w:w="1111" w:type="dxa"/>
            <w:tcBorders>
              <w:top w:val="nil"/>
              <w:left w:val="single" w:sz="4" w:space="0" w:color="auto"/>
              <w:bottom w:val="single" w:sz="4" w:space="0" w:color="auto"/>
              <w:right w:val="single" w:sz="4" w:space="0" w:color="auto"/>
            </w:tcBorders>
            <w:shd w:val="clear" w:color="auto" w:fill="auto"/>
          </w:tcPr>
          <w:p w:rsidR="000E54C2" w:rsidRPr="00E8065F" w:rsidRDefault="000E54C2" w:rsidP="001164A3">
            <w:pPr>
              <w:spacing w:line="235" w:lineRule="auto"/>
              <w:jc w:val="center"/>
              <w:rPr>
                <w:color w:val="000000"/>
                <w:sz w:val="20"/>
                <w:szCs w:val="20"/>
              </w:rPr>
            </w:pPr>
            <w:r w:rsidRPr="00E8065F">
              <w:rPr>
                <w:color w:val="000000"/>
                <w:sz w:val="20"/>
                <w:szCs w:val="20"/>
              </w:rPr>
              <w:t>2</w:t>
            </w:r>
          </w:p>
        </w:tc>
        <w:tc>
          <w:tcPr>
            <w:tcW w:w="1944" w:type="dxa"/>
            <w:tcBorders>
              <w:top w:val="nil"/>
              <w:left w:val="single" w:sz="4" w:space="0" w:color="auto"/>
              <w:bottom w:val="single" w:sz="4" w:space="0" w:color="auto"/>
              <w:right w:val="single" w:sz="4" w:space="0" w:color="auto"/>
            </w:tcBorders>
            <w:shd w:val="clear" w:color="auto" w:fill="auto"/>
          </w:tcPr>
          <w:p w:rsidR="000E54C2" w:rsidRPr="00E8065F" w:rsidRDefault="000E54C2" w:rsidP="001164A3">
            <w:pPr>
              <w:spacing w:line="235" w:lineRule="auto"/>
              <w:jc w:val="center"/>
              <w:rPr>
                <w:color w:val="000000"/>
                <w:sz w:val="20"/>
                <w:szCs w:val="20"/>
              </w:rPr>
            </w:pPr>
            <w:r w:rsidRPr="00E8065F">
              <w:rPr>
                <w:color w:val="000000"/>
                <w:sz w:val="20"/>
                <w:szCs w:val="20"/>
              </w:rPr>
              <w:t>Амбулаторное</w:t>
            </w:r>
          </w:p>
        </w:tc>
      </w:tr>
      <w:tr w:rsidR="00BA1432" w:rsidRPr="00E8065F" w:rsidTr="000546C2">
        <w:trPr>
          <w:trHeight w:val="20"/>
        </w:trPr>
        <w:tc>
          <w:tcPr>
            <w:tcW w:w="1555" w:type="dxa"/>
            <w:vMerge/>
          </w:tcPr>
          <w:p w:rsidR="000E54C2" w:rsidRPr="00E8065F" w:rsidRDefault="000E54C2" w:rsidP="00BA1432">
            <w:pPr>
              <w:rPr>
                <w:sz w:val="20"/>
                <w:szCs w:val="20"/>
              </w:rPr>
            </w:pPr>
          </w:p>
        </w:tc>
        <w:tc>
          <w:tcPr>
            <w:tcW w:w="3685" w:type="dxa"/>
            <w:tcBorders>
              <w:top w:val="nil"/>
              <w:left w:val="single" w:sz="4" w:space="0" w:color="auto"/>
              <w:bottom w:val="single" w:sz="4" w:space="0" w:color="auto"/>
              <w:right w:val="nil"/>
            </w:tcBorders>
            <w:shd w:val="clear" w:color="auto" w:fill="auto"/>
          </w:tcPr>
          <w:p w:rsidR="000E54C2" w:rsidRPr="00E8065F" w:rsidRDefault="000E54C2" w:rsidP="001164A3">
            <w:pPr>
              <w:spacing w:line="235" w:lineRule="auto"/>
              <w:jc w:val="both"/>
              <w:rPr>
                <w:color w:val="000000"/>
                <w:sz w:val="20"/>
                <w:szCs w:val="20"/>
              </w:rPr>
            </w:pPr>
            <w:r w:rsidRPr="00E8065F">
              <w:rPr>
                <w:color w:val="000000"/>
                <w:sz w:val="20"/>
                <w:szCs w:val="20"/>
              </w:rPr>
              <w:t xml:space="preserve">ГАУЗ </w:t>
            </w:r>
            <w:r w:rsidR="002F7358">
              <w:rPr>
                <w:color w:val="000000"/>
                <w:sz w:val="20"/>
                <w:szCs w:val="20"/>
              </w:rPr>
              <w:t>«</w:t>
            </w:r>
            <w:r w:rsidRPr="00E8065F">
              <w:rPr>
                <w:color w:val="000000"/>
                <w:sz w:val="20"/>
                <w:szCs w:val="20"/>
              </w:rPr>
              <w:t>Камско-Устьинская ЦРБ</w:t>
            </w:r>
            <w:r w:rsidR="002F7358">
              <w:rPr>
                <w:color w:val="000000"/>
                <w:sz w:val="20"/>
                <w:szCs w:val="20"/>
              </w:rPr>
              <w:t>»</w:t>
            </w:r>
          </w:p>
        </w:tc>
        <w:tc>
          <w:tcPr>
            <w:tcW w:w="1994" w:type="dxa"/>
            <w:tcBorders>
              <w:top w:val="nil"/>
              <w:left w:val="single" w:sz="4" w:space="0" w:color="auto"/>
              <w:bottom w:val="single" w:sz="4" w:space="0" w:color="auto"/>
              <w:right w:val="single" w:sz="4" w:space="0" w:color="auto"/>
            </w:tcBorders>
            <w:shd w:val="clear" w:color="auto" w:fill="auto"/>
          </w:tcPr>
          <w:p w:rsidR="000E54C2" w:rsidRPr="00E8065F" w:rsidRDefault="000E54C2" w:rsidP="001164A3">
            <w:pPr>
              <w:spacing w:line="235" w:lineRule="auto"/>
              <w:jc w:val="center"/>
              <w:rPr>
                <w:color w:val="000000"/>
                <w:sz w:val="20"/>
                <w:szCs w:val="20"/>
              </w:rPr>
            </w:pPr>
            <w:r w:rsidRPr="00E8065F">
              <w:rPr>
                <w:color w:val="000000"/>
                <w:sz w:val="20"/>
                <w:szCs w:val="20"/>
              </w:rPr>
              <w:t>Флюорограф</w:t>
            </w:r>
          </w:p>
        </w:tc>
        <w:tc>
          <w:tcPr>
            <w:tcW w:w="1181" w:type="dxa"/>
            <w:shd w:val="clear" w:color="auto" w:fill="auto"/>
          </w:tcPr>
          <w:p w:rsidR="000E54C2" w:rsidRPr="00E8065F" w:rsidRDefault="000E54C2" w:rsidP="001164A3">
            <w:pPr>
              <w:spacing w:line="235" w:lineRule="auto"/>
              <w:jc w:val="center"/>
              <w:rPr>
                <w:sz w:val="20"/>
                <w:szCs w:val="20"/>
              </w:rPr>
            </w:pPr>
            <w:r w:rsidRPr="00E8065F">
              <w:rPr>
                <w:sz w:val="20"/>
                <w:szCs w:val="20"/>
              </w:rPr>
              <w:t>2022</w:t>
            </w:r>
          </w:p>
        </w:tc>
        <w:tc>
          <w:tcPr>
            <w:tcW w:w="1181" w:type="dxa"/>
            <w:tcBorders>
              <w:top w:val="nil"/>
              <w:left w:val="single" w:sz="4" w:space="0" w:color="auto"/>
              <w:bottom w:val="single" w:sz="4" w:space="0" w:color="auto"/>
              <w:right w:val="single" w:sz="4" w:space="0" w:color="auto"/>
            </w:tcBorders>
            <w:shd w:val="clear" w:color="auto" w:fill="auto"/>
          </w:tcPr>
          <w:p w:rsidR="000E54C2" w:rsidRPr="00E8065F" w:rsidRDefault="000E54C2" w:rsidP="001164A3">
            <w:pPr>
              <w:spacing w:line="235" w:lineRule="auto"/>
              <w:jc w:val="center"/>
              <w:rPr>
                <w:color w:val="000000"/>
                <w:sz w:val="20"/>
                <w:szCs w:val="20"/>
              </w:rPr>
            </w:pPr>
            <w:r w:rsidRPr="00E8065F">
              <w:rPr>
                <w:color w:val="000000"/>
                <w:sz w:val="20"/>
                <w:szCs w:val="20"/>
              </w:rPr>
              <w:t>1</w:t>
            </w:r>
          </w:p>
        </w:tc>
        <w:tc>
          <w:tcPr>
            <w:tcW w:w="1478" w:type="dxa"/>
            <w:tcBorders>
              <w:top w:val="nil"/>
              <w:left w:val="single" w:sz="4" w:space="0" w:color="auto"/>
              <w:bottom w:val="single" w:sz="4" w:space="0" w:color="auto"/>
              <w:right w:val="single" w:sz="4" w:space="0" w:color="auto"/>
            </w:tcBorders>
            <w:shd w:val="clear" w:color="auto" w:fill="auto"/>
          </w:tcPr>
          <w:p w:rsidR="000E54C2" w:rsidRPr="00E8065F" w:rsidRDefault="000E54C2" w:rsidP="001164A3">
            <w:pPr>
              <w:spacing w:line="235" w:lineRule="auto"/>
              <w:jc w:val="center"/>
              <w:rPr>
                <w:color w:val="000000"/>
                <w:sz w:val="20"/>
                <w:szCs w:val="20"/>
              </w:rPr>
            </w:pPr>
            <w:r w:rsidRPr="00E8065F">
              <w:rPr>
                <w:color w:val="000000"/>
                <w:sz w:val="20"/>
                <w:szCs w:val="20"/>
              </w:rPr>
              <w:t>13,5</w:t>
            </w:r>
          </w:p>
        </w:tc>
        <w:tc>
          <w:tcPr>
            <w:tcW w:w="1111" w:type="dxa"/>
            <w:tcBorders>
              <w:top w:val="nil"/>
              <w:left w:val="single" w:sz="4" w:space="0" w:color="auto"/>
              <w:bottom w:val="single" w:sz="4" w:space="0" w:color="auto"/>
              <w:right w:val="single" w:sz="4" w:space="0" w:color="auto"/>
            </w:tcBorders>
            <w:shd w:val="clear" w:color="auto" w:fill="auto"/>
          </w:tcPr>
          <w:p w:rsidR="000E54C2" w:rsidRPr="00E8065F" w:rsidRDefault="000E54C2" w:rsidP="001164A3">
            <w:pPr>
              <w:spacing w:line="235" w:lineRule="auto"/>
              <w:jc w:val="center"/>
              <w:rPr>
                <w:color w:val="000000"/>
                <w:sz w:val="20"/>
                <w:szCs w:val="20"/>
              </w:rPr>
            </w:pPr>
            <w:r w:rsidRPr="00E8065F">
              <w:rPr>
                <w:color w:val="000000"/>
                <w:sz w:val="20"/>
                <w:szCs w:val="20"/>
              </w:rPr>
              <w:t>2</w:t>
            </w:r>
          </w:p>
        </w:tc>
        <w:tc>
          <w:tcPr>
            <w:tcW w:w="1944" w:type="dxa"/>
            <w:tcBorders>
              <w:top w:val="nil"/>
              <w:left w:val="single" w:sz="4" w:space="0" w:color="auto"/>
              <w:bottom w:val="single" w:sz="4" w:space="0" w:color="auto"/>
              <w:right w:val="single" w:sz="4" w:space="0" w:color="auto"/>
            </w:tcBorders>
            <w:shd w:val="clear" w:color="auto" w:fill="auto"/>
          </w:tcPr>
          <w:p w:rsidR="000E54C2" w:rsidRPr="00E8065F" w:rsidRDefault="000E54C2" w:rsidP="001164A3">
            <w:pPr>
              <w:spacing w:line="235" w:lineRule="auto"/>
              <w:jc w:val="center"/>
              <w:rPr>
                <w:color w:val="000000"/>
                <w:sz w:val="20"/>
                <w:szCs w:val="20"/>
              </w:rPr>
            </w:pPr>
            <w:r w:rsidRPr="00E8065F">
              <w:rPr>
                <w:color w:val="000000"/>
                <w:sz w:val="20"/>
                <w:szCs w:val="20"/>
              </w:rPr>
              <w:t>Амбулаторное</w:t>
            </w:r>
          </w:p>
        </w:tc>
      </w:tr>
      <w:tr w:rsidR="00BA1432" w:rsidRPr="00E8065F" w:rsidTr="000546C2">
        <w:trPr>
          <w:trHeight w:val="20"/>
        </w:trPr>
        <w:tc>
          <w:tcPr>
            <w:tcW w:w="1555" w:type="dxa"/>
            <w:vMerge/>
          </w:tcPr>
          <w:p w:rsidR="000E54C2" w:rsidRPr="00E8065F" w:rsidRDefault="000E54C2" w:rsidP="00BA1432">
            <w:pPr>
              <w:rPr>
                <w:sz w:val="20"/>
                <w:szCs w:val="20"/>
              </w:rPr>
            </w:pPr>
          </w:p>
        </w:tc>
        <w:tc>
          <w:tcPr>
            <w:tcW w:w="3685" w:type="dxa"/>
            <w:tcBorders>
              <w:top w:val="nil"/>
              <w:left w:val="single" w:sz="4" w:space="0" w:color="auto"/>
              <w:bottom w:val="single" w:sz="4" w:space="0" w:color="auto"/>
              <w:right w:val="nil"/>
            </w:tcBorders>
            <w:shd w:val="clear" w:color="auto" w:fill="auto"/>
          </w:tcPr>
          <w:p w:rsidR="000E54C2" w:rsidRPr="00E8065F" w:rsidRDefault="000E54C2" w:rsidP="001164A3">
            <w:pPr>
              <w:spacing w:line="235" w:lineRule="auto"/>
              <w:jc w:val="both"/>
              <w:rPr>
                <w:color w:val="000000"/>
                <w:sz w:val="20"/>
                <w:szCs w:val="20"/>
              </w:rPr>
            </w:pPr>
            <w:r w:rsidRPr="00E8065F">
              <w:rPr>
                <w:color w:val="000000"/>
                <w:sz w:val="20"/>
                <w:szCs w:val="20"/>
              </w:rPr>
              <w:t xml:space="preserve">ГАУЗ </w:t>
            </w:r>
            <w:r w:rsidR="002F7358">
              <w:rPr>
                <w:color w:val="000000"/>
                <w:sz w:val="20"/>
                <w:szCs w:val="20"/>
              </w:rPr>
              <w:t>«</w:t>
            </w:r>
            <w:r w:rsidRPr="00E8065F">
              <w:rPr>
                <w:color w:val="000000"/>
                <w:sz w:val="20"/>
                <w:szCs w:val="20"/>
              </w:rPr>
              <w:t>Кукморская ЦРБ</w:t>
            </w:r>
            <w:r w:rsidR="002F7358">
              <w:rPr>
                <w:color w:val="000000"/>
                <w:sz w:val="20"/>
                <w:szCs w:val="20"/>
              </w:rPr>
              <w:t>»</w:t>
            </w:r>
            <w:r w:rsidRPr="00E8065F">
              <w:rPr>
                <w:color w:val="000000"/>
                <w:sz w:val="20"/>
                <w:szCs w:val="20"/>
              </w:rPr>
              <w:t xml:space="preserve"> </w:t>
            </w:r>
          </w:p>
        </w:tc>
        <w:tc>
          <w:tcPr>
            <w:tcW w:w="1994" w:type="dxa"/>
            <w:tcBorders>
              <w:top w:val="nil"/>
              <w:left w:val="single" w:sz="4" w:space="0" w:color="auto"/>
              <w:bottom w:val="single" w:sz="4" w:space="0" w:color="auto"/>
              <w:right w:val="single" w:sz="4" w:space="0" w:color="auto"/>
            </w:tcBorders>
            <w:shd w:val="clear" w:color="auto" w:fill="auto"/>
          </w:tcPr>
          <w:p w:rsidR="000E54C2" w:rsidRPr="00E8065F" w:rsidRDefault="000E54C2" w:rsidP="001164A3">
            <w:pPr>
              <w:spacing w:line="235" w:lineRule="auto"/>
              <w:jc w:val="center"/>
              <w:rPr>
                <w:color w:val="000000"/>
                <w:sz w:val="20"/>
                <w:szCs w:val="20"/>
              </w:rPr>
            </w:pPr>
            <w:r w:rsidRPr="00E8065F">
              <w:rPr>
                <w:color w:val="000000"/>
                <w:sz w:val="20"/>
                <w:szCs w:val="20"/>
              </w:rPr>
              <w:t>Флюорограф</w:t>
            </w:r>
          </w:p>
        </w:tc>
        <w:tc>
          <w:tcPr>
            <w:tcW w:w="1181" w:type="dxa"/>
            <w:shd w:val="clear" w:color="auto" w:fill="auto"/>
          </w:tcPr>
          <w:p w:rsidR="000E54C2" w:rsidRPr="00E8065F" w:rsidRDefault="000E54C2" w:rsidP="001164A3">
            <w:pPr>
              <w:spacing w:line="235" w:lineRule="auto"/>
              <w:jc w:val="center"/>
              <w:rPr>
                <w:sz w:val="20"/>
                <w:szCs w:val="20"/>
              </w:rPr>
            </w:pPr>
            <w:r w:rsidRPr="00E8065F">
              <w:rPr>
                <w:sz w:val="20"/>
                <w:szCs w:val="20"/>
              </w:rPr>
              <w:t>2022</w:t>
            </w:r>
          </w:p>
        </w:tc>
        <w:tc>
          <w:tcPr>
            <w:tcW w:w="1181" w:type="dxa"/>
            <w:tcBorders>
              <w:top w:val="nil"/>
              <w:left w:val="single" w:sz="4" w:space="0" w:color="auto"/>
              <w:bottom w:val="single" w:sz="4" w:space="0" w:color="auto"/>
              <w:right w:val="single" w:sz="4" w:space="0" w:color="auto"/>
            </w:tcBorders>
            <w:shd w:val="clear" w:color="auto" w:fill="auto"/>
          </w:tcPr>
          <w:p w:rsidR="000E54C2" w:rsidRPr="00E8065F" w:rsidRDefault="000E54C2" w:rsidP="001164A3">
            <w:pPr>
              <w:spacing w:line="235" w:lineRule="auto"/>
              <w:jc w:val="center"/>
              <w:rPr>
                <w:color w:val="000000"/>
                <w:sz w:val="20"/>
                <w:szCs w:val="20"/>
              </w:rPr>
            </w:pPr>
            <w:r w:rsidRPr="00E8065F">
              <w:rPr>
                <w:color w:val="000000"/>
                <w:sz w:val="20"/>
                <w:szCs w:val="20"/>
              </w:rPr>
              <w:t>1</w:t>
            </w:r>
          </w:p>
        </w:tc>
        <w:tc>
          <w:tcPr>
            <w:tcW w:w="1478" w:type="dxa"/>
            <w:tcBorders>
              <w:top w:val="nil"/>
              <w:left w:val="single" w:sz="4" w:space="0" w:color="auto"/>
              <w:bottom w:val="single" w:sz="4" w:space="0" w:color="auto"/>
              <w:right w:val="single" w:sz="4" w:space="0" w:color="auto"/>
            </w:tcBorders>
            <w:shd w:val="clear" w:color="auto" w:fill="auto"/>
          </w:tcPr>
          <w:p w:rsidR="000E54C2" w:rsidRPr="00E8065F" w:rsidRDefault="000E54C2" w:rsidP="001164A3">
            <w:pPr>
              <w:spacing w:line="235" w:lineRule="auto"/>
              <w:jc w:val="center"/>
              <w:rPr>
                <w:color w:val="000000"/>
                <w:sz w:val="20"/>
                <w:szCs w:val="20"/>
              </w:rPr>
            </w:pPr>
            <w:r w:rsidRPr="00E8065F">
              <w:rPr>
                <w:color w:val="000000"/>
                <w:sz w:val="20"/>
                <w:szCs w:val="20"/>
              </w:rPr>
              <w:t>66,7</w:t>
            </w:r>
          </w:p>
        </w:tc>
        <w:tc>
          <w:tcPr>
            <w:tcW w:w="1111" w:type="dxa"/>
            <w:tcBorders>
              <w:top w:val="nil"/>
              <w:left w:val="single" w:sz="4" w:space="0" w:color="auto"/>
              <w:bottom w:val="single" w:sz="4" w:space="0" w:color="auto"/>
              <w:right w:val="single" w:sz="4" w:space="0" w:color="auto"/>
            </w:tcBorders>
            <w:shd w:val="clear" w:color="auto" w:fill="auto"/>
          </w:tcPr>
          <w:p w:rsidR="000E54C2" w:rsidRPr="00E8065F" w:rsidRDefault="000E54C2" w:rsidP="001164A3">
            <w:pPr>
              <w:spacing w:line="235" w:lineRule="auto"/>
              <w:jc w:val="center"/>
              <w:rPr>
                <w:color w:val="000000"/>
                <w:sz w:val="20"/>
                <w:szCs w:val="20"/>
              </w:rPr>
            </w:pPr>
            <w:r w:rsidRPr="00E8065F">
              <w:rPr>
                <w:color w:val="000000"/>
                <w:sz w:val="20"/>
                <w:szCs w:val="20"/>
              </w:rPr>
              <w:t>2</w:t>
            </w:r>
          </w:p>
        </w:tc>
        <w:tc>
          <w:tcPr>
            <w:tcW w:w="1944" w:type="dxa"/>
            <w:tcBorders>
              <w:top w:val="nil"/>
              <w:left w:val="single" w:sz="4" w:space="0" w:color="auto"/>
              <w:bottom w:val="single" w:sz="4" w:space="0" w:color="auto"/>
              <w:right w:val="single" w:sz="4" w:space="0" w:color="auto"/>
            </w:tcBorders>
            <w:shd w:val="clear" w:color="auto" w:fill="auto"/>
          </w:tcPr>
          <w:p w:rsidR="000E54C2" w:rsidRPr="00E8065F" w:rsidRDefault="000E54C2" w:rsidP="001164A3">
            <w:pPr>
              <w:spacing w:line="235" w:lineRule="auto"/>
              <w:jc w:val="center"/>
              <w:rPr>
                <w:color w:val="000000"/>
                <w:sz w:val="20"/>
                <w:szCs w:val="20"/>
              </w:rPr>
            </w:pPr>
            <w:r w:rsidRPr="00E8065F">
              <w:rPr>
                <w:color w:val="000000"/>
                <w:sz w:val="20"/>
                <w:szCs w:val="20"/>
              </w:rPr>
              <w:t>Амбулаторное</w:t>
            </w:r>
          </w:p>
        </w:tc>
      </w:tr>
      <w:tr w:rsidR="00BA1432" w:rsidRPr="00E8065F" w:rsidTr="000546C2">
        <w:trPr>
          <w:trHeight w:val="20"/>
        </w:trPr>
        <w:tc>
          <w:tcPr>
            <w:tcW w:w="1555" w:type="dxa"/>
            <w:vMerge/>
          </w:tcPr>
          <w:p w:rsidR="000E54C2" w:rsidRPr="00E8065F" w:rsidRDefault="000E54C2" w:rsidP="00BA1432">
            <w:pPr>
              <w:rPr>
                <w:sz w:val="20"/>
                <w:szCs w:val="20"/>
              </w:rPr>
            </w:pPr>
          </w:p>
        </w:tc>
        <w:tc>
          <w:tcPr>
            <w:tcW w:w="3685" w:type="dxa"/>
            <w:tcBorders>
              <w:top w:val="nil"/>
              <w:left w:val="single" w:sz="4" w:space="0" w:color="auto"/>
              <w:bottom w:val="single" w:sz="4" w:space="0" w:color="auto"/>
              <w:right w:val="nil"/>
            </w:tcBorders>
            <w:shd w:val="clear" w:color="auto" w:fill="auto"/>
          </w:tcPr>
          <w:p w:rsidR="000E54C2" w:rsidRPr="00E8065F" w:rsidRDefault="000E54C2" w:rsidP="001164A3">
            <w:pPr>
              <w:spacing w:line="235" w:lineRule="auto"/>
              <w:jc w:val="both"/>
              <w:rPr>
                <w:color w:val="000000"/>
                <w:sz w:val="20"/>
                <w:szCs w:val="20"/>
              </w:rPr>
            </w:pPr>
            <w:r w:rsidRPr="00E8065F">
              <w:rPr>
                <w:color w:val="000000"/>
                <w:sz w:val="20"/>
                <w:szCs w:val="20"/>
              </w:rPr>
              <w:t xml:space="preserve">ГАУЗ </w:t>
            </w:r>
            <w:r w:rsidR="002F7358">
              <w:rPr>
                <w:color w:val="000000"/>
                <w:sz w:val="20"/>
                <w:szCs w:val="20"/>
              </w:rPr>
              <w:t>«</w:t>
            </w:r>
            <w:r w:rsidRPr="00E8065F">
              <w:rPr>
                <w:color w:val="000000"/>
                <w:sz w:val="20"/>
                <w:szCs w:val="20"/>
              </w:rPr>
              <w:t>Лаишевская ЦРБ</w:t>
            </w:r>
            <w:r w:rsidR="002F7358">
              <w:rPr>
                <w:color w:val="000000"/>
                <w:sz w:val="20"/>
                <w:szCs w:val="20"/>
              </w:rPr>
              <w:t>»</w:t>
            </w:r>
          </w:p>
        </w:tc>
        <w:tc>
          <w:tcPr>
            <w:tcW w:w="1994" w:type="dxa"/>
            <w:tcBorders>
              <w:top w:val="nil"/>
              <w:left w:val="single" w:sz="4" w:space="0" w:color="auto"/>
              <w:bottom w:val="single" w:sz="4" w:space="0" w:color="auto"/>
              <w:right w:val="single" w:sz="4" w:space="0" w:color="auto"/>
            </w:tcBorders>
            <w:shd w:val="clear" w:color="auto" w:fill="auto"/>
          </w:tcPr>
          <w:p w:rsidR="000E54C2" w:rsidRPr="00E8065F" w:rsidRDefault="000E54C2" w:rsidP="001164A3">
            <w:pPr>
              <w:spacing w:line="235" w:lineRule="auto"/>
              <w:jc w:val="center"/>
              <w:rPr>
                <w:color w:val="000000"/>
                <w:sz w:val="20"/>
                <w:szCs w:val="20"/>
              </w:rPr>
            </w:pPr>
            <w:r w:rsidRPr="00E8065F">
              <w:rPr>
                <w:color w:val="000000"/>
                <w:sz w:val="20"/>
                <w:szCs w:val="20"/>
              </w:rPr>
              <w:t>Флюорограф</w:t>
            </w:r>
          </w:p>
        </w:tc>
        <w:tc>
          <w:tcPr>
            <w:tcW w:w="1181" w:type="dxa"/>
            <w:shd w:val="clear" w:color="auto" w:fill="auto"/>
          </w:tcPr>
          <w:p w:rsidR="00783899" w:rsidRPr="00E8065F" w:rsidRDefault="000E54C2" w:rsidP="00783899">
            <w:pPr>
              <w:jc w:val="center"/>
              <w:rPr>
                <w:sz w:val="20"/>
                <w:szCs w:val="20"/>
              </w:rPr>
            </w:pPr>
            <w:r w:rsidRPr="00E8065F">
              <w:rPr>
                <w:sz w:val="20"/>
                <w:szCs w:val="20"/>
              </w:rPr>
              <w:t>2012</w:t>
            </w:r>
            <w:r w:rsidR="00793DC9">
              <w:rPr>
                <w:sz w:val="20"/>
                <w:szCs w:val="20"/>
              </w:rPr>
              <w:t xml:space="preserve"> </w:t>
            </w:r>
            <w:r w:rsidR="00783899">
              <w:rPr>
                <w:sz w:val="20"/>
                <w:szCs w:val="20"/>
              </w:rPr>
              <w:t>(1)</w:t>
            </w:r>
          </w:p>
          <w:p w:rsidR="000E54C2" w:rsidRPr="00E8065F" w:rsidRDefault="000E54C2" w:rsidP="00783899">
            <w:pPr>
              <w:jc w:val="center"/>
              <w:rPr>
                <w:sz w:val="20"/>
                <w:szCs w:val="20"/>
              </w:rPr>
            </w:pPr>
            <w:r w:rsidRPr="00E8065F">
              <w:rPr>
                <w:sz w:val="20"/>
                <w:szCs w:val="20"/>
              </w:rPr>
              <w:t>2021</w:t>
            </w:r>
            <w:r w:rsidR="00793DC9">
              <w:rPr>
                <w:sz w:val="20"/>
                <w:szCs w:val="20"/>
              </w:rPr>
              <w:t xml:space="preserve"> </w:t>
            </w:r>
            <w:r w:rsidR="00783899">
              <w:rPr>
                <w:sz w:val="20"/>
                <w:szCs w:val="20"/>
              </w:rPr>
              <w:t>(1)</w:t>
            </w:r>
          </w:p>
        </w:tc>
        <w:tc>
          <w:tcPr>
            <w:tcW w:w="1181" w:type="dxa"/>
            <w:tcBorders>
              <w:top w:val="nil"/>
              <w:left w:val="single" w:sz="4" w:space="0" w:color="auto"/>
              <w:bottom w:val="single" w:sz="4" w:space="0" w:color="auto"/>
              <w:right w:val="single" w:sz="4" w:space="0" w:color="auto"/>
            </w:tcBorders>
            <w:shd w:val="clear" w:color="auto" w:fill="auto"/>
          </w:tcPr>
          <w:p w:rsidR="000E54C2" w:rsidRPr="00E8065F" w:rsidRDefault="000E54C2" w:rsidP="001164A3">
            <w:pPr>
              <w:spacing w:line="235" w:lineRule="auto"/>
              <w:jc w:val="center"/>
              <w:rPr>
                <w:color w:val="000000"/>
                <w:sz w:val="20"/>
                <w:szCs w:val="20"/>
              </w:rPr>
            </w:pPr>
            <w:r w:rsidRPr="00E8065F">
              <w:rPr>
                <w:color w:val="000000"/>
                <w:sz w:val="20"/>
                <w:szCs w:val="20"/>
              </w:rPr>
              <w:t>2</w:t>
            </w:r>
          </w:p>
        </w:tc>
        <w:tc>
          <w:tcPr>
            <w:tcW w:w="1478" w:type="dxa"/>
            <w:tcBorders>
              <w:top w:val="nil"/>
              <w:left w:val="single" w:sz="4" w:space="0" w:color="auto"/>
              <w:bottom w:val="single" w:sz="4" w:space="0" w:color="auto"/>
              <w:right w:val="single" w:sz="4" w:space="0" w:color="auto"/>
            </w:tcBorders>
            <w:shd w:val="clear" w:color="auto" w:fill="auto"/>
          </w:tcPr>
          <w:p w:rsidR="000E54C2" w:rsidRPr="00E8065F" w:rsidRDefault="000E54C2" w:rsidP="001164A3">
            <w:pPr>
              <w:spacing w:line="235" w:lineRule="auto"/>
              <w:jc w:val="center"/>
              <w:rPr>
                <w:color w:val="000000"/>
                <w:sz w:val="20"/>
                <w:szCs w:val="20"/>
              </w:rPr>
            </w:pPr>
            <w:r w:rsidRPr="00E8065F">
              <w:rPr>
                <w:color w:val="000000"/>
                <w:sz w:val="20"/>
                <w:szCs w:val="20"/>
              </w:rPr>
              <w:t>69,7</w:t>
            </w:r>
          </w:p>
        </w:tc>
        <w:tc>
          <w:tcPr>
            <w:tcW w:w="1111" w:type="dxa"/>
            <w:tcBorders>
              <w:top w:val="nil"/>
              <w:left w:val="single" w:sz="4" w:space="0" w:color="auto"/>
              <w:bottom w:val="single" w:sz="4" w:space="0" w:color="auto"/>
              <w:right w:val="single" w:sz="4" w:space="0" w:color="auto"/>
            </w:tcBorders>
            <w:shd w:val="clear" w:color="auto" w:fill="auto"/>
          </w:tcPr>
          <w:p w:rsidR="000E54C2" w:rsidRPr="00E8065F" w:rsidRDefault="000E54C2" w:rsidP="001164A3">
            <w:pPr>
              <w:spacing w:line="235" w:lineRule="auto"/>
              <w:jc w:val="center"/>
              <w:rPr>
                <w:color w:val="000000"/>
                <w:sz w:val="20"/>
                <w:szCs w:val="20"/>
              </w:rPr>
            </w:pPr>
            <w:r w:rsidRPr="00E8065F">
              <w:rPr>
                <w:color w:val="000000"/>
                <w:sz w:val="20"/>
                <w:szCs w:val="20"/>
              </w:rPr>
              <w:t>2</w:t>
            </w:r>
          </w:p>
        </w:tc>
        <w:tc>
          <w:tcPr>
            <w:tcW w:w="1944" w:type="dxa"/>
            <w:tcBorders>
              <w:top w:val="nil"/>
              <w:left w:val="single" w:sz="4" w:space="0" w:color="auto"/>
              <w:bottom w:val="single" w:sz="4" w:space="0" w:color="auto"/>
              <w:right w:val="single" w:sz="4" w:space="0" w:color="auto"/>
            </w:tcBorders>
            <w:shd w:val="clear" w:color="auto" w:fill="auto"/>
          </w:tcPr>
          <w:p w:rsidR="000E54C2" w:rsidRPr="00E8065F" w:rsidRDefault="000E54C2" w:rsidP="001164A3">
            <w:pPr>
              <w:spacing w:line="235" w:lineRule="auto"/>
              <w:jc w:val="center"/>
              <w:rPr>
                <w:color w:val="000000"/>
                <w:sz w:val="20"/>
                <w:szCs w:val="20"/>
              </w:rPr>
            </w:pPr>
            <w:r w:rsidRPr="00E8065F">
              <w:rPr>
                <w:color w:val="000000"/>
                <w:sz w:val="20"/>
                <w:szCs w:val="20"/>
              </w:rPr>
              <w:t>Амбулаторное</w:t>
            </w:r>
          </w:p>
        </w:tc>
      </w:tr>
      <w:tr w:rsidR="00BA1432" w:rsidRPr="00E8065F" w:rsidTr="000546C2">
        <w:trPr>
          <w:trHeight w:val="20"/>
        </w:trPr>
        <w:tc>
          <w:tcPr>
            <w:tcW w:w="1555" w:type="dxa"/>
            <w:vMerge/>
          </w:tcPr>
          <w:p w:rsidR="000E54C2" w:rsidRPr="00E8065F" w:rsidRDefault="000E54C2" w:rsidP="00BA1432">
            <w:pPr>
              <w:rPr>
                <w:sz w:val="20"/>
                <w:szCs w:val="20"/>
              </w:rPr>
            </w:pPr>
          </w:p>
        </w:tc>
        <w:tc>
          <w:tcPr>
            <w:tcW w:w="3685" w:type="dxa"/>
            <w:tcBorders>
              <w:top w:val="nil"/>
              <w:left w:val="single" w:sz="4" w:space="0" w:color="auto"/>
              <w:bottom w:val="single" w:sz="4" w:space="0" w:color="auto"/>
              <w:right w:val="nil"/>
            </w:tcBorders>
            <w:shd w:val="clear" w:color="auto" w:fill="auto"/>
          </w:tcPr>
          <w:p w:rsidR="000E54C2" w:rsidRPr="00E8065F" w:rsidRDefault="000E54C2" w:rsidP="001164A3">
            <w:pPr>
              <w:spacing w:line="235" w:lineRule="auto"/>
              <w:jc w:val="both"/>
              <w:rPr>
                <w:color w:val="000000"/>
                <w:sz w:val="20"/>
                <w:szCs w:val="20"/>
              </w:rPr>
            </w:pPr>
            <w:r w:rsidRPr="00E8065F">
              <w:rPr>
                <w:color w:val="000000"/>
                <w:sz w:val="20"/>
                <w:szCs w:val="20"/>
              </w:rPr>
              <w:t xml:space="preserve">ГАУЗ </w:t>
            </w:r>
            <w:r w:rsidR="002F7358">
              <w:rPr>
                <w:color w:val="000000"/>
                <w:sz w:val="20"/>
                <w:szCs w:val="20"/>
              </w:rPr>
              <w:t>«</w:t>
            </w:r>
            <w:r w:rsidRPr="00E8065F">
              <w:rPr>
                <w:color w:val="000000"/>
                <w:sz w:val="20"/>
                <w:szCs w:val="20"/>
              </w:rPr>
              <w:t>Лениногорская ЦРБ</w:t>
            </w:r>
            <w:r w:rsidR="002F7358">
              <w:rPr>
                <w:color w:val="000000"/>
                <w:sz w:val="20"/>
                <w:szCs w:val="20"/>
              </w:rPr>
              <w:t>»</w:t>
            </w:r>
          </w:p>
        </w:tc>
        <w:tc>
          <w:tcPr>
            <w:tcW w:w="1994" w:type="dxa"/>
            <w:tcBorders>
              <w:top w:val="nil"/>
              <w:left w:val="single" w:sz="4" w:space="0" w:color="auto"/>
              <w:bottom w:val="single" w:sz="4" w:space="0" w:color="auto"/>
              <w:right w:val="single" w:sz="4" w:space="0" w:color="auto"/>
            </w:tcBorders>
            <w:shd w:val="clear" w:color="auto" w:fill="auto"/>
          </w:tcPr>
          <w:p w:rsidR="000E54C2" w:rsidRPr="00E8065F" w:rsidRDefault="000E54C2" w:rsidP="001164A3">
            <w:pPr>
              <w:spacing w:line="235" w:lineRule="auto"/>
              <w:jc w:val="center"/>
              <w:rPr>
                <w:color w:val="000000"/>
                <w:sz w:val="20"/>
                <w:szCs w:val="20"/>
              </w:rPr>
            </w:pPr>
            <w:r w:rsidRPr="00E8065F">
              <w:rPr>
                <w:color w:val="000000"/>
                <w:sz w:val="20"/>
                <w:szCs w:val="20"/>
              </w:rPr>
              <w:t>Флюорограф</w:t>
            </w:r>
          </w:p>
        </w:tc>
        <w:tc>
          <w:tcPr>
            <w:tcW w:w="1181" w:type="dxa"/>
            <w:shd w:val="clear" w:color="auto" w:fill="auto"/>
          </w:tcPr>
          <w:p w:rsidR="000E54C2" w:rsidRPr="00E8065F" w:rsidRDefault="000E54C2" w:rsidP="001164A3">
            <w:pPr>
              <w:spacing w:line="235" w:lineRule="auto"/>
              <w:jc w:val="center"/>
              <w:rPr>
                <w:sz w:val="20"/>
                <w:szCs w:val="20"/>
              </w:rPr>
            </w:pPr>
            <w:r w:rsidRPr="00E8065F">
              <w:rPr>
                <w:sz w:val="20"/>
                <w:szCs w:val="20"/>
              </w:rPr>
              <w:t>2007</w:t>
            </w:r>
          </w:p>
        </w:tc>
        <w:tc>
          <w:tcPr>
            <w:tcW w:w="1181" w:type="dxa"/>
            <w:tcBorders>
              <w:top w:val="nil"/>
              <w:left w:val="single" w:sz="4" w:space="0" w:color="auto"/>
              <w:bottom w:val="single" w:sz="4" w:space="0" w:color="auto"/>
              <w:right w:val="single" w:sz="4" w:space="0" w:color="auto"/>
            </w:tcBorders>
            <w:shd w:val="clear" w:color="auto" w:fill="auto"/>
          </w:tcPr>
          <w:p w:rsidR="000E54C2" w:rsidRPr="00E8065F" w:rsidRDefault="000E54C2" w:rsidP="001164A3">
            <w:pPr>
              <w:spacing w:line="235" w:lineRule="auto"/>
              <w:jc w:val="center"/>
              <w:rPr>
                <w:color w:val="000000"/>
                <w:sz w:val="20"/>
                <w:szCs w:val="20"/>
              </w:rPr>
            </w:pPr>
            <w:r w:rsidRPr="00E8065F">
              <w:rPr>
                <w:color w:val="000000"/>
                <w:sz w:val="20"/>
                <w:szCs w:val="20"/>
              </w:rPr>
              <w:t>1</w:t>
            </w:r>
          </w:p>
        </w:tc>
        <w:tc>
          <w:tcPr>
            <w:tcW w:w="1478" w:type="dxa"/>
            <w:tcBorders>
              <w:top w:val="nil"/>
              <w:left w:val="single" w:sz="4" w:space="0" w:color="auto"/>
              <w:bottom w:val="single" w:sz="4" w:space="0" w:color="auto"/>
              <w:right w:val="single" w:sz="4" w:space="0" w:color="auto"/>
            </w:tcBorders>
            <w:shd w:val="clear" w:color="auto" w:fill="auto"/>
          </w:tcPr>
          <w:p w:rsidR="000E54C2" w:rsidRPr="00E8065F" w:rsidRDefault="000E54C2" w:rsidP="001164A3">
            <w:pPr>
              <w:spacing w:line="235" w:lineRule="auto"/>
              <w:jc w:val="center"/>
              <w:rPr>
                <w:color w:val="000000"/>
                <w:sz w:val="20"/>
                <w:szCs w:val="20"/>
              </w:rPr>
            </w:pPr>
            <w:r w:rsidRPr="00E8065F">
              <w:rPr>
                <w:color w:val="000000"/>
                <w:sz w:val="20"/>
                <w:szCs w:val="20"/>
              </w:rPr>
              <w:t>90,5</w:t>
            </w:r>
          </w:p>
        </w:tc>
        <w:tc>
          <w:tcPr>
            <w:tcW w:w="1111" w:type="dxa"/>
            <w:tcBorders>
              <w:top w:val="nil"/>
              <w:left w:val="single" w:sz="4" w:space="0" w:color="auto"/>
              <w:bottom w:val="single" w:sz="4" w:space="0" w:color="auto"/>
              <w:right w:val="single" w:sz="4" w:space="0" w:color="auto"/>
            </w:tcBorders>
            <w:shd w:val="clear" w:color="auto" w:fill="auto"/>
          </w:tcPr>
          <w:p w:rsidR="000E54C2" w:rsidRPr="00E8065F" w:rsidRDefault="000E54C2" w:rsidP="001164A3">
            <w:pPr>
              <w:spacing w:line="235" w:lineRule="auto"/>
              <w:jc w:val="center"/>
              <w:rPr>
                <w:color w:val="000000"/>
                <w:sz w:val="20"/>
                <w:szCs w:val="20"/>
              </w:rPr>
            </w:pPr>
            <w:r w:rsidRPr="00E8065F">
              <w:rPr>
                <w:color w:val="000000"/>
                <w:sz w:val="20"/>
                <w:szCs w:val="20"/>
              </w:rPr>
              <w:t>2</w:t>
            </w:r>
          </w:p>
        </w:tc>
        <w:tc>
          <w:tcPr>
            <w:tcW w:w="1944" w:type="dxa"/>
            <w:tcBorders>
              <w:top w:val="nil"/>
              <w:left w:val="single" w:sz="4" w:space="0" w:color="auto"/>
              <w:bottom w:val="single" w:sz="4" w:space="0" w:color="auto"/>
              <w:right w:val="single" w:sz="4" w:space="0" w:color="auto"/>
            </w:tcBorders>
            <w:shd w:val="clear" w:color="auto" w:fill="auto"/>
          </w:tcPr>
          <w:p w:rsidR="000E54C2" w:rsidRPr="00E8065F" w:rsidRDefault="000E54C2" w:rsidP="001164A3">
            <w:pPr>
              <w:spacing w:line="235" w:lineRule="auto"/>
              <w:jc w:val="center"/>
              <w:rPr>
                <w:color w:val="000000"/>
                <w:sz w:val="20"/>
                <w:szCs w:val="20"/>
              </w:rPr>
            </w:pPr>
            <w:r w:rsidRPr="00E8065F">
              <w:rPr>
                <w:color w:val="000000"/>
                <w:sz w:val="20"/>
                <w:szCs w:val="20"/>
              </w:rPr>
              <w:t>Амбулаторное</w:t>
            </w:r>
          </w:p>
        </w:tc>
      </w:tr>
      <w:tr w:rsidR="00BA1432" w:rsidRPr="00E8065F" w:rsidTr="000546C2">
        <w:trPr>
          <w:trHeight w:val="20"/>
        </w:trPr>
        <w:tc>
          <w:tcPr>
            <w:tcW w:w="1555" w:type="dxa"/>
            <w:vMerge/>
          </w:tcPr>
          <w:p w:rsidR="000E54C2" w:rsidRPr="00E8065F" w:rsidRDefault="000E54C2" w:rsidP="00BA1432">
            <w:pPr>
              <w:rPr>
                <w:sz w:val="20"/>
                <w:szCs w:val="20"/>
              </w:rPr>
            </w:pPr>
          </w:p>
        </w:tc>
        <w:tc>
          <w:tcPr>
            <w:tcW w:w="3685" w:type="dxa"/>
            <w:tcBorders>
              <w:top w:val="nil"/>
              <w:left w:val="single" w:sz="4" w:space="0" w:color="auto"/>
              <w:bottom w:val="single" w:sz="4" w:space="0" w:color="auto"/>
              <w:right w:val="single" w:sz="4" w:space="0" w:color="auto"/>
            </w:tcBorders>
            <w:shd w:val="clear" w:color="auto" w:fill="auto"/>
          </w:tcPr>
          <w:p w:rsidR="000E54C2" w:rsidRPr="00E8065F" w:rsidRDefault="000E54C2" w:rsidP="001164A3">
            <w:pPr>
              <w:spacing w:line="235" w:lineRule="auto"/>
              <w:jc w:val="both"/>
              <w:rPr>
                <w:color w:val="000000"/>
                <w:sz w:val="20"/>
                <w:szCs w:val="20"/>
              </w:rPr>
            </w:pPr>
            <w:r w:rsidRPr="00E8065F">
              <w:rPr>
                <w:color w:val="000000"/>
                <w:sz w:val="20"/>
                <w:szCs w:val="20"/>
              </w:rPr>
              <w:t xml:space="preserve">ГАУЗ </w:t>
            </w:r>
            <w:r w:rsidR="002F7358">
              <w:rPr>
                <w:color w:val="000000"/>
                <w:sz w:val="20"/>
                <w:szCs w:val="20"/>
              </w:rPr>
              <w:t>«</w:t>
            </w:r>
            <w:r w:rsidRPr="00E8065F">
              <w:rPr>
                <w:color w:val="000000"/>
                <w:sz w:val="20"/>
                <w:szCs w:val="20"/>
              </w:rPr>
              <w:t>Мамадышская ЦРБ</w:t>
            </w:r>
            <w:r w:rsidR="002F7358">
              <w:rPr>
                <w:color w:val="000000"/>
                <w:sz w:val="20"/>
                <w:szCs w:val="20"/>
              </w:rPr>
              <w:t>»</w:t>
            </w:r>
          </w:p>
        </w:tc>
        <w:tc>
          <w:tcPr>
            <w:tcW w:w="1994" w:type="dxa"/>
            <w:tcBorders>
              <w:top w:val="nil"/>
              <w:left w:val="single" w:sz="4" w:space="0" w:color="auto"/>
              <w:bottom w:val="single" w:sz="4" w:space="0" w:color="auto"/>
              <w:right w:val="single" w:sz="4" w:space="0" w:color="auto"/>
            </w:tcBorders>
            <w:shd w:val="clear" w:color="auto" w:fill="auto"/>
          </w:tcPr>
          <w:p w:rsidR="000E54C2" w:rsidRPr="00E8065F" w:rsidRDefault="000E54C2" w:rsidP="001164A3">
            <w:pPr>
              <w:spacing w:line="235" w:lineRule="auto"/>
              <w:jc w:val="center"/>
              <w:rPr>
                <w:color w:val="000000"/>
                <w:sz w:val="20"/>
                <w:szCs w:val="20"/>
              </w:rPr>
            </w:pPr>
            <w:r w:rsidRPr="00E8065F">
              <w:rPr>
                <w:color w:val="000000"/>
                <w:sz w:val="20"/>
                <w:szCs w:val="20"/>
              </w:rPr>
              <w:t>Флюорограф</w:t>
            </w:r>
          </w:p>
        </w:tc>
        <w:tc>
          <w:tcPr>
            <w:tcW w:w="1181" w:type="dxa"/>
            <w:shd w:val="clear" w:color="auto" w:fill="auto"/>
          </w:tcPr>
          <w:p w:rsidR="000E54C2" w:rsidRPr="00E8065F" w:rsidRDefault="000E54C2" w:rsidP="001164A3">
            <w:pPr>
              <w:spacing w:line="235" w:lineRule="auto"/>
              <w:jc w:val="center"/>
              <w:rPr>
                <w:sz w:val="20"/>
                <w:szCs w:val="20"/>
              </w:rPr>
            </w:pPr>
            <w:r w:rsidRPr="00E8065F">
              <w:rPr>
                <w:sz w:val="20"/>
                <w:szCs w:val="20"/>
              </w:rPr>
              <w:t>2013</w:t>
            </w:r>
          </w:p>
        </w:tc>
        <w:tc>
          <w:tcPr>
            <w:tcW w:w="1181" w:type="dxa"/>
            <w:tcBorders>
              <w:top w:val="nil"/>
              <w:left w:val="single" w:sz="4" w:space="0" w:color="auto"/>
              <w:bottom w:val="single" w:sz="4" w:space="0" w:color="auto"/>
              <w:right w:val="single" w:sz="4" w:space="0" w:color="auto"/>
            </w:tcBorders>
            <w:shd w:val="clear" w:color="auto" w:fill="auto"/>
          </w:tcPr>
          <w:p w:rsidR="000E54C2" w:rsidRPr="00E8065F" w:rsidRDefault="000E54C2" w:rsidP="001164A3">
            <w:pPr>
              <w:spacing w:line="235" w:lineRule="auto"/>
              <w:jc w:val="center"/>
              <w:rPr>
                <w:color w:val="000000"/>
                <w:sz w:val="20"/>
                <w:szCs w:val="20"/>
              </w:rPr>
            </w:pPr>
            <w:r w:rsidRPr="00E8065F">
              <w:rPr>
                <w:color w:val="000000"/>
                <w:sz w:val="20"/>
                <w:szCs w:val="20"/>
              </w:rPr>
              <w:t>1</w:t>
            </w:r>
          </w:p>
        </w:tc>
        <w:tc>
          <w:tcPr>
            <w:tcW w:w="1478" w:type="dxa"/>
            <w:tcBorders>
              <w:top w:val="nil"/>
              <w:left w:val="single" w:sz="4" w:space="0" w:color="auto"/>
              <w:bottom w:val="single" w:sz="4" w:space="0" w:color="auto"/>
              <w:right w:val="single" w:sz="4" w:space="0" w:color="auto"/>
            </w:tcBorders>
            <w:shd w:val="clear" w:color="auto" w:fill="auto"/>
          </w:tcPr>
          <w:p w:rsidR="000E54C2" w:rsidRPr="00E8065F" w:rsidRDefault="000E54C2" w:rsidP="001164A3">
            <w:pPr>
              <w:spacing w:line="235" w:lineRule="auto"/>
              <w:jc w:val="center"/>
              <w:rPr>
                <w:color w:val="000000"/>
                <w:sz w:val="20"/>
                <w:szCs w:val="20"/>
              </w:rPr>
            </w:pPr>
            <w:r w:rsidRPr="00E8065F">
              <w:rPr>
                <w:color w:val="000000"/>
                <w:sz w:val="20"/>
                <w:szCs w:val="20"/>
              </w:rPr>
              <w:t>43,8</w:t>
            </w:r>
          </w:p>
        </w:tc>
        <w:tc>
          <w:tcPr>
            <w:tcW w:w="1111" w:type="dxa"/>
            <w:tcBorders>
              <w:top w:val="nil"/>
              <w:left w:val="single" w:sz="4" w:space="0" w:color="auto"/>
              <w:bottom w:val="single" w:sz="4" w:space="0" w:color="auto"/>
              <w:right w:val="single" w:sz="4" w:space="0" w:color="auto"/>
            </w:tcBorders>
            <w:shd w:val="clear" w:color="auto" w:fill="auto"/>
          </w:tcPr>
          <w:p w:rsidR="000E54C2" w:rsidRPr="00E8065F" w:rsidRDefault="000E54C2" w:rsidP="001164A3">
            <w:pPr>
              <w:spacing w:line="235" w:lineRule="auto"/>
              <w:jc w:val="center"/>
              <w:rPr>
                <w:color w:val="000000"/>
                <w:sz w:val="20"/>
                <w:szCs w:val="20"/>
              </w:rPr>
            </w:pPr>
            <w:r w:rsidRPr="00E8065F">
              <w:rPr>
                <w:color w:val="000000"/>
                <w:sz w:val="20"/>
                <w:szCs w:val="20"/>
              </w:rPr>
              <w:t>2</w:t>
            </w:r>
          </w:p>
        </w:tc>
        <w:tc>
          <w:tcPr>
            <w:tcW w:w="1944" w:type="dxa"/>
            <w:tcBorders>
              <w:top w:val="nil"/>
              <w:left w:val="single" w:sz="4" w:space="0" w:color="auto"/>
              <w:bottom w:val="single" w:sz="4" w:space="0" w:color="auto"/>
              <w:right w:val="single" w:sz="4" w:space="0" w:color="auto"/>
            </w:tcBorders>
            <w:shd w:val="clear" w:color="auto" w:fill="auto"/>
          </w:tcPr>
          <w:p w:rsidR="000E54C2" w:rsidRPr="00E8065F" w:rsidRDefault="000E54C2" w:rsidP="001164A3">
            <w:pPr>
              <w:spacing w:line="235" w:lineRule="auto"/>
              <w:jc w:val="center"/>
              <w:rPr>
                <w:color w:val="000000"/>
                <w:sz w:val="20"/>
                <w:szCs w:val="20"/>
              </w:rPr>
            </w:pPr>
            <w:r w:rsidRPr="00E8065F">
              <w:rPr>
                <w:color w:val="000000"/>
                <w:sz w:val="20"/>
                <w:szCs w:val="20"/>
              </w:rPr>
              <w:t>Амбулаторное</w:t>
            </w:r>
          </w:p>
        </w:tc>
      </w:tr>
      <w:tr w:rsidR="00BA1432" w:rsidRPr="00E8065F" w:rsidTr="000546C2">
        <w:trPr>
          <w:trHeight w:val="20"/>
        </w:trPr>
        <w:tc>
          <w:tcPr>
            <w:tcW w:w="1555" w:type="dxa"/>
            <w:vMerge/>
          </w:tcPr>
          <w:p w:rsidR="000E54C2" w:rsidRPr="00E8065F" w:rsidRDefault="000E54C2" w:rsidP="00BA1432">
            <w:pPr>
              <w:rPr>
                <w:sz w:val="20"/>
                <w:szCs w:val="20"/>
              </w:rPr>
            </w:pPr>
          </w:p>
        </w:tc>
        <w:tc>
          <w:tcPr>
            <w:tcW w:w="3685" w:type="dxa"/>
            <w:tcBorders>
              <w:top w:val="nil"/>
              <w:left w:val="single" w:sz="4" w:space="0" w:color="auto"/>
              <w:bottom w:val="single" w:sz="4" w:space="0" w:color="auto"/>
              <w:right w:val="nil"/>
            </w:tcBorders>
            <w:shd w:val="clear" w:color="auto" w:fill="auto"/>
          </w:tcPr>
          <w:p w:rsidR="000E54C2" w:rsidRPr="00E8065F" w:rsidRDefault="000E54C2" w:rsidP="001164A3">
            <w:pPr>
              <w:spacing w:line="235" w:lineRule="auto"/>
              <w:jc w:val="both"/>
              <w:rPr>
                <w:color w:val="000000"/>
                <w:sz w:val="20"/>
                <w:szCs w:val="20"/>
              </w:rPr>
            </w:pPr>
            <w:r w:rsidRPr="00E8065F">
              <w:rPr>
                <w:color w:val="000000"/>
                <w:sz w:val="20"/>
                <w:szCs w:val="20"/>
              </w:rPr>
              <w:t xml:space="preserve">ГАУЗ </w:t>
            </w:r>
            <w:r w:rsidR="002F7358">
              <w:rPr>
                <w:color w:val="000000"/>
                <w:sz w:val="20"/>
                <w:szCs w:val="20"/>
              </w:rPr>
              <w:t>«</w:t>
            </w:r>
            <w:r w:rsidRPr="00E8065F">
              <w:rPr>
                <w:color w:val="000000"/>
                <w:sz w:val="20"/>
                <w:szCs w:val="20"/>
              </w:rPr>
              <w:t>Менделеевская ЦРБ</w:t>
            </w:r>
            <w:r w:rsidR="002F7358">
              <w:rPr>
                <w:color w:val="000000"/>
                <w:sz w:val="20"/>
                <w:szCs w:val="20"/>
              </w:rPr>
              <w:t>»</w:t>
            </w:r>
          </w:p>
        </w:tc>
        <w:tc>
          <w:tcPr>
            <w:tcW w:w="1994" w:type="dxa"/>
            <w:tcBorders>
              <w:top w:val="nil"/>
              <w:left w:val="single" w:sz="4" w:space="0" w:color="auto"/>
              <w:bottom w:val="single" w:sz="4" w:space="0" w:color="auto"/>
              <w:right w:val="single" w:sz="4" w:space="0" w:color="auto"/>
            </w:tcBorders>
            <w:shd w:val="clear" w:color="auto" w:fill="auto"/>
          </w:tcPr>
          <w:p w:rsidR="000E54C2" w:rsidRPr="00E8065F" w:rsidRDefault="000E54C2" w:rsidP="001164A3">
            <w:pPr>
              <w:spacing w:line="235" w:lineRule="auto"/>
              <w:jc w:val="center"/>
              <w:rPr>
                <w:color w:val="000000"/>
                <w:sz w:val="20"/>
                <w:szCs w:val="20"/>
              </w:rPr>
            </w:pPr>
            <w:r w:rsidRPr="00E8065F">
              <w:rPr>
                <w:color w:val="000000"/>
                <w:sz w:val="20"/>
                <w:szCs w:val="20"/>
              </w:rPr>
              <w:t>Флюорограф</w:t>
            </w:r>
          </w:p>
        </w:tc>
        <w:tc>
          <w:tcPr>
            <w:tcW w:w="1181" w:type="dxa"/>
            <w:shd w:val="clear" w:color="auto" w:fill="auto"/>
          </w:tcPr>
          <w:p w:rsidR="000E54C2" w:rsidRPr="00E8065F" w:rsidRDefault="000E54C2" w:rsidP="001164A3">
            <w:pPr>
              <w:spacing w:line="235" w:lineRule="auto"/>
              <w:jc w:val="center"/>
              <w:rPr>
                <w:sz w:val="20"/>
                <w:szCs w:val="20"/>
              </w:rPr>
            </w:pPr>
            <w:r w:rsidRPr="00E8065F">
              <w:rPr>
                <w:sz w:val="20"/>
                <w:szCs w:val="20"/>
              </w:rPr>
              <w:t>2023</w:t>
            </w:r>
          </w:p>
        </w:tc>
        <w:tc>
          <w:tcPr>
            <w:tcW w:w="1181" w:type="dxa"/>
            <w:tcBorders>
              <w:top w:val="nil"/>
              <w:left w:val="single" w:sz="4" w:space="0" w:color="auto"/>
              <w:bottom w:val="single" w:sz="4" w:space="0" w:color="auto"/>
              <w:right w:val="single" w:sz="4" w:space="0" w:color="auto"/>
            </w:tcBorders>
            <w:shd w:val="clear" w:color="auto" w:fill="auto"/>
          </w:tcPr>
          <w:p w:rsidR="000E54C2" w:rsidRPr="00E8065F" w:rsidRDefault="000E54C2" w:rsidP="001164A3">
            <w:pPr>
              <w:spacing w:line="235" w:lineRule="auto"/>
              <w:jc w:val="center"/>
              <w:rPr>
                <w:color w:val="000000"/>
                <w:sz w:val="20"/>
                <w:szCs w:val="20"/>
              </w:rPr>
            </w:pPr>
            <w:r w:rsidRPr="00E8065F">
              <w:rPr>
                <w:color w:val="000000"/>
                <w:sz w:val="20"/>
                <w:szCs w:val="20"/>
              </w:rPr>
              <w:t>1</w:t>
            </w:r>
          </w:p>
        </w:tc>
        <w:tc>
          <w:tcPr>
            <w:tcW w:w="1478" w:type="dxa"/>
            <w:tcBorders>
              <w:top w:val="nil"/>
              <w:left w:val="single" w:sz="4" w:space="0" w:color="auto"/>
              <w:bottom w:val="single" w:sz="4" w:space="0" w:color="auto"/>
              <w:right w:val="single" w:sz="4" w:space="0" w:color="auto"/>
            </w:tcBorders>
            <w:shd w:val="clear" w:color="auto" w:fill="auto"/>
          </w:tcPr>
          <w:p w:rsidR="000E54C2" w:rsidRPr="00E8065F" w:rsidRDefault="000E54C2" w:rsidP="001164A3">
            <w:pPr>
              <w:spacing w:line="235" w:lineRule="auto"/>
              <w:jc w:val="center"/>
              <w:rPr>
                <w:color w:val="000000"/>
                <w:sz w:val="20"/>
                <w:szCs w:val="20"/>
              </w:rPr>
            </w:pPr>
            <w:r w:rsidRPr="00E8065F">
              <w:rPr>
                <w:color w:val="000000"/>
                <w:sz w:val="20"/>
                <w:szCs w:val="20"/>
              </w:rPr>
              <w:t>37,3</w:t>
            </w:r>
          </w:p>
        </w:tc>
        <w:tc>
          <w:tcPr>
            <w:tcW w:w="1111" w:type="dxa"/>
            <w:tcBorders>
              <w:top w:val="nil"/>
              <w:left w:val="single" w:sz="4" w:space="0" w:color="auto"/>
              <w:bottom w:val="single" w:sz="4" w:space="0" w:color="auto"/>
              <w:right w:val="single" w:sz="4" w:space="0" w:color="auto"/>
            </w:tcBorders>
            <w:shd w:val="clear" w:color="auto" w:fill="auto"/>
          </w:tcPr>
          <w:p w:rsidR="000E54C2" w:rsidRPr="00E8065F" w:rsidRDefault="000E54C2" w:rsidP="001164A3">
            <w:pPr>
              <w:spacing w:line="235" w:lineRule="auto"/>
              <w:jc w:val="center"/>
              <w:rPr>
                <w:color w:val="000000"/>
                <w:sz w:val="20"/>
                <w:szCs w:val="20"/>
              </w:rPr>
            </w:pPr>
            <w:r w:rsidRPr="00E8065F">
              <w:rPr>
                <w:color w:val="000000"/>
                <w:sz w:val="20"/>
                <w:szCs w:val="20"/>
              </w:rPr>
              <w:t>2</w:t>
            </w:r>
          </w:p>
        </w:tc>
        <w:tc>
          <w:tcPr>
            <w:tcW w:w="1944" w:type="dxa"/>
            <w:tcBorders>
              <w:top w:val="nil"/>
              <w:left w:val="single" w:sz="4" w:space="0" w:color="auto"/>
              <w:bottom w:val="single" w:sz="4" w:space="0" w:color="auto"/>
              <w:right w:val="single" w:sz="4" w:space="0" w:color="auto"/>
            </w:tcBorders>
            <w:shd w:val="clear" w:color="auto" w:fill="auto"/>
          </w:tcPr>
          <w:p w:rsidR="000E54C2" w:rsidRPr="00E8065F" w:rsidRDefault="000E54C2" w:rsidP="001164A3">
            <w:pPr>
              <w:spacing w:line="235" w:lineRule="auto"/>
              <w:jc w:val="center"/>
              <w:rPr>
                <w:color w:val="000000"/>
                <w:sz w:val="20"/>
                <w:szCs w:val="20"/>
              </w:rPr>
            </w:pPr>
            <w:r w:rsidRPr="00E8065F">
              <w:rPr>
                <w:color w:val="000000"/>
                <w:sz w:val="20"/>
                <w:szCs w:val="20"/>
              </w:rPr>
              <w:t>Амбулаторное</w:t>
            </w:r>
          </w:p>
        </w:tc>
      </w:tr>
      <w:tr w:rsidR="00BA1432" w:rsidRPr="00E8065F" w:rsidTr="000546C2">
        <w:trPr>
          <w:trHeight w:val="20"/>
        </w:trPr>
        <w:tc>
          <w:tcPr>
            <w:tcW w:w="1555" w:type="dxa"/>
            <w:vMerge/>
          </w:tcPr>
          <w:p w:rsidR="000E54C2" w:rsidRPr="00E8065F" w:rsidRDefault="000E54C2" w:rsidP="00BA1432">
            <w:pPr>
              <w:rPr>
                <w:sz w:val="20"/>
                <w:szCs w:val="20"/>
              </w:rPr>
            </w:pPr>
          </w:p>
        </w:tc>
        <w:tc>
          <w:tcPr>
            <w:tcW w:w="3685" w:type="dxa"/>
            <w:tcBorders>
              <w:top w:val="nil"/>
              <w:left w:val="single" w:sz="4" w:space="0" w:color="auto"/>
              <w:bottom w:val="single" w:sz="4" w:space="0" w:color="auto"/>
              <w:right w:val="nil"/>
            </w:tcBorders>
            <w:shd w:val="clear" w:color="auto" w:fill="auto"/>
          </w:tcPr>
          <w:p w:rsidR="000E54C2" w:rsidRPr="00E8065F" w:rsidRDefault="000E54C2" w:rsidP="001164A3">
            <w:pPr>
              <w:spacing w:line="235" w:lineRule="auto"/>
              <w:jc w:val="both"/>
              <w:rPr>
                <w:color w:val="000000"/>
                <w:sz w:val="20"/>
                <w:szCs w:val="20"/>
              </w:rPr>
            </w:pPr>
            <w:r w:rsidRPr="00E8065F">
              <w:rPr>
                <w:color w:val="000000"/>
                <w:sz w:val="20"/>
                <w:szCs w:val="20"/>
              </w:rPr>
              <w:t xml:space="preserve">ГАУЗ </w:t>
            </w:r>
            <w:r w:rsidR="002F7358">
              <w:rPr>
                <w:color w:val="000000"/>
                <w:sz w:val="20"/>
                <w:szCs w:val="20"/>
              </w:rPr>
              <w:t>«</w:t>
            </w:r>
            <w:r w:rsidRPr="00E8065F">
              <w:rPr>
                <w:color w:val="000000"/>
                <w:sz w:val="20"/>
                <w:szCs w:val="20"/>
              </w:rPr>
              <w:t>Мензелинская ЦРБ</w:t>
            </w:r>
            <w:r w:rsidR="002F7358">
              <w:rPr>
                <w:color w:val="000000"/>
                <w:sz w:val="20"/>
                <w:szCs w:val="20"/>
              </w:rPr>
              <w:t>»</w:t>
            </w:r>
            <w:r w:rsidRPr="00E8065F">
              <w:rPr>
                <w:color w:val="000000"/>
                <w:sz w:val="20"/>
                <w:szCs w:val="20"/>
              </w:rPr>
              <w:t xml:space="preserve"> </w:t>
            </w:r>
          </w:p>
        </w:tc>
        <w:tc>
          <w:tcPr>
            <w:tcW w:w="1994" w:type="dxa"/>
            <w:tcBorders>
              <w:top w:val="nil"/>
              <w:left w:val="single" w:sz="4" w:space="0" w:color="auto"/>
              <w:bottom w:val="single" w:sz="4" w:space="0" w:color="auto"/>
              <w:right w:val="single" w:sz="4" w:space="0" w:color="auto"/>
            </w:tcBorders>
            <w:shd w:val="clear" w:color="auto" w:fill="auto"/>
          </w:tcPr>
          <w:p w:rsidR="000E54C2" w:rsidRPr="00E8065F" w:rsidRDefault="000E54C2" w:rsidP="001164A3">
            <w:pPr>
              <w:spacing w:line="235" w:lineRule="auto"/>
              <w:jc w:val="center"/>
              <w:rPr>
                <w:color w:val="000000"/>
                <w:sz w:val="20"/>
                <w:szCs w:val="20"/>
              </w:rPr>
            </w:pPr>
            <w:r w:rsidRPr="00E8065F">
              <w:rPr>
                <w:color w:val="000000"/>
                <w:sz w:val="20"/>
                <w:szCs w:val="20"/>
              </w:rPr>
              <w:t>Флюорограф</w:t>
            </w:r>
          </w:p>
        </w:tc>
        <w:tc>
          <w:tcPr>
            <w:tcW w:w="1181" w:type="dxa"/>
            <w:shd w:val="clear" w:color="auto" w:fill="auto"/>
          </w:tcPr>
          <w:p w:rsidR="000E54C2" w:rsidRPr="00E8065F" w:rsidRDefault="000E54C2" w:rsidP="001164A3">
            <w:pPr>
              <w:spacing w:line="235" w:lineRule="auto"/>
              <w:jc w:val="center"/>
              <w:rPr>
                <w:sz w:val="20"/>
                <w:szCs w:val="20"/>
              </w:rPr>
            </w:pPr>
            <w:r w:rsidRPr="00E8065F">
              <w:rPr>
                <w:sz w:val="20"/>
                <w:szCs w:val="20"/>
              </w:rPr>
              <w:t>2022</w:t>
            </w:r>
          </w:p>
        </w:tc>
        <w:tc>
          <w:tcPr>
            <w:tcW w:w="1181" w:type="dxa"/>
            <w:tcBorders>
              <w:top w:val="nil"/>
              <w:left w:val="single" w:sz="4" w:space="0" w:color="auto"/>
              <w:bottom w:val="single" w:sz="4" w:space="0" w:color="auto"/>
              <w:right w:val="single" w:sz="4" w:space="0" w:color="auto"/>
            </w:tcBorders>
            <w:shd w:val="clear" w:color="auto" w:fill="auto"/>
          </w:tcPr>
          <w:p w:rsidR="000E54C2" w:rsidRPr="00E8065F" w:rsidRDefault="000E54C2" w:rsidP="001164A3">
            <w:pPr>
              <w:spacing w:line="235" w:lineRule="auto"/>
              <w:jc w:val="center"/>
              <w:rPr>
                <w:color w:val="000000"/>
                <w:sz w:val="20"/>
                <w:szCs w:val="20"/>
              </w:rPr>
            </w:pPr>
            <w:r w:rsidRPr="00E8065F">
              <w:rPr>
                <w:color w:val="000000"/>
                <w:sz w:val="20"/>
                <w:szCs w:val="20"/>
              </w:rPr>
              <w:t>1</w:t>
            </w:r>
          </w:p>
        </w:tc>
        <w:tc>
          <w:tcPr>
            <w:tcW w:w="1478" w:type="dxa"/>
            <w:tcBorders>
              <w:top w:val="nil"/>
              <w:left w:val="single" w:sz="4" w:space="0" w:color="auto"/>
              <w:bottom w:val="single" w:sz="4" w:space="0" w:color="auto"/>
              <w:right w:val="single" w:sz="4" w:space="0" w:color="auto"/>
            </w:tcBorders>
            <w:shd w:val="clear" w:color="auto" w:fill="auto"/>
          </w:tcPr>
          <w:p w:rsidR="000E54C2" w:rsidRPr="00E8065F" w:rsidRDefault="000E54C2" w:rsidP="001164A3">
            <w:pPr>
              <w:spacing w:line="235" w:lineRule="auto"/>
              <w:jc w:val="center"/>
              <w:rPr>
                <w:color w:val="000000"/>
                <w:sz w:val="20"/>
                <w:szCs w:val="20"/>
              </w:rPr>
            </w:pPr>
            <w:r w:rsidRPr="00E8065F">
              <w:rPr>
                <w:color w:val="000000"/>
                <w:sz w:val="20"/>
                <w:szCs w:val="20"/>
              </w:rPr>
              <w:t>27,9</w:t>
            </w:r>
          </w:p>
        </w:tc>
        <w:tc>
          <w:tcPr>
            <w:tcW w:w="1111" w:type="dxa"/>
            <w:tcBorders>
              <w:top w:val="nil"/>
              <w:left w:val="single" w:sz="4" w:space="0" w:color="auto"/>
              <w:bottom w:val="single" w:sz="4" w:space="0" w:color="auto"/>
              <w:right w:val="single" w:sz="4" w:space="0" w:color="auto"/>
            </w:tcBorders>
            <w:shd w:val="clear" w:color="auto" w:fill="auto"/>
          </w:tcPr>
          <w:p w:rsidR="000E54C2" w:rsidRPr="00E8065F" w:rsidRDefault="000E54C2" w:rsidP="001164A3">
            <w:pPr>
              <w:spacing w:line="235" w:lineRule="auto"/>
              <w:jc w:val="center"/>
              <w:rPr>
                <w:color w:val="000000"/>
                <w:sz w:val="20"/>
                <w:szCs w:val="20"/>
              </w:rPr>
            </w:pPr>
            <w:r w:rsidRPr="00E8065F">
              <w:rPr>
                <w:color w:val="000000"/>
                <w:sz w:val="20"/>
                <w:szCs w:val="20"/>
              </w:rPr>
              <w:t>2</w:t>
            </w:r>
          </w:p>
        </w:tc>
        <w:tc>
          <w:tcPr>
            <w:tcW w:w="1944" w:type="dxa"/>
            <w:tcBorders>
              <w:top w:val="nil"/>
              <w:left w:val="single" w:sz="4" w:space="0" w:color="auto"/>
              <w:bottom w:val="single" w:sz="4" w:space="0" w:color="auto"/>
              <w:right w:val="single" w:sz="4" w:space="0" w:color="auto"/>
            </w:tcBorders>
            <w:shd w:val="clear" w:color="auto" w:fill="auto"/>
          </w:tcPr>
          <w:p w:rsidR="000E54C2" w:rsidRPr="00E8065F" w:rsidRDefault="000E54C2" w:rsidP="001164A3">
            <w:pPr>
              <w:spacing w:line="235" w:lineRule="auto"/>
              <w:jc w:val="center"/>
              <w:rPr>
                <w:color w:val="000000"/>
                <w:sz w:val="20"/>
                <w:szCs w:val="20"/>
              </w:rPr>
            </w:pPr>
            <w:r w:rsidRPr="00E8065F">
              <w:rPr>
                <w:color w:val="000000"/>
                <w:sz w:val="20"/>
                <w:szCs w:val="20"/>
              </w:rPr>
              <w:t>Амбулаторное</w:t>
            </w:r>
          </w:p>
        </w:tc>
      </w:tr>
      <w:tr w:rsidR="00BA1432" w:rsidRPr="00E8065F" w:rsidTr="000546C2">
        <w:trPr>
          <w:trHeight w:val="20"/>
        </w:trPr>
        <w:tc>
          <w:tcPr>
            <w:tcW w:w="1555" w:type="dxa"/>
            <w:vMerge/>
          </w:tcPr>
          <w:p w:rsidR="000E54C2" w:rsidRPr="00E8065F" w:rsidRDefault="000E54C2" w:rsidP="00BA1432">
            <w:pPr>
              <w:rPr>
                <w:sz w:val="20"/>
                <w:szCs w:val="20"/>
              </w:rPr>
            </w:pPr>
          </w:p>
        </w:tc>
        <w:tc>
          <w:tcPr>
            <w:tcW w:w="3685" w:type="dxa"/>
            <w:tcBorders>
              <w:top w:val="nil"/>
              <w:left w:val="single" w:sz="4" w:space="0" w:color="auto"/>
              <w:bottom w:val="single" w:sz="4" w:space="0" w:color="auto"/>
              <w:right w:val="nil"/>
            </w:tcBorders>
            <w:shd w:val="clear" w:color="auto" w:fill="auto"/>
          </w:tcPr>
          <w:p w:rsidR="000E54C2" w:rsidRPr="00E8065F" w:rsidRDefault="000E54C2" w:rsidP="001164A3">
            <w:pPr>
              <w:spacing w:line="235" w:lineRule="auto"/>
              <w:jc w:val="both"/>
              <w:rPr>
                <w:color w:val="000000"/>
                <w:sz w:val="20"/>
                <w:szCs w:val="20"/>
              </w:rPr>
            </w:pPr>
            <w:r w:rsidRPr="00E8065F">
              <w:rPr>
                <w:color w:val="000000"/>
                <w:sz w:val="20"/>
                <w:szCs w:val="20"/>
              </w:rPr>
              <w:t xml:space="preserve">ГАУЗ </w:t>
            </w:r>
            <w:r w:rsidR="002F7358">
              <w:rPr>
                <w:color w:val="000000"/>
                <w:sz w:val="20"/>
                <w:szCs w:val="20"/>
              </w:rPr>
              <w:t>«</w:t>
            </w:r>
            <w:r w:rsidRPr="00E8065F">
              <w:rPr>
                <w:color w:val="000000"/>
                <w:sz w:val="20"/>
                <w:szCs w:val="20"/>
              </w:rPr>
              <w:t>Муслюмовская ЦРБ</w:t>
            </w:r>
            <w:r w:rsidR="002F7358">
              <w:rPr>
                <w:color w:val="000000"/>
                <w:sz w:val="20"/>
                <w:szCs w:val="20"/>
              </w:rPr>
              <w:t>»</w:t>
            </w:r>
            <w:r w:rsidRPr="00E8065F">
              <w:rPr>
                <w:color w:val="000000"/>
                <w:sz w:val="20"/>
                <w:szCs w:val="20"/>
              </w:rPr>
              <w:t xml:space="preserve"> </w:t>
            </w:r>
          </w:p>
        </w:tc>
        <w:tc>
          <w:tcPr>
            <w:tcW w:w="1994" w:type="dxa"/>
            <w:tcBorders>
              <w:top w:val="nil"/>
              <w:left w:val="single" w:sz="4" w:space="0" w:color="auto"/>
              <w:bottom w:val="single" w:sz="4" w:space="0" w:color="auto"/>
              <w:right w:val="single" w:sz="4" w:space="0" w:color="auto"/>
            </w:tcBorders>
            <w:shd w:val="clear" w:color="auto" w:fill="auto"/>
          </w:tcPr>
          <w:p w:rsidR="000E54C2" w:rsidRPr="00E8065F" w:rsidRDefault="000E54C2" w:rsidP="001164A3">
            <w:pPr>
              <w:spacing w:line="235" w:lineRule="auto"/>
              <w:jc w:val="center"/>
              <w:rPr>
                <w:color w:val="000000"/>
                <w:sz w:val="20"/>
                <w:szCs w:val="20"/>
              </w:rPr>
            </w:pPr>
            <w:r w:rsidRPr="00E8065F">
              <w:rPr>
                <w:color w:val="000000"/>
                <w:sz w:val="20"/>
                <w:szCs w:val="20"/>
              </w:rPr>
              <w:t>Флюорограф</w:t>
            </w:r>
          </w:p>
        </w:tc>
        <w:tc>
          <w:tcPr>
            <w:tcW w:w="1181" w:type="dxa"/>
            <w:shd w:val="clear" w:color="auto" w:fill="auto"/>
          </w:tcPr>
          <w:p w:rsidR="000E54C2" w:rsidRPr="00E8065F" w:rsidRDefault="000E54C2" w:rsidP="001164A3">
            <w:pPr>
              <w:spacing w:line="235" w:lineRule="auto"/>
              <w:jc w:val="center"/>
              <w:rPr>
                <w:sz w:val="20"/>
                <w:szCs w:val="20"/>
              </w:rPr>
            </w:pPr>
            <w:r w:rsidRPr="00E8065F">
              <w:rPr>
                <w:sz w:val="20"/>
                <w:szCs w:val="20"/>
              </w:rPr>
              <w:t>2022</w:t>
            </w:r>
          </w:p>
        </w:tc>
        <w:tc>
          <w:tcPr>
            <w:tcW w:w="1181" w:type="dxa"/>
            <w:tcBorders>
              <w:top w:val="nil"/>
              <w:left w:val="single" w:sz="4" w:space="0" w:color="auto"/>
              <w:bottom w:val="single" w:sz="4" w:space="0" w:color="auto"/>
              <w:right w:val="single" w:sz="4" w:space="0" w:color="auto"/>
            </w:tcBorders>
            <w:shd w:val="clear" w:color="auto" w:fill="auto"/>
          </w:tcPr>
          <w:p w:rsidR="000E54C2" w:rsidRPr="00E8065F" w:rsidRDefault="000E54C2" w:rsidP="001164A3">
            <w:pPr>
              <w:spacing w:line="235" w:lineRule="auto"/>
              <w:jc w:val="center"/>
              <w:rPr>
                <w:color w:val="000000"/>
                <w:sz w:val="20"/>
                <w:szCs w:val="20"/>
              </w:rPr>
            </w:pPr>
            <w:r w:rsidRPr="00E8065F">
              <w:rPr>
                <w:color w:val="000000"/>
                <w:sz w:val="20"/>
                <w:szCs w:val="20"/>
              </w:rPr>
              <w:t>1</w:t>
            </w:r>
          </w:p>
        </w:tc>
        <w:tc>
          <w:tcPr>
            <w:tcW w:w="1478" w:type="dxa"/>
            <w:tcBorders>
              <w:top w:val="nil"/>
              <w:left w:val="single" w:sz="4" w:space="0" w:color="auto"/>
              <w:bottom w:val="single" w:sz="4" w:space="0" w:color="auto"/>
              <w:right w:val="single" w:sz="4" w:space="0" w:color="auto"/>
            </w:tcBorders>
            <w:shd w:val="clear" w:color="auto" w:fill="auto"/>
          </w:tcPr>
          <w:p w:rsidR="000E54C2" w:rsidRPr="00E8065F" w:rsidRDefault="000E54C2" w:rsidP="001164A3">
            <w:pPr>
              <w:spacing w:line="235" w:lineRule="auto"/>
              <w:jc w:val="center"/>
              <w:rPr>
                <w:color w:val="000000"/>
                <w:sz w:val="20"/>
                <w:szCs w:val="20"/>
              </w:rPr>
            </w:pPr>
            <w:r w:rsidRPr="00E8065F">
              <w:rPr>
                <w:color w:val="000000"/>
                <w:sz w:val="20"/>
                <w:szCs w:val="20"/>
              </w:rPr>
              <w:t>22,8</w:t>
            </w:r>
          </w:p>
        </w:tc>
        <w:tc>
          <w:tcPr>
            <w:tcW w:w="1111" w:type="dxa"/>
            <w:tcBorders>
              <w:top w:val="nil"/>
              <w:left w:val="single" w:sz="4" w:space="0" w:color="auto"/>
              <w:bottom w:val="single" w:sz="4" w:space="0" w:color="auto"/>
              <w:right w:val="single" w:sz="4" w:space="0" w:color="auto"/>
            </w:tcBorders>
            <w:shd w:val="clear" w:color="auto" w:fill="auto"/>
          </w:tcPr>
          <w:p w:rsidR="000E54C2" w:rsidRPr="00E8065F" w:rsidRDefault="000E54C2" w:rsidP="001164A3">
            <w:pPr>
              <w:spacing w:line="235" w:lineRule="auto"/>
              <w:jc w:val="center"/>
              <w:rPr>
                <w:color w:val="000000"/>
                <w:sz w:val="20"/>
                <w:szCs w:val="20"/>
              </w:rPr>
            </w:pPr>
            <w:r w:rsidRPr="00E8065F">
              <w:rPr>
                <w:color w:val="000000"/>
                <w:sz w:val="20"/>
                <w:szCs w:val="20"/>
              </w:rPr>
              <w:t>2</w:t>
            </w:r>
          </w:p>
        </w:tc>
        <w:tc>
          <w:tcPr>
            <w:tcW w:w="1944" w:type="dxa"/>
            <w:tcBorders>
              <w:top w:val="nil"/>
              <w:left w:val="single" w:sz="4" w:space="0" w:color="auto"/>
              <w:bottom w:val="single" w:sz="4" w:space="0" w:color="auto"/>
              <w:right w:val="single" w:sz="4" w:space="0" w:color="auto"/>
            </w:tcBorders>
            <w:shd w:val="clear" w:color="auto" w:fill="auto"/>
          </w:tcPr>
          <w:p w:rsidR="000E54C2" w:rsidRPr="00E8065F" w:rsidRDefault="000E54C2" w:rsidP="001164A3">
            <w:pPr>
              <w:spacing w:line="235" w:lineRule="auto"/>
              <w:jc w:val="center"/>
              <w:rPr>
                <w:color w:val="000000"/>
                <w:sz w:val="20"/>
                <w:szCs w:val="20"/>
              </w:rPr>
            </w:pPr>
            <w:r w:rsidRPr="00E8065F">
              <w:rPr>
                <w:color w:val="000000"/>
                <w:sz w:val="20"/>
                <w:szCs w:val="20"/>
              </w:rPr>
              <w:t>Амбулаторное</w:t>
            </w:r>
          </w:p>
        </w:tc>
      </w:tr>
      <w:tr w:rsidR="00BA1432" w:rsidRPr="00E8065F" w:rsidTr="000546C2">
        <w:trPr>
          <w:trHeight w:val="20"/>
        </w:trPr>
        <w:tc>
          <w:tcPr>
            <w:tcW w:w="1555" w:type="dxa"/>
            <w:vMerge/>
          </w:tcPr>
          <w:p w:rsidR="000E54C2" w:rsidRPr="00E8065F" w:rsidRDefault="000E54C2" w:rsidP="00BA1432">
            <w:pPr>
              <w:rPr>
                <w:sz w:val="20"/>
                <w:szCs w:val="20"/>
              </w:rPr>
            </w:pPr>
          </w:p>
        </w:tc>
        <w:tc>
          <w:tcPr>
            <w:tcW w:w="3685" w:type="dxa"/>
            <w:tcBorders>
              <w:top w:val="nil"/>
              <w:left w:val="single" w:sz="4" w:space="0" w:color="auto"/>
              <w:bottom w:val="single" w:sz="4" w:space="0" w:color="auto"/>
              <w:right w:val="nil"/>
            </w:tcBorders>
            <w:shd w:val="clear" w:color="auto" w:fill="auto"/>
          </w:tcPr>
          <w:p w:rsidR="000E54C2" w:rsidRPr="00E8065F" w:rsidRDefault="000E54C2" w:rsidP="001164A3">
            <w:pPr>
              <w:spacing w:line="235" w:lineRule="auto"/>
              <w:jc w:val="both"/>
              <w:rPr>
                <w:color w:val="000000"/>
                <w:sz w:val="20"/>
                <w:szCs w:val="20"/>
              </w:rPr>
            </w:pPr>
            <w:r w:rsidRPr="00E8065F">
              <w:rPr>
                <w:color w:val="000000"/>
                <w:sz w:val="20"/>
                <w:szCs w:val="20"/>
              </w:rPr>
              <w:t xml:space="preserve">ГАУЗ </w:t>
            </w:r>
            <w:r w:rsidR="002F7358">
              <w:rPr>
                <w:color w:val="000000"/>
                <w:sz w:val="20"/>
                <w:szCs w:val="20"/>
              </w:rPr>
              <w:t>«</w:t>
            </w:r>
            <w:r w:rsidRPr="00E8065F">
              <w:rPr>
                <w:color w:val="000000"/>
                <w:sz w:val="20"/>
                <w:szCs w:val="20"/>
              </w:rPr>
              <w:t>Камско-Полянская РБ</w:t>
            </w:r>
            <w:r w:rsidR="002F7358">
              <w:rPr>
                <w:color w:val="000000"/>
                <w:sz w:val="20"/>
                <w:szCs w:val="20"/>
              </w:rPr>
              <w:t>»</w:t>
            </w:r>
          </w:p>
        </w:tc>
        <w:tc>
          <w:tcPr>
            <w:tcW w:w="1994" w:type="dxa"/>
            <w:tcBorders>
              <w:top w:val="nil"/>
              <w:left w:val="single" w:sz="4" w:space="0" w:color="auto"/>
              <w:bottom w:val="single" w:sz="4" w:space="0" w:color="auto"/>
              <w:right w:val="single" w:sz="4" w:space="0" w:color="auto"/>
            </w:tcBorders>
            <w:shd w:val="clear" w:color="auto" w:fill="auto"/>
          </w:tcPr>
          <w:p w:rsidR="000E54C2" w:rsidRPr="00E8065F" w:rsidRDefault="000E54C2" w:rsidP="001164A3">
            <w:pPr>
              <w:spacing w:line="235" w:lineRule="auto"/>
              <w:jc w:val="center"/>
              <w:rPr>
                <w:color w:val="000000"/>
                <w:sz w:val="20"/>
                <w:szCs w:val="20"/>
              </w:rPr>
            </w:pPr>
            <w:r w:rsidRPr="00E8065F">
              <w:rPr>
                <w:color w:val="000000"/>
                <w:sz w:val="20"/>
                <w:szCs w:val="20"/>
              </w:rPr>
              <w:t>Флюорограф</w:t>
            </w:r>
          </w:p>
        </w:tc>
        <w:tc>
          <w:tcPr>
            <w:tcW w:w="1181" w:type="dxa"/>
            <w:shd w:val="clear" w:color="auto" w:fill="auto"/>
          </w:tcPr>
          <w:p w:rsidR="000E54C2" w:rsidRPr="00E8065F" w:rsidRDefault="000E54C2" w:rsidP="001164A3">
            <w:pPr>
              <w:spacing w:line="235" w:lineRule="auto"/>
              <w:jc w:val="center"/>
              <w:rPr>
                <w:sz w:val="20"/>
                <w:szCs w:val="20"/>
              </w:rPr>
            </w:pPr>
            <w:r w:rsidRPr="00E8065F">
              <w:rPr>
                <w:sz w:val="20"/>
                <w:szCs w:val="20"/>
              </w:rPr>
              <w:t>2022</w:t>
            </w:r>
          </w:p>
        </w:tc>
        <w:tc>
          <w:tcPr>
            <w:tcW w:w="1181" w:type="dxa"/>
            <w:tcBorders>
              <w:top w:val="nil"/>
              <w:left w:val="single" w:sz="4" w:space="0" w:color="auto"/>
              <w:bottom w:val="single" w:sz="4" w:space="0" w:color="auto"/>
              <w:right w:val="single" w:sz="4" w:space="0" w:color="auto"/>
            </w:tcBorders>
            <w:shd w:val="clear" w:color="auto" w:fill="auto"/>
          </w:tcPr>
          <w:p w:rsidR="000E54C2" w:rsidRPr="00E8065F" w:rsidRDefault="000E54C2" w:rsidP="001164A3">
            <w:pPr>
              <w:spacing w:line="235" w:lineRule="auto"/>
              <w:jc w:val="center"/>
              <w:rPr>
                <w:color w:val="000000"/>
                <w:sz w:val="20"/>
                <w:szCs w:val="20"/>
              </w:rPr>
            </w:pPr>
            <w:r w:rsidRPr="00E8065F">
              <w:rPr>
                <w:color w:val="000000"/>
                <w:sz w:val="20"/>
                <w:szCs w:val="20"/>
              </w:rPr>
              <w:t>1</w:t>
            </w:r>
          </w:p>
        </w:tc>
        <w:tc>
          <w:tcPr>
            <w:tcW w:w="1478" w:type="dxa"/>
            <w:tcBorders>
              <w:top w:val="nil"/>
              <w:left w:val="single" w:sz="4" w:space="0" w:color="auto"/>
              <w:bottom w:val="single" w:sz="4" w:space="0" w:color="auto"/>
              <w:right w:val="single" w:sz="4" w:space="0" w:color="auto"/>
            </w:tcBorders>
            <w:shd w:val="clear" w:color="auto" w:fill="auto"/>
          </w:tcPr>
          <w:p w:rsidR="000E54C2" w:rsidRPr="00E8065F" w:rsidRDefault="000E54C2" w:rsidP="001164A3">
            <w:pPr>
              <w:spacing w:line="235" w:lineRule="auto"/>
              <w:jc w:val="center"/>
              <w:rPr>
                <w:color w:val="000000"/>
                <w:sz w:val="20"/>
                <w:szCs w:val="20"/>
              </w:rPr>
            </w:pPr>
            <w:r w:rsidRPr="00E8065F">
              <w:rPr>
                <w:color w:val="000000"/>
                <w:sz w:val="20"/>
                <w:szCs w:val="20"/>
              </w:rPr>
              <w:t>22,7</w:t>
            </w:r>
          </w:p>
        </w:tc>
        <w:tc>
          <w:tcPr>
            <w:tcW w:w="1111" w:type="dxa"/>
            <w:tcBorders>
              <w:top w:val="nil"/>
              <w:left w:val="single" w:sz="4" w:space="0" w:color="auto"/>
              <w:bottom w:val="single" w:sz="4" w:space="0" w:color="auto"/>
              <w:right w:val="single" w:sz="4" w:space="0" w:color="auto"/>
            </w:tcBorders>
            <w:shd w:val="clear" w:color="auto" w:fill="auto"/>
          </w:tcPr>
          <w:p w:rsidR="000E54C2" w:rsidRPr="00E8065F" w:rsidRDefault="000E54C2" w:rsidP="001164A3">
            <w:pPr>
              <w:spacing w:line="235" w:lineRule="auto"/>
              <w:jc w:val="center"/>
              <w:rPr>
                <w:color w:val="000000"/>
                <w:sz w:val="20"/>
                <w:szCs w:val="20"/>
              </w:rPr>
            </w:pPr>
            <w:r w:rsidRPr="00E8065F">
              <w:rPr>
                <w:color w:val="000000"/>
                <w:sz w:val="20"/>
                <w:szCs w:val="20"/>
              </w:rPr>
              <w:t>2</w:t>
            </w:r>
          </w:p>
        </w:tc>
        <w:tc>
          <w:tcPr>
            <w:tcW w:w="1944" w:type="dxa"/>
            <w:tcBorders>
              <w:top w:val="nil"/>
              <w:left w:val="single" w:sz="4" w:space="0" w:color="auto"/>
              <w:bottom w:val="single" w:sz="4" w:space="0" w:color="auto"/>
              <w:right w:val="single" w:sz="4" w:space="0" w:color="auto"/>
            </w:tcBorders>
            <w:shd w:val="clear" w:color="auto" w:fill="auto"/>
          </w:tcPr>
          <w:p w:rsidR="000E54C2" w:rsidRPr="00E8065F" w:rsidRDefault="000E54C2" w:rsidP="001164A3">
            <w:pPr>
              <w:spacing w:line="235" w:lineRule="auto"/>
              <w:jc w:val="center"/>
              <w:rPr>
                <w:color w:val="000000"/>
                <w:sz w:val="20"/>
                <w:szCs w:val="20"/>
              </w:rPr>
            </w:pPr>
            <w:r w:rsidRPr="00E8065F">
              <w:rPr>
                <w:color w:val="000000"/>
                <w:sz w:val="20"/>
                <w:szCs w:val="20"/>
              </w:rPr>
              <w:t>Амбулаторное</w:t>
            </w:r>
          </w:p>
        </w:tc>
      </w:tr>
      <w:tr w:rsidR="00BA1432" w:rsidRPr="00E8065F" w:rsidTr="000546C2">
        <w:trPr>
          <w:trHeight w:val="20"/>
        </w:trPr>
        <w:tc>
          <w:tcPr>
            <w:tcW w:w="1555" w:type="dxa"/>
            <w:vMerge/>
          </w:tcPr>
          <w:p w:rsidR="000E54C2" w:rsidRPr="00E8065F" w:rsidRDefault="000E54C2" w:rsidP="00BA1432">
            <w:pPr>
              <w:rPr>
                <w:sz w:val="20"/>
                <w:szCs w:val="20"/>
              </w:rPr>
            </w:pPr>
          </w:p>
        </w:tc>
        <w:tc>
          <w:tcPr>
            <w:tcW w:w="3685" w:type="dxa"/>
            <w:tcBorders>
              <w:top w:val="nil"/>
              <w:left w:val="single" w:sz="4" w:space="0" w:color="auto"/>
              <w:bottom w:val="single" w:sz="4" w:space="0" w:color="auto"/>
              <w:right w:val="nil"/>
            </w:tcBorders>
            <w:shd w:val="clear" w:color="auto" w:fill="auto"/>
          </w:tcPr>
          <w:p w:rsidR="000E54C2" w:rsidRPr="00E8065F" w:rsidRDefault="003722E0" w:rsidP="001164A3">
            <w:pPr>
              <w:spacing w:line="235" w:lineRule="auto"/>
              <w:jc w:val="both"/>
              <w:rPr>
                <w:color w:val="000000"/>
                <w:sz w:val="20"/>
                <w:szCs w:val="20"/>
              </w:rPr>
            </w:pPr>
            <w:r>
              <w:rPr>
                <w:color w:val="000000"/>
                <w:sz w:val="20"/>
                <w:szCs w:val="20"/>
              </w:rPr>
              <w:t xml:space="preserve">ГАУЗ </w:t>
            </w:r>
            <w:r>
              <w:rPr>
                <w:sz w:val="20"/>
                <w:szCs w:val="20"/>
              </w:rPr>
              <w:t>«Нижнекамская центральная районная многопрофильная больница»</w:t>
            </w:r>
          </w:p>
        </w:tc>
        <w:tc>
          <w:tcPr>
            <w:tcW w:w="1994" w:type="dxa"/>
            <w:tcBorders>
              <w:top w:val="nil"/>
              <w:left w:val="single" w:sz="4" w:space="0" w:color="auto"/>
              <w:bottom w:val="single" w:sz="4" w:space="0" w:color="auto"/>
              <w:right w:val="single" w:sz="4" w:space="0" w:color="auto"/>
            </w:tcBorders>
            <w:shd w:val="clear" w:color="auto" w:fill="auto"/>
          </w:tcPr>
          <w:p w:rsidR="000E54C2" w:rsidRPr="00E8065F" w:rsidRDefault="000E54C2" w:rsidP="001164A3">
            <w:pPr>
              <w:spacing w:line="235" w:lineRule="auto"/>
              <w:jc w:val="center"/>
              <w:rPr>
                <w:color w:val="000000"/>
                <w:sz w:val="20"/>
                <w:szCs w:val="20"/>
              </w:rPr>
            </w:pPr>
            <w:r w:rsidRPr="00E8065F">
              <w:rPr>
                <w:color w:val="000000"/>
                <w:sz w:val="20"/>
                <w:szCs w:val="20"/>
              </w:rPr>
              <w:t>Флюорограф</w:t>
            </w:r>
          </w:p>
        </w:tc>
        <w:tc>
          <w:tcPr>
            <w:tcW w:w="1181" w:type="dxa"/>
            <w:shd w:val="clear" w:color="auto" w:fill="auto"/>
          </w:tcPr>
          <w:p w:rsidR="00783899" w:rsidRPr="00E8065F" w:rsidRDefault="000E54C2" w:rsidP="00783899">
            <w:pPr>
              <w:jc w:val="center"/>
              <w:rPr>
                <w:sz w:val="20"/>
                <w:szCs w:val="20"/>
              </w:rPr>
            </w:pPr>
            <w:r w:rsidRPr="00E8065F">
              <w:rPr>
                <w:sz w:val="20"/>
                <w:szCs w:val="20"/>
              </w:rPr>
              <w:t>2015</w:t>
            </w:r>
            <w:r w:rsidR="00793DC9">
              <w:rPr>
                <w:sz w:val="20"/>
                <w:szCs w:val="20"/>
              </w:rPr>
              <w:t xml:space="preserve"> </w:t>
            </w:r>
            <w:r w:rsidR="00783899">
              <w:rPr>
                <w:sz w:val="20"/>
                <w:szCs w:val="20"/>
              </w:rPr>
              <w:t>(1)</w:t>
            </w:r>
          </w:p>
          <w:p w:rsidR="00783899" w:rsidRPr="00E8065F" w:rsidRDefault="000E54C2" w:rsidP="00783899">
            <w:pPr>
              <w:jc w:val="center"/>
              <w:rPr>
                <w:sz w:val="20"/>
                <w:szCs w:val="20"/>
              </w:rPr>
            </w:pPr>
            <w:r w:rsidRPr="00E8065F">
              <w:rPr>
                <w:sz w:val="20"/>
                <w:szCs w:val="20"/>
              </w:rPr>
              <w:t>2023</w:t>
            </w:r>
            <w:r w:rsidR="00793DC9">
              <w:rPr>
                <w:sz w:val="20"/>
                <w:szCs w:val="20"/>
              </w:rPr>
              <w:t xml:space="preserve"> </w:t>
            </w:r>
            <w:r w:rsidR="00783899">
              <w:rPr>
                <w:sz w:val="20"/>
                <w:szCs w:val="20"/>
              </w:rPr>
              <w:t>(1)</w:t>
            </w:r>
          </w:p>
          <w:p w:rsidR="000E54C2" w:rsidRPr="00E8065F" w:rsidRDefault="000E54C2" w:rsidP="001164A3">
            <w:pPr>
              <w:spacing w:line="235" w:lineRule="auto"/>
              <w:jc w:val="center"/>
              <w:rPr>
                <w:sz w:val="20"/>
                <w:szCs w:val="20"/>
              </w:rPr>
            </w:pPr>
            <w:r w:rsidRPr="00E8065F">
              <w:rPr>
                <w:sz w:val="20"/>
                <w:szCs w:val="20"/>
              </w:rPr>
              <w:t>2024</w:t>
            </w:r>
            <w:r w:rsidR="00793DC9">
              <w:rPr>
                <w:sz w:val="20"/>
                <w:szCs w:val="20"/>
              </w:rPr>
              <w:t xml:space="preserve"> </w:t>
            </w:r>
            <w:r w:rsidR="00783899">
              <w:rPr>
                <w:sz w:val="20"/>
                <w:szCs w:val="20"/>
              </w:rPr>
              <w:t>(2)</w:t>
            </w:r>
          </w:p>
        </w:tc>
        <w:tc>
          <w:tcPr>
            <w:tcW w:w="1181" w:type="dxa"/>
            <w:tcBorders>
              <w:top w:val="nil"/>
              <w:left w:val="single" w:sz="4" w:space="0" w:color="auto"/>
              <w:bottom w:val="single" w:sz="4" w:space="0" w:color="auto"/>
              <w:right w:val="single" w:sz="4" w:space="0" w:color="auto"/>
            </w:tcBorders>
            <w:shd w:val="clear" w:color="auto" w:fill="auto"/>
          </w:tcPr>
          <w:p w:rsidR="000E54C2" w:rsidRPr="00E8065F" w:rsidRDefault="000E54C2" w:rsidP="001164A3">
            <w:pPr>
              <w:spacing w:line="235" w:lineRule="auto"/>
              <w:jc w:val="center"/>
              <w:rPr>
                <w:color w:val="000000"/>
                <w:sz w:val="20"/>
                <w:szCs w:val="20"/>
              </w:rPr>
            </w:pPr>
            <w:r w:rsidRPr="00E8065F">
              <w:rPr>
                <w:color w:val="000000"/>
                <w:sz w:val="20"/>
                <w:szCs w:val="20"/>
              </w:rPr>
              <w:t>4</w:t>
            </w:r>
          </w:p>
        </w:tc>
        <w:tc>
          <w:tcPr>
            <w:tcW w:w="1478" w:type="dxa"/>
            <w:tcBorders>
              <w:top w:val="nil"/>
              <w:left w:val="single" w:sz="4" w:space="0" w:color="auto"/>
              <w:bottom w:val="single" w:sz="4" w:space="0" w:color="auto"/>
              <w:right w:val="single" w:sz="4" w:space="0" w:color="auto"/>
            </w:tcBorders>
            <w:shd w:val="clear" w:color="auto" w:fill="auto"/>
          </w:tcPr>
          <w:p w:rsidR="000E54C2" w:rsidRPr="00E8065F" w:rsidRDefault="000E54C2" w:rsidP="001164A3">
            <w:pPr>
              <w:spacing w:line="235" w:lineRule="auto"/>
              <w:jc w:val="center"/>
              <w:rPr>
                <w:color w:val="000000"/>
                <w:sz w:val="20"/>
                <w:szCs w:val="20"/>
              </w:rPr>
            </w:pPr>
            <w:r w:rsidRPr="00E8065F">
              <w:rPr>
                <w:color w:val="000000"/>
                <w:sz w:val="20"/>
                <w:szCs w:val="20"/>
              </w:rPr>
              <w:t>197,8</w:t>
            </w:r>
          </w:p>
        </w:tc>
        <w:tc>
          <w:tcPr>
            <w:tcW w:w="1111" w:type="dxa"/>
            <w:tcBorders>
              <w:top w:val="nil"/>
              <w:left w:val="single" w:sz="4" w:space="0" w:color="auto"/>
              <w:bottom w:val="single" w:sz="4" w:space="0" w:color="auto"/>
              <w:right w:val="single" w:sz="4" w:space="0" w:color="auto"/>
            </w:tcBorders>
            <w:shd w:val="clear" w:color="auto" w:fill="auto"/>
          </w:tcPr>
          <w:p w:rsidR="000E54C2" w:rsidRPr="00E8065F" w:rsidRDefault="000E54C2" w:rsidP="001164A3">
            <w:pPr>
              <w:spacing w:line="235" w:lineRule="auto"/>
              <w:jc w:val="center"/>
              <w:rPr>
                <w:color w:val="000000"/>
                <w:sz w:val="20"/>
                <w:szCs w:val="20"/>
              </w:rPr>
            </w:pPr>
            <w:r w:rsidRPr="00E8065F">
              <w:rPr>
                <w:color w:val="000000"/>
                <w:sz w:val="20"/>
                <w:szCs w:val="20"/>
              </w:rPr>
              <w:t>2</w:t>
            </w:r>
          </w:p>
        </w:tc>
        <w:tc>
          <w:tcPr>
            <w:tcW w:w="1944" w:type="dxa"/>
            <w:tcBorders>
              <w:top w:val="nil"/>
              <w:left w:val="single" w:sz="4" w:space="0" w:color="auto"/>
              <w:bottom w:val="single" w:sz="4" w:space="0" w:color="auto"/>
              <w:right w:val="single" w:sz="4" w:space="0" w:color="auto"/>
            </w:tcBorders>
            <w:shd w:val="clear" w:color="auto" w:fill="auto"/>
          </w:tcPr>
          <w:p w:rsidR="000E54C2" w:rsidRPr="00E8065F" w:rsidRDefault="000E54C2" w:rsidP="001164A3">
            <w:pPr>
              <w:spacing w:line="235" w:lineRule="auto"/>
              <w:jc w:val="center"/>
              <w:rPr>
                <w:color w:val="000000"/>
                <w:sz w:val="20"/>
                <w:szCs w:val="20"/>
              </w:rPr>
            </w:pPr>
            <w:r w:rsidRPr="00E8065F">
              <w:rPr>
                <w:color w:val="000000"/>
                <w:sz w:val="20"/>
                <w:szCs w:val="20"/>
              </w:rPr>
              <w:t>Амбулаторное</w:t>
            </w:r>
          </w:p>
        </w:tc>
      </w:tr>
      <w:tr w:rsidR="00BA1432" w:rsidRPr="00E8065F" w:rsidTr="000546C2">
        <w:trPr>
          <w:trHeight w:val="20"/>
        </w:trPr>
        <w:tc>
          <w:tcPr>
            <w:tcW w:w="1555" w:type="dxa"/>
            <w:vMerge/>
          </w:tcPr>
          <w:p w:rsidR="000E54C2" w:rsidRPr="00E8065F" w:rsidRDefault="000E54C2" w:rsidP="00BA1432">
            <w:pPr>
              <w:rPr>
                <w:sz w:val="20"/>
                <w:szCs w:val="20"/>
              </w:rPr>
            </w:pPr>
          </w:p>
        </w:tc>
        <w:tc>
          <w:tcPr>
            <w:tcW w:w="3685" w:type="dxa"/>
            <w:tcBorders>
              <w:top w:val="nil"/>
              <w:left w:val="single" w:sz="4" w:space="0" w:color="auto"/>
              <w:bottom w:val="single" w:sz="4" w:space="0" w:color="auto"/>
              <w:right w:val="single" w:sz="4" w:space="0" w:color="auto"/>
            </w:tcBorders>
            <w:shd w:val="clear" w:color="auto" w:fill="auto"/>
          </w:tcPr>
          <w:p w:rsidR="000E54C2" w:rsidRPr="00E8065F" w:rsidRDefault="000E54C2" w:rsidP="001164A3">
            <w:pPr>
              <w:spacing w:line="235" w:lineRule="auto"/>
              <w:jc w:val="both"/>
              <w:rPr>
                <w:color w:val="000000"/>
                <w:sz w:val="20"/>
                <w:szCs w:val="20"/>
              </w:rPr>
            </w:pPr>
            <w:r w:rsidRPr="00E8065F">
              <w:rPr>
                <w:color w:val="000000"/>
                <w:sz w:val="20"/>
                <w:szCs w:val="20"/>
              </w:rPr>
              <w:t xml:space="preserve">ГАУЗ </w:t>
            </w:r>
            <w:r w:rsidR="002F7358">
              <w:rPr>
                <w:color w:val="000000"/>
                <w:sz w:val="20"/>
                <w:szCs w:val="20"/>
              </w:rPr>
              <w:t>«</w:t>
            </w:r>
            <w:r w:rsidRPr="00E8065F">
              <w:rPr>
                <w:color w:val="000000"/>
                <w:sz w:val="20"/>
                <w:szCs w:val="20"/>
              </w:rPr>
              <w:t>Новошешминская ЦРБ</w:t>
            </w:r>
            <w:r w:rsidR="002F7358">
              <w:rPr>
                <w:color w:val="000000"/>
                <w:sz w:val="20"/>
                <w:szCs w:val="20"/>
              </w:rPr>
              <w:t>»</w:t>
            </w:r>
          </w:p>
        </w:tc>
        <w:tc>
          <w:tcPr>
            <w:tcW w:w="1994" w:type="dxa"/>
            <w:tcBorders>
              <w:top w:val="nil"/>
              <w:left w:val="single" w:sz="4" w:space="0" w:color="auto"/>
              <w:bottom w:val="single" w:sz="4" w:space="0" w:color="auto"/>
              <w:right w:val="single" w:sz="4" w:space="0" w:color="auto"/>
            </w:tcBorders>
            <w:shd w:val="clear" w:color="auto" w:fill="auto"/>
          </w:tcPr>
          <w:p w:rsidR="000E54C2" w:rsidRPr="00E8065F" w:rsidRDefault="000E54C2" w:rsidP="001164A3">
            <w:pPr>
              <w:spacing w:line="235" w:lineRule="auto"/>
              <w:jc w:val="center"/>
              <w:rPr>
                <w:color w:val="000000"/>
                <w:sz w:val="20"/>
                <w:szCs w:val="20"/>
              </w:rPr>
            </w:pPr>
            <w:r w:rsidRPr="00E8065F">
              <w:rPr>
                <w:color w:val="000000"/>
                <w:sz w:val="20"/>
                <w:szCs w:val="20"/>
              </w:rPr>
              <w:t>Флюорограф</w:t>
            </w:r>
          </w:p>
        </w:tc>
        <w:tc>
          <w:tcPr>
            <w:tcW w:w="1181" w:type="dxa"/>
            <w:shd w:val="clear" w:color="auto" w:fill="auto"/>
          </w:tcPr>
          <w:p w:rsidR="000E54C2" w:rsidRPr="00E8065F" w:rsidRDefault="000E54C2" w:rsidP="001164A3">
            <w:pPr>
              <w:spacing w:line="235" w:lineRule="auto"/>
              <w:jc w:val="center"/>
              <w:rPr>
                <w:sz w:val="20"/>
                <w:szCs w:val="20"/>
              </w:rPr>
            </w:pPr>
            <w:r w:rsidRPr="00E8065F">
              <w:rPr>
                <w:sz w:val="20"/>
                <w:szCs w:val="20"/>
              </w:rPr>
              <w:t>2021</w:t>
            </w:r>
          </w:p>
        </w:tc>
        <w:tc>
          <w:tcPr>
            <w:tcW w:w="1181" w:type="dxa"/>
            <w:tcBorders>
              <w:top w:val="nil"/>
              <w:left w:val="single" w:sz="4" w:space="0" w:color="auto"/>
              <w:bottom w:val="single" w:sz="4" w:space="0" w:color="auto"/>
              <w:right w:val="single" w:sz="4" w:space="0" w:color="auto"/>
            </w:tcBorders>
            <w:shd w:val="clear" w:color="auto" w:fill="auto"/>
          </w:tcPr>
          <w:p w:rsidR="000E54C2" w:rsidRPr="00E8065F" w:rsidRDefault="000E54C2" w:rsidP="001164A3">
            <w:pPr>
              <w:spacing w:line="235" w:lineRule="auto"/>
              <w:jc w:val="center"/>
              <w:rPr>
                <w:color w:val="000000"/>
                <w:sz w:val="20"/>
                <w:szCs w:val="20"/>
              </w:rPr>
            </w:pPr>
            <w:r w:rsidRPr="00E8065F">
              <w:rPr>
                <w:color w:val="000000"/>
                <w:sz w:val="20"/>
                <w:szCs w:val="20"/>
              </w:rPr>
              <w:t>1</w:t>
            </w:r>
          </w:p>
        </w:tc>
        <w:tc>
          <w:tcPr>
            <w:tcW w:w="1478" w:type="dxa"/>
            <w:tcBorders>
              <w:top w:val="nil"/>
              <w:left w:val="single" w:sz="4" w:space="0" w:color="auto"/>
              <w:bottom w:val="single" w:sz="4" w:space="0" w:color="auto"/>
              <w:right w:val="single" w:sz="4" w:space="0" w:color="auto"/>
            </w:tcBorders>
            <w:shd w:val="clear" w:color="auto" w:fill="auto"/>
          </w:tcPr>
          <w:p w:rsidR="000E54C2" w:rsidRPr="00E8065F" w:rsidRDefault="000E54C2" w:rsidP="001164A3">
            <w:pPr>
              <w:spacing w:line="235" w:lineRule="auto"/>
              <w:jc w:val="center"/>
              <w:rPr>
                <w:color w:val="000000"/>
                <w:sz w:val="20"/>
                <w:szCs w:val="20"/>
              </w:rPr>
            </w:pPr>
            <w:r w:rsidRPr="00E8065F">
              <w:rPr>
                <w:color w:val="000000"/>
                <w:sz w:val="20"/>
                <w:szCs w:val="20"/>
              </w:rPr>
              <w:t>10,2</w:t>
            </w:r>
          </w:p>
        </w:tc>
        <w:tc>
          <w:tcPr>
            <w:tcW w:w="1111" w:type="dxa"/>
            <w:tcBorders>
              <w:top w:val="nil"/>
              <w:left w:val="single" w:sz="4" w:space="0" w:color="auto"/>
              <w:bottom w:val="single" w:sz="4" w:space="0" w:color="auto"/>
              <w:right w:val="single" w:sz="4" w:space="0" w:color="auto"/>
            </w:tcBorders>
            <w:shd w:val="clear" w:color="auto" w:fill="auto"/>
          </w:tcPr>
          <w:p w:rsidR="000E54C2" w:rsidRPr="00E8065F" w:rsidRDefault="000E54C2" w:rsidP="001164A3">
            <w:pPr>
              <w:spacing w:line="235" w:lineRule="auto"/>
              <w:jc w:val="center"/>
              <w:rPr>
                <w:color w:val="000000"/>
                <w:sz w:val="20"/>
                <w:szCs w:val="20"/>
              </w:rPr>
            </w:pPr>
            <w:r w:rsidRPr="00E8065F">
              <w:rPr>
                <w:color w:val="000000"/>
                <w:sz w:val="20"/>
                <w:szCs w:val="20"/>
              </w:rPr>
              <w:t>2</w:t>
            </w:r>
          </w:p>
        </w:tc>
        <w:tc>
          <w:tcPr>
            <w:tcW w:w="1944" w:type="dxa"/>
            <w:tcBorders>
              <w:top w:val="nil"/>
              <w:left w:val="single" w:sz="4" w:space="0" w:color="auto"/>
              <w:bottom w:val="single" w:sz="4" w:space="0" w:color="auto"/>
              <w:right w:val="single" w:sz="4" w:space="0" w:color="auto"/>
            </w:tcBorders>
            <w:shd w:val="clear" w:color="auto" w:fill="auto"/>
          </w:tcPr>
          <w:p w:rsidR="000E54C2" w:rsidRPr="00E8065F" w:rsidRDefault="000E54C2" w:rsidP="001164A3">
            <w:pPr>
              <w:spacing w:line="235" w:lineRule="auto"/>
              <w:jc w:val="center"/>
              <w:rPr>
                <w:color w:val="000000"/>
                <w:sz w:val="20"/>
                <w:szCs w:val="20"/>
              </w:rPr>
            </w:pPr>
            <w:r w:rsidRPr="00E8065F">
              <w:rPr>
                <w:color w:val="000000"/>
                <w:sz w:val="20"/>
                <w:szCs w:val="20"/>
              </w:rPr>
              <w:t>Амбулаторное</w:t>
            </w:r>
          </w:p>
        </w:tc>
      </w:tr>
      <w:tr w:rsidR="00BA1432" w:rsidRPr="00E8065F" w:rsidTr="000546C2">
        <w:trPr>
          <w:trHeight w:val="20"/>
        </w:trPr>
        <w:tc>
          <w:tcPr>
            <w:tcW w:w="1555" w:type="dxa"/>
            <w:vMerge/>
          </w:tcPr>
          <w:p w:rsidR="000E54C2" w:rsidRPr="00E8065F" w:rsidRDefault="000E54C2" w:rsidP="00BA1432">
            <w:pPr>
              <w:rPr>
                <w:sz w:val="20"/>
                <w:szCs w:val="20"/>
              </w:rPr>
            </w:pPr>
          </w:p>
        </w:tc>
        <w:tc>
          <w:tcPr>
            <w:tcW w:w="3685" w:type="dxa"/>
            <w:tcBorders>
              <w:top w:val="nil"/>
              <w:left w:val="single" w:sz="4" w:space="0" w:color="auto"/>
              <w:bottom w:val="single" w:sz="4" w:space="0" w:color="auto"/>
              <w:right w:val="single" w:sz="4" w:space="0" w:color="auto"/>
            </w:tcBorders>
            <w:shd w:val="clear" w:color="auto" w:fill="auto"/>
          </w:tcPr>
          <w:p w:rsidR="000E54C2" w:rsidRPr="00E8065F" w:rsidRDefault="000E54C2" w:rsidP="001164A3">
            <w:pPr>
              <w:spacing w:line="235" w:lineRule="auto"/>
              <w:jc w:val="both"/>
              <w:rPr>
                <w:color w:val="000000"/>
                <w:sz w:val="20"/>
                <w:szCs w:val="20"/>
              </w:rPr>
            </w:pPr>
            <w:r w:rsidRPr="00E8065F">
              <w:rPr>
                <w:color w:val="000000"/>
                <w:sz w:val="20"/>
                <w:szCs w:val="20"/>
              </w:rPr>
              <w:t xml:space="preserve">ГАУЗ </w:t>
            </w:r>
            <w:r w:rsidR="002F7358">
              <w:rPr>
                <w:color w:val="000000"/>
                <w:sz w:val="20"/>
                <w:szCs w:val="20"/>
              </w:rPr>
              <w:t>«</w:t>
            </w:r>
            <w:r w:rsidRPr="00E8065F">
              <w:rPr>
                <w:color w:val="000000"/>
                <w:sz w:val="20"/>
                <w:szCs w:val="20"/>
              </w:rPr>
              <w:t>Нурлатская ЦРБ</w:t>
            </w:r>
            <w:r w:rsidR="002F7358">
              <w:rPr>
                <w:color w:val="000000"/>
                <w:sz w:val="20"/>
                <w:szCs w:val="20"/>
              </w:rPr>
              <w:t>»</w:t>
            </w:r>
          </w:p>
        </w:tc>
        <w:tc>
          <w:tcPr>
            <w:tcW w:w="1994" w:type="dxa"/>
            <w:tcBorders>
              <w:top w:val="nil"/>
              <w:left w:val="single" w:sz="4" w:space="0" w:color="auto"/>
              <w:bottom w:val="single" w:sz="4" w:space="0" w:color="auto"/>
              <w:right w:val="single" w:sz="4" w:space="0" w:color="auto"/>
            </w:tcBorders>
            <w:shd w:val="clear" w:color="auto" w:fill="auto"/>
          </w:tcPr>
          <w:p w:rsidR="000E54C2" w:rsidRPr="00E8065F" w:rsidRDefault="000E54C2" w:rsidP="001164A3">
            <w:pPr>
              <w:spacing w:line="235" w:lineRule="auto"/>
              <w:jc w:val="center"/>
              <w:rPr>
                <w:color w:val="000000"/>
                <w:sz w:val="20"/>
                <w:szCs w:val="20"/>
              </w:rPr>
            </w:pPr>
            <w:r w:rsidRPr="00E8065F">
              <w:rPr>
                <w:color w:val="000000"/>
                <w:sz w:val="20"/>
                <w:szCs w:val="20"/>
              </w:rPr>
              <w:t>Флюорограф</w:t>
            </w:r>
          </w:p>
        </w:tc>
        <w:tc>
          <w:tcPr>
            <w:tcW w:w="1181" w:type="dxa"/>
            <w:shd w:val="clear" w:color="auto" w:fill="auto"/>
          </w:tcPr>
          <w:p w:rsidR="00783899" w:rsidRPr="00E8065F" w:rsidRDefault="000E54C2" w:rsidP="00783899">
            <w:pPr>
              <w:jc w:val="center"/>
              <w:rPr>
                <w:sz w:val="20"/>
                <w:szCs w:val="20"/>
              </w:rPr>
            </w:pPr>
            <w:r w:rsidRPr="00E8065F">
              <w:rPr>
                <w:sz w:val="20"/>
                <w:szCs w:val="20"/>
              </w:rPr>
              <w:t>2007</w:t>
            </w:r>
            <w:r w:rsidR="00793DC9">
              <w:rPr>
                <w:sz w:val="20"/>
                <w:szCs w:val="20"/>
              </w:rPr>
              <w:t xml:space="preserve"> </w:t>
            </w:r>
            <w:r w:rsidR="00783899">
              <w:rPr>
                <w:sz w:val="20"/>
                <w:szCs w:val="20"/>
              </w:rPr>
              <w:t>(1)</w:t>
            </w:r>
          </w:p>
          <w:p w:rsidR="000E54C2" w:rsidRPr="00E8065F" w:rsidRDefault="000E54C2" w:rsidP="00783899">
            <w:pPr>
              <w:jc w:val="center"/>
              <w:rPr>
                <w:sz w:val="20"/>
                <w:szCs w:val="20"/>
              </w:rPr>
            </w:pPr>
            <w:r w:rsidRPr="00E8065F">
              <w:rPr>
                <w:sz w:val="20"/>
                <w:szCs w:val="20"/>
              </w:rPr>
              <w:t>2023</w:t>
            </w:r>
            <w:r w:rsidR="00793DC9">
              <w:rPr>
                <w:sz w:val="20"/>
                <w:szCs w:val="20"/>
              </w:rPr>
              <w:t xml:space="preserve"> </w:t>
            </w:r>
            <w:r w:rsidR="00783899">
              <w:rPr>
                <w:sz w:val="20"/>
                <w:szCs w:val="20"/>
              </w:rPr>
              <w:t>(1)</w:t>
            </w:r>
          </w:p>
        </w:tc>
        <w:tc>
          <w:tcPr>
            <w:tcW w:w="1181" w:type="dxa"/>
            <w:tcBorders>
              <w:top w:val="nil"/>
              <w:left w:val="single" w:sz="4" w:space="0" w:color="auto"/>
              <w:bottom w:val="single" w:sz="4" w:space="0" w:color="auto"/>
              <w:right w:val="single" w:sz="4" w:space="0" w:color="auto"/>
            </w:tcBorders>
            <w:shd w:val="clear" w:color="auto" w:fill="auto"/>
          </w:tcPr>
          <w:p w:rsidR="000E54C2" w:rsidRPr="00E8065F" w:rsidRDefault="000E54C2" w:rsidP="001164A3">
            <w:pPr>
              <w:spacing w:line="235" w:lineRule="auto"/>
              <w:jc w:val="center"/>
              <w:rPr>
                <w:color w:val="000000"/>
                <w:sz w:val="20"/>
                <w:szCs w:val="20"/>
              </w:rPr>
            </w:pPr>
            <w:r w:rsidRPr="00E8065F">
              <w:rPr>
                <w:color w:val="000000"/>
                <w:sz w:val="20"/>
                <w:szCs w:val="20"/>
              </w:rPr>
              <w:t>2</w:t>
            </w:r>
          </w:p>
        </w:tc>
        <w:tc>
          <w:tcPr>
            <w:tcW w:w="1478" w:type="dxa"/>
            <w:tcBorders>
              <w:top w:val="nil"/>
              <w:left w:val="single" w:sz="4" w:space="0" w:color="auto"/>
              <w:bottom w:val="single" w:sz="4" w:space="0" w:color="auto"/>
              <w:right w:val="single" w:sz="4" w:space="0" w:color="auto"/>
            </w:tcBorders>
            <w:shd w:val="clear" w:color="auto" w:fill="auto"/>
          </w:tcPr>
          <w:p w:rsidR="000E54C2" w:rsidRPr="00E8065F" w:rsidRDefault="000E54C2" w:rsidP="001164A3">
            <w:pPr>
              <w:spacing w:line="235" w:lineRule="auto"/>
              <w:jc w:val="center"/>
              <w:rPr>
                <w:color w:val="000000"/>
                <w:sz w:val="20"/>
                <w:szCs w:val="20"/>
              </w:rPr>
            </w:pPr>
            <w:r w:rsidRPr="00E8065F">
              <w:rPr>
                <w:color w:val="000000"/>
                <w:sz w:val="20"/>
                <w:szCs w:val="20"/>
              </w:rPr>
              <w:t>44,8</w:t>
            </w:r>
          </w:p>
        </w:tc>
        <w:tc>
          <w:tcPr>
            <w:tcW w:w="1111" w:type="dxa"/>
            <w:tcBorders>
              <w:top w:val="nil"/>
              <w:left w:val="single" w:sz="4" w:space="0" w:color="auto"/>
              <w:bottom w:val="single" w:sz="4" w:space="0" w:color="auto"/>
              <w:right w:val="single" w:sz="4" w:space="0" w:color="auto"/>
            </w:tcBorders>
            <w:shd w:val="clear" w:color="auto" w:fill="auto"/>
          </w:tcPr>
          <w:p w:rsidR="000E54C2" w:rsidRPr="00E8065F" w:rsidRDefault="000E54C2" w:rsidP="001164A3">
            <w:pPr>
              <w:spacing w:line="235" w:lineRule="auto"/>
              <w:jc w:val="center"/>
              <w:rPr>
                <w:color w:val="000000"/>
                <w:sz w:val="20"/>
                <w:szCs w:val="20"/>
              </w:rPr>
            </w:pPr>
            <w:r w:rsidRPr="00E8065F">
              <w:rPr>
                <w:color w:val="000000"/>
                <w:sz w:val="20"/>
                <w:szCs w:val="20"/>
              </w:rPr>
              <w:t>2</w:t>
            </w:r>
          </w:p>
        </w:tc>
        <w:tc>
          <w:tcPr>
            <w:tcW w:w="1944" w:type="dxa"/>
            <w:tcBorders>
              <w:top w:val="nil"/>
              <w:left w:val="single" w:sz="4" w:space="0" w:color="auto"/>
              <w:bottom w:val="single" w:sz="4" w:space="0" w:color="auto"/>
              <w:right w:val="single" w:sz="4" w:space="0" w:color="auto"/>
            </w:tcBorders>
            <w:shd w:val="clear" w:color="auto" w:fill="auto"/>
          </w:tcPr>
          <w:p w:rsidR="000E54C2" w:rsidRPr="00E8065F" w:rsidRDefault="000E54C2" w:rsidP="001164A3">
            <w:pPr>
              <w:spacing w:line="235" w:lineRule="auto"/>
              <w:jc w:val="center"/>
              <w:rPr>
                <w:color w:val="000000"/>
                <w:sz w:val="20"/>
                <w:szCs w:val="20"/>
              </w:rPr>
            </w:pPr>
            <w:r w:rsidRPr="00E8065F">
              <w:rPr>
                <w:color w:val="000000"/>
                <w:sz w:val="20"/>
                <w:szCs w:val="20"/>
              </w:rPr>
              <w:t>Амбулаторное/стационарное</w:t>
            </w:r>
          </w:p>
        </w:tc>
      </w:tr>
      <w:tr w:rsidR="00BA1432" w:rsidRPr="00E8065F" w:rsidTr="000546C2">
        <w:trPr>
          <w:trHeight w:val="20"/>
        </w:trPr>
        <w:tc>
          <w:tcPr>
            <w:tcW w:w="1555" w:type="dxa"/>
            <w:vMerge/>
          </w:tcPr>
          <w:p w:rsidR="000E54C2" w:rsidRPr="00E8065F" w:rsidRDefault="000E54C2" w:rsidP="00BA1432">
            <w:pPr>
              <w:rPr>
                <w:sz w:val="20"/>
                <w:szCs w:val="20"/>
              </w:rPr>
            </w:pPr>
          </w:p>
        </w:tc>
        <w:tc>
          <w:tcPr>
            <w:tcW w:w="3685" w:type="dxa"/>
            <w:tcBorders>
              <w:top w:val="nil"/>
              <w:left w:val="single" w:sz="4" w:space="0" w:color="auto"/>
              <w:bottom w:val="single" w:sz="4" w:space="0" w:color="auto"/>
              <w:right w:val="single" w:sz="4" w:space="0" w:color="auto"/>
            </w:tcBorders>
            <w:shd w:val="clear" w:color="auto" w:fill="auto"/>
          </w:tcPr>
          <w:p w:rsidR="000E54C2" w:rsidRPr="00E8065F" w:rsidRDefault="000E54C2" w:rsidP="001164A3">
            <w:pPr>
              <w:spacing w:line="235" w:lineRule="auto"/>
              <w:jc w:val="both"/>
              <w:rPr>
                <w:color w:val="000000"/>
                <w:sz w:val="20"/>
                <w:szCs w:val="20"/>
              </w:rPr>
            </w:pPr>
            <w:r w:rsidRPr="00E8065F">
              <w:rPr>
                <w:color w:val="000000"/>
                <w:sz w:val="20"/>
                <w:szCs w:val="20"/>
              </w:rPr>
              <w:t xml:space="preserve">ГАУЗ </w:t>
            </w:r>
            <w:r w:rsidR="002F7358">
              <w:rPr>
                <w:color w:val="000000"/>
                <w:sz w:val="20"/>
                <w:szCs w:val="20"/>
              </w:rPr>
              <w:t>«</w:t>
            </w:r>
            <w:r w:rsidRPr="00E8065F">
              <w:rPr>
                <w:color w:val="000000"/>
                <w:sz w:val="20"/>
                <w:szCs w:val="20"/>
              </w:rPr>
              <w:t>Пестречинская ЦРБ</w:t>
            </w:r>
            <w:r w:rsidR="002F7358">
              <w:rPr>
                <w:color w:val="000000"/>
                <w:sz w:val="20"/>
                <w:szCs w:val="20"/>
              </w:rPr>
              <w:t>»</w:t>
            </w:r>
          </w:p>
        </w:tc>
        <w:tc>
          <w:tcPr>
            <w:tcW w:w="1994" w:type="dxa"/>
            <w:tcBorders>
              <w:top w:val="nil"/>
              <w:left w:val="single" w:sz="4" w:space="0" w:color="auto"/>
              <w:bottom w:val="single" w:sz="4" w:space="0" w:color="auto"/>
              <w:right w:val="single" w:sz="4" w:space="0" w:color="auto"/>
            </w:tcBorders>
            <w:shd w:val="clear" w:color="auto" w:fill="auto"/>
          </w:tcPr>
          <w:p w:rsidR="000E54C2" w:rsidRPr="00E8065F" w:rsidRDefault="000E54C2" w:rsidP="001164A3">
            <w:pPr>
              <w:spacing w:line="235" w:lineRule="auto"/>
              <w:jc w:val="center"/>
              <w:rPr>
                <w:color w:val="000000"/>
                <w:sz w:val="20"/>
                <w:szCs w:val="20"/>
              </w:rPr>
            </w:pPr>
            <w:r w:rsidRPr="00E8065F">
              <w:rPr>
                <w:color w:val="000000"/>
                <w:sz w:val="20"/>
                <w:szCs w:val="20"/>
              </w:rPr>
              <w:t>Флюорограф</w:t>
            </w:r>
          </w:p>
        </w:tc>
        <w:tc>
          <w:tcPr>
            <w:tcW w:w="1181" w:type="dxa"/>
            <w:tcBorders>
              <w:bottom w:val="single" w:sz="4" w:space="0" w:color="auto"/>
            </w:tcBorders>
            <w:shd w:val="clear" w:color="auto" w:fill="auto"/>
          </w:tcPr>
          <w:p w:rsidR="000E54C2" w:rsidRPr="00E8065F" w:rsidRDefault="000E54C2" w:rsidP="001164A3">
            <w:pPr>
              <w:spacing w:line="235" w:lineRule="auto"/>
              <w:jc w:val="center"/>
              <w:rPr>
                <w:sz w:val="20"/>
                <w:szCs w:val="20"/>
              </w:rPr>
            </w:pPr>
            <w:r w:rsidRPr="00E8065F">
              <w:rPr>
                <w:sz w:val="20"/>
                <w:szCs w:val="20"/>
              </w:rPr>
              <w:t>2022</w:t>
            </w:r>
          </w:p>
        </w:tc>
        <w:tc>
          <w:tcPr>
            <w:tcW w:w="1181" w:type="dxa"/>
            <w:tcBorders>
              <w:top w:val="nil"/>
              <w:left w:val="single" w:sz="4" w:space="0" w:color="auto"/>
              <w:bottom w:val="single" w:sz="4" w:space="0" w:color="auto"/>
              <w:right w:val="single" w:sz="4" w:space="0" w:color="auto"/>
            </w:tcBorders>
            <w:shd w:val="clear" w:color="auto" w:fill="auto"/>
          </w:tcPr>
          <w:p w:rsidR="000E54C2" w:rsidRPr="00E8065F" w:rsidRDefault="000E54C2" w:rsidP="001164A3">
            <w:pPr>
              <w:spacing w:line="235" w:lineRule="auto"/>
              <w:jc w:val="center"/>
              <w:rPr>
                <w:color w:val="000000"/>
                <w:sz w:val="20"/>
                <w:szCs w:val="20"/>
              </w:rPr>
            </w:pPr>
            <w:r w:rsidRPr="00E8065F">
              <w:rPr>
                <w:color w:val="000000"/>
                <w:sz w:val="20"/>
                <w:szCs w:val="20"/>
              </w:rPr>
              <w:t>1</w:t>
            </w:r>
          </w:p>
        </w:tc>
        <w:tc>
          <w:tcPr>
            <w:tcW w:w="1478" w:type="dxa"/>
            <w:tcBorders>
              <w:top w:val="nil"/>
              <w:left w:val="single" w:sz="4" w:space="0" w:color="auto"/>
              <w:bottom w:val="single" w:sz="4" w:space="0" w:color="auto"/>
              <w:right w:val="single" w:sz="4" w:space="0" w:color="auto"/>
            </w:tcBorders>
            <w:shd w:val="clear" w:color="auto" w:fill="auto"/>
          </w:tcPr>
          <w:p w:rsidR="000E54C2" w:rsidRPr="00E8065F" w:rsidRDefault="000E54C2" w:rsidP="001164A3">
            <w:pPr>
              <w:spacing w:line="235" w:lineRule="auto"/>
              <w:jc w:val="center"/>
              <w:rPr>
                <w:color w:val="000000"/>
                <w:sz w:val="20"/>
                <w:szCs w:val="20"/>
              </w:rPr>
            </w:pPr>
            <w:r w:rsidRPr="00E8065F">
              <w:rPr>
                <w:color w:val="000000"/>
                <w:sz w:val="20"/>
                <w:szCs w:val="20"/>
              </w:rPr>
              <w:t>21,9</w:t>
            </w:r>
          </w:p>
        </w:tc>
        <w:tc>
          <w:tcPr>
            <w:tcW w:w="1111" w:type="dxa"/>
            <w:tcBorders>
              <w:top w:val="nil"/>
              <w:left w:val="single" w:sz="4" w:space="0" w:color="auto"/>
              <w:bottom w:val="single" w:sz="4" w:space="0" w:color="auto"/>
              <w:right w:val="single" w:sz="4" w:space="0" w:color="auto"/>
            </w:tcBorders>
            <w:shd w:val="clear" w:color="auto" w:fill="auto"/>
          </w:tcPr>
          <w:p w:rsidR="000E54C2" w:rsidRPr="00E8065F" w:rsidRDefault="000E54C2" w:rsidP="001164A3">
            <w:pPr>
              <w:spacing w:line="235" w:lineRule="auto"/>
              <w:jc w:val="center"/>
              <w:rPr>
                <w:color w:val="000000"/>
                <w:sz w:val="20"/>
                <w:szCs w:val="20"/>
              </w:rPr>
            </w:pPr>
            <w:r w:rsidRPr="00E8065F">
              <w:rPr>
                <w:color w:val="000000"/>
                <w:sz w:val="20"/>
                <w:szCs w:val="20"/>
              </w:rPr>
              <w:t>2</w:t>
            </w:r>
          </w:p>
        </w:tc>
        <w:tc>
          <w:tcPr>
            <w:tcW w:w="1944" w:type="dxa"/>
            <w:tcBorders>
              <w:top w:val="nil"/>
              <w:left w:val="single" w:sz="4" w:space="0" w:color="auto"/>
              <w:bottom w:val="single" w:sz="4" w:space="0" w:color="auto"/>
              <w:right w:val="single" w:sz="4" w:space="0" w:color="auto"/>
            </w:tcBorders>
            <w:shd w:val="clear" w:color="auto" w:fill="auto"/>
          </w:tcPr>
          <w:p w:rsidR="000E54C2" w:rsidRPr="00E8065F" w:rsidRDefault="000E54C2" w:rsidP="001164A3">
            <w:pPr>
              <w:spacing w:line="235" w:lineRule="auto"/>
              <w:jc w:val="center"/>
              <w:rPr>
                <w:color w:val="000000"/>
                <w:sz w:val="20"/>
                <w:szCs w:val="20"/>
              </w:rPr>
            </w:pPr>
            <w:r w:rsidRPr="00E8065F">
              <w:rPr>
                <w:color w:val="000000"/>
                <w:sz w:val="20"/>
                <w:szCs w:val="20"/>
              </w:rPr>
              <w:t>Амбулаторное</w:t>
            </w:r>
          </w:p>
        </w:tc>
      </w:tr>
      <w:tr w:rsidR="00BA1432" w:rsidRPr="00E8065F" w:rsidTr="000546C2">
        <w:trPr>
          <w:trHeight w:val="20"/>
        </w:trPr>
        <w:tc>
          <w:tcPr>
            <w:tcW w:w="1555" w:type="dxa"/>
            <w:vMerge/>
          </w:tcPr>
          <w:p w:rsidR="000E54C2" w:rsidRPr="00E8065F" w:rsidRDefault="000E54C2" w:rsidP="00BA1432">
            <w:pPr>
              <w:rPr>
                <w:sz w:val="20"/>
                <w:szCs w:val="20"/>
              </w:rPr>
            </w:pPr>
          </w:p>
        </w:tc>
        <w:tc>
          <w:tcPr>
            <w:tcW w:w="3685" w:type="dxa"/>
            <w:tcBorders>
              <w:top w:val="single" w:sz="4" w:space="0" w:color="auto"/>
              <w:bottom w:val="single" w:sz="4" w:space="0" w:color="auto"/>
              <w:right w:val="single" w:sz="4" w:space="0" w:color="auto"/>
            </w:tcBorders>
            <w:shd w:val="clear" w:color="auto" w:fill="auto"/>
          </w:tcPr>
          <w:p w:rsidR="000E54C2" w:rsidRPr="00E8065F" w:rsidRDefault="000E54C2" w:rsidP="001164A3">
            <w:pPr>
              <w:spacing w:line="235" w:lineRule="auto"/>
              <w:jc w:val="both"/>
              <w:rPr>
                <w:color w:val="000000"/>
                <w:sz w:val="20"/>
                <w:szCs w:val="20"/>
              </w:rPr>
            </w:pPr>
            <w:r w:rsidRPr="00E8065F">
              <w:rPr>
                <w:color w:val="000000"/>
                <w:sz w:val="20"/>
                <w:szCs w:val="20"/>
              </w:rPr>
              <w:t xml:space="preserve">ГАУЗ </w:t>
            </w:r>
            <w:r w:rsidR="002F7358">
              <w:rPr>
                <w:color w:val="000000"/>
                <w:sz w:val="20"/>
                <w:szCs w:val="20"/>
              </w:rPr>
              <w:t>«</w:t>
            </w:r>
            <w:r w:rsidRPr="00E8065F">
              <w:rPr>
                <w:color w:val="000000"/>
                <w:sz w:val="20"/>
                <w:szCs w:val="20"/>
              </w:rPr>
              <w:t>Рыбно-Слободская ЦРБ</w:t>
            </w:r>
            <w:r w:rsidR="002F7358">
              <w:rPr>
                <w:color w:val="000000"/>
                <w:sz w:val="20"/>
                <w:szCs w:val="20"/>
              </w:rPr>
              <w:t>»</w:t>
            </w:r>
          </w:p>
        </w:tc>
        <w:tc>
          <w:tcPr>
            <w:tcW w:w="1994" w:type="dxa"/>
            <w:tcBorders>
              <w:top w:val="single" w:sz="4" w:space="0" w:color="auto"/>
              <w:left w:val="single" w:sz="4" w:space="0" w:color="auto"/>
              <w:bottom w:val="single" w:sz="4" w:space="0" w:color="auto"/>
              <w:right w:val="single" w:sz="4" w:space="0" w:color="auto"/>
            </w:tcBorders>
            <w:shd w:val="clear" w:color="auto" w:fill="auto"/>
          </w:tcPr>
          <w:p w:rsidR="000E54C2" w:rsidRPr="00E8065F" w:rsidRDefault="000E54C2" w:rsidP="001164A3">
            <w:pPr>
              <w:spacing w:line="235" w:lineRule="auto"/>
              <w:jc w:val="center"/>
              <w:rPr>
                <w:color w:val="000000"/>
                <w:sz w:val="20"/>
                <w:szCs w:val="20"/>
              </w:rPr>
            </w:pPr>
            <w:r w:rsidRPr="00E8065F">
              <w:rPr>
                <w:color w:val="000000"/>
                <w:sz w:val="20"/>
                <w:szCs w:val="20"/>
              </w:rPr>
              <w:t>Флюорограф</w:t>
            </w:r>
          </w:p>
        </w:tc>
        <w:tc>
          <w:tcPr>
            <w:tcW w:w="1181" w:type="dxa"/>
            <w:tcBorders>
              <w:top w:val="single" w:sz="4" w:space="0" w:color="auto"/>
              <w:left w:val="single" w:sz="4" w:space="0" w:color="auto"/>
              <w:bottom w:val="single" w:sz="4" w:space="0" w:color="auto"/>
              <w:right w:val="single" w:sz="4" w:space="0" w:color="auto"/>
            </w:tcBorders>
            <w:shd w:val="clear" w:color="auto" w:fill="auto"/>
          </w:tcPr>
          <w:p w:rsidR="000E54C2" w:rsidRPr="00E8065F" w:rsidRDefault="000E54C2" w:rsidP="001164A3">
            <w:pPr>
              <w:spacing w:line="235" w:lineRule="auto"/>
              <w:jc w:val="center"/>
              <w:rPr>
                <w:sz w:val="20"/>
                <w:szCs w:val="20"/>
              </w:rPr>
            </w:pPr>
            <w:r w:rsidRPr="00E8065F">
              <w:rPr>
                <w:sz w:val="20"/>
                <w:szCs w:val="20"/>
              </w:rPr>
              <w:t>2020</w:t>
            </w:r>
          </w:p>
        </w:tc>
        <w:tc>
          <w:tcPr>
            <w:tcW w:w="1181" w:type="dxa"/>
            <w:tcBorders>
              <w:top w:val="single" w:sz="4" w:space="0" w:color="auto"/>
              <w:left w:val="single" w:sz="4" w:space="0" w:color="auto"/>
              <w:bottom w:val="single" w:sz="4" w:space="0" w:color="auto"/>
              <w:right w:val="single" w:sz="4" w:space="0" w:color="auto"/>
            </w:tcBorders>
            <w:shd w:val="clear" w:color="auto" w:fill="auto"/>
          </w:tcPr>
          <w:p w:rsidR="000E54C2" w:rsidRPr="00E8065F" w:rsidRDefault="000E54C2" w:rsidP="001164A3">
            <w:pPr>
              <w:spacing w:line="235" w:lineRule="auto"/>
              <w:jc w:val="center"/>
              <w:rPr>
                <w:color w:val="000000"/>
                <w:sz w:val="20"/>
                <w:szCs w:val="20"/>
              </w:rPr>
            </w:pPr>
            <w:r w:rsidRPr="00E8065F">
              <w:rPr>
                <w:color w:val="000000"/>
                <w:sz w:val="20"/>
                <w:szCs w:val="20"/>
              </w:rPr>
              <w:t>1</w:t>
            </w:r>
          </w:p>
        </w:tc>
        <w:tc>
          <w:tcPr>
            <w:tcW w:w="1478" w:type="dxa"/>
            <w:tcBorders>
              <w:top w:val="single" w:sz="4" w:space="0" w:color="auto"/>
              <w:left w:val="single" w:sz="4" w:space="0" w:color="auto"/>
              <w:bottom w:val="single" w:sz="4" w:space="0" w:color="auto"/>
              <w:right w:val="single" w:sz="4" w:space="0" w:color="auto"/>
            </w:tcBorders>
            <w:shd w:val="clear" w:color="auto" w:fill="auto"/>
          </w:tcPr>
          <w:p w:rsidR="000E54C2" w:rsidRPr="00E8065F" w:rsidRDefault="000E54C2" w:rsidP="001164A3">
            <w:pPr>
              <w:spacing w:line="235" w:lineRule="auto"/>
              <w:jc w:val="center"/>
              <w:rPr>
                <w:color w:val="000000"/>
                <w:sz w:val="20"/>
                <w:szCs w:val="20"/>
              </w:rPr>
            </w:pPr>
            <w:r w:rsidRPr="00E8065F">
              <w:rPr>
                <w:color w:val="000000"/>
                <w:sz w:val="20"/>
                <w:szCs w:val="20"/>
              </w:rPr>
              <w:t>22,6</w:t>
            </w:r>
          </w:p>
        </w:tc>
        <w:tc>
          <w:tcPr>
            <w:tcW w:w="1111" w:type="dxa"/>
            <w:tcBorders>
              <w:top w:val="single" w:sz="4" w:space="0" w:color="auto"/>
              <w:left w:val="single" w:sz="4" w:space="0" w:color="auto"/>
              <w:bottom w:val="single" w:sz="4" w:space="0" w:color="auto"/>
              <w:right w:val="single" w:sz="4" w:space="0" w:color="auto"/>
            </w:tcBorders>
            <w:shd w:val="clear" w:color="auto" w:fill="auto"/>
          </w:tcPr>
          <w:p w:rsidR="000E54C2" w:rsidRPr="00E8065F" w:rsidRDefault="000E54C2" w:rsidP="001164A3">
            <w:pPr>
              <w:spacing w:line="235" w:lineRule="auto"/>
              <w:jc w:val="center"/>
              <w:rPr>
                <w:color w:val="000000"/>
                <w:sz w:val="20"/>
                <w:szCs w:val="20"/>
              </w:rPr>
            </w:pPr>
            <w:r w:rsidRPr="00E8065F">
              <w:rPr>
                <w:color w:val="000000"/>
                <w:sz w:val="20"/>
                <w:szCs w:val="20"/>
              </w:rPr>
              <w:t>2</w:t>
            </w:r>
          </w:p>
        </w:tc>
        <w:tc>
          <w:tcPr>
            <w:tcW w:w="1944" w:type="dxa"/>
            <w:tcBorders>
              <w:top w:val="single" w:sz="4" w:space="0" w:color="auto"/>
              <w:left w:val="single" w:sz="4" w:space="0" w:color="auto"/>
              <w:bottom w:val="single" w:sz="4" w:space="0" w:color="auto"/>
              <w:right w:val="single" w:sz="4" w:space="0" w:color="auto"/>
            </w:tcBorders>
            <w:shd w:val="clear" w:color="auto" w:fill="auto"/>
          </w:tcPr>
          <w:p w:rsidR="000E54C2" w:rsidRPr="00E8065F" w:rsidRDefault="000E54C2" w:rsidP="001164A3">
            <w:pPr>
              <w:spacing w:line="235" w:lineRule="auto"/>
              <w:jc w:val="center"/>
              <w:rPr>
                <w:color w:val="000000"/>
                <w:sz w:val="20"/>
                <w:szCs w:val="20"/>
              </w:rPr>
            </w:pPr>
            <w:r w:rsidRPr="00E8065F">
              <w:rPr>
                <w:color w:val="000000"/>
                <w:sz w:val="20"/>
                <w:szCs w:val="20"/>
              </w:rPr>
              <w:t>Амбулаторное</w:t>
            </w:r>
          </w:p>
        </w:tc>
      </w:tr>
      <w:tr w:rsidR="00BA1432" w:rsidRPr="00E8065F" w:rsidTr="000546C2">
        <w:trPr>
          <w:trHeight w:val="20"/>
        </w:trPr>
        <w:tc>
          <w:tcPr>
            <w:tcW w:w="1555" w:type="dxa"/>
            <w:vMerge/>
          </w:tcPr>
          <w:p w:rsidR="000E54C2" w:rsidRPr="00E8065F" w:rsidRDefault="000E54C2" w:rsidP="00BA1432">
            <w:pPr>
              <w:rPr>
                <w:sz w:val="20"/>
                <w:szCs w:val="20"/>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0E54C2" w:rsidRPr="00E8065F" w:rsidRDefault="000E54C2" w:rsidP="001164A3">
            <w:pPr>
              <w:spacing w:line="235" w:lineRule="auto"/>
              <w:jc w:val="both"/>
              <w:rPr>
                <w:color w:val="000000"/>
                <w:sz w:val="20"/>
                <w:szCs w:val="20"/>
              </w:rPr>
            </w:pPr>
            <w:r w:rsidRPr="00E8065F">
              <w:rPr>
                <w:color w:val="000000"/>
                <w:sz w:val="20"/>
                <w:szCs w:val="20"/>
              </w:rPr>
              <w:t xml:space="preserve">ГАУЗ </w:t>
            </w:r>
            <w:r w:rsidR="002F7358">
              <w:rPr>
                <w:color w:val="000000"/>
                <w:sz w:val="20"/>
                <w:szCs w:val="20"/>
              </w:rPr>
              <w:t>«</w:t>
            </w:r>
            <w:r w:rsidRPr="00E8065F">
              <w:rPr>
                <w:color w:val="000000"/>
                <w:sz w:val="20"/>
                <w:szCs w:val="20"/>
              </w:rPr>
              <w:t>Сабинская ЦРБ</w:t>
            </w:r>
            <w:r w:rsidR="002F7358">
              <w:rPr>
                <w:color w:val="000000"/>
                <w:sz w:val="20"/>
                <w:szCs w:val="20"/>
              </w:rPr>
              <w:t>»</w:t>
            </w:r>
          </w:p>
        </w:tc>
        <w:tc>
          <w:tcPr>
            <w:tcW w:w="1994" w:type="dxa"/>
            <w:tcBorders>
              <w:top w:val="single" w:sz="4" w:space="0" w:color="auto"/>
              <w:left w:val="single" w:sz="4" w:space="0" w:color="auto"/>
              <w:bottom w:val="single" w:sz="4" w:space="0" w:color="auto"/>
              <w:right w:val="single" w:sz="4" w:space="0" w:color="auto"/>
            </w:tcBorders>
            <w:shd w:val="clear" w:color="auto" w:fill="auto"/>
          </w:tcPr>
          <w:p w:rsidR="000E54C2" w:rsidRPr="00E8065F" w:rsidRDefault="000E54C2" w:rsidP="001164A3">
            <w:pPr>
              <w:spacing w:line="235" w:lineRule="auto"/>
              <w:jc w:val="center"/>
              <w:rPr>
                <w:color w:val="000000"/>
                <w:sz w:val="20"/>
                <w:szCs w:val="20"/>
              </w:rPr>
            </w:pPr>
            <w:r w:rsidRPr="00E8065F">
              <w:rPr>
                <w:color w:val="000000"/>
                <w:sz w:val="20"/>
                <w:szCs w:val="20"/>
              </w:rPr>
              <w:t>Флюорограф</w:t>
            </w:r>
          </w:p>
        </w:tc>
        <w:tc>
          <w:tcPr>
            <w:tcW w:w="1181" w:type="dxa"/>
            <w:tcBorders>
              <w:top w:val="single" w:sz="4" w:space="0" w:color="auto"/>
            </w:tcBorders>
            <w:shd w:val="clear" w:color="auto" w:fill="auto"/>
          </w:tcPr>
          <w:p w:rsidR="00783899" w:rsidRPr="00E8065F" w:rsidRDefault="000E54C2" w:rsidP="00783899">
            <w:pPr>
              <w:jc w:val="center"/>
              <w:rPr>
                <w:sz w:val="20"/>
                <w:szCs w:val="20"/>
              </w:rPr>
            </w:pPr>
            <w:r w:rsidRPr="00E8065F">
              <w:rPr>
                <w:sz w:val="20"/>
                <w:szCs w:val="20"/>
              </w:rPr>
              <w:t>2006</w:t>
            </w:r>
            <w:r w:rsidR="00793DC9">
              <w:rPr>
                <w:sz w:val="20"/>
                <w:szCs w:val="20"/>
              </w:rPr>
              <w:t xml:space="preserve"> </w:t>
            </w:r>
            <w:r w:rsidR="00783899">
              <w:rPr>
                <w:sz w:val="20"/>
                <w:szCs w:val="20"/>
              </w:rPr>
              <w:t>(1)</w:t>
            </w:r>
          </w:p>
          <w:p w:rsidR="00783899" w:rsidRPr="00E8065F" w:rsidRDefault="000E54C2" w:rsidP="00783899">
            <w:pPr>
              <w:jc w:val="center"/>
              <w:rPr>
                <w:sz w:val="20"/>
                <w:szCs w:val="20"/>
              </w:rPr>
            </w:pPr>
            <w:r w:rsidRPr="00E8065F">
              <w:rPr>
                <w:sz w:val="20"/>
                <w:szCs w:val="20"/>
              </w:rPr>
              <w:t>2007</w:t>
            </w:r>
            <w:r w:rsidR="00793DC9">
              <w:rPr>
                <w:sz w:val="20"/>
                <w:szCs w:val="20"/>
              </w:rPr>
              <w:t xml:space="preserve"> </w:t>
            </w:r>
            <w:r w:rsidR="00783899">
              <w:rPr>
                <w:sz w:val="20"/>
                <w:szCs w:val="20"/>
              </w:rPr>
              <w:t>(1)</w:t>
            </w:r>
          </w:p>
          <w:p w:rsidR="000E54C2" w:rsidRPr="00E8065F" w:rsidRDefault="000E54C2" w:rsidP="00783899">
            <w:pPr>
              <w:jc w:val="center"/>
              <w:rPr>
                <w:sz w:val="20"/>
                <w:szCs w:val="20"/>
              </w:rPr>
            </w:pPr>
            <w:r w:rsidRPr="00E8065F">
              <w:rPr>
                <w:sz w:val="20"/>
                <w:szCs w:val="20"/>
              </w:rPr>
              <w:t>2023</w:t>
            </w:r>
            <w:r w:rsidR="00793DC9">
              <w:rPr>
                <w:sz w:val="20"/>
                <w:szCs w:val="20"/>
              </w:rPr>
              <w:t xml:space="preserve"> </w:t>
            </w:r>
            <w:r w:rsidR="00783899">
              <w:rPr>
                <w:sz w:val="20"/>
                <w:szCs w:val="20"/>
              </w:rPr>
              <w:t>(1)</w:t>
            </w:r>
          </w:p>
        </w:tc>
        <w:tc>
          <w:tcPr>
            <w:tcW w:w="1181" w:type="dxa"/>
            <w:tcBorders>
              <w:top w:val="single" w:sz="4" w:space="0" w:color="auto"/>
              <w:left w:val="single" w:sz="4" w:space="0" w:color="auto"/>
              <w:bottom w:val="single" w:sz="4" w:space="0" w:color="auto"/>
              <w:right w:val="single" w:sz="4" w:space="0" w:color="auto"/>
            </w:tcBorders>
            <w:shd w:val="clear" w:color="auto" w:fill="auto"/>
          </w:tcPr>
          <w:p w:rsidR="000E54C2" w:rsidRPr="00E8065F" w:rsidRDefault="000E54C2" w:rsidP="001164A3">
            <w:pPr>
              <w:spacing w:line="235" w:lineRule="auto"/>
              <w:jc w:val="center"/>
              <w:rPr>
                <w:color w:val="000000"/>
                <w:sz w:val="20"/>
                <w:szCs w:val="20"/>
              </w:rPr>
            </w:pPr>
            <w:r w:rsidRPr="00E8065F">
              <w:rPr>
                <w:color w:val="000000"/>
                <w:sz w:val="20"/>
                <w:szCs w:val="20"/>
              </w:rPr>
              <w:t>3</w:t>
            </w:r>
          </w:p>
        </w:tc>
        <w:tc>
          <w:tcPr>
            <w:tcW w:w="1478" w:type="dxa"/>
            <w:tcBorders>
              <w:top w:val="single" w:sz="4" w:space="0" w:color="auto"/>
              <w:left w:val="single" w:sz="4" w:space="0" w:color="auto"/>
              <w:bottom w:val="single" w:sz="4" w:space="0" w:color="auto"/>
              <w:right w:val="single" w:sz="4" w:space="0" w:color="auto"/>
            </w:tcBorders>
            <w:shd w:val="clear" w:color="auto" w:fill="auto"/>
          </w:tcPr>
          <w:p w:rsidR="000E54C2" w:rsidRPr="00E8065F" w:rsidRDefault="000E54C2" w:rsidP="001164A3">
            <w:pPr>
              <w:spacing w:line="235" w:lineRule="auto"/>
              <w:jc w:val="center"/>
              <w:rPr>
                <w:color w:val="000000"/>
                <w:sz w:val="20"/>
                <w:szCs w:val="20"/>
              </w:rPr>
            </w:pPr>
            <w:r w:rsidRPr="00E8065F">
              <w:rPr>
                <w:color w:val="000000"/>
                <w:sz w:val="20"/>
                <w:szCs w:val="20"/>
              </w:rPr>
              <w:t>26,1</w:t>
            </w:r>
          </w:p>
        </w:tc>
        <w:tc>
          <w:tcPr>
            <w:tcW w:w="1111" w:type="dxa"/>
            <w:tcBorders>
              <w:top w:val="single" w:sz="4" w:space="0" w:color="auto"/>
              <w:left w:val="single" w:sz="4" w:space="0" w:color="auto"/>
              <w:bottom w:val="single" w:sz="4" w:space="0" w:color="auto"/>
              <w:right w:val="single" w:sz="4" w:space="0" w:color="auto"/>
            </w:tcBorders>
            <w:shd w:val="clear" w:color="auto" w:fill="auto"/>
          </w:tcPr>
          <w:p w:rsidR="000E54C2" w:rsidRPr="00E8065F" w:rsidRDefault="000E54C2" w:rsidP="001164A3">
            <w:pPr>
              <w:spacing w:line="235" w:lineRule="auto"/>
              <w:jc w:val="center"/>
              <w:rPr>
                <w:color w:val="000000"/>
                <w:sz w:val="20"/>
                <w:szCs w:val="20"/>
              </w:rPr>
            </w:pPr>
            <w:r w:rsidRPr="00E8065F">
              <w:rPr>
                <w:color w:val="000000"/>
                <w:sz w:val="20"/>
                <w:szCs w:val="20"/>
              </w:rPr>
              <w:t>2</w:t>
            </w:r>
          </w:p>
        </w:tc>
        <w:tc>
          <w:tcPr>
            <w:tcW w:w="1944" w:type="dxa"/>
            <w:tcBorders>
              <w:top w:val="single" w:sz="4" w:space="0" w:color="auto"/>
              <w:left w:val="single" w:sz="4" w:space="0" w:color="auto"/>
              <w:bottom w:val="single" w:sz="4" w:space="0" w:color="auto"/>
              <w:right w:val="single" w:sz="4" w:space="0" w:color="auto"/>
            </w:tcBorders>
            <w:shd w:val="clear" w:color="auto" w:fill="auto"/>
          </w:tcPr>
          <w:p w:rsidR="000E54C2" w:rsidRPr="00E8065F" w:rsidRDefault="000E54C2" w:rsidP="001164A3">
            <w:pPr>
              <w:spacing w:line="235" w:lineRule="auto"/>
              <w:jc w:val="center"/>
              <w:rPr>
                <w:color w:val="000000"/>
                <w:sz w:val="20"/>
                <w:szCs w:val="20"/>
              </w:rPr>
            </w:pPr>
            <w:r w:rsidRPr="00E8065F">
              <w:rPr>
                <w:color w:val="000000"/>
                <w:sz w:val="20"/>
                <w:szCs w:val="20"/>
              </w:rPr>
              <w:t>Амбулаторное</w:t>
            </w:r>
          </w:p>
        </w:tc>
      </w:tr>
      <w:tr w:rsidR="00BA1432" w:rsidRPr="00E8065F" w:rsidTr="000546C2">
        <w:trPr>
          <w:trHeight w:val="20"/>
        </w:trPr>
        <w:tc>
          <w:tcPr>
            <w:tcW w:w="1555" w:type="dxa"/>
            <w:vMerge/>
          </w:tcPr>
          <w:p w:rsidR="000E54C2" w:rsidRPr="00E8065F" w:rsidRDefault="000E54C2" w:rsidP="00BA1432">
            <w:pPr>
              <w:rPr>
                <w:sz w:val="20"/>
                <w:szCs w:val="20"/>
              </w:rPr>
            </w:pPr>
          </w:p>
        </w:tc>
        <w:tc>
          <w:tcPr>
            <w:tcW w:w="3685" w:type="dxa"/>
            <w:tcBorders>
              <w:top w:val="nil"/>
              <w:left w:val="single" w:sz="4" w:space="0" w:color="auto"/>
              <w:bottom w:val="single" w:sz="4" w:space="0" w:color="auto"/>
              <w:right w:val="single" w:sz="4" w:space="0" w:color="auto"/>
            </w:tcBorders>
            <w:shd w:val="clear" w:color="auto" w:fill="auto"/>
          </w:tcPr>
          <w:p w:rsidR="000E54C2" w:rsidRPr="00E8065F" w:rsidRDefault="000E54C2" w:rsidP="001164A3">
            <w:pPr>
              <w:spacing w:line="235" w:lineRule="auto"/>
              <w:jc w:val="both"/>
              <w:rPr>
                <w:color w:val="000000"/>
                <w:sz w:val="20"/>
                <w:szCs w:val="20"/>
              </w:rPr>
            </w:pPr>
            <w:r w:rsidRPr="00E8065F">
              <w:rPr>
                <w:color w:val="000000"/>
                <w:sz w:val="20"/>
                <w:szCs w:val="20"/>
              </w:rPr>
              <w:t xml:space="preserve">ГАУЗ </w:t>
            </w:r>
            <w:r w:rsidR="002F7358">
              <w:rPr>
                <w:color w:val="000000"/>
                <w:sz w:val="20"/>
                <w:szCs w:val="20"/>
              </w:rPr>
              <w:t>«</w:t>
            </w:r>
            <w:r w:rsidRPr="00E8065F">
              <w:rPr>
                <w:color w:val="000000"/>
                <w:sz w:val="20"/>
                <w:szCs w:val="20"/>
              </w:rPr>
              <w:t>Сармановская ЦРБ</w:t>
            </w:r>
            <w:r w:rsidR="002F7358">
              <w:rPr>
                <w:color w:val="000000"/>
                <w:sz w:val="20"/>
                <w:szCs w:val="20"/>
              </w:rPr>
              <w:t>»</w:t>
            </w:r>
          </w:p>
        </w:tc>
        <w:tc>
          <w:tcPr>
            <w:tcW w:w="1994" w:type="dxa"/>
            <w:tcBorders>
              <w:top w:val="nil"/>
              <w:left w:val="single" w:sz="4" w:space="0" w:color="auto"/>
              <w:bottom w:val="single" w:sz="4" w:space="0" w:color="auto"/>
              <w:right w:val="single" w:sz="4" w:space="0" w:color="auto"/>
            </w:tcBorders>
            <w:shd w:val="clear" w:color="auto" w:fill="auto"/>
          </w:tcPr>
          <w:p w:rsidR="000E54C2" w:rsidRPr="00E8065F" w:rsidRDefault="000E54C2" w:rsidP="001164A3">
            <w:pPr>
              <w:spacing w:line="235" w:lineRule="auto"/>
              <w:jc w:val="center"/>
              <w:rPr>
                <w:color w:val="000000"/>
                <w:sz w:val="20"/>
                <w:szCs w:val="20"/>
              </w:rPr>
            </w:pPr>
            <w:r w:rsidRPr="00E8065F">
              <w:rPr>
                <w:color w:val="000000"/>
                <w:sz w:val="20"/>
                <w:szCs w:val="20"/>
              </w:rPr>
              <w:t>Флюорограф</w:t>
            </w:r>
          </w:p>
        </w:tc>
        <w:tc>
          <w:tcPr>
            <w:tcW w:w="1181" w:type="dxa"/>
            <w:shd w:val="clear" w:color="auto" w:fill="auto"/>
          </w:tcPr>
          <w:p w:rsidR="00783899" w:rsidRPr="00E8065F" w:rsidRDefault="000E54C2" w:rsidP="00783899">
            <w:pPr>
              <w:jc w:val="center"/>
              <w:rPr>
                <w:sz w:val="20"/>
                <w:szCs w:val="20"/>
              </w:rPr>
            </w:pPr>
            <w:r w:rsidRPr="00E8065F">
              <w:rPr>
                <w:sz w:val="20"/>
                <w:szCs w:val="20"/>
              </w:rPr>
              <w:t>2014</w:t>
            </w:r>
            <w:r w:rsidR="00793DC9">
              <w:rPr>
                <w:sz w:val="20"/>
                <w:szCs w:val="20"/>
              </w:rPr>
              <w:t xml:space="preserve"> </w:t>
            </w:r>
            <w:r w:rsidR="00783899">
              <w:rPr>
                <w:sz w:val="20"/>
                <w:szCs w:val="20"/>
              </w:rPr>
              <w:t>(1)</w:t>
            </w:r>
          </w:p>
          <w:p w:rsidR="000E54C2" w:rsidRPr="00E8065F" w:rsidRDefault="000E54C2" w:rsidP="00783899">
            <w:pPr>
              <w:jc w:val="center"/>
              <w:rPr>
                <w:sz w:val="20"/>
                <w:szCs w:val="20"/>
              </w:rPr>
            </w:pPr>
            <w:r w:rsidRPr="00E8065F">
              <w:rPr>
                <w:sz w:val="20"/>
                <w:szCs w:val="20"/>
              </w:rPr>
              <w:t>2022</w:t>
            </w:r>
            <w:r w:rsidR="00793DC9">
              <w:rPr>
                <w:sz w:val="20"/>
                <w:szCs w:val="20"/>
              </w:rPr>
              <w:t xml:space="preserve"> </w:t>
            </w:r>
            <w:r w:rsidR="00783899">
              <w:rPr>
                <w:sz w:val="20"/>
                <w:szCs w:val="20"/>
              </w:rPr>
              <w:t>(1)</w:t>
            </w:r>
          </w:p>
        </w:tc>
        <w:tc>
          <w:tcPr>
            <w:tcW w:w="1181" w:type="dxa"/>
            <w:tcBorders>
              <w:top w:val="nil"/>
              <w:left w:val="single" w:sz="4" w:space="0" w:color="auto"/>
              <w:bottom w:val="single" w:sz="4" w:space="0" w:color="auto"/>
              <w:right w:val="single" w:sz="4" w:space="0" w:color="auto"/>
            </w:tcBorders>
            <w:shd w:val="clear" w:color="auto" w:fill="auto"/>
          </w:tcPr>
          <w:p w:rsidR="000E54C2" w:rsidRPr="00E8065F" w:rsidRDefault="000E54C2" w:rsidP="001164A3">
            <w:pPr>
              <w:spacing w:line="235" w:lineRule="auto"/>
              <w:jc w:val="center"/>
              <w:rPr>
                <w:color w:val="000000"/>
                <w:sz w:val="20"/>
                <w:szCs w:val="20"/>
              </w:rPr>
            </w:pPr>
            <w:r w:rsidRPr="00E8065F">
              <w:rPr>
                <w:color w:val="000000"/>
                <w:sz w:val="20"/>
                <w:szCs w:val="20"/>
              </w:rPr>
              <w:t>2</w:t>
            </w:r>
          </w:p>
        </w:tc>
        <w:tc>
          <w:tcPr>
            <w:tcW w:w="1478" w:type="dxa"/>
            <w:tcBorders>
              <w:top w:val="nil"/>
              <w:left w:val="single" w:sz="4" w:space="0" w:color="auto"/>
              <w:bottom w:val="single" w:sz="4" w:space="0" w:color="auto"/>
              <w:right w:val="single" w:sz="4" w:space="0" w:color="auto"/>
            </w:tcBorders>
            <w:shd w:val="clear" w:color="auto" w:fill="auto"/>
          </w:tcPr>
          <w:p w:rsidR="000E54C2" w:rsidRPr="00E8065F" w:rsidRDefault="000E54C2" w:rsidP="001164A3">
            <w:pPr>
              <w:spacing w:line="235" w:lineRule="auto"/>
              <w:jc w:val="center"/>
              <w:rPr>
                <w:color w:val="000000"/>
                <w:sz w:val="20"/>
                <w:szCs w:val="20"/>
              </w:rPr>
            </w:pPr>
            <w:r w:rsidRPr="00E8065F">
              <w:rPr>
                <w:color w:val="000000"/>
                <w:sz w:val="20"/>
                <w:szCs w:val="20"/>
              </w:rPr>
              <w:t>24,7</w:t>
            </w:r>
          </w:p>
        </w:tc>
        <w:tc>
          <w:tcPr>
            <w:tcW w:w="1111" w:type="dxa"/>
            <w:tcBorders>
              <w:top w:val="nil"/>
              <w:left w:val="single" w:sz="4" w:space="0" w:color="auto"/>
              <w:bottom w:val="single" w:sz="4" w:space="0" w:color="auto"/>
              <w:right w:val="single" w:sz="4" w:space="0" w:color="auto"/>
            </w:tcBorders>
            <w:shd w:val="clear" w:color="auto" w:fill="auto"/>
          </w:tcPr>
          <w:p w:rsidR="000E54C2" w:rsidRPr="00E8065F" w:rsidRDefault="000E54C2" w:rsidP="001164A3">
            <w:pPr>
              <w:spacing w:line="235" w:lineRule="auto"/>
              <w:jc w:val="center"/>
              <w:rPr>
                <w:color w:val="000000"/>
                <w:sz w:val="20"/>
                <w:szCs w:val="20"/>
              </w:rPr>
            </w:pPr>
            <w:r w:rsidRPr="00E8065F">
              <w:rPr>
                <w:color w:val="000000"/>
                <w:sz w:val="20"/>
                <w:szCs w:val="20"/>
              </w:rPr>
              <w:t>2</w:t>
            </w:r>
          </w:p>
        </w:tc>
        <w:tc>
          <w:tcPr>
            <w:tcW w:w="1944" w:type="dxa"/>
            <w:tcBorders>
              <w:top w:val="nil"/>
              <w:left w:val="single" w:sz="4" w:space="0" w:color="auto"/>
              <w:bottom w:val="single" w:sz="4" w:space="0" w:color="auto"/>
              <w:right w:val="single" w:sz="4" w:space="0" w:color="auto"/>
            </w:tcBorders>
            <w:shd w:val="clear" w:color="auto" w:fill="auto"/>
          </w:tcPr>
          <w:p w:rsidR="000E54C2" w:rsidRPr="00E8065F" w:rsidRDefault="000E54C2" w:rsidP="001164A3">
            <w:pPr>
              <w:spacing w:line="235" w:lineRule="auto"/>
              <w:jc w:val="center"/>
              <w:rPr>
                <w:color w:val="000000"/>
                <w:sz w:val="20"/>
                <w:szCs w:val="20"/>
              </w:rPr>
            </w:pPr>
            <w:r w:rsidRPr="00E8065F">
              <w:rPr>
                <w:color w:val="000000"/>
                <w:sz w:val="20"/>
                <w:szCs w:val="20"/>
              </w:rPr>
              <w:t>Амбулаторное</w:t>
            </w:r>
          </w:p>
        </w:tc>
      </w:tr>
      <w:tr w:rsidR="00BA1432" w:rsidRPr="00E8065F" w:rsidTr="000546C2">
        <w:trPr>
          <w:trHeight w:val="20"/>
        </w:trPr>
        <w:tc>
          <w:tcPr>
            <w:tcW w:w="1555" w:type="dxa"/>
            <w:vMerge/>
          </w:tcPr>
          <w:p w:rsidR="000E54C2" w:rsidRPr="00E8065F" w:rsidRDefault="000E54C2" w:rsidP="00BA1432">
            <w:pPr>
              <w:rPr>
                <w:sz w:val="20"/>
                <w:szCs w:val="20"/>
              </w:rPr>
            </w:pPr>
          </w:p>
        </w:tc>
        <w:tc>
          <w:tcPr>
            <w:tcW w:w="3685" w:type="dxa"/>
            <w:tcBorders>
              <w:top w:val="nil"/>
              <w:left w:val="single" w:sz="4" w:space="0" w:color="auto"/>
              <w:bottom w:val="single" w:sz="4" w:space="0" w:color="auto"/>
              <w:right w:val="single" w:sz="4" w:space="0" w:color="auto"/>
            </w:tcBorders>
            <w:shd w:val="clear" w:color="auto" w:fill="auto"/>
          </w:tcPr>
          <w:p w:rsidR="000E54C2" w:rsidRPr="00E8065F" w:rsidRDefault="000E54C2" w:rsidP="001164A3">
            <w:pPr>
              <w:spacing w:line="235" w:lineRule="auto"/>
              <w:jc w:val="both"/>
              <w:rPr>
                <w:color w:val="000000"/>
                <w:sz w:val="20"/>
                <w:szCs w:val="20"/>
              </w:rPr>
            </w:pPr>
            <w:r w:rsidRPr="00E8065F">
              <w:rPr>
                <w:color w:val="000000"/>
                <w:sz w:val="20"/>
                <w:szCs w:val="20"/>
              </w:rPr>
              <w:t xml:space="preserve">ГАУЗ </w:t>
            </w:r>
            <w:r w:rsidR="002F7358">
              <w:rPr>
                <w:color w:val="000000"/>
                <w:sz w:val="20"/>
                <w:szCs w:val="20"/>
              </w:rPr>
              <w:t>«</w:t>
            </w:r>
            <w:r w:rsidRPr="00E8065F">
              <w:rPr>
                <w:color w:val="000000"/>
                <w:sz w:val="20"/>
                <w:szCs w:val="20"/>
              </w:rPr>
              <w:t>Тетюшская ЦРБ</w:t>
            </w:r>
            <w:r w:rsidR="002F7358">
              <w:rPr>
                <w:color w:val="000000"/>
                <w:sz w:val="20"/>
                <w:szCs w:val="20"/>
              </w:rPr>
              <w:t>»</w:t>
            </w:r>
          </w:p>
        </w:tc>
        <w:tc>
          <w:tcPr>
            <w:tcW w:w="1994" w:type="dxa"/>
            <w:tcBorders>
              <w:top w:val="nil"/>
              <w:left w:val="single" w:sz="4" w:space="0" w:color="auto"/>
              <w:bottom w:val="single" w:sz="4" w:space="0" w:color="auto"/>
              <w:right w:val="single" w:sz="4" w:space="0" w:color="auto"/>
            </w:tcBorders>
            <w:shd w:val="clear" w:color="auto" w:fill="auto"/>
          </w:tcPr>
          <w:p w:rsidR="000E54C2" w:rsidRPr="00E8065F" w:rsidRDefault="000E54C2" w:rsidP="001164A3">
            <w:pPr>
              <w:spacing w:line="235" w:lineRule="auto"/>
              <w:jc w:val="center"/>
              <w:rPr>
                <w:color w:val="000000"/>
                <w:sz w:val="20"/>
                <w:szCs w:val="20"/>
              </w:rPr>
            </w:pPr>
            <w:r w:rsidRPr="00E8065F">
              <w:rPr>
                <w:color w:val="000000"/>
                <w:sz w:val="20"/>
                <w:szCs w:val="20"/>
              </w:rPr>
              <w:t>Флюорограф</w:t>
            </w:r>
          </w:p>
        </w:tc>
        <w:tc>
          <w:tcPr>
            <w:tcW w:w="1181" w:type="dxa"/>
            <w:shd w:val="clear" w:color="auto" w:fill="auto"/>
          </w:tcPr>
          <w:p w:rsidR="000E54C2" w:rsidRPr="00E8065F" w:rsidRDefault="000E54C2" w:rsidP="001164A3">
            <w:pPr>
              <w:spacing w:line="235" w:lineRule="auto"/>
              <w:jc w:val="center"/>
              <w:rPr>
                <w:sz w:val="20"/>
                <w:szCs w:val="20"/>
              </w:rPr>
            </w:pPr>
            <w:r w:rsidRPr="00E8065F">
              <w:rPr>
                <w:sz w:val="20"/>
                <w:szCs w:val="20"/>
              </w:rPr>
              <w:t>2022</w:t>
            </w:r>
          </w:p>
        </w:tc>
        <w:tc>
          <w:tcPr>
            <w:tcW w:w="1181" w:type="dxa"/>
            <w:tcBorders>
              <w:top w:val="nil"/>
              <w:left w:val="single" w:sz="4" w:space="0" w:color="auto"/>
              <w:bottom w:val="single" w:sz="4" w:space="0" w:color="auto"/>
              <w:right w:val="single" w:sz="4" w:space="0" w:color="auto"/>
            </w:tcBorders>
            <w:shd w:val="clear" w:color="auto" w:fill="auto"/>
          </w:tcPr>
          <w:p w:rsidR="000E54C2" w:rsidRPr="00E8065F" w:rsidRDefault="000E54C2" w:rsidP="001164A3">
            <w:pPr>
              <w:spacing w:line="235" w:lineRule="auto"/>
              <w:jc w:val="center"/>
              <w:rPr>
                <w:color w:val="000000"/>
                <w:sz w:val="20"/>
                <w:szCs w:val="20"/>
              </w:rPr>
            </w:pPr>
            <w:r w:rsidRPr="00E8065F">
              <w:rPr>
                <w:color w:val="000000"/>
                <w:sz w:val="20"/>
                <w:szCs w:val="20"/>
              </w:rPr>
              <w:t>1</w:t>
            </w:r>
          </w:p>
        </w:tc>
        <w:tc>
          <w:tcPr>
            <w:tcW w:w="1478" w:type="dxa"/>
            <w:tcBorders>
              <w:top w:val="nil"/>
              <w:left w:val="single" w:sz="4" w:space="0" w:color="auto"/>
              <w:bottom w:val="single" w:sz="4" w:space="0" w:color="auto"/>
              <w:right w:val="single" w:sz="4" w:space="0" w:color="auto"/>
            </w:tcBorders>
            <w:shd w:val="clear" w:color="auto" w:fill="auto"/>
          </w:tcPr>
          <w:p w:rsidR="000E54C2" w:rsidRPr="00E8065F" w:rsidRDefault="000E54C2" w:rsidP="001164A3">
            <w:pPr>
              <w:spacing w:line="235" w:lineRule="auto"/>
              <w:jc w:val="center"/>
              <w:rPr>
                <w:color w:val="000000"/>
                <w:sz w:val="20"/>
                <w:szCs w:val="20"/>
              </w:rPr>
            </w:pPr>
            <w:r w:rsidRPr="00E8065F">
              <w:rPr>
                <w:color w:val="000000"/>
                <w:sz w:val="20"/>
                <w:szCs w:val="20"/>
              </w:rPr>
              <w:t>16,9</w:t>
            </w:r>
          </w:p>
        </w:tc>
        <w:tc>
          <w:tcPr>
            <w:tcW w:w="1111" w:type="dxa"/>
            <w:tcBorders>
              <w:top w:val="nil"/>
              <w:left w:val="single" w:sz="4" w:space="0" w:color="auto"/>
              <w:bottom w:val="single" w:sz="4" w:space="0" w:color="auto"/>
              <w:right w:val="single" w:sz="4" w:space="0" w:color="auto"/>
            </w:tcBorders>
            <w:shd w:val="clear" w:color="auto" w:fill="auto"/>
          </w:tcPr>
          <w:p w:rsidR="000E54C2" w:rsidRPr="00E8065F" w:rsidRDefault="000E54C2" w:rsidP="001164A3">
            <w:pPr>
              <w:spacing w:line="235" w:lineRule="auto"/>
              <w:jc w:val="center"/>
              <w:rPr>
                <w:color w:val="000000"/>
                <w:sz w:val="20"/>
                <w:szCs w:val="20"/>
              </w:rPr>
            </w:pPr>
            <w:r w:rsidRPr="00E8065F">
              <w:rPr>
                <w:color w:val="000000"/>
                <w:sz w:val="20"/>
                <w:szCs w:val="20"/>
              </w:rPr>
              <w:t>2</w:t>
            </w:r>
          </w:p>
        </w:tc>
        <w:tc>
          <w:tcPr>
            <w:tcW w:w="1944" w:type="dxa"/>
            <w:tcBorders>
              <w:top w:val="nil"/>
              <w:left w:val="single" w:sz="4" w:space="0" w:color="auto"/>
              <w:bottom w:val="single" w:sz="4" w:space="0" w:color="auto"/>
              <w:right w:val="single" w:sz="4" w:space="0" w:color="auto"/>
            </w:tcBorders>
            <w:shd w:val="clear" w:color="auto" w:fill="auto"/>
          </w:tcPr>
          <w:p w:rsidR="000E54C2" w:rsidRPr="00E8065F" w:rsidRDefault="000E54C2" w:rsidP="001164A3">
            <w:pPr>
              <w:spacing w:line="235" w:lineRule="auto"/>
              <w:jc w:val="center"/>
              <w:rPr>
                <w:color w:val="000000"/>
                <w:sz w:val="20"/>
                <w:szCs w:val="20"/>
              </w:rPr>
            </w:pPr>
            <w:r w:rsidRPr="00E8065F">
              <w:rPr>
                <w:color w:val="000000"/>
                <w:sz w:val="20"/>
                <w:szCs w:val="20"/>
              </w:rPr>
              <w:t>Амбулаторное</w:t>
            </w:r>
          </w:p>
        </w:tc>
      </w:tr>
      <w:tr w:rsidR="00BA1432" w:rsidRPr="00E8065F" w:rsidTr="000546C2">
        <w:trPr>
          <w:trHeight w:val="20"/>
        </w:trPr>
        <w:tc>
          <w:tcPr>
            <w:tcW w:w="1555" w:type="dxa"/>
            <w:vMerge/>
          </w:tcPr>
          <w:p w:rsidR="000E54C2" w:rsidRPr="00E8065F" w:rsidRDefault="000E54C2" w:rsidP="00BA1432">
            <w:pPr>
              <w:rPr>
                <w:sz w:val="20"/>
                <w:szCs w:val="20"/>
              </w:rPr>
            </w:pPr>
          </w:p>
        </w:tc>
        <w:tc>
          <w:tcPr>
            <w:tcW w:w="3685" w:type="dxa"/>
            <w:tcBorders>
              <w:top w:val="nil"/>
              <w:left w:val="single" w:sz="4" w:space="0" w:color="auto"/>
              <w:bottom w:val="single" w:sz="4" w:space="0" w:color="auto"/>
              <w:right w:val="single" w:sz="4" w:space="0" w:color="auto"/>
            </w:tcBorders>
            <w:shd w:val="clear" w:color="auto" w:fill="auto"/>
          </w:tcPr>
          <w:p w:rsidR="000E54C2" w:rsidRPr="00E8065F" w:rsidRDefault="000E54C2" w:rsidP="001164A3">
            <w:pPr>
              <w:spacing w:line="235" w:lineRule="auto"/>
              <w:jc w:val="both"/>
              <w:rPr>
                <w:color w:val="000000"/>
                <w:sz w:val="20"/>
                <w:szCs w:val="20"/>
              </w:rPr>
            </w:pPr>
            <w:r w:rsidRPr="00E8065F">
              <w:rPr>
                <w:color w:val="000000"/>
                <w:sz w:val="20"/>
                <w:szCs w:val="20"/>
              </w:rPr>
              <w:t xml:space="preserve">ГАУЗ </w:t>
            </w:r>
            <w:r w:rsidR="002F7358">
              <w:rPr>
                <w:color w:val="000000"/>
                <w:sz w:val="20"/>
                <w:szCs w:val="20"/>
              </w:rPr>
              <w:t>«</w:t>
            </w:r>
            <w:r w:rsidRPr="00E8065F">
              <w:rPr>
                <w:color w:val="000000"/>
                <w:sz w:val="20"/>
                <w:szCs w:val="20"/>
              </w:rPr>
              <w:t>Тукаевская ЦРБ</w:t>
            </w:r>
            <w:r w:rsidR="002F7358">
              <w:rPr>
                <w:color w:val="000000"/>
                <w:sz w:val="20"/>
                <w:szCs w:val="20"/>
              </w:rPr>
              <w:t>»</w:t>
            </w:r>
          </w:p>
        </w:tc>
        <w:tc>
          <w:tcPr>
            <w:tcW w:w="1994" w:type="dxa"/>
            <w:tcBorders>
              <w:top w:val="nil"/>
              <w:left w:val="single" w:sz="4" w:space="0" w:color="auto"/>
              <w:bottom w:val="single" w:sz="4" w:space="0" w:color="auto"/>
              <w:right w:val="single" w:sz="4" w:space="0" w:color="auto"/>
            </w:tcBorders>
            <w:shd w:val="clear" w:color="auto" w:fill="auto"/>
          </w:tcPr>
          <w:p w:rsidR="000E54C2" w:rsidRPr="00E8065F" w:rsidRDefault="000E54C2" w:rsidP="001164A3">
            <w:pPr>
              <w:spacing w:line="235" w:lineRule="auto"/>
              <w:jc w:val="center"/>
              <w:rPr>
                <w:color w:val="000000"/>
                <w:sz w:val="20"/>
                <w:szCs w:val="20"/>
              </w:rPr>
            </w:pPr>
            <w:r w:rsidRPr="00E8065F">
              <w:rPr>
                <w:color w:val="000000"/>
                <w:sz w:val="20"/>
                <w:szCs w:val="20"/>
              </w:rPr>
              <w:t>Флюорограф</w:t>
            </w:r>
          </w:p>
        </w:tc>
        <w:tc>
          <w:tcPr>
            <w:tcW w:w="1181" w:type="dxa"/>
            <w:shd w:val="clear" w:color="auto" w:fill="auto"/>
          </w:tcPr>
          <w:p w:rsidR="000E54C2" w:rsidRPr="00E8065F" w:rsidRDefault="000E54C2" w:rsidP="00783899">
            <w:pPr>
              <w:jc w:val="center"/>
              <w:rPr>
                <w:sz w:val="20"/>
                <w:szCs w:val="20"/>
              </w:rPr>
            </w:pPr>
            <w:r w:rsidRPr="00E8065F">
              <w:rPr>
                <w:sz w:val="20"/>
                <w:szCs w:val="20"/>
              </w:rPr>
              <w:t>2006</w:t>
            </w:r>
            <w:r w:rsidR="00793DC9">
              <w:rPr>
                <w:sz w:val="20"/>
                <w:szCs w:val="20"/>
              </w:rPr>
              <w:t xml:space="preserve"> </w:t>
            </w:r>
            <w:r w:rsidR="00783899">
              <w:rPr>
                <w:sz w:val="20"/>
                <w:szCs w:val="20"/>
              </w:rPr>
              <w:t>(1)</w:t>
            </w:r>
          </w:p>
          <w:p w:rsidR="000E54C2" w:rsidRPr="00E8065F" w:rsidRDefault="000E54C2" w:rsidP="00783899">
            <w:pPr>
              <w:jc w:val="center"/>
              <w:rPr>
                <w:sz w:val="20"/>
                <w:szCs w:val="20"/>
              </w:rPr>
            </w:pPr>
            <w:r w:rsidRPr="00E8065F">
              <w:rPr>
                <w:sz w:val="20"/>
                <w:szCs w:val="20"/>
              </w:rPr>
              <w:t>2023</w:t>
            </w:r>
            <w:r w:rsidR="00793DC9">
              <w:rPr>
                <w:sz w:val="20"/>
                <w:szCs w:val="20"/>
              </w:rPr>
              <w:t xml:space="preserve"> </w:t>
            </w:r>
            <w:r w:rsidR="00783899">
              <w:rPr>
                <w:sz w:val="20"/>
                <w:szCs w:val="20"/>
              </w:rPr>
              <w:t>(1)</w:t>
            </w:r>
          </w:p>
        </w:tc>
        <w:tc>
          <w:tcPr>
            <w:tcW w:w="1181" w:type="dxa"/>
            <w:tcBorders>
              <w:top w:val="nil"/>
              <w:left w:val="single" w:sz="4" w:space="0" w:color="auto"/>
              <w:bottom w:val="single" w:sz="4" w:space="0" w:color="auto"/>
              <w:right w:val="single" w:sz="4" w:space="0" w:color="auto"/>
            </w:tcBorders>
            <w:shd w:val="clear" w:color="auto" w:fill="auto"/>
          </w:tcPr>
          <w:p w:rsidR="000E54C2" w:rsidRPr="00E8065F" w:rsidRDefault="000E54C2" w:rsidP="001164A3">
            <w:pPr>
              <w:spacing w:line="235" w:lineRule="auto"/>
              <w:jc w:val="center"/>
              <w:rPr>
                <w:color w:val="000000"/>
                <w:sz w:val="20"/>
                <w:szCs w:val="20"/>
              </w:rPr>
            </w:pPr>
            <w:r w:rsidRPr="00E8065F">
              <w:rPr>
                <w:color w:val="000000"/>
                <w:sz w:val="20"/>
                <w:szCs w:val="20"/>
              </w:rPr>
              <w:t>2</w:t>
            </w:r>
          </w:p>
        </w:tc>
        <w:tc>
          <w:tcPr>
            <w:tcW w:w="1478" w:type="dxa"/>
            <w:tcBorders>
              <w:top w:val="nil"/>
              <w:left w:val="single" w:sz="4" w:space="0" w:color="auto"/>
              <w:bottom w:val="single" w:sz="4" w:space="0" w:color="auto"/>
              <w:right w:val="single" w:sz="4" w:space="0" w:color="auto"/>
            </w:tcBorders>
            <w:shd w:val="clear" w:color="auto" w:fill="auto"/>
          </w:tcPr>
          <w:p w:rsidR="000E54C2" w:rsidRPr="00E8065F" w:rsidRDefault="000E54C2" w:rsidP="001164A3">
            <w:pPr>
              <w:spacing w:line="235" w:lineRule="auto"/>
              <w:jc w:val="center"/>
              <w:rPr>
                <w:color w:val="000000"/>
                <w:sz w:val="20"/>
                <w:szCs w:val="20"/>
              </w:rPr>
            </w:pPr>
            <w:r w:rsidRPr="00E8065F">
              <w:rPr>
                <w:color w:val="000000"/>
                <w:sz w:val="20"/>
                <w:szCs w:val="20"/>
              </w:rPr>
              <w:t>39,5</w:t>
            </w:r>
          </w:p>
        </w:tc>
        <w:tc>
          <w:tcPr>
            <w:tcW w:w="1111" w:type="dxa"/>
            <w:tcBorders>
              <w:top w:val="nil"/>
              <w:left w:val="single" w:sz="4" w:space="0" w:color="auto"/>
              <w:bottom w:val="single" w:sz="4" w:space="0" w:color="auto"/>
              <w:right w:val="single" w:sz="4" w:space="0" w:color="auto"/>
            </w:tcBorders>
            <w:shd w:val="clear" w:color="auto" w:fill="auto"/>
          </w:tcPr>
          <w:p w:rsidR="000E54C2" w:rsidRPr="00E8065F" w:rsidRDefault="000E54C2" w:rsidP="001164A3">
            <w:pPr>
              <w:spacing w:line="235" w:lineRule="auto"/>
              <w:jc w:val="center"/>
              <w:rPr>
                <w:color w:val="000000"/>
                <w:sz w:val="20"/>
                <w:szCs w:val="20"/>
              </w:rPr>
            </w:pPr>
            <w:r w:rsidRPr="00E8065F">
              <w:rPr>
                <w:color w:val="000000"/>
                <w:sz w:val="20"/>
                <w:szCs w:val="20"/>
              </w:rPr>
              <w:t>2</w:t>
            </w:r>
          </w:p>
        </w:tc>
        <w:tc>
          <w:tcPr>
            <w:tcW w:w="1944" w:type="dxa"/>
            <w:tcBorders>
              <w:top w:val="nil"/>
              <w:left w:val="single" w:sz="4" w:space="0" w:color="auto"/>
              <w:bottom w:val="single" w:sz="4" w:space="0" w:color="auto"/>
              <w:right w:val="single" w:sz="4" w:space="0" w:color="auto"/>
            </w:tcBorders>
            <w:shd w:val="clear" w:color="auto" w:fill="auto"/>
          </w:tcPr>
          <w:p w:rsidR="000E54C2" w:rsidRPr="00E8065F" w:rsidRDefault="000E54C2" w:rsidP="001164A3">
            <w:pPr>
              <w:spacing w:line="235" w:lineRule="auto"/>
              <w:jc w:val="center"/>
              <w:rPr>
                <w:color w:val="000000"/>
                <w:sz w:val="20"/>
                <w:szCs w:val="20"/>
              </w:rPr>
            </w:pPr>
            <w:r w:rsidRPr="00E8065F">
              <w:rPr>
                <w:color w:val="000000"/>
                <w:sz w:val="20"/>
                <w:szCs w:val="20"/>
              </w:rPr>
              <w:t>Амбулаторное</w:t>
            </w:r>
          </w:p>
        </w:tc>
      </w:tr>
      <w:tr w:rsidR="00BA1432" w:rsidRPr="00E8065F" w:rsidTr="000546C2">
        <w:trPr>
          <w:trHeight w:val="20"/>
        </w:trPr>
        <w:tc>
          <w:tcPr>
            <w:tcW w:w="1555" w:type="dxa"/>
            <w:vMerge/>
          </w:tcPr>
          <w:p w:rsidR="000E54C2" w:rsidRPr="00E8065F" w:rsidRDefault="000E54C2" w:rsidP="00BA1432">
            <w:pPr>
              <w:rPr>
                <w:sz w:val="20"/>
                <w:szCs w:val="20"/>
              </w:rPr>
            </w:pPr>
          </w:p>
        </w:tc>
        <w:tc>
          <w:tcPr>
            <w:tcW w:w="3685" w:type="dxa"/>
            <w:tcBorders>
              <w:top w:val="nil"/>
              <w:left w:val="single" w:sz="4" w:space="0" w:color="auto"/>
              <w:bottom w:val="single" w:sz="4" w:space="0" w:color="auto"/>
              <w:right w:val="single" w:sz="4" w:space="0" w:color="auto"/>
            </w:tcBorders>
            <w:shd w:val="clear" w:color="auto" w:fill="auto"/>
          </w:tcPr>
          <w:p w:rsidR="000E54C2" w:rsidRPr="00E8065F" w:rsidRDefault="000E54C2" w:rsidP="00DC0475">
            <w:pPr>
              <w:jc w:val="both"/>
              <w:rPr>
                <w:color w:val="000000"/>
                <w:sz w:val="20"/>
                <w:szCs w:val="20"/>
              </w:rPr>
            </w:pPr>
            <w:r w:rsidRPr="00E8065F">
              <w:rPr>
                <w:color w:val="000000"/>
                <w:sz w:val="20"/>
                <w:szCs w:val="20"/>
              </w:rPr>
              <w:t xml:space="preserve">ГАУЗ </w:t>
            </w:r>
            <w:r w:rsidR="002F7358">
              <w:rPr>
                <w:color w:val="000000"/>
                <w:sz w:val="20"/>
                <w:szCs w:val="20"/>
              </w:rPr>
              <w:t>«</w:t>
            </w:r>
            <w:r w:rsidRPr="00E8065F">
              <w:rPr>
                <w:color w:val="000000"/>
                <w:sz w:val="20"/>
                <w:szCs w:val="20"/>
              </w:rPr>
              <w:t>Тюлячинская ЦРБ</w:t>
            </w:r>
            <w:r w:rsidR="002F7358">
              <w:rPr>
                <w:color w:val="000000"/>
                <w:sz w:val="20"/>
                <w:szCs w:val="20"/>
              </w:rPr>
              <w:t>»</w:t>
            </w:r>
          </w:p>
        </w:tc>
        <w:tc>
          <w:tcPr>
            <w:tcW w:w="1994" w:type="dxa"/>
            <w:tcBorders>
              <w:top w:val="nil"/>
              <w:left w:val="single" w:sz="4" w:space="0" w:color="auto"/>
              <w:bottom w:val="single" w:sz="4" w:space="0" w:color="auto"/>
              <w:right w:val="single" w:sz="4" w:space="0" w:color="auto"/>
            </w:tcBorders>
            <w:shd w:val="clear" w:color="auto" w:fill="auto"/>
          </w:tcPr>
          <w:p w:rsidR="000E54C2" w:rsidRPr="00E8065F" w:rsidRDefault="000E54C2" w:rsidP="00BA1432">
            <w:pPr>
              <w:jc w:val="center"/>
              <w:rPr>
                <w:color w:val="000000"/>
                <w:sz w:val="20"/>
                <w:szCs w:val="20"/>
              </w:rPr>
            </w:pPr>
            <w:r w:rsidRPr="00E8065F">
              <w:rPr>
                <w:color w:val="000000"/>
                <w:sz w:val="20"/>
                <w:szCs w:val="20"/>
              </w:rPr>
              <w:t>Флюорограф</w:t>
            </w:r>
          </w:p>
        </w:tc>
        <w:tc>
          <w:tcPr>
            <w:tcW w:w="1181" w:type="dxa"/>
            <w:shd w:val="clear" w:color="auto" w:fill="auto"/>
          </w:tcPr>
          <w:p w:rsidR="00783899" w:rsidRPr="00E8065F" w:rsidRDefault="000E54C2" w:rsidP="00783899">
            <w:pPr>
              <w:jc w:val="center"/>
              <w:rPr>
                <w:sz w:val="20"/>
                <w:szCs w:val="20"/>
              </w:rPr>
            </w:pPr>
            <w:r w:rsidRPr="00E8065F">
              <w:rPr>
                <w:sz w:val="20"/>
                <w:szCs w:val="20"/>
              </w:rPr>
              <w:t>2011</w:t>
            </w:r>
            <w:r w:rsidR="00793DC9">
              <w:rPr>
                <w:sz w:val="20"/>
                <w:szCs w:val="20"/>
              </w:rPr>
              <w:t xml:space="preserve"> </w:t>
            </w:r>
            <w:r w:rsidR="00783899">
              <w:rPr>
                <w:sz w:val="20"/>
                <w:szCs w:val="20"/>
              </w:rPr>
              <w:t>(1)</w:t>
            </w:r>
          </w:p>
          <w:p w:rsidR="000E54C2" w:rsidRPr="00E8065F" w:rsidRDefault="000E54C2" w:rsidP="00783899">
            <w:pPr>
              <w:jc w:val="center"/>
              <w:rPr>
                <w:sz w:val="20"/>
                <w:szCs w:val="20"/>
              </w:rPr>
            </w:pPr>
            <w:r w:rsidRPr="00E8065F">
              <w:rPr>
                <w:sz w:val="20"/>
                <w:szCs w:val="20"/>
              </w:rPr>
              <w:t>2022</w:t>
            </w:r>
            <w:r w:rsidR="00793DC9">
              <w:rPr>
                <w:sz w:val="20"/>
                <w:szCs w:val="20"/>
              </w:rPr>
              <w:t xml:space="preserve"> </w:t>
            </w:r>
            <w:r w:rsidR="00783899">
              <w:rPr>
                <w:sz w:val="20"/>
                <w:szCs w:val="20"/>
              </w:rPr>
              <w:t>(1)</w:t>
            </w:r>
          </w:p>
        </w:tc>
        <w:tc>
          <w:tcPr>
            <w:tcW w:w="1181" w:type="dxa"/>
            <w:tcBorders>
              <w:top w:val="nil"/>
              <w:left w:val="single" w:sz="4" w:space="0" w:color="auto"/>
              <w:bottom w:val="single" w:sz="4" w:space="0" w:color="auto"/>
              <w:right w:val="single" w:sz="4" w:space="0" w:color="auto"/>
            </w:tcBorders>
            <w:shd w:val="clear" w:color="auto" w:fill="auto"/>
          </w:tcPr>
          <w:p w:rsidR="000E54C2" w:rsidRPr="00E8065F" w:rsidRDefault="000E54C2" w:rsidP="000546C2">
            <w:pPr>
              <w:jc w:val="center"/>
              <w:rPr>
                <w:color w:val="000000"/>
                <w:sz w:val="20"/>
                <w:szCs w:val="20"/>
              </w:rPr>
            </w:pPr>
            <w:r w:rsidRPr="00E8065F">
              <w:rPr>
                <w:color w:val="000000"/>
                <w:sz w:val="20"/>
                <w:szCs w:val="20"/>
              </w:rPr>
              <w:t>2</w:t>
            </w:r>
          </w:p>
        </w:tc>
        <w:tc>
          <w:tcPr>
            <w:tcW w:w="1478" w:type="dxa"/>
            <w:tcBorders>
              <w:top w:val="nil"/>
              <w:left w:val="single" w:sz="4" w:space="0" w:color="auto"/>
              <w:bottom w:val="single" w:sz="4" w:space="0" w:color="auto"/>
              <w:right w:val="single" w:sz="4" w:space="0" w:color="auto"/>
            </w:tcBorders>
            <w:shd w:val="clear" w:color="auto" w:fill="auto"/>
          </w:tcPr>
          <w:p w:rsidR="000E54C2" w:rsidRPr="00E8065F" w:rsidRDefault="000E54C2" w:rsidP="000546C2">
            <w:pPr>
              <w:jc w:val="center"/>
              <w:rPr>
                <w:color w:val="000000"/>
                <w:sz w:val="20"/>
                <w:szCs w:val="20"/>
              </w:rPr>
            </w:pPr>
            <w:r w:rsidRPr="00E8065F">
              <w:rPr>
                <w:color w:val="000000"/>
                <w:sz w:val="20"/>
                <w:szCs w:val="20"/>
              </w:rPr>
              <w:t>17,3</w:t>
            </w:r>
          </w:p>
        </w:tc>
        <w:tc>
          <w:tcPr>
            <w:tcW w:w="1111" w:type="dxa"/>
            <w:tcBorders>
              <w:top w:val="nil"/>
              <w:left w:val="single" w:sz="4" w:space="0" w:color="auto"/>
              <w:bottom w:val="single" w:sz="4" w:space="0" w:color="auto"/>
              <w:right w:val="single" w:sz="4" w:space="0" w:color="auto"/>
            </w:tcBorders>
            <w:shd w:val="clear" w:color="auto" w:fill="auto"/>
          </w:tcPr>
          <w:p w:rsidR="000E54C2" w:rsidRPr="00E8065F" w:rsidRDefault="000E54C2" w:rsidP="000546C2">
            <w:pPr>
              <w:jc w:val="center"/>
              <w:rPr>
                <w:color w:val="000000"/>
                <w:sz w:val="20"/>
                <w:szCs w:val="20"/>
              </w:rPr>
            </w:pPr>
            <w:r w:rsidRPr="00E8065F">
              <w:rPr>
                <w:color w:val="000000"/>
                <w:sz w:val="20"/>
                <w:szCs w:val="20"/>
              </w:rPr>
              <w:t>2</w:t>
            </w:r>
          </w:p>
        </w:tc>
        <w:tc>
          <w:tcPr>
            <w:tcW w:w="1944" w:type="dxa"/>
            <w:tcBorders>
              <w:top w:val="nil"/>
              <w:left w:val="single" w:sz="4" w:space="0" w:color="auto"/>
              <w:bottom w:val="single" w:sz="4" w:space="0" w:color="auto"/>
              <w:right w:val="single" w:sz="4" w:space="0" w:color="auto"/>
            </w:tcBorders>
            <w:shd w:val="clear" w:color="auto" w:fill="auto"/>
          </w:tcPr>
          <w:p w:rsidR="000E54C2" w:rsidRPr="00E8065F" w:rsidRDefault="000E54C2" w:rsidP="00BA1432">
            <w:pPr>
              <w:jc w:val="center"/>
              <w:rPr>
                <w:color w:val="000000"/>
                <w:sz w:val="20"/>
                <w:szCs w:val="20"/>
              </w:rPr>
            </w:pPr>
            <w:r w:rsidRPr="00E8065F">
              <w:rPr>
                <w:color w:val="000000"/>
                <w:sz w:val="20"/>
                <w:szCs w:val="20"/>
              </w:rPr>
              <w:t>Амбулаторное</w:t>
            </w:r>
          </w:p>
        </w:tc>
      </w:tr>
      <w:tr w:rsidR="00BA1432" w:rsidRPr="00E8065F" w:rsidTr="000546C2">
        <w:trPr>
          <w:trHeight w:val="20"/>
        </w:trPr>
        <w:tc>
          <w:tcPr>
            <w:tcW w:w="1555" w:type="dxa"/>
            <w:vMerge/>
          </w:tcPr>
          <w:p w:rsidR="000E54C2" w:rsidRPr="00E8065F" w:rsidRDefault="000E54C2" w:rsidP="00BA1432">
            <w:pPr>
              <w:rPr>
                <w:sz w:val="20"/>
                <w:szCs w:val="20"/>
              </w:rPr>
            </w:pPr>
          </w:p>
        </w:tc>
        <w:tc>
          <w:tcPr>
            <w:tcW w:w="3685" w:type="dxa"/>
            <w:tcBorders>
              <w:top w:val="nil"/>
              <w:left w:val="single" w:sz="4" w:space="0" w:color="auto"/>
              <w:bottom w:val="single" w:sz="4" w:space="0" w:color="auto"/>
              <w:right w:val="single" w:sz="4" w:space="0" w:color="auto"/>
            </w:tcBorders>
            <w:shd w:val="clear" w:color="auto" w:fill="auto"/>
          </w:tcPr>
          <w:p w:rsidR="000E54C2" w:rsidRPr="00E8065F" w:rsidRDefault="000E54C2" w:rsidP="00DC0475">
            <w:pPr>
              <w:jc w:val="both"/>
              <w:rPr>
                <w:color w:val="000000"/>
                <w:sz w:val="20"/>
                <w:szCs w:val="20"/>
              </w:rPr>
            </w:pPr>
            <w:r w:rsidRPr="00E8065F">
              <w:rPr>
                <w:color w:val="000000"/>
                <w:sz w:val="20"/>
                <w:szCs w:val="20"/>
              </w:rPr>
              <w:t xml:space="preserve">ГАУЗ </w:t>
            </w:r>
            <w:r w:rsidR="002F7358">
              <w:rPr>
                <w:color w:val="000000"/>
                <w:sz w:val="20"/>
                <w:szCs w:val="20"/>
              </w:rPr>
              <w:t>«</w:t>
            </w:r>
            <w:r w:rsidRPr="00E8065F">
              <w:rPr>
                <w:color w:val="000000"/>
                <w:sz w:val="20"/>
                <w:szCs w:val="20"/>
              </w:rPr>
              <w:t>Черемшанская ЦРБ</w:t>
            </w:r>
            <w:r w:rsidR="002F7358">
              <w:rPr>
                <w:color w:val="000000"/>
                <w:sz w:val="20"/>
                <w:szCs w:val="20"/>
              </w:rPr>
              <w:t>»</w:t>
            </w:r>
          </w:p>
        </w:tc>
        <w:tc>
          <w:tcPr>
            <w:tcW w:w="1994" w:type="dxa"/>
            <w:tcBorders>
              <w:top w:val="nil"/>
              <w:left w:val="single" w:sz="4" w:space="0" w:color="auto"/>
              <w:bottom w:val="single" w:sz="4" w:space="0" w:color="auto"/>
              <w:right w:val="single" w:sz="4" w:space="0" w:color="auto"/>
            </w:tcBorders>
            <w:shd w:val="clear" w:color="auto" w:fill="auto"/>
          </w:tcPr>
          <w:p w:rsidR="000E54C2" w:rsidRPr="00E8065F" w:rsidRDefault="000E54C2" w:rsidP="00BA1432">
            <w:pPr>
              <w:jc w:val="center"/>
              <w:rPr>
                <w:color w:val="000000"/>
                <w:sz w:val="20"/>
                <w:szCs w:val="20"/>
              </w:rPr>
            </w:pPr>
            <w:r w:rsidRPr="00E8065F">
              <w:rPr>
                <w:color w:val="000000"/>
                <w:sz w:val="20"/>
                <w:szCs w:val="20"/>
              </w:rPr>
              <w:t>Флюорограф</w:t>
            </w:r>
          </w:p>
        </w:tc>
        <w:tc>
          <w:tcPr>
            <w:tcW w:w="1181" w:type="dxa"/>
            <w:shd w:val="clear" w:color="auto" w:fill="auto"/>
          </w:tcPr>
          <w:p w:rsidR="000E54C2" w:rsidRPr="00E8065F" w:rsidRDefault="000E54C2" w:rsidP="000546C2">
            <w:pPr>
              <w:jc w:val="center"/>
              <w:rPr>
                <w:sz w:val="20"/>
                <w:szCs w:val="20"/>
              </w:rPr>
            </w:pPr>
            <w:r w:rsidRPr="00E8065F">
              <w:rPr>
                <w:sz w:val="20"/>
                <w:szCs w:val="20"/>
              </w:rPr>
              <w:t>2007</w:t>
            </w:r>
          </w:p>
        </w:tc>
        <w:tc>
          <w:tcPr>
            <w:tcW w:w="1181" w:type="dxa"/>
            <w:tcBorders>
              <w:top w:val="nil"/>
              <w:left w:val="single" w:sz="4" w:space="0" w:color="auto"/>
              <w:bottom w:val="single" w:sz="4" w:space="0" w:color="auto"/>
              <w:right w:val="single" w:sz="4" w:space="0" w:color="auto"/>
            </w:tcBorders>
            <w:shd w:val="clear" w:color="auto" w:fill="auto"/>
          </w:tcPr>
          <w:p w:rsidR="000E54C2" w:rsidRPr="00E8065F" w:rsidRDefault="000E54C2" w:rsidP="000546C2">
            <w:pPr>
              <w:jc w:val="center"/>
              <w:rPr>
                <w:color w:val="000000"/>
                <w:sz w:val="20"/>
                <w:szCs w:val="20"/>
              </w:rPr>
            </w:pPr>
            <w:r w:rsidRPr="00E8065F">
              <w:rPr>
                <w:color w:val="000000"/>
                <w:sz w:val="20"/>
                <w:szCs w:val="20"/>
              </w:rPr>
              <w:t>1</w:t>
            </w:r>
          </w:p>
        </w:tc>
        <w:tc>
          <w:tcPr>
            <w:tcW w:w="1478" w:type="dxa"/>
            <w:tcBorders>
              <w:top w:val="nil"/>
              <w:left w:val="single" w:sz="4" w:space="0" w:color="auto"/>
              <w:bottom w:val="single" w:sz="4" w:space="0" w:color="auto"/>
              <w:right w:val="single" w:sz="4" w:space="0" w:color="auto"/>
            </w:tcBorders>
            <w:shd w:val="clear" w:color="auto" w:fill="auto"/>
          </w:tcPr>
          <w:p w:rsidR="000E54C2" w:rsidRPr="00E8065F" w:rsidRDefault="000E54C2" w:rsidP="000546C2">
            <w:pPr>
              <w:jc w:val="center"/>
              <w:rPr>
                <w:color w:val="000000"/>
                <w:sz w:val="20"/>
                <w:szCs w:val="20"/>
              </w:rPr>
            </w:pPr>
            <w:r w:rsidRPr="00E8065F">
              <w:rPr>
                <w:color w:val="000000"/>
                <w:sz w:val="20"/>
                <w:szCs w:val="20"/>
              </w:rPr>
              <w:t>20,7</w:t>
            </w:r>
          </w:p>
        </w:tc>
        <w:tc>
          <w:tcPr>
            <w:tcW w:w="1111" w:type="dxa"/>
            <w:tcBorders>
              <w:top w:val="nil"/>
              <w:left w:val="single" w:sz="4" w:space="0" w:color="auto"/>
              <w:bottom w:val="single" w:sz="4" w:space="0" w:color="auto"/>
              <w:right w:val="single" w:sz="4" w:space="0" w:color="auto"/>
            </w:tcBorders>
            <w:shd w:val="clear" w:color="auto" w:fill="auto"/>
          </w:tcPr>
          <w:p w:rsidR="000E54C2" w:rsidRPr="00E8065F" w:rsidRDefault="000E54C2" w:rsidP="000546C2">
            <w:pPr>
              <w:jc w:val="center"/>
              <w:rPr>
                <w:color w:val="000000"/>
                <w:sz w:val="20"/>
                <w:szCs w:val="20"/>
              </w:rPr>
            </w:pPr>
            <w:r w:rsidRPr="00E8065F">
              <w:rPr>
                <w:color w:val="000000"/>
                <w:sz w:val="20"/>
                <w:szCs w:val="20"/>
              </w:rPr>
              <w:t>2</w:t>
            </w:r>
          </w:p>
        </w:tc>
        <w:tc>
          <w:tcPr>
            <w:tcW w:w="1944" w:type="dxa"/>
            <w:tcBorders>
              <w:top w:val="nil"/>
              <w:left w:val="single" w:sz="4" w:space="0" w:color="auto"/>
              <w:bottom w:val="single" w:sz="4" w:space="0" w:color="auto"/>
              <w:right w:val="single" w:sz="4" w:space="0" w:color="auto"/>
            </w:tcBorders>
            <w:shd w:val="clear" w:color="auto" w:fill="auto"/>
          </w:tcPr>
          <w:p w:rsidR="000E54C2" w:rsidRPr="00E8065F" w:rsidRDefault="000E54C2" w:rsidP="00BA1432">
            <w:pPr>
              <w:jc w:val="center"/>
              <w:rPr>
                <w:color w:val="000000"/>
                <w:sz w:val="20"/>
                <w:szCs w:val="20"/>
              </w:rPr>
            </w:pPr>
            <w:r w:rsidRPr="00E8065F">
              <w:rPr>
                <w:color w:val="000000"/>
                <w:sz w:val="20"/>
                <w:szCs w:val="20"/>
              </w:rPr>
              <w:t>Амбулаторное</w:t>
            </w:r>
          </w:p>
        </w:tc>
      </w:tr>
      <w:tr w:rsidR="00BA1432" w:rsidRPr="00E8065F" w:rsidTr="000546C2">
        <w:trPr>
          <w:trHeight w:val="20"/>
        </w:trPr>
        <w:tc>
          <w:tcPr>
            <w:tcW w:w="1555" w:type="dxa"/>
            <w:vMerge/>
          </w:tcPr>
          <w:p w:rsidR="000E54C2" w:rsidRPr="00E8065F" w:rsidRDefault="000E54C2" w:rsidP="00BA1432">
            <w:pPr>
              <w:rPr>
                <w:sz w:val="20"/>
                <w:szCs w:val="20"/>
              </w:rPr>
            </w:pPr>
          </w:p>
        </w:tc>
        <w:tc>
          <w:tcPr>
            <w:tcW w:w="3685" w:type="dxa"/>
            <w:tcBorders>
              <w:top w:val="nil"/>
              <w:left w:val="single" w:sz="4" w:space="0" w:color="auto"/>
              <w:bottom w:val="single" w:sz="4" w:space="0" w:color="auto"/>
              <w:right w:val="single" w:sz="4" w:space="0" w:color="auto"/>
            </w:tcBorders>
            <w:shd w:val="clear" w:color="auto" w:fill="auto"/>
          </w:tcPr>
          <w:p w:rsidR="000E54C2" w:rsidRPr="00E8065F" w:rsidRDefault="000E54C2" w:rsidP="00DC0475">
            <w:pPr>
              <w:jc w:val="both"/>
              <w:rPr>
                <w:color w:val="000000"/>
                <w:sz w:val="20"/>
                <w:szCs w:val="20"/>
              </w:rPr>
            </w:pPr>
            <w:r w:rsidRPr="00E8065F">
              <w:rPr>
                <w:color w:val="000000"/>
                <w:sz w:val="20"/>
                <w:szCs w:val="20"/>
              </w:rPr>
              <w:t xml:space="preserve">ГАУЗ </w:t>
            </w:r>
            <w:r w:rsidR="002F7358">
              <w:rPr>
                <w:color w:val="000000"/>
                <w:sz w:val="20"/>
                <w:szCs w:val="20"/>
              </w:rPr>
              <w:t>«</w:t>
            </w:r>
            <w:r w:rsidRPr="00E8065F">
              <w:rPr>
                <w:color w:val="000000"/>
                <w:sz w:val="20"/>
                <w:szCs w:val="20"/>
              </w:rPr>
              <w:t>Чистопольская ЦРБ</w:t>
            </w:r>
            <w:r w:rsidR="002F7358">
              <w:rPr>
                <w:color w:val="000000"/>
                <w:sz w:val="20"/>
                <w:szCs w:val="20"/>
              </w:rPr>
              <w:t>»</w:t>
            </w:r>
          </w:p>
        </w:tc>
        <w:tc>
          <w:tcPr>
            <w:tcW w:w="1994" w:type="dxa"/>
            <w:tcBorders>
              <w:top w:val="nil"/>
              <w:left w:val="single" w:sz="4" w:space="0" w:color="auto"/>
              <w:bottom w:val="single" w:sz="4" w:space="0" w:color="auto"/>
              <w:right w:val="single" w:sz="4" w:space="0" w:color="auto"/>
            </w:tcBorders>
            <w:shd w:val="clear" w:color="auto" w:fill="auto"/>
          </w:tcPr>
          <w:p w:rsidR="000E54C2" w:rsidRPr="00E8065F" w:rsidRDefault="000E54C2" w:rsidP="00BA1432">
            <w:pPr>
              <w:jc w:val="center"/>
              <w:rPr>
                <w:color w:val="000000"/>
                <w:sz w:val="20"/>
                <w:szCs w:val="20"/>
              </w:rPr>
            </w:pPr>
            <w:r w:rsidRPr="00E8065F">
              <w:rPr>
                <w:color w:val="000000"/>
                <w:sz w:val="20"/>
                <w:szCs w:val="20"/>
              </w:rPr>
              <w:t>Флюорограф</w:t>
            </w:r>
          </w:p>
        </w:tc>
        <w:tc>
          <w:tcPr>
            <w:tcW w:w="1181" w:type="dxa"/>
            <w:tcBorders>
              <w:bottom w:val="single" w:sz="4" w:space="0" w:color="auto"/>
            </w:tcBorders>
            <w:shd w:val="clear" w:color="auto" w:fill="auto"/>
          </w:tcPr>
          <w:p w:rsidR="00D92024" w:rsidRPr="00E8065F" w:rsidRDefault="000E54C2" w:rsidP="00D92024">
            <w:pPr>
              <w:jc w:val="center"/>
              <w:rPr>
                <w:sz w:val="20"/>
                <w:szCs w:val="20"/>
              </w:rPr>
            </w:pPr>
            <w:r w:rsidRPr="00E8065F">
              <w:rPr>
                <w:sz w:val="20"/>
                <w:szCs w:val="20"/>
              </w:rPr>
              <w:t>2018</w:t>
            </w:r>
            <w:r w:rsidR="00793DC9">
              <w:rPr>
                <w:sz w:val="20"/>
                <w:szCs w:val="20"/>
              </w:rPr>
              <w:t xml:space="preserve"> </w:t>
            </w:r>
            <w:r w:rsidR="00D92024">
              <w:rPr>
                <w:sz w:val="20"/>
                <w:szCs w:val="20"/>
              </w:rPr>
              <w:t>(1)</w:t>
            </w:r>
          </w:p>
          <w:p w:rsidR="00D92024" w:rsidRPr="00E8065F" w:rsidRDefault="000E54C2" w:rsidP="00D92024">
            <w:pPr>
              <w:jc w:val="center"/>
              <w:rPr>
                <w:sz w:val="20"/>
                <w:szCs w:val="20"/>
              </w:rPr>
            </w:pPr>
            <w:r w:rsidRPr="00E8065F">
              <w:rPr>
                <w:sz w:val="20"/>
                <w:szCs w:val="20"/>
              </w:rPr>
              <w:t>2022</w:t>
            </w:r>
            <w:r w:rsidR="00793DC9">
              <w:rPr>
                <w:sz w:val="20"/>
                <w:szCs w:val="20"/>
              </w:rPr>
              <w:t xml:space="preserve"> </w:t>
            </w:r>
            <w:r w:rsidR="00D92024">
              <w:rPr>
                <w:sz w:val="20"/>
                <w:szCs w:val="20"/>
              </w:rPr>
              <w:t>(1)</w:t>
            </w:r>
          </w:p>
          <w:p w:rsidR="000E54C2" w:rsidRPr="00E8065F" w:rsidRDefault="000E54C2" w:rsidP="00D92024">
            <w:pPr>
              <w:jc w:val="center"/>
              <w:rPr>
                <w:sz w:val="20"/>
                <w:szCs w:val="20"/>
              </w:rPr>
            </w:pPr>
            <w:r w:rsidRPr="00E8065F">
              <w:rPr>
                <w:sz w:val="20"/>
                <w:szCs w:val="20"/>
              </w:rPr>
              <w:t>2023</w:t>
            </w:r>
            <w:r w:rsidR="00793DC9">
              <w:rPr>
                <w:sz w:val="20"/>
                <w:szCs w:val="20"/>
              </w:rPr>
              <w:t xml:space="preserve"> </w:t>
            </w:r>
            <w:r w:rsidR="00D92024">
              <w:rPr>
                <w:sz w:val="20"/>
                <w:szCs w:val="20"/>
              </w:rPr>
              <w:t>(1)</w:t>
            </w:r>
          </w:p>
        </w:tc>
        <w:tc>
          <w:tcPr>
            <w:tcW w:w="1181" w:type="dxa"/>
            <w:tcBorders>
              <w:top w:val="nil"/>
              <w:left w:val="single" w:sz="4" w:space="0" w:color="auto"/>
              <w:bottom w:val="single" w:sz="4" w:space="0" w:color="auto"/>
              <w:right w:val="single" w:sz="4" w:space="0" w:color="auto"/>
            </w:tcBorders>
            <w:shd w:val="clear" w:color="auto" w:fill="auto"/>
          </w:tcPr>
          <w:p w:rsidR="000E54C2" w:rsidRPr="00E8065F" w:rsidRDefault="000E54C2" w:rsidP="000546C2">
            <w:pPr>
              <w:jc w:val="center"/>
              <w:rPr>
                <w:color w:val="000000"/>
                <w:sz w:val="20"/>
                <w:szCs w:val="20"/>
              </w:rPr>
            </w:pPr>
            <w:r w:rsidRPr="00E8065F">
              <w:rPr>
                <w:color w:val="000000"/>
                <w:sz w:val="20"/>
                <w:szCs w:val="20"/>
              </w:rPr>
              <w:t>3</w:t>
            </w:r>
          </w:p>
        </w:tc>
        <w:tc>
          <w:tcPr>
            <w:tcW w:w="1478" w:type="dxa"/>
            <w:tcBorders>
              <w:top w:val="nil"/>
              <w:left w:val="single" w:sz="4" w:space="0" w:color="auto"/>
              <w:bottom w:val="single" w:sz="4" w:space="0" w:color="auto"/>
              <w:right w:val="single" w:sz="4" w:space="0" w:color="auto"/>
            </w:tcBorders>
            <w:shd w:val="clear" w:color="auto" w:fill="auto"/>
          </w:tcPr>
          <w:p w:rsidR="000E54C2" w:rsidRPr="00E8065F" w:rsidRDefault="000E54C2" w:rsidP="000546C2">
            <w:pPr>
              <w:jc w:val="center"/>
              <w:rPr>
                <w:color w:val="000000"/>
                <w:sz w:val="20"/>
                <w:szCs w:val="20"/>
              </w:rPr>
            </w:pPr>
            <w:r w:rsidRPr="00E8065F">
              <w:rPr>
                <w:color w:val="000000"/>
                <w:sz w:val="20"/>
                <w:szCs w:val="20"/>
              </w:rPr>
              <w:t>67,4</w:t>
            </w:r>
          </w:p>
        </w:tc>
        <w:tc>
          <w:tcPr>
            <w:tcW w:w="1111" w:type="dxa"/>
            <w:tcBorders>
              <w:top w:val="nil"/>
              <w:left w:val="single" w:sz="4" w:space="0" w:color="auto"/>
              <w:bottom w:val="single" w:sz="4" w:space="0" w:color="auto"/>
              <w:right w:val="single" w:sz="4" w:space="0" w:color="auto"/>
            </w:tcBorders>
            <w:shd w:val="clear" w:color="auto" w:fill="auto"/>
          </w:tcPr>
          <w:p w:rsidR="000E54C2" w:rsidRPr="00E8065F" w:rsidRDefault="000E54C2" w:rsidP="000546C2">
            <w:pPr>
              <w:jc w:val="center"/>
              <w:rPr>
                <w:color w:val="000000"/>
                <w:sz w:val="20"/>
                <w:szCs w:val="20"/>
              </w:rPr>
            </w:pPr>
            <w:r w:rsidRPr="00E8065F">
              <w:rPr>
                <w:color w:val="000000"/>
                <w:sz w:val="20"/>
                <w:szCs w:val="20"/>
              </w:rPr>
              <w:t>2</w:t>
            </w:r>
          </w:p>
        </w:tc>
        <w:tc>
          <w:tcPr>
            <w:tcW w:w="1944" w:type="dxa"/>
            <w:tcBorders>
              <w:top w:val="nil"/>
              <w:left w:val="single" w:sz="4" w:space="0" w:color="auto"/>
              <w:bottom w:val="single" w:sz="4" w:space="0" w:color="auto"/>
              <w:right w:val="single" w:sz="4" w:space="0" w:color="auto"/>
            </w:tcBorders>
            <w:shd w:val="clear" w:color="auto" w:fill="auto"/>
          </w:tcPr>
          <w:p w:rsidR="000E54C2" w:rsidRPr="00E8065F" w:rsidRDefault="000E54C2" w:rsidP="00BA1432">
            <w:pPr>
              <w:jc w:val="center"/>
              <w:rPr>
                <w:color w:val="000000"/>
                <w:sz w:val="20"/>
                <w:szCs w:val="20"/>
              </w:rPr>
            </w:pPr>
            <w:r w:rsidRPr="00E8065F">
              <w:rPr>
                <w:color w:val="000000"/>
                <w:sz w:val="20"/>
                <w:szCs w:val="20"/>
              </w:rPr>
              <w:t>Амбулаторное/передвижное</w:t>
            </w:r>
          </w:p>
        </w:tc>
      </w:tr>
      <w:tr w:rsidR="00BA1432" w:rsidRPr="00E8065F" w:rsidTr="000546C2">
        <w:trPr>
          <w:trHeight w:val="20"/>
        </w:trPr>
        <w:tc>
          <w:tcPr>
            <w:tcW w:w="1555" w:type="dxa"/>
            <w:vMerge/>
          </w:tcPr>
          <w:p w:rsidR="000E54C2" w:rsidRPr="00E8065F" w:rsidRDefault="000E54C2" w:rsidP="00BA1432">
            <w:pPr>
              <w:rPr>
                <w:sz w:val="20"/>
                <w:szCs w:val="20"/>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0E54C2" w:rsidRPr="00E8065F" w:rsidRDefault="000E54C2" w:rsidP="00ED4E9F">
            <w:pPr>
              <w:spacing w:line="235" w:lineRule="auto"/>
              <w:jc w:val="both"/>
              <w:rPr>
                <w:color w:val="000000"/>
                <w:sz w:val="20"/>
                <w:szCs w:val="20"/>
              </w:rPr>
            </w:pPr>
            <w:r w:rsidRPr="00E8065F">
              <w:rPr>
                <w:color w:val="000000"/>
                <w:sz w:val="20"/>
                <w:szCs w:val="20"/>
              </w:rPr>
              <w:t xml:space="preserve">ГАУЗ </w:t>
            </w:r>
            <w:r w:rsidR="002F7358">
              <w:rPr>
                <w:color w:val="000000"/>
                <w:sz w:val="20"/>
                <w:szCs w:val="20"/>
              </w:rPr>
              <w:t>«</w:t>
            </w:r>
            <w:r w:rsidRPr="00E8065F">
              <w:rPr>
                <w:color w:val="000000"/>
                <w:sz w:val="20"/>
                <w:szCs w:val="20"/>
              </w:rPr>
              <w:t>Уруссинская ЦРБ</w:t>
            </w:r>
            <w:r w:rsidR="002F7358">
              <w:rPr>
                <w:color w:val="000000"/>
                <w:sz w:val="20"/>
                <w:szCs w:val="20"/>
              </w:rPr>
              <w:t>»</w:t>
            </w:r>
          </w:p>
        </w:tc>
        <w:tc>
          <w:tcPr>
            <w:tcW w:w="1994" w:type="dxa"/>
            <w:tcBorders>
              <w:top w:val="single" w:sz="4" w:space="0" w:color="auto"/>
              <w:left w:val="single" w:sz="4" w:space="0" w:color="auto"/>
              <w:bottom w:val="single" w:sz="4" w:space="0" w:color="auto"/>
              <w:right w:val="single" w:sz="4" w:space="0" w:color="auto"/>
            </w:tcBorders>
            <w:shd w:val="clear" w:color="auto" w:fill="auto"/>
          </w:tcPr>
          <w:p w:rsidR="000E54C2" w:rsidRPr="00E8065F" w:rsidRDefault="000E54C2" w:rsidP="00ED4E9F">
            <w:pPr>
              <w:spacing w:line="235" w:lineRule="auto"/>
              <w:jc w:val="center"/>
              <w:rPr>
                <w:color w:val="000000"/>
                <w:sz w:val="20"/>
                <w:szCs w:val="20"/>
              </w:rPr>
            </w:pPr>
            <w:r w:rsidRPr="00E8065F">
              <w:rPr>
                <w:color w:val="000000"/>
                <w:sz w:val="20"/>
                <w:szCs w:val="20"/>
              </w:rPr>
              <w:t>Флюорограф</w:t>
            </w:r>
          </w:p>
        </w:tc>
        <w:tc>
          <w:tcPr>
            <w:tcW w:w="1181" w:type="dxa"/>
            <w:tcBorders>
              <w:top w:val="single" w:sz="4" w:space="0" w:color="auto"/>
            </w:tcBorders>
            <w:shd w:val="clear" w:color="auto" w:fill="auto"/>
          </w:tcPr>
          <w:p w:rsidR="000E54C2" w:rsidRPr="00E8065F" w:rsidRDefault="000E54C2" w:rsidP="00ED4E9F">
            <w:pPr>
              <w:spacing w:line="235" w:lineRule="auto"/>
              <w:jc w:val="center"/>
              <w:rPr>
                <w:sz w:val="20"/>
                <w:szCs w:val="20"/>
              </w:rPr>
            </w:pPr>
            <w:r w:rsidRPr="00E8065F">
              <w:rPr>
                <w:sz w:val="20"/>
                <w:szCs w:val="20"/>
              </w:rPr>
              <w:t>2016</w:t>
            </w:r>
          </w:p>
        </w:tc>
        <w:tc>
          <w:tcPr>
            <w:tcW w:w="1181" w:type="dxa"/>
            <w:tcBorders>
              <w:top w:val="single" w:sz="4" w:space="0" w:color="auto"/>
              <w:left w:val="single" w:sz="4" w:space="0" w:color="auto"/>
              <w:bottom w:val="single" w:sz="4" w:space="0" w:color="auto"/>
              <w:right w:val="single" w:sz="4" w:space="0" w:color="auto"/>
            </w:tcBorders>
            <w:shd w:val="clear" w:color="auto" w:fill="auto"/>
          </w:tcPr>
          <w:p w:rsidR="000E54C2" w:rsidRPr="00E8065F" w:rsidRDefault="000E54C2" w:rsidP="00ED4E9F">
            <w:pPr>
              <w:spacing w:line="235" w:lineRule="auto"/>
              <w:jc w:val="center"/>
              <w:rPr>
                <w:color w:val="000000"/>
                <w:sz w:val="20"/>
                <w:szCs w:val="20"/>
              </w:rPr>
            </w:pPr>
            <w:r w:rsidRPr="00E8065F">
              <w:rPr>
                <w:color w:val="000000"/>
                <w:sz w:val="20"/>
                <w:szCs w:val="20"/>
              </w:rPr>
              <w:t>1</w:t>
            </w:r>
          </w:p>
        </w:tc>
        <w:tc>
          <w:tcPr>
            <w:tcW w:w="1478" w:type="dxa"/>
            <w:tcBorders>
              <w:top w:val="single" w:sz="4" w:space="0" w:color="auto"/>
              <w:left w:val="single" w:sz="4" w:space="0" w:color="auto"/>
              <w:bottom w:val="single" w:sz="4" w:space="0" w:color="auto"/>
              <w:right w:val="single" w:sz="4" w:space="0" w:color="auto"/>
            </w:tcBorders>
            <w:shd w:val="clear" w:color="auto" w:fill="auto"/>
          </w:tcPr>
          <w:p w:rsidR="000E54C2" w:rsidRPr="00E8065F" w:rsidRDefault="000E54C2" w:rsidP="00ED4E9F">
            <w:pPr>
              <w:spacing w:line="235" w:lineRule="auto"/>
              <w:jc w:val="center"/>
              <w:rPr>
                <w:color w:val="000000"/>
                <w:sz w:val="20"/>
                <w:szCs w:val="20"/>
              </w:rPr>
            </w:pPr>
            <w:r w:rsidRPr="00E8065F">
              <w:rPr>
                <w:color w:val="000000"/>
                <w:sz w:val="20"/>
                <w:szCs w:val="20"/>
              </w:rPr>
              <w:t>16,8</w:t>
            </w:r>
          </w:p>
        </w:tc>
        <w:tc>
          <w:tcPr>
            <w:tcW w:w="1111" w:type="dxa"/>
            <w:tcBorders>
              <w:top w:val="single" w:sz="4" w:space="0" w:color="auto"/>
              <w:left w:val="single" w:sz="4" w:space="0" w:color="auto"/>
              <w:bottom w:val="single" w:sz="4" w:space="0" w:color="auto"/>
              <w:right w:val="single" w:sz="4" w:space="0" w:color="auto"/>
            </w:tcBorders>
            <w:shd w:val="clear" w:color="auto" w:fill="auto"/>
          </w:tcPr>
          <w:p w:rsidR="000E54C2" w:rsidRPr="00E8065F" w:rsidRDefault="000E54C2" w:rsidP="00ED4E9F">
            <w:pPr>
              <w:spacing w:line="235" w:lineRule="auto"/>
              <w:jc w:val="center"/>
              <w:rPr>
                <w:color w:val="000000"/>
                <w:sz w:val="20"/>
                <w:szCs w:val="20"/>
              </w:rPr>
            </w:pPr>
            <w:r w:rsidRPr="00E8065F">
              <w:rPr>
                <w:color w:val="000000"/>
                <w:sz w:val="20"/>
                <w:szCs w:val="20"/>
              </w:rPr>
              <w:t>2</w:t>
            </w:r>
          </w:p>
        </w:tc>
        <w:tc>
          <w:tcPr>
            <w:tcW w:w="1944" w:type="dxa"/>
            <w:tcBorders>
              <w:top w:val="single" w:sz="4" w:space="0" w:color="auto"/>
              <w:left w:val="single" w:sz="4" w:space="0" w:color="auto"/>
              <w:bottom w:val="single" w:sz="4" w:space="0" w:color="auto"/>
              <w:right w:val="single" w:sz="4" w:space="0" w:color="auto"/>
            </w:tcBorders>
            <w:shd w:val="clear" w:color="auto" w:fill="auto"/>
          </w:tcPr>
          <w:p w:rsidR="000E54C2" w:rsidRPr="00E8065F" w:rsidRDefault="000E54C2" w:rsidP="00ED4E9F">
            <w:pPr>
              <w:spacing w:line="235" w:lineRule="auto"/>
              <w:jc w:val="center"/>
              <w:rPr>
                <w:color w:val="000000"/>
                <w:sz w:val="20"/>
                <w:szCs w:val="20"/>
              </w:rPr>
            </w:pPr>
            <w:r w:rsidRPr="00E8065F">
              <w:rPr>
                <w:color w:val="000000"/>
                <w:sz w:val="20"/>
                <w:szCs w:val="20"/>
              </w:rPr>
              <w:t>Амбулаторное</w:t>
            </w:r>
          </w:p>
        </w:tc>
      </w:tr>
      <w:tr w:rsidR="00BA1432" w:rsidRPr="00E8065F" w:rsidTr="000546C2">
        <w:trPr>
          <w:trHeight w:val="20"/>
        </w:trPr>
        <w:tc>
          <w:tcPr>
            <w:tcW w:w="1555" w:type="dxa"/>
            <w:vMerge/>
          </w:tcPr>
          <w:p w:rsidR="000E54C2" w:rsidRPr="00E8065F" w:rsidRDefault="000E54C2" w:rsidP="00BA1432">
            <w:pPr>
              <w:rPr>
                <w:sz w:val="20"/>
                <w:szCs w:val="20"/>
              </w:rPr>
            </w:pPr>
          </w:p>
        </w:tc>
        <w:tc>
          <w:tcPr>
            <w:tcW w:w="3685" w:type="dxa"/>
            <w:tcBorders>
              <w:top w:val="nil"/>
              <w:left w:val="single" w:sz="4" w:space="0" w:color="auto"/>
              <w:bottom w:val="single" w:sz="4" w:space="0" w:color="auto"/>
              <w:right w:val="single" w:sz="4" w:space="0" w:color="auto"/>
            </w:tcBorders>
            <w:shd w:val="clear" w:color="auto" w:fill="auto"/>
          </w:tcPr>
          <w:p w:rsidR="000E54C2" w:rsidRPr="00E8065F" w:rsidRDefault="000E54C2" w:rsidP="00ED4E9F">
            <w:pPr>
              <w:spacing w:line="235" w:lineRule="auto"/>
              <w:jc w:val="both"/>
              <w:rPr>
                <w:color w:val="000000"/>
                <w:sz w:val="20"/>
                <w:szCs w:val="20"/>
              </w:rPr>
            </w:pPr>
            <w:r>
              <w:rPr>
                <w:color w:val="000000"/>
                <w:sz w:val="20"/>
                <w:szCs w:val="20"/>
              </w:rPr>
              <w:t xml:space="preserve">ГАУЗ </w:t>
            </w:r>
            <w:r w:rsidR="002F7358">
              <w:rPr>
                <w:color w:val="000000"/>
                <w:sz w:val="20"/>
                <w:szCs w:val="20"/>
              </w:rPr>
              <w:t>«</w:t>
            </w:r>
            <w:r>
              <w:rPr>
                <w:color w:val="000000"/>
                <w:sz w:val="20"/>
                <w:szCs w:val="20"/>
              </w:rPr>
              <w:t>Городская больница №</w:t>
            </w:r>
            <w:r w:rsidR="00007FB5">
              <w:rPr>
                <w:color w:val="000000"/>
                <w:sz w:val="20"/>
                <w:szCs w:val="20"/>
              </w:rPr>
              <w:t> </w:t>
            </w:r>
            <w:r>
              <w:rPr>
                <w:color w:val="000000"/>
                <w:sz w:val="20"/>
                <w:szCs w:val="20"/>
              </w:rPr>
              <w:t>2</w:t>
            </w:r>
            <w:r w:rsidR="002F7358">
              <w:rPr>
                <w:color w:val="000000"/>
                <w:sz w:val="20"/>
                <w:szCs w:val="20"/>
              </w:rPr>
              <w:t>»</w:t>
            </w:r>
            <w:r>
              <w:rPr>
                <w:color w:val="000000"/>
                <w:sz w:val="20"/>
                <w:szCs w:val="20"/>
              </w:rPr>
              <w:t xml:space="preserve"> г.Набережные Челны</w:t>
            </w:r>
          </w:p>
        </w:tc>
        <w:tc>
          <w:tcPr>
            <w:tcW w:w="1994" w:type="dxa"/>
            <w:tcBorders>
              <w:top w:val="nil"/>
              <w:left w:val="single" w:sz="4" w:space="0" w:color="auto"/>
              <w:bottom w:val="single" w:sz="4" w:space="0" w:color="auto"/>
              <w:right w:val="single" w:sz="4" w:space="0" w:color="auto"/>
            </w:tcBorders>
            <w:shd w:val="clear" w:color="auto" w:fill="auto"/>
          </w:tcPr>
          <w:p w:rsidR="000E54C2" w:rsidRPr="00E8065F" w:rsidRDefault="000E54C2" w:rsidP="00ED4E9F">
            <w:pPr>
              <w:spacing w:line="235" w:lineRule="auto"/>
              <w:jc w:val="center"/>
              <w:rPr>
                <w:color w:val="000000"/>
                <w:sz w:val="20"/>
                <w:szCs w:val="20"/>
              </w:rPr>
            </w:pPr>
            <w:r w:rsidRPr="00E8065F">
              <w:rPr>
                <w:color w:val="000000"/>
                <w:sz w:val="20"/>
                <w:szCs w:val="20"/>
              </w:rPr>
              <w:t>Флюорограф</w:t>
            </w:r>
          </w:p>
        </w:tc>
        <w:tc>
          <w:tcPr>
            <w:tcW w:w="1181" w:type="dxa"/>
            <w:tcBorders>
              <w:bottom w:val="single" w:sz="4" w:space="0" w:color="auto"/>
            </w:tcBorders>
            <w:shd w:val="clear" w:color="auto" w:fill="auto"/>
          </w:tcPr>
          <w:p w:rsidR="000E54C2" w:rsidRPr="00E8065F" w:rsidRDefault="000E54C2" w:rsidP="00ED4E9F">
            <w:pPr>
              <w:spacing w:line="235" w:lineRule="auto"/>
              <w:jc w:val="center"/>
              <w:rPr>
                <w:sz w:val="20"/>
                <w:szCs w:val="20"/>
              </w:rPr>
            </w:pPr>
            <w:r w:rsidRPr="00E8065F">
              <w:rPr>
                <w:sz w:val="20"/>
                <w:szCs w:val="20"/>
              </w:rPr>
              <w:t>2018</w:t>
            </w:r>
          </w:p>
        </w:tc>
        <w:tc>
          <w:tcPr>
            <w:tcW w:w="1181" w:type="dxa"/>
            <w:tcBorders>
              <w:top w:val="nil"/>
              <w:left w:val="single" w:sz="4" w:space="0" w:color="auto"/>
              <w:bottom w:val="single" w:sz="4" w:space="0" w:color="auto"/>
              <w:right w:val="single" w:sz="4" w:space="0" w:color="auto"/>
            </w:tcBorders>
            <w:shd w:val="clear" w:color="auto" w:fill="auto"/>
          </w:tcPr>
          <w:p w:rsidR="000E54C2" w:rsidRPr="00E8065F" w:rsidRDefault="000E54C2" w:rsidP="00ED4E9F">
            <w:pPr>
              <w:spacing w:line="235" w:lineRule="auto"/>
              <w:jc w:val="center"/>
              <w:rPr>
                <w:color w:val="000000"/>
                <w:sz w:val="20"/>
                <w:szCs w:val="20"/>
              </w:rPr>
            </w:pPr>
            <w:r w:rsidRPr="00E8065F">
              <w:rPr>
                <w:color w:val="000000"/>
                <w:sz w:val="20"/>
                <w:szCs w:val="20"/>
              </w:rPr>
              <w:t>1</w:t>
            </w:r>
          </w:p>
        </w:tc>
        <w:tc>
          <w:tcPr>
            <w:tcW w:w="1478" w:type="dxa"/>
            <w:tcBorders>
              <w:top w:val="nil"/>
              <w:left w:val="single" w:sz="4" w:space="0" w:color="auto"/>
              <w:bottom w:val="single" w:sz="4" w:space="0" w:color="auto"/>
              <w:right w:val="single" w:sz="4" w:space="0" w:color="auto"/>
            </w:tcBorders>
            <w:shd w:val="clear" w:color="auto" w:fill="auto"/>
          </w:tcPr>
          <w:p w:rsidR="000E54C2" w:rsidRPr="00E8065F" w:rsidRDefault="000E54C2" w:rsidP="00ED4E9F">
            <w:pPr>
              <w:spacing w:line="235" w:lineRule="auto"/>
              <w:jc w:val="center"/>
              <w:rPr>
                <w:color w:val="000000"/>
                <w:sz w:val="20"/>
                <w:szCs w:val="20"/>
              </w:rPr>
            </w:pPr>
            <w:r w:rsidRPr="00E8065F">
              <w:rPr>
                <w:color w:val="000000"/>
                <w:sz w:val="20"/>
                <w:szCs w:val="20"/>
              </w:rPr>
              <w:t>27,8</w:t>
            </w:r>
          </w:p>
        </w:tc>
        <w:tc>
          <w:tcPr>
            <w:tcW w:w="1111" w:type="dxa"/>
            <w:tcBorders>
              <w:top w:val="nil"/>
              <w:left w:val="single" w:sz="4" w:space="0" w:color="auto"/>
              <w:bottom w:val="single" w:sz="4" w:space="0" w:color="auto"/>
              <w:right w:val="single" w:sz="4" w:space="0" w:color="auto"/>
            </w:tcBorders>
            <w:shd w:val="clear" w:color="auto" w:fill="auto"/>
          </w:tcPr>
          <w:p w:rsidR="000E54C2" w:rsidRPr="00E8065F" w:rsidRDefault="000E54C2" w:rsidP="00ED4E9F">
            <w:pPr>
              <w:spacing w:line="235" w:lineRule="auto"/>
              <w:jc w:val="center"/>
              <w:rPr>
                <w:color w:val="000000"/>
                <w:sz w:val="20"/>
                <w:szCs w:val="20"/>
              </w:rPr>
            </w:pPr>
            <w:r w:rsidRPr="00E8065F">
              <w:rPr>
                <w:color w:val="000000"/>
                <w:sz w:val="20"/>
                <w:szCs w:val="20"/>
              </w:rPr>
              <w:t>2</w:t>
            </w:r>
          </w:p>
        </w:tc>
        <w:tc>
          <w:tcPr>
            <w:tcW w:w="1944" w:type="dxa"/>
            <w:tcBorders>
              <w:top w:val="nil"/>
              <w:left w:val="single" w:sz="4" w:space="0" w:color="auto"/>
              <w:bottom w:val="single" w:sz="4" w:space="0" w:color="auto"/>
              <w:right w:val="single" w:sz="4" w:space="0" w:color="auto"/>
            </w:tcBorders>
            <w:shd w:val="clear" w:color="auto" w:fill="auto"/>
          </w:tcPr>
          <w:p w:rsidR="000E54C2" w:rsidRPr="00E8065F" w:rsidRDefault="000E54C2" w:rsidP="00ED4E9F">
            <w:pPr>
              <w:spacing w:line="235" w:lineRule="auto"/>
              <w:jc w:val="center"/>
              <w:rPr>
                <w:color w:val="000000"/>
                <w:sz w:val="20"/>
                <w:szCs w:val="20"/>
              </w:rPr>
            </w:pPr>
            <w:r w:rsidRPr="00E8065F">
              <w:rPr>
                <w:color w:val="000000"/>
                <w:sz w:val="20"/>
                <w:szCs w:val="20"/>
              </w:rPr>
              <w:t>Амбулаторное</w:t>
            </w:r>
          </w:p>
        </w:tc>
      </w:tr>
      <w:tr w:rsidR="00BA1432" w:rsidRPr="00E8065F" w:rsidTr="000546C2">
        <w:trPr>
          <w:trHeight w:val="20"/>
        </w:trPr>
        <w:tc>
          <w:tcPr>
            <w:tcW w:w="1555" w:type="dxa"/>
            <w:vMerge/>
          </w:tcPr>
          <w:p w:rsidR="000E54C2" w:rsidRPr="00E8065F" w:rsidRDefault="000E54C2" w:rsidP="00BA1432">
            <w:pPr>
              <w:rPr>
                <w:sz w:val="20"/>
                <w:szCs w:val="20"/>
              </w:rPr>
            </w:pPr>
          </w:p>
        </w:tc>
        <w:tc>
          <w:tcPr>
            <w:tcW w:w="3685" w:type="dxa"/>
            <w:tcBorders>
              <w:top w:val="single" w:sz="4" w:space="0" w:color="auto"/>
              <w:bottom w:val="single" w:sz="4" w:space="0" w:color="auto"/>
              <w:right w:val="single" w:sz="4" w:space="0" w:color="auto"/>
            </w:tcBorders>
            <w:shd w:val="clear" w:color="auto" w:fill="auto"/>
          </w:tcPr>
          <w:p w:rsidR="000E54C2" w:rsidRPr="00E8065F" w:rsidRDefault="000E54C2" w:rsidP="00ED4E9F">
            <w:pPr>
              <w:spacing w:line="235" w:lineRule="auto"/>
              <w:jc w:val="both"/>
              <w:rPr>
                <w:color w:val="000000"/>
                <w:sz w:val="20"/>
                <w:szCs w:val="20"/>
              </w:rPr>
            </w:pPr>
            <w:r w:rsidRPr="00E8065F">
              <w:rPr>
                <w:color w:val="000000"/>
                <w:sz w:val="20"/>
                <w:szCs w:val="20"/>
              </w:rPr>
              <w:t xml:space="preserve">ГАУЗ </w:t>
            </w:r>
            <w:r w:rsidR="002F7358">
              <w:rPr>
                <w:color w:val="000000"/>
                <w:sz w:val="20"/>
                <w:szCs w:val="20"/>
              </w:rPr>
              <w:t>«</w:t>
            </w:r>
            <w:r w:rsidRPr="00E8065F">
              <w:rPr>
                <w:color w:val="000000"/>
                <w:sz w:val="20"/>
                <w:szCs w:val="20"/>
              </w:rPr>
              <w:t>Городская больница №</w:t>
            </w:r>
            <w:r w:rsidR="00007FB5">
              <w:rPr>
                <w:color w:val="000000"/>
                <w:sz w:val="20"/>
                <w:szCs w:val="20"/>
              </w:rPr>
              <w:t> </w:t>
            </w:r>
            <w:r w:rsidRPr="00E8065F">
              <w:rPr>
                <w:color w:val="000000"/>
                <w:sz w:val="20"/>
                <w:szCs w:val="20"/>
              </w:rPr>
              <w:t>5</w:t>
            </w:r>
            <w:r w:rsidR="002F7358">
              <w:rPr>
                <w:color w:val="000000"/>
                <w:sz w:val="20"/>
                <w:szCs w:val="20"/>
              </w:rPr>
              <w:t>»</w:t>
            </w:r>
            <w:r w:rsidR="003722E0">
              <w:rPr>
                <w:color w:val="000000"/>
                <w:sz w:val="20"/>
                <w:szCs w:val="20"/>
              </w:rPr>
              <w:t xml:space="preserve"> г.</w:t>
            </w:r>
            <w:r w:rsidRPr="00E8065F">
              <w:rPr>
                <w:color w:val="000000"/>
                <w:sz w:val="20"/>
                <w:szCs w:val="20"/>
              </w:rPr>
              <w:t>Набережные Челны</w:t>
            </w:r>
          </w:p>
        </w:tc>
        <w:tc>
          <w:tcPr>
            <w:tcW w:w="1994" w:type="dxa"/>
            <w:tcBorders>
              <w:top w:val="single" w:sz="4" w:space="0" w:color="auto"/>
              <w:left w:val="single" w:sz="4" w:space="0" w:color="auto"/>
              <w:bottom w:val="single" w:sz="4" w:space="0" w:color="auto"/>
              <w:right w:val="single" w:sz="4" w:space="0" w:color="auto"/>
            </w:tcBorders>
            <w:shd w:val="clear" w:color="auto" w:fill="auto"/>
          </w:tcPr>
          <w:p w:rsidR="000E54C2" w:rsidRPr="00E8065F" w:rsidRDefault="000E54C2" w:rsidP="00ED4E9F">
            <w:pPr>
              <w:spacing w:line="235" w:lineRule="auto"/>
              <w:jc w:val="center"/>
              <w:rPr>
                <w:color w:val="000000"/>
                <w:sz w:val="20"/>
                <w:szCs w:val="20"/>
              </w:rPr>
            </w:pPr>
            <w:r w:rsidRPr="00E8065F">
              <w:rPr>
                <w:color w:val="000000"/>
                <w:sz w:val="20"/>
                <w:szCs w:val="20"/>
              </w:rPr>
              <w:t>Флюорограф</w:t>
            </w:r>
          </w:p>
        </w:tc>
        <w:tc>
          <w:tcPr>
            <w:tcW w:w="1181" w:type="dxa"/>
            <w:tcBorders>
              <w:top w:val="single" w:sz="4" w:space="0" w:color="auto"/>
              <w:left w:val="single" w:sz="4" w:space="0" w:color="auto"/>
              <w:bottom w:val="single" w:sz="4" w:space="0" w:color="auto"/>
              <w:right w:val="single" w:sz="4" w:space="0" w:color="auto"/>
            </w:tcBorders>
            <w:shd w:val="clear" w:color="auto" w:fill="auto"/>
          </w:tcPr>
          <w:p w:rsidR="00D92024" w:rsidRPr="00E8065F" w:rsidRDefault="000E54C2" w:rsidP="00D92024">
            <w:pPr>
              <w:jc w:val="center"/>
              <w:rPr>
                <w:sz w:val="20"/>
                <w:szCs w:val="20"/>
              </w:rPr>
            </w:pPr>
            <w:r w:rsidRPr="00E8065F">
              <w:rPr>
                <w:sz w:val="20"/>
                <w:szCs w:val="20"/>
              </w:rPr>
              <w:t>2010</w:t>
            </w:r>
            <w:r w:rsidR="00793DC9">
              <w:rPr>
                <w:sz w:val="20"/>
                <w:szCs w:val="20"/>
              </w:rPr>
              <w:t xml:space="preserve"> </w:t>
            </w:r>
            <w:r w:rsidR="00D92024">
              <w:rPr>
                <w:sz w:val="20"/>
                <w:szCs w:val="20"/>
              </w:rPr>
              <w:t>(1)</w:t>
            </w:r>
          </w:p>
          <w:p w:rsidR="00D92024" w:rsidRPr="00E8065F" w:rsidRDefault="000E54C2" w:rsidP="00D92024">
            <w:pPr>
              <w:jc w:val="center"/>
              <w:rPr>
                <w:sz w:val="20"/>
                <w:szCs w:val="20"/>
              </w:rPr>
            </w:pPr>
            <w:r w:rsidRPr="00E8065F">
              <w:rPr>
                <w:sz w:val="20"/>
                <w:szCs w:val="20"/>
              </w:rPr>
              <w:t>2012</w:t>
            </w:r>
            <w:r w:rsidR="00793DC9">
              <w:rPr>
                <w:sz w:val="20"/>
                <w:szCs w:val="20"/>
              </w:rPr>
              <w:t xml:space="preserve"> </w:t>
            </w:r>
            <w:r w:rsidR="00D92024">
              <w:rPr>
                <w:sz w:val="20"/>
                <w:szCs w:val="20"/>
              </w:rPr>
              <w:t>(1)</w:t>
            </w:r>
          </w:p>
          <w:p w:rsidR="000E54C2" w:rsidRPr="00E8065F" w:rsidRDefault="000E54C2" w:rsidP="00D92024">
            <w:pPr>
              <w:jc w:val="center"/>
              <w:rPr>
                <w:sz w:val="20"/>
                <w:szCs w:val="20"/>
              </w:rPr>
            </w:pPr>
            <w:r w:rsidRPr="00E8065F">
              <w:rPr>
                <w:sz w:val="20"/>
                <w:szCs w:val="20"/>
              </w:rPr>
              <w:t>2019</w:t>
            </w:r>
            <w:r w:rsidR="00793DC9">
              <w:rPr>
                <w:sz w:val="20"/>
                <w:szCs w:val="20"/>
              </w:rPr>
              <w:t xml:space="preserve"> </w:t>
            </w:r>
            <w:r w:rsidR="00D92024">
              <w:rPr>
                <w:sz w:val="20"/>
                <w:szCs w:val="20"/>
              </w:rPr>
              <w:t>(1)</w:t>
            </w:r>
          </w:p>
        </w:tc>
        <w:tc>
          <w:tcPr>
            <w:tcW w:w="1181" w:type="dxa"/>
            <w:tcBorders>
              <w:top w:val="single" w:sz="4" w:space="0" w:color="auto"/>
              <w:left w:val="single" w:sz="4" w:space="0" w:color="auto"/>
              <w:bottom w:val="single" w:sz="4" w:space="0" w:color="auto"/>
              <w:right w:val="single" w:sz="4" w:space="0" w:color="auto"/>
            </w:tcBorders>
            <w:shd w:val="clear" w:color="auto" w:fill="auto"/>
          </w:tcPr>
          <w:p w:rsidR="000E54C2" w:rsidRPr="00E8065F" w:rsidRDefault="000E54C2" w:rsidP="00ED4E9F">
            <w:pPr>
              <w:spacing w:line="235" w:lineRule="auto"/>
              <w:jc w:val="center"/>
              <w:rPr>
                <w:color w:val="000000"/>
                <w:sz w:val="20"/>
                <w:szCs w:val="20"/>
              </w:rPr>
            </w:pPr>
            <w:r w:rsidRPr="00E8065F">
              <w:rPr>
                <w:color w:val="000000"/>
                <w:sz w:val="20"/>
                <w:szCs w:val="20"/>
              </w:rPr>
              <w:t>3</w:t>
            </w:r>
          </w:p>
        </w:tc>
        <w:tc>
          <w:tcPr>
            <w:tcW w:w="1478" w:type="dxa"/>
            <w:tcBorders>
              <w:top w:val="single" w:sz="4" w:space="0" w:color="auto"/>
              <w:left w:val="single" w:sz="4" w:space="0" w:color="auto"/>
              <w:bottom w:val="single" w:sz="4" w:space="0" w:color="auto"/>
              <w:right w:val="single" w:sz="4" w:space="0" w:color="auto"/>
            </w:tcBorders>
            <w:shd w:val="clear" w:color="auto" w:fill="auto"/>
          </w:tcPr>
          <w:p w:rsidR="000E54C2" w:rsidRPr="00E8065F" w:rsidRDefault="000E54C2" w:rsidP="00ED4E9F">
            <w:pPr>
              <w:spacing w:line="235" w:lineRule="auto"/>
              <w:jc w:val="center"/>
              <w:rPr>
                <w:color w:val="000000"/>
                <w:sz w:val="20"/>
                <w:szCs w:val="20"/>
              </w:rPr>
            </w:pPr>
            <w:r w:rsidRPr="00E8065F">
              <w:rPr>
                <w:color w:val="000000"/>
                <w:sz w:val="20"/>
                <w:szCs w:val="20"/>
              </w:rPr>
              <w:t>126,9</w:t>
            </w:r>
          </w:p>
        </w:tc>
        <w:tc>
          <w:tcPr>
            <w:tcW w:w="1111" w:type="dxa"/>
            <w:tcBorders>
              <w:top w:val="single" w:sz="4" w:space="0" w:color="auto"/>
              <w:left w:val="single" w:sz="4" w:space="0" w:color="auto"/>
              <w:bottom w:val="single" w:sz="4" w:space="0" w:color="auto"/>
              <w:right w:val="single" w:sz="4" w:space="0" w:color="auto"/>
            </w:tcBorders>
            <w:shd w:val="clear" w:color="auto" w:fill="auto"/>
          </w:tcPr>
          <w:p w:rsidR="000E54C2" w:rsidRPr="00E8065F" w:rsidRDefault="000E54C2" w:rsidP="00ED4E9F">
            <w:pPr>
              <w:spacing w:line="235" w:lineRule="auto"/>
              <w:jc w:val="center"/>
              <w:rPr>
                <w:color w:val="000000"/>
                <w:sz w:val="20"/>
                <w:szCs w:val="20"/>
              </w:rPr>
            </w:pPr>
            <w:r w:rsidRPr="00E8065F">
              <w:rPr>
                <w:color w:val="000000"/>
                <w:sz w:val="20"/>
                <w:szCs w:val="20"/>
              </w:rPr>
              <w:t>2</w:t>
            </w:r>
          </w:p>
        </w:tc>
        <w:tc>
          <w:tcPr>
            <w:tcW w:w="1944" w:type="dxa"/>
            <w:tcBorders>
              <w:top w:val="single" w:sz="4" w:space="0" w:color="auto"/>
              <w:left w:val="single" w:sz="4" w:space="0" w:color="auto"/>
              <w:bottom w:val="single" w:sz="4" w:space="0" w:color="auto"/>
              <w:right w:val="single" w:sz="4" w:space="0" w:color="auto"/>
            </w:tcBorders>
            <w:shd w:val="clear" w:color="auto" w:fill="auto"/>
          </w:tcPr>
          <w:p w:rsidR="000E54C2" w:rsidRPr="00E8065F" w:rsidRDefault="000E54C2" w:rsidP="00ED4E9F">
            <w:pPr>
              <w:spacing w:line="235" w:lineRule="auto"/>
              <w:jc w:val="center"/>
              <w:rPr>
                <w:color w:val="000000"/>
                <w:sz w:val="20"/>
                <w:szCs w:val="20"/>
              </w:rPr>
            </w:pPr>
            <w:r w:rsidRPr="00E8065F">
              <w:rPr>
                <w:color w:val="000000"/>
                <w:sz w:val="20"/>
                <w:szCs w:val="20"/>
              </w:rPr>
              <w:t>Амбулаторное/передвижное</w:t>
            </w:r>
          </w:p>
        </w:tc>
      </w:tr>
      <w:tr w:rsidR="00BA1432" w:rsidRPr="00E8065F" w:rsidTr="000546C2">
        <w:trPr>
          <w:trHeight w:val="20"/>
        </w:trPr>
        <w:tc>
          <w:tcPr>
            <w:tcW w:w="1555" w:type="dxa"/>
            <w:vMerge/>
          </w:tcPr>
          <w:p w:rsidR="000E54C2" w:rsidRPr="00E8065F" w:rsidRDefault="000E54C2" w:rsidP="00BA1432">
            <w:pPr>
              <w:rPr>
                <w:sz w:val="20"/>
                <w:szCs w:val="20"/>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0E54C2" w:rsidRPr="00E8065F" w:rsidRDefault="000E54C2" w:rsidP="00ED4E9F">
            <w:pPr>
              <w:spacing w:line="235" w:lineRule="auto"/>
              <w:jc w:val="both"/>
              <w:rPr>
                <w:color w:val="000000"/>
                <w:sz w:val="20"/>
                <w:szCs w:val="20"/>
              </w:rPr>
            </w:pPr>
            <w:r w:rsidRPr="00E8065F">
              <w:rPr>
                <w:color w:val="000000"/>
                <w:sz w:val="20"/>
                <w:szCs w:val="20"/>
              </w:rPr>
              <w:t xml:space="preserve">ГАУЗ </w:t>
            </w:r>
            <w:r w:rsidR="002F7358">
              <w:rPr>
                <w:color w:val="000000"/>
                <w:sz w:val="20"/>
                <w:szCs w:val="20"/>
              </w:rPr>
              <w:t>«</w:t>
            </w:r>
            <w:r w:rsidRPr="00E8065F">
              <w:rPr>
                <w:color w:val="000000"/>
                <w:sz w:val="20"/>
                <w:szCs w:val="20"/>
              </w:rPr>
              <w:t>Городская поликлиника №</w:t>
            </w:r>
            <w:r w:rsidR="00007FB5">
              <w:rPr>
                <w:color w:val="000000"/>
                <w:sz w:val="20"/>
                <w:szCs w:val="20"/>
              </w:rPr>
              <w:t xml:space="preserve"> </w:t>
            </w:r>
            <w:r w:rsidRPr="00E8065F">
              <w:rPr>
                <w:color w:val="000000"/>
                <w:sz w:val="20"/>
                <w:szCs w:val="20"/>
              </w:rPr>
              <w:t>3</w:t>
            </w:r>
            <w:r w:rsidR="002F7358">
              <w:rPr>
                <w:color w:val="000000"/>
                <w:sz w:val="20"/>
                <w:szCs w:val="20"/>
              </w:rPr>
              <w:t>»</w:t>
            </w:r>
            <w:r w:rsidR="003722E0">
              <w:rPr>
                <w:color w:val="000000"/>
                <w:sz w:val="20"/>
                <w:szCs w:val="20"/>
              </w:rPr>
              <w:t xml:space="preserve"> г.</w:t>
            </w:r>
            <w:r w:rsidRPr="00E8065F">
              <w:rPr>
                <w:color w:val="000000"/>
                <w:sz w:val="20"/>
                <w:szCs w:val="20"/>
              </w:rPr>
              <w:t>Набережные Челны</w:t>
            </w:r>
          </w:p>
        </w:tc>
        <w:tc>
          <w:tcPr>
            <w:tcW w:w="1994" w:type="dxa"/>
            <w:tcBorders>
              <w:top w:val="single" w:sz="4" w:space="0" w:color="auto"/>
              <w:left w:val="single" w:sz="4" w:space="0" w:color="auto"/>
              <w:bottom w:val="single" w:sz="4" w:space="0" w:color="auto"/>
              <w:right w:val="single" w:sz="4" w:space="0" w:color="auto"/>
            </w:tcBorders>
            <w:shd w:val="clear" w:color="auto" w:fill="auto"/>
          </w:tcPr>
          <w:p w:rsidR="000E54C2" w:rsidRPr="00E8065F" w:rsidRDefault="000E54C2" w:rsidP="00ED4E9F">
            <w:pPr>
              <w:spacing w:line="235" w:lineRule="auto"/>
              <w:jc w:val="center"/>
              <w:rPr>
                <w:color w:val="000000"/>
                <w:sz w:val="20"/>
                <w:szCs w:val="20"/>
              </w:rPr>
            </w:pPr>
            <w:r w:rsidRPr="00E8065F">
              <w:rPr>
                <w:color w:val="000000"/>
                <w:sz w:val="20"/>
                <w:szCs w:val="20"/>
              </w:rPr>
              <w:t>Флюорограф</w:t>
            </w:r>
          </w:p>
        </w:tc>
        <w:tc>
          <w:tcPr>
            <w:tcW w:w="1181" w:type="dxa"/>
            <w:tcBorders>
              <w:top w:val="single" w:sz="4" w:space="0" w:color="auto"/>
            </w:tcBorders>
            <w:shd w:val="clear" w:color="auto" w:fill="auto"/>
          </w:tcPr>
          <w:p w:rsidR="000E54C2" w:rsidRPr="00E8065F" w:rsidRDefault="000E54C2" w:rsidP="00ED4E9F">
            <w:pPr>
              <w:spacing w:line="235" w:lineRule="auto"/>
              <w:jc w:val="center"/>
              <w:rPr>
                <w:sz w:val="20"/>
                <w:szCs w:val="20"/>
              </w:rPr>
            </w:pPr>
            <w:r w:rsidRPr="00E8065F">
              <w:rPr>
                <w:sz w:val="20"/>
                <w:szCs w:val="20"/>
              </w:rPr>
              <w:t>2018</w:t>
            </w:r>
          </w:p>
        </w:tc>
        <w:tc>
          <w:tcPr>
            <w:tcW w:w="1181" w:type="dxa"/>
            <w:tcBorders>
              <w:top w:val="single" w:sz="4" w:space="0" w:color="auto"/>
              <w:left w:val="single" w:sz="4" w:space="0" w:color="auto"/>
              <w:bottom w:val="single" w:sz="4" w:space="0" w:color="auto"/>
              <w:right w:val="single" w:sz="4" w:space="0" w:color="auto"/>
            </w:tcBorders>
            <w:shd w:val="clear" w:color="auto" w:fill="auto"/>
          </w:tcPr>
          <w:p w:rsidR="000E54C2" w:rsidRPr="00E8065F" w:rsidRDefault="000E54C2" w:rsidP="00ED4E9F">
            <w:pPr>
              <w:spacing w:line="235" w:lineRule="auto"/>
              <w:jc w:val="center"/>
              <w:rPr>
                <w:color w:val="000000"/>
                <w:sz w:val="20"/>
                <w:szCs w:val="20"/>
              </w:rPr>
            </w:pPr>
            <w:r w:rsidRPr="00E8065F">
              <w:rPr>
                <w:color w:val="000000"/>
                <w:sz w:val="20"/>
                <w:szCs w:val="20"/>
              </w:rPr>
              <w:t>1</w:t>
            </w:r>
          </w:p>
        </w:tc>
        <w:tc>
          <w:tcPr>
            <w:tcW w:w="1478" w:type="dxa"/>
            <w:tcBorders>
              <w:top w:val="single" w:sz="4" w:space="0" w:color="auto"/>
              <w:left w:val="single" w:sz="4" w:space="0" w:color="auto"/>
              <w:bottom w:val="single" w:sz="4" w:space="0" w:color="auto"/>
              <w:right w:val="single" w:sz="4" w:space="0" w:color="auto"/>
            </w:tcBorders>
            <w:shd w:val="clear" w:color="auto" w:fill="auto"/>
          </w:tcPr>
          <w:p w:rsidR="000E54C2" w:rsidRPr="00E8065F" w:rsidRDefault="000E54C2" w:rsidP="00ED4E9F">
            <w:pPr>
              <w:spacing w:line="235" w:lineRule="auto"/>
              <w:jc w:val="center"/>
              <w:rPr>
                <w:color w:val="000000"/>
                <w:sz w:val="20"/>
                <w:szCs w:val="20"/>
              </w:rPr>
            </w:pPr>
            <w:r w:rsidRPr="00E8065F">
              <w:rPr>
                <w:color w:val="000000"/>
                <w:sz w:val="20"/>
                <w:szCs w:val="20"/>
              </w:rPr>
              <w:t>45,2</w:t>
            </w:r>
          </w:p>
        </w:tc>
        <w:tc>
          <w:tcPr>
            <w:tcW w:w="1111" w:type="dxa"/>
            <w:tcBorders>
              <w:top w:val="single" w:sz="4" w:space="0" w:color="auto"/>
              <w:left w:val="single" w:sz="4" w:space="0" w:color="auto"/>
              <w:bottom w:val="single" w:sz="4" w:space="0" w:color="auto"/>
              <w:right w:val="single" w:sz="4" w:space="0" w:color="auto"/>
            </w:tcBorders>
            <w:shd w:val="clear" w:color="auto" w:fill="auto"/>
          </w:tcPr>
          <w:p w:rsidR="000E54C2" w:rsidRPr="00E8065F" w:rsidRDefault="000E54C2" w:rsidP="00ED4E9F">
            <w:pPr>
              <w:spacing w:line="235" w:lineRule="auto"/>
              <w:jc w:val="center"/>
              <w:rPr>
                <w:color w:val="000000"/>
                <w:sz w:val="20"/>
                <w:szCs w:val="20"/>
              </w:rPr>
            </w:pPr>
            <w:r w:rsidRPr="00E8065F">
              <w:rPr>
                <w:color w:val="000000"/>
                <w:sz w:val="20"/>
                <w:szCs w:val="20"/>
              </w:rPr>
              <w:t>2</w:t>
            </w:r>
          </w:p>
        </w:tc>
        <w:tc>
          <w:tcPr>
            <w:tcW w:w="1944" w:type="dxa"/>
            <w:tcBorders>
              <w:top w:val="single" w:sz="4" w:space="0" w:color="auto"/>
              <w:left w:val="single" w:sz="4" w:space="0" w:color="auto"/>
              <w:bottom w:val="single" w:sz="4" w:space="0" w:color="auto"/>
              <w:right w:val="single" w:sz="4" w:space="0" w:color="auto"/>
            </w:tcBorders>
            <w:shd w:val="clear" w:color="auto" w:fill="auto"/>
          </w:tcPr>
          <w:p w:rsidR="000E54C2" w:rsidRPr="00E8065F" w:rsidRDefault="000E54C2" w:rsidP="00ED4E9F">
            <w:pPr>
              <w:spacing w:line="235" w:lineRule="auto"/>
              <w:jc w:val="center"/>
              <w:rPr>
                <w:color w:val="000000"/>
                <w:sz w:val="20"/>
                <w:szCs w:val="20"/>
              </w:rPr>
            </w:pPr>
            <w:r w:rsidRPr="00E8065F">
              <w:rPr>
                <w:color w:val="000000"/>
                <w:sz w:val="20"/>
                <w:szCs w:val="20"/>
              </w:rPr>
              <w:t>Амбулаторное</w:t>
            </w:r>
          </w:p>
        </w:tc>
      </w:tr>
      <w:tr w:rsidR="00BA1432" w:rsidRPr="00E8065F" w:rsidTr="000546C2">
        <w:trPr>
          <w:trHeight w:val="20"/>
        </w:trPr>
        <w:tc>
          <w:tcPr>
            <w:tcW w:w="1555" w:type="dxa"/>
            <w:vMerge/>
          </w:tcPr>
          <w:p w:rsidR="000E54C2" w:rsidRPr="00E8065F" w:rsidRDefault="000E54C2" w:rsidP="00BA1432">
            <w:pPr>
              <w:rPr>
                <w:sz w:val="20"/>
                <w:szCs w:val="20"/>
              </w:rPr>
            </w:pPr>
          </w:p>
        </w:tc>
        <w:tc>
          <w:tcPr>
            <w:tcW w:w="3685" w:type="dxa"/>
            <w:tcBorders>
              <w:top w:val="nil"/>
              <w:left w:val="single" w:sz="4" w:space="0" w:color="auto"/>
              <w:bottom w:val="single" w:sz="4" w:space="0" w:color="auto"/>
              <w:right w:val="single" w:sz="4" w:space="0" w:color="auto"/>
            </w:tcBorders>
            <w:shd w:val="clear" w:color="auto" w:fill="auto"/>
          </w:tcPr>
          <w:p w:rsidR="000E54C2" w:rsidRPr="00E8065F" w:rsidRDefault="000E54C2" w:rsidP="00ED4E9F">
            <w:pPr>
              <w:spacing w:line="235" w:lineRule="auto"/>
              <w:jc w:val="both"/>
              <w:rPr>
                <w:color w:val="000000"/>
                <w:sz w:val="20"/>
                <w:szCs w:val="20"/>
              </w:rPr>
            </w:pPr>
            <w:r w:rsidRPr="00E8065F">
              <w:rPr>
                <w:color w:val="000000"/>
                <w:sz w:val="20"/>
                <w:szCs w:val="20"/>
              </w:rPr>
              <w:t xml:space="preserve">ГАУЗ </w:t>
            </w:r>
            <w:r w:rsidR="002F7358">
              <w:rPr>
                <w:color w:val="000000"/>
                <w:sz w:val="20"/>
                <w:szCs w:val="20"/>
              </w:rPr>
              <w:t>«</w:t>
            </w:r>
            <w:r w:rsidRPr="00E8065F">
              <w:rPr>
                <w:color w:val="000000"/>
                <w:sz w:val="20"/>
                <w:szCs w:val="20"/>
              </w:rPr>
              <w:t>Городская поликлиника №</w:t>
            </w:r>
            <w:r w:rsidR="00007FB5">
              <w:rPr>
                <w:color w:val="000000"/>
                <w:sz w:val="20"/>
                <w:szCs w:val="20"/>
              </w:rPr>
              <w:t> </w:t>
            </w:r>
            <w:r w:rsidRPr="00E8065F">
              <w:rPr>
                <w:color w:val="000000"/>
                <w:sz w:val="20"/>
                <w:szCs w:val="20"/>
              </w:rPr>
              <w:t>4 им.Л.Н.Ганиевой</w:t>
            </w:r>
            <w:r w:rsidR="002F7358">
              <w:rPr>
                <w:color w:val="000000"/>
                <w:sz w:val="20"/>
                <w:szCs w:val="20"/>
              </w:rPr>
              <w:t>»</w:t>
            </w:r>
            <w:r w:rsidRPr="00E8065F">
              <w:rPr>
                <w:color w:val="000000"/>
                <w:sz w:val="20"/>
                <w:szCs w:val="20"/>
              </w:rPr>
              <w:t xml:space="preserve"> г.Набережные Челны</w:t>
            </w:r>
          </w:p>
        </w:tc>
        <w:tc>
          <w:tcPr>
            <w:tcW w:w="1994" w:type="dxa"/>
            <w:tcBorders>
              <w:top w:val="nil"/>
              <w:left w:val="single" w:sz="4" w:space="0" w:color="auto"/>
              <w:bottom w:val="single" w:sz="4" w:space="0" w:color="auto"/>
              <w:right w:val="single" w:sz="4" w:space="0" w:color="auto"/>
            </w:tcBorders>
            <w:shd w:val="clear" w:color="auto" w:fill="auto"/>
          </w:tcPr>
          <w:p w:rsidR="000E54C2" w:rsidRPr="00E8065F" w:rsidRDefault="000E54C2" w:rsidP="00ED4E9F">
            <w:pPr>
              <w:spacing w:line="235" w:lineRule="auto"/>
              <w:jc w:val="center"/>
              <w:rPr>
                <w:color w:val="000000"/>
                <w:sz w:val="20"/>
                <w:szCs w:val="20"/>
              </w:rPr>
            </w:pPr>
            <w:r w:rsidRPr="00E8065F">
              <w:rPr>
                <w:color w:val="000000"/>
                <w:sz w:val="20"/>
                <w:szCs w:val="20"/>
              </w:rPr>
              <w:t>Флюорограф</w:t>
            </w:r>
          </w:p>
        </w:tc>
        <w:tc>
          <w:tcPr>
            <w:tcW w:w="1181" w:type="dxa"/>
            <w:shd w:val="clear" w:color="auto" w:fill="auto"/>
          </w:tcPr>
          <w:p w:rsidR="000E54C2" w:rsidRPr="00E8065F" w:rsidRDefault="000E54C2" w:rsidP="00ED4E9F">
            <w:pPr>
              <w:spacing w:line="235" w:lineRule="auto"/>
              <w:jc w:val="center"/>
              <w:rPr>
                <w:sz w:val="20"/>
                <w:szCs w:val="20"/>
              </w:rPr>
            </w:pPr>
            <w:r w:rsidRPr="00E8065F">
              <w:rPr>
                <w:sz w:val="20"/>
                <w:szCs w:val="20"/>
              </w:rPr>
              <w:t>2023</w:t>
            </w:r>
          </w:p>
        </w:tc>
        <w:tc>
          <w:tcPr>
            <w:tcW w:w="1181" w:type="dxa"/>
            <w:tcBorders>
              <w:top w:val="nil"/>
              <w:left w:val="single" w:sz="4" w:space="0" w:color="auto"/>
              <w:bottom w:val="single" w:sz="4" w:space="0" w:color="auto"/>
              <w:right w:val="single" w:sz="4" w:space="0" w:color="auto"/>
            </w:tcBorders>
            <w:shd w:val="clear" w:color="auto" w:fill="auto"/>
          </w:tcPr>
          <w:p w:rsidR="000E54C2" w:rsidRPr="00E8065F" w:rsidRDefault="000E54C2" w:rsidP="00ED4E9F">
            <w:pPr>
              <w:spacing w:line="235" w:lineRule="auto"/>
              <w:jc w:val="center"/>
              <w:rPr>
                <w:color w:val="000000"/>
                <w:sz w:val="20"/>
                <w:szCs w:val="20"/>
              </w:rPr>
            </w:pPr>
            <w:r w:rsidRPr="00E8065F">
              <w:rPr>
                <w:color w:val="000000"/>
                <w:sz w:val="20"/>
                <w:szCs w:val="20"/>
              </w:rPr>
              <w:t>1</w:t>
            </w:r>
          </w:p>
        </w:tc>
        <w:tc>
          <w:tcPr>
            <w:tcW w:w="1478" w:type="dxa"/>
            <w:tcBorders>
              <w:top w:val="nil"/>
              <w:left w:val="single" w:sz="4" w:space="0" w:color="auto"/>
              <w:bottom w:val="single" w:sz="4" w:space="0" w:color="auto"/>
              <w:right w:val="single" w:sz="4" w:space="0" w:color="auto"/>
            </w:tcBorders>
            <w:shd w:val="clear" w:color="auto" w:fill="auto"/>
          </w:tcPr>
          <w:p w:rsidR="000E54C2" w:rsidRPr="00E8065F" w:rsidRDefault="000E54C2" w:rsidP="00ED4E9F">
            <w:pPr>
              <w:spacing w:line="235" w:lineRule="auto"/>
              <w:jc w:val="center"/>
              <w:rPr>
                <w:color w:val="000000"/>
                <w:sz w:val="20"/>
                <w:szCs w:val="20"/>
              </w:rPr>
            </w:pPr>
            <w:r w:rsidRPr="00E8065F">
              <w:rPr>
                <w:color w:val="000000"/>
                <w:sz w:val="20"/>
                <w:szCs w:val="20"/>
              </w:rPr>
              <w:t>104,1</w:t>
            </w:r>
          </w:p>
        </w:tc>
        <w:tc>
          <w:tcPr>
            <w:tcW w:w="1111" w:type="dxa"/>
            <w:tcBorders>
              <w:top w:val="nil"/>
              <w:left w:val="single" w:sz="4" w:space="0" w:color="auto"/>
              <w:bottom w:val="single" w:sz="4" w:space="0" w:color="auto"/>
              <w:right w:val="single" w:sz="4" w:space="0" w:color="auto"/>
            </w:tcBorders>
            <w:shd w:val="clear" w:color="auto" w:fill="auto"/>
          </w:tcPr>
          <w:p w:rsidR="000E54C2" w:rsidRPr="00E8065F" w:rsidRDefault="000E54C2" w:rsidP="00ED4E9F">
            <w:pPr>
              <w:spacing w:line="235" w:lineRule="auto"/>
              <w:jc w:val="center"/>
              <w:rPr>
                <w:color w:val="000000"/>
                <w:sz w:val="20"/>
                <w:szCs w:val="20"/>
              </w:rPr>
            </w:pPr>
            <w:r w:rsidRPr="00E8065F">
              <w:rPr>
                <w:color w:val="000000"/>
                <w:sz w:val="20"/>
                <w:szCs w:val="20"/>
              </w:rPr>
              <w:t>2</w:t>
            </w:r>
          </w:p>
        </w:tc>
        <w:tc>
          <w:tcPr>
            <w:tcW w:w="1944" w:type="dxa"/>
            <w:tcBorders>
              <w:top w:val="nil"/>
              <w:left w:val="single" w:sz="4" w:space="0" w:color="auto"/>
              <w:bottom w:val="single" w:sz="4" w:space="0" w:color="auto"/>
              <w:right w:val="single" w:sz="4" w:space="0" w:color="auto"/>
            </w:tcBorders>
            <w:shd w:val="clear" w:color="auto" w:fill="auto"/>
          </w:tcPr>
          <w:p w:rsidR="000E54C2" w:rsidRPr="00E8065F" w:rsidRDefault="000E54C2" w:rsidP="00ED4E9F">
            <w:pPr>
              <w:spacing w:line="235" w:lineRule="auto"/>
              <w:jc w:val="center"/>
              <w:rPr>
                <w:color w:val="000000"/>
                <w:sz w:val="20"/>
                <w:szCs w:val="20"/>
              </w:rPr>
            </w:pPr>
            <w:r w:rsidRPr="00E8065F">
              <w:rPr>
                <w:color w:val="000000"/>
                <w:sz w:val="20"/>
                <w:szCs w:val="20"/>
              </w:rPr>
              <w:t>Амбулаторное</w:t>
            </w:r>
          </w:p>
        </w:tc>
      </w:tr>
      <w:tr w:rsidR="00BA1432" w:rsidRPr="00E8065F" w:rsidTr="000546C2">
        <w:trPr>
          <w:trHeight w:val="20"/>
        </w:trPr>
        <w:tc>
          <w:tcPr>
            <w:tcW w:w="1555" w:type="dxa"/>
            <w:vMerge/>
          </w:tcPr>
          <w:p w:rsidR="000E54C2" w:rsidRPr="00E8065F" w:rsidRDefault="000E54C2" w:rsidP="00BA1432">
            <w:pPr>
              <w:rPr>
                <w:sz w:val="20"/>
                <w:szCs w:val="20"/>
              </w:rPr>
            </w:pPr>
          </w:p>
        </w:tc>
        <w:tc>
          <w:tcPr>
            <w:tcW w:w="3685" w:type="dxa"/>
            <w:tcBorders>
              <w:top w:val="nil"/>
              <w:left w:val="single" w:sz="4" w:space="0" w:color="auto"/>
              <w:bottom w:val="single" w:sz="4" w:space="0" w:color="auto"/>
              <w:right w:val="single" w:sz="4" w:space="0" w:color="auto"/>
            </w:tcBorders>
            <w:shd w:val="clear" w:color="auto" w:fill="auto"/>
          </w:tcPr>
          <w:p w:rsidR="000E54C2" w:rsidRPr="00E8065F" w:rsidRDefault="000E54C2" w:rsidP="00ED4E9F">
            <w:pPr>
              <w:spacing w:line="235" w:lineRule="auto"/>
              <w:jc w:val="both"/>
              <w:rPr>
                <w:color w:val="000000"/>
                <w:sz w:val="20"/>
                <w:szCs w:val="20"/>
              </w:rPr>
            </w:pPr>
            <w:r w:rsidRPr="00E8065F">
              <w:rPr>
                <w:color w:val="000000"/>
                <w:sz w:val="20"/>
                <w:szCs w:val="20"/>
              </w:rPr>
              <w:t xml:space="preserve">ГАУЗ </w:t>
            </w:r>
            <w:r w:rsidR="002F7358">
              <w:rPr>
                <w:color w:val="000000"/>
                <w:sz w:val="20"/>
                <w:szCs w:val="20"/>
              </w:rPr>
              <w:t>«</w:t>
            </w:r>
            <w:r w:rsidRPr="00E8065F">
              <w:rPr>
                <w:color w:val="000000"/>
                <w:sz w:val="20"/>
                <w:szCs w:val="20"/>
              </w:rPr>
              <w:t>Городская поликлиника №</w:t>
            </w:r>
            <w:r w:rsidR="00007FB5">
              <w:rPr>
                <w:color w:val="000000"/>
                <w:sz w:val="20"/>
                <w:szCs w:val="20"/>
              </w:rPr>
              <w:t xml:space="preserve"> </w:t>
            </w:r>
            <w:r w:rsidRPr="00E8065F">
              <w:rPr>
                <w:color w:val="000000"/>
                <w:sz w:val="20"/>
                <w:szCs w:val="20"/>
              </w:rPr>
              <w:t>6</w:t>
            </w:r>
            <w:r w:rsidR="002F7358">
              <w:rPr>
                <w:color w:val="000000"/>
                <w:sz w:val="20"/>
                <w:szCs w:val="20"/>
              </w:rPr>
              <w:t>»</w:t>
            </w:r>
            <w:r w:rsidR="003722E0">
              <w:rPr>
                <w:color w:val="000000"/>
                <w:sz w:val="20"/>
                <w:szCs w:val="20"/>
              </w:rPr>
              <w:t xml:space="preserve"> г.</w:t>
            </w:r>
            <w:r w:rsidRPr="00E8065F">
              <w:rPr>
                <w:color w:val="000000"/>
                <w:sz w:val="20"/>
                <w:szCs w:val="20"/>
              </w:rPr>
              <w:t>Набережные Челны</w:t>
            </w:r>
          </w:p>
        </w:tc>
        <w:tc>
          <w:tcPr>
            <w:tcW w:w="1994" w:type="dxa"/>
            <w:tcBorders>
              <w:top w:val="nil"/>
              <w:left w:val="single" w:sz="4" w:space="0" w:color="auto"/>
              <w:bottom w:val="single" w:sz="4" w:space="0" w:color="auto"/>
              <w:right w:val="single" w:sz="4" w:space="0" w:color="auto"/>
            </w:tcBorders>
            <w:shd w:val="clear" w:color="auto" w:fill="auto"/>
          </w:tcPr>
          <w:p w:rsidR="000E54C2" w:rsidRPr="00E8065F" w:rsidRDefault="000E54C2" w:rsidP="00ED4E9F">
            <w:pPr>
              <w:spacing w:line="235" w:lineRule="auto"/>
              <w:jc w:val="center"/>
              <w:rPr>
                <w:color w:val="000000"/>
                <w:sz w:val="20"/>
                <w:szCs w:val="20"/>
              </w:rPr>
            </w:pPr>
            <w:r w:rsidRPr="00E8065F">
              <w:rPr>
                <w:color w:val="000000"/>
                <w:sz w:val="20"/>
                <w:szCs w:val="20"/>
              </w:rPr>
              <w:t>Флюорограф</w:t>
            </w:r>
          </w:p>
        </w:tc>
        <w:tc>
          <w:tcPr>
            <w:tcW w:w="1181" w:type="dxa"/>
            <w:shd w:val="clear" w:color="auto" w:fill="auto"/>
          </w:tcPr>
          <w:p w:rsidR="000E54C2" w:rsidRPr="00E8065F" w:rsidRDefault="000E54C2" w:rsidP="00ED4E9F">
            <w:pPr>
              <w:spacing w:line="235" w:lineRule="auto"/>
              <w:jc w:val="center"/>
              <w:rPr>
                <w:sz w:val="20"/>
                <w:szCs w:val="20"/>
              </w:rPr>
            </w:pPr>
            <w:r w:rsidRPr="00E8065F">
              <w:rPr>
                <w:sz w:val="20"/>
                <w:szCs w:val="20"/>
              </w:rPr>
              <w:t>2018</w:t>
            </w:r>
          </w:p>
        </w:tc>
        <w:tc>
          <w:tcPr>
            <w:tcW w:w="1181" w:type="dxa"/>
            <w:tcBorders>
              <w:top w:val="nil"/>
              <w:left w:val="single" w:sz="4" w:space="0" w:color="auto"/>
              <w:bottom w:val="single" w:sz="4" w:space="0" w:color="auto"/>
              <w:right w:val="single" w:sz="4" w:space="0" w:color="auto"/>
            </w:tcBorders>
            <w:shd w:val="clear" w:color="auto" w:fill="auto"/>
          </w:tcPr>
          <w:p w:rsidR="000E54C2" w:rsidRPr="00E8065F" w:rsidRDefault="000E54C2" w:rsidP="00ED4E9F">
            <w:pPr>
              <w:spacing w:line="235" w:lineRule="auto"/>
              <w:jc w:val="center"/>
              <w:rPr>
                <w:color w:val="000000"/>
                <w:sz w:val="20"/>
                <w:szCs w:val="20"/>
              </w:rPr>
            </w:pPr>
            <w:r w:rsidRPr="00E8065F">
              <w:rPr>
                <w:color w:val="000000"/>
                <w:sz w:val="20"/>
                <w:szCs w:val="20"/>
              </w:rPr>
              <w:t>1</w:t>
            </w:r>
          </w:p>
        </w:tc>
        <w:tc>
          <w:tcPr>
            <w:tcW w:w="1478" w:type="dxa"/>
            <w:tcBorders>
              <w:top w:val="nil"/>
              <w:left w:val="single" w:sz="4" w:space="0" w:color="auto"/>
              <w:bottom w:val="single" w:sz="4" w:space="0" w:color="auto"/>
              <w:right w:val="single" w:sz="4" w:space="0" w:color="auto"/>
            </w:tcBorders>
            <w:shd w:val="clear" w:color="auto" w:fill="auto"/>
          </w:tcPr>
          <w:p w:rsidR="000E54C2" w:rsidRPr="00E8065F" w:rsidRDefault="000E54C2" w:rsidP="00ED4E9F">
            <w:pPr>
              <w:spacing w:line="235" w:lineRule="auto"/>
              <w:jc w:val="center"/>
              <w:rPr>
                <w:color w:val="000000"/>
                <w:sz w:val="20"/>
                <w:szCs w:val="20"/>
              </w:rPr>
            </w:pPr>
            <w:r w:rsidRPr="00E8065F">
              <w:rPr>
                <w:color w:val="000000"/>
                <w:sz w:val="20"/>
                <w:szCs w:val="20"/>
              </w:rPr>
              <w:t>72,6</w:t>
            </w:r>
          </w:p>
        </w:tc>
        <w:tc>
          <w:tcPr>
            <w:tcW w:w="1111" w:type="dxa"/>
            <w:tcBorders>
              <w:top w:val="nil"/>
              <w:left w:val="single" w:sz="4" w:space="0" w:color="auto"/>
              <w:bottom w:val="single" w:sz="4" w:space="0" w:color="auto"/>
              <w:right w:val="single" w:sz="4" w:space="0" w:color="auto"/>
            </w:tcBorders>
            <w:shd w:val="clear" w:color="auto" w:fill="auto"/>
          </w:tcPr>
          <w:p w:rsidR="000E54C2" w:rsidRPr="00E8065F" w:rsidRDefault="000E54C2" w:rsidP="00ED4E9F">
            <w:pPr>
              <w:spacing w:line="235" w:lineRule="auto"/>
              <w:jc w:val="center"/>
              <w:rPr>
                <w:color w:val="000000"/>
                <w:sz w:val="20"/>
                <w:szCs w:val="20"/>
              </w:rPr>
            </w:pPr>
            <w:r w:rsidRPr="00E8065F">
              <w:rPr>
                <w:color w:val="000000"/>
                <w:sz w:val="20"/>
                <w:szCs w:val="20"/>
              </w:rPr>
              <w:t>2</w:t>
            </w:r>
          </w:p>
        </w:tc>
        <w:tc>
          <w:tcPr>
            <w:tcW w:w="1944" w:type="dxa"/>
            <w:tcBorders>
              <w:top w:val="nil"/>
              <w:left w:val="single" w:sz="4" w:space="0" w:color="auto"/>
              <w:bottom w:val="single" w:sz="4" w:space="0" w:color="auto"/>
              <w:right w:val="single" w:sz="4" w:space="0" w:color="auto"/>
            </w:tcBorders>
            <w:shd w:val="clear" w:color="auto" w:fill="auto"/>
          </w:tcPr>
          <w:p w:rsidR="000E54C2" w:rsidRPr="00E8065F" w:rsidRDefault="000E54C2" w:rsidP="00ED4E9F">
            <w:pPr>
              <w:spacing w:line="235" w:lineRule="auto"/>
              <w:jc w:val="center"/>
              <w:rPr>
                <w:color w:val="000000"/>
                <w:sz w:val="20"/>
                <w:szCs w:val="20"/>
              </w:rPr>
            </w:pPr>
            <w:r w:rsidRPr="00E8065F">
              <w:rPr>
                <w:color w:val="000000"/>
                <w:sz w:val="20"/>
                <w:szCs w:val="20"/>
              </w:rPr>
              <w:t>Амбулаторное</w:t>
            </w:r>
          </w:p>
        </w:tc>
      </w:tr>
      <w:tr w:rsidR="00BA1432" w:rsidRPr="00E8065F" w:rsidTr="000546C2">
        <w:trPr>
          <w:trHeight w:val="20"/>
        </w:trPr>
        <w:tc>
          <w:tcPr>
            <w:tcW w:w="1555" w:type="dxa"/>
            <w:vMerge/>
          </w:tcPr>
          <w:p w:rsidR="000E54C2" w:rsidRPr="00E8065F" w:rsidRDefault="000E54C2" w:rsidP="00BA1432">
            <w:pPr>
              <w:rPr>
                <w:sz w:val="20"/>
                <w:szCs w:val="20"/>
              </w:rPr>
            </w:pPr>
          </w:p>
        </w:tc>
        <w:tc>
          <w:tcPr>
            <w:tcW w:w="3685" w:type="dxa"/>
            <w:tcBorders>
              <w:top w:val="nil"/>
              <w:left w:val="single" w:sz="4" w:space="0" w:color="auto"/>
              <w:bottom w:val="single" w:sz="4" w:space="0" w:color="auto"/>
              <w:right w:val="single" w:sz="4" w:space="0" w:color="auto"/>
            </w:tcBorders>
            <w:shd w:val="clear" w:color="auto" w:fill="auto"/>
          </w:tcPr>
          <w:p w:rsidR="000E54C2" w:rsidRPr="00E8065F" w:rsidRDefault="000E54C2" w:rsidP="00ED4E9F">
            <w:pPr>
              <w:spacing w:line="235" w:lineRule="auto"/>
              <w:jc w:val="both"/>
              <w:rPr>
                <w:color w:val="000000"/>
                <w:sz w:val="20"/>
                <w:szCs w:val="20"/>
              </w:rPr>
            </w:pPr>
            <w:r w:rsidRPr="00E8065F">
              <w:rPr>
                <w:color w:val="000000"/>
                <w:sz w:val="20"/>
                <w:szCs w:val="20"/>
              </w:rPr>
              <w:t xml:space="preserve">ГАУЗ </w:t>
            </w:r>
            <w:r w:rsidR="002F7358">
              <w:rPr>
                <w:color w:val="000000"/>
                <w:sz w:val="20"/>
                <w:szCs w:val="20"/>
              </w:rPr>
              <w:t>«</w:t>
            </w:r>
            <w:r w:rsidRPr="00E8065F">
              <w:rPr>
                <w:color w:val="000000"/>
                <w:sz w:val="20"/>
                <w:szCs w:val="20"/>
              </w:rPr>
              <w:t>Городская поликлиника №</w:t>
            </w:r>
            <w:r w:rsidR="00007FB5">
              <w:rPr>
                <w:color w:val="000000"/>
                <w:sz w:val="20"/>
                <w:szCs w:val="20"/>
              </w:rPr>
              <w:t xml:space="preserve"> </w:t>
            </w:r>
            <w:r w:rsidRPr="00E8065F">
              <w:rPr>
                <w:color w:val="000000"/>
                <w:sz w:val="20"/>
                <w:szCs w:val="20"/>
              </w:rPr>
              <w:t>7</w:t>
            </w:r>
            <w:r w:rsidR="002F7358">
              <w:rPr>
                <w:color w:val="000000"/>
                <w:sz w:val="20"/>
                <w:szCs w:val="20"/>
              </w:rPr>
              <w:t>»</w:t>
            </w:r>
            <w:r w:rsidR="003722E0">
              <w:rPr>
                <w:color w:val="000000"/>
                <w:sz w:val="20"/>
                <w:szCs w:val="20"/>
              </w:rPr>
              <w:t xml:space="preserve"> г.</w:t>
            </w:r>
            <w:r w:rsidRPr="00E8065F">
              <w:rPr>
                <w:color w:val="000000"/>
                <w:sz w:val="20"/>
                <w:szCs w:val="20"/>
              </w:rPr>
              <w:t>Набережные Челны</w:t>
            </w:r>
          </w:p>
        </w:tc>
        <w:tc>
          <w:tcPr>
            <w:tcW w:w="1994" w:type="dxa"/>
            <w:tcBorders>
              <w:top w:val="nil"/>
              <w:left w:val="single" w:sz="4" w:space="0" w:color="auto"/>
              <w:bottom w:val="single" w:sz="4" w:space="0" w:color="auto"/>
              <w:right w:val="single" w:sz="4" w:space="0" w:color="auto"/>
            </w:tcBorders>
            <w:shd w:val="clear" w:color="auto" w:fill="auto"/>
          </w:tcPr>
          <w:p w:rsidR="000E54C2" w:rsidRPr="00E8065F" w:rsidRDefault="000E54C2" w:rsidP="00ED4E9F">
            <w:pPr>
              <w:spacing w:line="235" w:lineRule="auto"/>
              <w:jc w:val="center"/>
              <w:rPr>
                <w:color w:val="000000"/>
                <w:sz w:val="20"/>
                <w:szCs w:val="20"/>
              </w:rPr>
            </w:pPr>
            <w:r w:rsidRPr="00E8065F">
              <w:rPr>
                <w:color w:val="000000"/>
                <w:sz w:val="20"/>
                <w:szCs w:val="20"/>
              </w:rPr>
              <w:t>Флюорограф</w:t>
            </w:r>
          </w:p>
        </w:tc>
        <w:tc>
          <w:tcPr>
            <w:tcW w:w="1181" w:type="dxa"/>
            <w:shd w:val="clear" w:color="auto" w:fill="auto"/>
          </w:tcPr>
          <w:p w:rsidR="000E54C2" w:rsidRPr="00E8065F" w:rsidRDefault="000E54C2" w:rsidP="00ED4E9F">
            <w:pPr>
              <w:spacing w:line="235" w:lineRule="auto"/>
              <w:jc w:val="center"/>
              <w:rPr>
                <w:sz w:val="20"/>
                <w:szCs w:val="20"/>
              </w:rPr>
            </w:pPr>
            <w:r w:rsidRPr="00E8065F">
              <w:rPr>
                <w:sz w:val="20"/>
                <w:szCs w:val="20"/>
              </w:rPr>
              <w:t>2023</w:t>
            </w:r>
          </w:p>
        </w:tc>
        <w:tc>
          <w:tcPr>
            <w:tcW w:w="1181" w:type="dxa"/>
            <w:tcBorders>
              <w:top w:val="nil"/>
              <w:left w:val="single" w:sz="4" w:space="0" w:color="auto"/>
              <w:bottom w:val="single" w:sz="4" w:space="0" w:color="auto"/>
              <w:right w:val="single" w:sz="4" w:space="0" w:color="auto"/>
            </w:tcBorders>
            <w:shd w:val="clear" w:color="auto" w:fill="auto"/>
          </w:tcPr>
          <w:p w:rsidR="000E54C2" w:rsidRPr="00E8065F" w:rsidRDefault="000E54C2" w:rsidP="00ED4E9F">
            <w:pPr>
              <w:spacing w:line="235" w:lineRule="auto"/>
              <w:jc w:val="center"/>
              <w:rPr>
                <w:color w:val="000000"/>
                <w:sz w:val="20"/>
                <w:szCs w:val="20"/>
              </w:rPr>
            </w:pPr>
            <w:r w:rsidRPr="00E8065F">
              <w:rPr>
                <w:color w:val="000000"/>
                <w:sz w:val="20"/>
                <w:szCs w:val="20"/>
              </w:rPr>
              <w:t>1</w:t>
            </w:r>
          </w:p>
        </w:tc>
        <w:tc>
          <w:tcPr>
            <w:tcW w:w="1478" w:type="dxa"/>
            <w:tcBorders>
              <w:top w:val="nil"/>
              <w:left w:val="single" w:sz="4" w:space="0" w:color="auto"/>
              <w:bottom w:val="single" w:sz="4" w:space="0" w:color="auto"/>
              <w:right w:val="single" w:sz="4" w:space="0" w:color="auto"/>
            </w:tcBorders>
            <w:shd w:val="clear" w:color="auto" w:fill="auto"/>
          </w:tcPr>
          <w:p w:rsidR="000E54C2" w:rsidRPr="00E8065F" w:rsidRDefault="000E54C2" w:rsidP="00ED4E9F">
            <w:pPr>
              <w:spacing w:line="235" w:lineRule="auto"/>
              <w:jc w:val="center"/>
              <w:rPr>
                <w:color w:val="000000"/>
                <w:sz w:val="20"/>
                <w:szCs w:val="20"/>
              </w:rPr>
            </w:pPr>
            <w:r w:rsidRPr="00E8065F">
              <w:rPr>
                <w:color w:val="000000"/>
                <w:sz w:val="20"/>
                <w:szCs w:val="20"/>
              </w:rPr>
              <w:t>110,9</w:t>
            </w:r>
          </w:p>
        </w:tc>
        <w:tc>
          <w:tcPr>
            <w:tcW w:w="1111" w:type="dxa"/>
            <w:tcBorders>
              <w:top w:val="nil"/>
              <w:left w:val="single" w:sz="4" w:space="0" w:color="auto"/>
              <w:bottom w:val="single" w:sz="4" w:space="0" w:color="auto"/>
              <w:right w:val="single" w:sz="4" w:space="0" w:color="auto"/>
            </w:tcBorders>
            <w:shd w:val="clear" w:color="auto" w:fill="auto"/>
          </w:tcPr>
          <w:p w:rsidR="000E54C2" w:rsidRPr="00E8065F" w:rsidRDefault="000E54C2" w:rsidP="00ED4E9F">
            <w:pPr>
              <w:spacing w:line="235" w:lineRule="auto"/>
              <w:jc w:val="center"/>
              <w:rPr>
                <w:color w:val="000000"/>
                <w:sz w:val="20"/>
                <w:szCs w:val="20"/>
              </w:rPr>
            </w:pPr>
            <w:r w:rsidRPr="00E8065F">
              <w:rPr>
                <w:color w:val="000000"/>
                <w:sz w:val="20"/>
                <w:szCs w:val="20"/>
              </w:rPr>
              <w:t>2</w:t>
            </w:r>
          </w:p>
        </w:tc>
        <w:tc>
          <w:tcPr>
            <w:tcW w:w="1944" w:type="dxa"/>
            <w:tcBorders>
              <w:top w:val="nil"/>
              <w:left w:val="single" w:sz="4" w:space="0" w:color="auto"/>
              <w:bottom w:val="single" w:sz="4" w:space="0" w:color="auto"/>
              <w:right w:val="single" w:sz="4" w:space="0" w:color="auto"/>
            </w:tcBorders>
            <w:shd w:val="clear" w:color="auto" w:fill="auto"/>
          </w:tcPr>
          <w:p w:rsidR="000E54C2" w:rsidRPr="00E8065F" w:rsidRDefault="000E54C2" w:rsidP="00ED4E9F">
            <w:pPr>
              <w:spacing w:line="235" w:lineRule="auto"/>
              <w:jc w:val="center"/>
              <w:rPr>
                <w:color w:val="000000"/>
                <w:sz w:val="20"/>
                <w:szCs w:val="20"/>
              </w:rPr>
            </w:pPr>
            <w:r w:rsidRPr="00E8065F">
              <w:rPr>
                <w:color w:val="000000"/>
                <w:sz w:val="20"/>
                <w:szCs w:val="20"/>
              </w:rPr>
              <w:t>Амбулаторное</w:t>
            </w:r>
          </w:p>
        </w:tc>
      </w:tr>
      <w:tr w:rsidR="00BA1432" w:rsidRPr="00E8065F" w:rsidTr="000546C2">
        <w:trPr>
          <w:trHeight w:val="20"/>
        </w:trPr>
        <w:tc>
          <w:tcPr>
            <w:tcW w:w="1555" w:type="dxa"/>
            <w:vMerge/>
          </w:tcPr>
          <w:p w:rsidR="000E54C2" w:rsidRPr="00E8065F" w:rsidRDefault="000E54C2" w:rsidP="00BA1432">
            <w:pPr>
              <w:rPr>
                <w:sz w:val="20"/>
                <w:szCs w:val="20"/>
              </w:rPr>
            </w:pPr>
          </w:p>
        </w:tc>
        <w:tc>
          <w:tcPr>
            <w:tcW w:w="3685" w:type="dxa"/>
            <w:tcBorders>
              <w:top w:val="nil"/>
              <w:left w:val="single" w:sz="4" w:space="0" w:color="auto"/>
              <w:bottom w:val="single" w:sz="4" w:space="0" w:color="auto"/>
              <w:right w:val="single" w:sz="4" w:space="0" w:color="auto"/>
            </w:tcBorders>
            <w:shd w:val="clear" w:color="auto" w:fill="auto"/>
          </w:tcPr>
          <w:p w:rsidR="000E54C2" w:rsidRPr="00E8065F" w:rsidRDefault="000E54C2" w:rsidP="00ED4E9F">
            <w:pPr>
              <w:spacing w:line="235" w:lineRule="auto"/>
              <w:jc w:val="both"/>
              <w:rPr>
                <w:color w:val="000000"/>
                <w:sz w:val="20"/>
                <w:szCs w:val="20"/>
              </w:rPr>
            </w:pPr>
            <w:r w:rsidRPr="00E8065F">
              <w:rPr>
                <w:color w:val="000000"/>
                <w:sz w:val="20"/>
                <w:szCs w:val="20"/>
              </w:rPr>
              <w:t xml:space="preserve">ГАУЗ </w:t>
            </w:r>
            <w:r w:rsidR="002F7358">
              <w:rPr>
                <w:color w:val="000000"/>
                <w:sz w:val="20"/>
                <w:szCs w:val="20"/>
              </w:rPr>
              <w:t>«</w:t>
            </w:r>
            <w:r w:rsidRPr="00E8065F">
              <w:rPr>
                <w:color w:val="000000"/>
                <w:sz w:val="20"/>
                <w:szCs w:val="20"/>
              </w:rPr>
              <w:t>Городская клиническая больница №</w:t>
            </w:r>
            <w:r w:rsidR="00007FB5">
              <w:rPr>
                <w:color w:val="000000"/>
                <w:sz w:val="20"/>
                <w:szCs w:val="20"/>
              </w:rPr>
              <w:t xml:space="preserve"> </w:t>
            </w:r>
            <w:r w:rsidRPr="00E8065F">
              <w:rPr>
                <w:color w:val="000000"/>
                <w:sz w:val="20"/>
                <w:szCs w:val="20"/>
              </w:rPr>
              <w:t>12</w:t>
            </w:r>
            <w:r w:rsidR="002F7358">
              <w:rPr>
                <w:color w:val="000000"/>
                <w:sz w:val="20"/>
                <w:szCs w:val="20"/>
              </w:rPr>
              <w:t>»</w:t>
            </w:r>
            <w:r w:rsidR="00007FB5">
              <w:rPr>
                <w:color w:val="000000"/>
                <w:sz w:val="20"/>
                <w:szCs w:val="20"/>
              </w:rPr>
              <w:t xml:space="preserve"> г.</w:t>
            </w:r>
            <w:r w:rsidR="003722E0">
              <w:rPr>
                <w:color w:val="000000"/>
                <w:sz w:val="20"/>
                <w:szCs w:val="20"/>
              </w:rPr>
              <w:t>Казани</w:t>
            </w:r>
          </w:p>
        </w:tc>
        <w:tc>
          <w:tcPr>
            <w:tcW w:w="1994" w:type="dxa"/>
            <w:tcBorders>
              <w:top w:val="nil"/>
              <w:left w:val="single" w:sz="4" w:space="0" w:color="auto"/>
              <w:bottom w:val="single" w:sz="4" w:space="0" w:color="auto"/>
              <w:right w:val="single" w:sz="4" w:space="0" w:color="auto"/>
            </w:tcBorders>
            <w:shd w:val="clear" w:color="auto" w:fill="auto"/>
          </w:tcPr>
          <w:p w:rsidR="000E54C2" w:rsidRPr="00E8065F" w:rsidRDefault="000E54C2" w:rsidP="00ED4E9F">
            <w:pPr>
              <w:spacing w:line="235" w:lineRule="auto"/>
              <w:jc w:val="center"/>
              <w:rPr>
                <w:color w:val="000000"/>
                <w:sz w:val="20"/>
                <w:szCs w:val="20"/>
              </w:rPr>
            </w:pPr>
            <w:r w:rsidRPr="00E8065F">
              <w:rPr>
                <w:color w:val="000000"/>
                <w:sz w:val="20"/>
                <w:szCs w:val="20"/>
              </w:rPr>
              <w:t>Флюорограф</w:t>
            </w:r>
          </w:p>
        </w:tc>
        <w:tc>
          <w:tcPr>
            <w:tcW w:w="1181" w:type="dxa"/>
            <w:shd w:val="clear" w:color="auto" w:fill="auto"/>
          </w:tcPr>
          <w:p w:rsidR="000E54C2" w:rsidRPr="00E8065F" w:rsidRDefault="000E54C2" w:rsidP="00D92024">
            <w:pPr>
              <w:jc w:val="center"/>
              <w:rPr>
                <w:sz w:val="20"/>
                <w:szCs w:val="20"/>
              </w:rPr>
            </w:pPr>
            <w:r w:rsidRPr="00E8065F">
              <w:rPr>
                <w:sz w:val="20"/>
                <w:szCs w:val="20"/>
              </w:rPr>
              <w:t>2008</w:t>
            </w:r>
            <w:r w:rsidR="00793DC9">
              <w:rPr>
                <w:sz w:val="20"/>
                <w:szCs w:val="20"/>
              </w:rPr>
              <w:t xml:space="preserve"> </w:t>
            </w:r>
            <w:r w:rsidR="00D92024">
              <w:rPr>
                <w:sz w:val="20"/>
                <w:szCs w:val="20"/>
              </w:rPr>
              <w:t>(1)</w:t>
            </w:r>
          </w:p>
          <w:p w:rsidR="000E54C2" w:rsidRPr="00E8065F" w:rsidRDefault="000E54C2" w:rsidP="00D92024">
            <w:pPr>
              <w:jc w:val="center"/>
              <w:rPr>
                <w:sz w:val="20"/>
                <w:szCs w:val="20"/>
              </w:rPr>
            </w:pPr>
            <w:r w:rsidRPr="00E8065F">
              <w:rPr>
                <w:sz w:val="20"/>
                <w:szCs w:val="20"/>
              </w:rPr>
              <w:t>2023</w:t>
            </w:r>
            <w:r w:rsidR="00793DC9">
              <w:rPr>
                <w:sz w:val="20"/>
                <w:szCs w:val="20"/>
              </w:rPr>
              <w:t xml:space="preserve"> </w:t>
            </w:r>
            <w:r w:rsidR="00D92024">
              <w:rPr>
                <w:sz w:val="20"/>
                <w:szCs w:val="20"/>
              </w:rPr>
              <w:t>(1)</w:t>
            </w:r>
          </w:p>
        </w:tc>
        <w:tc>
          <w:tcPr>
            <w:tcW w:w="1181" w:type="dxa"/>
            <w:tcBorders>
              <w:top w:val="nil"/>
              <w:left w:val="single" w:sz="4" w:space="0" w:color="auto"/>
              <w:bottom w:val="single" w:sz="4" w:space="0" w:color="auto"/>
              <w:right w:val="single" w:sz="4" w:space="0" w:color="auto"/>
            </w:tcBorders>
            <w:shd w:val="clear" w:color="auto" w:fill="auto"/>
          </w:tcPr>
          <w:p w:rsidR="000E54C2" w:rsidRPr="00E8065F" w:rsidRDefault="000E54C2" w:rsidP="00ED4E9F">
            <w:pPr>
              <w:spacing w:line="235" w:lineRule="auto"/>
              <w:jc w:val="center"/>
              <w:rPr>
                <w:color w:val="000000"/>
                <w:sz w:val="20"/>
                <w:szCs w:val="20"/>
              </w:rPr>
            </w:pPr>
            <w:r w:rsidRPr="00E8065F">
              <w:rPr>
                <w:color w:val="000000"/>
                <w:sz w:val="20"/>
                <w:szCs w:val="20"/>
              </w:rPr>
              <w:t>2</w:t>
            </w:r>
          </w:p>
        </w:tc>
        <w:tc>
          <w:tcPr>
            <w:tcW w:w="1478" w:type="dxa"/>
            <w:tcBorders>
              <w:top w:val="nil"/>
              <w:left w:val="single" w:sz="4" w:space="0" w:color="auto"/>
              <w:bottom w:val="single" w:sz="4" w:space="0" w:color="auto"/>
              <w:right w:val="single" w:sz="4" w:space="0" w:color="auto"/>
            </w:tcBorders>
            <w:shd w:val="clear" w:color="auto" w:fill="auto"/>
          </w:tcPr>
          <w:p w:rsidR="000E54C2" w:rsidRPr="00E8065F" w:rsidRDefault="000E54C2" w:rsidP="00ED4E9F">
            <w:pPr>
              <w:spacing w:line="235" w:lineRule="auto"/>
              <w:jc w:val="center"/>
              <w:rPr>
                <w:color w:val="000000"/>
                <w:sz w:val="20"/>
                <w:szCs w:val="20"/>
              </w:rPr>
            </w:pPr>
            <w:r w:rsidRPr="00E8065F">
              <w:rPr>
                <w:color w:val="000000"/>
                <w:sz w:val="20"/>
                <w:szCs w:val="20"/>
              </w:rPr>
              <w:t>22,1</w:t>
            </w:r>
          </w:p>
        </w:tc>
        <w:tc>
          <w:tcPr>
            <w:tcW w:w="1111" w:type="dxa"/>
            <w:tcBorders>
              <w:top w:val="nil"/>
              <w:left w:val="single" w:sz="4" w:space="0" w:color="auto"/>
              <w:bottom w:val="single" w:sz="4" w:space="0" w:color="auto"/>
              <w:right w:val="single" w:sz="4" w:space="0" w:color="auto"/>
            </w:tcBorders>
            <w:shd w:val="clear" w:color="auto" w:fill="auto"/>
          </w:tcPr>
          <w:p w:rsidR="000E54C2" w:rsidRPr="00E8065F" w:rsidRDefault="000E54C2" w:rsidP="00ED4E9F">
            <w:pPr>
              <w:spacing w:line="235" w:lineRule="auto"/>
              <w:jc w:val="center"/>
              <w:rPr>
                <w:color w:val="000000"/>
                <w:sz w:val="20"/>
                <w:szCs w:val="20"/>
              </w:rPr>
            </w:pPr>
            <w:r w:rsidRPr="00E8065F">
              <w:rPr>
                <w:color w:val="000000"/>
                <w:sz w:val="20"/>
                <w:szCs w:val="20"/>
              </w:rPr>
              <w:t>2</w:t>
            </w:r>
          </w:p>
        </w:tc>
        <w:tc>
          <w:tcPr>
            <w:tcW w:w="1944" w:type="dxa"/>
            <w:tcBorders>
              <w:top w:val="nil"/>
              <w:left w:val="single" w:sz="4" w:space="0" w:color="auto"/>
              <w:bottom w:val="single" w:sz="4" w:space="0" w:color="auto"/>
              <w:right w:val="single" w:sz="4" w:space="0" w:color="auto"/>
            </w:tcBorders>
            <w:shd w:val="clear" w:color="auto" w:fill="auto"/>
          </w:tcPr>
          <w:p w:rsidR="000E54C2" w:rsidRPr="00E8065F" w:rsidRDefault="000E54C2" w:rsidP="00ED4E9F">
            <w:pPr>
              <w:spacing w:line="235" w:lineRule="auto"/>
              <w:jc w:val="center"/>
              <w:rPr>
                <w:color w:val="000000"/>
                <w:sz w:val="20"/>
                <w:szCs w:val="20"/>
              </w:rPr>
            </w:pPr>
            <w:r w:rsidRPr="00E8065F">
              <w:rPr>
                <w:color w:val="000000"/>
                <w:sz w:val="20"/>
                <w:szCs w:val="20"/>
              </w:rPr>
              <w:t>Амбулаторное/передвижное</w:t>
            </w:r>
          </w:p>
        </w:tc>
      </w:tr>
      <w:tr w:rsidR="00BA1432" w:rsidRPr="00E8065F" w:rsidTr="000546C2">
        <w:trPr>
          <w:trHeight w:val="20"/>
        </w:trPr>
        <w:tc>
          <w:tcPr>
            <w:tcW w:w="1555" w:type="dxa"/>
            <w:vMerge/>
          </w:tcPr>
          <w:p w:rsidR="000E54C2" w:rsidRPr="00E8065F" w:rsidRDefault="000E54C2" w:rsidP="00BA1432">
            <w:pPr>
              <w:rPr>
                <w:sz w:val="20"/>
                <w:szCs w:val="20"/>
              </w:rPr>
            </w:pPr>
          </w:p>
        </w:tc>
        <w:tc>
          <w:tcPr>
            <w:tcW w:w="3685" w:type="dxa"/>
            <w:tcBorders>
              <w:top w:val="nil"/>
              <w:left w:val="single" w:sz="4" w:space="0" w:color="auto"/>
              <w:bottom w:val="single" w:sz="4" w:space="0" w:color="auto"/>
              <w:right w:val="single" w:sz="4" w:space="0" w:color="auto"/>
            </w:tcBorders>
            <w:shd w:val="clear" w:color="auto" w:fill="auto"/>
          </w:tcPr>
          <w:p w:rsidR="000E54C2" w:rsidRPr="00E8065F" w:rsidRDefault="000E54C2" w:rsidP="00ED4E9F">
            <w:pPr>
              <w:spacing w:line="235" w:lineRule="auto"/>
              <w:jc w:val="both"/>
              <w:rPr>
                <w:color w:val="000000"/>
                <w:sz w:val="20"/>
                <w:szCs w:val="20"/>
              </w:rPr>
            </w:pPr>
            <w:r w:rsidRPr="00E8065F">
              <w:rPr>
                <w:color w:val="000000"/>
                <w:sz w:val="20"/>
                <w:szCs w:val="20"/>
              </w:rPr>
              <w:t xml:space="preserve">ГАУЗ </w:t>
            </w:r>
            <w:r w:rsidR="002F7358">
              <w:rPr>
                <w:color w:val="000000"/>
                <w:sz w:val="20"/>
                <w:szCs w:val="20"/>
              </w:rPr>
              <w:t>«</w:t>
            </w:r>
            <w:r w:rsidRPr="00E8065F">
              <w:rPr>
                <w:color w:val="000000"/>
                <w:sz w:val="20"/>
                <w:szCs w:val="20"/>
              </w:rPr>
              <w:t>Городская больница №</w:t>
            </w:r>
            <w:r w:rsidR="00007FB5">
              <w:rPr>
                <w:color w:val="000000"/>
                <w:sz w:val="20"/>
                <w:szCs w:val="20"/>
              </w:rPr>
              <w:t xml:space="preserve"> </w:t>
            </w:r>
            <w:r w:rsidRPr="00E8065F">
              <w:rPr>
                <w:color w:val="000000"/>
                <w:sz w:val="20"/>
                <w:szCs w:val="20"/>
              </w:rPr>
              <w:t>11</w:t>
            </w:r>
            <w:r w:rsidR="002F7358">
              <w:rPr>
                <w:color w:val="000000"/>
                <w:sz w:val="20"/>
                <w:szCs w:val="20"/>
              </w:rPr>
              <w:t>»</w:t>
            </w:r>
            <w:r w:rsidR="003722E0">
              <w:rPr>
                <w:color w:val="000000"/>
                <w:sz w:val="20"/>
                <w:szCs w:val="20"/>
              </w:rPr>
              <w:t xml:space="preserve"> г.Казани</w:t>
            </w:r>
          </w:p>
        </w:tc>
        <w:tc>
          <w:tcPr>
            <w:tcW w:w="1994" w:type="dxa"/>
            <w:tcBorders>
              <w:top w:val="nil"/>
              <w:left w:val="single" w:sz="4" w:space="0" w:color="auto"/>
              <w:bottom w:val="single" w:sz="4" w:space="0" w:color="auto"/>
              <w:right w:val="single" w:sz="4" w:space="0" w:color="auto"/>
            </w:tcBorders>
            <w:shd w:val="clear" w:color="auto" w:fill="auto"/>
          </w:tcPr>
          <w:p w:rsidR="000E54C2" w:rsidRPr="00E8065F" w:rsidRDefault="000E54C2" w:rsidP="00ED4E9F">
            <w:pPr>
              <w:spacing w:line="235" w:lineRule="auto"/>
              <w:jc w:val="center"/>
              <w:rPr>
                <w:color w:val="000000"/>
                <w:sz w:val="20"/>
                <w:szCs w:val="20"/>
              </w:rPr>
            </w:pPr>
            <w:r w:rsidRPr="00E8065F">
              <w:rPr>
                <w:color w:val="000000"/>
                <w:sz w:val="20"/>
                <w:szCs w:val="20"/>
              </w:rPr>
              <w:t>Флюорограф</w:t>
            </w:r>
          </w:p>
        </w:tc>
        <w:tc>
          <w:tcPr>
            <w:tcW w:w="1181" w:type="dxa"/>
            <w:shd w:val="clear" w:color="auto" w:fill="auto"/>
          </w:tcPr>
          <w:p w:rsidR="000E54C2" w:rsidRPr="00E8065F" w:rsidRDefault="000E54C2" w:rsidP="00ED4E9F">
            <w:pPr>
              <w:spacing w:line="235" w:lineRule="auto"/>
              <w:jc w:val="center"/>
              <w:rPr>
                <w:sz w:val="20"/>
                <w:szCs w:val="20"/>
              </w:rPr>
            </w:pPr>
            <w:r w:rsidRPr="00E8065F">
              <w:rPr>
                <w:sz w:val="20"/>
                <w:szCs w:val="20"/>
              </w:rPr>
              <w:t>2023</w:t>
            </w:r>
          </w:p>
        </w:tc>
        <w:tc>
          <w:tcPr>
            <w:tcW w:w="1181" w:type="dxa"/>
            <w:tcBorders>
              <w:top w:val="nil"/>
              <w:left w:val="single" w:sz="4" w:space="0" w:color="auto"/>
              <w:bottom w:val="single" w:sz="4" w:space="0" w:color="auto"/>
              <w:right w:val="single" w:sz="4" w:space="0" w:color="auto"/>
            </w:tcBorders>
            <w:shd w:val="clear" w:color="auto" w:fill="auto"/>
          </w:tcPr>
          <w:p w:rsidR="000E54C2" w:rsidRPr="00E8065F" w:rsidRDefault="000E54C2" w:rsidP="00ED4E9F">
            <w:pPr>
              <w:spacing w:line="235" w:lineRule="auto"/>
              <w:jc w:val="center"/>
              <w:rPr>
                <w:color w:val="000000"/>
                <w:sz w:val="20"/>
                <w:szCs w:val="20"/>
              </w:rPr>
            </w:pPr>
            <w:r w:rsidRPr="00E8065F">
              <w:rPr>
                <w:color w:val="000000"/>
                <w:sz w:val="20"/>
                <w:szCs w:val="20"/>
              </w:rPr>
              <w:t>1</w:t>
            </w:r>
          </w:p>
        </w:tc>
        <w:tc>
          <w:tcPr>
            <w:tcW w:w="1478" w:type="dxa"/>
            <w:tcBorders>
              <w:top w:val="nil"/>
              <w:left w:val="single" w:sz="4" w:space="0" w:color="auto"/>
              <w:bottom w:val="single" w:sz="4" w:space="0" w:color="auto"/>
              <w:right w:val="single" w:sz="4" w:space="0" w:color="auto"/>
            </w:tcBorders>
            <w:shd w:val="clear" w:color="auto" w:fill="auto"/>
          </w:tcPr>
          <w:p w:rsidR="000E54C2" w:rsidRPr="00E8065F" w:rsidRDefault="000E54C2" w:rsidP="00ED4E9F">
            <w:pPr>
              <w:spacing w:line="235" w:lineRule="auto"/>
              <w:jc w:val="center"/>
              <w:rPr>
                <w:color w:val="000000"/>
                <w:sz w:val="20"/>
                <w:szCs w:val="20"/>
              </w:rPr>
            </w:pPr>
            <w:r w:rsidRPr="00E8065F">
              <w:rPr>
                <w:color w:val="000000"/>
                <w:sz w:val="20"/>
                <w:szCs w:val="20"/>
              </w:rPr>
              <w:t>16,6</w:t>
            </w:r>
          </w:p>
        </w:tc>
        <w:tc>
          <w:tcPr>
            <w:tcW w:w="1111" w:type="dxa"/>
            <w:tcBorders>
              <w:top w:val="nil"/>
              <w:left w:val="single" w:sz="4" w:space="0" w:color="auto"/>
              <w:bottom w:val="single" w:sz="4" w:space="0" w:color="auto"/>
              <w:right w:val="single" w:sz="4" w:space="0" w:color="auto"/>
            </w:tcBorders>
            <w:shd w:val="clear" w:color="auto" w:fill="auto"/>
          </w:tcPr>
          <w:p w:rsidR="000E54C2" w:rsidRPr="00E8065F" w:rsidRDefault="000E54C2" w:rsidP="00ED4E9F">
            <w:pPr>
              <w:spacing w:line="235" w:lineRule="auto"/>
              <w:jc w:val="center"/>
              <w:rPr>
                <w:color w:val="000000"/>
                <w:sz w:val="20"/>
                <w:szCs w:val="20"/>
              </w:rPr>
            </w:pPr>
            <w:r w:rsidRPr="00E8065F">
              <w:rPr>
                <w:color w:val="000000"/>
                <w:sz w:val="20"/>
                <w:szCs w:val="20"/>
              </w:rPr>
              <w:t>2</w:t>
            </w:r>
          </w:p>
        </w:tc>
        <w:tc>
          <w:tcPr>
            <w:tcW w:w="1944" w:type="dxa"/>
            <w:tcBorders>
              <w:top w:val="nil"/>
              <w:left w:val="single" w:sz="4" w:space="0" w:color="auto"/>
              <w:bottom w:val="single" w:sz="4" w:space="0" w:color="auto"/>
              <w:right w:val="single" w:sz="4" w:space="0" w:color="auto"/>
            </w:tcBorders>
            <w:shd w:val="clear" w:color="auto" w:fill="auto"/>
          </w:tcPr>
          <w:p w:rsidR="000E54C2" w:rsidRPr="00E8065F" w:rsidRDefault="000E54C2" w:rsidP="00ED4E9F">
            <w:pPr>
              <w:spacing w:line="235" w:lineRule="auto"/>
              <w:jc w:val="center"/>
              <w:rPr>
                <w:color w:val="000000"/>
                <w:sz w:val="20"/>
                <w:szCs w:val="20"/>
              </w:rPr>
            </w:pPr>
            <w:r w:rsidRPr="00E8065F">
              <w:rPr>
                <w:color w:val="000000"/>
                <w:sz w:val="20"/>
                <w:szCs w:val="20"/>
              </w:rPr>
              <w:t>Амбулаторное</w:t>
            </w:r>
          </w:p>
        </w:tc>
      </w:tr>
      <w:tr w:rsidR="00BA1432" w:rsidRPr="00E8065F" w:rsidTr="000546C2">
        <w:trPr>
          <w:trHeight w:val="20"/>
        </w:trPr>
        <w:tc>
          <w:tcPr>
            <w:tcW w:w="1555" w:type="dxa"/>
            <w:vMerge/>
          </w:tcPr>
          <w:p w:rsidR="000E54C2" w:rsidRPr="00E8065F" w:rsidRDefault="000E54C2" w:rsidP="00BA1432">
            <w:pPr>
              <w:rPr>
                <w:sz w:val="20"/>
                <w:szCs w:val="20"/>
              </w:rPr>
            </w:pPr>
          </w:p>
        </w:tc>
        <w:tc>
          <w:tcPr>
            <w:tcW w:w="3685" w:type="dxa"/>
            <w:tcBorders>
              <w:top w:val="nil"/>
              <w:left w:val="single" w:sz="4" w:space="0" w:color="auto"/>
              <w:bottom w:val="single" w:sz="4" w:space="0" w:color="auto"/>
              <w:right w:val="single" w:sz="4" w:space="0" w:color="auto"/>
            </w:tcBorders>
            <w:shd w:val="clear" w:color="auto" w:fill="auto"/>
          </w:tcPr>
          <w:p w:rsidR="000E54C2" w:rsidRPr="00E8065F" w:rsidRDefault="000E54C2" w:rsidP="00ED4E9F">
            <w:pPr>
              <w:spacing w:line="235" w:lineRule="auto"/>
              <w:jc w:val="both"/>
              <w:rPr>
                <w:color w:val="000000"/>
                <w:sz w:val="20"/>
                <w:szCs w:val="20"/>
              </w:rPr>
            </w:pPr>
            <w:r w:rsidRPr="00E8065F">
              <w:rPr>
                <w:color w:val="000000"/>
                <w:sz w:val="20"/>
                <w:szCs w:val="20"/>
              </w:rPr>
              <w:t xml:space="preserve">ГАУЗ </w:t>
            </w:r>
            <w:r w:rsidR="002F7358">
              <w:rPr>
                <w:color w:val="000000"/>
                <w:sz w:val="20"/>
                <w:szCs w:val="20"/>
              </w:rPr>
              <w:t>«</w:t>
            </w:r>
            <w:r w:rsidRPr="00E8065F">
              <w:rPr>
                <w:color w:val="000000"/>
                <w:sz w:val="20"/>
                <w:szCs w:val="20"/>
              </w:rPr>
              <w:t>Городская клиническая больница №</w:t>
            </w:r>
            <w:r w:rsidR="00007FB5">
              <w:rPr>
                <w:color w:val="000000"/>
                <w:sz w:val="20"/>
                <w:szCs w:val="20"/>
              </w:rPr>
              <w:t xml:space="preserve"> </w:t>
            </w:r>
            <w:r w:rsidRPr="00E8065F">
              <w:rPr>
                <w:color w:val="000000"/>
                <w:sz w:val="20"/>
                <w:szCs w:val="20"/>
              </w:rPr>
              <w:t>16</w:t>
            </w:r>
            <w:r w:rsidR="002F7358">
              <w:rPr>
                <w:color w:val="000000"/>
                <w:sz w:val="20"/>
                <w:szCs w:val="20"/>
              </w:rPr>
              <w:t>»</w:t>
            </w:r>
            <w:r w:rsidR="00007FB5">
              <w:rPr>
                <w:color w:val="000000"/>
                <w:sz w:val="20"/>
                <w:szCs w:val="20"/>
              </w:rPr>
              <w:t xml:space="preserve"> г.</w:t>
            </w:r>
            <w:r w:rsidR="003722E0">
              <w:rPr>
                <w:color w:val="000000"/>
                <w:sz w:val="20"/>
                <w:szCs w:val="20"/>
              </w:rPr>
              <w:t>Казани</w:t>
            </w:r>
          </w:p>
        </w:tc>
        <w:tc>
          <w:tcPr>
            <w:tcW w:w="1994" w:type="dxa"/>
            <w:tcBorders>
              <w:top w:val="nil"/>
              <w:left w:val="single" w:sz="4" w:space="0" w:color="auto"/>
              <w:bottom w:val="single" w:sz="4" w:space="0" w:color="auto"/>
              <w:right w:val="single" w:sz="4" w:space="0" w:color="auto"/>
            </w:tcBorders>
            <w:shd w:val="clear" w:color="auto" w:fill="auto"/>
          </w:tcPr>
          <w:p w:rsidR="000E54C2" w:rsidRPr="00E8065F" w:rsidRDefault="000E54C2" w:rsidP="00ED4E9F">
            <w:pPr>
              <w:spacing w:line="235" w:lineRule="auto"/>
              <w:jc w:val="center"/>
              <w:rPr>
                <w:color w:val="000000"/>
                <w:sz w:val="20"/>
                <w:szCs w:val="20"/>
              </w:rPr>
            </w:pPr>
            <w:r w:rsidRPr="00E8065F">
              <w:rPr>
                <w:color w:val="000000"/>
                <w:sz w:val="20"/>
                <w:szCs w:val="20"/>
              </w:rPr>
              <w:t>Флюорограф</w:t>
            </w:r>
          </w:p>
        </w:tc>
        <w:tc>
          <w:tcPr>
            <w:tcW w:w="1181" w:type="dxa"/>
            <w:shd w:val="clear" w:color="auto" w:fill="auto"/>
          </w:tcPr>
          <w:p w:rsidR="000E54C2" w:rsidRPr="00E8065F" w:rsidRDefault="000E54C2" w:rsidP="00ED4E9F">
            <w:pPr>
              <w:spacing w:line="235" w:lineRule="auto"/>
              <w:jc w:val="center"/>
              <w:rPr>
                <w:sz w:val="20"/>
                <w:szCs w:val="20"/>
              </w:rPr>
            </w:pPr>
            <w:r w:rsidRPr="00E8065F">
              <w:rPr>
                <w:sz w:val="20"/>
                <w:szCs w:val="20"/>
              </w:rPr>
              <w:t>2021</w:t>
            </w:r>
          </w:p>
        </w:tc>
        <w:tc>
          <w:tcPr>
            <w:tcW w:w="1181" w:type="dxa"/>
            <w:tcBorders>
              <w:top w:val="nil"/>
              <w:left w:val="single" w:sz="4" w:space="0" w:color="auto"/>
              <w:bottom w:val="single" w:sz="4" w:space="0" w:color="auto"/>
              <w:right w:val="single" w:sz="4" w:space="0" w:color="auto"/>
            </w:tcBorders>
            <w:shd w:val="clear" w:color="auto" w:fill="auto"/>
          </w:tcPr>
          <w:p w:rsidR="000E54C2" w:rsidRPr="00E8065F" w:rsidRDefault="000E54C2" w:rsidP="00ED4E9F">
            <w:pPr>
              <w:spacing w:line="235" w:lineRule="auto"/>
              <w:jc w:val="center"/>
              <w:rPr>
                <w:color w:val="000000"/>
                <w:sz w:val="20"/>
                <w:szCs w:val="20"/>
              </w:rPr>
            </w:pPr>
            <w:r w:rsidRPr="00E8065F">
              <w:rPr>
                <w:color w:val="000000"/>
                <w:sz w:val="20"/>
                <w:szCs w:val="20"/>
              </w:rPr>
              <w:t>1</w:t>
            </w:r>
          </w:p>
        </w:tc>
        <w:tc>
          <w:tcPr>
            <w:tcW w:w="1478" w:type="dxa"/>
            <w:tcBorders>
              <w:top w:val="nil"/>
              <w:left w:val="single" w:sz="4" w:space="0" w:color="auto"/>
              <w:bottom w:val="single" w:sz="4" w:space="0" w:color="auto"/>
              <w:right w:val="single" w:sz="4" w:space="0" w:color="auto"/>
            </w:tcBorders>
            <w:shd w:val="clear" w:color="auto" w:fill="auto"/>
          </w:tcPr>
          <w:p w:rsidR="000E54C2" w:rsidRPr="00E8065F" w:rsidRDefault="000E54C2" w:rsidP="00ED4E9F">
            <w:pPr>
              <w:spacing w:line="235" w:lineRule="auto"/>
              <w:jc w:val="center"/>
              <w:rPr>
                <w:color w:val="000000"/>
                <w:sz w:val="20"/>
                <w:szCs w:val="20"/>
              </w:rPr>
            </w:pPr>
            <w:r w:rsidRPr="00E8065F">
              <w:rPr>
                <w:color w:val="000000"/>
                <w:sz w:val="20"/>
                <w:szCs w:val="20"/>
              </w:rPr>
              <w:t>54,1</w:t>
            </w:r>
          </w:p>
        </w:tc>
        <w:tc>
          <w:tcPr>
            <w:tcW w:w="1111" w:type="dxa"/>
            <w:tcBorders>
              <w:top w:val="nil"/>
              <w:left w:val="single" w:sz="4" w:space="0" w:color="auto"/>
              <w:bottom w:val="single" w:sz="4" w:space="0" w:color="auto"/>
              <w:right w:val="single" w:sz="4" w:space="0" w:color="auto"/>
            </w:tcBorders>
            <w:shd w:val="clear" w:color="auto" w:fill="auto"/>
          </w:tcPr>
          <w:p w:rsidR="000E54C2" w:rsidRPr="00E8065F" w:rsidRDefault="000E54C2" w:rsidP="00ED4E9F">
            <w:pPr>
              <w:spacing w:line="235" w:lineRule="auto"/>
              <w:jc w:val="center"/>
              <w:rPr>
                <w:color w:val="000000"/>
                <w:sz w:val="20"/>
                <w:szCs w:val="20"/>
              </w:rPr>
            </w:pPr>
            <w:r w:rsidRPr="00E8065F">
              <w:rPr>
                <w:color w:val="000000"/>
                <w:sz w:val="20"/>
                <w:szCs w:val="20"/>
              </w:rPr>
              <w:t>2</w:t>
            </w:r>
          </w:p>
        </w:tc>
        <w:tc>
          <w:tcPr>
            <w:tcW w:w="1944" w:type="dxa"/>
            <w:tcBorders>
              <w:top w:val="nil"/>
              <w:left w:val="single" w:sz="4" w:space="0" w:color="auto"/>
              <w:bottom w:val="single" w:sz="4" w:space="0" w:color="auto"/>
              <w:right w:val="single" w:sz="4" w:space="0" w:color="auto"/>
            </w:tcBorders>
            <w:shd w:val="clear" w:color="auto" w:fill="auto"/>
          </w:tcPr>
          <w:p w:rsidR="000E54C2" w:rsidRPr="00E8065F" w:rsidRDefault="000E54C2" w:rsidP="00ED4E9F">
            <w:pPr>
              <w:spacing w:line="235" w:lineRule="auto"/>
              <w:jc w:val="center"/>
              <w:rPr>
                <w:color w:val="000000"/>
                <w:sz w:val="20"/>
                <w:szCs w:val="20"/>
              </w:rPr>
            </w:pPr>
            <w:r w:rsidRPr="00E8065F">
              <w:rPr>
                <w:color w:val="000000"/>
                <w:sz w:val="20"/>
                <w:szCs w:val="20"/>
              </w:rPr>
              <w:t>Амбулаторное/передвижное</w:t>
            </w:r>
          </w:p>
        </w:tc>
      </w:tr>
      <w:tr w:rsidR="00BA1432" w:rsidRPr="00E8065F" w:rsidTr="000546C2">
        <w:trPr>
          <w:trHeight w:val="20"/>
        </w:trPr>
        <w:tc>
          <w:tcPr>
            <w:tcW w:w="1555" w:type="dxa"/>
            <w:vMerge/>
          </w:tcPr>
          <w:p w:rsidR="000E54C2" w:rsidRPr="00E8065F" w:rsidRDefault="000E54C2" w:rsidP="00BA1432">
            <w:pPr>
              <w:rPr>
                <w:sz w:val="20"/>
                <w:szCs w:val="20"/>
              </w:rPr>
            </w:pPr>
          </w:p>
        </w:tc>
        <w:tc>
          <w:tcPr>
            <w:tcW w:w="3685" w:type="dxa"/>
            <w:tcBorders>
              <w:top w:val="nil"/>
              <w:left w:val="single" w:sz="4" w:space="0" w:color="auto"/>
              <w:bottom w:val="single" w:sz="4" w:space="0" w:color="auto"/>
              <w:right w:val="single" w:sz="4" w:space="0" w:color="auto"/>
            </w:tcBorders>
            <w:shd w:val="clear" w:color="auto" w:fill="auto"/>
          </w:tcPr>
          <w:p w:rsidR="000E54C2" w:rsidRPr="00E8065F" w:rsidRDefault="000E54C2" w:rsidP="00ED4E9F">
            <w:pPr>
              <w:spacing w:line="235" w:lineRule="auto"/>
              <w:jc w:val="both"/>
              <w:rPr>
                <w:color w:val="000000"/>
                <w:sz w:val="20"/>
                <w:szCs w:val="20"/>
              </w:rPr>
            </w:pPr>
            <w:r>
              <w:rPr>
                <w:color w:val="000000"/>
                <w:sz w:val="20"/>
                <w:szCs w:val="20"/>
              </w:rPr>
              <w:t xml:space="preserve">ГАУЗ </w:t>
            </w:r>
            <w:r w:rsidR="002F7358">
              <w:rPr>
                <w:color w:val="000000"/>
                <w:sz w:val="20"/>
                <w:szCs w:val="20"/>
              </w:rPr>
              <w:t>«</w:t>
            </w:r>
            <w:r>
              <w:rPr>
                <w:color w:val="000000"/>
                <w:sz w:val="20"/>
                <w:szCs w:val="20"/>
              </w:rPr>
              <w:t>Центральная городская клиническая больница № 18 им.проф.К.Ш.Зыятдинова</w:t>
            </w:r>
            <w:r w:rsidR="002F7358">
              <w:rPr>
                <w:color w:val="000000"/>
                <w:sz w:val="20"/>
                <w:szCs w:val="20"/>
              </w:rPr>
              <w:t>»</w:t>
            </w:r>
            <w:r>
              <w:rPr>
                <w:color w:val="000000"/>
                <w:sz w:val="20"/>
                <w:szCs w:val="20"/>
              </w:rPr>
              <w:t xml:space="preserve"> г.Казани</w:t>
            </w:r>
          </w:p>
        </w:tc>
        <w:tc>
          <w:tcPr>
            <w:tcW w:w="1994" w:type="dxa"/>
            <w:tcBorders>
              <w:top w:val="nil"/>
              <w:left w:val="single" w:sz="4" w:space="0" w:color="auto"/>
              <w:bottom w:val="single" w:sz="4" w:space="0" w:color="auto"/>
              <w:right w:val="single" w:sz="4" w:space="0" w:color="auto"/>
            </w:tcBorders>
            <w:shd w:val="clear" w:color="auto" w:fill="auto"/>
          </w:tcPr>
          <w:p w:rsidR="000E54C2" w:rsidRPr="00E8065F" w:rsidRDefault="000E54C2" w:rsidP="00ED4E9F">
            <w:pPr>
              <w:spacing w:line="235" w:lineRule="auto"/>
              <w:jc w:val="center"/>
              <w:rPr>
                <w:color w:val="000000"/>
                <w:sz w:val="20"/>
                <w:szCs w:val="20"/>
              </w:rPr>
            </w:pPr>
            <w:r w:rsidRPr="00E8065F">
              <w:rPr>
                <w:color w:val="000000"/>
                <w:sz w:val="20"/>
                <w:szCs w:val="20"/>
              </w:rPr>
              <w:t>Флюорограф</w:t>
            </w:r>
          </w:p>
        </w:tc>
        <w:tc>
          <w:tcPr>
            <w:tcW w:w="1181" w:type="dxa"/>
            <w:shd w:val="clear" w:color="auto" w:fill="auto"/>
          </w:tcPr>
          <w:p w:rsidR="000E54C2" w:rsidRPr="00E8065F" w:rsidRDefault="000E54C2" w:rsidP="00ED4E9F">
            <w:pPr>
              <w:spacing w:line="235" w:lineRule="auto"/>
              <w:jc w:val="center"/>
              <w:rPr>
                <w:sz w:val="20"/>
                <w:szCs w:val="20"/>
              </w:rPr>
            </w:pPr>
            <w:r w:rsidRPr="00E8065F">
              <w:rPr>
                <w:sz w:val="20"/>
                <w:szCs w:val="20"/>
              </w:rPr>
              <w:t>2020</w:t>
            </w:r>
          </w:p>
        </w:tc>
        <w:tc>
          <w:tcPr>
            <w:tcW w:w="1181" w:type="dxa"/>
            <w:tcBorders>
              <w:top w:val="nil"/>
              <w:left w:val="single" w:sz="4" w:space="0" w:color="auto"/>
              <w:bottom w:val="single" w:sz="4" w:space="0" w:color="auto"/>
              <w:right w:val="single" w:sz="4" w:space="0" w:color="auto"/>
            </w:tcBorders>
            <w:shd w:val="clear" w:color="auto" w:fill="auto"/>
          </w:tcPr>
          <w:p w:rsidR="000E54C2" w:rsidRPr="00E8065F" w:rsidRDefault="000E54C2" w:rsidP="00ED4E9F">
            <w:pPr>
              <w:spacing w:line="235" w:lineRule="auto"/>
              <w:jc w:val="center"/>
              <w:rPr>
                <w:color w:val="000000"/>
                <w:sz w:val="20"/>
                <w:szCs w:val="20"/>
              </w:rPr>
            </w:pPr>
            <w:r w:rsidRPr="00E8065F">
              <w:rPr>
                <w:color w:val="000000"/>
                <w:sz w:val="20"/>
                <w:szCs w:val="20"/>
              </w:rPr>
              <w:t>1</w:t>
            </w:r>
          </w:p>
        </w:tc>
        <w:tc>
          <w:tcPr>
            <w:tcW w:w="1478" w:type="dxa"/>
            <w:tcBorders>
              <w:top w:val="nil"/>
              <w:left w:val="single" w:sz="4" w:space="0" w:color="auto"/>
              <w:bottom w:val="single" w:sz="4" w:space="0" w:color="auto"/>
              <w:right w:val="single" w:sz="4" w:space="0" w:color="auto"/>
            </w:tcBorders>
            <w:shd w:val="clear" w:color="auto" w:fill="auto"/>
          </w:tcPr>
          <w:p w:rsidR="000E54C2" w:rsidRPr="00E8065F" w:rsidRDefault="000E54C2" w:rsidP="00ED4E9F">
            <w:pPr>
              <w:spacing w:line="235" w:lineRule="auto"/>
              <w:jc w:val="center"/>
              <w:rPr>
                <w:color w:val="000000"/>
                <w:sz w:val="20"/>
                <w:szCs w:val="20"/>
              </w:rPr>
            </w:pPr>
            <w:r w:rsidRPr="00E8065F">
              <w:rPr>
                <w:color w:val="000000"/>
                <w:sz w:val="20"/>
                <w:szCs w:val="20"/>
              </w:rPr>
              <w:t>24,9</w:t>
            </w:r>
          </w:p>
        </w:tc>
        <w:tc>
          <w:tcPr>
            <w:tcW w:w="1111" w:type="dxa"/>
            <w:tcBorders>
              <w:top w:val="nil"/>
              <w:left w:val="single" w:sz="4" w:space="0" w:color="auto"/>
              <w:bottom w:val="single" w:sz="4" w:space="0" w:color="auto"/>
              <w:right w:val="single" w:sz="4" w:space="0" w:color="auto"/>
            </w:tcBorders>
            <w:shd w:val="clear" w:color="auto" w:fill="auto"/>
          </w:tcPr>
          <w:p w:rsidR="000E54C2" w:rsidRPr="00E8065F" w:rsidRDefault="000E54C2" w:rsidP="00ED4E9F">
            <w:pPr>
              <w:spacing w:line="235" w:lineRule="auto"/>
              <w:jc w:val="center"/>
              <w:rPr>
                <w:color w:val="000000"/>
                <w:sz w:val="20"/>
                <w:szCs w:val="20"/>
              </w:rPr>
            </w:pPr>
            <w:r w:rsidRPr="00E8065F">
              <w:rPr>
                <w:color w:val="000000"/>
                <w:sz w:val="20"/>
                <w:szCs w:val="20"/>
              </w:rPr>
              <w:t>2</w:t>
            </w:r>
          </w:p>
        </w:tc>
        <w:tc>
          <w:tcPr>
            <w:tcW w:w="1944" w:type="dxa"/>
            <w:tcBorders>
              <w:top w:val="nil"/>
              <w:left w:val="single" w:sz="4" w:space="0" w:color="auto"/>
              <w:bottom w:val="single" w:sz="4" w:space="0" w:color="auto"/>
              <w:right w:val="single" w:sz="4" w:space="0" w:color="auto"/>
            </w:tcBorders>
            <w:shd w:val="clear" w:color="auto" w:fill="auto"/>
          </w:tcPr>
          <w:p w:rsidR="000E54C2" w:rsidRPr="00E8065F" w:rsidRDefault="000E54C2" w:rsidP="00ED4E9F">
            <w:pPr>
              <w:spacing w:line="235" w:lineRule="auto"/>
              <w:jc w:val="center"/>
              <w:rPr>
                <w:color w:val="000000"/>
                <w:sz w:val="20"/>
                <w:szCs w:val="20"/>
              </w:rPr>
            </w:pPr>
            <w:r w:rsidRPr="00E8065F">
              <w:rPr>
                <w:color w:val="000000"/>
                <w:sz w:val="20"/>
                <w:szCs w:val="20"/>
              </w:rPr>
              <w:t>Амбулаторное</w:t>
            </w:r>
          </w:p>
        </w:tc>
      </w:tr>
      <w:tr w:rsidR="00BA1432" w:rsidRPr="00E8065F" w:rsidTr="000546C2">
        <w:trPr>
          <w:trHeight w:val="20"/>
        </w:trPr>
        <w:tc>
          <w:tcPr>
            <w:tcW w:w="1555" w:type="dxa"/>
            <w:vMerge/>
          </w:tcPr>
          <w:p w:rsidR="000E54C2" w:rsidRPr="00E8065F" w:rsidRDefault="000E54C2" w:rsidP="00BA1432">
            <w:pPr>
              <w:rPr>
                <w:sz w:val="20"/>
                <w:szCs w:val="20"/>
              </w:rPr>
            </w:pPr>
          </w:p>
        </w:tc>
        <w:tc>
          <w:tcPr>
            <w:tcW w:w="3685" w:type="dxa"/>
            <w:tcBorders>
              <w:top w:val="nil"/>
              <w:left w:val="single" w:sz="4" w:space="0" w:color="auto"/>
              <w:bottom w:val="single" w:sz="4" w:space="0" w:color="auto"/>
              <w:right w:val="single" w:sz="4" w:space="0" w:color="auto"/>
            </w:tcBorders>
            <w:shd w:val="clear" w:color="auto" w:fill="auto"/>
          </w:tcPr>
          <w:p w:rsidR="000E54C2" w:rsidRPr="00E8065F" w:rsidRDefault="000E54C2" w:rsidP="00ED4E9F">
            <w:pPr>
              <w:spacing w:line="235" w:lineRule="auto"/>
              <w:jc w:val="both"/>
              <w:rPr>
                <w:color w:val="000000"/>
                <w:sz w:val="20"/>
                <w:szCs w:val="20"/>
              </w:rPr>
            </w:pPr>
            <w:r>
              <w:rPr>
                <w:color w:val="0D0D0D" w:themeColor="text1" w:themeTint="F2"/>
                <w:sz w:val="20"/>
                <w:szCs w:val="20"/>
              </w:rPr>
              <w:t xml:space="preserve">ГАУЗ </w:t>
            </w:r>
            <w:r w:rsidR="002F7358">
              <w:rPr>
                <w:color w:val="0D0D0D" w:themeColor="text1" w:themeTint="F2"/>
                <w:sz w:val="20"/>
                <w:szCs w:val="20"/>
              </w:rPr>
              <w:t>«</w:t>
            </w:r>
            <w:r>
              <w:rPr>
                <w:color w:val="0D0D0D" w:themeColor="text1" w:themeTint="F2"/>
                <w:sz w:val="20"/>
                <w:szCs w:val="20"/>
              </w:rPr>
              <w:t>Клиническая больница № 2</w:t>
            </w:r>
            <w:r w:rsidR="002F7358">
              <w:rPr>
                <w:color w:val="0D0D0D" w:themeColor="text1" w:themeTint="F2"/>
                <w:sz w:val="20"/>
                <w:szCs w:val="20"/>
              </w:rPr>
              <w:t>»</w:t>
            </w:r>
            <w:r>
              <w:rPr>
                <w:color w:val="0D0D0D" w:themeColor="text1" w:themeTint="F2"/>
                <w:sz w:val="20"/>
                <w:szCs w:val="20"/>
              </w:rPr>
              <w:t xml:space="preserve"> г.Казани</w:t>
            </w:r>
          </w:p>
        </w:tc>
        <w:tc>
          <w:tcPr>
            <w:tcW w:w="1994" w:type="dxa"/>
            <w:tcBorders>
              <w:top w:val="nil"/>
              <w:left w:val="single" w:sz="4" w:space="0" w:color="auto"/>
              <w:bottom w:val="single" w:sz="4" w:space="0" w:color="auto"/>
              <w:right w:val="single" w:sz="4" w:space="0" w:color="auto"/>
            </w:tcBorders>
            <w:shd w:val="clear" w:color="auto" w:fill="auto"/>
          </w:tcPr>
          <w:p w:rsidR="000E54C2" w:rsidRPr="00E8065F" w:rsidRDefault="000E54C2" w:rsidP="00ED4E9F">
            <w:pPr>
              <w:spacing w:line="235" w:lineRule="auto"/>
              <w:jc w:val="center"/>
              <w:rPr>
                <w:color w:val="000000"/>
                <w:sz w:val="20"/>
                <w:szCs w:val="20"/>
              </w:rPr>
            </w:pPr>
            <w:r w:rsidRPr="00E8065F">
              <w:rPr>
                <w:color w:val="000000"/>
                <w:sz w:val="20"/>
                <w:szCs w:val="20"/>
              </w:rPr>
              <w:t>Флюорограф</w:t>
            </w:r>
          </w:p>
        </w:tc>
        <w:tc>
          <w:tcPr>
            <w:tcW w:w="1181" w:type="dxa"/>
            <w:shd w:val="clear" w:color="auto" w:fill="auto"/>
          </w:tcPr>
          <w:p w:rsidR="000E54C2" w:rsidRPr="00E8065F" w:rsidRDefault="000E54C2" w:rsidP="00ED4E9F">
            <w:pPr>
              <w:spacing w:line="235" w:lineRule="auto"/>
              <w:jc w:val="center"/>
              <w:rPr>
                <w:sz w:val="20"/>
                <w:szCs w:val="20"/>
              </w:rPr>
            </w:pPr>
            <w:r w:rsidRPr="00E8065F">
              <w:rPr>
                <w:sz w:val="20"/>
                <w:szCs w:val="20"/>
              </w:rPr>
              <w:t>2020</w:t>
            </w:r>
          </w:p>
        </w:tc>
        <w:tc>
          <w:tcPr>
            <w:tcW w:w="1181" w:type="dxa"/>
            <w:tcBorders>
              <w:top w:val="nil"/>
              <w:left w:val="single" w:sz="4" w:space="0" w:color="auto"/>
              <w:bottom w:val="single" w:sz="4" w:space="0" w:color="auto"/>
              <w:right w:val="single" w:sz="4" w:space="0" w:color="auto"/>
            </w:tcBorders>
            <w:shd w:val="clear" w:color="auto" w:fill="auto"/>
          </w:tcPr>
          <w:p w:rsidR="000E54C2" w:rsidRPr="00E8065F" w:rsidRDefault="000E54C2" w:rsidP="00ED4E9F">
            <w:pPr>
              <w:spacing w:line="235" w:lineRule="auto"/>
              <w:jc w:val="center"/>
              <w:rPr>
                <w:color w:val="000000"/>
                <w:sz w:val="20"/>
                <w:szCs w:val="20"/>
              </w:rPr>
            </w:pPr>
            <w:r w:rsidRPr="00E8065F">
              <w:rPr>
                <w:color w:val="000000"/>
                <w:sz w:val="20"/>
                <w:szCs w:val="20"/>
              </w:rPr>
              <w:t>1</w:t>
            </w:r>
          </w:p>
        </w:tc>
        <w:tc>
          <w:tcPr>
            <w:tcW w:w="1478" w:type="dxa"/>
            <w:tcBorders>
              <w:top w:val="nil"/>
              <w:left w:val="single" w:sz="4" w:space="0" w:color="auto"/>
              <w:bottom w:val="single" w:sz="4" w:space="0" w:color="auto"/>
              <w:right w:val="single" w:sz="4" w:space="0" w:color="auto"/>
            </w:tcBorders>
            <w:shd w:val="clear" w:color="auto" w:fill="auto"/>
          </w:tcPr>
          <w:p w:rsidR="000E54C2" w:rsidRPr="00E8065F" w:rsidRDefault="000E54C2" w:rsidP="00ED4E9F">
            <w:pPr>
              <w:spacing w:line="235" w:lineRule="auto"/>
              <w:jc w:val="center"/>
              <w:rPr>
                <w:color w:val="000000"/>
                <w:sz w:val="20"/>
                <w:szCs w:val="20"/>
              </w:rPr>
            </w:pPr>
            <w:r w:rsidRPr="00E8065F">
              <w:rPr>
                <w:color w:val="000000"/>
                <w:sz w:val="20"/>
                <w:szCs w:val="20"/>
              </w:rPr>
              <w:t>13,5</w:t>
            </w:r>
          </w:p>
        </w:tc>
        <w:tc>
          <w:tcPr>
            <w:tcW w:w="1111" w:type="dxa"/>
            <w:tcBorders>
              <w:top w:val="nil"/>
              <w:left w:val="single" w:sz="4" w:space="0" w:color="auto"/>
              <w:bottom w:val="single" w:sz="4" w:space="0" w:color="auto"/>
              <w:right w:val="single" w:sz="4" w:space="0" w:color="auto"/>
            </w:tcBorders>
            <w:shd w:val="clear" w:color="auto" w:fill="auto"/>
          </w:tcPr>
          <w:p w:rsidR="000E54C2" w:rsidRPr="00E8065F" w:rsidRDefault="000E54C2" w:rsidP="00ED4E9F">
            <w:pPr>
              <w:spacing w:line="235" w:lineRule="auto"/>
              <w:jc w:val="center"/>
              <w:rPr>
                <w:color w:val="000000"/>
                <w:sz w:val="20"/>
                <w:szCs w:val="20"/>
              </w:rPr>
            </w:pPr>
            <w:r w:rsidRPr="00E8065F">
              <w:rPr>
                <w:color w:val="000000"/>
                <w:sz w:val="20"/>
                <w:szCs w:val="20"/>
              </w:rPr>
              <w:t>2</w:t>
            </w:r>
          </w:p>
        </w:tc>
        <w:tc>
          <w:tcPr>
            <w:tcW w:w="1944" w:type="dxa"/>
            <w:tcBorders>
              <w:top w:val="nil"/>
              <w:left w:val="single" w:sz="4" w:space="0" w:color="auto"/>
              <w:bottom w:val="single" w:sz="4" w:space="0" w:color="auto"/>
              <w:right w:val="single" w:sz="4" w:space="0" w:color="auto"/>
            </w:tcBorders>
            <w:shd w:val="clear" w:color="auto" w:fill="auto"/>
          </w:tcPr>
          <w:p w:rsidR="000E54C2" w:rsidRPr="00E8065F" w:rsidRDefault="000E54C2" w:rsidP="00ED4E9F">
            <w:pPr>
              <w:spacing w:line="235" w:lineRule="auto"/>
              <w:jc w:val="center"/>
              <w:rPr>
                <w:color w:val="000000"/>
                <w:sz w:val="20"/>
                <w:szCs w:val="20"/>
              </w:rPr>
            </w:pPr>
            <w:r w:rsidRPr="00E8065F">
              <w:rPr>
                <w:color w:val="000000"/>
                <w:sz w:val="20"/>
                <w:szCs w:val="20"/>
              </w:rPr>
              <w:t>Амбулаторное</w:t>
            </w:r>
          </w:p>
        </w:tc>
      </w:tr>
      <w:tr w:rsidR="00BA1432" w:rsidRPr="00E8065F" w:rsidTr="000546C2">
        <w:trPr>
          <w:trHeight w:val="20"/>
        </w:trPr>
        <w:tc>
          <w:tcPr>
            <w:tcW w:w="1555" w:type="dxa"/>
            <w:vMerge/>
          </w:tcPr>
          <w:p w:rsidR="000E54C2" w:rsidRPr="00E8065F" w:rsidRDefault="000E54C2" w:rsidP="00BA1432">
            <w:pPr>
              <w:rPr>
                <w:sz w:val="20"/>
                <w:szCs w:val="20"/>
              </w:rPr>
            </w:pPr>
          </w:p>
        </w:tc>
        <w:tc>
          <w:tcPr>
            <w:tcW w:w="3685" w:type="dxa"/>
            <w:tcBorders>
              <w:top w:val="nil"/>
              <w:left w:val="single" w:sz="4" w:space="0" w:color="auto"/>
              <w:bottom w:val="single" w:sz="4" w:space="0" w:color="auto"/>
              <w:right w:val="single" w:sz="4" w:space="0" w:color="auto"/>
            </w:tcBorders>
            <w:shd w:val="clear" w:color="auto" w:fill="auto"/>
          </w:tcPr>
          <w:p w:rsidR="000E54C2" w:rsidRPr="00E8065F" w:rsidRDefault="000E54C2" w:rsidP="00ED4E9F">
            <w:pPr>
              <w:spacing w:line="235" w:lineRule="auto"/>
              <w:jc w:val="both"/>
              <w:rPr>
                <w:color w:val="000000"/>
                <w:sz w:val="20"/>
                <w:szCs w:val="20"/>
              </w:rPr>
            </w:pPr>
            <w:r w:rsidRPr="00E8065F">
              <w:rPr>
                <w:color w:val="000000"/>
                <w:sz w:val="20"/>
                <w:szCs w:val="20"/>
              </w:rPr>
              <w:t xml:space="preserve">ГАУЗ </w:t>
            </w:r>
            <w:r w:rsidR="002F7358">
              <w:rPr>
                <w:color w:val="000000"/>
                <w:sz w:val="20"/>
                <w:szCs w:val="20"/>
              </w:rPr>
              <w:t>«</w:t>
            </w:r>
            <w:r w:rsidRPr="00E8065F">
              <w:rPr>
                <w:color w:val="000000"/>
                <w:sz w:val="20"/>
                <w:szCs w:val="20"/>
              </w:rPr>
              <w:t>Городская к</w:t>
            </w:r>
            <w:r w:rsidR="00007FB5">
              <w:rPr>
                <w:color w:val="000000"/>
                <w:sz w:val="20"/>
                <w:szCs w:val="20"/>
              </w:rPr>
              <w:t>линическая больница № 7 им.М.Н.</w:t>
            </w:r>
            <w:r w:rsidRPr="00E8065F">
              <w:rPr>
                <w:color w:val="000000"/>
                <w:sz w:val="20"/>
                <w:szCs w:val="20"/>
              </w:rPr>
              <w:t>Садыкова</w:t>
            </w:r>
            <w:r w:rsidR="002F7358">
              <w:rPr>
                <w:color w:val="000000"/>
                <w:sz w:val="20"/>
                <w:szCs w:val="20"/>
              </w:rPr>
              <w:t>»</w:t>
            </w:r>
            <w:r w:rsidRPr="00E8065F">
              <w:rPr>
                <w:color w:val="000000"/>
                <w:sz w:val="20"/>
                <w:szCs w:val="20"/>
              </w:rPr>
              <w:t xml:space="preserve"> г.Казани</w:t>
            </w:r>
          </w:p>
        </w:tc>
        <w:tc>
          <w:tcPr>
            <w:tcW w:w="1994" w:type="dxa"/>
            <w:tcBorders>
              <w:top w:val="nil"/>
              <w:left w:val="single" w:sz="4" w:space="0" w:color="auto"/>
              <w:bottom w:val="single" w:sz="4" w:space="0" w:color="auto"/>
              <w:right w:val="single" w:sz="4" w:space="0" w:color="auto"/>
            </w:tcBorders>
            <w:shd w:val="clear" w:color="auto" w:fill="auto"/>
          </w:tcPr>
          <w:p w:rsidR="000E54C2" w:rsidRPr="00E8065F" w:rsidRDefault="000E54C2" w:rsidP="00ED4E9F">
            <w:pPr>
              <w:spacing w:line="235" w:lineRule="auto"/>
              <w:jc w:val="center"/>
              <w:rPr>
                <w:color w:val="000000"/>
                <w:sz w:val="20"/>
                <w:szCs w:val="20"/>
              </w:rPr>
            </w:pPr>
            <w:r w:rsidRPr="00E8065F">
              <w:rPr>
                <w:color w:val="000000"/>
                <w:sz w:val="20"/>
                <w:szCs w:val="20"/>
              </w:rPr>
              <w:t>Флюорограф</w:t>
            </w:r>
          </w:p>
        </w:tc>
        <w:tc>
          <w:tcPr>
            <w:tcW w:w="1181" w:type="dxa"/>
            <w:tcBorders>
              <w:bottom w:val="single" w:sz="4" w:space="0" w:color="auto"/>
            </w:tcBorders>
            <w:shd w:val="clear" w:color="auto" w:fill="auto"/>
          </w:tcPr>
          <w:p w:rsidR="000E54C2" w:rsidRPr="00E8065F" w:rsidRDefault="000E54C2" w:rsidP="00D92024">
            <w:pPr>
              <w:jc w:val="center"/>
              <w:rPr>
                <w:sz w:val="20"/>
                <w:szCs w:val="20"/>
              </w:rPr>
            </w:pPr>
            <w:r w:rsidRPr="00E8065F">
              <w:rPr>
                <w:sz w:val="20"/>
                <w:szCs w:val="20"/>
              </w:rPr>
              <w:t>2013</w:t>
            </w:r>
            <w:r w:rsidR="00793DC9">
              <w:rPr>
                <w:sz w:val="20"/>
                <w:szCs w:val="20"/>
              </w:rPr>
              <w:t xml:space="preserve"> </w:t>
            </w:r>
            <w:r w:rsidR="00D92024">
              <w:rPr>
                <w:sz w:val="20"/>
                <w:szCs w:val="20"/>
              </w:rPr>
              <w:t>(1)</w:t>
            </w:r>
          </w:p>
          <w:p w:rsidR="000E54C2" w:rsidRPr="00E8065F" w:rsidRDefault="000E54C2" w:rsidP="00D92024">
            <w:pPr>
              <w:jc w:val="center"/>
              <w:rPr>
                <w:sz w:val="20"/>
                <w:szCs w:val="20"/>
              </w:rPr>
            </w:pPr>
            <w:r w:rsidRPr="00E8065F">
              <w:rPr>
                <w:sz w:val="20"/>
                <w:szCs w:val="20"/>
              </w:rPr>
              <w:t>2023</w:t>
            </w:r>
            <w:r w:rsidR="00793DC9">
              <w:rPr>
                <w:sz w:val="20"/>
                <w:szCs w:val="20"/>
              </w:rPr>
              <w:t xml:space="preserve"> </w:t>
            </w:r>
            <w:r w:rsidR="00D92024">
              <w:rPr>
                <w:sz w:val="20"/>
                <w:szCs w:val="20"/>
              </w:rPr>
              <w:t>(1)</w:t>
            </w:r>
          </w:p>
        </w:tc>
        <w:tc>
          <w:tcPr>
            <w:tcW w:w="1181" w:type="dxa"/>
            <w:tcBorders>
              <w:top w:val="nil"/>
              <w:left w:val="single" w:sz="4" w:space="0" w:color="auto"/>
              <w:bottom w:val="single" w:sz="4" w:space="0" w:color="auto"/>
              <w:right w:val="single" w:sz="4" w:space="0" w:color="auto"/>
            </w:tcBorders>
            <w:shd w:val="clear" w:color="auto" w:fill="auto"/>
          </w:tcPr>
          <w:p w:rsidR="000E54C2" w:rsidRPr="00E8065F" w:rsidRDefault="000E54C2" w:rsidP="00ED4E9F">
            <w:pPr>
              <w:spacing w:line="235" w:lineRule="auto"/>
              <w:jc w:val="center"/>
              <w:rPr>
                <w:color w:val="000000"/>
                <w:sz w:val="20"/>
                <w:szCs w:val="20"/>
              </w:rPr>
            </w:pPr>
            <w:r w:rsidRPr="00E8065F">
              <w:rPr>
                <w:color w:val="000000"/>
                <w:sz w:val="20"/>
                <w:szCs w:val="20"/>
              </w:rPr>
              <w:t>2</w:t>
            </w:r>
          </w:p>
        </w:tc>
        <w:tc>
          <w:tcPr>
            <w:tcW w:w="1478" w:type="dxa"/>
            <w:tcBorders>
              <w:top w:val="nil"/>
              <w:left w:val="single" w:sz="4" w:space="0" w:color="auto"/>
              <w:bottom w:val="single" w:sz="4" w:space="0" w:color="auto"/>
              <w:right w:val="single" w:sz="4" w:space="0" w:color="auto"/>
            </w:tcBorders>
            <w:shd w:val="clear" w:color="auto" w:fill="auto"/>
          </w:tcPr>
          <w:p w:rsidR="000E54C2" w:rsidRPr="00E8065F" w:rsidRDefault="000E54C2" w:rsidP="00ED4E9F">
            <w:pPr>
              <w:spacing w:line="235" w:lineRule="auto"/>
              <w:jc w:val="center"/>
              <w:rPr>
                <w:color w:val="000000"/>
                <w:sz w:val="20"/>
                <w:szCs w:val="20"/>
              </w:rPr>
            </w:pPr>
            <w:r w:rsidRPr="00E8065F">
              <w:rPr>
                <w:color w:val="000000"/>
                <w:sz w:val="20"/>
                <w:szCs w:val="20"/>
              </w:rPr>
              <w:t>98,5</w:t>
            </w:r>
          </w:p>
        </w:tc>
        <w:tc>
          <w:tcPr>
            <w:tcW w:w="1111" w:type="dxa"/>
            <w:tcBorders>
              <w:top w:val="nil"/>
              <w:left w:val="single" w:sz="4" w:space="0" w:color="auto"/>
              <w:bottom w:val="single" w:sz="4" w:space="0" w:color="auto"/>
              <w:right w:val="single" w:sz="4" w:space="0" w:color="auto"/>
            </w:tcBorders>
            <w:shd w:val="clear" w:color="auto" w:fill="auto"/>
          </w:tcPr>
          <w:p w:rsidR="000E54C2" w:rsidRPr="00E8065F" w:rsidRDefault="000E54C2" w:rsidP="00ED4E9F">
            <w:pPr>
              <w:spacing w:line="235" w:lineRule="auto"/>
              <w:jc w:val="center"/>
              <w:rPr>
                <w:color w:val="000000"/>
                <w:sz w:val="20"/>
                <w:szCs w:val="20"/>
              </w:rPr>
            </w:pPr>
            <w:r w:rsidRPr="00E8065F">
              <w:rPr>
                <w:color w:val="000000"/>
                <w:sz w:val="20"/>
                <w:szCs w:val="20"/>
              </w:rPr>
              <w:t>2</w:t>
            </w:r>
          </w:p>
        </w:tc>
        <w:tc>
          <w:tcPr>
            <w:tcW w:w="1944" w:type="dxa"/>
            <w:tcBorders>
              <w:top w:val="nil"/>
              <w:left w:val="single" w:sz="4" w:space="0" w:color="auto"/>
              <w:bottom w:val="single" w:sz="4" w:space="0" w:color="auto"/>
              <w:right w:val="single" w:sz="4" w:space="0" w:color="auto"/>
            </w:tcBorders>
            <w:shd w:val="clear" w:color="auto" w:fill="auto"/>
          </w:tcPr>
          <w:p w:rsidR="000E54C2" w:rsidRPr="00E8065F" w:rsidRDefault="000E54C2" w:rsidP="00ED4E9F">
            <w:pPr>
              <w:spacing w:line="235" w:lineRule="auto"/>
              <w:jc w:val="center"/>
              <w:rPr>
                <w:color w:val="000000"/>
                <w:sz w:val="20"/>
                <w:szCs w:val="20"/>
              </w:rPr>
            </w:pPr>
            <w:r w:rsidRPr="00E8065F">
              <w:rPr>
                <w:color w:val="000000"/>
                <w:sz w:val="20"/>
                <w:szCs w:val="20"/>
              </w:rPr>
              <w:t>Амбулаторное/передвижное</w:t>
            </w:r>
          </w:p>
        </w:tc>
      </w:tr>
      <w:tr w:rsidR="00BA1432" w:rsidRPr="00E8065F" w:rsidTr="000546C2">
        <w:trPr>
          <w:trHeight w:val="20"/>
        </w:trPr>
        <w:tc>
          <w:tcPr>
            <w:tcW w:w="1555" w:type="dxa"/>
            <w:vMerge/>
          </w:tcPr>
          <w:p w:rsidR="000E54C2" w:rsidRPr="00E8065F" w:rsidRDefault="000E54C2" w:rsidP="00BA1432">
            <w:pPr>
              <w:rPr>
                <w:sz w:val="20"/>
                <w:szCs w:val="20"/>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0E54C2" w:rsidRPr="00E8065F" w:rsidRDefault="000E54C2" w:rsidP="00ED4E9F">
            <w:pPr>
              <w:spacing w:line="235" w:lineRule="auto"/>
              <w:jc w:val="both"/>
              <w:rPr>
                <w:color w:val="000000"/>
                <w:sz w:val="20"/>
                <w:szCs w:val="20"/>
              </w:rPr>
            </w:pPr>
            <w:r w:rsidRPr="00E8065F">
              <w:rPr>
                <w:color w:val="000000"/>
                <w:sz w:val="20"/>
                <w:szCs w:val="20"/>
              </w:rPr>
              <w:t xml:space="preserve">ГАУЗ </w:t>
            </w:r>
            <w:r w:rsidR="002F7358">
              <w:rPr>
                <w:color w:val="000000"/>
                <w:sz w:val="20"/>
                <w:szCs w:val="20"/>
              </w:rPr>
              <w:t>«</w:t>
            </w:r>
            <w:r w:rsidRPr="00E8065F">
              <w:rPr>
                <w:color w:val="000000"/>
                <w:sz w:val="20"/>
                <w:szCs w:val="20"/>
              </w:rPr>
              <w:t>Городская поликлиника №</w:t>
            </w:r>
            <w:r w:rsidR="00007FB5">
              <w:rPr>
                <w:color w:val="000000"/>
                <w:sz w:val="20"/>
                <w:szCs w:val="20"/>
              </w:rPr>
              <w:t xml:space="preserve"> </w:t>
            </w:r>
            <w:r w:rsidRPr="00E8065F">
              <w:rPr>
                <w:color w:val="000000"/>
                <w:sz w:val="20"/>
                <w:szCs w:val="20"/>
              </w:rPr>
              <w:t>18</w:t>
            </w:r>
            <w:r w:rsidR="002F7358">
              <w:rPr>
                <w:color w:val="000000"/>
                <w:sz w:val="20"/>
                <w:szCs w:val="20"/>
              </w:rPr>
              <w:t>»</w:t>
            </w:r>
            <w:r w:rsidR="003722E0">
              <w:rPr>
                <w:color w:val="000000"/>
                <w:sz w:val="20"/>
                <w:szCs w:val="20"/>
              </w:rPr>
              <w:t xml:space="preserve"> г.Казани</w:t>
            </w:r>
          </w:p>
        </w:tc>
        <w:tc>
          <w:tcPr>
            <w:tcW w:w="1994" w:type="dxa"/>
            <w:tcBorders>
              <w:top w:val="single" w:sz="4" w:space="0" w:color="auto"/>
              <w:left w:val="single" w:sz="4" w:space="0" w:color="auto"/>
              <w:bottom w:val="single" w:sz="4" w:space="0" w:color="auto"/>
              <w:right w:val="single" w:sz="4" w:space="0" w:color="auto"/>
            </w:tcBorders>
            <w:shd w:val="clear" w:color="auto" w:fill="auto"/>
          </w:tcPr>
          <w:p w:rsidR="000E54C2" w:rsidRPr="00E8065F" w:rsidRDefault="000E54C2" w:rsidP="00ED4E9F">
            <w:pPr>
              <w:spacing w:line="235" w:lineRule="auto"/>
              <w:jc w:val="center"/>
              <w:rPr>
                <w:color w:val="000000"/>
                <w:sz w:val="20"/>
                <w:szCs w:val="20"/>
              </w:rPr>
            </w:pPr>
            <w:r w:rsidRPr="00E8065F">
              <w:rPr>
                <w:color w:val="000000"/>
                <w:sz w:val="20"/>
                <w:szCs w:val="20"/>
              </w:rPr>
              <w:t>Флюорограф</w:t>
            </w:r>
          </w:p>
        </w:tc>
        <w:tc>
          <w:tcPr>
            <w:tcW w:w="1181" w:type="dxa"/>
            <w:tcBorders>
              <w:top w:val="single" w:sz="4" w:space="0" w:color="auto"/>
            </w:tcBorders>
            <w:shd w:val="clear" w:color="auto" w:fill="auto"/>
          </w:tcPr>
          <w:p w:rsidR="000E54C2" w:rsidRPr="00E8065F" w:rsidRDefault="000E54C2" w:rsidP="00ED4E9F">
            <w:pPr>
              <w:spacing w:line="235" w:lineRule="auto"/>
              <w:jc w:val="center"/>
              <w:rPr>
                <w:sz w:val="20"/>
                <w:szCs w:val="20"/>
              </w:rPr>
            </w:pPr>
            <w:r w:rsidRPr="00E8065F">
              <w:rPr>
                <w:sz w:val="20"/>
                <w:szCs w:val="20"/>
              </w:rPr>
              <w:t>2018</w:t>
            </w:r>
          </w:p>
        </w:tc>
        <w:tc>
          <w:tcPr>
            <w:tcW w:w="1181" w:type="dxa"/>
            <w:tcBorders>
              <w:top w:val="single" w:sz="4" w:space="0" w:color="auto"/>
              <w:left w:val="single" w:sz="4" w:space="0" w:color="auto"/>
              <w:bottom w:val="single" w:sz="4" w:space="0" w:color="auto"/>
              <w:right w:val="single" w:sz="4" w:space="0" w:color="auto"/>
            </w:tcBorders>
            <w:shd w:val="clear" w:color="auto" w:fill="auto"/>
          </w:tcPr>
          <w:p w:rsidR="000E54C2" w:rsidRPr="00E8065F" w:rsidRDefault="000E54C2" w:rsidP="00ED4E9F">
            <w:pPr>
              <w:spacing w:line="235" w:lineRule="auto"/>
              <w:jc w:val="center"/>
              <w:rPr>
                <w:color w:val="000000"/>
                <w:sz w:val="20"/>
                <w:szCs w:val="20"/>
              </w:rPr>
            </w:pPr>
            <w:r w:rsidRPr="00E8065F">
              <w:rPr>
                <w:color w:val="000000"/>
                <w:sz w:val="20"/>
                <w:szCs w:val="20"/>
              </w:rPr>
              <w:t>1</w:t>
            </w:r>
          </w:p>
        </w:tc>
        <w:tc>
          <w:tcPr>
            <w:tcW w:w="1478" w:type="dxa"/>
            <w:tcBorders>
              <w:top w:val="single" w:sz="4" w:space="0" w:color="auto"/>
              <w:left w:val="single" w:sz="4" w:space="0" w:color="auto"/>
              <w:bottom w:val="single" w:sz="4" w:space="0" w:color="auto"/>
              <w:right w:val="single" w:sz="4" w:space="0" w:color="auto"/>
            </w:tcBorders>
            <w:shd w:val="clear" w:color="auto" w:fill="auto"/>
          </w:tcPr>
          <w:p w:rsidR="000E54C2" w:rsidRPr="00E8065F" w:rsidRDefault="000E54C2" w:rsidP="00ED4E9F">
            <w:pPr>
              <w:spacing w:line="235" w:lineRule="auto"/>
              <w:jc w:val="center"/>
              <w:rPr>
                <w:color w:val="000000"/>
                <w:sz w:val="20"/>
                <w:szCs w:val="20"/>
              </w:rPr>
            </w:pPr>
            <w:r w:rsidRPr="00E8065F">
              <w:rPr>
                <w:color w:val="000000"/>
                <w:sz w:val="20"/>
                <w:szCs w:val="20"/>
              </w:rPr>
              <w:t>69,0</w:t>
            </w:r>
          </w:p>
        </w:tc>
        <w:tc>
          <w:tcPr>
            <w:tcW w:w="1111" w:type="dxa"/>
            <w:tcBorders>
              <w:top w:val="single" w:sz="4" w:space="0" w:color="auto"/>
              <w:left w:val="single" w:sz="4" w:space="0" w:color="auto"/>
              <w:bottom w:val="single" w:sz="4" w:space="0" w:color="auto"/>
              <w:right w:val="single" w:sz="4" w:space="0" w:color="auto"/>
            </w:tcBorders>
            <w:shd w:val="clear" w:color="auto" w:fill="auto"/>
          </w:tcPr>
          <w:p w:rsidR="000E54C2" w:rsidRPr="00E8065F" w:rsidRDefault="000E54C2" w:rsidP="00ED4E9F">
            <w:pPr>
              <w:spacing w:line="235" w:lineRule="auto"/>
              <w:jc w:val="center"/>
              <w:rPr>
                <w:color w:val="000000"/>
                <w:sz w:val="20"/>
                <w:szCs w:val="20"/>
              </w:rPr>
            </w:pPr>
            <w:r w:rsidRPr="00E8065F">
              <w:rPr>
                <w:color w:val="000000"/>
                <w:sz w:val="20"/>
                <w:szCs w:val="20"/>
              </w:rPr>
              <w:t>2</w:t>
            </w:r>
          </w:p>
        </w:tc>
        <w:tc>
          <w:tcPr>
            <w:tcW w:w="1944" w:type="dxa"/>
            <w:tcBorders>
              <w:top w:val="single" w:sz="4" w:space="0" w:color="auto"/>
              <w:left w:val="single" w:sz="4" w:space="0" w:color="auto"/>
              <w:bottom w:val="single" w:sz="4" w:space="0" w:color="auto"/>
              <w:right w:val="single" w:sz="4" w:space="0" w:color="auto"/>
            </w:tcBorders>
            <w:shd w:val="clear" w:color="auto" w:fill="auto"/>
          </w:tcPr>
          <w:p w:rsidR="000E54C2" w:rsidRPr="00E8065F" w:rsidRDefault="000E54C2" w:rsidP="00ED4E9F">
            <w:pPr>
              <w:spacing w:line="235" w:lineRule="auto"/>
              <w:jc w:val="center"/>
              <w:rPr>
                <w:color w:val="000000"/>
                <w:sz w:val="20"/>
                <w:szCs w:val="20"/>
              </w:rPr>
            </w:pPr>
            <w:r w:rsidRPr="00E8065F">
              <w:rPr>
                <w:color w:val="000000"/>
                <w:sz w:val="20"/>
                <w:szCs w:val="20"/>
              </w:rPr>
              <w:t>Амбулаторное</w:t>
            </w:r>
          </w:p>
        </w:tc>
      </w:tr>
      <w:tr w:rsidR="00BA1432" w:rsidRPr="00E8065F" w:rsidTr="000546C2">
        <w:trPr>
          <w:trHeight w:val="20"/>
        </w:trPr>
        <w:tc>
          <w:tcPr>
            <w:tcW w:w="1555" w:type="dxa"/>
            <w:vMerge/>
          </w:tcPr>
          <w:p w:rsidR="000E54C2" w:rsidRPr="00E8065F" w:rsidRDefault="000E54C2" w:rsidP="00BA1432">
            <w:pPr>
              <w:rPr>
                <w:sz w:val="20"/>
                <w:szCs w:val="20"/>
              </w:rPr>
            </w:pPr>
          </w:p>
        </w:tc>
        <w:tc>
          <w:tcPr>
            <w:tcW w:w="3685" w:type="dxa"/>
            <w:tcBorders>
              <w:top w:val="nil"/>
              <w:left w:val="single" w:sz="4" w:space="0" w:color="auto"/>
              <w:bottom w:val="single" w:sz="4" w:space="0" w:color="auto"/>
              <w:right w:val="single" w:sz="4" w:space="0" w:color="auto"/>
            </w:tcBorders>
            <w:shd w:val="clear" w:color="auto" w:fill="auto"/>
          </w:tcPr>
          <w:p w:rsidR="000E54C2" w:rsidRPr="00E8065F" w:rsidRDefault="000E54C2" w:rsidP="00ED4E9F">
            <w:pPr>
              <w:spacing w:line="235" w:lineRule="auto"/>
              <w:jc w:val="both"/>
              <w:rPr>
                <w:color w:val="000000"/>
                <w:sz w:val="20"/>
                <w:szCs w:val="20"/>
              </w:rPr>
            </w:pPr>
            <w:r w:rsidRPr="00E8065F">
              <w:rPr>
                <w:color w:val="000000"/>
                <w:sz w:val="20"/>
                <w:szCs w:val="20"/>
              </w:rPr>
              <w:t xml:space="preserve">ГАУЗ </w:t>
            </w:r>
            <w:r w:rsidR="002F7358">
              <w:rPr>
                <w:color w:val="000000"/>
                <w:sz w:val="20"/>
                <w:szCs w:val="20"/>
              </w:rPr>
              <w:t>«</w:t>
            </w:r>
            <w:r w:rsidRPr="00E8065F">
              <w:rPr>
                <w:color w:val="000000"/>
                <w:sz w:val="20"/>
                <w:szCs w:val="20"/>
              </w:rPr>
              <w:t>Городская поликлиника №</w:t>
            </w:r>
            <w:r w:rsidR="00007FB5">
              <w:rPr>
                <w:color w:val="000000"/>
                <w:sz w:val="20"/>
                <w:szCs w:val="20"/>
              </w:rPr>
              <w:t xml:space="preserve"> </w:t>
            </w:r>
            <w:r w:rsidRPr="00E8065F">
              <w:rPr>
                <w:color w:val="000000"/>
                <w:sz w:val="20"/>
                <w:szCs w:val="20"/>
              </w:rPr>
              <w:t>20</w:t>
            </w:r>
            <w:r w:rsidR="002F7358">
              <w:rPr>
                <w:color w:val="000000"/>
                <w:sz w:val="20"/>
                <w:szCs w:val="20"/>
              </w:rPr>
              <w:t>»</w:t>
            </w:r>
            <w:r w:rsidR="003722E0">
              <w:rPr>
                <w:color w:val="000000"/>
                <w:sz w:val="20"/>
                <w:szCs w:val="20"/>
              </w:rPr>
              <w:t xml:space="preserve"> г.Казани</w:t>
            </w:r>
          </w:p>
        </w:tc>
        <w:tc>
          <w:tcPr>
            <w:tcW w:w="1994" w:type="dxa"/>
            <w:tcBorders>
              <w:top w:val="nil"/>
              <w:left w:val="single" w:sz="4" w:space="0" w:color="auto"/>
              <w:bottom w:val="single" w:sz="4" w:space="0" w:color="auto"/>
              <w:right w:val="single" w:sz="4" w:space="0" w:color="auto"/>
            </w:tcBorders>
            <w:shd w:val="clear" w:color="auto" w:fill="auto"/>
          </w:tcPr>
          <w:p w:rsidR="000E54C2" w:rsidRPr="00E8065F" w:rsidRDefault="000E54C2" w:rsidP="00ED4E9F">
            <w:pPr>
              <w:spacing w:line="235" w:lineRule="auto"/>
              <w:jc w:val="center"/>
              <w:rPr>
                <w:color w:val="000000"/>
                <w:sz w:val="20"/>
                <w:szCs w:val="20"/>
              </w:rPr>
            </w:pPr>
            <w:r w:rsidRPr="00E8065F">
              <w:rPr>
                <w:color w:val="000000"/>
                <w:sz w:val="20"/>
                <w:szCs w:val="20"/>
              </w:rPr>
              <w:t>Флюорограф</w:t>
            </w:r>
          </w:p>
        </w:tc>
        <w:tc>
          <w:tcPr>
            <w:tcW w:w="1181" w:type="dxa"/>
            <w:shd w:val="clear" w:color="auto" w:fill="auto"/>
          </w:tcPr>
          <w:p w:rsidR="00D92024" w:rsidRPr="00E8065F" w:rsidRDefault="000E54C2" w:rsidP="00D92024">
            <w:pPr>
              <w:jc w:val="center"/>
              <w:rPr>
                <w:sz w:val="20"/>
                <w:szCs w:val="20"/>
              </w:rPr>
            </w:pPr>
            <w:r w:rsidRPr="00E8065F">
              <w:rPr>
                <w:sz w:val="20"/>
                <w:szCs w:val="20"/>
              </w:rPr>
              <w:t>2012</w:t>
            </w:r>
            <w:r w:rsidR="00793DC9">
              <w:rPr>
                <w:sz w:val="20"/>
                <w:szCs w:val="20"/>
              </w:rPr>
              <w:t xml:space="preserve"> </w:t>
            </w:r>
            <w:r w:rsidR="00D92024">
              <w:rPr>
                <w:sz w:val="20"/>
                <w:szCs w:val="20"/>
              </w:rPr>
              <w:t>(1)</w:t>
            </w:r>
          </w:p>
          <w:p w:rsidR="000E54C2" w:rsidRPr="00E8065F" w:rsidRDefault="000E54C2" w:rsidP="00D92024">
            <w:pPr>
              <w:jc w:val="center"/>
              <w:rPr>
                <w:sz w:val="20"/>
                <w:szCs w:val="20"/>
              </w:rPr>
            </w:pPr>
            <w:r w:rsidRPr="00E8065F">
              <w:rPr>
                <w:sz w:val="20"/>
                <w:szCs w:val="20"/>
              </w:rPr>
              <w:t>2022</w:t>
            </w:r>
            <w:r w:rsidR="00793DC9">
              <w:rPr>
                <w:sz w:val="20"/>
                <w:szCs w:val="20"/>
              </w:rPr>
              <w:t xml:space="preserve"> </w:t>
            </w:r>
            <w:r w:rsidR="00D92024">
              <w:rPr>
                <w:sz w:val="20"/>
                <w:szCs w:val="20"/>
              </w:rPr>
              <w:t>(1)</w:t>
            </w:r>
          </w:p>
        </w:tc>
        <w:tc>
          <w:tcPr>
            <w:tcW w:w="1181" w:type="dxa"/>
            <w:tcBorders>
              <w:top w:val="nil"/>
              <w:left w:val="single" w:sz="4" w:space="0" w:color="auto"/>
              <w:bottom w:val="single" w:sz="4" w:space="0" w:color="auto"/>
              <w:right w:val="single" w:sz="4" w:space="0" w:color="auto"/>
            </w:tcBorders>
            <w:shd w:val="clear" w:color="auto" w:fill="auto"/>
          </w:tcPr>
          <w:p w:rsidR="000E54C2" w:rsidRPr="00E8065F" w:rsidRDefault="000E54C2" w:rsidP="00ED4E9F">
            <w:pPr>
              <w:spacing w:line="235" w:lineRule="auto"/>
              <w:jc w:val="center"/>
              <w:rPr>
                <w:color w:val="000000"/>
                <w:sz w:val="20"/>
                <w:szCs w:val="20"/>
              </w:rPr>
            </w:pPr>
            <w:r w:rsidRPr="00E8065F">
              <w:rPr>
                <w:color w:val="000000"/>
                <w:sz w:val="20"/>
                <w:szCs w:val="20"/>
              </w:rPr>
              <w:t>2</w:t>
            </w:r>
          </w:p>
        </w:tc>
        <w:tc>
          <w:tcPr>
            <w:tcW w:w="1478" w:type="dxa"/>
            <w:tcBorders>
              <w:top w:val="nil"/>
              <w:left w:val="single" w:sz="4" w:space="0" w:color="auto"/>
              <w:bottom w:val="single" w:sz="4" w:space="0" w:color="auto"/>
              <w:right w:val="single" w:sz="4" w:space="0" w:color="auto"/>
            </w:tcBorders>
            <w:shd w:val="clear" w:color="auto" w:fill="auto"/>
          </w:tcPr>
          <w:p w:rsidR="000E54C2" w:rsidRPr="00E8065F" w:rsidRDefault="000E54C2" w:rsidP="00ED4E9F">
            <w:pPr>
              <w:spacing w:line="235" w:lineRule="auto"/>
              <w:jc w:val="center"/>
              <w:rPr>
                <w:color w:val="000000"/>
                <w:sz w:val="20"/>
                <w:szCs w:val="20"/>
              </w:rPr>
            </w:pPr>
            <w:r w:rsidRPr="00E8065F">
              <w:rPr>
                <w:color w:val="000000"/>
                <w:sz w:val="20"/>
                <w:szCs w:val="20"/>
              </w:rPr>
              <w:t>72,1</w:t>
            </w:r>
          </w:p>
        </w:tc>
        <w:tc>
          <w:tcPr>
            <w:tcW w:w="1111" w:type="dxa"/>
            <w:tcBorders>
              <w:top w:val="nil"/>
              <w:left w:val="single" w:sz="4" w:space="0" w:color="auto"/>
              <w:bottom w:val="single" w:sz="4" w:space="0" w:color="auto"/>
              <w:right w:val="single" w:sz="4" w:space="0" w:color="auto"/>
            </w:tcBorders>
            <w:shd w:val="clear" w:color="auto" w:fill="auto"/>
          </w:tcPr>
          <w:p w:rsidR="000E54C2" w:rsidRPr="00E8065F" w:rsidRDefault="000E54C2" w:rsidP="00ED4E9F">
            <w:pPr>
              <w:spacing w:line="235" w:lineRule="auto"/>
              <w:jc w:val="center"/>
              <w:rPr>
                <w:color w:val="000000"/>
                <w:sz w:val="20"/>
                <w:szCs w:val="20"/>
              </w:rPr>
            </w:pPr>
            <w:r w:rsidRPr="00E8065F">
              <w:rPr>
                <w:color w:val="000000"/>
                <w:sz w:val="20"/>
                <w:szCs w:val="20"/>
              </w:rPr>
              <w:t>2</w:t>
            </w:r>
          </w:p>
        </w:tc>
        <w:tc>
          <w:tcPr>
            <w:tcW w:w="1944" w:type="dxa"/>
            <w:tcBorders>
              <w:top w:val="nil"/>
              <w:left w:val="single" w:sz="4" w:space="0" w:color="auto"/>
              <w:bottom w:val="single" w:sz="4" w:space="0" w:color="auto"/>
              <w:right w:val="single" w:sz="4" w:space="0" w:color="auto"/>
            </w:tcBorders>
            <w:shd w:val="clear" w:color="auto" w:fill="auto"/>
          </w:tcPr>
          <w:p w:rsidR="000E54C2" w:rsidRPr="00E8065F" w:rsidRDefault="000E54C2" w:rsidP="00ED4E9F">
            <w:pPr>
              <w:spacing w:line="235" w:lineRule="auto"/>
              <w:jc w:val="center"/>
              <w:rPr>
                <w:color w:val="000000"/>
                <w:sz w:val="20"/>
                <w:szCs w:val="20"/>
              </w:rPr>
            </w:pPr>
            <w:r w:rsidRPr="00E8065F">
              <w:rPr>
                <w:color w:val="000000"/>
                <w:sz w:val="20"/>
                <w:szCs w:val="20"/>
              </w:rPr>
              <w:t>Амбулаторное/передвижное</w:t>
            </w:r>
          </w:p>
        </w:tc>
      </w:tr>
      <w:tr w:rsidR="00BA1432" w:rsidRPr="00E8065F" w:rsidTr="000546C2">
        <w:trPr>
          <w:trHeight w:val="20"/>
        </w:trPr>
        <w:tc>
          <w:tcPr>
            <w:tcW w:w="1555" w:type="dxa"/>
            <w:vMerge/>
          </w:tcPr>
          <w:p w:rsidR="000E54C2" w:rsidRPr="00E8065F" w:rsidRDefault="000E54C2" w:rsidP="00BA1432">
            <w:pPr>
              <w:rPr>
                <w:sz w:val="20"/>
                <w:szCs w:val="20"/>
              </w:rPr>
            </w:pPr>
          </w:p>
        </w:tc>
        <w:tc>
          <w:tcPr>
            <w:tcW w:w="3685" w:type="dxa"/>
            <w:tcBorders>
              <w:top w:val="nil"/>
              <w:left w:val="single" w:sz="4" w:space="0" w:color="auto"/>
              <w:bottom w:val="single" w:sz="4" w:space="0" w:color="auto"/>
              <w:right w:val="single" w:sz="4" w:space="0" w:color="auto"/>
            </w:tcBorders>
            <w:shd w:val="clear" w:color="auto" w:fill="auto"/>
          </w:tcPr>
          <w:p w:rsidR="000E54C2" w:rsidRPr="00E8065F" w:rsidRDefault="000E54C2" w:rsidP="00ED4E9F">
            <w:pPr>
              <w:spacing w:line="235" w:lineRule="auto"/>
              <w:jc w:val="both"/>
              <w:rPr>
                <w:color w:val="000000"/>
                <w:sz w:val="20"/>
                <w:szCs w:val="20"/>
              </w:rPr>
            </w:pPr>
            <w:r w:rsidRPr="00E8065F">
              <w:rPr>
                <w:color w:val="000000"/>
                <w:sz w:val="20"/>
                <w:szCs w:val="20"/>
              </w:rPr>
              <w:t xml:space="preserve">ГАУЗ </w:t>
            </w:r>
            <w:r w:rsidR="002F7358">
              <w:rPr>
                <w:color w:val="000000"/>
                <w:sz w:val="20"/>
                <w:szCs w:val="20"/>
              </w:rPr>
              <w:t>«</w:t>
            </w:r>
            <w:r w:rsidRPr="00E8065F">
              <w:rPr>
                <w:color w:val="000000"/>
                <w:sz w:val="20"/>
                <w:szCs w:val="20"/>
              </w:rPr>
              <w:t>Городская поликлиника №</w:t>
            </w:r>
            <w:r w:rsidR="00007FB5">
              <w:rPr>
                <w:color w:val="000000"/>
                <w:sz w:val="20"/>
                <w:szCs w:val="20"/>
              </w:rPr>
              <w:t xml:space="preserve"> </w:t>
            </w:r>
            <w:r w:rsidRPr="00E8065F">
              <w:rPr>
                <w:color w:val="000000"/>
                <w:sz w:val="20"/>
                <w:szCs w:val="20"/>
              </w:rPr>
              <w:t>21</w:t>
            </w:r>
            <w:r w:rsidR="002F7358">
              <w:rPr>
                <w:color w:val="000000"/>
                <w:sz w:val="20"/>
                <w:szCs w:val="20"/>
              </w:rPr>
              <w:t>»</w:t>
            </w:r>
            <w:r w:rsidRPr="00E8065F">
              <w:rPr>
                <w:color w:val="000000"/>
                <w:sz w:val="20"/>
                <w:szCs w:val="20"/>
              </w:rPr>
              <w:t xml:space="preserve"> г.</w:t>
            </w:r>
            <w:r w:rsidR="003722E0">
              <w:rPr>
                <w:color w:val="000000"/>
                <w:sz w:val="20"/>
                <w:szCs w:val="20"/>
              </w:rPr>
              <w:t>Казани</w:t>
            </w:r>
          </w:p>
        </w:tc>
        <w:tc>
          <w:tcPr>
            <w:tcW w:w="1994" w:type="dxa"/>
            <w:tcBorders>
              <w:top w:val="nil"/>
              <w:left w:val="single" w:sz="4" w:space="0" w:color="auto"/>
              <w:bottom w:val="single" w:sz="4" w:space="0" w:color="auto"/>
              <w:right w:val="single" w:sz="4" w:space="0" w:color="auto"/>
            </w:tcBorders>
            <w:shd w:val="clear" w:color="auto" w:fill="auto"/>
          </w:tcPr>
          <w:p w:rsidR="000E54C2" w:rsidRPr="00E8065F" w:rsidRDefault="000E54C2" w:rsidP="00ED4E9F">
            <w:pPr>
              <w:spacing w:line="235" w:lineRule="auto"/>
              <w:jc w:val="center"/>
              <w:rPr>
                <w:color w:val="000000"/>
                <w:sz w:val="20"/>
                <w:szCs w:val="20"/>
              </w:rPr>
            </w:pPr>
            <w:r w:rsidRPr="00E8065F">
              <w:rPr>
                <w:color w:val="000000"/>
                <w:sz w:val="20"/>
                <w:szCs w:val="20"/>
              </w:rPr>
              <w:t>Флюорограф</w:t>
            </w:r>
          </w:p>
        </w:tc>
        <w:tc>
          <w:tcPr>
            <w:tcW w:w="1181" w:type="dxa"/>
            <w:shd w:val="clear" w:color="auto" w:fill="auto"/>
          </w:tcPr>
          <w:p w:rsidR="00D92024" w:rsidRPr="00E8065F" w:rsidRDefault="000E54C2" w:rsidP="00D92024">
            <w:pPr>
              <w:jc w:val="center"/>
              <w:rPr>
                <w:sz w:val="20"/>
                <w:szCs w:val="20"/>
              </w:rPr>
            </w:pPr>
            <w:r w:rsidRPr="00E8065F">
              <w:rPr>
                <w:sz w:val="20"/>
                <w:szCs w:val="20"/>
              </w:rPr>
              <w:t>2012</w:t>
            </w:r>
            <w:r w:rsidR="00793DC9">
              <w:rPr>
                <w:sz w:val="20"/>
                <w:szCs w:val="20"/>
              </w:rPr>
              <w:t xml:space="preserve"> </w:t>
            </w:r>
            <w:r w:rsidR="00D92024">
              <w:rPr>
                <w:sz w:val="20"/>
                <w:szCs w:val="20"/>
              </w:rPr>
              <w:t>(1)</w:t>
            </w:r>
          </w:p>
          <w:p w:rsidR="000E54C2" w:rsidRPr="00E8065F" w:rsidRDefault="000E54C2" w:rsidP="00D92024">
            <w:pPr>
              <w:jc w:val="center"/>
              <w:rPr>
                <w:sz w:val="20"/>
                <w:szCs w:val="20"/>
              </w:rPr>
            </w:pPr>
            <w:r w:rsidRPr="00E8065F">
              <w:rPr>
                <w:sz w:val="20"/>
                <w:szCs w:val="20"/>
              </w:rPr>
              <w:t>2017</w:t>
            </w:r>
            <w:r w:rsidR="00793DC9">
              <w:rPr>
                <w:sz w:val="20"/>
                <w:szCs w:val="20"/>
              </w:rPr>
              <w:t xml:space="preserve"> </w:t>
            </w:r>
            <w:r w:rsidR="00D92024">
              <w:rPr>
                <w:sz w:val="20"/>
                <w:szCs w:val="20"/>
              </w:rPr>
              <w:t>(1)</w:t>
            </w:r>
          </w:p>
        </w:tc>
        <w:tc>
          <w:tcPr>
            <w:tcW w:w="1181" w:type="dxa"/>
            <w:tcBorders>
              <w:top w:val="nil"/>
              <w:left w:val="single" w:sz="4" w:space="0" w:color="auto"/>
              <w:bottom w:val="single" w:sz="4" w:space="0" w:color="auto"/>
              <w:right w:val="single" w:sz="4" w:space="0" w:color="auto"/>
            </w:tcBorders>
            <w:shd w:val="clear" w:color="auto" w:fill="auto"/>
          </w:tcPr>
          <w:p w:rsidR="000E54C2" w:rsidRPr="00E8065F" w:rsidRDefault="000E54C2" w:rsidP="00ED4E9F">
            <w:pPr>
              <w:spacing w:line="235" w:lineRule="auto"/>
              <w:jc w:val="center"/>
              <w:rPr>
                <w:color w:val="000000"/>
                <w:sz w:val="20"/>
                <w:szCs w:val="20"/>
              </w:rPr>
            </w:pPr>
            <w:r w:rsidRPr="00E8065F">
              <w:rPr>
                <w:color w:val="000000"/>
                <w:sz w:val="20"/>
                <w:szCs w:val="20"/>
              </w:rPr>
              <w:t>2</w:t>
            </w:r>
          </w:p>
        </w:tc>
        <w:tc>
          <w:tcPr>
            <w:tcW w:w="1478" w:type="dxa"/>
            <w:tcBorders>
              <w:top w:val="nil"/>
              <w:left w:val="single" w:sz="4" w:space="0" w:color="auto"/>
              <w:bottom w:val="single" w:sz="4" w:space="0" w:color="auto"/>
              <w:right w:val="single" w:sz="4" w:space="0" w:color="auto"/>
            </w:tcBorders>
            <w:shd w:val="clear" w:color="auto" w:fill="auto"/>
          </w:tcPr>
          <w:p w:rsidR="000E54C2" w:rsidRPr="00E8065F" w:rsidRDefault="000E54C2" w:rsidP="00ED4E9F">
            <w:pPr>
              <w:spacing w:line="235" w:lineRule="auto"/>
              <w:jc w:val="center"/>
              <w:rPr>
                <w:color w:val="000000"/>
                <w:sz w:val="20"/>
                <w:szCs w:val="20"/>
              </w:rPr>
            </w:pPr>
            <w:r w:rsidRPr="00E8065F">
              <w:rPr>
                <w:color w:val="000000"/>
                <w:sz w:val="20"/>
                <w:szCs w:val="20"/>
              </w:rPr>
              <w:t>94,3</w:t>
            </w:r>
          </w:p>
        </w:tc>
        <w:tc>
          <w:tcPr>
            <w:tcW w:w="1111" w:type="dxa"/>
            <w:tcBorders>
              <w:top w:val="nil"/>
              <w:left w:val="single" w:sz="4" w:space="0" w:color="auto"/>
              <w:bottom w:val="single" w:sz="4" w:space="0" w:color="auto"/>
              <w:right w:val="single" w:sz="4" w:space="0" w:color="auto"/>
            </w:tcBorders>
            <w:shd w:val="clear" w:color="auto" w:fill="auto"/>
          </w:tcPr>
          <w:p w:rsidR="000E54C2" w:rsidRPr="00E8065F" w:rsidRDefault="000E54C2" w:rsidP="00ED4E9F">
            <w:pPr>
              <w:spacing w:line="235" w:lineRule="auto"/>
              <w:jc w:val="center"/>
              <w:rPr>
                <w:color w:val="000000"/>
                <w:sz w:val="20"/>
                <w:szCs w:val="20"/>
              </w:rPr>
            </w:pPr>
            <w:r w:rsidRPr="00E8065F">
              <w:rPr>
                <w:color w:val="000000"/>
                <w:sz w:val="20"/>
                <w:szCs w:val="20"/>
              </w:rPr>
              <w:t>2</w:t>
            </w:r>
          </w:p>
        </w:tc>
        <w:tc>
          <w:tcPr>
            <w:tcW w:w="1944" w:type="dxa"/>
            <w:tcBorders>
              <w:top w:val="nil"/>
              <w:left w:val="single" w:sz="4" w:space="0" w:color="auto"/>
              <w:bottom w:val="single" w:sz="4" w:space="0" w:color="auto"/>
              <w:right w:val="single" w:sz="4" w:space="0" w:color="auto"/>
            </w:tcBorders>
            <w:shd w:val="clear" w:color="auto" w:fill="auto"/>
          </w:tcPr>
          <w:p w:rsidR="000E54C2" w:rsidRPr="00E8065F" w:rsidRDefault="000E54C2" w:rsidP="00ED4E9F">
            <w:pPr>
              <w:spacing w:line="235" w:lineRule="auto"/>
              <w:jc w:val="center"/>
              <w:rPr>
                <w:color w:val="000000"/>
                <w:sz w:val="20"/>
                <w:szCs w:val="20"/>
              </w:rPr>
            </w:pPr>
            <w:r w:rsidRPr="00E8065F">
              <w:rPr>
                <w:color w:val="000000"/>
                <w:sz w:val="20"/>
                <w:szCs w:val="20"/>
              </w:rPr>
              <w:t>Амбулаторное</w:t>
            </w:r>
          </w:p>
        </w:tc>
      </w:tr>
      <w:tr w:rsidR="00BA1432" w:rsidRPr="00E8065F" w:rsidTr="000546C2">
        <w:trPr>
          <w:trHeight w:val="20"/>
        </w:trPr>
        <w:tc>
          <w:tcPr>
            <w:tcW w:w="1555" w:type="dxa"/>
            <w:vMerge/>
          </w:tcPr>
          <w:p w:rsidR="000E54C2" w:rsidRPr="00E8065F" w:rsidRDefault="000E54C2" w:rsidP="00BA1432">
            <w:pPr>
              <w:rPr>
                <w:sz w:val="20"/>
                <w:szCs w:val="20"/>
              </w:rPr>
            </w:pPr>
          </w:p>
        </w:tc>
        <w:tc>
          <w:tcPr>
            <w:tcW w:w="3685" w:type="dxa"/>
            <w:tcBorders>
              <w:top w:val="nil"/>
              <w:left w:val="single" w:sz="4" w:space="0" w:color="auto"/>
              <w:bottom w:val="single" w:sz="4" w:space="0" w:color="auto"/>
              <w:right w:val="single" w:sz="4" w:space="0" w:color="auto"/>
            </w:tcBorders>
            <w:shd w:val="clear" w:color="auto" w:fill="auto"/>
          </w:tcPr>
          <w:p w:rsidR="000E54C2" w:rsidRPr="00E8065F" w:rsidRDefault="000E54C2" w:rsidP="00ED4E9F">
            <w:pPr>
              <w:spacing w:line="235" w:lineRule="auto"/>
              <w:jc w:val="both"/>
              <w:rPr>
                <w:color w:val="000000"/>
                <w:sz w:val="20"/>
                <w:szCs w:val="20"/>
              </w:rPr>
            </w:pPr>
            <w:r w:rsidRPr="00E8065F">
              <w:rPr>
                <w:color w:val="000000"/>
                <w:sz w:val="20"/>
                <w:szCs w:val="20"/>
              </w:rPr>
              <w:t xml:space="preserve">ГАУЗ </w:t>
            </w:r>
            <w:r w:rsidR="002F7358">
              <w:rPr>
                <w:color w:val="000000"/>
                <w:sz w:val="20"/>
                <w:szCs w:val="20"/>
              </w:rPr>
              <w:t>«</w:t>
            </w:r>
            <w:r w:rsidRPr="00E8065F">
              <w:rPr>
                <w:color w:val="000000"/>
                <w:sz w:val="20"/>
                <w:szCs w:val="20"/>
              </w:rPr>
              <w:t>Городская поликлиника №</w:t>
            </w:r>
            <w:r w:rsidR="00007FB5">
              <w:rPr>
                <w:color w:val="000000"/>
                <w:sz w:val="20"/>
                <w:szCs w:val="20"/>
              </w:rPr>
              <w:t xml:space="preserve"> </w:t>
            </w:r>
            <w:r w:rsidRPr="00E8065F">
              <w:rPr>
                <w:color w:val="000000"/>
                <w:sz w:val="20"/>
                <w:szCs w:val="20"/>
              </w:rPr>
              <w:t>7</w:t>
            </w:r>
            <w:r w:rsidR="002F7358">
              <w:rPr>
                <w:color w:val="000000"/>
                <w:sz w:val="20"/>
                <w:szCs w:val="20"/>
              </w:rPr>
              <w:t>»</w:t>
            </w:r>
            <w:r w:rsidR="003722E0">
              <w:rPr>
                <w:color w:val="000000"/>
                <w:sz w:val="20"/>
                <w:szCs w:val="20"/>
              </w:rPr>
              <w:t xml:space="preserve"> г.Казани</w:t>
            </w:r>
          </w:p>
        </w:tc>
        <w:tc>
          <w:tcPr>
            <w:tcW w:w="1994" w:type="dxa"/>
            <w:tcBorders>
              <w:top w:val="nil"/>
              <w:left w:val="single" w:sz="4" w:space="0" w:color="auto"/>
              <w:bottom w:val="single" w:sz="4" w:space="0" w:color="auto"/>
              <w:right w:val="single" w:sz="4" w:space="0" w:color="auto"/>
            </w:tcBorders>
            <w:shd w:val="clear" w:color="auto" w:fill="auto"/>
          </w:tcPr>
          <w:p w:rsidR="000E54C2" w:rsidRPr="00E8065F" w:rsidRDefault="000E54C2" w:rsidP="00ED4E9F">
            <w:pPr>
              <w:spacing w:line="235" w:lineRule="auto"/>
              <w:jc w:val="center"/>
              <w:rPr>
                <w:color w:val="000000"/>
                <w:sz w:val="20"/>
                <w:szCs w:val="20"/>
              </w:rPr>
            </w:pPr>
            <w:r w:rsidRPr="00E8065F">
              <w:rPr>
                <w:color w:val="000000"/>
                <w:sz w:val="20"/>
                <w:szCs w:val="20"/>
              </w:rPr>
              <w:t>Флюорограф</w:t>
            </w:r>
          </w:p>
        </w:tc>
        <w:tc>
          <w:tcPr>
            <w:tcW w:w="1181" w:type="dxa"/>
            <w:tcBorders>
              <w:bottom w:val="single" w:sz="4" w:space="0" w:color="auto"/>
            </w:tcBorders>
            <w:shd w:val="clear" w:color="auto" w:fill="auto"/>
          </w:tcPr>
          <w:p w:rsidR="00D92024" w:rsidRPr="00E8065F" w:rsidRDefault="000E54C2" w:rsidP="00D92024">
            <w:pPr>
              <w:jc w:val="center"/>
              <w:rPr>
                <w:sz w:val="20"/>
                <w:szCs w:val="20"/>
              </w:rPr>
            </w:pPr>
            <w:r w:rsidRPr="00E8065F">
              <w:rPr>
                <w:sz w:val="20"/>
                <w:szCs w:val="20"/>
              </w:rPr>
              <w:t>2018</w:t>
            </w:r>
            <w:r w:rsidR="00793DC9">
              <w:rPr>
                <w:sz w:val="20"/>
                <w:szCs w:val="20"/>
              </w:rPr>
              <w:t xml:space="preserve"> </w:t>
            </w:r>
            <w:r w:rsidR="00D92024">
              <w:rPr>
                <w:sz w:val="20"/>
                <w:szCs w:val="20"/>
              </w:rPr>
              <w:t>(1)</w:t>
            </w:r>
          </w:p>
          <w:p w:rsidR="000E54C2" w:rsidRPr="00E8065F" w:rsidRDefault="000E54C2" w:rsidP="00D92024">
            <w:pPr>
              <w:jc w:val="center"/>
              <w:rPr>
                <w:sz w:val="20"/>
                <w:szCs w:val="20"/>
              </w:rPr>
            </w:pPr>
            <w:r w:rsidRPr="00E8065F">
              <w:rPr>
                <w:sz w:val="20"/>
                <w:szCs w:val="20"/>
              </w:rPr>
              <w:t>2023</w:t>
            </w:r>
            <w:r w:rsidR="00793DC9">
              <w:rPr>
                <w:sz w:val="20"/>
                <w:szCs w:val="20"/>
              </w:rPr>
              <w:t xml:space="preserve"> </w:t>
            </w:r>
            <w:r w:rsidR="00D92024">
              <w:rPr>
                <w:sz w:val="20"/>
                <w:szCs w:val="20"/>
              </w:rPr>
              <w:t>(1)</w:t>
            </w:r>
          </w:p>
        </w:tc>
        <w:tc>
          <w:tcPr>
            <w:tcW w:w="1181" w:type="dxa"/>
            <w:tcBorders>
              <w:top w:val="nil"/>
              <w:left w:val="single" w:sz="4" w:space="0" w:color="auto"/>
              <w:bottom w:val="single" w:sz="4" w:space="0" w:color="auto"/>
              <w:right w:val="single" w:sz="4" w:space="0" w:color="auto"/>
            </w:tcBorders>
            <w:shd w:val="clear" w:color="auto" w:fill="auto"/>
          </w:tcPr>
          <w:p w:rsidR="000E54C2" w:rsidRPr="00E8065F" w:rsidRDefault="000E54C2" w:rsidP="00ED4E9F">
            <w:pPr>
              <w:spacing w:line="235" w:lineRule="auto"/>
              <w:jc w:val="center"/>
              <w:rPr>
                <w:color w:val="000000"/>
                <w:sz w:val="20"/>
                <w:szCs w:val="20"/>
              </w:rPr>
            </w:pPr>
            <w:r w:rsidRPr="00E8065F">
              <w:rPr>
                <w:color w:val="000000"/>
                <w:sz w:val="20"/>
                <w:szCs w:val="20"/>
              </w:rPr>
              <w:t>2</w:t>
            </w:r>
          </w:p>
        </w:tc>
        <w:tc>
          <w:tcPr>
            <w:tcW w:w="1478" w:type="dxa"/>
            <w:tcBorders>
              <w:top w:val="nil"/>
              <w:left w:val="single" w:sz="4" w:space="0" w:color="auto"/>
              <w:bottom w:val="single" w:sz="4" w:space="0" w:color="auto"/>
              <w:right w:val="single" w:sz="4" w:space="0" w:color="auto"/>
            </w:tcBorders>
            <w:shd w:val="clear" w:color="auto" w:fill="auto"/>
          </w:tcPr>
          <w:p w:rsidR="000E54C2" w:rsidRPr="00E8065F" w:rsidRDefault="000E54C2" w:rsidP="00ED4E9F">
            <w:pPr>
              <w:spacing w:line="235" w:lineRule="auto"/>
              <w:jc w:val="center"/>
              <w:rPr>
                <w:color w:val="000000"/>
                <w:sz w:val="20"/>
                <w:szCs w:val="20"/>
              </w:rPr>
            </w:pPr>
            <w:r w:rsidRPr="00E8065F">
              <w:rPr>
                <w:color w:val="000000"/>
                <w:sz w:val="20"/>
                <w:szCs w:val="20"/>
              </w:rPr>
              <w:t>21,9</w:t>
            </w:r>
          </w:p>
        </w:tc>
        <w:tc>
          <w:tcPr>
            <w:tcW w:w="1111" w:type="dxa"/>
            <w:tcBorders>
              <w:top w:val="nil"/>
              <w:left w:val="single" w:sz="4" w:space="0" w:color="auto"/>
              <w:bottom w:val="single" w:sz="4" w:space="0" w:color="auto"/>
              <w:right w:val="single" w:sz="4" w:space="0" w:color="auto"/>
            </w:tcBorders>
            <w:shd w:val="clear" w:color="auto" w:fill="auto"/>
          </w:tcPr>
          <w:p w:rsidR="000E54C2" w:rsidRPr="00E8065F" w:rsidRDefault="000E54C2" w:rsidP="00ED4E9F">
            <w:pPr>
              <w:spacing w:line="235" w:lineRule="auto"/>
              <w:jc w:val="center"/>
              <w:rPr>
                <w:color w:val="000000"/>
                <w:sz w:val="20"/>
                <w:szCs w:val="20"/>
              </w:rPr>
            </w:pPr>
            <w:r w:rsidRPr="00E8065F">
              <w:rPr>
                <w:color w:val="000000"/>
                <w:sz w:val="20"/>
                <w:szCs w:val="20"/>
              </w:rPr>
              <w:t>2</w:t>
            </w:r>
          </w:p>
        </w:tc>
        <w:tc>
          <w:tcPr>
            <w:tcW w:w="1944" w:type="dxa"/>
            <w:tcBorders>
              <w:top w:val="nil"/>
              <w:left w:val="single" w:sz="4" w:space="0" w:color="auto"/>
              <w:bottom w:val="single" w:sz="4" w:space="0" w:color="auto"/>
              <w:right w:val="single" w:sz="4" w:space="0" w:color="auto"/>
            </w:tcBorders>
            <w:shd w:val="clear" w:color="auto" w:fill="auto"/>
          </w:tcPr>
          <w:p w:rsidR="000E54C2" w:rsidRPr="00E8065F" w:rsidRDefault="000E54C2" w:rsidP="00ED4E9F">
            <w:pPr>
              <w:spacing w:line="235" w:lineRule="auto"/>
              <w:jc w:val="center"/>
              <w:rPr>
                <w:color w:val="000000"/>
                <w:sz w:val="20"/>
                <w:szCs w:val="20"/>
              </w:rPr>
            </w:pPr>
            <w:r w:rsidRPr="00E8065F">
              <w:rPr>
                <w:color w:val="000000"/>
                <w:sz w:val="20"/>
                <w:szCs w:val="20"/>
              </w:rPr>
              <w:t>Амбулаторное</w:t>
            </w:r>
          </w:p>
        </w:tc>
      </w:tr>
      <w:tr w:rsidR="00BA1432" w:rsidRPr="00E8065F" w:rsidTr="000546C2">
        <w:trPr>
          <w:trHeight w:val="20"/>
        </w:trPr>
        <w:tc>
          <w:tcPr>
            <w:tcW w:w="1555" w:type="dxa"/>
            <w:vMerge/>
          </w:tcPr>
          <w:p w:rsidR="000E54C2" w:rsidRPr="00E8065F" w:rsidRDefault="000E54C2" w:rsidP="00BA1432">
            <w:pPr>
              <w:rPr>
                <w:sz w:val="20"/>
                <w:szCs w:val="20"/>
              </w:rPr>
            </w:pPr>
          </w:p>
        </w:tc>
        <w:tc>
          <w:tcPr>
            <w:tcW w:w="3685" w:type="dxa"/>
            <w:tcBorders>
              <w:top w:val="single" w:sz="4" w:space="0" w:color="auto"/>
              <w:bottom w:val="single" w:sz="4" w:space="0" w:color="auto"/>
              <w:right w:val="single" w:sz="4" w:space="0" w:color="auto"/>
            </w:tcBorders>
            <w:shd w:val="clear" w:color="auto" w:fill="auto"/>
          </w:tcPr>
          <w:p w:rsidR="000E54C2" w:rsidRPr="00E8065F" w:rsidRDefault="000E54C2" w:rsidP="00ED4E9F">
            <w:pPr>
              <w:spacing w:line="235" w:lineRule="auto"/>
              <w:jc w:val="both"/>
              <w:rPr>
                <w:color w:val="000000"/>
                <w:sz w:val="20"/>
                <w:szCs w:val="20"/>
              </w:rPr>
            </w:pPr>
            <w:r w:rsidRPr="00E8065F">
              <w:rPr>
                <w:color w:val="000000"/>
                <w:sz w:val="20"/>
                <w:szCs w:val="20"/>
              </w:rPr>
              <w:t xml:space="preserve">ГАУЗ </w:t>
            </w:r>
            <w:r w:rsidR="002F7358">
              <w:rPr>
                <w:color w:val="000000"/>
                <w:sz w:val="20"/>
                <w:szCs w:val="20"/>
              </w:rPr>
              <w:t>«</w:t>
            </w:r>
            <w:r w:rsidRPr="00E8065F">
              <w:rPr>
                <w:color w:val="000000"/>
                <w:sz w:val="20"/>
                <w:szCs w:val="20"/>
              </w:rPr>
              <w:t>Городская поликлиника №</w:t>
            </w:r>
            <w:r w:rsidR="00007FB5">
              <w:rPr>
                <w:color w:val="000000"/>
                <w:sz w:val="20"/>
                <w:szCs w:val="20"/>
              </w:rPr>
              <w:t xml:space="preserve"> </w:t>
            </w:r>
            <w:r w:rsidRPr="00E8065F">
              <w:rPr>
                <w:color w:val="000000"/>
                <w:sz w:val="20"/>
                <w:szCs w:val="20"/>
              </w:rPr>
              <w:t>8</w:t>
            </w:r>
            <w:r w:rsidR="002F7358">
              <w:rPr>
                <w:color w:val="000000"/>
                <w:sz w:val="20"/>
                <w:szCs w:val="20"/>
              </w:rPr>
              <w:t>»</w:t>
            </w:r>
            <w:r w:rsidR="003722E0">
              <w:rPr>
                <w:color w:val="000000"/>
                <w:sz w:val="20"/>
                <w:szCs w:val="20"/>
              </w:rPr>
              <w:t xml:space="preserve"> г.Казани</w:t>
            </w:r>
          </w:p>
        </w:tc>
        <w:tc>
          <w:tcPr>
            <w:tcW w:w="1994" w:type="dxa"/>
            <w:tcBorders>
              <w:top w:val="single" w:sz="4" w:space="0" w:color="auto"/>
              <w:left w:val="single" w:sz="4" w:space="0" w:color="auto"/>
              <w:bottom w:val="single" w:sz="4" w:space="0" w:color="auto"/>
              <w:right w:val="single" w:sz="4" w:space="0" w:color="auto"/>
            </w:tcBorders>
            <w:shd w:val="clear" w:color="auto" w:fill="auto"/>
          </w:tcPr>
          <w:p w:rsidR="000E54C2" w:rsidRPr="00E8065F" w:rsidRDefault="000E54C2" w:rsidP="00ED4E9F">
            <w:pPr>
              <w:spacing w:line="235" w:lineRule="auto"/>
              <w:jc w:val="center"/>
              <w:rPr>
                <w:color w:val="000000"/>
                <w:sz w:val="20"/>
                <w:szCs w:val="20"/>
              </w:rPr>
            </w:pPr>
            <w:r w:rsidRPr="00E8065F">
              <w:rPr>
                <w:color w:val="000000"/>
                <w:sz w:val="20"/>
                <w:szCs w:val="20"/>
              </w:rPr>
              <w:t>Флюорограф</w:t>
            </w:r>
          </w:p>
        </w:tc>
        <w:tc>
          <w:tcPr>
            <w:tcW w:w="1181" w:type="dxa"/>
            <w:tcBorders>
              <w:top w:val="single" w:sz="4" w:space="0" w:color="auto"/>
              <w:left w:val="single" w:sz="4" w:space="0" w:color="auto"/>
              <w:bottom w:val="single" w:sz="4" w:space="0" w:color="auto"/>
              <w:right w:val="single" w:sz="4" w:space="0" w:color="auto"/>
            </w:tcBorders>
            <w:shd w:val="clear" w:color="auto" w:fill="auto"/>
          </w:tcPr>
          <w:p w:rsidR="00D92024" w:rsidRPr="00E8065F" w:rsidRDefault="000E54C2" w:rsidP="00D92024">
            <w:pPr>
              <w:jc w:val="center"/>
              <w:rPr>
                <w:sz w:val="20"/>
                <w:szCs w:val="20"/>
              </w:rPr>
            </w:pPr>
            <w:r w:rsidRPr="00E8065F">
              <w:rPr>
                <w:sz w:val="20"/>
                <w:szCs w:val="20"/>
              </w:rPr>
              <w:t>2007</w:t>
            </w:r>
            <w:r w:rsidR="00793DC9">
              <w:rPr>
                <w:sz w:val="20"/>
                <w:szCs w:val="20"/>
              </w:rPr>
              <w:t xml:space="preserve"> </w:t>
            </w:r>
            <w:r w:rsidR="00D92024">
              <w:rPr>
                <w:sz w:val="20"/>
                <w:szCs w:val="20"/>
              </w:rPr>
              <w:t>(1)</w:t>
            </w:r>
          </w:p>
          <w:p w:rsidR="000E54C2" w:rsidRPr="00E8065F" w:rsidRDefault="000E54C2" w:rsidP="00D92024">
            <w:pPr>
              <w:jc w:val="center"/>
              <w:rPr>
                <w:sz w:val="20"/>
                <w:szCs w:val="20"/>
              </w:rPr>
            </w:pPr>
            <w:r w:rsidRPr="00E8065F">
              <w:rPr>
                <w:sz w:val="20"/>
                <w:szCs w:val="20"/>
              </w:rPr>
              <w:t>2018</w:t>
            </w:r>
            <w:r w:rsidR="00793DC9">
              <w:rPr>
                <w:sz w:val="20"/>
                <w:szCs w:val="20"/>
              </w:rPr>
              <w:t xml:space="preserve"> </w:t>
            </w:r>
            <w:r w:rsidR="00D92024">
              <w:rPr>
                <w:sz w:val="20"/>
                <w:szCs w:val="20"/>
              </w:rPr>
              <w:t>(1)</w:t>
            </w:r>
          </w:p>
        </w:tc>
        <w:tc>
          <w:tcPr>
            <w:tcW w:w="1181" w:type="dxa"/>
            <w:tcBorders>
              <w:top w:val="single" w:sz="4" w:space="0" w:color="auto"/>
              <w:left w:val="single" w:sz="4" w:space="0" w:color="auto"/>
              <w:bottom w:val="single" w:sz="4" w:space="0" w:color="auto"/>
              <w:right w:val="single" w:sz="4" w:space="0" w:color="auto"/>
            </w:tcBorders>
            <w:shd w:val="clear" w:color="auto" w:fill="auto"/>
          </w:tcPr>
          <w:p w:rsidR="000E54C2" w:rsidRPr="00E8065F" w:rsidRDefault="000E54C2" w:rsidP="00ED4E9F">
            <w:pPr>
              <w:spacing w:line="235" w:lineRule="auto"/>
              <w:jc w:val="center"/>
              <w:rPr>
                <w:color w:val="000000"/>
                <w:sz w:val="20"/>
                <w:szCs w:val="20"/>
              </w:rPr>
            </w:pPr>
            <w:r w:rsidRPr="00E8065F">
              <w:rPr>
                <w:color w:val="000000"/>
                <w:sz w:val="20"/>
                <w:szCs w:val="20"/>
              </w:rPr>
              <w:t>2</w:t>
            </w:r>
          </w:p>
        </w:tc>
        <w:tc>
          <w:tcPr>
            <w:tcW w:w="1478" w:type="dxa"/>
            <w:tcBorders>
              <w:top w:val="single" w:sz="4" w:space="0" w:color="auto"/>
              <w:left w:val="single" w:sz="4" w:space="0" w:color="auto"/>
              <w:bottom w:val="single" w:sz="4" w:space="0" w:color="auto"/>
              <w:right w:val="single" w:sz="4" w:space="0" w:color="auto"/>
            </w:tcBorders>
            <w:shd w:val="clear" w:color="auto" w:fill="auto"/>
          </w:tcPr>
          <w:p w:rsidR="000E54C2" w:rsidRPr="00E8065F" w:rsidRDefault="000E54C2" w:rsidP="00ED4E9F">
            <w:pPr>
              <w:spacing w:line="235" w:lineRule="auto"/>
              <w:jc w:val="center"/>
              <w:rPr>
                <w:color w:val="000000"/>
                <w:sz w:val="20"/>
                <w:szCs w:val="20"/>
              </w:rPr>
            </w:pPr>
            <w:r w:rsidRPr="00E8065F">
              <w:rPr>
                <w:color w:val="000000"/>
                <w:sz w:val="20"/>
                <w:szCs w:val="20"/>
              </w:rPr>
              <w:t>41,9</w:t>
            </w:r>
          </w:p>
        </w:tc>
        <w:tc>
          <w:tcPr>
            <w:tcW w:w="1111" w:type="dxa"/>
            <w:tcBorders>
              <w:top w:val="single" w:sz="4" w:space="0" w:color="auto"/>
              <w:left w:val="single" w:sz="4" w:space="0" w:color="auto"/>
              <w:bottom w:val="single" w:sz="4" w:space="0" w:color="auto"/>
              <w:right w:val="single" w:sz="4" w:space="0" w:color="auto"/>
            </w:tcBorders>
            <w:shd w:val="clear" w:color="auto" w:fill="auto"/>
          </w:tcPr>
          <w:p w:rsidR="000E54C2" w:rsidRPr="00E8065F" w:rsidRDefault="000E54C2" w:rsidP="00ED4E9F">
            <w:pPr>
              <w:spacing w:line="235" w:lineRule="auto"/>
              <w:jc w:val="center"/>
              <w:rPr>
                <w:color w:val="000000"/>
                <w:sz w:val="20"/>
                <w:szCs w:val="20"/>
              </w:rPr>
            </w:pPr>
            <w:r w:rsidRPr="00E8065F">
              <w:rPr>
                <w:color w:val="000000"/>
                <w:sz w:val="20"/>
                <w:szCs w:val="20"/>
              </w:rPr>
              <w:t>2</w:t>
            </w:r>
          </w:p>
        </w:tc>
        <w:tc>
          <w:tcPr>
            <w:tcW w:w="1944" w:type="dxa"/>
            <w:tcBorders>
              <w:top w:val="single" w:sz="4" w:space="0" w:color="auto"/>
              <w:left w:val="single" w:sz="4" w:space="0" w:color="auto"/>
              <w:bottom w:val="single" w:sz="4" w:space="0" w:color="auto"/>
              <w:right w:val="single" w:sz="4" w:space="0" w:color="auto"/>
            </w:tcBorders>
            <w:shd w:val="clear" w:color="auto" w:fill="auto"/>
          </w:tcPr>
          <w:p w:rsidR="000E54C2" w:rsidRPr="00E8065F" w:rsidRDefault="000E54C2" w:rsidP="00ED4E9F">
            <w:pPr>
              <w:spacing w:line="235" w:lineRule="auto"/>
              <w:jc w:val="center"/>
              <w:rPr>
                <w:color w:val="000000"/>
                <w:sz w:val="20"/>
                <w:szCs w:val="20"/>
              </w:rPr>
            </w:pPr>
            <w:r w:rsidRPr="00E8065F">
              <w:rPr>
                <w:color w:val="000000"/>
                <w:sz w:val="20"/>
                <w:szCs w:val="20"/>
              </w:rPr>
              <w:t>Амбулаторное</w:t>
            </w:r>
          </w:p>
        </w:tc>
      </w:tr>
      <w:tr w:rsidR="00BA1432" w:rsidRPr="00E8065F" w:rsidTr="000546C2">
        <w:trPr>
          <w:trHeight w:val="20"/>
        </w:trPr>
        <w:tc>
          <w:tcPr>
            <w:tcW w:w="1555" w:type="dxa"/>
            <w:vMerge/>
          </w:tcPr>
          <w:p w:rsidR="000E54C2" w:rsidRPr="00E8065F" w:rsidRDefault="000E54C2" w:rsidP="00BA1432">
            <w:pPr>
              <w:rPr>
                <w:sz w:val="20"/>
                <w:szCs w:val="20"/>
              </w:rPr>
            </w:pPr>
          </w:p>
        </w:tc>
        <w:tc>
          <w:tcPr>
            <w:tcW w:w="3685" w:type="dxa"/>
            <w:tcBorders>
              <w:top w:val="nil"/>
              <w:left w:val="single" w:sz="4" w:space="0" w:color="auto"/>
              <w:bottom w:val="single" w:sz="4" w:space="0" w:color="auto"/>
              <w:right w:val="single" w:sz="4" w:space="0" w:color="auto"/>
            </w:tcBorders>
            <w:shd w:val="clear" w:color="auto" w:fill="auto"/>
          </w:tcPr>
          <w:p w:rsidR="000E54C2" w:rsidRPr="00E8065F" w:rsidRDefault="000E54C2" w:rsidP="00DC0475">
            <w:pPr>
              <w:jc w:val="both"/>
              <w:rPr>
                <w:color w:val="000000"/>
                <w:sz w:val="20"/>
                <w:szCs w:val="20"/>
              </w:rPr>
            </w:pPr>
            <w:r>
              <w:rPr>
                <w:color w:val="000000"/>
                <w:sz w:val="20"/>
                <w:szCs w:val="20"/>
              </w:rPr>
              <w:t xml:space="preserve">ГАУЗ </w:t>
            </w:r>
            <w:r w:rsidR="002F7358">
              <w:rPr>
                <w:color w:val="000000"/>
                <w:sz w:val="20"/>
                <w:szCs w:val="20"/>
              </w:rPr>
              <w:t>«</w:t>
            </w:r>
            <w:r>
              <w:rPr>
                <w:color w:val="000000"/>
                <w:sz w:val="20"/>
                <w:szCs w:val="20"/>
              </w:rPr>
              <w:t>Клиника медицинского университета</w:t>
            </w:r>
            <w:r w:rsidR="002F7358">
              <w:rPr>
                <w:color w:val="000000"/>
                <w:sz w:val="20"/>
                <w:szCs w:val="20"/>
              </w:rPr>
              <w:t>»</w:t>
            </w:r>
            <w:r w:rsidR="00007FB5">
              <w:rPr>
                <w:color w:val="000000"/>
                <w:sz w:val="20"/>
                <w:szCs w:val="20"/>
              </w:rPr>
              <w:t xml:space="preserve"> г.</w:t>
            </w:r>
            <w:r>
              <w:rPr>
                <w:color w:val="000000"/>
                <w:sz w:val="20"/>
                <w:szCs w:val="20"/>
              </w:rPr>
              <w:t>Казани</w:t>
            </w:r>
          </w:p>
        </w:tc>
        <w:tc>
          <w:tcPr>
            <w:tcW w:w="1994" w:type="dxa"/>
            <w:tcBorders>
              <w:top w:val="nil"/>
              <w:left w:val="single" w:sz="4" w:space="0" w:color="auto"/>
              <w:bottom w:val="single" w:sz="4" w:space="0" w:color="auto"/>
              <w:right w:val="single" w:sz="4" w:space="0" w:color="auto"/>
            </w:tcBorders>
            <w:shd w:val="clear" w:color="auto" w:fill="auto"/>
          </w:tcPr>
          <w:p w:rsidR="000E54C2" w:rsidRPr="00E8065F" w:rsidRDefault="000E54C2" w:rsidP="00BA1432">
            <w:pPr>
              <w:jc w:val="center"/>
              <w:rPr>
                <w:color w:val="000000"/>
                <w:sz w:val="20"/>
                <w:szCs w:val="20"/>
              </w:rPr>
            </w:pPr>
            <w:r w:rsidRPr="00E8065F">
              <w:rPr>
                <w:color w:val="000000"/>
                <w:sz w:val="20"/>
                <w:szCs w:val="20"/>
              </w:rPr>
              <w:t>Флюорограф</w:t>
            </w:r>
          </w:p>
        </w:tc>
        <w:tc>
          <w:tcPr>
            <w:tcW w:w="1181" w:type="dxa"/>
            <w:shd w:val="clear" w:color="auto" w:fill="auto"/>
          </w:tcPr>
          <w:p w:rsidR="000E54C2" w:rsidRPr="00E8065F" w:rsidRDefault="000E54C2" w:rsidP="000546C2">
            <w:pPr>
              <w:jc w:val="center"/>
              <w:rPr>
                <w:sz w:val="20"/>
                <w:szCs w:val="20"/>
              </w:rPr>
            </w:pPr>
            <w:r w:rsidRPr="00E8065F">
              <w:rPr>
                <w:sz w:val="20"/>
                <w:szCs w:val="20"/>
              </w:rPr>
              <w:t>2023</w:t>
            </w:r>
          </w:p>
        </w:tc>
        <w:tc>
          <w:tcPr>
            <w:tcW w:w="1181" w:type="dxa"/>
            <w:tcBorders>
              <w:top w:val="nil"/>
              <w:left w:val="single" w:sz="4" w:space="0" w:color="auto"/>
              <w:bottom w:val="single" w:sz="4" w:space="0" w:color="auto"/>
              <w:right w:val="single" w:sz="4" w:space="0" w:color="auto"/>
            </w:tcBorders>
            <w:shd w:val="clear" w:color="auto" w:fill="auto"/>
          </w:tcPr>
          <w:p w:rsidR="000E54C2" w:rsidRPr="00E8065F" w:rsidRDefault="000E54C2" w:rsidP="000546C2">
            <w:pPr>
              <w:jc w:val="center"/>
              <w:rPr>
                <w:color w:val="000000"/>
                <w:sz w:val="20"/>
                <w:szCs w:val="20"/>
              </w:rPr>
            </w:pPr>
            <w:r w:rsidRPr="00E8065F">
              <w:rPr>
                <w:color w:val="000000"/>
                <w:sz w:val="20"/>
                <w:szCs w:val="20"/>
              </w:rPr>
              <w:t>1</w:t>
            </w:r>
          </w:p>
        </w:tc>
        <w:tc>
          <w:tcPr>
            <w:tcW w:w="1478" w:type="dxa"/>
            <w:tcBorders>
              <w:top w:val="nil"/>
              <w:left w:val="single" w:sz="4" w:space="0" w:color="auto"/>
              <w:bottom w:val="single" w:sz="4" w:space="0" w:color="auto"/>
              <w:right w:val="single" w:sz="4" w:space="0" w:color="auto"/>
            </w:tcBorders>
            <w:shd w:val="clear" w:color="auto" w:fill="auto"/>
          </w:tcPr>
          <w:p w:rsidR="000E54C2" w:rsidRPr="00E8065F" w:rsidRDefault="000E54C2" w:rsidP="000546C2">
            <w:pPr>
              <w:jc w:val="center"/>
              <w:rPr>
                <w:color w:val="000000"/>
                <w:sz w:val="20"/>
                <w:szCs w:val="20"/>
              </w:rPr>
            </w:pPr>
            <w:r w:rsidRPr="00E8065F">
              <w:rPr>
                <w:color w:val="000000"/>
                <w:sz w:val="20"/>
                <w:szCs w:val="20"/>
              </w:rPr>
              <w:t>16,0</w:t>
            </w:r>
          </w:p>
        </w:tc>
        <w:tc>
          <w:tcPr>
            <w:tcW w:w="1111" w:type="dxa"/>
            <w:tcBorders>
              <w:top w:val="nil"/>
              <w:left w:val="single" w:sz="4" w:space="0" w:color="auto"/>
              <w:bottom w:val="single" w:sz="4" w:space="0" w:color="auto"/>
              <w:right w:val="single" w:sz="4" w:space="0" w:color="auto"/>
            </w:tcBorders>
            <w:shd w:val="clear" w:color="auto" w:fill="auto"/>
          </w:tcPr>
          <w:p w:rsidR="000E54C2" w:rsidRPr="00E8065F" w:rsidRDefault="000E54C2" w:rsidP="000546C2">
            <w:pPr>
              <w:jc w:val="center"/>
              <w:rPr>
                <w:color w:val="000000"/>
                <w:sz w:val="20"/>
                <w:szCs w:val="20"/>
              </w:rPr>
            </w:pPr>
            <w:r w:rsidRPr="00E8065F">
              <w:rPr>
                <w:color w:val="000000"/>
                <w:sz w:val="20"/>
                <w:szCs w:val="20"/>
              </w:rPr>
              <w:t>2</w:t>
            </w:r>
          </w:p>
        </w:tc>
        <w:tc>
          <w:tcPr>
            <w:tcW w:w="1944" w:type="dxa"/>
            <w:tcBorders>
              <w:top w:val="nil"/>
              <w:left w:val="single" w:sz="4" w:space="0" w:color="auto"/>
              <w:bottom w:val="single" w:sz="4" w:space="0" w:color="auto"/>
              <w:right w:val="single" w:sz="4" w:space="0" w:color="auto"/>
            </w:tcBorders>
            <w:shd w:val="clear" w:color="auto" w:fill="auto"/>
          </w:tcPr>
          <w:p w:rsidR="000E54C2" w:rsidRPr="00E8065F" w:rsidRDefault="000E54C2" w:rsidP="00BA1432">
            <w:pPr>
              <w:jc w:val="center"/>
              <w:rPr>
                <w:color w:val="000000"/>
                <w:sz w:val="20"/>
                <w:szCs w:val="20"/>
              </w:rPr>
            </w:pPr>
            <w:r w:rsidRPr="00E8065F">
              <w:rPr>
                <w:color w:val="000000"/>
                <w:sz w:val="20"/>
                <w:szCs w:val="20"/>
              </w:rPr>
              <w:t>Амбулаторное</w:t>
            </w:r>
          </w:p>
        </w:tc>
      </w:tr>
      <w:tr w:rsidR="00BA1432" w:rsidRPr="00E8065F" w:rsidTr="000546C2">
        <w:trPr>
          <w:trHeight w:val="20"/>
        </w:trPr>
        <w:tc>
          <w:tcPr>
            <w:tcW w:w="1555" w:type="dxa"/>
            <w:vMerge/>
          </w:tcPr>
          <w:p w:rsidR="000E54C2" w:rsidRPr="00E8065F" w:rsidRDefault="000E54C2" w:rsidP="00BA1432">
            <w:pPr>
              <w:rPr>
                <w:sz w:val="20"/>
                <w:szCs w:val="20"/>
              </w:rPr>
            </w:pPr>
          </w:p>
        </w:tc>
        <w:tc>
          <w:tcPr>
            <w:tcW w:w="3685" w:type="dxa"/>
            <w:tcBorders>
              <w:top w:val="nil"/>
              <w:left w:val="single" w:sz="4" w:space="0" w:color="auto"/>
              <w:bottom w:val="single" w:sz="4" w:space="0" w:color="auto"/>
              <w:right w:val="single" w:sz="4" w:space="0" w:color="auto"/>
            </w:tcBorders>
            <w:shd w:val="clear" w:color="auto" w:fill="auto"/>
          </w:tcPr>
          <w:p w:rsidR="000E54C2" w:rsidRPr="00E8065F" w:rsidRDefault="000E54C2" w:rsidP="00007FB5">
            <w:pPr>
              <w:jc w:val="both"/>
              <w:rPr>
                <w:color w:val="000000"/>
                <w:sz w:val="20"/>
                <w:szCs w:val="20"/>
              </w:rPr>
            </w:pPr>
            <w:r>
              <w:rPr>
                <w:color w:val="000000"/>
                <w:sz w:val="20"/>
                <w:szCs w:val="20"/>
              </w:rPr>
              <w:t xml:space="preserve">ГАУЗ </w:t>
            </w:r>
            <w:r w:rsidR="002F7358">
              <w:rPr>
                <w:color w:val="000000"/>
                <w:sz w:val="20"/>
                <w:szCs w:val="20"/>
              </w:rPr>
              <w:t>«</w:t>
            </w:r>
            <w:r>
              <w:rPr>
                <w:color w:val="000000"/>
                <w:sz w:val="20"/>
                <w:szCs w:val="20"/>
              </w:rPr>
              <w:t>Госпиталь для ветеранов войн</w:t>
            </w:r>
            <w:r w:rsidR="002F7358">
              <w:rPr>
                <w:color w:val="000000"/>
                <w:sz w:val="20"/>
                <w:szCs w:val="20"/>
              </w:rPr>
              <w:t>»</w:t>
            </w:r>
            <w:r>
              <w:rPr>
                <w:color w:val="000000"/>
                <w:sz w:val="20"/>
                <w:szCs w:val="20"/>
              </w:rPr>
              <w:t xml:space="preserve"> г.Казани</w:t>
            </w:r>
          </w:p>
        </w:tc>
        <w:tc>
          <w:tcPr>
            <w:tcW w:w="1994" w:type="dxa"/>
            <w:tcBorders>
              <w:top w:val="nil"/>
              <w:left w:val="single" w:sz="4" w:space="0" w:color="auto"/>
              <w:bottom w:val="single" w:sz="4" w:space="0" w:color="auto"/>
              <w:right w:val="single" w:sz="4" w:space="0" w:color="auto"/>
            </w:tcBorders>
            <w:shd w:val="clear" w:color="auto" w:fill="auto"/>
          </w:tcPr>
          <w:p w:rsidR="000E54C2" w:rsidRPr="00E8065F" w:rsidRDefault="000E54C2" w:rsidP="00BA1432">
            <w:pPr>
              <w:jc w:val="center"/>
              <w:rPr>
                <w:color w:val="000000"/>
                <w:sz w:val="20"/>
                <w:szCs w:val="20"/>
              </w:rPr>
            </w:pPr>
            <w:r w:rsidRPr="00E8065F">
              <w:rPr>
                <w:color w:val="000000"/>
                <w:sz w:val="20"/>
                <w:szCs w:val="20"/>
              </w:rPr>
              <w:t>Флюорограф</w:t>
            </w:r>
          </w:p>
        </w:tc>
        <w:tc>
          <w:tcPr>
            <w:tcW w:w="1181" w:type="dxa"/>
            <w:shd w:val="clear" w:color="auto" w:fill="auto"/>
          </w:tcPr>
          <w:p w:rsidR="000E54C2" w:rsidRPr="00E8065F" w:rsidRDefault="000E54C2" w:rsidP="000546C2">
            <w:pPr>
              <w:jc w:val="center"/>
              <w:rPr>
                <w:sz w:val="20"/>
                <w:szCs w:val="20"/>
              </w:rPr>
            </w:pPr>
            <w:r w:rsidRPr="00E8065F">
              <w:rPr>
                <w:sz w:val="20"/>
                <w:szCs w:val="20"/>
              </w:rPr>
              <w:t>2007</w:t>
            </w:r>
          </w:p>
        </w:tc>
        <w:tc>
          <w:tcPr>
            <w:tcW w:w="1181" w:type="dxa"/>
            <w:tcBorders>
              <w:top w:val="nil"/>
              <w:left w:val="single" w:sz="4" w:space="0" w:color="auto"/>
              <w:bottom w:val="single" w:sz="4" w:space="0" w:color="auto"/>
              <w:right w:val="single" w:sz="4" w:space="0" w:color="auto"/>
            </w:tcBorders>
            <w:shd w:val="clear" w:color="auto" w:fill="auto"/>
          </w:tcPr>
          <w:p w:rsidR="000E54C2" w:rsidRPr="00E8065F" w:rsidRDefault="000E54C2" w:rsidP="000546C2">
            <w:pPr>
              <w:jc w:val="center"/>
              <w:rPr>
                <w:color w:val="000000"/>
                <w:sz w:val="20"/>
                <w:szCs w:val="20"/>
              </w:rPr>
            </w:pPr>
            <w:r w:rsidRPr="00E8065F">
              <w:rPr>
                <w:color w:val="000000"/>
                <w:sz w:val="20"/>
                <w:szCs w:val="20"/>
              </w:rPr>
              <w:t>1</w:t>
            </w:r>
          </w:p>
        </w:tc>
        <w:tc>
          <w:tcPr>
            <w:tcW w:w="1478" w:type="dxa"/>
            <w:tcBorders>
              <w:top w:val="nil"/>
              <w:left w:val="single" w:sz="4" w:space="0" w:color="auto"/>
              <w:bottom w:val="single" w:sz="4" w:space="0" w:color="auto"/>
              <w:right w:val="single" w:sz="4" w:space="0" w:color="auto"/>
            </w:tcBorders>
            <w:shd w:val="clear" w:color="auto" w:fill="auto"/>
          </w:tcPr>
          <w:p w:rsidR="000E54C2" w:rsidRPr="00E8065F" w:rsidRDefault="000E54C2" w:rsidP="000546C2">
            <w:pPr>
              <w:jc w:val="center"/>
              <w:rPr>
                <w:color w:val="000000"/>
                <w:sz w:val="20"/>
                <w:szCs w:val="20"/>
              </w:rPr>
            </w:pPr>
            <w:r w:rsidRPr="00E8065F">
              <w:rPr>
                <w:color w:val="000000"/>
                <w:sz w:val="20"/>
                <w:szCs w:val="20"/>
              </w:rPr>
              <w:t>19,5</w:t>
            </w:r>
          </w:p>
        </w:tc>
        <w:tc>
          <w:tcPr>
            <w:tcW w:w="1111" w:type="dxa"/>
            <w:tcBorders>
              <w:top w:val="nil"/>
              <w:left w:val="single" w:sz="4" w:space="0" w:color="auto"/>
              <w:bottom w:val="single" w:sz="4" w:space="0" w:color="auto"/>
              <w:right w:val="single" w:sz="4" w:space="0" w:color="auto"/>
            </w:tcBorders>
            <w:shd w:val="clear" w:color="auto" w:fill="auto"/>
          </w:tcPr>
          <w:p w:rsidR="000E54C2" w:rsidRPr="00E8065F" w:rsidRDefault="000E54C2" w:rsidP="000546C2">
            <w:pPr>
              <w:jc w:val="center"/>
              <w:rPr>
                <w:color w:val="000000"/>
                <w:sz w:val="20"/>
                <w:szCs w:val="20"/>
              </w:rPr>
            </w:pPr>
            <w:r w:rsidRPr="00E8065F">
              <w:rPr>
                <w:color w:val="000000"/>
                <w:sz w:val="20"/>
                <w:szCs w:val="20"/>
              </w:rPr>
              <w:t>2</w:t>
            </w:r>
          </w:p>
        </w:tc>
        <w:tc>
          <w:tcPr>
            <w:tcW w:w="1944" w:type="dxa"/>
            <w:tcBorders>
              <w:top w:val="nil"/>
              <w:left w:val="single" w:sz="4" w:space="0" w:color="auto"/>
              <w:bottom w:val="single" w:sz="4" w:space="0" w:color="auto"/>
              <w:right w:val="single" w:sz="4" w:space="0" w:color="auto"/>
            </w:tcBorders>
            <w:shd w:val="clear" w:color="auto" w:fill="auto"/>
          </w:tcPr>
          <w:p w:rsidR="000E54C2" w:rsidRPr="00E8065F" w:rsidRDefault="000E54C2" w:rsidP="00BA1432">
            <w:pPr>
              <w:jc w:val="center"/>
              <w:rPr>
                <w:color w:val="000000"/>
                <w:sz w:val="20"/>
                <w:szCs w:val="20"/>
              </w:rPr>
            </w:pPr>
            <w:r w:rsidRPr="00E8065F">
              <w:rPr>
                <w:color w:val="000000"/>
                <w:sz w:val="20"/>
                <w:szCs w:val="20"/>
              </w:rPr>
              <w:t>Амбулаторное</w:t>
            </w:r>
          </w:p>
        </w:tc>
      </w:tr>
      <w:tr w:rsidR="00BA1432" w:rsidRPr="00E8065F" w:rsidTr="000546C2">
        <w:trPr>
          <w:trHeight w:val="20"/>
        </w:trPr>
        <w:tc>
          <w:tcPr>
            <w:tcW w:w="1555" w:type="dxa"/>
            <w:vMerge/>
          </w:tcPr>
          <w:p w:rsidR="000E54C2" w:rsidRPr="00E8065F" w:rsidRDefault="000E54C2" w:rsidP="00BA1432">
            <w:pPr>
              <w:rPr>
                <w:sz w:val="20"/>
                <w:szCs w:val="20"/>
              </w:rPr>
            </w:pPr>
          </w:p>
        </w:tc>
        <w:tc>
          <w:tcPr>
            <w:tcW w:w="3685" w:type="dxa"/>
            <w:tcBorders>
              <w:top w:val="nil"/>
              <w:left w:val="single" w:sz="4" w:space="0" w:color="auto"/>
              <w:bottom w:val="single" w:sz="4" w:space="0" w:color="auto"/>
              <w:right w:val="single" w:sz="4" w:space="0" w:color="auto"/>
            </w:tcBorders>
            <w:shd w:val="clear" w:color="auto" w:fill="auto"/>
          </w:tcPr>
          <w:p w:rsidR="000E54C2" w:rsidRPr="00E8065F" w:rsidRDefault="000E54C2" w:rsidP="00007FB5">
            <w:pPr>
              <w:jc w:val="both"/>
              <w:rPr>
                <w:color w:val="000000"/>
                <w:sz w:val="20"/>
                <w:szCs w:val="20"/>
              </w:rPr>
            </w:pPr>
            <w:r>
              <w:rPr>
                <w:color w:val="000000"/>
                <w:sz w:val="20"/>
                <w:szCs w:val="20"/>
              </w:rPr>
              <w:t xml:space="preserve">ГАУЗ </w:t>
            </w:r>
            <w:r w:rsidR="002F7358">
              <w:rPr>
                <w:color w:val="000000"/>
                <w:sz w:val="20"/>
                <w:szCs w:val="20"/>
              </w:rPr>
              <w:t>«</w:t>
            </w:r>
            <w:r>
              <w:rPr>
                <w:color w:val="000000"/>
                <w:sz w:val="20"/>
                <w:szCs w:val="20"/>
              </w:rPr>
              <w:t>Госпиталь для ветеранов войн</w:t>
            </w:r>
            <w:r w:rsidR="002F7358">
              <w:rPr>
                <w:color w:val="000000"/>
                <w:sz w:val="20"/>
                <w:szCs w:val="20"/>
              </w:rPr>
              <w:t>»</w:t>
            </w:r>
            <w:r>
              <w:rPr>
                <w:color w:val="000000"/>
                <w:sz w:val="20"/>
                <w:szCs w:val="20"/>
              </w:rPr>
              <w:t xml:space="preserve"> г.Набережные Челны</w:t>
            </w:r>
          </w:p>
        </w:tc>
        <w:tc>
          <w:tcPr>
            <w:tcW w:w="1994" w:type="dxa"/>
            <w:tcBorders>
              <w:top w:val="nil"/>
              <w:left w:val="single" w:sz="4" w:space="0" w:color="auto"/>
              <w:bottom w:val="single" w:sz="4" w:space="0" w:color="auto"/>
              <w:right w:val="single" w:sz="4" w:space="0" w:color="auto"/>
            </w:tcBorders>
            <w:shd w:val="clear" w:color="auto" w:fill="auto"/>
          </w:tcPr>
          <w:p w:rsidR="000E54C2" w:rsidRPr="00E8065F" w:rsidRDefault="000E54C2" w:rsidP="00BA1432">
            <w:pPr>
              <w:jc w:val="center"/>
              <w:rPr>
                <w:color w:val="000000"/>
                <w:sz w:val="20"/>
                <w:szCs w:val="20"/>
              </w:rPr>
            </w:pPr>
            <w:r w:rsidRPr="00E8065F">
              <w:rPr>
                <w:color w:val="000000"/>
                <w:sz w:val="20"/>
                <w:szCs w:val="20"/>
              </w:rPr>
              <w:t>Флюорограф</w:t>
            </w:r>
          </w:p>
        </w:tc>
        <w:tc>
          <w:tcPr>
            <w:tcW w:w="1181" w:type="dxa"/>
            <w:shd w:val="clear" w:color="auto" w:fill="auto"/>
          </w:tcPr>
          <w:p w:rsidR="000E54C2" w:rsidRPr="00E8065F" w:rsidRDefault="000E54C2" w:rsidP="000546C2">
            <w:pPr>
              <w:jc w:val="center"/>
              <w:rPr>
                <w:sz w:val="20"/>
                <w:szCs w:val="20"/>
              </w:rPr>
            </w:pPr>
            <w:r w:rsidRPr="00E8065F">
              <w:rPr>
                <w:sz w:val="20"/>
                <w:szCs w:val="20"/>
              </w:rPr>
              <w:t>2016</w:t>
            </w:r>
          </w:p>
        </w:tc>
        <w:tc>
          <w:tcPr>
            <w:tcW w:w="1181" w:type="dxa"/>
            <w:tcBorders>
              <w:top w:val="nil"/>
              <w:left w:val="single" w:sz="4" w:space="0" w:color="auto"/>
              <w:bottom w:val="single" w:sz="4" w:space="0" w:color="auto"/>
              <w:right w:val="single" w:sz="4" w:space="0" w:color="auto"/>
            </w:tcBorders>
            <w:shd w:val="clear" w:color="auto" w:fill="auto"/>
          </w:tcPr>
          <w:p w:rsidR="000E54C2" w:rsidRPr="00E8065F" w:rsidRDefault="000E54C2" w:rsidP="000546C2">
            <w:pPr>
              <w:jc w:val="center"/>
              <w:rPr>
                <w:color w:val="000000"/>
                <w:sz w:val="20"/>
                <w:szCs w:val="20"/>
              </w:rPr>
            </w:pPr>
            <w:r w:rsidRPr="00E8065F">
              <w:rPr>
                <w:color w:val="000000"/>
                <w:sz w:val="20"/>
                <w:szCs w:val="20"/>
              </w:rPr>
              <w:t>1</w:t>
            </w:r>
          </w:p>
        </w:tc>
        <w:tc>
          <w:tcPr>
            <w:tcW w:w="1478" w:type="dxa"/>
            <w:tcBorders>
              <w:top w:val="nil"/>
              <w:left w:val="single" w:sz="4" w:space="0" w:color="auto"/>
              <w:bottom w:val="single" w:sz="4" w:space="0" w:color="auto"/>
              <w:right w:val="single" w:sz="4" w:space="0" w:color="auto"/>
            </w:tcBorders>
            <w:shd w:val="clear" w:color="auto" w:fill="auto"/>
          </w:tcPr>
          <w:p w:rsidR="000E54C2" w:rsidRPr="00E8065F" w:rsidRDefault="000E54C2" w:rsidP="000546C2">
            <w:pPr>
              <w:jc w:val="center"/>
              <w:rPr>
                <w:color w:val="000000"/>
                <w:sz w:val="20"/>
                <w:szCs w:val="20"/>
              </w:rPr>
            </w:pPr>
            <w:r w:rsidRPr="00E8065F">
              <w:rPr>
                <w:color w:val="000000"/>
                <w:sz w:val="20"/>
                <w:szCs w:val="20"/>
              </w:rPr>
              <w:t>28,7</w:t>
            </w:r>
          </w:p>
        </w:tc>
        <w:tc>
          <w:tcPr>
            <w:tcW w:w="1111" w:type="dxa"/>
            <w:tcBorders>
              <w:top w:val="nil"/>
              <w:left w:val="single" w:sz="4" w:space="0" w:color="auto"/>
              <w:bottom w:val="single" w:sz="4" w:space="0" w:color="auto"/>
              <w:right w:val="single" w:sz="4" w:space="0" w:color="auto"/>
            </w:tcBorders>
            <w:shd w:val="clear" w:color="auto" w:fill="auto"/>
          </w:tcPr>
          <w:p w:rsidR="000E54C2" w:rsidRPr="00E8065F" w:rsidRDefault="000E54C2" w:rsidP="000546C2">
            <w:pPr>
              <w:jc w:val="center"/>
              <w:rPr>
                <w:color w:val="000000"/>
                <w:sz w:val="20"/>
                <w:szCs w:val="20"/>
              </w:rPr>
            </w:pPr>
            <w:r w:rsidRPr="00E8065F">
              <w:rPr>
                <w:color w:val="000000"/>
                <w:sz w:val="20"/>
                <w:szCs w:val="20"/>
              </w:rPr>
              <w:t>2</w:t>
            </w:r>
          </w:p>
        </w:tc>
        <w:tc>
          <w:tcPr>
            <w:tcW w:w="1944" w:type="dxa"/>
            <w:tcBorders>
              <w:top w:val="nil"/>
              <w:left w:val="single" w:sz="4" w:space="0" w:color="auto"/>
              <w:bottom w:val="single" w:sz="4" w:space="0" w:color="auto"/>
              <w:right w:val="single" w:sz="4" w:space="0" w:color="auto"/>
            </w:tcBorders>
            <w:shd w:val="clear" w:color="auto" w:fill="auto"/>
          </w:tcPr>
          <w:p w:rsidR="000E54C2" w:rsidRPr="00E8065F" w:rsidRDefault="000E54C2" w:rsidP="00BA1432">
            <w:pPr>
              <w:jc w:val="center"/>
              <w:rPr>
                <w:color w:val="000000"/>
                <w:sz w:val="20"/>
                <w:szCs w:val="20"/>
              </w:rPr>
            </w:pPr>
            <w:r w:rsidRPr="00E8065F">
              <w:rPr>
                <w:color w:val="000000"/>
                <w:sz w:val="20"/>
                <w:szCs w:val="20"/>
              </w:rPr>
              <w:t>Амбулаторное</w:t>
            </w:r>
          </w:p>
        </w:tc>
      </w:tr>
      <w:tr w:rsidR="00BA1432" w:rsidRPr="00E8065F" w:rsidTr="000546C2">
        <w:trPr>
          <w:trHeight w:val="20"/>
        </w:trPr>
        <w:tc>
          <w:tcPr>
            <w:tcW w:w="1555" w:type="dxa"/>
            <w:vMerge/>
          </w:tcPr>
          <w:p w:rsidR="000E54C2" w:rsidRPr="00E8065F" w:rsidRDefault="000E54C2" w:rsidP="00BA1432">
            <w:pPr>
              <w:rPr>
                <w:sz w:val="20"/>
                <w:szCs w:val="20"/>
              </w:rPr>
            </w:pPr>
          </w:p>
        </w:tc>
        <w:tc>
          <w:tcPr>
            <w:tcW w:w="3685" w:type="dxa"/>
            <w:tcBorders>
              <w:top w:val="nil"/>
              <w:left w:val="single" w:sz="4" w:space="0" w:color="auto"/>
              <w:bottom w:val="single" w:sz="4" w:space="0" w:color="auto"/>
              <w:right w:val="single" w:sz="4" w:space="0" w:color="auto"/>
            </w:tcBorders>
            <w:shd w:val="clear" w:color="auto" w:fill="auto"/>
          </w:tcPr>
          <w:p w:rsidR="000E54C2" w:rsidRPr="00E8065F" w:rsidRDefault="000E54C2" w:rsidP="00DC0475">
            <w:pPr>
              <w:jc w:val="both"/>
              <w:rPr>
                <w:color w:val="000000"/>
                <w:sz w:val="20"/>
                <w:szCs w:val="20"/>
              </w:rPr>
            </w:pPr>
            <w:r>
              <w:rPr>
                <w:color w:val="000000"/>
                <w:sz w:val="20"/>
                <w:szCs w:val="20"/>
              </w:rPr>
              <w:t xml:space="preserve">ГАУЗ </w:t>
            </w:r>
            <w:r w:rsidR="002F7358">
              <w:rPr>
                <w:color w:val="000000"/>
                <w:sz w:val="20"/>
                <w:szCs w:val="20"/>
              </w:rPr>
              <w:t>«</w:t>
            </w:r>
            <w:r>
              <w:rPr>
                <w:color w:val="000000"/>
                <w:sz w:val="20"/>
                <w:szCs w:val="20"/>
              </w:rPr>
              <w:t>Республиканская клиническая больница Министерства здравоохранения Республики Татарстан</w:t>
            </w:r>
            <w:r w:rsidR="002F7358">
              <w:rPr>
                <w:color w:val="000000"/>
                <w:sz w:val="20"/>
                <w:szCs w:val="20"/>
              </w:rPr>
              <w:t>»</w:t>
            </w:r>
          </w:p>
        </w:tc>
        <w:tc>
          <w:tcPr>
            <w:tcW w:w="1994" w:type="dxa"/>
            <w:tcBorders>
              <w:top w:val="nil"/>
              <w:left w:val="single" w:sz="4" w:space="0" w:color="auto"/>
              <w:bottom w:val="single" w:sz="4" w:space="0" w:color="auto"/>
              <w:right w:val="single" w:sz="4" w:space="0" w:color="auto"/>
            </w:tcBorders>
            <w:shd w:val="clear" w:color="auto" w:fill="auto"/>
          </w:tcPr>
          <w:p w:rsidR="000E54C2" w:rsidRPr="00E8065F" w:rsidRDefault="000E54C2" w:rsidP="00BA1432">
            <w:pPr>
              <w:jc w:val="center"/>
              <w:rPr>
                <w:color w:val="000000"/>
                <w:sz w:val="20"/>
                <w:szCs w:val="20"/>
              </w:rPr>
            </w:pPr>
            <w:r w:rsidRPr="00E8065F">
              <w:rPr>
                <w:color w:val="000000"/>
                <w:sz w:val="20"/>
                <w:szCs w:val="20"/>
              </w:rPr>
              <w:t>Флюорограф</w:t>
            </w:r>
          </w:p>
        </w:tc>
        <w:tc>
          <w:tcPr>
            <w:tcW w:w="1181" w:type="dxa"/>
            <w:shd w:val="clear" w:color="auto" w:fill="auto"/>
          </w:tcPr>
          <w:p w:rsidR="00D92024" w:rsidRPr="00E8065F" w:rsidRDefault="000E54C2" w:rsidP="00D92024">
            <w:pPr>
              <w:jc w:val="center"/>
              <w:rPr>
                <w:sz w:val="20"/>
                <w:szCs w:val="20"/>
              </w:rPr>
            </w:pPr>
            <w:r w:rsidRPr="00E8065F">
              <w:rPr>
                <w:sz w:val="20"/>
                <w:szCs w:val="20"/>
              </w:rPr>
              <w:t>2023</w:t>
            </w:r>
            <w:r w:rsidR="00793DC9">
              <w:rPr>
                <w:sz w:val="20"/>
                <w:szCs w:val="20"/>
              </w:rPr>
              <w:t xml:space="preserve"> </w:t>
            </w:r>
            <w:r w:rsidR="00D92024">
              <w:rPr>
                <w:sz w:val="20"/>
                <w:szCs w:val="20"/>
              </w:rPr>
              <w:t>(1)</w:t>
            </w:r>
          </w:p>
          <w:p w:rsidR="00D92024" w:rsidRPr="00E8065F" w:rsidRDefault="000E54C2" w:rsidP="00D92024">
            <w:pPr>
              <w:jc w:val="center"/>
              <w:rPr>
                <w:sz w:val="20"/>
                <w:szCs w:val="20"/>
              </w:rPr>
            </w:pPr>
            <w:r w:rsidRPr="00E8065F">
              <w:rPr>
                <w:sz w:val="20"/>
                <w:szCs w:val="20"/>
              </w:rPr>
              <w:t>2024</w:t>
            </w:r>
            <w:r w:rsidR="00793DC9">
              <w:rPr>
                <w:sz w:val="20"/>
                <w:szCs w:val="20"/>
              </w:rPr>
              <w:t xml:space="preserve"> </w:t>
            </w:r>
            <w:r w:rsidR="00D92024">
              <w:rPr>
                <w:sz w:val="20"/>
                <w:szCs w:val="20"/>
              </w:rPr>
              <w:t>(1)</w:t>
            </w:r>
          </w:p>
          <w:p w:rsidR="000E54C2" w:rsidRPr="00E8065F" w:rsidRDefault="000E54C2" w:rsidP="000546C2">
            <w:pPr>
              <w:jc w:val="center"/>
              <w:rPr>
                <w:sz w:val="20"/>
                <w:szCs w:val="20"/>
              </w:rPr>
            </w:pPr>
          </w:p>
        </w:tc>
        <w:tc>
          <w:tcPr>
            <w:tcW w:w="1181" w:type="dxa"/>
            <w:tcBorders>
              <w:top w:val="nil"/>
              <w:left w:val="single" w:sz="4" w:space="0" w:color="auto"/>
              <w:bottom w:val="single" w:sz="4" w:space="0" w:color="auto"/>
              <w:right w:val="single" w:sz="4" w:space="0" w:color="auto"/>
            </w:tcBorders>
            <w:shd w:val="clear" w:color="auto" w:fill="auto"/>
          </w:tcPr>
          <w:p w:rsidR="000E54C2" w:rsidRPr="00E8065F" w:rsidRDefault="000E54C2" w:rsidP="000546C2">
            <w:pPr>
              <w:jc w:val="center"/>
              <w:rPr>
                <w:color w:val="000000"/>
                <w:sz w:val="20"/>
                <w:szCs w:val="20"/>
              </w:rPr>
            </w:pPr>
            <w:r w:rsidRPr="00E8065F">
              <w:rPr>
                <w:color w:val="000000"/>
                <w:sz w:val="20"/>
                <w:szCs w:val="20"/>
              </w:rPr>
              <w:t>2</w:t>
            </w:r>
          </w:p>
        </w:tc>
        <w:tc>
          <w:tcPr>
            <w:tcW w:w="1478" w:type="dxa"/>
            <w:tcBorders>
              <w:top w:val="nil"/>
              <w:left w:val="single" w:sz="4" w:space="0" w:color="auto"/>
              <w:bottom w:val="single" w:sz="4" w:space="0" w:color="auto"/>
              <w:right w:val="single" w:sz="4" w:space="0" w:color="auto"/>
            </w:tcBorders>
            <w:shd w:val="clear" w:color="auto" w:fill="auto"/>
          </w:tcPr>
          <w:p w:rsidR="000E54C2" w:rsidRPr="00E8065F" w:rsidRDefault="000E54C2" w:rsidP="000546C2">
            <w:pPr>
              <w:jc w:val="center"/>
              <w:rPr>
                <w:color w:val="000000"/>
                <w:sz w:val="20"/>
                <w:szCs w:val="20"/>
              </w:rPr>
            </w:pPr>
            <w:r w:rsidRPr="00E8065F">
              <w:rPr>
                <w:color w:val="000000"/>
                <w:sz w:val="20"/>
                <w:szCs w:val="20"/>
              </w:rPr>
              <w:t>53,1</w:t>
            </w:r>
          </w:p>
        </w:tc>
        <w:tc>
          <w:tcPr>
            <w:tcW w:w="1111" w:type="dxa"/>
            <w:tcBorders>
              <w:top w:val="nil"/>
              <w:left w:val="single" w:sz="4" w:space="0" w:color="auto"/>
              <w:bottom w:val="single" w:sz="4" w:space="0" w:color="auto"/>
              <w:right w:val="single" w:sz="4" w:space="0" w:color="auto"/>
            </w:tcBorders>
            <w:shd w:val="clear" w:color="auto" w:fill="auto"/>
          </w:tcPr>
          <w:p w:rsidR="000E54C2" w:rsidRPr="00E8065F" w:rsidRDefault="000E54C2" w:rsidP="000546C2">
            <w:pPr>
              <w:jc w:val="center"/>
              <w:rPr>
                <w:color w:val="000000"/>
                <w:sz w:val="20"/>
                <w:szCs w:val="20"/>
              </w:rPr>
            </w:pPr>
            <w:r w:rsidRPr="00E8065F">
              <w:rPr>
                <w:color w:val="000000"/>
                <w:sz w:val="20"/>
                <w:szCs w:val="20"/>
              </w:rPr>
              <w:t>2</w:t>
            </w:r>
          </w:p>
        </w:tc>
        <w:tc>
          <w:tcPr>
            <w:tcW w:w="1944" w:type="dxa"/>
            <w:tcBorders>
              <w:top w:val="nil"/>
              <w:left w:val="single" w:sz="4" w:space="0" w:color="auto"/>
              <w:bottom w:val="single" w:sz="4" w:space="0" w:color="auto"/>
              <w:right w:val="single" w:sz="4" w:space="0" w:color="auto"/>
            </w:tcBorders>
            <w:shd w:val="clear" w:color="auto" w:fill="auto"/>
          </w:tcPr>
          <w:p w:rsidR="000E54C2" w:rsidRPr="00E8065F" w:rsidRDefault="000E54C2" w:rsidP="00BA1432">
            <w:pPr>
              <w:jc w:val="center"/>
              <w:rPr>
                <w:color w:val="000000"/>
                <w:sz w:val="20"/>
                <w:szCs w:val="20"/>
              </w:rPr>
            </w:pPr>
            <w:r w:rsidRPr="00E8065F">
              <w:rPr>
                <w:color w:val="000000"/>
                <w:sz w:val="20"/>
                <w:szCs w:val="20"/>
              </w:rPr>
              <w:t>Амбулаторное/стационарное</w:t>
            </w:r>
          </w:p>
        </w:tc>
      </w:tr>
      <w:tr w:rsidR="00BA1432" w:rsidRPr="00E8065F" w:rsidTr="000546C2">
        <w:trPr>
          <w:trHeight w:val="20"/>
        </w:trPr>
        <w:tc>
          <w:tcPr>
            <w:tcW w:w="1555" w:type="dxa"/>
          </w:tcPr>
          <w:p w:rsidR="00DB578E" w:rsidRPr="00E8065F" w:rsidRDefault="00DB578E" w:rsidP="00BA1432">
            <w:pPr>
              <w:rPr>
                <w:sz w:val="20"/>
                <w:szCs w:val="20"/>
              </w:rPr>
            </w:pPr>
          </w:p>
        </w:tc>
        <w:tc>
          <w:tcPr>
            <w:tcW w:w="3685" w:type="dxa"/>
            <w:tcBorders>
              <w:top w:val="nil"/>
              <w:left w:val="single" w:sz="4" w:space="0" w:color="auto"/>
              <w:bottom w:val="single" w:sz="4" w:space="0" w:color="auto"/>
              <w:right w:val="single" w:sz="4" w:space="0" w:color="auto"/>
            </w:tcBorders>
            <w:shd w:val="clear" w:color="auto" w:fill="auto"/>
            <w:vAlign w:val="bottom"/>
          </w:tcPr>
          <w:p w:rsidR="00DB578E" w:rsidRPr="00E8065F" w:rsidRDefault="00DB578E" w:rsidP="00DC0475">
            <w:pPr>
              <w:jc w:val="both"/>
              <w:rPr>
                <w:color w:val="000000"/>
                <w:sz w:val="20"/>
                <w:szCs w:val="20"/>
              </w:rPr>
            </w:pPr>
          </w:p>
        </w:tc>
        <w:tc>
          <w:tcPr>
            <w:tcW w:w="1994" w:type="dxa"/>
            <w:tcBorders>
              <w:top w:val="nil"/>
              <w:left w:val="single" w:sz="4" w:space="0" w:color="auto"/>
              <w:bottom w:val="single" w:sz="4" w:space="0" w:color="auto"/>
              <w:right w:val="single" w:sz="4" w:space="0" w:color="auto"/>
            </w:tcBorders>
            <w:shd w:val="clear" w:color="auto" w:fill="auto"/>
          </w:tcPr>
          <w:p w:rsidR="00DB578E" w:rsidRPr="00E8065F" w:rsidRDefault="00BC5958" w:rsidP="00BA1432">
            <w:pPr>
              <w:jc w:val="center"/>
              <w:rPr>
                <w:color w:val="000000"/>
                <w:sz w:val="20"/>
                <w:szCs w:val="20"/>
              </w:rPr>
            </w:pPr>
            <w:r>
              <w:rPr>
                <w:color w:val="000000"/>
                <w:sz w:val="20"/>
                <w:szCs w:val="20"/>
              </w:rPr>
              <w:t>В</w:t>
            </w:r>
            <w:r w:rsidRPr="00E8065F">
              <w:rPr>
                <w:color w:val="000000"/>
                <w:sz w:val="20"/>
                <w:szCs w:val="20"/>
              </w:rPr>
              <w:t>сего</w:t>
            </w:r>
          </w:p>
        </w:tc>
        <w:tc>
          <w:tcPr>
            <w:tcW w:w="1181" w:type="dxa"/>
            <w:shd w:val="clear" w:color="auto" w:fill="auto"/>
          </w:tcPr>
          <w:p w:rsidR="00DB578E" w:rsidRPr="00E8065F" w:rsidRDefault="00DB578E" w:rsidP="000546C2">
            <w:pPr>
              <w:jc w:val="center"/>
              <w:rPr>
                <w:sz w:val="20"/>
                <w:szCs w:val="20"/>
              </w:rPr>
            </w:pPr>
          </w:p>
        </w:tc>
        <w:tc>
          <w:tcPr>
            <w:tcW w:w="1181" w:type="dxa"/>
            <w:tcBorders>
              <w:top w:val="nil"/>
              <w:left w:val="single" w:sz="4" w:space="0" w:color="auto"/>
              <w:bottom w:val="single" w:sz="4" w:space="0" w:color="auto"/>
              <w:right w:val="single" w:sz="4" w:space="0" w:color="auto"/>
            </w:tcBorders>
            <w:shd w:val="clear" w:color="auto" w:fill="auto"/>
          </w:tcPr>
          <w:p w:rsidR="00DB578E" w:rsidRPr="00E8065F" w:rsidRDefault="00DB578E" w:rsidP="000546C2">
            <w:pPr>
              <w:jc w:val="center"/>
              <w:rPr>
                <w:color w:val="000000"/>
                <w:sz w:val="20"/>
                <w:szCs w:val="20"/>
              </w:rPr>
            </w:pPr>
            <w:r w:rsidRPr="00E8065F">
              <w:rPr>
                <w:color w:val="000000"/>
                <w:sz w:val="20"/>
                <w:szCs w:val="20"/>
              </w:rPr>
              <w:t>103</w:t>
            </w:r>
          </w:p>
        </w:tc>
        <w:tc>
          <w:tcPr>
            <w:tcW w:w="1478" w:type="dxa"/>
            <w:shd w:val="clear" w:color="auto" w:fill="auto"/>
          </w:tcPr>
          <w:p w:rsidR="00DB578E" w:rsidRPr="00E8065F" w:rsidRDefault="00DB578E" w:rsidP="000546C2">
            <w:pPr>
              <w:jc w:val="center"/>
              <w:rPr>
                <w:sz w:val="20"/>
                <w:szCs w:val="20"/>
              </w:rPr>
            </w:pPr>
          </w:p>
        </w:tc>
        <w:tc>
          <w:tcPr>
            <w:tcW w:w="1111" w:type="dxa"/>
            <w:shd w:val="clear" w:color="auto" w:fill="auto"/>
          </w:tcPr>
          <w:p w:rsidR="00DB578E" w:rsidRPr="00E8065F" w:rsidRDefault="00DB578E" w:rsidP="000546C2">
            <w:pPr>
              <w:jc w:val="center"/>
              <w:rPr>
                <w:sz w:val="20"/>
                <w:szCs w:val="20"/>
              </w:rPr>
            </w:pPr>
          </w:p>
        </w:tc>
        <w:tc>
          <w:tcPr>
            <w:tcW w:w="1944" w:type="dxa"/>
            <w:shd w:val="clear" w:color="auto" w:fill="auto"/>
          </w:tcPr>
          <w:p w:rsidR="00DB578E" w:rsidRPr="00E8065F" w:rsidRDefault="00DB578E" w:rsidP="00BA1432">
            <w:pPr>
              <w:rPr>
                <w:sz w:val="20"/>
                <w:szCs w:val="20"/>
              </w:rPr>
            </w:pPr>
          </w:p>
        </w:tc>
      </w:tr>
      <w:tr w:rsidR="00BA1432" w:rsidRPr="00E8065F" w:rsidTr="000546C2">
        <w:trPr>
          <w:trHeight w:val="20"/>
        </w:trPr>
        <w:tc>
          <w:tcPr>
            <w:tcW w:w="1555" w:type="dxa"/>
            <w:vMerge w:val="restart"/>
          </w:tcPr>
          <w:p w:rsidR="000E54C2" w:rsidRPr="00007FB5" w:rsidRDefault="000E54C2" w:rsidP="00BA1432">
            <w:pPr>
              <w:rPr>
                <w:bCs/>
                <w:color w:val="000000"/>
                <w:sz w:val="20"/>
                <w:szCs w:val="20"/>
              </w:rPr>
            </w:pPr>
            <w:r w:rsidRPr="00007FB5">
              <w:rPr>
                <w:bCs/>
                <w:color w:val="000000"/>
                <w:sz w:val="20"/>
                <w:szCs w:val="20"/>
              </w:rPr>
              <w:t>Флюмамм</w:t>
            </w:r>
          </w:p>
          <w:p w:rsidR="000E54C2" w:rsidRPr="00007FB5" w:rsidRDefault="000E54C2" w:rsidP="00BA1432">
            <w:pPr>
              <w:rPr>
                <w:sz w:val="20"/>
                <w:szCs w:val="20"/>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0E54C2" w:rsidRPr="00E8065F" w:rsidRDefault="000E54C2" w:rsidP="00DC0475">
            <w:pPr>
              <w:jc w:val="both"/>
              <w:rPr>
                <w:color w:val="000000"/>
                <w:sz w:val="20"/>
                <w:szCs w:val="20"/>
              </w:rPr>
            </w:pPr>
            <w:r>
              <w:rPr>
                <w:color w:val="000000"/>
                <w:sz w:val="20"/>
                <w:szCs w:val="20"/>
              </w:rPr>
              <w:t xml:space="preserve">ГАУЗ </w:t>
            </w:r>
            <w:r w:rsidR="002F7358">
              <w:rPr>
                <w:rFonts w:eastAsia="Arial"/>
                <w:sz w:val="20"/>
                <w:szCs w:val="20"/>
              </w:rPr>
              <w:t>«</w:t>
            </w:r>
            <w:r>
              <w:rPr>
                <w:rFonts w:eastAsia="Arial"/>
                <w:sz w:val="20"/>
                <w:szCs w:val="20"/>
              </w:rPr>
              <w:t>Альметьевская межрайонная многопрофильная больница</w:t>
            </w:r>
            <w:r w:rsidR="002F7358">
              <w:rPr>
                <w:rFonts w:eastAsia="Arial"/>
                <w:sz w:val="20"/>
                <w:szCs w:val="20"/>
              </w:rPr>
              <w:t>»</w:t>
            </w:r>
          </w:p>
        </w:tc>
        <w:tc>
          <w:tcPr>
            <w:tcW w:w="1994" w:type="dxa"/>
            <w:tcBorders>
              <w:top w:val="single" w:sz="4" w:space="0" w:color="auto"/>
              <w:left w:val="single" w:sz="4" w:space="0" w:color="auto"/>
              <w:bottom w:val="single" w:sz="4" w:space="0" w:color="auto"/>
              <w:right w:val="single" w:sz="4" w:space="0" w:color="auto"/>
            </w:tcBorders>
            <w:shd w:val="clear" w:color="auto" w:fill="auto"/>
          </w:tcPr>
          <w:p w:rsidR="000E54C2" w:rsidRPr="00E8065F" w:rsidRDefault="000E54C2" w:rsidP="00BA1432">
            <w:pPr>
              <w:jc w:val="center"/>
              <w:rPr>
                <w:color w:val="000000"/>
                <w:sz w:val="20"/>
                <w:szCs w:val="20"/>
              </w:rPr>
            </w:pPr>
            <w:r w:rsidRPr="00E8065F">
              <w:rPr>
                <w:color w:val="000000"/>
                <w:sz w:val="20"/>
                <w:szCs w:val="20"/>
              </w:rPr>
              <w:t>Флюмамм</w:t>
            </w:r>
          </w:p>
        </w:tc>
        <w:tc>
          <w:tcPr>
            <w:tcW w:w="1181" w:type="dxa"/>
            <w:shd w:val="clear" w:color="auto" w:fill="auto"/>
          </w:tcPr>
          <w:p w:rsidR="000E54C2" w:rsidRPr="00E8065F" w:rsidRDefault="000E54C2" w:rsidP="000546C2">
            <w:pPr>
              <w:jc w:val="center"/>
              <w:rPr>
                <w:sz w:val="20"/>
                <w:szCs w:val="20"/>
              </w:rPr>
            </w:pPr>
            <w:r w:rsidRPr="00E8065F">
              <w:rPr>
                <w:sz w:val="20"/>
                <w:szCs w:val="20"/>
              </w:rPr>
              <w:t>2024</w:t>
            </w:r>
          </w:p>
        </w:tc>
        <w:tc>
          <w:tcPr>
            <w:tcW w:w="1181" w:type="dxa"/>
            <w:tcBorders>
              <w:top w:val="single" w:sz="4" w:space="0" w:color="auto"/>
              <w:left w:val="single" w:sz="4" w:space="0" w:color="auto"/>
              <w:bottom w:val="single" w:sz="4" w:space="0" w:color="auto"/>
              <w:right w:val="single" w:sz="4" w:space="0" w:color="auto"/>
            </w:tcBorders>
            <w:shd w:val="clear" w:color="auto" w:fill="auto"/>
          </w:tcPr>
          <w:p w:rsidR="000E54C2" w:rsidRPr="00E8065F" w:rsidRDefault="000E54C2" w:rsidP="000546C2">
            <w:pPr>
              <w:jc w:val="center"/>
              <w:rPr>
                <w:color w:val="000000"/>
                <w:sz w:val="20"/>
                <w:szCs w:val="20"/>
              </w:rPr>
            </w:pPr>
            <w:r w:rsidRPr="00E8065F">
              <w:rPr>
                <w:color w:val="000000"/>
                <w:sz w:val="20"/>
                <w:szCs w:val="20"/>
              </w:rPr>
              <w:t>1</w:t>
            </w:r>
          </w:p>
        </w:tc>
        <w:tc>
          <w:tcPr>
            <w:tcW w:w="1478" w:type="dxa"/>
            <w:tcBorders>
              <w:top w:val="single" w:sz="4" w:space="0" w:color="auto"/>
              <w:left w:val="single" w:sz="4" w:space="0" w:color="auto"/>
              <w:bottom w:val="single" w:sz="4" w:space="0" w:color="auto"/>
              <w:right w:val="single" w:sz="4" w:space="0" w:color="auto"/>
            </w:tcBorders>
            <w:shd w:val="clear" w:color="auto" w:fill="auto"/>
          </w:tcPr>
          <w:p w:rsidR="000E54C2" w:rsidRPr="00E8065F" w:rsidRDefault="000E54C2" w:rsidP="000546C2">
            <w:pPr>
              <w:jc w:val="center"/>
              <w:rPr>
                <w:color w:val="000000"/>
                <w:sz w:val="20"/>
                <w:szCs w:val="20"/>
              </w:rPr>
            </w:pPr>
            <w:r w:rsidRPr="00E8065F">
              <w:rPr>
                <w:color w:val="000000"/>
                <w:sz w:val="20"/>
                <w:szCs w:val="20"/>
              </w:rPr>
              <w:t>9</w:t>
            </w:r>
          </w:p>
        </w:tc>
        <w:tc>
          <w:tcPr>
            <w:tcW w:w="1111" w:type="dxa"/>
            <w:tcBorders>
              <w:top w:val="single" w:sz="4" w:space="0" w:color="auto"/>
              <w:left w:val="single" w:sz="4" w:space="0" w:color="auto"/>
              <w:bottom w:val="single" w:sz="4" w:space="0" w:color="auto"/>
              <w:right w:val="single" w:sz="4" w:space="0" w:color="auto"/>
            </w:tcBorders>
            <w:shd w:val="clear" w:color="auto" w:fill="auto"/>
          </w:tcPr>
          <w:p w:rsidR="000E54C2" w:rsidRPr="00E8065F" w:rsidRDefault="000E54C2" w:rsidP="000546C2">
            <w:pPr>
              <w:jc w:val="center"/>
              <w:rPr>
                <w:color w:val="000000"/>
                <w:sz w:val="20"/>
                <w:szCs w:val="20"/>
              </w:rPr>
            </w:pPr>
            <w:r w:rsidRPr="00E8065F">
              <w:rPr>
                <w:color w:val="000000"/>
                <w:sz w:val="20"/>
                <w:szCs w:val="20"/>
              </w:rPr>
              <w:t>2</w:t>
            </w:r>
          </w:p>
        </w:tc>
        <w:tc>
          <w:tcPr>
            <w:tcW w:w="1944" w:type="dxa"/>
            <w:tcBorders>
              <w:top w:val="single" w:sz="4" w:space="0" w:color="auto"/>
              <w:left w:val="single" w:sz="4" w:space="0" w:color="auto"/>
              <w:bottom w:val="single" w:sz="4" w:space="0" w:color="auto"/>
              <w:right w:val="single" w:sz="4" w:space="0" w:color="auto"/>
            </w:tcBorders>
            <w:shd w:val="clear" w:color="auto" w:fill="auto"/>
          </w:tcPr>
          <w:p w:rsidR="000E54C2" w:rsidRPr="00E8065F" w:rsidRDefault="000E54C2" w:rsidP="00BA1432">
            <w:pPr>
              <w:jc w:val="center"/>
              <w:rPr>
                <w:color w:val="000000"/>
                <w:sz w:val="20"/>
                <w:szCs w:val="20"/>
              </w:rPr>
            </w:pPr>
            <w:r w:rsidRPr="00E8065F">
              <w:rPr>
                <w:color w:val="000000"/>
                <w:sz w:val="20"/>
                <w:szCs w:val="20"/>
              </w:rPr>
              <w:t>Передвижное</w:t>
            </w:r>
          </w:p>
        </w:tc>
      </w:tr>
      <w:tr w:rsidR="00BA1432" w:rsidRPr="00E8065F" w:rsidTr="000546C2">
        <w:trPr>
          <w:trHeight w:val="20"/>
        </w:trPr>
        <w:tc>
          <w:tcPr>
            <w:tcW w:w="1555" w:type="dxa"/>
            <w:vMerge/>
          </w:tcPr>
          <w:p w:rsidR="000E54C2" w:rsidRPr="00007FB5" w:rsidRDefault="000E54C2" w:rsidP="00BA1432">
            <w:pPr>
              <w:rPr>
                <w:sz w:val="20"/>
                <w:szCs w:val="20"/>
              </w:rPr>
            </w:pPr>
          </w:p>
        </w:tc>
        <w:tc>
          <w:tcPr>
            <w:tcW w:w="3685" w:type="dxa"/>
            <w:tcBorders>
              <w:top w:val="nil"/>
              <w:left w:val="single" w:sz="4" w:space="0" w:color="auto"/>
              <w:bottom w:val="single" w:sz="4" w:space="0" w:color="auto"/>
              <w:right w:val="nil"/>
            </w:tcBorders>
            <w:shd w:val="clear" w:color="auto" w:fill="auto"/>
          </w:tcPr>
          <w:p w:rsidR="000E54C2" w:rsidRPr="00E8065F" w:rsidRDefault="000E54C2" w:rsidP="00DC0475">
            <w:pPr>
              <w:jc w:val="both"/>
              <w:rPr>
                <w:color w:val="000000"/>
                <w:sz w:val="20"/>
                <w:szCs w:val="20"/>
              </w:rPr>
            </w:pPr>
            <w:r>
              <w:rPr>
                <w:color w:val="000000"/>
                <w:sz w:val="20"/>
                <w:szCs w:val="20"/>
              </w:rPr>
              <w:t xml:space="preserve">ГАУЗ </w:t>
            </w:r>
            <w:r w:rsidR="002F7358">
              <w:rPr>
                <w:sz w:val="20"/>
                <w:szCs w:val="20"/>
              </w:rPr>
              <w:t>«</w:t>
            </w:r>
            <w:r>
              <w:rPr>
                <w:sz w:val="20"/>
                <w:szCs w:val="20"/>
              </w:rPr>
              <w:t>Нижнекамская центральная районная многопрофильная больница</w:t>
            </w:r>
            <w:r w:rsidR="002F7358">
              <w:rPr>
                <w:sz w:val="20"/>
                <w:szCs w:val="20"/>
              </w:rPr>
              <w:t>»</w:t>
            </w:r>
          </w:p>
        </w:tc>
        <w:tc>
          <w:tcPr>
            <w:tcW w:w="1994" w:type="dxa"/>
            <w:tcBorders>
              <w:top w:val="nil"/>
              <w:left w:val="single" w:sz="4" w:space="0" w:color="auto"/>
              <w:bottom w:val="single" w:sz="4" w:space="0" w:color="auto"/>
              <w:right w:val="single" w:sz="4" w:space="0" w:color="auto"/>
            </w:tcBorders>
            <w:shd w:val="clear" w:color="auto" w:fill="auto"/>
          </w:tcPr>
          <w:p w:rsidR="000E54C2" w:rsidRPr="00E8065F" w:rsidRDefault="000E54C2" w:rsidP="00BA1432">
            <w:pPr>
              <w:jc w:val="center"/>
              <w:rPr>
                <w:color w:val="000000"/>
                <w:sz w:val="20"/>
                <w:szCs w:val="20"/>
              </w:rPr>
            </w:pPr>
            <w:r w:rsidRPr="00E8065F">
              <w:rPr>
                <w:color w:val="000000"/>
                <w:sz w:val="20"/>
                <w:szCs w:val="20"/>
              </w:rPr>
              <w:t>Флюмамм</w:t>
            </w:r>
          </w:p>
        </w:tc>
        <w:tc>
          <w:tcPr>
            <w:tcW w:w="1181" w:type="dxa"/>
            <w:tcBorders>
              <w:bottom w:val="single" w:sz="4" w:space="0" w:color="auto"/>
            </w:tcBorders>
            <w:shd w:val="clear" w:color="auto" w:fill="auto"/>
          </w:tcPr>
          <w:p w:rsidR="000E54C2" w:rsidRPr="00E8065F" w:rsidRDefault="000E54C2" w:rsidP="000546C2">
            <w:pPr>
              <w:jc w:val="center"/>
              <w:rPr>
                <w:sz w:val="20"/>
                <w:szCs w:val="20"/>
              </w:rPr>
            </w:pPr>
            <w:r w:rsidRPr="00E8065F">
              <w:rPr>
                <w:sz w:val="20"/>
                <w:szCs w:val="20"/>
              </w:rPr>
              <w:t>2015</w:t>
            </w:r>
          </w:p>
        </w:tc>
        <w:tc>
          <w:tcPr>
            <w:tcW w:w="1181" w:type="dxa"/>
            <w:tcBorders>
              <w:top w:val="nil"/>
              <w:left w:val="single" w:sz="4" w:space="0" w:color="auto"/>
              <w:bottom w:val="single" w:sz="4" w:space="0" w:color="auto"/>
              <w:right w:val="single" w:sz="4" w:space="0" w:color="auto"/>
            </w:tcBorders>
            <w:shd w:val="clear" w:color="auto" w:fill="auto"/>
          </w:tcPr>
          <w:p w:rsidR="000E54C2" w:rsidRPr="00E8065F" w:rsidRDefault="000E54C2" w:rsidP="000546C2">
            <w:pPr>
              <w:jc w:val="center"/>
              <w:rPr>
                <w:color w:val="000000"/>
                <w:sz w:val="20"/>
                <w:szCs w:val="20"/>
              </w:rPr>
            </w:pPr>
            <w:r w:rsidRPr="00E8065F">
              <w:rPr>
                <w:color w:val="000000"/>
                <w:sz w:val="20"/>
                <w:szCs w:val="20"/>
              </w:rPr>
              <w:t>1</w:t>
            </w:r>
          </w:p>
        </w:tc>
        <w:tc>
          <w:tcPr>
            <w:tcW w:w="1478" w:type="dxa"/>
            <w:tcBorders>
              <w:top w:val="nil"/>
              <w:left w:val="single" w:sz="4" w:space="0" w:color="auto"/>
              <w:bottom w:val="single" w:sz="4" w:space="0" w:color="auto"/>
              <w:right w:val="single" w:sz="4" w:space="0" w:color="auto"/>
            </w:tcBorders>
            <w:shd w:val="clear" w:color="auto" w:fill="auto"/>
          </w:tcPr>
          <w:p w:rsidR="000E54C2" w:rsidRPr="00E8065F" w:rsidRDefault="000E54C2" w:rsidP="000546C2">
            <w:pPr>
              <w:jc w:val="center"/>
              <w:rPr>
                <w:color w:val="000000"/>
                <w:sz w:val="20"/>
                <w:szCs w:val="20"/>
              </w:rPr>
            </w:pPr>
            <w:r w:rsidRPr="00E8065F">
              <w:rPr>
                <w:color w:val="000000"/>
                <w:sz w:val="20"/>
                <w:szCs w:val="20"/>
              </w:rPr>
              <w:t>20</w:t>
            </w:r>
          </w:p>
        </w:tc>
        <w:tc>
          <w:tcPr>
            <w:tcW w:w="1111" w:type="dxa"/>
            <w:tcBorders>
              <w:top w:val="nil"/>
              <w:left w:val="single" w:sz="4" w:space="0" w:color="auto"/>
              <w:bottom w:val="single" w:sz="4" w:space="0" w:color="auto"/>
              <w:right w:val="single" w:sz="4" w:space="0" w:color="auto"/>
            </w:tcBorders>
            <w:shd w:val="clear" w:color="auto" w:fill="auto"/>
          </w:tcPr>
          <w:p w:rsidR="000E54C2" w:rsidRPr="00E8065F" w:rsidRDefault="000E54C2" w:rsidP="000546C2">
            <w:pPr>
              <w:jc w:val="center"/>
              <w:rPr>
                <w:color w:val="000000"/>
                <w:sz w:val="20"/>
                <w:szCs w:val="20"/>
              </w:rPr>
            </w:pPr>
            <w:r w:rsidRPr="00E8065F">
              <w:rPr>
                <w:color w:val="000000"/>
                <w:sz w:val="20"/>
                <w:szCs w:val="20"/>
              </w:rPr>
              <w:t>2</w:t>
            </w:r>
          </w:p>
        </w:tc>
        <w:tc>
          <w:tcPr>
            <w:tcW w:w="1944" w:type="dxa"/>
            <w:tcBorders>
              <w:top w:val="nil"/>
              <w:left w:val="single" w:sz="4" w:space="0" w:color="auto"/>
              <w:bottom w:val="single" w:sz="4" w:space="0" w:color="auto"/>
              <w:right w:val="single" w:sz="4" w:space="0" w:color="auto"/>
            </w:tcBorders>
            <w:shd w:val="clear" w:color="auto" w:fill="auto"/>
          </w:tcPr>
          <w:p w:rsidR="000E54C2" w:rsidRPr="00E8065F" w:rsidRDefault="000E54C2" w:rsidP="00BA1432">
            <w:pPr>
              <w:jc w:val="center"/>
              <w:rPr>
                <w:color w:val="000000"/>
                <w:sz w:val="20"/>
                <w:szCs w:val="20"/>
              </w:rPr>
            </w:pPr>
            <w:r w:rsidRPr="00E8065F">
              <w:rPr>
                <w:color w:val="000000"/>
                <w:sz w:val="20"/>
                <w:szCs w:val="20"/>
              </w:rPr>
              <w:t>Передвижное</w:t>
            </w:r>
          </w:p>
        </w:tc>
      </w:tr>
      <w:tr w:rsidR="00BA1432" w:rsidRPr="00E8065F" w:rsidTr="000546C2">
        <w:trPr>
          <w:trHeight w:val="20"/>
        </w:trPr>
        <w:tc>
          <w:tcPr>
            <w:tcW w:w="1555" w:type="dxa"/>
            <w:vMerge/>
          </w:tcPr>
          <w:p w:rsidR="000E54C2" w:rsidRPr="00007FB5" w:rsidRDefault="000E54C2" w:rsidP="00BA1432">
            <w:pPr>
              <w:rPr>
                <w:sz w:val="20"/>
                <w:szCs w:val="20"/>
              </w:rPr>
            </w:pPr>
          </w:p>
        </w:tc>
        <w:tc>
          <w:tcPr>
            <w:tcW w:w="3685" w:type="dxa"/>
            <w:tcBorders>
              <w:top w:val="single" w:sz="4" w:space="0" w:color="auto"/>
              <w:bottom w:val="single" w:sz="4" w:space="0" w:color="auto"/>
              <w:right w:val="single" w:sz="4" w:space="0" w:color="auto"/>
            </w:tcBorders>
            <w:shd w:val="clear" w:color="auto" w:fill="auto"/>
          </w:tcPr>
          <w:p w:rsidR="000E54C2" w:rsidRPr="00E8065F" w:rsidRDefault="000E54C2" w:rsidP="00007FB5">
            <w:pPr>
              <w:jc w:val="both"/>
              <w:rPr>
                <w:color w:val="000000"/>
                <w:sz w:val="20"/>
                <w:szCs w:val="20"/>
              </w:rPr>
            </w:pPr>
            <w:r>
              <w:rPr>
                <w:color w:val="000000"/>
                <w:sz w:val="20"/>
                <w:szCs w:val="20"/>
              </w:rPr>
              <w:t xml:space="preserve">ГАУЗ </w:t>
            </w:r>
            <w:r w:rsidR="002F7358">
              <w:rPr>
                <w:color w:val="000000"/>
                <w:sz w:val="20"/>
                <w:szCs w:val="20"/>
              </w:rPr>
              <w:t>«</w:t>
            </w:r>
            <w:r w:rsidRPr="00E8065F">
              <w:rPr>
                <w:color w:val="000000"/>
                <w:sz w:val="20"/>
                <w:szCs w:val="20"/>
              </w:rPr>
              <w:t>Городская клиническая больница №</w:t>
            </w:r>
            <w:r w:rsidR="00007FB5">
              <w:rPr>
                <w:color w:val="000000"/>
                <w:sz w:val="20"/>
                <w:szCs w:val="20"/>
              </w:rPr>
              <w:t xml:space="preserve"> </w:t>
            </w:r>
            <w:r w:rsidRPr="00E8065F">
              <w:rPr>
                <w:color w:val="000000"/>
                <w:sz w:val="20"/>
                <w:szCs w:val="20"/>
              </w:rPr>
              <w:t>7 им.М.Н.Садыкова</w:t>
            </w:r>
            <w:r w:rsidR="002F7358">
              <w:rPr>
                <w:color w:val="000000"/>
                <w:sz w:val="20"/>
                <w:szCs w:val="20"/>
              </w:rPr>
              <w:t>»</w:t>
            </w:r>
            <w:r>
              <w:rPr>
                <w:color w:val="000000"/>
                <w:sz w:val="20"/>
                <w:szCs w:val="20"/>
              </w:rPr>
              <w:t xml:space="preserve"> г.Казани</w:t>
            </w:r>
          </w:p>
        </w:tc>
        <w:tc>
          <w:tcPr>
            <w:tcW w:w="1994" w:type="dxa"/>
            <w:tcBorders>
              <w:top w:val="single" w:sz="4" w:space="0" w:color="auto"/>
              <w:left w:val="single" w:sz="4" w:space="0" w:color="auto"/>
              <w:bottom w:val="single" w:sz="4" w:space="0" w:color="auto"/>
              <w:right w:val="single" w:sz="4" w:space="0" w:color="auto"/>
            </w:tcBorders>
            <w:shd w:val="clear" w:color="auto" w:fill="auto"/>
          </w:tcPr>
          <w:p w:rsidR="000E54C2" w:rsidRPr="00E8065F" w:rsidRDefault="000E54C2" w:rsidP="00BA1432">
            <w:pPr>
              <w:jc w:val="center"/>
              <w:rPr>
                <w:color w:val="000000"/>
                <w:sz w:val="20"/>
                <w:szCs w:val="20"/>
              </w:rPr>
            </w:pPr>
            <w:r w:rsidRPr="00E8065F">
              <w:rPr>
                <w:color w:val="000000"/>
                <w:sz w:val="20"/>
                <w:szCs w:val="20"/>
              </w:rPr>
              <w:t>Флюмамм</w:t>
            </w:r>
          </w:p>
        </w:tc>
        <w:tc>
          <w:tcPr>
            <w:tcW w:w="1181" w:type="dxa"/>
            <w:tcBorders>
              <w:top w:val="single" w:sz="4" w:space="0" w:color="auto"/>
              <w:left w:val="single" w:sz="4" w:space="0" w:color="auto"/>
              <w:bottom w:val="single" w:sz="4" w:space="0" w:color="auto"/>
              <w:right w:val="single" w:sz="4" w:space="0" w:color="auto"/>
            </w:tcBorders>
            <w:shd w:val="clear" w:color="auto" w:fill="auto"/>
          </w:tcPr>
          <w:p w:rsidR="000E54C2" w:rsidRPr="00E8065F" w:rsidRDefault="000E54C2" w:rsidP="000546C2">
            <w:pPr>
              <w:jc w:val="center"/>
              <w:rPr>
                <w:sz w:val="20"/>
                <w:szCs w:val="20"/>
              </w:rPr>
            </w:pPr>
            <w:r w:rsidRPr="00E8065F">
              <w:rPr>
                <w:sz w:val="20"/>
                <w:szCs w:val="20"/>
              </w:rPr>
              <w:t>2024</w:t>
            </w:r>
          </w:p>
        </w:tc>
        <w:tc>
          <w:tcPr>
            <w:tcW w:w="1181" w:type="dxa"/>
            <w:tcBorders>
              <w:top w:val="single" w:sz="4" w:space="0" w:color="auto"/>
              <w:left w:val="single" w:sz="4" w:space="0" w:color="auto"/>
              <w:bottom w:val="single" w:sz="4" w:space="0" w:color="auto"/>
              <w:right w:val="single" w:sz="4" w:space="0" w:color="auto"/>
            </w:tcBorders>
            <w:shd w:val="clear" w:color="auto" w:fill="auto"/>
          </w:tcPr>
          <w:p w:rsidR="000E54C2" w:rsidRPr="00E8065F" w:rsidRDefault="000E54C2" w:rsidP="000546C2">
            <w:pPr>
              <w:jc w:val="center"/>
              <w:rPr>
                <w:color w:val="000000"/>
                <w:sz w:val="20"/>
                <w:szCs w:val="20"/>
              </w:rPr>
            </w:pPr>
            <w:r w:rsidRPr="00E8065F">
              <w:rPr>
                <w:color w:val="000000"/>
                <w:sz w:val="20"/>
                <w:szCs w:val="20"/>
              </w:rPr>
              <w:t>1</w:t>
            </w:r>
          </w:p>
        </w:tc>
        <w:tc>
          <w:tcPr>
            <w:tcW w:w="1478" w:type="dxa"/>
            <w:tcBorders>
              <w:top w:val="single" w:sz="4" w:space="0" w:color="auto"/>
              <w:left w:val="single" w:sz="4" w:space="0" w:color="auto"/>
              <w:bottom w:val="single" w:sz="4" w:space="0" w:color="auto"/>
              <w:right w:val="single" w:sz="4" w:space="0" w:color="auto"/>
            </w:tcBorders>
            <w:shd w:val="clear" w:color="auto" w:fill="auto"/>
          </w:tcPr>
          <w:p w:rsidR="000E54C2" w:rsidRPr="00E8065F" w:rsidRDefault="000E54C2" w:rsidP="000546C2">
            <w:pPr>
              <w:jc w:val="center"/>
              <w:rPr>
                <w:color w:val="000000"/>
                <w:sz w:val="20"/>
                <w:szCs w:val="20"/>
              </w:rPr>
            </w:pPr>
            <w:r w:rsidRPr="00E8065F">
              <w:rPr>
                <w:color w:val="000000"/>
                <w:sz w:val="20"/>
                <w:szCs w:val="20"/>
              </w:rPr>
              <w:t>25</w:t>
            </w:r>
          </w:p>
        </w:tc>
        <w:tc>
          <w:tcPr>
            <w:tcW w:w="1111" w:type="dxa"/>
            <w:tcBorders>
              <w:top w:val="single" w:sz="4" w:space="0" w:color="auto"/>
              <w:left w:val="single" w:sz="4" w:space="0" w:color="auto"/>
              <w:bottom w:val="single" w:sz="4" w:space="0" w:color="auto"/>
              <w:right w:val="single" w:sz="4" w:space="0" w:color="auto"/>
            </w:tcBorders>
            <w:shd w:val="clear" w:color="auto" w:fill="auto"/>
          </w:tcPr>
          <w:p w:rsidR="000E54C2" w:rsidRPr="00E8065F" w:rsidRDefault="000E54C2" w:rsidP="000546C2">
            <w:pPr>
              <w:jc w:val="center"/>
              <w:rPr>
                <w:color w:val="000000"/>
                <w:sz w:val="20"/>
                <w:szCs w:val="20"/>
              </w:rPr>
            </w:pPr>
            <w:r w:rsidRPr="00E8065F">
              <w:rPr>
                <w:color w:val="000000"/>
                <w:sz w:val="20"/>
                <w:szCs w:val="20"/>
              </w:rPr>
              <w:t>2</w:t>
            </w:r>
          </w:p>
        </w:tc>
        <w:tc>
          <w:tcPr>
            <w:tcW w:w="1944" w:type="dxa"/>
            <w:tcBorders>
              <w:top w:val="single" w:sz="4" w:space="0" w:color="auto"/>
              <w:left w:val="single" w:sz="4" w:space="0" w:color="auto"/>
              <w:bottom w:val="single" w:sz="4" w:space="0" w:color="auto"/>
              <w:right w:val="single" w:sz="4" w:space="0" w:color="auto"/>
            </w:tcBorders>
            <w:shd w:val="clear" w:color="auto" w:fill="auto"/>
          </w:tcPr>
          <w:p w:rsidR="000E54C2" w:rsidRPr="00E8065F" w:rsidRDefault="000E54C2" w:rsidP="00BA1432">
            <w:pPr>
              <w:jc w:val="center"/>
              <w:rPr>
                <w:color w:val="000000"/>
                <w:sz w:val="20"/>
                <w:szCs w:val="20"/>
              </w:rPr>
            </w:pPr>
            <w:r w:rsidRPr="00E8065F">
              <w:rPr>
                <w:color w:val="000000"/>
                <w:sz w:val="20"/>
                <w:szCs w:val="20"/>
              </w:rPr>
              <w:t>Передвижное</w:t>
            </w:r>
          </w:p>
        </w:tc>
      </w:tr>
      <w:tr w:rsidR="00BA1432" w:rsidRPr="00E8065F" w:rsidTr="000546C2">
        <w:trPr>
          <w:trHeight w:val="20"/>
        </w:trPr>
        <w:tc>
          <w:tcPr>
            <w:tcW w:w="1555" w:type="dxa"/>
            <w:vMerge/>
          </w:tcPr>
          <w:p w:rsidR="000E54C2" w:rsidRPr="00007FB5" w:rsidRDefault="000E54C2" w:rsidP="00BA1432">
            <w:pPr>
              <w:rPr>
                <w:sz w:val="20"/>
                <w:szCs w:val="20"/>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0E54C2" w:rsidRPr="00E8065F" w:rsidRDefault="000E54C2" w:rsidP="005126B4">
            <w:pPr>
              <w:jc w:val="both"/>
              <w:rPr>
                <w:color w:val="000000"/>
                <w:sz w:val="20"/>
                <w:szCs w:val="20"/>
              </w:rPr>
            </w:pPr>
            <w:r>
              <w:rPr>
                <w:color w:val="000000"/>
                <w:sz w:val="20"/>
                <w:szCs w:val="20"/>
              </w:rPr>
              <w:t xml:space="preserve">ГАУЗ </w:t>
            </w:r>
            <w:r>
              <w:rPr>
                <w:rFonts w:eastAsia="Calibri"/>
                <w:sz w:val="20"/>
                <w:szCs w:val="20"/>
              </w:rPr>
              <w:t xml:space="preserve">Республики Татарстан </w:t>
            </w:r>
            <w:r w:rsidR="002F7358">
              <w:rPr>
                <w:rFonts w:eastAsia="Calibri"/>
                <w:sz w:val="20"/>
                <w:szCs w:val="20"/>
              </w:rPr>
              <w:t>«</w:t>
            </w:r>
            <w:r>
              <w:rPr>
                <w:rFonts w:eastAsia="Calibri"/>
                <w:sz w:val="20"/>
                <w:szCs w:val="20"/>
              </w:rPr>
              <w:t>Больница скорой медицинской помощи</w:t>
            </w:r>
            <w:r w:rsidR="005126B4">
              <w:rPr>
                <w:rFonts w:eastAsia="Calibri"/>
                <w:sz w:val="20"/>
                <w:szCs w:val="20"/>
              </w:rPr>
              <w:t xml:space="preserve"> им. Р.С.Акчурина»</w:t>
            </w:r>
            <w:r>
              <w:rPr>
                <w:rFonts w:eastAsia="Calibri"/>
                <w:sz w:val="20"/>
                <w:szCs w:val="20"/>
              </w:rPr>
              <w:t xml:space="preserve"> </w:t>
            </w:r>
            <w:r>
              <w:rPr>
                <w:sz w:val="20"/>
                <w:szCs w:val="20"/>
              </w:rPr>
              <w:t>г.Набережные Челны</w:t>
            </w:r>
          </w:p>
        </w:tc>
        <w:tc>
          <w:tcPr>
            <w:tcW w:w="1994" w:type="dxa"/>
            <w:tcBorders>
              <w:top w:val="single" w:sz="4" w:space="0" w:color="auto"/>
              <w:left w:val="single" w:sz="4" w:space="0" w:color="auto"/>
              <w:bottom w:val="single" w:sz="4" w:space="0" w:color="auto"/>
              <w:right w:val="single" w:sz="4" w:space="0" w:color="auto"/>
            </w:tcBorders>
            <w:shd w:val="clear" w:color="auto" w:fill="auto"/>
          </w:tcPr>
          <w:p w:rsidR="000E54C2" w:rsidRPr="00E8065F" w:rsidRDefault="000E54C2" w:rsidP="00BA1432">
            <w:pPr>
              <w:jc w:val="center"/>
              <w:rPr>
                <w:color w:val="000000"/>
                <w:sz w:val="20"/>
                <w:szCs w:val="20"/>
              </w:rPr>
            </w:pPr>
            <w:r w:rsidRPr="00E8065F">
              <w:rPr>
                <w:color w:val="000000"/>
                <w:sz w:val="20"/>
                <w:szCs w:val="20"/>
              </w:rPr>
              <w:t>Флюмамм</w:t>
            </w:r>
          </w:p>
        </w:tc>
        <w:tc>
          <w:tcPr>
            <w:tcW w:w="1181" w:type="dxa"/>
            <w:tcBorders>
              <w:top w:val="single" w:sz="4" w:space="0" w:color="auto"/>
            </w:tcBorders>
            <w:shd w:val="clear" w:color="auto" w:fill="auto"/>
          </w:tcPr>
          <w:p w:rsidR="000E54C2" w:rsidRPr="00E8065F" w:rsidRDefault="000E54C2" w:rsidP="000546C2">
            <w:pPr>
              <w:jc w:val="center"/>
              <w:rPr>
                <w:sz w:val="20"/>
                <w:szCs w:val="20"/>
              </w:rPr>
            </w:pPr>
            <w:r w:rsidRPr="00E8065F">
              <w:rPr>
                <w:sz w:val="20"/>
                <w:szCs w:val="20"/>
              </w:rPr>
              <w:t>2024</w:t>
            </w:r>
            <w:r w:rsidR="00793DC9">
              <w:rPr>
                <w:sz w:val="20"/>
                <w:szCs w:val="20"/>
              </w:rPr>
              <w:t xml:space="preserve"> </w:t>
            </w:r>
            <w:r w:rsidR="00D92024">
              <w:rPr>
                <w:sz w:val="20"/>
                <w:szCs w:val="20"/>
              </w:rPr>
              <w:t>(2)</w:t>
            </w:r>
          </w:p>
        </w:tc>
        <w:tc>
          <w:tcPr>
            <w:tcW w:w="1181" w:type="dxa"/>
            <w:tcBorders>
              <w:top w:val="single" w:sz="4" w:space="0" w:color="auto"/>
              <w:left w:val="single" w:sz="4" w:space="0" w:color="auto"/>
              <w:bottom w:val="single" w:sz="4" w:space="0" w:color="auto"/>
              <w:right w:val="single" w:sz="4" w:space="0" w:color="auto"/>
            </w:tcBorders>
            <w:shd w:val="clear" w:color="auto" w:fill="auto"/>
          </w:tcPr>
          <w:p w:rsidR="000E54C2" w:rsidRPr="00E8065F" w:rsidRDefault="000E54C2" w:rsidP="000546C2">
            <w:pPr>
              <w:jc w:val="center"/>
              <w:rPr>
                <w:color w:val="000000"/>
                <w:sz w:val="20"/>
                <w:szCs w:val="20"/>
              </w:rPr>
            </w:pPr>
            <w:r w:rsidRPr="00E8065F">
              <w:rPr>
                <w:color w:val="000000"/>
                <w:sz w:val="20"/>
                <w:szCs w:val="20"/>
              </w:rPr>
              <w:t>2</w:t>
            </w:r>
          </w:p>
        </w:tc>
        <w:tc>
          <w:tcPr>
            <w:tcW w:w="1478" w:type="dxa"/>
            <w:tcBorders>
              <w:top w:val="single" w:sz="4" w:space="0" w:color="auto"/>
              <w:left w:val="single" w:sz="4" w:space="0" w:color="auto"/>
              <w:bottom w:val="single" w:sz="4" w:space="0" w:color="auto"/>
              <w:right w:val="single" w:sz="4" w:space="0" w:color="auto"/>
            </w:tcBorders>
            <w:shd w:val="clear" w:color="auto" w:fill="auto"/>
          </w:tcPr>
          <w:p w:rsidR="000E54C2" w:rsidRPr="00E8065F" w:rsidRDefault="000E54C2" w:rsidP="000546C2">
            <w:pPr>
              <w:jc w:val="center"/>
              <w:rPr>
                <w:color w:val="000000"/>
                <w:sz w:val="20"/>
                <w:szCs w:val="20"/>
              </w:rPr>
            </w:pPr>
            <w:r w:rsidRPr="00E8065F">
              <w:rPr>
                <w:color w:val="000000"/>
                <w:sz w:val="20"/>
                <w:szCs w:val="20"/>
              </w:rPr>
              <w:t>17</w:t>
            </w:r>
          </w:p>
        </w:tc>
        <w:tc>
          <w:tcPr>
            <w:tcW w:w="1111" w:type="dxa"/>
            <w:tcBorders>
              <w:top w:val="single" w:sz="4" w:space="0" w:color="auto"/>
              <w:left w:val="single" w:sz="4" w:space="0" w:color="auto"/>
              <w:bottom w:val="single" w:sz="4" w:space="0" w:color="auto"/>
              <w:right w:val="single" w:sz="4" w:space="0" w:color="auto"/>
            </w:tcBorders>
            <w:shd w:val="clear" w:color="auto" w:fill="auto"/>
          </w:tcPr>
          <w:p w:rsidR="000E54C2" w:rsidRPr="00E8065F" w:rsidRDefault="000E54C2" w:rsidP="000546C2">
            <w:pPr>
              <w:jc w:val="center"/>
              <w:rPr>
                <w:color w:val="000000"/>
                <w:sz w:val="20"/>
                <w:szCs w:val="20"/>
              </w:rPr>
            </w:pPr>
            <w:r w:rsidRPr="00E8065F">
              <w:rPr>
                <w:color w:val="000000"/>
                <w:sz w:val="20"/>
                <w:szCs w:val="20"/>
              </w:rPr>
              <w:t>2</w:t>
            </w:r>
          </w:p>
        </w:tc>
        <w:tc>
          <w:tcPr>
            <w:tcW w:w="1944" w:type="dxa"/>
            <w:tcBorders>
              <w:top w:val="single" w:sz="4" w:space="0" w:color="auto"/>
              <w:left w:val="single" w:sz="4" w:space="0" w:color="auto"/>
              <w:bottom w:val="single" w:sz="4" w:space="0" w:color="auto"/>
              <w:right w:val="single" w:sz="4" w:space="0" w:color="auto"/>
            </w:tcBorders>
            <w:shd w:val="clear" w:color="auto" w:fill="auto"/>
          </w:tcPr>
          <w:p w:rsidR="000E54C2" w:rsidRPr="00E8065F" w:rsidRDefault="000E54C2" w:rsidP="00BA1432">
            <w:pPr>
              <w:jc w:val="center"/>
              <w:rPr>
                <w:color w:val="000000"/>
                <w:sz w:val="20"/>
                <w:szCs w:val="20"/>
              </w:rPr>
            </w:pPr>
            <w:r w:rsidRPr="00E8065F">
              <w:rPr>
                <w:color w:val="000000"/>
                <w:sz w:val="20"/>
                <w:szCs w:val="20"/>
              </w:rPr>
              <w:t>Передвижное</w:t>
            </w:r>
          </w:p>
        </w:tc>
      </w:tr>
      <w:tr w:rsidR="00BA1432" w:rsidRPr="00E8065F" w:rsidTr="000546C2">
        <w:trPr>
          <w:trHeight w:val="20"/>
        </w:trPr>
        <w:tc>
          <w:tcPr>
            <w:tcW w:w="1555" w:type="dxa"/>
            <w:vMerge/>
          </w:tcPr>
          <w:p w:rsidR="000E54C2" w:rsidRPr="00007FB5" w:rsidRDefault="000E54C2" w:rsidP="00BA1432">
            <w:pPr>
              <w:rPr>
                <w:sz w:val="20"/>
                <w:szCs w:val="20"/>
              </w:rPr>
            </w:pPr>
          </w:p>
        </w:tc>
        <w:tc>
          <w:tcPr>
            <w:tcW w:w="3685" w:type="dxa"/>
            <w:tcBorders>
              <w:top w:val="nil"/>
              <w:left w:val="single" w:sz="4" w:space="0" w:color="auto"/>
              <w:bottom w:val="single" w:sz="4" w:space="0" w:color="auto"/>
              <w:right w:val="single" w:sz="4" w:space="0" w:color="auto"/>
            </w:tcBorders>
            <w:shd w:val="clear" w:color="auto" w:fill="auto"/>
          </w:tcPr>
          <w:p w:rsidR="000E54C2" w:rsidRPr="00AE291F" w:rsidRDefault="000E54C2" w:rsidP="00DC0475">
            <w:pPr>
              <w:jc w:val="both"/>
              <w:rPr>
                <w:color w:val="000000"/>
                <w:sz w:val="20"/>
                <w:szCs w:val="20"/>
              </w:rPr>
            </w:pPr>
            <w:r w:rsidRPr="00AE291F">
              <w:rPr>
                <w:color w:val="000000"/>
                <w:sz w:val="20"/>
                <w:szCs w:val="20"/>
              </w:rPr>
              <w:t xml:space="preserve">ГАУЗ </w:t>
            </w:r>
            <w:r w:rsidR="002F7358">
              <w:rPr>
                <w:rFonts w:eastAsia="Calibri"/>
                <w:sz w:val="20"/>
                <w:szCs w:val="20"/>
              </w:rPr>
              <w:t>«</w:t>
            </w:r>
            <w:r w:rsidRPr="00AE291F">
              <w:rPr>
                <w:rFonts w:eastAsia="Calibri"/>
                <w:sz w:val="20"/>
                <w:szCs w:val="20"/>
              </w:rPr>
              <w:t>Межрегиональный клинико-диагностический центр</w:t>
            </w:r>
            <w:r w:rsidR="002F7358">
              <w:rPr>
                <w:rFonts w:eastAsia="Calibri"/>
                <w:sz w:val="20"/>
                <w:szCs w:val="20"/>
              </w:rPr>
              <w:t>»</w:t>
            </w:r>
          </w:p>
        </w:tc>
        <w:tc>
          <w:tcPr>
            <w:tcW w:w="1994" w:type="dxa"/>
            <w:tcBorders>
              <w:top w:val="nil"/>
              <w:left w:val="single" w:sz="4" w:space="0" w:color="auto"/>
              <w:bottom w:val="single" w:sz="4" w:space="0" w:color="auto"/>
              <w:right w:val="single" w:sz="4" w:space="0" w:color="auto"/>
            </w:tcBorders>
            <w:shd w:val="clear" w:color="auto" w:fill="auto"/>
          </w:tcPr>
          <w:p w:rsidR="000E54C2" w:rsidRPr="00E8065F" w:rsidRDefault="000E54C2" w:rsidP="00BA1432">
            <w:pPr>
              <w:jc w:val="center"/>
              <w:rPr>
                <w:color w:val="000000"/>
                <w:sz w:val="20"/>
                <w:szCs w:val="20"/>
              </w:rPr>
            </w:pPr>
            <w:r w:rsidRPr="00E8065F">
              <w:rPr>
                <w:color w:val="000000"/>
                <w:sz w:val="20"/>
                <w:szCs w:val="20"/>
              </w:rPr>
              <w:t>Флюмамм</w:t>
            </w:r>
          </w:p>
        </w:tc>
        <w:tc>
          <w:tcPr>
            <w:tcW w:w="1181" w:type="dxa"/>
            <w:shd w:val="clear" w:color="auto" w:fill="auto"/>
          </w:tcPr>
          <w:p w:rsidR="000E54C2" w:rsidRPr="00E8065F" w:rsidRDefault="000E54C2" w:rsidP="000546C2">
            <w:pPr>
              <w:jc w:val="center"/>
              <w:rPr>
                <w:sz w:val="20"/>
                <w:szCs w:val="20"/>
              </w:rPr>
            </w:pPr>
            <w:r w:rsidRPr="00E8065F">
              <w:rPr>
                <w:sz w:val="20"/>
                <w:szCs w:val="20"/>
              </w:rPr>
              <w:t>2024</w:t>
            </w:r>
          </w:p>
        </w:tc>
        <w:tc>
          <w:tcPr>
            <w:tcW w:w="1181" w:type="dxa"/>
            <w:tcBorders>
              <w:top w:val="nil"/>
              <w:left w:val="single" w:sz="4" w:space="0" w:color="auto"/>
              <w:bottom w:val="single" w:sz="4" w:space="0" w:color="auto"/>
              <w:right w:val="single" w:sz="4" w:space="0" w:color="auto"/>
            </w:tcBorders>
            <w:shd w:val="clear" w:color="auto" w:fill="auto"/>
          </w:tcPr>
          <w:p w:rsidR="000E54C2" w:rsidRPr="00E8065F" w:rsidRDefault="000E54C2" w:rsidP="000546C2">
            <w:pPr>
              <w:jc w:val="center"/>
              <w:rPr>
                <w:color w:val="000000"/>
                <w:sz w:val="20"/>
                <w:szCs w:val="20"/>
              </w:rPr>
            </w:pPr>
            <w:r w:rsidRPr="00E8065F">
              <w:rPr>
                <w:color w:val="000000"/>
                <w:sz w:val="20"/>
                <w:szCs w:val="20"/>
              </w:rPr>
              <w:t>1</w:t>
            </w:r>
          </w:p>
        </w:tc>
        <w:tc>
          <w:tcPr>
            <w:tcW w:w="1478" w:type="dxa"/>
            <w:tcBorders>
              <w:top w:val="nil"/>
              <w:left w:val="single" w:sz="4" w:space="0" w:color="auto"/>
              <w:bottom w:val="single" w:sz="4" w:space="0" w:color="auto"/>
              <w:right w:val="single" w:sz="4" w:space="0" w:color="auto"/>
            </w:tcBorders>
            <w:shd w:val="clear" w:color="auto" w:fill="auto"/>
          </w:tcPr>
          <w:p w:rsidR="000E54C2" w:rsidRPr="00E8065F" w:rsidRDefault="000E54C2" w:rsidP="000546C2">
            <w:pPr>
              <w:jc w:val="center"/>
              <w:rPr>
                <w:color w:val="000000"/>
                <w:sz w:val="20"/>
                <w:szCs w:val="20"/>
              </w:rPr>
            </w:pPr>
            <w:r w:rsidRPr="00E8065F">
              <w:rPr>
                <w:color w:val="000000"/>
                <w:sz w:val="20"/>
                <w:szCs w:val="20"/>
              </w:rPr>
              <w:t>5</w:t>
            </w:r>
          </w:p>
        </w:tc>
        <w:tc>
          <w:tcPr>
            <w:tcW w:w="1111" w:type="dxa"/>
            <w:tcBorders>
              <w:top w:val="nil"/>
              <w:left w:val="single" w:sz="4" w:space="0" w:color="auto"/>
              <w:bottom w:val="single" w:sz="4" w:space="0" w:color="auto"/>
              <w:right w:val="single" w:sz="4" w:space="0" w:color="auto"/>
            </w:tcBorders>
            <w:shd w:val="clear" w:color="auto" w:fill="auto"/>
          </w:tcPr>
          <w:p w:rsidR="000E54C2" w:rsidRPr="00E8065F" w:rsidRDefault="000E54C2" w:rsidP="000546C2">
            <w:pPr>
              <w:jc w:val="center"/>
              <w:rPr>
                <w:color w:val="000000"/>
                <w:sz w:val="20"/>
                <w:szCs w:val="20"/>
              </w:rPr>
            </w:pPr>
            <w:r w:rsidRPr="00E8065F">
              <w:rPr>
                <w:color w:val="000000"/>
                <w:sz w:val="20"/>
                <w:szCs w:val="20"/>
              </w:rPr>
              <w:t>2</w:t>
            </w:r>
          </w:p>
        </w:tc>
        <w:tc>
          <w:tcPr>
            <w:tcW w:w="1944" w:type="dxa"/>
            <w:tcBorders>
              <w:top w:val="nil"/>
              <w:left w:val="single" w:sz="4" w:space="0" w:color="auto"/>
              <w:bottom w:val="single" w:sz="4" w:space="0" w:color="auto"/>
              <w:right w:val="single" w:sz="4" w:space="0" w:color="auto"/>
            </w:tcBorders>
            <w:shd w:val="clear" w:color="auto" w:fill="auto"/>
          </w:tcPr>
          <w:p w:rsidR="000E54C2" w:rsidRPr="00E8065F" w:rsidRDefault="000E54C2" w:rsidP="00BA1432">
            <w:pPr>
              <w:jc w:val="center"/>
              <w:rPr>
                <w:color w:val="000000"/>
                <w:sz w:val="20"/>
                <w:szCs w:val="20"/>
              </w:rPr>
            </w:pPr>
            <w:r w:rsidRPr="00E8065F">
              <w:rPr>
                <w:color w:val="000000"/>
                <w:sz w:val="20"/>
                <w:szCs w:val="20"/>
              </w:rPr>
              <w:t>Передвижное</w:t>
            </w:r>
          </w:p>
        </w:tc>
      </w:tr>
      <w:tr w:rsidR="00BA1432" w:rsidRPr="00E8065F" w:rsidTr="000546C2">
        <w:trPr>
          <w:trHeight w:val="20"/>
        </w:trPr>
        <w:tc>
          <w:tcPr>
            <w:tcW w:w="1555" w:type="dxa"/>
            <w:vMerge/>
          </w:tcPr>
          <w:p w:rsidR="000E54C2" w:rsidRPr="00007FB5" w:rsidRDefault="000E54C2" w:rsidP="00BA1432">
            <w:pPr>
              <w:rPr>
                <w:sz w:val="20"/>
                <w:szCs w:val="20"/>
              </w:rPr>
            </w:pPr>
          </w:p>
        </w:tc>
        <w:tc>
          <w:tcPr>
            <w:tcW w:w="3685" w:type="dxa"/>
            <w:tcBorders>
              <w:top w:val="nil"/>
              <w:left w:val="single" w:sz="4" w:space="0" w:color="auto"/>
              <w:bottom w:val="single" w:sz="4" w:space="0" w:color="auto"/>
              <w:right w:val="single" w:sz="4" w:space="0" w:color="auto"/>
            </w:tcBorders>
            <w:shd w:val="clear" w:color="auto" w:fill="auto"/>
          </w:tcPr>
          <w:p w:rsidR="000E54C2" w:rsidRPr="00E8065F" w:rsidRDefault="000E54C2" w:rsidP="00DC0475">
            <w:pPr>
              <w:jc w:val="both"/>
              <w:rPr>
                <w:color w:val="000000"/>
                <w:sz w:val="20"/>
                <w:szCs w:val="20"/>
              </w:rPr>
            </w:pPr>
            <w:r w:rsidRPr="00E8065F">
              <w:rPr>
                <w:color w:val="000000"/>
                <w:sz w:val="20"/>
                <w:szCs w:val="20"/>
              </w:rPr>
              <w:t xml:space="preserve">ГАУЗ </w:t>
            </w:r>
            <w:r w:rsidR="002F7358">
              <w:rPr>
                <w:color w:val="000000"/>
                <w:sz w:val="20"/>
                <w:szCs w:val="20"/>
              </w:rPr>
              <w:t>«</w:t>
            </w:r>
            <w:r w:rsidRPr="0065212C">
              <w:rPr>
                <w:color w:val="000000"/>
                <w:sz w:val="20"/>
                <w:szCs w:val="20"/>
              </w:rPr>
              <w:t>Республиканская клиническая больница Министерства здравоохранения Республики Татарстан</w:t>
            </w:r>
            <w:r w:rsidR="002F7358">
              <w:rPr>
                <w:color w:val="000000"/>
                <w:sz w:val="20"/>
                <w:szCs w:val="20"/>
              </w:rPr>
              <w:t>»</w:t>
            </w:r>
            <w:r w:rsidRPr="0065212C">
              <w:rPr>
                <w:color w:val="000000"/>
                <w:sz w:val="20"/>
                <w:szCs w:val="20"/>
              </w:rPr>
              <w:t xml:space="preserve"> </w:t>
            </w:r>
          </w:p>
        </w:tc>
        <w:tc>
          <w:tcPr>
            <w:tcW w:w="1994" w:type="dxa"/>
            <w:tcBorders>
              <w:top w:val="nil"/>
              <w:left w:val="single" w:sz="4" w:space="0" w:color="auto"/>
              <w:bottom w:val="single" w:sz="4" w:space="0" w:color="auto"/>
              <w:right w:val="single" w:sz="4" w:space="0" w:color="auto"/>
            </w:tcBorders>
            <w:shd w:val="clear" w:color="auto" w:fill="auto"/>
          </w:tcPr>
          <w:p w:rsidR="000E54C2" w:rsidRPr="00E8065F" w:rsidRDefault="000E54C2" w:rsidP="00BA1432">
            <w:pPr>
              <w:jc w:val="center"/>
              <w:rPr>
                <w:color w:val="000000"/>
                <w:sz w:val="20"/>
                <w:szCs w:val="20"/>
              </w:rPr>
            </w:pPr>
            <w:r w:rsidRPr="00E8065F">
              <w:rPr>
                <w:color w:val="000000"/>
                <w:sz w:val="20"/>
                <w:szCs w:val="20"/>
              </w:rPr>
              <w:t>Флюмамм</w:t>
            </w:r>
          </w:p>
        </w:tc>
        <w:tc>
          <w:tcPr>
            <w:tcW w:w="1181" w:type="dxa"/>
            <w:shd w:val="clear" w:color="auto" w:fill="auto"/>
          </w:tcPr>
          <w:p w:rsidR="000E54C2" w:rsidRPr="00E8065F" w:rsidRDefault="000E54C2" w:rsidP="000546C2">
            <w:pPr>
              <w:jc w:val="center"/>
              <w:rPr>
                <w:sz w:val="20"/>
                <w:szCs w:val="20"/>
              </w:rPr>
            </w:pPr>
            <w:r w:rsidRPr="00E8065F">
              <w:rPr>
                <w:sz w:val="20"/>
                <w:szCs w:val="20"/>
              </w:rPr>
              <w:t>2024</w:t>
            </w:r>
          </w:p>
        </w:tc>
        <w:tc>
          <w:tcPr>
            <w:tcW w:w="1181" w:type="dxa"/>
            <w:tcBorders>
              <w:top w:val="nil"/>
              <w:left w:val="single" w:sz="4" w:space="0" w:color="auto"/>
              <w:bottom w:val="single" w:sz="4" w:space="0" w:color="auto"/>
              <w:right w:val="single" w:sz="4" w:space="0" w:color="auto"/>
            </w:tcBorders>
            <w:shd w:val="clear" w:color="auto" w:fill="auto"/>
          </w:tcPr>
          <w:p w:rsidR="000E54C2" w:rsidRPr="00E8065F" w:rsidRDefault="000E54C2" w:rsidP="000546C2">
            <w:pPr>
              <w:jc w:val="center"/>
              <w:rPr>
                <w:color w:val="000000"/>
                <w:sz w:val="20"/>
                <w:szCs w:val="20"/>
              </w:rPr>
            </w:pPr>
            <w:r w:rsidRPr="00E8065F">
              <w:rPr>
                <w:color w:val="000000"/>
                <w:sz w:val="20"/>
                <w:szCs w:val="20"/>
              </w:rPr>
              <w:t>1</w:t>
            </w:r>
          </w:p>
        </w:tc>
        <w:tc>
          <w:tcPr>
            <w:tcW w:w="1478" w:type="dxa"/>
            <w:tcBorders>
              <w:top w:val="nil"/>
              <w:left w:val="single" w:sz="4" w:space="0" w:color="auto"/>
              <w:bottom w:val="single" w:sz="4" w:space="0" w:color="auto"/>
              <w:right w:val="single" w:sz="4" w:space="0" w:color="auto"/>
            </w:tcBorders>
            <w:shd w:val="clear" w:color="auto" w:fill="auto"/>
          </w:tcPr>
          <w:p w:rsidR="000E54C2" w:rsidRPr="00E8065F" w:rsidRDefault="000E54C2" w:rsidP="000546C2">
            <w:pPr>
              <w:jc w:val="center"/>
              <w:rPr>
                <w:color w:val="000000"/>
                <w:sz w:val="20"/>
                <w:szCs w:val="20"/>
              </w:rPr>
            </w:pPr>
            <w:r w:rsidRPr="00E8065F">
              <w:rPr>
                <w:color w:val="000000"/>
                <w:sz w:val="20"/>
                <w:szCs w:val="20"/>
              </w:rPr>
              <w:t>18</w:t>
            </w:r>
          </w:p>
        </w:tc>
        <w:tc>
          <w:tcPr>
            <w:tcW w:w="1111" w:type="dxa"/>
            <w:tcBorders>
              <w:top w:val="nil"/>
              <w:left w:val="single" w:sz="4" w:space="0" w:color="auto"/>
              <w:bottom w:val="single" w:sz="4" w:space="0" w:color="auto"/>
              <w:right w:val="single" w:sz="4" w:space="0" w:color="auto"/>
            </w:tcBorders>
            <w:shd w:val="clear" w:color="auto" w:fill="auto"/>
          </w:tcPr>
          <w:p w:rsidR="000E54C2" w:rsidRPr="00E8065F" w:rsidRDefault="000E54C2" w:rsidP="000546C2">
            <w:pPr>
              <w:jc w:val="center"/>
              <w:rPr>
                <w:color w:val="000000"/>
                <w:sz w:val="20"/>
                <w:szCs w:val="20"/>
              </w:rPr>
            </w:pPr>
            <w:r w:rsidRPr="00E8065F">
              <w:rPr>
                <w:color w:val="000000"/>
                <w:sz w:val="20"/>
                <w:szCs w:val="20"/>
              </w:rPr>
              <w:t>2</w:t>
            </w:r>
          </w:p>
        </w:tc>
        <w:tc>
          <w:tcPr>
            <w:tcW w:w="1944" w:type="dxa"/>
            <w:tcBorders>
              <w:top w:val="nil"/>
              <w:left w:val="single" w:sz="4" w:space="0" w:color="auto"/>
              <w:bottom w:val="single" w:sz="4" w:space="0" w:color="auto"/>
              <w:right w:val="single" w:sz="4" w:space="0" w:color="auto"/>
            </w:tcBorders>
            <w:shd w:val="clear" w:color="auto" w:fill="auto"/>
          </w:tcPr>
          <w:p w:rsidR="000E54C2" w:rsidRPr="00E8065F" w:rsidRDefault="000E54C2" w:rsidP="00BA1432">
            <w:pPr>
              <w:jc w:val="center"/>
              <w:rPr>
                <w:color w:val="000000"/>
                <w:sz w:val="20"/>
                <w:szCs w:val="20"/>
              </w:rPr>
            </w:pPr>
            <w:r w:rsidRPr="00E8065F">
              <w:rPr>
                <w:color w:val="000000"/>
                <w:sz w:val="20"/>
                <w:szCs w:val="20"/>
              </w:rPr>
              <w:t>Передвижное</w:t>
            </w:r>
          </w:p>
        </w:tc>
      </w:tr>
      <w:tr w:rsidR="00BA1432" w:rsidRPr="00E8065F" w:rsidTr="000546C2">
        <w:trPr>
          <w:trHeight w:val="20"/>
        </w:trPr>
        <w:tc>
          <w:tcPr>
            <w:tcW w:w="1555" w:type="dxa"/>
          </w:tcPr>
          <w:p w:rsidR="00DB578E" w:rsidRPr="00007FB5" w:rsidRDefault="00DB578E" w:rsidP="00BA1432">
            <w:pPr>
              <w:rPr>
                <w:sz w:val="20"/>
                <w:szCs w:val="20"/>
              </w:rPr>
            </w:pPr>
          </w:p>
        </w:tc>
        <w:tc>
          <w:tcPr>
            <w:tcW w:w="3685" w:type="dxa"/>
            <w:shd w:val="clear" w:color="auto" w:fill="auto"/>
          </w:tcPr>
          <w:p w:rsidR="00DB578E" w:rsidRPr="00E8065F" w:rsidRDefault="00DB578E" w:rsidP="00DC0475">
            <w:pPr>
              <w:jc w:val="both"/>
              <w:rPr>
                <w:sz w:val="20"/>
                <w:szCs w:val="20"/>
              </w:rPr>
            </w:pPr>
          </w:p>
        </w:tc>
        <w:tc>
          <w:tcPr>
            <w:tcW w:w="1994" w:type="dxa"/>
            <w:shd w:val="clear" w:color="auto" w:fill="auto"/>
          </w:tcPr>
          <w:p w:rsidR="00DB578E" w:rsidRPr="00E8065F" w:rsidRDefault="00BC5958" w:rsidP="00BA1432">
            <w:pPr>
              <w:jc w:val="center"/>
              <w:rPr>
                <w:sz w:val="20"/>
                <w:szCs w:val="20"/>
              </w:rPr>
            </w:pPr>
            <w:r>
              <w:rPr>
                <w:sz w:val="20"/>
                <w:szCs w:val="20"/>
              </w:rPr>
              <w:t>В</w:t>
            </w:r>
            <w:r w:rsidR="00715F7C" w:rsidRPr="00E8065F">
              <w:rPr>
                <w:sz w:val="20"/>
                <w:szCs w:val="20"/>
              </w:rPr>
              <w:t>сего</w:t>
            </w:r>
          </w:p>
        </w:tc>
        <w:tc>
          <w:tcPr>
            <w:tcW w:w="1181" w:type="dxa"/>
            <w:shd w:val="clear" w:color="auto" w:fill="auto"/>
          </w:tcPr>
          <w:p w:rsidR="00DB578E" w:rsidRPr="00E8065F" w:rsidRDefault="00DB578E" w:rsidP="000546C2">
            <w:pPr>
              <w:jc w:val="center"/>
              <w:rPr>
                <w:sz w:val="20"/>
                <w:szCs w:val="20"/>
              </w:rPr>
            </w:pPr>
          </w:p>
        </w:tc>
        <w:tc>
          <w:tcPr>
            <w:tcW w:w="1181" w:type="dxa"/>
            <w:tcBorders>
              <w:top w:val="nil"/>
              <w:left w:val="single" w:sz="4" w:space="0" w:color="auto"/>
              <w:bottom w:val="single" w:sz="4" w:space="0" w:color="auto"/>
              <w:right w:val="single" w:sz="4" w:space="0" w:color="auto"/>
            </w:tcBorders>
            <w:shd w:val="clear" w:color="auto" w:fill="auto"/>
          </w:tcPr>
          <w:p w:rsidR="00DB578E" w:rsidRPr="00E8065F" w:rsidRDefault="00DB578E" w:rsidP="000546C2">
            <w:pPr>
              <w:jc w:val="center"/>
              <w:rPr>
                <w:color w:val="000000"/>
                <w:sz w:val="20"/>
                <w:szCs w:val="20"/>
              </w:rPr>
            </w:pPr>
            <w:r w:rsidRPr="00E8065F">
              <w:rPr>
                <w:color w:val="000000"/>
                <w:sz w:val="20"/>
                <w:szCs w:val="20"/>
              </w:rPr>
              <w:t>7</w:t>
            </w:r>
          </w:p>
        </w:tc>
        <w:tc>
          <w:tcPr>
            <w:tcW w:w="1478" w:type="dxa"/>
            <w:shd w:val="clear" w:color="auto" w:fill="auto"/>
          </w:tcPr>
          <w:p w:rsidR="00DB578E" w:rsidRPr="00E8065F" w:rsidRDefault="00DB578E" w:rsidP="000546C2">
            <w:pPr>
              <w:jc w:val="center"/>
              <w:rPr>
                <w:sz w:val="20"/>
                <w:szCs w:val="20"/>
              </w:rPr>
            </w:pPr>
          </w:p>
        </w:tc>
        <w:tc>
          <w:tcPr>
            <w:tcW w:w="1111" w:type="dxa"/>
            <w:shd w:val="clear" w:color="auto" w:fill="auto"/>
          </w:tcPr>
          <w:p w:rsidR="00DB578E" w:rsidRPr="00E8065F" w:rsidRDefault="00DB578E" w:rsidP="000546C2">
            <w:pPr>
              <w:jc w:val="center"/>
              <w:rPr>
                <w:sz w:val="20"/>
                <w:szCs w:val="20"/>
              </w:rPr>
            </w:pPr>
          </w:p>
        </w:tc>
        <w:tc>
          <w:tcPr>
            <w:tcW w:w="1944" w:type="dxa"/>
            <w:shd w:val="clear" w:color="auto" w:fill="auto"/>
          </w:tcPr>
          <w:p w:rsidR="00DB578E" w:rsidRPr="00E8065F" w:rsidRDefault="00DB578E" w:rsidP="00BA1432">
            <w:pPr>
              <w:rPr>
                <w:sz w:val="20"/>
                <w:szCs w:val="20"/>
              </w:rPr>
            </w:pPr>
          </w:p>
        </w:tc>
      </w:tr>
      <w:tr w:rsidR="006C7C44" w:rsidRPr="00E8065F" w:rsidTr="000546C2">
        <w:trPr>
          <w:trHeight w:val="20"/>
        </w:trPr>
        <w:tc>
          <w:tcPr>
            <w:tcW w:w="1555" w:type="dxa"/>
            <w:vMerge w:val="restart"/>
          </w:tcPr>
          <w:p w:rsidR="006C7C44" w:rsidRPr="00007FB5" w:rsidRDefault="006C7C44" w:rsidP="008B3E41">
            <w:pPr>
              <w:rPr>
                <w:sz w:val="20"/>
                <w:szCs w:val="20"/>
              </w:rPr>
            </w:pPr>
            <w:r>
              <w:rPr>
                <w:sz w:val="20"/>
                <w:szCs w:val="20"/>
              </w:rPr>
              <w:t xml:space="preserve">Аппараты </w:t>
            </w:r>
            <w:r w:rsidR="008B3E41" w:rsidRPr="008B3E41">
              <w:rPr>
                <w:rFonts w:eastAsia="Arial"/>
                <w:sz w:val="20"/>
                <w:szCs w:val="20"/>
              </w:rPr>
              <w:t xml:space="preserve">для ультразвуковых исследований </w:t>
            </w:r>
          </w:p>
        </w:tc>
        <w:tc>
          <w:tcPr>
            <w:tcW w:w="3685" w:type="dxa"/>
            <w:shd w:val="clear" w:color="auto" w:fill="auto"/>
          </w:tcPr>
          <w:p w:rsidR="006C7C44" w:rsidRPr="00E8065F" w:rsidRDefault="006C7C44" w:rsidP="006C7C44">
            <w:pPr>
              <w:jc w:val="both"/>
              <w:rPr>
                <w:sz w:val="20"/>
                <w:szCs w:val="20"/>
              </w:rPr>
            </w:pPr>
            <w:r w:rsidRPr="00E8065F">
              <w:rPr>
                <w:color w:val="000000"/>
                <w:sz w:val="20"/>
                <w:szCs w:val="20"/>
              </w:rPr>
              <w:t xml:space="preserve">ГАУЗ </w:t>
            </w:r>
            <w:r>
              <w:rPr>
                <w:color w:val="000000"/>
                <w:sz w:val="20"/>
                <w:szCs w:val="20"/>
              </w:rPr>
              <w:t>«</w:t>
            </w:r>
            <w:r w:rsidRPr="00E8065F">
              <w:rPr>
                <w:color w:val="000000"/>
                <w:sz w:val="20"/>
                <w:szCs w:val="20"/>
              </w:rPr>
              <w:t>Агрызская ЦРБ</w:t>
            </w:r>
            <w:r>
              <w:rPr>
                <w:color w:val="000000"/>
                <w:sz w:val="20"/>
                <w:szCs w:val="20"/>
              </w:rPr>
              <w:t>»</w:t>
            </w:r>
          </w:p>
        </w:tc>
        <w:tc>
          <w:tcPr>
            <w:tcW w:w="1994" w:type="dxa"/>
            <w:shd w:val="clear" w:color="auto" w:fill="auto"/>
          </w:tcPr>
          <w:p w:rsidR="006C7C44" w:rsidRDefault="008B3E41" w:rsidP="006C7C44">
            <w:pPr>
              <w:jc w:val="center"/>
            </w:pPr>
            <w:r>
              <w:rPr>
                <w:sz w:val="20"/>
                <w:szCs w:val="20"/>
              </w:rPr>
              <w:t xml:space="preserve">Аппараты </w:t>
            </w:r>
            <w:r>
              <w:rPr>
                <w:rFonts w:eastAsia="Arial"/>
                <w:sz w:val="20"/>
                <w:szCs w:val="20"/>
              </w:rPr>
              <w:t>для ультразвуковых исследований</w:t>
            </w:r>
          </w:p>
        </w:tc>
        <w:tc>
          <w:tcPr>
            <w:tcW w:w="1181" w:type="dxa"/>
            <w:shd w:val="clear" w:color="auto" w:fill="auto"/>
          </w:tcPr>
          <w:p w:rsidR="006C7C44" w:rsidRPr="00E8065F" w:rsidRDefault="006C7C44" w:rsidP="006C7C44">
            <w:pPr>
              <w:jc w:val="center"/>
              <w:rPr>
                <w:sz w:val="20"/>
                <w:szCs w:val="20"/>
              </w:rPr>
            </w:pPr>
            <w:r w:rsidRPr="00E8065F">
              <w:rPr>
                <w:sz w:val="20"/>
                <w:szCs w:val="20"/>
              </w:rPr>
              <w:t>2013</w:t>
            </w:r>
            <w:r w:rsidR="00793DC9">
              <w:rPr>
                <w:sz w:val="20"/>
                <w:szCs w:val="20"/>
              </w:rPr>
              <w:t xml:space="preserve"> </w:t>
            </w:r>
            <w:r>
              <w:rPr>
                <w:sz w:val="20"/>
                <w:szCs w:val="20"/>
              </w:rPr>
              <w:t>(1)</w:t>
            </w:r>
          </w:p>
          <w:p w:rsidR="006C7C44" w:rsidRPr="00E8065F" w:rsidRDefault="006C7C44" w:rsidP="006C7C44">
            <w:pPr>
              <w:jc w:val="center"/>
              <w:rPr>
                <w:sz w:val="20"/>
                <w:szCs w:val="20"/>
              </w:rPr>
            </w:pPr>
            <w:r w:rsidRPr="00E8065F">
              <w:rPr>
                <w:sz w:val="20"/>
                <w:szCs w:val="20"/>
              </w:rPr>
              <w:t>2018</w:t>
            </w:r>
            <w:r w:rsidR="00793DC9">
              <w:rPr>
                <w:sz w:val="20"/>
                <w:szCs w:val="20"/>
              </w:rPr>
              <w:t xml:space="preserve"> </w:t>
            </w:r>
            <w:r>
              <w:rPr>
                <w:sz w:val="20"/>
                <w:szCs w:val="20"/>
              </w:rPr>
              <w:t>(1)</w:t>
            </w:r>
          </w:p>
          <w:p w:rsidR="006C7C44" w:rsidRPr="00E8065F" w:rsidRDefault="006C7C44" w:rsidP="006C7C44">
            <w:pPr>
              <w:jc w:val="center"/>
              <w:rPr>
                <w:sz w:val="20"/>
                <w:szCs w:val="20"/>
              </w:rPr>
            </w:pPr>
            <w:r w:rsidRPr="00E8065F">
              <w:rPr>
                <w:sz w:val="20"/>
                <w:szCs w:val="20"/>
              </w:rPr>
              <w:t>2020</w:t>
            </w:r>
            <w:r w:rsidR="00793DC9">
              <w:rPr>
                <w:sz w:val="20"/>
                <w:szCs w:val="20"/>
              </w:rPr>
              <w:t xml:space="preserve"> </w:t>
            </w:r>
            <w:r>
              <w:rPr>
                <w:sz w:val="20"/>
                <w:szCs w:val="20"/>
              </w:rPr>
              <w:t>(1)</w:t>
            </w:r>
          </w:p>
          <w:p w:rsidR="006C7C44" w:rsidRPr="00E8065F" w:rsidRDefault="006C7C44" w:rsidP="006C7C44">
            <w:pPr>
              <w:jc w:val="center"/>
              <w:rPr>
                <w:sz w:val="20"/>
                <w:szCs w:val="20"/>
              </w:rPr>
            </w:pPr>
            <w:r w:rsidRPr="00E8065F">
              <w:rPr>
                <w:sz w:val="20"/>
                <w:szCs w:val="20"/>
              </w:rPr>
              <w:t>2022</w:t>
            </w:r>
            <w:r w:rsidR="00793DC9">
              <w:rPr>
                <w:sz w:val="20"/>
                <w:szCs w:val="20"/>
              </w:rPr>
              <w:t xml:space="preserve"> </w:t>
            </w:r>
            <w:r>
              <w:rPr>
                <w:sz w:val="20"/>
                <w:szCs w:val="20"/>
              </w:rPr>
              <w:t>(4)</w:t>
            </w:r>
          </w:p>
        </w:tc>
        <w:tc>
          <w:tcPr>
            <w:tcW w:w="1181" w:type="dxa"/>
            <w:tcBorders>
              <w:top w:val="single" w:sz="4" w:space="0" w:color="auto"/>
              <w:left w:val="single" w:sz="4" w:space="0" w:color="auto"/>
              <w:right w:val="single" w:sz="4" w:space="0" w:color="auto"/>
            </w:tcBorders>
            <w:shd w:val="clear" w:color="auto" w:fill="auto"/>
          </w:tcPr>
          <w:p w:rsidR="006C7C44" w:rsidRPr="00E8065F" w:rsidRDefault="006C7C44" w:rsidP="006C7C44">
            <w:pPr>
              <w:jc w:val="center"/>
              <w:rPr>
                <w:color w:val="000000"/>
                <w:sz w:val="20"/>
                <w:szCs w:val="20"/>
              </w:rPr>
            </w:pPr>
            <w:r w:rsidRPr="00E8065F">
              <w:rPr>
                <w:b/>
                <w:color w:val="000000"/>
                <w:sz w:val="20"/>
                <w:szCs w:val="20"/>
              </w:rPr>
              <w:t>7</w:t>
            </w:r>
          </w:p>
        </w:tc>
        <w:tc>
          <w:tcPr>
            <w:tcW w:w="1478" w:type="dxa"/>
            <w:shd w:val="clear" w:color="auto" w:fill="auto"/>
          </w:tcPr>
          <w:p w:rsidR="006C7C44" w:rsidRPr="00E8065F" w:rsidRDefault="006C7C44" w:rsidP="006C7C44">
            <w:pPr>
              <w:jc w:val="center"/>
              <w:rPr>
                <w:sz w:val="20"/>
                <w:szCs w:val="20"/>
              </w:rPr>
            </w:pPr>
            <w:r w:rsidRPr="00E8065F">
              <w:rPr>
                <w:color w:val="000000"/>
                <w:sz w:val="20"/>
                <w:szCs w:val="20"/>
              </w:rPr>
              <w:t>109,6</w:t>
            </w:r>
          </w:p>
        </w:tc>
        <w:tc>
          <w:tcPr>
            <w:tcW w:w="1111" w:type="dxa"/>
            <w:shd w:val="clear" w:color="auto" w:fill="auto"/>
          </w:tcPr>
          <w:p w:rsidR="006C7C44" w:rsidRPr="00E8065F" w:rsidRDefault="006C7C44" w:rsidP="006C7C44">
            <w:pPr>
              <w:jc w:val="center"/>
              <w:rPr>
                <w:sz w:val="20"/>
                <w:szCs w:val="20"/>
              </w:rPr>
            </w:pPr>
            <w:r w:rsidRPr="00E8065F">
              <w:rPr>
                <w:color w:val="000000"/>
                <w:sz w:val="20"/>
                <w:szCs w:val="20"/>
              </w:rPr>
              <w:t>1</w:t>
            </w:r>
          </w:p>
        </w:tc>
        <w:tc>
          <w:tcPr>
            <w:tcW w:w="1944" w:type="dxa"/>
            <w:shd w:val="clear" w:color="auto" w:fill="auto"/>
          </w:tcPr>
          <w:p w:rsidR="006C7C44" w:rsidRPr="00E8065F" w:rsidRDefault="006C7C44" w:rsidP="006C7C44">
            <w:pPr>
              <w:jc w:val="center"/>
              <w:rPr>
                <w:sz w:val="20"/>
                <w:szCs w:val="20"/>
              </w:rPr>
            </w:pPr>
            <w:r w:rsidRPr="00E8065F">
              <w:rPr>
                <w:color w:val="000000"/>
                <w:sz w:val="20"/>
                <w:szCs w:val="20"/>
              </w:rPr>
              <w:t>Амбулаторное/стационарное</w:t>
            </w:r>
          </w:p>
        </w:tc>
      </w:tr>
      <w:tr w:rsidR="006C7C44" w:rsidRPr="00E8065F" w:rsidTr="000546C2">
        <w:trPr>
          <w:trHeight w:val="20"/>
        </w:trPr>
        <w:tc>
          <w:tcPr>
            <w:tcW w:w="1555" w:type="dxa"/>
            <w:vMerge/>
          </w:tcPr>
          <w:p w:rsidR="006C7C44" w:rsidRPr="00E8065F" w:rsidRDefault="006C7C44" w:rsidP="006C7C44">
            <w:pPr>
              <w:rPr>
                <w:color w:val="000000"/>
                <w:sz w:val="20"/>
                <w:szCs w:val="20"/>
              </w:rPr>
            </w:pPr>
          </w:p>
        </w:tc>
        <w:tc>
          <w:tcPr>
            <w:tcW w:w="3685" w:type="dxa"/>
            <w:tcBorders>
              <w:top w:val="nil"/>
              <w:left w:val="single" w:sz="4" w:space="0" w:color="auto"/>
              <w:bottom w:val="single" w:sz="4" w:space="0" w:color="auto"/>
              <w:right w:val="single" w:sz="4" w:space="0" w:color="auto"/>
            </w:tcBorders>
            <w:shd w:val="clear" w:color="auto" w:fill="auto"/>
          </w:tcPr>
          <w:p w:rsidR="006C7C44" w:rsidRPr="00E8065F" w:rsidRDefault="006C7C44" w:rsidP="006C7C44">
            <w:pPr>
              <w:jc w:val="both"/>
              <w:rPr>
                <w:color w:val="000000"/>
                <w:sz w:val="20"/>
                <w:szCs w:val="20"/>
              </w:rPr>
            </w:pPr>
            <w:r w:rsidRPr="00E8065F">
              <w:rPr>
                <w:color w:val="000000"/>
                <w:sz w:val="20"/>
                <w:szCs w:val="20"/>
              </w:rPr>
              <w:t xml:space="preserve">ГАУЗ </w:t>
            </w:r>
            <w:r>
              <w:rPr>
                <w:color w:val="000000"/>
                <w:sz w:val="20"/>
                <w:szCs w:val="20"/>
              </w:rPr>
              <w:t>«</w:t>
            </w:r>
            <w:r w:rsidRPr="00E8065F">
              <w:rPr>
                <w:color w:val="000000"/>
                <w:sz w:val="20"/>
                <w:szCs w:val="20"/>
              </w:rPr>
              <w:t>Азнакаевская ЦРБ</w:t>
            </w:r>
            <w:r>
              <w:rPr>
                <w:color w:val="000000"/>
                <w:sz w:val="20"/>
                <w:szCs w:val="20"/>
              </w:rPr>
              <w:t>»</w:t>
            </w:r>
          </w:p>
        </w:tc>
        <w:tc>
          <w:tcPr>
            <w:tcW w:w="1994" w:type="dxa"/>
            <w:shd w:val="clear" w:color="auto" w:fill="auto"/>
          </w:tcPr>
          <w:p w:rsidR="006C7C44" w:rsidRDefault="008B3E41" w:rsidP="006C7C44">
            <w:pPr>
              <w:jc w:val="center"/>
            </w:pPr>
            <w:r>
              <w:rPr>
                <w:sz w:val="20"/>
                <w:szCs w:val="20"/>
              </w:rPr>
              <w:t xml:space="preserve">Аппараты </w:t>
            </w:r>
            <w:r>
              <w:rPr>
                <w:rFonts w:eastAsia="Arial"/>
                <w:sz w:val="20"/>
                <w:szCs w:val="20"/>
              </w:rPr>
              <w:t>для ультразвуковых исследований</w:t>
            </w:r>
          </w:p>
        </w:tc>
        <w:tc>
          <w:tcPr>
            <w:tcW w:w="1181" w:type="dxa"/>
            <w:shd w:val="clear" w:color="auto" w:fill="auto"/>
          </w:tcPr>
          <w:p w:rsidR="006C7C44" w:rsidRPr="00E8065F" w:rsidRDefault="006C7C44" w:rsidP="006C7C44">
            <w:pPr>
              <w:jc w:val="center"/>
              <w:rPr>
                <w:sz w:val="20"/>
                <w:szCs w:val="20"/>
              </w:rPr>
            </w:pPr>
            <w:r w:rsidRPr="00E8065F">
              <w:rPr>
                <w:sz w:val="20"/>
                <w:szCs w:val="20"/>
              </w:rPr>
              <w:t>2011</w:t>
            </w:r>
            <w:r w:rsidR="00793DC9">
              <w:rPr>
                <w:sz w:val="20"/>
                <w:szCs w:val="20"/>
              </w:rPr>
              <w:t xml:space="preserve"> </w:t>
            </w:r>
            <w:r>
              <w:rPr>
                <w:sz w:val="20"/>
                <w:szCs w:val="20"/>
              </w:rPr>
              <w:t>(1)</w:t>
            </w:r>
          </w:p>
          <w:p w:rsidR="006C7C44" w:rsidRPr="00E8065F" w:rsidRDefault="006C7C44" w:rsidP="006C7C44">
            <w:pPr>
              <w:jc w:val="center"/>
              <w:rPr>
                <w:sz w:val="20"/>
                <w:szCs w:val="20"/>
              </w:rPr>
            </w:pPr>
            <w:r w:rsidRPr="00E8065F">
              <w:rPr>
                <w:sz w:val="20"/>
                <w:szCs w:val="20"/>
              </w:rPr>
              <w:t>2014</w:t>
            </w:r>
            <w:r w:rsidR="00793DC9">
              <w:rPr>
                <w:sz w:val="20"/>
                <w:szCs w:val="20"/>
              </w:rPr>
              <w:t xml:space="preserve"> </w:t>
            </w:r>
            <w:r>
              <w:rPr>
                <w:sz w:val="20"/>
                <w:szCs w:val="20"/>
              </w:rPr>
              <w:t>(1)</w:t>
            </w:r>
          </w:p>
          <w:p w:rsidR="006C7C44" w:rsidRPr="00E8065F" w:rsidRDefault="006C7C44" w:rsidP="006C7C44">
            <w:pPr>
              <w:jc w:val="center"/>
              <w:rPr>
                <w:sz w:val="20"/>
                <w:szCs w:val="20"/>
              </w:rPr>
            </w:pPr>
            <w:r w:rsidRPr="00E8065F">
              <w:rPr>
                <w:sz w:val="20"/>
                <w:szCs w:val="20"/>
              </w:rPr>
              <w:t>2015</w:t>
            </w:r>
            <w:r w:rsidR="00793DC9">
              <w:rPr>
                <w:sz w:val="20"/>
                <w:szCs w:val="20"/>
              </w:rPr>
              <w:t xml:space="preserve"> </w:t>
            </w:r>
            <w:r>
              <w:rPr>
                <w:sz w:val="20"/>
                <w:szCs w:val="20"/>
              </w:rPr>
              <w:t>(1)</w:t>
            </w:r>
          </w:p>
          <w:p w:rsidR="006C7C44" w:rsidRPr="00E8065F" w:rsidRDefault="006C7C44" w:rsidP="006C7C44">
            <w:pPr>
              <w:jc w:val="center"/>
              <w:rPr>
                <w:sz w:val="20"/>
                <w:szCs w:val="20"/>
              </w:rPr>
            </w:pPr>
            <w:r w:rsidRPr="00E8065F">
              <w:rPr>
                <w:sz w:val="20"/>
                <w:szCs w:val="20"/>
              </w:rPr>
              <w:t>2017</w:t>
            </w:r>
            <w:r w:rsidR="00793DC9">
              <w:rPr>
                <w:sz w:val="20"/>
                <w:szCs w:val="20"/>
              </w:rPr>
              <w:t xml:space="preserve"> </w:t>
            </w:r>
            <w:r>
              <w:rPr>
                <w:sz w:val="20"/>
                <w:szCs w:val="20"/>
              </w:rPr>
              <w:t>(2)</w:t>
            </w:r>
          </w:p>
          <w:p w:rsidR="006C7C44" w:rsidRPr="00E8065F" w:rsidRDefault="006C7C44" w:rsidP="006C7C44">
            <w:pPr>
              <w:jc w:val="center"/>
              <w:rPr>
                <w:sz w:val="20"/>
                <w:szCs w:val="20"/>
              </w:rPr>
            </w:pPr>
            <w:r w:rsidRPr="00E8065F">
              <w:rPr>
                <w:sz w:val="20"/>
                <w:szCs w:val="20"/>
              </w:rPr>
              <w:t>2018</w:t>
            </w:r>
            <w:r w:rsidR="00793DC9">
              <w:rPr>
                <w:sz w:val="20"/>
                <w:szCs w:val="20"/>
              </w:rPr>
              <w:t xml:space="preserve"> </w:t>
            </w:r>
            <w:r>
              <w:rPr>
                <w:sz w:val="20"/>
                <w:szCs w:val="20"/>
              </w:rPr>
              <w:t>(1)</w:t>
            </w:r>
          </w:p>
          <w:p w:rsidR="006C7C44" w:rsidRPr="00E8065F" w:rsidRDefault="006C7C44" w:rsidP="006C7C44">
            <w:pPr>
              <w:jc w:val="center"/>
              <w:rPr>
                <w:sz w:val="20"/>
                <w:szCs w:val="20"/>
              </w:rPr>
            </w:pPr>
            <w:r w:rsidRPr="00E8065F">
              <w:rPr>
                <w:sz w:val="20"/>
                <w:szCs w:val="20"/>
              </w:rPr>
              <w:t>2022</w:t>
            </w:r>
            <w:r w:rsidR="00793DC9">
              <w:rPr>
                <w:sz w:val="20"/>
                <w:szCs w:val="20"/>
              </w:rPr>
              <w:t xml:space="preserve"> </w:t>
            </w:r>
            <w:r>
              <w:rPr>
                <w:sz w:val="20"/>
                <w:szCs w:val="20"/>
              </w:rPr>
              <w:t>(1)</w:t>
            </w:r>
          </w:p>
          <w:p w:rsidR="006C7C44" w:rsidRPr="00E8065F" w:rsidRDefault="006C7C44" w:rsidP="006C7C44">
            <w:pPr>
              <w:jc w:val="center"/>
              <w:rPr>
                <w:sz w:val="20"/>
                <w:szCs w:val="20"/>
              </w:rPr>
            </w:pPr>
            <w:r w:rsidRPr="00E8065F">
              <w:rPr>
                <w:sz w:val="20"/>
                <w:szCs w:val="20"/>
              </w:rPr>
              <w:t>2023</w:t>
            </w:r>
            <w:r w:rsidR="00793DC9">
              <w:rPr>
                <w:sz w:val="20"/>
                <w:szCs w:val="20"/>
              </w:rPr>
              <w:t xml:space="preserve"> </w:t>
            </w:r>
            <w:r>
              <w:rPr>
                <w:sz w:val="20"/>
                <w:szCs w:val="20"/>
              </w:rPr>
              <w:t>(2)</w:t>
            </w:r>
          </w:p>
        </w:tc>
        <w:tc>
          <w:tcPr>
            <w:tcW w:w="1181" w:type="dxa"/>
            <w:tcBorders>
              <w:top w:val="nil"/>
              <w:left w:val="single" w:sz="4" w:space="0" w:color="auto"/>
              <w:bottom w:val="single" w:sz="4" w:space="0" w:color="auto"/>
              <w:right w:val="single" w:sz="4" w:space="0" w:color="auto"/>
            </w:tcBorders>
            <w:shd w:val="clear" w:color="auto" w:fill="auto"/>
          </w:tcPr>
          <w:p w:rsidR="006C7C44" w:rsidRPr="00BC5958" w:rsidRDefault="006C7C44" w:rsidP="006C7C44">
            <w:pPr>
              <w:jc w:val="center"/>
              <w:rPr>
                <w:color w:val="000000"/>
                <w:sz w:val="20"/>
                <w:szCs w:val="20"/>
              </w:rPr>
            </w:pPr>
            <w:r w:rsidRPr="00BC5958">
              <w:rPr>
                <w:color w:val="000000"/>
                <w:sz w:val="20"/>
                <w:szCs w:val="20"/>
              </w:rPr>
              <w:t>9</w:t>
            </w:r>
          </w:p>
        </w:tc>
        <w:tc>
          <w:tcPr>
            <w:tcW w:w="1478" w:type="dxa"/>
            <w:tcBorders>
              <w:top w:val="nil"/>
              <w:left w:val="single" w:sz="4" w:space="0" w:color="auto"/>
              <w:bottom w:val="single" w:sz="4" w:space="0" w:color="auto"/>
              <w:right w:val="single" w:sz="4" w:space="0" w:color="auto"/>
            </w:tcBorders>
            <w:shd w:val="clear" w:color="auto" w:fill="auto"/>
          </w:tcPr>
          <w:p w:rsidR="006C7C44" w:rsidRPr="00E8065F" w:rsidRDefault="006C7C44" w:rsidP="006C7C44">
            <w:pPr>
              <w:jc w:val="center"/>
              <w:rPr>
                <w:color w:val="000000"/>
                <w:sz w:val="20"/>
                <w:szCs w:val="20"/>
              </w:rPr>
            </w:pPr>
            <w:r w:rsidRPr="00E8065F">
              <w:rPr>
                <w:color w:val="000000"/>
                <w:sz w:val="20"/>
                <w:szCs w:val="20"/>
              </w:rPr>
              <w:t>463,8</w:t>
            </w:r>
          </w:p>
        </w:tc>
        <w:tc>
          <w:tcPr>
            <w:tcW w:w="1111" w:type="dxa"/>
            <w:tcBorders>
              <w:top w:val="nil"/>
              <w:left w:val="nil"/>
              <w:bottom w:val="single" w:sz="4" w:space="0" w:color="auto"/>
              <w:right w:val="single" w:sz="4" w:space="0" w:color="auto"/>
            </w:tcBorders>
            <w:shd w:val="clear" w:color="auto" w:fill="auto"/>
          </w:tcPr>
          <w:p w:rsidR="006C7C44" w:rsidRPr="00E8065F" w:rsidRDefault="006C7C44" w:rsidP="006C7C44">
            <w:pPr>
              <w:jc w:val="center"/>
              <w:rPr>
                <w:color w:val="000000"/>
                <w:sz w:val="20"/>
                <w:szCs w:val="20"/>
              </w:rPr>
            </w:pPr>
            <w:r w:rsidRPr="00E8065F">
              <w:rPr>
                <w:color w:val="000000"/>
                <w:sz w:val="20"/>
                <w:szCs w:val="20"/>
              </w:rPr>
              <w:t>1</w:t>
            </w:r>
          </w:p>
        </w:tc>
        <w:tc>
          <w:tcPr>
            <w:tcW w:w="1944" w:type="dxa"/>
            <w:tcBorders>
              <w:top w:val="nil"/>
              <w:left w:val="single" w:sz="4" w:space="0" w:color="auto"/>
              <w:bottom w:val="single" w:sz="4" w:space="0" w:color="auto"/>
              <w:right w:val="single" w:sz="4" w:space="0" w:color="auto"/>
            </w:tcBorders>
            <w:shd w:val="clear" w:color="auto" w:fill="auto"/>
          </w:tcPr>
          <w:p w:rsidR="006C7C44" w:rsidRPr="00E8065F" w:rsidRDefault="006C7C44" w:rsidP="006C7C44">
            <w:pPr>
              <w:jc w:val="center"/>
              <w:rPr>
                <w:color w:val="000000"/>
                <w:sz w:val="20"/>
                <w:szCs w:val="20"/>
              </w:rPr>
            </w:pPr>
            <w:r w:rsidRPr="00E8065F">
              <w:rPr>
                <w:color w:val="000000"/>
                <w:sz w:val="20"/>
                <w:szCs w:val="20"/>
              </w:rPr>
              <w:t>Амбулаторное/стационарное</w:t>
            </w:r>
          </w:p>
        </w:tc>
      </w:tr>
      <w:tr w:rsidR="006C7C44" w:rsidRPr="00E8065F" w:rsidTr="000546C2">
        <w:trPr>
          <w:trHeight w:val="20"/>
        </w:trPr>
        <w:tc>
          <w:tcPr>
            <w:tcW w:w="1555" w:type="dxa"/>
            <w:vMerge/>
          </w:tcPr>
          <w:p w:rsidR="006C7C44" w:rsidRPr="00E8065F" w:rsidRDefault="006C7C44" w:rsidP="006C7C44">
            <w:pPr>
              <w:rPr>
                <w:color w:val="000000"/>
                <w:sz w:val="20"/>
                <w:szCs w:val="20"/>
              </w:rPr>
            </w:pPr>
          </w:p>
        </w:tc>
        <w:tc>
          <w:tcPr>
            <w:tcW w:w="3685" w:type="dxa"/>
            <w:tcBorders>
              <w:top w:val="nil"/>
              <w:left w:val="single" w:sz="4" w:space="0" w:color="auto"/>
              <w:bottom w:val="single" w:sz="4" w:space="0" w:color="auto"/>
              <w:right w:val="single" w:sz="4" w:space="0" w:color="auto"/>
            </w:tcBorders>
            <w:shd w:val="clear" w:color="auto" w:fill="auto"/>
          </w:tcPr>
          <w:p w:rsidR="006C7C44" w:rsidRPr="00E8065F" w:rsidRDefault="006C7C44" w:rsidP="006C7C44">
            <w:pPr>
              <w:jc w:val="both"/>
              <w:rPr>
                <w:color w:val="000000"/>
                <w:sz w:val="20"/>
                <w:szCs w:val="20"/>
              </w:rPr>
            </w:pPr>
            <w:r w:rsidRPr="00E8065F">
              <w:rPr>
                <w:color w:val="000000"/>
                <w:sz w:val="20"/>
                <w:szCs w:val="20"/>
              </w:rPr>
              <w:t xml:space="preserve">ГАУЗ </w:t>
            </w:r>
            <w:r>
              <w:rPr>
                <w:color w:val="000000"/>
                <w:sz w:val="20"/>
                <w:szCs w:val="20"/>
              </w:rPr>
              <w:t>«</w:t>
            </w:r>
            <w:r w:rsidRPr="00E8065F">
              <w:rPr>
                <w:color w:val="000000"/>
                <w:sz w:val="20"/>
                <w:szCs w:val="20"/>
              </w:rPr>
              <w:t>Аксубаевская ЦРБ</w:t>
            </w:r>
            <w:r>
              <w:rPr>
                <w:color w:val="000000"/>
                <w:sz w:val="20"/>
                <w:szCs w:val="20"/>
              </w:rPr>
              <w:t>»</w:t>
            </w:r>
          </w:p>
        </w:tc>
        <w:tc>
          <w:tcPr>
            <w:tcW w:w="1994" w:type="dxa"/>
            <w:tcBorders>
              <w:bottom w:val="single" w:sz="4" w:space="0" w:color="auto"/>
            </w:tcBorders>
            <w:shd w:val="clear" w:color="auto" w:fill="auto"/>
          </w:tcPr>
          <w:p w:rsidR="006C7C44" w:rsidRDefault="008B3E41" w:rsidP="006C7C44">
            <w:pPr>
              <w:jc w:val="center"/>
            </w:pPr>
            <w:r>
              <w:rPr>
                <w:sz w:val="20"/>
                <w:szCs w:val="20"/>
              </w:rPr>
              <w:t xml:space="preserve">Аппараты </w:t>
            </w:r>
            <w:r>
              <w:rPr>
                <w:rFonts w:eastAsia="Arial"/>
                <w:sz w:val="20"/>
                <w:szCs w:val="20"/>
              </w:rPr>
              <w:t>для ультразвуковых исследований</w:t>
            </w:r>
          </w:p>
        </w:tc>
        <w:tc>
          <w:tcPr>
            <w:tcW w:w="1181" w:type="dxa"/>
            <w:tcBorders>
              <w:bottom w:val="single" w:sz="4" w:space="0" w:color="auto"/>
            </w:tcBorders>
            <w:shd w:val="clear" w:color="auto" w:fill="auto"/>
          </w:tcPr>
          <w:p w:rsidR="006C7C44" w:rsidRPr="00E8065F" w:rsidRDefault="006C7C44" w:rsidP="006C7C44">
            <w:pPr>
              <w:jc w:val="center"/>
              <w:rPr>
                <w:sz w:val="20"/>
                <w:szCs w:val="20"/>
              </w:rPr>
            </w:pPr>
            <w:r w:rsidRPr="00E8065F">
              <w:rPr>
                <w:sz w:val="20"/>
                <w:szCs w:val="20"/>
              </w:rPr>
              <w:t>2022</w:t>
            </w:r>
            <w:r w:rsidR="00793DC9">
              <w:rPr>
                <w:sz w:val="20"/>
                <w:szCs w:val="20"/>
              </w:rPr>
              <w:t xml:space="preserve"> </w:t>
            </w:r>
            <w:r>
              <w:rPr>
                <w:sz w:val="20"/>
                <w:szCs w:val="20"/>
              </w:rPr>
              <w:t>(3)</w:t>
            </w:r>
          </w:p>
          <w:p w:rsidR="006C7C44" w:rsidRPr="00E8065F" w:rsidRDefault="006C7C44" w:rsidP="006C7C44">
            <w:pPr>
              <w:jc w:val="center"/>
              <w:rPr>
                <w:sz w:val="20"/>
                <w:szCs w:val="20"/>
              </w:rPr>
            </w:pPr>
            <w:r w:rsidRPr="00E8065F">
              <w:rPr>
                <w:sz w:val="20"/>
                <w:szCs w:val="20"/>
              </w:rPr>
              <w:t>2023</w:t>
            </w:r>
            <w:r w:rsidR="00793DC9">
              <w:rPr>
                <w:sz w:val="20"/>
                <w:szCs w:val="20"/>
              </w:rPr>
              <w:t xml:space="preserve"> </w:t>
            </w:r>
            <w:r>
              <w:rPr>
                <w:sz w:val="20"/>
                <w:szCs w:val="20"/>
              </w:rPr>
              <w:t>(1)</w:t>
            </w:r>
          </w:p>
        </w:tc>
        <w:tc>
          <w:tcPr>
            <w:tcW w:w="1181" w:type="dxa"/>
            <w:tcBorders>
              <w:top w:val="nil"/>
              <w:left w:val="single" w:sz="4" w:space="0" w:color="auto"/>
              <w:bottom w:val="single" w:sz="4" w:space="0" w:color="auto"/>
              <w:right w:val="single" w:sz="4" w:space="0" w:color="auto"/>
            </w:tcBorders>
            <w:shd w:val="clear" w:color="auto" w:fill="auto"/>
          </w:tcPr>
          <w:p w:rsidR="006C7C44" w:rsidRPr="00BC5958" w:rsidRDefault="006C7C44" w:rsidP="006C7C44">
            <w:pPr>
              <w:jc w:val="center"/>
              <w:rPr>
                <w:color w:val="000000"/>
                <w:sz w:val="20"/>
                <w:szCs w:val="20"/>
              </w:rPr>
            </w:pPr>
            <w:r w:rsidRPr="00BC5958">
              <w:rPr>
                <w:color w:val="000000"/>
                <w:sz w:val="20"/>
                <w:szCs w:val="20"/>
              </w:rPr>
              <w:t>4</w:t>
            </w:r>
          </w:p>
        </w:tc>
        <w:tc>
          <w:tcPr>
            <w:tcW w:w="1478" w:type="dxa"/>
            <w:tcBorders>
              <w:top w:val="nil"/>
              <w:left w:val="single" w:sz="4" w:space="0" w:color="auto"/>
              <w:bottom w:val="single" w:sz="4" w:space="0" w:color="auto"/>
              <w:right w:val="single" w:sz="4" w:space="0" w:color="auto"/>
            </w:tcBorders>
            <w:shd w:val="clear" w:color="auto" w:fill="auto"/>
          </w:tcPr>
          <w:p w:rsidR="006C7C44" w:rsidRPr="00E8065F" w:rsidRDefault="006C7C44" w:rsidP="006C7C44">
            <w:pPr>
              <w:jc w:val="center"/>
              <w:rPr>
                <w:color w:val="000000"/>
                <w:sz w:val="20"/>
                <w:szCs w:val="20"/>
              </w:rPr>
            </w:pPr>
            <w:r w:rsidRPr="00E8065F">
              <w:rPr>
                <w:color w:val="000000"/>
                <w:sz w:val="20"/>
                <w:szCs w:val="20"/>
              </w:rPr>
              <w:t>88,5</w:t>
            </w:r>
          </w:p>
        </w:tc>
        <w:tc>
          <w:tcPr>
            <w:tcW w:w="1111" w:type="dxa"/>
            <w:tcBorders>
              <w:top w:val="nil"/>
              <w:left w:val="nil"/>
              <w:bottom w:val="single" w:sz="4" w:space="0" w:color="auto"/>
              <w:right w:val="single" w:sz="4" w:space="0" w:color="auto"/>
            </w:tcBorders>
            <w:shd w:val="clear" w:color="auto" w:fill="auto"/>
          </w:tcPr>
          <w:p w:rsidR="006C7C44" w:rsidRPr="00E8065F" w:rsidRDefault="006C7C44" w:rsidP="006C7C44">
            <w:pPr>
              <w:jc w:val="center"/>
              <w:rPr>
                <w:color w:val="000000"/>
                <w:sz w:val="20"/>
                <w:szCs w:val="20"/>
              </w:rPr>
            </w:pPr>
            <w:r w:rsidRPr="00E8065F">
              <w:rPr>
                <w:color w:val="000000"/>
                <w:sz w:val="20"/>
                <w:szCs w:val="20"/>
              </w:rPr>
              <w:t>1</w:t>
            </w:r>
          </w:p>
        </w:tc>
        <w:tc>
          <w:tcPr>
            <w:tcW w:w="1944" w:type="dxa"/>
            <w:tcBorders>
              <w:top w:val="nil"/>
              <w:left w:val="single" w:sz="4" w:space="0" w:color="auto"/>
              <w:bottom w:val="single" w:sz="4" w:space="0" w:color="auto"/>
              <w:right w:val="single" w:sz="4" w:space="0" w:color="auto"/>
            </w:tcBorders>
            <w:shd w:val="clear" w:color="auto" w:fill="auto"/>
          </w:tcPr>
          <w:p w:rsidR="006C7C44" w:rsidRPr="00E8065F" w:rsidRDefault="006C7C44" w:rsidP="006C7C44">
            <w:pPr>
              <w:jc w:val="center"/>
              <w:rPr>
                <w:color w:val="000000"/>
                <w:sz w:val="20"/>
                <w:szCs w:val="20"/>
              </w:rPr>
            </w:pPr>
            <w:r w:rsidRPr="00E8065F">
              <w:rPr>
                <w:color w:val="000000"/>
                <w:sz w:val="20"/>
                <w:szCs w:val="20"/>
              </w:rPr>
              <w:t>Амбулаторное/стационарное</w:t>
            </w:r>
          </w:p>
        </w:tc>
      </w:tr>
      <w:tr w:rsidR="006C7C44" w:rsidRPr="00E8065F" w:rsidTr="000546C2">
        <w:trPr>
          <w:trHeight w:val="20"/>
        </w:trPr>
        <w:tc>
          <w:tcPr>
            <w:tcW w:w="1555" w:type="dxa"/>
            <w:vMerge/>
          </w:tcPr>
          <w:p w:rsidR="006C7C44" w:rsidRPr="00E8065F" w:rsidRDefault="006C7C44" w:rsidP="006C7C44">
            <w:pPr>
              <w:rPr>
                <w:color w:val="000000"/>
                <w:sz w:val="20"/>
                <w:szCs w:val="20"/>
              </w:rPr>
            </w:pPr>
          </w:p>
        </w:tc>
        <w:tc>
          <w:tcPr>
            <w:tcW w:w="3685" w:type="dxa"/>
            <w:tcBorders>
              <w:top w:val="single" w:sz="4" w:space="0" w:color="auto"/>
              <w:bottom w:val="single" w:sz="4" w:space="0" w:color="auto"/>
              <w:right w:val="single" w:sz="4" w:space="0" w:color="auto"/>
            </w:tcBorders>
            <w:shd w:val="clear" w:color="auto" w:fill="auto"/>
          </w:tcPr>
          <w:p w:rsidR="006C7C44" w:rsidRPr="00E8065F" w:rsidRDefault="006C7C44" w:rsidP="006C7C44">
            <w:pPr>
              <w:jc w:val="both"/>
              <w:rPr>
                <w:color w:val="000000"/>
                <w:sz w:val="20"/>
                <w:szCs w:val="20"/>
              </w:rPr>
            </w:pPr>
            <w:r w:rsidRPr="00E8065F">
              <w:rPr>
                <w:color w:val="000000"/>
                <w:sz w:val="20"/>
                <w:szCs w:val="20"/>
              </w:rPr>
              <w:t xml:space="preserve">ГАУЗ </w:t>
            </w:r>
            <w:r>
              <w:rPr>
                <w:color w:val="000000"/>
                <w:sz w:val="20"/>
                <w:szCs w:val="20"/>
              </w:rPr>
              <w:t>«</w:t>
            </w:r>
            <w:r w:rsidRPr="00E8065F">
              <w:rPr>
                <w:color w:val="000000"/>
                <w:sz w:val="20"/>
                <w:szCs w:val="20"/>
              </w:rPr>
              <w:t>Актанышская ЦРБ</w:t>
            </w:r>
            <w:r>
              <w:rPr>
                <w:color w:val="000000"/>
                <w:sz w:val="20"/>
                <w:szCs w:val="20"/>
              </w:rPr>
              <w:t>»</w:t>
            </w:r>
          </w:p>
        </w:tc>
        <w:tc>
          <w:tcPr>
            <w:tcW w:w="1994" w:type="dxa"/>
            <w:tcBorders>
              <w:top w:val="single" w:sz="4" w:space="0" w:color="auto"/>
              <w:left w:val="single" w:sz="4" w:space="0" w:color="auto"/>
              <w:bottom w:val="single" w:sz="4" w:space="0" w:color="auto"/>
              <w:right w:val="single" w:sz="4" w:space="0" w:color="auto"/>
            </w:tcBorders>
            <w:shd w:val="clear" w:color="auto" w:fill="auto"/>
          </w:tcPr>
          <w:p w:rsidR="006C7C44" w:rsidRDefault="008B3E41" w:rsidP="006C7C44">
            <w:pPr>
              <w:jc w:val="center"/>
            </w:pPr>
            <w:r>
              <w:rPr>
                <w:sz w:val="20"/>
                <w:szCs w:val="20"/>
              </w:rPr>
              <w:t xml:space="preserve">Аппараты </w:t>
            </w:r>
            <w:r>
              <w:rPr>
                <w:rFonts w:eastAsia="Arial"/>
                <w:sz w:val="20"/>
                <w:szCs w:val="20"/>
              </w:rPr>
              <w:t>для ультразвуковых исследований</w:t>
            </w:r>
          </w:p>
        </w:tc>
        <w:tc>
          <w:tcPr>
            <w:tcW w:w="1181" w:type="dxa"/>
            <w:tcBorders>
              <w:top w:val="single" w:sz="4" w:space="0" w:color="auto"/>
              <w:left w:val="single" w:sz="4" w:space="0" w:color="auto"/>
              <w:bottom w:val="single" w:sz="4" w:space="0" w:color="auto"/>
              <w:right w:val="single" w:sz="4" w:space="0" w:color="auto"/>
            </w:tcBorders>
            <w:shd w:val="clear" w:color="auto" w:fill="auto"/>
          </w:tcPr>
          <w:p w:rsidR="006C7C44" w:rsidRPr="00E8065F" w:rsidRDefault="006C7C44" w:rsidP="006C7C44">
            <w:pPr>
              <w:jc w:val="center"/>
              <w:rPr>
                <w:sz w:val="20"/>
                <w:szCs w:val="20"/>
              </w:rPr>
            </w:pPr>
            <w:r w:rsidRPr="00E8065F">
              <w:rPr>
                <w:sz w:val="20"/>
                <w:szCs w:val="20"/>
              </w:rPr>
              <w:t>2019</w:t>
            </w:r>
            <w:r w:rsidR="00793DC9">
              <w:rPr>
                <w:sz w:val="20"/>
                <w:szCs w:val="20"/>
              </w:rPr>
              <w:t xml:space="preserve"> </w:t>
            </w:r>
            <w:r>
              <w:rPr>
                <w:sz w:val="20"/>
                <w:szCs w:val="20"/>
              </w:rPr>
              <w:t>(1)</w:t>
            </w:r>
          </w:p>
          <w:p w:rsidR="006C7C44" w:rsidRPr="00E8065F" w:rsidRDefault="006C7C44" w:rsidP="006C7C44">
            <w:pPr>
              <w:jc w:val="center"/>
              <w:rPr>
                <w:sz w:val="20"/>
                <w:szCs w:val="20"/>
              </w:rPr>
            </w:pPr>
            <w:r w:rsidRPr="00E8065F">
              <w:rPr>
                <w:sz w:val="20"/>
                <w:szCs w:val="20"/>
              </w:rPr>
              <w:t>2023</w:t>
            </w:r>
            <w:r w:rsidR="00793DC9">
              <w:rPr>
                <w:sz w:val="20"/>
                <w:szCs w:val="20"/>
              </w:rPr>
              <w:t xml:space="preserve"> </w:t>
            </w:r>
            <w:r>
              <w:rPr>
                <w:sz w:val="20"/>
                <w:szCs w:val="20"/>
              </w:rPr>
              <w:t>(1)</w:t>
            </w:r>
          </w:p>
        </w:tc>
        <w:tc>
          <w:tcPr>
            <w:tcW w:w="1181" w:type="dxa"/>
            <w:tcBorders>
              <w:top w:val="single" w:sz="4" w:space="0" w:color="auto"/>
              <w:left w:val="single" w:sz="4" w:space="0" w:color="auto"/>
              <w:bottom w:val="single" w:sz="4" w:space="0" w:color="auto"/>
              <w:right w:val="single" w:sz="4" w:space="0" w:color="auto"/>
            </w:tcBorders>
            <w:shd w:val="clear" w:color="auto" w:fill="auto"/>
          </w:tcPr>
          <w:p w:rsidR="006C7C44" w:rsidRPr="00BC5958" w:rsidRDefault="006C7C44" w:rsidP="006C7C44">
            <w:pPr>
              <w:jc w:val="center"/>
              <w:rPr>
                <w:color w:val="000000"/>
                <w:sz w:val="20"/>
                <w:szCs w:val="20"/>
              </w:rPr>
            </w:pPr>
            <w:r w:rsidRPr="00BC5958">
              <w:rPr>
                <w:color w:val="000000"/>
                <w:sz w:val="20"/>
                <w:szCs w:val="20"/>
              </w:rPr>
              <w:t>2</w:t>
            </w:r>
          </w:p>
        </w:tc>
        <w:tc>
          <w:tcPr>
            <w:tcW w:w="1478" w:type="dxa"/>
            <w:tcBorders>
              <w:top w:val="single" w:sz="4" w:space="0" w:color="auto"/>
              <w:left w:val="single" w:sz="4" w:space="0" w:color="auto"/>
              <w:bottom w:val="single" w:sz="4" w:space="0" w:color="auto"/>
              <w:right w:val="single" w:sz="4" w:space="0" w:color="auto"/>
            </w:tcBorders>
            <w:shd w:val="clear" w:color="auto" w:fill="auto"/>
          </w:tcPr>
          <w:p w:rsidR="006C7C44" w:rsidRPr="00E8065F" w:rsidRDefault="006C7C44" w:rsidP="006C7C44">
            <w:pPr>
              <w:jc w:val="center"/>
              <w:rPr>
                <w:color w:val="000000"/>
                <w:sz w:val="20"/>
                <w:szCs w:val="20"/>
              </w:rPr>
            </w:pPr>
            <w:r w:rsidRPr="00E8065F">
              <w:rPr>
                <w:color w:val="000000"/>
                <w:sz w:val="20"/>
                <w:szCs w:val="20"/>
              </w:rPr>
              <w:t>126,6</w:t>
            </w:r>
          </w:p>
        </w:tc>
        <w:tc>
          <w:tcPr>
            <w:tcW w:w="1111" w:type="dxa"/>
            <w:tcBorders>
              <w:top w:val="single" w:sz="4" w:space="0" w:color="auto"/>
              <w:left w:val="single" w:sz="4" w:space="0" w:color="auto"/>
              <w:bottom w:val="single" w:sz="4" w:space="0" w:color="auto"/>
              <w:right w:val="single" w:sz="4" w:space="0" w:color="auto"/>
            </w:tcBorders>
            <w:shd w:val="clear" w:color="auto" w:fill="auto"/>
          </w:tcPr>
          <w:p w:rsidR="006C7C44" w:rsidRPr="00E8065F" w:rsidRDefault="006C7C44" w:rsidP="006C7C44">
            <w:pPr>
              <w:jc w:val="center"/>
              <w:rPr>
                <w:color w:val="000000"/>
                <w:sz w:val="20"/>
                <w:szCs w:val="20"/>
              </w:rPr>
            </w:pPr>
            <w:r w:rsidRPr="00E8065F">
              <w:rPr>
                <w:color w:val="000000"/>
                <w:sz w:val="20"/>
                <w:szCs w:val="20"/>
              </w:rPr>
              <w:t>1</w:t>
            </w:r>
          </w:p>
        </w:tc>
        <w:tc>
          <w:tcPr>
            <w:tcW w:w="1944" w:type="dxa"/>
            <w:tcBorders>
              <w:top w:val="single" w:sz="4" w:space="0" w:color="auto"/>
              <w:left w:val="single" w:sz="4" w:space="0" w:color="auto"/>
              <w:bottom w:val="single" w:sz="4" w:space="0" w:color="auto"/>
              <w:right w:val="single" w:sz="4" w:space="0" w:color="auto"/>
            </w:tcBorders>
            <w:shd w:val="clear" w:color="auto" w:fill="auto"/>
          </w:tcPr>
          <w:p w:rsidR="006C7C44" w:rsidRPr="00E8065F" w:rsidRDefault="006C7C44" w:rsidP="006C7C44">
            <w:pPr>
              <w:jc w:val="center"/>
              <w:rPr>
                <w:color w:val="000000"/>
                <w:sz w:val="20"/>
                <w:szCs w:val="20"/>
              </w:rPr>
            </w:pPr>
            <w:r w:rsidRPr="00E8065F">
              <w:rPr>
                <w:color w:val="000000"/>
                <w:sz w:val="20"/>
                <w:szCs w:val="20"/>
              </w:rPr>
              <w:t>Амбулаторное</w:t>
            </w:r>
          </w:p>
        </w:tc>
      </w:tr>
      <w:tr w:rsidR="006C7C44" w:rsidRPr="00E8065F" w:rsidTr="000546C2">
        <w:trPr>
          <w:trHeight w:val="20"/>
        </w:trPr>
        <w:tc>
          <w:tcPr>
            <w:tcW w:w="1555" w:type="dxa"/>
            <w:vMerge/>
          </w:tcPr>
          <w:p w:rsidR="006C7C44" w:rsidRPr="00E8065F" w:rsidRDefault="006C7C44" w:rsidP="006C7C44">
            <w:pPr>
              <w:rPr>
                <w:color w:val="000000"/>
                <w:sz w:val="20"/>
                <w:szCs w:val="20"/>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6C7C44" w:rsidRPr="00E8065F" w:rsidRDefault="006C7C44" w:rsidP="006C7C44">
            <w:pPr>
              <w:spacing w:line="233" w:lineRule="auto"/>
              <w:jc w:val="both"/>
              <w:rPr>
                <w:color w:val="000000"/>
                <w:sz w:val="20"/>
                <w:szCs w:val="20"/>
              </w:rPr>
            </w:pPr>
            <w:r w:rsidRPr="00E8065F">
              <w:rPr>
                <w:color w:val="000000"/>
                <w:sz w:val="20"/>
                <w:szCs w:val="20"/>
              </w:rPr>
              <w:t xml:space="preserve">ГАУЗ </w:t>
            </w:r>
            <w:r>
              <w:rPr>
                <w:color w:val="000000"/>
                <w:sz w:val="20"/>
                <w:szCs w:val="20"/>
              </w:rPr>
              <w:t>«</w:t>
            </w:r>
            <w:r w:rsidRPr="00E8065F">
              <w:rPr>
                <w:color w:val="000000"/>
                <w:sz w:val="20"/>
                <w:szCs w:val="20"/>
              </w:rPr>
              <w:t>Алексеевская ЦРБ</w:t>
            </w:r>
            <w:r>
              <w:rPr>
                <w:color w:val="000000"/>
                <w:sz w:val="20"/>
                <w:szCs w:val="20"/>
              </w:rPr>
              <w:t>»</w:t>
            </w:r>
          </w:p>
        </w:tc>
        <w:tc>
          <w:tcPr>
            <w:tcW w:w="1994" w:type="dxa"/>
            <w:tcBorders>
              <w:top w:val="single" w:sz="4" w:space="0" w:color="auto"/>
            </w:tcBorders>
            <w:shd w:val="clear" w:color="auto" w:fill="auto"/>
          </w:tcPr>
          <w:p w:rsidR="006C7C44" w:rsidRDefault="008B3E41" w:rsidP="006C7C44">
            <w:pPr>
              <w:jc w:val="center"/>
            </w:pPr>
            <w:r>
              <w:rPr>
                <w:sz w:val="20"/>
                <w:szCs w:val="20"/>
              </w:rPr>
              <w:t xml:space="preserve">Аппараты </w:t>
            </w:r>
            <w:r>
              <w:rPr>
                <w:rFonts w:eastAsia="Arial"/>
                <w:sz w:val="20"/>
                <w:szCs w:val="20"/>
              </w:rPr>
              <w:t>для ультразвуковых исследований</w:t>
            </w:r>
          </w:p>
        </w:tc>
        <w:tc>
          <w:tcPr>
            <w:tcW w:w="1181" w:type="dxa"/>
            <w:tcBorders>
              <w:top w:val="single" w:sz="4" w:space="0" w:color="auto"/>
            </w:tcBorders>
            <w:shd w:val="clear" w:color="auto" w:fill="auto"/>
          </w:tcPr>
          <w:p w:rsidR="006C7C44" w:rsidRPr="00E8065F" w:rsidRDefault="006C7C44" w:rsidP="006C7C44">
            <w:pPr>
              <w:spacing w:line="233" w:lineRule="auto"/>
              <w:jc w:val="center"/>
              <w:rPr>
                <w:sz w:val="20"/>
                <w:szCs w:val="20"/>
              </w:rPr>
            </w:pPr>
            <w:r w:rsidRPr="00E8065F">
              <w:rPr>
                <w:sz w:val="20"/>
                <w:szCs w:val="20"/>
              </w:rPr>
              <w:t>2015</w:t>
            </w:r>
            <w:r w:rsidR="00793DC9">
              <w:rPr>
                <w:sz w:val="20"/>
                <w:szCs w:val="20"/>
              </w:rPr>
              <w:t xml:space="preserve"> </w:t>
            </w:r>
            <w:r>
              <w:rPr>
                <w:sz w:val="20"/>
                <w:szCs w:val="20"/>
              </w:rPr>
              <w:t>(2)</w:t>
            </w:r>
          </w:p>
          <w:p w:rsidR="006C7C44" w:rsidRPr="00E8065F" w:rsidRDefault="006C7C44" w:rsidP="006C7C44">
            <w:pPr>
              <w:spacing w:line="233" w:lineRule="auto"/>
              <w:jc w:val="center"/>
              <w:rPr>
                <w:sz w:val="20"/>
                <w:szCs w:val="20"/>
              </w:rPr>
            </w:pPr>
            <w:r w:rsidRPr="00E8065F">
              <w:rPr>
                <w:sz w:val="20"/>
                <w:szCs w:val="20"/>
              </w:rPr>
              <w:t>2016</w:t>
            </w:r>
            <w:r w:rsidR="00793DC9">
              <w:rPr>
                <w:sz w:val="20"/>
                <w:szCs w:val="20"/>
              </w:rPr>
              <w:t xml:space="preserve"> </w:t>
            </w:r>
            <w:r>
              <w:rPr>
                <w:sz w:val="20"/>
                <w:szCs w:val="20"/>
              </w:rPr>
              <w:t>(2)</w:t>
            </w:r>
          </w:p>
        </w:tc>
        <w:tc>
          <w:tcPr>
            <w:tcW w:w="1181" w:type="dxa"/>
            <w:tcBorders>
              <w:top w:val="single" w:sz="4" w:space="0" w:color="auto"/>
              <w:left w:val="single" w:sz="4" w:space="0" w:color="auto"/>
              <w:bottom w:val="single" w:sz="4" w:space="0" w:color="auto"/>
              <w:right w:val="single" w:sz="4" w:space="0" w:color="auto"/>
            </w:tcBorders>
            <w:shd w:val="clear" w:color="auto" w:fill="auto"/>
          </w:tcPr>
          <w:p w:rsidR="006C7C44" w:rsidRPr="00BC5958" w:rsidRDefault="006C7C44" w:rsidP="006C7C44">
            <w:pPr>
              <w:spacing w:line="233" w:lineRule="auto"/>
              <w:jc w:val="center"/>
              <w:rPr>
                <w:color w:val="000000"/>
                <w:sz w:val="20"/>
                <w:szCs w:val="20"/>
              </w:rPr>
            </w:pPr>
            <w:r w:rsidRPr="00BC5958">
              <w:rPr>
                <w:color w:val="000000"/>
                <w:sz w:val="20"/>
                <w:szCs w:val="20"/>
              </w:rPr>
              <w:t>4</w:t>
            </w:r>
          </w:p>
        </w:tc>
        <w:tc>
          <w:tcPr>
            <w:tcW w:w="1478" w:type="dxa"/>
            <w:tcBorders>
              <w:top w:val="single" w:sz="4" w:space="0" w:color="auto"/>
              <w:left w:val="single" w:sz="4" w:space="0" w:color="auto"/>
              <w:bottom w:val="single" w:sz="4" w:space="0" w:color="auto"/>
              <w:right w:val="single" w:sz="4" w:space="0" w:color="auto"/>
            </w:tcBorders>
            <w:shd w:val="clear" w:color="auto" w:fill="auto"/>
          </w:tcPr>
          <w:p w:rsidR="006C7C44" w:rsidRPr="00E8065F" w:rsidRDefault="006C7C44" w:rsidP="006C7C44">
            <w:pPr>
              <w:spacing w:line="233" w:lineRule="auto"/>
              <w:jc w:val="center"/>
              <w:rPr>
                <w:color w:val="000000"/>
                <w:sz w:val="20"/>
                <w:szCs w:val="20"/>
              </w:rPr>
            </w:pPr>
            <w:r w:rsidRPr="00E8065F">
              <w:rPr>
                <w:color w:val="000000"/>
                <w:sz w:val="20"/>
                <w:szCs w:val="20"/>
              </w:rPr>
              <w:t>65,5</w:t>
            </w:r>
          </w:p>
        </w:tc>
        <w:tc>
          <w:tcPr>
            <w:tcW w:w="1111" w:type="dxa"/>
            <w:tcBorders>
              <w:top w:val="single" w:sz="4" w:space="0" w:color="auto"/>
              <w:left w:val="nil"/>
              <w:bottom w:val="single" w:sz="4" w:space="0" w:color="auto"/>
              <w:right w:val="single" w:sz="4" w:space="0" w:color="auto"/>
            </w:tcBorders>
            <w:shd w:val="clear" w:color="auto" w:fill="auto"/>
          </w:tcPr>
          <w:p w:rsidR="006C7C44" w:rsidRPr="00E8065F" w:rsidRDefault="006C7C44" w:rsidP="006C7C44">
            <w:pPr>
              <w:spacing w:line="233" w:lineRule="auto"/>
              <w:jc w:val="center"/>
              <w:rPr>
                <w:color w:val="000000"/>
                <w:sz w:val="20"/>
                <w:szCs w:val="20"/>
              </w:rPr>
            </w:pPr>
            <w:r w:rsidRPr="00E8065F">
              <w:rPr>
                <w:color w:val="000000"/>
                <w:sz w:val="20"/>
                <w:szCs w:val="20"/>
              </w:rPr>
              <w:t>1</w:t>
            </w:r>
          </w:p>
        </w:tc>
        <w:tc>
          <w:tcPr>
            <w:tcW w:w="1944" w:type="dxa"/>
            <w:tcBorders>
              <w:top w:val="single" w:sz="4" w:space="0" w:color="auto"/>
              <w:left w:val="single" w:sz="4" w:space="0" w:color="auto"/>
              <w:bottom w:val="single" w:sz="4" w:space="0" w:color="auto"/>
              <w:right w:val="single" w:sz="4" w:space="0" w:color="auto"/>
            </w:tcBorders>
            <w:shd w:val="clear" w:color="auto" w:fill="auto"/>
          </w:tcPr>
          <w:p w:rsidR="006C7C44" w:rsidRPr="00E8065F" w:rsidRDefault="006C7C44" w:rsidP="006C7C44">
            <w:pPr>
              <w:spacing w:line="233" w:lineRule="auto"/>
              <w:jc w:val="center"/>
              <w:rPr>
                <w:color w:val="000000"/>
                <w:sz w:val="20"/>
                <w:szCs w:val="20"/>
              </w:rPr>
            </w:pPr>
            <w:r w:rsidRPr="00E8065F">
              <w:rPr>
                <w:color w:val="000000"/>
                <w:sz w:val="20"/>
                <w:szCs w:val="20"/>
              </w:rPr>
              <w:t>Амбулаторное/стационарное</w:t>
            </w:r>
          </w:p>
        </w:tc>
      </w:tr>
      <w:tr w:rsidR="006C7C44" w:rsidRPr="00E8065F" w:rsidTr="000546C2">
        <w:trPr>
          <w:trHeight w:val="20"/>
        </w:trPr>
        <w:tc>
          <w:tcPr>
            <w:tcW w:w="1555" w:type="dxa"/>
            <w:vMerge/>
          </w:tcPr>
          <w:p w:rsidR="006C7C44" w:rsidRPr="00E8065F" w:rsidRDefault="006C7C44" w:rsidP="006C7C44">
            <w:pPr>
              <w:rPr>
                <w:color w:val="000000"/>
                <w:sz w:val="20"/>
                <w:szCs w:val="20"/>
              </w:rPr>
            </w:pPr>
          </w:p>
        </w:tc>
        <w:tc>
          <w:tcPr>
            <w:tcW w:w="3685" w:type="dxa"/>
            <w:tcBorders>
              <w:top w:val="nil"/>
              <w:left w:val="single" w:sz="4" w:space="0" w:color="auto"/>
              <w:bottom w:val="single" w:sz="4" w:space="0" w:color="auto"/>
              <w:right w:val="single" w:sz="4" w:space="0" w:color="auto"/>
            </w:tcBorders>
            <w:shd w:val="clear" w:color="auto" w:fill="auto"/>
          </w:tcPr>
          <w:p w:rsidR="006C7C44" w:rsidRPr="00E8065F" w:rsidRDefault="006C7C44" w:rsidP="006C7C44">
            <w:pPr>
              <w:spacing w:line="233" w:lineRule="auto"/>
              <w:jc w:val="both"/>
              <w:rPr>
                <w:color w:val="000000"/>
                <w:sz w:val="20"/>
                <w:szCs w:val="20"/>
              </w:rPr>
            </w:pPr>
            <w:r w:rsidRPr="00E8065F">
              <w:rPr>
                <w:color w:val="000000"/>
                <w:sz w:val="20"/>
                <w:szCs w:val="20"/>
              </w:rPr>
              <w:t xml:space="preserve">ГАУЗ </w:t>
            </w:r>
            <w:r>
              <w:rPr>
                <w:color w:val="000000"/>
                <w:sz w:val="20"/>
                <w:szCs w:val="20"/>
              </w:rPr>
              <w:t>«</w:t>
            </w:r>
            <w:r w:rsidRPr="00E8065F">
              <w:rPr>
                <w:color w:val="000000"/>
                <w:sz w:val="20"/>
                <w:szCs w:val="20"/>
              </w:rPr>
              <w:t>Базарно-Матакская ЦРБ</w:t>
            </w:r>
            <w:r>
              <w:rPr>
                <w:color w:val="000000"/>
                <w:sz w:val="20"/>
                <w:szCs w:val="20"/>
              </w:rPr>
              <w:t>»</w:t>
            </w:r>
          </w:p>
        </w:tc>
        <w:tc>
          <w:tcPr>
            <w:tcW w:w="1994" w:type="dxa"/>
            <w:shd w:val="clear" w:color="auto" w:fill="auto"/>
          </w:tcPr>
          <w:p w:rsidR="006C7C44" w:rsidRDefault="008B3E41" w:rsidP="006C7C44">
            <w:pPr>
              <w:jc w:val="center"/>
            </w:pPr>
            <w:r>
              <w:rPr>
                <w:sz w:val="20"/>
                <w:szCs w:val="20"/>
              </w:rPr>
              <w:t xml:space="preserve">Аппараты </w:t>
            </w:r>
            <w:r>
              <w:rPr>
                <w:rFonts w:eastAsia="Arial"/>
                <w:sz w:val="20"/>
                <w:szCs w:val="20"/>
              </w:rPr>
              <w:t>для ультразвуковых исследований</w:t>
            </w:r>
          </w:p>
        </w:tc>
        <w:tc>
          <w:tcPr>
            <w:tcW w:w="1181" w:type="dxa"/>
            <w:shd w:val="clear" w:color="auto" w:fill="auto"/>
          </w:tcPr>
          <w:p w:rsidR="006C7C44" w:rsidRPr="00E8065F" w:rsidRDefault="006C7C44" w:rsidP="006C7C44">
            <w:pPr>
              <w:spacing w:line="233" w:lineRule="auto"/>
              <w:jc w:val="center"/>
              <w:rPr>
                <w:sz w:val="20"/>
                <w:szCs w:val="20"/>
              </w:rPr>
            </w:pPr>
            <w:r w:rsidRPr="00E8065F">
              <w:rPr>
                <w:sz w:val="20"/>
                <w:szCs w:val="20"/>
              </w:rPr>
              <w:t>2015</w:t>
            </w:r>
            <w:r w:rsidR="00793DC9">
              <w:rPr>
                <w:sz w:val="20"/>
                <w:szCs w:val="20"/>
              </w:rPr>
              <w:t xml:space="preserve"> </w:t>
            </w:r>
            <w:r>
              <w:rPr>
                <w:sz w:val="20"/>
                <w:szCs w:val="20"/>
              </w:rPr>
              <w:t>(2)</w:t>
            </w:r>
          </w:p>
          <w:p w:rsidR="006C7C44" w:rsidRPr="00E8065F" w:rsidRDefault="006C7C44" w:rsidP="006C7C44">
            <w:pPr>
              <w:spacing w:line="233" w:lineRule="auto"/>
              <w:jc w:val="center"/>
              <w:rPr>
                <w:sz w:val="20"/>
                <w:szCs w:val="20"/>
              </w:rPr>
            </w:pPr>
            <w:r w:rsidRPr="00E8065F">
              <w:rPr>
                <w:sz w:val="20"/>
                <w:szCs w:val="20"/>
              </w:rPr>
              <w:t>2016</w:t>
            </w:r>
            <w:r w:rsidR="00793DC9">
              <w:rPr>
                <w:sz w:val="20"/>
                <w:szCs w:val="20"/>
              </w:rPr>
              <w:t xml:space="preserve"> </w:t>
            </w:r>
            <w:r>
              <w:rPr>
                <w:sz w:val="20"/>
                <w:szCs w:val="20"/>
              </w:rPr>
              <w:t>(1)</w:t>
            </w:r>
          </w:p>
          <w:p w:rsidR="006C7C44" w:rsidRPr="00E8065F" w:rsidRDefault="006C7C44" w:rsidP="006C7C44">
            <w:pPr>
              <w:spacing w:line="233" w:lineRule="auto"/>
              <w:jc w:val="center"/>
              <w:rPr>
                <w:sz w:val="20"/>
                <w:szCs w:val="20"/>
              </w:rPr>
            </w:pPr>
            <w:r w:rsidRPr="00E8065F">
              <w:rPr>
                <w:sz w:val="20"/>
                <w:szCs w:val="20"/>
              </w:rPr>
              <w:t>2017</w:t>
            </w:r>
            <w:r w:rsidR="00793DC9">
              <w:rPr>
                <w:sz w:val="20"/>
                <w:szCs w:val="20"/>
              </w:rPr>
              <w:t xml:space="preserve"> </w:t>
            </w:r>
            <w:r>
              <w:rPr>
                <w:sz w:val="20"/>
                <w:szCs w:val="20"/>
              </w:rPr>
              <w:t>(1)</w:t>
            </w:r>
          </w:p>
          <w:p w:rsidR="006C7C44" w:rsidRPr="00E8065F" w:rsidRDefault="006C7C44" w:rsidP="006C7C44">
            <w:pPr>
              <w:spacing w:line="233" w:lineRule="auto"/>
              <w:jc w:val="center"/>
              <w:rPr>
                <w:sz w:val="20"/>
                <w:szCs w:val="20"/>
              </w:rPr>
            </w:pPr>
            <w:r w:rsidRPr="00E8065F">
              <w:rPr>
                <w:sz w:val="20"/>
                <w:szCs w:val="20"/>
              </w:rPr>
              <w:t>2023</w:t>
            </w:r>
            <w:r w:rsidR="00793DC9">
              <w:rPr>
                <w:sz w:val="20"/>
                <w:szCs w:val="20"/>
              </w:rPr>
              <w:t xml:space="preserve"> </w:t>
            </w:r>
            <w:r>
              <w:rPr>
                <w:sz w:val="20"/>
                <w:szCs w:val="20"/>
              </w:rPr>
              <w:t>(1)</w:t>
            </w:r>
          </w:p>
          <w:p w:rsidR="006C7C44" w:rsidRPr="00E8065F" w:rsidRDefault="006C7C44" w:rsidP="006C7C44">
            <w:pPr>
              <w:spacing w:line="233" w:lineRule="auto"/>
              <w:jc w:val="center"/>
              <w:rPr>
                <w:sz w:val="20"/>
                <w:szCs w:val="20"/>
              </w:rPr>
            </w:pPr>
            <w:r w:rsidRPr="00E8065F">
              <w:rPr>
                <w:sz w:val="20"/>
                <w:szCs w:val="20"/>
              </w:rPr>
              <w:t>2024</w:t>
            </w:r>
            <w:r w:rsidR="00793DC9">
              <w:rPr>
                <w:sz w:val="20"/>
                <w:szCs w:val="20"/>
              </w:rPr>
              <w:t xml:space="preserve"> </w:t>
            </w:r>
            <w:r>
              <w:rPr>
                <w:sz w:val="20"/>
                <w:szCs w:val="20"/>
              </w:rPr>
              <w:t>(1)</w:t>
            </w:r>
          </w:p>
        </w:tc>
        <w:tc>
          <w:tcPr>
            <w:tcW w:w="1181" w:type="dxa"/>
            <w:tcBorders>
              <w:top w:val="nil"/>
              <w:left w:val="single" w:sz="4" w:space="0" w:color="auto"/>
              <w:bottom w:val="single" w:sz="4" w:space="0" w:color="auto"/>
              <w:right w:val="single" w:sz="4" w:space="0" w:color="auto"/>
            </w:tcBorders>
            <w:shd w:val="clear" w:color="auto" w:fill="auto"/>
          </w:tcPr>
          <w:p w:rsidR="006C7C44" w:rsidRPr="00BC5958" w:rsidRDefault="006C7C44" w:rsidP="006C7C44">
            <w:pPr>
              <w:spacing w:line="233" w:lineRule="auto"/>
              <w:jc w:val="center"/>
              <w:rPr>
                <w:color w:val="000000"/>
                <w:sz w:val="20"/>
                <w:szCs w:val="20"/>
              </w:rPr>
            </w:pPr>
            <w:r w:rsidRPr="00BC5958">
              <w:rPr>
                <w:color w:val="000000"/>
                <w:sz w:val="20"/>
                <w:szCs w:val="20"/>
              </w:rPr>
              <w:t>6</w:t>
            </w:r>
          </w:p>
        </w:tc>
        <w:tc>
          <w:tcPr>
            <w:tcW w:w="1478" w:type="dxa"/>
            <w:tcBorders>
              <w:top w:val="nil"/>
              <w:left w:val="single" w:sz="4" w:space="0" w:color="auto"/>
              <w:bottom w:val="single" w:sz="4" w:space="0" w:color="auto"/>
              <w:right w:val="single" w:sz="4" w:space="0" w:color="auto"/>
            </w:tcBorders>
            <w:shd w:val="clear" w:color="auto" w:fill="auto"/>
          </w:tcPr>
          <w:p w:rsidR="006C7C44" w:rsidRPr="00E8065F" w:rsidRDefault="006C7C44" w:rsidP="006C7C44">
            <w:pPr>
              <w:spacing w:line="233" w:lineRule="auto"/>
              <w:jc w:val="center"/>
              <w:rPr>
                <w:color w:val="000000"/>
                <w:sz w:val="20"/>
                <w:szCs w:val="20"/>
              </w:rPr>
            </w:pPr>
            <w:r w:rsidRPr="00E8065F">
              <w:rPr>
                <w:color w:val="000000"/>
                <w:sz w:val="20"/>
                <w:szCs w:val="20"/>
              </w:rPr>
              <w:t>138,0</w:t>
            </w:r>
          </w:p>
        </w:tc>
        <w:tc>
          <w:tcPr>
            <w:tcW w:w="1111" w:type="dxa"/>
            <w:tcBorders>
              <w:top w:val="nil"/>
              <w:left w:val="nil"/>
              <w:bottom w:val="single" w:sz="4" w:space="0" w:color="auto"/>
              <w:right w:val="single" w:sz="4" w:space="0" w:color="auto"/>
            </w:tcBorders>
            <w:shd w:val="clear" w:color="auto" w:fill="auto"/>
          </w:tcPr>
          <w:p w:rsidR="006C7C44" w:rsidRPr="00E8065F" w:rsidRDefault="006C7C44" w:rsidP="006C7C44">
            <w:pPr>
              <w:spacing w:line="233" w:lineRule="auto"/>
              <w:jc w:val="center"/>
              <w:rPr>
                <w:color w:val="000000"/>
                <w:sz w:val="20"/>
                <w:szCs w:val="20"/>
              </w:rPr>
            </w:pPr>
            <w:r w:rsidRPr="00E8065F">
              <w:rPr>
                <w:color w:val="000000"/>
                <w:sz w:val="20"/>
                <w:szCs w:val="20"/>
              </w:rPr>
              <w:t>1</w:t>
            </w:r>
          </w:p>
        </w:tc>
        <w:tc>
          <w:tcPr>
            <w:tcW w:w="1944" w:type="dxa"/>
            <w:tcBorders>
              <w:top w:val="nil"/>
              <w:left w:val="single" w:sz="4" w:space="0" w:color="auto"/>
              <w:bottom w:val="single" w:sz="4" w:space="0" w:color="auto"/>
              <w:right w:val="single" w:sz="4" w:space="0" w:color="auto"/>
            </w:tcBorders>
            <w:shd w:val="clear" w:color="auto" w:fill="auto"/>
          </w:tcPr>
          <w:p w:rsidR="006C7C44" w:rsidRPr="00E8065F" w:rsidRDefault="006C7C44" w:rsidP="006C7C44">
            <w:pPr>
              <w:spacing w:line="233" w:lineRule="auto"/>
              <w:jc w:val="center"/>
              <w:rPr>
                <w:color w:val="000000"/>
                <w:sz w:val="20"/>
                <w:szCs w:val="20"/>
              </w:rPr>
            </w:pPr>
            <w:r w:rsidRPr="00E8065F">
              <w:rPr>
                <w:color w:val="000000"/>
                <w:sz w:val="20"/>
                <w:szCs w:val="20"/>
              </w:rPr>
              <w:t>Амбулаторное/стационарное</w:t>
            </w:r>
          </w:p>
        </w:tc>
      </w:tr>
      <w:tr w:rsidR="006C7C44" w:rsidRPr="00E8065F" w:rsidTr="000546C2">
        <w:trPr>
          <w:trHeight w:val="20"/>
        </w:trPr>
        <w:tc>
          <w:tcPr>
            <w:tcW w:w="1555" w:type="dxa"/>
            <w:vMerge/>
          </w:tcPr>
          <w:p w:rsidR="006C7C44" w:rsidRPr="00E8065F" w:rsidRDefault="006C7C44" w:rsidP="006C7C44">
            <w:pPr>
              <w:rPr>
                <w:color w:val="000000"/>
                <w:sz w:val="20"/>
                <w:szCs w:val="20"/>
              </w:rPr>
            </w:pPr>
          </w:p>
        </w:tc>
        <w:tc>
          <w:tcPr>
            <w:tcW w:w="3685" w:type="dxa"/>
            <w:tcBorders>
              <w:top w:val="nil"/>
              <w:left w:val="single" w:sz="4" w:space="0" w:color="auto"/>
              <w:bottom w:val="single" w:sz="4" w:space="0" w:color="auto"/>
              <w:right w:val="single" w:sz="4" w:space="0" w:color="auto"/>
            </w:tcBorders>
            <w:shd w:val="clear" w:color="auto" w:fill="auto"/>
          </w:tcPr>
          <w:p w:rsidR="006C7C44" w:rsidRPr="00E8065F" w:rsidRDefault="006C7C44" w:rsidP="006C7C44">
            <w:pPr>
              <w:spacing w:line="233" w:lineRule="auto"/>
              <w:jc w:val="both"/>
              <w:rPr>
                <w:color w:val="000000"/>
                <w:sz w:val="20"/>
                <w:szCs w:val="20"/>
              </w:rPr>
            </w:pPr>
            <w:r>
              <w:rPr>
                <w:color w:val="000000"/>
                <w:sz w:val="20"/>
                <w:szCs w:val="20"/>
              </w:rPr>
              <w:t xml:space="preserve">ГАУЗ </w:t>
            </w:r>
            <w:r>
              <w:rPr>
                <w:rFonts w:eastAsia="Arial"/>
                <w:sz w:val="20"/>
                <w:szCs w:val="20"/>
              </w:rPr>
              <w:t>«Альметьевская межрайонная многопрофильная больница»</w:t>
            </w:r>
          </w:p>
        </w:tc>
        <w:tc>
          <w:tcPr>
            <w:tcW w:w="1994" w:type="dxa"/>
            <w:shd w:val="clear" w:color="auto" w:fill="auto"/>
          </w:tcPr>
          <w:p w:rsidR="006C7C44" w:rsidRDefault="008B3E41" w:rsidP="006C7C44">
            <w:pPr>
              <w:jc w:val="center"/>
            </w:pPr>
            <w:r>
              <w:rPr>
                <w:sz w:val="20"/>
                <w:szCs w:val="20"/>
              </w:rPr>
              <w:t xml:space="preserve">Аппараты </w:t>
            </w:r>
            <w:r>
              <w:rPr>
                <w:rFonts w:eastAsia="Arial"/>
                <w:sz w:val="20"/>
                <w:szCs w:val="20"/>
              </w:rPr>
              <w:t>для ультразвуковых исследований</w:t>
            </w:r>
          </w:p>
        </w:tc>
        <w:tc>
          <w:tcPr>
            <w:tcW w:w="1181" w:type="dxa"/>
            <w:shd w:val="clear" w:color="auto" w:fill="auto"/>
          </w:tcPr>
          <w:p w:rsidR="006C7C44" w:rsidRPr="00E8065F" w:rsidRDefault="006C7C44" w:rsidP="006C7C44">
            <w:pPr>
              <w:spacing w:line="233" w:lineRule="auto"/>
              <w:jc w:val="center"/>
              <w:rPr>
                <w:sz w:val="20"/>
                <w:szCs w:val="20"/>
              </w:rPr>
            </w:pPr>
            <w:r w:rsidRPr="00E8065F">
              <w:rPr>
                <w:sz w:val="20"/>
                <w:szCs w:val="20"/>
              </w:rPr>
              <w:t>2003</w:t>
            </w:r>
            <w:r w:rsidR="00793DC9">
              <w:rPr>
                <w:sz w:val="20"/>
                <w:szCs w:val="20"/>
              </w:rPr>
              <w:t xml:space="preserve"> </w:t>
            </w:r>
            <w:r>
              <w:rPr>
                <w:sz w:val="20"/>
                <w:szCs w:val="20"/>
              </w:rPr>
              <w:t>(1)</w:t>
            </w:r>
          </w:p>
          <w:p w:rsidR="006C7C44" w:rsidRPr="00E8065F" w:rsidRDefault="006C7C44" w:rsidP="006C7C44">
            <w:pPr>
              <w:spacing w:line="233" w:lineRule="auto"/>
              <w:jc w:val="center"/>
              <w:rPr>
                <w:sz w:val="20"/>
                <w:szCs w:val="20"/>
              </w:rPr>
            </w:pPr>
            <w:r w:rsidRPr="00E8065F">
              <w:rPr>
                <w:sz w:val="20"/>
                <w:szCs w:val="20"/>
              </w:rPr>
              <w:t>2008</w:t>
            </w:r>
            <w:r w:rsidR="00793DC9">
              <w:rPr>
                <w:sz w:val="20"/>
                <w:szCs w:val="20"/>
              </w:rPr>
              <w:t xml:space="preserve"> </w:t>
            </w:r>
            <w:r>
              <w:rPr>
                <w:sz w:val="20"/>
                <w:szCs w:val="20"/>
              </w:rPr>
              <w:t>(1)</w:t>
            </w:r>
          </w:p>
          <w:p w:rsidR="006C7C44" w:rsidRPr="00E8065F" w:rsidRDefault="006C7C44" w:rsidP="006C7C44">
            <w:pPr>
              <w:spacing w:line="233" w:lineRule="auto"/>
              <w:jc w:val="center"/>
              <w:rPr>
                <w:sz w:val="20"/>
                <w:szCs w:val="20"/>
              </w:rPr>
            </w:pPr>
            <w:r w:rsidRPr="00E8065F">
              <w:rPr>
                <w:sz w:val="20"/>
                <w:szCs w:val="20"/>
              </w:rPr>
              <w:t>2014</w:t>
            </w:r>
            <w:r w:rsidR="00793DC9">
              <w:rPr>
                <w:sz w:val="20"/>
                <w:szCs w:val="20"/>
              </w:rPr>
              <w:t xml:space="preserve"> </w:t>
            </w:r>
            <w:r>
              <w:rPr>
                <w:sz w:val="20"/>
                <w:szCs w:val="20"/>
              </w:rPr>
              <w:t>(1)</w:t>
            </w:r>
          </w:p>
          <w:p w:rsidR="006C7C44" w:rsidRPr="00E8065F" w:rsidRDefault="006C7C44" w:rsidP="006C7C44">
            <w:pPr>
              <w:spacing w:line="233" w:lineRule="auto"/>
              <w:jc w:val="center"/>
              <w:rPr>
                <w:sz w:val="20"/>
                <w:szCs w:val="20"/>
              </w:rPr>
            </w:pPr>
            <w:r w:rsidRPr="00E8065F">
              <w:rPr>
                <w:sz w:val="20"/>
                <w:szCs w:val="20"/>
              </w:rPr>
              <w:t>2018</w:t>
            </w:r>
            <w:r w:rsidR="00793DC9">
              <w:rPr>
                <w:sz w:val="20"/>
                <w:szCs w:val="20"/>
              </w:rPr>
              <w:t xml:space="preserve"> </w:t>
            </w:r>
            <w:r>
              <w:rPr>
                <w:sz w:val="20"/>
                <w:szCs w:val="20"/>
              </w:rPr>
              <w:t>(1)</w:t>
            </w:r>
          </w:p>
          <w:p w:rsidR="006C7C44" w:rsidRPr="00E8065F" w:rsidRDefault="006C7C44" w:rsidP="006C7C44">
            <w:pPr>
              <w:spacing w:line="233" w:lineRule="auto"/>
              <w:jc w:val="center"/>
              <w:rPr>
                <w:sz w:val="20"/>
                <w:szCs w:val="20"/>
              </w:rPr>
            </w:pPr>
            <w:r w:rsidRPr="00E8065F">
              <w:rPr>
                <w:sz w:val="20"/>
                <w:szCs w:val="20"/>
              </w:rPr>
              <w:t>2021</w:t>
            </w:r>
            <w:r w:rsidR="00793DC9">
              <w:rPr>
                <w:sz w:val="20"/>
                <w:szCs w:val="20"/>
              </w:rPr>
              <w:t xml:space="preserve"> </w:t>
            </w:r>
            <w:r>
              <w:rPr>
                <w:sz w:val="20"/>
                <w:szCs w:val="20"/>
              </w:rPr>
              <w:t>(1)</w:t>
            </w:r>
          </w:p>
        </w:tc>
        <w:tc>
          <w:tcPr>
            <w:tcW w:w="1181" w:type="dxa"/>
            <w:tcBorders>
              <w:top w:val="nil"/>
              <w:left w:val="single" w:sz="4" w:space="0" w:color="auto"/>
              <w:bottom w:val="single" w:sz="4" w:space="0" w:color="auto"/>
              <w:right w:val="single" w:sz="4" w:space="0" w:color="auto"/>
            </w:tcBorders>
            <w:shd w:val="clear" w:color="auto" w:fill="auto"/>
          </w:tcPr>
          <w:p w:rsidR="006C7C44" w:rsidRPr="00BC5958" w:rsidRDefault="006C7C44" w:rsidP="006C7C44">
            <w:pPr>
              <w:spacing w:line="233" w:lineRule="auto"/>
              <w:jc w:val="center"/>
              <w:rPr>
                <w:color w:val="000000"/>
                <w:sz w:val="20"/>
                <w:szCs w:val="20"/>
              </w:rPr>
            </w:pPr>
            <w:r w:rsidRPr="00BC5958">
              <w:rPr>
                <w:color w:val="000000"/>
                <w:sz w:val="20"/>
                <w:szCs w:val="20"/>
              </w:rPr>
              <w:t>5</w:t>
            </w:r>
          </w:p>
        </w:tc>
        <w:tc>
          <w:tcPr>
            <w:tcW w:w="1478" w:type="dxa"/>
            <w:tcBorders>
              <w:top w:val="nil"/>
              <w:left w:val="single" w:sz="4" w:space="0" w:color="auto"/>
              <w:bottom w:val="single" w:sz="4" w:space="0" w:color="auto"/>
              <w:right w:val="single" w:sz="4" w:space="0" w:color="auto"/>
            </w:tcBorders>
            <w:shd w:val="clear" w:color="auto" w:fill="auto"/>
          </w:tcPr>
          <w:p w:rsidR="006C7C44" w:rsidRPr="00E8065F" w:rsidRDefault="006C7C44" w:rsidP="006C7C44">
            <w:pPr>
              <w:spacing w:line="233" w:lineRule="auto"/>
              <w:jc w:val="center"/>
              <w:rPr>
                <w:color w:val="000000"/>
                <w:sz w:val="20"/>
                <w:szCs w:val="20"/>
              </w:rPr>
            </w:pPr>
            <w:r w:rsidRPr="00E8065F">
              <w:rPr>
                <w:color w:val="000000"/>
                <w:sz w:val="20"/>
                <w:szCs w:val="20"/>
              </w:rPr>
              <w:t>56,9</w:t>
            </w:r>
          </w:p>
        </w:tc>
        <w:tc>
          <w:tcPr>
            <w:tcW w:w="1111" w:type="dxa"/>
            <w:tcBorders>
              <w:top w:val="nil"/>
              <w:left w:val="nil"/>
              <w:bottom w:val="single" w:sz="4" w:space="0" w:color="auto"/>
              <w:right w:val="single" w:sz="4" w:space="0" w:color="auto"/>
            </w:tcBorders>
            <w:shd w:val="clear" w:color="auto" w:fill="auto"/>
          </w:tcPr>
          <w:p w:rsidR="006C7C44" w:rsidRPr="00E8065F" w:rsidRDefault="006C7C44" w:rsidP="006C7C44">
            <w:pPr>
              <w:spacing w:line="233" w:lineRule="auto"/>
              <w:jc w:val="center"/>
              <w:rPr>
                <w:color w:val="000000"/>
                <w:sz w:val="20"/>
                <w:szCs w:val="20"/>
              </w:rPr>
            </w:pPr>
            <w:r w:rsidRPr="00E8065F">
              <w:rPr>
                <w:color w:val="000000"/>
                <w:sz w:val="20"/>
                <w:szCs w:val="20"/>
              </w:rPr>
              <w:t>3</w:t>
            </w:r>
          </w:p>
        </w:tc>
        <w:tc>
          <w:tcPr>
            <w:tcW w:w="1944" w:type="dxa"/>
            <w:tcBorders>
              <w:top w:val="nil"/>
              <w:left w:val="single" w:sz="4" w:space="0" w:color="auto"/>
              <w:bottom w:val="single" w:sz="4" w:space="0" w:color="auto"/>
              <w:right w:val="single" w:sz="4" w:space="0" w:color="auto"/>
            </w:tcBorders>
            <w:shd w:val="clear" w:color="auto" w:fill="auto"/>
          </w:tcPr>
          <w:p w:rsidR="006C7C44" w:rsidRPr="00E8065F" w:rsidRDefault="006C7C44" w:rsidP="006C7C44">
            <w:pPr>
              <w:spacing w:line="233" w:lineRule="auto"/>
              <w:jc w:val="center"/>
              <w:rPr>
                <w:color w:val="000000"/>
                <w:sz w:val="20"/>
                <w:szCs w:val="20"/>
              </w:rPr>
            </w:pPr>
            <w:r w:rsidRPr="00E8065F">
              <w:rPr>
                <w:color w:val="000000"/>
                <w:sz w:val="20"/>
                <w:szCs w:val="20"/>
              </w:rPr>
              <w:t>Амбулаторное/стационарное</w:t>
            </w:r>
          </w:p>
        </w:tc>
      </w:tr>
      <w:tr w:rsidR="006C7C44" w:rsidRPr="00E8065F" w:rsidTr="000546C2">
        <w:trPr>
          <w:trHeight w:val="20"/>
        </w:trPr>
        <w:tc>
          <w:tcPr>
            <w:tcW w:w="1555" w:type="dxa"/>
            <w:vMerge/>
          </w:tcPr>
          <w:p w:rsidR="006C7C44" w:rsidRPr="00E8065F" w:rsidRDefault="006C7C44" w:rsidP="006C7C44">
            <w:pPr>
              <w:rPr>
                <w:color w:val="000000"/>
                <w:sz w:val="20"/>
                <w:szCs w:val="20"/>
              </w:rPr>
            </w:pPr>
          </w:p>
        </w:tc>
        <w:tc>
          <w:tcPr>
            <w:tcW w:w="3685" w:type="dxa"/>
            <w:tcBorders>
              <w:top w:val="nil"/>
              <w:left w:val="single" w:sz="4" w:space="0" w:color="auto"/>
              <w:bottom w:val="single" w:sz="4" w:space="0" w:color="auto"/>
              <w:right w:val="single" w:sz="4" w:space="0" w:color="auto"/>
            </w:tcBorders>
            <w:shd w:val="clear" w:color="auto" w:fill="auto"/>
          </w:tcPr>
          <w:p w:rsidR="006C7C44" w:rsidRPr="00E8065F" w:rsidRDefault="006C7C44" w:rsidP="006C7C44">
            <w:pPr>
              <w:spacing w:line="233" w:lineRule="auto"/>
              <w:jc w:val="both"/>
              <w:rPr>
                <w:color w:val="000000"/>
                <w:sz w:val="20"/>
                <w:szCs w:val="20"/>
              </w:rPr>
            </w:pPr>
            <w:r w:rsidRPr="00E8065F">
              <w:rPr>
                <w:color w:val="000000"/>
                <w:sz w:val="20"/>
                <w:szCs w:val="20"/>
              </w:rPr>
              <w:t xml:space="preserve">ГАУЗ </w:t>
            </w:r>
            <w:r>
              <w:rPr>
                <w:color w:val="000000"/>
                <w:sz w:val="20"/>
                <w:szCs w:val="20"/>
              </w:rPr>
              <w:t>«</w:t>
            </w:r>
            <w:r w:rsidRPr="00E8065F">
              <w:rPr>
                <w:color w:val="000000"/>
                <w:sz w:val="20"/>
                <w:szCs w:val="20"/>
              </w:rPr>
              <w:t>Альметьевская городская поликлиника №</w:t>
            </w:r>
            <w:r>
              <w:rPr>
                <w:color w:val="000000"/>
                <w:sz w:val="20"/>
                <w:szCs w:val="20"/>
              </w:rPr>
              <w:t xml:space="preserve"> </w:t>
            </w:r>
            <w:r w:rsidRPr="00E8065F">
              <w:rPr>
                <w:color w:val="000000"/>
                <w:sz w:val="20"/>
                <w:szCs w:val="20"/>
              </w:rPr>
              <w:t>3</w:t>
            </w:r>
            <w:r>
              <w:rPr>
                <w:color w:val="000000"/>
                <w:sz w:val="20"/>
                <w:szCs w:val="20"/>
              </w:rPr>
              <w:t>»</w:t>
            </w:r>
          </w:p>
        </w:tc>
        <w:tc>
          <w:tcPr>
            <w:tcW w:w="1994" w:type="dxa"/>
            <w:shd w:val="clear" w:color="auto" w:fill="auto"/>
          </w:tcPr>
          <w:p w:rsidR="006C7C44" w:rsidRDefault="008B3E41" w:rsidP="006C7C44">
            <w:pPr>
              <w:jc w:val="center"/>
            </w:pPr>
            <w:r>
              <w:rPr>
                <w:sz w:val="20"/>
                <w:szCs w:val="20"/>
              </w:rPr>
              <w:t xml:space="preserve">Аппараты </w:t>
            </w:r>
            <w:r>
              <w:rPr>
                <w:rFonts w:eastAsia="Arial"/>
                <w:sz w:val="20"/>
                <w:szCs w:val="20"/>
              </w:rPr>
              <w:t>для ультразвуковых исследований</w:t>
            </w:r>
          </w:p>
        </w:tc>
        <w:tc>
          <w:tcPr>
            <w:tcW w:w="1181" w:type="dxa"/>
            <w:shd w:val="clear" w:color="auto" w:fill="auto"/>
          </w:tcPr>
          <w:p w:rsidR="006C7C44" w:rsidRPr="00E8065F" w:rsidRDefault="006C7C44" w:rsidP="006C7C44">
            <w:pPr>
              <w:spacing w:line="233" w:lineRule="auto"/>
              <w:jc w:val="center"/>
              <w:rPr>
                <w:sz w:val="20"/>
                <w:szCs w:val="20"/>
              </w:rPr>
            </w:pPr>
            <w:r w:rsidRPr="00E8065F">
              <w:rPr>
                <w:sz w:val="20"/>
                <w:szCs w:val="20"/>
              </w:rPr>
              <w:t>2012</w:t>
            </w:r>
            <w:r w:rsidR="00793DC9">
              <w:rPr>
                <w:sz w:val="20"/>
                <w:szCs w:val="20"/>
              </w:rPr>
              <w:t xml:space="preserve"> </w:t>
            </w:r>
            <w:r>
              <w:rPr>
                <w:sz w:val="20"/>
                <w:szCs w:val="20"/>
              </w:rPr>
              <w:t>(1)</w:t>
            </w:r>
          </w:p>
          <w:p w:rsidR="006C7C44" w:rsidRPr="00E8065F" w:rsidRDefault="006C7C44" w:rsidP="006C7C44">
            <w:pPr>
              <w:spacing w:line="233" w:lineRule="auto"/>
              <w:jc w:val="center"/>
              <w:rPr>
                <w:sz w:val="20"/>
                <w:szCs w:val="20"/>
              </w:rPr>
            </w:pPr>
            <w:r w:rsidRPr="00E8065F">
              <w:rPr>
                <w:sz w:val="20"/>
                <w:szCs w:val="20"/>
              </w:rPr>
              <w:t>2017</w:t>
            </w:r>
            <w:r w:rsidR="00793DC9">
              <w:rPr>
                <w:sz w:val="20"/>
                <w:szCs w:val="20"/>
              </w:rPr>
              <w:t xml:space="preserve"> </w:t>
            </w:r>
            <w:r>
              <w:rPr>
                <w:sz w:val="20"/>
                <w:szCs w:val="20"/>
              </w:rPr>
              <w:t>(2)</w:t>
            </w:r>
          </w:p>
          <w:p w:rsidR="006C7C44" w:rsidRPr="00E8065F" w:rsidRDefault="006C7C44" w:rsidP="006C7C44">
            <w:pPr>
              <w:spacing w:line="233" w:lineRule="auto"/>
              <w:jc w:val="center"/>
              <w:rPr>
                <w:sz w:val="20"/>
                <w:szCs w:val="20"/>
              </w:rPr>
            </w:pPr>
            <w:r w:rsidRPr="00E8065F">
              <w:rPr>
                <w:sz w:val="20"/>
                <w:szCs w:val="20"/>
              </w:rPr>
              <w:t>2023</w:t>
            </w:r>
            <w:r w:rsidR="00793DC9">
              <w:rPr>
                <w:sz w:val="20"/>
                <w:szCs w:val="20"/>
              </w:rPr>
              <w:t xml:space="preserve"> </w:t>
            </w:r>
            <w:r>
              <w:rPr>
                <w:sz w:val="20"/>
                <w:szCs w:val="20"/>
              </w:rPr>
              <w:t>(1)</w:t>
            </w:r>
          </w:p>
        </w:tc>
        <w:tc>
          <w:tcPr>
            <w:tcW w:w="1181" w:type="dxa"/>
            <w:tcBorders>
              <w:top w:val="nil"/>
              <w:left w:val="single" w:sz="4" w:space="0" w:color="auto"/>
              <w:bottom w:val="single" w:sz="4" w:space="0" w:color="auto"/>
              <w:right w:val="single" w:sz="4" w:space="0" w:color="auto"/>
            </w:tcBorders>
            <w:shd w:val="clear" w:color="auto" w:fill="auto"/>
          </w:tcPr>
          <w:p w:rsidR="006C7C44" w:rsidRPr="00BC5958" w:rsidRDefault="006C7C44" w:rsidP="006C7C44">
            <w:pPr>
              <w:spacing w:line="233" w:lineRule="auto"/>
              <w:jc w:val="center"/>
              <w:rPr>
                <w:color w:val="000000"/>
                <w:sz w:val="20"/>
                <w:szCs w:val="20"/>
              </w:rPr>
            </w:pPr>
            <w:r w:rsidRPr="00BC5958">
              <w:rPr>
                <w:color w:val="000000"/>
                <w:sz w:val="20"/>
                <w:szCs w:val="20"/>
              </w:rPr>
              <w:t>4</w:t>
            </w:r>
          </w:p>
        </w:tc>
        <w:tc>
          <w:tcPr>
            <w:tcW w:w="1478" w:type="dxa"/>
            <w:tcBorders>
              <w:top w:val="nil"/>
              <w:left w:val="single" w:sz="4" w:space="0" w:color="auto"/>
              <w:bottom w:val="single" w:sz="4" w:space="0" w:color="auto"/>
              <w:right w:val="single" w:sz="4" w:space="0" w:color="auto"/>
            </w:tcBorders>
            <w:shd w:val="clear" w:color="auto" w:fill="auto"/>
          </w:tcPr>
          <w:p w:rsidR="006C7C44" w:rsidRPr="00E8065F" w:rsidRDefault="006C7C44" w:rsidP="006C7C44">
            <w:pPr>
              <w:spacing w:line="233" w:lineRule="auto"/>
              <w:jc w:val="center"/>
              <w:rPr>
                <w:color w:val="000000"/>
                <w:sz w:val="20"/>
                <w:szCs w:val="20"/>
              </w:rPr>
            </w:pPr>
            <w:r w:rsidRPr="00E8065F">
              <w:rPr>
                <w:color w:val="000000"/>
                <w:sz w:val="20"/>
                <w:szCs w:val="20"/>
              </w:rPr>
              <w:t>43,6</w:t>
            </w:r>
          </w:p>
        </w:tc>
        <w:tc>
          <w:tcPr>
            <w:tcW w:w="1111" w:type="dxa"/>
            <w:tcBorders>
              <w:top w:val="nil"/>
              <w:left w:val="nil"/>
              <w:bottom w:val="single" w:sz="4" w:space="0" w:color="auto"/>
              <w:right w:val="single" w:sz="4" w:space="0" w:color="auto"/>
            </w:tcBorders>
            <w:shd w:val="clear" w:color="auto" w:fill="auto"/>
          </w:tcPr>
          <w:p w:rsidR="006C7C44" w:rsidRPr="00E8065F" w:rsidRDefault="006C7C44" w:rsidP="006C7C44">
            <w:pPr>
              <w:spacing w:line="233" w:lineRule="auto"/>
              <w:jc w:val="center"/>
              <w:rPr>
                <w:color w:val="000000"/>
                <w:sz w:val="20"/>
                <w:szCs w:val="20"/>
              </w:rPr>
            </w:pPr>
            <w:r w:rsidRPr="00E8065F">
              <w:rPr>
                <w:color w:val="000000"/>
                <w:sz w:val="20"/>
                <w:szCs w:val="20"/>
              </w:rPr>
              <w:t>1</w:t>
            </w:r>
          </w:p>
        </w:tc>
        <w:tc>
          <w:tcPr>
            <w:tcW w:w="1944" w:type="dxa"/>
            <w:tcBorders>
              <w:top w:val="nil"/>
              <w:left w:val="single" w:sz="4" w:space="0" w:color="auto"/>
              <w:bottom w:val="single" w:sz="4" w:space="0" w:color="auto"/>
              <w:right w:val="single" w:sz="4" w:space="0" w:color="auto"/>
            </w:tcBorders>
            <w:shd w:val="clear" w:color="auto" w:fill="auto"/>
          </w:tcPr>
          <w:p w:rsidR="006C7C44" w:rsidRPr="00E8065F" w:rsidRDefault="006C7C44" w:rsidP="006C7C44">
            <w:pPr>
              <w:spacing w:line="233" w:lineRule="auto"/>
              <w:jc w:val="center"/>
              <w:rPr>
                <w:color w:val="000000"/>
                <w:sz w:val="20"/>
                <w:szCs w:val="20"/>
              </w:rPr>
            </w:pPr>
            <w:r w:rsidRPr="00E8065F">
              <w:rPr>
                <w:color w:val="000000"/>
                <w:sz w:val="20"/>
                <w:szCs w:val="20"/>
              </w:rPr>
              <w:t>Амбулаторное</w:t>
            </w:r>
          </w:p>
        </w:tc>
      </w:tr>
      <w:tr w:rsidR="006C7C44" w:rsidRPr="00E8065F" w:rsidTr="000546C2">
        <w:trPr>
          <w:trHeight w:val="20"/>
        </w:trPr>
        <w:tc>
          <w:tcPr>
            <w:tcW w:w="1555" w:type="dxa"/>
            <w:vMerge/>
          </w:tcPr>
          <w:p w:rsidR="006C7C44" w:rsidRPr="00E8065F" w:rsidRDefault="006C7C44" w:rsidP="006C7C44">
            <w:pPr>
              <w:rPr>
                <w:color w:val="000000"/>
                <w:sz w:val="20"/>
                <w:szCs w:val="20"/>
              </w:rPr>
            </w:pPr>
          </w:p>
        </w:tc>
        <w:tc>
          <w:tcPr>
            <w:tcW w:w="3685" w:type="dxa"/>
            <w:tcBorders>
              <w:top w:val="nil"/>
              <w:left w:val="single" w:sz="4" w:space="0" w:color="auto"/>
              <w:bottom w:val="single" w:sz="4" w:space="0" w:color="auto"/>
              <w:right w:val="nil"/>
            </w:tcBorders>
            <w:shd w:val="clear" w:color="auto" w:fill="auto"/>
          </w:tcPr>
          <w:p w:rsidR="006C7C44" w:rsidRPr="00E8065F" w:rsidRDefault="006C7C44" w:rsidP="006C7C44">
            <w:pPr>
              <w:spacing w:line="233" w:lineRule="auto"/>
              <w:jc w:val="both"/>
              <w:rPr>
                <w:color w:val="000000"/>
                <w:sz w:val="20"/>
                <w:szCs w:val="20"/>
              </w:rPr>
            </w:pPr>
            <w:r w:rsidRPr="00E8065F">
              <w:rPr>
                <w:color w:val="000000"/>
                <w:sz w:val="20"/>
                <w:szCs w:val="20"/>
              </w:rPr>
              <w:t xml:space="preserve">ГАУЗ </w:t>
            </w:r>
            <w:r>
              <w:rPr>
                <w:color w:val="000000"/>
                <w:sz w:val="20"/>
                <w:szCs w:val="20"/>
              </w:rPr>
              <w:t>«</w:t>
            </w:r>
            <w:r w:rsidRPr="00E8065F">
              <w:rPr>
                <w:color w:val="000000"/>
                <w:sz w:val="20"/>
                <w:szCs w:val="20"/>
              </w:rPr>
              <w:t>Альметьевская ЦРБ</w:t>
            </w:r>
            <w:r>
              <w:rPr>
                <w:color w:val="000000"/>
                <w:sz w:val="20"/>
                <w:szCs w:val="20"/>
              </w:rPr>
              <w:t>»</w:t>
            </w:r>
          </w:p>
        </w:tc>
        <w:tc>
          <w:tcPr>
            <w:tcW w:w="1994" w:type="dxa"/>
            <w:shd w:val="clear" w:color="auto" w:fill="auto"/>
          </w:tcPr>
          <w:p w:rsidR="006C7C44" w:rsidRDefault="008B3E41" w:rsidP="006C7C44">
            <w:pPr>
              <w:jc w:val="center"/>
            </w:pPr>
            <w:r>
              <w:rPr>
                <w:sz w:val="20"/>
                <w:szCs w:val="20"/>
              </w:rPr>
              <w:t xml:space="preserve">Аппараты </w:t>
            </w:r>
            <w:r>
              <w:rPr>
                <w:rFonts w:eastAsia="Arial"/>
                <w:sz w:val="20"/>
                <w:szCs w:val="20"/>
              </w:rPr>
              <w:t>для ультразвуковых исследований</w:t>
            </w:r>
          </w:p>
        </w:tc>
        <w:tc>
          <w:tcPr>
            <w:tcW w:w="1181" w:type="dxa"/>
            <w:shd w:val="clear" w:color="auto" w:fill="auto"/>
          </w:tcPr>
          <w:p w:rsidR="006C7C44" w:rsidRPr="00E8065F" w:rsidRDefault="006C7C44" w:rsidP="006C7C44">
            <w:pPr>
              <w:spacing w:line="233" w:lineRule="auto"/>
              <w:jc w:val="center"/>
              <w:rPr>
                <w:sz w:val="20"/>
                <w:szCs w:val="20"/>
              </w:rPr>
            </w:pPr>
            <w:r w:rsidRPr="00E8065F">
              <w:rPr>
                <w:sz w:val="20"/>
                <w:szCs w:val="20"/>
              </w:rPr>
              <w:t>2010</w:t>
            </w:r>
            <w:r w:rsidR="00793DC9">
              <w:rPr>
                <w:sz w:val="20"/>
                <w:szCs w:val="20"/>
              </w:rPr>
              <w:t xml:space="preserve"> </w:t>
            </w:r>
            <w:r>
              <w:rPr>
                <w:sz w:val="20"/>
                <w:szCs w:val="20"/>
              </w:rPr>
              <w:t>(1)</w:t>
            </w:r>
          </w:p>
          <w:p w:rsidR="006C7C44" w:rsidRPr="00E8065F" w:rsidRDefault="006C7C44" w:rsidP="006C7C44">
            <w:pPr>
              <w:spacing w:line="233" w:lineRule="auto"/>
              <w:jc w:val="center"/>
              <w:rPr>
                <w:sz w:val="20"/>
                <w:szCs w:val="20"/>
              </w:rPr>
            </w:pPr>
            <w:r w:rsidRPr="00E8065F">
              <w:rPr>
                <w:sz w:val="20"/>
                <w:szCs w:val="20"/>
              </w:rPr>
              <w:t>2011</w:t>
            </w:r>
            <w:r w:rsidR="00793DC9">
              <w:rPr>
                <w:sz w:val="20"/>
                <w:szCs w:val="20"/>
              </w:rPr>
              <w:t xml:space="preserve"> </w:t>
            </w:r>
            <w:r>
              <w:rPr>
                <w:sz w:val="20"/>
                <w:szCs w:val="20"/>
              </w:rPr>
              <w:t>(1)</w:t>
            </w:r>
          </w:p>
          <w:p w:rsidR="006C7C44" w:rsidRPr="00E8065F" w:rsidRDefault="006C7C44" w:rsidP="006C7C44">
            <w:pPr>
              <w:spacing w:line="233" w:lineRule="auto"/>
              <w:jc w:val="center"/>
              <w:rPr>
                <w:sz w:val="20"/>
                <w:szCs w:val="20"/>
              </w:rPr>
            </w:pPr>
            <w:r w:rsidRPr="00E8065F">
              <w:rPr>
                <w:sz w:val="20"/>
                <w:szCs w:val="20"/>
              </w:rPr>
              <w:t>2013</w:t>
            </w:r>
            <w:r w:rsidR="00793DC9">
              <w:rPr>
                <w:sz w:val="20"/>
                <w:szCs w:val="20"/>
              </w:rPr>
              <w:t xml:space="preserve"> </w:t>
            </w:r>
            <w:r>
              <w:rPr>
                <w:sz w:val="20"/>
                <w:szCs w:val="20"/>
              </w:rPr>
              <w:t>(1)</w:t>
            </w:r>
          </w:p>
          <w:p w:rsidR="006C7C44" w:rsidRPr="00E8065F" w:rsidRDefault="006C7C44" w:rsidP="006C7C44">
            <w:pPr>
              <w:spacing w:line="233" w:lineRule="auto"/>
              <w:jc w:val="center"/>
              <w:rPr>
                <w:sz w:val="20"/>
                <w:szCs w:val="20"/>
              </w:rPr>
            </w:pPr>
            <w:r w:rsidRPr="00E8065F">
              <w:rPr>
                <w:sz w:val="20"/>
                <w:szCs w:val="20"/>
              </w:rPr>
              <w:t>2018</w:t>
            </w:r>
            <w:r w:rsidR="00793DC9">
              <w:rPr>
                <w:sz w:val="20"/>
                <w:szCs w:val="20"/>
              </w:rPr>
              <w:t xml:space="preserve"> </w:t>
            </w:r>
            <w:r>
              <w:rPr>
                <w:sz w:val="20"/>
                <w:szCs w:val="20"/>
              </w:rPr>
              <w:t>(1)</w:t>
            </w:r>
          </w:p>
          <w:p w:rsidR="006C7C44" w:rsidRPr="00E8065F" w:rsidRDefault="006C7C44" w:rsidP="006C7C44">
            <w:pPr>
              <w:spacing w:line="233" w:lineRule="auto"/>
              <w:jc w:val="center"/>
              <w:rPr>
                <w:sz w:val="20"/>
                <w:szCs w:val="20"/>
              </w:rPr>
            </w:pPr>
            <w:r w:rsidRPr="00E8065F">
              <w:rPr>
                <w:sz w:val="20"/>
                <w:szCs w:val="20"/>
              </w:rPr>
              <w:t>2020</w:t>
            </w:r>
            <w:r w:rsidR="00793DC9">
              <w:rPr>
                <w:sz w:val="20"/>
                <w:szCs w:val="20"/>
              </w:rPr>
              <w:t xml:space="preserve"> </w:t>
            </w:r>
            <w:r>
              <w:rPr>
                <w:sz w:val="20"/>
                <w:szCs w:val="20"/>
              </w:rPr>
              <w:t>(1)</w:t>
            </w:r>
          </w:p>
          <w:p w:rsidR="006C7C44" w:rsidRPr="00E8065F" w:rsidRDefault="006C7C44" w:rsidP="006C7C44">
            <w:pPr>
              <w:spacing w:line="233" w:lineRule="auto"/>
              <w:jc w:val="center"/>
              <w:rPr>
                <w:sz w:val="20"/>
                <w:szCs w:val="20"/>
              </w:rPr>
            </w:pPr>
            <w:r w:rsidRPr="00E8065F">
              <w:rPr>
                <w:sz w:val="20"/>
                <w:szCs w:val="20"/>
              </w:rPr>
              <w:t>2022</w:t>
            </w:r>
            <w:r w:rsidR="00793DC9">
              <w:rPr>
                <w:sz w:val="20"/>
                <w:szCs w:val="20"/>
              </w:rPr>
              <w:t xml:space="preserve"> </w:t>
            </w:r>
            <w:r>
              <w:rPr>
                <w:sz w:val="20"/>
                <w:szCs w:val="20"/>
              </w:rPr>
              <w:t>(5)</w:t>
            </w:r>
          </w:p>
          <w:p w:rsidR="006C7C44" w:rsidRPr="00E8065F" w:rsidRDefault="006C7C44" w:rsidP="006C7C44">
            <w:pPr>
              <w:spacing w:line="233" w:lineRule="auto"/>
              <w:jc w:val="center"/>
              <w:rPr>
                <w:sz w:val="20"/>
                <w:szCs w:val="20"/>
              </w:rPr>
            </w:pPr>
            <w:r w:rsidRPr="00E8065F">
              <w:rPr>
                <w:sz w:val="20"/>
                <w:szCs w:val="20"/>
              </w:rPr>
              <w:t>2024</w:t>
            </w:r>
            <w:r w:rsidR="00793DC9">
              <w:rPr>
                <w:sz w:val="20"/>
                <w:szCs w:val="20"/>
              </w:rPr>
              <w:t xml:space="preserve"> </w:t>
            </w:r>
            <w:r>
              <w:rPr>
                <w:sz w:val="20"/>
                <w:szCs w:val="20"/>
              </w:rPr>
              <w:t>(3)</w:t>
            </w:r>
          </w:p>
        </w:tc>
        <w:tc>
          <w:tcPr>
            <w:tcW w:w="1181" w:type="dxa"/>
            <w:tcBorders>
              <w:top w:val="nil"/>
              <w:left w:val="single" w:sz="4" w:space="0" w:color="auto"/>
              <w:bottom w:val="single" w:sz="4" w:space="0" w:color="auto"/>
              <w:right w:val="single" w:sz="4" w:space="0" w:color="auto"/>
            </w:tcBorders>
            <w:shd w:val="clear" w:color="auto" w:fill="auto"/>
          </w:tcPr>
          <w:p w:rsidR="006C7C44" w:rsidRPr="00BC5958" w:rsidRDefault="006C7C44" w:rsidP="006C7C44">
            <w:pPr>
              <w:spacing w:line="233" w:lineRule="auto"/>
              <w:jc w:val="center"/>
              <w:rPr>
                <w:color w:val="000000"/>
                <w:sz w:val="20"/>
                <w:szCs w:val="20"/>
              </w:rPr>
            </w:pPr>
            <w:r w:rsidRPr="00BC5958">
              <w:rPr>
                <w:color w:val="000000"/>
                <w:sz w:val="20"/>
                <w:szCs w:val="20"/>
              </w:rPr>
              <w:t>13</w:t>
            </w:r>
          </w:p>
        </w:tc>
        <w:tc>
          <w:tcPr>
            <w:tcW w:w="1478" w:type="dxa"/>
            <w:tcBorders>
              <w:top w:val="nil"/>
              <w:left w:val="single" w:sz="4" w:space="0" w:color="auto"/>
              <w:bottom w:val="single" w:sz="4" w:space="0" w:color="auto"/>
              <w:right w:val="single" w:sz="4" w:space="0" w:color="auto"/>
            </w:tcBorders>
            <w:shd w:val="clear" w:color="auto" w:fill="auto"/>
          </w:tcPr>
          <w:p w:rsidR="006C7C44" w:rsidRPr="00E8065F" w:rsidRDefault="006C7C44" w:rsidP="006C7C44">
            <w:pPr>
              <w:spacing w:line="233" w:lineRule="auto"/>
              <w:jc w:val="center"/>
              <w:rPr>
                <w:color w:val="000000"/>
                <w:sz w:val="20"/>
                <w:szCs w:val="20"/>
              </w:rPr>
            </w:pPr>
            <w:r w:rsidRPr="00E8065F">
              <w:rPr>
                <w:color w:val="000000"/>
                <w:sz w:val="20"/>
                <w:szCs w:val="20"/>
              </w:rPr>
              <w:t>395,9</w:t>
            </w:r>
          </w:p>
        </w:tc>
        <w:tc>
          <w:tcPr>
            <w:tcW w:w="1111" w:type="dxa"/>
            <w:tcBorders>
              <w:top w:val="nil"/>
              <w:left w:val="nil"/>
              <w:bottom w:val="single" w:sz="4" w:space="0" w:color="auto"/>
              <w:right w:val="single" w:sz="4" w:space="0" w:color="auto"/>
            </w:tcBorders>
            <w:shd w:val="clear" w:color="auto" w:fill="auto"/>
          </w:tcPr>
          <w:p w:rsidR="006C7C44" w:rsidRPr="00E8065F" w:rsidRDefault="006C7C44" w:rsidP="006C7C44">
            <w:pPr>
              <w:spacing w:line="233" w:lineRule="auto"/>
              <w:jc w:val="center"/>
              <w:rPr>
                <w:color w:val="000000"/>
                <w:sz w:val="20"/>
                <w:szCs w:val="20"/>
              </w:rPr>
            </w:pPr>
            <w:r w:rsidRPr="00E8065F">
              <w:rPr>
                <w:color w:val="000000"/>
                <w:sz w:val="20"/>
                <w:szCs w:val="20"/>
              </w:rPr>
              <w:t>1</w:t>
            </w:r>
          </w:p>
        </w:tc>
        <w:tc>
          <w:tcPr>
            <w:tcW w:w="1944" w:type="dxa"/>
            <w:tcBorders>
              <w:top w:val="nil"/>
              <w:left w:val="single" w:sz="4" w:space="0" w:color="auto"/>
              <w:bottom w:val="single" w:sz="4" w:space="0" w:color="auto"/>
              <w:right w:val="single" w:sz="4" w:space="0" w:color="auto"/>
            </w:tcBorders>
            <w:shd w:val="clear" w:color="auto" w:fill="auto"/>
          </w:tcPr>
          <w:p w:rsidR="006C7C44" w:rsidRPr="00E8065F" w:rsidRDefault="006C7C44" w:rsidP="006C7C44">
            <w:pPr>
              <w:spacing w:line="233" w:lineRule="auto"/>
              <w:jc w:val="center"/>
              <w:rPr>
                <w:color w:val="000000"/>
                <w:sz w:val="20"/>
                <w:szCs w:val="20"/>
              </w:rPr>
            </w:pPr>
            <w:r w:rsidRPr="00E8065F">
              <w:rPr>
                <w:color w:val="000000"/>
                <w:sz w:val="20"/>
                <w:szCs w:val="20"/>
              </w:rPr>
              <w:t>Амбулаторное/стационарное</w:t>
            </w:r>
          </w:p>
        </w:tc>
      </w:tr>
      <w:tr w:rsidR="006C7C44" w:rsidRPr="00E8065F" w:rsidTr="000546C2">
        <w:trPr>
          <w:trHeight w:val="20"/>
        </w:trPr>
        <w:tc>
          <w:tcPr>
            <w:tcW w:w="1555" w:type="dxa"/>
            <w:vMerge/>
          </w:tcPr>
          <w:p w:rsidR="006C7C44" w:rsidRPr="00E8065F" w:rsidRDefault="006C7C44" w:rsidP="006C7C44">
            <w:pPr>
              <w:rPr>
                <w:color w:val="000000"/>
                <w:sz w:val="20"/>
                <w:szCs w:val="20"/>
              </w:rPr>
            </w:pPr>
          </w:p>
        </w:tc>
        <w:tc>
          <w:tcPr>
            <w:tcW w:w="3685" w:type="dxa"/>
            <w:tcBorders>
              <w:top w:val="nil"/>
              <w:left w:val="single" w:sz="4" w:space="0" w:color="auto"/>
              <w:bottom w:val="single" w:sz="4" w:space="0" w:color="auto"/>
              <w:right w:val="single" w:sz="4" w:space="0" w:color="auto"/>
            </w:tcBorders>
            <w:shd w:val="clear" w:color="auto" w:fill="auto"/>
          </w:tcPr>
          <w:p w:rsidR="006C7C44" w:rsidRPr="00E8065F" w:rsidRDefault="006C7C44" w:rsidP="006C7C44">
            <w:pPr>
              <w:spacing w:line="233" w:lineRule="auto"/>
              <w:jc w:val="both"/>
              <w:rPr>
                <w:color w:val="000000"/>
                <w:sz w:val="20"/>
                <w:szCs w:val="20"/>
              </w:rPr>
            </w:pPr>
            <w:r w:rsidRPr="00E8065F">
              <w:rPr>
                <w:color w:val="000000"/>
                <w:sz w:val="20"/>
                <w:szCs w:val="20"/>
              </w:rPr>
              <w:t xml:space="preserve">ГАУЗ </w:t>
            </w:r>
            <w:r>
              <w:rPr>
                <w:color w:val="000000"/>
                <w:sz w:val="20"/>
                <w:szCs w:val="20"/>
              </w:rPr>
              <w:t>«</w:t>
            </w:r>
            <w:r w:rsidRPr="00E8065F">
              <w:rPr>
                <w:color w:val="000000"/>
                <w:sz w:val="20"/>
                <w:szCs w:val="20"/>
              </w:rPr>
              <w:t>Апастовская ЦРБ</w:t>
            </w:r>
            <w:r>
              <w:rPr>
                <w:color w:val="000000"/>
                <w:sz w:val="20"/>
                <w:szCs w:val="20"/>
              </w:rPr>
              <w:t>»</w:t>
            </w:r>
          </w:p>
        </w:tc>
        <w:tc>
          <w:tcPr>
            <w:tcW w:w="1994" w:type="dxa"/>
            <w:shd w:val="clear" w:color="auto" w:fill="auto"/>
          </w:tcPr>
          <w:p w:rsidR="006C7C44" w:rsidRDefault="008B3E41" w:rsidP="006C7C44">
            <w:pPr>
              <w:jc w:val="center"/>
            </w:pPr>
            <w:r>
              <w:rPr>
                <w:sz w:val="20"/>
                <w:szCs w:val="20"/>
              </w:rPr>
              <w:t xml:space="preserve">Аппараты </w:t>
            </w:r>
            <w:r>
              <w:rPr>
                <w:rFonts w:eastAsia="Arial"/>
                <w:sz w:val="20"/>
                <w:szCs w:val="20"/>
              </w:rPr>
              <w:t>для ультразвуковых исследований</w:t>
            </w:r>
          </w:p>
        </w:tc>
        <w:tc>
          <w:tcPr>
            <w:tcW w:w="1181" w:type="dxa"/>
            <w:shd w:val="clear" w:color="auto" w:fill="auto"/>
          </w:tcPr>
          <w:p w:rsidR="006C7C44" w:rsidRPr="00E8065F" w:rsidRDefault="006C7C44" w:rsidP="006C7C44">
            <w:pPr>
              <w:spacing w:line="233" w:lineRule="auto"/>
              <w:jc w:val="center"/>
              <w:rPr>
                <w:sz w:val="20"/>
                <w:szCs w:val="20"/>
              </w:rPr>
            </w:pPr>
            <w:r w:rsidRPr="00E8065F">
              <w:rPr>
                <w:sz w:val="20"/>
                <w:szCs w:val="20"/>
              </w:rPr>
              <w:t>2010</w:t>
            </w:r>
            <w:r w:rsidR="00793DC9">
              <w:rPr>
                <w:sz w:val="20"/>
                <w:szCs w:val="20"/>
              </w:rPr>
              <w:t xml:space="preserve"> </w:t>
            </w:r>
            <w:r>
              <w:rPr>
                <w:sz w:val="20"/>
                <w:szCs w:val="20"/>
              </w:rPr>
              <w:t>(1)</w:t>
            </w:r>
          </w:p>
          <w:p w:rsidR="006C7C44" w:rsidRPr="00E8065F" w:rsidRDefault="006C7C44" w:rsidP="006C7C44">
            <w:pPr>
              <w:spacing w:line="233" w:lineRule="auto"/>
              <w:jc w:val="center"/>
              <w:rPr>
                <w:sz w:val="20"/>
                <w:szCs w:val="20"/>
              </w:rPr>
            </w:pPr>
            <w:r w:rsidRPr="00E8065F">
              <w:rPr>
                <w:sz w:val="20"/>
                <w:szCs w:val="20"/>
              </w:rPr>
              <w:t>2011</w:t>
            </w:r>
            <w:r w:rsidR="00793DC9">
              <w:rPr>
                <w:sz w:val="20"/>
                <w:szCs w:val="20"/>
              </w:rPr>
              <w:t xml:space="preserve"> </w:t>
            </w:r>
            <w:r>
              <w:rPr>
                <w:sz w:val="20"/>
                <w:szCs w:val="20"/>
              </w:rPr>
              <w:t>(2)</w:t>
            </w:r>
          </w:p>
          <w:p w:rsidR="006C7C44" w:rsidRPr="00E8065F" w:rsidRDefault="006C7C44" w:rsidP="006C7C44">
            <w:pPr>
              <w:spacing w:line="233" w:lineRule="auto"/>
              <w:jc w:val="center"/>
              <w:rPr>
                <w:sz w:val="20"/>
                <w:szCs w:val="20"/>
              </w:rPr>
            </w:pPr>
            <w:r w:rsidRPr="00E8065F">
              <w:rPr>
                <w:sz w:val="20"/>
                <w:szCs w:val="20"/>
              </w:rPr>
              <w:t>2012</w:t>
            </w:r>
            <w:r w:rsidR="00793DC9">
              <w:rPr>
                <w:sz w:val="20"/>
                <w:szCs w:val="20"/>
              </w:rPr>
              <w:t xml:space="preserve"> </w:t>
            </w:r>
            <w:r>
              <w:rPr>
                <w:sz w:val="20"/>
                <w:szCs w:val="20"/>
              </w:rPr>
              <w:t>(1)</w:t>
            </w:r>
          </w:p>
          <w:p w:rsidR="006C7C44" w:rsidRPr="00E8065F" w:rsidRDefault="006C7C44" w:rsidP="006C7C44">
            <w:pPr>
              <w:spacing w:line="233" w:lineRule="auto"/>
              <w:jc w:val="center"/>
              <w:rPr>
                <w:sz w:val="20"/>
                <w:szCs w:val="20"/>
              </w:rPr>
            </w:pPr>
            <w:r w:rsidRPr="00E8065F">
              <w:rPr>
                <w:sz w:val="20"/>
                <w:szCs w:val="20"/>
              </w:rPr>
              <w:t>2019</w:t>
            </w:r>
            <w:r w:rsidR="00793DC9">
              <w:rPr>
                <w:sz w:val="20"/>
                <w:szCs w:val="20"/>
              </w:rPr>
              <w:t xml:space="preserve"> </w:t>
            </w:r>
            <w:r>
              <w:rPr>
                <w:sz w:val="20"/>
                <w:szCs w:val="20"/>
              </w:rPr>
              <w:t>(2)</w:t>
            </w:r>
          </w:p>
          <w:p w:rsidR="006C7C44" w:rsidRPr="00E8065F" w:rsidRDefault="006C7C44" w:rsidP="006C7C44">
            <w:pPr>
              <w:spacing w:line="233" w:lineRule="auto"/>
              <w:jc w:val="center"/>
              <w:rPr>
                <w:sz w:val="20"/>
                <w:szCs w:val="20"/>
              </w:rPr>
            </w:pPr>
            <w:r w:rsidRPr="00E8065F">
              <w:rPr>
                <w:sz w:val="20"/>
                <w:szCs w:val="20"/>
              </w:rPr>
              <w:t>2023</w:t>
            </w:r>
            <w:r w:rsidR="00793DC9">
              <w:rPr>
                <w:sz w:val="20"/>
                <w:szCs w:val="20"/>
              </w:rPr>
              <w:t xml:space="preserve"> </w:t>
            </w:r>
            <w:r>
              <w:rPr>
                <w:sz w:val="20"/>
                <w:szCs w:val="20"/>
              </w:rPr>
              <w:t>(1)</w:t>
            </w:r>
          </w:p>
        </w:tc>
        <w:tc>
          <w:tcPr>
            <w:tcW w:w="1181" w:type="dxa"/>
            <w:tcBorders>
              <w:top w:val="nil"/>
              <w:left w:val="single" w:sz="4" w:space="0" w:color="auto"/>
              <w:bottom w:val="single" w:sz="4" w:space="0" w:color="auto"/>
              <w:right w:val="single" w:sz="4" w:space="0" w:color="auto"/>
            </w:tcBorders>
            <w:shd w:val="clear" w:color="auto" w:fill="auto"/>
          </w:tcPr>
          <w:p w:rsidR="006C7C44" w:rsidRPr="00BC5958" w:rsidRDefault="006C7C44" w:rsidP="006C7C44">
            <w:pPr>
              <w:spacing w:line="233" w:lineRule="auto"/>
              <w:jc w:val="center"/>
              <w:rPr>
                <w:color w:val="000000"/>
                <w:sz w:val="20"/>
                <w:szCs w:val="20"/>
              </w:rPr>
            </w:pPr>
            <w:r w:rsidRPr="00BC5958">
              <w:rPr>
                <w:color w:val="000000"/>
                <w:sz w:val="20"/>
                <w:szCs w:val="20"/>
              </w:rPr>
              <w:t>7</w:t>
            </w:r>
          </w:p>
        </w:tc>
        <w:tc>
          <w:tcPr>
            <w:tcW w:w="1478" w:type="dxa"/>
            <w:tcBorders>
              <w:top w:val="nil"/>
              <w:left w:val="single" w:sz="4" w:space="0" w:color="auto"/>
              <w:bottom w:val="single" w:sz="4" w:space="0" w:color="auto"/>
              <w:right w:val="single" w:sz="4" w:space="0" w:color="auto"/>
            </w:tcBorders>
            <w:shd w:val="clear" w:color="auto" w:fill="auto"/>
          </w:tcPr>
          <w:p w:rsidR="006C7C44" w:rsidRPr="00E8065F" w:rsidRDefault="006C7C44" w:rsidP="006C7C44">
            <w:pPr>
              <w:spacing w:line="233" w:lineRule="auto"/>
              <w:jc w:val="center"/>
              <w:rPr>
                <w:color w:val="000000"/>
                <w:sz w:val="20"/>
                <w:szCs w:val="20"/>
              </w:rPr>
            </w:pPr>
            <w:r w:rsidRPr="00E8065F">
              <w:rPr>
                <w:color w:val="000000"/>
                <w:sz w:val="20"/>
                <w:szCs w:val="20"/>
              </w:rPr>
              <w:t>69,3</w:t>
            </w:r>
          </w:p>
        </w:tc>
        <w:tc>
          <w:tcPr>
            <w:tcW w:w="1111" w:type="dxa"/>
            <w:tcBorders>
              <w:top w:val="nil"/>
              <w:left w:val="nil"/>
              <w:bottom w:val="single" w:sz="4" w:space="0" w:color="auto"/>
              <w:right w:val="single" w:sz="4" w:space="0" w:color="auto"/>
            </w:tcBorders>
            <w:shd w:val="clear" w:color="auto" w:fill="auto"/>
          </w:tcPr>
          <w:p w:rsidR="006C7C44" w:rsidRPr="00E8065F" w:rsidRDefault="006C7C44" w:rsidP="006C7C44">
            <w:pPr>
              <w:spacing w:line="233" w:lineRule="auto"/>
              <w:jc w:val="center"/>
              <w:rPr>
                <w:color w:val="000000"/>
                <w:sz w:val="20"/>
                <w:szCs w:val="20"/>
              </w:rPr>
            </w:pPr>
            <w:r w:rsidRPr="00E8065F">
              <w:rPr>
                <w:color w:val="000000"/>
                <w:sz w:val="20"/>
                <w:szCs w:val="20"/>
              </w:rPr>
              <w:t>1</w:t>
            </w:r>
          </w:p>
        </w:tc>
        <w:tc>
          <w:tcPr>
            <w:tcW w:w="1944" w:type="dxa"/>
            <w:tcBorders>
              <w:top w:val="nil"/>
              <w:left w:val="single" w:sz="4" w:space="0" w:color="auto"/>
              <w:bottom w:val="single" w:sz="4" w:space="0" w:color="auto"/>
              <w:right w:val="single" w:sz="4" w:space="0" w:color="auto"/>
            </w:tcBorders>
            <w:shd w:val="clear" w:color="auto" w:fill="auto"/>
          </w:tcPr>
          <w:p w:rsidR="006C7C44" w:rsidRPr="00E8065F" w:rsidRDefault="006C7C44" w:rsidP="006C7C44">
            <w:pPr>
              <w:spacing w:line="233" w:lineRule="auto"/>
              <w:jc w:val="center"/>
              <w:rPr>
                <w:color w:val="000000"/>
                <w:sz w:val="20"/>
                <w:szCs w:val="20"/>
              </w:rPr>
            </w:pPr>
            <w:r w:rsidRPr="00E8065F">
              <w:rPr>
                <w:color w:val="000000"/>
                <w:sz w:val="20"/>
                <w:szCs w:val="20"/>
              </w:rPr>
              <w:t>Амбулаторное</w:t>
            </w:r>
          </w:p>
        </w:tc>
      </w:tr>
      <w:tr w:rsidR="006C7C44" w:rsidRPr="00E8065F" w:rsidTr="000546C2">
        <w:trPr>
          <w:trHeight w:val="20"/>
        </w:trPr>
        <w:tc>
          <w:tcPr>
            <w:tcW w:w="1555" w:type="dxa"/>
            <w:vMerge/>
          </w:tcPr>
          <w:p w:rsidR="006C7C44" w:rsidRPr="00E8065F" w:rsidRDefault="006C7C44" w:rsidP="006C7C44">
            <w:pPr>
              <w:rPr>
                <w:color w:val="000000"/>
                <w:sz w:val="20"/>
                <w:szCs w:val="20"/>
              </w:rPr>
            </w:pPr>
          </w:p>
        </w:tc>
        <w:tc>
          <w:tcPr>
            <w:tcW w:w="3685" w:type="dxa"/>
            <w:tcBorders>
              <w:top w:val="nil"/>
              <w:left w:val="single" w:sz="4" w:space="0" w:color="auto"/>
              <w:bottom w:val="single" w:sz="4" w:space="0" w:color="auto"/>
              <w:right w:val="single" w:sz="4" w:space="0" w:color="auto"/>
            </w:tcBorders>
            <w:shd w:val="clear" w:color="auto" w:fill="auto"/>
          </w:tcPr>
          <w:p w:rsidR="006C7C44" w:rsidRPr="00E8065F" w:rsidRDefault="006C7C44" w:rsidP="006C7C44">
            <w:pPr>
              <w:spacing w:line="233" w:lineRule="auto"/>
              <w:jc w:val="both"/>
              <w:rPr>
                <w:color w:val="000000"/>
                <w:sz w:val="20"/>
                <w:szCs w:val="20"/>
              </w:rPr>
            </w:pPr>
            <w:r w:rsidRPr="00E8065F">
              <w:rPr>
                <w:color w:val="000000"/>
                <w:sz w:val="20"/>
                <w:szCs w:val="20"/>
              </w:rPr>
              <w:t xml:space="preserve">ГАУЗ </w:t>
            </w:r>
            <w:r>
              <w:rPr>
                <w:color w:val="000000"/>
                <w:sz w:val="20"/>
                <w:szCs w:val="20"/>
              </w:rPr>
              <w:t>«</w:t>
            </w:r>
            <w:r w:rsidRPr="00E8065F">
              <w:rPr>
                <w:color w:val="000000"/>
                <w:sz w:val="20"/>
                <w:szCs w:val="20"/>
              </w:rPr>
              <w:t>Арская ЦРБ</w:t>
            </w:r>
            <w:r>
              <w:rPr>
                <w:color w:val="000000"/>
                <w:sz w:val="20"/>
                <w:szCs w:val="20"/>
              </w:rPr>
              <w:t>»</w:t>
            </w:r>
          </w:p>
        </w:tc>
        <w:tc>
          <w:tcPr>
            <w:tcW w:w="1994" w:type="dxa"/>
            <w:shd w:val="clear" w:color="auto" w:fill="auto"/>
          </w:tcPr>
          <w:p w:rsidR="006C7C44" w:rsidRDefault="008B3E41" w:rsidP="006C7C44">
            <w:pPr>
              <w:jc w:val="center"/>
            </w:pPr>
            <w:r>
              <w:rPr>
                <w:sz w:val="20"/>
                <w:szCs w:val="20"/>
              </w:rPr>
              <w:t xml:space="preserve">Аппараты </w:t>
            </w:r>
            <w:r>
              <w:rPr>
                <w:rFonts w:eastAsia="Arial"/>
                <w:sz w:val="20"/>
                <w:szCs w:val="20"/>
              </w:rPr>
              <w:t>для ультразвуковых исследований</w:t>
            </w:r>
          </w:p>
        </w:tc>
        <w:tc>
          <w:tcPr>
            <w:tcW w:w="1181" w:type="dxa"/>
            <w:shd w:val="clear" w:color="auto" w:fill="auto"/>
          </w:tcPr>
          <w:p w:rsidR="006C7C44" w:rsidRPr="00E8065F" w:rsidRDefault="006C7C44" w:rsidP="006C7C44">
            <w:pPr>
              <w:spacing w:line="233" w:lineRule="auto"/>
              <w:jc w:val="center"/>
              <w:rPr>
                <w:sz w:val="20"/>
                <w:szCs w:val="20"/>
              </w:rPr>
            </w:pPr>
            <w:r w:rsidRPr="00E8065F">
              <w:rPr>
                <w:sz w:val="20"/>
                <w:szCs w:val="20"/>
              </w:rPr>
              <w:t>2012</w:t>
            </w:r>
            <w:r w:rsidR="00793DC9">
              <w:rPr>
                <w:sz w:val="20"/>
                <w:szCs w:val="20"/>
              </w:rPr>
              <w:t xml:space="preserve"> </w:t>
            </w:r>
            <w:r>
              <w:rPr>
                <w:sz w:val="20"/>
                <w:szCs w:val="20"/>
              </w:rPr>
              <w:t>(1)</w:t>
            </w:r>
          </w:p>
          <w:p w:rsidR="006C7C44" w:rsidRPr="00E8065F" w:rsidRDefault="006C7C44" w:rsidP="006C7C44">
            <w:pPr>
              <w:spacing w:line="233" w:lineRule="auto"/>
              <w:jc w:val="center"/>
              <w:rPr>
                <w:sz w:val="20"/>
                <w:szCs w:val="20"/>
              </w:rPr>
            </w:pPr>
            <w:r w:rsidRPr="00E8065F">
              <w:rPr>
                <w:sz w:val="20"/>
                <w:szCs w:val="20"/>
              </w:rPr>
              <w:t>2013</w:t>
            </w:r>
            <w:r w:rsidR="00793DC9">
              <w:rPr>
                <w:sz w:val="20"/>
                <w:szCs w:val="20"/>
              </w:rPr>
              <w:t xml:space="preserve"> </w:t>
            </w:r>
            <w:r>
              <w:rPr>
                <w:sz w:val="20"/>
                <w:szCs w:val="20"/>
              </w:rPr>
              <w:t>(1)</w:t>
            </w:r>
          </w:p>
          <w:p w:rsidR="006C7C44" w:rsidRPr="00E8065F" w:rsidRDefault="006C7C44" w:rsidP="006C7C44">
            <w:pPr>
              <w:spacing w:line="233" w:lineRule="auto"/>
              <w:jc w:val="center"/>
              <w:rPr>
                <w:sz w:val="20"/>
                <w:szCs w:val="20"/>
              </w:rPr>
            </w:pPr>
            <w:r w:rsidRPr="00E8065F">
              <w:rPr>
                <w:sz w:val="20"/>
                <w:szCs w:val="20"/>
              </w:rPr>
              <w:t>2015</w:t>
            </w:r>
            <w:r w:rsidR="00793DC9">
              <w:rPr>
                <w:sz w:val="20"/>
                <w:szCs w:val="20"/>
              </w:rPr>
              <w:t xml:space="preserve"> </w:t>
            </w:r>
            <w:r>
              <w:rPr>
                <w:sz w:val="20"/>
                <w:szCs w:val="20"/>
              </w:rPr>
              <w:t>(1)</w:t>
            </w:r>
          </w:p>
          <w:p w:rsidR="006C7C44" w:rsidRPr="00E8065F" w:rsidRDefault="006C7C44" w:rsidP="006C7C44">
            <w:pPr>
              <w:spacing w:line="233" w:lineRule="auto"/>
              <w:jc w:val="center"/>
              <w:rPr>
                <w:sz w:val="20"/>
                <w:szCs w:val="20"/>
              </w:rPr>
            </w:pPr>
            <w:r w:rsidRPr="00E8065F">
              <w:rPr>
                <w:sz w:val="20"/>
                <w:szCs w:val="20"/>
              </w:rPr>
              <w:t>2018</w:t>
            </w:r>
            <w:r w:rsidR="00793DC9">
              <w:rPr>
                <w:sz w:val="20"/>
                <w:szCs w:val="20"/>
              </w:rPr>
              <w:t xml:space="preserve"> </w:t>
            </w:r>
            <w:r>
              <w:rPr>
                <w:sz w:val="20"/>
                <w:szCs w:val="20"/>
              </w:rPr>
              <w:t>(1)</w:t>
            </w:r>
          </w:p>
          <w:p w:rsidR="006C7C44" w:rsidRPr="00E8065F" w:rsidRDefault="006C7C44" w:rsidP="006C7C44">
            <w:pPr>
              <w:spacing w:line="233" w:lineRule="auto"/>
              <w:jc w:val="center"/>
              <w:rPr>
                <w:sz w:val="20"/>
                <w:szCs w:val="20"/>
              </w:rPr>
            </w:pPr>
            <w:r w:rsidRPr="00E8065F">
              <w:rPr>
                <w:sz w:val="20"/>
                <w:szCs w:val="20"/>
              </w:rPr>
              <w:t>2020</w:t>
            </w:r>
            <w:r w:rsidR="00793DC9">
              <w:rPr>
                <w:sz w:val="20"/>
                <w:szCs w:val="20"/>
              </w:rPr>
              <w:t xml:space="preserve"> </w:t>
            </w:r>
            <w:r>
              <w:rPr>
                <w:sz w:val="20"/>
                <w:szCs w:val="20"/>
              </w:rPr>
              <w:t>(1)</w:t>
            </w:r>
          </w:p>
          <w:p w:rsidR="006C7C44" w:rsidRPr="00E8065F" w:rsidRDefault="006C7C44" w:rsidP="006C7C44">
            <w:pPr>
              <w:spacing w:line="233" w:lineRule="auto"/>
              <w:jc w:val="center"/>
              <w:rPr>
                <w:sz w:val="20"/>
                <w:szCs w:val="20"/>
              </w:rPr>
            </w:pPr>
            <w:r w:rsidRPr="00E8065F">
              <w:rPr>
                <w:sz w:val="20"/>
                <w:szCs w:val="20"/>
              </w:rPr>
              <w:t>2022</w:t>
            </w:r>
            <w:r w:rsidR="00793DC9">
              <w:rPr>
                <w:sz w:val="20"/>
                <w:szCs w:val="20"/>
              </w:rPr>
              <w:t xml:space="preserve"> </w:t>
            </w:r>
            <w:r>
              <w:rPr>
                <w:sz w:val="20"/>
                <w:szCs w:val="20"/>
              </w:rPr>
              <w:t>(2)</w:t>
            </w:r>
          </w:p>
        </w:tc>
        <w:tc>
          <w:tcPr>
            <w:tcW w:w="1181" w:type="dxa"/>
            <w:tcBorders>
              <w:top w:val="nil"/>
              <w:left w:val="single" w:sz="4" w:space="0" w:color="auto"/>
              <w:bottom w:val="single" w:sz="4" w:space="0" w:color="auto"/>
              <w:right w:val="single" w:sz="4" w:space="0" w:color="auto"/>
            </w:tcBorders>
            <w:shd w:val="clear" w:color="auto" w:fill="auto"/>
          </w:tcPr>
          <w:p w:rsidR="006C7C44" w:rsidRPr="00BC5958" w:rsidRDefault="006C7C44" w:rsidP="006C7C44">
            <w:pPr>
              <w:spacing w:line="233" w:lineRule="auto"/>
              <w:jc w:val="center"/>
              <w:rPr>
                <w:color w:val="000000"/>
                <w:sz w:val="20"/>
                <w:szCs w:val="20"/>
              </w:rPr>
            </w:pPr>
            <w:r w:rsidRPr="00BC5958">
              <w:rPr>
                <w:color w:val="000000"/>
                <w:sz w:val="20"/>
                <w:szCs w:val="20"/>
              </w:rPr>
              <w:t>7</w:t>
            </w:r>
          </w:p>
        </w:tc>
        <w:tc>
          <w:tcPr>
            <w:tcW w:w="1478" w:type="dxa"/>
            <w:tcBorders>
              <w:top w:val="nil"/>
              <w:left w:val="single" w:sz="4" w:space="0" w:color="auto"/>
              <w:bottom w:val="single" w:sz="4" w:space="0" w:color="auto"/>
              <w:right w:val="single" w:sz="4" w:space="0" w:color="auto"/>
            </w:tcBorders>
            <w:shd w:val="clear" w:color="auto" w:fill="auto"/>
          </w:tcPr>
          <w:p w:rsidR="006C7C44" w:rsidRPr="00E8065F" w:rsidRDefault="006C7C44" w:rsidP="006C7C44">
            <w:pPr>
              <w:spacing w:line="233" w:lineRule="auto"/>
              <w:jc w:val="center"/>
              <w:rPr>
                <w:color w:val="000000"/>
                <w:sz w:val="20"/>
                <w:szCs w:val="20"/>
              </w:rPr>
            </w:pPr>
            <w:r w:rsidRPr="00E8065F">
              <w:rPr>
                <w:color w:val="000000"/>
                <w:sz w:val="20"/>
                <w:szCs w:val="20"/>
              </w:rPr>
              <w:t>117,1</w:t>
            </w:r>
          </w:p>
        </w:tc>
        <w:tc>
          <w:tcPr>
            <w:tcW w:w="1111" w:type="dxa"/>
            <w:tcBorders>
              <w:top w:val="nil"/>
              <w:left w:val="nil"/>
              <w:bottom w:val="single" w:sz="4" w:space="0" w:color="auto"/>
              <w:right w:val="single" w:sz="4" w:space="0" w:color="auto"/>
            </w:tcBorders>
            <w:shd w:val="clear" w:color="auto" w:fill="auto"/>
          </w:tcPr>
          <w:p w:rsidR="006C7C44" w:rsidRPr="00E8065F" w:rsidRDefault="006C7C44" w:rsidP="006C7C44">
            <w:pPr>
              <w:spacing w:line="233" w:lineRule="auto"/>
              <w:jc w:val="center"/>
              <w:rPr>
                <w:color w:val="000000"/>
                <w:sz w:val="20"/>
                <w:szCs w:val="20"/>
              </w:rPr>
            </w:pPr>
            <w:r w:rsidRPr="00E8065F">
              <w:rPr>
                <w:color w:val="000000"/>
                <w:sz w:val="20"/>
                <w:szCs w:val="20"/>
              </w:rPr>
              <w:t>1</w:t>
            </w:r>
          </w:p>
        </w:tc>
        <w:tc>
          <w:tcPr>
            <w:tcW w:w="1944" w:type="dxa"/>
            <w:tcBorders>
              <w:top w:val="nil"/>
              <w:left w:val="single" w:sz="4" w:space="0" w:color="auto"/>
              <w:bottom w:val="single" w:sz="4" w:space="0" w:color="auto"/>
              <w:right w:val="single" w:sz="4" w:space="0" w:color="auto"/>
            </w:tcBorders>
            <w:shd w:val="clear" w:color="auto" w:fill="auto"/>
          </w:tcPr>
          <w:p w:rsidR="006C7C44" w:rsidRPr="00E8065F" w:rsidRDefault="006C7C44" w:rsidP="006C7C44">
            <w:pPr>
              <w:spacing w:line="233" w:lineRule="auto"/>
              <w:jc w:val="center"/>
              <w:rPr>
                <w:color w:val="000000"/>
                <w:sz w:val="20"/>
                <w:szCs w:val="20"/>
              </w:rPr>
            </w:pPr>
            <w:r w:rsidRPr="00E8065F">
              <w:rPr>
                <w:color w:val="000000"/>
                <w:sz w:val="20"/>
                <w:szCs w:val="20"/>
              </w:rPr>
              <w:t>Амбулаторное/стационарное</w:t>
            </w:r>
          </w:p>
        </w:tc>
      </w:tr>
      <w:tr w:rsidR="006C7C44" w:rsidRPr="00E8065F" w:rsidTr="000546C2">
        <w:trPr>
          <w:trHeight w:val="20"/>
        </w:trPr>
        <w:tc>
          <w:tcPr>
            <w:tcW w:w="1555" w:type="dxa"/>
            <w:vMerge/>
          </w:tcPr>
          <w:p w:rsidR="006C7C44" w:rsidRPr="00E8065F" w:rsidRDefault="006C7C44" w:rsidP="006C7C44">
            <w:pPr>
              <w:rPr>
                <w:color w:val="000000"/>
                <w:sz w:val="20"/>
                <w:szCs w:val="20"/>
              </w:rPr>
            </w:pPr>
          </w:p>
        </w:tc>
        <w:tc>
          <w:tcPr>
            <w:tcW w:w="3685" w:type="dxa"/>
            <w:tcBorders>
              <w:top w:val="nil"/>
              <w:left w:val="single" w:sz="4" w:space="0" w:color="auto"/>
              <w:bottom w:val="single" w:sz="4" w:space="0" w:color="auto"/>
              <w:right w:val="single" w:sz="4" w:space="0" w:color="auto"/>
            </w:tcBorders>
            <w:shd w:val="clear" w:color="auto" w:fill="auto"/>
          </w:tcPr>
          <w:p w:rsidR="006C7C44" w:rsidRPr="00E8065F" w:rsidRDefault="006C7C44" w:rsidP="006C7C44">
            <w:pPr>
              <w:spacing w:line="233" w:lineRule="auto"/>
              <w:jc w:val="both"/>
              <w:rPr>
                <w:color w:val="000000"/>
                <w:sz w:val="20"/>
                <w:szCs w:val="20"/>
              </w:rPr>
            </w:pPr>
            <w:r w:rsidRPr="00E8065F">
              <w:rPr>
                <w:color w:val="000000"/>
                <w:sz w:val="20"/>
                <w:szCs w:val="20"/>
              </w:rPr>
              <w:t xml:space="preserve">ГАУЗ </w:t>
            </w:r>
            <w:r>
              <w:rPr>
                <w:color w:val="000000"/>
                <w:sz w:val="20"/>
                <w:szCs w:val="20"/>
              </w:rPr>
              <w:t>«</w:t>
            </w:r>
            <w:r w:rsidRPr="00E8065F">
              <w:rPr>
                <w:color w:val="000000"/>
                <w:sz w:val="20"/>
                <w:szCs w:val="20"/>
              </w:rPr>
              <w:t>Атнинская ЦРБ</w:t>
            </w:r>
            <w:r>
              <w:rPr>
                <w:color w:val="000000"/>
                <w:sz w:val="20"/>
                <w:szCs w:val="20"/>
              </w:rPr>
              <w:t>»</w:t>
            </w:r>
          </w:p>
        </w:tc>
        <w:tc>
          <w:tcPr>
            <w:tcW w:w="1994" w:type="dxa"/>
            <w:shd w:val="clear" w:color="auto" w:fill="auto"/>
          </w:tcPr>
          <w:p w:rsidR="006C7C44" w:rsidRDefault="008B3E41" w:rsidP="006C7C44">
            <w:pPr>
              <w:jc w:val="center"/>
            </w:pPr>
            <w:r>
              <w:rPr>
                <w:sz w:val="20"/>
                <w:szCs w:val="20"/>
              </w:rPr>
              <w:t xml:space="preserve">Аппараты </w:t>
            </w:r>
            <w:r>
              <w:rPr>
                <w:rFonts w:eastAsia="Arial"/>
                <w:sz w:val="20"/>
                <w:szCs w:val="20"/>
              </w:rPr>
              <w:t>для ультразвуковых исследований</w:t>
            </w:r>
          </w:p>
        </w:tc>
        <w:tc>
          <w:tcPr>
            <w:tcW w:w="1181" w:type="dxa"/>
            <w:shd w:val="clear" w:color="auto" w:fill="auto"/>
          </w:tcPr>
          <w:p w:rsidR="006C7C44" w:rsidRPr="00E8065F" w:rsidRDefault="006C7C44" w:rsidP="006C7C44">
            <w:pPr>
              <w:spacing w:line="233" w:lineRule="auto"/>
              <w:jc w:val="center"/>
              <w:rPr>
                <w:sz w:val="20"/>
                <w:szCs w:val="20"/>
              </w:rPr>
            </w:pPr>
            <w:r w:rsidRPr="00E8065F">
              <w:rPr>
                <w:sz w:val="20"/>
                <w:szCs w:val="20"/>
              </w:rPr>
              <w:t>2021</w:t>
            </w:r>
            <w:r w:rsidR="00793DC9">
              <w:rPr>
                <w:sz w:val="20"/>
                <w:szCs w:val="20"/>
              </w:rPr>
              <w:t xml:space="preserve"> </w:t>
            </w:r>
            <w:r>
              <w:rPr>
                <w:sz w:val="20"/>
                <w:szCs w:val="20"/>
              </w:rPr>
              <w:t>(2)</w:t>
            </w:r>
          </w:p>
          <w:p w:rsidR="006C7C44" w:rsidRPr="00E8065F" w:rsidRDefault="006C7C44" w:rsidP="006C7C44">
            <w:pPr>
              <w:spacing w:line="233" w:lineRule="auto"/>
              <w:jc w:val="center"/>
              <w:rPr>
                <w:sz w:val="20"/>
                <w:szCs w:val="20"/>
              </w:rPr>
            </w:pPr>
            <w:r w:rsidRPr="00E8065F">
              <w:rPr>
                <w:sz w:val="20"/>
                <w:szCs w:val="20"/>
              </w:rPr>
              <w:t>2022</w:t>
            </w:r>
            <w:r w:rsidR="00793DC9">
              <w:rPr>
                <w:sz w:val="20"/>
                <w:szCs w:val="20"/>
              </w:rPr>
              <w:t xml:space="preserve"> </w:t>
            </w:r>
            <w:r>
              <w:rPr>
                <w:sz w:val="20"/>
                <w:szCs w:val="20"/>
              </w:rPr>
              <w:t>(1)</w:t>
            </w:r>
          </w:p>
        </w:tc>
        <w:tc>
          <w:tcPr>
            <w:tcW w:w="1181" w:type="dxa"/>
            <w:tcBorders>
              <w:top w:val="nil"/>
              <w:left w:val="single" w:sz="4" w:space="0" w:color="auto"/>
              <w:bottom w:val="single" w:sz="4" w:space="0" w:color="auto"/>
              <w:right w:val="single" w:sz="4" w:space="0" w:color="auto"/>
            </w:tcBorders>
            <w:shd w:val="clear" w:color="auto" w:fill="auto"/>
          </w:tcPr>
          <w:p w:rsidR="006C7C44" w:rsidRPr="00BC5958" w:rsidRDefault="006C7C44" w:rsidP="006C7C44">
            <w:pPr>
              <w:spacing w:line="233" w:lineRule="auto"/>
              <w:jc w:val="center"/>
              <w:rPr>
                <w:color w:val="000000"/>
                <w:sz w:val="20"/>
                <w:szCs w:val="20"/>
              </w:rPr>
            </w:pPr>
            <w:r w:rsidRPr="00BC5958">
              <w:rPr>
                <w:color w:val="000000"/>
                <w:sz w:val="20"/>
                <w:szCs w:val="20"/>
              </w:rPr>
              <w:t>3</w:t>
            </w:r>
          </w:p>
        </w:tc>
        <w:tc>
          <w:tcPr>
            <w:tcW w:w="1478" w:type="dxa"/>
            <w:tcBorders>
              <w:top w:val="nil"/>
              <w:left w:val="single" w:sz="4" w:space="0" w:color="auto"/>
              <w:bottom w:val="single" w:sz="4" w:space="0" w:color="auto"/>
              <w:right w:val="single" w:sz="4" w:space="0" w:color="auto"/>
            </w:tcBorders>
            <w:shd w:val="clear" w:color="auto" w:fill="auto"/>
          </w:tcPr>
          <w:p w:rsidR="006C7C44" w:rsidRPr="00E8065F" w:rsidRDefault="006C7C44" w:rsidP="006C7C44">
            <w:pPr>
              <w:spacing w:line="233" w:lineRule="auto"/>
              <w:jc w:val="center"/>
              <w:rPr>
                <w:color w:val="000000"/>
                <w:sz w:val="20"/>
                <w:szCs w:val="20"/>
              </w:rPr>
            </w:pPr>
            <w:r w:rsidRPr="00E8065F">
              <w:rPr>
                <w:color w:val="000000"/>
                <w:sz w:val="20"/>
                <w:szCs w:val="20"/>
              </w:rPr>
              <w:t>100,1</w:t>
            </w:r>
          </w:p>
        </w:tc>
        <w:tc>
          <w:tcPr>
            <w:tcW w:w="1111" w:type="dxa"/>
            <w:tcBorders>
              <w:top w:val="nil"/>
              <w:left w:val="nil"/>
              <w:bottom w:val="single" w:sz="4" w:space="0" w:color="auto"/>
              <w:right w:val="single" w:sz="4" w:space="0" w:color="auto"/>
            </w:tcBorders>
            <w:shd w:val="clear" w:color="auto" w:fill="auto"/>
          </w:tcPr>
          <w:p w:rsidR="006C7C44" w:rsidRPr="00E8065F" w:rsidRDefault="006C7C44" w:rsidP="006C7C44">
            <w:pPr>
              <w:spacing w:line="233" w:lineRule="auto"/>
              <w:jc w:val="center"/>
              <w:rPr>
                <w:color w:val="000000"/>
                <w:sz w:val="20"/>
                <w:szCs w:val="20"/>
              </w:rPr>
            </w:pPr>
            <w:r w:rsidRPr="00E8065F">
              <w:rPr>
                <w:color w:val="000000"/>
                <w:sz w:val="20"/>
                <w:szCs w:val="20"/>
              </w:rPr>
              <w:t>1</w:t>
            </w:r>
          </w:p>
        </w:tc>
        <w:tc>
          <w:tcPr>
            <w:tcW w:w="1944" w:type="dxa"/>
            <w:tcBorders>
              <w:top w:val="nil"/>
              <w:left w:val="single" w:sz="4" w:space="0" w:color="auto"/>
              <w:bottom w:val="single" w:sz="4" w:space="0" w:color="auto"/>
              <w:right w:val="single" w:sz="4" w:space="0" w:color="auto"/>
            </w:tcBorders>
            <w:shd w:val="clear" w:color="auto" w:fill="auto"/>
          </w:tcPr>
          <w:p w:rsidR="006C7C44" w:rsidRPr="00E8065F" w:rsidRDefault="006C7C44" w:rsidP="006C7C44">
            <w:pPr>
              <w:spacing w:line="233" w:lineRule="auto"/>
              <w:jc w:val="center"/>
              <w:rPr>
                <w:color w:val="000000"/>
                <w:sz w:val="20"/>
                <w:szCs w:val="20"/>
              </w:rPr>
            </w:pPr>
            <w:r w:rsidRPr="00E8065F">
              <w:rPr>
                <w:color w:val="000000"/>
                <w:sz w:val="20"/>
                <w:szCs w:val="20"/>
              </w:rPr>
              <w:t>Амбулаторное/стационарное</w:t>
            </w:r>
          </w:p>
        </w:tc>
      </w:tr>
      <w:tr w:rsidR="006C7C44" w:rsidRPr="00E8065F" w:rsidTr="000546C2">
        <w:trPr>
          <w:trHeight w:val="20"/>
        </w:trPr>
        <w:tc>
          <w:tcPr>
            <w:tcW w:w="1555" w:type="dxa"/>
            <w:vMerge/>
          </w:tcPr>
          <w:p w:rsidR="006C7C44" w:rsidRPr="00E8065F" w:rsidRDefault="006C7C44" w:rsidP="006C7C44">
            <w:pPr>
              <w:rPr>
                <w:color w:val="000000"/>
                <w:sz w:val="20"/>
                <w:szCs w:val="20"/>
              </w:rPr>
            </w:pPr>
          </w:p>
        </w:tc>
        <w:tc>
          <w:tcPr>
            <w:tcW w:w="3685" w:type="dxa"/>
            <w:tcBorders>
              <w:top w:val="nil"/>
              <w:left w:val="single" w:sz="4" w:space="0" w:color="auto"/>
              <w:bottom w:val="single" w:sz="4" w:space="0" w:color="auto"/>
              <w:right w:val="single" w:sz="4" w:space="0" w:color="auto"/>
            </w:tcBorders>
            <w:shd w:val="clear" w:color="auto" w:fill="auto"/>
          </w:tcPr>
          <w:p w:rsidR="006C7C44" w:rsidRPr="00E8065F" w:rsidRDefault="006C7C44" w:rsidP="006C7C44">
            <w:pPr>
              <w:spacing w:line="233" w:lineRule="auto"/>
              <w:jc w:val="both"/>
              <w:rPr>
                <w:color w:val="000000"/>
                <w:sz w:val="20"/>
                <w:szCs w:val="20"/>
              </w:rPr>
            </w:pPr>
            <w:r w:rsidRPr="00E8065F">
              <w:rPr>
                <w:color w:val="000000"/>
                <w:sz w:val="20"/>
                <w:szCs w:val="20"/>
              </w:rPr>
              <w:t xml:space="preserve">ГАУЗ </w:t>
            </w:r>
            <w:r>
              <w:rPr>
                <w:color w:val="000000"/>
                <w:sz w:val="20"/>
                <w:szCs w:val="20"/>
              </w:rPr>
              <w:t>«</w:t>
            </w:r>
            <w:r w:rsidRPr="00E8065F">
              <w:rPr>
                <w:color w:val="000000"/>
                <w:sz w:val="20"/>
                <w:szCs w:val="20"/>
              </w:rPr>
              <w:t>Бавлинская ЦРБ</w:t>
            </w:r>
            <w:r>
              <w:rPr>
                <w:color w:val="000000"/>
                <w:sz w:val="20"/>
                <w:szCs w:val="20"/>
              </w:rPr>
              <w:t>»</w:t>
            </w:r>
          </w:p>
        </w:tc>
        <w:tc>
          <w:tcPr>
            <w:tcW w:w="1994" w:type="dxa"/>
            <w:shd w:val="clear" w:color="auto" w:fill="auto"/>
          </w:tcPr>
          <w:p w:rsidR="006C7C44" w:rsidRDefault="008B3E41" w:rsidP="006C7C44">
            <w:pPr>
              <w:jc w:val="center"/>
            </w:pPr>
            <w:r>
              <w:rPr>
                <w:sz w:val="20"/>
                <w:szCs w:val="20"/>
              </w:rPr>
              <w:t xml:space="preserve">Аппараты </w:t>
            </w:r>
            <w:r>
              <w:rPr>
                <w:rFonts w:eastAsia="Arial"/>
                <w:sz w:val="20"/>
                <w:szCs w:val="20"/>
              </w:rPr>
              <w:t>для ультразвуковых исследований</w:t>
            </w:r>
          </w:p>
        </w:tc>
        <w:tc>
          <w:tcPr>
            <w:tcW w:w="1181" w:type="dxa"/>
            <w:shd w:val="clear" w:color="auto" w:fill="auto"/>
          </w:tcPr>
          <w:p w:rsidR="006C7C44" w:rsidRPr="00E8065F" w:rsidRDefault="006C7C44" w:rsidP="006C7C44">
            <w:pPr>
              <w:spacing w:line="233" w:lineRule="auto"/>
              <w:jc w:val="center"/>
              <w:rPr>
                <w:sz w:val="20"/>
                <w:szCs w:val="20"/>
              </w:rPr>
            </w:pPr>
            <w:r>
              <w:rPr>
                <w:sz w:val="20"/>
                <w:szCs w:val="20"/>
              </w:rPr>
              <w:t>2</w:t>
            </w:r>
            <w:r w:rsidRPr="00E8065F">
              <w:rPr>
                <w:sz w:val="20"/>
                <w:szCs w:val="20"/>
              </w:rPr>
              <w:t>014</w:t>
            </w:r>
            <w:r w:rsidR="00793DC9">
              <w:rPr>
                <w:sz w:val="20"/>
                <w:szCs w:val="20"/>
              </w:rPr>
              <w:t xml:space="preserve"> </w:t>
            </w:r>
            <w:r>
              <w:rPr>
                <w:sz w:val="20"/>
                <w:szCs w:val="20"/>
              </w:rPr>
              <w:t>(1)</w:t>
            </w:r>
          </w:p>
          <w:p w:rsidR="006C7C44" w:rsidRPr="00E8065F" w:rsidRDefault="006C7C44" w:rsidP="006C7C44">
            <w:pPr>
              <w:spacing w:line="233" w:lineRule="auto"/>
              <w:jc w:val="center"/>
              <w:rPr>
                <w:sz w:val="20"/>
                <w:szCs w:val="20"/>
              </w:rPr>
            </w:pPr>
            <w:r w:rsidRPr="00E8065F">
              <w:rPr>
                <w:sz w:val="20"/>
                <w:szCs w:val="20"/>
              </w:rPr>
              <w:t>2018</w:t>
            </w:r>
            <w:r w:rsidR="00793DC9">
              <w:rPr>
                <w:sz w:val="20"/>
                <w:szCs w:val="20"/>
              </w:rPr>
              <w:t xml:space="preserve"> </w:t>
            </w:r>
            <w:r>
              <w:rPr>
                <w:sz w:val="20"/>
                <w:szCs w:val="20"/>
              </w:rPr>
              <w:t>(1)</w:t>
            </w:r>
          </w:p>
          <w:p w:rsidR="006C7C44" w:rsidRPr="00E8065F" w:rsidRDefault="006C7C44" w:rsidP="006C7C44">
            <w:pPr>
              <w:spacing w:line="233" w:lineRule="auto"/>
              <w:jc w:val="center"/>
              <w:rPr>
                <w:sz w:val="20"/>
                <w:szCs w:val="20"/>
              </w:rPr>
            </w:pPr>
            <w:r w:rsidRPr="00E8065F">
              <w:rPr>
                <w:sz w:val="20"/>
                <w:szCs w:val="20"/>
              </w:rPr>
              <w:t>2021</w:t>
            </w:r>
            <w:r w:rsidR="00793DC9">
              <w:rPr>
                <w:sz w:val="20"/>
                <w:szCs w:val="20"/>
              </w:rPr>
              <w:t xml:space="preserve"> </w:t>
            </w:r>
            <w:r>
              <w:rPr>
                <w:sz w:val="20"/>
                <w:szCs w:val="20"/>
              </w:rPr>
              <w:t>(1)</w:t>
            </w:r>
          </w:p>
          <w:p w:rsidR="006C7C44" w:rsidRPr="00E8065F" w:rsidRDefault="006C7C44" w:rsidP="006C7C44">
            <w:pPr>
              <w:spacing w:line="233" w:lineRule="auto"/>
              <w:jc w:val="center"/>
              <w:rPr>
                <w:sz w:val="20"/>
                <w:szCs w:val="20"/>
              </w:rPr>
            </w:pPr>
            <w:r w:rsidRPr="00E8065F">
              <w:rPr>
                <w:sz w:val="20"/>
                <w:szCs w:val="20"/>
              </w:rPr>
              <w:t>2022</w:t>
            </w:r>
            <w:r w:rsidR="00793DC9">
              <w:rPr>
                <w:sz w:val="20"/>
                <w:szCs w:val="20"/>
              </w:rPr>
              <w:t xml:space="preserve"> </w:t>
            </w:r>
            <w:r>
              <w:rPr>
                <w:sz w:val="20"/>
                <w:szCs w:val="20"/>
              </w:rPr>
              <w:t>(1)</w:t>
            </w:r>
          </w:p>
        </w:tc>
        <w:tc>
          <w:tcPr>
            <w:tcW w:w="1181" w:type="dxa"/>
            <w:tcBorders>
              <w:top w:val="nil"/>
              <w:left w:val="single" w:sz="4" w:space="0" w:color="auto"/>
              <w:bottom w:val="single" w:sz="4" w:space="0" w:color="auto"/>
              <w:right w:val="single" w:sz="4" w:space="0" w:color="auto"/>
            </w:tcBorders>
            <w:shd w:val="clear" w:color="auto" w:fill="auto"/>
          </w:tcPr>
          <w:p w:rsidR="006C7C44" w:rsidRPr="00BC5958" w:rsidRDefault="006C7C44" w:rsidP="006C7C44">
            <w:pPr>
              <w:spacing w:line="233" w:lineRule="auto"/>
              <w:jc w:val="center"/>
              <w:rPr>
                <w:color w:val="000000"/>
                <w:sz w:val="20"/>
                <w:szCs w:val="20"/>
              </w:rPr>
            </w:pPr>
            <w:r w:rsidRPr="00BC5958">
              <w:rPr>
                <w:color w:val="000000"/>
                <w:sz w:val="20"/>
                <w:szCs w:val="20"/>
              </w:rPr>
              <w:t>4</w:t>
            </w:r>
          </w:p>
        </w:tc>
        <w:tc>
          <w:tcPr>
            <w:tcW w:w="1478" w:type="dxa"/>
            <w:tcBorders>
              <w:top w:val="nil"/>
              <w:left w:val="single" w:sz="4" w:space="0" w:color="auto"/>
              <w:bottom w:val="single" w:sz="4" w:space="0" w:color="auto"/>
              <w:right w:val="single" w:sz="4" w:space="0" w:color="auto"/>
            </w:tcBorders>
            <w:shd w:val="clear" w:color="auto" w:fill="auto"/>
          </w:tcPr>
          <w:p w:rsidR="006C7C44" w:rsidRPr="00E8065F" w:rsidRDefault="006C7C44" w:rsidP="006C7C44">
            <w:pPr>
              <w:spacing w:line="233" w:lineRule="auto"/>
              <w:jc w:val="center"/>
              <w:rPr>
                <w:color w:val="000000"/>
                <w:sz w:val="20"/>
                <w:szCs w:val="20"/>
              </w:rPr>
            </w:pPr>
            <w:r w:rsidRPr="00E8065F">
              <w:rPr>
                <w:color w:val="000000"/>
                <w:sz w:val="20"/>
                <w:szCs w:val="20"/>
              </w:rPr>
              <w:t>88,5</w:t>
            </w:r>
          </w:p>
        </w:tc>
        <w:tc>
          <w:tcPr>
            <w:tcW w:w="1111" w:type="dxa"/>
            <w:tcBorders>
              <w:top w:val="nil"/>
              <w:left w:val="nil"/>
              <w:bottom w:val="single" w:sz="4" w:space="0" w:color="auto"/>
              <w:right w:val="single" w:sz="4" w:space="0" w:color="auto"/>
            </w:tcBorders>
            <w:shd w:val="clear" w:color="auto" w:fill="auto"/>
          </w:tcPr>
          <w:p w:rsidR="006C7C44" w:rsidRPr="00E8065F" w:rsidRDefault="006C7C44" w:rsidP="006C7C44">
            <w:pPr>
              <w:spacing w:line="233" w:lineRule="auto"/>
              <w:jc w:val="center"/>
              <w:rPr>
                <w:color w:val="000000"/>
                <w:sz w:val="20"/>
                <w:szCs w:val="20"/>
              </w:rPr>
            </w:pPr>
            <w:r w:rsidRPr="00E8065F">
              <w:rPr>
                <w:color w:val="000000"/>
                <w:sz w:val="20"/>
                <w:szCs w:val="20"/>
              </w:rPr>
              <w:t>1</w:t>
            </w:r>
          </w:p>
        </w:tc>
        <w:tc>
          <w:tcPr>
            <w:tcW w:w="1944" w:type="dxa"/>
            <w:tcBorders>
              <w:top w:val="nil"/>
              <w:left w:val="single" w:sz="4" w:space="0" w:color="auto"/>
              <w:bottom w:val="single" w:sz="4" w:space="0" w:color="auto"/>
              <w:right w:val="single" w:sz="4" w:space="0" w:color="auto"/>
            </w:tcBorders>
            <w:shd w:val="clear" w:color="auto" w:fill="auto"/>
          </w:tcPr>
          <w:p w:rsidR="006C7C44" w:rsidRPr="00E8065F" w:rsidRDefault="006C7C44" w:rsidP="006C7C44">
            <w:pPr>
              <w:spacing w:line="233" w:lineRule="auto"/>
              <w:jc w:val="center"/>
              <w:rPr>
                <w:color w:val="000000"/>
                <w:sz w:val="20"/>
                <w:szCs w:val="20"/>
              </w:rPr>
            </w:pPr>
            <w:r w:rsidRPr="00E8065F">
              <w:rPr>
                <w:color w:val="000000"/>
                <w:sz w:val="20"/>
                <w:szCs w:val="20"/>
              </w:rPr>
              <w:t>Амбулаторное/стационарное</w:t>
            </w:r>
          </w:p>
        </w:tc>
      </w:tr>
      <w:tr w:rsidR="006C7C44" w:rsidRPr="00E8065F" w:rsidTr="000546C2">
        <w:trPr>
          <w:trHeight w:val="20"/>
        </w:trPr>
        <w:tc>
          <w:tcPr>
            <w:tcW w:w="1555" w:type="dxa"/>
            <w:vMerge/>
          </w:tcPr>
          <w:p w:rsidR="006C7C44" w:rsidRPr="00E8065F" w:rsidRDefault="006C7C44" w:rsidP="006C7C44">
            <w:pPr>
              <w:rPr>
                <w:color w:val="000000"/>
                <w:sz w:val="20"/>
                <w:szCs w:val="20"/>
              </w:rPr>
            </w:pPr>
          </w:p>
        </w:tc>
        <w:tc>
          <w:tcPr>
            <w:tcW w:w="3685" w:type="dxa"/>
            <w:tcBorders>
              <w:top w:val="nil"/>
              <w:left w:val="single" w:sz="4" w:space="0" w:color="auto"/>
              <w:bottom w:val="single" w:sz="4" w:space="0" w:color="auto"/>
              <w:right w:val="single" w:sz="4" w:space="0" w:color="auto"/>
            </w:tcBorders>
            <w:shd w:val="clear" w:color="auto" w:fill="auto"/>
          </w:tcPr>
          <w:p w:rsidR="006C7C44" w:rsidRPr="00E8065F" w:rsidRDefault="006C7C44" w:rsidP="006C7C44">
            <w:pPr>
              <w:spacing w:line="233" w:lineRule="auto"/>
              <w:jc w:val="both"/>
              <w:rPr>
                <w:color w:val="000000"/>
                <w:sz w:val="20"/>
                <w:szCs w:val="20"/>
              </w:rPr>
            </w:pPr>
            <w:r w:rsidRPr="00E8065F">
              <w:rPr>
                <w:color w:val="000000"/>
                <w:sz w:val="20"/>
                <w:szCs w:val="20"/>
              </w:rPr>
              <w:t xml:space="preserve">ГАУЗ </w:t>
            </w:r>
            <w:r>
              <w:rPr>
                <w:color w:val="000000"/>
                <w:sz w:val="20"/>
                <w:szCs w:val="20"/>
              </w:rPr>
              <w:t>«</w:t>
            </w:r>
            <w:r w:rsidRPr="00E8065F">
              <w:rPr>
                <w:color w:val="000000"/>
                <w:sz w:val="20"/>
                <w:szCs w:val="20"/>
              </w:rPr>
              <w:t>Балтасинская ЦРБ</w:t>
            </w:r>
            <w:r>
              <w:rPr>
                <w:color w:val="000000"/>
                <w:sz w:val="20"/>
                <w:szCs w:val="20"/>
              </w:rPr>
              <w:t>»</w:t>
            </w:r>
          </w:p>
        </w:tc>
        <w:tc>
          <w:tcPr>
            <w:tcW w:w="1994" w:type="dxa"/>
            <w:shd w:val="clear" w:color="auto" w:fill="auto"/>
          </w:tcPr>
          <w:p w:rsidR="006C7C44" w:rsidRDefault="008B3E41" w:rsidP="006C7C44">
            <w:pPr>
              <w:jc w:val="center"/>
            </w:pPr>
            <w:r>
              <w:rPr>
                <w:sz w:val="20"/>
                <w:szCs w:val="20"/>
              </w:rPr>
              <w:t xml:space="preserve">Аппараты </w:t>
            </w:r>
            <w:r>
              <w:rPr>
                <w:rFonts w:eastAsia="Arial"/>
                <w:sz w:val="20"/>
                <w:szCs w:val="20"/>
              </w:rPr>
              <w:t>для ультразвуковых исследований</w:t>
            </w:r>
          </w:p>
        </w:tc>
        <w:tc>
          <w:tcPr>
            <w:tcW w:w="1181" w:type="dxa"/>
            <w:shd w:val="clear" w:color="auto" w:fill="auto"/>
          </w:tcPr>
          <w:p w:rsidR="006C7C44" w:rsidRPr="00E8065F" w:rsidRDefault="006C7C44" w:rsidP="006C7C44">
            <w:pPr>
              <w:spacing w:line="233" w:lineRule="auto"/>
              <w:jc w:val="center"/>
              <w:rPr>
                <w:sz w:val="20"/>
                <w:szCs w:val="20"/>
              </w:rPr>
            </w:pPr>
            <w:r w:rsidRPr="00E8065F">
              <w:rPr>
                <w:sz w:val="20"/>
                <w:szCs w:val="20"/>
              </w:rPr>
              <w:t>2015</w:t>
            </w:r>
            <w:r w:rsidR="00793DC9">
              <w:rPr>
                <w:sz w:val="20"/>
                <w:szCs w:val="20"/>
              </w:rPr>
              <w:t xml:space="preserve"> </w:t>
            </w:r>
            <w:r>
              <w:rPr>
                <w:sz w:val="20"/>
                <w:szCs w:val="20"/>
              </w:rPr>
              <w:t>(3)</w:t>
            </w:r>
          </w:p>
          <w:p w:rsidR="006C7C44" w:rsidRPr="00E8065F" w:rsidRDefault="006C7C44" w:rsidP="006C7C44">
            <w:pPr>
              <w:spacing w:line="233" w:lineRule="auto"/>
              <w:jc w:val="center"/>
              <w:rPr>
                <w:sz w:val="20"/>
                <w:szCs w:val="20"/>
              </w:rPr>
            </w:pPr>
            <w:r w:rsidRPr="00E8065F">
              <w:rPr>
                <w:sz w:val="20"/>
                <w:szCs w:val="20"/>
              </w:rPr>
              <w:t>2021</w:t>
            </w:r>
            <w:r w:rsidR="00793DC9">
              <w:rPr>
                <w:sz w:val="20"/>
                <w:szCs w:val="20"/>
              </w:rPr>
              <w:t xml:space="preserve"> </w:t>
            </w:r>
            <w:r>
              <w:rPr>
                <w:sz w:val="20"/>
                <w:szCs w:val="20"/>
              </w:rPr>
              <w:t>(1)</w:t>
            </w:r>
          </w:p>
          <w:p w:rsidR="006C7C44" w:rsidRPr="00E8065F" w:rsidRDefault="006C7C44" w:rsidP="006C7C44">
            <w:pPr>
              <w:spacing w:line="233" w:lineRule="auto"/>
              <w:jc w:val="center"/>
              <w:rPr>
                <w:sz w:val="20"/>
                <w:szCs w:val="20"/>
              </w:rPr>
            </w:pPr>
            <w:r w:rsidRPr="00E8065F">
              <w:rPr>
                <w:sz w:val="20"/>
                <w:szCs w:val="20"/>
              </w:rPr>
              <w:t>2022</w:t>
            </w:r>
            <w:r w:rsidR="00793DC9">
              <w:rPr>
                <w:sz w:val="20"/>
                <w:szCs w:val="20"/>
              </w:rPr>
              <w:t xml:space="preserve"> </w:t>
            </w:r>
            <w:r>
              <w:rPr>
                <w:sz w:val="20"/>
                <w:szCs w:val="20"/>
              </w:rPr>
              <w:t>(1)</w:t>
            </w:r>
          </w:p>
        </w:tc>
        <w:tc>
          <w:tcPr>
            <w:tcW w:w="1181" w:type="dxa"/>
            <w:tcBorders>
              <w:top w:val="nil"/>
              <w:left w:val="single" w:sz="4" w:space="0" w:color="auto"/>
              <w:bottom w:val="single" w:sz="4" w:space="0" w:color="auto"/>
              <w:right w:val="single" w:sz="4" w:space="0" w:color="auto"/>
            </w:tcBorders>
            <w:shd w:val="clear" w:color="auto" w:fill="auto"/>
          </w:tcPr>
          <w:p w:rsidR="006C7C44" w:rsidRPr="00BC5958" w:rsidRDefault="006C7C44" w:rsidP="006C7C44">
            <w:pPr>
              <w:spacing w:line="233" w:lineRule="auto"/>
              <w:jc w:val="center"/>
              <w:rPr>
                <w:color w:val="000000"/>
                <w:sz w:val="20"/>
                <w:szCs w:val="20"/>
              </w:rPr>
            </w:pPr>
            <w:r w:rsidRPr="00BC5958">
              <w:rPr>
                <w:color w:val="000000"/>
                <w:sz w:val="20"/>
                <w:szCs w:val="20"/>
              </w:rPr>
              <w:t>5</w:t>
            </w:r>
          </w:p>
        </w:tc>
        <w:tc>
          <w:tcPr>
            <w:tcW w:w="1478" w:type="dxa"/>
            <w:tcBorders>
              <w:top w:val="nil"/>
              <w:left w:val="single" w:sz="4" w:space="0" w:color="auto"/>
              <w:bottom w:val="single" w:sz="4" w:space="0" w:color="auto"/>
              <w:right w:val="single" w:sz="4" w:space="0" w:color="auto"/>
            </w:tcBorders>
            <w:shd w:val="clear" w:color="auto" w:fill="auto"/>
          </w:tcPr>
          <w:p w:rsidR="006C7C44" w:rsidRPr="00E8065F" w:rsidRDefault="006C7C44" w:rsidP="006C7C44">
            <w:pPr>
              <w:spacing w:line="233" w:lineRule="auto"/>
              <w:jc w:val="center"/>
              <w:rPr>
                <w:color w:val="000000"/>
                <w:sz w:val="20"/>
                <w:szCs w:val="20"/>
              </w:rPr>
            </w:pPr>
            <w:r w:rsidRPr="00E8065F">
              <w:rPr>
                <w:color w:val="000000"/>
                <w:sz w:val="20"/>
                <w:szCs w:val="20"/>
              </w:rPr>
              <w:t>72,4</w:t>
            </w:r>
          </w:p>
        </w:tc>
        <w:tc>
          <w:tcPr>
            <w:tcW w:w="1111" w:type="dxa"/>
            <w:tcBorders>
              <w:top w:val="nil"/>
              <w:left w:val="nil"/>
              <w:bottom w:val="single" w:sz="4" w:space="0" w:color="auto"/>
              <w:right w:val="single" w:sz="4" w:space="0" w:color="auto"/>
            </w:tcBorders>
            <w:shd w:val="clear" w:color="auto" w:fill="auto"/>
          </w:tcPr>
          <w:p w:rsidR="006C7C44" w:rsidRPr="00E8065F" w:rsidRDefault="006C7C44" w:rsidP="006C7C44">
            <w:pPr>
              <w:spacing w:line="233" w:lineRule="auto"/>
              <w:jc w:val="center"/>
              <w:rPr>
                <w:color w:val="000000"/>
                <w:sz w:val="20"/>
                <w:szCs w:val="20"/>
              </w:rPr>
            </w:pPr>
            <w:r w:rsidRPr="00E8065F">
              <w:rPr>
                <w:color w:val="000000"/>
                <w:sz w:val="20"/>
                <w:szCs w:val="20"/>
              </w:rPr>
              <w:t>1</w:t>
            </w:r>
          </w:p>
        </w:tc>
        <w:tc>
          <w:tcPr>
            <w:tcW w:w="1944" w:type="dxa"/>
            <w:tcBorders>
              <w:top w:val="nil"/>
              <w:left w:val="single" w:sz="4" w:space="0" w:color="auto"/>
              <w:bottom w:val="single" w:sz="4" w:space="0" w:color="auto"/>
              <w:right w:val="single" w:sz="4" w:space="0" w:color="auto"/>
            </w:tcBorders>
            <w:shd w:val="clear" w:color="auto" w:fill="auto"/>
          </w:tcPr>
          <w:p w:rsidR="006C7C44" w:rsidRPr="00E8065F" w:rsidRDefault="006C7C44" w:rsidP="006C7C44">
            <w:pPr>
              <w:spacing w:line="233" w:lineRule="auto"/>
              <w:jc w:val="center"/>
              <w:rPr>
                <w:color w:val="000000"/>
                <w:sz w:val="20"/>
                <w:szCs w:val="20"/>
              </w:rPr>
            </w:pPr>
            <w:r w:rsidRPr="00E8065F">
              <w:rPr>
                <w:color w:val="000000"/>
                <w:sz w:val="20"/>
                <w:szCs w:val="20"/>
              </w:rPr>
              <w:t>Амбулаторное/стационарное</w:t>
            </w:r>
          </w:p>
        </w:tc>
      </w:tr>
      <w:tr w:rsidR="006C7C44" w:rsidRPr="00E8065F" w:rsidTr="000546C2">
        <w:trPr>
          <w:trHeight w:val="20"/>
        </w:trPr>
        <w:tc>
          <w:tcPr>
            <w:tcW w:w="1555" w:type="dxa"/>
            <w:vMerge/>
          </w:tcPr>
          <w:p w:rsidR="006C7C44" w:rsidRPr="00E8065F" w:rsidRDefault="006C7C44" w:rsidP="006C7C44">
            <w:pPr>
              <w:rPr>
                <w:color w:val="000000"/>
                <w:sz w:val="20"/>
                <w:szCs w:val="20"/>
              </w:rPr>
            </w:pPr>
          </w:p>
        </w:tc>
        <w:tc>
          <w:tcPr>
            <w:tcW w:w="3685" w:type="dxa"/>
            <w:tcBorders>
              <w:top w:val="nil"/>
              <w:left w:val="single" w:sz="4" w:space="0" w:color="auto"/>
              <w:bottom w:val="single" w:sz="4" w:space="0" w:color="auto"/>
              <w:right w:val="single" w:sz="4" w:space="0" w:color="auto"/>
            </w:tcBorders>
            <w:shd w:val="clear" w:color="auto" w:fill="auto"/>
          </w:tcPr>
          <w:p w:rsidR="006C7C44" w:rsidRPr="00E8065F" w:rsidRDefault="006C7C44" w:rsidP="006C7C44">
            <w:pPr>
              <w:spacing w:line="233" w:lineRule="auto"/>
              <w:jc w:val="both"/>
              <w:rPr>
                <w:color w:val="000000"/>
                <w:sz w:val="20"/>
                <w:szCs w:val="20"/>
              </w:rPr>
            </w:pPr>
            <w:r w:rsidRPr="00E8065F">
              <w:rPr>
                <w:color w:val="000000"/>
                <w:sz w:val="20"/>
                <w:szCs w:val="20"/>
              </w:rPr>
              <w:t xml:space="preserve">ГАУЗ </w:t>
            </w:r>
            <w:r>
              <w:rPr>
                <w:color w:val="000000"/>
                <w:sz w:val="20"/>
                <w:szCs w:val="20"/>
              </w:rPr>
              <w:t>«</w:t>
            </w:r>
            <w:r w:rsidRPr="00E8065F">
              <w:rPr>
                <w:color w:val="000000"/>
                <w:sz w:val="20"/>
                <w:szCs w:val="20"/>
              </w:rPr>
              <w:t>Бугульминская ЦРБ</w:t>
            </w:r>
            <w:r>
              <w:rPr>
                <w:color w:val="000000"/>
                <w:sz w:val="20"/>
                <w:szCs w:val="20"/>
              </w:rPr>
              <w:t>»</w:t>
            </w:r>
          </w:p>
        </w:tc>
        <w:tc>
          <w:tcPr>
            <w:tcW w:w="1994" w:type="dxa"/>
            <w:shd w:val="clear" w:color="auto" w:fill="auto"/>
          </w:tcPr>
          <w:p w:rsidR="006C7C44" w:rsidRDefault="008B3E41" w:rsidP="006C7C44">
            <w:pPr>
              <w:jc w:val="center"/>
            </w:pPr>
            <w:r>
              <w:rPr>
                <w:sz w:val="20"/>
                <w:szCs w:val="20"/>
              </w:rPr>
              <w:t xml:space="preserve">Аппараты </w:t>
            </w:r>
            <w:r>
              <w:rPr>
                <w:rFonts w:eastAsia="Arial"/>
                <w:sz w:val="20"/>
                <w:szCs w:val="20"/>
              </w:rPr>
              <w:t>для ультразвуковых исследований</w:t>
            </w:r>
          </w:p>
        </w:tc>
        <w:tc>
          <w:tcPr>
            <w:tcW w:w="1181" w:type="dxa"/>
            <w:shd w:val="clear" w:color="auto" w:fill="auto"/>
          </w:tcPr>
          <w:p w:rsidR="006C7C44" w:rsidRPr="00E8065F" w:rsidRDefault="006C7C44" w:rsidP="006C7C44">
            <w:pPr>
              <w:jc w:val="center"/>
              <w:rPr>
                <w:sz w:val="20"/>
                <w:szCs w:val="20"/>
              </w:rPr>
            </w:pPr>
            <w:r w:rsidRPr="00E8065F">
              <w:rPr>
                <w:sz w:val="20"/>
                <w:szCs w:val="20"/>
              </w:rPr>
              <w:t>2007</w:t>
            </w:r>
            <w:r w:rsidR="00793DC9">
              <w:rPr>
                <w:sz w:val="20"/>
                <w:szCs w:val="20"/>
              </w:rPr>
              <w:t xml:space="preserve"> </w:t>
            </w:r>
            <w:r>
              <w:rPr>
                <w:sz w:val="20"/>
                <w:szCs w:val="20"/>
              </w:rPr>
              <w:t>(1)</w:t>
            </w:r>
          </w:p>
          <w:p w:rsidR="006C7C44" w:rsidRPr="00E8065F" w:rsidRDefault="006C7C44" w:rsidP="006C7C44">
            <w:pPr>
              <w:jc w:val="center"/>
              <w:rPr>
                <w:sz w:val="20"/>
                <w:szCs w:val="20"/>
              </w:rPr>
            </w:pPr>
            <w:r w:rsidRPr="00E8065F">
              <w:rPr>
                <w:sz w:val="20"/>
                <w:szCs w:val="20"/>
              </w:rPr>
              <w:t>2008</w:t>
            </w:r>
            <w:r w:rsidR="00793DC9">
              <w:rPr>
                <w:sz w:val="20"/>
                <w:szCs w:val="20"/>
              </w:rPr>
              <w:t xml:space="preserve"> </w:t>
            </w:r>
            <w:r>
              <w:rPr>
                <w:sz w:val="20"/>
                <w:szCs w:val="20"/>
              </w:rPr>
              <w:t>(1)</w:t>
            </w:r>
          </w:p>
          <w:p w:rsidR="006C7C44" w:rsidRPr="00E8065F" w:rsidRDefault="006C7C44" w:rsidP="006C7C44">
            <w:pPr>
              <w:spacing w:line="233" w:lineRule="auto"/>
              <w:jc w:val="center"/>
              <w:rPr>
                <w:sz w:val="20"/>
                <w:szCs w:val="20"/>
              </w:rPr>
            </w:pPr>
            <w:r w:rsidRPr="00E8065F">
              <w:rPr>
                <w:sz w:val="20"/>
                <w:szCs w:val="20"/>
              </w:rPr>
              <w:t>2010</w:t>
            </w:r>
            <w:r w:rsidR="00793DC9">
              <w:rPr>
                <w:sz w:val="20"/>
                <w:szCs w:val="20"/>
              </w:rPr>
              <w:t xml:space="preserve"> </w:t>
            </w:r>
            <w:r>
              <w:rPr>
                <w:sz w:val="20"/>
                <w:szCs w:val="20"/>
              </w:rPr>
              <w:t>(2)</w:t>
            </w:r>
          </w:p>
          <w:p w:rsidR="006C7C44" w:rsidRPr="00E8065F" w:rsidRDefault="006C7C44" w:rsidP="006C7C44">
            <w:pPr>
              <w:jc w:val="center"/>
              <w:rPr>
                <w:sz w:val="20"/>
                <w:szCs w:val="20"/>
              </w:rPr>
            </w:pPr>
            <w:r w:rsidRPr="00E8065F">
              <w:rPr>
                <w:sz w:val="20"/>
                <w:szCs w:val="20"/>
              </w:rPr>
              <w:t>2012</w:t>
            </w:r>
            <w:r w:rsidR="00793DC9">
              <w:rPr>
                <w:sz w:val="20"/>
                <w:szCs w:val="20"/>
              </w:rPr>
              <w:t xml:space="preserve"> </w:t>
            </w:r>
            <w:r>
              <w:rPr>
                <w:sz w:val="20"/>
                <w:szCs w:val="20"/>
              </w:rPr>
              <w:t>(1)</w:t>
            </w:r>
          </w:p>
          <w:p w:rsidR="006C7C44" w:rsidRPr="00E8065F" w:rsidRDefault="006C7C44" w:rsidP="006C7C44">
            <w:pPr>
              <w:spacing w:line="233" w:lineRule="auto"/>
              <w:jc w:val="center"/>
              <w:rPr>
                <w:sz w:val="20"/>
                <w:szCs w:val="20"/>
              </w:rPr>
            </w:pPr>
            <w:r w:rsidRPr="00E8065F">
              <w:rPr>
                <w:sz w:val="20"/>
                <w:szCs w:val="20"/>
              </w:rPr>
              <w:t>2013</w:t>
            </w:r>
            <w:r w:rsidR="00793DC9">
              <w:rPr>
                <w:sz w:val="20"/>
                <w:szCs w:val="20"/>
              </w:rPr>
              <w:t xml:space="preserve"> </w:t>
            </w:r>
            <w:r>
              <w:rPr>
                <w:sz w:val="20"/>
                <w:szCs w:val="20"/>
              </w:rPr>
              <w:t>(2)</w:t>
            </w:r>
          </w:p>
          <w:p w:rsidR="006C7C44" w:rsidRPr="00E8065F" w:rsidRDefault="006C7C44" w:rsidP="006C7C44">
            <w:pPr>
              <w:jc w:val="center"/>
              <w:rPr>
                <w:sz w:val="20"/>
                <w:szCs w:val="20"/>
              </w:rPr>
            </w:pPr>
            <w:r w:rsidRPr="00E8065F">
              <w:rPr>
                <w:sz w:val="20"/>
                <w:szCs w:val="20"/>
              </w:rPr>
              <w:t>2016</w:t>
            </w:r>
            <w:r w:rsidR="00793DC9">
              <w:rPr>
                <w:sz w:val="20"/>
                <w:szCs w:val="20"/>
              </w:rPr>
              <w:t xml:space="preserve"> </w:t>
            </w:r>
            <w:r>
              <w:rPr>
                <w:sz w:val="20"/>
                <w:szCs w:val="20"/>
              </w:rPr>
              <w:t>(1)</w:t>
            </w:r>
          </w:p>
          <w:p w:rsidR="006C7C44" w:rsidRPr="00E8065F" w:rsidRDefault="006C7C44" w:rsidP="006C7C44">
            <w:pPr>
              <w:spacing w:line="233" w:lineRule="auto"/>
              <w:jc w:val="center"/>
              <w:rPr>
                <w:sz w:val="20"/>
                <w:szCs w:val="20"/>
              </w:rPr>
            </w:pPr>
            <w:r w:rsidRPr="00E8065F">
              <w:rPr>
                <w:sz w:val="20"/>
                <w:szCs w:val="20"/>
              </w:rPr>
              <w:t>2017</w:t>
            </w:r>
            <w:r w:rsidR="00793DC9">
              <w:rPr>
                <w:sz w:val="20"/>
                <w:szCs w:val="20"/>
              </w:rPr>
              <w:t xml:space="preserve"> </w:t>
            </w:r>
            <w:r>
              <w:rPr>
                <w:sz w:val="20"/>
                <w:szCs w:val="20"/>
              </w:rPr>
              <w:t>(2)</w:t>
            </w:r>
          </w:p>
          <w:p w:rsidR="006C7C44" w:rsidRPr="00E8065F" w:rsidRDefault="006C7C44" w:rsidP="006C7C44">
            <w:pPr>
              <w:spacing w:line="233" w:lineRule="auto"/>
              <w:jc w:val="center"/>
              <w:rPr>
                <w:sz w:val="20"/>
                <w:szCs w:val="20"/>
              </w:rPr>
            </w:pPr>
            <w:r w:rsidRPr="00E8065F">
              <w:rPr>
                <w:sz w:val="20"/>
                <w:szCs w:val="20"/>
              </w:rPr>
              <w:t>2018</w:t>
            </w:r>
            <w:r w:rsidR="00793DC9">
              <w:rPr>
                <w:sz w:val="20"/>
                <w:szCs w:val="20"/>
              </w:rPr>
              <w:t xml:space="preserve"> </w:t>
            </w:r>
            <w:r>
              <w:rPr>
                <w:sz w:val="20"/>
                <w:szCs w:val="20"/>
              </w:rPr>
              <w:t>(2)</w:t>
            </w:r>
          </w:p>
          <w:p w:rsidR="006C7C44" w:rsidRPr="00E8065F" w:rsidRDefault="006C7C44" w:rsidP="006C7C44">
            <w:pPr>
              <w:jc w:val="center"/>
              <w:rPr>
                <w:sz w:val="20"/>
                <w:szCs w:val="20"/>
              </w:rPr>
            </w:pPr>
            <w:r w:rsidRPr="00E8065F">
              <w:rPr>
                <w:sz w:val="20"/>
                <w:szCs w:val="20"/>
              </w:rPr>
              <w:t>2022</w:t>
            </w:r>
            <w:r w:rsidR="00793DC9">
              <w:rPr>
                <w:sz w:val="20"/>
                <w:szCs w:val="20"/>
              </w:rPr>
              <w:t xml:space="preserve"> </w:t>
            </w:r>
            <w:r>
              <w:rPr>
                <w:sz w:val="20"/>
                <w:szCs w:val="20"/>
              </w:rPr>
              <w:t>(1)</w:t>
            </w:r>
          </w:p>
          <w:p w:rsidR="006C7C44" w:rsidRPr="00E8065F" w:rsidRDefault="006C7C44" w:rsidP="006C7C44">
            <w:pPr>
              <w:jc w:val="center"/>
              <w:rPr>
                <w:sz w:val="20"/>
                <w:szCs w:val="20"/>
              </w:rPr>
            </w:pPr>
            <w:r w:rsidRPr="00E8065F">
              <w:rPr>
                <w:sz w:val="20"/>
                <w:szCs w:val="20"/>
              </w:rPr>
              <w:t>2024</w:t>
            </w:r>
            <w:r w:rsidR="00793DC9">
              <w:rPr>
                <w:sz w:val="20"/>
                <w:szCs w:val="20"/>
              </w:rPr>
              <w:t xml:space="preserve"> </w:t>
            </w:r>
            <w:r>
              <w:rPr>
                <w:sz w:val="20"/>
                <w:szCs w:val="20"/>
              </w:rPr>
              <w:t>(1)</w:t>
            </w:r>
          </w:p>
        </w:tc>
        <w:tc>
          <w:tcPr>
            <w:tcW w:w="1181" w:type="dxa"/>
            <w:tcBorders>
              <w:top w:val="nil"/>
              <w:left w:val="single" w:sz="4" w:space="0" w:color="auto"/>
              <w:bottom w:val="single" w:sz="4" w:space="0" w:color="auto"/>
              <w:right w:val="single" w:sz="4" w:space="0" w:color="auto"/>
            </w:tcBorders>
            <w:shd w:val="clear" w:color="auto" w:fill="auto"/>
          </w:tcPr>
          <w:p w:rsidR="006C7C44" w:rsidRPr="00BC5958" w:rsidRDefault="006C7C44" w:rsidP="006C7C44">
            <w:pPr>
              <w:spacing w:line="233" w:lineRule="auto"/>
              <w:jc w:val="center"/>
              <w:rPr>
                <w:color w:val="000000"/>
                <w:sz w:val="20"/>
                <w:szCs w:val="20"/>
              </w:rPr>
            </w:pPr>
            <w:r w:rsidRPr="00BC5958">
              <w:rPr>
                <w:color w:val="000000"/>
                <w:sz w:val="20"/>
                <w:szCs w:val="20"/>
              </w:rPr>
              <w:t>14</w:t>
            </w:r>
          </w:p>
        </w:tc>
        <w:tc>
          <w:tcPr>
            <w:tcW w:w="1478" w:type="dxa"/>
            <w:tcBorders>
              <w:top w:val="nil"/>
              <w:left w:val="single" w:sz="4" w:space="0" w:color="auto"/>
              <w:bottom w:val="single" w:sz="4" w:space="0" w:color="auto"/>
              <w:right w:val="single" w:sz="4" w:space="0" w:color="auto"/>
            </w:tcBorders>
            <w:shd w:val="clear" w:color="auto" w:fill="auto"/>
          </w:tcPr>
          <w:p w:rsidR="006C7C44" w:rsidRPr="00E8065F" w:rsidRDefault="006C7C44" w:rsidP="006C7C44">
            <w:pPr>
              <w:spacing w:line="233" w:lineRule="auto"/>
              <w:jc w:val="center"/>
              <w:rPr>
                <w:color w:val="000000"/>
                <w:sz w:val="20"/>
                <w:szCs w:val="20"/>
              </w:rPr>
            </w:pPr>
            <w:r w:rsidRPr="00E8065F">
              <w:rPr>
                <w:color w:val="000000"/>
                <w:sz w:val="20"/>
                <w:szCs w:val="20"/>
              </w:rPr>
              <w:t>274,2</w:t>
            </w:r>
          </w:p>
        </w:tc>
        <w:tc>
          <w:tcPr>
            <w:tcW w:w="1111" w:type="dxa"/>
            <w:tcBorders>
              <w:top w:val="nil"/>
              <w:left w:val="nil"/>
              <w:bottom w:val="single" w:sz="4" w:space="0" w:color="auto"/>
              <w:right w:val="single" w:sz="4" w:space="0" w:color="auto"/>
            </w:tcBorders>
            <w:shd w:val="clear" w:color="auto" w:fill="auto"/>
          </w:tcPr>
          <w:p w:rsidR="006C7C44" w:rsidRPr="00E8065F" w:rsidRDefault="006C7C44" w:rsidP="006C7C44">
            <w:pPr>
              <w:spacing w:line="233" w:lineRule="auto"/>
              <w:jc w:val="center"/>
              <w:rPr>
                <w:color w:val="000000"/>
                <w:sz w:val="20"/>
                <w:szCs w:val="20"/>
              </w:rPr>
            </w:pPr>
            <w:r w:rsidRPr="00E8065F">
              <w:rPr>
                <w:color w:val="000000"/>
                <w:sz w:val="20"/>
                <w:szCs w:val="20"/>
              </w:rPr>
              <w:t>1</w:t>
            </w:r>
          </w:p>
        </w:tc>
        <w:tc>
          <w:tcPr>
            <w:tcW w:w="1944" w:type="dxa"/>
            <w:tcBorders>
              <w:top w:val="nil"/>
              <w:left w:val="single" w:sz="4" w:space="0" w:color="auto"/>
              <w:bottom w:val="single" w:sz="4" w:space="0" w:color="auto"/>
              <w:right w:val="single" w:sz="4" w:space="0" w:color="auto"/>
            </w:tcBorders>
            <w:shd w:val="clear" w:color="auto" w:fill="auto"/>
          </w:tcPr>
          <w:p w:rsidR="006C7C44" w:rsidRPr="00E8065F" w:rsidRDefault="006C7C44" w:rsidP="006C7C44">
            <w:pPr>
              <w:spacing w:line="233" w:lineRule="auto"/>
              <w:jc w:val="center"/>
              <w:rPr>
                <w:color w:val="000000"/>
                <w:sz w:val="20"/>
                <w:szCs w:val="20"/>
              </w:rPr>
            </w:pPr>
            <w:r w:rsidRPr="00E8065F">
              <w:rPr>
                <w:color w:val="000000"/>
                <w:sz w:val="20"/>
                <w:szCs w:val="20"/>
              </w:rPr>
              <w:t>Амбулаторное/стационарное</w:t>
            </w:r>
          </w:p>
        </w:tc>
      </w:tr>
      <w:tr w:rsidR="006C7C44" w:rsidRPr="00E8065F" w:rsidTr="000546C2">
        <w:trPr>
          <w:trHeight w:val="20"/>
        </w:trPr>
        <w:tc>
          <w:tcPr>
            <w:tcW w:w="1555" w:type="dxa"/>
            <w:vMerge/>
          </w:tcPr>
          <w:p w:rsidR="006C7C44" w:rsidRPr="00E8065F" w:rsidRDefault="006C7C44" w:rsidP="006C7C44">
            <w:pPr>
              <w:rPr>
                <w:color w:val="000000"/>
                <w:sz w:val="20"/>
                <w:szCs w:val="20"/>
              </w:rPr>
            </w:pPr>
          </w:p>
        </w:tc>
        <w:tc>
          <w:tcPr>
            <w:tcW w:w="3685" w:type="dxa"/>
            <w:tcBorders>
              <w:top w:val="nil"/>
              <w:left w:val="single" w:sz="4" w:space="0" w:color="auto"/>
              <w:bottom w:val="single" w:sz="4" w:space="0" w:color="auto"/>
              <w:right w:val="single" w:sz="4" w:space="0" w:color="auto"/>
            </w:tcBorders>
            <w:shd w:val="clear" w:color="auto" w:fill="auto"/>
          </w:tcPr>
          <w:p w:rsidR="006C7C44" w:rsidRPr="00E8065F" w:rsidRDefault="006C7C44" w:rsidP="006C7C44">
            <w:pPr>
              <w:spacing w:line="233" w:lineRule="auto"/>
              <w:jc w:val="both"/>
              <w:rPr>
                <w:color w:val="000000"/>
                <w:sz w:val="20"/>
                <w:szCs w:val="20"/>
              </w:rPr>
            </w:pPr>
            <w:r w:rsidRPr="00E8065F">
              <w:rPr>
                <w:color w:val="000000"/>
                <w:sz w:val="20"/>
                <w:szCs w:val="20"/>
              </w:rPr>
              <w:t xml:space="preserve">ГАУЗ </w:t>
            </w:r>
            <w:r>
              <w:rPr>
                <w:color w:val="000000"/>
                <w:sz w:val="20"/>
                <w:szCs w:val="20"/>
              </w:rPr>
              <w:t>«</w:t>
            </w:r>
            <w:r w:rsidRPr="00E8065F">
              <w:rPr>
                <w:color w:val="000000"/>
                <w:sz w:val="20"/>
                <w:szCs w:val="20"/>
              </w:rPr>
              <w:t>Буинская ЦРБ</w:t>
            </w:r>
            <w:r>
              <w:rPr>
                <w:color w:val="000000"/>
                <w:sz w:val="20"/>
                <w:szCs w:val="20"/>
              </w:rPr>
              <w:t>»</w:t>
            </w:r>
          </w:p>
        </w:tc>
        <w:tc>
          <w:tcPr>
            <w:tcW w:w="1994" w:type="dxa"/>
            <w:tcBorders>
              <w:bottom w:val="single" w:sz="4" w:space="0" w:color="auto"/>
            </w:tcBorders>
            <w:shd w:val="clear" w:color="auto" w:fill="auto"/>
          </w:tcPr>
          <w:p w:rsidR="006C7C44" w:rsidRDefault="008B3E41" w:rsidP="006C7C44">
            <w:pPr>
              <w:jc w:val="center"/>
            </w:pPr>
            <w:r>
              <w:rPr>
                <w:sz w:val="20"/>
                <w:szCs w:val="20"/>
              </w:rPr>
              <w:t xml:space="preserve">Аппараты </w:t>
            </w:r>
            <w:r>
              <w:rPr>
                <w:rFonts w:eastAsia="Arial"/>
                <w:sz w:val="20"/>
                <w:szCs w:val="20"/>
              </w:rPr>
              <w:t>для ультразвуковых исследований</w:t>
            </w:r>
          </w:p>
        </w:tc>
        <w:tc>
          <w:tcPr>
            <w:tcW w:w="1181" w:type="dxa"/>
            <w:tcBorders>
              <w:bottom w:val="single" w:sz="4" w:space="0" w:color="auto"/>
            </w:tcBorders>
            <w:shd w:val="clear" w:color="auto" w:fill="auto"/>
          </w:tcPr>
          <w:p w:rsidR="006C7C44" w:rsidRPr="00E8065F" w:rsidRDefault="006C7C44" w:rsidP="006C7C44">
            <w:pPr>
              <w:jc w:val="center"/>
              <w:rPr>
                <w:sz w:val="20"/>
                <w:szCs w:val="20"/>
              </w:rPr>
            </w:pPr>
            <w:r w:rsidRPr="00E8065F">
              <w:rPr>
                <w:sz w:val="20"/>
                <w:szCs w:val="20"/>
              </w:rPr>
              <w:t>2006</w:t>
            </w:r>
            <w:r w:rsidR="00793DC9">
              <w:rPr>
                <w:sz w:val="20"/>
                <w:szCs w:val="20"/>
              </w:rPr>
              <w:t xml:space="preserve"> </w:t>
            </w:r>
            <w:r>
              <w:rPr>
                <w:sz w:val="20"/>
                <w:szCs w:val="20"/>
              </w:rPr>
              <w:t>(1)</w:t>
            </w:r>
          </w:p>
          <w:p w:rsidR="006C7C44" w:rsidRPr="00E8065F" w:rsidRDefault="006C7C44" w:rsidP="006C7C44">
            <w:pPr>
              <w:jc w:val="center"/>
              <w:rPr>
                <w:sz w:val="20"/>
                <w:szCs w:val="20"/>
              </w:rPr>
            </w:pPr>
            <w:r w:rsidRPr="00E8065F">
              <w:rPr>
                <w:sz w:val="20"/>
                <w:szCs w:val="20"/>
              </w:rPr>
              <w:t>2007</w:t>
            </w:r>
            <w:r w:rsidR="00793DC9">
              <w:rPr>
                <w:sz w:val="20"/>
                <w:szCs w:val="20"/>
              </w:rPr>
              <w:t xml:space="preserve"> </w:t>
            </w:r>
            <w:r>
              <w:rPr>
                <w:sz w:val="20"/>
                <w:szCs w:val="20"/>
              </w:rPr>
              <w:t>(1)</w:t>
            </w:r>
          </w:p>
          <w:p w:rsidR="006C7C44" w:rsidRPr="00E8065F" w:rsidRDefault="006C7C44" w:rsidP="006C7C44">
            <w:pPr>
              <w:jc w:val="center"/>
              <w:rPr>
                <w:sz w:val="20"/>
                <w:szCs w:val="20"/>
              </w:rPr>
            </w:pPr>
            <w:r w:rsidRPr="00E8065F">
              <w:rPr>
                <w:sz w:val="20"/>
                <w:szCs w:val="20"/>
              </w:rPr>
              <w:t>2010</w:t>
            </w:r>
            <w:r w:rsidR="00793DC9">
              <w:rPr>
                <w:sz w:val="20"/>
                <w:szCs w:val="20"/>
              </w:rPr>
              <w:t xml:space="preserve"> </w:t>
            </w:r>
            <w:r>
              <w:rPr>
                <w:sz w:val="20"/>
                <w:szCs w:val="20"/>
              </w:rPr>
              <w:t>(1)</w:t>
            </w:r>
          </w:p>
          <w:p w:rsidR="006C7C44" w:rsidRPr="00E8065F" w:rsidRDefault="006C7C44" w:rsidP="006C7C44">
            <w:pPr>
              <w:jc w:val="center"/>
              <w:rPr>
                <w:sz w:val="20"/>
                <w:szCs w:val="20"/>
              </w:rPr>
            </w:pPr>
            <w:r w:rsidRPr="00E8065F">
              <w:rPr>
                <w:sz w:val="20"/>
                <w:szCs w:val="20"/>
              </w:rPr>
              <w:t>2016</w:t>
            </w:r>
            <w:r w:rsidR="00793DC9">
              <w:rPr>
                <w:sz w:val="20"/>
                <w:szCs w:val="20"/>
              </w:rPr>
              <w:t xml:space="preserve"> </w:t>
            </w:r>
            <w:r>
              <w:rPr>
                <w:sz w:val="20"/>
                <w:szCs w:val="20"/>
              </w:rPr>
              <w:t>(1)</w:t>
            </w:r>
          </w:p>
          <w:p w:rsidR="006C7C44" w:rsidRPr="00E8065F" w:rsidRDefault="006C7C44" w:rsidP="006C7C44">
            <w:pPr>
              <w:spacing w:line="233" w:lineRule="auto"/>
              <w:jc w:val="center"/>
              <w:rPr>
                <w:sz w:val="20"/>
                <w:szCs w:val="20"/>
              </w:rPr>
            </w:pPr>
            <w:r w:rsidRPr="00E8065F">
              <w:rPr>
                <w:sz w:val="20"/>
                <w:szCs w:val="20"/>
              </w:rPr>
              <w:t>2019</w:t>
            </w:r>
            <w:r w:rsidR="00793DC9">
              <w:rPr>
                <w:sz w:val="20"/>
                <w:szCs w:val="20"/>
              </w:rPr>
              <w:t xml:space="preserve"> </w:t>
            </w:r>
            <w:r>
              <w:rPr>
                <w:sz w:val="20"/>
                <w:szCs w:val="20"/>
              </w:rPr>
              <w:t>(3)</w:t>
            </w:r>
          </w:p>
          <w:p w:rsidR="006C7C44" w:rsidRPr="00E8065F" w:rsidRDefault="006C7C44" w:rsidP="006C7C44">
            <w:pPr>
              <w:spacing w:line="233" w:lineRule="auto"/>
              <w:jc w:val="center"/>
              <w:rPr>
                <w:sz w:val="20"/>
                <w:szCs w:val="20"/>
              </w:rPr>
            </w:pPr>
            <w:r w:rsidRPr="00E8065F">
              <w:rPr>
                <w:sz w:val="20"/>
                <w:szCs w:val="20"/>
              </w:rPr>
              <w:t>2021</w:t>
            </w:r>
            <w:r w:rsidR="00793DC9">
              <w:rPr>
                <w:sz w:val="20"/>
                <w:szCs w:val="20"/>
              </w:rPr>
              <w:t xml:space="preserve"> </w:t>
            </w:r>
            <w:r>
              <w:rPr>
                <w:sz w:val="20"/>
                <w:szCs w:val="20"/>
              </w:rPr>
              <w:t>(2)</w:t>
            </w:r>
          </w:p>
        </w:tc>
        <w:tc>
          <w:tcPr>
            <w:tcW w:w="1181" w:type="dxa"/>
            <w:tcBorders>
              <w:top w:val="nil"/>
              <w:left w:val="single" w:sz="4" w:space="0" w:color="auto"/>
              <w:bottom w:val="single" w:sz="4" w:space="0" w:color="auto"/>
              <w:right w:val="single" w:sz="4" w:space="0" w:color="auto"/>
            </w:tcBorders>
            <w:shd w:val="clear" w:color="auto" w:fill="auto"/>
          </w:tcPr>
          <w:p w:rsidR="006C7C44" w:rsidRPr="00BC5958" w:rsidRDefault="006C7C44" w:rsidP="006C7C44">
            <w:pPr>
              <w:spacing w:line="233" w:lineRule="auto"/>
              <w:jc w:val="center"/>
              <w:rPr>
                <w:color w:val="000000"/>
                <w:sz w:val="20"/>
                <w:szCs w:val="20"/>
              </w:rPr>
            </w:pPr>
            <w:r w:rsidRPr="00BC5958">
              <w:rPr>
                <w:color w:val="000000"/>
                <w:sz w:val="20"/>
                <w:szCs w:val="20"/>
              </w:rPr>
              <w:t>9</w:t>
            </w:r>
          </w:p>
        </w:tc>
        <w:tc>
          <w:tcPr>
            <w:tcW w:w="1478" w:type="dxa"/>
            <w:tcBorders>
              <w:top w:val="nil"/>
              <w:left w:val="single" w:sz="4" w:space="0" w:color="auto"/>
              <w:bottom w:val="single" w:sz="4" w:space="0" w:color="auto"/>
              <w:right w:val="single" w:sz="4" w:space="0" w:color="auto"/>
            </w:tcBorders>
            <w:shd w:val="clear" w:color="auto" w:fill="auto"/>
          </w:tcPr>
          <w:p w:rsidR="006C7C44" w:rsidRPr="00E8065F" w:rsidRDefault="006C7C44" w:rsidP="006C7C44">
            <w:pPr>
              <w:spacing w:line="233" w:lineRule="auto"/>
              <w:jc w:val="center"/>
              <w:rPr>
                <w:color w:val="000000"/>
                <w:sz w:val="20"/>
                <w:szCs w:val="20"/>
              </w:rPr>
            </w:pPr>
            <w:r w:rsidRPr="00E8065F">
              <w:rPr>
                <w:color w:val="000000"/>
                <w:sz w:val="20"/>
                <w:szCs w:val="20"/>
              </w:rPr>
              <w:t>219,2</w:t>
            </w:r>
          </w:p>
        </w:tc>
        <w:tc>
          <w:tcPr>
            <w:tcW w:w="1111" w:type="dxa"/>
            <w:tcBorders>
              <w:top w:val="nil"/>
              <w:left w:val="nil"/>
              <w:bottom w:val="single" w:sz="4" w:space="0" w:color="auto"/>
              <w:right w:val="single" w:sz="4" w:space="0" w:color="auto"/>
            </w:tcBorders>
            <w:shd w:val="clear" w:color="auto" w:fill="auto"/>
          </w:tcPr>
          <w:p w:rsidR="006C7C44" w:rsidRPr="00E8065F" w:rsidRDefault="006C7C44" w:rsidP="006C7C44">
            <w:pPr>
              <w:spacing w:line="233" w:lineRule="auto"/>
              <w:jc w:val="center"/>
              <w:rPr>
                <w:color w:val="000000"/>
                <w:sz w:val="20"/>
                <w:szCs w:val="20"/>
              </w:rPr>
            </w:pPr>
            <w:r w:rsidRPr="00E8065F">
              <w:rPr>
                <w:color w:val="000000"/>
                <w:sz w:val="20"/>
                <w:szCs w:val="20"/>
              </w:rPr>
              <w:t>1</w:t>
            </w:r>
          </w:p>
        </w:tc>
        <w:tc>
          <w:tcPr>
            <w:tcW w:w="1944" w:type="dxa"/>
            <w:tcBorders>
              <w:top w:val="nil"/>
              <w:left w:val="single" w:sz="4" w:space="0" w:color="auto"/>
              <w:bottom w:val="single" w:sz="4" w:space="0" w:color="auto"/>
              <w:right w:val="single" w:sz="4" w:space="0" w:color="auto"/>
            </w:tcBorders>
            <w:shd w:val="clear" w:color="auto" w:fill="auto"/>
          </w:tcPr>
          <w:p w:rsidR="006C7C44" w:rsidRPr="00E8065F" w:rsidRDefault="006C7C44" w:rsidP="006C7C44">
            <w:pPr>
              <w:spacing w:line="233" w:lineRule="auto"/>
              <w:jc w:val="center"/>
              <w:rPr>
                <w:color w:val="000000"/>
                <w:sz w:val="20"/>
                <w:szCs w:val="20"/>
              </w:rPr>
            </w:pPr>
            <w:r w:rsidRPr="00E8065F">
              <w:rPr>
                <w:color w:val="000000"/>
                <w:sz w:val="20"/>
                <w:szCs w:val="20"/>
              </w:rPr>
              <w:t>Амбулаторное/стационарное</w:t>
            </w:r>
          </w:p>
        </w:tc>
      </w:tr>
      <w:tr w:rsidR="006C7C44" w:rsidRPr="00E8065F" w:rsidTr="000546C2">
        <w:trPr>
          <w:trHeight w:val="20"/>
        </w:trPr>
        <w:tc>
          <w:tcPr>
            <w:tcW w:w="1555" w:type="dxa"/>
            <w:vMerge/>
          </w:tcPr>
          <w:p w:rsidR="006C7C44" w:rsidRPr="00E8065F" w:rsidRDefault="006C7C44" w:rsidP="006C7C44">
            <w:pPr>
              <w:rPr>
                <w:color w:val="000000"/>
                <w:sz w:val="20"/>
                <w:szCs w:val="20"/>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6C7C44" w:rsidRPr="00E8065F" w:rsidRDefault="006C7C44" w:rsidP="006C7C44">
            <w:pPr>
              <w:spacing w:line="233" w:lineRule="auto"/>
              <w:jc w:val="both"/>
              <w:rPr>
                <w:color w:val="000000"/>
                <w:sz w:val="20"/>
                <w:szCs w:val="20"/>
              </w:rPr>
            </w:pPr>
            <w:r w:rsidRPr="00E8065F">
              <w:rPr>
                <w:color w:val="000000"/>
                <w:sz w:val="20"/>
                <w:szCs w:val="20"/>
              </w:rPr>
              <w:t xml:space="preserve">ГАУЗ </w:t>
            </w:r>
            <w:r>
              <w:rPr>
                <w:color w:val="000000"/>
                <w:sz w:val="20"/>
                <w:szCs w:val="20"/>
              </w:rPr>
              <w:t>«</w:t>
            </w:r>
            <w:r w:rsidRPr="00E8065F">
              <w:rPr>
                <w:color w:val="000000"/>
                <w:sz w:val="20"/>
                <w:szCs w:val="20"/>
              </w:rPr>
              <w:t>Верхнеуслонская ЦРБ</w:t>
            </w:r>
            <w:r>
              <w:rPr>
                <w:color w:val="000000"/>
                <w:sz w:val="20"/>
                <w:szCs w:val="20"/>
              </w:rPr>
              <w:t>»</w:t>
            </w:r>
          </w:p>
        </w:tc>
        <w:tc>
          <w:tcPr>
            <w:tcW w:w="1994" w:type="dxa"/>
            <w:tcBorders>
              <w:top w:val="single" w:sz="4" w:space="0" w:color="auto"/>
            </w:tcBorders>
            <w:shd w:val="clear" w:color="auto" w:fill="auto"/>
          </w:tcPr>
          <w:p w:rsidR="006C7C44" w:rsidRDefault="008B3E41" w:rsidP="006C7C44">
            <w:pPr>
              <w:jc w:val="center"/>
            </w:pPr>
            <w:r>
              <w:rPr>
                <w:sz w:val="20"/>
                <w:szCs w:val="20"/>
              </w:rPr>
              <w:t xml:space="preserve">Аппараты </w:t>
            </w:r>
            <w:r>
              <w:rPr>
                <w:rFonts w:eastAsia="Arial"/>
                <w:sz w:val="20"/>
                <w:szCs w:val="20"/>
              </w:rPr>
              <w:t>для ультразвуковых исследований</w:t>
            </w:r>
          </w:p>
        </w:tc>
        <w:tc>
          <w:tcPr>
            <w:tcW w:w="1181" w:type="dxa"/>
            <w:tcBorders>
              <w:top w:val="single" w:sz="4" w:space="0" w:color="auto"/>
            </w:tcBorders>
            <w:shd w:val="clear" w:color="auto" w:fill="auto"/>
          </w:tcPr>
          <w:p w:rsidR="006C7C44" w:rsidRPr="00E8065F" w:rsidRDefault="006C7C44" w:rsidP="006C7C44">
            <w:pPr>
              <w:jc w:val="center"/>
              <w:rPr>
                <w:sz w:val="20"/>
                <w:szCs w:val="20"/>
              </w:rPr>
            </w:pPr>
            <w:r w:rsidRPr="00E8065F">
              <w:rPr>
                <w:sz w:val="20"/>
                <w:szCs w:val="20"/>
              </w:rPr>
              <w:t>2016</w:t>
            </w:r>
            <w:r w:rsidR="00793DC9">
              <w:rPr>
                <w:sz w:val="20"/>
                <w:szCs w:val="20"/>
              </w:rPr>
              <w:t xml:space="preserve"> </w:t>
            </w:r>
            <w:r>
              <w:rPr>
                <w:sz w:val="20"/>
                <w:szCs w:val="20"/>
              </w:rPr>
              <w:t>(1)</w:t>
            </w:r>
          </w:p>
          <w:p w:rsidR="006C7C44" w:rsidRPr="00E8065F" w:rsidRDefault="006C7C44" w:rsidP="006C7C44">
            <w:pPr>
              <w:jc w:val="center"/>
              <w:rPr>
                <w:sz w:val="20"/>
                <w:szCs w:val="20"/>
              </w:rPr>
            </w:pPr>
            <w:r w:rsidRPr="00E8065F">
              <w:rPr>
                <w:sz w:val="20"/>
                <w:szCs w:val="20"/>
              </w:rPr>
              <w:t>2019</w:t>
            </w:r>
            <w:r w:rsidR="00793DC9">
              <w:rPr>
                <w:sz w:val="20"/>
                <w:szCs w:val="20"/>
              </w:rPr>
              <w:t xml:space="preserve"> </w:t>
            </w:r>
            <w:r>
              <w:rPr>
                <w:sz w:val="20"/>
                <w:szCs w:val="20"/>
              </w:rPr>
              <w:t>(1)</w:t>
            </w:r>
          </w:p>
          <w:p w:rsidR="006C7C44" w:rsidRPr="00E8065F" w:rsidRDefault="006C7C44" w:rsidP="006C7C44">
            <w:pPr>
              <w:jc w:val="center"/>
              <w:rPr>
                <w:sz w:val="20"/>
                <w:szCs w:val="20"/>
              </w:rPr>
            </w:pPr>
            <w:r w:rsidRPr="00E8065F">
              <w:rPr>
                <w:sz w:val="20"/>
                <w:szCs w:val="20"/>
              </w:rPr>
              <w:t>2020</w:t>
            </w:r>
            <w:r w:rsidR="00793DC9">
              <w:rPr>
                <w:sz w:val="20"/>
                <w:szCs w:val="20"/>
              </w:rPr>
              <w:t xml:space="preserve"> </w:t>
            </w:r>
            <w:r>
              <w:rPr>
                <w:sz w:val="20"/>
                <w:szCs w:val="20"/>
              </w:rPr>
              <w:t>(1)</w:t>
            </w:r>
          </w:p>
          <w:p w:rsidR="006C7C44" w:rsidRPr="00E8065F" w:rsidRDefault="006C7C44" w:rsidP="006C7C44">
            <w:pPr>
              <w:jc w:val="center"/>
              <w:rPr>
                <w:sz w:val="20"/>
                <w:szCs w:val="20"/>
              </w:rPr>
            </w:pPr>
            <w:r w:rsidRPr="00E8065F">
              <w:rPr>
                <w:sz w:val="20"/>
                <w:szCs w:val="20"/>
              </w:rPr>
              <w:t>2022</w:t>
            </w:r>
            <w:r w:rsidR="00793DC9">
              <w:rPr>
                <w:sz w:val="20"/>
                <w:szCs w:val="20"/>
              </w:rPr>
              <w:t xml:space="preserve"> </w:t>
            </w:r>
            <w:r>
              <w:rPr>
                <w:sz w:val="20"/>
                <w:szCs w:val="20"/>
              </w:rPr>
              <w:t>(1)</w:t>
            </w:r>
          </w:p>
        </w:tc>
        <w:tc>
          <w:tcPr>
            <w:tcW w:w="1181" w:type="dxa"/>
            <w:tcBorders>
              <w:top w:val="single" w:sz="4" w:space="0" w:color="auto"/>
              <w:left w:val="single" w:sz="4" w:space="0" w:color="auto"/>
              <w:bottom w:val="single" w:sz="4" w:space="0" w:color="auto"/>
              <w:right w:val="single" w:sz="4" w:space="0" w:color="auto"/>
            </w:tcBorders>
            <w:shd w:val="clear" w:color="auto" w:fill="auto"/>
          </w:tcPr>
          <w:p w:rsidR="006C7C44" w:rsidRPr="00BC5958" w:rsidRDefault="006C7C44" w:rsidP="006C7C44">
            <w:pPr>
              <w:spacing w:line="233" w:lineRule="auto"/>
              <w:jc w:val="center"/>
              <w:rPr>
                <w:color w:val="000000"/>
                <w:sz w:val="20"/>
                <w:szCs w:val="20"/>
              </w:rPr>
            </w:pPr>
            <w:r w:rsidRPr="00BC5958">
              <w:rPr>
                <w:color w:val="000000"/>
                <w:sz w:val="20"/>
                <w:szCs w:val="20"/>
              </w:rPr>
              <w:t>4</w:t>
            </w:r>
          </w:p>
        </w:tc>
        <w:tc>
          <w:tcPr>
            <w:tcW w:w="1478" w:type="dxa"/>
            <w:tcBorders>
              <w:top w:val="single" w:sz="4" w:space="0" w:color="auto"/>
              <w:left w:val="single" w:sz="4" w:space="0" w:color="auto"/>
              <w:bottom w:val="single" w:sz="4" w:space="0" w:color="auto"/>
              <w:right w:val="single" w:sz="4" w:space="0" w:color="auto"/>
            </w:tcBorders>
            <w:shd w:val="clear" w:color="auto" w:fill="auto"/>
          </w:tcPr>
          <w:p w:rsidR="006C7C44" w:rsidRPr="00E8065F" w:rsidRDefault="006C7C44" w:rsidP="006C7C44">
            <w:pPr>
              <w:spacing w:line="233" w:lineRule="auto"/>
              <w:jc w:val="center"/>
              <w:rPr>
                <w:color w:val="000000"/>
                <w:sz w:val="20"/>
                <w:szCs w:val="20"/>
              </w:rPr>
            </w:pPr>
            <w:r w:rsidRPr="00E8065F">
              <w:rPr>
                <w:color w:val="000000"/>
                <w:sz w:val="20"/>
                <w:szCs w:val="20"/>
              </w:rPr>
              <w:t>52,9</w:t>
            </w:r>
          </w:p>
        </w:tc>
        <w:tc>
          <w:tcPr>
            <w:tcW w:w="1111" w:type="dxa"/>
            <w:tcBorders>
              <w:top w:val="single" w:sz="4" w:space="0" w:color="auto"/>
              <w:left w:val="nil"/>
              <w:bottom w:val="single" w:sz="4" w:space="0" w:color="auto"/>
              <w:right w:val="single" w:sz="4" w:space="0" w:color="auto"/>
            </w:tcBorders>
            <w:shd w:val="clear" w:color="auto" w:fill="auto"/>
          </w:tcPr>
          <w:p w:rsidR="006C7C44" w:rsidRPr="00E8065F" w:rsidRDefault="006C7C44" w:rsidP="006C7C44">
            <w:pPr>
              <w:spacing w:line="233" w:lineRule="auto"/>
              <w:jc w:val="center"/>
              <w:rPr>
                <w:color w:val="000000"/>
                <w:sz w:val="20"/>
                <w:szCs w:val="20"/>
              </w:rPr>
            </w:pPr>
            <w:r w:rsidRPr="00E8065F">
              <w:rPr>
                <w:color w:val="000000"/>
                <w:sz w:val="20"/>
                <w:szCs w:val="20"/>
              </w:rPr>
              <w:t>1</w:t>
            </w:r>
          </w:p>
        </w:tc>
        <w:tc>
          <w:tcPr>
            <w:tcW w:w="1944" w:type="dxa"/>
            <w:tcBorders>
              <w:top w:val="single" w:sz="4" w:space="0" w:color="auto"/>
              <w:left w:val="single" w:sz="4" w:space="0" w:color="auto"/>
              <w:bottom w:val="single" w:sz="4" w:space="0" w:color="auto"/>
              <w:right w:val="single" w:sz="4" w:space="0" w:color="auto"/>
            </w:tcBorders>
            <w:shd w:val="clear" w:color="auto" w:fill="auto"/>
          </w:tcPr>
          <w:p w:rsidR="006C7C44" w:rsidRPr="00E8065F" w:rsidRDefault="006C7C44" w:rsidP="006C7C44">
            <w:pPr>
              <w:spacing w:line="233" w:lineRule="auto"/>
              <w:jc w:val="center"/>
              <w:rPr>
                <w:color w:val="000000"/>
                <w:sz w:val="20"/>
                <w:szCs w:val="20"/>
              </w:rPr>
            </w:pPr>
            <w:r w:rsidRPr="00E8065F">
              <w:rPr>
                <w:color w:val="000000"/>
                <w:sz w:val="20"/>
                <w:szCs w:val="20"/>
              </w:rPr>
              <w:t>Амбулаторное</w:t>
            </w:r>
          </w:p>
        </w:tc>
      </w:tr>
      <w:tr w:rsidR="006C7C44" w:rsidRPr="00E8065F" w:rsidTr="000546C2">
        <w:trPr>
          <w:trHeight w:val="20"/>
        </w:trPr>
        <w:tc>
          <w:tcPr>
            <w:tcW w:w="1555" w:type="dxa"/>
            <w:vMerge/>
          </w:tcPr>
          <w:p w:rsidR="006C7C44" w:rsidRPr="00E8065F" w:rsidRDefault="006C7C44" w:rsidP="006C7C44">
            <w:pPr>
              <w:rPr>
                <w:color w:val="000000"/>
                <w:sz w:val="20"/>
                <w:szCs w:val="20"/>
              </w:rPr>
            </w:pPr>
          </w:p>
        </w:tc>
        <w:tc>
          <w:tcPr>
            <w:tcW w:w="3685" w:type="dxa"/>
            <w:tcBorders>
              <w:top w:val="nil"/>
              <w:left w:val="single" w:sz="4" w:space="0" w:color="auto"/>
              <w:bottom w:val="single" w:sz="4" w:space="0" w:color="auto"/>
              <w:right w:val="single" w:sz="4" w:space="0" w:color="auto"/>
            </w:tcBorders>
            <w:shd w:val="clear" w:color="auto" w:fill="auto"/>
          </w:tcPr>
          <w:p w:rsidR="006C7C44" w:rsidRPr="00E8065F" w:rsidRDefault="006C7C44" w:rsidP="006C7C44">
            <w:pPr>
              <w:spacing w:line="233" w:lineRule="auto"/>
              <w:jc w:val="both"/>
              <w:rPr>
                <w:color w:val="000000"/>
                <w:sz w:val="20"/>
                <w:szCs w:val="20"/>
              </w:rPr>
            </w:pPr>
            <w:r w:rsidRPr="00E8065F">
              <w:rPr>
                <w:color w:val="000000"/>
                <w:sz w:val="20"/>
                <w:szCs w:val="20"/>
              </w:rPr>
              <w:t xml:space="preserve">ГАУЗ </w:t>
            </w:r>
            <w:r>
              <w:rPr>
                <w:color w:val="000000"/>
                <w:sz w:val="20"/>
                <w:szCs w:val="20"/>
              </w:rPr>
              <w:t>«</w:t>
            </w:r>
            <w:r w:rsidRPr="00E8065F">
              <w:rPr>
                <w:color w:val="000000"/>
                <w:sz w:val="20"/>
                <w:szCs w:val="20"/>
              </w:rPr>
              <w:t>Высокогорская ЦРБ</w:t>
            </w:r>
            <w:r>
              <w:rPr>
                <w:color w:val="000000"/>
                <w:sz w:val="20"/>
                <w:szCs w:val="20"/>
              </w:rPr>
              <w:t>»</w:t>
            </w:r>
          </w:p>
        </w:tc>
        <w:tc>
          <w:tcPr>
            <w:tcW w:w="1994" w:type="dxa"/>
            <w:shd w:val="clear" w:color="auto" w:fill="auto"/>
          </w:tcPr>
          <w:p w:rsidR="006C7C44" w:rsidRDefault="008B3E41" w:rsidP="006C7C44">
            <w:pPr>
              <w:jc w:val="center"/>
            </w:pPr>
            <w:r>
              <w:rPr>
                <w:sz w:val="20"/>
                <w:szCs w:val="20"/>
              </w:rPr>
              <w:t xml:space="preserve">Аппараты </w:t>
            </w:r>
            <w:r>
              <w:rPr>
                <w:rFonts w:eastAsia="Arial"/>
                <w:sz w:val="20"/>
                <w:szCs w:val="20"/>
              </w:rPr>
              <w:t>для ультразвуковых исследований</w:t>
            </w:r>
          </w:p>
        </w:tc>
        <w:tc>
          <w:tcPr>
            <w:tcW w:w="1181" w:type="dxa"/>
            <w:shd w:val="clear" w:color="auto" w:fill="auto"/>
          </w:tcPr>
          <w:p w:rsidR="006C7C44" w:rsidRPr="00E8065F" w:rsidRDefault="006C7C44" w:rsidP="006C7C44">
            <w:pPr>
              <w:jc w:val="center"/>
              <w:rPr>
                <w:sz w:val="20"/>
                <w:szCs w:val="20"/>
              </w:rPr>
            </w:pPr>
            <w:r w:rsidRPr="00E8065F">
              <w:rPr>
                <w:sz w:val="20"/>
                <w:szCs w:val="20"/>
              </w:rPr>
              <w:t>2008</w:t>
            </w:r>
            <w:r w:rsidR="00793DC9">
              <w:rPr>
                <w:sz w:val="20"/>
                <w:szCs w:val="20"/>
              </w:rPr>
              <w:t xml:space="preserve"> </w:t>
            </w:r>
            <w:r>
              <w:rPr>
                <w:sz w:val="20"/>
                <w:szCs w:val="20"/>
              </w:rPr>
              <w:t>(1)</w:t>
            </w:r>
          </w:p>
          <w:p w:rsidR="006C7C44" w:rsidRPr="00E8065F" w:rsidRDefault="006C7C44" w:rsidP="006C7C44">
            <w:pPr>
              <w:spacing w:line="233" w:lineRule="auto"/>
              <w:jc w:val="center"/>
              <w:rPr>
                <w:sz w:val="20"/>
                <w:szCs w:val="20"/>
              </w:rPr>
            </w:pPr>
            <w:r w:rsidRPr="00E8065F">
              <w:rPr>
                <w:sz w:val="20"/>
                <w:szCs w:val="20"/>
              </w:rPr>
              <w:t>2014</w:t>
            </w:r>
            <w:r w:rsidR="00793DC9">
              <w:rPr>
                <w:sz w:val="20"/>
                <w:szCs w:val="20"/>
              </w:rPr>
              <w:t xml:space="preserve"> </w:t>
            </w:r>
            <w:r>
              <w:rPr>
                <w:sz w:val="20"/>
                <w:szCs w:val="20"/>
              </w:rPr>
              <w:t>(2)</w:t>
            </w:r>
          </w:p>
          <w:p w:rsidR="006C7C44" w:rsidRPr="00E8065F" w:rsidRDefault="006C7C44" w:rsidP="006C7C44">
            <w:pPr>
              <w:jc w:val="center"/>
              <w:rPr>
                <w:sz w:val="20"/>
                <w:szCs w:val="20"/>
              </w:rPr>
            </w:pPr>
            <w:r w:rsidRPr="00E8065F">
              <w:rPr>
                <w:sz w:val="20"/>
                <w:szCs w:val="20"/>
              </w:rPr>
              <w:t>2021</w:t>
            </w:r>
            <w:r w:rsidR="00793DC9">
              <w:rPr>
                <w:sz w:val="20"/>
                <w:szCs w:val="20"/>
              </w:rPr>
              <w:t xml:space="preserve"> </w:t>
            </w:r>
            <w:r>
              <w:rPr>
                <w:sz w:val="20"/>
                <w:szCs w:val="20"/>
              </w:rPr>
              <w:t>(1)</w:t>
            </w:r>
          </w:p>
          <w:p w:rsidR="006C7C44" w:rsidRPr="00E8065F" w:rsidRDefault="006C7C44" w:rsidP="006C7C44">
            <w:pPr>
              <w:spacing w:line="233" w:lineRule="auto"/>
              <w:jc w:val="center"/>
              <w:rPr>
                <w:sz w:val="20"/>
                <w:szCs w:val="20"/>
              </w:rPr>
            </w:pPr>
            <w:r w:rsidRPr="00E8065F">
              <w:rPr>
                <w:sz w:val="20"/>
                <w:szCs w:val="20"/>
              </w:rPr>
              <w:t>2024</w:t>
            </w:r>
            <w:r w:rsidR="00793DC9">
              <w:rPr>
                <w:sz w:val="20"/>
                <w:szCs w:val="20"/>
              </w:rPr>
              <w:t xml:space="preserve"> </w:t>
            </w:r>
            <w:r>
              <w:rPr>
                <w:sz w:val="20"/>
                <w:szCs w:val="20"/>
              </w:rPr>
              <w:t>(3)</w:t>
            </w:r>
          </w:p>
        </w:tc>
        <w:tc>
          <w:tcPr>
            <w:tcW w:w="1181" w:type="dxa"/>
            <w:tcBorders>
              <w:top w:val="nil"/>
              <w:left w:val="single" w:sz="4" w:space="0" w:color="auto"/>
              <w:bottom w:val="single" w:sz="4" w:space="0" w:color="auto"/>
              <w:right w:val="single" w:sz="4" w:space="0" w:color="auto"/>
            </w:tcBorders>
            <w:shd w:val="clear" w:color="auto" w:fill="auto"/>
          </w:tcPr>
          <w:p w:rsidR="006C7C44" w:rsidRPr="00BC5958" w:rsidRDefault="006C7C44" w:rsidP="006C7C44">
            <w:pPr>
              <w:spacing w:line="233" w:lineRule="auto"/>
              <w:jc w:val="center"/>
              <w:rPr>
                <w:color w:val="000000"/>
                <w:sz w:val="20"/>
                <w:szCs w:val="20"/>
              </w:rPr>
            </w:pPr>
            <w:r w:rsidRPr="00BC5958">
              <w:rPr>
                <w:color w:val="000000"/>
                <w:sz w:val="20"/>
                <w:szCs w:val="20"/>
              </w:rPr>
              <w:t>7</w:t>
            </w:r>
          </w:p>
        </w:tc>
        <w:tc>
          <w:tcPr>
            <w:tcW w:w="1478" w:type="dxa"/>
            <w:tcBorders>
              <w:top w:val="nil"/>
              <w:left w:val="single" w:sz="4" w:space="0" w:color="auto"/>
              <w:bottom w:val="single" w:sz="4" w:space="0" w:color="auto"/>
              <w:right w:val="single" w:sz="4" w:space="0" w:color="auto"/>
            </w:tcBorders>
            <w:shd w:val="clear" w:color="auto" w:fill="auto"/>
          </w:tcPr>
          <w:p w:rsidR="006C7C44" w:rsidRPr="00E8065F" w:rsidRDefault="006C7C44" w:rsidP="006C7C44">
            <w:pPr>
              <w:spacing w:line="233" w:lineRule="auto"/>
              <w:jc w:val="center"/>
              <w:rPr>
                <w:color w:val="000000"/>
                <w:sz w:val="20"/>
                <w:szCs w:val="20"/>
              </w:rPr>
            </w:pPr>
            <w:r w:rsidRPr="00E8065F">
              <w:rPr>
                <w:color w:val="000000"/>
                <w:sz w:val="20"/>
                <w:szCs w:val="20"/>
              </w:rPr>
              <w:t>115,7</w:t>
            </w:r>
          </w:p>
        </w:tc>
        <w:tc>
          <w:tcPr>
            <w:tcW w:w="1111" w:type="dxa"/>
            <w:tcBorders>
              <w:top w:val="nil"/>
              <w:left w:val="nil"/>
              <w:bottom w:val="single" w:sz="4" w:space="0" w:color="auto"/>
              <w:right w:val="single" w:sz="4" w:space="0" w:color="auto"/>
            </w:tcBorders>
            <w:shd w:val="clear" w:color="auto" w:fill="auto"/>
          </w:tcPr>
          <w:p w:rsidR="006C7C44" w:rsidRPr="00E8065F" w:rsidRDefault="006C7C44" w:rsidP="006C7C44">
            <w:pPr>
              <w:spacing w:line="233" w:lineRule="auto"/>
              <w:jc w:val="center"/>
              <w:rPr>
                <w:color w:val="000000"/>
                <w:sz w:val="20"/>
                <w:szCs w:val="20"/>
              </w:rPr>
            </w:pPr>
            <w:r w:rsidRPr="00E8065F">
              <w:rPr>
                <w:color w:val="000000"/>
                <w:sz w:val="20"/>
                <w:szCs w:val="20"/>
              </w:rPr>
              <w:t>1</w:t>
            </w:r>
          </w:p>
        </w:tc>
        <w:tc>
          <w:tcPr>
            <w:tcW w:w="1944" w:type="dxa"/>
            <w:tcBorders>
              <w:top w:val="nil"/>
              <w:left w:val="single" w:sz="4" w:space="0" w:color="auto"/>
              <w:bottom w:val="single" w:sz="4" w:space="0" w:color="auto"/>
              <w:right w:val="single" w:sz="4" w:space="0" w:color="auto"/>
            </w:tcBorders>
            <w:shd w:val="clear" w:color="auto" w:fill="auto"/>
          </w:tcPr>
          <w:p w:rsidR="006C7C44" w:rsidRPr="00E8065F" w:rsidRDefault="006C7C44" w:rsidP="006C7C44">
            <w:pPr>
              <w:spacing w:line="233" w:lineRule="auto"/>
              <w:jc w:val="center"/>
              <w:rPr>
                <w:color w:val="000000"/>
                <w:sz w:val="20"/>
                <w:szCs w:val="20"/>
              </w:rPr>
            </w:pPr>
            <w:r w:rsidRPr="00E8065F">
              <w:rPr>
                <w:color w:val="000000"/>
                <w:sz w:val="20"/>
                <w:szCs w:val="20"/>
              </w:rPr>
              <w:t>Амбулаторное</w:t>
            </w:r>
          </w:p>
        </w:tc>
      </w:tr>
      <w:tr w:rsidR="006C7C44" w:rsidRPr="00E8065F" w:rsidTr="000546C2">
        <w:trPr>
          <w:trHeight w:val="20"/>
        </w:trPr>
        <w:tc>
          <w:tcPr>
            <w:tcW w:w="1555" w:type="dxa"/>
            <w:vMerge/>
          </w:tcPr>
          <w:p w:rsidR="006C7C44" w:rsidRPr="00E8065F" w:rsidRDefault="006C7C44" w:rsidP="006C7C44">
            <w:pPr>
              <w:rPr>
                <w:color w:val="000000"/>
                <w:sz w:val="20"/>
                <w:szCs w:val="20"/>
              </w:rPr>
            </w:pPr>
          </w:p>
        </w:tc>
        <w:tc>
          <w:tcPr>
            <w:tcW w:w="3685" w:type="dxa"/>
            <w:tcBorders>
              <w:top w:val="nil"/>
              <w:left w:val="single" w:sz="4" w:space="0" w:color="auto"/>
              <w:bottom w:val="single" w:sz="4" w:space="0" w:color="auto"/>
              <w:right w:val="single" w:sz="4" w:space="0" w:color="auto"/>
            </w:tcBorders>
            <w:shd w:val="clear" w:color="auto" w:fill="auto"/>
          </w:tcPr>
          <w:p w:rsidR="006C7C44" w:rsidRPr="00E8065F" w:rsidRDefault="006C7C44" w:rsidP="006C7C44">
            <w:pPr>
              <w:spacing w:line="233" w:lineRule="auto"/>
              <w:jc w:val="both"/>
              <w:rPr>
                <w:color w:val="000000"/>
                <w:sz w:val="20"/>
                <w:szCs w:val="20"/>
              </w:rPr>
            </w:pPr>
            <w:r w:rsidRPr="00E8065F">
              <w:rPr>
                <w:color w:val="000000"/>
                <w:sz w:val="20"/>
                <w:szCs w:val="20"/>
              </w:rPr>
              <w:t xml:space="preserve">ГАУЗ </w:t>
            </w:r>
            <w:r>
              <w:rPr>
                <w:color w:val="000000"/>
                <w:sz w:val="20"/>
                <w:szCs w:val="20"/>
              </w:rPr>
              <w:t>«</w:t>
            </w:r>
            <w:r w:rsidRPr="00E8065F">
              <w:rPr>
                <w:color w:val="000000"/>
                <w:sz w:val="20"/>
                <w:szCs w:val="20"/>
              </w:rPr>
              <w:t>Дрожжановская ЦРБ</w:t>
            </w:r>
            <w:r>
              <w:rPr>
                <w:color w:val="000000"/>
                <w:sz w:val="20"/>
                <w:szCs w:val="20"/>
              </w:rPr>
              <w:t>»</w:t>
            </w:r>
          </w:p>
        </w:tc>
        <w:tc>
          <w:tcPr>
            <w:tcW w:w="1994" w:type="dxa"/>
            <w:shd w:val="clear" w:color="auto" w:fill="auto"/>
          </w:tcPr>
          <w:p w:rsidR="006C7C44" w:rsidRDefault="008B3E41" w:rsidP="006C7C44">
            <w:pPr>
              <w:jc w:val="center"/>
            </w:pPr>
            <w:r>
              <w:rPr>
                <w:sz w:val="20"/>
                <w:szCs w:val="20"/>
              </w:rPr>
              <w:t xml:space="preserve">Аппараты </w:t>
            </w:r>
            <w:r>
              <w:rPr>
                <w:rFonts w:eastAsia="Arial"/>
                <w:sz w:val="20"/>
                <w:szCs w:val="20"/>
              </w:rPr>
              <w:t>для ультразвуковых исследований</w:t>
            </w:r>
          </w:p>
        </w:tc>
        <w:tc>
          <w:tcPr>
            <w:tcW w:w="1181" w:type="dxa"/>
            <w:shd w:val="clear" w:color="auto" w:fill="auto"/>
          </w:tcPr>
          <w:p w:rsidR="006C7C44" w:rsidRPr="00E8065F" w:rsidRDefault="006C7C44" w:rsidP="006C7C44">
            <w:pPr>
              <w:spacing w:line="233" w:lineRule="auto"/>
              <w:jc w:val="center"/>
              <w:rPr>
                <w:sz w:val="20"/>
                <w:szCs w:val="20"/>
              </w:rPr>
            </w:pPr>
            <w:r w:rsidRPr="00E8065F">
              <w:rPr>
                <w:sz w:val="20"/>
                <w:szCs w:val="20"/>
              </w:rPr>
              <w:t>2013</w:t>
            </w:r>
            <w:r w:rsidR="00793DC9">
              <w:rPr>
                <w:sz w:val="20"/>
                <w:szCs w:val="20"/>
              </w:rPr>
              <w:t xml:space="preserve"> </w:t>
            </w:r>
            <w:r>
              <w:rPr>
                <w:sz w:val="20"/>
                <w:szCs w:val="20"/>
              </w:rPr>
              <w:t>(2)</w:t>
            </w:r>
          </w:p>
          <w:p w:rsidR="006C7C44" w:rsidRPr="00E8065F" w:rsidRDefault="006C7C44" w:rsidP="006C7C44">
            <w:pPr>
              <w:spacing w:line="233" w:lineRule="auto"/>
              <w:jc w:val="center"/>
              <w:rPr>
                <w:sz w:val="20"/>
                <w:szCs w:val="20"/>
              </w:rPr>
            </w:pPr>
            <w:r w:rsidRPr="00E8065F">
              <w:rPr>
                <w:sz w:val="20"/>
                <w:szCs w:val="20"/>
              </w:rPr>
              <w:t>2022</w:t>
            </w:r>
            <w:r w:rsidR="00793DC9">
              <w:rPr>
                <w:sz w:val="20"/>
                <w:szCs w:val="20"/>
              </w:rPr>
              <w:t xml:space="preserve"> </w:t>
            </w:r>
            <w:r>
              <w:rPr>
                <w:sz w:val="20"/>
                <w:szCs w:val="20"/>
              </w:rPr>
              <w:t>(2)</w:t>
            </w:r>
          </w:p>
        </w:tc>
        <w:tc>
          <w:tcPr>
            <w:tcW w:w="1181" w:type="dxa"/>
            <w:tcBorders>
              <w:top w:val="nil"/>
              <w:left w:val="single" w:sz="4" w:space="0" w:color="auto"/>
              <w:bottom w:val="single" w:sz="4" w:space="0" w:color="auto"/>
              <w:right w:val="single" w:sz="4" w:space="0" w:color="auto"/>
            </w:tcBorders>
            <w:shd w:val="clear" w:color="auto" w:fill="auto"/>
          </w:tcPr>
          <w:p w:rsidR="006C7C44" w:rsidRPr="00BC5958" w:rsidRDefault="006C7C44" w:rsidP="006C7C44">
            <w:pPr>
              <w:spacing w:line="233" w:lineRule="auto"/>
              <w:jc w:val="center"/>
              <w:rPr>
                <w:color w:val="000000"/>
                <w:sz w:val="20"/>
                <w:szCs w:val="20"/>
              </w:rPr>
            </w:pPr>
            <w:r w:rsidRPr="00BC5958">
              <w:rPr>
                <w:color w:val="000000"/>
                <w:sz w:val="20"/>
                <w:szCs w:val="20"/>
              </w:rPr>
              <w:t>4</w:t>
            </w:r>
          </w:p>
        </w:tc>
        <w:tc>
          <w:tcPr>
            <w:tcW w:w="1478" w:type="dxa"/>
            <w:tcBorders>
              <w:top w:val="nil"/>
              <w:left w:val="single" w:sz="4" w:space="0" w:color="auto"/>
              <w:bottom w:val="single" w:sz="4" w:space="0" w:color="auto"/>
              <w:right w:val="single" w:sz="4" w:space="0" w:color="auto"/>
            </w:tcBorders>
            <w:shd w:val="clear" w:color="auto" w:fill="auto"/>
          </w:tcPr>
          <w:p w:rsidR="006C7C44" w:rsidRPr="00E8065F" w:rsidRDefault="006C7C44" w:rsidP="006C7C44">
            <w:pPr>
              <w:spacing w:line="233" w:lineRule="auto"/>
              <w:jc w:val="center"/>
              <w:rPr>
                <w:color w:val="000000"/>
                <w:sz w:val="20"/>
                <w:szCs w:val="20"/>
              </w:rPr>
            </w:pPr>
            <w:r w:rsidRPr="00E8065F">
              <w:rPr>
                <w:color w:val="000000"/>
                <w:sz w:val="20"/>
                <w:szCs w:val="20"/>
              </w:rPr>
              <w:t>39,4</w:t>
            </w:r>
          </w:p>
        </w:tc>
        <w:tc>
          <w:tcPr>
            <w:tcW w:w="1111" w:type="dxa"/>
            <w:tcBorders>
              <w:top w:val="nil"/>
              <w:left w:val="nil"/>
              <w:bottom w:val="single" w:sz="4" w:space="0" w:color="auto"/>
              <w:right w:val="single" w:sz="4" w:space="0" w:color="auto"/>
            </w:tcBorders>
            <w:shd w:val="clear" w:color="auto" w:fill="auto"/>
          </w:tcPr>
          <w:p w:rsidR="006C7C44" w:rsidRPr="00E8065F" w:rsidRDefault="006C7C44" w:rsidP="006C7C44">
            <w:pPr>
              <w:spacing w:line="233" w:lineRule="auto"/>
              <w:jc w:val="center"/>
              <w:rPr>
                <w:color w:val="000000"/>
                <w:sz w:val="20"/>
                <w:szCs w:val="20"/>
              </w:rPr>
            </w:pPr>
            <w:r w:rsidRPr="00E8065F">
              <w:rPr>
                <w:color w:val="000000"/>
                <w:sz w:val="20"/>
                <w:szCs w:val="20"/>
              </w:rPr>
              <w:t>1</w:t>
            </w:r>
          </w:p>
        </w:tc>
        <w:tc>
          <w:tcPr>
            <w:tcW w:w="1944" w:type="dxa"/>
            <w:tcBorders>
              <w:top w:val="nil"/>
              <w:left w:val="single" w:sz="4" w:space="0" w:color="auto"/>
              <w:bottom w:val="single" w:sz="4" w:space="0" w:color="auto"/>
              <w:right w:val="single" w:sz="4" w:space="0" w:color="auto"/>
            </w:tcBorders>
            <w:shd w:val="clear" w:color="auto" w:fill="auto"/>
          </w:tcPr>
          <w:p w:rsidR="006C7C44" w:rsidRPr="00E8065F" w:rsidRDefault="006C7C44" w:rsidP="006C7C44">
            <w:pPr>
              <w:spacing w:line="233" w:lineRule="auto"/>
              <w:jc w:val="center"/>
              <w:rPr>
                <w:color w:val="000000"/>
                <w:sz w:val="20"/>
                <w:szCs w:val="20"/>
              </w:rPr>
            </w:pPr>
            <w:r w:rsidRPr="00E8065F">
              <w:rPr>
                <w:color w:val="000000"/>
                <w:sz w:val="20"/>
                <w:szCs w:val="20"/>
              </w:rPr>
              <w:t>Амбулаторное</w:t>
            </w:r>
          </w:p>
        </w:tc>
      </w:tr>
      <w:tr w:rsidR="006C7C44" w:rsidRPr="00E8065F" w:rsidTr="000546C2">
        <w:trPr>
          <w:trHeight w:val="20"/>
        </w:trPr>
        <w:tc>
          <w:tcPr>
            <w:tcW w:w="1555" w:type="dxa"/>
            <w:vMerge/>
          </w:tcPr>
          <w:p w:rsidR="006C7C44" w:rsidRPr="00E8065F" w:rsidRDefault="006C7C44" w:rsidP="006C7C44">
            <w:pPr>
              <w:rPr>
                <w:color w:val="000000"/>
                <w:sz w:val="20"/>
                <w:szCs w:val="20"/>
              </w:rPr>
            </w:pPr>
          </w:p>
        </w:tc>
        <w:tc>
          <w:tcPr>
            <w:tcW w:w="3685" w:type="dxa"/>
            <w:tcBorders>
              <w:top w:val="nil"/>
              <w:left w:val="single" w:sz="4" w:space="0" w:color="auto"/>
              <w:bottom w:val="single" w:sz="4" w:space="0" w:color="auto"/>
              <w:right w:val="single" w:sz="4" w:space="0" w:color="auto"/>
            </w:tcBorders>
            <w:shd w:val="clear" w:color="auto" w:fill="auto"/>
          </w:tcPr>
          <w:p w:rsidR="006C7C44" w:rsidRPr="00E8065F" w:rsidRDefault="006C7C44" w:rsidP="006C7C44">
            <w:pPr>
              <w:spacing w:line="233" w:lineRule="auto"/>
              <w:jc w:val="both"/>
              <w:rPr>
                <w:color w:val="000000"/>
                <w:sz w:val="20"/>
                <w:szCs w:val="20"/>
              </w:rPr>
            </w:pPr>
            <w:r w:rsidRPr="00E8065F">
              <w:rPr>
                <w:color w:val="000000"/>
                <w:sz w:val="20"/>
                <w:szCs w:val="20"/>
              </w:rPr>
              <w:t xml:space="preserve">ГАУЗ </w:t>
            </w:r>
            <w:r>
              <w:rPr>
                <w:color w:val="000000"/>
                <w:sz w:val="20"/>
                <w:szCs w:val="20"/>
              </w:rPr>
              <w:t>«</w:t>
            </w:r>
            <w:r w:rsidRPr="00E8065F">
              <w:rPr>
                <w:color w:val="000000"/>
                <w:sz w:val="20"/>
                <w:szCs w:val="20"/>
              </w:rPr>
              <w:t>Елабужская ЦРБ</w:t>
            </w:r>
            <w:r>
              <w:rPr>
                <w:color w:val="000000"/>
                <w:sz w:val="20"/>
                <w:szCs w:val="20"/>
              </w:rPr>
              <w:t>»</w:t>
            </w:r>
          </w:p>
        </w:tc>
        <w:tc>
          <w:tcPr>
            <w:tcW w:w="1994" w:type="dxa"/>
            <w:shd w:val="clear" w:color="auto" w:fill="auto"/>
          </w:tcPr>
          <w:p w:rsidR="006C7C44" w:rsidRDefault="008B3E41" w:rsidP="006C7C44">
            <w:pPr>
              <w:jc w:val="center"/>
            </w:pPr>
            <w:r>
              <w:rPr>
                <w:sz w:val="20"/>
                <w:szCs w:val="20"/>
              </w:rPr>
              <w:t xml:space="preserve">Аппараты </w:t>
            </w:r>
            <w:r>
              <w:rPr>
                <w:rFonts w:eastAsia="Arial"/>
                <w:sz w:val="20"/>
                <w:szCs w:val="20"/>
              </w:rPr>
              <w:t>для ультразвуковых исследований</w:t>
            </w:r>
          </w:p>
        </w:tc>
        <w:tc>
          <w:tcPr>
            <w:tcW w:w="1181" w:type="dxa"/>
            <w:shd w:val="clear" w:color="auto" w:fill="auto"/>
          </w:tcPr>
          <w:p w:rsidR="006C7C44" w:rsidRPr="00E8065F" w:rsidRDefault="006C7C44" w:rsidP="006C7C44">
            <w:pPr>
              <w:jc w:val="center"/>
              <w:rPr>
                <w:sz w:val="20"/>
                <w:szCs w:val="20"/>
              </w:rPr>
            </w:pPr>
            <w:r w:rsidRPr="00E8065F">
              <w:rPr>
                <w:sz w:val="20"/>
                <w:szCs w:val="20"/>
              </w:rPr>
              <w:t>2007</w:t>
            </w:r>
            <w:r w:rsidR="00793DC9">
              <w:rPr>
                <w:sz w:val="20"/>
                <w:szCs w:val="20"/>
              </w:rPr>
              <w:t xml:space="preserve"> </w:t>
            </w:r>
            <w:r>
              <w:rPr>
                <w:sz w:val="20"/>
                <w:szCs w:val="20"/>
              </w:rPr>
              <w:t>(1)</w:t>
            </w:r>
          </w:p>
          <w:p w:rsidR="006C7C44" w:rsidRPr="00E8065F" w:rsidRDefault="006C7C44" w:rsidP="006C7C44">
            <w:pPr>
              <w:jc w:val="center"/>
              <w:rPr>
                <w:sz w:val="20"/>
                <w:szCs w:val="20"/>
              </w:rPr>
            </w:pPr>
            <w:r w:rsidRPr="00E8065F">
              <w:rPr>
                <w:sz w:val="20"/>
                <w:szCs w:val="20"/>
              </w:rPr>
              <w:t>2011</w:t>
            </w:r>
            <w:r w:rsidR="00793DC9">
              <w:rPr>
                <w:sz w:val="20"/>
                <w:szCs w:val="20"/>
              </w:rPr>
              <w:t xml:space="preserve"> </w:t>
            </w:r>
            <w:r>
              <w:rPr>
                <w:sz w:val="20"/>
                <w:szCs w:val="20"/>
              </w:rPr>
              <w:t>(1)</w:t>
            </w:r>
          </w:p>
          <w:p w:rsidR="006C7C44" w:rsidRPr="00E8065F" w:rsidRDefault="006C7C44" w:rsidP="006C7C44">
            <w:pPr>
              <w:spacing w:line="233" w:lineRule="auto"/>
              <w:jc w:val="center"/>
              <w:rPr>
                <w:sz w:val="20"/>
                <w:szCs w:val="20"/>
              </w:rPr>
            </w:pPr>
            <w:r w:rsidRPr="00E8065F">
              <w:rPr>
                <w:sz w:val="20"/>
                <w:szCs w:val="20"/>
              </w:rPr>
              <w:t>2014</w:t>
            </w:r>
            <w:r w:rsidR="00793DC9">
              <w:rPr>
                <w:sz w:val="20"/>
                <w:szCs w:val="20"/>
              </w:rPr>
              <w:t xml:space="preserve"> </w:t>
            </w:r>
            <w:r>
              <w:rPr>
                <w:sz w:val="20"/>
                <w:szCs w:val="20"/>
              </w:rPr>
              <w:t>(2)</w:t>
            </w:r>
          </w:p>
          <w:p w:rsidR="006C7C44" w:rsidRPr="00E8065F" w:rsidRDefault="006C7C44" w:rsidP="006C7C44">
            <w:pPr>
              <w:jc w:val="center"/>
              <w:rPr>
                <w:sz w:val="20"/>
                <w:szCs w:val="20"/>
              </w:rPr>
            </w:pPr>
            <w:r w:rsidRPr="00E8065F">
              <w:rPr>
                <w:sz w:val="20"/>
                <w:szCs w:val="20"/>
              </w:rPr>
              <w:t>2019</w:t>
            </w:r>
            <w:r w:rsidR="00793DC9">
              <w:rPr>
                <w:sz w:val="20"/>
                <w:szCs w:val="20"/>
              </w:rPr>
              <w:t xml:space="preserve"> </w:t>
            </w:r>
            <w:r>
              <w:rPr>
                <w:sz w:val="20"/>
                <w:szCs w:val="20"/>
              </w:rPr>
              <w:t>(1)</w:t>
            </w:r>
          </w:p>
          <w:p w:rsidR="006C7C44" w:rsidRPr="00E8065F" w:rsidRDefault="006C7C44" w:rsidP="006C7C44">
            <w:pPr>
              <w:jc w:val="center"/>
              <w:rPr>
                <w:sz w:val="20"/>
                <w:szCs w:val="20"/>
              </w:rPr>
            </w:pPr>
            <w:r w:rsidRPr="00E8065F">
              <w:rPr>
                <w:sz w:val="20"/>
                <w:szCs w:val="20"/>
              </w:rPr>
              <w:t>2020</w:t>
            </w:r>
            <w:r w:rsidR="00793DC9">
              <w:rPr>
                <w:sz w:val="20"/>
                <w:szCs w:val="20"/>
              </w:rPr>
              <w:t xml:space="preserve"> </w:t>
            </w:r>
            <w:r>
              <w:rPr>
                <w:sz w:val="20"/>
                <w:szCs w:val="20"/>
              </w:rPr>
              <w:t>(1)</w:t>
            </w:r>
          </w:p>
          <w:p w:rsidR="006C7C44" w:rsidRPr="00E8065F" w:rsidRDefault="006C7C44" w:rsidP="006C7C44">
            <w:pPr>
              <w:spacing w:line="233" w:lineRule="auto"/>
              <w:jc w:val="center"/>
              <w:rPr>
                <w:sz w:val="20"/>
                <w:szCs w:val="20"/>
              </w:rPr>
            </w:pPr>
            <w:r w:rsidRPr="00E8065F">
              <w:rPr>
                <w:sz w:val="20"/>
                <w:szCs w:val="20"/>
              </w:rPr>
              <w:t>2021</w:t>
            </w:r>
            <w:r w:rsidR="00793DC9">
              <w:rPr>
                <w:sz w:val="20"/>
                <w:szCs w:val="20"/>
              </w:rPr>
              <w:t xml:space="preserve"> </w:t>
            </w:r>
            <w:r>
              <w:rPr>
                <w:sz w:val="20"/>
                <w:szCs w:val="20"/>
              </w:rPr>
              <w:t>(3)</w:t>
            </w:r>
          </w:p>
          <w:p w:rsidR="006C7C44" w:rsidRPr="00E8065F" w:rsidRDefault="006C7C44" w:rsidP="006C7C44">
            <w:pPr>
              <w:spacing w:line="233" w:lineRule="auto"/>
              <w:jc w:val="center"/>
              <w:rPr>
                <w:sz w:val="20"/>
                <w:szCs w:val="20"/>
              </w:rPr>
            </w:pPr>
            <w:r w:rsidRPr="00E8065F">
              <w:rPr>
                <w:sz w:val="20"/>
                <w:szCs w:val="20"/>
              </w:rPr>
              <w:t>2023</w:t>
            </w:r>
            <w:r w:rsidR="00793DC9">
              <w:rPr>
                <w:sz w:val="20"/>
                <w:szCs w:val="20"/>
              </w:rPr>
              <w:t xml:space="preserve"> </w:t>
            </w:r>
            <w:r>
              <w:rPr>
                <w:sz w:val="20"/>
                <w:szCs w:val="20"/>
              </w:rPr>
              <w:t>(2)</w:t>
            </w:r>
          </w:p>
          <w:p w:rsidR="006C7C44" w:rsidRPr="00E8065F" w:rsidRDefault="006C7C44" w:rsidP="006C7C44">
            <w:pPr>
              <w:spacing w:line="233" w:lineRule="auto"/>
              <w:jc w:val="center"/>
              <w:rPr>
                <w:sz w:val="20"/>
                <w:szCs w:val="20"/>
              </w:rPr>
            </w:pPr>
            <w:r w:rsidRPr="00E8065F">
              <w:rPr>
                <w:sz w:val="20"/>
                <w:szCs w:val="20"/>
              </w:rPr>
              <w:t>2024</w:t>
            </w:r>
            <w:r w:rsidR="00793DC9">
              <w:rPr>
                <w:sz w:val="20"/>
                <w:szCs w:val="20"/>
              </w:rPr>
              <w:t xml:space="preserve"> </w:t>
            </w:r>
            <w:r>
              <w:rPr>
                <w:sz w:val="20"/>
                <w:szCs w:val="20"/>
              </w:rPr>
              <w:t>(2)</w:t>
            </w:r>
          </w:p>
        </w:tc>
        <w:tc>
          <w:tcPr>
            <w:tcW w:w="1181" w:type="dxa"/>
            <w:tcBorders>
              <w:top w:val="nil"/>
              <w:left w:val="single" w:sz="4" w:space="0" w:color="auto"/>
              <w:bottom w:val="single" w:sz="4" w:space="0" w:color="auto"/>
              <w:right w:val="single" w:sz="4" w:space="0" w:color="auto"/>
            </w:tcBorders>
            <w:shd w:val="clear" w:color="auto" w:fill="auto"/>
          </w:tcPr>
          <w:p w:rsidR="006C7C44" w:rsidRPr="00BC5958" w:rsidRDefault="006C7C44" w:rsidP="006C7C44">
            <w:pPr>
              <w:spacing w:line="233" w:lineRule="auto"/>
              <w:jc w:val="center"/>
              <w:rPr>
                <w:color w:val="000000"/>
                <w:sz w:val="20"/>
                <w:szCs w:val="20"/>
              </w:rPr>
            </w:pPr>
            <w:r w:rsidRPr="00BC5958">
              <w:rPr>
                <w:color w:val="000000"/>
                <w:sz w:val="20"/>
                <w:szCs w:val="20"/>
              </w:rPr>
              <w:t>13</w:t>
            </w:r>
          </w:p>
        </w:tc>
        <w:tc>
          <w:tcPr>
            <w:tcW w:w="1478" w:type="dxa"/>
            <w:tcBorders>
              <w:top w:val="nil"/>
              <w:left w:val="single" w:sz="4" w:space="0" w:color="auto"/>
              <w:bottom w:val="single" w:sz="4" w:space="0" w:color="auto"/>
              <w:right w:val="single" w:sz="4" w:space="0" w:color="auto"/>
            </w:tcBorders>
            <w:shd w:val="clear" w:color="auto" w:fill="auto"/>
          </w:tcPr>
          <w:p w:rsidR="006C7C44" w:rsidRPr="00E8065F" w:rsidRDefault="006C7C44" w:rsidP="006C7C44">
            <w:pPr>
              <w:spacing w:line="233" w:lineRule="auto"/>
              <w:jc w:val="center"/>
              <w:rPr>
                <w:color w:val="000000"/>
                <w:sz w:val="20"/>
                <w:szCs w:val="20"/>
              </w:rPr>
            </w:pPr>
            <w:r w:rsidRPr="00E8065F">
              <w:rPr>
                <w:color w:val="000000"/>
                <w:sz w:val="20"/>
                <w:szCs w:val="20"/>
              </w:rPr>
              <w:t>334,8</w:t>
            </w:r>
          </w:p>
        </w:tc>
        <w:tc>
          <w:tcPr>
            <w:tcW w:w="1111" w:type="dxa"/>
            <w:tcBorders>
              <w:top w:val="nil"/>
              <w:left w:val="nil"/>
              <w:bottom w:val="single" w:sz="4" w:space="0" w:color="auto"/>
              <w:right w:val="single" w:sz="4" w:space="0" w:color="auto"/>
            </w:tcBorders>
            <w:shd w:val="clear" w:color="auto" w:fill="auto"/>
          </w:tcPr>
          <w:p w:rsidR="006C7C44" w:rsidRPr="00E8065F" w:rsidRDefault="006C7C44" w:rsidP="006C7C44">
            <w:pPr>
              <w:spacing w:line="233" w:lineRule="auto"/>
              <w:jc w:val="center"/>
              <w:rPr>
                <w:color w:val="000000"/>
                <w:sz w:val="20"/>
                <w:szCs w:val="20"/>
              </w:rPr>
            </w:pPr>
            <w:r w:rsidRPr="00E8065F">
              <w:rPr>
                <w:color w:val="000000"/>
                <w:sz w:val="20"/>
                <w:szCs w:val="20"/>
              </w:rPr>
              <w:t>1</w:t>
            </w:r>
          </w:p>
        </w:tc>
        <w:tc>
          <w:tcPr>
            <w:tcW w:w="1944" w:type="dxa"/>
            <w:tcBorders>
              <w:top w:val="nil"/>
              <w:left w:val="single" w:sz="4" w:space="0" w:color="auto"/>
              <w:bottom w:val="single" w:sz="4" w:space="0" w:color="auto"/>
              <w:right w:val="single" w:sz="4" w:space="0" w:color="auto"/>
            </w:tcBorders>
            <w:shd w:val="clear" w:color="auto" w:fill="auto"/>
          </w:tcPr>
          <w:p w:rsidR="006C7C44" w:rsidRPr="00E8065F" w:rsidRDefault="006C7C44" w:rsidP="006C7C44">
            <w:pPr>
              <w:spacing w:line="233" w:lineRule="auto"/>
              <w:jc w:val="center"/>
              <w:rPr>
                <w:color w:val="000000"/>
                <w:sz w:val="20"/>
                <w:szCs w:val="20"/>
              </w:rPr>
            </w:pPr>
            <w:r w:rsidRPr="00E8065F">
              <w:rPr>
                <w:color w:val="000000"/>
                <w:sz w:val="20"/>
                <w:szCs w:val="20"/>
              </w:rPr>
              <w:t>Амбулаторное/стационарное</w:t>
            </w:r>
          </w:p>
        </w:tc>
      </w:tr>
      <w:tr w:rsidR="006C7C44" w:rsidRPr="00E8065F" w:rsidTr="000546C2">
        <w:trPr>
          <w:trHeight w:val="20"/>
        </w:trPr>
        <w:tc>
          <w:tcPr>
            <w:tcW w:w="1555" w:type="dxa"/>
            <w:vMerge/>
          </w:tcPr>
          <w:p w:rsidR="006C7C44" w:rsidRPr="00E8065F" w:rsidRDefault="006C7C44" w:rsidP="006C7C44">
            <w:pPr>
              <w:rPr>
                <w:color w:val="000000"/>
                <w:sz w:val="20"/>
                <w:szCs w:val="20"/>
              </w:rPr>
            </w:pPr>
          </w:p>
        </w:tc>
        <w:tc>
          <w:tcPr>
            <w:tcW w:w="3685" w:type="dxa"/>
            <w:tcBorders>
              <w:top w:val="nil"/>
              <w:left w:val="single" w:sz="4" w:space="0" w:color="auto"/>
              <w:bottom w:val="single" w:sz="4" w:space="0" w:color="auto"/>
              <w:right w:val="single" w:sz="4" w:space="0" w:color="auto"/>
            </w:tcBorders>
            <w:shd w:val="clear" w:color="auto" w:fill="auto"/>
          </w:tcPr>
          <w:p w:rsidR="006C7C44" w:rsidRPr="00E8065F" w:rsidRDefault="006C7C44" w:rsidP="006C7C44">
            <w:pPr>
              <w:jc w:val="both"/>
              <w:rPr>
                <w:color w:val="000000"/>
                <w:sz w:val="20"/>
                <w:szCs w:val="20"/>
              </w:rPr>
            </w:pPr>
            <w:r w:rsidRPr="00E8065F">
              <w:rPr>
                <w:color w:val="000000"/>
                <w:sz w:val="20"/>
                <w:szCs w:val="20"/>
              </w:rPr>
              <w:t xml:space="preserve">ГАУЗ </w:t>
            </w:r>
            <w:r>
              <w:rPr>
                <w:color w:val="000000"/>
                <w:sz w:val="20"/>
                <w:szCs w:val="20"/>
              </w:rPr>
              <w:t>«</w:t>
            </w:r>
            <w:r w:rsidRPr="00E8065F">
              <w:rPr>
                <w:color w:val="000000"/>
                <w:sz w:val="20"/>
                <w:szCs w:val="20"/>
              </w:rPr>
              <w:t>Заинская ЦРБ</w:t>
            </w:r>
            <w:r>
              <w:rPr>
                <w:color w:val="000000"/>
                <w:sz w:val="20"/>
                <w:szCs w:val="20"/>
              </w:rPr>
              <w:t>»</w:t>
            </w:r>
          </w:p>
        </w:tc>
        <w:tc>
          <w:tcPr>
            <w:tcW w:w="1994" w:type="dxa"/>
            <w:shd w:val="clear" w:color="auto" w:fill="auto"/>
          </w:tcPr>
          <w:p w:rsidR="006C7C44" w:rsidRDefault="008B3E41" w:rsidP="006C7C44">
            <w:pPr>
              <w:jc w:val="center"/>
            </w:pPr>
            <w:r>
              <w:rPr>
                <w:sz w:val="20"/>
                <w:szCs w:val="20"/>
              </w:rPr>
              <w:t xml:space="preserve">Аппараты </w:t>
            </w:r>
            <w:r>
              <w:rPr>
                <w:rFonts w:eastAsia="Arial"/>
                <w:sz w:val="20"/>
                <w:szCs w:val="20"/>
              </w:rPr>
              <w:t>для ультразвуковых исследований</w:t>
            </w:r>
          </w:p>
        </w:tc>
        <w:tc>
          <w:tcPr>
            <w:tcW w:w="1181" w:type="dxa"/>
            <w:shd w:val="clear" w:color="auto" w:fill="auto"/>
          </w:tcPr>
          <w:p w:rsidR="006C7C44" w:rsidRPr="00E8065F" w:rsidRDefault="006C7C44" w:rsidP="006C7C44">
            <w:pPr>
              <w:jc w:val="center"/>
              <w:rPr>
                <w:sz w:val="20"/>
                <w:szCs w:val="20"/>
              </w:rPr>
            </w:pPr>
            <w:r w:rsidRPr="00E8065F">
              <w:rPr>
                <w:sz w:val="20"/>
                <w:szCs w:val="20"/>
              </w:rPr>
              <w:t>2011</w:t>
            </w:r>
            <w:r w:rsidR="00793DC9">
              <w:rPr>
                <w:sz w:val="20"/>
                <w:szCs w:val="20"/>
              </w:rPr>
              <w:t xml:space="preserve"> </w:t>
            </w:r>
            <w:r>
              <w:rPr>
                <w:sz w:val="20"/>
                <w:szCs w:val="20"/>
              </w:rPr>
              <w:t>(1)</w:t>
            </w:r>
          </w:p>
          <w:p w:rsidR="006C7C44" w:rsidRPr="00E8065F" w:rsidRDefault="006C7C44" w:rsidP="006C7C44">
            <w:pPr>
              <w:jc w:val="center"/>
              <w:rPr>
                <w:sz w:val="20"/>
                <w:szCs w:val="20"/>
              </w:rPr>
            </w:pPr>
            <w:r w:rsidRPr="00E8065F">
              <w:rPr>
                <w:sz w:val="20"/>
                <w:szCs w:val="20"/>
              </w:rPr>
              <w:t>2014</w:t>
            </w:r>
            <w:r w:rsidR="00793DC9">
              <w:rPr>
                <w:sz w:val="20"/>
                <w:szCs w:val="20"/>
              </w:rPr>
              <w:t xml:space="preserve"> </w:t>
            </w:r>
            <w:r>
              <w:rPr>
                <w:sz w:val="20"/>
                <w:szCs w:val="20"/>
              </w:rPr>
              <w:t>(1)</w:t>
            </w:r>
          </w:p>
          <w:p w:rsidR="006C7C44" w:rsidRPr="00E8065F" w:rsidRDefault="006C7C44" w:rsidP="006C7C44">
            <w:pPr>
              <w:jc w:val="center"/>
              <w:rPr>
                <w:sz w:val="20"/>
                <w:szCs w:val="20"/>
              </w:rPr>
            </w:pPr>
            <w:r w:rsidRPr="00E8065F">
              <w:rPr>
                <w:sz w:val="20"/>
                <w:szCs w:val="20"/>
              </w:rPr>
              <w:t>2017</w:t>
            </w:r>
            <w:r w:rsidR="00793DC9">
              <w:rPr>
                <w:sz w:val="20"/>
                <w:szCs w:val="20"/>
              </w:rPr>
              <w:t xml:space="preserve"> </w:t>
            </w:r>
            <w:r>
              <w:rPr>
                <w:sz w:val="20"/>
                <w:szCs w:val="20"/>
              </w:rPr>
              <w:t>(1)</w:t>
            </w:r>
          </w:p>
          <w:p w:rsidR="006C7C44" w:rsidRPr="00E8065F" w:rsidRDefault="006C7C44" w:rsidP="006C7C44">
            <w:pPr>
              <w:jc w:val="center"/>
              <w:rPr>
                <w:sz w:val="20"/>
                <w:szCs w:val="20"/>
              </w:rPr>
            </w:pPr>
            <w:r w:rsidRPr="00E8065F">
              <w:rPr>
                <w:sz w:val="20"/>
                <w:szCs w:val="20"/>
              </w:rPr>
              <w:t>2018</w:t>
            </w:r>
            <w:r w:rsidR="00793DC9">
              <w:rPr>
                <w:sz w:val="20"/>
                <w:szCs w:val="20"/>
              </w:rPr>
              <w:t xml:space="preserve"> </w:t>
            </w:r>
            <w:r>
              <w:rPr>
                <w:sz w:val="20"/>
                <w:szCs w:val="20"/>
              </w:rPr>
              <w:t>(3)</w:t>
            </w:r>
          </w:p>
          <w:p w:rsidR="006C7C44" w:rsidRPr="00E8065F" w:rsidRDefault="006C7C44" w:rsidP="006C7C44">
            <w:pPr>
              <w:jc w:val="center"/>
              <w:rPr>
                <w:sz w:val="20"/>
                <w:szCs w:val="20"/>
              </w:rPr>
            </w:pPr>
            <w:r w:rsidRPr="00E8065F">
              <w:rPr>
                <w:sz w:val="20"/>
                <w:szCs w:val="20"/>
              </w:rPr>
              <w:t>2019</w:t>
            </w:r>
            <w:r w:rsidR="00793DC9">
              <w:rPr>
                <w:sz w:val="20"/>
                <w:szCs w:val="20"/>
              </w:rPr>
              <w:t xml:space="preserve"> </w:t>
            </w:r>
            <w:r>
              <w:rPr>
                <w:sz w:val="20"/>
                <w:szCs w:val="20"/>
              </w:rPr>
              <w:t>(1)</w:t>
            </w:r>
          </w:p>
          <w:p w:rsidR="006C7C44" w:rsidRPr="00E8065F" w:rsidRDefault="006C7C44" w:rsidP="006C7C44">
            <w:pPr>
              <w:jc w:val="center"/>
              <w:rPr>
                <w:sz w:val="20"/>
                <w:szCs w:val="20"/>
              </w:rPr>
            </w:pPr>
            <w:r w:rsidRPr="00E8065F">
              <w:rPr>
                <w:sz w:val="20"/>
                <w:szCs w:val="20"/>
              </w:rPr>
              <w:t>2020</w:t>
            </w:r>
            <w:r w:rsidR="00793DC9">
              <w:rPr>
                <w:sz w:val="20"/>
                <w:szCs w:val="20"/>
              </w:rPr>
              <w:t xml:space="preserve"> </w:t>
            </w:r>
            <w:r>
              <w:rPr>
                <w:sz w:val="20"/>
                <w:szCs w:val="20"/>
              </w:rPr>
              <w:t>(1)</w:t>
            </w:r>
          </w:p>
          <w:p w:rsidR="006C7C44" w:rsidRPr="00E8065F" w:rsidRDefault="006C7C44" w:rsidP="006C7C44">
            <w:pPr>
              <w:jc w:val="center"/>
              <w:rPr>
                <w:sz w:val="20"/>
                <w:szCs w:val="20"/>
              </w:rPr>
            </w:pPr>
            <w:r w:rsidRPr="00E8065F">
              <w:rPr>
                <w:sz w:val="20"/>
                <w:szCs w:val="20"/>
              </w:rPr>
              <w:t>2021</w:t>
            </w:r>
            <w:r w:rsidR="00793DC9">
              <w:rPr>
                <w:sz w:val="20"/>
                <w:szCs w:val="20"/>
              </w:rPr>
              <w:t xml:space="preserve"> </w:t>
            </w:r>
            <w:r>
              <w:rPr>
                <w:sz w:val="20"/>
                <w:szCs w:val="20"/>
              </w:rPr>
              <w:t>(1)</w:t>
            </w:r>
          </w:p>
        </w:tc>
        <w:tc>
          <w:tcPr>
            <w:tcW w:w="1181" w:type="dxa"/>
            <w:tcBorders>
              <w:top w:val="nil"/>
              <w:left w:val="single" w:sz="4" w:space="0" w:color="auto"/>
              <w:bottom w:val="single" w:sz="4" w:space="0" w:color="auto"/>
              <w:right w:val="single" w:sz="4" w:space="0" w:color="auto"/>
            </w:tcBorders>
            <w:shd w:val="clear" w:color="auto" w:fill="auto"/>
          </w:tcPr>
          <w:p w:rsidR="006C7C44" w:rsidRPr="00BC5958" w:rsidRDefault="006C7C44" w:rsidP="006C7C44">
            <w:pPr>
              <w:jc w:val="center"/>
              <w:rPr>
                <w:color w:val="000000"/>
                <w:sz w:val="20"/>
                <w:szCs w:val="20"/>
              </w:rPr>
            </w:pPr>
            <w:r w:rsidRPr="00BC5958">
              <w:rPr>
                <w:color w:val="000000"/>
                <w:sz w:val="20"/>
                <w:szCs w:val="20"/>
              </w:rPr>
              <w:t>9</w:t>
            </w:r>
          </w:p>
        </w:tc>
        <w:tc>
          <w:tcPr>
            <w:tcW w:w="1478" w:type="dxa"/>
            <w:tcBorders>
              <w:top w:val="nil"/>
              <w:left w:val="single" w:sz="4" w:space="0" w:color="auto"/>
              <w:bottom w:val="single" w:sz="4" w:space="0" w:color="auto"/>
              <w:right w:val="single" w:sz="4" w:space="0" w:color="auto"/>
            </w:tcBorders>
            <w:shd w:val="clear" w:color="auto" w:fill="auto"/>
          </w:tcPr>
          <w:p w:rsidR="006C7C44" w:rsidRPr="00E8065F" w:rsidRDefault="006C7C44" w:rsidP="006C7C44">
            <w:pPr>
              <w:jc w:val="center"/>
              <w:rPr>
                <w:color w:val="000000"/>
                <w:sz w:val="20"/>
                <w:szCs w:val="20"/>
              </w:rPr>
            </w:pPr>
            <w:r w:rsidRPr="00E8065F">
              <w:rPr>
                <w:color w:val="000000"/>
                <w:sz w:val="20"/>
                <w:szCs w:val="20"/>
              </w:rPr>
              <w:t>154,6</w:t>
            </w:r>
          </w:p>
        </w:tc>
        <w:tc>
          <w:tcPr>
            <w:tcW w:w="1111" w:type="dxa"/>
            <w:tcBorders>
              <w:top w:val="nil"/>
              <w:left w:val="nil"/>
              <w:bottom w:val="single" w:sz="4" w:space="0" w:color="auto"/>
              <w:right w:val="single" w:sz="4" w:space="0" w:color="auto"/>
            </w:tcBorders>
            <w:shd w:val="clear" w:color="auto" w:fill="auto"/>
          </w:tcPr>
          <w:p w:rsidR="006C7C44" w:rsidRPr="00E8065F" w:rsidRDefault="006C7C44" w:rsidP="006C7C44">
            <w:pPr>
              <w:jc w:val="center"/>
              <w:rPr>
                <w:color w:val="000000"/>
                <w:sz w:val="20"/>
                <w:szCs w:val="20"/>
              </w:rPr>
            </w:pPr>
            <w:r w:rsidRPr="00E8065F">
              <w:rPr>
                <w:color w:val="000000"/>
                <w:sz w:val="20"/>
                <w:szCs w:val="20"/>
              </w:rPr>
              <w:t>1</w:t>
            </w:r>
          </w:p>
        </w:tc>
        <w:tc>
          <w:tcPr>
            <w:tcW w:w="1944" w:type="dxa"/>
            <w:tcBorders>
              <w:top w:val="nil"/>
              <w:left w:val="single" w:sz="4" w:space="0" w:color="auto"/>
              <w:bottom w:val="single" w:sz="4" w:space="0" w:color="auto"/>
              <w:right w:val="single" w:sz="4" w:space="0" w:color="auto"/>
            </w:tcBorders>
            <w:shd w:val="clear" w:color="auto" w:fill="auto"/>
          </w:tcPr>
          <w:p w:rsidR="006C7C44" w:rsidRPr="00E8065F" w:rsidRDefault="006C7C44" w:rsidP="006C7C44">
            <w:pPr>
              <w:jc w:val="center"/>
              <w:rPr>
                <w:color w:val="000000"/>
                <w:sz w:val="20"/>
                <w:szCs w:val="20"/>
              </w:rPr>
            </w:pPr>
            <w:r w:rsidRPr="00E8065F">
              <w:rPr>
                <w:color w:val="000000"/>
                <w:sz w:val="20"/>
                <w:szCs w:val="20"/>
              </w:rPr>
              <w:t>Амбулаторное</w:t>
            </w:r>
          </w:p>
        </w:tc>
      </w:tr>
      <w:tr w:rsidR="006C7C44" w:rsidRPr="00E8065F" w:rsidTr="000546C2">
        <w:trPr>
          <w:trHeight w:val="20"/>
        </w:trPr>
        <w:tc>
          <w:tcPr>
            <w:tcW w:w="1555" w:type="dxa"/>
            <w:vMerge/>
          </w:tcPr>
          <w:p w:rsidR="006C7C44" w:rsidRPr="00E8065F" w:rsidRDefault="006C7C44" w:rsidP="006C7C44">
            <w:pPr>
              <w:rPr>
                <w:color w:val="000000"/>
                <w:sz w:val="20"/>
                <w:szCs w:val="20"/>
              </w:rPr>
            </w:pPr>
          </w:p>
        </w:tc>
        <w:tc>
          <w:tcPr>
            <w:tcW w:w="3685" w:type="dxa"/>
            <w:tcBorders>
              <w:top w:val="nil"/>
              <w:left w:val="single" w:sz="4" w:space="0" w:color="auto"/>
              <w:bottom w:val="single" w:sz="4" w:space="0" w:color="auto"/>
              <w:right w:val="single" w:sz="4" w:space="0" w:color="auto"/>
            </w:tcBorders>
            <w:shd w:val="clear" w:color="auto" w:fill="auto"/>
          </w:tcPr>
          <w:p w:rsidR="006C7C44" w:rsidRPr="00E8065F" w:rsidRDefault="006C7C44" w:rsidP="006C7C44">
            <w:pPr>
              <w:jc w:val="both"/>
              <w:rPr>
                <w:color w:val="000000"/>
                <w:sz w:val="20"/>
                <w:szCs w:val="20"/>
              </w:rPr>
            </w:pPr>
            <w:r w:rsidRPr="00E8065F">
              <w:rPr>
                <w:color w:val="000000"/>
                <w:sz w:val="20"/>
                <w:szCs w:val="20"/>
              </w:rPr>
              <w:t xml:space="preserve">ГАУЗ </w:t>
            </w:r>
            <w:r>
              <w:rPr>
                <w:color w:val="000000"/>
                <w:sz w:val="20"/>
                <w:szCs w:val="20"/>
              </w:rPr>
              <w:t>«</w:t>
            </w:r>
            <w:r w:rsidRPr="00E8065F">
              <w:rPr>
                <w:color w:val="000000"/>
                <w:sz w:val="20"/>
                <w:szCs w:val="20"/>
              </w:rPr>
              <w:t>Зеленодольская ЦРБ</w:t>
            </w:r>
            <w:r>
              <w:rPr>
                <w:color w:val="000000"/>
                <w:sz w:val="20"/>
                <w:szCs w:val="20"/>
              </w:rPr>
              <w:t>»</w:t>
            </w:r>
          </w:p>
        </w:tc>
        <w:tc>
          <w:tcPr>
            <w:tcW w:w="1994" w:type="dxa"/>
            <w:shd w:val="clear" w:color="auto" w:fill="auto"/>
          </w:tcPr>
          <w:p w:rsidR="006C7C44" w:rsidRDefault="008B3E41" w:rsidP="006C7C44">
            <w:pPr>
              <w:jc w:val="center"/>
            </w:pPr>
            <w:r>
              <w:rPr>
                <w:sz w:val="20"/>
                <w:szCs w:val="20"/>
              </w:rPr>
              <w:t xml:space="preserve">Аппараты </w:t>
            </w:r>
            <w:r>
              <w:rPr>
                <w:rFonts w:eastAsia="Arial"/>
                <w:sz w:val="20"/>
                <w:szCs w:val="20"/>
              </w:rPr>
              <w:t>для ультразвуковых исследований</w:t>
            </w:r>
          </w:p>
        </w:tc>
        <w:tc>
          <w:tcPr>
            <w:tcW w:w="1181" w:type="dxa"/>
            <w:shd w:val="clear" w:color="auto" w:fill="auto"/>
          </w:tcPr>
          <w:p w:rsidR="006C7C44" w:rsidRPr="00E8065F" w:rsidRDefault="006C7C44" w:rsidP="006C7C44">
            <w:pPr>
              <w:jc w:val="center"/>
              <w:rPr>
                <w:sz w:val="20"/>
                <w:szCs w:val="20"/>
              </w:rPr>
            </w:pPr>
            <w:r w:rsidRPr="00E8065F">
              <w:rPr>
                <w:sz w:val="20"/>
                <w:szCs w:val="20"/>
              </w:rPr>
              <w:t>2006</w:t>
            </w:r>
            <w:r w:rsidR="00793DC9">
              <w:rPr>
                <w:sz w:val="20"/>
                <w:szCs w:val="20"/>
              </w:rPr>
              <w:t xml:space="preserve"> </w:t>
            </w:r>
            <w:r>
              <w:rPr>
                <w:sz w:val="20"/>
                <w:szCs w:val="20"/>
              </w:rPr>
              <w:t>(2)</w:t>
            </w:r>
          </w:p>
          <w:p w:rsidR="006C7C44" w:rsidRPr="00E8065F" w:rsidRDefault="006C7C44" w:rsidP="006C7C44">
            <w:pPr>
              <w:jc w:val="center"/>
              <w:rPr>
                <w:sz w:val="20"/>
                <w:szCs w:val="20"/>
              </w:rPr>
            </w:pPr>
            <w:r w:rsidRPr="00E8065F">
              <w:rPr>
                <w:sz w:val="20"/>
                <w:szCs w:val="20"/>
              </w:rPr>
              <w:t>2007</w:t>
            </w:r>
            <w:r w:rsidR="00793DC9">
              <w:rPr>
                <w:sz w:val="20"/>
                <w:szCs w:val="20"/>
              </w:rPr>
              <w:t xml:space="preserve"> </w:t>
            </w:r>
            <w:r>
              <w:rPr>
                <w:sz w:val="20"/>
                <w:szCs w:val="20"/>
              </w:rPr>
              <w:t>(2)</w:t>
            </w:r>
          </w:p>
          <w:p w:rsidR="006C7C44" w:rsidRPr="00E8065F" w:rsidRDefault="006C7C44" w:rsidP="006C7C44">
            <w:pPr>
              <w:jc w:val="center"/>
              <w:rPr>
                <w:sz w:val="20"/>
                <w:szCs w:val="20"/>
              </w:rPr>
            </w:pPr>
            <w:r w:rsidRPr="00E8065F">
              <w:rPr>
                <w:sz w:val="20"/>
                <w:szCs w:val="20"/>
              </w:rPr>
              <w:t>2008</w:t>
            </w:r>
            <w:r w:rsidR="00793DC9">
              <w:rPr>
                <w:sz w:val="20"/>
                <w:szCs w:val="20"/>
              </w:rPr>
              <w:t xml:space="preserve"> </w:t>
            </w:r>
            <w:r>
              <w:rPr>
                <w:sz w:val="20"/>
                <w:szCs w:val="20"/>
              </w:rPr>
              <w:t>(3)</w:t>
            </w:r>
          </w:p>
          <w:p w:rsidR="006C7C44" w:rsidRPr="00E8065F" w:rsidRDefault="006C7C44" w:rsidP="006C7C44">
            <w:pPr>
              <w:jc w:val="center"/>
              <w:rPr>
                <w:sz w:val="20"/>
                <w:szCs w:val="20"/>
              </w:rPr>
            </w:pPr>
            <w:r w:rsidRPr="00E8065F">
              <w:rPr>
                <w:sz w:val="20"/>
                <w:szCs w:val="20"/>
              </w:rPr>
              <w:t>2010</w:t>
            </w:r>
            <w:r w:rsidR="00793DC9">
              <w:rPr>
                <w:sz w:val="20"/>
                <w:szCs w:val="20"/>
              </w:rPr>
              <w:t xml:space="preserve"> </w:t>
            </w:r>
            <w:r>
              <w:rPr>
                <w:sz w:val="20"/>
                <w:szCs w:val="20"/>
              </w:rPr>
              <w:t>(2)</w:t>
            </w:r>
          </w:p>
          <w:p w:rsidR="006C7C44" w:rsidRPr="00E8065F" w:rsidRDefault="006C7C44" w:rsidP="006C7C44">
            <w:pPr>
              <w:jc w:val="center"/>
              <w:rPr>
                <w:sz w:val="20"/>
                <w:szCs w:val="20"/>
              </w:rPr>
            </w:pPr>
            <w:r w:rsidRPr="00E8065F">
              <w:rPr>
                <w:sz w:val="20"/>
                <w:szCs w:val="20"/>
              </w:rPr>
              <w:t>2011</w:t>
            </w:r>
            <w:r w:rsidR="00793DC9">
              <w:rPr>
                <w:sz w:val="20"/>
                <w:szCs w:val="20"/>
              </w:rPr>
              <w:t xml:space="preserve"> </w:t>
            </w:r>
            <w:r>
              <w:rPr>
                <w:sz w:val="20"/>
                <w:szCs w:val="20"/>
              </w:rPr>
              <w:t>(2)</w:t>
            </w:r>
          </w:p>
          <w:p w:rsidR="006C7C44" w:rsidRPr="00E8065F" w:rsidRDefault="006C7C44" w:rsidP="006C7C44">
            <w:pPr>
              <w:jc w:val="center"/>
              <w:rPr>
                <w:sz w:val="20"/>
                <w:szCs w:val="20"/>
              </w:rPr>
            </w:pPr>
            <w:r w:rsidRPr="00E8065F">
              <w:rPr>
                <w:sz w:val="20"/>
                <w:szCs w:val="20"/>
              </w:rPr>
              <w:t>2012</w:t>
            </w:r>
            <w:r w:rsidR="00793DC9">
              <w:rPr>
                <w:sz w:val="20"/>
                <w:szCs w:val="20"/>
              </w:rPr>
              <w:t xml:space="preserve"> </w:t>
            </w:r>
            <w:r>
              <w:rPr>
                <w:sz w:val="20"/>
                <w:szCs w:val="20"/>
              </w:rPr>
              <w:t>(1)</w:t>
            </w:r>
          </w:p>
          <w:p w:rsidR="006C7C44" w:rsidRPr="00E8065F" w:rsidRDefault="006C7C44" w:rsidP="006C7C44">
            <w:pPr>
              <w:jc w:val="center"/>
              <w:rPr>
                <w:sz w:val="20"/>
                <w:szCs w:val="20"/>
              </w:rPr>
            </w:pPr>
            <w:r w:rsidRPr="00E8065F">
              <w:rPr>
                <w:sz w:val="20"/>
                <w:szCs w:val="20"/>
              </w:rPr>
              <w:t>2014</w:t>
            </w:r>
            <w:r w:rsidR="00793DC9">
              <w:rPr>
                <w:sz w:val="20"/>
                <w:szCs w:val="20"/>
              </w:rPr>
              <w:t xml:space="preserve"> </w:t>
            </w:r>
            <w:r>
              <w:rPr>
                <w:sz w:val="20"/>
                <w:szCs w:val="20"/>
              </w:rPr>
              <w:t>(1)</w:t>
            </w:r>
          </w:p>
          <w:p w:rsidR="006C7C44" w:rsidRPr="00E8065F" w:rsidRDefault="006C7C44" w:rsidP="006C7C44">
            <w:pPr>
              <w:jc w:val="center"/>
              <w:rPr>
                <w:sz w:val="20"/>
                <w:szCs w:val="20"/>
              </w:rPr>
            </w:pPr>
            <w:r w:rsidRPr="00E8065F">
              <w:rPr>
                <w:sz w:val="20"/>
                <w:szCs w:val="20"/>
              </w:rPr>
              <w:t>2015</w:t>
            </w:r>
            <w:r w:rsidR="00793DC9">
              <w:rPr>
                <w:sz w:val="20"/>
                <w:szCs w:val="20"/>
              </w:rPr>
              <w:t xml:space="preserve"> </w:t>
            </w:r>
            <w:r>
              <w:rPr>
                <w:sz w:val="20"/>
                <w:szCs w:val="20"/>
              </w:rPr>
              <w:t>(3)</w:t>
            </w:r>
          </w:p>
          <w:p w:rsidR="006C7C44" w:rsidRPr="00E8065F" w:rsidRDefault="006C7C44" w:rsidP="006C7C44">
            <w:pPr>
              <w:jc w:val="center"/>
              <w:rPr>
                <w:sz w:val="20"/>
                <w:szCs w:val="20"/>
              </w:rPr>
            </w:pPr>
            <w:r w:rsidRPr="00E8065F">
              <w:rPr>
                <w:sz w:val="20"/>
                <w:szCs w:val="20"/>
              </w:rPr>
              <w:t>2016</w:t>
            </w:r>
            <w:r w:rsidR="00793DC9">
              <w:rPr>
                <w:sz w:val="20"/>
                <w:szCs w:val="20"/>
              </w:rPr>
              <w:t xml:space="preserve"> </w:t>
            </w:r>
            <w:r>
              <w:rPr>
                <w:sz w:val="20"/>
                <w:szCs w:val="20"/>
              </w:rPr>
              <w:t>(3)</w:t>
            </w:r>
          </w:p>
          <w:p w:rsidR="006C7C44" w:rsidRPr="00E8065F" w:rsidRDefault="006C7C44" w:rsidP="006C7C44">
            <w:pPr>
              <w:jc w:val="center"/>
              <w:rPr>
                <w:sz w:val="20"/>
                <w:szCs w:val="20"/>
              </w:rPr>
            </w:pPr>
            <w:r w:rsidRPr="00E8065F">
              <w:rPr>
                <w:sz w:val="20"/>
                <w:szCs w:val="20"/>
              </w:rPr>
              <w:t>2019</w:t>
            </w:r>
            <w:r w:rsidR="00793DC9">
              <w:rPr>
                <w:sz w:val="20"/>
                <w:szCs w:val="20"/>
              </w:rPr>
              <w:t xml:space="preserve"> </w:t>
            </w:r>
            <w:r>
              <w:rPr>
                <w:sz w:val="20"/>
                <w:szCs w:val="20"/>
              </w:rPr>
              <w:t>(3)</w:t>
            </w:r>
          </w:p>
          <w:p w:rsidR="006C7C44" w:rsidRPr="00E8065F" w:rsidRDefault="006C7C44" w:rsidP="006C7C44">
            <w:pPr>
              <w:jc w:val="center"/>
              <w:rPr>
                <w:sz w:val="20"/>
                <w:szCs w:val="20"/>
              </w:rPr>
            </w:pPr>
            <w:r w:rsidRPr="00E8065F">
              <w:rPr>
                <w:sz w:val="20"/>
                <w:szCs w:val="20"/>
              </w:rPr>
              <w:t>2020</w:t>
            </w:r>
            <w:r w:rsidR="00793DC9">
              <w:rPr>
                <w:sz w:val="20"/>
                <w:szCs w:val="20"/>
              </w:rPr>
              <w:t xml:space="preserve"> </w:t>
            </w:r>
            <w:r>
              <w:rPr>
                <w:sz w:val="20"/>
                <w:szCs w:val="20"/>
              </w:rPr>
              <w:t>(1)</w:t>
            </w:r>
          </w:p>
          <w:p w:rsidR="006C7C44" w:rsidRPr="00E8065F" w:rsidRDefault="006C7C44" w:rsidP="006C7C44">
            <w:pPr>
              <w:jc w:val="center"/>
              <w:rPr>
                <w:sz w:val="20"/>
                <w:szCs w:val="20"/>
              </w:rPr>
            </w:pPr>
            <w:r w:rsidRPr="00E8065F">
              <w:rPr>
                <w:sz w:val="20"/>
                <w:szCs w:val="20"/>
              </w:rPr>
              <w:t>2021</w:t>
            </w:r>
            <w:r w:rsidR="00793DC9">
              <w:rPr>
                <w:sz w:val="20"/>
                <w:szCs w:val="20"/>
              </w:rPr>
              <w:t xml:space="preserve"> </w:t>
            </w:r>
            <w:r>
              <w:rPr>
                <w:sz w:val="20"/>
                <w:szCs w:val="20"/>
              </w:rPr>
              <w:t>(5)</w:t>
            </w:r>
          </w:p>
          <w:p w:rsidR="006C7C44" w:rsidRPr="00E8065F" w:rsidRDefault="006C7C44" w:rsidP="006C7C44">
            <w:pPr>
              <w:jc w:val="center"/>
              <w:rPr>
                <w:sz w:val="20"/>
                <w:szCs w:val="20"/>
              </w:rPr>
            </w:pPr>
            <w:r w:rsidRPr="00E8065F">
              <w:rPr>
                <w:sz w:val="20"/>
                <w:szCs w:val="20"/>
              </w:rPr>
              <w:t>2023</w:t>
            </w:r>
            <w:r w:rsidR="00793DC9">
              <w:rPr>
                <w:sz w:val="20"/>
                <w:szCs w:val="20"/>
              </w:rPr>
              <w:t xml:space="preserve"> </w:t>
            </w:r>
            <w:r>
              <w:rPr>
                <w:sz w:val="20"/>
                <w:szCs w:val="20"/>
              </w:rPr>
              <w:t>(5)</w:t>
            </w:r>
          </w:p>
          <w:p w:rsidR="006C7C44" w:rsidRPr="00E8065F" w:rsidRDefault="006C7C44" w:rsidP="006C7C44">
            <w:pPr>
              <w:jc w:val="center"/>
              <w:rPr>
                <w:sz w:val="20"/>
                <w:szCs w:val="20"/>
              </w:rPr>
            </w:pPr>
            <w:r w:rsidRPr="00E8065F">
              <w:rPr>
                <w:sz w:val="20"/>
                <w:szCs w:val="20"/>
              </w:rPr>
              <w:t>2024</w:t>
            </w:r>
            <w:r w:rsidR="00793DC9">
              <w:rPr>
                <w:sz w:val="20"/>
                <w:szCs w:val="20"/>
              </w:rPr>
              <w:t xml:space="preserve"> </w:t>
            </w:r>
            <w:r>
              <w:rPr>
                <w:sz w:val="20"/>
                <w:szCs w:val="20"/>
              </w:rPr>
              <w:t>(1)</w:t>
            </w:r>
          </w:p>
        </w:tc>
        <w:tc>
          <w:tcPr>
            <w:tcW w:w="1181" w:type="dxa"/>
            <w:tcBorders>
              <w:top w:val="nil"/>
              <w:left w:val="single" w:sz="4" w:space="0" w:color="auto"/>
              <w:bottom w:val="single" w:sz="4" w:space="0" w:color="auto"/>
              <w:right w:val="single" w:sz="4" w:space="0" w:color="auto"/>
            </w:tcBorders>
            <w:shd w:val="clear" w:color="auto" w:fill="auto"/>
          </w:tcPr>
          <w:p w:rsidR="006C7C44" w:rsidRPr="00BC5958" w:rsidRDefault="006C7C44" w:rsidP="006C7C44">
            <w:pPr>
              <w:jc w:val="center"/>
              <w:rPr>
                <w:color w:val="000000"/>
                <w:sz w:val="20"/>
                <w:szCs w:val="20"/>
              </w:rPr>
            </w:pPr>
            <w:r w:rsidRPr="00BC5958">
              <w:rPr>
                <w:color w:val="000000"/>
                <w:sz w:val="20"/>
                <w:szCs w:val="20"/>
              </w:rPr>
              <w:t>34</w:t>
            </w:r>
          </w:p>
        </w:tc>
        <w:tc>
          <w:tcPr>
            <w:tcW w:w="1478" w:type="dxa"/>
            <w:tcBorders>
              <w:top w:val="nil"/>
              <w:left w:val="single" w:sz="4" w:space="0" w:color="auto"/>
              <w:bottom w:val="single" w:sz="4" w:space="0" w:color="auto"/>
              <w:right w:val="single" w:sz="4" w:space="0" w:color="auto"/>
            </w:tcBorders>
            <w:shd w:val="clear" w:color="auto" w:fill="auto"/>
          </w:tcPr>
          <w:p w:rsidR="006C7C44" w:rsidRPr="00E8065F" w:rsidRDefault="006C7C44" w:rsidP="006C7C44">
            <w:pPr>
              <w:jc w:val="center"/>
              <w:rPr>
                <w:color w:val="000000"/>
                <w:sz w:val="20"/>
                <w:szCs w:val="20"/>
              </w:rPr>
            </w:pPr>
            <w:r w:rsidRPr="00E8065F">
              <w:rPr>
                <w:color w:val="000000"/>
                <w:sz w:val="20"/>
                <w:szCs w:val="20"/>
              </w:rPr>
              <w:t>498,2</w:t>
            </w:r>
          </w:p>
        </w:tc>
        <w:tc>
          <w:tcPr>
            <w:tcW w:w="1111" w:type="dxa"/>
            <w:tcBorders>
              <w:top w:val="nil"/>
              <w:left w:val="nil"/>
              <w:bottom w:val="single" w:sz="4" w:space="0" w:color="auto"/>
              <w:right w:val="single" w:sz="4" w:space="0" w:color="auto"/>
            </w:tcBorders>
            <w:shd w:val="clear" w:color="auto" w:fill="auto"/>
          </w:tcPr>
          <w:p w:rsidR="006C7C44" w:rsidRPr="00E8065F" w:rsidRDefault="006C7C44" w:rsidP="006C7C44">
            <w:pPr>
              <w:jc w:val="center"/>
              <w:rPr>
                <w:color w:val="000000"/>
                <w:sz w:val="20"/>
                <w:szCs w:val="20"/>
              </w:rPr>
            </w:pPr>
            <w:r w:rsidRPr="00E8065F">
              <w:rPr>
                <w:color w:val="000000"/>
                <w:sz w:val="20"/>
                <w:szCs w:val="20"/>
              </w:rPr>
              <w:t>1</w:t>
            </w:r>
          </w:p>
        </w:tc>
        <w:tc>
          <w:tcPr>
            <w:tcW w:w="1944" w:type="dxa"/>
            <w:tcBorders>
              <w:top w:val="nil"/>
              <w:left w:val="single" w:sz="4" w:space="0" w:color="auto"/>
              <w:bottom w:val="single" w:sz="4" w:space="0" w:color="auto"/>
              <w:right w:val="single" w:sz="4" w:space="0" w:color="auto"/>
            </w:tcBorders>
            <w:shd w:val="clear" w:color="auto" w:fill="auto"/>
          </w:tcPr>
          <w:p w:rsidR="006C7C44" w:rsidRPr="00E8065F" w:rsidRDefault="006C7C44" w:rsidP="006C7C44">
            <w:pPr>
              <w:jc w:val="center"/>
              <w:rPr>
                <w:color w:val="000000"/>
                <w:sz w:val="20"/>
                <w:szCs w:val="20"/>
              </w:rPr>
            </w:pPr>
            <w:r w:rsidRPr="00E8065F">
              <w:rPr>
                <w:color w:val="000000"/>
                <w:sz w:val="20"/>
                <w:szCs w:val="20"/>
              </w:rPr>
              <w:t>Амбулаторное/стационарное</w:t>
            </w:r>
          </w:p>
        </w:tc>
      </w:tr>
      <w:tr w:rsidR="006C7C44" w:rsidRPr="00E8065F" w:rsidTr="000546C2">
        <w:trPr>
          <w:trHeight w:val="20"/>
        </w:trPr>
        <w:tc>
          <w:tcPr>
            <w:tcW w:w="1555" w:type="dxa"/>
            <w:vMerge/>
          </w:tcPr>
          <w:p w:rsidR="006C7C44" w:rsidRPr="00E8065F" w:rsidRDefault="006C7C44" w:rsidP="006C7C44">
            <w:pPr>
              <w:rPr>
                <w:color w:val="000000"/>
                <w:sz w:val="20"/>
                <w:szCs w:val="20"/>
              </w:rPr>
            </w:pPr>
          </w:p>
        </w:tc>
        <w:tc>
          <w:tcPr>
            <w:tcW w:w="3685" w:type="dxa"/>
            <w:tcBorders>
              <w:top w:val="nil"/>
              <w:left w:val="single" w:sz="4" w:space="0" w:color="auto"/>
              <w:bottom w:val="single" w:sz="4" w:space="0" w:color="auto"/>
              <w:right w:val="single" w:sz="4" w:space="0" w:color="auto"/>
            </w:tcBorders>
            <w:shd w:val="clear" w:color="auto" w:fill="auto"/>
          </w:tcPr>
          <w:p w:rsidR="006C7C44" w:rsidRPr="00E8065F" w:rsidRDefault="006C7C44" w:rsidP="006C7C44">
            <w:pPr>
              <w:jc w:val="both"/>
              <w:rPr>
                <w:color w:val="000000"/>
                <w:sz w:val="20"/>
                <w:szCs w:val="20"/>
              </w:rPr>
            </w:pPr>
            <w:r w:rsidRPr="00E8065F">
              <w:rPr>
                <w:color w:val="000000"/>
                <w:sz w:val="20"/>
                <w:szCs w:val="20"/>
              </w:rPr>
              <w:t xml:space="preserve">ГАУЗ </w:t>
            </w:r>
            <w:r>
              <w:rPr>
                <w:color w:val="000000"/>
                <w:sz w:val="20"/>
                <w:szCs w:val="20"/>
              </w:rPr>
              <w:t>«</w:t>
            </w:r>
            <w:r w:rsidRPr="00E8065F">
              <w:rPr>
                <w:color w:val="000000"/>
                <w:sz w:val="20"/>
                <w:szCs w:val="20"/>
              </w:rPr>
              <w:t>Кайбицкая ЦРБ</w:t>
            </w:r>
            <w:r>
              <w:rPr>
                <w:color w:val="000000"/>
                <w:sz w:val="20"/>
                <w:szCs w:val="20"/>
              </w:rPr>
              <w:t>»</w:t>
            </w:r>
          </w:p>
        </w:tc>
        <w:tc>
          <w:tcPr>
            <w:tcW w:w="1994" w:type="dxa"/>
            <w:shd w:val="clear" w:color="auto" w:fill="auto"/>
          </w:tcPr>
          <w:p w:rsidR="006C7C44" w:rsidRDefault="008B3E41" w:rsidP="006C7C44">
            <w:pPr>
              <w:jc w:val="center"/>
            </w:pPr>
            <w:r>
              <w:rPr>
                <w:sz w:val="20"/>
                <w:szCs w:val="20"/>
              </w:rPr>
              <w:t xml:space="preserve">Аппараты </w:t>
            </w:r>
            <w:r>
              <w:rPr>
                <w:rFonts w:eastAsia="Arial"/>
                <w:sz w:val="20"/>
                <w:szCs w:val="20"/>
              </w:rPr>
              <w:t>для ультразвуковых исследований</w:t>
            </w:r>
          </w:p>
        </w:tc>
        <w:tc>
          <w:tcPr>
            <w:tcW w:w="1181" w:type="dxa"/>
            <w:shd w:val="clear" w:color="auto" w:fill="auto"/>
          </w:tcPr>
          <w:p w:rsidR="006C7C44" w:rsidRPr="00E8065F" w:rsidRDefault="006C7C44" w:rsidP="006C7C44">
            <w:pPr>
              <w:jc w:val="center"/>
              <w:rPr>
                <w:sz w:val="20"/>
                <w:szCs w:val="20"/>
              </w:rPr>
            </w:pPr>
            <w:r w:rsidRPr="00E8065F">
              <w:rPr>
                <w:sz w:val="20"/>
                <w:szCs w:val="20"/>
              </w:rPr>
              <w:t>2023</w:t>
            </w:r>
          </w:p>
        </w:tc>
        <w:tc>
          <w:tcPr>
            <w:tcW w:w="1181" w:type="dxa"/>
            <w:tcBorders>
              <w:top w:val="nil"/>
              <w:left w:val="single" w:sz="4" w:space="0" w:color="auto"/>
              <w:bottom w:val="single" w:sz="4" w:space="0" w:color="auto"/>
              <w:right w:val="single" w:sz="4" w:space="0" w:color="auto"/>
            </w:tcBorders>
            <w:shd w:val="clear" w:color="auto" w:fill="auto"/>
          </w:tcPr>
          <w:p w:rsidR="006C7C44" w:rsidRPr="00BC5958" w:rsidRDefault="006C7C44" w:rsidP="006C7C44">
            <w:pPr>
              <w:jc w:val="center"/>
              <w:rPr>
                <w:color w:val="000000"/>
                <w:sz w:val="20"/>
                <w:szCs w:val="20"/>
              </w:rPr>
            </w:pPr>
            <w:r w:rsidRPr="00BC5958">
              <w:rPr>
                <w:color w:val="000000"/>
                <w:sz w:val="20"/>
                <w:szCs w:val="20"/>
              </w:rPr>
              <w:t>1</w:t>
            </w:r>
          </w:p>
        </w:tc>
        <w:tc>
          <w:tcPr>
            <w:tcW w:w="1478" w:type="dxa"/>
            <w:tcBorders>
              <w:top w:val="nil"/>
              <w:left w:val="single" w:sz="4" w:space="0" w:color="auto"/>
              <w:bottom w:val="single" w:sz="4" w:space="0" w:color="auto"/>
              <w:right w:val="single" w:sz="4" w:space="0" w:color="auto"/>
            </w:tcBorders>
            <w:shd w:val="clear" w:color="auto" w:fill="auto"/>
          </w:tcPr>
          <w:p w:rsidR="006C7C44" w:rsidRPr="00E8065F" w:rsidRDefault="006C7C44" w:rsidP="006C7C44">
            <w:pPr>
              <w:jc w:val="center"/>
              <w:rPr>
                <w:color w:val="000000"/>
                <w:sz w:val="20"/>
                <w:szCs w:val="20"/>
              </w:rPr>
            </w:pPr>
            <w:r w:rsidRPr="00E8065F">
              <w:rPr>
                <w:color w:val="000000"/>
                <w:sz w:val="20"/>
                <w:szCs w:val="20"/>
              </w:rPr>
              <w:t>57,3</w:t>
            </w:r>
          </w:p>
        </w:tc>
        <w:tc>
          <w:tcPr>
            <w:tcW w:w="1111" w:type="dxa"/>
            <w:tcBorders>
              <w:top w:val="nil"/>
              <w:left w:val="nil"/>
              <w:bottom w:val="single" w:sz="4" w:space="0" w:color="auto"/>
              <w:right w:val="single" w:sz="4" w:space="0" w:color="auto"/>
            </w:tcBorders>
            <w:shd w:val="clear" w:color="auto" w:fill="auto"/>
          </w:tcPr>
          <w:p w:rsidR="006C7C44" w:rsidRPr="00E8065F" w:rsidRDefault="006C7C44" w:rsidP="006C7C44">
            <w:pPr>
              <w:jc w:val="center"/>
              <w:rPr>
                <w:color w:val="000000"/>
                <w:sz w:val="20"/>
                <w:szCs w:val="20"/>
              </w:rPr>
            </w:pPr>
            <w:r w:rsidRPr="00E8065F">
              <w:rPr>
                <w:color w:val="000000"/>
                <w:sz w:val="20"/>
                <w:szCs w:val="20"/>
              </w:rPr>
              <w:t>1</w:t>
            </w:r>
          </w:p>
        </w:tc>
        <w:tc>
          <w:tcPr>
            <w:tcW w:w="1944" w:type="dxa"/>
            <w:tcBorders>
              <w:top w:val="nil"/>
              <w:left w:val="single" w:sz="4" w:space="0" w:color="auto"/>
              <w:bottom w:val="single" w:sz="4" w:space="0" w:color="auto"/>
              <w:right w:val="single" w:sz="4" w:space="0" w:color="auto"/>
            </w:tcBorders>
            <w:shd w:val="clear" w:color="auto" w:fill="auto"/>
          </w:tcPr>
          <w:p w:rsidR="006C7C44" w:rsidRPr="00E8065F" w:rsidRDefault="006C7C44" w:rsidP="006C7C44">
            <w:pPr>
              <w:jc w:val="center"/>
              <w:rPr>
                <w:color w:val="000000"/>
                <w:sz w:val="20"/>
                <w:szCs w:val="20"/>
              </w:rPr>
            </w:pPr>
            <w:r w:rsidRPr="00E8065F">
              <w:rPr>
                <w:color w:val="000000"/>
                <w:sz w:val="20"/>
                <w:szCs w:val="20"/>
              </w:rPr>
              <w:t>Амбулаторное</w:t>
            </w:r>
          </w:p>
        </w:tc>
      </w:tr>
      <w:tr w:rsidR="006C7C44" w:rsidRPr="00E8065F" w:rsidTr="000546C2">
        <w:trPr>
          <w:trHeight w:val="20"/>
        </w:trPr>
        <w:tc>
          <w:tcPr>
            <w:tcW w:w="1555" w:type="dxa"/>
            <w:vMerge/>
          </w:tcPr>
          <w:p w:rsidR="006C7C44" w:rsidRPr="00E8065F" w:rsidRDefault="006C7C44" w:rsidP="006C7C44">
            <w:pPr>
              <w:rPr>
                <w:color w:val="000000"/>
                <w:sz w:val="20"/>
                <w:szCs w:val="20"/>
              </w:rPr>
            </w:pPr>
          </w:p>
        </w:tc>
        <w:tc>
          <w:tcPr>
            <w:tcW w:w="3685" w:type="dxa"/>
            <w:tcBorders>
              <w:top w:val="nil"/>
              <w:left w:val="single" w:sz="4" w:space="0" w:color="auto"/>
              <w:bottom w:val="single" w:sz="4" w:space="0" w:color="auto"/>
              <w:right w:val="single" w:sz="4" w:space="0" w:color="auto"/>
            </w:tcBorders>
            <w:shd w:val="clear" w:color="auto" w:fill="auto"/>
          </w:tcPr>
          <w:p w:rsidR="006C7C44" w:rsidRPr="00E8065F" w:rsidRDefault="006C7C44" w:rsidP="006C7C44">
            <w:pPr>
              <w:jc w:val="both"/>
              <w:rPr>
                <w:color w:val="000000"/>
                <w:sz w:val="20"/>
                <w:szCs w:val="20"/>
              </w:rPr>
            </w:pPr>
            <w:r w:rsidRPr="00E8065F">
              <w:rPr>
                <w:color w:val="000000"/>
                <w:sz w:val="20"/>
                <w:szCs w:val="20"/>
              </w:rPr>
              <w:t xml:space="preserve">ГАУЗ </w:t>
            </w:r>
            <w:r>
              <w:rPr>
                <w:color w:val="000000"/>
                <w:sz w:val="20"/>
                <w:szCs w:val="20"/>
              </w:rPr>
              <w:t>«</w:t>
            </w:r>
            <w:r w:rsidRPr="00E8065F">
              <w:rPr>
                <w:color w:val="000000"/>
                <w:sz w:val="20"/>
                <w:szCs w:val="20"/>
              </w:rPr>
              <w:t>Камско-Устьинская ЦРБ</w:t>
            </w:r>
            <w:r>
              <w:rPr>
                <w:color w:val="000000"/>
                <w:sz w:val="20"/>
                <w:szCs w:val="20"/>
              </w:rPr>
              <w:t>»</w:t>
            </w:r>
          </w:p>
        </w:tc>
        <w:tc>
          <w:tcPr>
            <w:tcW w:w="1994" w:type="dxa"/>
            <w:shd w:val="clear" w:color="auto" w:fill="auto"/>
          </w:tcPr>
          <w:p w:rsidR="006C7C44" w:rsidRDefault="008B3E41" w:rsidP="006C7C44">
            <w:pPr>
              <w:jc w:val="center"/>
            </w:pPr>
            <w:r>
              <w:rPr>
                <w:sz w:val="20"/>
                <w:szCs w:val="20"/>
              </w:rPr>
              <w:t xml:space="preserve">Аппараты </w:t>
            </w:r>
            <w:r>
              <w:rPr>
                <w:rFonts w:eastAsia="Arial"/>
                <w:sz w:val="20"/>
                <w:szCs w:val="20"/>
              </w:rPr>
              <w:t>для ультразвуковых исследований</w:t>
            </w:r>
          </w:p>
        </w:tc>
        <w:tc>
          <w:tcPr>
            <w:tcW w:w="1181" w:type="dxa"/>
            <w:shd w:val="clear" w:color="auto" w:fill="auto"/>
          </w:tcPr>
          <w:p w:rsidR="006C7C44" w:rsidRPr="00E8065F" w:rsidRDefault="006C7C44" w:rsidP="006C7C44">
            <w:pPr>
              <w:jc w:val="center"/>
              <w:rPr>
                <w:sz w:val="20"/>
                <w:szCs w:val="20"/>
              </w:rPr>
            </w:pPr>
            <w:r w:rsidRPr="00E8065F">
              <w:rPr>
                <w:sz w:val="20"/>
                <w:szCs w:val="20"/>
              </w:rPr>
              <w:t>2007</w:t>
            </w:r>
            <w:r w:rsidR="00793DC9">
              <w:rPr>
                <w:sz w:val="20"/>
                <w:szCs w:val="20"/>
              </w:rPr>
              <w:t xml:space="preserve"> </w:t>
            </w:r>
            <w:r>
              <w:rPr>
                <w:sz w:val="20"/>
                <w:szCs w:val="20"/>
              </w:rPr>
              <w:t>(1)</w:t>
            </w:r>
          </w:p>
          <w:p w:rsidR="006C7C44" w:rsidRPr="00E8065F" w:rsidRDefault="006C7C44" w:rsidP="006C7C44">
            <w:pPr>
              <w:jc w:val="center"/>
              <w:rPr>
                <w:sz w:val="20"/>
                <w:szCs w:val="20"/>
              </w:rPr>
            </w:pPr>
            <w:r w:rsidRPr="00E8065F">
              <w:rPr>
                <w:sz w:val="20"/>
                <w:szCs w:val="20"/>
              </w:rPr>
              <w:t>2012</w:t>
            </w:r>
            <w:r w:rsidR="00793DC9">
              <w:rPr>
                <w:sz w:val="20"/>
                <w:szCs w:val="20"/>
              </w:rPr>
              <w:t xml:space="preserve"> </w:t>
            </w:r>
            <w:r>
              <w:rPr>
                <w:sz w:val="20"/>
                <w:szCs w:val="20"/>
              </w:rPr>
              <w:t>(1)</w:t>
            </w:r>
          </w:p>
          <w:p w:rsidR="006C7C44" w:rsidRPr="00E8065F" w:rsidRDefault="006C7C44" w:rsidP="006C7C44">
            <w:pPr>
              <w:jc w:val="center"/>
              <w:rPr>
                <w:sz w:val="20"/>
                <w:szCs w:val="20"/>
              </w:rPr>
            </w:pPr>
            <w:r w:rsidRPr="00E8065F">
              <w:rPr>
                <w:sz w:val="20"/>
                <w:szCs w:val="20"/>
              </w:rPr>
              <w:t>2020</w:t>
            </w:r>
            <w:r w:rsidR="00793DC9">
              <w:rPr>
                <w:sz w:val="20"/>
                <w:szCs w:val="20"/>
              </w:rPr>
              <w:t xml:space="preserve"> </w:t>
            </w:r>
            <w:r>
              <w:rPr>
                <w:sz w:val="20"/>
                <w:szCs w:val="20"/>
              </w:rPr>
              <w:t>(1)</w:t>
            </w:r>
          </w:p>
          <w:p w:rsidR="006C7C44" w:rsidRPr="00E8065F" w:rsidRDefault="006C7C44" w:rsidP="006C7C44">
            <w:pPr>
              <w:jc w:val="center"/>
              <w:rPr>
                <w:sz w:val="20"/>
                <w:szCs w:val="20"/>
              </w:rPr>
            </w:pPr>
            <w:r w:rsidRPr="00E8065F">
              <w:rPr>
                <w:sz w:val="20"/>
                <w:szCs w:val="20"/>
              </w:rPr>
              <w:t>2022</w:t>
            </w:r>
            <w:r w:rsidR="00793DC9">
              <w:rPr>
                <w:sz w:val="20"/>
                <w:szCs w:val="20"/>
              </w:rPr>
              <w:t xml:space="preserve"> </w:t>
            </w:r>
            <w:r>
              <w:rPr>
                <w:sz w:val="20"/>
                <w:szCs w:val="20"/>
              </w:rPr>
              <w:t>(1)</w:t>
            </w:r>
          </w:p>
          <w:p w:rsidR="006C7C44" w:rsidRPr="00E8065F" w:rsidRDefault="006C7C44" w:rsidP="006C7C44">
            <w:pPr>
              <w:jc w:val="center"/>
              <w:rPr>
                <w:sz w:val="20"/>
                <w:szCs w:val="20"/>
              </w:rPr>
            </w:pPr>
            <w:r w:rsidRPr="00E8065F">
              <w:rPr>
                <w:sz w:val="20"/>
                <w:szCs w:val="20"/>
              </w:rPr>
              <w:t>2023</w:t>
            </w:r>
            <w:r w:rsidR="00793DC9">
              <w:rPr>
                <w:sz w:val="20"/>
                <w:szCs w:val="20"/>
              </w:rPr>
              <w:t xml:space="preserve"> </w:t>
            </w:r>
            <w:r>
              <w:rPr>
                <w:sz w:val="20"/>
                <w:szCs w:val="20"/>
              </w:rPr>
              <w:t>(1)</w:t>
            </w:r>
          </w:p>
        </w:tc>
        <w:tc>
          <w:tcPr>
            <w:tcW w:w="1181" w:type="dxa"/>
            <w:tcBorders>
              <w:top w:val="nil"/>
              <w:left w:val="single" w:sz="4" w:space="0" w:color="auto"/>
              <w:bottom w:val="single" w:sz="4" w:space="0" w:color="auto"/>
              <w:right w:val="single" w:sz="4" w:space="0" w:color="auto"/>
            </w:tcBorders>
            <w:shd w:val="clear" w:color="auto" w:fill="auto"/>
          </w:tcPr>
          <w:p w:rsidR="006C7C44" w:rsidRPr="00BC5958" w:rsidRDefault="006C7C44" w:rsidP="006C7C44">
            <w:pPr>
              <w:jc w:val="center"/>
              <w:rPr>
                <w:color w:val="000000"/>
                <w:sz w:val="20"/>
                <w:szCs w:val="20"/>
              </w:rPr>
            </w:pPr>
            <w:r w:rsidRPr="00BC5958">
              <w:rPr>
                <w:color w:val="000000"/>
                <w:sz w:val="20"/>
                <w:szCs w:val="20"/>
              </w:rPr>
              <w:t>5</w:t>
            </w:r>
          </w:p>
        </w:tc>
        <w:tc>
          <w:tcPr>
            <w:tcW w:w="1478" w:type="dxa"/>
            <w:tcBorders>
              <w:top w:val="nil"/>
              <w:left w:val="single" w:sz="4" w:space="0" w:color="auto"/>
              <w:bottom w:val="single" w:sz="4" w:space="0" w:color="auto"/>
              <w:right w:val="single" w:sz="4" w:space="0" w:color="auto"/>
            </w:tcBorders>
            <w:shd w:val="clear" w:color="auto" w:fill="auto"/>
          </w:tcPr>
          <w:p w:rsidR="006C7C44" w:rsidRPr="00E8065F" w:rsidRDefault="006C7C44" w:rsidP="006C7C44">
            <w:pPr>
              <w:jc w:val="center"/>
              <w:rPr>
                <w:color w:val="000000"/>
                <w:sz w:val="20"/>
                <w:szCs w:val="20"/>
              </w:rPr>
            </w:pPr>
            <w:r w:rsidRPr="00E8065F">
              <w:rPr>
                <w:color w:val="000000"/>
                <w:sz w:val="20"/>
                <w:szCs w:val="20"/>
              </w:rPr>
              <w:t>101,4</w:t>
            </w:r>
          </w:p>
        </w:tc>
        <w:tc>
          <w:tcPr>
            <w:tcW w:w="1111" w:type="dxa"/>
            <w:tcBorders>
              <w:top w:val="nil"/>
              <w:left w:val="nil"/>
              <w:bottom w:val="single" w:sz="4" w:space="0" w:color="auto"/>
              <w:right w:val="single" w:sz="4" w:space="0" w:color="auto"/>
            </w:tcBorders>
            <w:shd w:val="clear" w:color="auto" w:fill="auto"/>
          </w:tcPr>
          <w:p w:rsidR="006C7C44" w:rsidRPr="00E8065F" w:rsidRDefault="006C7C44" w:rsidP="006C7C44">
            <w:pPr>
              <w:jc w:val="center"/>
              <w:rPr>
                <w:color w:val="000000"/>
                <w:sz w:val="20"/>
                <w:szCs w:val="20"/>
              </w:rPr>
            </w:pPr>
            <w:r w:rsidRPr="00E8065F">
              <w:rPr>
                <w:color w:val="000000"/>
                <w:sz w:val="20"/>
                <w:szCs w:val="20"/>
              </w:rPr>
              <w:t>1</w:t>
            </w:r>
          </w:p>
        </w:tc>
        <w:tc>
          <w:tcPr>
            <w:tcW w:w="1944" w:type="dxa"/>
            <w:tcBorders>
              <w:top w:val="nil"/>
              <w:left w:val="single" w:sz="4" w:space="0" w:color="auto"/>
              <w:bottom w:val="single" w:sz="4" w:space="0" w:color="auto"/>
              <w:right w:val="single" w:sz="4" w:space="0" w:color="auto"/>
            </w:tcBorders>
            <w:shd w:val="clear" w:color="auto" w:fill="auto"/>
          </w:tcPr>
          <w:p w:rsidR="006C7C44" w:rsidRPr="00E8065F" w:rsidRDefault="006C7C44" w:rsidP="006C7C44">
            <w:pPr>
              <w:jc w:val="center"/>
              <w:rPr>
                <w:color w:val="000000"/>
                <w:sz w:val="20"/>
                <w:szCs w:val="20"/>
              </w:rPr>
            </w:pPr>
            <w:r w:rsidRPr="00E8065F">
              <w:rPr>
                <w:color w:val="000000"/>
                <w:sz w:val="20"/>
                <w:szCs w:val="20"/>
              </w:rPr>
              <w:t>Амбулаторное</w:t>
            </w:r>
          </w:p>
        </w:tc>
      </w:tr>
      <w:tr w:rsidR="006C7C44" w:rsidRPr="00E8065F" w:rsidTr="000546C2">
        <w:trPr>
          <w:trHeight w:val="20"/>
        </w:trPr>
        <w:tc>
          <w:tcPr>
            <w:tcW w:w="1555" w:type="dxa"/>
            <w:vMerge/>
          </w:tcPr>
          <w:p w:rsidR="006C7C44" w:rsidRPr="00E8065F" w:rsidRDefault="006C7C44" w:rsidP="006C7C44">
            <w:pPr>
              <w:rPr>
                <w:color w:val="000000"/>
                <w:sz w:val="20"/>
                <w:szCs w:val="20"/>
              </w:rPr>
            </w:pPr>
          </w:p>
        </w:tc>
        <w:tc>
          <w:tcPr>
            <w:tcW w:w="3685" w:type="dxa"/>
            <w:tcBorders>
              <w:top w:val="nil"/>
              <w:left w:val="single" w:sz="4" w:space="0" w:color="auto"/>
              <w:bottom w:val="single" w:sz="4" w:space="0" w:color="auto"/>
              <w:right w:val="single" w:sz="4" w:space="0" w:color="auto"/>
            </w:tcBorders>
            <w:shd w:val="clear" w:color="auto" w:fill="auto"/>
          </w:tcPr>
          <w:p w:rsidR="006C7C44" w:rsidRPr="00E8065F" w:rsidRDefault="006C7C44" w:rsidP="006C7C44">
            <w:pPr>
              <w:jc w:val="both"/>
              <w:rPr>
                <w:color w:val="000000"/>
                <w:sz w:val="20"/>
                <w:szCs w:val="20"/>
              </w:rPr>
            </w:pPr>
            <w:r w:rsidRPr="00E8065F">
              <w:rPr>
                <w:color w:val="000000"/>
                <w:sz w:val="20"/>
                <w:szCs w:val="20"/>
              </w:rPr>
              <w:t xml:space="preserve">ГАУЗ </w:t>
            </w:r>
            <w:r>
              <w:rPr>
                <w:color w:val="000000"/>
                <w:sz w:val="20"/>
                <w:szCs w:val="20"/>
              </w:rPr>
              <w:t>«</w:t>
            </w:r>
            <w:r w:rsidRPr="00E8065F">
              <w:rPr>
                <w:color w:val="000000"/>
                <w:sz w:val="20"/>
                <w:szCs w:val="20"/>
              </w:rPr>
              <w:t>Кукморская ЦРБ</w:t>
            </w:r>
            <w:r>
              <w:rPr>
                <w:color w:val="000000"/>
                <w:sz w:val="20"/>
                <w:szCs w:val="20"/>
              </w:rPr>
              <w:t>»</w:t>
            </w:r>
          </w:p>
        </w:tc>
        <w:tc>
          <w:tcPr>
            <w:tcW w:w="1994" w:type="dxa"/>
            <w:shd w:val="clear" w:color="auto" w:fill="auto"/>
          </w:tcPr>
          <w:p w:rsidR="006C7C44" w:rsidRDefault="008B3E41" w:rsidP="006C7C44">
            <w:pPr>
              <w:jc w:val="center"/>
            </w:pPr>
            <w:r>
              <w:rPr>
                <w:sz w:val="20"/>
                <w:szCs w:val="20"/>
              </w:rPr>
              <w:t xml:space="preserve">Аппараты </w:t>
            </w:r>
            <w:r>
              <w:rPr>
                <w:rFonts w:eastAsia="Arial"/>
                <w:sz w:val="20"/>
                <w:szCs w:val="20"/>
              </w:rPr>
              <w:t>для ультразвуковых исследований</w:t>
            </w:r>
          </w:p>
        </w:tc>
        <w:tc>
          <w:tcPr>
            <w:tcW w:w="1181" w:type="dxa"/>
            <w:shd w:val="clear" w:color="auto" w:fill="auto"/>
          </w:tcPr>
          <w:p w:rsidR="006C7C44" w:rsidRPr="00E8065F" w:rsidRDefault="006C7C44" w:rsidP="006C7C44">
            <w:pPr>
              <w:jc w:val="center"/>
              <w:rPr>
                <w:sz w:val="20"/>
                <w:szCs w:val="20"/>
              </w:rPr>
            </w:pPr>
            <w:r w:rsidRPr="00E8065F">
              <w:rPr>
                <w:sz w:val="20"/>
                <w:szCs w:val="20"/>
              </w:rPr>
              <w:t>2012</w:t>
            </w:r>
            <w:r w:rsidR="00793DC9">
              <w:rPr>
                <w:sz w:val="20"/>
                <w:szCs w:val="20"/>
              </w:rPr>
              <w:t xml:space="preserve"> </w:t>
            </w:r>
            <w:r>
              <w:rPr>
                <w:sz w:val="20"/>
                <w:szCs w:val="20"/>
              </w:rPr>
              <w:t>(2)</w:t>
            </w:r>
          </w:p>
          <w:p w:rsidR="006C7C44" w:rsidRPr="00E8065F" w:rsidRDefault="006C7C44" w:rsidP="006C7C44">
            <w:pPr>
              <w:jc w:val="center"/>
              <w:rPr>
                <w:sz w:val="20"/>
                <w:szCs w:val="20"/>
              </w:rPr>
            </w:pPr>
            <w:r w:rsidRPr="00E8065F">
              <w:rPr>
                <w:sz w:val="20"/>
                <w:szCs w:val="20"/>
              </w:rPr>
              <w:t>2015</w:t>
            </w:r>
            <w:r w:rsidR="00793DC9">
              <w:rPr>
                <w:sz w:val="20"/>
                <w:szCs w:val="20"/>
              </w:rPr>
              <w:t xml:space="preserve"> </w:t>
            </w:r>
            <w:r>
              <w:rPr>
                <w:sz w:val="20"/>
                <w:szCs w:val="20"/>
              </w:rPr>
              <w:t>(2)</w:t>
            </w:r>
          </w:p>
          <w:p w:rsidR="006C7C44" w:rsidRPr="00E8065F" w:rsidRDefault="006C7C44" w:rsidP="006C7C44">
            <w:pPr>
              <w:jc w:val="center"/>
              <w:rPr>
                <w:sz w:val="20"/>
                <w:szCs w:val="20"/>
              </w:rPr>
            </w:pPr>
            <w:r w:rsidRPr="00E8065F">
              <w:rPr>
                <w:sz w:val="20"/>
                <w:szCs w:val="20"/>
              </w:rPr>
              <w:t>2018</w:t>
            </w:r>
            <w:r w:rsidR="00793DC9">
              <w:rPr>
                <w:sz w:val="20"/>
                <w:szCs w:val="20"/>
              </w:rPr>
              <w:t xml:space="preserve"> </w:t>
            </w:r>
            <w:r>
              <w:rPr>
                <w:sz w:val="20"/>
                <w:szCs w:val="20"/>
              </w:rPr>
              <w:t>(2)</w:t>
            </w:r>
          </w:p>
          <w:p w:rsidR="006C7C44" w:rsidRPr="00E8065F" w:rsidRDefault="006C7C44" w:rsidP="006C7C44">
            <w:pPr>
              <w:jc w:val="center"/>
              <w:rPr>
                <w:sz w:val="20"/>
                <w:szCs w:val="20"/>
              </w:rPr>
            </w:pPr>
            <w:r w:rsidRPr="00E8065F">
              <w:rPr>
                <w:sz w:val="20"/>
                <w:szCs w:val="20"/>
              </w:rPr>
              <w:t>2021</w:t>
            </w:r>
            <w:r w:rsidR="00793DC9">
              <w:rPr>
                <w:sz w:val="20"/>
                <w:szCs w:val="20"/>
              </w:rPr>
              <w:t xml:space="preserve"> </w:t>
            </w:r>
            <w:r>
              <w:rPr>
                <w:sz w:val="20"/>
                <w:szCs w:val="20"/>
              </w:rPr>
              <w:t>(1)</w:t>
            </w:r>
          </w:p>
        </w:tc>
        <w:tc>
          <w:tcPr>
            <w:tcW w:w="1181" w:type="dxa"/>
            <w:tcBorders>
              <w:top w:val="nil"/>
              <w:left w:val="single" w:sz="4" w:space="0" w:color="auto"/>
              <w:bottom w:val="single" w:sz="4" w:space="0" w:color="auto"/>
              <w:right w:val="single" w:sz="4" w:space="0" w:color="auto"/>
            </w:tcBorders>
            <w:shd w:val="clear" w:color="auto" w:fill="auto"/>
          </w:tcPr>
          <w:p w:rsidR="006C7C44" w:rsidRPr="00BC5958" w:rsidRDefault="006C7C44" w:rsidP="006C7C44">
            <w:pPr>
              <w:jc w:val="center"/>
              <w:rPr>
                <w:color w:val="000000"/>
                <w:sz w:val="20"/>
                <w:szCs w:val="20"/>
              </w:rPr>
            </w:pPr>
            <w:r w:rsidRPr="00BC5958">
              <w:rPr>
                <w:color w:val="000000"/>
                <w:sz w:val="20"/>
                <w:szCs w:val="20"/>
              </w:rPr>
              <w:t>7</w:t>
            </w:r>
          </w:p>
        </w:tc>
        <w:tc>
          <w:tcPr>
            <w:tcW w:w="1478" w:type="dxa"/>
            <w:tcBorders>
              <w:top w:val="nil"/>
              <w:left w:val="single" w:sz="4" w:space="0" w:color="auto"/>
              <w:bottom w:val="single" w:sz="4" w:space="0" w:color="auto"/>
              <w:right w:val="single" w:sz="4" w:space="0" w:color="auto"/>
            </w:tcBorders>
            <w:shd w:val="clear" w:color="auto" w:fill="auto"/>
          </w:tcPr>
          <w:p w:rsidR="006C7C44" w:rsidRPr="00E8065F" w:rsidRDefault="006C7C44" w:rsidP="006C7C44">
            <w:pPr>
              <w:jc w:val="center"/>
              <w:rPr>
                <w:color w:val="000000"/>
                <w:sz w:val="20"/>
                <w:szCs w:val="20"/>
              </w:rPr>
            </w:pPr>
            <w:r w:rsidRPr="00E8065F">
              <w:rPr>
                <w:color w:val="000000"/>
                <w:sz w:val="20"/>
                <w:szCs w:val="20"/>
              </w:rPr>
              <w:t>131,3</w:t>
            </w:r>
          </w:p>
        </w:tc>
        <w:tc>
          <w:tcPr>
            <w:tcW w:w="1111" w:type="dxa"/>
            <w:tcBorders>
              <w:top w:val="nil"/>
              <w:left w:val="nil"/>
              <w:bottom w:val="single" w:sz="4" w:space="0" w:color="auto"/>
              <w:right w:val="single" w:sz="4" w:space="0" w:color="auto"/>
            </w:tcBorders>
            <w:shd w:val="clear" w:color="auto" w:fill="auto"/>
          </w:tcPr>
          <w:p w:rsidR="006C7C44" w:rsidRPr="00E8065F" w:rsidRDefault="006C7C44" w:rsidP="006C7C44">
            <w:pPr>
              <w:jc w:val="center"/>
              <w:rPr>
                <w:color w:val="000000"/>
                <w:sz w:val="20"/>
                <w:szCs w:val="20"/>
              </w:rPr>
            </w:pPr>
            <w:r w:rsidRPr="00E8065F">
              <w:rPr>
                <w:color w:val="000000"/>
                <w:sz w:val="20"/>
                <w:szCs w:val="20"/>
              </w:rPr>
              <w:t>1</w:t>
            </w:r>
          </w:p>
        </w:tc>
        <w:tc>
          <w:tcPr>
            <w:tcW w:w="1944" w:type="dxa"/>
            <w:tcBorders>
              <w:top w:val="nil"/>
              <w:left w:val="single" w:sz="4" w:space="0" w:color="auto"/>
              <w:bottom w:val="single" w:sz="4" w:space="0" w:color="auto"/>
              <w:right w:val="single" w:sz="4" w:space="0" w:color="auto"/>
            </w:tcBorders>
            <w:shd w:val="clear" w:color="auto" w:fill="auto"/>
          </w:tcPr>
          <w:p w:rsidR="006C7C44" w:rsidRPr="00E8065F" w:rsidRDefault="006C7C44" w:rsidP="006C7C44">
            <w:pPr>
              <w:jc w:val="center"/>
              <w:rPr>
                <w:color w:val="000000"/>
                <w:sz w:val="20"/>
                <w:szCs w:val="20"/>
              </w:rPr>
            </w:pPr>
            <w:r w:rsidRPr="00E8065F">
              <w:rPr>
                <w:color w:val="000000"/>
                <w:sz w:val="20"/>
                <w:szCs w:val="20"/>
              </w:rPr>
              <w:t>Амбулаторное/стационарное</w:t>
            </w:r>
          </w:p>
        </w:tc>
      </w:tr>
      <w:tr w:rsidR="006C7C44" w:rsidRPr="00E8065F" w:rsidTr="000546C2">
        <w:trPr>
          <w:trHeight w:val="20"/>
        </w:trPr>
        <w:tc>
          <w:tcPr>
            <w:tcW w:w="1555" w:type="dxa"/>
            <w:vMerge/>
          </w:tcPr>
          <w:p w:rsidR="006C7C44" w:rsidRPr="00E8065F" w:rsidRDefault="006C7C44" w:rsidP="006C7C44">
            <w:pPr>
              <w:rPr>
                <w:color w:val="000000"/>
                <w:sz w:val="20"/>
                <w:szCs w:val="20"/>
              </w:rPr>
            </w:pPr>
          </w:p>
        </w:tc>
        <w:tc>
          <w:tcPr>
            <w:tcW w:w="3685" w:type="dxa"/>
            <w:tcBorders>
              <w:top w:val="nil"/>
              <w:left w:val="single" w:sz="4" w:space="0" w:color="auto"/>
              <w:bottom w:val="single" w:sz="4" w:space="0" w:color="auto"/>
              <w:right w:val="single" w:sz="4" w:space="0" w:color="auto"/>
            </w:tcBorders>
            <w:shd w:val="clear" w:color="auto" w:fill="auto"/>
          </w:tcPr>
          <w:p w:rsidR="006C7C44" w:rsidRPr="00E8065F" w:rsidRDefault="006C7C44" w:rsidP="006C7C44">
            <w:pPr>
              <w:jc w:val="both"/>
              <w:rPr>
                <w:color w:val="000000"/>
                <w:sz w:val="20"/>
                <w:szCs w:val="20"/>
              </w:rPr>
            </w:pPr>
            <w:r w:rsidRPr="00E8065F">
              <w:rPr>
                <w:color w:val="000000"/>
                <w:sz w:val="20"/>
                <w:szCs w:val="20"/>
              </w:rPr>
              <w:t xml:space="preserve">ГАУЗ </w:t>
            </w:r>
            <w:r>
              <w:rPr>
                <w:color w:val="000000"/>
                <w:sz w:val="20"/>
                <w:szCs w:val="20"/>
              </w:rPr>
              <w:t>«</w:t>
            </w:r>
            <w:r w:rsidRPr="00E8065F">
              <w:rPr>
                <w:color w:val="000000"/>
                <w:sz w:val="20"/>
                <w:szCs w:val="20"/>
              </w:rPr>
              <w:t>Лаишевская ЦРБ</w:t>
            </w:r>
            <w:r>
              <w:rPr>
                <w:color w:val="000000"/>
                <w:sz w:val="20"/>
                <w:szCs w:val="20"/>
              </w:rPr>
              <w:t>»</w:t>
            </w:r>
          </w:p>
        </w:tc>
        <w:tc>
          <w:tcPr>
            <w:tcW w:w="1994" w:type="dxa"/>
            <w:shd w:val="clear" w:color="auto" w:fill="auto"/>
          </w:tcPr>
          <w:p w:rsidR="006C7C44" w:rsidRDefault="008B3E41" w:rsidP="006C7C44">
            <w:pPr>
              <w:jc w:val="center"/>
            </w:pPr>
            <w:r>
              <w:rPr>
                <w:sz w:val="20"/>
                <w:szCs w:val="20"/>
              </w:rPr>
              <w:t xml:space="preserve">Аппараты </w:t>
            </w:r>
            <w:r>
              <w:rPr>
                <w:rFonts w:eastAsia="Arial"/>
                <w:sz w:val="20"/>
                <w:szCs w:val="20"/>
              </w:rPr>
              <w:t>для ультразвуковых исследований</w:t>
            </w:r>
          </w:p>
        </w:tc>
        <w:tc>
          <w:tcPr>
            <w:tcW w:w="1181" w:type="dxa"/>
            <w:shd w:val="clear" w:color="auto" w:fill="auto"/>
          </w:tcPr>
          <w:p w:rsidR="006C7C44" w:rsidRPr="00E8065F" w:rsidRDefault="006C7C44" w:rsidP="006C7C44">
            <w:pPr>
              <w:jc w:val="center"/>
              <w:rPr>
                <w:sz w:val="20"/>
                <w:szCs w:val="20"/>
              </w:rPr>
            </w:pPr>
            <w:r w:rsidRPr="00E8065F">
              <w:rPr>
                <w:sz w:val="20"/>
                <w:szCs w:val="20"/>
              </w:rPr>
              <w:t>2013</w:t>
            </w:r>
            <w:r w:rsidR="00793DC9">
              <w:rPr>
                <w:sz w:val="20"/>
                <w:szCs w:val="20"/>
              </w:rPr>
              <w:t xml:space="preserve"> </w:t>
            </w:r>
            <w:r>
              <w:rPr>
                <w:sz w:val="20"/>
                <w:szCs w:val="20"/>
              </w:rPr>
              <w:t>(2)</w:t>
            </w:r>
          </w:p>
          <w:p w:rsidR="006C7C44" w:rsidRPr="00E8065F" w:rsidRDefault="006C7C44" w:rsidP="006C7C44">
            <w:pPr>
              <w:jc w:val="center"/>
              <w:rPr>
                <w:sz w:val="20"/>
                <w:szCs w:val="20"/>
              </w:rPr>
            </w:pPr>
            <w:r w:rsidRPr="00E8065F">
              <w:rPr>
                <w:sz w:val="20"/>
                <w:szCs w:val="20"/>
              </w:rPr>
              <w:t>2019</w:t>
            </w:r>
            <w:r w:rsidR="00793DC9">
              <w:rPr>
                <w:sz w:val="20"/>
                <w:szCs w:val="20"/>
              </w:rPr>
              <w:t xml:space="preserve"> </w:t>
            </w:r>
            <w:r>
              <w:rPr>
                <w:sz w:val="20"/>
                <w:szCs w:val="20"/>
              </w:rPr>
              <w:t>(1)</w:t>
            </w:r>
          </w:p>
          <w:p w:rsidR="006C7C44" w:rsidRPr="00E8065F" w:rsidRDefault="006C7C44" w:rsidP="006C7C44">
            <w:pPr>
              <w:jc w:val="center"/>
              <w:rPr>
                <w:sz w:val="20"/>
                <w:szCs w:val="20"/>
              </w:rPr>
            </w:pPr>
            <w:r w:rsidRPr="00E8065F">
              <w:rPr>
                <w:sz w:val="20"/>
                <w:szCs w:val="20"/>
              </w:rPr>
              <w:t>2020</w:t>
            </w:r>
            <w:r w:rsidR="00793DC9">
              <w:rPr>
                <w:sz w:val="20"/>
                <w:szCs w:val="20"/>
              </w:rPr>
              <w:t xml:space="preserve"> </w:t>
            </w:r>
            <w:r>
              <w:rPr>
                <w:sz w:val="20"/>
                <w:szCs w:val="20"/>
              </w:rPr>
              <w:t>(1)</w:t>
            </w:r>
          </w:p>
          <w:p w:rsidR="006C7C44" w:rsidRPr="00E8065F" w:rsidRDefault="006C7C44" w:rsidP="006C7C44">
            <w:pPr>
              <w:jc w:val="center"/>
              <w:rPr>
                <w:sz w:val="20"/>
                <w:szCs w:val="20"/>
              </w:rPr>
            </w:pPr>
            <w:r w:rsidRPr="00E8065F">
              <w:rPr>
                <w:sz w:val="20"/>
                <w:szCs w:val="20"/>
              </w:rPr>
              <w:t>2023</w:t>
            </w:r>
            <w:r w:rsidR="00793DC9">
              <w:rPr>
                <w:sz w:val="20"/>
                <w:szCs w:val="20"/>
              </w:rPr>
              <w:t xml:space="preserve"> </w:t>
            </w:r>
            <w:r>
              <w:rPr>
                <w:sz w:val="20"/>
                <w:szCs w:val="20"/>
              </w:rPr>
              <w:t>(1)</w:t>
            </w:r>
          </w:p>
        </w:tc>
        <w:tc>
          <w:tcPr>
            <w:tcW w:w="1181" w:type="dxa"/>
            <w:tcBorders>
              <w:top w:val="nil"/>
              <w:left w:val="single" w:sz="4" w:space="0" w:color="auto"/>
              <w:bottom w:val="single" w:sz="4" w:space="0" w:color="auto"/>
              <w:right w:val="single" w:sz="4" w:space="0" w:color="auto"/>
            </w:tcBorders>
            <w:shd w:val="clear" w:color="auto" w:fill="auto"/>
          </w:tcPr>
          <w:p w:rsidR="006C7C44" w:rsidRPr="00BC5958" w:rsidRDefault="006C7C44" w:rsidP="006C7C44">
            <w:pPr>
              <w:jc w:val="center"/>
              <w:rPr>
                <w:color w:val="000000"/>
                <w:sz w:val="20"/>
                <w:szCs w:val="20"/>
              </w:rPr>
            </w:pPr>
            <w:r w:rsidRPr="00BC5958">
              <w:rPr>
                <w:color w:val="000000"/>
                <w:sz w:val="20"/>
                <w:szCs w:val="20"/>
              </w:rPr>
              <w:t>5</w:t>
            </w:r>
          </w:p>
        </w:tc>
        <w:tc>
          <w:tcPr>
            <w:tcW w:w="1478" w:type="dxa"/>
            <w:tcBorders>
              <w:top w:val="nil"/>
              <w:left w:val="single" w:sz="4" w:space="0" w:color="auto"/>
              <w:bottom w:val="single" w:sz="4" w:space="0" w:color="auto"/>
              <w:right w:val="single" w:sz="4" w:space="0" w:color="auto"/>
            </w:tcBorders>
            <w:shd w:val="clear" w:color="auto" w:fill="auto"/>
          </w:tcPr>
          <w:p w:rsidR="006C7C44" w:rsidRPr="00E8065F" w:rsidRDefault="006C7C44" w:rsidP="006C7C44">
            <w:pPr>
              <w:jc w:val="center"/>
              <w:rPr>
                <w:color w:val="000000"/>
                <w:sz w:val="20"/>
                <w:szCs w:val="20"/>
              </w:rPr>
            </w:pPr>
            <w:r w:rsidRPr="00E8065F">
              <w:rPr>
                <w:color w:val="000000"/>
                <w:sz w:val="20"/>
                <w:szCs w:val="20"/>
              </w:rPr>
              <w:t>107,6</w:t>
            </w:r>
          </w:p>
        </w:tc>
        <w:tc>
          <w:tcPr>
            <w:tcW w:w="1111" w:type="dxa"/>
            <w:tcBorders>
              <w:top w:val="nil"/>
              <w:left w:val="nil"/>
              <w:bottom w:val="single" w:sz="4" w:space="0" w:color="auto"/>
              <w:right w:val="single" w:sz="4" w:space="0" w:color="auto"/>
            </w:tcBorders>
            <w:shd w:val="clear" w:color="auto" w:fill="auto"/>
          </w:tcPr>
          <w:p w:rsidR="006C7C44" w:rsidRPr="00E8065F" w:rsidRDefault="006C7C44" w:rsidP="006C7C44">
            <w:pPr>
              <w:jc w:val="center"/>
              <w:rPr>
                <w:color w:val="000000"/>
                <w:sz w:val="20"/>
                <w:szCs w:val="20"/>
              </w:rPr>
            </w:pPr>
            <w:r w:rsidRPr="00E8065F">
              <w:rPr>
                <w:color w:val="000000"/>
                <w:sz w:val="20"/>
                <w:szCs w:val="20"/>
              </w:rPr>
              <w:t>1</w:t>
            </w:r>
          </w:p>
        </w:tc>
        <w:tc>
          <w:tcPr>
            <w:tcW w:w="1944" w:type="dxa"/>
            <w:tcBorders>
              <w:top w:val="nil"/>
              <w:left w:val="single" w:sz="4" w:space="0" w:color="auto"/>
              <w:bottom w:val="single" w:sz="4" w:space="0" w:color="auto"/>
              <w:right w:val="single" w:sz="4" w:space="0" w:color="auto"/>
            </w:tcBorders>
            <w:shd w:val="clear" w:color="auto" w:fill="auto"/>
          </w:tcPr>
          <w:p w:rsidR="006C7C44" w:rsidRPr="00E8065F" w:rsidRDefault="006C7C44" w:rsidP="006C7C44">
            <w:pPr>
              <w:jc w:val="center"/>
              <w:rPr>
                <w:color w:val="000000"/>
                <w:sz w:val="20"/>
                <w:szCs w:val="20"/>
              </w:rPr>
            </w:pPr>
            <w:r w:rsidRPr="00E8065F">
              <w:rPr>
                <w:color w:val="000000"/>
                <w:sz w:val="20"/>
                <w:szCs w:val="20"/>
              </w:rPr>
              <w:t>Амбулаторное</w:t>
            </w:r>
          </w:p>
        </w:tc>
      </w:tr>
      <w:tr w:rsidR="006C7C44" w:rsidRPr="00E8065F" w:rsidTr="000546C2">
        <w:trPr>
          <w:trHeight w:val="20"/>
        </w:trPr>
        <w:tc>
          <w:tcPr>
            <w:tcW w:w="1555" w:type="dxa"/>
            <w:vMerge/>
          </w:tcPr>
          <w:p w:rsidR="006C7C44" w:rsidRPr="00E8065F" w:rsidRDefault="006C7C44" w:rsidP="006C7C44">
            <w:pPr>
              <w:rPr>
                <w:color w:val="000000"/>
                <w:sz w:val="20"/>
                <w:szCs w:val="20"/>
              </w:rPr>
            </w:pPr>
          </w:p>
        </w:tc>
        <w:tc>
          <w:tcPr>
            <w:tcW w:w="3685" w:type="dxa"/>
            <w:tcBorders>
              <w:top w:val="nil"/>
              <w:left w:val="single" w:sz="4" w:space="0" w:color="auto"/>
              <w:bottom w:val="single" w:sz="4" w:space="0" w:color="auto"/>
              <w:right w:val="single" w:sz="4" w:space="0" w:color="auto"/>
            </w:tcBorders>
            <w:shd w:val="clear" w:color="auto" w:fill="auto"/>
          </w:tcPr>
          <w:p w:rsidR="006C7C44" w:rsidRPr="00E8065F" w:rsidRDefault="006C7C44" w:rsidP="006C7C44">
            <w:pPr>
              <w:jc w:val="both"/>
              <w:rPr>
                <w:color w:val="000000"/>
                <w:sz w:val="20"/>
                <w:szCs w:val="20"/>
              </w:rPr>
            </w:pPr>
            <w:r w:rsidRPr="00E8065F">
              <w:rPr>
                <w:color w:val="000000"/>
                <w:sz w:val="20"/>
                <w:szCs w:val="20"/>
              </w:rPr>
              <w:t xml:space="preserve">ГАУЗ </w:t>
            </w:r>
            <w:r>
              <w:rPr>
                <w:color w:val="000000"/>
                <w:sz w:val="20"/>
                <w:szCs w:val="20"/>
              </w:rPr>
              <w:t>«</w:t>
            </w:r>
            <w:r w:rsidRPr="00E8065F">
              <w:rPr>
                <w:color w:val="000000"/>
                <w:sz w:val="20"/>
                <w:szCs w:val="20"/>
              </w:rPr>
              <w:t>Лениногорская ЦРБ</w:t>
            </w:r>
            <w:r>
              <w:rPr>
                <w:color w:val="000000"/>
                <w:sz w:val="20"/>
                <w:szCs w:val="20"/>
              </w:rPr>
              <w:t>»</w:t>
            </w:r>
          </w:p>
        </w:tc>
        <w:tc>
          <w:tcPr>
            <w:tcW w:w="1994" w:type="dxa"/>
            <w:tcBorders>
              <w:bottom w:val="single" w:sz="4" w:space="0" w:color="auto"/>
            </w:tcBorders>
            <w:shd w:val="clear" w:color="auto" w:fill="auto"/>
          </w:tcPr>
          <w:p w:rsidR="006C7C44" w:rsidRDefault="008B3E41" w:rsidP="006C7C44">
            <w:pPr>
              <w:jc w:val="center"/>
            </w:pPr>
            <w:r>
              <w:rPr>
                <w:sz w:val="20"/>
                <w:szCs w:val="20"/>
              </w:rPr>
              <w:t xml:space="preserve">Аппараты </w:t>
            </w:r>
            <w:r>
              <w:rPr>
                <w:rFonts w:eastAsia="Arial"/>
                <w:sz w:val="20"/>
                <w:szCs w:val="20"/>
              </w:rPr>
              <w:t>для ультразвуковых исследований</w:t>
            </w:r>
          </w:p>
        </w:tc>
        <w:tc>
          <w:tcPr>
            <w:tcW w:w="1181" w:type="dxa"/>
            <w:tcBorders>
              <w:bottom w:val="single" w:sz="4" w:space="0" w:color="auto"/>
            </w:tcBorders>
            <w:shd w:val="clear" w:color="auto" w:fill="auto"/>
          </w:tcPr>
          <w:p w:rsidR="006C7C44" w:rsidRPr="00E8065F" w:rsidRDefault="006C7C44" w:rsidP="006C7C44">
            <w:pPr>
              <w:jc w:val="center"/>
              <w:rPr>
                <w:sz w:val="20"/>
                <w:szCs w:val="20"/>
              </w:rPr>
            </w:pPr>
            <w:r w:rsidRPr="00E8065F">
              <w:rPr>
                <w:sz w:val="20"/>
                <w:szCs w:val="20"/>
              </w:rPr>
              <w:t>2006</w:t>
            </w:r>
            <w:r w:rsidR="00793DC9">
              <w:rPr>
                <w:sz w:val="20"/>
                <w:szCs w:val="20"/>
              </w:rPr>
              <w:t xml:space="preserve"> </w:t>
            </w:r>
            <w:r>
              <w:rPr>
                <w:sz w:val="20"/>
                <w:szCs w:val="20"/>
              </w:rPr>
              <w:t>(1)</w:t>
            </w:r>
          </w:p>
          <w:p w:rsidR="006C7C44" w:rsidRPr="00E8065F" w:rsidRDefault="006C7C44" w:rsidP="006C7C44">
            <w:pPr>
              <w:jc w:val="center"/>
              <w:rPr>
                <w:sz w:val="20"/>
                <w:szCs w:val="20"/>
              </w:rPr>
            </w:pPr>
            <w:r>
              <w:rPr>
                <w:sz w:val="20"/>
                <w:szCs w:val="20"/>
              </w:rPr>
              <w:t>2</w:t>
            </w:r>
            <w:r w:rsidRPr="00E8065F">
              <w:rPr>
                <w:sz w:val="20"/>
                <w:szCs w:val="20"/>
              </w:rPr>
              <w:t>007</w:t>
            </w:r>
            <w:r w:rsidR="00793DC9">
              <w:rPr>
                <w:sz w:val="20"/>
                <w:szCs w:val="20"/>
              </w:rPr>
              <w:t xml:space="preserve"> </w:t>
            </w:r>
            <w:r>
              <w:rPr>
                <w:sz w:val="20"/>
                <w:szCs w:val="20"/>
              </w:rPr>
              <w:t>(1)</w:t>
            </w:r>
          </w:p>
          <w:p w:rsidR="006C7C44" w:rsidRPr="00E8065F" w:rsidRDefault="006C7C44" w:rsidP="006C7C44">
            <w:pPr>
              <w:jc w:val="center"/>
              <w:rPr>
                <w:sz w:val="20"/>
                <w:szCs w:val="20"/>
              </w:rPr>
            </w:pPr>
            <w:r w:rsidRPr="00E8065F">
              <w:rPr>
                <w:sz w:val="20"/>
                <w:szCs w:val="20"/>
              </w:rPr>
              <w:t>2008</w:t>
            </w:r>
            <w:r w:rsidR="00793DC9">
              <w:rPr>
                <w:sz w:val="20"/>
                <w:szCs w:val="20"/>
              </w:rPr>
              <w:t xml:space="preserve"> </w:t>
            </w:r>
            <w:r>
              <w:rPr>
                <w:sz w:val="20"/>
                <w:szCs w:val="20"/>
              </w:rPr>
              <w:t>(1)</w:t>
            </w:r>
          </w:p>
          <w:p w:rsidR="006C7C44" w:rsidRPr="00E8065F" w:rsidRDefault="006C7C44" w:rsidP="006C7C44">
            <w:pPr>
              <w:jc w:val="center"/>
              <w:rPr>
                <w:sz w:val="20"/>
                <w:szCs w:val="20"/>
              </w:rPr>
            </w:pPr>
            <w:r w:rsidRPr="00E8065F">
              <w:rPr>
                <w:sz w:val="20"/>
                <w:szCs w:val="20"/>
              </w:rPr>
              <w:t>2010</w:t>
            </w:r>
            <w:r w:rsidR="00793DC9">
              <w:rPr>
                <w:sz w:val="20"/>
                <w:szCs w:val="20"/>
              </w:rPr>
              <w:t xml:space="preserve"> </w:t>
            </w:r>
            <w:r>
              <w:rPr>
                <w:sz w:val="20"/>
                <w:szCs w:val="20"/>
              </w:rPr>
              <w:t>(1)</w:t>
            </w:r>
          </w:p>
          <w:p w:rsidR="006C7C44" w:rsidRPr="00E8065F" w:rsidRDefault="006C7C44" w:rsidP="006C7C44">
            <w:pPr>
              <w:jc w:val="center"/>
              <w:rPr>
                <w:sz w:val="20"/>
                <w:szCs w:val="20"/>
              </w:rPr>
            </w:pPr>
            <w:r w:rsidRPr="00E8065F">
              <w:rPr>
                <w:sz w:val="20"/>
                <w:szCs w:val="20"/>
              </w:rPr>
              <w:t>2011</w:t>
            </w:r>
            <w:r w:rsidR="00793DC9">
              <w:rPr>
                <w:sz w:val="20"/>
                <w:szCs w:val="20"/>
              </w:rPr>
              <w:t xml:space="preserve"> </w:t>
            </w:r>
            <w:r>
              <w:rPr>
                <w:sz w:val="20"/>
                <w:szCs w:val="20"/>
              </w:rPr>
              <w:t>(1)</w:t>
            </w:r>
          </w:p>
          <w:p w:rsidR="006C7C44" w:rsidRPr="00E8065F" w:rsidRDefault="006C7C44" w:rsidP="006C7C44">
            <w:pPr>
              <w:jc w:val="center"/>
              <w:rPr>
                <w:sz w:val="20"/>
                <w:szCs w:val="20"/>
              </w:rPr>
            </w:pPr>
            <w:r w:rsidRPr="00E8065F">
              <w:rPr>
                <w:sz w:val="20"/>
                <w:szCs w:val="20"/>
              </w:rPr>
              <w:t>2014</w:t>
            </w:r>
            <w:r w:rsidR="00793DC9">
              <w:rPr>
                <w:sz w:val="20"/>
                <w:szCs w:val="20"/>
              </w:rPr>
              <w:t xml:space="preserve"> </w:t>
            </w:r>
            <w:r>
              <w:rPr>
                <w:sz w:val="20"/>
                <w:szCs w:val="20"/>
              </w:rPr>
              <w:t>(1)</w:t>
            </w:r>
          </w:p>
          <w:p w:rsidR="006C7C44" w:rsidRPr="00E8065F" w:rsidRDefault="006C7C44" w:rsidP="006C7C44">
            <w:pPr>
              <w:jc w:val="center"/>
              <w:rPr>
                <w:sz w:val="20"/>
                <w:szCs w:val="20"/>
              </w:rPr>
            </w:pPr>
            <w:r w:rsidRPr="00E8065F">
              <w:rPr>
                <w:sz w:val="20"/>
                <w:szCs w:val="20"/>
              </w:rPr>
              <w:t>2017</w:t>
            </w:r>
            <w:r w:rsidR="00793DC9">
              <w:rPr>
                <w:sz w:val="20"/>
                <w:szCs w:val="20"/>
              </w:rPr>
              <w:t xml:space="preserve"> </w:t>
            </w:r>
            <w:r>
              <w:rPr>
                <w:sz w:val="20"/>
                <w:szCs w:val="20"/>
              </w:rPr>
              <w:t>(2)</w:t>
            </w:r>
          </w:p>
          <w:p w:rsidR="006C7C44" w:rsidRPr="00E8065F" w:rsidRDefault="006C7C44" w:rsidP="006C7C44">
            <w:pPr>
              <w:jc w:val="center"/>
              <w:rPr>
                <w:sz w:val="20"/>
                <w:szCs w:val="20"/>
              </w:rPr>
            </w:pPr>
            <w:r w:rsidRPr="00E8065F">
              <w:rPr>
                <w:sz w:val="20"/>
                <w:szCs w:val="20"/>
              </w:rPr>
              <w:t>2018</w:t>
            </w:r>
            <w:r w:rsidR="00793DC9">
              <w:rPr>
                <w:sz w:val="20"/>
                <w:szCs w:val="20"/>
              </w:rPr>
              <w:t xml:space="preserve"> </w:t>
            </w:r>
            <w:r>
              <w:rPr>
                <w:sz w:val="20"/>
                <w:szCs w:val="20"/>
              </w:rPr>
              <w:t>(3)</w:t>
            </w:r>
          </w:p>
          <w:p w:rsidR="006C7C44" w:rsidRPr="00E8065F" w:rsidRDefault="006C7C44" w:rsidP="006C7C44">
            <w:pPr>
              <w:jc w:val="center"/>
              <w:rPr>
                <w:sz w:val="20"/>
                <w:szCs w:val="20"/>
              </w:rPr>
            </w:pPr>
            <w:r w:rsidRPr="00E8065F">
              <w:rPr>
                <w:sz w:val="20"/>
                <w:szCs w:val="20"/>
              </w:rPr>
              <w:t>2020</w:t>
            </w:r>
            <w:r w:rsidR="00793DC9">
              <w:rPr>
                <w:sz w:val="20"/>
                <w:szCs w:val="20"/>
              </w:rPr>
              <w:t xml:space="preserve"> </w:t>
            </w:r>
            <w:r>
              <w:rPr>
                <w:sz w:val="20"/>
                <w:szCs w:val="20"/>
              </w:rPr>
              <w:t>(1)</w:t>
            </w:r>
          </w:p>
          <w:p w:rsidR="006C7C44" w:rsidRPr="00E8065F" w:rsidRDefault="006C7C44" w:rsidP="006C7C44">
            <w:pPr>
              <w:jc w:val="center"/>
              <w:rPr>
                <w:sz w:val="20"/>
                <w:szCs w:val="20"/>
              </w:rPr>
            </w:pPr>
            <w:r w:rsidRPr="00E8065F">
              <w:rPr>
                <w:sz w:val="20"/>
                <w:szCs w:val="20"/>
              </w:rPr>
              <w:t>2022</w:t>
            </w:r>
            <w:r w:rsidR="00793DC9">
              <w:rPr>
                <w:sz w:val="20"/>
                <w:szCs w:val="20"/>
              </w:rPr>
              <w:t xml:space="preserve"> </w:t>
            </w:r>
            <w:r>
              <w:rPr>
                <w:sz w:val="20"/>
                <w:szCs w:val="20"/>
              </w:rPr>
              <w:t>(1)</w:t>
            </w:r>
          </w:p>
          <w:p w:rsidR="006C7C44" w:rsidRPr="00E8065F" w:rsidRDefault="006C7C44" w:rsidP="006C7C44">
            <w:pPr>
              <w:jc w:val="center"/>
              <w:rPr>
                <w:sz w:val="20"/>
                <w:szCs w:val="20"/>
              </w:rPr>
            </w:pPr>
            <w:r w:rsidRPr="00E8065F">
              <w:rPr>
                <w:sz w:val="20"/>
                <w:szCs w:val="20"/>
              </w:rPr>
              <w:t>2023</w:t>
            </w:r>
            <w:r w:rsidR="00793DC9">
              <w:rPr>
                <w:sz w:val="20"/>
                <w:szCs w:val="20"/>
              </w:rPr>
              <w:t xml:space="preserve"> </w:t>
            </w:r>
            <w:r>
              <w:rPr>
                <w:sz w:val="20"/>
                <w:szCs w:val="20"/>
              </w:rPr>
              <w:t>(1)</w:t>
            </w:r>
          </w:p>
        </w:tc>
        <w:tc>
          <w:tcPr>
            <w:tcW w:w="1181" w:type="dxa"/>
            <w:tcBorders>
              <w:top w:val="nil"/>
              <w:left w:val="single" w:sz="4" w:space="0" w:color="auto"/>
              <w:bottom w:val="single" w:sz="4" w:space="0" w:color="auto"/>
              <w:right w:val="single" w:sz="4" w:space="0" w:color="auto"/>
            </w:tcBorders>
            <w:shd w:val="clear" w:color="auto" w:fill="auto"/>
          </w:tcPr>
          <w:p w:rsidR="006C7C44" w:rsidRPr="00BC5958" w:rsidRDefault="006C7C44" w:rsidP="006C7C44">
            <w:pPr>
              <w:jc w:val="center"/>
              <w:rPr>
                <w:color w:val="000000"/>
                <w:sz w:val="20"/>
                <w:szCs w:val="20"/>
              </w:rPr>
            </w:pPr>
            <w:r w:rsidRPr="00BC5958">
              <w:rPr>
                <w:color w:val="000000"/>
                <w:sz w:val="20"/>
                <w:szCs w:val="20"/>
              </w:rPr>
              <w:t>14</w:t>
            </w:r>
          </w:p>
        </w:tc>
        <w:tc>
          <w:tcPr>
            <w:tcW w:w="1478" w:type="dxa"/>
            <w:tcBorders>
              <w:top w:val="nil"/>
              <w:left w:val="single" w:sz="4" w:space="0" w:color="auto"/>
              <w:bottom w:val="single" w:sz="4" w:space="0" w:color="auto"/>
              <w:right w:val="single" w:sz="4" w:space="0" w:color="auto"/>
            </w:tcBorders>
            <w:shd w:val="clear" w:color="auto" w:fill="auto"/>
          </w:tcPr>
          <w:p w:rsidR="006C7C44" w:rsidRPr="00E8065F" w:rsidRDefault="006C7C44" w:rsidP="006C7C44">
            <w:pPr>
              <w:jc w:val="center"/>
              <w:rPr>
                <w:color w:val="000000"/>
                <w:sz w:val="20"/>
                <w:szCs w:val="20"/>
              </w:rPr>
            </w:pPr>
            <w:r w:rsidRPr="00E8065F">
              <w:rPr>
                <w:color w:val="000000"/>
                <w:sz w:val="20"/>
                <w:szCs w:val="20"/>
              </w:rPr>
              <w:t>474,8</w:t>
            </w:r>
          </w:p>
        </w:tc>
        <w:tc>
          <w:tcPr>
            <w:tcW w:w="1111" w:type="dxa"/>
            <w:tcBorders>
              <w:top w:val="nil"/>
              <w:left w:val="nil"/>
              <w:bottom w:val="single" w:sz="4" w:space="0" w:color="auto"/>
              <w:right w:val="single" w:sz="4" w:space="0" w:color="auto"/>
            </w:tcBorders>
            <w:shd w:val="clear" w:color="auto" w:fill="auto"/>
          </w:tcPr>
          <w:p w:rsidR="006C7C44" w:rsidRPr="00E8065F" w:rsidRDefault="006C7C44" w:rsidP="006C7C44">
            <w:pPr>
              <w:jc w:val="center"/>
              <w:rPr>
                <w:color w:val="000000"/>
                <w:sz w:val="20"/>
                <w:szCs w:val="20"/>
              </w:rPr>
            </w:pPr>
            <w:r w:rsidRPr="00E8065F">
              <w:rPr>
                <w:color w:val="000000"/>
                <w:sz w:val="20"/>
                <w:szCs w:val="20"/>
              </w:rPr>
              <w:t>1</w:t>
            </w:r>
          </w:p>
        </w:tc>
        <w:tc>
          <w:tcPr>
            <w:tcW w:w="1944" w:type="dxa"/>
            <w:tcBorders>
              <w:top w:val="nil"/>
              <w:left w:val="single" w:sz="4" w:space="0" w:color="auto"/>
              <w:bottom w:val="single" w:sz="4" w:space="0" w:color="auto"/>
              <w:right w:val="single" w:sz="4" w:space="0" w:color="auto"/>
            </w:tcBorders>
            <w:shd w:val="clear" w:color="auto" w:fill="auto"/>
          </w:tcPr>
          <w:p w:rsidR="006C7C44" w:rsidRPr="00E8065F" w:rsidRDefault="006C7C44" w:rsidP="006C7C44">
            <w:pPr>
              <w:jc w:val="center"/>
              <w:rPr>
                <w:color w:val="000000"/>
                <w:sz w:val="20"/>
                <w:szCs w:val="20"/>
              </w:rPr>
            </w:pPr>
            <w:r w:rsidRPr="00E8065F">
              <w:rPr>
                <w:color w:val="000000"/>
                <w:sz w:val="20"/>
                <w:szCs w:val="20"/>
              </w:rPr>
              <w:t>Амбулаторное/стационарное</w:t>
            </w:r>
          </w:p>
        </w:tc>
      </w:tr>
      <w:tr w:rsidR="006C7C44" w:rsidRPr="00E8065F" w:rsidTr="000546C2">
        <w:trPr>
          <w:trHeight w:val="20"/>
        </w:trPr>
        <w:tc>
          <w:tcPr>
            <w:tcW w:w="1555" w:type="dxa"/>
            <w:vMerge/>
          </w:tcPr>
          <w:p w:rsidR="006C7C44" w:rsidRPr="00E8065F" w:rsidRDefault="006C7C44" w:rsidP="006C7C44">
            <w:pPr>
              <w:rPr>
                <w:color w:val="000000"/>
                <w:sz w:val="20"/>
                <w:szCs w:val="20"/>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6C7C44" w:rsidRPr="00E8065F" w:rsidRDefault="006C7C44" w:rsidP="006C7C44">
            <w:pPr>
              <w:jc w:val="both"/>
              <w:rPr>
                <w:color w:val="000000"/>
                <w:sz w:val="20"/>
                <w:szCs w:val="20"/>
              </w:rPr>
            </w:pPr>
            <w:r w:rsidRPr="00E8065F">
              <w:rPr>
                <w:color w:val="000000"/>
                <w:sz w:val="20"/>
                <w:szCs w:val="20"/>
              </w:rPr>
              <w:t xml:space="preserve">ГАУЗ </w:t>
            </w:r>
            <w:r>
              <w:rPr>
                <w:color w:val="000000"/>
                <w:sz w:val="20"/>
                <w:szCs w:val="20"/>
              </w:rPr>
              <w:t>«</w:t>
            </w:r>
            <w:r w:rsidRPr="00E8065F">
              <w:rPr>
                <w:color w:val="000000"/>
                <w:sz w:val="20"/>
                <w:szCs w:val="20"/>
              </w:rPr>
              <w:t>Мамадышская ЦРБ</w:t>
            </w:r>
            <w:r>
              <w:rPr>
                <w:color w:val="000000"/>
                <w:sz w:val="20"/>
                <w:szCs w:val="20"/>
              </w:rPr>
              <w:t>»</w:t>
            </w:r>
          </w:p>
        </w:tc>
        <w:tc>
          <w:tcPr>
            <w:tcW w:w="1994" w:type="dxa"/>
            <w:tcBorders>
              <w:top w:val="single" w:sz="4" w:space="0" w:color="auto"/>
            </w:tcBorders>
            <w:shd w:val="clear" w:color="auto" w:fill="auto"/>
          </w:tcPr>
          <w:p w:rsidR="006C7C44" w:rsidRDefault="008B3E41" w:rsidP="006C7C44">
            <w:pPr>
              <w:jc w:val="center"/>
            </w:pPr>
            <w:r>
              <w:rPr>
                <w:sz w:val="20"/>
                <w:szCs w:val="20"/>
              </w:rPr>
              <w:t xml:space="preserve">Аппараты </w:t>
            </w:r>
            <w:r>
              <w:rPr>
                <w:rFonts w:eastAsia="Arial"/>
                <w:sz w:val="20"/>
                <w:szCs w:val="20"/>
              </w:rPr>
              <w:t>для ультразвуковых исследований</w:t>
            </w:r>
          </w:p>
        </w:tc>
        <w:tc>
          <w:tcPr>
            <w:tcW w:w="1181" w:type="dxa"/>
            <w:tcBorders>
              <w:top w:val="single" w:sz="4" w:space="0" w:color="auto"/>
            </w:tcBorders>
            <w:shd w:val="clear" w:color="auto" w:fill="auto"/>
          </w:tcPr>
          <w:p w:rsidR="006C7C44" w:rsidRPr="00E8065F" w:rsidRDefault="006C7C44" w:rsidP="006C7C44">
            <w:pPr>
              <w:jc w:val="center"/>
              <w:rPr>
                <w:sz w:val="20"/>
                <w:szCs w:val="20"/>
              </w:rPr>
            </w:pPr>
            <w:r w:rsidRPr="00E8065F">
              <w:rPr>
                <w:sz w:val="20"/>
                <w:szCs w:val="20"/>
              </w:rPr>
              <w:t>2021</w:t>
            </w:r>
            <w:r w:rsidR="00793DC9">
              <w:rPr>
                <w:sz w:val="20"/>
                <w:szCs w:val="20"/>
              </w:rPr>
              <w:t xml:space="preserve"> </w:t>
            </w:r>
            <w:r>
              <w:rPr>
                <w:sz w:val="20"/>
                <w:szCs w:val="20"/>
              </w:rPr>
              <w:t>(2)</w:t>
            </w:r>
          </w:p>
          <w:p w:rsidR="006C7C44" w:rsidRPr="00E8065F" w:rsidRDefault="006C7C44" w:rsidP="006C7C44">
            <w:pPr>
              <w:jc w:val="center"/>
              <w:rPr>
                <w:sz w:val="20"/>
                <w:szCs w:val="20"/>
              </w:rPr>
            </w:pPr>
            <w:r w:rsidRPr="00E8065F">
              <w:rPr>
                <w:sz w:val="20"/>
                <w:szCs w:val="20"/>
              </w:rPr>
              <w:t>2024</w:t>
            </w:r>
            <w:r w:rsidR="00793DC9">
              <w:rPr>
                <w:sz w:val="20"/>
                <w:szCs w:val="20"/>
              </w:rPr>
              <w:t xml:space="preserve"> </w:t>
            </w:r>
            <w:r>
              <w:rPr>
                <w:sz w:val="20"/>
                <w:szCs w:val="20"/>
              </w:rPr>
              <w:t>(1)</w:t>
            </w:r>
          </w:p>
        </w:tc>
        <w:tc>
          <w:tcPr>
            <w:tcW w:w="1181" w:type="dxa"/>
            <w:tcBorders>
              <w:top w:val="single" w:sz="4" w:space="0" w:color="auto"/>
              <w:left w:val="single" w:sz="4" w:space="0" w:color="auto"/>
              <w:bottom w:val="single" w:sz="4" w:space="0" w:color="auto"/>
              <w:right w:val="single" w:sz="4" w:space="0" w:color="auto"/>
            </w:tcBorders>
            <w:shd w:val="clear" w:color="auto" w:fill="auto"/>
          </w:tcPr>
          <w:p w:rsidR="006C7C44" w:rsidRPr="00BC5958" w:rsidRDefault="006C7C44" w:rsidP="006C7C44">
            <w:pPr>
              <w:jc w:val="center"/>
              <w:rPr>
                <w:color w:val="000000"/>
                <w:sz w:val="20"/>
                <w:szCs w:val="20"/>
              </w:rPr>
            </w:pPr>
            <w:r w:rsidRPr="00BC5958">
              <w:rPr>
                <w:color w:val="000000"/>
                <w:sz w:val="20"/>
                <w:szCs w:val="20"/>
              </w:rPr>
              <w:t>3</w:t>
            </w:r>
          </w:p>
        </w:tc>
        <w:tc>
          <w:tcPr>
            <w:tcW w:w="1478" w:type="dxa"/>
            <w:tcBorders>
              <w:top w:val="single" w:sz="4" w:space="0" w:color="auto"/>
              <w:left w:val="single" w:sz="4" w:space="0" w:color="auto"/>
              <w:bottom w:val="single" w:sz="4" w:space="0" w:color="auto"/>
              <w:right w:val="single" w:sz="4" w:space="0" w:color="auto"/>
            </w:tcBorders>
            <w:shd w:val="clear" w:color="auto" w:fill="auto"/>
          </w:tcPr>
          <w:p w:rsidR="006C7C44" w:rsidRPr="00E8065F" w:rsidRDefault="006C7C44" w:rsidP="006C7C44">
            <w:pPr>
              <w:jc w:val="center"/>
              <w:rPr>
                <w:color w:val="000000"/>
                <w:sz w:val="20"/>
                <w:szCs w:val="20"/>
              </w:rPr>
            </w:pPr>
            <w:r w:rsidRPr="00E8065F">
              <w:rPr>
                <w:color w:val="000000"/>
                <w:sz w:val="20"/>
                <w:szCs w:val="20"/>
              </w:rPr>
              <w:t>270,1</w:t>
            </w:r>
          </w:p>
        </w:tc>
        <w:tc>
          <w:tcPr>
            <w:tcW w:w="1111" w:type="dxa"/>
            <w:tcBorders>
              <w:top w:val="single" w:sz="4" w:space="0" w:color="auto"/>
              <w:left w:val="nil"/>
              <w:bottom w:val="single" w:sz="4" w:space="0" w:color="auto"/>
              <w:right w:val="single" w:sz="4" w:space="0" w:color="auto"/>
            </w:tcBorders>
            <w:shd w:val="clear" w:color="auto" w:fill="auto"/>
          </w:tcPr>
          <w:p w:rsidR="006C7C44" w:rsidRPr="00E8065F" w:rsidRDefault="006C7C44" w:rsidP="006C7C44">
            <w:pPr>
              <w:jc w:val="center"/>
              <w:rPr>
                <w:color w:val="000000"/>
                <w:sz w:val="20"/>
                <w:szCs w:val="20"/>
              </w:rPr>
            </w:pPr>
            <w:r w:rsidRPr="00E8065F">
              <w:rPr>
                <w:color w:val="000000"/>
                <w:sz w:val="20"/>
                <w:szCs w:val="20"/>
              </w:rPr>
              <w:t>1</w:t>
            </w:r>
          </w:p>
        </w:tc>
        <w:tc>
          <w:tcPr>
            <w:tcW w:w="1944" w:type="dxa"/>
            <w:tcBorders>
              <w:top w:val="single" w:sz="4" w:space="0" w:color="auto"/>
              <w:left w:val="single" w:sz="4" w:space="0" w:color="auto"/>
              <w:bottom w:val="single" w:sz="4" w:space="0" w:color="auto"/>
              <w:right w:val="single" w:sz="4" w:space="0" w:color="auto"/>
            </w:tcBorders>
            <w:shd w:val="clear" w:color="auto" w:fill="auto"/>
          </w:tcPr>
          <w:p w:rsidR="006C7C44" w:rsidRPr="00E8065F" w:rsidRDefault="006C7C44" w:rsidP="006C7C44">
            <w:pPr>
              <w:jc w:val="center"/>
              <w:rPr>
                <w:color w:val="000000"/>
                <w:sz w:val="20"/>
                <w:szCs w:val="20"/>
              </w:rPr>
            </w:pPr>
            <w:r w:rsidRPr="00E8065F">
              <w:rPr>
                <w:color w:val="000000"/>
                <w:sz w:val="20"/>
                <w:szCs w:val="20"/>
              </w:rPr>
              <w:t>Амбулаторное</w:t>
            </w:r>
          </w:p>
        </w:tc>
      </w:tr>
      <w:tr w:rsidR="006C7C44" w:rsidRPr="00E8065F" w:rsidTr="000546C2">
        <w:trPr>
          <w:trHeight w:val="20"/>
        </w:trPr>
        <w:tc>
          <w:tcPr>
            <w:tcW w:w="1555" w:type="dxa"/>
            <w:vMerge/>
          </w:tcPr>
          <w:p w:rsidR="006C7C44" w:rsidRPr="00E8065F" w:rsidRDefault="006C7C44" w:rsidP="006C7C44">
            <w:pPr>
              <w:rPr>
                <w:color w:val="000000"/>
                <w:sz w:val="20"/>
                <w:szCs w:val="20"/>
              </w:rPr>
            </w:pPr>
          </w:p>
        </w:tc>
        <w:tc>
          <w:tcPr>
            <w:tcW w:w="3685" w:type="dxa"/>
            <w:tcBorders>
              <w:top w:val="nil"/>
              <w:left w:val="single" w:sz="4" w:space="0" w:color="auto"/>
              <w:bottom w:val="single" w:sz="4" w:space="0" w:color="auto"/>
              <w:right w:val="single" w:sz="4" w:space="0" w:color="auto"/>
            </w:tcBorders>
            <w:shd w:val="clear" w:color="auto" w:fill="auto"/>
          </w:tcPr>
          <w:p w:rsidR="006C7C44" w:rsidRPr="00E8065F" w:rsidRDefault="006C7C44" w:rsidP="006C7C44">
            <w:pPr>
              <w:jc w:val="both"/>
              <w:rPr>
                <w:color w:val="000000"/>
                <w:sz w:val="20"/>
                <w:szCs w:val="20"/>
              </w:rPr>
            </w:pPr>
            <w:r w:rsidRPr="00E8065F">
              <w:rPr>
                <w:color w:val="000000"/>
                <w:sz w:val="20"/>
                <w:szCs w:val="20"/>
              </w:rPr>
              <w:t xml:space="preserve">ГАУЗ </w:t>
            </w:r>
            <w:r>
              <w:rPr>
                <w:color w:val="000000"/>
                <w:sz w:val="20"/>
                <w:szCs w:val="20"/>
              </w:rPr>
              <w:t>«</w:t>
            </w:r>
            <w:r w:rsidRPr="00E8065F">
              <w:rPr>
                <w:color w:val="000000"/>
                <w:sz w:val="20"/>
                <w:szCs w:val="20"/>
              </w:rPr>
              <w:t>Менделеевская ЦРБ</w:t>
            </w:r>
            <w:r>
              <w:rPr>
                <w:color w:val="000000"/>
                <w:sz w:val="20"/>
                <w:szCs w:val="20"/>
              </w:rPr>
              <w:t>»</w:t>
            </w:r>
          </w:p>
        </w:tc>
        <w:tc>
          <w:tcPr>
            <w:tcW w:w="1994" w:type="dxa"/>
            <w:shd w:val="clear" w:color="auto" w:fill="auto"/>
          </w:tcPr>
          <w:p w:rsidR="006C7C44" w:rsidRDefault="008B3E41" w:rsidP="006C7C44">
            <w:pPr>
              <w:jc w:val="center"/>
            </w:pPr>
            <w:r>
              <w:rPr>
                <w:sz w:val="20"/>
                <w:szCs w:val="20"/>
              </w:rPr>
              <w:t xml:space="preserve">Аппараты </w:t>
            </w:r>
            <w:r>
              <w:rPr>
                <w:rFonts w:eastAsia="Arial"/>
                <w:sz w:val="20"/>
                <w:szCs w:val="20"/>
              </w:rPr>
              <w:t>для ультразвуковых исследований</w:t>
            </w:r>
          </w:p>
        </w:tc>
        <w:tc>
          <w:tcPr>
            <w:tcW w:w="1181" w:type="dxa"/>
            <w:shd w:val="clear" w:color="auto" w:fill="auto"/>
          </w:tcPr>
          <w:p w:rsidR="006C7C44" w:rsidRPr="00E8065F" w:rsidRDefault="006C7C44" w:rsidP="006C7C44">
            <w:pPr>
              <w:jc w:val="center"/>
              <w:rPr>
                <w:sz w:val="20"/>
                <w:szCs w:val="20"/>
              </w:rPr>
            </w:pPr>
            <w:r w:rsidRPr="00E8065F">
              <w:rPr>
                <w:sz w:val="20"/>
                <w:szCs w:val="20"/>
              </w:rPr>
              <w:t>2007</w:t>
            </w:r>
            <w:r w:rsidR="00793DC9">
              <w:rPr>
                <w:sz w:val="20"/>
                <w:szCs w:val="20"/>
              </w:rPr>
              <w:t xml:space="preserve"> </w:t>
            </w:r>
            <w:r>
              <w:rPr>
                <w:sz w:val="20"/>
                <w:szCs w:val="20"/>
              </w:rPr>
              <w:t>(1)</w:t>
            </w:r>
          </w:p>
          <w:p w:rsidR="006C7C44" w:rsidRPr="00E8065F" w:rsidRDefault="006C7C44" w:rsidP="006C7C44">
            <w:pPr>
              <w:jc w:val="center"/>
              <w:rPr>
                <w:sz w:val="20"/>
                <w:szCs w:val="20"/>
              </w:rPr>
            </w:pPr>
            <w:r w:rsidRPr="00E8065F">
              <w:rPr>
                <w:sz w:val="20"/>
                <w:szCs w:val="20"/>
              </w:rPr>
              <w:t>2012</w:t>
            </w:r>
            <w:r w:rsidR="00793DC9">
              <w:rPr>
                <w:sz w:val="20"/>
                <w:szCs w:val="20"/>
              </w:rPr>
              <w:t xml:space="preserve"> </w:t>
            </w:r>
            <w:r>
              <w:rPr>
                <w:sz w:val="20"/>
                <w:szCs w:val="20"/>
              </w:rPr>
              <w:t>(1)</w:t>
            </w:r>
          </w:p>
          <w:p w:rsidR="006C7C44" w:rsidRPr="00E8065F" w:rsidRDefault="006C7C44" w:rsidP="006C7C44">
            <w:pPr>
              <w:jc w:val="center"/>
              <w:rPr>
                <w:sz w:val="20"/>
                <w:szCs w:val="20"/>
              </w:rPr>
            </w:pPr>
            <w:r w:rsidRPr="00E8065F">
              <w:rPr>
                <w:sz w:val="20"/>
                <w:szCs w:val="20"/>
              </w:rPr>
              <w:t>2018</w:t>
            </w:r>
            <w:r w:rsidR="00793DC9">
              <w:rPr>
                <w:sz w:val="20"/>
                <w:szCs w:val="20"/>
              </w:rPr>
              <w:t xml:space="preserve"> </w:t>
            </w:r>
            <w:r>
              <w:rPr>
                <w:sz w:val="20"/>
                <w:szCs w:val="20"/>
              </w:rPr>
              <w:t>(1)</w:t>
            </w:r>
          </w:p>
          <w:p w:rsidR="006C7C44" w:rsidRPr="00E8065F" w:rsidRDefault="006C7C44" w:rsidP="006C7C44">
            <w:pPr>
              <w:jc w:val="center"/>
              <w:rPr>
                <w:sz w:val="20"/>
                <w:szCs w:val="20"/>
              </w:rPr>
            </w:pPr>
            <w:r w:rsidRPr="00E8065F">
              <w:rPr>
                <w:sz w:val="20"/>
                <w:szCs w:val="20"/>
              </w:rPr>
              <w:t>2020</w:t>
            </w:r>
            <w:r w:rsidR="00793DC9">
              <w:rPr>
                <w:sz w:val="20"/>
                <w:szCs w:val="20"/>
              </w:rPr>
              <w:t xml:space="preserve"> </w:t>
            </w:r>
            <w:r>
              <w:rPr>
                <w:sz w:val="20"/>
                <w:szCs w:val="20"/>
              </w:rPr>
              <w:t>(1)</w:t>
            </w:r>
          </w:p>
          <w:p w:rsidR="006C7C44" w:rsidRPr="00E8065F" w:rsidRDefault="006C7C44" w:rsidP="006C7C44">
            <w:pPr>
              <w:jc w:val="center"/>
              <w:rPr>
                <w:sz w:val="20"/>
                <w:szCs w:val="20"/>
              </w:rPr>
            </w:pPr>
            <w:r w:rsidRPr="00E8065F">
              <w:rPr>
                <w:sz w:val="20"/>
                <w:szCs w:val="20"/>
              </w:rPr>
              <w:t>2022</w:t>
            </w:r>
            <w:r w:rsidR="00793DC9">
              <w:rPr>
                <w:sz w:val="20"/>
                <w:szCs w:val="20"/>
              </w:rPr>
              <w:t xml:space="preserve"> </w:t>
            </w:r>
            <w:r>
              <w:rPr>
                <w:sz w:val="20"/>
                <w:szCs w:val="20"/>
              </w:rPr>
              <w:t>(1)</w:t>
            </w:r>
          </w:p>
          <w:p w:rsidR="006C7C44" w:rsidRPr="00E8065F" w:rsidRDefault="006C7C44" w:rsidP="006C7C44">
            <w:pPr>
              <w:jc w:val="center"/>
              <w:rPr>
                <w:sz w:val="20"/>
                <w:szCs w:val="20"/>
              </w:rPr>
            </w:pPr>
            <w:r w:rsidRPr="00E8065F">
              <w:rPr>
                <w:sz w:val="20"/>
                <w:szCs w:val="20"/>
              </w:rPr>
              <w:t>2024</w:t>
            </w:r>
            <w:r w:rsidR="00793DC9">
              <w:rPr>
                <w:sz w:val="20"/>
                <w:szCs w:val="20"/>
              </w:rPr>
              <w:t xml:space="preserve"> </w:t>
            </w:r>
            <w:r>
              <w:rPr>
                <w:sz w:val="20"/>
                <w:szCs w:val="20"/>
              </w:rPr>
              <w:t>(1)</w:t>
            </w:r>
          </w:p>
        </w:tc>
        <w:tc>
          <w:tcPr>
            <w:tcW w:w="1181" w:type="dxa"/>
            <w:tcBorders>
              <w:top w:val="nil"/>
              <w:left w:val="single" w:sz="4" w:space="0" w:color="auto"/>
              <w:bottom w:val="single" w:sz="4" w:space="0" w:color="auto"/>
              <w:right w:val="single" w:sz="4" w:space="0" w:color="auto"/>
            </w:tcBorders>
            <w:shd w:val="clear" w:color="auto" w:fill="auto"/>
          </w:tcPr>
          <w:p w:rsidR="006C7C44" w:rsidRPr="00BC5958" w:rsidRDefault="006C7C44" w:rsidP="006C7C44">
            <w:pPr>
              <w:jc w:val="center"/>
              <w:rPr>
                <w:color w:val="000000"/>
                <w:sz w:val="20"/>
                <w:szCs w:val="20"/>
              </w:rPr>
            </w:pPr>
            <w:r w:rsidRPr="00BC5958">
              <w:rPr>
                <w:color w:val="000000"/>
                <w:sz w:val="20"/>
                <w:szCs w:val="20"/>
              </w:rPr>
              <w:t>6</w:t>
            </w:r>
          </w:p>
        </w:tc>
        <w:tc>
          <w:tcPr>
            <w:tcW w:w="1478" w:type="dxa"/>
            <w:tcBorders>
              <w:top w:val="nil"/>
              <w:left w:val="single" w:sz="4" w:space="0" w:color="auto"/>
              <w:bottom w:val="single" w:sz="4" w:space="0" w:color="auto"/>
              <w:right w:val="single" w:sz="4" w:space="0" w:color="auto"/>
            </w:tcBorders>
            <w:shd w:val="clear" w:color="auto" w:fill="auto"/>
          </w:tcPr>
          <w:p w:rsidR="006C7C44" w:rsidRPr="00E8065F" w:rsidRDefault="006C7C44" w:rsidP="006C7C44">
            <w:pPr>
              <w:jc w:val="center"/>
              <w:rPr>
                <w:color w:val="000000"/>
                <w:sz w:val="20"/>
                <w:szCs w:val="20"/>
              </w:rPr>
            </w:pPr>
            <w:r w:rsidRPr="00E8065F">
              <w:rPr>
                <w:color w:val="000000"/>
                <w:sz w:val="20"/>
                <w:szCs w:val="20"/>
              </w:rPr>
              <w:t>58,5</w:t>
            </w:r>
          </w:p>
        </w:tc>
        <w:tc>
          <w:tcPr>
            <w:tcW w:w="1111" w:type="dxa"/>
            <w:tcBorders>
              <w:top w:val="nil"/>
              <w:left w:val="nil"/>
              <w:bottom w:val="single" w:sz="4" w:space="0" w:color="auto"/>
              <w:right w:val="single" w:sz="4" w:space="0" w:color="auto"/>
            </w:tcBorders>
            <w:shd w:val="clear" w:color="auto" w:fill="auto"/>
          </w:tcPr>
          <w:p w:rsidR="006C7C44" w:rsidRPr="00E8065F" w:rsidRDefault="006C7C44" w:rsidP="006C7C44">
            <w:pPr>
              <w:jc w:val="center"/>
              <w:rPr>
                <w:color w:val="000000"/>
                <w:sz w:val="20"/>
                <w:szCs w:val="20"/>
              </w:rPr>
            </w:pPr>
            <w:r w:rsidRPr="00E8065F">
              <w:rPr>
                <w:color w:val="000000"/>
                <w:sz w:val="20"/>
                <w:szCs w:val="20"/>
              </w:rPr>
              <w:t>1</w:t>
            </w:r>
          </w:p>
        </w:tc>
        <w:tc>
          <w:tcPr>
            <w:tcW w:w="1944" w:type="dxa"/>
            <w:tcBorders>
              <w:top w:val="nil"/>
              <w:left w:val="single" w:sz="4" w:space="0" w:color="auto"/>
              <w:bottom w:val="single" w:sz="4" w:space="0" w:color="auto"/>
              <w:right w:val="single" w:sz="4" w:space="0" w:color="auto"/>
            </w:tcBorders>
            <w:shd w:val="clear" w:color="auto" w:fill="auto"/>
          </w:tcPr>
          <w:p w:rsidR="006C7C44" w:rsidRPr="00E8065F" w:rsidRDefault="006C7C44" w:rsidP="006C7C44">
            <w:pPr>
              <w:jc w:val="center"/>
              <w:rPr>
                <w:color w:val="000000"/>
                <w:sz w:val="20"/>
                <w:szCs w:val="20"/>
              </w:rPr>
            </w:pPr>
            <w:r w:rsidRPr="00E8065F">
              <w:rPr>
                <w:color w:val="000000"/>
                <w:sz w:val="20"/>
                <w:szCs w:val="20"/>
              </w:rPr>
              <w:t>Амбулаторное/стационарное</w:t>
            </w:r>
          </w:p>
        </w:tc>
      </w:tr>
      <w:tr w:rsidR="006C7C44" w:rsidRPr="00E8065F" w:rsidTr="000546C2">
        <w:trPr>
          <w:trHeight w:val="20"/>
        </w:trPr>
        <w:tc>
          <w:tcPr>
            <w:tcW w:w="1555" w:type="dxa"/>
            <w:vMerge/>
          </w:tcPr>
          <w:p w:rsidR="006C7C44" w:rsidRPr="00E8065F" w:rsidRDefault="006C7C44" w:rsidP="006C7C44">
            <w:pPr>
              <w:rPr>
                <w:color w:val="000000"/>
                <w:sz w:val="20"/>
                <w:szCs w:val="20"/>
              </w:rPr>
            </w:pPr>
          </w:p>
        </w:tc>
        <w:tc>
          <w:tcPr>
            <w:tcW w:w="3685" w:type="dxa"/>
            <w:tcBorders>
              <w:top w:val="nil"/>
              <w:left w:val="single" w:sz="4" w:space="0" w:color="auto"/>
              <w:bottom w:val="single" w:sz="4" w:space="0" w:color="auto"/>
              <w:right w:val="single" w:sz="4" w:space="0" w:color="auto"/>
            </w:tcBorders>
            <w:shd w:val="clear" w:color="auto" w:fill="auto"/>
          </w:tcPr>
          <w:p w:rsidR="006C7C44" w:rsidRPr="00E8065F" w:rsidRDefault="006C7C44" w:rsidP="006C7C44">
            <w:pPr>
              <w:jc w:val="both"/>
              <w:rPr>
                <w:color w:val="000000"/>
                <w:sz w:val="20"/>
                <w:szCs w:val="20"/>
              </w:rPr>
            </w:pPr>
            <w:r w:rsidRPr="00E8065F">
              <w:rPr>
                <w:color w:val="000000"/>
                <w:sz w:val="20"/>
                <w:szCs w:val="20"/>
              </w:rPr>
              <w:t xml:space="preserve">ГАУЗ </w:t>
            </w:r>
            <w:r>
              <w:rPr>
                <w:color w:val="000000"/>
                <w:sz w:val="20"/>
                <w:szCs w:val="20"/>
              </w:rPr>
              <w:t>«</w:t>
            </w:r>
            <w:r w:rsidRPr="00E8065F">
              <w:rPr>
                <w:color w:val="000000"/>
                <w:sz w:val="20"/>
                <w:szCs w:val="20"/>
              </w:rPr>
              <w:t>Мензелинская ЦРБ</w:t>
            </w:r>
            <w:r>
              <w:rPr>
                <w:color w:val="000000"/>
                <w:sz w:val="20"/>
                <w:szCs w:val="20"/>
              </w:rPr>
              <w:t>»</w:t>
            </w:r>
            <w:r w:rsidRPr="00E8065F">
              <w:rPr>
                <w:color w:val="000000"/>
                <w:sz w:val="20"/>
                <w:szCs w:val="20"/>
              </w:rPr>
              <w:t xml:space="preserve"> </w:t>
            </w:r>
          </w:p>
        </w:tc>
        <w:tc>
          <w:tcPr>
            <w:tcW w:w="1994" w:type="dxa"/>
            <w:shd w:val="clear" w:color="auto" w:fill="auto"/>
          </w:tcPr>
          <w:p w:rsidR="006C7C44" w:rsidRDefault="008B3E41" w:rsidP="006C7C44">
            <w:pPr>
              <w:jc w:val="center"/>
            </w:pPr>
            <w:r>
              <w:rPr>
                <w:sz w:val="20"/>
                <w:szCs w:val="20"/>
              </w:rPr>
              <w:t xml:space="preserve">Аппараты </w:t>
            </w:r>
            <w:r>
              <w:rPr>
                <w:rFonts w:eastAsia="Arial"/>
                <w:sz w:val="20"/>
                <w:szCs w:val="20"/>
              </w:rPr>
              <w:t>для ультразвуковых исследований</w:t>
            </w:r>
          </w:p>
        </w:tc>
        <w:tc>
          <w:tcPr>
            <w:tcW w:w="1181" w:type="dxa"/>
            <w:shd w:val="clear" w:color="auto" w:fill="auto"/>
          </w:tcPr>
          <w:p w:rsidR="006C7C44" w:rsidRPr="00E8065F" w:rsidRDefault="006C7C44" w:rsidP="006C7C44">
            <w:pPr>
              <w:jc w:val="center"/>
              <w:rPr>
                <w:sz w:val="20"/>
                <w:szCs w:val="20"/>
              </w:rPr>
            </w:pPr>
            <w:r w:rsidRPr="00E8065F">
              <w:rPr>
                <w:sz w:val="20"/>
                <w:szCs w:val="20"/>
              </w:rPr>
              <w:t>2016</w:t>
            </w:r>
            <w:r w:rsidR="00793DC9">
              <w:rPr>
                <w:sz w:val="20"/>
                <w:szCs w:val="20"/>
              </w:rPr>
              <w:t xml:space="preserve"> </w:t>
            </w:r>
            <w:r>
              <w:rPr>
                <w:sz w:val="20"/>
                <w:szCs w:val="20"/>
              </w:rPr>
              <w:t>(1)</w:t>
            </w:r>
          </w:p>
          <w:p w:rsidR="006C7C44" w:rsidRPr="00E8065F" w:rsidRDefault="006C7C44" w:rsidP="006C7C44">
            <w:pPr>
              <w:jc w:val="center"/>
              <w:rPr>
                <w:sz w:val="20"/>
                <w:szCs w:val="20"/>
              </w:rPr>
            </w:pPr>
            <w:r w:rsidRPr="00E8065F">
              <w:rPr>
                <w:sz w:val="20"/>
                <w:szCs w:val="20"/>
              </w:rPr>
              <w:t>2018</w:t>
            </w:r>
            <w:r w:rsidR="00793DC9">
              <w:rPr>
                <w:sz w:val="20"/>
                <w:szCs w:val="20"/>
              </w:rPr>
              <w:t xml:space="preserve"> </w:t>
            </w:r>
            <w:r>
              <w:rPr>
                <w:sz w:val="20"/>
                <w:szCs w:val="20"/>
              </w:rPr>
              <w:t>(1)</w:t>
            </w:r>
          </w:p>
          <w:p w:rsidR="006C7C44" w:rsidRPr="00E8065F" w:rsidRDefault="006C7C44" w:rsidP="006C7C44">
            <w:pPr>
              <w:jc w:val="center"/>
              <w:rPr>
                <w:sz w:val="20"/>
                <w:szCs w:val="20"/>
              </w:rPr>
            </w:pPr>
            <w:r w:rsidRPr="00E8065F">
              <w:rPr>
                <w:sz w:val="20"/>
                <w:szCs w:val="20"/>
              </w:rPr>
              <w:t>2020</w:t>
            </w:r>
            <w:r w:rsidR="00793DC9">
              <w:rPr>
                <w:sz w:val="20"/>
                <w:szCs w:val="20"/>
              </w:rPr>
              <w:t xml:space="preserve"> </w:t>
            </w:r>
            <w:r>
              <w:rPr>
                <w:sz w:val="20"/>
                <w:szCs w:val="20"/>
              </w:rPr>
              <w:t>(1)</w:t>
            </w:r>
          </w:p>
          <w:p w:rsidR="006C7C44" w:rsidRPr="00E8065F" w:rsidRDefault="006C7C44" w:rsidP="006C7C44">
            <w:pPr>
              <w:jc w:val="center"/>
              <w:rPr>
                <w:sz w:val="20"/>
                <w:szCs w:val="20"/>
              </w:rPr>
            </w:pPr>
            <w:r w:rsidRPr="00E8065F">
              <w:rPr>
                <w:sz w:val="20"/>
                <w:szCs w:val="20"/>
              </w:rPr>
              <w:t>2022</w:t>
            </w:r>
            <w:r w:rsidR="00793DC9">
              <w:rPr>
                <w:sz w:val="20"/>
                <w:szCs w:val="20"/>
              </w:rPr>
              <w:t xml:space="preserve"> </w:t>
            </w:r>
            <w:r>
              <w:rPr>
                <w:sz w:val="20"/>
                <w:szCs w:val="20"/>
              </w:rPr>
              <w:t>(1)</w:t>
            </w:r>
          </w:p>
        </w:tc>
        <w:tc>
          <w:tcPr>
            <w:tcW w:w="1181" w:type="dxa"/>
            <w:tcBorders>
              <w:top w:val="nil"/>
              <w:left w:val="single" w:sz="4" w:space="0" w:color="auto"/>
              <w:bottom w:val="single" w:sz="4" w:space="0" w:color="auto"/>
              <w:right w:val="single" w:sz="4" w:space="0" w:color="auto"/>
            </w:tcBorders>
            <w:shd w:val="clear" w:color="auto" w:fill="auto"/>
          </w:tcPr>
          <w:p w:rsidR="006C7C44" w:rsidRPr="00BC5958" w:rsidRDefault="006C7C44" w:rsidP="006C7C44">
            <w:pPr>
              <w:jc w:val="center"/>
              <w:rPr>
                <w:color w:val="000000"/>
                <w:sz w:val="20"/>
                <w:szCs w:val="20"/>
              </w:rPr>
            </w:pPr>
            <w:r w:rsidRPr="00BC5958">
              <w:rPr>
                <w:color w:val="000000"/>
                <w:sz w:val="20"/>
                <w:szCs w:val="20"/>
              </w:rPr>
              <w:t>4</w:t>
            </w:r>
          </w:p>
        </w:tc>
        <w:tc>
          <w:tcPr>
            <w:tcW w:w="1478" w:type="dxa"/>
            <w:tcBorders>
              <w:top w:val="nil"/>
              <w:left w:val="single" w:sz="4" w:space="0" w:color="auto"/>
              <w:bottom w:val="single" w:sz="4" w:space="0" w:color="auto"/>
              <w:right w:val="single" w:sz="4" w:space="0" w:color="auto"/>
            </w:tcBorders>
            <w:shd w:val="clear" w:color="auto" w:fill="auto"/>
          </w:tcPr>
          <w:p w:rsidR="006C7C44" w:rsidRPr="00E8065F" w:rsidRDefault="006C7C44" w:rsidP="006C7C44">
            <w:pPr>
              <w:jc w:val="center"/>
              <w:rPr>
                <w:color w:val="000000"/>
                <w:sz w:val="20"/>
                <w:szCs w:val="20"/>
              </w:rPr>
            </w:pPr>
            <w:r w:rsidRPr="00E8065F">
              <w:rPr>
                <w:color w:val="000000"/>
                <w:sz w:val="20"/>
                <w:szCs w:val="20"/>
              </w:rPr>
              <w:t>63,9</w:t>
            </w:r>
          </w:p>
        </w:tc>
        <w:tc>
          <w:tcPr>
            <w:tcW w:w="1111" w:type="dxa"/>
            <w:tcBorders>
              <w:top w:val="nil"/>
              <w:left w:val="nil"/>
              <w:bottom w:val="single" w:sz="4" w:space="0" w:color="auto"/>
              <w:right w:val="single" w:sz="4" w:space="0" w:color="auto"/>
            </w:tcBorders>
            <w:shd w:val="clear" w:color="auto" w:fill="auto"/>
          </w:tcPr>
          <w:p w:rsidR="006C7C44" w:rsidRPr="00E8065F" w:rsidRDefault="006C7C44" w:rsidP="006C7C44">
            <w:pPr>
              <w:jc w:val="center"/>
              <w:rPr>
                <w:color w:val="000000"/>
                <w:sz w:val="20"/>
                <w:szCs w:val="20"/>
              </w:rPr>
            </w:pPr>
            <w:r w:rsidRPr="00E8065F">
              <w:rPr>
                <w:color w:val="000000"/>
                <w:sz w:val="20"/>
                <w:szCs w:val="20"/>
              </w:rPr>
              <w:t>1</w:t>
            </w:r>
          </w:p>
        </w:tc>
        <w:tc>
          <w:tcPr>
            <w:tcW w:w="1944" w:type="dxa"/>
            <w:tcBorders>
              <w:top w:val="nil"/>
              <w:left w:val="single" w:sz="4" w:space="0" w:color="auto"/>
              <w:bottom w:val="single" w:sz="4" w:space="0" w:color="auto"/>
              <w:right w:val="single" w:sz="4" w:space="0" w:color="auto"/>
            </w:tcBorders>
            <w:shd w:val="clear" w:color="auto" w:fill="auto"/>
          </w:tcPr>
          <w:p w:rsidR="006C7C44" w:rsidRPr="00E8065F" w:rsidRDefault="006C7C44" w:rsidP="006C7C44">
            <w:pPr>
              <w:jc w:val="center"/>
              <w:rPr>
                <w:color w:val="000000"/>
                <w:sz w:val="20"/>
                <w:szCs w:val="20"/>
              </w:rPr>
            </w:pPr>
            <w:r w:rsidRPr="00E8065F">
              <w:rPr>
                <w:color w:val="000000"/>
                <w:sz w:val="20"/>
                <w:szCs w:val="20"/>
              </w:rPr>
              <w:t>Амбулаторное/стационарное</w:t>
            </w:r>
          </w:p>
        </w:tc>
      </w:tr>
      <w:tr w:rsidR="006C7C44" w:rsidRPr="00E8065F" w:rsidTr="000546C2">
        <w:trPr>
          <w:trHeight w:val="20"/>
        </w:trPr>
        <w:tc>
          <w:tcPr>
            <w:tcW w:w="1555" w:type="dxa"/>
            <w:vMerge/>
          </w:tcPr>
          <w:p w:rsidR="006C7C44" w:rsidRPr="00E8065F" w:rsidRDefault="006C7C44" w:rsidP="006C7C44">
            <w:pPr>
              <w:rPr>
                <w:color w:val="000000"/>
                <w:sz w:val="20"/>
                <w:szCs w:val="20"/>
              </w:rPr>
            </w:pPr>
          </w:p>
        </w:tc>
        <w:tc>
          <w:tcPr>
            <w:tcW w:w="3685" w:type="dxa"/>
            <w:tcBorders>
              <w:top w:val="nil"/>
              <w:left w:val="single" w:sz="4" w:space="0" w:color="auto"/>
              <w:bottom w:val="single" w:sz="4" w:space="0" w:color="auto"/>
              <w:right w:val="single" w:sz="4" w:space="0" w:color="auto"/>
            </w:tcBorders>
            <w:shd w:val="clear" w:color="auto" w:fill="auto"/>
          </w:tcPr>
          <w:p w:rsidR="006C7C44" w:rsidRPr="00E8065F" w:rsidRDefault="006C7C44" w:rsidP="006C7C44">
            <w:pPr>
              <w:jc w:val="both"/>
              <w:rPr>
                <w:color w:val="000000"/>
                <w:sz w:val="20"/>
                <w:szCs w:val="20"/>
              </w:rPr>
            </w:pPr>
            <w:r w:rsidRPr="00E8065F">
              <w:rPr>
                <w:color w:val="000000"/>
                <w:sz w:val="20"/>
                <w:szCs w:val="20"/>
              </w:rPr>
              <w:t xml:space="preserve">ГАУЗ </w:t>
            </w:r>
            <w:r>
              <w:rPr>
                <w:color w:val="000000"/>
                <w:sz w:val="20"/>
                <w:szCs w:val="20"/>
              </w:rPr>
              <w:t>«</w:t>
            </w:r>
            <w:r w:rsidRPr="00E8065F">
              <w:rPr>
                <w:color w:val="000000"/>
                <w:sz w:val="20"/>
                <w:szCs w:val="20"/>
              </w:rPr>
              <w:t>Муслюмовская ЦРБ</w:t>
            </w:r>
            <w:r>
              <w:rPr>
                <w:color w:val="000000"/>
                <w:sz w:val="20"/>
                <w:szCs w:val="20"/>
              </w:rPr>
              <w:t>»</w:t>
            </w:r>
          </w:p>
        </w:tc>
        <w:tc>
          <w:tcPr>
            <w:tcW w:w="1994" w:type="dxa"/>
            <w:shd w:val="clear" w:color="auto" w:fill="auto"/>
          </w:tcPr>
          <w:p w:rsidR="006C7C44" w:rsidRDefault="008B3E41" w:rsidP="006C7C44">
            <w:pPr>
              <w:jc w:val="center"/>
            </w:pPr>
            <w:r>
              <w:rPr>
                <w:sz w:val="20"/>
                <w:szCs w:val="20"/>
              </w:rPr>
              <w:t xml:space="preserve">Аппараты </w:t>
            </w:r>
            <w:r>
              <w:rPr>
                <w:rFonts w:eastAsia="Arial"/>
                <w:sz w:val="20"/>
                <w:szCs w:val="20"/>
              </w:rPr>
              <w:t>для ультразвуковых исследований</w:t>
            </w:r>
          </w:p>
        </w:tc>
        <w:tc>
          <w:tcPr>
            <w:tcW w:w="1181" w:type="dxa"/>
            <w:shd w:val="clear" w:color="auto" w:fill="auto"/>
          </w:tcPr>
          <w:p w:rsidR="006C7C44" w:rsidRPr="00E8065F" w:rsidRDefault="006C7C44" w:rsidP="006C7C44">
            <w:pPr>
              <w:jc w:val="center"/>
              <w:rPr>
                <w:sz w:val="20"/>
                <w:szCs w:val="20"/>
              </w:rPr>
            </w:pPr>
            <w:r w:rsidRPr="00E8065F">
              <w:rPr>
                <w:sz w:val="20"/>
                <w:szCs w:val="20"/>
              </w:rPr>
              <w:t>2015</w:t>
            </w:r>
            <w:r w:rsidR="00793DC9">
              <w:rPr>
                <w:sz w:val="20"/>
                <w:szCs w:val="20"/>
              </w:rPr>
              <w:t xml:space="preserve"> </w:t>
            </w:r>
            <w:r>
              <w:rPr>
                <w:sz w:val="20"/>
                <w:szCs w:val="20"/>
              </w:rPr>
              <w:t>(1)</w:t>
            </w:r>
          </w:p>
          <w:p w:rsidR="006C7C44" w:rsidRPr="00E8065F" w:rsidRDefault="006C7C44" w:rsidP="006C7C44">
            <w:pPr>
              <w:jc w:val="center"/>
              <w:rPr>
                <w:sz w:val="20"/>
                <w:szCs w:val="20"/>
              </w:rPr>
            </w:pPr>
            <w:r w:rsidRPr="00E8065F">
              <w:rPr>
                <w:sz w:val="20"/>
                <w:szCs w:val="20"/>
              </w:rPr>
              <w:t>2023</w:t>
            </w:r>
            <w:r w:rsidR="00793DC9">
              <w:rPr>
                <w:sz w:val="20"/>
                <w:szCs w:val="20"/>
              </w:rPr>
              <w:t xml:space="preserve"> </w:t>
            </w:r>
            <w:r>
              <w:rPr>
                <w:sz w:val="20"/>
                <w:szCs w:val="20"/>
              </w:rPr>
              <w:t>(3)</w:t>
            </w:r>
          </w:p>
        </w:tc>
        <w:tc>
          <w:tcPr>
            <w:tcW w:w="1181" w:type="dxa"/>
            <w:tcBorders>
              <w:top w:val="nil"/>
              <w:left w:val="single" w:sz="4" w:space="0" w:color="auto"/>
              <w:bottom w:val="single" w:sz="4" w:space="0" w:color="auto"/>
              <w:right w:val="single" w:sz="4" w:space="0" w:color="auto"/>
            </w:tcBorders>
            <w:shd w:val="clear" w:color="auto" w:fill="auto"/>
          </w:tcPr>
          <w:p w:rsidR="006C7C44" w:rsidRPr="00BC5958" w:rsidRDefault="006C7C44" w:rsidP="006C7C44">
            <w:pPr>
              <w:jc w:val="center"/>
              <w:rPr>
                <w:color w:val="000000"/>
                <w:sz w:val="20"/>
                <w:szCs w:val="20"/>
              </w:rPr>
            </w:pPr>
            <w:r w:rsidRPr="00BC5958">
              <w:rPr>
                <w:color w:val="000000"/>
                <w:sz w:val="20"/>
                <w:szCs w:val="20"/>
              </w:rPr>
              <w:t>4</w:t>
            </w:r>
          </w:p>
        </w:tc>
        <w:tc>
          <w:tcPr>
            <w:tcW w:w="1478" w:type="dxa"/>
            <w:tcBorders>
              <w:top w:val="nil"/>
              <w:left w:val="single" w:sz="4" w:space="0" w:color="auto"/>
              <w:bottom w:val="single" w:sz="4" w:space="0" w:color="auto"/>
              <w:right w:val="single" w:sz="4" w:space="0" w:color="auto"/>
            </w:tcBorders>
            <w:shd w:val="clear" w:color="auto" w:fill="auto"/>
          </w:tcPr>
          <w:p w:rsidR="006C7C44" w:rsidRPr="00E8065F" w:rsidRDefault="006C7C44" w:rsidP="006C7C44">
            <w:pPr>
              <w:jc w:val="center"/>
              <w:rPr>
                <w:color w:val="000000"/>
                <w:sz w:val="20"/>
                <w:szCs w:val="20"/>
              </w:rPr>
            </w:pPr>
            <w:r w:rsidRPr="00E8065F">
              <w:rPr>
                <w:color w:val="000000"/>
                <w:sz w:val="20"/>
                <w:szCs w:val="20"/>
              </w:rPr>
              <w:t>70,0</w:t>
            </w:r>
          </w:p>
        </w:tc>
        <w:tc>
          <w:tcPr>
            <w:tcW w:w="1111" w:type="dxa"/>
            <w:tcBorders>
              <w:top w:val="nil"/>
              <w:left w:val="nil"/>
              <w:bottom w:val="single" w:sz="4" w:space="0" w:color="auto"/>
              <w:right w:val="single" w:sz="4" w:space="0" w:color="auto"/>
            </w:tcBorders>
            <w:shd w:val="clear" w:color="auto" w:fill="auto"/>
          </w:tcPr>
          <w:p w:rsidR="006C7C44" w:rsidRPr="00E8065F" w:rsidRDefault="006C7C44" w:rsidP="006C7C44">
            <w:pPr>
              <w:jc w:val="center"/>
              <w:rPr>
                <w:color w:val="000000"/>
                <w:sz w:val="20"/>
                <w:szCs w:val="20"/>
              </w:rPr>
            </w:pPr>
            <w:r w:rsidRPr="00E8065F">
              <w:rPr>
                <w:color w:val="000000"/>
                <w:sz w:val="20"/>
                <w:szCs w:val="20"/>
              </w:rPr>
              <w:t>1</w:t>
            </w:r>
          </w:p>
        </w:tc>
        <w:tc>
          <w:tcPr>
            <w:tcW w:w="1944" w:type="dxa"/>
            <w:tcBorders>
              <w:top w:val="nil"/>
              <w:left w:val="single" w:sz="4" w:space="0" w:color="auto"/>
              <w:bottom w:val="single" w:sz="4" w:space="0" w:color="auto"/>
              <w:right w:val="single" w:sz="4" w:space="0" w:color="auto"/>
            </w:tcBorders>
            <w:shd w:val="clear" w:color="auto" w:fill="auto"/>
          </w:tcPr>
          <w:p w:rsidR="006C7C44" w:rsidRPr="00E8065F" w:rsidRDefault="006C7C44" w:rsidP="006C7C44">
            <w:pPr>
              <w:jc w:val="center"/>
              <w:rPr>
                <w:color w:val="000000"/>
                <w:sz w:val="20"/>
                <w:szCs w:val="20"/>
              </w:rPr>
            </w:pPr>
            <w:r w:rsidRPr="00E8065F">
              <w:rPr>
                <w:color w:val="000000"/>
                <w:sz w:val="20"/>
                <w:szCs w:val="20"/>
              </w:rPr>
              <w:t>Стационарное</w:t>
            </w:r>
          </w:p>
        </w:tc>
      </w:tr>
      <w:tr w:rsidR="006C7C44" w:rsidRPr="00E8065F" w:rsidTr="000546C2">
        <w:trPr>
          <w:trHeight w:val="20"/>
        </w:trPr>
        <w:tc>
          <w:tcPr>
            <w:tcW w:w="1555" w:type="dxa"/>
            <w:vMerge/>
          </w:tcPr>
          <w:p w:rsidR="006C7C44" w:rsidRPr="00E8065F" w:rsidRDefault="006C7C44" w:rsidP="006C7C44">
            <w:pPr>
              <w:rPr>
                <w:color w:val="000000"/>
                <w:sz w:val="20"/>
                <w:szCs w:val="20"/>
              </w:rPr>
            </w:pPr>
          </w:p>
        </w:tc>
        <w:tc>
          <w:tcPr>
            <w:tcW w:w="3685" w:type="dxa"/>
            <w:tcBorders>
              <w:top w:val="nil"/>
              <w:left w:val="single" w:sz="4" w:space="0" w:color="auto"/>
              <w:bottom w:val="single" w:sz="4" w:space="0" w:color="auto"/>
              <w:right w:val="single" w:sz="4" w:space="0" w:color="auto"/>
            </w:tcBorders>
            <w:shd w:val="clear" w:color="auto" w:fill="auto"/>
          </w:tcPr>
          <w:p w:rsidR="006C7C44" w:rsidRPr="00E8065F" w:rsidRDefault="006C7C44" w:rsidP="006C7C44">
            <w:pPr>
              <w:jc w:val="both"/>
              <w:rPr>
                <w:color w:val="000000"/>
                <w:sz w:val="20"/>
                <w:szCs w:val="20"/>
              </w:rPr>
            </w:pPr>
            <w:r>
              <w:rPr>
                <w:color w:val="000000"/>
                <w:sz w:val="20"/>
                <w:szCs w:val="20"/>
              </w:rPr>
              <w:t>ГАУЗ «</w:t>
            </w:r>
            <w:r w:rsidRPr="00E8065F">
              <w:rPr>
                <w:color w:val="000000"/>
                <w:sz w:val="20"/>
                <w:szCs w:val="20"/>
              </w:rPr>
              <w:t xml:space="preserve">Камско-Полянская </w:t>
            </w:r>
            <w:r>
              <w:rPr>
                <w:color w:val="000000"/>
                <w:sz w:val="20"/>
                <w:szCs w:val="20"/>
              </w:rPr>
              <w:t>районная больница»</w:t>
            </w:r>
          </w:p>
        </w:tc>
        <w:tc>
          <w:tcPr>
            <w:tcW w:w="1994" w:type="dxa"/>
            <w:shd w:val="clear" w:color="auto" w:fill="auto"/>
          </w:tcPr>
          <w:p w:rsidR="006C7C44" w:rsidRDefault="008B3E41" w:rsidP="006C7C44">
            <w:pPr>
              <w:jc w:val="center"/>
            </w:pPr>
            <w:r>
              <w:rPr>
                <w:sz w:val="20"/>
                <w:szCs w:val="20"/>
              </w:rPr>
              <w:t xml:space="preserve">Аппараты </w:t>
            </w:r>
            <w:r>
              <w:rPr>
                <w:rFonts w:eastAsia="Arial"/>
                <w:sz w:val="20"/>
                <w:szCs w:val="20"/>
              </w:rPr>
              <w:t>для ультразвуковых исследований</w:t>
            </w:r>
          </w:p>
        </w:tc>
        <w:tc>
          <w:tcPr>
            <w:tcW w:w="1181" w:type="dxa"/>
            <w:shd w:val="clear" w:color="auto" w:fill="auto"/>
          </w:tcPr>
          <w:p w:rsidR="006C7C44" w:rsidRPr="00E8065F" w:rsidRDefault="006C7C44" w:rsidP="006C7C44">
            <w:pPr>
              <w:jc w:val="center"/>
              <w:rPr>
                <w:sz w:val="20"/>
                <w:szCs w:val="20"/>
              </w:rPr>
            </w:pPr>
            <w:r w:rsidRPr="00E8065F">
              <w:rPr>
                <w:sz w:val="20"/>
                <w:szCs w:val="20"/>
              </w:rPr>
              <w:t>2011</w:t>
            </w:r>
            <w:r w:rsidR="00793DC9">
              <w:rPr>
                <w:sz w:val="20"/>
                <w:szCs w:val="20"/>
              </w:rPr>
              <w:t xml:space="preserve"> </w:t>
            </w:r>
            <w:r>
              <w:rPr>
                <w:sz w:val="20"/>
                <w:szCs w:val="20"/>
              </w:rPr>
              <w:t>(1)</w:t>
            </w:r>
          </w:p>
          <w:p w:rsidR="006C7C44" w:rsidRPr="00E8065F" w:rsidRDefault="006C7C44" w:rsidP="006C7C44">
            <w:pPr>
              <w:jc w:val="center"/>
              <w:rPr>
                <w:sz w:val="20"/>
                <w:szCs w:val="20"/>
              </w:rPr>
            </w:pPr>
            <w:r w:rsidRPr="00E8065F">
              <w:rPr>
                <w:sz w:val="20"/>
                <w:szCs w:val="20"/>
              </w:rPr>
              <w:t>2022</w:t>
            </w:r>
            <w:r w:rsidR="00793DC9">
              <w:rPr>
                <w:sz w:val="20"/>
                <w:szCs w:val="20"/>
              </w:rPr>
              <w:t xml:space="preserve"> </w:t>
            </w:r>
            <w:r>
              <w:rPr>
                <w:sz w:val="20"/>
                <w:szCs w:val="20"/>
              </w:rPr>
              <w:t>(1)</w:t>
            </w:r>
          </w:p>
          <w:p w:rsidR="006C7C44" w:rsidRPr="00E8065F" w:rsidRDefault="006C7C44" w:rsidP="006C7C44">
            <w:pPr>
              <w:jc w:val="center"/>
              <w:rPr>
                <w:sz w:val="20"/>
                <w:szCs w:val="20"/>
              </w:rPr>
            </w:pPr>
            <w:r w:rsidRPr="00E8065F">
              <w:rPr>
                <w:sz w:val="20"/>
                <w:szCs w:val="20"/>
              </w:rPr>
              <w:t>2023</w:t>
            </w:r>
            <w:r w:rsidR="00793DC9">
              <w:rPr>
                <w:sz w:val="20"/>
                <w:szCs w:val="20"/>
              </w:rPr>
              <w:t xml:space="preserve"> </w:t>
            </w:r>
            <w:r>
              <w:rPr>
                <w:sz w:val="20"/>
                <w:szCs w:val="20"/>
              </w:rPr>
              <w:t>(1)</w:t>
            </w:r>
          </w:p>
        </w:tc>
        <w:tc>
          <w:tcPr>
            <w:tcW w:w="1181" w:type="dxa"/>
            <w:tcBorders>
              <w:top w:val="nil"/>
              <w:left w:val="single" w:sz="4" w:space="0" w:color="auto"/>
              <w:bottom w:val="single" w:sz="4" w:space="0" w:color="auto"/>
              <w:right w:val="single" w:sz="4" w:space="0" w:color="auto"/>
            </w:tcBorders>
            <w:shd w:val="clear" w:color="auto" w:fill="auto"/>
          </w:tcPr>
          <w:p w:rsidR="006C7C44" w:rsidRPr="00BC5958" w:rsidRDefault="006C7C44" w:rsidP="006C7C44">
            <w:pPr>
              <w:jc w:val="center"/>
              <w:rPr>
                <w:color w:val="000000"/>
                <w:sz w:val="20"/>
                <w:szCs w:val="20"/>
              </w:rPr>
            </w:pPr>
            <w:r w:rsidRPr="00BC5958">
              <w:rPr>
                <w:color w:val="000000"/>
                <w:sz w:val="20"/>
                <w:szCs w:val="20"/>
              </w:rPr>
              <w:t>3</w:t>
            </w:r>
          </w:p>
        </w:tc>
        <w:tc>
          <w:tcPr>
            <w:tcW w:w="1478" w:type="dxa"/>
            <w:tcBorders>
              <w:top w:val="nil"/>
              <w:left w:val="single" w:sz="4" w:space="0" w:color="auto"/>
              <w:bottom w:val="single" w:sz="4" w:space="0" w:color="auto"/>
              <w:right w:val="single" w:sz="4" w:space="0" w:color="auto"/>
            </w:tcBorders>
            <w:shd w:val="clear" w:color="auto" w:fill="auto"/>
          </w:tcPr>
          <w:p w:rsidR="006C7C44" w:rsidRPr="00E8065F" w:rsidRDefault="006C7C44" w:rsidP="006C7C44">
            <w:pPr>
              <w:jc w:val="center"/>
              <w:rPr>
                <w:color w:val="000000"/>
                <w:sz w:val="20"/>
                <w:szCs w:val="20"/>
              </w:rPr>
            </w:pPr>
            <w:r w:rsidRPr="00E8065F">
              <w:rPr>
                <w:color w:val="000000"/>
                <w:sz w:val="20"/>
                <w:szCs w:val="20"/>
              </w:rPr>
              <w:t>90,9</w:t>
            </w:r>
          </w:p>
        </w:tc>
        <w:tc>
          <w:tcPr>
            <w:tcW w:w="1111" w:type="dxa"/>
            <w:tcBorders>
              <w:top w:val="nil"/>
              <w:left w:val="nil"/>
              <w:bottom w:val="single" w:sz="4" w:space="0" w:color="auto"/>
              <w:right w:val="single" w:sz="4" w:space="0" w:color="auto"/>
            </w:tcBorders>
            <w:shd w:val="clear" w:color="auto" w:fill="auto"/>
          </w:tcPr>
          <w:p w:rsidR="006C7C44" w:rsidRPr="00E8065F" w:rsidRDefault="006C7C44" w:rsidP="006C7C44">
            <w:pPr>
              <w:jc w:val="center"/>
              <w:rPr>
                <w:color w:val="000000"/>
                <w:sz w:val="20"/>
                <w:szCs w:val="20"/>
              </w:rPr>
            </w:pPr>
            <w:r w:rsidRPr="00E8065F">
              <w:rPr>
                <w:color w:val="000000"/>
                <w:sz w:val="20"/>
                <w:szCs w:val="20"/>
              </w:rPr>
              <w:t>1</w:t>
            </w:r>
          </w:p>
        </w:tc>
        <w:tc>
          <w:tcPr>
            <w:tcW w:w="1944" w:type="dxa"/>
            <w:tcBorders>
              <w:top w:val="nil"/>
              <w:left w:val="single" w:sz="4" w:space="0" w:color="auto"/>
              <w:bottom w:val="single" w:sz="4" w:space="0" w:color="auto"/>
              <w:right w:val="single" w:sz="4" w:space="0" w:color="auto"/>
            </w:tcBorders>
            <w:shd w:val="clear" w:color="auto" w:fill="auto"/>
          </w:tcPr>
          <w:p w:rsidR="006C7C44" w:rsidRPr="00E8065F" w:rsidRDefault="006C7C44" w:rsidP="006C7C44">
            <w:pPr>
              <w:jc w:val="center"/>
              <w:rPr>
                <w:color w:val="000000"/>
                <w:sz w:val="20"/>
                <w:szCs w:val="20"/>
              </w:rPr>
            </w:pPr>
            <w:r w:rsidRPr="00E8065F">
              <w:rPr>
                <w:color w:val="000000"/>
                <w:sz w:val="20"/>
                <w:szCs w:val="20"/>
              </w:rPr>
              <w:t>Амбулаторное</w:t>
            </w:r>
          </w:p>
        </w:tc>
      </w:tr>
      <w:tr w:rsidR="006C7C44" w:rsidRPr="00E8065F" w:rsidTr="000546C2">
        <w:trPr>
          <w:trHeight w:val="20"/>
        </w:trPr>
        <w:tc>
          <w:tcPr>
            <w:tcW w:w="1555" w:type="dxa"/>
            <w:vMerge/>
          </w:tcPr>
          <w:p w:rsidR="006C7C44" w:rsidRPr="00E8065F" w:rsidRDefault="006C7C44" w:rsidP="006C7C44">
            <w:pPr>
              <w:rPr>
                <w:color w:val="000000"/>
                <w:sz w:val="20"/>
                <w:szCs w:val="20"/>
              </w:rPr>
            </w:pPr>
          </w:p>
        </w:tc>
        <w:tc>
          <w:tcPr>
            <w:tcW w:w="3685" w:type="dxa"/>
            <w:tcBorders>
              <w:top w:val="nil"/>
              <w:left w:val="single" w:sz="4" w:space="0" w:color="auto"/>
              <w:bottom w:val="single" w:sz="4" w:space="0" w:color="auto"/>
              <w:right w:val="single" w:sz="4" w:space="0" w:color="auto"/>
            </w:tcBorders>
            <w:shd w:val="clear" w:color="auto" w:fill="auto"/>
          </w:tcPr>
          <w:p w:rsidR="006C7C44" w:rsidRPr="00E8065F" w:rsidRDefault="006C7C44" w:rsidP="006C7C44">
            <w:pPr>
              <w:jc w:val="both"/>
              <w:rPr>
                <w:color w:val="000000"/>
                <w:sz w:val="20"/>
                <w:szCs w:val="20"/>
              </w:rPr>
            </w:pPr>
            <w:r>
              <w:rPr>
                <w:color w:val="000000"/>
                <w:sz w:val="20"/>
                <w:szCs w:val="20"/>
              </w:rPr>
              <w:t xml:space="preserve">ГАУЗ </w:t>
            </w:r>
            <w:r>
              <w:rPr>
                <w:sz w:val="20"/>
                <w:szCs w:val="20"/>
              </w:rPr>
              <w:t>«Нижнекамская центральная районная многопрофильная больница»</w:t>
            </w:r>
            <w:r w:rsidRPr="00E8065F">
              <w:rPr>
                <w:color w:val="000000"/>
                <w:sz w:val="20"/>
                <w:szCs w:val="20"/>
              </w:rPr>
              <w:t xml:space="preserve"> </w:t>
            </w:r>
          </w:p>
        </w:tc>
        <w:tc>
          <w:tcPr>
            <w:tcW w:w="1994" w:type="dxa"/>
            <w:shd w:val="clear" w:color="auto" w:fill="auto"/>
          </w:tcPr>
          <w:p w:rsidR="006C7C44" w:rsidRDefault="008B3E41" w:rsidP="006C7C44">
            <w:pPr>
              <w:jc w:val="center"/>
            </w:pPr>
            <w:r>
              <w:rPr>
                <w:sz w:val="20"/>
                <w:szCs w:val="20"/>
              </w:rPr>
              <w:t xml:space="preserve">Аппараты </w:t>
            </w:r>
            <w:r>
              <w:rPr>
                <w:rFonts w:eastAsia="Arial"/>
                <w:sz w:val="20"/>
                <w:szCs w:val="20"/>
              </w:rPr>
              <w:t>для ультразвуковых исследований</w:t>
            </w:r>
          </w:p>
        </w:tc>
        <w:tc>
          <w:tcPr>
            <w:tcW w:w="1181" w:type="dxa"/>
            <w:shd w:val="clear" w:color="auto" w:fill="auto"/>
          </w:tcPr>
          <w:p w:rsidR="006C7C44" w:rsidRPr="00E8065F" w:rsidRDefault="006C7C44" w:rsidP="006C7C44">
            <w:pPr>
              <w:jc w:val="center"/>
              <w:rPr>
                <w:sz w:val="20"/>
                <w:szCs w:val="20"/>
              </w:rPr>
            </w:pPr>
            <w:r w:rsidRPr="00E8065F">
              <w:rPr>
                <w:sz w:val="20"/>
                <w:szCs w:val="20"/>
              </w:rPr>
              <w:t>2012</w:t>
            </w:r>
            <w:r w:rsidR="00793DC9">
              <w:rPr>
                <w:sz w:val="20"/>
                <w:szCs w:val="20"/>
              </w:rPr>
              <w:t xml:space="preserve"> </w:t>
            </w:r>
            <w:r>
              <w:rPr>
                <w:sz w:val="20"/>
                <w:szCs w:val="20"/>
              </w:rPr>
              <w:t>(1)</w:t>
            </w:r>
          </w:p>
          <w:p w:rsidR="006C7C44" w:rsidRPr="00E8065F" w:rsidRDefault="006C7C44" w:rsidP="006C7C44">
            <w:pPr>
              <w:jc w:val="center"/>
              <w:rPr>
                <w:sz w:val="20"/>
                <w:szCs w:val="20"/>
              </w:rPr>
            </w:pPr>
            <w:r w:rsidRPr="00E8065F">
              <w:rPr>
                <w:sz w:val="20"/>
                <w:szCs w:val="20"/>
              </w:rPr>
              <w:t>2013</w:t>
            </w:r>
            <w:r w:rsidR="00793DC9">
              <w:rPr>
                <w:sz w:val="20"/>
                <w:szCs w:val="20"/>
              </w:rPr>
              <w:t xml:space="preserve"> </w:t>
            </w:r>
            <w:r>
              <w:rPr>
                <w:sz w:val="20"/>
                <w:szCs w:val="20"/>
              </w:rPr>
              <w:t>(1)</w:t>
            </w:r>
          </w:p>
          <w:p w:rsidR="006C7C44" w:rsidRPr="00E8065F" w:rsidRDefault="006C7C44" w:rsidP="006C7C44">
            <w:pPr>
              <w:jc w:val="center"/>
              <w:rPr>
                <w:sz w:val="20"/>
                <w:szCs w:val="20"/>
              </w:rPr>
            </w:pPr>
            <w:r w:rsidRPr="00E8065F">
              <w:rPr>
                <w:sz w:val="20"/>
                <w:szCs w:val="20"/>
              </w:rPr>
              <w:t>2016</w:t>
            </w:r>
            <w:r w:rsidR="00793DC9">
              <w:rPr>
                <w:sz w:val="20"/>
                <w:szCs w:val="20"/>
              </w:rPr>
              <w:t xml:space="preserve"> </w:t>
            </w:r>
            <w:r>
              <w:rPr>
                <w:sz w:val="20"/>
                <w:szCs w:val="20"/>
              </w:rPr>
              <w:t>(3)</w:t>
            </w:r>
          </w:p>
          <w:p w:rsidR="006C7C44" w:rsidRPr="00E8065F" w:rsidRDefault="006C7C44" w:rsidP="006C7C44">
            <w:pPr>
              <w:jc w:val="center"/>
              <w:rPr>
                <w:sz w:val="20"/>
                <w:szCs w:val="20"/>
              </w:rPr>
            </w:pPr>
            <w:r w:rsidRPr="00E8065F">
              <w:rPr>
                <w:sz w:val="20"/>
                <w:szCs w:val="20"/>
              </w:rPr>
              <w:t>2018</w:t>
            </w:r>
            <w:r w:rsidR="00793DC9">
              <w:rPr>
                <w:sz w:val="20"/>
                <w:szCs w:val="20"/>
              </w:rPr>
              <w:t xml:space="preserve"> </w:t>
            </w:r>
            <w:r>
              <w:rPr>
                <w:sz w:val="20"/>
                <w:szCs w:val="20"/>
              </w:rPr>
              <w:t>(2)</w:t>
            </w:r>
          </w:p>
          <w:p w:rsidR="006C7C44" w:rsidRPr="00E8065F" w:rsidRDefault="006C7C44" w:rsidP="006C7C44">
            <w:pPr>
              <w:jc w:val="center"/>
              <w:rPr>
                <w:sz w:val="20"/>
                <w:szCs w:val="20"/>
              </w:rPr>
            </w:pPr>
            <w:r w:rsidRPr="00E8065F">
              <w:rPr>
                <w:sz w:val="20"/>
                <w:szCs w:val="20"/>
              </w:rPr>
              <w:t>2019</w:t>
            </w:r>
            <w:r w:rsidR="00793DC9">
              <w:rPr>
                <w:sz w:val="20"/>
                <w:szCs w:val="20"/>
              </w:rPr>
              <w:t xml:space="preserve"> </w:t>
            </w:r>
            <w:r>
              <w:rPr>
                <w:sz w:val="20"/>
                <w:szCs w:val="20"/>
              </w:rPr>
              <w:t>(2)</w:t>
            </w:r>
          </w:p>
          <w:p w:rsidR="006C7C44" w:rsidRPr="00E8065F" w:rsidRDefault="006C7C44" w:rsidP="006C7C44">
            <w:pPr>
              <w:jc w:val="center"/>
              <w:rPr>
                <w:sz w:val="20"/>
                <w:szCs w:val="20"/>
              </w:rPr>
            </w:pPr>
            <w:r w:rsidRPr="00E8065F">
              <w:rPr>
                <w:sz w:val="20"/>
                <w:szCs w:val="20"/>
              </w:rPr>
              <w:t>2020</w:t>
            </w:r>
            <w:r w:rsidR="00793DC9">
              <w:rPr>
                <w:sz w:val="20"/>
                <w:szCs w:val="20"/>
              </w:rPr>
              <w:t xml:space="preserve"> </w:t>
            </w:r>
            <w:r>
              <w:rPr>
                <w:sz w:val="20"/>
                <w:szCs w:val="20"/>
              </w:rPr>
              <w:t>(2)</w:t>
            </w:r>
          </w:p>
          <w:p w:rsidR="006C7C44" w:rsidRPr="00E8065F" w:rsidRDefault="006C7C44" w:rsidP="006C7C44">
            <w:pPr>
              <w:jc w:val="center"/>
              <w:rPr>
                <w:sz w:val="20"/>
                <w:szCs w:val="20"/>
              </w:rPr>
            </w:pPr>
            <w:r w:rsidRPr="00E8065F">
              <w:rPr>
                <w:sz w:val="20"/>
                <w:szCs w:val="20"/>
              </w:rPr>
              <w:t>2021</w:t>
            </w:r>
            <w:r w:rsidR="00793DC9">
              <w:rPr>
                <w:sz w:val="20"/>
                <w:szCs w:val="20"/>
              </w:rPr>
              <w:t xml:space="preserve"> </w:t>
            </w:r>
            <w:r>
              <w:rPr>
                <w:sz w:val="20"/>
                <w:szCs w:val="20"/>
              </w:rPr>
              <w:t>(1)</w:t>
            </w:r>
          </w:p>
          <w:p w:rsidR="006C7C44" w:rsidRPr="00E8065F" w:rsidRDefault="006C7C44" w:rsidP="006C7C44">
            <w:pPr>
              <w:jc w:val="center"/>
              <w:rPr>
                <w:sz w:val="20"/>
                <w:szCs w:val="20"/>
              </w:rPr>
            </w:pPr>
            <w:r w:rsidRPr="00E8065F">
              <w:rPr>
                <w:sz w:val="20"/>
                <w:szCs w:val="20"/>
              </w:rPr>
              <w:t>2022</w:t>
            </w:r>
            <w:r w:rsidR="00793DC9">
              <w:rPr>
                <w:sz w:val="20"/>
                <w:szCs w:val="20"/>
              </w:rPr>
              <w:t xml:space="preserve"> </w:t>
            </w:r>
            <w:r>
              <w:rPr>
                <w:sz w:val="20"/>
                <w:szCs w:val="20"/>
              </w:rPr>
              <w:t>(5)</w:t>
            </w:r>
          </w:p>
          <w:p w:rsidR="006C7C44" w:rsidRPr="00E8065F" w:rsidRDefault="006C7C44" w:rsidP="006C7C44">
            <w:pPr>
              <w:jc w:val="center"/>
              <w:rPr>
                <w:sz w:val="20"/>
                <w:szCs w:val="20"/>
              </w:rPr>
            </w:pPr>
            <w:r w:rsidRPr="00E8065F">
              <w:rPr>
                <w:sz w:val="20"/>
                <w:szCs w:val="20"/>
              </w:rPr>
              <w:t>2023</w:t>
            </w:r>
            <w:r w:rsidR="00793DC9">
              <w:rPr>
                <w:sz w:val="20"/>
                <w:szCs w:val="20"/>
              </w:rPr>
              <w:t xml:space="preserve"> </w:t>
            </w:r>
            <w:r>
              <w:rPr>
                <w:sz w:val="20"/>
                <w:szCs w:val="20"/>
              </w:rPr>
              <w:t>(1)</w:t>
            </w:r>
          </w:p>
          <w:p w:rsidR="006C7C44" w:rsidRPr="00E8065F" w:rsidRDefault="006C7C44" w:rsidP="006C7C44">
            <w:pPr>
              <w:jc w:val="center"/>
              <w:rPr>
                <w:sz w:val="20"/>
                <w:szCs w:val="20"/>
              </w:rPr>
            </w:pPr>
            <w:r w:rsidRPr="00E8065F">
              <w:rPr>
                <w:sz w:val="20"/>
                <w:szCs w:val="20"/>
              </w:rPr>
              <w:t>2024</w:t>
            </w:r>
            <w:r w:rsidR="00793DC9">
              <w:rPr>
                <w:sz w:val="20"/>
                <w:szCs w:val="20"/>
              </w:rPr>
              <w:t xml:space="preserve"> </w:t>
            </w:r>
            <w:r>
              <w:rPr>
                <w:sz w:val="20"/>
                <w:szCs w:val="20"/>
              </w:rPr>
              <w:t>(1)</w:t>
            </w:r>
          </w:p>
        </w:tc>
        <w:tc>
          <w:tcPr>
            <w:tcW w:w="1181" w:type="dxa"/>
            <w:tcBorders>
              <w:top w:val="nil"/>
              <w:left w:val="single" w:sz="4" w:space="0" w:color="auto"/>
              <w:bottom w:val="single" w:sz="4" w:space="0" w:color="auto"/>
              <w:right w:val="single" w:sz="4" w:space="0" w:color="auto"/>
            </w:tcBorders>
            <w:shd w:val="clear" w:color="auto" w:fill="auto"/>
          </w:tcPr>
          <w:p w:rsidR="006C7C44" w:rsidRPr="00BC5958" w:rsidRDefault="006C7C44" w:rsidP="006C7C44">
            <w:pPr>
              <w:jc w:val="center"/>
              <w:rPr>
                <w:color w:val="000000"/>
                <w:sz w:val="20"/>
                <w:szCs w:val="20"/>
              </w:rPr>
            </w:pPr>
            <w:r w:rsidRPr="00BC5958">
              <w:rPr>
                <w:color w:val="000000"/>
                <w:sz w:val="20"/>
                <w:szCs w:val="20"/>
              </w:rPr>
              <w:t>19</w:t>
            </w:r>
          </w:p>
        </w:tc>
        <w:tc>
          <w:tcPr>
            <w:tcW w:w="1478" w:type="dxa"/>
            <w:tcBorders>
              <w:top w:val="nil"/>
              <w:left w:val="single" w:sz="4" w:space="0" w:color="auto"/>
              <w:bottom w:val="single" w:sz="4" w:space="0" w:color="auto"/>
              <w:right w:val="single" w:sz="4" w:space="0" w:color="auto"/>
            </w:tcBorders>
            <w:shd w:val="clear" w:color="auto" w:fill="auto"/>
          </w:tcPr>
          <w:p w:rsidR="006C7C44" w:rsidRPr="00E8065F" w:rsidRDefault="006C7C44" w:rsidP="006C7C44">
            <w:pPr>
              <w:jc w:val="center"/>
              <w:rPr>
                <w:color w:val="000000"/>
                <w:sz w:val="20"/>
                <w:szCs w:val="20"/>
              </w:rPr>
            </w:pPr>
            <w:r w:rsidRPr="00E8065F">
              <w:rPr>
                <w:color w:val="000000"/>
                <w:sz w:val="20"/>
                <w:szCs w:val="20"/>
              </w:rPr>
              <w:t>295,9</w:t>
            </w:r>
          </w:p>
        </w:tc>
        <w:tc>
          <w:tcPr>
            <w:tcW w:w="1111" w:type="dxa"/>
            <w:tcBorders>
              <w:top w:val="nil"/>
              <w:left w:val="nil"/>
              <w:bottom w:val="single" w:sz="4" w:space="0" w:color="auto"/>
              <w:right w:val="single" w:sz="4" w:space="0" w:color="auto"/>
            </w:tcBorders>
            <w:shd w:val="clear" w:color="auto" w:fill="auto"/>
          </w:tcPr>
          <w:p w:rsidR="006C7C44" w:rsidRPr="00E8065F" w:rsidRDefault="006C7C44" w:rsidP="006C7C44">
            <w:pPr>
              <w:jc w:val="center"/>
              <w:rPr>
                <w:color w:val="000000"/>
                <w:sz w:val="20"/>
                <w:szCs w:val="20"/>
              </w:rPr>
            </w:pPr>
            <w:r w:rsidRPr="00E8065F">
              <w:rPr>
                <w:color w:val="000000"/>
                <w:sz w:val="20"/>
                <w:szCs w:val="20"/>
              </w:rPr>
              <w:t>2</w:t>
            </w:r>
          </w:p>
        </w:tc>
        <w:tc>
          <w:tcPr>
            <w:tcW w:w="1944" w:type="dxa"/>
            <w:tcBorders>
              <w:top w:val="nil"/>
              <w:left w:val="single" w:sz="4" w:space="0" w:color="auto"/>
              <w:bottom w:val="single" w:sz="4" w:space="0" w:color="auto"/>
              <w:right w:val="single" w:sz="4" w:space="0" w:color="auto"/>
            </w:tcBorders>
            <w:shd w:val="clear" w:color="auto" w:fill="auto"/>
          </w:tcPr>
          <w:p w:rsidR="006C7C44" w:rsidRPr="00E8065F" w:rsidRDefault="006C7C44" w:rsidP="006C7C44">
            <w:pPr>
              <w:jc w:val="center"/>
              <w:rPr>
                <w:color w:val="000000"/>
                <w:sz w:val="20"/>
                <w:szCs w:val="20"/>
              </w:rPr>
            </w:pPr>
            <w:r w:rsidRPr="00E8065F">
              <w:rPr>
                <w:color w:val="000000"/>
                <w:sz w:val="20"/>
                <w:szCs w:val="20"/>
              </w:rPr>
              <w:t>Амбулаторное/стационарное</w:t>
            </w:r>
          </w:p>
        </w:tc>
      </w:tr>
      <w:tr w:rsidR="006C7C44" w:rsidRPr="00E8065F" w:rsidTr="000546C2">
        <w:trPr>
          <w:trHeight w:val="20"/>
        </w:trPr>
        <w:tc>
          <w:tcPr>
            <w:tcW w:w="1555" w:type="dxa"/>
            <w:vMerge/>
          </w:tcPr>
          <w:p w:rsidR="006C7C44" w:rsidRPr="00E8065F" w:rsidRDefault="006C7C44" w:rsidP="006C7C44">
            <w:pPr>
              <w:rPr>
                <w:color w:val="000000"/>
                <w:sz w:val="20"/>
                <w:szCs w:val="20"/>
              </w:rPr>
            </w:pPr>
          </w:p>
        </w:tc>
        <w:tc>
          <w:tcPr>
            <w:tcW w:w="3685" w:type="dxa"/>
            <w:tcBorders>
              <w:top w:val="nil"/>
              <w:left w:val="single" w:sz="4" w:space="0" w:color="auto"/>
              <w:bottom w:val="single" w:sz="4" w:space="0" w:color="auto"/>
              <w:right w:val="single" w:sz="4" w:space="0" w:color="auto"/>
            </w:tcBorders>
            <w:shd w:val="clear" w:color="auto" w:fill="auto"/>
          </w:tcPr>
          <w:p w:rsidR="006C7C44" w:rsidRPr="00E8065F" w:rsidRDefault="006C7C44" w:rsidP="006C7C44">
            <w:pPr>
              <w:jc w:val="both"/>
              <w:rPr>
                <w:color w:val="000000"/>
                <w:sz w:val="20"/>
                <w:szCs w:val="20"/>
              </w:rPr>
            </w:pPr>
            <w:r w:rsidRPr="00E8065F">
              <w:rPr>
                <w:color w:val="000000"/>
                <w:sz w:val="20"/>
                <w:szCs w:val="20"/>
              </w:rPr>
              <w:t xml:space="preserve">ГАУЗ </w:t>
            </w:r>
            <w:r>
              <w:rPr>
                <w:color w:val="000000"/>
                <w:sz w:val="20"/>
                <w:szCs w:val="20"/>
              </w:rPr>
              <w:t>«</w:t>
            </w:r>
            <w:r w:rsidRPr="00E8065F">
              <w:rPr>
                <w:color w:val="000000"/>
                <w:sz w:val="20"/>
                <w:szCs w:val="20"/>
              </w:rPr>
              <w:t>Новошешминская ЦРБ</w:t>
            </w:r>
            <w:r>
              <w:rPr>
                <w:color w:val="000000"/>
                <w:sz w:val="20"/>
                <w:szCs w:val="20"/>
              </w:rPr>
              <w:t>»</w:t>
            </w:r>
          </w:p>
          <w:p w:rsidR="006C7C44" w:rsidRPr="00E8065F" w:rsidRDefault="006C7C44" w:rsidP="006C7C44">
            <w:pPr>
              <w:jc w:val="both"/>
              <w:rPr>
                <w:color w:val="000000"/>
                <w:sz w:val="20"/>
                <w:szCs w:val="20"/>
              </w:rPr>
            </w:pPr>
          </w:p>
        </w:tc>
        <w:tc>
          <w:tcPr>
            <w:tcW w:w="1994" w:type="dxa"/>
            <w:tcBorders>
              <w:bottom w:val="single" w:sz="4" w:space="0" w:color="auto"/>
            </w:tcBorders>
            <w:shd w:val="clear" w:color="auto" w:fill="auto"/>
          </w:tcPr>
          <w:p w:rsidR="006C7C44" w:rsidRDefault="008B3E41" w:rsidP="006C7C44">
            <w:pPr>
              <w:jc w:val="center"/>
            </w:pPr>
            <w:r>
              <w:rPr>
                <w:sz w:val="20"/>
                <w:szCs w:val="20"/>
              </w:rPr>
              <w:t xml:space="preserve">Аппараты </w:t>
            </w:r>
            <w:r>
              <w:rPr>
                <w:rFonts w:eastAsia="Arial"/>
                <w:sz w:val="20"/>
                <w:szCs w:val="20"/>
              </w:rPr>
              <w:t>для ультразвуковых исследований</w:t>
            </w:r>
          </w:p>
        </w:tc>
        <w:tc>
          <w:tcPr>
            <w:tcW w:w="1181" w:type="dxa"/>
            <w:tcBorders>
              <w:bottom w:val="single" w:sz="4" w:space="0" w:color="auto"/>
            </w:tcBorders>
            <w:shd w:val="clear" w:color="auto" w:fill="auto"/>
          </w:tcPr>
          <w:p w:rsidR="006C7C44" w:rsidRPr="00E8065F" w:rsidRDefault="006C7C44" w:rsidP="006C7C44">
            <w:pPr>
              <w:jc w:val="center"/>
              <w:rPr>
                <w:sz w:val="20"/>
                <w:szCs w:val="20"/>
              </w:rPr>
            </w:pPr>
            <w:r w:rsidRPr="00E8065F">
              <w:rPr>
                <w:sz w:val="20"/>
                <w:szCs w:val="20"/>
              </w:rPr>
              <w:t>2012</w:t>
            </w:r>
            <w:r w:rsidR="00793DC9">
              <w:rPr>
                <w:sz w:val="20"/>
                <w:szCs w:val="20"/>
              </w:rPr>
              <w:t xml:space="preserve"> </w:t>
            </w:r>
            <w:r>
              <w:rPr>
                <w:sz w:val="20"/>
                <w:szCs w:val="20"/>
              </w:rPr>
              <w:t>(1)</w:t>
            </w:r>
          </w:p>
          <w:p w:rsidR="006C7C44" w:rsidRPr="00E8065F" w:rsidRDefault="006C7C44" w:rsidP="006C7C44">
            <w:pPr>
              <w:jc w:val="center"/>
              <w:rPr>
                <w:sz w:val="20"/>
                <w:szCs w:val="20"/>
              </w:rPr>
            </w:pPr>
            <w:r w:rsidRPr="00E8065F">
              <w:rPr>
                <w:sz w:val="20"/>
                <w:szCs w:val="20"/>
              </w:rPr>
              <w:t>2022</w:t>
            </w:r>
            <w:r w:rsidR="00793DC9">
              <w:rPr>
                <w:sz w:val="20"/>
                <w:szCs w:val="20"/>
              </w:rPr>
              <w:t xml:space="preserve"> </w:t>
            </w:r>
            <w:r>
              <w:rPr>
                <w:sz w:val="20"/>
                <w:szCs w:val="20"/>
              </w:rPr>
              <w:t>(1)</w:t>
            </w:r>
          </w:p>
          <w:p w:rsidR="006C7C44" w:rsidRPr="00E8065F" w:rsidRDefault="006C7C44" w:rsidP="006C7C44">
            <w:pPr>
              <w:jc w:val="center"/>
              <w:rPr>
                <w:sz w:val="20"/>
                <w:szCs w:val="20"/>
              </w:rPr>
            </w:pPr>
            <w:r w:rsidRPr="00E8065F">
              <w:rPr>
                <w:sz w:val="20"/>
                <w:szCs w:val="20"/>
              </w:rPr>
              <w:t>2023</w:t>
            </w:r>
            <w:r w:rsidR="00793DC9">
              <w:rPr>
                <w:sz w:val="20"/>
                <w:szCs w:val="20"/>
              </w:rPr>
              <w:t xml:space="preserve"> </w:t>
            </w:r>
            <w:r>
              <w:rPr>
                <w:sz w:val="20"/>
                <w:szCs w:val="20"/>
              </w:rPr>
              <w:t>(1)</w:t>
            </w:r>
          </w:p>
        </w:tc>
        <w:tc>
          <w:tcPr>
            <w:tcW w:w="1181" w:type="dxa"/>
            <w:tcBorders>
              <w:top w:val="nil"/>
              <w:left w:val="single" w:sz="4" w:space="0" w:color="auto"/>
              <w:bottom w:val="single" w:sz="4" w:space="0" w:color="auto"/>
              <w:right w:val="single" w:sz="4" w:space="0" w:color="auto"/>
            </w:tcBorders>
            <w:shd w:val="clear" w:color="auto" w:fill="auto"/>
          </w:tcPr>
          <w:p w:rsidR="006C7C44" w:rsidRPr="00BC5958" w:rsidRDefault="006C7C44" w:rsidP="006C7C44">
            <w:pPr>
              <w:jc w:val="center"/>
              <w:rPr>
                <w:color w:val="000000"/>
                <w:sz w:val="20"/>
                <w:szCs w:val="20"/>
              </w:rPr>
            </w:pPr>
            <w:r w:rsidRPr="00BC5958">
              <w:rPr>
                <w:color w:val="000000"/>
                <w:sz w:val="20"/>
                <w:szCs w:val="20"/>
              </w:rPr>
              <w:t>3</w:t>
            </w:r>
          </w:p>
        </w:tc>
        <w:tc>
          <w:tcPr>
            <w:tcW w:w="1478" w:type="dxa"/>
            <w:tcBorders>
              <w:top w:val="nil"/>
              <w:left w:val="single" w:sz="4" w:space="0" w:color="auto"/>
              <w:bottom w:val="single" w:sz="4" w:space="0" w:color="auto"/>
              <w:right w:val="single" w:sz="4" w:space="0" w:color="auto"/>
            </w:tcBorders>
            <w:shd w:val="clear" w:color="auto" w:fill="auto"/>
          </w:tcPr>
          <w:p w:rsidR="006C7C44" w:rsidRPr="00E8065F" w:rsidRDefault="006C7C44" w:rsidP="006C7C44">
            <w:pPr>
              <w:jc w:val="center"/>
              <w:rPr>
                <w:color w:val="000000"/>
                <w:sz w:val="20"/>
                <w:szCs w:val="20"/>
              </w:rPr>
            </w:pPr>
            <w:r w:rsidRPr="00E8065F">
              <w:rPr>
                <w:color w:val="000000"/>
                <w:sz w:val="20"/>
                <w:szCs w:val="20"/>
              </w:rPr>
              <w:t>39,2</w:t>
            </w:r>
          </w:p>
        </w:tc>
        <w:tc>
          <w:tcPr>
            <w:tcW w:w="1111" w:type="dxa"/>
            <w:tcBorders>
              <w:top w:val="nil"/>
              <w:left w:val="nil"/>
              <w:bottom w:val="single" w:sz="4" w:space="0" w:color="auto"/>
              <w:right w:val="single" w:sz="4" w:space="0" w:color="auto"/>
            </w:tcBorders>
            <w:shd w:val="clear" w:color="auto" w:fill="auto"/>
          </w:tcPr>
          <w:p w:rsidR="006C7C44" w:rsidRPr="00E8065F" w:rsidRDefault="006C7C44" w:rsidP="006C7C44">
            <w:pPr>
              <w:jc w:val="center"/>
              <w:rPr>
                <w:color w:val="000000"/>
                <w:sz w:val="20"/>
                <w:szCs w:val="20"/>
              </w:rPr>
            </w:pPr>
            <w:r w:rsidRPr="00E8065F">
              <w:rPr>
                <w:color w:val="000000"/>
                <w:sz w:val="20"/>
                <w:szCs w:val="20"/>
              </w:rPr>
              <w:t>1</w:t>
            </w:r>
          </w:p>
        </w:tc>
        <w:tc>
          <w:tcPr>
            <w:tcW w:w="1944" w:type="dxa"/>
            <w:tcBorders>
              <w:top w:val="nil"/>
              <w:left w:val="single" w:sz="4" w:space="0" w:color="auto"/>
              <w:bottom w:val="single" w:sz="4" w:space="0" w:color="auto"/>
              <w:right w:val="single" w:sz="4" w:space="0" w:color="auto"/>
            </w:tcBorders>
            <w:shd w:val="clear" w:color="auto" w:fill="auto"/>
          </w:tcPr>
          <w:p w:rsidR="006C7C44" w:rsidRPr="00E8065F" w:rsidRDefault="006C7C44" w:rsidP="006C7C44">
            <w:pPr>
              <w:jc w:val="center"/>
              <w:rPr>
                <w:color w:val="000000"/>
                <w:sz w:val="20"/>
                <w:szCs w:val="20"/>
              </w:rPr>
            </w:pPr>
            <w:r w:rsidRPr="00E8065F">
              <w:rPr>
                <w:color w:val="000000"/>
                <w:sz w:val="20"/>
                <w:szCs w:val="20"/>
              </w:rPr>
              <w:t>Амбулаторное</w:t>
            </w:r>
          </w:p>
        </w:tc>
      </w:tr>
      <w:tr w:rsidR="006C7C44" w:rsidRPr="00E8065F" w:rsidTr="000546C2">
        <w:trPr>
          <w:trHeight w:val="20"/>
        </w:trPr>
        <w:tc>
          <w:tcPr>
            <w:tcW w:w="1555" w:type="dxa"/>
            <w:vMerge/>
          </w:tcPr>
          <w:p w:rsidR="006C7C44" w:rsidRPr="00E8065F" w:rsidRDefault="006C7C44" w:rsidP="006C7C44">
            <w:pPr>
              <w:rPr>
                <w:color w:val="000000"/>
                <w:sz w:val="20"/>
                <w:szCs w:val="20"/>
              </w:rPr>
            </w:pPr>
          </w:p>
        </w:tc>
        <w:tc>
          <w:tcPr>
            <w:tcW w:w="3685" w:type="dxa"/>
            <w:tcBorders>
              <w:top w:val="single" w:sz="4" w:space="0" w:color="auto"/>
              <w:bottom w:val="single" w:sz="4" w:space="0" w:color="auto"/>
              <w:right w:val="single" w:sz="4" w:space="0" w:color="auto"/>
            </w:tcBorders>
            <w:shd w:val="clear" w:color="auto" w:fill="auto"/>
          </w:tcPr>
          <w:p w:rsidR="006C7C44" w:rsidRPr="00E8065F" w:rsidRDefault="006C7C44" w:rsidP="006C7C44">
            <w:pPr>
              <w:jc w:val="both"/>
              <w:rPr>
                <w:color w:val="000000"/>
                <w:sz w:val="20"/>
                <w:szCs w:val="20"/>
              </w:rPr>
            </w:pPr>
            <w:r w:rsidRPr="00E8065F">
              <w:rPr>
                <w:color w:val="000000"/>
                <w:sz w:val="20"/>
                <w:szCs w:val="20"/>
              </w:rPr>
              <w:t xml:space="preserve">ГАУЗ </w:t>
            </w:r>
            <w:r>
              <w:rPr>
                <w:color w:val="000000"/>
                <w:sz w:val="20"/>
                <w:szCs w:val="20"/>
              </w:rPr>
              <w:t>«</w:t>
            </w:r>
            <w:r w:rsidRPr="00E8065F">
              <w:rPr>
                <w:color w:val="000000"/>
                <w:sz w:val="20"/>
                <w:szCs w:val="20"/>
              </w:rPr>
              <w:t>Нурлатская ЦРБ</w:t>
            </w:r>
            <w:r>
              <w:rPr>
                <w:color w:val="000000"/>
                <w:sz w:val="20"/>
                <w:szCs w:val="20"/>
              </w:rPr>
              <w:t>»</w:t>
            </w:r>
          </w:p>
        </w:tc>
        <w:tc>
          <w:tcPr>
            <w:tcW w:w="1994" w:type="dxa"/>
            <w:tcBorders>
              <w:top w:val="single" w:sz="4" w:space="0" w:color="auto"/>
              <w:left w:val="single" w:sz="4" w:space="0" w:color="auto"/>
              <w:bottom w:val="single" w:sz="4" w:space="0" w:color="auto"/>
              <w:right w:val="single" w:sz="4" w:space="0" w:color="auto"/>
            </w:tcBorders>
            <w:shd w:val="clear" w:color="auto" w:fill="auto"/>
          </w:tcPr>
          <w:p w:rsidR="006C7C44" w:rsidRDefault="008B3E41" w:rsidP="006C7C44">
            <w:pPr>
              <w:jc w:val="center"/>
            </w:pPr>
            <w:r>
              <w:rPr>
                <w:sz w:val="20"/>
                <w:szCs w:val="20"/>
              </w:rPr>
              <w:t xml:space="preserve">Аппараты </w:t>
            </w:r>
            <w:r>
              <w:rPr>
                <w:rFonts w:eastAsia="Arial"/>
                <w:sz w:val="20"/>
                <w:szCs w:val="20"/>
              </w:rPr>
              <w:t>для ультразвуковых исследований</w:t>
            </w:r>
          </w:p>
        </w:tc>
        <w:tc>
          <w:tcPr>
            <w:tcW w:w="1181" w:type="dxa"/>
            <w:tcBorders>
              <w:top w:val="single" w:sz="4" w:space="0" w:color="auto"/>
              <w:left w:val="single" w:sz="4" w:space="0" w:color="auto"/>
              <w:bottom w:val="single" w:sz="4" w:space="0" w:color="auto"/>
              <w:right w:val="single" w:sz="4" w:space="0" w:color="auto"/>
            </w:tcBorders>
            <w:shd w:val="clear" w:color="auto" w:fill="auto"/>
          </w:tcPr>
          <w:p w:rsidR="006C7C44" w:rsidRPr="00E8065F" w:rsidRDefault="006C7C44" w:rsidP="006C7C44">
            <w:pPr>
              <w:jc w:val="center"/>
              <w:rPr>
                <w:sz w:val="20"/>
                <w:szCs w:val="20"/>
              </w:rPr>
            </w:pPr>
            <w:r w:rsidRPr="00E8065F">
              <w:rPr>
                <w:sz w:val="20"/>
                <w:szCs w:val="20"/>
              </w:rPr>
              <w:t>2011</w:t>
            </w:r>
            <w:r w:rsidR="00793DC9">
              <w:rPr>
                <w:sz w:val="20"/>
                <w:szCs w:val="20"/>
              </w:rPr>
              <w:t xml:space="preserve"> </w:t>
            </w:r>
            <w:r>
              <w:rPr>
                <w:sz w:val="20"/>
                <w:szCs w:val="20"/>
              </w:rPr>
              <w:t>(1)</w:t>
            </w:r>
          </w:p>
          <w:p w:rsidR="006C7C44" w:rsidRPr="00E8065F" w:rsidRDefault="006C7C44" w:rsidP="006C7C44">
            <w:pPr>
              <w:jc w:val="center"/>
              <w:rPr>
                <w:sz w:val="20"/>
                <w:szCs w:val="20"/>
              </w:rPr>
            </w:pPr>
            <w:r>
              <w:rPr>
                <w:sz w:val="20"/>
                <w:szCs w:val="20"/>
              </w:rPr>
              <w:t>2</w:t>
            </w:r>
            <w:r w:rsidRPr="00E8065F">
              <w:rPr>
                <w:sz w:val="20"/>
                <w:szCs w:val="20"/>
              </w:rPr>
              <w:t>012</w:t>
            </w:r>
            <w:r w:rsidR="00793DC9">
              <w:rPr>
                <w:sz w:val="20"/>
                <w:szCs w:val="20"/>
              </w:rPr>
              <w:t xml:space="preserve"> </w:t>
            </w:r>
            <w:r>
              <w:rPr>
                <w:sz w:val="20"/>
                <w:szCs w:val="20"/>
              </w:rPr>
              <w:t>(1)</w:t>
            </w:r>
          </w:p>
          <w:p w:rsidR="006C7C44" w:rsidRPr="00E8065F" w:rsidRDefault="006C7C44" w:rsidP="006C7C44">
            <w:pPr>
              <w:jc w:val="center"/>
              <w:rPr>
                <w:sz w:val="20"/>
                <w:szCs w:val="20"/>
              </w:rPr>
            </w:pPr>
            <w:r>
              <w:rPr>
                <w:sz w:val="20"/>
                <w:szCs w:val="20"/>
              </w:rPr>
              <w:t>2</w:t>
            </w:r>
            <w:r w:rsidRPr="00E8065F">
              <w:rPr>
                <w:sz w:val="20"/>
                <w:szCs w:val="20"/>
              </w:rPr>
              <w:t>014</w:t>
            </w:r>
            <w:r w:rsidR="00793DC9">
              <w:rPr>
                <w:sz w:val="20"/>
                <w:szCs w:val="20"/>
              </w:rPr>
              <w:t xml:space="preserve"> </w:t>
            </w:r>
            <w:r>
              <w:rPr>
                <w:sz w:val="20"/>
                <w:szCs w:val="20"/>
              </w:rPr>
              <w:t>(1)</w:t>
            </w:r>
          </w:p>
          <w:p w:rsidR="006C7C44" w:rsidRPr="00E8065F" w:rsidRDefault="006C7C44" w:rsidP="006C7C44">
            <w:pPr>
              <w:jc w:val="center"/>
              <w:rPr>
                <w:sz w:val="20"/>
                <w:szCs w:val="20"/>
              </w:rPr>
            </w:pPr>
            <w:r w:rsidRPr="00E8065F">
              <w:rPr>
                <w:sz w:val="20"/>
                <w:szCs w:val="20"/>
              </w:rPr>
              <w:t>2018</w:t>
            </w:r>
            <w:r w:rsidR="00793DC9">
              <w:rPr>
                <w:sz w:val="20"/>
                <w:szCs w:val="20"/>
              </w:rPr>
              <w:t xml:space="preserve"> </w:t>
            </w:r>
            <w:r>
              <w:rPr>
                <w:sz w:val="20"/>
                <w:szCs w:val="20"/>
              </w:rPr>
              <w:t>(1)</w:t>
            </w:r>
          </w:p>
          <w:p w:rsidR="006C7C44" w:rsidRPr="00E8065F" w:rsidRDefault="006C7C44" w:rsidP="006C7C44">
            <w:pPr>
              <w:jc w:val="center"/>
              <w:rPr>
                <w:sz w:val="20"/>
                <w:szCs w:val="20"/>
              </w:rPr>
            </w:pPr>
            <w:r w:rsidRPr="00E8065F">
              <w:rPr>
                <w:sz w:val="20"/>
                <w:szCs w:val="20"/>
              </w:rPr>
              <w:t>2022</w:t>
            </w:r>
            <w:r w:rsidR="00793DC9">
              <w:rPr>
                <w:sz w:val="20"/>
                <w:szCs w:val="20"/>
              </w:rPr>
              <w:t xml:space="preserve"> </w:t>
            </w:r>
            <w:r>
              <w:rPr>
                <w:sz w:val="20"/>
                <w:szCs w:val="20"/>
              </w:rPr>
              <w:t>(1)</w:t>
            </w:r>
          </w:p>
          <w:p w:rsidR="006C7C44" w:rsidRPr="00E8065F" w:rsidRDefault="006C7C44" w:rsidP="006C7C44">
            <w:pPr>
              <w:jc w:val="center"/>
              <w:rPr>
                <w:sz w:val="20"/>
                <w:szCs w:val="20"/>
              </w:rPr>
            </w:pPr>
            <w:r w:rsidRPr="00E8065F">
              <w:rPr>
                <w:sz w:val="20"/>
                <w:szCs w:val="20"/>
              </w:rPr>
              <w:t>2023</w:t>
            </w:r>
            <w:r w:rsidR="00793DC9">
              <w:rPr>
                <w:sz w:val="20"/>
                <w:szCs w:val="20"/>
              </w:rPr>
              <w:t xml:space="preserve"> </w:t>
            </w:r>
            <w:r>
              <w:rPr>
                <w:sz w:val="20"/>
                <w:szCs w:val="20"/>
              </w:rPr>
              <w:t>(2)</w:t>
            </w:r>
          </w:p>
        </w:tc>
        <w:tc>
          <w:tcPr>
            <w:tcW w:w="1181" w:type="dxa"/>
            <w:tcBorders>
              <w:top w:val="single" w:sz="4" w:space="0" w:color="auto"/>
              <w:left w:val="single" w:sz="4" w:space="0" w:color="auto"/>
              <w:bottom w:val="single" w:sz="4" w:space="0" w:color="auto"/>
              <w:right w:val="single" w:sz="4" w:space="0" w:color="auto"/>
            </w:tcBorders>
            <w:shd w:val="clear" w:color="auto" w:fill="auto"/>
          </w:tcPr>
          <w:p w:rsidR="006C7C44" w:rsidRPr="00BC5958" w:rsidRDefault="006C7C44" w:rsidP="006C7C44">
            <w:pPr>
              <w:jc w:val="center"/>
              <w:rPr>
                <w:color w:val="000000"/>
                <w:sz w:val="20"/>
                <w:szCs w:val="20"/>
              </w:rPr>
            </w:pPr>
            <w:r w:rsidRPr="00BC5958">
              <w:rPr>
                <w:color w:val="000000"/>
                <w:sz w:val="20"/>
                <w:szCs w:val="20"/>
              </w:rPr>
              <w:t>7</w:t>
            </w:r>
          </w:p>
        </w:tc>
        <w:tc>
          <w:tcPr>
            <w:tcW w:w="1478" w:type="dxa"/>
            <w:tcBorders>
              <w:top w:val="single" w:sz="4" w:space="0" w:color="auto"/>
              <w:left w:val="single" w:sz="4" w:space="0" w:color="auto"/>
              <w:bottom w:val="single" w:sz="4" w:space="0" w:color="auto"/>
              <w:right w:val="single" w:sz="4" w:space="0" w:color="auto"/>
            </w:tcBorders>
            <w:shd w:val="clear" w:color="auto" w:fill="auto"/>
          </w:tcPr>
          <w:p w:rsidR="006C7C44" w:rsidRPr="00E8065F" w:rsidRDefault="006C7C44" w:rsidP="006C7C44">
            <w:pPr>
              <w:jc w:val="center"/>
              <w:rPr>
                <w:color w:val="000000"/>
                <w:sz w:val="20"/>
                <w:szCs w:val="20"/>
              </w:rPr>
            </w:pPr>
            <w:r w:rsidRPr="00E8065F">
              <w:rPr>
                <w:color w:val="000000"/>
                <w:sz w:val="20"/>
                <w:szCs w:val="20"/>
              </w:rPr>
              <w:t>181,1</w:t>
            </w:r>
          </w:p>
        </w:tc>
        <w:tc>
          <w:tcPr>
            <w:tcW w:w="1111" w:type="dxa"/>
            <w:tcBorders>
              <w:top w:val="single" w:sz="4" w:space="0" w:color="auto"/>
              <w:left w:val="single" w:sz="4" w:space="0" w:color="auto"/>
              <w:bottom w:val="single" w:sz="4" w:space="0" w:color="auto"/>
              <w:right w:val="single" w:sz="4" w:space="0" w:color="auto"/>
            </w:tcBorders>
            <w:shd w:val="clear" w:color="auto" w:fill="auto"/>
          </w:tcPr>
          <w:p w:rsidR="006C7C44" w:rsidRPr="00E8065F" w:rsidRDefault="006C7C44" w:rsidP="006C7C44">
            <w:pPr>
              <w:jc w:val="center"/>
              <w:rPr>
                <w:color w:val="000000"/>
                <w:sz w:val="20"/>
                <w:szCs w:val="20"/>
              </w:rPr>
            </w:pPr>
            <w:r w:rsidRPr="00E8065F">
              <w:rPr>
                <w:color w:val="000000"/>
                <w:sz w:val="20"/>
                <w:szCs w:val="20"/>
              </w:rPr>
              <w:t>1</w:t>
            </w:r>
          </w:p>
        </w:tc>
        <w:tc>
          <w:tcPr>
            <w:tcW w:w="1944" w:type="dxa"/>
            <w:tcBorders>
              <w:top w:val="single" w:sz="4" w:space="0" w:color="auto"/>
              <w:left w:val="single" w:sz="4" w:space="0" w:color="auto"/>
              <w:bottom w:val="single" w:sz="4" w:space="0" w:color="auto"/>
              <w:right w:val="single" w:sz="4" w:space="0" w:color="auto"/>
            </w:tcBorders>
            <w:shd w:val="clear" w:color="auto" w:fill="auto"/>
          </w:tcPr>
          <w:p w:rsidR="006C7C44" w:rsidRPr="00E8065F" w:rsidRDefault="006C7C44" w:rsidP="006C7C44">
            <w:pPr>
              <w:jc w:val="center"/>
              <w:rPr>
                <w:color w:val="000000"/>
                <w:sz w:val="20"/>
                <w:szCs w:val="20"/>
              </w:rPr>
            </w:pPr>
            <w:r w:rsidRPr="00E8065F">
              <w:rPr>
                <w:color w:val="000000"/>
                <w:sz w:val="20"/>
                <w:szCs w:val="20"/>
              </w:rPr>
              <w:t>Амбулаторное/стационарное</w:t>
            </w:r>
          </w:p>
        </w:tc>
      </w:tr>
      <w:tr w:rsidR="006C7C44" w:rsidRPr="00E8065F" w:rsidTr="000546C2">
        <w:trPr>
          <w:trHeight w:val="20"/>
        </w:trPr>
        <w:tc>
          <w:tcPr>
            <w:tcW w:w="1555" w:type="dxa"/>
            <w:vMerge/>
          </w:tcPr>
          <w:p w:rsidR="006C7C44" w:rsidRPr="00E8065F" w:rsidRDefault="006C7C44" w:rsidP="006C7C44">
            <w:pPr>
              <w:rPr>
                <w:color w:val="000000"/>
                <w:sz w:val="20"/>
                <w:szCs w:val="20"/>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6C7C44" w:rsidRPr="00E8065F" w:rsidRDefault="006C7C44" w:rsidP="006C7C44">
            <w:pPr>
              <w:jc w:val="both"/>
              <w:rPr>
                <w:color w:val="000000"/>
                <w:sz w:val="20"/>
                <w:szCs w:val="20"/>
              </w:rPr>
            </w:pPr>
            <w:r w:rsidRPr="00E8065F">
              <w:rPr>
                <w:color w:val="000000"/>
                <w:sz w:val="20"/>
                <w:szCs w:val="20"/>
              </w:rPr>
              <w:t xml:space="preserve">ГАУЗ </w:t>
            </w:r>
            <w:r>
              <w:rPr>
                <w:color w:val="000000"/>
                <w:sz w:val="20"/>
                <w:szCs w:val="20"/>
              </w:rPr>
              <w:t>«</w:t>
            </w:r>
            <w:r w:rsidRPr="00E8065F">
              <w:rPr>
                <w:color w:val="000000"/>
                <w:sz w:val="20"/>
                <w:szCs w:val="20"/>
              </w:rPr>
              <w:t>Пестречинская ЦРБ</w:t>
            </w:r>
            <w:r>
              <w:rPr>
                <w:color w:val="000000"/>
                <w:sz w:val="20"/>
                <w:szCs w:val="20"/>
              </w:rPr>
              <w:t>»</w:t>
            </w:r>
          </w:p>
        </w:tc>
        <w:tc>
          <w:tcPr>
            <w:tcW w:w="1994" w:type="dxa"/>
            <w:tcBorders>
              <w:top w:val="single" w:sz="4" w:space="0" w:color="auto"/>
            </w:tcBorders>
            <w:shd w:val="clear" w:color="auto" w:fill="auto"/>
          </w:tcPr>
          <w:p w:rsidR="006C7C44" w:rsidRDefault="008B3E41" w:rsidP="006C7C44">
            <w:pPr>
              <w:jc w:val="center"/>
            </w:pPr>
            <w:r>
              <w:rPr>
                <w:sz w:val="20"/>
                <w:szCs w:val="20"/>
              </w:rPr>
              <w:t xml:space="preserve">Аппараты </w:t>
            </w:r>
            <w:r>
              <w:rPr>
                <w:rFonts w:eastAsia="Arial"/>
                <w:sz w:val="20"/>
                <w:szCs w:val="20"/>
              </w:rPr>
              <w:t>для ультразвуковых исследований</w:t>
            </w:r>
          </w:p>
        </w:tc>
        <w:tc>
          <w:tcPr>
            <w:tcW w:w="1181" w:type="dxa"/>
            <w:tcBorders>
              <w:top w:val="single" w:sz="4" w:space="0" w:color="auto"/>
            </w:tcBorders>
            <w:shd w:val="clear" w:color="auto" w:fill="auto"/>
          </w:tcPr>
          <w:p w:rsidR="006C7C44" w:rsidRPr="00E8065F" w:rsidRDefault="006C7C44" w:rsidP="006C7C44">
            <w:pPr>
              <w:jc w:val="center"/>
              <w:rPr>
                <w:sz w:val="20"/>
                <w:szCs w:val="20"/>
              </w:rPr>
            </w:pPr>
            <w:r w:rsidRPr="00E8065F">
              <w:rPr>
                <w:sz w:val="20"/>
                <w:szCs w:val="20"/>
              </w:rPr>
              <w:t>2013</w:t>
            </w:r>
            <w:r w:rsidR="00793DC9">
              <w:rPr>
                <w:sz w:val="20"/>
                <w:szCs w:val="20"/>
              </w:rPr>
              <w:t xml:space="preserve"> </w:t>
            </w:r>
            <w:r>
              <w:rPr>
                <w:sz w:val="20"/>
                <w:szCs w:val="20"/>
              </w:rPr>
              <w:t>(1)</w:t>
            </w:r>
          </w:p>
          <w:p w:rsidR="006C7C44" w:rsidRPr="00E8065F" w:rsidRDefault="006C7C44" w:rsidP="006C7C44">
            <w:pPr>
              <w:jc w:val="center"/>
              <w:rPr>
                <w:sz w:val="20"/>
                <w:szCs w:val="20"/>
              </w:rPr>
            </w:pPr>
            <w:r w:rsidRPr="00E8065F">
              <w:rPr>
                <w:sz w:val="20"/>
                <w:szCs w:val="20"/>
              </w:rPr>
              <w:t>2018</w:t>
            </w:r>
            <w:r w:rsidR="00793DC9">
              <w:rPr>
                <w:sz w:val="20"/>
                <w:szCs w:val="20"/>
              </w:rPr>
              <w:t xml:space="preserve"> </w:t>
            </w:r>
            <w:r>
              <w:rPr>
                <w:sz w:val="20"/>
                <w:szCs w:val="20"/>
              </w:rPr>
              <w:t>(2)</w:t>
            </w:r>
          </w:p>
          <w:p w:rsidR="006C7C44" w:rsidRPr="00E8065F" w:rsidRDefault="006C7C44" w:rsidP="006C7C44">
            <w:pPr>
              <w:jc w:val="center"/>
              <w:rPr>
                <w:sz w:val="20"/>
                <w:szCs w:val="20"/>
              </w:rPr>
            </w:pPr>
            <w:r w:rsidRPr="00E8065F">
              <w:rPr>
                <w:sz w:val="20"/>
                <w:szCs w:val="20"/>
              </w:rPr>
              <w:t>2020</w:t>
            </w:r>
            <w:r w:rsidR="00793DC9">
              <w:rPr>
                <w:sz w:val="20"/>
                <w:szCs w:val="20"/>
              </w:rPr>
              <w:t xml:space="preserve"> </w:t>
            </w:r>
            <w:r>
              <w:rPr>
                <w:sz w:val="20"/>
                <w:szCs w:val="20"/>
              </w:rPr>
              <w:t>(2)</w:t>
            </w:r>
          </w:p>
          <w:p w:rsidR="006C7C44" w:rsidRPr="00E8065F" w:rsidRDefault="006C7C44" w:rsidP="006C7C44">
            <w:pPr>
              <w:jc w:val="center"/>
              <w:rPr>
                <w:sz w:val="20"/>
                <w:szCs w:val="20"/>
              </w:rPr>
            </w:pPr>
            <w:r w:rsidRPr="00E8065F">
              <w:rPr>
                <w:sz w:val="20"/>
                <w:szCs w:val="20"/>
              </w:rPr>
              <w:t>2023</w:t>
            </w:r>
            <w:r w:rsidR="00793DC9">
              <w:rPr>
                <w:sz w:val="20"/>
                <w:szCs w:val="20"/>
              </w:rPr>
              <w:t xml:space="preserve"> </w:t>
            </w:r>
            <w:r>
              <w:rPr>
                <w:sz w:val="20"/>
                <w:szCs w:val="20"/>
              </w:rPr>
              <w:t>(2)</w:t>
            </w:r>
          </w:p>
          <w:p w:rsidR="006C7C44" w:rsidRPr="00E8065F" w:rsidRDefault="006C7C44" w:rsidP="006C7C44">
            <w:pPr>
              <w:jc w:val="center"/>
              <w:rPr>
                <w:sz w:val="20"/>
                <w:szCs w:val="20"/>
              </w:rPr>
            </w:pPr>
            <w:r w:rsidRPr="00E8065F">
              <w:rPr>
                <w:sz w:val="20"/>
                <w:szCs w:val="20"/>
              </w:rPr>
              <w:t>2024</w:t>
            </w:r>
            <w:r w:rsidR="00793DC9">
              <w:rPr>
                <w:sz w:val="20"/>
                <w:szCs w:val="20"/>
              </w:rPr>
              <w:t xml:space="preserve"> </w:t>
            </w:r>
            <w:r>
              <w:rPr>
                <w:sz w:val="20"/>
                <w:szCs w:val="20"/>
              </w:rPr>
              <w:t>(1)</w:t>
            </w:r>
          </w:p>
        </w:tc>
        <w:tc>
          <w:tcPr>
            <w:tcW w:w="1181" w:type="dxa"/>
            <w:tcBorders>
              <w:top w:val="single" w:sz="4" w:space="0" w:color="auto"/>
              <w:left w:val="single" w:sz="4" w:space="0" w:color="auto"/>
              <w:bottom w:val="single" w:sz="4" w:space="0" w:color="auto"/>
              <w:right w:val="single" w:sz="4" w:space="0" w:color="auto"/>
            </w:tcBorders>
            <w:shd w:val="clear" w:color="auto" w:fill="auto"/>
          </w:tcPr>
          <w:p w:rsidR="006C7C44" w:rsidRPr="00BC5958" w:rsidRDefault="006C7C44" w:rsidP="006C7C44">
            <w:pPr>
              <w:jc w:val="center"/>
              <w:rPr>
                <w:color w:val="000000"/>
                <w:sz w:val="20"/>
                <w:szCs w:val="20"/>
              </w:rPr>
            </w:pPr>
            <w:r w:rsidRPr="00BC5958">
              <w:rPr>
                <w:color w:val="000000"/>
                <w:sz w:val="20"/>
                <w:szCs w:val="20"/>
              </w:rPr>
              <w:t>8</w:t>
            </w:r>
          </w:p>
        </w:tc>
        <w:tc>
          <w:tcPr>
            <w:tcW w:w="1478" w:type="dxa"/>
            <w:tcBorders>
              <w:top w:val="single" w:sz="4" w:space="0" w:color="auto"/>
              <w:left w:val="single" w:sz="4" w:space="0" w:color="auto"/>
              <w:bottom w:val="single" w:sz="4" w:space="0" w:color="auto"/>
              <w:right w:val="single" w:sz="4" w:space="0" w:color="auto"/>
            </w:tcBorders>
            <w:shd w:val="clear" w:color="auto" w:fill="auto"/>
          </w:tcPr>
          <w:p w:rsidR="006C7C44" w:rsidRPr="00E8065F" w:rsidRDefault="006C7C44" w:rsidP="006C7C44">
            <w:pPr>
              <w:jc w:val="center"/>
              <w:rPr>
                <w:color w:val="000000"/>
                <w:sz w:val="20"/>
                <w:szCs w:val="20"/>
              </w:rPr>
            </w:pPr>
            <w:r w:rsidRPr="00E8065F">
              <w:rPr>
                <w:color w:val="000000"/>
                <w:sz w:val="20"/>
                <w:szCs w:val="20"/>
              </w:rPr>
              <w:t>104,0</w:t>
            </w:r>
          </w:p>
        </w:tc>
        <w:tc>
          <w:tcPr>
            <w:tcW w:w="1111" w:type="dxa"/>
            <w:tcBorders>
              <w:top w:val="single" w:sz="4" w:space="0" w:color="auto"/>
              <w:left w:val="nil"/>
              <w:bottom w:val="single" w:sz="4" w:space="0" w:color="auto"/>
              <w:right w:val="single" w:sz="4" w:space="0" w:color="auto"/>
            </w:tcBorders>
            <w:shd w:val="clear" w:color="auto" w:fill="auto"/>
          </w:tcPr>
          <w:p w:rsidR="006C7C44" w:rsidRPr="00E8065F" w:rsidRDefault="006C7C44" w:rsidP="006C7C44">
            <w:pPr>
              <w:jc w:val="center"/>
              <w:rPr>
                <w:color w:val="000000"/>
                <w:sz w:val="20"/>
                <w:szCs w:val="20"/>
              </w:rPr>
            </w:pPr>
            <w:r w:rsidRPr="00E8065F">
              <w:rPr>
                <w:color w:val="000000"/>
                <w:sz w:val="20"/>
                <w:szCs w:val="20"/>
              </w:rPr>
              <w:t>1</w:t>
            </w:r>
          </w:p>
        </w:tc>
        <w:tc>
          <w:tcPr>
            <w:tcW w:w="1944" w:type="dxa"/>
            <w:tcBorders>
              <w:top w:val="single" w:sz="4" w:space="0" w:color="auto"/>
              <w:left w:val="single" w:sz="4" w:space="0" w:color="auto"/>
              <w:bottom w:val="single" w:sz="4" w:space="0" w:color="auto"/>
              <w:right w:val="single" w:sz="4" w:space="0" w:color="auto"/>
            </w:tcBorders>
            <w:shd w:val="clear" w:color="auto" w:fill="auto"/>
          </w:tcPr>
          <w:p w:rsidR="006C7C44" w:rsidRPr="00E8065F" w:rsidRDefault="006C7C44" w:rsidP="006C7C44">
            <w:pPr>
              <w:jc w:val="center"/>
              <w:rPr>
                <w:color w:val="000000"/>
                <w:sz w:val="20"/>
                <w:szCs w:val="20"/>
              </w:rPr>
            </w:pPr>
            <w:r w:rsidRPr="00E8065F">
              <w:rPr>
                <w:color w:val="000000"/>
                <w:sz w:val="20"/>
                <w:szCs w:val="20"/>
              </w:rPr>
              <w:t>Амбулаторное</w:t>
            </w:r>
          </w:p>
        </w:tc>
      </w:tr>
      <w:tr w:rsidR="006C7C44" w:rsidRPr="00E8065F" w:rsidTr="000546C2">
        <w:trPr>
          <w:trHeight w:val="20"/>
        </w:trPr>
        <w:tc>
          <w:tcPr>
            <w:tcW w:w="1555" w:type="dxa"/>
            <w:vMerge/>
          </w:tcPr>
          <w:p w:rsidR="006C7C44" w:rsidRPr="00E8065F" w:rsidRDefault="006C7C44" w:rsidP="006C7C44">
            <w:pPr>
              <w:rPr>
                <w:color w:val="000000"/>
                <w:sz w:val="20"/>
                <w:szCs w:val="20"/>
              </w:rPr>
            </w:pPr>
          </w:p>
        </w:tc>
        <w:tc>
          <w:tcPr>
            <w:tcW w:w="3685" w:type="dxa"/>
            <w:tcBorders>
              <w:top w:val="nil"/>
              <w:left w:val="single" w:sz="4" w:space="0" w:color="auto"/>
              <w:bottom w:val="single" w:sz="4" w:space="0" w:color="auto"/>
              <w:right w:val="single" w:sz="4" w:space="0" w:color="auto"/>
            </w:tcBorders>
            <w:shd w:val="clear" w:color="auto" w:fill="auto"/>
          </w:tcPr>
          <w:p w:rsidR="006C7C44" w:rsidRPr="00E8065F" w:rsidRDefault="006C7C44" w:rsidP="006C7C44">
            <w:pPr>
              <w:jc w:val="both"/>
              <w:rPr>
                <w:color w:val="000000"/>
                <w:sz w:val="20"/>
                <w:szCs w:val="20"/>
              </w:rPr>
            </w:pPr>
            <w:r w:rsidRPr="00E8065F">
              <w:rPr>
                <w:color w:val="000000"/>
                <w:sz w:val="20"/>
                <w:szCs w:val="20"/>
              </w:rPr>
              <w:t xml:space="preserve">ГАУЗ </w:t>
            </w:r>
            <w:r>
              <w:rPr>
                <w:color w:val="000000"/>
                <w:sz w:val="20"/>
                <w:szCs w:val="20"/>
              </w:rPr>
              <w:t>«</w:t>
            </w:r>
            <w:r w:rsidRPr="00E8065F">
              <w:rPr>
                <w:color w:val="000000"/>
                <w:sz w:val="20"/>
                <w:szCs w:val="20"/>
              </w:rPr>
              <w:t>Рыбно-Слободская ЦРБ</w:t>
            </w:r>
            <w:r>
              <w:rPr>
                <w:color w:val="000000"/>
                <w:sz w:val="20"/>
                <w:szCs w:val="20"/>
              </w:rPr>
              <w:t>»</w:t>
            </w:r>
          </w:p>
        </w:tc>
        <w:tc>
          <w:tcPr>
            <w:tcW w:w="1994" w:type="dxa"/>
            <w:tcBorders>
              <w:bottom w:val="single" w:sz="4" w:space="0" w:color="auto"/>
            </w:tcBorders>
            <w:shd w:val="clear" w:color="auto" w:fill="auto"/>
          </w:tcPr>
          <w:p w:rsidR="006C7C44" w:rsidRDefault="008B3E41" w:rsidP="006C7C44">
            <w:pPr>
              <w:jc w:val="center"/>
            </w:pPr>
            <w:r>
              <w:rPr>
                <w:sz w:val="20"/>
                <w:szCs w:val="20"/>
              </w:rPr>
              <w:t xml:space="preserve">Аппараты </w:t>
            </w:r>
            <w:r>
              <w:rPr>
                <w:rFonts w:eastAsia="Arial"/>
                <w:sz w:val="20"/>
                <w:szCs w:val="20"/>
              </w:rPr>
              <w:t>для ультразвуковых исследований</w:t>
            </w:r>
          </w:p>
        </w:tc>
        <w:tc>
          <w:tcPr>
            <w:tcW w:w="1181" w:type="dxa"/>
            <w:tcBorders>
              <w:bottom w:val="single" w:sz="4" w:space="0" w:color="auto"/>
            </w:tcBorders>
            <w:shd w:val="clear" w:color="auto" w:fill="auto"/>
          </w:tcPr>
          <w:p w:rsidR="006C7C44" w:rsidRPr="00E8065F" w:rsidRDefault="006C7C44" w:rsidP="006C7C44">
            <w:pPr>
              <w:jc w:val="center"/>
              <w:rPr>
                <w:sz w:val="20"/>
                <w:szCs w:val="20"/>
              </w:rPr>
            </w:pPr>
            <w:r w:rsidRPr="00E8065F">
              <w:rPr>
                <w:sz w:val="20"/>
                <w:szCs w:val="20"/>
              </w:rPr>
              <w:t>2020</w:t>
            </w:r>
            <w:r w:rsidR="00793DC9">
              <w:rPr>
                <w:sz w:val="20"/>
                <w:szCs w:val="20"/>
              </w:rPr>
              <w:t xml:space="preserve"> </w:t>
            </w:r>
            <w:r>
              <w:rPr>
                <w:sz w:val="20"/>
                <w:szCs w:val="20"/>
              </w:rPr>
              <w:t>(1)</w:t>
            </w:r>
          </w:p>
          <w:p w:rsidR="006C7C44" w:rsidRPr="00E8065F" w:rsidRDefault="006C7C44" w:rsidP="006C7C44">
            <w:pPr>
              <w:jc w:val="center"/>
              <w:rPr>
                <w:sz w:val="20"/>
                <w:szCs w:val="20"/>
              </w:rPr>
            </w:pPr>
            <w:r w:rsidRPr="00E8065F">
              <w:rPr>
                <w:sz w:val="20"/>
                <w:szCs w:val="20"/>
              </w:rPr>
              <w:t>2022</w:t>
            </w:r>
            <w:r w:rsidR="00793DC9">
              <w:rPr>
                <w:sz w:val="20"/>
                <w:szCs w:val="20"/>
              </w:rPr>
              <w:t xml:space="preserve"> </w:t>
            </w:r>
            <w:r>
              <w:rPr>
                <w:sz w:val="20"/>
                <w:szCs w:val="20"/>
              </w:rPr>
              <w:t>(1)</w:t>
            </w:r>
          </w:p>
        </w:tc>
        <w:tc>
          <w:tcPr>
            <w:tcW w:w="1181" w:type="dxa"/>
            <w:tcBorders>
              <w:top w:val="nil"/>
              <w:left w:val="single" w:sz="4" w:space="0" w:color="auto"/>
              <w:bottom w:val="single" w:sz="4" w:space="0" w:color="auto"/>
              <w:right w:val="single" w:sz="4" w:space="0" w:color="auto"/>
            </w:tcBorders>
            <w:shd w:val="clear" w:color="auto" w:fill="auto"/>
          </w:tcPr>
          <w:p w:rsidR="006C7C44" w:rsidRPr="00BC5958" w:rsidRDefault="006C7C44" w:rsidP="006C7C44">
            <w:pPr>
              <w:jc w:val="center"/>
              <w:rPr>
                <w:color w:val="000000"/>
                <w:sz w:val="20"/>
                <w:szCs w:val="20"/>
              </w:rPr>
            </w:pPr>
            <w:r w:rsidRPr="00BC5958">
              <w:rPr>
                <w:color w:val="000000"/>
                <w:sz w:val="20"/>
                <w:szCs w:val="20"/>
              </w:rPr>
              <w:t>2</w:t>
            </w:r>
          </w:p>
        </w:tc>
        <w:tc>
          <w:tcPr>
            <w:tcW w:w="1478" w:type="dxa"/>
            <w:tcBorders>
              <w:top w:val="nil"/>
              <w:left w:val="single" w:sz="4" w:space="0" w:color="auto"/>
              <w:bottom w:val="single" w:sz="4" w:space="0" w:color="auto"/>
              <w:right w:val="single" w:sz="4" w:space="0" w:color="auto"/>
            </w:tcBorders>
            <w:shd w:val="clear" w:color="auto" w:fill="auto"/>
          </w:tcPr>
          <w:p w:rsidR="006C7C44" w:rsidRPr="00E8065F" w:rsidRDefault="006C7C44" w:rsidP="006C7C44">
            <w:pPr>
              <w:jc w:val="center"/>
              <w:rPr>
                <w:color w:val="000000"/>
                <w:sz w:val="20"/>
                <w:szCs w:val="20"/>
              </w:rPr>
            </w:pPr>
            <w:r w:rsidRPr="00E8065F">
              <w:rPr>
                <w:color w:val="000000"/>
                <w:sz w:val="20"/>
                <w:szCs w:val="20"/>
              </w:rPr>
              <w:t>69,3</w:t>
            </w:r>
          </w:p>
        </w:tc>
        <w:tc>
          <w:tcPr>
            <w:tcW w:w="1111" w:type="dxa"/>
            <w:tcBorders>
              <w:top w:val="nil"/>
              <w:left w:val="nil"/>
              <w:bottom w:val="single" w:sz="4" w:space="0" w:color="auto"/>
              <w:right w:val="single" w:sz="4" w:space="0" w:color="auto"/>
            </w:tcBorders>
            <w:shd w:val="clear" w:color="auto" w:fill="auto"/>
          </w:tcPr>
          <w:p w:rsidR="006C7C44" w:rsidRPr="00E8065F" w:rsidRDefault="006C7C44" w:rsidP="006C7C44">
            <w:pPr>
              <w:jc w:val="center"/>
              <w:rPr>
                <w:color w:val="000000"/>
                <w:sz w:val="20"/>
                <w:szCs w:val="20"/>
              </w:rPr>
            </w:pPr>
            <w:r w:rsidRPr="00E8065F">
              <w:rPr>
                <w:color w:val="000000"/>
                <w:sz w:val="20"/>
                <w:szCs w:val="20"/>
              </w:rPr>
              <w:t>1</w:t>
            </w:r>
          </w:p>
        </w:tc>
        <w:tc>
          <w:tcPr>
            <w:tcW w:w="1944" w:type="dxa"/>
            <w:tcBorders>
              <w:top w:val="nil"/>
              <w:left w:val="single" w:sz="4" w:space="0" w:color="auto"/>
              <w:bottom w:val="single" w:sz="4" w:space="0" w:color="auto"/>
              <w:right w:val="single" w:sz="4" w:space="0" w:color="auto"/>
            </w:tcBorders>
            <w:shd w:val="clear" w:color="auto" w:fill="auto"/>
          </w:tcPr>
          <w:p w:rsidR="006C7C44" w:rsidRPr="00E8065F" w:rsidRDefault="006C7C44" w:rsidP="006C7C44">
            <w:pPr>
              <w:jc w:val="center"/>
              <w:rPr>
                <w:color w:val="000000"/>
                <w:sz w:val="20"/>
                <w:szCs w:val="20"/>
              </w:rPr>
            </w:pPr>
            <w:r w:rsidRPr="00E8065F">
              <w:rPr>
                <w:color w:val="000000"/>
                <w:sz w:val="20"/>
                <w:szCs w:val="20"/>
              </w:rPr>
              <w:t>Амбулаторное/стационарное</w:t>
            </w:r>
          </w:p>
        </w:tc>
      </w:tr>
      <w:tr w:rsidR="006C7C44" w:rsidRPr="00E8065F" w:rsidTr="000546C2">
        <w:trPr>
          <w:trHeight w:val="20"/>
        </w:trPr>
        <w:tc>
          <w:tcPr>
            <w:tcW w:w="1555" w:type="dxa"/>
            <w:vMerge/>
          </w:tcPr>
          <w:p w:rsidR="006C7C44" w:rsidRPr="00E8065F" w:rsidRDefault="006C7C44" w:rsidP="006C7C44">
            <w:pPr>
              <w:rPr>
                <w:color w:val="000000"/>
                <w:sz w:val="20"/>
                <w:szCs w:val="20"/>
              </w:rPr>
            </w:pPr>
          </w:p>
        </w:tc>
        <w:tc>
          <w:tcPr>
            <w:tcW w:w="3685" w:type="dxa"/>
            <w:tcBorders>
              <w:top w:val="single" w:sz="4" w:space="0" w:color="auto"/>
              <w:bottom w:val="single" w:sz="4" w:space="0" w:color="auto"/>
              <w:right w:val="single" w:sz="4" w:space="0" w:color="auto"/>
            </w:tcBorders>
            <w:shd w:val="clear" w:color="auto" w:fill="auto"/>
          </w:tcPr>
          <w:p w:rsidR="006C7C44" w:rsidRPr="00E8065F" w:rsidRDefault="006C7C44" w:rsidP="00366A43">
            <w:pPr>
              <w:spacing w:line="235" w:lineRule="auto"/>
              <w:jc w:val="both"/>
              <w:rPr>
                <w:color w:val="000000"/>
                <w:sz w:val="20"/>
                <w:szCs w:val="20"/>
              </w:rPr>
            </w:pPr>
            <w:r w:rsidRPr="00E8065F">
              <w:rPr>
                <w:color w:val="000000"/>
                <w:sz w:val="20"/>
                <w:szCs w:val="20"/>
              </w:rPr>
              <w:t xml:space="preserve">ГАУЗ </w:t>
            </w:r>
            <w:r>
              <w:rPr>
                <w:color w:val="000000"/>
                <w:sz w:val="20"/>
                <w:szCs w:val="20"/>
              </w:rPr>
              <w:t>«</w:t>
            </w:r>
            <w:r w:rsidRPr="00E8065F">
              <w:rPr>
                <w:color w:val="000000"/>
                <w:sz w:val="20"/>
                <w:szCs w:val="20"/>
              </w:rPr>
              <w:t>Сабинская ЦРБ</w:t>
            </w:r>
            <w:r>
              <w:rPr>
                <w:color w:val="000000"/>
                <w:sz w:val="20"/>
                <w:szCs w:val="20"/>
              </w:rPr>
              <w:t>»</w:t>
            </w:r>
          </w:p>
        </w:tc>
        <w:tc>
          <w:tcPr>
            <w:tcW w:w="1994" w:type="dxa"/>
            <w:tcBorders>
              <w:top w:val="single" w:sz="4" w:space="0" w:color="auto"/>
              <w:left w:val="single" w:sz="4" w:space="0" w:color="auto"/>
              <w:bottom w:val="single" w:sz="4" w:space="0" w:color="auto"/>
              <w:right w:val="single" w:sz="4" w:space="0" w:color="auto"/>
            </w:tcBorders>
            <w:shd w:val="clear" w:color="auto" w:fill="auto"/>
          </w:tcPr>
          <w:p w:rsidR="006C7C44" w:rsidRDefault="008B3E41" w:rsidP="00366A43">
            <w:pPr>
              <w:spacing w:line="235" w:lineRule="auto"/>
              <w:jc w:val="center"/>
            </w:pPr>
            <w:r>
              <w:rPr>
                <w:sz w:val="20"/>
                <w:szCs w:val="20"/>
              </w:rPr>
              <w:t xml:space="preserve">Аппараты </w:t>
            </w:r>
            <w:r>
              <w:rPr>
                <w:rFonts w:eastAsia="Arial"/>
                <w:sz w:val="20"/>
                <w:szCs w:val="20"/>
              </w:rPr>
              <w:t>для ультразвуковых исследований</w:t>
            </w:r>
          </w:p>
        </w:tc>
        <w:tc>
          <w:tcPr>
            <w:tcW w:w="1181" w:type="dxa"/>
            <w:tcBorders>
              <w:top w:val="single" w:sz="4" w:space="0" w:color="auto"/>
              <w:left w:val="single" w:sz="4" w:space="0" w:color="auto"/>
              <w:bottom w:val="single" w:sz="4" w:space="0" w:color="auto"/>
              <w:right w:val="single" w:sz="4" w:space="0" w:color="auto"/>
            </w:tcBorders>
            <w:shd w:val="clear" w:color="auto" w:fill="auto"/>
          </w:tcPr>
          <w:p w:rsidR="006C7C44" w:rsidRPr="00E8065F" w:rsidRDefault="006C7C44" w:rsidP="00366A43">
            <w:pPr>
              <w:spacing w:line="235" w:lineRule="auto"/>
              <w:jc w:val="center"/>
              <w:rPr>
                <w:sz w:val="20"/>
                <w:szCs w:val="20"/>
              </w:rPr>
            </w:pPr>
            <w:r w:rsidRPr="00E8065F">
              <w:rPr>
                <w:sz w:val="20"/>
                <w:szCs w:val="20"/>
              </w:rPr>
              <w:t>2014</w:t>
            </w:r>
            <w:r w:rsidR="00793DC9">
              <w:rPr>
                <w:sz w:val="20"/>
                <w:szCs w:val="20"/>
              </w:rPr>
              <w:t xml:space="preserve"> </w:t>
            </w:r>
            <w:r>
              <w:rPr>
                <w:sz w:val="20"/>
                <w:szCs w:val="20"/>
              </w:rPr>
              <w:t>(1)</w:t>
            </w:r>
          </w:p>
          <w:p w:rsidR="006C7C44" w:rsidRPr="00E8065F" w:rsidRDefault="006C7C44" w:rsidP="00366A43">
            <w:pPr>
              <w:spacing w:line="235" w:lineRule="auto"/>
              <w:jc w:val="center"/>
              <w:rPr>
                <w:sz w:val="20"/>
                <w:szCs w:val="20"/>
              </w:rPr>
            </w:pPr>
            <w:r w:rsidRPr="00E8065F">
              <w:rPr>
                <w:sz w:val="20"/>
                <w:szCs w:val="20"/>
              </w:rPr>
              <w:t>2015</w:t>
            </w:r>
            <w:r w:rsidR="00793DC9">
              <w:rPr>
                <w:sz w:val="20"/>
                <w:szCs w:val="20"/>
              </w:rPr>
              <w:t xml:space="preserve"> </w:t>
            </w:r>
            <w:r>
              <w:rPr>
                <w:sz w:val="20"/>
                <w:szCs w:val="20"/>
              </w:rPr>
              <w:t>(1)</w:t>
            </w:r>
          </w:p>
          <w:p w:rsidR="006C7C44" w:rsidRPr="00E8065F" w:rsidRDefault="006C7C44" w:rsidP="00366A43">
            <w:pPr>
              <w:spacing w:line="235" w:lineRule="auto"/>
              <w:jc w:val="center"/>
              <w:rPr>
                <w:sz w:val="20"/>
                <w:szCs w:val="20"/>
              </w:rPr>
            </w:pPr>
            <w:r w:rsidRPr="00E8065F">
              <w:rPr>
                <w:sz w:val="20"/>
                <w:szCs w:val="20"/>
              </w:rPr>
              <w:t>2016</w:t>
            </w:r>
            <w:r w:rsidR="00793DC9">
              <w:rPr>
                <w:sz w:val="20"/>
                <w:szCs w:val="20"/>
              </w:rPr>
              <w:t xml:space="preserve"> </w:t>
            </w:r>
            <w:r>
              <w:rPr>
                <w:sz w:val="20"/>
                <w:szCs w:val="20"/>
              </w:rPr>
              <w:t>(3)</w:t>
            </w:r>
          </w:p>
          <w:p w:rsidR="006C7C44" w:rsidRPr="00E8065F" w:rsidRDefault="006C7C44" w:rsidP="00366A43">
            <w:pPr>
              <w:spacing w:line="235" w:lineRule="auto"/>
              <w:jc w:val="center"/>
              <w:rPr>
                <w:sz w:val="20"/>
                <w:szCs w:val="20"/>
              </w:rPr>
            </w:pPr>
            <w:r w:rsidRPr="00E8065F">
              <w:rPr>
                <w:sz w:val="20"/>
                <w:szCs w:val="20"/>
              </w:rPr>
              <w:t>2021</w:t>
            </w:r>
            <w:r w:rsidR="00793DC9">
              <w:rPr>
                <w:sz w:val="20"/>
                <w:szCs w:val="20"/>
              </w:rPr>
              <w:t xml:space="preserve"> </w:t>
            </w:r>
            <w:r>
              <w:rPr>
                <w:sz w:val="20"/>
                <w:szCs w:val="20"/>
              </w:rPr>
              <w:t>(1)</w:t>
            </w:r>
          </w:p>
          <w:p w:rsidR="006C7C44" w:rsidRPr="00E8065F" w:rsidRDefault="006C7C44" w:rsidP="00366A43">
            <w:pPr>
              <w:spacing w:line="235" w:lineRule="auto"/>
              <w:jc w:val="center"/>
              <w:rPr>
                <w:sz w:val="20"/>
                <w:szCs w:val="20"/>
              </w:rPr>
            </w:pPr>
            <w:r w:rsidRPr="00E8065F">
              <w:rPr>
                <w:sz w:val="20"/>
                <w:szCs w:val="20"/>
              </w:rPr>
              <w:t>2022</w:t>
            </w:r>
            <w:r w:rsidR="00793DC9">
              <w:rPr>
                <w:sz w:val="20"/>
                <w:szCs w:val="20"/>
              </w:rPr>
              <w:t xml:space="preserve"> </w:t>
            </w:r>
            <w:r>
              <w:rPr>
                <w:sz w:val="20"/>
                <w:szCs w:val="20"/>
              </w:rPr>
              <w:t>(3)</w:t>
            </w:r>
          </w:p>
        </w:tc>
        <w:tc>
          <w:tcPr>
            <w:tcW w:w="1181" w:type="dxa"/>
            <w:tcBorders>
              <w:top w:val="single" w:sz="4" w:space="0" w:color="auto"/>
              <w:left w:val="single" w:sz="4" w:space="0" w:color="auto"/>
              <w:bottom w:val="single" w:sz="4" w:space="0" w:color="auto"/>
              <w:right w:val="single" w:sz="4" w:space="0" w:color="auto"/>
            </w:tcBorders>
            <w:shd w:val="clear" w:color="auto" w:fill="auto"/>
          </w:tcPr>
          <w:p w:rsidR="006C7C44" w:rsidRPr="00D13911" w:rsidRDefault="006C7C44" w:rsidP="00366A43">
            <w:pPr>
              <w:spacing w:line="235" w:lineRule="auto"/>
              <w:jc w:val="center"/>
              <w:rPr>
                <w:color w:val="000000"/>
                <w:sz w:val="20"/>
                <w:szCs w:val="20"/>
              </w:rPr>
            </w:pPr>
            <w:r w:rsidRPr="00D13911">
              <w:rPr>
                <w:color w:val="000000"/>
                <w:sz w:val="20"/>
                <w:szCs w:val="20"/>
              </w:rPr>
              <w:t>9</w:t>
            </w:r>
          </w:p>
        </w:tc>
        <w:tc>
          <w:tcPr>
            <w:tcW w:w="1478" w:type="dxa"/>
            <w:tcBorders>
              <w:top w:val="single" w:sz="4" w:space="0" w:color="auto"/>
              <w:left w:val="single" w:sz="4" w:space="0" w:color="auto"/>
              <w:bottom w:val="single" w:sz="4" w:space="0" w:color="auto"/>
              <w:right w:val="single" w:sz="4" w:space="0" w:color="auto"/>
            </w:tcBorders>
            <w:shd w:val="clear" w:color="auto" w:fill="auto"/>
          </w:tcPr>
          <w:p w:rsidR="006C7C44" w:rsidRPr="00E8065F" w:rsidRDefault="006C7C44" w:rsidP="00366A43">
            <w:pPr>
              <w:spacing w:line="235" w:lineRule="auto"/>
              <w:jc w:val="center"/>
              <w:rPr>
                <w:color w:val="000000"/>
                <w:sz w:val="20"/>
                <w:szCs w:val="20"/>
              </w:rPr>
            </w:pPr>
            <w:r w:rsidRPr="00E8065F">
              <w:rPr>
                <w:color w:val="000000"/>
                <w:sz w:val="20"/>
                <w:szCs w:val="20"/>
              </w:rPr>
              <w:t>100,2</w:t>
            </w:r>
          </w:p>
        </w:tc>
        <w:tc>
          <w:tcPr>
            <w:tcW w:w="1111" w:type="dxa"/>
            <w:tcBorders>
              <w:top w:val="single" w:sz="4" w:space="0" w:color="auto"/>
              <w:left w:val="single" w:sz="4" w:space="0" w:color="auto"/>
              <w:bottom w:val="single" w:sz="4" w:space="0" w:color="auto"/>
              <w:right w:val="single" w:sz="4" w:space="0" w:color="auto"/>
            </w:tcBorders>
            <w:shd w:val="clear" w:color="auto" w:fill="auto"/>
          </w:tcPr>
          <w:p w:rsidR="006C7C44" w:rsidRPr="00E8065F" w:rsidRDefault="006C7C44" w:rsidP="00366A43">
            <w:pPr>
              <w:spacing w:line="235" w:lineRule="auto"/>
              <w:jc w:val="center"/>
              <w:rPr>
                <w:color w:val="000000"/>
                <w:sz w:val="20"/>
                <w:szCs w:val="20"/>
              </w:rPr>
            </w:pPr>
            <w:r w:rsidRPr="00E8065F">
              <w:rPr>
                <w:color w:val="000000"/>
                <w:sz w:val="20"/>
                <w:szCs w:val="20"/>
              </w:rPr>
              <w:t>1</w:t>
            </w:r>
          </w:p>
        </w:tc>
        <w:tc>
          <w:tcPr>
            <w:tcW w:w="1944" w:type="dxa"/>
            <w:tcBorders>
              <w:top w:val="single" w:sz="4" w:space="0" w:color="auto"/>
              <w:left w:val="single" w:sz="4" w:space="0" w:color="auto"/>
              <w:bottom w:val="single" w:sz="4" w:space="0" w:color="auto"/>
              <w:right w:val="single" w:sz="4" w:space="0" w:color="auto"/>
            </w:tcBorders>
            <w:shd w:val="clear" w:color="auto" w:fill="auto"/>
          </w:tcPr>
          <w:p w:rsidR="006C7C44" w:rsidRPr="00E8065F" w:rsidRDefault="006C7C44" w:rsidP="00366A43">
            <w:pPr>
              <w:spacing w:line="235" w:lineRule="auto"/>
              <w:jc w:val="center"/>
              <w:rPr>
                <w:color w:val="000000"/>
                <w:sz w:val="20"/>
                <w:szCs w:val="20"/>
              </w:rPr>
            </w:pPr>
            <w:r w:rsidRPr="00E8065F">
              <w:rPr>
                <w:color w:val="000000"/>
                <w:sz w:val="20"/>
                <w:szCs w:val="20"/>
              </w:rPr>
              <w:t>Амбулаторное</w:t>
            </w:r>
          </w:p>
        </w:tc>
      </w:tr>
      <w:tr w:rsidR="006C7C44" w:rsidRPr="00E8065F" w:rsidTr="000546C2">
        <w:trPr>
          <w:trHeight w:val="20"/>
        </w:trPr>
        <w:tc>
          <w:tcPr>
            <w:tcW w:w="1555" w:type="dxa"/>
            <w:vMerge/>
          </w:tcPr>
          <w:p w:rsidR="006C7C44" w:rsidRPr="00E8065F" w:rsidRDefault="006C7C44" w:rsidP="006C7C44">
            <w:pPr>
              <w:rPr>
                <w:color w:val="000000"/>
                <w:sz w:val="20"/>
                <w:szCs w:val="20"/>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6C7C44" w:rsidRPr="00E8065F" w:rsidRDefault="006C7C44" w:rsidP="00366A43">
            <w:pPr>
              <w:spacing w:line="235" w:lineRule="auto"/>
              <w:jc w:val="both"/>
              <w:rPr>
                <w:color w:val="000000"/>
                <w:sz w:val="20"/>
                <w:szCs w:val="20"/>
              </w:rPr>
            </w:pPr>
            <w:r w:rsidRPr="00E8065F">
              <w:rPr>
                <w:color w:val="000000"/>
                <w:sz w:val="20"/>
                <w:szCs w:val="20"/>
              </w:rPr>
              <w:t xml:space="preserve">ГАУЗ </w:t>
            </w:r>
            <w:r>
              <w:rPr>
                <w:color w:val="000000"/>
                <w:sz w:val="20"/>
                <w:szCs w:val="20"/>
              </w:rPr>
              <w:t>«</w:t>
            </w:r>
            <w:r w:rsidRPr="00E8065F">
              <w:rPr>
                <w:color w:val="000000"/>
                <w:sz w:val="20"/>
                <w:szCs w:val="20"/>
              </w:rPr>
              <w:t>Сармановская ЦРБ</w:t>
            </w:r>
            <w:r>
              <w:rPr>
                <w:color w:val="000000"/>
                <w:sz w:val="20"/>
                <w:szCs w:val="20"/>
              </w:rPr>
              <w:t>»</w:t>
            </w:r>
          </w:p>
        </w:tc>
        <w:tc>
          <w:tcPr>
            <w:tcW w:w="1994" w:type="dxa"/>
            <w:tcBorders>
              <w:top w:val="single" w:sz="4" w:space="0" w:color="auto"/>
            </w:tcBorders>
            <w:shd w:val="clear" w:color="auto" w:fill="auto"/>
          </w:tcPr>
          <w:p w:rsidR="006C7C44" w:rsidRDefault="008B3E41" w:rsidP="00366A43">
            <w:pPr>
              <w:spacing w:line="235" w:lineRule="auto"/>
              <w:jc w:val="center"/>
            </w:pPr>
            <w:r>
              <w:rPr>
                <w:sz w:val="20"/>
                <w:szCs w:val="20"/>
              </w:rPr>
              <w:t xml:space="preserve">Аппараты </w:t>
            </w:r>
            <w:r>
              <w:rPr>
                <w:rFonts w:eastAsia="Arial"/>
                <w:sz w:val="20"/>
                <w:szCs w:val="20"/>
              </w:rPr>
              <w:t>для ультразвуковых исследований</w:t>
            </w:r>
          </w:p>
        </w:tc>
        <w:tc>
          <w:tcPr>
            <w:tcW w:w="1181" w:type="dxa"/>
            <w:tcBorders>
              <w:top w:val="single" w:sz="4" w:space="0" w:color="auto"/>
            </w:tcBorders>
            <w:shd w:val="clear" w:color="auto" w:fill="auto"/>
          </w:tcPr>
          <w:p w:rsidR="006C7C44" w:rsidRPr="00E8065F" w:rsidRDefault="006C7C44" w:rsidP="00366A43">
            <w:pPr>
              <w:spacing w:line="235" w:lineRule="auto"/>
              <w:jc w:val="center"/>
              <w:rPr>
                <w:sz w:val="20"/>
                <w:szCs w:val="20"/>
              </w:rPr>
            </w:pPr>
            <w:r w:rsidRPr="00E8065F">
              <w:rPr>
                <w:sz w:val="20"/>
                <w:szCs w:val="20"/>
              </w:rPr>
              <w:t>2001</w:t>
            </w:r>
            <w:r w:rsidR="00793DC9">
              <w:rPr>
                <w:sz w:val="20"/>
                <w:szCs w:val="20"/>
              </w:rPr>
              <w:t xml:space="preserve"> </w:t>
            </w:r>
            <w:r>
              <w:rPr>
                <w:sz w:val="20"/>
                <w:szCs w:val="20"/>
              </w:rPr>
              <w:t>(1)</w:t>
            </w:r>
          </w:p>
          <w:p w:rsidR="006C7C44" w:rsidRPr="00E8065F" w:rsidRDefault="006C7C44" w:rsidP="00366A43">
            <w:pPr>
              <w:spacing w:line="235" w:lineRule="auto"/>
              <w:jc w:val="center"/>
              <w:rPr>
                <w:sz w:val="20"/>
                <w:szCs w:val="20"/>
              </w:rPr>
            </w:pPr>
            <w:r w:rsidRPr="00E8065F">
              <w:rPr>
                <w:sz w:val="20"/>
                <w:szCs w:val="20"/>
              </w:rPr>
              <w:t>2006</w:t>
            </w:r>
            <w:r w:rsidR="00793DC9">
              <w:rPr>
                <w:sz w:val="20"/>
                <w:szCs w:val="20"/>
              </w:rPr>
              <w:t xml:space="preserve"> </w:t>
            </w:r>
            <w:r>
              <w:rPr>
                <w:sz w:val="20"/>
                <w:szCs w:val="20"/>
              </w:rPr>
              <w:t>(1)</w:t>
            </w:r>
          </w:p>
          <w:p w:rsidR="006C7C44" w:rsidRPr="00E8065F" w:rsidRDefault="006C7C44" w:rsidP="00366A43">
            <w:pPr>
              <w:spacing w:line="235" w:lineRule="auto"/>
              <w:jc w:val="center"/>
              <w:rPr>
                <w:sz w:val="20"/>
                <w:szCs w:val="20"/>
              </w:rPr>
            </w:pPr>
            <w:r w:rsidRPr="00E8065F">
              <w:rPr>
                <w:sz w:val="20"/>
                <w:szCs w:val="20"/>
              </w:rPr>
              <w:t>2008</w:t>
            </w:r>
            <w:r w:rsidR="00793DC9">
              <w:rPr>
                <w:sz w:val="20"/>
                <w:szCs w:val="20"/>
              </w:rPr>
              <w:t xml:space="preserve"> </w:t>
            </w:r>
            <w:r>
              <w:rPr>
                <w:sz w:val="20"/>
                <w:szCs w:val="20"/>
              </w:rPr>
              <w:t>(1)</w:t>
            </w:r>
          </w:p>
          <w:p w:rsidR="006C7C44" w:rsidRPr="00E8065F" w:rsidRDefault="006C7C44" w:rsidP="00366A43">
            <w:pPr>
              <w:spacing w:line="235" w:lineRule="auto"/>
              <w:jc w:val="center"/>
              <w:rPr>
                <w:sz w:val="20"/>
                <w:szCs w:val="20"/>
              </w:rPr>
            </w:pPr>
            <w:r w:rsidRPr="00E8065F">
              <w:rPr>
                <w:sz w:val="20"/>
                <w:szCs w:val="20"/>
              </w:rPr>
              <w:t>2012</w:t>
            </w:r>
            <w:r w:rsidR="00793DC9">
              <w:rPr>
                <w:sz w:val="20"/>
                <w:szCs w:val="20"/>
              </w:rPr>
              <w:t xml:space="preserve"> </w:t>
            </w:r>
            <w:r>
              <w:rPr>
                <w:sz w:val="20"/>
                <w:szCs w:val="20"/>
              </w:rPr>
              <w:t>(1)</w:t>
            </w:r>
          </w:p>
          <w:p w:rsidR="006C7C44" w:rsidRPr="00E8065F" w:rsidRDefault="006C7C44" w:rsidP="00366A43">
            <w:pPr>
              <w:spacing w:line="235" w:lineRule="auto"/>
              <w:jc w:val="center"/>
              <w:rPr>
                <w:sz w:val="20"/>
                <w:szCs w:val="20"/>
              </w:rPr>
            </w:pPr>
            <w:r w:rsidRPr="00E8065F">
              <w:rPr>
                <w:sz w:val="20"/>
                <w:szCs w:val="20"/>
              </w:rPr>
              <w:t>2021</w:t>
            </w:r>
            <w:r w:rsidR="00793DC9">
              <w:rPr>
                <w:sz w:val="20"/>
                <w:szCs w:val="20"/>
              </w:rPr>
              <w:t xml:space="preserve"> </w:t>
            </w:r>
            <w:r>
              <w:rPr>
                <w:sz w:val="20"/>
                <w:szCs w:val="20"/>
              </w:rPr>
              <w:t>(1)</w:t>
            </w:r>
          </w:p>
          <w:p w:rsidR="006C7C44" w:rsidRPr="00E8065F" w:rsidRDefault="006C7C44" w:rsidP="00366A43">
            <w:pPr>
              <w:spacing w:line="235" w:lineRule="auto"/>
              <w:jc w:val="center"/>
              <w:rPr>
                <w:sz w:val="20"/>
                <w:szCs w:val="20"/>
              </w:rPr>
            </w:pPr>
            <w:r w:rsidRPr="00E8065F">
              <w:rPr>
                <w:sz w:val="20"/>
                <w:szCs w:val="20"/>
              </w:rPr>
              <w:t>2022</w:t>
            </w:r>
            <w:r w:rsidR="00793DC9">
              <w:rPr>
                <w:sz w:val="20"/>
                <w:szCs w:val="20"/>
              </w:rPr>
              <w:t xml:space="preserve"> </w:t>
            </w:r>
            <w:r>
              <w:rPr>
                <w:sz w:val="20"/>
                <w:szCs w:val="20"/>
              </w:rPr>
              <w:t>(1)</w:t>
            </w:r>
          </w:p>
          <w:p w:rsidR="006C7C44" w:rsidRPr="00E8065F" w:rsidRDefault="006C7C44" w:rsidP="00366A43">
            <w:pPr>
              <w:spacing w:line="235" w:lineRule="auto"/>
              <w:jc w:val="center"/>
              <w:rPr>
                <w:sz w:val="20"/>
                <w:szCs w:val="20"/>
              </w:rPr>
            </w:pPr>
            <w:r w:rsidRPr="00E8065F">
              <w:rPr>
                <w:sz w:val="20"/>
                <w:szCs w:val="20"/>
              </w:rPr>
              <w:t>2023</w:t>
            </w:r>
            <w:r w:rsidR="00793DC9">
              <w:rPr>
                <w:sz w:val="20"/>
                <w:szCs w:val="20"/>
              </w:rPr>
              <w:t xml:space="preserve"> </w:t>
            </w:r>
            <w:r>
              <w:rPr>
                <w:sz w:val="20"/>
                <w:szCs w:val="20"/>
              </w:rPr>
              <w:t>(2)</w:t>
            </w:r>
          </w:p>
          <w:p w:rsidR="006C7C44" w:rsidRPr="00E8065F" w:rsidRDefault="006C7C44" w:rsidP="00366A43">
            <w:pPr>
              <w:spacing w:line="235" w:lineRule="auto"/>
              <w:jc w:val="center"/>
              <w:rPr>
                <w:sz w:val="20"/>
                <w:szCs w:val="20"/>
              </w:rPr>
            </w:pPr>
            <w:r w:rsidRPr="00E8065F">
              <w:rPr>
                <w:sz w:val="20"/>
                <w:szCs w:val="20"/>
              </w:rPr>
              <w:t>2024</w:t>
            </w:r>
            <w:r w:rsidR="00793DC9">
              <w:rPr>
                <w:sz w:val="20"/>
                <w:szCs w:val="20"/>
              </w:rPr>
              <w:t xml:space="preserve"> </w:t>
            </w:r>
            <w:r>
              <w:rPr>
                <w:sz w:val="20"/>
                <w:szCs w:val="20"/>
              </w:rPr>
              <w:t>(1)</w:t>
            </w:r>
          </w:p>
        </w:tc>
        <w:tc>
          <w:tcPr>
            <w:tcW w:w="1181" w:type="dxa"/>
            <w:tcBorders>
              <w:top w:val="single" w:sz="4" w:space="0" w:color="auto"/>
              <w:left w:val="single" w:sz="4" w:space="0" w:color="auto"/>
              <w:bottom w:val="single" w:sz="4" w:space="0" w:color="auto"/>
              <w:right w:val="single" w:sz="4" w:space="0" w:color="auto"/>
            </w:tcBorders>
            <w:shd w:val="clear" w:color="auto" w:fill="auto"/>
          </w:tcPr>
          <w:p w:rsidR="006C7C44" w:rsidRPr="00D13911" w:rsidRDefault="006C7C44" w:rsidP="00366A43">
            <w:pPr>
              <w:spacing w:line="235" w:lineRule="auto"/>
              <w:jc w:val="center"/>
              <w:rPr>
                <w:color w:val="000000"/>
                <w:sz w:val="20"/>
                <w:szCs w:val="20"/>
              </w:rPr>
            </w:pPr>
            <w:r w:rsidRPr="00D13911">
              <w:rPr>
                <w:color w:val="000000"/>
                <w:sz w:val="20"/>
                <w:szCs w:val="20"/>
              </w:rPr>
              <w:t>9</w:t>
            </w:r>
          </w:p>
        </w:tc>
        <w:tc>
          <w:tcPr>
            <w:tcW w:w="1478" w:type="dxa"/>
            <w:tcBorders>
              <w:top w:val="single" w:sz="4" w:space="0" w:color="auto"/>
              <w:left w:val="single" w:sz="4" w:space="0" w:color="auto"/>
              <w:bottom w:val="single" w:sz="4" w:space="0" w:color="auto"/>
              <w:right w:val="single" w:sz="4" w:space="0" w:color="auto"/>
            </w:tcBorders>
            <w:shd w:val="clear" w:color="auto" w:fill="auto"/>
          </w:tcPr>
          <w:p w:rsidR="006C7C44" w:rsidRPr="00E8065F" w:rsidRDefault="006C7C44" w:rsidP="00366A43">
            <w:pPr>
              <w:spacing w:line="235" w:lineRule="auto"/>
              <w:jc w:val="center"/>
              <w:rPr>
                <w:color w:val="000000"/>
                <w:sz w:val="20"/>
                <w:szCs w:val="20"/>
              </w:rPr>
            </w:pPr>
            <w:r w:rsidRPr="00E8065F">
              <w:rPr>
                <w:color w:val="000000"/>
                <w:sz w:val="20"/>
                <w:szCs w:val="20"/>
              </w:rPr>
              <w:t>163,8</w:t>
            </w:r>
          </w:p>
        </w:tc>
        <w:tc>
          <w:tcPr>
            <w:tcW w:w="1111" w:type="dxa"/>
            <w:tcBorders>
              <w:top w:val="single" w:sz="4" w:space="0" w:color="auto"/>
              <w:left w:val="nil"/>
              <w:bottom w:val="single" w:sz="4" w:space="0" w:color="auto"/>
              <w:right w:val="single" w:sz="4" w:space="0" w:color="auto"/>
            </w:tcBorders>
            <w:shd w:val="clear" w:color="auto" w:fill="auto"/>
          </w:tcPr>
          <w:p w:rsidR="006C7C44" w:rsidRPr="00E8065F" w:rsidRDefault="006C7C44" w:rsidP="00366A43">
            <w:pPr>
              <w:spacing w:line="235" w:lineRule="auto"/>
              <w:jc w:val="center"/>
              <w:rPr>
                <w:color w:val="000000"/>
                <w:sz w:val="20"/>
                <w:szCs w:val="20"/>
              </w:rPr>
            </w:pPr>
            <w:r w:rsidRPr="00E8065F">
              <w:rPr>
                <w:color w:val="000000"/>
                <w:sz w:val="20"/>
                <w:szCs w:val="20"/>
              </w:rPr>
              <w:t>1</w:t>
            </w:r>
          </w:p>
        </w:tc>
        <w:tc>
          <w:tcPr>
            <w:tcW w:w="1944" w:type="dxa"/>
            <w:tcBorders>
              <w:top w:val="single" w:sz="4" w:space="0" w:color="auto"/>
              <w:left w:val="single" w:sz="4" w:space="0" w:color="auto"/>
              <w:bottom w:val="single" w:sz="4" w:space="0" w:color="auto"/>
              <w:right w:val="single" w:sz="4" w:space="0" w:color="auto"/>
            </w:tcBorders>
            <w:shd w:val="clear" w:color="auto" w:fill="auto"/>
          </w:tcPr>
          <w:p w:rsidR="006C7C44" w:rsidRPr="00E8065F" w:rsidRDefault="006C7C44" w:rsidP="00366A43">
            <w:pPr>
              <w:spacing w:line="235" w:lineRule="auto"/>
              <w:jc w:val="center"/>
              <w:rPr>
                <w:color w:val="000000"/>
                <w:sz w:val="20"/>
                <w:szCs w:val="20"/>
              </w:rPr>
            </w:pPr>
            <w:r w:rsidRPr="00E8065F">
              <w:rPr>
                <w:color w:val="000000"/>
                <w:sz w:val="20"/>
                <w:szCs w:val="20"/>
              </w:rPr>
              <w:t>Амбулаторное/стационарное</w:t>
            </w:r>
          </w:p>
        </w:tc>
      </w:tr>
      <w:tr w:rsidR="006C7C44" w:rsidRPr="00E8065F" w:rsidTr="000546C2">
        <w:trPr>
          <w:trHeight w:val="20"/>
        </w:trPr>
        <w:tc>
          <w:tcPr>
            <w:tcW w:w="1555" w:type="dxa"/>
            <w:vMerge/>
          </w:tcPr>
          <w:p w:rsidR="006C7C44" w:rsidRPr="00E8065F" w:rsidRDefault="006C7C44" w:rsidP="006C7C44">
            <w:pPr>
              <w:rPr>
                <w:color w:val="000000"/>
                <w:sz w:val="20"/>
                <w:szCs w:val="20"/>
              </w:rPr>
            </w:pPr>
          </w:p>
        </w:tc>
        <w:tc>
          <w:tcPr>
            <w:tcW w:w="3685" w:type="dxa"/>
            <w:tcBorders>
              <w:top w:val="nil"/>
              <w:left w:val="single" w:sz="4" w:space="0" w:color="auto"/>
              <w:bottom w:val="single" w:sz="4" w:space="0" w:color="auto"/>
              <w:right w:val="single" w:sz="4" w:space="0" w:color="auto"/>
            </w:tcBorders>
            <w:shd w:val="clear" w:color="auto" w:fill="auto"/>
          </w:tcPr>
          <w:p w:rsidR="006C7C44" w:rsidRPr="00E8065F" w:rsidRDefault="006C7C44" w:rsidP="00366A43">
            <w:pPr>
              <w:spacing w:line="235" w:lineRule="auto"/>
              <w:jc w:val="both"/>
              <w:rPr>
                <w:color w:val="000000"/>
                <w:sz w:val="20"/>
                <w:szCs w:val="20"/>
              </w:rPr>
            </w:pPr>
            <w:r w:rsidRPr="00E8065F">
              <w:rPr>
                <w:color w:val="000000"/>
                <w:sz w:val="20"/>
                <w:szCs w:val="20"/>
              </w:rPr>
              <w:t xml:space="preserve">ГАУЗ </w:t>
            </w:r>
            <w:r>
              <w:rPr>
                <w:color w:val="000000"/>
                <w:sz w:val="20"/>
                <w:szCs w:val="20"/>
              </w:rPr>
              <w:t>«</w:t>
            </w:r>
            <w:r w:rsidRPr="00E8065F">
              <w:rPr>
                <w:color w:val="000000"/>
                <w:sz w:val="20"/>
                <w:szCs w:val="20"/>
              </w:rPr>
              <w:t>Тетюшская ЦРБ</w:t>
            </w:r>
            <w:r>
              <w:rPr>
                <w:color w:val="000000"/>
                <w:sz w:val="20"/>
                <w:szCs w:val="20"/>
              </w:rPr>
              <w:t>»</w:t>
            </w:r>
          </w:p>
        </w:tc>
        <w:tc>
          <w:tcPr>
            <w:tcW w:w="1994" w:type="dxa"/>
            <w:shd w:val="clear" w:color="auto" w:fill="auto"/>
          </w:tcPr>
          <w:p w:rsidR="006C7C44" w:rsidRDefault="008B3E41" w:rsidP="00366A43">
            <w:pPr>
              <w:spacing w:line="235" w:lineRule="auto"/>
              <w:jc w:val="center"/>
            </w:pPr>
            <w:r>
              <w:rPr>
                <w:sz w:val="20"/>
                <w:szCs w:val="20"/>
              </w:rPr>
              <w:t xml:space="preserve">Аппараты </w:t>
            </w:r>
            <w:r>
              <w:rPr>
                <w:rFonts w:eastAsia="Arial"/>
                <w:sz w:val="20"/>
                <w:szCs w:val="20"/>
              </w:rPr>
              <w:t>для ультразвуковых исследований</w:t>
            </w:r>
          </w:p>
        </w:tc>
        <w:tc>
          <w:tcPr>
            <w:tcW w:w="1181" w:type="dxa"/>
            <w:shd w:val="clear" w:color="auto" w:fill="auto"/>
          </w:tcPr>
          <w:p w:rsidR="006C7C44" w:rsidRPr="00E8065F" w:rsidRDefault="006C7C44" w:rsidP="00366A43">
            <w:pPr>
              <w:spacing w:line="235" w:lineRule="auto"/>
              <w:jc w:val="center"/>
              <w:rPr>
                <w:sz w:val="20"/>
                <w:szCs w:val="20"/>
              </w:rPr>
            </w:pPr>
            <w:r w:rsidRPr="00E8065F">
              <w:rPr>
                <w:sz w:val="20"/>
                <w:szCs w:val="20"/>
              </w:rPr>
              <w:t>2021</w:t>
            </w:r>
            <w:r w:rsidR="00793DC9">
              <w:rPr>
                <w:sz w:val="20"/>
                <w:szCs w:val="20"/>
              </w:rPr>
              <w:t xml:space="preserve"> </w:t>
            </w:r>
            <w:r>
              <w:rPr>
                <w:sz w:val="20"/>
                <w:szCs w:val="20"/>
              </w:rPr>
              <w:t>(1)</w:t>
            </w:r>
          </w:p>
          <w:p w:rsidR="006C7C44" w:rsidRPr="00E8065F" w:rsidRDefault="006C7C44" w:rsidP="00366A43">
            <w:pPr>
              <w:spacing w:line="235" w:lineRule="auto"/>
              <w:jc w:val="center"/>
              <w:rPr>
                <w:sz w:val="20"/>
                <w:szCs w:val="20"/>
              </w:rPr>
            </w:pPr>
            <w:r w:rsidRPr="00E8065F">
              <w:rPr>
                <w:sz w:val="20"/>
                <w:szCs w:val="20"/>
              </w:rPr>
              <w:t>2022</w:t>
            </w:r>
            <w:r w:rsidR="00793DC9">
              <w:rPr>
                <w:sz w:val="20"/>
                <w:szCs w:val="20"/>
              </w:rPr>
              <w:t xml:space="preserve"> </w:t>
            </w:r>
            <w:r>
              <w:rPr>
                <w:sz w:val="20"/>
                <w:szCs w:val="20"/>
              </w:rPr>
              <w:t>(1)</w:t>
            </w:r>
          </w:p>
          <w:p w:rsidR="006C7C44" w:rsidRPr="00E8065F" w:rsidRDefault="006C7C44" w:rsidP="00366A43">
            <w:pPr>
              <w:spacing w:line="235" w:lineRule="auto"/>
              <w:jc w:val="center"/>
              <w:rPr>
                <w:sz w:val="20"/>
                <w:szCs w:val="20"/>
              </w:rPr>
            </w:pPr>
            <w:r w:rsidRPr="00E8065F">
              <w:rPr>
                <w:sz w:val="20"/>
                <w:szCs w:val="20"/>
              </w:rPr>
              <w:t>2023</w:t>
            </w:r>
            <w:r w:rsidR="00793DC9">
              <w:rPr>
                <w:sz w:val="20"/>
                <w:szCs w:val="20"/>
              </w:rPr>
              <w:t xml:space="preserve"> </w:t>
            </w:r>
            <w:r>
              <w:rPr>
                <w:sz w:val="20"/>
                <w:szCs w:val="20"/>
              </w:rPr>
              <w:t>(1)</w:t>
            </w:r>
          </w:p>
        </w:tc>
        <w:tc>
          <w:tcPr>
            <w:tcW w:w="1181" w:type="dxa"/>
            <w:tcBorders>
              <w:top w:val="nil"/>
              <w:left w:val="single" w:sz="4" w:space="0" w:color="auto"/>
              <w:bottom w:val="single" w:sz="4" w:space="0" w:color="auto"/>
              <w:right w:val="single" w:sz="4" w:space="0" w:color="auto"/>
            </w:tcBorders>
            <w:shd w:val="clear" w:color="auto" w:fill="auto"/>
          </w:tcPr>
          <w:p w:rsidR="006C7C44" w:rsidRPr="00D13911" w:rsidRDefault="006C7C44" w:rsidP="00366A43">
            <w:pPr>
              <w:spacing w:line="235" w:lineRule="auto"/>
              <w:jc w:val="center"/>
              <w:rPr>
                <w:color w:val="000000"/>
                <w:sz w:val="20"/>
                <w:szCs w:val="20"/>
              </w:rPr>
            </w:pPr>
            <w:r w:rsidRPr="00D13911">
              <w:rPr>
                <w:color w:val="000000"/>
                <w:sz w:val="20"/>
                <w:szCs w:val="20"/>
              </w:rPr>
              <w:t>3</w:t>
            </w:r>
          </w:p>
        </w:tc>
        <w:tc>
          <w:tcPr>
            <w:tcW w:w="1478" w:type="dxa"/>
            <w:tcBorders>
              <w:top w:val="nil"/>
              <w:left w:val="single" w:sz="4" w:space="0" w:color="auto"/>
              <w:bottom w:val="single" w:sz="4" w:space="0" w:color="auto"/>
              <w:right w:val="single" w:sz="4" w:space="0" w:color="auto"/>
            </w:tcBorders>
            <w:shd w:val="clear" w:color="auto" w:fill="auto"/>
          </w:tcPr>
          <w:p w:rsidR="006C7C44" w:rsidRPr="00E8065F" w:rsidRDefault="006C7C44" w:rsidP="00366A43">
            <w:pPr>
              <w:spacing w:line="235" w:lineRule="auto"/>
              <w:jc w:val="center"/>
              <w:rPr>
                <w:color w:val="000000"/>
                <w:sz w:val="20"/>
                <w:szCs w:val="20"/>
              </w:rPr>
            </w:pPr>
            <w:r w:rsidRPr="00E8065F">
              <w:rPr>
                <w:color w:val="000000"/>
                <w:sz w:val="20"/>
                <w:szCs w:val="20"/>
              </w:rPr>
              <w:t>61,1</w:t>
            </w:r>
          </w:p>
        </w:tc>
        <w:tc>
          <w:tcPr>
            <w:tcW w:w="1111" w:type="dxa"/>
            <w:tcBorders>
              <w:top w:val="nil"/>
              <w:left w:val="nil"/>
              <w:bottom w:val="single" w:sz="4" w:space="0" w:color="auto"/>
              <w:right w:val="single" w:sz="4" w:space="0" w:color="auto"/>
            </w:tcBorders>
            <w:shd w:val="clear" w:color="auto" w:fill="auto"/>
          </w:tcPr>
          <w:p w:rsidR="006C7C44" w:rsidRPr="00E8065F" w:rsidRDefault="006C7C44" w:rsidP="00366A43">
            <w:pPr>
              <w:spacing w:line="235" w:lineRule="auto"/>
              <w:jc w:val="center"/>
              <w:rPr>
                <w:color w:val="000000"/>
                <w:sz w:val="20"/>
                <w:szCs w:val="20"/>
              </w:rPr>
            </w:pPr>
            <w:r w:rsidRPr="00E8065F">
              <w:rPr>
                <w:color w:val="000000"/>
                <w:sz w:val="20"/>
                <w:szCs w:val="20"/>
              </w:rPr>
              <w:t>1</w:t>
            </w:r>
          </w:p>
        </w:tc>
        <w:tc>
          <w:tcPr>
            <w:tcW w:w="1944" w:type="dxa"/>
            <w:tcBorders>
              <w:top w:val="nil"/>
              <w:left w:val="single" w:sz="4" w:space="0" w:color="auto"/>
              <w:bottom w:val="single" w:sz="4" w:space="0" w:color="auto"/>
              <w:right w:val="single" w:sz="4" w:space="0" w:color="auto"/>
            </w:tcBorders>
            <w:shd w:val="clear" w:color="auto" w:fill="auto"/>
          </w:tcPr>
          <w:p w:rsidR="006C7C44" w:rsidRPr="00E8065F" w:rsidRDefault="006C7C44" w:rsidP="00366A43">
            <w:pPr>
              <w:spacing w:line="235" w:lineRule="auto"/>
              <w:jc w:val="center"/>
              <w:rPr>
                <w:color w:val="000000"/>
                <w:sz w:val="20"/>
                <w:szCs w:val="20"/>
              </w:rPr>
            </w:pPr>
            <w:r w:rsidRPr="00E8065F">
              <w:rPr>
                <w:color w:val="000000"/>
                <w:sz w:val="20"/>
                <w:szCs w:val="20"/>
              </w:rPr>
              <w:t>Амбулаторное/стационарное</w:t>
            </w:r>
          </w:p>
        </w:tc>
      </w:tr>
      <w:tr w:rsidR="006C7C44" w:rsidRPr="00E8065F" w:rsidTr="000546C2">
        <w:trPr>
          <w:trHeight w:val="20"/>
        </w:trPr>
        <w:tc>
          <w:tcPr>
            <w:tcW w:w="1555" w:type="dxa"/>
            <w:vMerge/>
          </w:tcPr>
          <w:p w:rsidR="006C7C44" w:rsidRPr="00E8065F" w:rsidRDefault="006C7C44" w:rsidP="006C7C44">
            <w:pPr>
              <w:rPr>
                <w:color w:val="000000"/>
                <w:sz w:val="20"/>
                <w:szCs w:val="20"/>
              </w:rPr>
            </w:pPr>
          </w:p>
        </w:tc>
        <w:tc>
          <w:tcPr>
            <w:tcW w:w="3685" w:type="dxa"/>
            <w:tcBorders>
              <w:top w:val="nil"/>
              <w:left w:val="single" w:sz="4" w:space="0" w:color="auto"/>
              <w:bottom w:val="single" w:sz="4" w:space="0" w:color="auto"/>
              <w:right w:val="single" w:sz="4" w:space="0" w:color="auto"/>
            </w:tcBorders>
            <w:shd w:val="clear" w:color="auto" w:fill="auto"/>
          </w:tcPr>
          <w:p w:rsidR="006C7C44" w:rsidRPr="00E8065F" w:rsidRDefault="006C7C44" w:rsidP="00366A43">
            <w:pPr>
              <w:spacing w:line="235" w:lineRule="auto"/>
              <w:jc w:val="both"/>
              <w:rPr>
                <w:color w:val="000000"/>
                <w:sz w:val="20"/>
                <w:szCs w:val="20"/>
              </w:rPr>
            </w:pPr>
            <w:r w:rsidRPr="00E8065F">
              <w:rPr>
                <w:color w:val="000000"/>
                <w:sz w:val="20"/>
                <w:szCs w:val="20"/>
              </w:rPr>
              <w:t xml:space="preserve">ГАУЗ </w:t>
            </w:r>
            <w:r>
              <w:rPr>
                <w:color w:val="000000"/>
                <w:sz w:val="20"/>
                <w:szCs w:val="20"/>
              </w:rPr>
              <w:t>«</w:t>
            </w:r>
            <w:r w:rsidRPr="00E8065F">
              <w:rPr>
                <w:color w:val="000000"/>
                <w:sz w:val="20"/>
                <w:szCs w:val="20"/>
              </w:rPr>
              <w:t>Тукаевская ЦРБ</w:t>
            </w:r>
            <w:r>
              <w:rPr>
                <w:color w:val="000000"/>
                <w:sz w:val="20"/>
                <w:szCs w:val="20"/>
              </w:rPr>
              <w:t>»</w:t>
            </w:r>
          </w:p>
        </w:tc>
        <w:tc>
          <w:tcPr>
            <w:tcW w:w="1994" w:type="dxa"/>
            <w:shd w:val="clear" w:color="auto" w:fill="auto"/>
          </w:tcPr>
          <w:p w:rsidR="006C7C44" w:rsidRDefault="008B3E41" w:rsidP="00366A43">
            <w:pPr>
              <w:spacing w:line="235" w:lineRule="auto"/>
              <w:jc w:val="center"/>
            </w:pPr>
            <w:r>
              <w:rPr>
                <w:sz w:val="20"/>
                <w:szCs w:val="20"/>
              </w:rPr>
              <w:t xml:space="preserve">Аппараты </w:t>
            </w:r>
            <w:r>
              <w:rPr>
                <w:rFonts w:eastAsia="Arial"/>
                <w:sz w:val="20"/>
                <w:szCs w:val="20"/>
              </w:rPr>
              <w:t>для ультразвуковых исследований</w:t>
            </w:r>
          </w:p>
        </w:tc>
        <w:tc>
          <w:tcPr>
            <w:tcW w:w="1181" w:type="dxa"/>
            <w:shd w:val="clear" w:color="auto" w:fill="auto"/>
          </w:tcPr>
          <w:p w:rsidR="006C7C44" w:rsidRPr="00E8065F" w:rsidRDefault="006C7C44" w:rsidP="00366A43">
            <w:pPr>
              <w:spacing w:line="235" w:lineRule="auto"/>
              <w:jc w:val="center"/>
              <w:rPr>
                <w:sz w:val="20"/>
                <w:szCs w:val="20"/>
              </w:rPr>
            </w:pPr>
            <w:r w:rsidRPr="00E8065F">
              <w:rPr>
                <w:sz w:val="20"/>
                <w:szCs w:val="20"/>
              </w:rPr>
              <w:t>2007</w:t>
            </w:r>
            <w:r w:rsidR="00793DC9">
              <w:rPr>
                <w:sz w:val="20"/>
                <w:szCs w:val="20"/>
              </w:rPr>
              <w:t xml:space="preserve"> </w:t>
            </w:r>
            <w:r>
              <w:rPr>
                <w:sz w:val="20"/>
                <w:szCs w:val="20"/>
              </w:rPr>
              <w:t>(1)</w:t>
            </w:r>
          </w:p>
          <w:p w:rsidR="006C7C44" w:rsidRPr="00E8065F" w:rsidRDefault="006C7C44" w:rsidP="00366A43">
            <w:pPr>
              <w:spacing w:line="235" w:lineRule="auto"/>
              <w:jc w:val="center"/>
              <w:rPr>
                <w:sz w:val="20"/>
                <w:szCs w:val="20"/>
              </w:rPr>
            </w:pPr>
            <w:r w:rsidRPr="00E8065F">
              <w:rPr>
                <w:sz w:val="20"/>
                <w:szCs w:val="20"/>
              </w:rPr>
              <w:t>2012</w:t>
            </w:r>
            <w:r w:rsidR="00793DC9">
              <w:rPr>
                <w:sz w:val="20"/>
                <w:szCs w:val="20"/>
              </w:rPr>
              <w:t xml:space="preserve"> </w:t>
            </w:r>
            <w:r>
              <w:rPr>
                <w:sz w:val="20"/>
                <w:szCs w:val="20"/>
              </w:rPr>
              <w:t>(1)</w:t>
            </w:r>
          </w:p>
          <w:p w:rsidR="006C7C44" w:rsidRPr="00E8065F" w:rsidRDefault="006C7C44" w:rsidP="00366A43">
            <w:pPr>
              <w:spacing w:line="235" w:lineRule="auto"/>
              <w:jc w:val="center"/>
              <w:rPr>
                <w:sz w:val="20"/>
                <w:szCs w:val="20"/>
              </w:rPr>
            </w:pPr>
            <w:r w:rsidRPr="00E8065F">
              <w:rPr>
                <w:sz w:val="20"/>
                <w:szCs w:val="20"/>
              </w:rPr>
              <w:t>2016</w:t>
            </w:r>
            <w:r w:rsidR="00793DC9">
              <w:rPr>
                <w:sz w:val="20"/>
                <w:szCs w:val="20"/>
              </w:rPr>
              <w:t xml:space="preserve"> </w:t>
            </w:r>
            <w:r>
              <w:rPr>
                <w:sz w:val="20"/>
                <w:szCs w:val="20"/>
              </w:rPr>
              <w:t>(1)</w:t>
            </w:r>
          </w:p>
          <w:p w:rsidR="006C7C44" w:rsidRPr="00E8065F" w:rsidRDefault="006C7C44" w:rsidP="00366A43">
            <w:pPr>
              <w:spacing w:line="235" w:lineRule="auto"/>
              <w:jc w:val="center"/>
              <w:rPr>
                <w:sz w:val="20"/>
                <w:szCs w:val="20"/>
              </w:rPr>
            </w:pPr>
            <w:r w:rsidRPr="00E8065F">
              <w:rPr>
                <w:sz w:val="20"/>
                <w:szCs w:val="20"/>
              </w:rPr>
              <w:t>2021</w:t>
            </w:r>
            <w:r w:rsidR="00793DC9">
              <w:rPr>
                <w:sz w:val="20"/>
                <w:szCs w:val="20"/>
              </w:rPr>
              <w:t xml:space="preserve"> </w:t>
            </w:r>
            <w:r>
              <w:rPr>
                <w:sz w:val="20"/>
                <w:szCs w:val="20"/>
              </w:rPr>
              <w:t>(2)</w:t>
            </w:r>
          </w:p>
          <w:p w:rsidR="006C7C44" w:rsidRPr="00E8065F" w:rsidRDefault="006C7C44" w:rsidP="00366A43">
            <w:pPr>
              <w:spacing w:line="235" w:lineRule="auto"/>
              <w:jc w:val="center"/>
              <w:rPr>
                <w:sz w:val="20"/>
                <w:szCs w:val="20"/>
              </w:rPr>
            </w:pPr>
            <w:r w:rsidRPr="00E8065F">
              <w:rPr>
                <w:sz w:val="20"/>
                <w:szCs w:val="20"/>
              </w:rPr>
              <w:t>2022</w:t>
            </w:r>
            <w:r w:rsidR="00793DC9">
              <w:rPr>
                <w:sz w:val="20"/>
                <w:szCs w:val="20"/>
              </w:rPr>
              <w:t xml:space="preserve"> </w:t>
            </w:r>
            <w:r>
              <w:rPr>
                <w:sz w:val="20"/>
                <w:szCs w:val="20"/>
              </w:rPr>
              <w:t>(2)</w:t>
            </w:r>
          </w:p>
        </w:tc>
        <w:tc>
          <w:tcPr>
            <w:tcW w:w="1181" w:type="dxa"/>
            <w:tcBorders>
              <w:top w:val="nil"/>
              <w:left w:val="single" w:sz="4" w:space="0" w:color="auto"/>
              <w:bottom w:val="single" w:sz="4" w:space="0" w:color="auto"/>
              <w:right w:val="single" w:sz="4" w:space="0" w:color="auto"/>
            </w:tcBorders>
            <w:shd w:val="clear" w:color="auto" w:fill="auto"/>
          </w:tcPr>
          <w:p w:rsidR="006C7C44" w:rsidRPr="00D13911" w:rsidRDefault="006C7C44" w:rsidP="00366A43">
            <w:pPr>
              <w:spacing w:line="235" w:lineRule="auto"/>
              <w:jc w:val="center"/>
              <w:rPr>
                <w:color w:val="000000"/>
                <w:sz w:val="20"/>
                <w:szCs w:val="20"/>
              </w:rPr>
            </w:pPr>
            <w:r w:rsidRPr="00D13911">
              <w:rPr>
                <w:color w:val="000000"/>
                <w:sz w:val="20"/>
                <w:szCs w:val="20"/>
              </w:rPr>
              <w:t>7</w:t>
            </w:r>
          </w:p>
        </w:tc>
        <w:tc>
          <w:tcPr>
            <w:tcW w:w="1478" w:type="dxa"/>
            <w:tcBorders>
              <w:top w:val="nil"/>
              <w:left w:val="single" w:sz="4" w:space="0" w:color="auto"/>
              <w:bottom w:val="single" w:sz="4" w:space="0" w:color="auto"/>
              <w:right w:val="single" w:sz="4" w:space="0" w:color="auto"/>
            </w:tcBorders>
            <w:shd w:val="clear" w:color="auto" w:fill="auto"/>
          </w:tcPr>
          <w:p w:rsidR="006C7C44" w:rsidRPr="00E8065F" w:rsidRDefault="006C7C44" w:rsidP="00366A43">
            <w:pPr>
              <w:spacing w:line="235" w:lineRule="auto"/>
              <w:jc w:val="center"/>
              <w:rPr>
                <w:color w:val="000000"/>
                <w:sz w:val="20"/>
                <w:szCs w:val="20"/>
              </w:rPr>
            </w:pPr>
            <w:r w:rsidRPr="00E8065F">
              <w:rPr>
                <w:color w:val="000000"/>
                <w:sz w:val="20"/>
                <w:szCs w:val="20"/>
              </w:rPr>
              <w:t>101,6</w:t>
            </w:r>
          </w:p>
        </w:tc>
        <w:tc>
          <w:tcPr>
            <w:tcW w:w="1111" w:type="dxa"/>
            <w:tcBorders>
              <w:top w:val="nil"/>
              <w:left w:val="nil"/>
              <w:bottom w:val="single" w:sz="4" w:space="0" w:color="auto"/>
              <w:right w:val="single" w:sz="4" w:space="0" w:color="auto"/>
            </w:tcBorders>
            <w:shd w:val="clear" w:color="auto" w:fill="auto"/>
          </w:tcPr>
          <w:p w:rsidR="006C7C44" w:rsidRPr="00E8065F" w:rsidRDefault="006C7C44" w:rsidP="00366A43">
            <w:pPr>
              <w:spacing w:line="235" w:lineRule="auto"/>
              <w:jc w:val="center"/>
              <w:rPr>
                <w:color w:val="000000"/>
                <w:sz w:val="20"/>
                <w:szCs w:val="20"/>
              </w:rPr>
            </w:pPr>
            <w:r w:rsidRPr="00E8065F">
              <w:rPr>
                <w:color w:val="000000"/>
                <w:sz w:val="20"/>
                <w:szCs w:val="20"/>
              </w:rPr>
              <w:t>1</w:t>
            </w:r>
          </w:p>
        </w:tc>
        <w:tc>
          <w:tcPr>
            <w:tcW w:w="1944" w:type="dxa"/>
            <w:tcBorders>
              <w:top w:val="nil"/>
              <w:left w:val="single" w:sz="4" w:space="0" w:color="auto"/>
              <w:bottom w:val="single" w:sz="4" w:space="0" w:color="auto"/>
              <w:right w:val="single" w:sz="4" w:space="0" w:color="auto"/>
            </w:tcBorders>
            <w:shd w:val="clear" w:color="auto" w:fill="auto"/>
          </w:tcPr>
          <w:p w:rsidR="006C7C44" w:rsidRPr="00E8065F" w:rsidRDefault="006C7C44" w:rsidP="00366A43">
            <w:pPr>
              <w:spacing w:line="235" w:lineRule="auto"/>
              <w:jc w:val="center"/>
              <w:rPr>
                <w:color w:val="000000"/>
                <w:sz w:val="20"/>
                <w:szCs w:val="20"/>
              </w:rPr>
            </w:pPr>
            <w:r w:rsidRPr="00E8065F">
              <w:rPr>
                <w:color w:val="000000"/>
                <w:sz w:val="20"/>
                <w:szCs w:val="20"/>
              </w:rPr>
              <w:t>Амбулаторное/стационарное</w:t>
            </w:r>
          </w:p>
        </w:tc>
      </w:tr>
      <w:tr w:rsidR="006C7C44" w:rsidRPr="00E8065F" w:rsidTr="000546C2">
        <w:trPr>
          <w:trHeight w:val="20"/>
        </w:trPr>
        <w:tc>
          <w:tcPr>
            <w:tcW w:w="1555" w:type="dxa"/>
            <w:vMerge/>
          </w:tcPr>
          <w:p w:rsidR="006C7C44" w:rsidRPr="00E8065F" w:rsidRDefault="006C7C44" w:rsidP="006C7C44">
            <w:pPr>
              <w:rPr>
                <w:color w:val="000000"/>
                <w:sz w:val="20"/>
                <w:szCs w:val="20"/>
              </w:rPr>
            </w:pPr>
          </w:p>
        </w:tc>
        <w:tc>
          <w:tcPr>
            <w:tcW w:w="3685" w:type="dxa"/>
            <w:tcBorders>
              <w:top w:val="nil"/>
              <w:left w:val="single" w:sz="4" w:space="0" w:color="auto"/>
              <w:bottom w:val="single" w:sz="4" w:space="0" w:color="auto"/>
              <w:right w:val="single" w:sz="4" w:space="0" w:color="auto"/>
            </w:tcBorders>
            <w:shd w:val="clear" w:color="auto" w:fill="auto"/>
          </w:tcPr>
          <w:p w:rsidR="006C7C44" w:rsidRPr="00E8065F" w:rsidRDefault="006C7C44" w:rsidP="00366A43">
            <w:pPr>
              <w:spacing w:line="235" w:lineRule="auto"/>
              <w:jc w:val="both"/>
              <w:rPr>
                <w:color w:val="000000"/>
                <w:sz w:val="20"/>
                <w:szCs w:val="20"/>
              </w:rPr>
            </w:pPr>
            <w:r w:rsidRPr="00E8065F">
              <w:rPr>
                <w:color w:val="000000"/>
                <w:sz w:val="20"/>
                <w:szCs w:val="20"/>
              </w:rPr>
              <w:t xml:space="preserve">ГАУЗ </w:t>
            </w:r>
            <w:r>
              <w:rPr>
                <w:color w:val="000000"/>
                <w:sz w:val="20"/>
                <w:szCs w:val="20"/>
              </w:rPr>
              <w:t>«</w:t>
            </w:r>
            <w:r w:rsidRPr="00E8065F">
              <w:rPr>
                <w:color w:val="000000"/>
                <w:sz w:val="20"/>
                <w:szCs w:val="20"/>
              </w:rPr>
              <w:t>Тюлячинская ЦРБ</w:t>
            </w:r>
            <w:r>
              <w:rPr>
                <w:color w:val="000000"/>
                <w:sz w:val="20"/>
                <w:szCs w:val="20"/>
              </w:rPr>
              <w:t>»</w:t>
            </w:r>
          </w:p>
        </w:tc>
        <w:tc>
          <w:tcPr>
            <w:tcW w:w="1994" w:type="dxa"/>
            <w:shd w:val="clear" w:color="auto" w:fill="auto"/>
          </w:tcPr>
          <w:p w:rsidR="006C7C44" w:rsidRDefault="008B3E41" w:rsidP="00366A43">
            <w:pPr>
              <w:spacing w:line="235" w:lineRule="auto"/>
              <w:jc w:val="center"/>
            </w:pPr>
            <w:r>
              <w:rPr>
                <w:sz w:val="20"/>
                <w:szCs w:val="20"/>
              </w:rPr>
              <w:t xml:space="preserve">Аппараты </w:t>
            </w:r>
            <w:r>
              <w:rPr>
                <w:rFonts w:eastAsia="Arial"/>
                <w:sz w:val="20"/>
                <w:szCs w:val="20"/>
              </w:rPr>
              <w:t>для ультразвуковых исследований</w:t>
            </w:r>
          </w:p>
        </w:tc>
        <w:tc>
          <w:tcPr>
            <w:tcW w:w="1181" w:type="dxa"/>
            <w:shd w:val="clear" w:color="auto" w:fill="auto"/>
          </w:tcPr>
          <w:p w:rsidR="006C7C44" w:rsidRPr="00E8065F" w:rsidRDefault="006C7C44" w:rsidP="00366A43">
            <w:pPr>
              <w:spacing w:line="235" w:lineRule="auto"/>
              <w:jc w:val="center"/>
              <w:rPr>
                <w:sz w:val="20"/>
                <w:szCs w:val="20"/>
              </w:rPr>
            </w:pPr>
            <w:r w:rsidRPr="00E8065F">
              <w:rPr>
                <w:sz w:val="20"/>
                <w:szCs w:val="20"/>
              </w:rPr>
              <w:t>2016</w:t>
            </w:r>
            <w:r w:rsidR="00793DC9">
              <w:rPr>
                <w:sz w:val="20"/>
                <w:szCs w:val="20"/>
              </w:rPr>
              <w:t xml:space="preserve"> </w:t>
            </w:r>
            <w:r>
              <w:rPr>
                <w:sz w:val="20"/>
                <w:szCs w:val="20"/>
              </w:rPr>
              <w:t>(1)</w:t>
            </w:r>
          </w:p>
          <w:p w:rsidR="006C7C44" w:rsidRPr="00E8065F" w:rsidRDefault="006C7C44" w:rsidP="00366A43">
            <w:pPr>
              <w:spacing w:line="235" w:lineRule="auto"/>
              <w:jc w:val="center"/>
              <w:rPr>
                <w:sz w:val="20"/>
                <w:szCs w:val="20"/>
              </w:rPr>
            </w:pPr>
            <w:r w:rsidRPr="00E8065F">
              <w:rPr>
                <w:sz w:val="20"/>
                <w:szCs w:val="20"/>
              </w:rPr>
              <w:t>2017</w:t>
            </w:r>
            <w:r w:rsidR="00793DC9">
              <w:rPr>
                <w:sz w:val="20"/>
                <w:szCs w:val="20"/>
              </w:rPr>
              <w:t xml:space="preserve"> </w:t>
            </w:r>
            <w:r>
              <w:rPr>
                <w:sz w:val="20"/>
                <w:szCs w:val="20"/>
              </w:rPr>
              <w:t>(1)</w:t>
            </w:r>
          </w:p>
          <w:p w:rsidR="006C7C44" w:rsidRPr="00E8065F" w:rsidRDefault="006C7C44" w:rsidP="00366A43">
            <w:pPr>
              <w:spacing w:line="235" w:lineRule="auto"/>
              <w:jc w:val="center"/>
              <w:rPr>
                <w:sz w:val="20"/>
                <w:szCs w:val="20"/>
              </w:rPr>
            </w:pPr>
            <w:r w:rsidRPr="00E8065F">
              <w:rPr>
                <w:sz w:val="20"/>
                <w:szCs w:val="20"/>
              </w:rPr>
              <w:t>2022</w:t>
            </w:r>
            <w:r w:rsidR="00793DC9">
              <w:rPr>
                <w:sz w:val="20"/>
                <w:szCs w:val="20"/>
              </w:rPr>
              <w:t xml:space="preserve"> </w:t>
            </w:r>
            <w:r>
              <w:rPr>
                <w:sz w:val="20"/>
                <w:szCs w:val="20"/>
              </w:rPr>
              <w:t>(2)</w:t>
            </w:r>
          </w:p>
        </w:tc>
        <w:tc>
          <w:tcPr>
            <w:tcW w:w="1181" w:type="dxa"/>
            <w:tcBorders>
              <w:top w:val="nil"/>
              <w:left w:val="single" w:sz="4" w:space="0" w:color="auto"/>
              <w:bottom w:val="single" w:sz="4" w:space="0" w:color="auto"/>
              <w:right w:val="single" w:sz="4" w:space="0" w:color="auto"/>
            </w:tcBorders>
            <w:shd w:val="clear" w:color="auto" w:fill="auto"/>
          </w:tcPr>
          <w:p w:rsidR="006C7C44" w:rsidRPr="00D13911" w:rsidRDefault="006C7C44" w:rsidP="00366A43">
            <w:pPr>
              <w:spacing w:line="235" w:lineRule="auto"/>
              <w:jc w:val="center"/>
              <w:rPr>
                <w:color w:val="000000"/>
                <w:sz w:val="20"/>
                <w:szCs w:val="20"/>
              </w:rPr>
            </w:pPr>
            <w:r w:rsidRPr="00D13911">
              <w:rPr>
                <w:color w:val="000000"/>
                <w:sz w:val="20"/>
                <w:szCs w:val="20"/>
              </w:rPr>
              <w:t>4</w:t>
            </w:r>
          </w:p>
        </w:tc>
        <w:tc>
          <w:tcPr>
            <w:tcW w:w="1478" w:type="dxa"/>
            <w:tcBorders>
              <w:top w:val="nil"/>
              <w:left w:val="single" w:sz="4" w:space="0" w:color="auto"/>
              <w:bottom w:val="single" w:sz="4" w:space="0" w:color="auto"/>
              <w:right w:val="single" w:sz="4" w:space="0" w:color="auto"/>
            </w:tcBorders>
            <w:shd w:val="clear" w:color="auto" w:fill="auto"/>
          </w:tcPr>
          <w:p w:rsidR="006C7C44" w:rsidRPr="00E8065F" w:rsidRDefault="006C7C44" w:rsidP="00366A43">
            <w:pPr>
              <w:spacing w:line="235" w:lineRule="auto"/>
              <w:jc w:val="center"/>
              <w:rPr>
                <w:color w:val="000000"/>
                <w:sz w:val="20"/>
                <w:szCs w:val="20"/>
              </w:rPr>
            </w:pPr>
            <w:r w:rsidRPr="00E8065F">
              <w:rPr>
                <w:color w:val="000000"/>
                <w:sz w:val="20"/>
                <w:szCs w:val="20"/>
              </w:rPr>
              <w:t>128,4</w:t>
            </w:r>
          </w:p>
        </w:tc>
        <w:tc>
          <w:tcPr>
            <w:tcW w:w="1111" w:type="dxa"/>
            <w:tcBorders>
              <w:top w:val="nil"/>
              <w:left w:val="nil"/>
              <w:bottom w:val="single" w:sz="4" w:space="0" w:color="auto"/>
              <w:right w:val="single" w:sz="4" w:space="0" w:color="auto"/>
            </w:tcBorders>
            <w:shd w:val="clear" w:color="auto" w:fill="auto"/>
          </w:tcPr>
          <w:p w:rsidR="006C7C44" w:rsidRPr="00E8065F" w:rsidRDefault="006C7C44" w:rsidP="00366A43">
            <w:pPr>
              <w:spacing w:line="235" w:lineRule="auto"/>
              <w:jc w:val="center"/>
              <w:rPr>
                <w:color w:val="000000"/>
                <w:sz w:val="20"/>
                <w:szCs w:val="20"/>
              </w:rPr>
            </w:pPr>
            <w:r w:rsidRPr="00E8065F">
              <w:rPr>
                <w:color w:val="000000"/>
                <w:sz w:val="20"/>
                <w:szCs w:val="20"/>
              </w:rPr>
              <w:t>1</w:t>
            </w:r>
          </w:p>
        </w:tc>
        <w:tc>
          <w:tcPr>
            <w:tcW w:w="1944" w:type="dxa"/>
            <w:tcBorders>
              <w:top w:val="nil"/>
              <w:left w:val="single" w:sz="4" w:space="0" w:color="auto"/>
              <w:bottom w:val="single" w:sz="4" w:space="0" w:color="auto"/>
              <w:right w:val="single" w:sz="4" w:space="0" w:color="auto"/>
            </w:tcBorders>
            <w:shd w:val="clear" w:color="auto" w:fill="auto"/>
          </w:tcPr>
          <w:p w:rsidR="006C7C44" w:rsidRPr="00E8065F" w:rsidRDefault="006C7C44" w:rsidP="00366A43">
            <w:pPr>
              <w:spacing w:line="235" w:lineRule="auto"/>
              <w:jc w:val="center"/>
              <w:rPr>
                <w:color w:val="000000"/>
                <w:sz w:val="20"/>
                <w:szCs w:val="20"/>
              </w:rPr>
            </w:pPr>
            <w:r w:rsidRPr="00E8065F">
              <w:rPr>
                <w:color w:val="000000"/>
                <w:sz w:val="20"/>
                <w:szCs w:val="20"/>
              </w:rPr>
              <w:t>Амбулаторное</w:t>
            </w:r>
          </w:p>
        </w:tc>
      </w:tr>
      <w:tr w:rsidR="006C7C44" w:rsidRPr="00E8065F" w:rsidTr="000546C2">
        <w:trPr>
          <w:trHeight w:val="20"/>
        </w:trPr>
        <w:tc>
          <w:tcPr>
            <w:tcW w:w="1555" w:type="dxa"/>
            <w:vMerge/>
          </w:tcPr>
          <w:p w:rsidR="006C7C44" w:rsidRPr="00E8065F" w:rsidRDefault="006C7C44" w:rsidP="006C7C44">
            <w:pPr>
              <w:rPr>
                <w:color w:val="000000"/>
                <w:sz w:val="20"/>
                <w:szCs w:val="20"/>
              </w:rPr>
            </w:pPr>
          </w:p>
        </w:tc>
        <w:tc>
          <w:tcPr>
            <w:tcW w:w="3685" w:type="dxa"/>
            <w:tcBorders>
              <w:top w:val="nil"/>
              <w:left w:val="single" w:sz="4" w:space="0" w:color="auto"/>
              <w:bottom w:val="single" w:sz="4" w:space="0" w:color="auto"/>
              <w:right w:val="single" w:sz="4" w:space="0" w:color="auto"/>
            </w:tcBorders>
            <w:shd w:val="clear" w:color="auto" w:fill="auto"/>
          </w:tcPr>
          <w:p w:rsidR="006C7C44" w:rsidRPr="00E8065F" w:rsidRDefault="006C7C44" w:rsidP="00366A43">
            <w:pPr>
              <w:spacing w:line="235" w:lineRule="auto"/>
              <w:jc w:val="both"/>
              <w:rPr>
                <w:color w:val="000000"/>
                <w:sz w:val="20"/>
                <w:szCs w:val="20"/>
              </w:rPr>
            </w:pPr>
            <w:r w:rsidRPr="00E8065F">
              <w:rPr>
                <w:color w:val="000000"/>
                <w:sz w:val="20"/>
                <w:szCs w:val="20"/>
              </w:rPr>
              <w:t xml:space="preserve">ГАУЗ </w:t>
            </w:r>
            <w:r>
              <w:rPr>
                <w:color w:val="000000"/>
                <w:sz w:val="20"/>
                <w:szCs w:val="20"/>
              </w:rPr>
              <w:t>«</w:t>
            </w:r>
            <w:r w:rsidRPr="00E8065F">
              <w:rPr>
                <w:color w:val="000000"/>
                <w:sz w:val="20"/>
                <w:szCs w:val="20"/>
              </w:rPr>
              <w:t>Черемшанская ЦРБ</w:t>
            </w:r>
            <w:r>
              <w:rPr>
                <w:color w:val="000000"/>
                <w:sz w:val="20"/>
                <w:szCs w:val="20"/>
              </w:rPr>
              <w:t>»</w:t>
            </w:r>
          </w:p>
        </w:tc>
        <w:tc>
          <w:tcPr>
            <w:tcW w:w="1994" w:type="dxa"/>
            <w:shd w:val="clear" w:color="auto" w:fill="auto"/>
          </w:tcPr>
          <w:p w:rsidR="006C7C44" w:rsidRDefault="008B3E41" w:rsidP="00366A43">
            <w:pPr>
              <w:spacing w:line="235" w:lineRule="auto"/>
              <w:jc w:val="center"/>
            </w:pPr>
            <w:r>
              <w:rPr>
                <w:sz w:val="20"/>
                <w:szCs w:val="20"/>
              </w:rPr>
              <w:t xml:space="preserve">Аппараты </w:t>
            </w:r>
            <w:r>
              <w:rPr>
                <w:rFonts w:eastAsia="Arial"/>
                <w:sz w:val="20"/>
                <w:szCs w:val="20"/>
              </w:rPr>
              <w:t>для ультразвуковых исследований</w:t>
            </w:r>
          </w:p>
        </w:tc>
        <w:tc>
          <w:tcPr>
            <w:tcW w:w="1181" w:type="dxa"/>
            <w:shd w:val="clear" w:color="auto" w:fill="auto"/>
          </w:tcPr>
          <w:p w:rsidR="006C7C44" w:rsidRPr="00E8065F" w:rsidRDefault="006C7C44" w:rsidP="00366A43">
            <w:pPr>
              <w:spacing w:line="235" w:lineRule="auto"/>
              <w:jc w:val="center"/>
              <w:rPr>
                <w:sz w:val="20"/>
                <w:szCs w:val="20"/>
              </w:rPr>
            </w:pPr>
            <w:r w:rsidRPr="00E8065F">
              <w:rPr>
                <w:sz w:val="20"/>
                <w:szCs w:val="20"/>
              </w:rPr>
              <w:t>2006</w:t>
            </w:r>
            <w:r w:rsidR="00793DC9">
              <w:rPr>
                <w:sz w:val="20"/>
                <w:szCs w:val="20"/>
              </w:rPr>
              <w:t xml:space="preserve"> </w:t>
            </w:r>
            <w:r>
              <w:rPr>
                <w:sz w:val="20"/>
                <w:szCs w:val="20"/>
              </w:rPr>
              <w:t>(1)</w:t>
            </w:r>
          </w:p>
          <w:p w:rsidR="006C7C44" w:rsidRPr="00E8065F" w:rsidRDefault="006C7C44" w:rsidP="00366A43">
            <w:pPr>
              <w:spacing w:line="235" w:lineRule="auto"/>
              <w:jc w:val="center"/>
              <w:rPr>
                <w:sz w:val="20"/>
                <w:szCs w:val="20"/>
              </w:rPr>
            </w:pPr>
            <w:r w:rsidRPr="00E8065F">
              <w:rPr>
                <w:sz w:val="20"/>
                <w:szCs w:val="20"/>
              </w:rPr>
              <w:t>2007</w:t>
            </w:r>
            <w:r w:rsidR="00793DC9">
              <w:rPr>
                <w:sz w:val="20"/>
                <w:szCs w:val="20"/>
              </w:rPr>
              <w:t xml:space="preserve"> </w:t>
            </w:r>
            <w:r>
              <w:rPr>
                <w:sz w:val="20"/>
                <w:szCs w:val="20"/>
              </w:rPr>
              <w:t>(1)</w:t>
            </w:r>
          </w:p>
          <w:p w:rsidR="006C7C44" w:rsidRPr="00E8065F" w:rsidRDefault="006C7C44" w:rsidP="00366A43">
            <w:pPr>
              <w:spacing w:line="235" w:lineRule="auto"/>
              <w:jc w:val="center"/>
              <w:rPr>
                <w:sz w:val="20"/>
                <w:szCs w:val="20"/>
              </w:rPr>
            </w:pPr>
            <w:r w:rsidRPr="00E8065F">
              <w:rPr>
                <w:sz w:val="20"/>
                <w:szCs w:val="20"/>
              </w:rPr>
              <w:t>2013</w:t>
            </w:r>
            <w:r w:rsidR="00793DC9">
              <w:rPr>
                <w:sz w:val="20"/>
                <w:szCs w:val="20"/>
              </w:rPr>
              <w:t xml:space="preserve"> </w:t>
            </w:r>
            <w:r>
              <w:rPr>
                <w:sz w:val="20"/>
                <w:szCs w:val="20"/>
              </w:rPr>
              <w:t>(1)</w:t>
            </w:r>
          </w:p>
          <w:p w:rsidR="006C7C44" w:rsidRPr="00E8065F" w:rsidRDefault="006C7C44" w:rsidP="00366A43">
            <w:pPr>
              <w:spacing w:line="235" w:lineRule="auto"/>
              <w:jc w:val="center"/>
              <w:rPr>
                <w:sz w:val="20"/>
                <w:szCs w:val="20"/>
              </w:rPr>
            </w:pPr>
            <w:r w:rsidRPr="00E8065F">
              <w:rPr>
                <w:sz w:val="20"/>
                <w:szCs w:val="20"/>
              </w:rPr>
              <w:t>2019</w:t>
            </w:r>
            <w:r w:rsidR="00793DC9">
              <w:rPr>
                <w:sz w:val="20"/>
                <w:szCs w:val="20"/>
              </w:rPr>
              <w:t xml:space="preserve"> </w:t>
            </w:r>
            <w:r>
              <w:rPr>
                <w:sz w:val="20"/>
                <w:szCs w:val="20"/>
              </w:rPr>
              <w:t>(1)</w:t>
            </w:r>
          </w:p>
          <w:p w:rsidR="006C7C44" w:rsidRPr="00E8065F" w:rsidRDefault="006C7C44" w:rsidP="00366A43">
            <w:pPr>
              <w:spacing w:line="235" w:lineRule="auto"/>
              <w:jc w:val="center"/>
              <w:rPr>
                <w:sz w:val="20"/>
                <w:szCs w:val="20"/>
              </w:rPr>
            </w:pPr>
            <w:r w:rsidRPr="00E8065F">
              <w:rPr>
                <w:sz w:val="20"/>
                <w:szCs w:val="20"/>
              </w:rPr>
              <w:t>2023</w:t>
            </w:r>
            <w:r w:rsidR="00793DC9">
              <w:rPr>
                <w:sz w:val="20"/>
                <w:szCs w:val="20"/>
              </w:rPr>
              <w:t xml:space="preserve"> </w:t>
            </w:r>
            <w:r>
              <w:rPr>
                <w:sz w:val="20"/>
                <w:szCs w:val="20"/>
              </w:rPr>
              <w:t>(1)</w:t>
            </w:r>
          </w:p>
        </w:tc>
        <w:tc>
          <w:tcPr>
            <w:tcW w:w="1181" w:type="dxa"/>
            <w:tcBorders>
              <w:top w:val="nil"/>
              <w:left w:val="single" w:sz="4" w:space="0" w:color="auto"/>
              <w:bottom w:val="single" w:sz="4" w:space="0" w:color="auto"/>
              <w:right w:val="single" w:sz="4" w:space="0" w:color="auto"/>
            </w:tcBorders>
            <w:shd w:val="clear" w:color="auto" w:fill="auto"/>
          </w:tcPr>
          <w:p w:rsidR="006C7C44" w:rsidRPr="00D13911" w:rsidRDefault="006C7C44" w:rsidP="00366A43">
            <w:pPr>
              <w:spacing w:line="235" w:lineRule="auto"/>
              <w:jc w:val="center"/>
              <w:rPr>
                <w:color w:val="000000"/>
                <w:sz w:val="20"/>
                <w:szCs w:val="20"/>
              </w:rPr>
            </w:pPr>
            <w:r w:rsidRPr="00D13911">
              <w:rPr>
                <w:color w:val="000000"/>
                <w:sz w:val="20"/>
                <w:szCs w:val="20"/>
              </w:rPr>
              <w:t>5</w:t>
            </w:r>
          </w:p>
        </w:tc>
        <w:tc>
          <w:tcPr>
            <w:tcW w:w="1478" w:type="dxa"/>
            <w:tcBorders>
              <w:top w:val="nil"/>
              <w:left w:val="single" w:sz="4" w:space="0" w:color="auto"/>
              <w:bottom w:val="single" w:sz="4" w:space="0" w:color="auto"/>
              <w:right w:val="single" w:sz="4" w:space="0" w:color="auto"/>
            </w:tcBorders>
            <w:shd w:val="clear" w:color="auto" w:fill="auto"/>
          </w:tcPr>
          <w:p w:rsidR="006C7C44" w:rsidRPr="00E8065F" w:rsidRDefault="006C7C44" w:rsidP="00366A43">
            <w:pPr>
              <w:spacing w:line="235" w:lineRule="auto"/>
              <w:jc w:val="center"/>
              <w:rPr>
                <w:color w:val="000000"/>
                <w:sz w:val="20"/>
                <w:szCs w:val="20"/>
              </w:rPr>
            </w:pPr>
            <w:r w:rsidRPr="00E8065F">
              <w:rPr>
                <w:color w:val="000000"/>
                <w:sz w:val="20"/>
                <w:szCs w:val="20"/>
              </w:rPr>
              <w:t>66,5</w:t>
            </w:r>
          </w:p>
        </w:tc>
        <w:tc>
          <w:tcPr>
            <w:tcW w:w="1111" w:type="dxa"/>
            <w:tcBorders>
              <w:top w:val="nil"/>
              <w:left w:val="nil"/>
              <w:bottom w:val="single" w:sz="4" w:space="0" w:color="auto"/>
              <w:right w:val="single" w:sz="4" w:space="0" w:color="auto"/>
            </w:tcBorders>
            <w:shd w:val="clear" w:color="auto" w:fill="auto"/>
          </w:tcPr>
          <w:p w:rsidR="006C7C44" w:rsidRPr="00E8065F" w:rsidRDefault="006C7C44" w:rsidP="00366A43">
            <w:pPr>
              <w:spacing w:line="235" w:lineRule="auto"/>
              <w:jc w:val="center"/>
              <w:rPr>
                <w:color w:val="000000"/>
                <w:sz w:val="20"/>
                <w:szCs w:val="20"/>
              </w:rPr>
            </w:pPr>
            <w:r w:rsidRPr="00E8065F">
              <w:rPr>
                <w:color w:val="000000"/>
                <w:sz w:val="20"/>
                <w:szCs w:val="20"/>
              </w:rPr>
              <w:t>1</w:t>
            </w:r>
          </w:p>
        </w:tc>
        <w:tc>
          <w:tcPr>
            <w:tcW w:w="1944" w:type="dxa"/>
            <w:tcBorders>
              <w:top w:val="nil"/>
              <w:left w:val="single" w:sz="4" w:space="0" w:color="auto"/>
              <w:bottom w:val="single" w:sz="4" w:space="0" w:color="auto"/>
              <w:right w:val="single" w:sz="4" w:space="0" w:color="auto"/>
            </w:tcBorders>
            <w:shd w:val="clear" w:color="auto" w:fill="auto"/>
          </w:tcPr>
          <w:p w:rsidR="006C7C44" w:rsidRPr="00E8065F" w:rsidRDefault="006C7C44" w:rsidP="00366A43">
            <w:pPr>
              <w:spacing w:line="235" w:lineRule="auto"/>
              <w:jc w:val="center"/>
              <w:rPr>
                <w:color w:val="000000"/>
                <w:sz w:val="20"/>
                <w:szCs w:val="20"/>
              </w:rPr>
            </w:pPr>
            <w:r w:rsidRPr="00E8065F">
              <w:rPr>
                <w:color w:val="000000"/>
                <w:sz w:val="20"/>
                <w:szCs w:val="20"/>
              </w:rPr>
              <w:t>Амбулаторное</w:t>
            </w:r>
          </w:p>
        </w:tc>
      </w:tr>
      <w:tr w:rsidR="006C7C44" w:rsidRPr="00E8065F" w:rsidTr="000546C2">
        <w:trPr>
          <w:trHeight w:val="20"/>
        </w:trPr>
        <w:tc>
          <w:tcPr>
            <w:tcW w:w="1555" w:type="dxa"/>
            <w:vMerge/>
          </w:tcPr>
          <w:p w:rsidR="006C7C44" w:rsidRPr="00E8065F" w:rsidRDefault="006C7C44" w:rsidP="006C7C44">
            <w:pPr>
              <w:rPr>
                <w:color w:val="000000"/>
                <w:sz w:val="20"/>
                <w:szCs w:val="20"/>
              </w:rPr>
            </w:pPr>
          </w:p>
        </w:tc>
        <w:tc>
          <w:tcPr>
            <w:tcW w:w="3685" w:type="dxa"/>
            <w:tcBorders>
              <w:top w:val="nil"/>
              <w:left w:val="single" w:sz="4" w:space="0" w:color="auto"/>
              <w:bottom w:val="single" w:sz="4" w:space="0" w:color="auto"/>
              <w:right w:val="single" w:sz="4" w:space="0" w:color="auto"/>
            </w:tcBorders>
            <w:shd w:val="clear" w:color="auto" w:fill="auto"/>
          </w:tcPr>
          <w:p w:rsidR="006C7C44" w:rsidRPr="00E8065F" w:rsidRDefault="006C7C44" w:rsidP="00366A43">
            <w:pPr>
              <w:spacing w:line="235" w:lineRule="auto"/>
              <w:jc w:val="both"/>
              <w:rPr>
                <w:color w:val="000000"/>
                <w:sz w:val="20"/>
                <w:szCs w:val="20"/>
              </w:rPr>
            </w:pPr>
            <w:r w:rsidRPr="00E8065F">
              <w:rPr>
                <w:color w:val="000000"/>
                <w:sz w:val="20"/>
                <w:szCs w:val="20"/>
              </w:rPr>
              <w:t xml:space="preserve">ГАУЗ </w:t>
            </w:r>
            <w:r>
              <w:rPr>
                <w:color w:val="000000"/>
                <w:sz w:val="20"/>
                <w:szCs w:val="20"/>
              </w:rPr>
              <w:t>«</w:t>
            </w:r>
            <w:r w:rsidRPr="00E8065F">
              <w:rPr>
                <w:color w:val="000000"/>
                <w:sz w:val="20"/>
                <w:szCs w:val="20"/>
              </w:rPr>
              <w:t>Чистопольская ЦРБ</w:t>
            </w:r>
            <w:r>
              <w:rPr>
                <w:color w:val="000000"/>
                <w:sz w:val="20"/>
                <w:szCs w:val="20"/>
              </w:rPr>
              <w:t>»</w:t>
            </w:r>
          </w:p>
        </w:tc>
        <w:tc>
          <w:tcPr>
            <w:tcW w:w="1994" w:type="dxa"/>
            <w:shd w:val="clear" w:color="auto" w:fill="auto"/>
          </w:tcPr>
          <w:p w:rsidR="006C7C44" w:rsidRDefault="008B3E41" w:rsidP="00366A43">
            <w:pPr>
              <w:spacing w:line="235" w:lineRule="auto"/>
              <w:jc w:val="center"/>
            </w:pPr>
            <w:r>
              <w:rPr>
                <w:sz w:val="20"/>
                <w:szCs w:val="20"/>
              </w:rPr>
              <w:t xml:space="preserve">Аппараты </w:t>
            </w:r>
            <w:r>
              <w:rPr>
                <w:rFonts w:eastAsia="Arial"/>
                <w:sz w:val="20"/>
                <w:szCs w:val="20"/>
              </w:rPr>
              <w:t>для ультразвуковых исследований</w:t>
            </w:r>
          </w:p>
        </w:tc>
        <w:tc>
          <w:tcPr>
            <w:tcW w:w="1181" w:type="dxa"/>
            <w:shd w:val="clear" w:color="auto" w:fill="auto"/>
          </w:tcPr>
          <w:p w:rsidR="006C7C44" w:rsidRPr="00E8065F" w:rsidRDefault="006C7C44" w:rsidP="00366A43">
            <w:pPr>
              <w:spacing w:line="235" w:lineRule="auto"/>
              <w:jc w:val="center"/>
              <w:rPr>
                <w:sz w:val="20"/>
                <w:szCs w:val="20"/>
              </w:rPr>
            </w:pPr>
            <w:r w:rsidRPr="00E8065F">
              <w:rPr>
                <w:sz w:val="20"/>
                <w:szCs w:val="20"/>
              </w:rPr>
              <w:t>2008</w:t>
            </w:r>
            <w:r w:rsidR="00793DC9">
              <w:rPr>
                <w:sz w:val="20"/>
                <w:szCs w:val="20"/>
              </w:rPr>
              <w:t xml:space="preserve"> </w:t>
            </w:r>
            <w:r>
              <w:rPr>
                <w:sz w:val="20"/>
                <w:szCs w:val="20"/>
              </w:rPr>
              <w:t>(1)</w:t>
            </w:r>
          </w:p>
          <w:p w:rsidR="006C7C44" w:rsidRPr="00E8065F" w:rsidRDefault="006C7C44" w:rsidP="00366A43">
            <w:pPr>
              <w:spacing w:line="235" w:lineRule="auto"/>
              <w:jc w:val="center"/>
              <w:rPr>
                <w:sz w:val="20"/>
                <w:szCs w:val="20"/>
              </w:rPr>
            </w:pPr>
            <w:r w:rsidRPr="00E8065F">
              <w:rPr>
                <w:sz w:val="20"/>
                <w:szCs w:val="20"/>
              </w:rPr>
              <w:t>2014</w:t>
            </w:r>
            <w:r w:rsidR="00793DC9">
              <w:rPr>
                <w:sz w:val="20"/>
                <w:szCs w:val="20"/>
              </w:rPr>
              <w:t xml:space="preserve"> </w:t>
            </w:r>
            <w:r>
              <w:rPr>
                <w:sz w:val="20"/>
                <w:szCs w:val="20"/>
              </w:rPr>
              <w:t>(1)</w:t>
            </w:r>
          </w:p>
          <w:p w:rsidR="006C7C44" w:rsidRPr="00E8065F" w:rsidRDefault="006C7C44" w:rsidP="00366A43">
            <w:pPr>
              <w:spacing w:line="235" w:lineRule="auto"/>
              <w:jc w:val="center"/>
              <w:rPr>
                <w:sz w:val="20"/>
                <w:szCs w:val="20"/>
              </w:rPr>
            </w:pPr>
            <w:r w:rsidRPr="00E8065F">
              <w:rPr>
                <w:sz w:val="20"/>
                <w:szCs w:val="20"/>
              </w:rPr>
              <w:t>2016</w:t>
            </w:r>
            <w:r w:rsidR="00793DC9">
              <w:rPr>
                <w:sz w:val="20"/>
                <w:szCs w:val="20"/>
              </w:rPr>
              <w:t xml:space="preserve"> </w:t>
            </w:r>
            <w:r>
              <w:rPr>
                <w:sz w:val="20"/>
                <w:szCs w:val="20"/>
              </w:rPr>
              <w:t>(2)</w:t>
            </w:r>
          </w:p>
          <w:p w:rsidR="006C7C44" w:rsidRPr="00E8065F" w:rsidRDefault="006C7C44" w:rsidP="00366A43">
            <w:pPr>
              <w:spacing w:line="235" w:lineRule="auto"/>
              <w:jc w:val="center"/>
              <w:rPr>
                <w:sz w:val="20"/>
                <w:szCs w:val="20"/>
              </w:rPr>
            </w:pPr>
            <w:r w:rsidRPr="00E8065F">
              <w:rPr>
                <w:sz w:val="20"/>
                <w:szCs w:val="20"/>
              </w:rPr>
              <w:t>2018</w:t>
            </w:r>
            <w:r w:rsidR="00793DC9">
              <w:rPr>
                <w:sz w:val="20"/>
                <w:szCs w:val="20"/>
              </w:rPr>
              <w:t xml:space="preserve"> </w:t>
            </w:r>
            <w:r>
              <w:rPr>
                <w:sz w:val="20"/>
                <w:szCs w:val="20"/>
              </w:rPr>
              <w:t>(1)</w:t>
            </w:r>
          </w:p>
          <w:p w:rsidR="006C7C44" w:rsidRPr="00E8065F" w:rsidRDefault="006C7C44" w:rsidP="00366A43">
            <w:pPr>
              <w:spacing w:line="235" w:lineRule="auto"/>
              <w:jc w:val="center"/>
              <w:rPr>
                <w:sz w:val="20"/>
                <w:szCs w:val="20"/>
              </w:rPr>
            </w:pPr>
            <w:r w:rsidRPr="00E8065F">
              <w:rPr>
                <w:sz w:val="20"/>
                <w:szCs w:val="20"/>
              </w:rPr>
              <w:t>2020</w:t>
            </w:r>
            <w:r w:rsidR="00793DC9">
              <w:rPr>
                <w:sz w:val="20"/>
                <w:szCs w:val="20"/>
              </w:rPr>
              <w:t xml:space="preserve"> </w:t>
            </w:r>
            <w:r>
              <w:rPr>
                <w:sz w:val="20"/>
                <w:szCs w:val="20"/>
              </w:rPr>
              <w:t>(7)</w:t>
            </w:r>
          </w:p>
          <w:p w:rsidR="006C7C44" w:rsidRPr="00E8065F" w:rsidRDefault="006C7C44" w:rsidP="00366A43">
            <w:pPr>
              <w:spacing w:line="235" w:lineRule="auto"/>
              <w:jc w:val="center"/>
              <w:rPr>
                <w:sz w:val="20"/>
                <w:szCs w:val="20"/>
              </w:rPr>
            </w:pPr>
            <w:r w:rsidRPr="00E8065F">
              <w:rPr>
                <w:sz w:val="20"/>
                <w:szCs w:val="20"/>
              </w:rPr>
              <w:t>2022</w:t>
            </w:r>
            <w:r w:rsidR="00793DC9">
              <w:rPr>
                <w:sz w:val="20"/>
                <w:szCs w:val="20"/>
              </w:rPr>
              <w:t xml:space="preserve"> </w:t>
            </w:r>
            <w:r>
              <w:rPr>
                <w:sz w:val="20"/>
                <w:szCs w:val="20"/>
              </w:rPr>
              <w:t>(2)</w:t>
            </w:r>
          </w:p>
          <w:p w:rsidR="006C7C44" w:rsidRPr="00E8065F" w:rsidRDefault="006C7C44" w:rsidP="00366A43">
            <w:pPr>
              <w:spacing w:line="235" w:lineRule="auto"/>
              <w:jc w:val="center"/>
              <w:rPr>
                <w:sz w:val="20"/>
                <w:szCs w:val="20"/>
              </w:rPr>
            </w:pPr>
            <w:r w:rsidRPr="00E8065F">
              <w:rPr>
                <w:sz w:val="20"/>
                <w:szCs w:val="20"/>
              </w:rPr>
              <w:t>2023</w:t>
            </w:r>
            <w:r w:rsidR="00793DC9">
              <w:rPr>
                <w:sz w:val="20"/>
                <w:szCs w:val="20"/>
              </w:rPr>
              <w:t xml:space="preserve"> </w:t>
            </w:r>
            <w:r>
              <w:rPr>
                <w:sz w:val="20"/>
                <w:szCs w:val="20"/>
              </w:rPr>
              <w:t>(2)</w:t>
            </w:r>
          </w:p>
        </w:tc>
        <w:tc>
          <w:tcPr>
            <w:tcW w:w="1181" w:type="dxa"/>
            <w:tcBorders>
              <w:top w:val="nil"/>
              <w:left w:val="single" w:sz="4" w:space="0" w:color="auto"/>
              <w:bottom w:val="single" w:sz="4" w:space="0" w:color="auto"/>
              <w:right w:val="single" w:sz="4" w:space="0" w:color="auto"/>
            </w:tcBorders>
            <w:shd w:val="clear" w:color="auto" w:fill="auto"/>
          </w:tcPr>
          <w:p w:rsidR="006C7C44" w:rsidRPr="00D13911" w:rsidRDefault="006C7C44" w:rsidP="00366A43">
            <w:pPr>
              <w:spacing w:line="235" w:lineRule="auto"/>
              <w:jc w:val="center"/>
              <w:rPr>
                <w:color w:val="000000"/>
                <w:sz w:val="20"/>
                <w:szCs w:val="20"/>
              </w:rPr>
            </w:pPr>
            <w:r w:rsidRPr="00D13911">
              <w:rPr>
                <w:color w:val="000000"/>
                <w:sz w:val="20"/>
                <w:szCs w:val="20"/>
              </w:rPr>
              <w:t>16</w:t>
            </w:r>
          </w:p>
        </w:tc>
        <w:tc>
          <w:tcPr>
            <w:tcW w:w="1478" w:type="dxa"/>
            <w:tcBorders>
              <w:top w:val="nil"/>
              <w:left w:val="single" w:sz="4" w:space="0" w:color="auto"/>
              <w:bottom w:val="single" w:sz="4" w:space="0" w:color="auto"/>
              <w:right w:val="single" w:sz="4" w:space="0" w:color="auto"/>
            </w:tcBorders>
            <w:shd w:val="clear" w:color="auto" w:fill="auto"/>
          </w:tcPr>
          <w:p w:rsidR="006C7C44" w:rsidRPr="00E8065F" w:rsidRDefault="006C7C44" w:rsidP="00366A43">
            <w:pPr>
              <w:spacing w:line="235" w:lineRule="auto"/>
              <w:jc w:val="center"/>
              <w:rPr>
                <w:color w:val="000000"/>
                <w:sz w:val="20"/>
                <w:szCs w:val="20"/>
              </w:rPr>
            </w:pPr>
            <w:r w:rsidRPr="00E8065F">
              <w:rPr>
                <w:color w:val="000000"/>
                <w:sz w:val="20"/>
                <w:szCs w:val="20"/>
              </w:rPr>
              <w:t>448,7</w:t>
            </w:r>
          </w:p>
        </w:tc>
        <w:tc>
          <w:tcPr>
            <w:tcW w:w="1111" w:type="dxa"/>
            <w:tcBorders>
              <w:top w:val="nil"/>
              <w:left w:val="nil"/>
              <w:bottom w:val="single" w:sz="4" w:space="0" w:color="auto"/>
              <w:right w:val="single" w:sz="4" w:space="0" w:color="auto"/>
            </w:tcBorders>
            <w:shd w:val="clear" w:color="auto" w:fill="auto"/>
          </w:tcPr>
          <w:p w:rsidR="006C7C44" w:rsidRPr="00E8065F" w:rsidRDefault="006C7C44" w:rsidP="00366A43">
            <w:pPr>
              <w:spacing w:line="235" w:lineRule="auto"/>
              <w:jc w:val="center"/>
              <w:rPr>
                <w:color w:val="000000"/>
                <w:sz w:val="20"/>
                <w:szCs w:val="20"/>
              </w:rPr>
            </w:pPr>
            <w:r w:rsidRPr="00E8065F">
              <w:rPr>
                <w:color w:val="000000"/>
                <w:sz w:val="20"/>
                <w:szCs w:val="20"/>
              </w:rPr>
              <w:t>1</w:t>
            </w:r>
          </w:p>
        </w:tc>
        <w:tc>
          <w:tcPr>
            <w:tcW w:w="1944" w:type="dxa"/>
            <w:tcBorders>
              <w:top w:val="nil"/>
              <w:left w:val="single" w:sz="4" w:space="0" w:color="auto"/>
              <w:bottom w:val="single" w:sz="4" w:space="0" w:color="auto"/>
              <w:right w:val="single" w:sz="4" w:space="0" w:color="auto"/>
            </w:tcBorders>
            <w:shd w:val="clear" w:color="auto" w:fill="auto"/>
          </w:tcPr>
          <w:p w:rsidR="006C7C44" w:rsidRPr="00E8065F" w:rsidRDefault="006C7C44" w:rsidP="00366A43">
            <w:pPr>
              <w:spacing w:line="235" w:lineRule="auto"/>
              <w:jc w:val="center"/>
              <w:rPr>
                <w:color w:val="000000"/>
                <w:sz w:val="20"/>
                <w:szCs w:val="20"/>
              </w:rPr>
            </w:pPr>
            <w:r w:rsidRPr="00E8065F">
              <w:rPr>
                <w:color w:val="000000"/>
                <w:sz w:val="20"/>
                <w:szCs w:val="20"/>
              </w:rPr>
              <w:t>Амбулаторное/стационарное</w:t>
            </w:r>
          </w:p>
        </w:tc>
      </w:tr>
      <w:tr w:rsidR="006C7C44" w:rsidRPr="00E8065F" w:rsidTr="000546C2">
        <w:trPr>
          <w:trHeight w:val="20"/>
        </w:trPr>
        <w:tc>
          <w:tcPr>
            <w:tcW w:w="1555" w:type="dxa"/>
            <w:vMerge/>
          </w:tcPr>
          <w:p w:rsidR="006C7C44" w:rsidRPr="00E8065F" w:rsidRDefault="006C7C44" w:rsidP="006C7C44">
            <w:pPr>
              <w:rPr>
                <w:color w:val="000000"/>
                <w:sz w:val="20"/>
                <w:szCs w:val="20"/>
              </w:rPr>
            </w:pPr>
          </w:p>
        </w:tc>
        <w:tc>
          <w:tcPr>
            <w:tcW w:w="3685" w:type="dxa"/>
            <w:tcBorders>
              <w:top w:val="nil"/>
              <w:left w:val="single" w:sz="4" w:space="0" w:color="auto"/>
              <w:bottom w:val="single" w:sz="4" w:space="0" w:color="auto"/>
              <w:right w:val="single" w:sz="4" w:space="0" w:color="auto"/>
            </w:tcBorders>
            <w:shd w:val="clear" w:color="auto" w:fill="auto"/>
          </w:tcPr>
          <w:p w:rsidR="006C7C44" w:rsidRPr="00E8065F" w:rsidRDefault="006C7C44" w:rsidP="00366A43">
            <w:pPr>
              <w:spacing w:line="235" w:lineRule="auto"/>
              <w:jc w:val="both"/>
              <w:rPr>
                <w:color w:val="000000"/>
                <w:sz w:val="20"/>
                <w:szCs w:val="20"/>
              </w:rPr>
            </w:pPr>
            <w:r w:rsidRPr="00E8065F">
              <w:rPr>
                <w:color w:val="000000"/>
                <w:sz w:val="20"/>
                <w:szCs w:val="20"/>
              </w:rPr>
              <w:t xml:space="preserve">ГАУЗ </w:t>
            </w:r>
            <w:r>
              <w:rPr>
                <w:color w:val="000000"/>
                <w:sz w:val="20"/>
                <w:szCs w:val="20"/>
              </w:rPr>
              <w:t>«</w:t>
            </w:r>
            <w:r w:rsidRPr="00E8065F">
              <w:rPr>
                <w:color w:val="000000"/>
                <w:sz w:val="20"/>
                <w:szCs w:val="20"/>
              </w:rPr>
              <w:t>Уруссинская ЦРБ</w:t>
            </w:r>
            <w:r>
              <w:rPr>
                <w:color w:val="000000"/>
                <w:sz w:val="20"/>
                <w:szCs w:val="20"/>
              </w:rPr>
              <w:t>»</w:t>
            </w:r>
          </w:p>
        </w:tc>
        <w:tc>
          <w:tcPr>
            <w:tcW w:w="1994" w:type="dxa"/>
            <w:shd w:val="clear" w:color="auto" w:fill="auto"/>
          </w:tcPr>
          <w:p w:rsidR="006C7C44" w:rsidRDefault="008B3E41" w:rsidP="00366A43">
            <w:pPr>
              <w:spacing w:line="235" w:lineRule="auto"/>
              <w:jc w:val="center"/>
            </w:pPr>
            <w:r>
              <w:rPr>
                <w:sz w:val="20"/>
                <w:szCs w:val="20"/>
              </w:rPr>
              <w:t xml:space="preserve">Аппараты </w:t>
            </w:r>
            <w:r>
              <w:rPr>
                <w:rFonts w:eastAsia="Arial"/>
                <w:sz w:val="20"/>
                <w:szCs w:val="20"/>
              </w:rPr>
              <w:t>для ультразвуковых исследований</w:t>
            </w:r>
          </w:p>
        </w:tc>
        <w:tc>
          <w:tcPr>
            <w:tcW w:w="1181" w:type="dxa"/>
            <w:shd w:val="clear" w:color="auto" w:fill="auto"/>
          </w:tcPr>
          <w:p w:rsidR="006C7C44" w:rsidRPr="00E8065F" w:rsidRDefault="006C7C44" w:rsidP="00366A43">
            <w:pPr>
              <w:spacing w:line="235" w:lineRule="auto"/>
              <w:jc w:val="center"/>
              <w:rPr>
                <w:sz w:val="20"/>
                <w:szCs w:val="20"/>
              </w:rPr>
            </w:pPr>
            <w:r w:rsidRPr="00E8065F">
              <w:rPr>
                <w:sz w:val="20"/>
                <w:szCs w:val="20"/>
              </w:rPr>
              <w:t>2011</w:t>
            </w:r>
            <w:r w:rsidR="00793DC9">
              <w:rPr>
                <w:sz w:val="20"/>
                <w:szCs w:val="20"/>
              </w:rPr>
              <w:t xml:space="preserve"> </w:t>
            </w:r>
            <w:r>
              <w:rPr>
                <w:sz w:val="20"/>
                <w:szCs w:val="20"/>
              </w:rPr>
              <w:t>(1)</w:t>
            </w:r>
          </w:p>
          <w:p w:rsidR="006C7C44" w:rsidRPr="00E8065F" w:rsidRDefault="006C7C44" w:rsidP="00366A43">
            <w:pPr>
              <w:spacing w:line="235" w:lineRule="auto"/>
              <w:jc w:val="center"/>
              <w:rPr>
                <w:sz w:val="20"/>
                <w:szCs w:val="20"/>
              </w:rPr>
            </w:pPr>
            <w:r w:rsidRPr="00E8065F">
              <w:rPr>
                <w:sz w:val="20"/>
                <w:szCs w:val="20"/>
              </w:rPr>
              <w:t>2012</w:t>
            </w:r>
            <w:r w:rsidR="00793DC9">
              <w:rPr>
                <w:sz w:val="20"/>
                <w:szCs w:val="20"/>
              </w:rPr>
              <w:t xml:space="preserve"> </w:t>
            </w:r>
            <w:r>
              <w:rPr>
                <w:sz w:val="20"/>
                <w:szCs w:val="20"/>
              </w:rPr>
              <w:t>(1)</w:t>
            </w:r>
          </w:p>
          <w:p w:rsidR="006C7C44" w:rsidRPr="00E8065F" w:rsidRDefault="006C7C44" w:rsidP="00366A43">
            <w:pPr>
              <w:spacing w:line="235" w:lineRule="auto"/>
              <w:jc w:val="center"/>
              <w:rPr>
                <w:sz w:val="20"/>
                <w:szCs w:val="20"/>
              </w:rPr>
            </w:pPr>
            <w:r w:rsidRPr="00E8065F">
              <w:rPr>
                <w:sz w:val="20"/>
                <w:szCs w:val="20"/>
              </w:rPr>
              <w:t>2018</w:t>
            </w:r>
            <w:r w:rsidR="00793DC9">
              <w:rPr>
                <w:sz w:val="20"/>
                <w:szCs w:val="20"/>
              </w:rPr>
              <w:t xml:space="preserve"> </w:t>
            </w:r>
            <w:r>
              <w:rPr>
                <w:sz w:val="20"/>
                <w:szCs w:val="20"/>
              </w:rPr>
              <w:t>(1)</w:t>
            </w:r>
          </w:p>
          <w:p w:rsidR="006C7C44" w:rsidRPr="00E8065F" w:rsidRDefault="006C7C44" w:rsidP="00366A43">
            <w:pPr>
              <w:spacing w:line="235" w:lineRule="auto"/>
              <w:jc w:val="center"/>
              <w:rPr>
                <w:sz w:val="20"/>
                <w:szCs w:val="20"/>
              </w:rPr>
            </w:pPr>
            <w:r w:rsidRPr="00E8065F">
              <w:rPr>
                <w:sz w:val="20"/>
                <w:szCs w:val="20"/>
              </w:rPr>
              <w:t>2021</w:t>
            </w:r>
            <w:r w:rsidR="00793DC9">
              <w:rPr>
                <w:sz w:val="20"/>
                <w:szCs w:val="20"/>
              </w:rPr>
              <w:t xml:space="preserve"> </w:t>
            </w:r>
            <w:r>
              <w:rPr>
                <w:sz w:val="20"/>
                <w:szCs w:val="20"/>
              </w:rPr>
              <w:t>(1)</w:t>
            </w:r>
          </w:p>
          <w:p w:rsidR="006C7C44" w:rsidRPr="00E8065F" w:rsidRDefault="006C7C44" w:rsidP="00366A43">
            <w:pPr>
              <w:spacing w:line="235" w:lineRule="auto"/>
              <w:jc w:val="center"/>
              <w:rPr>
                <w:sz w:val="20"/>
                <w:szCs w:val="20"/>
              </w:rPr>
            </w:pPr>
            <w:r w:rsidRPr="00E8065F">
              <w:rPr>
                <w:sz w:val="20"/>
                <w:szCs w:val="20"/>
              </w:rPr>
              <w:t>2022</w:t>
            </w:r>
            <w:r w:rsidR="00793DC9">
              <w:rPr>
                <w:sz w:val="20"/>
                <w:szCs w:val="20"/>
              </w:rPr>
              <w:t xml:space="preserve"> </w:t>
            </w:r>
            <w:r>
              <w:rPr>
                <w:sz w:val="20"/>
                <w:szCs w:val="20"/>
              </w:rPr>
              <w:t>(1)</w:t>
            </w:r>
          </w:p>
          <w:p w:rsidR="006C7C44" w:rsidRPr="00E8065F" w:rsidRDefault="006C7C44" w:rsidP="00366A43">
            <w:pPr>
              <w:spacing w:line="235" w:lineRule="auto"/>
              <w:jc w:val="center"/>
              <w:rPr>
                <w:sz w:val="20"/>
                <w:szCs w:val="20"/>
              </w:rPr>
            </w:pPr>
            <w:r w:rsidRPr="00E8065F">
              <w:rPr>
                <w:sz w:val="20"/>
                <w:szCs w:val="20"/>
              </w:rPr>
              <w:t>2023</w:t>
            </w:r>
            <w:r w:rsidR="00793DC9">
              <w:rPr>
                <w:sz w:val="20"/>
                <w:szCs w:val="20"/>
              </w:rPr>
              <w:t xml:space="preserve"> </w:t>
            </w:r>
            <w:r>
              <w:rPr>
                <w:sz w:val="20"/>
                <w:szCs w:val="20"/>
              </w:rPr>
              <w:t>(1)</w:t>
            </w:r>
          </w:p>
        </w:tc>
        <w:tc>
          <w:tcPr>
            <w:tcW w:w="1181" w:type="dxa"/>
            <w:tcBorders>
              <w:top w:val="nil"/>
              <w:left w:val="single" w:sz="4" w:space="0" w:color="auto"/>
              <w:bottom w:val="single" w:sz="4" w:space="0" w:color="auto"/>
              <w:right w:val="single" w:sz="4" w:space="0" w:color="auto"/>
            </w:tcBorders>
            <w:shd w:val="clear" w:color="auto" w:fill="auto"/>
          </w:tcPr>
          <w:p w:rsidR="006C7C44" w:rsidRPr="00D13911" w:rsidRDefault="006C7C44" w:rsidP="00366A43">
            <w:pPr>
              <w:spacing w:line="235" w:lineRule="auto"/>
              <w:jc w:val="center"/>
              <w:rPr>
                <w:color w:val="000000"/>
                <w:sz w:val="20"/>
                <w:szCs w:val="20"/>
              </w:rPr>
            </w:pPr>
            <w:r w:rsidRPr="00D13911">
              <w:rPr>
                <w:color w:val="000000"/>
                <w:sz w:val="20"/>
                <w:szCs w:val="20"/>
              </w:rPr>
              <w:t>6</w:t>
            </w:r>
          </w:p>
        </w:tc>
        <w:tc>
          <w:tcPr>
            <w:tcW w:w="1478" w:type="dxa"/>
            <w:tcBorders>
              <w:top w:val="nil"/>
              <w:left w:val="single" w:sz="4" w:space="0" w:color="auto"/>
              <w:bottom w:val="single" w:sz="4" w:space="0" w:color="auto"/>
              <w:right w:val="single" w:sz="4" w:space="0" w:color="auto"/>
            </w:tcBorders>
            <w:shd w:val="clear" w:color="auto" w:fill="auto"/>
          </w:tcPr>
          <w:p w:rsidR="006C7C44" w:rsidRPr="00E8065F" w:rsidRDefault="006C7C44" w:rsidP="00366A43">
            <w:pPr>
              <w:spacing w:line="235" w:lineRule="auto"/>
              <w:jc w:val="center"/>
              <w:rPr>
                <w:color w:val="000000"/>
                <w:sz w:val="20"/>
                <w:szCs w:val="20"/>
              </w:rPr>
            </w:pPr>
            <w:r w:rsidRPr="00E8065F">
              <w:rPr>
                <w:color w:val="000000"/>
                <w:sz w:val="20"/>
                <w:szCs w:val="20"/>
              </w:rPr>
              <w:t>126,1</w:t>
            </w:r>
          </w:p>
        </w:tc>
        <w:tc>
          <w:tcPr>
            <w:tcW w:w="1111" w:type="dxa"/>
            <w:tcBorders>
              <w:top w:val="nil"/>
              <w:left w:val="nil"/>
              <w:bottom w:val="single" w:sz="4" w:space="0" w:color="auto"/>
              <w:right w:val="single" w:sz="4" w:space="0" w:color="auto"/>
            </w:tcBorders>
            <w:shd w:val="clear" w:color="auto" w:fill="auto"/>
          </w:tcPr>
          <w:p w:rsidR="006C7C44" w:rsidRPr="00E8065F" w:rsidRDefault="006C7C44" w:rsidP="00366A43">
            <w:pPr>
              <w:spacing w:line="235" w:lineRule="auto"/>
              <w:jc w:val="center"/>
              <w:rPr>
                <w:color w:val="000000"/>
                <w:sz w:val="20"/>
                <w:szCs w:val="20"/>
              </w:rPr>
            </w:pPr>
            <w:r w:rsidRPr="00E8065F">
              <w:rPr>
                <w:color w:val="000000"/>
                <w:sz w:val="20"/>
                <w:szCs w:val="20"/>
              </w:rPr>
              <w:t>1</w:t>
            </w:r>
          </w:p>
        </w:tc>
        <w:tc>
          <w:tcPr>
            <w:tcW w:w="1944" w:type="dxa"/>
            <w:tcBorders>
              <w:top w:val="nil"/>
              <w:left w:val="single" w:sz="4" w:space="0" w:color="auto"/>
              <w:bottom w:val="single" w:sz="4" w:space="0" w:color="auto"/>
              <w:right w:val="single" w:sz="4" w:space="0" w:color="auto"/>
            </w:tcBorders>
            <w:shd w:val="clear" w:color="auto" w:fill="auto"/>
          </w:tcPr>
          <w:p w:rsidR="006C7C44" w:rsidRPr="00E8065F" w:rsidRDefault="006C7C44" w:rsidP="00366A43">
            <w:pPr>
              <w:spacing w:line="235" w:lineRule="auto"/>
              <w:jc w:val="center"/>
              <w:rPr>
                <w:color w:val="000000"/>
                <w:sz w:val="20"/>
                <w:szCs w:val="20"/>
              </w:rPr>
            </w:pPr>
            <w:r w:rsidRPr="00E8065F">
              <w:rPr>
                <w:color w:val="000000"/>
                <w:sz w:val="20"/>
                <w:szCs w:val="20"/>
              </w:rPr>
              <w:t>Амбулаторное</w:t>
            </w:r>
          </w:p>
        </w:tc>
      </w:tr>
      <w:tr w:rsidR="006C7C44" w:rsidRPr="00E8065F" w:rsidTr="000546C2">
        <w:trPr>
          <w:trHeight w:val="20"/>
        </w:trPr>
        <w:tc>
          <w:tcPr>
            <w:tcW w:w="1555" w:type="dxa"/>
            <w:vMerge/>
          </w:tcPr>
          <w:p w:rsidR="006C7C44" w:rsidRPr="00E8065F" w:rsidRDefault="006C7C44" w:rsidP="006C7C44">
            <w:pPr>
              <w:rPr>
                <w:color w:val="000000"/>
                <w:sz w:val="20"/>
                <w:szCs w:val="20"/>
              </w:rPr>
            </w:pPr>
          </w:p>
        </w:tc>
        <w:tc>
          <w:tcPr>
            <w:tcW w:w="3685" w:type="dxa"/>
            <w:tcBorders>
              <w:top w:val="nil"/>
              <w:left w:val="single" w:sz="4" w:space="0" w:color="auto"/>
              <w:bottom w:val="single" w:sz="4" w:space="0" w:color="auto"/>
              <w:right w:val="single" w:sz="4" w:space="0" w:color="auto"/>
            </w:tcBorders>
            <w:shd w:val="clear" w:color="auto" w:fill="auto"/>
          </w:tcPr>
          <w:p w:rsidR="006C7C44" w:rsidRPr="00E8065F" w:rsidRDefault="006C7C44" w:rsidP="006C7C44">
            <w:pPr>
              <w:jc w:val="both"/>
              <w:rPr>
                <w:color w:val="000000"/>
                <w:sz w:val="20"/>
                <w:szCs w:val="20"/>
              </w:rPr>
            </w:pPr>
            <w:r>
              <w:rPr>
                <w:color w:val="000000"/>
                <w:sz w:val="20"/>
                <w:szCs w:val="20"/>
              </w:rPr>
              <w:t>ГАУЗ «Городская больница № 2» г.</w:t>
            </w:r>
            <w:r w:rsidRPr="00E8065F">
              <w:rPr>
                <w:color w:val="000000"/>
                <w:sz w:val="20"/>
                <w:szCs w:val="20"/>
              </w:rPr>
              <w:t>Набережные Челны</w:t>
            </w:r>
          </w:p>
        </w:tc>
        <w:tc>
          <w:tcPr>
            <w:tcW w:w="1994" w:type="dxa"/>
            <w:shd w:val="clear" w:color="auto" w:fill="auto"/>
          </w:tcPr>
          <w:p w:rsidR="006C7C44" w:rsidRDefault="008B3E41" w:rsidP="006C7C44">
            <w:pPr>
              <w:jc w:val="center"/>
            </w:pPr>
            <w:r>
              <w:rPr>
                <w:sz w:val="20"/>
                <w:szCs w:val="20"/>
              </w:rPr>
              <w:t xml:space="preserve">Аппараты </w:t>
            </w:r>
            <w:r>
              <w:rPr>
                <w:rFonts w:eastAsia="Arial"/>
                <w:sz w:val="20"/>
                <w:szCs w:val="20"/>
              </w:rPr>
              <w:t>для ультразвуковых исследований</w:t>
            </w:r>
          </w:p>
        </w:tc>
        <w:tc>
          <w:tcPr>
            <w:tcW w:w="1181" w:type="dxa"/>
            <w:shd w:val="clear" w:color="auto" w:fill="auto"/>
          </w:tcPr>
          <w:p w:rsidR="006C7C44" w:rsidRPr="00E8065F" w:rsidRDefault="006C7C44" w:rsidP="006C7C44">
            <w:pPr>
              <w:jc w:val="center"/>
              <w:rPr>
                <w:sz w:val="20"/>
                <w:szCs w:val="20"/>
              </w:rPr>
            </w:pPr>
            <w:r w:rsidRPr="00E8065F">
              <w:rPr>
                <w:sz w:val="20"/>
                <w:szCs w:val="20"/>
              </w:rPr>
              <w:t>2007</w:t>
            </w:r>
            <w:r w:rsidR="00793DC9">
              <w:rPr>
                <w:sz w:val="20"/>
                <w:szCs w:val="20"/>
              </w:rPr>
              <w:t xml:space="preserve"> </w:t>
            </w:r>
            <w:r>
              <w:rPr>
                <w:sz w:val="20"/>
                <w:szCs w:val="20"/>
              </w:rPr>
              <w:t>(1)</w:t>
            </w:r>
          </w:p>
          <w:p w:rsidR="006C7C44" w:rsidRPr="00E8065F" w:rsidRDefault="006C7C44" w:rsidP="006C7C44">
            <w:pPr>
              <w:jc w:val="center"/>
              <w:rPr>
                <w:sz w:val="20"/>
                <w:szCs w:val="20"/>
              </w:rPr>
            </w:pPr>
            <w:r w:rsidRPr="00E8065F">
              <w:rPr>
                <w:sz w:val="20"/>
                <w:szCs w:val="20"/>
              </w:rPr>
              <w:t>2010</w:t>
            </w:r>
            <w:r w:rsidR="00793DC9">
              <w:rPr>
                <w:sz w:val="20"/>
                <w:szCs w:val="20"/>
              </w:rPr>
              <w:t xml:space="preserve"> </w:t>
            </w:r>
            <w:r>
              <w:rPr>
                <w:sz w:val="20"/>
                <w:szCs w:val="20"/>
              </w:rPr>
              <w:t>(2)</w:t>
            </w:r>
          </w:p>
          <w:p w:rsidR="006C7C44" w:rsidRPr="00E8065F" w:rsidRDefault="006C7C44" w:rsidP="006C7C44">
            <w:pPr>
              <w:jc w:val="center"/>
              <w:rPr>
                <w:sz w:val="20"/>
                <w:szCs w:val="20"/>
              </w:rPr>
            </w:pPr>
            <w:r w:rsidRPr="00E8065F">
              <w:rPr>
                <w:sz w:val="20"/>
                <w:szCs w:val="20"/>
              </w:rPr>
              <w:t>2013</w:t>
            </w:r>
            <w:r w:rsidR="00793DC9">
              <w:rPr>
                <w:sz w:val="20"/>
                <w:szCs w:val="20"/>
              </w:rPr>
              <w:t xml:space="preserve"> </w:t>
            </w:r>
            <w:r>
              <w:rPr>
                <w:sz w:val="20"/>
                <w:szCs w:val="20"/>
              </w:rPr>
              <w:t>(1)</w:t>
            </w:r>
          </w:p>
          <w:p w:rsidR="006C7C44" w:rsidRPr="00E8065F" w:rsidRDefault="006C7C44" w:rsidP="006C7C44">
            <w:pPr>
              <w:jc w:val="center"/>
              <w:rPr>
                <w:sz w:val="20"/>
                <w:szCs w:val="20"/>
              </w:rPr>
            </w:pPr>
            <w:r w:rsidRPr="00E8065F">
              <w:rPr>
                <w:sz w:val="20"/>
                <w:szCs w:val="20"/>
              </w:rPr>
              <w:t>2015</w:t>
            </w:r>
            <w:r w:rsidR="00793DC9">
              <w:rPr>
                <w:sz w:val="20"/>
                <w:szCs w:val="20"/>
              </w:rPr>
              <w:t xml:space="preserve"> </w:t>
            </w:r>
            <w:r>
              <w:rPr>
                <w:sz w:val="20"/>
                <w:szCs w:val="20"/>
              </w:rPr>
              <w:t>(2)</w:t>
            </w:r>
          </w:p>
          <w:p w:rsidR="006C7C44" w:rsidRPr="00E8065F" w:rsidRDefault="006C7C44" w:rsidP="006C7C44">
            <w:pPr>
              <w:jc w:val="center"/>
              <w:rPr>
                <w:sz w:val="20"/>
                <w:szCs w:val="20"/>
              </w:rPr>
            </w:pPr>
            <w:r w:rsidRPr="00E8065F">
              <w:rPr>
                <w:sz w:val="20"/>
                <w:szCs w:val="20"/>
              </w:rPr>
              <w:t>2016</w:t>
            </w:r>
            <w:r w:rsidR="00793DC9">
              <w:rPr>
                <w:sz w:val="20"/>
                <w:szCs w:val="20"/>
              </w:rPr>
              <w:t xml:space="preserve"> </w:t>
            </w:r>
            <w:r>
              <w:rPr>
                <w:sz w:val="20"/>
                <w:szCs w:val="20"/>
              </w:rPr>
              <w:t>(2)</w:t>
            </w:r>
          </w:p>
          <w:p w:rsidR="006C7C44" w:rsidRPr="00E8065F" w:rsidRDefault="006C7C44" w:rsidP="006C7C44">
            <w:pPr>
              <w:jc w:val="center"/>
              <w:rPr>
                <w:sz w:val="20"/>
                <w:szCs w:val="20"/>
              </w:rPr>
            </w:pPr>
            <w:r w:rsidRPr="00E8065F">
              <w:rPr>
                <w:sz w:val="20"/>
                <w:szCs w:val="20"/>
              </w:rPr>
              <w:t>2017</w:t>
            </w:r>
            <w:r w:rsidR="00793DC9">
              <w:rPr>
                <w:sz w:val="20"/>
                <w:szCs w:val="20"/>
              </w:rPr>
              <w:t xml:space="preserve"> </w:t>
            </w:r>
            <w:r>
              <w:rPr>
                <w:sz w:val="20"/>
                <w:szCs w:val="20"/>
              </w:rPr>
              <w:t>(4)</w:t>
            </w:r>
          </w:p>
          <w:p w:rsidR="006C7C44" w:rsidRPr="00E8065F" w:rsidRDefault="006C7C44" w:rsidP="006C7C44">
            <w:pPr>
              <w:jc w:val="center"/>
              <w:rPr>
                <w:sz w:val="20"/>
                <w:szCs w:val="20"/>
              </w:rPr>
            </w:pPr>
            <w:r w:rsidRPr="00E8065F">
              <w:rPr>
                <w:sz w:val="20"/>
                <w:szCs w:val="20"/>
              </w:rPr>
              <w:t>2018</w:t>
            </w:r>
            <w:r w:rsidR="00793DC9">
              <w:rPr>
                <w:sz w:val="20"/>
                <w:szCs w:val="20"/>
              </w:rPr>
              <w:t xml:space="preserve"> </w:t>
            </w:r>
            <w:r>
              <w:rPr>
                <w:sz w:val="20"/>
                <w:szCs w:val="20"/>
              </w:rPr>
              <w:t>(1)</w:t>
            </w:r>
          </w:p>
        </w:tc>
        <w:tc>
          <w:tcPr>
            <w:tcW w:w="1181" w:type="dxa"/>
            <w:tcBorders>
              <w:top w:val="nil"/>
              <w:left w:val="single" w:sz="4" w:space="0" w:color="auto"/>
              <w:bottom w:val="single" w:sz="4" w:space="0" w:color="auto"/>
              <w:right w:val="single" w:sz="4" w:space="0" w:color="auto"/>
            </w:tcBorders>
            <w:shd w:val="clear" w:color="auto" w:fill="auto"/>
          </w:tcPr>
          <w:p w:rsidR="006C7C44" w:rsidRPr="00D13911" w:rsidRDefault="006C7C44" w:rsidP="006C7C44">
            <w:pPr>
              <w:jc w:val="center"/>
              <w:rPr>
                <w:color w:val="000000"/>
                <w:sz w:val="20"/>
                <w:szCs w:val="20"/>
              </w:rPr>
            </w:pPr>
            <w:r w:rsidRPr="00D13911">
              <w:rPr>
                <w:color w:val="000000"/>
                <w:sz w:val="20"/>
                <w:szCs w:val="20"/>
              </w:rPr>
              <w:t>13</w:t>
            </w:r>
          </w:p>
        </w:tc>
        <w:tc>
          <w:tcPr>
            <w:tcW w:w="1478" w:type="dxa"/>
            <w:tcBorders>
              <w:top w:val="nil"/>
              <w:left w:val="single" w:sz="4" w:space="0" w:color="auto"/>
              <w:bottom w:val="single" w:sz="4" w:space="0" w:color="auto"/>
              <w:right w:val="single" w:sz="4" w:space="0" w:color="auto"/>
            </w:tcBorders>
            <w:shd w:val="clear" w:color="auto" w:fill="auto"/>
          </w:tcPr>
          <w:p w:rsidR="006C7C44" w:rsidRPr="00E8065F" w:rsidRDefault="006C7C44" w:rsidP="006C7C44">
            <w:pPr>
              <w:jc w:val="center"/>
              <w:rPr>
                <w:color w:val="000000"/>
                <w:sz w:val="20"/>
                <w:szCs w:val="20"/>
              </w:rPr>
            </w:pPr>
            <w:r w:rsidRPr="00E8065F">
              <w:rPr>
                <w:color w:val="000000"/>
                <w:sz w:val="20"/>
                <w:szCs w:val="20"/>
              </w:rPr>
              <w:t>177,1</w:t>
            </w:r>
          </w:p>
        </w:tc>
        <w:tc>
          <w:tcPr>
            <w:tcW w:w="1111" w:type="dxa"/>
            <w:tcBorders>
              <w:top w:val="nil"/>
              <w:left w:val="nil"/>
              <w:bottom w:val="single" w:sz="4" w:space="0" w:color="auto"/>
              <w:right w:val="single" w:sz="4" w:space="0" w:color="auto"/>
            </w:tcBorders>
            <w:shd w:val="clear" w:color="auto" w:fill="auto"/>
          </w:tcPr>
          <w:p w:rsidR="006C7C44" w:rsidRPr="00E8065F" w:rsidRDefault="006C7C44" w:rsidP="006C7C44">
            <w:pPr>
              <w:jc w:val="center"/>
              <w:rPr>
                <w:color w:val="000000"/>
                <w:sz w:val="20"/>
                <w:szCs w:val="20"/>
              </w:rPr>
            </w:pPr>
            <w:r w:rsidRPr="00E8065F">
              <w:rPr>
                <w:color w:val="000000"/>
                <w:sz w:val="20"/>
                <w:szCs w:val="20"/>
              </w:rPr>
              <w:t>1</w:t>
            </w:r>
          </w:p>
        </w:tc>
        <w:tc>
          <w:tcPr>
            <w:tcW w:w="1944" w:type="dxa"/>
            <w:tcBorders>
              <w:top w:val="nil"/>
              <w:left w:val="single" w:sz="4" w:space="0" w:color="auto"/>
              <w:bottom w:val="single" w:sz="4" w:space="0" w:color="auto"/>
              <w:right w:val="single" w:sz="4" w:space="0" w:color="auto"/>
            </w:tcBorders>
            <w:shd w:val="clear" w:color="auto" w:fill="auto"/>
          </w:tcPr>
          <w:p w:rsidR="006C7C44" w:rsidRPr="00E8065F" w:rsidRDefault="006C7C44" w:rsidP="006C7C44">
            <w:pPr>
              <w:jc w:val="center"/>
              <w:rPr>
                <w:color w:val="000000"/>
                <w:sz w:val="20"/>
                <w:szCs w:val="20"/>
              </w:rPr>
            </w:pPr>
            <w:r w:rsidRPr="00E8065F">
              <w:rPr>
                <w:color w:val="000000"/>
                <w:sz w:val="20"/>
                <w:szCs w:val="20"/>
              </w:rPr>
              <w:t>Амбулаторное/стационарное</w:t>
            </w:r>
          </w:p>
        </w:tc>
      </w:tr>
      <w:tr w:rsidR="006C7C44" w:rsidRPr="00E8065F" w:rsidTr="000546C2">
        <w:trPr>
          <w:trHeight w:val="20"/>
        </w:trPr>
        <w:tc>
          <w:tcPr>
            <w:tcW w:w="1555" w:type="dxa"/>
            <w:vMerge/>
          </w:tcPr>
          <w:p w:rsidR="006C7C44" w:rsidRPr="00E8065F" w:rsidRDefault="006C7C44" w:rsidP="006C7C44">
            <w:pPr>
              <w:rPr>
                <w:color w:val="000000"/>
                <w:sz w:val="20"/>
                <w:szCs w:val="20"/>
              </w:rPr>
            </w:pPr>
          </w:p>
        </w:tc>
        <w:tc>
          <w:tcPr>
            <w:tcW w:w="3685" w:type="dxa"/>
            <w:tcBorders>
              <w:top w:val="nil"/>
              <w:left w:val="single" w:sz="4" w:space="0" w:color="auto"/>
              <w:bottom w:val="single" w:sz="4" w:space="0" w:color="auto"/>
              <w:right w:val="single" w:sz="4" w:space="0" w:color="auto"/>
            </w:tcBorders>
            <w:shd w:val="clear" w:color="auto" w:fill="auto"/>
          </w:tcPr>
          <w:p w:rsidR="006C7C44" w:rsidRPr="00E8065F" w:rsidRDefault="006C7C44" w:rsidP="006C7C44">
            <w:pPr>
              <w:jc w:val="both"/>
              <w:rPr>
                <w:color w:val="000000"/>
                <w:sz w:val="20"/>
                <w:szCs w:val="20"/>
              </w:rPr>
            </w:pPr>
            <w:r>
              <w:rPr>
                <w:color w:val="000000"/>
                <w:sz w:val="20"/>
                <w:szCs w:val="20"/>
              </w:rPr>
              <w:t>ГАУЗ «Городская больница № 5» г.</w:t>
            </w:r>
            <w:r w:rsidRPr="00E8065F">
              <w:rPr>
                <w:color w:val="000000"/>
                <w:sz w:val="20"/>
                <w:szCs w:val="20"/>
              </w:rPr>
              <w:t>Набережные Челны</w:t>
            </w:r>
          </w:p>
        </w:tc>
        <w:tc>
          <w:tcPr>
            <w:tcW w:w="1994" w:type="dxa"/>
            <w:shd w:val="clear" w:color="auto" w:fill="auto"/>
          </w:tcPr>
          <w:p w:rsidR="006C7C44" w:rsidRDefault="008B3E41" w:rsidP="006C7C44">
            <w:pPr>
              <w:jc w:val="center"/>
            </w:pPr>
            <w:r>
              <w:rPr>
                <w:sz w:val="20"/>
                <w:szCs w:val="20"/>
              </w:rPr>
              <w:t xml:space="preserve">Аппараты </w:t>
            </w:r>
            <w:r>
              <w:rPr>
                <w:rFonts w:eastAsia="Arial"/>
                <w:sz w:val="20"/>
                <w:szCs w:val="20"/>
              </w:rPr>
              <w:t>для ультразвуковых исследований</w:t>
            </w:r>
          </w:p>
        </w:tc>
        <w:tc>
          <w:tcPr>
            <w:tcW w:w="1181" w:type="dxa"/>
            <w:shd w:val="clear" w:color="auto" w:fill="auto"/>
          </w:tcPr>
          <w:p w:rsidR="006C7C44" w:rsidRPr="00E8065F" w:rsidRDefault="006C7C44" w:rsidP="006C7C44">
            <w:pPr>
              <w:jc w:val="center"/>
              <w:rPr>
                <w:sz w:val="20"/>
                <w:szCs w:val="20"/>
              </w:rPr>
            </w:pPr>
            <w:r w:rsidRPr="00E8065F">
              <w:rPr>
                <w:sz w:val="20"/>
                <w:szCs w:val="20"/>
              </w:rPr>
              <w:t>2009</w:t>
            </w:r>
            <w:r w:rsidR="00793DC9">
              <w:rPr>
                <w:sz w:val="20"/>
                <w:szCs w:val="20"/>
              </w:rPr>
              <w:t xml:space="preserve"> </w:t>
            </w:r>
            <w:r>
              <w:rPr>
                <w:sz w:val="20"/>
                <w:szCs w:val="20"/>
              </w:rPr>
              <w:t>(1)</w:t>
            </w:r>
          </w:p>
          <w:p w:rsidR="006C7C44" w:rsidRPr="00E8065F" w:rsidRDefault="006C7C44" w:rsidP="006C7C44">
            <w:pPr>
              <w:jc w:val="center"/>
              <w:rPr>
                <w:sz w:val="20"/>
                <w:szCs w:val="20"/>
              </w:rPr>
            </w:pPr>
            <w:r w:rsidRPr="00E8065F">
              <w:rPr>
                <w:sz w:val="20"/>
                <w:szCs w:val="20"/>
              </w:rPr>
              <w:t>2011</w:t>
            </w:r>
            <w:r w:rsidR="00793DC9">
              <w:rPr>
                <w:sz w:val="20"/>
                <w:szCs w:val="20"/>
              </w:rPr>
              <w:t xml:space="preserve"> </w:t>
            </w:r>
            <w:r>
              <w:rPr>
                <w:sz w:val="20"/>
                <w:szCs w:val="20"/>
              </w:rPr>
              <w:t>(2)</w:t>
            </w:r>
          </w:p>
          <w:p w:rsidR="006C7C44" w:rsidRPr="00E8065F" w:rsidRDefault="006C7C44" w:rsidP="006C7C44">
            <w:pPr>
              <w:jc w:val="center"/>
              <w:rPr>
                <w:sz w:val="20"/>
                <w:szCs w:val="20"/>
              </w:rPr>
            </w:pPr>
            <w:r w:rsidRPr="00E8065F">
              <w:rPr>
                <w:sz w:val="20"/>
                <w:szCs w:val="20"/>
              </w:rPr>
              <w:t>2012</w:t>
            </w:r>
            <w:r w:rsidR="00793DC9">
              <w:rPr>
                <w:sz w:val="20"/>
                <w:szCs w:val="20"/>
              </w:rPr>
              <w:t xml:space="preserve"> </w:t>
            </w:r>
            <w:r>
              <w:rPr>
                <w:sz w:val="20"/>
                <w:szCs w:val="20"/>
              </w:rPr>
              <w:t>(1)</w:t>
            </w:r>
          </w:p>
          <w:p w:rsidR="006C7C44" w:rsidRPr="00E8065F" w:rsidRDefault="006C7C44" w:rsidP="006C7C44">
            <w:pPr>
              <w:jc w:val="center"/>
              <w:rPr>
                <w:sz w:val="20"/>
                <w:szCs w:val="20"/>
              </w:rPr>
            </w:pPr>
            <w:r w:rsidRPr="00E8065F">
              <w:rPr>
                <w:sz w:val="20"/>
                <w:szCs w:val="20"/>
              </w:rPr>
              <w:t>2014</w:t>
            </w:r>
            <w:r w:rsidR="00793DC9">
              <w:rPr>
                <w:sz w:val="20"/>
                <w:szCs w:val="20"/>
              </w:rPr>
              <w:t xml:space="preserve"> </w:t>
            </w:r>
            <w:r>
              <w:rPr>
                <w:sz w:val="20"/>
                <w:szCs w:val="20"/>
              </w:rPr>
              <w:t>(1)</w:t>
            </w:r>
          </w:p>
          <w:p w:rsidR="006C7C44" w:rsidRPr="00E8065F" w:rsidRDefault="006C7C44" w:rsidP="006C7C44">
            <w:pPr>
              <w:jc w:val="center"/>
              <w:rPr>
                <w:sz w:val="20"/>
                <w:szCs w:val="20"/>
              </w:rPr>
            </w:pPr>
            <w:r w:rsidRPr="00E8065F">
              <w:rPr>
                <w:sz w:val="20"/>
                <w:szCs w:val="20"/>
              </w:rPr>
              <w:t>2015</w:t>
            </w:r>
            <w:r w:rsidR="00793DC9">
              <w:rPr>
                <w:sz w:val="20"/>
                <w:szCs w:val="20"/>
              </w:rPr>
              <w:t xml:space="preserve"> </w:t>
            </w:r>
            <w:r>
              <w:rPr>
                <w:sz w:val="20"/>
                <w:szCs w:val="20"/>
              </w:rPr>
              <w:t>(1)</w:t>
            </w:r>
          </w:p>
          <w:p w:rsidR="006C7C44" w:rsidRPr="00E8065F" w:rsidRDefault="006C7C44" w:rsidP="006C7C44">
            <w:pPr>
              <w:jc w:val="center"/>
              <w:rPr>
                <w:sz w:val="20"/>
                <w:szCs w:val="20"/>
              </w:rPr>
            </w:pPr>
            <w:r w:rsidRPr="00E8065F">
              <w:rPr>
                <w:sz w:val="20"/>
                <w:szCs w:val="20"/>
              </w:rPr>
              <w:t>2016</w:t>
            </w:r>
            <w:r w:rsidR="00793DC9">
              <w:rPr>
                <w:sz w:val="20"/>
                <w:szCs w:val="20"/>
              </w:rPr>
              <w:t xml:space="preserve"> </w:t>
            </w:r>
            <w:r>
              <w:rPr>
                <w:sz w:val="20"/>
                <w:szCs w:val="20"/>
              </w:rPr>
              <w:t>(1)</w:t>
            </w:r>
          </w:p>
          <w:p w:rsidR="006C7C44" w:rsidRPr="00E8065F" w:rsidRDefault="006C7C44" w:rsidP="006C7C44">
            <w:pPr>
              <w:jc w:val="center"/>
              <w:rPr>
                <w:sz w:val="20"/>
                <w:szCs w:val="20"/>
              </w:rPr>
            </w:pPr>
            <w:r w:rsidRPr="00E8065F">
              <w:rPr>
                <w:sz w:val="20"/>
                <w:szCs w:val="20"/>
              </w:rPr>
              <w:t>2018</w:t>
            </w:r>
            <w:r w:rsidR="00793DC9">
              <w:rPr>
                <w:sz w:val="20"/>
                <w:szCs w:val="20"/>
              </w:rPr>
              <w:t xml:space="preserve"> </w:t>
            </w:r>
            <w:r>
              <w:rPr>
                <w:sz w:val="20"/>
                <w:szCs w:val="20"/>
              </w:rPr>
              <w:t>(1)</w:t>
            </w:r>
          </w:p>
          <w:p w:rsidR="006C7C44" w:rsidRPr="00E8065F" w:rsidRDefault="006C7C44" w:rsidP="006C7C44">
            <w:pPr>
              <w:jc w:val="center"/>
              <w:rPr>
                <w:sz w:val="20"/>
                <w:szCs w:val="20"/>
              </w:rPr>
            </w:pPr>
            <w:r w:rsidRPr="00E8065F">
              <w:rPr>
                <w:sz w:val="20"/>
                <w:szCs w:val="20"/>
              </w:rPr>
              <w:t>2019</w:t>
            </w:r>
            <w:r w:rsidR="00793DC9">
              <w:rPr>
                <w:sz w:val="20"/>
                <w:szCs w:val="20"/>
              </w:rPr>
              <w:t xml:space="preserve"> </w:t>
            </w:r>
            <w:r>
              <w:rPr>
                <w:sz w:val="20"/>
                <w:szCs w:val="20"/>
              </w:rPr>
              <w:t>(1)</w:t>
            </w:r>
          </w:p>
          <w:p w:rsidR="006C7C44" w:rsidRPr="00E8065F" w:rsidRDefault="006C7C44" w:rsidP="006C7C44">
            <w:pPr>
              <w:jc w:val="center"/>
              <w:rPr>
                <w:sz w:val="20"/>
                <w:szCs w:val="20"/>
              </w:rPr>
            </w:pPr>
            <w:r w:rsidRPr="00E8065F">
              <w:rPr>
                <w:sz w:val="20"/>
                <w:szCs w:val="20"/>
              </w:rPr>
              <w:t>2020</w:t>
            </w:r>
            <w:r w:rsidR="00793DC9">
              <w:rPr>
                <w:sz w:val="20"/>
                <w:szCs w:val="20"/>
              </w:rPr>
              <w:t xml:space="preserve"> </w:t>
            </w:r>
            <w:r>
              <w:rPr>
                <w:sz w:val="20"/>
                <w:szCs w:val="20"/>
              </w:rPr>
              <w:t>(1)</w:t>
            </w:r>
          </w:p>
          <w:p w:rsidR="006C7C44" w:rsidRPr="00E8065F" w:rsidRDefault="006C7C44" w:rsidP="006C7C44">
            <w:pPr>
              <w:jc w:val="center"/>
              <w:rPr>
                <w:sz w:val="20"/>
                <w:szCs w:val="20"/>
              </w:rPr>
            </w:pPr>
            <w:r w:rsidRPr="00E8065F">
              <w:rPr>
                <w:sz w:val="20"/>
                <w:szCs w:val="20"/>
              </w:rPr>
              <w:t>2023</w:t>
            </w:r>
            <w:r w:rsidR="00793DC9">
              <w:rPr>
                <w:sz w:val="20"/>
                <w:szCs w:val="20"/>
              </w:rPr>
              <w:t xml:space="preserve"> </w:t>
            </w:r>
            <w:r>
              <w:rPr>
                <w:sz w:val="20"/>
                <w:szCs w:val="20"/>
              </w:rPr>
              <w:t>(1)</w:t>
            </w:r>
          </w:p>
          <w:p w:rsidR="006C7C44" w:rsidRPr="00E8065F" w:rsidRDefault="006C7C44" w:rsidP="006C7C44">
            <w:pPr>
              <w:jc w:val="center"/>
              <w:rPr>
                <w:sz w:val="20"/>
                <w:szCs w:val="20"/>
              </w:rPr>
            </w:pPr>
            <w:r w:rsidRPr="00E8065F">
              <w:rPr>
                <w:sz w:val="20"/>
                <w:szCs w:val="20"/>
              </w:rPr>
              <w:t>2024</w:t>
            </w:r>
            <w:r w:rsidR="00793DC9">
              <w:rPr>
                <w:sz w:val="20"/>
                <w:szCs w:val="20"/>
              </w:rPr>
              <w:t xml:space="preserve"> </w:t>
            </w:r>
            <w:r>
              <w:rPr>
                <w:sz w:val="20"/>
                <w:szCs w:val="20"/>
              </w:rPr>
              <w:t>(1)</w:t>
            </w:r>
          </w:p>
        </w:tc>
        <w:tc>
          <w:tcPr>
            <w:tcW w:w="1181" w:type="dxa"/>
            <w:tcBorders>
              <w:top w:val="nil"/>
              <w:left w:val="single" w:sz="4" w:space="0" w:color="auto"/>
              <w:bottom w:val="single" w:sz="4" w:space="0" w:color="auto"/>
              <w:right w:val="single" w:sz="4" w:space="0" w:color="auto"/>
            </w:tcBorders>
            <w:shd w:val="clear" w:color="auto" w:fill="auto"/>
          </w:tcPr>
          <w:p w:rsidR="006C7C44" w:rsidRPr="00D13911" w:rsidRDefault="006C7C44" w:rsidP="006C7C44">
            <w:pPr>
              <w:jc w:val="center"/>
              <w:rPr>
                <w:color w:val="000000"/>
                <w:sz w:val="20"/>
                <w:szCs w:val="20"/>
              </w:rPr>
            </w:pPr>
            <w:r w:rsidRPr="00D13911">
              <w:rPr>
                <w:color w:val="000000"/>
                <w:sz w:val="20"/>
                <w:szCs w:val="20"/>
              </w:rPr>
              <w:t>12</w:t>
            </w:r>
          </w:p>
        </w:tc>
        <w:tc>
          <w:tcPr>
            <w:tcW w:w="1478" w:type="dxa"/>
            <w:tcBorders>
              <w:top w:val="nil"/>
              <w:left w:val="single" w:sz="4" w:space="0" w:color="auto"/>
              <w:bottom w:val="single" w:sz="4" w:space="0" w:color="auto"/>
              <w:right w:val="single" w:sz="4" w:space="0" w:color="auto"/>
            </w:tcBorders>
            <w:shd w:val="clear" w:color="auto" w:fill="auto"/>
          </w:tcPr>
          <w:p w:rsidR="006C7C44" w:rsidRPr="00E8065F" w:rsidRDefault="006C7C44" w:rsidP="006C7C44">
            <w:pPr>
              <w:jc w:val="center"/>
              <w:rPr>
                <w:color w:val="000000"/>
                <w:sz w:val="20"/>
                <w:szCs w:val="20"/>
              </w:rPr>
            </w:pPr>
            <w:r w:rsidRPr="00E8065F">
              <w:rPr>
                <w:color w:val="000000"/>
                <w:sz w:val="20"/>
                <w:szCs w:val="20"/>
              </w:rPr>
              <w:t>398,7</w:t>
            </w:r>
          </w:p>
        </w:tc>
        <w:tc>
          <w:tcPr>
            <w:tcW w:w="1111" w:type="dxa"/>
            <w:tcBorders>
              <w:top w:val="nil"/>
              <w:left w:val="nil"/>
              <w:bottom w:val="single" w:sz="4" w:space="0" w:color="auto"/>
              <w:right w:val="single" w:sz="4" w:space="0" w:color="auto"/>
            </w:tcBorders>
            <w:shd w:val="clear" w:color="auto" w:fill="auto"/>
          </w:tcPr>
          <w:p w:rsidR="006C7C44" w:rsidRPr="00E8065F" w:rsidRDefault="006C7C44" w:rsidP="006C7C44">
            <w:pPr>
              <w:jc w:val="center"/>
              <w:rPr>
                <w:color w:val="000000"/>
                <w:sz w:val="20"/>
                <w:szCs w:val="20"/>
              </w:rPr>
            </w:pPr>
            <w:r w:rsidRPr="00E8065F">
              <w:rPr>
                <w:color w:val="000000"/>
                <w:sz w:val="20"/>
                <w:szCs w:val="20"/>
              </w:rPr>
              <w:t>1</w:t>
            </w:r>
          </w:p>
        </w:tc>
        <w:tc>
          <w:tcPr>
            <w:tcW w:w="1944" w:type="dxa"/>
            <w:tcBorders>
              <w:top w:val="nil"/>
              <w:left w:val="single" w:sz="4" w:space="0" w:color="auto"/>
              <w:bottom w:val="single" w:sz="4" w:space="0" w:color="auto"/>
              <w:right w:val="single" w:sz="4" w:space="0" w:color="auto"/>
            </w:tcBorders>
            <w:shd w:val="clear" w:color="auto" w:fill="auto"/>
          </w:tcPr>
          <w:p w:rsidR="006C7C44" w:rsidRPr="00E8065F" w:rsidRDefault="006C7C44" w:rsidP="006C7C44">
            <w:pPr>
              <w:jc w:val="center"/>
              <w:rPr>
                <w:color w:val="000000"/>
                <w:sz w:val="20"/>
                <w:szCs w:val="20"/>
              </w:rPr>
            </w:pPr>
            <w:r w:rsidRPr="00E8065F">
              <w:rPr>
                <w:color w:val="000000"/>
                <w:sz w:val="20"/>
                <w:szCs w:val="20"/>
              </w:rPr>
              <w:t>Амбулаторное/стационарное</w:t>
            </w:r>
          </w:p>
        </w:tc>
      </w:tr>
      <w:tr w:rsidR="006C7C44" w:rsidRPr="00E8065F" w:rsidTr="000546C2">
        <w:trPr>
          <w:trHeight w:val="20"/>
        </w:trPr>
        <w:tc>
          <w:tcPr>
            <w:tcW w:w="1555" w:type="dxa"/>
            <w:vMerge/>
          </w:tcPr>
          <w:p w:rsidR="006C7C44" w:rsidRPr="00E8065F" w:rsidRDefault="006C7C44" w:rsidP="006C7C44">
            <w:pPr>
              <w:rPr>
                <w:color w:val="000000"/>
                <w:sz w:val="20"/>
                <w:szCs w:val="20"/>
              </w:rPr>
            </w:pPr>
          </w:p>
        </w:tc>
        <w:tc>
          <w:tcPr>
            <w:tcW w:w="3685" w:type="dxa"/>
            <w:tcBorders>
              <w:top w:val="nil"/>
              <w:left w:val="single" w:sz="4" w:space="0" w:color="auto"/>
              <w:bottom w:val="single" w:sz="4" w:space="0" w:color="auto"/>
              <w:right w:val="single" w:sz="4" w:space="0" w:color="auto"/>
            </w:tcBorders>
            <w:shd w:val="clear" w:color="auto" w:fill="auto"/>
          </w:tcPr>
          <w:p w:rsidR="006C7C44" w:rsidRPr="00E8065F" w:rsidRDefault="006C7C44" w:rsidP="006C7C44">
            <w:pPr>
              <w:jc w:val="both"/>
              <w:rPr>
                <w:color w:val="000000"/>
                <w:sz w:val="20"/>
                <w:szCs w:val="20"/>
              </w:rPr>
            </w:pPr>
            <w:r w:rsidRPr="00E8065F">
              <w:rPr>
                <w:color w:val="000000"/>
                <w:sz w:val="20"/>
                <w:szCs w:val="20"/>
              </w:rPr>
              <w:t xml:space="preserve">ГАУЗ </w:t>
            </w:r>
            <w:r>
              <w:rPr>
                <w:color w:val="000000"/>
                <w:sz w:val="20"/>
                <w:szCs w:val="20"/>
              </w:rPr>
              <w:t>«</w:t>
            </w:r>
            <w:r w:rsidRPr="00E8065F">
              <w:rPr>
                <w:color w:val="000000"/>
                <w:sz w:val="20"/>
                <w:szCs w:val="20"/>
              </w:rPr>
              <w:t>Городская поликлиника №</w:t>
            </w:r>
            <w:r>
              <w:rPr>
                <w:color w:val="000000"/>
                <w:sz w:val="20"/>
                <w:szCs w:val="20"/>
              </w:rPr>
              <w:t xml:space="preserve"> </w:t>
            </w:r>
            <w:r w:rsidRPr="00E8065F">
              <w:rPr>
                <w:color w:val="000000"/>
                <w:sz w:val="20"/>
                <w:szCs w:val="20"/>
              </w:rPr>
              <w:t>3</w:t>
            </w:r>
            <w:r>
              <w:rPr>
                <w:color w:val="000000"/>
                <w:sz w:val="20"/>
                <w:szCs w:val="20"/>
              </w:rPr>
              <w:t>»</w:t>
            </w:r>
            <w:r w:rsidRPr="00E8065F">
              <w:rPr>
                <w:color w:val="000000"/>
                <w:sz w:val="20"/>
                <w:szCs w:val="20"/>
              </w:rPr>
              <w:t xml:space="preserve"> </w:t>
            </w:r>
            <w:r>
              <w:rPr>
                <w:color w:val="000000"/>
                <w:sz w:val="20"/>
                <w:szCs w:val="20"/>
              </w:rPr>
              <w:t>г.</w:t>
            </w:r>
            <w:r w:rsidRPr="00E8065F">
              <w:rPr>
                <w:color w:val="000000"/>
                <w:sz w:val="20"/>
                <w:szCs w:val="20"/>
              </w:rPr>
              <w:t>Набережные Челны</w:t>
            </w:r>
          </w:p>
        </w:tc>
        <w:tc>
          <w:tcPr>
            <w:tcW w:w="1994" w:type="dxa"/>
            <w:shd w:val="clear" w:color="auto" w:fill="auto"/>
          </w:tcPr>
          <w:p w:rsidR="006C7C44" w:rsidRDefault="008B3E41" w:rsidP="006C7C44">
            <w:pPr>
              <w:jc w:val="center"/>
            </w:pPr>
            <w:r>
              <w:rPr>
                <w:sz w:val="20"/>
                <w:szCs w:val="20"/>
              </w:rPr>
              <w:t xml:space="preserve">Аппараты </w:t>
            </w:r>
            <w:r>
              <w:rPr>
                <w:rFonts w:eastAsia="Arial"/>
                <w:sz w:val="20"/>
                <w:szCs w:val="20"/>
              </w:rPr>
              <w:t>для ультразвуковых исследований</w:t>
            </w:r>
          </w:p>
        </w:tc>
        <w:tc>
          <w:tcPr>
            <w:tcW w:w="1181" w:type="dxa"/>
            <w:shd w:val="clear" w:color="auto" w:fill="auto"/>
          </w:tcPr>
          <w:p w:rsidR="006C7C44" w:rsidRPr="00E8065F" w:rsidRDefault="006C7C44" w:rsidP="006C7C44">
            <w:pPr>
              <w:jc w:val="center"/>
              <w:rPr>
                <w:sz w:val="20"/>
                <w:szCs w:val="20"/>
              </w:rPr>
            </w:pPr>
            <w:r w:rsidRPr="00E8065F">
              <w:rPr>
                <w:sz w:val="20"/>
                <w:szCs w:val="20"/>
              </w:rPr>
              <w:t>2012</w:t>
            </w:r>
            <w:r w:rsidR="00793DC9">
              <w:rPr>
                <w:sz w:val="20"/>
                <w:szCs w:val="20"/>
              </w:rPr>
              <w:t xml:space="preserve"> </w:t>
            </w:r>
            <w:r>
              <w:rPr>
                <w:sz w:val="20"/>
                <w:szCs w:val="20"/>
              </w:rPr>
              <w:t>(1)</w:t>
            </w:r>
          </w:p>
          <w:p w:rsidR="006C7C44" w:rsidRPr="00E8065F" w:rsidRDefault="006C7C44" w:rsidP="006C7C44">
            <w:pPr>
              <w:jc w:val="center"/>
              <w:rPr>
                <w:sz w:val="20"/>
                <w:szCs w:val="20"/>
              </w:rPr>
            </w:pPr>
            <w:r w:rsidRPr="00E8065F">
              <w:rPr>
                <w:sz w:val="20"/>
                <w:szCs w:val="20"/>
              </w:rPr>
              <w:t>2018</w:t>
            </w:r>
            <w:r w:rsidR="00793DC9">
              <w:rPr>
                <w:sz w:val="20"/>
                <w:szCs w:val="20"/>
              </w:rPr>
              <w:t xml:space="preserve"> </w:t>
            </w:r>
            <w:r>
              <w:rPr>
                <w:sz w:val="20"/>
                <w:szCs w:val="20"/>
              </w:rPr>
              <w:t>(1)</w:t>
            </w:r>
          </w:p>
          <w:p w:rsidR="006C7C44" w:rsidRPr="00E8065F" w:rsidRDefault="006C7C44" w:rsidP="006C7C44">
            <w:pPr>
              <w:jc w:val="center"/>
              <w:rPr>
                <w:sz w:val="20"/>
                <w:szCs w:val="20"/>
              </w:rPr>
            </w:pPr>
            <w:r w:rsidRPr="00E8065F">
              <w:rPr>
                <w:sz w:val="20"/>
                <w:szCs w:val="20"/>
              </w:rPr>
              <w:t>2023</w:t>
            </w:r>
            <w:r w:rsidR="00793DC9">
              <w:rPr>
                <w:sz w:val="20"/>
                <w:szCs w:val="20"/>
              </w:rPr>
              <w:t xml:space="preserve"> </w:t>
            </w:r>
            <w:r>
              <w:rPr>
                <w:sz w:val="20"/>
                <w:szCs w:val="20"/>
              </w:rPr>
              <w:t>(1)</w:t>
            </w:r>
          </w:p>
        </w:tc>
        <w:tc>
          <w:tcPr>
            <w:tcW w:w="1181" w:type="dxa"/>
            <w:tcBorders>
              <w:top w:val="nil"/>
              <w:left w:val="single" w:sz="4" w:space="0" w:color="auto"/>
              <w:bottom w:val="single" w:sz="4" w:space="0" w:color="auto"/>
              <w:right w:val="single" w:sz="4" w:space="0" w:color="auto"/>
            </w:tcBorders>
            <w:shd w:val="clear" w:color="auto" w:fill="auto"/>
          </w:tcPr>
          <w:p w:rsidR="006C7C44" w:rsidRPr="00271D0A" w:rsidRDefault="006C7C44" w:rsidP="006C7C44">
            <w:pPr>
              <w:jc w:val="center"/>
              <w:rPr>
                <w:color w:val="000000"/>
                <w:sz w:val="20"/>
                <w:szCs w:val="20"/>
              </w:rPr>
            </w:pPr>
            <w:r w:rsidRPr="00271D0A">
              <w:rPr>
                <w:color w:val="000000"/>
                <w:sz w:val="20"/>
                <w:szCs w:val="20"/>
              </w:rPr>
              <w:t>3</w:t>
            </w:r>
          </w:p>
        </w:tc>
        <w:tc>
          <w:tcPr>
            <w:tcW w:w="1478" w:type="dxa"/>
            <w:tcBorders>
              <w:top w:val="nil"/>
              <w:left w:val="single" w:sz="4" w:space="0" w:color="auto"/>
              <w:bottom w:val="single" w:sz="4" w:space="0" w:color="auto"/>
              <w:right w:val="single" w:sz="4" w:space="0" w:color="auto"/>
            </w:tcBorders>
            <w:shd w:val="clear" w:color="auto" w:fill="auto"/>
          </w:tcPr>
          <w:p w:rsidR="006C7C44" w:rsidRPr="00E8065F" w:rsidRDefault="006C7C44" w:rsidP="006C7C44">
            <w:pPr>
              <w:jc w:val="center"/>
              <w:rPr>
                <w:color w:val="000000"/>
                <w:sz w:val="20"/>
                <w:szCs w:val="20"/>
              </w:rPr>
            </w:pPr>
            <w:r w:rsidRPr="00E8065F">
              <w:rPr>
                <w:color w:val="000000"/>
                <w:sz w:val="20"/>
                <w:szCs w:val="20"/>
              </w:rPr>
              <w:t>57,6</w:t>
            </w:r>
          </w:p>
        </w:tc>
        <w:tc>
          <w:tcPr>
            <w:tcW w:w="1111" w:type="dxa"/>
            <w:tcBorders>
              <w:top w:val="nil"/>
              <w:left w:val="nil"/>
              <w:bottom w:val="single" w:sz="4" w:space="0" w:color="auto"/>
              <w:right w:val="single" w:sz="4" w:space="0" w:color="auto"/>
            </w:tcBorders>
            <w:shd w:val="clear" w:color="auto" w:fill="auto"/>
          </w:tcPr>
          <w:p w:rsidR="006C7C44" w:rsidRPr="00E8065F" w:rsidRDefault="006C7C44" w:rsidP="006C7C44">
            <w:pPr>
              <w:jc w:val="center"/>
              <w:rPr>
                <w:color w:val="000000"/>
                <w:sz w:val="20"/>
                <w:szCs w:val="20"/>
              </w:rPr>
            </w:pPr>
            <w:r w:rsidRPr="00E8065F">
              <w:rPr>
                <w:color w:val="000000"/>
                <w:sz w:val="20"/>
                <w:szCs w:val="20"/>
              </w:rPr>
              <w:t>1</w:t>
            </w:r>
          </w:p>
        </w:tc>
        <w:tc>
          <w:tcPr>
            <w:tcW w:w="1944" w:type="dxa"/>
            <w:tcBorders>
              <w:top w:val="nil"/>
              <w:left w:val="single" w:sz="4" w:space="0" w:color="auto"/>
              <w:bottom w:val="single" w:sz="4" w:space="0" w:color="auto"/>
              <w:right w:val="single" w:sz="4" w:space="0" w:color="auto"/>
            </w:tcBorders>
            <w:shd w:val="clear" w:color="auto" w:fill="auto"/>
          </w:tcPr>
          <w:p w:rsidR="006C7C44" w:rsidRPr="00E8065F" w:rsidRDefault="006C7C44" w:rsidP="006C7C44">
            <w:pPr>
              <w:jc w:val="center"/>
              <w:rPr>
                <w:color w:val="000000"/>
                <w:sz w:val="20"/>
                <w:szCs w:val="20"/>
              </w:rPr>
            </w:pPr>
            <w:r w:rsidRPr="00E8065F">
              <w:rPr>
                <w:color w:val="000000"/>
                <w:sz w:val="20"/>
                <w:szCs w:val="20"/>
              </w:rPr>
              <w:t>Амбулаторное</w:t>
            </w:r>
          </w:p>
        </w:tc>
      </w:tr>
      <w:tr w:rsidR="006C7C44" w:rsidRPr="00E8065F" w:rsidTr="000546C2">
        <w:trPr>
          <w:trHeight w:val="20"/>
        </w:trPr>
        <w:tc>
          <w:tcPr>
            <w:tcW w:w="1555" w:type="dxa"/>
            <w:vMerge/>
          </w:tcPr>
          <w:p w:rsidR="006C7C44" w:rsidRPr="00E8065F" w:rsidRDefault="006C7C44" w:rsidP="006C7C44">
            <w:pPr>
              <w:rPr>
                <w:color w:val="000000"/>
                <w:sz w:val="20"/>
                <w:szCs w:val="20"/>
              </w:rPr>
            </w:pPr>
          </w:p>
        </w:tc>
        <w:tc>
          <w:tcPr>
            <w:tcW w:w="3685" w:type="dxa"/>
            <w:tcBorders>
              <w:top w:val="nil"/>
              <w:left w:val="single" w:sz="4" w:space="0" w:color="auto"/>
              <w:bottom w:val="single" w:sz="4" w:space="0" w:color="auto"/>
              <w:right w:val="single" w:sz="4" w:space="0" w:color="auto"/>
            </w:tcBorders>
            <w:shd w:val="clear" w:color="auto" w:fill="auto"/>
          </w:tcPr>
          <w:p w:rsidR="006C7C44" w:rsidRPr="00E8065F" w:rsidRDefault="006C7C44" w:rsidP="006C7C44">
            <w:pPr>
              <w:jc w:val="both"/>
              <w:rPr>
                <w:color w:val="000000"/>
                <w:sz w:val="20"/>
                <w:szCs w:val="20"/>
              </w:rPr>
            </w:pPr>
            <w:r w:rsidRPr="00E8065F">
              <w:rPr>
                <w:color w:val="000000"/>
                <w:sz w:val="20"/>
                <w:szCs w:val="20"/>
              </w:rPr>
              <w:t xml:space="preserve">ГАУЗ </w:t>
            </w:r>
            <w:r>
              <w:rPr>
                <w:color w:val="000000"/>
                <w:sz w:val="20"/>
                <w:szCs w:val="20"/>
              </w:rPr>
              <w:t>«</w:t>
            </w:r>
            <w:r w:rsidRPr="00E8065F">
              <w:rPr>
                <w:color w:val="000000"/>
                <w:sz w:val="20"/>
                <w:szCs w:val="20"/>
              </w:rPr>
              <w:t>Городская поликлиника №</w:t>
            </w:r>
            <w:r>
              <w:rPr>
                <w:color w:val="000000"/>
                <w:sz w:val="20"/>
                <w:szCs w:val="20"/>
              </w:rPr>
              <w:t xml:space="preserve"> </w:t>
            </w:r>
            <w:r w:rsidRPr="00E8065F">
              <w:rPr>
                <w:color w:val="000000"/>
                <w:sz w:val="20"/>
                <w:szCs w:val="20"/>
              </w:rPr>
              <w:t>4 им.Л.Н.Ганиевой</w:t>
            </w:r>
            <w:r>
              <w:rPr>
                <w:color w:val="000000"/>
                <w:sz w:val="20"/>
                <w:szCs w:val="20"/>
              </w:rPr>
              <w:t>»</w:t>
            </w:r>
            <w:r w:rsidRPr="00E8065F">
              <w:rPr>
                <w:color w:val="000000"/>
                <w:sz w:val="20"/>
                <w:szCs w:val="20"/>
              </w:rPr>
              <w:t xml:space="preserve"> г.Набережные Челны</w:t>
            </w:r>
          </w:p>
        </w:tc>
        <w:tc>
          <w:tcPr>
            <w:tcW w:w="1994" w:type="dxa"/>
            <w:shd w:val="clear" w:color="auto" w:fill="auto"/>
          </w:tcPr>
          <w:p w:rsidR="006C7C44" w:rsidRDefault="008B3E41" w:rsidP="006C7C44">
            <w:pPr>
              <w:jc w:val="center"/>
            </w:pPr>
            <w:r>
              <w:rPr>
                <w:sz w:val="20"/>
                <w:szCs w:val="20"/>
              </w:rPr>
              <w:t xml:space="preserve">Аппараты </w:t>
            </w:r>
            <w:r>
              <w:rPr>
                <w:rFonts w:eastAsia="Arial"/>
                <w:sz w:val="20"/>
                <w:szCs w:val="20"/>
              </w:rPr>
              <w:t>для ультразвуковых исследований</w:t>
            </w:r>
          </w:p>
        </w:tc>
        <w:tc>
          <w:tcPr>
            <w:tcW w:w="1181" w:type="dxa"/>
            <w:shd w:val="clear" w:color="auto" w:fill="auto"/>
          </w:tcPr>
          <w:p w:rsidR="006C7C44" w:rsidRPr="00E8065F" w:rsidRDefault="006C7C44" w:rsidP="006C7C44">
            <w:pPr>
              <w:jc w:val="center"/>
              <w:rPr>
                <w:sz w:val="20"/>
                <w:szCs w:val="20"/>
              </w:rPr>
            </w:pPr>
            <w:r w:rsidRPr="00E8065F">
              <w:rPr>
                <w:sz w:val="20"/>
                <w:szCs w:val="20"/>
              </w:rPr>
              <w:t>2007</w:t>
            </w:r>
            <w:r w:rsidR="00793DC9">
              <w:rPr>
                <w:sz w:val="20"/>
                <w:szCs w:val="20"/>
              </w:rPr>
              <w:t xml:space="preserve"> </w:t>
            </w:r>
            <w:r>
              <w:rPr>
                <w:sz w:val="20"/>
                <w:szCs w:val="20"/>
              </w:rPr>
              <w:t>(1)</w:t>
            </w:r>
          </w:p>
          <w:p w:rsidR="006C7C44" w:rsidRPr="00E8065F" w:rsidRDefault="006C7C44" w:rsidP="006C7C44">
            <w:pPr>
              <w:jc w:val="center"/>
              <w:rPr>
                <w:sz w:val="20"/>
                <w:szCs w:val="20"/>
              </w:rPr>
            </w:pPr>
            <w:r w:rsidRPr="00E8065F">
              <w:rPr>
                <w:sz w:val="20"/>
                <w:szCs w:val="20"/>
              </w:rPr>
              <w:t>2012</w:t>
            </w:r>
            <w:r w:rsidR="00793DC9">
              <w:rPr>
                <w:sz w:val="20"/>
                <w:szCs w:val="20"/>
              </w:rPr>
              <w:t xml:space="preserve"> </w:t>
            </w:r>
            <w:r>
              <w:rPr>
                <w:sz w:val="20"/>
                <w:szCs w:val="20"/>
              </w:rPr>
              <w:t>(1)</w:t>
            </w:r>
          </w:p>
          <w:p w:rsidR="006C7C44" w:rsidRPr="00E8065F" w:rsidRDefault="006C7C44" w:rsidP="006C7C44">
            <w:pPr>
              <w:jc w:val="center"/>
              <w:rPr>
                <w:sz w:val="20"/>
                <w:szCs w:val="20"/>
              </w:rPr>
            </w:pPr>
            <w:r w:rsidRPr="00E8065F">
              <w:rPr>
                <w:sz w:val="20"/>
                <w:szCs w:val="20"/>
              </w:rPr>
              <w:t>2014</w:t>
            </w:r>
            <w:r w:rsidR="00793DC9">
              <w:rPr>
                <w:sz w:val="20"/>
                <w:szCs w:val="20"/>
              </w:rPr>
              <w:t xml:space="preserve"> </w:t>
            </w:r>
            <w:r>
              <w:rPr>
                <w:sz w:val="20"/>
                <w:szCs w:val="20"/>
              </w:rPr>
              <w:t>(1)</w:t>
            </w:r>
          </w:p>
          <w:p w:rsidR="006C7C44" w:rsidRPr="00E8065F" w:rsidRDefault="006C7C44" w:rsidP="006C7C44">
            <w:pPr>
              <w:jc w:val="center"/>
              <w:rPr>
                <w:sz w:val="20"/>
                <w:szCs w:val="20"/>
              </w:rPr>
            </w:pPr>
            <w:r w:rsidRPr="00E8065F">
              <w:rPr>
                <w:sz w:val="20"/>
                <w:szCs w:val="20"/>
              </w:rPr>
              <w:t>2017</w:t>
            </w:r>
            <w:r w:rsidR="00793DC9">
              <w:rPr>
                <w:sz w:val="20"/>
                <w:szCs w:val="20"/>
              </w:rPr>
              <w:t xml:space="preserve"> </w:t>
            </w:r>
            <w:r>
              <w:rPr>
                <w:sz w:val="20"/>
                <w:szCs w:val="20"/>
              </w:rPr>
              <w:t>(1)</w:t>
            </w:r>
          </w:p>
          <w:p w:rsidR="006C7C44" w:rsidRPr="00E8065F" w:rsidRDefault="006C7C44" w:rsidP="006C7C44">
            <w:pPr>
              <w:jc w:val="center"/>
              <w:rPr>
                <w:sz w:val="20"/>
                <w:szCs w:val="20"/>
              </w:rPr>
            </w:pPr>
            <w:r w:rsidRPr="00E8065F">
              <w:rPr>
                <w:sz w:val="20"/>
                <w:szCs w:val="20"/>
              </w:rPr>
              <w:t>2022</w:t>
            </w:r>
            <w:r w:rsidR="00793DC9">
              <w:rPr>
                <w:sz w:val="20"/>
                <w:szCs w:val="20"/>
              </w:rPr>
              <w:t xml:space="preserve"> </w:t>
            </w:r>
            <w:r>
              <w:rPr>
                <w:sz w:val="20"/>
                <w:szCs w:val="20"/>
              </w:rPr>
              <w:t>(1)</w:t>
            </w:r>
          </w:p>
          <w:p w:rsidR="006C7C44" w:rsidRPr="00E8065F" w:rsidRDefault="006C7C44" w:rsidP="006C7C44">
            <w:pPr>
              <w:jc w:val="center"/>
              <w:rPr>
                <w:sz w:val="20"/>
                <w:szCs w:val="20"/>
              </w:rPr>
            </w:pPr>
            <w:r w:rsidRPr="00E8065F">
              <w:rPr>
                <w:sz w:val="20"/>
                <w:szCs w:val="20"/>
              </w:rPr>
              <w:t>2024</w:t>
            </w:r>
            <w:r w:rsidR="00793DC9">
              <w:rPr>
                <w:sz w:val="20"/>
                <w:szCs w:val="20"/>
              </w:rPr>
              <w:t xml:space="preserve"> </w:t>
            </w:r>
            <w:r>
              <w:rPr>
                <w:sz w:val="20"/>
                <w:szCs w:val="20"/>
              </w:rPr>
              <w:t>(1)</w:t>
            </w:r>
          </w:p>
        </w:tc>
        <w:tc>
          <w:tcPr>
            <w:tcW w:w="1181" w:type="dxa"/>
            <w:tcBorders>
              <w:top w:val="nil"/>
              <w:left w:val="single" w:sz="4" w:space="0" w:color="auto"/>
              <w:bottom w:val="single" w:sz="4" w:space="0" w:color="auto"/>
              <w:right w:val="single" w:sz="4" w:space="0" w:color="auto"/>
            </w:tcBorders>
            <w:shd w:val="clear" w:color="auto" w:fill="auto"/>
          </w:tcPr>
          <w:p w:rsidR="006C7C44" w:rsidRPr="00271D0A" w:rsidRDefault="006C7C44" w:rsidP="006C7C44">
            <w:pPr>
              <w:jc w:val="center"/>
              <w:rPr>
                <w:color w:val="000000"/>
                <w:sz w:val="20"/>
                <w:szCs w:val="20"/>
              </w:rPr>
            </w:pPr>
            <w:r w:rsidRPr="00271D0A">
              <w:rPr>
                <w:color w:val="000000"/>
                <w:sz w:val="20"/>
                <w:szCs w:val="20"/>
              </w:rPr>
              <w:t>6</w:t>
            </w:r>
          </w:p>
        </w:tc>
        <w:tc>
          <w:tcPr>
            <w:tcW w:w="1478" w:type="dxa"/>
            <w:tcBorders>
              <w:top w:val="nil"/>
              <w:left w:val="single" w:sz="4" w:space="0" w:color="auto"/>
              <w:bottom w:val="single" w:sz="4" w:space="0" w:color="auto"/>
              <w:right w:val="single" w:sz="4" w:space="0" w:color="auto"/>
            </w:tcBorders>
            <w:shd w:val="clear" w:color="auto" w:fill="auto"/>
          </w:tcPr>
          <w:p w:rsidR="006C7C44" w:rsidRPr="00E8065F" w:rsidRDefault="006C7C44" w:rsidP="006C7C44">
            <w:pPr>
              <w:jc w:val="center"/>
              <w:rPr>
                <w:color w:val="000000"/>
                <w:sz w:val="20"/>
                <w:szCs w:val="20"/>
              </w:rPr>
            </w:pPr>
            <w:r w:rsidRPr="00E8065F">
              <w:rPr>
                <w:color w:val="000000"/>
                <w:sz w:val="20"/>
                <w:szCs w:val="20"/>
              </w:rPr>
              <w:t>76,6</w:t>
            </w:r>
          </w:p>
        </w:tc>
        <w:tc>
          <w:tcPr>
            <w:tcW w:w="1111" w:type="dxa"/>
            <w:tcBorders>
              <w:top w:val="nil"/>
              <w:left w:val="nil"/>
              <w:bottom w:val="single" w:sz="4" w:space="0" w:color="auto"/>
              <w:right w:val="single" w:sz="4" w:space="0" w:color="auto"/>
            </w:tcBorders>
            <w:shd w:val="clear" w:color="auto" w:fill="auto"/>
          </w:tcPr>
          <w:p w:rsidR="006C7C44" w:rsidRPr="00E8065F" w:rsidRDefault="006C7C44" w:rsidP="006C7C44">
            <w:pPr>
              <w:jc w:val="center"/>
              <w:rPr>
                <w:color w:val="000000"/>
                <w:sz w:val="20"/>
                <w:szCs w:val="20"/>
              </w:rPr>
            </w:pPr>
            <w:r w:rsidRPr="00E8065F">
              <w:rPr>
                <w:color w:val="000000"/>
                <w:sz w:val="20"/>
                <w:szCs w:val="20"/>
              </w:rPr>
              <w:t>1</w:t>
            </w:r>
          </w:p>
        </w:tc>
        <w:tc>
          <w:tcPr>
            <w:tcW w:w="1944" w:type="dxa"/>
            <w:tcBorders>
              <w:top w:val="nil"/>
              <w:left w:val="single" w:sz="4" w:space="0" w:color="auto"/>
              <w:bottom w:val="single" w:sz="4" w:space="0" w:color="auto"/>
              <w:right w:val="single" w:sz="4" w:space="0" w:color="auto"/>
            </w:tcBorders>
            <w:shd w:val="clear" w:color="auto" w:fill="auto"/>
          </w:tcPr>
          <w:p w:rsidR="006C7C44" w:rsidRPr="00E8065F" w:rsidRDefault="006C7C44" w:rsidP="006C7C44">
            <w:pPr>
              <w:jc w:val="center"/>
              <w:rPr>
                <w:color w:val="000000"/>
                <w:sz w:val="20"/>
                <w:szCs w:val="20"/>
              </w:rPr>
            </w:pPr>
            <w:r w:rsidRPr="00E8065F">
              <w:rPr>
                <w:color w:val="000000"/>
                <w:sz w:val="20"/>
                <w:szCs w:val="20"/>
              </w:rPr>
              <w:t>Амбулаторное</w:t>
            </w:r>
          </w:p>
        </w:tc>
      </w:tr>
      <w:tr w:rsidR="006C7C44" w:rsidRPr="00E8065F" w:rsidTr="000546C2">
        <w:trPr>
          <w:trHeight w:val="20"/>
        </w:trPr>
        <w:tc>
          <w:tcPr>
            <w:tcW w:w="1555" w:type="dxa"/>
            <w:vMerge/>
          </w:tcPr>
          <w:p w:rsidR="006C7C44" w:rsidRPr="00E8065F" w:rsidRDefault="006C7C44" w:rsidP="006C7C44">
            <w:pPr>
              <w:rPr>
                <w:color w:val="000000"/>
                <w:sz w:val="20"/>
                <w:szCs w:val="20"/>
              </w:rPr>
            </w:pPr>
          </w:p>
        </w:tc>
        <w:tc>
          <w:tcPr>
            <w:tcW w:w="3685" w:type="dxa"/>
            <w:tcBorders>
              <w:top w:val="nil"/>
              <w:left w:val="single" w:sz="4" w:space="0" w:color="auto"/>
              <w:bottom w:val="single" w:sz="4" w:space="0" w:color="auto"/>
              <w:right w:val="single" w:sz="4" w:space="0" w:color="auto"/>
            </w:tcBorders>
            <w:shd w:val="clear" w:color="auto" w:fill="auto"/>
          </w:tcPr>
          <w:p w:rsidR="006C7C44" w:rsidRPr="00E8065F" w:rsidRDefault="006C7C44" w:rsidP="006C7C44">
            <w:pPr>
              <w:jc w:val="both"/>
              <w:rPr>
                <w:color w:val="000000"/>
                <w:sz w:val="20"/>
                <w:szCs w:val="20"/>
              </w:rPr>
            </w:pPr>
            <w:r w:rsidRPr="00E8065F">
              <w:rPr>
                <w:color w:val="000000"/>
                <w:sz w:val="20"/>
                <w:szCs w:val="20"/>
              </w:rPr>
              <w:t>ГАУ</w:t>
            </w:r>
            <w:r>
              <w:rPr>
                <w:color w:val="000000"/>
                <w:sz w:val="20"/>
                <w:szCs w:val="20"/>
              </w:rPr>
              <w:t>З «Городская поликлиника № 6» г.</w:t>
            </w:r>
            <w:r w:rsidRPr="00E8065F">
              <w:rPr>
                <w:color w:val="000000"/>
                <w:sz w:val="20"/>
                <w:szCs w:val="20"/>
              </w:rPr>
              <w:t>Набережные Челны</w:t>
            </w:r>
          </w:p>
        </w:tc>
        <w:tc>
          <w:tcPr>
            <w:tcW w:w="1994" w:type="dxa"/>
            <w:shd w:val="clear" w:color="auto" w:fill="auto"/>
          </w:tcPr>
          <w:p w:rsidR="006C7C44" w:rsidRDefault="008B3E41" w:rsidP="006C7C44">
            <w:pPr>
              <w:jc w:val="center"/>
            </w:pPr>
            <w:r>
              <w:rPr>
                <w:sz w:val="20"/>
                <w:szCs w:val="20"/>
              </w:rPr>
              <w:t xml:space="preserve">Аппараты </w:t>
            </w:r>
            <w:r>
              <w:rPr>
                <w:rFonts w:eastAsia="Arial"/>
                <w:sz w:val="20"/>
                <w:szCs w:val="20"/>
              </w:rPr>
              <w:t>для ультразвуковых исследований</w:t>
            </w:r>
          </w:p>
        </w:tc>
        <w:tc>
          <w:tcPr>
            <w:tcW w:w="1181" w:type="dxa"/>
            <w:shd w:val="clear" w:color="auto" w:fill="auto"/>
          </w:tcPr>
          <w:p w:rsidR="006C7C44" w:rsidRPr="00E8065F" w:rsidRDefault="006C7C44" w:rsidP="006C7C44">
            <w:pPr>
              <w:jc w:val="center"/>
              <w:rPr>
                <w:sz w:val="20"/>
                <w:szCs w:val="20"/>
              </w:rPr>
            </w:pPr>
            <w:r w:rsidRPr="00E8065F">
              <w:rPr>
                <w:sz w:val="20"/>
                <w:szCs w:val="20"/>
              </w:rPr>
              <w:t>2007</w:t>
            </w:r>
            <w:r w:rsidR="00793DC9">
              <w:rPr>
                <w:sz w:val="20"/>
                <w:szCs w:val="20"/>
              </w:rPr>
              <w:t xml:space="preserve"> </w:t>
            </w:r>
            <w:r>
              <w:rPr>
                <w:sz w:val="20"/>
                <w:szCs w:val="20"/>
              </w:rPr>
              <w:t>(1)</w:t>
            </w:r>
          </w:p>
          <w:p w:rsidR="006C7C44" w:rsidRPr="00E8065F" w:rsidRDefault="006C7C44" w:rsidP="006C7C44">
            <w:pPr>
              <w:jc w:val="center"/>
              <w:rPr>
                <w:sz w:val="20"/>
                <w:szCs w:val="20"/>
              </w:rPr>
            </w:pPr>
            <w:r>
              <w:rPr>
                <w:sz w:val="20"/>
                <w:szCs w:val="20"/>
              </w:rPr>
              <w:t>2</w:t>
            </w:r>
            <w:r w:rsidRPr="00E8065F">
              <w:rPr>
                <w:sz w:val="20"/>
                <w:szCs w:val="20"/>
              </w:rPr>
              <w:t>012</w:t>
            </w:r>
            <w:r w:rsidR="00793DC9">
              <w:rPr>
                <w:sz w:val="20"/>
                <w:szCs w:val="20"/>
              </w:rPr>
              <w:t xml:space="preserve"> </w:t>
            </w:r>
            <w:r>
              <w:rPr>
                <w:sz w:val="20"/>
                <w:szCs w:val="20"/>
              </w:rPr>
              <w:t>(1)</w:t>
            </w:r>
          </w:p>
          <w:p w:rsidR="006C7C44" w:rsidRPr="00E8065F" w:rsidRDefault="006C7C44" w:rsidP="006C7C44">
            <w:pPr>
              <w:jc w:val="center"/>
              <w:rPr>
                <w:sz w:val="20"/>
                <w:szCs w:val="20"/>
              </w:rPr>
            </w:pPr>
            <w:r w:rsidRPr="00E8065F">
              <w:rPr>
                <w:sz w:val="20"/>
                <w:szCs w:val="20"/>
              </w:rPr>
              <w:t>2016</w:t>
            </w:r>
            <w:r w:rsidR="00793DC9">
              <w:rPr>
                <w:sz w:val="20"/>
                <w:szCs w:val="20"/>
              </w:rPr>
              <w:t xml:space="preserve"> </w:t>
            </w:r>
            <w:r>
              <w:rPr>
                <w:sz w:val="20"/>
                <w:szCs w:val="20"/>
              </w:rPr>
              <w:t>(1)</w:t>
            </w:r>
          </w:p>
          <w:p w:rsidR="006C7C44" w:rsidRPr="00E8065F" w:rsidRDefault="006C7C44" w:rsidP="006C7C44">
            <w:pPr>
              <w:jc w:val="center"/>
              <w:rPr>
                <w:sz w:val="20"/>
                <w:szCs w:val="20"/>
              </w:rPr>
            </w:pPr>
            <w:r w:rsidRPr="00E8065F">
              <w:rPr>
                <w:sz w:val="20"/>
                <w:szCs w:val="20"/>
              </w:rPr>
              <w:t>2023</w:t>
            </w:r>
            <w:r w:rsidR="00793DC9">
              <w:rPr>
                <w:sz w:val="20"/>
                <w:szCs w:val="20"/>
              </w:rPr>
              <w:t xml:space="preserve"> </w:t>
            </w:r>
            <w:r>
              <w:rPr>
                <w:sz w:val="20"/>
                <w:szCs w:val="20"/>
              </w:rPr>
              <w:t>(1)</w:t>
            </w:r>
          </w:p>
        </w:tc>
        <w:tc>
          <w:tcPr>
            <w:tcW w:w="1181" w:type="dxa"/>
            <w:tcBorders>
              <w:top w:val="nil"/>
              <w:left w:val="single" w:sz="4" w:space="0" w:color="auto"/>
              <w:bottom w:val="single" w:sz="4" w:space="0" w:color="auto"/>
              <w:right w:val="single" w:sz="4" w:space="0" w:color="auto"/>
            </w:tcBorders>
            <w:shd w:val="clear" w:color="auto" w:fill="auto"/>
          </w:tcPr>
          <w:p w:rsidR="006C7C44" w:rsidRPr="00271D0A" w:rsidRDefault="006C7C44" w:rsidP="006C7C44">
            <w:pPr>
              <w:jc w:val="center"/>
              <w:rPr>
                <w:color w:val="000000"/>
                <w:sz w:val="20"/>
                <w:szCs w:val="20"/>
              </w:rPr>
            </w:pPr>
            <w:r w:rsidRPr="00271D0A">
              <w:rPr>
                <w:color w:val="000000"/>
                <w:sz w:val="20"/>
                <w:szCs w:val="20"/>
              </w:rPr>
              <w:t>4</w:t>
            </w:r>
          </w:p>
        </w:tc>
        <w:tc>
          <w:tcPr>
            <w:tcW w:w="1478" w:type="dxa"/>
            <w:tcBorders>
              <w:top w:val="nil"/>
              <w:left w:val="single" w:sz="4" w:space="0" w:color="auto"/>
              <w:bottom w:val="single" w:sz="4" w:space="0" w:color="auto"/>
              <w:right w:val="single" w:sz="4" w:space="0" w:color="auto"/>
            </w:tcBorders>
            <w:shd w:val="clear" w:color="auto" w:fill="auto"/>
          </w:tcPr>
          <w:p w:rsidR="006C7C44" w:rsidRPr="00E8065F" w:rsidRDefault="006C7C44" w:rsidP="006C7C44">
            <w:pPr>
              <w:jc w:val="center"/>
              <w:rPr>
                <w:color w:val="000000"/>
                <w:sz w:val="20"/>
                <w:szCs w:val="20"/>
              </w:rPr>
            </w:pPr>
            <w:r w:rsidRPr="00E8065F">
              <w:rPr>
                <w:color w:val="000000"/>
                <w:sz w:val="20"/>
                <w:szCs w:val="20"/>
              </w:rPr>
              <w:t>161,7</w:t>
            </w:r>
          </w:p>
        </w:tc>
        <w:tc>
          <w:tcPr>
            <w:tcW w:w="1111" w:type="dxa"/>
            <w:tcBorders>
              <w:top w:val="nil"/>
              <w:left w:val="nil"/>
              <w:bottom w:val="single" w:sz="4" w:space="0" w:color="auto"/>
              <w:right w:val="single" w:sz="4" w:space="0" w:color="auto"/>
            </w:tcBorders>
            <w:shd w:val="clear" w:color="auto" w:fill="auto"/>
          </w:tcPr>
          <w:p w:rsidR="006C7C44" w:rsidRPr="00E8065F" w:rsidRDefault="006C7C44" w:rsidP="006C7C44">
            <w:pPr>
              <w:jc w:val="center"/>
              <w:rPr>
                <w:color w:val="000000"/>
                <w:sz w:val="20"/>
                <w:szCs w:val="20"/>
              </w:rPr>
            </w:pPr>
            <w:r w:rsidRPr="00E8065F">
              <w:rPr>
                <w:color w:val="000000"/>
                <w:sz w:val="20"/>
                <w:szCs w:val="20"/>
              </w:rPr>
              <w:t>1</w:t>
            </w:r>
          </w:p>
        </w:tc>
        <w:tc>
          <w:tcPr>
            <w:tcW w:w="1944" w:type="dxa"/>
            <w:tcBorders>
              <w:top w:val="nil"/>
              <w:left w:val="single" w:sz="4" w:space="0" w:color="auto"/>
              <w:bottom w:val="single" w:sz="4" w:space="0" w:color="auto"/>
              <w:right w:val="single" w:sz="4" w:space="0" w:color="auto"/>
            </w:tcBorders>
            <w:shd w:val="clear" w:color="auto" w:fill="auto"/>
          </w:tcPr>
          <w:p w:rsidR="006C7C44" w:rsidRPr="00E8065F" w:rsidRDefault="006C7C44" w:rsidP="006C7C44">
            <w:pPr>
              <w:jc w:val="center"/>
              <w:rPr>
                <w:color w:val="000000"/>
                <w:sz w:val="20"/>
                <w:szCs w:val="20"/>
              </w:rPr>
            </w:pPr>
            <w:r w:rsidRPr="00E8065F">
              <w:rPr>
                <w:color w:val="000000"/>
                <w:sz w:val="20"/>
                <w:szCs w:val="20"/>
              </w:rPr>
              <w:t>Амбулаторное</w:t>
            </w:r>
          </w:p>
        </w:tc>
      </w:tr>
      <w:tr w:rsidR="006C7C44" w:rsidRPr="00E8065F" w:rsidTr="000546C2">
        <w:trPr>
          <w:trHeight w:val="20"/>
        </w:trPr>
        <w:tc>
          <w:tcPr>
            <w:tcW w:w="1555" w:type="dxa"/>
            <w:vMerge/>
          </w:tcPr>
          <w:p w:rsidR="006C7C44" w:rsidRPr="00E8065F" w:rsidRDefault="006C7C44" w:rsidP="006C7C44">
            <w:pPr>
              <w:rPr>
                <w:color w:val="000000"/>
                <w:sz w:val="20"/>
                <w:szCs w:val="20"/>
              </w:rPr>
            </w:pPr>
          </w:p>
        </w:tc>
        <w:tc>
          <w:tcPr>
            <w:tcW w:w="3685" w:type="dxa"/>
            <w:tcBorders>
              <w:top w:val="nil"/>
              <w:left w:val="single" w:sz="4" w:space="0" w:color="auto"/>
              <w:bottom w:val="single" w:sz="4" w:space="0" w:color="auto"/>
              <w:right w:val="single" w:sz="4" w:space="0" w:color="auto"/>
            </w:tcBorders>
            <w:shd w:val="clear" w:color="auto" w:fill="auto"/>
          </w:tcPr>
          <w:p w:rsidR="006C7C44" w:rsidRPr="00E8065F" w:rsidRDefault="006C7C44" w:rsidP="006C7C44">
            <w:pPr>
              <w:jc w:val="both"/>
              <w:rPr>
                <w:color w:val="000000"/>
                <w:sz w:val="20"/>
                <w:szCs w:val="20"/>
              </w:rPr>
            </w:pPr>
            <w:r w:rsidRPr="00E8065F">
              <w:rPr>
                <w:color w:val="000000"/>
                <w:sz w:val="20"/>
                <w:szCs w:val="20"/>
              </w:rPr>
              <w:t>ГАУ</w:t>
            </w:r>
            <w:r>
              <w:rPr>
                <w:color w:val="000000"/>
                <w:sz w:val="20"/>
                <w:szCs w:val="20"/>
              </w:rPr>
              <w:t>З «Городская поликлиника № 7» г.</w:t>
            </w:r>
            <w:r w:rsidRPr="00E8065F">
              <w:rPr>
                <w:color w:val="000000"/>
                <w:sz w:val="20"/>
                <w:szCs w:val="20"/>
              </w:rPr>
              <w:t>Набережные Челны</w:t>
            </w:r>
          </w:p>
        </w:tc>
        <w:tc>
          <w:tcPr>
            <w:tcW w:w="1994" w:type="dxa"/>
            <w:tcBorders>
              <w:bottom w:val="single" w:sz="4" w:space="0" w:color="auto"/>
            </w:tcBorders>
            <w:shd w:val="clear" w:color="auto" w:fill="auto"/>
          </w:tcPr>
          <w:p w:rsidR="006C7C44" w:rsidRDefault="008B3E41" w:rsidP="006C7C44">
            <w:pPr>
              <w:jc w:val="center"/>
            </w:pPr>
            <w:r>
              <w:rPr>
                <w:sz w:val="20"/>
                <w:szCs w:val="20"/>
              </w:rPr>
              <w:t xml:space="preserve">Аппараты </w:t>
            </w:r>
            <w:r>
              <w:rPr>
                <w:rFonts w:eastAsia="Arial"/>
                <w:sz w:val="20"/>
                <w:szCs w:val="20"/>
              </w:rPr>
              <w:t>для ультразвуковых исследований</w:t>
            </w:r>
          </w:p>
        </w:tc>
        <w:tc>
          <w:tcPr>
            <w:tcW w:w="1181" w:type="dxa"/>
            <w:tcBorders>
              <w:bottom w:val="single" w:sz="4" w:space="0" w:color="auto"/>
            </w:tcBorders>
            <w:shd w:val="clear" w:color="auto" w:fill="auto"/>
          </w:tcPr>
          <w:p w:rsidR="006C7C44" w:rsidRPr="00E8065F" w:rsidRDefault="006C7C44" w:rsidP="006C7C44">
            <w:pPr>
              <w:jc w:val="center"/>
              <w:rPr>
                <w:sz w:val="20"/>
                <w:szCs w:val="20"/>
              </w:rPr>
            </w:pPr>
            <w:r w:rsidRPr="00E8065F">
              <w:rPr>
                <w:sz w:val="20"/>
                <w:szCs w:val="20"/>
              </w:rPr>
              <w:t>2018</w:t>
            </w:r>
            <w:r w:rsidR="00793DC9">
              <w:rPr>
                <w:sz w:val="20"/>
                <w:szCs w:val="20"/>
              </w:rPr>
              <w:t xml:space="preserve"> </w:t>
            </w:r>
            <w:r>
              <w:rPr>
                <w:sz w:val="20"/>
                <w:szCs w:val="20"/>
              </w:rPr>
              <w:t>(1)</w:t>
            </w:r>
          </w:p>
          <w:p w:rsidR="006C7C44" w:rsidRPr="00E8065F" w:rsidRDefault="006C7C44" w:rsidP="006C7C44">
            <w:pPr>
              <w:jc w:val="center"/>
              <w:rPr>
                <w:sz w:val="20"/>
                <w:szCs w:val="20"/>
              </w:rPr>
            </w:pPr>
            <w:r w:rsidRPr="00E8065F">
              <w:rPr>
                <w:sz w:val="20"/>
                <w:szCs w:val="20"/>
              </w:rPr>
              <w:t>2022</w:t>
            </w:r>
            <w:r w:rsidR="00793DC9">
              <w:rPr>
                <w:sz w:val="20"/>
                <w:szCs w:val="20"/>
              </w:rPr>
              <w:t xml:space="preserve"> </w:t>
            </w:r>
            <w:r>
              <w:rPr>
                <w:sz w:val="20"/>
                <w:szCs w:val="20"/>
              </w:rPr>
              <w:t>(2)</w:t>
            </w:r>
          </w:p>
          <w:p w:rsidR="006C7C44" w:rsidRPr="00E8065F" w:rsidRDefault="00793DC9" w:rsidP="006C7C44">
            <w:pPr>
              <w:jc w:val="center"/>
              <w:rPr>
                <w:sz w:val="20"/>
                <w:szCs w:val="20"/>
              </w:rPr>
            </w:pPr>
            <w:r>
              <w:rPr>
                <w:sz w:val="20"/>
                <w:szCs w:val="20"/>
              </w:rPr>
              <w:t xml:space="preserve"> </w:t>
            </w:r>
          </w:p>
        </w:tc>
        <w:tc>
          <w:tcPr>
            <w:tcW w:w="1181" w:type="dxa"/>
            <w:tcBorders>
              <w:top w:val="nil"/>
              <w:left w:val="single" w:sz="4" w:space="0" w:color="auto"/>
              <w:bottom w:val="single" w:sz="4" w:space="0" w:color="auto"/>
              <w:right w:val="single" w:sz="4" w:space="0" w:color="auto"/>
            </w:tcBorders>
            <w:shd w:val="clear" w:color="auto" w:fill="auto"/>
          </w:tcPr>
          <w:p w:rsidR="006C7C44" w:rsidRPr="00271D0A" w:rsidRDefault="006C7C44" w:rsidP="006C7C44">
            <w:pPr>
              <w:jc w:val="center"/>
              <w:rPr>
                <w:color w:val="000000"/>
                <w:sz w:val="20"/>
                <w:szCs w:val="20"/>
              </w:rPr>
            </w:pPr>
            <w:r w:rsidRPr="00271D0A">
              <w:rPr>
                <w:color w:val="000000"/>
                <w:sz w:val="20"/>
                <w:szCs w:val="20"/>
              </w:rPr>
              <w:t>3</w:t>
            </w:r>
          </w:p>
        </w:tc>
        <w:tc>
          <w:tcPr>
            <w:tcW w:w="1478" w:type="dxa"/>
            <w:tcBorders>
              <w:top w:val="nil"/>
              <w:left w:val="single" w:sz="4" w:space="0" w:color="auto"/>
              <w:bottom w:val="single" w:sz="4" w:space="0" w:color="auto"/>
              <w:right w:val="single" w:sz="4" w:space="0" w:color="auto"/>
            </w:tcBorders>
            <w:shd w:val="clear" w:color="auto" w:fill="auto"/>
          </w:tcPr>
          <w:p w:rsidR="006C7C44" w:rsidRPr="00E8065F" w:rsidRDefault="006C7C44" w:rsidP="006C7C44">
            <w:pPr>
              <w:jc w:val="center"/>
              <w:rPr>
                <w:color w:val="000000"/>
                <w:sz w:val="20"/>
                <w:szCs w:val="20"/>
              </w:rPr>
            </w:pPr>
            <w:r w:rsidRPr="00E8065F">
              <w:rPr>
                <w:color w:val="000000"/>
                <w:sz w:val="20"/>
                <w:szCs w:val="20"/>
              </w:rPr>
              <w:t>101,2</w:t>
            </w:r>
          </w:p>
        </w:tc>
        <w:tc>
          <w:tcPr>
            <w:tcW w:w="1111" w:type="dxa"/>
            <w:tcBorders>
              <w:top w:val="nil"/>
              <w:left w:val="nil"/>
              <w:bottom w:val="single" w:sz="4" w:space="0" w:color="auto"/>
              <w:right w:val="single" w:sz="4" w:space="0" w:color="auto"/>
            </w:tcBorders>
            <w:shd w:val="clear" w:color="auto" w:fill="auto"/>
          </w:tcPr>
          <w:p w:rsidR="006C7C44" w:rsidRPr="00E8065F" w:rsidRDefault="006C7C44" w:rsidP="006C7C44">
            <w:pPr>
              <w:jc w:val="center"/>
              <w:rPr>
                <w:color w:val="000000"/>
                <w:sz w:val="20"/>
                <w:szCs w:val="20"/>
              </w:rPr>
            </w:pPr>
            <w:r w:rsidRPr="00E8065F">
              <w:rPr>
                <w:color w:val="000000"/>
                <w:sz w:val="20"/>
                <w:szCs w:val="20"/>
              </w:rPr>
              <w:t>1</w:t>
            </w:r>
          </w:p>
        </w:tc>
        <w:tc>
          <w:tcPr>
            <w:tcW w:w="1944" w:type="dxa"/>
            <w:tcBorders>
              <w:top w:val="nil"/>
              <w:left w:val="single" w:sz="4" w:space="0" w:color="auto"/>
              <w:bottom w:val="single" w:sz="4" w:space="0" w:color="auto"/>
              <w:right w:val="single" w:sz="4" w:space="0" w:color="auto"/>
            </w:tcBorders>
            <w:shd w:val="clear" w:color="auto" w:fill="auto"/>
          </w:tcPr>
          <w:p w:rsidR="006C7C44" w:rsidRPr="00E8065F" w:rsidRDefault="006C7C44" w:rsidP="006C7C44">
            <w:pPr>
              <w:jc w:val="center"/>
              <w:rPr>
                <w:color w:val="000000"/>
                <w:sz w:val="20"/>
                <w:szCs w:val="20"/>
              </w:rPr>
            </w:pPr>
            <w:r w:rsidRPr="00E8065F">
              <w:rPr>
                <w:color w:val="000000"/>
                <w:sz w:val="20"/>
                <w:szCs w:val="20"/>
              </w:rPr>
              <w:t>Амбулаторное</w:t>
            </w:r>
          </w:p>
        </w:tc>
      </w:tr>
      <w:tr w:rsidR="006C7C44" w:rsidRPr="00E8065F" w:rsidTr="000546C2">
        <w:trPr>
          <w:trHeight w:val="20"/>
        </w:trPr>
        <w:tc>
          <w:tcPr>
            <w:tcW w:w="1555" w:type="dxa"/>
            <w:vMerge/>
          </w:tcPr>
          <w:p w:rsidR="006C7C44" w:rsidRPr="00E8065F" w:rsidRDefault="006C7C44" w:rsidP="006C7C44">
            <w:pPr>
              <w:rPr>
                <w:color w:val="000000"/>
                <w:sz w:val="20"/>
                <w:szCs w:val="20"/>
              </w:rPr>
            </w:pPr>
          </w:p>
        </w:tc>
        <w:tc>
          <w:tcPr>
            <w:tcW w:w="3685" w:type="dxa"/>
            <w:tcBorders>
              <w:top w:val="single" w:sz="4" w:space="0" w:color="auto"/>
              <w:bottom w:val="single" w:sz="4" w:space="0" w:color="auto"/>
              <w:right w:val="single" w:sz="4" w:space="0" w:color="auto"/>
            </w:tcBorders>
            <w:shd w:val="clear" w:color="auto" w:fill="auto"/>
          </w:tcPr>
          <w:p w:rsidR="006C7C44" w:rsidRPr="00E8065F" w:rsidRDefault="006C7C44" w:rsidP="006C7C44">
            <w:pPr>
              <w:jc w:val="both"/>
              <w:rPr>
                <w:color w:val="000000"/>
                <w:sz w:val="20"/>
                <w:szCs w:val="20"/>
              </w:rPr>
            </w:pPr>
            <w:r w:rsidRPr="00E8065F">
              <w:rPr>
                <w:color w:val="000000"/>
                <w:sz w:val="20"/>
                <w:szCs w:val="20"/>
              </w:rPr>
              <w:t xml:space="preserve">ГАУЗ </w:t>
            </w:r>
            <w:r>
              <w:rPr>
                <w:color w:val="000000"/>
                <w:sz w:val="20"/>
                <w:szCs w:val="20"/>
              </w:rPr>
              <w:t>«</w:t>
            </w:r>
            <w:r w:rsidRPr="00E8065F">
              <w:rPr>
                <w:color w:val="000000"/>
                <w:sz w:val="20"/>
                <w:szCs w:val="20"/>
              </w:rPr>
              <w:t>Городская клиническая больница №</w:t>
            </w:r>
            <w:r>
              <w:rPr>
                <w:color w:val="000000"/>
                <w:sz w:val="20"/>
                <w:szCs w:val="20"/>
              </w:rPr>
              <w:t xml:space="preserve"> </w:t>
            </w:r>
            <w:r w:rsidRPr="00E8065F">
              <w:rPr>
                <w:color w:val="000000"/>
                <w:sz w:val="20"/>
                <w:szCs w:val="20"/>
              </w:rPr>
              <w:t>12</w:t>
            </w:r>
            <w:r>
              <w:rPr>
                <w:color w:val="000000"/>
                <w:sz w:val="20"/>
                <w:szCs w:val="20"/>
              </w:rPr>
              <w:t>»</w:t>
            </w:r>
            <w:r w:rsidRPr="00E8065F">
              <w:rPr>
                <w:color w:val="000000"/>
                <w:sz w:val="20"/>
                <w:szCs w:val="20"/>
              </w:rPr>
              <w:t xml:space="preserve"> г.</w:t>
            </w:r>
            <w:r>
              <w:rPr>
                <w:color w:val="000000"/>
                <w:sz w:val="20"/>
                <w:szCs w:val="20"/>
              </w:rPr>
              <w:t>Казани</w:t>
            </w:r>
          </w:p>
        </w:tc>
        <w:tc>
          <w:tcPr>
            <w:tcW w:w="1994" w:type="dxa"/>
            <w:tcBorders>
              <w:top w:val="single" w:sz="4" w:space="0" w:color="auto"/>
              <w:left w:val="single" w:sz="4" w:space="0" w:color="auto"/>
              <w:bottom w:val="single" w:sz="4" w:space="0" w:color="auto"/>
              <w:right w:val="single" w:sz="4" w:space="0" w:color="auto"/>
            </w:tcBorders>
            <w:shd w:val="clear" w:color="auto" w:fill="auto"/>
          </w:tcPr>
          <w:p w:rsidR="006C7C44" w:rsidRDefault="008B3E41" w:rsidP="006C7C44">
            <w:pPr>
              <w:jc w:val="center"/>
            </w:pPr>
            <w:r>
              <w:rPr>
                <w:sz w:val="20"/>
                <w:szCs w:val="20"/>
              </w:rPr>
              <w:t xml:space="preserve">Аппараты </w:t>
            </w:r>
            <w:r>
              <w:rPr>
                <w:rFonts w:eastAsia="Arial"/>
                <w:sz w:val="20"/>
                <w:szCs w:val="20"/>
              </w:rPr>
              <w:t>для ультразвуковых исследований</w:t>
            </w:r>
          </w:p>
        </w:tc>
        <w:tc>
          <w:tcPr>
            <w:tcW w:w="1181" w:type="dxa"/>
            <w:tcBorders>
              <w:top w:val="single" w:sz="4" w:space="0" w:color="auto"/>
              <w:left w:val="single" w:sz="4" w:space="0" w:color="auto"/>
              <w:bottom w:val="single" w:sz="4" w:space="0" w:color="auto"/>
              <w:right w:val="single" w:sz="4" w:space="0" w:color="auto"/>
            </w:tcBorders>
            <w:shd w:val="clear" w:color="auto" w:fill="auto"/>
          </w:tcPr>
          <w:p w:rsidR="006C7C44" w:rsidRPr="00E8065F" w:rsidRDefault="006C7C44" w:rsidP="006C7C44">
            <w:pPr>
              <w:jc w:val="center"/>
              <w:rPr>
                <w:sz w:val="20"/>
                <w:szCs w:val="20"/>
              </w:rPr>
            </w:pPr>
            <w:r w:rsidRPr="00E8065F">
              <w:rPr>
                <w:sz w:val="20"/>
                <w:szCs w:val="20"/>
              </w:rPr>
              <w:t>2008</w:t>
            </w:r>
            <w:r w:rsidR="00793DC9">
              <w:rPr>
                <w:sz w:val="20"/>
                <w:szCs w:val="20"/>
              </w:rPr>
              <w:t xml:space="preserve"> </w:t>
            </w:r>
            <w:r>
              <w:rPr>
                <w:sz w:val="20"/>
                <w:szCs w:val="20"/>
              </w:rPr>
              <w:t>(1)</w:t>
            </w:r>
          </w:p>
          <w:p w:rsidR="006C7C44" w:rsidRPr="00E8065F" w:rsidRDefault="006C7C44" w:rsidP="006C7C44">
            <w:pPr>
              <w:jc w:val="center"/>
              <w:rPr>
                <w:sz w:val="20"/>
                <w:szCs w:val="20"/>
              </w:rPr>
            </w:pPr>
            <w:r w:rsidRPr="00E8065F">
              <w:rPr>
                <w:sz w:val="20"/>
                <w:szCs w:val="20"/>
              </w:rPr>
              <w:t>2015</w:t>
            </w:r>
            <w:r w:rsidR="00793DC9">
              <w:rPr>
                <w:sz w:val="20"/>
                <w:szCs w:val="20"/>
              </w:rPr>
              <w:t xml:space="preserve"> </w:t>
            </w:r>
            <w:r>
              <w:rPr>
                <w:sz w:val="20"/>
                <w:szCs w:val="20"/>
              </w:rPr>
              <w:t>(1)</w:t>
            </w:r>
          </w:p>
          <w:p w:rsidR="006C7C44" w:rsidRPr="00E8065F" w:rsidRDefault="006C7C44" w:rsidP="006C7C44">
            <w:pPr>
              <w:jc w:val="center"/>
              <w:rPr>
                <w:sz w:val="20"/>
                <w:szCs w:val="20"/>
              </w:rPr>
            </w:pPr>
            <w:r w:rsidRPr="00E8065F">
              <w:rPr>
                <w:sz w:val="20"/>
                <w:szCs w:val="20"/>
              </w:rPr>
              <w:t>2020</w:t>
            </w:r>
            <w:r w:rsidR="00793DC9">
              <w:rPr>
                <w:sz w:val="20"/>
                <w:szCs w:val="20"/>
              </w:rPr>
              <w:t xml:space="preserve"> </w:t>
            </w:r>
            <w:r>
              <w:rPr>
                <w:sz w:val="20"/>
                <w:szCs w:val="20"/>
              </w:rPr>
              <w:t>(1)</w:t>
            </w:r>
          </w:p>
          <w:p w:rsidR="006C7C44" w:rsidRPr="00E8065F" w:rsidRDefault="006C7C44" w:rsidP="006C7C44">
            <w:pPr>
              <w:jc w:val="center"/>
              <w:rPr>
                <w:sz w:val="20"/>
                <w:szCs w:val="20"/>
              </w:rPr>
            </w:pPr>
            <w:r w:rsidRPr="00E8065F">
              <w:rPr>
                <w:sz w:val="20"/>
                <w:szCs w:val="20"/>
              </w:rPr>
              <w:t>2024</w:t>
            </w:r>
            <w:r w:rsidR="00793DC9">
              <w:rPr>
                <w:sz w:val="20"/>
                <w:szCs w:val="20"/>
              </w:rPr>
              <w:t xml:space="preserve"> </w:t>
            </w:r>
            <w:r>
              <w:rPr>
                <w:sz w:val="20"/>
                <w:szCs w:val="20"/>
              </w:rPr>
              <w:t>(6)</w:t>
            </w:r>
          </w:p>
        </w:tc>
        <w:tc>
          <w:tcPr>
            <w:tcW w:w="1181" w:type="dxa"/>
            <w:tcBorders>
              <w:top w:val="single" w:sz="4" w:space="0" w:color="auto"/>
              <w:left w:val="single" w:sz="4" w:space="0" w:color="auto"/>
              <w:bottom w:val="single" w:sz="4" w:space="0" w:color="auto"/>
              <w:right w:val="single" w:sz="4" w:space="0" w:color="auto"/>
            </w:tcBorders>
            <w:shd w:val="clear" w:color="auto" w:fill="auto"/>
          </w:tcPr>
          <w:p w:rsidR="006C7C44" w:rsidRPr="00271D0A" w:rsidRDefault="006C7C44" w:rsidP="006C7C44">
            <w:pPr>
              <w:jc w:val="center"/>
              <w:rPr>
                <w:color w:val="000000"/>
                <w:sz w:val="20"/>
                <w:szCs w:val="20"/>
              </w:rPr>
            </w:pPr>
            <w:r w:rsidRPr="00271D0A">
              <w:rPr>
                <w:color w:val="000000"/>
                <w:sz w:val="20"/>
                <w:szCs w:val="20"/>
              </w:rPr>
              <w:t>9</w:t>
            </w:r>
          </w:p>
        </w:tc>
        <w:tc>
          <w:tcPr>
            <w:tcW w:w="1478" w:type="dxa"/>
            <w:tcBorders>
              <w:top w:val="single" w:sz="4" w:space="0" w:color="auto"/>
              <w:left w:val="single" w:sz="4" w:space="0" w:color="auto"/>
              <w:bottom w:val="single" w:sz="4" w:space="0" w:color="auto"/>
              <w:right w:val="single" w:sz="4" w:space="0" w:color="auto"/>
            </w:tcBorders>
            <w:shd w:val="clear" w:color="auto" w:fill="auto"/>
          </w:tcPr>
          <w:p w:rsidR="006C7C44" w:rsidRPr="00E8065F" w:rsidRDefault="006C7C44" w:rsidP="006C7C44">
            <w:pPr>
              <w:jc w:val="center"/>
              <w:rPr>
                <w:color w:val="000000"/>
                <w:sz w:val="20"/>
                <w:szCs w:val="20"/>
              </w:rPr>
            </w:pPr>
            <w:r w:rsidRPr="00E8065F">
              <w:rPr>
                <w:color w:val="000000"/>
                <w:sz w:val="20"/>
                <w:szCs w:val="20"/>
              </w:rPr>
              <w:t>11,8</w:t>
            </w:r>
          </w:p>
        </w:tc>
        <w:tc>
          <w:tcPr>
            <w:tcW w:w="1111" w:type="dxa"/>
            <w:tcBorders>
              <w:top w:val="single" w:sz="4" w:space="0" w:color="auto"/>
              <w:left w:val="single" w:sz="4" w:space="0" w:color="auto"/>
              <w:bottom w:val="single" w:sz="4" w:space="0" w:color="auto"/>
              <w:right w:val="single" w:sz="4" w:space="0" w:color="auto"/>
            </w:tcBorders>
            <w:shd w:val="clear" w:color="auto" w:fill="auto"/>
          </w:tcPr>
          <w:p w:rsidR="006C7C44" w:rsidRPr="00E8065F" w:rsidRDefault="006C7C44" w:rsidP="006C7C44">
            <w:pPr>
              <w:jc w:val="center"/>
              <w:rPr>
                <w:color w:val="000000"/>
                <w:sz w:val="20"/>
                <w:szCs w:val="20"/>
              </w:rPr>
            </w:pPr>
            <w:r w:rsidRPr="00E8065F">
              <w:rPr>
                <w:color w:val="000000"/>
                <w:sz w:val="20"/>
                <w:szCs w:val="20"/>
              </w:rPr>
              <w:t>8</w:t>
            </w:r>
          </w:p>
        </w:tc>
        <w:tc>
          <w:tcPr>
            <w:tcW w:w="1944" w:type="dxa"/>
            <w:tcBorders>
              <w:top w:val="single" w:sz="4" w:space="0" w:color="auto"/>
              <w:left w:val="single" w:sz="4" w:space="0" w:color="auto"/>
              <w:bottom w:val="single" w:sz="4" w:space="0" w:color="auto"/>
              <w:right w:val="single" w:sz="4" w:space="0" w:color="auto"/>
            </w:tcBorders>
            <w:shd w:val="clear" w:color="auto" w:fill="auto"/>
          </w:tcPr>
          <w:p w:rsidR="006C7C44" w:rsidRPr="00E8065F" w:rsidRDefault="006C7C44" w:rsidP="006C7C44">
            <w:pPr>
              <w:jc w:val="center"/>
              <w:rPr>
                <w:color w:val="000000"/>
                <w:sz w:val="20"/>
                <w:szCs w:val="20"/>
              </w:rPr>
            </w:pPr>
            <w:r w:rsidRPr="00E8065F">
              <w:rPr>
                <w:color w:val="000000"/>
                <w:sz w:val="20"/>
                <w:szCs w:val="20"/>
              </w:rPr>
              <w:t>Амбулаторное/стационарное</w:t>
            </w:r>
          </w:p>
        </w:tc>
      </w:tr>
      <w:tr w:rsidR="006C7C44" w:rsidRPr="00E8065F" w:rsidTr="000546C2">
        <w:trPr>
          <w:trHeight w:val="20"/>
        </w:trPr>
        <w:tc>
          <w:tcPr>
            <w:tcW w:w="1555" w:type="dxa"/>
            <w:vMerge/>
          </w:tcPr>
          <w:p w:rsidR="006C7C44" w:rsidRPr="00E8065F" w:rsidRDefault="006C7C44" w:rsidP="006C7C44">
            <w:pPr>
              <w:rPr>
                <w:color w:val="000000"/>
                <w:sz w:val="20"/>
                <w:szCs w:val="20"/>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6C7C44" w:rsidRPr="00DF794F" w:rsidRDefault="006C7C44" w:rsidP="006C7C44">
            <w:pPr>
              <w:jc w:val="both"/>
              <w:rPr>
                <w:color w:val="000000"/>
                <w:sz w:val="20"/>
                <w:szCs w:val="20"/>
              </w:rPr>
            </w:pPr>
            <w:r w:rsidRPr="00E8065F">
              <w:rPr>
                <w:color w:val="000000"/>
                <w:sz w:val="20"/>
                <w:szCs w:val="20"/>
              </w:rPr>
              <w:t>Г</w:t>
            </w:r>
            <w:r>
              <w:rPr>
                <w:color w:val="000000"/>
                <w:sz w:val="20"/>
                <w:szCs w:val="20"/>
              </w:rPr>
              <w:t>АУЗ «Городская больница № 11» г.Казан</w:t>
            </w:r>
            <w:r w:rsidRPr="00DF794F">
              <w:rPr>
                <w:color w:val="000000"/>
                <w:sz w:val="20"/>
                <w:szCs w:val="20"/>
              </w:rPr>
              <w:t>и</w:t>
            </w:r>
          </w:p>
        </w:tc>
        <w:tc>
          <w:tcPr>
            <w:tcW w:w="1994" w:type="dxa"/>
            <w:tcBorders>
              <w:top w:val="single" w:sz="4" w:space="0" w:color="auto"/>
            </w:tcBorders>
            <w:shd w:val="clear" w:color="auto" w:fill="auto"/>
          </w:tcPr>
          <w:p w:rsidR="006C7C44" w:rsidRDefault="008B3E41" w:rsidP="006C7C44">
            <w:pPr>
              <w:jc w:val="center"/>
            </w:pPr>
            <w:r>
              <w:rPr>
                <w:sz w:val="20"/>
                <w:szCs w:val="20"/>
              </w:rPr>
              <w:t xml:space="preserve">Аппараты </w:t>
            </w:r>
            <w:r>
              <w:rPr>
                <w:rFonts w:eastAsia="Arial"/>
                <w:sz w:val="20"/>
                <w:szCs w:val="20"/>
              </w:rPr>
              <w:t>для ультразвуковых исследований</w:t>
            </w:r>
          </w:p>
        </w:tc>
        <w:tc>
          <w:tcPr>
            <w:tcW w:w="1181" w:type="dxa"/>
            <w:tcBorders>
              <w:top w:val="single" w:sz="4" w:space="0" w:color="auto"/>
            </w:tcBorders>
            <w:shd w:val="clear" w:color="auto" w:fill="auto"/>
          </w:tcPr>
          <w:p w:rsidR="006C7C44" w:rsidRPr="00E8065F" w:rsidRDefault="006C7C44" w:rsidP="006C7C44">
            <w:pPr>
              <w:jc w:val="center"/>
              <w:rPr>
                <w:sz w:val="20"/>
                <w:szCs w:val="20"/>
              </w:rPr>
            </w:pPr>
            <w:r>
              <w:rPr>
                <w:sz w:val="20"/>
                <w:szCs w:val="20"/>
              </w:rPr>
              <w:t>-</w:t>
            </w:r>
          </w:p>
        </w:tc>
        <w:tc>
          <w:tcPr>
            <w:tcW w:w="1181" w:type="dxa"/>
            <w:tcBorders>
              <w:top w:val="single" w:sz="4" w:space="0" w:color="auto"/>
              <w:left w:val="single" w:sz="4" w:space="0" w:color="auto"/>
              <w:bottom w:val="single" w:sz="4" w:space="0" w:color="auto"/>
              <w:right w:val="single" w:sz="4" w:space="0" w:color="auto"/>
            </w:tcBorders>
            <w:shd w:val="clear" w:color="auto" w:fill="auto"/>
          </w:tcPr>
          <w:p w:rsidR="006C7C44" w:rsidRPr="00271D0A" w:rsidRDefault="006C7C44" w:rsidP="006C7C44">
            <w:pPr>
              <w:jc w:val="center"/>
              <w:rPr>
                <w:color w:val="000000"/>
                <w:sz w:val="20"/>
                <w:szCs w:val="20"/>
              </w:rPr>
            </w:pPr>
            <w:r w:rsidRPr="00271D0A">
              <w:rPr>
                <w:color w:val="000000"/>
                <w:sz w:val="20"/>
                <w:szCs w:val="20"/>
              </w:rPr>
              <w:t>7</w:t>
            </w:r>
          </w:p>
        </w:tc>
        <w:tc>
          <w:tcPr>
            <w:tcW w:w="1478" w:type="dxa"/>
            <w:tcBorders>
              <w:top w:val="single" w:sz="4" w:space="0" w:color="auto"/>
              <w:left w:val="single" w:sz="4" w:space="0" w:color="auto"/>
              <w:bottom w:val="single" w:sz="4" w:space="0" w:color="auto"/>
              <w:right w:val="single" w:sz="4" w:space="0" w:color="auto"/>
            </w:tcBorders>
            <w:shd w:val="clear" w:color="auto" w:fill="auto"/>
          </w:tcPr>
          <w:p w:rsidR="006C7C44" w:rsidRPr="00E8065F" w:rsidRDefault="006C7C44" w:rsidP="006C7C44">
            <w:pPr>
              <w:jc w:val="center"/>
              <w:rPr>
                <w:color w:val="000000"/>
                <w:sz w:val="20"/>
                <w:szCs w:val="20"/>
              </w:rPr>
            </w:pPr>
            <w:r w:rsidRPr="00E8065F">
              <w:rPr>
                <w:color w:val="000000"/>
                <w:sz w:val="20"/>
                <w:szCs w:val="20"/>
              </w:rPr>
              <w:t>101,2</w:t>
            </w:r>
          </w:p>
        </w:tc>
        <w:tc>
          <w:tcPr>
            <w:tcW w:w="1111" w:type="dxa"/>
            <w:tcBorders>
              <w:top w:val="single" w:sz="4" w:space="0" w:color="auto"/>
              <w:left w:val="nil"/>
              <w:bottom w:val="single" w:sz="4" w:space="0" w:color="auto"/>
              <w:right w:val="single" w:sz="4" w:space="0" w:color="auto"/>
            </w:tcBorders>
            <w:shd w:val="clear" w:color="auto" w:fill="auto"/>
          </w:tcPr>
          <w:p w:rsidR="006C7C44" w:rsidRPr="00E8065F" w:rsidRDefault="006C7C44" w:rsidP="006C7C44">
            <w:pPr>
              <w:jc w:val="center"/>
              <w:rPr>
                <w:color w:val="000000"/>
                <w:sz w:val="20"/>
                <w:szCs w:val="20"/>
              </w:rPr>
            </w:pPr>
            <w:r w:rsidRPr="00E8065F">
              <w:rPr>
                <w:color w:val="000000"/>
                <w:sz w:val="20"/>
                <w:szCs w:val="20"/>
              </w:rPr>
              <w:t>1</w:t>
            </w:r>
          </w:p>
        </w:tc>
        <w:tc>
          <w:tcPr>
            <w:tcW w:w="1944" w:type="dxa"/>
            <w:tcBorders>
              <w:top w:val="single" w:sz="4" w:space="0" w:color="auto"/>
              <w:left w:val="single" w:sz="4" w:space="0" w:color="auto"/>
              <w:bottom w:val="single" w:sz="4" w:space="0" w:color="auto"/>
              <w:right w:val="single" w:sz="4" w:space="0" w:color="auto"/>
            </w:tcBorders>
            <w:shd w:val="clear" w:color="auto" w:fill="auto"/>
          </w:tcPr>
          <w:p w:rsidR="006C7C44" w:rsidRPr="00E8065F" w:rsidRDefault="006C7C44" w:rsidP="006C7C44">
            <w:pPr>
              <w:jc w:val="center"/>
              <w:rPr>
                <w:color w:val="000000"/>
                <w:sz w:val="20"/>
                <w:szCs w:val="20"/>
              </w:rPr>
            </w:pPr>
            <w:r w:rsidRPr="00E8065F">
              <w:rPr>
                <w:color w:val="000000"/>
                <w:sz w:val="20"/>
                <w:szCs w:val="20"/>
              </w:rPr>
              <w:t>Амбулаторное/стационарное</w:t>
            </w:r>
          </w:p>
        </w:tc>
      </w:tr>
      <w:tr w:rsidR="006C7C44" w:rsidRPr="00E8065F" w:rsidTr="000546C2">
        <w:trPr>
          <w:trHeight w:val="20"/>
        </w:trPr>
        <w:tc>
          <w:tcPr>
            <w:tcW w:w="1555" w:type="dxa"/>
            <w:vMerge/>
          </w:tcPr>
          <w:p w:rsidR="006C7C44" w:rsidRPr="00E8065F" w:rsidRDefault="006C7C44" w:rsidP="006C7C44">
            <w:pPr>
              <w:rPr>
                <w:color w:val="000000"/>
                <w:sz w:val="20"/>
                <w:szCs w:val="20"/>
              </w:rPr>
            </w:pPr>
          </w:p>
        </w:tc>
        <w:tc>
          <w:tcPr>
            <w:tcW w:w="3685" w:type="dxa"/>
            <w:tcBorders>
              <w:top w:val="nil"/>
              <w:left w:val="single" w:sz="4" w:space="0" w:color="auto"/>
              <w:bottom w:val="single" w:sz="4" w:space="0" w:color="auto"/>
              <w:right w:val="single" w:sz="4" w:space="0" w:color="auto"/>
            </w:tcBorders>
            <w:shd w:val="clear" w:color="auto" w:fill="auto"/>
          </w:tcPr>
          <w:p w:rsidR="006C7C44" w:rsidRPr="00E8065F" w:rsidRDefault="006C7C44" w:rsidP="006C7C44">
            <w:pPr>
              <w:jc w:val="both"/>
              <w:rPr>
                <w:color w:val="000000"/>
                <w:sz w:val="20"/>
                <w:szCs w:val="20"/>
              </w:rPr>
            </w:pPr>
            <w:r w:rsidRPr="00E8065F">
              <w:rPr>
                <w:color w:val="000000"/>
                <w:sz w:val="20"/>
                <w:szCs w:val="20"/>
              </w:rPr>
              <w:t xml:space="preserve">ГАУЗ </w:t>
            </w:r>
            <w:r>
              <w:rPr>
                <w:color w:val="000000"/>
                <w:sz w:val="20"/>
                <w:szCs w:val="20"/>
              </w:rPr>
              <w:t>«</w:t>
            </w:r>
            <w:r w:rsidRPr="00E8065F">
              <w:rPr>
                <w:color w:val="000000"/>
                <w:sz w:val="20"/>
                <w:szCs w:val="20"/>
              </w:rPr>
              <w:t>Городская клиническая больница №</w:t>
            </w:r>
            <w:r>
              <w:rPr>
                <w:color w:val="000000"/>
                <w:sz w:val="20"/>
                <w:szCs w:val="20"/>
              </w:rPr>
              <w:t xml:space="preserve"> </w:t>
            </w:r>
            <w:r w:rsidRPr="00E8065F">
              <w:rPr>
                <w:color w:val="000000"/>
                <w:sz w:val="20"/>
                <w:szCs w:val="20"/>
              </w:rPr>
              <w:t>16</w:t>
            </w:r>
            <w:r>
              <w:rPr>
                <w:color w:val="000000"/>
                <w:sz w:val="20"/>
                <w:szCs w:val="20"/>
              </w:rPr>
              <w:t>» г.</w:t>
            </w:r>
            <w:r w:rsidRPr="00E8065F">
              <w:rPr>
                <w:color w:val="000000"/>
                <w:sz w:val="20"/>
                <w:szCs w:val="20"/>
              </w:rPr>
              <w:t>Казан</w:t>
            </w:r>
            <w:r>
              <w:rPr>
                <w:color w:val="000000"/>
                <w:sz w:val="20"/>
                <w:szCs w:val="20"/>
              </w:rPr>
              <w:t>и</w:t>
            </w:r>
          </w:p>
        </w:tc>
        <w:tc>
          <w:tcPr>
            <w:tcW w:w="1994" w:type="dxa"/>
            <w:shd w:val="clear" w:color="auto" w:fill="auto"/>
          </w:tcPr>
          <w:p w:rsidR="006C7C44" w:rsidRDefault="008B3E41" w:rsidP="006C7C44">
            <w:pPr>
              <w:jc w:val="center"/>
            </w:pPr>
            <w:r>
              <w:rPr>
                <w:sz w:val="20"/>
                <w:szCs w:val="20"/>
              </w:rPr>
              <w:t xml:space="preserve">Аппараты </w:t>
            </w:r>
            <w:r>
              <w:rPr>
                <w:rFonts w:eastAsia="Arial"/>
                <w:sz w:val="20"/>
                <w:szCs w:val="20"/>
              </w:rPr>
              <w:t>для ультразвуковых исследований</w:t>
            </w:r>
          </w:p>
        </w:tc>
        <w:tc>
          <w:tcPr>
            <w:tcW w:w="1181" w:type="dxa"/>
            <w:shd w:val="clear" w:color="auto" w:fill="auto"/>
          </w:tcPr>
          <w:p w:rsidR="006C7C44" w:rsidRPr="00E8065F" w:rsidRDefault="006C7C44" w:rsidP="006C7C44">
            <w:pPr>
              <w:jc w:val="center"/>
              <w:rPr>
                <w:sz w:val="20"/>
                <w:szCs w:val="20"/>
              </w:rPr>
            </w:pPr>
            <w:r w:rsidRPr="00E8065F">
              <w:rPr>
                <w:sz w:val="20"/>
                <w:szCs w:val="20"/>
              </w:rPr>
              <w:t>2009</w:t>
            </w:r>
            <w:r w:rsidR="00793DC9">
              <w:rPr>
                <w:sz w:val="20"/>
                <w:szCs w:val="20"/>
              </w:rPr>
              <w:t xml:space="preserve"> </w:t>
            </w:r>
            <w:r>
              <w:rPr>
                <w:sz w:val="20"/>
                <w:szCs w:val="20"/>
              </w:rPr>
              <w:t>(2)</w:t>
            </w:r>
          </w:p>
          <w:p w:rsidR="006C7C44" w:rsidRPr="00E8065F" w:rsidRDefault="006C7C44" w:rsidP="006C7C44">
            <w:pPr>
              <w:jc w:val="center"/>
              <w:rPr>
                <w:sz w:val="20"/>
                <w:szCs w:val="20"/>
              </w:rPr>
            </w:pPr>
            <w:r w:rsidRPr="00E8065F">
              <w:rPr>
                <w:sz w:val="20"/>
                <w:szCs w:val="20"/>
              </w:rPr>
              <w:t>2012</w:t>
            </w:r>
            <w:r w:rsidR="00793DC9">
              <w:rPr>
                <w:sz w:val="20"/>
                <w:szCs w:val="20"/>
              </w:rPr>
              <w:t xml:space="preserve"> </w:t>
            </w:r>
            <w:r>
              <w:rPr>
                <w:sz w:val="20"/>
                <w:szCs w:val="20"/>
              </w:rPr>
              <w:t>(1)</w:t>
            </w:r>
          </w:p>
          <w:p w:rsidR="006C7C44" w:rsidRPr="00E8065F" w:rsidRDefault="006C7C44" w:rsidP="006C7C44">
            <w:pPr>
              <w:jc w:val="center"/>
              <w:rPr>
                <w:sz w:val="20"/>
                <w:szCs w:val="20"/>
              </w:rPr>
            </w:pPr>
            <w:r w:rsidRPr="00E8065F">
              <w:rPr>
                <w:sz w:val="20"/>
                <w:szCs w:val="20"/>
              </w:rPr>
              <w:t>2013</w:t>
            </w:r>
            <w:r w:rsidR="00793DC9">
              <w:rPr>
                <w:sz w:val="20"/>
                <w:szCs w:val="20"/>
              </w:rPr>
              <w:t xml:space="preserve"> </w:t>
            </w:r>
            <w:r>
              <w:rPr>
                <w:sz w:val="20"/>
                <w:szCs w:val="20"/>
              </w:rPr>
              <w:t>(2)</w:t>
            </w:r>
          </w:p>
          <w:p w:rsidR="006C7C44" w:rsidRPr="00E8065F" w:rsidRDefault="006C7C44" w:rsidP="006C7C44">
            <w:pPr>
              <w:jc w:val="center"/>
              <w:rPr>
                <w:sz w:val="20"/>
                <w:szCs w:val="20"/>
              </w:rPr>
            </w:pPr>
            <w:r w:rsidRPr="00E8065F">
              <w:rPr>
                <w:sz w:val="20"/>
                <w:szCs w:val="20"/>
              </w:rPr>
              <w:t>2017</w:t>
            </w:r>
            <w:r w:rsidR="00793DC9">
              <w:rPr>
                <w:sz w:val="20"/>
                <w:szCs w:val="20"/>
              </w:rPr>
              <w:t xml:space="preserve"> </w:t>
            </w:r>
            <w:r>
              <w:rPr>
                <w:sz w:val="20"/>
                <w:szCs w:val="20"/>
              </w:rPr>
              <w:t>(2)</w:t>
            </w:r>
          </w:p>
          <w:p w:rsidR="006C7C44" w:rsidRPr="00E8065F" w:rsidRDefault="00793DC9" w:rsidP="006C7C44">
            <w:pPr>
              <w:jc w:val="center"/>
              <w:rPr>
                <w:sz w:val="20"/>
                <w:szCs w:val="20"/>
              </w:rPr>
            </w:pPr>
            <w:r w:rsidRPr="00E8065F">
              <w:rPr>
                <w:sz w:val="20"/>
                <w:szCs w:val="20"/>
              </w:rPr>
              <w:t>2018</w:t>
            </w:r>
            <w:r>
              <w:rPr>
                <w:sz w:val="20"/>
                <w:szCs w:val="20"/>
              </w:rPr>
              <w:t xml:space="preserve"> </w:t>
            </w:r>
            <w:r w:rsidR="006C7C44">
              <w:rPr>
                <w:sz w:val="20"/>
                <w:szCs w:val="20"/>
              </w:rPr>
              <w:t>(3)</w:t>
            </w:r>
          </w:p>
          <w:p w:rsidR="006C7C44" w:rsidRPr="00E8065F" w:rsidRDefault="006C7C44" w:rsidP="006C7C44">
            <w:pPr>
              <w:jc w:val="center"/>
              <w:rPr>
                <w:sz w:val="20"/>
                <w:szCs w:val="20"/>
              </w:rPr>
            </w:pPr>
            <w:r w:rsidRPr="00E8065F">
              <w:rPr>
                <w:sz w:val="20"/>
                <w:szCs w:val="20"/>
              </w:rPr>
              <w:t>2019</w:t>
            </w:r>
            <w:r w:rsidR="00793DC9">
              <w:rPr>
                <w:sz w:val="20"/>
                <w:szCs w:val="20"/>
              </w:rPr>
              <w:t xml:space="preserve"> </w:t>
            </w:r>
            <w:r>
              <w:rPr>
                <w:sz w:val="20"/>
                <w:szCs w:val="20"/>
              </w:rPr>
              <w:t>(1)</w:t>
            </w:r>
          </w:p>
          <w:p w:rsidR="006C7C44" w:rsidRPr="00E8065F" w:rsidRDefault="006C7C44" w:rsidP="006C7C44">
            <w:pPr>
              <w:jc w:val="center"/>
              <w:rPr>
                <w:sz w:val="20"/>
                <w:szCs w:val="20"/>
              </w:rPr>
            </w:pPr>
            <w:r w:rsidRPr="00E8065F">
              <w:rPr>
                <w:sz w:val="20"/>
                <w:szCs w:val="20"/>
              </w:rPr>
              <w:t>2020</w:t>
            </w:r>
            <w:r w:rsidR="00793DC9">
              <w:rPr>
                <w:sz w:val="20"/>
                <w:szCs w:val="20"/>
              </w:rPr>
              <w:t xml:space="preserve"> </w:t>
            </w:r>
            <w:r>
              <w:rPr>
                <w:sz w:val="20"/>
                <w:szCs w:val="20"/>
              </w:rPr>
              <w:t>(1)</w:t>
            </w:r>
          </w:p>
          <w:p w:rsidR="006C7C44" w:rsidRPr="00E8065F" w:rsidRDefault="006C7C44" w:rsidP="006C7C44">
            <w:pPr>
              <w:jc w:val="center"/>
              <w:rPr>
                <w:sz w:val="20"/>
                <w:szCs w:val="20"/>
              </w:rPr>
            </w:pPr>
            <w:r w:rsidRPr="00E8065F">
              <w:rPr>
                <w:sz w:val="20"/>
                <w:szCs w:val="20"/>
              </w:rPr>
              <w:t>2021</w:t>
            </w:r>
            <w:r w:rsidR="00793DC9">
              <w:rPr>
                <w:sz w:val="20"/>
                <w:szCs w:val="20"/>
              </w:rPr>
              <w:t xml:space="preserve"> </w:t>
            </w:r>
            <w:r>
              <w:rPr>
                <w:sz w:val="20"/>
                <w:szCs w:val="20"/>
              </w:rPr>
              <w:t>(2)</w:t>
            </w:r>
          </w:p>
          <w:p w:rsidR="006C7C44" w:rsidRPr="00E8065F" w:rsidRDefault="006C7C44" w:rsidP="006C7C44">
            <w:pPr>
              <w:jc w:val="center"/>
              <w:rPr>
                <w:sz w:val="20"/>
                <w:szCs w:val="20"/>
              </w:rPr>
            </w:pPr>
            <w:r w:rsidRPr="00E8065F">
              <w:rPr>
                <w:sz w:val="20"/>
                <w:szCs w:val="20"/>
              </w:rPr>
              <w:t>2023</w:t>
            </w:r>
            <w:r w:rsidR="00793DC9">
              <w:rPr>
                <w:sz w:val="20"/>
                <w:szCs w:val="20"/>
              </w:rPr>
              <w:t xml:space="preserve"> </w:t>
            </w:r>
            <w:r>
              <w:rPr>
                <w:sz w:val="20"/>
                <w:szCs w:val="20"/>
              </w:rPr>
              <w:t>(1)</w:t>
            </w:r>
          </w:p>
          <w:p w:rsidR="006C7C44" w:rsidRPr="00E8065F" w:rsidRDefault="006C7C44" w:rsidP="006C7C44">
            <w:pPr>
              <w:jc w:val="center"/>
              <w:rPr>
                <w:sz w:val="20"/>
                <w:szCs w:val="20"/>
              </w:rPr>
            </w:pPr>
            <w:r w:rsidRPr="00E8065F">
              <w:rPr>
                <w:sz w:val="20"/>
                <w:szCs w:val="20"/>
              </w:rPr>
              <w:t>2024</w:t>
            </w:r>
            <w:r w:rsidR="00793DC9">
              <w:rPr>
                <w:sz w:val="20"/>
                <w:szCs w:val="20"/>
              </w:rPr>
              <w:t xml:space="preserve"> </w:t>
            </w:r>
            <w:r>
              <w:rPr>
                <w:sz w:val="20"/>
                <w:szCs w:val="20"/>
              </w:rPr>
              <w:t>(1)</w:t>
            </w:r>
          </w:p>
        </w:tc>
        <w:tc>
          <w:tcPr>
            <w:tcW w:w="1181" w:type="dxa"/>
            <w:tcBorders>
              <w:top w:val="nil"/>
              <w:left w:val="single" w:sz="4" w:space="0" w:color="auto"/>
              <w:bottom w:val="single" w:sz="4" w:space="0" w:color="auto"/>
              <w:right w:val="single" w:sz="4" w:space="0" w:color="auto"/>
            </w:tcBorders>
            <w:shd w:val="clear" w:color="auto" w:fill="auto"/>
          </w:tcPr>
          <w:p w:rsidR="006C7C44" w:rsidRPr="00271D0A" w:rsidRDefault="006C7C44" w:rsidP="006C7C44">
            <w:pPr>
              <w:jc w:val="center"/>
              <w:rPr>
                <w:color w:val="000000"/>
                <w:sz w:val="20"/>
                <w:szCs w:val="20"/>
              </w:rPr>
            </w:pPr>
            <w:r w:rsidRPr="00271D0A">
              <w:rPr>
                <w:color w:val="000000"/>
                <w:sz w:val="20"/>
                <w:szCs w:val="20"/>
              </w:rPr>
              <w:t>16</w:t>
            </w:r>
          </w:p>
        </w:tc>
        <w:tc>
          <w:tcPr>
            <w:tcW w:w="1478" w:type="dxa"/>
            <w:tcBorders>
              <w:top w:val="nil"/>
              <w:left w:val="single" w:sz="4" w:space="0" w:color="auto"/>
              <w:bottom w:val="single" w:sz="4" w:space="0" w:color="auto"/>
              <w:right w:val="single" w:sz="4" w:space="0" w:color="auto"/>
            </w:tcBorders>
            <w:shd w:val="clear" w:color="auto" w:fill="auto"/>
          </w:tcPr>
          <w:p w:rsidR="006C7C44" w:rsidRPr="00E8065F" w:rsidRDefault="006C7C44" w:rsidP="006C7C44">
            <w:pPr>
              <w:jc w:val="center"/>
              <w:rPr>
                <w:color w:val="000000"/>
                <w:sz w:val="20"/>
                <w:szCs w:val="20"/>
              </w:rPr>
            </w:pPr>
            <w:r w:rsidRPr="00E8065F">
              <w:rPr>
                <w:color w:val="000000"/>
                <w:sz w:val="20"/>
                <w:szCs w:val="20"/>
              </w:rPr>
              <w:t>233,2</w:t>
            </w:r>
          </w:p>
        </w:tc>
        <w:tc>
          <w:tcPr>
            <w:tcW w:w="1111" w:type="dxa"/>
            <w:tcBorders>
              <w:top w:val="nil"/>
              <w:left w:val="nil"/>
              <w:bottom w:val="single" w:sz="4" w:space="0" w:color="auto"/>
              <w:right w:val="single" w:sz="4" w:space="0" w:color="auto"/>
            </w:tcBorders>
            <w:shd w:val="clear" w:color="auto" w:fill="auto"/>
          </w:tcPr>
          <w:p w:rsidR="006C7C44" w:rsidRPr="00E8065F" w:rsidRDefault="006C7C44" w:rsidP="006C7C44">
            <w:pPr>
              <w:jc w:val="center"/>
              <w:rPr>
                <w:color w:val="000000"/>
                <w:sz w:val="20"/>
                <w:szCs w:val="20"/>
              </w:rPr>
            </w:pPr>
            <w:r w:rsidRPr="00E8065F">
              <w:rPr>
                <w:color w:val="000000"/>
                <w:sz w:val="20"/>
                <w:szCs w:val="20"/>
              </w:rPr>
              <w:t>1</w:t>
            </w:r>
          </w:p>
        </w:tc>
        <w:tc>
          <w:tcPr>
            <w:tcW w:w="1944" w:type="dxa"/>
            <w:tcBorders>
              <w:top w:val="nil"/>
              <w:left w:val="single" w:sz="4" w:space="0" w:color="auto"/>
              <w:bottom w:val="single" w:sz="4" w:space="0" w:color="auto"/>
              <w:right w:val="single" w:sz="4" w:space="0" w:color="auto"/>
            </w:tcBorders>
            <w:shd w:val="clear" w:color="auto" w:fill="auto"/>
          </w:tcPr>
          <w:p w:rsidR="006C7C44" w:rsidRPr="00E8065F" w:rsidRDefault="006C7C44" w:rsidP="006C7C44">
            <w:pPr>
              <w:jc w:val="center"/>
              <w:rPr>
                <w:color w:val="000000"/>
                <w:sz w:val="20"/>
                <w:szCs w:val="20"/>
              </w:rPr>
            </w:pPr>
            <w:r w:rsidRPr="00E8065F">
              <w:rPr>
                <w:color w:val="000000"/>
                <w:sz w:val="20"/>
                <w:szCs w:val="20"/>
              </w:rPr>
              <w:t>Амбулаторное/стационарное</w:t>
            </w:r>
          </w:p>
        </w:tc>
      </w:tr>
      <w:tr w:rsidR="006C7C44" w:rsidRPr="00E8065F" w:rsidTr="000546C2">
        <w:trPr>
          <w:trHeight w:val="20"/>
        </w:trPr>
        <w:tc>
          <w:tcPr>
            <w:tcW w:w="1555" w:type="dxa"/>
            <w:vMerge/>
          </w:tcPr>
          <w:p w:rsidR="006C7C44" w:rsidRPr="00E8065F" w:rsidRDefault="006C7C44" w:rsidP="006C7C44">
            <w:pPr>
              <w:rPr>
                <w:color w:val="000000"/>
                <w:sz w:val="20"/>
                <w:szCs w:val="20"/>
              </w:rPr>
            </w:pPr>
          </w:p>
        </w:tc>
        <w:tc>
          <w:tcPr>
            <w:tcW w:w="3685" w:type="dxa"/>
            <w:tcBorders>
              <w:top w:val="nil"/>
              <w:left w:val="single" w:sz="4" w:space="0" w:color="auto"/>
              <w:bottom w:val="single" w:sz="4" w:space="0" w:color="auto"/>
              <w:right w:val="single" w:sz="4" w:space="0" w:color="auto"/>
            </w:tcBorders>
            <w:shd w:val="clear" w:color="auto" w:fill="auto"/>
          </w:tcPr>
          <w:p w:rsidR="006C7C44" w:rsidRPr="00E8065F" w:rsidRDefault="006C7C44" w:rsidP="006C7C44">
            <w:pPr>
              <w:jc w:val="both"/>
              <w:rPr>
                <w:color w:val="000000"/>
                <w:sz w:val="20"/>
                <w:szCs w:val="20"/>
              </w:rPr>
            </w:pPr>
            <w:r>
              <w:rPr>
                <w:color w:val="000000"/>
                <w:sz w:val="20"/>
                <w:szCs w:val="20"/>
              </w:rPr>
              <w:t>ГАУЗ «Центральная городская клиническая больница № 18 им.проф.К.Ш.Зыятдинова» г.Казани</w:t>
            </w:r>
          </w:p>
        </w:tc>
        <w:tc>
          <w:tcPr>
            <w:tcW w:w="1994" w:type="dxa"/>
            <w:shd w:val="clear" w:color="auto" w:fill="auto"/>
          </w:tcPr>
          <w:p w:rsidR="006C7C44" w:rsidRDefault="008B3E41" w:rsidP="006C7C44">
            <w:pPr>
              <w:jc w:val="center"/>
            </w:pPr>
            <w:r>
              <w:rPr>
                <w:sz w:val="20"/>
                <w:szCs w:val="20"/>
              </w:rPr>
              <w:t xml:space="preserve">Аппараты </w:t>
            </w:r>
            <w:r>
              <w:rPr>
                <w:rFonts w:eastAsia="Arial"/>
                <w:sz w:val="20"/>
                <w:szCs w:val="20"/>
              </w:rPr>
              <w:t>для ультразвуковых исследований</w:t>
            </w:r>
          </w:p>
        </w:tc>
        <w:tc>
          <w:tcPr>
            <w:tcW w:w="1181" w:type="dxa"/>
            <w:shd w:val="clear" w:color="auto" w:fill="auto"/>
          </w:tcPr>
          <w:p w:rsidR="006C7C44" w:rsidRPr="00E8065F" w:rsidRDefault="006C7C44" w:rsidP="006C7C44">
            <w:pPr>
              <w:jc w:val="center"/>
              <w:rPr>
                <w:sz w:val="20"/>
                <w:szCs w:val="20"/>
              </w:rPr>
            </w:pPr>
            <w:r w:rsidRPr="00E8065F">
              <w:rPr>
                <w:sz w:val="20"/>
                <w:szCs w:val="20"/>
              </w:rPr>
              <w:t>2007</w:t>
            </w:r>
            <w:r w:rsidR="00793DC9">
              <w:rPr>
                <w:sz w:val="20"/>
                <w:szCs w:val="20"/>
              </w:rPr>
              <w:t xml:space="preserve"> </w:t>
            </w:r>
            <w:r>
              <w:rPr>
                <w:sz w:val="20"/>
                <w:szCs w:val="20"/>
              </w:rPr>
              <w:t>(1)</w:t>
            </w:r>
          </w:p>
          <w:p w:rsidR="006C7C44" w:rsidRPr="00E8065F" w:rsidRDefault="006C7C44" w:rsidP="006C7C44">
            <w:pPr>
              <w:jc w:val="center"/>
              <w:rPr>
                <w:sz w:val="20"/>
                <w:szCs w:val="20"/>
              </w:rPr>
            </w:pPr>
            <w:r w:rsidRPr="00E8065F">
              <w:rPr>
                <w:sz w:val="20"/>
                <w:szCs w:val="20"/>
              </w:rPr>
              <w:t>2010</w:t>
            </w:r>
            <w:r w:rsidR="00793DC9">
              <w:rPr>
                <w:sz w:val="20"/>
                <w:szCs w:val="20"/>
              </w:rPr>
              <w:t xml:space="preserve"> </w:t>
            </w:r>
            <w:r>
              <w:rPr>
                <w:sz w:val="20"/>
                <w:szCs w:val="20"/>
              </w:rPr>
              <w:t>(1)</w:t>
            </w:r>
          </w:p>
          <w:p w:rsidR="006C7C44" w:rsidRPr="00E8065F" w:rsidRDefault="006C7C44" w:rsidP="006C7C44">
            <w:pPr>
              <w:jc w:val="center"/>
              <w:rPr>
                <w:sz w:val="20"/>
                <w:szCs w:val="20"/>
              </w:rPr>
            </w:pPr>
            <w:r w:rsidRPr="00E8065F">
              <w:rPr>
                <w:sz w:val="20"/>
                <w:szCs w:val="20"/>
              </w:rPr>
              <w:t>2011</w:t>
            </w:r>
            <w:r w:rsidR="00793DC9">
              <w:rPr>
                <w:sz w:val="20"/>
                <w:szCs w:val="20"/>
              </w:rPr>
              <w:t xml:space="preserve"> </w:t>
            </w:r>
            <w:r>
              <w:rPr>
                <w:sz w:val="20"/>
                <w:szCs w:val="20"/>
              </w:rPr>
              <w:t>(1)</w:t>
            </w:r>
          </w:p>
          <w:p w:rsidR="006C7C44" w:rsidRPr="00E8065F" w:rsidRDefault="006C7C44" w:rsidP="006C7C44">
            <w:pPr>
              <w:jc w:val="center"/>
              <w:rPr>
                <w:sz w:val="20"/>
                <w:szCs w:val="20"/>
              </w:rPr>
            </w:pPr>
            <w:r w:rsidRPr="00E8065F">
              <w:rPr>
                <w:sz w:val="20"/>
                <w:szCs w:val="20"/>
              </w:rPr>
              <w:t>2013</w:t>
            </w:r>
            <w:r w:rsidR="00793DC9">
              <w:rPr>
                <w:sz w:val="20"/>
                <w:szCs w:val="20"/>
              </w:rPr>
              <w:t xml:space="preserve"> </w:t>
            </w:r>
            <w:r>
              <w:rPr>
                <w:sz w:val="20"/>
                <w:szCs w:val="20"/>
              </w:rPr>
              <w:t>(1)</w:t>
            </w:r>
          </w:p>
          <w:p w:rsidR="006C7C44" w:rsidRPr="00E8065F" w:rsidRDefault="006C7C44" w:rsidP="006C7C44">
            <w:pPr>
              <w:jc w:val="center"/>
              <w:rPr>
                <w:sz w:val="20"/>
                <w:szCs w:val="20"/>
              </w:rPr>
            </w:pPr>
            <w:r w:rsidRPr="00E8065F">
              <w:rPr>
                <w:sz w:val="20"/>
                <w:szCs w:val="20"/>
              </w:rPr>
              <w:t>2014</w:t>
            </w:r>
            <w:r w:rsidR="00793DC9">
              <w:rPr>
                <w:sz w:val="20"/>
                <w:szCs w:val="20"/>
              </w:rPr>
              <w:t xml:space="preserve"> </w:t>
            </w:r>
            <w:r>
              <w:rPr>
                <w:sz w:val="20"/>
                <w:szCs w:val="20"/>
              </w:rPr>
              <w:t>(1)</w:t>
            </w:r>
          </w:p>
          <w:p w:rsidR="006C7C44" w:rsidRPr="00E8065F" w:rsidRDefault="006C7C44" w:rsidP="006C7C44">
            <w:pPr>
              <w:jc w:val="center"/>
              <w:rPr>
                <w:sz w:val="20"/>
                <w:szCs w:val="20"/>
              </w:rPr>
            </w:pPr>
            <w:r w:rsidRPr="00E8065F">
              <w:rPr>
                <w:sz w:val="20"/>
                <w:szCs w:val="20"/>
              </w:rPr>
              <w:t>2015</w:t>
            </w:r>
            <w:r w:rsidR="00793DC9">
              <w:rPr>
                <w:sz w:val="20"/>
                <w:szCs w:val="20"/>
              </w:rPr>
              <w:t xml:space="preserve"> </w:t>
            </w:r>
            <w:r>
              <w:rPr>
                <w:sz w:val="20"/>
                <w:szCs w:val="20"/>
              </w:rPr>
              <w:t>(1)</w:t>
            </w:r>
          </w:p>
          <w:p w:rsidR="006C7C44" w:rsidRPr="00E8065F" w:rsidRDefault="006C7C44" w:rsidP="006C7C44">
            <w:pPr>
              <w:jc w:val="center"/>
              <w:rPr>
                <w:sz w:val="20"/>
                <w:szCs w:val="20"/>
              </w:rPr>
            </w:pPr>
            <w:r w:rsidRPr="00E8065F">
              <w:rPr>
                <w:sz w:val="20"/>
                <w:szCs w:val="20"/>
              </w:rPr>
              <w:t>2018</w:t>
            </w:r>
            <w:r w:rsidR="00793DC9">
              <w:rPr>
                <w:sz w:val="20"/>
                <w:szCs w:val="20"/>
              </w:rPr>
              <w:t xml:space="preserve"> </w:t>
            </w:r>
            <w:r>
              <w:rPr>
                <w:sz w:val="20"/>
                <w:szCs w:val="20"/>
              </w:rPr>
              <w:t>(1)</w:t>
            </w:r>
          </w:p>
          <w:p w:rsidR="006C7C44" w:rsidRPr="00E8065F" w:rsidRDefault="006C7C44" w:rsidP="006C7C44">
            <w:pPr>
              <w:jc w:val="center"/>
              <w:rPr>
                <w:sz w:val="20"/>
                <w:szCs w:val="20"/>
              </w:rPr>
            </w:pPr>
            <w:r w:rsidRPr="00E8065F">
              <w:rPr>
                <w:sz w:val="20"/>
                <w:szCs w:val="20"/>
              </w:rPr>
              <w:t>2020</w:t>
            </w:r>
            <w:r w:rsidR="00793DC9">
              <w:rPr>
                <w:sz w:val="20"/>
                <w:szCs w:val="20"/>
              </w:rPr>
              <w:t xml:space="preserve"> </w:t>
            </w:r>
            <w:r>
              <w:rPr>
                <w:sz w:val="20"/>
                <w:szCs w:val="20"/>
              </w:rPr>
              <w:t>(1)</w:t>
            </w:r>
          </w:p>
          <w:p w:rsidR="006C7C44" w:rsidRPr="00E8065F" w:rsidRDefault="006C7C44" w:rsidP="006C7C44">
            <w:pPr>
              <w:jc w:val="center"/>
              <w:rPr>
                <w:sz w:val="20"/>
                <w:szCs w:val="20"/>
              </w:rPr>
            </w:pPr>
            <w:r w:rsidRPr="00E8065F">
              <w:rPr>
                <w:sz w:val="20"/>
                <w:szCs w:val="20"/>
              </w:rPr>
              <w:t>2021</w:t>
            </w:r>
            <w:r w:rsidR="00793DC9">
              <w:rPr>
                <w:sz w:val="20"/>
                <w:szCs w:val="20"/>
              </w:rPr>
              <w:t xml:space="preserve"> </w:t>
            </w:r>
            <w:r>
              <w:rPr>
                <w:sz w:val="20"/>
                <w:szCs w:val="20"/>
              </w:rPr>
              <w:t>(2)</w:t>
            </w:r>
          </w:p>
          <w:p w:rsidR="006C7C44" w:rsidRPr="00E8065F" w:rsidRDefault="006C7C44" w:rsidP="006C7C44">
            <w:pPr>
              <w:jc w:val="center"/>
              <w:rPr>
                <w:sz w:val="20"/>
                <w:szCs w:val="20"/>
              </w:rPr>
            </w:pPr>
            <w:r w:rsidRPr="00E8065F">
              <w:rPr>
                <w:sz w:val="20"/>
                <w:szCs w:val="20"/>
              </w:rPr>
              <w:t>2022</w:t>
            </w:r>
            <w:r w:rsidR="00793DC9">
              <w:rPr>
                <w:sz w:val="20"/>
                <w:szCs w:val="20"/>
              </w:rPr>
              <w:t xml:space="preserve"> </w:t>
            </w:r>
            <w:r>
              <w:rPr>
                <w:sz w:val="20"/>
                <w:szCs w:val="20"/>
              </w:rPr>
              <w:t>(1)</w:t>
            </w:r>
          </w:p>
          <w:p w:rsidR="006C7C44" w:rsidRPr="00E8065F" w:rsidRDefault="006C7C44" w:rsidP="006C7C44">
            <w:pPr>
              <w:jc w:val="center"/>
              <w:rPr>
                <w:sz w:val="20"/>
                <w:szCs w:val="20"/>
              </w:rPr>
            </w:pPr>
            <w:r w:rsidRPr="00E8065F">
              <w:rPr>
                <w:sz w:val="20"/>
                <w:szCs w:val="20"/>
              </w:rPr>
              <w:t>2023</w:t>
            </w:r>
            <w:r w:rsidR="00793DC9">
              <w:rPr>
                <w:sz w:val="20"/>
                <w:szCs w:val="20"/>
              </w:rPr>
              <w:t xml:space="preserve"> </w:t>
            </w:r>
            <w:r>
              <w:rPr>
                <w:sz w:val="20"/>
                <w:szCs w:val="20"/>
              </w:rPr>
              <w:t>(1)</w:t>
            </w:r>
          </w:p>
        </w:tc>
        <w:tc>
          <w:tcPr>
            <w:tcW w:w="1181" w:type="dxa"/>
            <w:tcBorders>
              <w:top w:val="nil"/>
              <w:left w:val="single" w:sz="4" w:space="0" w:color="auto"/>
              <w:bottom w:val="single" w:sz="4" w:space="0" w:color="auto"/>
              <w:right w:val="single" w:sz="4" w:space="0" w:color="auto"/>
            </w:tcBorders>
            <w:shd w:val="clear" w:color="auto" w:fill="auto"/>
          </w:tcPr>
          <w:p w:rsidR="006C7C44" w:rsidRPr="00271D0A" w:rsidRDefault="006C7C44" w:rsidP="006C7C44">
            <w:pPr>
              <w:jc w:val="center"/>
              <w:rPr>
                <w:color w:val="000000"/>
                <w:sz w:val="20"/>
                <w:szCs w:val="20"/>
              </w:rPr>
            </w:pPr>
            <w:r w:rsidRPr="00271D0A">
              <w:rPr>
                <w:color w:val="000000"/>
                <w:sz w:val="20"/>
                <w:szCs w:val="20"/>
              </w:rPr>
              <w:t>12</w:t>
            </w:r>
          </w:p>
        </w:tc>
        <w:tc>
          <w:tcPr>
            <w:tcW w:w="1478" w:type="dxa"/>
            <w:tcBorders>
              <w:top w:val="nil"/>
              <w:left w:val="single" w:sz="4" w:space="0" w:color="auto"/>
              <w:bottom w:val="single" w:sz="4" w:space="0" w:color="auto"/>
              <w:right w:val="single" w:sz="4" w:space="0" w:color="auto"/>
            </w:tcBorders>
            <w:shd w:val="clear" w:color="auto" w:fill="auto"/>
          </w:tcPr>
          <w:p w:rsidR="006C7C44" w:rsidRPr="00E8065F" w:rsidRDefault="006C7C44" w:rsidP="006C7C44">
            <w:pPr>
              <w:jc w:val="center"/>
              <w:rPr>
                <w:color w:val="000000"/>
                <w:sz w:val="20"/>
                <w:szCs w:val="20"/>
              </w:rPr>
            </w:pPr>
            <w:r w:rsidRPr="00E8065F">
              <w:rPr>
                <w:color w:val="000000"/>
                <w:sz w:val="20"/>
                <w:szCs w:val="20"/>
              </w:rPr>
              <w:t>307,7</w:t>
            </w:r>
          </w:p>
        </w:tc>
        <w:tc>
          <w:tcPr>
            <w:tcW w:w="1111" w:type="dxa"/>
            <w:tcBorders>
              <w:top w:val="nil"/>
              <w:left w:val="nil"/>
              <w:bottom w:val="single" w:sz="4" w:space="0" w:color="auto"/>
              <w:right w:val="single" w:sz="4" w:space="0" w:color="auto"/>
            </w:tcBorders>
            <w:shd w:val="clear" w:color="auto" w:fill="auto"/>
          </w:tcPr>
          <w:p w:rsidR="006C7C44" w:rsidRPr="00E8065F" w:rsidRDefault="006C7C44" w:rsidP="006C7C44">
            <w:pPr>
              <w:jc w:val="center"/>
              <w:rPr>
                <w:color w:val="000000"/>
                <w:sz w:val="20"/>
                <w:szCs w:val="20"/>
              </w:rPr>
            </w:pPr>
            <w:r w:rsidRPr="00E8065F">
              <w:rPr>
                <w:color w:val="000000"/>
                <w:sz w:val="20"/>
                <w:szCs w:val="20"/>
              </w:rPr>
              <w:t>1</w:t>
            </w:r>
          </w:p>
        </w:tc>
        <w:tc>
          <w:tcPr>
            <w:tcW w:w="1944" w:type="dxa"/>
            <w:tcBorders>
              <w:top w:val="nil"/>
              <w:left w:val="single" w:sz="4" w:space="0" w:color="auto"/>
              <w:bottom w:val="single" w:sz="4" w:space="0" w:color="auto"/>
              <w:right w:val="single" w:sz="4" w:space="0" w:color="auto"/>
            </w:tcBorders>
            <w:shd w:val="clear" w:color="auto" w:fill="auto"/>
          </w:tcPr>
          <w:p w:rsidR="006C7C44" w:rsidRPr="00E8065F" w:rsidRDefault="006C7C44" w:rsidP="006C7C44">
            <w:pPr>
              <w:jc w:val="center"/>
              <w:rPr>
                <w:color w:val="000000"/>
                <w:sz w:val="20"/>
                <w:szCs w:val="20"/>
              </w:rPr>
            </w:pPr>
            <w:r w:rsidRPr="00E8065F">
              <w:rPr>
                <w:color w:val="000000"/>
                <w:sz w:val="20"/>
                <w:szCs w:val="20"/>
              </w:rPr>
              <w:t>Амбулаторное/стационарное</w:t>
            </w:r>
          </w:p>
        </w:tc>
      </w:tr>
      <w:tr w:rsidR="006C7C44" w:rsidRPr="00E8065F" w:rsidTr="000546C2">
        <w:trPr>
          <w:trHeight w:val="20"/>
        </w:trPr>
        <w:tc>
          <w:tcPr>
            <w:tcW w:w="1555" w:type="dxa"/>
            <w:vMerge/>
          </w:tcPr>
          <w:p w:rsidR="006C7C44" w:rsidRPr="00E8065F" w:rsidRDefault="006C7C44" w:rsidP="006C7C44">
            <w:pPr>
              <w:rPr>
                <w:color w:val="000000"/>
                <w:sz w:val="20"/>
                <w:szCs w:val="20"/>
              </w:rPr>
            </w:pPr>
          </w:p>
        </w:tc>
        <w:tc>
          <w:tcPr>
            <w:tcW w:w="3685" w:type="dxa"/>
            <w:tcBorders>
              <w:top w:val="nil"/>
              <w:left w:val="single" w:sz="4" w:space="0" w:color="auto"/>
              <w:bottom w:val="single" w:sz="4" w:space="0" w:color="auto"/>
              <w:right w:val="single" w:sz="4" w:space="0" w:color="auto"/>
            </w:tcBorders>
            <w:shd w:val="clear" w:color="auto" w:fill="auto"/>
          </w:tcPr>
          <w:p w:rsidR="006C7C44" w:rsidRPr="00E8065F" w:rsidRDefault="006C7C44" w:rsidP="006C7C44">
            <w:pPr>
              <w:jc w:val="both"/>
              <w:rPr>
                <w:color w:val="000000"/>
                <w:sz w:val="20"/>
                <w:szCs w:val="20"/>
              </w:rPr>
            </w:pPr>
            <w:r>
              <w:rPr>
                <w:color w:val="0D0D0D" w:themeColor="text1" w:themeTint="F2"/>
                <w:sz w:val="20"/>
                <w:szCs w:val="20"/>
              </w:rPr>
              <w:t>ГАУЗ «Клиническая больница № 2» г.Казани</w:t>
            </w:r>
          </w:p>
        </w:tc>
        <w:tc>
          <w:tcPr>
            <w:tcW w:w="1994" w:type="dxa"/>
            <w:shd w:val="clear" w:color="auto" w:fill="auto"/>
          </w:tcPr>
          <w:p w:rsidR="006C7C44" w:rsidRDefault="008B3E41" w:rsidP="006C7C44">
            <w:pPr>
              <w:jc w:val="center"/>
            </w:pPr>
            <w:r>
              <w:rPr>
                <w:sz w:val="20"/>
                <w:szCs w:val="20"/>
              </w:rPr>
              <w:t xml:space="preserve">Аппараты </w:t>
            </w:r>
            <w:r>
              <w:rPr>
                <w:rFonts w:eastAsia="Arial"/>
                <w:sz w:val="20"/>
                <w:szCs w:val="20"/>
              </w:rPr>
              <w:t>для ультразвуковых исследований</w:t>
            </w:r>
          </w:p>
        </w:tc>
        <w:tc>
          <w:tcPr>
            <w:tcW w:w="1181" w:type="dxa"/>
            <w:shd w:val="clear" w:color="auto" w:fill="auto"/>
          </w:tcPr>
          <w:p w:rsidR="006C7C44" w:rsidRPr="00E8065F" w:rsidRDefault="006C7C44" w:rsidP="006C7C44">
            <w:pPr>
              <w:jc w:val="center"/>
              <w:rPr>
                <w:sz w:val="20"/>
                <w:szCs w:val="20"/>
              </w:rPr>
            </w:pPr>
            <w:r w:rsidRPr="00E8065F">
              <w:rPr>
                <w:sz w:val="20"/>
                <w:szCs w:val="20"/>
              </w:rPr>
              <w:t>2007</w:t>
            </w:r>
            <w:r w:rsidR="00793DC9">
              <w:rPr>
                <w:sz w:val="20"/>
                <w:szCs w:val="20"/>
              </w:rPr>
              <w:t xml:space="preserve"> </w:t>
            </w:r>
            <w:r>
              <w:rPr>
                <w:sz w:val="20"/>
                <w:szCs w:val="20"/>
              </w:rPr>
              <w:t>(1)</w:t>
            </w:r>
          </w:p>
          <w:p w:rsidR="006C7C44" w:rsidRPr="00E8065F" w:rsidRDefault="006C7C44" w:rsidP="006C7C44">
            <w:pPr>
              <w:jc w:val="center"/>
              <w:rPr>
                <w:sz w:val="20"/>
                <w:szCs w:val="20"/>
              </w:rPr>
            </w:pPr>
            <w:r w:rsidRPr="00E8065F">
              <w:rPr>
                <w:sz w:val="20"/>
                <w:szCs w:val="20"/>
              </w:rPr>
              <w:t>2009</w:t>
            </w:r>
            <w:r w:rsidR="00793DC9">
              <w:rPr>
                <w:sz w:val="20"/>
                <w:szCs w:val="20"/>
              </w:rPr>
              <w:t xml:space="preserve"> </w:t>
            </w:r>
            <w:r>
              <w:rPr>
                <w:sz w:val="20"/>
                <w:szCs w:val="20"/>
              </w:rPr>
              <w:t>(1)</w:t>
            </w:r>
          </w:p>
          <w:p w:rsidR="006C7C44" w:rsidRPr="00E8065F" w:rsidRDefault="006C7C44" w:rsidP="006C7C44">
            <w:pPr>
              <w:jc w:val="center"/>
              <w:rPr>
                <w:sz w:val="20"/>
                <w:szCs w:val="20"/>
              </w:rPr>
            </w:pPr>
            <w:r w:rsidRPr="00E8065F">
              <w:rPr>
                <w:sz w:val="20"/>
                <w:szCs w:val="20"/>
              </w:rPr>
              <w:t>2013</w:t>
            </w:r>
            <w:r w:rsidR="00793DC9">
              <w:rPr>
                <w:sz w:val="20"/>
                <w:szCs w:val="20"/>
              </w:rPr>
              <w:t xml:space="preserve"> </w:t>
            </w:r>
            <w:r>
              <w:rPr>
                <w:sz w:val="20"/>
                <w:szCs w:val="20"/>
              </w:rPr>
              <w:t>(1)</w:t>
            </w:r>
          </w:p>
          <w:p w:rsidR="006C7C44" w:rsidRPr="00E8065F" w:rsidRDefault="006C7C44" w:rsidP="006C7C44">
            <w:pPr>
              <w:jc w:val="center"/>
              <w:rPr>
                <w:sz w:val="20"/>
                <w:szCs w:val="20"/>
              </w:rPr>
            </w:pPr>
            <w:r w:rsidRPr="00E8065F">
              <w:rPr>
                <w:sz w:val="20"/>
                <w:szCs w:val="20"/>
              </w:rPr>
              <w:t>2014</w:t>
            </w:r>
            <w:r w:rsidR="00793DC9">
              <w:rPr>
                <w:sz w:val="20"/>
                <w:szCs w:val="20"/>
              </w:rPr>
              <w:t xml:space="preserve"> </w:t>
            </w:r>
            <w:r>
              <w:rPr>
                <w:sz w:val="20"/>
                <w:szCs w:val="20"/>
              </w:rPr>
              <w:t>(1)</w:t>
            </w:r>
          </w:p>
          <w:p w:rsidR="006C7C44" w:rsidRPr="00E8065F" w:rsidRDefault="006C7C44" w:rsidP="006C7C44">
            <w:pPr>
              <w:jc w:val="center"/>
              <w:rPr>
                <w:sz w:val="20"/>
                <w:szCs w:val="20"/>
              </w:rPr>
            </w:pPr>
            <w:r w:rsidRPr="00E8065F">
              <w:rPr>
                <w:sz w:val="20"/>
                <w:szCs w:val="20"/>
              </w:rPr>
              <w:t>2016</w:t>
            </w:r>
            <w:r w:rsidR="00793DC9">
              <w:rPr>
                <w:sz w:val="20"/>
                <w:szCs w:val="20"/>
              </w:rPr>
              <w:t xml:space="preserve"> </w:t>
            </w:r>
            <w:r>
              <w:rPr>
                <w:sz w:val="20"/>
                <w:szCs w:val="20"/>
              </w:rPr>
              <w:t>(1)</w:t>
            </w:r>
          </w:p>
          <w:p w:rsidR="006C7C44" w:rsidRPr="00E8065F" w:rsidRDefault="006C7C44" w:rsidP="006C7C44">
            <w:pPr>
              <w:jc w:val="center"/>
              <w:rPr>
                <w:sz w:val="20"/>
                <w:szCs w:val="20"/>
              </w:rPr>
            </w:pPr>
            <w:r w:rsidRPr="00E8065F">
              <w:rPr>
                <w:sz w:val="20"/>
                <w:szCs w:val="20"/>
              </w:rPr>
              <w:t>2018</w:t>
            </w:r>
            <w:r w:rsidR="00793DC9">
              <w:rPr>
                <w:sz w:val="20"/>
                <w:szCs w:val="20"/>
              </w:rPr>
              <w:t xml:space="preserve"> </w:t>
            </w:r>
            <w:r>
              <w:rPr>
                <w:sz w:val="20"/>
                <w:szCs w:val="20"/>
              </w:rPr>
              <w:t>(2)</w:t>
            </w:r>
          </w:p>
          <w:p w:rsidR="006C7C44" w:rsidRPr="00E8065F" w:rsidRDefault="006C7C44" w:rsidP="006C7C44">
            <w:pPr>
              <w:jc w:val="center"/>
              <w:rPr>
                <w:sz w:val="20"/>
                <w:szCs w:val="20"/>
              </w:rPr>
            </w:pPr>
            <w:r w:rsidRPr="00E8065F">
              <w:rPr>
                <w:sz w:val="20"/>
                <w:szCs w:val="20"/>
              </w:rPr>
              <w:t>2020</w:t>
            </w:r>
            <w:r w:rsidR="00793DC9">
              <w:rPr>
                <w:sz w:val="20"/>
                <w:szCs w:val="20"/>
              </w:rPr>
              <w:t xml:space="preserve"> </w:t>
            </w:r>
            <w:r>
              <w:rPr>
                <w:sz w:val="20"/>
                <w:szCs w:val="20"/>
              </w:rPr>
              <w:t>(3)</w:t>
            </w:r>
          </w:p>
          <w:p w:rsidR="006C7C44" w:rsidRPr="00E8065F" w:rsidRDefault="006C7C44" w:rsidP="006C7C44">
            <w:pPr>
              <w:jc w:val="center"/>
              <w:rPr>
                <w:sz w:val="20"/>
                <w:szCs w:val="20"/>
              </w:rPr>
            </w:pPr>
            <w:r w:rsidRPr="00E8065F">
              <w:rPr>
                <w:sz w:val="20"/>
                <w:szCs w:val="20"/>
              </w:rPr>
              <w:t>2022</w:t>
            </w:r>
            <w:r w:rsidR="00793DC9">
              <w:rPr>
                <w:sz w:val="20"/>
                <w:szCs w:val="20"/>
              </w:rPr>
              <w:t xml:space="preserve"> </w:t>
            </w:r>
            <w:r>
              <w:rPr>
                <w:sz w:val="20"/>
                <w:szCs w:val="20"/>
              </w:rPr>
              <w:t>(1)</w:t>
            </w:r>
          </w:p>
          <w:p w:rsidR="006C7C44" w:rsidRPr="00E8065F" w:rsidRDefault="006C7C44" w:rsidP="006C7C44">
            <w:pPr>
              <w:jc w:val="center"/>
              <w:rPr>
                <w:sz w:val="20"/>
                <w:szCs w:val="20"/>
              </w:rPr>
            </w:pPr>
            <w:r w:rsidRPr="00E8065F">
              <w:rPr>
                <w:sz w:val="20"/>
                <w:szCs w:val="20"/>
              </w:rPr>
              <w:t>2023</w:t>
            </w:r>
            <w:r w:rsidR="00793DC9">
              <w:rPr>
                <w:sz w:val="20"/>
                <w:szCs w:val="20"/>
              </w:rPr>
              <w:t xml:space="preserve"> </w:t>
            </w:r>
            <w:r>
              <w:rPr>
                <w:sz w:val="20"/>
                <w:szCs w:val="20"/>
              </w:rPr>
              <w:t>(5)</w:t>
            </w:r>
          </w:p>
        </w:tc>
        <w:tc>
          <w:tcPr>
            <w:tcW w:w="1181" w:type="dxa"/>
            <w:tcBorders>
              <w:top w:val="nil"/>
              <w:left w:val="single" w:sz="4" w:space="0" w:color="auto"/>
              <w:bottom w:val="single" w:sz="4" w:space="0" w:color="auto"/>
              <w:right w:val="single" w:sz="4" w:space="0" w:color="auto"/>
            </w:tcBorders>
            <w:shd w:val="clear" w:color="auto" w:fill="auto"/>
          </w:tcPr>
          <w:p w:rsidR="006C7C44" w:rsidRPr="00271D0A" w:rsidRDefault="006C7C44" w:rsidP="006C7C44">
            <w:pPr>
              <w:jc w:val="center"/>
              <w:rPr>
                <w:color w:val="000000"/>
                <w:sz w:val="20"/>
                <w:szCs w:val="20"/>
              </w:rPr>
            </w:pPr>
            <w:r w:rsidRPr="00271D0A">
              <w:rPr>
                <w:color w:val="000000"/>
                <w:sz w:val="20"/>
                <w:szCs w:val="20"/>
              </w:rPr>
              <w:t>16</w:t>
            </w:r>
          </w:p>
        </w:tc>
        <w:tc>
          <w:tcPr>
            <w:tcW w:w="1478" w:type="dxa"/>
            <w:tcBorders>
              <w:top w:val="nil"/>
              <w:left w:val="single" w:sz="4" w:space="0" w:color="auto"/>
              <w:bottom w:val="single" w:sz="4" w:space="0" w:color="auto"/>
              <w:right w:val="single" w:sz="4" w:space="0" w:color="auto"/>
            </w:tcBorders>
            <w:shd w:val="clear" w:color="auto" w:fill="auto"/>
          </w:tcPr>
          <w:p w:rsidR="006C7C44" w:rsidRPr="00E8065F" w:rsidRDefault="006C7C44" w:rsidP="006C7C44">
            <w:pPr>
              <w:jc w:val="center"/>
              <w:rPr>
                <w:color w:val="000000"/>
                <w:sz w:val="20"/>
                <w:szCs w:val="20"/>
              </w:rPr>
            </w:pPr>
            <w:r w:rsidRPr="00E8065F">
              <w:rPr>
                <w:color w:val="000000"/>
                <w:sz w:val="20"/>
                <w:szCs w:val="20"/>
              </w:rPr>
              <w:t>153,8</w:t>
            </w:r>
          </w:p>
        </w:tc>
        <w:tc>
          <w:tcPr>
            <w:tcW w:w="1111" w:type="dxa"/>
            <w:tcBorders>
              <w:top w:val="nil"/>
              <w:left w:val="nil"/>
              <w:bottom w:val="single" w:sz="4" w:space="0" w:color="auto"/>
              <w:right w:val="single" w:sz="4" w:space="0" w:color="auto"/>
            </w:tcBorders>
            <w:shd w:val="clear" w:color="auto" w:fill="auto"/>
          </w:tcPr>
          <w:p w:rsidR="006C7C44" w:rsidRPr="00E8065F" w:rsidRDefault="006C7C44" w:rsidP="006C7C44">
            <w:pPr>
              <w:jc w:val="center"/>
              <w:rPr>
                <w:color w:val="000000"/>
                <w:sz w:val="20"/>
                <w:szCs w:val="20"/>
              </w:rPr>
            </w:pPr>
            <w:r w:rsidRPr="00E8065F">
              <w:rPr>
                <w:color w:val="000000"/>
                <w:sz w:val="20"/>
                <w:szCs w:val="20"/>
              </w:rPr>
              <w:t>1</w:t>
            </w:r>
          </w:p>
        </w:tc>
        <w:tc>
          <w:tcPr>
            <w:tcW w:w="1944" w:type="dxa"/>
            <w:tcBorders>
              <w:top w:val="nil"/>
              <w:left w:val="single" w:sz="4" w:space="0" w:color="auto"/>
              <w:bottom w:val="single" w:sz="4" w:space="0" w:color="auto"/>
              <w:right w:val="single" w:sz="4" w:space="0" w:color="auto"/>
            </w:tcBorders>
            <w:shd w:val="clear" w:color="auto" w:fill="auto"/>
          </w:tcPr>
          <w:p w:rsidR="006C7C44" w:rsidRPr="00E8065F" w:rsidRDefault="006C7C44" w:rsidP="006C7C44">
            <w:pPr>
              <w:jc w:val="center"/>
              <w:rPr>
                <w:color w:val="000000"/>
                <w:sz w:val="20"/>
                <w:szCs w:val="20"/>
              </w:rPr>
            </w:pPr>
            <w:r w:rsidRPr="00E8065F">
              <w:rPr>
                <w:color w:val="000000"/>
                <w:sz w:val="20"/>
                <w:szCs w:val="20"/>
              </w:rPr>
              <w:t>Амбулаторное/стационарное</w:t>
            </w:r>
          </w:p>
        </w:tc>
      </w:tr>
      <w:tr w:rsidR="006C7C44" w:rsidRPr="00E8065F" w:rsidTr="000546C2">
        <w:trPr>
          <w:trHeight w:val="20"/>
        </w:trPr>
        <w:tc>
          <w:tcPr>
            <w:tcW w:w="1555" w:type="dxa"/>
            <w:vMerge/>
          </w:tcPr>
          <w:p w:rsidR="006C7C44" w:rsidRPr="00E8065F" w:rsidRDefault="006C7C44" w:rsidP="006C7C44">
            <w:pPr>
              <w:rPr>
                <w:color w:val="000000"/>
                <w:sz w:val="20"/>
                <w:szCs w:val="20"/>
              </w:rPr>
            </w:pPr>
          </w:p>
        </w:tc>
        <w:tc>
          <w:tcPr>
            <w:tcW w:w="3685" w:type="dxa"/>
            <w:tcBorders>
              <w:top w:val="nil"/>
              <w:left w:val="single" w:sz="4" w:space="0" w:color="auto"/>
              <w:bottom w:val="single" w:sz="4" w:space="0" w:color="auto"/>
              <w:right w:val="single" w:sz="4" w:space="0" w:color="auto"/>
            </w:tcBorders>
            <w:shd w:val="clear" w:color="auto" w:fill="auto"/>
          </w:tcPr>
          <w:p w:rsidR="006C7C44" w:rsidRDefault="006C7C44" w:rsidP="006C7C44">
            <w:pPr>
              <w:jc w:val="both"/>
              <w:rPr>
                <w:color w:val="000000"/>
                <w:sz w:val="20"/>
                <w:szCs w:val="20"/>
              </w:rPr>
            </w:pPr>
            <w:r>
              <w:rPr>
                <w:color w:val="000000"/>
                <w:sz w:val="20"/>
                <w:szCs w:val="20"/>
              </w:rPr>
              <w:t>ГАУЗ «Городская клиническая больница № 7 им.М.Н.Садыкова» г.Казани</w:t>
            </w:r>
          </w:p>
          <w:p w:rsidR="006C7C44" w:rsidRPr="00E8065F" w:rsidRDefault="006C7C44" w:rsidP="006C7C44">
            <w:pPr>
              <w:jc w:val="both"/>
              <w:rPr>
                <w:color w:val="000000"/>
                <w:sz w:val="20"/>
                <w:szCs w:val="20"/>
              </w:rPr>
            </w:pPr>
          </w:p>
        </w:tc>
        <w:tc>
          <w:tcPr>
            <w:tcW w:w="1994" w:type="dxa"/>
            <w:shd w:val="clear" w:color="auto" w:fill="auto"/>
          </w:tcPr>
          <w:p w:rsidR="006C7C44" w:rsidRDefault="008B3E41" w:rsidP="006C7C44">
            <w:pPr>
              <w:jc w:val="center"/>
            </w:pPr>
            <w:r>
              <w:rPr>
                <w:sz w:val="20"/>
                <w:szCs w:val="20"/>
              </w:rPr>
              <w:t xml:space="preserve">Аппараты </w:t>
            </w:r>
            <w:r>
              <w:rPr>
                <w:rFonts w:eastAsia="Arial"/>
                <w:sz w:val="20"/>
                <w:szCs w:val="20"/>
              </w:rPr>
              <w:t>для ультразвуковых исследований</w:t>
            </w:r>
          </w:p>
        </w:tc>
        <w:tc>
          <w:tcPr>
            <w:tcW w:w="1181" w:type="dxa"/>
            <w:shd w:val="clear" w:color="auto" w:fill="auto"/>
          </w:tcPr>
          <w:p w:rsidR="006C7C44" w:rsidRPr="00E8065F" w:rsidRDefault="006C7C44" w:rsidP="006C7C44">
            <w:pPr>
              <w:jc w:val="center"/>
              <w:rPr>
                <w:sz w:val="20"/>
                <w:szCs w:val="20"/>
              </w:rPr>
            </w:pPr>
            <w:r w:rsidRPr="00E8065F">
              <w:rPr>
                <w:sz w:val="20"/>
                <w:szCs w:val="20"/>
              </w:rPr>
              <w:t>2007</w:t>
            </w:r>
            <w:r w:rsidR="00793DC9">
              <w:rPr>
                <w:sz w:val="20"/>
                <w:szCs w:val="20"/>
              </w:rPr>
              <w:t xml:space="preserve"> </w:t>
            </w:r>
            <w:r>
              <w:rPr>
                <w:sz w:val="20"/>
                <w:szCs w:val="20"/>
              </w:rPr>
              <w:t>(1)</w:t>
            </w:r>
          </w:p>
          <w:p w:rsidR="006C7C44" w:rsidRPr="00E8065F" w:rsidRDefault="006C7C44" w:rsidP="006C7C44">
            <w:pPr>
              <w:jc w:val="center"/>
              <w:rPr>
                <w:sz w:val="20"/>
                <w:szCs w:val="20"/>
              </w:rPr>
            </w:pPr>
            <w:r w:rsidRPr="00E8065F">
              <w:rPr>
                <w:sz w:val="20"/>
                <w:szCs w:val="20"/>
              </w:rPr>
              <w:t>2009</w:t>
            </w:r>
            <w:r w:rsidR="00793DC9">
              <w:rPr>
                <w:sz w:val="20"/>
                <w:szCs w:val="20"/>
              </w:rPr>
              <w:t xml:space="preserve"> </w:t>
            </w:r>
            <w:r>
              <w:rPr>
                <w:sz w:val="20"/>
                <w:szCs w:val="20"/>
              </w:rPr>
              <w:t>(1)</w:t>
            </w:r>
          </w:p>
          <w:p w:rsidR="006C7C44" w:rsidRPr="00E8065F" w:rsidRDefault="006C7C44" w:rsidP="006C7C44">
            <w:pPr>
              <w:jc w:val="center"/>
              <w:rPr>
                <w:sz w:val="20"/>
                <w:szCs w:val="20"/>
              </w:rPr>
            </w:pPr>
            <w:r w:rsidRPr="00E8065F">
              <w:rPr>
                <w:sz w:val="20"/>
                <w:szCs w:val="20"/>
              </w:rPr>
              <w:t>2010</w:t>
            </w:r>
            <w:r w:rsidR="00793DC9">
              <w:rPr>
                <w:sz w:val="20"/>
                <w:szCs w:val="20"/>
              </w:rPr>
              <w:t xml:space="preserve"> </w:t>
            </w:r>
            <w:r>
              <w:rPr>
                <w:sz w:val="20"/>
                <w:szCs w:val="20"/>
              </w:rPr>
              <w:t>(1)</w:t>
            </w:r>
          </w:p>
          <w:p w:rsidR="006C7C44" w:rsidRPr="00E8065F" w:rsidRDefault="006C7C44" w:rsidP="006C7C44">
            <w:pPr>
              <w:jc w:val="center"/>
              <w:rPr>
                <w:sz w:val="20"/>
                <w:szCs w:val="20"/>
              </w:rPr>
            </w:pPr>
            <w:r w:rsidRPr="00E8065F">
              <w:rPr>
                <w:sz w:val="20"/>
                <w:szCs w:val="20"/>
              </w:rPr>
              <w:t>2012</w:t>
            </w:r>
            <w:r w:rsidR="00793DC9">
              <w:rPr>
                <w:sz w:val="20"/>
                <w:szCs w:val="20"/>
              </w:rPr>
              <w:t xml:space="preserve"> </w:t>
            </w:r>
            <w:r>
              <w:rPr>
                <w:sz w:val="20"/>
                <w:szCs w:val="20"/>
              </w:rPr>
              <w:t>(10)</w:t>
            </w:r>
          </w:p>
          <w:p w:rsidR="006C7C44" w:rsidRPr="00E8065F" w:rsidRDefault="006C7C44" w:rsidP="006C7C44">
            <w:pPr>
              <w:jc w:val="center"/>
              <w:rPr>
                <w:sz w:val="20"/>
                <w:szCs w:val="20"/>
              </w:rPr>
            </w:pPr>
            <w:r w:rsidRPr="00E8065F">
              <w:rPr>
                <w:sz w:val="20"/>
                <w:szCs w:val="20"/>
              </w:rPr>
              <w:t>2013</w:t>
            </w:r>
            <w:r w:rsidR="00793DC9">
              <w:rPr>
                <w:sz w:val="20"/>
                <w:szCs w:val="20"/>
              </w:rPr>
              <w:t xml:space="preserve"> </w:t>
            </w:r>
            <w:r>
              <w:rPr>
                <w:sz w:val="20"/>
                <w:szCs w:val="20"/>
              </w:rPr>
              <w:t>(16)</w:t>
            </w:r>
          </w:p>
          <w:p w:rsidR="006C7C44" w:rsidRPr="00E8065F" w:rsidRDefault="006C7C44" w:rsidP="006C7C44">
            <w:pPr>
              <w:jc w:val="center"/>
              <w:rPr>
                <w:sz w:val="20"/>
                <w:szCs w:val="20"/>
              </w:rPr>
            </w:pPr>
            <w:r w:rsidRPr="00E8065F">
              <w:rPr>
                <w:sz w:val="20"/>
                <w:szCs w:val="20"/>
              </w:rPr>
              <w:t>2014</w:t>
            </w:r>
            <w:r w:rsidR="00793DC9">
              <w:rPr>
                <w:sz w:val="20"/>
                <w:szCs w:val="20"/>
              </w:rPr>
              <w:t xml:space="preserve"> </w:t>
            </w:r>
            <w:r>
              <w:rPr>
                <w:sz w:val="20"/>
                <w:szCs w:val="20"/>
              </w:rPr>
              <w:t>(2)</w:t>
            </w:r>
          </w:p>
          <w:p w:rsidR="006C7C44" w:rsidRPr="00E8065F" w:rsidRDefault="006C7C44" w:rsidP="006C7C44">
            <w:pPr>
              <w:jc w:val="center"/>
              <w:rPr>
                <w:sz w:val="20"/>
                <w:szCs w:val="20"/>
              </w:rPr>
            </w:pPr>
            <w:r w:rsidRPr="00E8065F">
              <w:rPr>
                <w:sz w:val="20"/>
                <w:szCs w:val="20"/>
              </w:rPr>
              <w:t>2015</w:t>
            </w:r>
            <w:r w:rsidR="00793DC9">
              <w:rPr>
                <w:sz w:val="20"/>
                <w:szCs w:val="20"/>
              </w:rPr>
              <w:t xml:space="preserve"> </w:t>
            </w:r>
            <w:r>
              <w:rPr>
                <w:sz w:val="20"/>
                <w:szCs w:val="20"/>
              </w:rPr>
              <w:t>(1)</w:t>
            </w:r>
          </w:p>
          <w:p w:rsidR="006C7C44" w:rsidRPr="00E8065F" w:rsidRDefault="006C7C44" w:rsidP="006C7C44">
            <w:pPr>
              <w:jc w:val="center"/>
              <w:rPr>
                <w:sz w:val="20"/>
                <w:szCs w:val="20"/>
              </w:rPr>
            </w:pPr>
            <w:r>
              <w:rPr>
                <w:sz w:val="20"/>
                <w:szCs w:val="20"/>
              </w:rPr>
              <w:t>2</w:t>
            </w:r>
            <w:r w:rsidRPr="00E8065F">
              <w:rPr>
                <w:sz w:val="20"/>
                <w:szCs w:val="20"/>
              </w:rPr>
              <w:t>016</w:t>
            </w:r>
            <w:r w:rsidR="00793DC9">
              <w:rPr>
                <w:sz w:val="20"/>
                <w:szCs w:val="20"/>
              </w:rPr>
              <w:t xml:space="preserve"> </w:t>
            </w:r>
            <w:r>
              <w:rPr>
                <w:sz w:val="20"/>
                <w:szCs w:val="20"/>
              </w:rPr>
              <w:t>(3)</w:t>
            </w:r>
          </w:p>
          <w:p w:rsidR="006C7C44" w:rsidRPr="00E8065F" w:rsidRDefault="006C7C44" w:rsidP="006C7C44">
            <w:pPr>
              <w:jc w:val="center"/>
              <w:rPr>
                <w:sz w:val="20"/>
                <w:szCs w:val="20"/>
              </w:rPr>
            </w:pPr>
            <w:r w:rsidRPr="00E8065F">
              <w:rPr>
                <w:sz w:val="20"/>
                <w:szCs w:val="20"/>
              </w:rPr>
              <w:t>2018</w:t>
            </w:r>
            <w:r w:rsidR="00793DC9">
              <w:rPr>
                <w:sz w:val="20"/>
                <w:szCs w:val="20"/>
              </w:rPr>
              <w:t xml:space="preserve"> </w:t>
            </w:r>
            <w:r>
              <w:rPr>
                <w:sz w:val="20"/>
                <w:szCs w:val="20"/>
              </w:rPr>
              <w:t>(2)</w:t>
            </w:r>
          </w:p>
          <w:p w:rsidR="006C7C44" w:rsidRPr="00E8065F" w:rsidRDefault="006C7C44" w:rsidP="006C7C44">
            <w:pPr>
              <w:jc w:val="center"/>
              <w:rPr>
                <w:sz w:val="20"/>
                <w:szCs w:val="20"/>
              </w:rPr>
            </w:pPr>
            <w:r w:rsidRPr="00E8065F">
              <w:rPr>
                <w:sz w:val="20"/>
                <w:szCs w:val="20"/>
              </w:rPr>
              <w:t>2019</w:t>
            </w:r>
            <w:r w:rsidR="00793DC9">
              <w:rPr>
                <w:sz w:val="20"/>
                <w:szCs w:val="20"/>
              </w:rPr>
              <w:t xml:space="preserve"> </w:t>
            </w:r>
            <w:r>
              <w:rPr>
                <w:sz w:val="20"/>
                <w:szCs w:val="20"/>
              </w:rPr>
              <w:t>(2)</w:t>
            </w:r>
          </w:p>
          <w:p w:rsidR="006C7C44" w:rsidRPr="00E8065F" w:rsidRDefault="006C7C44" w:rsidP="006C7C44">
            <w:pPr>
              <w:jc w:val="center"/>
              <w:rPr>
                <w:sz w:val="20"/>
                <w:szCs w:val="20"/>
              </w:rPr>
            </w:pPr>
            <w:r w:rsidRPr="00E8065F">
              <w:rPr>
                <w:sz w:val="20"/>
                <w:szCs w:val="20"/>
              </w:rPr>
              <w:t>2020</w:t>
            </w:r>
            <w:r w:rsidR="00793DC9">
              <w:rPr>
                <w:sz w:val="20"/>
                <w:szCs w:val="20"/>
              </w:rPr>
              <w:t xml:space="preserve"> </w:t>
            </w:r>
            <w:r>
              <w:rPr>
                <w:sz w:val="20"/>
                <w:szCs w:val="20"/>
              </w:rPr>
              <w:t>(2)</w:t>
            </w:r>
          </w:p>
          <w:p w:rsidR="006C7C44" w:rsidRPr="00E8065F" w:rsidRDefault="006C7C44" w:rsidP="006C7C44">
            <w:pPr>
              <w:jc w:val="center"/>
              <w:rPr>
                <w:sz w:val="20"/>
                <w:szCs w:val="20"/>
              </w:rPr>
            </w:pPr>
            <w:r w:rsidRPr="00E8065F">
              <w:rPr>
                <w:sz w:val="20"/>
                <w:szCs w:val="20"/>
              </w:rPr>
              <w:t>2021</w:t>
            </w:r>
            <w:r w:rsidR="00793DC9">
              <w:rPr>
                <w:sz w:val="20"/>
                <w:szCs w:val="20"/>
              </w:rPr>
              <w:t xml:space="preserve"> </w:t>
            </w:r>
            <w:r>
              <w:rPr>
                <w:sz w:val="20"/>
                <w:szCs w:val="20"/>
              </w:rPr>
              <w:t>(7)</w:t>
            </w:r>
          </w:p>
          <w:p w:rsidR="006C7C44" w:rsidRPr="00E8065F" w:rsidRDefault="006C7C44" w:rsidP="006C7C44">
            <w:pPr>
              <w:jc w:val="center"/>
              <w:rPr>
                <w:sz w:val="20"/>
                <w:szCs w:val="20"/>
              </w:rPr>
            </w:pPr>
            <w:r w:rsidRPr="00E8065F">
              <w:rPr>
                <w:sz w:val="20"/>
                <w:szCs w:val="20"/>
              </w:rPr>
              <w:t>2022</w:t>
            </w:r>
            <w:r w:rsidR="00793DC9">
              <w:rPr>
                <w:sz w:val="20"/>
                <w:szCs w:val="20"/>
              </w:rPr>
              <w:t xml:space="preserve"> </w:t>
            </w:r>
            <w:r>
              <w:rPr>
                <w:sz w:val="20"/>
                <w:szCs w:val="20"/>
              </w:rPr>
              <w:t>(1)</w:t>
            </w:r>
          </w:p>
          <w:p w:rsidR="006C7C44" w:rsidRPr="00E8065F" w:rsidRDefault="006C7C44" w:rsidP="006C7C44">
            <w:pPr>
              <w:jc w:val="center"/>
              <w:rPr>
                <w:sz w:val="20"/>
                <w:szCs w:val="20"/>
              </w:rPr>
            </w:pPr>
            <w:r w:rsidRPr="00E8065F">
              <w:rPr>
                <w:sz w:val="20"/>
                <w:szCs w:val="20"/>
              </w:rPr>
              <w:t>2023</w:t>
            </w:r>
            <w:r w:rsidR="00793DC9">
              <w:rPr>
                <w:sz w:val="20"/>
                <w:szCs w:val="20"/>
              </w:rPr>
              <w:t xml:space="preserve"> </w:t>
            </w:r>
            <w:r>
              <w:rPr>
                <w:sz w:val="20"/>
                <w:szCs w:val="20"/>
              </w:rPr>
              <w:t>(3)</w:t>
            </w:r>
          </w:p>
          <w:p w:rsidR="006C7C44" w:rsidRPr="00E8065F" w:rsidRDefault="006C7C44" w:rsidP="006C7C44">
            <w:pPr>
              <w:jc w:val="center"/>
              <w:rPr>
                <w:sz w:val="20"/>
                <w:szCs w:val="20"/>
              </w:rPr>
            </w:pPr>
            <w:r w:rsidRPr="00E8065F">
              <w:rPr>
                <w:sz w:val="20"/>
                <w:szCs w:val="20"/>
              </w:rPr>
              <w:t>2024</w:t>
            </w:r>
            <w:r w:rsidR="00793DC9">
              <w:rPr>
                <w:sz w:val="20"/>
                <w:szCs w:val="20"/>
              </w:rPr>
              <w:t xml:space="preserve"> </w:t>
            </w:r>
            <w:r>
              <w:rPr>
                <w:sz w:val="20"/>
                <w:szCs w:val="20"/>
              </w:rPr>
              <w:t>(9)</w:t>
            </w:r>
          </w:p>
        </w:tc>
        <w:tc>
          <w:tcPr>
            <w:tcW w:w="1181" w:type="dxa"/>
            <w:tcBorders>
              <w:top w:val="nil"/>
              <w:left w:val="single" w:sz="4" w:space="0" w:color="auto"/>
              <w:bottom w:val="single" w:sz="4" w:space="0" w:color="auto"/>
              <w:right w:val="single" w:sz="4" w:space="0" w:color="auto"/>
            </w:tcBorders>
            <w:shd w:val="clear" w:color="auto" w:fill="auto"/>
          </w:tcPr>
          <w:p w:rsidR="006C7C44" w:rsidRPr="00271D0A" w:rsidRDefault="006C7C44" w:rsidP="006C7C44">
            <w:pPr>
              <w:jc w:val="center"/>
              <w:rPr>
                <w:color w:val="000000"/>
                <w:sz w:val="20"/>
                <w:szCs w:val="20"/>
              </w:rPr>
            </w:pPr>
            <w:r w:rsidRPr="00271D0A">
              <w:rPr>
                <w:color w:val="000000"/>
                <w:sz w:val="20"/>
                <w:szCs w:val="20"/>
              </w:rPr>
              <w:t>61</w:t>
            </w:r>
          </w:p>
        </w:tc>
        <w:tc>
          <w:tcPr>
            <w:tcW w:w="1478" w:type="dxa"/>
            <w:tcBorders>
              <w:top w:val="nil"/>
              <w:left w:val="single" w:sz="4" w:space="0" w:color="auto"/>
              <w:bottom w:val="single" w:sz="4" w:space="0" w:color="auto"/>
              <w:right w:val="single" w:sz="4" w:space="0" w:color="auto"/>
            </w:tcBorders>
            <w:shd w:val="clear" w:color="auto" w:fill="auto"/>
          </w:tcPr>
          <w:p w:rsidR="006C7C44" w:rsidRPr="00E8065F" w:rsidRDefault="006C7C44" w:rsidP="006C7C44">
            <w:pPr>
              <w:jc w:val="center"/>
              <w:rPr>
                <w:color w:val="000000"/>
                <w:sz w:val="20"/>
                <w:szCs w:val="20"/>
              </w:rPr>
            </w:pPr>
            <w:r w:rsidRPr="00E8065F">
              <w:rPr>
                <w:color w:val="000000"/>
                <w:sz w:val="20"/>
                <w:szCs w:val="20"/>
              </w:rPr>
              <w:t>2462,7</w:t>
            </w:r>
          </w:p>
        </w:tc>
        <w:tc>
          <w:tcPr>
            <w:tcW w:w="1111" w:type="dxa"/>
            <w:tcBorders>
              <w:top w:val="nil"/>
              <w:left w:val="nil"/>
              <w:bottom w:val="single" w:sz="4" w:space="0" w:color="auto"/>
              <w:right w:val="single" w:sz="4" w:space="0" w:color="auto"/>
            </w:tcBorders>
            <w:shd w:val="clear" w:color="auto" w:fill="auto"/>
          </w:tcPr>
          <w:p w:rsidR="006C7C44" w:rsidRPr="00E8065F" w:rsidRDefault="006C7C44" w:rsidP="006C7C44">
            <w:pPr>
              <w:jc w:val="center"/>
              <w:rPr>
                <w:color w:val="000000"/>
                <w:sz w:val="20"/>
                <w:szCs w:val="20"/>
              </w:rPr>
            </w:pPr>
            <w:r w:rsidRPr="00E8065F">
              <w:rPr>
                <w:color w:val="000000"/>
                <w:sz w:val="20"/>
                <w:szCs w:val="20"/>
              </w:rPr>
              <w:t>1</w:t>
            </w:r>
          </w:p>
        </w:tc>
        <w:tc>
          <w:tcPr>
            <w:tcW w:w="1944" w:type="dxa"/>
            <w:tcBorders>
              <w:top w:val="nil"/>
              <w:left w:val="single" w:sz="4" w:space="0" w:color="auto"/>
              <w:bottom w:val="single" w:sz="4" w:space="0" w:color="auto"/>
              <w:right w:val="single" w:sz="4" w:space="0" w:color="auto"/>
            </w:tcBorders>
            <w:shd w:val="clear" w:color="auto" w:fill="auto"/>
          </w:tcPr>
          <w:p w:rsidR="006C7C44" w:rsidRPr="00E8065F" w:rsidRDefault="006C7C44" w:rsidP="006C7C44">
            <w:pPr>
              <w:jc w:val="center"/>
              <w:rPr>
                <w:color w:val="000000"/>
                <w:sz w:val="20"/>
                <w:szCs w:val="20"/>
              </w:rPr>
            </w:pPr>
            <w:r w:rsidRPr="00E8065F">
              <w:rPr>
                <w:color w:val="000000"/>
                <w:sz w:val="20"/>
                <w:szCs w:val="20"/>
              </w:rPr>
              <w:t>Амбулаторное/стационарное</w:t>
            </w:r>
          </w:p>
        </w:tc>
      </w:tr>
      <w:tr w:rsidR="006C7C44" w:rsidRPr="00E8065F" w:rsidTr="000546C2">
        <w:trPr>
          <w:trHeight w:val="20"/>
        </w:trPr>
        <w:tc>
          <w:tcPr>
            <w:tcW w:w="1555" w:type="dxa"/>
            <w:vMerge/>
          </w:tcPr>
          <w:p w:rsidR="006C7C44" w:rsidRPr="00E8065F" w:rsidRDefault="006C7C44" w:rsidP="006C7C44">
            <w:pPr>
              <w:rPr>
                <w:color w:val="000000"/>
                <w:sz w:val="20"/>
                <w:szCs w:val="20"/>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6C7C44" w:rsidRPr="00E8065F" w:rsidRDefault="006C7C44" w:rsidP="00366A43">
            <w:pPr>
              <w:spacing w:line="233" w:lineRule="auto"/>
              <w:jc w:val="both"/>
              <w:rPr>
                <w:color w:val="000000"/>
                <w:sz w:val="20"/>
                <w:szCs w:val="20"/>
              </w:rPr>
            </w:pPr>
            <w:r w:rsidRPr="00E8065F">
              <w:rPr>
                <w:color w:val="000000"/>
                <w:sz w:val="20"/>
                <w:szCs w:val="20"/>
              </w:rPr>
              <w:t xml:space="preserve">ГАУЗ </w:t>
            </w:r>
            <w:r>
              <w:rPr>
                <w:color w:val="000000"/>
                <w:sz w:val="20"/>
                <w:szCs w:val="20"/>
              </w:rPr>
              <w:t>«</w:t>
            </w:r>
            <w:r w:rsidRPr="00E8065F">
              <w:rPr>
                <w:color w:val="000000"/>
                <w:sz w:val="20"/>
                <w:szCs w:val="20"/>
              </w:rPr>
              <w:t>Городская поликлиника №</w:t>
            </w:r>
            <w:r>
              <w:rPr>
                <w:color w:val="000000"/>
                <w:sz w:val="20"/>
                <w:szCs w:val="20"/>
              </w:rPr>
              <w:t xml:space="preserve"> </w:t>
            </w:r>
            <w:r w:rsidRPr="00E8065F">
              <w:rPr>
                <w:color w:val="000000"/>
                <w:sz w:val="20"/>
                <w:szCs w:val="20"/>
              </w:rPr>
              <w:t>10</w:t>
            </w:r>
            <w:r>
              <w:rPr>
                <w:color w:val="000000"/>
                <w:sz w:val="20"/>
                <w:szCs w:val="20"/>
              </w:rPr>
              <w:t>»</w:t>
            </w:r>
            <w:r w:rsidRPr="00E8065F">
              <w:rPr>
                <w:color w:val="000000"/>
                <w:sz w:val="20"/>
                <w:szCs w:val="20"/>
              </w:rPr>
              <w:t xml:space="preserve"> г.Казан</w:t>
            </w:r>
            <w:r>
              <w:rPr>
                <w:color w:val="000000"/>
                <w:sz w:val="20"/>
                <w:szCs w:val="20"/>
              </w:rPr>
              <w:t>и</w:t>
            </w:r>
          </w:p>
        </w:tc>
        <w:tc>
          <w:tcPr>
            <w:tcW w:w="1994" w:type="dxa"/>
            <w:tcBorders>
              <w:top w:val="single" w:sz="4" w:space="0" w:color="auto"/>
            </w:tcBorders>
            <w:shd w:val="clear" w:color="auto" w:fill="auto"/>
          </w:tcPr>
          <w:p w:rsidR="006C7C44" w:rsidRDefault="008B3E41" w:rsidP="00366A43">
            <w:pPr>
              <w:spacing w:line="233" w:lineRule="auto"/>
              <w:jc w:val="center"/>
            </w:pPr>
            <w:r>
              <w:rPr>
                <w:sz w:val="20"/>
                <w:szCs w:val="20"/>
              </w:rPr>
              <w:t xml:space="preserve">Аппараты </w:t>
            </w:r>
            <w:r>
              <w:rPr>
                <w:rFonts w:eastAsia="Arial"/>
                <w:sz w:val="20"/>
                <w:szCs w:val="20"/>
              </w:rPr>
              <w:t>для ультразвуковых исследований</w:t>
            </w:r>
          </w:p>
        </w:tc>
        <w:tc>
          <w:tcPr>
            <w:tcW w:w="1181" w:type="dxa"/>
            <w:tcBorders>
              <w:top w:val="single" w:sz="4" w:space="0" w:color="auto"/>
            </w:tcBorders>
            <w:shd w:val="clear" w:color="auto" w:fill="auto"/>
          </w:tcPr>
          <w:p w:rsidR="006C7C44" w:rsidRPr="00E8065F" w:rsidRDefault="006C7C44" w:rsidP="00366A43">
            <w:pPr>
              <w:spacing w:line="233" w:lineRule="auto"/>
              <w:jc w:val="center"/>
              <w:rPr>
                <w:sz w:val="20"/>
                <w:szCs w:val="20"/>
              </w:rPr>
            </w:pPr>
            <w:r w:rsidRPr="00E8065F">
              <w:rPr>
                <w:sz w:val="20"/>
                <w:szCs w:val="20"/>
              </w:rPr>
              <w:t>2014</w:t>
            </w:r>
            <w:r w:rsidR="00793DC9">
              <w:rPr>
                <w:sz w:val="20"/>
                <w:szCs w:val="20"/>
              </w:rPr>
              <w:t xml:space="preserve"> </w:t>
            </w:r>
            <w:r>
              <w:rPr>
                <w:sz w:val="20"/>
                <w:szCs w:val="20"/>
              </w:rPr>
              <w:t>(1)</w:t>
            </w:r>
          </w:p>
          <w:p w:rsidR="006C7C44" w:rsidRPr="00E8065F" w:rsidRDefault="006C7C44" w:rsidP="00366A43">
            <w:pPr>
              <w:spacing w:line="233" w:lineRule="auto"/>
              <w:jc w:val="center"/>
              <w:rPr>
                <w:sz w:val="20"/>
                <w:szCs w:val="20"/>
              </w:rPr>
            </w:pPr>
            <w:r w:rsidRPr="00E8065F">
              <w:rPr>
                <w:sz w:val="20"/>
                <w:szCs w:val="20"/>
              </w:rPr>
              <w:t>2018</w:t>
            </w:r>
            <w:r w:rsidR="00793DC9">
              <w:rPr>
                <w:sz w:val="20"/>
                <w:szCs w:val="20"/>
              </w:rPr>
              <w:t xml:space="preserve"> </w:t>
            </w:r>
            <w:r>
              <w:rPr>
                <w:sz w:val="20"/>
                <w:szCs w:val="20"/>
              </w:rPr>
              <w:t>(2)</w:t>
            </w:r>
          </w:p>
          <w:p w:rsidR="006C7C44" w:rsidRPr="00E8065F" w:rsidRDefault="006C7C44" w:rsidP="00366A43">
            <w:pPr>
              <w:spacing w:line="233" w:lineRule="auto"/>
              <w:jc w:val="center"/>
              <w:rPr>
                <w:sz w:val="20"/>
                <w:szCs w:val="20"/>
              </w:rPr>
            </w:pPr>
            <w:r w:rsidRPr="00E8065F">
              <w:rPr>
                <w:sz w:val="20"/>
                <w:szCs w:val="20"/>
              </w:rPr>
              <w:t>2022</w:t>
            </w:r>
            <w:r w:rsidR="00793DC9">
              <w:rPr>
                <w:sz w:val="20"/>
                <w:szCs w:val="20"/>
              </w:rPr>
              <w:t xml:space="preserve"> </w:t>
            </w:r>
            <w:r>
              <w:rPr>
                <w:sz w:val="20"/>
                <w:szCs w:val="20"/>
              </w:rPr>
              <w:t>(1)</w:t>
            </w:r>
          </w:p>
          <w:p w:rsidR="006C7C44" w:rsidRPr="00E8065F" w:rsidRDefault="006C7C44" w:rsidP="00366A43">
            <w:pPr>
              <w:spacing w:line="233" w:lineRule="auto"/>
              <w:jc w:val="center"/>
              <w:rPr>
                <w:sz w:val="20"/>
                <w:szCs w:val="20"/>
              </w:rPr>
            </w:pPr>
            <w:r w:rsidRPr="00E8065F">
              <w:rPr>
                <w:sz w:val="20"/>
                <w:szCs w:val="20"/>
              </w:rPr>
              <w:t>2023</w:t>
            </w:r>
            <w:r w:rsidR="00793DC9">
              <w:rPr>
                <w:sz w:val="20"/>
                <w:szCs w:val="20"/>
              </w:rPr>
              <w:t xml:space="preserve"> </w:t>
            </w:r>
            <w:r>
              <w:rPr>
                <w:sz w:val="20"/>
                <w:szCs w:val="20"/>
              </w:rPr>
              <w:t>(2)</w:t>
            </w:r>
          </w:p>
        </w:tc>
        <w:tc>
          <w:tcPr>
            <w:tcW w:w="1181" w:type="dxa"/>
            <w:tcBorders>
              <w:top w:val="single" w:sz="4" w:space="0" w:color="auto"/>
              <w:left w:val="single" w:sz="4" w:space="0" w:color="auto"/>
              <w:bottom w:val="single" w:sz="4" w:space="0" w:color="auto"/>
              <w:right w:val="single" w:sz="4" w:space="0" w:color="auto"/>
            </w:tcBorders>
            <w:shd w:val="clear" w:color="auto" w:fill="auto"/>
          </w:tcPr>
          <w:p w:rsidR="006C7C44" w:rsidRPr="00271D0A" w:rsidRDefault="006C7C44" w:rsidP="00366A43">
            <w:pPr>
              <w:spacing w:line="233" w:lineRule="auto"/>
              <w:jc w:val="center"/>
              <w:rPr>
                <w:color w:val="000000"/>
                <w:sz w:val="20"/>
                <w:szCs w:val="20"/>
              </w:rPr>
            </w:pPr>
            <w:r w:rsidRPr="00271D0A">
              <w:rPr>
                <w:color w:val="000000"/>
                <w:sz w:val="20"/>
                <w:szCs w:val="20"/>
              </w:rPr>
              <w:t>6</w:t>
            </w:r>
          </w:p>
        </w:tc>
        <w:tc>
          <w:tcPr>
            <w:tcW w:w="1478" w:type="dxa"/>
            <w:tcBorders>
              <w:top w:val="single" w:sz="4" w:space="0" w:color="auto"/>
              <w:left w:val="single" w:sz="4" w:space="0" w:color="auto"/>
              <w:bottom w:val="single" w:sz="4" w:space="0" w:color="auto"/>
              <w:right w:val="single" w:sz="4" w:space="0" w:color="auto"/>
            </w:tcBorders>
            <w:shd w:val="clear" w:color="auto" w:fill="auto"/>
          </w:tcPr>
          <w:p w:rsidR="006C7C44" w:rsidRPr="00E8065F" w:rsidRDefault="006C7C44" w:rsidP="00366A43">
            <w:pPr>
              <w:spacing w:line="233" w:lineRule="auto"/>
              <w:jc w:val="center"/>
              <w:rPr>
                <w:color w:val="000000"/>
                <w:sz w:val="20"/>
                <w:szCs w:val="20"/>
              </w:rPr>
            </w:pPr>
            <w:r w:rsidRPr="00E8065F">
              <w:rPr>
                <w:color w:val="000000"/>
                <w:sz w:val="20"/>
                <w:szCs w:val="20"/>
              </w:rPr>
              <w:t>162,8</w:t>
            </w:r>
          </w:p>
        </w:tc>
        <w:tc>
          <w:tcPr>
            <w:tcW w:w="1111" w:type="dxa"/>
            <w:tcBorders>
              <w:top w:val="single" w:sz="4" w:space="0" w:color="auto"/>
              <w:left w:val="nil"/>
              <w:bottom w:val="single" w:sz="4" w:space="0" w:color="auto"/>
              <w:right w:val="single" w:sz="4" w:space="0" w:color="auto"/>
            </w:tcBorders>
            <w:shd w:val="clear" w:color="auto" w:fill="auto"/>
          </w:tcPr>
          <w:p w:rsidR="006C7C44" w:rsidRPr="00E8065F" w:rsidRDefault="006C7C44" w:rsidP="00366A43">
            <w:pPr>
              <w:spacing w:line="233" w:lineRule="auto"/>
              <w:jc w:val="center"/>
              <w:rPr>
                <w:color w:val="000000"/>
                <w:sz w:val="20"/>
                <w:szCs w:val="20"/>
              </w:rPr>
            </w:pPr>
            <w:r w:rsidRPr="00E8065F">
              <w:rPr>
                <w:color w:val="000000"/>
                <w:sz w:val="20"/>
                <w:szCs w:val="20"/>
              </w:rPr>
              <w:t>1</w:t>
            </w:r>
          </w:p>
        </w:tc>
        <w:tc>
          <w:tcPr>
            <w:tcW w:w="1944" w:type="dxa"/>
            <w:tcBorders>
              <w:top w:val="single" w:sz="4" w:space="0" w:color="auto"/>
              <w:left w:val="single" w:sz="4" w:space="0" w:color="auto"/>
              <w:bottom w:val="single" w:sz="4" w:space="0" w:color="auto"/>
              <w:right w:val="single" w:sz="4" w:space="0" w:color="auto"/>
            </w:tcBorders>
            <w:shd w:val="clear" w:color="auto" w:fill="auto"/>
          </w:tcPr>
          <w:p w:rsidR="006C7C44" w:rsidRPr="00E8065F" w:rsidRDefault="006C7C44" w:rsidP="00366A43">
            <w:pPr>
              <w:spacing w:line="233" w:lineRule="auto"/>
              <w:jc w:val="center"/>
              <w:rPr>
                <w:color w:val="000000"/>
                <w:sz w:val="20"/>
                <w:szCs w:val="20"/>
              </w:rPr>
            </w:pPr>
            <w:r w:rsidRPr="00E8065F">
              <w:rPr>
                <w:color w:val="000000"/>
                <w:sz w:val="20"/>
                <w:szCs w:val="20"/>
              </w:rPr>
              <w:t>Амбулаторное</w:t>
            </w:r>
          </w:p>
        </w:tc>
      </w:tr>
      <w:tr w:rsidR="006C7C44" w:rsidRPr="00E8065F" w:rsidTr="000546C2">
        <w:trPr>
          <w:trHeight w:val="20"/>
        </w:trPr>
        <w:tc>
          <w:tcPr>
            <w:tcW w:w="1555" w:type="dxa"/>
            <w:vMerge/>
          </w:tcPr>
          <w:p w:rsidR="006C7C44" w:rsidRPr="00E8065F" w:rsidRDefault="006C7C44" w:rsidP="006C7C44">
            <w:pPr>
              <w:rPr>
                <w:color w:val="000000"/>
                <w:sz w:val="20"/>
                <w:szCs w:val="20"/>
              </w:rPr>
            </w:pPr>
          </w:p>
        </w:tc>
        <w:tc>
          <w:tcPr>
            <w:tcW w:w="3685" w:type="dxa"/>
            <w:tcBorders>
              <w:top w:val="nil"/>
              <w:left w:val="single" w:sz="4" w:space="0" w:color="auto"/>
              <w:bottom w:val="single" w:sz="4" w:space="0" w:color="auto"/>
              <w:right w:val="single" w:sz="4" w:space="0" w:color="auto"/>
            </w:tcBorders>
            <w:shd w:val="clear" w:color="auto" w:fill="auto"/>
          </w:tcPr>
          <w:p w:rsidR="006C7C44" w:rsidRPr="00E8065F" w:rsidRDefault="006C7C44" w:rsidP="00366A43">
            <w:pPr>
              <w:spacing w:line="233" w:lineRule="auto"/>
              <w:jc w:val="both"/>
              <w:rPr>
                <w:color w:val="000000"/>
                <w:sz w:val="20"/>
                <w:szCs w:val="20"/>
              </w:rPr>
            </w:pPr>
            <w:r w:rsidRPr="00E8065F">
              <w:rPr>
                <w:color w:val="000000"/>
                <w:sz w:val="20"/>
                <w:szCs w:val="20"/>
              </w:rPr>
              <w:t xml:space="preserve">ГАУЗ </w:t>
            </w:r>
            <w:r>
              <w:rPr>
                <w:color w:val="000000"/>
                <w:sz w:val="20"/>
                <w:szCs w:val="20"/>
              </w:rPr>
              <w:t>«</w:t>
            </w:r>
            <w:r w:rsidRPr="00E8065F">
              <w:rPr>
                <w:color w:val="000000"/>
                <w:sz w:val="20"/>
                <w:szCs w:val="20"/>
              </w:rPr>
              <w:t>Городская поликлиника №</w:t>
            </w:r>
            <w:r>
              <w:rPr>
                <w:color w:val="000000"/>
                <w:sz w:val="20"/>
                <w:szCs w:val="20"/>
              </w:rPr>
              <w:t xml:space="preserve"> </w:t>
            </w:r>
            <w:r w:rsidRPr="00E8065F">
              <w:rPr>
                <w:color w:val="000000"/>
                <w:sz w:val="20"/>
                <w:szCs w:val="20"/>
              </w:rPr>
              <w:t>18</w:t>
            </w:r>
            <w:r>
              <w:rPr>
                <w:color w:val="000000"/>
                <w:sz w:val="20"/>
                <w:szCs w:val="20"/>
              </w:rPr>
              <w:t>»</w:t>
            </w:r>
            <w:r w:rsidRPr="00E8065F">
              <w:rPr>
                <w:color w:val="000000"/>
                <w:sz w:val="20"/>
                <w:szCs w:val="20"/>
              </w:rPr>
              <w:t xml:space="preserve"> г.Казан</w:t>
            </w:r>
            <w:r>
              <w:rPr>
                <w:color w:val="000000"/>
                <w:sz w:val="20"/>
                <w:szCs w:val="20"/>
              </w:rPr>
              <w:t>и</w:t>
            </w:r>
          </w:p>
        </w:tc>
        <w:tc>
          <w:tcPr>
            <w:tcW w:w="1994" w:type="dxa"/>
            <w:shd w:val="clear" w:color="auto" w:fill="auto"/>
          </w:tcPr>
          <w:p w:rsidR="006C7C44" w:rsidRDefault="008B3E41" w:rsidP="00366A43">
            <w:pPr>
              <w:spacing w:line="233" w:lineRule="auto"/>
              <w:jc w:val="center"/>
            </w:pPr>
            <w:r>
              <w:rPr>
                <w:sz w:val="20"/>
                <w:szCs w:val="20"/>
              </w:rPr>
              <w:t xml:space="preserve">Аппараты </w:t>
            </w:r>
            <w:r>
              <w:rPr>
                <w:rFonts w:eastAsia="Arial"/>
                <w:sz w:val="20"/>
                <w:szCs w:val="20"/>
              </w:rPr>
              <w:t>для ультразвуковых исследований</w:t>
            </w:r>
          </w:p>
        </w:tc>
        <w:tc>
          <w:tcPr>
            <w:tcW w:w="1181" w:type="dxa"/>
            <w:shd w:val="clear" w:color="auto" w:fill="auto"/>
          </w:tcPr>
          <w:p w:rsidR="006C7C44" w:rsidRPr="00E8065F" w:rsidRDefault="006C7C44" w:rsidP="00366A43">
            <w:pPr>
              <w:spacing w:line="233" w:lineRule="auto"/>
              <w:jc w:val="center"/>
              <w:rPr>
                <w:sz w:val="20"/>
                <w:szCs w:val="20"/>
              </w:rPr>
            </w:pPr>
            <w:r w:rsidRPr="00E8065F">
              <w:rPr>
                <w:sz w:val="20"/>
                <w:szCs w:val="20"/>
              </w:rPr>
              <w:t>2008</w:t>
            </w:r>
            <w:r w:rsidR="00793DC9">
              <w:rPr>
                <w:sz w:val="20"/>
                <w:szCs w:val="20"/>
              </w:rPr>
              <w:t xml:space="preserve"> </w:t>
            </w:r>
            <w:r>
              <w:rPr>
                <w:sz w:val="20"/>
                <w:szCs w:val="20"/>
              </w:rPr>
              <w:t>(1)</w:t>
            </w:r>
          </w:p>
          <w:p w:rsidR="006C7C44" w:rsidRPr="00E8065F" w:rsidRDefault="006C7C44" w:rsidP="00366A43">
            <w:pPr>
              <w:spacing w:line="233" w:lineRule="auto"/>
              <w:jc w:val="center"/>
              <w:rPr>
                <w:sz w:val="20"/>
                <w:szCs w:val="20"/>
              </w:rPr>
            </w:pPr>
            <w:r w:rsidRPr="00E8065F">
              <w:rPr>
                <w:sz w:val="20"/>
                <w:szCs w:val="20"/>
              </w:rPr>
              <w:t>2012</w:t>
            </w:r>
            <w:r w:rsidR="00793DC9">
              <w:rPr>
                <w:sz w:val="20"/>
                <w:szCs w:val="20"/>
              </w:rPr>
              <w:t xml:space="preserve"> </w:t>
            </w:r>
            <w:r>
              <w:rPr>
                <w:sz w:val="20"/>
                <w:szCs w:val="20"/>
              </w:rPr>
              <w:t>(1)</w:t>
            </w:r>
          </w:p>
          <w:p w:rsidR="006C7C44" w:rsidRPr="00E8065F" w:rsidRDefault="006C7C44" w:rsidP="00366A43">
            <w:pPr>
              <w:spacing w:line="233" w:lineRule="auto"/>
              <w:jc w:val="center"/>
              <w:rPr>
                <w:sz w:val="20"/>
                <w:szCs w:val="20"/>
              </w:rPr>
            </w:pPr>
            <w:r w:rsidRPr="00E8065F">
              <w:rPr>
                <w:sz w:val="20"/>
                <w:szCs w:val="20"/>
              </w:rPr>
              <w:t>2017</w:t>
            </w:r>
            <w:r w:rsidR="00793DC9">
              <w:rPr>
                <w:sz w:val="20"/>
                <w:szCs w:val="20"/>
              </w:rPr>
              <w:t xml:space="preserve"> </w:t>
            </w:r>
            <w:r>
              <w:rPr>
                <w:sz w:val="20"/>
                <w:szCs w:val="20"/>
              </w:rPr>
              <w:t>(1)</w:t>
            </w:r>
          </w:p>
          <w:p w:rsidR="006C7C44" w:rsidRPr="00E8065F" w:rsidRDefault="006C7C44" w:rsidP="00366A43">
            <w:pPr>
              <w:spacing w:line="233" w:lineRule="auto"/>
              <w:jc w:val="center"/>
              <w:rPr>
                <w:sz w:val="20"/>
                <w:szCs w:val="20"/>
              </w:rPr>
            </w:pPr>
            <w:r w:rsidRPr="00E8065F">
              <w:rPr>
                <w:sz w:val="20"/>
                <w:szCs w:val="20"/>
              </w:rPr>
              <w:t>2018</w:t>
            </w:r>
            <w:r w:rsidR="00793DC9">
              <w:rPr>
                <w:sz w:val="20"/>
                <w:szCs w:val="20"/>
              </w:rPr>
              <w:t xml:space="preserve"> </w:t>
            </w:r>
            <w:r>
              <w:rPr>
                <w:sz w:val="20"/>
                <w:szCs w:val="20"/>
              </w:rPr>
              <w:t>(2)</w:t>
            </w:r>
          </w:p>
          <w:p w:rsidR="006C7C44" w:rsidRPr="00E8065F" w:rsidRDefault="006C7C44" w:rsidP="00366A43">
            <w:pPr>
              <w:spacing w:line="233" w:lineRule="auto"/>
              <w:jc w:val="center"/>
              <w:rPr>
                <w:sz w:val="20"/>
                <w:szCs w:val="20"/>
              </w:rPr>
            </w:pPr>
            <w:r w:rsidRPr="00E8065F">
              <w:rPr>
                <w:sz w:val="20"/>
                <w:szCs w:val="20"/>
              </w:rPr>
              <w:t>2022</w:t>
            </w:r>
            <w:r w:rsidR="00793DC9">
              <w:rPr>
                <w:sz w:val="20"/>
                <w:szCs w:val="20"/>
              </w:rPr>
              <w:t xml:space="preserve"> </w:t>
            </w:r>
            <w:r>
              <w:rPr>
                <w:sz w:val="20"/>
                <w:szCs w:val="20"/>
              </w:rPr>
              <w:t>(1)</w:t>
            </w:r>
          </w:p>
          <w:p w:rsidR="006C7C44" w:rsidRPr="00E8065F" w:rsidRDefault="006C7C44" w:rsidP="00366A43">
            <w:pPr>
              <w:spacing w:line="233" w:lineRule="auto"/>
              <w:jc w:val="center"/>
              <w:rPr>
                <w:sz w:val="20"/>
                <w:szCs w:val="20"/>
              </w:rPr>
            </w:pPr>
            <w:r w:rsidRPr="00E8065F">
              <w:rPr>
                <w:sz w:val="20"/>
                <w:szCs w:val="20"/>
              </w:rPr>
              <w:t>2023</w:t>
            </w:r>
            <w:r w:rsidR="00793DC9">
              <w:rPr>
                <w:sz w:val="20"/>
                <w:szCs w:val="20"/>
              </w:rPr>
              <w:t xml:space="preserve"> </w:t>
            </w:r>
            <w:r>
              <w:rPr>
                <w:sz w:val="20"/>
                <w:szCs w:val="20"/>
              </w:rPr>
              <w:t>(2)</w:t>
            </w:r>
          </w:p>
        </w:tc>
        <w:tc>
          <w:tcPr>
            <w:tcW w:w="1181" w:type="dxa"/>
            <w:tcBorders>
              <w:top w:val="nil"/>
              <w:left w:val="single" w:sz="4" w:space="0" w:color="auto"/>
              <w:bottom w:val="single" w:sz="4" w:space="0" w:color="auto"/>
              <w:right w:val="single" w:sz="4" w:space="0" w:color="auto"/>
            </w:tcBorders>
            <w:shd w:val="clear" w:color="auto" w:fill="auto"/>
          </w:tcPr>
          <w:p w:rsidR="006C7C44" w:rsidRPr="00271D0A" w:rsidRDefault="006C7C44" w:rsidP="00366A43">
            <w:pPr>
              <w:spacing w:line="233" w:lineRule="auto"/>
              <w:jc w:val="center"/>
              <w:rPr>
                <w:color w:val="000000"/>
                <w:sz w:val="20"/>
                <w:szCs w:val="20"/>
              </w:rPr>
            </w:pPr>
            <w:r w:rsidRPr="00271D0A">
              <w:rPr>
                <w:color w:val="000000"/>
                <w:sz w:val="20"/>
                <w:szCs w:val="20"/>
              </w:rPr>
              <w:t>8</w:t>
            </w:r>
          </w:p>
        </w:tc>
        <w:tc>
          <w:tcPr>
            <w:tcW w:w="1478" w:type="dxa"/>
            <w:tcBorders>
              <w:top w:val="nil"/>
              <w:left w:val="single" w:sz="4" w:space="0" w:color="auto"/>
              <w:bottom w:val="single" w:sz="4" w:space="0" w:color="auto"/>
              <w:right w:val="single" w:sz="4" w:space="0" w:color="auto"/>
            </w:tcBorders>
            <w:shd w:val="clear" w:color="auto" w:fill="auto"/>
          </w:tcPr>
          <w:p w:rsidR="006C7C44" w:rsidRPr="00E8065F" w:rsidRDefault="006C7C44" w:rsidP="00366A43">
            <w:pPr>
              <w:spacing w:line="233" w:lineRule="auto"/>
              <w:jc w:val="center"/>
              <w:rPr>
                <w:color w:val="000000"/>
                <w:sz w:val="20"/>
                <w:szCs w:val="20"/>
              </w:rPr>
            </w:pPr>
            <w:r w:rsidRPr="00E8065F">
              <w:rPr>
                <w:color w:val="000000"/>
                <w:sz w:val="20"/>
                <w:szCs w:val="20"/>
              </w:rPr>
              <w:t>154,9</w:t>
            </w:r>
          </w:p>
        </w:tc>
        <w:tc>
          <w:tcPr>
            <w:tcW w:w="1111" w:type="dxa"/>
            <w:tcBorders>
              <w:top w:val="nil"/>
              <w:left w:val="nil"/>
              <w:bottom w:val="single" w:sz="4" w:space="0" w:color="auto"/>
              <w:right w:val="single" w:sz="4" w:space="0" w:color="auto"/>
            </w:tcBorders>
            <w:shd w:val="clear" w:color="auto" w:fill="auto"/>
          </w:tcPr>
          <w:p w:rsidR="006C7C44" w:rsidRPr="00E8065F" w:rsidRDefault="006C7C44" w:rsidP="00366A43">
            <w:pPr>
              <w:spacing w:line="233" w:lineRule="auto"/>
              <w:jc w:val="center"/>
              <w:rPr>
                <w:color w:val="000000"/>
                <w:sz w:val="20"/>
                <w:szCs w:val="20"/>
              </w:rPr>
            </w:pPr>
            <w:r w:rsidRPr="00E8065F">
              <w:rPr>
                <w:color w:val="000000"/>
                <w:sz w:val="20"/>
                <w:szCs w:val="20"/>
              </w:rPr>
              <w:t>1</w:t>
            </w:r>
          </w:p>
        </w:tc>
        <w:tc>
          <w:tcPr>
            <w:tcW w:w="1944" w:type="dxa"/>
            <w:tcBorders>
              <w:top w:val="nil"/>
              <w:left w:val="single" w:sz="4" w:space="0" w:color="auto"/>
              <w:bottom w:val="single" w:sz="4" w:space="0" w:color="auto"/>
              <w:right w:val="single" w:sz="4" w:space="0" w:color="auto"/>
            </w:tcBorders>
            <w:shd w:val="clear" w:color="auto" w:fill="auto"/>
          </w:tcPr>
          <w:p w:rsidR="006C7C44" w:rsidRPr="00E8065F" w:rsidRDefault="006C7C44" w:rsidP="00366A43">
            <w:pPr>
              <w:spacing w:line="233" w:lineRule="auto"/>
              <w:jc w:val="center"/>
              <w:rPr>
                <w:color w:val="000000"/>
                <w:sz w:val="20"/>
                <w:szCs w:val="20"/>
              </w:rPr>
            </w:pPr>
            <w:r w:rsidRPr="00E8065F">
              <w:rPr>
                <w:color w:val="000000"/>
                <w:sz w:val="20"/>
                <w:szCs w:val="20"/>
              </w:rPr>
              <w:t>Амбулаторное</w:t>
            </w:r>
          </w:p>
        </w:tc>
      </w:tr>
      <w:tr w:rsidR="006C7C44" w:rsidRPr="00E8065F" w:rsidTr="000546C2">
        <w:trPr>
          <w:trHeight w:val="20"/>
        </w:trPr>
        <w:tc>
          <w:tcPr>
            <w:tcW w:w="1555" w:type="dxa"/>
            <w:vMerge/>
          </w:tcPr>
          <w:p w:rsidR="006C7C44" w:rsidRPr="00E8065F" w:rsidRDefault="006C7C44" w:rsidP="006C7C44">
            <w:pPr>
              <w:rPr>
                <w:color w:val="000000"/>
                <w:sz w:val="20"/>
                <w:szCs w:val="20"/>
              </w:rPr>
            </w:pPr>
          </w:p>
        </w:tc>
        <w:tc>
          <w:tcPr>
            <w:tcW w:w="3685" w:type="dxa"/>
            <w:tcBorders>
              <w:top w:val="nil"/>
              <w:left w:val="single" w:sz="4" w:space="0" w:color="auto"/>
              <w:bottom w:val="single" w:sz="4" w:space="0" w:color="auto"/>
              <w:right w:val="single" w:sz="4" w:space="0" w:color="auto"/>
            </w:tcBorders>
            <w:shd w:val="clear" w:color="auto" w:fill="auto"/>
          </w:tcPr>
          <w:p w:rsidR="006C7C44" w:rsidRPr="00E8065F" w:rsidRDefault="006C7C44" w:rsidP="00366A43">
            <w:pPr>
              <w:spacing w:line="233" w:lineRule="auto"/>
              <w:jc w:val="both"/>
              <w:rPr>
                <w:color w:val="000000"/>
                <w:sz w:val="20"/>
                <w:szCs w:val="20"/>
              </w:rPr>
            </w:pPr>
            <w:r w:rsidRPr="00E8065F">
              <w:rPr>
                <w:color w:val="000000"/>
                <w:sz w:val="20"/>
                <w:szCs w:val="20"/>
              </w:rPr>
              <w:t xml:space="preserve">ГАУЗ </w:t>
            </w:r>
            <w:r>
              <w:rPr>
                <w:color w:val="000000"/>
                <w:sz w:val="20"/>
                <w:szCs w:val="20"/>
              </w:rPr>
              <w:t>«</w:t>
            </w:r>
            <w:r w:rsidRPr="00E8065F">
              <w:rPr>
                <w:color w:val="000000"/>
                <w:sz w:val="20"/>
                <w:szCs w:val="20"/>
              </w:rPr>
              <w:t>Городская поликлиника №</w:t>
            </w:r>
            <w:r>
              <w:rPr>
                <w:color w:val="000000"/>
                <w:sz w:val="20"/>
                <w:szCs w:val="20"/>
              </w:rPr>
              <w:t xml:space="preserve"> </w:t>
            </w:r>
            <w:r w:rsidRPr="00E8065F">
              <w:rPr>
                <w:color w:val="000000"/>
                <w:sz w:val="20"/>
                <w:szCs w:val="20"/>
              </w:rPr>
              <w:t>20</w:t>
            </w:r>
            <w:r>
              <w:rPr>
                <w:color w:val="000000"/>
                <w:sz w:val="20"/>
                <w:szCs w:val="20"/>
              </w:rPr>
              <w:t>»</w:t>
            </w:r>
            <w:r w:rsidRPr="00E8065F">
              <w:rPr>
                <w:color w:val="000000"/>
                <w:sz w:val="20"/>
                <w:szCs w:val="20"/>
              </w:rPr>
              <w:t xml:space="preserve"> г.Казан</w:t>
            </w:r>
            <w:r>
              <w:rPr>
                <w:color w:val="000000"/>
                <w:sz w:val="20"/>
                <w:szCs w:val="20"/>
              </w:rPr>
              <w:t>и</w:t>
            </w:r>
          </w:p>
        </w:tc>
        <w:tc>
          <w:tcPr>
            <w:tcW w:w="1994" w:type="dxa"/>
            <w:shd w:val="clear" w:color="auto" w:fill="auto"/>
          </w:tcPr>
          <w:p w:rsidR="006C7C44" w:rsidRDefault="008B3E41" w:rsidP="00366A43">
            <w:pPr>
              <w:spacing w:line="233" w:lineRule="auto"/>
              <w:jc w:val="center"/>
            </w:pPr>
            <w:r>
              <w:rPr>
                <w:sz w:val="20"/>
                <w:szCs w:val="20"/>
              </w:rPr>
              <w:t xml:space="preserve">Аппараты </w:t>
            </w:r>
            <w:r>
              <w:rPr>
                <w:rFonts w:eastAsia="Arial"/>
                <w:sz w:val="20"/>
                <w:szCs w:val="20"/>
              </w:rPr>
              <w:t>для ультразвуковых исследований</w:t>
            </w:r>
          </w:p>
        </w:tc>
        <w:tc>
          <w:tcPr>
            <w:tcW w:w="1181" w:type="dxa"/>
            <w:shd w:val="clear" w:color="auto" w:fill="auto"/>
          </w:tcPr>
          <w:p w:rsidR="006C7C44" w:rsidRPr="00E8065F" w:rsidRDefault="006C7C44" w:rsidP="00366A43">
            <w:pPr>
              <w:spacing w:line="233" w:lineRule="auto"/>
              <w:jc w:val="center"/>
              <w:rPr>
                <w:sz w:val="20"/>
                <w:szCs w:val="20"/>
              </w:rPr>
            </w:pPr>
            <w:r w:rsidRPr="00E8065F">
              <w:rPr>
                <w:sz w:val="20"/>
                <w:szCs w:val="20"/>
              </w:rPr>
              <w:t>2014</w:t>
            </w:r>
            <w:r w:rsidR="00793DC9">
              <w:rPr>
                <w:sz w:val="20"/>
                <w:szCs w:val="20"/>
              </w:rPr>
              <w:t xml:space="preserve"> </w:t>
            </w:r>
            <w:r>
              <w:rPr>
                <w:sz w:val="20"/>
                <w:szCs w:val="20"/>
              </w:rPr>
              <w:t>(2)</w:t>
            </w:r>
          </w:p>
          <w:p w:rsidR="006C7C44" w:rsidRPr="00E8065F" w:rsidRDefault="006C7C44" w:rsidP="00366A43">
            <w:pPr>
              <w:spacing w:line="233" w:lineRule="auto"/>
              <w:jc w:val="center"/>
              <w:rPr>
                <w:sz w:val="20"/>
                <w:szCs w:val="20"/>
              </w:rPr>
            </w:pPr>
            <w:r w:rsidRPr="00E8065F">
              <w:rPr>
                <w:sz w:val="20"/>
                <w:szCs w:val="20"/>
              </w:rPr>
              <w:t>2024</w:t>
            </w:r>
            <w:r w:rsidR="00793DC9">
              <w:rPr>
                <w:sz w:val="20"/>
                <w:szCs w:val="20"/>
              </w:rPr>
              <w:t xml:space="preserve"> </w:t>
            </w:r>
            <w:r>
              <w:rPr>
                <w:sz w:val="20"/>
                <w:szCs w:val="20"/>
              </w:rPr>
              <w:t>(1)</w:t>
            </w:r>
          </w:p>
          <w:p w:rsidR="006C7C44" w:rsidRPr="00E8065F" w:rsidRDefault="006C7C44" w:rsidP="00366A43">
            <w:pPr>
              <w:spacing w:line="233" w:lineRule="auto"/>
              <w:jc w:val="center"/>
              <w:rPr>
                <w:sz w:val="20"/>
                <w:szCs w:val="20"/>
              </w:rPr>
            </w:pPr>
            <w:r w:rsidRPr="00E8065F">
              <w:rPr>
                <w:sz w:val="20"/>
                <w:szCs w:val="20"/>
              </w:rPr>
              <w:t>2017</w:t>
            </w:r>
            <w:r w:rsidR="00793DC9">
              <w:rPr>
                <w:sz w:val="20"/>
                <w:szCs w:val="20"/>
              </w:rPr>
              <w:t xml:space="preserve"> </w:t>
            </w:r>
            <w:r>
              <w:rPr>
                <w:sz w:val="20"/>
                <w:szCs w:val="20"/>
              </w:rPr>
              <w:t>(1)</w:t>
            </w:r>
          </w:p>
          <w:p w:rsidR="006C7C44" w:rsidRPr="00E8065F" w:rsidRDefault="006C7C44" w:rsidP="00366A43">
            <w:pPr>
              <w:spacing w:line="233" w:lineRule="auto"/>
              <w:jc w:val="center"/>
              <w:rPr>
                <w:sz w:val="20"/>
                <w:szCs w:val="20"/>
              </w:rPr>
            </w:pPr>
            <w:r w:rsidRPr="00E8065F">
              <w:rPr>
                <w:sz w:val="20"/>
                <w:szCs w:val="20"/>
              </w:rPr>
              <w:t>2021</w:t>
            </w:r>
            <w:r w:rsidR="00793DC9">
              <w:rPr>
                <w:sz w:val="20"/>
                <w:szCs w:val="20"/>
              </w:rPr>
              <w:t xml:space="preserve"> </w:t>
            </w:r>
            <w:r>
              <w:rPr>
                <w:sz w:val="20"/>
                <w:szCs w:val="20"/>
              </w:rPr>
              <w:t>(1)</w:t>
            </w:r>
          </w:p>
          <w:p w:rsidR="006C7C44" w:rsidRPr="00E8065F" w:rsidRDefault="006C7C44" w:rsidP="00366A43">
            <w:pPr>
              <w:spacing w:line="233" w:lineRule="auto"/>
              <w:jc w:val="center"/>
              <w:rPr>
                <w:sz w:val="20"/>
                <w:szCs w:val="20"/>
              </w:rPr>
            </w:pPr>
            <w:r w:rsidRPr="00E8065F">
              <w:rPr>
                <w:sz w:val="20"/>
                <w:szCs w:val="20"/>
              </w:rPr>
              <w:t>2023</w:t>
            </w:r>
            <w:r w:rsidR="00793DC9">
              <w:rPr>
                <w:sz w:val="20"/>
                <w:szCs w:val="20"/>
              </w:rPr>
              <w:t xml:space="preserve"> </w:t>
            </w:r>
            <w:r>
              <w:rPr>
                <w:sz w:val="20"/>
                <w:szCs w:val="20"/>
              </w:rPr>
              <w:t>(1)</w:t>
            </w:r>
          </w:p>
        </w:tc>
        <w:tc>
          <w:tcPr>
            <w:tcW w:w="1181" w:type="dxa"/>
            <w:tcBorders>
              <w:top w:val="nil"/>
              <w:left w:val="single" w:sz="4" w:space="0" w:color="auto"/>
              <w:bottom w:val="single" w:sz="4" w:space="0" w:color="auto"/>
              <w:right w:val="single" w:sz="4" w:space="0" w:color="auto"/>
            </w:tcBorders>
            <w:shd w:val="clear" w:color="auto" w:fill="auto"/>
          </w:tcPr>
          <w:p w:rsidR="006C7C44" w:rsidRPr="00271D0A" w:rsidRDefault="006C7C44" w:rsidP="00366A43">
            <w:pPr>
              <w:spacing w:line="233" w:lineRule="auto"/>
              <w:jc w:val="center"/>
              <w:rPr>
                <w:color w:val="000000"/>
                <w:sz w:val="20"/>
                <w:szCs w:val="20"/>
              </w:rPr>
            </w:pPr>
            <w:r w:rsidRPr="00271D0A">
              <w:rPr>
                <w:color w:val="000000"/>
                <w:sz w:val="20"/>
                <w:szCs w:val="20"/>
              </w:rPr>
              <w:t>6</w:t>
            </w:r>
          </w:p>
        </w:tc>
        <w:tc>
          <w:tcPr>
            <w:tcW w:w="1478" w:type="dxa"/>
            <w:tcBorders>
              <w:top w:val="nil"/>
              <w:left w:val="single" w:sz="4" w:space="0" w:color="auto"/>
              <w:bottom w:val="single" w:sz="4" w:space="0" w:color="auto"/>
              <w:right w:val="single" w:sz="4" w:space="0" w:color="auto"/>
            </w:tcBorders>
            <w:shd w:val="clear" w:color="auto" w:fill="auto"/>
          </w:tcPr>
          <w:p w:rsidR="006C7C44" w:rsidRPr="00E8065F" w:rsidRDefault="006C7C44" w:rsidP="00366A43">
            <w:pPr>
              <w:spacing w:line="233" w:lineRule="auto"/>
              <w:jc w:val="center"/>
              <w:rPr>
                <w:color w:val="000000"/>
                <w:sz w:val="20"/>
                <w:szCs w:val="20"/>
              </w:rPr>
            </w:pPr>
            <w:r w:rsidRPr="00E8065F">
              <w:rPr>
                <w:color w:val="000000"/>
                <w:sz w:val="20"/>
                <w:szCs w:val="20"/>
              </w:rPr>
              <w:t>246,4</w:t>
            </w:r>
          </w:p>
        </w:tc>
        <w:tc>
          <w:tcPr>
            <w:tcW w:w="1111" w:type="dxa"/>
            <w:tcBorders>
              <w:top w:val="nil"/>
              <w:left w:val="nil"/>
              <w:bottom w:val="single" w:sz="4" w:space="0" w:color="auto"/>
              <w:right w:val="single" w:sz="4" w:space="0" w:color="auto"/>
            </w:tcBorders>
            <w:shd w:val="clear" w:color="auto" w:fill="auto"/>
          </w:tcPr>
          <w:p w:rsidR="006C7C44" w:rsidRPr="00E8065F" w:rsidRDefault="006C7C44" w:rsidP="00366A43">
            <w:pPr>
              <w:spacing w:line="233" w:lineRule="auto"/>
              <w:jc w:val="center"/>
              <w:rPr>
                <w:color w:val="000000"/>
                <w:sz w:val="20"/>
                <w:szCs w:val="20"/>
              </w:rPr>
            </w:pPr>
            <w:r w:rsidRPr="00E8065F">
              <w:rPr>
                <w:color w:val="000000"/>
                <w:sz w:val="20"/>
                <w:szCs w:val="20"/>
              </w:rPr>
              <w:t>1</w:t>
            </w:r>
          </w:p>
        </w:tc>
        <w:tc>
          <w:tcPr>
            <w:tcW w:w="1944" w:type="dxa"/>
            <w:tcBorders>
              <w:top w:val="nil"/>
              <w:left w:val="single" w:sz="4" w:space="0" w:color="auto"/>
              <w:bottom w:val="single" w:sz="4" w:space="0" w:color="auto"/>
              <w:right w:val="single" w:sz="4" w:space="0" w:color="auto"/>
            </w:tcBorders>
            <w:shd w:val="clear" w:color="auto" w:fill="auto"/>
          </w:tcPr>
          <w:p w:rsidR="006C7C44" w:rsidRPr="00E8065F" w:rsidRDefault="006C7C44" w:rsidP="00366A43">
            <w:pPr>
              <w:spacing w:line="233" w:lineRule="auto"/>
              <w:jc w:val="center"/>
              <w:rPr>
                <w:color w:val="000000"/>
                <w:sz w:val="20"/>
                <w:szCs w:val="20"/>
              </w:rPr>
            </w:pPr>
            <w:r w:rsidRPr="00E8065F">
              <w:rPr>
                <w:color w:val="000000"/>
                <w:sz w:val="20"/>
                <w:szCs w:val="20"/>
              </w:rPr>
              <w:t>Амбулаторное</w:t>
            </w:r>
          </w:p>
        </w:tc>
      </w:tr>
      <w:tr w:rsidR="006C7C44" w:rsidRPr="00E8065F" w:rsidTr="000546C2">
        <w:trPr>
          <w:trHeight w:val="20"/>
        </w:trPr>
        <w:tc>
          <w:tcPr>
            <w:tcW w:w="1555" w:type="dxa"/>
            <w:vMerge/>
          </w:tcPr>
          <w:p w:rsidR="006C7C44" w:rsidRPr="00E8065F" w:rsidRDefault="006C7C44" w:rsidP="006C7C44">
            <w:pPr>
              <w:rPr>
                <w:color w:val="000000"/>
                <w:sz w:val="20"/>
                <w:szCs w:val="20"/>
              </w:rPr>
            </w:pPr>
          </w:p>
        </w:tc>
        <w:tc>
          <w:tcPr>
            <w:tcW w:w="3685" w:type="dxa"/>
            <w:tcBorders>
              <w:top w:val="nil"/>
              <w:left w:val="single" w:sz="4" w:space="0" w:color="auto"/>
              <w:bottom w:val="single" w:sz="4" w:space="0" w:color="auto"/>
              <w:right w:val="single" w:sz="4" w:space="0" w:color="auto"/>
            </w:tcBorders>
            <w:shd w:val="clear" w:color="auto" w:fill="auto"/>
          </w:tcPr>
          <w:p w:rsidR="006C7C44" w:rsidRPr="00E8065F" w:rsidRDefault="006C7C44" w:rsidP="00366A43">
            <w:pPr>
              <w:spacing w:line="233" w:lineRule="auto"/>
              <w:jc w:val="both"/>
              <w:rPr>
                <w:color w:val="000000"/>
                <w:sz w:val="20"/>
                <w:szCs w:val="20"/>
              </w:rPr>
            </w:pPr>
            <w:r w:rsidRPr="00E8065F">
              <w:rPr>
                <w:color w:val="000000"/>
                <w:sz w:val="20"/>
                <w:szCs w:val="20"/>
              </w:rPr>
              <w:t xml:space="preserve">ГАУЗ </w:t>
            </w:r>
            <w:r>
              <w:rPr>
                <w:color w:val="000000"/>
                <w:sz w:val="20"/>
                <w:szCs w:val="20"/>
              </w:rPr>
              <w:t>«</w:t>
            </w:r>
            <w:r w:rsidRPr="00E8065F">
              <w:rPr>
                <w:color w:val="000000"/>
                <w:sz w:val="20"/>
                <w:szCs w:val="20"/>
              </w:rPr>
              <w:t>Городская поликлиника №</w:t>
            </w:r>
            <w:r>
              <w:rPr>
                <w:color w:val="000000"/>
                <w:sz w:val="20"/>
                <w:szCs w:val="20"/>
              </w:rPr>
              <w:t xml:space="preserve"> </w:t>
            </w:r>
            <w:r w:rsidRPr="00E8065F">
              <w:rPr>
                <w:color w:val="000000"/>
                <w:sz w:val="20"/>
                <w:szCs w:val="20"/>
              </w:rPr>
              <w:t>21</w:t>
            </w:r>
            <w:r>
              <w:rPr>
                <w:color w:val="000000"/>
                <w:sz w:val="20"/>
                <w:szCs w:val="20"/>
              </w:rPr>
              <w:t>»</w:t>
            </w:r>
            <w:r w:rsidRPr="00E8065F">
              <w:rPr>
                <w:color w:val="000000"/>
                <w:sz w:val="20"/>
                <w:szCs w:val="20"/>
              </w:rPr>
              <w:t xml:space="preserve"> г.Казан</w:t>
            </w:r>
            <w:r>
              <w:rPr>
                <w:color w:val="000000"/>
                <w:sz w:val="20"/>
                <w:szCs w:val="20"/>
              </w:rPr>
              <w:t>и</w:t>
            </w:r>
          </w:p>
        </w:tc>
        <w:tc>
          <w:tcPr>
            <w:tcW w:w="1994" w:type="dxa"/>
            <w:tcBorders>
              <w:bottom w:val="single" w:sz="4" w:space="0" w:color="auto"/>
            </w:tcBorders>
            <w:shd w:val="clear" w:color="auto" w:fill="auto"/>
          </w:tcPr>
          <w:p w:rsidR="006C7C44" w:rsidRDefault="008B3E41" w:rsidP="00366A43">
            <w:pPr>
              <w:spacing w:line="233" w:lineRule="auto"/>
              <w:jc w:val="center"/>
            </w:pPr>
            <w:r>
              <w:rPr>
                <w:sz w:val="20"/>
                <w:szCs w:val="20"/>
              </w:rPr>
              <w:t xml:space="preserve">Аппараты </w:t>
            </w:r>
            <w:r>
              <w:rPr>
                <w:rFonts w:eastAsia="Arial"/>
                <w:sz w:val="20"/>
                <w:szCs w:val="20"/>
              </w:rPr>
              <w:t>для ультразвуковых исследований</w:t>
            </w:r>
          </w:p>
        </w:tc>
        <w:tc>
          <w:tcPr>
            <w:tcW w:w="1181" w:type="dxa"/>
            <w:tcBorders>
              <w:bottom w:val="single" w:sz="4" w:space="0" w:color="auto"/>
            </w:tcBorders>
            <w:shd w:val="clear" w:color="auto" w:fill="auto"/>
          </w:tcPr>
          <w:p w:rsidR="006C7C44" w:rsidRPr="00E8065F" w:rsidRDefault="006C7C44" w:rsidP="00366A43">
            <w:pPr>
              <w:spacing w:line="233" w:lineRule="auto"/>
              <w:jc w:val="center"/>
              <w:rPr>
                <w:sz w:val="20"/>
                <w:szCs w:val="20"/>
              </w:rPr>
            </w:pPr>
            <w:r w:rsidRPr="00E8065F">
              <w:rPr>
                <w:sz w:val="20"/>
                <w:szCs w:val="20"/>
              </w:rPr>
              <w:t>2012</w:t>
            </w:r>
            <w:r w:rsidR="00793DC9">
              <w:rPr>
                <w:sz w:val="20"/>
                <w:szCs w:val="20"/>
              </w:rPr>
              <w:t xml:space="preserve"> </w:t>
            </w:r>
            <w:r>
              <w:rPr>
                <w:sz w:val="20"/>
                <w:szCs w:val="20"/>
              </w:rPr>
              <w:t>(4)</w:t>
            </w:r>
          </w:p>
          <w:p w:rsidR="006C7C44" w:rsidRPr="00E8065F" w:rsidRDefault="006C7C44" w:rsidP="00366A43">
            <w:pPr>
              <w:spacing w:line="233" w:lineRule="auto"/>
              <w:jc w:val="center"/>
              <w:rPr>
                <w:sz w:val="20"/>
                <w:szCs w:val="20"/>
              </w:rPr>
            </w:pPr>
            <w:r w:rsidRPr="00E8065F">
              <w:rPr>
                <w:sz w:val="20"/>
                <w:szCs w:val="20"/>
              </w:rPr>
              <w:t>2013</w:t>
            </w:r>
            <w:r w:rsidR="00793DC9">
              <w:rPr>
                <w:sz w:val="20"/>
                <w:szCs w:val="20"/>
              </w:rPr>
              <w:t xml:space="preserve"> </w:t>
            </w:r>
            <w:r>
              <w:rPr>
                <w:sz w:val="20"/>
                <w:szCs w:val="20"/>
              </w:rPr>
              <w:t>(2)</w:t>
            </w:r>
          </w:p>
          <w:p w:rsidR="006C7C44" w:rsidRPr="00E8065F" w:rsidRDefault="006C7C44" w:rsidP="00366A43">
            <w:pPr>
              <w:spacing w:line="233" w:lineRule="auto"/>
              <w:jc w:val="center"/>
              <w:rPr>
                <w:sz w:val="20"/>
                <w:szCs w:val="20"/>
              </w:rPr>
            </w:pPr>
            <w:r w:rsidRPr="00E8065F">
              <w:rPr>
                <w:sz w:val="20"/>
                <w:szCs w:val="20"/>
              </w:rPr>
              <w:t>2018</w:t>
            </w:r>
            <w:r w:rsidR="00793DC9">
              <w:rPr>
                <w:sz w:val="20"/>
                <w:szCs w:val="20"/>
              </w:rPr>
              <w:t xml:space="preserve"> </w:t>
            </w:r>
            <w:r>
              <w:rPr>
                <w:sz w:val="20"/>
                <w:szCs w:val="20"/>
              </w:rPr>
              <w:t>(3)</w:t>
            </w:r>
          </w:p>
          <w:p w:rsidR="006C7C44" w:rsidRPr="00E8065F" w:rsidRDefault="006C7C44" w:rsidP="00366A43">
            <w:pPr>
              <w:spacing w:line="233" w:lineRule="auto"/>
              <w:jc w:val="center"/>
              <w:rPr>
                <w:sz w:val="20"/>
                <w:szCs w:val="20"/>
              </w:rPr>
            </w:pPr>
            <w:r w:rsidRPr="00E8065F">
              <w:rPr>
                <w:sz w:val="20"/>
                <w:szCs w:val="20"/>
              </w:rPr>
              <w:t>2020</w:t>
            </w:r>
            <w:r w:rsidR="00793DC9">
              <w:rPr>
                <w:sz w:val="20"/>
                <w:szCs w:val="20"/>
              </w:rPr>
              <w:t xml:space="preserve"> </w:t>
            </w:r>
            <w:r>
              <w:rPr>
                <w:sz w:val="20"/>
                <w:szCs w:val="20"/>
              </w:rPr>
              <w:t>(1)</w:t>
            </w:r>
          </w:p>
        </w:tc>
        <w:tc>
          <w:tcPr>
            <w:tcW w:w="1181" w:type="dxa"/>
            <w:tcBorders>
              <w:top w:val="nil"/>
              <w:left w:val="single" w:sz="4" w:space="0" w:color="auto"/>
              <w:bottom w:val="single" w:sz="4" w:space="0" w:color="auto"/>
              <w:right w:val="single" w:sz="4" w:space="0" w:color="auto"/>
            </w:tcBorders>
            <w:shd w:val="clear" w:color="auto" w:fill="auto"/>
          </w:tcPr>
          <w:p w:rsidR="006C7C44" w:rsidRPr="00271D0A" w:rsidRDefault="006C7C44" w:rsidP="00366A43">
            <w:pPr>
              <w:spacing w:line="233" w:lineRule="auto"/>
              <w:jc w:val="center"/>
              <w:rPr>
                <w:color w:val="000000"/>
                <w:sz w:val="20"/>
                <w:szCs w:val="20"/>
              </w:rPr>
            </w:pPr>
            <w:r w:rsidRPr="00271D0A">
              <w:rPr>
                <w:color w:val="000000"/>
                <w:sz w:val="20"/>
                <w:szCs w:val="20"/>
              </w:rPr>
              <w:t>10</w:t>
            </w:r>
          </w:p>
        </w:tc>
        <w:tc>
          <w:tcPr>
            <w:tcW w:w="1478" w:type="dxa"/>
            <w:tcBorders>
              <w:top w:val="nil"/>
              <w:left w:val="single" w:sz="4" w:space="0" w:color="auto"/>
              <w:bottom w:val="single" w:sz="4" w:space="0" w:color="auto"/>
              <w:right w:val="single" w:sz="4" w:space="0" w:color="auto"/>
            </w:tcBorders>
            <w:shd w:val="clear" w:color="auto" w:fill="auto"/>
          </w:tcPr>
          <w:p w:rsidR="006C7C44" w:rsidRPr="00E8065F" w:rsidRDefault="006C7C44" w:rsidP="00366A43">
            <w:pPr>
              <w:spacing w:line="233" w:lineRule="auto"/>
              <w:jc w:val="center"/>
              <w:rPr>
                <w:color w:val="000000"/>
                <w:sz w:val="20"/>
                <w:szCs w:val="20"/>
              </w:rPr>
            </w:pPr>
            <w:r w:rsidRPr="00E8065F">
              <w:rPr>
                <w:color w:val="000000"/>
                <w:sz w:val="20"/>
                <w:szCs w:val="20"/>
              </w:rPr>
              <w:t>226,4</w:t>
            </w:r>
          </w:p>
        </w:tc>
        <w:tc>
          <w:tcPr>
            <w:tcW w:w="1111" w:type="dxa"/>
            <w:tcBorders>
              <w:top w:val="nil"/>
              <w:left w:val="nil"/>
              <w:bottom w:val="single" w:sz="4" w:space="0" w:color="auto"/>
              <w:right w:val="single" w:sz="4" w:space="0" w:color="auto"/>
            </w:tcBorders>
            <w:shd w:val="clear" w:color="auto" w:fill="auto"/>
          </w:tcPr>
          <w:p w:rsidR="006C7C44" w:rsidRPr="00E8065F" w:rsidRDefault="006C7C44" w:rsidP="00366A43">
            <w:pPr>
              <w:spacing w:line="233" w:lineRule="auto"/>
              <w:jc w:val="center"/>
              <w:rPr>
                <w:color w:val="000000"/>
                <w:sz w:val="20"/>
                <w:szCs w:val="20"/>
              </w:rPr>
            </w:pPr>
            <w:r w:rsidRPr="00E8065F">
              <w:rPr>
                <w:color w:val="000000"/>
                <w:sz w:val="20"/>
                <w:szCs w:val="20"/>
              </w:rPr>
              <w:t>1</w:t>
            </w:r>
          </w:p>
        </w:tc>
        <w:tc>
          <w:tcPr>
            <w:tcW w:w="1944" w:type="dxa"/>
            <w:tcBorders>
              <w:top w:val="nil"/>
              <w:left w:val="single" w:sz="4" w:space="0" w:color="auto"/>
              <w:bottom w:val="single" w:sz="4" w:space="0" w:color="auto"/>
              <w:right w:val="single" w:sz="4" w:space="0" w:color="auto"/>
            </w:tcBorders>
            <w:shd w:val="clear" w:color="auto" w:fill="auto"/>
          </w:tcPr>
          <w:p w:rsidR="006C7C44" w:rsidRPr="00E8065F" w:rsidRDefault="006C7C44" w:rsidP="00366A43">
            <w:pPr>
              <w:spacing w:line="233" w:lineRule="auto"/>
              <w:jc w:val="center"/>
              <w:rPr>
                <w:color w:val="000000"/>
                <w:sz w:val="20"/>
                <w:szCs w:val="20"/>
              </w:rPr>
            </w:pPr>
            <w:r w:rsidRPr="00E8065F">
              <w:rPr>
                <w:color w:val="000000"/>
                <w:sz w:val="20"/>
                <w:szCs w:val="20"/>
              </w:rPr>
              <w:t>Амбулаторное</w:t>
            </w:r>
          </w:p>
        </w:tc>
      </w:tr>
      <w:tr w:rsidR="006C7C44" w:rsidRPr="00E8065F" w:rsidTr="000546C2">
        <w:trPr>
          <w:trHeight w:val="20"/>
        </w:trPr>
        <w:tc>
          <w:tcPr>
            <w:tcW w:w="1555" w:type="dxa"/>
            <w:vMerge/>
          </w:tcPr>
          <w:p w:rsidR="006C7C44" w:rsidRPr="00E8065F" w:rsidRDefault="006C7C44" w:rsidP="006C7C44">
            <w:pPr>
              <w:rPr>
                <w:color w:val="000000"/>
                <w:sz w:val="20"/>
                <w:szCs w:val="20"/>
              </w:rPr>
            </w:pPr>
          </w:p>
        </w:tc>
        <w:tc>
          <w:tcPr>
            <w:tcW w:w="3685" w:type="dxa"/>
            <w:tcBorders>
              <w:top w:val="single" w:sz="4" w:space="0" w:color="auto"/>
              <w:bottom w:val="single" w:sz="4" w:space="0" w:color="auto"/>
              <w:right w:val="single" w:sz="4" w:space="0" w:color="auto"/>
            </w:tcBorders>
            <w:shd w:val="clear" w:color="auto" w:fill="auto"/>
          </w:tcPr>
          <w:p w:rsidR="006C7C44" w:rsidRPr="00E8065F" w:rsidRDefault="006C7C44" w:rsidP="00366A43">
            <w:pPr>
              <w:spacing w:line="233" w:lineRule="auto"/>
              <w:jc w:val="both"/>
              <w:rPr>
                <w:color w:val="000000"/>
                <w:sz w:val="20"/>
                <w:szCs w:val="20"/>
              </w:rPr>
            </w:pPr>
            <w:r w:rsidRPr="00E8065F">
              <w:rPr>
                <w:color w:val="000000"/>
                <w:sz w:val="20"/>
                <w:szCs w:val="20"/>
              </w:rPr>
              <w:t>ГАУ</w:t>
            </w:r>
            <w:r>
              <w:rPr>
                <w:color w:val="000000"/>
                <w:sz w:val="20"/>
                <w:szCs w:val="20"/>
              </w:rPr>
              <w:t>З «Городская поликлиника № 7» г.Казани</w:t>
            </w:r>
          </w:p>
        </w:tc>
        <w:tc>
          <w:tcPr>
            <w:tcW w:w="1994" w:type="dxa"/>
            <w:tcBorders>
              <w:top w:val="single" w:sz="4" w:space="0" w:color="auto"/>
              <w:left w:val="single" w:sz="4" w:space="0" w:color="auto"/>
              <w:bottom w:val="single" w:sz="4" w:space="0" w:color="auto"/>
              <w:right w:val="single" w:sz="4" w:space="0" w:color="auto"/>
            </w:tcBorders>
            <w:shd w:val="clear" w:color="auto" w:fill="auto"/>
          </w:tcPr>
          <w:p w:rsidR="006C7C44" w:rsidRDefault="008B3E41" w:rsidP="00366A43">
            <w:pPr>
              <w:spacing w:line="233" w:lineRule="auto"/>
              <w:jc w:val="center"/>
            </w:pPr>
            <w:r>
              <w:rPr>
                <w:sz w:val="20"/>
                <w:szCs w:val="20"/>
              </w:rPr>
              <w:t xml:space="preserve">Аппараты </w:t>
            </w:r>
            <w:r>
              <w:rPr>
                <w:rFonts w:eastAsia="Arial"/>
                <w:sz w:val="20"/>
                <w:szCs w:val="20"/>
              </w:rPr>
              <w:t>для ультразвуковых исследований</w:t>
            </w:r>
          </w:p>
        </w:tc>
        <w:tc>
          <w:tcPr>
            <w:tcW w:w="1181" w:type="dxa"/>
            <w:tcBorders>
              <w:top w:val="single" w:sz="4" w:space="0" w:color="auto"/>
              <w:left w:val="single" w:sz="4" w:space="0" w:color="auto"/>
              <w:bottom w:val="single" w:sz="4" w:space="0" w:color="auto"/>
              <w:right w:val="single" w:sz="4" w:space="0" w:color="auto"/>
            </w:tcBorders>
            <w:shd w:val="clear" w:color="auto" w:fill="auto"/>
          </w:tcPr>
          <w:p w:rsidR="006C7C44" w:rsidRPr="00E8065F" w:rsidRDefault="006C7C44" w:rsidP="00366A43">
            <w:pPr>
              <w:spacing w:line="233" w:lineRule="auto"/>
              <w:jc w:val="center"/>
              <w:rPr>
                <w:sz w:val="20"/>
                <w:szCs w:val="20"/>
              </w:rPr>
            </w:pPr>
            <w:r w:rsidRPr="00E8065F">
              <w:rPr>
                <w:sz w:val="20"/>
                <w:szCs w:val="20"/>
              </w:rPr>
              <w:t>2018</w:t>
            </w:r>
            <w:r w:rsidR="00793DC9">
              <w:rPr>
                <w:sz w:val="20"/>
                <w:szCs w:val="20"/>
              </w:rPr>
              <w:t xml:space="preserve"> </w:t>
            </w:r>
            <w:r>
              <w:rPr>
                <w:sz w:val="20"/>
                <w:szCs w:val="20"/>
              </w:rPr>
              <w:t>(1)</w:t>
            </w:r>
          </w:p>
          <w:p w:rsidR="006C7C44" w:rsidRPr="00E8065F" w:rsidRDefault="006C7C44" w:rsidP="00366A43">
            <w:pPr>
              <w:spacing w:line="233" w:lineRule="auto"/>
              <w:jc w:val="center"/>
              <w:rPr>
                <w:sz w:val="20"/>
                <w:szCs w:val="20"/>
              </w:rPr>
            </w:pPr>
            <w:r w:rsidRPr="00E8065F">
              <w:rPr>
                <w:sz w:val="20"/>
                <w:szCs w:val="20"/>
              </w:rPr>
              <w:t>2021</w:t>
            </w:r>
            <w:r w:rsidR="00793DC9">
              <w:rPr>
                <w:sz w:val="20"/>
                <w:szCs w:val="20"/>
              </w:rPr>
              <w:t xml:space="preserve"> </w:t>
            </w:r>
            <w:r>
              <w:rPr>
                <w:sz w:val="20"/>
                <w:szCs w:val="20"/>
              </w:rPr>
              <w:t>(1)</w:t>
            </w:r>
          </w:p>
          <w:p w:rsidR="006C7C44" w:rsidRPr="00E8065F" w:rsidRDefault="006C7C44" w:rsidP="00366A43">
            <w:pPr>
              <w:spacing w:line="233" w:lineRule="auto"/>
              <w:jc w:val="center"/>
              <w:rPr>
                <w:sz w:val="20"/>
                <w:szCs w:val="20"/>
              </w:rPr>
            </w:pPr>
            <w:r w:rsidRPr="00E8065F">
              <w:rPr>
                <w:sz w:val="20"/>
                <w:szCs w:val="20"/>
              </w:rPr>
              <w:t>2022</w:t>
            </w:r>
            <w:r w:rsidR="00793DC9">
              <w:rPr>
                <w:sz w:val="20"/>
                <w:szCs w:val="20"/>
              </w:rPr>
              <w:t xml:space="preserve"> </w:t>
            </w:r>
            <w:r>
              <w:rPr>
                <w:sz w:val="20"/>
                <w:szCs w:val="20"/>
              </w:rPr>
              <w:t>(1)</w:t>
            </w:r>
          </w:p>
          <w:p w:rsidR="006C7C44" w:rsidRPr="00E8065F" w:rsidRDefault="006C7C44" w:rsidP="00366A43">
            <w:pPr>
              <w:spacing w:line="233" w:lineRule="auto"/>
              <w:jc w:val="center"/>
              <w:rPr>
                <w:sz w:val="20"/>
                <w:szCs w:val="20"/>
              </w:rPr>
            </w:pPr>
            <w:r w:rsidRPr="00E8065F">
              <w:rPr>
                <w:sz w:val="20"/>
                <w:szCs w:val="20"/>
              </w:rPr>
              <w:t>2024</w:t>
            </w:r>
            <w:r w:rsidR="00793DC9">
              <w:rPr>
                <w:sz w:val="20"/>
                <w:szCs w:val="20"/>
              </w:rPr>
              <w:t xml:space="preserve"> </w:t>
            </w:r>
            <w:r>
              <w:rPr>
                <w:sz w:val="20"/>
                <w:szCs w:val="20"/>
              </w:rPr>
              <w:t>(1)</w:t>
            </w:r>
          </w:p>
        </w:tc>
        <w:tc>
          <w:tcPr>
            <w:tcW w:w="1181" w:type="dxa"/>
            <w:tcBorders>
              <w:top w:val="single" w:sz="4" w:space="0" w:color="auto"/>
              <w:left w:val="single" w:sz="4" w:space="0" w:color="auto"/>
              <w:bottom w:val="single" w:sz="4" w:space="0" w:color="auto"/>
              <w:right w:val="single" w:sz="4" w:space="0" w:color="auto"/>
            </w:tcBorders>
            <w:shd w:val="clear" w:color="auto" w:fill="auto"/>
          </w:tcPr>
          <w:p w:rsidR="006C7C44" w:rsidRPr="00271D0A" w:rsidRDefault="006C7C44" w:rsidP="00366A43">
            <w:pPr>
              <w:spacing w:line="233" w:lineRule="auto"/>
              <w:jc w:val="center"/>
              <w:rPr>
                <w:color w:val="000000"/>
                <w:sz w:val="20"/>
                <w:szCs w:val="20"/>
              </w:rPr>
            </w:pPr>
            <w:r w:rsidRPr="00271D0A">
              <w:rPr>
                <w:color w:val="000000"/>
                <w:sz w:val="20"/>
                <w:szCs w:val="20"/>
              </w:rPr>
              <w:t>4</w:t>
            </w:r>
          </w:p>
        </w:tc>
        <w:tc>
          <w:tcPr>
            <w:tcW w:w="1478" w:type="dxa"/>
            <w:tcBorders>
              <w:top w:val="single" w:sz="4" w:space="0" w:color="auto"/>
              <w:left w:val="single" w:sz="4" w:space="0" w:color="auto"/>
              <w:bottom w:val="single" w:sz="4" w:space="0" w:color="auto"/>
              <w:right w:val="single" w:sz="4" w:space="0" w:color="auto"/>
            </w:tcBorders>
            <w:shd w:val="clear" w:color="auto" w:fill="auto"/>
          </w:tcPr>
          <w:p w:rsidR="006C7C44" w:rsidRPr="00E8065F" w:rsidRDefault="006C7C44" w:rsidP="00366A43">
            <w:pPr>
              <w:spacing w:line="233" w:lineRule="auto"/>
              <w:jc w:val="center"/>
              <w:rPr>
                <w:color w:val="000000"/>
                <w:sz w:val="20"/>
                <w:szCs w:val="20"/>
              </w:rPr>
            </w:pPr>
            <w:r w:rsidRPr="00E8065F">
              <w:rPr>
                <w:color w:val="000000"/>
                <w:sz w:val="20"/>
                <w:szCs w:val="20"/>
              </w:rPr>
              <w:t>99,8</w:t>
            </w:r>
          </w:p>
        </w:tc>
        <w:tc>
          <w:tcPr>
            <w:tcW w:w="1111" w:type="dxa"/>
            <w:tcBorders>
              <w:top w:val="single" w:sz="4" w:space="0" w:color="auto"/>
              <w:left w:val="single" w:sz="4" w:space="0" w:color="auto"/>
              <w:bottom w:val="single" w:sz="4" w:space="0" w:color="auto"/>
              <w:right w:val="single" w:sz="4" w:space="0" w:color="auto"/>
            </w:tcBorders>
            <w:shd w:val="clear" w:color="auto" w:fill="auto"/>
          </w:tcPr>
          <w:p w:rsidR="006C7C44" w:rsidRPr="00E8065F" w:rsidRDefault="006C7C44" w:rsidP="00366A43">
            <w:pPr>
              <w:spacing w:line="233" w:lineRule="auto"/>
              <w:jc w:val="center"/>
              <w:rPr>
                <w:color w:val="000000"/>
                <w:sz w:val="20"/>
                <w:szCs w:val="20"/>
              </w:rPr>
            </w:pPr>
            <w:r w:rsidRPr="00E8065F">
              <w:rPr>
                <w:color w:val="000000"/>
                <w:sz w:val="20"/>
                <w:szCs w:val="20"/>
              </w:rPr>
              <w:t>1</w:t>
            </w:r>
          </w:p>
        </w:tc>
        <w:tc>
          <w:tcPr>
            <w:tcW w:w="1944" w:type="dxa"/>
            <w:tcBorders>
              <w:top w:val="single" w:sz="4" w:space="0" w:color="auto"/>
              <w:left w:val="single" w:sz="4" w:space="0" w:color="auto"/>
              <w:bottom w:val="single" w:sz="4" w:space="0" w:color="auto"/>
              <w:right w:val="single" w:sz="4" w:space="0" w:color="auto"/>
            </w:tcBorders>
            <w:shd w:val="clear" w:color="auto" w:fill="auto"/>
          </w:tcPr>
          <w:p w:rsidR="006C7C44" w:rsidRPr="00E8065F" w:rsidRDefault="006C7C44" w:rsidP="00366A43">
            <w:pPr>
              <w:spacing w:line="233" w:lineRule="auto"/>
              <w:jc w:val="center"/>
              <w:rPr>
                <w:color w:val="000000"/>
                <w:sz w:val="20"/>
                <w:szCs w:val="20"/>
              </w:rPr>
            </w:pPr>
            <w:r w:rsidRPr="00E8065F">
              <w:rPr>
                <w:color w:val="000000"/>
                <w:sz w:val="20"/>
                <w:szCs w:val="20"/>
              </w:rPr>
              <w:t>Амбулаторное</w:t>
            </w:r>
          </w:p>
        </w:tc>
      </w:tr>
      <w:tr w:rsidR="006C7C44" w:rsidRPr="00E8065F" w:rsidTr="000546C2">
        <w:trPr>
          <w:trHeight w:val="20"/>
        </w:trPr>
        <w:tc>
          <w:tcPr>
            <w:tcW w:w="1555" w:type="dxa"/>
            <w:vMerge/>
          </w:tcPr>
          <w:p w:rsidR="006C7C44" w:rsidRPr="00E8065F" w:rsidRDefault="006C7C44" w:rsidP="006C7C44">
            <w:pPr>
              <w:rPr>
                <w:color w:val="000000"/>
                <w:sz w:val="20"/>
                <w:szCs w:val="20"/>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6C7C44" w:rsidRPr="00E8065F" w:rsidRDefault="006C7C44" w:rsidP="00366A43">
            <w:pPr>
              <w:spacing w:line="233" w:lineRule="auto"/>
              <w:jc w:val="both"/>
              <w:rPr>
                <w:color w:val="000000"/>
                <w:sz w:val="20"/>
                <w:szCs w:val="20"/>
              </w:rPr>
            </w:pPr>
            <w:r w:rsidRPr="00E8065F">
              <w:rPr>
                <w:color w:val="000000"/>
                <w:sz w:val="20"/>
                <w:szCs w:val="20"/>
              </w:rPr>
              <w:t>ГАУ</w:t>
            </w:r>
            <w:r>
              <w:rPr>
                <w:color w:val="000000"/>
                <w:sz w:val="20"/>
                <w:szCs w:val="20"/>
              </w:rPr>
              <w:t>З «Городская поликлиника № 8» г.</w:t>
            </w:r>
            <w:r w:rsidRPr="00E8065F">
              <w:rPr>
                <w:color w:val="000000"/>
                <w:sz w:val="20"/>
                <w:szCs w:val="20"/>
              </w:rPr>
              <w:t>Казан</w:t>
            </w:r>
            <w:r>
              <w:rPr>
                <w:color w:val="000000"/>
                <w:sz w:val="20"/>
                <w:szCs w:val="20"/>
              </w:rPr>
              <w:t>и</w:t>
            </w:r>
          </w:p>
        </w:tc>
        <w:tc>
          <w:tcPr>
            <w:tcW w:w="1994" w:type="dxa"/>
            <w:tcBorders>
              <w:top w:val="single" w:sz="4" w:space="0" w:color="auto"/>
            </w:tcBorders>
            <w:shd w:val="clear" w:color="auto" w:fill="auto"/>
          </w:tcPr>
          <w:p w:rsidR="006C7C44" w:rsidRDefault="008B3E41" w:rsidP="00366A43">
            <w:pPr>
              <w:spacing w:line="233" w:lineRule="auto"/>
              <w:jc w:val="center"/>
            </w:pPr>
            <w:r>
              <w:rPr>
                <w:sz w:val="20"/>
                <w:szCs w:val="20"/>
              </w:rPr>
              <w:t xml:space="preserve">Аппараты </w:t>
            </w:r>
            <w:r>
              <w:rPr>
                <w:rFonts w:eastAsia="Arial"/>
                <w:sz w:val="20"/>
                <w:szCs w:val="20"/>
              </w:rPr>
              <w:t>для ультразвуковых исследований</w:t>
            </w:r>
          </w:p>
        </w:tc>
        <w:tc>
          <w:tcPr>
            <w:tcW w:w="1181" w:type="dxa"/>
            <w:tcBorders>
              <w:top w:val="single" w:sz="4" w:space="0" w:color="auto"/>
            </w:tcBorders>
            <w:shd w:val="clear" w:color="auto" w:fill="auto"/>
          </w:tcPr>
          <w:p w:rsidR="006C7C44" w:rsidRPr="00E8065F" w:rsidRDefault="006C7C44" w:rsidP="00366A43">
            <w:pPr>
              <w:spacing w:line="233" w:lineRule="auto"/>
              <w:jc w:val="center"/>
              <w:rPr>
                <w:sz w:val="20"/>
                <w:szCs w:val="20"/>
              </w:rPr>
            </w:pPr>
            <w:r w:rsidRPr="00E8065F">
              <w:rPr>
                <w:sz w:val="20"/>
                <w:szCs w:val="20"/>
              </w:rPr>
              <w:t>2005</w:t>
            </w:r>
            <w:r w:rsidR="00793DC9">
              <w:rPr>
                <w:sz w:val="20"/>
                <w:szCs w:val="20"/>
              </w:rPr>
              <w:t xml:space="preserve"> </w:t>
            </w:r>
            <w:r>
              <w:rPr>
                <w:sz w:val="20"/>
                <w:szCs w:val="20"/>
              </w:rPr>
              <w:t>(1)</w:t>
            </w:r>
          </w:p>
          <w:p w:rsidR="006C7C44" w:rsidRPr="00E8065F" w:rsidRDefault="006C7C44" w:rsidP="00366A43">
            <w:pPr>
              <w:spacing w:line="233" w:lineRule="auto"/>
              <w:jc w:val="center"/>
              <w:rPr>
                <w:sz w:val="20"/>
                <w:szCs w:val="20"/>
              </w:rPr>
            </w:pPr>
            <w:r w:rsidRPr="00E8065F">
              <w:rPr>
                <w:sz w:val="20"/>
                <w:szCs w:val="20"/>
              </w:rPr>
              <w:t>2006</w:t>
            </w:r>
            <w:r w:rsidR="00793DC9">
              <w:rPr>
                <w:sz w:val="20"/>
                <w:szCs w:val="20"/>
              </w:rPr>
              <w:t xml:space="preserve"> </w:t>
            </w:r>
            <w:r>
              <w:rPr>
                <w:sz w:val="20"/>
                <w:szCs w:val="20"/>
              </w:rPr>
              <w:t>(1)</w:t>
            </w:r>
          </w:p>
          <w:p w:rsidR="006C7C44" w:rsidRPr="00E8065F" w:rsidRDefault="006C7C44" w:rsidP="00366A43">
            <w:pPr>
              <w:spacing w:line="233" w:lineRule="auto"/>
              <w:jc w:val="center"/>
              <w:rPr>
                <w:sz w:val="20"/>
                <w:szCs w:val="20"/>
              </w:rPr>
            </w:pPr>
            <w:r w:rsidRPr="00E8065F">
              <w:rPr>
                <w:sz w:val="20"/>
                <w:szCs w:val="20"/>
              </w:rPr>
              <w:t>2013</w:t>
            </w:r>
            <w:r w:rsidR="00793DC9">
              <w:rPr>
                <w:sz w:val="20"/>
                <w:szCs w:val="20"/>
              </w:rPr>
              <w:t xml:space="preserve"> </w:t>
            </w:r>
            <w:r>
              <w:rPr>
                <w:sz w:val="20"/>
                <w:szCs w:val="20"/>
              </w:rPr>
              <w:t>(4)</w:t>
            </w:r>
          </w:p>
          <w:p w:rsidR="006C7C44" w:rsidRPr="00E8065F" w:rsidRDefault="006C7C44" w:rsidP="00366A43">
            <w:pPr>
              <w:spacing w:line="233" w:lineRule="auto"/>
              <w:jc w:val="center"/>
              <w:rPr>
                <w:sz w:val="20"/>
                <w:szCs w:val="20"/>
              </w:rPr>
            </w:pPr>
            <w:r w:rsidRPr="00E8065F">
              <w:rPr>
                <w:sz w:val="20"/>
                <w:szCs w:val="20"/>
              </w:rPr>
              <w:t>2014</w:t>
            </w:r>
            <w:r w:rsidR="00793DC9">
              <w:rPr>
                <w:sz w:val="20"/>
                <w:szCs w:val="20"/>
              </w:rPr>
              <w:t xml:space="preserve"> </w:t>
            </w:r>
            <w:r>
              <w:rPr>
                <w:sz w:val="20"/>
                <w:szCs w:val="20"/>
              </w:rPr>
              <w:t>(1)</w:t>
            </w:r>
          </w:p>
          <w:p w:rsidR="006C7C44" w:rsidRPr="00E8065F" w:rsidRDefault="006C7C44" w:rsidP="00366A43">
            <w:pPr>
              <w:spacing w:line="233" w:lineRule="auto"/>
              <w:jc w:val="center"/>
              <w:rPr>
                <w:sz w:val="20"/>
                <w:szCs w:val="20"/>
              </w:rPr>
            </w:pPr>
            <w:r w:rsidRPr="00E8065F">
              <w:rPr>
                <w:sz w:val="20"/>
                <w:szCs w:val="20"/>
              </w:rPr>
              <w:t>2018</w:t>
            </w:r>
            <w:r w:rsidR="00793DC9">
              <w:rPr>
                <w:sz w:val="20"/>
                <w:szCs w:val="20"/>
              </w:rPr>
              <w:t xml:space="preserve"> </w:t>
            </w:r>
            <w:r>
              <w:rPr>
                <w:sz w:val="20"/>
                <w:szCs w:val="20"/>
              </w:rPr>
              <w:t>(2)</w:t>
            </w:r>
          </w:p>
          <w:p w:rsidR="006C7C44" w:rsidRPr="00E8065F" w:rsidRDefault="006C7C44" w:rsidP="00366A43">
            <w:pPr>
              <w:spacing w:line="233" w:lineRule="auto"/>
              <w:jc w:val="center"/>
              <w:rPr>
                <w:sz w:val="20"/>
                <w:szCs w:val="20"/>
              </w:rPr>
            </w:pPr>
            <w:r w:rsidRPr="00E8065F">
              <w:rPr>
                <w:sz w:val="20"/>
                <w:szCs w:val="20"/>
              </w:rPr>
              <w:t>2022</w:t>
            </w:r>
            <w:r w:rsidR="00793DC9">
              <w:rPr>
                <w:sz w:val="20"/>
                <w:szCs w:val="20"/>
              </w:rPr>
              <w:t xml:space="preserve"> </w:t>
            </w:r>
            <w:r>
              <w:rPr>
                <w:sz w:val="20"/>
                <w:szCs w:val="20"/>
              </w:rPr>
              <w:t>(1)</w:t>
            </w:r>
          </w:p>
          <w:p w:rsidR="006C7C44" w:rsidRPr="00E8065F" w:rsidRDefault="006C7C44" w:rsidP="00366A43">
            <w:pPr>
              <w:spacing w:line="233" w:lineRule="auto"/>
              <w:jc w:val="center"/>
              <w:rPr>
                <w:sz w:val="20"/>
                <w:szCs w:val="20"/>
              </w:rPr>
            </w:pPr>
            <w:r w:rsidRPr="00E8065F">
              <w:rPr>
                <w:sz w:val="20"/>
                <w:szCs w:val="20"/>
              </w:rPr>
              <w:t>2023</w:t>
            </w:r>
            <w:r w:rsidR="00793DC9">
              <w:rPr>
                <w:sz w:val="20"/>
                <w:szCs w:val="20"/>
              </w:rPr>
              <w:t xml:space="preserve"> </w:t>
            </w:r>
            <w:r>
              <w:rPr>
                <w:sz w:val="20"/>
                <w:szCs w:val="20"/>
              </w:rPr>
              <w:t>(1)</w:t>
            </w:r>
          </w:p>
          <w:p w:rsidR="006C7C44" w:rsidRPr="00E8065F" w:rsidRDefault="006C7C44" w:rsidP="00366A43">
            <w:pPr>
              <w:spacing w:line="233" w:lineRule="auto"/>
              <w:jc w:val="center"/>
              <w:rPr>
                <w:sz w:val="20"/>
                <w:szCs w:val="20"/>
              </w:rPr>
            </w:pPr>
            <w:r w:rsidRPr="00E8065F">
              <w:rPr>
                <w:sz w:val="20"/>
                <w:szCs w:val="20"/>
              </w:rPr>
              <w:t>2024</w:t>
            </w:r>
            <w:r w:rsidR="00793DC9">
              <w:rPr>
                <w:sz w:val="20"/>
                <w:szCs w:val="20"/>
              </w:rPr>
              <w:t xml:space="preserve"> </w:t>
            </w:r>
            <w:r>
              <w:rPr>
                <w:sz w:val="20"/>
                <w:szCs w:val="20"/>
              </w:rPr>
              <w:t>(2)</w:t>
            </w:r>
          </w:p>
        </w:tc>
        <w:tc>
          <w:tcPr>
            <w:tcW w:w="1181" w:type="dxa"/>
            <w:tcBorders>
              <w:top w:val="single" w:sz="4" w:space="0" w:color="auto"/>
              <w:left w:val="single" w:sz="4" w:space="0" w:color="auto"/>
              <w:bottom w:val="single" w:sz="4" w:space="0" w:color="auto"/>
              <w:right w:val="single" w:sz="4" w:space="0" w:color="auto"/>
            </w:tcBorders>
            <w:shd w:val="clear" w:color="auto" w:fill="auto"/>
          </w:tcPr>
          <w:p w:rsidR="006C7C44" w:rsidRPr="00271D0A" w:rsidRDefault="006C7C44" w:rsidP="00366A43">
            <w:pPr>
              <w:spacing w:line="233" w:lineRule="auto"/>
              <w:jc w:val="center"/>
              <w:rPr>
                <w:color w:val="000000"/>
                <w:sz w:val="20"/>
                <w:szCs w:val="20"/>
              </w:rPr>
            </w:pPr>
            <w:r w:rsidRPr="00271D0A">
              <w:rPr>
                <w:color w:val="000000"/>
                <w:sz w:val="20"/>
                <w:szCs w:val="20"/>
              </w:rPr>
              <w:t>13</w:t>
            </w:r>
          </w:p>
        </w:tc>
        <w:tc>
          <w:tcPr>
            <w:tcW w:w="1478" w:type="dxa"/>
            <w:tcBorders>
              <w:top w:val="single" w:sz="4" w:space="0" w:color="auto"/>
              <w:left w:val="single" w:sz="4" w:space="0" w:color="auto"/>
              <w:bottom w:val="single" w:sz="4" w:space="0" w:color="auto"/>
              <w:right w:val="single" w:sz="4" w:space="0" w:color="auto"/>
            </w:tcBorders>
            <w:shd w:val="clear" w:color="auto" w:fill="auto"/>
          </w:tcPr>
          <w:p w:rsidR="006C7C44" w:rsidRPr="00E8065F" w:rsidRDefault="006C7C44" w:rsidP="00366A43">
            <w:pPr>
              <w:spacing w:line="233" w:lineRule="auto"/>
              <w:jc w:val="center"/>
              <w:rPr>
                <w:color w:val="000000"/>
                <w:sz w:val="20"/>
                <w:szCs w:val="20"/>
              </w:rPr>
            </w:pPr>
            <w:r w:rsidRPr="00E8065F">
              <w:rPr>
                <w:color w:val="000000"/>
                <w:sz w:val="20"/>
                <w:szCs w:val="20"/>
              </w:rPr>
              <w:t>137,6</w:t>
            </w:r>
          </w:p>
        </w:tc>
        <w:tc>
          <w:tcPr>
            <w:tcW w:w="1111" w:type="dxa"/>
            <w:tcBorders>
              <w:top w:val="single" w:sz="4" w:space="0" w:color="auto"/>
              <w:left w:val="nil"/>
              <w:bottom w:val="single" w:sz="4" w:space="0" w:color="auto"/>
              <w:right w:val="single" w:sz="4" w:space="0" w:color="auto"/>
            </w:tcBorders>
            <w:shd w:val="clear" w:color="auto" w:fill="auto"/>
          </w:tcPr>
          <w:p w:rsidR="006C7C44" w:rsidRPr="00E8065F" w:rsidRDefault="006C7C44" w:rsidP="00366A43">
            <w:pPr>
              <w:spacing w:line="233" w:lineRule="auto"/>
              <w:jc w:val="center"/>
              <w:rPr>
                <w:color w:val="000000"/>
                <w:sz w:val="20"/>
                <w:szCs w:val="20"/>
              </w:rPr>
            </w:pPr>
            <w:r w:rsidRPr="00E8065F">
              <w:rPr>
                <w:color w:val="000000"/>
                <w:sz w:val="20"/>
                <w:szCs w:val="20"/>
              </w:rPr>
              <w:t>1</w:t>
            </w:r>
          </w:p>
        </w:tc>
        <w:tc>
          <w:tcPr>
            <w:tcW w:w="1944" w:type="dxa"/>
            <w:tcBorders>
              <w:top w:val="single" w:sz="4" w:space="0" w:color="auto"/>
              <w:left w:val="single" w:sz="4" w:space="0" w:color="auto"/>
              <w:bottom w:val="single" w:sz="4" w:space="0" w:color="auto"/>
              <w:right w:val="single" w:sz="4" w:space="0" w:color="auto"/>
            </w:tcBorders>
            <w:shd w:val="clear" w:color="auto" w:fill="auto"/>
          </w:tcPr>
          <w:p w:rsidR="006C7C44" w:rsidRPr="00E8065F" w:rsidRDefault="006C7C44" w:rsidP="00366A43">
            <w:pPr>
              <w:spacing w:line="233" w:lineRule="auto"/>
              <w:jc w:val="center"/>
              <w:rPr>
                <w:color w:val="000000"/>
                <w:sz w:val="20"/>
                <w:szCs w:val="20"/>
              </w:rPr>
            </w:pPr>
            <w:r w:rsidRPr="00E8065F">
              <w:rPr>
                <w:color w:val="000000"/>
                <w:sz w:val="20"/>
                <w:szCs w:val="20"/>
              </w:rPr>
              <w:t>Амбулаторное</w:t>
            </w:r>
          </w:p>
        </w:tc>
      </w:tr>
      <w:tr w:rsidR="006C7C44" w:rsidRPr="00E8065F" w:rsidTr="000546C2">
        <w:trPr>
          <w:trHeight w:val="20"/>
        </w:trPr>
        <w:tc>
          <w:tcPr>
            <w:tcW w:w="1555" w:type="dxa"/>
            <w:vMerge/>
          </w:tcPr>
          <w:p w:rsidR="006C7C44" w:rsidRPr="00E8065F" w:rsidRDefault="006C7C44" w:rsidP="006C7C44">
            <w:pPr>
              <w:rPr>
                <w:color w:val="000000"/>
                <w:sz w:val="20"/>
                <w:szCs w:val="20"/>
              </w:rPr>
            </w:pPr>
          </w:p>
        </w:tc>
        <w:tc>
          <w:tcPr>
            <w:tcW w:w="3685" w:type="dxa"/>
            <w:tcBorders>
              <w:top w:val="nil"/>
              <w:left w:val="single" w:sz="4" w:space="0" w:color="auto"/>
              <w:bottom w:val="single" w:sz="4" w:space="0" w:color="auto"/>
              <w:right w:val="single" w:sz="4" w:space="0" w:color="auto"/>
            </w:tcBorders>
            <w:shd w:val="clear" w:color="auto" w:fill="auto"/>
          </w:tcPr>
          <w:p w:rsidR="006C7C44" w:rsidRPr="00E8065F" w:rsidRDefault="006C7C44" w:rsidP="00366A43">
            <w:pPr>
              <w:spacing w:line="233" w:lineRule="auto"/>
              <w:jc w:val="both"/>
              <w:rPr>
                <w:color w:val="000000"/>
                <w:sz w:val="20"/>
                <w:szCs w:val="20"/>
              </w:rPr>
            </w:pPr>
            <w:r>
              <w:rPr>
                <w:color w:val="000000"/>
                <w:sz w:val="20"/>
                <w:szCs w:val="20"/>
              </w:rPr>
              <w:t>ГАУЗ «</w:t>
            </w:r>
            <w:r w:rsidRPr="00E8065F">
              <w:rPr>
                <w:color w:val="000000"/>
                <w:sz w:val="20"/>
                <w:szCs w:val="20"/>
              </w:rPr>
              <w:t>Клиника медицинского университета</w:t>
            </w:r>
            <w:r>
              <w:rPr>
                <w:color w:val="000000"/>
                <w:sz w:val="20"/>
                <w:szCs w:val="20"/>
              </w:rPr>
              <w:t>» г.</w:t>
            </w:r>
            <w:r w:rsidRPr="00E8065F">
              <w:rPr>
                <w:color w:val="000000"/>
                <w:sz w:val="20"/>
                <w:szCs w:val="20"/>
              </w:rPr>
              <w:t>Казан</w:t>
            </w:r>
            <w:r>
              <w:rPr>
                <w:color w:val="000000"/>
                <w:sz w:val="20"/>
                <w:szCs w:val="20"/>
              </w:rPr>
              <w:t>и</w:t>
            </w:r>
          </w:p>
        </w:tc>
        <w:tc>
          <w:tcPr>
            <w:tcW w:w="1994" w:type="dxa"/>
            <w:shd w:val="clear" w:color="auto" w:fill="auto"/>
          </w:tcPr>
          <w:p w:rsidR="006C7C44" w:rsidRDefault="008B3E41" w:rsidP="00366A43">
            <w:pPr>
              <w:spacing w:line="233" w:lineRule="auto"/>
              <w:jc w:val="center"/>
            </w:pPr>
            <w:r>
              <w:rPr>
                <w:sz w:val="20"/>
                <w:szCs w:val="20"/>
              </w:rPr>
              <w:t xml:space="preserve">Аппараты </w:t>
            </w:r>
            <w:r>
              <w:rPr>
                <w:rFonts w:eastAsia="Arial"/>
                <w:sz w:val="20"/>
                <w:szCs w:val="20"/>
              </w:rPr>
              <w:t>для ультразвуковых исследований</w:t>
            </w:r>
          </w:p>
        </w:tc>
        <w:tc>
          <w:tcPr>
            <w:tcW w:w="1181" w:type="dxa"/>
            <w:shd w:val="clear" w:color="auto" w:fill="auto"/>
          </w:tcPr>
          <w:p w:rsidR="006C7C44" w:rsidRPr="00E8065F" w:rsidRDefault="006C7C44" w:rsidP="00366A43">
            <w:pPr>
              <w:spacing w:line="233" w:lineRule="auto"/>
              <w:jc w:val="center"/>
              <w:rPr>
                <w:sz w:val="20"/>
                <w:szCs w:val="20"/>
              </w:rPr>
            </w:pPr>
            <w:r w:rsidRPr="00E8065F">
              <w:rPr>
                <w:sz w:val="20"/>
                <w:szCs w:val="20"/>
              </w:rPr>
              <w:t>2009</w:t>
            </w:r>
            <w:r w:rsidR="00793DC9">
              <w:rPr>
                <w:sz w:val="20"/>
                <w:szCs w:val="20"/>
              </w:rPr>
              <w:t xml:space="preserve"> </w:t>
            </w:r>
            <w:r>
              <w:rPr>
                <w:sz w:val="20"/>
                <w:szCs w:val="20"/>
              </w:rPr>
              <w:t>(1)</w:t>
            </w:r>
          </w:p>
          <w:p w:rsidR="006C7C44" w:rsidRPr="00E8065F" w:rsidRDefault="006C7C44" w:rsidP="00366A43">
            <w:pPr>
              <w:spacing w:line="233" w:lineRule="auto"/>
              <w:jc w:val="center"/>
              <w:rPr>
                <w:sz w:val="20"/>
                <w:szCs w:val="20"/>
              </w:rPr>
            </w:pPr>
            <w:r w:rsidRPr="00E8065F">
              <w:rPr>
                <w:sz w:val="20"/>
                <w:szCs w:val="20"/>
              </w:rPr>
              <w:t>2011</w:t>
            </w:r>
            <w:r w:rsidR="00793DC9">
              <w:rPr>
                <w:sz w:val="20"/>
                <w:szCs w:val="20"/>
              </w:rPr>
              <w:t xml:space="preserve"> </w:t>
            </w:r>
            <w:r>
              <w:rPr>
                <w:sz w:val="20"/>
                <w:szCs w:val="20"/>
              </w:rPr>
              <w:t>(1)</w:t>
            </w:r>
          </w:p>
          <w:p w:rsidR="006C7C44" w:rsidRPr="00E8065F" w:rsidRDefault="006C7C44" w:rsidP="00366A43">
            <w:pPr>
              <w:spacing w:line="233" w:lineRule="auto"/>
              <w:jc w:val="center"/>
              <w:rPr>
                <w:sz w:val="20"/>
                <w:szCs w:val="20"/>
              </w:rPr>
            </w:pPr>
            <w:r w:rsidRPr="00E8065F">
              <w:rPr>
                <w:sz w:val="20"/>
                <w:szCs w:val="20"/>
              </w:rPr>
              <w:t>2013</w:t>
            </w:r>
            <w:r w:rsidR="00793DC9">
              <w:rPr>
                <w:sz w:val="20"/>
                <w:szCs w:val="20"/>
              </w:rPr>
              <w:t xml:space="preserve"> </w:t>
            </w:r>
            <w:r>
              <w:rPr>
                <w:sz w:val="20"/>
                <w:szCs w:val="20"/>
              </w:rPr>
              <w:t>(1)</w:t>
            </w:r>
          </w:p>
          <w:p w:rsidR="006C7C44" w:rsidRPr="00E8065F" w:rsidRDefault="006C7C44" w:rsidP="00366A43">
            <w:pPr>
              <w:spacing w:line="233" w:lineRule="auto"/>
              <w:jc w:val="center"/>
              <w:rPr>
                <w:sz w:val="20"/>
                <w:szCs w:val="20"/>
              </w:rPr>
            </w:pPr>
            <w:r w:rsidRPr="00E8065F">
              <w:rPr>
                <w:sz w:val="20"/>
                <w:szCs w:val="20"/>
              </w:rPr>
              <w:t>2017</w:t>
            </w:r>
            <w:r w:rsidR="00793DC9">
              <w:rPr>
                <w:sz w:val="20"/>
                <w:szCs w:val="20"/>
              </w:rPr>
              <w:t xml:space="preserve"> </w:t>
            </w:r>
            <w:r>
              <w:rPr>
                <w:sz w:val="20"/>
                <w:szCs w:val="20"/>
              </w:rPr>
              <w:t>(3)</w:t>
            </w:r>
          </w:p>
          <w:p w:rsidR="006C7C44" w:rsidRPr="00E8065F" w:rsidRDefault="006C7C44" w:rsidP="00366A43">
            <w:pPr>
              <w:spacing w:line="233" w:lineRule="auto"/>
              <w:jc w:val="center"/>
              <w:rPr>
                <w:sz w:val="20"/>
                <w:szCs w:val="20"/>
              </w:rPr>
            </w:pPr>
            <w:r w:rsidRPr="00E8065F">
              <w:rPr>
                <w:sz w:val="20"/>
                <w:szCs w:val="20"/>
              </w:rPr>
              <w:t>2018</w:t>
            </w:r>
            <w:r w:rsidR="00793DC9">
              <w:rPr>
                <w:sz w:val="20"/>
                <w:szCs w:val="20"/>
              </w:rPr>
              <w:t xml:space="preserve"> </w:t>
            </w:r>
            <w:r>
              <w:rPr>
                <w:sz w:val="20"/>
                <w:szCs w:val="20"/>
              </w:rPr>
              <w:t>(2)</w:t>
            </w:r>
          </w:p>
          <w:p w:rsidR="006C7C44" w:rsidRPr="00E8065F" w:rsidRDefault="006C7C44" w:rsidP="00366A43">
            <w:pPr>
              <w:spacing w:line="233" w:lineRule="auto"/>
              <w:jc w:val="center"/>
              <w:rPr>
                <w:sz w:val="20"/>
                <w:szCs w:val="20"/>
              </w:rPr>
            </w:pPr>
            <w:r w:rsidRPr="00E8065F">
              <w:rPr>
                <w:sz w:val="20"/>
                <w:szCs w:val="20"/>
              </w:rPr>
              <w:t>2020</w:t>
            </w:r>
            <w:r w:rsidR="00793DC9">
              <w:rPr>
                <w:sz w:val="20"/>
                <w:szCs w:val="20"/>
              </w:rPr>
              <w:t xml:space="preserve"> </w:t>
            </w:r>
            <w:r>
              <w:rPr>
                <w:sz w:val="20"/>
                <w:szCs w:val="20"/>
              </w:rPr>
              <w:t>(1)</w:t>
            </w:r>
          </w:p>
          <w:p w:rsidR="006C7C44" w:rsidRPr="00E8065F" w:rsidRDefault="006C7C44" w:rsidP="00366A43">
            <w:pPr>
              <w:spacing w:line="233" w:lineRule="auto"/>
              <w:jc w:val="center"/>
              <w:rPr>
                <w:sz w:val="20"/>
                <w:szCs w:val="20"/>
              </w:rPr>
            </w:pPr>
            <w:r w:rsidRPr="00E8065F">
              <w:rPr>
                <w:sz w:val="20"/>
                <w:szCs w:val="20"/>
              </w:rPr>
              <w:t>2023</w:t>
            </w:r>
            <w:r w:rsidR="00793DC9">
              <w:rPr>
                <w:sz w:val="20"/>
                <w:szCs w:val="20"/>
              </w:rPr>
              <w:t xml:space="preserve"> </w:t>
            </w:r>
            <w:r>
              <w:rPr>
                <w:sz w:val="20"/>
                <w:szCs w:val="20"/>
              </w:rPr>
              <w:t>(2)</w:t>
            </w:r>
          </w:p>
        </w:tc>
        <w:tc>
          <w:tcPr>
            <w:tcW w:w="1181" w:type="dxa"/>
            <w:tcBorders>
              <w:top w:val="nil"/>
              <w:left w:val="single" w:sz="4" w:space="0" w:color="auto"/>
              <w:bottom w:val="single" w:sz="4" w:space="0" w:color="auto"/>
              <w:right w:val="single" w:sz="4" w:space="0" w:color="auto"/>
            </w:tcBorders>
            <w:shd w:val="clear" w:color="auto" w:fill="auto"/>
          </w:tcPr>
          <w:p w:rsidR="006C7C44" w:rsidRPr="00271D0A" w:rsidRDefault="006C7C44" w:rsidP="00366A43">
            <w:pPr>
              <w:spacing w:line="233" w:lineRule="auto"/>
              <w:jc w:val="center"/>
              <w:rPr>
                <w:color w:val="000000"/>
                <w:sz w:val="20"/>
                <w:szCs w:val="20"/>
              </w:rPr>
            </w:pPr>
            <w:r w:rsidRPr="00271D0A">
              <w:rPr>
                <w:color w:val="000000"/>
                <w:sz w:val="20"/>
                <w:szCs w:val="20"/>
              </w:rPr>
              <w:t>11</w:t>
            </w:r>
          </w:p>
        </w:tc>
        <w:tc>
          <w:tcPr>
            <w:tcW w:w="1478" w:type="dxa"/>
            <w:tcBorders>
              <w:top w:val="nil"/>
              <w:left w:val="single" w:sz="4" w:space="0" w:color="auto"/>
              <w:bottom w:val="single" w:sz="4" w:space="0" w:color="auto"/>
              <w:right w:val="single" w:sz="4" w:space="0" w:color="auto"/>
            </w:tcBorders>
            <w:shd w:val="clear" w:color="auto" w:fill="auto"/>
          </w:tcPr>
          <w:p w:rsidR="006C7C44" w:rsidRPr="00E8065F" w:rsidRDefault="006C7C44" w:rsidP="00366A43">
            <w:pPr>
              <w:spacing w:line="233" w:lineRule="auto"/>
              <w:jc w:val="center"/>
              <w:rPr>
                <w:color w:val="000000"/>
                <w:sz w:val="20"/>
                <w:szCs w:val="20"/>
              </w:rPr>
            </w:pPr>
            <w:r w:rsidRPr="00E8065F">
              <w:rPr>
                <w:color w:val="000000"/>
                <w:sz w:val="20"/>
                <w:szCs w:val="20"/>
              </w:rPr>
              <w:t>229,4</w:t>
            </w:r>
          </w:p>
        </w:tc>
        <w:tc>
          <w:tcPr>
            <w:tcW w:w="1111" w:type="dxa"/>
            <w:tcBorders>
              <w:top w:val="nil"/>
              <w:left w:val="nil"/>
              <w:bottom w:val="single" w:sz="4" w:space="0" w:color="auto"/>
              <w:right w:val="single" w:sz="4" w:space="0" w:color="auto"/>
            </w:tcBorders>
            <w:shd w:val="clear" w:color="auto" w:fill="auto"/>
          </w:tcPr>
          <w:p w:rsidR="006C7C44" w:rsidRPr="00E8065F" w:rsidRDefault="006C7C44" w:rsidP="00366A43">
            <w:pPr>
              <w:spacing w:line="233" w:lineRule="auto"/>
              <w:jc w:val="center"/>
              <w:rPr>
                <w:color w:val="000000"/>
                <w:sz w:val="20"/>
                <w:szCs w:val="20"/>
              </w:rPr>
            </w:pPr>
            <w:r w:rsidRPr="00E8065F">
              <w:rPr>
                <w:color w:val="000000"/>
                <w:sz w:val="20"/>
                <w:szCs w:val="20"/>
              </w:rPr>
              <w:t>1</w:t>
            </w:r>
          </w:p>
        </w:tc>
        <w:tc>
          <w:tcPr>
            <w:tcW w:w="1944" w:type="dxa"/>
            <w:tcBorders>
              <w:top w:val="nil"/>
              <w:left w:val="single" w:sz="4" w:space="0" w:color="auto"/>
              <w:bottom w:val="single" w:sz="4" w:space="0" w:color="auto"/>
              <w:right w:val="single" w:sz="4" w:space="0" w:color="auto"/>
            </w:tcBorders>
            <w:shd w:val="clear" w:color="auto" w:fill="auto"/>
          </w:tcPr>
          <w:p w:rsidR="006C7C44" w:rsidRPr="00E8065F" w:rsidRDefault="006C7C44" w:rsidP="00366A43">
            <w:pPr>
              <w:spacing w:line="233" w:lineRule="auto"/>
              <w:jc w:val="center"/>
              <w:rPr>
                <w:color w:val="000000"/>
                <w:sz w:val="20"/>
                <w:szCs w:val="20"/>
              </w:rPr>
            </w:pPr>
            <w:r w:rsidRPr="00E8065F">
              <w:rPr>
                <w:color w:val="000000"/>
                <w:sz w:val="20"/>
                <w:szCs w:val="20"/>
              </w:rPr>
              <w:t>Амбулаторное/стационарное</w:t>
            </w:r>
          </w:p>
        </w:tc>
      </w:tr>
      <w:tr w:rsidR="006C7C44" w:rsidRPr="00E8065F" w:rsidTr="000546C2">
        <w:trPr>
          <w:trHeight w:val="20"/>
        </w:trPr>
        <w:tc>
          <w:tcPr>
            <w:tcW w:w="1555" w:type="dxa"/>
            <w:vMerge/>
          </w:tcPr>
          <w:p w:rsidR="006C7C44" w:rsidRPr="00E8065F" w:rsidRDefault="006C7C44" w:rsidP="006C7C44">
            <w:pPr>
              <w:rPr>
                <w:color w:val="000000"/>
                <w:sz w:val="20"/>
                <w:szCs w:val="20"/>
              </w:rPr>
            </w:pPr>
          </w:p>
        </w:tc>
        <w:tc>
          <w:tcPr>
            <w:tcW w:w="3685" w:type="dxa"/>
            <w:tcBorders>
              <w:top w:val="nil"/>
              <w:left w:val="single" w:sz="4" w:space="0" w:color="auto"/>
              <w:bottom w:val="single" w:sz="4" w:space="0" w:color="auto"/>
              <w:right w:val="single" w:sz="4" w:space="0" w:color="auto"/>
            </w:tcBorders>
            <w:shd w:val="clear" w:color="auto" w:fill="auto"/>
          </w:tcPr>
          <w:p w:rsidR="006C7C44" w:rsidRPr="00E8065F" w:rsidRDefault="006C7C44" w:rsidP="005126B4">
            <w:pPr>
              <w:jc w:val="both"/>
              <w:rPr>
                <w:color w:val="000000"/>
                <w:sz w:val="20"/>
                <w:szCs w:val="20"/>
              </w:rPr>
            </w:pPr>
            <w:r>
              <w:rPr>
                <w:color w:val="000000"/>
                <w:sz w:val="20"/>
                <w:szCs w:val="20"/>
              </w:rPr>
              <w:t xml:space="preserve">ГАУЗ </w:t>
            </w:r>
            <w:r>
              <w:rPr>
                <w:rFonts w:eastAsia="Calibri"/>
                <w:sz w:val="20"/>
                <w:szCs w:val="20"/>
              </w:rPr>
              <w:t>Республики Татарстан «Больница скорой медицинской помощи</w:t>
            </w:r>
            <w:r w:rsidR="005126B4">
              <w:rPr>
                <w:rFonts w:eastAsia="Calibri"/>
                <w:sz w:val="20"/>
                <w:szCs w:val="20"/>
              </w:rPr>
              <w:t xml:space="preserve"> им. Р.С.Акчурина»</w:t>
            </w:r>
            <w:r>
              <w:rPr>
                <w:rFonts w:eastAsia="Calibri"/>
                <w:sz w:val="20"/>
                <w:szCs w:val="20"/>
              </w:rPr>
              <w:t xml:space="preserve"> </w:t>
            </w:r>
            <w:r>
              <w:rPr>
                <w:sz w:val="20"/>
                <w:szCs w:val="20"/>
              </w:rPr>
              <w:t>г.Набережные Челны</w:t>
            </w:r>
          </w:p>
        </w:tc>
        <w:tc>
          <w:tcPr>
            <w:tcW w:w="1994" w:type="dxa"/>
            <w:shd w:val="clear" w:color="auto" w:fill="auto"/>
          </w:tcPr>
          <w:p w:rsidR="006C7C44" w:rsidRDefault="008B3E41" w:rsidP="006C7C44">
            <w:pPr>
              <w:jc w:val="center"/>
            </w:pPr>
            <w:r>
              <w:rPr>
                <w:sz w:val="20"/>
                <w:szCs w:val="20"/>
              </w:rPr>
              <w:t xml:space="preserve">Аппараты </w:t>
            </w:r>
            <w:r>
              <w:rPr>
                <w:rFonts w:eastAsia="Arial"/>
                <w:sz w:val="20"/>
                <w:szCs w:val="20"/>
              </w:rPr>
              <w:t>для ультразвуковых исследований</w:t>
            </w:r>
          </w:p>
        </w:tc>
        <w:tc>
          <w:tcPr>
            <w:tcW w:w="1181" w:type="dxa"/>
            <w:shd w:val="clear" w:color="auto" w:fill="auto"/>
          </w:tcPr>
          <w:p w:rsidR="006C7C44" w:rsidRPr="00E8065F" w:rsidRDefault="006C7C44" w:rsidP="006C7C44">
            <w:pPr>
              <w:jc w:val="center"/>
              <w:rPr>
                <w:sz w:val="20"/>
                <w:szCs w:val="20"/>
              </w:rPr>
            </w:pPr>
            <w:r w:rsidRPr="00E8065F">
              <w:rPr>
                <w:sz w:val="20"/>
                <w:szCs w:val="20"/>
              </w:rPr>
              <w:t>2009</w:t>
            </w:r>
            <w:r w:rsidR="00793DC9">
              <w:rPr>
                <w:sz w:val="20"/>
                <w:szCs w:val="20"/>
              </w:rPr>
              <w:t xml:space="preserve"> </w:t>
            </w:r>
            <w:r>
              <w:rPr>
                <w:sz w:val="20"/>
                <w:szCs w:val="20"/>
              </w:rPr>
              <w:t>(3)</w:t>
            </w:r>
          </w:p>
          <w:p w:rsidR="006C7C44" w:rsidRPr="00E8065F" w:rsidRDefault="006C7C44" w:rsidP="006C7C44">
            <w:pPr>
              <w:jc w:val="center"/>
              <w:rPr>
                <w:sz w:val="20"/>
                <w:szCs w:val="20"/>
              </w:rPr>
            </w:pPr>
            <w:r w:rsidRPr="00E8065F">
              <w:rPr>
                <w:sz w:val="20"/>
                <w:szCs w:val="20"/>
              </w:rPr>
              <w:t>2010</w:t>
            </w:r>
            <w:r w:rsidR="00793DC9">
              <w:rPr>
                <w:sz w:val="20"/>
                <w:szCs w:val="20"/>
              </w:rPr>
              <w:t xml:space="preserve"> </w:t>
            </w:r>
            <w:r>
              <w:rPr>
                <w:sz w:val="20"/>
                <w:szCs w:val="20"/>
              </w:rPr>
              <w:t>(7)</w:t>
            </w:r>
          </w:p>
          <w:p w:rsidR="006C7C44" w:rsidRPr="00E8065F" w:rsidRDefault="006C7C44" w:rsidP="006C7C44">
            <w:pPr>
              <w:jc w:val="center"/>
              <w:rPr>
                <w:sz w:val="20"/>
                <w:szCs w:val="20"/>
              </w:rPr>
            </w:pPr>
            <w:r w:rsidRPr="00E8065F">
              <w:rPr>
                <w:sz w:val="20"/>
                <w:szCs w:val="20"/>
              </w:rPr>
              <w:t>2016</w:t>
            </w:r>
            <w:r w:rsidR="00793DC9">
              <w:rPr>
                <w:sz w:val="20"/>
                <w:szCs w:val="20"/>
              </w:rPr>
              <w:t xml:space="preserve"> </w:t>
            </w:r>
            <w:r>
              <w:rPr>
                <w:sz w:val="20"/>
                <w:szCs w:val="20"/>
              </w:rPr>
              <w:t>(1)</w:t>
            </w:r>
          </w:p>
          <w:p w:rsidR="006C7C44" w:rsidRPr="00E8065F" w:rsidRDefault="006C7C44" w:rsidP="006C7C44">
            <w:pPr>
              <w:jc w:val="center"/>
              <w:rPr>
                <w:sz w:val="20"/>
                <w:szCs w:val="20"/>
              </w:rPr>
            </w:pPr>
            <w:r w:rsidRPr="00E8065F">
              <w:rPr>
                <w:sz w:val="20"/>
                <w:szCs w:val="20"/>
              </w:rPr>
              <w:t>2019</w:t>
            </w:r>
            <w:r w:rsidR="00793DC9">
              <w:rPr>
                <w:sz w:val="20"/>
                <w:szCs w:val="20"/>
              </w:rPr>
              <w:t xml:space="preserve"> </w:t>
            </w:r>
            <w:r>
              <w:rPr>
                <w:sz w:val="20"/>
                <w:szCs w:val="20"/>
              </w:rPr>
              <w:t>(1)</w:t>
            </w:r>
          </w:p>
          <w:p w:rsidR="006C7C44" w:rsidRPr="00E8065F" w:rsidRDefault="006C7C44" w:rsidP="006C7C44">
            <w:pPr>
              <w:jc w:val="center"/>
              <w:rPr>
                <w:sz w:val="20"/>
                <w:szCs w:val="20"/>
              </w:rPr>
            </w:pPr>
            <w:r w:rsidRPr="00E8065F">
              <w:rPr>
                <w:sz w:val="20"/>
                <w:szCs w:val="20"/>
              </w:rPr>
              <w:t>2020</w:t>
            </w:r>
            <w:r w:rsidR="00793DC9">
              <w:rPr>
                <w:sz w:val="20"/>
                <w:szCs w:val="20"/>
              </w:rPr>
              <w:t xml:space="preserve"> </w:t>
            </w:r>
            <w:r>
              <w:rPr>
                <w:sz w:val="20"/>
                <w:szCs w:val="20"/>
              </w:rPr>
              <w:t>(2)</w:t>
            </w:r>
          </w:p>
          <w:p w:rsidR="006C7C44" w:rsidRPr="00E8065F" w:rsidRDefault="006C7C44" w:rsidP="006C7C44">
            <w:pPr>
              <w:jc w:val="center"/>
              <w:rPr>
                <w:sz w:val="20"/>
                <w:szCs w:val="20"/>
              </w:rPr>
            </w:pPr>
            <w:r w:rsidRPr="00E8065F">
              <w:rPr>
                <w:sz w:val="20"/>
                <w:szCs w:val="20"/>
              </w:rPr>
              <w:t>2021</w:t>
            </w:r>
            <w:r w:rsidR="00793DC9">
              <w:rPr>
                <w:sz w:val="20"/>
                <w:szCs w:val="20"/>
              </w:rPr>
              <w:t xml:space="preserve"> </w:t>
            </w:r>
            <w:r>
              <w:rPr>
                <w:sz w:val="20"/>
                <w:szCs w:val="20"/>
              </w:rPr>
              <w:t>(7)</w:t>
            </w:r>
          </w:p>
          <w:p w:rsidR="006C7C44" w:rsidRPr="00E8065F" w:rsidRDefault="006C7C44" w:rsidP="006C7C44">
            <w:pPr>
              <w:jc w:val="center"/>
              <w:rPr>
                <w:sz w:val="20"/>
                <w:szCs w:val="20"/>
              </w:rPr>
            </w:pPr>
            <w:r w:rsidRPr="00E8065F">
              <w:rPr>
                <w:sz w:val="20"/>
                <w:szCs w:val="20"/>
              </w:rPr>
              <w:t>2022</w:t>
            </w:r>
            <w:r w:rsidR="00793DC9">
              <w:rPr>
                <w:sz w:val="20"/>
                <w:szCs w:val="20"/>
              </w:rPr>
              <w:t xml:space="preserve"> </w:t>
            </w:r>
            <w:r>
              <w:rPr>
                <w:sz w:val="20"/>
                <w:szCs w:val="20"/>
              </w:rPr>
              <w:t>(2)</w:t>
            </w:r>
          </w:p>
          <w:p w:rsidR="006C7C44" w:rsidRPr="00E8065F" w:rsidRDefault="006C7C44" w:rsidP="006C7C44">
            <w:pPr>
              <w:jc w:val="center"/>
              <w:rPr>
                <w:sz w:val="20"/>
                <w:szCs w:val="20"/>
              </w:rPr>
            </w:pPr>
            <w:r w:rsidRPr="00E8065F">
              <w:rPr>
                <w:sz w:val="20"/>
                <w:szCs w:val="20"/>
              </w:rPr>
              <w:t>2023</w:t>
            </w:r>
            <w:r w:rsidR="00793DC9">
              <w:rPr>
                <w:sz w:val="20"/>
                <w:szCs w:val="20"/>
              </w:rPr>
              <w:t xml:space="preserve"> </w:t>
            </w:r>
            <w:r>
              <w:rPr>
                <w:sz w:val="20"/>
                <w:szCs w:val="20"/>
              </w:rPr>
              <w:t>(1)</w:t>
            </w:r>
          </w:p>
        </w:tc>
        <w:tc>
          <w:tcPr>
            <w:tcW w:w="1181" w:type="dxa"/>
            <w:tcBorders>
              <w:top w:val="nil"/>
              <w:left w:val="single" w:sz="4" w:space="0" w:color="auto"/>
              <w:bottom w:val="single" w:sz="4" w:space="0" w:color="auto"/>
              <w:right w:val="single" w:sz="4" w:space="0" w:color="auto"/>
            </w:tcBorders>
            <w:shd w:val="clear" w:color="auto" w:fill="auto"/>
          </w:tcPr>
          <w:p w:rsidR="006C7C44" w:rsidRPr="00271D0A" w:rsidRDefault="006C7C44" w:rsidP="006C7C44">
            <w:pPr>
              <w:jc w:val="center"/>
              <w:rPr>
                <w:color w:val="000000"/>
                <w:sz w:val="20"/>
                <w:szCs w:val="20"/>
              </w:rPr>
            </w:pPr>
            <w:r w:rsidRPr="00271D0A">
              <w:rPr>
                <w:color w:val="000000"/>
                <w:sz w:val="20"/>
                <w:szCs w:val="20"/>
              </w:rPr>
              <w:t>24</w:t>
            </w:r>
          </w:p>
        </w:tc>
        <w:tc>
          <w:tcPr>
            <w:tcW w:w="1478" w:type="dxa"/>
            <w:tcBorders>
              <w:top w:val="nil"/>
              <w:left w:val="single" w:sz="4" w:space="0" w:color="auto"/>
              <w:bottom w:val="single" w:sz="4" w:space="0" w:color="auto"/>
              <w:right w:val="single" w:sz="4" w:space="0" w:color="auto"/>
            </w:tcBorders>
            <w:shd w:val="clear" w:color="auto" w:fill="auto"/>
          </w:tcPr>
          <w:p w:rsidR="006C7C44" w:rsidRPr="00E8065F" w:rsidRDefault="006C7C44" w:rsidP="006C7C44">
            <w:pPr>
              <w:jc w:val="center"/>
              <w:rPr>
                <w:color w:val="000000"/>
                <w:sz w:val="20"/>
                <w:szCs w:val="20"/>
              </w:rPr>
            </w:pPr>
            <w:r w:rsidRPr="00E8065F">
              <w:rPr>
                <w:color w:val="000000"/>
                <w:sz w:val="20"/>
                <w:szCs w:val="20"/>
              </w:rPr>
              <w:t>186,6</w:t>
            </w:r>
          </w:p>
        </w:tc>
        <w:tc>
          <w:tcPr>
            <w:tcW w:w="1111" w:type="dxa"/>
            <w:tcBorders>
              <w:top w:val="nil"/>
              <w:left w:val="nil"/>
              <w:bottom w:val="single" w:sz="4" w:space="0" w:color="auto"/>
              <w:right w:val="single" w:sz="4" w:space="0" w:color="auto"/>
            </w:tcBorders>
            <w:shd w:val="clear" w:color="auto" w:fill="auto"/>
          </w:tcPr>
          <w:p w:rsidR="006C7C44" w:rsidRPr="00E8065F" w:rsidRDefault="006C7C44" w:rsidP="006C7C44">
            <w:pPr>
              <w:jc w:val="center"/>
              <w:rPr>
                <w:color w:val="000000"/>
                <w:sz w:val="20"/>
                <w:szCs w:val="20"/>
              </w:rPr>
            </w:pPr>
            <w:r w:rsidRPr="00E8065F">
              <w:rPr>
                <w:color w:val="000000"/>
                <w:sz w:val="20"/>
                <w:szCs w:val="20"/>
              </w:rPr>
              <w:t>2</w:t>
            </w:r>
          </w:p>
        </w:tc>
        <w:tc>
          <w:tcPr>
            <w:tcW w:w="1944" w:type="dxa"/>
            <w:tcBorders>
              <w:top w:val="nil"/>
              <w:left w:val="single" w:sz="4" w:space="0" w:color="auto"/>
              <w:bottom w:val="single" w:sz="4" w:space="0" w:color="auto"/>
              <w:right w:val="single" w:sz="4" w:space="0" w:color="auto"/>
            </w:tcBorders>
            <w:shd w:val="clear" w:color="auto" w:fill="auto"/>
          </w:tcPr>
          <w:p w:rsidR="006C7C44" w:rsidRPr="00E8065F" w:rsidRDefault="006C7C44" w:rsidP="006C7C44">
            <w:pPr>
              <w:jc w:val="center"/>
              <w:rPr>
                <w:color w:val="000000"/>
                <w:sz w:val="20"/>
                <w:szCs w:val="20"/>
              </w:rPr>
            </w:pPr>
            <w:r w:rsidRPr="00E8065F">
              <w:rPr>
                <w:color w:val="000000"/>
                <w:sz w:val="20"/>
                <w:szCs w:val="20"/>
              </w:rPr>
              <w:t>Стационарное</w:t>
            </w:r>
          </w:p>
        </w:tc>
      </w:tr>
      <w:tr w:rsidR="006C7C44" w:rsidRPr="00E8065F" w:rsidTr="000546C2">
        <w:trPr>
          <w:trHeight w:val="20"/>
        </w:trPr>
        <w:tc>
          <w:tcPr>
            <w:tcW w:w="1555" w:type="dxa"/>
            <w:vMerge/>
          </w:tcPr>
          <w:p w:rsidR="006C7C44" w:rsidRPr="00E8065F" w:rsidRDefault="006C7C44" w:rsidP="006C7C44">
            <w:pPr>
              <w:rPr>
                <w:color w:val="000000"/>
                <w:sz w:val="20"/>
                <w:szCs w:val="20"/>
              </w:rPr>
            </w:pPr>
          </w:p>
        </w:tc>
        <w:tc>
          <w:tcPr>
            <w:tcW w:w="3685" w:type="dxa"/>
            <w:tcBorders>
              <w:top w:val="nil"/>
              <w:left w:val="single" w:sz="4" w:space="0" w:color="auto"/>
              <w:bottom w:val="single" w:sz="4" w:space="0" w:color="auto"/>
              <w:right w:val="single" w:sz="4" w:space="0" w:color="auto"/>
            </w:tcBorders>
            <w:shd w:val="clear" w:color="auto" w:fill="auto"/>
          </w:tcPr>
          <w:p w:rsidR="006C7C44" w:rsidRPr="00E8065F" w:rsidRDefault="006C7C44" w:rsidP="006C7C44">
            <w:pPr>
              <w:jc w:val="both"/>
              <w:rPr>
                <w:color w:val="000000"/>
                <w:sz w:val="20"/>
                <w:szCs w:val="20"/>
              </w:rPr>
            </w:pPr>
            <w:r w:rsidRPr="00E8065F">
              <w:rPr>
                <w:color w:val="000000"/>
                <w:sz w:val="20"/>
                <w:szCs w:val="20"/>
              </w:rPr>
              <w:t>Г</w:t>
            </w:r>
            <w:r>
              <w:rPr>
                <w:color w:val="000000"/>
                <w:sz w:val="20"/>
                <w:szCs w:val="20"/>
              </w:rPr>
              <w:t>АУЗ «Госпиталь для ветеранов вой</w:t>
            </w:r>
            <w:r w:rsidRPr="00E8065F">
              <w:rPr>
                <w:color w:val="000000"/>
                <w:sz w:val="20"/>
                <w:szCs w:val="20"/>
              </w:rPr>
              <w:t>н</w:t>
            </w:r>
            <w:r>
              <w:rPr>
                <w:color w:val="000000"/>
                <w:sz w:val="20"/>
                <w:szCs w:val="20"/>
              </w:rPr>
              <w:t>»</w:t>
            </w:r>
            <w:r w:rsidRPr="00E8065F">
              <w:rPr>
                <w:color w:val="000000"/>
                <w:sz w:val="20"/>
                <w:szCs w:val="20"/>
              </w:rPr>
              <w:t xml:space="preserve"> г.</w:t>
            </w:r>
            <w:r>
              <w:rPr>
                <w:color w:val="000000"/>
                <w:sz w:val="20"/>
                <w:szCs w:val="20"/>
              </w:rPr>
              <w:t>Казани</w:t>
            </w:r>
          </w:p>
        </w:tc>
        <w:tc>
          <w:tcPr>
            <w:tcW w:w="1994" w:type="dxa"/>
            <w:shd w:val="clear" w:color="auto" w:fill="auto"/>
          </w:tcPr>
          <w:p w:rsidR="006C7C44" w:rsidRDefault="008B3E41" w:rsidP="006C7C44">
            <w:pPr>
              <w:jc w:val="center"/>
            </w:pPr>
            <w:r>
              <w:rPr>
                <w:sz w:val="20"/>
                <w:szCs w:val="20"/>
              </w:rPr>
              <w:t xml:space="preserve">Аппараты </w:t>
            </w:r>
            <w:r>
              <w:rPr>
                <w:rFonts w:eastAsia="Arial"/>
                <w:sz w:val="20"/>
                <w:szCs w:val="20"/>
              </w:rPr>
              <w:t>для ультразвуковых исследований</w:t>
            </w:r>
          </w:p>
        </w:tc>
        <w:tc>
          <w:tcPr>
            <w:tcW w:w="1181" w:type="dxa"/>
            <w:shd w:val="clear" w:color="auto" w:fill="auto"/>
          </w:tcPr>
          <w:p w:rsidR="006C7C44" w:rsidRPr="00E8065F" w:rsidRDefault="006C7C44" w:rsidP="006C7C44">
            <w:pPr>
              <w:jc w:val="center"/>
              <w:rPr>
                <w:sz w:val="20"/>
                <w:szCs w:val="20"/>
              </w:rPr>
            </w:pPr>
            <w:r w:rsidRPr="00E8065F">
              <w:rPr>
                <w:sz w:val="20"/>
                <w:szCs w:val="20"/>
              </w:rPr>
              <w:t>2018</w:t>
            </w:r>
            <w:r w:rsidR="00793DC9">
              <w:rPr>
                <w:sz w:val="20"/>
                <w:szCs w:val="20"/>
              </w:rPr>
              <w:t xml:space="preserve"> </w:t>
            </w:r>
            <w:r>
              <w:rPr>
                <w:sz w:val="20"/>
                <w:szCs w:val="20"/>
              </w:rPr>
              <w:t>(1)</w:t>
            </w:r>
          </w:p>
          <w:p w:rsidR="006C7C44" w:rsidRPr="00E8065F" w:rsidRDefault="006C7C44" w:rsidP="006C7C44">
            <w:pPr>
              <w:jc w:val="center"/>
              <w:rPr>
                <w:sz w:val="20"/>
                <w:szCs w:val="20"/>
              </w:rPr>
            </w:pPr>
            <w:r w:rsidRPr="00E8065F">
              <w:rPr>
                <w:sz w:val="20"/>
                <w:szCs w:val="20"/>
              </w:rPr>
              <w:t>2020</w:t>
            </w:r>
            <w:r w:rsidR="00793DC9">
              <w:rPr>
                <w:sz w:val="20"/>
                <w:szCs w:val="20"/>
              </w:rPr>
              <w:t xml:space="preserve"> </w:t>
            </w:r>
            <w:r>
              <w:rPr>
                <w:sz w:val="20"/>
                <w:szCs w:val="20"/>
              </w:rPr>
              <w:t>(1)</w:t>
            </w:r>
          </w:p>
          <w:p w:rsidR="006C7C44" w:rsidRPr="00E8065F" w:rsidRDefault="006C7C44" w:rsidP="006C7C44">
            <w:pPr>
              <w:jc w:val="center"/>
              <w:rPr>
                <w:sz w:val="20"/>
                <w:szCs w:val="20"/>
              </w:rPr>
            </w:pPr>
            <w:r w:rsidRPr="00E8065F">
              <w:rPr>
                <w:sz w:val="20"/>
                <w:szCs w:val="20"/>
              </w:rPr>
              <w:t>2022</w:t>
            </w:r>
            <w:r w:rsidR="00793DC9">
              <w:rPr>
                <w:sz w:val="20"/>
                <w:szCs w:val="20"/>
              </w:rPr>
              <w:t xml:space="preserve"> </w:t>
            </w:r>
            <w:r>
              <w:rPr>
                <w:sz w:val="20"/>
                <w:szCs w:val="20"/>
              </w:rPr>
              <w:t>(4)</w:t>
            </w:r>
          </w:p>
          <w:p w:rsidR="006C7C44" w:rsidRPr="00E8065F" w:rsidRDefault="006C7C44" w:rsidP="006C7C44">
            <w:pPr>
              <w:jc w:val="center"/>
              <w:rPr>
                <w:sz w:val="20"/>
                <w:szCs w:val="20"/>
              </w:rPr>
            </w:pPr>
            <w:r w:rsidRPr="00E8065F">
              <w:rPr>
                <w:sz w:val="20"/>
                <w:szCs w:val="20"/>
              </w:rPr>
              <w:t>2023</w:t>
            </w:r>
            <w:r w:rsidR="00793DC9">
              <w:rPr>
                <w:sz w:val="20"/>
                <w:szCs w:val="20"/>
              </w:rPr>
              <w:t xml:space="preserve"> </w:t>
            </w:r>
            <w:r>
              <w:rPr>
                <w:sz w:val="20"/>
                <w:szCs w:val="20"/>
              </w:rPr>
              <w:t>(1)</w:t>
            </w:r>
          </w:p>
        </w:tc>
        <w:tc>
          <w:tcPr>
            <w:tcW w:w="1181" w:type="dxa"/>
            <w:tcBorders>
              <w:top w:val="nil"/>
              <w:left w:val="single" w:sz="4" w:space="0" w:color="auto"/>
              <w:bottom w:val="single" w:sz="4" w:space="0" w:color="auto"/>
              <w:right w:val="single" w:sz="4" w:space="0" w:color="auto"/>
            </w:tcBorders>
            <w:shd w:val="clear" w:color="auto" w:fill="auto"/>
          </w:tcPr>
          <w:p w:rsidR="006C7C44" w:rsidRPr="00271D0A" w:rsidRDefault="006C7C44" w:rsidP="006C7C44">
            <w:pPr>
              <w:jc w:val="center"/>
              <w:rPr>
                <w:color w:val="000000"/>
                <w:sz w:val="20"/>
                <w:szCs w:val="20"/>
              </w:rPr>
            </w:pPr>
            <w:r w:rsidRPr="00271D0A">
              <w:rPr>
                <w:color w:val="000000"/>
                <w:sz w:val="20"/>
                <w:szCs w:val="20"/>
              </w:rPr>
              <w:t>7</w:t>
            </w:r>
          </w:p>
        </w:tc>
        <w:tc>
          <w:tcPr>
            <w:tcW w:w="1478" w:type="dxa"/>
            <w:tcBorders>
              <w:top w:val="nil"/>
              <w:left w:val="single" w:sz="4" w:space="0" w:color="auto"/>
              <w:bottom w:val="single" w:sz="4" w:space="0" w:color="auto"/>
              <w:right w:val="single" w:sz="4" w:space="0" w:color="auto"/>
            </w:tcBorders>
            <w:shd w:val="clear" w:color="auto" w:fill="auto"/>
          </w:tcPr>
          <w:p w:rsidR="006C7C44" w:rsidRPr="00E8065F" w:rsidRDefault="006C7C44" w:rsidP="006C7C44">
            <w:pPr>
              <w:jc w:val="center"/>
              <w:rPr>
                <w:color w:val="000000"/>
                <w:sz w:val="20"/>
                <w:szCs w:val="20"/>
              </w:rPr>
            </w:pPr>
            <w:r w:rsidRPr="00E8065F">
              <w:rPr>
                <w:color w:val="000000"/>
                <w:sz w:val="20"/>
                <w:szCs w:val="20"/>
              </w:rPr>
              <w:t>94,5</w:t>
            </w:r>
          </w:p>
        </w:tc>
        <w:tc>
          <w:tcPr>
            <w:tcW w:w="1111" w:type="dxa"/>
            <w:tcBorders>
              <w:top w:val="nil"/>
              <w:left w:val="nil"/>
              <w:bottom w:val="single" w:sz="4" w:space="0" w:color="auto"/>
              <w:right w:val="single" w:sz="4" w:space="0" w:color="auto"/>
            </w:tcBorders>
            <w:shd w:val="clear" w:color="auto" w:fill="auto"/>
          </w:tcPr>
          <w:p w:rsidR="006C7C44" w:rsidRPr="00E8065F" w:rsidRDefault="006C7C44" w:rsidP="006C7C44">
            <w:pPr>
              <w:jc w:val="center"/>
              <w:rPr>
                <w:color w:val="000000"/>
                <w:sz w:val="20"/>
                <w:szCs w:val="20"/>
              </w:rPr>
            </w:pPr>
            <w:r w:rsidRPr="00E8065F">
              <w:rPr>
                <w:color w:val="000000"/>
                <w:sz w:val="20"/>
                <w:szCs w:val="20"/>
              </w:rPr>
              <w:t>1</w:t>
            </w:r>
          </w:p>
        </w:tc>
        <w:tc>
          <w:tcPr>
            <w:tcW w:w="1944" w:type="dxa"/>
            <w:tcBorders>
              <w:top w:val="nil"/>
              <w:left w:val="single" w:sz="4" w:space="0" w:color="auto"/>
              <w:bottom w:val="single" w:sz="4" w:space="0" w:color="auto"/>
              <w:right w:val="single" w:sz="4" w:space="0" w:color="auto"/>
            </w:tcBorders>
            <w:shd w:val="clear" w:color="auto" w:fill="auto"/>
          </w:tcPr>
          <w:p w:rsidR="006C7C44" w:rsidRPr="00E8065F" w:rsidRDefault="006C7C44" w:rsidP="006C7C44">
            <w:pPr>
              <w:jc w:val="center"/>
              <w:rPr>
                <w:color w:val="000000"/>
                <w:sz w:val="20"/>
                <w:szCs w:val="20"/>
              </w:rPr>
            </w:pPr>
            <w:r w:rsidRPr="00E8065F">
              <w:rPr>
                <w:color w:val="000000"/>
                <w:sz w:val="20"/>
                <w:szCs w:val="20"/>
              </w:rPr>
              <w:t>Амбулаторное/стационарное</w:t>
            </w:r>
          </w:p>
        </w:tc>
      </w:tr>
      <w:tr w:rsidR="006C7C44" w:rsidRPr="00E8065F" w:rsidTr="000546C2">
        <w:trPr>
          <w:trHeight w:val="20"/>
        </w:trPr>
        <w:tc>
          <w:tcPr>
            <w:tcW w:w="1555" w:type="dxa"/>
            <w:vMerge/>
          </w:tcPr>
          <w:p w:rsidR="006C7C44" w:rsidRPr="00E8065F" w:rsidRDefault="006C7C44" w:rsidP="006C7C44">
            <w:pPr>
              <w:rPr>
                <w:color w:val="000000"/>
                <w:sz w:val="20"/>
                <w:szCs w:val="20"/>
              </w:rPr>
            </w:pPr>
          </w:p>
        </w:tc>
        <w:tc>
          <w:tcPr>
            <w:tcW w:w="3685" w:type="dxa"/>
            <w:tcBorders>
              <w:top w:val="nil"/>
              <w:left w:val="single" w:sz="4" w:space="0" w:color="auto"/>
              <w:bottom w:val="single" w:sz="4" w:space="0" w:color="auto"/>
              <w:right w:val="single" w:sz="4" w:space="0" w:color="auto"/>
            </w:tcBorders>
            <w:shd w:val="clear" w:color="auto" w:fill="auto"/>
          </w:tcPr>
          <w:p w:rsidR="006C7C44" w:rsidRPr="00E8065F" w:rsidRDefault="006C7C44" w:rsidP="006C7C44">
            <w:pPr>
              <w:jc w:val="both"/>
              <w:rPr>
                <w:color w:val="000000"/>
                <w:sz w:val="20"/>
                <w:szCs w:val="20"/>
              </w:rPr>
            </w:pPr>
            <w:r>
              <w:rPr>
                <w:color w:val="000000"/>
                <w:sz w:val="20"/>
                <w:szCs w:val="20"/>
              </w:rPr>
              <w:t>ГАУЗ «Госпиталь для ветеранов вой</w:t>
            </w:r>
            <w:r w:rsidRPr="00E8065F">
              <w:rPr>
                <w:color w:val="000000"/>
                <w:sz w:val="20"/>
                <w:szCs w:val="20"/>
              </w:rPr>
              <w:t>н</w:t>
            </w:r>
            <w:r>
              <w:rPr>
                <w:color w:val="000000"/>
                <w:sz w:val="20"/>
                <w:szCs w:val="20"/>
              </w:rPr>
              <w:t>»</w:t>
            </w:r>
            <w:r w:rsidRPr="00E8065F">
              <w:rPr>
                <w:color w:val="000000"/>
                <w:sz w:val="20"/>
                <w:szCs w:val="20"/>
              </w:rPr>
              <w:t xml:space="preserve"> г.Набережные Челны</w:t>
            </w:r>
          </w:p>
        </w:tc>
        <w:tc>
          <w:tcPr>
            <w:tcW w:w="1994" w:type="dxa"/>
            <w:shd w:val="clear" w:color="auto" w:fill="auto"/>
          </w:tcPr>
          <w:p w:rsidR="006C7C44" w:rsidRDefault="008B3E41" w:rsidP="006C7C44">
            <w:pPr>
              <w:jc w:val="center"/>
            </w:pPr>
            <w:r>
              <w:rPr>
                <w:sz w:val="20"/>
                <w:szCs w:val="20"/>
              </w:rPr>
              <w:t xml:space="preserve">Аппараты </w:t>
            </w:r>
            <w:r>
              <w:rPr>
                <w:rFonts w:eastAsia="Arial"/>
                <w:sz w:val="20"/>
                <w:szCs w:val="20"/>
              </w:rPr>
              <w:t>для ультразвуковых исследований</w:t>
            </w:r>
          </w:p>
        </w:tc>
        <w:tc>
          <w:tcPr>
            <w:tcW w:w="1181" w:type="dxa"/>
            <w:shd w:val="clear" w:color="auto" w:fill="auto"/>
          </w:tcPr>
          <w:p w:rsidR="006C7C44" w:rsidRPr="00E8065F" w:rsidRDefault="006C7C44" w:rsidP="006C7C44">
            <w:pPr>
              <w:jc w:val="center"/>
              <w:rPr>
                <w:sz w:val="20"/>
                <w:szCs w:val="20"/>
              </w:rPr>
            </w:pPr>
            <w:r w:rsidRPr="00E8065F">
              <w:rPr>
                <w:sz w:val="20"/>
                <w:szCs w:val="20"/>
              </w:rPr>
              <w:t>2002</w:t>
            </w:r>
            <w:r w:rsidR="00793DC9">
              <w:rPr>
                <w:sz w:val="20"/>
                <w:szCs w:val="20"/>
              </w:rPr>
              <w:t xml:space="preserve"> </w:t>
            </w:r>
            <w:r>
              <w:rPr>
                <w:sz w:val="20"/>
                <w:szCs w:val="20"/>
              </w:rPr>
              <w:t>(1)</w:t>
            </w:r>
          </w:p>
          <w:p w:rsidR="006C7C44" w:rsidRPr="00E8065F" w:rsidRDefault="006C7C44" w:rsidP="006C7C44">
            <w:pPr>
              <w:jc w:val="center"/>
              <w:rPr>
                <w:sz w:val="20"/>
                <w:szCs w:val="20"/>
              </w:rPr>
            </w:pPr>
            <w:r w:rsidRPr="00E8065F">
              <w:rPr>
                <w:sz w:val="20"/>
                <w:szCs w:val="20"/>
              </w:rPr>
              <w:t>2010</w:t>
            </w:r>
            <w:r w:rsidR="00793DC9">
              <w:rPr>
                <w:sz w:val="20"/>
                <w:szCs w:val="20"/>
              </w:rPr>
              <w:t xml:space="preserve"> </w:t>
            </w:r>
            <w:r>
              <w:rPr>
                <w:sz w:val="20"/>
                <w:szCs w:val="20"/>
              </w:rPr>
              <w:t>(1)</w:t>
            </w:r>
          </w:p>
          <w:p w:rsidR="006C7C44" w:rsidRPr="00E8065F" w:rsidRDefault="006C7C44" w:rsidP="006C7C44">
            <w:pPr>
              <w:jc w:val="center"/>
              <w:rPr>
                <w:sz w:val="20"/>
                <w:szCs w:val="20"/>
              </w:rPr>
            </w:pPr>
            <w:r w:rsidRPr="00E8065F">
              <w:rPr>
                <w:sz w:val="20"/>
                <w:szCs w:val="20"/>
              </w:rPr>
              <w:t>2018</w:t>
            </w:r>
            <w:r w:rsidR="00793DC9">
              <w:rPr>
                <w:sz w:val="20"/>
                <w:szCs w:val="20"/>
              </w:rPr>
              <w:t xml:space="preserve"> </w:t>
            </w:r>
            <w:r>
              <w:rPr>
                <w:sz w:val="20"/>
                <w:szCs w:val="20"/>
              </w:rPr>
              <w:t>(1)</w:t>
            </w:r>
          </w:p>
          <w:p w:rsidR="006C7C44" w:rsidRPr="00E8065F" w:rsidRDefault="006C7C44" w:rsidP="006C7C44">
            <w:pPr>
              <w:jc w:val="center"/>
              <w:rPr>
                <w:sz w:val="20"/>
                <w:szCs w:val="20"/>
              </w:rPr>
            </w:pPr>
            <w:r w:rsidRPr="00E8065F">
              <w:rPr>
                <w:sz w:val="20"/>
                <w:szCs w:val="20"/>
              </w:rPr>
              <w:t>2023</w:t>
            </w:r>
            <w:r w:rsidR="00793DC9">
              <w:rPr>
                <w:sz w:val="20"/>
                <w:szCs w:val="20"/>
              </w:rPr>
              <w:t xml:space="preserve"> </w:t>
            </w:r>
            <w:r>
              <w:rPr>
                <w:sz w:val="20"/>
                <w:szCs w:val="20"/>
              </w:rPr>
              <w:t>(5)</w:t>
            </w:r>
          </w:p>
        </w:tc>
        <w:tc>
          <w:tcPr>
            <w:tcW w:w="1181" w:type="dxa"/>
            <w:tcBorders>
              <w:top w:val="nil"/>
              <w:left w:val="single" w:sz="4" w:space="0" w:color="auto"/>
              <w:bottom w:val="single" w:sz="4" w:space="0" w:color="auto"/>
              <w:right w:val="single" w:sz="4" w:space="0" w:color="auto"/>
            </w:tcBorders>
            <w:shd w:val="clear" w:color="auto" w:fill="auto"/>
          </w:tcPr>
          <w:p w:rsidR="006C7C44" w:rsidRPr="00271D0A" w:rsidRDefault="006C7C44" w:rsidP="006C7C44">
            <w:pPr>
              <w:jc w:val="center"/>
              <w:rPr>
                <w:color w:val="000000"/>
                <w:sz w:val="20"/>
                <w:szCs w:val="20"/>
              </w:rPr>
            </w:pPr>
            <w:r w:rsidRPr="00271D0A">
              <w:rPr>
                <w:color w:val="000000"/>
                <w:sz w:val="20"/>
                <w:szCs w:val="20"/>
              </w:rPr>
              <w:t>8</w:t>
            </w:r>
          </w:p>
        </w:tc>
        <w:tc>
          <w:tcPr>
            <w:tcW w:w="1478" w:type="dxa"/>
            <w:tcBorders>
              <w:top w:val="nil"/>
              <w:left w:val="single" w:sz="4" w:space="0" w:color="auto"/>
              <w:bottom w:val="single" w:sz="4" w:space="0" w:color="auto"/>
              <w:right w:val="single" w:sz="4" w:space="0" w:color="auto"/>
            </w:tcBorders>
            <w:shd w:val="clear" w:color="auto" w:fill="auto"/>
          </w:tcPr>
          <w:p w:rsidR="006C7C44" w:rsidRPr="00E8065F" w:rsidRDefault="006C7C44" w:rsidP="006C7C44">
            <w:pPr>
              <w:jc w:val="center"/>
              <w:rPr>
                <w:color w:val="000000"/>
                <w:sz w:val="20"/>
                <w:szCs w:val="20"/>
              </w:rPr>
            </w:pPr>
            <w:r w:rsidRPr="00E8065F">
              <w:rPr>
                <w:color w:val="000000"/>
                <w:sz w:val="20"/>
                <w:szCs w:val="20"/>
              </w:rPr>
              <w:t>55,0</w:t>
            </w:r>
          </w:p>
        </w:tc>
        <w:tc>
          <w:tcPr>
            <w:tcW w:w="1111" w:type="dxa"/>
            <w:tcBorders>
              <w:top w:val="nil"/>
              <w:left w:val="nil"/>
              <w:bottom w:val="single" w:sz="4" w:space="0" w:color="auto"/>
              <w:right w:val="single" w:sz="4" w:space="0" w:color="auto"/>
            </w:tcBorders>
            <w:shd w:val="clear" w:color="auto" w:fill="auto"/>
          </w:tcPr>
          <w:p w:rsidR="006C7C44" w:rsidRPr="00E8065F" w:rsidRDefault="006C7C44" w:rsidP="006C7C44">
            <w:pPr>
              <w:jc w:val="center"/>
              <w:rPr>
                <w:color w:val="000000"/>
                <w:sz w:val="20"/>
                <w:szCs w:val="20"/>
              </w:rPr>
            </w:pPr>
            <w:r w:rsidRPr="00E8065F">
              <w:rPr>
                <w:color w:val="000000"/>
                <w:sz w:val="20"/>
                <w:szCs w:val="20"/>
              </w:rPr>
              <w:t>1</w:t>
            </w:r>
          </w:p>
        </w:tc>
        <w:tc>
          <w:tcPr>
            <w:tcW w:w="1944" w:type="dxa"/>
            <w:tcBorders>
              <w:top w:val="nil"/>
              <w:left w:val="single" w:sz="4" w:space="0" w:color="auto"/>
              <w:bottom w:val="single" w:sz="4" w:space="0" w:color="auto"/>
              <w:right w:val="single" w:sz="4" w:space="0" w:color="auto"/>
            </w:tcBorders>
            <w:shd w:val="clear" w:color="auto" w:fill="auto"/>
          </w:tcPr>
          <w:p w:rsidR="006C7C44" w:rsidRPr="00E8065F" w:rsidRDefault="006C7C44" w:rsidP="006C7C44">
            <w:pPr>
              <w:jc w:val="center"/>
              <w:rPr>
                <w:color w:val="000000"/>
                <w:sz w:val="20"/>
                <w:szCs w:val="20"/>
              </w:rPr>
            </w:pPr>
            <w:r w:rsidRPr="00E8065F">
              <w:rPr>
                <w:color w:val="000000"/>
                <w:sz w:val="20"/>
                <w:szCs w:val="20"/>
              </w:rPr>
              <w:t>Амбулаторное/стационарное</w:t>
            </w:r>
          </w:p>
        </w:tc>
      </w:tr>
      <w:tr w:rsidR="006C7C44" w:rsidRPr="00E8065F" w:rsidTr="000546C2">
        <w:trPr>
          <w:trHeight w:val="20"/>
        </w:trPr>
        <w:tc>
          <w:tcPr>
            <w:tcW w:w="1555" w:type="dxa"/>
            <w:vMerge/>
          </w:tcPr>
          <w:p w:rsidR="006C7C44" w:rsidRPr="00E8065F" w:rsidRDefault="006C7C44" w:rsidP="006C7C44">
            <w:pPr>
              <w:rPr>
                <w:color w:val="000000"/>
                <w:sz w:val="20"/>
                <w:szCs w:val="20"/>
              </w:rPr>
            </w:pPr>
          </w:p>
        </w:tc>
        <w:tc>
          <w:tcPr>
            <w:tcW w:w="3685" w:type="dxa"/>
            <w:tcBorders>
              <w:top w:val="nil"/>
              <w:left w:val="single" w:sz="4" w:space="0" w:color="auto"/>
              <w:bottom w:val="single" w:sz="4" w:space="0" w:color="auto"/>
              <w:right w:val="single" w:sz="4" w:space="0" w:color="auto"/>
            </w:tcBorders>
            <w:shd w:val="clear" w:color="auto" w:fill="auto"/>
          </w:tcPr>
          <w:p w:rsidR="006C7C44" w:rsidRPr="00E8065F" w:rsidRDefault="006C7C44" w:rsidP="006C7C44">
            <w:pPr>
              <w:jc w:val="both"/>
              <w:rPr>
                <w:color w:val="000000"/>
                <w:sz w:val="20"/>
                <w:szCs w:val="20"/>
              </w:rPr>
            </w:pPr>
            <w:r>
              <w:rPr>
                <w:color w:val="000000"/>
                <w:sz w:val="20"/>
                <w:szCs w:val="20"/>
              </w:rPr>
              <w:t xml:space="preserve">ГАУЗ </w:t>
            </w:r>
            <w:r>
              <w:rPr>
                <w:rFonts w:eastAsia="Calibri"/>
                <w:sz w:val="20"/>
                <w:szCs w:val="20"/>
              </w:rPr>
              <w:t>«Детская республиканская клиническая больница Министерства здравоохранения Республики Татарстан»</w:t>
            </w:r>
          </w:p>
        </w:tc>
        <w:tc>
          <w:tcPr>
            <w:tcW w:w="1994" w:type="dxa"/>
            <w:tcBorders>
              <w:bottom w:val="single" w:sz="4" w:space="0" w:color="auto"/>
            </w:tcBorders>
            <w:shd w:val="clear" w:color="auto" w:fill="auto"/>
          </w:tcPr>
          <w:p w:rsidR="006C7C44" w:rsidRDefault="008B3E41" w:rsidP="006C7C44">
            <w:pPr>
              <w:jc w:val="center"/>
            </w:pPr>
            <w:r>
              <w:rPr>
                <w:sz w:val="20"/>
                <w:szCs w:val="20"/>
              </w:rPr>
              <w:t xml:space="preserve">Аппараты </w:t>
            </w:r>
            <w:r>
              <w:rPr>
                <w:rFonts w:eastAsia="Arial"/>
                <w:sz w:val="20"/>
                <w:szCs w:val="20"/>
              </w:rPr>
              <w:t>для ультразвуковых исследований</w:t>
            </w:r>
          </w:p>
        </w:tc>
        <w:tc>
          <w:tcPr>
            <w:tcW w:w="1181" w:type="dxa"/>
            <w:tcBorders>
              <w:bottom w:val="single" w:sz="4" w:space="0" w:color="auto"/>
            </w:tcBorders>
            <w:shd w:val="clear" w:color="auto" w:fill="auto"/>
          </w:tcPr>
          <w:p w:rsidR="006C7C44" w:rsidRPr="00E8065F" w:rsidRDefault="006C7C44" w:rsidP="006C7C44">
            <w:pPr>
              <w:jc w:val="center"/>
              <w:rPr>
                <w:sz w:val="20"/>
                <w:szCs w:val="20"/>
              </w:rPr>
            </w:pPr>
            <w:r w:rsidRPr="00E8065F">
              <w:rPr>
                <w:sz w:val="20"/>
                <w:szCs w:val="20"/>
              </w:rPr>
              <w:t>1999</w:t>
            </w:r>
            <w:r w:rsidR="00793DC9">
              <w:rPr>
                <w:sz w:val="20"/>
                <w:szCs w:val="20"/>
              </w:rPr>
              <w:t xml:space="preserve"> </w:t>
            </w:r>
            <w:r>
              <w:rPr>
                <w:sz w:val="20"/>
                <w:szCs w:val="20"/>
              </w:rPr>
              <w:t>(1)</w:t>
            </w:r>
          </w:p>
          <w:p w:rsidR="006C7C44" w:rsidRPr="00E8065F" w:rsidRDefault="006C7C44" w:rsidP="006C7C44">
            <w:pPr>
              <w:jc w:val="center"/>
              <w:rPr>
                <w:sz w:val="20"/>
                <w:szCs w:val="20"/>
              </w:rPr>
            </w:pPr>
            <w:r w:rsidRPr="00E8065F">
              <w:rPr>
                <w:sz w:val="20"/>
                <w:szCs w:val="20"/>
              </w:rPr>
              <w:t>2006</w:t>
            </w:r>
            <w:r w:rsidR="00793DC9">
              <w:rPr>
                <w:sz w:val="20"/>
                <w:szCs w:val="20"/>
              </w:rPr>
              <w:t xml:space="preserve"> </w:t>
            </w:r>
            <w:r>
              <w:rPr>
                <w:sz w:val="20"/>
                <w:szCs w:val="20"/>
              </w:rPr>
              <w:t>(1)</w:t>
            </w:r>
          </w:p>
          <w:p w:rsidR="006C7C44" w:rsidRPr="00E8065F" w:rsidRDefault="006C7C44" w:rsidP="006C7C44">
            <w:pPr>
              <w:jc w:val="center"/>
              <w:rPr>
                <w:sz w:val="20"/>
                <w:szCs w:val="20"/>
              </w:rPr>
            </w:pPr>
            <w:r w:rsidRPr="00E8065F">
              <w:rPr>
                <w:sz w:val="20"/>
                <w:szCs w:val="20"/>
              </w:rPr>
              <w:t>2011</w:t>
            </w:r>
            <w:r w:rsidR="00793DC9">
              <w:rPr>
                <w:sz w:val="20"/>
                <w:szCs w:val="20"/>
              </w:rPr>
              <w:t xml:space="preserve"> </w:t>
            </w:r>
            <w:r>
              <w:rPr>
                <w:sz w:val="20"/>
                <w:szCs w:val="20"/>
              </w:rPr>
              <w:t>(1)</w:t>
            </w:r>
          </w:p>
          <w:p w:rsidR="006C7C44" w:rsidRPr="00E8065F" w:rsidRDefault="006C7C44" w:rsidP="006C7C44">
            <w:pPr>
              <w:jc w:val="center"/>
              <w:rPr>
                <w:sz w:val="20"/>
                <w:szCs w:val="20"/>
              </w:rPr>
            </w:pPr>
            <w:r w:rsidRPr="00E8065F">
              <w:rPr>
                <w:sz w:val="20"/>
                <w:szCs w:val="20"/>
              </w:rPr>
              <w:t>2012</w:t>
            </w:r>
            <w:r w:rsidR="00793DC9">
              <w:rPr>
                <w:sz w:val="20"/>
                <w:szCs w:val="20"/>
              </w:rPr>
              <w:t xml:space="preserve"> </w:t>
            </w:r>
            <w:r>
              <w:rPr>
                <w:sz w:val="20"/>
                <w:szCs w:val="20"/>
              </w:rPr>
              <w:t>(11)</w:t>
            </w:r>
          </w:p>
          <w:p w:rsidR="006C7C44" w:rsidRPr="00E8065F" w:rsidRDefault="006C7C44" w:rsidP="006C7C44">
            <w:pPr>
              <w:jc w:val="center"/>
              <w:rPr>
                <w:sz w:val="20"/>
                <w:szCs w:val="20"/>
              </w:rPr>
            </w:pPr>
            <w:r w:rsidRPr="00E8065F">
              <w:rPr>
                <w:sz w:val="20"/>
                <w:szCs w:val="20"/>
              </w:rPr>
              <w:t>2014</w:t>
            </w:r>
            <w:r w:rsidR="00793DC9">
              <w:rPr>
                <w:sz w:val="20"/>
                <w:szCs w:val="20"/>
              </w:rPr>
              <w:t xml:space="preserve"> </w:t>
            </w:r>
            <w:r>
              <w:rPr>
                <w:sz w:val="20"/>
                <w:szCs w:val="20"/>
              </w:rPr>
              <w:t>(2)</w:t>
            </w:r>
          </w:p>
          <w:p w:rsidR="006C7C44" w:rsidRPr="00E8065F" w:rsidRDefault="006C7C44" w:rsidP="006C7C44">
            <w:pPr>
              <w:jc w:val="center"/>
              <w:rPr>
                <w:sz w:val="20"/>
                <w:szCs w:val="20"/>
              </w:rPr>
            </w:pPr>
            <w:r w:rsidRPr="00E8065F">
              <w:rPr>
                <w:sz w:val="20"/>
                <w:szCs w:val="20"/>
              </w:rPr>
              <w:t>2015</w:t>
            </w:r>
            <w:r w:rsidR="00793DC9">
              <w:rPr>
                <w:sz w:val="20"/>
                <w:szCs w:val="20"/>
              </w:rPr>
              <w:t xml:space="preserve"> </w:t>
            </w:r>
            <w:r>
              <w:rPr>
                <w:sz w:val="20"/>
                <w:szCs w:val="20"/>
              </w:rPr>
              <w:t>(1)</w:t>
            </w:r>
          </w:p>
          <w:p w:rsidR="006C7C44" w:rsidRPr="00E8065F" w:rsidRDefault="006C7C44" w:rsidP="006C7C44">
            <w:pPr>
              <w:jc w:val="center"/>
              <w:rPr>
                <w:sz w:val="20"/>
                <w:szCs w:val="20"/>
              </w:rPr>
            </w:pPr>
            <w:r w:rsidRPr="00E8065F">
              <w:rPr>
                <w:sz w:val="20"/>
                <w:szCs w:val="20"/>
              </w:rPr>
              <w:t>2017</w:t>
            </w:r>
            <w:r w:rsidR="00793DC9">
              <w:rPr>
                <w:sz w:val="20"/>
                <w:szCs w:val="20"/>
              </w:rPr>
              <w:t xml:space="preserve"> </w:t>
            </w:r>
            <w:r>
              <w:rPr>
                <w:sz w:val="20"/>
                <w:szCs w:val="20"/>
              </w:rPr>
              <w:t>(1)</w:t>
            </w:r>
          </w:p>
          <w:p w:rsidR="006C7C44" w:rsidRPr="00E8065F" w:rsidRDefault="006C7C44" w:rsidP="006C7C44">
            <w:pPr>
              <w:jc w:val="center"/>
              <w:rPr>
                <w:sz w:val="20"/>
                <w:szCs w:val="20"/>
              </w:rPr>
            </w:pPr>
            <w:r w:rsidRPr="00E8065F">
              <w:rPr>
                <w:sz w:val="20"/>
                <w:szCs w:val="20"/>
              </w:rPr>
              <w:t>2018</w:t>
            </w:r>
            <w:r w:rsidR="00793DC9">
              <w:rPr>
                <w:sz w:val="20"/>
                <w:szCs w:val="20"/>
              </w:rPr>
              <w:t xml:space="preserve"> </w:t>
            </w:r>
            <w:r>
              <w:rPr>
                <w:sz w:val="20"/>
                <w:szCs w:val="20"/>
              </w:rPr>
              <w:t>(4)</w:t>
            </w:r>
          </w:p>
          <w:p w:rsidR="006C7C44" w:rsidRPr="00E8065F" w:rsidRDefault="006C7C44" w:rsidP="006C7C44">
            <w:pPr>
              <w:jc w:val="center"/>
              <w:rPr>
                <w:sz w:val="20"/>
                <w:szCs w:val="20"/>
              </w:rPr>
            </w:pPr>
            <w:r w:rsidRPr="00E8065F">
              <w:rPr>
                <w:sz w:val="20"/>
                <w:szCs w:val="20"/>
              </w:rPr>
              <w:t>2019</w:t>
            </w:r>
            <w:r w:rsidR="00793DC9">
              <w:rPr>
                <w:sz w:val="20"/>
                <w:szCs w:val="20"/>
              </w:rPr>
              <w:t xml:space="preserve"> </w:t>
            </w:r>
            <w:r>
              <w:rPr>
                <w:sz w:val="20"/>
                <w:szCs w:val="20"/>
              </w:rPr>
              <w:t>(3)</w:t>
            </w:r>
          </w:p>
          <w:p w:rsidR="006C7C44" w:rsidRPr="00E8065F" w:rsidRDefault="006C7C44" w:rsidP="006C7C44">
            <w:pPr>
              <w:jc w:val="center"/>
              <w:rPr>
                <w:sz w:val="20"/>
                <w:szCs w:val="20"/>
              </w:rPr>
            </w:pPr>
            <w:r w:rsidRPr="00E8065F">
              <w:rPr>
                <w:sz w:val="20"/>
                <w:szCs w:val="20"/>
              </w:rPr>
              <w:t>2020</w:t>
            </w:r>
            <w:r w:rsidR="00793DC9">
              <w:rPr>
                <w:sz w:val="20"/>
                <w:szCs w:val="20"/>
              </w:rPr>
              <w:t xml:space="preserve"> </w:t>
            </w:r>
            <w:r>
              <w:rPr>
                <w:sz w:val="20"/>
                <w:szCs w:val="20"/>
              </w:rPr>
              <w:t>(2)</w:t>
            </w:r>
          </w:p>
          <w:p w:rsidR="006C7C44" w:rsidRPr="00E8065F" w:rsidRDefault="006C7C44" w:rsidP="006C7C44">
            <w:pPr>
              <w:jc w:val="center"/>
              <w:rPr>
                <w:sz w:val="20"/>
                <w:szCs w:val="20"/>
              </w:rPr>
            </w:pPr>
            <w:r w:rsidRPr="00E8065F">
              <w:rPr>
                <w:sz w:val="20"/>
                <w:szCs w:val="20"/>
              </w:rPr>
              <w:t>2021</w:t>
            </w:r>
            <w:r w:rsidR="00793DC9">
              <w:rPr>
                <w:sz w:val="20"/>
                <w:szCs w:val="20"/>
              </w:rPr>
              <w:t xml:space="preserve"> </w:t>
            </w:r>
            <w:r>
              <w:rPr>
                <w:sz w:val="20"/>
                <w:szCs w:val="20"/>
              </w:rPr>
              <w:t>(4)</w:t>
            </w:r>
          </w:p>
          <w:p w:rsidR="006C7C44" w:rsidRPr="00E8065F" w:rsidRDefault="006C7C44" w:rsidP="006C7C44">
            <w:pPr>
              <w:jc w:val="center"/>
              <w:rPr>
                <w:sz w:val="20"/>
                <w:szCs w:val="20"/>
              </w:rPr>
            </w:pPr>
            <w:r w:rsidRPr="00E8065F">
              <w:rPr>
                <w:sz w:val="20"/>
                <w:szCs w:val="20"/>
              </w:rPr>
              <w:t>2022</w:t>
            </w:r>
            <w:r w:rsidR="00793DC9">
              <w:rPr>
                <w:sz w:val="20"/>
                <w:szCs w:val="20"/>
              </w:rPr>
              <w:t xml:space="preserve"> </w:t>
            </w:r>
            <w:r>
              <w:rPr>
                <w:sz w:val="20"/>
                <w:szCs w:val="20"/>
              </w:rPr>
              <w:t>(2)</w:t>
            </w:r>
          </w:p>
        </w:tc>
        <w:tc>
          <w:tcPr>
            <w:tcW w:w="1181" w:type="dxa"/>
            <w:tcBorders>
              <w:top w:val="nil"/>
              <w:left w:val="single" w:sz="4" w:space="0" w:color="auto"/>
              <w:bottom w:val="single" w:sz="4" w:space="0" w:color="auto"/>
              <w:right w:val="single" w:sz="4" w:space="0" w:color="auto"/>
            </w:tcBorders>
            <w:shd w:val="clear" w:color="auto" w:fill="auto"/>
          </w:tcPr>
          <w:p w:rsidR="006C7C44" w:rsidRPr="00271D0A" w:rsidRDefault="006C7C44" w:rsidP="006C7C44">
            <w:pPr>
              <w:jc w:val="center"/>
              <w:rPr>
                <w:color w:val="000000"/>
                <w:sz w:val="20"/>
                <w:szCs w:val="20"/>
              </w:rPr>
            </w:pPr>
            <w:r w:rsidRPr="00271D0A">
              <w:rPr>
                <w:color w:val="000000"/>
                <w:sz w:val="20"/>
                <w:szCs w:val="20"/>
              </w:rPr>
              <w:t>33</w:t>
            </w:r>
          </w:p>
        </w:tc>
        <w:tc>
          <w:tcPr>
            <w:tcW w:w="1478" w:type="dxa"/>
            <w:tcBorders>
              <w:top w:val="nil"/>
              <w:left w:val="single" w:sz="4" w:space="0" w:color="auto"/>
              <w:bottom w:val="single" w:sz="4" w:space="0" w:color="auto"/>
              <w:right w:val="single" w:sz="4" w:space="0" w:color="auto"/>
            </w:tcBorders>
            <w:shd w:val="clear" w:color="auto" w:fill="auto"/>
          </w:tcPr>
          <w:p w:rsidR="006C7C44" w:rsidRPr="00E8065F" w:rsidRDefault="006C7C44" w:rsidP="006C7C44">
            <w:pPr>
              <w:jc w:val="center"/>
              <w:rPr>
                <w:color w:val="000000"/>
                <w:sz w:val="20"/>
                <w:szCs w:val="20"/>
              </w:rPr>
            </w:pPr>
            <w:r w:rsidRPr="00E8065F">
              <w:rPr>
                <w:color w:val="000000"/>
                <w:sz w:val="20"/>
                <w:szCs w:val="20"/>
              </w:rPr>
              <w:t>973,0</w:t>
            </w:r>
          </w:p>
        </w:tc>
        <w:tc>
          <w:tcPr>
            <w:tcW w:w="1111" w:type="dxa"/>
            <w:tcBorders>
              <w:top w:val="nil"/>
              <w:left w:val="nil"/>
              <w:bottom w:val="single" w:sz="4" w:space="0" w:color="auto"/>
              <w:right w:val="single" w:sz="4" w:space="0" w:color="auto"/>
            </w:tcBorders>
            <w:shd w:val="clear" w:color="auto" w:fill="auto"/>
          </w:tcPr>
          <w:p w:rsidR="006C7C44" w:rsidRPr="00E8065F" w:rsidRDefault="006C7C44" w:rsidP="006C7C44">
            <w:pPr>
              <w:jc w:val="center"/>
              <w:rPr>
                <w:color w:val="000000"/>
                <w:sz w:val="20"/>
                <w:szCs w:val="20"/>
              </w:rPr>
            </w:pPr>
            <w:r w:rsidRPr="00E8065F">
              <w:rPr>
                <w:color w:val="000000"/>
                <w:sz w:val="20"/>
                <w:szCs w:val="20"/>
              </w:rPr>
              <w:t>1</w:t>
            </w:r>
          </w:p>
        </w:tc>
        <w:tc>
          <w:tcPr>
            <w:tcW w:w="1944" w:type="dxa"/>
            <w:tcBorders>
              <w:top w:val="nil"/>
              <w:left w:val="single" w:sz="4" w:space="0" w:color="auto"/>
              <w:bottom w:val="single" w:sz="4" w:space="0" w:color="auto"/>
              <w:right w:val="single" w:sz="4" w:space="0" w:color="auto"/>
            </w:tcBorders>
            <w:shd w:val="clear" w:color="auto" w:fill="auto"/>
          </w:tcPr>
          <w:p w:rsidR="006C7C44" w:rsidRPr="00E8065F" w:rsidRDefault="006C7C44" w:rsidP="006C7C44">
            <w:pPr>
              <w:jc w:val="center"/>
              <w:rPr>
                <w:color w:val="000000"/>
                <w:sz w:val="20"/>
                <w:szCs w:val="20"/>
              </w:rPr>
            </w:pPr>
            <w:r w:rsidRPr="00E8065F">
              <w:rPr>
                <w:color w:val="000000"/>
                <w:sz w:val="20"/>
                <w:szCs w:val="20"/>
              </w:rPr>
              <w:t>Амбулаторное/стационарное</w:t>
            </w:r>
          </w:p>
        </w:tc>
      </w:tr>
      <w:tr w:rsidR="006C7C44" w:rsidRPr="00E8065F" w:rsidTr="000546C2">
        <w:trPr>
          <w:trHeight w:val="20"/>
        </w:trPr>
        <w:tc>
          <w:tcPr>
            <w:tcW w:w="1555" w:type="dxa"/>
            <w:vMerge/>
          </w:tcPr>
          <w:p w:rsidR="006C7C44" w:rsidRPr="00E8065F" w:rsidRDefault="006C7C44" w:rsidP="006C7C44">
            <w:pPr>
              <w:rPr>
                <w:color w:val="000000"/>
                <w:sz w:val="20"/>
                <w:szCs w:val="20"/>
              </w:rPr>
            </w:pPr>
          </w:p>
        </w:tc>
        <w:tc>
          <w:tcPr>
            <w:tcW w:w="3685" w:type="dxa"/>
            <w:tcBorders>
              <w:top w:val="single" w:sz="4" w:space="0" w:color="auto"/>
              <w:left w:val="nil"/>
              <w:bottom w:val="single" w:sz="4" w:space="0" w:color="auto"/>
              <w:right w:val="single" w:sz="4" w:space="0" w:color="auto"/>
            </w:tcBorders>
            <w:shd w:val="clear" w:color="auto" w:fill="auto"/>
          </w:tcPr>
          <w:p w:rsidR="006C7C44" w:rsidRPr="001B4F15" w:rsidRDefault="006C7C44" w:rsidP="006C7C44">
            <w:pPr>
              <w:jc w:val="both"/>
              <w:rPr>
                <w:color w:val="000000"/>
                <w:sz w:val="20"/>
                <w:szCs w:val="20"/>
              </w:rPr>
            </w:pPr>
            <w:r w:rsidRPr="001B4F15">
              <w:rPr>
                <w:color w:val="000000"/>
                <w:sz w:val="20"/>
                <w:szCs w:val="20"/>
              </w:rPr>
              <w:t xml:space="preserve">ГАУЗ </w:t>
            </w:r>
            <w:r>
              <w:rPr>
                <w:rFonts w:eastAsia="Calibri"/>
                <w:sz w:val="20"/>
                <w:szCs w:val="20"/>
              </w:rPr>
              <w:t>«</w:t>
            </w:r>
            <w:r w:rsidRPr="001B4F15">
              <w:rPr>
                <w:rFonts w:eastAsia="Calibri"/>
                <w:sz w:val="20"/>
                <w:szCs w:val="20"/>
              </w:rPr>
              <w:t>Межрегиональный клинико-диагностический центр</w:t>
            </w:r>
            <w:r>
              <w:rPr>
                <w:rFonts w:eastAsia="Calibri"/>
                <w:sz w:val="20"/>
                <w:szCs w:val="20"/>
              </w:rPr>
              <w:t>»</w:t>
            </w:r>
          </w:p>
        </w:tc>
        <w:tc>
          <w:tcPr>
            <w:tcW w:w="1994" w:type="dxa"/>
            <w:tcBorders>
              <w:top w:val="single" w:sz="4" w:space="0" w:color="auto"/>
            </w:tcBorders>
            <w:shd w:val="clear" w:color="auto" w:fill="auto"/>
          </w:tcPr>
          <w:p w:rsidR="006C7C44" w:rsidRDefault="008B3E41" w:rsidP="006C7C44">
            <w:pPr>
              <w:jc w:val="center"/>
            </w:pPr>
            <w:r>
              <w:rPr>
                <w:sz w:val="20"/>
                <w:szCs w:val="20"/>
              </w:rPr>
              <w:t xml:space="preserve">Аппараты </w:t>
            </w:r>
            <w:r>
              <w:rPr>
                <w:rFonts w:eastAsia="Arial"/>
                <w:sz w:val="20"/>
                <w:szCs w:val="20"/>
              </w:rPr>
              <w:t>для ультразвуковых исследований</w:t>
            </w:r>
          </w:p>
        </w:tc>
        <w:tc>
          <w:tcPr>
            <w:tcW w:w="1181" w:type="dxa"/>
            <w:tcBorders>
              <w:top w:val="single" w:sz="4" w:space="0" w:color="auto"/>
            </w:tcBorders>
            <w:shd w:val="clear" w:color="auto" w:fill="auto"/>
          </w:tcPr>
          <w:p w:rsidR="006C7C44" w:rsidRPr="00E8065F" w:rsidRDefault="006C7C44" w:rsidP="006C7C44">
            <w:pPr>
              <w:jc w:val="center"/>
              <w:rPr>
                <w:sz w:val="20"/>
                <w:szCs w:val="20"/>
              </w:rPr>
            </w:pPr>
            <w:r w:rsidRPr="00E8065F">
              <w:rPr>
                <w:sz w:val="20"/>
                <w:szCs w:val="20"/>
              </w:rPr>
              <w:t>1999</w:t>
            </w:r>
            <w:r w:rsidR="00793DC9">
              <w:rPr>
                <w:sz w:val="20"/>
                <w:szCs w:val="20"/>
              </w:rPr>
              <w:t xml:space="preserve"> </w:t>
            </w:r>
            <w:r>
              <w:rPr>
                <w:sz w:val="20"/>
                <w:szCs w:val="20"/>
              </w:rPr>
              <w:t>(2)</w:t>
            </w:r>
          </w:p>
          <w:p w:rsidR="006C7C44" w:rsidRPr="00E8065F" w:rsidRDefault="006C7C44" w:rsidP="006C7C44">
            <w:pPr>
              <w:jc w:val="center"/>
              <w:rPr>
                <w:sz w:val="20"/>
                <w:szCs w:val="20"/>
              </w:rPr>
            </w:pPr>
            <w:r w:rsidRPr="00E8065F">
              <w:rPr>
                <w:sz w:val="20"/>
                <w:szCs w:val="20"/>
              </w:rPr>
              <w:t>2002</w:t>
            </w:r>
            <w:r w:rsidR="00793DC9">
              <w:rPr>
                <w:sz w:val="20"/>
                <w:szCs w:val="20"/>
              </w:rPr>
              <w:t xml:space="preserve"> </w:t>
            </w:r>
            <w:r>
              <w:rPr>
                <w:sz w:val="20"/>
                <w:szCs w:val="20"/>
              </w:rPr>
              <w:t>(5)</w:t>
            </w:r>
          </w:p>
          <w:p w:rsidR="006C7C44" w:rsidRPr="00E8065F" w:rsidRDefault="006C7C44" w:rsidP="006C7C44">
            <w:pPr>
              <w:jc w:val="center"/>
              <w:rPr>
                <w:sz w:val="20"/>
                <w:szCs w:val="20"/>
              </w:rPr>
            </w:pPr>
            <w:r w:rsidRPr="00E8065F">
              <w:rPr>
                <w:sz w:val="20"/>
                <w:szCs w:val="20"/>
              </w:rPr>
              <w:t>2007</w:t>
            </w:r>
            <w:r w:rsidR="00793DC9">
              <w:rPr>
                <w:sz w:val="20"/>
                <w:szCs w:val="20"/>
              </w:rPr>
              <w:t xml:space="preserve"> </w:t>
            </w:r>
            <w:r>
              <w:rPr>
                <w:sz w:val="20"/>
                <w:szCs w:val="20"/>
              </w:rPr>
              <w:t>(3)</w:t>
            </w:r>
          </w:p>
          <w:p w:rsidR="006C7C44" w:rsidRPr="00E8065F" w:rsidRDefault="006C7C44" w:rsidP="006C7C44">
            <w:pPr>
              <w:jc w:val="center"/>
              <w:rPr>
                <w:sz w:val="20"/>
                <w:szCs w:val="20"/>
              </w:rPr>
            </w:pPr>
            <w:r w:rsidRPr="00E8065F">
              <w:rPr>
                <w:sz w:val="20"/>
                <w:szCs w:val="20"/>
              </w:rPr>
              <w:t>2008</w:t>
            </w:r>
            <w:r w:rsidR="00793DC9">
              <w:rPr>
                <w:sz w:val="20"/>
                <w:szCs w:val="20"/>
              </w:rPr>
              <w:t xml:space="preserve"> </w:t>
            </w:r>
            <w:r>
              <w:rPr>
                <w:sz w:val="20"/>
                <w:szCs w:val="20"/>
              </w:rPr>
              <w:t>(8)</w:t>
            </w:r>
          </w:p>
          <w:p w:rsidR="006C7C44" w:rsidRPr="00E8065F" w:rsidRDefault="006C7C44" w:rsidP="006C7C44">
            <w:pPr>
              <w:jc w:val="center"/>
              <w:rPr>
                <w:sz w:val="20"/>
                <w:szCs w:val="20"/>
              </w:rPr>
            </w:pPr>
            <w:r w:rsidRPr="00E8065F">
              <w:rPr>
                <w:sz w:val="20"/>
                <w:szCs w:val="20"/>
              </w:rPr>
              <w:t>2010</w:t>
            </w:r>
            <w:r w:rsidR="00793DC9">
              <w:rPr>
                <w:sz w:val="20"/>
                <w:szCs w:val="20"/>
              </w:rPr>
              <w:t xml:space="preserve"> </w:t>
            </w:r>
            <w:r>
              <w:rPr>
                <w:sz w:val="20"/>
                <w:szCs w:val="20"/>
              </w:rPr>
              <w:t>(3)</w:t>
            </w:r>
          </w:p>
          <w:p w:rsidR="006C7C44" w:rsidRPr="00E8065F" w:rsidRDefault="006C7C44" w:rsidP="006C7C44">
            <w:pPr>
              <w:jc w:val="center"/>
              <w:rPr>
                <w:sz w:val="20"/>
                <w:szCs w:val="20"/>
              </w:rPr>
            </w:pPr>
            <w:r w:rsidRPr="00E8065F">
              <w:rPr>
                <w:sz w:val="20"/>
                <w:szCs w:val="20"/>
              </w:rPr>
              <w:t>2012</w:t>
            </w:r>
            <w:r w:rsidR="00793DC9">
              <w:rPr>
                <w:sz w:val="20"/>
                <w:szCs w:val="20"/>
              </w:rPr>
              <w:t xml:space="preserve"> </w:t>
            </w:r>
            <w:r>
              <w:rPr>
                <w:sz w:val="20"/>
                <w:szCs w:val="20"/>
              </w:rPr>
              <w:t>(7)</w:t>
            </w:r>
          </w:p>
          <w:p w:rsidR="006C7C44" w:rsidRPr="00E8065F" w:rsidRDefault="006C7C44" w:rsidP="006C7C44">
            <w:pPr>
              <w:jc w:val="center"/>
              <w:rPr>
                <w:sz w:val="20"/>
                <w:szCs w:val="20"/>
              </w:rPr>
            </w:pPr>
            <w:r w:rsidRPr="00E8065F">
              <w:rPr>
                <w:sz w:val="20"/>
                <w:szCs w:val="20"/>
              </w:rPr>
              <w:t>2013</w:t>
            </w:r>
            <w:r w:rsidR="00793DC9">
              <w:rPr>
                <w:sz w:val="20"/>
                <w:szCs w:val="20"/>
              </w:rPr>
              <w:t xml:space="preserve"> </w:t>
            </w:r>
            <w:r>
              <w:rPr>
                <w:sz w:val="20"/>
                <w:szCs w:val="20"/>
              </w:rPr>
              <w:t>(1)</w:t>
            </w:r>
          </w:p>
          <w:p w:rsidR="006C7C44" w:rsidRPr="00E8065F" w:rsidRDefault="006C7C44" w:rsidP="006C7C44">
            <w:pPr>
              <w:jc w:val="center"/>
              <w:rPr>
                <w:sz w:val="20"/>
                <w:szCs w:val="20"/>
              </w:rPr>
            </w:pPr>
            <w:r w:rsidRPr="00E8065F">
              <w:rPr>
                <w:sz w:val="20"/>
                <w:szCs w:val="20"/>
              </w:rPr>
              <w:t>2017</w:t>
            </w:r>
            <w:r w:rsidR="00793DC9">
              <w:rPr>
                <w:sz w:val="20"/>
                <w:szCs w:val="20"/>
              </w:rPr>
              <w:t xml:space="preserve"> </w:t>
            </w:r>
            <w:r>
              <w:rPr>
                <w:sz w:val="20"/>
                <w:szCs w:val="20"/>
              </w:rPr>
              <w:t>(10)</w:t>
            </w:r>
          </w:p>
          <w:p w:rsidR="006C7C44" w:rsidRPr="00E8065F" w:rsidRDefault="006C7C44" w:rsidP="006C7C44">
            <w:pPr>
              <w:jc w:val="center"/>
              <w:rPr>
                <w:sz w:val="20"/>
                <w:szCs w:val="20"/>
              </w:rPr>
            </w:pPr>
            <w:r w:rsidRPr="00E8065F">
              <w:rPr>
                <w:sz w:val="20"/>
                <w:szCs w:val="20"/>
              </w:rPr>
              <w:t>2018</w:t>
            </w:r>
            <w:r w:rsidR="00793DC9">
              <w:rPr>
                <w:sz w:val="20"/>
                <w:szCs w:val="20"/>
              </w:rPr>
              <w:t xml:space="preserve"> </w:t>
            </w:r>
            <w:r>
              <w:rPr>
                <w:sz w:val="20"/>
                <w:szCs w:val="20"/>
              </w:rPr>
              <w:t>(2)</w:t>
            </w:r>
          </w:p>
          <w:p w:rsidR="006C7C44" w:rsidRPr="00E8065F" w:rsidRDefault="006C7C44" w:rsidP="006C7C44">
            <w:pPr>
              <w:jc w:val="center"/>
              <w:rPr>
                <w:sz w:val="20"/>
                <w:szCs w:val="20"/>
              </w:rPr>
            </w:pPr>
            <w:r w:rsidRPr="00E8065F">
              <w:rPr>
                <w:sz w:val="20"/>
                <w:szCs w:val="20"/>
              </w:rPr>
              <w:t>2022</w:t>
            </w:r>
            <w:r w:rsidR="00793DC9">
              <w:rPr>
                <w:sz w:val="20"/>
                <w:szCs w:val="20"/>
              </w:rPr>
              <w:t xml:space="preserve"> </w:t>
            </w:r>
            <w:r>
              <w:rPr>
                <w:sz w:val="20"/>
                <w:szCs w:val="20"/>
              </w:rPr>
              <w:t>(1)</w:t>
            </w:r>
          </w:p>
        </w:tc>
        <w:tc>
          <w:tcPr>
            <w:tcW w:w="1181" w:type="dxa"/>
            <w:tcBorders>
              <w:top w:val="single" w:sz="4" w:space="0" w:color="auto"/>
              <w:left w:val="single" w:sz="4" w:space="0" w:color="auto"/>
              <w:bottom w:val="single" w:sz="4" w:space="0" w:color="auto"/>
              <w:right w:val="single" w:sz="4" w:space="0" w:color="auto"/>
            </w:tcBorders>
            <w:shd w:val="clear" w:color="auto" w:fill="auto"/>
          </w:tcPr>
          <w:p w:rsidR="006C7C44" w:rsidRPr="00E8065F" w:rsidRDefault="006C7C44" w:rsidP="006C7C44">
            <w:pPr>
              <w:jc w:val="center"/>
              <w:rPr>
                <w:color w:val="000000"/>
                <w:sz w:val="20"/>
                <w:szCs w:val="20"/>
              </w:rPr>
            </w:pPr>
            <w:r w:rsidRPr="00E8065F">
              <w:rPr>
                <w:color w:val="000000"/>
                <w:sz w:val="20"/>
                <w:szCs w:val="20"/>
              </w:rPr>
              <w:t>42</w:t>
            </w:r>
          </w:p>
        </w:tc>
        <w:tc>
          <w:tcPr>
            <w:tcW w:w="1478" w:type="dxa"/>
            <w:tcBorders>
              <w:top w:val="single" w:sz="4" w:space="0" w:color="auto"/>
              <w:left w:val="single" w:sz="4" w:space="0" w:color="auto"/>
              <w:bottom w:val="single" w:sz="4" w:space="0" w:color="auto"/>
              <w:right w:val="single" w:sz="4" w:space="0" w:color="auto"/>
            </w:tcBorders>
            <w:shd w:val="clear" w:color="auto" w:fill="auto"/>
          </w:tcPr>
          <w:p w:rsidR="006C7C44" w:rsidRPr="00E8065F" w:rsidRDefault="006C7C44" w:rsidP="006C7C44">
            <w:pPr>
              <w:jc w:val="center"/>
              <w:rPr>
                <w:color w:val="000000"/>
                <w:sz w:val="20"/>
                <w:szCs w:val="20"/>
              </w:rPr>
            </w:pPr>
            <w:r w:rsidRPr="00E8065F">
              <w:rPr>
                <w:color w:val="000000"/>
                <w:sz w:val="20"/>
                <w:szCs w:val="20"/>
              </w:rPr>
              <w:t>163,3</w:t>
            </w:r>
          </w:p>
        </w:tc>
        <w:tc>
          <w:tcPr>
            <w:tcW w:w="1111" w:type="dxa"/>
            <w:tcBorders>
              <w:top w:val="single" w:sz="4" w:space="0" w:color="auto"/>
              <w:left w:val="nil"/>
              <w:bottom w:val="single" w:sz="4" w:space="0" w:color="auto"/>
              <w:right w:val="single" w:sz="4" w:space="0" w:color="auto"/>
            </w:tcBorders>
            <w:shd w:val="clear" w:color="auto" w:fill="auto"/>
          </w:tcPr>
          <w:p w:rsidR="006C7C44" w:rsidRPr="00E8065F" w:rsidRDefault="006C7C44" w:rsidP="006C7C44">
            <w:pPr>
              <w:jc w:val="center"/>
              <w:rPr>
                <w:color w:val="000000"/>
                <w:sz w:val="20"/>
                <w:szCs w:val="20"/>
              </w:rPr>
            </w:pPr>
            <w:r w:rsidRPr="00E8065F">
              <w:rPr>
                <w:color w:val="000000"/>
                <w:sz w:val="20"/>
                <w:szCs w:val="20"/>
              </w:rPr>
              <w:t>3</w:t>
            </w:r>
          </w:p>
        </w:tc>
        <w:tc>
          <w:tcPr>
            <w:tcW w:w="1944" w:type="dxa"/>
            <w:tcBorders>
              <w:top w:val="single" w:sz="4" w:space="0" w:color="auto"/>
              <w:left w:val="single" w:sz="4" w:space="0" w:color="auto"/>
              <w:bottom w:val="single" w:sz="4" w:space="0" w:color="auto"/>
              <w:right w:val="single" w:sz="4" w:space="0" w:color="auto"/>
            </w:tcBorders>
            <w:shd w:val="clear" w:color="auto" w:fill="auto"/>
          </w:tcPr>
          <w:p w:rsidR="006C7C44" w:rsidRPr="00E8065F" w:rsidRDefault="006C7C44" w:rsidP="006C7C44">
            <w:pPr>
              <w:jc w:val="center"/>
              <w:rPr>
                <w:color w:val="000000"/>
                <w:sz w:val="20"/>
                <w:szCs w:val="20"/>
              </w:rPr>
            </w:pPr>
            <w:r w:rsidRPr="00E8065F">
              <w:rPr>
                <w:color w:val="000000"/>
                <w:sz w:val="20"/>
                <w:szCs w:val="20"/>
              </w:rPr>
              <w:t>Стационарное</w:t>
            </w:r>
          </w:p>
        </w:tc>
      </w:tr>
      <w:tr w:rsidR="006C7C44" w:rsidRPr="00E8065F" w:rsidTr="000546C2">
        <w:trPr>
          <w:trHeight w:val="20"/>
        </w:trPr>
        <w:tc>
          <w:tcPr>
            <w:tcW w:w="1555" w:type="dxa"/>
            <w:vMerge/>
          </w:tcPr>
          <w:p w:rsidR="006C7C44" w:rsidRPr="00E8065F" w:rsidRDefault="006C7C44" w:rsidP="006C7C44">
            <w:pPr>
              <w:rPr>
                <w:color w:val="000000"/>
                <w:sz w:val="20"/>
                <w:szCs w:val="20"/>
              </w:rPr>
            </w:pPr>
          </w:p>
        </w:tc>
        <w:tc>
          <w:tcPr>
            <w:tcW w:w="3685" w:type="dxa"/>
            <w:tcBorders>
              <w:top w:val="nil"/>
              <w:left w:val="nil"/>
              <w:bottom w:val="single" w:sz="4" w:space="0" w:color="auto"/>
              <w:right w:val="single" w:sz="4" w:space="0" w:color="auto"/>
            </w:tcBorders>
            <w:shd w:val="clear" w:color="auto" w:fill="auto"/>
          </w:tcPr>
          <w:p w:rsidR="006C7C44" w:rsidRPr="001B4F15" w:rsidRDefault="006C7C44" w:rsidP="006C7C44">
            <w:pPr>
              <w:jc w:val="both"/>
              <w:rPr>
                <w:color w:val="000000"/>
                <w:sz w:val="20"/>
                <w:szCs w:val="20"/>
              </w:rPr>
            </w:pPr>
            <w:r w:rsidRPr="001B4F15">
              <w:rPr>
                <w:color w:val="000000"/>
                <w:sz w:val="20"/>
                <w:szCs w:val="20"/>
              </w:rPr>
              <w:t xml:space="preserve">ГАУЗ </w:t>
            </w:r>
            <w:r>
              <w:rPr>
                <w:rFonts w:eastAsia="Calibri"/>
                <w:sz w:val="20"/>
                <w:szCs w:val="20"/>
              </w:rPr>
              <w:t>«</w:t>
            </w:r>
            <w:r w:rsidRPr="001B4F15">
              <w:rPr>
                <w:rFonts w:eastAsia="Calibri"/>
                <w:sz w:val="20"/>
                <w:szCs w:val="20"/>
              </w:rPr>
              <w:t>Республиканская клиническая больница Министерства здравоохранения Республики Татарстан</w:t>
            </w:r>
            <w:r>
              <w:rPr>
                <w:rFonts w:eastAsia="Calibri"/>
                <w:sz w:val="20"/>
                <w:szCs w:val="20"/>
              </w:rPr>
              <w:t>»</w:t>
            </w:r>
            <w:r w:rsidRPr="001B4F15">
              <w:rPr>
                <w:rFonts w:eastAsia="Calibri"/>
                <w:sz w:val="20"/>
                <w:szCs w:val="20"/>
              </w:rPr>
              <w:t xml:space="preserve"> </w:t>
            </w:r>
          </w:p>
        </w:tc>
        <w:tc>
          <w:tcPr>
            <w:tcW w:w="1994" w:type="dxa"/>
            <w:shd w:val="clear" w:color="auto" w:fill="auto"/>
          </w:tcPr>
          <w:p w:rsidR="006C7C44" w:rsidRDefault="008B3E41" w:rsidP="006C7C44">
            <w:pPr>
              <w:jc w:val="center"/>
            </w:pPr>
            <w:r>
              <w:rPr>
                <w:sz w:val="20"/>
                <w:szCs w:val="20"/>
              </w:rPr>
              <w:t xml:space="preserve">Аппараты </w:t>
            </w:r>
            <w:r>
              <w:rPr>
                <w:rFonts w:eastAsia="Arial"/>
                <w:sz w:val="20"/>
                <w:szCs w:val="20"/>
              </w:rPr>
              <w:t>для ультразвуковых исследований</w:t>
            </w:r>
          </w:p>
        </w:tc>
        <w:tc>
          <w:tcPr>
            <w:tcW w:w="1181" w:type="dxa"/>
            <w:shd w:val="clear" w:color="auto" w:fill="auto"/>
          </w:tcPr>
          <w:p w:rsidR="006C7C44" w:rsidRPr="00E8065F" w:rsidRDefault="006C7C44" w:rsidP="006C7C44">
            <w:pPr>
              <w:jc w:val="center"/>
              <w:rPr>
                <w:sz w:val="20"/>
                <w:szCs w:val="20"/>
              </w:rPr>
            </w:pPr>
            <w:r w:rsidRPr="00E8065F">
              <w:rPr>
                <w:sz w:val="20"/>
                <w:szCs w:val="20"/>
              </w:rPr>
              <w:t>2008</w:t>
            </w:r>
            <w:r w:rsidR="00793DC9">
              <w:rPr>
                <w:sz w:val="20"/>
                <w:szCs w:val="20"/>
              </w:rPr>
              <w:t xml:space="preserve"> </w:t>
            </w:r>
            <w:r>
              <w:rPr>
                <w:sz w:val="20"/>
                <w:szCs w:val="20"/>
              </w:rPr>
              <w:t>(1)</w:t>
            </w:r>
          </w:p>
          <w:p w:rsidR="006C7C44" w:rsidRPr="00E8065F" w:rsidRDefault="006C7C44" w:rsidP="006C7C44">
            <w:pPr>
              <w:jc w:val="center"/>
              <w:rPr>
                <w:sz w:val="20"/>
                <w:szCs w:val="20"/>
              </w:rPr>
            </w:pPr>
            <w:r w:rsidRPr="00E8065F">
              <w:rPr>
                <w:sz w:val="20"/>
                <w:szCs w:val="20"/>
              </w:rPr>
              <w:t>2010</w:t>
            </w:r>
            <w:r w:rsidR="00793DC9">
              <w:rPr>
                <w:sz w:val="20"/>
                <w:szCs w:val="20"/>
              </w:rPr>
              <w:t xml:space="preserve"> </w:t>
            </w:r>
            <w:r>
              <w:rPr>
                <w:sz w:val="20"/>
                <w:szCs w:val="20"/>
              </w:rPr>
              <w:t>(3)</w:t>
            </w:r>
          </w:p>
          <w:p w:rsidR="006C7C44" w:rsidRPr="00E8065F" w:rsidRDefault="006C7C44" w:rsidP="006C7C44">
            <w:pPr>
              <w:jc w:val="center"/>
              <w:rPr>
                <w:sz w:val="20"/>
                <w:szCs w:val="20"/>
              </w:rPr>
            </w:pPr>
            <w:r w:rsidRPr="00E8065F">
              <w:rPr>
                <w:sz w:val="20"/>
                <w:szCs w:val="20"/>
              </w:rPr>
              <w:t>2011</w:t>
            </w:r>
            <w:r w:rsidR="00793DC9">
              <w:rPr>
                <w:sz w:val="20"/>
                <w:szCs w:val="20"/>
              </w:rPr>
              <w:t xml:space="preserve"> </w:t>
            </w:r>
            <w:r>
              <w:rPr>
                <w:sz w:val="20"/>
                <w:szCs w:val="20"/>
              </w:rPr>
              <w:t>(14)</w:t>
            </w:r>
          </w:p>
          <w:p w:rsidR="006C7C44" w:rsidRPr="00E8065F" w:rsidRDefault="006C7C44" w:rsidP="006C7C44">
            <w:pPr>
              <w:jc w:val="center"/>
              <w:rPr>
                <w:sz w:val="20"/>
                <w:szCs w:val="20"/>
              </w:rPr>
            </w:pPr>
            <w:r w:rsidRPr="00E8065F">
              <w:rPr>
                <w:sz w:val="20"/>
                <w:szCs w:val="20"/>
              </w:rPr>
              <w:t>2012</w:t>
            </w:r>
            <w:r w:rsidR="00793DC9">
              <w:rPr>
                <w:sz w:val="20"/>
                <w:szCs w:val="20"/>
              </w:rPr>
              <w:t xml:space="preserve"> </w:t>
            </w:r>
            <w:r>
              <w:rPr>
                <w:sz w:val="20"/>
                <w:szCs w:val="20"/>
              </w:rPr>
              <w:t>(3)</w:t>
            </w:r>
          </w:p>
          <w:p w:rsidR="006C7C44" w:rsidRPr="00E8065F" w:rsidRDefault="006C7C44" w:rsidP="006C7C44">
            <w:pPr>
              <w:jc w:val="center"/>
              <w:rPr>
                <w:sz w:val="20"/>
                <w:szCs w:val="20"/>
              </w:rPr>
            </w:pPr>
            <w:r w:rsidRPr="00E8065F">
              <w:rPr>
                <w:sz w:val="20"/>
                <w:szCs w:val="20"/>
              </w:rPr>
              <w:t>2013</w:t>
            </w:r>
            <w:r w:rsidR="00793DC9">
              <w:rPr>
                <w:sz w:val="20"/>
                <w:szCs w:val="20"/>
              </w:rPr>
              <w:t xml:space="preserve"> </w:t>
            </w:r>
            <w:r>
              <w:rPr>
                <w:sz w:val="20"/>
                <w:szCs w:val="20"/>
              </w:rPr>
              <w:t>(1)</w:t>
            </w:r>
          </w:p>
          <w:p w:rsidR="006C7C44" w:rsidRPr="00E8065F" w:rsidRDefault="006C7C44" w:rsidP="006C7C44">
            <w:pPr>
              <w:jc w:val="center"/>
              <w:rPr>
                <w:sz w:val="20"/>
                <w:szCs w:val="20"/>
              </w:rPr>
            </w:pPr>
            <w:r w:rsidRPr="00E8065F">
              <w:rPr>
                <w:sz w:val="20"/>
                <w:szCs w:val="20"/>
              </w:rPr>
              <w:t>2015</w:t>
            </w:r>
            <w:r w:rsidR="00793DC9">
              <w:rPr>
                <w:sz w:val="20"/>
                <w:szCs w:val="20"/>
              </w:rPr>
              <w:t xml:space="preserve"> </w:t>
            </w:r>
            <w:r>
              <w:rPr>
                <w:sz w:val="20"/>
                <w:szCs w:val="20"/>
              </w:rPr>
              <w:t>(1)</w:t>
            </w:r>
          </w:p>
          <w:p w:rsidR="006C7C44" w:rsidRPr="00E8065F" w:rsidRDefault="006C7C44" w:rsidP="006C7C44">
            <w:pPr>
              <w:jc w:val="center"/>
              <w:rPr>
                <w:sz w:val="20"/>
                <w:szCs w:val="20"/>
              </w:rPr>
            </w:pPr>
            <w:r w:rsidRPr="00E8065F">
              <w:rPr>
                <w:sz w:val="20"/>
                <w:szCs w:val="20"/>
              </w:rPr>
              <w:t>2016</w:t>
            </w:r>
            <w:r w:rsidR="00793DC9">
              <w:rPr>
                <w:sz w:val="20"/>
                <w:szCs w:val="20"/>
              </w:rPr>
              <w:t xml:space="preserve"> </w:t>
            </w:r>
            <w:r>
              <w:rPr>
                <w:sz w:val="20"/>
                <w:szCs w:val="20"/>
              </w:rPr>
              <w:t>(4)</w:t>
            </w:r>
          </w:p>
          <w:p w:rsidR="006C7C44" w:rsidRPr="00E8065F" w:rsidRDefault="006C7C44" w:rsidP="006C7C44">
            <w:pPr>
              <w:jc w:val="center"/>
              <w:rPr>
                <w:sz w:val="20"/>
                <w:szCs w:val="20"/>
              </w:rPr>
            </w:pPr>
            <w:r w:rsidRPr="00E8065F">
              <w:rPr>
                <w:sz w:val="20"/>
                <w:szCs w:val="20"/>
              </w:rPr>
              <w:t>2018</w:t>
            </w:r>
            <w:r w:rsidR="00793DC9">
              <w:rPr>
                <w:sz w:val="20"/>
                <w:szCs w:val="20"/>
              </w:rPr>
              <w:t xml:space="preserve"> </w:t>
            </w:r>
            <w:r>
              <w:rPr>
                <w:sz w:val="20"/>
                <w:szCs w:val="20"/>
              </w:rPr>
              <w:t>(2)</w:t>
            </w:r>
          </w:p>
          <w:p w:rsidR="006C7C44" w:rsidRPr="00E8065F" w:rsidRDefault="006C7C44" w:rsidP="006C7C44">
            <w:pPr>
              <w:jc w:val="center"/>
              <w:rPr>
                <w:sz w:val="20"/>
                <w:szCs w:val="20"/>
              </w:rPr>
            </w:pPr>
            <w:r w:rsidRPr="00E8065F">
              <w:rPr>
                <w:sz w:val="20"/>
                <w:szCs w:val="20"/>
              </w:rPr>
              <w:t>2019</w:t>
            </w:r>
            <w:r w:rsidR="00793DC9">
              <w:rPr>
                <w:sz w:val="20"/>
                <w:szCs w:val="20"/>
              </w:rPr>
              <w:t xml:space="preserve"> </w:t>
            </w:r>
            <w:r>
              <w:rPr>
                <w:sz w:val="20"/>
                <w:szCs w:val="20"/>
              </w:rPr>
              <w:t>(1)</w:t>
            </w:r>
          </w:p>
          <w:p w:rsidR="006C7C44" w:rsidRPr="00E8065F" w:rsidRDefault="006C7C44" w:rsidP="006C7C44">
            <w:pPr>
              <w:jc w:val="center"/>
              <w:rPr>
                <w:sz w:val="20"/>
                <w:szCs w:val="20"/>
              </w:rPr>
            </w:pPr>
            <w:r w:rsidRPr="00E8065F">
              <w:rPr>
                <w:sz w:val="20"/>
                <w:szCs w:val="20"/>
              </w:rPr>
              <w:t>2020</w:t>
            </w:r>
            <w:r w:rsidR="00793DC9">
              <w:rPr>
                <w:sz w:val="20"/>
                <w:szCs w:val="20"/>
              </w:rPr>
              <w:t xml:space="preserve"> </w:t>
            </w:r>
            <w:r>
              <w:rPr>
                <w:sz w:val="20"/>
                <w:szCs w:val="20"/>
              </w:rPr>
              <w:t>(9)</w:t>
            </w:r>
          </w:p>
          <w:p w:rsidR="006C7C44" w:rsidRPr="00E8065F" w:rsidRDefault="006C7C44" w:rsidP="006C7C44">
            <w:pPr>
              <w:jc w:val="center"/>
              <w:rPr>
                <w:sz w:val="20"/>
                <w:szCs w:val="20"/>
              </w:rPr>
            </w:pPr>
            <w:r w:rsidRPr="00E8065F">
              <w:rPr>
                <w:sz w:val="20"/>
                <w:szCs w:val="20"/>
              </w:rPr>
              <w:t>2021</w:t>
            </w:r>
            <w:r w:rsidR="00793DC9">
              <w:rPr>
                <w:sz w:val="20"/>
                <w:szCs w:val="20"/>
              </w:rPr>
              <w:t xml:space="preserve"> </w:t>
            </w:r>
            <w:r>
              <w:rPr>
                <w:sz w:val="20"/>
                <w:szCs w:val="20"/>
              </w:rPr>
              <w:t>(5)</w:t>
            </w:r>
          </w:p>
          <w:p w:rsidR="006C7C44" w:rsidRPr="00E8065F" w:rsidRDefault="006C7C44" w:rsidP="006C7C44">
            <w:pPr>
              <w:jc w:val="center"/>
              <w:rPr>
                <w:sz w:val="20"/>
                <w:szCs w:val="20"/>
              </w:rPr>
            </w:pPr>
            <w:r w:rsidRPr="00E8065F">
              <w:rPr>
                <w:sz w:val="20"/>
                <w:szCs w:val="20"/>
              </w:rPr>
              <w:t>2022</w:t>
            </w:r>
            <w:r w:rsidR="00793DC9">
              <w:rPr>
                <w:sz w:val="20"/>
                <w:szCs w:val="20"/>
              </w:rPr>
              <w:t xml:space="preserve"> </w:t>
            </w:r>
            <w:r>
              <w:rPr>
                <w:sz w:val="20"/>
                <w:szCs w:val="20"/>
              </w:rPr>
              <w:t>(2)</w:t>
            </w:r>
          </w:p>
          <w:p w:rsidR="006C7C44" w:rsidRPr="00E8065F" w:rsidRDefault="006C7C44" w:rsidP="006C7C44">
            <w:pPr>
              <w:jc w:val="center"/>
              <w:rPr>
                <w:sz w:val="20"/>
                <w:szCs w:val="20"/>
              </w:rPr>
            </w:pPr>
            <w:r w:rsidRPr="00E8065F">
              <w:rPr>
                <w:sz w:val="20"/>
                <w:szCs w:val="20"/>
              </w:rPr>
              <w:t>2023</w:t>
            </w:r>
            <w:r w:rsidR="00793DC9">
              <w:rPr>
                <w:sz w:val="20"/>
                <w:szCs w:val="20"/>
              </w:rPr>
              <w:t xml:space="preserve"> </w:t>
            </w:r>
            <w:r>
              <w:rPr>
                <w:sz w:val="20"/>
                <w:szCs w:val="20"/>
              </w:rPr>
              <w:t>(4)</w:t>
            </w:r>
          </w:p>
          <w:p w:rsidR="006C7C44" w:rsidRPr="00E8065F" w:rsidRDefault="006C7C44" w:rsidP="006C7C44">
            <w:pPr>
              <w:jc w:val="center"/>
              <w:rPr>
                <w:sz w:val="20"/>
                <w:szCs w:val="20"/>
              </w:rPr>
            </w:pPr>
            <w:r w:rsidRPr="00E8065F">
              <w:rPr>
                <w:sz w:val="20"/>
                <w:szCs w:val="20"/>
              </w:rPr>
              <w:t>2024</w:t>
            </w:r>
            <w:r w:rsidR="00793DC9">
              <w:rPr>
                <w:sz w:val="20"/>
                <w:szCs w:val="20"/>
              </w:rPr>
              <w:t xml:space="preserve"> </w:t>
            </w:r>
            <w:r>
              <w:rPr>
                <w:sz w:val="20"/>
                <w:szCs w:val="20"/>
              </w:rPr>
              <w:t>(7)</w:t>
            </w:r>
          </w:p>
        </w:tc>
        <w:tc>
          <w:tcPr>
            <w:tcW w:w="1181" w:type="dxa"/>
            <w:tcBorders>
              <w:top w:val="nil"/>
              <w:left w:val="single" w:sz="4" w:space="0" w:color="auto"/>
              <w:bottom w:val="single" w:sz="4" w:space="0" w:color="auto"/>
              <w:right w:val="single" w:sz="4" w:space="0" w:color="auto"/>
            </w:tcBorders>
            <w:shd w:val="clear" w:color="auto" w:fill="auto"/>
          </w:tcPr>
          <w:p w:rsidR="006C7C44" w:rsidRPr="00E8065F" w:rsidRDefault="006C7C44" w:rsidP="006C7C44">
            <w:pPr>
              <w:jc w:val="center"/>
              <w:rPr>
                <w:color w:val="000000"/>
                <w:sz w:val="20"/>
                <w:szCs w:val="20"/>
              </w:rPr>
            </w:pPr>
            <w:r w:rsidRPr="00E8065F">
              <w:rPr>
                <w:color w:val="000000"/>
                <w:sz w:val="20"/>
                <w:szCs w:val="20"/>
              </w:rPr>
              <w:t>57</w:t>
            </w:r>
          </w:p>
        </w:tc>
        <w:tc>
          <w:tcPr>
            <w:tcW w:w="1478" w:type="dxa"/>
            <w:tcBorders>
              <w:top w:val="nil"/>
              <w:left w:val="single" w:sz="4" w:space="0" w:color="auto"/>
              <w:bottom w:val="single" w:sz="4" w:space="0" w:color="auto"/>
              <w:right w:val="single" w:sz="4" w:space="0" w:color="auto"/>
            </w:tcBorders>
            <w:shd w:val="clear" w:color="auto" w:fill="auto"/>
          </w:tcPr>
          <w:p w:rsidR="006C7C44" w:rsidRPr="00E8065F" w:rsidRDefault="006C7C44" w:rsidP="006C7C44">
            <w:pPr>
              <w:jc w:val="center"/>
              <w:rPr>
                <w:color w:val="000000"/>
                <w:sz w:val="20"/>
                <w:szCs w:val="20"/>
              </w:rPr>
            </w:pPr>
            <w:r w:rsidRPr="00E8065F">
              <w:rPr>
                <w:color w:val="000000"/>
                <w:sz w:val="20"/>
                <w:szCs w:val="20"/>
              </w:rPr>
              <w:t>2325,3</w:t>
            </w:r>
          </w:p>
        </w:tc>
        <w:tc>
          <w:tcPr>
            <w:tcW w:w="1111" w:type="dxa"/>
            <w:tcBorders>
              <w:top w:val="nil"/>
              <w:left w:val="nil"/>
              <w:bottom w:val="single" w:sz="4" w:space="0" w:color="auto"/>
              <w:right w:val="single" w:sz="4" w:space="0" w:color="auto"/>
            </w:tcBorders>
            <w:shd w:val="clear" w:color="auto" w:fill="auto"/>
          </w:tcPr>
          <w:p w:rsidR="006C7C44" w:rsidRPr="00E8065F" w:rsidRDefault="006C7C44" w:rsidP="006C7C44">
            <w:pPr>
              <w:jc w:val="center"/>
              <w:rPr>
                <w:color w:val="000000"/>
                <w:sz w:val="20"/>
                <w:szCs w:val="20"/>
              </w:rPr>
            </w:pPr>
            <w:r w:rsidRPr="00E8065F">
              <w:rPr>
                <w:color w:val="000000"/>
                <w:sz w:val="20"/>
                <w:szCs w:val="20"/>
              </w:rPr>
              <w:t>1</w:t>
            </w:r>
          </w:p>
        </w:tc>
        <w:tc>
          <w:tcPr>
            <w:tcW w:w="1944" w:type="dxa"/>
            <w:tcBorders>
              <w:top w:val="nil"/>
              <w:left w:val="single" w:sz="4" w:space="0" w:color="auto"/>
              <w:bottom w:val="single" w:sz="4" w:space="0" w:color="auto"/>
              <w:right w:val="single" w:sz="4" w:space="0" w:color="auto"/>
            </w:tcBorders>
            <w:shd w:val="clear" w:color="auto" w:fill="auto"/>
          </w:tcPr>
          <w:p w:rsidR="006C7C44" w:rsidRPr="00E8065F" w:rsidRDefault="006C7C44" w:rsidP="006C7C44">
            <w:pPr>
              <w:jc w:val="center"/>
              <w:rPr>
                <w:color w:val="000000"/>
                <w:sz w:val="20"/>
                <w:szCs w:val="20"/>
              </w:rPr>
            </w:pPr>
            <w:r w:rsidRPr="00E8065F">
              <w:rPr>
                <w:color w:val="000000"/>
                <w:sz w:val="20"/>
                <w:szCs w:val="20"/>
              </w:rPr>
              <w:t>Амбулаторное/стационарное</w:t>
            </w:r>
          </w:p>
        </w:tc>
      </w:tr>
      <w:tr w:rsidR="006C7C44" w:rsidRPr="00E8065F" w:rsidTr="000546C2">
        <w:trPr>
          <w:trHeight w:val="20"/>
        </w:trPr>
        <w:tc>
          <w:tcPr>
            <w:tcW w:w="1555" w:type="dxa"/>
            <w:vMerge/>
          </w:tcPr>
          <w:p w:rsidR="006C7C44" w:rsidRPr="00E8065F" w:rsidRDefault="006C7C44" w:rsidP="006C7C44">
            <w:pPr>
              <w:rPr>
                <w:color w:val="000000"/>
                <w:sz w:val="20"/>
                <w:szCs w:val="20"/>
              </w:rPr>
            </w:pPr>
          </w:p>
        </w:tc>
        <w:tc>
          <w:tcPr>
            <w:tcW w:w="3685" w:type="dxa"/>
            <w:tcBorders>
              <w:top w:val="nil"/>
              <w:left w:val="single" w:sz="4" w:space="0" w:color="auto"/>
              <w:bottom w:val="single" w:sz="4" w:space="0" w:color="auto"/>
              <w:right w:val="single" w:sz="4" w:space="0" w:color="auto"/>
            </w:tcBorders>
            <w:shd w:val="clear" w:color="auto" w:fill="auto"/>
          </w:tcPr>
          <w:p w:rsidR="006C7C44" w:rsidRPr="00E8065F" w:rsidRDefault="006C7C44" w:rsidP="006C7C44">
            <w:pPr>
              <w:jc w:val="both"/>
              <w:rPr>
                <w:color w:val="000000"/>
                <w:sz w:val="20"/>
                <w:szCs w:val="20"/>
              </w:rPr>
            </w:pPr>
            <w:r>
              <w:rPr>
                <w:color w:val="000000"/>
                <w:sz w:val="20"/>
                <w:szCs w:val="20"/>
              </w:rPr>
              <w:t>ГАУЗ «РКОД МЗ РТ им.проф.М.З.</w:t>
            </w:r>
            <w:r w:rsidRPr="00E8065F">
              <w:rPr>
                <w:color w:val="000000"/>
                <w:sz w:val="20"/>
                <w:szCs w:val="20"/>
              </w:rPr>
              <w:t>Сигала</w:t>
            </w:r>
            <w:r>
              <w:rPr>
                <w:color w:val="000000"/>
                <w:sz w:val="20"/>
                <w:szCs w:val="20"/>
              </w:rPr>
              <w:t>»</w:t>
            </w:r>
          </w:p>
          <w:p w:rsidR="006C7C44" w:rsidRPr="00E8065F" w:rsidRDefault="006C7C44" w:rsidP="006C7C44">
            <w:pPr>
              <w:jc w:val="both"/>
              <w:rPr>
                <w:color w:val="000000"/>
                <w:sz w:val="20"/>
                <w:szCs w:val="20"/>
              </w:rPr>
            </w:pPr>
          </w:p>
        </w:tc>
        <w:tc>
          <w:tcPr>
            <w:tcW w:w="1994" w:type="dxa"/>
            <w:tcBorders>
              <w:bottom w:val="single" w:sz="4" w:space="0" w:color="auto"/>
            </w:tcBorders>
            <w:shd w:val="clear" w:color="auto" w:fill="auto"/>
          </w:tcPr>
          <w:p w:rsidR="006C7C44" w:rsidRDefault="008B3E41" w:rsidP="006C7C44">
            <w:pPr>
              <w:jc w:val="center"/>
            </w:pPr>
            <w:r>
              <w:rPr>
                <w:sz w:val="20"/>
                <w:szCs w:val="20"/>
              </w:rPr>
              <w:t xml:space="preserve">Аппараты </w:t>
            </w:r>
            <w:r>
              <w:rPr>
                <w:rFonts w:eastAsia="Arial"/>
                <w:sz w:val="20"/>
                <w:szCs w:val="20"/>
              </w:rPr>
              <w:t>для ультразвуковых исследований</w:t>
            </w:r>
          </w:p>
        </w:tc>
        <w:tc>
          <w:tcPr>
            <w:tcW w:w="1181" w:type="dxa"/>
            <w:tcBorders>
              <w:bottom w:val="single" w:sz="4" w:space="0" w:color="auto"/>
            </w:tcBorders>
            <w:shd w:val="clear" w:color="auto" w:fill="auto"/>
          </w:tcPr>
          <w:p w:rsidR="006C7C44" w:rsidRPr="00E8065F" w:rsidRDefault="006C7C44" w:rsidP="006C7C44">
            <w:pPr>
              <w:jc w:val="center"/>
              <w:rPr>
                <w:sz w:val="20"/>
                <w:szCs w:val="20"/>
              </w:rPr>
            </w:pPr>
            <w:r w:rsidRPr="00E8065F">
              <w:rPr>
                <w:sz w:val="20"/>
                <w:szCs w:val="20"/>
              </w:rPr>
              <w:t>2005</w:t>
            </w:r>
            <w:r w:rsidR="00793DC9">
              <w:rPr>
                <w:sz w:val="20"/>
                <w:szCs w:val="20"/>
              </w:rPr>
              <w:t xml:space="preserve"> </w:t>
            </w:r>
            <w:r>
              <w:rPr>
                <w:sz w:val="20"/>
                <w:szCs w:val="20"/>
              </w:rPr>
              <w:t>(4)</w:t>
            </w:r>
          </w:p>
          <w:p w:rsidR="006C7C44" w:rsidRPr="00E8065F" w:rsidRDefault="006C7C44" w:rsidP="006C7C44">
            <w:pPr>
              <w:jc w:val="center"/>
              <w:rPr>
                <w:sz w:val="20"/>
                <w:szCs w:val="20"/>
              </w:rPr>
            </w:pPr>
            <w:r w:rsidRPr="00E8065F">
              <w:rPr>
                <w:sz w:val="20"/>
                <w:szCs w:val="20"/>
              </w:rPr>
              <w:t>2008</w:t>
            </w:r>
            <w:r w:rsidR="00793DC9">
              <w:rPr>
                <w:sz w:val="20"/>
                <w:szCs w:val="20"/>
              </w:rPr>
              <w:t xml:space="preserve"> </w:t>
            </w:r>
            <w:r>
              <w:rPr>
                <w:sz w:val="20"/>
                <w:szCs w:val="20"/>
              </w:rPr>
              <w:t>(4)</w:t>
            </w:r>
          </w:p>
          <w:p w:rsidR="006C7C44" w:rsidRPr="00E8065F" w:rsidRDefault="006C7C44" w:rsidP="006C7C44">
            <w:pPr>
              <w:jc w:val="center"/>
              <w:rPr>
                <w:sz w:val="20"/>
                <w:szCs w:val="20"/>
              </w:rPr>
            </w:pPr>
            <w:r w:rsidRPr="00E8065F">
              <w:rPr>
                <w:sz w:val="20"/>
                <w:szCs w:val="20"/>
              </w:rPr>
              <w:t>2010</w:t>
            </w:r>
            <w:r w:rsidR="00793DC9">
              <w:rPr>
                <w:sz w:val="20"/>
                <w:szCs w:val="20"/>
              </w:rPr>
              <w:t xml:space="preserve"> </w:t>
            </w:r>
            <w:r>
              <w:rPr>
                <w:sz w:val="20"/>
                <w:szCs w:val="20"/>
              </w:rPr>
              <w:t>(2)</w:t>
            </w:r>
          </w:p>
          <w:p w:rsidR="006C7C44" w:rsidRPr="00E8065F" w:rsidRDefault="006C7C44" w:rsidP="006C7C44">
            <w:pPr>
              <w:jc w:val="center"/>
              <w:rPr>
                <w:sz w:val="20"/>
                <w:szCs w:val="20"/>
              </w:rPr>
            </w:pPr>
            <w:r w:rsidRPr="00E8065F">
              <w:rPr>
                <w:sz w:val="20"/>
                <w:szCs w:val="20"/>
              </w:rPr>
              <w:t>2013</w:t>
            </w:r>
            <w:r w:rsidR="00793DC9">
              <w:rPr>
                <w:sz w:val="20"/>
                <w:szCs w:val="20"/>
              </w:rPr>
              <w:t xml:space="preserve"> </w:t>
            </w:r>
            <w:r>
              <w:rPr>
                <w:sz w:val="20"/>
                <w:szCs w:val="20"/>
              </w:rPr>
              <w:t>(6)</w:t>
            </w:r>
          </w:p>
          <w:p w:rsidR="006C7C44" w:rsidRPr="00E8065F" w:rsidRDefault="006C7C44" w:rsidP="006C7C44">
            <w:pPr>
              <w:jc w:val="center"/>
              <w:rPr>
                <w:sz w:val="20"/>
                <w:szCs w:val="20"/>
              </w:rPr>
            </w:pPr>
            <w:r w:rsidRPr="00E8065F">
              <w:rPr>
                <w:sz w:val="20"/>
                <w:szCs w:val="20"/>
              </w:rPr>
              <w:t>2014</w:t>
            </w:r>
            <w:r w:rsidR="00793DC9">
              <w:rPr>
                <w:sz w:val="20"/>
                <w:szCs w:val="20"/>
              </w:rPr>
              <w:t xml:space="preserve"> </w:t>
            </w:r>
            <w:r>
              <w:rPr>
                <w:sz w:val="20"/>
                <w:szCs w:val="20"/>
              </w:rPr>
              <w:t>(2)</w:t>
            </w:r>
          </w:p>
          <w:p w:rsidR="006C7C44" w:rsidRPr="00E8065F" w:rsidRDefault="006C7C44" w:rsidP="006C7C44">
            <w:pPr>
              <w:jc w:val="center"/>
              <w:rPr>
                <w:sz w:val="20"/>
                <w:szCs w:val="20"/>
              </w:rPr>
            </w:pPr>
            <w:r w:rsidRPr="00E8065F">
              <w:rPr>
                <w:sz w:val="20"/>
                <w:szCs w:val="20"/>
              </w:rPr>
              <w:t>2015</w:t>
            </w:r>
            <w:r w:rsidR="00793DC9">
              <w:rPr>
                <w:sz w:val="20"/>
                <w:szCs w:val="20"/>
              </w:rPr>
              <w:t xml:space="preserve"> </w:t>
            </w:r>
            <w:r>
              <w:rPr>
                <w:sz w:val="20"/>
                <w:szCs w:val="20"/>
              </w:rPr>
              <w:t>(16)</w:t>
            </w:r>
          </w:p>
          <w:p w:rsidR="006C7C44" w:rsidRPr="00E8065F" w:rsidRDefault="006C7C44" w:rsidP="006C7C44">
            <w:pPr>
              <w:jc w:val="center"/>
              <w:rPr>
                <w:sz w:val="20"/>
                <w:szCs w:val="20"/>
              </w:rPr>
            </w:pPr>
            <w:r w:rsidRPr="00E8065F">
              <w:rPr>
                <w:sz w:val="20"/>
                <w:szCs w:val="20"/>
              </w:rPr>
              <w:t>2018</w:t>
            </w:r>
            <w:r w:rsidR="00793DC9">
              <w:rPr>
                <w:sz w:val="20"/>
                <w:szCs w:val="20"/>
              </w:rPr>
              <w:t xml:space="preserve"> </w:t>
            </w:r>
            <w:r>
              <w:rPr>
                <w:sz w:val="20"/>
                <w:szCs w:val="20"/>
              </w:rPr>
              <w:t>(9)</w:t>
            </w:r>
          </w:p>
          <w:p w:rsidR="006C7C44" w:rsidRPr="00E8065F" w:rsidRDefault="006C7C44" w:rsidP="006C7C44">
            <w:pPr>
              <w:jc w:val="center"/>
              <w:rPr>
                <w:sz w:val="20"/>
                <w:szCs w:val="20"/>
              </w:rPr>
            </w:pPr>
            <w:r w:rsidRPr="00E8065F">
              <w:rPr>
                <w:sz w:val="20"/>
                <w:szCs w:val="20"/>
              </w:rPr>
              <w:t>2019</w:t>
            </w:r>
            <w:r w:rsidR="00793DC9">
              <w:rPr>
                <w:sz w:val="20"/>
                <w:szCs w:val="20"/>
              </w:rPr>
              <w:t xml:space="preserve"> </w:t>
            </w:r>
            <w:r>
              <w:rPr>
                <w:sz w:val="20"/>
                <w:szCs w:val="20"/>
              </w:rPr>
              <w:t>(14)</w:t>
            </w:r>
          </w:p>
          <w:p w:rsidR="006C7C44" w:rsidRPr="00E8065F" w:rsidRDefault="006C7C44" w:rsidP="006C7C44">
            <w:pPr>
              <w:jc w:val="center"/>
              <w:rPr>
                <w:sz w:val="20"/>
                <w:szCs w:val="20"/>
              </w:rPr>
            </w:pPr>
            <w:r w:rsidRPr="00E8065F">
              <w:rPr>
                <w:sz w:val="20"/>
                <w:szCs w:val="20"/>
              </w:rPr>
              <w:t>2021</w:t>
            </w:r>
            <w:r w:rsidR="00793DC9">
              <w:rPr>
                <w:sz w:val="20"/>
                <w:szCs w:val="20"/>
              </w:rPr>
              <w:t xml:space="preserve"> </w:t>
            </w:r>
            <w:r>
              <w:rPr>
                <w:sz w:val="20"/>
                <w:szCs w:val="20"/>
              </w:rPr>
              <w:t>(5)</w:t>
            </w:r>
          </w:p>
          <w:p w:rsidR="006C7C44" w:rsidRPr="00E8065F" w:rsidRDefault="006C7C44" w:rsidP="006C7C44">
            <w:pPr>
              <w:jc w:val="center"/>
              <w:rPr>
                <w:sz w:val="20"/>
                <w:szCs w:val="20"/>
              </w:rPr>
            </w:pPr>
            <w:r w:rsidRPr="00E8065F">
              <w:rPr>
                <w:sz w:val="20"/>
                <w:szCs w:val="20"/>
              </w:rPr>
              <w:t>2022</w:t>
            </w:r>
            <w:r w:rsidR="00793DC9">
              <w:rPr>
                <w:sz w:val="20"/>
                <w:szCs w:val="20"/>
              </w:rPr>
              <w:t xml:space="preserve"> </w:t>
            </w:r>
            <w:r>
              <w:rPr>
                <w:sz w:val="20"/>
                <w:szCs w:val="20"/>
              </w:rPr>
              <w:t>(6)</w:t>
            </w:r>
          </w:p>
          <w:p w:rsidR="006C7C44" w:rsidRPr="00E8065F" w:rsidRDefault="006C7C44" w:rsidP="006C7C44">
            <w:pPr>
              <w:jc w:val="center"/>
              <w:rPr>
                <w:sz w:val="20"/>
                <w:szCs w:val="20"/>
              </w:rPr>
            </w:pPr>
            <w:r w:rsidRPr="00E8065F">
              <w:rPr>
                <w:sz w:val="20"/>
                <w:szCs w:val="20"/>
              </w:rPr>
              <w:t>2024</w:t>
            </w:r>
            <w:r w:rsidR="00793DC9">
              <w:rPr>
                <w:sz w:val="20"/>
                <w:szCs w:val="20"/>
              </w:rPr>
              <w:t xml:space="preserve"> </w:t>
            </w:r>
            <w:r>
              <w:rPr>
                <w:sz w:val="20"/>
                <w:szCs w:val="20"/>
              </w:rPr>
              <w:t>(2)</w:t>
            </w:r>
          </w:p>
        </w:tc>
        <w:tc>
          <w:tcPr>
            <w:tcW w:w="1181" w:type="dxa"/>
            <w:tcBorders>
              <w:top w:val="nil"/>
              <w:left w:val="single" w:sz="4" w:space="0" w:color="auto"/>
              <w:bottom w:val="single" w:sz="4" w:space="0" w:color="auto"/>
              <w:right w:val="single" w:sz="4" w:space="0" w:color="auto"/>
            </w:tcBorders>
            <w:shd w:val="clear" w:color="auto" w:fill="auto"/>
          </w:tcPr>
          <w:p w:rsidR="006C7C44" w:rsidRPr="00E8065F" w:rsidRDefault="006C7C44" w:rsidP="006C7C44">
            <w:pPr>
              <w:jc w:val="center"/>
              <w:rPr>
                <w:color w:val="000000"/>
                <w:sz w:val="20"/>
                <w:szCs w:val="20"/>
              </w:rPr>
            </w:pPr>
            <w:r w:rsidRPr="00E8065F">
              <w:rPr>
                <w:color w:val="000000"/>
                <w:sz w:val="20"/>
                <w:szCs w:val="20"/>
              </w:rPr>
              <w:t>70</w:t>
            </w:r>
          </w:p>
        </w:tc>
        <w:tc>
          <w:tcPr>
            <w:tcW w:w="1478" w:type="dxa"/>
            <w:tcBorders>
              <w:top w:val="nil"/>
              <w:left w:val="single" w:sz="4" w:space="0" w:color="auto"/>
              <w:bottom w:val="single" w:sz="4" w:space="0" w:color="auto"/>
              <w:right w:val="single" w:sz="4" w:space="0" w:color="auto"/>
            </w:tcBorders>
            <w:shd w:val="clear" w:color="auto" w:fill="auto"/>
          </w:tcPr>
          <w:p w:rsidR="006C7C44" w:rsidRPr="00E8065F" w:rsidRDefault="006C7C44" w:rsidP="006C7C44">
            <w:pPr>
              <w:jc w:val="center"/>
              <w:rPr>
                <w:color w:val="000000"/>
                <w:sz w:val="20"/>
                <w:szCs w:val="20"/>
              </w:rPr>
            </w:pPr>
            <w:r w:rsidRPr="00E8065F">
              <w:rPr>
                <w:color w:val="000000"/>
                <w:sz w:val="20"/>
                <w:szCs w:val="20"/>
              </w:rPr>
              <w:t>439,0</w:t>
            </w:r>
          </w:p>
        </w:tc>
        <w:tc>
          <w:tcPr>
            <w:tcW w:w="1111" w:type="dxa"/>
            <w:tcBorders>
              <w:top w:val="nil"/>
              <w:left w:val="nil"/>
              <w:bottom w:val="single" w:sz="4" w:space="0" w:color="auto"/>
              <w:right w:val="single" w:sz="4" w:space="0" w:color="auto"/>
            </w:tcBorders>
            <w:shd w:val="clear" w:color="auto" w:fill="auto"/>
          </w:tcPr>
          <w:p w:rsidR="006C7C44" w:rsidRPr="00E8065F" w:rsidRDefault="006C7C44" w:rsidP="006C7C44">
            <w:pPr>
              <w:jc w:val="center"/>
              <w:rPr>
                <w:color w:val="000000"/>
                <w:sz w:val="20"/>
                <w:szCs w:val="20"/>
              </w:rPr>
            </w:pPr>
            <w:r w:rsidRPr="00E8065F">
              <w:rPr>
                <w:color w:val="000000"/>
                <w:sz w:val="20"/>
                <w:szCs w:val="20"/>
              </w:rPr>
              <w:t>3</w:t>
            </w:r>
          </w:p>
        </w:tc>
        <w:tc>
          <w:tcPr>
            <w:tcW w:w="1944" w:type="dxa"/>
            <w:tcBorders>
              <w:top w:val="nil"/>
              <w:left w:val="single" w:sz="4" w:space="0" w:color="auto"/>
              <w:bottom w:val="single" w:sz="4" w:space="0" w:color="auto"/>
              <w:right w:val="single" w:sz="4" w:space="0" w:color="auto"/>
            </w:tcBorders>
            <w:shd w:val="clear" w:color="auto" w:fill="auto"/>
          </w:tcPr>
          <w:p w:rsidR="006C7C44" w:rsidRPr="00E8065F" w:rsidRDefault="006C7C44" w:rsidP="006C7C44">
            <w:pPr>
              <w:jc w:val="center"/>
              <w:rPr>
                <w:color w:val="000000"/>
                <w:sz w:val="20"/>
                <w:szCs w:val="20"/>
              </w:rPr>
            </w:pPr>
            <w:r w:rsidRPr="00E8065F">
              <w:rPr>
                <w:color w:val="000000"/>
                <w:sz w:val="20"/>
                <w:szCs w:val="20"/>
              </w:rPr>
              <w:t>Амбулаторное/стационарное</w:t>
            </w:r>
          </w:p>
        </w:tc>
      </w:tr>
      <w:tr w:rsidR="00271D0A" w:rsidRPr="00E8065F" w:rsidTr="000546C2">
        <w:trPr>
          <w:trHeight w:val="20"/>
        </w:trPr>
        <w:tc>
          <w:tcPr>
            <w:tcW w:w="1555" w:type="dxa"/>
            <w:vMerge/>
          </w:tcPr>
          <w:p w:rsidR="00271D0A" w:rsidRPr="00E8065F" w:rsidRDefault="00271D0A" w:rsidP="00271D0A">
            <w:pPr>
              <w:rPr>
                <w:color w:val="000000"/>
                <w:sz w:val="20"/>
                <w:szCs w:val="20"/>
              </w:rPr>
            </w:pPr>
          </w:p>
        </w:tc>
        <w:tc>
          <w:tcPr>
            <w:tcW w:w="3685" w:type="dxa"/>
            <w:tcBorders>
              <w:top w:val="nil"/>
              <w:left w:val="single" w:sz="4" w:space="0" w:color="auto"/>
              <w:bottom w:val="single" w:sz="4" w:space="0" w:color="auto"/>
              <w:right w:val="single" w:sz="4" w:space="0" w:color="auto"/>
            </w:tcBorders>
            <w:shd w:val="clear" w:color="auto" w:fill="auto"/>
          </w:tcPr>
          <w:p w:rsidR="00271D0A" w:rsidRPr="00E020A5" w:rsidRDefault="00271D0A" w:rsidP="00271D0A">
            <w:pPr>
              <w:jc w:val="both"/>
              <w:rPr>
                <w:color w:val="000000"/>
                <w:sz w:val="20"/>
                <w:szCs w:val="20"/>
              </w:rPr>
            </w:pPr>
            <w:r w:rsidRPr="00E020A5">
              <w:rPr>
                <w:sz w:val="20"/>
                <w:szCs w:val="20"/>
              </w:rPr>
              <w:t xml:space="preserve">Казанская государственная медицинская академия – </w:t>
            </w:r>
            <w:r>
              <w:rPr>
                <w:sz w:val="20"/>
                <w:szCs w:val="20"/>
              </w:rPr>
              <w:t>филиал федерального го</w:t>
            </w:r>
            <w:r w:rsidRPr="00E020A5">
              <w:rPr>
                <w:sz w:val="20"/>
                <w:szCs w:val="20"/>
              </w:rPr>
              <w:t xml:space="preserve">сударственного бюджетного образовательного учреждения дополнительного профессионального образования </w:t>
            </w:r>
            <w:r>
              <w:rPr>
                <w:sz w:val="20"/>
                <w:szCs w:val="20"/>
              </w:rPr>
              <w:t>«</w:t>
            </w:r>
            <w:r w:rsidRPr="00E020A5">
              <w:rPr>
                <w:sz w:val="20"/>
                <w:szCs w:val="20"/>
              </w:rPr>
              <w:t>Российская медицинская академия непрерывного профессионального образования</w:t>
            </w:r>
            <w:r>
              <w:rPr>
                <w:sz w:val="20"/>
                <w:szCs w:val="20"/>
              </w:rPr>
              <w:t>»</w:t>
            </w:r>
            <w:r w:rsidRPr="00E020A5">
              <w:rPr>
                <w:sz w:val="20"/>
                <w:szCs w:val="20"/>
              </w:rPr>
              <w:t xml:space="preserve"> Министерства здравоохранения Российской Федерации </w:t>
            </w:r>
          </w:p>
        </w:tc>
        <w:tc>
          <w:tcPr>
            <w:tcW w:w="1994" w:type="dxa"/>
            <w:shd w:val="clear" w:color="auto" w:fill="auto"/>
          </w:tcPr>
          <w:p w:rsidR="00271D0A" w:rsidRPr="00E8065F" w:rsidRDefault="008B3E41" w:rsidP="006C7C44">
            <w:pPr>
              <w:jc w:val="center"/>
              <w:rPr>
                <w:color w:val="000000"/>
                <w:sz w:val="20"/>
                <w:szCs w:val="20"/>
              </w:rPr>
            </w:pPr>
            <w:r>
              <w:rPr>
                <w:sz w:val="20"/>
                <w:szCs w:val="20"/>
              </w:rPr>
              <w:t xml:space="preserve">Аппараты </w:t>
            </w:r>
            <w:r>
              <w:rPr>
                <w:rFonts w:eastAsia="Arial"/>
                <w:sz w:val="20"/>
                <w:szCs w:val="20"/>
              </w:rPr>
              <w:t>для ультразвуковых исследований</w:t>
            </w:r>
          </w:p>
        </w:tc>
        <w:tc>
          <w:tcPr>
            <w:tcW w:w="1181" w:type="dxa"/>
            <w:shd w:val="clear" w:color="auto" w:fill="auto"/>
          </w:tcPr>
          <w:p w:rsidR="00271D0A" w:rsidRPr="00E8065F" w:rsidRDefault="00271D0A" w:rsidP="00271D0A">
            <w:pPr>
              <w:jc w:val="center"/>
              <w:rPr>
                <w:sz w:val="20"/>
                <w:szCs w:val="20"/>
              </w:rPr>
            </w:pPr>
            <w:r w:rsidRPr="00E8065F">
              <w:rPr>
                <w:sz w:val="20"/>
                <w:szCs w:val="20"/>
              </w:rPr>
              <w:t>2018</w:t>
            </w:r>
          </w:p>
        </w:tc>
        <w:tc>
          <w:tcPr>
            <w:tcW w:w="1181" w:type="dxa"/>
            <w:tcBorders>
              <w:top w:val="nil"/>
              <w:left w:val="single" w:sz="4" w:space="0" w:color="auto"/>
              <w:bottom w:val="single" w:sz="4" w:space="0" w:color="auto"/>
              <w:right w:val="single" w:sz="4" w:space="0" w:color="auto"/>
            </w:tcBorders>
            <w:shd w:val="clear" w:color="auto" w:fill="auto"/>
          </w:tcPr>
          <w:p w:rsidR="00271D0A" w:rsidRPr="00E8065F" w:rsidRDefault="00271D0A" w:rsidP="00271D0A">
            <w:pPr>
              <w:jc w:val="center"/>
              <w:rPr>
                <w:color w:val="000000"/>
                <w:sz w:val="20"/>
                <w:szCs w:val="20"/>
              </w:rPr>
            </w:pPr>
            <w:r w:rsidRPr="00E8065F">
              <w:rPr>
                <w:color w:val="000000"/>
                <w:sz w:val="20"/>
                <w:szCs w:val="20"/>
              </w:rPr>
              <w:t>1</w:t>
            </w:r>
          </w:p>
        </w:tc>
        <w:tc>
          <w:tcPr>
            <w:tcW w:w="1478" w:type="dxa"/>
            <w:tcBorders>
              <w:top w:val="nil"/>
              <w:left w:val="single" w:sz="4" w:space="0" w:color="auto"/>
              <w:bottom w:val="single" w:sz="4" w:space="0" w:color="auto"/>
              <w:right w:val="single" w:sz="4" w:space="0" w:color="auto"/>
            </w:tcBorders>
            <w:shd w:val="clear" w:color="auto" w:fill="auto"/>
          </w:tcPr>
          <w:p w:rsidR="00271D0A" w:rsidRPr="00E8065F" w:rsidRDefault="00271D0A" w:rsidP="00271D0A">
            <w:pPr>
              <w:jc w:val="center"/>
              <w:rPr>
                <w:color w:val="000000"/>
                <w:sz w:val="20"/>
                <w:szCs w:val="20"/>
              </w:rPr>
            </w:pPr>
          </w:p>
        </w:tc>
        <w:tc>
          <w:tcPr>
            <w:tcW w:w="1111" w:type="dxa"/>
            <w:tcBorders>
              <w:top w:val="nil"/>
              <w:left w:val="nil"/>
              <w:bottom w:val="single" w:sz="4" w:space="0" w:color="auto"/>
              <w:right w:val="single" w:sz="4" w:space="0" w:color="auto"/>
            </w:tcBorders>
            <w:shd w:val="clear" w:color="auto" w:fill="auto"/>
          </w:tcPr>
          <w:p w:rsidR="00271D0A" w:rsidRPr="00E8065F" w:rsidRDefault="00271D0A" w:rsidP="00271D0A">
            <w:pPr>
              <w:jc w:val="center"/>
              <w:rPr>
                <w:color w:val="000000"/>
                <w:sz w:val="20"/>
                <w:szCs w:val="20"/>
              </w:rPr>
            </w:pPr>
          </w:p>
        </w:tc>
        <w:tc>
          <w:tcPr>
            <w:tcW w:w="1944" w:type="dxa"/>
            <w:tcBorders>
              <w:top w:val="nil"/>
              <w:left w:val="single" w:sz="4" w:space="0" w:color="auto"/>
              <w:bottom w:val="single" w:sz="4" w:space="0" w:color="auto"/>
              <w:right w:val="single" w:sz="4" w:space="0" w:color="auto"/>
            </w:tcBorders>
            <w:shd w:val="clear" w:color="auto" w:fill="auto"/>
          </w:tcPr>
          <w:p w:rsidR="00271D0A" w:rsidRPr="00E8065F" w:rsidRDefault="00271D0A" w:rsidP="00271D0A">
            <w:pPr>
              <w:jc w:val="center"/>
              <w:rPr>
                <w:color w:val="000000"/>
                <w:sz w:val="20"/>
                <w:szCs w:val="20"/>
              </w:rPr>
            </w:pPr>
            <w:r w:rsidRPr="00E8065F">
              <w:rPr>
                <w:color w:val="000000"/>
                <w:sz w:val="20"/>
                <w:szCs w:val="20"/>
              </w:rPr>
              <w:t>Амбулаторное</w:t>
            </w:r>
          </w:p>
        </w:tc>
      </w:tr>
      <w:tr w:rsidR="00BA1432" w:rsidRPr="00091230" w:rsidTr="000546C2">
        <w:trPr>
          <w:trHeight w:val="20"/>
        </w:trPr>
        <w:tc>
          <w:tcPr>
            <w:tcW w:w="1555" w:type="dxa"/>
          </w:tcPr>
          <w:p w:rsidR="00DB578E" w:rsidRPr="00E8065F" w:rsidRDefault="00DB578E" w:rsidP="00BA1432">
            <w:pPr>
              <w:rPr>
                <w:color w:val="000000"/>
                <w:sz w:val="20"/>
                <w:szCs w:val="20"/>
              </w:rPr>
            </w:pPr>
          </w:p>
        </w:tc>
        <w:tc>
          <w:tcPr>
            <w:tcW w:w="3685" w:type="dxa"/>
            <w:shd w:val="clear" w:color="auto" w:fill="auto"/>
          </w:tcPr>
          <w:p w:rsidR="00DB578E" w:rsidRPr="00E8065F" w:rsidRDefault="00DB578E" w:rsidP="00DC0475">
            <w:pPr>
              <w:jc w:val="both"/>
              <w:rPr>
                <w:sz w:val="20"/>
                <w:szCs w:val="20"/>
              </w:rPr>
            </w:pPr>
          </w:p>
        </w:tc>
        <w:tc>
          <w:tcPr>
            <w:tcW w:w="1994" w:type="dxa"/>
            <w:shd w:val="clear" w:color="auto" w:fill="auto"/>
          </w:tcPr>
          <w:p w:rsidR="00DB578E" w:rsidRPr="00E8065F" w:rsidRDefault="00271D0A" w:rsidP="00BA1432">
            <w:pPr>
              <w:jc w:val="center"/>
              <w:rPr>
                <w:sz w:val="20"/>
                <w:szCs w:val="20"/>
              </w:rPr>
            </w:pPr>
            <w:r>
              <w:rPr>
                <w:color w:val="000000"/>
                <w:sz w:val="20"/>
                <w:szCs w:val="20"/>
              </w:rPr>
              <w:t>В</w:t>
            </w:r>
            <w:r w:rsidR="00715F7C" w:rsidRPr="00E8065F">
              <w:rPr>
                <w:color w:val="000000"/>
                <w:sz w:val="20"/>
                <w:szCs w:val="20"/>
              </w:rPr>
              <w:t>сего</w:t>
            </w:r>
          </w:p>
        </w:tc>
        <w:tc>
          <w:tcPr>
            <w:tcW w:w="1181" w:type="dxa"/>
            <w:shd w:val="clear" w:color="auto" w:fill="auto"/>
          </w:tcPr>
          <w:p w:rsidR="00DB578E" w:rsidRPr="00E8065F" w:rsidRDefault="00DB578E" w:rsidP="00BA1432">
            <w:pPr>
              <w:rPr>
                <w:sz w:val="20"/>
                <w:szCs w:val="20"/>
              </w:rPr>
            </w:pPr>
          </w:p>
        </w:tc>
        <w:tc>
          <w:tcPr>
            <w:tcW w:w="1181" w:type="dxa"/>
            <w:tcBorders>
              <w:top w:val="nil"/>
              <w:left w:val="single" w:sz="4" w:space="0" w:color="auto"/>
              <w:bottom w:val="single" w:sz="4" w:space="0" w:color="auto"/>
              <w:right w:val="single" w:sz="4" w:space="0" w:color="auto"/>
            </w:tcBorders>
            <w:shd w:val="clear" w:color="auto" w:fill="auto"/>
          </w:tcPr>
          <w:p w:rsidR="00DB578E" w:rsidRPr="00E8065F" w:rsidRDefault="00DB578E" w:rsidP="00BA1432">
            <w:pPr>
              <w:jc w:val="center"/>
              <w:rPr>
                <w:color w:val="000000"/>
                <w:sz w:val="20"/>
                <w:szCs w:val="20"/>
              </w:rPr>
            </w:pPr>
            <w:r w:rsidRPr="00E8065F">
              <w:rPr>
                <w:color w:val="000000"/>
                <w:sz w:val="20"/>
                <w:szCs w:val="20"/>
              </w:rPr>
              <w:t>786</w:t>
            </w:r>
          </w:p>
        </w:tc>
        <w:tc>
          <w:tcPr>
            <w:tcW w:w="1478" w:type="dxa"/>
            <w:tcBorders>
              <w:top w:val="nil"/>
              <w:left w:val="single" w:sz="4" w:space="0" w:color="auto"/>
              <w:bottom w:val="single" w:sz="4" w:space="0" w:color="auto"/>
              <w:right w:val="single" w:sz="4" w:space="0" w:color="auto"/>
            </w:tcBorders>
            <w:shd w:val="clear" w:color="auto" w:fill="auto"/>
          </w:tcPr>
          <w:p w:rsidR="00DB578E" w:rsidRPr="00E8065F" w:rsidRDefault="00DB578E" w:rsidP="00BA1432">
            <w:pPr>
              <w:jc w:val="center"/>
              <w:rPr>
                <w:color w:val="000000"/>
                <w:sz w:val="20"/>
                <w:szCs w:val="20"/>
              </w:rPr>
            </w:pPr>
            <w:r w:rsidRPr="00E8065F">
              <w:rPr>
                <w:color w:val="000000"/>
                <w:sz w:val="20"/>
                <w:szCs w:val="20"/>
              </w:rPr>
              <w:t>152,2</w:t>
            </w:r>
          </w:p>
        </w:tc>
        <w:tc>
          <w:tcPr>
            <w:tcW w:w="1111" w:type="dxa"/>
            <w:tcBorders>
              <w:top w:val="nil"/>
              <w:left w:val="nil"/>
              <w:bottom w:val="single" w:sz="4" w:space="0" w:color="auto"/>
              <w:right w:val="single" w:sz="4" w:space="0" w:color="auto"/>
            </w:tcBorders>
            <w:shd w:val="clear" w:color="auto" w:fill="auto"/>
          </w:tcPr>
          <w:p w:rsidR="00DB578E" w:rsidRPr="00E8065F" w:rsidRDefault="00DB578E" w:rsidP="00BA1432">
            <w:pPr>
              <w:jc w:val="center"/>
              <w:rPr>
                <w:color w:val="000000"/>
                <w:sz w:val="20"/>
                <w:szCs w:val="20"/>
              </w:rPr>
            </w:pPr>
            <w:r w:rsidRPr="00E8065F">
              <w:rPr>
                <w:color w:val="000000"/>
                <w:sz w:val="20"/>
                <w:szCs w:val="20"/>
              </w:rPr>
              <w:t>146</w:t>
            </w:r>
          </w:p>
        </w:tc>
        <w:tc>
          <w:tcPr>
            <w:tcW w:w="1944" w:type="dxa"/>
            <w:shd w:val="clear" w:color="auto" w:fill="auto"/>
          </w:tcPr>
          <w:p w:rsidR="00DB578E" w:rsidRPr="00E8065F" w:rsidRDefault="00DB578E" w:rsidP="00BA1432">
            <w:pPr>
              <w:rPr>
                <w:sz w:val="20"/>
                <w:szCs w:val="20"/>
              </w:rPr>
            </w:pPr>
          </w:p>
        </w:tc>
      </w:tr>
    </w:tbl>
    <w:p w:rsidR="006901EE" w:rsidRPr="00091230" w:rsidRDefault="006901EE" w:rsidP="006901EE">
      <w:pPr>
        <w:ind w:firstLine="709"/>
        <w:jc w:val="both"/>
        <w:rPr>
          <w:rFonts w:asciiTheme="minorHAnsi" w:eastAsia="Arial" w:hAnsiTheme="minorHAnsi" w:cstheme="minorHAnsi"/>
          <w:sz w:val="20"/>
          <w:szCs w:val="20"/>
        </w:rPr>
      </w:pPr>
    </w:p>
    <w:p w:rsidR="005E2B31" w:rsidRPr="001C6BA0" w:rsidRDefault="005E2B31" w:rsidP="00244365">
      <w:pPr>
        <w:ind w:firstLine="709"/>
        <w:jc w:val="both"/>
        <w:rPr>
          <w:rFonts w:eastAsia="Arial"/>
          <w:sz w:val="20"/>
          <w:szCs w:val="20"/>
        </w:rPr>
      </w:pPr>
    </w:p>
    <w:p w:rsidR="005E2B31" w:rsidRPr="00091230" w:rsidRDefault="005E2B31" w:rsidP="00244365">
      <w:pPr>
        <w:ind w:firstLine="709"/>
        <w:jc w:val="both"/>
        <w:rPr>
          <w:rFonts w:asciiTheme="minorHAnsi" w:eastAsia="Arial" w:hAnsiTheme="minorHAnsi" w:cstheme="minorHAnsi"/>
          <w:sz w:val="20"/>
          <w:szCs w:val="20"/>
        </w:rPr>
      </w:pPr>
    </w:p>
    <w:p w:rsidR="005E2B31" w:rsidRPr="00091230" w:rsidRDefault="005E2B31" w:rsidP="00244365">
      <w:pPr>
        <w:ind w:firstLine="709"/>
        <w:jc w:val="both"/>
        <w:rPr>
          <w:rFonts w:asciiTheme="minorHAnsi" w:eastAsia="Arial" w:hAnsiTheme="minorHAnsi" w:cstheme="minorHAnsi"/>
          <w:sz w:val="20"/>
          <w:szCs w:val="20"/>
        </w:rPr>
      </w:pPr>
    </w:p>
    <w:p w:rsidR="005E2B31" w:rsidRPr="00091230" w:rsidRDefault="005E2B31" w:rsidP="00244365">
      <w:pPr>
        <w:ind w:firstLine="709"/>
        <w:jc w:val="both"/>
        <w:rPr>
          <w:rFonts w:asciiTheme="minorHAnsi" w:eastAsia="Arial" w:hAnsiTheme="minorHAnsi" w:cstheme="minorHAnsi"/>
          <w:sz w:val="20"/>
          <w:szCs w:val="20"/>
        </w:rPr>
        <w:sectPr w:rsidR="005E2B31" w:rsidRPr="00091230" w:rsidSect="00BA1432">
          <w:headerReference w:type="default" r:id="rId42"/>
          <w:headerReference w:type="first" r:id="rId43"/>
          <w:footnotePr>
            <w:numFmt w:val="chicago"/>
          </w:footnotePr>
          <w:pgSz w:w="15840" w:h="12240" w:orient="landscape"/>
          <w:pgMar w:top="1134" w:right="567" w:bottom="1134" w:left="1134" w:header="720" w:footer="720" w:gutter="0"/>
          <w:cols w:space="720"/>
          <w:docGrid w:linePitch="326"/>
        </w:sectPr>
      </w:pPr>
    </w:p>
    <w:p w:rsidR="0055463C" w:rsidRDefault="003633F5" w:rsidP="00D06A5D">
      <w:pPr>
        <w:ind w:firstLine="709"/>
        <w:jc w:val="both"/>
        <w:rPr>
          <w:rFonts w:eastAsia="Arial"/>
          <w:sz w:val="28"/>
          <w:szCs w:val="28"/>
        </w:rPr>
      </w:pPr>
      <w:r w:rsidRPr="00091230">
        <w:rPr>
          <w:rFonts w:eastAsia="Arial"/>
          <w:sz w:val="28"/>
          <w:szCs w:val="28"/>
        </w:rPr>
        <w:t xml:space="preserve">В Республике Татарстан функционируют 62 первичных онкологических кабинета, 9 </w:t>
      </w:r>
      <w:r w:rsidR="005534FF">
        <w:rPr>
          <w:sz w:val="28"/>
          <w:szCs w:val="28"/>
        </w:rPr>
        <w:t>центров амбулаторной онкологической помощи</w:t>
      </w:r>
      <w:r w:rsidR="005534FF">
        <w:rPr>
          <w:rFonts w:eastAsia="Arial"/>
          <w:sz w:val="28"/>
          <w:szCs w:val="28"/>
        </w:rPr>
        <w:t xml:space="preserve"> </w:t>
      </w:r>
      <w:r w:rsidRPr="00091230">
        <w:rPr>
          <w:rFonts w:eastAsia="Arial"/>
          <w:sz w:val="28"/>
          <w:szCs w:val="28"/>
        </w:rPr>
        <w:t xml:space="preserve">на базах </w:t>
      </w:r>
      <w:r w:rsidR="00632BB7">
        <w:rPr>
          <w:rFonts w:eastAsia="Arial"/>
          <w:sz w:val="28"/>
          <w:szCs w:val="28"/>
        </w:rPr>
        <w:t>ЦРБ</w:t>
      </w:r>
      <w:r w:rsidRPr="00091230">
        <w:rPr>
          <w:rFonts w:eastAsia="Arial"/>
          <w:sz w:val="28"/>
          <w:szCs w:val="28"/>
        </w:rPr>
        <w:t xml:space="preserve"> и городских поликлиник. Карта региона приведена на рис</w:t>
      </w:r>
      <w:r w:rsidR="00632BB7">
        <w:rPr>
          <w:rFonts w:eastAsia="Arial"/>
          <w:sz w:val="28"/>
          <w:szCs w:val="28"/>
        </w:rPr>
        <w:t>.</w:t>
      </w:r>
      <w:r w:rsidR="00887958" w:rsidRPr="00091230">
        <w:rPr>
          <w:rFonts w:eastAsia="Arial"/>
          <w:sz w:val="28"/>
          <w:szCs w:val="28"/>
        </w:rPr>
        <w:t>2</w:t>
      </w:r>
      <w:r w:rsidR="00E221A9">
        <w:rPr>
          <w:rFonts w:eastAsia="Arial"/>
          <w:sz w:val="28"/>
          <w:szCs w:val="28"/>
        </w:rPr>
        <w:t>.</w:t>
      </w:r>
    </w:p>
    <w:p w:rsidR="0023593B" w:rsidRPr="0023593B" w:rsidRDefault="0023593B" w:rsidP="00D06A5D">
      <w:pPr>
        <w:ind w:firstLine="709"/>
        <w:jc w:val="both"/>
        <w:rPr>
          <w:rFonts w:eastAsia="Arial"/>
          <w:sz w:val="22"/>
          <w:szCs w:val="28"/>
        </w:rPr>
      </w:pPr>
    </w:p>
    <w:p w:rsidR="008C6268" w:rsidRPr="00091230" w:rsidRDefault="003633F5" w:rsidP="00775670">
      <w:pPr>
        <w:jc w:val="center"/>
        <w:rPr>
          <w:rFonts w:eastAsia="Arial"/>
          <w:sz w:val="28"/>
          <w:szCs w:val="28"/>
        </w:rPr>
      </w:pPr>
      <w:r w:rsidRPr="00091230">
        <w:rPr>
          <w:rFonts w:eastAsia="Arial"/>
          <w:noProof/>
          <w:szCs w:val="28"/>
        </w:rPr>
        <w:drawing>
          <wp:inline distT="0" distB="0" distL="0" distR="0" wp14:anchorId="4BE870D7" wp14:editId="2F3DCD43">
            <wp:extent cx="6700345" cy="4048125"/>
            <wp:effectExtent l="0" t="0" r="571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44"/>
                    <a:srcRect l="4500" t="3874" r="3853" b="3630"/>
                    <a:stretch/>
                  </pic:blipFill>
                  <pic:spPr bwMode="auto">
                    <a:xfrm>
                      <a:off x="0" y="0"/>
                      <a:ext cx="6718051" cy="4058823"/>
                    </a:xfrm>
                    <a:prstGeom prst="rect">
                      <a:avLst/>
                    </a:prstGeom>
                    <a:ln>
                      <a:noFill/>
                    </a:ln>
                    <a:extLst>
                      <a:ext uri="{53640926-AAD7-44D8-BBD7-CCE9431645EC}">
                        <a14:shadowObscured xmlns:a14="http://schemas.microsoft.com/office/drawing/2010/main"/>
                      </a:ext>
                    </a:extLst>
                  </pic:spPr>
                </pic:pic>
              </a:graphicData>
            </a:graphic>
          </wp:inline>
        </w:drawing>
      </w:r>
    </w:p>
    <w:p w:rsidR="003633F5" w:rsidRPr="00091230" w:rsidRDefault="003633F5" w:rsidP="003633F5">
      <w:pPr>
        <w:jc w:val="center"/>
        <w:rPr>
          <w:rFonts w:eastAsia="Arial"/>
          <w:sz w:val="28"/>
          <w:szCs w:val="28"/>
        </w:rPr>
      </w:pPr>
      <w:r w:rsidRPr="00091230">
        <w:rPr>
          <w:rFonts w:eastAsia="Arial"/>
          <w:szCs w:val="28"/>
        </w:rPr>
        <w:t>Рис.</w:t>
      </w:r>
      <w:r w:rsidR="00887958" w:rsidRPr="00091230">
        <w:rPr>
          <w:rFonts w:eastAsia="Arial"/>
          <w:szCs w:val="28"/>
        </w:rPr>
        <w:t>2</w:t>
      </w:r>
      <w:r w:rsidR="00E221A9">
        <w:rPr>
          <w:rFonts w:eastAsia="Arial"/>
          <w:szCs w:val="28"/>
        </w:rPr>
        <w:t>.</w:t>
      </w:r>
      <w:r w:rsidRPr="00091230">
        <w:rPr>
          <w:rFonts w:eastAsia="Arial"/>
          <w:szCs w:val="28"/>
        </w:rPr>
        <w:t xml:space="preserve"> Карта региона </w:t>
      </w:r>
    </w:p>
    <w:p w:rsidR="00BE2FC0" w:rsidRPr="00091230" w:rsidRDefault="00BE2FC0" w:rsidP="00102234">
      <w:pPr>
        <w:jc w:val="center"/>
        <w:rPr>
          <w:rFonts w:eastAsia="Arial"/>
          <w:sz w:val="28"/>
          <w:szCs w:val="28"/>
        </w:rPr>
      </w:pPr>
    </w:p>
    <w:p w:rsidR="00FC2481" w:rsidRPr="00091230" w:rsidRDefault="003633F5" w:rsidP="00DC3845">
      <w:pPr>
        <w:ind w:firstLine="709"/>
        <w:jc w:val="both"/>
        <w:rPr>
          <w:rFonts w:eastAsia="Arial"/>
          <w:sz w:val="28"/>
          <w:szCs w:val="28"/>
        </w:rPr>
      </w:pPr>
      <w:r w:rsidRPr="00516022">
        <w:rPr>
          <w:sz w:val="28"/>
          <w:szCs w:val="28"/>
        </w:rPr>
        <w:t xml:space="preserve">Информация об организации работы первичных онкологических кабинетов и </w:t>
      </w:r>
      <w:r w:rsidR="005534FF">
        <w:rPr>
          <w:sz w:val="28"/>
          <w:szCs w:val="28"/>
        </w:rPr>
        <w:t>центров амбулаторной онкологической помощи</w:t>
      </w:r>
      <w:r w:rsidRPr="00516022">
        <w:rPr>
          <w:sz w:val="28"/>
          <w:szCs w:val="28"/>
        </w:rPr>
        <w:t>, включая наименования и структуру медицинских организаций, год организации, количество врачей</w:t>
      </w:r>
      <w:r w:rsidR="00893F57">
        <w:rPr>
          <w:sz w:val="28"/>
          <w:szCs w:val="28"/>
        </w:rPr>
        <w:t>-</w:t>
      </w:r>
      <w:r w:rsidRPr="00516022">
        <w:rPr>
          <w:sz w:val="28"/>
          <w:szCs w:val="28"/>
        </w:rPr>
        <w:t xml:space="preserve">онкологов фактически и согласно штатному расписанию, численность обслуживаемого взрослого населения (в том числе городские и муниципальные районы), представлена в таблице </w:t>
      </w:r>
      <w:r w:rsidR="00642A12" w:rsidRPr="00516022">
        <w:rPr>
          <w:sz w:val="28"/>
          <w:szCs w:val="28"/>
        </w:rPr>
        <w:t>1</w:t>
      </w:r>
      <w:r w:rsidR="00632BB7" w:rsidRPr="00516022">
        <w:rPr>
          <w:sz w:val="28"/>
          <w:szCs w:val="28"/>
        </w:rPr>
        <w:t>8</w:t>
      </w:r>
      <w:r w:rsidR="00C4259A" w:rsidRPr="00516022">
        <w:rPr>
          <w:sz w:val="28"/>
          <w:szCs w:val="28"/>
        </w:rPr>
        <w:t>.</w:t>
      </w:r>
    </w:p>
    <w:p w:rsidR="00227A98" w:rsidRPr="00091230" w:rsidRDefault="00227A98" w:rsidP="00DC3845">
      <w:pPr>
        <w:jc w:val="both"/>
        <w:rPr>
          <w:rFonts w:eastAsia="Arial"/>
          <w:sz w:val="28"/>
          <w:szCs w:val="28"/>
        </w:rPr>
        <w:sectPr w:rsidR="00227A98" w:rsidRPr="00091230" w:rsidSect="009047BE">
          <w:headerReference w:type="default" r:id="rId45"/>
          <w:headerReference w:type="first" r:id="rId46"/>
          <w:footnotePr>
            <w:numRestart w:val="eachPage"/>
          </w:footnotePr>
          <w:pgSz w:w="12240" w:h="15840"/>
          <w:pgMar w:top="1134" w:right="567" w:bottom="1134" w:left="1134" w:header="720" w:footer="720" w:gutter="0"/>
          <w:cols w:space="720"/>
          <w:docGrid w:linePitch="326"/>
        </w:sectPr>
      </w:pPr>
    </w:p>
    <w:p w:rsidR="00DC476B" w:rsidRDefault="00DC476B" w:rsidP="005E362D">
      <w:pPr>
        <w:ind w:left="10620" w:firstLine="709"/>
        <w:jc w:val="right"/>
        <w:rPr>
          <w:rFonts w:eastAsia="Arial"/>
          <w:sz w:val="28"/>
          <w:szCs w:val="28"/>
        </w:rPr>
      </w:pPr>
      <w:r w:rsidRPr="00516022">
        <w:rPr>
          <w:rFonts w:eastAsia="Arial"/>
          <w:sz w:val="28"/>
          <w:szCs w:val="28"/>
        </w:rPr>
        <w:t xml:space="preserve">Таблица </w:t>
      </w:r>
      <w:r w:rsidR="00642A12" w:rsidRPr="00516022">
        <w:rPr>
          <w:rFonts w:eastAsia="Arial"/>
          <w:sz w:val="28"/>
          <w:szCs w:val="28"/>
        </w:rPr>
        <w:t>1</w:t>
      </w:r>
      <w:r w:rsidR="00632BB7" w:rsidRPr="00516022">
        <w:rPr>
          <w:rFonts w:eastAsia="Arial"/>
          <w:sz w:val="28"/>
          <w:szCs w:val="28"/>
        </w:rPr>
        <w:t>8</w:t>
      </w:r>
    </w:p>
    <w:p w:rsidR="005678FC" w:rsidRPr="00091230" w:rsidRDefault="005678FC" w:rsidP="00DC476B">
      <w:pPr>
        <w:ind w:left="10620" w:firstLine="709"/>
        <w:jc w:val="center"/>
        <w:rPr>
          <w:rFonts w:eastAsia="Arial"/>
          <w:sz w:val="28"/>
          <w:szCs w:val="28"/>
        </w:rPr>
      </w:pPr>
    </w:p>
    <w:p w:rsidR="00DC476B" w:rsidRPr="00091230" w:rsidRDefault="00DC476B" w:rsidP="00DC476B">
      <w:pPr>
        <w:jc w:val="center"/>
        <w:rPr>
          <w:rFonts w:eastAsia="Arial"/>
          <w:sz w:val="28"/>
          <w:szCs w:val="28"/>
        </w:rPr>
      </w:pPr>
      <w:r w:rsidRPr="00091230">
        <w:rPr>
          <w:rFonts w:eastAsia="Arial"/>
          <w:sz w:val="28"/>
          <w:szCs w:val="28"/>
        </w:rPr>
        <w:t>Информация об организации первичных онкологических кабинетов</w:t>
      </w:r>
      <w:r w:rsidR="009B7C74">
        <w:rPr>
          <w:rFonts w:eastAsia="Arial"/>
          <w:sz w:val="28"/>
          <w:szCs w:val="28"/>
        </w:rPr>
        <w:t>,</w:t>
      </w:r>
      <w:r w:rsidR="00893F57">
        <w:rPr>
          <w:rFonts w:eastAsia="Arial"/>
          <w:sz w:val="28"/>
          <w:szCs w:val="28"/>
        </w:rPr>
        <w:t xml:space="preserve"> </w:t>
      </w:r>
      <w:r w:rsidR="009B7C74">
        <w:rPr>
          <w:sz w:val="28"/>
          <w:szCs w:val="28"/>
        </w:rPr>
        <w:t>центров амбулаторной онкологической помощи</w:t>
      </w:r>
      <w:r w:rsidR="009B7C74">
        <w:rPr>
          <w:rFonts w:eastAsia="Arial"/>
          <w:sz w:val="28"/>
          <w:szCs w:val="28"/>
        </w:rPr>
        <w:t xml:space="preserve"> </w:t>
      </w:r>
      <w:r w:rsidRPr="00091230">
        <w:rPr>
          <w:rFonts w:eastAsia="Arial"/>
          <w:sz w:val="28"/>
          <w:szCs w:val="28"/>
        </w:rPr>
        <w:t>в Республике Татарстан</w:t>
      </w:r>
    </w:p>
    <w:p w:rsidR="00DC476B" w:rsidRPr="00091230" w:rsidRDefault="00DC476B" w:rsidP="00DC476B">
      <w:pPr>
        <w:jc w:val="center"/>
        <w:rPr>
          <w:rFonts w:eastAsia="Arial"/>
          <w:sz w:val="28"/>
          <w:szCs w:val="28"/>
        </w:rPr>
      </w:pPr>
    </w:p>
    <w:tbl>
      <w:tblPr>
        <w:tblW w:w="141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268"/>
        <w:gridCol w:w="2410"/>
        <w:gridCol w:w="1416"/>
        <w:gridCol w:w="983"/>
        <w:gridCol w:w="1156"/>
        <w:gridCol w:w="2114"/>
        <w:gridCol w:w="1464"/>
        <w:gridCol w:w="1662"/>
      </w:tblGrid>
      <w:tr w:rsidR="009C5812" w:rsidRPr="00091230" w:rsidTr="009C5812">
        <w:trPr>
          <w:trHeight w:val="20"/>
        </w:trPr>
        <w:tc>
          <w:tcPr>
            <w:tcW w:w="704" w:type="dxa"/>
            <w:vMerge w:val="restart"/>
            <w:tcBorders>
              <w:bottom w:val="nil"/>
            </w:tcBorders>
            <w:shd w:val="clear" w:color="auto" w:fill="auto"/>
          </w:tcPr>
          <w:p w:rsidR="009C5812" w:rsidRPr="00091230" w:rsidRDefault="009C5812" w:rsidP="009C5812">
            <w:pPr>
              <w:autoSpaceDE/>
              <w:autoSpaceDN/>
              <w:adjustRightInd/>
              <w:ind w:left="-57" w:right="-57"/>
              <w:jc w:val="center"/>
              <w:rPr>
                <w:rFonts w:eastAsia="Cambria"/>
                <w:sz w:val="22"/>
                <w:szCs w:val="22"/>
                <w:lang w:eastAsia="x-none"/>
              </w:rPr>
            </w:pPr>
            <w:r w:rsidRPr="00091230">
              <w:rPr>
                <w:rFonts w:eastAsia="Cambria"/>
                <w:sz w:val="22"/>
                <w:szCs w:val="22"/>
                <w:lang w:eastAsia="x-none"/>
              </w:rPr>
              <w:t>№</w:t>
            </w:r>
          </w:p>
          <w:p w:rsidR="009C5812" w:rsidRPr="00091230" w:rsidRDefault="009C5812" w:rsidP="009C5812">
            <w:pPr>
              <w:autoSpaceDE/>
              <w:autoSpaceDN/>
              <w:adjustRightInd/>
              <w:jc w:val="center"/>
              <w:rPr>
                <w:rFonts w:eastAsia="Cambria"/>
                <w:sz w:val="22"/>
                <w:szCs w:val="22"/>
                <w:lang w:eastAsia="x-none"/>
              </w:rPr>
            </w:pPr>
            <w:r w:rsidRPr="00091230">
              <w:rPr>
                <w:rFonts w:eastAsia="Cambria"/>
                <w:sz w:val="22"/>
                <w:szCs w:val="22"/>
                <w:lang w:eastAsia="x-none"/>
              </w:rPr>
              <w:t>п/п</w:t>
            </w:r>
          </w:p>
        </w:tc>
        <w:tc>
          <w:tcPr>
            <w:tcW w:w="2268" w:type="dxa"/>
            <w:vMerge w:val="restart"/>
            <w:tcBorders>
              <w:bottom w:val="nil"/>
            </w:tcBorders>
            <w:shd w:val="clear" w:color="auto" w:fill="auto"/>
          </w:tcPr>
          <w:p w:rsidR="009C5812" w:rsidRPr="00091230" w:rsidRDefault="009C5812" w:rsidP="009C5812">
            <w:pPr>
              <w:autoSpaceDE/>
              <w:autoSpaceDN/>
              <w:adjustRightInd/>
              <w:jc w:val="center"/>
              <w:rPr>
                <w:rFonts w:eastAsia="Cambria"/>
                <w:sz w:val="22"/>
                <w:szCs w:val="22"/>
                <w:lang w:eastAsia="x-none"/>
              </w:rPr>
            </w:pPr>
            <w:r w:rsidRPr="00091230">
              <w:rPr>
                <w:rFonts w:eastAsia="Cambria"/>
                <w:sz w:val="22"/>
                <w:szCs w:val="22"/>
                <w:lang w:eastAsia="x-none"/>
              </w:rPr>
              <w:t>Наименование муниципального образования</w:t>
            </w:r>
          </w:p>
        </w:tc>
        <w:tc>
          <w:tcPr>
            <w:tcW w:w="2410" w:type="dxa"/>
            <w:vMerge w:val="restart"/>
          </w:tcPr>
          <w:p w:rsidR="009C5812" w:rsidRPr="00091230" w:rsidRDefault="009C5812" w:rsidP="009C5812">
            <w:pPr>
              <w:autoSpaceDE/>
              <w:autoSpaceDN/>
              <w:adjustRightInd/>
              <w:ind w:left="-57" w:right="-57"/>
              <w:jc w:val="center"/>
              <w:rPr>
                <w:rFonts w:eastAsia="Cambria"/>
                <w:sz w:val="22"/>
                <w:szCs w:val="22"/>
                <w:lang w:eastAsia="x-none"/>
              </w:rPr>
            </w:pPr>
            <w:r>
              <w:rPr>
                <w:rFonts w:eastAsia="Cambria"/>
                <w:sz w:val="22"/>
                <w:szCs w:val="22"/>
                <w:lang w:eastAsia="x-none"/>
              </w:rPr>
              <w:t>Наименование м</w:t>
            </w:r>
            <w:r w:rsidRPr="00091230">
              <w:rPr>
                <w:rFonts w:eastAsia="Cambria"/>
                <w:sz w:val="22"/>
                <w:szCs w:val="22"/>
                <w:lang w:eastAsia="x-none"/>
              </w:rPr>
              <w:t>едицинск</w:t>
            </w:r>
            <w:r>
              <w:rPr>
                <w:rFonts w:eastAsia="Cambria"/>
                <w:sz w:val="22"/>
                <w:szCs w:val="22"/>
                <w:lang w:eastAsia="x-none"/>
              </w:rPr>
              <w:t>ой</w:t>
            </w:r>
            <w:r w:rsidRPr="00091230">
              <w:rPr>
                <w:rFonts w:eastAsia="Cambria"/>
                <w:sz w:val="22"/>
                <w:szCs w:val="22"/>
                <w:lang w:eastAsia="x-none"/>
              </w:rPr>
              <w:t xml:space="preserve"> организаци</w:t>
            </w:r>
            <w:r>
              <w:rPr>
                <w:rFonts w:eastAsia="Cambria"/>
                <w:sz w:val="22"/>
                <w:szCs w:val="22"/>
                <w:lang w:eastAsia="x-none"/>
              </w:rPr>
              <w:t>и</w:t>
            </w:r>
            <w:r w:rsidRPr="00091230">
              <w:rPr>
                <w:rFonts w:eastAsia="Cambria"/>
                <w:sz w:val="22"/>
                <w:szCs w:val="22"/>
                <w:lang w:eastAsia="x-none"/>
              </w:rPr>
              <w:t xml:space="preserve">, на базе которой организован </w:t>
            </w:r>
          </w:p>
          <w:p w:rsidR="009C5812" w:rsidRPr="00091230" w:rsidRDefault="009C5812" w:rsidP="009B7C74">
            <w:pPr>
              <w:autoSpaceDE/>
              <w:autoSpaceDN/>
              <w:adjustRightInd/>
              <w:ind w:left="-57" w:right="-57"/>
              <w:jc w:val="center"/>
              <w:rPr>
                <w:rFonts w:eastAsia="Cambria"/>
                <w:sz w:val="22"/>
                <w:szCs w:val="22"/>
                <w:lang w:eastAsia="x-none"/>
              </w:rPr>
            </w:pPr>
            <w:r>
              <w:rPr>
                <w:rFonts w:eastAsia="Arial"/>
                <w:sz w:val="22"/>
                <w:szCs w:val="22"/>
              </w:rPr>
              <w:t>первичный онкологический кабинет</w:t>
            </w:r>
            <w:r w:rsidR="009B7C74">
              <w:rPr>
                <w:rFonts w:eastAsia="Cambria"/>
                <w:sz w:val="22"/>
                <w:szCs w:val="22"/>
                <w:lang w:eastAsia="x-none"/>
              </w:rPr>
              <w:t xml:space="preserve">, </w:t>
            </w:r>
            <w:r w:rsidR="009B7C74">
              <w:rPr>
                <w:sz w:val="20"/>
                <w:szCs w:val="20"/>
              </w:rPr>
              <w:t>центр амбулаторной онкологической помощи</w:t>
            </w:r>
            <w:r w:rsidR="009B7C74">
              <w:rPr>
                <w:color w:val="000000"/>
                <w:sz w:val="20"/>
                <w:szCs w:val="20"/>
              </w:rPr>
              <w:t xml:space="preserve"> </w:t>
            </w:r>
          </w:p>
        </w:tc>
        <w:tc>
          <w:tcPr>
            <w:tcW w:w="1416" w:type="dxa"/>
            <w:vMerge w:val="restart"/>
            <w:tcBorders>
              <w:bottom w:val="nil"/>
            </w:tcBorders>
            <w:shd w:val="clear" w:color="auto" w:fill="auto"/>
          </w:tcPr>
          <w:p w:rsidR="009C5812" w:rsidRPr="00091230" w:rsidRDefault="009C5812" w:rsidP="009C5812">
            <w:pPr>
              <w:autoSpaceDE/>
              <w:autoSpaceDN/>
              <w:adjustRightInd/>
              <w:jc w:val="center"/>
              <w:rPr>
                <w:rFonts w:eastAsia="Cambria"/>
                <w:sz w:val="22"/>
                <w:szCs w:val="22"/>
                <w:lang w:eastAsia="x-none"/>
              </w:rPr>
            </w:pPr>
            <w:r w:rsidRPr="00091230">
              <w:rPr>
                <w:rFonts w:eastAsia="Cambria"/>
                <w:sz w:val="22"/>
                <w:szCs w:val="22"/>
                <w:lang w:eastAsia="x-none"/>
              </w:rPr>
              <w:t>Численность взрослого населения</w:t>
            </w:r>
          </w:p>
        </w:tc>
        <w:tc>
          <w:tcPr>
            <w:tcW w:w="2139" w:type="dxa"/>
            <w:gridSpan w:val="2"/>
            <w:tcBorders>
              <w:bottom w:val="single" w:sz="4" w:space="0" w:color="auto"/>
            </w:tcBorders>
            <w:shd w:val="clear" w:color="auto" w:fill="auto"/>
          </w:tcPr>
          <w:p w:rsidR="009C5812" w:rsidRPr="00091230" w:rsidRDefault="009C5812" w:rsidP="009C5812">
            <w:pPr>
              <w:autoSpaceDE/>
              <w:autoSpaceDN/>
              <w:adjustRightInd/>
              <w:ind w:left="-57" w:right="-57"/>
              <w:jc w:val="center"/>
              <w:rPr>
                <w:rFonts w:eastAsia="Cambria"/>
                <w:sz w:val="22"/>
                <w:szCs w:val="22"/>
                <w:lang w:eastAsia="x-none"/>
              </w:rPr>
            </w:pPr>
            <w:r w:rsidRPr="00091230">
              <w:rPr>
                <w:rFonts w:eastAsia="Cambria"/>
                <w:sz w:val="22"/>
                <w:szCs w:val="22"/>
                <w:lang w:eastAsia="x-none"/>
              </w:rPr>
              <w:t>Структурное подразделение</w:t>
            </w:r>
          </w:p>
        </w:tc>
        <w:tc>
          <w:tcPr>
            <w:tcW w:w="2114" w:type="dxa"/>
            <w:vMerge w:val="restart"/>
            <w:tcBorders>
              <w:bottom w:val="nil"/>
            </w:tcBorders>
            <w:shd w:val="clear" w:color="auto" w:fill="auto"/>
          </w:tcPr>
          <w:p w:rsidR="009C5812" w:rsidRPr="00091230" w:rsidRDefault="009C5812" w:rsidP="009B7C74">
            <w:pPr>
              <w:autoSpaceDE/>
              <w:autoSpaceDN/>
              <w:adjustRightInd/>
              <w:jc w:val="center"/>
              <w:rPr>
                <w:rFonts w:eastAsia="Cambria"/>
                <w:sz w:val="22"/>
                <w:szCs w:val="22"/>
                <w:lang w:eastAsia="x-none"/>
              </w:rPr>
            </w:pPr>
            <w:r w:rsidRPr="00091230">
              <w:rPr>
                <w:rFonts w:eastAsia="Cambria"/>
                <w:sz w:val="22"/>
                <w:szCs w:val="22"/>
                <w:lang w:eastAsia="x-none"/>
              </w:rPr>
              <w:t xml:space="preserve">Время доезда на общественном транспорте от самой отдаленной точки территории обслуживания до </w:t>
            </w:r>
            <w:r>
              <w:rPr>
                <w:rFonts w:eastAsia="Arial"/>
                <w:sz w:val="22"/>
                <w:szCs w:val="22"/>
              </w:rPr>
              <w:t>первичного онкологического кабинета</w:t>
            </w:r>
            <w:r w:rsidR="009B7C74">
              <w:rPr>
                <w:rFonts w:eastAsia="Arial"/>
                <w:sz w:val="22"/>
                <w:szCs w:val="22"/>
              </w:rPr>
              <w:t xml:space="preserve">, </w:t>
            </w:r>
            <w:r w:rsidR="009B7C74">
              <w:rPr>
                <w:sz w:val="20"/>
                <w:szCs w:val="20"/>
              </w:rPr>
              <w:t>центра амбулаторной онкологической помощи</w:t>
            </w:r>
            <w:r>
              <w:rPr>
                <w:rFonts w:eastAsia="Cambria"/>
                <w:sz w:val="22"/>
                <w:szCs w:val="22"/>
                <w:lang w:eastAsia="x-none"/>
              </w:rPr>
              <w:t xml:space="preserve">, </w:t>
            </w:r>
            <w:r w:rsidR="00973E7A">
              <w:rPr>
                <w:rFonts w:eastAsia="Cambria"/>
                <w:sz w:val="22"/>
                <w:szCs w:val="22"/>
                <w:lang w:eastAsia="x-none"/>
              </w:rPr>
              <w:t>часов</w:t>
            </w:r>
          </w:p>
        </w:tc>
        <w:tc>
          <w:tcPr>
            <w:tcW w:w="1464" w:type="dxa"/>
            <w:vMerge w:val="restart"/>
            <w:tcBorders>
              <w:bottom w:val="nil"/>
            </w:tcBorders>
            <w:shd w:val="clear" w:color="auto" w:fill="auto"/>
          </w:tcPr>
          <w:p w:rsidR="009C5812" w:rsidRPr="00091230" w:rsidRDefault="009C5812" w:rsidP="009C5812">
            <w:pPr>
              <w:autoSpaceDE/>
              <w:autoSpaceDN/>
              <w:adjustRightInd/>
              <w:ind w:left="-57" w:right="-57"/>
              <w:jc w:val="center"/>
              <w:rPr>
                <w:rFonts w:eastAsia="Cambria"/>
                <w:sz w:val="22"/>
                <w:szCs w:val="22"/>
                <w:lang w:eastAsia="x-none"/>
              </w:rPr>
            </w:pPr>
            <w:r w:rsidRPr="00091230">
              <w:rPr>
                <w:rFonts w:eastAsia="Cambria"/>
                <w:sz w:val="22"/>
                <w:szCs w:val="22"/>
                <w:lang w:eastAsia="x-none"/>
              </w:rPr>
              <w:t>Количество</w:t>
            </w:r>
          </w:p>
          <w:p w:rsidR="009C5812" w:rsidRPr="00091230" w:rsidRDefault="009C5812" w:rsidP="009C5812">
            <w:pPr>
              <w:autoSpaceDE/>
              <w:autoSpaceDN/>
              <w:adjustRightInd/>
              <w:ind w:left="-57" w:right="-57"/>
              <w:jc w:val="center"/>
              <w:rPr>
                <w:rFonts w:eastAsia="Cambria"/>
                <w:sz w:val="22"/>
                <w:szCs w:val="22"/>
                <w:lang w:eastAsia="x-none"/>
              </w:rPr>
            </w:pPr>
            <w:r w:rsidRPr="00091230">
              <w:rPr>
                <w:rFonts w:eastAsia="Cambria"/>
                <w:sz w:val="22"/>
                <w:szCs w:val="22"/>
                <w:lang w:eastAsia="x-none"/>
              </w:rPr>
              <w:t>врачей-</w:t>
            </w:r>
          </w:p>
          <w:p w:rsidR="009C5812" w:rsidRPr="00091230" w:rsidRDefault="009C5812" w:rsidP="009C5812">
            <w:pPr>
              <w:autoSpaceDE/>
              <w:autoSpaceDN/>
              <w:adjustRightInd/>
              <w:ind w:left="-57" w:right="-57"/>
              <w:jc w:val="center"/>
              <w:rPr>
                <w:rFonts w:eastAsia="Cambria"/>
                <w:sz w:val="22"/>
                <w:szCs w:val="22"/>
                <w:lang w:eastAsia="x-none"/>
              </w:rPr>
            </w:pPr>
            <w:r w:rsidRPr="00091230">
              <w:rPr>
                <w:rFonts w:eastAsia="Cambria"/>
                <w:sz w:val="22"/>
                <w:szCs w:val="22"/>
                <w:lang w:eastAsia="x-none"/>
              </w:rPr>
              <w:t>онкологов (фактически</w:t>
            </w:r>
            <w:r>
              <w:rPr>
                <w:rFonts w:eastAsia="Cambria"/>
                <w:sz w:val="22"/>
                <w:szCs w:val="22"/>
                <w:lang w:eastAsia="x-none"/>
              </w:rPr>
              <w:t> </w:t>
            </w:r>
            <w:r w:rsidRPr="00091230">
              <w:rPr>
                <w:rFonts w:eastAsia="Cambria"/>
                <w:sz w:val="22"/>
                <w:szCs w:val="22"/>
                <w:lang w:eastAsia="x-none"/>
              </w:rPr>
              <w:t>/</w:t>
            </w:r>
          </w:p>
          <w:p w:rsidR="009C5812" w:rsidRPr="00091230" w:rsidRDefault="009C5812" w:rsidP="009C5812">
            <w:pPr>
              <w:autoSpaceDE/>
              <w:autoSpaceDN/>
              <w:adjustRightInd/>
              <w:ind w:left="-57" w:right="-57"/>
              <w:jc w:val="center"/>
              <w:rPr>
                <w:rFonts w:eastAsia="Cambria"/>
                <w:sz w:val="22"/>
                <w:szCs w:val="22"/>
                <w:lang w:eastAsia="x-none"/>
              </w:rPr>
            </w:pPr>
            <w:r w:rsidRPr="00091230">
              <w:rPr>
                <w:rFonts w:eastAsia="Cambria"/>
                <w:sz w:val="22"/>
                <w:szCs w:val="22"/>
                <w:lang w:eastAsia="x-none"/>
              </w:rPr>
              <w:t>согласно</w:t>
            </w:r>
          </w:p>
          <w:p w:rsidR="009C5812" w:rsidRPr="00091230" w:rsidRDefault="009C5812" w:rsidP="009C5812">
            <w:pPr>
              <w:autoSpaceDE/>
              <w:autoSpaceDN/>
              <w:adjustRightInd/>
              <w:jc w:val="center"/>
              <w:rPr>
                <w:rFonts w:eastAsia="Cambria"/>
                <w:sz w:val="22"/>
                <w:szCs w:val="22"/>
                <w:lang w:eastAsia="x-none"/>
              </w:rPr>
            </w:pPr>
            <w:r w:rsidRPr="00091230">
              <w:rPr>
                <w:rFonts w:eastAsia="Cambria"/>
                <w:sz w:val="22"/>
                <w:szCs w:val="22"/>
                <w:lang w:eastAsia="x-none"/>
              </w:rPr>
              <w:t>штатному расписанию)</w:t>
            </w:r>
          </w:p>
        </w:tc>
        <w:tc>
          <w:tcPr>
            <w:tcW w:w="1662" w:type="dxa"/>
            <w:vMerge w:val="restart"/>
            <w:tcBorders>
              <w:bottom w:val="nil"/>
            </w:tcBorders>
            <w:shd w:val="clear" w:color="auto" w:fill="auto"/>
          </w:tcPr>
          <w:p w:rsidR="009C5812" w:rsidRPr="00091230" w:rsidRDefault="009C5812" w:rsidP="009C5812">
            <w:pPr>
              <w:autoSpaceDE/>
              <w:autoSpaceDN/>
              <w:adjustRightInd/>
              <w:ind w:left="-57" w:right="-57"/>
              <w:jc w:val="center"/>
              <w:rPr>
                <w:rFonts w:eastAsia="Cambria"/>
                <w:sz w:val="22"/>
                <w:szCs w:val="22"/>
                <w:lang w:eastAsia="x-none"/>
              </w:rPr>
            </w:pPr>
            <w:r w:rsidRPr="00091230">
              <w:rPr>
                <w:rFonts w:eastAsia="Cambria"/>
                <w:sz w:val="22"/>
                <w:szCs w:val="22"/>
                <w:lang w:eastAsia="x-none"/>
              </w:rPr>
              <w:t>Расстояние</w:t>
            </w:r>
          </w:p>
          <w:p w:rsidR="009C5812" w:rsidRPr="00091230" w:rsidRDefault="009C5812" w:rsidP="009C5812">
            <w:pPr>
              <w:autoSpaceDE/>
              <w:autoSpaceDN/>
              <w:adjustRightInd/>
              <w:ind w:left="-57" w:right="-57"/>
              <w:jc w:val="center"/>
              <w:rPr>
                <w:rFonts w:eastAsia="Cambria"/>
                <w:sz w:val="22"/>
                <w:szCs w:val="22"/>
                <w:lang w:eastAsia="x-none"/>
              </w:rPr>
            </w:pPr>
            <w:r w:rsidRPr="00091230">
              <w:rPr>
                <w:rFonts w:eastAsia="Cambria"/>
                <w:sz w:val="22"/>
                <w:szCs w:val="22"/>
                <w:lang w:eastAsia="x-none"/>
              </w:rPr>
              <w:t>до регионального онкологического</w:t>
            </w:r>
          </w:p>
          <w:p w:rsidR="009C5812" w:rsidRPr="00091230" w:rsidRDefault="009C5812" w:rsidP="009C5812">
            <w:pPr>
              <w:autoSpaceDE/>
              <w:autoSpaceDN/>
              <w:adjustRightInd/>
              <w:ind w:left="-57" w:right="-57"/>
              <w:jc w:val="center"/>
              <w:rPr>
                <w:rFonts w:eastAsia="Cambria"/>
                <w:sz w:val="22"/>
                <w:szCs w:val="22"/>
                <w:lang w:eastAsia="x-none"/>
              </w:rPr>
            </w:pPr>
            <w:r w:rsidRPr="00091230">
              <w:rPr>
                <w:rFonts w:eastAsia="Cambria"/>
                <w:sz w:val="22"/>
                <w:szCs w:val="22"/>
                <w:lang w:eastAsia="x-none"/>
              </w:rPr>
              <w:t>диспансера,</w:t>
            </w:r>
          </w:p>
          <w:p w:rsidR="009C5812" w:rsidRPr="00091230" w:rsidRDefault="009C5812" w:rsidP="009C5812">
            <w:pPr>
              <w:autoSpaceDE/>
              <w:autoSpaceDN/>
              <w:adjustRightInd/>
              <w:jc w:val="center"/>
              <w:rPr>
                <w:rFonts w:eastAsia="Cambria"/>
                <w:sz w:val="22"/>
                <w:szCs w:val="22"/>
                <w:lang w:eastAsia="x-none"/>
              </w:rPr>
            </w:pPr>
            <w:r w:rsidRPr="00091230">
              <w:rPr>
                <w:rFonts w:eastAsia="Cambria"/>
                <w:sz w:val="22"/>
                <w:szCs w:val="22"/>
                <w:lang w:eastAsia="x-none"/>
              </w:rPr>
              <w:t>км</w:t>
            </w:r>
          </w:p>
        </w:tc>
      </w:tr>
      <w:tr w:rsidR="009C5812" w:rsidRPr="00091230" w:rsidTr="009C5812">
        <w:trPr>
          <w:trHeight w:val="20"/>
        </w:trPr>
        <w:tc>
          <w:tcPr>
            <w:tcW w:w="704" w:type="dxa"/>
            <w:vMerge/>
            <w:tcBorders>
              <w:bottom w:val="nil"/>
            </w:tcBorders>
            <w:shd w:val="clear" w:color="auto" w:fill="auto"/>
          </w:tcPr>
          <w:p w:rsidR="009C5812" w:rsidRPr="00091230" w:rsidRDefault="009C5812" w:rsidP="009C5812">
            <w:pPr>
              <w:jc w:val="center"/>
              <w:rPr>
                <w:rFonts w:eastAsia="Cambria"/>
                <w:sz w:val="22"/>
                <w:szCs w:val="22"/>
              </w:rPr>
            </w:pPr>
          </w:p>
        </w:tc>
        <w:tc>
          <w:tcPr>
            <w:tcW w:w="2268" w:type="dxa"/>
            <w:vMerge/>
            <w:tcBorders>
              <w:bottom w:val="nil"/>
            </w:tcBorders>
            <w:shd w:val="clear" w:color="auto" w:fill="auto"/>
          </w:tcPr>
          <w:p w:rsidR="009C5812" w:rsidRPr="00091230" w:rsidRDefault="009C5812" w:rsidP="009C5812">
            <w:pPr>
              <w:jc w:val="center"/>
              <w:rPr>
                <w:rFonts w:eastAsia="Cambria"/>
                <w:sz w:val="22"/>
                <w:szCs w:val="22"/>
              </w:rPr>
            </w:pPr>
          </w:p>
        </w:tc>
        <w:tc>
          <w:tcPr>
            <w:tcW w:w="2410" w:type="dxa"/>
            <w:vMerge/>
            <w:tcBorders>
              <w:bottom w:val="nil"/>
            </w:tcBorders>
          </w:tcPr>
          <w:p w:rsidR="009C5812" w:rsidRPr="00091230" w:rsidRDefault="009C5812" w:rsidP="009C5812">
            <w:pPr>
              <w:jc w:val="center"/>
              <w:rPr>
                <w:rFonts w:eastAsia="Cambria"/>
                <w:sz w:val="22"/>
                <w:szCs w:val="22"/>
              </w:rPr>
            </w:pPr>
          </w:p>
        </w:tc>
        <w:tc>
          <w:tcPr>
            <w:tcW w:w="1416" w:type="dxa"/>
            <w:vMerge/>
            <w:tcBorders>
              <w:bottom w:val="nil"/>
            </w:tcBorders>
            <w:shd w:val="clear" w:color="auto" w:fill="auto"/>
          </w:tcPr>
          <w:p w:rsidR="009C5812" w:rsidRPr="00091230" w:rsidRDefault="009C5812" w:rsidP="009C5812">
            <w:pPr>
              <w:jc w:val="center"/>
              <w:rPr>
                <w:rFonts w:eastAsia="Cambria"/>
                <w:sz w:val="22"/>
                <w:szCs w:val="22"/>
              </w:rPr>
            </w:pPr>
          </w:p>
        </w:tc>
        <w:tc>
          <w:tcPr>
            <w:tcW w:w="983" w:type="dxa"/>
            <w:tcBorders>
              <w:bottom w:val="nil"/>
            </w:tcBorders>
            <w:shd w:val="clear" w:color="auto" w:fill="auto"/>
          </w:tcPr>
          <w:p w:rsidR="009C5812" w:rsidRPr="00091230" w:rsidRDefault="009C5812" w:rsidP="009C5812">
            <w:pPr>
              <w:autoSpaceDE/>
              <w:autoSpaceDN/>
              <w:adjustRightInd/>
              <w:ind w:left="-57" w:right="-57"/>
              <w:jc w:val="center"/>
              <w:rPr>
                <w:rFonts w:eastAsia="Cambria"/>
                <w:sz w:val="22"/>
                <w:szCs w:val="22"/>
                <w:lang w:eastAsia="x-none"/>
              </w:rPr>
            </w:pPr>
            <w:r w:rsidRPr="00632BB7">
              <w:rPr>
                <w:rFonts w:eastAsia="Arial"/>
                <w:sz w:val="22"/>
                <w:szCs w:val="22"/>
              </w:rPr>
              <w:t>первичны</w:t>
            </w:r>
            <w:r>
              <w:rPr>
                <w:rFonts w:eastAsia="Arial"/>
                <w:sz w:val="22"/>
                <w:szCs w:val="22"/>
              </w:rPr>
              <w:t>й</w:t>
            </w:r>
            <w:r w:rsidRPr="00632BB7">
              <w:rPr>
                <w:rFonts w:eastAsia="Arial"/>
                <w:sz w:val="22"/>
                <w:szCs w:val="22"/>
              </w:rPr>
              <w:t xml:space="preserve"> онкологически</w:t>
            </w:r>
            <w:r>
              <w:rPr>
                <w:rFonts w:eastAsia="Arial"/>
                <w:sz w:val="22"/>
                <w:szCs w:val="22"/>
              </w:rPr>
              <w:t>й</w:t>
            </w:r>
            <w:r w:rsidRPr="00632BB7">
              <w:rPr>
                <w:rFonts w:eastAsia="Arial"/>
                <w:sz w:val="22"/>
                <w:szCs w:val="22"/>
              </w:rPr>
              <w:t xml:space="preserve"> кабинет</w:t>
            </w:r>
            <w:r w:rsidR="007775F5">
              <w:rPr>
                <w:rFonts w:eastAsia="Arial"/>
                <w:sz w:val="22"/>
                <w:szCs w:val="22"/>
              </w:rPr>
              <w:t>, единиц</w:t>
            </w:r>
          </w:p>
        </w:tc>
        <w:tc>
          <w:tcPr>
            <w:tcW w:w="1156" w:type="dxa"/>
            <w:tcBorders>
              <w:bottom w:val="nil"/>
            </w:tcBorders>
          </w:tcPr>
          <w:p w:rsidR="009C5812" w:rsidRPr="00091230" w:rsidRDefault="009B7C74" w:rsidP="009C5812">
            <w:pPr>
              <w:autoSpaceDE/>
              <w:autoSpaceDN/>
              <w:adjustRightInd/>
              <w:ind w:left="-57" w:right="-57"/>
              <w:jc w:val="center"/>
              <w:rPr>
                <w:rFonts w:eastAsia="Cambria"/>
                <w:sz w:val="22"/>
                <w:szCs w:val="22"/>
                <w:lang w:eastAsia="x-none"/>
              </w:rPr>
            </w:pPr>
            <w:r>
              <w:rPr>
                <w:sz w:val="20"/>
                <w:szCs w:val="20"/>
              </w:rPr>
              <w:t>центре амбулаторной онкологической помощи</w:t>
            </w:r>
            <w:r w:rsidR="009C5812">
              <w:rPr>
                <w:rFonts w:eastAsia="Cambria"/>
                <w:sz w:val="22"/>
                <w:szCs w:val="22"/>
                <w:lang w:eastAsia="x-none"/>
              </w:rPr>
              <w:t>,</w:t>
            </w:r>
          </w:p>
          <w:p w:rsidR="009C5812" w:rsidRPr="00091230" w:rsidRDefault="009C5812" w:rsidP="009C5812">
            <w:pPr>
              <w:autoSpaceDE/>
              <w:autoSpaceDN/>
              <w:adjustRightInd/>
              <w:ind w:left="-57" w:right="-57"/>
              <w:jc w:val="center"/>
              <w:rPr>
                <w:rFonts w:eastAsia="Cambria"/>
                <w:sz w:val="22"/>
                <w:szCs w:val="22"/>
                <w:lang w:eastAsia="x-none"/>
              </w:rPr>
            </w:pPr>
            <w:r>
              <w:rPr>
                <w:rFonts w:eastAsia="Cambria"/>
                <w:sz w:val="22"/>
                <w:szCs w:val="22"/>
                <w:lang w:eastAsia="x-none"/>
              </w:rPr>
              <w:t>год открытия</w:t>
            </w:r>
          </w:p>
        </w:tc>
        <w:tc>
          <w:tcPr>
            <w:tcW w:w="2114" w:type="dxa"/>
            <w:vMerge/>
            <w:tcBorders>
              <w:bottom w:val="nil"/>
            </w:tcBorders>
            <w:shd w:val="clear" w:color="auto" w:fill="auto"/>
          </w:tcPr>
          <w:p w:rsidR="009C5812" w:rsidRPr="00091230" w:rsidRDefault="009C5812" w:rsidP="009C5812">
            <w:pPr>
              <w:jc w:val="center"/>
              <w:rPr>
                <w:sz w:val="22"/>
                <w:szCs w:val="22"/>
              </w:rPr>
            </w:pPr>
          </w:p>
        </w:tc>
        <w:tc>
          <w:tcPr>
            <w:tcW w:w="1464" w:type="dxa"/>
            <w:vMerge/>
            <w:tcBorders>
              <w:bottom w:val="nil"/>
            </w:tcBorders>
            <w:shd w:val="clear" w:color="auto" w:fill="auto"/>
          </w:tcPr>
          <w:p w:rsidR="009C5812" w:rsidRPr="00091230" w:rsidRDefault="009C5812" w:rsidP="009C5812">
            <w:pPr>
              <w:jc w:val="center"/>
              <w:rPr>
                <w:rFonts w:eastAsia="Cambria"/>
                <w:sz w:val="22"/>
                <w:szCs w:val="22"/>
              </w:rPr>
            </w:pPr>
          </w:p>
        </w:tc>
        <w:tc>
          <w:tcPr>
            <w:tcW w:w="1662" w:type="dxa"/>
            <w:vMerge/>
            <w:tcBorders>
              <w:bottom w:val="nil"/>
            </w:tcBorders>
            <w:shd w:val="clear" w:color="auto" w:fill="auto"/>
          </w:tcPr>
          <w:p w:rsidR="009C5812" w:rsidRPr="00091230" w:rsidRDefault="009C5812" w:rsidP="009C5812">
            <w:pPr>
              <w:jc w:val="center"/>
              <w:rPr>
                <w:rFonts w:eastAsia="Cambria"/>
                <w:sz w:val="22"/>
                <w:szCs w:val="22"/>
              </w:rPr>
            </w:pPr>
          </w:p>
        </w:tc>
      </w:tr>
    </w:tbl>
    <w:p w:rsidR="003D4D26" w:rsidRPr="003D4D26" w:rsidRDefault="003D4D26">
      <w:pPr>
        <w:rPr>
          <w:sz w:val="2"/>
          <w:szCs w:val="2"/>
        </w:rPr>
      </w:pPr>
    </w:p>
    <w:tbl>
      <w:tblPr>
        <w:tblW w:w="141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268"/>
        <w:gridCol w:w="2410"/>
        <w:gridCol w:w="1416"/>
        <w:gridCol w:w="983"/>
        <w:gridCol w:w="1156"/>
        <w:gridCol w:w="2114"/>
        <w:gridCol w:w="1464"/>
        <w:gridCol w:w="1662"/>
      </w:tblGrid>
      <w:tr w:rsidR="009C5812" w:rsidRPr="00091230" w:rsidTr="009C5812">
        <w:trPr>
          <w:trHeight w:val="20"/>
          <w:tblHeader/>
        </w:trPr>
        <w:tc>
          <w:tcPr>
            <w:tcW w:w="704" w:type="dxa"/>
            <w:shd w:val="clear" w:color="auto" w:fill="auto"/>
          </w:tcPr>
          <w:p w:rsidR="009C5812" w:rsidRPr="00091230" w:rsidRDefault="009C5812" w:rsidP="009C5812">
            <w:pPr>
              <w:jc w:val="center"/>
              <w:rPr>
                <w:rFonts w:eastAsia="Cambria"/>
                <w:sz w:val="22"/>
                <w:szCs w:val="22"/>
              </w:rPr>
            </w:pPr>
            <w:r w:rsidRPr="00091230">
              <w:rPr>
                <w:rFonts w:eastAsia="Cambria"/>
                <w:sz w:val="22"/>
                <w:szCs w:val="22"/>
              </w:rPr>
              <w:t>1</w:t>
            </w:r>
          </w:p>
        </w:tc>
        <w:tc>
          <w:tcPr>
            <w:tcW w:w="2268" w:type="dxa"/>
            <w:shd w:val="clear" w:color="auto" w:fill="auto"/>
          </w:tcPr>
          <w:p w:rsidR="009C5812" w:rsidRPr="00091230" w:rsidRDefault="009C5812" w:rsidP="009C5812">
            <w:pPr>
              <w:jc w:val="center"/>
              <w:rPr>
                <w:rFonts w:eastAsia="Cambria"/>
                <w:sz w:val="22"/>
                <w:szCs w:val="22"/>
              </w:rPr>
            </w:pPr>
            <w:r w:rsidRPr="00091230">
              <w:rPr>
                <w:rFonts w:eastAsia="Cambria"/>
                <w:sz w:val="22"/>
                <w:szCs w:val="22"/>
              </w:rPr>
              <w:t>2</w:t>
            </w:r>
          </w:p>
        </w:tc>
        <w:tc>
          <w:tcPr>
            <w:tcW w:w="2410" w:type="dxa"/>
          </w:tcPr>
          <w:p w:rsidR="009C5812" w:rsidRPr="00091230" w:rsidRDefault="009C5812" w:rsidP="009C5812">
            <w:pPr>
              <w:jc w:val="center"/>
              <w:rPr>
                <w:rFonts w:eastAsia="Cambria"/>
                <w:sz w:val="22"/>
                <w:szCs w:val="22"/>
              </w:rPr>
            </w:pPr>
            <w:r w:rsidRPr="00091230">
              <w:rPr>
                <w:rFonts w:eastAsia="Cambria"/>
                <w:sz w:val="22"/>
                <w:szCs w:val="22"/>
              </w:rPr>
              <w:t>3</w:t>
            </w:r>
          </w:p>
        </w:tc>
        <w:tc>
          <w:tcPr>
            <w:tcW w:w="1416" w:type="dxa"/>
            <w:shd w:val="clear" w:color="auto" w:fill="auto"/>
          </w:tcPr>
          <w:p w:rsidR="009C5812" w:rsidRPr="00091230" w:rsidRDefault="009C5812" w:rsidP="009C5812">
            <w:pPr>
              <w:jc w:val="center"/>
              <w:rPr>
                <w:rFonts w:eastAsia="Cambria"/>
                <w:sz w:val="22"/>
                <w:szCs w:val="22"/>
              </w:rPr>
            </w:pPr>
            <w:r w:rsidRPr="00091230">
              <w:rPr>
                <w:rFonts w:eastAsia="Cambria"/>
                <w:sz w:val="22"/>
                <w:szCs w:val="22"/>
              </w:rPr>
              <w:t>4</w:t>
            </w:r>
          </w:p>
        </w:tc>
        <w:tc>
          <w:tcPr>
            <w:tcW w:w="983" w:type="dxa"/>
            <w:shd w:val="clear" w:color="auto" w:fill="auto"/>
          </w:tcPr>
          <w:p w:rsidR="009C5812" w:rsidRPr="00091230" w:rsidRDefault="009C5812" w:rsidP="009C5812">
            <w:pPr>
              <w:jc w:val="center"/>
              <w:rPr>
                <w:rFonts w:eastAsia="Cambria"/>
                <w:sz w:val="22"/>
                <w:szCs w:val="22"/>
              </w:rPr>
            </w:pPr>
            <w:r>
              <w:rPr>
                <w:rFonts w:eastAsia="Cambria"/>
                <w:sz w:val="22"/>
                <w:szCs w:val="22"/>
              </w:rPr>
              <w:t>5</w:t>
            </w:r>
          </w:p>
        </w:tc>
        <w:tc>
          <w:tcPr>
            <w:tcW w:w="1156" w:type="dxa"/>
          </w:tcPr>
          <w:p w:rsidR="009C5812" w:rsidRPr="00091230" w:rsidRDefault="009C5812" w:rsidP="009C5812">
            <w:pPr>
              <w:jc w:val="center"/>
              <w:rPr>
                <w:sz w:val="22"/>
                <w:szCs w:val="22"/>
              </w:rPr>
            </w:pPr>
            <w:r w:rsidRPr="00091230">
              <w:rPr>
                <w:sz w:val="22"/>
                <w:szCs w:val="22"/>
              </w:rPr>
              <w:t>6</w:t>
            </w:r>
          </w:p>
        </w:tc>
        <w:tc>
          <w:tcPr>
            <w:tcW w:w="2114" w:type="dxa"/>
            <w:shd w:val="clear" w:color="auto" w:fill="auto"/>
          </w:tcPr>
          <w:p w:rsidR="009C5812" w:rsidRPr="00091230" w:rsidRDefault="009C5812" w:rsidP="009C5812">
            <w:pPr>
              <w:jc w:val="center"/>
              <w:rPr>
                <w:rFonts w:eastAsia="Cambria"/>
                <w:sz w:val="22"/>
                <w:szCs w:val="22"/>
              </w:rPr>
            </w:pPr>
            <w:r w:rsidRPr="00091230">
              <w:rPr>
                <w:rFonts w:eastAsia="Cambria"/>
                <w:sz w:val="22"/>
                <w:szCs w:val="22"/>
              </w:rPr>
              <w:t>7</w:t>
            </w:r>
          </w:p>
        </w:tc>
        <w:tc>
          <w:tcPr>
            <w:tcW w:w="1464" w:type="dxa"/>
            <w:shd w:val="clear" w:color="auto" w:fill="auto"/>
          </w:tcPr>
          <w:p w:rsidR="009C5812" w:rsidRPr="00091230" w:rsidRDefault="009C5812" w:rsidP="009C5812">
            <w:pPr>
              <w:jc w:val="center"/>
              <w:rPr>
                <w:rFonts w:eastAsia="Cambria"/>
                <w:sz w:val="22"/>
                <w:szCs w:val="22"/>
              </w:rPr>
            </w:pPr>
            <w:r w:rsidRPr="00091230">
              <w:rPr>
                <w:rFonts w:eastAsia="Cambria"/>
                <w:sz w:val="22"/>
                <w:szCs w:val="22"/>
              </w:rPr>
              <w:t>8</w:t>
            </w:r>
          </w:p>
        </w:tc>
        <w:tc>
          <w:tcPr>
            <w:tcW w:w="1662" w:type="dxa"/>
            <w:shd w:val="clear" w:color="auto" w:fill="auto"/>
          </w:tcPr>
          <w:p w:rsidR="009C5812" w:rsidRPr="00091230" w:rsidRDefault="009C5812" w:rsidP="009C5812">
            <w:pPr>
              <w:jc w:val="center"/>
              <w:rPr>
                <w:rFonts w:eastAsia="Cambria"/>
                <w:sz w:val="22"/>
                <w:szCs w:val="22"/>
              </w:rPr>
            </w:pPr>
            <w:r>
              <w:rPr>
                <w:rFonts w:eastAsia="Cambria"/>
                <w:sz w:val="22"/>
                <w:szCs w:val="22"/>
              </w:rPr>
              <w:t>9</w:t>
            </w:r>
          </w:p>
        </w:tc>
      </w:tr>
      <w:tr w:rsidR="009C5812" w:rsidRPr="00091230" w:rsidTr="009C5812">
        <w:trPr>
          <w:trHeight w:val="20"/>
        </w:trPr>
        <w:tc>
          <w:tcPr>
            <w:tcW w:w="704" w:type="dxa"/>
            <w:shd w:val="clear" w:color="auto" w:fill="auto"/>
          </w:tcPr>
          <w:p w:rsidR="009C5812" w:rsidRPr="00091230" w:rsidRDefault="009C5812" w:rsidP="009C5812">
            <w:pPr>
              <w:jc w:val="center"/>
              <w:rPr>
                <w:rFonts w:eastAsia="Cambria"/>
                <w:sz w:val="22"/>
                <w:szCs w:val="22"/>
              </w:rPr>
            </w:pPr>
            <w:r w:rsidRPr="00091230">
              <w:rPr>
                <w:rFonts w:eastAsia="Cambria"/>
                <w:sz w:val="22"/>
                <w:szCs w:val="22"/>
              </w:rPr>
              <w:t>1.</w:t>
            </w:r>
          </w:p>
        </w:tc>
        <w:tc>
          <w:tcPr>
            <w:tcW w:w="2268" w:type="dxa"/>
            <w:shd w:val="clear" w:color="auto" w:fill="auto"/>
          </w:tcPr>
          <w:p w:rsidR="009C5812" w:rsidRPr="00091230" w:rsidRDefault="009C5812" w:rsidP="009C5812">
            <w:pPr>
              <w:ind w:right="30"/>
              <w:jc w:val="both"/>
              <w:rPr>
                <w:rFonts w:eastAsia="Cambria"/>
                <w:sz w:val="22"/>
                <w:szCs w:val="22"/>
              </w:rPr>
            </w:pPr>
            <w:r w:rsidRPr="00091230">
              <w:rPr>
                <w:rFonts w:eastAsia="Cambria"/>
                <w:sz w:val="22"/>
                <w:szCs w:val="22"/>
              </w:rPr>
              <w:t>Агрызский муниципальный район</w:t>
            </w:r>
          </w:p>
        </w:tc>
        <w:tc>
          <w:tcPr>
            <w:tcW w:w="2410" w:type="dxa"/>
          </w:tcPr>
          <w:p w:rsidR="009C5812" w:rsidRPr="00091230" w:rsidRDefault="009C5812" w:rsidP="009C5812">
            <w:pPr>
              <w:jc w:val="both"/>
              <w:rPr>
                <w:sz w:val="22"/>
                <w:szCs w:val="22"/>
              </w:rPr>
            </w:pPr>
            <w:r w:rsidRPr="00091230">
              <w:rPr>
                <w:sz w:val="22"/>
                <w:szCs w:val="22"/>
              </w:rPr>
              <w:t xml:space="preserve">ГАУЗ </w:t>
            </w:r>
            <w:r>
              <w:rPr>
                <w:sz w:val="22"/>
                <w:szCs w:val="22"/>
              </w:rPr>
              <w:t>«</w:t>
            </w:r>
            <w:r w:rsidRPr="00091230">
              <w:rPr>
                <w:sz w:val="22"/>
                <w:szCs w:val="22"/>
              </w:rPr>
              <w:t>Агрызская ЦРБ</w:t>
            </w:r>
            <w:r>
              <w:rPr>
                <w:sz w:val="22"/>
                <w:szCs w:val="22"/>
              </w:rPr>
              <w:t>»</w:t>
            </w:r>
          </w:p>
        </w:tc>
        <w:tc>
          <w:tcPr>
            <w:tcW w:w="1416" w:type="dxa"/>
            <w:shd w:val="clear" w:color="auto" w:fill="auto"/>
          </w:tcPr>
          <w:p w:rsidR="009C5812" w:rsidRPr="00091230" w:rsidRDefault="009C5812" w:rsidP="009C5812">
            <w:pPr>
              <w:jc w:val="center"/>
              <w:rPr>
                <w:rFonts w:eastAsia="Cambria"/>
                <w:sz w:val="22"/>
                <w:szCs w:val="22"/>
              </w:rPr>
            </w:pPr>
            <w:r w:rsidRPr="00091230">
              <w:rPr>
                <w:rFonts w:eastAsia="Cambria"/>
                <w:sz w:val="22"/>
                <w:szCs w:val="22"/>
              </w:rPr>
              <w:t>27 207</w:t>
            </w:r>
          </w:p>
        </w:tc>
        <w:tc>
          <w:tcPr>
            <w:tcW w:w="983" w:type="dxa"/>
            <w:shd w:val="clear" w:color="auto" w:fill="auto"/>
          </w:tcPr>
          <w:p w:rsidR="009C5812" w:rsidRPr="00091230" w:rsidRDefault="009C5812" w:rsidP="009C5812">
            <w:pPr>
              <w:jc w:val="center"/>
              <w:rPr>
                <w:rFonts w:eastAsia="Cambria"/>
                <w:sz w:val="22"/>
                <w:szCs w:val="22"/>
              </w:rPr>
            </w:pPr>
            <w:r w:rsidRPr="00091230">
              <w:rPr>
                <w:rFonts w:eastAsia="Cambria"/>
                <w:sz w:val="22"/>
                <w:szCs w:val="22"/>
              </w:rPr>
              <w:t>1</w:t>
            </w:r>
          </w:p>
        </w:tc>
        <w:tc>
          <w:tcPr>
            <w:tcW w:w="1156" w:type="dxa"/>
          </w:tcPr>
          <w:p w:rsidR="009C5812" w:rsidRPr="00091230" w:rsidRDefault="009C5812" w:rsidP="009C5812">
            <w:pPr>
              <w:jc w:val="center"/>
              <w:rPr>
                <w:sz w:val="22"/>
                <w:szCs w:val="22"/>
              </w:rPr>
            </w:pPr>
          </w:p>
        </w:tc>
        <w:tc>
          <w:tcPr>
            <w:tcW w:w="2114" w:type="dxa"/>
            <w:shd w:val="clear" w:color="auto" w:fill="auto"/>
          </w:tcPr>
          <w:p w:rsidR="009C5812" w:rsidRPr="00091230" w:rsidRDefault="009C5812" w:rsidP="009C5812">
            <w:pPr>
              <w:jc w:val="center"/>
              <w:rPr>
                <w:sz w:val="22"/>
                <w:szCs w:val="22"/>
              </w:rPr>
            </w:pPr>
            <w:r w:rsidRPr="00091230">
              <w:rPr>
                <w:rFonts w:eastAsia="Cambria"/>
                <w:sz w:val="22"/>
                <w:szCs w:val="22"/>
              </w:rPr>
              <w:t>1</w:t>
            </w:r>
          </w:p>
        </w:tc>
        <w:tc>
          <w:tcPr>
            <w:tcW w:w="1464" w:type="dxa"/>
            <w:shd w:val="clear" w:color="auto" w:fill="auto"/>
          </w:tcPr>
          <w:p w:rsidR="009C5812" w:rsidRPr="00091230" w:rsidRDefault="009C5812" w:rsidP="009C5812">
            <w:pPr>
              <w:jc w:val="center"/>
              <w:rPr>
                <w:sz w:val="22"/>
                <w:szCs w:val="22"/>
              </w:rPr>
            </w:pPr>
            <w:r w:rsidRPr="00091230">
              <w:rPr>
                <w:rFonts w:eastAsia="Cambria"/>
                <w:sz w:val="22"/>
                <w:szCs w:val="22"/>
              </w:rPr>
              <w:t>1/1</w:t>
            </w:r>
          </w:p>
        </w:tc>
        <w:tc>
          <w:tcPr>
            <w:tcW w:w="1662" w:type="dxa"/>
            <w:shd w:val="clear" w:color="auto" w:fill="auto"/>
          </w:tcPr>
          <w:p w:rsidR="009C5812" w:rsidRPr="00091230" w:rsidRDefault="009C5812" w:rsidP="009C5812">
            <w:pPr>
              <w:jc w:val="center"/>
              <w:rPr>
                <w:rFonts w:eastAsia="Cambria"/>
                <w:sz w:val="22"/>
                <w:szCs w:val="22"/>
              </w:rPr>
            </w:pPr>
            <w:r w:rsidRPr="00091230">
              <w:rPr>
                <w:rFonts w:eastAsia="Cambria"/>
                <w:sz w:val="22"/>
                <w:szCs w:val="22"/>
              </w:rPr>
              <w:t>320</w:t>
            </w:r>
          </w:p>
        </w:tc>
      </w:tr>
      <w:tr w:rsidR="009C5812" w:rsidRPr="00091230" w:rsidTr="009C5812">
        <w:trPr>
          <w:trHeight w:val="20"/>
        </w:trPr>
        <w:tc>
          <w:tcPr>
            <w:tcW w:w="704" w:type="dxa"/>
            <w:shd w:val="clear" w:color="auto" w:fill="auto"/>
          </w:tcPr>
          <w:p w:rsidR="009C5812" w:rsidRPr="00091230" w:rsidRDefault="009C5812" w:rsidP="009C5812">
            <w:pPr>
              <w:jc w:val="center"/>
              <w:rPr>
                <w:rFonts w:eastAsia="Cambria"/>
                <w:sz w:val="22"/>
                <w:szCs w:val="22"/>
              </w:rPr>
            </w:pPr>
            <w:r w:rsidRPr="00091230">
              <w:rPr>
                <w:rFonts w:eastAsia="Cambria"/>
                <w:sz w:val="22"/>
                <w:szCs w:val="22"/>
              </w:rPr>
              <w:t>2.</w:t>
            </w:r>
          </w:p>
        </w:tc>
        <w:tc>
          <w:tcPr>
            <w:tcW w:w="2268" w:type="dxa"/>
            <w:shd w:val="clear" w:color="auto" w:fill="auto"/>
          </w:tcPr>
          <w:p w:rsidR="009C5812" w:rsidRPr="00091230" w:rsidRDefault="009C5812" w:rsidP="009C5812">
            <w:pPr>
              <w:ind w:right="30"/>
              <w:jc w:val="both"/>
              <w:rPr>
                <w:rFonts w:eastAsia="Cambria"/>
                <w:sz w:val="22"/>
                <w:szCs w:val="22"/>
              </w:rPr>
            </w:pPr>
            <w:r w:rsidRPr="00091230">
              <w:rPr>
                <w:rFonts w:eastAsia="Cambria"/>
                <w:sz w:val="22"/>
                <w:szCs w:val="22"/>
              </w:rPr>
              <w:t>Азнакаевский муниципальный район</w:t>
            </w:r>
          </w:p>
        </w:tc>
        <w:tc>
          <w:tcPr>
            <w:tcW w:w="2410" w:type="dxa"/>
          </w:tcPr>
          <w:p w:rsidR="009C5812" w:rsidRPr="00091230" w:rsidRDefault="009C5812" w:rsidP="009C5812">
            <w:pPr>
              <w:jc w:val="both"/>
              <w:rPr>
                <w:rFonts w:eastAsia="Cambria"/>
                <w:sz w:val="22"/>
                <w:szCs w:val="22"/>
              </w:rPr>
            </w:pPr>
            <w:r w:rsidRPr="00091230">
              <w:rPr>
                <w:sz w:val="22"/>
                <w:szCs w:val="22"/>
              </w:rPr>
              <w:t xml:space="preserve">ГАУЗ </w:t>
            </w:r>
            <w:r>
              <w:rPr>
                <w:sz w:val="22"/>
                <w:szCs w:val="22"/>
              </w:rPr>
              <w:t>«</w:t>
            </w:r>
            <w:r w:rsidRPr="00091230">
              <w:rPr>
                <w:sz w:val="22"/>
                <w:szCs w:val="22"/>
              </w:rPr>
              <w:t>Азнакаевская ЦРБ</w:t>
            </w:r>
            <w:r>
              <w:rPr>
                <w:sz w:val="22"/>
                <w:szCs w:val="22"/>
              </w:rPr>
              <w:t>»</w:t>
            </w:r>
          </w:p>
        </w:tc>
        <w:tc>
          <w:tcPr>
            <w:tcW w:w="1416" w:type="dxa"/>
            <w:shd w:val="clear" w:color="auto" w:fill="auto"/>
          </w:tcPr>
          <w:p w:rsidR="009C5812" w:rsidRPr="00091230" w:rsidRDefault="009C5812" w:rsidP="009C5812">
            <w:pPr>
              <w:jc w:val="center"/>
              <w:rPr>
                <w:rFonts w:eastAsia="Cambria"/>
                <w:sz w:val="22"/>
                <w:szCs w:val="22"/>
              </w:rPr>
            </w:pPr>
            <w:r w:rsidRPr="00091230">
              <w:rPr>
                <w:rFonts w:eastAsia="Cambria"/>
                <w:sz w:val="22"/>
                <w:szCs w:val="22"/>
              </w:rPr>
              <w:t>47 526</w:t>
            </w:r>
          </w:p>
        </w:tc>
        <w:tc>
          <w:tcPr>
            <w:tcW w:w="983" w:type="dxa"/>
            <w:shd w:val="clear" w:color="auto" w:fill="auto"/>
          </w:tcPr>
          <w:p w:rsidR="009C5812" w:rsidRPr="00091230" w:rsidRDefault="009C5812" w:rsidP="009C5812">
            <w:pPr>
              <w:jc w:val="center"/>
              <w:rPr>
                <w:rFonts w:eastAsia="Cambria"/>
                <w:sz w:val="22"/>
                <w:szCs w:val="22"/>
              </w:rPr>
            </w:pPr>
            <w:r w:rsidRPr="00091230">
              <w:rPr>
                <w:rFonts w:eastAsia="Cambria"/>
                <w:sz w:val="22"/>
                <w:szCs w:val="22"/>
              </w:rPr>
              <w:t>1</w:t>
            </w:r>
          </w:p>
        </w:tc>
        <w:tc>
          <w:tcPr>
            <w:tcW w:w="1156" w:type="dxa"/>
          </w:tcPr>
          <w:p w:rsidR="009C5812" w:rsidRPr="00091230" w:rsidRDefault="009C5812" w:rsidP="009C5812">
            <w:pPr>
              <w:jc w:val="center"/>
              <w:rPr>
                <w:sz w:val="22"/>
                <w:szCs w:val="22"/>
              </w:rPr>
            </w:pPr>
          </w:p>
        </w:tc>
        <w:tc>
          <w:tcPr>
            <w:tcW w:w="2114" w:type="dxa"/>
            <w:shd w:val="clear" w:color="auto" w:fill="auto"/>
          </w:tcPr>
          <w:p w:rsidR="009C5812" w:rsidRPr="00091230" w:rsidRDefault="009C5812" w:rsidP="009C5812">
            <w:pPr>
              <w:jc w:val="center"/>
              <w:rPr>
                <w:rFonts w:eastAsia="Cambria"/>
                <w:sz w:val="22"/>
                <w:szCs w:val="22"/>
              </w:rPr>
            </w:pPr>
            <w:r w:rsidRPr="00091230">
              <w:rPr>
                <w:rFonts w:eastAsia="Cambria"/>
                <w:sz w:val="22"/>
                <w:szCs w:val="22"/>
              </w:rPr>
              <w:t>1</w:t>
            </w:r>
          </w:p>
        </w:tc>
        <w:tc>
          <w:tcPr>
            <w:tcW w:w="1464" w:type="dxa"/>
            <w:shd w:val="clear" w:color="auto" w:fill="auto"/>
          </w:tcPr>
          <w:p w:rsidR="009C5812" w:rsidRPr="00091230" w:rsidRDefault="009C5812" w:rsidP="009C5812">
            <w:pPr>
              <w:jc w:val="center"/>
              <w:rPr>
                <w:rFonts w:eastAsia="Cambria"/>
                <w:sz w:val="22"/>
                <w:szCs w:val="22"/>
              </w:rPr>
            </w:pPr>
            <w:r w:rsidRPr="00091230">
              <w:rPr>
                <w:rFonts w:eastAsia="Cambria"/>
                <w:sz w:val="22"/>
                <w:szCs w:val="22"/>
              </w:rPr>
              <w:t>1/1</w:t>
            </w:r>
          </w:p>
        </w:tc>
        <w:tc>
          <w:tcPr>
            <w:tcW w:w="1662" w:type="dxa"/>
            <w:shd w:val="clear" w:color="auto" w:fill="auto"/>
          </w:tcPr>
          <w:p w:rsidR="009C5812" w:rsidRPr="00091230" w:rsidRDefault="009C5812" w:rsidP="009C5812">
            <w:pPr>
              <w:jc w:val="center"/>
              <w:rPr>
                <w:rFonts w:eastAsia="Cambria"/>
                <w:sz w:val="22"/>
                <w:szCs w:val="22"/>
              </w:rPr>
            </w:pPr>
            <w:r w:rsidRPr="00091230">
              <w:rPr>
                <w:rFonts w:eastAsia="Cambria"/>
                <w:sz w:val="22"/>
                <w:szCs w:val="22"/>
              </w:rPr>
              <w:t>360</w:t>
            </w:r>
          </w:p>
        </w:tc>
      </w:tr>
      <w:tr w:rsidR="009C5812" w:rsidRPr="00091230" w:rsidTr="009C5812">
        <w:trPr>
          <w:trHeight w:val="20"/>
        </w:trPr>
        <w:tc>
          <w:tcPr>
            <w:tcW w:w="704" w:type="dxa"/>
            <w:shd w:val="clear" w:color="auto" w:fill="auto"/>
          </w:tcPr>
          <w:p w:rsidR="009C5812" w:rsidRPr="00091230" w:rsidRDefault="009C5812" w:rsidP="009C5812">
            <w:pPr>
              <w:jc w:val="center"/>
              <w:rPr>
                <w:rFonts w:eastAsia="Cambria"/>
                <w:sz w:val="22"/>
                <w:szCs w:val="22"/>
              </w:rPr>
            </w:pPr>
            <w:r w:rsidRPr="00091230">
              <w:rPr>
                <w:rFonts w:eastAsia="Cambria"/>
                <w:sz w:val="22"/>
                <w:szCs w:val="22"/>
              </w:rPr>
              <w:t>3.</w:t>
            </w:r>
          </w:p>
        </w:tc>
        <w:tc>
          <w:tcPr>
            <w:tcW w:w="2268" w:type="dxa"/>
            <w:shd w:val="clear" w:color="auto" w:fill="auto"/>
          </w:tcPr>
          <w:p w:rsidR="009C5812" w:rsidRPr="00091230" w:rsidRDefault="009C5812" w:rsidP="009C5812">
            <w:pPr>
              <w:ind w:right="30"/>
              <w:jc w:val="both"/>
              <w:rPr>
                <w:rFonts w:eastAsia="Cambria"/>
                <w:sz w:val="22"/>
                <w:szCs w:val="22"/>
              </w:rPr>
            </w:pPr>
            <w:r w:rsidRPr="00091230">
              <w:rPr>
                <w:rFonts w:eastAsia="Cambria"/>
                <w:sz w:val="22"/>
                <w:szCs w:val="22"/>
              </w:rPr>
              <w:t>Аксубаевский муниципальный район</w:t>
            </w:r>
          </w:p>
        </w:tc>
        <w:tc>
          <w:tcPr>
            <w:tcW w:w="2410" w:type="dxa"/>
          </w:tcPr>
          <w:p w:rsidR="009C5812" w:rsidRPr="00091230" w:rsidRDefault="009C5812" w:rsidP="009C5812">
            <w:pPr>
              <w:jc w:val="both"/>
              <w:rPr>
                <w:rFonts w:eastAsia="Cambria"/>
                <w:sz w:val="22"/>
                <w:szCs w:val="22"/>
              </w:rPr>
            </w:pPr>
            <w:r w:rsidRPr="00091230">
              <w:rPr>
                <w:sz w:val="22"/>
                <w:szCs w:val="22"/>
              </w:rPr>
              <w:t xml:space="preserve">ГАУЗ </w:t>
            </w:r>
            <w:r>
              <w:rPr>
                <w:sz w:val="22"/>
                <w:szCs w:val="22"/>
              </w:rPr>
              <w:t>«</w:t>
            </w:r>
            <w:r w:rsidRPr="00091230">
              <w:rPr>
                <w:sz w:val="22"/>
                <w:szCs w:val="22"/>
              </w:rPr>
              <w:t>Аксубаевская ЦРБ</w:t>
            </w:r>
            <w:r>
              <w:rPr>
                <w:sz w:val="22"/>
                <w:szCs w:val="22"/>
              </w:rPr>
              <w:t>»</w:t>
            </w:r>
          </w:p>
        </w:tc>
        <w:tc>
          <w:tcPr>
            <w:tcW w:w="1416" w:type="dxa"/>
            <w:shd w:val="clear" w:color="auto" w:fill="auto"/>
          </w:tcPr>
          <w:p w:rsidR="009C5812" w:rsidRPr="00091230" w:rsidRDefault="009C5812" w:rsidP="009C5812">
            <w:pPr>
              <w:jc w:val="center"/>
              <w:rPr>
                <w:rFonts w:eastAsia="Cambria"/>
                <w:sz w:val="22"/>
                <w:szCs w:val="22"/>
              </w:rPr>
            </w:pPr>
            <w:r w:rsidRPr="00091230">
              <w:rPr>
                <w:rFonts w:eastAsia="Cambria"/>
                <w:sz w:val="22"/>
                <w:szCs w:val="22"/>
              </w:rPr>
              <w:t>22 409</w:t>
            </w:r>
          </w:p>
        </w:tc>
        <w:tc>
          <w:tcPr>
            <w:tcW w:w="983" w:type="dxa"/>
            <w:shd w:val="clear" w:color="auto" w:fill="auto"/>
          </w:tcPr>
          <w:p w:rsidR="009C5812" w:rsidRPr="00091230" w:rsidRDefault="009C5812" w:rsidP="009C5812">
            <w:pPr>
              <w:jc w:val="center"/>
              <w:rPr>
                <w:rFonts w:eastAsia="Cambria"/>
                <w:sz w:val="22"/>
                <w:szCs w:val="22"/>
              </w:rPr>
            </w:pPr>
            <w:r w:rsidRPr="00091230">
              <w:rPr>
                <w:rFonts w:eastAsia="Cambria"/>
                <w:sz w:val="22"/>
                <w:szCs w:val="22"/>
              </w:rPr>
              <w:t>1</w:t>
            </w:r>
          </w:p>
        </w:tc>
        <w:tc>
          <w:tcPr>
            <w:tcW w:w="1156" w:type="dxa"/>
          </w:tcPr>
          <w:p w:rsidR="009C5812" w:rsidRPr="00091230" w:rsidRDefault="009C5812" w:rsidP="009C5812">
            <w:pPr>
              <w:jc w:val="center"/>
              <w:rPr>
                <w:sz w:val="22"/>
                <w:szCs w:val="22"/>
              </w:rPr>
            </w:pPr>
          </w:p>
        </w:tc>
        <w:tc>
          <w:tcPr>
            <w:tcW w:w="2114" w:type="dxa"/>
            <w:shd w:val="clear" w:color="auto" w:fill="auto"/>
          </w:tcPr>
          <w:p w:rsidR="009C5812" w:rsidRPr="00091230" w:rsidRDefault="009C5812" w:rsidP="009C5812">
            <w:pPr>
              <w:jc w:val="center"/>
              <w:rPr>
                <w:rFonts w:eastAsia="Cambria"/>
                <w:sz w:val="22"/>
                <w:szCs w:val="22"/>
              </w:rPr>
            </w:pPr>
            <w:r w:rsidRPr="00091230">
              <w:rPr>
                <w:rFonts w:eastAsia="Cambria"/>
                <w:sz w:val="22"/>
                <w:szCs w:val="22"/>
              </w:rPr>
              <w:t>1</w:t>
            </w:r>
          </w:p>
        </w:tc>
        <w:tc>
          <w:tcPr>
            <w:tcW w:w="1464" w:type="dxa"/>
            <w:shd w:val="clear" w:color="auto" w:fill="auto"/>
          </w:tcPr>
          <w:p w:rsidR="009C5812" w:rsidRPr="00091230" w:rsidRDefault="009C5812" w:rsidP="009C5812">
            <w:pPr>
              <w:jc w:val="center"/>
              <w:rPr>
                <w:rFonts w:eastAsia="Cambria"/>
                <w:sz w:val="22"/>
                <w:szCs w:val="22"/>
              </w:rPr>
            </w:pPr>
            <w:r w:rsidRPr="00091230">
              <w:rPr>
                <w:rFonts w:eastAsia="Cambria"/>
                <w:sz w:val="22"/>
                <w:szCs w:val="22"/>
              </w:rPr>
              <w:t>1/0,5</w:t>
            </w:r>
          </w:p>
        </w:tc>
        <w:tc>
          <w:tcPr>
            <w:tcW w:w="1662" w:type="dxa"/>
            <w:shd w:val="clear" w:color="auto" w:fill="auto"/>
          </w:tcPr>
          <w:p w:rsidR="009C5812" w:rsidRPr="00091230" w:rsidRDefault="009C5812" w:rsidP="009C5812">
            <w:pPr>
              <w:jc w:val="center"/>
              <w:rPr>
                <w:rFonts w:eastAsia="Cambria"/>
                <w:sz w:val="22"/>
                <w:szCs w:val="22"/>
              </w:rPr>
            </w:pPr>
            <w:r w:rsidRPr="00091230">
              <w:rPr>
                <w:rFonts w:eastAsia="Cambria"/>
                <w:sz w:val="22"/>
                <w:szCs w:val="22"/>
              </w:rPr>
              <w:t>200</w:t>
            </w:r>
          </w:p>
        </w:tc>
      </w:tr>
      <w:tr w:rsidR="009C5812" w:rsidRPr="00091230" w:rsidTr="009C5812">
        <w:trPr>
          <w:trHeight w:val="20"/>
        </w:trPr>
        <w:tc>
          <w:tcPr>
            <w:tcW w:w="704" w:type="dxa"/>
            <w:shd w:val="clear" w:color="auto" w:fill="auto"/>
          </w:tcPr>
          <w:p w:rsidR="009C5812" w:rsidRPr="00091230" w:rsidRDefault="009C5812" w:rsidP="009C5812">
            <w:pPr>
              <w:jc w:val="center"/>
              <w:rPr>
                <w:rFonts w:eastAsia="Cambria"/>
                <w:sz w:val="22"/>
                <w:szCs w:val="22"/>
              </w:rPr>
            </w:pPr>
            <w:r w:rsidRPr="00091230">
              <w:rPr>
                <w:rFonts w:eastAsia="Cambria"/>
                <w:sz w:val="22"/>
                <w:szCs w:val="22"/>
              </w:rPr>
              <w:t>4.</w:t>
            </w:r>
          </w:p>
        </w:tc>
        <w:tc>
          <w:tcPr>
            <w:tcW w:w="2268" w:type="dxa"/>
            <w:shd w:val="clear" w:color="auto" w:fill="auto"/>
          </w:tcPr>
          <w:p w:rsidR="009C5812" w:rsidRPr="00091230" w:rsidRDefault="009C5812" w:rsidP="009C5812">
            <w:pPr>
              <w:ind w:right="30"/>
              <w:jc w:val="both"/>
              <w:rPr>
                <w:rFonts w:eastAsia="Cambria"/>
                <w:sz w:val="22"/>
                <w:szCs w:val="22"/>
              </w:rPr>
            </w:pPr>
            <w:r w:rsidRPr="00091230">
              <w:rPr>
                <w:rFonts w:eastAsia="Cambria"/>
                <w:sz w:val="22"/>
                <w:szCs w:val="22"/>
              </w:rPr>
              <w:t>Актанышский муниципальный район</w:t>
            </w:r>
          </w:p>
        </w:tc>
        <w:tc>
          <w:tcPr>
            <w:tcW w:w="2410" w:type="dxa"/>
          </w:tcPr>
          <w:p w:rsidR="009C5812" w:rsidRPr="00091230" w:rsidRDefault="009C5812" w:rsidP="009C5812">
            <w:pPr>
              <w:jc w:val="both"/>
              <w:rPr>
                <w:rFonts w:eastAsia="Cambria"/>
                <w:sz w:val="22"/>
                <w:szCs w:val="22"/>
              </w:rPr>
            </w:pPr>
            <w:r w:rsidRPr="00091230">
              <w:rPr>
                <w:sz w:val="22"/>
                <w:szCs w:val="22"/>
              </w:rPr>
              <w:t xml:space="preserve">ГАУЗ </w:t>
            </w:r>
            <w:r>
              <w:rPr>
                <w:sz w:val="22"/>
                <w:szCs w:val="22"/>
              </w:rPr>
              <w:t>«</w:t>
            </w:r>
            <w:r w:rsidRPr="00091230">
              <w:rPr>
                <w:sz w:val="22"/>
                <w:szCs w:val="22"/>
              </w:rPr>
              <w:t>Актанышская ЦРБ</w:t>
            </w:r>
            <w:r>
              <w:rPr>
                <w:sz w:val="22"/>
                <w:szCs w:val="22"/>
              </w:rPr>
              <w:t>»</w:t>
            </w:r>
          </w:p>
        </w:tc>
        <w:tc>
          <w:tcPr>
            <w:tcW w:w="1416" w:type="dxa"/>
            <w:shd w:val="clear" w:color="auto" w:fill="auto"/>
          </w:tcPr>
          <w:p w:rsidR="009C5812" w:rsidRPr="00091230" w:rsidRDefault="009C5812" w:rsidP="009C5812">
            <w:pPr>
              <w:jc w:val="center"/>
              <w:rPr>
                <w:rFonts w:eastAsia="Cambria"/>
                <w:sz w:val="22"/>
                <w:szCs w:val="22"/>
              </w:rPr>
            </w:pPr>
            <w:r w:rsidRPr="00091230">
              <w:rPr>
                <w:rFonts w:eastAsia="Cambria"/>
                <w:sz w:val="22"/>
                <w:szCs w:val="22"/>
              </w:rPr>
              <w:t>23 504</w:t>
            </w:r>
          </w:p>
        </w:tc>
        <w:tc>
          <w:tcPr>
            <w:tcW w:w="983" w:type="dxa"/>
            <w:shd w:val="clear" w:color="auto" w:fill="auto"/>
          </w:tcPr>
          <w:p w:rsidR="009C5812" w:rsidRPr="00091230" w:rsidRDefault="009C5812" w:rsidP="009C5812">
            <w:pPr>
              <w:jc w:val="center"/>
              <w:rPr>
                <w:rFonts w:eastAsia="Cambria"/>
                <w:sz w:val="22"/>
                <w:szCs w:val="22"/>
              </w:rPr>
            </w:pPr>
            <w:r w:rsidRPr="00091230">
              <w:rPr>
                <w:rFonts w:eastAsia="Cambria"/>
                <w:sz w:val="22"/>
                <w:szCs w:val="22"/>
              </w:rPr>
              <w:t>1</w:t>
            </w:r>
          </w:p>
        </w:tc>
        <w:tc>
          <w:tcPr>
            <w:tcW w:w="1156" w:type="dxa"/>
          </w:tcPr>
          <w:p w:rsidR="009C5812" w:rsidRPr="00091230" w:rsidRDefault="009C5812" w:rsidP="009C5812">
            <w:pPr>
              <w:jc w:val="center"/>
              <w:rPr>
                <w:sz w:val="22"/>
                <w:szCs w:val="22"/>
              </w:rPr>
            </w:pPr>
          </w:p>
        </w:tc>
        <w:tc>
          <w:tcPr>
            <w:tcW w:w="2114" w:type="dxa"/>
            <w:shd w:val="clear" w:color="auto" w:fill="auto"/>
          </w:tcPr>
          <w:p w:rsidR="009C5812" w:rsidRPr="00091230" w:rsidRDefault="009C5812" w:rsidP="009C5812">
            <w:pPr>
              <w:jc w:val="center"/>
              <w:rPr>
                <w:rFonts w:eastAsia="Cambria"/>
                <w:sz w:val="22"/>
                <w:szCs w:val="22"/>
              </w:rPr>
            </w:pPr>
            <w:r w:rsidRPr="00091230">
              <w:rPr>
                <w:rFonts w:eastAsia="Cambria"/>
                <w:sz w:val="22"/>
                <w:szCs w:val="22"/>
              </w:rPr>
              <w:t>1</w:t>
            </w:r>
          </w:p>
        </w:tc>
        <w:tc>
          <w:tcPr>
            <w:tcW w:w="1464" w:type="dxa"/>
            <w:shd w:val="clear" w:color="auto" w:fill="auto"/>
          </w:tcPr>
          <w:p w:rsidR="009C5812" w:rsidRPr="00091230" w:rsidRDefault="009C5812" w:rsidP="009C5812">
            <w:pPr>
              <w:jc w:val="center"/>
              <w:rPr>
                <w:rFonts w:eastAsia="Cambria"/>
                <w:sz w:val="22"/>
                <w:szCs w:val="22"/>
              </w:rPr>
            </w:pPr>
            <w:r w:rsidRPr="00091230">
              <w:rPr>
                <w:rFonts w:eastAsia="Cambria"/>
                <w:sz w:val="22"/>
                <w:szCs w:val="22"/>
              </w:rPr>
              <w:t>1/0,5</w:t>
            </w:r>
          </w:p>
        </w:tc>
        <w:tc>
          <w:tcPr>
            <w:tcW w:w="1662" w:type="dxa"/>
            <w:shd w:val="clear" w:color="auto" w:fill="auto"/>
          </w:tcPr>
          <w:p w:rsidR="009C5812" w:rsidRPr="00091230" w:rsidRDefault="009C5812" w:rsidP="009C5812">
            <w:pPr>
              <w:jc w:val="center"/>
              <w:rPr>
                <w:rFonts w:eastAsia="Cambria"/>
                <w:sz w:val="22"/>
                <w:szCs w:val="22"/>
              </w:rPr>
            </w:pPr>
            <w:r w:rsidRPr="00091230">
              <w:rPr>
                <w:rFonts w:eastAsia="Cambria"/>
                <w:sz w:val="22"/>
                <w:szCs w:val="22"/>
              </w:rPr>
              <w:t>370</w:t>
            </w:r>
          </w:p>
        </w:tc>
      </w:tr>
      <w:tr w:rsidR="009C5812" w:rsidRPr="00091230" w:rsidTr="009C5812">
        <w:trPr>
          <w:trHeight w:val="20"/>
        </w:trPr>
        <w:tc>
          <w:tcPr>
            <w:tcW w:w="704" w:type="dxa"/>
            <w:shd w:val="clear" w:color="auto" w:fill="auto"/>
          </w:tcPr>
          <w:p w:rsidR="009C5812" w:rsidRPr="00091230" w:rsidRDefault="009C5812" w:rsidP="009C5812">
            <w:pPr>
              <w:jc w:val="center"/>
              <w:rPr>
                <w:rFonts w:eastAsia="Cambria"/>
                <w:sz w:val="22"/>
                <w:szCs w:val="22"/>
              </w:rPr>
            </w:pPr>
            <w:r w:rsidRPr="00091230">
              <w:rPr>
                <w:rFonts w:eastAsia="Cambria"/>
                <w:sz w:val="22"/>
                <w:szCs w:val="22"/>
              </w:rPr>
              <w:t>5.</w:t>
            </w:r>
          </w:p>
        </w:tc>
        <w:tc>
          <w:tcPr>
            <w:tcW w:w="2268" w:type="dxa"/>
            <w:shd w:val="clear" w:color="auto" w:fill="auto"/>
          </w:tcPr>
          <w:p w:rsidR="009C5812" w:rsidRPr="00091230" w:rsidRDefault="009C5812" w:rsidP="009C5812">
            <w:pPr>
              <w:ind w:right="30"/>
              <w:jc w:val="both"/>
              <w:rPr>
                <w:rFonts w:eastAsia="Cambria"/>
                <w:sz w:val="22"/>
                <w:szCs w:val="22"/>
              </w:rPr>
            </w:pPr>
            <w:r w:rsidRPr="00091230">
              <w:rPr>
                <w:rFonts w:eastAsia="Cambria"/>
                <w:sz w:val="22"/>
                <w:szCs w:val="22"/>
              </w:rPr>
              <w:t>Алексеевский муниципальный район</w:t>
            </w:r>
          </w:p>
        </w:tc>
        <w:tc>
          <w:tcPr>
            <w:tcW w:w="2410" w:type="dxa"/>
          </w:tcPr>
          <w:p w:rsidR="009C5812" w:rsidRPr="00091230" w:rsidRDefault="009C5812" w:rsidP="009C5812">
            <w:pPr>
              <w:jc w:val="both"/>
              <w:rPr>
                <w:rFonts w:eastAsia="Cambria"/>
                <w:sz w:val="22"/>
                <w:szCs w:val="22"/>
              </w:rPr>
            </w:pPr>
            <w:r w:rsidRPr="00091230">
              <w:rPr>
                <w:sz w:val="22"/>
                <w:szCs w:val="22"/>
              </w:rPr>
              <w:t xml:space="preserve">ГАУЗ </w:t>
            </w:r>
            <w:r>
              <w:rPr>
                <w:sz w:val="22"/>
                <w:szCs w:val="22"/>
              </w:rPr>
              <w:t>«</w:t>
            </w:r>
            <w:r w:rsidRPr="00091230">
              <w:rPr>
                <w:sz w:val="22"/>
                <w:szCs w:val="22"/>
              </w:rPr>
              <w:t>Алексеевская ЦРБ</w:t>
            </w:r>
            <w:r>
              <w:rPr>
                <w:sz w:val="22"/>
                <w:szCs w:val="22"/>
              </w:rPr>
              <w:t>»</w:t>
            </w:r>
          </w:p>
        </w:tc>
        <w:tc>
          <w:tcPr>
            <w:tcW w:w="1416" w:type="dxa"/>
            <w:shd w:val="clear" w:color="auto" w:fill="auto"/>
          </w:tcPr>
          <w:p w:rsidR="009C5812" w:rsidRPr="00091230" w:rsidRDefault="009C5812" w:rsidP="009C5812">
            <w:pPr>
              <w:jc w:val="center"/>
              <w:rPr>
                <w:rFonts w:eastAsia="Cambria"/>
                <w:sz w:val="22"/>
                <w:szCs w:val="22"/>
              </w:rPr>
            </w:pPr>
            <w:r w:rsidRPr="00091230">
              <w:rPr>
                <w:rFonts w:eastAsia="Cambria"/>
                <w:sz w:val="22"/>
                <w:szCs w:val="22"/>
              </w:rPr>
              <w:t>19 565</w:t>
            </w:r>
          </w:p>
        </w:tc>
        <w:tc>
          <w:tcPr>
            <w:tcW w:w="983" w:type="dxa"/>
            <w:shd w:val="clear" w:color="auto" w:fill="auto"/>
          </w:tcPr>
          <w:p w:rsidR="009C5812" w:rsidRPr="00091230" w:rsidRDefault="009C5812" w:rsidP="009C5812">
            <w:pPr>
              <w:jc w:val="center"/>
              <w:rPr>
                <w:rFonts w:eastAsia="Cambria"/>
                <w:sz w:val="22"/>
                <w:szCs w:val="22"/>
              </w:rPr>
            </w:pPr>
            <w:r w:rsidRPr="00091230">
              <w:rPr>
                <w:rFonts w:eastAsia="Cambria"/>
                <w:sz w:val="22"/>
                <w:szCs w:val="22"/>
              </w:rPr>
              <w:t>1</w:t>
            </w:r>
          </w:p>
        </w:tc>
        <w:tc>
          <w:tcPr>
            <w:tcW w:w="1156" w:type="dxa"/>
          </w:tcPr>
          <w:p w:rsidR="009C5812" w:rsidRPr="00091230" w:rsidRDefault="009C5812" w:rsidP="009C5812">
            <w:pPr>
              <w:jc w:val="center"/>
              <w:rPr>
                <w:sz w:val="22"/>
                <w:szCs w:val="22"/>
              </w:rPr>
            </w:pPr>
          </w:p>
        </w:tc>
        <w:tc>
          <w:tcPr>
            <w:tcW w:w="2114" w:type="dxa"/>
            <w:shd w:val="clear" w:color="auto" w:fill="auto"/>
          </w:tcPr>
          <w:p w:rsidR="009C5812" w:rsidRPr="00091230" w:rsidRDefault="009C5812" w:rsidP="009C5812">
            <w:pPr>
              <w:jc w:val="center"/>
              <w:rPr>
                <w:rFonts w:eastAsia="Cambria"/>
                <w:sz w:val="22"/>
                <w:szCs w:val="22"/>
              </w:rPr>
            </w:pPr>
            <w:r w:rsidRPr="00091230">
              <w:rPr>
                <w:rFonts w:eastAsia="Cambria"/>
                <w:sz w:val="22"/>
                <w:szCs w:val="22"/>
              </w:rPr>
              <w:t>1</w:t>
            </w:r>
          </w:p>
        </w:tc>
        <w:tc>
          <w:tcPr>
            <w:tcW w:w="1464" w:type="dxa"/>
            <w:shd w:val="clear" w:color="auto" w:fill="auto"/>
          </w:tcPr>
          <w:p w:rsidR="009C5812" w:rsidRPr="00091230" w:rsidRDefault="009C5812" w:rsidP="009C5812">
            <w:pPr>
              <w:jc w:val="center"/>
              <w:rPr>
                <w:rFonts w:eastAsia="Cambria"/>
                <w:sz w:val="22"/>
                <w:szCs w:val="22"/>
              </w:rPr>
            </w:pPr>
            <w:r w:rsidRPr="00091230">
              <w:rPr>
                <w:rFonts w:eastAsia="Cambria"/>
                <w:sz w:val="22"/>
                <w:szCs w:val="22"/>
              </w:rPr>
              <w:t>1/0,3</w:t>
            </w:r>
          </w:p>
        </w:tc>
        <w:tc>
          <w:tcPr>
            <w:tcW w:w="1662" w:type="dxa"/>
            <w:shd w:val="clear" w:color="auto" w:fill="auto"/>
          </w:tcPr>
          <w:p w:rsidR="009C5812" w:rsidRPr="00091230" w:rsidRDefault="009C5812" w:rsidP="009C5812">
            <w:pPr>
              <w:jc w:val="center"/>
              <w:rPr>
                <w:rFonts w:eastAsia="Cambria"/>
                <w:sz w:val="22"/>
                <w:szCs w:val="22"/>
              </w:rPr>
            </w:pPr>
            <w:r w:rsidRPr="00091230">
              <w:rPr>
                <w:rFonts w:eastAsia="Cambria"/>
                <w:sz w:val="22"/>
                <w:szCs w:val="22"/>
              </w:rPr>
              <w:t>94</w:t>
            </w:r>
          </w:p>
        </w:tc>
      </w:tr>
      <w:tr w:rsidR="009C5812" w:rsidRPr="00091230" w:rsidTr="009C5812">
        <w:trPr>
          <w:trHeight w:val="20"/>
        </w:trPr>
        <w:tc>
          <w:tcPr>
            <w:tcW w:w="704" w:type="dxa"/>
            <w:shd w:val="clear" w:color="auto" w:fill="auto"/>
          </w:tcPr>
          <w:p w:rsidR="009C5812" w:rsidRPr="00091230" w:rsidRDefault="009C5812" w:rsidP="009C5812">
            <w:pPr>
              <w:jc w:val="center"/>
              <w:rPr>
                <w:rFonts w:eastAsia="Cambria"/>
                <w:sz w:val="22"/>
                <w:szCs w:val="22"/>
              </w:rPr>
            </w:pPr>
            <w:r w:rsidRPr="00091230">
              <w:rPr>
                <w:rFonts w:eastAsia="Cambria"/>
                <w:sz w:val="22"/>
                <w:szCs w:val="22"/>
              </w:rPr>
              <w:t>6.</w:t>
            </w:r>
          </w:p>
        </w:tc>
        <w:tc>
          <w:tcPr>
            <w:tcW w:w="2268" w:type="dxa"/>
            <w:shd w:val="clear" w:color="auto" w:fill="auto"/>
          </w:tcPr>
          <w:p w:rsidR="009C5812" w:rsidRPr="00091230" w:rsidRDefault="009C5812" w:rsidP="009C5812">
            <w:pPr>
              <w:ind w:right="30"/>
              <w:jc w:val="both"/>
              <w:rPr>
                <w:rFonts w:eastAsia="Cambria"/>
                <w:sz w:val="22"/>
                <w:szCs w:val="22"/>
              </w:rPr>
            </w:pPr>
            <w:r w:rsidRPr="00091230">
              <w:rPr>
                <w:rFonts w:eastAsia="Cambria"/>
                <w:sz w:val="22"/>
                <w:szCs w:val="22"/>
              </w:rPr>
              <w:t>Алькеевский муниципальный район</w:t>
            </w:r>
          </w:p>
        </w:tc>
        <w:tc>
          <w:tcPr>
            <w:tcW w:w="2410" w:type="dxa"/>
          </w:tcPr>
          <w:p w:rsidR="009C5812" w:rsidRPr="00091230" w:rsidRDefault="009C5812" w:rsidP="009C5812">
            <w:pPr>
              <w:jc w:val="both"/>
              <w:rPr>
                <w:rFonts w:eastAsia="Cambria"/>
                <w:sz w:val="22"/>
                <w:szCs w:val="22"/>
              </w:rPr>
            </w:pPr>
            <w:r w:rsidRPr="00091230">
              <w:rPr>
                <w:sz w:val="22"/>
                <w:szCs w:val="22"/>
              </w:rPr>
              <w:t xml:space="preserve">ГАУЗ </w:t>
            </w:r>
            <w:r>
              <w:rPr>
                <w:sz w:val="22"/>
                <w:szCs w:val="22"/>
              </w:rPr>
              <w:t>«</w:t>
            </w:r>
            <w:r w:rsidRPr="00091230">
              <w:rPr>
                <w:sz w:val="22"/>
                <w:szCs w:val="22"/>
              </w:rPr>
              <w:t>Базарно-Матакская ЦРБ</w:t>
            </w:r>
            <w:r>
              <w:rPr>
                <w:sz w:val="22"/>
                <w:szCs w:val="22"/>
              </w:rPr>
              <w:t>»</w:t>
            </w:r>
          </w:p>
        </w:tc>
        <w:tc>
          <w:tcPr>
            <w:tcW w:w="1416" w:type="dxa"/>
            <w:shd w:val="clear" w:color="auto" w:fill="auto"/>
          </w:tcPr>
          <w:p w:rsidR="009C5812" w:rsidRPr="00091230" w:rsidRDefault="009C5812" w:rsidP="009C5812">
            <w:pPr>
              <w:jc w:val="center"/>
              <w:rPr>
                <w:rFonts w:eastAsia="Cambria"/>
                <w:sz w:val="22"/>
                <w:szCs w:val="22"/>
              </w:rPr>
            </w:pPr>
            <w:r w:rsidRPr="00091230">
              <w:rPr>
                <w:rFonts w:eastAsia="Cambria"/>
                <w:sz w:val="22"/>
                <w:szCs w:val="22"/>
              </w:rPr>
              <w:t>14 815</w:t>
            </w:r>
          </w:p>
        </w:tc>
        <w:tc>
          <w:tcPr>
            <w:tcW w:w="983" w:type="dxa"/>
            <w:shd w:val="clear" w:color="auto" w:fill="auto"/>
          </w:tcPr>
          <w:p w:rsidR="009C5812" w:rsidRPr="00091230" w:rsidRDefault="009C5812" w:rsidP="009C5812">
            <w:pPr>
              <w:jc w:val="center"/>
              <w:rPr>
                <w:rFonts w:eastAsia="Cambria"/>
                <w:sz w:val="22"/>
                <w:szCs w:val="22"/>
              </w:rPr>
            </w:pPr>
            <w:r w:rsidRPr="00091230">
              <w:rPr>
                <w:rFonts w:eastAsia="Cambria"/>
                <w:sz w:val="22"/>
                <w:szCs w:val="22"/>
              </w:rPr>
              <w:t>1</w:t>
            </w:r>
          </w:p>
        </w:tc>
        <w:tc>
          <w:tcPr>
            <w:tcW w:w="1156" w:type="dxa"/>
          </w:tcPr>
          <w:p w:rsidR="009C5812" w:rsidRPr="00091230" w:rsidRDefault="009C5812" w:rsidP="009C5812">
            <w:pPr>
              <w:jc w:val="center"/>
              <w:rPr>
                <w:sz w:val="22"/>
                <w:szCs w:val="22"/>
              </w:rPr>
            </w:pPr>
          </w:p>
        </w:tc>
        <w:tc>
          <w:tcPr>
            <w:tcW w:w="2114" w:type="dxa"/>
            <w:shd w:val="clear" w:color="auto" w:fill="auto"/>
          </w:tcPr>
          <w:p w:rsidR="009C5812" w:rsidRPr="00091230" w:rsidRDefault="009C5812" w:rsidP="009C5812">
            <w:pPr>
              <w:jc w:val="center"/>
              <w:rPr>
                <w:rFonts w:eastAsia="Cambria"/>
                <w:sz w:val="22"/>
                <w:szCs w:val="22"/>
              </w:rPr>
            </w:pPr>
            <w:r w:rsidRPr="00091230">
              <w:rPr>
                <w:rFonts w:eastAsia="Cambria"/>
                <w:sz w:val="22"/>
                <w:szCs w:val="22"/>
              </w:rPr>
              <w:t>1</w:t>
            </w:r>
          </w:p>
        </w:tc>
        <w:tc>
          <w:tcPr>
            <w:tcW w:w="1464" w:type="dxa"/>
            <w:shd w:val="clear" w:color="auto" w:fill="auto"/>
          </w:tcPr>
          <w:p w:rsidR="009C5812" w:rsidRPr="00091230" w:rsidRDefault="009C5812" w:rsidP="009C5812">
            <w:pPr>
              <w:jc w:val="center"/>
              <w:rPr>
                <w:rFonts w:eastAsia="Cambria"/>
                <w:sz w:val="22"/>
                <w:szCs w:val="22"/>
              </w:rPr>
            </w:pPr>
            <w:r w:rsidRPr="00091230">
              <w:rPr>
                <w:rFonts w:eastAsia="Cambria"/>
                <w:sz w:val="22"/>
                <w:szCs w:val="22"/>
              </w:rPr>
              <w:t>1/1</w:t>
            </w:r>
          </w:p>
        </w:tc>
        <w:tc>
          <w:tcPr>
            <w:tcW w:w="1662" w:type="dxa"/>
            <w:shd w:val="clear" w:color="auto" w:fill="auto"/>
          </w:tcPr>
          <w:p w:rsidR="009C5812" w:rsidRPr="00091230" w:rsidRDefault="009C5812" w:rsidP="009C5812">
            <w:pPr>
              <w:jc w:val="center"/>
              <w:rPr>
                <w:rFonts w:eastAsia="Cambria"/>
                <w:sz w:val="22"/>
                <w:szCs w:val="22"/>
              </w:rPr>
            </w:pPr>
            <w:r w:rsidRPr="00091230">
              <w:rPr>
                <w:rFonts w:eastAsia="Cambria"/>
                <w:sz w:val="22"/>
                <w:szCs w:val="22"/>
              </w:rPr>
              <w:t>140</w:t>
            </w:r>
          </w:p>
        </w:tc>
      </w:tr>
      <w:tr w:rsidR="009C5812" w:rsidRPr="00091230" w:rsidTr="009C5812">
        <w:trPr>
          <w:trHeight w:val="20"/>
        </w:trPr>
        <w:tc>
          <w:tcPr>
            <w:tcW w:w="704" w:type="dxa"/>
            <w:shd w:val="clear" w:color="auto" w:fill="auto"/>
          </w:tcPr>
          <w:p w:rsidR="009C5812" w:rsidRPr="00091230" w:rsidRDefault="009C5812" w:rsidP="009C5812">
            <w:pPr>
              <w:jc w:val="center"/>
              <w:rPr>
                <w:rFonts w:eastAsia="Cambria"/>
                <w:sz w:val="22"/>
                <w:szCs w:val="22"/>
              </w:rPr>
            </w:pPr>
            <w:r w:rsidRPr="00091230">
              <w:rPr>
                <w:rFonts w:eastAsia="Cambria"/>
                <w:sz w:val="22"/>
                <w:szCs w:val="22"/>
              </w:rPr>
              <w:t>7.</w:t>
            </w:r>
          </w:p>
        </w:tc>
        <w:tc>
          <w:tcPr>
            <w:tcW w:w="2268" w:type="dxa"/>
            <w:shd w:val="clear" w:color="auto" w:fill="auto"/>
          </w:tcPr>
          <w:p w:rsidR="009C5812" w:rsidRPr="00091230" w:rsidRDefault="009C5812" w:rsidP="009C5812">
            <w:pPr>
              <w:ind w:right="30"/>
              <w:jc w:val="both"/>
              <w:rPr>
                <w:rFonts w:eastAsia="Cambria"/>
                <w:sz w:val="22"/>
                <w:szCs w:val="22"/>
              </w:rPr>
            </w:pPr>
            <w:r w:rsidRPr="00091230">
              <w:rPr>
                <w:rFonts w:eastAsia="Cambria"/>
                <w:sz w:val="22"/>
                <w:szCs w:val="22"/>
              </w:rPr>
              <w:t>г.Альметьевск</w:t>
            </w:r>
          </w:p>
          <w:p w:rsidR="009C5812" w:rsidRPr="00091230" w:rsidRDefault="009C5812" w:rsidP="009C5812">
            <w:pPr>
              <w:ind w:right="30"/>
              <w:jc w:val="both"/>
              <w:rPr>
                <w:rFonts w:eastAsia="Cambria"/>
                <w:sz w:val="22"/>
                <w:szCs w:val="22"/>
              </w:rPr>
            </w:pPr>
          </w:p>
        </w:tc>
        <w:tc>
          <w:tcPr>
            <w:tcW w:w="2410" w:type="dxa"/>
          </w:tcPr>
          <w:p w:rsidR="009C5812" w:rsidRPr="00091230" w:rsidRDefault="009C5812" w:rsidP="009C5812">
            <w:pPr>
              <w:jc w:val="both"/>
              <w:rPr>
                <w:rFonts w:eastAsia="Cambria"/>
                <w:sz w:val="22"/>
                <w:szCs w:val="22"/>
              </w:rPr>
            </w:pPr>
            <w:r w:rsidRPr="00091230">
              <w:rPr>
                <w:rFonts w:eastAsia="Cambria"/>
                <w:sz w:val="22"/>
                <w:szCs w:val="22"/>
              </w:rPr>
              <w:t xml:space="preserve">ГАУЗ </w:t>
            </w:r>
            <w:r>
              <w:rPr>
                <w:rFonts w:eastAsia="Cambria"/>
                <w:sz w:val="22"/>
                <w:szCs w:val="22"/>
              </w:rPr>
              <w:t>«</w:t>
            </w:r>
            <w:r w:rsidRPr="00091230">
              <w:rPr>
                <w:rFonts w:eastAsia="Cambria"/>
                <w:sz w:val="22"/>
                <w:szCs w:val="22"/>
              </w:rPr>
              <w:t>Альметьевская поликлиника № 3</w:t>
            </w:r>
            <w:r>
              <w:rPr>
                <w:rFonts w:eastAsia="Cambria"/>
                <w:sz w:val="22"/>
                <w:szCs w:val="22"/>
              </w:rPr>
              <w:t>»</w:t>
            </w:r>
          </w:p>
        </w:tc>
        <w:tc>
          <w:tcPr>
            <w:tcW w:w="1416" w:type="dxa"/>
            <w:shd w:val="clear" w:color="auto" w:fill="auto"/>
          </w:tcPr>
          <w:p w:rsidR="009C5812" w:rsidRPr="00091230" w:rsidRDefault="009C5812" w:rsidP="009C5812">
            <w:pPr>
              <w:jc w:val="center"/>
              <w:rPr>
                <w:rFonts w:eastAsia="Cambria"/>
                <w:sz w:val="22"/>
                <w:szCs w:val="22"/>
              </w:rPr>
            </w:pPr>
            <w:r w:rsidRPr="00091230">
              <w:rPr>
                <w:rFonts w:eastAsia="Cambria"/>
                <w:sz w:val="22"/>
                <w:szCs w:val="22"/>
              </w:rPr>
              <w:t>45 342</w:t>
            </w:r>
          </w:p>
        </w:tc>
        <w:tc>
          <w:tcPr>
            <w:tcW w:w="983" w:type="dxa"/>
            <w:shd w:val="clear" w:color="auto" w:fill="auto"/>
          </w:tcPr>
          <w:p w:rsidR="009C5812" w:rsidRPr="00091230" w:rsidRDefault="009C5812" w:rsidP="009C5812">
            <w:pPr>
              <w:jc w:val="center"/>
              <w:rPr>
                <w:rFonts w:eastAsia="Cambria"/>
                <w:sz w:val="22"/>
                <w:szCs w:val="22"/>
              </w:rPr>
            </w:pPr>
            <w:r w:rsidRPr="00091230">
              <w:rPr>
                <w:rFonts w:eastAsia="Cambria"/>
                <w:sz w:val="22"/>
                <w:szCs w:val="22"/>
              </w:rPr>
              <w:t>1</w:t>
            </w:r>
          </w:p>
        </w:tc>
        <w:tc>
          <w:tcPr>
            <w:tcW w:w="1156" w:type="dxa"/>
          </w:tcPr>
          <w:p w:rsidR="009C5812" w:rsidRPr="00091230" w:rsidRDefault="009C5812" w:rsidP="009C5812">
            <w:pPr>
              <w:jc w:val="center"/>
              <w:rPr>
                <w:rFonts w:eastAsia="Cambria"/>
                <w:sz w:val="22"/>
                <w:szCs w:val="22"/>
              </w:rPr>
            </w:pPr>
          </w:p>
        </w:tc>
        <w:tc>
          <w:tcPr>
            <w:tcW w:w="2114" w:type="dxa"/>
            <w:shd w:val="clear" w:color="auto" w:fill="auto"/>
          </w:tcPr>
          <w:p w:rsidR="009C5812" w:rsidRPr="00091230" w:rsidRDefault="009C5812" w:rsidP="009C5812">
            <w:pPr>
              <w:jc w:val="center"/>
              <w:rPr>
                <w:rFonts w:eastAsia="Cambria"/>
                <w:sz w:val="22"/>
                <w:szCs w:val="22"/>
              </w:rPr>
            </w:pPr>
            <w:r w:rsidRPr="00091230">
              <w:rPr>
                <w:rFonts w:eastAsia="Cambria"/>
                <w:sz w:val="22"/>
                <w:szCs w:val="22"/>
              </w:rPr>
              <w:t>0,2</w:t>
            </w:r>
          </w:p>
        </w:tc>
        <w:tc>
          <w:tcPr>
            <w:tcW w:w="1464" w:type="dxa"/>
            <w:shd w:val="clear" w:color="auto" w:fill="auto"/>
          </w:tcPr>
          <w:p w:rsidR="009C5812" w:rsidRPr="00091230" w:rsidRDefault="009C5812" w:rsidP="009C5812">
            <w:pPr>
              <w:jc w:val="center"/>
              <w:rPr>
                <w:rFonts w:eastAsia="Cambria"/>
                <w:sz w:val="22"/>
                <w:szCs w:val="22"/>
              </w:rPr>
            </w:pPr>
            <w:r w:rsidRPr="00091230">
              <w:rPr>
                <w:rFonts w:eastAsia="Cambria"/>
                <w:sz w:val="22"/>
                <w:szCs w:val="22"/>
              </w:rPr>
              <w:t>1/0,75</w:t>
            </w:r>
          </w:p>
        </w:tc>
        <w:tc>
          <w:tcPr>
            <w:tcW w:w="1662" w:type="dxa"/>
            <w:shd w:val="clear" w:color="auto" w:fill="auto"/>
          </w:tcPr>
          <w:p w:rsidR="009C5812" w:rsidRPr="00091230" w:rsidRDefault="009C5812" w:rsidP="009C5812">
            <w:pPr>
              <w:jc w:val="center"/>
              <w:rPr>
                <w:rFonts w:eastAsia="Cambria"/>
                <w:sz w:val="22"/>
                <w:szCs w:val="22"/>
              </w:rPr>
            </w:pPr>
            <w:r w:rsidRPr="00091230">
              <w:rPr>
                <w:rFonts w:eastAsia="Cambria"/>
                <w:sz w:val="22"/>
                <w:szCs w:val="22"/>
              </w:rPr>
              <w:t>260</w:t>
            </w:r>
          </w:p>
        </w:tc>
      </w:tr>
      <w:tr w:rsidR="009C5812" w:rsidRPr="00091230" w:rsidTr="009C5812">
        <w:trPr>
          <w:trHeight w:val="20"/>
        </w:trPr>
        <w:tc>
          <w:tcPr>
            <w:tcW w:w="704" w:type="dxa"/>
            <w:shd w:val="clear" w:color="auto" w:fill="auto"/>
          </w:tcPr>
          <w:p w:rsidR="009C5812" w:rsidRPr="00091230" w:rsidRDefault="009C5812" w:rsidP="009C5812">
            <w:pPr>
              <w:jc w:val="center"/>
              <w:rPr>
                <w:rFonts w:eastAsia="Cambria"/>
                <w:sz w:val="22"/>
                <w:szCs w:val="22"/>
              </w:rPr>
            </w:pPr>
            <w:r w:rsidRPr="00091230">
              <w:rPr>
                <w:rFonts w:eastAsia="Cambria"/>
                <w:sz w:val="22"/>
                <w:szCs w:val="22"/>
              </w:rPr>
              <w:t>8.</w:t>
            </w:r>
          </w:p>
        </w:tc>
        <w:tc>
          <w:tcPr>
            <w:tcW w:w="2268" w:type="dxa"/>
            <w:shd w:val="clear" w:color="auto" w:fill="auto"/>
          </w:tcPr>
          <w:p w:rsidR="009C5812" w:rsidRPr="00091230" w:rsidRDefault="009C5812" w:rsidP="009C5812">
            <w:pPr>
              <w:ind w:right="30"/>
              <w:jc w:val="both"/>
              <w:rPr>
                <w:rFonts w:eastAsia="Cambria"/>
                <w:sz w:val="22"/>
                <w:szCs w:val="22"/>
              </w:rPr>
            </w:pPr>
            <w:r w:rsidRPr="00091230">
              <w:rPr>
                <w:rFonts w:eastAsia="Cambria"/>
                <w:sz w:val="22"/>
                <w:szCs w:val="22"/>
              </w:rPr>
              <w:t>г.Альметьевск</w:t>
            </w:r>
          </w:p>
        </w:tc>
        <w:tc>
          <w:tcPr>
            <w:tcW w:w="2410" w:type="dxa"/>
          </w:tcPr>
          <w:p w:rsidR="009C5812" w:rsidRPr="00091230" w:rsidRDefault="009C5812" w:rsidP="009C5812">
            <w:pPr>
              <w:jc w:val="both"/>
              <w:rPr>
                <w:rFonts w:eastAsia="Cambria"/>
                <w:sz w:val="22"/>
                <w:szCs w:val="22"/>
              </w:rPr>
            </w:pPr>
            <w:r w:rsidRPr="00091230">
              <w:rPr>
                <w:rFonts w:eastAsia="Cambria"/>
                <w:sz w:val="22"/>
                <w:szCs w:val="22"/>
              </w:rPr>
              <w:t xml:space="preserve">ГАУЗ </w:t>
            </w:r>
            <w:r>
              <w:rPr>
                <w:rFonts w:eastAsia="Cambria"/>
                <w:sz w:val="22"/>
                <w:szCs w:val="22"/>
              </w:rPr>
              <w:t>«</w:t>
            </w:r>
            <w:r w:rsidRPr="00091230">
              <w:rPr>
                <w:rFonts w:eastAsia="Cambria"/>
                <w:sz w:val="22"/>
                <w:szCs w:val="22"/>
              </w:rPr>
              <w:t xml:space="preserve">Альметьевская </w:t>
            </w:r>
            <w:r>
              <w:rPr>
                <w:rFonts w:eastAsia="Cambria"/>
                <w:sz w:val="22"/>
                <w:szCs w:val="22"/>
              </w:rPr>
              <w:t>ЦРБ»</w:t>
            </w:r>
          </w:p>
        </w:tc>
        <w:tc>
          <w:tcPr>
            <w:tcW w:w="1416" w:type="dxa"/>
            <w:shd w:val="clear" w:color="auto" w:fill="auto"/>
          </w:tcPr>
          <w:p w:rsidR="009C5812" w:rsidRPr="00091230" w:rsidRDefault="009C5812" w:rsidP="009C5812">
            <w:pPr>
              <w:jc w:val="center"/>
              <w:rPr>
                <w:rFonts w:eastAsia="Cambria"/>
                <w:sz w:val="22"/>
                <w:szCs w:val="22"/>
              </w:rPr>
            </w:pPr>
            <w:r w:rsidRPr="00091230">
              <w:rPr>
                <w:rFonts w:eastAsia="Cambria"/>
                <w:sz w:val="22"/>
                <w:szCs w:val="22"/>
              </w:rPr>
              <w:t>81 732</w:t>
            </w:r>
          </w:p>
        </w:tc>
        <w:tc>
          <w:tcPr>
            <w:tcW w:w="983" w:type="dxa"/>
            <w:shd w:val="clear" w:color="auto" w:fill="auto"/>
          </w:tcPr>
          <w:p w:rsidR="009C5812" w:rsidRPr="00091230" w:rsidRDefault="009C5812" w:rsidP="009C5812">
            <w:pPr>
              <w:jc w:val="center"/>
              <w:rPr>
                <w:rFonts w:eastAsia="Cambria"/>
                <w:sz w:val="22"/>
                <w:szCs w:val="22"/>
              </w:rPr>
            </w:pPr>
            <w:r w:rsidRPr="00091230">
              <w:rPr>
                <w:rFonts w:eastAsia="Cambria"/>
                <w:sz w:val="22"/>
                <w:szCs w:val="22"/>
              </w:rPr>
              <w:t>1</w:t>
            </w:r>
          </w:p>
        </w:tc>
        <w:tc>
          <w:tcPr>
            <w:tcW w:w="1156" w:type="dxa"/>
          </w:tcPr>
          <w:p w:rsidR="009C5812" w:rsidRPr="00091230" w:rsidRDefault="009C5812" w:rsidP="009C5812">
            <w:pPr>
              <w:jc w:val="center"/>
              <w:rPr>
                <w:rFonts w:eastAsia="Cambria"/>
                <w:sz w:val="22"/>
                <w:szCs w:val="22"/>
              </w:rPr>
            </w:pPr>
          </w:p>
        </w:tc>
        <w:tc>
          <w:tcPr>
            <w:tcW w:w="2114" w:type="dxa"/>
            <w:shd w:val="clear" w:color="auto" w:fill="auto"/>
          </w:tcPr>
          <w:p w:rsidR="009C5812" w:rsidRPr="00091230" w:rsidRDefault="009C5812" w:rsidP="009C5812">
            <w:pPr>
              <w:jc w:val="center"/>
              <w:rPr>
                <w:rFonts w:eastAsia="Cambria"/>
                <w:sz w:val="22"/>
                <w:szCs w:val="22"/>
              </w:rPr>
            </w:pPr>
            <w:r w:rsidRPr="00091230">
              <w:rPr>
                <w:rFonts w:eastAsia="Cambria"/>
                <w:sz w:val="22"/>
                <w:szCs w:val="22"/>
              </w:rPr>
              <w:t>0,2</w:t>
            </w:r>
          </w:p>
        </w:tc>
        <w:tc>
          <w:tcPr>
            <w:tcW w:w="1464" w:type="dxa"/>
            <w:shd w:val="clear" w:color="auto" w:fill="auto"/>
          </w:tcPr>
          <w:p w:rsidR="009C5812" w:rsidRPr="00091230" w:rsidRDefault="009C5812" w:rsidP="009C5812">
            <w:pPr>
              <w:jc w:val="center"/>
              <w:rPr>
                <w:rFonts w:eastAsia="Cambria"/>
                <w:sz w:val="22"/>
                <w:szCs w:val="22"/>
              </w:rPr>
            </w:pPr>
            <w:r w:rsidRPr="00091230">
              <w:rPr>
                <w:rFonts w:eastAsia="Cambria"/>
                <w:sz w:val="22"/>
                <w:szCs w:val="22"/>
              </w:rPr>
              <w:t>1/0,75</w:t>
            </w:r>
          </w:p>
        </w:tc>
        <w:tc>
          <w:tcPr>
            <w:tcW w:w="1662" w:type="dxa"/>
            <w:shd w:val="clear" w:color="auto" w:fill="auto"/>
          </w:tcPr>
          <w:p w:rsidR="009C5812" w:rsidRPr="00091230" w:rsidRDefault="009C5812" w:rsidP="009C5812">
            <w:pPr>
              <w:jc w:val="center"/>
              <w:rPr>
                <w:rFonts w:eastAsia="Cambria"/>
                <w:sz w:val="22"/>
                <w:szCs w:val="22"/>
              </w:rPr>
            </w:pPr>
            <w:r w:rsidRPr="00091230">
              <w:rPr>
                <w:rFonts w:eastAsia="Cambria"/>
                <w:sz w:val="22"/>
                <w:szCs w:val="22"/>
              </w:rPr>
              <w:t>260</w:t>
            </w:r>
          </w:p>
        </w:tc>
      </w:tr>
      <w:tr w:rsidR="009C5812" w:rsidRPr="00091230" w:rsidTr="009C5812">
        <w:trPr>
          <w:trHeight w:val="20"/>
        </w:trPr>
        <w:tc>
          <w:tcPr>
            <w:tcW w:w="704" w:type="dxa"/>
            <w:shd w:val="clear" w:color="auto" w:fill="auto"/>
          </w:tcPr>
          <w:p w:rsidR="009C5812" w:rsidRPr="00091230" w:rsidRDefault="009C5812" w:rsidP="009C5812">
            <w:pPr>
              <w:jc w:val="center"/>
              <w:rPr>
                <w:rFonts w:eastAsia="Cambria"/>
                <w:sz w:val="22"/>
                <w:szCs w:val="22"/>
              </w:rPr>
            </w:pPr>
            <w:r w:rsidRPr="00091230">
              <w:rPr>
                <w:rFonts w:eastAsia="Cambria"/>
                <w:sz w:val="22"/>
                <w:szCs w:val="22"/>
              </w:rPr>
              <w:t>9.</w:t>
            </w:r>
          </w:p>
        </w:tc>
        <w:tc>
          <w:tcPr>
            <w:tcW w:w="2268" w:type="dxa"/>
            <w:shd w:val="clear" w:color="auto" w:fill="auto"/>
          </w:tcPr>
          <w:p w:rsidR="009C5812" w:rsidRPr="00091230" w:rsidRDefault="009C5812" w:rsidP="009C5812">
            <w:pPr>
              <w:ind w:right="30"/>
              <w:jc w:val="both"/>
              <w:rPr>
                <w:rFonts w:eastAsia="Cambria"/>
                <w:sz w:val="22"/>
                <w:szCs w:val="22"/>
              </w:rPr>
            </w:pPr>
            <w:r w:rsidRPr="00091230">
              <w:rPr>
                <w:rFonts w:eastAsia="Cambria"/>
                <w:sz w:val="22"/>
                <w:szCs w:val="22"/>
              </w:rPr>
              <w:t>г.Альметьевск</w:t>
            </w:r>
          </w:p>
        </w:tc>
        <w:tc>
          <w:tcPr>
            <w:tcW w:w="2410" w:type="dxa"/>
          </w:tcPr>
          <w:p w:rsidR="009C5812" w:rsidRPr="00632BB7" w:rsidRDefault="009C5812" w:rsidP="009C5812">
            <w:pPr>
              <w:jc w:val="both"/>
              <w:rPr>
                <w:rFonts w:eastAsia="Cambria"/>
                <w:sz w:val="22"/>
                <w:szCs w:val="22"/>
              </w:rPr>
            </w:pPr>
            <w:r w:rsidRPr="00632BB7">
              <w:rPr>
                <w:color w:val="000000"/>
                <w:sz w:val="22"/>
                <w:szCs w:val="22"/>
              </w:rPr>
              <w:t xml:space="preserve">ГАУЗ </w:t>
            </w:r>
            <w:r>
              <w:rPr>
                <w:rFonts w:eastAsia="Arial"/>
                <w:sz w:val="22"/>
                <w:szCs w:val="22"/>
              </w:rPr>
              <w:t>«</w:t>
            </w:r>
            <w:r w:rsidRPr="00632BB7">
              <w:rPr>
                <w:rFonts w:eastAsia="Arial"/>
                <w:sz w:val="22"/>
                <w:szCs w:val="22"/>
              </w:rPr>
              <w:t>Альметьевская межрайонная многопрофильная больница</w:t>
            </w:r>
            <w:r>
              <w:rPr>
                <w:rFonts w:eastAsia="Arial"/>
                <w:sz w:val="22"/>
                <w:szCs w:val="22"/>
              </w:rPr>
              <w:t>»</w:t>
            </w:r>
          </w:p>
        </w:tc>
        <w:tc>
          <w:tcPr>
            <w:tcW w:w="1416" w:type="dxa"/>
            <w:shd w:val="clear" w:color="auto" w:fill="auto"/>
          </w:tcPr>
          <w:p w:rsidR="009C5812" w:rsidRPr="00091230" w:rsidRDefault="009C5812" w:rsidP="009C5812">
            <w:pPr>
              <w:jc w:val="center"/>
              <w:rPr>
                <w:rFonts w:eastAsia="Cambria"/>
                <w:sz w:val="22"/>
                <w:szCs w:val="22"/>
              </w:rPr>
            </w:pPr>
            <w:r w:rsidRPr="00091230">
              <w:rPr>
                <w:rFonts w:eastAsia="Cambria"/>
                <w:sz w:val="22"/>
                <w:szCs w:val="22"/>
              </w:rPr>
              <w:t>23 650</w:t>
            </w:r>
          </w:p>
        </w:tc>
        <w:tc>
          <w:tcPr>
            <w:tcW w:w="983" w:type="dxa"/>
            <w:shd w:val="clear" w:color="auto" w:fill="auto"/>
          </w:tcPr>
          <w:p w:rsidR="009C5812" w:rsidRPr="00091230" w:rsidRDefault="009C5812" w:rsidP="009C5812">
            <w:pPr>
              <w:jc w:val="center"/>
              <w:rPr>
                <w:rFonts w:eastAsia="Cambria"/>
                <w:sz w:val="22"/>
                <w:szCs w:val="22"/>
              </w:rPr>
            </w:pPr>
            <w:r w:rsidRPr="00091230">
              <w:rPr>
                <w:rFonts w:eastAsia="Cambria"/>
                <w:sz w:val="22"/>
                <w:szCs w:val="22"/>
              </w:rPr>
              <w:t>1</w:t>
            </w:r>
          </w:p>
        </w:tc>
        <w:tc>
          <w:tcPr>
            <w:tcW w:w="1156" w:type="dxa"/>
          </w:tcPr>
          <w:p w:rsidR="009C5812" w:rsidRPr="00091230" w:rsidRDefault="009C5812" w:rsidP="009C5812">
            <w:pPr>
              <w:jc w:val="center"/>
              <w:rPr>
                <w:rFonts w:eastAsia="Cambria"/>
                <w:sz w:val="22"/>
                <w:szCs w:val="22"/>
              </w:rPr>
            </w:pPr>
          </w:p>
        </w:tc>
        <w:tc>
          <w:tcPr>
            <w:tcW w:w="2114" w:type="dxa"/>
            <w:shd w:val="clear" w:color="auto" w:fill="auto"/>
          </w:tcPr>
          <w:p w:rsidR="009C5812" w:rsidRPr="00091230" w:rsidRDefault="009C5812" w:rsidP="009C5812">
            <w:pPr>
              <w:jc w:val="center"/>
              <w:rPr>
                <w:rFonts w:eastAsia="Cambria"/>
                <w:sz w:val="22"/>
                <w:szCs w:val="22"/>
              </w:rPr>
            </w:pPr>
            <w:r w:rsidRPr="00091230">
              <w:rPr>
                <w:rFonts w:eastAsia="Cambria"/>
                <w:sz w:val="22"/>
                <w:szCs w:val="22"/>
              </w:rPr>
              <w:t>0,2</w:t>
            </w:r>
          </w:p>
        </w:tc>
        <w:tc>
          <w:tcPr>
            <w:tcW w:w="1464" w:type="dxa"/>
            <w:shd w:val="clear" w:color="auto" w:fill="auto"/>
          </w:tcPr>
          <w:p w:rsidR="009C5812" w:rsidRPr="00091230" w:rsidRDefault="009C5812" w:rsidP="009C5812">
            <w:pPr>
              <w:jc w:val="center"/>
              <w:rPr>
                <w:rFonts w:eastAsia="Cambria"/>
                <w:sz w:val="22"/>
                <w:szCs w:val="22"/>
              </w:rPr>
            </w:pPr>
            <w:r w:rsidRPr="00091230">
              <w:rPr>
                <w:rFonts w:eastAsia="Cambria"/>
                <w:sz w:val="22"/>
                <w:szCs w:val="22"/>
              </w:rPr>
              <w:t>1/0,5</w:t>
            </w:r>
          </w:p>
        </w:tc>
        <w:tc>
          <w:tcPr>
            <w:tcW w:w="1662" w:type="dxa"/>
            <w:shd w:val="clear" w:color="auto" w:fill="auto"/>
          </w:tcPr>
          <w:p w:rsidR="009C5812" w:rsidRPr="00091230" w:rsidRDefault="009C5812" w:rsidP="009C5812">
            <w:pPr>
              <w:jc w:val="center"/>
              <w:rPr>
                <w:rFonts w:eastAsia="Cambria"/>
                <w:sz w:val="22"/>
                <w:szCs w:val="22"/>
              </w:rPr>
            </w:pPr>
            <w:r w:rsidRPr="00091230">
              <w:rPr>
                <w:rFonts w:eastAsia="Cambria"/>
                <w:sz w:val="22"/>
                <w:szCs w:val="22"/>
              </w:rPr>
              <w:t>260</w:t>
            </w:r>
          </w:p>
        </w:tc>
      </w:tr>
      <w:tr w:rsidR="009C5812" w:rsidRPr="00091230" w:rsidTr="009C5812">
        <w:trPr>
          <w:trHeight w:val="20"/>
        </w:trPr>
        <w:tc>
          <w:tcPr>
            <w:tcW w:w="704" w:type="dxa"/>
            <w:shd w:val="clear" w:color="auto" w:fill="auto"/>
          </w:tcPr>
          <w:p w:rsidR="009C5812" w:rsidRPr="00091230" w:rsidRDefault="009C5812" w:rsidP="009C5812">
            <w:pPr>
              <w:jc w:val="center"/>
              <w:rPr>
                <w:rFonts w:eastAsia="Cambria"/>
                <w:sz w:val="22"/>
                <w:szCs w:val="22"/>
              </w:rPr>
            </w:pPr>
            <w:r w:rsidRPr="00091230">
              <w:rPr>
                <w:rFonts w:eastAsia="Cambria"/>
                <w:sz w:val="22"/>
                <w:szCs w:val="22"/>
              </w:rPr>
              <w:t>10.</w:t>
            </w:r>
          </w:p>
        </w:tc>
        <w:tc>
          <w:tcPr>
            <w:tcW w:w="2268" w:type="dxa"/>
            <w:shd w:val="clear" w:color="auto" w:fill="auto"/>
          </w:tcPr>
          <w:p w:rsidR="009C5812" w:rsidRPr="00091230" w:rsidRDefault="009C5812" w:rsidP="009C5812">
            <w:pPr>
              <w:ind w:right="30"/>
              <w:jc w:val="both"/>
              <w:rPr>
                <w:rFonts w:eastAsia="Cambria"/>
                <w:sz w:val="22"/>
                <w:szCs w:val="22"/>
              </w:rPr>
            </w:pPr>
            <w:r w:rsidRPr="00091230">
              <w:rPr>
                <w:rFonts w:eastAsia="Cambria"/>
                <w:sz w:val="22"/>
                <w:szCs w:val="22"/>
              </w:rPr>
              <w:t>Апастовский муниципальный район</w:t>
            </w:r>
          </w:p>
        </w:tc>
        <w:tc>
          <w:tcPr>
            <w:tcW w:w="2410" w:type="dxa"/>
          </w:tcPr>
          <w:p w:rsidR="009C5812" w:rsidRPr="00091230" w:rsidRDefault="009C5812" w:rsidP="009C5812">
            <w:pPr>
              <w:jc w:val="both"/>
              <w:rPr>
                <w:rFonts w:eastAsia="Cambria"/>
                <w:sz w:val="22"/>
                <w:szCs w:val="22"/>
              </w:rPr>
            </w:pPr>
            <w:r w:rsidRPr="00091230">
              <w:rPr>
                <w:rFonts w:eastAsia="Cambria"/>
                <w:sz w:val="22"/>
                <w:szCs w:val="22"/>
              </w:rPr>
              <w:t xml:space="preserve">ГАУЗ </w:t>
            </w:r>
            <w:r>
              <w:rPr>
                <w:rFonts w:eastAsia="Cambria"/>
                <w:sz w:val="22"/>
                <w:szCs w:val="22"/>
              </w:rPr>
              <w:t>«</w:t>
            </w:r>
            <w:r w:rsidRPr="00091230">
              <w:rPr>
                <w:rFonts w:eastAsia="Cambria"/>
                <w:sz w:val="22"/>
                <w:szCs w:val="22"/>
              </w:rPr>
              <w:t>Апастовская ЦРБ</w:t>
            </w:r>
            <w:r>
              <w:rPr>
                <w:rFonts w:eastAsia="Cambria"/>
                <w:sz w:val="22"/>
                <w:szCs w:val="22"/>
              </w:rPr>
              <w:t>»</w:t>
            </w:r>
          </w:p>
        </w:tc>
        <w:tc>
          <w:tcPr>
            <w:tcW w:w="1416" w:type="dxa"/>
            <w:shd w:val="clear" w:color="auto" w:fill="auto"/>
          </w:tcPr>
          <w:p w:rsidR="009C5812" w:rsidRPr="00091230" w:rsidRDefault="009C5812" w:rsidP="009C5812">
            <w:pPr>
              <w:jc w:val="center"/>
              <w:rPr>
                <w:rFonts w:eastAsia="Cambria"/>
                <w:sz w:val="22"/>
                <w:szCs w:val="22"/>
              </w:rPr>
            </w:pPr>
            <w:r w:rsidRPr="00091230">
              <w:rPr>
                <w:rFonts w:eastAsia="Cambria"/>
                <w:sz w:val="22"/>
                <w:szCs w:val="22"/>
              </w:rPr>
              <w:t>16 153</w:t>
            </w:r>
          </w:p>
        </w:tc>
        <w:tc>
          <w:tcPr>
            <w:tcW w:w="983" w:type="dxa"/>
            <w:shd w:val="clear" w:color="auto" w:fill="auto"/>
          </w:tcPr>
          <w:p w:rsidR="009C5812" w:rsidRPr="00091230" w:rsidRDefault="009C5812" w:rsidP="009C5812">
            <w:pPr>
              <w:jc w:val="center"/>
              <w:rPr>
                <w:rFonts w:eastAsia="Cambria"/>
                <w:sz w:val="22"/>
                <w:szCs w:val="22"/>
              </w:rPr>
            </w:pPr>
            <w:r w:rsidRPr="00091230">
              <w:rPr>
                <w:rFonts w:eastAsia="Cambria"/>
                <w:sz w:val="22"/>
                <w:szCs w:val="22"/>
              </w:rPr>
              <w:t>1</w:t>
            </w:r>
          </w:p>
        </w:tc>
        <w:tc>
          <w:tcPr>
            <w:tcW w:w="1156" w:type="dxa"/>
          </w:tcPr>
          <w:p w:rsidR="009C5812" w:rsidRPr="00091230" w:rsidRDefault="009C5812" w:rsidP="009C5812">
            <w:pPr>
              <w:jc w:val="center"/>
              <w:rPr>
                <w:rFonts w:eastAsia="Cambria"/>
                <w:sz w:val="22"/>
                <w:szCs w:val="22"/>
              </w:rPr>
            </w:pPr>
          </w:p>
        </w:tc>
        <w:tc>
          <w:tcPr>
            <w:tcW w:w="2114" w:type="dxa"/>
            <w:shd w:val="clear" w:color="auto" w:fill="auto"/>
          </w:tcPr>
          <w:p w:rsidR="009C5812" w:rsidRPr="00091230" w:rsidRDefault="009C5812" w:rsidP="009C5812">
            <w:pPr>
              <w:jc w:val="center"/>
              <w:rPr>
                <w:rFonts w:eastAsia="Cambria"/>
                <w:sz w:val="22"/>
                <w:szCs w:val="22"/>
              </w:rPr>
            </w:pPr>
            <w:r w:rsidRPr="00091230">
              <w:rPr>
                <w:rFonts w:eastAsia="Cambria"/>
                <w:sz w:val="22"/>
                <w:szCs w:val="22"/>
              </w:rPr>
              <w:t>1</w:t>
            </w:r>
          </w:p>
        </w:tc>
        <w:tc>
          <w:tcPr>
            <w:tcW w:w="1464" w:type="dxa"/>
            <w:shd w:val="clear" w:color="auto" w:fill="auto"/>
          </w:tcPr>
          <w:p w:rsidR="009C5812" w:rsidRPr="00091230" w:rsidRDefault="009C5812" w:rsidP="009C5812">
            <w:pPr>
              <w:jc w:val="center"/>
              <w:rPr>
                <w:rFonts w:eastAsia="Cambria"/>
                <w:sz w:val="22"/>
                <w:szCs w:val="22"/>
              </w:rPr>
            </w:pPr>
            <w:r w:rsidRPr="00091230">
              <w:rPr>
                <w:rFonts w:eastAsia="Cambria"/>
                <w:sz w:val="22"/>
                <w:szCs w:val="22"/>
              </w:rPr>
              <w:t>1/0,5</w:t>
            </w:r>
          </w:p>
        </w:tc>
        <w:tc>
          <w:tcPr>
            <w:tcW w:w="1662" w:type="dxa"/>
            <w:shd w:val="clear" w:color="auto" w:fill="auto"/>
          </w:tcPr>
          <w:p w:rsidR="009C5812" w:rsidRPr="00091230" w:rsidRDefault="009C5812" w:rsidP="009C5812">
            <w:pPr>
              <w:jc w:val="center"/>
              <w:rPr>
                <w:rFonts w:eastAsia="Cambria"/>
                <w:sz w:val="22"/>
                <w:szCs w:val="22"/>
              </w:rPr>
            </w:pPr>
            <w:r w:rsidRPr="00091230">
              <w:rPr>
                <w:rFonts w:eastAsia="Cambria"/>
                <w:sz w:val="22"/>
                <w:szCs w:val="22"/>
              </w:rPr>
              <w:t>95</w:t>
            </w:r>
          </w:p>
        </w:tc>
      </w:tr>
      <w:tr w:rsidR="009C5812" w:rsidRPr="00091230" w:rsidTr="009C5812">
        <w:trPr>
          <w:trHeight w:val="20"/>
        </w:trPr>
        <w:tc>
          <w:tcPr>
            <w:tcW w:w="704" w:type="dxa"/>
            <w:shd w:val="clear" w:color="auto" w:fill="auto"/>
          </w:tcPr>
          <w:p w:rsidR="009C5812" w:rsidRPr="00091230" w:rsidRDefault="009C5812" w:rsidP="009C5812">
            <w:pPr>
              <w:jc w:val="center"/>
              <w:rPr>
                <w:rFonts w:eastAsia="Cambria"/>
                <w:sz w:val="22"/>
                <w:szCs w:val="22"/>
              </w:rPr>
            </w:pPr>
            <w:r w:rsidRPr="00091230">
              <w:rPr>
                <w:rFonts w:eastAsia="Cambria"/>
                <w:sz w:val="22"/>
                <w:szCs w:val="22"/>
              </w:rPr>
              <w:t>11.</w:t>
            </w:r>
          </w:p>
        </w:tc>
        <w:tc>
          <w:tcPr>
            <w:tcW w:w="2268" w:type="dxa"/>
            <w:shd w:val="clear" w:color="auto" w:fill="auto"/>
          </w:tcPr>
          <w:p w:rsidR="009C5812" w:rsidRPr="00091230" w:rsidRDefault="009C5812" w:rsidP="009C5812">
            <w:pPr>
              <w:ind w:right="30"/>
              <w:jc w:val="both"/>
              <w:rPr>
                <w:rFonts w:eastAsia="Cambria"/>
                <w:sz w:val="22"/>
                <w:szCs w:val="22"/>
              </w:rPr>
            </w:pPr>
            <w:r w:rsidRPr="00091230">
              <w:rPr>
                <w:rFonts w:eastAsia="Cambria"/>
                <w:sz w:val="22"/>
                <w:szCs w:val="22"/>
              </w:rPr>
              <w:t>Арский муниципальный район</w:t>
            </w:r>
          </w:p>
        </w:tc>
        <w:tc>
          <w:tcPr>
            <w:tcW w:w="2410" w:type="dxa"/>
          </w:tcPr>
          <w:p w:rsidR="009C5812" w:rsidRPr="00091230" w:rsidRDefault="009C5812" w:rsidP="009C5812">
            <w:pPr>
              <w:jc w:val="both"/>
              <w:rPr>
                <w:rFonts w:eastAsia="Cambria"/>
                <w:sz w:val="22"/>
                <w:szCs w:val="22"/>
              </w:rPr>
            </w:pPr>
            <w:r w:rsidRPr="00091230">
              <w:rPr>
                <w:rFonts w:eastAsia="Cambria"/>
                <w:sz w:val="22"/>
                <w:szCs w:val="22"/>
              </w:rPr>
              <w:t xml:space="preserve">ГАУЗ </w:t>
            </w:r>
            <w:r>
              <w:rPr>
                <w:rFonts w:eastAsia="Cambria"/>
                <w:sz w:val="22"/>
                <w:szCs w:val="22"/>
              </w:rPr>
              <w:t>«</w:t>
            </w:r>
            <w:r w:rsidRPr="00091230">
              <w:rPr>
                <w:rFonts w:eastAsia="Cambria"/>
                <w:sz w:val="22"/>
                <w:szCs w:val="22"/>
              </w:rPr>
              <w:t>Арская ЦРБ</w:t>
            </w:r>
            <w:r>
              <w:rPr>
                <w:rFonts w:eastAsia="Cambria"/>
                <w:sz w:val="22"/>
                <w:szCs w:val="22"/>
              </w:rPr>
              <w:t>»</w:t>
            </w:r>
          </w:p>
        </w:tc>
        <w:tc>
          <w:tcPr>
            <w:tcW w:w="1416" w:type="dxa"/>
            <w:shd w:val="clear" w:color="auto" w:fill="auto"/>
          </w:tcPr>
          <w:p w:rsidR="009C5812" w:rsidRPr="00A63A79" w:rsidRDefault="009C5812" w:rsidP="009C5812">
            <w:pPr>
              <w:jc w:val="center"/>
              <w:rPr>
                <w:rFonts w:eastAsia="Cambria"/>
                <w:sz w:val="22"/>
                <w:szCs w:val="22"/>
              </w:rPr>
            </w:pPr>
            <w:r w:rsidRPr="00A63A79">
              <w:rPr>
                <w:rFonts w:eastAsia="Cambria"/>
                <w:sz w:val="22"/>
                <w:szCs w:val="22"/>
              </w:rPr>
              <w:t>77 263</w:t>
            </w:r>
          </w:p>
        </w:tc>
        <w:tc>
          <w:tcPr>
            <w:tcW w:w="983" w:type="dxa"/>
            <w:shd w:val="clear" w:color="auto" w:fill="auto"/>
          </w:tcPr>
          <w:p w:rsidR="009C5812" w:rsidRPr="00A63A79" w:rsidRDefault="009C5812" w:rsidP="009C5812">
            <w:pPr>
              <w:jc w:val="center"/>
              <w:rPr>
                <w:rFonts w:eastAsia="Cambria"/>
                <w:sz w:val="22"/>
                <w:szCs w:val="22"/>
              </w:rPr>
            </w:pPr>
            <w:r w:rsidRPr="00A63A79">
              <w:rPr>
                <w:rFonts w:eastAsia="Cambria"/>
                <w:sz w:val="22"/>
                <w:szCs w:val="22"/>
              </w:rPr>
              <w:t>-</w:t>
            </w:r>
          </w:p>
        </w:tc>
        <w:tc>
          <w:tcPr>
            <w:tcW w:w="1156" w:type="dxa"/>
          </w:tcPr>
          <w:p w:rsidR="009C5812" w:rsidRPr="00091230" w:rsidRDefault="009C5812" w:rsidP="009C5812">
            <w:pPr>
              <w:jc w:val="center"/>
              <w:rPr>
                <w:rFonts w:eastAsia="Cambria"/>
                <w:sz w:val="22"/>
                <w:szCs w:val="22"/>
              </w:rPr>
            </w:pPr>
            <w:r w:rsidRPr="00091230">
              <w:rPr>
                <w:rFonts w:eastAsia="Cambria"/>
                <w:sz w:val="22"/>
                <w:szCs w:val="22"/>
              </w:rPr>
              <w:t>2024</w:t>
            </w:r>
          </w:p>
        </w:tc>
        <w:tc>
          <w:tcPr>
            <w:tcW w:w="2114" w:type="dxa"/>
            <w:shd w:val="clear" w:color="auto" w:fill="auto"/>
          </w:tcPr>
          <w:p w:rsidR="009C5812" w:rsidRPr="00091230" w:rsidRDefault="009C5812" w:rsidP="009C5812">
            <w:pPr>
              <w:jc w:val="center"/>
              <w:rPr>
                <w:rFonts w:eastAsia="Cambria"/>
                <w:sz w:val="22"/>
                <w:szCs w:val="22"/>
              </w:rPr>
            </w:pPr>
            <w:r w:rsidRPr="00091230">
              <w:rPr>
                <w:rFonts w:eastAsia="Cambria"/>
                <w:sz w:val="22"/>
                <w:szCs w:val="22"/>
              </w:rPr>
              <w:t>0,5</w:t>
            </w:r>
          </w:p>
        </w:tc>
        <w:tc>
          <w:tcPr>
            <w:tcW w:w="1464" w:type="dxa"/>
            <w:shd w:val="clear" w:color="auto" w:fill="auto"/>
          </w:tcPr>
          <w:p w:rsidR="009C5812" w:rsidRPr="00091230" w:rsidRDefault="009C5812" w:rsidP="009C5812">
            <w:pPr>
              <w:jc w:val="center"/>
              <w:rPr>
                <w:rFonts w:eastAsia="Cambria"/>
                <w:sz w:val="22"/>
                <w:szCs w:val="22"/>
              </w:rPr>
            </w:pPr>
            <w:r w:rsidRPr="00091230">
              <w:rPr>
                <w:rFonts w:eastAsia="Cambria"/>
                <w:sz w:val="22"/>
                <w:szCs w:val="22"/>
              </w:rPr>
              <w:t>2/2</w:t>
            </w:r>
          </w:p>
        </w:tc>
        <w:tc>
          <w:tcPr>
            <w:tcW w:w="1662" w:type="dxa"/>
            <w:shd w:val="clear" w:color="auto" w:fill="auto"/>
          </w:tcPr>
          <w:p w:rsidR="009C5812" w:rsidRPr="00091230" w:rsidRDefault="009C5812" w:rsidP="009C5812">
            <w:pPr>
              <w:jc w:val="center"/>
              <w:rPr>
                <w:rFonts w:eastAsia="Cambria"/>
                <w:sz w:val="22"/>
                <w:szCs w:val="22"/>
              </w:rPr>
            </w:pPr>
            <w:r w:rsidRPr="00091230">
              <w:rPr>
                <w:rFonts w:eastAsia="Cambria"/>
                <w:sz w:val="22"/>
                <w:szCs w:val="22"/>
              </w:rPr>
              <w:t>68</w:t>
            </w:r>
          </w:p>
        </w:tc>
      </w:tr>
      <w:tr w:rsidR="009C5812" w:rsidRPr="00091230" w:rsidTr="009C5812">
        <w:trPr>
          <w:trHeight w:val="20"/>
        </w:trPr>
        <w:tc>
          <w:tcPr>
            <w:tcW w:w="704" w:type="dxa"/>
            <w:shd w:val="clear" w:color="auto" w:fill="auto"/>
          </w:tcPr>
          <w:p w:rsidR="009C5812" w:rsidRPr="00091230" w:rsidRDefault="009C5812" w:rsidP="009C5812">
            <w:pPr>
              <w:jc w:val="center"/>
              <w:rPr>
                <w:rFonts w:eastAsia="Cambria"/>
                <w:sz w:val="22"/>
                <w:szCs w:val="22"/>
              </w:rPr>
            </w:pPr>
            <w:r w:rsidRPr="00091230">
              <w:rPr>
                <w:rFonts w:eastAsia="Cambria"/>
                <w:sz w:val="22"/>
                <w:szCs w:val="22"/>
              </w:rPr>
              <w:t>12.</w:t>
            </w:r>
          </w:p>
        </w:tc>
        <w:tc>
          <w:tcPr>
            <w:tcW w:w="2268" w:type="dxa"/>
            <w:shd w:val="clear" w:color="auto" w:fill="auto"/>
          </w:tcPr>
          <w:p w:rsidR="009C5812" w:rsidRPr="00091230" w:rsidRDefault="009C5812" w:rsidP="009C5812">
            <w:pPr>
              <w:ind w:right="30"/>
              <w:jc w:val="both"/>
              <w:rPr>
                <w:rFonts w:eastAsia="Cambria"/>
                <w:sz w:val="22"/>
                <w:szCs w:val="22"/>
              </w:rPr>
            </w:pPr>
            <w:r w:rsidRPr="00091230">
              <w:rPr>
                <w:rFonts w:eastAsia="Cambria"/>
                <w:sz w:val="22"/>
                <w:szCs w:val="22"/>
              </w:rPr>
              <w:t>Атнинский муниципальный район</w:t>
            </w:r>
          </w:p>
        </w:tc>
        <w:tc>
          <w:tcPr>
            <w:tcW w:w="2410" w:type="dxa"/>
          </w:tcPr>
          <w:p w:rsidR="009C5812" w:rsidRPr="00091230" w:rsidRDefault="009C5812" w:rsidP="009C5812">
            <w:pPr>
              <w:jc w:val="both"/>
              <w:rPr>
                <w:rFonts w:eastAsia="Cambria"/>
                <w:sz w:val="22"/>
                <w:szCs w:val="22"/>
              </w:rPr>
            </w:pPr>
            <w:r w:rsidRPr="00091230">
              <w:rPr>
                <w:rFonts w:eastAsia="Cambria"/>
                <w:sz w:val="22"/>
                <w:szCs w:val="22"/>
              </w:rPr>
              <w:t xml:space="preserve">ГАУЗ </w:t>
            </w:r>
            <w:r>
              <w:rPr>
                <w:rFonts w:eastAsia="Cambria"/>
                <w:sz w:val="22"/>
                <w:szCs w:val="22"/>
              </w:rPr>
              <w:t>«</w:t>
            </w:r>
            <w:r w:rsidRPr="00091230">
              <w:rPr>
                <w:rFonts w:eastAsia="Cambria"/>
                <w:sz w:val="22"/>
                <w:szCs w:val="22"/>
              </w:rPr>
              <w:t>Атнинская ЦРБ</w:t>
            </w:r>
            <w:r>
              <w:rPr>
                <w:rFonts w:eastAsia="Cambria"/>
                <w:sz w:val="22"/>
                <w:szCs w:val="22"/>
              </w:rPr>
              <w:t>»</w:t>
            </w:r>
          </w:p>
        </w:tc>
        <w:tc>
          <w:tcPr>
            <w:tcW w:w="1416" w:type="dxa"/>
            <w:shd w:val="clear" w:color="auto" w:fill="auto"/>
          </w:tcPr>
          <w:p w:rsidR="009C5812" w:rsidRPr="00091230" w:rsidRDefault="009C5812" w:rsidP="009C5812">
            <w:pPr>
              <w:jc w:val="center"/>
              <w:rPr>
                <w:rFonts w:eastAsia="Cambria"/>
                <w:sz w:val="22"/>
                <w:szCs w:val="22"/>
              </w:rPr>
            </w:pPr>
            <w:r w:rsidRPr="00091230">
              <w:rPr>
                <w:rFonts w:eastAsia="Cambria"/>
                <w:sz w:val="22"/>
                <w:szCs w:val="22"/>
              </w:rPr>
              <w:t>10 635</w:t>
            </w:r>
          </w:p>
        </w:tc>
        <w:tc>
          <w:tcPr>
            <w:tcW w:w="983" w:type="dxa"/>
            <w:shd w:val="clear" w:color="auto" w:fill="auto"/>
          </w:tcPr>
          <w:p w:rsidR="009C5812" w:rsidRPr="00091230" w:rsidRDefault="009C5812" w:rsidP="009C5812">
            <w:pPr>
              <w:jc w:val="center"/>
              <w:rPr>
                <w:rFonts w:eastAsia="Cambria"/>
                <w:sz w:val="22"/>
                <w:szCs w:val="22"/>
              </w:rPr>
            </w:pPr>
            <w:r w:rsidRPr="00091230">
              <w:rPr>
                <w:rFonts w:eastAsia="Cambria"/>
                <w:sz w:val="22"/>
                <w:szCs w:val="22"/>
              </w:rPr>
              <w:t>1</w:t>
            </w:r>
          </w:p>
        </w:tc>
        <w:tc>
          <w:tcPr>
            <w:tcW w:w="1156" w:type="dxa"/>
          </w:tcPr>
          <w:p w:rsidR="009C5812" w:rsidRPr="00091230" w:rsidRDefault="009C5812" w:rsidP="009C5812">
            <w:pPr>
              <w:jc w:val="center"/>
              <w:rPr>
                <w:rFonts w:eastAsia="Cambria"/>
                <w:sz w:val="22"/>
                <w:szCs w:val="22"/>
              </w:rPr>
            </w:pPr>
          </w:p>
        </w:tc>
        <w:tc>
          <w:tcPr>
            <w:tcW w:w="2114" w:type="dxa"/>
            <w:shd w:val="clear" w:color="auto" w:fill="auto"/>
          </w:tcPr>
          <w:p w:rsidR="009C5812" w:rsidRPr="00091230" w:rsidRDefault="009C5812" w:rsidP="009C5812">
            <w:pPr>
              <w:jc w:val="center"/>
              <w:rPr>
                <w:rFonts w:eastAsia="Cambria"/>
                <w:sz w:val="22"/>
                <w:szCs w:val="22"/>
              </w:rPr>
            </w:pPr>
            <w:r w:rsidRPr="00091230">
              <w:rPr>
                <w:rFonts w:eastAsia="Cambria"/>
                <w:sz w:val="22"/>
                <w:szCs w:val="22"/>
              </w:rPr>
              <w:t>0,5</w:t>
            </w:r>
          </w:p>
        </w:tc>
        <w:tc>
          <w:tcPr>
            <w:tcW w:w="1464" w:type="dxa"/>
            <w:shd w:val="clear" w:color="auto" w:fill="auto"/>
          </w:tcPr>
          <w:p w:rsidR="009C5812" w:rsidRPr="00091230" w:rsidRDefault="009C5812" w:rsidP="009C5812">
            <w:pPr>
              <w:jc w:val="center"/>
              <w:rPr>
                <w:rFonts w:eastAsia="Cambria"/>
                <w:sz w:val="22"/>
                <w:szCs w:val="22"/>
              </w:rPr>
            </w:pPr>
            <w:r w:rsidRPr="00091230">
              <w:rPr>
                <w:rFonts w:eastAsia="Cambria"/>
                <w:sz w:val="22"/>
                <w:szCs w:val="22"/>
              </w:rPr>
              <w:t>1/0,5</w:t>
            </w:r>
          </w:p>
        </w:tc>
        <w:tc>
          <w:tcPr>
            <w:tcW w:w="1662" w:type="dxa"/>
            <w:shd w:val="clear" w:color="auto" w:fill="auto"/>
          </w:tcPr>
          <w:p w:rsidR="009C5812" w:rsidRPr="00091230" w:rsidRDefault="009C5812" w:rsidP="009C5812">
            <w:pPr>
              <w:jc w:val="center"/>
              <w:rPr>
                <w:rFonts w:eastAsia="Cambria"/>
                <w:sz w:val="22"/>
                <w:szCs w:val="22"/>
              </w:rPr>
            </w:pPr>
            <w:r w:rsidRPr="00091230">
              <w:rPr>
                <w:rFonts w:eastAsia="Cambria"/>
                <w:sz w:val="22"/>
                <w:szCs w:val="22"/>
              </w:rPr>
              <w:t>70</w:t>
            </w:r>
          </w:p>
        </w:tc>
      </w:tr>
      <w:tr w:rsidR="009C5812" w:rsidRPr="00091230" w:rsidTr="009C5812">
        <w:trPr>
          <w:trHeight w:val="20"/>
        </w:trPr>
        <w:tc>
          <w:tcPr>
            <w:tcW w:w="704" w:type="dxa"/>
            <w:tcBorders>
              <w:top w:val="single" w:sz="4" w:space="0" w:color="auto"/>
              <w:left w:val="single" w:sz="4" w:space="0" w:color="auto"/>
              <w:bottom w:val="single" w:sz="4" w:space="0" w:color="auto"/>
              <w:right w:val="single" w:sz="4" w:space="0" w:color="auto"/>
            </w:tcBorders>
            <w:shd w:val="clear" w:color="auto" w:fill="auto"/>
          </w:tcPr>
          <w:p w:rsidR="009C5812" w:rsidRPr="00091230" w:rsidRDefault="009C5812" w:rsidP="009C5812">
            <w:pPr>
              <w:jc w:val="center"/>
              <w:rPr>
                <w:rFonts w:eastAsia="Cambria"/>
                <w:sz w:val="22"/>
                <w:szCs w:val="22"/>
              </w:rPr>
            </w:pPr>
            <w:r w:rsidRPr="00091230">
              <w:rPr>
                <w:rFonts w:eastAsia="Cambria"/>
                <w:sz w:val="22"/>
                <w:szCs w:val="22"/>
              </w:rPr>
              <w:t>13.</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9C5812" w:rsidRPr="00091230" w:rsidRDefault="009C5812" w:rsidP="009C5812">
            <w:pPr>
              <w:ind w:right="30"/>
              <w:jc w:val="both"/>
              <w:rPr>
                <w:rFonts w:eastAsia="Cambria"/>
                <w:sz w:val="22"/>
                <w:szCs w:val="22"/>
              </w:rPr>
            </w:pPr>
            <w:r w:rsidRPr="00091230">
              <w:rPr>
                <w:rFonts w:eastAsia="Cambria"/>
                <w:sz w:val="22"/>
                <w:szCs w:val="22"/>
              </w:rPr>
              <w:t>Бавлинский муниципальный район</w:t>
            </w:r>
          </w:p>
        </w:tc>
        <w:tc>
          <w:tcPr>
            <w:tcW w:w="2410" w:type="dxa"/>
            <w:tcBorders>
              <w:top w:val="single" w:sz="4" w:space="0" w:color="auto"/>
              <w:left w:val="single" w:sz="4" w:space="0" w:color="auto"/>
              <w:bottom w:val="single" w:sz="4" w:space="0" w:color="auto"/>
              <w:right w:val="single" w:sz="4" w:space="0" w:color="auto"/>
            </w:tcBorders>
          </w:tcPr>
          <w:p w:rsidR="009C5812" w:rsidRPr="00091230" w:rsidRDefault="009C5812" w:rsidP="009C5812">
            <w:pPr>
              <w:jc w:val="both"/>
              <w:rPr>
                <w:rFonts w:eastAsia="Cambria"/>
                <w:sz w:val="22"/>
                <w:szCs w:val="22"/>
              </w:rPr>
            </w:pPr>
            <w:r w:rsidRPr="00091230">
              <w:rPr>
                <w:rFonts w:eastAsia="Cambria"/>
                <w:sz w:val="22"/>
                <w:szCs w:val="22"/>
              </w:rPr>
              <w:t xml:space="preserve">ГАУЗ </w:t>
            </w:r>
            <w:r>
              <w:rPr>
                <w:rFonts w:eastAsia="Cambria"/>
                <w:sz w:val="22"/>
                <w:szCs w:val="22"/>
              </w:rPr>
              <w:t>«</w:t>
            </w:r>
            <w:r w:rsidRPr="00091230">
              <w:rPr>
                <w:rFonts w:eastAsia="Cambria"/>
                <w:sz w:val="22"/>
                <w:szCs w:val="22"/>
              </w:rPr>
              <w:t>Бавлинская ЦРБ</w:t>
            </w:r>
            <w:r>
              <w:rPr>
                <w:rFonts w:eastAsia="Cambria"/>
                <w:sz w:val="22"/>
                <w:szCs w:val="22"/>
              </w:rPr>
              <w:t>»</w:t>
            </w:r>
          </w:p>
        </w:tc>
        <w:tc>
          <w:tcPr>
            <w:tcW w:w="1416" w:type="dxa"/>
            <w:tcBorders>
              <w:top w:val="single" w:sz="4" w:space="0" w:color="auto"/>
              <w:left w:val="single" w:sz="4" w:space="0" w:color="auto"/>
              <w:bottom w:val="single" w:sz="4" w:space="0" w:color="auto"/>
              <w:right w:val="single" w:sz="4" w:space="0" w:color="auto"/>
            </w:tcBorders>
            <w:shd w:val="clear" w:color="auto" w:fill="auto"/>
          </w:tcPr>
          <w:p w:rsidR="009C5812" w:rsidRPr="00091230" w:rsidRDefault="009C5812" w:rsidP="009C5812">
            <w:pPr>
              <w:jc w:val="center"/>
              <w:rPr>
                <w:rFonts w:eastAsia="Cambria"/>
                <w:sz w:val="22"/>
                <w:szCs w:val="22"/>
              </w:rPr>
            </w:pPr>
            <w:r w:rsidRPr="00091230">
              <w:rPr>
                <w:rFonts w:eastAsia="Cambria"/>
                <w:sz w:val="22"/>
                <w:szCs w:val="22"/>
              </w:rPr>
              <w:t>27 230</w:t>
            </w:r>
          </w:p>
        </w:tc>
        <w:tc>
          <w:tcPr>
            <w:tcW w:w="983" w:type="dxa"/>
            <w:tcBorders>
              <w:top w:val="single" w:sz="4" w:space="0" w:color="auto"/>
              <w:left w:val="single" w:sz="4" w:space="0" w:color="auto"/>
              <w:bottom w:val="single" w:sz="4" w:space="0" w:color="auto"/>
              <w:right w:val="single" w:sz="4" w:space="0" w:color="auto"/>
            </w:tcBorders>
            <w:shd w:val="clear" w:color="auto" w:fill="auto"/>
          </w:tcPr>
          <w:p w:rsidR="009C5812" w:rsidRPr="00091230" w:rsidRDefault="009C5812" w:rsidP="009C5812">
            <w:pPr>
              <w:jc w:val="center"/>
              <w:rPr>
                <w:rFonts w:eastAsia="Cambria"/>
                <w:sz w:val="22"/>
                <w:szCs w:val="22"/>
              </w:rPr>
            </w:pPr>
            <w:r w:rsidRPr="00091230">
              <w:rPr>
                <w:rFonts w:eastAsia="Cambria"/>
                <w:sz w:val="22"/>
                <w:szCs w:val="22"/>
              </w:rPr>
              <w:t>1</w:t>
            </w:r>
          </w:p>
        </w:tc>
        <w:tc>
          <w:tcPr>
            <w:tcW w:w="1156" w:type="dxa"/>
            <w:tcBorders>
              <w:top w:val="single" w:sz="4" w:space="0" w:color="auto"/>
              <w:left w:val="single" w:sz="4" w:space="0" w:color="auto"/>
              <w:bottom w:val="single" w:sz="4" w:space="0" w:color="auto"/>
              <w:right w:val="single" w:sz="4" w:space="0" w:color="auto"/>
            </w:tcBorders>
          </w:tcPr>
          <w:p w:rsidR="009C5812" w:rsidRPr="00091230" w:rsidRDefault="009C5812" w:rsidP="009C5812">
            <w:pPr>
              <w:jc w:val="center"/>
              <w:rPr>
                <w:rFonts w:eastAsia="Cambria"/>
                <w:sz w:val="22"/>
                <w:szCs w:val="22"/>
              </w:rPr>
            </w:pPr>
          </w:p>
        </w:tc>
        <w:tc>
          <w:tcPr>
            <w:tcW w:w="2114" w:type="dxa"/>
            <w:tcBorders>
              <w:top w:val="single" w:sz="4" w:space="0" w:color="auto"/>
              <w:left w:val="single" w:sz="4" w:space="0" w:color="auto"/>
              <w:bottom w:val="single" w:sz="4" w:space="0" w:color="auto"/>
              <w:right w:val="single" w:sz="4" w:space="0" w:color="auto"/>
            </w:tcBorders>
            <w:shd w:val="clear" w:color="auto" w:fill="auto"/>
          </w:tcPr>
          <w:p w:rsidR="009C5812" w:rsidRPr="00091230" w:rsidRDefault="009C5812" w:rsidP="009C5812">
            <w:pPr>
              <w:jc w:val="center"/>
              <w:rPr>
                <w:rFonts w:eastAsia="Cambria"/>
                <w:sz w:val="22"/>
                <w:szCs w:val="22"/>
              </w:rPr>
            </w:pPr>
            <w:r w:rsidRPr="00091230">
              <w:rPr>
                <w:rFonts w:eastAsia="Cambria"/>
                <w:sz w:val="22"/>
                <w:szCs w:val="22"/>
              </w:rPr>
              <w:t>1</w:t>
            </w:r>
          </w:p>
        </w:tc>
        <w:tc>
          <w:tcPr>
            <w:tcW w:w="1464" w:type="dxa"/>
            <w:tcBorders>
              <w:top w:val="single" w:sz="4" w:space="0" w:color="auto"/>
              <w:left w:val="single" w:sz="4" w:space="0" w:color="auto"/>
              <w:bottom w:val="single" w:sz="4" w:space="0" w:color="auto"/>
              <w:right w:val="single" w:sz="4" w:space="0" w:color="auto"/>
            </w:tcBorders>
            <w:shd w:val="clear" w:color="auto" w:fill="auto"/>
          </w:tcPr>
          <w:p w:rsidR="009C5812" w:rsidRPr="00091230" w:rsidRDefault="009C5812" w:rsidP="009C5812">
            <w:pPr>
              <w:jc w:val="center"/>
              <w:rPr>
                <w:rFonts w:eastAsia="Cambria"/>
                <w:sz w:val="22"/>
                <w:szCs w:val="22"/>
              </w:rPr>
            </w:pPr>
            <w:r w:rsidRPr="00091230">
              <w:rPr>
                <w:rFonts w:eastAsia="Cambria"/>
                <w:sz w:val="22"/>
                <w:szCs w:val="22"/>
              </w:rPr>
              <w:t>0/1</w:t>
            </w:r>
          </w:p>
        </w:tc>
        <w:tc>
          <w:tcPr>
            <w:tcW w:w="1662" w:type="dxa"/>
            <w:tcBorders>
              <w:top w:val="single" w:sz="4" w:space="0" w:color="auto"/>
              <w:left w:val="single" w:sz="4" w:space="0" w:color="auto"/>
              <w:bottom w:val="single" w:sz="4" w:space="0" w:color="auto"/>
              <w:right w:val="single" w:sz="4" w:space="0" w:color="auto"/>
            </w:tcBorders>
            <w:shd w:val="clear" w:color="auto" w:fill="auto"/>
          </w:tcPr>
          <w:p w:rsidR="009C5812" w:rsidRPr="00091230" w:rsidRDefault="009C5812" w:rsidP="009C5812">
            <w:pPr>
              <w:jc w:val="center"/>
              <w:rPr>
                <w:rFonts w:eastAsia="Cambria"/>
                <w:sz w:val="22"/>
                <w:szCs w:val="22"/>
              </w:rPr>
            </w:pPr>
            <w:r w:rsidRPr="00091230">
              <w:rPr>
                <w:rFonts w:eastAsia="Cambria"/>
                <w:sz w:val="22"/>
                <w:szCs w:val="22"/>
              </w:rPr>
              <w:t>370</w:t>
            </w:r>
          </w:p>
        </w:tc>
      </w:tr>
      <w:tr w:rsidR="009C5812" w:rsidRPr="00091230" w:rsidTr="009C5812">
        <w:trPr>
          <w:trHeight w:val="20"/>
        </w:trPr>
        <w:tc>
          <w:tcPr>
            <w:tcW w:w="704" w:type="dxa"/>
            <w:tcBorders>
              <w:top w:val="single" w:sz="4" w:space="0" w:color="auto"/>
              <w:left w:val="single" w:sz="4" w:space="0" w:color="auto"/>
              <w:bottom w:val="single" w:sz="4" w:space="0" w:color="auto"/>
              <w:right w:val="single" w:sz="4" w:space="0" w:color="auto"/>
            </w:tcBorders>
            <w:shd w:val="clear" w:color="auto" w:fill="auto"/>
          </w:tcPr>
          <w:p w:rsidR="009C5812" w:rsidRPr="00091230" w:rsidRDefault="009C5812" w:rsidP="009C5812">
            <w:pPr>
              <w:jc w:val="center"/>
              <w:rPr>
                <w:rFonts w:eastAsia="Cambria"/>
                <w:sz w:val="22"/>
                <w:szCs w:val="22"/>
              </w:rPr>
            </w:pPr>
            <w:r w:rsidRPr="00091230">
              <w:rPr>
                <w:rFonts w:eastAsia="Cambria"/>
                <w:sz w:val="22"/>
                <w:szCs w:val="22"/>
              </w:rPr>
              <w:t>14.</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9C5812" w:rsidRPr="00091230" w:rsidRDefault="009C5812" w:rsidP="009C5812">
            <w:pPr>
              <w:ind w:right="30"/>
              <w:jc w:val="both"/>
              <w:rPr>
                <w:rFonts w:eastAsia="Cambria"/>
                <w:sz w:val="22"/>
                <w:szCs w:val="22"/>
              </w:rPr>
            </w:pPr>
            <w:r w:rsidRPr="00091230">
              <w:rPr>
                <w:rFonts w:eastAsia="Cambria"/>
                <w:sz w:val="22"/>
                <w:szCs w:val="22"/>
              </w:rPr>
              <w:t>Балтасинский муниципальный район</w:t>
            </w:r>
          </w:p>
        </w:tc>
        <w:tc>
          <w:tcPr>
            <w:tcW w:w="2410" w:type="dxa"/>
            <w:tcBorders>
              <w:top w:val="single" w:sz="4" w:space="0" w:color="auto"/>
              <w:left w:val="single" w:sz="4" w:space="0" w:color="auto"/>
              <w:bottom w:val="single" w:sz="4" w:space="0" w:color="auto"/>
              <w:right w:val="single" w:sz="4" w:space="0" w:color="auto"/>
            </w:tcBorders>
          </w:tcPr>
          <w:p w:rsidR="009C5812" w:rsidRPr="00091230" w:rsidRDefault="009C5812" w:rsidP="009C5812">
            <w:pPr>
              <w:jc w:val="both"/>
              <w:rPr>
                <w:rFonts w:eastAsia="Cambria"/>
                <w:sz w:val="22"/>
                <w:szCs w:val="22"/>
              </w:rPr>
            </w:pPr>
            <w:r w:rsidRPr="00091230">
              <w:rPr>
                <w:rFonts w:eastAsia="Cambria"/>
                <w:sz w:val="22"/>
                <w:szCs w:val="22"/>
              </w:rPr>
              <w:t xml:space="preserve">ГАУЗ </w:t>
            </w:r>
            <w:r>
              <w:rPr>
                <w:rFonts w:eastAsia="Cambria"/>
                <w:sz w:val="22"/>
                <w:szCs w:val="22"/>
              </w:rPr>
              <w:t>«</w:t>
            </w:r>
            <w:r w:rsidRPr="00091230">
              <w:rPr>
                <w:rFonts w:eastAsia="Cambria"/>
                <w:sz w:val="22"/>
                <w:szCs w:val="22"/>
              </w:rPr>
              <w:t>Балтасинская ЦРБ</w:t>
            </w:r>
            <w:r>
              <w:rPr>
                <w:rFonts w:eastAsia="Cambria"/>
                <w:sz w:val="22"/>
                <w:szCs w:val="22"/>
              </w:rPr>
              <w:t>»</w:t>
            </w:r>
          </w:p>
        </w:tc>
        <w:tc>
          <w:tcPr>
            <w:tcW w:w="1416" w:type="dxa"/>
            <w:tcBorders>
              <w:top w:val="single" w:sz="4" w:space="0" w:color="auto"/>
              <w:left w:val="single" w:sz="4" w:space="0" w:color="auto"/>
              <w:bottom w:val="single" w:sz="4" w:space="0" w:color="auto"/>
              <w:right w:val="single" w:sz="4" w:space="0" w:color="auto"/>
            </w:tcBorders>
            <w:shd w:val="clear" w:color="auto" w:fill="auto"/>
          </w:tcPr>
          <w:p w:rsidR="009C5812" w:rsidRPr="00091230" w:rsidRDefault="009C5812" w:rsidP="009C5812">
            <w:pPr>
              <w:jc w:val="center"/>
              <w:rPr>
                <w:rFonts w:eastAsia="Cambria"/>
                <w:sz w:val="22"/>
                <w:szCs w:val="22"/>
              </w:rPr>
            </w:pPr>
            <w:r w:rsidRPr="00091230">
              <w:rPr>
                <w:rFonts w:eastAsia="Cambria"/>
                <w:sz w:val="22"/>
                <w:szCs w:val="22"/>
              </w:rPr>
              <w:t>25 938</w:t>
            </w:r>
          </w:p>
        </w:tc>
        <w:tc>
          <w:tcPr>
            <w:tcW w:w="983" w:type="dxa"/>
            <w:tcBorders>
              <w:top w:val="single" w:sz="4" w:space="0" w:color="auto"/>
              <w:left w:val="single" w:sz="4" w:space="0" w:color="auto"/>
              <w:bottom w:val="single" w:sz="4" w:space="0" w:color="auto"/>
              <w:right w:val="single" w:sz="4" w:space="0" w:color="auto"/>
            </w:tcBorders>
            <w:shd w:val="clear" w:color="auto" w:fill="auto"/>
          </w:tcPr>
          <w:p w:rsidR="009C5812" w:rsidRPr="00091230" w:rsidRDefault="009C5812" w:rsidP="009C5812">
            <w:pPr>
              <w:jc w:val="center"/>
              <w:rPr>
                <w:rFonts w:eastAsia="Cambria"/>
                <w:sz w:val="22"/>
                <w:szCs w:val="22"/>
              </w:rPr>
            </w:pPr>
            <w:r w:rsidRPr="00091230">
              <w:rPr>
                <w:rFonts w:eastAsia="Cambria"/>
                <w:sz w:val="22"/>
                <w:szCs w:val="22"/>
              </w:rPr>
              <w:t>1</w:t>
            </w:r>
          </w:p>
        </w:tc>
        <w:tc>
          <w:tcPr>
            <w:tcW w:w="1156" w:type="dxa"/>
            <w:tcBorders>
              <w:top w:val="single" w:sz="4" w:space="0" w:color="auto"/>
              <w:left w:val="single" w:sz="4" w:space="0" w:color="auto"/>
              <w:bottom w:val="single" w:sz="4" w:space="0" w:color="auto"/>
              <w:right w:val="single" w:sz="4" w:space="0" w:color="auto"/>
            </w:tcBorders>
          </w:tcPr>
          <w:p w:rsidR="009C5812" w:rsidRPr="00091230" w:rsidRDefault="009C5812" w:rsidP="009C5812">
            <w:pPr>
              <w:jc w:val="center"/>
              <w:rPr>
                <w:rFonts w:eastAsia="Cambria"/>
                <w:sz w:val="22"/>
                <w:szCs w:val="22"/>
              </w:rPr>
            </w:pPr>
          </w:p>
        </w:tc>
        <w:tc>
          <w:tcPr>
            <w:tcW w:w="2114" w:type="dxa"/>
            <w:tcBorders>
              <w:top w:val="single" w:sz="4" w:space="0" w:color="auto"/>
              <w:left w:val="single" w:sz="4" w:space="0" w:color="auto"/>
              <w:bottom w:val="single" w:sz="4" w:space="0" w:color="auto"/>
              <w:right w:val="single" w:sz="4" w:space="0" w:color="auto"/>
            </w:tcBorders>
            <w:shd w:val="clear" w:color="auto" w:fill="auto"/>
          </w:tcPr>
          <w:p w:rsidR="009C5812" w:rsidRPr="00091230" w:rsidRDefault="009C5812" w:rsidP="009C5812">
            <w:pPr>
              <w:jc w:val="center"/>
              <w:rPr>
                <w:rFonts w:eastAsia="Cambria"/>
                <w:sz w:val="22"/>
                <w:szCs w:val="22"/>
              </w:rPr>
            </w:pPr>
            <w:r w:rsidRPr="00091230">
              <w:rPr>
                <w:rFonts w:eastAsia="Cambria"/>
                <w:sz w:val="22"/>
                <w:szCs w:val="22"/>
              </w:rPr>
              <w:t>0,5</w:t>
            </w:r>
          </w:p>
        </w:tc>
        <w:tc>
          <w:tcPr>
            <w:tcW w:w="1464" w:type="dxa"/>
            <w:tcBorders>
              <w:top w:val="single" w:sz="4" w:space="0" w:color="auto"/>
              <w:left w:val="single" w:sz="4" w:space="0" w:color="auto"/>
              <w:bottom w:val="single" w:sz="4" w:space="0" w:color="auto"/>
              <w:right w:val="single" w:sz="4" w:space="0" w:color="auto"/>
            </w:tcBorders>
            <w:shd w:val="clear" w:color="auto" w:fill="auto"/>
          </w:tcPr>
          <w:p w:rsidR="009C5812" w:rsidRPr="00091230" w:rsidRDefault="009C5812" w:rsidP="009C5812">
            <w:pPr>
              <w:jc w:val="center"/>
              <w:rPr>
                <w:rFonts w:eastAsia="Cambria"/>
                <w:sz w:val="22"/>
                <w:szCs w:val="22"/>
              </w:rPr>
            </w:pPr>
            <w:r w:rsidRPr="00091230">
              <w:rPr>
                <w:rFonts w:eastAsia="Cambria"/>
                <w:sz w:val="22"/>
                <w:szCs w:val="22"/>
              </w:rPr>
              <w:t>1/0,5</w:t>
            </w:r>
          </w:p>
        </w:tc>
        <w:tc>
          <w:tcPr>
            <w:tcW w:w="1662" w:type="dxa"/>
            <w:tcBorders>
              <w:top w:val="single" w:sz="4" w:space="0" w:color="auto"/>
              <w:left w:val="single" w:sz="4" w:space="0" w:color="auto"/>
              <w:bottom w:val="single" w:sz="4" w:space="0" w:color="auto"/>
              <w:right w:val="single" w:sz="4" w:space="0" w:color="auto"/>
            </w:tcBorders>
            <w:shd w:val="clear" w:color="auto" w:fill="auto"/>
          </w:tcPr>
          <w:p w:rsidR="009C5812" w:rsidRPr="00091230" w:rsidRDefault="009C5812" w:rsidP="009C5812">
            <w:pPr>
              <w:jc w:val="center"/>
              <w:rPr>
                <w:rFonts w:eastAsia="Cambria"/>
                <w:sz w:val="22"/>
                <w:szCs w:val="22"/>
              </w:rPr>
            </w:pPr>
            <w:r w:rsidRPr="00091230">
              <w:rPr>
                <w:rFonts w:eastAsia="Cambria"/>
                <w:sz w:val="22"/>
                <w:szCs w:val="22"/>
              </w:rPr>
              <w:t>110</w:t>
            </w:r>
          </w:p>
        </w:tc>
      </w:tr>
      <w:tr w:rsidR="009C5812" w:rsidRPr="00091230" w:rsidTr="009C5812">
        <w:trPr>
          <w:trHeight w:val="20"/>
        </w:trPr>
        <w:tc>
          <w:tcPr>
            <w:tcW w:w="704" w:type="dxa"/>
            <w:tcBorders>
              <w:top w:val="single" w:sz="4" w:space="0" w:color="auto"/>
              <w:left w:val="single" w:sz="4" w:space="0" w:color="auto"/>
              <w:bottom w:val="single" w:sz="4" w:space="0" w:color="auto"/>
              <w:right w:val="single" w:sz="4" w:space="0" w:color="auto"/>
            </w:tcBorders>
            <w:shd w:val="clear" w:color="auto" w:fill="auto"/>
          </w:tcPr>
          <w:p w:rsidR="009C5812" w:rsidRPr="00091230" w:rsidRDefault="009C5812" w:rsidP="009C5812">
            <w:pPr>
              <w:jc w:val="center"/>
              <w:rPr>
                <w:rFonts w:eastAsia="Cambria"/>
                <w:sz w:val="22"/>
                <w:szCs w:val="22"/>
              </w:rPr>
            </w:pPr>
            <w:r w:rsidRPr="00091230">
              <w:rPr>
                <w:rFonts w:eastAsia="Cambria"/>
                <w:sz w:val="22"/>
                <w:szCs w:val="22"/>
              </w:rPr>
              <w:t>15.</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9C5812" w:rsidRPr="00091230" w:rsidRDefault="009C5812" w:rsidP="009C5812">
            <w:pPr>
              <w:ind w:right="30"/>
              <w:jc w:val="both"/>
              <w:rPr>
                <w:rFonts w:eastAsia="Cambria"/>
                <w:sz w:val="22"/>
                <w:szCs w:val="22"/>
              </w:rPr>
            </w:pPr>
            <w:r w:rsidRPr="00091230">
              <w:rPr>
                <w:rFonts w:eastAsia="Cambria"/>
                <w:sz w:val="22"/>
                <w:szCs w:val="22"/>
              </w:rPr>
              <w:t>Бугульминский муниципальный район</w:t>
            </w:r>
          </w:p>
        </w:tc>
        <w:tc>
          <w:tcPr>
            <w:tcW w:w="2410" w:type="dxa"/>
            <w:tcBorders>
              <w:top w:val="single" w:sz="4" w:space="0" w:color="auto"/>
              <w:left w:val="single" w:sz="4" w:space="0" w:color="auto"/>
              <w:bottom w:val="single" w:sz="4" w:space="0" w:color="auto"/>
              <w:right w:val="single" w:sz="4" w:space="0" w:color="auto"/>
            </w:tcBorders>
          </w:tcPr>
          <w:p w:rsidR="009C5812" w:rsidRPr="00091230" w:rsidRDefault="009C5812" w:rsidP="009C5812">
            <w:pPr>
              <w:jc w:val="both"/>
              <w:rPr>
                <w:rFonts w:eastAsia="Cambria"/>
                <w:sz w:val="22"/>
                <w:szCs w:val="22"/>
              </w:rPr>
            </w:pPr>
            <w:r w:rsidRPr="00091230">
              <w:rPr>
                <w:rFonts w:eastAsia="Cambria"/>
                <w:sz w:val="22"/>
                <w:szCs w:val="22"/>
              </w:rPr>
              <w:t xml:space="preserve">ГАУЗ </w:t>
            </w:r>
            <w:r>
              <w:rPr>
                <w:rFonts w:eastAsia="Cambria"/>
                <w:sz w:val="22"/>
                <w:szCs w:val="22"/>
              </w:rPr>
              <w:t>«</w:t>
            </w:r>
            <w:r w:rsidRPr="00091230">
              <w:rPr>
                <w:rFonts w:eastAsia="Cambria"/>
                <w:sz w:val="22"/>
                <w:szCs w:val="22"/>
              </w:rPr>
              <w:t>Бугульминская ЦРБ</w:t>
            </w:r>
            <w:r>
              <w:rPr>
                <w:rFonts w:eastAsia="Cambria"/>
                <w:sz w:val="22"/>
                <w:szCs w:val="22"/>
              </w:rPr>
              <w:t>»</w:t>
            </w:r>
          </w:p>
        </w:tc>
        <w:tc>
          <w:tcPr>
            <w:tcW w:w="1416" w:type="dxa"/>
            <w:tcBorders>
              <w:top w:val="single" w:sz="4" w:space="0" w:color="auto"/>
              <w:left w:val="single" w:sz="4" w:space="0" w:color="auto"/>
              <w:bottom w:val="single" w:sz="4" w:space="0" w:color="auto"/>
              <w:right w:val="single" w:sz="4" w:space="0" w:color="auto"/>
            </w:tcBorders>
            <w:shd w:val="clear" w:color="auto" w:fill="auto"/>
          </w:tcPr>
          <w:p w:rsidR="009C5812" w:rsidRPr="00A63A79" w:rsidRDefault="009C5812" w:rsidP="009C5812">
            <w:pPr>
              <w:jc w:val="center"/>
              <w:rPr>
                <w:rFonts w:eastAsia="Cambria"/>
                <w:sz w:val="22"/>
                <w:szCs w:val="22"/>
              </w:rPr>
            </w:pPr>
            <w:r w:rsidRPr="00A63A79">
              <w:rPr>
                <w:rFonts w:eastAsia="Cambria"/>
                <w:sz w:val="22"/>
                <w:szCs w:val="22"/>
              </w:rPr>
              <w:t>82 446</w:t>
            </w:r>
          </w:p>
        </w:tc>
        <w:tc>
          <w:tcPr>
            <w:tcW w:w="983" w:type="dxa"/>
            <w:tcBorders>
              <w:top w:val="single" w:sz="4" w:space="0" w:color="auto"/>
              <w:left w:val="single" w:sz="4" w:space="0" w:color="auto"/>
              <w:bottom w:val="single" w:sz="4" w:space="0" w:color="auto"/>
              <w:right w:val="single" w:sz="4" w:space="0" w:color="auto"/>
            </w:tcBorders>
            <w:shd w:val="clear" w:color="auto" w:fill="auto"/>
          </w:tcPr>
          <w:p w:rsidR="009C5812" w:rsidRPr="00091230" w:rsidRDefault="009C5812" w:rsidP="009C5812">
            <w:pPr>
              <w:jc w:val="center"/>
              <w:rPr>
                <w:rFonts w:eastAsia="Cambria"/>
                <w:sz w:val="22"/>
                <w:szCs w:val="22"/>
              </w:rPr>
            </w:pPr>
            <w:r w:rsidRPr="00091230">
              <w:rPr>
                <w:rFonts w:eastAsia="Cambria"/>
                <w:sz w:val="22"/>
                <w:szCs w:val="22"/>
              </w:rPr>
              <w:t>-</w:t>
            </w:r>
          </w:p>
        </w:tc>
        <w:tc>
          <w:tcPr>
            <w:tcW w:w="1156" w:type="dxa"/>
            <w:tcBorders>
              <w:top w:val="single" w:sz="4" w:space="0" w:color="auto"/>
              <w:left w:val="single" w:sz="4" w:space="0" w:color="auto"/>
              <w:bottom w:val="single" w:sz="4" w:space="0" w:color="auto"/>
              <w:right w:val="single" w:sz="4" w:space="0" w:color="auto"/>
            </w:tcBorders>
          </w:tcPr>
          <w:p w:rsidR="009C5812" w:rsidRPr="00091230" w:rsidRDefault="009C5812" w:rsidP="009C5812">
            <w:pPr>
              <w:jc w:val="center"/>
              <w:rPr>
                <w:rFonts w:eastAsia="Cambria"/>
                <w:sz w:val="22"/>
                <w:szCs w:val="22"/>
              </w:rPr>
            </w:pPr>
            <w:r w:rsidRPr="00091230">
              <w:rPr>
                <w:rFonts w:eastAsia="Cambria"/>
                <w:sz w:val="22"/>
                <w:szCs w:val="22"/>
              </w:rPr>
              <w:t>2022</w:t>
            </w:r>
          </w:p>
        </w:tc>
        <w:tc>
          <w:tcPr>
            <w:tcW w:w="2114" w:type="dxa"/>
            <w:tcBorders>
              <w:top w:val="single" w:sz="4" w:space="0" w:color="auto"/>
              <w:left w:val="single" w:sz="4" w:space="0" w:color="auto"/>
              <w:bottom w:val="single" w:sz="4" w:space="0" w:color="auto"/>
              <w:right w:val="single" w:sz="4" w:space="0" w:color="auto"/>
            </w:tcBorders>
            <w:shd w:val="clear" w:color="auto" w:fill="auto"/>
          </w:tcPr>
          <w:p w:rsidR="009C5812" w:rsidRPr="00091230" w:rsidRDefault="009C5812" w:rsidP="009C5812">
            <w:pPr>
              <w:jc w:val="center"/>
              <w:rPr>
                <w:rFonts w:eastAsia="Cambria"/>
                <w:sz w:val="22"/>
                <w:szCs w:val="22"/>
              </w:rPr>
            </w:pPr>
            <w:r w:rsidRPr="00091230">
              <w:rPr>
                <w:rFonts w:eastAsia="Cambria"/>
                <w:sz w:val="22"/>
                <w:szCs w:val="22"/>
              </w:rPr>
              <w:t>1</w:t>
            </w:r>
          </w:p>
        </w:tc>
        <w:tc>
          <w:tcPr>
            <w:tcW w:w="1464" w:type="dxa"/>
            <w:tcBorders>
              <w:top w:val="single" w:sz="4" w:space="0" w:color="auto"/>
              <w:left w:val="single" w:sz="4" w:space="0" w:color="auto"/>
              <w:bottom w:val="single" w:sz="4" w:space="0" w:color="auto"/>
              <w:right w:val="single" w:sz="4" w:space="0" w:color="auto"/>
            </w:tcBorders>
            <w:shd w:val="clear" w:color="auto" w:fill="auto"/>
          </w:tcPr>
          <w:p w:rsidR="009C5812" w:rsidRPr="00091230" w:rsidRDefault="009C5812" w:rsidP="009C5812">
            <w:pPr>
              <w:jc w:val="center"/>
              <w:rPr>
                <w:rFonts w:eastAsia="Cambria"/>
                <w:sz w:val="22"/>
                <w:szCs w:val="22"/>
              </w:rPr>
            </w:pPr>
            <w:r w:rsidRPr="00091230">
              <w:rPr>
                <w:rFonts w:eastAsia="Cambria"/>
                <w:sz w:val="22"/>
                <w:szCs w:val="22"/>
              </w:rPr>
              <w:t>3/3</w:t>
            </w:r>
          </w:p>
        </w:tc>
        <w:tc>
          <w:tcPr>
            <w:tcW w:w="1662" w:type="dxa"/>
            <w:tcBorders>
              <w:top w:val="single" w:sz="4" w:space="0" w:color="auto"/>
              <w:left w:val="single" w:sz="4" w:space="0" w:color="auto"/>
              <w:bottom w:val="single" w:sz="4" w:space="0" w:color="auto"/>
              <w:right w:val="single" w:sz="4" w:space="0" w:color="auto"/>
            </w:tcBorders>
            <w:shd w:val="clear" w:color="auto" w:fill="auto"/>
          </w:tcPr>
          <w:p w:rsidR="009C5812" w:rsidRPr="00091230" w:rsidRDefault="009C5812" w:rsidP="009C5812">
            <w:pPr>
              <w:jc w:val="center"/>
              <w:rPr>
                <w:rFonts w:eastAsia="Cambria"/>
                <w:sz w:val="22"/>
                <w:szCs w:val="22"/>
              </w:rPr>
            </w:pPr>
            <w:r w:rsidRPr="00091230">
              <w:rPr>
                <w:rFonts w:eastAsia="Cambria"/>
                <w:sz w:val="22"/>
                <w:szCs w:val="22"/>
              </w:rPr>
              <w:t>320</w:t>
            </w:r>
          </w:p>
        </w:tc>
      </w:tr>
      <w:tr w:rsidR="009C5812" w:rsidRPr="00091230" w:rsidTr="009C5812">
        <w:trPr>
          <w:trHeight w:val="20"/>
        </w:trPr>
        <w:tc>
          <w:tcPr>
            <w:tcW w:w="704" w:type="dxa"/>
            <w:shd w:val="clear" w:color="auto" w:fill="auto"/>
          </w:tcPr>
          <w:p w:rsidR="009C5812" w:rsidRPr="00091230" w:rsidRDefault="009C5812" w:rsidP="009C5812">
            <w:pPr>
              <w:jc w:val="center"/>
              <w:rPr>
                <w:rFonts w:eastAsia="Cambria"/>
                <w:sz w:val="22"/>
                <w:szCs w:val="22"/>
              </w:rPr>
            </w:pPr>
            <w:r w:rsidRPr="00091230">
              <w:rPr>
                <w:rFonts w:eastAsia="Cambria"/>
                <w:sz w:val="22"/>
                <w:szCs w:val="22"/>
              </w:rPr>
              <w:t>16.</w:t>
            </w:r>
          </w:p>
        </w:tc>
        <w:tc>
          <w:tcPr>
            <w:tcW w:w="2268" w:type="dxa"/>
            <w:shd w:val="clear" w:color="auto" w:fill="auto"/>
          </w:tcPr>
          <w:p w:rsidR="009C5812" w:rsidRPr="00091230" w:rsidRDefault="009C5812" w:rsidP="009C5812">
            <w:pPr>
              <w:ind w:right="30"/>
              <w:jc w:val="both"/>
              <w:rPr>
                <w:rFonts w:eastAsia="Cambria"/>
                <w:sz w:val="22"/>
                <w:szCs w:val="22"/>
              </w:rPr>
            </w:pPr>
            <w:r w:rsidRPr="00091230">
              <w:rPr>
                <w:rFonts w:eastAsia="Cambria"/>
                <w:sz w:val="22"/>
                <w:szCs w:val="22"/>
              </w:rPr>
              <w:t>Буинский муниципальный район</w:t>
            </w:r>
          </w:p>
        </w:tc>
        <w:tc>
          <w:tcPr>
            <w:tcW w:w="2410" w:type="dxa"/>
          </w:tcPr>
          <w:p w:rsidR="009C5812" w:rsidRPr="00091230" w:rsidRDefault="009C5812" w:rsidP="009C5812">
            <w:pPr>
              <w:jc w:val="both"/>
              <w:rPr>
                <w:sz w:val="22"/>
                <w:szCs w:val="22"/>
              </w:rPr>
            </w:pPr>
            <w:r w:rsidRPr="00091230">
              <w:rPr>
                <w:sz w:val="22"/>
                <w:szCs w:val="22"/>
              </w:rPr>
              <w:t xml:space="preserve">ГАУЗ </w:t>
            </w:r>
            <w:r>
              <w:rPr>
                <w:sz w:val="22"/>
                <w:szCs w:val="22"/>
              </w:rPr>
              <w:t>«</w:t>
            </w:r>
            <w:r w:rsidRPr="00091230">
              <w:rPr>
                <w:sz w:val="22"/>
                <w:szCs w:val="22"/>
              </w:rPr>
              <w:t>Буинская ЦРБ</w:t>
            </w:r>
            <w:r>
              <w:rPr>
                <w:sz w:val="22"/>
                <w:szCs w:val="22"/>
              </w:rPr>
              <w:t>»</w:t>
            </w:r>
          </w:p>
        </w:tc>
        <w:tc>
          <w:tcPr>
            <w:tcW w:w="1416" w:type="dxa"/>
            <w:shd w:val="clear" w:color="auto" w:fill="auto"/>
          </w:tcPr>
          <w:p w:rsidR="009C5812" w:rsidRPr="00A63A79" w:rsidRDefault="009C5812" w:rsidP="009C5812">
            <w:pPr>
              <w:jc w:val="center"/>
              <w:rPr>
                <w:rFonts w:eastAsia="Cambria"/>
                <w:sz w:val="22"/>
                <w:szCs w:val="22"/>
              </w:rPr>
            </w:pPr>
            <w:r w:rsidRPr="00A63A79">
              <w:rPr>
                <w:rFonts w:eastAsia="Cambria"/>
                <w:sz w:val="22"/>
                <w:szCs w:val="22"/>
              </w:rPr>
              <w:t>51 642</w:t>
            </w:r>
          </w:p>
        </w:tc>
        <w:tc>
          <w:tcPr>
            <w:tcW w:w="983" w:type="dxa"/>
            <w:shd w:val="clear" w:color="auto" w:fill="auto"/>
          </w:tcPr>
          <w:p w:rsidR="009C5812" w:rsidRPr="00091230" w:rsidRDefault="009C5812" w:rsidP="009C5812">
            <w:pPr>
              <w:jc w:val="center"/>
              <w:rPr>
                <w:rFonts w:eastAsia="Cambria"/>
                <w:sz w:val="22"/>
                <w:szCs w:val="22"/>
              </w:rPr>
            </w:pPr>
            <w:r w:rsidRPr="00091230">
              <w:rPr>
                <w:rFonts w:eastAsia="Cambria"/>
                <w:sz w:val="22"/>
                <w:szCs w:val="22"/>
              </w:rPr>
              <w:t>-</w:t>
            </w:r>
          </w:p>
        </w:tc>
        <w:tc>
          <w:tcPr>
            <w:tcW w:w="1156" w:type="dxa"/>
          </w:tcPr>
          <w:p w:rsidR="009C5812" w:rsidRPr="00091230" w:rsidRDefault="009C5812" w:rsidP="009C5812">
            <w:pPr>
              <w:jc w:val="center"/>
              <w:rPr>
                <w:sz w:val="22"/>
                <w:szCs w:val="22"/>
              </w:rPr>
            </w:pPr>
            <w:r w:rsidRPr="00091230">
              <w:rPr>
                <w:sz w:val="22"/>
                <w:szCs w:val="22"/>
              </w:rPr>
              <w:t>2023</w:t>
            </w:r>
          </w:p>
        </w:tc>
        <w:tc>
          <w:tcPr>
            <w:tcW w:w="2114" w:type="dxa"/>
            <w:shd w:val="clear" w:color="auto" w:fill="auto"/>
          </w:tcPr>
          <w:p w:rsidR="009C5812" w:rsidRPr="00091230" w:rsidRDefault="009C5812" w:rsidP="009C5812">
            <w:pPr>
              <w:jc w:val="center"/>
              <w:rPr>
                <w:rFonts w:eastAsia="Cambria"/>
                <w:sz w:val="22"/>
                <w:szCs w:val="22"/>
              </w:rPr>
            </w:pPr>
            <w:r w:rsidRPr="00091230">
              <w:rPr>
                <w:rFonts w:eastAsia="Cambria"/>
                <w:sz w:val="22"/>
                <w:szCs w:val="22"/>
              </w:rPr>
              <w:t>1</w:t>
            </w:r>
          </w:p>
        </w:tc>
        <w:tc>
          <w:tcPr>
            <w:tcW w:w="1464" w:type="dxa"/>
            <w:shd w:val="clear" w:color="auto" w:fill="auto"/>
          </w:tcPr>
          <w:p w:rsidR="009C5812" w:rsidRPr="00091230" w:rsidRDefault="009C5812" w:rsidP="009C5812">
            <w:pPr>
              <w:jc w:val="center"/>
              <w:rPr>
                <w:rFonts w:eastAsia="Cambria"/>
                <w:sz w:val="22"/>
                <w:szCs w:val="22"/>
              </w:rPr>
            </w:pPr>
            <w:r w:rsidRPr="00091230">
              <w:rPr>
                <w:rFonts w:eastAsia="Cambria"/>
                <w:sz w:val="22"/>
                <w:szCs w:val="22"/>
              </w:rPr>
              <w:t>2/2</w:t>
            </w:r>
          </w:p>
        </w:tc>
        <w:tc>
          <w:tcPr>
            <w:tcW w:w="1662" w:type="dxa"/>
            <w:shd w:val="clear" w:color="auto" w:fill="auto"/>
          </w:tcPr>
          <w:p w:rsidR="009C5812" w:rsidRPr="00091230" w:rsidRDefault="009C5812" w:rsidP="009C5812">
            <w:pPr>
              <w:jc w:val="center"/>
              <w:rPr>
                <w:rFonts w:eastAsia="Cambria"/>
                <w:sz w:val="22"/>
                <w:szCs w:val="22"/>
              </w:rPr>
            </w:pPr>
            <w:r w:rsidRPr="00091230">
              <w:rPr>
                <w:rFonts w:eastAsia="Cambria"/>
                <w:sz w:val="22"/>
                <w:szCs w:val="22"/>
              </w:rPr>
              <w:t>120</w:t>
            </w:r>
          </w:p>
        </w:tc>
      </w:tr>
      <w:tr w:rsidR="009C5812" w:rsidRPr="00091230" w:rsidTr="009C5812">
        <w:trPr>
          <w:trHeight w:val="20"/>
        </w:trPr>
        <w:tc>
          <w:tcPr>
            <w:tcW w:w="704" w:type="dxa"/>
            <w:shd w:val="clear" w:color="auto" w:fill="auto"/>
          </w:tcPr>
          <w:p w:rsidR="009C5812" w:rsidRPr="00091230" w:rsidRDefault="009C5812" w:rsidP="009C5812">
            <w:pPr>
              <w:jc w:val="center"/>
              <w:rPr>
                <w:sz w:val="22"/>
                <w:szCs w:val="22"/>
              </w:rPr>
            </w:pPr>
            <w:r w:rsidRPr="00091230">
              <w:rPr>
                <w:sz w:val="22"/>
                <w:szCs w:val="22"/>
              </w:rPr>
              <w:t>17.</w:t>
            </w:r>
          </w:p>
        </w:tc>
        <w:tc>
          <w:tcPr>
            <w:tcW w:w="2268" w:type="dxa"/>
            <w:shd w:val="clear" w:color="auto" w:fill="auto"/>
          </w:tcPr>
          <w:p w:rsidR="009C5812" w:rsidRPr="00091230" w:rsidRDefault="009C5812" w:rsidP="009C5812">
            <w:pPr>
              <w:ind w:right="-57"/>
              <w:jc w:val="both"/>
              <w:rPr>
                <w:sz w:val="22"/>
                <w:szCs w:val="22"/>
              </w:rPr>
            </w:pPr>
            <w:r w:rsidRPr="00091230">
              <w:rPr>
                <w:sz w:val="22"/>
                <w:szCs w:val="22"/>
              </w:rPr>
              <w:t>Ве</w:t>
            </w:r>
            <w:r>
              <w:rPr>
                <w:sz w:val="22"/>
                <w:szCs w:val="22"/>
              </w:rPr>
              <w:t>рхнеуслонский муниципальный рай</w:t>
            </w:r>
            <w:r w:rsidRPr="00091230">
              <w:rPr>
                <w:sz w:val="22"/>
                <w:szCs w:val="22"/>
              </w:rPr>
              <w:t>он</w:t>
            </w:r>
          </w:p>
        </w:tc>
        <w:tc>
          <w:tcPr>
            <w:tcW w:w="2410" w:type="dxa"/>
          </w:tcPr>
          <w:p w:rsidR="009C5812" w:rsidRPr="00091230" w:rsidRDefault="009C5812" w:rsidP="009C5812">
            <w:pPr>
              <w:jc w:val="both"/>
              <w:rPr>
                <w:sz w:val="22"/>
                <w:szCs w:val="22"/>
              </w:rPr>
            </w:pPr>
            <w:r w:rsidRPr="00091230">
              <w:rPr>
                <w:sz w:val="22"/>
                <w:szCs w:val="22"/>
              </w:rPr>
              <w:t xml:space="preserve">ГАУЗ </w:t>
            </w:r>
            <w:r>
              <w:rPr>
                <w:sz w:val="22"/>
                <w:szCs w:val="22"/>
              </w:rPr>
              <w:t>«</w:t>
            </w:r>
            <w:r w:rsidRPr="00091230">
              <w:rPr>
                <w:sz w:val="22"/>
                <w:szCs w:val="22"/>
              </w:rPr>
              <w:t>Верхнеуслонская ЦРБ</w:t>
            </w:r>
            <w:r>
              <w:rPr>
                <w:sz w:val="22"/>
                <w:szCs w:val="22"/>
              </w:rPr>
              <w:t>»</w:t>
            </w:r>
          </w:p>
        </w:tc>
        <w:tc>
          <w:tcPr>
            <w:tcW w:w="1416" w:type="dxa"/>
            <w:shd w:val="clear" w:color="auto" w:fill="auto"/>
          </w:tcPr>
          <w:p w:rsidR="009C5812" w:rsidRPr="00091230" w:rsidRDefault="009C5812" w:rsidP="009C5812">
            <w:pPr>
              <w:jc w:val="center"/>
              <w:rPr>
                <w:sz w:val="22"/>
                <w:szCs w:val="22"/>
              </w:rPr>
            </w:pPr>
            <w:r w:rsidRPr="00091230">
              <w:rPr>
                <w:sz w:val="22"/>
                <w:szCs w:val="22"/>
              </w:rPr>
              <w:t>13307</w:t>
            </w:r>
          </w:p>
        </w:tc>
        <w:tc>
          <w:tcPr>
            <w:tcW w:w="983" w:type="dxa"/>
            <w:shd w:val="clear" w:color="auto" w:fill="auto"/>
          </w:tcPr>
          <w:p w:rsidR="009C5812" w:rsidRPr="00091230" w:rsidRDefault="009C5812" w:rsidP="009C5812">
            <w:pPr>
              <w:jc w:val="center"/>
              <w:rPr>
                <w:sz w:val="22"/>
                <w:szCs w:val="22"/>
              </w:rPr>
            </w:pPr>
            <w:r w:rsidRPr="00091230">
              <w:rPr>
                <w:sz w:val="22"/>
                <w:szCs w:val="22"/>
              </w:rPr>
              <w:t>1</w:t>
            </w:r>
          </w:p>
        </w:tc>
        <w:tc>
          <w:tcPr>
            <w:tcW w:w="1156" w:type="dxa"/>
          </w:tcPr>
          <w:p w:rsidR="009C5812" w:rsidRPr="00091230" w:rsidRDefault="009C5812" w:rsidP="009C5812">
            <w:pPr>
              <w:jc w:val="center"/>
              <w:rPr>
                <w:sz w:val="22"/>
                <w:szCs w:val="22"/>
              </w:rPr>
            </w:pPr>
          </w:p>
        </w:tc>
        <w:tc>
          <w:tcPr>
            <w:tcW w:w="2114" w:type="dxa"/>
            <w:shd w:val="clear" w:color="auto" w:fill="auto"/>
          </w:tcPr>
          <w:p w:rsidR="009C5812" w:rsidRPr="00091230" w:rsidRDefault="009C5812" w:rsidP="009C5812">
            <w:pPr>
              <w:jc w:val="center"/>
              <w:rPr>
                <w:sz w:val="22"/>
                <w:szCs w:val="22"/>
              </w:rPr>
            </w:pPr>
            <w:r w:rsidRPr="00091230">
              <w:rPr>
                <w:sz w:val="22"/>
                <w:szCs w:val="22"/>
              </w:rPr>
              <w:t>0,5</w:t>
            </w:r>
          </w:p>
        </w:tc>
        <w:tc>
          <w:tcPr>
            <w:tcW w:w="1464" w:type="dxa"/>
            <w:shd w:val="clear" w:color="auto" w:fill="auto"/>
          </w:tcPr>
          <w:p w:rsidR="009C5812" w:rsidRPr="00091230" w:rsidRDefault="009C5812" w:rsidP="009C5812">
            <w:pPr>
              <w:jc w:val="center"/>
              <w:rPr>
                <w:sz w:val="22"/>
                <w:szCs w:val="22"/>
              </w:rPr>
            </w:pPr>
            <w:r w:rsidRPr="00091230">
              <w:rPr>
                <w:sz w:val="22"/>
                <w:szCs w:val="22"/>
              </w:rPr>
              <w:t>1/1</w:t>
            </w:r>
          </w:p>
        </w:tc>
        <w:tc>
          <w:tcPr>
            <w:tcW w:w="1662" w:type="dxa"/>
            <w:shd w:val="clear" w:color="auto" w:fill="auto"/>
          </w:tcPr>
          <w:p w:rsidR="009C5812" w:rsidRPr="00091230" w:rsidRDefault="009C5812" w:rsidP="009C5812">
            <w:pPr>
              <w:jc w:val="center"/>
              <w:rPr>
                <w:sz w:val="22"/>
                <w:szCs w:val="22"/>
              </w:rPr>
            </w:pPr>
            <w:r w:rsidRPr="00091230">
              <w:rPr>
                <w:sz w:val="22"/>
                <w:szCs w:val="22"/>
              </w:rPr>
              <w:t>50</w:t>
            </w:r>
          </w:p>
        </w:tc>
      </w:tr>
      <w:tr w:rsidR="009C5812" w:rsidRPr="00091230" w:rsidTr="009C5812">
        <w:trPr>
          <w:trHeight w:val="20"/>
        </w:trPr>
        <w:tc>
          <w:tcPr>
            <w:tcW w:w="704" w:type="dxa"/>
            <w:shd w:val="clear" w:color="auto" w:fill="auto"/>
          </w:tcPr>
          <w:p w:rsidR="009C5812" w:rsidRPr="00091230" w:rsidRDefault="009C5812" w:rsidP="009C5812">
            <w:pPr>
              <w:jc w:val="center"/>
              <w:rPr>
                <w:rFonts w:eastAsia="Cambria"/>
                <w:sz w:val="22"/>
                <w:szCs w:val="22"/>
              </w:rPr>
            </w:pPr>
            <w:r w:rsidRPr="00091230">
              <w:rPr>
                <w:rFonts w:eastAsia="Cambria"/>
                <w:sz w:val="22"/>
                <w:szCs w:val="22"/>
              </w:rPr>
              <w:t>18.</w:t>
            </w:r>
          </w:p>
        </w:tc>
        <w:tc>
          <w:tcPr>
            <w:tcW w:w="2268" w:type="dxa"/>
            <w:shd w:val="clear" w:color="auto" w:fill="auto"/>
          </w:tcPr>
          <w:p w:rsidR="009C5812" w:rsidRPr="00091230" w:rsidRDefault="009C5812" w:rsidP="009C5812">
            <w:pPr>
              <w:ind w:right="30"/>
              <w:jc w:val="both"/>
              <w:rPr>
                <w:rFonts w:eastAsia="Cambria"/>
                <w:sz w:val="22"/>
                <w:szCs w:val="22"/>
              </w:rPr>
            </w:pPr>
            <w:r w:rsidRPr="00091230">
              <w:rPr>
                <w:rFonts w:eastAsia="Cambria"/>
                <w:sz w:val="22"/>
                <w:szCs w:val="22"/>
              </w:rPr>
              <w:t>Высокогорский муниципальный район</w:t>
            </w:r>
          </w:p>
        </w:tc>
        <w:tc>
          <w:tcPr>
            <w:tcW w:w="2410" w:type="dxa"/>
          </w:tcPr>
          <w:p w:rsidR="009C5812" w:rsidRPr="00091230" w:rsidRDefault="009C5812" w:rsidP="009C5812">
            <w:pPr>
              <w:jc w:val="both"/>
              <w:rPr>
                <w:rFonts w:eastAsia="Cambria"/>
                <w:sz w:val="22"/>
                <w:szCs w:val="22"/>
              </w:rPr>
            </w:pPr>
            <w:r w:rsidRPr="00091230">
              <w:rPr>
                <w:sz w:val="22"/>
                <w:szCs w:val="22"/>
              </w:rPr>
              <w:t xml:space="preserve">ГАУЗ </w:t>
            </w:r>
            <w:r>
              <w:rPr>
                <w:sz w:val="22"/>
                <w:szCs w:val="22"/>
              </w:rPr>
              <w:t>«</w:t>
            </w:r>
            <w:r w:rsidRPr="00091230">
              <w:rPr>
                <w:sz w:val="22"/>
                <w:szCs w:val="22"/>
              </w:rPr>
              <w:t>Высокогорская ЦРБ</w:t>
            </w:r>
            <w:r>
              <w:rPr>
                <w:sz w:val="22"/>
                <w:szCs w:val="22"/>
              </w:rPr>
              <w:t>»</w:t>
            </w:r>
          </w:p>
        </w:tc>
        <w:tc>
          <w:tcPr>
            <w:tcW w:w="1416" w:type="dxa"/>
            <w:shd w:val="clear" w:color="auto" w:fill="auto"/>
          </w:tcPr>
          <w:p w:rsidR="009C5812" w:rsidRPr="00091230" w:rsidRDefault="009C5812" w:rsidP="009C5812">
            <w:pPr>
              <w:jc w:val="center"/>
              <w:rPr>
                <w:rFonts w:eastAsia="Cambria"/>
                <w:sz w:val="22"/>
                <w:szCs w:val="22"/>
              </w:rPr>
            </w:pPr>
            <w:r w:rsidRPr="00091230">
              <w:rPr>
                <w:rFonts w:eastAsia="Cambria"/>
                <w:sz w:val="22"/>
                <w:szCs w:val="22"/>
              </w:rPr>
              <w:t>39 544</w:t>
            </w:r>
          </w:p>
        </w:tc>
        <w:tc>
          <w:tcPr>
            <w:tcW w:w="983" w:type="dxa"/>
            <w:shd w:val="clear" w:color="auto" w:fill="auto"/>
          </w:tcPr>
          <w:p w:rsidR="009C5812" w:rsidRPr="00091230" w:rsidRDefault="009C5812" w:rsidP="009C5812">
            <w:pPr>
              <w:jc w:val="center"/>
              <w:rPr>
                <w:rFonts w:eastAsia="Cambria"/>
                <w:sz w:val="22"/>
                <w:szCs w:val="22"/>
              </w:rPr>
            </w:pPr>
            <w:r w:rsidRPr="00091230">
              <w:rPr>
                <w:rFonts w:eastAsia="Cambria"/>
                <w:sz w:val="22"/>
                <w:szCs w:val="22"/>
              </w:rPr>
              <w:t>1</w:t>
            </w:r>
          </w:p>
        </w:tc>
        <w:tc>
          <w:tcPr>
            <w:tcW w:w="1156" w:type="dxa"/>
          </w:tcPr>
          <w:p w:rsidR="009C5812" w:rsidRPr="00091230" w:rsidRDefault="009C5812" w:rsidP="009C5812">
            <w:pPr>
              <w:jc w:val="center"/>
              <w:rPr>
                <w:sz w:val="22"/>
                <w:szCs w:val="22"/>
              </w:rPr>
            </w:pPr>
          </w:p>
        </w:tc>
        <w:tc>
          <w:tcPr>
            <w:tcW w:w="2114" w:type="dxa"/>
            <w:shd w:val="clear" w:color="auto" w:fill="auto"/>
          </w:tcPr>
          <w:p w:rsidR="009C5812" w:rsidRPr="00091230" w:rsidRDefault="009C5812" w:rsidP="009C5812">
            <w:pPr>
              <w:jc w:val="center"/>
              <w:rPr>
                <w:rFonts w:eastAsia="Cambria"/>
                <w:sz w:val="22"/>
                <w:szCs w:val="22"/>
              </w:rPr>
            </w:pPr>
            <w:r w:rsidRPr="00091230">
              <w:rPr>
                <w:rFonts w:eastAsia="Cambria"/>
                <w:sz w:val="22"/>
                <w:szCs w:val="22"/>
              </w:rPr>
              <w:t>0,5</w:t>
            </w:r>
          </w:p>
        </w:tc>
        <w:tc>
          <w:tcPr>
            <w:tcW w:w="1464" w:type="dxa"/>
            <w:shd w:val="clear" w:color="auto" w:fill="auto"/>
          </w:tcPr>
          <w:p w:rsidR="009C5812" w:rsidRPr="00091230" w:rsidRDefault="009C5812" w:rsidP="009C5812">
            <w:pPr>
              <w:jc w:val="center"/>
              <w:rPr>
                <w:rFonts w:eastAsia="Cambria"/>
                <w:sz w:val="22"/>
                <w:szCs w:val="22"/>
              </w:rPr>
            </w:pPr>
            <w:r w:rsidRPr="00091230">
              <w:rPr>
                <w:rFonts w:eastAsia="Cambria"/>
                <w:sz w:val="22"/>
                <w:szCs w:val="22"/>
              </w:rPr>
              <w:t>1/1</w:t>
            </w:r>
          </w:p>
        </w:tc>
        <w:tc>
          <w:tcPr>
            <w:tcW w:w="1662" w:type="dxa"/>
            <w:shd w:val="clear" w:color="auto" w:fill="auto"/>
          </w:tcPr>
          <w:p w:rsidR="009C5812" w:rsidRPr="00091230" w:rsidRDefault="009C5812" w:rsidP="009C5812">
            <w:pPr>
              <w:jc w:val="center"/>
              <w:rPr>
                <w:rFonts w:eastAsia="Cambria"/>
                <w:sz w:val="22"/>
                <w:szCs w:val="22"/>
              </w:rPr>
            </w:pPr>
            <w:r w:rsidRPr="00091230">
              <w:rPr>
                <w:rFonts w:eastAsia="Cambria"/>
                <w:sz w:val="22"/>
                <w:szCs w:val="22"/>
              </w:rPr>
              <w:t>22</w:t>
            </w:r>
          </w:p>
        </w:tc>
      </w:tr>
      <w:tr w:rsidR="009C5812" w:rsidRPr="00091230" w:rsidTr="009C5812">
        <w:trPr>
          <w:trHeight w:val="20"/>
        </w:trPr>
        <w:tc>
          <w:tcPr>
            <w:tcW w:w="704" w:type="dxa"/>
            <w:shd w:val="clear" w:color="auto" w:fill="auto"/>
          </w:tcPr>
          <w:p w:rsidR="009C5812" w:rsidRPr="00091230" w:rsidRDefault="009C5812" w:rsidP="009C5812">
            <w:pPr>
              <w:jc w:val="center"/>
              <w:rPr>
                <w:rFonts w:eastAsia="Cambria"/>
                <w:sz w:val="22"/>
                <w:szCs w:val="22"/>
              </w:rPr>
            </w:pPr>
            <w:r w:rsidRPr="00091230">
              <w:rPr>
                <w:rFonts w:eastAsia="Cambria"/>
                <w:sz w:val="22"/>
                <w:szCs w:val="22"/>
              </w:rPr>
              <w:t>19.</w:t>
            </w:r>
          </w:p>
        </w:tc>
        <w:tc>
          <w:tcPr>
            <w:tcW w:w="2268" w:type="dxa"/>
            <w:shd w:val="clear" w:color="auto" w:fill="auto"/>
          </w:tcPr>
          <w:p w:rsidR="009C5812" w:rsidRPr="00091230" w:rsidRDefault="009C5812" w:rsidP="009C5812">
            <w:pPr>
              <w:ind w:right="30"/>
              <w:jc w:val="both"/>
              <w:rPr>
                <w:rFonts w:eastAsia="Cambria"/>
                <w:sz w:val="22"/>
                <w:szCs w:val="22"/>
              </w:rPr>
            </w:pPr>
            <w:r w:rsidRPr="00091230">
              <w:rPr>
                <w:rFonts w:eastAsia="Cambria"/>
                <w:sz w:val="22"/>
                <w:szCs w:val="22"/>
              </w:rPr>
              <w:t>Дрожжановский муниципальный район</w:t>
            </w:r>
          </w:p>
        </w:tc>
        <w:tc>
          <w:tcPr>
            <w:tcW w:w="2410" w:type="dxa"/>
          </w:tcPr>
          <w:p w:rsidR="009C5812" w:rsidRPr="00091230" w:rsidRDefault="009C5812" w:rsidP="009C5812">
            <w:pPr>
              <w:jc w:val="both"/>
              <w:rPr>
                <w:sz w:val="22"/>
                <w:szCs w:val="22"/>
              </w:rPr>
            </w:pPr>
            <w:r w:rsidRPr="00091230">
              <w:rPr>
                <w:sz w:val="22"/>
                <w:szCs w:val="22"/>
              </w:rPr>
              <w:t xml:space="preserve">ГАУЗ </w:t>
            </w:r>
            <w:r>
              <w:rPr>
                <w:sz w:val="22"/>
                <w:szCs w:val="22"/>
              </w:rPr>
              <w:t>«</w:t>
            </w:r>
            <w:r w:rsidRPr="00091230">
              <w:rPr>
                <w:sz w:val="22"/>
                <w:szCs w:val="22"/>
              </w:rPr>
              <w:t>Дрожжановская ЦРБ</w:t>
            </w:r>
            <w:r>
              <w:rPr>
                <w:sz w:val="22"/>
                <w:szCs w:val="22"/>
              </w:rPr>
              <w:t>»</w:t>
            </w:r>
          </w:p>
        </w:tc>
        <w:tc>
          <w:tcPr>
            <w:tcW w:w="1416" w:type="dxa"/>
            <w:shd w:val="clear" w:color="auto" w:fill="auto"/>
          </w:tcPr>
          <w:p w:rsidR="009C5812" w:rsidRPr="00091230" w:rsidRDefault="009C5812" w:rsidP="009C5812">
            <w:pPr>
              <w:jc w:val="center"/>
              <w:rPr>
                <w:rFonts w:eastAsia="Cambria"/>
                <w:sz w:val="22"/>
                <w:szCs w:val="22"/>
              </w:rPr>
            </w:pPr>
            <w:r w:rsidRPr="00091230">
              <w:rPr>
                <w:rFonts w:eastAsia="Cambria"/>
                <w:sz w:val="22"/>
                <w:szCs w:val="22"/>
              </w:rPr>
              <w:t>17 841</w:t>
            </w:r>
          </w:p>
        </w:tc>
        <w:tc>
          <w:tcPr>
            <w:tcW w:w="983" w:type="dxa"/>
            <w:shd w:val="clear" w:color="auto" w:fill="auto"/>
          </w:tcPr>
          <w:p w:rsidR="009C5812" w:rsidRPr="00091230" w:rsidRDefault="009C5812" w:rsidP="009C5812">
            <w:pPr>
              <w:jc w:val="center"/>
              <w:rPr>
                <w:rFonts w:eastAsia="Cambria"/>
                <w:sz w:val="22"/>
                <w:szCs w:val="22"/>
              </w:rPr>
            </w:pPr>
            <w:r w:rsidRPr="00091230">
              <w:rPr>
                <w:rFonts w:eastAsia="Cambria"/>
                <w:sz w:val="22"/>
                <w:szCs w:val="22"/>
              </w:rPr>
              <w:t>1</w:t>
            </w:r>
          </w:p>
        </w:tc>
        <w:tc>
          <w:tcPr>
            <w:tcW w:w="1156" w:type="dxa"/>
          </w:tcPr>
          <w:p w:rsidR="009C5812" w:rsidRPr="00091230" w:rsidRDefault="009C5812" w:rsidP="009C5812">
            <w:pPr>
              <w:jc w:val="center"/>
              <w:rPr>
                <w:sz w:val="22"/>
                <w:szCs w:val="22"/>
              </w:rPr>
            </w:pPr>
          </w:p>
        </w:tc>
        <w:tc>
          <w:tcPr>
            <w:tcW w:w="2114" w:type="dxa"/>
            <w:shd w:val="clear" w:color="auto" w:fill="auto"/>
          </w:tcPr>
          <w:p w:rsidR="009C5812" w:rsidRPr="00091230" w:rsidRDefault="009C5812" w:rsidP="009C5812">
            <w:pPr>
              <w:jc w:val="center"/>
              <w:rPr>
                <w:rFonts w:eastAsia="Cambria"/>
                <w:sz w:val="22"/>
                <w:szCs w:val="22"/>
              </w:rPr>
            </w:pPr>
            <w:r w:rsidRPr="00091230">
              <w:rPr>
                <w:rFonts w:eastAsia="Cambria"/>
                <w:sz w:val="22"/>
                <w:szCs w:val="22"/>
              </w:rPr>
              <w:t>1</w:t>
            </w:r>
          </w:p>
        </w:tc>
        <w:tc>
          <w:tcPr>
            <w:tcW w:w="1464" w:type="dxa"/>
            <w:shd w:val="clear" w:color="auto" w:fill="auto"/>
          </w:tcPr>
          <w:p w:rsidR="009C5812" w:rsidRPr="00091230" w:rsidRDefault="009C5812" w:rsidP="009C5812">
            <w:pPr>
              <w:jc w:val="center"/>
              <w:rPr>
                <w:rFonts w:eastAsia="Cambria"/>
                <w:sz w:val="22"/>
                <w:szCs w:val="22"/>
              </w:rPr>
            </w:pPr>
            <w:r w:rsidRPr="00091230">
              <w:rPr>
                <w:rFonts w:eastAsia="Cambria"/>
                <w:sz w:val="22"/>
                <w:szCs w:val="22"/>
              </w:rPr>
              <w:t>1/0,5</w:t>
            </w:r>
          </w:p>
        </w:tc>
        <w:tc>
          <w:tcPr>
            <w:tcW w:w="1662" w:type="dxa"/>
            <w:shd w:val="clear" w:color="auto" w:fill="auto"/>
          </w:tcPr>
          <w:p w:rsidR="009C5812" w:rsidRPr="00091230" w:rsidRDefault="009C5812" w:rsidP="009C5812">
            <w:pPr>
              <w:jc w:val="center"/>
              <w:rPr>
                <w:rFonts w:eastAsia="Cambria"/>
                <w:sz w:val="22"/>
                <w:szCs w:val="22"/>
              </w:rPr>
            </w:pPr>
            <w:r w:rsidRPr="00091230">
              <w:rPr>
                <w:rFonts w:eastAsia="Cambria"/>
                <w:sz w:val="22"/>
                <w:szCs w:val="22"/>
              </w:rPr>
              <w:t>210</w:t>
            </w:r>
          </w:p>
        </w:tc>
      </w:tr>
      <w:tr w:rsidR="009C5812" w:rsidRPr="00091230" w:rsidTr="009C5812">
        <w:trPr>
          <w:trHeight w:val="20"/>
        </w:trPr>
        <w:tc>
          <w:tcPr>
            <w:tcW w:w="704" w:type="dxa"/>
            <w:shd w:val="clear" w:color="auto" w:fill="auto"/>
          </w:tcPr>
          <w:p w:rsidR="009C5812" w:rsidRPr="00091230" w:rsidRDefault="009C5812" w:rsidP="009C5812">
            <w:pPr>
              <w:jc w:val="center"/>
              <w:rPr>
                <w:rFonts w:eastAsia="Cambria"/>
                <w:sz w:val="22"/>
                <w:szCs w:val="22"/>
              </w:rPr>
            </w:pPr>
            <w:r w:rsidRPr="00091230">
              <w:rPr>
                <w:rFonts w:eastAsia="Cambria"/>
                <w:sz w:val="22"/>
                <w:szCs w:val="22"/>
              </w:rPr>
              <w:t>20.</w:t>
            </w:r>
          </w:p>
        </w:tc>
        <w:tc>
          <w:tcPr>
            <w:tcW w:w="2268" w:type="dxa"/>
            <w:shd w:val="clear" w:color="auto" w:fill="auto"/>
          </w:tcPr>
          <w:p w:rsidR="009C5812" w:rsidRPr="00091230" w:rsidRDefault="009C5812" w:rsidP="009C5812">
            <w:pPr>
              <w:ind w:right="30"/>
              <w:jc w:val="both"/>
              <w:rPr>
                <w:sz w:val="22"/>
                <w:szCs w:val="22"/>
              </w:rPr>
            </w:pPr>
            <w:r w:rsidRPr="00091230">
              <w:rPr>
                <w:rFonts w:eastAsia="Cambria"/>
                <w:sz w:val="22"/>
                <w:szCs w:val="22"/>
              </w:rPr>
              <w:t>Елабужский муниципальный район</w:t>
            </w:r>
          </w:p>
        </w:tc>
        <w:tc>
          <w:tcPr>
            <w:tcW w:w="2410" w:type="dxa"/>
          </w:tcPr>
          <w:p w:rsidR="009C5812" w:rsidRPr="00091230" w:rsidRDefault="009C5812" w:rsidP="009C5812">
            <w:pPr>
              <w:jc w:val="both"/>
              <w:rPr>
                <w:sz w:val="22"/>
                <w:szCs w:val="22"/>
              </w:rPr>
            </w:pPr>
            <w:r w:rsidRPr="00091230">
              <w:rPr>
                <w:sz w:val="22"/>
                <w:szCs w:val="22"/>
              </w:rPr>
              <w:t xml:space="preserve">ГАУЗ </w:t>
            </w:r>
            <w:r>
              <w:rPr>
                <w:sz w:val="22"/>
                <w:szCs w:val="22"/>
              </w:rPr>
              <w:t>«</w:t>
            </w:r>
            <w:r w:rsidRPr="00091230">
              <w:rPr>
                <w:sz w:val="22"/>
                <w:szCs w:val="22"/>
              </w:rPr>
              <w:t>Елабужская ЦРБ</w:t>
            </w:r>
            <w:r>
              <w:rPr>
                <w:sz w:val="22"/>
                <w:szCs w:val="22"/>
              </w:rPr>
              <w:t>»</w:t>
            </w:r>
            <w:r w:rsidRPr="00091230">
              <w:rPr>
                <w:sz w:val="22"/>
                <w:szCs w:val="22"/>
              </w:rPr>
              <w:t xml:space="preserve"> </w:t>
            </w:r>
          </w:p>
        </w:tc>
        <w:tc>
          <w:tcPr>
            <w:tcW w:w="1416" w:type="dxa"/>
            <w:shd w:val="clear" w:color="auto" w:fill="auto"/>
          </w:tcPr>
          <w:p w:rsidR="009C5812" w:rsidRPr="00091230" w:rsidRDefault="009C5812" w:rsidP="009C5812">
            <w:pPr>
              <w:jc w:val="center"/>
              <w:rPr>
                <w:rFonts w:eastAsia="Cambria"/>
                <w:sz w:val="22"/>
                <w:szCs w:val="22"/>
              </w:rPr>
            </w:pPr>
            <w:r w:rsidRPr="00091230">
              <w:rPr>
                <w:rFonts w:eastAsia="Cambria"/>
                <w:sz w:val="22"/>
                <w:szCs w:val="22"/>
              </w:rPr>
              <w:t>66 682</w:t>
            </w:r>
          </w:p>
        </w:tc>
        <w:tc>
          <w:tcPr>
            <w:tcW w:w="983" w:type="dxa"/>
            <w:shd w:val="clear" w:color="auto" w:fill="auto"/>
          </w:tcPr>
          <w:p w:rsidR="009C5812" w:rsidRPr="00091230" w:rsidRDefault="009C5812" w:rsidP="009C5812">
            <w:pPr>
              <w:jc w:val="center"/>
              <w:rPr>
                <w:rFonts w:eastAsia="Cambria"/>
                <w:sz w:val="22"/>
                <w:szCs w:val="22"/>
              </w:rPr>
            </w:pPr>
            <w:r w:rsidRPr="00091230">
              <w:rPr>
                <w:rFonts w:eastAsia="Cambria"/>
                <w:sz w:val="22"/>
                <w:szCs w:val="22"/>
              </w:rPr>
              <w:t>1</w:t>
            </w:r>
          </w:p>
        </w:tc>
        <w:tc>
          <w:tcPr>
            <w:tcW w:w="1156" w:type="dxa"/>
          </w:tcPr>
          <w:p w:rsidR="009C5812" w:rsidRPr="00091230" w:rsidRDefault="009C5812" w:rsidP="009C5812">
            <w:pPr>
              <w:jc w:val="center"/>
              <w:rPr>
                <w:sz w:val="22"/>
                <w:szCs w:val="22"/>
              </w:rPr>
            </w:pPr>
          </w:p>
        </w:tc>
        <w:tc>
          <w:tcPr>
            <w:tcW w:w="2114" w:type="dxa"/>
            <w:shd w:val="clear" w:color="auto" w:fill="auto"/>
          </w:tcPr>
          <w:p w:rsidR="009C5812" w:rsidRPr="00091230" w:rsidRDefault="009C5812" w:rsidP="009C5812">
            <w:pPr>
              <w:jc w:val="center"/>
              <w:rPr>
                <w:rFonts w:eastAsia="Cambria"/>
                <w:sz w:val="22"/>
                <w:szCs w:val="22"/>
              </w:rPr>
            </w:pPr>
            <w:r w:rsidRPr="00091230">
              <w:rPr>
                <w:rFonts w:eastAsia="Cambria"/>
                <w:sz w:val="22"/>
                <w:szCs w:val="22"/>
              </w:rPr>
              <w:t>0,5</w:t>
            </w:r>
          </w:p>
        </w:tc>
        <w:tc>
          <w:tcPr>
            <w:tcW w:w="1464" w:type="dxa"/>
            <w:shd w:val="clear" w:color="auto" w:fill="auto"/>
          </w:tcPr>
          <w:p w:rsidR="009C5812" w:rsidRPr="00091230" w:rsidRDefault="009C5812" w:rsidP="009C5812">
            <w:pPr>
              <w:jc w:val="center"/>
              <w:rPr>
                <w:sz w:val="22"/>
                <w:szCs w:val="22"/>
              </w:rPr>
            </w:pPr>
            <w:r w:rsidRPr="00091230">
              <w:rPr>
                <w:rFonts w:eastAsia="Cambria"/>
                <w:sz w:val="22"/>
                <w:szCs w:val="22"/>
              </w:rPr>
              <w:t>1/1</w:t>
            </w:r>
          </w:p>
        </w:tc>
        <w:tc>
          <w:tcPr>
            <w:tcW w:w="1662" w:type="dxa"/>
            <w:shd w:val="clear" w:color="auto" w:fill="auto"/>
          </w:tcPr>
          <w:p w:rsidR="009C5812" w:rsidRPr="00091230" w:rsidRDefault="009C5812" w:rsidP="009C5812">
            <w:pPr>
              <w:jc w:val="center"/>
              <w:rPr>
                <w:rFonts w:eastAsia="Cambria"/>
                <w:sz w:val="22"/>
                <w:szCs w:val="22"/>
              </w:rPr>
            </w:pPr>
            <w:r w:rsidRPr="00091230">
              <w:rPr>
                <w:rFonts w:eastAsia="Cambria"/>
                <w:sz w:val="22"/>
                <w:szCs w:val="22"/>
              </w:rPr>
              <w:t>210</w:t>
            </w:r>
          </w:p>
        </w:tc>
      </w:tr>
      <w:tr w:rsidR="009C5812" w:rsidRPr="00091230" w:rsidTr="009C5812">
        <w:trPr>
          <w:trHeight w:val="20"/>
        </w:trPr>
        <w:tc>
          <w:tcPr>
            <w:tcW w:w="704" w:type="dxa"/>
            <w:shd w:val="clear" w:color="auto" w:fill="auto"/>
          </w:tcPr>
          <w:p w:rsidR="009C5812" w:rsidRPr="00091230" w:rsidRDefault="009C5812" w:rsidP="009C5812">
            <w:pPr>
              <w:jc w:val="center"/>
              <w:rPr>
                <w:rFonts w:eastAsia="Cambria"/>
                <w:sz w:val="22"/>
                <w:szCs w:val="22"/>
              </w:rPr>
            </w:pPr>
            <w:r w:rsidRPr="00091230">
              <w:rPr>
                <w:rFonts w:eastAsia="Cambria"/>
                <w:sz w:val="22"/>
                <w:szCs w:val="22"/>
              </w:rPr>
              <w:t>21.</w:t>
            </w:r>
          </w:p>
        </w:tc>
        <w:tc>
          <w:tcPr>
            <w:tcW w:w="2268" w:type="dxa"/>
            <w:shd w:val="clear" w:color="auto" w:fill="auto"/>
          </w:tcPr>
          <w:p w:rsidR="009C5812" w:rsidRPr="00091230" w:rsidRDefault="009C5812" w:rsidP="009C5812">
            <w:pPr>
              <w:ind w:right="30"/>
              <w:jc w:val="both"/>
              <w:rPr>
                <w:rFonts w:eastAsia="Cambria"/>
                <w:sz w:val="22"/>
                <w:szCs w:val="22"/>
              </w:rPr>
            </w:pPr>
            <w:r w:rsidRPr="00091230">
              <w:rPr>
                <w:rFonts w:eastAsia="Cambria"/>
                <w:sz w:val="22"/>
                <w:szCs w:val="22"/>
              </w:rPr>
              <w:t>Заинский муниципальный район</w:t>
            </w:r>
          </w:p>
        </w:tc>
        <w:tc>
          <w:tcPr>
            <w:tcW w:w="2410" w:type="dxa"/>
          </w:tcPr>
          <w:p w:rsidR="009C5812" w:rsidRPr="00091230" w:rsidRDefault="009C5812" w:rsidP="009C5812">
            <w:pPr>
              <w:jc w:val="both"/>
              <w:rPr>
                <w:sz w:val="22"/>
                <w:szCs w:val="22"/>
              </w:rPr>
            </w:pPr>
            <w:r w:rsidRPr="00091230">
              <w:rPr>
                <w:sz w:val="22"/>
                <w:szCs w:val="22"/>
              </w:rPr>
              <w:t xml:space="preserve">ГАУЗ </w:t>
            </w:r>
            <w:r>
              <w:rPr>
                <w:sz w:val="22"/>
                <w:szCs w:val="22"/>
              </w:rPr>
              <w:t>«</w:t>
            </w:r>
            <w:r w:rsidRPr="00091230">
              <w:rPr>
                <w:sz w:val="22"/>
                <w:szCs w:val="22"/>
              </w:rPr>
              <w:t>Заинская ЦРБ</w:t>
            </w:r>
            <w:r>
              <w:rPr>
                <w:sz w:val="22"/>
                <w:szCs w:val="22"/>
              </w:rPr>
              <w:t>»</w:t>
            </w:r>
          </w:p>
        </w:tc>
        <w:tc>
          <w:tcPr>
            <w:tcW w:w="1416" w:type="dxa"/>
            <w:shd w:val="clear" w:color="auto" w:fill="auto"/>
          </w:tcPr>
          <w:p w:rsidR="009C5812" w:rsidRPr="00091230" w:rsidRDefault="009C5812" w:rsidP="009C5812">
            <w:pPr>
              <w:jc w:val="center"/>
              <w:rPr>
                <w:rFonts w:eastAsia="Cambria"/>
                <w:sz w:val="22"/>
                <w:szCs w:val="22"/>
              </w:rPr>
            </w:pPr>
            <w:r w:rsidRPr="00091230">
              <w:rPr>
                <w:rFonts w:eastAsia="Cambria"/>
                <w:sz w:val="22"/>
                <w:szCs w:val="22"/>
              </w:rPr>
              <w:t>43 376</w:t>
            </w:r>
          </w:p>
        </w:tc>
        <w:tc>
          <w:tcPr>
            <w:tcW w:w="983" w:type="dxa"/>
            <w:shd w:val="clear" w:color="auto" w:fill="auto"/>
          </w:tcPr>
          <w:p w:rsidR="009C5812" w:rsidRPr="00091230" w:rsidRDefault="009C5812" w:rsidP="009C5812">
            <w:pPr>
              <w:jc w:val="center"/>
              <w:rPr>
                <w:rFonts w:eastAsia="Cambria"/>
                <w:sz w:val="22"/>
                <w:szCs w:val="22"/>
              </w:rPr>
            </w:pPr>
            <w:r w:rsidRPr="00091230">
              <w:rPr>
                <w:rFonts w:eastAsia="Cambria"/>
                <w:sz w:val="22"/>
                <w:szCs w:val="22"/>
              </w:rPr>
              <w:t>1</w:t>
            </w:r>
          </w:p>
        </w:tc>
        <w:tc>
          <w:tcPr>
            <w:tcW w:w="1156" w:type="dxa"/>
          </w:tcPr>
          <w:p w:rsidR="009C5812" w:rsidRPr="00091230" w:rsidRDefault="009C5812" w:rsidP="009C5812">
            <w:pPr>
              <w:jc w:val="center"/>
              <w:rPr>
                <w:sz w:val="22"/>
                <w:szCs w:val="22"/>
              </w:rPr>
            </w:pPr>
          </w:p>
        </w:tc>
        <w:tc>
          <w:tcPr>
            <w:tcW w:w="2114" w:type="dxa"/>
            <w:shd w:val="clear" w:color="auto" w:fill="auto"/>
          </w:tcPr>
          <w:p w:rsidR="009C5812" w:rsidRPr="00091230" w:rsidRDefault="009C5812" w:rsidP="009C5812">
            <w:pPr>
              <w:jc w:val="center"/>
              <w:rPr>
                <w:rFonts w:eastAsia="Cambria"/>
                <w:sz w:val="22"/>
                <w:szCs w:val="22"/>
              </w:rPr>
            </w:pPr>
            <w:r w:rsidRPr="00091230">
              <w:rPr>
                <w:rFonts w:eastAsia="Cambria"/>
                <w:sz w:val="22"/>
                <w:szCs w:val="22"/>
              </w:rPr>
              <w:t>0,5</w:t>
            </w:r>
          </w:p>
        </w:tc>
        <w:tc>
          <w:tcPr>
            <w:tcW w:w="1464" w:type="dxa"/>
            <w:shd w:val="clear" w:color="auto" w:fill="auto"/>
          </w:tcPr>
          <w:p w:rsidR="009C5812" w:rsidRPr="00091230" w:rsidRDefault="009C5812" w:rsidP="009C5812">
            <w:pPr>
              <w:jc w:val="center"/>
              <w:rPr>
                <w:rFonts w:eastAsia="Cambria"/>
                <w:sz w:val="22"/>
                <w:szCs w:val="22"/>
              </w:rPr>
            </w:pPr>
            <w:r w:rsidRPr="00091230">
              <w:rPr>
                <w:rFonts w:eastAsia="Cambria"/>
                <w:sz w:val="22"/>
                <w:szCs w:val="22"/>
              </w:rPr>
              <w:t>1/1</w:t>
            </w:r>
          </w:p>
        </w:tc>
        <w:tc>
          <w:tcPr>
            <w:tcW w:w="1662" w:type="dxa"/>
            <w:shd w:val="clear" w:color="auto" w:fill="auto"/>
          </w:tcPr>
          <w:p w:rsidR="009C5812" w:rsidRPr="00091230" w:rsidRDefault="009C5812" w:rsidP="009C5812">
            <w:pPr>
              <w:jc w:val="center"/>
              <w:rPr>
                <w:rFonts w:eastAsia="Cambria"/>
                <w:sz w:val="22"/>
                <w:szCs w:val="22"/>
              </w:rPr>
            </w:pPr>
            <w:r w:rsidRPr="00091230">
              <w:rPr>
                <w:rFonts w:eastAsia="Cambria"/>
                <w:sz w:val="22"/>
                <w:szCs w:val="22"/>
              </w:rPr>
              <w:t>230</w:t>
            </w:r>
          </w:p>
        </w:tc>
      </w:tr>
      <w:tr w:rsidR="009C5812" w:rsidRPr="00091230" w:rsidTr="009C5812">
        <w:trPr>
          <w:trHeight w:val="20"/>
        </w:trPr>
        <w:tc>
          <w:tcPr>
            <w:tcW w:w="704" w:type="dxa"/>
            <w:shd w:val="clear" w:color="auto" w:fill="auto"/>
          </w:tcPr>
          <w:p w:rsidR="009C5812" w:rsidRPr="00091230" w:rsidRDefault="009C5812" w:rsidP="009C5812">
            <w:pPr>
              <w:jc w:val="center"/>
              <w:rPr>
                <w:rFonts w:eastAsia="Cambria"/>
                <w:sz w:val="22"/>
                <w:szCs w:val="22"/>
              </w:rPr>
            </w:pPr>
            <w:r w:rsidRPr="00091230">
              <w:rPr>
                <w:rFonts w:eastAsia="Cambria"/>
                <w:sz w:val="22"/>
                <w:szCs w:val="22"/>
              </w:rPr>
              <w:t>22.</w:t>
            </w:r>
          </w:p>
        </w:tc>
        <w:tc>
          <w:tcPr>
            <w:tcW w:w="2268" w:type="dxa"/>
            <w:shd w:val="clear" w:color="auto" w:fill="auto"/>
          </w:tcPr>
          <w:p w:rsidR="009C5812" w:rsidRPr="00091230" w:rsidRDefault="009C5812" w:rsidP="009C5812">
            <w:pPr>
              <w:ind w:right="30"/>
              <w:jc w:val="both"/>
              <w:rPr>
                <w:rFonts w:eastAsia="Cambria"/>
                <w:sz w:val="22"/>
                <w:szCs w:val="22"/>
              </w:rPr>
            </w:pPr>
            <w:r w:rsidRPr="00091230">
              <w:rPr>
                <w:rFonts w:eastAsia="Cambria"/>
                <w:sz w:val="22"/>
                <w:szCs w:val="22"/>
              </w:rPr>
              <w:t>Зеленодольский муниципальный район</w:t>
            </w:r>
          </w:p>
        </w:tc>
        <w:tc>
          <w:tcPr>
            <w:tcW w:w="2410" w:type="dxa"/>
          </w:tcPr>
          <w:p w:rsidR="009C5812" w:rsidRPr="00091230" w:rsidRDefault="009C5812" w:rsidP="009C5812">
            <w:pPr>
              <w:jc w:val="both"/>
              <w:rPr>
                <w:sz w:val="22"/>
                <w:szCs w:val="22"/>
              </w:rPr>
            </w:pPr>
            <w:r w:rsidRPr="00091230">
              <w:rPr>
                <w:sz w:val="22"/>
                <w:szCs w:val="22"/>
              </w:rPr>
              <w:t xml:space="preserve">ГАУЗ </w:t>
            </w:r>
            <w:r>
              <w:rPr>
                <w:sz w:val="22"/>
                <w:szCs w:val="22"/>
              </w:rPr>
              <w:t>«</w:t>
            </w:r>
            <w:r w:rsidRPr="00091230">
              <w:rPr>
                <w:sz w:val="22"/>
                <w:szCs w:val="22"/>
              </w:rPr>
              <w:t>Зеленодольская ЦРБ</w:t>
            </w:r>
            <w:r>
              <w:rPr>
                <w:sz w:val="22"/>
                <w:szCs w:val="22"/>
              </w:rPr>
              <w:t>»</w:t>
            </w:r>
          </w:p>
        </w:tc>
        <w:tc>
          <w:tcPr>
            <w:tcW w:w="1416" w:type="dxa"/>
            <w:shd w:val="clear" w:color="auto" w:fill="auto"/>
          </w:tcPr>
          <w:p w:rsidR="009C5812" w:rsidRPr="00091230" w:rsidRDefault="009C5812" w:rsidP="009C5812">
            <w:pPr>
              <w:jc w:val="center"/>
              <w:rPr>
                <w:rFonts w:eastAsia="Cambria"/>
                <w:sz w:val="22"/>
                <w:szCs w:val="22"/>
              </w:rPr>
            </w:pPr>
            <w:r w:rsidRPr="00091230">
              <w:rPr>
                <w:rFonts w:eastAsia="Cambria"/>
                <w:sz w:val="22"/>
                <w:szCs w:val="22"/>
              </w:rPr>
              <w:t>132 580</w:t>
            </w:r>
          </w:p>
        </w:tc>
        <w:tc>
          <w:tcPr>
            <w:tcW w:w="983" w:type="dxa"/>
            <w:shd w:val="clear" w:color="auto" w:fill="auto"/>
          </w:tcPr>
          <w:p w:rsidR="009C5812" w:rsidRPr="00091230" w:rsidRDefault="009C5812" w:rsidP="009C5812">
            <w:pPr>
              <w:jc w:val="center"/>
              <w:rPr>
                <w:rFonts w:eastAsia="Cambria"/>
                <w:sz w:val="22"/>
                <w:szCs w:val="22"/>
              </w:rPr>
            </w:pPr>
            <w:r w:rsidRPr="00091230">
              <w:rPr>
                <w:rFonts w:eastAsia="Cambria"/>
                <w:sz w:val="22"/>
                <w:szCs w:val="22"/>
              </w:rPr>
              <w:t>–</w:t>
            </w:r>
          </w:p>
        </w:tc>
        <w:tc>
          <w:tcPr>
            <w:tcW w:w="1156" w:type="dxa"/>
          </w:tcPr>
          <w:p w:rsidR="009C5812" w:rsidRPr="00091230" w:rsidRDefault="009C5812" w:rsidP="009C5812">
            <w:pPr>
              <w:jc w:val="center"/>
              <w:rPr>
                <w:sz w:val="22"/>
                <w:szCs w:val="22"/>
              </w:rPr>
            </w:pPr>
            <w:r w:rsidRPr="00091230">
              <w:rPr>
                <w:sz w:val="22"/>
                <w:szCs w:val="22"/>
              </w:rPr>
              <w:t>2020</w:t>
            </w:r>
          </w:p>
        </w:tc>
        <w:tc>
          <w:tcPr>
            <w:tcW w:w="2114" w:type="dxa"/>
            <w:shd w:val="clear" w:color="auto" w:fill="auto"/>
          </w:tcPr>
          <w:p w:rsidR="009C5812" w:rsidRPr="00091230" w:rsidRDefault="009C5812" w:rsidP="009C5812">
            <w:pPr>
              <w:jc w:val="center"/>
              <w:rPr>
                <w:rFonts w:eastAsia="Cambria"/>
                <w:sz w:val="22"/>
                <w:szCs w:val="22"/>
              </w:rPr>
            </w:pPr>
            <w:r w:rsidRPr="00091230">
              <w:rPr>
                <w:rFonts w:eastAsia="Cambria"/>
                <w:sz w:val="22"/>
                <w:szCs w:val="22"/>
              </w:rPr>
              <w:t>1</w:t>
            </w:r>
          </w:p>
        </w:tc>
        <w:tc>
          <w:tcPr>
            <w:tcW w:w="1464" w:type="dxa"/>
            <w:shd w:val="clear" w:color="auto" w:fill="auto"/>
          </w:tcPr>
          <w:p w:rsidR="009C5812" w:rsidRPr="00091230" w:rsidRDefault="009C5812" w:rsidP="009C5812">
            <w:pPr>
              <w:jc w:val="center"/>
              <w:rPr>
                <w:rFonts w:eastAsia="Cambria"/>
                <w:sz w:val="22"/>
                <w:szCs w:val="22"/>
              </w:rPr>
            </w:pPr>
            <w:r w:rsidRPr="00091230">
              <w:rPr>
                <w:rFonts w:eastAsia="Cambria"/>
                <w:sz w:val="22"/>
                <w:szCs w:val="22"/>
              </w:rPr>
              <w:t>2/6,25</w:t>
            </w:r>
          </w:p>
        </w:tc>
        <w:tc>
          <w:tcPr>
            <w:tcW w:w="1662" w:type="dxa"/>
            <w:shd w:val="clear" w:color="auto" w:fill="auto"/>
          </w:tcPr>
          <w:p w:rsidR="009C5812" w:rsidRPr="00091230" w:rsidRDefault="009C5812" w:rsidP="009C5812">
            <w:pPr>
              <w:jc w:val="center"/>
              <w:rPr>
                <w:rFonts w:eastAsia="Cambria"/>
                <w:sz w:val="22"/>
                <w:szCs w:val="22"/>
              </w:rPr>
            </w:pPr>
            <w:r w:rsidRPr="00091230">
              <w:rPr>
                <w:rFonts w:eastAsia="Cambria"/>
                <w:sz w:val="22"/>
                <w:szCs w:val="22"/>
              </w:rPr>
              <w:t>47</w:t>
            </w:r>
          </w:p>
        </w:tc>
      </w:tr>
      <w:tr w:rsidR="009C5812" w:rsidRPr="00091230" w:rsidTr="009C5812">
        <w:trPr>
          <w:trHeight w:val="20"/>
        </w:trPr>
        <w:tc>
          <w:tcPr>
            <w:tcW w:w="704" w:type="dxa"/>
            <w:shd w:val="clear" w:color="auto" w:fill="auto"/>
          </w:tcPr>
          <w:p w:rsidR="009C5812" w:rsidRPr="00091230" w:rsidRDefault="009C5812" w:rsidP="009C5812">
            <w:pPr>
              <w:jc w:val="center"/>
              <w:rPr>
                <w:rFonts w:eastAsia="Cambria"/>
                <w:sz w:val="22"/>
                <w:szCs w:val="22"/>
              </w:rPr>
            </w:pPr>
            <w:r w:rsidRPr="00091230">
              <w:rPr>
                <w:rFonts w:eastAsia="Cambria"/>
                <w:sz w:val="22"/>
                <w:szCs w:val="22"/>
              </w:rPr>
              <w:t>23.</w:t>
            </w:r>
          </w:p>
        </w:tc>
        <w:tc>
          <w:tcPr>
            <w:tcW w:w="2268" w:type="dxa"/>
            <w:shd w:val="clear" w:color="auto" w:fill="auto"/>
          </w:tcPr>
          <w:p w:rsidR="009C5812" w:rsidRPr="00091230" w:rsidRDefault="009C5812" w:rsidP="009C5812">
            <w:pPr>
              <w:ind w:right="30"/>
              <w:jc w:val="both"/>
              <w:rPr>
                <w:rFonts w:eastAsia="Cambria"/>
                <w:sz w:val="22"/>
                <w:szCs w:val="22"/>
              </w:rPr>
            </w:pPr>
            <w:r w:rsidRPr="00091230">
              <w:rPr>
                <w:rFonts w:eastAsia="Cambria"/>
                <w:sz w:val="22"/>
                <w:szCs w:val="22"/>
              </w:rPr>
              <w:t>Кайбицкий муниципальный район</w:t>
            </w:r>
          </w:p>
        </w:tc>
        <w:tc>
          <w:tcPr>
            <w:tcW w:w="2410" w:type="dxa"/>
          </w:tcPr>
          <w:p w:rsidR="009C5812" w:rsidRPr="00091230" w:rsidRDefault="009C5812" w:rsidP="009C5812">
            <w:pPr>
              <w:jc w:val="both"/>
              <w:rPr>
                <w:sz w:val="22"/>
                <w:szCs w:val="22"/>
              </w:rPr>
            </w:pPr>
            <w:r w:rsidRPr="00091230">
              <w:rPr>
                <w:sz w:val="22"/>
                <w:szCs w:val="22"/>
              </w:rPr>
              <w:t xml:space="preserve">ГАУЗ </w:t>
            </w:r>
            <w:r>
              <w:rPr>
                <w:sz w:val="22"/>
                <w:szCs w:val="22"/>
              </w:rPr>
              <w:t>«</w:t>
            </w:r>
            <w:r w:rsidRPr="00091230">
              <w:rPr>
                <w:sz w:val="22"/>
                <w:szCs w:val="22"/>
              </w:rPr>
              <w:t>Кайбицкая ЦРБ</w:t>
            </w:r>
            <w:r>
              <w:rPr>
                <w:sz w:val="22"/>
                <w:szCs w:val="22"/>
              </w:rPr>
              <w:t>»</w:t>
            </w:r>
          </w:p>
        </w:tc>
        <w:tc>
          <w:tcPr>
            <w:tcW w:w="1416" w:type="dxa"/>
            <w:shd w:val="clear" w:color="auto" w:fill="auto"/>
          </w:tcPr>
          <w:p w:rsidR="009C5812" w:rsidRPr="00091230" w:rsidRDefault="009C5812" w:rsidP="009C5812">
            <w:pPr>
              <w:jc w:val="center"/>
              <w:rPr>
                <w:rFonts w:eastAsia="Cambria"/>
                <w:sz w:val="22"/>
                <w:szCs w:val="22"/>
              </w:rPr>
            </w:pPr>
            <w:r w:rsidRPr="00091230">
              <w:rPr>
                <w:rFonts w:eastAsia="Cambria"/>
                <w:sz w:val="22"/>
                <w:szCs w:val="22"/>
              </w:rPr>
              <w:t>11 004</w:t>
            </w:r>
          </w:p>
        </w:tc>
        <w:tc>
          <w:tcPr>
            <w:tcW w:w="983" w:type="dxa"/>
            <w:shd w:val="clear" w:color="auto" w:fill="auto"/>
          </w:tcPr>
          <w:p w:rsidR="009C5812" w:rsidRPr="00091230" w:rsidRDefault="009C5812" w:rsidP="009C5812">
            <w:pPr>
              <w:jc w:val="center"/>
              <w:rPr>
                <w:rFonts w:eastAsia="Cambria"/>
                <w:sz w:val="22"/>
                <w:szCs w:val="22"/>
              </w:rPr>
            </w:pPr>
            <w:r w:rsidRPr="00091230">
              <w:rPr>
                <w:rFonts w:eastAsia="Cambria"/>
                <w:sz w:val="22"/>
                <w:szCs w:val="22"/>
              </w:rPr>
              <w:t>1</w:t>
            </w:r>
          </w:p>
        </w:tc>
        <w:tc>
          <w:tcPr>
            <w:tcW w:w="1156" w:type="dxa"/>
          </w:tcPr>
          <w:p w:rsidR="009C5812" w:rsidRPr="00091230" w:rsidRDefault="009C5812" w:rsidP="009C5812">
            <w:pPr>
              <w:jc w:val="center"/>
              <w:rPr>
                <w:sz w:val="22"/>
                <w:szCs w:val="22"/>
              </w:rPr>
            </w:pPr>
          </w:p>
        </w:tc>
        <w:tc>
          <w:tcPr>
            <w:tcW w:w="2114" w:type="dxa"/>
            <w:shd w:val="clear" w:color="auto" w:fill="auto"/>
          </w:tcPr>
          <w:p w:rsidR="009C5812" w:rsidRPr="00091230" w:rsidRDefault="009C5812" w:rsidP="009C5812">
            <w:pPr>
              <w:jc w:val="center"/>
              <w:rPr>
                <w:rFonts w:eastAsia="Cambria"/>
                <w:sz w:val="22"/>
                <w:szCs w:val="22"/>
              </w:rPr>
            </w:pPr>
            <w:r w:rsidRPr="00091230">
              <w:rPr>
                <w:rFonts w:eastAsia="Cambria"/>
                <w:sz w:val="22"/>
                <w:szCs w:val="22"/>
              </w:rPr>
              <w:t>0,5</w:t>
            </w:r>
          </w:p>
        </w:tc>
        <w:tc>
          <w:tcPr>
            <w:tcW w:w="1464" w:type="dxa"/>
            <w:shd w:val="clear" w:color="auto" w:fill="auto"/>
          </w:tcPr>
          <w:p w:rsidR="009C5812" w:rsidRPr="00091230" w:rsidRDefault="009C5812" w:rsidP="009C5812">
            <w:pPr>
              <w:jc w:val="center"/>
              <w:rPr>
                <w:rFonts w:eastAsia="Cambria"/>
                <w:sz w:val="22"/>
                <w:szCs w:val="22"/>
              </w:rPr>
            </w:pPr>
            <w:r w:rsidRPr="00091230">
              <w:rPr>
                <w:rFonts w:eastAsia="Cambria"/>
                <w:sz w:val="22"/>
                <w:szCs w:val="22"/>
              </w:rPr>
              <w:t>1/1,25</w:t>
            </w:r>
          </w:p>
        </w:tc>
        <w:tc>
          <w:tcPr>
            <w:tcW w:w="1662" w:type="dxa"/>
            <w:shd w:val="clear" w:color="auto" w:fill="auto"/>
          </w:tcPr>
          <w:p w:rsidR="009C5812" w:rsidRPr="00091230" w:rsidRDefault="009C5812" w:rsidP="009C5812">
            <w:pPr>
              <w:jc w:val="center"/>
              <w:rPr>
                <w:rFonts w:eastAsia="Cambria"/>
                <w:sz w:val="22"/>
                <w:szCs w:val="22"/>
              </w:rPr>
            </w:pPr>
            <w:r w:rsidRPr="00091230">
              <w:rPr>
                <w:rFonts w:eastAsia="Cambria"/>
                <w:sz w:val="22"/>
                <w:szCs w:val="22"/>
              </w:rPr>
              <w:t>130</w:t>
            </w:r>
          </w:p>
        </w:tc>
      </w:tr>
      <w:tr w:rsidR="009C5812" w:rsidRPr="00091230" w:rsidTr="009C5812">
        <w:trPr>
          <w:trHeight w:val="20"/>
        </w:trPr>
        <w:tc>
          <w:tcPr>
            <w:tcW w:w="704" w:type="dxa"/>
            <w:shd w:val="clear" w:color="auto" w:fill="auto"/>
          </w:tcPr>
          <w:p w:rsidR="009C5812" w:rsidRPr="00091230" w:rsidRDefault="009C5812" w:rsidP="009C5812">
            <w:pPr>
              <w:jc w:val="center"/>
              <w:rPr>
                <w:rFonts w:eastAsia="Cambria"/>
                <w:sz w:val="22"/>
                <w:szCs w:val="22"/>
              </w:rPr>
            </w:pPr>
            <w:r w:rsidRPr="00091230">
              <w:rPr>
                <w:rFonts w:eastAsia="Cambria"/>
                <w:sz w:val="22"/>
                <w:szCs w:val="22"/>
              </w:rPr>
              <w:t>24.</w:t>
            </w:r>
          </w:p>
        </w:tc>
        <w:tc>
          <w:tcPr>
            <w:tcW w:w="2268" w:type="dxa"/>
            <w:shd w:val="clear" w:color="auto" w:fill="auto"/>
          </w:tcPr>
          <w:p w:rsidR="009C5812" w:rsidRPr="00091230" w:rsidRDefault="009C5812" w:rsidP="009C5812">
            <w:pPr>
              <w:ind w:right="30"/>
              <w:jc w:val="both"/>
              <w:rPr>
                <w:rFonts w:eastAsia="Cambria"/>
                <w:sz w:val="22"/>
                <w:szCs w:val="22"/>
              </w:rPr>
            </w:pPr>
            <w:r w:rsidRPr="00091230">
              <w:rPr>
                <w:rFonts w:eastAsia="Cambria"/>
                <w:sz w:val="22"/>
                <w:szCs w:val="22"/>
              </w:rPr>
              <w:t>Камско-Устьинский муниципальный рай-он</w:t>
            </w:r>
          </w:p>
        </w:tc>
        <w:tc>
          <w:tcPr>
            <w:tcW w:w="2410" w:type="dxa"/>
          </w:tcPr>
          <w:p w:rsidR="009C5812" w:rsidRPr="00091230" w:rsidRDefault="009C5812" w:rsidP="009C5812">
            <w:pPr>
              <w:jc w:val="both"/>
              <w:rPr>
                <w:sz w:val="22"/>
                <w:szCs w:val="22"/>
              </w:rPr>
            </w:pPr>
            <w:r w:rsidRPr="00091230">
              <w:rPr>
                <w:sz w:val="22"/>
                <w:szCs w:val="22"/>
              </w:rPr>
              <w:t xml:space="preserve">ГАУЗ </w:t>
            </w:r>
            <w:r>
              <w:rPr>
                <w:sz w:val="22"/>
                <w:szCs w:val="22"/>
              </w:rPr>
              <w:t>«</w:t>
            </w:r>
            <w:r w:rsidRPr="00091230">
              <w:rPr>
                <w:sz w:val="22"/>
                <w:szCs w:val="22"/>
              </w:rPr>
              <w:t>Камско-Устьинская ЦРБ</w:t>
            </w:r>
            <w:r>
              <w:rPr>
                <w:sz w:val="22"/>
                <w:szCs w:val="22"/>
              </w:rPr>
              <w:t>»</w:t>
            </w:r>
          </w:p>
        </w:tc>
        <w:tc>
          <w:tcPr>
            <w:tcW w:w="1416" w:type="dxa"/>
            <w:shd w:val="clear" w:color="auto" w:fill="auto"/>
          </w:tcPr>
          <w:p w:rsidR="009C5812" w:rsidRPr="00091230" w:rsidRDefault="009C5812" w:rsidP="009C5812">
            <w:pPr>
              <w:jc w:val="center"/>
              <w:rPr>
                <w:rFonts w:eastAsia="Cambria"/>
                <w:sz w:val="22"/>
                <w:szCs w:val="22"/>
              </w:rPr>
            </w:pPr>
            <w:r w:rsidRPr="00091230">
              <w:rPr>
                <w:rFonts w:eastAsia="Cambria"/>
                <w:sz w:val="22"/>
                <w:szCs w:val="22"/>
              </w:rPr>
              <w:t>12 319</w:t>
            </w:r>
          </w:p>
        </w:tc>
        <w:tc>
          <w:tcPr>
            <w:tcW w:w="983" w:type="dxa"/>
            <w:shd w:val="clear" w:color="auto" w:fill="auto"/>
          </w:tcPr>
          <w:p w:rsidR="009C5812" w:rsidRPr="00091230" w:rsidRDefault="009C5812" w:rsidP="009C5812">
            <w:pPr>
              <w:jc w:val="center"/>
              <w:rPr>
                <w:rFonts w:eastAsia="Cambria"/>
                <w:sz w:val="22"/>
                <w:szCs w:val="22"/>
              </w:rPr>
            </w:pPr>
            <w:r w:rsidRPr="00091230">
              <w:rPr>
                <w:rFonts w:eastAsia="Cambria"/>
                <w:sz w:val="22"/>
                <w:szCs w:val="22"/>
              </w:rPr>
              <w:t>1</w:t>
            </w:r>
          </w:p>
        </w:tc>
        <w:tc>
          <w:tcPr>
            <w:tcW w:w="1156" w:type="dxa"/>
          </w:tcPr>
          <w:p w:rsidR="009C5812" w:rsidRPr="00091230" w:rsidRDefault="009C5812" w:rsidP="009C5812">
            <w:pPr>
              <w:jc w:val="center"/>
              <w:rPr>
                <w:sz w:val="22"/>
                <w:szCs w:val="22"/>
              </w:rPr>
            </w:pPr>
          </w:p>
        </w:tc>
        <w:tc>
          <w:tcPr>
            <w:tcW w:w="2114" w:type="dxa"/>
            <w:shd w:val="clear" w:color="auto" w:fill="auto"/>
          </w:tcPr>
          <w:p w:rsidR="009C5812" w:rsidRPr="00091230" w:rsidRDefault="009C5812" w:rsidP="009C5812">
            <w:pPr>
              <w:jc w:val="center"/>
              <w:rPr>
                <w:rFonts w:eastAsia="Cambria"/>
                <w:sz w:val="22"/>
                <w:szCs w:val="22"/>
              </w:rPr>
            </w:pPr>
            <w:r w:rsidRPr="00091230">
              <w:rPr>
                <w:rFonts w:eastAsia="Cambria"/>
                <w:sz w:val="22"/>
                <w:szCs w:val="22"/>
              </w:rPr>
              <w:t>1</w:t>
            </w:r>
          </w:p>
        </w:tc>
        <w:tc>
          <w:tcPr>
            <w:tcW w:w="1464" w:type="dxa"/>
            <w:shd w:val="clear" w:color="auto" w:fill="auto"/>
          </w:tcPr>
          <w:p w:rsidR="009C5812" w:rsidRPr="00091230" w:rsidRDefault="009C5812" w:rsidP="009C5812">
            <w:pPr>
              <w:jc w:val="center"/>
              <w:rPr>
                <w:rFonts w:eastAsia="Cambria"/>
                <w:sz w:val="22"/>
                <w:szCs w:val="22"/>
              </w:rPr>
            </w:pPr>
            <w:r w:rsidRPr="00091230">
              <w:rPr>
                <w:rFonts w:eastAsia="Cambria"/>
                <w:sz w:val="22"/>
                <w:szCs w:val="22"/>
              </w:rPr>
              <w:t>1/0,5</w:t>
            </w:r>
          </w:p>
        </w:tc>
        <w:tc>
          <w:tcPr>
            <w:tcW w:w="1662" w:type="dxa"/>
            <w:shd w:val="clear" w:color="auto" w:fill="auto"/>
          </w:tcPr>
          <w:p w:rsidR="009C5812" w:rsidRPr="00091230" w:rsidRDefault="009C5812" w:rsidP="009C5812">
            <w:pPr>
              <w:jc w:val="center"/>
              <w:rPr>
                <w:rFonts w:eastAsia="Cambria"/>
                <w:sz w:val="22"/>
                <w:szCs w:val="22"/>
              </w:rPr>
            </w:pPr>
            <w:r w:rsidRPr="00091230">
              <w:rPr>
                <w:rFonts w:eastAsia="Cambria"/>
                <w:sz w:val="22"/>
                <w:szCs w:val="22"/>
              </w:rPr>
              <w:t>98</w:t>
            </w:r>
          </w:p>
        </w:tc>
      </w:tr>
      <w:tr w:rsidR="009C5812" w:rsidRPr="00091230" w:rsidTr="009C5812">
        <w:trPr>
          <w:trHeight w:val="20"/>
        </w:trPr>
        <w:tc>
          <w:tcPr>
            <w:tcW w:w="704" w:type="dxa"/>
            <w:shd w:val="clear" w:color="auto" w:fill="auto"/>
          </w:tcPr>
          <w:p w:rsidR="009C5812" w:rsidRPr="00091230" w:rsidRDefault="009C5812" w:rsidP="009C5812">
            <w:pPr>
              <w:jc w:val="center"/>
              <w:rPr>
                <w:rFonts w:eastAsia="Cambria"/>
                <w:sz w:val="22"/>
                <w:szCs w:val="22"/>
              </w:rPr>
            </w:pPr>
            <w:r w:rsidRPr="00091230">
              <w:rPr>
                <w:rFonts w:eastAsia="Cambria"/>
                <w:sz w:val="22"/>
                <w:szCs w:val="22"/>
              </w:rPr>
              <w:t>25.</w:t>
            </w:r>
          </w:p>
        </w:tc>
        <w:tc>
          <w:tcPr>
            <w:tcW w:w="2268" w:type="dxa"/>
            <w:shd w:val="clear" w:color="auto" w:fill="auto"/>
          </w:tcPr>
          <w:p w:rsidR="009C5812" w:rsidRPr="00091230" w:rsidRDefault="009C5812" w:rsidP="009C5812">
            <w:pPr>
              <w:ind w:right="30"/>
              <w:jc w:val="both"/>
              <w:rPr>
                <w:rFonts w:eastAsia="Cambria"/>
                <w:sz w:val="22"/>
                <w:szCs w:val="22"/>
              </w:rPr>
            </w:pPr>
            <w:r w:rsidRPr="00091230">
              <w:rPr>
                <w:rFonts w:eastAsia="Cambria"/>
                <w:sz w:val="22"/>
                <w:szCs w:val="22"/>
              </w:rPr>
              <w:t>Кукморский муниципальный район</w:t>
            </w:r>
          </w:p>
        </w:tc>
        <w:tc>
          <w:tcPr>
            <w:tcW w:w="2410" w:type="dxa"/>
          </w:tcPr>
          <w:p w:rsidR="009C5812" w:rsidRPr="00091230" w:rsidRDefault="009C5812" w:rsidP="009C5812">
            <w:pPr>
              <w:jc w:val="both"/>
              <w:rPr>
                <w:sz w:val="22"/>
                <w:szCs w:val="22"/>
              </w:rPr>
            </w:pPr>
            <w:r w:rsidRPr="00091230">
              <w:rPr>
                <w:sz w:val="22"/>
                <w:szCs w:val="22"/>
              </w:rPr>
              <w:t xml:space="preserve">ГАУЗ </w:t>
            </w:r>
            <w:r>
              <w:rPr>
                <w:sz w:val="22"/>
                <w:szCs w:val="22"/>
              </w:rPr>
              <w:t>«</w:t>
            </w:r>
            <w:r w:rsidRPr="00091230">
              <w:rPr>
                <w:sz w:val="22"/>
                <w:szCs w:val="22"/>
              </w:rPr>
              <w:t>Кукморская ЦРБ</w:t>
            </w:r>
            <w:r>
              <w:rPr>
                <w:sz w:val="22"/>
                <w:szCs w:val="22"/>
              </w:rPr>
              <w:t>»</w:t>
            </w:r>
          </w:p>
        </w:tc>
        <w:tc>
          <w:tcPr>
            <w:tcW w:w="1416" w:type="dxa"/>
            <w:shd w:val="clear" w:color="auto" w:fill="auto"/>
          </w:tcPr>
          <w:p w:rsidR="009C5812" w:rsidRPr="00091230" w:rsidRDefault="009C5812" w:rsidP="009C5812">
            <w:pPr>
              <w:jc w:val="center"/>
              <w:rPr>
                <w:rFonts w:eastAsia="Cambria"/>
                <w:sz w:val="22"/>
                <w:szCs w:val="22"/>
              </w:rPr>
            </w:pPr>
            <w:r w:rsidRPr="00091230">
              <w:rPr>
                <w:rFonts w:eastAsia="Cambria"/>
                <w:sz w:val="22"/>
                <w:szCs w:val="22"/>
              </w:rPr>
              <w:t>39 498</w:t>
            </w:r>
          </w:p>
        </w:tc>
        <w:tc>
          <w:tcPr>
            <w:tcW w:w="983" w:type="dxa"/>
            <w:shd w:val="clear" w:color="auto" w:fill="auto"/>
          </w:tcPr>
          <w:p w:rsidR="009C5812" w:rsidRPr="00091230" w:rsidRDefault="009C5812" w:rsidP="009C5812">
            <w:pPr>
              <w:jc w:val="center"/>
              <w:rPr>
                <w:rFonts w:eastAsia="Cambria"/>
                <w:sz w:val="22"/>
                <w:szCs w:val="22"/>
              </w:rPr>
            </w:pPr>
            <w:r w:rsidRPr="00091230">
              <w:rPr>
                <w:rFonts w:eastAsia="Cambria"/>
                <w:sz w:val="22"/>
                <w:szCs w:val="22"/>
              </w:rPr>
              <w:t>1</w:t>
            </w:r>
          </w:p>
        </w:tc>
        <w:tc>
          <w:tcPr>
            <w:tcW w:w="1156" w:type="dxa"/>
          </w:tcPr>
          <w:p w:rsidR="009C5812" w:rsidRPr="00091230" w:rsidRDefault="009C5812" w:rsidP="009C5812">
            <w:pPr>
              <w:jc w:val="center"/>
              <w:rPr>
                <w:sz w:val="22"/>
                <w:szCs w:val="22"/>
              </w:rPr>
            </w:pPr>
          </w:p>
        </w:tc>
        <w:tc>
          <w:tcPr>
            <w:tcW w:w="2114" w:type="dxa"/>
            <w:shd w:val="clear" w:color="auto" w:fill="auto"/>
          </w:tcPr>
          <w:p w:rsidR="009C5812" w:rsidRPr="00091230" w:rsidRDefault="009C5812" w:rsidP="009C5812">
            <w:pPr>
              <w:jc w:val="center"/>
              <w:rPr>
                <w:rFonts w:eastAsia="Cambria"/>
                <w:sz w:val="22"/>
                <w:szCs w:val="22"/>
              </w:rPr>
            </w:pPr>
            <w:r w:rsidRPr="00091230">
              <w:rPr>
                <w:rFonts w:eastAsia="Cambria"/>
                <w:sz w:val="22"/>
                <w:szCs w:val="22"/>
              </w:rPr>
              <w:t>1</w:t>
            </w:r>
          </w:p>
        </w:tc>
        <w:tc>
          <w:tcPr>
            <w:tcW w:w="1464" w:type="dxa"/>
            <w:shd w:val="clear" w:color="auto" w:fill="auto"/>
          </w:tcPr>
          <w:p w:rsidR="009C5812" w:rsidRPr="00091230" w:rsidRDefault="009C5812" w:rsidP="009C5812">
            <w:pPr>
              <w:jc w:val="center"/>
              <w:rPr>
                <w:rFonts w:eastAsia="Cambria"/>
                <w:sz w:val="22"/>
                <w:szCs w:val="22"/>
              </w:rPr>
            </w:pPr>
            <w:r w:rsidRPr="00091230">
              <w:rPr>
                <w:rFonts w:eastAsia="Cambria"/>
                <w:sz w:val="22"/>
                <w:szCs w:val="22"/>
              </w:rPr>
              <w:t>1/1</w:t>
            </w:r>
          </w:p>
        </w:tc>
        <w:tc>
          <w:tcPr>
            <w:tcW w:w="1662" w:type="dxa"/>
            <w:shd w:val="clear" w:color="auto" w:fill="auto"/>
          </w:tcPr>
          <w:p w:rsidR="009C5812" w:rsidRPr="00091230" w:rsidRDefault="009C5812" w:rsidP="009C5812">
            <w:pPr>
              <w:jc w:val="center"/>
              <w:rPr>
                <w:rFonts w:eastAsia="Cambria"/>
                <w:sz w:val="22"/>
                <w:szCs w:val="22"/>
              </w:rPr>
            </w:pPr>
            <w:r w:rsidRPr="00091230">
              <w:rPr>
                <w:rFonts w:eastAsia="Cambria"/>
                <w:sz w:val="22"/>
                <w:szCs w:val="22"/>
              </w:rPr>
              <w:t>150</w:t>
            </w:r>
          </w:p>
        </w:tc>
      </w:tr>
      <w:tr w:rsidR="009C5812" w:rsidRPr="00091230" w:rsidTr="009C5812">
        <w:trPr>
          <w:trHeight w:val="20"/>
        </w:trPr>
        <w:tc>
          <w:tcPr>
            <w:tcW w:w="704" w:type="dxa"/>
            <w:shd w:val="clear" w:color="auto" w:fill="auto"/>
          </w:tcPr>
          <w:p w:rsidR="009C5812" w:rsidRPr="00091230" w:rsidRDefault="009C5812" w:rsidP="009C5812">
            <w:pPr>
              <w:jc w:val="center"/>
              <w:rPr>
                <w:rFonts w:eastAsia="Cambria"/>
                <w:sz w:val="22"/>
                <w:szCs w:val="22"/>
              </w:rPr>
            </w:pPr>
            <w:r w:rsidRPr="00091230">
              <w:rPr>
                <w:rFonts w:eastAsia="Cambria"/>
                <w:sz w:val="22"/>
                <w:szCs w:val="22"/>
              </w:rPr>
              <w:t>26.</w:t>
            </w:r>
          </w:p>
        </w:tc>
        <w:tc>
          <w:tcPr>
            <w:tcW w:w="2268" w:type="dxa"/>
            <w:shd w:val="clear" w:color="auto" w:fill="auto"/>
          </w:tcPr>
          <w:p w:rsidR="009C5812" w:rsidRPr="00091230" w:rsidRDefault="009C5812" w:rsidP="009C5812">
            <w:pPr>
              <w:ind w:right="30"/>
              <w:jc w:val="both"/>
              <w:rPr>
                <w:rFonts w:eastAsia="Cambria"/>
                <w:sz w:val="22"/>
                <w:szCs w:val="22"/>
              </w:rPr>
            </w:pPr>
            <w:r w:rsidRPr="00091230">
              <w:rPr>
                <w:rFonts w:eastAsia="Cambria"/>
                <w:sz w:val="22"/>
                <w:szCs w:val="22"/>
              </w:rPr>
              <w:t>Лаишевский муниципальный район</w:t>
            </w:r>
          </w:p>
        </w:tc>
        <w:tc>
          <w:tcPr>
            <w:tcW w:w="2410" w:type="dxa"/>
          </w:tcPr>
          <w:p w:rsidR="009C5812" w:rsidRPr="00091230" w:rsidRDefault="009C5812" w:rsidP="009C5812">
            <w:pPr>
              <w:jc w:val="both"/>
              <w:rPr>
                <w:sz w:val="22"/>
                <w:szCs w:val="22"/>
              </w:rPr>
            </w:pPr>
            <w:r w:rsidRPr="00091230">
              <w:rPr>
                <w:sz w:val="22"/>
                <w:szCs w:val="22"/>
              </w:rPr>
              <w:t xml:space="preserve">ГАУЗ </w:t>
            </w:r>
            <w:r>
              <w:rPr>
                <w:sz w:val="22"/>
                <w:szCs w:val="22"/>
              </w:rPr>
              <w:t>«</w:t>
            </w:r>
            <w:r w:rsidRPr="00091230">
              <w:rPr>
                <w:sz w:val="22"/>
                <w:szCs w:val="22"/>
              </w:rPr>
              <w:t>Лаишевская ЦРБ</w:t>
            </w:r>
            <w:r>
              <w:rPr>
                <w:sz w:val="22"/>
                <w:szCs w:val="22"/>
              </w:rPr>
              <w:t>»</w:t>
            </w:r>
          </w:p>
        </w:tc>
        <w:tc>
          <w:tcPr>
            <w:tcW w:w="1416" w:type="dxa"/>
            <w:shd w:val="clear" w:color="auto" w:fill="auto"/>
          </w:tcPr>
          <w:p w:rsidR="009C5812" w:rsidRPr="00091230" w:rsidRDefault="009C5812" w:rsidP="009C5812">
            <w:pPr>
              <w:jc w:val="center"/>
              <w:rPr>
                <w:rFonts w:eastAsia="Cambria"/>
                <w:sz w:val="22"/>
                <w:szCs w:val="22"/>
              </w:rPr>
            </w:pPr>
            <w:r w:rsidRPr="00091230">
              <w:rPr>
                <w:rFonts w:eastAsia="Cambria"/>
                <w:sz w:val="22"/>
                <w:szCs w:val="22"/>
              </w:rPr>
              <w:t>35 145</w:t>
            </w:r>
          </w:p>
        </w:tc>
        <w:tc>
          <w:tcPr>
            <w:tcW w:w="983" w:type="dxa"/>
            <w:shd w:val="clear" w:color="auto" w:fill="auto"/>
          </w:tcPr>
          <w:p w:rsidR="009C5812" w:rsidRPr="00091230" w:rsidRDefault="009C5812" w:rsidP="009C5812">
            <w:pPr>
              <w:jc w:val="center"/>
              <w:rPr>
                <w:rFonts w:eastAsia="Cambria"/>
                <w:sz w:val="22"/>
                <w:szCs w:val="22"/>
              </w:rPr>
            </w:pPr>
            <w:r w:rsidRPr="00091230">
              <w:rPr>
                <w:rFonts w:eastAsia="Cambria"/>
                <w:sz w:val="22"/>
                <w:szCs w:val="22"/>
              </w:rPr>
              <w:t>1</w:t>
            </w:r>
          </w:p>
        </w:tc>
        <w:tc>
          <w:tcPr>
            <w:tcW w:w="1156" w:type="dxa"/>
          </w:tcPr>
          <w:p w:rsidR="009C5812" w:rsidRPr="00091230" w:rsidRDefault="009C5812" w:rsidP="009C5812">
            <w:pPr>
              <w:jc w:val="center"/>
              <w:rPr>
                <w:sz w:val="22"/>
                <w:szCs w:val="22"/>
              </w:rPr>
            </w:pPr>
          </w:p>
        </w:tc>
        <w:tc>
          <w:tcPr>
            <w:tcW w:w="2114" w:type="dxa"/>
            <w:shd w:val="clear" w:color="auto" w:fill="auto"/>
          </w:tcPr>
          <w:p w:rsidR="009C5812" w:rsidRPr="00091230" w:rsidRDefault="009C5812" w:rsidP="009C5812">
            <w:pPr>
              <w:jc w:val="center"/>
              <w:rPr>
                <w:rFonts w:eastAsia="Cambria"/>
                <w:sz w:val="22"/>
                <w:szCs w:val="22"/>
              </w:rPr>
            </w:pPr>
            <w:r w:rsidRPr="00091230">
              <w:rPr>
                <w:rFonts w:eastAsia="Cambria"/>
                <w:sz w:val="22"/>
                <w:szCs w:val="22"/>
              </w:rPr>
              <w:t>0,5</w:t>
            </w:r>
          </w:p>
        </w:tc>
        <w:tc>
          <w:tcPr>
            <w:tcW w:w="1464" w:type="dxa"/>
            <w:shd w:val="clear" w:color="auto" w:fill="auto"/>
          </w:tcPr>
          <w:p w:rsidR="009C5812" w:rsidRPr="00091230" w:rsidRDefault="009C5812" w:rsidP="009C5812">
            <w:pPr>
              <w:jc w:val="center"/>
              <w:rPr>
                <w:rFonts w:eastAsia="Cambria"/>
                <w:sz w:val="22"/>
                <w:szCs w:val="22"/>
              </w:rPr>
            </w:pPr>
            <w:r w:rsidRPr="00091230">
              <w:rPr>
                <w:rFonts w:eastAsia="Cambria"/>
                <w:sz w:val="22"/>
                <w:szCs w:val="22"/>
              </w:rPr>
              <w:t>1/1</w:t>
            </w:r>
          </w:p>
        </w:tc>
        <w:tc>
          <w:tcPr>
            <w:tcW w:w="1662" w:type="dxa"/>
            <w:shd w:val="clear" w:color="auto" w:fill="auto"/>
          </w:tcPr>
          <w:p w:rsidR="009C5812" w:rsidRPr="00091230" w:rsidRDefault="009C5812" w:rsidP="009C5812">
            <w:pPr>
              <w:jc w:val="center"/>
              <w:rPr>
                <w:rFonts w:eastAsia="Cambria"/>
                <w:sz w:val="22"/>
                <w:szCs w:val="22"/>
              </w:rPr>
            </w:pPr>
            <w:r w:rsidRPr="00091230">
              <w:rPr>
                <w:rFonts w:eastAsia="Cambria"/>
                <w:sz w:val="22"/>
                <w:szCs w:val="22"/>
              </w:rPr>
              <w:t>59</w:t>
            </w:r>
          </w:p>
        </w:tc>
      </w:tr>
      <w:tr w:rsidR="009C5812" w:rsidRPr="00091230" w:rsidTr="009C5812">
        <w:trPr>
          <w:trHeight w:val="20"/>
        </w:trPr>
        <w:tc>
          <w:tcPr>
            <w:tcW w:w="704" w:type="dxa"/>
            <w:shd w:val="clear" w:color="auto" w:fill="auto"/>
          </w:tcPr>
          <w:p w:rsidR="009C5812" w:rsidRPr="00091230" w:rsidRDefault="009C5812" w:rsidP="009C5812">
            <w:pPr>
              <w:jc w:val="center"/>
              <w:rPr>
                <w:rFonts w:eastAsia="Cambria"/>
                <w:sz w:val="22"/>
                <w:szCs w:val="22"/>
              </w:rPr>
            </w:pPr>
            <w:r w:rsidRPr="00091230">
              <w:rPr>
                <w:rFonts w:eastAsia="Cambria"/>
                <w:sz w:val="22"/>
                <w:szCs w:val="22"/>
              </w:rPr>
              <w:t>27.</w:t>
            </w:r>
          </w:p>
        </w:tc>
        <w:tc>
          <w:tcPr>
            <w:tcW w:w="2268" w:type="dxa"/>
            <w:shd w:val="clear" w:color="auto" w:fill="auto"/>
          </w:tcPr>
          <w:p w:rsidR="009C5812" w:rsidRPr="00091230" w:rsidRDefault="009C5812" w:rsidP="009C5812">
            <w:pPr>
              <w:ind w:right="30"/>
              <w:jc w:val="both"/>
              <w:rPr>
                <w:rFonts w:eastAsia="Cambria"/>
                <w:sz w:val="22"/>
                <w:szCs w:val="22"/>
              </w:rPr>
            </w:pPr>
            <w:r w:rsidRPr="00091230">
              <w:rPr>
                <w:rFonts w:eastAsia="Cambria"/>
                <w:sz w:val="22"/>
                <w:szCs w:val="22"/>
              </w:rPr>
              <w:t>Лениногорский муниципальный район</w:t>
            </w:r>
          </w:p>
        </w:tc>
        <w:tc>
          <w:tcPr>
            <w:tcW w:w="2410" w:type="dxa"/>
          </w:tcPr>
          <w:p w:rsidR="009C5812" w:rsidRPr="00091230" w:rsidRDefault="009C5812" w:rsidP="009C5812">
            <w:pPr>
              <w:jc w:val="both"/>
              <w:rPr>
                <w:sz w:val="22"/>
                <w:szCs w:val="22"/>
              </w:rPr>
            </w:pPr>
            <w:r w:rsidRPr="00091230">
              <w:rPr>
                <w:sz w:val="22"/>
                <w:szCs w:val="22"/>
              </w:rPr>
              <w:t xml:space="preserve">ГАУЗ </w:t>
            </w:r>
            <w:r>
              <w:rPr>
                <w:sz w:val="22"/>
                <w:szCs w:val="22"/>
              </w:rPr>
              <w:t>«</w:t>
            </w:r>
            <w:r w:rsidRPr="00091230">
              <w:rPr>
                <w:sz w:val="22"/>
                <w:szCs w:val="22"/>
              </w:rPr>
              <w:t>Лениногорская ЦРБ</w:t>
            </w:r>
            <w:r>
              <w:rPr>
                <w:sz w:val="22"/>
                <w:szCs w:val="22"/>
              </w:rPr>
              <w:t>»</w:t>
            </w:r>
          </w:p>
        </w:tc>
        <w:tc>
          <w:tcPr>
            <w:tcW w:w="1416" w:type="dxa"/>
            <w:shd w:val="clear" w:color="auto" w:fill="auto"/>
          </w:tcPr>
          <w:p w:rsidR="009C5812" w:rsidRPr="00091230" w:rsidRDefault="009C5812" w:rsidP="009C5812">
            <w:pPr>
              <w:jc w:val="center"/>
              <w:rPr>
                <w:rFonts w:eastAsia="Cambria"/>
                <w:sz w:val="22"/>
                <w:szCs w:val="22"/>
              </w:rPr>
            </w:pPr>
            <w:r w:rsidRPr="00091230">
              <w:rPr>
                <w:rFonts w:eastAsia="Cambria"/>
                <w:sz w:val="22"/>
                <w:szCs w:val="22"/>
              </w:rPr>
              <w:t>64 610</w:t>
            </w:r>
          </w:p>
        </w:tc>
        <w:tc>
          <w:tcPr>
            <w:tcW w:w="983" w:type="dxa"/>
            <w:shd w:val="clear" w:color="auto" w:fill="auto"/>
          </w:tcPr>
          <w:p w:rsidR="009C5812" w:rsidRPr="00091230" w:rsidRDefault="009C5812" w:rsidP="009C5812">
            <w:pPr>
              <w:jc w:val="center"/>
              <w:rPr>
                <w:rFonts w:eastAsia="Cambria"/>
                <w:sz w:val="22"/>
                <w:szCs w:val="22"/>
              </w:rPr>
            </w:pPr>
            <w:r w:rsidRPr="00091230">
              <w:rPr>
                <w:rFonts w:eastAsia="Cambria"/>
                <w:sz w:val="22"/>
                <w:szCs w:val="22"/>
              </w:rPr>
              <w:t>1</w:t>
            </w:r>
          </w:p>
        </w:tc>
        <w:tc>
          <w:tcPr>
            <w:tcW w:w="1156" w:type="dxa"/>
          </w:tcPr>
          <w:p w:rsidR="009C5812" w:rsidRPr="00091230" w:rsidRDefault="009C5812" w:rsidP="009C5812">
            <w:pPr>
              <w:jc w:val="center"/>
              <w:rPr>
                <w:sz w:val="22"/>
                <w:szCs w:val="22"/>
              </w:rPr>
            </w:pPr>
          </w:p>
        </w:tc>
        <w:tc>
          <w:tcPr>
            <w:tcW w:w="2114" w:type="dxa"/>
            <w:shd w:val="clear" w:color="auto" w:fill="auto"/>
          </w:tcPr>
          <w:p w:rsidR="009C5812" w:rsidRPr="00091230" w:rsidRDefault="009C5812" w:rsidP="009C5812">
            <w:pPr>
              <w:jc w:val="center"/>
              <w:rPr>
                <w:rFonts w:eastAsia="Cambria"/>
                <w:sz w:val="22"/>
                <w:szCs w:val="22"/>
              </w:rPr>
            </w:pPr>
            <w:r w:rsidRPr="00091230">
              <w:rPr>
                <w:rFonts w:eastAsia="Cambria"/>
                <w:sz w:val="22"/>
                <w:szCs w:val="22"/>
              </w:rPr>
              <w:t>1</w:t>
            </w:r>
          </w:p>
        </w:tc>
        <w:tc>
          <w:tcPr>
            <w:tcW w:w="1464" w:type="dxa"/>
            <w:shd w:val="clear" w:color="auto" w:fill="auto"/>
          </w:tcPr>
          <w:p w:rsidR="009C5812" w:rsidRPr="00091230" w:rsidRDefault="009C5812" w:rsidP="009C5812">
            <w:pPr>
              <w:jc w:val="center"/>
              <w:rPr>
                <w:rFonts w:eastAsia="Cambria"/>
                <w:sz w:val="22"/>
                <w:szCs w:val="22"/>
              </w:rPr>
            </w:pPr>
            <w:r w:rsidRPr="00091230">
              <w:rPr>
                <w:rFonts w:eastAsia="Cambria"/>
                <w:sz w:val="22"/>
                <w:szCs w:val="22"/>
              </w:rPr>
              <w:t>1/1</w:t>
            </w:r>
          </w:p>
        </w:tc>
        <w:tc>
          <w:tcPr>
            <w:tcW w:w="1662" w:type="dxa"/>
            <w:shd w:val="clear" w:color="auto" w:fill="auto"/>
          </w:tcPr>
          <w:p w:rsidR="009C5812" w:rsidRPr="00091230" w:rsidRDefault="009C5812" w:rsidP="009C5812">
            <w:pPr>
              <w:jc w:val="center"/>
              <w:rPr>
                <w:rFonts w:eastAsia="Cambria"/>
                <w:sz w:val="22"/>
                <w:szCs w:val="22"/>
              </w:rPr>
            </w:pPr>
            <w:r w:rsidRPr="00091230">
              <w:rPr>
                <w:rFonts w:eastAsia="Cambria"/>
                <w:sz w:val="22"/>
                <w:szCs w:val="22"/>
              </w:rPr>
              <w:t>320</w:t>
            </w:r>
          </w:p>
        </w:tc>
      </w:tr>
      <w:tr w:rsidR="009C5812" w:rsidRPr="00091230" w:rsidTr="009C5812">
        <w:trPr>
          <w:trHeight w:val="20"/>
        </w:trPr>
        <w:tc>
          <w:tcPr>
            <w:tcW w:w="704" w:type="dxa"/>
            <w:shd w:val="clear" w:color="auto" w:fill="auto"/>
          </w:tcPr>
          <w:p w:rsidR="009C5812" w:rsidRPr="00091230" w:rsidRDefault="009C5812" w:rsidP="009C5812">
            <w:pPr>
              <w:jc w:val="center"/>
              <w:rPr>
                <w:rFonts w:eastAsia="Cambria"/>
                <w:sz w:val="22"/>
                <w:szCs w:val="22"/>
              </w:rPr>
            </w:pPr>
            <w:r w:rsidRPr="00091230">
              <w:rPr>
                <w:rFonts w:eastAsia="Cambria"/>
                <w:sz w:val="22"/>
                <w:szCs w:val="22"/>
              </w:rPr>
              <w:t>28.</w:t>
            </w:r>
          </w:p>
        </w:tc>
        <w:tc>
          <w:tcPr>
            <w:tcW w:w="2268" w:type="dxa"/>
            <w:shd w:val="clear" w:color="auto" w:fill="auto"/>
          </w:tcPr>
          <w:p w:rsidR="009C5812" w:rsidRPr="00091230" w:rsidRDefault="009C5812" w:rsidP="009C5812">
            <w:pPr>
              <w:ind w:right="30"/>
              <w:jc w:val="both"/>
              <w:rPr>
                <w:rFonts w:eastAsia="Cambria"/>
                <w:sz w:val="22"/>
                <w:szCs w:val="22"/>
              </w:rPr>
            </w:pPr>
            <w:r w:rsidRPr="00091230">
              <w:rPr>
                <w:rFonts w:eastAsia="Cambria"/>
                <w:sz w:val="22"/>
                <w:szCs w:val="22"/>
              </w:rPr>
              <w:t>Мамадышский муниципальный район</w:t>
            </w:r>
          </w:p>
        </w:tc>
        <w:tc>
          <w:tcPr>
            <w:tcW w:w="2410" w:type="dxa"/>
          </w:tcPr>
          <w:p w:rsidR="009C5812" w:rsidRPr="00091230" w:rsidRDefault="009C5812" w:rsidP="009C5812">
            <w:pPr>
              <w:jc w:val="both"/>
              <w:rPr>
                <w:sz w:val="22"/>
                <w:szCs w:val="22"/>
              </w:rPr>
            </w:pPr>
            <w:r w:rsidRPr="00091230">
              <w:rPr>
                <w:sz w:val="22"/>
                <w:szCs w:val="22"/>
              </w:rPr>
              <w:t xml:space="preserve">ГАУЗ </w:t>
            </w:r>
            <w:r>
              <w:rPr>
                <w:sz w:val="22"/>
                <w:szCs w:val="22"/>
              </w:rPr>
              <w:t>«</w:t>
            </w:r>
            <w:r w:rsidRPr="00091230">
              <w:rPr>
                <w:sz w:val="22"/>
                <w:szCs w:val="22"/>
              </w:rPr>
              <w:t>Мамадышская ЦРБ</w:t>
            </w:r>
            <w:r>
              <w:rPr>
                <w:sz w:val="22"/>
                <w:szCs w:val="22"/>
              </w:rPr>
              <w:t>»</w:t>
            </w:r>
          </w:p>
        </w:tc>
        <w:tc>
          <w:tcPr>
            <w:tcW w:w="1416" w:type="dxa"/>
            <w:shd w:val="clear" w:color="auto" w:fill="auto"/>
          </w:tcPr>
          <w:p w:rsidR="009C5812" w:rsidRPr="00091230" w:rsidRDefault="009C5812" w:rsidP="009C5812">
            <w:pPr>
              <w:jc w:val="center"/>
              <w:rPr>
                <w:rFonts w:eastAsia="Cambria"/>
                <w:sz w:val="22"/>
                <w:szCs w:val="22"/>
              </w:rPr>
            </w:pPr>
            <w:r w:rsidRPr="00091230">
              <w:rPr>
                <w:rFonts w:eastAsia="Cambria"/>
                <w:sz w:val="22"/>
                <w:szCs w:val="22"/>
              </w:rPr>
              <w:t>33 868</w:t>
            </w:r>
          </w:p>
        </w:tc>
        <w:tc>
          <w:tcPr>
            <w:tcW w:w="983" w:type="dxa"/>
            <w:shd w:val="clear" w:color="auto" w:fill="auto"/>
          </w:tcPr>
          <w:p w:rsidR="009C5812" w:rsidRPr="00091230" w:rsidRDefault="009C5812" w:rsidP="009C5812">
            <w:pPr>
              <w:jc w:val="center"/>
              <w:rPr>
                <w:rFonts w:eastAsia="Cambria"/>
                <w:sz w:val="22"/>
                <w:szCs w:val="22"/>
              </w:rPr>
            </w:pPr>
            <w:r w:rsidRPr="00091230">
              <w:rPr>
                <w:rFonts w:eastAsia="Cambria"/>
                <w:sz w:val="22"/>
                <w:szCs w:val="22"/>
              </w:rPr>
              <w:t>1</w:t>
            </w:r>
          </w:p>
        </w:tc>
        <w:tc>
          <w:tcPr>
            <w:tcW w:w="1156" w:type="dxa"/>
          </w:tcPr>
          <w:p w:rsidR="009C5812" w:rsidRPr="00091230" w:rsidRDefault="009C5812" w:rsidP="009C5812">
            <w:pPr>
              <w:jc w:val="center"/>
              <w:rPr>
                <w:sz w:val="22"/>
                <w:szCs w:val="22"/>
              </w:rPr>
            </w:pPr>
          </w:p>
        </w:tc>
        <w:tc>
          <w:tcPr>
            <w:tcW w:w="2114" w:type="dxa"/>
            <w:shd w:val="clear" w:color="auto" w:fill="auto"/>
          </w:tcPr>
          <w:p w:rsidR="009C5812" w:rsidRPr="00091230" w:rsidRDefault="009C5812" w:rsidP="009C5812">
            <w:pPr>
              <w:jc w:val="center"/>
              <w:rPr>
                <w:rFonts w:eastAsia="Cambria"/>
                <w:sz w:val="22"/>
                <w:szCs w:val="22"/>
              </w:rPr>
            </w:pPr>
            <w:r w:rsidRPr="00091230">
              <w:rPr>
                <w:rFonts w:eastAsia="Cambria"/>
                <w:sz w:val="22"/>
                <w:szCs w:val="22"/>
              </w:rPr>
              <w:t>1</w:t>
            </w:r>
          </w:p>
        </w:tc>
        <w:tc>
          <w:tcPr>
            <w:tcW w:w="1464" w:type="dxa"/>
            <w:shd w:val="clear" w:color="auto" w:fill="auto"/>
          </w:tcPr>
          <w:p w:rsidR="009C5812" w:rsidRPr="00091230" w:rsidRDefault="009C5812" w:rsidP="009C5812">
            <w:pPr>
              <w:jc w:val="center"/>
              <w:rPr>
                <w:rFonts w:eastAsia="Cambria"/>
                <w:sz w:val="22"/>
                <w:szCs w:val="22"/>
              </w:rPr>
            </w:pPr>
            <w:r w:rsidRPr="00091230">
              <w:rPr>
                <w:rFonts w:eastAsia="Cambria"/>
                <w:sz w:val="22"/>
                <w:szCs w:val="22"/>
              </w:rPr>
              <w:t>1/0,25</w:t>
            </w:r>
          </w:p>
        </w:tc>
        <w:tc>
          <w:tcPr>
            <w:tcW w:w="1662" w:type="dxa"/>
            <w:shd w:val="clear" w:color="auto" w:fill="auto"/>
          </w:tcPr>
          <w:p w:rsidR="009C5812" w:rsidRPr="00091230" w:rsidRDefault="009C5812" w:rsidP="009C5812">
            <w:pPr>
              <w:jc w:val="center"/>
              <w:rPr>
                <w:rFonts w:eastAsia="Cambria"/>
                <w:sz w:val="22"/>
                <w:szCs w:val="22"/>
              </w:rPr>
            </w:pPr>
            <w:r w:rsidRPr="00091230">
              <w:rPr>
                <w:rFonts w:eastAsia="Cambria"/>
                <w:sz w:val="22"/>
                <w:szCs w:val="22"/>
              </w:rPr>
              <w:t>170</w:t>
            </w:r>
          </w:p>
        </w:tc>
      </w:tr>
      <w:tr w:rsidR="009C5812" w:rsidRPr="00091230" w:rsidTr="009C5812">
        <w:trPr>
          <w:trHeight w:val="20"/>
        </w:trPr>
        <w:tc>
          <w:tcPr>
            <w:tcW w:w="704" w:type="dxa"/>
            <w:shd w:val="clear" w:color="auto" w:fill="auto"/>
          </w:tcPr>
          <w:p w:rsidR="009C5812" w:rsidRPr="00091230" w:rsidRDefault="009C5812" w:rsidP="009C5812">
            <w:pPr>
              <w:jc w:val="center"/>
              <w:rPr>
                <w:rFonts w:eastAsia="Cambria"/>
                <w:sz w:val="22"/>
                <w:szCs w:val="22"/>
              </w:rPr>
            </w:pPr>
            <w:r w:rsidRPr="00091230">
              <w:rPr>
                <w:rFonts w:eastAsia="Cambria"/>
                <w:sz w:val="22"/>
                <w:szCs w:val="22"/>
              </w:rPr>
              <w:t>29.</w:t>
            </w:r>
          </w:p>
        </w:tc>
        <w:tc>
          <w:tcPr>
            <w:tcW w:w="2268" w:type="dxa"/>
            <w:shd w:val="clear" w:color="auto" w:fill="auto"/>
          </w:tcPr>
          <w:p w:rsidR="009C5812" w:rsidRPr="00091230" w:rsidRDefault="009C5812" w:rsidP="009C5812">
            <w:pPr>
              <w:ind w:right="30"/>
              <w:jc w:val="both"/>
              <w:rPr>
                <w:rFonts w:eastAsia="Cambria"/>
                <w:sz w:val="22"/>
                <w:szCs w:val="22"/>
              </w:rPr>
            </w:pPr>
            <w:r w:rsidRPr="00091230">
              <w:rPr>
                <w:rFonts w:eastAsia="Cambria"/>
                <w:sz w:val="22"/>
                <w:szCs w:val="22"/>
              </w:rPr>
              <w:t>Менделеевский муниципальный район</w:t>
            </w:r>
          </w:p>
        </w:tc>
        <w:tc>
          <w:tcPr>
            <w:tcW w:w="2410" w:type="dxa"/>
          </w:tcPr>
          <w:p w:rsidR="009C5812" w:rsidRPr="00091230" w:rsidRDefault="009C5812" w:rsidP="009C5812">
            <w:pPr>
              <w:jc w:val="both"/>
              <w:rPr>
                <w:sz w:val="22"/>
                <w:szCs w:val="22"/>
              </w:rPr>
            </w:pPr>
            <w:r w:rsidRPr="00091230">
              <w:rPr>
                <w:sz w:val="22"/>
                <w:szCs w:val="22"/>
              </w:rPr>
              <w:t xml:space="preserve">ГАУЗ </w:t>
            </w:r>
            <w:r>
              <w:rPr>
                <w:sz w:val="22"/>
                <w:szCs w:val="22"/>
              </w:rPr>
              <w:t>«</w:t>
            </w:r>
            <w:r w:rsidRPr="00091230">
              <w:rPr>
                <w:sz w:val="22"/>
                <w:szCs w:val="22"/>
              </w:rPr>
              <w:t>Менделеевская ЦРБ</w:t>
            </w:r>
            <w:r>
              <w:rPr>
                <w:sz w:val="22"/>
                <w:szCs w:val="22"/>
              </w:rPr>
              <w:t>»</w:t>
            </w:r>
          </w:p>
        </w:tc>
        <w:tc>
          <w:tcPr>
            <w:tcW w:w="1416" w:type="dxa"/>
            <w:shd w:val="clear" w:color="auto" w:fill="auto"/>
          </w:tcPr>
          <w:p w:rsidR="009C5812" w:rsidRPr="00091230" w:rsidRDefault="009C5812" w:rsidP="009C5812">
            <w:pPr>
              <w:jc w:val="center"/>
              <w:rPr>
                <w:rFonts w:eastAsia="Cambria"/>
                <w:sz w:val="22"/>
                <w:szCs w:val="22"/>
              </w:rPr>
            </w:pPr>
            <w:r w:rsidRPr="00091230">
              <w:rPr>
                <w:rFonts w:eastAsia="Cambria"/>
                <w:sz w:val="22"/>
                <w:szCs w:val="22"/>
              </w:rPr>
              <w:t>23 737</w:t>
            </w:r>
          </w:p>
        </w:tc>
        <w:tc>
          <w:tcPr>
            <w:tcW w:w="983" w:type="dxa"/>
            <w:shd w:val="clear" w:color="auto" w:fill="auto"/>
          </w:tcPr>
          <w:p w:rsidR="009C5812" w:rsidRPr="00091230" w:rsidRDefault="009C5812" w:rsidP="009C5812">
            <w:pPr>
              <w:jc w:val="center"/>
              <w:rPr>
                <w:rFonts w:eastAsia="Cambria"/>
                <w:sz w:val="22"/>
                <w:szCs w:val="22"/>
              </w:rPr>
            </w:pPr>
            <w:r w:rsidRPr="00091230">
              <w:rPr>
                <w:rFonts w:eastAsia="Cambria"/>
                <w:sz w:val="22"/>
                <w:szCs w:val="22"/>
              </w:rPr>
              <w:t>1</w:t>
            </w:r>
          </w:p>
        </w:tc>
        <w:tc>
          <w:tcPr>
            <w:tcW w:w="1156" w:type="dxa"/>
          </w:tcPr>
          <w:p w:rsidR="009C5812" w:rsidRPr="00091230" w:rsidRDefault="009C5812" w:rsidP="009C5812">
            <w:pPr>
              <w:jc w:val="center"/>
              <w:rPr>
                <w:sz w:val="22"/>
                <w:szCs w:val="22"/>
              </w:rPr>
            </w:pPr>
          </w:p>
        </w:tc>
        <w:tc>
          <w:tcPr>
            <w:tcW w:w="2114" w:type="dxa"/>
            <w:shd w:val="clear" w:color="auto" w:fill="auto"/>
          </w:tcPr>
          <w:p w:rsidR="009C5812" w:rsidRPr="00091230" w:rsidRDefault="009C5812" w:rsidP="009C5812">
            <w:pPr>
              <w:jc w:val="center"/>
              <w:rPr>
                <w:rFonts w:eastAsia="Cambria"/>
                <w:sz w:val="22"/>
                <w:szCs w:val="22"/>
              </w:rPr>
            </w:pPr>
            <w:r w:rsidRPr="00091230">
              <w:rPr>
                <w:rFonts w:eastAsia="Cambria"/>
                <w:sz w:val="22"/>
                <w:szCs w:val="22"/>
              </w:rPr>
              <w:t>0,5</w:t>
            </w:r>
          </w:p>
        </w:tc>
        <w:tc>
          <w:tcPr>
            <w:tcW w:w="1464" w:type="dxa"/>
            <w:shd w:val="clear" w:color="auto" w:fill="auto"/>
          </w:tcPr>
          <w:p w:rsidR="009C5812" w:rsidRPr="00091230" w:rsidRDefault="009C5812" w:rsidP="009C5812">
            <w:pPr>
              <w:jc w:val="center"/>
              <w:rPr>
                <w:rFonts w:eastAsia="Cambria"/>
                <w:sz w:val="22"/>
                <w:szCs w:val="22"/>
              </w:rPr>
            </w:pPr>
            <w:r w:rsidRPr="00091230">
              <w:rPr>
                <w:rFonts w:eastAsia="Cambria"/>
                <w:sz w:val="22"/>
                <w:szCs w:val="22"/>
              </w:rPr>
              <w:t>1/1</w:t>
            </w:r>
          </w:p>
        </w:tc>
        <w:tc>
          <w:tcPr>
            <w:tcW w:w="1662" w:type="dxa"/>
            <w:shd w:val="clear" w:color="auto" w:fill="auto"/>
          </w:tcPr>
          <w:p w:rsidR="009C5812" w:rsidRPr="00091230" w:rsidRDefault="009C5812" w:rsidP="009C5812">
            <w:pPr>
              <w:jc w:val="center"/>
              <w:rPr>
                <w:rFonts w:eastAsia="Cambria"/>
                <w:sz w:val="22"/>
                <w:szCs w:val="22"/>
              </w:rPr>
            </w:pPr>
            <w:r w:rsidRPr="00091230">
              <w:rPr>
                <w:rFonts w:eastAsia="Cambria"/>
                <w:sz w:val="22"/>
                <w:szCs w:val="22"/>
              </w:rPr>
              <w:t>230</w:t>
            </w:r>
          </w:p>
        </w:tc>
      </w:tr>
      <w:tr w:rsidR="009C5812" w:rsidRPr="00091230" w:rsidTr="009C5812">
        <w:trPr>
          <w:trHeight w:val="20"/>
        </w:trPr>
        <w:tc>
          <w:tcPr>
            <w:tcW w:w="704" w:type="dxa"/>
            <w:shd w:val="clear" w:color="auto" w:fill="auto"/>
          </w:tcPr>
          <w:p w:rsidR="009C5812" w:rsidRPr="00091230" w:rsidRDefault="009C5812" w:rsidP="009C5812">
            <w:pPr>
              <w:jc w:val="center"/>
              <w:rPr>
                <w:rFonts w:eastAsia="Cambria"/>
                <w:sz w:val="22"/>
                <w:szCs w:val="22"/>
              </w:rPr>
            </w:pPr>
            <w:r w:rsidRPr="00091230">
              <w:rPr>
                <w:rFonts w:eastAsia="Cambria"/>
                <w:sz w:val="22"/>
                <w:szCs w:val="22"/>
              </w:rPr>
              <w:t>30.</w:t>
            </w:r>
          </w:p>
        </w:tc>
        <w:tc>
          <w:tcPr>
            <w:tcW w:w="2268" w:type="dxa"/>
            <w:shd w:val="clear" w:color="auto" w:fill="auto"/>
          </w:tcPr>
          <w:p w:rsidR="009C5812" w:rsidRPr="00091230" w:rsidRDefault="009C5812" w:rsidP="009C5812">
            <w:pPr>
              <w:ind w:right="30"/>
              <w:jc w:val="both"/>
              <w:rPr>
                <w:rFonts w:eastAsia="Cambria"/>
                <w:sz w:val="22"/>
                <w:szCs w:val="22"/>
              </w:rPr>
            </w:pPr>
            <w:r w:rsidRPr="00091230">
              <w:rPr>
                <w:rFonts w:eastAsia="Cambria"/>
                <w:sz w:val="22"/>
                <w:szCs w:val="22"/>
              </w:rPr>
              <w:t>Мензелинский муниципальный район</w:t>
            </w:r>
          </w:p>
        </w:tc>
        <w:tc>
          <w:tcPr>
            <w:tcW w:w="2410" w:type="dxa"/>
          </w:tcPr>
          <w:p w:rsidR="009C5812" w:rsidRPr="00091230" w:rsidRDefault="009C5812" w:rsidP="009C5812">
            <w:pPr>
              <w:jc w:val="both"/>
              <w:rPr>
                <w:sz w:val="22"/>
                <w:szCs w:val="22"/>
              </w:rPr>
            </w:pPr>
            <w:r w:rsidRPr="00091230">
              <w:rPr>
                <w:sz w:val="22"/>
                <w:szCs w:val="22"/>
              </w:rPr>
              <w:t xml:space="preserve">ГАУЗ </w:t>
            </w:r>
            <w:r>
              <w:rPr>
                <w:sz w:val="22"/>
                <w:szCs w:val="22"/>
              </w:rPr>
              <w:t>«</w:t>
            </w:r>
            <w:r w:rsidRPr="00091230">
              <w:rPr>
                <w:sz w:val="22"/>
                <w:szCs w:val="22"/>
              </w:rPr>
              <w:t>Мензелинская ЦРБ</w:t>
            </w:r>
            <w:r>
              <w:rPr>
                <w:sz w:val="22"/>
                <w:szCs w:val="22"/>
              </w:rPr>
              <w:t>»</w:t>
            </w:r>
          </w:p>
        </w:tc>
        <w:tc>
          <w:tcPr>
            <w:tcW w:w="1416" w:type="dxa"/>
            <w:shd w:val="clear" w:color="auto" w:fill="auto"/>
          </w:tcPr>
          <w:p w:rsidR="009C5812" w:rsidRPr="00091230" w:rsidRDefault="009C5812" w:rsidP="009C5812">
            <w:pPr>
              <w:jc w:val="center"/>
              <w:rPr>
                <w:rFonts w:eastAsia="Cambria"/>
                <w:sz w:val="22"/>
                <w:szCs w:val="22"/>
              </w:rPr>
            </w:pPr>
            <w:r w:rsidRPr="00091230">
              <w:rPr>
                <w:rFonts w:eastAsia="Cambria"/>
                <w:sz w:val="22"/>
                <w:szCs w:val="22"/>
              </w:rPr>
              <w:t>22 172</w:t>
            </w:r>
          </w:p>
        </w:tc>
        <w:tc>
          <w:tcPr>
            <w:tcW w:w="983" w:type="dxa"/>
            <w:shd w:val="clear" w:color="auto" w:fill="auto"/>
          </w:tcPr>
          <w:p w:rsidR="009C5812" w:rsidRPr="00091230" w:rsidRDefault="009C5812" w:rsidP="009C5812">
            <w:pPr>
              <w:jc w:val="center"/>
              <w:rPr>
                <w:rFonts w:eastAsia="Cambria"/>
                <w:sz w:val="22"/>
                <w:szCs w:val="22"/>
              </w:rPr>
            </w:pPr>
            <w:r w:rsidRPr="00091230">
              <w:rPr>
                <w:rFonts w:eastAsia="Cambria"/>
                <w:sz w:val="22"/>
                <w:szCs w:val="22"/>
              </w:rPr>
              <w:t>1</w:t>
            </w:r>
          </w:p>
        </w:tc>
        <w:tc>
          <w:tcPr>
            <w:tcW w:w="1156" w:type="dxa"/>
          </w:tcPr>
          <w:p w:rsidR="009C5812" w:rsidRPr="00091230" w:rsidRDefault="009C5812" w:rsidP="009C5812">
            <w:pPr>
              <w:jc w:val="center"/>
              <w:rPr>
                <w:sz w:val="22"/>
                <w:szCs w:val="22"/>
              </w:rPr>
            </w:pPr>
          </w:p>
        </w:tc>
        <w:tc>
          <w:tcPr>
            <w:tcW w:w="2114" w:type="dxa"/>
            <w:shd w:val="clear" w:color="auto" w:fill="auto"/>
          </w:tcPr>
          <w:p w:rsidR="009C5812" w:rsidRPr="00091230" w:rsidRDefault="009C5812" w:rsidP="009C5812">
            <w:pPr>
              <w:jc w:val="center"/>
              <w:rPr>
                <w:rFonts w:eastAsia="Cambria"/>
                <w:sz w:val="22"/>
                <w:szCs w:val="22"/>
              </w:rPr>
            </w:pPr>
            <w:r w:rsidRPr="00091230">
              <w:rPr>
                <w:rFonts w:eastAsia="Cambria"/>
                <w:sz w:val="22"/>
                <w:szCs w:val="22"/>
              </w:rPr>
              <w:t>0,5</w:t>
            </w:r>
          </w:p>
        </w:tc>
        <w:tc>
          <w:tcPr>
            <w:tcW w:w="1464" w:type="dxa"/>
            <w:shd w:val="clear" w:color="auto" w:fill="auto"/>
          </w:tcPr>
          <w:p w:rsidR="009C5812" w:rsidRPr="00091230" w:rsidRDefault="009C5812" w:rsidP="009C5812">
            <w:pPr>
              <w:jc w:val="center"/>
              <w:rPr>
                <w:rFonts w:eastAsia="Cambria"/>
                <w:sz w:val="22"/>
                <w:szCs w:val="22"/>
              </w:rPr>
            </w:pPr>
            <w:r w:rsidRPr="00091230">
              <w:rPr>
                <w:rFonts w:eastAsia="Cambria"/>
                <w:sz w:val="22"/>
                <w:szCs w:val="22"/>
              </w:rPr>
              <w:t>0/1</w:t>
            </w:r>
          </w:p>
        </w:tc>
        <w:tc>
          <w:tcPr>
            <w:tcW w:w="1662" w:type="dxa"/>
            <w:shd w:val="clear" w:color="auto" w:fill="auto"/>
          </w:tcPr>
          <w:p w:rsidR="009C5812" w:rsidRPr="00091230" w:rsidRDefault="009C5812" w:rsidP="009C5812">
            <w:pPr>
              <w:jc w:val="center"/>
              <w:rPr>
                <w:rFonts w:eastAsia="Cambria"/>
                <w:sz w:val="22"/>
                <w:szCs w:val="22"/>
              </w:rPr>
            </w:pPr>
            <w:r w:rsidRPr="00091230">
              <w:rPr>
                <w:rFonts w:eastAsia="Cambria"/>
                <w:sz w:val="22"/>
                <w:szCs w:val="22"/>
              </w:rPr>
              <w:t>290</w:t>
            </w:r>
          </w:p>
        </w:tc>
      </w:tr>
      <w:tr w:rsidR="009C5812" w:rsidRPr="00091230" w:rsidTr="009C5812">
        <w:trPr>
          <w:trHeight w:val="20"/>
        </w:trPr>
        <w:tc>
          <w:tcPr>
            <w:tcW w:w="704" w:type="dxa"/>
            <w:shd w:val="clear" w:color="auto" w:fill="auto"/>
          </w:tcPr>
          <w:p w:rsidR="009C5812" w:rsidRPr="00091230" w:rsidRDefault="009C5812" w:rsidP="008D0888">
            <w:pPr>
              <w:spacing w:line="245" w:lineRule="auto"/>
              <w:jc w:val="center"/>
              <w:rPr>
                <w:rFonts w:eastAsia="Cambria"/>
                <w:sz w:val="22"/>
                <w:szCs w:val="22"/>
              </w:rPr>
            </w:pPr>
            <w:r w:rsidRPr="00091230">
              <w:rPr>
                <w:rFonts w:eastAsia="Cambria"/>
                <w:sz w:val="22"/>
                <w:szCs w:val="22"/>
              </w:rPr>
              <w:t>31.</w:t>
            </w:r>
          </w:p>
        </w:tc>
        <w:tc>
          <w:tcPr>
            <w:tcW w:w="2268" w:type="dxa"/>
            <w:shd w:val="clear" w:color="auto" w:fill="auto"/>
          </w:tcPr>
          <w:p w:rsidR="009C5812" w:rsidRPr="00091230" w:rsidRDefault="009C5812" w:rsidP="008D0888">
            <w:pPr>
              <w:spacing w:line="245" w:lineRule="auto"/>
              <w:ind w:right="30"/>
              <w:jc w:val="both"/>
              <w:rPr>
                <w:rFonts w:eastAsia="Cambria"/>
                <w:sz w:val="22"/>
                <w:szCs w:val="22"/>
              </w:rPr>
            </w:pPr>
            <w:r w:rsidRPr="00091230">
              <w:rPr>
                <w:rFonts w:eastAsia="Cambria"/>
                <w:sz w:val="22"/>
                <w:szCs w:val="22"/>
              </w:rPr>
              <w:t>Муслюмовский муниципальный район</w:t>
            </w:r>
          </w:p>
        </w:tc>
        <w:tc>
          <w:tcPr>
            <w:tcW w:w="2410" w:type="dxa"/>
          </w:tcPr>
          <w:p w:rsidR="009C5812" w:rsidRPr="00091230" w:rsidRDefault="009C5812" w:rsidP="008D0888">
            <w:pPr>
              <w:spacing w:line="245" w:lineRule="auto"/>
              <w:jc w:val="both"/>
              <w:rPr>
                <w:sz w:val="22"/>
                <w:szCs w:val="22"/>
              </w:rPr>
            </w:pPr>
            <w:r w:rsidRPr="00091230">
              <w:rPr>
                <w:sz w:val="22"/>
                <w:szCs w:val="22"/>
              </w:rPr>
              <w:t xml:space="preserve">ГАУЗ </w:t>
            </w:r>
            <w:r>
              <w:rPr>
                <w:sz w:val="22"/>
                <w:szCs w:val="22"/>
              </w:rPr>
              <w:t>«</w:t>
            </w:r>
            <w:r w:rsidRPr="00091230">
              <w:rPr>
                <w:sz w:val="22"/>
                <w:szCs w:val="22"/>
              </w:rPr>
              <w:t>Муслюмовская ЦРБ</w:t>
            </w:r>
            <w:r>
              <w:rPr>
                <w:sz w:val="22"/>
                <w:szCs w:val="22"/>
              </w:rPr>
              <w:t>»</w:t>
            </w:r>
          </w:p>
        </w:tc>
        <w:tc>
          <w:tcPr>
            <w:tcW w:w="1416" w:type="dxa"/>
            <w:shd w:val="clear" w:color="auto" w:fill="auto"/>
          </w:tcPr>
          <w:p w:rsidR="009C5812" w:rsidRPr="00091230" w:rsidRDefault="009C5812" w:rsidP="008D0888">
            <w:pPr>
              <w:spacing w:line="245" w:lineRule="auto"/>
              <w:jc w:val="center"/>
              <w:rPr>
                <w:rFonts w:eastAsia="Cambria"/>
                <w:sz w:val="22"/>
                <w:szCs w:val="22"/>
              </w:rPr>
            </w:pPr>
            <w:r w:rsidRPr="00091230">
              <w:rPr>
                <w:rFonts w:eastAsia="Cambria"/>
                <w:sz w:val="22"/>
                <w:szCs w:val="22"/>
              </w:rPr>
              <w:t>15 508</w:t>
            </w:r>
          </w:p>
        </w:tc>
        <w:tc>
          <w:tcPr>
            <w:tcW w:w="983" w:type="dxa"/>
            <w:shd w:val="clear" w:color="auto" w:fill="auto"/>
          </w:tcPr>
          <w:p w:rsidR="009C5812" w:rsidRPr="00091230" w:rsidRDefault="009C5812" w:rsidP="008D0888">
            <w:pPr>
              <w:spacing w:line="245" w:lineRule="auto"/>
              <w:jc w:val="center"/>
              <w:rPr>
                <w:rFonts w:eastAsia="Cambria"/>
                <w:sz w:val="22"/>
                <w:szCs w:val="22"/>
              </w:rPr>
            </w:pPr>
            <w:r w:rsidRPr="00091230">
              <w:rPr>
                <w:rFonts w:eastAsia="Cambria"/>
                <w:sz w:val="22"/>
                <w:szCs w:val="22"/>
              </w:rPr>
              <w:t>1</w:t>
            </w:r>
          </w:p>
        </w:tc>
        <w:tc>
          <w:tcPr>
            <w:tcW w:w="1156" w:type="dxa"/>
          </w:tcPr>
          <w:p w:rsidR="009C5812" w:rsidRPr="00091230" w:rsidRDefault="009C5812" w:rsidP="008D0888">
            <w:pPr>
              <w:spacing w:line="245" w:lineRule="auto"/>
              <w:jc w:val="center"/>
              <w:rPr>
                <w:sz w:val="22"/>
                <w:szCs w:val="22"/>
              </w:rPr>
            </w:pPr>
          </w:p>
        </w:tc>
        <w:tc>
          <w:tcPr>
            <w:tcW w:w="2114" w:type="dxa"/>
            <w:shd w:val="clear" w:color="auto" w:fill="auto"/>
          </w:tcPr>
          <w:p w:rsidR="009C5812" w:rsidRPr="00091230" w:rsidRDefault="009C5812" w:rsidP="008D0888">
            <w:pPr>
              <w:spacing w:line="245" w:lineRule="auto"/>
              <w:jc w:val="center"/>
              <w:rPr>
                <w:rFonts w:eastAsia="Cambria"/>
                <w:sz w:val="22"/>
                <w:szCs w:val="22"/>
              </w:rPr>
            </w:pPr>
            <w:r w:rsidRPr="00091230">
              <w:rPr>
                <w:rFonts w:eastAsia="Cambria"/>
                <w:sz w:val="22"/>
                <w:szCs w:val="22"/>
              </w:rPr>
              <w:t>0,5</w:t>
            </w:r>
          </w:p>
        </w:tc>
        <w:tc>
          <w:tcPr>
            <w:tcW w:w="1464" w:type="dxa"/>
            <w:shd w:val="clear" w:color="auto" w:fill="auto"/>
          </w:tcPr>
          <w:p w:rsidR="009C5812" w:rsidRPr="00091230" w:rsidRDefault="009C5812" w:rsidP="008D0888">
            <w:pPr>
              <w:spacing w:line="245" w:lineRule="auto"/>
              <w:jc w:val="center"/>
              <w:rPr>
                <w:rFonts w:eastAsia="Cambria"/>
                <w:sz w:val="22"/>
                <w:szCs w:val="22"/>
              </w:rPr>
            </w:pPr>
            <w:r w:rsidRPr="00091230">
              <w:rPr>
                <w:rFonts w:eastAsia="Cambria"/>
                <w:sz w:val="22"/>
                <w:szCs w:val="22"/>
              </w:rPr>
              <w:t>1/0,5</w:t>
            </w:r>
          </w:p>
        </w:tc>
        <w:tc>
          <w:tcPr>
            <w:tcW w:w="1662" w:type="dxa"/>
            <w:shd w:val="clear" w:color="auto" w:fill="auto"/>
          </w:tcPr>
          <w:p w:rsidR="009C5812" w:rsidRPr="00091230" w:rsidRDefault="009C5812" w:rsidP="008D0888">
            <w:pPr>
              <w:spacing w:line="245" w:lineRule="auto"/>
              <w:jc w:val="center"/>
              <w:rPr>
                <w:rFonts w:eastAsia="Cambria"/>
                <w:sz w:val="22"/>
                <w:szCs w:val="22"/>
              </w:rPr>
            </w:pPr>
            <w:r w:rsidRPr="00091230">
              <w:rPr>
                <w:rFonts w:eastAsia="Cambria"/>
                <w:sz w:val="22"/>
                <w:szCs w:val="22"/>
              </w:rPr>
              <w:t>320</w:t>
            </w:r>
          </w:p>
        </w:tc>
      </w:tr>
      <w:tr w:rsidR="009C5812" w:rsidRPr="00091230" w:rsidTr="009C5812">
        <w:trPr>
          <w:trHeight w:val="20"/>
        </w:trPr>
        <w:tc>
          <w:tcPr>
            <w:tcW w:w="704" w:type="dxa"/>
            <w:shd w:val="clear" w:color="auto" w:fill="auto"/>
          </w:tcPr>
          <w:p w:rsidR="009C5812" w:rsidRPr="00091230" w:rsidRDefault="009C5812" w:rsidP="008D0888">
            <w:pPr>
              <w:spacing w:line="245" w:lineRule="auto"/>
              <w:jc w:val="center"/>
              <w:rPr>
                <w:rFonts w:eastAsia="Cambria"/>
                <w:sz w:val="22"/>
                <w:szCs w:val="22"/>
              </w:rPr>
            </w:pPr>
            <w:r w:rsidRPr="00091230">
              <w:rPr>
                <w:rFonts w:eastAsia="Cambria"/>
                <w:sz w:val="22"/>
                <w:szCs w:val="22"/>
              </w:rPr>
              <w:t>32.</w:t>
            </w:r>
          </w:p>
        </w:tc>
        <w:tc>
          <w:tcPr>
            <w:tcW w:w="2268" w:type="dxa"/>
            <w:shd w:val="clear" w:color="auto" w:fill="auto"/>
          </w:tcPr>
          <w:p w:rsidR="009C5812" w:rsidRPr="00091230" w:rsidRDefault="009C5812" w:rsidP="008D0888">
            <w:pPr>
              <w:spacing w:line="245" w:lineRule="auto"/>
              <w:ind w:right="30"/>
              <w:jc w:val="both"/>
              <w:rPr>
                <w:sz w:val="22"/>
                <w:szCs w:val="22"/>
              </w:rPr>
            </w:pPr>
            <w:r w:rsidRPr="00091230">
              <w:rPr>
                <w:rFonts w:eastAsia="Cambria"/>
                <w:sz w:val="22"/>
                <w:szCs w:val="22"/>
              </w:rPr>
              <w:t>Нижнекамский муниципальный район</w:t>
            </w:r>
          </w:p>
        </w:tc>
        <w:tc>
          <w:tcPr>
            <w:tcW w:w="2410" w:type="dxa"/>
          </w:tcPr>
          <w:p w:rsidR="009C5812" w:rsidRPr="007F359F" w:rsidRDefault="009C5812" w:rsidP="008D0888">
            <w:pPr>
              <w:spacing w:line="245" w:lineRule="auto"/>
              <w:jc w:val="both"/>
              <w:rPr>
                <w:sz w:val="22"/>
                <w:szCs w:val="22"/>
              </w:rPr>
            </w:pPr>
            <w:r w:rsidRPr="007F359F">
              <w:rPr>
                <w:color w:val="000000"/>
                <w:sz w:val="22"/>
                <w:szCs w:val="22"/>
              </w:rPr>
              <w:t xml:space="preserve">ГАУЗ </w:t>
            </w:r>
            <w:r w:rsidRPr="007F359F">
              <w:rPr>
                <w:sz w:val="22"/>
                <w:szCs w:val="22"/>
              </w:rPr>
              <w:t>«Нижнекамская центральная районная многопрофильная больница»</w:t>
            </w:r>
          </w:p>
        </w:tc>
        <w:tc>
          <w:tcPr>
            <w:tcW w:w="1416" w:type="dxa"/>
            <w:shd w:val="clear" w:color="auto" w:fill="auto"/>
          </w:tcPr>
          <w:p w:rsidR="009C5812" w:rsidRPr="00091230" w:rsidRDefault="009C5812" w:rsidP="008D0888">
            <w:pPr>
              <w:spacing w:line="245" w:lineRule="auto"/>
              <w:jc w:val="center"/>
              <w:rPr>
                <w:rFonts w:eastAsia="Cambria"/>
                <w:sz w:val="22"/>
                <w:szCs w:val="22"/>
              </w:rPr>
            </w:pPr>
            <w:r w:rsidRPr="00091230">
              <w:rPr>
                <w:rFonts w:eastAsia="Cambria"/>
                <w:sz w:val="22"/>
                <w:szCs w:val="22"/>
              </w:rPr>
              <w:t>214 062</w:t>
            </w:r>
          </w:p>
        </w:tc>
        <w:tc>
          <w:tcPr>
            <w:tcW w:w="983" w:type="dxa"/>
            <w:shd w:val="clear" w:color="auto" w:fill="auto"/>
          </w:tcPr>
          <w:p w:rsidR="009C5812" w:rsidRPr="00091230" w:rsidRDefault="009C5812" w:rsidP="008D0888">
            <w:pPr>
              <w:spacing w:line="245" w:lineRule="auto"/>
              <w:jc w:val="center"/>
              <w:rPr>
                <w:rFonts w:eastAsia="Cambria"/>
                <w:sz w:val="22"/>
                <w:szCs w:val="22"/>
              </w:rPr>
            </w:pPr>
            <w:r w:rsidRPr="00091230">
              <w:rPr>
                <w:rFonts w:eastAsia="Cambria"/>
                <w:sz w:val="22"/>
                <w:szCs w:val="22"/>
              </w:rPr>
              <w:t>-</w:t>
            </w:r>
          </w:p>
        </w:tc>
        <w:tc>
          <w:tcPr>
            <w:tcW w:w="1156" w:type="dxa"/>
          </w:tcPr>
          <w:p w:rsidR="009C5812" w:rsidRPr="00091230" w:rsidRDefault="009C5812" w:rsidP="008D0888">
            <w:pPr>
              <w:spacing w:line="245" w:lineRule="auto"/>
              <w:jc w:val="center"/>
              <w:rPr>
                <w:sz w:val="22"/>
                <w:szCs w:val="22"/>
              </w:rPr>
            </w:pPr>
            <w:r w:rsidRPr="00091230">
              <w:rPr>
                <w:sz w:val="22"/>
                <w:szCs w:val="22"/>
              </w:rPr>
              <w:t>2021</w:t>
            </w:r>
          </w:p>
        </w:tc>
        <w:tc>
          <w:tcPr>
            <w:tcW w:w="2114" w:type="dxa"/>
            <w:shd w:val="clear" w:color="auto" w:fill="auto"/>
          </w:tcPr>
          <w:p w:rsidR="009C5812" w:rsidRPr="00091230" w:rsidRDefault="009C5812" w:rsidP="008D0888">
            <w:pPr>
              <w:spacing w:line="245" w:lineRule="auto"/>
              <w:jc w:val="center"/>
              <w:rPr>
                <w:rFonts w:eastAsia="Cambria"/>
                <w:sz w:val="22"/>
                <w:szCs w:val="22"/>
              </w:rPr>
            </w:pPr>
            <w:r w:rsidRPr="00091230">
              <w:rPr>
                <w:rFonts w:eastAsia="Cambria"/>
                <w:sz w:val="22"/>
                <w:szCs w:val="22"/>
              </w:rPr>
              <w:t>1,0</w:t>
            </w:r>
          </w:p>
        </w:tc>
        <w:tc>
          <w:tcPr>
            <w:tcW w:w="1464" w:type="dxa"/>
            <w:shd w:val="clear" w:color="auto" w:fill="auto"/>
          </w:tcPr>
          <w:p w:rsidR="009C5812" w:rsidRPr="00091230" w:rsidRDefault="009C5812" w:rsidP="008D0888">
            <w:pPr>
              <w:spacing w:line="245" w:lineRule="auto"/>
              <w:jc w:val="center"/>
              <w:rPr>
                <w:rFonts w:eastAsia="Cambria"/>
                <w:sz w:val="22"/>
                <w:szCs w:val="22"/>
              </w:rPr>
            </w:pPr>
            <w:r w:rsidRPr="00091230">
              <w:rPr>
                <w:rFonts w:eastAsia="Cambria"/>
                <w:sz w:val="22"/>
                <w:szCs w:val="22"/>
              </w:rPr>
              <w:t>4/7,25</w:t>
            </w:r>
          </w:p>
        </w:tc>
        <w:tc>
          <w:tcPr>
            <w:tcW w:w="1662" w:type="dxa"/>
            <w:shd w:val="clear" w:color="auto" w:fill="auto"/>
          </w:tcPr>
          <w:p w:rsidR="009C5812" w:rsidRPr="00091230" w:rsidRDefault="009C5812" w:rsidP="008D0888">
            <w:pPr>
              <w:spacing w:line="245" w:lineRule="auto"/>
              <w:jc w:val="center"/>
              <w:rPr>
                <w:rFonts w:eastAsia="Cambria"/>
                <w:sz w:val="22"/>
                <w:szCs w:val="22"/>
              </w:rPr>
            </w:pPr>
            <w:r w:rsidRPr="00091230">
              <w:rPr>
                <w:rFonts w:eastAsia="Cambria"/>
                <w:sz w:val="22"/>
                <w:szCs w:val="22"/>
              </w:rPr>
              <w:t>230</w:t>
            </w:r>
          </w:p>
        </w:tc>
      </w:tr>
      <w:tr w:rsidR="009C5812" w:rsidRPr="00091230" w:rsidTr="009C5812">
        <w:trPr>
          <w:trHeight w:val="20"/>
        </w:trPr>
        <w:tc>
          <w:tcPr>
            <w:tcW w:w="704" w:type="dxa"/>
            <w:shd w:val="clear" w:color="auto" w:fill="auto"/>
          </w:tcPr>
          <w:p w:rsidR="009C5812" w:rsidRPr="00091230" w:rsidRDefault="009C5812" w:rsidP="008D0888">
            <w:pPr>
              <w:spacing w:line="245" w:lineRule="auto"/>
              <w:jc w:val="center"/>
              <w:rPr>
                <w:rFonts w:eastAsia="Cambria"/>
                <w:sz w:val="22"/>
                <w:szCs w:val="22"/>
              </w:rPr>
            </w:pPr>
            <w:r w:rsidRPr="00091230">
              <w:rPr>
                <w:rFonts w:eastAsia="Cambria"/>
                <w:sz w:val="22"/>
                <w:szCs w:val="22"/>
              </w:rPr>
              <w:t>33.</w:t>
            </w:r>
          </w:p>
        </w:tc>
        <w:tc>
          <w:tcPr>
            <w:tcW w:w="2268" w:type="dxa"/>
            <w:shd w:val="clear" w:color="auto" w:fill="auto"/>
          </w:tcPr>
          <w:p w:rsidR="009C5812" w:rsidRPr="00091230" w:rsidRDefault="009C5812" w:rsidP="008D0888">
            <w:pPr>
              <w:spacing w:line="245" w:lineRule="auto"/>
              <w:ind w:right="30"/>
              <w:jc w:val="both"/>
              <w:rPr>
                <w:rFonts w:eastAsia="Cambria"/>
                <w:sz w:val="22"/>
                <w:szCs w:val="22"/>
              </w:rPr>
            </w:pPr>
            <w:r w:rsidRPr="00091230">
              <w:rPr>
                <w:rFonts w:eastAsia="Cambria"/>
                <w:sz w:val="22"/>
                <w:szCs w:val="22"/>
              </w:rPr>
              <w:t>Новошешминский муниципальный рай-он</w:t>
            </w:r>
          </w:p>
        </w:tc>
        <w:tc>
          <w:tcPr>
            <w:tcW w:w="2410" w:type="dxa"/>
          </w:tcPr>
          <w:p w:rsidR="009C5812" w:rsidRPr="00091230" w:rsidRDefault="009C5812" w:rsidP="008D0888">
            <w:pPr>
              <w:spacing w:line="245" w:lineRule="auto"/>
              <w:jc w:val="both"/>
              <w:rPr>
                <w:rFonts w:eastAsia="Cambria"/>
                <w:sz w:val="22"/>
                <w:szCs w:val="22"/>
              </w:rPr>
            </w:pPr>
            <w:r w:rsidRPr="00091230">
              <w:rPr>
                <w:sz w:val="22"/>
                <w:szCs w:val="22"/>
              </w:rPr>
              <w:t xml:space="preserve">ГАУЗ </w:t>
            </w:r>
            <w:r>
              <w:rPr>
                <w:sz w:val="22"/>
                <w:szCs w:val="22"/>
              </w:rPr>
              <w:t>«</w:t>
            </w:r>
            <w:r w:rsidRPr="00091230">
              <w:rPr>
                <w:sz w:val="22"/>
                <w:szCs w:val="22"/>
              </w:rPr>
              <w:t>Новошешминская ЦРБ</w:t>
            </w:r>
            <w:r>
              <w:rPr>
                <w:sz w:val="22"/>
                <w:szCs w:val="22"/>
              </w:rPr>
              <w:t>»</w:t>
            </w:r>
          </w:p>
        </w:tc>
        <w:tc>
          <w:tcPr>
            <w:tcW w:w="1416" w:type="dxa"/>
            <w:shd w:val="clear" w:color="auto" w:fill="auto"/>
          </w:tcPr>
          <w:p w:rsidR="009C5812" w:rsidRPr="00091230" w:rsidRDefault="009C5812" w:rsidP="008D0888">
            <w:pPr>
              <w:spacing w:line="245" w:lineRule="auto"/>
              <w:jc w:val="center"/>
              <w:rPr>
                <w:rFonts w:eastAsia="Cambria"/>
                <w:sz w:val="22"/>
                <w:szCs w:val="22"/>
              </w:rPr>
            </w:pPr>
            <w:r w:rsidRPr="00091230">
              <w:rPr>
                <w:rFonts w:eastAsia="Cambria"/>
                <w:sz w:val="22"/>
                <w:szCs w:val="22"/>
              </w:rPr>
              <w:t>10 299</w:t>
            </w:r>
          </w:p>
        </w:tc>
        <w:tc>
          <w:tcPr>
            <w:tcW w:w="983" w:type="dxa"/>
            <w:shd w:val="clear" w:color="auto" w:fill="auto"/>
          </w:tcPr>
          <w:p w:rsidR="009C5812" w:rsidRPr="00091230" w:rsidRDefault="009C5812" w:rsidP="008D0888">
            <w:pPr>
              <w:spacing w:line="245" w:lineRule="auto"/>
              <w:jc w:val="center"/>
              <w:rPr>
                <w:rFonts w:eastAsia="Cambria"/>
                <w:sz w:val="22"/>
                <w:szCs w:val="22"/>
              </w:rPr>
            </w:pPr>
            <w:r w:rsidRPr="00091230">
              <w:rPr>
                <w:rFonts w:eastAsia="Cambria"/>
                <w:sz w:val="22"/>
                <w:szCs w:val="22"/>
              </w:rPr>
              <w:t>1</w:t>
            </w:r>
          </w:p>
        </w:tc>
        <w:tc>
          <w:tcPr>
            <w:tcW w:w="1156" w:type="dxa"/>
          </w:tcPr>
          <w:p w:rsidR="009C5812" w:rsidRPr="00091230" w:rsidRDefault="009C5812" w:rsidP="008D0888">
            <w:pPr>
              <w:spacing w:line="245" w:lineRule="auto"/>
              <w:jc w:val="center"/>
              <w:rPr>
                <w:sz w:val="22"/>
                <w:szCs w:val="22"/>
              </w:rPr>
            </w:pPr>
          </w:p>
        </w:tc>
        <w:tc>
          <w:tcPr>
            <w:tcW w:w="2114" w:type="dxa"/>
            <w:shd w:val="clear" w:color="auto" w:fill="auto"/>
          </w:tcPr>
          <w:p w:rsidR="009C5812" w:rsidRPr="00091230" w:rsidRDefault="009C5812" w:rsidP="008D0888">
            <w:pPr>
              <w:spacing w:line="245" w:lineRule="auto"/>
              <w:jc w:val="center"/>
              <w:rPr>
                <w:rFonts w:eastAsia="Cambria"/>
                <w:sz w:val="22"/>
                <w:szCs w:val="22"/>
              </w:rPr>
            </w:pPr>
            <w:r w:rsidRPr="00091230">
              <w:rPr>
                <w:rFonts w:eastAsia="Cambria"/>
                <w:sz w:val="22"/>
                <w:szCs w:val="22"/>
              </w:rPr>
              <w:t>1</w:t>
            </w:r>
          </w:p>
        </w:tc>
        <w:tc>
          <w:tcPr>
            <w:tcW w:w="1464" w:type="dxa"/>
            <w:shd w:val="clear" w:color="auto" w:fill="auto"/>
          </w:tcPr>
          <w:p w:rsidR="009C5812" w:rsidRPr="00091230" w:rsidRDefault="009C5812" w:rsidP="008D0888">
            <w:pPr>
              <w:spacing w:line="245" w:lineRule="auto"/>
              <w:jc w:val="center"/>
              <w:rPr>
                <w:rFonts w:eastAsia="Cambria"/>
                <w:sz w:val="22"/>
                <w:szCs w:val="22"/>
              </w:rPr>
            </w:pPr>
            <w:r w:rsidRPr="00091230">
              <w:rPr>
                <w:rFonts w:eastAsia="Cambria"/>
                <w:sz w:val="22"/>
                <w:szCs w:val="22"/>
              </w:rPr>
              <w:t>1/0,25</w:t>
            </w:r>
          </w:p>
        </w:tc>
        <w:tc>
          <w:tcPr>
            <w:tcW w:w="1662" w:type="dxa"/>
            <w:shd w:val="clear" w:color="auto" w:fill="auto"/>
          </w:tcPr>
          <w:p w:rsidR="009C5812" w:rsidRPr="00091230" w:rsidRDefault="009C5812" w:rsidP="008D0888">
            <w:pPr>
              <w:spacing w:line="245" w:lineRule="auto"/>
              <w:jc w:val="center"/>
              <w:rPr>
                <w:rFonts w:eastAsia="Cambria"/>
                <w:sz w:val="22"/>
                <w:szCs w:val="22"/>
              </w:rPr>
            </w:pPr>
            <w:r w:rsidRPr="00091230">
              <w:rPr>
                <w:rFonts w:eastAsia="Cambria"/>
                <w:sz w:val="22"/>
                <w:szCs w:val="22"/>
              </w:rPr>
              <w:t>180</w:t>
            </w:r>
          </w:p>
        </w:tc>
      </w:tr>
      <w:tr w:rsidR="009C5812" w:rsidRPr="00091230" w:rsidTr="009C5812">
        <w:trPr>
          <w:trHeight w:val="20"/>
        </w:trPr>
        <w:tc>
          <w:tcPr>
            <w:tcW w:w="704" w:type="dxa"/>
            <w:shd w:val="clear" w:color="auto" w:fill="auto"/>
          </w:tcPr>
          <w:p w:rsidR="009C5812" w:rsidRPr="00091230" w:rsidRDefault="009C5812" w:rsidP="008D0888">
            <w:pPr>
              <w:spacing w:line="245" w:lineRule="auto"/>
              <w:jc w:val="center"/>
              <w:rPr>
                <w:rFonts w:eastAsia="Cambria"/>
                <w:sz w:val="22"/>
                <w:szCs w:val="22"/>
              </w:rPr>
            </w:pPr>
            <w:r w:rsidRPr="00091230">
              <w:rPr>
                <w:rFonts w:eastAsia="Cambria"/>
                <w:sz w:val="22"/>
                <w:szCs w:val="22"/>
              </w:rPr>
              <w:t>34.</w:t>
            </w:r>
          </w:p>
        </w:tc>
        <w:tc>
          <w:tcPr>
            <w:tcW w:w="2268" w:type="dxa"/>
            <w:shd w:val="clear" w:color="auto" w:fill="auto"/>
          </w:tcPr>
          <w:p w:rsidR="009C5812" w:rsidRPr="00091230" w:rsidRDefault="009C5812" w:rsidP="008D0888">
            <w:pPr>
              <w:spacing w:line="245" w:lineRule="auto"/>
              <w:ind w:right="30"/>
              <w:jc w:val="both"/>
              <w:rPr>
                <w:rFonts w:eastAsia="Cambria"/>
                <w:sz w:val="22"/>
                <w:szCs w:val="22"/>
              </w:rPr>
            </w:pPr>
            <w:r w:rsidRPr="00091230">
              <w:rPr>
                <w:rFonts w:eastAsia="Cambria"/>
                <w:sz w:val="22"/>
                <w:szCs w:val="22"/>
              </w:rPr>
              <w:t>Нурлатский муниципальный район</w:t>
            </w:r>
          </w:p>
        </w:tc>
        <w:tc>
          <w:tcPr>
            <w:tcW w:w="2410" w:type="dxa"/>
          </w:tcPr>
          <w:p w:rsidR="009C5812" w:rsidRPr="00091230" w:rsidRDefault="009C5812" w:rsidP="008D0888">
            <w:pPr>
              <w:spacing w:line="245" w:lineRule="auto"/>
              <w:jc w:val="both"/>
              <w:rPr>
                <w:rFonts w:eastAsia="Cambria"/>
                <w:sz w:val="22"/>
                <w:szCs w:val="22"/>
              </w:rPr>
            </w:pPr>
            <w:r w:rsidRPr="00091230">
              <w:rPr>
                <w:rFonts w:eastAsia="Cambria"/>
                <w:sz w:val="22"/>
                <w:szCs w:val="22"/>
              </w:rPr>
              <w:t xml:space="preserve">ГАУЗ </w:t>
            </w:r>
            <w:r>
              <w:rPr>
                <w:rFonts w:eastAsia="Cambria"/>
                <w:sz w:val="22"/>
                <w:szCs w:val="22"/>
              </w:rPr>
              <w:t>«</w:t>
            </w:r>
            <w:r w:rsidRPr="00091230">
              <w:rPr>
                <w:rFonts w:eastAsia="Cambria"/>
                <w:sz w:val="22"/>
                <w:szCs w:val="22"/>
              </w:rPr>
              <w:t>Нурлатская ЦРБ</w:t>
            </w:r>
            <w:r>
              <w:rPr>
                <w:rFonts w:eastAsia="Cambria"/>
                <w:sz w:val="22"/>
                <w:szCs w:val="22"/>
              </w:rPr>
              <w:t>»</w:t>
            </w:r>
          </w:p>
        </w:tc>
        <w:tc>
          <w:tcPr>
            <w:tcW w:w="1416" w:type="dxa"/>
            <w:shd w:val="clear" w:color="auto" w:fill="auto"/>
          </w:tcPr>
          <w:p w:rsidR="009C5812" w:rsidRPr="00091230" w:rsidRDefault="009C5812" w:rsidP="008D0888">
            <w:pPr>
              <w:spacing w:line="245" w:lineRule="auto"/>
              <w:jc w:val="center"/>
              <w:rPr>
                <w:rFonts w:eastAsia="Cambria"/>
                <w:sz w:val="22"/>
                <w:szCs w:val="22"/>
              </w:rPr>
            </w:pPr>
            <w:r w:rsidRPr="00091230">
              <w:rPr>
                <w:rFonts w:eastAsia="Cambria"/>
                <w:sz w:val="22"/>
                <w:szCs w:val="22"/>
              </w:rPr>
              <w:t>44 439</w:t>
            </w:r>
          </w:p>
        </w:tc>
        <w:tc>
          <w:tcPr>
            <w:tcW w:w="983" w:type="dxa"/>
            <w:shd w:val="clear" w:color="auto" w:fill="auto"/>
          </w:tcPr>
          <w:p w:rsidR="009C5812" w:rsidRPr="00091230" w:rsidRDefault="009C5812" w:rsidP="008D0888">
            <w:pPr>
              <w:spacing w:line="245" w:lineRule="auto"/>
              <w:jc w:val="center"/>
              <w:rPr>
                <w:rFonts w:eastAsia="Cambria"/>
                <w:sz w:val="22"/>
                <w:szCs w:val="22"/>
              </w:rPr>
            </w:pPr>
            <w:r w:rsidRPr="00091230">
              <w:rPr>
                <w:rFonts w:eastAsia="Cambria"/>
                <w:sz w:val="22"/>
                <w:szCs w:val="22"/>
              </w:rPr>
              <w:t>1</w:t>
            </w:r>
          </w:p>
        </w:tc>
        <w:tc>
          <w:tcPr>
            <w:tcW w:w="1156" w:type="dxa"/>
          </w:tcPr>
          <w:p w:rsidR="009C5812" w:rsidRPr="00091230" w:rsidRDefault="009C5812" w:rsidP="008D0888">
            <w:pPr>
              <w:spacing w:line="245" w:lineRule="auto"/>
              <w:jc w:val="center"/>
              <w:rPr>
                <w:rFonts w:eastAsia="Cambria"/>
                <w:sz w:val="22"/>
                <w:szCs w:val="22"/>
              </w:rPr>
            </w:pPr>
          </w:p>
        </w:tc>
        <w:tc>
          <w:tcPr>
            <w:tcW w:w="2114" w:type="dxa"/>
            <w:shd w:val="clear" w:color="auto" w:fill="auto"/>
          </w:tcPr>
          <w:p w:rsidR="009C5812" w:rsidRPr="00091230" w:rsidRDefault="009C5812" w:rsidP="008D0888">
            <w:pPr>
              <w:spacing w:line="245" w:lineRule="auto"/>
              <w:jc w:val="center"/>
              <w:rPr>
                <w:rFonts w:eastAsia="Cambria"/>
                <w:sz w:val="22"/>
                <w:szCs w:val="22"/>
              </w:rPr>
            </w:pPr>
            <w:r w:rsidRPr="00091230">
              <w:rPr>
                <w:rFonts w:eastAsia="Cambria"/>
                <w:sz w:val="22"/>
                <w:szCs w:val="22"/>
              </w:rPr>
              <w:t>0,5</w:t>
            </w:r>
          </w:p>
        </w:tc>
        <w:tc>
          <w:tcPr>
            <w:tcW w:w="1464" w:type="dxa"/>
            <w:shd w:val="clear" w:color="auto" w:fill="auto"/>
          </w:tcPr>
          <w:p w:rsidR="009C5812" w:rsidRPr="00091230" w:rsidRDefault="009C5812" w:rsidP="008D0888">
            <w:pPr>
              <w:spacing w:line="245" w:lineRule="auto"/>
              <w:jc w:val="center"/>
              <w:rPr>
                <w:rFonts w:eastAsia="Cambria"/>
                <w:sz w:val="22"/>
                <w:szCs w:val="22"/>
              </w:rPr>
            </w:pPr>
            <w:r w:rsidRPr="00091230">
              <w:rPr>
                <w:rFonts w:eastAsia="Cambria"/>
                <w:sz w:val="22"/>
                <w:szCs w:val="22"/>
              </w:rPr>
              <w:t>1/1</w:t>
            </w:r>
          </w:p>
        </w:tc>
        <w:tc>
          <w:tcPr>
            <w:tcW w:w="1662" w:type="dxa"/>
            <w:shd w:val="clear" w:color="auto" w:fill="auto"/>
          </w:tcPr>
          <w:p w:rsidR="009C5812" w:rsidRPr="00091230" w:rsidRDefault="009C5812" w:rsidP="008D0888">
            <w:pPr>
              <w:spacing w:line="245" w:lineRule="auto"/>
              <w:jc w:val="center"/>
              <w:rPr>
                <w:rFonts w:eastAsia="Cambria"/>
                <w:sz w:val="22"/>
                <w:szCs w:val="22"/>
              </w:rPr>
            </w:pPr>
            <w:r w:rsidRPr="00091230">
              <w:rPr>
                <w:rFonts w:eastAsia="Cambria"/>
                <w:sz w:val="22"/>
                <w:szCs w:val="22"/>
              </w:rPr>
              <w:t>220</w:t>
            </w:r>
          </w:p>
        </w:tc>
      </w:tr>
      <w:tr w:rsidR="009C5812" w:rsidRPr="00091230" w:rsidTr="009C5812">
        <w:trPr>
          <w:trHeight w:val="20"/>
        </w:trPr>
        <w:tc>
          <w:tcPr>
            <w:tcW w:w="704" w:type="dxa"/>
            <w:shd w:val="clear" w:color="auto" w:fill="auto"/>
          </w:tcPr>
          <w:p w:rsidR="009C5812" w:rsidRPr="00091230" w:rsidRDefault="009C5812" w:rsidP="008D0888">
            <w:pPr>
              <w:spacing w:line="245" w:lineRule="auto"/>
              <w:jc w:val="center"/>
              <w:rPr>
                <w:rFonts w:eastAsia="Cambria"/>
                <w:sz w:val="22"/>
                <w:szCs w:val="22"/>
              </w:rPr>
            </w:pPr>
            <w:r w:rsidRPr="00091230">
              <w:rPr>
                <w:rFonts w:eastAsia="Cambria"/>
                <w:sz w:val="22"/>
                <w:szCs w:val="22"/>
              </w:rPr>
              <w:t>35.</w:t>
            </w:r>
          </w:p>
        </w:tc>
        <w:tc>
          <w:tcPr>
            <w:tcW w:w="2268" w:type="dxa"/>
            <w:shd w:val="clear" w:color="auto" w:fill="auto"/>
          </w:tcPr>
          <w:p w:rsidR="009C5812" w:rsidRPr="00091230" w:rsidRDefault="009C5812" w:rsidP="008D0888">
            <w:pPr>
              <w:spacing w:line="245" w:lineRule="auto"/>
              <w:ind w:right="30"/>
              <w:jc w:val="both"/>
              <w:rPr>
                <w:rFonts w:eastAsia="Cambria"/>
                <w:sz w:val="22"/>
                <w:szCs w:val="22"/>
              </w:rPr>
            </w:pPr>
            <w:r w:rsidRPr="00091230">
              <w:rPr>
                <w:rFonts w:eastAsia="Cambria"/>
                <w:sz w:val="22"/>
                <w:szCs w:val="22"/>
              </w:rPr>
              <w:t>Пестречинский муниципальный район</w:t>
            </w:r>
          </w:p>
        </w:tc>
        <w:tc>
          <w:tcPr>
            <w:tcW w:w="2410" w:type="dxa"/>
          </w:tcPr>
          <w:p w:rsidR="009C5812" w:rsidRPr="00091230" w:rsidRDefault="009C5812" w:rsidP="008D0888">
            <w:pPr>
              <w:spacing w:line="245" w:lineRule="auto"/>
              <w:jc w:val="both"/>
              <w:rPr>
                <w:rFonts w:eastAsia="Cambria"/>
                <w:sz w:val="22"/>
                <w:szCs w:val="22"/>
              </w:rPr>
            </w:pPr>
            <w:r w:rsidRPr="00091230">
              <w:rPr>
                <w:rFonts w:eastAsia="Cambria"/>
                <w:sz w:val="22"/>
                <w:szCs w:val="22"/>
              </w:rPr>
              <w:t xml:space="preserve">ГАУЗ </w:t>
            </w:r>
            <w:r>
              <w:rPr>
                <w:rFonts w:eastAsia="Cambria"/>
                <w:sz w:val="22"/>
                <w:szCs w:val="22"/>
              </w:rPr>
              <w:t>«</w:t>
            </w:r>
            <w:r w:rsidRPr="00091230">
              <w:rPr>
                <w:rFonts w:eastAsia="Cambria"/>
                <w:sz w:val="22"/>
                <w:szCs w:val="22"/>
              </w:rPr>
              <w:t>Пестречинская ЦРБ</w:t>
            </w:r>
            <w:r>
              <w:rPr>
                <w:rFonts w:eastAsia="Cambria"/>
                <w:sz w:val="22"/>
                <w:szCs w:val="22"/>
              </w:rPr>
              <w:t>»</w:t>
            </w:r>
          </w:p>
        </w:tc>
        <w:tc>
          <w:tcPr>
            <w:tcW w:w="1416" w:type="dxa"/>
            <w:shd w:val="clear" w:color="auto" w:fill="auto"/>
          </w:tcPr>
          <w:p w:rsidR="009C5812" w:rsidRPr="00091230" w:rsidRDefault="009C5812" w:rsidP="008D0888">
            <w:pPr>
              <w:spacing w:line="245" w:lineRule="auto"/>
              <w:jc w:val="center"/>
              <w:rPr>
                <w:rFonts w:eastAsia="Cambria"/>
                <w:sz w:val="22"/>
                <w:szCs w:val="22"/>
              </w:rPr>
            </w:pPr>
            <w:r w:rsidRPr="00091230">
              <w:rPr>
                <w:rFonts w:eastAsia="Cambria"/>
                <w:sz w:val="22"/>
                <w:szCs w:val="22"/>
              </w:rPr>
              <w:t>31 843</w:t>
            </w:r>
          </w:p>
        </w:tc>
        <w:tc>
          <w:tcPr>
            <w:tcW w:w="983" w:type="dxa"/>
            <w:shd w:val="clear" w:color="auto" w:fill="auto"/>
          </w:tcPr>
          <w:p w:rsidR="009C5812" w:rsidRPr="00091230" w:rsidRDefault="009C5812" w:rsidP="008D0888">
            <w:pPr>
              <w:spacing w:line="245" w:lineRule="auto"/>
              <w:jc w:val="center"/>
              <w:rPr>
                <w:rFonts w:eastAsia="Cambria"/>
                <w:sz w:val="22"/>
                <w:szCs w:val="22"/>
              </w:rPr>
            </w:pPr>
            <w:r w:rsidRPr="00091230">
              <w:rPr>
                <w:rFonts w:eastAsia="Cambria"/>
                <w:sz w:val="22"/>
                <w:szCs w:val="22"/>
              </w:rPr>
              <w:t>1</w:t>
            </w:r>
          </w:p>
        </w:tc>
        <w:tc>
          <w:tcPr>
            <w:tcW w:w="1156" w:type="dxa"/>
          </w:tcPr>
          <w:p w:rsidR="009C5812" w:rsidRPr="00091230" w:rsidRDefault="009C5812" w:rsidP="008D0888">
            <w:pPr>
              <w:spacing w:line="245" w:lineRule="auto"/>
              <w:jc w:val="center"/>
              <w:rPr>
                <w:rFonts w:eastAsia="Cambria"/>
                <w:sz w:val="22"/>
                <w:szCs w:val="22"/>
              </w:rPr>
            </w:pPr>
          </w:p>
        </w:tc>
        <w:tc>
          <w:tcPr>
            <w:tcW w:w="2114" w:type="dxa"/>
            <w:shd w:val="clear" w:color="auto" w:fill="auto"/>
          </w:tcPr>
          <w:p w:rsidR="009C5812" w:rsidRPr="00091230" w:rsidRDefault="009C5812" w:rsidP="008D0888">
            <w:pPr>
              <w:spacing w:line="245" w:lineRule="auto"/>
              <w:jc w:val="center"/>
              <w:rPr>
                <w:rFonts w:eastAsia="Cambria"/>
                <w:sz w:val="22"/>
                <w:szCs w:val="22"/>
              </w:rPr>
            </w:pPr>
            <w:r w:rsidRPr="00091230">
              <w:rPr>
                <w:rFonts w:eastAsia="Cambria"/>
                <w:sz w:val="22"/>
                <w:szCs w:val="22"/>
              </w:rPr>
              <w:t>1</w:t>
            </w:r>
          </w:p>
        </w:tc>
        <w:tc>
          <w:tcPr>
            <w:tcW w:w="1464" w:type="dxa"/>
            <w:shd w:val="clear" w:color="auto" w:fill="auto"/>
          </w:tcPr>
          <w:p w:rsidR="009C5812" w:rsidRPr="00091230" w:rsidRDefault="009C5812" w:rsidP="008D0888">
            <w:pPr>
              <w:spacing w:line="245" w:lineRule="auto"/>
              <w:jc w:val="center"/>
              <w:rPr>
                <w:rFonts w:eastAsia="Cambria"/>
                <w:sz w:val="22"/>
                <w:szCs w:val="22"/>
              </w:rPr>
            </w:pPr>
            <w:r w:rsidRPr="00091230">
              <w:rPr>
                <w:rFonts w:eastAsia="Cambria"/>
                <w:sz w:val="22"/>
                <w:szCs w:val="22"/>
              </w:rPr>
              <w:t>1/0,5</w:t>
            </w:r>
          </w:p>
        </w:tc>
        <w:tc>
          <w:tcPr>
            <w:tcW w:w="1662" w:type="dxa"/>
            <w:shd w:val="clear" w:color="auto" w:fill="auto"/>
          </w:tcPr>
          <w:p w:rsidR="009C5812" w:rsidRPr="00091230" w:rsidRDefault="009C5812" w:rsidP="008D0888">
            <w:pPr>
              <w:spacing w:line="245" w:lineRule="auto"/>
              <w:jc w:val="center"/>
              <w:rPr>
                <w:rFonts w:eastAsia="Cambria"/>
                <w:sz w:val="22"/>
                <w:szCs w:val="22"/>
              </w:rPr>
            </w:pPr>
            <w:r w:rsidRPr="00091230">
              <w:rPr>
                <w:rFonts w:eastAsia="Cambria"/>
                <w:sz w:val="22"/>
                <w:szCs w:val="22"/>
              </w:rPr>
              <w:t>41</w:t>
            </w:r>
          </w:p>
        </w:tc>
      </w:tr>
      <w:tr w:rsidR="009C5812" w:rsidRPr="00091230" w:rsidTr="009C5812">
        <w:trPr>
          <w:trHeight w:val="20"/>
        </w:trPr>
        <w:tc>
          <w:tcPr>
            <w:tcW w:w="704" w:type="dxa"/>
            <w:shd w:val="clear" w:color="auto" w:fill="auto"/>
          </w:tcPr>
          <w:p w:rsidR="009C5812" w:rsidRPr="00091230" w:rsidRDefault="009C5812" w:rsidP="008D0888">
            <w:pPr>
              <w:spacing w:line="245" w:lineRule="auto"/>
              <w:jc w:val="center"/>
              <w:rPr>
                <w:rFonts w:eastAsia="Cambria"/>
                <w:sz w:val="22"/>
                <w:szCs w:val="22"/>
              </w:rPr>
            </w:pPr>
            <w:r w:rsidRPr="00091230">
              <w:rPr>
                <w:rFonts w:eastAsia="Cambria"/>
                <w:sz w:val="22"/>
                <w:szCs w:val="22"/>
              </w:rPr>
              <w:t>36.</w:t>
            </w:r>
          </w:p>
        </w:tc>
        <w:tc>
          <w:tcPr>
            <w:tcW w:w="2268" w:type="dxa"/>
            <w:shd w:val="clear" w:color="auto" w:fill="auto"/>
          </w:tcPr>
          <w:p w:rsidR="009C5812" w:rsidRPr="00091230" w:rsidRDefault="009C5812" w:rsidP="008D0888">
            <w:pPr>
              <w:spacing w:line="245" w:lineRule="auto"/>
              <w:ind w:right="30"/>
              <w:jc w:val="both"/>
              <w:rPr>
                <w:rFonts w:eastAsia="Cambria"/>
                <w:sz w:val="22"/>
                <w:szCs w:val="22"/>
              </w:rPr>
            </w:pPr>
            <w:r w:rsidRPr="00091230">
              <w:rPr>
                <w:rFonts w:eastAsia="Cambria"/>
                <w:sz w:val="22"/>
                <w:szCs w:val="22"/>
              </w:rPr>
              <w:t>Рыбно-Слободский муниципальный рай-он</w:t>
            </w:r>
          </w:p>
        </w:tc>
        <w:tc>
          <w:tcPr>
            <w:tcW w:w="2410" w:type="dxa"/>
          </w:tcPr>
          <w:p w:rsidR="009C5812" w:rsidRPr="00091230" w:rsidRDefault="009C5812" w:rsidP="008D0888">
            <w:pPr>
              <w:spacing w:line="245" w:lineRule="auto"/>
              <w:jc w:val="both"/>
              <w:rPr>
                <w:sz w:val="22"/>
                <w:szCs w:val="22"/>
              </w:rPr>
            </w:pPr>
            <w:r w:rsidRPr="00091230">
              <w:rPr>
                <w:sz w:val="22"/>
                <w:szCs w:val="22"/>
              </w:rPr>
              <w:t xml:space="preserve">ГАУЗ </w:t>
            </w:r>
            <w:r>
              <w:rPr>
                <w:sz w:val="22"/>
                <w:szCs w:val="22"/>
              </w:rPr>
              <w:t>«</w:t>
            </w:r>
            <w:r w:rsidRPr="00091230">
              <w:rPr>
                <w:sz w:val="22"/>
                <w:szCs w:val="22"/>
              </w:rPr>
              <w:t>Рыбно-Слободская ЦРБ</w:t>
            </w:r>
            <w:r>
              <w:rPr>
                <w:sz w:val="22"/>
                <w:szCs w:val="22"/>
              </w:rPr>
              <w:t>»</w:t>
            </w:r>
          </w:p>
        </w:tc>
        <w:tc>
          <w:tcPr>
            <w:tcW w:w="1416" w:type="dxa"/>
            <w:shd w:val="clear" w:color="auto" w:fill="auto"/>
          </w:tcPr>
          <w:p w:rsidR="009C5812" w:rsidRPr="00091230" w:rsidRDefault="009C5812" w:rsidP="008D0888">
            <w:pPr>
              <w:spacing w:line="245" w:lineRule="auto"/>
              <w:jc w:val="center"/>
              <w:rPr>
                <w:rFonts w:eastAsia="Cambria"/>
                <w:sz w:val="22"/>
                <w:szCs w:val="22"/>
              </w:rPr>
            </w:pPr>
            <w:r w:rsidRPr="00091230">
              <w:rPr>
                <w:rFonts w:eastAsia="Cambria"/>
                <w:sz w:val="22"/>
                <w:szCs w:val="22"/>
              </w:rPr>
              <w:t>20 804</w:t>
            </w:r>
          </w:p>
        </w:tc>
        <w:tc>
          <w:tcPr>
            <w:tcW w:w="983" w:type="dxa"/>
            <w:shd w:val="clear" w:color="auto" w:fill="auto"/>
          </w:tcPr>
          <w:p w:rsidR="009C5812" w:rsidRPr="00091230" w:rsidRDefault="009C5812" w:rsidP="008D0888">
            <w:pPr>
              <w:spacing w:line="245" w:lineRule="auto"/>
              <w:jc w:val="center"/>
              <w:rPr>
                <w:rFonts w:eastAsia="Cambria"/>
                <w:sz w:val="22"/>
                <w:szCs w:val="22"/>
              </w:rPr>
            </w:pPr>
            <w:r w:rsidRPr="00091230">
              <w:rPr>
                <w:rFonts w:eastAsia="Cambria"/>
                <w:sz w:val="22"/>
                <w:szCs w:val="22"/>
              </w:rPr>
              <w:t>1</w:t>
            </w:r>
          </w:p>
        </w:tc>
        <w:tc>
          <w:tcPr>
            <w:tcW w:w="1156" w:type="dxa"/>
          </w:tcPr>
          <w:p w:rsidR="009C5812" w:rsidRPr="00091230" w:rsidRDefault="009C5812" w:rsidP="008D0888">
            <w:pPr>
              <w:spacing w:line="245" w:lineRule="auto"/>
              <w:jc w:val="center"/>
              <w:rPr>
                <w:sz w:val="22"/>
                <w:szCs w:val="22"/>
              </w:rPr>
            </w:pPr>
          </w:p>
        </w:tc>
        <w:tc>
          <w:tcPr>
            <w:tcW w:w="2114" w:type="dxa"/>
            <w:shd w:val="clear" w:color="auto" w:fill="auto"/>
          </w:tcPr>
          <w:p w:rsidR="009C5812" w:rsidRPr="00091230" w:rsidRDefault="009C5812" w:rsidP="008D0888">
            <w:pPr>
              <w:spacing w:line="245" w:lineRule="auto"/>
              <w:jc w:val="center"/>
              <w:rPr>
                <w:rFonts w:eastAsia="Cambria"/>
                <w:sz w:val="22"/>
                <w:szCs w:val="22"/>
              </w:rPr>
            </w:pPr>
            <w:r w:rsidRPr="00091230">
              <w:rPr>
                <w:rFonts w:eastAsia="Cambria"/>
                <w:sz w:val="22"/>
                <w:szCs w:val="22"/>
              </w:rPr>
              <w:t>1</w:t>
            </w:r>
          </w:p>
        </w:tc>
        <w:tc>
          <w:tcPr>
            <w:tcW w:w="1464" w:type="dxa"/>
            <w:shd w:val="clear" w:color="auto" w:fill="auto"/>
          </w:tcPr>
          <w:p w:rsidR="009C5812" w:rsidRPr="00091230" w:rsidRDefault="009C5812" w:rsidP="008D0888">
            <w:pPr>
              <w:spacing w:line="245" w:lineRule="auto"/>
              <w:jc w:val="center"/>
              <w:rPr>
                <w:rFonts w:eastAsia="Cambria"/>
                <w:sz w:val="22"/>
                <w:szCs w:val="22"/>
              </w:rPr>
            </w:pPr>
            <w:r w:rsidRPr="00091230">
              <w:rPr>
                <w:rFonts w:eastAsia="Cambria"/>
                <w:sz w:val="22"/>
                <w:szCs w:val="22"/>
              </w:rPr>
              <w:t>1/0,5</w:t>
            </w:r>
          </w:p>
        </w:tc>
        <w:tc>
          <w:tcPr>
            <w:tcW w:w="1662" w:type="dxa"/>
            <w:shd w:val="clear" w:color="auto" w:fill="auto"/>
          </w:tcPr>
          <w:p w:rsidR="009C5812" w:rsidRPr="00091230" w:rsidRDefault="009C5812" w:rsidP="008D0888">
            <w:pPr>
              <w:spacing w:line="245" w:lineRule="auto"/>
              <w:jc w:val="center"/>
              <w:rPr>
                <w:rFonts w:eastAsia="Cambria"/>
                <w:sz w:val="22"/>
                <w:szCs w:val="22"/>
              </w:rPr>
            </w:pPr>
            <w:r w:rsidRPr="00091230">
              <w:rPr>
                <w:rFonts w:eastAsia="Cambria"/>
                <w:sz w:val="22"/>
                <w:szCs w:val="22"/>
              </w:rPr>
              <w:t>91</w:t>
            </w:r>
          </w:p>
        </w:tc>
      </w:tr>
      <w:tr w:rsidR="009C5812" w:rsidRPr="00091230" w:rsidTr="009C5812">
        <w:trPr>
          <w:trHeight w:val="20"/>
        </w:trPr>
        <w:tc>
          <w:tcPr>
            <w:tcW w:w="704" w:type="dxa"/>
            <w:shd w:val="clear" w:color="auto" w:fill="auto"/>
          </w:tcPr>
          <w:p w:rsidR="009C5812" w:rsidRPr="00091230" w:rsidRDefault="009C5812" w:rsidP="008D0888">
            <w:pPr>
              <w:spacing w:line="245" w:lineRule="auto"/>
              <w:jc w:val="center"/>
              <w:rPr>
                <w:rFonts w:eastAsia="Cambria"/>
                <w:sz w:val="22"/>
                <w:szCs w:val="22"/>
              </w:rPr>
            </w:pPr>
            <w:r w:rsidRPr="00091230">
              <w:rPr>
                <w:rFonts w:eastAsia="Cambria"/>
                <w:sz w:val="22"/>
                <w:szCs w:val="22"/>
              </w:rPr>
              <w:t>37.</w:t>
            </w:r>
          </w:p>
        </w:tc>
        <w:tc>
          <w:tcPr>
            <w:tcW w:w="2268" w:type="dxa"/>
            <w:shd w:val="clear" w:color="auto" w:fill="auto"/>
          </w:tcPr>
          <w:p w:rsidR="009C5812" w:rsidRPr="00091230" w:rsidRDefault="009C5812" w:rsidP="008D0888">
            <w:pPr>
              <w:spacing w:line="245" w:lineRule="auto"/>
              <w:ind w:right="30"/>
              <w:jc w:val="both"/>
              <w:rPr>
                <w:rFonts w:eastAsia="Cambria"/>
                <w:sz w:val="22"/>
                <w:szCs w:val="22"/>
              </w:rPr>
            </w:pPr>
            <w:r w:rsidRPr="00091230">
              <w:rPr>
                <w:rFonts w:eastAsia="Cambria"/>
                <w:sz w:val="22"/>
                <w:szCs w:val="22"/>
              </w:rPr>
              <w:t>Сабинский муниципальный район</w:t>
            </w:r>
          </w:p>
        </w:tc>
        <w:tc>
          <w:tcPr>
            <w:tcW w:w="2410" w:type="dxa"/>
          </w:tcPr>
          <w:p w:rsidR="009C5812" w:rsidRPr="00091230" w:rsidRDefault="009C5812" w:rsidP="008D0888">
            <w:pPr>
              <w:spacing w:line="245" w:lineRule="auto"/>
              <w:jc w:val="both"/>
              <w:rPr>
                <w:sz w:val="22"/>
                <w:szCs w:val="22"/>
              </w:rPr>
            </w:pPr>
            <w:r w:rsidRPr="00091230">
              <w:rPr>
                <w:sz w:val="22"/>
                <w:szCs w:val="22"/>
              </w:rPr>
              <w:t xml:space="preserve">ГАУЗ </w:t>
            </w:r>
            <w:r>
              <w:rPr>
                <w:sz w:val="22"/>
                <w:szCs w:val="22"/>
              </w:rPr>
              <w:t>«</w:t>
            </w:r>
            <w:r w:rsidRPr="00091230">
              <w:rPr>
                <w:sz w:val="22"/>
                <w:szCs w:val="22"/>
              </w:rPr>
              <w:t>Сабинская ЦРБ</w:t>
            </w:r>
            <w:r>
              <w:rPr>
                <w:sz w:val="22"/>
                <w:szCs w:val="22"/>
              </w:rPr>
              <w:t>»</w:t>
            </w:r>
          </w:p>
        </w:tc>
        <w:tc>
          <w:tcPr>
            <w:tcW w:w="1416" w:type="dxa"/>
            <w:shd w:val="clear" w:color="auto" w:fill="auto"/>
          </w:tcPr>
          <w:p w:rsidR="009C5812" w:rsidRDefault="009C5812" w:rsidP="008D0888">
            <w:pPr>
              <w:spacing w:line="245" w:lineRule="auto"/>
              <w:jc w:val="center"/>
              <w:rPr>
                <w:rFonts w:eastAsia="Cambria"/>
                <w:sz w:val="22"/>
                <w:szCs w:val="22"/>
              </w:rPr>
            </w:pPr>
            <w:r w:rsidRPr="00091230">
              <w:rPr>
                <w:rFonts w:eastAsia="Cambria"/>
                <w:sz w:val="22"/>
                <w:szCs w:val="22"/>
              </w:rPr>
              <w:t>23</w:t>
            </w:r>
            <w:r>
              <w:rPr>
                <w:rFonts w:eastAsia="Cambria"/>
                <w:sz w:val="22"/>
                <w:szCs w:val="22"/>
              </w:rPr>
              <w:t> </w:t>
            </w:r>
            <w:r w:rsidRPr="00091230">
              <w:rPr>
                <w:rFonts w:eastAsia="Cambria"/>
                <w:sz w:val="22"/>
                <w:szCs w:val="22"/>
              </w:rPr>
              <w:t>807</w:t>
            </w:r>
          </w:p>
          <w:p w:rsidR="009C5812" w:rsidRPr="00091230" w:rsidRDefault="009C5812" w:rsidP="008D0888">
            <w:pPr>
              <w:spacing w:line="245" w:lineRule="auto"/>
              <w:jc w:val="center"/>
              <w:rPr>
                <w:rFonts w:eastAsia="Cambria"/>
                <w:sz w:val="22"/>
                <w:szCs w:val="22"/>
              </w:rPr>
            </w:pPr>
          </w:p>
        </w:tc>
        <w:tc>
          <w:tcPr>
            <w:tcW w:w="983" w:type="dxa"/>
            <w:shd w:val="clear" w:color="auto" w:fill="auto"/>
          </w:tcPr>
          <w:p w:rsidR="009C5812" w:rsidRPr="00091230" w:rsidRDefault="009C5812" w:rsidP="008D0888">
            <w:pPr>
              <w:spacing w:line="245" w:lineRule="auto"/>
              <w:jc w:val="center"/>
              <w:rPr>
                <w:rFonts w:eastAsia="Cambria"/>
                <w:sz w:val="22"/>
                <w:szCs w:val="22"/>
              </w:rPr>
            </w:pPr>
            <w:r w:rsidRPr="00091230">
              <w:rPr>
                <w:rFonts w:eastAsia="Cambria"/>
                <w:sz w:val="22"/>
                <w:szCs w:val="22"/>
              </w:rPr>
              <w:t>-</w:t>
            </w:r>
          </w:p>
        </w:tc>
        <w:tc>
          <w:tcPr>
            <w:tcW w:w="1156" w:type="dxa"/>
          </w:tcPr>
          <w:p w:rsidR="009C5812" w:rsidRPr="00091230" w:rsidRDefault="009C5812" w:rsidP="008D0888">
            <w:pPr>
              <w:spacing w:line="245" w:lineRule="auto"/>
              <w:jc w:val="center"/>
              <w:rPr>
                <w:sz w:val="22"/>
                <w:szCs w:val="22"/>
              </w:rPr>
            </w:pPr>
            <w:r w:rsidRPr="00091230">
              <w:rPr>
                <w:sz w:val="22"/>
                <w:szCs w:val="22"/>
              </w:rPr>
              <w:t>2022</w:t>
            </w:r>
          </w:p>
        </w:tc>
        <w:tc>
          <w:tcPr>
            <w:tcW w:w="2114" w:type="dxa"/>
            <w:shd w:val="clear" w:color="auto" w:fill="auto"/>
          </w:tcPr>
          <w:p w:rsidR="009C5812" w:rsidRPr="00091230" w:rsidRDefault="009C5812" w:rsidP="008D0888">
            <w:pPr>
              <w:spacing w:line="245" w:lineRule="auto"/>
              <w:jc w:val="center"/>
              <w:rPr>
                <w:rFonts w:eastAsia="Cambria"/>
                <w:sz w:val="22"/>
                <w:szCs w:val="22"/>
              </w:rPr>
            </w:pPr>
            <w:r w:rsidRPr="00091230">
              <w:rPr>
                <w:rFonts w:eastAsia="Cambria"/>
                <w:sz w:val="22"/>
                <w:szCs w:val="22"/>
              </w:rPr>
              <w:t>1</w:t>
            </w:r>
          </w:p>
        </w:tc>
        <w:tc>
          <w:tcPr>
            <w:tcW w:w="1464" w:type="dxa"/>
            <w:shd w:val="clear" w:color="auto" w:fill="auto"/>
          </w:tcPr>
          <w:p w:rsidR="009C5812" w:rsidRPr="00091230" w:rsidRDefault="009C5812" w:rsidP="008D0888">
            <w:pPr>
              <w:spacing w:line="245" w:lineRule="auto"/>
              <w:jc w:val="center"/>
              <w:rPr>
                <w:rFonts w:eastAsia="Cambria"/>
                <w:sz w:val="22"/>
                <w:szCs w:val="22"/>
              </w:rPr>
            </w:pPr>
            <w:r w:rsidRPr="00091230">
              <w:rPr>
                <w:rFonts w:eastAsia="Cambria"/>
                <w:sz w:val="22"/>
                <w:szCs w:val="22"/>
              </w:rPr>
              <w:t>2/2</w:t>
            </w:r>
          </w:p>
        </w:tc>
        <w:tc>
          <w:tcPr>
            <w:tcW w:w="1662" w:type="dxa"/>
            <w:shd w:val="clear" w:color="auto" w:fill="auto"/>
          </w:tcPr>
          <w:p w:rsidR="009C5812" w:rsidRPr="00091230" w:rsidRDefault="009C5812" w:rsidP="008D0888">
            <w:pPr>
              <w:spacing w:line="245" w:lineRule="auto"/>
              <w:jc w:val="center"/>
              <w:rPr>
                <w:rFonts w:eastAsia="Cambria"/>
                <w:sz w:val="22"/>
                <w:szCs w:val="22"/>
              </w:rPr>
            </w:pPr>
            <w:r w:rsidRPr="00091230">
              <w:rPr>
                <w:rFonts w:eastAsia="Cambria"/>
                <w:sz w:val="22"/>
                <w:szCs w:val="22"/>
              </w:rPr>
              <w:t>100</w:t>
            </w:r>
          </w:p>
        </w:tc>
      </w:tr>
      <w:tr w:rsidR="009C5812" w:rsidRPr="00091230" w:rsidTr="009C5812">
        <w:trPr>
          <w:trHeight w:val="20"/>
        </w:trPr>
        <w:tc>
          <w:tcPr>
            <w:tcW w:w="704" w:type="dxa"/>
            <w:shd w:val="clear" w:color="auto" w:fill="auto"/>
          </w:tcPr>
          <w:p w:rsidR="009C5812" w:rsidRPr="00091230" w:rsidRDefault="009C5812" w:rsidP="008D0888">
            <w:pPr>
              <w:spacing w:line="245" w:lineRule="auto"/>
              <w:jc w:val="center"/>
              <w:rPr>
                <w:rFonts w:eastAsia="Cambria"/>
                <w:sz w:val="22"/>
                <w:szCs w:val="22"/>
              </w:rPr>
            </w:pPr>
            <w:r w:rsidRPr="00091230">
              <w:rPr>
                <w:rFonts w:eastAsia="Cambria"/>
                <w:sz w:val="22"/>
                <w:szCs w:val="22"/>
              </w:rPr>
              <w:t>38.</w:t>
            </w:r>
          </w:p>
        </w:tc>
        <w:tc>
          <w:tcPr>
            <w:tcW w:w="2268" w:type="dxa"/>
            <w:shd w:val="clear" w:color="auto" w:fill="auto"/>
          </w:tcPr>
          <w:p w:rsidR="009C5812" w:rsidRPr="00091230" w:rsidRDefault="009C5812" w:rsidP="008D0888">
            <w:pPr>
              <w:spacing w:line="245" w:lineRule="auto"/>
              <w:ind w:right="30"/>
              <w:jc w:val="both"/>
              <w:rPr>
                <w:rFonts w:eastAsia="Cambria"/>
                <w:sz w:val="22"/>
                <w:szCs w:val="22"/>
              </w:rPr>
            </w:pPr>
            <w:r w:rsidRPr="00091230">
              <w:rPr>
                <w:rFonts w:eastAsia="Cambria"/>
                <w:sz w:val="22"/>
                <w:szCs w:val="22"/>
              </w:rPr>
              <w:t>Сармановский муниципальный район</w:t>
            </w:r>
          </w:p>
        </w:tc>
        <w:tc>
          <w:tcPr>
            <w:tcW w:w="2410" w:type="dxa"/>
          </w:tcPr>
          <w:p w:rsidR="009C5812" w:rsidRPr="00091230" w:rsidRDefault="009C5812" w:rsidP="008D0888">
            <w:pPr>
              <w:spacing w:line="245" w:lineRule="auto"/>
              <w:jc w:val="both"/>
              <w:rPr>
                <w:sz w:val="22"/>
                <w:szCs w:val="22"/>
              </w:rPr>
            </w:pPr>
            <w:r w:rsidRPr="00091230">
              <w:rPr>
                <w:sz w:val="22"/>
                <w:szCs w:val="22"/>
              </w:rPr>
              <w:t xml:space="preserve">ГАУЗ </w:t>
            </w:r>
            <w:r>
              <w:rPr>
                <w:sz w:val="22"/>
                <w:szCs w:val="22"/>
              </w:rPr>
              <w:t>«</w:t>
            </w:r>
            <w:r w:rsidRPr="00091230">
              <w:rPr>
                <w:sz w:val="22"/>
                <w:szCs w:val="22"/>
              </w:rPr>
              <w:t>Сармановская ЦРБ</w:t>
            </w:r>
            <w:r>
              <w:rPr>
                <w:sz w:val="22"/>
                <w:szCs w:val="22"/>
              </w:rPr>
              <w:t>»</w:t>
            </w:r>
          </w:p>
        </w:tc>
        <w:tc>
          <w:tcPr>
            <w:tcW w:w="1416" w:type="dxa"/>
            <w:shd w:val="clear" w:color="auto" w:fill="auto"/>
          </w:tcPr>
          <w:p w:rsidR="009C5812" w:rsidRPr="00091230" w:rsidRDefault="009C5812" w:rsidP="008D0888">
            <w:pPr>
              <w:spacing w:line="245" w:lineRule="auto"/>
              <w:jc w:val="center"/>
              <w:rPr>
                <w:rFonts w:eastAsia="Cambria"/>
                <w:sz w:val="22"/>
                <w:szCs w:val="22"/>
              </w:rPr>
            </w:pPr>
            <w:r w:rsidRPr="00091230">
              <w:rPr>
                <w:rFonts w:eastAsia="Cambria"/>
                <w:sz w:val="22"/>
                <w:szCs w:val="22"/>
              </w:rPr>
              <w:t>27 137</w:t>
            </w:r>
          </w:p>
        </w:tc>
        <w:tc>
          <w:tcPr>
            <w:tcW w:w="983" w:type="dxa"/>
            <w:shd w:val="clear" w:color="auto" w:fill="auto"/>
          </w:tcPr>
          <w:p w:rsidR="009C5812" w:rsidRPr="00091230" w:rsidRDefault="009C5812" w:rsidP="008D0888">
            <w:pPr>
              <w:spacing w:line="245" w:lineRule="auto"/>
              <w:jc w:val="center"/>
              <w:rPr>
                <w:rFonts w:eastAsia="Cambria"/>
                <w:sz w:val="22"/>
                <w:szCs w:val="22"/>
              </w:rPr>
            </w:pPr>
            <w:r w:rsidRPr="00091230">
              <w:rPr>
                <w:rFonts w:eastAsia="Cambria"/>
                <w:sz w:val="22"/>
                <w:szCs w:val="22"/>
              </w:rPr>
              <w:t>1</w:t>
            </w:r>
          </w:p>
        </w:tc>
        <w:tc>
          <w:tcPr>
            <w:tcW w:w="1156" w:type="dxa"/>
          </w:tcPr>
          <w:p w:rsidR="009C5812" w:rsidRPr="00091230" w:rsidRDefault="009C5812" w:rsidP="008D0888">
            <w:pPr>
              <w:spacing w:line="245" w:lineRule="auto"/>
              <w:jc w:val="center"/>
              <w:rPr>
                <w:sz w:val="22"/>
                <w:szCs w:val="22"/>
              </w:rPr>
            </w:pPr>
          </w:p>
        </w:tc>
        <w:tc>
          <w:tcPr>
            <w:tcW w:w="2114" w:type="dxa"/>
            <w:shd w:val="clear" w:color="auto" w:fill="auto"/>
          </w:tcPr>
          <w:p w:rsidR="009C5812" w:rsidRPr="00091230" w:rsidRDefault="009C5812" w:rsidP="008D0888">
            <w:pPr>
              <w:spacing w:line="245" w:lineRule="auto"/>
              <w:jc w:val="center"/>
              <w:rPr>
                <w:rFonts w:eastAsia="Cambria"/>
                <w:sz w:val="22"/>
                <w:szCs w:val="22"/>
              </w:rPr>
            </w:pPr>
            <w:r w:rsidRPr="00091230">
              <w:rPr>
                <w:rFonts w:eastAsia="Cambria"/>
                <w:sz w:val="22"/>
                <w:szCs w:val="22"/>
              </w:rPr>
              <w:t>1</w:t>
            </w:r>
          </w:p>
        </w:tc>
        <w:tc>
          <w:tcPr>
            <w:tcW w:w="1464" w:type="dxa"/>
            <w:shd w:val="clear" w:color="auto" w:fill="auto"/>
          </w:tcPr>
          <w:p w:rsidR="009C5812" w:rsidRPr="00091230" w:rsidRDefault="009C5812" w:rsidP="008D0888">
            <w:pPr>
              <w:spacing w:line="245" w:lineRule="auto"/>
              <w:jc w:val="center"/>
              <w:rPr>
                <w:rFonts w:eastAsia="Cambria"/>
                <w:sz w:val="22"/>
                <w:szCs w:val="22"/>
              </w:rPr>
            </w:pPr>
            <w:r w:rsidRPr="00091230">
              <w:rPr>
                <w:rFonts w:eastAsia="Cambria"/>
                <w:sz w:val="22"/>
                <w:szCs w:val="22"/>
              </w:rPr>
              <w:t>1/1,5</w:t>
            </w:r>
          </w:p>
        </w:tc>
        <w:tc>
          <w:tcPr>
            <w:tcW w:w="1662" w:type="dxa"/>
            <w:shd w:val="clear" w:color="auto" w:fill="auto"/>
          </w:tcPr>
          <w:p w:rsidR="009C5812" w:rsidRPr="00091230" w:rsidRDefault="009C5812" w:rsidP="008D0888">
            <w:pPr>
              <w:spacing w:line="245" w:lineRule="auto"/>
              <w:jc w:val="center"/>
              <w:rPr>
                <w:rFonts w:eastAsia="Cambria"/>
                <w:sz w:val="22"/>
                <w:szCs w:val="22"/>
              </w:rPr>
            </w:pPr>
            <w:r w:rsidRPr="00091230">
              <w:rPr>
                <w:rFonts w:eastAsia="Cambria"/>
                <w:sz w:val="22"/>
                <w:szCs w:val="22"/>
              </w:rPr>
              <w:t>290</w:t>
            </w:r>
          </w:p>
        </w:tc>
      </w:tr>
      <w:tr w:rsidR="009C5812" w:rsidRPr="00091230" w:rsidTr="009C5812">
        <w:trPr>
          <w:trHeight w:val="20"/>
        </w:trPr>
        <w:tc>
          <w:tcPr>
            <w:tcW w:w="704" w:type="dxa"/>
            <w:shd w:val="clear" w:color="auto" w:fill="auto"/>
          </w:tcPr>
          <w:p w:rsidR="009C5812" w:rsidRPr="00091230" w:rsidRDefault="009C5812" w:rsidP="008D0888">
            <w:pPr>
              <w:spacing w:line="245" w:lineRule="auto"/>
              <w:jc w:val="center"/>
              <w:rPr>
                <w:rFonts w:eastAsia="Cambria"/>
                <w:sz w:val="22"/>
                <w:szCs w:val="22"/>
              </w:rPr>
            </w:pPr>
            <w:r w:rsidRPr="00091230">
              <w:rPr>
                <w:rFonts w:eastAsia="Cambria"/>
                <w:sz w:val="22"/>
                <w:szCs w:val="22"/>
              </w:rPr>
              <w:t>39.</w:t>
            </w:r>
          </w:p>
        </w:tc>
        <w:tc>
          <w:tcPr>
            <w:tcW w:w="2268" w:type="dxa"/>
            <w:shd w:val="clear" w:color="auto" w:fill="auto"/>
          </w:tcPr>
          <w:p w:rsidR="009C5812" w:rsidRPr="00091230" w:rsidRDefault="009C5812" w:rsidP="008D0888">
            <w:pPr>
              <w:spacing w:line="245" w:lineRule="auto"/>
              <w:ind w:right="30"/>
              <w:jc w:val="both"/>
              <w:rPr>
                <w:rFonts w:eastAsia="Cambria"/>
                <w:sz w:val="22"/>
                <w:szCs w:val="22"/>
              </w:rPr>
            </w:pPr>
            <w:r w:rsidRPr="00091230">
              <w:rPr>
                <w:rFonts w:eastAsia="Cambria"/>
                <w:sz w:val="22"/>
                <w:szCs w:val="22"/>
              </w:rPr>
              <w:t>Спасский муниципальный район</w:t>
            </w:r>
          </w:p>
        </w:tc>
        <w:tc>
          <w:tcPr>
            <w:tcW w:w="2410" w:type="dxa"/>
          </w:tcPr>
          <w:p w:rsidR="009C5812" w:rsidRPr="00091230" w:rsidRDefault="009C5812" w:rsidP="008D0888">
            <w:pPr>
              <w:spacing w:line="245" w:lineRule="auto"/>
              <w:jc w:val="both"/>
              <w:rPr>
                <w:sz w:val="22"/>
                <w:szCs w:val="22"/>
              </w:rPr>
            </w:pPr>
            <w:r w:rsidRPr="00091230">
              <w:rPr>
                <w:sz w:val="22"/>
                <w:szCs w:val="22"/>
              </w:rPr>
              <w:t xml:space="preserve">ГАУЗ </w:t>
            </w:r>
            <w:r>
              <w:rPr>
                <w:sz w:val="22"/>
                <w:szCs w:val="22"/>
              </w:rPr>
              <w:t>«</w:t>
            </w:r>
            <w:r w:rsidRPr="00091230">
              <w:rPr>
                <w:sz w:val="22"/>
                <w:szCs w:val="22"/>
              </w:rPr>
              <w:t>Спасская ЦРБ</w:t>
            </w:r>
            <w:r>
              <w:rPr>
                <w:sz w:val="22"/>
                <w:szCs w:val="22"/>
              </w:rPr>
              <w:t>»</w:t>
            </w:r>
          </w:p>
        </w:tc>
        <w:tc>
          <w:tcPr>
            <w:tcW w:w="1416" w:type="dxa"/>
            <w:shd w:val="clear" w:color="auto" w:fill="auto"/>
          </w:tcPr>
          <w:p w:rsidR="009C5812" w:rsidRPr="00091230" w:rsidRDefault="009C5812" w:rsidP="008D0888">
            <w:pPr>
              <w:spacing w:line="245" w:lineRule="auto"/>
              <w:jc w:val="center"/>
              <w:rPr>
                <w:rFonts w:eastAsia="Cambria"/>
                <w:sz w:val="22"/>
                <w:szCs w:val="22"/>
              </w:rPr>
            </w:pPr>
            <w:r w:rsidRPr="00091230">
              <w:rPr>
                <w:rFonts w:eastAsia="Cambria"/>
                <w:sz w:val="22"/>
                <w:szCs w:val="22"/>
              </w:rPr>
              <w:t>15 309</w:t>
            </w:r>
          </w:p>
        </w:tc>
        <w:tc>
          <w:tcPr>
            <w:tcW w:w="983" w:type="dxa"/>
            <w:shd w:val="clear" w:color="auto" w:fill="auto"/>
          </w:tcPr>
          <w:p w:rsidR="009C5812" w:rsidRPr="00091230" w:rsidRDefault="009C5812" w:rsidP="008D0888">
            <w:pPr>
              <w:spacing w:line="245" w:lineRule="auto"/>
              <w:jc w:val="center"/>
              <w:rPr>
                <w:rFonts w:eastAsia="Cambria"/>
                <w:sz w:val="22"/>
                <w:szCs w:val="22"/>
              </w:rPr>
            </w:pPr>
            <w:r w:rsidRPr="00091230">
              <w:rPr>
                <w:rFonts w:eastAsia="Cambria"/>
                <w:sz w:val="22"/>
                <w:szCs w:val="22"/>
              </w:rPr>
              <w:t>1</w:t>
            </w:r>
          </w:p>
        </w:tc>
        <w:tc>
          <w:tcPr>
            <w:tcW w:w="1156" w:type="dxa"/>
          </w:tcPr>
          <w:p w:rsidR="009C5812" w:rsidRPr="00091230" w:rsidRDefault="009C5812" w:rsidP="008D0888">
            <w:pPr>
              <w:spacing w:line="245" w:lineRule="auto"/>
              <w:jc w:val="center"/>
              <w:rPr>
                <w:sz w:val="22"/>
                <w:szCs w:val="22"/>
              </w:rPr>
            </w:pPr>
          </w:p>
        </w:tc>
        <w:tc>
          <w:tcPr>
            <w:tcW w:w="2114" w:type="dxa"/>
            <w:shd w:val="clear" w:color="auto" w:fill="auto"/>
          </w:tcPr>
          <w:p w:rsidR="009C5812" w:rsidRPr="00091230" w:rsidRDefault="009C5812" w:rsidP="008D0888">
            <w:pPr>
              <w:spacing w:line="245" w:lineRule="auto"/>
              <w:jc w:val="center"/>
              <w:rPr>
                <w:rFonts w:eastAsia="Cambria"/>
                <w:sz w:val="22"/>
                <w:szCs w:val="22"/>
              </w:rPr>
            </w:pPr>
            <w:r w:rsidRPr="00091230">
              <w:rPr>
                <w:rFonts w:eastAsia="Cambria"/>
                <w:sz w:val="22"/>
                <w:szCs w:val="22"/>
              </w:rPr>
              <w:t>1</w:t>
            </w:r>
          </w:p>
        </w:tc>
        <w:tc>
          <w:tcPr>
            <w:tcW w:w="1464" w:type="dxa"/>
            <w:shd w:val="clear" w:color="auto" w:fill="auto"/>
          </w:tcPr>
          <w:p w:rsidR="009C5812" w:rsidRPr="00091230" w:rsidRDefault="009C5812" w:rsidP="008D0888">
            <w:pPr>
              <w:spacing w:line="245" w:lineRule="auto"/>
              <w:jc w:val="center"/>
              <w:rPr>
                <w:rFonts w:eastAsia="Cambria"/>
                <w:sz w:val="22"/>
                <w:szCs w:val="22"/>
              </w:rPr>
            </w:pPr>
            <w:r w:rsidRPr="00091230">
              <w:rPr>
                <w:rFonts w:eastAsia="Cambria"/>
                <w:sz w:val="22"/>
                <w:szCs w:val="22"/>
              </w:rPr>
              <w:t>1/1</w:t>
            </w:r>
          </w:p>
        </w:tc>
        <w:tc>
          <w:tcPr>
            <w:tcW w:w="1662" w:type="dxa"/>
            <w:shd w:val="clear" w:color="auto" w:fill="auto"/>
          </w:tcPr>
          <w:p w:rsidR="009C5812" w:rsidRPr="00091230" w:rsidRDefault="009C5812" w:rsidP="008D0888">
            <w:pPr>
              <w:spacing w:line="245" w:lineRule="auto"/>
              <w:jc w:val="center"/>
              <w:rPr>
                <w:rFonts w:eastAsia="Cambria"/>
                <w:sz w:val="22"/>
                <w:szCs w:val="22"/>
              </w:rPr>
            </w:pPr>
            <w:r w:rsidRPr="00091230">
              <w:rPr>
                <w:rFonts w:eastAsia="Cambria"/>
                <w:sz w:val="22"/>
                <w:szCs w:val="22"/>
              </w:rPr>
              <w:t>180</w:t>
            </w:r>
          </w:p>
        </w:tc>
      </w:tr>
      <w:tr w:rsidR="009C5812" w:rsidRPr="00091230" w:rsidTr="009C5812">
        <w:trPr>
          <w:trHeight w:val="20"/>
        </w:trPr>
        <w:tc>
          <w:tcPr>
            <w:tcW w:w="704" w:type="dxa"/>
            <w:shd w:val="clear" w:color="auto" w:fill="auto"/>
          </w:tcPr>
          <w:p w:rsidR="009C5812" w:rsidRPr="00091230" w:rsidRDefault="009C5812" w:rsidP="008D0888">
            <w:pPr>
              <w:spacing w:line="245" w:lineRule="auto"/>
              <w:jc w:val="center"/>
              <w:rPr>
                <w:rFonts w:eastAsia="Cambria"/>
                <w:sz w:val="22"/>
                <w:szCs w:val="22"/>
              </w:rPr>
            </w:pPr>
            <w:r w:rsidRPr="00091230">
              <w:rPr>
                <w:rFonts w:eastAsia="Cambria"/>
                <w:sz w:val="22"/>
                <w:szCs w:val="22"/>
              </w:rPr>
              <w:t>40.</w:t>
            </w:r>
          </w:p>
        </w:tc>
        <w:tc>
          <w:tcPr>
            <w:tcW w:w="2268" w:type="dxa"/>
            <w:shd w:val="clear" w:color="auto" w:fill="auto"/>
          </w:tcPr>
          <w:p w:rsidR="009C5812" w:rsidRPr="00091230" w:rsidRDefault="009C5812" w:rsidP="008D0888">
            <w:pPr>
              <w:spacing w:line="245" w:lineRule="auto"/>
              <w:ind w:right="30"/>
              <w:jc w:val="both"/>
              <w:rPr>
                <w:rFonts w:eastAsia="Cambria"/>
                <w:sz w:val="22"/>
                <w:szCs w:val="22"/>
              </w:rPr>
            </w:pPr>
            <w:r w:rsidRPr="00091230">
              <w:rPr>
                <w:rFonts w:eastAsia="Cambria"/>
                <w:sz w:val="22"/>
                <w:szCs w:val="22"/>
              </w:rPr>
              <w:t>Тетюшский муниципальный район</w:t>
            </w:r>
          </w:p>
        </w:tc>
        <w:tc>
          <w:tcPr>
            <w:tcW w:w="2410" w:type="dxa"/>
          </w:tcPr>
          <w:p w:rsidR="009C5812" w:rsidRPr="00091230" w:rsidRDefault="009C5812" w:rsidP="008D0888">
            <w:pPr>
              <w:spacing w:line="245" w:lineRule="auto"/>
              <w:jc w:val="both"/>
              <w:rPr>
                <w:sz w:val="22"/>
                <w:szCs w:val="22"/>
              </w:rPr>
            </w:pPr>
            <w:r w:rsidRPr="00091230">
              <w:rPr>
                <w:sz w:val="22"/>
                <w:szCs w:val="22"/>
              </w:rPr>
              <w:t xml:space="preserve">ГАУЗ </w:t>
            </w:r>
            <w:r>
              <w:rPr>
                <w:sz w:val="22"/>
                <w:szCs w:val="22"/>
              </w:rPr>
              <w:t>«</w:t>
            </w:r>
            <w:r w:rsidRPr="00091230">
              <w:rPr>
                <w:sz w:val="22"/>
                <w:szCs w:val="22"/>
              </w:rPr>
              <w:t>Тетюшская ЦРБ</w:t>
            </w:r>
            <w:r>
              <w:rPr>
                <w:sz w:val="22"/>
                <w:szCs w:val="22"/>
              </w:rPr>
              <w:t>»</w:t>
            </w:r>
          </w:p>
        </w:tc>
        <w:tc>
          <w:tcPr>
            <w:tcW w:w="1416" w:type="dxa"/>
            <w:shd w:val="clear" w:color="auto" w:fill="auto"/>
          </w:tcPr>
          <w:p w:rsidR="009C5812" w:rsidRPr="00091230" w:rsidRDefault="009C5812" w:rsidP="008D0888">
            <w:pPr>
              <w:spacing w:line="245" w:lineRule="auto"/>
              <w:jc w:val="center"/>
              <w:rPr>
                <w:rFonts w:eastAsia="Cambria"/>
                <w:sz w:val="22"/>
                <w:szCs w:val="22"/>
              </w:rPr>
            </w:pPr>
            <w:r w:rsidRPr="00091230">
              <w:rPr>
                <w:rFonts w:eastAsia="Cambria"/>
                <w:sz w:val="22"/>
                <w:szCs w:val="22"/>
              </w:rPr>
              <w:t>18 192</w:t>
            </w:r>
          </w:p>
        </w:tc>
        <w:tc>
          <w:tcPr>
            <w:tcW w:w="983" w:type="dxa"/>
            <w:shd w:val="clear" w:color="auto" w:fill="auto"/>
          </w:tcPr>
          <w:p w:rsidR="009C5812" w:rsidRPr="00091230" w:rsidRDefault="009C5812" w:rsidP="008D0888">
            <w:pPr>
              <w:spacing w:line="245" w:lineRule="auto"/>
              <w:jc w:val="center"/>
              <w:rPr>
                <w:rFonts w:eastAsia="Cambria"/>
                <w:sz w:val="22"/>
                <w:szCs w:val="22"/>
              </w:rPr>
            </w:pPr>
            <w:r w:rsidRPr="00091230">
              <w:rPr>
                <w:rFonts w:eastAsia="Cambria"/>
                <w:sz w:val="22"/>
                <w:szCs w:val="22"/>
              </w:rPr>
              <w:t>1</w:t>
            </w:r>
          </w:p>
        </w:tc>
        <w:tc>
          <w:tcPr>
            <w:tcW w:w="1156" w:type="dxa"/>
          </w:tcPr>
          <w:p w:rsidR="009C5812" w:rsidRPr="00091230" w:rsidRDefault="009C5812" w:rsidP="008D0888">
            <w:pPr>
              <w:spacing w:line="245" w:lineRule="auto"/>
              <w:jc w:val="center"/>
              <w:rPr>
                <w:sz w:val="22"/>
                <w:szCs w:val="22"/>
              </w:rPr>
            </w:pPr>
          </w:p>
        </w:tc>
        <w:tc>
          <w:tcPr>
            <w:tcW w:w="2114" w:type="dxa"/>
            <w:shd w:val="clear" w:color="auto" w:fill="auto"/>
          </w:tcPr>
          <w:p w:rsidR="009C5812" w:rsidRPr="00091230" w:rsidRDefault="009C5812" w:rsidP="008D0888">
            <w:pPr>
              <w:spacing w:line="245" w:lineRule="auto"/>
              <w:jc w:val="center"/>
              <w:rPr>
                <w:rFonts w:eastAsia="Cambria"/>
                <w:sz w:val="22"/>
                <w:szCs w:val="22"/>
              </w:rPr>
            </w:pPr>
            <w:r w:rsidRPr="00091230">
              <w:rPr>
                <w:rFonts w:eastAsia="Cambria"/>
                <w:sz w:val="22"/>
                <w:szCs w:val="22"/>
              </w:rPr>
              <w:t>1</w:t>
            </w:r>
          </w:p>
        </w:tc>
        <w:tc>
          <w:tcPr>
            <w:tcW w:w="1464" w:type="dxa"/>
            <w:shd w:val="clear" w:color="auto" w:fill="auto"/>
          </w:tcPr>
          <w:p w:rsidR="009C5812" w:rsidRPr="00091230" w:rsidRDefault="009C5812" w:rsidP="008D0888">
            <w:pPr>
              <w:spacing w:line="245" w:lineRule="auto"/>
              <w:jc w:val="center"/>
              <w:rPr>
                <w:rFonts w:eastAsia="Cambria"/>
                <w:sz w:val="22"/>
                <w:szCs w:val="22"/>
              </w:rPr>
            </w:pPr>
            <w:r w:rsidRPr="00091230">
              <w:rPr>
                <w:rFonts w:eastAsia="Cambria"/>
                <w:sz w:val="22"/>
                <w:szCs w:val="22"/>
              </w:rPr>
              <w:t>1/0,5</w:t>
            </w:r>
          </w:p>
        </w:tc>
        <w:tc>
          <w:tcPr>
            <w:tcW w:w="1662" w:type="dxa"/>
            <w:shd w:val="clear" w:color="auto" w:fill="auto"/>
          </w:tcPr>
          <w:p w:rsidR="009C5812" w:rsidRPr="00091230" w:rsidRDefault="009C5812" w:rsidP="008D0888">
            <w:pPr>
              <w:spacing w:line="245" w:lineRule="auto"/>
              <w:jc w:val="center"/>
              <w:rPr>
                <w:rFonts w:eastAsia="Cambria"/>
                <w:sz w:val="22"/>
                <w:szCs w:val="22"/>
              </w:rPr>
            </w:pPr>
            <w:r w:rsidRPr="00091230">
              <w:rPr>
                <w:rFonts w:eastAsia="Cambria"/>
                <w:sz w:val="22"/>
                <w:szCs w:val="22"/>
              </w:rPr>
              <w:t>130</w:t>
            </w:r>
          </w:p>
        </w:tc>
      </w:tr>
      <w:tr w:rsidR="009C5812" w:rsidRPr="00091230" w:rsidTr="009C5812">
        <w:trPr>
          <w:trHeight w:val="20"/>
        </w:trPr>
        <w:tc>
          <w:tcPr>
            <w:tcW w:w="704" w:type="dxa"/>
            <w:shd w:val="clear" w:color="auto" w:fill="auto"/>
          </w:tcPr>
          <w:p w:rsidR="009C5812" w:rsidRPr="00091230" w:rsidRDefault="009C5812" w:rsidP="008D0888">
            <w:pPr>
              <w:spacing w:line="245" w:lineRule="auto"/>
              <w:jc w:val="center"/>
              <w:rPr>
                <w:rFonts w:eastAsia="Cambria"/>
                <w:sz w:val="22"/>
                <w:szCs w:val="22"/>
              </w:rPr>
            </w:pPr>
            <w:r w:rsidRPr="00091230">
              <w:rPr>
                <w:rFonts w:eastAsia="Cambria"/>
                <w:sz w:val="22"/>
                <w:szCs w:val="22"/>
              </w:rPr>
              <w:t>41.</w:t>
            </w:r>
          </w:p>
        </w:tc>
        <w:tc>
          <w:tcPr>
            <w:tcW w:w="2268" w:type="dxa"/>
            <w:shd w:val="clear" w:color="auto" w:fill="auto"/>
          </w:tcPr>
          <w:p w:rsidR="009C5812" w:rsidRPr="00091230" w:rsidRDefault="009C5812" w:rsidP="008D0888">
            <w:pPr>
              <w:spacing w:line="245" w:lineRule="auto"/>
              <w:ind w:right="30"/>
              <w:jc w:val="both"/>
              <w:rPr>
                <w:rFonts w:eastAsia="Cambria"/>
                <w:sz w:val="22"/>
                <w:szCs w:val="22"/>
              </w:rPr>
            </w:pPr>
            <w:r w:rsidRPr="00091230">
              <w:rPr>
                <w:rFonts w:eastAsia="Cambria"/>
                <w:sz w:val="22"/>
                <w:szCs w:val="22"/>
              </w:rPr>
              <w:t>Тукаевский муниципальный район</w:t>
            </w:r>
          </w:p>
        </w:tc>
        <w:tc>
          <w:tcPr>
            <w:tcW w:w="2410" w:type="dxa"/>
          </w:tcPr>
          <w:p w:rsidR="009C5812" w:rsidRPr="00091230" w:rsidRDefault="009C5812" w:rsidP="008D0888">
            <w:pPr>
              <w:spacing w:line="245" w:lineRule="auto"/>
              <w:jc w:val="both"/>
              <w:rPr>
                <w:sz w:val="22"/>
                <w:szCs w:val="22"/>
              </w:rPr>
            </w:pPr>
            <w:r w:rsidRPr="00091230">
              <w:rPr>
                <w:sz w:val="22"/>
                <w:szCs w:val="22"/>
              </w:rPr>
              <w:t xml:space="preserve">ГАУЗ </w:t>
            </w:r>
            <w:r>
              <w:rPr>
                <w:sz w:val="22"/>
                <w:szCs w:val="22"/>
              </w:rPr>
              <w:t>«</w:t>
            </w:r>
            <w:r w:rsidRPr="00091230">
              <w:rPr>
                <w:sz w:val="22"/>
                <w:szCs w:val="22"/>
              </w:rPr>
              <w:t>Тукаевская ЦРБ</w:t>
            </w:r>
            <w:r>
              <w:rPr>
                <w:sz w:val="22"/>
                <w:szCs w:val="22"/>
              </w:rPr>
              <w:t>»</w:t>
            </w:r>
          </w:p>
        </w:tc>
        <w:tc>
          <w:tcPr>
            <w:tcW w:w="1416" w:type="dxa"/>
            <w:shd w:val="clear" w:color="auto" w:fill="auto"/>
          </w:tcPr>
          <w:p w:rsidR="009C5812" w:rsidRPr="00091230" w:rsidRDefault="009C5812" w:rsidP="008D0888">
            <w:pPr>
              <w:spacing w:line="245" w:lineRule="auto"/>
              <w:jc w:val="center"/>
              <w:rPr>
                <w:rFonts w:eastAsia="Cambria"/>
                <w:sz w:val="22"/>
                <w:szCs w:val="22"/>
              </w:rPr>
            </w:pPr>
            <w:r w:rsidRPr="00091230">
              <w:rPr>
                <w:rFonts w:eastAsia="Cambria"/>
                <w:sz w:val="22"/>
                <w:szCs w:val="22"/>
              </w:rPr>
              <w:t>32 885</w:t>
            </w:r>
          </w:p>
        </w:tc>
        <w:tc>
          <w:tcPr>
            <w:tcW w:w="983" w:type="dxa"/>
            <w:shd w:val="clear" w:color="auto" w:fill="auto"/>
          </w:tcPr>
          <w:p w:rsidR="009C5812" w:rsidRPr="00091230" w:rsidRDefault="009C5812" w:rsidP="008D0888">
            <w:pPr>
              <w:spacing w:line="245" w:lineRule="auto"/>
              <w:jc w:val="center"/>
              <w:rPr>
                <w:rFonts w:eastAsia="Cambria"/>
                <w:sz w:val="22"/>
                <w:szCs w:val="22"/>
              </w:rPr>
            </w:pPr>
            <w:r w:rsidRPr="00091230">
              <w:rPr>
                <w:rFonts w:eastAsia="Cambria"/>
                <w:sz w:val="22"/>
                <w:szCs w:val="22"/>
              </w:rPr>
              <w:t>1</w:t>
            </w:r>
          </w:p>
        </w:tc>
        <w:tc>
          <w:tcPr>
            <w:tcW w:w="1156" w:type="dxa"/>
          </w:tcPr>
          <w:p w:rsidR="009C5812" w:rsidRPr="00091230" w:rsidRDefault="009C5812" w:rsidP="008D0888">
            <w:pPr>
              <w:spacing w:line="245" w:lineRule="auto"/>
              <w:jc w:val="center"/>
              <w:rPr>
                <w:sz w:val="22"/>
                <w:szCs w:val="22"/>
              </w:rPr>
            </w:pPr>
          </w:p>
        </w:tc>
        <w:tc>
          <w:tcPr>
            <w:tcW w:w="2114" w:type="dxa"/>
            <w:shd w:val="clear" w:color="auto" w:fill="auto"/>
          </w:tcPr>
          <w:p w:rsidR="009C5812" w:rsidRPr="00091230" w:rsidRDefault="009C5812" w:rsidP="008D0888">
            <w:pPr>
              <w:spacing w:line="245" w:lineRule="auto"/>
              <w:jc w:val="center"/>
              <w:rPr>
                <w:rFonts w:eastAsia="Cambria"/>
                <w:sz w:val="22"/>
                <w:szCs w:val="22"/>
              </w:rPr>
            </w:pPr>
            <w:r w:rsidRPr="00091230">
              <w:rPr>
                <w:rFonts w:eastAsia="Cambria"/>
                <w:sz w:val="22"/>
                <w:szCs w:val="22"/>
              </w:rPr>
              <w:t>1</w:t>
            </w:r>
          </w:p>
        </w:tc>
        <w:tc>
          <w:tcPr>
            <w:tcW w:w="1464" w:type="dxa"/>
            <w:shd w:val="clear" w:color="auto" w:fill="auto"/>
          </w:tcPr>
          <w:p w:rsidR="009C5812" w:rsidRPr="00091230" w:rsidRDefault="009C5812" w:rsidP="008D0888">
            <w:pPr>
              <w:spacing w:line="245" w:lineRule="auto"/>
              <w:jc w:val="center"/>
              <w:rPr>
                <w:rFonts w:eastAsia="Cambria"/>
                <w:sz w:val="22"/>
                <w:szCs w:val="22"/>
              </w:rPr>
            </w:pPr>
            <w:r w:rsidRPr="00091230">
              <w:rPr>
                <w:rFonts w:eastAsia="Cambria"/>
                <w:sz w:val="22"/>
                <w:szCs w:val="22"/>
              </w:rPr>
              <w:t>1/0,25</w:t>
            </w:r>
          </w:p>
        </w:tc>
        <w:tc>
          <w:tcPr>
            <w:tcW w:w="1662" w:type="dxa"/>
            <w:shd w:val="clear" w:color="auto" w:fill="auto"/>
          </w:tcPr>
          <w:p w:rsidR="009C5812" w:rsidRPr="00091230" w:rsidRDefault="009C5812" w:rsidP="008D0888">
            <w:pPr>
              <w:spacing w:line="245" w:lineRule="auto"/>
              <w:jc w:val="center"/>
              <w:rPr>
                <w:rFonts w:eastAsia="Cambria"/>
                <w:sz w:val="22"/>
                <w:szCs w:val="22"/>
              </w:rPr>
            </w:pPr>
            <w:r w:rsidRPr="00091230">
              <w:rPr>
                <w:rFonts w:eastAsia="Cambria"/>
                <w:sz w:val="22"/>
                <w:szCs w:val="22"/>
              </w:rPr>
              <w:t>240</w:t>
            </w:r>
          </w:p>
        </w:tc>
      </w:tr>
      <w:tr w:rsidR="009C5812" w:rsidRPr="00091230" w:rsidTr="009C5812">
        <w:trPr>
          <w:trHeight w:val="20"/>
        </w:trPr>
        <w:tc>
          <w:tcPr>
            <w:tcW w:w="704" w:type="dxa"/>
            <w:shd w:val="clear" w:color="auto" w:fill="auto"/>
          </w:tcPr>
          <w:p w:rsidR="009C5812" w:rsidRPr="00091230" w:rsidRDefault="009C5812" w:rsidP="008D0888">
            <w:pPr>
              <w:spacing w:line="245" w:lineRule="auto"/>
              <w:jc w:val="center"/>
              <w:rPr>
                <w:rFonts w:eastAsia="Cambria"/>
                <w:sz w:val="22"/>
                <w:szCs w:val="22"/>
              </w:rPr>
            </w:pPr>
            <w:r w:rsidRPr="00091230">
              <w:rPr>
                <w:rFonts w:eastAsia="Cambria"/>
                <w:sz w:val="22"/>
                <w:szCs w:val="22"/>
              </w:rPr>
              <w:t>42.</w:t>
            </w:r>
          </w:p>
        </w:tc>
        <w:tc>
          <w:tcPr>
            <w:tcW w:w="2268" w:type="dxa"/>
            <w:shd w:val="clear" w:color="auto" w:fill="auto"/>
          </w:tcPr>
          <w:p w:rsidR="009C5812" w:rsidRPr="00091230" w:rsidRDefault="009C5812" w:rsidP="008D0888">
            <w:pPr>
              <w:spacing w:line="245" w:lineRule="auto"/>
              <w:ind w:right="30"/>
              <w:jc w:val="both"/>
              <w:rPr>
                <w:rFonts w:eastAsia="Cambria"/>
                <w:sz w:val="22"/>
                <w:szCs w:val="22"/>
              </w:rPr>
            </w:pPr>
            <w:r w:rsidRPr="00091230">
              <w:rPr>
                <w:rFonts w:eastAsia="Cambria"/>
                <w:sz w:val="22"/>
                <w:szCs w:val="22"/>
              </w:rPr>
              <w:t>Тюлячинский муниципальный район</w:t>
            </w:r>
          </w:p>
        </w:tc>
        <w:tc>
          <w:tcPr>
            <w:tcW w:w="2410" w:type="dxa"/>
          </w:tcPr>
          <w:p w:rsidR="009C5812" w:rsidRPr="00091230" w:rsidRDefault="009C5812" w:rsidP="008D0888">
            <w:pPr>
              <w:spacing w:line="245" w:lineRule="auto"/>
              <w:jc w:val="both"/>
              <w:rPr>
                <w:sz w:val="22"/>
                <w:szCs w:val="22"/>
              </w:rPr>
            </w:pPr>
            <w:r w:rsidRPr="00091230">
              <w:rPr>
                <w:sz w:val="22"/>
                <w:szCs w:val="22"/>
              </w:rPr>
              <w:t xml:space="preserve">ГАУЗ </w:t>
            </w:r>
            <w:r>
              <w:rPr>
                <w:sz w:val="22"/>
                <w:szCs w:val="22"/>
              </w:rPr>
              <w:t>«</w:t>
            </w:r>
            <w:r w:rsidRPr="00091230">
              <w:rPr>
                <w:sz w:val="22"/>
                <w:szCs w:val="22"/>
              </w:rPr>
              <w:t>Тюлячинская ЦРБ</w:t>
            </w:r>
            <w:r>
              <w:rPr>
                <w:sz w:val="22"/>
                <w:szCs w:val="22"/>
              </w:rPr>
              <w:t>»</w:t>
            </w:r>
          </w:p>
        </w:tc>
        <w:tc>
          <w:tcPr>
            <w:tcW w:w="1416" w:type="dxa"/>
            <w:shd w:val="clear" w:color="auto" w:fill="auto"/>
          </w:tcPr>
          <w:p w:rsidR="009C5812" w:rsidRPr="00091230" w:rsidRDefault="009C5812" w:rsidP="008D0888">
            <w:pPr>
              <w:spacing w:line="245" w:lineRule="auto"/>
              <w:jc w:val="center"/>
              <w:rPr>
                <w:rFonts w:eastAsia="Cambria"/>
                <w:sz w:val="22"/>
                <w:szCs w:val="22"/>
              </w:rPr>
            </w:pPr>
            <w:r w:rsidRPr="00091230">
              <w:rPr>
                <w:rFonts w:eastAsia="Cambria"/>
                <w:sz w:val="22"/>
                <w:szCs w:val="22"/>
              </w:rPr>
              <w:t>11 091</w:t>
            </w:r>
          </w:p>
        </w:tc>
        <w:tc>
          <w:tcPr>
            <w:tcW w:w="983" w:type="dxa"/>
            <w:shd w:val="clear" w:color="auto" w:fill="auto"/>
          </w:tcPr>
          <w:p w:rsidR="009C5812" w:rsidRPr="00091230" w:rsidRDefault="009C5812" w:rsidP="008D0888">
            <w:pPr>
              <w:spacing w:line="245" w:lineRule="auto"/>
              <w:jc w:val="center"/>
              <w:rPr>
                <w:rFonts w:eastAsia="Cambria"/>
                <w:sz w:val="22"/>
                <w:szCs w:val="22"/>
              </w:rPr>
            </w:pPr>
            <w:r w:rsidRPr="00091230">
              <w:rPr>
                <w:rFonts w:eastAsia="Cambria"/>
                <w:sz w:val="22"/>
                <w:szCs w:val="22"/>
              </w:rPr>
              <w:t>1</w:t>
            </w:r>
          </w:p>
        </w:tc>
        <w:tc>
          <w:tcPr>
            <w:tcW w:w="1156" w:type="dxa"/>
          </w:tcPr>
          <w:p w:rsidR="009C5812" w:rsidRPr="00091230" w:rsidRDefault="009C5812" w:rsidP="008D0888">
            <w:pPr>
              <w:spacing w:line="245" w:lineRule="auto"/>
              <w:jc w:val="center"/>
              <w:rPr>
                <w:sz w:val="22"/>
                <w:szCs w:val="22"/>
              </w:rPr>
            </w:pPr>
          </w:p>
        </w:tc>
        <w:tc>
          <w:tcPr>
            <w:tcW w:w="2114" w:type="dxa"/>
            <w:shd w:val="clear" w:color="auto" w:fill="auto"/>
          </w:tcPr>
          <w:p w:rsidR="009C5812" w:rsidRPr="00091230" w:rsidRDefault="009C5812" w:rsidP="008D0888">
            <w:pPr>
              <w:spacing w:line="245" w:lineRule="auto"/>
              <w:jc w:val="center"/>
              <w:rPr>
                <w:rFonts w:eastAsia="Cambria"/>
                <w:sz w:val="22"/>
                <w:szCs w:val="22"/>
              </w:rPr>
            </w:pPr>
            <w:r w:rsidRPr="00091230">
              <w:rPr>
                <w:rFonts w:eastAsia="Cambria"/>
                <w:sz w:val="22"/>
                <w:szCs w:val="22"/>
              </w:rPr>
              <w:t>1</w:t>
            </w:r>
          </w:p>
        </w:tc>
        <w:tc>
          <w:tcPr>
            <w:tcW w:w="1464" w:type="dxa"/>
            <w:shd w:val="clear" w:color="auto" w:fill="auto"/>
          </w:tcPr>
          <w:p w:rsidR="009C5812" w:rsidRPr="00091230" w:rsidRDefault="009C5812" w:rsidP="008D0888">
            <w:pPr>
              <w:spacing w:line="245" w:lineRule="auto"/>
              <w:jc w:val="center"/>
              <w:rPr>
                <w:rFonts w:eastAsia="Cambria"/>
                <w:sz w:val="22"/>
                <w:szCs w:val="22"/>
              </w:rPr>
            </w:pPr>
            <w:r w:rsidRPr="00091230">
              <w:rPr>
                <w:rFonts w:eastAsia="Cambria"/>
                <w:sz w:val="22"/>
                <w:szCs w:val="22"/>
              </w:rPr>
              <w:t>0/0,25</w:t>
            </w:r>
          </w:p>
        </w:tc>
        <w:tc>
          <w:tcPr>
            <w:tcW w:w="1662" w:type="dxa"/>
            <w:shd w:val="clear" w:color="auto" w:fill="auto"/>
          </w:tcPr>
          <w:p w:rsidR="009C5812" w:rsidRPr="00091230" w:rsidRDefault="009C5812" w:rsidP="008D0888">
            <w:pPr>
              <w:spacing w:line="245" w:lineRule="auto"/>
              <w:jc w:val="center"/>
              <w:rPr>
                <w:rFonts w:eastAsia="Cambria"/>
                <w:sz w:val="22"/>
                <w:szCs w:val="22"/>
              </w:rPr>
            </w:pPr>
            <w:r w:rsidRPr="00091230">
              <w:rPr>
                <w:rFonts w:eastAsia="Cambria"/>
                <w:sz w:val="22"/>
                <w:szCs w:val="22"/>
              </w:rPr>
              <w:t>79</w:t>
            </w:r>
          </w:p>
        </w:tc>
      </w:tr>
      <w:tr w:rsidR="009C5812" w:rsidRPr="00091230" w:rsidTr="009C5812">
        <w:trPr>
          <w:trHeight w:val="20"/>
        </w:trPr>
        <w:tc>
          <w:tcPr>
            <w:tcW w:w="704" w:type="dxa"/>
            <w:shd w:val="clear" w:color="auto" w:fill="auto"/>
          </w:tcPr>
          <w:p w:rsidR="009C5812" w:rsidRPr="00091230" w:rsidRDefault="009C5812" w:rsidP="008D0888">
            <w:pPr>
              <w:spacing w:line="245" w:lineRule="auto"/>
              <w:jc w:val="center"/>
              <w:rPr>
                <w:rFonts w:eastAsia="Cambria"/>
                <w:sz w:val="22"/>
                <w:szCs w:val="22"/>
              </w:rPr>
            </w:pPr>
            <w:r w:rsidRPr="00091230">
              <w:rPr>
                <w:rFonts w:eastAsia="Cambria"/>
                <w:sz w:val="22"/>
                <w:szCs w:val="22"/>
              </w:rPr>
              <w:t>43.</w:t>
            </w:r>
          </w:p>
        </w:tc>
        <w:tc>
          <w:tcPr>
            <w:tcW w:w="2268" w:type="dxa"/>
            <w:shd w:val="clear" w:color="auto" w:fill="auto"/>
          </w:tcPr>
          <w:p w:rsidR="009C5812" w:rsidRPr="00091230" w:rsidRDefault="009C5812" w:rsidP="008D0888">
            <w:pPr>
              <w:spacing w:line="245" w:lineRule="auto"/>
              <w:ind w:right="30"/>
              <w:jc w:val="both"/>
              <w:rPr>
                <w:sz w:val="22"/>
                <w:szCs w:val="22"/>
              </w:rPr>
            </w:pPr>
            <w:r w:rsidRPr="00091230">
              <w:rPr>
                <w:rFonts w:eastAsia="Cambria"/>
                <w:sz w:val="22"/>
                <w:szCs w:val="22"/>
              </w:rPr>
              <w:t>Черемшанский муниципальный район</w:t>
            </w:r>
          </w:p>
        </w:tc>
        <w:tc>
          <w:tcPr>
            <w:tcW w:w="2410" w:type="dxa"/>
          </w:tcPr>
          <w:p w:rsidR="009C5812" w:rsidRPr="00091230" w:rsidRDefault="009C5812" w:rsidP="008D0888">
            <w:pPr>
              <w:spacing w:line="245" w:lineRule="auto"/>
              <w:jc w:val="both"/>
              <w:rPr>
                <w:sz w:val="22"/>
                <w:szCs w:val="22"/>
              </w:rPr>
            </w:pPr>
            <w:r w:rsidRPr="00091230">
              <w:rPr>
                <w:sz w:val="22"/>
                <w:szCs w:val="22"/>
              </w:rPr>
              <w:t xml:space="preserve">ГАУЗ </w:t>
            </w:r>
            <w:r>
              <w:rPr>
                <w:sz w:val="22"/>
                <w:szCs w:val="22"/>
              </w:rPr>
              <w:t>«</w:t>
            </w:r>
            <w:r w:rsidRPr="00091230">
              <w:rPr>
                <w:sz w:val="22"/>
                <w:szCs w:val="22"/>
              </w:rPr>
              <w:t>Черемшанская ЦРБ</w:t>
            </w:r>
            <w:r>
              <w:rPr>
                <w:sz w:val="22"/>
                <w:szCs w:val="22"/>
              </w:rPr>
              <w:t>»</w:t>
            </w:r>
          </w:p>
        </w:tc>
        <w:tc>
          <w:tcPr>
            <w:tcW w:w="1416" w:type="dxa"/>
            <w:shd w:val="clear" w:color="auto" w:fill="auto"/>
          </w:tcPr>
          <w:p w:rsidR="009C5812" w:rsidRPr="00091230" w:rsidRDefault="009C5812" w:rsidP="008D0888">
            <w:pPr>
              <w:spacing w:line="245" w:lineRule="auto"/>
              <w:jc w:val="center"/>
              <w:rPr>
                <w:rFonts w:eastAsia="Cambria"/>
                <w:sz w:val="22"/>
                <w:szCs w:val="22"/>
              </w:rPr>
            </w:pPr>
            <w:r w:rsidRPr="00091230">
              <w:rPr>
                <w:rFonts w:eastAsia="Cambria"/>
                <w:sz w:val="22"/>
                <w:szCs w:val="22"/>
              </w:rPr>
              <w:t>15 037</w:t>
            </w:r>
          </w:p>
        </w:tc>
        <w:tc>
          <w:tcPr>
            <w:tcW w:w="983" w:type="dxa"/>
            <w:shd w:val="clear" w:color="auto" w:fill="auto"/>
          </w:tcPr>
          <w:p w:rsidR="009C5812" w:rsidRPr="00091230" w:rsidRDefault="009C5812" w:rsidP="008D0888">
            <w:pPr>
              <w:spacing w:line="245" w:lineRule="auto"/>
              <w:jc w:val="center"/>
              <w:rPr>
                <w:rFonts w:eastAsia="Cambria"/>
                <w:sz w:val="22"/>
                <w:szCs w:val="22"/>
              </w:rPr>
            </w:pPr>
            <w:r w:rsidRPr="00091230">
              <w:rPr>
                <w:rFonts w:eastAsia="Cambria"/>
                <w:sz w:val="22"/>
                <w:szCs w:val="22"/>
              </w:rPr>
              <w:t>1</w:t>
            </w:r>
          </w:p>
        </w:tc>
        <w:tc>
          <w:tcPr>
            <w:tcW w:w="1156" w:type="dxa"/>
          </w:tcPr>
          <w:p w:rsidR="009C5812" w:rsidRPr="00091230" w:rsidRDefault="009C5812" w:rsidP="008D0888">
            <w:pPr>
              <w:spacing w:line="245" w:lineRule="auto"/>
              <w:jc w:val="center"/>
              <w:rPr>
                <w:sz w:val="22"/>
                <w:szCs w:val="22"/>
              </w:rPr>
            </w:pPr>
          </w:p>
        </w:tc>
        <w:tc>
          <w:tcPr>
            <w:tcW w:w="2114" w:type="dxa"/>
            <w:shd w:val="clear" w:color="auto" w:fill="auto"/>
          </w:tcPr>
          <w:p w:rsidR="009C5812" w:rsidRPr="00091230" w:rsidRDefault="009C5812" w:rsidP="008D0888">
            <w:pPr>
              <w:spacing w:line="245" w:lineRule="auto"/>
              <w:jc w:val="center"/>
              <w:rPr>
                <w:rFonts w:eastAsia="Cambria"/>
                <w:sz w:val="22"/>
                <w:szCs w:val="22"/>
              </w:rPr>
            </w:pPr>
            <w:r w:rsidRPr="00091230">
              <w:rPr>
                <w:rFonts w:eastAsia="Cambria"/>
                <w:sz w:val="22"/>
                <w:szCs w:val="22"/>
              </w:rPr>
              <w:t>1</w:t>
            </w:r>
          </w:p>
        </w:tc>
        <w:tc>
          <w:tcPr>
            <w:tcW w:w="1464" w:type="dxa"/>
            <w:shd w:val="clear" w:color="auto" w:fill="auto"/>
          </w:tcPr>
          <w:p w:rsidR="009C5812" w:rsidRPr="00091230" w:rsidRDefault="009C5812" w:rsidP="008D0888">
            <w:pPr>
              <w:spacing w:line="245" w:lineRule="auto"/>
              <w:jc w:val="center"/>
              <w:rPr>
                <w:sz w:val="22"/>
                <w:szCs w:val="22"/>
              </w:rPr>
            </w:pPr>
            <w:r w:rsidRPr="00091230">
              <w:rPr>
                <w:rFonts w:eastAsia="Cambria"/>
                <w:sz w:val="22"/>
                <w:szCs w:val="22"/>
              </w:rPr>
              <w:t>1/0,5</w:t>
            </w:r>
          </w:p>
        </w:tc>
        <w:tc>
          <w:tcPr>
            <w:tcW w:w="1662" w:type="dxa"/>
            <w:shd w:val="clear" w:color="auto" w:fill="auto"/>
          </w:tcPr>
          <w:p w:rsidR="009C5812" w:rsidRPr="00091230" w:rsidRDefault="009C5812" w:rsidP="008D0888">
            <w:pPr>
              <w:spacing w:line="245" w:lineRule="auto"/>
              <w:jc w:val="center"/>
              <w:rPr>
                <w:rFonts w:eastAsia="Cambria"/>
                <w:sz w:val="22"/>
                <w:szCs w:val="22"/>
              </w:rPr>
            </w:pPr>
            <w:r w:rsidRPr="00091230">
              <w:rPr>
                <w:rFonts w:eastAsia="Cambria"/>
                <w:sz w:val="22"/>
                <w:szCs w:val="22"/>
              </w:rPr>
              <w:t>240</w:t>
            </w:r>
          </w:p>
        </w:tc>
      </w:tr>
      <w:tr w:rsidR="009C5812" w:rsidRPr="00091230" w:rsidTr="009C5812">
        <w:trPr>
          <w:trHeight w:val="20"/>
        </w:trPr>
        <w:tc>
          <w:tcPr>
            <w:tcW w:w="704" w:type="dxa"/>
            <w:shd w:val="clear" w:color="auto" w:fill="auto"/>
          </w:tcPr>
          <w:p w:rsidR="009C5812" w:rsidRPr="00091230" w:rsidRDefault="009C5812" w:rsidP="008D0888">
            <w:pPr>
              <w:spacing w:line="245" w:lineRule="auto"/>
              <w:jc w:val="center"/>
              <w:rPr>
                <w:rFonts w:eastAsia="Cambria"/>
                <w:sz w:val="22"/>
                <w:szCs w:val="22"/>
              </w:rPr>
            </w:pPr>
            <w:r w:rsidRPr="00091230">
              <w:rPr>
                <w:rFonts w:eastAsia="Cambria"/>
                <w:sz w:val="22"/>
                <w:szCs w:val="22"/>
              </w:rPr>
              <w:t>44.</w:t>
            </w:r>
          </w:p>
        </w:tc>
        <w:tc>
          <w:tcPr>
            <w:tcW w:w="2268" w:type="dxa"/>
            <w:shd w:val="clear" w:color="auto" w:fill="auto"/>
          </w:tcPr>
          <w:p w:rsidR="009C5812" w:rsidRPr="00091230" w:rsidRDefault="009C5812" w:rsidP="008D0888">
            <w:pPr>
              <w:spacing w:line="245" w:lineRule="auto"/>
              <w:ind w:right="30"/>
              <w:jc w:val="both"/>
              <w:rPr>
                <w:rFonts w:eastAsia="Cambria"/>
                <w:sz w:val="22"/>
                <w:szCs w:val="22"/>
              </w:rPr>
            </w:pPr>
            <w:r w:rsidRPr="00091230">
              <w:rPr>
                <w:rFonts w:eastAsia="Cambria"/>
                <w:sz w:val="22"/>
                <w:szCs w:val="22"/>
              </w:rPr>
              <w:t>Чистопольский муниципальный район</w:t>
            </w:r>
          </w:p>
        </w:tc>
        <w:tc>
          <w:tcPr>
            <w:tcW w:w="2410" w:type="dxa"/>
          </w:tcPr>
          <w:p w:rsidR="009C5812" w:rsidRPr="00091230" w:rsidRDefault="009C5812" w:rsidP="008D0888">
            <w:pPr>
              <w:spacing w:line="245" w:lineRule="auto"/>
              <w:jc w:val="both"/>
              <w:rPr>
                <w:sz w:val="22"/>
                <w:szCs w:val="22"/>
              </w:rPr>
            </w:pPr>
            <w:r w:rsidRPr="00091230">
              <w:rPr>
                <w:sz w:val="22"/>
                <w:szCs w:val="22"/>
              </w:rPr>
              <w:t xml:space="preserve">ГАУЗ </w:t>
            </w:r>
            <w:r>
              <w:rPr>
                <w:sz w:val="22"/>
                <w:szCs w:val="22"/>
              </w:rPr>
              <w:t>«</w:t>
            </w:r>
            <w:r w:rsidRPr="00091230">
              <w:rPr>
                <w:sz w:val="22"/>
                <w:szCs w:val="22"/>
              </w:rPr>
              <w:t>Чистопольская ЦРБ</w:t>
            </w:r>
            <w:r>
              <w:rPr>
                <w:sz w:val="22"/>
                <w:szCs w:val="22"/>
              </w:rPr>
              <w:t>»</w:t>
            </w:r>
          </w:p>
        </w:tc>
        <w:tc>
          <w:tcPr>
            <w:tcW w:w="1416" w:type="dxa"/>
            <w:shd w:val="clear" w:color="auto" w:fill="auto"/>
          </w:tcPr>
          <w:p w:rsidR="009C5812" w:rsidRPr="00091230" w:rsidRDefault="009C5812" w:rsidP="008D0888">
            <w:pPr>
              <w:spacing w:line="245" w:lineRule="auto"/>
              <w:jc w:val="center"/>
              <w:rPr>
                <w:rFonts w:eastAsia="Cambria"/>
                <w:sz w:val="22"/>
                <w:szCs w:val="22"/>
              </w:rPr>
            </w:pPr>
            <w:r w:rsidRPr="00091230">
              <w:rPr>
                <w:rFonts w:eastAsia="Cambria"/>
                <w:sz w:val="22"/>
                <w:szCs w:val="22"/>
              </w:rPr>
              <w:t>60 865</w:t>
            </w:r>
          </w:p>
        </w:tc>
        <w:tc>
          <w:tcPr>
            <w:tcW w:w="983" w:type="dxa"/>
            <w:shd w:val="clear" w:color="auto" w:fill="auto"/>
          </w:tcPr>
          <w:p w:rsidR="009C5812" w:rsidRPr="00091230" w:rsidRDefault="009C5812" w:rsidP="008D0888">
            <w:pPr>
              <w:spacing w:line="245" w:lineRule="auto"/>
              <w:jc w:val="center"/>
              <w:rPr>
                <w:rFonts w:eastAsia="Cambria"/>
                <w:sz w:val="22"/>
                <w:szCs w:val="22"/>
              </w:rPr>
            </w:pPr>
            <w:r w:rsidRPr="00091230">
              <w:rPr>
                <w:rFonts w:eastAsia="Cambria"/>
                <w:sz w:val="22"/>
                <w:szCs w:val="22"/>
              </w:rPr>
              <w:t>-</w:t>
            </w:r>
          </w:p>
        </w:tc>
        <w:tc>
          <w:tcPr>
            <w:tcW w:w="1156" w:type="dxa"/>
          </w:tcPr>
          <w:p w:rsidR="009C5812" w:rsidRPr="00091230" w:rsidRDefault="009C5812" w:rsidP="008D0888">
            <w:pPr>
              <w:spacing w:line="245" w:lineRule="auto"/>
              <w:jc w:val="center"/>
              <w:rPr>
                <w:sz w:val="22"/>
                <w:szCs w:val="22"/>
              </w:rPr>
            </w:pPr>
            <w:r w:rsidRPr="00091230">
              <w:rPr>
                <w:sz w:val="22"/>
                <w:szCs w:val="22"/>
              </w:rPr>
              <w:t>2023</w:t>
            </w:r>
          </w:p>
        </w:tc>
        <w:tc>
          <w:tcPr>
            <w:tcW w:w="2114" w:type="dxa"/>
            <w:shd w:val="clear" w:color="auto" w:fill="auto"/>
          </w:tcPr>
          <w:p w:rsidR="009C5812" w:rsidRPr="00091230" w:rsidRDefault="009C5812" w:rsidP="008D0888">
            <w:pPr>
              <w:spacing w:line="245" w:lineRule="auto"/>
              <w:jc w:val="center"/>
              <w:rPr>
                <w:rFonts w:eastAsia="Cambria"/>
                <w:sz w:val="22"/>
                <w:szCs w:val="22"/>
              </w:rPr>
            </w:pPr>
            <w:r w:rsidRPr="00091230">
              <w:rPr>
                <w:rFonts w:eastAsia="Cambria"/>
                <w:sz w:val="22"/>
                <w:szCs w:val="22"/>
              </w:rPr>
              <w:t>1</w:t>
            </w:r>
          </w:p>
        </w:tc>
        <w:tc>
          <w:tcPr>
            <w:tcW w:w="1464" w:type="dxa"/>
            <w:shd w:val="clear" w:color="auto" w:fill="auto"/>
          </w:tcPr>
          <w:p w:rsidR="009C5812" w:rsidRPr="00091230" w:rsidRDefault="009C5812" w:rsidP="008D0888">
            <w:pPr>
              <w:spacing w:line="245" w:lineRule="auto"/>
              <w:jc w:val="center"/>
              <w:rPr>
                <w:rFonts w:eastAsia="Cambria"/>
                <w:sz w:val="22"/>
                <w:szCs w:val="22"/>
              </w:rPr>
            </w:pPr>
            <w:r w:rsidRPr="00091230">
              <w:rPr>
                <w:rFonts w:eastAsia="Cambria"/>
                <w:sz w:val="22"/>
                <w:szCs w:val="22"/>
              </w:rPr>
              <w:t>2/2</w:t>
            </w:r>
          </w:p>
        </w:tc>
        <w:tc>
          <w:tcPr>
            <w:tcW w:w="1662" w:type="dxa"/>
            <w:shd w:val="clear" w:color="auto" w:fill="auto"/>
          </w:tcPr>
          <w:p w:rsidR="009C5812" w:rsidRPr="00091230" w:rsidRDefault="009C5812" w:rsidP="008D0888">
            <w:pPr>
              <w:spacing w:line="245" w:lineRule="auto"/>
              <w:jc w:val="center"/>
              <w:rPr>
                <w:rFonts w:eastAsia="Cambria"/>
                <w:sz w:val="22"/>
                <w:szCs w:val="22"/>
              </w:rPr>
            </w:pPr>
            <w:r w:rsidRPr="00091230">
              <w:rPr>
                <w:rFonts w:eastAsia="Cambria"/>
                <w:sz w:val="22"/>
                <w:szCs w:val="22"/>
              </w:rPr>
              <w:t>130</w:t>
            </w:r>
          </w:p>
        </w:tc>
      </w:tr>
      <w:tr w:rsidR="009C5812" w:rsidRPr="00091230" w:rsidTr="009C5812">
        <w:trPr>
          <w:trHeight w:val="20"/>
        </w:trPr>
        <w:tc>
          <w:tcPr>
            <w:tcW w:w="704" w:type="dxa"/>
            <w:shd w:val="clear" w:color="auto" w:fill="auto"/>
          </w:tcPr>
          <w:p w:rsidR="009C5812" w:rsidRPr="00091230" w:rsidRDefault="009C5812" w:rsidP="008D0888">
            <w:pPr>
              <w:spacing w:line="245" w:lineRule="auto"/>
              <w:jc w:val="center"/>
              <w:rPr>
                <w:rFonts w:eastAsia="Cambria"/>
                <w:sz w:val="22"/>
                <w:szCs w:val="22"/>
              </w:rPr>
            </w:pPr>
            <w:r w:rsidRPr="00091230">
              <w:rPr>
                <w:rFonts w:eastAsia="Cambria"/>
                <w:sz w:val="22"/>
                <w:szCs w:val="22"/>
              </w:rPr>
              <w:t>45.</w:t>
            </w:r>
          </w:p>
        </w:tc>
        <w:tc>
          <w:tcPr>
            <w:tcW w:w="2268" w:type="dxa"/>
            <w:shd w:val="clear" w:color="auto" w:fill="auto"/>
          </w:tcPr>
          <w:p w:rsidR="009C5812" w:rsidRPr="00091230" w:rsidRDefault="009C5812" w:rsidP="008D0888">
            <w:pPr>
              <w:spacing w:line="245" w:lineRule="auto"/>
              <w:ind w:right="30"/>
              <w:jc w:val="both"/>
              <w:rPr>
                <w:rFonts w:eastAsia="Cambria"/>
                <w:sz w:val="22"/>
                <w:szCs w:val="22"/>
              </w:rPr>
            </w:pPr>
            <w:r w:rsidRPr="00091230">
              <w:rPr>
                <w:rFonts w:eastAsia="Cambria"/>
                <w:sz w:val="22"/>
                <w:szCs w:val="22"/>
              </w:rPr>
              <w:t>Ютазинский муниципальный район</w:t>
            </w:r>
          </w:p>
        </w:tc>
        <w:tc>
          <w:tcPr>
            <w:tcW w:w="2410" w:type="dxa"/>
          </w:tcPr>
          <w:p w:rsidR="009C5812" w:rsidRPr="00091230" w:rsidRDefault="009C5812" w:rsidP="008D0888">
            <w:pPr>
              <w:spacing w:line="245" w:lineRule="auto"/>
              <w:jc w:val="both"/>
              <w:rPr>
                <w:sz w:val="22"/>
                <w:szCs w:val="22"/>
              </w:rPr>
            </w:pPr>
            <w:r w:rsidRPr="00091230">
              <w:rPr>
                <w:sz w:val="22"/>
                <w:szCs w:val="22"/>
              </w:rPr>
              <w:t xml:space="preserve">ГАУЗ </w:t>
            </w:r>
            <w:r>
              <w:rPr>
                <w:sz w:val="22"/>
                <w:szCs w:val="22"/>
              </w:rPr>
              <w:t>«</w:t>
            </w:r>
            <w:r w:rsidRPr="00091230">
              <w:rPr>
                <w:sz w:val="22"/>
                <w:szCs w:val="22"/>
              </w:rPr>
              <w:t>Уруссинская ЦРБ</w:t>
            </w:r>
            <w:r>
              <w:rPr>
                <w:sz w:val="22"/>
                <w:szCs w:val="22"/>
              </w:rPr>
              <w:t>»</w:t>
            </w:r>
          </w:p>
        </w:tc>
        <w:tc>
          <w:tcPr>
            <w:tcW w:w="1416" w:type="dxa"/>
            <w:shd w:val="clear" w:color="auto" w:fill="auto"/>
          </w:tcPr>
          <w:p w:rsidR="009C5812" w:rsidRPr="00091230" w:rsidRDefault="009C5812" w:rsidP="008D0888">
            <w:pPr>
              <w:spacing w:line="245" w:lineRule="auto"/>
              <w:jc w:val="center"/>
              <w:rPr>
                <w:rFonts w:eastAsia="Cambria"/>
                <w:sz w:val="22"/>
                <w:szCs w:val="22"/>
              </w:rPr>
            </w:pPr>
            <w:r w:rsidRPr="00091230">
              <w:rPr>
                <w:rFonts w:eastAsia="Cambria"/>
                <w:sz w:val="22"/>
                <w:szCs w:val="22"/>
              </w:rPr>
              <w:t>15 920</w:t>
            </w:r>
          </w:p>
        </w:tc>
        <w:tc>
          <w:tcPr>
            <w:tcW w:w="983" w:type="dxa"/>
            <w:shd w:val="clear" w:color="auto" w:fill="auto"/>
          </w:tcPr>
          <w:p w:rsidR="009C5812" w:rsidRPr="00091230" w:rsidRDefault="009C5812" w:rsidP="008D0888">
            <w:pPr>
              <w:spacing w:line="245" w:lineRule="auto"/>
              <w:jc w:val="center"/>
              <w:rPr>
                <w:rFonts w:eastAsia="Cambria"/>
                <w:sz w:val="22"/>
                <w:szCs w:val="22"/>
              </w:rPr>
            </w:pPr>
            <w:r w:rsidRPr="00091230">
              <w:rPr>
                <w:rFonts w:eastAsia="Cambria"/>
                <w:sz w:val="22"/>
                <w:szCs w:val="22"/>
              </w:rPr>
              <w:t>1</w:t>
            </w:r>
          </w:p>
        </w:tc>
        <w:tc>
          <w:tcPr>
            <w:tcW w:w="1156" w:type="dxa"/>
          </w:tcPr>
          <w:p w:rsidR="009C5812" w:rsidRPr="00091230" w:rsidRDefault="009C5812" w:rsidP="008D0888">
            <w:pPr>
              <w:spacing w:line="245" w:lineRule="auto"/>
              <w:jc w:val="center"/>
              <w:rPr>
                <w:sz w:val="22"/>
                <w:szCs w:val="22"/>
              </w:rPr>
            </w:pPr>
          </w:p>
        </w:tc>
        <w:tc>
          <w:tcPr>
            <w:tcW w:w="2114" w:type="dxa"/>
            <w:shd w:val="clear" w:color="auto" w:fill="auto"/>
          </w:tcPr>
          <w:p w:rsidR="009C5812" w:rsidRPr="00091230" w:rsidRDefault="009C5812" w:rsidP="008D0888">
            <w:pPr>
              <w:spacing w:line="245" w:lineRule="auto"/>
              <w:jc w:val="center"/>
              <w:rPr>
                <w:rFonts w:eastAsia="Cambria"/>
                <w:sz w:val="22"/>
                <w:szCs w:val="22"/>
              </w:rPr>
            </w:pPr>
            <w:r w:rsidRPr="00091230">
              <w:rPr>
                <w:rFonts w:eastAsia="Cambria"/>
                <w:sz w:val="22"/>
                <w:szCs w:val="22"/>
              </w:rPr>
              <w:t>1</w:t>
            </w:r>
          </w:p>
        </w:tc>
        <w:tc>
          <w:tcPr>
            <w:tcW w:w="1464" w:type="dxa"/>
            <w:shd w:val="clear" w:color="auto" w:fill="auto"/>
          </w:tcPr>
          <w:p w:rsidR="009C5812" w:rsidRPr="00091230" w:rsidRDefault="009C5812" w:rsidP="008D0888">
            <w:pPr>
              <w:spacing w:line="245" w:lineRule="auto"/>
              <w:jc w:val="center"/>
              <w:rPr>
                <w:rFonts w:eastAsia="Cambria"/>
                <w:sz w:val="22"/>
                <w:szCs w:val="22"/>
              </w:rPr>
            </w:pPr>
            <w:r w:rsidRPr="00091230">
              <w:rPr>
                <w:rFonts w:eastAsia="Cambria"/>
                <w:sz w:val="22"/>
                <w:szCs w:val="22"/>
              </w:rPr>
              <w:t>0/0,75</w:t>
            </w:r>
          </w:p>
        </w:tc>
        <w:tc>
          <w:tcPr>
            <w:tcW w:w="1662" w:type="dxa"/>
            <w:shd w:val="clear" w:color="auto" w:fill="auto"/>
          </w:tcPr>
          <w:p w:rsidR="009C5812" w:rsidRPr="00091230" w:rsidRDefault="009C5812" w:rsidP="008D0888">
            <w:pPr>
              <w:spacing w:line="245" w:lineRule="auto"/>
              <w:jc w:val="center"/>
              <w:rPr>
                <w:rFonts w:eastAsia="Cambria"/>
                <w:sz w:val="22"/>
                <w:szCs w:val="22"/>
              </w:rPr>
            </w:pPr>
            <w:r w:rsidRPr="00091230">
              <w:rPr>
                <w:rFonts w:eastAsia="Cambria"/>
                <w:sz w:val="22"/>
                <w:szCs w:val="22"/>
              </w:rPr>
              <w:t>410</w:t>
            </w:r>
          </w:p>
        </w:tc>
      </w:tr>
      <w:tr w:rsidR="009C5812" w:rsidRPr="00091230" w:rsidTr="009C5812">
        <w:trPr>
          <w:trHeight w:val="20"/>
        </w:trPr>
        <w:tc>
          <w:tcPr>
            <w:tcW w:w="704" w:type="dxa"/>
            <w:shd w:val="clear" w:color="auto" w:fill="auto"/>
          </w:tcPr>
          <w:p w:rsidR="009C5812" w:rsidRPr="00091230" w:rsidRDefault="009C5812" w:rsidP="009C5812">
            <w:pPr>
              <w:jc w:val="center"/>
              <w:rPr>
                <w:rFonts w:eastAsia="Cambria"/>
                <w:sz w:val="22"/>
                <w:szCs w:val="22"/>
              </w:rPr>
            </w:pPr>
            <w:r w:rsidRPr="00091230">
              <w:rPr>
                <w:rFonts w:eastAsia="Cambria"/>
                <w:sz w:val="22"/>
                <w:szCs w:val="22"/>
              </w:rPr>
              <w:t>46.</w:t>
            </w:r>
          </w:p>
        </w:tc>
        <w:tc>
          <w:tcPr>
            <w:tcW w:w="2268" w:type="dxa"/>
            <w:shd w:val="clear" w:color="auto" w:fill="auto"/>
          </w:tcPr>
          <w:p w:rsidR="009C5812" w:rsidRPr="00091230" w:rsidRDefault="009C5812" w:rsidP="009C5812">
            <w:pPr>
              <w:ind w:right="30"/>
              <w:jc w:val="both"/>
              <w:rPr>
                <w:rFonts w:eastAsia="Cambria"/>
                <w:sz w:val="22"/>
                <w:szCs w:val="22"/>
              </w:rPr>
            </w:pPr>
            <w:r w:rsidRPr="00091230">
              <w:rPr>
                <w:rFonts w:eastAsia="Cambria"/>
                <w:sz w:val="22"/>
                <w:szCs w:val="22"/>
              </w:rPr>
              <w:t>г.Набережные Челны</w:t>
            </w:r>
          </w:p>
        </w:tc>
        <w:tc>
          <w:tcPr>
            <w:tcW w:w="2410" w:type="dxa"/>
          </w:tcPr>
          <w:p w:rsidR="009C5812" w:rsidRPr="00091230" w:rsidRDefault="009C5812" w:rsidP="009C5812">
            <w:pPr>
              <w:jc w:val="both"/>
              <w:rPr>
                <w:rFonts w:eastAsia="Cambria"/>
                <w:sz w:val="22"/>
                <w:szCs w:val="22"/>
              </w:rPr>
            </w:pPr>
            <w:r w:rsidRPr="00091230">
              <w:rPr>
                <w:sz w:val="22"/>
                <w:szCs w:val="22"/>
              </w:rPr>
              <w:t>ГАУЗ</w:t>
            </w:r>
            <w:r w:rsidRPr="00091230">
              <w:rPr>
                <w:rFonts w:eastAsia="Cambria"/>
                <w:sz w:val="22"/>
                <w:szCs w:val="22"/>
              </w:rPr>
              <w:t xml:space="preserve"> </w:t>
            </w:r>
            <w:r>
              <w:rPr>
                <w:rFonts w:eastAsia="Cambria"/>
                <w:sz w:val="22"/>
                <w:szCs w:val="22"/>
              </w:rPr>
              <w:t>«</w:t>
            </w:r>
            <w:r w:rsidRPr="00091230">
              <w:rPr>
                <w:rFonts w:eastAsia="Cambria"/>
                <w:sz w:val="22"/>
                <w:szCs w:val="22"/>
              </w:rPr>
              <w:t>Городская больница № 5</w:t>
            </w:r>
            <w:r>
              <w:rPr>
                <w:rFonts w:eastAsia="Cambria"/>
                <w:sz w:val="22"/>
                <w:szCs w:val="22"/>
              </w:rPr>
              <w:t>»</w:t>
            </w:r>
            <w:r w:rsidRPr="00091230">
              <w:rPr>
                <w:rFonts w:eastAsia="Cambria"/>
                <w:sz w:val="22"/>
                <w:szCs w:val="22"/>
              </w:rPr>
              <w:t xml:space="preserve"> г.Набережные Челны (поликлиника № 5) </w:t>
            </w:r>
          </w:p>
        </w:tc>
        <w:tc>
          <w:tcPr>
            <w:tcW w:w="1416" w:type="dxa"/>
            <w:shd w:val="clear" w:color="auto" w:fill="auto"/>
          </w:tcPr>
          <w:p w:rsidR="009C5812" w:rsidRPr="00091230" w:rsidRDefault="009C5812" w:rsidP="009C5812">
            <w:pPr>
              <w:jc w:val="center"/>
              <w:rPr>
                <w:rFonts w:eastAsia="Cambria"/>
                <w:sz w:val="22"/>
                <w:szCs w:val="22"/>
              </w:rPr>
            </w:pPr>
            <w:r>
              <w:rPr>
                <w:rFonts w:eastAsia="Cambria"/>
                <w:sz w:val="22"/>
                <w:szCs w:val="22"/>
              </w:rPr>
              <w:t xml:space="preserve">24 541 </w:t>
            </w:r>
          </w:p>
        </w:tc>
        <w:tc>
          <w:tcPr>
            <w:tcW w:w="983" w:type="dxa"/>
            <w:shd w:val="clear" w:color="auto" w:fill="auto"/>
          </w:tcPr>
          <w:p w:rsidR="009C5812" w:rsidRPr="00091230" w:rsidRDefault="009C5812" w:rsidP="009C5812">
            <w:pPr>
              <w:jc w:val="center"/>
              <w:rPr>
                <w:rFonts w:eastAsia="Cambria"/>
                <w:sz w:val="22"/>
                <w:szCs w:val="22"/>
              </w:rPr>
            </w:pPr>
            <w:r w:rsidRPr="00091230">
              <w:rPr>
                <w:rFonts w:eastAsia="Cambria"/>
                <w:sz w:val="22"/>
                <w:szCs w:val="22"/>
              </w:rPr>
              <w:t>1</w:t>
            </w:r>
          </w:p>
        </w:tc>
        <w:tc>
          <w:tcPr>
            <w:tcW w:w="1156" w:type="dxa"/>
          </w:tcPr>
          <w:p w:rsidR="009C5812" w:rsidRPr="00091230" w:rsidRDefault="009C5812" w:rsidP="009C5812">
            <w:pPr>
              <w:jc w:val="center"/>
              <w:rPr>
                <w:rFonts w:eastAsia="Cambria"/>
                <w:sz w:val="22"/>
                <w:szCs w:val="22"/>
              </w:rPr>
            </w:pPr>
          </w:p>
        </w:tc>
        <w:tc>
          <w:tcPr>
            <w:tcW w:w="2114" w:type="dxa"/>
            <w:shd w:val="clear" w:color="auto" w:fill="auto"/>
          </w:tcPr>
          <w:p w:rsidR="009C5812" w:rsidRPr="00091230" w:rsidRDefault="009C5812" w:rsidP="009C5812">
            <w:pPr>
              <w:jc w:val="center"/>
              <w:rPr>
                <w:rFonts w:eastAsia="Cambria"/>
                <w:sz w:val="22"/>
                <w:szCs w:val="22"/>
              </w:rPr>
            </w:pPr>
            <w:r w:rsidRPr="00091230">
              <w:rPr>
                <w:rFonts w:eastAsia="Cambria"/>
                <w:sz w:val="22"/>
                <w:szCs w:val="22"/>
              </w:rPr>
              <w:t>0,1</w:t>
            </w:r>
          </w:p>
        </w:tc>
        <w:tc>
          <w:tcPr>
            <w:tcW w:w="1464" w:type="dxa"/>
            <w:shd w:val="clear" w:color="auto" w:fill="auto"/>
          </w:tcPr>
          <w:p w:rsidR="009C5812" w:rsidRPr="00091230" w:rsidRDefault="009C5812" w:rsidP="009C5812">
            <w:pPr>
              <w:jc w:val="center"/>
              <w:rPr>
                <w:rFonts w:eastAsia="Cambria"/>
                <w:sz w:val="22"/>
                <w:szCs w:val="22"/>
              </w:rPr>
            </w:pPr>
            <w:r w:rsidRPr="00091230">
              <w:rPr>
                <w:rFonts w:eastAsia="Cambria"/>
                <w:sz w:val="22"/>
                <w:szCs w:val="22"/>
              </w:rPr>
              <w:t>1/1</w:t>
            </w:r>
          </w:p>
        </w:tc>
        <w:tc>
          <w:tcPr>
            <w:tcW w:w="1662" w:type="dxa"/>
            <w:shd w:val="clear" w:color="auto" w:fill="auto"/>
          </w:tcPr>
          <w:p w:rsidR="009C5812" w:rsidRPr="00091230" w:rsidRDefault="009C5812" w:rsidP="009C5812">
            <w:pPr>
              <w:jc w:val="center"/>
              <w:rPr>
                <w:rFonts w:eastAsia="Cambria"/>
                <w:sz w:val="22"/>
                <w:szCs w:val="22"/>
              </w:rPr>
            </w:pPr>
            <w:r w:rsidRPr="00091230">
              <w:rPr>
                <w:rFonts w:eastAsia="Cambria"/>
                <w:sz w:val="22"/>
                <w:szCs w:val="22"/>
              </w:rPr>
              <w:t>240</w:t>
            </w:r>
          </w:p>
        </w:tc>
      </w:tr>
      <w:tr w:rsidR="009C5812" w:rsidRPr="00091230" w:rsidTr="009C5812">
        <w:trPr>
          <w:trHeight w:val="20"/>
        </w:trPr>
        <w:tc>
          <w:tcPr>
            <w:tcW w:w="704" w:type="dxa"/>
            <w:shd w:val="clear" w:color="auto" w:fill="auto"/>
          </w:tcPr>
          <w:p w:rsidR="009C5812" w:rsidRPr="00091230" w:rsidRDefault="009C5812" w:rsidP="009C5812">
            <w:pPr>
              <w:jc w:val="center"/>
              <w:rPr>
                <w:rFonts w:eastAsia="Cambria"/>
                <w:sz w:val="22"/>
                <w:szCs w:val="22"/>
              </w:rPr>
            </w:pPr>
            <w:r w:rsidRPr="00091230">
              <w:rPr>
                <w:rFonts w:eastAsia="Cambria"/>
                <w:sz w:val="22"/>
                <w:szCs w:val="22"/>
              </w:rPr>
              <w:t>47.</w:t>
            </w:r>
          </w:p>
        </w:tc>
        <w:tc>
          <w:tcPr>
            <w:tcW w:w="2268" w:type="dxa"/>
            <w:shd w:val="clear" w:color="auto" w:fill="auto"/>
          </w:tcPr>
          <w:p w:rsidR="009C5812" w:rsidRPr="00091230" w:rsidRDefault="009C5812" w:rsidP="009C5812">
            <w:pPr>
              <w:ind w:right="30"/>
              <w:jc w:val="both"/>
              <w:rPr>
                <w:rFonts w:eastAsia="Cambria"/>
                <w:sz w:val="22"/>
                <w:szCs w:val="22"/>
              </w:rPr>
            </w:pPr>
            <w:r w:rsidRPr="00091230">
              <w:rPr>
                <w:rFonts w:eastAsia="Cambria"/>
                <w:sz w:val="22"/>
                <w:szCs w:val="22"/>
              </w:rPr>
              <w:t>г.Набережные Челны</w:t>
            </w:r>
          </w:p>
        </w:tc>
        <w:tc>
          <w:tcPr>
            <w:tcW w:w="2410" w:type="dxa"/>
          </w:tcPr>
          <w:p w:rsidR="009C5812" w:rsidRPr="00091230" w:rsidRDefault="009C5812" w:rsidP="009C5812">
            <w:pPr>
              <w:jc w:val="both"/>
              <w:rPr>
                <w:rFonts w:eastAsia="Cambria"/>
                <w:sz w:val="22"/>
                <w:szCs w:val="22"/>
              </w:rPr>
            </w:pPr>
            <w:r w:rsidRPr="00091230">
              <w:rPr>
                <w:sz w:val="22"/>
                <w:szCs w:val="22"/>
              </w:rPr>
              <w:t>ГАУЗ</w:t>
            </w:r>
            <w:r w:rsidRPr="00091230">
              <w:rPr>
                <w:rFonts w:eastAsia="Cambria"/>
                <w:sz w:val="22"/>
                <w:szCs w:val="22"/>
              </w:rPr>
              <w:t xml:space="preserve"> </w:t>
            </w:r>
            <w:r>
              <w:rPr>
                <w:rFonts w:eastAsia="Cambria"/>
                <w:sz w:val="22"/>
                <w:szCs w:val="22"/>
              </w:rPr>
              <w:t>«</w:t>
            </w:r>
            <w:r w:rsidRPr="00091230">
              <w:rPr>
                <w:rFonts w:eastAsia="Cambria"/>
                <w:sz w:val="22"/>
                <w:szCs w:val="22"/>
              </w:rPr>
              <w:t>Городская больница № 5</w:t>
            </w:r>
            <w:r>
              <w:rPr>
                <w:rFonts w:eastAsia="Cambria"/>
                <w:sz w:val="22"/>
                <w:szCs w:val="22"/>
              </w:rPr>
              <w:t>»</w:t>
            </w:r>
            <w:r w:rsidRPr="00091230">
              <w:rPr>
                <w:rFonts w:eastAsia="Cambria"/>
                <w:sz w:val="22"/>
                <w:szCs w:val="22"/>
              </w:rPr>
              <w:t xml:space="preserve"> г.Набережные Челны (поликлиника № 9) </w:t>
            </w:r>
          </w:p>
        </w:tc>
        <w:tc>
          <w:tcPr>
            <w:tcW w:w="1416" w:type="dxa"/>
            <w:shd w:val="clear" w:color="auto" w:fill="auto"/>
          </w:tcPr>
          <w:p w:rsidR="009C5812" w:rsidRPr="00091230" w:rsidRDefault="009C5812" w:rsidP="009C5812">
            <w:pPr>
              <w:jc w:val="center"/>
              <w:rPr>
                <w:rFonts w:eastAsia="Cambria"/>
                <w:sz w:val="22"/>
                <w:szCs w:val="22"/>
              </w:rPr>
            </w:pPr>
            <w:r>
              <w:rPr>
                <w:rFonts w:eastAsia="Cambria"/>
                <w:sz w:val="22"/>
                <w:szCs w:val="22"/>
              </w:rPr>
              <w:t>22 648</w:t>
            </w:r>
          </w:p>
        </w:tc>
        <w:tc>
          <w:tcPr>
            <w:tcW w:w="983" w:type="dxa"/>
            <w:shd w:val="clear" w:color="auto" w:fill="auto"/>
          </w:tcPr>
          <w:p w:rsidR="009C5812" w:rsidRPr="00091230" w:rsidRDefault="009C5812" w:rsidP="009C5812">
            <w:pPr>
              <w:jc w:val="center"/>
              <w:rPr>
                <w:rFonts w:eastAsia="Cambria"/>
                <w:sz w:val="22"/>
                <w:szCs w:val="22"/>
              </w:rPr>
            </w:pPr>
            <w:r w:rsidRPr="00091230">
              <w:rPr>
                <w:rFonts w:eastAsia="Cambria"/>
                <w:sz w:val="22"/>
                <w:szCs w:val="22"/>
              </w:rPr>
              <w:t>1</w:t>
            </w:r>
          </w:p>
        </w:tc>
        <w:tc>
          <w:tcPr>
            <w:tcW w:w="1156" w:type="dxa"/>
          </w:tcPr>
          <w:p w:rsidR="009C5812" w:rsidRPr="00091230" w:rsidRDefault="009C5812" w:rsidP="009C5812">
            <w:pPr>
              <w:jc w:val="center"/>
              <w:rPr>
                <w:rFonts w:eastAsia="Cambria"/>
                <w:sz w:val="22"/>
                <w:szCs w:val="22"/>
              </w:rPr>
            </w:pPr>
          </w:p>
        </w:tc>
        <w:tc>
          <w:tcPr>
            <w:tcW w:w="2114" w:type="dxa"/>
            <w:shd w:val="clear" w:color="auto" w:fill="auto"/>
          </w:tcPr>
          <w:p w:rsidR="009C5812" w:rsidRPr="00091230" w:rsidRDefault="009C5812" w:rsidP="009C5812">
            <w:pPr>
              <w:jc w:val="center"/>
              <w:rPr>
                <w:rFonts w:eastAsia="Cambria"/>
                <w:sz w:val="22"/>
                <w:szCs w:val="22"/>
              </w:rPr>
            </w:pPr>
            <w:r w:rsidRPr="00091230">
              <w:rPr>
                <w:rFonts w:eastAsia="Cambria"/>
                <w:sz w:val="22"/>
                <w:szCs w:val="22"/>
              </w:rPr>
              <w:t>0,1</w:t>
            </w:r>
          </w:p>
        </w:tc>
        <w:tc>
          <w:tcPr>
            <w:tcW w:w="1464" w:type="dxa"/>
            <w:shd w:val="clear" w:color="auto" w:fill="auto"/>
          </w:tcPr>
          <w:p w:rsidR="009C5812" w:rsidRPr="00091230" w:rsidRDefault="009C5812" w:rsidP="009C5812">
            <w:pPr>
              <w:jc w:val="center"/>
              <w:rPr>
                <w:rFonts w:eastAsia="Cambria"/>
                <w:sz w:val="22"/>
                <w:szCs w:val="22"/>
              </w:rPr>
            </w:pPr>
            <w:r w:rsidRPr="00091230">
              <w:rPr>
                <w:rFonts w:eastAsia="Cambria"/>
                <w:sz w:val="22"/>
                <w:szCs w:val="22"/>
              </w:rPr>
              <w:t>2/3,0</w:t>
            </w:r>
          </w:p>
        </w:tc>
        <w:tc>
          <w:tcPr>
            <w:tcW w:w="1662" w:type="dxa"/>
            <w:shd w:val="clear" w:color="auto" w:fill="auto"/>
          </w:tcPr>
          <w:p w:rsidR="009C5812" w:rsidRPr="00091230" w:rsidRDefault="009C5812" w:rsidP="009C5812">
            <w:pPr>
              <w:jc w:val="center"/>
              <w:rPr>
                <w:rFonts w:eastAsia="Cambria"/>
                <w:sz w:val="22"/>
                <w:szCs w:val="22"/>
              </w:rPr>
            </w:pPr>
            <w:r w:rsidRPr="00091230">
              <w:rPr>
                <w:rFonts w:eastAsia="Cambria"/>
                <w:sz w:val="22"/>
                <w:szCs w:val="22"/>
              </w:rPr>
              <w:t>240</w:t>
            </w:r>
          </w:p>
        </w:tc>
      </w:tr>
      <w:tr w:rsidR="009C5812" w:rsidRPr="00091230" w:rsidTr="009C5812">
        <w:trPr>
          <w:trHeight w:val="20"/>
        </w:trPr>
        <w:tc>
          <w:tcPr>
            <w:tcW w:w="704" w:type="dxa"/>
            <w:shd w:val="clear" w:color="auto" w:fill="auto"/>
          </w:tcPr>
          <w:p w:rsidR="009C5812" w:rsidRPr="00091230" w:rsidRDefault="009C5812" w:rsidP="009C5812">
            <w:pPr>
              <w:jc w:val="center"/>
              <w:rPr>
                <w:rFonts w:eastAsia="Cambria"/>
                <w:sz w:val="22"/>
                <w:szCs w:val="22"/>
              </w:rPr>
            </w:pPr>
            <w:r w:rsidRPr="00091230">
              <w:rPr>
                <w:rFonts w:eastAsia="Cambria"/>
                <w:sz w:val="22"/>
                <w:szCs w:val="22"/>
              </w:rPr>
              <w:t>48.</w:t>
            </w:r>
          </w:p>
        </w:tc>
        <w:tc>
          <w:tcPr>
            <w:tcW w:w="2268" w:type="dxa"/>
            <w:shd w:val="clear" w:color="auto" w:fill="auto"/>
          </w:tcPr>
          <w:p w:rsidR="009C5812" w:rsidRPr="00091230" w:rsidRDefault="009C5812" w:rsidP="009C5812">
            <w:pPr>
              <w:ind w:right="30"/>
              <w:jc w:val="both"/>
              <w:rPr>
                <w:rFonts w:eastAsia="Cambria"/>
                <w:sz w:val="22"/>
                <w:szCs w:val="22"/>
              </w:rPr>
            </w:pPr>
            <w:r w:rsidRPr="00091230">
              <w:rPr>
                <w:rFonts w:eastAsia="Cambria"/>
                <w:sz w:val="22"/>
                <w:szCs w:val="22"/>
              </w:rPr>
              <w:t>г.Набережные Челны</w:t>
            </w:r>
          </w:p>
        </w:tc>
        <w:tc>
          <w:tcPr>
            <w:tcW w:w="2410" w:type="dxa"/>
          </w:tcPr>
          <w:p w:rsidR="009C5812" w:rsidRPr="00091230" w:rsidRDefault="009C5812" w:rsidP="009C5812">
            <w:pPr>
              <w:jc w:val="both"/>
              <w:rPr>
                <w:rFonts w:eastAsia="Cambria"/>
                <w:sz w:val="22"/>
                <w:szCs w:val="22"/>
              </w:rPr>
            </w:pPr>
            <w:r w:rsidRPr="00091230">
              <w:rPr>
                <w:sz w:val="22"/>
                <w:szCs w:val="22"/>
              </w:rPr>
              <w:t>ГАУЗ</w:t>
            </w:r>
            <w:r w:rsidRPr="00091230">
              <w:rPr>
                <w:rFonts w:eastAsia="Cambria"/>
                <w:sz w:val="22"/>
                <w:szCs w:val="22"/>
              </w:rPr>
              <w:t xml:space="preserve"> </w:t>
            </w:r>
            <w:r>
              <w:rPr>
                <w:rFonts w:eastAsia="Cambria"/>
                <w:sz w:val="22"/>
                <w:szCs w:val="22"/>
              </w:rPr>
              <w:t>«</w:t>
            </w:r>
            <w:r w:rsidRPr="00091230">
              <w:rPr>
                <w:rFonts w:eastAsia="Cambria"/>
                <w:sz w:val="22"/>
                <w:szCs w:val="22"/>
              </w:rPr>
              <w:t>Городская больница № 2</w:t>
            </w:r>
            <w:r>
              <w:rPr>
                <w:rFonts w:eastAsia="Cambria"/>
                <w:sz w:val="22"/>
                <w:szCs w:val="22"/>
              </w:rPr>
              <w:t>»</w:t>
            </w:r>
            <w:r w:rsidRPr="00091230">
              <w:rPr>
                <w:rFonts w:eastAsia="Cambria"/>
                <w:sz w:val="22"/>
                <w:szCs w:val="22"/>
              </w:rPr>
              <w:t xml:space="preserve"> г.Набережные Челны</w:t>
            </w:r>
          </w:p>
        </w:tc>
        <w:tc>
          <w:tcPr>
            <w:tcW w:w="1416" w:type="dxa"/>
            <w:shd w:val="clear" w:color="auto" w:fill="auto"/>
          </w:tcPr>
          <w:p w:rsidR="009C5812" w:rsidRPr="00091230" w:rsidRDefault="009C5812" w:rsidP="009C5812">
            <w:pPr>
              <w:jc w:val="center"/>
              <w:rPr>
                <w:rFonts w:eastAsia="Cambria"/>
                <w:sz w:val="22"/>
                <w:szCs w:val="22"/>
              </w:rPr>
            </w:pPr>
            <w:r w:rsidRPr="00091230">
              <w:rPr>
                <w:rFonts w:eastAsia="Cambria"/>
                <w:sz w:val="22"/>
                <w:szCs w:val="22"/>
              </w:rPr>
              <w:t>26 424</w:t>
            </w:r>
          </w:p>
        </w:tc>
        <w:tc>
          <w:tcPr>
            <w:tcW w:w="983" w:type="dxa"/>
            <w:shd w:val="clear" w:color="auto" w:fill="auto"/>
          </w:tcPr>
          <w:p w:rsidR="009C5812" w:rsidRPr="00091230" w:rsidRDefault="009C5812" w:rsidP="009C5812">
            <w:pPr>
              <w:jc w:val="center"/>
              <w:rPr>
                <w:rFonts w:eastAsia="Cambria"/>
                <w:sz w:val="22"/>
                <w:szCs w:val="22"/>
              </w:rPr>
            </w:pPr>
            <w:r w:rsidRPr="00091230">
              <w:rPr>
                <w:rFonts w:eastAsia="Cambria"/>
                <w:sz w:val="22"/>
                <w:szCs w:val="22"/>
              </w:rPr>
              <w:t>1</w:t>
            </w:r>
          </w:p>
        </w:tc>
        <w:tc>
          <w:tcPr>
            <w:tcW w:w="1156" w:type="dxa"/>
          </w:tcPr>
          <w:p w:rsidR="009C5812" w:rsidRPr="00091230" w:rsidRDefault="009C5812" w:rsidP="009C5812">
            <w:pPr>
              <w:jc w:val="center"/>
              <w:rPr>
                <w:rFonts w:eastAsia="Cambria"/>
                <w:sz w:val="22"/>
                <w:szCs w:val="22"/>
              </w:rPr>
            </w:pPr>
          </w:p>
        </w:tc>
        <w:tc>
          <w:tcPr>
            <w:tcW w:w="2114" w:type="dxa"/>
            <w:shd w:val="clear" w:color="auto" w:fill="auto"/>
          </w:tcPr>
          <w:p w:rsidR="009C5812" w:rsidRPr="00091230" w:rsidRDefault="009C5812" w:rsidP="009C5812">
            <w:pPr>
              <w:jc w:val="center"/>
              <w:rPr>
                <w:rFonts w:eastAsia="Cambria"/>
                <w:sz w:val="22"/>
                <w:szCs w:val="22"/>
              </w:rPr>
            </w:pPr>
            <w:r w:rsidRPr="00091230">
              <w:rPr>
                <w:rFonts w:eastAsia="Cambria"/>
                <w:sz w:val="22"/>
                <w:szCs w:val="22"/>
              </w:rPr>
              <w:t>0,1</w:t>
            </w:r>
          </w:p>
        </w:tc>
        <w:tc>
          <w:tcPr>
            <w:tcW w:w="1464" w:type="dxa"/>
            <w:shd w:val="clear" w:color="auto" w:fill="auto"/>
          </w:tcPr>
          <w:p w:rsidR="009C5812" w:rsidRPr="00091230" w:rsidRDefault="009C5812" w:rsidP="009C5812">
            <w:pPr>
              <w:jc w:val="center"/>
              <w:rPr>
                <w:rFonts w:eastAsia="Cambria"/>
                <w:sz w:val="22"/>
                <w:szCs w:val="22"/>
              </w:rPr>
            </w:pPr>
            <w:r w:rsidRPr="00091230">
              <w:rPr>
                <w:rFonts w:eastAsia="Cambria"/>
                <w:sz w:val="22"/>
                <w:szCs w:val="22"/>
              </w:rPr>
              <w:t>1/0,5</w:t>
            </w:r>
          </w:p>
        </w:tc>
        <w:tc>
          <w:tcPr>
            <w:tcW w:w="1662" w:type="dxa"/>
            <w:shd w:val="clear" w:color="auto" w:fill="auto"/>
          </w:tcPr>
          <w:p w:rsidR="009C5812" w:rsidRPr="00091230" w:rsidRDefault="009C5812" w:rsidP="009C5812">
            <w:pPr>
              <w:jc w:val="center"/>
              <w:rPr>
                <w:rFonts w:eastAsia="Cambria"/>
                <w:sz w:val="22"/>
                <w:szCs w:val="22"/>
              </w:rPr>
            </w:pPr>
            <w:r w:rsidRPr="00091230">
              <w:rPr>
                <w:rFonts w:eastAsia="Cambria"/>
                <w:sz w:val="22"/>
                <w:szCs w:val="22"/>
              </w:rPr>
              <w:t>240</w:t>
            </w:r>
          </w:p>
        </w:tc>
      </w:tr>
      <w:tr w:rsidR="009C5812" w:rsidRPr="00091230" w:rsidTr="009C5812">
        <w:trPr>
          <w:trHeight w:val="20"/>
        </w:trPr>
        <w:tc>
          <w:tcPr>
            <w:tcW w:w="704" w:type="dxa"/>
            <w:shd w:val="clear" w:color="auto" w:fill="auto"/>
          </w:tcPr>
          <w:p w:rsidR="009C5812" w:rsidRPr="00091230" w:rsidRDefault="009C5812" w:rsidP="009C5812">
            <w:pPr>
              <w:jc w:val="center"/>
              <w:rPr>
                <w:rFonts w:eastAsia="Cambria"/>
                <w:sz w:val="22"/>
                <w:szCs w:val="22"/>
              </w:rPr>
            </w:pPr>
            <w:r w:rsidRPr="00091230">
              <w:rPr>
                <w:rFonts w:eastAsia="Cambria"/>
                <w:sz w:val="22"/>
                <w:szCs w:val="22"/>
              </w:rPr>
              <w:t>49.</w:t>
            </w:r>
          </w:p>
        </w:tc>
        <w:tc>
          <w:tcPr>
            <w:tcW w:w="2268" w:type="dxa"/>
            <w:shd w:val="clear" w:color="auto" w:fill="auto"/>
          </w:tcPr>
          <w:p w:rsidR="009C5812" w:rsidRPr="00091230" w:rsidRDefault="009C5812" w:rsidP="009C5812">
            <w:pPr>
              <w:ind w:right="30"/>
              <w:jc w:val="both"/>
              <w:rPr>
                <w:rFonts w:eastAsia="Cambria"/>
                <w:sz w:val="22"/>
                <w:szCs w:val="22"/>
              </w:rPr>
            </w:pPr>
            <w:r w:rsidRPr="00091230">
              <w:rPr>
                <w:rFonts w:eastAsia="Cambria"/>
                <w:sz w:val="22"/>
                <w:szCs w:val="22"/>
              </w:rPr>
              <w:t>г.Набережные Челны</w:t>
            </w:r>
          </w:p>
        </w:tc>
        <w:tc>
          <w:tcPr>
            <w:tcW w:w="2410" w:type="dxa"/>
          </w:tcPr>
          <w:p w:rsidR="009C5812" w:rsidRPr="00091230" w:rsidRDefault="009C5812" w:rsidP="009C5812">
            <w:pPr>
              <w:jc w:val="both"/>
              <w:rPr>
                <w:rFonts w:eastAsia="Cambria"/>
                <w:sz w:val="22"/>
                <w:szCs w:val="22"/>
              </w:rPr>
            </w:pPr>
            <w:r w:rsidRPr="00091230">
              <w:rPr>
                <w:sz w:val="22"/>
                <w:szCs w:val="22"/>
              </w:rPr>
              <w:t>ГАУЗ</w:t>
            </w:r>
            <w:r w:rsidRPr="00091230">
              <w:rPr>
                <w:color w:val="000000"/>
                <w:sz w:val="22"/>
                <w:szCs w:val="22"/>
              </w:rPr>
              <w:t xml:space="preserve"> </w:t>
            </w:r>
            <w:r>
              <w:rPr>
                <w:color w:val="000000"/>
                <w:sz w:val="22"/>
                <w:szCs w:val="22"/>
              </w:rPr>
              <w:t>«</w:t>
            </w:r>
            <w:r w:rsidRPr="00091230">
              <w:rPr>
                <w:color w:val="000000"/>
                <w:sz w:val="22"/>
                <w:szCs w:val="22"/>
              </w:rPr>
              <w:t xml:space="preserve">Городская </w:t>
            </w:r>
            <w:r w:rsidRPr="00091230">
              <w:rPr>
                <w:color w:val="000000"/>
                <w:sz w:val="22"/>
                <w:szCs w:val="22"/>
              </w:rPr>
              <w:br/>
              <w:t>поликлиника № 4 им.Л.Н.Ганиевой</w:t>
            </w:r>
            <w:r>
              <w:rPr>
                <w:color w:val="000000"/>
                <w:sz w:val="22"/>
                <w:szCs w:val="22"/>
              </w:rPr>
              <w:t>»</w:t>
            </w:r>
            <w:r w:rsidRPr="00091230">
              <w:rPr>
                <w:color w:val="000000"/>
                <w:sz w:val="22"/>
                <w:szCs w:val="22"/>
              </w:rPr>
              <w:t xml:space="preserve"> </w:t>
            </w:r>
            <w:r w:rsidRPr="00091230">
              <w:rPr>
                <w:rFonts w:eastAsia="Cambria"/>
                <w:sz w:val="22"/>
                <w:szCs w:val="22"/>
              </w:rPr>
              <w:t>г.Набережные Челны</w:t>
            </w:r>
          </w:p>
        </w:tc>
        <w:tc>
          <w:tcPr>
            <w:tcW w:w="1416" w:type="dxa"/>
            <w:shd w:val="clear" w:color="auto" w:fill="auto"/>
          </w:tcPr>
          <w:p w:rsidR="009C5812" w:rsidRPr="00091230" w:rsidRDefault="009C5812" w:rsidP="009C5812">
            <w:pPr>
              <w:jc w:val="center"/>
              <w:rPr>
                <w:rFonts w:eastAsia="Cambria"/>
                <w:sz w:val="22"/>
                <w:szCs w:val="22"/>
              </w:rPr>
            </w:pPr>
            <w:r w:rsidRPr="00091230">
              <w:rPr>
                <w:rFonts w:eastAsia="Cambria"/>
                <w:sz w:val="22"/>
                <w:szCs w:val="22"/>
              </w:rPr>
              <w:t>64 160</w:t>
            </w:r>
          </w:p>
        </w:tc>
        <w:tc>
          <w:tcPr>
            <w:tcW w:w="983" w:type="dxa"/>
            <w:shd w:val="clear" w:color="auto" w:fill="auto"/>
          </w:tcPr>
          <w:p w:rsidR="009C5812" w:rsidRPr="00091230" w:rsidRDefault="009C5812" w:rsidP="009C5812">
            <w:pPr>
              <w:jc w:val="center"/>
              <w:rPr>
                <w:rFonts w:eastAsia="Cambria"/>
                <w:sz w:val="22"/>
                <w:szCs w:val="22"/>
              </w:rPr>
            </w:pPr>
            <w:r w:rsidRPr="00091230">
              <w:rPr>
                <w:rFonts w:eastAsia="Cambria"/>
                <w:sz w:val="22"/>
                <w:szCs w:val="22"/>
              </w:rPr>
              <w:t>1</w:t>
            </w:r>
          </w:p>
        </w:tc>
        <w:tc>
          <w:tcPr>
            <w:tcW w:w="1156" w:type="dxa"/>
          </w:tcPr>
          <w:p w:rsidR="009C5812" w:rsidRPr="00091230" w:rsidRDefault="009C5812" w:rsidP="009C5812">
            <w:pPr>
              <w:jc w:val="center"/>
              <w:rPr>
                <w:rFonts w:eastAsia="Cambria"/>
                <w:sz w:val="22"/>
                <w:szCs w:val="22"/>
              </w:rPr>
            </w:pPr>
          </w:p>
        </w:tc>
        <w:tc>
          <w:tcPr>
            <w:tcW w:w="2114" w:type="dxa"/>
            <w:shd w:val="clear" w:color="auto" w:fill="auto"/>
          </w:tcPr>
          <w:p w:rsidR="009C5812" w:rsidRPr="00091230" w:rsidRDefault="009C5812" w:rsidP="009C5812">
            <w:pPr>
              <w:jc w:val="center"/>
              <w:rPr>
                <w:rFonts w:eastAsia="Cambria"/>
                <w:sz w:val="22"/>
                <w:szCs w:val="22"/>
              </w:rPr>
            </w:pPr>
            <w:r w:rsidRPr="00091230">
              <w:rPr>
                <w:rFonts w:eastAsia="Cambria"/>
                <w:sz w:val="22"/>
                <w:szCs w:val="22"/>
              </w:rPr>
              <w:t>0,1</w:t>
            </w:r>
          </w:p>
        </w:tc>
        <w:tc>
          <w:tcPr>
            <w:tcW w:w="1464" w:type="dxa"/>
            <w:shd w:val="clear" w:color="auto" w:fill="auto"/>
          </w:tcPr>
          <w:p w:rsidR="009C5812" w:rsidRPr="00091230" w:rsidRDefault="009C5812" w:rsidP="009C5812">
            <w:pPr>
              <w:jc w:val="center"/>
              <w:rPr>
                <w:rFonts w:eastAsia="Cambria"/>
                <w:sz w:val="22"/>
                <w:szCs w:val="22"/>
              </w:rPr>
            </w:pPr>
            <w:r w:rsidRPr="00091230">
              <w:rPr>
                <w:rFonts w:eastAsia="Cambria"/>
                <w:sz w:val="22"/>
                <w:szCs w:val="22"/>
              </w:rPr>
              <w:t>1/0,25</w:t>
            </w:r>
          </w:p>
        </w:tc>
        <w:tc>
          <w:tcPr>
            <w:tcW w:w="1662" w:type="dxa"/>
            <w:shd w:val="clear" w:color="auto" w:fill="auto"/>
          </w:tcPr>
          <w:p w:rsidR="009C5812" w:rsidRPr="00091230" w:rsidRDefault="009C5812" w:rsidP="009C5812">
            <w:pPr>
              <w:jc w:val="center"/>
              <w:rPr>
                <w:rFonts w:eastAsia="Cambria"/>
                <w:sz w:val="22"/>
                <w:szCs w:val="22"/>
              </w:rPr>
            </w:pPr>
            <w:r w:rsidRPr="00091230">
              <w:rPr>
                <w:rFonts w:eastAsia="Cambria"/>
                <w:sz w:val="22"/>
                <w:szCs w:val="22"/>
              </w:rPr>
              <w:t>240</w:t>
            </w:r>
          </w:p>
        </w:tc>
      </w:tr>
      <w:tr w:rsidR="009C5812" w:rsidRPr="00091230" w:rsidTr="009C5812">
        <w:trPr>
          <w:trHeight w:val="20"/>
        </w:trPr>
        <w:tc>
          <w:tcPr>
            <w:tcW w:w="704" w:type="dxa"/>
            <w:shd w:val="clear" w:color="auto" w:fill="auto"/>
          </w:tcPr>
          <w:p w:rsidR="009C5812" w:rsidRPr="00091230" w:rsidRDefault="009C5812" w:rsidP="009C5812">
            <w:pPr>
              <w:jc w:val="center"/>
              <w:rPr>
                <w:rFonts w:eastAsia="Cambria"/>
                <w:sz w:val="22"/>
                <w:szCs w:val="22"/>
              </w:rPr>
            </w:pPr>
            <w:r w:rsidRPr="00091230">
              <w:rPr>
                <w:rFonts w:eastAsia="Cambria"/>
                <w:sz w:val="22"/>
                <w:szCs w:val="22"/>
              </w:rPr>
              <w:t>50.</w:t>
            </w:r>
          </w:p>
        </w:tc>
        <w:tc>
          <w:tcPr>
            <w:tcW w:w="2268" w:type="dxa"/>
            <w:shd w:val="clear" w:color="auto" w:fill="auto"/>
          </w:tcPr>
          <w:p w:rsidR="009C5812" w:rsidRPr="00091230" w:rsidRDefault="009C5812" w:rsidP="009C5812">
            <w:pPr>
              <w:ind w:right="30"/>
              <w:jc w:val="both"/>
              <w:rPr>
                <w:rFonts w:eastAsia="Cambria"/>
                <w:sz w:val="22"/>
                <w:szCs w:val="22"/>
              </w:rPr>
            </w:pPr>
            <w:r w:rsidRPr="00091230">
              <w:rPr>
                <w:rFonts w:eastAsia="Cambria"/>
                <w:sz w:val="22"/>
                <w:szCs w:val="22"/>
              </w:rPr>
              <w:t>г.Набережные Челны</w:t>
            </w:r>
          </w:p>
        </w:tc>
        <w:tc>
          <w:tcPr>
            <w:tcW w:w="2410" w:type="dxa"/>
          </w:tcPr>
          <w:p w:rsidR="009C5812" w:rsidRPr="00091230" w:rsidRDefault="009C5812" w:rsidP="009C5812">
            <w:pPr>
              <w:jc w:val="both"/>
              <w:rPr>
                <w:rFonts w:eastAsia="Cambria"/>
                <w:sz w:val="22"/>
                <w:szCs w:val="22"/>
              </w:rPr>
            </w:pPr>
            <w:r w:rsidRPr="00091230">
              <w:rPr>
                <w:sz w:val="22"/>
                <w:szCs w:val="22"/>
              </w:rPr>
              <w:t>ГАУЗ</w:t>
            </w:r>
            <w:r w:rsidRPr="00091230">
              <w:rPr>
                <w:rFonts w:eastAsia="Cambria"/>
                <w:sz w:val="22"/>
                <w:szCs w:val="22"/>
              </w:rPr>
              <w:t xml:space="preserve"> </w:t>
            </w:r>
            <w:r>
              <w:rPr>
                <w:rFonts w:eastAsia="Cambria"/>
                <w:sz w:val="22"/>
                <w:szCs w:val="22"/>
              </w:rPr>
              <w:t>«</w:t>
            </w:r>
            <w:r w:rsidRPr="00091230">
              <w:rPr>
                <w:rFonts w:eastAsia="Cambria"/>
                <w:sz w:val="22"/>
                <w:szCs w:val="22"/>
              </w:rPr>
              <w:t>Городская поликлиника № 3</w:t>
            </w:r>
            <w:r>
              <w:rPr>
                <w:rFonts w:eastAsia="Cambria"/>
                <w:sz w:val="22"/>
                <w:szCs w:val="22"/>
              </w:rPr>
              <w:t>»</w:t>
            </w:r>
            <w:r w:rsidRPr="00091230">
              <w:rPr>
                <w:rFonts w:eastAsia="Cambria"/>
                <w:sz w:val="22"/>
                <w:szCs w:val="22"/>
              </w:rPr>
              <w:t xml:space="preserve"> г.На-бережные Челны </w:t>
            </w:r>
          </w:p>
        </w:tc>
        <w:tc>
          <w:tcPr>
            <w:tcW w:w="1416" w:type="dxa"/>
            <w:shd w:val="clear" w:color="auto" w:fill="auto"/>
          </w:tcPr>
          <w:p w:rsidR="009C5812" w:rsidRPr="00091230" w:rsidRDefault="009C5812" w:rsidP="009C5812">
            <w:pPr>
              <w:jc w:val="center"/>
              <w:rPr>
                <w:rFonts w:eastAsia="Cambria"/>
                <w:sz w:val="22"/>
                <w:szCs w:val="22"/>
              </w:rPr>
            </w:pPr>
            <w:r w:rsidRPr="00091230">
              <w:rPr>
                <w:rFonts w:eastAsia="Cambria"/>
                <w:sz w:val="22"/>
                <w:szCs w:val="22"/>
              </w:rPr>
              <w:t>60 865</w:t>
            </w:r>
          </w:p>
        </w:tc>
        <w:tc>
          <w:tcPr>
            <w:tcW w:w="983" w:type="dxa"/>
            <w:shd w:val="clear" w:color="auto" w:fill="auto"/>
          </w:tcPr>
          <w:p w:rsidR="009C5812" w:rsidRPr="00091230" w:rsidRDefault="009C5812" w:rsidP="009C5812">
            <w:pPr>
              <w:jc w:val="center"/>
              <w:rPr>
                <w:rFonts w:eastAsia="Cambria"/>
                <w:sz w:val="22"/>
                <w:szCs w:val="22"/>
              </w:rPr>
            </w:pPr>
            <w:r w:rsidRPr="00091230">
              <w:rPr>
                <w:rFonts w:eastAsia="Cambria"/>
                <w:sz w:val="22"/>
                <w:szCs w:val="22"/>
              </w:rPr>
              <w:t>1</w:t>
            </w:r>
          </w:p>
        </w:tc>
        <w:tc>
          <w:tcPr>
            <w:tcW w:w="1156" w:type="dxa"/>
          </w:tcPr>
          <w:p w:rsidR="009C5812" w:rsidRPr="00091230" w:rsidRDefault="009C5812" w:rsidP="009C5812">
            <w:pPr>
              <w:jc w:val="center"/>
              <w:rPr>
                <w:rFonts w:eastAsia="Cambria"/>
                <w:sz w:val="22"/>
                <w:szCs w:val="22"/>
              </w:rPr>
            </w:pPr>
          </w:p>
        </w:tc>
        <w:tc>
          <w:tcPr>
            <w:tcW w:w="2114" w:type="dxa"/>
            <w:shd w:val="clear" w:color="auto" w:fill="auto"/>
          </w:tcPr>
          <w:p w:rsidR="009C5812" w:rsidRPr="00091230" w:rsidRDefault="009C5812" w:rsidP="009C5812">
            <w:pPr>
              <w:jc w:val="center"/>
              <w:rPr>
                <w:rFonts w:eastAsia="Cambria"/>
                <w:sz w:val="22"/>
                <w:szCs w:val="22"/>
              </w:rPr>
            </w:pPr>
            <w:r w:rsidRPr="00091230">
              <w:rPr>
                <w:rFonts w:eastAsia="Cambria"/>
                <w:sz w:val="22"/>
                <w:szCs w:val="22"/>
              </w:rPr>
              <w:t>0,1</w:t>
            </w:r>
          </w:p>
        </w:tc>
        <w:tc>
          <w:tcPr>
            <w:tcW w:w="1464" w:type="dxa"/>
            <w:shd w:val="clear" w:color="auto" w:fill="auto"/>
          </w:tcPr>
          <w:p w:rsidR="009C5812" w:rsidRPr="00091230" w:rsidRDefault="009C5812" w:rsidP="009C5812">
            <w:pPr>
              <w:jc w:val="center"/>
              <w:rPr>
                <w:rFonts w:eastAsia="Cambria"/>
                <w:sz w:val="22"/>
                <w:szCs w:val="22"/>
              </w:rPr>
            </w:pPr>
            <w:r w:rsidRPr="00091230">
              <w:rPr>
                <w:rFonts w:eastAsia="Cambria"/>
                <w:sz w:val="22"/>
                <w:szCs w:val="22"/>
              </w:rPr>
              <w:t>1/0,5</w:t>
            </w:r>
          </w:p>
        </w:tc>
        <w:tc>
          <w:tcPr>
            <w:tcW w:w="1662" w:type="dxa"/>
            <w:shd w:val="clear" w:color="auto" w:fill="auto"/>
          </w:tcPr>
          <w:p w:rsidR="009C5812" w:rsidRPr="00091230" w:rsidRDefault="009C5812" w:rsidP="009C5812">
            <w:pPr>
              <w:jc w:val="center"/>
              <w:rPr>
                <w:rFonts w:eastAsia="Cambria"/>
                <w:sz w:val="22"/>
                <w:szCs w:val="22"/>
              </w:rPr>
            </w:pPr>
            <w:r w:rsidRPr="00091230">
              <w:rPr>
                <w:rFonts w:eastAsia="Cambria"/>
                <w:sz w:val="22"/>
                <w:szCs w:val="22"/>
              </w:rPr>
              <w:t>240</w:t>
            </w:r>
          </w:p>
        </w:tc>
      </w:tr>
      <w:tr w:rsidR="009C5812" w:rsidRPr="00091230" w:rsidTr="009C5812">
        <w:trPr>
          <w:trHeight w:val="20"/>
        </w:trPr>
        <w:tc>
          <w:tcPr>
            <w:tcW w:w="704" w:type="dxa"/>
            <w:shd w:val="clear" w:color="auto" w:fill="auto"/>
          </w:tcPr>
          <w:p w:rsidR="009C5812" w:rsidRPr="00091230" w:rsidRDefault="009C5812" w:rsidP="009C5812">
            <w:pPr>
              <w:jc w:val="center"/>
              <w:rPr>
                <w:rFonts w:eastAsia="Cambria"/>
                <w:sz w:val="22"/>
                <w:szCs w:val="22"/>
              </w:rPr>
            </w:pPr>
            <w:r w:rsidRPr="00091230">
              <w:rPr>
                <w:rFonts w:eastAsia="Cambria"/>
                <w:sz w:val="22"/>
                <w:szCs w:val="22"/>
              </w:rPr>
              <w:t>51.</w:t>
            </w:r>
          </w:p>
        </w:tc>
        <w:tc>
          <w:tcPr>
            <w:tcW w:w="2268" w:type="dxa"/>
            <w:shd w:val="clear" w:color="auto" w:fill="auto"/>
          </w:tcPr>
          <w:p w:rsidR="009C5812" w:rsidRPr="00091230" w:rsidRDefault="009C5812" w:rsidP="009C5812">
            <w:pPr>
              <w:ind w:right="30"/>
              <w:jc w:val="both"/>
              <w:rPr>
                <w:rFonts w:eastAsia="Cambria"/>
                <w:sz w:val="22"/>
                <w:szCs w:val="22"/>
              </w:rPr>
            </w:pPr>
            <w:r w:rsidRPr="00091230">
              <w:rPr>
                <w:rFonts w:eastAsia="Cambria"/>
                <w:sz w:val="22"/>
                <w:szCs w:val="22"/>
              </w:rPr>
              <w:t>г.Набережные Челны</w:t>
            </w:r>
          </w:p>
        </w:tc>
        <w:tc>
          <w:tcPr>
            <w:tcW w:w="2410" w:type="dxa"/>
          </w:tcPr>
          <w:p w:rsidR="009C5812" w:rsidRPr="00091230" w:rsidRDefault="009C5812" w:rsidP="009C5812">
            <w:pPr>
              <w:jc w:val="both"/>
              <w:rPr>
                <w:rFonts w:eastAsia="Cambria"/>
                <w:sz w:val="22"/>
                <w:szCs w:val="22"/>
              </w:rPr>
            </w:pPr>
            <w:r w:rsidRPr="00091230">
              <w:rPr>
                <w:sz w:val="22"/>
                <w:szCs w:val="22"/>
              </w:rPr>
              <w:t>ГАУЗ</w:t>
            </w:r>
            <w:r w:rsidRPr="00091230">
              <w:rPr>
                <w:rFonts w:eastAsia="Cambria"/>
                <w:sz w:val="22"/>
                <w:szCs w:val="22"/>
              </w:rPr>
              <w:t xml:space="preserve"> </w:t>
            </w:r>
            <w:r>
              <w:rPr>
                <w:rFonts w:eastAsia="Cambria"/>
                <w:sz w:val="22"/>
                <w:szCs w:val="22"/>
              </w:rPr>
              <w:t>«</w:t>
            </w:r>
            <w:r w:rsidRPr="00091230">
              <w:rPr>
                <w:rFonts w:eastAsia="Cambria"/>
                <w:sz w:val="22"/>
                <w:szCs w:val="22"/>
              </w:rPr>
              <w:t>Городская поликлиника № 6</w:t>
            </w:r>
            <w:r>
              <w:rPr>
                <w:rFonts w:eastAsia="Cambria"/>
                <w:sz w:val="22"/>
                <w:szCs w:val="22"/>
              </w:rPr>
              <w:t>»</w:t>
            </w:r>
            <w:r w:rsidRPr="00091230">
              <w:rPr>
                <w:rFonts w:eastAsia="Cambria"/>
                <w:sz w:val="22"/>
                <w:szCs w:val="22"/>
              </w:rPr>
              <w:t xml:space="preserve"> г.На-бережные Челны </w:t>
            </w:r>
          </w:p>
        </w:tc>
        <w:tc>
          <w:tcPr>
            <w:tcW w:w="1416" w:type="dxa"/>
            <w:shd w:val="clear" w:color="auto" w:fill="auto"/>
          </w:tcPr>
          <w:p w:rsidR="009C5812" w:rsidRPr="00091230" w:rsidRDefault="009C5812" w:rsidP="009C5812">
            <w:pPr>
              <w:jc w:val="center"/>
              <w:rPr>
                <w:rFonts w:eastAsia="Cambria"/>
                <w:sz w:val="22"/>
                <w:szCs w:val="22"/>
              </w:rPr>
            </w:pPr>
            <w:r w:rsidRPr="00091230">
              <w:rPr>
                <w:rFonts w:eastAsia="Cambria"/>
                <w:sz w:val="22"/>
                <w:szCs w:val="22"/>
              </w:rPr>
              <w:t>62 181</w:t>
            </w:r>
          </w:p>
        </w:tc>
        <w:tc>
          <w:tcPr>
            <w:tcW w:w="983" w:type="dxa"/>
            <w:shd w:val="clear" w:color="auto" w:fill="auto"/>
          </w:tcPr>
          <w:p w:rsidR="009C5812" w:rsidRPr="00091230" w:rsidRDefault="009C5812" w:rsidP="009C5812">
            <w:pPr>
              <w:jc w:val="center"/>
              <w:rPr>
                <w:rFonts w:eastAsia="Cambria"/>
                <w:sz w:val="22"/>
                <w:szCs w:val="22"/>
              </w:rPr>
            </w:pPr>
            <w:r w:rsidRPr="00091230">
              <w:rPr>
                <w:rFonts w:eastAsia="Cambria"/>
                <w:sz w:val="22"/>
                <w:szCs w:val="22"/>
              </w:rPr>
              <w:t>1</w:t>
            </w:r>
          </w:p>
        </w:tc>
        <w:tc>
          <w:tcPr>
            <w:tcW w:w="1156" w:type="dxa"/>
          </w:tcPr>
          <w:p w:rsidR="009C5812" w:rsidRPr="00091230" w:rsidRDefault="009C5812" w:rsidP="009C5812">
            <w:pPr>
              <w:jc w:val="center"/>
              <w:rPr>
                <w:rFonts w:eastAsia="Cambria"/>
                <w:sz w:val="22"/>
                <w:szCs w:val="22"/>
              </w:rPr>
            </w:pPr>
          </w:p>
        </w:tc>
        <w:tc>
          <w:tcPr>
            <w:tcW w:w="2114" w:type="dxa"/>
            <w:shd w:val="clear" w:color="auto" w:fill="auto"/>
          </w:tcPr>
          <w:p w:rsidR="009C5812" w:rsidRPr="00091230" w:rsidRDefault="009C5812" w:rsidP="009C5812">
            <w:pPr>
              <w:jc w:val="center"/>
              <w:rPr>
                <w:rFonts w:eastAsia="Cambria"/>
                <w:sz w:val="22"/>
                <w:szCs w:val="22"/>
              </w:rPr>
            </w:pPr>
            <w:r w:rsidRPr="00091230">
              <w:rPr>
                <w:rFonts w:eastAsia="Cambria"/>
                <w:sz w:val="22"/>
                <w:szCs w:val="22"/>
              </w:rPr>
              <w:t>0,1</w:t>
            </w:r>
          </w:p>
        </w:tc>
        <w:tc>
          <w:tcPr>
            <w:tcW w:w="1464" w:type="dxa"/>
            <w:shd w:val="clear" w:color="auto" w:fill="auto"/>
          </w:tcPr>
          <w:p w:rsidR="009C5812" w:rsidRPr="00091230" w:rsidRDefault="009C5812" w:rsidP="009C5812">
            <w:pPr>
              <w:jc w:val="center"/>
              <w:rPr>
                <w:rFonts w:eastAsia="Cambria"/>
                <w:sz w:val="22"/>
                <w:szCs w:val="22"/>
              </w:rPr>
            </w:pPr>
            <w:r w:rsidRPr="00091230">
              <w:rPr>
                <w:rFonts w:eastAsia="Cambria"/>
                <w:sz w:val="22"/>
                <w:szCs w:val="22"/>
              </w:rPr>
              <w:t>1/0,5</w:t>
            </w:r>
          </w:p>
        </w:tc>
        <w:tc>
          <w:tcPr>
            <w:tcW w:w="1662" w:type="dxa"/>
            <w:shd w:val="clear" w:color="auto" w:fill="auto"/>
          </w:tcPr>
          <w:p w:rsidR="009C5812" w:rsidRPr="00091230" w:rsidRDefault="009C5812" w:rsidP="009C5812">
            <w:pPr>
              <w:jc w:val="center"/>
              <w:rPr>
                <w:rFonts w:eastAsia="Cambria"/>
                <w:sz w:val="22"/>
                <w:szCs w:val="22"/>
              </w:rPr>
            </w:pPr>
            <w:r w:rsidRPr="00091230">
              <w:rPr>
                <w:rFonts w:eastAsia="Cambria"/>
                <w:sz w:val="22"/>
                <w:szCs w:val="22"/>
              </w:rPr>
              <w:t>240</w:t>
            </w:r>
          </w:p>
        </w:tc>
      </w:tr>
      <w:tr w:rsidR="009C5812" w:rsidRPr="00091230" w:rsidTr="009C5812">
        <w:trPr>
          <w:trHeight w:val="20"/>
        </w:trPr>
        <w:tc>
          <w:tcPr>
            <w:tcW w:w="704" w:type="dxa"/>
            <w:shd w:val="clear" w:color="auto" w:fill="auto"/>
          </w:tcPr>
          <w:p w:rsidR="009C5812" w:rsidRPr="00091230" w:rsidRDefault="009C5812" w:rsidP="009C5812">
            <w:pPr>
              <w:jc w:val="center"/>
              <w:rPr>
                <w:rFonts w:eastAsia="Cambria"/>
                <w:sz w:val="22"/>
                <w:szCs w:val="22"/>
              </w:rPr>
            </w:pPr>
            <w:r w:rsidRPr="00091230">
              <w:rPr>
                <w:rFonts w:eastAsia="Cambria"/>
                <w:sz w:val="22"/>
                <w:szCs w:val="22"/>
              </w:rPr>
              <w:t>52.</w:t>
            </w:r>
          </w:p>
        </w:tc>
        <w:tc>
          <w:tcPr>
            <w:tcW w:w="2268" w:type="dxa"/>
            <w:shd w:val="clear" w:color="auto" w:fill="auto"/>
          </w:tcPr>
          <w:p w:rsidR="009C5812" w:rsidRPr="00091230" w:rsidRDefault="009C5812" w:rsidP="009C5812">
            <w:pPr>
              <w:ind w:right="30"/>
              <w:jc w:val="both"/>
              <w:rPr>
                <w:rFonts w:eastAsia="Cambria"/>
                <w:sz w:val="22"/>
                <w:szCs w:val="22"/>
              </w:rPr>
            </w:pPr>
            <w:r w:rsidRPr="00091230">
              <w:rPr>
                <w:rFonts w:eastAsia="Cambria"/>
                <w:sz w:val="22"/>
                <w:szCs w:val="22"/>
              </w:rPr>
              <w:t>г.Набережные Челны</w:t>
            </w:r>
          </w:p>
        </w:tc>
        <w:tc>
          <w:tcPr>
            <w:tcW w:w="2410" w:type="dxa"/>
          </w:tcPr>
          <w:p w:rsidR="009C5812" w:rsidRPr="00091230" w:rsidRDefault="009C5812" w:rsidP="009C5812">
            <w:pPr>
              <w:jc w:val="both"/>
              <w:rPr>
                <w:rFonts w:eastAsia="Cambria"/>
                <w:sz w:val="22"/>
                <w:szCs w:val="22"/>
              </w:rPr>
            </w:pPr>
            <w:r w:rsidRPr="00091230">
              <w:rPr>
                <w:sz w:val="22"/>
                <w:szCs w:val="22"/>
              </w:rPr>
              <w:t>ГАУЗ</w:t>
            </w:r>
            <w:r>
              <w:rPr>
                <w:rFonts w:eastAsia="Cambria"/>
                <w:sz w:val="22"/>
                <w:szCs w:val="22"/>
              </w:rPr>
              <w:t xml:space="preserve"> «Городская поликлиника № 7» </w:t>
            </w:r>
            <w:r w:rsidRPr="00091230">
              <w:rPr>
                <w:rFonts w:eastAsia="Cambria"/>
                <w:sz w:val="22"/>
                <w:szCs w:val="22"/>
              </w:rPr>
              <w:t>г.На-бережные Челны</w:t>
            </w:r>
          </w:p>
        </w:tc>
        <w:tc>
          <w:tcPr>
            <w:tcW w:w="1416" w:type="dxa"/>
            <w:shd w:val="clear" w:color="auto" w:fill="auto"/>
          </w:tcPr>
          <w:p w:rsidR="009C5812" w:rsidRPr="00091230" w:rsidRDefault="009C5812" w:rsidP="009C5812">
            <w:pPr>
              <w:jc w:val="center"/>
              <w:rPr>
                <w:rFonts w:eastAsia="Cambria"/>
                <w:sz w:val="22"/>
                <w:szCs w:val="22"/>
              </w:rPr>
            </w:pPr>
            <w:r w:rsidRPr="00091230">
              <w:rPr>
                <w:rFonts w:eastAsia="Cambria"/>
                <w:sz w:val="22"/>
                <w:szCs w:val="22"/>
              </w:rPr>
              <w:t>64 515</w:t>
            </w:r>
          </w:p>
        </w:tc>
        <w:tc>
          <w:tcPr>
            <w:tcW w:w="983" w:type="dxa"/>
            <w:shd w:val="clear" w:color="auto" w:fill="auto"/>
          </w:tcPr>
          <w:p w:rsidR="009C5812" w:rsidRPr="00091230" w:rsidRDefault="009C5812" w:rsidP="009C5812">
            <w:pPr>
              <w:jc w:val="center"/>
              <w:rPr>
                <w:rFonts w:eastAsia="Cambria"/>
                <w:sz w:val="22"/>
                <w:szCs w:val="22"/>
              </w:rPr>
            </w:pPr>
            <w:r w:rsidRPr="00091230">
              <w:rPr>
                <w:rFonts w:eastAsia="Cambria"/>
                <w:sz w:val="22"/>
                <w:szCs w:val="22"/>
              </w:rPr>
              <w:t>1</w:t>
            </w:r>
          </w:p>
        </w:tc>
        <w:tc>
          <w:tcPr>
            <w:tcW w:w="1156" w:type="dxa"/>
          </w:tcPr>
          <w:p w:rsidR="009C5812" w:rsidRPr="00091230" w:rsidRDefault="009C5812" w:rsidP="009C5812">
            <w:pPr>
              <w:jc w:val="center"/>
              <w:rPr>
                <w:rFonts w:eastAsia="Cambria"/>
                <w:sz w:val="22"/>
                <w:szCs w:val="22"/>
              </w:rPr>
            </w:pPr>
          </w:p>
        </w:tc>
        <w:tc>
          <w:tcPr>
            <w:tcW w:w="2114" w:type="dxa"/>
            <w:shd w:val="clear" w:color="auto" w:fill="auto"/>
          </w:tcPr>
          <w:p w:rsidR="009C5812" w:rsidRPr="00091230" w:rsidRDefault="009C5812" w:rsidP="009C5812">
            <w:pPr>
              <w:jc w:val="center"/>
              <w:rPr>
                <w:rFonts w:eastAsia="Cambria"/>
                <w:sz w:val="22"/>
                <w:szCs w:val="22"/>
              </w:rPr>
            </w:pPr>
            <w:r w:rsidRPr="00091230">
              <w:rPr>
                <w:rFonts w:eastAsia="Cambria"/>
                <w:sz w:val="22"/>
                <w:szCs w:val="22"/>
              </w:rPr>
              <w:t>0,1</w:t>
            </w:r>
          </w:p>
        </w:tc>
        <w:tc>
          <w:tcPr>
            <w:tcW w:w="1464" w:type="dxa"/>
            <w:shd w:val="clear" w:color="auto" w:fill="auto"/>
          </w:tcPr>
          <w:p w:rsidR="009C5812" w:rsidRPr="00091230" w:rsidRDefault="009C5812" w:rsidP="009C5812">
            <w:pPr>
              <w:jc w:val="center"/>
              <w:rPr>
                <w:rFonts w:eastAsia="Cambria"/>
                <w:sz w:val="22"/>
                <w:szCs w:val="22"/>
              </w:rPr>
            </w:pPr>
            <w:r w:rsidRPr="00091230">
              <w:rPr>
                <w:rFonts w:eastAsia="Cambria"/>
                <w:sz w:val="22"/>
                <w:szCs w:val="22"/>
              </w:rPr>
              <w:t>1/0,5</w:t>
            </w:r>
          </w:p>
        </w:tc>
        <w:tc>
          <w:tcPr>
            <w:tcW w:w="1662" w:type="dxa"/>
            <w:shd w:val="clear" w:color="auto" w:fill="auto"/>
          </w:tcPr>
          <w:p w:rsidR="009C5812" w:rsidRPr="00091230" w:rsidRDefault="009C5812" w:rsidP="009C5812">
            <w:pPr>
              <w:jc w:val="center"/>
              <w:rPr>
                <w:rFonts w:eastAsia="Cambria"/>
                <w:sz w:val="22"/>
                <w:szCs w:val="22"/>
              </w:rPr>
            </w:pPr>
            <w:r w:rsidRPr="00091230">
              <w:rPr>
                <w:rFonts w:eastAsia="Cambria"/>
                <w:sz w:val="22"/>
                <w:szCs w:val="22"/>
              </w:rPr>
              <w:t>240</w:t>
            </w:r>
          </w:p>
        </w:tc>
      </w:tr>
      <w:tr w:rsidR="009C5812" w:rsidRPr="00091230" w:rsidTr="009C5812">
        <w:trPr>
          <w:trHeight w:val="20"/>
        </w:trPr>
        <w:tc>
          <w:tcPr>
            <w:tcW w:w="704" w:type="dxa"/>
            <w:shd w:val="clear" w:color="auto" w:fill="auto"/>
          </w:tcPr>
          <w:p w:rsidR="009C5812" w:rsidRPr="00091230" w:rsidRDefault="009C5812" w:rsidP="009C5812">
            <w:pPr>
              <w:jc w:val="center"/>
              <w:rPr>
                <w:rFonts w:eastAsia="Cambria"/>
                <w:sz w:val="22"/>
                <w:szCs w:val="22"/>
              </w:rPr>
            </w:pPr>
            <w:r w:rsidRPr="00091230">
              <w:rPr>
                <w:rFonts w:eastAsia="Cambria"/>
                <w:sz w:val="22"/>
                <w:szCs w:val="22"/>
              </w:rPr>
              <w:t>53.</w:t>
            </w:r>
          </w:p>
        </w:tc>
        <w:tc>
          <w:tcPr>
            <w:tcW w:w="2268" w:type="dxa"/>
            <w:shd w:val="clear" w:color="auto" w:fill="auto"/>
          </w:tcPr>
          <w:p w:rsidR="009C5812" w:rsidRPr="00091230" w:rsidRDefault="009C5812" w:rsidP="009C5812">
            <w:pPr>
              <w:ind w:right="30"/>
              <w:jc w:val="both"/>
              <w:rPr>
                <w:rFonts w:eastAsia="Cambria"/>
                <w:sz w:val="22"/>
                <w:szCs w:val="22"/>
              </w:rPr>
            </w:pPr>
            <w:r w:rsidRPr="00091230">
              <w:rPr>
                <w:rFonts w:eastAsia="Cambria"/>
                <w:sz w:val="22"/>
                <w:szCs w:val="22"/>
              </w:rPr>
              <w:t>г.Набережные Челны</w:t>
            </w:r>
          </w:p>
        </w:tc>
        <w:tc>
          <w:tcPr>
            <w:tcW w:w="2410" w:type="dxa"/>
          </w:tcPr>
          <w:p w:rsidR="009C5812" w:rsidRPr="00091230" w:rsidRDefault="009C5812" w:rsidP="009C5812">
            <w:pPr>
              <w:jc w:val="both"/>
              <w:rPr>
                <w:rFonts w:eastAsia="Cambria"/>
                <w:sz w:val="22"/>
                <w:szCs w:val="22"/>
              </w:rPr>
            </w:pPr>
            <w:r w:rsidRPr="00091230">
              <w:rPr>
                <w:sz w:val="22"/>
                <w:szCs w:val="22"/>
              </w:rPr>
              <w:t>ГАУЗ</w:t>
            </w:r>
            <w:r w:rsidRPr="00091230">
              <w:rPr>
                <w:rFonts w:eastAsia="Cambria"/>
                <w:sz w:val="22"/>
                <w:szCs w:val="22"/>
              </w:rPr>
              <w:t xml:space="preserve"> </w:t>
            </w:r>
            <w:r>
              <w:rPr>
                <w:rFonts w:eastAsia="Cambria"/>
                <w:sz w:val="22"/>
                <w:szCs w:val="22"/>
              </w:rPr>
              <w:t>«</w:t>
            </w:r>
            <w:r w:rsidRPr="00091230">
              <w:rPr>
                <w:rFonts w:eastAsia="Cambria"/>
                <w:sz w:val="22"/>
                <w:szCs w:val="22"/>
              </w:rPr>
              <w:t>Госпиталь для ветеранов войн</w:t>
            </w:r>
            <w:r>
              <w:rPr>
                <w:rFonts w:eastAsia="Cambria"/>
                <w:sz w:val="22"/>
                <w:szCs w:val="22"/>
              </w:rPr>
              <w:t>»</w:t>
            </w:r>
            <w:r w:rsidRPr="00091230">
              <w:rPr>
                <w:rFonts w:eastAsia="Cambria"/>
                <w:sz w:val="22"/>
                <w:szCs w:val="22"/>
              </w:rPr>
              <w:t xml:space="preserve"> г.На-бережные Челны</w:t>
            </w:r>
          </w:p>
        </w:tc>
        <w:tc>
          <w:tcPr>
            <w:tcW w:w="1416" w:type="dxa"/>
            <w:shd w:val="clear" w:color="auto" w:fill="auto"/>
          </w:tcPr>
          <w:p w:rsidR="009C5812" w:rsidRPr="00091230" w:rsidRDefault="009C5812" w:rsidP="009C5812">
            <w:pPr>
              <w:jc w:val="center"/>
              <w:rPr>
                <w:rFonts w:eastAsia="Cambria"/>
                <w:sz w:val="22"/>
                <w:szCs w:val="22"/>
              </w:rPr>
            </w:pPr>
            <w:r w:rsidRPr="00091230">
              <w:rPr>
                <w:rFonts w:eastAsia="Cambria"/>
                <w:sz w:val="22"/>
                <w:szCs w:val="22"/>
              </w:rPr>
              <w:t>25 516</w:t>
            </w:r>
          </w:p>
        </w:tc>
        <w:tc>
          <w:tcPr>
            <w:tcW w:w="983" w:type="dxa"/>
            <w:shd w:val="clear" w:color="auto" w:fill="auto"/>
          </w:tcPr>
          <w:p w:rsidR="009C5812" w:rsidRPr="00091230" w:rsidRDefault="009C5812" w:rsidP="009C5812">
            <w:pPr>
              <w:jc w:val="center"/>
              <w:rPr>
                <w:rFonts w:eastAsia="Cambria"/>
                <w:sz w:val="22"/>
                <w:szCs w:val="22"/>
              </w:rPr>
            </w:pPr>
            <w:r w:rsidRPr="00091230">
              <w:rPr>
                <w:rFonts w:eastAsia="Cambria"/>
                <w:sz w:val="22"/>
                <w:szCs w:val="22"/>
              </w:rPr>
              <w:t>1</w:t>
            </w:r>
          </w:p>
        </w:tc>
        <w:tc>
          <w:tcPr>
            <w:tcW w:w="1156" w:type="dxa"/>
          </w:tcPr>
          <w:p w:rsidR="009C5812" w:rsidRPr="00091230" w:rsidRDefault="009C5812" w:rsidP="009C5812">
            <w:pPr>
              <w:jc w:val="center"/>
              <w:rPr>
                <w:rFonts w:eastAsia="Cambria"/>
                <w:sz w:val="22"/>
                <w:szCs w:val="22"/>
              </w:rPr>
            </w:pPr>
          </w:p>
        </w:tc>
        <w:tc>
          <w:tcPr>
            <w:tcW w:w="2114" w:type="dxa"/>
            <w:shd w:val="clear" w:color="auto" w:fill="auto"/>
          </w:tcPr>
          <w:p w:rsidR="009C5812" w:rsidRPr="00091230" w:rsidRDefault="009C5812" w:rsidP="009C5812">
            <w:pPr>
              <w:jc w:val="center"/>
              <w:rPr>
                <w:rFonts w:eastAsia="Cambria"/>
                <w:sz w:val="22"/>
                <w:szCs w:val="22"/>
              </w:rPr>
            </w:pPr>
            <w:r w:rsidRPr="00091230">
              <w:rPr>
                <w:rFonts w:eastAsia="Cambria"/>
                <w:sz w:val="22"/>
                <w:szCs w:val="22"/>
              </w:rPr>
              <w:t>0,1</w:t>
            </w:r>
          </w:p>
        </w:tc>
        <w:tc>
          <w:tcPr>
            <w:tcW w:w="1464" w:type="dxa"/>
            <w:shd w:val="clear" w:color="auto" w:fill="auto"/>
          </w:tcPr>
          <w:p w:rsidR="009C5812" w:rsidRPr="00091230" w:rsidRDefault="009C5812" w:rsidP="009C5812">
            <w:pPr>
              <w:jc w:val="center"/>
              <w:rPr>
                <w:rFonts w:eastAsia="Cambria"/>
                <w:sz w:val="22"/>
                <w:szCs w:val="22"/>
              </w:rPr>
            </w:pPr>
            <w:r w:rsidRPr="00091230">
              <w:rPr>
                <w:rFonts w:eastAsia="Cambria"/>
                <w:sz w:val="22"/>
                <w:szCs w:val="22"/>
              </w:rPr>
              <w:t>1/0,75</w:t>
            </w:r>
          </w:p>
        </w:tc>
        <w:tc>
          <w:tcPr>
            <w:tcW w:w="1662" w:type="dxa"/>
            <w:shd w:val="clear" w:color="auto" w:fill="auto"/>
          </w:tcPr>
          <w:p w:rsidR="009C5812" w:rsidRPr="00091230" w:rsidRDefault="009C5812" w:rsidP="009C5812">
            <w:pPr>
              <w:jc w:val="center"/>
              <w:rPr>
                <w:rFonts w:eastAsia="Cambria"/>
                <w:sz w:val="22"/>
                <w:szCs w:val="22"/>
              </w:rPr>
            </w:pPr>
            <w:r w:rsidRPr="00091230">
              <w:rPr>
                <w:rFonts w:eastAsia="Cambria"/>
                <w:sz w:val="22"/>
                <w:szCs w:val="22"/>
              </w:rPr>
              <w:t>240</w:t>
            </w:r>
          </w:p>
        </w:tc>
      </w:tr>
      <w:tr w:rsidR="009C5812" w:rsidRPr="00091230" w:rsidTr="009C5812">
        <w:trPr>
          <w:trHeight w:val="20"/>
        </w:trPr>
        <w:tc>
          <w:tcPr>
            <w:tcW w:w="704" w:type="dxa"/>
            <w:shd w:val="clear" w:color="auto" w:fill="auto"/>
          </w:tcPr>
          <w:p w:rsidR="009C5812" w:rsidRPr="00091230" w:rsidRDefault="009C5812" w:rsidP="009C5812">
            <w:pPr>
              <w:jc w:val="center"/>
              <w:rPr>
                <w:rFonts w:eastAsia="Cambria"/>
                <w:sz w:val="22"/>
                <w:szCs w:val="22"/>
              </w:rPr>
            </w:pPr>
            <w:r w:rsidRPr="00091230">
              <w:rPr>
                <w:rFonts w:eastAsia="Cambria"/>
                <w:sz w:val="22"/>
                <w:szCs w:val="22"/>
              </w:rPr>
              <w:t>54.</w:t>
            </w:r>
          </w:p>
        </w:tc>
        <w:tc>
          <w:tcPr>
            <w:tcW w:w="2268" w:type="dxa"/>
            <w:shd w:val="clear" w:color="auto" w:fill="auto"/>
          </w:tcPr>
          <w:p w:rsidR="009C5812" w:rsidRPr="00091230" w:rsidRDefault="009C5812" w:rsidP="009C5812">
            <w:pPr>
              <w:ind w:right="30"/>
              <w:jc w:val="both"/>
              <w:rPr>
                <w:rFonts w:eastAsia="Cambria"/>
                <w:sz w:val="22"/>
                <w:szCs w:val="22"/>
              </w:rPr>
            </w:pPr>
            <w:r w:rsidRPr="00091230">
              <w:rPr>
                <w:rFonts w:eastAsia="Cambria"/>
                <w:sz w:val="22"/>
                <w:szCs w:val="22"/>
              </w:rPr>
              <w:t>г.Казань</w:t>
            </w:r>
          </w:p>
        </w:tc>
        <w:tc>
          <w:tcPr>
            <w:tcW w:w="2410" w:type="dxa"/>
          </w:tcPr>
          <w:p w:rsidR="009C5812" w:rsidRPr="00091230" w:rsidRDefault="009C5812" w:rsidP="009C5812">
            <w:pPr>
              <w:jc w:val="both"/>
              <w:rPr>
                <w:sz w:val="22"/>
                <w:szCs w:val="22"/>
              </w:rPr>
            </w:pPr>
            <w:r w:rsidRPr="00091230">
              <w:rPr>
                <w:sz w:val="22"/>
                <w:szCs w:val="22"/>
              </w:rPr>
              <w:t>ГАУЗ</w:t>
            </w:r>
            <w:r w:rsidRPr="00091230">
              <w:rPr>
                <w:rFonts w:eastAsia="Cambria"/>
                <w:sz w:val="22"/>
                <w:szCs w:val="22"/>
              </w:rPr>
              <w:t xml:space="preserve"> </w:t>
            </w:r>
            <w:r>
              <w:rPr>
                <w:rFonts w:eastAsia="Cambria"/>
                <w:sz w:val="22"/>
                <w:szCs w:val="22"/>
              </w:rPr>
              <w:t>«</w:t>
            </w:r>
            <w:r w:rsidRPr="00091230">
              <w:rPr>
                <w:rFonts w:eastAsia="Cambria"/>
                <w:sz w:val="22"/>
                <w:szCs w:val="22"/>
              </w:rPr>
              <w:t>Городская больница № 11</w:t>
            </w:r>
            <w:r>
              <w:rPr>
                <w:rFonts w:eastAsia="Cambria"/>
                <w:sz w:val="22"/>
                <w:szCs w:val="22"/>
              </w:rPr>
              <w:t>»</w:t>
            </w:r>
            <w:r w:rsidRPr="00091230">
              <w:rPr>
                <w:rFonts w:eastAsia="Cambria"/>
                <w:sz w:val="22"/>
                <w:szCs w:val="22"/>
              </w:rPr>
              <w:t xml:space="preserve"> г.Казани </w:t>
            </w:r>
          </w:p>
        </w:tc>
        <w:tc>
          <w:tcPr>
            <w:tcW w:w="1416" w:type="dxa"/>
            <w:shd w:val="clear" w:color="auto" w:fill="auto"/>
          </w:tcPr>
          <w:p w:rsidR="009C5812" w:rsidRPr="00091230" w:rsidRDefault="009C5812" w:rsidP="009C5812">
            <w:pPr>
              <w:jc w:val="center"/>
              <w:rPr>
                <w:rFonts w:eastAsia="Cambria"/>
                <w:sz w:val="22"/>
                <w:szCs w:val="22"/>
              </w:rPr>
            </w:pPr>
            <w:r w:rsidRPr="00091230">
              <w:rPr>
                <w:rFonts w:eastAsia="Cambria"/>
                <w:sz w:val="22"/>
                <w:szCs w:val="22"/>
              </w:rPr>
              <w:t>34 626</w:t>
            </w:r>
          </w:p>
        </w:tc>
        <w:tc>
          <w:tcPr>
            <w:tcW w:w="983" w:type="dxa"/>
            <w:shd w:val="clear" w:color="auto" w:fill="auto"/>
          </w:tcPr>
          <w:p w:rsidR="009C5812" w:rsidRPr="00091230" w:rsidRDefault="009C5812" w:rsidP="009C5812">
            <w:pPr>
              <w:jc w:val="center"/>
              <w:rPr>
                <w:rFonts w:eastAsia="Cambria"/>
                <w:sz w:val="22"/>
                <w:szCs w:val="22"/>
              </w:rPr>
            </w:pPr>
            <w:r w:rsidRPr="00091230">
              <w:rPr>
                <w:rFonts w:eastAsia="Cambria"/>
                <w:sz w:val="22"/>
                <w:szCs w:val="22"/>
              </w:rPr>
              <w:t>1</w:t>
            </w:r>
          </w:p>
        </w:tc>
        <w:tc>
          <w:tcPr>
            <w:tcW w:w="1156" w:type="dxa"/>
          </w:tcPr>
          <w:p w:rsidR="009C5812" w:rsidRPr="00091230" w:rsidRDefault="009C5812" w:rsidP="009C5812">
            <w:pPr>
              <w:jc w:val="center"/>
              <w:rPr>
                <w:rFonts w:eastAsia="Cambria"/>
                <w:sz w:val="22"/>
                <w:szCs w:val="22"/>
              </w:rPr>
            </w:pPr>
          </w:p>
        </w:tc>
        <w:tc>
          <w:tcPr>
            <w:tcW w:w="2114" w:type="dxa"/>
            <w:shd w:val="clear" w:color="auto" w:fill="auto"/>
          </w:tcPr>
          <w:p w:rsidR="009C5812" w:rsidRPr="00091230" w:rsidRDefault="009C5812" w:rsidP="009C5812">
            <w:pPr>
              <w:jc w:val="center"/>
              <w:rPr>
                <w:rFonts w:eastAsia="Cambria"/>
                <w:sz w:val="22"/>
                <w:szCs w:val="22"/>
              </w:rPr>
            </w:pPr>
            <w:r w:rsidRPr="00091230">
              <w:rPr>
                <w:rFonts w:eastAsia="Cambria"/>
                <w:sz w:val="22"/>
                <w:szCs w:val="22"/>
              </w:rPr>
              <w:t>0,1</w:t>
            </w:r>
          </w:p>
        </w:tc>
        <w:tc>
          <w:tcPr>
            <w:tcW w:w="1464" w:type="dxa"/>
            <w:shd w:val="clear" w:color="auto" w:fill="auto"/>
          </w:tcPr>
          <w:p w:rsidR="009C5812" w:rsidRPr="00091230" w:rsidRDefault="009C5812" w:rsidP="009C5812">
            <w:pPr>
              <w:jc w:val="center"/>
              <w:rPr>
                <w:sz w:val="22"/>
                <w:szCs w:val="22"/>
              </w:rPr>
            </w:pPr>
            <w:r w:rsidRPr="00091230">
              <w:rPr>
                <w:rFonts w:eastAsia="Cambria"/>
                <w:sz w:val="22"/>
                <w:szCs w:val="22"/>
              </w:rPr>
              <w:t>1/1</w:t>
            </w:r>
          </w:p>
        </w:tc>
        <w:tc>
          <w:tcPr>
            <w:tcW w:w="1662" w:type="dxa"/>
            <w:shd w:val="clear" w:color="auto" w:fill="auto"/>
          </w:tcPr>
          <w:p w:rsidR="009C5812" w:rsidRPr="00091230" w:rsidRDefault="009C5812" w:rsidP="009C5812">
            <w:pPr>
              <w:jc w:val="center"/>
              <w:rPr>
                <w:rFonts w:eastAsia="Cambria"/>
                <w:sz w:val="22"/>
                <w:szCs w:val="22"/>
              </w:rPr>
            </w:pPr>
            <w:r w:rsidRPr="00091230">
              <w:rPr>
                <w:rFonts w:eastAsia="Cambria"/>
                <w:sz w:val="22"/>
                <w:szCs w:val="22"/>
              </w:rPr>
              <w:t>11</w:t>
            </w:r>
          </w:p>
        </w:tc>
      </w:tr>
      <w:tr w:rsidR="009C5812" w:rsidRPr="00091230" w:rsidTr="009C5812">
        <w:trPr>
          <w:trHeight w:val="20"/>
        </w:trPr>
        <w:tc>
          <w:tcPr>
            <w:tcW w:w="704" w:type="dxa"/>
            <w:shd w:val="clear" w:color="auto" w:fill="auto"/>
          </w:tcPr>
          <w:p w:rsidR="009C5812" w:rsidRPr="00091230" w:rsidRDefault="009C5812" w:rsidP="009C5812">
            <w:pPr>
              <w:jc w:val="center"/>
              <w:rPr>
                <w:rFonts w:eastAsia="Cambria"/>
                <w:sz w:val="22"/>
                <w:szCs w:val="22"/>
              </w:rPr>
            </w:pPr>
            <w:r w:rsidRPr="00091230">
              <w:rPr>
                <w:rFonts w:eastAsia="Cambria"/>
                <w:sz w:val="22"/>
                <w:szCs w:val="22"/>
              </w:rPr>
              <w:t>55.</w:t>
            </w:r>
          </w:p>
        </w:tc>
        <w:tc>
          <w:tcPr>
            <w:tcW w:w="2268" w:type="dxa"/>
            <w:shd w:val="clear" w:color="auto" w:fill="auto"/>
          </w:tcPr>
          <w:p w:rsidR="009C5812" w:rsidRPr="00091230" w:rsidRDefault="009C5812" w:rsidP="009C5812">
            <w:pPr>
              <w:ind w:right="30"/>
              <w:jc w:val="both"/>
              <w:rPr>
                <w:rFonts w:eastAsia="Cambria"/>
                <w:sz w:val="22"/>
                <w:szCs w:val="22"/>
              </w:rPr>
            </w:pPr>
            <w:r w:rsidRPr="00091230">
              <w:rPr>
                <w:rFonts w:eastAsia="Cambria"/>
                <w:sz w:val="22"/>
                <w:szCs w:val="22"/>
              </w:rPr>
              <w:t>г.Казань</w:t>
            </w:r>
          </w:p>
        </w:tc>
        <w:tc>
          <w:tcPr>
            <w:tcW w:w="2410" w:type="dxa"/>
          </w:tcPr>
          <w:p w:rsidR="009C5812" w:rsidRPr="00091230" w:rsidRDefault="009C5812" w:rsidP="009C5812">
            <w:pPr>
              <w:jc w:val="both"/>
              <w:rPr>
                <w:rFonts w:eastAsia="Cambria"/>
                <w:sz w:val="22"/>
                <w:szCs w:val="22"/>
              </w:rPr>
            </w:pPr>
            <w:r w:rsidRPr="00091230">
              <w:rPr>
                <w:sz w:val="22"/>
                <w:szCs w:val="22"/>
              </w:rPr>
              <w:t>ГАУЗ</w:t>
            </w:r>
            <w:r w:rsidRPr="00091230">
              <w:rPr>
                <w:rFonts w:eastAsia="Cambria"/>
                <w:sz w:val="22"/>
                <w:szCs w:val="22"/>
              </w:rPr>
              <w:t xml:space="preserve"> </w:t>
            </w:r>
            <w:r>
              <w:rPr>
                <w:rFonts w:eastAsia="Cambria"/>
                <w:sz w:val="22"/>
                <w:szCs w:val="22"/>
              </w:rPr>
              <w:t>«</w:t>
            </w:r>
            <w:r w:rsidRPr="00091230">
              <w:rPr>
                <w:rFonts w:eastAsia="Cambria"/>
                <w:sz w:val="22"/>
                <w:szCs w:val="22"/>
              </w:rPr>
              <w:t xml:space="preserve">Городская клиническая больница </w:t>
            </w:r>
            <w:r w:rsidRPr="00091230">
              <w:rPr>
                <w:rFonts w:eastAsia="Cambria"/>
                <w:sz w:val="22"/>
                <w:szCs w:val="22"/>
              </w:rPr>
              <w:br/>
              <w:t>№ 16</w:t>
            </w:r>
            <w:r>
              <w:rPr>
                <w:rFonts w:eastAsia="Cambria"/>
                <w:sz w:val="22"/>
                <w:szCs w:val="22"/>
              </w:rPr>
              <w:t>»</w:t>
            </w:r>
            <w:r w:rsidRPr="00091230">
              <w:rPr>
                <w:rFonts w:eastAsia="Cambria"/>
                <w:sz w:val="22"/>
                <w:szCs w:val="22"/>
              </w:rPr>
              <w:t xml:space="preserve"> г.Казани</w:t>
            </w:r>
          </w:p>
        </w:tc>
        <w:tc>
          <w:tcPr>
            <w:tcW w:w="1416" w:type="dxa"/>
            <w:shd w:val="clear" w:color="auto" w:fill="auto"/>
          </w:tcPr>
          <w:p w:rsidR="009C5812" w:rsidRPr="00091230" w:rsidRDefault="009C5812" w:rsidP="009C5812">
            <w:pPr>
              <w:jc w:val="center"/>
              <w:rPr>
                <w:rFonts w:eastAsia="Cambria"/>
                <w:sz w:val="22"/>
                <w:szCs w:val="22"/>
              </w:rPr>
            </w:pPr>
            <w:r w:rsidRPr="00091230">
              <w:rPr>
                <w:rFonts w:eastAsia="Cambria"/>
                <w:sz w:val="22"/>
                <w:szCs w:val="22"/>
              </w:rPr>
              <w:t>56 019</w:t>
            </w:r>
          </w:p>
        </w:tc>
        <w:tc>
          <w:tcPr>
            <w:tcW w:w="983" w:type="dxa"/>
            <w:shd w:val="clear" w:color="auto" w:fill="auto"/>
          </w:tcPr>
          <w:p w:rsidR="009C5812" w:rsidRPr="00091230" w:rsidRDefault="009C5812" w:rsidP="009C5812">
            <w:pPr>
              <w:jc w:val="center"/>
              <w:rPr>
                <w:rFonts w:eastAsia="Cambria"/>
                <w:sz w:val="22"/>
                <w:szCs w:val="22"/>
              </w:rPr>
            </w:pPr>
            <w:r w:rsidRPr="00091230">
              <w:rPr>
                <w:rFonts w:eastAsia="Cambria"/>
                <w:sz w:val="22"/>
                <w:szCs w:val="22"/>
              </w:rPr>
              <w:t>1</w:t>
            </w:r>
          </w:p>
        </w:tc>
        <w:tc>
          <w:tcPr>
            <w:tcW w:w="1156" w:type="dxa"/>
          </w:tcPr>
          <w:p w:rsidR="009C5812" w:rsidRPr="00091230" w:rsidRDefault="009C5812" w:rsidP="009C5812">
            <w:pPr>
              <w:jc w:val="center"/>
              <w:rPr>
                <w:rFonts w:eastAsia="Cambria"/>
                <w:sz w:val="22"/>
                <w:szCs w:val="22"/>
              </w:rPr>
            </w:pPr>
          </w:p>
        </w:tc>
        <w:tc>
          <w:tcPr>
            <w:tcW w:w="2114" w:type="dxa"/>
            <w:shd w:val="clear" w:color="auto" w:fill="auto"/>
          </w:tcPr>
          <w:p w:rsidR="009C5812" w:rsidRPr="00091230" w:rsidRDefault="009C5812" w:rsidP="009C5812">
            <w:pPr>
              <w:jc w:val="center"/>
              <w:rPr>
                <w:rFonts w:eastAsia="Cambria"/>
                <w:sz w:val="22"/>
                <w:szCs w:val="22"/>
              </w:rPr>
            </w:pPr>
            <w:r w:rsidRPr="00091230">
              <w:rPr>
                <w:rFonts w:eastAsia="Cambria"/>
                <w:sz w:val="22"/>
                <w:szCs w:val="22"/>
              </w:rPr>
              <w:t>0,1</w:t>
            </w:r>
          </w:p>
        </w:tc>
        <w:tc>
          <w:tcPr>
            <w:tcW w:w="1464" w:type="dxa"/>
            <w:shd w:val="clear" w:color="auto" w:fill="auto"/>
          </w:tcPr>
          <w:p w:rsidR="009C5812" w:rsidRPr="00091230" w:rsidRDefault="009C5812" w:rsidP="009C5812">
            <w:pPr>
              <w:jc w:val="center"/>
              <w:rPr>
                <w:rFonts w:eastAsia="Cambria"/>
                <w:sz w:val="22"/>
                <w:szCs w:val="22"/>
              </w:rPr>
            </w:pPr>
            <w:r w:rsidRPr="00091230">
              <w:rPr>
                <w:rFonts w:eastAsia="Cambria"/>
                <w:sz w:val="22"/>
                <w:szCs w:val="22"/>
              </w:rPr>
              <w:t>1/2,5</w:t>
            </w:r>
          </w:p>
        </w:tc>
        <w:tc>
          <w:tcPr>
            <w:tcW w:w="1662" w:type="dxa"/>
            <w:shd w:val="clear" w:color="auto" w:fill="auto"/>
          </w:tcPr>
          <w:p w:rsidR="009C5812" w:rsidRPr="00091230" w:rsidRDefault="009C5812" w:rsidP="009C5812">
            <w:pPr>
              <w:jc w:val="center"/>
              <w:rPr>
                <w:rFonts w:eastAsia="Cambria"/>
                <w:sz w:val="22"/>
                <w:szCs w:val="22"/>
              </w:rPr>
            </w:pPr>
            <w:r w:rsidRPr="00091230">
              <w:rPr>
                <w:rFonts w:eastAsia="Cambria"/>
                <w:sz w:val="22"/>
                <w:szCs w:val="22"/>
              </w:rPr>
              <w:t>9</w:t>
            </w:r>
          </w:p>
        </w:tc>
      </w:tr>
      <w:tr w:rsidR="009C5812" w:rsidRPr="00091230" w:rsidTr="009C5812">
        <w:trPr>
          <w:trHeight w:val="20"/>
        </w:trPr>
        <w:tc>
          <w:tcPr>
            <w:tcW w:w="704" w:type="dxa"/>
            <w:shd w:val="clear" w:color="auto" w:fill="auto"/>
          </w:tcPr>
          <w:p w:rsidR="009C5812" w:rsidRPr="00091230" w:rsidRDefault="009C5812" w:rsidP="009C5812">
            <w:pPr>
              <w:jc w:val="center"/>
              <w:rPr>
                <w:rFonts w:eastAsia="Cambria"/>
                <w:sz w:val="22"/>
                <w:szCs w:val="22"/>
              </w:rPr>
            </w:pPr>
            <w:r w:rsidRPr="00091230">
              <w:rPr>
                <w:rFonts w:eastAsia="Cambria"/>
                <w:sz w:val="22"/>
                <w:szCs w:val="22"/>
              </w:rPr>
              <w:t>56.</w:t>
            </w:r>
          </w:p>
        </w:tc>
        <w:tc>
          <w:tcPr>
            <w:tcW w:w="2268" w:type="dxa"/>
            <w:shd w:val="clear" w:color="auto" w:fill="auto"/>
          </w:tcPr>
          <w:p w:rsidR="009C5812" w:rsidRPr="00091230" w:rsidRDefault="009C5812" w:rsidP="009C5812">
            <w:pPr>
              <w:ind w:right="30"/>
              <w:jc w:val="both"/>
              <w:rPr>
                <w:rFonts w:eastAsia="Cambria"/>
                <w:sz w:val="22"/>
                <w:szCs w:val="22"/>
              </w:rPr>
            </w:pPr>
            <w:r w:rsidRPr="00091230">
              <w:rPr>
                <w:rFonts w:eastAsia="Cambria"/>
                <w:sz w:val="22"/>
                <w:szCs w:val="22"/>
              </w:rPr>
              <w:t>г.Казань</w:t>
            </w:r>
          </w:p>
        </w:tc>
        <w:tc>
          <w:tcPr>
            <w:tcW w:w="2410" w:type="dxa"/>
          </w:tcPr>
          <w:p w:rsidR="009C5812" w:rsidRPr="00E3265F" w:rsidRDefault="009C5812" w:rsidP="009C5812">
            <w:pPr>
              <w:jc w:val="both"/>
              <w:rPr>
                <w:color w:val="000000"/>
                <w:sz w:val="22"/>
                <w:szCs w:val="22"/>
              </w:rPr>
            </w:pPr>
            <w:r w:rsidRPr="00E3265F">
              <w:rPr>
                <w:color w:val="000000"/>
                <w:sz w:val="22"/>
                <w:szCs w:val="22"/>
              </w:rPr>
              <w:t xml:space="preserve">ГАУЗ </w:t>
            </w:r>
            <w:r>
              <w:rPr>
                <w:color w:val="000000"/>
                <w:sz w:val="22"/>
                <w:szCs w:val="22"/>
              </w:rPr>
              <w:t>«</w:t>
            </w:r>
            <w:r w:rsidRPr="00E3265F">
              <w:rPr>
                <w:color w:val="000000"/>
                <w:sz w:val="22"/>
                <w:szCs w:val="22"/>
              </w:rPr>
              <w:t xml:space="preserve">Городская клиническая больница </w:t>
            </w:r>
            <w:r>
              <w:rPr>
                <w:color w:val="000000"/>
                <w:sz w:val="22"/>
                <w:szCs w:val="22"/>
              </w:rPr>
              <w:br/>
            </w:r>
            <w:r w:rsidRPr="00E3265F">
              <w:rPr>
                <w:color w:val="000000"/>
                <w:sz w:val="22"/>
                <w:szCs w:val="22"/>
              </w:rPr>
              <w:t>№</w:t>
            </w:r>
            <w:r>
              <w:rPr>
                <w:color w:val="000000"/>
                <w:sz w:val="22"/>
                <w:szCs w:val="22"/>
              </w:rPr>
              <w:t xml:space="preserve"> 7 им.М.Н.</w:t>
            </w:r>
            <w:r w:rsidRPr="00E3265F">
              <w:rPr>
                <w:color w:val="000000"/>
                <w:sz w:val="22"/>
                <w:szCs w:val="22"/>
              </w:rPr>
              <w:t>Садыко</w:t>
            </w:r>
            <w:r>
              <w:rPr>
                <w:color w:val="000000"/>
                <w:sz w:val="22"/>
                <w:szCs w:val="22"/>
              </w:rPr>
              <w:t>-</w:t>
            </w:r>
            <w:r w:rsidRPr="00E3265F">
              <w:rPr>
                <w:color w:val="000000"/>
                <w:sz w:val="22"/>
                <w:szCs w:val="22"/>
              </w:rPr>
              <w:t>ва</w:t>
            </w:r>
            <w:r>
              <w:rPr>
                <w:color w:val="000000"/>
                <w:sz w:val="22"/>
                <w:szCs w:val="22"/>
              </w:rPr>
              <w:t>»</w:t>
            </w:r>
            <w:r w:rsidRPr="00E3265F">
              <w:rPr>
                <w:color w:val="000000"/>
                <w:sz w:val="22"/>
                <w:szCs w:val="22"/>
              </w:rPr>
              <w:t xml:space="preserve"> г.Казани</w:t>
            </w:r>
          </w:p>
        </w:tc>
        <w:tc>
          <w:tcPr>
            <w:tcW w:w="1416" w:type="dxa"/>
            <w:shd w:val="clear" w:color="auto" w:fill="auto"/>
          </w:tcPr>
          <w:p w:rsidR="009C5812" w:rsidRPr="00091230" w:rsidRDefault="009C5812" w:rsidP="009C5812">
            <w:pPr>
              <w:jc w:val="center"/>
              <w:rPr>
                <w:rFonts w:eastAsia="Cambria"/>
                <w:sz w:val="22"/>
                <w:szCs w:val="22"/>
              </w:rPr>
            </w:pPr>
            <w:r w:rsidRPr="00091230">
              <w:rPr>
                <w:rFonts w:eastAsia="Cambria"/>
                <w:sz w:val="22"/>
                <w:szCs w:val="22"/>
              </w:rPr>
              <w:t>87 134</w:t>
            </w:r>
          </w:p>
        </w:tc>
        <w:tc>
          <w:tcPr>
            <w:tcW w:w="983" w:type="dxa"/>
            <w:shd w:val="clear" w:color="auto" w:fill="auto"/>
          </w:tcPr>
          <w:p w:rsidR="009C5812" w:rsidRPr="00091230" w:rsidRDefault="009C5812" w:rsidP="009C5812">
            <w:pPr>
              <w:jc w:val="center"/>
              <w:rPr>
                <w:rFonts w:eastAsia="Cambria"/>
                <w:sz w:val="22"/>
                <w:szCs w:val="22"/>
              </w:rPr>
            </w:pPr>
            <w:r w:rsidRPr="00091230">
              <w:rPr>
                <w:rFonts w:eastAsia="Cambria"/>
                <w:sz w:val="22"/>
                <w:szCs w:val="22"/>
              </w:rPr>
              <w:t>1</w:t>
            </w:r>
          </w:p>
        </w:tc>
        <w:tc>
          <w:tcPr>
            <w:tcW w:w="1156" w:type="dxa"/>
          </w:tcPr>
          <w:p w:rsidR="009C5812" w:rsidRPr="00091230" w:rsidRDefault="009C5812" w:rsidP="009C5812">
            <w:pPr>
              <w:jc w:val="center"/>
              <w:rPr>
                <w:rFonts w:eastAsia="Cambria"/>
                <w:sz w:val="22"/>
                <w:szCs w:val="22"/>
              </w:rPr>
            </w:pPr>
          </w:p>
        </w:tc>
        <w:tc>
          <w:tcPr>
            <w:tcW w:w="2114" w:type="dxa"/>
            <w:shd w:val="clear" w:color="auto" w:fill="auto"/>
          </w:tcPr>
          <w:p w:rsidR="009C5812" w:rsidRPr="00091230" w:rsidRDefault="009C5812" w:rsidP="009C5812">
            <w:pPr>
              <w:jc w:val="center"/>
              <w:rPr>
                <w:rFonts w:eastAsia="Cambria"/>
                <w:sz w:val="22"/>
                <w:szCs w:val="22"/>
              </w:rPr>
            </w:pPr>
            <w:r w:rsidRPr="00091230">
              <w:rPr>
                <w:rFonts w:eastAsia="Cambria"/>
                <w:sz w:val="22"/>
                <w:szCs w:val="22"/>
              </w:rPr>
              <w:t>0,1</w:t>
            </w:r>
          </w:p>
        </w:tc>
        <w:tc>
          <w:tcPr>
            <w:tcW w:w="1464" w:type="dxa"/>
            <w:shd w:val="clear" w:color="auto" w:fill="auto"/>
          </w:tcPr>
          <w:p w:rsidR="009C5812" w:rsidRPr="00091230" w:rsidRDefault="009C5812" w:rsidP="009C5812">
            <w:pPr>
              <w:jc w:val="center"/>
              <w:rPr>
                <w:rFonts w:eastAsia="Cambria"/>
                <w:sz w:val="22"/>
                <w:szCs w:val="22"/>
              </w:rPr>
            </w:pPr>
            <w:r w:rsidRPr="00091230">
              <w:rPr>
                <w:rFonts w:eastAsia="Cambria"/>
                <w:sz w:val="22"/>
                <w:szCs w:val="22"/>
              </w:rPr>
              <w:t>1/1,75</w:t>
            </w:r>
          </w:p>
        </w:tc>
        <w:tc>
          <w:tcPr>
            <w:tcW w:w="1662" w:type="dxa"/>
            <w:shd w:val="clear" w:color="auto" w:fill="auto"/>
          </w:tcPr>
          <w:p w:rsidR="009C5812" w:rsidRPr="00091230" w:rsidRDefault="009C5812" w:rsidP="009C5812">
            <w:pPr>
              <w:jc w:val="center"/>
              <w:rPr>
                <w:rFonts w:eastAsia="Cambria"/>
                <w:sz w:val="22"/>
                <w:szCs w:val="22"/>
              </w:rPr>
            </w:pPr>
            <w:r w:rsidRPr="00091230">
              <w:rPr>
                <w:rFonts w:eastAsia="Cambria"/>
                <w:sz w:val="22"/>
                <w:szCs w:val="22"/>
              </w:rPr>
              <w:t>5</w:t>
            </w:r>
          </w:p>
        </w:tc>
      </w:tr>
      <w:tr w:rsidR="009C5812" w:rsidRPr="00091230" w:rsidTr="009C5812">
        <w:trPr>
          <w:trHeight w:val="20"/>
        </w:trPr>
        <w:tc>
          <w:tcPr>
            <w:tcW w:w="704" w:type="dxa"/>
            <w:shd w:val="clear" w:color="auto" w:fill="auto"/>
          </w:tcPr>
          <w:p w:rsidR="009C5812" w:rsidRPr="00091230" w:rsidRDefault="009C5812" w:rsidP="009C5812">
            <w:pPr>
              <w:jc w:val="center"/>
              <w:rPr>
                <w:rFonts w:eastAsia="Cambria"/>
                <w:sz w:val="22"/>
                <w:szCs w:val="22"/>
              </w:rPr>
            </w:pPr>
            <w:r w:rsidRPr="00091230">
              <w:rPr>
                <w:rFonts w:eastAsia="Cambria"/>
                <w:sz w:val="22"/>
                <w:szCs w:val="22"/>
              </w:rPr>
              <w:t>57.</w:t>
            </w:r>
          </w:p>
        </w:tc>
        <w:tc>
          <w:tcPr>
            <w:tcW w:w="2268" w:type="dxa"/>
            <w:shd w:val="clear" w:color="auto" w:fill="auto"/>
          </w:tcPr>
          <w:p w:rsidR="009C5812" w:rsidRPr="00091230" w:rsidRDefault="009C5812" w:rsidP="009C5812">
            <w:pPr>
              <w:ind w:right="30"/>
              <w:jc w:val="both"/>
              <w:rPr>
                <w:rFonts w:eastAsia="Cambria"/>
                <w:sz w:val="22"/>
                <w:szCs w:val="22"/>
              </w:rPr>
            </w:pPr>
            <w:r w:rsidRPr="00091230">
              <w:rPr>
                <w:rFonts w:eastAsia="Cambria"/>
                <w:sz w:val="22"/>
                <w:szCs w:val="22"/>
              </w:rPr>
              <w:t>г.Казань</w:t>
            </w:r>
          </w:p>
        </w:tc>
        <w:tc>
          <w:tcPr>
            <w:tcW w:w="2410" w:type="dxa"/>
          </w:tcPr>
          <w:p w:rsidR="009C5812" w:rsidRPr="00091230" w:rsidRDefault="009C5812" w:rsidP="009C5812">
            <w:pPr>
              <w:jc w:val="both"/>
              <w:rPr>
                <w:rFonts w:eastAsia="Cambria"/>
                <w:sz w:val="22"/>
                <w:szCs w:val="22"/>
              </w:rPr>
            </w:pPr>
            <w:r w:rsidRPr="00091230">
              <w:rPr>
                <w:sz w:val="22"/>
                <w:szCs w:val="22"/>
              </w:rPr>
              <w:t>ГАУЗ</w:t>
            </w:r>
            <w:r w:rsidRPr="00091230">
              <w:rPr>
                <w:rFonts w:eastAsia="Cambria"/>
                <w:sz w:val="22"/>
                <w:szCs w:val="22"/>
              </w:rPr>
              <w:t xml:space="preserve"> </w:t>
            </w:r>
            <w:r>
              <w:rPr>
                <w:rFonts w:eastAsia="Cambria"/>
                <w:sz w:val="22"/>
                <w:szCs w:val="22"/>
              </w:rPr>
              <w:t>«</w:t>
            </w:r>
            <w:r w:rsidRPr="00091230">
              <w:rPr>
                <w:rFonts w:eastAsia="Cambria"/>
                <w:sz w:val="22"/>
                <w:szCs w:val="22"/>
              </w:rPr>
              <w:t>Городская поликлиника № 10</w:t>
            </w:r>
            <w:r>
              <w:rPr>
                <w:rFonts w:eastAsia="Cambria"/>
                <w:sz w:val="22"/>
                <w:szCs w:val="22"/>
              </w:rPr>
              <w:t>»</w:t>
            </w:r>
            <w:r w:rsidRPr="00091230">
              <w:rPr>
                <w:rFonts w:eastAsia="Cambria"/>
                <w:sz w:val="22"/>
                <w:szCs w:val="22"/>
              </w:rPr>
              <w:t xml:space="preserve"> г.Казани</w:t>
            </w:r>
          </w:p>
        </w:tc>
        <w:tc>
          <w:tcPr>
            <w:tcW w:w="1416" w:type="dxa"/>
            <w:shd w:val="clear" w:color="auto" w:fill="auto"/>
          </w:tcPr>
          <w:p w:rsidR="009C5812" w:rsidRPr="00091230" w:rsidRDefault="009C5812" w:rsidP="009C5812">
            <w:pPr>
              <w:jc w:val="center"/>
              <w:rPr>
                <w:rFonts w:eastAsia="Cambria"/>
                <w:sz w:val="22"/>
                <w:szCs w:val="22"/>
              </w:rPr>
            </w:pPr>
            <w:r w:rsidRPr="00091230">
              <w:rPr>
                <w:rFonts w:eastAsia="Cambria"/>
                <w:sz w:val="22"/>
                <w:szCs w:val="22"/>
              </w:rPr>
              <w:t>92 186</w:t>
            </w:r>
          </w:p>
        </w:tc>
        <w:tc>
          <w:tcPr>
            <w:tcW w:w="983" w:type="dxa"/>
            <w:shd w:val="clear" w:color="auto" w:fill="auto"/>
          </w:tcPr>
          <w:p w:rsidR="009C5812" w:rsidRPr="00091230" w:rsidRDefault="009C5812" w:rsidP="009C5812">
            <w:pPr>
              <w:jc w:val="center"/>
              <w:rPr>
                <w:rFonts w:eastAsia="Cambria"/>
                <w:sz w:val="22"/>
                <w:szCs w:val="22"/>
              </w:rPr>
            </w:pPr>
            <w:r w:rsidRPr="00091230">
              <w:rPr>
                <w:rFonts w:eastAsia="Cambria"/>
                <w:sz w:val="22"/>
                <w:szCs w:val="22"/>
              </w:rPr>
              <w:t>1</w:t>
            </w:r>
          </w:p>
        </w:tc>
        <w:tc>
          <w:tcPr>
            <w:tcW w:w="1156" w:type="dxa"/>
          </w:tcPr>
          <w:p w:rsidR="009C5812" w:rsidRPr="00091230" w:rsidRDefault="009C5812" w:rsidP="009C5812">
            <w:pPr>
              <w:jc w:val="center"/>
              <w:rPr>
                <w:rFonts w:eastAsia="Cambria"/>
                <w:sz w:val="22"/>
                <w:szCs w:val="22"/>
              </w:rPr>
            </w:pPr>
          </w:p>
        </w:tc>
        <w:tc>
          <w:tcPr>
            <w:tcW w:w="2114" w:type="dxa"/>
            <w:shd w:val="clear" w:color="auto" w:fill="auto"/>
          </w:tcPr>
          <w:p w:rsidR="009C5812" w:rsidRPr="00091230" w:rsidRDefault="009C5812" w:rsidP="009C5812">
            <w:pPr>
              <w:jc w:val="center"/>
              <w:rPr>
                <w:rFonts w:eastAsia="Cambria"/>
                <w:sz w:val="22"/>
                <w:szCs w:val="22"/>
              </w:rPr>
            </w:pPr>
            <w:r w:rsidRPr="00091230">
              <w:rPr>
                <w:rFonts w:eastAsia="Cambria"/>
                <w:sz w:val="22"/>
                <w:szCs w:val="22"/>
              </w:rPr>
              <w:t>0,1</w:t>
            </w:r>
          </w:p>
        </w:tc>
        <w:tc>
          <w:tcPr>
            <w:tcW w:w="1464" w:type="dxa"/>
            <w:shd w:val="clear" w:color="auto" w:fill="auto"/>
          </w:tcPr>
          <w:p w:rsidR="009C5812" w:rsidRPr="00091230" w:rsidRDefault="009C5812" w:rsidP="009C5812">
            <w:pPr>
              <w:jc w:val="center"/>
              <w:rPr>
                <w:rFonts w:eastAsia="Cambria"/>
                <w:sz w:val="22"/>
                <w:szCs w:val="22"/>
              </w:rPr>
            </w:pPr>
            <w:r w:rsidRPr="00091230">
              <w:rPr>
                <w:rFonts w:eastAsia="Cambria"/>
                <w:sz w:val="22"/>
                <w:szCs w:val="22"/>
              </w:rPr>
              <w:t>2/2</w:t>
            </w:r>
          </w:p>
        </w:tc>
        <w:tc>
          <w:tcPr>
            <w:tcW w:w="1662" w:type="dxa"/>
            <w:shd w:val="clear" w:color="auto" w:fill="auto"/>
          </w:tcPr>
          <w:p w:rsidR="009C5812" w:rsidRPr="00091230" w:rsidRDefault="009C5812" w:rsidP="009C5812">
            <w:pPr>
              <w:jc w:val="center"/>
              <w:rPr>
                <w:rFonts w:eastAsia="Cambria"/>
                <w:sz w:val="22"/>
                <w:szCs w:val="22"/>
              </w:rPr>
            </w:pPr>
            <w:r w:rsidRPr="00091230">
              <w:rPr>
                <w:rFonts w:eastAsia="Cambria"/>
                <w:sz w:val="22"/>
                <w:szCs w:val="22"/>
              </w:rPr>
              <w:t>7</w:t>
            </w:r>
          </w:p>
        </w:tc>
      </w:tr>
      <w:tr w:rsidR="009C5812" w:rsidRPr="00091230" w:rsidTr="009C5812">
        <w:trPr>
          <w:trHeight w:val="20"/>
        </w:trPr>
        <w:tc>
          <w:tcPr>
            <w:tcW w:w="704" w:type="dxa"/>
            <w:shd w:val="clear" w:color="auto" w:fill="auto"/>
          </w:tcPr>
          <w:p w:rsidR="009C5812" w:rsidRPr="00091230" w:rsidRDefault="009C5812" w:rsidP="009C5812">
            <w:pPr>
              <w:jc w:val="center"/>
              <w:rPr>
                <w:rFonts w:eastAsia="Cambria"/>
                <w:sz w:val="22"/>
                <w:szCs w:val="22"/>
              </w:rPr>
            </w:pPr>
            <w:r w:rsidRPr="00091230">
              <w:rPr>
                <w:rFonts w:eastAsia="Cambria"/>
                <w:sz w:val="22"/>
                <w:szCs w:val="22"/>
              </w:rPr>
              <w:t>58.</w:t>
            </w:r>
          </w:p>
        </w:tc>
        <w:tc>
          <w:tcPr>
            <w:tcW w:w="2268" w:type="dxa"/>
            <w:shd w:val="clear" w:color="auto" w:fill="auto"/>
          </w:tcPr>
          <w:p w:rsidR="009C5812" w:rsidRPr="00091230" w:rsidRDefault="009C5812" w:rsidP="009C5812">
            <w:pPr>
              <w:ind w:right="30"/>
              <w:jc w:val="both"/>
              <w:rPr>
                <w:rFonts w:eastAsia="Cambria"/>
                <w:sz w:val="22"/>
                <w:szCs w:val="22"/>
              </w:rPr>
            </w:pPr>
            <w:r w:rsidRPr="00091230">
              <w:rPr>
                <w:rFonts w:eastAsia="Cambria"/>
                <w:sz w:val="22"/>
                <w:szCs w:val="22"/>
              </w:rPr>
              <w:t>г.Казань</w:t>
            </w:r>
          </w:p>
        </w:tc>
        <w:tc>
          <w:tcPr>
            <w:tcW w:w="2410" w:type="dxa"/>
          </w:tcPr>
          <w:p w:rsidR="009C5812" w:rsidRPr="00091230" w:rsidRDefault="009C5812" w:rsidP="009C5812">
            <w:pPr>
              <w:jc w:val="both"/>
              <w:rPr>
                <w:rFonts w:eastAsia="Cambria"/>
                <w:sz w:val="22"/>
                <w:szCs w:val="22"/>
              </w:rPr>
            </w:pPr>
            <w:r w:rsidRPr="00091230">
              <w:rPr>
                <w:sz w:val="22"/>
                <w:szCs w:val="22"/>
              </w:rPr>
              <w:t>ГАУЗ</w:t>
            </w:r>
            <w:r w:rsidRPr="00091230">
              <w:rPr>
                <w:rFonts w:eastAsia="Cambria"/>
                <w:sz w:val="22"/>
                <w:szCs w:val="22"/>
              </w:rPr>
              <w:t xml:space="preserve"> </w:t>
            </w:r>
            <w:r>
              <w:rPr>
                <w:rFonts w:eastAsia="Cambria"/>
                <w:sz w:val="22"/>
                <w:szCs w:val="22"/>
              </w:rPr>
              <w:t>«</w:t>
            </w:r>
            <w:r w:rsidRPr="00091230">
              <w:rPr>
                <w:rFonts w:eastAsia="Cambria"/>
                <w:sz w:val="22"/>
                <w:szCs w:val="22"/>
              </w:rPr>
              <w:t>Городская поликлиника № 18</w:t>
            </w:r>
            <w:r>
              <w:rPr>
                <w:rFonts w:eastAsia="Cambria"/>
                <w:sz w:val="22"/>
                <w:szCs w:val="22"/>
              </w:rPr>
              <w:t>»</w:t>
            </w:r>
            <w:r w:rsidRPr="00091230">
              <w:rPr>
                <w:rFonts w:eastAsia="Cambria"/>
                <w:sz w:val="22"/>
                <w:szCs w:val="22"/>
              </w:rPr>
              <w:t xml:space="preserve"> г.Казани</w:t>
            </w:r>
          </w:p>
        </w:tc>
        <w:tc>
          <w:tcPr>
            <w:tcW w:w="1416" w:type="dxa"/>
            <w:shd w:val="clear" w:color="auto" w:fill="auto"/>
          </w:tcPr>
          <w:p w:rsidR="009C5812" w:rsidRPr="00091230" w:rsidRDefault="009C5812" w:rsidP="009C5812">
            <w:pPr>
              <w:jc w:val="center"/>
              <w:rPr>
                <w:rFonts w:eastAsia="Cambria"/>
                <w:sz w:val="22"/>
                <w:szCs w:val="22"/>
              </w:rPr>
            </w:pPr>
            <w:r w:rsidRPr="00091230">
              <w:rPr>
                <w:rFonts w:eastAsia="Cambria"/>
                <w:sz w:val="22"/>
                <w:szCs w:val="22"/>
              </w:rPr>
              <w:t>74 183</w:t>
            </w:r>
          </w:p>
        </w:tc>
        <w:tc>
          <w:tcPr>
            <w:tcW w:w="983" w:type="dxa"/>
            <w:shd w:val="clear" w:color="auto" w:fill="auto"/>
          </w:tcPr>
          <w:p w:rsidR="009C5812" w:rsidRPr="00091230" w:rsidRDefault="009C5812" w:rsidP="009C5812">
            <w:pPr>
              <w:jc w:val="center"/>
              <w:rPr>
                <w:rFonts w:eastAsia="Cambria"/>
                <w:sz w:val="22"/>
                <w:szCs w:val="22"/>
              </w:rPr>
            </w:pPr>
            <w:r w:rsidRPr="00091230">
              <w:rPr>
                <w:rFonts w:eastAsia="Cambria"/>
                <w:sz w:val="22"/>
                <w:szCs w:val="22"/>
              </w:rPr>
              <w:t>1</w:t>
            </w:r>
          </w:p>
        </w:tc>
        <w:tc>
          <w:tcPr>
            <w:tcW w:w="1156" w:type="dxa"/>
          </w:tcPr>
          <w:p w:rsidR="009C5812" w:rsidRPr="00091230" w:rsidRDefault="009C5812" w:rsidP="009C5812">
            <w:pPr>
              <w:jc w:val="center"/>
              <w:rPr>
                <w:rFonts w:eastAsia="Cambria"/>
                <w:sz w:val="22"/>
                <w:szCs w:val="22"/>
              </w:rPr>
            </w:pPr>
          </w:p>
        </w:tc>
        <w:tc>
          <w:tcPr>
            <w:tcW w:w="2114" w:type="dxa"/>
            <w:shd w:val="clear" w:color="auto" w:fill="auto"/>
          </w:tcPr>
          <w:p w:rsidR="009C5812" w:rsidRPr="00091230" w:rsidRDefault="009C5812" w:rsidP="009C5812">
            <w:pPr>
              <w:jc w:val="center"/>
              <w:rPr>
                <w:rFonts w:eastAsia="Cambria"/>
                <w:sz w:val="22"/>
                <w:szCs w:val="22"/>
              </w:rPr>
            </w:pPr>
            <w:r w:rsidRPr="00091230">
              <w:rPr>
                <w:rFonts w:eastAsia="Cambria"/>
                <w:sz w:val="22"/>
                <w:szCs w:val="22"/>
              </w:rPr>
              <w:t>0,1</w:t>
            </w:r>
          </w:p>
        </w:tc>
        <w:tc>
          <w:tcPr>
            <w:tcW w:w="1464" w:type="dxa"/>
            <w:shd w:val="clear" w:color="auto" w:fill="auto"/>
          </w:tcPr>
          <w:p w:rsidR="009C5812" w:rsidRPr="00091230" w:rsidRDefault="009C5812" w:rsidP="009C5812">
            <w:pPr>
              <w:jc w:val="center"/>
              <w:rPr>
                <w:rFonts w:eastAsia="Cambria"/>
                <w:sz w:val="22"/>
                <w:szCs w:val="22"/>
              </w:rPr>
            </w:pPr>
            <w:r w:rsidRPr="00091230">
              <w:rPr>
                <w:rFonts w:eastAsia="Cambria"/>
                <w:sz w:val="22"/>
                <w:szCs w:val="22"/>
              </w:rPr>
              <w:t>1/1,5</w:t>
            </w:r>
          </w:p>
        </w:tc>
        <w:tc>
          <w:tcPr>
            <w:tcW w:w="1662" w:type="dxa"/>
            <w:shd w:val="clear" w:color="auto" w:fill="auto"/>
          </w:tcPr>
          <w:p w:rsidR="009C5812" w:rsidRPr="00091230" w:rsidRDefault="009C5812" w:rsidP="009C5812">
            <w:pPr>
              <w:jc w:val="center"/>
              <w:rPr>
                <w:rFonts w:eastAsia="Cambria"/>
                <w:sz w:val="22"/>
                <w:szCs w:val="22"/>
              </w:rPr>
            </w:pPr>
            <w:r w:rsidRPr="00091230">
              <w:rPr>
                <w:rFonts w:eastAsia="Cambria"/>
                <w:sz w:val="22"/>
                <w:szCs w:val="22"/>
              </w:rPr>
              <w:t>9</w:t>
            </w:r>
          </w:p>
        </w:tc>
      </w:tr>
      <w:tr w:rsidR="009C5812" w:rsidRPr="00091230" w:rsidTr="009C5812">
        <w:trPr>
          <w:trHeight w:val="20"/>
        </w:trPr>
        <w:tc>
          <w:tcPr>
            <w:tcW w:w="704" w:type="dxa"/>
            <w:shd w:val="clear" w:color="auto" w:fill="auto"/>
          </w:tcPr>
          <w:p w:rsidR="009C5812" w:rsidRPr="00091230" w:rsidRDefault="009C5812" w:rsidP="009C5812">
            <w:pPr>
              <w:jc w:val="center"/>
              <w:rPr>
                <w:rFonts w:eastAsia="Cambria"/>
                <w:sz w:val="22"/>
                <w:szCs w:val="22"/>
              </w:rPr>
            </w:pPr>
            <w:r w:rsidRPr="00091230">
              <w:rPr>
                <w:rFonts w:eastAsia="Cambria"/>
                <w:sz w:val="22"/>
                <w:szCs w:val="22"/>
              </w:rPr>
              <w:t>59.</w:t>
            </w:r>
          </w:p>
        </w:tc>
        <w:tc>
          <w:tcPr>
            <w:tcW w:w="2268" w:type="dxa"/>
            <w:shd w:val="clear" w:color="auto" w:fill="auto"/>
          </w:tcPr>
          <w:p w:rsidR="009C5812" w:rsidRPr="00091230" w:rsidRDefault="009C5812" w:rsidP="009C5812">
            <w:pPr>
              <w:ind w:right="30"/>
              <w:jc w:val="both"/>
              <w:rPr>
                <w:rFonts w:eastAsia="Cambria"/>
                <w:sz w:val="22"/>
                <w:szCs w:val="22"/>
              </w:rPr>
            </w:pPr>
            <w:r w:rsidRPr="00091230">
              <w:rPr>
                <w:rFonts w:eastAsia="Cambria"/>
                <w:sz w:val="22"/>
                <w:szCs w:val="22"/>
              </w:rPr>
              <w:t>г.Казань</w:t>
            </w:r>
          </w:p>
        </w:tc>
        <w:tc>
          <w:tcPr>
            <w:tcW w:w="2410" w:type="dxa"/>
          </w:tcPr>
          <w:p w:rsidR="009C5812" w:rsidRPr="00091230" w:rsidRDefault="009C5812" w:rsidP="009C5812">
            <w:pPr>
              <w:jc w:val="both"/>
              <w:rPr>
                <w:rFonts w:eastAsia="Cambria"/>
                <w:sz w:val="22"/>
                <w:szCs w:val="22"/>
              </w:rPr>
            </w:pPr>
            <w:r w:rsidRPr="00091230">
              <w:rPr>
                <w:sz w:val="22"/>
                <w:szCs w:val="22"/>
              </w:rPr>
              <w:t>ГАУЗ</w:t>
            </w:r>
            <w:r w:rsidRPr="00091230">
              <w:rPr>
                <w:rFonts w:eastAsia="Cambria"/>
                <w:sz w:val="22"/>
                <w:szCs w:val="22"/>
              </w:rPr>
              <w:t xml:space="preserve"> </w:t>
            </w:r>
            <w:r>
              <w:rPr>
                <w:rFonts w:eastAsia="Cambria"/>
                <w:sz w:val="22"/>
                <w:szCs w:val="22"/>
              </w:rPr>
              <w:t>«</w:t>
            </w:r>
            <w:r w:rsidRPr="00091230">
              <w:rPr>
                <w:rFonts w:eastAsia="Cambria"/>
                <w:sz w:val="22"/>
                <w:szCs w:val="22"/>
              </w:rPr>
              <w:t>Городская поликлиника № 20</w:t>
            </w:r>
            <w:r>
              <w:rPr>
                <w:rFonts w:eastAsia="Cambria"/>
                <w:sz w:val="22"/>
                <w:szCs w:val="22"/>
              </w:rPr>
              <w:t>»</w:t>
            </w:r>
            <w:r w:rsidRPr="00091230">
              <w:rPr>
                <w:rFonts w:eastAsia="Cambria"/>
                <w:sz w:val="22"/>
                <w:szCs w:val="22"/>
              </w:rPr>
              <w:t xml:space="preserve"> г.Казани</w:t>
            </w:r>
          </w:p>
        </w:tc>
        <w:tc>
          <w:tcPr>
            <w:tcW w:w="1416" w:type="dxa"/>
            <w:shd w:val="clear" w:color="auto" w:fill="auto"/>
          </w:tcPr>
          <w:p w:rsidR="009C5812" w:rsidRPr="00CD51B4" w:rsidRDefault="009C5812" w:rsidP="009C5812">
            <w:pPr>
              <w:jc w:val="center"/>
              <w:rPr>
                <w:rFonts w:eastAsia="Cambria"/>
                <w:sz w:val="22"/>
                <w:szCs w:val="22"/>
              </w:rPr>
            </w:pPr>
            <w:r w:rsidRPr="00CD51B4">
              <w:rPr>
                <w:rFonts w:eastAsia="Cambria"/>
                <w:sz w:val="22"/>
                <w:szCs w:val="22"/>
              </w:rPr>
              <w:t>98 297</w:t>
            </w:r>
          </w:p>
        </w:tc>
        <w:tc>
          <w:tcPr>
            <w:tcW w:w="983" w:type="dxa"/>
            <w:shd w:val="clear" w:color="auto" w:fill="auto"/>
          </w:tcPr>
          <w:p w:rsidR="009C5812" w:rsidRPr="00091230" w:rsidRDefault="009C5812" w:rsidP="009C5812">
            <w:pPr>
              <w:jc w:val="center"/>
              <w:rPr>
                <w:rFonts w:eastAsia="Cambria"/>
                <w:sz w:val="22"/>
                <w:szCs w:val="22"/>
              </w:rPr>
            </w:pPr>
            <w:r w:rsidRPr="00091230">
              <w:rPr>
                <w:rFonts w:eastAsia="Cambria"/>
                <w:sz w:val="22"/>
                <w:szCs w:val="22"/>
              </w:rPr>
              <w:t>-</w:t>
            </w:r>
          </w:p>
        </w:tc>
        <w:tc>
          <w:tcPr>
            <w:tcW w:w="1156" w:type="dxa"/>
          </w:tcPr>
          <w:p w:rsidR="009C5812" w:rsidRPr="00091230" w:rsidRDefault="009C5812" w:rsidP="009C5812">
            <w:pPr>
              <w:jc w:val="center"/>
              <w:rPr>
                <w:rFonts w:eastAsia="Cambria"/>
                <w:sz w:val="22"/>
                <w:szCs w:val="22"/>
              </w:rPr>
            </w:pPr>
            <w:r w:rsidRPr="00091230">
              <w:rPr>
                <w:rFonts w:eastAsia="Cambria"/>
                <w:sz w:val="22"/>
                <w:szCs w:val="22"/>
              </w:rPr>
              <w:t>2023</w:t>
            </w:r>
          </w:p>
        </w:tc>
        <w:tc>
          <w:tcPr>
            <w:tcW w:w="2114" w:type="dxa"/>
            <w:shd w:val="clear" w:color="auto" w:fill="auto"/>
          </w:tcPr>
          <w:p w:rsidR="009C5812" w:rsidRPr="00091230" w:rsidRDefault="009C5812" w:rsidP="009C5812">
            <w:pPr>
              <w:jc w:val="center"/>
              <w:rPr>
                <w:rFonts w:eastAsia="Cambria"/>
                <w:sz w:val="22"/>
                <w:szCs w:val="22"/>
              </w:rPr>
            </w:pPr>
            <w:r w:rsidRPr="00091230">
              <w:rPr>
                <w:rFonts w:eastAsia="Cambria"/>
                <w:sz w:val="22"/>
                <w:szCs w:val="22"/>
              </w:rPr>
              <w:t>0,1</w:t>
            </w:r>
          </w:p>
        </w:tc>
        <w:tc>
          <w:tcPr>
            <w:tcW w:w="1464" w:type="dxa"/>
            <w:shd w:val="clear" w:color="auto" w:fill="auto"/>
          </w:tcPr>
          <w:p w:rsidR="009C5812" w:rsidRPr="00091230" w:rsidRDefault="009C5812" w:rsidP="009C5812">
            <w:pPr>
              <w:jc w:val="center"/>
              <w:rPr>
                <w:rFonts w:eastAsia="Cambria"/>
                <w:sz w:val="22"/>
                <w:szCs w:val="22"/>
              </w:rPr>
            </w:pPr>
            <w:r w:rsidRPr="00091230">
              <w:rPr>
                <w:rFonts w:eastAsia="Cambria"/>
                <w:sz w:val="22"/>
                <w:szCs w:val="22"/>
              </w:rPr>
              <w:t>2/3</w:t>
            </w:r>
          </w:p>
        </w:tc>
        <w:tc>
          <w:tcPr>
            <w:tcW w:w="1662" w:type="dxa"/>
            <w:shd w:val="clear" w:color="auto" w:fill="auto"/>
          </w:tcPr>
          <w:p w:rsidR="009C5812" w:rsidRPr="00091230" w:rsidRDefault="009C5812" w:rsidP="009C5812">
            <w:pPr>
              <w:jc w:val="center"/>
              <w:rPr>
                <w:rFonts w:eastAsia="Cambria"/>
                <w:sz w:val="22"/>
                <w:szCs w:val="22"/>
              </w:rPr>
            </w:pPr>
            <w:r w:rsidRPr="00091230">
              <w:rPr>
                <w:rFonts w:eastAsia="Cambria"/>
                <w:sz w:val="22"/>
                <w:szCs w:val="22"/>
              </w:rPr>
              <w:t>10</w:t>
            </w:r>
          </w:p>
        </w:tc>
      </w:tr>
      <w:tr w:rsidR="009C5812" w:rsidRPr="00091230" w:rsidTr="009C5812">
        <w:trPr>
          <w:trHeight w:val="20"/>
        </w:trPr>
        <w:tc>
          <w:tcPr>
            <w:tcW w:w="704" w:type="dxa"/>
            <w:shd w:val="clear" w:color="auto" w:fill="auto"/>
          </w:tcPr>
          <w:p w:rsidR="009C5812" w:rsidRPr="00091230" w:rsidRDefault="009C5812" w:rsidP="009C5812">
            <w:pPr>
              <w:jc w:val="center"/>
              <w:rPr>
                <w:rFonts w:eastAsia="Cambria"/>
                <w:sz w:val="22"/>
                <w:szCs w:val="22"/>
              </w:rPr>
            </w:pPr>
            <w:r w:rsidRPr="00091230">
              <w:rPr>
                <w:rFonts w:eastAsia="Cambria"/>
                <w:sz w:val="22"/>
                <w:szCs w:val="22"/>
              </w:rPr>
              <w:t>60.</w:t>
            </w:r>
          </w:p>
        </w:tc>
        <w:tc>
          <w:tcPr>
            <w:tcW w:w="2268" w:type="dxa"/>
            <w:shd w:val="clear" w:color="auto" w:fill="auto"/>
          </w:tcPr>
          <w:p w:rsidR="009C5812" w:rsidRPr="00091230" w:rsidRDefault="009C5812" w:rsidP="009C5812">
            <w:pPr>
              <w:ind w:right="30"/>
              <w:jc w:val="both"/>
              <w:rPr>
                <w:rFonts w:eastAsia="Cambria"/>
                <w:sz w:val="22"/>
                <w:szCs w:val="22"/>
              </w:rPr>
            </w:pPr>
            <w:r w:rsidRPr="00091230">
              <w:rPr>
                <w:rFonts w:eastAsia="Cambria"/>
                <w:sz w:val="22"/>
                <w:szCs w:val="22"/>
              </w:rPr>
              <w:t>г.Казань</w:t>
            </w:r>
          </w:p>
        </w:tc>
        <w:tc>
          <w:tcPr>
            <w:tcW w:w="2410" w:type="dxa"/>
          </w:tcPr>
          <w:p w:rsidR="009C5812" w:rsidRPr="00091230" w:rsidRDefault="009C5812" w:rsidP="009C5812">
            <w:pPr>
              <w:jc w:val="both"/>
              <w:rPr>
                <w:rFonts w:eastAsia="Cambria"/>
                <w:sz w:val="22"/>
                <w:szCs w:val="22"/>
              </w:rPr>
            </w:pPr>
            <w:r w:rsidRPr="00091230">
              <w:rPr>
                <w:sz w:val="22"/>
                <w:szCs w:val="22"/>
              </w:rPr>
              <w:t>ГАУЗ</w:t>
            </w:r>
            <w:r w:rsidRPr="00091230">
              <w:rPr>
                <w:rFonts w:eastAsia="Cambria"/>
                <w:sz w:val="22"/>
                <w:szCs w:val="22"/>
              </w:rPr>
              <w:t xml:space="preserve"> </w:t>
            </w:r>
            <w:r>
              <w:rPr>
                <w:rFonts w:eastAsia="Cambria"/>
                <w:sz w:val="22"/>
                <w:szCs w:val="22"/>
              </w:rPr>
              <w:t>«</w:t>
            </w:r>
            <w:r w:rsidRPr="00091230">
              <w:rPr>
                <w:rFonts w:eastAsia="Cambria"/>
                <w:sz w:val="22"/>
                <w:szCs w:val="22"/>
              </w:rPr>
              <w:t>Городская поликлиника № 21</w:t>
            </w:r>
            <w:r>
              <w:rPr>
                <w:rFonts w:eastAsia="Cambria"/>
                <w:sz w:val="22"/>
                <w:szCs w:val="22"/>
              </w:rPr>
              <w:t>»</w:t>
            </w:r>
            <w:r w:rsidRPr="00091230">
              <w:rPr>
                <w:rFonts w:eastAsia="Cambria"/>
                <w:sz w:val="22"/>
                <w:szCs w:val="22"/>
              </w:rPr>
              <w:t xml:space="preserve"> г.Казани</w:t>
            </w:r>
          </w:p>
        </w:tc>
        <w:tc>
          <w:tcPr>
            <w:tcW w:w="1416" w:type="dxa"/>
            <w:shd w:val="clear" w:color="auto" w:fill="auto"/>
          </w:tcPr>
          <w:p w:rsidR="009C5812" w:rsidRPr="00CD51B4" w:rsidRDefault="009C5812" w:rsidP="009C5812">
            <w:pPr>
              <w:jc w:val="center"/>
              <w:rPr>
                <w:rFonts w:eastAsia="Cambria"/>
                <w:sz w:val="22"/>
                <w:szCs w:val="22"/>
              </w:rPr>
            </w:pPr>
            <w:r w:rsidRPr="00CD51B4">
              <w:rPr>
                <w:rFonts w:eastAsia="Cambria"/>
                <w:sz w:val="22"/>
                <w:szCs w:val="22"/>
              </w:rPr>
              <w:t>96 740</w:t>
            </w:r>
          </w:p>
        </w:tc>
        <w:tc>
          <w:tcPr>
            <w:tcW w:w="983" w:type="dxa"/>
            <w:shd w:val="clear" w:color="auto" w:fill="auto"/>
          </w:tcPr>
          <w:p w:rsidR="009C5812" w:rsidRPr="00091230" w:rsidRDefault="009C5812" w:rsidP="009C5812">
            <w:pPr>
              <w:jc w:val="center"/>
              <w:rPr>
                <w:rFonts w:eastAsia="Cambria"/>
                <w:sz w:val="22"/>
                <w:szCs w:val="22"/>
              </w:rPr>
            </w:pPr>
            <w:r w:rsidRPr="00091230">
              <w:rPr>
                <w:rFonts w:eastAsia="Cambria"/>
                <w:sz w:val="22"/>
                <w:szCs w:val="22"/>
              </w:rPr>
              <w:t>–</w:t>
            </w:r>
          </w:p>
        </w:tc>
        <w:tc>
          <w:tcPr>
            <w:tcW w:w="1156" w:type="dxa"/>
          </w:tcPr>
          <w:p w:rsidR="009C5812" w:rsidRPr="00091230" w:rsidRDefault="009C5812" w:rsidP="009C5812">
            <w:pPr>
              <w:jc w:val="center"/>
              <w:rPr>
                <w:rFonts w:eastAsia="Cambria"/>
                <w:sz w:val="22"/>
                <w:szCs w:val="22"/>
              </w:rPr>
            </w:pPr>
            <w:r w:rsidRPr="00091230">
              <w:rPr>
                <w:rFonts w:eastAsia="Cambria"/>
                <w:sz w:val="22"/>
                <w:szCs w:val="22"/>
              </w:rPr>
              <w:t>2019</w:t>
            </w:r>
          </w:p>
          <w:p w:rsidR="009C5812" w:rsidRPr="00091230" w:rsidRDefault="009C5812" w:rsidP="009C5812">
            <w:pPr>
              <w:jc w:val="center"/>
              <w:rPr>
                <w:rFonts w:eastAsia="Cambria"/>
                <w:sz w:val="22"/>
                <w:szCs w:val="22"/>
              </w:rPr>
            </w:pPr>
          </w:p>
        </w:tc>
        <w:tc>
          <w:tcPr>
            <w:tcW w:w="2114" w:type="dxa"/>
            <w:shd w:val="clear" w:color="auto" w:fill="auto"/>
          </w:tcPr>
          <w:p w:rsidR="009C5812" w:rsidRPr="00091230" w:rsidRDefault="009C5812" w:rsidP="009C5812">
            <w:pPr>
              <w:jc w:val="center"/>
              <w:rPr>
                <w:rFonts w:eastAsia="Cambria"/>
                <w:sz w:val="22"/>
                <w:szCs w:val="22"/>
              </w:rPr>
            </w:pPr>
            <w:r w:rsidRPr="00091230">
              <w:rPr>
                <w:rFonts w:eastAsia="Cambria"/>
                <w:sz w:val="22"/>
                <w:szCs w:val="22"/>
              </w:rPr>
              <w:t>0,1</w:t>
            </w:r>
          </w:p>
        </w:tc>
        <w:tc>
          <w:tcPr>
            <w:tcW w:w="1464" w:type="dxa"/>
            <w:shd w:val="clear" w:color="auto" w:fill="auto"/>
          </w:tcPr>
          <w:p w:rsidR="009C5812" w:rsidRPr="00091230" w:rsidRDefault="009C5812" w:rsidP="009C5812">
            <w:pPr>
              <w:jc w:val="center"/>
              <w:rPr>
                <w:rFonts w:eastAsia="Cambria"/>
                <w:sz w:val="22"/>
                <w:szCs w:val="22"/>
              </w:rPr>
            </w:pPr>
            <w:r w:rsidRPr="00091230">
              <w:rPr>
                <w:rFonts w:eastAsia="Cambria"/>
                <w:sz w:val="22"/>
                <w:szCs w:val="22"/>
              </w:rPr>
              <w:t>2/4</w:t>
            </w:r>
          </w:p>
        </w:tc>
        <w:tc>
          <w:tcPr>
            <w:tcW w:w="1662" w:type="dxa"/>
            <w:shd w:val="clear" w:color="auto" w:fill="auto"/>
          </w:tcPr>
          <w:p w:rsidR="009C5812" w:rsidRPr="00091230" w:rsidRDefault="009C5812" w:rsidP="009C5812">
            <w:pPr>
              <w:jc w:val="center"/>
              <w:rPr>
                <w:rFonts w:eastAsia="Cambria"/>
                <w:sz w:val="22"/>
                <w:szCs w:val="22"/>
              </w:rPr>
            </w:pPr>
            <w:r w:rsidRPr="00091230">
              <w:rPr>
                <w:rFonts w:eastAsia="Cambria"/>
                <w:sz w:val="22"/>
                <w:szCs w:val="22"/>
              </w:rPr>
              <w:t>11</w:t>
            </w:r>
          </w:p>
        </w:tc>
      </w:tr>
      <w:tr w:rsidR="009C5812" w:rsidRPr="00091230" w:rsidTr="009C5812">
        <w:trPr>
          <w:trHeight w:val="20"/>
        </w:trPr>
        <w:tc>
          <w:tcPr>
            <w:tcW w:w="704" w:type="dxa"/>
            <w:shd w:val="clear" w:color="auto" w:fill="auto"/>
          </w:tcPr>
          <w:p w:rsidR="009C5812" w:rsidRPr="00091230" w:rsidRDefault="009C5812" w:rsidP="009C5812">
            <w:pPr>
              <w:jc w:val="center"/>
              <w:rPr>
                <w:rFonts w:eastAsia="Cambria"/>
                <w:sz w:val="22"/>
                <w:szCs w:val="22"/>
              </w:rPr>
            </w:pPr>
            <w:r w:rsidRPr="00091230">
              <w:rPr>
                <w:rFonts w:eastAsia="Cambria"/>
                <w:sz w:val="22"/>
                <w:szCs w:val="22"/>
              </w:rPr>
              <w:t>61.</w:t>
            </w:r>
          </w:p>
        </w:tc>
        <w:tc>
          <w:tcPr>
            <w:tcW w:w="2268" w:type="dxa"/>
            <w:shd w:val="clear" w:color="auto" w:fill="auto"/>
          </w:tcPr>
          <w:p w:rsidR="009C5812" w:rsidRPr="00091230" w:rsidRDefault="009C5812" w:rsidP="009C5812">
            <w:pPr>
              <w:ind w:right="30"/>
              <w:jc w:val="both"/>
              <w:rPr>
                <w:rFonts w:eastAsia="Cambria"/>
                <w:sz w:val="22"/>
                <w:szCs w:val="22"/>
              </w:rPr>
            </w:pPr>
            <w:r w:rsidRPr="00091230">
              <w:rPr>
                <w:rFonts w:eastAsia="Cambria"/>
                <w:sz w:val="22"/>
                <w:szCs w:val="22"/>
              </w:rPr>
              <w:t>г.Казань</w:t>
            </w:r>
          </w:p>
        </w:tc>
        <w:tc>
          <w:tcPr>
            <w:tcW w:w="2410" w:type="dxa"/>
          </w:tcPr>
          <w:p w:rsidR="009C5812" w:rsidRPr="00091230" w:rsidRDefault="009C5812" w:rsidP="009C5812">
            <w:pPr>
              <w:jc w:val="both"/>
              <w:rPr>
                <w:rFonts w:eastAsia="Cambria"/>
                <w:sz w:val="22"/>
                <w:szCs w:val="22"/>
              </w:rPr>
            </w:pPr>
            <w:r w:rsidRPr="00091230">
              <w:rPr>
                <w:sz w:val="22"/>
                <w:szCs w:val="22"/>
              </w:rPr>
              <w:t>ГАУЗ</w:t>
            </w:r>
            <w:r w:rsidRPr="00091230">
              <w:rPr>
                <w:rFonts w:eastAsia="Cambria"/>
                <w:sz w:val="22"/>
                <w:szCs w:val="22"/>
              </w:rPr>
              <w:t xml:space="preserve"> </w:t>
            </w:r>
            <w:r>
              <w:rPr>
                <w:rFonts w:eastAsia="Cambria"/>
                <w:sz w:val="22"/>
                <w:szCs w:val="22"/>
              </w:rPr>
              <w:t>«</w:t>
            </w:r>
            <w:r w:rsidRPr="00091230">
              <w:rPr>
                <w:rFonts w:eastAsia="Cambria"/>
                <w:sz w:val="22"/>
                <w:szCs w:val="22"/>
              </w:rPr>
              <w:t>Городская поликлиника № 7</w:t>
            </w:r>
            <w:r>
              <w:rPr>
                <w:rFonts w:eastAsia="Cambria"/>
                <w:sz w:val="22"/>
                <w:szCs w:val="22"/>
              </w:rPr>
              <w:t>»</w:t>
            </w:r>
            <w:r w:rsidRPr="00091230">
              <w:rPr>
                <w:rFonts w:eastAsia="Cambria"/>
                <w:sz w:val="22"/>
                <w:szCs w:val="22"/>
              </w:rPr>
              <w:t xml:space="preserve"> г.Казани</w:t>
            </w:r>
          </w:p>
        </w:tc>
        <w:tc>
          <w:tcPr>
            <w:tcW w:w="1416" w:type="dxa"/>
            <w:shd w:val="clear" w:color="auto" w:fill="auto"/>
          </w:tcPr>
          <w:p w:rsidR="009C5812" w:rsidRPr="00091230" w:rsidRDefault="009C5812" w:rsidP="009C5812">
            <w:pPr>
              <w:jc w:val="center"/>
              <w:rPr>
                <w:rFonts w:eastAsia="Cambria"/>
                <w:sz w:val="22"/>
                <w:szCs w:val="22"/>
              </w:rPr>
            </w:pPr>
            <w:r w:rsidRPr="00091230">
              <w:rPr>
                <w:rFonts w:eastAsia="Cambria"/>
                <w:sz w:val="22"/>
                <w:szCs w:val="22"/>
              </w:rPr>
              <w:t>33 623</w:t>
            </w:r>
          </w:p>
        </w:tc>
        <w:tc>
          <w:tcPr>
            <w:tcW w:w="983" w:type="dxa"/>
            <w:shd w:val="clear" w:color="auto" w:fill="auto"/>
          </w:tcPr>
          <w:p w:rsidR="009C5812" w:rsidRPr="00091230" w:rsidRDefault="009C5812" w:rsidP="009C5812">
            <w:pPr>
              <w:jc w:val="center"/>
              <w:rPr>
                <w:rFonts w:eastAsia="Cambria"/>
                <w:sz w:val="22"/>
                <w:szCs w:val="22"/>
              </w:rPr>
            </w:pPr>
            <w:r w:rsidRPr="00091230">
              <w:rPr>
                <w:rFonts w:eastAsia="Cambria"/>
                <w:sz w:val="22"/>
                <w:szCs w:val="22"/>
              </w:rPr>
              <w:t>1</w:t>
            </w:r>
          </w:p>
        </w:tc>
        <w:tc>
          <w:tcPr>
            <w:tcW w:w="1156" w:type="dxa"/>
          </w:tcPr>
          <w:p w:rsidR="009C5812" w:rsidRPr="00091230" w:rsidRDefault="009C5812" w:rsidP="009C5812">
            <w:pPr>
              <w:jc w:val="center"/>
              <w:rPr>
                <w:rFonts w:eastAsia="Cambria"/>
                <w:sz w:val="22"/>
                <w:szCs w:val="22"/>
              </w:rPr>
            </w:pPr>
          </w:p>
        </w:tc>
        <w:tc>
          <w:tcPr>
            <w:tcW w:w="2114" w:type="dxa"/>
            <w:shd w:val="clear" w:color="auto" w:fill="auto"/>
          </w:tcPr>
          <w:p w:rsidR="009C5812" w:rsidRPr="00091230" w:rsidRDefault="009C5812" w:rsidP="009C5812">
            <w:pPr>
              <w:jc w:val="center"/>
              <w:rPr>
                <w:rFonts w:eastAsia="Cambria"/>
                <w:sz w:val="22"/>
                <w:szCs w:val="22"/>
              </w:rPr>
            </w:pPr>
            <w:r w:rsidRPr="00091230">
              <w:rPr>
                <w:rFonts w:eastAsia="Cambria"/>
                <w:sz w:val="22"/>
                <w:szCs w:val="22"/>
              </w:rPr>
              <w:t>0,1</w:t>
            </w:r>
          </w:p>
        </w:tc>
        <w:tc>
          <w:tcPr>
            <w:tcW w:w="1464" w:type="dxa"/>
            <w:shd w:val="clear" w:color="auto" w:fill="auto"/>
          </w:tcPr>
          <w:p w:rsidR="009C5812" w:rsidRPr="00091230" w:rsidRDefault="009C5812" w:rsidP="009C5812">
            <w:pPr>
              <w:jc w:val="center"/>
              <w:rPr>
                <w:rFonts w:eastAsia="Cambria"/>
                <w:sz w:val="22"/>
                <w:szCs w:val="22"/>
              </w:rPr>
            </w:pPr>
            <w:r w:rsidRPr="00091230">
              <w:rPr>
                <w:rFonts w:eastAsia="Cambria"/>
                <w:sz w:val="22"/>
                <w:szCs w:val="22"/>
              </w:rPr>
              <w:t>1/0,25</w:t>
            </w:r>
          </w:p>
        </w:tc>
        <w:tc>
          <w:tcPr>
            <w:tcW w:w="1662" w:type="dxa"/>
            <w:shd w:val="clear" w:color="auto" w:fill="auto"/>
          </w:tcPr>
          <w:p w:rsidR="009C5812" w:rsidRPr="00091230" w:rsidRDefault="009C5812" w:rsidP="009C5812">
            <w:pPr>
              <w:jc w:val="center"/>
              <w:rPr>
                <w:rFonts w:eastAsia="Cambria"/>
                <w:sz w:val="22"/>
                <w:szCs w:val="22"/>
              </w:rPr>
            </w:pPr>
            <w:r w:rsidRPr="00091230">
              <w:rPr>
                <w:rFonts w:eastAsia="Cambria"/>
                <w:sz w:val="22"/>
                <w:szCs w:val="22"/>
              </w:rPr>
              <w:t>10</w:t>
            </w:r>
          </w:p>
        </w:tc>
      </w:tr>
      <w:tr w:rsidR="009C5812" w:rsidRPr="00091230" w:rsidTr="009C5812">
        <w:trPr>
          <w:trHeight w:val="20"/>
        </w:trPr>
        <w:tc>
          <w:tcPr>
            <w:tcW w:w="704" w:type="dxa"/>
            <w:shd w:val="clear" w:color="auto" w:fill="auto"/>
          </w:tcPr>
          <w:p w:rsidR="009C5812" w:rsidRPr="00091230" w:rsidRDefault="009C5812" w:rsidP="009C5812">
            <w:pPr>
              <w:jc w:val="center"/>
              <w:rPr>
                <w:rFonts w:eastAsia="Cambria"/>
                <w:sz w:val="22"/>
                <w:szCs w:val="22"/>
              </w:rPr>
            </w:pPr>
            <w:r w:rsidRPr="00091230">
              <w:rPr>
                <w:rFonts w:eastAsia="Cambria"/>
                <w:sz w:val="22"/>
                <w:szCs w:val="22"/>
              </w:rPr>
              <w:t>62.</w:t>
            </w:r>
          </w:p>
        </w:tc>
        <w:tc>
          <w:tcPr>
            <w:tcW w:w="2268" w:type="dxa"/>
            <w:shd w:val="clear" w:color="auto" w:fill="auto"/>
          </w:tcPr>
          <w:p w:rsidR="009C5812" w:rsidRPr="00091230" w:rsidRDefault="009C5812" w:rsidP="009C5812">
            <w:pPr>
              <w:ind w:right="30"/>
              <w:jc w:val="both"/>
              <w:rPr>
                <w:rFonts w:eastAsia="Cambria"/>
                <w:sz w:val="22"/>
                <w:szCs w:val="22"/>
              </w:rPr>
            </w:pPr>
            <w:r w:rsidRPr="00091230">
              <w:rPr>
                <w:rFonts w:eastAsia="Cambria"/>
                <w:sz w:val="22"/>
                <w:szCs w:val="22"/>
              </w:rPr>
              <w:t>г.Казань</w:t>
            </w:r>
          </w:p>
        </w:tc>
        <w:tc>
          <w:tcPr>
            <w:tcW w:w="2410" w:type="dxa"/>
          </w:tcPr>
          <w:p w:rsidR="009C5812" w:rsidRPr="00091230" w:rsidRDefault="009C5812" w:rsidP="009C5812">
            <w:pPr>
              <w:jc w:val="both"/>
              <w:rPr>
                <w:rFonts w:eastAsia="Cambria"/>
                <w:sz w:val="22"/>
                <w:szCs w:val="22"/>
              </w:rPr>
            </w:pPr>
            <w:r w:rsidRPr="00091230">
              <w:rPr>
                <w:sz w:val="22"/>
                <w:szCs w:val="22"/>
              </w:rPr>
              <w:t>ГАУЗ</w:t>
            </w:r>
            <w:r w:rsidRPr="00091230">
              <w:rPr>
                <w:rFonts w:eastAsia="Cambria"/>
                <w:sz w:val="22"/>
                <w:szCs w:val="22"/>
              </w:rPr>
              <w:t xml:space="preserve"> </w:t>
            </w:r>
            <w:r>
              <w:rPr>
                <w:rFonts w:eastAsia="Cambria"/>
                <w:sz w:val="22"/>
                <w:szCs w:val="22"/>
              </w:rPr>
              <w:t>«</w:t>
            </w:r>
            <w:r w:rsidRPr="00091230">
              <w:rPr>
                <w:rFonts w:eastAsia="Cambria"/>
                <w:sz w:val="22"/>
                <w:szCs w:val="22"/>
              </w:rPr>
              <w:t>Городская поликлиника № 8</w:t>
            </w:r>
            <w:r>
              <w:rPr>
                <w:rFonts w:eastAsia="Cambria"/>
                <w:sz w:val="22"/>
                <w:szCs w:val="22"/>
              </w:rPr>
              <w:t>»</w:t>
            </w:r>
            <w:r w:rsidRPr="00091230">
              <w:rPr>
                <w:rFonts w:eastAsia="Cambria"/>
                <w:sz w:val="22"/>
                <w:szCs w:val="22"/>
              </w:rPr>
              <w:t xml:space="preserve"> г.Казани</w:t>
            </w:r>
          </w:p>
        </w:tc>
        <w:tc>
          <w:tcPr>
            <w:tcW w:w="1416" w:type="dxa"/>
            <w:shd w:val="clear" w:color="auto" w:fill="auto"/>
          </w:tcPr>
          <w:p w:rsidR="009C5812" w:rsidRPr="00091230" w:rsidRDefault="009C5812" w:rsidP="009C5812">
            <w:pPr>
              <w:jc w:val="center"/>
              <w:rPr>
                <w:rFonts w:eastAsia="Cambria"/>
                <w:sz w:val="22"/>
                <w:szCs w:val="22"/>
              </w:rPr>
            </w:pPr>
            <w:r w:rsidRPr="00091230">
              <w:rPr>
                <w:rFonts w:eastAsia="Cambria"/>
                <w:sz w:val="22"/>
                <w:szCs w:val="22"/>
              </w:rPr>
              <w:t>86 407</w:t>
            </w:r>
          </w:p>
        </w:tc>
        <w:tc>
          <w:tcPr>
            <w:tcW w:w="983" w:type="dxa"/>
            <w:shd w:val="clear" w:color="auto" w:fill="auto"/>
          </w:tcPr>
          <w:p w:rsidR="009C5812" w:rsidRPr="00091230" w:rsidRDefault="009C5812" w:rsidP="009C5812">
            <w:pPr>
              <w:jc w:val="center"/>
              <w:rPr>
                <w:rFonts w:eastAsia="Cambria"/>
                <w:sz w:val="22"/>
                <w:szCs w:val="22"/>
              </w:rPr>
            </w:pPr>
            <w:r w:rsidRPr="00091230">
              <w:rPr>
                <w:rFonts w:eastAsia="Cambria"/>
                <w:sz w:val="22"/>
                <w:szCs w:val="22"/>
              </w:rPr>
              <w:t>1</w:t>
            </w:r>
          </w:p>
        </w:tc>
        <w:tc>
          <w:tcPr>
            <w:tcW w:w="1156" w:type="dxa"/>
          </w:tcPr>
          <w:p w:rsidR="009C5812" w:rsidRPr="00091230" w:rsidRDefault="009C5812" w:rsidP="009C5812">
            <w:pPr>
              <w:jc w:val="center"/>
              <w:rPr>
                <w:rFonts w:eastAsia="Cambria"/>
                <w:sz w:val="22"/>
                <w:szCs w:val="22"/>
              </w:rPr>
            </w:pPr>
          </w:p>
        </w:tc>
        <w:tc>
          <w:tcPr>
            <w:tcW w:w="2114" w:type="dxa"/>
            <w:shd w:val="clear" w:color="auto" w:fill="auto"/>
          </w:tcPr>
          <w:p w:rsidR="009C5812" w:rsidRPr="00091230" w:rsidRDefault="009C5812" w:rsidP="009C5812">
            <w:pPr>
              <w:jc w:val="center"/>
              <w:rPr>
                <w:rFonts w:eastAsia="Cambria"/>
                <w:sz w:val="22"/>
                <w:szCs w:val="22"/>
              </w:rPr>
            </w:pPr>
            <w:r w:rsidRPr="00091230">
              <w:rPr>
                <w:rFonts w:eastAsia="Cambria"/>
                <w:sz w:val="22"/>
                <w:szCs w:val="22"/>
              </w:rPr>
              <w:t>0,1</w:t>
            </w:r>
          </w:p>
        </w:tc>
        <w:tc>
          <w:tcPr>
            <w:tcW w:w="1464" w:type="dxa"/>
            <w:shd w:val="clear" w:color="auto" w:fill="auto"/>
          </w:tcPr>
          <w:p w:rsidR="009C5812" w:rsidRPr="00091230" w:rsidRDefault="009C5812" w:rsidP="009C5812">
            <w:pPr>
              <w:jc w:val="center"/>
              <w:rPr>
                <w:rFonts w:eastAsia="Cambria"/>
                <w:sz w:val="22"/>
                <w:szCs w:val="22"/>
              </w:rPr>
            </w:pPr>
            <w:r w:rsidRPr="00091230">
              <w:rPr>
                <w:rFonts w:eastAsia="Cambria"/>
                <w:sz w:val="22"/>
                <w:szCs w:val="22"/>
              </w:rPr>
              <w:t>1/1,25</w:t>
            </w:r>
          </w:p>
        </w:tc>
        <w:tc>
          <w:tcPr>
            <w:tcW w:w="1662" w:type="dxa"/>
            <w:shd w:val="clear" w:color="auto" w:fill="auto"/>
          </w:tcPr>
          <w:p w:rsidR="009C5812" w:rsidRPr="00091230" w:rsidRDefault="009C5812" w:rsidP="009C5812">
            <w:pPr>
              <w:jc w:val="center"/>
              <w:rPr>
                <w:rFonts w:eastAsia="Cambria"/>
                <w:sz w:val="22"/>
                <w:szCs w:val="22"/>
              </w:rPr>
            </w:pPr>
            <w:r w:rsidRPr="00091230">
              <w:rPr>
                <w:rFonts w:eastAsia="Cambria"/>
                <w:sz w:val="22"/>
                <w:szCs w:val="22"/>
              </w:rPr>
              <w:t>10</w:t>
            </w:r>
          </w:p>
        </w:tc>
      </w:tr>
      <w:tr w:rsidR="009C5812" w:rsidRPr="00091230" w:rsidTr="009C5812">
        <w:trPr>
          <w:trHeight w:val="20"/>
        </w:trPr>
        <w:tc>
          <w:tcPr>
            <w:tcW w:w="704" w:type="dxa"/>
            <w:shd w:val="clear" w:color="auto" w:fill="auto"/>
          </w:tcPr>
          <w:p w:rsidR="009C5812" w:rsidRPr="00091230" w:rsidRDefault="009C5812" w:rsidP="009C5812">
            <w:pPr>
              <w:jc w:val="center"/>
              <w:rPr>
                <w:rFonts w:eastAsia="Cambria"/>
                <w:sz w:val="22"/>
                <w:szCs w:val="22"/>
              </w:rPr>
            </w:pPr>
            <w:r w:rsidRPr="00091230">
              <w:rPr>
                <w:rFonts w:eastAsia="Cambria"/>
                <w:sz w:val="22"/>
                <w:szCs w:val="22"/>
              </w:rPr>
              <w:t>63.</w:t>
            </w:r>
          </w:p>
        </w:tc>
        <w:tc>
          <w:tcPr>
            <w:tcW w:w="2268" w:type="dxa"/>
            <w:shd w:val="clear" w:color="auto" w:fill="auto"/>
          </w:tcPr>
          <w:p w:rsidR="009C5812" w:rsidRPr="00091230" w:rsidRDefault="009C5812" w:rsidP="009C5812">
            <w:pPr>
              <w:ind w:right="30"/>
              <w:jc w:val="both"/>
              <w:rPr>
                <w:rFonts w:eastAsia="Cambria"/>
                <w:sz w:val="22"/>
                <w:szCs w:val="22"/>
              </w:rPr>
            </w:pPr>
            <w:r w:rsidRPr="00091230">
              <w:rPr>
                <w:rFonts w:eastAsia="Cambria"/>
                <w:sz w:val="22"/>
                <w:szCs w:val="22"/>
              </w:rPr>
              <w:t>г.Казань</w:t>
            </w:r>
          </w:p>
        </w:tc>
        <w:tc>
          <w:tcPr>
            <w:tcW w:w="2410" w:type="dxa"/>
          </w:tcPr>
          <w:p w:rsidR="009C5812" w:rsidRPr="00091230" w:rsidRDefault="009C5812" w:rsidP="009C5812">
            <w:pPr>
              <w:jc w:val="both"/>
              <w:rPr>
                <w:rFonts w:eastAsia="Cambria"/>
                <w:sz w:val="22"/>
                <w:szCs w:val="22"/>
              </w:rPr>
            </w:pPr>
            <w:r w:rsidRPr="00091230">
              <w:rPr>
                <w:sz w:val="22"/>
                <w:szCs w:val="22"/>
              </w:rPr>
              <w:t>ГАУЗ</w:t>
            </w:r>
            <w:r w:rsidRPr="00091230">
              <w:rPr>
                <w:rFonts w:eastAsia="Cambria"/>
                <w:sz w:val="22"/>
                <w:szCs w:val="22"/>
              </w:rPr>
              <w:t xml:space="preserve"> </w:t>
            </w:r>
            <w:r>
              <w:rPr>
                <w:rFonts w:eastAsia="Cambria"/>
                <w:sz w:val="22"/>
                <w:szCs w:val="22"/>
              </w:rPr>
              <w:t>«</w:t>
            </w:r>
            <w:r w:rsidRPr="00091230">
              <w:rPr>
                <w:rFonts w:eastAsia="Cambria"/>
                <w:sz w:val="22"/>
                <w:szCs w:val="22"/>
              </w:rPr>
              <w:t>Клиническая больница № 2</w:t>
            </w:r>
            <w:r>
              <w:rPr>
                <w:rFonts w:eastAsia="Cambria"/>
                <w:sz w:val="22"/>
                <w:szCs w:val="22"/>
              </w:rPr>
              <w:t>»</w:t>
            </w:r>
            <w:r w:rsidRPr="00091230">
              <w:rPr>
                <w:rFonts w:eastAsia="Cambria"/>
                <w:sz w:val="22"/>
                <w:szCs w:val="22"/>
              </w:rPr>
              <w:t xml:space="preserve"> г.Казани</w:t>
            </w:r>
          </w:p>
        </w:tc>
        <w:tc>
          <w:tcPr>
            <w:tcW w:w="1416" w:type="dxa"/>
            <w:shd w:val="clear" w:color="auto" w:fill="auto"/>
          </w:tcPr>
          <w:p w:rsidR="009C5812" w:rsidRPr="00091230" w:rsidRDefault="009C5812" w:rsidP="009C5812">
            <w:pPr>
              <w:jc w:val="center"/>
              <w:rPr>
                <w:rFonts w:eastAsia="Cambria"/>
                <w:sz w:val="22"/>
                <w:szCs w:val="22"/>
              </w:rPr>
            </w:pPr>
            <w:r w:rsidRPr="00091230">
              <w:rPr>
                <w:rFonts w:eastAsia="Cambria"/>
                <w:sz w:val="22"/>
                <w:szCs w:val="22"/>
              </w:rPr>
              <w:t>68 184</w:t>
            </w:r>
          </w:p>
        </w:tc>
        <w:tc>
          <w:tcPr>
            <w:tcW w:w="983" w:type="dxa"/>
            <w:shd w:val="clear" w:color="auto" w:fill="auto"/>
          </w:tcPr>
          <w:p w:rsidR="009C5812" w:rsidRPr="00091230" w:rsidRDefault="009C5812" w:rsidP="009C5812">
            <w:pPr>
              <w:jc w:val="center"/>
              <w:rPr>
                <w:rFonts w:eastAsia="Cambria"/>
                <w:sz w:val="22"/>
                <w:szCs w:val="22"/>
              </w:rPr>
            </w:pPr>
            <w:r w:rsidRPr="00091230">
              <w:rPr>
                <w:rFonts w:eastAsia="Cambria"/>
                <w:sz w:val="22"/>
                <w:szCs w:val="22"/>
              </w:rPr>
              <w:t>1</w:t>
            </w:r>
          </w:p>
        </w:tc>
        <w:tc>
          <w:tcPr>
            <w:tcW w:w="1156" w:type="dxa"/>
          </w:tcPr>
          <w:p w:rsidR="009C5812" w:rsidRPr="00091230" w:rsidRDefault="009C5812" w:rsidP="009C5812">
            <w:pPr>
              <w:jc w:val="center"/>
              <w:rPr>
                <w:rFonts w:eastAsia="Cambria"/>
                <w:sz w:val="22"/>
                <w:szCs w:val="22"/>
              </w:rPr>
            </w:pPr>
          </w:p>
        </w:tc>
        <w:tc>
          <w:tcPr>
            <w:tcW w:w="2114" w:type="dxa"/>
            <w:shd w:val="clear" w:color="auto" w:fill="auto"/>
          </w:tcPr>
          <w:p w:rsidR="009C5812" w:rsidRPr="00091230" w:rsidRDefault="009C5812" w:rsidP="009C5812">
            <w:pPr>
              <w:jc w:val="center"/>
              <w:rPr>
                <w:rFonts w:eastAsia="Cambria"/>
                <w:sz w:val="22"/>
                <w:szCs w:val="22"/>
              </w:rPr>
            </w:pPr>
            <w:r w:rsidRPr="00091230">
              <w:rPr>
                <w:rFonts w:eastAsia="Cambria"/>
                <w:sz w:val="22"/>
                <w:szCs w:val="22"/>
              </w:rPr>
              <w:t>0,1</w:t>
            </w:r>
          </w:p>
        </w:tc>
        <w:tc>
          <w:tcPr>
            <w:tcW w:w="1464" w:type="dxa"/>
            <w:shd w:val="clear" w:color="auto" w:fill="auto"/>
          </w:tcPr>
          <w:p w:rsidR="009C5812" w:rsidRPr="00091230" w:rsidRDefault="009C5812" w:rsidP="009C5812">
            <w:pPr>
              <w:jc w:val="center"/>
              <w:rPr>
                <w:rFonts w:eastAsia="Cambria"/>
                <w:sz w:val="22"/>
                <w:szCs w:val="22"/>
              </w:rPr>
            </w:pPr>
            <w:r w:rsidRPr="00091230">
              <w:rPr>
                <w:rFonts w:eastAsia="Cambria"/>
                <w:sz w:val="22"/>
                <w:szCs w:val="22"/>
              </w:rPr>
              <w:t>1/1,5</w:t>
            </w:r>
          </w:p>
        </w:tc>
        <w:tc>
          <w:tcPr>
            <w:tcW w:w="1662" w:type="dxa"/>
            <w:shd w:val="clear" w:color="auto" w:fill="auto"/>
          </w:tcPr>
          <w:p w:rsidR="009C5812" w:rsidRPr="00091230" w:rsidRDefault="009C5812" w:rsidP="009C5812">
            <w:pPr>
              <w:jc w:val="center"/>
              <w:rPr>
                <w:rFonts w:eastAsia="Cambria"/>
                <w:sz w:val="22"/>
                <w:szCs w:val="22"/>
              </w:rPr>
            </w:pPr>
            <w:r w:rsidRPr="00091230">
              <w:rPr>
                <w:rFonts w:eastAsia="Cambria"/>
                <w:sz w:val="22"/>
                <w:szCs w:val="22"/>
              </w:rPr>
              <w:t>12</w:t>
            </w:r>
          </w:p>
        </w:tc>
      </w:tr>
      <w:tr w:rsidR="009C5812" w:rsidRPr="00091230" w:rsidTr="009C5812">
        <w:trPr>
          <w:trHeight w:val="20"/>
        </w:trPr>
        <w:tc>
          <w:tcPr>
            <w:tcW w:w="704" w:type="dxa"/>
            <w:shd w:val="clear" w:color="auto" w:fill="auto"/>
          </w:tcPr>
          <w:p w:rsidR="009C5812" w:rsidRPr="00091230" w:rsidRDefault="009C5812" w:rsidP="009C5812">
            <w:pPr>
              <w:jc w:val="center"/>
              <w:rPr>
                <w:rFonts w:eastAsia="Cambria"/>
                <w:sz w:val="22"/>
                <w:szCs w:val="22"/>
              </w:rPr>
            </w:pPr>
            <w:r w:rsidRPr="00091230">
              <w:rPr>
                <w:rFonts w:eastAsia="Cambria"/>
                <w:sz w:val="22"/>
                <w:szCs w:val="22"/>
              </w:rPr>
              <w:t>64.</w:t>
            </w:r>
          </w:p>
        </w:tc>
        <w:tc>
          <w:tcPr>
            <w:tcW w:w="2268" w:type="dxa"/>
            <w:shd w:val="clear" w:color="auto" w:fill="auto"/>
          </w:tcPr>
          <w:p w:rsidR="009C5812" w:rsidRPr="00091230" w:rsidRDefault="009C5812" w:rsidP="009C5812">
            <w:pPr>
              <w:ind w:right="30"/>
              <w:jc w:val="both"/>
              <w:rPr>
                <w:rFonts w:eastAsia="Cambria"/>
                <w:sz w:val="22"/>
                <w:szCs w:val="22"/>
              </w:rPr>
            </w:pPr>
            <w:r w:rsidRPr="00091230">
              <w:rPr>
                <w:rFonts w:eastAsia="Cambria"/>
                <w:sz w:val="22"/>
                <w:szCs w:val="22"/>
              </w:rPr>
              <w:t>г.Казань</w:t>
            </w:r>
          </w:p>
        </w:tc>
        <w:tc>
          <w:tcPr>
            <w:tcW w:w="2410" w:type="dxa"/>
          </w:tcPr>
          <w:p w:rsidR="009C5812" w:rsidRPr="00091230" w:rsidRDefault="009C5812" w:rsidP="009C5812">
            <w:pPr>
              <w:jc w:val="both"/>
              <w:rPr>
                <w:rFonts w:eastAsia="Cambria"/>
                <w:sz w:val="22"/>
                <w:szCs w:val="22"/>
              </w:rPr>
            </w:pPr>
            <w:r w:rsidRPr="00091230">
              <w:rPr>
                <w:sz w:val="22"/>
                <w:szCs w:val="22"/>
              </w:rPr>
              <w:t>ГАУЗ</w:t>
            </w:r>
            <w:r w:rsidRPr="00091230">
              <w:rPr>
                <w:rFonts w:eastAsia="Cambria"/>
                <w:sz w:val="22"/>
                <w:szCs w:val="22"/>
              </w:rPr>
              <w:t xml:space="preserve"> </w:t>
            </w:r>
            <w:r>
              <w:rPr>
                <w:rFonts w:eastAsia="Cambria"/>
                <w:sz w:val="22"/>
                <w:szCs w:val="22"/>
              </w:rPr>
              <w:t>«</w:t>
            </w:r>
            <w:r w:rsidRPr="00091230">
              <w:rPr>
                <w:rFonts w:eastAsia="Cambria"/>
                <w:sz w:val="22"/>
                <w:szCs w:val="22"/>
              </w:rPr>
              <w:t>Клиника медицинского университета</w:t>
            </w:r>
            <w:r>
              <w:rPr>
                <w:rFonts w:eastAsia="Cambria"/>
                <w:sz w:val="22"/>
                <w:szCs w:val="22"/>
              </w:rPr>
              <w:t>»</w:t>
            </w:r>
            <w:r w:rsidRPr="00091230">
              <w:rPr>
                <w:rFonts w:eastAsia="Cambria"/>
                <w:sz w:val="22"/>
                <w:szCs w:val="22"/>
              </w:rPr>
              <w:t xml:space="preserve"> г.Казани</w:t>
            </w:r>
          </w:p>
        </w:tc>
        <w:tc>
          <w:tcPr>
            <w:tcW w:w="1416" w:type="dxa"/>
            <w:shd w:val="clear" w:color="auto" w:fill="auto"/>
          </w:tcPr>
          <w:p w:rsidR="009C5812" w:rsidRPr="00091230" w:rsidRDefault="009C5812" w:rsidP="009C5812">
            <w:pPr>
              <w:jc w:val="center"/>
              <w:rPr>
                <w:rFonts w:eastAsia="Cambria"/>
                <w:sz w:val="22"/>
                <w:szCs w:val="22"/>
              </w:rPr>
            </w:pPr>
            <w:r w:rsidRPr="00091230">
              <w:rPr>
                <w:rFonts w:eastAsia="Cambria"/>
                <w:sz w:val="22"/>
                <w:szCs w:val="22"/>
              </w:rPr>
              <w:t>29 486</w:t>
            </w:r>
          </w:p>
        </w:tc>
        <w:tc>
          <w:tcPr>
            <w:tcW w:w="983" w:type="dxa"/>
            <w:shd w:val="clear" w:color="auto" w:fill="auto"/>
          </w:tcPr>
          <w:p w:rsidR="009C5812" w:rsidRPr="00091230" w:rsidRDefault="009C5812" w:rsidP="009C5812">
            <w:pPr>
              <w:jc w:val="center"/>
              <w:rPr>
                <w:rFonts w:eastAsia="Cambria"/>
                <w:sz w:val="22"/>
                <w:szCs w:val="22"/>
              </w:rPr>
            </w:pPr>
            <w:r w:rsidRPr="00091230">
              <w:rPr>
                <w:rFonts w:eastAsia="Cambria"/>
                <w:sz w:val="22"/>
                <w:szCs w:val="22"/>
              </w:rPr>
              <w:t>1</w:t>
            </w:r>
          </w:p>
        </w:tc>
        <w:tc>
          <w:tcPr>
            <w:tcW w:w="1156" w:type="dxa"/>
          </w:tcPr>
          <w:p w:rsidR="009C5812" w:rsidRPr="00091230" w:rsidRDefault="009C5812" w:rsidP="009C5812">
            <w:pPr>
              <w:jc w:val="center"/>
              <w:rPr>
                <w:rFonts w:eastAsia="Cambria"/>
                <w:sz w:val="22"/>
                <w:szCs w:val="22"/>
              </w:rPr>
            </w:pPr>
          </w:p>
        </w:tc>
        <w:tc>
          <w:tcPr>
            <w:tcW w:w="2114" w:type="dxa"/>
            <w:shd w:val="clear" w:color="auto" w:fill="auto"/>
          </w:tcPr>
          <w:p w:rsidR="009C5812" w:rsidRPr="00091230" w:rsidRDefault="009C5812" w:rsidP="009C5812">
            <w:pPr>
              <w:jc w:val="center"/>
              <w:rPr>
                <w:rFonts w:eastAsia="Cambria"/>
                <w:sz w:val="22"/>
                <w:szCs w:val="22"/>
              </w:rPr>
            </w:pPr>
            <w:r w:rsidRPr="00091230">
              <w:rPr>
                <w:rFonts w:eastAsia="Cambria"/>
                <w:sz w:val="22"/>
                <w:szCs w:val="22"/>
              </w:rPr>
              <w:t>0,1</w:t>
            </w:r>
          </w:p>
        </w:tc>
        <w:tc>
          <w:tcPr>
            <w:tcW w:w="1464" w:type="dxa"/>
            <w:shd w:val="clear" w:color="auto" w:fill="auto"/>
          </w:tcPr>
          <w:p w:rsidR="009C5812" w:rsidRPr="00091230" w:rsidRDefault="009C5812" w:rsidP="009C5812">
            <w:pPr>
              <w:jc w:val="center"/>
              <w:rPr>
                <w:rFonts w:eastAsia="Cambria"/>
                <w:sz w:val="22"/>
                <w:szCs w:val="22"/>
              </w:rPr>
            </w:pPr>
            <w:r w:rsidRPr="00091230">
              <w:rPr>
                <w:rFonts w:eastAsia="Cambria"/>
                <w:sz w:val="22"/>
                <w:szCs w:val="22"/>
              </w:rPr>
              <w:t>1/1,0</w:t>
            </w:r>
          </w:p>
        </w:tc>
        <w:tc>
          <w:tcPr>
            <w:tcW w:w="1662" w:type="dxa"/>
            <w:shd w:val="clear" w:color="auto" w:fill="auto"/>
          </w:tcPr>
          <w:p w:rsidR="009C5812" w:rsidRPr="00091230" w:rsidRDefault="009C5812" w:rsidP="009C5812">
            <w:pPr>
              <w:jc w:val="center"/>
              <w:rPr>
                <w:rFonts w:eastAsia="Cambria"/>
                <w:sz w:val="22"/>
                <w:szCs w:val="22"/>
              </w:rPr>
            </w:pPr>
            <w:r w:rsidRPr="00091230">
              <w:rPr>
                <w:rFonts w:eastAsia="Cambria"/>
                <w:sz w:val="22"/>
                <w:szCs w:val="22"/>
              </w:rPr>
              <w:t>11</w:t>
            </w:r>
          </w:p>
        </w:tc>
      </w:tr>
      <w:tr w:rsidR="009C5812" w:rsidRPr="00091230" w:rsidTr="009C5812">
        <w:trPr>
          <w:trHeight w:val="20"/>
        </w:trPr>
        <w:tc>
          <w:tcPr>
            <w:tcW w:w="704" w:type="dxa"/>
            <w:shd w:val="clear" w:color="auto" w:fill="auto"/>
          </w:tcPr>
          <w:p w:rsidR="009C5812" w:rsidRPr="00091230" w:rsidRDefault="009C5812" w:rsidP="009C5812">
            <w:pPr>
              <w:jc w:val="center"/>
              <w:rPr>
                <w:rFonts w:eastAsia="Cambria"/>
                <w:sz w:val="22"/>
                <w:szCs w:val="22"/>
              </w:rPr>
            </w:pPr>
            <w:r w:rsidRPr="00091230">
              <w:rPr>
                <w:rFonts w:eastAsia="Cambria"/>
                <w:sz w:val="22"/>
                <w:szCs w:val="22"/>
              </w:rPr>
              <w:t>65.</w:t>
            </w:r>
          </w:p>
        </w:tc>
        <w:tc>
          <w:tcPr>
            <w:tcW w:w="2268" w:type="dxa"/>
            <w:shd w:val="clear" w:color="auto" w:fill="auto"/>
          </w:tcPr>
          <w:p w:rsidR="009C5812" w:rsidRPr="00091230" w:rsidRDefault="009C5812" w:rsidP="009C5812">
            <w:pPr>
              <w:ind w:right="30"/>
              <w:jc w:val="both"/>
              <w:rPr>
                <w:rFonts w:eastAsia="Cambria"/>
                <w:sz w:val="22"/>
                <w:szCs w:val="22"/>
              </w:rPr>
            </w:pPr>
            <w:r w:rsidRPr="00091230">
              <w:rPr>
                <w:rFonts w:eastAsia="Cambria"/>
                <w:sz w:val="22"/>
                <w:szCs w:val="22"/>
              </w:rPr>
              <w:t>г.Казань</w:t>
            </w:r>
          </w:p>
        </w:tc>
        <w:tc>
          <w:tcPr>
            <w:tcW w:w="2410" w:type="dxa"/>
          </w:tcPr>
          <w:p w:rsidR="009C5812" w:rsidRPr="00091230" w:rsidRDefault="009C5812" w:rsidP="009C5812">
            <w:pPr>
              <w:jc w:val="both"/>
              <w:rPr>
                <w:rFonts w:eastAsia="Cambria"/>
                <w:sz w:val="22"/>
                <w:szCs w:val="22"/>
              </w:rPr>
            </w:pPr>
            <w:r w:rsidRPr="00091230">
              <w:rPr>
                <w:sz w:val="22"/>
                <w:szCs w:val="22"/>
              </w:rPr>
              <w:t>ГАУЗ</w:t>
            </w:r>
            <w:r w:rsidRPr="00091230">
              <w:rPr>
                <w:rFonts w:eastAsia="Cambria"/>
                <w:sz w:val="22"/>
                <w:szCs w:val="22"/>
              </w:rPr>
              <w:t xml:space="preserve"> </w:t>
            </w:r>
            <w:r>
              <w:rPr>
                <w:rFonts w:eastAsia="Cambria"/>
                <w:sz w:val="22"/>
                <w:szCs w:val="22"/>
              </w:rPr>
              <w:t>«</w:t>
            </w:r>
            <w:r w:rsidRPr="00091230">
              <w:rPr>
                <w:rFonts w:eastAsia="Cambria"/>
                <w:sz w:val="22"/>
                <w:szCs w:val="22"/>
              </w:rPr>
              <w:t>Центральная городская клиническая больница № 18</w:t>
            </w:r>
            <w:r w:rsidRPr="00091230">
              <w:rPr>
                <w:color w:val="000000"/>
                <w:sz w:val="22"/>
                <w:szCs w:val="22"/>
              </w:rPr>
              <w:t xml:space="preserve"> им.проф.К.Ш.Зыятдинова</w:t>
            </w:r>
            <w:r>
              <w:rPr>
                <w:color w:val="000000"/>
                <w:sz w:val="22"/>
                <w:szCs w:val="22"/>
              </w:rPr>
              <w:t>»</w:t>
            </w:r>
            <w:r w:rsidRPr="00091230">
              <w:rPr>
                <w:color w:val="000000"/>
                <w:sz w:val="22"/>
                <w:szCs w:val="22"/>
              </w:rPr>
              <w:t xml:space="preserve"> </w:t>
            </w:r>
            <w:r w:rsidRPr="00091230">
              <w:rPr>
                <w:rFonts w:eastAsia="Cambria"/>
                <w:sz w:val="22"/>
                <w:szCs w:val="22"/>
              </w:rPr>
              <w:t>г.Казани</w:t>
            </w:r>
          </w:p>
        </w:tc>
        <w:tc>
          <w:tcPr>
            <w:tcW w:w="1416" w:type="dxa"/>
            <w:shd w:val="clear" w:color="auto" w:fill="auto"/>
          </w:tcPr>
          <w:p w:rsidR="009C5812" w:rsidRPr="00091230" w:rsidRDefault="009C5812" w:rsidP="009C5812">
            <w:pPr>
              <w:jc w:val="center"/>
              <w:rPr>
                <w:rFonts w:eastAsia="Cambria"/>
                <w:sz w:val="22"/>
                <w:szCs w:val="22"/>
              </w:rPr>
            </w:pPr>
            <w:r w:rsidRPr="00091230">
              <w:rPr>
                <w:rFonts w:eastAsia="Cambria"/>
                <w:sz w:val="22"/>
                <w:szCs w:val="22"/>
              </w:rPr>
              <w:t>51 456</w:t>
            </w:r>
          </w:p>
        </w:tc>
        <w:tc>
          <w:tcPr>
            <w:tcW w:w="983" w:type="dxa"/>
            <w:shd w:val="clear" w:color="auto" w:fill="auto"/>
          </w:tcPr>
          <w:p w:rsidR="009C5812" w:rsidRPr="00091230" w:rsidRDefault="009C5812" w:rsidP="009C5812">
            <w:pPr>
              <w:jc w:val="center"/>
              <w:rPr>
                <w:rFonts w:eastAsia="Cambria"/>
                <w:sz w:val="22"/>
                <w:szCs w:val="22"/>
              </w:rPr>
            </w:pPr>
            <w:r w:rsidRPr="00091230">
              <w:rPr>
                <w:rFonts w:eastAsia="Cambria"/>
                <w:sz w:val="22"/>
                <w:szCs w:val="22"/>
              </w:rPr>
              <w:t>1</w:t>
            </w:r>
          </w:p>
        </w:tc>
        <w:tc>
          <w:tcPr>
            <w:tcW w:w="1156" w:type="dxa"/>
          </w:tcPr>
          <w:p w:rsidR="009C5812" w:rsidRPr="00091230" w:rsidRDefault="009C5812" w:rsidP="009C5812">
            <w:pPr>
              <w:jc w:val="center"/>
              <w:rPr>
                <w:rFonts w:eastAsia="Cambria"/>
                <w:sz w:val="22"/>
                <w:szCs w:val="22"/>
              </w:rPr>
            </w:pPr>
          </w:p>
        </w:tc>
        <w:tc>
          <w:tcPr>
            <w:tcW w:w="2114" w:type="dxa"/>
            <w:shd w:val="clear" w:color="auto" w:fill="auto"/>
          </w:tcPr>
          <w:p w:rsidR="009C5812" w:rsidRPr="00091230" w:rsidRDefault="009C5812" w:rsidP="009C5812">
            <w:pPr>
              <w:jc w:val="center"/>
              <w:rPr>
                <w:rFonts w:eastAsia="Cambria"/>
                <w:sz w:val="22"/>
                <w:szCs w:val="22"/>
              </w:rPr>
            </w:pPr>
            <w:r w:rsidRPr="00091230">
              <w:rPr>
                <w:rFonts w:eastAsia="Cambria"/>
                <w:sz w:val="22"/>
                <w:szCs w:val="22"/>
              </w:rPr>
              <w:t>0,1</w:t>
            </w:r>
          </w:p>
        </w:tc>
        <w:tc>
          <w:tcPr>
            <w:tcW w:w="1464" w:type="dxa"/>
            <w:shd w:val="clear" w:color="auto" w:fill="auto"/>
          </w:tcPr>
          <w:p w:rsidR="009C5812" w:rsidRPr="00091230" w:rsidRDefault="009C5812" w:rsidP="009C5812">
            <w:pPr>
              <w:jc w:val="center"/>
              <w:rPr>
                <w:rFonts w:eastAsia="Cambria"/>
                <w:sz w:val="22"/>
                <w:szCs w:val="22"/>
              </w:rPr>
            </w:pPr>
            <w:r w:rsidRPr="00091230">
              <w:rPr>
                <w:rFonts w:eastAsia="Cambria"/>
                <w:sz w:val="22"/>
                <w:szCs w:val="22"/>
              </w:rPr>
              <w:t>1/1</w:t>
            </w:r>
          </w:p>
        </w:tc>
        <w:tc>
          <w:tcPr>
            <w:tcW w:w="1662" w:type="dxa"/>
            <w:shd w:val="clear" w:color="auto" w:fill="auto"/>
          </w:tcPr>
          <w:p w:rsidR="009C5812" w:rsidRPr="00091230" w:rsidRDefault="009C5812" w:rsidP="009C5812">
            <w:pPr>
              <w:jc w:val="center"/>
              <w:rPr>
                <w:rFonts w:eastAsia="Cambria"/>
                <w:sz w:val="22"/>
                <w:szCs w:val="22"/>
              </w:rPr>
            </w:pPr>
            <w:r w:rsidRPr="00091230">
              <w:rPr>
                <w:rFonts w:eastAsia="Cambria"/>
                <w:sz w:val="22"/>
                <w:szCs w:val="22"/>
              </w:rPr>
              <w:t>10</w:t>
            </w:r>
          </w:p>
        </w:tc>
      </w:tr>
      <w:tr w:rsidR="009C5812" w:rsidRPr="00091230" w:rsidTr="009C5812">
        <w:trPr>
          <w:trHeight w:val="20"/>
        </w:trPr>
        <w:tc>
          <w:tcPr>
            <w:tcW w:w="704" w:type="dxa"/>
            <w:shd w:val="clear" w:color="auto" w:fill="auto"/>
          </w:tcPr>
          <w:p w:rsidR="009C5812" w:rsidRPr="00091230" w:rsidRDefault="009C5812" w:rsidP="009C5812">
            <w:pPr>
              <w:jc w:val="center"/>
              <w:rPr>
                <w:rFonts w:eastAsia="Cambria"/>
                <w:sz w:val="22"/>
                <w:szCs w:val="22"/>
              </w:rPr>
            </w:pPr>
            <w:r w:rsidRPr="00091230">
              <w:rPr>
                <w:rFonts w:eastAsia="Cambria"/>
                <w:sz w:val="22"/>
                <w:szCs w:val="22"/>
              </w:rPr>
              <w:t>66.</w:t>
            </w:r>
          </w:p>
        </w:tc>
        <w:tc>
          <w:tcPr>
            <w:tcW w:w="2268" w:type="dxa"/>
            <w:shd w:val="clear" w:color="auto" w:fill="auto"/>
          </w:tcPr>
          <w:p w:rsidR="009C5812" w:rsidRPr="00091230" w:rsidRDefault="009C5812" w:rsidP="009C5812">
            <w:pPr>
              <w:ind w:right="30"/>
              <w:jc w:val="both"/>
              <w:rPr>
                <w:rFonts w:eastAsia="Cambria"/>
                <w:sz w:val="22"/>
                <w:szCs w:val="22"/>
              </w:rPr>
            </w:pPr>
            <w:r w:rsidRPr="00091230">
              <w:rPr>
                <w:rFonts w:eastAsia="Cambria"/>
                <w:sz w:val="22"/>
                <w:szCs w:val="22"/>
              </w:rPr>
              <w:t>г.Казань</w:t>
            </w:r>
          </w:p>
        </w:tc>
        <w:tc>
          <w:tcPr>
            <w:tcW w:w="2410" w:type="dxa"/>
          </w:tcPr>
          <w:p w:rsidR="009C5812" w:rsidRPr="00091230" w:rsidRDefault="009C5812" w:rsidP="009C5812">
            <w:pPr>
              <w:jc w:val="both"/>
              <w:rPr>
                <w:rFonts w:eastAsia="Cambria"/>
                <w:sz w:val="22"/>
                <w:szCs w:val="22"/>
              </w:rPr>
            </w:pPr>
            <w:r w:rsidRPr="00091230">
              <w:rPr>
                <w:sz w:val="22"/>
                <w:szCs w:val="22"/>
              </w:rPr>
              <w:t>ГАУЗ</w:t>
            </w:r>
            <w:r w:rsidRPr="00091230">
              <w:rPr>
                <w:rFonts w:eastAsia="Cambria"/>
                <w:sz w:val="22"/>
                <w:szCs w:val="22"/>
              </w:rPr>
              <w:t xml:space="preserve"> </w:t>
            </w:r>
            <w:r>
              <w:rPr>
                <w:rFonts w:eastAsia="Cambria"/>
                <w:sz w:val="22"/>
                <w:szCs w:val="22"/>
              </w:rPr>
              <w:t>«</w:t>
            </w:r>
            <w:r w:rsidRPr="00091230">
              <w:rPr>
                <w:rFonts w:eastAsia="Cambria"/>
                <w:sz w:val="22"/>
                <w:szCs w:val="22"/>
              </w:rPr>
              <w:t>Госпиталь для ветеранов войн</w:t>
            </w:r>
            <w:r>
              <w:rPr>
                <w:rFonts w:eastAsia="Cambria"/>
                <w:sz w:val="22"/>
                <w:szCs w:val="22"/>
              </w:rPr>
              <w:t>»</w:t>
            </w:r>
            <w:r w:rsidRPr="00091230">
              <w:rPr>
                <w:rFonts w:eastAsia="Cambria"/>
                <w:sz w:val="22"/>
                <w:szCs w:val="22"/>
              </w:rPr>
              <w:t xml:space="preserve"> г.Казани</w:t>
            </w:r>
          </w:p>
        </w:tc>
        <w:tc>
          <w:tcPr>
            <w:tcW w:w="1416" w:type="dxa"/>
            <w:shd w:val="clear" w:color="auto" w:fill="auto"/>
          </w:tcPr>
          <w:p w:rsidR="009C5812" w:rsidRPr="00091230" w:rsidRDefault="009C5812" w:rsidP="009C5812">
            <w:pPr>
              <w:jc w:val="center"/>
              <w:rPr>
                <w:rFonts w:eastAsia="Cambria"/>
                <w:sz w:val="22"/>
                <w:szCs w:val="22"/>
              </w:rPr>
            </w:pPr>
            <w:r w:rsidRPr="00091230">
              <w:rPr>
                <w:rFonts w:eastAsia="Cambria"/>
                <w:sz w:val="22"/>
                <w:szCs w:val="22"/>
              </w:rPr>
              <w:t>21 624</w:t>
            </w:r>
          </w:p>
        </w:tc>
        <w:tc>
          <w:tcPr>
            <w:tcW w:w="983" w:type="dxa"/>
            <w:shd w:val="clear" w:color="auto" w:fill="auto"/>
          </w:tcPr>
          <w:p w:rsidR="009C5812" w:rsidRPr="00091230" w:rsidRDefault="009C5812" w:rsidP="009C5812">
            <w:pPr>
              <w:jc w:val="center"/>
              <w:rPr>
                <w:rFonts w:eastAsia="Cambria"/>
                <w:sz w:val="22"/>
                <w:szCs w:val="22"/>
              </w:rPr>
            </w:pPr>
            <w:r w:rsidRPr="00091230">
              <w:rPr>
                <w:rFonts w:eastAsia="Cambria"/>
                <w:sz w:val="22"/>
                <w:szCs w:val="22"/>
              </w:rPr>
              <w:t>1</w:t>
            </w:r>
          </w:p>
        </w:tc>
        <w:tc>
          <w:tcPr>
            <w:tcW w:w="1156" w:type="dxa"/>
          </w:tcPr>
          <w:p w:rsidR="009C5812" w:rsidRPr="00091230" w:rsidRDefault="009C5812" w:rsidP="009C5812">
            <w:pPr>
              <w:jc w:val="center"/>
              <w:rPr>
                <w:rFonts w:eastAsia="Cambria"/>
                <w:sz w:val="22"/>
                <w:szCs w:val="22"/>
              </w:rPr>
            </w:pPr>
          </w:p>
        </w:tc>
        <w:tc>
          <w:tcPr>
            <w:tcW w:w="2114" w:type="dxa"/>
            <w:shd w:val="clear" w:color="auto" w:fill="auto"/>
          </w:tcPr>
          <w:p w:rsidR="009C5812" w:rsidRPr="00091230" w:rsidRDefault="009C5812" w:rsidP="009C5812">
            <w:pPr>
              <w:jc w:val="center"/>
              <w:rPr>
                <w:rFonts w:eastAsia="Cambria"/>
                <w:sz w:val="22"/>
                <w:szCs w:val="22"/>
              </w:rPr>
            </w:pPr>
            <w:r w:rsidRPr="00091230">
              <w:rPr>
                <w:rFonts w:eastAsia="Cambria"/>
                <w:sz w:val="22"/>
                <w:szCs w:val="22"/>
              </w:rPr>
              <w:t>0,1</w:t>
            </w:r>
          </w:p>
        </w:tc>
        <w:tc>
          <w:tcPr>
            <w:tcW w:w="1464" w:type="dxa"/>
            <w:shd w:val="clear" w:color="auto" w:fill="auto"/>
          </w:tcPr>
          <w:p w:rsidR="009C5812" w:rsidRPr="00091230" w:rsidRDefault="009C5812" w:rsidP="009C5812">
            <w:pPr>
              <w:jc w:val="center"/>
              <w:rPr>
                <w:rFonts w:eastAsia="Cambria"/>
                <w:sz w:val="22"/>
                <w:szCs w:val="22"/>
              </w:rPr>
            </w:pPr>
            <w:r w:rsidRPr="00091230">
              <w:rPr>
                <w:rFonts w:eastAsia="Cambria"/>
                <w:sz w:val="22"/>
                <w:szCs w:val="22"/>
              </w:rPr>
              <w:t>1/1,25</w:t>
            </w:r>
          </w:p>
        </w:tc>
        <w:tc>
          <w:tcPr>
            <w:tcW w:w="1662" w:type="dxa"/>
            <w:shd w:val="clear" w:color="auto" w:fill="auto"/>
          </w:tcPr>
          <w:p w:rsidR="009C5812" w:rsidRPr="00091230" w:rsidRDefault="009C5812" w:rsidP="009C5812">
            <w:pPr>
              <w:jc w:val="center"/>
              <w:rPr>
                <w:rFonts w:eastAsia="Cambria"/>
                <w:sz w:val="22"/>
                <w:szCs w:val="22"/>
              </w:rPr>
            </w:pPr>
            <w:r w:rsidRPr="00091230">
              <w:rPr>
                <w:rFonts w:eastAsia="Cambria"/>
                <w:sz w:val="22"/>
                <w:szCs w:val="22"/>
              </w:rPr>
              <w:t>10</w:t>
            </w:r>
          </w:p>
        </w:tc>
      </w:tr>
      <w:tr w:rsidR="009C5812" w:rsidRPr="00091230" w:rsidTr="009C5812">
        <w:trPr>
          <w:trHeight w:val="20"/>
        </w:trPr>
        <w:tc>
          <w:tcPr>
            <w:tcW w:w="704" w:type="dxa"/>
            <w:shd w:val="clear" w:color="auto" w:fill="auto"/>
          </w:tcPr>
          <w:p w:rsidR="009C5812" w:rsidRPr="00091230" w:rsidRDefault="009C5812" w:rsidP="009C5812">
            <w:pPr>
              <w:jc w:val="center"/>
              <w:rPr>
                <w:rFonts w:eastAsia="Cambria"/>
                <w:sz w:val="22"/>
                <w:szCs w:val="22"/>
              </w:rPr>
            </w:pPr>
            <w:r w:rsidRPr="00091230">
              <w:rPr>
                <w:rFonts w:eastAsia="Cambria"/>
                <w:sz w:val="22"/>
                <w:szCs w:val="22"/>
              </w:rPr>
              <w:t>67.</w:t>
            </w:r>
          </w:p>
        </w:tc>
        <w:tc>
          <w:tcPr>
            <w:tcW w:w="2268" w:type="dxa"/>
            <w:shd w:val="clear" w:color="auto" w:fill="auto"/>
          </w:tcPr>
          <w:p w:rsidR="009C5812" w:rsidRPr="00091230" w:rsidRDefault="009C5812" w:rsidP="009C5812">
            <w:pPr>
              <w:ind w:right="30"/>
              <w:jc w:val="both"/>
              <w:rPr>
                <w:rFonts w:eastAsia="Cambria"/>
                <w:sz w:val="22"/>
                <w:szCs w:val="22"/>
              </w:rPr>
            </w:pPr>
            <w:r w:rsidRPr="00091230">
              <w:rPr>
                <w:rFonts w:eastAsia="Cambria"/>
                <w:sz w:val="22"/>
                <w:szCs w:val="22"/>
              </w:rPr>
              <w:t>г.Казань</w:t>
            </w:r>
          </w:p>
        </w:tc>
        <w:tc>
          <w:tcPr>
            <w:tcW w:w="2410" w:type="dxa"/>
          </w:tcPr>
          <w:p w:rsidR="009C5812" w:rsidRPr="00E3265F" w:rsidRDefault="009C5812" w:rsidP="009C5812">
            <w:pPr>
              <w:jc w:val="both"/>
              <w:rPr>
                <w:rFonts w:eastAsia="Cambria"/>
                <w:sz w:val="22"/>
                <w:szCs w:val="22"/>
              </w:rPr>
            </w:pPr>
            <w:r w:rsidRPr="00E3265F">
              <w:rPr>
                <w:rFonts w:eastAsia="Cambria"/>
                <w:sz w:val="22"/>
                <w:szCs w:val="22"/>
              </w:rPr>
              <w:t>М</w:t>
            </w:r>
            <w:r w:rsidRPr="00E3265F">
              <w:rPr>
                <w:rFonts w:eastAsia="Arial"/>
                <w:sz w:val="22"/>
                <w:szCs w:val="22"/>
              </w:rPr>
              <w:t xml:space="preserve">едико-санитарная часть </w:t>
            </w:r>
            <w:r w:rsidRPr="00E3265F">
              <w:rPr>
                <w:rFonts w:eastAsia="Calibri"/>
                <w:sz w:val="22"/>
                <w:szCs w:val="22"/>
              </w:rPr>
              <w:t xml:space="preserve">федерального государственного автономного образовательного учреждения высшего образования </w:t>
            </w:r>
            <w:r>
              <w:rPr>
                <w:rFonts w:eastAsia="Calibri"/>
                <w:sz w:val="22"/>
                <w:szCs w:val="22"/>
              </w:rPr>
              <w:t>«</w:t>
            </w:r>
            <w:r w:rsidRPr="00E3265F">
              <w:rPr>
                <w:rFonts w:eastAsia="Calibri"/>
                <w:sz w:val="22"/>
                <w:szCs w:val="22"/>
              </w:rPr>
              <w:t>Казанский (Приволжский) федеральный университет</w:t>
            </w:r>
            <w:r>
              <w:rPr>
                <w:rFonts w:eastAsia="Calibri"/>
                <w:sz w:val="22"/>
                <w:szCs w:val="22"/>
              </w:rPr>
              <w:t>»</w:t>
            </w:r>
          </w:p>
        </w:tc>
        <w:tc>
          <w:tcPr>
            <w:tcW w:w="1416" w:type="dxa"/>
            <w:shd w:val="clear" w:color="auto" w:fill="auto"/>
          </w:tcPr>
          <w:p w:rsidR="009C5812" w:rsidRPr="00091230" w:rsidRDefault="009C5812" w:rsidP="009C5812">
            <w:pPr>
              <w:jc w:val="center"/>
              <w:rPr>
                <w:rFonts w:eastAsia="Cambria"/>
                <w:sz w:val="22"/>
                <w:szCs w:val="22"/>
              </w:rPr>
            </w:pPr>
            <w:r w:rsidRPr="00091230">
              <w:rPr>
                <w:rFonts w:eastAsia="Cambria"/>
                <w:sz w:val="22"/>
                <w:szCs w:val="22"/>
              </w:rPr>
              <w:t>68 525</w:t>
            </w:r>
          </w:p>
        </w:tc>
        <w:tc>
          <w:tcPr>
            <w:tcW w:w="983" w:type="dxa"/>
            <w:shd w:val="clear" w:color="auto" w:fill="auto"/>
          </w:tcPr>
          <w:p w:rsidR="009C5812" w:rsidRPr="00091230" w:rsidRDefault="009C5812" w:rsidP="009C5812">
            <w:pPr>
              <w:jc w:val="center"/>
              <w:rPr>
                <w:rFonts w:eastAsia="Cambria"/>
                <w:sz w:val="22"/>
                <w:szCs w:val="22"/>
              </w:rPr>
            </w:pPr>
            <w:r w:rsidRPr="00091230">
              <w:rPr>
                <w:rFonts w:eastAsia="Cambria"/>
                <w:sz w:val="22"/>
                <w:szCs w:val="22"/>
              </w:rPr>
              <w:t>1</w:t>
            </w:r>
          </w:p>
        </w:tc>
        <w:tc>
          <w:tcPr>
            <w:tcW w:w="1156" w:type="dxa"/>
          </w:tcPr>
          <w:p w:rsidR="009C5812" w:rsidRPr="00091230" w:rsidRDefault="009C5812" w:rsidP="009C5812">
            <w:pPr>
              <w:jc w:val="center"/>
              <w:rPr>
                <w:rFonts w:eastAsia="Cambria"/>
                <w:sz w:val="22"/>
                <w:szCs w:val="22"/>
              </w:rPr>
            </w:pPr>
          </w:p>
        </w:tc>
        <w:tc>
          <w:tcPr>
            <w:tcW w:w="2114" w:type="dxa"/>
            <w:shd w:val="clear" w:color="auto" w:fill="auto"/>
          </w:tcPr>
          <w:p w:rsidR="009C5812" w:rsidRPr="00091230" w:rsidRDefault="009C5812" w:rsidP="009C5812">
            <w:pPr>
              <w:jc w:val="center"/>
              <w:rPr>
                <w:rFonts w:eastAsia="Cambria"/>
                <w:sz w:val="22"/>
                <w:szCs w:val="22"/>
              </w:rPr>
            </w:pPr>
            <w:r w:rsidRPr="00091230">
              <w:rPr>
                <w:rFonts w:eastAsia="Cambria"/>
                <w:sz w:val="22"/>
                <w:szCs w:val="22"/>
              </w:rPr>
              <w:t>0,1</w:t>
            </w:r>
          </w:p>
        </w:tc>
        <w:tc>
          <w:tcPr>
            <w:tcW w:w="1464" w:type="dxa"/>
            <w:shd w:val="clear" w:color="auto" w:fill="auto"/>
          </w:tcPr>
          <w:p w:rsidR="009C5812" w:rsidRPr="00091230" w:rsidRDefault="009C5812" w:rsidP="009C5812">
            <w:pPr>
              <w:jc w:val="center"/>
              <w:rPr>
                <w:rFonts w:eastAsia="Cambria"/>
                <w:sz w:val="22"/>
                <w:szCs w:val="22"/>
              </w:rPr>
            </w:pPr>
            <w:r w:rsidRPr="00091230">
              <w:rPr>
                <w:rFonts w:eastAsia="Cambria"/>
                <w:sz w:val="22"/>
                <w:szCs w:val="22"/>
              </w:rPr>
              <w:t>1/2</w:t>
            </w:r>
          </w:p>
        </w:tc>
        <w:tc>
          <w:tcPr>
            <w:tcW w:w="1662" w:type="dxa"/>
            <w:shd w:val="clear" w:color="auto" w:fill="auto"/>
          </w:tcPr>
          <w:p w:rsidR="009C5812" w:rsidRPr="00091230" w:rsidRDefault="009C5812" w:rsidP="009C5812">
            <w:pPr>
              <w:jc w:val="center"/>
              <w:rPr>
                <w:rFonts w:eastAsia="Cambria"/>
                <w:sz w:val="22"/>
                <w:szCs w:val="22"/>
              </w:rPr>
            </w:pPr>
            <w:r w:rsidRPr="00091230">
              <w:rPr>
                <w:rFonts w:eastAsia="Cambria"/>
                <w:sz w:val="22"/>
                <w:szCs w:val="22"/>
              </w:rPr>
              <w:t>8</w:t>
            </w:r>
          </w:p>
        </w:tc>
      </w:tr>
      <w:tr w:rsidR="009C5812" w:rsidRPr="00091230" w:rsidTr="009C5812">
        <w:trPr>
          <w:trHeight w:val="20"/>
        </w:trPr>
        <w:tc>
          <w:tcPr>
            <w:tcW w:w="704" w:type="dxa"/>
            <w:shd w:val="clear" w:color="auto" w:fill="auto"/>
          </w:tcPr>
          <w:p w:rsidR="009C5812" w:rsidRPr="00091230" w:rsidRDefault="009C5812" w:rsidP="009C5812">
            <w:pPr>
              <w:jc w:val="center"/>
              <w:rPr>
                <w:rFonts w:eastAsia="Cambria"/>
                <w:sz w:val="22"/>
                <w:szCs w:val="22"/>
              </w:rPr>
            </w:pPr>
            <w:r w:rsidRPr="00091230">
              <w:rPr>
                <w:rFonts w:eastAsia="Cambria"/>
                <w:sz w:val="22"/>
                <w:szCs w:val="22"/>
              </w:rPr>
              <w:t>68.</w:t>
            </w:r>
          </w:p>
        </w:tc>
        <w:tc>
          <w:tcPr>
            <w:tcW w:w="2268" w:type="dxa"/>
            <w:shd w:val="clear" w:color="auto" w:fill="auto"/>
          </w:tcPr>
          <w:p w:rsidR="009C5812" w:rsidRPr="00091230" w:rsidRDefault="009C5812" w:rsidP="009C5812">
            <w:pPr>
              <w:ind w:right="30"/>
              <w:jc w:val="both"/>
              <w:rPr>
                <w:rFonts w:eastAsia="Cambria"/>
                <w:sz w:val="22"/>
                <w:szCs w:val="22"/>
              </w:rPr>
            </w:pPr>
            <w:r w:rsidRPr="00091230">
              <w:rPr>
                <w:rFonts w:eastAsia="Cambria"/>
                <w:sz w:val="22"/>
                <w:szCs w:val="22"/>
              </w:rPr>
              <w:t>г.Казань</w:t>
            </w:r>
          </w:p>
        </w:tc>
        <w:tc>
          <w:tcPr>
            <w:tcW w:w="2410" w:type="dxa"/>
          </w:tcPr>
          <w:p w:rsidR="009C5812" w:rsidRPr="00091230" w:rsidRDefault="009C5812" w:rsidP="009C5812">
            <w:pPr>
              <w:jc w:val="both"/>
              <w:rPr>
                <w:rFonts w:eastAsia="Cambria"/>
                <w:sz w:val="22"/>
                <w:szCs w:val="22"/>
              </w:rPr>
            </w:pPr>
            <w:r>
              <w:rPr>
                <w:rFonts w:eastAsia="Cambria"/>
                <w:sz w:val="22"/>
                <w:szCs w:val="22"/>
              </w:rPr>
              <w:t>Поликлиника «</w:t>
            </w:r>
            <w:r w:rsidRPr="00091230">
              <w:rPr>
                <w:rFonts w:eastAsia="Cambria"/>
                <w:sz w:val="22"/>
                <w:szCs w:val="22"/>
              </w:rPr>
              <w:t>Спасение</w:t>
            </w:r>
            <w:r>
              <w:rPr>
                <w:rFonts w:eastAsia="Cambria"/>
                <w:sz w:val="22"/>
                <w:szCs w:val="22"/>
              </w:rPr>
              <w:t>»</w:t>
            </w:r>
          </w:p>
        </w:tc>
        <w:tc>
          <w:tcPr>
            <w:tcW w:w="1416" w:type="dxa"/>
            <w:shd w:val="clear" w:color="auto" w:fill="auto"/>
          </w:tcPr>
          <w:p w:rsidR="009C5812" w:rsidRPr="00091230" w:rsidRDefault="009C5812" w:rsidP="009C5812">
            <w:pPr>
              <w:jc w:val="center"/>
              <w:rPr>
                <w:rFonts w:eastAsia="Cambria"/>
                <w:sz w:val="22"/>
                <w:szCs w:val="22"/>
              </w:rPr>
            </w:pPr>
            <w:r w:rsidRPr="00091230">
              <w:rPr>
                <w:rFonts w:eastAsia="Cambria"/>
                <w:sz w:val="22"/>
                <w:szCs w:val="22"/>
              </w:rPr>
              <w:t>24 388</w:t>
            </w:r>
          </w:p>
        </w:tc>
        <w:tc>
          <w:tcPr>
            <w:tcW w:w="983" w:type="dxa"/>
            <w:shd w:val="clear" w:color="auto" w:fill="auto"/>
          </w:tcPr>
          <w:p w:rsidR="009C5812" w:rsidRPr="00091230" w:rsidRDefault="009C5812" w:rsidP="009C5812">
            <w:pPr>
              <w:jc w:val="center"/>
              <w:rPr>
                <w:rFonts w:eastAsia="Cambria"/>
                <w:sz w:val="22"/>
                <w:szCs w:val="22"/>
              </w:rPr>
            </w:pPr>
            <w:r w:rsidRPr="00091230">
              <w:rPr>
                <w:rFonts w:eastAsia="Cambria"/>
                <w:sz w:val="22"/>
                <w:szCs w:val="22"/>
              </w:rPr>
              <w:t>1</w:t>
            </w:r>
          </w:p>
        </w:tc>
        <w:tc>
          <w:tcPr>
            <w:tcW w:w="1156" w:type="dxa"/>
          </w:tcPr>
          <w:p w:rsidR="009C5812" w:rsidRPr="00091230" w:rsidRDefault="009C5812" w:rsidP="009C5812">
            <w:pPr>
              <w:jc w:val="center"/>
              <w:rPr>
                <w:rFonts w:eastAsia="Cambria"/>
                <w:sz w:val="22"/>
                <w:szCs w:val="22"/>
              </w:rPr>
            </w:pPr>
          </w:p>
        </w:tc>
        <w:tc>
          <w:tcPr>
            <w:tcW w:w="2114" w:type="dxa"/>
            <w:shd w:val="clear" w:color="auto" w:fill="auto"/>
          </w:tcPr>
          <w:p w:rsidR="009C5812" w:rsidRPr="00091230" w:rsidRDefault="009C5812" w:rsidP="009C5812">
            <w:pPr>
              <w:jc w:val="center"/>
              <w:rPr>
                <w:rFonts w:eastAsia="Cambria"/>
                <w:sz w:val="22"/>
                <w:szCs w:val="22"/>
              </w:rPr>
            </w:pPr>
            <w:r w:rsidRPr="00091230">
              <w:rPr>
                <w:rFonts w:eastAsia="Cambria"/>
                <w:sz w:val="22"/>
                <w:szCs w:val="22"/>
              </w:rPr>
              <w:t>0,1</w:t>
            </w:r>
          </w:p>
        </w:tc>
        <w:tc>
          <w:tcPr>
            <w:tcW w:w="1464" w:type="dxa"/>
            <w:shd w:val="clear" w:color="auto" w:fill="auto"/>
          </w:tcPr>
          <w:p w:rsidR="009C5812" w:rsidRPr="00091230" w:rsidRDefault="009C5812" w:rsidP="009C5812">
            <w:pPr>
              <w:jc w:val="center"/>
              <w:rPr>
                <w:rFonts w:eastAsia="Cambria"/>
                <w:sz w:val="22"/>
                <w:szCs w:val="22"/>
              </w:rPr>
            </w:pPr>
            <w:r w:rsidRPr="00091230">
              <w:rPr>
                <w:rFonts w:eastAsia="Cambria"/>
                <w:sz w:val="22"/>
                <w:szCs w:val="22"/>
              </w:rPr>
              <w:t>1/0,5</w:t>
            </w:r>
          </w:p>
        </w:tc>
        <w:tc>
          <w:tcPr>
            <w:tcW w:w="1662" w:type="dxa"/>
            <w:shd w:val="clear" w:color="auto" w:fill="auto"/>
          </w:tcPr>
          <w:p w:rsidR="009C5812" w:rsidRPr="00091230" w:rsidRDefault="009C5812" w:rsidP="009C5812">
            <w:pPr>
              <w:jc w:val="center"/>
              <w:rPr>
                <w:rFonts w:eastAsia="Cambria"/>
                <w:sz w:val="22"/>
                <w:szCs w:val="22"/>
              </w:rPr>
            </w:pPr>
            <w:r w:rsidRPr="00091230">
              <w:rPr>
                <w:rFonts w:eastAsia="Cambria"/>
                <w:sz w:val="22"/>
                <w:szCs w:val="22"/>
              </w:rPr>
              <w:t>13</w:t>
            </w:r>
          </w:p>
        </w:tc>
      </w:tr>
      <w:tr w:rsidR="009C5812" w:rsidRPr="00091230" w:rsidTr="009C5812">
        <w:trPr>
          <w:trHeight w:val="20"/>
        </w:trPr>
        <w:tc>
          <w:tcPr>
            <w:tcW w:w="704" w:type="dxa"/>
            <w:shd w:val="clear" w:color="auto" w:fill="auto"/>
          </w:tcPr>
          <w:p w:rsidR="009C5812" w:rsidRPr="00091230" w:rsidRDefault="009C5812" w:rsidP="009C5812">
            <w:pPr>
              <w:jc w:val="center"/>
              <w:rPr>
                <w:rFonts w:eastAsia="Cambria"/>
                <w:sz w:val="22"/>
                <w:szCs w:val="22"/>
              </w:rPr>
            </w:pPr>
            <w:r w:rsidRPr="00091230">
              <w:rPr>
                <w:rFonts w:eastAsia="Cambria"/>
                <w:sz w:val="22"/>
                <w:szCs w:val="22"/>
              </w:rPr>
              <w:t>69.</w:t>
            </w:r>
          </w:p>
        </w:tc>
        <w:tc>
          <w:tcPr>
            <w:tcW w:w="2268" w:type="dxa"/>
            <w:shd w:val="clear" w:color="auto" w:fill="auto"/>
          </w:tcPr>
          <w:p w:rsidR="009C5812" w:rsidRPr="00091230" w:rsidRDefault="009C5812" w:rsidP="009C5812">
            <w:pPr>
              <w:ind w:right="30"/>
              <w:jc w:val="both"/>
              <w:rPr>
                <w:rFonts w:eastAsia="Cambria"/>
                <w:sz w:val="22"/>
                <w:szCs w:val="22"/>
              </w:rPr>
            </w:pPr>
            <w:r w:rsidRPr="00091230">
              <w:rPr>
                <w:rFonts w:eastAsia="Cambria"/>
                <w:sz w:val="22"/>
                <w:szCs w:val="22"/>
              </w:rPr>
              <w:t>г.Казань</w:t>
            </w:r>
          </w:p>
        </w:tc>
        <w:tc>
          <w:tcPr>
            <w:tcW w:w="2410" w:type="dxa"/>
          </w:tcPr>
          <w:p w:rsidR="009C5812" w:rsidRPr="00E3265F" w:rsidRDefault="009C5812" w:rsidP="009C5812">
            <w:pPr>
              <w:jc w:val="both"/>
              <w:rPr>
                <w:rFonts w:eastAsia="Cambria"/>
                <w:sz w:val="22"/>
                <w:szCs w:val="22"/>
              </w:rPr>
            </w:pPr>
            <w:r w:rsidRPr="00E3265F">
              <w:rPr>
                <w:rFonts w:eastAsia="Arial"/>
                <w:sz w:val="22"/>
                <w:szCs w:val="22"/>
              </w:rPr>
              <w:t>Закрытое акционерное общество</w:t>
            </w:r>
            <w:r w:rsidRPr="00E3265F">
              <w:rPr>
                <w:rFonts w:eastAsia="Cambria"/>
                <w:sz w:val="22"/>
                <w:szCs w:val="22"/>
              </w:rPr>
              <w:t xml:space="preserve"> </w:t>
            </w:r>
            <w:r>
              <w:rPr>
                <w:rFonts w:eastAsia="Cambria"/>
                <w:sz w:val="22"/>
                <w:szCs w:val="22"/>
              </w:rPr>
              <w:t>«</w:t>
            </w:r>
            <w:r w:rsidR="007775F5">
              <w:rPr>
                <w:rFonts w:eastAsia="Cambria"/>
                <w:sz w:val="22"/>
                <w:szCs w:val="22"/>
              </w:rPr>
              <w:t>Консультатив</w:t>
            </w:r>
            <w:r w:rsidRPr="00E3265F">
              <w:rPr>
                <w:rFonts w:eastAsia="Cambria"/>
                <w:sz w:val="22"/>
                <w:szCs w:val="22"/>
              </w:rPr>
              <w:t>но-диагностический центр Авиастроительного района</w:t>
            </w:r>
            <w:r>
              <w:rPr>
                <w:rFonts w:eastAsia="Cambria"/>
                <w:sz w:val="22"/>
                <w:szCs w:val="22"/>
              </w:rPr>
              <w:t>»</w:t>
            </w:r>
          </w:p>
        </w:tc>
        <w:tc>
          <w:tcPr>
            <w:tcW w:w="1416" w:type="dxa"/>
            <w:shd w:val="clear" w:color="auto" w:fill="auto"/>
          </w:tcPr>
          <w:p w:rsidR="009C5812" w:rsidRPr="00091230" w:rsidRDefault="009C5812" w:rsidP="009C5812">
            <w:pPr>
              <w:jc w:val="center"/>
              <w:rPr>
                <w:rFonts w:eastAsia="Cambria"/>
                <w:sz w:val="22"/>
                <w:szCs w:val="22"/>
              </w:rPr>
            </w:pPr>
            <w:r w:rsidRPr="00091230">
              <w:rPr>
                <w:rFonts w:eastAsia="Cambria"/>
                <w:sz w:val="22"/>
                <w:szCs w:val="22"/>
              </w:rPr>
              <w:t>27 475</w:t>
            </w:r>
          </w:p>
        </w:tc>
        <w:tc>
          <w:tcPr>
            <w:tcW w:w="983" w:type="dxa"/>
            <w:shd w:val="clear" w:color="auto" w:fill="auto"/>
          </w:tcPr>
          <w:p w:rsidR="009C5812" w:rsidRPr="00091230" w:rsidRDefault="009C5812" w:rsidP="009C5812">
            <w:pPr>
              <w:jc w:val="center"/>
              <w:rPr>
                <w:rFonts w:eastAsia="Cambria"/>
                <w:sz w:val="22"/>
                <w:szCs w:val="22"/>
              </w:rPr>
            </w:pPr>
            <w:r w:rsidRPr="00091230">
              <w:rPr>
                <w:rFonts w:eastAsia="Cambria"/>
                <w:sz w:val="22"/>
                <w:szCs w:val="22"/>
              </w:rPr>
              <w:t>1</w:t>
            </w:r>
          </w:p>
        </w:tc>
        <w:tc>
          <w:tcPr>
            <w:tcW w:w="1156" w:type="dxa"/>
          </w:tcPr>
          <w:p w:rsidR="009C5812" w:rsidRPr="00091230" w:rsidRDefault="009C5812" w:rsidP="009C5812">
            <w:pPr>
              <w:jc w:val="center"/>
              <w:rPr>
                <w:rFonts w:eastAsia="Cambria"/>
                <w:sz w:val="22"/>
                <w:szCs w:val="22"/>
              </w:rPr>
            </w:pPr>
          </w:p>
        </w:tc>
        <w:tc>
          <w:tcPr>
            <w:tcW w:w="2114" w:type="dxa"/>
            <w:shd w:val="clear" w:color="auto" w:fill="auto"/>
          </w:tcPr>
          <w:p w:rsidR="009C5812" w:rsidRPr="00091230" w:rsidRDefault="009C5812" w:rsidP="009C5812">
            <w:pPr>
              <w:jc w:val="center"/>
              <w:rPr>
                <w:rFonts w:eastAsia="Cambria"/>
                <w:sz w:val="22"/>
                <w:szCs w:val="22"/>
              </w:rPr>
            </w:pPr>
            <w:r w:rsidRPr="00091230">
              <w:rPr>
                <w:rFonts w:eastAsia="Cambria"/>
                <w:sz w:val="22"/>
                <w:szCs w:val="22"/>
              </w:rPr>
              <w:t>0,1</w:t>
            </w:r>
          </w:p>
        </w:tc>
        <w:tc>
          <w:tcPr>
            <w:tcW w:w="1464" w:type="dxa"/>
            <w:shd w:val="clear" w:color="auto" w:fill="auto"/>
          </w:tcPr>
          <w:p w:rsidR="009C5812" w:rsidRPr="00091230" w:rsidRDefault="009C5812" w:rsidP="009C5812">
            <w:pPr>
              <w:jc w:val="center"/>
              <w:rPr>
                <w:rFonts w:eastAsia="Cambria"/>
                <w:sz w:val="22"/>
                <w:szCs w:val="22"/>
              </w:rPr>
            </w:pPr>
            <w:r w:rsidRPr="00091230">
              <w:rPr>
                <w:rFonts w:eastAsia="Cambria"/>
                <w:sz w:val="22"/>
                <w:szCs w:val="22"/>
              </w:rPr>
              <w:t>1/0,5</w:t>
            </w:r>
          </w:p>
        </w:tc>
        <w:tc>
          <w:tcPr>
            <w:tcW w:w="1662" w:type="dxa"/>
            <w:shd w:val="clear" w:color="auto" w:fill="auto"/>
          </w:tcPr>
          <w:p w:rsidR="009C5812" w:rsidRPr="00091230" w:rsidRDefault="009C5812" w:rsidP="009C5812">
            <w:pPr>
              <w:jc w:val="center"/>
              <w:rPr>
                <w:rFonts w:eastAsia="Cambria"/>
                <w:sz w:val="22"/>
                <w:szCs w:val="22"/>
              </w:rPr>
            </w:pPr>
            <w:r w:rsidRPr="00091230">
              <w:rPr>
                <w:rFonts w:eastAsia="Cambria"/>
                <w:sz w:val="22"/>
                <w:szCs w:val="22"/>
              </w:rPr>
              <w:t>14</w:t>
            </w:r>
          </w:p>
        </w:tc>
      </w:tr>
      <w:tr w:rsidR="009C5812" w:rsidRPr="00091230" w:rsidTr="009C5812">
        <w:trPr>
          <w:trHeight w:val="20"/>
        </w:trPr>
        <w:tc>
          <w:tcPr>
            <w:tcW w:w="704" w:type="dxa"/>
            <w:shd w:val="clear" w:color="auto" w:fill="auto"/>
          </w:tcPr>
          <w:p w:rsidR="009C5812" w:rsidRPr="00091230" w:rsidRDefault="009C5812" w:rsidP="009C5812">
            <w:pPr>
              <w:jc w:val="center"/>
              <w:rPr>
                <w:rFonts w:eastAsia="Cambria"/>
                <w:sz w:val="22"/>
                <w:szCs w:val="22"/>
              </w:rPr>
            </w:pPr>
            <w:r w:rsidRPr="00091230">
              <w:rPr>
                <w:rFonts w:eastAsia="Cambria"/>
                <w:sz w:val="22"/>
                <w:szCs w:val="22"/>
              </w:rPr>
              <w:t>70.</w:t>
            </w:r>
          </w:p>
        </w:tc>
        <w:tc>
          <w:tcPr>
            <w:tcW w:w="2268" w:type="dxa"/>
            <w:shd w:val="clear" w:color="auto" w:fill="auto"/>
          </w:tcPr>
          <w:p w:rsidR="009C5812" w:rsidRPr="00091230" w:rsidRDefault="009C5812" w:rsidP="009C5812">
            <w:pPr>
              <w:ind w:right="30"/>
              <w:jc w:val="both"/>
              <w:rPr>
                <w:rFonts w:eastAsia="Cambria"/>
                <w:sz w:val="22"/>
                <w:szCs w:val="22"/>
              </w:rPr>
            </w:pPr>
            <w:r w:rsidRPr="00091230">
              <w:rPr>
                <w:rFonts w:eastAsia="Cambria"/>
                <w:sz w:val="22"/>
                <w:szCs w:val="22"/>
              </w:rPr>
              <w:t>г.Казань</w:t>
            </w:r>
          </w:p>
        </w:tc>
        <w:tc>
          <w:tcPr>
            <w:tcW w:w="2410" w:type="dxa"/>
          </w:tcPr>
          <w:p w:rsidR="009C5812" w:rsidRPr="00091230" w:rsidRDefault="009C5812" w:rsidP="009C5812">
            <w:pPr>
              <w:jc w:val="both"/>
              <w:rPr>
                <w:rFonts w:eastAsia="Cambria"/>
                <w:sz w:val="22"/>
                <w:szCs w:val="22"/>
              </w:rPr>
            </w:pPr>
            <w:r w:rsidRPr="00091230">
              <w:rPr>
                <w:sz w:val="22"/>
                <w:szCs w:val="22"/>
              </w:rPr>
              <w:t>ГАУЗ</w:t>
            </w:r>
            <w:r w:rsidRPr="00091230">
              <w:rPr>
                <w:rFonts w:eastAsia="Cambria"/>
                <w:sz w:val="22"/>
                <w:szCs w:val="22"/>
              </w:rPr>
              <w:t xml:space="preserve"> </w:t>
            </w:r>
            <w:r>
              <w:rPr>
                <w:rFonts w:eastAsia="Cambria"/>
                <w:sz w:val="22"/>
                <w:szCs w:val="22"/>
              </w:rPr>
              <w:t>«</w:t>
            </w:r>
            <w:r w:rsidRPr="00091230">
              <w:rPr>
                <w:rFonts w:eastAsia="Cambria"/>
                <w:sz w:val="22"/>
                <w:szCs w:val="22"/>
              </w:rPr>
              <w:t xml:space="preserve">Городская клиническая больница </w:t>
            </w:r>
            <w:r w:rsidRPr="00091230">
              <w:rPr>
                <w:rFonts w:eastAsia="Cambria"/>
                <w:sz w:val="22"/>
                <w:szCs w:val="22"/>
              </w:rPr>
              <w:br/>
              <w:t>№ 12</w:t>
            </w:r>
            <w:r>
              <w:rPr>
                <w:rFonts w:eastAsia="Cambria"/>
                <w:sz w:val="22"/>
                <w:szCs w:val="22"/>
              </w:rPr>
              <w:t>»</w:t>
            </w:r>
            <w:r w:rsidRPr="00091230">
              <w:rPr>
                <w:rFonts w:eastAsia="Cambria"/>
                <w:sz w:val="22"/>
                <w:szCs w:val="22"/>
              </w:rPr>
              <w:t xml:space="preserve"> г.Казани</w:t>
            </w:r>
          </w:p>
        </w:tc>
        <w:tc>
          <w:tcPr>
            <w:tcW w:w="1416" w:type="dxa"/>
            <w:shd w:val="clear" w:color="auto" w:fill="auto"/>
          </w:tcPr>
          <w:p w:rsidR="009C5812" w:rsidRPr="00091230" w:rsidRDefault="009C5812" w:rsidP="009C5812">
            <w:pPr>
              <w:jc w:val="center"/>
              <w:rPr>
                <w:rFonts w:eastAsia="Cambria"/>
                <w:sz w:val="22"/>
                <w:szCs w:val="22"/>
              </w:rPr>
            </w:pPr>
            <w:r w:rsidRPr="00091230">
              <w:rPr>
                <w:rFonts w:eastAsia="Cambria"/>
                <w:sz w:val="22"/>
                <w:szCs w:val="22"/>
              </w:rPr>
              <w:t>38 969</w:t>
            </w:r>
          </w:p>
        </w:tc>
        <w:tc>
          <w:tcPr>
            <w:tcW w:w="983" w:type="dxa"/>
            <w:shd w:val="clear" w:color="auto" w:fill="auto"/>
          </w:tcPr>
          <w:p w:rsidR="009C5812" w:rsidRPr="00091230" w:rsidRDefault="009C5812" w:rsidP="009C5812">
            <w:pPr>
              <w:jc w:val="center"/>
              <w:rPr>
                <w:rFonts w:eastAsia="Cambria"/>
                <w:sz w:val="22"/>
                <w:szCs w:val="22"/>
              </w:rPr>
            </w:pPr>
            <w:r w:rsidRPr="00091230">
              <w:rPr>
                <w:rFonts w:eastAsia="Cambria"/>
                <w:sz w:val="22"/>
                <w:szCs w:val="22"/>
              </w:rPr>
              <w:t>1</w:t>
            </w:r>
          </w:p>
        </w:tc>
        <w:tc>
          <w:tcPr>
            <w:tcW w:w="1156" w:type="dxa"/>
          </w:tcPr>
          <w:p w:rsidR="009C5812" w:rsidRPr="00091230" w:rsidRDefault="009C5812" w:rsidP="009C5812">
            <w:pPr>
              <w:jc w:val="center"/>
              <w:rPr>
                <w:rFonts w:eastAsia="Cambria"/>
                <w:sz w:val="22"/>
                <w:szCs w:val="22"/>
              </w:rPr>
            </w:pPr>
          </w:p>
        </w:tc>
        <w:tc>
          <w:tcPr>
            <w:tcW w:w="2114" w:type="dxa"/>
            <w:shd w:val="clear" w:color="auto" w:fill="auto"/>
          </w:tcPr>
          <w:p w:rsidR="009C5812" w:rsidRPr="00091230" w:rsidRDefault="009C5812" w:rsidP="009C5812">
            <w:pPr>
              <w:jc w:val="center"/>
              <w:rPr>
                <w:rFonts w:eastAsia="Cambria"/>
                <w:sz w:val="22"/>
                <w:szCs w:val="22"/>
              </w:rPr>
            </w:pPr>
            <w:r w:rsidRPr="00091230">
              <w:rPr>
                <w:rFonts w:eastAsia="Cambria"/>
                <w:sz w:val="22"/>
                <w:szCs w:val="22"/>
              </w:rPr>
              <w:t>0,1</w:t>
            </w:r>
          </w:p>
        </w:tc>
        <w:tc>
          <w:tcPr>
            <w:tcW w:w="1464" w:type="dxa"/>
            <w:shd w:val="clear" w:color="auto" w:fill="auto"/>
          </w:tcPr>
          <w:p w:rsidR="009C5812" w:rsidRPr="00091230" w:rsidRDefault="009C5812" w:rsidP="009C5812">
            <w:pPr>
              <w:jc w:val="center"/>
              <w:rPr>
                <w:rFonts w:eastAsia="Cambria"/>
                <w:sz w:val="22"/>
                <w:szCs w:val="22"/>
              </w:rPr>
            </w:pPr>
            <w:r w:rsidRPr="00091230">
              <w:rPr>
                <w:rFonts w:eastAsia="Cambria"/>
                <w:sz w:val="22"/>
                <w:szCs w:val="22"/>
              </w:rPr>
              <w:t>1/1</w:t>
            </w:r>
          </w:p>
        </w:tc>
        <w:tc>
          <w:tcPr>
            <w:tcW w:w="1662" w:type="dxa"/>
            <w:shd w:val="clear" w:color="auto" w:fill="auto"/>
          </w:tcPr>
          <w:p w:rsidR="009C5812" w:rsidRPr="00091230" w:rsidRDefault="009C5812" w:rsidP="009C5812">
            <w:pPr>
              <w:jc w:val="center"/>
              <w:rPr>
                <w:rFonts w:eastAsia="Cambria"/>
                <w:sz w:val="22"/>
                <w:szCs w:val="22"/>
              </w:rPr>
            </w:pPr>
            <w:r w:rsidRPr="00091230">
              <w:rPr>
                <w:rFonts w:eastAsia="Cambria"/>
                <w:sz w:val="22"/>
                <w:szCs w:val="22"/>
              </w:rPr>
              <w:t>11</w:t>
            </w:r>
          </w:p>
        </w:tc>
      </w:tr>
      <w:tr w:rsidR="009C5812" w:rsidRPr="00091230" w:rsidTr="009C5812">
        <w:trPr>
          <w:trHeight w:val="20"/>
        </w:trPr>
        <w:tc>
          <w:tcPr>
            <w:tcW w:w="704" w:type="dxa"/>
            <w:shd w:val="clear" w:color="auto" w:fill="auto"/>
          </w:tcPr>
          <w:p w:rsidR="009C5812" w:rsidRPr="00091230" w:rsidRDefault="009C5812" w:rsidP="009C5812">
            <w:pPr>
              <w:jc w:val="center"/>
              <w:rPr>
                <w:rFonts w:eastAsia="Cambria"/>
                <w:sz w:val="22"/>
                <w:szCs w:val="22"/>
              </w:rPr>
            </w:pPr>
            <w:r w:rsidRPr="00091230">
              <w:rPr>
                <w:rFonts w:eastAsia="Cambria"/>
                <w:sz w:val="22"/>
                <w:szCs w:val="22"/>
              </w:rPr>
              <w:t>71.</w:t>
            </w:r>
          </w:p>
        </w:tc>
        <w:tc>
          <w:tcPr>
            <w:tcW w:w="2268" w:type="dxa"/>
            <w:shd w:val="clear" w:color="auto" w:fill="auto"/>
          </w:tcPr>
          <w:p w:rsidR="009C5812" w:rsidRPr="00091230" w:rsidRDefault="009C5812" w:rsidP="009C5812">
            <w:pPr>
              <w:ind w:right="30"/>
              <w:jc w:val="both"/>
              <w:rPr>
                <w:rFonts w:eastAsia="Cambria"/>
                <w:sz w:val="22"/>
                <w:szCs w:val="22"/>
              </w:rPr>
            </w:pPr>
            <w:r w:rsidRPr="00091230">
              <w:rPr>
                <w:rFonts w:eastAsia="Cambria"/>
                <w:sz w:val="22"/>
                <w:szCs w:val="22"/>
              </w:rPr>
              <w:t>г.Казань</w:t>
            </w:r>
          </w:p>
        </w:tc>
        <w:tc>
          <w:tcPr>
            <w:tcW w:w="2410" w:type="dxa"/>
          </w:tcPr>
          <w:p w:rsidR="009C5812" w:rsidRPr="00E3265F" w:rsidRDefault="009C5812" w:rsidP="007775F5">
            <w:pPr>
              <w:jc w:val="both"/>
              <w:rPr>
                <w:rFonts w:eastAsia="Cambria"/>
                <w:sz w:val="22"/>
                <w:szCs w:val="22"/>
              </w:rPr>
            </w:pPr>
            <w:r>
              <w:rPr>
                <w:rFonts w:eastAsia="Cambria"/>
                <w:sz w:val="22"/>
                <w:szCs w:val="22"/>
              </w:rPr>
              <w:t>Ч</w:t>
            </w:r>
            <w:r w:rsidRPr="00E3265F">
              <w:rPr>
                <w:rFonts w:eastAsia="Cambria"/>
                <w:sz w:val="22"/>
                <w:szCs w:val="22"/>
              </w:rPr>
              <w:t xml:space="preserve">астное учреждение здравоохранения </w:t>
            </w:r>
            <w:r>
              <w:rPr>
                <w:rFonts w:eastAsia="Cambria"/>
                <w:sz w:val="22"/>
                <w:szCs w:val="22"/>
              </w:rPr>
              <w:t>«</w:t>
            </w:r>
            <w:r w:rsidRPr="00E3265F">
              <w:rPr>
                <w:rFonts w:eastAsia="Cambria"/>
                <w:sz w:val="22"/>
                <w:szCs w:val="22"/>
              </w:rPr>
              <w:t xml:space="preserve">Клиническая больница </w:t>
            </w:r>
            <w:r>
              <w:rPr>
                <w:rFonts w:eastAsia="Cambria"/>
                <w:sz w:val="22"/>
                <w:szCs w:val="22"/>
              </w:rPr>
              <w:t>«</w:t>
            </w:r>
            <w:r w:rsidRPr="00E3265F">
              <w:rPr>
                <w:rFonts w:eastAsia="Cambria"/>
                <w:sz w:val="22"/>
                <w:szCs w:val="22"/>
              </w:rPr>
              <w:t>РЖД</w:t>
            </w:r>
            <w:r w:rsidR="007775F5">
              <w:rPr>
                <w:rFonts w:eastAsia="Cambria"/>
                <w:sz w:val="22"/>
                <w:szCs w:val="22"/>
              </w:rPr>
              <w:t>-</w:t>
            </w:r>
            <w:r w:rsidRPr="00E3265F">
              <w:rPr>
                <w:rFonts w:eastAsia="Cambria"/>
                <w:sz w:val="22"/>
                <w:szCs w:val="22"/>
              </w:rPr>
              <w:t>Медицина</w:t>
            </w:r>
            <w:r>
              <w:rPr>
                <w:rFonts w:eastAsia="Cambria"/>
                <w:sz w:val="22"/>
                <w:szCs w:val="22"/>
              </w:rPr>
              <w:t>»</w:t>
            </w:r>
            <w:r w:rsidRPr="00E3265F">
              <w:rPr>
                <w:rFonts w:eastAsia="Cambria"/>
                <w:sz w:val="22"/>
                <w:szCs w:val="22"/>
              </w:rPr>
              <w:t xml:space="preserve"> г.Казань</w:t>
            </w:r>
          </w:p>
        </w:tc>
        <w:tc>
          <w:tcPr>
            <w:tcW w:w="1416" w:type="dxa"/>
            <w:shd w:val="clear" w:color="auto" w:fill="auto"/>
          </w:tcPr>
          <w:p w:rsidR="009C5812" w:rsidRPr="00091230" w:rsidRDefault="009C5812" w:rsidP="009C5812">
            <w:pPr>
              <w:jc w:val="center"/>
              <w:rPr>
                <w:rFonts w:eastAsia="Cambria"/>
                <w:sz w:val="22"/>
                <w:szCs w:val="22"/>
              </w:rPr>
            </w:pPr>
            <w:r w:rsidRPr="00091230">
              <w:rPr>
                <w:rFonts w:eastAsia="Cambria"/>
                <w:sz w:val="22"/>
                <w:szCs w:val="22"/>
              </w:rPr>
              <w:t>14 348</w:t>
            </w:r>
          </w:p>
        </w:tc>
        <w:tc>
          <w:tcPr>
            <w:tcW w:w="983" w:type="dxa"/>
            <w:shd w:val="clear" w:color="auto" w:fill="auto"/>
          </w:tcPr>
          <w:p w:rsidR="009C5812" w:rsidRPr="00091230" w:rsidRDefault="009C5812" w:rsidP="009C5812">
            <w:pPr>
              <w:jc w:val="center"/>
              <w:rPr>
                <w:rFonts w:eastAsia="Cambria"/>
                <w:sz w:val="22"/>
                <w:szCs w:val="22"/>
              </w:rPr>
            </w:pPr>
            <w:r w:rsidRPr="00091230">
              <w:rPr>
                <w:rFonts w:eastAsia="Cambria"/>
                <w:sz w:val="22"/>
                <w:szCs w:val="22"/>
              </w:rPr>
              <w:t>1</w:t>
            </w:r>
          </w:p>
        </w:tc>
        <w:tc>
          <w:tcPr>
            <w:tcW w:w="1156" w:type="dxa"/>
          </w:tcPr>
          <w:p w:rsidR="009C5812" w:rsidRPr="00091230" w:rsidRDefault="009C5812" w:rsidP="009C5812">
            <w:pPr>
              <w:jc w:val="center"/>
              <w:rPr>
                <w:rFonts w:eastAsia="Cambria"/>
                <w:sz w:val="22"/>
                <w:szCs w:val="22"/>
              </w:rPr>
            </w:pPr>
          </w:p>
        </w:tc>
        <w:tc>
          <w:tcPr>
            <w:tcW w:w="2114" w:type="dxa"/>
            <w:shd w:val="clear" w:color="auto" w:fill="auto"/>
          </w:tcPr>
          <w:p w:rsidR="009C5812" w:rsidRPr="00091230" w:rsidRDefault="009C5812" w:rsidP="009C5812">
            <w:pPr>
              <w:jc w:val="center"/>
              <w:rPr>
                <w:rFonts w:eastAsia="Cambria"/>
                <w:sz w:val="22"/>
                <w:szCs w:val="22"/>
              </w:rPr>
            </w:pPr>
            <w:r w:rsidRPr="00091230">
              <w:rPr>
                <w:rFonts w:eastAsia="Cambria"/>
                <w:sz w:val="22"/>
                <w:szCs w:val="22"/>
              </w:rPr>
              <w:t>0,1</w:t>
            </w:r>
          </w:p>
        </w:tc>
        <w:tc>
          <w:tcPr>
            <w:tcW w:w="1464" w:type="dxa"/>
            <w:shd w:val="clear" w:color="auto" w:fill="auto"/>
          </w:tcPr>
          <w:p w:rsidR="009C5812" w:rsidRPr="00091230" w:rsidRDefault="009C5812" w:rsidP="009C5812">
            <w:pPr>
              <w:jc w:val="center"/>
              <w:rPr>
                <w:rFonts w:eastAsia="Cambria"/>
                <w:sz w:val="22"/>
                <w:szCs w:val="22"/>
              </w:rPr>
            </w:pPr>
            <w:r w:rsidRPr="00091230">
              <w:rPr>
                <w:rFonts w:eastAsia="Cambria"/>
                <w:sz w:val="22"/>
                <w:szCs w:val="22"/>
              </w:rPr>
              <w:t>1/0,5</w:t>
            </w:r>
          </w:p>
        </w:tc>
        <w:tc>
          <w:tcPr>
            <w:tcW w:w="1662" w:type="dxa"/>
            <w:shd w:val="clear" w:color="auto" w:fill="auto"/>
          </w:tcPr>
          <w:p w:rsidR="009C5812" w:rsidRPr="00091230" w:rsidRDefault="009C5812" w:rsidP="009C5812">
            <w:pPr>
              <w:jc w:val="center"/>
              <w:rPr>
                <w:rFonts w:eastAsia="Cambria"/>
                <w:sz w:val="22"/>
                <w:szCs w:val="22"/>
              </w:rPr>
            </w:pPr>
            <w:r w:rsidRPr="00091230">
              <w:rPr>
                <w:rFonts w:eastAsia="Cambria"/>
                <w:sz w:val="22"/>
                <w:szCs w:val="22"/>
              </w:rPr>
              <w:t>7</w:t>
            </w:r>
          </w:p>
        </w:tc>
      </w:tr>
      <w:tr w:rsidR="009C5812" w:rsidRPr="00091230" w:rsidTr="009C5812">
        <w:trPr>
          <w:trHeight w:val="20"/>
        </w:trPr>
        <w:tc>
          <w:tcPr>
            <w:tcW w:w="704" w:type="dxa"/>
            <w:shd w:val="clear" w:color="auto" w:fill="auto"/>
          </w:tcPr>
          <w:p w:rsidR="009C5812" w:rsidRPr="00091230" w:rsidRDefault="009C5812" w:rsidP="009C5812">
            <w:pPr>
              <w:ind w:right="-57"/>
              <w:rPr>
                <w:rFonts w:eastAsia="Cambria"/>
                <w:sz w:val="22"/>
                <w:szCs w:val="22"/>
              </w:rPr>
            </w:pPr>
          </w:p>
        </w:tc>
        <w:tc>
          <w:tcPr>
            <w:tcW w:w="2268" w:type="dxa"/>
            <w:shd w:val="clear" w:color="auto" w:fill="auto"/>
          </w:tcPr>
          <w:p w:rsidR="009C5812" w:rsidRPr="00091230" w:rsidRDefault="009C5812" w:rsidP="009C5812">
            <w:pPr>
              <w:rPr>
                <w:rFonts w:eastAsia="Cambria"/>
                <w:sz w:val="22"/>
                <w:szCs w:val="22"/>
              </w:rPr>
            </w:pPr>
            <w:r w:rsidRPr="00091230">
              <w:rPr>
                <w:rFonts w:eastAsia="Cambria"/>
                <w:sz w:val="22"/>
                <w:szCs w:val="22"/>
              </w:rPr>
              <w:t>Всего</w:t>
            </w:r>
          </w:p>
        </w:tc>
        <w:tc>
          <w:tcPr>
            <w:tcW w:w="2410" w:type="dxa"/>
          </w:tcPr>
          <w:p w:rsidR="009C5812" w:rsidRPr="00091230" w:rsidRDefault="009C5812" w:rsidP="009C5812">
            <w:pPr>
              <w:jc w:val="center"/>
              <w:rPr>
                <w:rFonts w:eastAsia="Cambria"/>
                <w:sz w:val="22"/>
                <w:szCs w:val="22"/>
              </w:rPr>
            </w:pPr>
          </w:p>
        </w:tc>
        <w:tc>
          <w:tcPr>
            <w:tcW w:w="1416" w:type="dxa"/>
            <w:shd w:val="clear" w:color="auto" w:fill="auto"/>
          </w:tcPr>
          <w:p w:rsidR="009C5812" w:rsidRPr="00091230" w:rsidRDefault="009C5812" w:rsidP="009C5812">
            <w:pPr>
              <w:jc w:val="center"/>
              <w:rPr>
                <w:rFonts w:eastAsia="Cambria"/>
                <w:sz w:val="22"/>
                <w:szCs w:val="22"/>
              </w:rPr>
            </w:pPr>
          </w:p>
        </w:tc>
        <w:tc>
          <w:tcPr>
            <w:tcW w:w="983" w:type="dxa"/>
            <w:shd w:val="clear" w:color="auto" w:fill="auto"/>
          </w:tcPr>
          <w:p w:rsidR="009C5812" w:rsidRPr="00091230" w:rsidRDefault="009C5812" w:rsidP="009C5812">
            <w:pPr>
              <w:jc w:val="center"/>
              <w:rPr>
                <w:rFonts w:eastAsia="Cambria"/>
                <w:sz w:val="22"/>
                <w:szCs w:val="22"/>
              </w:rPr>
            </w:pPr>
            <w:r w:rsidRPr="00CD51B4">
              <w:rPr>
                <w:rFonts w:eastAsia="Cambria"/>
                <w:sz w:val="22"/>
                <w:szCs w:val="22"/>
              </w:rPr>
              <w:t>62</w:t>
            </w:r>
          </w:p>
        </w:tc>
        <w:tc>
          <w:tcPr>
            <w:tcW w:w="1156" w:type="dxa"/>
          </w:tcPr>
          <w:p w:rsidR="009C5812" w:rsidRPr="00091230" w:rsidRDefault="009C5812" w:rsidP="009C5812">
            <w:pPr>
              <w:jc w:val="center"/>
              <w:rPr>
                <w:rFonts w:eastAsia="Cambria"/>
                <w:sz w:val="22"/>
                <w:szCs w:val="22"/>
              </w:rPr>
            </w:pPr>
            <w:r w:rsidRPr="00091230">
              <w:rPr>
                <w:rFonts w:eastAsia="Cambria"/>
                <w:sz w:val="22"/>
                <w:szCs w:val="22"/>
              </w:rPr>
              <w:t>9</w:t>
            </w:r>
          </w:p>
        </w:tc>
        <w:tc>
          <w:tcPr>
            <w:tcW w:w="2114" w:type="dxa"/>
            <w:shd w:val="clear" w:color="auto" w:fill="auto"/>
          </w:tcPr>
          <w:p w:rsidR="009C5812" w:rsidRPr="00091230" w:rsidRDefault="009C5812" w:rsidP="009C5812">
            <w:pPr>
              <w:jc w:val="center"/>
              <w:rPr>
                <w:rFonts w:eastAsia="Cambria"/>
                <w:sz w:val="22"/>
                <w:szCs w:val="22"/>
              </w:rPr>
            </w:pPr>
          </w:p>
        </w:tc>
        <w:tc>
          <w:tcPr>
            <w:tcW w:w="1464" w:type="dxa"/>
            <w:shd w:val="clear" w:color="auto" w:fill="auto"/>
          </w:tcPr>
          <w:p w:rsidR="009C5812" w:rsidRPr="00091230" w:rsidRDefault="009C5812" w:rsidP="009C5812">
            <w:pPr>
              <w:jc w:val="center"/>
              <w:rPr>
                <w:rFonts w:eastAsia="Cambria"/>
                <w:sz w:val="22"/>
                <w:szCs w:val="22"/>
              </w:rPr>
            </w:pPr>
            <w:r w:rsidRPr="00091230">
              <w:rPr>
                <w:rFonts w:eastAsia="Cambria"/>
                <w:sz w:val="22"/>
                <w:szCs w:val="22"/>
              </w:rPr>
              <w:t>71,75/63,75</w:t>
            </w:r>
          </w:p>
        </w:tc>
        <w:tc>
          <w:tcPr>
            <w:tcW w:w="1662" w:type="dxa"/>
            <w:shd w:val="clear" w:color="auto" w:fill="auto"/>
          </w:tcPr>
          <w:p w:rsidR="009C5812" w:rsidRPr="00091230" w:rsidRDefault="009C5812" w:rsidP="009C5812">
            <w:pPr>
              <w:jc w:val="center"/>
              <w:rPr>
                <w:rFonts w:eastAsia="Cambria"/>
                <w:sz w:val="22"/>
                <w:szCs w:val="22"/>
              </w:rPr>
            </w:pPr>
          </w:p>
        </w:tc>
      </w:tr>
    </w:tbl>
    <w:p w:rsidR="00DC476B" w:rsidRPr="00091230" w:rsidRDefault="00DC476B" w:rsidP="00DC476B">
      <w:pPr>
        <w:rPr>
          <w:rFonts w:eastAsia="Calibri"/>
        </w:rPr>
      </w:pPr>
    </w:p>
    <w:p w:rsidR="00202520" w:rsidRPr="00091230" w:rsidRDefault="00202520" w:rsidP="006D4011">
      <w:pPr>
        <w:ind w:firstLine="709"/>
        <w:jc w:val="both"/>
      </w:pPr>
    </w:p>
    <w:p w:rsidR="00202520" w:rsidRPr="00091230" w:rsidRDefault="00202520" w:rsidP="006D4011">
      <w:pPr>
        <w:ind w:firstLine="709"/>
        <w:jc w:val="both"/>
      </w:pPr>
    </w:p>
    <w:p w:rsidR="000812A1" w:rsidRPr="00091230" w:rsidRDefault="000812A1" w:rsidP="006D4011">
      <w:pPr>
        <w:jc w:val="both"/>
        <w:rPr>
          <w:rFonts w:eastAsia="Arial"/>
        </w:rPr>
        <w:sectPr w:rsidR="000812A1" w:rsidRPr="00091230" w:rsidSect="005678FC">
          <w:headerReference w:type="default" r:id="rId47"/>
          <w:pgSz w:w="15840" w:h="12240" w:orient="landscape"/>
          <w:pgMar w:top="1134" w:right="567" w:bottom="1021" w:left="1134" w:header="720" w:footer="720" w:gutter="0"/>
          <w:cols w:space="720"/>
          <w:titlePg/>
          <w:docGrid w:linePitch="299"/>
        </w:sectPr>
      </w:pPr>
    </w:p>
    <w:p w:rsidR="00286B30" w:rsidRPr="00516022" w:rsidRDefault="00286B30" w:rsidP="00541F2C">
      <w:pPr>
        <w:spacing w:line="235" w:lineRule="auto"/>
        <w:ind w:firstLine="709"/>
        <w:jc w:val="both"/>
        <w:rPr>
          <w:sz w:val="28"/>
          <w:szCs w:val="28"/>
        </w:rPr>
      </w:pPr>
      <w:r w:rsidRPr="00F477AB">
        <w:rPr>
          <w:sz w:val="28"/>
          <w:szCs w:val="28"/>
        </w:rPr>
        <w:t xml:space="preserve">В медицинских организациях </w:t>
      </w:r>
      <w:r w:rsidR="00D06A5D" w:rsidRPr="00F477AB">
        <w:rPr>
          <w:sz w:val="28"/>
          <w:szCs w:val="28"/>
        </w:rPr>
        <w:t xml:space="preserve">Министерства здравоохранения Республики </w:t>
      </w:r>
      <w:r w:rsidR="00541F2C" w:rsidRPr="00F477AB">
        <w:rPr>
          <w:sz w:val="28"/>
          <w:szCs w:val="28"/>
        </w:rPr>
        <w:br/>
      </w:r>
      <w:r w:rsidR="00D06A5D" w:rsidRPr="00F477AB">
        <w:rPr>
          <w:sz w:val="28"/>
          <w:szCs w:val="28"/>
        </w:rPr>
        <w:t>Татарстан</w:t>
      </w:r>
      <w:r w:rsidRPr="00F477AB">
        <w:rPr>
          <w:sz w:val="28"/>
          <w:szCs w:val="28"/>
        </w:rPr>
        <w:t xml:space="preserve"> функционируют: </w:t>
      </w:r>
      <w:r w:rsidR="00F477AB" w:rsidRPr="00F477AB">
        <w:rPr>
          <w:sz w:val="28"/>
          <w:szCs w:val="28"/>
        </w:rPr>
        <w:t xml:space="preserve">рентгеновские </w:t>
      </w:r>
      <w:r w:rsidRPr="00F477AB">
        <w:rPr>
          <w:sz w:val="28"/>
          <w:szCs w:val="28"/>
        </w:rPr>
        <w:t>компьютерные томографы – 7</w:t>
      </w:r>
      <w:r w:rsidR="00537031" w:rsidRPr="00F477AB">
        <w:rPr>
          <w:sz w:val="28"/>
          <w:szCs w:val="28"/>
        </w:rPr>
        <w:t>2</w:t>
      </w:r>
      <w:r w:rsidRPr="00F477AB">
        <w:rPr>
          <w:sz w:val="28"/>
          <w:szCs w:val="28"/>
        </w:rPr>
        <w:t xml:space="preserve">, магнитно-резонансные томографы – </w:t>
      </w:r>
      <w:r w:rsidR="00537031" w:rsidRPr="00F477AB">
        <w:rPr>
          <w:sz w:val="28"/>
          <w:szCs w:val="28"/>
        </w:rPr>
        <w:t>19</w:t>
      </w:r>
      <w:r w:rsidRPr="00F477AB">
        <w:rPr>
          <w:sz w:val="28"/>
          <w:szCs w:val="28"/>
        </w:rPr>
        <w:t>, позитронно-эмиссионные томографы – 2, однофотонные эмиссионные томографы – 2, ангиографические аппара</w:t>
      </w:r>
      <w:r w:rsidR="00084768" w:rsidRPr="00F477AB">
        <w:rPr>
          <w:sz w:val="28"/>
          <w:szCs w:val="28"/>
        </w:rPr>
        <w:t>ты</w:t>
      </w:r>
      <w:r w:rsidRPr="00F477AB">
        <w:rPr>
          <w:sz w:val="28"/>
          <w:szCs w:val="28"/>
        </w:rPr>
        <w:t xml:space="preserve"> – 17, маммографические аппа</w:t>
      </w:r>
      <w:r w:rsidRPr="007F0D23">
        <w:rPr>
          <w:sz w:val="28"/>
          <w:szCs w:val="28"/>
        </w:rPr>
        <w:t>раты – 81, цифровые флюорографы – 1</w:t>
      </w:r>
      <w:r w:rsidR="00537031" w:rsidRPr="007F0D23">
        <w:rPr>
          <w:sz w:val="28"/>
          <w:szCs w:val="28"/>
        </w:rPr>
        <w:t>10</w:t>
      </w:r>
      <w:r w:rsidRPr="007F0D23">
        <w:rPr>
          <w:sz w:val="28"/>
          <w:szCs w:val="28"/>
        </w:rPr>
        <w:t xml:space="preserve">, передвижные аппараты </w:t>
      </w:r>
      <w:r w:rsidR="00F477AB">
        <w:rPr>
          <w:sz w:val="28"/>
          <w:szCs w:val="28"/>
        </w:rPr>
        <w:br/>
      </w:r>
      <w:r w:rsidRPr="007F0D23">
        <w:rPr>
          <w:sz w:val="28"/>
          <w:szCs w:val="28"/>
        </w:rPr>
        <w:t>типа С-дуга – 4</w:t>
      </w:r>
      <w:r w:rsidR="00537031" w:rsidRPr="007F0D23">
        <w:rPr>
          <w:sz w:val="28"/>
          <w:szCs w:val="28"/>
        </w:rPr>
        <w:t>3</w:t>
      </w:r>
      <w:r w:rsidRPr="007F0D23">
        <w:rPr>
          <w:sz w:val="28"/>
          <w:szCs w:val="28"/>
        </w:rPr>
        <w:t xml:space="preserve">, </w:t>
      </w:r>
      <w:r w:rsidR="00F3306D" w:rsidRPr="007F0D23">
        <w:rPr>
          <w:sz w:val="28"/>
          <w:szCs w:val="28"/>
        </w:rPr>
        <w:t xml:space="preserve">рентгенодиагностические аппараты – </w:t>
      </w:r>
      <w:r w:rsidR="00537031" w:rsidRPr="007F0D23">
        <w:rPr>
          <w:sz w:val="28"/>
          <w:szCs w:val="28"/>
        </w:rPr>
        <w:t>726</w:t>
      </w:r>
      <w:r w:rsidR="00516022" w:rsidRPr="007F0D23">
        <w:rPr>
          <w:sz w:val="28"/>
          <w:szCs w:val="28"/>
        </w:rPr>
        <w:t>.</w:t>
      </w:r>
    </w:p>
    <w:p w:rsidR="00286B30" w:rsidRPr="00516022" w:rsidRDefault="00286B30" w:rsidP="00541F2C">
      <w:pPr>
        <w:spacing w:line="235" w:lineRule="auto"/>
        <w:ind w:firstLine="709"/>
        <w:jc w:val="both"/>
        <w:rPr>
          <w:sz w:val="28"/>
          <w:szCs w:val="28"/>
        </w:rPr>
      </w:pPr>
    </w:p>
    <w:p w:rsidR="00AF4411" w:rsidRPr="00091230" w:rsidRDefault="00704FA4" w:rsidP="00541F2C">
      <w:pPr>
        <w:spacing w:line="235" w:lineRule="auto"/>
        <w:ind w:firstLine="709"/>
        <w:jc w:val="both"/>
        <w:rPr>
          <w:sz w:val="28"/>
          <w:szCs w:val="28"/>
        </w:rPr>
      </w:pPr>
      <w:r w:rsidRPr="00516022">
        <w:rPr>
          <w:sz w:val="28"/>
          <w:szCs w:val="28"/>
        </w:rPr>
        <w:t xml:space="preserve">Информация об оснащении </w:t>
      </w:r>
      <w:r w:rsidR="0082040A" w:rsidRPr="00516022">
        <w:rPr>
          <w:sz w:val="28"/>
          <w:szCs w:val="28"/>
        </w:rPr>
        <w:t xml:space="preserve">ГАУЗ </w:t>
      </w:r>
      <w:r w:rsidR="002F7358" w:rsidRPr="00516022">
        <w:rPr>
          <w:sz w:val="28"/>
          <w:szCs w:val="28"/>
        </w:rPr>
        <w:t>«</w:t>
      </w:r>
      <w:r w:rsidR="00541F2C">
        <w:rPr>
          <w:sz w:val="28"/>
          <w:szCs w:val="28"/>
        </w:rPr>
        <w:t>РКОД МЗ РТ им.проф.</w:t>
      </w:r>
      <w:r w:rsidR="0082040A" w:rsidRPr="00516022">
        <w:rPr>
          <w:sz w:val="28"/>
          <w:szCs w:val="28"/>
        </w:rPr>
        <w:t>М.З.Сигала</w:t>
      </w:r>
      <w:r w:rsidR="002F7358" w:rsidRPr="00516022">
        <w:rPr>
          <w:sz w:val="28"/>
          <w:szCs w:val="28"/>
        </w:rPr>
        <w:t>»</w:t>
      </w:r>
      <w:r w:rsidR="0082040A" w:rsidRPr="00516022">
        <w:rPr>
          <w:sz w:val="28"/>
          <w:szCs w:val="28"/>
        </w:rPr>
        <w:t xml:space="preserve"> оборудованием для лучевой диагностики </w:t>
      </w:r>
      <w:r w:rsidR="007775F5">
        <w:rPr>
          <w:sz w:val="28"/>
          <w:szCs w:val="28"/>
        </w:rPr>
        <w:t>приведена</w:t>
      </w:r>
      <w:r w:rsidR="0082040A" w:rsidRPr="00516022">
        <w:rPr>
          <w:sz w:val="28"/>
          <w:szCs w:val="28"/>
        </w:rPr>
        <w:t xml:space="preserve"> в </w:t>
      </w:r>
      <w:r w:rsidRPr="00516022">
        <w:rPr>
          <w:sz w:val="28"/>
          <w:szCs w:val="28"/>
        </w:rPr>
        <w:t>таблиц</w:t>
      </w:r>
      <w:r w:rsidR="0082040A" w:rsidRPr="00516022">
        <w:rPr>
          <w:sz w:val="28"/>
          <w:szCs w:val="28"/>
        </w:rPr>
        <w:t>е</w:t>
      </w:r>
      <w:r w:rsidRPr="00516022">
        <w:rPr>
          <w:sz w:val="28"/>
          <w:szCs w:val="28"/>
        </w:rPr>
        <w:t xml:space="preserve"> </w:t>
      </w:r>
      <w:r w:rsidR="004B5F0B" w:rsidRPr="00516022">
        <w:rPr>
          <w:sz w:val="28"/>
          <w:szCs w:val="28"/>
        </w:rPr>
        <w:t>1</w:t>
      </w:r>
      <w:r w:rsidR="00A96FB5" w:rsidRPr="00516022">
        <w:rPr>
          <w:sz w:val="28"/>
          <w:szCs w:val="28"/>
        </w:rPr>
        <w:t>9</w:t>
      </w:r>
      <w:r w:rsidR="00C4259A" w:rsidRPr="00516022">
        <w:rPr>
          <w:sz w:val="28"/>
          <w:szCs w:val="28"/>
        </w:rPr>
        <w:t>.</w:t>
      </w:r>
    </w:p>
    <w:p w:rsidR="00DC3845" w:rsidRPr="00541F2C" w:rsidRDefault="00DC3845" w:rsidP="00541F2C">
      <w:pPr>
        <w:spacing w:line="235" w:lineRule="auto"/>
        <w:ind w:left="7788" w:firstLine="708"/>
        <w:rPr>
          <w:rFonts w:eastAsia="Arial"/>
          <w:szCs w:val="28"/>
        </w:rPr>
      </w:pPr>
    </w:p>
    <w:p w:rsidR="000812A1" w:rsidRPr="00091230" w:rsidRDefault="000812A1" w:rsidP="00541F2C">
      <w:pPr>
        <w:spacing w:line="235" w:lineRule="auto"/>
        <w:ind w:left="7788" w:firstLine="708"/>
        <w:jc w:val="right"/>
        <w:rPr>
          <w:rFonts w:eastAsia="Arial"/>
          <w:sz w:val="28"/>
          <w:szCs w:val="28"/>
        </w:rPr>
      </w:pPr>
      <w:r w:rsidRPr="00516022">
        <w:rPr>
          <w:rFonts w:eastAsia="Arial"/>
          <w:sz w:val="28"/>
          <w:szCs w:val="28"/>
        </w:rPr>
        <w:t xml:space="preserve">Таблица </w:t>
      </w:r>
      <w:r w:rsidR="00CD3E1A" w:rsidRPr="00516022">
        <w:rPr>
          <w:rFonts w:eastAsia="Arial"/>
          <w:sz w:val="28"/>
          <w:szCs w:val="28"/>
        </w:rPr>
        <w:t>1</w:t>
      </w:r>
      <w:r w:rsidR="00A96FB5" w:rsidRPr="00516022">
        <w:rPr>
          <w:rFonts w:eastAsia="Arial"/>
          <w:sz w:val="28"/>
          <w:szCs w:val="28"/>
        </w:rPr>
        <w:t>9</w:t>
      </w:r>
    </w:p>
    <w:p w:rsidR="000E765F" w:rsidRPr="00091230" w:rsidRDefault="000E765F" w:rsidP="00541F2C">
      <w:pPr>
        <w:spacing w:line="235" w:lineRule="auto"/>
        <w:ind w:left="7788" w:firstLine="708"/>
        <w:rPr>
          <w:rFonts w:eastAsia="Arial"/>
          <w:sz w:val="28"/>
          <w:szCs w:val="28"/>
        </w:rPr>
      </w:pPr>
    </w:p>
    <w:p w:rsidR="00704FA4" w:rsidRPr="00091230" w:rsidRDefault="0023696F" w:rsidP="00541F2C">
      <w:pPr>
        <w:spacing w:line="235" w:lineRule="auto"/>
        <w:jc w:val="center"/>
        <w:rPr>
          <w:sz w:val="28"/>
          <w:szCs w:val="28"/>
        </w:rPr>
      </w:pPr>
      <w:r w:rsidRPr="00091230">
        <w:rPr>
          <w:sz w:val="28"/>
          <w:szCs w:val="28"/>
        </w:rPr>
        <w:t>Медицинское оборудование для проведения лучевых методов исследования</w:t>
      </w:r>
    </w:p>
    <w:p w:rsidR="0023696F" w:rsidRPr="00091230" w:rsidRDefault="0023696F" w:rsidP="00541F2C">
      <w:pPr>
        <w:spacing w:line="235" w:lineRule="auto"/>
        <w:jc w:val="center"/>
        <w:rPr>
          <w:rFonts w:eastAsia="Arial"/>
          <w:sz w:val="28"/>
          <w:szCs w:val="28"/>
        </w:rPr>
      </w:pPr>
    </w:p>
    <w:tbl>
      <w:tblPr>
        <w:tblStyle w:val="af1"/>
        <w:tblW w:w="0" w:type="auto"/>
        <w:tblBorders>
          <w:bottom w:val="none" w:sz="0" w:space="0" w:color="auto"/>
        </w:tblBorders>
        <w:tblLayout w:type="fixed"/>
        <w:tblLook w:val="04A0" w:firstRow="1" w:lastRow="0" w:firstColumn="1" w:lastColumn="0" w:noHBand="0" w:noVBand="1"/>
      </w:tblPr>
      <w:tblGrid>
        <w:gridCol w:w="2548"/>
        <w:gridCol w:w="2549"/>
        <w:gridCol w:w="3120"/>
        <w:gridCol w:w="1978"/>
      </w:tblGrid>
      <w:tr w:rsidR="00D12714" w:rsidRPr="00091230" w:rsidTr="00F477AB">
        <w:trPr>
          <w:trHeight w:val="20"/>
        </w:trPr>
        <w:tc>
          <w:tcPr>
            <w:tcW w:w="2548" w:type="dxa"/>
          </w:tcPr>
          <w:p w:rsidR="00D12714" w:rsidRPr="00091230" w:rsidRDefault="00D12714" w:rsidP="00541F2C">
            <w:pPr>
              <w:jc w:val="center"/>
              <w:rPr>
                <w:rFonts w:eastAsia="Arial"/>
                <w:sz w:val="28"/>
                <w:szCs w:val="28"/>
              </w:rPr>
            </w:pPr>
            <w:r w:rsidRPr="00091230">
              <w:t>Наименование медицинской организации</w:t>
            </w:r>
          </w:p>
        </w:tc>
        <w:tc>
          <w:tcPr>
            <w:tcW w:w="2549" w:type="dxa"/>
          </w:tcPr>
          <w:p w:rsidR="00D12714" w:rsidRPr="00091230" w:rsidRDefault="00D12714" w:rsidP="00541F2C">
            <w:pPr>
              <w:jc w:val="center"/>
              <w:rPr>
                <w:rFonts w:eastAsia="Arial"/>
                <w:sz w:val="28"/>
                <w:szCs w:val="28"/>
              </w:rPr>
            </w:pPr>
            <w:r w:rsidRPr="00091230">
              <w:t>Наименование вида медицинского оборудования</w:t>
            </w:r>
          </w:p>
        </w:tc>
        <w:tc>
          <w:tcPr>
            <w:tcW w:w="3120" w:type="dxa"/>
          </w:tcPr>
          <w:p w:rsidR="00D12714" w:rsidRPr="00091230" w:rsidRDefault="00D12714" w:rsidP="00541F2C">
            <w:pPr>
              <w:jc w:val="center"/>
              <w:rPr>
                <w:rFonts w:eastAsia="Arial"/>
                <w:sz w:val="28"/>
                <w:szCs w:val="28"/>
              </w:rPr>
            </w:pPr>
            <w:r w:rsidRPr="00091230">
              <w:t>Наименование медицинского оборудования</w:t>
            </w:r>
          </w:p>
        </w:tc>
        <w:tc>
          <w:tcPr>
            <w:tcW w:w="1978" w:type="dxa"/>
          </w:tcPr>
          <w:p w:rsidR="00D12714" w:rsidRPr="00091230" w:rsidRDefault="00D12714" w:rsidP="00541F2C">
            <w:pPr>
              <w:jc w:val="center"/>
              <w:rPr>
                <w:rFonts w:eastAsia="Arial"/>
                <w:sz w:val="28"/>
                <w:szCs w:val="28"/>
              </w:rPr>
            </w:pPr>
            <w:r w:rsidRPr="00091230">
              <w:t>Год ввода в эксплуатацию</w:t>
            </w:r>
          </w:p>
        </w:tc>
      </w:tr>
    </w:tbl>
    <w:p w:rsidR="00541F2C" w:rsidRPr="00541F2C" w:rsidRDefault="00541F2C">
      <w:pPr>
        <w:rPr>
          <w:sz w:val="2"/>
          <w:szCs w:val="2"/>
        </w:rPr>
      </w:pPr>
    </w:p>
    <w:tbl>
      <w:tblPr>
        <w:tblStyle w:val="af1"/>
        <w:tblW w:w="0" w:type="auto"/>
        <w:tblLayout w:type="fixed"/>
        <w:tblLook w:val="04A0" w:firstRow="1" w:lastRow="0" w:firstColumn="1" w:lastColumn="0" w:noHBand="0" w:noVBand="1"/>
      </w:tblPr>
      <w:tblGrid>
        <w:gridCol w:w="2548"/>
        <w:gridCol w:w="2549"/>
        <w:gridCol w:w="3120"/>
        <w:gridCol w:w="1978"/>
      </w:tblGrid>
      <w:tr w:rsidR="0013130C" w:rsidRPr="00091230" w:rsidTr="00F477AB">
        <w:trPr>
          <w:trHeight w:val="20"/>
          <w:tblHeader/>
        </w:trPr>
        <w:tc>
          <w:tcPr>
            <w:tcW w:w="2548" w:type="dxa"/>
          </w:tcPr>
          <w:p w:rsidR="0013130C" w:rsidRPr="00091230" w:rsidRDefault="0013130C" w:rsidP="00541F2C">
            <w:pPr>
              <w:jc w:val="center"/>
              <w:rPr>
                <w:rFonts w:eastAsia="Arial"/>
                <w:sz w:val="28"/>
                <w:szCs w:val="28"/>
              </w:rPr>
            </w:pPr>
            <w:r w:rsidRPr="00091230">
              <w:rPr>
                <w:rFonts w:eastAsia="Arial"/>
                <w:sz w:val="28"/>
                <w:szCs w:val="28"/>
              </w:rPr>
              <w:t>1</w:t>
            </w:r>
          </w:p>
        </w:tc>
        <w:tc>
          <w:tcPr>
            <w:tcW w:w="2549" w:type="dxa"/>
          </w:tcPr>
          <w:p w:rsidR="0013130C" w:rsidRPr="00091230" w:rsidRDefault="0013130C" w:rsidP="00541F2C">
            <w:pPr>
              <w:autoSpaceDE/>
              <w:autoSpaceDN/>
              <w:adjustRightInd/>
              <w:jc w:val="center"/>
            </w:pPr>
            <w:r w:rsidRPr="00091230">
              <w:t>2</w:t>
            </w:r>
          </w:p>
        </w:tc>
        <w:tc>
          <w:tcPr>
            <w:tcW w:w="3120" w:type="dxa"/>
          </w:tcPr>
          <w:p w:rsidR="0013130C" w:rsidRPr="00091230" w:rsidRDefault="0013130C" w:rsidP="00541F2C">
            <w:pPr>
              <w:jc w:val="center"/>
              <w:rPr>
                <w:rFonts w:eastAsia="Arial"/>
                <w:sz w:val="28"/>
                <w:szCs w:val="28"/>
              </w:rPr>
            </w:pPr>
            <w:r w:rsidRPr="00091230">
              <w:rPr>
                <w:rFonts w:eastAsia="Arial"/>
                <w:sz w:val="28"/>
                <w:szCs w:val="28"/>
              </w:rPr>
              <w:t>3</w:t>
            </w:r>
          </w:p>
        </w:tc>
        <w:tc>
          <w:tcPr>
            <w:tcW w:w="1978" w:type="dxa"/>
          </w:tcPr>
          <w:p w:rsidR="0013130C" w:rsidRPr="00091230" w:rsidRDefault="0013130C" w:rsidP="00541F2C">
            <w:pPr>
              <w:jc w:val="center"/>
              <w:rPr>
                <w:rFonts w:eastAsia="Arial"/>
                <w:sz w:val="28"/>
                <w:szCs w:val="28"/>
              </w:rPr>
            </w:pPr>
            <w:r w:rsidRPr="00091230">
              <w:rPr>
                <w:rFonts w:eastAsia="Arial"/>
                <w:sz w:val="28"/>
                <w:szCs w:val="28"/>
              </w:rPr>
              <w:t>4</w:t>
            </w:r>
          </w:p>
        </w:tc>
      </w:tr>
      <w:tr w:rsidR="007775F5" w:rsidRPr="00091230" w:rsidTr="00F477AB">
        <w:trPr>
          <w:trHeight w:val="20"/>
        </w:trPr>
        <w:tc>
          <w:tcPr>
            <w:tcW w:w="2548" w:type="dxa"/>
            <w:vMerge w:val="restart"/>
          </w:tcPr>
          <w:p w:rsidR="007775F5" w:rsidRPr="0037708E" w:rsidRDefault="007775F5" w:rsidP="00541F2C">
            <w:pPr>
              <w:spacing w:line="235" w:lineRule="auto"/>
              <w:jc w:val="both"/>
              <w:rPr>
                <w:rFonts w:eastAsia="Arial"/>
              </w:rPr>
            </w:pPr>
            <w:r w:rsidRPr="0037708E">
              <w:rPr>
                <w:rFonts w:eastAsia="Arial"/>
              </w:rPr>
              <w:t xml:space="preserve">ГАУЗ </w:t>
            </w:r>
            <w:r>
              <w:rPr>
                <w:rFonts w:eastAsia="Arial"/>
              </w:rPr>
              <w:t>«</w:t>
            </w:r>
            <w:r w:rsidRPr="0037708E">
              <w:rPr>
                <w:rFonts w:eastAsia="Arial"/>
              </w:rPr>
              <w:t>РКОД МЗ РТ им.проф.М.З.Сигала</w:t>
            </w:r>
            <w:r>
              <w:rPr>
                <w:rFonts w:eastAsia="Arial"/>
              </w:rPr>
              <w:t>»</w:t>
            </w:r>
            <w:r w:rsidRPr="0037708E">
              <w:rPr>
                <w:rFonts w:eastAsia="Arial"/>
              </w:rPr>
              <w:t xml:space="preserve"> </w:t>
            </w:r>
          </w:p>
        </w:tc>
        <w:tc>
          <w:tcPr>
            <w:tcW w:w="2549" w:type="dxa"/>
          </w:tcPr>
          <w:p w:rsidR="007775F5" w:rsidRPr="00091230" w:rsidRDefault="007775F5" w:rsidP="00541F2C">
            <w:pPr>
              <w:autoSpaceDE/>
              <w:autoSpaceDN/>
              <w:adjustRightInd/>
              <w:spacing w:line="235" w:lineRule="auto"/>
              <w:jc w:val="both"/>
              <w:rPr>
                <w:rFonts w:eastAsia="Arial"/>
                <w:sz w:val="28"/>
                <w:szCs w:val="28"/>
              </w:rPr>
            </w:pPr>
            <w:r>
              <w:t>Системы компьютерной томографии и сопутствующие изделия</w:t>
            </w:r>
          </w:p>
        </w:tc>
        <w:tc>
          <w:tcPr>
            <w:tcW w:w="3120" w:type="dxa"/>
          </w:tcPr>
          <w:p w:rsidR="007775F5" w:rsidRPr="007F0D23" w:rsidRDefault="00F477AB" w:rsidP="007F0D23">
            <w:pPr>
              <w:autoSpaceDE/>
              <w:autoSpaceDN/>
              <w:adjustRightInd/>
              <w:spacing w:line="235" w:lineRule="auto"/>
              <w:jc w:val="both"/>
            </w:pPr>
            <w:r>
              <w:t xml:space="preserve">Рентгеновский компьютерный томограф </w:t>
            </w:r>
            <w:r w:rsidR="007F0D23">
              <w:t>Aquilion LB</w:t>
            </w:r>
          </w:p>
        </w:tc>
        <w:tc>
          <w:tcPr>
            <w:tcW w:w="1978" w:type="dxa"/>
          </w:tcPr>
          <w:p w:rsidR="007775F5" w:rsidRPr="00973E7A" w:rsidRDefault="007775F5" w:rsidP="00541F2C">
            <w:pPr>
              <w:spacing w:line="235" w:lineRule="auto"/>
              <w:jc w:val="center"/>
              <w:rPr>
                <w:rFonts w:eastAsia="Arial"/>
              </w:rPr>
            </w:pPr>
            <w:r w:rsidRPr="00973E7A">
              <w:rPr>
                <w:rFonts w:eastAsia="Arial"/>
              </w:rPr>
              <w:t>2010</w:t>
            </w:r>
          </w:p>
        </w:tc>
      </w:tr>
      <w:tr w:rsidR="007775F5" w:rsidRPr="00091230" w:rsidTr="00F477AB">
        <w:trPr>
          <w:trHeight w:val="20"/>
        </w:trPr>
        <w:tc>
          <w:tcPr>
            <w:tcW w:w="2548" w:type="dxa"/>
            <w:vMerge/>
          </w:tcPr>
          <w:p w:rsidR="007775F5" w:rsidRPr="00091230" w:rsidRDefault="007775F5" w:rsidP="00541F2C">
            <w:pPr>
              <w:spacing w:line="235" w:lineRule="auto"/>
              <w:jc w:val="both"/>
              <w:rPr>
                <w:rFonts w:eastAsia="Arial"/>
                <w:sz w:val="28"/>
                <w:szCs w:val="28"/>
              </w:rPr>
            </w:pPr>
          </w:p>
        </w:tc>
        <w:tc>
          <w:tcPr>
            <w:tcW w:w="2549" w:type="dxa"/>
          </w:tcPr>
          <w:p w:rsidR="007775F5" w:rsidRPr="00091230" w:rsidRDefault="007775F5" w:rsidP="00541F2C">
            <w:pPr>
              <w:autoSpaceDE/>
              <w:autoSpaceDN/>
              <w:adjustRightInd/>
              <w:spacing w:line="235" w:lineRule="auto"/>
              <w:jc w:val="both"/>
              <w:rPr>
                <w:rFonts w:eastAsia="Arial"/>
                <w:sz w:val="28"/>
                <w:szCs w:val="28"/>
              </w:rPr>
            </w:pPr>
            <w:r>
              <w:t>Системы компьютерной томографии и сопутствующие изделия</w:t>
            </w:r>
          </w:p>
        </w:tc>
        <w:tc>
          <w:tcPr>
            <w:tcW w:w="3120" w:type="dxa"/>
          </w:tcPr>
          <w:p w:rsidR="007775F5" w:rsidRPr="007F0D23" w:rsidRDefault="00F477AB" w:rsidP="007F0D23">
            <w:pPr>
              <w:autoSpaceDE/>
              <w:autoSpaceDN/>
              <w:adjustRightInd/>
              <w:spacing w:line="235" w:lineRule="auto"/>
              <w:jc w:val="both"/>
            </w:pPr>
            <w:r>
              <w:t xml:space="preserve">Рентгеновский компьютерный томограф </w:t>
            </w:r>
            <w:r w:rsidR="007F0D23">
              <w:t>Optima CT520</w:t>
            </w:r>
          </w:p>
        </w:tc>
        <w:tc>
          <w:tcPr>
            <w:tcW w:w="1978" w:type="dxa"/>
          </w:tcPr>
          <w:p w:rsidR="007775F5" w:rsidRPr="00973E7A" w:rsidRDefault="007775F5" w:rsidP="00541F2C">
            <w:pPr>
              <w:spacing w:line="235" w:lineRule="auto"/>
              <w:jc w:val="center"/>
              <w:rPr>
                <w:rFonts w:eastAsia="Arial"/>
              </w:rPr>
            </w:pPr>
            <w:r w:rsidRPr="00973E7A">
              <w:rPr>
                <w:rFonts w:eastAsia="Arial"/>
              </w:rPr>
              <w:t>2017</w:t>
            </w:r>
          </w:p>
        </w:tc>
      </w:tr>
      <w:tr w:rsidR="007775F5" w:rsidRPr="00091230" w:rsidTr="00F477AB">
        <w:trPr>
          <w:trHeight w:val="20"/>
        </w:trPr>
        <w:tc>
          <w:tcPr>
            <w:tcW w:w="2548" w:type="dxa"/>
            <w:vMerge/>
          </w:tcPr>
          <w:p w:rsidR="007775F5" w:rsidRPr="00091230" w:rsidRDefault="007775F5" w:rsidP="00541F2C">
            <w:pPr>
              <w:spacing w:line="235" w:lineRule="auto"/>
              <w:jc w:val="both"/>
              <w:rPr>
                <w:rFonts w:eastAsia="Arial"/>
                <w:sz w:val="28"/>
                <w:szCs w:val="28"/>
              </w:rPr>
            </w:pPr>
          </w:p>
        </w:tc>
        <w:tc>
          <w:tcPr>
            <w:tcW w:w="2549" w:type="dxa"/>
          </w:tcPr>
          <w:p w:rsidR="007775F5" w:rsidRPr="00091230" w:rsidRDefault="007775F5" w:rsidP="00541F2C">
            <w:pPr>
              <w:autoSpaceDE/>
              <w:autoSpaceDN/>
              <w:adjustRightInd/>
              <w:spacing w:line="235" w:lineRule="auto"/>
              <w:jc w:val="both"/>
              <w:rPr>
                <w:rFonts w:eastAsia="Arial"/>
                <w:sz w:val="28"/>
                <w:szCs w:val="28"/>
              </w:rPr>
            </w:pPr>
            <w:r>
              <w:t>Системы компьютерной томографии и сопутствующие изделия</w:t>
            </w:r>
          </w:p>
        </w:tc>
        <w:tc>
          <w:tcPr>
            <w:tcW w:w="3120" w:type="dxa"/>
          </w:tcPr>
          <w:p w:rsidR="007775F5" w:rsidRPr="00F477AB" w:rsidRDefault="00F477AB" w:rsidP="00F477AB">
            <w:pPr>
              <w:autoSpaceDE/>
              <w:autoSpaceDN/>
              <w:adjustRightInd/>
              <w:spacing w:line="235" w:lineRule="auto"/>
              <w:jc w:val="both"/>
            </w:pPr>
            <w:r>
              <w:t>Рентгеновский компьютерный томограф Revolution EVO</w:t>
            </w:r>
          </w:p>
        </w:tc>
        <w:tc>
          <w:tcPr>
            <w:tcW w:w="1978" w:type="dxa"/>
          </w:tcPr>
          <w:p w:rsidR="007775F5" w:rsidRPr="00973E7A" w:rsidRDefault="007775F5" w:rsidP="00541F2C">
            <w:pPr>
              <w:spacing w:line="235" w:lineRule="auto"/>
              <w:jc w:val="center"/>
              <w:rPr>
                <w:rFonts w:eastAsia="Arial"/>
              </w:rPr>
            </w:pPr>
            <w:r w:rsidRPr="00973E7A">
              <w:rPr>
                <w:rFonts w:eastAsia="Arial"/>
              </w:rPr>
              <w:t>2019</w:t>
            </w:r>
          </w:p>
        </w:tc>
      </w:tr>
      <w:tr w:rsidR="007775F5" w:rsidRPr="00091230" w:rsidTr="00F477AB">
        <w:trPr>
          <w:trHeight w:val="20"/>
        </w:trPr>
        <w:tc>
          <w:tcPr>
            <w:tcW w:w="2548" w:type="dxa"/>
            <w:vMerge/>
          </w:tcPr>
          <w:p w:rsidR="007775F5" w:rsidRPr="00091230" w:rsidRDefault="007775F5" w:rsidP="00541F2C">
            <w:pPr>
              <w:spacing w:line="235" w:lineRule="auto"/>
              <w:jc w:val="both"/>
              <w:rPr>
                <w:rFonts w:eastAsia="Arial"/>
                <w:sz w:val="28"/>
                <w:szCs w:val="28"/>
              </w:rPr>
            </w:pPr>
          </w:p>
        </w:tc>
        <w:tc>
          <w:tcPr>
            <w:tcW w:w="2549" w:type="dxa"/>
          </w:tcPr>
          <w:p w:rsidR="007775F5" w:rsidRPr="00091230" w:rsidRDefault="007775F5" w:rsidP="00541F2C">
            <w:pPr>
              <w:autoSpaceDE/>
              <w:autoSpaceDN/>
              <w:adjustRightInd/>
              <w:spacing w:line="235" w:lineRule="auto"/>
              <w:jc w:val="both"/>
              <w:rPr>
                <w:rFonts w:eastAsia="Arial"/>
                <w:sz w:val="28"/>
                <w:szCs w:val="28"/>
              </w:rPr>
            </w:pPr>
            <w:r>
              <w:t>Системы компьютерной томографии и сопутствующие изделия</w:t>
            </w:r>
          </w:p>
        </w:tc>
        <w:tc>
          <w:tcPr>
            <w:tcW w:w="3120" w:type="dxa"/>
          </w:tcPr>
          <w:p w:rsidR="007775F5" w:rsidRPr="00091230" w:rsidRDefault="00F477AB" w:rsidP="00541F2C">
            <w:pPr>
              <w:autoSpaceDE/>
              <w:autoSpaceDN/>
              <w:adjustRightInd/>
              <w:spacing w:line="235" w:lineRule="auto"/>
              <w:jc w:val="both"/>
              <w:rPr>
                <w:lang w:val="en-US"/>
              </w:rPr>
            </w:pPr>
            <w:r>
              <w:t xml:space="preserve">Рентгеновский компьютерный томограф </w:t>
            </w:r>
          </w:p>
          <w:p w:rsidR="007775F5" w:rsidRPr="00091230" w:rsidRDefault="007775F5" w:rsidP="00541F2C">
            <w:pPr>
              <w:autoSpaceDE/>
              <w:autoSpaceDN/>
              <w:adjustRightInd/>
              <w:spacing w:line="235" w:lineRule="auto"/>
              <w:jc w:val="both"/>
              <w:rPr>
                <w:rFonts w:eastAsia="Arial"/>
                <w:sz w:val="28"/>
                <w:szCs w:val="28"/>
                <w:lang w:val="en-US"/>
              </w:rPr>
            </w:pPr>
            <w:r w:rsidRPr="00091230">
              <w:rPr>
                <w:lang w:val="en-US"/>
              </w:rPr>
              <w:t>Aquilion Prime SP (TSX-303B)</w:t>
            </w:r>
            <w:r w:rsidRPr="00091230">
              <w:rPr>
                <w:rFonts w:eastAsia="Arial"/>
                <w:sz w:val="28"/>
                <w:szCs w:val="28"/>
                <w:lang w:val="en-US"/>
              </w:rPr>
              <w:t xml:space="preserve"> </w:t>
            </w:r>
          </w:p>
        </w:tc>
        <w:tc>
          <w:tcPr>
            <w:tcW w:w="1978" w:type="dxa"/>
          </w:tcPr>
          <w:p w:rsidR="007775F5" w:rsidRPr="00973E7A" w:rsidRDefault="007775F5" w:rsidP="00541F2C">
            <w:pPr>
              <w:spacing w:line="235" w:lineRule="auto"/>
              <w:jc w:val="center"/>
              <w:rPr>
                <w:rFonts w:eastAsia="Arial"/>
              </w:rPr>
            </w:pPr>
            <w:r w:rsidRPr="00973E7A">
              <w:rPr>
                <w:rFonts w:eastAsia="Arial"/>
              </w:rPr>
              <w:t>2022</w:t>
            </w:r>
          </w:p>
        </w:tc>
      </w:tr>
      <w:tr w:rsidR="007775F5" w:rsidRPr="00091230" w:rsidTr="00F477AB">
        <w:trPr>
          <w:trHeight w:val="20"/>
        </w:trPr>
        <w:tc>
          <w:tcPr>
            <w:tcW w:w="2548" w:type="dxa"/>
            <w:vMerge/>
          </w:tcPr>
          <w:p w:rsidR="007775F5" w:rsidRPr="00091230" w:rsidRDefault="007775F5" w:rsidP="00541F2C">
            <w:pPr>
              <w:spacing w:line="235" w:lineRule="auto"/>
              <w:jc w:val="both"/>
              <w:rPr>
                <w:rFonts w:eastAsia="Arial"/>
                <w:sz w:val="28"/>
                <w:szCs w:val="28"/>
                <w:lang w:val="en-US"/>
              </w:rPr>
            </w:pPr>
          </w:p>
        </w:tc>
        <w:tc>
          <w:tcPr>
            <w:tcW w:w="2549" w:type="dxa"/>
          </w:tcPr>
          <w:p w:rsidR="007775F5" w:rsidRPr="00091230" w:rsidRDefault="007775F5" w:rsidP="00541F2C">
            <w:pPr>
              <w:autoSpaceDE/>
              <w:autoSpaceDN/>
              <w:adjustRightInd/>
              <w:spacing w:line="235" w:lineRule="auto"/>
              <w:jc w:val="both"/>
              <w:rPr>
                <w:rFonts w:eastAsia="Arial"/>
                <w:sz w:val="28"/>
                <w:szCs w:val="28"/>
              </w:rPr>
            </w:pPr>
            <w:r>
              <w:t>Системы компьютерной томографии и сопутствующие изделия</w:t>
            </w:r>
          </w:p>
        </w:tc>
        <w:tc>
          <w:tcPr>
            <w:tcW w:w="3120" w:type="dxa"/>
          </w:tcPr>
          <w:p w:rsidR="007775F5" w:rsidRPr="00F477AB" w:rsidRDefault="00F477AB" w:rsidP="00F477AB">
            <w:pPr>
              <w:autoSpaceDE/>
              <w:autoSpaceDN/>
              <w:adjustRightInd/>
              <w:spacing w:line="235" w:lineRule="auto"/>
              <w:jc w:val="both"/>
            </w:pPr>
            <w:r>
              <w:t xml:space="preserve">Рентгеновский компьютерный томограф </w:t>
            </w:r>
            <w:r w:rsidR="007775F5" w:rsidRPr="00091230">
              <w:t>Discovery RT</w:t>
            </w:r>
          </w:p>
        </w:tc>
        <w:tc>
          <w:tcPr>
            <w:tcW w:w="1978" w:type="dxa"/>
          </w:tcPr>
          <w:p w:rsidR="007775F5" w:rsidRPr="00973E7A" w:rsidRDefault="007775F5" w:rsidP="00541F2C">
            <w:pPr>
              <w:spacing w:line="235" w:lineRule="auto"/>
              <w:jc w:val="center"/>
              <w:rPr>
                <w:rFonts w:eastAsia="Arial"/>
              </w:rPr>
            </w:pPr>
            <w:r w:rsidRPr="00973E7A">
              <w:rPr>
                <w:rFonts w:eastAsia="Arial"/>
              </w:rPr>
              <w:t>2022</w:t>
            </w:r>
          </w:p>
        </w:tc>
      </w:tr>
      <w:tr w:rsidR="007775F5" w:rsidRPr="00091230" w:rsidTr="00F477AB">
        <w:trPr>
          <w:trHeight w:val="20"/>
        </w:trPr>
        <w:tc>
          <w:tcPr>
            <w:tcW w:w="2548" w:type="dxa"/>
            <w:vMerge/>
          </w:tcPr>
          <w:p w:rsidR="007775F5" w:rsidRPr="00091230" w:rsidRDefault="007775F5" w:rsidP="00541F2C">
            <w:pPr>
              <w:spacing w:line="235" w:lineRule="auto"/>
              <w:jc w:val="both"/>
              <w:rPr>
                <w:rFonts w:eastAsia="Arial"/>
                <w:sz w:val="28"/>
                <w:szCs w:val="28"/>
                <w:lang w:val="en-US"/>
              </w:rPr>
            </w:pPr>
          </w:p>
        </w:tc>
        <w:tc>
          <w:tcPr>
            <w:tcW w:w="2549" w:type="dxa"/>
          </w:tcPr>
          <w:p w:rsidR="007775F5" w:rsidRPr="00F73858" w:rsidRDefault="007775F5" w:rsidP="00541F2C">
            <w:pPr>
              <w:autoSpaceDE/>
              <w:autoSpaceDN/>
              <w:adjustRightInd/>
              <w:spacing w:line="235" w:lineRule="auto"/>
              <w:jc w:val="both"/>
            </w:pPr>
            <w:r>
              <w:t>Системы магнитно-резонансной т</w:t>
            </w:r>
            <w:r w:rsidRPr="00091230">
              <w:t>омографии и сопутствующие изделия</w:t>
            </w:r>
          </w:p>
        </w:tc>
        <w:tc>
          <w:tcPr>
            <w:tcW w:w="3120" w:type="dxa"/>
          </w:tcPr>
          <w:p w:rsidR="007775F5" w:rsidRPr="00091230" w:rsidRDefault="00F477AB" w:rsidP="00541F2C">
            <w:pPr>
              <w:spacing w:line="235" w:lineRule="auto"/>
              <w:jc w:val="both"/>
              <w:rPr>
                <w:rFonts w:eastAsia="Arial"/>
                <w:sz w:val="28"/>
                <w:szCs w:val="28"/>
              </w:rPr>
            </w:pPr>
            <w:r>
              <w:t>М</w:t>
            </w:r>
            <w:r w:rsidR="00974C2D">
              <w:t>агнитно-резонансной томограф</w:t>
            </w:r>
          </w:p>
          <w:p w:rsidR="007775F5" w:rsidRPr="00091230" w:rsidRDefault="007775F5" w:rsidP="00F477AB">
            <w:pPr>
              <w:autoSpaceDE/>
              <w:autoSpaceDN/>
              <w:adjustRightInd/>
              <w:spacing w:line="235" w:lineRule="auto"/>
              <w:jc w:val="both"/>
              <w:rPr>
                <w:rFonts w:eastAsia="Arial"/>
                <w:sz w:val="28"/>
                <w:szCs w:val="28"/>
              </w:rPr>
            </w:pPr>
            <w:r w:rsidRPr="00091230">
              <w:t>Philips Ingenia 3</w:t>
            </w:r>
            <w:r>
              <w:t>,</w:t>
            </w:r>
            <w:r w:rsidRPr="00091230">
              <w:t>0T</w:t>
            </w:r>
          </w:p>
        </w:tc>
        <w:tc>
          <w:tcPr>
            <w:tcW w:w="1978" w:type="dxa"/>
          </w:tcPr>
          <w:p w:rsidR="007775F5" w:rsidRPr="00973E7A" w:rsidRDefault="007775F5" w:rsidP="00541F2C">
            <w:pPr>
              <w:spacing w:line="235" w:lineRule="auto"/>
              <w:jc w:val="center"/>
              <w:rPr>
                <w:rFonts w:eastAsia="Arial"/>
              </w:rPr>
            </w:pPr>
            <w:r w:rsidRPr="00973E7A">
              <w:rPr>
                <w:rFonts w:eastAsia="Arial"/>
              </w:rPr>
              <w:t>2017</w:t>
            </w:r>
          </w:p>
        </w:tc>
      </w:tr>
      <w:tr w:rsidR="007775F5" w:rsidRPr="00091230" w:rsidTr="00F477AB">
        <w:trPr>
          <w:trHeight w:val="20"/>
        </w:trPr>
        <w:tc>
          <w:tcPr>
            <w:tcW w:w="2548" w:type="dxa"/>
            <w:vMerge/>
          </w:tcPr>
          <w:p w:rsidR="007775F5" w:rsidRPr="00091230" w:rsidRDefault="007775F5" w:rsidP="00541F2C">
            <w:pPr>
              <w:spacing w:line="235" w:lineRule="auto"/>
              <w:jc w:val="both"/>
              <w:rPr>
                <w:rFonts w:eastAsia="Arial"/>
                <w:sz w:val="28"/>
                <w:szCs w:val="28"/>
                <w:lang w:val="en-US"/>
              </w:rPr>
            </w:pPr>
          </w:p>
        </w:tc>
        <w:tc>
          <w:tcPr>
            <w:tcW w:w="2549" w:type="dxa"/>
          </w:tcPr>
          <w:p w:rsidR="007775F5" w:rsidRPr="00091230" w:rsidRDefault="007775F5" w:rsidP="00541F2C">
            <w:pPr>
              <w:autoSpaceDE/>
              <w:autoSpaceDN/>
              <w:adjustRightInd/>
              <w:spacing w:line="235" w:lineRule="auto"/>
              <w:jc w:val="both"/>
              <w:rPr>
                <w:rFonts w:eastAsia="Arial"/>
                <w:sz w:val="28"/>
                <w:szCs w:val="28"/>
              </w:rPr>
            </w:pPr>
            <w:r>
              <w:t>Системы магнитно-резонансной т</w:t>
            </w:r>
            <w:r w:rsidRPr="00091230">
              <w:t>омографии и сопутствующие изделия</w:t>
            </w:r>
          </w:p>
        </w:tc>
        <w:tc>
          <w:tcPr>
            <w:tcW w:w="3120" w:type="dxa"/>
          </w:tcPr>
          <w:p w:rsidR="00F477AB" w:rsidRDefault="00F477AB" w:rsidP="00F477AB">
            <w:pPr>
              <w:spacing w:line="232" w:lineRule="auto"/>
              <w:jc w:val="both"/>
              <w:rPr>
                <w:rFonts w:eastAsia="Arial"/>
                <w:sz w:val="28"/>
                <w:szCs w:val="28"/>
              </w:rPr>
            </w:pPr>
            <w:r>
              <w:t>Магнитно-резонансной томограф</w:t>
            </w:r>
          </w:p>
          <w:p w:rsidR="007775F5" w:rsidRPr="00F477AB" w:rsidRDefault="007775F5" w:rsidP="00541F2C">
            <w:pPr>
              <w:autoSpaceDE/>
              <w:autoSpaceDN/>
              <w:adjustRightInd/>
              <w:spacing w:line="235" w:lineRule="auto"/>
              <w:jc w:val="both"/>
            </w:pPr>
            <w:r w:rsidRPr="0037708E">
              <w:rPr>
                <w:lang w:val="en-US"/>
              </w:rPr>
              <w:t>GE</w:t>
            </w:r>
            <w:r w:rsidRPr="00F477AB">
              <w:t xml:space="preserve"> </w:t>
            </w:r>
            <w:r w:rsidRPr="0037708E">
              <w:rPr>
                <w:lang w:val="en-US"/>
              </w:rPr>
              <w:t>Signa</w:t>
            </w:r>
            <w:r w:rsidRPr="00F477AB">
              <w:t xml:space="preserve"> </w:t>
            </w:r>
            <w:r w:rsidRPr="0037708E">
              <w:rPr>
                <w:lang w:val="en-US"/>
              </w:rPr>
              <w:t>Voyager</w:t>
            </w:r>
            <w:r w:rsidRPr="00F477AB">
              <w:t xml:space="preserve"> 1,5</w:t>
            </w:r>
            <w:r w:rsidRPr="0037708E">
              <w:rPr>
                <w:lang w:val="en-US"/>
              </w:rPr>
              <w:t>T</w:t>
            </w:r>
          </w:p>
          <w:p w:rsidR="007775F5" w:rsidRPr="00F477AB" w:rsidRDefault="007775F5" w:rsidP="00541F2C">
            <w:pPr>
              <w:spacing w:line="235" w:lineRule="auto"/>
              <w:jc w:val="both"/>
              <w:rPr>
                <w:rFonts w:eastAsia="Arial"/>
                <w:sz w:val="28"/>
                <w:szCs w:val="28"/>
              </w:rPr>
            </w:pPr>
          </w:p>
        </w:tc>
        <w:tc>
          <w:tcPr>
            <w:tcW w:w="1978" w:type="dxa"/>
          </w:tcPr>
          <w:p w:rsidR="007775F5" w:rsidRPr="00973E7A" w:rsidRDefault="007775F5" w:rsidP="00541F2C">
            <w:pPr>
              <w:spacing w:line="235" w:lineRule="auto"/>
              <w:jc w:val="center"/>
              <w:rPr>
                <w:rFonts w:eastAsia="Arial"/>
              </w:rPr>
            </w:pPr>
            <w:r w:rsidRPr="00973E7A">
              <w:rPr>
                <w:rFonts w:eastAsia="Arial"/>
              </w:rPr>
              <w:t>2020</w:t>
            </w:r>
          </w:p>
        </w:tc>
      </w:tr>
      <w:tr w:rsidR="007775F5" w:rsidRPr="00091230" w:rsidTr="00F477AB">
        <w:trPr>
          <w:trHeight w:val="20"/>
        </w:trPr>
        <w:tc>
          <w:tcPr>
            <w:tcW w:w="2548" w:type="dxa"/>
            <w:vMerge/>
          </w:tcPr>
          <w:p w:rsidR="007775F5" w:rsidRPr="00091230" w:rsidRDefault="007775F5" w:rsidP="00541F2C">
            <w:pPr>
              <w:spacing w:line="235" w:lineRule="auto"/>
              <w:jc w:val="both"/>
              <w:rPr>
                <w:rFonts w:eastAsia="Arial"/>
                <w:sz w:val="28"/>
                <w:szCs w:val="28"/>
              </w:rPr>
            </w:pPr>
          </w:p>
        </w:tc>
        <w:tc>
          <w:tcPr>
            <w:tcW w:w="2549" w:type="dxa"/>
          </w:tcPr>
          <w:p w:rsidR="007775F5" w:rsidRPr="00091230" w:rsidRDefault="007775F5" w:rsidP="00541F2C">
            <w:pPr>
              <w:autoSpaceDE/>
              <w:autoSpaceDN/>
              <w:adjustRightInd/>
              <w:spacing w:line="235" w:lineRule="auto"/>
              <w:jc w:val="both"/>
              <w:rPr>
                <w:rFonts w:eastAsia="Arial"/>
                <w:sz w:val="28"/>
                <w:szCs w:val="28"/>
              </w:rPr>
            </w:pPr>
            <w:r w:rsidRPr="00091230">
              <w:t>Системы позитронно-эмиссионной томографии и сопутствующие изделия</w:t>
            </w:r>
          </w:p>
        </w:tc>
        <w:tc>
          <w:tcPr>
            <w:tcW w:w="3120" w:type="dxa"/>
          </w:tcPr>
          <w:p w:rsidR="007775F5" w:rsidRPr="00F477AB" w:rsidRDefault="00F477AB" w:rsidP="00F477AB">
            <w:pPr>
              <w:autoSpaceDE/>
              <w:autoSpaceDN/>
              <w:adjustRightInd/>
              <w:spacing w:line="235" w:lineRule="auto"/>
              <w:jc w:val="both"/>
              <w:rPr>
                <w:rFonts w:eastAsia="Arial"/>
              </w:rPr>
            </w:pPr>
            <w:r w:rsidRPr="00F477AB">
              <w:rPr>
                <w:color w:val="333333"/>
                <w:spacing w:val="-2"/>
                <w:shd w:val="clear" w:color="auto" w:fill="FFFFFF"/>
              </w:rPr>
              <w:t xml:space="preserve">Позитронно-эмиссионный компьютерный томограф, совмещенный с рентгеновским компьютерным томографом </w:t>
            </w:r>
            <w:r w:rsidR="007775F5" w:rsidRPr="00F477AB">
              <w:rPr>
                <w:lang w:val="en-US"/>
              </w:rPr>
              <w:t>Discovery</w:t>
            </w:r>
            <w:r w:rsidR="007775F5" w:rsidRPr="00F477AB">
              <w:t xml:space="preserve"> 710 </w:t>
            </w:r>
            <w:r w:rsidR="007775F5" w:rsidRPr="00F477AB">
              <w:rPr>
                <w:lang w:val="en-US"/>
              </w:rPr>
              <w:t>MI</w:t>
            </w:r>
            <w:r w:rsidR="007775F5" w:rsidRPr="00F477AB">
              <w:t xml:space="preserve"> </w:t>
            </w:r>
            <w:r w:rsidR="007775F5" w:rsidRPr="00F477AB">
              <w:rPr>
                <w:lang w:val="en-US"/>
              </w:rPr>
              <w:t>DIG</w:t>
            </w:r>
            <w:r w:rsidR="007775F5" w:rsidRPr="00F477AB">
              <w:t xml:space="preserve"> </w:t>
            </w:r>
            <w:r w:rsidR="007775F5" w:rsidRPr="00F477AB">
              <w:rPr>
                <w:lang w:val="en-US"/>
              </w:rPr>
              <w:t>RE</w:t>
            </w:r>
          </w:p>
        </w:tc>
        <w:tc>
          <w:tcPr>
            <w:tcW w:w="1978" w:type="dxa"/>
          </w:tcPr>
          <w:p w:rsidR="007775F5" w:rsidRPr="00973E7A" w:rsidRDefault="007775F5" w:rsidP="00541F2C">
            <w:pPr>
              <w:spacing w:line="235" w:lineRule="auto"/>
              <w:jc w:val="center"/>
              <w:rPr>
                <w:rFonts w:eastAsia="Arial"/>
              </w:rPr>
            </w:pPr>
            <w:r w:rsidRPr="00973E7A">
              <w:rPr>
                <w:rFonts w:eastAsia="Arial"/>
              </w:rPr>
              <w:t>2020</w:t>
            </w:r>
          </w:p>
        </w:tc>
      </w:tr>
      <w:tr w:rsidR="007775F5" w:rsidRPr="00091230" w:rsidTr="00F477AB">
        <w:trPr>
          <w:trHeight w:val="20"/>
        </w:trPr>
        <w:tc>
          <w:tcPr>
            <w:tcW w:w="2548" w:type="dxa"/>
            <w:vMerge/>
          </w:tcPr>
          <w:p w:rsidR="007775F5" w:rsidRPr="00091230" w:rsidRDefault="007775F5" w:rsidP="00541F2C">
            <w:pPr>
              <w:spacing w:line="235" w:lineRule="auto"/>
              <w:jc w:val="both"/>
              <w:rPr>
                <w:rFonts w:eastAsia="Arial"/>
                <w:sz w:val="28"/>
                <w:szCs w:val="28"/>
                <w:lang w:val="en-US"/>
              </w:rPr>
            </w:pPr>
          </w:p>
        </w:tc>
        <w:tc>
          <w:tcPr>
            <w:tcW w:w="2549" w:type="dxa"/>
          </w:tcPr>
          <w:p w:rsidR="007775F5" w:rsidRPr="00091230" w:rsidRDefault="007775F5" w:rsidP="00541F2C">
            <w:pPr>
              <w:autoSpaceDE/>
              <w:autoSpaceDN/>
              <w:adjustRightInd/>
              <w:spacing w:line="235" w:lineRule="auto"/>
              <w:jc w:val="both"/>
            </w:pPr>
            <w:r w:rsidRPr="00091230">
              <w:t>Системы позитронно-эмиссионной томографии и сопутствующие изделия</w:t>
            </w:r>
          </w:p>
        </w:tc>
        <w:tc>
          <w:tcPr>
            <w:tcW w:w="3120" w:type="dxa"/>
          </w:tcPr>
          <w:p w:rsidR="007775F5" w:rsidRPr="00F477AB" w:rsidRDefault="00F477AB" w:rsidP="00F477AB">
            <w:pPr>
              <w:autoSpaceDE/>
              <w:autoSpaceDN/>
              <w:adjustRightInd/>
              <w:spacing w:line="235" w:lineRule="auto"/>
              <w:jc w:val="both"/>
              <w:rPr>
                <w:rFonts w:eastAsia="Arial"/>
              </w:rPr>
            </w:pPr>
            <w:r w:rsidRPr="00F477AB">
              <w:rPr>
                <w:color w:val="333333"/>
                <w:spacing w:val="-2"/>
                <w:shd w:val="clear" w:color="auto" w:fill="FFFFFF"/>
              </w:rPr>
              <w:t xml:space="preserve">Позитронно-эмиссионный компьютерный томограф, совмещенный с рентгеновским компьютерным томографом </w:t>
            </w:r>
            <w:r w:rsidR="00973E7A" w:rsidRPr="00F477AB">
              <w:rPr>
                <w:color w:val="333333"/>
              </w:rPr>
              <w:t>Discovery IQ с шириной ПЭТ-</w:t>
            </w:r>
            <w:r w:rsidR="007775F5" w:rsidRPr="00F477AB">
              <w:rPr>
                <w:color w:val="333333"/>
              </w:rPr>
              <w:t>детектора: 4 кольца</w:t>
            </w:r>
          </w:p>
        </w:tc>
        <w:tc>
          <w:tcPr>
            <w:tcW w:w="1978" w:type="dxa"/>
          </w:tcPr>
          <w:p w:rsidR="007775F5" w:rsidRPr="00973E7A" w:rsidRDefault="007775F5" w:rsidP="00541F2C">
            <w:pPr>
              <w:spacing w:line="235" w:lineRule="auto"/>
              <w:jc w:val="center"/>
              <w:rPr>
                <w:rFonts w:eastAsia="Arial"/>
              </w:rPr>
            </w:pPr>
            <w:r w:rsidRPr="00973E7A">
              <w:rPr>
                <w:rFonts w:eastAsia="Arial"/>
              </w:rPr>
              <w:t>2022</w:t>
            </w:r>
          </w:p>
        </w:tc>
      </w:tr>
      <w:tr w:rsidR="007775F5" w:rsidRPr="00091230" w:rsidTr="00F477AB">
        <w:trPr>
          <w:trHeight w:val="20"/>
        </w:trPr>
        <w:tc>
          <w:tcPr>
            <w:tcW w:w="2548" w:type="dxa"/>
            <w:vMerge/>
          </w:tcPr>
          <w:p w:rsidR="007775F5" w:rsidRPr="00091230" w:rsidRDefault="007775F5" w:rsidP="00541F2C">
            <w:pPr>
              <w:jc w:val="both"/>
              <w:rPr>
                <w:rFonts w:eastAsia="Arial"/>
                <w:sz w:val="28"/>
                <w:szCs w:val="28"/>
              </w:rPr>
            </w:pPr>
          </w:p>
        </w:tc>
        <w:tc>
          <w:tcPr>
            <w:tcW w:w="2549" w:type="dxa"/>
          </w:tcPr>
          <w:p w:rsidR="007775F5" w:rsidRPr="00091230" w:rsidRDefault="007775F5" w:rsidP="00541F2C">
            <w:pPr>
              <w:autoSpaceDE/>
              <w:autoSpaceDN/>
              <w:adjustRightInd/>
              <w:jc w:val="both"/>
              <w:rPr>
                <w:rFonts w:eastAsia="Arial"/>
                <w:sz w:val="28"/>
                <w:szCs w:val="28"/>
              </w:rPr>
            </w:pPr>
            <w:r>
              <w:t>Системы компьютерной томографии и сопутствующие изделия</w:t>
            </w:r>
          </w:p>
        </w:tc>
        <w:tc>
          <w:tcPr>
            <w:tcW w:w="3120" w:type="dxa"/>
          </w:tcPr>
          <w:p w:rsidR="007775F5" w:rsidRPr="00F477AB" w:rsidRDefault="00F477AB" w:rsidP="00541F2C">
            <w:pPr>
              <w:jc w:val="both"/>
              <w:rPr>
                <w:rFonts w:eastAsia="Arial"/>
              </w:rPr>
            </w:pPr>
            <w:r w:rsidRPr="00F477AB">
              <w:rPr>
                <w:color w:val="333333"/>
                <w:spacing w:val="-2"/>
                <w:shd w:val="clear" w:color="auto" w:fill="FFFFFF"/>
              </w:rPr>
              <w:t xml:space="preserve">Однофотонный эмиссионный компьютерный томограф, совмещенный с рентгеновским компьютерным томографом </w:t>
            </w:r>
            <w:r w:rsidR="007775F5" w:rsidRPr="00F477AB">
              <w:rPr>
                <w:rFonts w:eastAsia="Arial"/>
              </w:rPr>
              <w:t xml:space="preserve"> </w:t>
            </w:r>
          </w:p>
          <w:p w:rsidR="007775F5" w:rsidRPr="00F477AB" w:rsidRDefault="00F477AB" w:rsidP="00F477AB">
            <w:pPr>
              <w:autoSpaceDE/>
              <w:autoSpaceDN/>
              <w:adjustRightInd/>
              <w:jc w:val="both"/>
            </w:pPr>
            <w:r>
              <w:t>Siemens Symbia T16</w:t>
            </w:r>
          </w:p>
        </w:tc>
        <w:tc>
          <w:tcPr>
            <w:tcW w:w="1978" w:type="dxa"/>
          </w:tcPr>
          <w:p w:rsidR="007775F5" w:rsidRPr="00973E7A" w:rsidRDefault="007775F5" w:rsidP="00541F2C">
            <w:pPr>
              <w:jc w:val="center"/>
              <w:rPr>
                <w:rFonts w:eastAsia="Arial"/>
              </w:rPr>
            </w:pPr>
            <w:r w:rsidRPr="00973E7A">
              <w:rPr>
                <w:rFonts w:eastAsia="Arial"/>
              </w:rPr>
              <w:t>2010</w:t>
            </w:r>
          </w:p>
        </w:tc>
      </w:tr>
      <w:tr w:rsidR="007775F5" w:rsidRPr="00091230" w:rsidTr="00F477AB">
        <w:trPr>
          <w:trHeight w:val="20"/>
        </w:trPr>
        <w:tc>
          <w:tcPr>
            <w:tcW w:w="2548" w:type="dxa"/>
            <w:vMerge/>
          </w:tcPr>
          <w:p w:rsidR="007775F5" w:rsidRPr="00091230" w:rsidRDefault="007775F5" w:rsidP="00541F2C">
            <w:pPr>
              <w:jc w:val="both"/>
              <w:rPr>
                <w:rFonts w:eastAsia="Arial"/>
                <w:sz w:val="28"/>
                <w:szCs w:val="28"/>
              </w:rPr>
            </w:pPr>
          </w:p>
        </w:tc>
        <w:tc>
          <w:tcPr>
            <w:tcW w:w="2549" w:type="dxa"/>
          </w:tcPr>
          <w:p w:rsidR="007775F5" w:rsidRPr="00091230" w:rsidRDefault="007775F5" w:rsidP="00541F2C">
            <w:pPr>
              <w:autoSpaceDE/>
              <w:autoSpaceDN/>
              <w:adjustRightInd/>
              <w:jc w:val="both"/>
              <w:rPr>
                <w:rFonts w:eastAsia="Arial"/>
                <w:sz w:val="28"/>
                <w:szCs w:val="28"/>
              </w:rPr>
            </w:pPr>
            <w:r>
              <w:t>Системы компьютерной томографии и сопутствующие изделия</w:t>
            </w:r>
          </w:p>
        </w:tc>
        <w:tc>
          <w:tcPr>
            <w:tcW w:w="3120" w:type="dxa"/>
          </w:tcPr>
          <w:p w:rsidR="007775F5" w:rsidRPr="00F477AB" w:rsidRDefault="00F477AB" w:rsidP="00770307">
            <w:pPr>
              <w:autoSpaceDE/>
              <w:autoSpaceDN/>
              <w:adjustRightInd/>
              <w:jc w:val="both"/>
              <w:rPr>
                <w:rFonts w:eastAsia="Arial"/>
              </w:rPr>
            </w:pPr>
            <w:r w:rsidRPr="00F477AB">
              <w:rPr>
                <w:color w:val="333333"/>
                <w:spacing w:val="-2"/>
                <w:shd w:val="clear" w:color="auto" w:fill="FFFFFF"/>
              </w:rPr>
              <w:t xml:space="preserve">Однофотонный эмиссионный компьютерный томограф, совмещенный с рентгеновским компьютерным томографом </w:t>
            </w:r>
            <w:r w:rsidR="007775F5" w:rsidRPr="00F477AB">
              <w:t>NM/CT 870 DR, ДжиИ Медикал Системз</w:t>
            </w:r>
          </w:p>
        </w:tc>
        <w:tc>
          <w:tcPr>
            <w:tcW w:w="1978" w:type="dxa"/>
          </w:tcPr>
          <w:p w:rsidR="007775F5" w:rsidRPr="00973E7A" w:rsidRDefault="007775F5" w:rsidP="00541F2C">
            <w:pPr>
              <w:jc w:val="center"/>
              <w:rPr>
                <w:rFonts w:eastAsia="Arial"/>
              </w:rPr>
            </w:pPr>
            <w:r w:rsidRPr="00973E7A">
              <w:rPr>
                <w:rFonts w:eastAsia="Arial"/>
              </w:rPr>
              <w:t>2022</w:t>
            </w:r>
          </w:p>
        </w:tc>
      </w:tr>
      <w:tr w:rsidR="007775F5" w:rsidRPr="00091230" w:rsidTr="00F477AB">
        <w:trPr>
          <w:trHeight w:val="20"/>
        </w:trPr>
        <w:tc>
          <w:tcPr>
            <w:tcW w:w="2548" w:type="dxa"/>
            <w:vMerge/>
          </w:tcPr>
          <w:p w:rsidR="007775F5" w:rsidRPr="00091230" w:rsidRDefault="007775F5" w:rsidP="00541F2C">
            <w:pPr>
              <w:jc w:val="both"/>
              <w:rPr>
                <w:rFonts w:eastAsia="Arial"/>
                <w:sz w:val="28"/>
                <w:szCs w:val="28"/>
              </w:rPr>
            </w:pPr>
          </w:p>
        </w:tc>
        <w:tc>
          <w:tcPr>
            <w:tcW w:w="2549" w:type="dxa"/>
          </w:tcPr>
          <w:p w:rsidR="007775F5" w:rsidRPr="00091230" w:rsidRDefault="007775F5" w:rsidP="00541F2C">
            <w:pPr>
              <w:autoSpaceDE/>
              <w:autoSpaceDN/>
              <w:adjustRightInd/>
              <w:jc w:val="both"/>
            </w:pPr>
            <w:r w:rsidRPr="00091230">
              <w:t>Системы рен</w:t>
            </w:r>
            <w:r>
              <w:t>т</w:t>
            </w:r>
            <w:r w:rsidRPr="00091230">
              <w:t>геновские ангиографические и сопутствующие изделия</w:t>
            </w:r>
          </w:p>
        </w:tc>
        <w:tc>
          <w:tcPr>
            <w:tcW w:w="3120" w:type="dxa"/>
          </w:tcPr>
          <w:p w:rsidR="007775F5" w:rsidRPr="00F477AB" w:rsidRDefault="007775F5" w:rsidP="00541F2C">
            <w:pPr>
              <w:jc w:val="both"/>
              <w:rPr>
                <w:rFonts w:eastAsia="Arial"/>
              </w:rPr>
            </w:pPr>
            <w:r w:rsidRPr="00F477AB">
              <w:rPr>
                <w:rFonts w:eastAsia="Arial"/>
              </w:rPr>
              <w:t xml:space="preserve">Ангиографический аппарат Artis Q в исполнении Artis </w:t>
            </w:r>
            <w:r w:rsidR="005A7FF7">
              <w:rPr>
                <w:rFonts w:eastAsia="Arial"/>
              </w:rPr>
              <w:br/>
            </w:r>
            <w:r w:rsidRPr="00F477AB">
              <w:rPr>
                <w:rFonts w:eastAsia="Arial"/>
              </w:rPr>
              <w:t>Q ceiling</w:t>
            </w:r>
          </w:p>
        </w:tc>
        <w:tc>
          <w:tcPr>
            <w:tcW w:w="1978" w:type="dxa"/>
          </w:tcPr>
          <w:p w:rsidR="007775F5" w:rsidRPr="00973E7A" w:rsidRDefault="007775F5" w:rsidP="00541F2C">
            <w:pPr>
              <w:jc w:val="center"/>
              <w:rPr>
                <w:rFonts w:eastAsia="Arial"/>
              </w:rPr>
            </w:pPr>
            <w:r w:rsidRPr="00973E7A">
              <w:rPr>
                <w:rFonts w:eastAsia="Arial"/>
              </w:rPr>
              <w:t>2022</w:t>
            </w:r>
          </w:p>
        </w:tc>
      </w:tr>
      <w:tr w:rsidR="007775F5" w:rsidRPr="00091230" w:rsidTr="00F477AB">
        <w:trPr>
          <w:trHeight w:val="20"/>
        </w:trPr>
        <w:tc>
          <w:tcPr>
            <w:tcW w:w="2548" w:type="dxa"/>
            <w:vMerge w:val="restart"/>
          </w:tcPr>
          <w:p w:rsidR="007775F5" w:rsidRPr="0037708E" w:rsidRDefault="007775F5" w:rsidP="00541F2C">
            <w:pPr>
              <w:jc w:val="both"/>
              <w:rPr>
                <w:rFonts w:eastAsia="Arial"/>
              </w:rPr>
            </w:pPr>
            <w:r w:rsidRPr="0037708E">
              <w:rPr>
                <w:rFonts w:eastAsia="Arial"/>
              </w:rPr>
              <w:t xml:space="preserve">ГАУЗ </w:t>
            </w:r>
            <w:r>
              <w:rPr>
                <w:rFonts w:eastAsia="Arial"/>
              </w:rPr>
              <w:t>«РКОД МЗ РТ им.проф.</w:t>
            </w:r>
            <w:r w:rsidRPr="0037708E">
              <w:rPr>
                <w:rFonts w:eastAsia="Arial"/>
              </w:rPr>
              <w:t>М.З.Сигала</w:t>
            </w:r>
            <w:r>
              <w:rPr>
                <w:rFonts w:eastAsia="Arial"/>
              </w:rPr>
              <w:t>»</w:t>
            </w:r>
            <w:r w:rsidRPr="0037708E">
              <w:rPr>
                <w:rFonts w:eastAsia="Arial"/>
              </w:rPr>
              <w:t>, Набережно</w:t>
            </w:r>
            <w:r w:rsidR="005A7FF7">
              <w:rPr>
                <w:rFonts w:eastAsia="Arial"/>
              </w:rPr>
              <w:t>-</w:t>
            </w:r>
            <w:r w:rsidRPr="0037708E">
              <w:rPr>
                <w:rFonts w:eastAsia="Arial"/>
              </w:rPr>
              <w:t>челнинский фили</w:t>
            </w:r>
            <w:r>
              <w:rPr>
                <w:rFonts w:eastAsia="Arial"/>
              </w:rPr>
              <w:t>а</w:t>
            </w:r>
            <w:r w:rsidRPr="0037708E">
              <w:rPr>
                <w:rFonts w:eastAsia="Arial"/>
              </w:rPr>
              <w:t>л</w:t>
            </w:r>
          </w:p>
        </w:tc>
        <w:tc>
          <w:tcPr>
            <w:tcW w:w="2549" w:type="dxa"/>
          </w:tcPr>
          <w:p w:rsidR="007775F5" w:rsidRPr="00091230" w:rsidRDefault="007775F5" w:rsidP="00541F2C">
            <w:pPr>
              <w:autoSpaceDE/>
              <w:autoSpaceDN/>
              <w:adjustRightInd/>
              <w:jc w:val="both"/>
              <w:rPr>
                <w:rFonts w:eastAsia="Arial"/>
                <w:sz w:val="28"/>
                <w:szCs w:val="28"/>
              </w:rPr>
            </w:pPr>
            <w:r w:rsidRPr="00091230">
              <w:t>Системы компьютерной томографии и сопутствующи</w:t>
            </w:r>
            <w:r>
              <w:t>е</w:t>
            </w:r>
            <w:r w:rsidRPr="00091230">
              <w:t xml:space="preserve"> изделия</w:t>
            </w:r>
          </w:p>
        </w:tc>
        <w:tc>
          <w:tcPr>
            <w:tcW w:w="3120" w:type="dxa"/>
          </w:tcPr>
          <w:p w:rsidR="007775F5" w:rsidRPr="00F477AB" w:rsidRDefault="00F477AB" w:rsidP="00541F2C">
            <w:pPr>
              <w:autoSpaceDE/>
              <w:autoSpaceDN/>
              <w:adjustRightInd/>
              <w:jc w:val="both"/>
            </w:pPr>
            <w:r>
              <w:t xml:space="preserve">Рентгеновский компьютерный томограф </w:t>
            </w:r>
            <w:r w:rsidR="007775F5" w:rsidRPr="00091230">
              <w:t>Discovery RT</w:t>
            </w:r>
          </w:p>
        </w:tc>
        <w:tc>
          <w:tcPr>
            <w:tcW w:w="1978" w:type="dxa"/>
          </w:tcPr>
          <w:p w:rsidR="007775F5" w:rsidRPr="00973E7A" w:rsidRDefault="007775F5" w:rsidP="00541F2C">
            <w:pPr>
              <w:jc w:val="center"/>
              <w:rPr>
                <w:rFonts w:eastAsia="Arial"/>
              </w:rPr>
            </w:pPr>
            <w:r w:rsidRPr="00973E7A">
              <w:rPr>
                <w:rFonts w:eastAsia="Arial"/>
              </w:rPr>
              <w:t>2020</w:t>
            </w:r>
          </w:p>
        </w:tc>
      </w:tr>
      <w:tr w:rsidR="007775F5" w:rsidRPr="00091230" w:rsidTr="00F477AB">
        <w:trPr>
          <w:trHeight w:val="20"/>
        </w:trPr>
        <w:tc>
          <w:tcPr>
            <w:tcW w:w="2548" w:type="dxa"/>
            <w:vMerge/>
          </w:tcPr>
          <w:p w:rsidR="007775F5" w:rsidRPr="0037708E" w:rsidRDefault="007775F5" w:rsidP="00541F2C">
            <w:pPr>
              <w:jc w:val="both"/>
              <w:rPr>
                <w:rFonts w:eastAsia="Arial"/>
              </w:rPr>
            </w:pPr>
          </w:p>
        </w:tc>
        <w:tc>
          <w:tcPr>
            <w:tcW w:w="2549" w:type="dxa"/>
          </w:tcPr>
          <w:p w:rsidR="007775F5" w:rsidRPr="00091230" w:rsidRDefault="007775F5" w:rsidP="00541F2C">
            <w:pPr>
              <w:autoSpaceDE/>
              <w:autoSpaceDN/>
              <w:adjustRightInd/>
              <w:jc w:val="both"/>
              <w:rPr>
                <w:rFonts w:eastAsia="Arial"/>
                <w:sz w:val="28"/>
                <w:szCs w:val="28"/>
              </w:rPr>
            </w:pPr>
            <w:r w:rsidRPr="00091230">
              <w:t>Системы компьютерной томографии и сопутствующи</w:t>
            </w:r>
            <w:r>
              <w:t>е</w:t>
            </w:r>
            <w:r w:rsidRPr="00091230">
              <w:t xml:space="preserve"> изделия</w:t>
            </w:r>
          </w:p>
        </w:tc>
        <w:tc>
          <w:tcPr>
            <w:tcW w:w="3120" w:type="dxa"/>
          </w:tcPr>
          <w:p w:rsidR="007775F5" w:rsidRPr="002027FA" w:rsidRDefault="00F477AB" w:rsidP="002027FA">
            <w:pPr>
              <w:autoSpaceDE/>
              <w:autoSpaceDN/>
              <w:adjustRightInd/>
              <w:jc w:val="both"/>
            </w:pPr>
            <w:r>
              <w:t xml:space="preserve">Рентгеновский компьютерный томограф </w:t>
            </w:r>
            <w:r w:rsidR="002027FA">
              <w:t>Revolution EVO</w:t>
            </w:r>
          </w:p>
        </w:tc>
        <w:tc>
          <w:tcPr>
            <w:tcW w:w="1978" w:type="dxa"/>
          </w:tcPr>
          <w:p w:rsidR="007775F5" w:rsidRPr="00973E7A" w:rsidRDefault="007775F5" w:rsidP="00541F2C">
            <w:pPr>
              <w:jc w:val="center"/>
              <w:rPr>
                <w:rFonts w:eastAsia="Arial"/>
              </w:rPr>
            </w:pPr>
            <w:r w:rsidRPr="00973E7A">
              <w:rPr>
                <w:rFonts w:eastAsia="Arial"/>
              </w:rPr>
              <w:t>2020</w:t>
            </w:r>
          </w:p>
        </w:tc>
      </w:tr>
      <w:tr w:rsidR="001C6BA0" w:rsidRPr="00091230" w:rsidTr="00F477AB">
        <w:trPr>
          <w:trHeight w:val="20"/>
        </w:trPr>
        <w:tc>
          <w:tcPr>
            <w:tcW w:w="2548" w:type="dxa"/>
          </w:tcPr>
          <w:p w:rsidR="001C6BA0" w:rsidRPr="0037708E" w:rsidRDefault="001C6BA0" w:rsidP="003A55D7">
            <w:pPr>
              <w:jc w:val="both"/>
              <w:rPr>
                <w:rFonts w:eastAsia="Arial"/>
              </w:rPr>
            </w:pPr>
            <w:r w:rsidRPr="0037708E">
              <w:rPr>
                <w:rFonts w:eastAsia="Arial"/>
              </w:rPr>
              <w:t xml:space="preserve">ГАУЗ </w:t>
            </w:r>
            <w:r w:rsidR="002F7358">
              <w:rPr>
                <w:rFonts w:eastAsia="Arial"/>
              </w:rPr>
              <w:t>«</w:t>
            </w:r>
            <w:r w:rsidR="003A55D7">
              <w:rPr>
                <w:rFonts w:eastAsia="Arial"/>
              </w:rPr>
              <w:t>РКОД МЗ РТ им.</w:t>
            </w:r>
            <w:r>
              <w:rPr>
                <w:rFonts w:eastAsia="Arial"/>
              </w:rPr>
              <w:t>п</w:t>
            </w:r>
            <w:r w:rsidRPr="0037708E">
              <w:rPr>
                <w:rFonts w:eastAsia="Arial"/>
              </w:rPr>
              <w:t>роф.М.З.Сигала</w:t>
            </w:r>
            <w:r w:rsidR="002F7358">
              <w:rPr>
                <w:rFonts w:eastAsia="Arial"/>
              </w:rPr>
              <w:t>»</w:t>
            </w:r>
            <w:r w:rsidRPr="0037708E">
              <w:rPr>
                <w:rFonts w:eastAsia="Arial"/>
              </w:rPr>
              <w:t>, Альметьевский фили</w:t>
            </w:r>
            <w:r w:rsidR="00F73858">
              <w:rPr>
                <w:rFonts w:eastAsia="Arial"/>
              </w:rPr>
              <w:t>а</w:t>
            </w:r>
            <w:r w:rsidRPr="0037708E">
              <w:rPr>
                <w:rFonts w:eastAsia="Arial"/>
              </w:rPr>
              <w:t>л</w:t>
            </w:r>
          </w:p>
        </w:tc>
        <w:tc>
          <w:tcPr>
            <w:tcW w:w="2549" w:type="dxa"/>
          </w:tcPr>
          <w:p w:rsidR="001C6BA0" w:rsidRPr="00091230" w:rsidRDefault="001C6BA0" w:rsidP="00541F2C">
            <w:pPr>
              <w:autoSpaceDE/>
              <w:autoSpaceDN/>
              <w:adjustRightInd/>
              <w:jc w:val="both"/>
              <w:rPr>
                <w:rFonts w:eastAsia="Arial"/>
                <w:sz w:val="28"/>
                <w:szCs w:val="28"/>
              </w:rPr>
            </w:pPr>
            <w:r w:rsidRPr="00091230">
              <w:t>Системы компьютерной томографии и сопутствующи</w:t>
            </w:r>
            <w:r w:rsidR="00F73858">
              <w:t>е</w:t>
            </w:r>
            <w:r w:rsidRPr="00091230">
              <w:t xml:space="preserve"> изделия</w:t>
            </w:r>
          </w:p>
        </w:tc>
        <w:tc>
          <w:tcPr>
            <w:tcW w:w="3120" w:type="dxa"/>
          </w:tcPr>
          <w:p w:rsidR="001C6BA0" w:rsidRPr="00091230" w:rsidRDefault="001C6BA0" w:rsidP="00541F2C">
            <w:pPr>
              <w:autoSpaceDE/>
              <w:autoSpaceDN/>
              <w:adjustRightInd/>
              <w:jc w:val="both"/>
            </w:pPr>
            <w:r w:rsidRPr="00091230">
              <w:t>Рентгеновский компьютерный томограф Toshiba Aguilion Prime</w:t>
            </w:r>
          </w:p>
        </w:tc>
        <w:tc>
          <w:tcPr>
            <w:tcW w:w="1978" w:type="dxa"/>
          </w:tcPr>
          <w:p w:rsidR="001C6BA0" w:rsidRPr="00973E7A" w:rsidRDefault="001C6BA0" w:rsidP="00541F2C">
            <w:pPr>
              <w:jc w:val="center"/>
              <w:rPr>
                <w:rFonts w:eastAsia="Arial"/>
              </w:rPr>
            </w:pPr>
            <w:r w:rsidRPr="00973E7A">
              <w:rPr>
                <w:rFonts w:eastAsia="Arial"/>
              </w:rPr>
              <w:t>2015</w:t>
            </w:r>
          </w:p>
        </w:tc>
      </w:tr>
    </w:tbl>
    <w:p w:rsidR="000812A1" w:rsidRPr="00C52042" w:rsidRDefault="000812A1" w:rsidP="000812A1">
      <w:pPr>
        <w:rPr>
          <w:rFonts w:eastAsia="Arial"/>
          <w:sz w:val="28"/>
          <w:szCs w:val="28"/>
        </w:rPr>
      </w:pPr>
    </w:p>
    <w:p w:rsidR="00B50E29" w:rsidRPr="00091230" w:rsidRDefault="00B50E29" w:rsidP="00B50E29">
      <w:pPr>
        <w:ind w:firstLine="709"/>
        <w:rPr>
          <w:sz w:val="28"/>
          <w:szCs w:val="28"/>
        </w:rPr>
      </w:pPr>
      <w:r w:rsidRPr="00516022">
        <w:rPr>
          <w:sz w:val="28"/>
          <w:szCs w:val="28"/>
        </w:rPr>
        <w:t>Коечная мощность медицинских организаций, оказывающих медицинскую помощь пациентам с онкологическими заболеваниями</w:t>
      </w:r>
      <w:r w:rsidR="007775F5">
        <w:rPr>
          <w:sz w:val="28"/>
          <w:szCs w:val="28"/>
        </w:rPr>
        <w:t>,</w:t>
      </w:r>
      <w:r w:rsidRPr="00516022">
        <w:rPr>
          <w:sz w:val="28"/>
          <w:szCs w:val="28"/>
        </w:rPr>
        <w:t xml:space="preserve"> в разрезе коек круглосуточного и дневного стационаров, а также профиля медицинской помощи (</w:t>
      </w:r>
      <w:r w:rsidR="002F7358" w:rsidRPr="00516022">
        <w:rPr>
          <w:sz w:val="28"/>
          <w:szCs w:val="28"/>
        </w:rPr>
        <w:t>«</w:t>
      </w:r>
      <w:r w:rsidRPr="00516022">
        <w:rPr>
          <w:sz w:val="28"/>
          <w:szCs w:val="28"/>
        </w:rPr>
        <w:t>онкология</w:t>
      </w:r>
      <w:r w:rsidR="002F7358" w:rsidRPr="00516022">
        <w:rPr>
          <w:sz w:val="28"/>
          <w:szCs w:val="28"/>
        </w:rPr>
        <w:t>»</w:t>
      </w:r>
      <w:r w:rsidR="00651208" w:rsidRPr="00516022">
        <w:rPr>
          <w:sz w:val="28"/>
          <w:szCs w:val="28"/>
        </w:rPr>
        <w:t xml:space="preserve">, </w:t>
      </w:r>
      <w:r w:rsidR="002F7358" w:rsidRPr="00516022">
        <w:rPr>
          <w:sz w:val="28"/>
          <w:szCs w:val="28"/>
        </w:rPr>
        <w:t>«</w:t>
      </w:r>
      <w:r w:rsidR="00651208" w:rsidRPr="00516022">
        <w:rPr>
          <w:sz w:val="28"/>
          <w:szCs w:val="28"/>
        </w:rPr>
        <w:t>радиология</w:t>
      </w:r>
      <w:r w:rsidR="002F7358" w:rsidRPr="00516022">
        <w:rPr>
          <w:sz w:val="28"/>
          <w:szCs w:val="28"/>
        </w:rPr>
        <w:t>»</w:t>
      </w:r>
      <w:r w:rsidR="00651208" w:rsidRPr="00516022">
        <w:rPr>
          <w:sz w:val="28"/>
          <w:szCs w:val="28"/>
        </w:rPr>
        <w:t xml:space="preserve">, </w:t>
      </w:r>
      <w:r w:rsidR="002F7358" w:rsidRPr="00516022">
        <w:rPr>
          <w:sz w:val="28"/>
          <w:szCs w:val="28"/>
        </w:rPr>
        <w:t>«</w:t>
      </w:r>
      <w:r w:rsidR="00651208" w:rsidRPr="00516022">
        <w:rPr>
          <w:sz w:val="28"/>
          <w:szCs w:val="28"/>
        </w:rPr>
        <w:t>гематология</w:t>
      </w:r>
      <w:r w:rsidR="002F7358" w:rsidRPr="00516022">
        <w:rPr>
          <w:sz w:val="28"/>
          <w:szCs w:val="28"/>
        </w:rPr>
        <w:t>»</w:t>
      </w:r>
      <w:r w:rsidR="00651208" w:rsidRPr="00516022">
        <w:rPr>
          <w:sz w:val="28"/>
          <w:szCs w:val="28"/>
        </w:rPr>
        <w:t>) представлена в таблиц</w:t>
      </w:r>
      <w:r w:rsidR="000D184E" w:rsidRPr="00516022">
        <w:rPr>
          <w:sz w:val="28"/>
          <w:szCs w:val="28"/>
        </w:rPr>
        <w:t>ах</w:t>
      </w:r>
      <w:r w:rsidR="00651208" w:rsidRPr="00516022">
        <w:rPr>
          <w:sz w:val="28"/>
          <w:szCs w:val="28"/>
        </w:rPr>
        <w:t xml:space="preserve"> </w:t>
      </w:r>
      <w:r w:rsidR="00E04B6D" w:rsidRPr="00516022">
        <w:rPr>
          <w:sz w:val="28"/>
          <w:szCs w:val="28"/>
        </w:rPr>
        <w:t>20</w:t>
      </w:r>
      <w:r w:rsidR="007775F5">
        <w:rPr>
          <w:sz w:val="28"/>
          <w:szCs w:val="28"/>
        </w:rPr>
        <w:t>,</w:t>
      </w:r>
      <w:r w:rsidR="003A55D7">
        <w:rPr>
          <w:sz w:val="28"/>
          <w:szCs w:val="28"/>
        </w:rPr>
        <w:t xml:space="preserve"> </w:t>
      </w:r>
      <w:r w:rsidR="00E04B6D" w:rsidRPr="00516022">
        <w:rPr>
          <w:sz w:val="28"/>
          <w:szCs w:val="28"/>
        </w:rPr>
        <w:t>21</w:t>
      </w:r>
      <w:r w:rsidR="00172807" w:rsidRPr="00516022">
        <w:rPr>
          <w:sz w:val="28"/>
          <w:szCs w:val="28"/>
        </w:rPr>
        <w:t>.</w:t>
      </w:r>
    </w:p>
    <w:p w:rsidR="003A55D7" w:rsidRDefault="003A55D7" w:rsidP="004E231B">
      <w:pPr>
        <w:ind w:left="7799" w:firstLine="709"/>
        <w:rPr>
          <w:sz w:val="28"/>
          <w:szCs w:val="28"/>
        </w:rPr>
      </w:pPr>
    </w:p>
    <w:p w:rsidR="004E231B" w:rsidRPr="00091230" w:rsidRDefault="004E231B" w:rsidP="003A55D7">
      <w:pPr>
        <w:ind w:left="7799" w:firstLine="709"/>
        <w:jc w:val="right"/>
        <w:rPr>
          <w:sz w:val="28"/>
          <w:szCs w:val="28"/>
        </w:rPr>
      </w:pPr>
      <w:r w:rsidRPr="00516022">
        <w:rPr>
          <w:sz w:val="28"/>
          <w:szCs w:val="28"/>
        </w:rPr>
        <w:t xml:space="preserve">Таблица </w:t>
      </w:r>
      <w:r w:rsidR="00E04B6D" w:rsidRPr="00516022">
        <w:rPr>
          <w:sz w:val="28"/>
          <w:szCs w:val="28"/>
        </w:rPr>
        <w:t>20</w:t>
      </w:r>
    </w:p>
    <w:p w:rsidR="004E231B" w:rsidRPr="00091230" w:rsidRDefault="004E231B" w:rsidP="004E231B">
      <w:pPr>
        <w:ind w:firstLine="709"/>
        <w:rPr>
          <w:sz w:val="28"/>
          <w:szCs w:val="28"/>
        </w:rPr>
      </w:pPr>
    </w:p>
    <w:p w:rsidR="003A55D7" w:rsidRDefault="004E231B" w:rsidP="00A96FB5">
      <w:pPr>
        <w:ind w:firstLine="709"/>
        <w:jc w:val="center"/>
        <w:rPr>
          <w:sz w:val="28"/>
          <w:szCs w:val="28"/>
        </w:rPr>
      </w:pPr>
      <w:r w:rsidRPr="00091230">
        <w:rPr>
          <w:sz w:val="28"/>
          <w:szCs w:val="28"/>
        </w:rPr>
        <w:t>Количество коек круглосуточного стационара для оказания помощи</w:t>
      </w:r>
    </w:p>
    <w:p w:rsidR="004E231B" w:rsidRDefault="004E231B" w:rsidP="00A96FB5">
      <w:pPr>
        <w:ind w:firstLine="709"/>
        <w:jc w:val="center"/>
        <w:rPr>
          <w:sz w:val="28"/>
          <w:szCs w:val="28"/>
        </w:rPr>
      </w:pPr>
      <w:r w:rsidRPr="00091230">
        <w:rPr>
          <w:sz w:val="28"/>
          <w:szCs w:val="28"/>
        </w:rPr>
        <w:t>пациентам с онкологическими заболеваниями</w:t>
      </w:r>
    </w:p>
    <w:p w:rsidR="004E231B" w:rsidRPr="00091230" w:rsidRDefault="004E231B" w:rsidP="004E231B">
      <w:pPr>
        <w:rPr>
          <w:sz w:val="28"/>
          <w:szCs w:val="28"/>
        </w:rPr>
      </w:pPr>
    </w:p>
    <w:tbl>
      <w:tblPr>
        <w:tblStyle w:val="af1"/>
        <w:tblW w:w="0" w:type="auto"/>
        <w:tblBorders>
          <w:bottom w:val="none" w:sz="0" w:space="0" w:color="auto"/>
        </w:tblBorders>
        <w:tblLayout w:type="fixed"/>
        <w:tblLook w:val="04A0" w:firstRow="1" w:lastRow="0" w:firstColumn="1" w:lastColumn="0" w:noHBand="0" w:noVBand="1"/>
      </w:tblPr>
      <w:tblGrid>
        <w:gridCol w:w="562"/>
        <w:gridCol w:w="4253"/>
        <w:gridCol w:w="1417"/>
        <w:gridCol w:w="1276"/>
        <w:gridCol w:w="1418"/>
        <w:gridCol w:w="1269"/>
      </w:tblGrid>
      <w:tr w:rsidR="004E231B" w:rsidRPr="00091230" w:rsidTr="003A55D7">
        <w:trPr>
          <w:trHeight w:val="20"/>
        </w:trPr>
        <w:tc>
          <w:tcPr>
            <w:tcW w:w="562" w:type="dxa"/>
          </w:tcPr>
          <w:p w:rsidR="004E231B" w:rsidRPr="00A96FB5" w:rsidRDefault="004E231B" w:rsidP="003A55D7">
            <w:pPr>
              <w:ind w:left="-57" w:right="-57"/>
              <w:jc w:val="center"/>
              <w:rPr>
                <w:sz w:val="22"/>
                <w:szCs w:val="22"/>
              </w:rPr>
            </w:pPr>
            <w:r w:rsidRPr="00A96FB5">
              <w:rPr>
                <w:sz w:val="22"/>
                <w:szCs w:val="22"/>
              </w:rPr>
              <w:t>№ п/п</w:t>
            </w:r>
          </w:p>
        </w:tc>
        <w:tc>
          <w:tcPr>
            <w:tcW w:w="4253" w:type="dxa"/>
          </w:tcPr>
          <w:p w:rsidR="004E231B" w:rsidRPr="00A96FB5" w:rsidRDefault="004E231B" w:rsidP="003A55D7">
            <w:pPr>
              <w:ind w:left="-57" w:right="-57"/>
              <w:jc w:val="center"/>
              <w:rPr>
                <w:sz w:val="22"/>
                <w:szCs w:val="22"/>
              </w:rPr>
            </w:pPr>
            <w:r w:rsidRPr="00A96FB5">
              <w:rPr>
                <w:sz w:val="22"/>
                <w:szCs w:val="22"/>
              </w:rPr>
              <w:t>Наименование медицинской организации</w:t>
            </w:r>
          </w:p>
        </w:tc>
        <w:tc>
          <w:tcPr>
            <w:tcW w:w="1417" w:type="dxa"/>
          </w:tcPr>
          <w:p w:rsidR="004E231B" w:rsidRPr="00A96FB5" w:rsidRDefault="004E231B" w:rsidP="003A55D7">
            <w:pPr>
              <w:ind w:left="-57" w:right="-57"/>
              <w:jc w:val="center"/>
              <w:rPr>
                <w:sz w:val="22"/>
                <w:szCs w:val="22"/>
              </w:rPr>
            </w:pPr>
            <w:r w:rsidRPr="00A96FB5">
              <w:rPr>
                <w:sz w:val="22"/>
                <w:szCs w:val="22"/>
              </w:rPr>
              <w:t xml:space="preserve">Койки по профилю </w:t>
            </w:r>
            <w:r w:rsidR="002F7358">
              <w:rPr>
                <w:sz w:val="22"/>
                <w:szCs w:val="22"/>
              </w:rPr>
              <w:t>«</w:t>
            </w:r>
            <w:r w:rsidRPr="00A96FB5">
              <w:rPr>
                <w:sz w:val="22"/>
                <w:szCs w:val="22"/>
              </w:rPr>
              <w:t>онкология</w:t>
            </w:r>
            <w:r w:rsidR="002F7358">
              <w:rPr>
                <w:sz w:val="22"/>
                <w:szCs w:val="22"/>
              </w:rPr>
              <w:t>»</w:t>
            </w:r>
          </w:p>
        </w:tc>
        <w:tc>
          <w:tcPr>
            <w:tcW w:w="1276" w:type="dxa"/>
          </w:tcPr>
          <w:p w:rsidR="004E231B" w:rsidRPr="00A96FB5" w:rsidRDefault="004E231B" w:rsidP="003A55D7">
            <w:pPr>
              <w:ind w:left="-57" w:right="-57"/>
              <w:jc w:val="center"/>
              <w:rPr>
                <w:sz w:val="22"/>
                <w:szCs w:val="22"/>
              </w:rPr>
            </w:pPr>
            <w:r w:rsidRPr="00A96FB5">
              <w:rPr>
                <w:sz w:val="22"/>
                <w:szCs w:val="22"/>
              </w:rPr>
              <w:t xml:space="preserve">Койки по профилю </w:t>
            </w:r>
            <w:r w:rsidR="002F7358">
              <w:rPr>
                <w:sz w:val="22"/>
                <w:szCs w:val="22"/>
              </w:rPr>
              <w:t>«</w:t>
            </w:r>
            <w:r w:rsidRPr="00A96FB5">
              <w:rPr>
                <w:sz w:val="22"/>
                <w:szCs w:val="22"/>
              </w:rPr>
              <w:t>радиология</w:t>
            </w:r>
            <w:r w:rsidR="002F7358">
              <w:rPr>
                <w:sz w:val="22"/>
                <w:szCs w:val="22"/>
              </w:rPr>
              <w:t>»</w:t>
            </w:r>
          </w:p>
        </w:tc>
        <w:tc>
          <w:tcPr>
            <w:tcW w:w="1418" w:type="dxa"/>
          </w:tcPr>
          <w:p w:rsidR="004E231B" w:rsidRPr="00A96FB5" w:rsidRDefault="004E231B" w:rsidP="003A55D7">
            <w:pPr>
              <w:ind w:left="-57" w:right="-57"/>
              <w:jc w:val="center"/>
              <w:rPr>
                <w:sz w:val="22"/>
                <w:szCs w:val="22"/>
              </w:rPr>
            </w:pPr>
            <w:r w:rsidRPr="00A96FB5">
              <w:rPr>
                <w:sz w:val="22"/>
                <w:szCs w:val="22"/>
              </w:rPr>
              <w:t xml:space="preserve">Койки по профилю </w:t>
            </w:r>
            <w:r w:rsidR="002F7358">
              <w:rPr>
                <w:sz w:val="22"/>
                <w:szCs w:val="22"/>
              </w:rPr>
              <w:t>«</w:t>
            </w:r>
            <w:r w:rsidRPr="00A96FB5">
              <w:rPr>
                <w:sz w:val="22"/>
                <w:szCs w:val="22"/>
              </w:rPr>
              <w:t>гематология</w:t>
            </w:r>
            <w:r w:rsidR="002F7358">
              <w:rPr>
                <w:sz w:val="22"/>
                <w:szCs w:val="22"/>
              </w:rPr>
              <w:t>»</w:t>
            </w:r>
          </w:p>
        </w:tc>
        <w:tc>
          <w:tcPr>
            <w:tcW w:w="1269" w:type="dxa"/>
          </w:tcPr>
          <w:p w:rsidR="004E231B" w:rsidRPr="00A96FB5" w:rsidRDefault="004E231B" w:rsidP="003A55D7">
            <w:pPr>
              <w:ind w:left="-57" w:right="-57"/>
              <w:jc w:val="center"/>
              <w:rPr>
                <w:sz w:val="22"/>
                <w:szCs w:val="22"/>
              </w:rPr>
            </w:pPr>
            <w:r w:rsidRPr="00A96FB5">
              <w:rPr>
                <w:sz w:val="22"/>
                <w:szCs w:val="22"/>
              </w:rPr>
              <w:t xml:space="preserve">Койки по профилю </w:t>
            </w:r>
            <w:r w:rsidR="002F7358">
              <w:rPr>
                <w:sz w:val="22"/>
                <w:szCs w:val="22"/>
              </w:rPr>
              <w:t>«</w:t>
            </w:r>
            <w:r w:rsidRPr="00A96FB5">
              <w:rPr>
                <w:sz w:val="22"/>
                <w:szCs w:val="22"/>
              </w:rPr>
              <w:t>детская онкология</w:t>
            </w:r>
            <w:r w:rsidR="002F7358">
              <w:rPr>
                <w:sz w:val="22"/>
                <w:szCs w:val="22"/>
              </w:rPr>
              <w:t>»</w:t>
            </w:r>
          </w:p>
        </w:tc>
      </w:tr>
    </w:tbl>
    <w:p w:rsidR="003A55D7" w:rsidRPr="003A55D7" w:rsidRDefault="003A55D7">
      <w:pPr>
        <w:rPr>
          <w:sz w:val="2"/>
          <w:szCs w:val="2"/>
        </w:rPr>
      </w:pPr>
    </w:p>
    <w:tbl>
      <w:tblPr>
        <w:tblStyle w:val="af1"/>
        <w:tblW w:w="0" w:type="auto"/>
        <w:tblLayout w:type="fixed"/>
        <w:tblLook w:val="04A0" w:firstRow="1" w:lastRow="0" w:firstColumn="1" w:lastColumn="0" w:noHBand="0" w:noVBand="1"/>
      </w:tblPr>
      <w:tblGrid>
        <w:gridCol w:w="562"/>
        <w:gridCol w:w="4253"/>
        <w:gridCol w:w="1417"/>
        <w:gridCol w:w="1276"/>
        <w:gridCol w:w="1418"/>
        <w:gridCol w:w="1269"/>
      </w:tblGrid>
      <w:tr w:rsidR="00A96FB5" w:rsidRPr="00091230" w:rsidTr="003A55D7">
        <w:trPr>
          <w:trHeight w:val="20"/>
          <w:tblHeader/>
        </w:trPr>
        <w:tc>
          <w:tcPr>
            <w:tcW w:w="562" w:type="dxa"/>
          </w:tcPr>
          <w:p w:rsidR="00A96FB5" w:rsidRPr="00A96FB5" w:rsidRDefault="00A96FB5" w:rsidP="003A55D7">
            <w:pPr>
              <w:jc w:val="center"/>
              <w:rPr>
                <w:sz w:val="22"/>
                <w:szCs w:val="22"/>
              </w:rPr>
            </w:pPr>
            <w:r w:rsidRPr="00A96FB5">
              <w:rPr>
                <w:sz w:val="22"/>
                <w:szCs w:val="22"/>
              </w:rPr>
              <w:t>1</w:t>
            </w:r>
          </w:p>
        </w:tc>
        <w:tc>
          <w:tcPr>
            <w:tcW w:w="4253" w:type="dxa"/>
          </w:tcPr>
          <w:p w:rsidR="00A96FB5" w:rsidRPr="00A96FB5" w:rsidRDefault="00A96FB5" w:rsidP="003A55D7">
            <w:pPr>
              <w:autoSpaceDE/>
              <w:autoSpaceDN/>
              <w:adjustRightInd/>
              <w:jc w:val="center"/>
              <w:rPr>
                <w:rFonts w:eastAsia="Arial"/>
                <w:sz w:val="22"/>
                <w:szCs w:val="22"/>
              </w:rPr>
            </w:pPr>
            <w:r w:rsidRPr="00A96FB5">
              <w:rPr>
                <w:rFonts w:eastAsia="Arial"/>
                <w:sz w:val="22"/>
                <w:szCs w:val="22"/>
              </w:rPr>
              <w:t>2</w:t>
            </w:r>
          </w:p>
        </w:tc>
        <w:tc>
          <w:tcPr>
            <w:tcW w:w="1417" w:type="dxa"/>
          </w:tcPr>
          <w:p w:rsidR="00A96FB5" w:rsidRPr="00A96FB5" w:rsidRDefault="00A96FB5" w:rsidP="003A55D7">
            <w:pPr>
              <w:jc w:val="center"/>
              <w:rPr>
                <w:sz w:val="22"/>
                <w:szCs w:val="22"/>
              </w:rPr>
            </w:pPr>
            <w:r w:rsidRPr="00A96FB5">
              <w:rPr>
                <w:sz w:val="22"/>
                <w:szCs w:val="22"/>
              </w:rPr>
              <w:t>3</w:t>
            </w:r>
          </w:p>
        </w:tc>
        <w:tc>
          <w:tcPr>
            <w:tcW w:w="1276" w:type="dxa"/>
          </w:tcPr>
          <w:p w:rsidR="00A96FB5" w:rsidRPr="00A96FB5" w:rsidRDefault="00A96FB5" w:rsidP="003A55D7">
            <w:pPr>
              <w:jc w:val="center"/>
              <w:rPr>
                <w:sz w:val="22"/>
                <w:szCs w:val="22"/>
              </w:rPr>
            </w:pPr>
            <w:r w:rsidRPr="00A96FB5">
              <w:rPr>
                <w:sz w:val="22"/>
                <w:szCs w:val="22"/>
              </w:rPr>
              <w:t>4</w:t>
            </w:r>
          </w:p>
        </w:tc>
        <w:tc>
          <w:tcPr>
            <w:tcW w:w="1418" w:type="dxa"/>
          </w:tcPr>
          <w:p w:rsidR="00A96FB5" w:rsidRPr="00A96FB5" w:rsidRDefault="00A96FB5" w:rsidP="003A55D7">
            <w:pPr>
              <w:jc w:val="center"/>
              <w:rPr>
                <w:sz w:val="22"/>
                <w:szCs w:val="22"/>
              </w:rPr>
            </w:pPr>
            <w:r w:rsidRPr="00A96FB5">
              <w:rPr>
                <w:sz w:val="22"/>
                <w:szCs w:val="22"/>
              </w:rPr>
              <w:t>5</w:t>
            </w:r>
          </w:p>
        </w:tc>
        <w:tc>
          <w:tcPr>
            <w:tcW w:w="1269" w:type="dxa"/>
          </w:tcPr>
          <w:p w:rsidR="00A96FB5" w:rsidRPr="00A96FB5" w:rsidRDefault="00A96FB5" w:rsidP="003A55D7">
            <w:pPr>
              <w:jc w:val="center"/>
              <w:rPr>
                <w:sz w:val="22"/>
                <w:szCs w:val="22"/>
              </w:rPr>
            </w:pPr>
            <w:r w:rsidRPr="00A96FB5">
              <w:rPr>
                <w:sz w:val="22"/>
                <w:szCs w:val="22"/>
              </w:rPr>
              <w:t>6</w:t>
            </w:r>
          </w:p>
        </w:tc>
      </w:tr>
      <w:tr w:rsidR="00A96FB5" w:rsidRPr="00091230" w:rsidTr="003A55D7">
        <w:trPr>
          <w:trHeight w:val="20"/>
        </w:trPr>
        <w:tc>
          <w:tcPr>
            <w:tcW w:w="562" w:type="dxa"/>
          </w:tcPr>
          <w:p w:rsidR="00A96FB5" w:rsidRPr="00A96FB5" w:rsidRDefault="00A96FB5" w:rsidP="003A55D7">
            <w:pPr>
              <w:jc w:val="center"/>
              <w:rPr>
                <w:sz w:val="22"/>
                <w:szCs w:val="22"/>
              </w:rPr>
            </w:pPr>
            <w:r w:rsidRPr="00A96FB5">
              <w:rPr>
                <w:sz w:val="22"/>
                <w:szCs w:val="22"/>
              </w:rPr>
              <w:t>1</w:t>
            </w:r>
            <w:r w:rsidR="003A55D7">
              <w:rPr>
                <w:sz w:val="22"/>
                <w:szCs w:val="22"/>
              </w:rPr>
              <w:t>.</w:t>
            </w:r>
          </w:p>
        </w:tc>
        <w:tc>
          <w:tcPr>
            <w:tcW w:w="4253" w:type="dxa"/>
          </w:tcPr>
          <w:p w:rsidR="00A96FB5" w:rsidRPr="00A96FB5" w:rsidRDefault="00A96FB5" w:rsidP="003A55D7">
            <w:pPr>
              <w:autoSpaceDE/>
              <w:autoSpaceDN/>
              <w:adjustRightInd/>
              <w:jc w:val="both"/>
              <w:rPr>
                <w:sz w:val="22"/>
                <w:szCs w:val="22"/>
              </w:rPr>
            </w:pPr>
            <w:r w:rsidRPr="00A96FB5">
              <w:rPr>
                <w:rFonts w:eastAsia="Arial"/>
                <w:sz w:val="22"/>
                <w:szCs w:val="22"/>
              </w:rPr>
              <w:t xml:space="preserve">ГАУЗ </w:t>
            </w:r>
            <w:r w:rsidR="002F7358">
              <w:rPr>
                <w:rFonts w:eastAsia="Arial"/>
                <w:sz w:val="22"/>
                <w:szCs w:val="22"/>
              </w:rPr>
              <w:t>«</w:t>
            </w:r>
            <w:r w:rsidR="003A55D7">
              <w:rPr>
                <w:rFonts w:eastAsia="Arial"/>
                <w:sz w:val="22"/>
                <w:szCs w:val="22"/>
              </w:rPr>
              <w:t>РКОД МЗ РТ им.проф.</w:t>
            </w:r>
            <w:r w:rsidRPr="00A96FB5">
              <w:rPr>
                <w:rFonts w:eastAsia="Arial"/>
                <w:sz w:val="22"/>
                <w:szCs w:val="22"/>
              </w:rPr>
              <w:t>М.З.Сигала</w:t>
            </w:r>
            <w:r w:rsidR="002F7358">
              <w:rPr>
                <w:rFonts w:eastAsia="Arial"/>
                <w:sz w:val="22"/>
                <w:szCs w:val="22"/>
              </w:rPr>
              <w:t>»</w:t>
            </w:r>
            <w:r w:rsidRPr="00A96FB5">
              <w:rPr>
                <w:rFonts w:eastAsia="Arial"/>
                <w:sz w:val="22"/>
                <w:szCs w:val="22"/>
              </w:rPr>
              <w:t xml:space="preserve"> </w:t>
            </w:r>
          </w:p>
        </w:tc>
        <w:tc>
          <w:tcPr>
            <w:tcW w:w="1417" w:type="dxa"/>
          </w:tcPr>
          <w:p w:rsidR="00A96FB5" w:rsidRPr="00A96FB5" w:rsidRDefault="00A96FB5" w:rsidP="0000204E">
            <w:pPr>
              <w:jc w:val="center"/>
              <w:rPr>
                <w:sz w:val="22"/>
                <w:szCs w:val="22"/>
              </w:rPr>
            </w:pPr>
            <w:r w:rsidRPr="00A96FB5">
              <w:rPr>
                <w:sz w:val="22"/>
                <w:szCs w:val="22"/>
              </w:rPr>
              <w:t>6</w:t>
            </w:r>
            <w:r w:rsidR="0000204E">
              <w:rPr>
                <w:sz w:val="22"/>
                <w:szCs w:val="22"/>
              </w:rPr>
              <w:t>4</w:t>
            </w:r>
            <w:r w:rsidRPr="00A96FB5">
              <w:rPr>
                <w:sz w:val="22"/>
                <w:szCs w:val="22"/>
              </w:rPr>
              <w:t>9</w:t>
            </w:r>
          </w:p>
        </w:tc>
        <w:tc>
          <w:tcPr>
            <w:tcW w:w="1276" w:type="dxa"/>
          </w:tcPr>
          <w:p w:rsidR="00A96FB5" w:rsidRPr="00A96FB5" w:rsidRDefault="00A96FB5" w:rsidP="003A55D7">
            <w:pPr>
              <w:jc w:val="center"/>
              <w:rPr>
                <w:sz w:val="22"/>
                <w:szCs w:val="22"/>
              </w:rPr>
            </w:pPr>
            <w:r w:rsidRPr="00A96FB5">
              <w:rPr>
                <w:sz w:val="22"/>
                <w:szCs w:val="22"/>
              </w:rPr>
              <w:t>143</w:t>
            </w:r>
          </w:p>
        </w:tc>
        <w:tc>
          <w:tcPr>
            <w:tcW w:w="1418" w:type="dxa"/>
          </w:tcPr>
          <w:p w:rsidR="00A96FB5" w:rsidRPr="00A96FB5" w:rsidRDefault="002027FA" w:rsidP="003A55D7">
            <w:pPr>
              <w:jc w:val="center"/>
              <w:rPr>
                <w:sz w:val="22"/>
                <w:szCs w:val="22"/>
              </w:rPr>
            </w:pPr>
            <w:r>
              <w:rPr>
                <w:sz w:val="22"/>
                <w:szCs w:val="22"/>
              </w:rPr>
              <w:t>-</w:t>
            </w:r>
          </w:p>
        </w:tc>
        <w:tc>
          <w:tcPr>
            <w:tcW w:w="1269" w:type="dxa"/>
          </w:tcPr>
          <w:p w:rsidR="00A96FB5" w:rsidRPr="00A96FB5" w:rsidRDefault="00815277" w:rsidP="003A55D7">
            <w:pPr>
              <w:jc w:val="center"/>
              <w:rPr>
                <w:sz w:val="22"/>
                <w:szCs w:val="22"/>
              </w:rPr>
            </w:pPr>
            <w:r>
              <w:rPr>
                <w:sz w:val="22"/>
                <w:szCs w:val="22"/>
              </w:rPr>
              <w:t>-</w:t>
            </w:r>
          </w:p>
        </w:tc>
      </w:tr>
      <w:tr w:rsidR="00A96FB5" w:rsidRPr="00091230" w:rsidTr="003A55D7">
        <w:trPr>
          <w:trHeight w:val="20"/>
        </w:trPr>
        <w:tc>
          <w:tcPr>
            <w:tcW w:w="562" w:type="dxa"/>
          </w:tcPr>
          <w:p w:rsidR="00A96FB5" w:rsidRPr="00A96FB5" w:rsidRDefault="002027FA" w:rsidP="003A55D7">
            <w:pPr>
              <w:jc w:val="center"/>
              <w:rPr>
                <w:sz w:val="22"/>
                <w:szCs w:val="22"/>
              </w:rPr>
            </w:pPr>
            <w:r>
              <w:rPr>
                <w:sz w:val="22"/>
                <w:szCs w:val="22"/>
              </w:rPr>
              <w:t>-</w:t>
            </w:r>
            <w:r w:rsidR="00A96FB5" w:rsidRPr="00A96FB5">
              <w:rPr>
                <w:sz w:val="22"/>
                <w:szCs w:val="22"/>
              </w:rPr>
              <w:t>2</w:t>
            </w:r>
            <w:r w:rsidR="003A55D7">
              <w:rPr>
                <w:sz w:val="22"/>
                <w:szCs w:val="22"/>
              </w:rPr>
              <w:t>.</w:t>
            </w:r>
          </w:p>
        </w:tc>
        <w:tc>
          <w:tcPr>
            <w:tcW w:w="4253" w:type="dxa"/>
          </w:tcPr>
          <w:p w:rsidR="00A96FB5" w:rsidRPr="00A96FB5" w:rsidRDefault="00A96FB5" w:rsidP="003A55D7">
            <w:pPr>
              <w:autoSpaceDE/>
              <w:autoSpaceDN/>
              <w:adjustRightInd/>
              <w:jc w:val="both"/>
              <w:rPr>
                <w:sz w:val="22"/>
                <w:szCs w:val="22"/>
              </w:rPr>
            </w:pPr>
            <w:r w:rsidRPr="00A96FB5">
              <w:rPr>
                <w:color w:val="000000"/>
                <w:sz w:val="22"/>
                <w:szCs w:val="22"/>
              </w:rPr>
              <w:t xml:space="preserve">ГАУЗ </w:t>
            </w:r>
            <w:r w:rsidR="002F7358">
              <w:rPr>
                <w:color w:val="000000"/>
                <w:sz w:val="22"/>
                <w:szCs w:val="22"/>
              </w:rPr>
              <w:t>«</w:t>
            </w:r>
            <w:r w:rsidRPr="00A96FB5">
              <w:rPr>
                <w:color w:val="000000"/>
                <w:sz w:val="22"/>
                <w:szCs w:val="22"/>
              </w:rPr>
              <w:t>Нижнекамская центральная районная многопрофильная больница</w:t>
            </w:r>
            <w:r w:rsidR="002F7358">
              <w:rPr>
                <w:color w:val="000000"/>
                <w:sz w:val="22"/>
                <w:szCs w:val="22"/>
              </w:rPr>
              <w:t>»</w:t>
            </w:r>
            <w:r w:rsidRPr="00A96FB5">
              <w:rPr>
                <w:color w:val="000000"/>
                <w:sz w:val="22"/>
                <w:szCs w:val="22"/>
              </w:rPr>
              <w:t xml:space="preserve"> </w:t>
            </w:r>
          </w:p>
        </w:tc>
        <w:tc>
          <w:tcPr>
            <w:tcW w:w="1417" w:type="dxa"/>
          </w:tcPr>
          <w:p w:rsidR="00A96FB5" w:rsidRPr="00A96FB5" w:rsidRDefault="0000204E" w:rsidP="0000204E">
            <w:pPr>
              <w:jc w:val="center"/>
              <w:rPr>
                <w:sz w:val="22"/>
                <w:szCs w:val="22"/>
              </w:rPr>
            </w:pPr>
            <w:r>
              <w:rPr>
                <w:sz w:val="22"/>
                <w:szCs w:val="22"/>
              </w:rPr>
              <w:t>2</w:t>
            </w:r>
            <w:r w:rsidR="004C37A1">
              <w:rPr>
                <w:sz w:val="22"/>
                <w:szCs w:val="22"/>
              </w:rPr>
              <w:t>0</w:t>
            </w:r>
          </w:p>
        </w:tc>
        <w:tc>
          <w:tcPr>
            <w:tcW w:w="1276" w:type="dxa"/>
          </w:tcPr>
          <w:p w:rsidR="00A96FB5" w:rsidRPr="00A96FB5" w:rsidRDefault="00815277" w:rsidP="003A55D7">
            <w:pPr>
              <w:jc w:val="center"/>
              <w:rPr>
                <w:sz w:val="22"/>
                <w:szCs w:val="22"/>
              </w:rPr>
            </w:pPr>
            <w:r>
              <w:rPr>
                <w:sz w:val="22"/>
                <w:szCs w:val="22"/>
              </w:rPr>
              <w:t>-</w:t>
            </w:r>
          </w:p>
        </w:tc>
        <w:tc>
          <w:tcPr>
            <w:tcW w:w="1418" w:type="dxa"/>
          </w:tcPr>
          <w:p w:rsidR="00A96FB5" w:rsidRPr="00A96FB5" w:rsidRDefault="00815277" w:rsidP="003A55D7">
            <w:pPr>
              <w:jc w:val="center"/>
              <w:rPr>
                <w:sz w:val="22"/>
                <w:szCs w:val="22"/>
              </w:rPr>
            </w:pPr>
            <w:r>
              <w:rPr>
                <w:sz w:val="22"/>
                <w:szCs w:val="22"/>
              </w:rPr>
              <w:t>-</w:t>
            </w:r>
          </w:p>
        </w:tc>
        <w:tc>
          <w:tcPr>
            <w:tcW w:w="1269" w:type="dxa"/>
          </w:tcPr>
          <w:p w:rsidR="00A96FB5" w:rsidRPr="00A96FB5" w:rsidRDefault="00815277" w:rsidP="003A55D7">
            <w:pPr>
              <w:jc w:val="center"/>
              <w:rPr>
                <w:sz w:val="22"/>
                <w:szCs w:val="22"/>
              </w:rPr>
            </w:pPr>
            <w:r>
              <w:rPr>
                <w:sz w:val="22"/>
                <w:szCs w:val="22"/>
              </w:rPr>
              <w:t>-</w:t>
            </w:r>
          </w:p>
        </w:tc>
      </w:tr>
      <w:tr w:rsidR="00A96FB5" w:rsidRPr="00091230" w:rsidTr="003A55D7">
        <w:trPr>
          <w:trHeight w:val="20"/>
        </w:trPr>
        <w:tc>
          <w:tcPr>
            <w:tcW w:w="562" w:type="dxa"/>
          </w:tcPr>
          <w:p w:rsidR="00A96FB5" w:rsidRPr="00A96FB5" w:rsidRDefault="00A96FB5" w:rsidP="003A55D7">
            <w:pPr>
              <w:jc w:val="center"/>
              <w:rPr>
                <w:sz w:val="22"/>
                <w:szCs w:val="22"/>
              </w:rPr>
            </w:pPr>
            <w:r w:rsidRPr="00A96FB5">
              <w:rPr>
                <w:sz w:val="22"/>
                <w:szCs w:val="22"/>
              </w:rPr>
              <w:t>3</w:t>
            </w:r>
            <w:r w:rsidR="003A55D7">
              <w:rPr>
                <w:sz w:val="22"/>
                <w:szCs w:val="22"/>
              </w:rPr>
              <w:t>.</w:t>
            </w:r>
          </w:p>
        </w:tc>
        <w:tc>
          <w:tcPr>
            <w:tcW w:w="4253" w:type="dxa"/>
          </w:tcPr>
          <w:p w:rsidR="00A96FB5" w:rsidRPr="00A96FB5" w:rsidRDefault="00A96FB5" w:rsidP="003A55D7">
            <w:pPr>
              <w:autoSpaceDE/>
              <w:autoSpaceDN/>
              <w:adjustRightInd/>
              <w:jc w:val="both"/>
              <w:rPr>
                <w:sz w:val="22"/>
                <w:szCs w:val="22"/>
              </w:rPr>
            </w:pPr>
            <w:r w:rsidRPr="00A96FB5">
              <w:rPr>
                <w:color w:val="000000"/>
                <w:sz w:val="22"/>
                <w:szCs w:val="22"/>
              </w:rPr>
              <w:t xml:space="preserve">ГАУЗ </w:t>
            </w:r>
            <w:r w:rsidR="002F7358">
              <w:rPr>
                <w:color w:val="000000"/>
                <w:sz w:val="22"/>
                <w:szCs w:val="22"/>
              </w:rPr>
              <w:t>«</w:t>
            </w:r>
            <w:r w:rsidRPr="00A96FB5">
              <w:rPr>
                <w:color w:val="000000"/>
                <w:sz w:val="22"/>
                <w:szCs w:val="22"/>
              </w:rPr>
              <w:t xml:space="preserve">Зеленодольская </w:t>
            </w:r>
            <w:r w:rsidR="00516022">
              <w:rPr>
                <w:color w:val="000000"/>
                <w:sz w:val="22"/>
                <w:szCs w:val="22"/>
              </w:rPr>
              <w:t>ЦРБ</w:t>
            </w:r>
            <w:r w:rsidR="002F7358">
              <w:rPr>
                <w:color w:val="000000"/>
                <w:sz w:val="22"/>
                <w:szCs w:val="22"/>
              </w:rPr>
              <w:t>»</w:t>
            </w:r>
            <w:r w:rsidRPr="00A96FB5">
              <w:rPr>
                <w:color w:val="000000"/>
                <w:sz w:val="22"/>
                <w:szCs w:val="22"/>
              </w:rPr>
              <w:t xml:space="preserve"> </w:t>
            </w:r>
          </w:p>
        </w:tc>
        <w:tc>
          <w:tcPr>
            <w:tcW w:w="1417" w:type="dxa"/>
          </w:tcPr>
          <w:p w:rsidR="00A96FB5" w:rsidRPr="00A96FB5" w:rsidRDefault="00A96FB5" w:rsidP="003A55D7">
            <w:pPr>
              <w:jc w:val="center"/>
              <w:rPr>
                <w:sz w:val="22"/>
                <w:szCs w:val="22"/>
              </w:rPr>
            </w:pPr>
            <w:r w:rsidRPr="00A96FB5">
              <w:rPr>
                <w:sz w:val="22"/>
                <w:szCs w:val="22"/>
              </w:rPr>
              <w:t>45</w:t>
            </w:r>
          </w:p>
        </w:tc>
        <w:tc>
          <w:tcPr>
            <w:tcW w:w="1276" w:type="dxa"/>
          </w:tcPr>
          <w:p w:rsidR="00A96FB5" w:rsidRPr="00A96FB5" w:rsidRDefault="00815277" w:rsidP="003A55D7">
            <w:pPr>
              <w:jc w:val="center"/>
              <w:rPr>
                <w:sz w:val="22"/>
                <w:szCs w:val="22"/>
              </w:rPr>
            </w:pPr>
            <w:r>
              <w:rPr>
                <w:sz w:val="22"/>
                <w:szCs w:val="22"/>
              </w:rPr>
              <w:t>-</w:t>
            </w:r>
          </w:p>
        </w:tc>
        <w:tc>
          <w:tcPr>
            <w:tcW w:w="1418" w:type="dxa"/>
          </w:tcPr>
          <w:p w:rsidR="00A96FB5" w:rsidRPr="00A96FB5" w:rsidRDefault="00815277" w:rsidP="003A55D7">
            <w:pPr>
              <w:jc w:val="center"/>
              <w:rPr>
                <w:sz w:val="22"/>
                <w:szCs w:val="22"/>
              </w:rPr>
            </w:pPr>
            <w:r>
              <w:rPr>
                <w:sz w:val="22"/>
                <w:szCs w:val="22"/>
              </w:rPr>
              <w:t>-</w:t>
            </w:r>
          </w:p>
        </w:tc>
        <w:tc>
          <w:tcPr>
            <w:tcW w:w="1269" w:type="dxa"/>
          </w:tcPr>
          <w:p w:rsidR="00A96FB5" w:rsidRPr="00A96FB5" w:rsidRDefault="00815277" w:rsidP="003A55D7">
            <w:pPr>
              <w:jc w:val="center"/>
              <w:rPr>
                <w:sz w:val="22"/>
                <w:szCs w:val="22"/>
              </w:rPr>
            </w:pPr>
            <w:r>
              <w:rPr>
                <w:sz w:val="22"/>
                <w:szCs w:val="22"/>
              </w:rPr>
              <w:t>-</w:t>
            </w:r>
          </w:p>
        </w:tc>
      </w:tr>
      <w:tr w:rsidR="00A96FB5" w:rsidRPr="004E0CEB" w:rsidTr="003A55D7">
        <w:trPr>
          <w:trHeight w:val="20"/>
        </w:trPr>
        <w:tc>
          <w:tcPr>
            <w:tcW w:w="562" w:type="dxa"/>
          </w:tcPr>
          <w:p w:rsidR="00A96FB5" w:rsidRPr="00A96FB5" w:rsidRDefault="00A96FB5" w:rsidP="003A55D7">
            <w:pPr>
              <w:jc w:val="center"/>
              <w:rPr>
                <w:sz w:val="22"/>
                <w:szCs w:val="22"/>
              </w:rPr>
            </w:pPr>
            <w:r w:rsidRPr="00A96FB5">
              <w:rPr>
                <w:sz w:val="22"/>
                <w:szCs w:val="22"/>
              </w:rPr>
              <w:t>4</w:t>
            </w:r>
            <w:r w:rsidR="003A55D7">
              <w:rPr>
                <w:sz w:val="22"/>
                <w:szCs w:val="22"/>
              </w:rPr>
              <w:t>.</w:t>
            </w:r>
          </w:p>
        </w:tc>
        <w:tc>
          <w:tcPr>
            <w:tcW w:w="4253" w:type="dxa"/>
          </w:tcPr>
          <w:p w:rsidR="00A96FB5" w:rsidRPr="00A96FB5" w:rsidRDefault="00A96FB5" w:rsidP="003A55D7">
            <w:pPr>
              <w:autoSpaceDE/>
              <w:autoSpaceDN/>
              <w:adjustRightInd/>
              <w:jc w:val="both"/>
              <w:rPr>
                <w:sz w:val="22"/>
                <w:szCs w:val="22"/>
              </w:rPr>
            </w:pPr>
            <w:r w:rsidRPr="00A96FB5">
              <w:rPr>
                <w:color w:val="000000"/>
                <w:sz w:val="22"/>
                <w:szCs w:val="22"/>
              </w:rPr>
              <w:t xml:space="preserve">ГАУЗ </w:t>
            </w:r>
            <w:r w:rsidR="002F7358">
              <w:rPr>
                <w:color w:val="000000"/>
                <w:sz w:val="22"/>
                <w:szCs w:val="22"/>
              </w:rPr>
              <w:t>«</w:t>
            </w:r>
            <w:r w:rsidRPr="00A96FB5">
              <w:rPr>
                <w:color w:val="000000"/>
                <w:sz w:val="22"/>
                <w:szCs w:val="22"/>
              </w:rPr>
              <w:t>Детская республиканская клиническая больница Министерства здравоохранения Республики Татарстан</w:t>
            </w:r>
            <w:r w:rsidR="002F7358">
              <w:rPr>
                <w:color w:val="000000"/>
                <w:sz w:val="22"/>
                <w:szCs w:val="22"/>
              </w:rPr>
              <w:t>»</w:t>
            </w:r>
            <w:r w:rsidRPr="00A96FB5">
              <w:rPr>
                <w:color w:val="000000"/>
                <w:sz w:val="22"/>
                <w:szCs w:val="22"/>
              </w:rPr>
              <w:t xml:space="preserve"> </w:t>
            </w:r>
          </w:p>
        </w:tc>
        <w:tc>
          <w:tcPr>
            <w:tcW w:w="1417" w:type="dxa"/>
          </w:tcPr>
          <w:p w:rsidR="00A96FB5" w:rsidRPr="00A96FB5" w:rsidRDefault="00815277" w:rsidP="003A55D7">
            <w:pPr>
              <w:jc w:val="center"/>
              <w:rPr>
                <w:sz w:val="22"/>
                <w:szCs w:val="22"/>
              </w:rPr>
            </w:pPr>
            <w:r>
              <w:rPr>
                <w:sz w:val="22"/>
                <w:szCs w:val="22"/>
              </w:rPr>
              <w:t>-</w:t>
            </w:r>
          </w:p>
        </w:tc>
        <w:tc>
          <w:tcPr>
            <w:tcW w:w="1276" w:type="dxa"/>
          </w:tcPr>
          <w:p w:rsidR="00A96FB5" w:rsidRPr="00A96FB5" w:rsidRDefault="00815277" w:rsidP="003A55D7">
            <w:pPr>
              <w:jc w:val="center"/>
              <w:rPr>
                <w:sz w:val="22"/>
                <w:szCs w:val="22"/>
              </w:rPr>
            </w:pPr>
            <w:r>
              <w:rPr>
                <w:sz w:val="22"/>
                <w:szCs w:val="22"/>
              </w:rPr>
              <w:t>-</w:t>
            </w:r>
          </w:p>
        </w:tc>
        <w:tc>
          <w:tcPr>
            <w:tcW w:w="1418" w:type="dxa"/>
          </w:tcPr>
          <w:p w:rsidR="00A96FB5" w:rsidRPr="00127376" w:rsidRDefault="00815277" w:rsidP="003A55D7">
            <w:pPr>
              <w:jc w:val="center"/>
              <w:rPr>
                <w:sz w:val="22"/>
                <w:szCs w:val="22"/>
              </w:rPr>
            </w:pPr>
            <w:r>
              <w:rPr>
                <w:sz w:val="22"/>
                <w:szCs w:val="22"/>
              </w:rPr>
              <w:t>-</w:t>
            </w:r>
          </w:p>
        </w:tc>
        <w:tc>
          <w:tcPr>
            <w:tcW w:w="1269" w:type="dxa"/>
          </w:tcPr>
          <w:p w:rsidR="00A96FB5" w:rsidRPr="00127376" w:rsidRDefault="00A96FB5" w:rsidP="003A55D7">
            <w:pPr>
              <w:jc w:val="center"/>
              <w:rPr>
                <w:sz w:val="22"/>
                <w:szCs w:val="22"/>
              </w:rPr>
            </w:pPr>
            <w:r w:rsidRPr="00127376">
              <w:rPr>
                <w:sz w:val="22"/>
                <w:szCs w:val="22"/>
              </w:rPr>
              <w:t>45</w:t>
            </w:r>
          </w:p>
        </w:tc>
      </w:tr>
      <w:tr w:rsidR="00A96FB5" w:rsidRPr="00091230" w:rsidTr="003A55D7">
        <w:trPr>
          <w:trHeight w:val="20"/>
        </w:trPr>
        <w:tc>
          <w:tcPr>
            <w:tcW w:w="562" w:type="dxa"/>
          </w:tcPr>
          <w:p w:rsidR="00A96FB5" w:rsidRPr="00A96FB5" w:rsidRDefault="00A96FB5" w:rsidP="003A55D7">
            <w:pPr>
              <w:jc w:val="center"/>
              <w:rPr>
                <w:sz w:val="22"/>
                <w:szCs w:val="22"/>
              </w:rPr>
            </w:pPr>
            <w:r w:rsidRPr="00A96FB5">
              <w:rPr>
                <w:sz w:val="22"/>
                <w:szCs w:val="22"/>
              </w:rPr>
              <w:t>5</w:t>
            </w:r>
            <w:r w:rsidR="003A55D7">
              <w:rPr>
                <w:sz w:val="22"/>
                <w:szCs w:val="22"/>
              </w:rPr>
              <w:t>.</w:t>
            </w:r>
          </w:p>
        </w:tc>
        <w:tc>
          <w:tcPr>
            <w:tcW w:w="4253" w:type="dxa"/>
          </w:tcPr>
          <w:p w:rsidR="00A96FB5" w:rsidRPr="00A96FB5" w:rsidRDefault="00A96FB5" w:rsidP="003A55D7">
            <w:pPr>
              <w:autoSpaceDE/>
              <w:autoSpaceDN/>
              <w:adjustRightInd/>
              <w:jc w:val="both"/>
              <w:rPr>
                <w:sz w:val="22"/>
                <w:szCs w:val="22"/>
              </w:rPr>
            </w:pPr>
            <w:r w:rsidRPr="00A96FB5">
              <w:rPr>
                <w:color w:val="000000"/>
                <w:sz w:val="22"/>
                <w:szCs w:val="22"/>
              </w:rPr>
              <w:t xml:space="preserve">ГАУЗ </w:t>
            </w:r>
            <w:r w:rsidR="002F7358">
              <w:rPr>
                <w:color w:val="000000"/>
                <w:sz w:val="22"/>
                <w:szCs w:val="22"/>
              </w:rPr>
              <w:t>«</w:t>
            </w:r>
            <w:r w:rsidRPr="00A96FB5">
              <w:rPr>
                <w:color w:val="000000"/>
                <w:sz w:val="22"/>
                <w:szCs w:val="22"/>
              </w:rPr>
              <w:t>Республиканская клиническая больница Министерства здравоохранения Республики Татарстан</w:t>
            </w:r>
            <w:r w:rsidR="002F7358">
              <w:rPr>
                <w:color w:val="000000"/>
                <w:sz w:val="22"/>
                <w:szCs w:val="22"/>
              </w:rPr>
              <w:t>»</w:t>
            </w:r>
            <w:r w:rsidRPr="00A96FB5">
              <w:rPr>
                <w:color w:val="000000"/>
                <w:sz w:val="22"/>
                <w:szCs w:val="22"/>
              </w:rPr>
              <w:t xml:space="preserve"> </w:t>
            </w:r>
          </w:p>
        </w:tc>
        <w:tc>
          <w:tcPr>
            <w:tcW w:w="1417" w:type="dxa"/>
          </w:tcPr>
          <w:p w:rsidR="00A96FB5" w:rsidRPr="00A96FB5" w:rsidRDefault="00815277" w:rsidP="003A55D7">
            <w:pPr>
              <w:jc w:val="center"/>
              <w:rPr>
                <w:sz w:val="22"/>
                <w:szCs w:val="22"/>
              </w:rPr>
            </w:pPr>
            <w:r>
              <w:rPr>
                <w:sz w:val="22"/>
                <w:szCs w:val="22"/>
              </w:rPr>
              <w:t>-</w:t>
            </w:r>
          </w:p>
        </w:tc>
        <w:tc>
          <w:tcPr>
            <w:tcW w:w="1276" w:type="dxa"/>
          </w:tcPr>
          <w:p w:rsidR="00A96FB5" w:rsidRPr="00A96FB5" w:rsidRDefault="00815277" w:rsidP="003A55D7">
            <w:pPr>
              <w:jc w:val="center"/>
              <w:rPr>
                <w:sz w:val="22"/>
                <w:szCs w:val="22"/>
              </w:rPr>
            </w:pPr>
            <w:r>
              <w:rPr>
                <w:sz w:val="22"/>
                <w:szCs w:val="22"/>
              </w:rPr>
              <w:t>-</w:t>
            </w:r>
          </w:p>
        </w:tc>
        <w:tc>
          <w:tcPr>
            <w:tcW w:w="1418" w:type="dxa"/>
          </w:tcPr>
          <w:p w:rsidR="00A96FB5" w:rsidRPr="00127376" w:rsidRDefault="00A96FB5" w:rsidP="003A55D7">
            <w:pPr>
              <w:jc w:val="center"/>
              <w:rPr>
                <w:sz w:val="22"/>
                <w:szCs w:val="22"/>
              </w:rPr>
            </w:pPr>
            <w:r w:rsidRPr="00127376">
              <w:rPr>
                <w:sz w:val="22"/>
                <w:szCs w:val="22"/>
              </w:rPr>
              <w:t>30</w:t>
            </w:r>
          </w:p>
        </w:tc>
        <w:tc>
          <w:tcPr>
            <w:tcW w:w="1269" w:type="dxa"/>
          </w:tcPr>
          <w:p w:rsidR="00A96FB5" w:rsidRPr="00127376" w:rsidRDefault="00815277" w:rsidP="003A55D7">
            <w:pPr>
              <w:jc w:val="center"/>
              <w:rPr>
                <w:sz w:val="22"/>
                <w:szCs w:val="22"/>
              </w:rPr>
            </w:pPr>
            <w:r>
              <w:rPr>
                <w:sz w:val="22"/>
                <w:szCs w:val="22"/>
              </w:rPr>
              <w:t>-</w:t>
            </w:r>
          </w:p>
        </w:tc>
      </w:tr>
      <w:tr w:rsidR="00A96FB5" w:rsidRPr="00091230" w:rsidTr="003A55D7">
        <w:trPr>
          <w:trHeight w:val="20"/>
        </w:trPr>
        <w:tc>
          <w:tcPr>
            <w:tcW w:w="562" w:type="dxa"/>
          </w:tcPr>
          <w:p w:rsidR="00A96FB5" w:rsidRPr="00A96FB5" w:rsidRDefault="00A96FB5" w:rsidP="003A55D7">
            <w:pPr>
              <w:jc w:val="center"/>
              <w:rPr>
                <w:sz w:val="22"/>
                <w:szCs w:val="22"/>
              </w:rPr>
            </w:pPr>
            <w:r w:rsidRPr="00A96FB5">
              <w:rPr>
                <w:sz w:val="22"/>
                <w:szCs w:val="22"/>
              </w:rPr>
              <w:t>6</w:t>
            </w:r>
            <w:r w:rsidR="003A55D7">
              <w:rPr>
                <w:sz w:val="22"/>
                <w:szCs w:val="22"/>
              </w:rPr>
              <w:t>.</w:t>
            </w:r>
          </w:p>
        </w:tc>
        <w:tc>
          <w:tcPr>
            <w:tcW w:w="4253" w:type="dxa"/>
          </w:tcPr>
          <w:p w:rsidR="00A96FB5" w:rsidRPr="00A96FB5" w:rsidRDefault="00A96FB5" w:rsidP="003A55D7">
            <w:pPr>
              <w:autoSpaceDE/>
              <w:autoSpaceDN/>
              <w:adjustRightInd/>
              <w:jc w:val="both"/>
              <w:rPr>
                <w:sz w:val="22"/>
                <w:szCs w:val="22"/>
              </w:rPr>
            </w:pPr>
            <w:r w:rsidRPr="00A96FB5">
              <w:rPr>
                <w:color w:val="000000"/>
                <w:sz w:val="22"/>
                <w:szCs w:val="22"/>
              </w:rPr>
              <w:t xml:space="preserve">ГАУЗ </w:t>
            </w:r>
            <w:r w:rsidR="002F7358">
              <w:rPr>
                <w:color w:val="000000"/>
                <w:sz w:val="22"/>
                <w:szCs w:val="22"/>
              </w:rPr>
              <w:t>«</w:t>
            </w:r>
            <w:r w:rsidRPr="00A96FB5">
              <w:rPr>
                <w:color w:val="000000"/>
                <w:sz w:val="22"/>
                <w:szCs w:val="22"/>
              </w:rPr>
              <w:t>Городская клиническая больни</w:t>
            </w:r>
            <w:r w:rsidR="007775F5">
              <w:rPr>
                <w:color w:val="000000"/>
                <w:sz w:val="22"/>
                <w:szCs w:val="22"/>
              </w:rPr>
              <w:t>-</w:t>
            </w:r>
            <w:r w:rsidR="007775F5">
              <w:rPr>
                <w:color w:val="000000"/>
                <w:sz w:val="22"/>
                <w:szCs w:val="22"/>
              </w:rPr>
              <w:br/>
            </w:r>
            <w:r w:rsidRPr="00A96FB5">
              <w:rPr>
                <w:color w:val="000000"/>
                <w:sz w:val="22"/>
                <w:szCs w:val="22"/>
              </w:rPr>
              <w:t>ца № 16</w:t>
            </w:r>
            <w:r w:rsidR="002F7358">
              <w:rPr>
                <w:color w:val="000000"/>
                <w:sz w:val="22"/>
                <w:szCs w:val="22"/>
              </w:rPr>
              <w:t>»</w:t>
            </w:r>
            <w:r w:rsidRPr="00A96FB5">
              <w:rPr>
                <w:color w:val="000000"/>
                <w:sz w:val="22"/>
                <w:szCs w:val="22"/>
              </w:rPr>
              <w:t xml:space="preserve"> г. Казани</w:t>
            </w:r>
          </w:p>
        </w:tc>
        <w:tc>
          <w:tcPr>
            <w:tcW w:w="1417" w:type="dxa"/>
          </w:tcPr>
          <w:p w:rsidR="00A96FB5" w:rsidRPr="00A96FB5" w:rsidRDefault="00815277" w:rsidP="003A55D7">
            <w:pPr>
              <w:jc w:val="center"/>
              <w:rPr>
                <w:sz w:val="22"/>
                <w:szCs w:val="22"/>
              </w:rPr>
            </w:pPr>
            <w:r>
              <w:rPr>
                <w:sz w:val="22"/>
                <w:szCs w:val="22"/>
              </w:rPr>
              <w:t>-</w:t>
            </w:r>
          </w:p>
        </w:tc>
        <w:tc>
          <w:tcPr>
            <w:tcW w:w="1276" w:type="dxa"/>
          </w:tcPr>
          <w:p w:rsidR="00A96FB5" w:rsidRPr="00A96FB5" w:rsidRDefault="00815277" w:rsidP="003A55D7">
            <w:pPr>
              <w:jc w:val="center"/>
              <w:rPr>
                <w:sz w:val="22"/>
                <w:szCs w:val="22"/>
              </w:rPr>
            </w:pPr>
            <w:r>
              <w:rPr>
                <w:sz w:val="22"/>
                <w:szCs w:val="22"/>
              </w:rPr>
              <w:t>-</w:t>
            </w:r>
          </w:p>
        </w:tc>
        <w:tc>
          <w:tcPr>
            <w:tcW w:w="1418" w:type="dxa"/>
          </w:tcPr>
          <w:p w:rsidR="00A96FB5" w:rsidRPr="00127376" w:rsidRDefault="00A96FB5" w:rsidP="003A55D7">
            <w:pPr>
              <w:jc w:val="center"/>
              <w:rPr>
                <w:sz w:val="22"/>
                <w:szCs w:val="22"/>
              </w:rPr>
            </w:pPr>
            <w:r w:rsidRPr="00127376">
              <w:rPr>
                <w:sz w:val="22"/>
                <w:szCs w:val="22"/>
              </w:rPr>
              <w:t>27</w:t>
            </w:r>
          </w:p>
        </w:tc>
        <w:tc>
          <w:tcPr>
            <w:tcW w:w="1269" w:type="dxa"/>
          </w:tcPr>
          <w:p w:rsidR="00A96FB5" w:rsidRPr="00127376" w:rsidRDefault="00815277" w:rsidP="003A55D7">
            <w:pPr>
              <w:jc w:val="center"/>
              <w:rPr>
                <w:sz w:val="22"/>
                <w:szCs w:val="22"/>
              </w:rPr>
            </w:pPr>
            <w:r>
              <w:rPr>
                <w:sz w:val="22"/>
                <w:szCs w:val="22"/>
              </w:rPr>
              <w:t>-</w:t>
            </w:r>
          </w:p>
        </w:tc>
      </w:tr>
      <w:tr w:rsidR="00A96FB5" w:rsidRPr="00091230" w:rsidTr="0049540D">
        <w:trPr>
          <w:trHeight w:val="20"/>
        </w:trPr>
        <w:tc>
          <w:tcPr>
            <w:tcW w:w="562" w:type="dxa"/>
            <w:tcBorders>
              <w:bottom w:val="single" w:sz="4" w:space="0" w:color="auto"/>
            </w:tcBorders>
          </w:tcPr>
          <w:p w:rsidR="00A96FB5" w:rsidRPr="00A96FB5" w:rsidRDefault="00A96FB5" w:rsidP="003A55D7">
            <w:pPr>
              <w:jc w:val="center"/>
              <w:rPr>
                <w:sz w:val="22"/>
                <w:szCs w:val="22"/>
              </w:rPr>
            </w:pPr>
            <w:r w:rsidRPr="00A96FB5">
              <w:rPr>
                <w:sz w:val="22"/>
                <w:szCs w:val="22"/>
              </w:rPr>
              <w:t>7</w:t>
            </w:r>
            <w:r w:rsidR="003A55D7">
              <w:rPr>
                <w:sz w:val="22"/>
                <w:szCs w:val="22"/>
              </w:rPr>
              <w:t>.</w:t>
            </w:r>
          </w:p>
        </w:tc>
        <w:tc>
          <w:tcPr>
            <w:tcW w:w="4253" w:type="dxa"/>
            <w:tcBorders>
              <w:bottom w:val="single" w:sz="4" w:space="0" w:color="auto"/>
            </w:tcBorders>
          </w:tcPr>
          <w:p w:rsidR="00A96FB5" w:rsidRPr="00A96FB5" w:rsidRDefault="00A96FB5" w:rsidP="003A55D7">
            <w:pPr>
              <w:autoSpaceDE/>
              <w:autoSpaceDN/>
              <w:adjustRightInd/>
              <w:jc w:val="both"/>
              <w:rPr>
                <w:color w:val="000000"/>
                <w:sz w:val="22"/>
                <w:szCs w:val="22"/>
              </w:rPr>
            </w:pPr>
            <w:r w:rsidRPr="00A96FB5">
              <w:rPr>
                <w:color w:val="000000"/>
                <w:sz w:val="22"/>
                <w:szCs w:val="22"/>
              </w:rPr>
              <w:t xml:space="preserve">ГАУЗ </w:t>
            </w:r>
            <w:r w:rsidR="002F7358">
              <w:rPr>
                <w:color w:val="000000"/>
                <w:sz w:val="22"/>
                <w:szCs w:val="22"/>
              </w:rPr>
              <w:t>«</w:t>
            </w:r>
            <w:r w:rsidRPr="00A96FB5">
              <w:rPr>
                <w:color w:val="000000"/>
                <w:sz w:val="22"/>
                <w:szCs w:val="22"/>
              </w:rPr>
              <w:t>Городская больница № 2</w:t>
            </w:r>
            <w:r w:rsidR="002F7358">
              <w:rPr>
                <w:color w:val="000000"/>
                <w:sz w:val="22"/>
                <w:szCs w:val="22"/>
              </w:rPr>
              <w:t>»</w:t>
            </w:r>
            <w:r w:rsidRPr="00A96FB5">
              <w:rPr>
                <w:color w:val="000000"/>
                <w:sz w:val="22"/>
                <w:szCs w:val="22"/>
              </w:rPr>
              <w:t xml:space="preserve"> г.Набережные Челны</w:t>
            </w:r>
          </w:p>
        </w:tc>
        <w:tc>
          <w:tcPr>
            <w:tcW w:w="1417" w:type="dxa"/>
            <w:tcBorders>
              <w:bottom w:val="single" w:sz="4" w:space="0" w:color="auto"/>
            </w:tcBorders>
          </w:tcPr>
          <w:p w:rsidR="00A96FB5" w:rsidRPr="00A96FB5" w:rsidRDefault="00815277" w:rsidP="003A55D7">
            <w:pPr>
              <w:jc w:val="center"/>
              <w:rPr>
                <w:sz w:val="22"/>
                <w:szCs w:val="22"/>
              </w:rPr>
            </w:pPr>
            <w:r>
              <w:rPr>
                <w:sz w:val="22"/>
                <w:szCs w:val="22"/>
              </w:rPr>
              <w:t>-</w:t>
            </w:r>
          </w:p>
        </w:tc>
        <w:tc>
          <w:tcPr>
            <w:tcW w:w="1276" w:type="dxa"/>
            <w:tcBorders>
              <w:bottom w:val="single" w:sz="4" w:space="0" w:color="auto"/>
            </w:tcBorders>
          </w:tcPr>
          <w:p w:rsidR="00A96FB5" w:rsidRPr="00A96FB5" w:rsidRDefault="00815277" w:rsidP="003A55D7">
            <w:pPr>
              <w:jc w:val="center"/>
              <w:rPr>
                <w:sz w:val="22"/>
                <w:szCs w:val="22"/>
              </w:rPr>
            </w:pPr>
            <w:r>
              <w:rPr>
                <w:sz w:val="22"/>
                <w:szCs w:val="22"/>
              </w:rPr>
              <w:t>-</w:t>
            </w:r>
          </w:p>
        </w:tc>
        <w:tc>
          <w:tcPr>
            <w:tcW w:w="1418" w:type="dxa"/>
            <w:tcBorders>
              <w:bottom w:val="single" w:sz="4" w:space="0" w:color="auto"/>
            </w:tcBorders>
          </w:tcPr>
          <w:p w:rsidR="00A96FB5" w:rsidRPr="00127376" w:rsidRDefault="00A96FB5" w:rsidP="003A55D7">
            <w:pPr>
              <w:jc w:val="center"/>
              <w:rPr>
                <w:sz w:val="22"/>
                <w:szCs w:val="22"/>
              </w:rPr>
            </w:pPr>
            <w:r w:rsidRPr="00127376">
              <w:rPr>
                <w:sz w:val="22"/>
                <w:szCs w:val="22"/>
              </w:rPr>
              <w:t>35</w:t>
            </w:r>
          </w:p>
        </w:tc>
        <w:tc>
          <w:tcPr>
            <w:tcW w:w="1269" w:type="dxa"/>
            <w:tcBorders>
              <w:bottom w:val="single" w:sz="4" w:space="0" w:color="auto"/>
            </w:tcBorders>
          </w:tcPr>
          <w:p w:rsidR="00A96FB5" w:rsidRPr="00127376" w:rsidRDefault="00815277" w:rsidP="003A55D7">
            <w:pPr>
              <w:jc w:val="center"/>
              <w:rPr>
                <w:sz w:val="22"/>
                <w:szCs w:val="22"/>
              </w:rPr>
            </w:pPr>
            <w:r>
              <w:rPr>
                <w:sz w:val="22"/>
                <w:szCs w:val="22"/>
              </w:rPr>
              <w:t>-</w:t>
            </w:r>
          </w:p>
        </w:tc>
      </w:tr>
      <w:tr w:rsidR="00A96FB5" w:rsidRPr="00091230" w:rsidTr="0049540D">
        <w:trPr>
          <w:trHeight w:val="20"/>
        </w:trPr>
        <w:tc>
          <w:tcPr>
            <w:tcW w:w="562" w:type="dxa"/>
            <w:tcBorders>
              <w:top w:val="single" w:sz="4" w:space="0" w:color="auto"/>
              <w:left w:val="single" w:sz="4" w:space="0" w:color="auto"/>
              <w:bottom w:val="single" w:sz="4" w:space="0" w:color="auto"/>
              <w:right w:val="single" w:sz="4" w:space="0" w:color="auto"/>
            </w:tcBorders>
          </w:tcPr>
          <w:p w:rsidR="00A96FB5" w:rsidRPr="00A96FB5" w:rsidRDefault="00A96FB5" w:rsidP="003A55D7">
            <w:pPr>
              <w:rPr>
                <w:sz w:val="22"/>
                <w:szCs w:val="22"/>
              </w:rPr>
            </w:pPr>
          </w:p>
        </w:tc>
        <w:tc>
          <w:tcPr>
            <w:tcW w:w="4253" w:type="dxa"/>
            <w:tcBorders>
              <w:top w:val="single" w:sz="4" w:space="0" w:color="auto"/>
              <w:left w:val="single" w:sz="4" w:space="0" w:color="auto"/>
              <w:bottom w:val="single" w:sz="4" w:space="0" w:color="auto"/>
              <w:right w:val="single" w:sz="4" w:space="0" w:color="auto"/>
            </w:tcBorders>
          </w:tcPr>
          <w:p w:rsidR="00A96FB5" w:rsidRPr="00A96FB5" w:rsidRDefault="00A96FB5" w:rsidP="003A55D7">
            <w:pPr>
              <w:autoSpaceDE/>
              <w:autoSpaceDN/>
              <w:adjustRightInd/>
              <w:rPr>
                <w:color w:val="000000"/>
                <w:sz w:val="22"/>
                <w:szCs w:val="22"/>
              </w:rPr>
            </w:pPr>
            <w:r w:rsidRPr="00A96FB5">
              <w:rPr>
                <w:color w:val="000000"/>
                <w:sz w:val="22"/>
                <w:szCs w:val="22"/>
              </w:rPr>
              <w:t xml:space="preserve">Всего </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96FB5" w:rsidRPr="00A96FB5" w:rsidRDefault="004C37A1" w:rsidP="003A55D7">
            <w:pPr>
              <w:autoSpaceDE/>
              <w:autoSpaceDN/>
              <w:adjustRightInd/>
              <w:jc w:val="center"/>
              <w:rPr>
                <w:color w:val="000000"/>
                <w:sz w:val="22"/>
                <w:szCs w:val="22"/>
              </w:rPr>
            </w:pPr>
            <w:r w:rsidRPr="002027FA">
              <w:rPr>
                <w:color w:val="000000"/>
                <w:sz w:val="22"/>
                <w:szCs w:val="22"/>
              </w:rPr>
              <w:t>714</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A96FB5" w:rsidRPr="00A96FB5" w:rsidRDefault="00A96FB5" w:rsidP="003A55D7">
            <w:pPr>
              <w:jc w:val="center"/>
              <w:rPr>
                <w:color w:val="000000"/>
                <w:sz w:val="22"/>
                <w:szCs w:val="22"/>
              </w:rPr>
            </w:pPr>
            <w:r w:rsidRPr="00A96FB5">
              <w:rPr>
                <w:color w:val="000000"/>
                <w:sz w:val="22"/>
                <w:szCs w:val="22"/>
              </w:rPr>
              <w:t>143</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A96FB5" w:rsidRPr="00127376" w:rsidRDefault="00A96FB5" w:rsidP="003A55D7">
            <w:pPr>
              <w:jc w:val="center"/>
              <w:rPr>
                <w:color w:val="000000"/>
                <w:sz w:val="22"/>
                <w:szCs w:val="22"/>
              </w:rPr>
            </w:pPr>
            <w:r w:rsidRPr="00127376">
              <w:rPr>
                <w:color w:val="000000"/>
                <w:sz w:val="22"/>
                <w:szCs w:val="22"/>
              </w:rPr>
              <w:t>92</w:t>
            </w:r>
          </w:p>
        </w:tc>
        <w:tc>
          <w:tcPr>
            <w:tcW w:w="1269" w:type="dxa"/>
            <w:tcBorders>
              <w:top w:val="single" w:sz="4" w:space="0" w:color="auto"/>
              <w:left w:val="single" w:sz="4" w:space="0" w:color="auto"/>
              <w:bottom w:val="single" w:sz="4" w:space="0" w:color="auto"/>
              <w:right w:val="single" w:sz="4" w:space="0" w:color="auto"/>
            </w:tcBorders>
            <w:shd w:val="clear" w:color="auto" w:fill="auto"/>
          </w:tcPr>
          <w:p w:rsidR="00A96FB5" w:rsidRPr="00127376" w:rsidRDefault="00A96FB5" w:rsidP="003A55D7">
            <w:pPr>
              <w:jc w:val="center"/>
              <w:rPr>
                <w:color w:val="000000"/>
                <w:sz w:val="22"/>
                <w:szCs w:val="22"/>
              </w:rPr>
            </w:pPr>
            <w:r w:rsidRPr="00127376">
              <w:rPr>
                <w:color w:val="000000"/>
                <w:sz w:val="22"/>
                <w:szCs w:val="22"/>
              </w:rPr>
              <w:t>45</w:t>
            </w:r>
          </w:p>
        </w:tc>
      </w:tr>
    </w:tbl>
    <w:p w:rsidR="004E231B" w:rsidRPr="00091230" w:rsidRDefault="004E231B" w:rsidP="004E231B"/>
    <w:p w:rsidR="004E231B" w:rsidRDefault="004E231B" w:rsidP="00770307">
      <w:pPr>
        <w:ind w:left="8508"/>
        <w:jc w:val="right"/>
        <w:rPr>
          <w:sz w:val="28"/>
          <w:szCs w:val="28"/>
        </w:rPr>
      </w:pPr>
      <w:r w:rsidRPr="001B1953">
        <w:rPr>
          <w:sz w:val="28"/>
          <w:szCs w:val="28"/>
        </w:rPr>
        <w:t xml:space="preserve">Таблица </w:t>
      </w:r>
      <w:r w:rsidR="000D184E" w:rsidRPr="001B1953">
        <w:rPr>
          <w:sz w:val="28"/>
          <w:szCs w:val="28"/>
        </w:rPr>
        <w:t>2</w:t>
      </w:r>
      <w:r w:rsidR="00A96FB5" w:rsidRPr="001B1953">
        <w:rPr>
          <w:sz w:val="28"/>
          <w:szCs w:val="28"/>
        </w:rPr>
        <w:t>1</w:t>
      </w:r>
    </w:p>
    <w:p w:rsidR="003A55D7" w:rsidRDefault="003A55D7" w:rsidP="004E231B">
      <w:pPr>
        <w:ind w:left="8508"/>
        <w:rPr>
          <w:sz w:val="28"/>
          <w:szCs w:val="28"/>
        </w:rPr>
      </w:pPr>
    </w:p>
    <w:p w:rsidR="003A55D7" w:rsidRDefault="001B1953" w:rsidP="001B1953">
      <w:pPr>
        <w:jc w:val="center"/>
        <w:rPr>
          <w:sz w:val="28"/>
          <w:szCs w:val="28"/>
        </w:rPr>
      </w:pPr>
      <w:r>
        <w:rPr>
          <w:sz w:val="28"/>
          <w:szCs w:val="28"/>
        </w:rPr>
        <w:t xml:space="preserve">Количество пациенто-мест дневного стационара для оказания помощи пациентам </w:t>
      </w:r>
    </w:p>
    <w:p w:rsidR="001B1953" w:rsidRPr="00127376" w:rsidRDefault="001B1953" w:rsidP="001B1953">
      <w:pPr>
        <w:jc w:val="center"/>
        <w:rPr>
          <w:sz w:val="28"/>
          <w:szCs w:val="28"/>
        </w:rPr>
      </w:pPr>
      <w:r>
        <w:rPr>
          <w:sz w:val="28"/>
          <w:szCs w:val="28"/>
        </w:rPr>
        <w:t>с онкологическими заболеваниями</w:t>
      </w:r>
    </w:p>
    <w:p w:rsidR="004E231B" w:rsidRPr="00127376" w:rsidRDefault="004E231B" w:rsidP="004E231B">
      <w:pPr>
        <w:ind w:left="8508"/>
        <w:rPr>
          <w:sz w:val="28"/>
          <w:szCs w:val="28"/>
        </w:rPr>
      </w:pPr>
    </w:p>
    <w:tbl>
      <w:tblPr>
        <w:tblStyle w:val="af1"/>
        <w:tblW w:w="0" w:type="auto"/>
        <w:tblLayout w:type="fixed"/>
        <w:tblLook w:val="04A0" w:firstRow="1" w:lastRow="0" w:firstColumn="1" w:lastColumn="0" w:noHBand="0" w:noVBand="1"/>
      </w:tblPr>
      <w:tblGrid>
        <w:gridCol w:w="563"/>
        <w:gridCol w:w="2267"/>
        <w:gridCol w:w="1134"/>
        <w:gridCol w:w="1276"/>
        <w:gridCol w:w="1276"/>
        <w:gridCol w:w="1276"/>
        <w:gridCol w:w="1275"/>
        <w:gridCol w:w="1123"/>
      </w:tblGrid>
      <w:tr w:rsidR="004E231B" w:rsidRPr="00127376" w:rsidTr="003A55D7">
        <w:trPr>
          <w:trHeight w:val="20"/>
        </w:trPr>
        <w:tc>
          <w:tcPr>
            <w:tcW w:w="563" w:type="dxa"/>
            <w:vMerge w:val="restart"/>
            <w:tcBorders>
              <w:bottom w:val="nil"/>
            </w:tcBorders>
          </w:tcPr>
          <w:p w:rsidR="004E231B" w:rsidRPr="00127376" w:rsidRDefault="004E231B" w:rsidP="003A55D7">
            <w:pPr>
              <w:jc w:val="center"/>
            </w:pPr>
            <w:r w:rsidRPr="00127376">
              <w:t>№ п/п</w:t>
            </w:r>
          </w:p>
        </w:tc>
        <w:tc>
          <w:tcPr>
            <w:tcW w:w="2267" w:type="dxa"/>
            <w:vMerge w:val="restart"/>
            <w:tcBorders>
              <w:bottom w:val="nil"/>
            </w:tcBorders>
          </w:tcPr>
          <w:p w:rsidR="004E231B" w:rsidRPr="00127376" w:rsidRDefault="004E231B" w:rsidP="003A55D7">
            <w:pPr>
              <w:jc w:val="center"/>
            </w:pPr>
            <w:r w:rsidRPr="00127376">
              <w:t>Наименование медицинской организации</w:t>
            </w:r>
          </w:p>
        </w:tc>
        <w:tc>
          <w:tcPr>
            <w:tcW w:w="2410" w:type="dxa"/>
            <w:gridSpan w:val="2"/>
            <w:tcBorders>
              <w:bottom w:val="single" w:sz="4" w:space="0" w:color="auto"/>
            </w:tcBorders>
          </w:tcPr>
          <w:p w:rsidR="004E231B" w:rsidRPr="00127376" w:rsidRDefault="004E231B" w:rsidP="003A55D7">
            <w:pPr>
              <w:jc w:val="center"/>
            </w:pPr>
            <w:r w:rsidRPr="00127376">
              <w:t xml:space="preserve">Пациенто-места по профилю </w:t>
            </w:r>
            <w:r w:rsidR="002F7358" w:rsidRPr="00127376">
              <w:t>«</w:t>
            </w:r>
            <w:r w:rsidRPr="00127376">
              <w:t>онкология</w:t>
            </w:r>
            <w:r w:rsidR="002F7358" w:rsidRPr="00127376">
              <w:t>»</w:t>
            </w:r>
          </w:p>
        </w:tc>
        <w:tc>
          <w:tcPr>
            <w:tcW w:w="2552" w:type="dxa"/>
            <w:gridSpan w:val="2"/>
            <w:tcBorders>
              <w:bottom w:val="single" w:sz="4" w:space="0" w:color="auto"/>
            </w:tcBorders>
          </w:tcPr>
          <w:p w:rsidR="004E231B" w:rsidRPr="00127376" w:rsidRDefault="004E231B" w:rsidP="003A55D7">
            <w:pPr>
              <w:jc w:val="center"/>
            </w:pPr>
            <w:r w:rsidRPr="00127376">
              <w:t xml:space="preserve">Пациенто-места по профилю </w:t>
            </w:r>
            <w:r w:rsidR="002F7358" w:rsidRPr="00127376">
              <w:t>«</w:t>
            </w:r>
            <w:r w:rsidRPr="00127376">
              <w:t>радиология</w:t>
            </w:r>
            <w:r w:rsidR="002F7358" w:rsidRPr="00127376">
              <w:t>»</w:t>
            </w:r>
          </w:p>
        </w:tc>
        <w:tc>
          <w:tcPr>
            <w:tcW w:w="2398" w:type="dxa"/>
            <w:gridSpan w:val="2"/>
            <w:tcBorders>
              <w:bottom w:val="single" w:sz="4" w:space="0" w:color="auto"/>
            </w:tcBorders>
          </w:tcPr>
          <w:p w:rsidR="004E231B" w:rsidRPr="00127376" w:rsidRDefault="004E231B" w:rsidP="003A55D7">
            <w:pPr>
              <w:jc w:val="center"/>
            </w:pPr>
            <w:r w:rsidRPr="00127376">
              <w:t xml:space="preserve">Пациенто-места по профилю </w:t>
            </w:r>
            <w:r w:rsidR="002F7358" w:rsidRPr="00127376">
              <w:t>«</w:t>
            </w:r>
            <w:r w:rsidRPr="00127376">
              <w:t>гематология</w:t>
            </w:r>
            <w:r w:rsidR="002F7358" w:rsidRPr="00127376">
              <w:t>»</w:t>
            </w:r>
          </w:p>
        </w:tc>
      </w:tr>
      <w:tr w:rsidR="004E231B" w:rsidRPr="00127376" w:rsidTr="003A55D7">
        <w:trPr>
          <w:trHeight w:val="20"/>
        </w:trPr>
        <w:tc>
          <w:tcPr>
            <w:tcW w:w="563" w:type="dxa"/>
            <w:vMerge/>
            <w:tcBorders>
              <w:bottom w:val="nil"/>
            </w:tcBorders>
          </w:tcPr>
          <w:p w:rsidR="004E231B" w:rsidRPr="00127376" w:rsidRDefault="004E231B" w:rsidP="003A55D7">
            <w:pPr>
              <w:jc w:val="center"/>
            </w:pPr>
          </w:p>
        </w:tc>
        <w:tc>
          <w:tcPr>
            <w:tcW w:w="2267" w:type="dxa"/>
            <w:vMerge/>
            <w:tcBorders>
              <w:bottom w:val="nil"/>
            </w:tcBorders>
          </w:tcPr>
          <w:p w:rsidR="004E231B" w:rsidRPr="00127376" w:rsidRDefault="004E231B" w:rsidP="003A55D7">
            <w:pPr>
              <w:jc w:val="center"/>
            </w:pPr>
          </w:p>
        </w:tc>
        <w:tc>
          <w:tcPr>
            <w:tcW w:w="1134" w:type="dxa"/>
            <w:tcBorders>
              <w:bottom w:val="nil"/>
            </w:tcBorders>
          </w:tcPr>
          <w:p w:rsidR="004E231B" w:rsidRPr="00127376" w:rsidRDefault="003A55D7" w:rsidP="003A55D7">
            <w:pPr>
              <w:jc w:val="center"/>
            </w:pPr>
            <w:r>
              <w:t>к</w:t>
            </w:r>
            <w:r w:rsidR="004E231B" w:rsidRPr="00127376">
              <w:t>оличество</w:t>
            </w:r>
          </w:p>
        </w:tc>
        <w:tc>
          <w:tcPr>
            <w:tcW w:w="1276" w:type="dxa"/>
            <w:tcBorders>
              <w:bottom w:val="nil"/>
            </w:tcBorders>
          </w:tcPr>
          <w:p w:rsidR="004E231B" w:rsidRPr="00127376" w:rsidRDefault="003A55D7" w:rsidP="003A55D7">
            <w:pPr>
              <w:jc w:val="center"/>
            </w:pPr>
            <w:r>
              <w:t>с</w:t>
            </w:r>
            <w:r w:rsidR="004E231B" w:rsidRPr="00127376">
              <w:t>менность</w:t>
            </w:r>
          </w:p>
        </w:tc>
        <w:tc>
          <w:tcPr>
            <w:tcW w:w="1276" w:type="dxa"/>
            <w:tcBorders>
              <w:bottom w:val="nil"/>
            </w:tcBorders>
          </w:tcPr>
          <w:p w:rsidR="004E231B" w:rsidRPr="00127376" w:rsidRDefault="003A55D7" w:rsidP="003A55D7">
            <w:pPr>
              <w:jc w:val="center"/>
            </w:pPr>
            <w:r>
              <w:t>к</w:t>
            </w:r>
            <w:r w:rsidR="004E231B" w:rsidRPr="00127376">
              <w:t>оличество</w:t>
            </w:r>
          </w:p>
        </w:tc>
        <w:tc>
          <w:tcPr>
            <w:tcW w:w="1276" w:type="dxa"/>
            <w:tcBorders>
              <w:bottom w:val="nil"/>
            </w:tcBorders>
          </w:tcPr>
          <w:p w:rsidR="004E231B" w:rsidRPr="00127376" w:rsidRDefault="003A55D7" w:rsidP="003A55D7">
            <w:pPr>
              <w:jc w:val="center"/>
            </w:pPr>
            <w:r>
              <w:t>с</w:t>
            </w:r>
            <w:r w:rsidR="004E231B" w:rsidRPr="00127376">
              <w:t>менность</w:t>
            </w:r>
          </w:p>
        </w:tc>
        <w:tc>
          <w:tcPr>
            <w:tcW w:w="1275" w:type="dxa"/>
            <w:tcBorders>
              <w:bottom w:val="nil"/>
            </w:tcBorders>
          </w:tcPr>
          <w:p w:rsidR="004E231B" w:rsidRPr="00127376" w:rsidRDefault="003A55D7" w:rsidP="003A55D7">
            <w:pPr>
              <w:jc w:val="center"/>
            </w:pPr>
            <w:r>
              <w:t>к</w:t>
            </w:r>
            <w:r w:rsidR="004E231B" w:rsidRPr="00127376">
              <w:t>оличество</w:t>
            </w:r>
          </w:p>
        </w:tc>
        <w:tc>
          <w:tcPr>
            <w:tcW w:w="1123" w:type="dxa"/>
            <w:tcBorders>
              <w:bottom w:val="nil"/>
            </w:tcBorders>
          </w:tcPr>
          <w:p w:rsidR="004E231B" w:rsidRPr="00127376" w:rsidRDefault="003A55D7" w:rsidP="003A55D7">
            <w:pPr>
              <w:jc w:val="center"/>
            </w:pPr>
            <w:r>
              <w:t>с</w:t>
            </w:r>
            <w:r w:rsidR="004E231B" w:rsidRPr="00127376">
              <w:t>менность</w:t>
            </w:r>
          </w:p>
        </w:tc>
      </w:tr>
    </w:tbl>
    <w:p w:rsidR="003A55D7" w:rsidRPr="003A55D7" w:rsidRDefault="003A55D7">
      <w:pPr>
        <w:rPr>
          <w:sz w:val="2"/>
          <w:szCs w:val="2"/>
        </w:rPr>
      </w:pPr>
    </w:p>
    <w:tbl>
      <w:tblPr>
        <w:tblStyle w:val="af1"/>
        <w:tblW w:w="0" w:type="auto"/>
        <w:tblLayout w:type="fixed"/>
        <w:tblLook w:val="04A0" w:firstRow="1" w:lastRow="0" w:firstColumn="1" w:lastColumn="0" w:noHBand="0" w:noVBand="1"/>
      </w:tblPr>
      <w:tblGrid>
        <w:gridCol w:w="563"/>
        <w:gridCol w:w="2267"/>
        <w:gridCol w:w="1134"/>
        <w:gridCol w:w="1276"/>
        <w:gridCol w:w="1276"/>
        <w:gridCol w:w="1276"/>
        <w:gridCol w:w="1275"/>
        <w:gridCol w:w="1123"/>
      </w:tblGrid>
      <w:tr w:rsidR="004E231B" w:rsidRPr="00127376" w:rsidTr="003A55D7">
        <w:trPr>
          <w:trHeight w:val="20"/>
          <w:tblHeader/>
        </w:trPr>
        <w:tc>
          <w:tcPr>
            <w:tcW w:w="563" w:type="dxa"/>
          </w:tcPr>
          <w:p w:rsidR="004E231B" w:rsidRPr="00127376" w:rsidRDefault="004E231B" w:rsidP="003A55D7">
            <w:pPr>
              <w:jc w:val="center"/>
            </w:pPr>
            <w:r w:rsidRPr="00127376">
              <w:t>1</w:t>
            </w:r>
          </w:p>
        </w:tc>
        <w:tc>
          <w:tcPr>
            <w:tcW w:w="2267" w:type="dxa"/>
          </w:tcPr>
          <w:p w:rsidR="004E231B" w:rsidRPr="00127376" w:rsidRDefault="004E231B" w:rsidP="003A55D7">
            <w:pPr>
              <w:autoSpaceDE/>
              <w:autoSpaceDN/>
              <w:adjustRightInd/>
              <w:jc w:val="center"/>
              <w:rPr>
                <w:color w:val="000000"/>
              </w:rPr>
            </w:pPr>
            <w:r w:rsidRPr="00127376">
              <w:rPr>
                <w:color w:val="000000"/>
              </w:rPr>
              <w:t>2</w:t>
            </w:r>
          </w:p>
        </w:tc>
        <w:tc>
          <w:tcPr>
            <w:tcW w:w="1134" w:type="dxa"/>
          </w:tcPr>
          <w:p w:rsidR="004E231B" w:rsidRPr="00127376" w:rsidRDefault="004E231B" w:rsidP="003A55D7">
            <w:pPr>
              <w:jc w:val="center"/>
            </w:pPr>
            <w:r w:rsidRPr="00127376">
              <w:t>3</w:t>
            </w:r>
          </w:p>
        </w:tc>
        <w:tc>
          <w:tcPr>
            <w:tcW w:w="1276" w:type="dxa"/>
          </w:tcPr>
          <w:p w:rsidR="004E231B" w:rsidRPr="00127376" w:rsidRDefault="004E231B" w:rsidP="003A55D7">
            <w:pPr>
              <w:jc w:val="center"/>
            </w:pPr>
            <w:r w:rsidRPr="00127376">
              <w:t>4</w:t>
            </w:r>
          </w:p>
        </w:tc>
        <w:tc>
          <w:tcPr>
            <w:tcW w:w="1276" w:type="dxa"/>
          </w:tcPr>
          <w:p w:rsidR="004E231B" w:rsidRPr="00127376" w:rsidRDefault="004E231B" w:rsidP="003A55D7">
            <w:pPr>
              <w:jc w:val="center"/>
            </w:pPr>
            <w:r w:rsidRPr="00127376">
              <w:t>5</w:t>
            </w:r>
          </w:p>
        </w:tc>
        <w:tc>
          <w:tcPr>
            <w:tcW w:w="1276" w:type="dxa"/>
          </w:tcPr>
          <w:p w:rsidR="004E231B" w:rsidRPr="00127376" w:rsidRDefault="004E231B" w:rsidP="003A55D7">
            <w:pPr>
              <w:jc w:val="center"/>
            </w:pPr>
            <w:r w:rsidRPr="00127376">
              <w:t>6</w:t>
            </w:r>
          </w:p>
        </w:tc>
        <w:tc>
          <w:tcPr>
            <w:tcW w:w="1275" w:type="dxa"/>
          </w:tcPr>
          <w:p w:rsidR="004E231B" w:rsidRPr="00127376" w:rsidRDefault="004E231B" w:rsidP="003A55D7">
            <w:pPr>
              <w:jc w:val="center"/>
            </w:pPr>
            <w:r w:rsidRPr="00127376">
              <w:t>7</w:t>
            </w:r>
          </w:p>
        </w:tc>
        <w:tc>
          <w:tcPr>
            <w:tcW w:w="1123" w:type="dxa"/>
          </w:tcPr>
          <w:p w:rsidR="004E231B" w:rsidRPr="00127376" w:rsidRDefault="004E231B" w:rsidP="003A55D7">
            <w:pPr>
              <w:jc w:val="center"/>
            </w:pPr>
            <w:r w:rsidRPr="00127376">
              <w:t>8</w:t>
            </w:r>
          </w:p>
        </w:tc>
      </w:tr>
      <w:tr w:rsidR="004E231B" w:rsidRPr="00127376" w:rsidTr="005A7FF7">
        <w:trPr>
          <w:trHeight w:val="20"/>
        </w:trPr>
        <w:tc>
          <w:tcPr>
            <w:tcW w:w="563" w:type="dxa"/>
          </w:tcPr>
          <w:p w:rsidR="004E231B" w:rsidRPr="00127376" w:rsidRDefault="004E231B" w:rsidP="003A55D7">
            <w:pPr>
              <w:jc w:val="center"/>
            </w:pPr>
            <w:r w:rsidRPr="00127376">
              <w:t>1</w:t>
            </w:r>
            <w:r w:rsidR="001B2339">
              <w:t>.</w:t>
            </w:r>
          </w:p>
        </w:tc>
        <w:tc>
          <w:tcPr>
            <w:tcW w:w="2267" w:type="dxa"/>
          </w:tcPr>
          <w:p w:rsidR="004E231B" w:rsidRPr="00127376" w:rsidRDefault="003A55D7" w:rsidP="003A55D7">
            <w:pPr>
              <w:autoSpaceDE/>
              <w:autoSpaceDN/>
              <w:adjustRightInd/>
              <w:ind w:left="-28"/>
              <w:jc w:val="both"/>
            </w:pPr>
            <w:r>
              <w:rPr>
                <w:rFonts w:eastAsia="Arial"/>
              </w:rPr>
              <w:t xml:space="preserve">ГАУЗ «РКОД МЗ РТ </w:t>
            </w:r>
            <w:r w:rsidR="005752DD" w:rsidRPr="00127376">
              <w:rPr>
                <w:rFonts w:eastAsia="Arial"/>
              </w:rPr>
              <w:t>им.проф.М.З.Сигала»</w:t>
            </w:r>
          </w:p>
        </w:tc>
        <w:tc>
          <w:tcPr>
            <w:tcW w:w="1134" w:type="dxa"/>
          </w:tcPr>
          <w:p w:rsidR="004E231B" w:rsidRPr="002027FA" w:rsidRDefault="004E231B" w:rsidP="00242C89">
            <w:pPr>
              <w:jc w:val="center"/>
            </w:pPr>
            <w:r w:rsidRPr="002027FA">
              <w:t>1</w:t>
            </w:r>
            <w:r w:rsidR="00242C89" w:rsidRPr="002027FA">
              <w:t>87</w:t>
            </w:r>
          </w:p>
        </w:tc>
        <w:tc>
          <w:tcPr>
            <w:tcW w:w="1276" w:type="dxa"/>
          </w:tcPr>
          <w:p w:rsidR="004E231B" w:rsidRPr="00127376" w:rsidRDefault="004E231B" w:rsidP="003A55D7">
            <w:pPr>
              <w:jc w:val="center"/>
            </w:pPr>
            <w:r w:rsidRPr="00127376">
              <w:t>2,99</w:t>
            </w:r>
          </w:p>
        </w:tc>
        <w:tc>
          <w:tcPr>
            <w:tcW w:w="1276" w:type="dxa"/>
          </w:tcPr>
          <w:p w:rsidR="004E231B" w:rsidRPr="00127376" w:rsidRDefault="004E231B" w:rsidP="003A55D7">
            <w:pPr>
              <w:jc w:val="center"/>
            </w:pPr>
            <w:r w:rsidRPr="00127376">
              <w:t>125</w:t>
            </w:r>
          </w:p>
        </w:tc>
        <w:tc>
          <w:tcPr>
            <w:tcW w:w="1276" w:type="dxa"/>
          </w:tcPr>
          <w:p w:rsidR="004E231B" w:rsidRPr="00127376" w:rsidRDefault="004E231B" w:rsidP="003A55D7">
            <w:pPr>
              <w:jc w:val="center"/>
            </w:pPr>
            <w:r w:rsidRPr="00127376">
              <w:t>2,0</w:t>
            </w:r>
          </w:p>
        </w:tc>
        <w:tc>
          <w:tcPr>
            <w:tcW w:w="1275" w:type="dxa"/>
          </w:tcPr>
          <w:p w:rsidR="004E231B" w:rsidRPr="00127376" w:rsidRDefault="005A7FF7" w:rsidP="005A7FF7">
            <w:pPr>
              <w:jc w:val="center"/>
            </w:pPr>
            <w:r>
              <w:t>-</w:t>
            </w:r>
          </w:p>
        </w:tc>
        <w:tc>
          <w:tcPr>
            <w:tcW w:w="1123" w:type="dxa"/>
          </w:tcPr>
          <w:p w:rsidR="004E231B" w:rsidRPr="00127376" w:rsidRDefault="005A7FF7" w:rsidP="005A7FF7">
            <w:pPr>
              <w:jc w:val="center"/>
            </w:pPr>
            <w:r>
              <w:t>-</w:t>
            </w:r>
          </w:p>
        </w:tc>
      </w:tr>
      <w:tr w:rsidR="004E231B" w:rsidRPr="00127376" w:rsidTr="005A7FF7">
        <w:trPr>
          <w:trHeight w:val="20"/>
        </w:trPr>
        <w:tc>
          <w:tcPr>
            <w:tcW w:w="563" w:type="dxa"/>
          </w:tcPr>
          <w:p w:rsidR="004E231B" w:rsidRPr="00127376" w:rsidRDefault="004E231B" w:rsidP="003A55D7">
            <w:pPr>
              <w:jc w:val="center"/>
            </w:pPr>
            <w:r w:rsidRPr="00127376">
              <w:t>2</w:t>
            </w:r>
            <w:r w:rsidR="001B2339">
              <w:t>.</w:t>
            </w:r>
          </w:p>
        </w:tc>
        <w:tc>
          <w:tcPr>
            <w:tcW w:w="2267" w:type="dxa"/>
          </w:tcPr>
          <w:p w:rsidR="004E231B" w:rsidRPr="00127376" w:rsidRDefault="004E231B" w:rsidP="003A55D7">
            <w:pPr>
              <w:autoSpaceDE/>
              <w:autoSpaceDN/>
              <w:adjustRightInd/>
              <w:ind w:left="-28"/>
              <w:jc w:val="both"/>
            </w:pPr>
            <w:r w:rsidRPr="00127376">
              <w:rPr>
                <w:color w:val="000000"/>
              </w:rPr>
              <w:t xml:space="preserve">ГАУЗ </w:t>
            </w:r>
            <w:r w:rsidR="002F7358" w:rsidRPr="00127376">
              <w:rPr>
                <w:color w:val="000000"/>
              </w:rPr>
              <w:t>«</w:t>
            </w:r>
            <w:r w:rsidRPr="00127376">
              <w:rPr>
                <w:color w:val="000000"/>
              </w:rPr>
              <w:t>Нижнекамская центральная районная многопрофильная больница</w:t>
            </w:r>
            <w:r w:rsidR="002F7358" w:rsidRPr="00127376">
              <w:rPr>
                <w:color w:val="000000"/>
              </w:rPr>
              <w:t>»</w:t>
            </w:r>
            <w:r w:rsidRPr="00127376">
              <w:rPr>
                <w:color w:val="000000"/>
              </w:rPr>
              <w:t xml:space="preserve"> </w:t>
            </w:r>
          </w:p>
        </w:tc>
        <w:tc>
          <w:tcPr>
            <w:tcW w:w="1134" w:type="dxa"/>
          </w:tcPr>
          <w:p w:rsidR="004E231B" w:rsidRPr="002027FA" w:rsidRDefault="004C37A1" w:rsidP="004C37A1">
            <w:pPr>
              <w:jc w:val="center"/>
            </w:pPr>
            <w:r w:rsidRPr="002027FA">
              <w:t>25</w:t>
            </w:r>
          </w:p>
        </w:tc>
        <w:tc>
          <w:tcPr>
            <w:tcW w:w="1276" w:type="dxa"/>
          </w:tcPr>
          <w:p w:rsidR="004E231B" w:rsidRPr="00127376" w:rsidRDefault="005A7FF7" w:rsidP="005A7FF7">
            <w:pPr>
              <w:jc w:val="center"/>
            </w:pPr>
            <w:r>
              <w:t>2,0</w:t>
            </w:r>
          </w:p>
        </w:tc>
        <w:tc>
          <w:tcPr>
            <w:tcW w:w="1276" w:type="dxa"/>
          </w:tcPr>
          <w:p w:rsidR="004E231B" w:rsidRPr="00127376" w:rsidRDefault="005A7FF7" w:rsidP="005A7FF7">
            <w:pPr>
              <w:jc w:val="center"/>
            </w:pPr>
            <w:r>
              <w:t>-</w:t>
            </w:r>
          </w:p>
        </w:tc>
        <w:tc>
          <w:tcPr>
            <w:tcW w:w="1276" w:type="dxa"/>
          </w:tcPr>
          <w:p w:rsidR="004E231B" w:rsidRPr="00127376" w:rsidRDefault="005A7FF7" w:rsidP="005A7FF7">
            <w:pPr>
              <w:jc w:val="center"/>
            </w:pPr>
            <w:r>
              <w:t>-</w:t>
            </w:r>
          </w:p>
        </w:tc>
        <w:tc>
          <w:tcPr>
            <w:tcW w:w="1275" w:type="dxa"/>
          </w:tcPr>
          <w:p w:rsidR="004E231B" w:rsidRPr="00127376" w:rsidRDefault="005A7FF7" w:rsidP="005A7FF7">
            <w:pPr>
              <w:jc w:val="center"/>
            </w:pPr>
            <w:r>
              <w:t>-</w:t>
            </w:r>
          </w:p>
        </w:tc>
        <w:tc>
          <w:tcPr>
            <w:tcW w:w="1123" w:type="dxa"/>
          </w:tcPr>
          <w:p w:rsidR="004E231B" w:rsidRPr="00127376" w:rsidRDefault="005A7FF7" w:rsidP="005A7FF7">
            <w:pPr>
              <w:jc w:val="center"/>
            </w:pPr>
            <w:r>
              <w:t>-</w:t>
            </w:r>
          </w:p>
        </w:tc>
      </w:tr>
      <w:tr w:rsidR="005752DD" w:rsidRPr="00127376" w:rsidTr="005A7FF7">
        <w:trPr>
          <w:trHeight w:val="20"/>
        </w:trPr>
        <w:tc>
          <w:tcPr>
            <w:tcW w:w="563" w:type="dxa"/>
          </w:tcPr>
          <w:p w:rsidR="005752DD" w:rsidRPr="00127376" w:rsidRDefault="00A63A79" w:rsidP="001B2339">
            <w:pPr>
              <w:ind w:left="-57" w:right="-57"/>
              <w:jc w:val="center"/>
            </w:pPr>
            <w:r>
              <w:t>2.1</w:t>
            </w:r>
            <w:r w:rsidR="001B2339">
              <w:t>.</w:t>
            </w:r>
          </w:p>
        </w:tc>
        <w:tc>
          <w:tcPr>
            <w:tcW w:w="2267" w:type="dxa"/>
          </w:tcPr>
          <w:p w:rsidR="005752DD" w:rsidRPr="00DD2282" w:rsidRDefault="005752DD" w:rsidP="00DD2282">
            <w:pPr>
              <w:autoSpaceDE/>
              <w:autoSpaceDN/>
              <w:adjustRightInd/>
              <w:ind w:left="-28"/>
              <w:jc w:val="both"/>
              <w:rPr>
                <w:color w:val="000000"/>
              </w:rPr>
            </w:pPr>
            <w:r w:rsidRPr="00DD2282">
              <w:rPr>
                <w:color w:val="000000"/>
              </w:rPr>
              <w:t xml:space="preserve">в том числе дневной стационар противоопухолевой лекарственной терапии при </w:t>
            </w:r>
            <w:r w:rsidR="00DD2282" w:rsidRPr="00DD2282">
              <w:t>центре амбулаторной онкологической помощи</w:t>
            </w:r>
          </w:p>
        </w:tc>
        <w:tc>
          <w:tcPr>
            <w:tcW w:w="1134" w:type="dxa"/>
          </w:tcPr>
          <w:p w:rsidR="005752DD" w:rsidRPr="002027FA" w:rsidRDefault="004C37A1" w:rsidP="004C37A1">
            <w:pPr>
              <w:jc w:val="center"/>
            </w:pPr>
            <w:r w:rsidRPr="002027FA">
              <w:t>0</w:t>
            </w:r>
          </w:p>
        </w:tc>
        <w:tc>
          <w:tcPr>
            <w:tcW w:w="1276" w:type="dxa"/>
          </w:tcPr>
          <w:p w:rsidR="005752DD" w:rsidRPr="00127376" w:rsidRDefault="002027FA" w:rsidP="003A55D7">
            <w:pPr>
              <w:jc w:val="center"/>
            </w:pPr>
            <w:r>
              <w:t>0</w:t>
            </w:r>
          </w:p>
        </w:tc>
        <w:tc>
          <w:tcPr>
            <w:tcW w:w="1276" w:type="dxa"/>
          </w:tcPr>
          <w:p w:rsidR="005752DD" w:rsidRPr="00127376" w:rsidRDefault="005A7FF7" w:rsidP="005A7FF7">
            <w:pPr>
              <w:jc w:val="center"/>
            </w:pPr>
            <w:r>
              <w:t>-</w:t>
            </w:r>
          </w:p>
        </w:tc>
        <w:tc>
          <w:tcPr>
            <w:tcW w:w="1276" w:type="dxa"/>
          </w:tcPr>
          <w:p w:rsidR="005752DD" w:rsidRPr="00127376" w:rsidRDefault="005A7FF7" w:rsidP="005A7FF7">
            <w:pPr>
              <w:jc w:val="center"/>
            </w:pPr>
            <w:r>
              <w:t>-</w:t>
            </w:r>
          </w:p>
        </w:tc>
        <w:tc>
          <w:tcPr>
            <w:tcW w:w="1275" w:type="dxa"/>
          </w:tcPr>
          <w:p w:rsidR="005752DD" w:rsidRPr="00127376" w:rsidRDefault="005A7FF7" w:rsidP="005A7FF7">
            <w:pPr>
              <w:jc w:val="center"/>
            </w:pPr>
            <w:r>
              <w:t>-</w:t>
            </w:r>
          </w:p>
        </w:tc>
        <w:tc>
          <w:tcPr>
            <w:tcW w:w="1123" w:type="dxa"/>
          </w:tcPr>
          <w:p w:rsidR="005752DD" w:rsidRPr="00127376" w:rsidRDefault="005A7FF7" w:rsidP="005A7FF7">
            <w:pPr>
              <w:jc w:val="center"/>
            </w:pPr>
            <w:r>
              <w:t>-</w:t>
            </w:r>
          </w:p>
        </w:tc>
      </w:tr>
      <w:tr w:rsidR="005752DD" w:rsidRPr="00127376" w:rsidTr="005A7FF7">
        <w:trPr>
          <w:trHeight w:val="20"/>
        </w:trPr>
        <w:tc>
          <w:tcPr>
            <w:tcW w:w="563" w:type="dxa"/>
          </w:tcPr>
          <w:p w:rsidR="005752DD" w:rsidRPr="00127376" w:rsidRDefault="005752DD" w:rsidP="003A55D7">
            <w:pPr>
              <w:jc w:val="center"/>
            </w:pPr>
            <w:r w:rsidRPr="00127376">
              <w:t>3</w:t>
            </w:r>
            <w:r w:rsidR="001B2339">
              <w:t>.</w:t>
            </w:r>
          </w:p>
        </w:tc>
        <w:tc>
          <w:tcPr>
            <w:tcW w:w="2267" w:type="dxa"/>
          </w:tcPr>
          <w:p w:rsidR="005752DD" w:rsidRPr="00127376" w:rsidRDefault="005752DD" w:rsidP="003A55D7">
            <w:pPr>
              <w:autoSpaceDE/>
              <w:autoSpaceDN/>
              <w:adjustRightInd/>
              <w:ind w:left="-28"/>
              <w:jc w:val="both"/>
            </w:pPr>
            <w:r w:rsidRPr="00127376">
              <w:rPr>
                <w:color w:val="000000"/>
              </w:rPr>
              <w:t xml:space="preserve">ГАУЗ «Зеленодольская ЦРБ» </w:t>
            </w:r>
          </w:p>
        </w:tc>
        <w:tc>
          <w:tcPr>
            <w:tcW w:w="1134" w:type="dxa"/>
          </w:tcPr>
          <w:p w:rsidR="005752DD" w:rsidRPr="002027FA" w:rsidRDefault="005752DD" w:rsidP="003A55D7">
            <w:pPr>
              <w:jc w:val="center"/>
            </w:pPr>
            <w:r w:rsidRPr="002027FA">
              <w:t>25</w:t>
            </w:r>
          </w:p>
        </w:tc>
        <w:tc>
          <w:tcPr>
            <w:tcW w:w="1276" w:type="dxa"/>
          </w:tcPr>
          <w:p w:rsidR="005752DD" w:rsidRPr="00127376" w:rsidRDefault="005752DD" w:rsidP="003A55D7">
            <w:pPr>
              <w:jc w:val="center"/>
            </w:pPr>
            <w:r w:rsidRPr="00127376">
              <w:t>2,0</w:t>
            </w:r>
          </w:p>
        </w:tc>
        <w:tc>
          <w:tcPr>
            <w:tcW w:w="1276" w:type="dxa"/>
          </w:tcPr>
          <w:p w:rsidR="005752DD" w:rsidRPr="00127376" w:rsidRDefault="005A7FF7" w:rsidP="005A7FF7">
            <w:pPr>
              <w:jc w:val="center"/>
            </w:pPr>
            <w:r>
              <w:t>-</w:t>
            </w:r>
          </w:p>
        </w:tc>
        <w:tc>
          <w:tcPr>
            <w:tcW w:w="1276" w:type="dxa"/>
          </w:tcPr>
          <w:p w:rsidR="005752DD" w:rsidRPr="00127376" w:rsidRDefault="005A7FF7" w:rsidP="005A7FF7">
            <w:pPr>
              <w:jc w:val="center"/>
            </w:pPr>
            <w:r>
              <w:t>-</w:t>
            </w:r>
          </w:p>
        </w:tc>
        <w:tc>
          <w:tcPr>
            <w:tcW w:w="1275" w:type="dxa"/>
          </w:tcPr>
          <w:p w:rsidR="005752DD" w:rsidRPr="00127376" w:rsidRDefault="005A7FF7" w:rsidP="005A7FF7">
            <w:pPr>
              <w:jc w:val="center"/>
            </w:pPr>
            <w:r>
              <w:t>-</w:t>
            </w:r>
          </w:p>
        </w:tc>
        <w:tc>
          <w:tcPr>
            <w:tcW w:w="1123" w:type="dxa"/>
          </w:tcPr>
          <w:p w:rsidR="005752DD" w:rsidRPr="00127376" w:rsidRDefault="005A7FF7" w:rsidP="005A7FF7">
            <w:pPr>
              <w:jc w:val="center"/>
            </w:pPr>
            <w:r>
              <w:t>-</w:t>
            </w:r>
          </w:p>
        </w:tc>
      </w:tr>
      <w:tr w:rsidR="005752DD" w:rsidRPr="00127376" w:rsidTr="005A7FF7">
        <w:trPr>
          <w:trHeight w:val="20"/>
        </w:trPr>
        <w:tc>
          <w:tcPr>
            <w:tcW w:w="563" w:type="dxa"/>
          </w:tcPr>
          <w:p w:rsidR="005752DD" w:rsidRPr="00127376" w:rsidRDefault="00A63A79" w:rsidP="001B2339">
            <w:pPr>
              <w:ind w:left="-57" w:right="-57"/>
              <w:jc w:val="center"/>
            </w:pPr>
            <w:r>
              <w:t>3.1</w:t>
            </w:r>
            <w:r w:rsidR="001B2339">
              <w:t>.</w:t>
            </w:r>
          </w:p>
        </w:tc>
        <w:tc>
          <w:tcPr>
            <w:tcW w:w="2267" w:type="dxa"/>
          </w:tcPr>
          <w:p w:rsidR="005752DD" w:rsidRPr="00127376" w:rsidRDefault="005752DD" w:rsidP="00DD2282">
            <w:pPr>
              <w:autoSpaceDE/>
              <w:autoSpaceDN/>
              <w:adjustRightInd/>
              <w:ind w:left="-28"/>
              <w:jc w:val="both"/>
              <w:rPr>
                <w:color w:val="000000"/>
              </w:rPr>
            </w:pPr>
            <w:r w:rsidRPr="00127376">
              <w:rPr>
                <w:color w:val="000000"/>
              </w:rPr>
              <w:t xml:space="preserve">в том числе дневной стационар противоопухолевой лекарственной терапии при </w:t>
            </w:r>
            <w:r w:rsidR="00DD2282">
              <w:t>центре амбулаторной онкологической помощи</w:t>
            </w:r>
            <w:r w:rsidR="00DD2282" w:rsidRPr="00127376">
              <w:rPr>
                <w:color w:val="000000"/>
              </w:rPr>
              <w:t xml:space="preserve"> </w:t>
            </w:r>
          </w:p>
        </w:tc>
        <w:tc>
          <w:tcPr>
            <w:tcW w:w="1134" w:type="dxa"/>
          </w:tcPr>
          <w:p w:rsidR="005752DD" w:rsidRPr="00127376" w:rsidRDefault="005752DD" w:rsidP="003A55D7">
            <w:pPr>
              <w:jc w:val="center"/>
            </w:pPr>
            <w:r w:rsidRPr="00127376">
              <w:t>10</w:t>
            </w:r>
          </w:p>
        </w:tc>
        <w:tc>
          <w:tcPr>
            <w:tcW w:w="1276" w:type="dxa"/>
          </w:tcPr>
          <w:p w:rsidR="005752DD" w:rsidRPr="00127376" w:rsidRDefault="005752DD" w:rsidP="003A55D7">
            <w:pPr>
              <w:jc w:val="center"/>
            </w:pPr>
            <w:r w:rsidRPr="00127376">
              <w:t>2,0</w:t>
            </w:r>
          </w:p>
        </w:tc>
        <w:tc>
          <w:tcPr>
            <w:tcW w:w="1276" w:type="dxa"/>
          </w:tcPr>
          <w:p w:rsidR="005752DD" w:rsidRPr="00127376" w:rsidRDefault="005A7FF7" w:rsidP="005A7FF7">
            <w:pPr>
              <w:jc w:val="center"/>
            </w:pPr>
            <w:r>
              <w:t>-</w:t>
            </w:r>
          </w:p>
        </w:tc>
        <w:tc>
          <w:tcPr>
            <w:tcW w:w="1276" w:type="dxa"/>
          </w:tcPr>
          <w:p w:rsidR="005752DD" w:rsidRPr="00127376" w:rsidRDefault="005A7FF7" w:rsidP="005A7FF7">
            <w:pPr>
              <w:jc w:val="center"/>
            </w:pPr>
            <w:r>
              <w:t>-</w:t>
            </w:r>
          </w:p>
        </w:tc>
        <w:tc>
          <w:tcPr>
            <w:tcW w:w="1275" w:type="dxa"/>
          </w:tcPr>
          <w:p w:rsidR="005752DD" w:rsidRPr="00127376" w:rsidRDefault="005A7FF7" w:rsidP="005A7FF7">
            <w:pPr>
              <w:jc w:val="center"/>
            </w:pPr>
            <w:r>
              <w:t>-</w:t>
            </w:r>
          </w:p>
        </w:tc>
        <w:tc>
          <w:tcPr>
            <w:tcW w:w="1123" w:type="dxa"/>
          </w:tcPr>
          <w:p w:rsidR="005752DD" w:rsidRPr="00127376" w:rsidRDefault="005A7FF7" w:rsidP="005A7FF7">
            <w:pPr>
              <w:jc w:val="center"/>
            </w:pPr>
            <w:r>
              <w:t>-</w:t>
            </w:r>
          </w:p>
        </w:tc>
      </w:tr>
      <w:tr w:rsidR="00ED1C55" w:rsidRPr="00127376" w:rsidTr="00920B8E">
        <w:trPr>
          <w:trHeight w:val="20"/>
        </w:trPr>
        <w:tc>
          <w:tcPr>
            <w:tcW w:w="563" w:type="dxa"/>
          </w:tcPr>
          <w:p w:rsidR="00ED1C55" w:rsidRPr="00127376" w:rsidRDefault="00ED1C55" w:rsidP="00ED1C55">
            <w:pPr>
              <w:jc w:val="center"/>
            </w:pPr>
            <w:r w:rsidRPr="00127376">
              <w:t>4</w:t>
            </w:r>
            <w:r>
              <w:t>.</w:t>
            </w:r>
          </w:p>
        </w:tc>
        <w:tc>
          <w:tcPr>
            <w:tcW w:w="2267" w:type="dxa"/>
          </w:tcPr>
          <w:p w:rsidR="00ED1C55" w:rsidRPr="00127376" w:rsidRDefault="00ED1C55" w:rsidP="00ED1C55">
            <w:pPr>
              <w:autoSpaceDE/>
              <w:autoSpaceDN/>
              <w:adjustRightInd/>
              <w:ind w:left="-28"/>
              <w:jc w:val="both"/>
            </w:pPr>
            <w:r w:rsidRPr="00127376">
              <w:rPr>
                <w:color w:val="000000"/>
              </w:rPr>
              <w:t xml:space="preserve">ГАУЗ «Чистопольская ЦРБ» </w:t>
            </w:r>
          </w:p>
        </w:tc>
        <w:tc>
          <w:tcPr>
            <w:tcW w:w="1134" w:type="dxa"/>
          </w:tcPr>
          <w:p w:rsidR="00ED1C55" w:rsidRPr="00920B8E" w:rsidRDefault="00ED1C55" w:rsidP="00ED1C55">
            <w:pPr>
              <w:jc w:val="center"/>
            </w:pPr>
            <w:r w:rsidRPr="00920B8E">
              <w:t>29</w:t>
            </w:r>
          </w:p>
        </w:tc>
        <w:tc>
          <w:tcPr>
            <w:tcW w:w="1276" w:type="dxa"/>
          </w:tcPr>
          <w:p w:rsidR="00ED1C55" w:rsidRPr="00127376" w:rsidRDefault="00ED1C55" w:rsidP="00ED1C55">
            <w:pPr>
              <w:jc w:val="center"/>
            </w:pPr>
            <w:r w:rsidRPr="00127376">
              <w:t>2,0</w:t>
            </w:r>
          </w:p>
        </w:tc>
        <w:tc>
          <w:tcPr>
            <w:tcW w:w="1276" w:type="dxa"/>
          </w:tcPr>
          <w:p w:rsidR="00ED1C55" w:rsidRPr="00127376" w:rsidRDefault="00ED1C55" w:rsidP="00ED1C55">
            <w:pPr>
              <w:jc w:val="center"/>
            </w:pPr>
            <w:r>
              <w:t>-</w:t>
            </w:r>
          </w:p>
        </w:tc>
        <w:tc>
          <w:tcPr>
            <w:tcW w:w="1276" w:type="dxa"/>
          </w:tcPr>
          <w:p w:rsidR="00ED1C55" w:rsidRPr="00127376" w:rsidRDefault="00ED1C55" w:rsidP="00ED1C55">
            <w:pPr>
              <w:jc w:val="center"/>
            </w:pPr>
            <w:r>
              <w:t>-</w:t>
            </w:r>
          </w:p>
        </w:tc>
        <w:tc>
          <w:tcPr>
            <w:tcW w:w="1275" w:type="dxa"/>
          </w:tcPr>
          <w:p w:rsidR="00ED1C55" w:rsidRPr="00127376" w:rsidRDefault="00ED1C55" w:rsidP="00ED1C55">
            <w:pPr>
              <w:jc w:val="center"/>
            </w:pPr>
            <w:r>
              <w:t>-</w:t>
            </w:r>
          </w:p>
        </w:tc>
        <w:tc>
          <w:tcPr>
            <w:tcW w:w="1123" w:type="dxa"/>
          </w:tcPr>
          <w:p w:rsidR="00ED1C55" w:rsidRPr="00127376" w:rsidRDefault="00ED1C55" w:rsidP="00ED1C55">
            <w:pPr>
              <w:jc w:val="center"/>
            </w:pPr>
            <w:r>
              <w:t>-</w:t>
            </w:r>
          </w:p>
        </w:tc>
      </w:tr>
      <w:tr w:rsidR="00ED1C55" w:rsidRPr="00127376" w:rsidTr="00920B8E">
        <w:trPr>
          <w:trHeight w:val="20"/>
        </w:trPr>
        <w:tc>
          <w:tcPr>
            <w:tcW w:w="563" w:type="dxa"/>
          </w:tcPr>
          <w:p w:rsidR="00ED1C55" w:rsidRPr="00127376" w:rsidRDefault="00ED1C55" w:rsidP="00ED1C55">
            <w:pPr>
              <w:ind w:left="-57" w:right="-57"/>
              <w:jc w:val="center"/>
            </w:pPr>
            <w:r>
              <w:t>4.1.</w:t>
            </w:r>
          </w:p>
        </w:tc>
        <w:tc>
          <w:tcPr>
            <w:tcW w:w="2267" w:type="dxa"/>
          </w:tcPr>
          <w:p w:rsidR="00ED1C55" w:rsidRPr="00127376" w:rsidRDefault="00ED1C55" w:rsidP="00ED1C55">
            <w:pPr>
              <w:autoSpaceDE/>
              <w:autoSpaceDN/>
              <w:adjustRightInd/>
              <w:ind w:left="-28"/>
              <w:jc w:val="both"/>
              <w:rPr>
                <w:color w:val="000000"/>
              </w:rPr>
            </w:pPr>
            <w:r w:rsidRPr="00127376">
              <w:rPr>
                <w:color w:val="000000"/>
              </w:rPr>
              <w:t xml:space="preserve">в том числе дневной стационар противоопухолевой лекарственной терапии при </w:t>
            </w:r>
            <w:r>
              <w:t>центре амбулаторной онкологической помощи</w:t>
            </w:r>
            <w:r w:rsidRPr="00127376">
              <w:rPr>
                <w:color w:val="000000"/>
              </w:rPr>
              <w:t xml:space="preserve"> </w:t>
            </w:r>
          </w:p>
        </w:tc>
        <w:tc>
          <w:tcPr>
            <w:tcW w:w="1134" w:type="dxa"/>
          </w:tcPr>
          <w:p w:rsidR="00ED1C55" w:rsidRPr="00920B8E" w:rsidRDefault="00ED1C55" w:rsidP="00ED1C55">
            <w:pPr>
              <w:jc w:val="center"/>
            </w:pPr>
            <w:r w:rsidRPr="00920B8E">
              <w:t>6</w:t>
            </w:r>
          </w:p>
        </w:tc>
        <w:tc>
          <w:tcPr>
            <w:tcW w:w="1276" w:type="dxa"/>
          </w:tcPr>
          <w:p w:rsidR="00ED1C55" w:rsidRPr="00127376" w:rsidRDefault="00ED1C55" w:rsidP="00ED1C55">
            <w:pPr>
              <w:jc w:val="center"/>
            </w:pPr>
            <w:r w:rsidRPr="00127376">
              <w:t>2,0</w:t>
            </w:r>
          </w:p>
        </w:tc>
        <w:tc>
          <w:tcPr>
            <w:tcW w:w="1276" w:type="dxa"/>
          </w:tcPr>
          <w:p w:rsidR="00ED1C55" w:rsidRPr="00127376" w:rsidRDefault="00ED1C55" w:rsidP="00ED1C55">
            <w:pPr>
              <w:jc w:val="center"/>
            </w:pPr>
            <w:r>
              <w:t>-</w:t>
            </w:r>
          </w:p>
        </w:tc>
        <w:tc>
          <w:tcPr>
            <w:tcW w:w="1276" w:type="dxa"/>
          </w:tcPr>
          <w:p w:rsidR="00ED1C55" w:rsidRPr="00127376" w:rsidRDefault="00ED1C55" w:rsidP="00ED1C55">
            <w:pPr>
              <w:jc w:val="center"/>
            </w:pPr>
            <w:r>
              <w:t>-</w:t>
            </w:r>
          </w:p>
        </w:tc>
        <w:tc>
          <w:tcPr>
            <w:tcW w:w="1275" w:type="dxa"/>
          </w:tcPr>
          <w:p w:rsidR="00ED1C55" w:rsidRPr="00127376" w:rsidRDefault="00ED1C55" w:rsidP="00ED1C55">
            <w:pPr>
              <w:jc w:val="center"/>
            </w:pPr>
            <w:r>
              <w:t>-</w:t>
            </w:r>
          </w:p>
        </w:tc>
        <w:tc>
          <w:tcPr>
            <w:tcW w:w="1123" w:type="dxa"/>
          </w:tcPr>
          <w:p w:rsidR="00ED1C55" w:rsidRPr="00127376" w:rsidRDefault="00ED1C55" w:rsidP="00ED1C55">
            <w:pPr>
              <w:jc w:val="center"/>
            </w:pPr>
            <w:r>
              <w:t>-</w:t>
            </w:r>
          </w:p>
        </w:tc>
      </w:tr>
      <w:tr w:rsidR="00ED1C55" w:rsidRPr="00127376" w:rsidTr="00920B8E">
        <w:trPr>
          <w:trHeight w:val="20"/>
        </w:trPr>
        <w:tc>
          <w:tcPr>
            <w:tcW w:w="563" w:type="dxa"/>
          </w:tcPr>
          <w:p w:rsidR="00ED1C55" w:rsidRPr="00127376" w:rsidRDefault="00ED1C55" w:rsidP="00ED1C55">
            <w:pPr>
              <w:jc w:val="center"/>
            </w:pPr>
            <w:r w:rsidRPr="00127376">
              <w:t>5</w:t>
            </w:r>
            <w:r>
              <w:t>.</w:t>
            </w:r>
          </w:p>
        </w:tc>
        <w:tc>
          <w:tcPr>
            <w:tcW w:w="2267" w:type="dxa"/>
          </w:tcPr>
          <w:p w:rsidR="00ED1C55" w:rsidRPr="00127376" w:rsidRDefault="00ED1C55" w:rsidP="00ED1C55">
            <w:pPr>
              <w:autoSpaceDE/>
              <w:autoSpaceDN/>
              <w:adjustRightInd/>
              <w:ind w:left="-28"/>
              <w:jc w:val="both"/>
            </w:pPr>
            <w:r w:rsidRPr="00127376">
              <w:rPr>
                <w:color w:val="000000"/>
              </w:rPr>
              <w:t>ГАУЗ «Буинская ЦРБ»</w:t>
            </w:r>
          </w:p>
        </w:tc>
        <w:tc>
          <w:tcPr>
            <w:tcW w:w="1134" w:type="dxa"/>
          </w:tcPr>
          <w:p w:rsidR="00ED1C55" w:rsidRPr="00920B8E" w:rsidRDefault="00ED1C55" w:rsidP="00ED1C55">
            <w:pPr>
              <w:jc w:val="center"/>
            </w:pPr>
            <w:r w:rsidRPr="00920B8E">
              <w:t>6</w:t>
            </w:r>
          </w:p>
        </w:tc>
        <w:tc>
          <w:tcPr>
            <w:tcW w:w="1276" w:type="dxa"/>
          </w:tcPr>
          <w:p w:rsidR="00ED1C55" w:rsidRPr="00127376" w:rsidRDefault="00ED1C55" w:rsidP="00ED1C55">
            <w:pPr>
              <w:jc w:val="center"/>
            </w:pPr>
            <w:r w:rsidRPr="00127376">
              <w:t>2,0</w:t>
            </w:r>
          </w:p>
        </w:tc>
        <w:tc>
          <w:tcPr>
            <w:tcW w:w="1276" w:type="dxa"/>
          </w:tcPr>
          <w:p w:rsidR="00ED1C55" w:rsidRPr="00127376" w:rsidRDefault="00ED1C55" w:rsidP="00ED1C55">
            <w:pPr>
              <w:jc w:val="center"/>
            </w:pPr>
            <w:r>
              <w:t>-</w:t>
            </w:r>
          </w:p>
        </w:tc>
        <w:tc>
          <w:tcPr>
            <w:tcW w:w="1276" w:type="dxa"/>
          </w:tcPr>
          <w:p w:rsidR="00ED1C55" w:rsidRPr="00127376" w:rsidRDefault="00ED1C55" w:rsidP="00ED1C55">
            <w:pPr>
              <w:jc w:val="center"/>
            </w:pPr>
            <w:r>
              <w:t>-</w:t>
            </w:r>
          </w:p>
        </w:tc>
        <w:tc>
          <w:tcPr>
            <w:tcW w:w="1275" w:type="dxa"/>
          </w:tcPr>
          <w:p w:rsidR="00ED1C55" w:rsidRPr="00127376" w:rsidRDefault="00ED1C55" w:rsidP="00ED1C55">
            <w:pPr>
              <w:jc w:val="center"/>
            </w:pPr>
            <w:r>
              <w:t>-</w:t>
            </w:r>
          </w:p>
        </w:tc>
        <w:tc>
          <w:tcPr>
            <w:tcW w:w="1123" w:type="dxa"/>
          </w:tcPr>
          <w:p w:rsidR="00ED1C55" w:rsidRPr="00127376" w:rsidRDefault="00ED1C55" w:rsidP="00ED1C55">
            <w:pPr>
              <w:jc w:val="center"/>
            </w:pPr>
            <w:r>
              <w:t>-</w:t>
            </w:r>
          </w:p>
        </w:tc>
      </w:tr>
      <w:tr w:rsidR="00ED1C55" w:rsidRPr="00127376" w:rsidTr="00920B8E">
        <w:trPr>
          <w:trHeight w:val="20"/>
        </w:trPr>
        <w:tc>
          <w:tcPr>
            <w:tcW w:w="563" w:type="dxa"/>
          </w:tcPr>
          <w:p w:rsidR="00ED1C55" w:rsidRPr="00127376" w:rsidRDefault="00ED1C55" w:rsidP="00ED1C55">
            <w:pPr>
              <w:jc w:val="center"/>
            </w:pPr>
            <w:r w:rsidRPr="00127376">
              <w:t>8</w:t>
            </w:r>
            <w:r>
              <w:t>.</w:t>
            </w:r>
          </w:p>
        </w:tc>
        <w:tc>
          <w:tcPr>
            <w:tcW w:w="2267" w:type="dxa"/>
          </w:tcPr>
          <w:p w:rsidR="00ED1C55" w:rsidRPr="00127376" w:rsidRDefault="00ED1C55" w:rsidP="00ED1C55">
            <w:pPr>
              <w:autoSpaceDE/>
              <w:autoSpaceDN/>
              <w:adjustRightInd/>
              <w:ind w:left="-28"/>
              <w:jc w:val="both"/>
            </w:pPr>
            <w:r w:rsidRPr="00127376">
              <w:rPr>
                <w:color w:val="000000"/>
              </w:rPr>
              <w:t xml:space="preserve">ГАУЗ «Арская ЦРБ» </w:t>
            </w:r>
          </w:p>
        </w:tc>
        <w:tc>
          <w:tcPr>
            <w:tcW w:w="1134" w:type="dxa"/>
          </w:tcPr>
          <w:p w:rsidR="00ED1C55" w:rsidRPr="00920B8E" w:rsidRDefault="00ED1C55" w:rsidP="00ED1C55">
            <w:pPr>
              <w:jc w:val="center"/>
            </w:pPr>
            <w:r w:rsidRPr="00920B8E">
              <w:t>6</w:t>
            </w:r>
          </w:p>
        </w:tc>
        <w:tc>
          <w:tcPr>
            <w:tcW w:w="1276" w:type="dxa"/>
          </w:tcPr>
          <w:p w:rsidR="00ED1C55" w:rsidRPr="00127376" w:rsidRDefault="00ED1C55" w:rsidP="00ED1C55">
            <w:pPr>
              <w:jc w:val="center"/>
            </w:pPr>
            <w:r w:rsidRPr="00127376">
              <w:t>2</w:t>
            </w:r>
          </w:p>
        </w:tc>
        <w:tc>
          <w:tcPr>
            <w:tcW w:w="1276" w:type="dxa"/>
          </w:tcPr>
          <w:p w:rsidR="00ED1C55" w:rsidRPr="00127376" w:rsidRDefault="00ED1C55" w:rsidP="00ED1C55">
            <w:pPr>
              <w:jc w:val="center"/>
            </w:pPr>
            <w:r>
              <w:t>-</w:t>
            </w:r>
          </w:p>
        </w:tc>
        <w:tc>
          <w:tcPr>
            <w:tcW w:w="1276" w:type="dxa"/>
          </w:tcPr>
          <w:p w:rsidR="00ED1C55" w:rsidRPr="00127376" w:rsidRDefault="00ED1C55" w:rsidP="00ED1C55">
            <w:pPr>
              <w:jc w:val="center"/>
            </w:pPr>
            <w:r>
              <w:t>-</w:t>
            </w:r>
          </w:p>
        </w:tc>
        <w:tc>
          <w:tcPr>
            <w:tcW w:w="1275" w:type="dxa"/>
          </w:tcPr>
          <w:p w:rsidR="00ED1C55" w:rsidRPr="00127376" w:rsidRDefault="00ED1C55" w:rsidP="00ED1C55">
            <w:pPr>
              <w:jc w:val="center"/>
            </w:pPr>
            <w:r>
              <w:t>-</w:t>
            </w:r>
          </w:p>
        </w:tc>
        <w:tc>
          <w:tcPr>
            <w:tcW w:w="1123" w:type="dxa"/>
          </w:tcPr>
          <w:p w:rsidR="00ED1C55" w:rsidRPr="00127376" w:rsidRDefault="00ED1C55" w:rsidP="00ED1C55">
            <w:pPr>
              <w:jc w:val="center"/>
            </w:pPr>
            <w:r>
              <w:t>-</w:t>
            </w:r>
          </w:p>
        </w:tc>
      </w:tr>
      <w:tr w:rsidR="00ED1C55" w:rsidRPr="00127376" w:rsidTr="00920B8E">
        <w:trPr>
          <w:trHeight w:val="20"/>
        </w:trPr>
        <w:tc>
          <w:tcPr>
            <w:tcW w:w="563" w:type="dxa"/>
          </w:tcPr>
          <w:p w:rsidR="00ED1C55" w:rsidRPr="00127376" w:rsidRDefault="00ED1C55" w:rsidP="00ED1C55">
            <w:pPr>
              <w:jc w:val="center"/>
            </w:pPr>
            <w:r w:rsidRPr="00127376">
              <w:t>9</w:t>
            </w:r>
            <w:r>
              <w:t>.</w:t>
            </w:r>
          </w:p>
        </w:tc>
        <w:tc>
          <w:tcPr>
            <w:tcW w:w="2267" w:type="dxa"/>
          </w:tcPr>
          <w:p w:rsidR="00ED1C55" w:rsidRPr="00127376" w:rsidRDefault="00ED1C55" w:rsidP="00ED1C55">
            <w:pPr>
              <w:autoSpaceDE/>
              <w:autoSpaceDN/>
              <w:adjustRightInd/>
              <w:ind w:left="-28"/>
              <w:jc w:val="both"/>
            </w:pPr>
            <w:r w:rsidRPr="00127376">
              <w:rPr>
                <w:color w:val="000000"/>
              </w:rPr>
              <w:t xml:space="preserve">ГАУЗ «Бугульминская ЦРБ» </w:t>
            </w:r>
          </w:p>
        </w:tc>
        <w:tc>
          <w:tcPr>
            <w:tcW w:w="1134" w:type="dxa"/>
          </w:tcPr>
          <w:p w:rsidR="00ED1C55" w:rsidRPr="00920B8E" w:rsidRDefault="00ED1C55" w:rsidP="00ED1C55">
            <w:pPr>
              <w:jc w:val="center"/>
            </w:pPr>
            <w:r w:rsidRPr="00920B8E">
              <w:t>5</w:t>
            </w:r>
          </w:p>
        </w:tc>
        <w:tc>
          <w:tcPr>
            <w:tcW w:w="1276" w:type="dxa"/>
          </w:tcPr>
          <w:p w:rsidR="00ED1C55" w:rsidRPr="00127376" w:rsidRDefault="00ED1C55" w:rsidP="00ED1C55">
            <w:pPr>
              <w:jc w:val="center"/>
            </w:pPr>
            <w:r w:rsidRPr="00127376">
              <w:t>2</w:t>
            </w:r>
          </w:p>
        </w:tc>
        <w:tc>
          <w:tcPr>
            <w:tcW w:w="1276" w:type="dxa"/>
          </w:tcPr>
          <w:p w:rsidR="00ED1C55" w:rsidRPr="00127376" w:rsidRDefault="00ED1C55" w:rsidP="00ED1C55">
            <w:pPr>
              <w:jc w:val="center"/>
            </w:pPr>
            <w:r>
              <w:t>-</w:t>
            </w:r>
          </w:p>
        </w:tc>
        <w:tc>
          <w:tcPr>
            <w:tcW w:w="1276" w:type="dxa"/>
          </w:tcPr>
          <w:p w:rsidR="00ED1C55" w:rsidRPr="00127376" w:rsidRDefault="00ED1C55" w:rsidP="00ED1C55">
            <w:pPr>
              <w:jc w:val="center"/>
            </w:pPr>
            <w:r>
              <w:t>-</w:t>
            </w:r>
          </w:p>
        </w:tc>
        <w:tc>
          <w:tcPr>
            <w:tcW w:w="1275" w:type="dxa"/>
          </w:tcPr>
          <w:p w:rsidR="00ED1C55" w:rsidRPr="00127376" w:rsidRDefault="00ED1C55" w:rsidP="00ED1C55">
            <w:pPr>
              <w:jc w:val="center"/>
            </w:pPr>
            <w:r>
              <w:t>-</w:t>
            </w:r>
          </w:p>
        </w:tc>
        <w:tc>
          <w:tcPr>
            <w:tcW w:w="1123" w:type="dxa"/>
          </w:tcPr>
          <w:p w:rsidR="00ED1C55" w:rsidRPr="00127376" w:rsidRDefault="00ED1C55" w:rsidP="00ED1C55">
            <w:pPr>
              <w:jc w:val="center"/>
            </w:pPr>
            <w:r>
              <w:t>-</w:t>
            </w:r>
          </w:p>
        </w:tc>
      </w:tr>
      <w:tr w:rsidR="00ED1C55" w:rsidRPr="00127376" w:rsidTr="00920B8E">
        <w:trPr>
          <w:trHeight w:val="20"/>
        </w:trPr>
        <w:tc>
          <w:tcPr>
            <w:tcW w:w="563" w:type="dxa"/>
          </w:tcPr>
          <w:p w:rsidR="00ED1C55" w:rsidRPr="00127376" w:rsidRDefault="00ED1C55" w:rsidP="00ED1C55">
            <w:pPr>
              <w:jc w:val="center"/>
            </w:pPr>
            <w:r w:rsidRPr="00127376">
              <w:t>10</w:t>
            </w:r>
            <w:r>
              <w:t>.</w:t>
            </w:r>
          </w:p>
        </w:tc>
        <w:tc>
          <w:tcPr>
            <w:tcW w:w="2267" w:type="dxa"/>
          </w:tcPr>
          <w:p w:rsidR="00ED1C55" w:rsidRPr="00127376" w:rsidRDefault="00ED1C55" w:rsidP="00ED1C55">
            <w:pPr>
              <w:autoSpaceDE/>
              <w:autoSpaceDN/>
              <w:adjustRightInd/>
              <w:ind w:left="-28"/>
              <w:jc w:val="both"/>
            </w:pPr>
            <w:r w:rsidRPr="00127376">
              <w:rPr>
                <w:color w:val="000000"/>
              </w:rPr>
              <w:t xml:space="preserve">ГАУЗ «Сабинская ЦРБ» </w:t>
            </w:r>
          </w:p>
        </w:tc>
        <w:tc>
          <w:tcPr>
            <w:tcW w:w="1134" w:type="dxa"/>
          </w:tcPr>
          <w:p w:rsidR="00ED1C55" w:rsidRPr="00920B8E" w:rsidRDefault="00ED1C55" w:rsidP="00ED1C55">
            <w:pPr>
              <w:jc w:val="center"/>
            </w:pPr>
            <w:r w:rsidRPr="00920B8E">
              <w:t>5</w:t>
            </w:r>
          </w:p>
        </w:tc>
        <w:tc>
          <w:tcPr>
            <w:tcW w:w="1276" w:type="dxa"/>
          </w:tcPr>
          <w:p w:rsidR="00ED1C55" w:rsidRPr="00127376" w:rsidRDefault="00ED1C55" w:rsidP="00ED1C55">
            <w:pPr>
              <w:jc w:val="center"/>
            </w:pPr>
            <w:r w:rsidRPr="00127376">
              <w:t>2</w:t>
            </w:r>
          </w:p>
        </w:tc>
        <w:tc>
          <w:tcPr>
            <w:tcW w:w="1276" w:type="dxa"/>
          </w:tcPr>
          <w:p w:rsidR="00ED1C55" w:rsidRPr="00127376" w:rsidRDefault="00ED1C55" w:rsidP="00ED1C55">
            <w:pPr>
              <w:jc w:val="center"/>
            </w:pPr>
            <w:r>
              <w:t>-</w:t>
            </w:r>
          </w:p>
        </w:tc>
        <w:tc>
          <w:tcPr>
            <w:tcW w:w="1276" w:type="dxa"/>
          </w:tcPr>
          <w:p w:rsidR="00ED1C55" w:rsidRPr="00127376" w:rsidRDefault="00ED1C55" w:rsidP="00ED1C55">
            <w:pPr>
              <w:jc w:val="center"/>
            </w:pPr>
            <w:r>
              <w:t>-</w:t>
            </w:r>
          </w:p>
        </w:tc>
        <w:tc>
          <w:tcPr>
            <w:tcW w:w="1275" w:type="dxa"/>
          </w:tcPr>
          <w:p w:rsidR="00ED1C55" w:rsidRPr="00127376" w:rsidRDefault="00ED1C55" w:rsidP="00ED1C55">
            <w:pPr>
              <w:jc w:val="center"/>
            </w:pPr>
            <w:r>
              <w:t>-</w:t>
            </w:r>
          </w:p>
        </w:tc>
        <w:tc>
          <w:tcPr>
            <w:tcW w:w="1123" w:type="dxa"/>
          </w:tcPr>
          <w:p w:rsidR="00ED1C55" w:rsidRPr="00127376" w:rsidRDefault="00ED1C55" w:rsidP="00ED1C55">
            <w:pPr>
              <w:jc w:val="center"/>
            </w:pPr>
            <w:r>
              <w:t>-</w:t>
            </w:r>
          </w:p>
        </w:tc>
      </w:tr>
      <w:tr w:rsidR="00ED1C55" w:rsidRPr="00127376" w:rsidTr="00920B8E">
        <w:trPr>
          <w:trHeight w:val="20"/>
        </w:trPr>
        <w:tc>
          <w:tcPr>
            <w:tcW w:w="563" w:type="dxa"/>
          </w:tcPr>
          <w:p w:rsidR="00ED1C55" w:rsidRPr="00127376" w:rsidRDefault="00ED1C55" w:rsidP="00ED1C55">
            <w:pPr>
              <w:jc w:val="center"/>
            </w:pPr>
            <w:r w:rsidRPr="00127376">
              <w:t>11</w:t>
            </w:r>
            <w:r>
              <w:t>.</w:t>
            </w:r>
          </w:p>
        </w:tc>
        <w:tc>
          <w:tcPr>
            <w:tcW w:w="2267" w:type="dxa"/>
          </w:tcPr>
          <w:p w:rsidR="00ED1C55" w:rsidRPr="00127376" w:rsidRDefault="00ED1C55" w:rsidP="00ED1C55">
            <w:pPr>
              <w:autoSpaceDE/>
              <w:autoSpaceDN/>
              <w:adjustRightInd/>
              <w:ind w:left="-28"/>
              <w:jc w:val="both"/>
              <w:rPr>
                <w:color w:val="000000"/>
              </w:rPr>
            </w:pPr>
            <w:r w:rsidRPr="00127376">
              <w:rPr>
                <w:color w:val="000000"/>
              </w:rPr>
              <w:t xml:space="preserve">ГАУЗ «Апастовская ЦРБ» </w:t>
            </w:r>
          </w:p>
        </w:tc>
        <w:tc>
          <w:tcPr>
            <w:tcW w:w="1134" w:type="dxa"/>
          </w:tcPr>
          <w:p w:rsidR="00ED1C55" w:rsidRPr="00920B8E" w:rsidRDefault="00ED1C55" w:rsidP="00ED1C55">
            <w:pPr>
              <w:jc w:val="center"/>
            </w:pPr>
            <w:r w:rsidRPr="00920B8E">
              <w:t>4</w:t>
            </w:r>
          </w:p>
        </w:tc>
        <w:tc>
          <w:tcPr>
            <w:tcW w:w="1276" w:type="dxa"/>
          </w:tcPr>
          <w:p w:rsidR="00ED1C55" w:rsidRPr="00127376" w:rsidRDefault="00ED1C55" w:rsidP="00ED1C55">
            <w:pPr>
              <w:jc w:val="center"/>
            </w:pPr>
            <w:r w:rsidRPr="00127376">
              <w:t>1</w:t>
            </w:r>
          </w:p>
        </w:tc>
        <w:tc>
          <w:tcPr>
            <w:tcW w:w="1276" w:type="dxa"/>
          </w:tcPr>
          <w:p w:rsidR="00ED1C55" w:rsidRPr="00127376" w:rsidRDefault="00ED1C55" w:rsidP="00ED1C55">
            <w:pPr>
              <w:jc w:val="center"/>
            </w:pPr>
            <w:r>
              <w:t>-</w:t>
            </w:r>
          </w:p>
        </w:tc>
        <w:tc>
          <w:tcPr>
            <w:tcW w:w="1276" w:type="dxa"/>
          </w:tcPr>
          <w:p w:rsidR="00ED1C55" w:rsidRPr="00127376" w:rsidRDefault="00ED1C55" w:rsidP="00ED1C55">
            <w:pPr>
              <w:jc w:val="center"/>
            </w:pPr>
            <w:r>
              <w:t>-</w:t>
            </w:r>
          </w:p>
        </w:tc>
        <w:tc>
          <w:tcPr>
            <w:tcW w:w="1275" w:type="dxa"/>
          </w:tcPr>
          <w:p w:rsidR="00ED1C55" w:rsidRPr="00127376" w:rsidRDefault="00ED1C55" w:rsidP="00ED1C55">
            <w:pPr>
              <w:jc w:val="center"/>
            </w:pPr>
            <w:r>
              <w:t>-</w:t>
            </w:r>
          </w:p>
        </w:tc>
        <w:tc>
          <w:tcPr>
            <w:tcW w:w="1123" w:type="dxa"/>
          </w:tcPr>
          <w:p w:rsidR="00ED1C55" w:rsidRPr="00127376" w:rsidRDefault="00ED1C55" w:rsidP="00ED1C55">
            <w:pPr>
              <w:jc w:val="center"/>
            </w:pPr>
            <w:r>
              <w:t>-</w:t>
            </w:r>
          </w:p>
        </w:tc>
      </w:tr>
      <w:tr w:rsidR="00ED1C55" w:rsidRPr="00127376" w:rsidTr="00920B8E">
        <w:trPr>
          <w:trHeight w:val="20"/>
        </w:trPr>
        <w:tc>
          <w:tcPr>
            <w:tcW w:w="563" w:type="dxa"/>
          </w:tcPr>
          <w:p w:rsidR="00ED1C55" w:rsidRPr="00127376" w:rsidRDefault="00ED1C55" w:rsidP="00ED1C55">
            <w:pPr>
              <w:jc w:val="center"/>
            </w:pPr>
            <w:r w:rsidRPr="00127376">
              <w:t>12</w:t>
            </w:r>
            <w:r>
              <w:t>.</w:t>
            </w:r>
          </w:p>
        </w:tc>
        <w:tc>
          <w:tcPr>
            <w:tcW w:w="2267" w:type="dxa"/>
          </w:tcPr>
          <w:p w:rsidR="00ED1C55" w:rsidRPr="00127376" w:rsidRDefault="00ED1C55" w:rsidP="00ED1C55">
            <w:pPr>
              <w:autoSpaceDE/>
              <w:autoSpaceDN/>
              <w:adjustRightInd/>
              <w:ind w:left="-28"/>
              <w:jc w:val="both"/>
              <w:rPr>
                <w:color w:val="000000"/>
              </w:rPr>
            </w:pPr>
            <w:r w:rsidRPr="00127376">
              <w:rPr>
                <w:color w:val="000000"/>
              </w:rPr>
              <w:t>ГАУЗ «Мамадышская ЦРБ»</w:t>
            </w:r>
          </w:p>
        </w:tc>
        <w:tc>
          <w:tcPr>
            <w:tcW w:w="1134" w:type="dxa"/>
          </w:tcPr>
          <w:p w:rsidR="00ED1C55" w:rsidRPr="00920B8E" w:rsidRDefault="00ED1C55" w:rsidP="00ED1C55">
            <w:pPr>
              <w:jc w:val="center"/>
            </w:pPr>
            <w:r w:rsidRPr="00920B8E">
              <w:t>2</w:t>
            </w:r>
          </w:p>
        </w:tc>
        <w:tc>
          <w:tcPr>
            <w:tcW w:w="1276" w:type="dxa"/>
          </w:tcPr>
          <w:p w:rsidR="00ED1C55" w:rsidRPr="00127376" w:rsidRDefault="00ED1C55" w:rsidP="00ED1C55">
            <w:pPr>
              <w:jc w:val="center"/>
            </w:pPr>
            <w:r w:rsidRPr="00127376">
              <w:t>1</w:t>
            </w:r>
          </w:p>
        </w:tc>
        <w:tc>
          <w:tcPr>
            <w:tcW w:w="1276" w:type="dxa"/>
          </w:tcPr>
          <w:p w:rsidR="00ED1C55" w:rsidRPr="00127376" w:rsidRDefault="00ED1C55" w:rsidP="00ED1C55">
            <w:pPr>
              <w:jc w:val="center"/>
            </w:pPr>
            <w:r>
              <w:t>-</w:t>
            </w:r>
          </w:p>
        </w:tc>
        <w:tc>
          <w:tcPr>
            <w:tcW w:w="1276" w:type="dxa"/>
          </w:tcPr>
          <w:p w:rsidR="00ED1C55" w:rsidRPr="00127376" w:rsidRDefault="00ED1C55" w:rsidP="00ED1C55">
            <w:pPr>
              <w:jc w:val="center"/>
            </w:pPr>
            <w:r>
              <w:t>-</w:t>
            </w:r>
          </w:p>
        </w:tc>
        <w:tc>
          <w:tcPr>
            <w:tcW w:w="1275" w:type="dxa"/>
          </w:tcPr>
          <w:p w:rsidR="00ED1C55" w:rsidRPr="00127376" w:rsidRDefault="00ED1C55" w:rsidP="00ED1C55">
            <w:pPr>
              <w:jc w:val="center"/>
            </w:pPr>
            <w:r>
              <w:t>-</w:t>
            </w:r>
          </w:p>
        </w:tc>
        <w:tc>
          <w:tcPr>
            <w:tcW w:w="1123" w:type="dxa"/>
          </w:tcPr>
          <w:p w:rsidR="00ED1C55" w:rsidRPr="00127376" w:rsidRDefault="00ED1C55" w:rsidP="00ED1C55">
            <w:pPr>
              <w:jc w:val="center"/>
            </w:pPr>
            <w:r>
              <w:t>-</w:t>
            </w:r>
          </w:p>
        </w:tc>
      </w:tr>
      <w:tr w:rsidR="00ED1C55" w:rsidRPr="00127376" w:rsidTr="00920B8E">
        <w:trPr>
          <w:trHeight w:val="20"/>
        </w:trPr>
        <w:tc>
          <w:tcPr>
            <w:tcW w:w="563" w:type="dxa"/>
          </w:tcPr>
          <w:p w:rsidR="00ED1C55" w:rsidRPr="00127376" w:rsidRDefault="00ED1C55" w:rsidP="00ED1C55">
            <w:pPr>
              <w:jc w:val="center"/>
            </w:pPr>
            <w:r w:rsidRPr="00127376">
              <w:t>13</w:t>
            </w:r>
            <w:r>
              <w:t>.</w:t>
            </w:r>
          </w:p>
        </w:tc>
        <w:tc>
          <w:tcPr>
            <w:tcW w:w="2267" w:type="dxa"/>
          </w:tcPr>
          <w:p w:rsidR="00ED1C55" w:rsidRPr="00127376" w:rsidRDefault="00ED1C55" w:rsidP="00ED1C55">
            <w:pPr>
              <w:autoSpaceDE/>
              <w:autoSpaceDN/>
              <w:adjustRightInd/>
              <w:ind w:left="-28"/>
              <w:jc w:val="both"/>
            </w:pPr>
            <w:r w:rsidRPr="00127376">
              <w:rPr>
                <w:color w:val="000000"/>
              </w:rPr>
              <w:t>ООО «Клиника Дружковых»</w:t>
            </w:r>
          </w:p>
        </w:tc>
        <w:tc>
          <w:tcPr>
            <w:tcW w:w="1134" w:type="dxa"/>
          </w:tcPr>
          <w:p w:rsidR="00ED1C55" w:rsidRPr="00920B8E" w:rsidRDefault="00ED1C55" w:rsidP="00ED1C55">
            <w:pPr>
              <w:jc w:val="center"/>
            </w:pPr>
            <w:r w:rsidRPr="00920B8E">
              <w:t>5</w:t>
            </w:r>
          </w:p>
        </w:tc>
        <w:tc>
          <w:tcPr>
            <w:tcW w:w="1276" w:type="dxa"/>
          </w:tcPr>
          <w:p w:rsidR="00ED1C55" w:rsidRPr="00127376" w:rsidRDefault="00ED1C55" w:rsidP="00ED1C55">
            <w:pPr>
              <w:jc w:val="center"/>
            </w:pPr>
            <w:r w:rsidRPr="00127376">
              <w:t>2</w:t>
            </w:r>
          </w:p>
        </w:tc>
        <w:tc>
          <w:tcPr>
            <w:tcW w:w="1276" w:type="dxa"/>
          </w:tcPr>
          <w:p w:rsidR="00ED1C55" w:rsidRPr="00127376" w:rsidRDefault="00ED1C55" w:rsidP="00ED1C55">
            <w:pPr>
              <w:jc w:val="center"/>
            </w:pPr>
            <w:r>
              <w:t>-</w:t>
            </w:r>
          </w:p>
        </w:tc>
        <w:tc>
          <w:tcPr>
            <w:tcW w:w="1276" w:type="dxa"/>
          </w:tcPr>
          <w:p w:rsidR="00ED1C55" w:rsidRPr="00127376" w:rsidRDefault="00ED1C55" w:rsidP="00ED1C55">
            <w:pPr>
              <w:jc w:val="center"/>
            </w:pPr>
            <w:r>
              <w:t>-</w:t>
            </w:r>
          </w:p>
        </w:tc>
        <w:tc>
          <w:tcPr>
            <w:tcW w:w="1275" w:type="dxa"/>
          </w:tcPr>
          <w:p w:rsidR="00ED1C55" w:rsidRPr="00127376" w:rsidRDefault="00ED1C55" w:rsidP="00ED1C55">
            <w:pPr>
              <w:jc w:val="center"/>
            </w:pPr>
            <w:r>
              <w:t>-</w:t>
            </w:r>
          </w:p>
        </w:tc>
        <w:tc>
          <w:tcPr>
            <w:tcW w:w="1123" w:type="dxa"/>
          </w:tcPr>
          <w:p w:rsidR="00ED1C55" w:rsidRPr="00127376" w:rsidRDefault="00ED1C55" w:rsidP="00ED1C55">
            <w:pPr>
              <w:jc w:val="center"/>
            </w:pPr>
            <w:r>
              <w:t>-</w:t>
            </w:r>
          </w:p>
        </w:tc>
      </w:tr>
      <w:tr w:rsidR="00ED1C55" w:rsidRPr="00127376" w:rsidTr="00920B8E">
        <w:trPr>
          <w:trHeight w:val="20"/>
        </w:trPr>
        <w:tc>
          <w:tcPr>
            <w:tcW w:w="563" w:type="dxa"/>
          </w:tcPr>
          <w:p w:rsidR="00ED1C55" w:rsidRPr="00127376" w:rsidRDefault="00ED1C55" w:rsidP="00ED1C55">
            <w:pPr>
              <w:jc w:val="center"/>
            </w:pPr>
            <w:r w:rsidRPr="00127376">
              <w:t>14</w:t>
            </w:r>
            <w:r>
              <w:t>.</w:t>
            </w:r>
          </w:p>
        </w:tc>
        <w:tc>
          <w:tcPr>
            <w:tcW w:w="2267" w:type="dxa"/>
          </w:tcPr>
          <w:p w:rsidR="00ED1C55" w:rsidRPr="00127376" w:rsidRDefault="00ED1C55" w:rsidP="00ED1C55">
            <w:pPr>
              <w:autoSpaceDE/>
              <w:autoSpaceDN/>
              <w:adjustRightInd/>
              <w:ind w:left="-28"/>
              <w:jc w:val="both"/>
              <w:rPr>
                <w:color w:val="000000"/>
              </w:rPr>
            </w:pPr>
            <w:r w:rsidRPr="00127376">
              <w:rPr>
                <w:color w:val="000000"/>
              </w:rPr>
              <w:t xml:space="preserve">ГАУЗ «Городская клиническая больница № 16» </w:t>
            </w:r>
            <w:r>
              <w:rPr>
                <w:color w:val="000000"/>
              </w:rPr>
              <w:t>г.</w:t>
            </w:r>
            <w:r w:rsidRPr="00127376">
              <w:rPr>
                <w:color w:val="000000"/>
              </w:rPr>
              <w:t xml:space="preserve">Казани </w:t>
            </w:r>
          </w:p>
        </w:tc>
        <w:tc>
          <w:tcPr>
            <w:tcW w:w="1134" w:type="dxa"/>
          </w:tcPr>
          <w:p w:rsidR="00ED1C55" w:rsidRPr="00920B8E" w:rsidRDefault="00ED1C55" w:rsidP="00ED1C55">
            <w:pPr>
              <w:jc w:val="center"/>
            </w:pPr>
            <w:r>
              <w:t>-</w:t>
            </w:r>
          </w:p>
        </w:tc>
        <w:tc>
          <w:tcPr>
            <w:tcW w:w="1276" w:type="dxa"/>
          </w:tcPr>
          <w:p w:rsidR="00ED1C55" w:rsidRPr="00127376" w:rsidRDefault="00ED1C55" w:rsidP="00ED1C55">
            <w:pPr>
              <w:jc w:val="center"/>
            </w:pPr>
            <w:r>
              <w:t>-</w:t>
            </w:r>
          </w:p>
        </w:tc>
        <w:tc>
          <w:tcPr>
            <w:tcW w:w="1276" w:type="dxa"/>
          </w:tcPr>
          <w:p w:rsidR="00ED1C55" w:rsidRPr="00127376" w:rsidRDefault="00ED1C55" w:rsidP="00ED1C55">
            <w:pPr>
              <w:jc w:val="center"/>
            </w:pPr>
            <w:r>
              <w:t>-</w:t>
            </w:r>
          </w:p>
        </w:tc>
        <w:tc>
          <w:tcPr>
            <w:tcW w:w="1276" w:type="dxa"/>
          </w:tcPr>
          <w:p w:rsidR="00ED1C55" w:rsidRPr="00127376" w:rsidRDefault="00ED1C55" w:rsidP="00ED1C55">
            <w:pPr>
              <w:jc w:val="center"/>
            </w:pPr>
            <w:r>
              <w:t>-</w:t>
            </w:r>
          </w:p>
        </w:tc>
        <w:tc>
          <w:tcPr>
            <w:tcW w:w="1275" w:type="dxa"/>
          </w:tcPr>
          <w:p w:rsidR="00ED1C55" w:rsidRPr="00127376" w:rsidRDefault="00ED1C55" w:rsidP="00ED1C55">
            <w:pPr>
              <w:jc w:val="center"/>
            </w:pPr>
            <w:r w:rsidRPr="00127376">
              <w:t>3</w:t>
            </w:r>
          </w:p>
        </w:tc>
        <w:tc>
          <w:tcPr>
            <w:tcW w:w="1123" w:type="dxa"/>
          </w:tcPr>
          <w:p w:rsidR="00ED1C55" w:rsidRPr="00127376" w:rsidRDefault="00ED1C55" w:rsidP="00ED1C55">
            <w:pPr>
              <w:jc w:val="center"/>
            </w:pPr>
            <w:r w:rsidRPr="00127376">
              <w:t>2</w:t>
            </w:r>
          </w:p>
        </w:tc>
      </w:tr>
      <w:tr w:rsidR="00ED1C55" w:rsidRPr="00127376" w:rsidTr="00920B8E">
        <w:trPr>
          <w:trHeight w:val="20"/>
        </w:trPr>
        <w:tc>
          <w:tcPr>
            <w:tcW w:w="563" w:type="dxa"/>
            <w:tcBorders>
              <w:bottom w:val="single" w:sz="4" w:space="0" w:color="auto"/>
            </w:tcBorders>
          </w:tcPr>
          <w:p w:rsidR="00ED1C55" w:rsidRPr="00127376" w:rsidRDefault="00ED1C55" w:rsidP="00ED1C55">
            <w:pPr>
              <w:jc w:val="center"/>
            </w:pPr>
            <w:r w:rsidRPr="00127376">
              <w:t>15</w:t>
            </w:r>
            <w:r>
              <w:t>.</w:t>
            </w:r>
          </w:p>
        </w:tc>
        <w:tc>
          <w:tcPr>
            <w:tcW w:w="2267" w:type="dxa"/>
            <w:tcBorders>
              <w:bottom w:val="single" w:sz="4" w:space="0" w:color="auto"/>
            </w:tcBorders>
          </w:tcPr>
          <w:p w:rsidR="00ED1C55" w:rsidRPr="00127376" w:rsidRDefault="00ED1C55" w:rsidP="00ED1C55">
            <w:pPr>
              <w:autoSpaceDE/>
              <w:autoSpaceDN/>
              <w:adjustRightInd/>
              <w:ind w:left="-28"/>
              <w:jc w:val="both"/>
              <w:rPr>
                <w:color w:val="000000"/>
              </w:rPr>
            </w:pPr>
            <w:r w:rsidRPr="00127376">
              <w:rPr>
                <w:color w:val="000000"/>
              </w:rPr>
              <w:t xml:space="preserve">ГАУЗ «Детская республиканская клиническая больница Министерства здравоохранения Республики Татарстан» </w:t>
            </w:r>
          </w:p>
        </w:tc>
        <w:tc>
          <w:tcPr>
            <w:tcW w:w="1134" w:type="dxa"/>
            <w:tcBorders>
              <w:bottom w:val="single" w:sz="4" w:space="0" w:color="auto"/>
            </w:tcBorders>
          </w:tcPr>
          <w:p w:rsidR="00ED1C55" w:rsidRPr="00920B8E" w:rsidRDefault="00ED1C55" w:rsidP="00ED1C55">
            <w:pPr>
              <w:jc w:val="center"/>
            </w:pPr>
            <w:r>
              <w:t>-</w:t>
            </w:r>
          </w:p>
        </w:tc>
        <w:tc>
          <w:tcPr>
            <w:tcW w:w="1276" w:type="dxa"/>
            <w:tcBorders>
              <w:bottom w:val="single" w:sz="4" w:space="0" w:color="auto"/>
            </w:tcBorders>
          </w:tcPr>
          <w:p w:rsidR="00ED1C55" w:rsidRPr="00127376" w:rsidRDefault="00ED1C55" w:rsidP="00ED1C55">
            <w:pPr>
              <w:jc w:val="center"/>
            </w:pPr>
            <w:r>
              <w:t>-</w:t>
            </w:r>
          </w:p>
        </w:tc>
        <w:tc>
          <w:tcPr>
            <w:tcW w:w="1276" w:type="dxa"/>
            <w:tcBorders>
              <w:bottom w:val="single" w:sz="4" w:space="0" w:color="auto"/>
            </w:tcBorders>
          </w:tcPr>
          <w:p w:rsidR="00ED1C55" w:rsidRPr="00127376" w:rsidRDefault="00ED1C55" w:rsidP="00ED1C55">
            <w:pPr>
              <w:jc w:val="center"/>
            </w:pPr>
            <w:r>
              <w:t>-</w:t>
            </w:r>
          </w:p>
        </w:tc>
        <w:tc>
          <w:tcPr>
            <w:tcW w:w="1276" w:type="dxa"/>
            <w:tcBorders>
              <w:bottom w:val="single" w:sz="4" w:space="0" w:color="auto"/>
            </w:tcBorders>
          </w:tcPr>
          <w:p w:rsidR="00ED1C55" w:rsidRPr="00127376" w:rsidRDefault="00ED1C55" w:rsidP="00ED1C55">
            <w:pPr>
              <w:jc w:val="center"/>
            </w:pPr>
            <w:r>
              <w:t>-</w:t>
            </w:r>
          </w:p>
        </w:tc>
        <w:tc>
          <w:tcPr>
            <w:tcW w:w="1275" w:type="dxa"/>
            <w:tcBorders>
              <w:bottom w:val="single" w:sz="4" w:space="0" w:color="auto"/>
            </w:tcBorders>
          </w:tcPr>
          <w:p w:rsidR="00ED1C55" w:rsidRPr="00127376" w:rsidRDefault="00ED1C55" w:rsidP="00ED1C55">
            <w:pPr>
              <w:jc w:val="center"/>
            </w:pPr>
            <w:r w:rsidRPr="00127376">
              <w:t>20</w:t>
            </w:r>
          </w:p>
        </w:tc>
        <w:tc>
          <w:tcPr>
            <w:tcW w:w="1123" w:type="dxa"/>
            <w:tcBorders>
              <w:bottom w:val="single" w:sz="4" w:space="0" w:color="auto"/>
            </w:tcBorders>
          </w:tcPr>
          <w:p w:rsidR="00ED1C55" w:rsidRPr="00127376" w:rsidRDefault="00ED1C55" w:rsidP="00ED1C55">
            <w:pPr>
              <w:jc w:val="center"/>
            </w:pPr>
            <w:r w:rsidRPr="00127376">
              <w:t>1</w:t>
            </w:r>
          </w:p>
        </w:tc>
      </w:tr>
      <w:tr w:rsidR="00ED1C55" w:rsidRPr="00091230" w:rsidTr="001B2339">
        <w:trPr>
          <w:trHeight w:val="20"/>
        </w:trPr>
        <w:tc>
          <w:tcPr>
            <w:tcW w:w="563" w:type="dxa"/>
            <w:tcBorders>
              <w:top w:val="single" w:sz="4" w:space="0" w:color="auto"/>
              <w:left w:val="single" w:sz="4" w:space="0" w:color="auto"/>
              <w:bottom w:val="single" w:sz="4" w:space="0" w:color="auto"/>
              <w:right w:val="single" w:sz="4" w:space="0" w:color="auto"/>
            </w:tcBorders>
          </w:tcPr>
          <w:p w:rsidR="00ED1C55" w:rsidRPr="00127376" w:rsidRDefault="00ED1C55" w:rsidP="00ED1C55"/>
        </w:tc>
        <w:tc>
          <w:tcPr>
            <w:tcW w:w="2267" w:type="dxa"/>
            <w:tcBorders>
              <w:top w:val="single" w:sz="4" w:space="0" w:color="auto"/>
              <w:left w:val="single" w:sz="4" w:space="0" w:color="auto"/>
              <w:bottom w:val="single" w:sz="4" w:space="0" w:color="auto"/>
              <w:right w:val="single" w:sz="4" w:space="0" w:color="auto"/>
            </w:tcBorders>
          </w:tcPr>
          <w:p w:rsidR="00ED1C55" w:rsidRPr="00127376" w:rsidRDefault="00ED1C55" w:rsidP="00ED1C55">
            <w:pPr>
              <w:autoSpaceDE/>
              <w:autoSpaceDN/>
              <w:adjustRightInd/>
              <w:ind w:left="-28"/>
              <w:jc w:val="both"/>
              <w:rPr>
                <w:color w:val="000000"/>
              </w:rPr>
            </w:pPr>
            <w:r w:rsidRPr="00127376">
              <w:rPr>
                <w:color w:val="000000"/>
              </w:rPr>
              <w:t>Всего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ED1C55" w:rsidRPr="00920B8E" w:rsidRDefault="00ED1C55" w:rsidP="00ED1C55">
            <w:pPr>
              <w:autoSpaceDE/>
              <w:autoSpaceDN/>
              <w:adjustRightInd/>
              <w:jc w:val="center"/>
              <w:rPr>
                <w:color w:val="000000"/>
              </w:rPr>
            </w:pPr>
            <w:r w:rsidRPr="00920B8E">
              <w:rPr>
                <w:color w:val="000000"/>
              </w:rPr>
              <w:t>299</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ED1C55" w:rsidRPr="00127376" w:rsidRDefault="00ED1C55" w:rsidP="00ED1C55">
            <w:pPr>
              <w:jc w:val="center"/>
              <w:rPr>
                <w:color w:val="000000"/>
              </w:rPr>
            </w:pPr>
            <w:r w:rsidRPr="00127376">
              <w:rPr>
                <w:color w:val="000000"/>
              </w:rPr>
              <w:t>1,812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ED1C55" w:rsidRPr="00127376" w:rsidRDefault="00ED1C55" w:rsidP="00ED1C55">
            <w:pPr>
              <w:jc w:val="center"/>
              <w:rPr>
                <w:color w:val="000000"/>
              </w:rPr>
            </w:pPr>
            <w:r w:rsidRPr="00127376">
              <w:rPr>
                <w:color w:val="000000"/>
              </w:rPr>
              <w:t>125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ED1C55" w:rsidRPr="00127376" w:rsidRDefault="00ED1C55" w:rsidP="00ED1C55">
            <w:pPr>
              <w:jc w:val="center"/>
              <w:rPr>
                <w:color w:val="000000"/>
              </w:rPr>
            </w:pPr>
            <w:r w:rsidRPr="00127376">
              <w:rPr>
                <w:color w:val="000000"/>
              </w:rPr>
              <w:t>2,0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ED1C55" w:rsidRPr="00127376" w:rsidRDefault="00ED1C55" w:rsidP="00ED1C55">
            <w:pPr>
              <w:jc w:val="center"/>
              <w:rPr>
                <w:color w:val="000000"/>
              </w:rPr>
            </w:pPr>
            <w:r w:rsidRPr="00127376">
              <w:rPr>
                <w:color w:val="000000"/>
              </w:rPr>
              <w:t xml:space="preserve">23 </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tcPr>
          <w:p w:rsidR="00ED1C55" w:rsidRPr="00127376" w:rsidRDefault="00ED1C55" w:rsidP="00ED1C55">
            <w:pPr>
              <w:jc w:val="center"/>
              <w:rPr>
                <w:color w:val="000000"/>
              </w:rPr>
            </w:pPr>
            <w:r w:rsidRPr="00127376">
              <w:rPr>
                <w:color w:val="000000"/>
              </w:rPr>
              <w:t>3</w:t>
            </w:r>
          </w:p>
        </w:tc>
      </w:tr>
    </w:tbl>
    <w:p w:rsidR="00127376" w:rsidRDefault="00127376" w:rsidP="004E231B">
      <w:pPr>
        <w:ind w:firstLine="709"/>
        <w:rPr>
          <w:sz w:val="28"/>
          <w:szCs w:val="28"/>
        </w:rPr>
      </w:pPr>
    </w:p>
    <w:p w:rsidR="004E231B" w:rsidRDefault="004E231B" w:rsidP="003A55D7">
      <w:pPr>
        <w:ind w:firstLine="709"/>
        <w:jc w:val="both"/>
        <w:rPr>
          <w:sz w:val="28"/>
          <w:szCs w:val="28"/>
        </w:rPr>
      </w:pPr>
      <w:r w:rsidRPr="001B1953">
        <w:rPr>
          <w:sz w:val="28"/>
          <w:szCs w:val="28"/>
        </w:rPr>
        <w:t xml:space="preserve">Перечень диагностических и лечебных структурных подразделений медицинских организаций </w:t>
      </w:r>
      <w:r w:rsidR="00BD2CD6" w:rsidRPr="001B1953">
        <w:rPr>
          <w:sz w:val="28"/>
          <w:szCs w:val="28"/>
        </w:rPr>
        <w:t xml:space="preserve">Республики Татарстан </w:t>
      </w:r>
      <w:r w:rsidR="00973E7A">
        <w:rPr>
          <w:sz w:val="28"/>
          <w:szCs w:val="28"/>
        </w:rPr>
        <w:t xml:space="preserve">представлен в </w:t>
      </w:r>
      <w:r w:rsidRPr="001B1953">
        <w:rPr>
          <w:sz w:val="28"/>
          <w:szCs w:val="28"/>
        </w:rPr>
        <w:t>таблиц</w:t>
      </w:r>
      <w:r w:rsidR="00973E7A">
        <w:rPr>
          <w:sz w:val="28"/>
          <w:szCs w:val="28"/>
        </w:rPr>
        <w:t>ах</w:t>
      </w:r>
      <w:r w:rsidRPr="001B1953">
        <w:rPr>
          <w:sz w:val="28"/>
          <w:szCs w:val="28"/>
        </w:rPr>
        <w:t xml:space="preserve"> </w:t>
      </w:r>
      <w:r w:rsidR="0059183C" w:rsidRPr="001B1953">
        <w:rPr>
          <w:sz w:val="28"/>
          <w:szCs w:val="28"/>
        </w:rPr>
        <w:t>2</w:t>
      </w:r>
      <w:r w:rsidR="00A96FB5" w:rsidRPr="001B1953">
        <w:rPr>
          <w:sz w:val="28"/>
          <w:szCs w:val="28"/>
        </w:rPr>
        <w:t>2</w:t>
      </w:r>
      <w:r w:rsidR="005E6DAD">
        <w:rPr>
          <w:sz w:val="28"/>
          <w:szCs w:val="28"/>
        </w:rPr>
        <w:t>,</w:t>
      </w:r>
      <w:r w:rsidR="00500F8B" w:rsidRPr="001B1953">
        <w:rPr>
          <w:sz w:val="28"/>
          <w:szCs w:val="28"/>
        </w:rPr>
        <w:t xml:space="preserve"> </w:t>
      </w:r>
      <w:r w:rsidR="0059183C" w:rsidRPr="001B1953">
        <w:rPr>
          <w:rFonts w:eastAsia="Arial"/>
          <w:sz w:val="28"/>
          <w:szCs w:val="28"/>
        </w:rPr>
        <w:t>22.1</w:t>
      </w:r>
      <w:r w:rsidRPr="001B1953">
        <w:rPr>
          <w:sz w:val="28"/>
          <w:szCs w:val="28"/>
        </w:rPr>
        <w:t>.</w:t>
      </w:r>
    </w:p>
    <w:p w:rsidR="003A55D7" w:rsidRPr="001B1953" w:rsidRDefault="003A55D7" w:rsidP="004E231B">
      <w:pPr>
        <w:ind w:firstLine="709"/>
        <w:rPr>
          <w:rFonts w:eastAsia="Arial"/>
          <w:sz w:val="28"/>
          <w:szCs w:val="28"/>
        </w:rPr>
      </w:pPr>
    </w:p>
    <w:p w:rsidR="00745C6A" w:rsidRDefault="00745C6A" w:rsidP="001B1953">
      <w:pPr>
        <w:ind w:left="8789"/>
        <w:rPr>
          <w:sz w:val="28"/>
          <w:szCs w:val="28"/>
        </w:rPr>
      </w:pPr>
      <w:r w:rsidRPr="001B1953">
        <w:rPr>
          <w:sz w:val="28"/>
          <w:szCs w:val="28"/>
        </w:rPr>
        <w:t>Таблица 22</w:t>
      </w:r>
    </w:p>
    <w:p w:rsidR="0059183C" w:rsidRDefault="0059183C" w:rsidP="00745C6A">
      <w:pPr>
        <w:ind w:left="7799"/>
        <w:rPr>
          <w:sz w:val="28"/>
          <w:szCs w:val="28"/>
        </w:rPr>
      </w:pPr>
    </w:p>
    <w:p w:rsidR="0059183C" w:rsidRDefault="0059183C" w:rsidP="003A55D7">
      <w:pPr>
        <w:ind w:left="142"/>
        <w:jc w:val="center"/>
        <w:rPr>
          <w:sz w:val="28"/>
          <w:szCs w:val="28"/>
        </w:rPr>
      </w:pPr>
      <w:r>
        <w:rPr>
          <w:sz w:val="28"/>
          <w:szCs w:val="28"/>
        </w:rPr>
        <w:t>Диагностические подразделения медицинских организаций</w:t>
      </w:r>
    </w:p>
    <w:p w:rsidR="0059183C" w:rsidRPr="00091230" w:rsidRDefault="0059183C" w:rsidP="0059183C">
      <w:pPr>
        <w:ind w:left="1418" w:firstLine="709"/>
        <w:rPr>
          <w:sz w:val="28"/>
          <w:szCs w:val="28"/>
        </w:rPr>
      </w:pPr>
    </w:p>
    <w:tbl>
      <w:tblPr>
        <w:tblStyle w:val="af1"/>
        <w:tblW w:w="0" w:type="auto"/>
        <w:tblBorders>
          <w:bottom w:val="none" w:sz="0" w:space="0" w:color="auto"/>
        </w:tblBorders>
        <w:tblLayout w:type="fixed"/>
        <w:tblLook w:val="04A0" w:firstRow="1" w:lastRow="0" w:firstColumn="1" w:lastColumn="0" w:noHBand="0" w:noVBand="1"/>
      </w:tblPr>
      <w:tblGrid>
        <w:gridCol w:w="2500"/>
        <w:gridCol w:w="2924"/>
        <w:gridCol w:w="3051"/>
        <w:gridCol w:w="1720"/>
      </w:tblGrid>
      <w:tr w:rsidR="00745C6A" w:rsidRPr="004C763D" w:rsidTr="004C763D">
        <w:trPr>
          <w:trHeight w:val="20"/>
        </w:trPr>
        <w:tc>
          <w:tcPr>
            <w:tcW w:w="2500" w:type="dxa"/>
          </w:tcPr>
          <w:p w:rsidR="00745C6A" w:rsidRPr="004C763D" w:rsidRDefault="00745C6A" w:rsidP="004C763D">
            <w:pPr>
              <w:jc w:val="center"/>
              <w:rPr>
                <w:sz w:val="20"/>
                <w:szCs w:val="20"/>
              </w:rPr>
            </w:pPr>
            <w:r w:rsidRPr="004C763D">
              <w:rPr>
                <w:sz w:val="20"/>
                <w:szCs w:val="20"/>
              </w:rPr>
              <w:t>Наименование медицинской организации</w:t>
            </w:r>
          </w:p>
        </w:tc>
        <w:tc>
          <w:tcPr>
            <w:tcW w:w="2924" w:type="dxa"/>
          </w:tcPr>
          <w:p w:rsidR="00745C6A" w:rsidRPr="004C763D" w:rsidRDefault="00745C6A" w:rsidP="004C763D">
            <w:pPr>
              <w:jc w:val="center"/>
              <w:rPr>
                <w:sz w:val="20"/>
                <w:szCs w:val="20"/>
              </w:rPr>
            </w:pPr>
            <w:r w:rsidRPr="004C763D">
              <w:rPr>
                <w:sz w:val="20"/>
                <w:szCs w:val="20"/>
              </w:rPr>
              <w:t>Наименование структурного подразделения</w:t>
            </w:r>
          </w:p>
        </w:tc>
        <w:tc>
          <w:tcPr>
            <w:tcW w:w="3051" w:type="dxa"/>
          </w:tcPr>
          <w:p w:rsidR="00745C6A" w:rsidRPr="004C763D" w:rsidRDefault="00745C6A" w:rsidP="004C763D">
            <w:pPr>
              <w:jc w:val="center"/>
              <w:rPr>
                <w:sz w:val="20"/>
                <w:szCs w:val="20"/>
              </w:rPr>
            </w:pPr>
            <w:r w:rsidRPr="004C763D">
              <w:rPr>
                <w:sz w:val="20"/>
                <w:szCs w:val="20"/>
              </w:rPr>
              <w:t>Наименование медицинского оборудования</w:t>
            </w:r>
          </w:p>
        </w:tc>
        <w:tc>
          <w:tcPr>
            <w:tcW w:w="1720" w:type="dxa"/>
          </w:tcPr>
          <w:p w:rsidR="00745C6A" w:rsidRPr="004C763D" w:rsidRDefault="00745C6A" w:rsidP="004C763D">
            <w:pPr>
              <w:jc w:val="center"/>
              <w:rPr>
                <w:sz w:val="20"/>
                <w:szCs w:val="20"/>
              </w:rPr>
            </w:pPr>
            <w:r w:rsidRPr="004C763D">
              <w:rPr>
                <w:sz w:val="20"/>
                <w:szCs w:val="20"/>
              </w:rPr>
              <w:t>Количество исследований в смену</w:t>
            </w:r>
          </w:p>
        </w:tc>
      </w:tr>
    </w:tbl>
    <w:p w:rsidR="004C763D" w:rsidRPr="004C763D" w:rsidRDefault="004C763D">
      <w:pPr>
        <w:rPr>
          <w:sz w:val="2"/>
          <w:szCs w:val="2"/>
        </w:rPr>
      </w:pPr>
    </w:p>
    <w:tbl>
      <w:tblPr>
        <w:tblStyle w:val="af1"/>
        <w:tblW w:w="0" w:type="auto"/>
        <w:tblLayout w:type="fixed"/>
        <w:tblLook w:val="04A0" w:firstRow="1" w:lastRow="0" w:firstColumn="1" w:lastColumn="0" w:noHBand="0" w:noVBand="1"/>
      </w:tblPr>
      <w:tblGrid>
        <w:gridCol w:w="2500"/>
        <w:gridCol w:w="2924"/>
        <w:gridCol w:w="3051"/>
        <w:gridCol w:w="1720"/>
      </w:tblGrid>
      <w:tr w:rsidR="00745C6A" w:rsidRPr="00D72A71" w:rsidTr="004C763D">
        <w:trPr>
          <w:trHeight w:val="20"/>
          <w:tblHeader/>
        </w:trPr>
        <w:tc>
          <w:tcPr>
            <w:tcW w:w="2500" w:type="dxa"/>
          </w:tcPr>
          <w:p w:rsidR="00745C6A" w:rsidRPr="00D72A71" w:rsidRDefault="00745C6A" w:rsidP="004C763D">
            <w:pPr>
              <w:jc w:val="center"/>
              <w:rPr>
                <w:sz w:val="20"/>
                <w:szCs w:val="20"/>
              </w:rPr>
            </w:pPr>
            <w:r w:rsidRPr="00D72A71">
              <w:rPr>
                <w:sz w:val="20"/>
                <w:szCs w:val="20"/>
              </w:rPr>
              <w:t>1</w:t>
            </w:r>
          </w:p>
        </w:tc>
        <w:tc>
          <w:tcPr>
            <w:tcW w:w="2924" w:type="dxa"/>
          </w:tcPr>
          <w:p w:rsidR="00745C6A" w:rsidRPr="00D72A71" w:rsidRDefault="001B1953" w:rsidP="004C763D">
            <w:pPr>
              <w:jc w:val="center"/>
              <w:rPr>
                <w:sz w:val="20"/>
                <w:szCs w:val="20"/>
              </w:rPr>
            </w:pPr>
            <w:r w:rsidRPr="00D72A71">
              <w:rPr>
                <w:sz w:val="20"/>
                <w:szCs w:val="20"/>
              </w:rPr>
              <w:t>2</w:t>
            </w:r>
          </w:p>
        </w:tc>
        <w:tc>
          <w:tcPr>
            <w:tcW w:w="3051" w:type="dxa"/>
          </w:tcPr>
          <w:p w:rsidR="00745C6A" w:rsidRPr="00D72A71" w:rsidRDefault="001B1953" w:rsidP="004C763D">
            <w:pPr>
              <w:jc w:val="center"/>
              <w:rPr>
                <w:sz w:val="20"/>
                <w:szCs w:val="20"/>
              </w:rPr>
            </w:pPr>
            <w:r w:rsidRPr="00D72A71">
              <w:rPr>
                <w:sz w:val="20"/>
                <w:szCs w:val="20"/>
              </w:rPr>
              <w:t>3</w:t>
            </w:r>
          </w:p>
        </w:tc>
        <w:tc>
          <w:tcPr>
            <w:tcW w:w="1720" w:type="dxa"/>
          </w:tcPr>
          <w:p w:rsidR="00745C6A" w:rsidRPr="00D72A71" w:rsidRDefault="001B1953" w:rsidP="004C763D">
            <w:pPr>
              <w:jc w:val="center"/>
              <w:rPr>
                <w:sz w:val="20"/>
                <w:szCs w:val="20"/>
              </w:rPr>
            </w:pPr>
            <w:r w:rsidRPr="00D72A71">
              <w:rPr>
                <w:sz w:val="20"/>
                <w:szCs w:val="20"/>
              </w:rPr>
              <w:t>4</w:t>
            </w:r>
          </w:p>
        </w:tc>
      </w:tr>
      <w:tr w:rsidR="001B1953" w:rsidRPr="00D72A71" w:rsidTr="004C763D">
        <w:trPr>
          <w:trHeight w:val="20"/>
        </w:trPr>
        <w:tc>
          <w:tcPr>
            <w:tcW w:w="2500" w:type="dxa"/>
            <w:vMerge w:val="restart"/>
          </w:tcPr>
          <w:p w:rsidR="001B1953" w:rsidRPr="00D72A71" w:rsidRDefault="001B1953" w:rsidP="004C763D">
            <w:pPr>
              <w:jc w:val="both"/>
              <w:rPr>
                <w:color w:val="000000"/>
                <w:sz w:val="20"/>
                <w:szCs w:val="20"/>
              </w:rPr>
            </w:pPr>
            <w:r w:rsidRPr="00D72A71">
              <w:rPr>
                <w:color w:val="000000"/>
                <w:sz w:val="20"/>
                <w:szCs w:val="20"/>
              </w:rPr>
              <w:t>ГАУЗ «Городская поликлиника № 21» г.Казани</w:t>
            </w:r>
          </w:p>
        </w:tc>
        <w:tc>
          <w:tcPr>
            <w:tcW w:w="2924" w:type="dxa"/>
          </w:tcPr>
          <w:p w:rsidR="001B1953" w:rsidRPr="00D72A71" w:rsidRDefault="001B1953" w:rsidP="004C763D">
            <w:pPr>
              <w:jc w:val="both"/>
              <w:rPr>
                <w:sz w:val="20"/>
                <w:szCs w:val="20"/>
              </w:rPr>
            </w:pPr>
            <w:r w:rsidRPr="00D72A71">
              <w:rPr>
                <w:sz w:val="20"/>
                <w:szCs w:val="20"/>
              </w:rPr>
              <w:t>Кабинет ультразвуковой диагностики</w:t>
            </w:r>
          </w:p>
        </w:tc>
        <w:tc>
          <w:tcPr>
            <w:tcW w:w="3051" w:type="dxa"/>
          </w:tcPr>
          <w:p w:rsidR="001B1953" w:rsidRPr="00D72A71" w:rsidRDefault="001B1953" w:rsidP="004563E4">
            <w:pPr>
              <w:jc w:val="both"/>
              <w:rPr>
                <w:sz w:val="20"/>
                <w:szCs w:val="20"/>
              </w:rPr>
            </w:pPr>
            <w:r w:rsidRPr="00D72A71">
              <w:rPr>
                <w:sz w:val="20"/>
                <w:szCs w:val="20"/>
              </w:rPr>
              <w:t xml:space="preserve">Аппарат </w:t>
            </w:r>
            <w:r w:rsidR="004563E4">
              <w:rPr>
                <w:rFonts w:eastAsia="Arial"/>
                <w:sz w:val="20"/>
                <w:szCs w:val="20"/>
              </w:rPr>
              <w:t>для ультразвуковых исследований</w:t>
            </w:r>
          </w:p>
        </w:tc>
        <w:tc>
          <w:tcPr>
            <w:tcW w:w="1720" w:type="dxa"/>
          </w:tcPr>
          <w:p w:rsidR="001B1953" w:rsidRPr="00D72A71" w:rsidRDefault="001B1953" w:rsidP="004C763D">
            <w:pPr>
              <w:jc w:val="center"/>
              <w:rPr>
                <w:sz w:val="20"/>
                <w:szCs w:val="20"/>
              </w:rPr>
            </w:pPr>
            <w:r w:rsidRPr="00D72A71">
              <w:rPr>
                <w:sz w:val="20"/>
                <w:szCs w:val="20"/>
              </w:rPr>
              <w:t>226,4</w:t>
            </w:r>
          </w:p>
        </w:tc>
      </w:tr>
      <w:tr w:rsidR="001B1953" w:rsidRPr="00D72A71" w:rsidTr="004C763D">
        <w:trPr>
          <w:trHeight w:val="20"/>
        </w:trPr>
        <w:tc>
          <w:tcPr>
            <w:tcW w:w="2500" w:type="dxa"/>
            <w:vMerge/>
            <w:vAlign w:val="center"/>
          </w:tcPr>
          <w:p w:rsidR="001B1953" w:rsidRPr="00D72A71" w:rsidRDefault="001B1953" w:rsidP="004C763D">
            <w:pPr>
              <w:jc w:val="both"/>
              <w:rPr>
                <w:color w:val="000000"/>
                <w:sz w:val="20"/>
                <w:szCs w:val="20"/>
              </w:rPr>
            </w:pPr>
          </w:p>
        </w:tc>
        <w:tc>
          <w:tcPr>
            <w:tcW w:w="2924" w:type="dxa"/>
          </w:tcPr>
          <w:p w:rsidR="001B1953" w:rsidRPr="00D72A71" w:rsidRDefault="001B1953" w:rsidP="005E6DAD">
            <w:pPr>
              <w:jc w:val="both"/>
              <w:rPr>
                <w:sz w:val="20"/>
                <w:szCs w:val="20"/>
              </w:rPr>
            </w:pPr>
            <w:r w:rsidRPr="00D72A71">
              <w:rPr>
                <w:sz w:val="20"/>
                <w:szCs w:val="20"/>
              </w:rPr>
              <w:t>Кабин</w:t>
            </w:r>
            <w:r w:rsidR="005E6DAD">
              <w:rPr>
                <w:sz w:val="20"/>
                <w:szCs w:val="20"/>
              </w:rPr>
              <w:t>е</w:t>
            </w:r>
            <w:r w:rsidRPr="00D72A71">
              <w:rPr>
                <w:sz w:val="20"/>
                <w:szCs w:val="20"/>
              </w:rPr>
              <w:t>т эндоскопической диагностики</w:t>
            </w:r>
          </w:p>
        </w:tc>
        <w:tc>
          <w:tcPr>
            <w:tcW w:w="3051" w:type="dxa"/>
          </w:tcPr>
          <w:p w:rsidR="001B1953" w:rsidRPr="00D72A71" w:rsidRDefault="001B1953" w:rsidP="004C763D">
            <w:pPr>
              <w:jc w:val="both"/>
              <w:rPr>
                <w:sz w:val="20"/>
                <w:szCs w:val="20"/>
              </w:rPr>
            </w:pPr>
            <w:r w:rsidRPr="00D72A71">
              <w:rPr>
                <w:sz w:val="20"/>
                <w:szCs w:val="20"/>
              </w:rPr>
              <w:t>Гастроскоп</w:t>
            </w:r>
          </w:p>
        </w:tc>
        <w:tc>
          <w:tcPr>
            <w:tcW w:w="1720" w:type="dxa"/>
          </w:tcPr>
          <w:p w:rsidR="001B1953" w:rsidRPr="00D72A71" w:rsidRDefault="001B1953" w:rsidP="004C763D">
            <w:pPr>
              <w:jc w:val="center"/>
              <w:rPr>
                <w:sz w:val="20"/>
                <w:szCs w:val="20"/>
              </w:rPr>
            </w:pPr>
            <w:r w:rsidRPr="00D72A71">
              <w:rPr>
                <w:sz w:val="20"/>
                <w:szCs w:val="20"/>
              </w:rPr>
              <w:t>14,7</w:t>
            </w:r>
          </w:p>
        </w:tc>
      </w:tr>
      <w:tr w:rsidR="001B1953" w:rsidRPr="00D72A71" w:rsidTr="004C763D">
        <w:trPr>
          <w:trHeight w:val="20"/>
        </w:trPr>
        <w:tc>
          <w:tcPr>
            <w:tcW w:w="2500" w:type="dxa"/>
            <w:vMerge/>
            <w:vAlign w:val="center"/>
          </w:tcPr>
          <w:p w:rsidR="001B1953" w:rsidRPr="00D72A71" w:rsidRDefault="001B1953" w:rsidP="004C763D">
            <w:pPr>
              <w:jc w:val="both"/>
              <w:rPr>
                <w:color w:val="000000"/>
                <w:sz w:val="20"/>
                <w:szCs w:val="20"/>
              </w:rPr>
            </w:pPr>
          </w:p>
        </w:tc>
        <w:tc>
          <w:tcPr>
            <w:tcW w:w="2924" w:type="dxa"/>
          </w:tcPr>
          <w:p w:rsidR="001B1953" w:rsidRPr="00D72A71" w:rsidRDefault="005E6DAD" w:rsidP="004C763D">
            <w:pPr>
              <w:jc w:val="both"/>
              <w:rPr>
                <w:sz w:val="20"/>
                <w:szCs w:val="20"/>
              </w:rPr>
            </w:pPr>
            <w:r w:rsidRPr="00D72A71">
              <w:rPr>
                <w:sz w:val="20"/>
                <w:szCs w:val="20"/>
              </w:rPr>
              <w:t>Кабин</w:t>
            </w:r>
            <w:r>
              <w:rPr>
                <w:sz w:val="20"/>
                <w:szCs w:val="20"/>
              </w:rPr>
              <w:t>е</w:t>
            </w:r>
            <w:r w:rsidRPr="00D72A71">
              <w:rPr>
                <w:sz w:val="20"/>
                <w:szCs w:val="20"/>
              </w:rPr>
              <w:t xml:space="preserve">т </w:t>
            </w:r>
            <w:r w:rsidR="001B1953" w:rsidRPr="00D72A71">
              <w:rPr>
                <w:sz w:val="20"/>
                <w:szCs w:val="20"/>
              </w:rPr>
              <w:t>эндоскопической диагностики</w:t>
            </w:r>
          </w:p>
        </w:tc>
        <w:tc>
          <w:tcPr>
            <w:tcW w:w="3051" w:type="dxa"/>
          </w:tcPr>
          <w:p w:rsidR="001B1953" w:rsidRPr="00D72A71" w:rsidRDefault="001B1953" w:rsidP="004C763D">
            <w:pPr>
              <w:jc w:val="both"/>
              <w:rPr>
                <w:sz w:val="20"/>
                <w:szCs w:val="20"/>
              </w:rPr>
            </w:pPr>
            <w:r w:rsidRPr="00D72A71">
              <w:rPr>
                <w:sz w:val="20"/>
                <w:szCs w:val="20"/>
              </w:rPr>
              <w:t>Колоноскоп</w:t>
            </w:r>
          </w:p>
        </w:tc>
        <w:tc>
          <w:tcPr>
            <w:tcW w:w="1720" w:type="dxa"/>
          </w:tcPr>
          <w:p w:rsidR="001B1953" w:rsidRPr="00D72A71" w:rsidRDefault="001B1953" w:rsidP="004C763D">
            <w:pPr>
              <w:jc w:val="center"/>
              <w:rPr>
                <w:sz w:val="20"/>
                <w:szCs w:val="20"/>
              </w:rPr>
            </w:pPr>
            <w:r w:rsidRPr="00D72A71">
              <w:rPr>
                <w:sz w:val="20"/>
                <w:szCs w:val="20"/>
              </w:rPr>
              <w:t>4,0</w:t>
            </w:r>
          </w:p>
        </w:tc>
      </w:tr>
      <w:tr w:rsidR="001B1953" w:rsidRPr="00D72A71" w:rsidTr="004C763D">
        <w:trPr>
          <w:trHeight w:val="20"/>
        </w:trPr>
        <w:tc>
          <w:tcPr>
            <w:tcW w:w="2500" w:type="dxa"/>
            <w:vMerge/>
            <w:vAlign w:val="center"/>
          </w:tcPr>
          <w:p w:rsidR="001B1953" w:rsidRPr="00D72A71" w:rsidRDefault="001B1953" w:rsidP="004C763D">
            <w:pPr>
              <w:jc w:val="both"/>
              <w:rPr>
                <w:color w:val="000000"/>
                <w:sz w:val="20"/>
                <w:szCs w:val="20"/>
              </w:rPr>
            </w:pPr>
          </w:p>
        </w:tc>
        <w:tc>
          <w:tcPr>
            <w:tcW w:w="2924" w:type="dxa"/>
          </w:tcPr>
          <w:p w:rsidR="001B1953" w:rsidRPr="00D72A71" w:rsidRDefault="005E6DAD" w:rsidP="004C763D">
            <w:pPr>
              <w:jc w:val="both"/>
              <w:rPr>
                <w:sz w:val="20"/>
                <w:szCs w:val="20"/>
              </w:rPr>
            </w:pPr>
            <w:r w:rsidRPr="00D72A71">
              <w:rPr>
                <w:sz w:val="20"/>
                <w:szCs w:val="20"/>
              </w:rPr>
              <w:t>Кабин</w:t>
            </w:r>
            <w:r>
              <w:rPr>
                <w:sz w:val="20"/>
                <w:szCs w:val="20"/>
              </w:rPr>
              <w:t>е</w:t>
            </w:r>
            <w:r w:rsidRPr="00D72A71">
              <w:rPr>
                <w:sz w:val="20"/>
                <w:szCs w:val="20"/>
              </w:rPr>
              <w:t xml:space="preserve">т </w:t>
            </w:r>
            <w:r w:rsidR="001B1953" w:rsidRPr="00D72A71">
              <w:rPr>
                <w:sz w:val="20"/>
                <w:szCs w:val="20"/>
              </w:rPr>
              <w:t>рентгеновской диагностики</w:t>
            </w:r>
          </w:p>
        </w:tc>
        <w:tc>
          <w:tcPr>
            <w:tcW w:w="3051" w:type="dxa"/>
          </w:tcPr>
          <w:p w:rsidR="001B1953" w:rsidRPr="00D72A71" w:rsidRDefault="001B1953" w:rsidP="004C763D">
            <w:pPr>
              <w:jc w:val="both"/>
              <w:rPr>
                <w:sz w:val="20"/>
                <w:szCs w:val="20"/>
              </w:rPr>
            </w:pPr>
            <w:r w:rsidRPr="00D72A71">
              <w:rPr>
                <w:sz w:val="20"/>
                <w:szCs w:val="20"/>
              </w:rPr>
              <w:t>Рентгенодиагностическое</w:t>
            </w:r>
            <w:r w:rsidR="005E6DAD">
              <w:rPr>
                <w:sz w:val="20"/>
                <w:szCs w:val="20"/>
              </w:rPr>
              <w:t xml:space="preserve"> оборудование</w:t>
            </w:r>
          </w:p>
        </w:tc>
        <w:tc>
          <w:tcPr>
            <w:tcW w:w="1720" w:type="dxa"/>
          </w:tcPr>
          <w:p w:rsidR="001B1953" w:rsidRPr="00D72A71" w:rsidRDefault="001B1953" w:rsidP="004C763D">
            <w:pPr>
              <w:jc w:val="center"/>
              <w:rPr>
                <w:sz w:val="20"/>
                <w:szCs w:val="20"/>
              </w:rPr>
            </w:pPr>
            <w:r w:rsidRPr="00D72A71">
              <w:rPr>
                <w:sz w:val="20"/>
                <w:szCs w:val="20"/>
              </w:rPr>
              <w:t>47</w:t>
            </w:r>
          </w:p>
        </w:tc>
      </w:tr>
      <w:tr w:rsidR="001B1953" w:rsidRPr="00D72A71" w:rsidTr="004C763D">
        <w:trPr>
          <w:trHeight w:val="20"/>
        </w:trPr>
        <w:tc>
          <w:tcPr>
            <w:tcW w:w="2500" w:type="dxa"/>
            <w:vMerge/>
            <w:vAlign w:val="center"/>
          </w:tcPr>
          <w:p w:rsidR="001B1953" w:rsidRPr="00D72A71" w:rsidRDefault="001B1953" w:rsidP="004C763D">
            <w:pPr>
              <w:jc w:val="both"/>
              <w:rPr>
                <w:color w:val="000000"/>
                <w:sz w:val="20"/>
                <w:szCs w:val="20"/>
              </w:rPr>
            </w:pPr>
          </w:p>
        </w:tc>
        <w:tc>
          <w:tcPr>
            <w:tcW w:w="2924" w:type="dxa"/>
          </w:tcPr>
          <w:p w:rsidR="001B1953" w:rsidRPr="00D72A71" w:rsidRDefault="005E6DAD" w:rsidP="004C763D">
            <w:pPr>
              <w:jc w:val="both"/>
              <w:rPr>
                <w:sz w:val="20"/>
                <w:szCs w:val="20"/>
              </w:rPr>
            </w:pPr>
            <w:r w:rsidRPr="00D72A71">
              <w:rPr>
                <w:sz w:val="20"/>
                <w:szCs w:val="20"/>
              </w:rPr>
              <w:t>Кабин</w:t>
            </w:r>
            <w:r>
              <w:rPr>
                <w:sz w:val="20"/>
                <w:szCs w:val="20"/>
              </w:rPr>
              <w:t>е</w:t>
            </w:r>
            <w:r w:rsidRPr="00D72A71">
              <w:rPr>
                <w:sz w:val="20"/>
                <w:szCs w:val="20"/>
              </w:rPr>
              <w:t xml:space="preserve">т </w:t>
            </w:r>
            <w:r w:rsidR="001B1953" w:rsidRPr="00D72A71">
              <w:rPr>
                <w:sz w:val="20"/>
                <w:szCs w:val="20"/>
              </w:rPr>
              <w:t>маммографии</w:t>
            </w:r>
          </w:p>
        </w:tc>
        <w:tc>
          <w:tcPr>
            <w:tcW w:w="3051" w:type="dxa"/>
          </w:tcPr>
          <w:p w:rsidR="001B1953" w:rsidRPr="00D72A71" w:rsidRDefault="005E6DAD" w:rsidP="004C763D">
            <w:pPr>
              <w:jc w:val="both"/>
              <w:rPr>
                <w:sz w:val="20"/>
                <w:szCs w:val="20"/>
              </w:rPr>
            </w:pPr>
            <w:r>
              <w:rPr>
                <w:sz w:val="20"/>
                <w:szCs w:val="20"/>
              </w:rPr>
              <w:t>Маммограф</w:t>
            </w:r>
          </w:p>
        </w:tc>
        <w:tc>
          <w:tcPr>
            <w:tcW w:w="1720" w:type="dxa"/>
          </w:tcPr>
          <w:p w:rsidR="001B1953" w:rsidRPr="00D72A71" w:rsidRDefault="001B1953" w:rsidP="004C763D">
            <w:pPr>
              <w:jc w:val="center"/>
              <w:rPr>
                <w:sz w:val="20"/>
                <w:szCs w:val="20"/>
              </w:rPr>
            </w:pPr>
            <w:r w:rsidRPr="00D72A71">
              <w:rPr>
                <w:sz w:val="20"/>
                <w:szCs w:val="20"/>
              </w:rPr>
              <w:t>19</w:t>
            </w:r>
          </w:p>
        </w:tc>
      </w:tr>
      <w:tr w:rsidR="001B1953" w:rsidRPr="00D72A71" w:rsidTr="004C763D">
        <w:trPr>
          <w:trHeight w:val="20"/>
        </w:trPr>
        <w:tc>
          <w:tcPr>
            <w:tcW w:w="2500" w:type="dxa"/>
            <w:vMerge/>
            <w:vAlign w:val="center"/>
          </w:tcPr>
          <w:p w:rsidR="001B1953" w:rsidRPr="00D72A71" w:rsidRDefault="001B1953" w:rsidP="004C763D">
            <w:pPr>
              <w:jc w:val="both"/>
              <w:rPr>
                <w:color w:val="000000"/>
                <w:sz w:val="20"/>
                <w:szCs w:val="20"/>
              </w:rPr>
            </w:pPr>
          </w:p>
        </w:tc>
        <w:tc>
          <w:tcPr>
            <w:tcW w:w="2924" w:type="dxa"/>
          </w:tcPr>
          <w:p w:rsidR="001B1953" w:rsidRPr="00D72A71" w:rsidRDefault="005E6DAD" w:rsidP="005E6DAD">
            <w:pPr>
              <w:jc w:val="both"/>
              <w:rPr>
                <w:sz w:val="20"/>
                <w:szCs w:val="20"/>
              </w:rPr>
            </w:pPr>
            <w:r w:rsidRPr="00D72A71">
              <w:rPr>
                <w:sz w:val="20"/>
                <w:szCs w:val="20"/>
              </w:rPr>
              <w:t>Кабин</w:t>
            </w:r>
            <w:r>
              <w:rPr>
                <w:sz w:val="20"/>
                <w:szCs w:val="20"/>
              </w:rPr>
              <w:t>е</w:t>
            </w:r>
            <w:r w:rsidRPr="00D72A71">
              <w:rPr>
                <w:sz w:val="20"/>
                <w:szCs w:val="20"/>
              </w:rPr>
              <w:t xml:space="preserve">т </w:t>
            </w:r>
            <w:r>
              <w:rPr>
                <w:sz w:val="20"/>
                <w:szCs w:val="20"/>
              </w:rPr>
              <w:t>ф</w:t>
            </w:r>
            <w:r w:rsidR="001B1953" w:rsidRPr="00D72A71">
              <w:rPr>
                <w:sz w:val="20"/>
                <w:szCs w:val="20"/>
              </w:rPr>
              <w:t>люорографии</w:t>
            </w:r>
          </w:p>
        </w:tc>
        <w:tc>
          <w:tcPr>
            <w:tcW w:w="3051" w:type="dxa"/>
          </w:tcPr>
          <w:p w:rsidR="001B1953" w:rsidRPr="00D72A71" w:rsidRDefault="001B1953" w:rsidP="004C763D">
            <w:pPr>
              <w:jc w:val="both"/>
              <w:rPr>
                <w:sz w:val="20"/>
                <w:szCs w:val="20"/>
              </w:rPr>
            </w:pPr>
            <w:r w:rsidRPr="00D72A71">
              <w:rPr>
                <w:sz w:val="20"/>
                <w:szCs w:val="20"/>
              </w:rPr>
              <w:t>Флюорограф</w:t>
            </w:r>
          </w:p>
        </w:tc>
        <w:tc>
          <w:tcPr>
            <w:tcW w:w="1720" w:type="dxa"/>
          </w:tcPr>
          <w:p w:rsidR="001B1953" w:rsidRPr="00D72A71" w:rsidRDefault="001B1953" w:rsidP="004C763D">
            <w:pPr>
              <w:jc w:val="center"/>
              <w:rPr>
                <w:sz w:val="20"/>
                <w:szCs w:val="20"/>
              </w:rPr>
            </w:pPr>
            <w:r w:rsidRPr="00D72A71">
              <w:rPr>
                <w:sz w:val="20"/>
                <w:szCs w:val="20"/>
              </w:rPr>
              <w:t>94,3</w:t>
            </w:r>
          </w:p>
        </w:tc>
      </w:tr>
      <w:tr w:rsidR="001B1953" w:rsidRPr="00D72A71" w:rsidTr="004C763D">
        <w:trPr>
          <w:trHeight w:val="20"/>
        </w:trPr>
        <w:tc>
          <w:tcPr>
            <w:tcW w:w="2500" w:type="dxa"/>
            <w:vMerge w:val="restart"/>
          </w:tcPr>
          <w:p w:rsidR="001B1953" w:rsidRPr="00D72A71" w:rsidRDefault="001B1953" w:rsidP="004C763D">
            <w:pPr>
              <w:jc w:val="both"/>
              <w:rPr>
                <w:color w:val="000000"/>
                <w:sz w:val="20"/>
                <w:szCs w:val="20"/>
              </w:rPr>
            </w:pPr>
            <w:r w:rsidRPr="00D72A71">
              <w:rPr>
                <w:color w:val="000000"/>
                <w:sz w:val="20"/>
                <w:szCs w:val="20"/>
              </w:rPr>
              <w:t>ГАУЗ «Зеленодольская ЦРБ»</w:t>
            </w:r>
          </w:p>
        </w:tc>
        <w:tc>
          <w:tcPr>
            <w:tcW w:w="2924" w:type="dxa"/>
          </w:tcPr>
          <w:p w:rsidR="001B1953" w:rsidRPr="00D72A71" w:rsidRDefault="001B1953" w:rsidP="004C763D">
            <w:pPr>
              <w:jc w:val="both"/>
              <w:rPr>
                <w:sz w:val="20"/>
                <w:szCs w:val="20"/>
              </w:rPr>
            </w:pPr>
            <w:r w:rsidRPr="00D72A71">
              <w:rPr>
                <w:sz w:val="20"/>
                <w:szCs w:val="20"/>
              </w:rPr>
              <w:t>Отделение ультразвуко</w:t>
            </w:r>
            <w:r w:rsidR="000F14B6">
              <w:rPr>
                <w:sz w:val="20"/>
                <w:szCs w:val="20"/>
              </w:rPr>
              <w:t>во</w:t>
            </w:r>
            <w:r w:rsidRPr="00D72A71">
              <w:rPr>
                <w:sz w:val="20"/>
                <w:szCs w:val="20"/>
              </w:rPr>
              <w:t>й диагностики</w:t>
            </w:r>
          </w:p>
        </w:tc>
        <w:tc>
          <w:tcPr>
            <w:tcW w:w="3051" w:type="dxa"/>
          </w:tcPr>
          <w:p w:rsidR="001B1953" w:rsidRPr="00D72A71" w:rsidRDefault="004563E4" w:rsidP="005E6DAD">
            <w:pPr>
              <w:jc w:val="both"/>
              <w:rPr>
                <w:sz w:val="20"/>
                <w:szCs w:val="20"/>
              </w:rPr>
            </w:pPr>
            <w:r>
              <w:rPr>
                <w:sz w:val="20"/>
                <w:szCs w:val="20"/>
              </w:rPr>
              <w:t xml:space="preserve">Аппарат </w:t>
            </w:r>
            <w:r>
              <w:rPr>
                <w:rFonts w:eastAsia="Arial"/>
                <w:sz w:val="20"/>
                <w:szCs w:val="20"/>
              </w:rPr>
              <w:t>для ультразвуковых исследований</w:t>
            </w:r>
          </w:p>
        </w:tc>
        <w:tc>
          <w:tcPr>
            <w:tcW w:w="1720" w:type="dxa"/>
          </w:tcPr>
          <w:p w:rsidR="001B1953" w:rsidRPr="00D72A71" w:rsidRDefault="001B1953" w:rsidP="004C763D">
            <w:pPr>
              <w:jc w:val="center"/>
              <w:rPr>
                <w:sz w:val="20"/>
                <w:szCs w:val="20"/>
              </w:rPr>
            </w:pPr>
            <w:r w:rsidRPr="00D72A71">
              <w:rPr>
                <w:sz w:val="20"/>
                <w:szCs w:val="20"/>
              </w:rPr>
              <w:t>498,2</w:t>
            </w:r>
          </w:p>
        </w:tc>
      </w:tr>
      <w:tr w:rsidR="001B1953" w:rsidRPr="00D72A71" w:rsidTr="004C763D">
        <w:trPr>
          <w:trHeight w:val="20"/>
        </w:trPr>
        <w:tc>
          <w:tcPr>
            <w:tcW w:w="2500" w:type="dxa"/>
            <w:vMerge/>
            <w:vAlign w:val="center"/>
          </w:tcPr>
          <w:p w:rsidR="001B1953" w:rsidRPr="00D72A71" w:rsidRDefault="001B1953" w:rsidP="004C763D">
            <w:pPr>
              <w:jc w:val="both"/>
              <w:rPr>
                <w:color w:val="000000"/>
                <w:sz w:val="20"/>
                <w:szCs w:val="20"/>
              </w:rPr>
            </w:pPr>
          </w:p>
        </w:tc>
        <w:tc>
          <w:tcPr>
            <w:tcW w:w="2924" w:type="dxa"/>
          </w:tcPr>
          <w:p w:rsidR="001B1953" w:rsidRPr="00D72A71" w:rsidRDefault="005E6DAD" w:rsidP="004C763D">
            <w:pPr>
              <w:jc w:val="both"/>
              <w:rPr>
                <w:sz w:val="20"/>
                <w:szCs w:val="20"/>
              </w:rPr>
            </w:pPr>
            <w:r w:rsidRPr="00D72A71">
              <w:rPr>
                <w:sz w:val="20"/>
                <w:szCs w:val="20"/>
              </w:rPr>
              <w:t>Кабин</w:t>
            </w:r>
            <w:r>
              <w:rPr>
                <w:sz w:val="20"/>
                <w:szCs w:val="20"/>
              </w:rPr>
              <w:t>е</w:t>
            </w:r>
            <w:r w:rsidRPr="00D72A71">
              <w:rPr>
                <w:sz w:val="20"/>
                <w:szCs w:val="20"/>
              </w:rPr>
              <w:t xml:space="preserve">т </w:t>
            </w:r>
            <w:r w:rsidR="001B1953" w:rsidRPr="00D72A71">
              <w:rPr>
                <w:sz w:val="20"/>
                <w:szCs w:val="20"/>
              </w:rPr>
              <w:t>эндоскопической диагностики</w:t>
            </w:r>
          </w:p>
        </w:tc>
        <w:tc>
          <w:tcPr>
            <w:tcW w:w="3051" w:type="dxa"/>
          </w:tcPr>
          <w:p w:rsidR="001B1953" w:rsidRPr="00D72A71" w:rsidRDefault="001B1953" w:rsidP="004C763D">
            <w:pPr>
              <w:jc w:val="both"/>
              <w:rPr>
                <w:sz w:val="20"/>
                <w:szCs w:val="20"/>
              </w:rPr>
            </w:pPr>
            <w:r w:rsidRPr="00D72A71">
              <w:rPr>
                <w:sz w:val="20"/>
                <w:szCs w:val="20"/>
              </w:rPr>
              <w:t>Бронхоскоп</w:t>
            </w:r>
          </w:p>
        </w:tc>
        <w:tc>
          <w:tcPr>
            <w:tcW w:w="1720" w:type="dxa"/>
          </w:tcPr>
          <w:p w:rsidR="001B1953" w:rsidRPr="00D72A71" w:rsidRDefault="001B1953" w:rsidP="004C763D">
            <w:pPr>
              <w:jc w:val="center"/>
              <w:rPr>
                <w:sz w:val="20"/>
                <w:szCs w:val="20"/>
              </w:rPr>
            </w:pPr>
            <w:r w:rsidRPr="00D72A71">
              <w:rPr>
                <w:sz w:val="20"/>
                <w:szCs w:val="20"/>
              </w:rPr>
              <w:t>0,5</w:t>
            </w:r>
          </w:p>
        </w:tc>
      </w:tr>
      <w:tr w:rsidR="001B1953" w:rsidRPr="00D72A71" w:rsidTr="004C763D">
        <w:trPr>
          <w:trHeight w:val="20"/>
        </w:trPr>
        <w:tc>
          <w:tcPr>
            <w:tcW w:w="2500" w:type="dxa"/>
            <w:vMerge/>
            <w:vAlign w:val="center"/>
          </w:tcPr>
          <w:p w:rsidR="001B1953" w:rsidRPr="00D72A71" w:rsidRDefault="001B1953" w:rsidP="004C763D">
            <w:pPr>
              <w:jc w:val="both"/>
              <w:rPr>
                <w:color w:val="000000"/>
                <w:sz w:val="20"/>
                <w:szCs w:val="20"/>
              </w:rPr>
            </w:pPr>
          </w:p>
        </w:tc>
        <w:tc>
          <w:tcPr>
            <w:tcW w:w="2924" w:type="dxa"/>
          </w:tcPr>
          <w:p w:rsidR="001B1953" w:rsidRPr="00D72A71" w:rsidRDefault="005E6DAD" w:rsidP="004C763D">
            <w:pPr>
              <w:jc w:val="both"/>
              <w:rPr>
                <w:sz w:val="20"/>
                <w:szCs w:val="20"/>
              </w:rPr>
            </w:pPr>
            <w:r w:rsidRPr="00D72A71">
              <w:rPr>
                <w:sz w:val="20"/>
                <w:szCs w:val="20"/>
              </w:rPr>
              <w:t>Кабин</w:t>
            </w:r>
            <w:r>
              <w:rPr>
                <w:sz w:val="20"/>
                <w:szCs w:val="20"/>
              </w:rPr>
              <w:t>е</w:t>
            </w:r>
            <w:r w:rsidRPr="00D72A71">
              <w:rPr>
                <w:sz w:val="20"/>
                <w:szCs w:val="20"/>
              </w:rPr>
              <w:t xml:space="preserve">т </w:t>
            </w:r>
            <w:r w:rsidR="001B1953" w:rsidRPr="00D72A71">
              <w:rPr>
                <w:sz w:val="20"/>
                <w:szCs w:val="20"/>
              </w:rPr>
              <w:t>эндоскопической диагностики</w:t>
            </w:r>
          </w:p>
        </w:tc>
        <w:tc>
          <w:tcPr>
            <w:tcW w:w="3051" w:type="dxa"/>
          </w:tcPr>
          <w:p w:rsidR="001B1953" w:rsidRPr="00D72A71" w:rsidRDefault="001B1953" w:rsidP="004C763D">
            <w:pPr>
              <w:jc w:val="both"/>
              <w:rPr>
                <w:sz w:val="20"/>
                <w:szCs w:val="20"/>
              </w:rPr>
            </w:pPr>
            <w:r w:rsidRPr="00D72A71">
              <w:rPr>
                <w:sz w:val="20"/>
                <w:szCs w:val="20"/>
              </w:rPr>
              <w:t>Гастроскоп</w:t>
            </w:r>
          </w:p>
        </w:tc>
        <w:tc>
          <w:tcPr>
            <w:tcW w:w="1720" w:type="dxa"/>
          </w:tcPr>
          <w:p w:rsidR="001B1953" w:rsidRPr="00D72A71" w:rsidRDefault="001B1953" w:rsidP="004C763D">
            <w:pPr>
              <w:jc w:val="center"/>
              <w:rPr>
                <w:sz w:val="20"/>
                <w:szCs w:val="20"/>
              </w:rPr>
            </w:pPr>
            <w:r w:rsidRPr="00D72A71">
              <w:rPr>
                <w:sz w:val="20"/>
                <w:szCs w:val="20"/>
              </w:rPr>
              <w:t>38,6</w:t>
            </w:r>
          </w:p>
        </w:tc>
      </w:tr>
      <w:tr w:rsidR="001B1953" w:rsidRPr="00D72A71" w:rsidTr="004C763D">
        <w:trPr>
          <w:trHeight w:val="20"/>
        </w:trPr>
        <w:tc>
          <w:tcPr>
            <w:tcW w:w="2500" w:type="dxa"/>
            <w:vMerge/>
            <w:vAlign w:val="center"/>
          </w:tcPr>
          <w:p w:rsidR="001B1953" w:rsidRPr="00D72A71" w:rsidRDefault="001B1953" w:rsidP="004C763D">
            <w:pPr>
              <w:jc w:val="both"/>
              <w:rPr>
                <w:color w:val="000000"/>
                <w:sz w:val="20"/>
                <w:szCs w:val="20"/>
              </w:rPr>
            </w:pPr>
          </w:p>
        </w:tc>
        <w:tc>
          <w:tcPr>
            <w:tcW w:w="2924" w:type="dxa"/>
          </w:tcPr>
          <w:p w:rsidR="001B1953" w:rsidRPr="00D72A71" w:rsidRDefault="005E6DAD" w:rsidP="000F14B6">
            <w:pPr>
              <w:jc w:val="both"/>
              <w:rPr>
                <w:sz w:val="20"/>
                <w:szCs w:val="20"/>
              </w:rPr>
            </w:pPr>
            <w:r w:rsidRPr="00D72A71">
              <w:rPr>
                <w:sz w:val="20"/>
                <w:szCs w:val="20"/>
              </w:rPr>
              <w:t>Кабин</w:t>
            </w:r>
            <w:r>
              <w:rPr>
                <w:sz w:val="20"/>
                <w:szCs w:val="20"/>
              </w:rPr>
              <w:t>е</w:t>
            </w:r>
            <w:r w:rsidRPr="00D72A71">
              <w:rPr>
                <w:sz w:val="20"/>
                <w:szCs w:val="20"/>
              </w:rPr>
              <w:t xml:space="preserve">т </w:t>
            </w:r>
            <w:r w:rsidR="000F14B6">
              <w:rPr>
                <w:sz w:val="20"/>
                <w:szCs w:val="20"/>
              </w:rPr>
              <w:t>эн</w:t>
            </w:r>
            <w:r w:rsidR="001B1953" w:rsidRPr="00D72A71">
              <w:rPr>
                <w:sz w:val="20"/>
                <w:szCs w:val="20"/>
              </w:rPr>
              <w:t>доскопической диагностики</w:t>
            </w:r>
          </w:p>
        </w:tc>
        <w:tc>
          <w:tcPr>
            <w:tcW w:w="3051" w:type="dxa"/>
          </w:tcPr>
          <w:p w:rsidR="001B1953" w:rsidRPr="00D72A71" w:rsidRDefault="001B1953" w:rsidP="004C763D">
            <w:pPr>
              <w:jc w:val="both"/>
              <w:rPr>
                <w:sz w:val="20"/>
                <w:szCs w:val="20"/>
              </w:rPr>
            </w:pPr>
            <w:r w:rsidRPr="00D72A71">
              <w:rPr>
                <w:sz w:val="20"/>
                <w:szCs w:val="20"/>
              </w:rPr>
              <w:t>Колоноскоп</w:t>
            </w:r>
          </w:p>
        </w:tc>
        <w:tc>
          <w:tcPr>
            <w:tcW w:w="1720" w:type="dxa"/>
          </w:tcPr>
          <w:p w:rsidR="001B1953" w:rsidRPr="00D72A71" w:rsidRDefault="001B1953" w:rsidP="004C763D">
            <w:pPr>
              <w:jc w:val="center"/>
              <w:rPr>
                <w:sz w:val="20"/>
                <w:szCs w:val="20"/>
              </w:rPr>
            </w:pPr>
            <w:r w:rsidRPr="00D72A71">
              <w:rPr>
                <w:sz w:val="20"/>
                <w:szCs w:val="20"/>
              </w:rPr>
              <w:t>3,4</w:t>
            </w:r>
          </w:p>
        </w:tc>
      </w:tr>
      <w:tr w:rsidR="001B1953" w:rsidRPr="00D72A71" w:rsidTr="004C763D">
        <w:trPr>
          <w:trHeight w:val="20"/>
        </w:trPr>
        <w:tc>
          <w:tcPr>
            <w:tcW w:w="2500" w:type="dxa"/>
            <w:vMerge/>
            <w:vAlign w:val="center"/>
          </w:tcPr>
          <w:p w:rsidR="001B1953" w:rsidRPr="00D72A71" w:rsidRDefault="001B1953" w:rsidP="004C763D">
            <w:pPr>
              <w:jc w:val="both"/>
              <w:rPr>
                <w:color w:val="000000"/>
                <w:sz w:val="20"/>
                <w:szCs w:val="20"/>
              </w:rPr>
            </w:pPr>
          </w:p>
        </w:tc>
        <w:tc>
          <w:tcPr>
            <w:tcW w:w="2924" w:type="dxa"/>
          </w:tcPr>
          <w:p w:rsidR="001B1953" w:rsidRPr="00D72A71" w:rsidRDefault="001B1953" w:rsidP="004C763D">
            <w:pPr>
              <w:jc w:val="both"/>
              <w:rPr>
                <w:sz w:val="20"/>
                <w:szCs w:val="20"/>
              </w:rPr>
            </w:pPr>
            <w:r w:rsidRPr="00D72A71">
              <w:rPr>
                <w:sz w:val="20"/>
                <w:szCs w:val="20"/>
              </w:rPr>
              <w:t>Отделение лучевой диагностики</w:t>
            </w:r>
          </w:p>
        </w:tc>
        <w:tc>
          <w:tcPr>
            <w:tcW w:w="3051" w:type="dxa"/>
          </w:tcPr>
          <w:p w:rsidR="001B1953" w:rsidRPr="00D72A71" w:rsidRDefault="001B1953" w:rsidP="004C763D">
            <w:pPr>
              <w:jc w:val="both"/>
              <w:rPr>
                <w:sz w:val="20"/>
                <w:szCs w:val="20"/>
              </w:rPr>
            </w:pPr>
            <w:r w:rsidRPr="00D72A71">
              <w:rPr>
                <w:sz w:val="20"/>
                <w:szCs w:val="20"/>
              </w:rPr>
              <w:t>Компьютерный томограф</w:t>
            </w:r>
          </w:p>
        </w:tc>
        <w:tc>
          <w:tcPr>
            <w:tcW w:w="1720" w:type="dxa"/>
          </w:tcPr>
          <w:p w:rsidR="001B1953" w:rsidRPr="00D72A71" w:rsidRDefault="001B1953" w:rsidP="004C763D">
            <w:pPr>
              <w:jc w:val="center"/>
              <w:rPr>
                <w:sz w:val="20"/>
                <w:szCs w:val="20"/>
              </w:rPr>
            </w:pPr>
            <w:r w:rsidRPr="00D72A71">
              <w:rPr>
                <w:sz w:val="20"/>
                <w:szCs w:val="20"/>
              </w:rPr>
              <w:t>25</w:t>
            </w:r>
          </w:p>
        </w:tc>
      </w:tr>
      <w:tr w:rsidR="001B1953" w:rsidRPr="00D72A71" w:rsidTr="004C763D">
        <w:trPr>
          <w:trHeight w:val="20"/>
        </w:trPr>
        <w:tc>
          <w:tcPr>
            <w:tcW w:w="2500" w:type="dxa"/>
            <w:vMerge/>
            <w:vAlign w:val="center"/>
          </w:tcPr>
          <w:p w:rsidR="001B1953" w:rsidRPr="00D72A71" w:rsidRDefault="001B1953" w:rsidP="004C763D">
            <w:pPr>
              <w:jc w:val="both"/>
              <w:rPr>
                <w:color w:val="000000"/>
                <w:sz w:val="20"/>
                <w:szCs w:val="20"/>
              </w:rPr>
            </w:pPr>
          </w:p>
        </w:tc>
        <w:tc>
          <w:tcPr>
            <w:tcW w:w="2924" w:type="dxa"/>
          </w:tcPr>
          <w:p w:rsidR="001B1953" w:rsidRPr="00D72A71" w:rsidRDefault="001B1953" w:rsidP="004C763D">
            <w:pPr>
              <w:jc w:val="both"/>
              <w:rPr>
                <w:sz w:val="20"/>
                <w:szCs w:val="20"/>
              </w:rPr>
            </w:pPr>
            <w:r w:rsidRPr="00D72A71">
              <w:rPr>
                <w:sz w:val="20"/>
                <w:szCs w:val="20"/>
              </w:rPr>
              <w:t>Отделение лучевой диагностики</w:t>
            </w:r>
          </w:p>
        </w:tc>
        <w:tc>
          <w:tcPr>
            <w:tcW w:w="3051" w:type="dxa"/>
          </w:tcPr>
          <w:p w:rsidR="001B1953" w:rsidRPr="00D72A71" w:rsidRDefault="001B1953" w:rsidP="004C763D">
            <w:pPr>
              <w:jc w:val="both"/>
              <w:rPr>
                <w:sz w:val="20"/>
                <w:szCs w:val="20"/>
              </w:rPr>
            </w:pPr>
            <w:r w:rsidRPr="00D72A71">
              <w:rPr>
                <w:sz w:val="20"/>
                <w:szCs w:val="20"/>
              </w:rPr>
              <w:t>Рентгенодиагностическое</w:t>
            </w:r>
            <w:r w:rsidR="005E6DAD">
              <w:rPr>
                <w:sz w:val="20"/>
                <w:szCs w:val="20"/>
              </w:rPr>
              <w:t xml:space="preserve"> оборудование</w:t>
            </w:r>
          </w:p>
        </w:tc>
        <w:tc>
          <w:tcPr>
            <w:tcW w:w="1720" w:type="dxa"/>
          </w:tcPr>
          <w:p w:rsidR="001B1953" w:rsidRPr="00D72A71" w:rsidRDefault="001B1953" w:rsidP="004C763D">
            <w:pPr>
              <w:jc w:val="center"/>
              <w:rPr>
                <w:sz w:val="20"/>
                <w:szCs w:val="20"/>
              </w:rPr>
            </w:pPr>
            <w:r w:rsidRPr="00D72A71">
              <w:rPr>
                <w:sz w:val="20"/>
                <w:szCs w:val="20"/>
              </w:rPr>
              <w:t>289</w:t>
            </w:r>
          </w:p>
        </w:tc>
      </w:tr>
      <w:tr w:rsidR="001B1953" w:rsidRPr="00D72A71" w:rsidTr="004C763D">
        <w:trPr>
          <w:trHeight w:val="20"/>
        </w:trPr>
        <w:tc>
          <w:tcPr>
            <w:tcW w:w="2500" w:type="dxa"/>
            <w:vMerge/>
            <w:vAlign w:val="center"/>
          </w:tcPr>
          <w:p w:rsidR="001B1953" w:rsidRPr="00D72A71" w:rsidRDefault="001B1953" w:rsidP="004C763D">
            <w:pPr>
              <w:jc w:val="both"/>
              <w:rPr>
                <w:color w:val="000000"/>
                <w:sz w:val="20"/>
                <w:szCs w:val="20"/>
              </w:rPr>
            </w:pPr>
          </w:p>
        </w:tc>
        <w:tc>
          <w:tcPr>
            <w:tcW w:w="2924" w:type="dxa"/>
          </w:tcPr>
          <w:p w:rsidR="001B1953" w:rsidRPr="00D72A71" w:rsidRDefault="001B1953" w:rsidP="004C763D">
            <w:pPr>
              <w:jc w:val="both"/>
              <w:rPr>
                <w:sz w:val="20"/>
                <w:szCs w:val="20"/>
              </w:rPr>
            </w:pPr>
            <w:r w:rsidRPr="00D72A71">
              <w:rPr>
                <w:sz w:val="20"/>
                <w:szCs w:val="20"/>
              </w:rPr>
              <w:t>Отделение лучевой диагностики</w:t>
            </w:r>
          </w:p>
        </w:tc>
        <w:tc>
          <w:tcPr>
            <w:tcW w:w="3051" w:type="dxa"/>
          </w:tcPr>
          <w:p w:rsidR="001B1953" w:rsidRPr="00D72A71" w:rsidRDefault="00961CC9" w:rsidP="004C763D">
            <w:pPr>
              <w:jc w:val="both"/>
              <w:rPr>
                <w:sz w:val="20"/>
                <w:szCs w:val="20"/>
              </w:rPr>
            </w:pPr>
            <w:r>
              <w:rPr>
                <w:sz w:val="20"/>
                <w:szCs w:val="20"/>
              </w:rPr>
              <w:t>Маммограф</w:t>
            </w:r>
          </w:p>
        </w:tc>
        <w:tc>
          <w:tcPr>
            <w:tcW w:w="1720" w:type="dxa"/>
          </w:tcPr>
          <w:p w:rsidR="001B1953" w:rsidRPr="00D72A71" w:rsidRDefault="001B1953" w:rsidP="004C763D">
            <w:pPr>
              <w:jc w:val="center"/>
              <w:rPr>
                <w:sz w:val="20"/>
                <w:szCs w:val="20"/>
              </w:rPr>
            </w:pPr>
            <w:r w:rsidRPr="00D72A71">
              <w:rPr>
                <w:sz w:val="20"/>
                <w:szCs w:val="20"/>
              </w:rPr>
              <w:t>23</w:t>
            </w:r>
          </w:p>
        </w:tc>
      </w:tr>
      <w:tr w:rsidR="001B1953" w:rsidRPr="00D72A71" w:rsidTr="004C763D">
        <w:trPr>
          <w:trHeight w:val="20"/>
        </w:trPr>
        <w:tc>
          <w:tcPr>
            <w:tcW w:w="2500" w:type="dxa"/>
            <w:vMerge/>
            <w:vAlign w:val="center"/>
          </w:tcPr>
          <w:p w:rsidR="001B1953" w:rsidRPr="00D72A71" w:rsidRDefault="001B1953" w:rsidP="004C763D">
            <w:pPr>
              <w:jc w:val="both"/>
              <w:rPr>
                <w:color w:val="000000"/>
                <w:sz w:val="20"/>
                <w:szCs w:val="20"/>
              </w:rPr>
            </w:pPr>
          </w:p>
        </w:tc>
        <w:tc>
          <w:tcPr>
            <w:tcW w:w="2924" w:type="dxa"/>
          </w:tcPr>
          <w:p w:rsidR="001B1953" w:rsidRPr="00D72A71" w:rsidRDefault="001B1953" w:rsidP="004C763D">
            <w:pPr>
              <w:jc w:val="both"/>
              <w:rPr>
                <w:sz w:val="20"/>
                <w:szCs w:val="20"/>
              </w:rPr>
            </w:pPr>
            <w:r w:rsidRPr="00D72A71">
              <w:rPr>
                <w:sz w:val="20"/>
                <w:szCs w:val="20"/>
              </w:rPr>
              <w:t>Отделение лучевой диагностики</w:t>
            </w:r>
          </w:p>
        </w:tc>
        <w:tc>
          <w:tcPr>
            <w:tcW w:w="3051" w:type="dxa"/>
          </w:tcPr>
          <w:p w:rsidR="001B1953" w:rsidRPr="00D72A71" w:rsidRDefault="001B1953" w:rsidP="004C763D">
            <w:pPr>
              <w:jc w:val="both"/>
              <w:rPr>
                <w:sz w:val="20"/>
                <w:szCs w:val="20"/>
              </w:rPr>
            </w:pPr>
            <w:r w:rsidRPr="00D72A71">
              <w:rPr>
                <w:sz w:val="20"/>
                <w:szCs w:val="20"/>
              </w:rPr>
              <w:t>Флюорограф</w:t>
            </w:r>
          </w:p>
        </w:tc>
        <w:tc>
          <w:tcPr>
            <w:tcW w:w="1720" w:type="dxa"/>
          </w:tcPr>
          <w:p w:rsidR="001B1953" w:rsidRPr="00D72A71" w:rsidRDefault="001B1953" w:rsidP="004C763D">
            <w:pPr>
              <w:jc w:val="center"/>
              <w:rPr>
                <w:sz w:val="20"/>
                <w:szCs w:val="20"/>
              </w:rPr>
            </w:pPr>
            <w:r w:rsidRPr="00D72A71">
              <w:rPr>
                <w:sz w:val="20"/>
                <w:szCs w:val="20"/>
              </w:rPr>
              <w:t>214,1</w:t>
            </w:r>
          </w:p>
        </w:tc>
      </w:tr>
      <w:tr w:rsidR="003A55D7" w:rsidRPr="00D72A71" w:rsidTr="004C763D">
        <w:trPr>
          <w:trHeight w:val="20"/>
        </w:trPr>
        <w:tc>
          <w:tcPr>
            <w:tcW w:w="2500" w:type="dxa"/>
            <w:vMerge w:val="restart"/>
          </w:tcPr>
          <w:p w:rsidR="003A55D7" w:rsidRPr="00D72A71" w:rsidRDefault="003A55D7" w:rsidP="004C763D">
            <w:pPr>
              <w:jc w:val="both"/>
              <w:rPr>
                <w:color w:val="000000"/>
                <w:sz w:val="20"/>
                <w:szCs w:val="20"/>
              </w:rPr>
            </w:pPr>
            <w:r w:rsidRPr="00D72A71">
              <w:rPr>
                <w:color w:val="000000"/>
                <w:sz w:val="20"/>
                <w:szCs w:val="20"/>
              </w:rPr>
              <w:t>ГАУЗ «Нижнекамская центральная районная многопрофильная больница»</w:t>
            </w:r>
          </w:p>
        </w:tc>
        <w:tc>
          <w:tcPr>
            <w:tcW w:w="2924" w:type="dxa"/>
          </w:tcPr>
          <w:p w:rsidR="003A55D7" w:rsidRPr="00D72A71" w:rsidRDefault="003A55D7" w:rsidP="004C763D">
            <w:pPr>
              <w:jc w:val="both"/>
              <w:rPr>
                <w:sz w:val="20"/>
                <w:szCs w:val="20"/>
              </w:rPr>
            </w:pPr>
            <w:r w:rsidRPr="00D72A71">
              <w:rPr>
                <w:sz w:val="20"/>
                <w:szCs w:val="20"/>
              </w:rPr>
              <w:t>Отделение ультразвуко</w:t>
            </w:r>
            <w:r w:rsidR="000F14B6">
              <w:rPr>
                <w:sz w:val="20"/>
                <w:szCs w:val="20"/>
              </w:rPr>
              <w:t>во</w:t>
            </w:r>
            <w:r w:rsidRPr="00D72A71">
              <w:rPr>
                <w:sz w:val="20"/>
                <w:szCs w:val="20"/>
              </w:rPr>
              <w:t>й диагностики</w:t>
            </w:r>
          </w:p>
        </w:tc>
        <w:tc>
          <w:tcPr>
            <w:tcW w:w="3051" w:type="dxa"/>
          </w:tcPr>
          <w:p w:rsidR="003A55D7" w:rsidRPr="00D72A71" w:rsidRDefault="003A55D7" w:rsidP="004C763D">
            <w:pPr>
              <w:jc w:val="both"/>
              <w:rPr>
                <w:sz w:val="20"/>
                <w:szCs w:val="20"/>
              </w:rPr>
            </w:pPr>
            <w:r w:rsidRPr="00D72A71">
              <w:rPr>
                <w:sz w:val="20"/>
                <w:szCs w:val="20"/>
              </w:rPr>
              <w:t>Аппарат ультразвуковой диагностики</w:t>
            </w:r>
          </w:p>
        </w:tc>
        <w:tc>
          <w:tcPr>
            <w:tcW w:w="1720" w:type="dxa"/>
          </w:tcPr>
          <w:p w:rsidR="003A55D7" w:rsidRPr="00D72A71" w:rsidRDefault="003A55D7" w:rsidP="004C763D">
            <w:pPr>
              <w:jc w:val="center"/>
              <w:rPr>
                <w:sz w:val="20"/>
                <w:szCs w:val="20"/>
              </w:rPr>
            </w:pPr>
            <w:r w:rsidRPr="00D72A71">
              <w:rPr>
                <w:sz w:val="20"/>
                <w:szCs w:val="20"/>
              </w:rPr>
              <w:t>295,9</w:t>
            </w:r>
          </w:p>
        </w:tc>
      </w:tr>
      <w:tr w:rsidR="003A55D7" w:rsidRPr="00D72A71" w:rsidTr="004C763D">
        <w:trPr>
          <w:trHeight w:val="20"/>
        </w:trPr>
        <w:tc>
          <w:tcPr>
            <w:tcW w:w="2500" w:type="dxa"/>
            <w:vMerge/>
            <w:vAlign w:val="center"/>
          </w:tcPr>
          <w:p w:rsidR="003A55D7" w:rsidRPr="00D72A71" w:rsidRDefault="003A55D7" w:rsidP="004C763D">
            <w:pPr>
              <w:jc w:val="both"/>
              <w:rPr>
                <w:color w:val="000000"/>
                <w:sz w:val="20"/>
                <w:szCs w:val="20"/>
              </w:rPr>
            </w:pPr>
          </w:p>
        </w:tc>
        <w:tc>
          <w:tcPr>
            <w:tcW w:w="2924" w:type="dxa"/>
          </w:tcPr>
          <w:p w:rsidR="003A55D7" w:rsidRPr="00D72A71" w:rsidRDefault="00961CC9" w:rsidP="004C763D">
            <w:pPr>
              <w:jc w:val="both"/>
              <w:rPr>
                <w:sz w:val="20"/>
                <w:szCs w:val="20"/>
              </w:rPr>
            </w:pPr>
            <w:r w:rsidRPr="00D72A71">
              <w:rPr>
                <w:sz w:val="20"/>
                <w:szCs w:val="20"/>
              </w:rPr>
              <w:t>Кабин</w:t>
            </w:r>
            <w:r>
              <w:rPr>
                <w:sz w:val="20"/>
                <w:szCs w:val="20"/>
              </w:rPr>
              <w:t>е</w:t>
            </w:r>
            <w:r w:rsidRPr="00D72A71">
              <w:rPr>
                <w:sz w:val="20"/>
                <w:szCs w:val="20"/>
              </w:rPr>
              <w:t xml:space="preserve">т </w:t>
            </w:r>
            <w:r w:rsidR="003A55D7" w:rsidRPr="00D72A71">
              <w:rPr>
                <w:sz w:val="20"/>
                <w:szCs w:val="20"/>
              </w:rPr>
              <w:t>эндоскопической диагностики</w:t>
            </w:r>
          </w:p>
        </w:tc>
        <w:tc>
          <w:tcPr>
            <w:tcW w:w="3051" w:type="dxa"/>
          </w:tcPr>
          <w:p w:rsidR="003A55D7" w:rsidRPr="00D72A71" w:rsidRDefault="003A55D7" w:rsidP="004C763D">
            <w:pPr>
              <w:jc w:val="both"/>
              <w:rPr>
                <w:sz w:val="20"/>
                <w:szCs w:val="20"/>
              </w:rPr>
            </w:pPr>
            <w:r w:rsidRPr="00D72A71">
              <w:rPr>
                <w:sz w:val="20"/>
                <w:szCs w:val="20"/>
              </w:rPr>
              <w:t>Гастроскоп</w:t>
            </w:r>
          </w:p>
        </w:tc>
        <w:tc>
          <w:tcPr>
            <w:tcW w:w="1720" w:type="dxa"/>
          </w:tcPr>
          <w:p w:rsidR="003A55D7" w:rsidRPr="00D72A71" w:rsidRDefault="003A55D7" w:rsidP="004C763D">
            <w:pPr>
              <w:jc w:val="center"/>
              <w:rPr>
                <w:sz w:val="20"/>
                <w:szCs w:val="20"/>
              </w:rPr>
            </w:pPr>
            <w:r w:rsidRPr="00D72A71">
              <w:rPr>
                <w:sz w:val="20"/>
                <w:szCs w:val="20"/>
              </w:rPr>
              <w:t>54,3</w:t>
            </w:r>
          </w:p>
        </w:tc>
      </w:tr>
      <w:tr w:rsidR="003A55D7" w:rsidRPr="00D72A71" w:rsidTr="004C763D">
        <w:trPr>
          <w:trHeight w:val="20"/>
        </w:trPr>
        <w:tc>
          <w:tcPr>
            <w:tcW w:w="2500" w:type="dxa"/>
            <w:vMerge/>
            <w:vAlign w:val="center"/>
          </w:tcPr>
          <w:p w:rsidR="003A55D7" w:rsidRPr="00D72A71" w:rsidRDefault="003A55D7" w:rsidP="004C763D">
            <w:pPr>
              <w:jc w:val="both"/>
              <w:rPr>
                <w:color w:val="000000"/>
                <w:sz w:val="20"/>
                <w:szCs w:val="20"/>
              </w:rPr>
            </w:pPr>
          </w:p>
        </w:tc>
        <w:tc>
          <w:tcPr>
            <w:tcW w:w="2924" w:type="dxa"/>
          </w:tcPr>
          <w:p w:rsidR="003A55D7" w:rsidRPr="00D72A71" w:rsidRDefault="00961CC9" w:rsidP="004C763D">
            <w:pPr>
              <w:jc w:val="both"/>
              <w:rPr>
                <w:sz w:val="20"/>
                <w:szCs w:val="20"/>
              </w:rPr>
            </w:pPr>
            <w:r w:rsidRPr="00D72A71">
              <w:rPr>
                <w:sz w:val="20"/>
                <w:szCs w:val="20"/>
              </w:rPr>
              <w:t>Кабин</w:t>
            </w:r>
            <w:r>
              <w:rPr>
                <w:sz w:val="20"/>
                <w:szCs w:val="20"/>
              </w:rPr>
              <w:t>е</w:t>
            </w:r>
            <w:r w:rsidRPr="00D72A71">
              <w:rPr>
                <w:sz w:val="20"/>
                <w:szCs w:val="20"/>
              </w:rPr>
              <w:t xml:space="preserve">т </w:t>
            </w:r>
            <w:r w:rsidR="003A55D7" w:rsidRPr="00D72A71">
              <w:rPr>
                <w:sz w:val="20"/>
                <w:szCs w:val="20"/>
              </w:rPr>
              <w:t>эндоскопической диагностики</w:t>
            </w:r>
          </w:p>
        </w:tc>
        <w:tc>
          <w:tcPr>
            <w:tcW w:w="3051" w:type="dxa"/>
          </w:tcPr>
          <w:p w:rsidR="003A55D7" w:rsidRPr="00D72A71" w:rsidRDefault="003A55D7" w:rsidP="004C763D">
            <w:pPr>
              <w:jc w:val="both"/>
              <w:rPr>
                <w:sz w:val="20"/>
                <w:szCs w:val="20"/>
              </w:rPr>
            </w:pPr>
            <w:r w:rsidRPr="00D72A71">
              <w:rPr>
                <w:sz w:val="20"/>
                <w:szCs w:val="20"/>
              </w:rPr>
              <w:t>Бронхоскоп</w:t>
            </w:r>
          </w:p>
        </w:tc>
        <w:tc>
          <w:tcPr>
            <w:tcW w:w="1720" w:type="dxa"/>
          </w:tcPr>
          <w:p w:rsidR="003A55D7" w:rsidRPr="00D72A71" w:rsidRDefault="003A55D7" w:rsidP="004C763D">
            <w:pPr>
              <w:jc w:val="center"/>
              <w:rPr>
                <w:sz w:val="20"/>
                <w:szCs w:val="20"/>
              </w:rPr>
            </w:pPr>
            <w:r w:rsidRPr="00D72A71">
              <w:rPr>
                <w:sz w:val="20"/>
                <w:szCs w:val="20"/>
              </w:rPr>
              <w:t>3,8</w:t>
            </w:r>
          </w:p>
        </w:tc>
      </w:tr>
      <w:tr w:rsidR="003A55D7" w:rsidRPr="00D72A71" w:rsidTr="004C763D">
        <w:trPr>
          <w:trHeight w:val="20"/>
        </w:trPr>
        <w:tc>
          <w:tcPr>
            <w:tcW w:w="2500" w:type="dxa"/>
            <w:vMerge/>
            <w:vAlign w:val="center"/>
          </w:tcPr>
          <w:p w:rsidR="003A55D7" w:rsidRPr="00D72A71" w:rsidRDefault="003A55D7" w:rsidP="004C763D">
            <w:pPr>
              <w:jc w:val="both"/>
              <w:rPr>
                <w:color w:val="000000"/>
                <w:sz w:val="20"/>
                <w:szCs w:val="20"/>
              </w:rPr>
            </w:pPr>
          </w:p>
        </w:tc>
        <w:tc>
          <w:tcPr>
            <w:tcW w:w="2924" w:type="dxa"/>
          </w:tcPr>
          <w:p w:rsidR="003A55D7" w:rsidRPr="00D72A71" w:rsidRDefault="00961CC9" w:rsidP="004C763D">
            <w:pPr>
              <w:jc w:val="both"/>
              <w:rPr>
                <w:sz w:val="20"/>
                <w:szCs w:val="20"/>
              </w:rPr>
            </w:pPr>
            <w:r w:rsidRPr="00D72A71">
              <w:rPr>
                <w:sz w:val="20"/>
                <w:szCs w:val="20"/>
              </w:rPr>
              <w:t>Кабин</w:t>
            </w:r>
            <w:r>
              <w:rPr>
                <w:sz w:val="20"/>
                <w:szCs w:val="20"/>
              </w:rPr>
              <w:t>е</w:t>
            </w:r>
            <w:r w:rsidRPr="00D72A71">
              <w:rPr>
                <w:sz w:val="20"/>
                <w:szCs w:val="20"/>
              </w:rPr>
              <w:t xml:space="preserve">т </w:t>
            </w:r>
            <w:r w:rsidR="003A55D7" w:rsidRPr="00D72A71">
              <w:rPr>
                <w:sz w:val="20"/>
                <w:szCs w:val="20"/>
              </w:rPr>
              <w:t>эндоскопической диагностики</w:t>
            </w:r>
          </w:p>
        </w:tc>
        <w:tc>
          <w:tcPr>
            <w:tcW w:w="3051" w:type="dxa"/>
          </w:tcPr>
          <w:p w:rsidR="003A55D7" w:rsidRPr="00D72A71" w:rsidRDefault="003A55D7" w:rsidP="004C763D">
            <w:pPr>
              <w:jc w:val="both"/>
              <w:rPr>
                <w:sz w:val="20"/>
                <w:szCs w:val="20"/>
              </w:rPr>
            </w:pPr>
            <w:r w:rsidRPr="00D72A71">
              <w:rPr>
                <w:sz w:val="20"/>
                <w:szCs w:val="20"/>
              </w:rPr>
              <w:t>Колоноскоп</w:t>
            </w:r>
          </w:p>
        </w:tc>
        <w:tc>
          <w:tcPr>
            <w:tcW w:w="1720" w:type="dxa"/>
          </w:tcPr>
          <w:p w:rsidR="003A55D7" w:rsidRPr="00D72A71" w:rsidRDefault="003A55D7" w:rsidP="004C763D">
            <w:pPr>
              <w:jc w:val="center"/>
              <w:rPr>
                <w:sz w:val="20"/>
                <w:szCs w:val="20"/>
              </w:rPr>
            </w:pPr>
            <w:r w:rsidRPr="00D72A71">
              <w:rPr>
                <w:sz w:val="20"/>
                <w:szCs w:val="20"/>
              </w:rPr>
              <w:t>16,6</w:t>
            </w:r>
          </w:p>
        </w:tc>
      </w:tr>
      <w:tr w:rsidR="003A55D7" w:rsidRPr="00D72A71" w:rsidTr="004C763D">
        <w:trPr>
          <w:trHeight w:val="20"/>
        </w:trPr>
        <w:tc>
          <w:tcPr>
            <w:tcW w:w="2500" w:type="dxa"/>
            <w:vMerge/>
            <w:vAlign w:val="center"/>
          </w:tcPr>
          <w:p w:rsidR="003A55D7" w:rsidRPr="00D72A71" w:rsidRDefault="003A55D7" w:rsidP="004C763D">
            <w:pPr>
              <w:jc w:val="both"/>
              <w:rPr>
                <w:color w:val="000000"/>
                <w:sz w:val="20"/>
                <w:szCs w:val="20"/>
              </w:rPr>
            </w:pPr>
          </w:p>
        </w:tc>
        <w:tc>
          <w:tcPr>
            <w:tcW w:w="2924" w:type="dxa"/>
          </w:tcPr>
          <w:p w:rsidR="003A55D7" w:rsidRPr="00D72A71" w:rsidRDefault="003A55D7" w:rsidP="004C763D">
            <w:pPr>
              <w:jc w:val="both"/>
              <w:rPr>
                <w:sz w:val="20"/>
                <w:szCs w:val="20"/>
              </w:rPr>
            </w:pPr>
            <w:r w:rsidRPr="00D72A71">
              <w:rPr>
                <w:sz w:val="20"/>
                <w:szCs w:val="20"/>
              </w:rPr>
              <w:t>Отделение лучевой диагностики</w:t>
            </w:r>
          </w:p>
        </w:tc>
        <w:tc>
          <w:tcPr>
            <w:tcW w:w="3051" w:type="dxa"/>
          </w:tcPr>
          <w:p w:rsidR="003A55D7" w:rsidRPr="00D72A71" w:rsidRDefault="003A55D7" w:rsidP="004C763D">
            <w:pPr>
              <w:jc w:val="both"/>
              <w:rPr>
                <w:sz w:val="20"/>
                <w:szCs w:val="20"/>
              </w:rPr>
            </w:pPr>
            <w:r w:rsidRPr="00D72A71">
              <w:rPr>
                <w:sz w:val="20"/>
                <w:szCs w:val="20"/>
              </w:rPr>
              <w:t>Компьютерный томограф</w:t>
            </w:r>
          </w:p>
        </w:tc>
        <w:tc>
          <w:tcPr>
            <w:tcW w:w="1720" w:type="dxa"/>
          </w:tcPr>
          <w:p w:rsidR="003A55D7" w:rsidRPr="00D72A71" w:rsidRDefault="003A55D7" w:rsidP="004C763D">
            <w:pPr>
              <w:jc w:val="center"/>
              <w:rPr>
                <w:sz w:val="20"/>
                <w:szCs w:val="20"/>
              </w:rPr>
            </w:pPr>
            <w:r w:rsidRPr="00D72A71">
              <w:rPr>
                <w:sz w:val="20"/>
                <w:szCs w:val="20"/>
              </w:rPr>
              <w:t>34</w:t>
            </w:r>
          </w:p>
        </w:tc>
      </w:tr>
      <w:tr w:rsidR="003A55D7" w:rsidRPr="00D72A71" w:rsidTr="004C763D">
        <w:trPr>
          <w:trHeight w:val="20"/>
        </w:trPr>
        <w:tc>
          <w:tcPr>
            <w:tcW w:w="2500" w:type="dxa"/>
            <w:vMerge/>
            <w:vAlign w:val="center"/>
          </w:tcPr>
          <w:p w:rsidR="003A55D7" w:rsidRPr="00D72A71" w:rsidRDefault="003A55D7" w:rsidP="004C763D">
            <w:pPr>
              <w:jc w:val="both"/>
              <w:rPr>
                <w:color w:val="000000"/>
                <w:sz w:val="20"/>
                <w:szCs w:val="20"/>
              </w:rPr>
            </w:pPr>
          </w:p>
        </w:tc>
        <w:tc>
          <w:tcPr>
            <w:tcW w:w="2924" w:type="dxa"/>
          </w:tcPr>
          <w:p w:rsidR="003A55D7" w:rsidRPr="00D72A71" w:rsidRDefault="003A55D7" w:rsidP="004C763D">
            <w:pPr>
              <w:jc w:val="both"/>
              <w:rPr>
                <w:sz w:val="20"/>
                <w:szCs w:val="20"/>
              </w:rPr>
            </w:pPr>
            <w:r w:rsidRPr="00D72A71">
              <w:rPr>
                <w:sz w:val="20"/>
                <w:szCs w:val="20"/>
              </w:rPr>
              <w:t>Отделение лучевой диагностики</w:t>
            </w:r>
          </w:p>
        </w:tc>
        <w:tc>
          <w:tcPr>
            <w:tcW w:w="3051" w:type="dxa"/>
          </w:tcPr>
          <w:p w:rsidR="003A55D7" w:rsidRPr="00D72A71" w:rsidRDefault="00961CC9" w:rsidP="00FA54BE">
            <w:pPr>
              <w:jc w:val="both"/>
              <w:rPr>
                <w:sz w:val="20"/>
                <w:szCs w:val="20"/>
              </w:rPr>
            </w:pPr>
            <w:r>
              <w:rPr>
                <w:sz w:val="20"/>
                <w:szCs w:val="20"/>
              </w:rPr>
              <w:t>Магнитно-резонансный т</w:t>
            </w:r>
            <w:r w:rsidR="00FA54BE">
              <w:rPr>
                <w:sz w:val="20"/>
                <w:szCs w:val="20"/>
              </w:rPr>
              <w:t>о</w:t>
            </w:r>
            <w:r>
              <w:rPr>
                <w:sz w:val="20"/>
                <w:szCs w:val="20"/>
              </w:rPr>
              <w:t xml:space="preserve">мограф </w:t>
            </w:r>
          </w:p>
        </w:tc>
        <w:tc>
          <w:tcPr>
            <w:tcW w:w="1720" w:type="dxa"/>
          </w:tcPr>
          <w:p w:rsidR="003A55D7" w:rsidRPr="00D72A71" w:rsidRDefault="003A55D7" w:rsidP="004C763D">
            <w:pPr>
              <w:jc w:val="center"/>
              <w:rPr>
                <w:sz w:val="20"/>
                <w:szCs w:val="20"/>
              </w:rPr>
            </w:pPr>
            <w:r w:rsidRPr="00D72A71">
              <w:rPr>
                <w:sz w:val="20"/>
                <w:szCs w:val="20"/>
              </w:rPr>
              <w:t>11</w:t>
            </w:r>
          </w:p>
        </w:tc>
      </w:tr>
      <w:tr w:rsidR="003A55D7" w:rsidRPr="00D72A71" w:rsidTr="004C763D">
        <w:trPr>
          <w:trHeight w:val="20"/>
        </w:trPr>
        <w:tc>
          <w:tcPr>
            <w:tcW w:w="2500" w:type="dxa"/>
            <w:vMerge/>
            <w:vAlign w:val="center"/>
          </w:tcPr>
          <w:p w:rsidR="003A55D7" w:rsidRPr="00D72A71" w:rsidRDefault="003A55D7" w:rsidP="004C763D">
            <w:pPr>
              <w:jc w:val="both"/>
              <w:rPr>
                <w:color w:val="000000"/>
                <w:sz w:val="20"/>
                <w:szCs w:val="20"/>
              </w:rPr>
            </w:pPr>
          </w:p>
        </w:tc>
        <w:tc>
          <w:tcPr>
            <w:tcW w:w="2924" w:type="dxa"/>
          </w:tcPr>
          <w:p w:rsidR="003A55D7" w:rsidRPr="00D72A71" w:rsidRDefault="003A55D7" w:rsidP="004C763D">
            <w:pPr>
              <w:jc w:val="both"/>
              <w:rPr>
                <w:sz w:val="20"/>
                <w:szCs w:val="20"/>
              </w:rPr>
            </w:pPr>
            <w:r w:rsidRPr="00D72A71">
              <w:rPr>
                <w:sz w:val="20"/>
                <w:szCs w:val="20"/>
              </w:rPr>
              <w:t>Отделение лучевой диагностики</w:t>
            </w:r>
          </w:p>
        </w:tc>
        <w:tc>
          <w:tcPr>
            <w:tcW w:w="3051" w:type="dxa"/>
          </w:tcPr>
          <w:p w:rsidR="003A55D7" w:rsidRPr="00D72A71" w:rsidRDefault="003A55D7" w:rsidP="004C763D">
            <w:pPr>
              <w:jc w:val="both"/>
              <w:rPr>
                <w:sz w:val="20"/>
                <w:szCs w:val="20"/>
              </w:rPr>
            </w:pPr>
            <w:r w:rsidRPr="00D72A71">
              <w:rPr>
                <w:sz w:val="20"/>
                <w:szCs w:val="20"/>
              </w:rPr>
              <w:t>Рентгенодиагностическое</w:t>
            </w:r>
            <w:r w:rsidR="00961CC9">
              <w:rPr>
                <w:sz w:val="20"/>
                <w:szCs w:val="20"/>
              </w:rPr>
              <w:t xml:space="preserve"> </w:t>
            </w:r>
            <w:r w:rsidRPr="00D72A71">
              <w:rPr>
                <w:sz w:val="20"/>
                <w:szCs w:val="20"/>
              </w:rPr>
              <w:t>оборудование</w:t>
            </w:r>
          </w:p>
        </w:tc>
        <w:tc>
          <w:tcPr>
            <w:tcW w:w="1720" w:type="dxa"/>
          </w:tcPr>
          <w:p w:rsidR="003A55D7" w:rsidRPr="00D72A71" w:rsidRDefault="003A55D7" w:rsidP="004C763D">
            <w:pPr>
              <w:jc w:val="center"/>
              <w:rPr>
                <w:sz w:val="20"/>
                <w:szCs w:val="20"/>
              </w:rPr>
            </w:pPr>
            <w:r w:rsidRPr="00D72A71">
              <w:rPr>
                <w:sz w:val="20"/>
                <w:szCs w:val="20"/>
              </w:rPr>
              <w:t>329</w:t>
            </w:r>
          </w:p>
        </w:tc>
      </w:tr>
      <w:tr w:rsidR="003A55D7" w:rsidRPr="00D72A71" w:rsidTr="004C763D">
        <w:trPr>
          <w:trHeight w:val="20"/>
        </w:trPr>
        <w:tc>
          <w:tcPr>
            <w:tcW w:w="2500" w:type="dxa"/>
            <w:vMerge/>
            <w:vAlign w:val="center"/>
          </w:tcPr>
          <w:p w:rsidR="003A55D7" w:rsidRPr="00D72A71" w:rsidRDefault="003A55D7" w:rsidP="004C763D">
            <w:pPr>
              <w:jc w:val="both"/>
              <w:rPr>
                <w:color w:val="000000"/>
                <w:sz w:val="20"/>
                <w:szCs w:val="20"/>
              </w:rPr>
            </w:pPr>
          </w:p>
        </w:tc>
        <w:tc>
          <w:tcPr>
            <w:tcW w:w="2924" w:type="dxa"/>
          </w:tcPr>
          <w:p w:rsidR="003A55D7" w:rsidRPr="00D72A71" w:rsidRDefault="003A55D7" w:rsidP="004C763D">
            <w:pPr>
              <w:jc w:val="both"/>
              <w:rPr>
                <w:sz w:val="20"/>
                <w:szCs w:val="20"/>
              </w:rPr>
            </w:pPr>
            <w:r w:rsidRPr="00D72A71">
              <w:rPr>
                <w:sz w:val="20"/>
                <w:szCs w:val="20"/>
              </w:rPr>
              <w:t>Отделение лучевой диагностики</w:t>
            </w:r>
          </w:p>
        </w:tc>
        <w:tc>
          <w:tcPr>
            <w:tcW w:w="3051" w:type="dxa"/>
          </w:tcPr>
          <w:p w:rsidR="003A55D7" w:rsidRPr="00D72A71" w:rsidRDefault="00961CC9" w:rsidP="004C763D">
            <w:pPr>
              <w:jc w:val="both"/>
              <w:rPr>
                <w:sz w:val="20"/>
                <w:szCs w:val="20"/>
              </w:rPr>
            </w:pPr>
            <w:r>
              <w:rPr>
                <w:sz w:val="20"/>
                <w:szCs w:val="20"/>
              </w:rPr>
              <w:t>Маммограф</w:t>
            </w:r>
          </w:p>
        </w:tc>
        <w:tc>
          <w:tcPr>
            <w:tcW w:w="1720" w:type="dxa"/>
          </w:tcPr>
          <w:p w:rsidR="003A55D7" w:rsidRPr="00D72A71" w:rsidRDefault="003A55D7" w:rsidP="004C763D">
            <w:pPr>
              <w:jc w:val="center"/>
              <w:rPr>
                <w:sz w:val="20"/>
                <w:szCs w:val="20"/>
              </w:rPr>
            </w:pPr>
            <w:r w:rsidRPr="00D72A71">
              <w:rPr>
                <w:sz w:val="20"/>
                <w:szCs w:val="20"/>
              </w:rPr>
              <w:t>30</w:t>
            </w:r>
          </w:p>
        </w:tc>
      </w:tr>
      <w:tr w:rsidR="003A55D7" w:rsidRPr="00D72A71" w:rsidTr="004C763D">
        <w:trPr>
          <w:trHeight w:val="20"/>
        </w:trPr>
        <w:tc>
          <w:tcPr>
            <w:tcW w:w="2500" w:type="dxa"/>
            <w:vMerge/>
            <w:vAlign w:val="center"/>
          </w:tcPr>
          <w:p w:rsidR="003A55D7" w:rsidRPr="00D72A71" w:rsidRDefault="003A55D7" w:rsidP="004C763D">
            <w:pPr>
              <w:jc w:val="both"/>
              <w:rPr>
                <w:color w:val="000000"/>
                <w:sz w:val="20"/>
                <w:szCs w:val="20"/>
              </w:rPr>
            </w:pPr>
          </w:p>
        </w:tc>
        <w:tc>
          <w:tcPr>
            <w:tcW w:w="2924" w:type="dxa"/>
          </w:tcPr>
          <w:p w:rsidR="003A55D7" w:rsidRPr="00D72A71" w:rsidRDefault="003A55D7" w:rsidP="004C763D">
            <w:pPr>
              <w:jc w:val="both"/>
              <w:rPr>
                <w:sz w:val="20"/>
                <w:szCs w:val="20"/>
              </w:rPr>
            </w:pPr>
            <w:r w:rsidRPr="00D72A71">
              <w:rPr>
                <w:sz w:val="20"/>
                <w:szCs w:val="20"/>
              </w:rPr>
              <w:t>Отделение лучевой диагностики</w:t>
            </w:r>
          </w:p>
        </w:tc>
        <w:tc>
          <w:tcPr>
            <w:tcW w:w="3051" w:type="dxa"/>
          </w:tcPr>
          <w:p w:rsidR="003A55D7" w:rsidRPr="00D72A71" w:rsidRDefault="003A55D7" w:rsidP="004C763D">
            <w:pPr>
              <w:jc w:val="both"/>
              <w:rPr>
                <w:sz w:val="20"/>
                <w:szCs w:val="20"/>
              </w:rPr>
            </w:pPr>
            <w:r w:rsidRPr="00D72A71">
              <w:rPr>
                <w:sz w:val="20"/>
                <w:szCs w:val="20"/>
              </w:rPr>
              <w:t>Флюорограф</w:t>
            </w:r>
          </w:p>
        </w:tc>
        <w:tc>
          <w:tcPr>
            <w:tcW w:w="1720" w:type="dxa"/>
          </w:tcPr>
          <w:p w:rsidR="003A55D7" w:rsidRPr="00D72A71" w:rsidRDefault="003A55D7" w:rsidP="004C763D">
            <w:pPr>
              <w:jc w:val="center"/>
              <w:rPr>
                <w:sz w:val="20"/>
                <w:szCs w:val="20"/>
              </w:rPr>
            </w:pPr>
            <w:r w:rsidRPr="00D72A71">
              <w:rPr>
                <w:sz w:val="20"/>
                <w:szCs w:val="20"/>
              </w:rPr>
              <w:t>197,8</w:t>
            </w:r>
          </w:p>
        </w:tc>
      </w:tr>
      <w:tr w:rsidR="001B1953" w:rsidRPr="00D72A71" w:rsidTr="004C763D">
        <w:trPr>
          <w:trHeight w:val="20"/>
        </w:trPr>
        <w:tc>
          <w:tcPr>
            <w:tcW w:w="2500" w:type="dxa"/>
            <w:vMerge w:val="restart"/>
          </w:tcPr>
          <w:p w:rsidR="001B1953" w:rsidRPr="00D72A71" w:rsidRDefault="001B1953" w:rsidP="004C763D">
            <w:pPr>
              <w:jc w:val="both"/>
              <w:rPr>
                <w:color w:val="000000"/>
                <w:sz w:val="20"/>
                <w:szCs w:val="20"/>
              </w:rPr>
            </w:pPr>
            <w:r w:rsidRPr="00D72A71">
              <w:rPr>
                <w:color w:val="000000"/>
                <w:sz w:val="20"/>
                <w:szCs w:val="20"/>
              </w:rPr>
              <w:t>ГАУЗ «Бугульминская ЦРБ»</w:t>
            </w:r>
          </w:p>
        </w:tc>
        <w:tc>
          <w:tcPr>
            <w:tcW w:w="2924" w:type="dxa"/>
          </w:tcPr>
          <w:p w:rsidR="001B1953" w:rsidRPr="00D72A71" w:rsidRDefault="001B1953" w:rsidP="004C763D">
            <w:pPr>
              <w:jc w:val="both"/>
              <w:rPr>
                <w:sz w:val="20"/>
                <w:szCs w:val="20"/>
              </w:rPr>
            </w:pPr>
            <w:r w:rsidRPr="00D72A71">
              <w:rPr>
                <w:sz w:val="20"/>
                <w:szCs w:val="20"/>
              </w:rPr>
              <w:t>Кабинет ультразвуковой диагностики</w:t>
            </w:r>
          </w:p>
        </w:tc>
        <w:tc>
          <w:tcPr>
            <w:tcW w:w="3051" w:type="dxa"/>
          </w:tcPr>
          <w:p w:rsidR="001B1953" w:rsidRPr="00D72A71" w:rsidRDefault="001B1953" w:rsidP="004C763D">
            <w:pPr>
              <w:jc w:val="both"/>
              <w:rPr>
                <w:sz w:val="20"/>
                <w:szCs w:val="20"/>
              </w:rPr>
            </w:pPr>
            <w:r w:rsidRPr="00D72A71">
              <w:rPr>
                <w:sz w:val="20"/>
                <w:szCs w:val="20"/>
              </w:rPr>
              <w:t>Аппарат ультразвуковой диагностики</w:t>
            </w:r>
          </w:p>
        </w:tc>
        <w:tc>
          <w:tcPr>
            <w:tcW w:w="1720" w:type="dxa"/>
          </w:tcPr>
          <w:p w:rsidR="001B1953" w:rsidRPr="00D72A71" w:rsidRDefault="001B1953" w:rsidP="004C763D">
            <w:pPr>
              <w:jc w:val="center"/>
              <w:rPr>
                <w:sz w:val="20"/>
                <w:szCs w:val="20"/>
              </w:rPr>
            </w:pPr>
            <w:r w:rsidRPr="00D72A71">
              <w:rPr>
                <w:sz w:val="20"/>
                <w:szCs w:val="20"/>
              </w:rPr>
              <w:t>274,2</w:t>
            </w:r>
          </w:p>
        </w:tc>
      </w:tr>
      <w:tr w:rsidR="001B1953" w:rsidRPr="00D72A71" w:rsidTr="004C763D">
        <w:trPr>
          <w:trHeight w:val="20"/>
        </w:trPr>
        <w:tc>
          <w:tcPr>
            <w:tcW w:w="2500" w:type="dxa"/>
            <w:vMerge/>
            <w:vAlign w:val="center"/>
          </w:tcPr>
          <w:p w:rsidR="001B1953" w:rsidRPr="00D72A71" w:rsidRDefault="001B1953" w:rsidP="004C763D">
            <w:pPr>
              <w:jc w:val="both"/>
              <w:rPr>
                <w:color w:val="000000"/>
                <w:sz w:val="20"/>
                <w:szCs w:val="20"/>
              </w:rPr>
            </w:pPr>
          </w:p>
        </w:tc>
        <w:tc>
          <w:tcPr>
            <w:tcW w:w="2924" w:type="dxa"/>
          </w:tcPr>
          <w:p w:rsidR="001B1953" w:rsidRPr="00D72A71" w:rsidRDefault="00961CC9" w:rsidP="004C763D">
            <w:pPr>
              <w:jc w:val="both"/>
              <w:rPr>
                <w:sz w:val="20"/>
                <w:szCs w:val="20"/>
              </w:rPr>
            </w:pPr>
            <w:r w:rsidRPr="00D72A71">
              <w:rPr>
                <w:sz w:val="20"/>
                <w:szCs w:val="20"/>
              </w:rPr>
              <w:t>Кабин</w:t>
            </w:r>
            <w:r>
              <w:rPr>
                <w:sz w:val="20"/>
                <w:szCs w:val="20"/>
              </w:rPr>
              <w:t>е</w:t>
            </w:r>
            <w:r w:rsidRPr="00D72A71">
              <w:rPr>
                <w:sz w:val="20"/>
                <w:szCs w:val="20"/>
              </w:rPr>
              <w:t xml:space="preserve">т </w:t>
            </w:r>
            <w:r w:rsidR="001B1953" w:rsidRPr="00D72A71">
              <w:rPr>
                <w:sz w:val="20"/>
                <w:szCs w:val="20"/>
              </w:rPr>
              <w:t>эндоскопической диагностики</w:t>
            </w:r>
          </w:p>
        </w:tc>
        <w:tc>
          <w:tcPr>
            <w:tcW w:w="3051" w:type="dxa"/>
          </w:tcPr>
          <w:p w:rsidR="001B1953" w:rsidRPr="00D72A71" w:rsidRDefault="001B1953" w:rsidP="004C763D">
            <w:pPr>
              <w:jc w:val="both"/>
              <w:rPr>
                <w:sz w:val="20"/>
                <w:szCs w:val="20"/>
              </w:rPr>
            </w:pPr>
            <w:r w:rsidRPr="00D72A71">
              <w:rPr>
                <w:sz w:val="20"/>
                <w:szCs w:val="20"/>
              </w:rPr>
              <w:t>Бронхоскоп</w:t>
            </w:r>
          </w:p>
        </w:tc>
        <w:tc>
          <w:tcPr>
            <w:tcW w:w="1720" w:type="dxa"/>
          </w:tcPr>
          <w:p w:rsidR="001B1953" w:rsidRPr="00D72A71" w:rsidRDefault="001B1953" w:rsidP="004C763D">
            <w:pPr>
              <w:jc w:val="center"/>
              <w:rPr>
                <w:sz w:val="20"/>
                <w:szCs w:val="20"/>
              </w:rPr>
            </w:pPr>
            <w:r w:rsidRPr="00D72A71">
              <w:rPr>
                <w:sz w:val="20"/>
                <w:szCs w:val="20"/>
              </w:rPr>
              <w:t>0,4</w:t>
            </w:r>
          </w:p>
        </w:tc>
      </w:tr>
      <w:tr w:rsidR="001B1953" w:rsidRPr="00D72A71" w:rsidTr="004C763D">
        <w:trPr>
          <w:trHeight w:val="20"/>
        </w:trPr>
        <w:tc>
          <w:tcPr>
            <w:tcW w:w="2500" w:type="dxa"/>
            <w:vMerge/>
            <w:vAlign w:val="center"/>
          </w:tcPr>
          <w:p w:rsidR="001B1953" w:rsidRPr="00D72A71" w:rsidRDefault="001B1953" w:rsidP="004C763D">
            <w:pPr>
              <w:jc w:val="both"/>
              <w:rPr>
                <w:color w:val="000000"/>
                <w:sz w:val="20"/>
                <w:szCs w:val="20"/>
              </w:rPr>
            </w:pPr>
          </w:p>
        </w:tc>
        <w:tc>
          <w:tcPr>
            <w:tcW w:w="2924" w:type="dxa"/>
          </w:tcPr>
          <w:p w:rsidR="001B1953" w:rsidRPr="00D72A71" w:rsidRDefault="00961CC9" w:rsidP="004C763D">
            <w:pPr>
              <w:jc w:val="both"/>
              <w:rPr>
                <w:sz w:val="20"/>
                <w:szCs w:val="20"/>
              </w:rPr>
            </w:pPr>
            <w:r w:rsidRPr="00D72A71">
              <w:rPr>
                <w:sz w:val="20"/>
                <w:szCs w:val="20"/>
              </w:rPr>
              <w:t>Кабин</w:t>
            </w:r>
            <w:r>
              <w:rPr>
                <w:sz w:val="20"/>
                <w:szCs w:val="20"/>
              </w:rPr>
              <w:t>е</w:t>
            </w:r>
            <w:r w:rsidRPr="00D72A71">
              <w:rPr>
                <w:sz w:val="20"/>
                <w:szCs w:val="20"/>
              </w:rPr>
              <w:t xml:space="preserve">т </w:t>
            </w:r>
            <w:r w:rsidR="001B1953" w:rsidRPr="00D72A71">
              <w:rPr>
                <w:sz w:val="20"/>
                <w:szCs w:val="20"/>
              </w:rPr>
              <w:t>эндоскопической диагностики</w:t>
            </w:r>
          </w:p>
        </w:tc>
        <w:tc>
          <w:tcPr>
            <w:tcW w:w="3051" w:type="dxa"/>
          </w:tcPr>
          <w:p w:rsidR="001B1953" w:rsidRPr="00D72A71" w:rsidRDefault="001B1953" w:rsidP="004C763D">
            <w:pPr>
              <w:jc w:val="both"/>
              <w:rPr>
                <w:sz w:val="20"/>
                <w:szCs w:val="20"/>
              </w:rPr>
            </w:pPr>
            <w:r w:rsidRPr="00D72A71">
              <w:rPr>
                <w:sz w:val="20"/>
                <w:szCs w:val="20"/>
              </w:rPr>
              <w:t>Гастроскоп</w:t>
            </w:r>
          </w:p>
        </w:tc>
        <w:tc>
          <w:tcPr>
            <w:tcW w:w="1720" w:type="dxa"/>
          </w:tcPr>
          <w:p w:rsidR="001B1953" w:rsidRPr="00D72A71" w:rsidRDefault="001B1953" w:rsidP="004C763D">
            <w:pPr>
              <w:jc w:val="center"/>
              <w:rPr>
                <w:sz w:val="20"/>
                <w:szCs w:val="20"/>
              </w:rPr>
            </w:pPr>
            <w:r w:rsidRPr="00D72A71">
              <w:rPr>
                <w:sz w:val="20"/>
                <w:szCs w:val="20"/>
              </w:rPr>
              <w:t>17,3</w:t>
            </w:r>
          </w:p>
        </w:tc>
      </w:tr>
      <w:tr w:rsidR="001B1953" w:rsidRPr="00D72A71" w:rsidTr="004C763D">
        <w:trPr>
          <w:trHeight w:val="20"/>
        </w:trPr>
        <w:tc>
          <w:tcPr>
            <w:tcW w:w="2500" w:type="dxa"/>
            <w:vMerge/>
            <w:vAlign w:val="center"/>
          </w:tcPr>
          <w:p w:rsidR="001B1953" w:rsidRPr="00D72A71" w:rsidRDefault="001B1953" w:rsidP="004C763D">
            <w:pPr>
              <w:jc w:val="both"/>
              <w:rPr>
                <w:color w:val="000000"/>
                <w:sz w:val="20"/>
                <w:szCs w:val="20"/>
              </w:rPr>
            </w:pPr>
          </w:p>
        </w:tc>
        <w:tc>
          <w:tcPr>
            <w:tcW w:w="2924" w:type="dxa"/>
          </w:tcPr>
          <w:p w:rsidR="001B1953" w:rsidRPr="00D72A71" w:rsidRDefault="00961CC9" w:rsidP="004C763D">
            <w:pPr>
              <w:jc w:val="both"/>
              <w:rPr>
                <w:sz w:val="20"/>
                <w:szCs w:val="20"/>
              </w:rPr>
            </w:pPr>
            <w:r w:rsidRPr="00D72A71">
              <w:rPr>
                <w:sz w:val="20"/>
                <w:szCs w:val="20"/>
              </w:rPr>
              <w:t>Кабин</w:t>
            </w:r>
            <w:r>
              <w:rPr>
                <w:sz w:val="20"/>
                <w:szCs w:val="20"/>
              </w:rPr>
              <w:t>е</w:t>
            </w:r>
            <w:r w:rsidRPr="00D72A71">
              <w:rPr>
                <w:sz w:val="20"/>
                <w:szCs w:val="20"/>
              </w:rPr>
              <w:t xml:space="preserve">т </w:t>
            </w:r>
            <w:r w:rsidR="001B1953" w:rsidRPr="00D72A71">
              <w:rPr>
                <w:sz w:val="20"/>
                <w:szCs w:val="20"/>
              </w:rPr>
              <w:t>эндоскопической диагностики</w:t>
            </w:r>
          </w:p>
        </w:tc>
        <w:tc>
          <w:tcPr>
            <w:tcW w:w="3051" w:type="dxa"/>
          </w:tcPr>
          <w:p w:rsidR="001B1953" w:rsidRPr="00D72A71" w:rsidRDefault="001B1953" w:rsidP="004C763D">
            <w:pPr>
              <w:jc w:val="both"/>
              <w:rPr>
                <w:sz w:val="20"/>
                <w:szCs w:val="20"/>
              </w:rPr>
            </w:pPr>
            <w:r w:rsidRPr="00D72A71">
              <w:rPr>
                <w:sz w:val="20"/>
                <w:szCs w:val="20"/>
              </w:rPr>
              <w:t>Колоноскоп</w:t>
            </w:r>
          </w:p>
        </w:tc>
        <w:tc>
          <w:tcPr>
            <w:tcW w:w="1720" w:type="dxa"/>
          </w:tcPr>
          <w:p w:rsidR="001B1953" w:rsidRPr="00D72A71" w:rsidRDefault="001B1953" w:rsidP="004C763D">
            <w:pPr>
              <w:jc w:val="center"/>
              <w:rPr>
                <w:sz w:val="20"/>
                <w:szCs w:val="20"/>
              </w:rPr>
            </w:pPr>
            <w:r w:rsidRPr="00D72A71">
              <w:rPr>
                <w:sz w:val="20"/>
                <w:szCs w:val="20"/>
              </w:rPr>
              <w:t>1,3</w:t>
            </w:r>
          </w:p>
        </w:tc>
      </w:tr>
      <w:tr w:rsidR="001B1953" w:rsidRPr="00D72A71" w:rsidTr="004C763D">
        <w:trPr>
          <w:trHeight w:val="20"/>
        </w:trPr>
        <w:tc>
          <w:tcPr>
            <w:tcW w:w="2500" w:type="dxa"/>
            <w:vMerge/>
            <w:vAlign w:val="center"/>
          </w:tcPr>
          <w:p w:rsidR="001B1953" w:rsidRPr="00D72A71" w:rsidRDefault="001B1953" w:rsidP="004C763D">
            <w:pPr>
              <w:jc w:val="both"/>
              <w:rPr>
                <w:color w:val="000000"/>
                <w:sz w:val="20"/>
                <w:szCs w:val="20"/>
              </w:rPr>
            </w:pPr>
          </w:p>
        </w:tc>
        <w:tc>
          <w:tcPr>
            <w:tcW w:w="2924" w:type="dxa"/>
          </w:tcPr>
          <w:p w:rsidR="001B1953" w:rsidRPr="00D72A71" w:rsidRDefault="001B1953" w:rsidP="004C763D">
            <w:pPr>
              <w:jc w:val="both"/>
              <w:rPr>
                <w:sz w:val="20"/>
                <w:szCs w:val="20"/>
              </w:rPr>
            </w:pPr>
            <w:r w:rsidRPr="00D72A71">
              <w:rPr>
                <w:sz w:val="20"/>
                <w:szCs w:val="20"/>
              </w:rPr>
              <w:t>Отделение лучевой диагностики</w:t>
            </w:r>
          </w:p>
        </w:tc>
        <w:tc>
          <w:tcPr>
            <w:tcW w:w="3051" w:type="dxa"/>
          </w:tcPr>
          <w:p w:rsidR="001B1953" w:rsidRPr="00D72A71" w:rsidRDefault="001B1953" w:rsidP="004C763D">
            <w:pPr>
              <w:jc w:val="both"/>
              <w:rPr>
                <w:sz w:val="20"/>
                <w:szCs w:val="20"/>
              </w:rPr>
            </w:pPr>
            <w:r w:rsidRPr="00D72A71">
              <w:rPr>
                <w:sz w:val="20"/>
                <w:szCs w:val="20"/>
              </w:rPr>
              <w:t>Компьютерный томограф</w:t>
            </w:r>
          </w:p>
        </w:tc>
        <w:tc>
          <w:tcPr>
            <w:tcW w:w="1720" w:type="dxa"/>
          </w:tcPr>
          <w:p w:rsidR="001B1953" w:rsidRPr="00D72A71" w:rsidRDefault="001B1953" w:rsidP="004C763D">
            <w:pPr>
              <w:jc w:val="center"/>
              <w:rPr>
                <w:sz w:val="20"/>
                <w:szCs w:val="20"/>
              </w:rPr>
            </w:pPr>
            <w:r w:rsidRPr="00D72A71">
              <w:rPr>
                <w:sz w:val="20"/>
                <w:szCs w:val="20"/>
              </w:rPr>
              <w:t>24</w:t>
            </w:r>
          </w:p>
        </w:tc>
      </w:tr>
      <w:tr w:rsidR="001B1953" w:rsidRPr="00D72A71" w:rsidTr="004C763D">
        <w:trPr>
          <w:trHeight w:val="20"/>
        </w:trPr>
        <w:tc>
          <w:tcPr>
            <w:tcW w:w="2500" w:type="dxa"/>
            <w:vMerge/>
            <w:vAlign w:val="center"/>
          </w:tcPr>
          <w:p w:rsidR="001B1953" w:rsidRPr="00D72A71" w:rsidRDefault="001B1953" w:rsidP="004C763D">
            <w:pPr>
              <w:jc w:val="both"/>
              <w:rPr>
                <w:color w:val="000000"/>
                <w:sz w:val="20"/>
                <w:szCs w:val="20"/>
              </w:rPr>
            </w:pPr>
          </w:p>
        </w:tc>
        <w:tc>
          <w:tcPr>
            <w:tcW w:w="2924" w:type="dxa"/>
          </w:tcPr>
          <w:p w:rsidR="001B1953" w:rsidRPr="00D72A71" w:rsidRDefault="001B1953" w:rsidP="004C763D">
            <w:pPr>
              <w:jc w:val="both"/>
              <w:rPr>
                <w:sz w:val="20"/>
                <w:szCs w:val="20"/>
              </w:rPr>
            </w:pPr>
            <w:r w:rsidRPr="00D72A71">
              <w:rPr>
                <w:sz w:val="20"/>
                <w:szCs w:val="20"/>
              </w:rPr>
              <w:t>Отделение лучевой диагностики</w:t>
            </w:r>
          </w:p>
        </w:tc>
        <w:tc>
          <w:tcPr>
            <w:tcW w:w="3051" w:type="dxa"/>
          </w:tcPr>
          <w:p w:rsidR="001B1953" w:rsidRPr="00D72A71" w:rsidRDefault="001B1953" w:rsidP="004C763D">
            <w:pPr>
              <w:jc w:val="both"/>
              <w:rPr>
                <w:sz w:val="20"/>
                <w:szCs w:val="20"/>
              </w:rPr>
            </w:pPr>
            <w:r w:rsidRPr="00D72A71">
              <w:rPr>
                <w:sz w:val="20"/>
                <w:szCs w:val="20"/>
              </w:rPr>
              <w:t>Рентгенодиагностическое</w:t>
            </w:r>
            <w:r w:rsidR="00961CC9">
              <w:rPr>
                <w:sz w:val="20"/>
                <w:szCs w:val="20"/>
              </w:rPr>
              <w:t xml:space="preserve"> оборудование</w:t>
            </w:r>
          </w:p>
        </w:tc>
        <w:tc>
          <w:tcPr>
            <w:tcW w:w="1720" w:type="dxa"/>
          </w:tcPr>
          <w:p w:rsidR="001B1953" w:rsidRPr="00D72A71" w:rsidRDefault="001B1953" w:rsidP="004C763D">
            <w:pPr>
              <w:jc w:val="center"/>
              <w:rPr>
                <w:sz w:val="20"/>
                <w:szCs w:val="20"/>
              </w:rPr>
            </w:pPr>
            <w:r w:rsidRPr="00D72A71">
              <w:rPr>
                <w:sz w:val="20"/>
                <w:szCs w:val="20"/>
              </w:rPr>
              <w:t>220</w:t>
            </w:r>
          </w:p>
        </w:tc>
      </w:tr>
      <w:tr w:rsidR="001B1953" w:rsidRPr="00D72A71" w:rsidTr="004C763D">
        <w:trPr>
          <w:trHeight w:val="20"/>
        </w:trPr>
        <w:tc>
          <w:tcPr>
            <w:tcW w:w="2500" w:type="dxa"/>
            <w:vMerge/>
            <w:vAlign w:val="center"/>
          </w:tcPr>
          <w:p w:rsidR="001B1953" w:rsidRPr="00D72A71" w:rsidRDefault="001B1953" w:rsidP="004C763D">
            <w:pPr>
              <w:jc w:val="both"/>
              <w:rPr>
                <w:color w:val="000000"/>
                <w:sz w:val="20"/>
                <w:szCs w:val="20"/>
              </w:rPr>
            </w:pPr>
          </w:p>
        </w:tc>
        <w:tc>
          <w:tcPr>
            <w:tcW w:w="2924" w:type="dxa"/>
          </w:tcPr>
          <w:p w:rsidR="001B1953" w:rsidRPr="00D72A71" w:rsidRDefault="001B1953" w:rsidP="004C763D">
            <w:pPr>
              <w:jc w:val="both"/>
              <w:rPr>
                <w:sz w:val="20"/>
                <w:szCs w:val="20"/>
              </w:rPr>
            </w:pPr>
            <w:r w:rsidRPr="00D72A71">
              <w:rPr>
                <w:sz w:val="20"/>
                <w:szCs w:val="20"/>
              </w:rPr>
              <w:t>Отделение лучевой диагностики</w:t>
            </w:r>
          </w:p>
        </w:tc>
        <w:tc>
          <w:tcPr>
            <w:tcW w:w="3051" w:type="dxa"/>
          </w:tcPr>
          <w:p w:rsidR="001B1953" w:rsidRPr="00D72A71" w:rsidRDefault="00961CC9" w:rsidP="004C763D">
            <w:pPr>
              <w:jc w:val="both"/>
              <w:rPr>
                <w:sz w:val="20"/>
                <w:szCs w:val="20"/>
              </w:rPr>
            </w:pPr>
            <w:r>
              <w:rPr>
                <w:sz w:val="20"/>
                <w:szCs w:val="20"/>
              </w:rPr>
              <w:t>Маммограф</w:t>
            </w:r>
          </w:p>
        </w:tc>
        <w:tc>
          <w:tcPr>
            <w:tcW w:w="1720" w:type="dxa"/>
          </w:tcPr>
          <w:p w:rsidR="001B1953" w:rsidRPr="00D72A71" w:rsidRDefault="001B1953" w:rsidP="004C763D">
            <w:pPr>
              <w:jc w:val="center"/>
              <w:rPr>
                <w:sz w:val="20"/>
                <w:szCs w:val="20"/>
              </w:rPr>
            </w:pPr>
            <w:r w:rsidRPr="00D72A71">
              <w:rPr>
                <w:sz w:val="20"/>
                <w:szCs w:val="20"/>
              </w:rPr>
              <w:t>34</w:t>
            </w:r>
          </w:p>
        </w:tc>
      </w:tr>
      <w:tr w:rsidR="001B1953" w:rsidRPr="00D72A71" w:rsidTr="004C763D">
        <w:trPr>
          <w:trHeight w:val="20"/>
        </w:trPr>
        <w:tc>
          <w:tcPr>
            <w:tcW w:w="2500" w:type="dxa"/>
            <w:vMerge/>
            <w:vAlign w:val="center"/>
          </w:tcPr>
          <w:p w:rsidR="001B1953" w:rsidRPr="00D72A71" w:rsidRDefault="001B1953" w:rsidP="004C763D">
            <w:pPr>
              <w:jc w:val="both"/>
              <w:rPr>
                <w:color w:val="000000"/>
                <w:sz w:val="20"/>
                <w:szCs w:val="20"/>
              </w:rPr>
            </w:pPr>
          </w:p>
        </w:tc>
        <w:tc>
          <w:tcPr>
            <w:tcW w:w="2924" w:type="dxa"/>
          </w:tcPr>
          <w:p w:rsidR="001B1953" w:rsidRPr="00D72A71" w:rsidRDefault="001B1953" w:rsidP="004C763D">
            <w:pPr>
              <w:jc w:val="both"/>
              <w:rPr>
                <w:sz w:val="20"/>
                <w:szCs w:val="20"/>
              </w:rPr>
            </w:pPr>
            <w:r w:rsidRPr="00D72A71">
              <w:rPr>
                <w:sz w:val="20"/>
                <w:szCs w:val="20"/>
              </w:rPr>
              <w:t>Отделение лучевой диагностики</w:t>
            </w:r>
          </w:p>
        </w:tc>
        <w:tc>
          <w:tcPr>
            <w:tcW w:w="3051" w:type="dxa"/>
          </w:tcPr>
          <w:p w:rsidR="001B1953" w:rsidRPr="00D72A71" w:rsidRDefault="001B1953" w:rsidP="004C763D">
            <w:pPr>
              <w:jc w:val="both"/>
              <w:rPr>
                <w:sz w:val="20"/>
                <w:szCs w:val="20"/>
              </w:rPr>
            </w:pPr>
            <w:r w:rsidRPr="00D72A71">
              <w:rPr>
                <w:sz w:val="20"/>
                <w:szCs w:val="20"/>
              </w:rPr>
              <w:t>Флюорограф</w:t>
            </w:r>
          </w:p>
        </w:tc>
        <w:tc>
          <w:tcPr>
            <w:tcW w:w="1720" w:type="dxa"/>
          </w:tcPr>
          <w:p w:rsidR="001B1953" w:rsidRPr="00D72A71" w:rsidRDefault="001B1953" w:rsidP="004C763D">
            <w:pPr>
              <w:jc w:val="center"/>
              <w:rPr>
                <w:sz w:val="20"/>
                <w:szCs w:val="20"/>
              </w:rPr>
            </w:pPr>
            <w:r w:rsidRPr="00D72A71">
              <w:rPr>
                <w:sz w:val="20"/>
                <w:szCs w:val="20"/>
              </w:rPr>
              <w:t>130,9</w:t>
            </w:r>
          </w:p>
        </w:tc>
      </w:tr>
      <w:tr w:rsidR="001B1953" w:rsidRPr="00D72A71" w:rsidTr="004C763D">
        <w:trPr>
          <w:trHeight w:val="20"/>
        </w:trPr>
        <w:tc>
          <w:tcPr>
            <w:tcW w:w="2500" w:type="dxa"/>
            <w:vMerge w:val="restart"/>
          </w:tcPr>
          <w:p w:rsidR="001B1953" w:rsidRPr="00D72A71" w:rsidRDefault="001B1953" w:rsidP="004C763D">
            <w:pPr>
              <w:jc w:val="both"/>
              <w:rPr>
                <w:color w:val="000000"/>
                <w:sz w:val="20"/>
                <w:szCs w:val="20"/>
              </w:rPr>
            </w:pPr>
            <w:r w:rsidRPr="00D72A71">
              <w:rPr>
                <w:color w:val="000000"/>
                <w:sz w:val="20"/>
                <w:szCs w:val="20"/>
              </w:rPr>
              <w:t>ГАУЗ «Сабинская ЦРБ»</w:t>
            </w:r>
          </w:p>
        </w:tc>
        <w:tc>
          <w:tcPr>
            <w:tcW w:w="2924" w:type="dxa"/>
          </w:tcPr>
          <w:p w:rsidR="001B1953" w:rsidRPr="00D72A71" w:rsidRDefault="001B1953" w:rsidP="004C763D">
            <w:pPr>
              <w:jc w:val="both"/>
              <w:rPr>
                <w:sz w:val="20"/>
                <w:szCs w:val="20"/>
              </w:rPr>
            </w:pPr>
            <w:r w:rsidRPr="00D72A71">
              <w:rPr>
                <w:sz w:val="20"/>
                <w:szCs w:val="20"/>
              </w:rPr>
              <w:t>Кабинет ультразвуковой диагностики</w:t>
            </w:r>
          </w:p>
        </w:tc>
        <w:tc>
          <w:tcPr>
            <w:tcW w:w="3051" w:type="dxa"/>
          </w:tcPr>
          <w:p w:rsidR="001B1953" w:rsidRPr="00D72A71" w:rsidRDefault="001B1953" w:rsidP="004C763D">
            <w:pPr>
              <w:jc w:val="both"/>
              <w:rPr>
                <w:sz w:val="20"/>
                <w:szCs w:val="20"/>
              </w:rPr>
            </w:pPr>
            <w:r w:rsidRPr="00D72A71">
              <w:rPr>
                <w:sz w:val="20"/>
                <w:szCs w:val="20"/>
              </w:rPr>
              <w:t>Аппарат ультразвуковой диагностики</w:t>
            </w:r>
          </w:p>
        </w:tc>
        <w:tc>
          <w:tcPr>
            <w:tcW w:w="1720" w:type="dxa"/>
          </w:tcPr>
          <w:p w:rsidR="001B1953" w:rsidRPr="00D72A71" w:rsidRDefault="001B1953" w:rsidP="004C763D">
            <w:pPr>
              <w:jc w:val="center"/>
              <w:rPr>
                <w:sz w:val="20"/>
                <w:szCs w:val="20"/>
              </w:rPr>
            </w:pPr>
            <w:r w:rsidRPr="00D72A71">
              <w:rPr>
                <w:sz w:val="20"/>
                <w:szCs w:val="20"/>
              </w:rPr>
              <w:t>100,2</w:t>
            </w:r>
          </w:p>
        </w:tc>
      </w:tr>
      <w:tr w:rsidR="001B1953" w:rsidRPr="00D72A71" w:rsidTr="004C763D">
        <w:trPr>
          <w:trHeight w:val="20"/>
        </w:trPr>
        <w:tc>
          <w:tcPr>
            <w:tcW w:w="2500" w:type="dxa"/>
            <w:vMerge/>
            <w:vAlign w:val="center"/>
          </w:tcPr>
          <w:p w:rsidR="001B1953" w:rsidRPr="00D72A71" w:rsidRDefault="001B1953" w:rsidP="004C763D">
            <w:pPr>
              <w:jc w:val="both"/>
              <w:rPr>
                <w:color w:val="000000"/>
                <w:sz w:val="20"/>
                <w:szCs w:val="20"/>
              </w:rPr>
            </w:pPr>
          </w:p>
        </w:tc>
        <w:tc>
          <w:tcPr>
            <w:tcW w:w="2924" w:type="dxa"/>
          </w:tcPr>
          <w:p w:rsidR="001B1953" w:rsidRPr="00D72A71" w:rsidRDefault="00FA54BE" w:rsidP="004C763D">
            <w:pPr>
              <w:jc w:val="both"/>
              <w:rPr>
                <w:sz w:val="20"/>
                <w:szCs w:val="20"/>
              </w:rPr>
            </w:pPr>
            <w:r w:rsidRPr="00D72A71">
              <w:rPr>
                <w:sz w:val="20"/>
                <w:szCs w:val="20"/>
              </w:rPr>
              <w:t xml:space="preserve">Кабинет </w:t>
            </w:r>
            <w:r w:rsidR="001B1953" w:rsidRPr="00D72A71">
              <w:rPr>
                <w:sz w:val="20"/>
                <w:szCs w:val="20"/>
              </w:rPr>
              <w:t>эндоскопической диагностики</w:t>
            </w:r>
          </w:p>
        </w:tc>
        <w:tc>
          <w:tcPr>
            <w:tcW w:w="3051" w:type="dxa"/>
          </w:tcPr>
          <w:p w:rsidR="001B1953" w:rsidRPr="00D72A71" w:rsidRDefault="001B1953" w:rsidP="004C763D">
            <w:pPr>
              <w:jc w:val="both"/>
              <w:rPr>
                <w:sz w:val="20"/>
                <w:szCs w:val="20"/>
              </w:rPr>
            </w:pPr>
            <w:r w:rsidRPr="00D72A71">
              <w:rPr>
                <w:sz w:val="20"/>
                <w:szCs w:val="20"/>
              </w:rPr>
              <w:t>Гастроскоп</w:t>
            </w:r>
          </w:p>
        </w:tc>
        <w:tc>
          <w:tcPr>
            <w:tcW w:w="1720" w:type="dxa"/>
          </w:tcPr>
          <w:p w:rsidR="001B1953" w:rsidRPr="00D72A71" w:rsidRDefault="001B1953" w:rsidP="004C763D">
            <w:pPr>
              <w:jc w:val="center"/>
              <w:rPr>
                <w:sz w:val="20"/>
                <w:szCs w:val="20"/>
              </w:rPr>
            </w:pPr>
            <w:r w:rsidRPr="00D72A71">
              <w:rPr>
                <w:sz w:val="20"/>
                <w:szCs w:val="20"/>
              </w:rPr>
              <w:t>6,6</w:t>
            </w:r>
          </w:p>
        </w:tc>
      </w:tr>
      <w:tr w:rsidR="001B1953" w:rsidRPr="00D72A71" w:rsidTr="004C763D">
        <w:trPr>
          <w:trHeight w:val="20"/>
        </w:trPr>
        <w:tc>
          <w:tcPr>
            <w:tcW w:w="2500" w:type="dxa"/>
            <w:vMerge/>
            <w:vAlign w:val="center"/>
          </w:tcPr>
          <w:p w:rsidR="001B1953" w:rsidRPr="00D72A71" w:rsidRDefault="001B1953" w:rsidP="004C763D">
            <w:pPr>
              <w:jc w:val="both"/>
              <w:rPr>
                <w:color w:val="000000"/>
                <w:sz w:val="20"/>
                <w:szCs w:val="20"/>
              </w:rPr>
            </w:pPr>
          </w:p>
        </w:tc>
        <w:tc>
          <w:tcPr>
            <w:tcW w:w="2924" w:type="dxa"/>
          </w:tcPr>
          <w:p w:rsidR="001B1953" w:rsidRPr="00D72A71" w:rsidRDefault="00FA54BE" w:rsidP="004C763D">
            <w:pPr>
              <w:jc w:val="both"/>
              <w:rPr>
                <w:sz w:val="20"/>
                <w:szCs w:val="20"/>
              </w:rPr>
            </w:pPr>
            <w:r w:rsidRPr="00D72A71">
              <w:rPr>
                <w:sz w:val="20"/>
                <w:szCs w:val="20"/>
              </w:rPr>
              <w:t xml:space="preserve">Кабинет </w:t>
            </w:r>
            <w:r w:rsidR="001B1953" w:rsidRPr="00D72A71">
              <w:rPr>
                <w:sz w:val="20"/>
                <w:szCs w:val="20"/>
              </w:rPr>
              <w:t>эндоскопической диагностики</w:t>
            </w:r>
          </w:p>
        </w:tc>
        <w:tc>
          <w:tcPr>
            <w:tcW w:w="3051" w:type="dxa"/>
          </w:tcPr>
          <w:p w:rsidR="001B1953" w:rsidRPr="00D72A71" w:rsidRDefault="001B1953" w:rsidP="004C763D">
            <w:pPr>
              <w:jc w:val="both"/>
              <w:rPr>
                <w:sz w:val="20"/>
                <w:szCs w:val="20"/>
              </w:rPr>
            </w:pPr>
            <w:r w:rsidRPr="00D72A71">
              <w:rPr>
                <w:sz w:val="20"/>
                <w:szCs w:val="20"/>
              </w:rPr>
              <w:t>Колоноскоп</w:t>
            </w:r>
          </w:p>
        </w:tc>
        <w:tc>
          <w:tcPr>
            <w:tcW w:w="1720" w:type="dxa"/>
          </w:tcPr>
          <w:p w:rsidR="001B1953" w:rsidRPr="00D72A71" w:rsidRDefault="001B1953" w:rsidP="004C763D">
            <w:pPr>
              <w:jc w:val="center"/>
              <w:rPr>
                <w:sz w:val="20"/>
                <w:szCs w:val="20"/>
              </w:rPr>
            </w:pPr>
            <w:r w:rsidRPr="00D72A71">
              <w:rPr>
                <w:sz w:val="20"/>
                <w:szCs w:val="20"/>
              </w:rPr>
              <w:t>1,0</w:t>
            </w:r>
          </w:p>
        </w:tc>
      </w:tr>
      <w:tr w:rsidR="001B1953" w:rsidRPr="00D72A71" w:rsidTr="004C763D">
        <w:trPr>
          <w:trHeight w:val="20"/>
        </w:trPr>
        <w:tc>
          <w:tcPr>
            <w:tcW w:w="2500" w:type="dxa"/>
            <w:vMerge/>
            <w:vAlign w:val="center"/>
          </w:tcPr>
          <w:p w:rsidR="001B1953" w:rsidRPr="00D72A71" w:rsidRDefault="001B1953" w:rsidP="004C763D">
            <w:pPr>
              <w:jc w:val="both"/>
              <w:rPr>
                <w:color w:val="000000"/>
                <w:sz w:val="20"/>
                <w:szCs w:val="20"/>
              </w:rPr>
            </w:pPr>
          </w:p>
        </w:tc>
        <w:tc>
          <w:tcPr>
            <w:tcW w:w="2924" w:type="dxa"/>
          </w:tcPr>
          <w:p w:rsidR="001B1953" w:rsidRPr="00D72A71" w:rsidRDefault="00FA54BE" w:rsidP="004C763D">
            <w:pPr>
              <w:jc w:val="both"/>
              <w:rPr>
                <w:sz w:val="20"/>
                <w:szCs w:val="20"/>
              </w:rPr>
            </w:pPr>
            <w:r w:rsidRPr="00D72A71">
              <w:rPr>
                <w:sz w:val="20"/>
                <w:szCs w:val="20"/>
              </w:rPr>
              <w:t xml:space="preserve">Кабинет </w:t>
            </w:r>
            <w:r w:rsidR="001B1953" w:rsidRPr="00D72A71">
              <w:rPr>
                <w:sz w:val="20"/>
                <w:szCs w:val="20"/>
              </w:rPr>
              <w:t>эндоскопической диагностики</w:t>
            </w:r>
          </w:p>
        </w:tc>
        <w:tc>
          <w:tcPr>
            <w:tcW w:w="3051" w:type="dxa"/>
          </w:tcPr>
          <w:p w:rsidR="001B1953" w:rsidRPr="00D72A71" w:rsidRDefault="001B1953" w:rsidP="004C763D">
            <w:pPr>
              <w:jc w:val="both"/>
              <w:rPr>
                <w:sz w:val="20"/>
                <w:szCs w:val="20"/>
              </w:rPr>
            </w:pPr>
            <w:r w:rsidRPr="00D72A71">
              <w:rPr>
                <w:sz w:val="20"/>
                <w:szCs w:val="20"/>
              </w:rPr>
              <w:t>Компьютерный томограф</w:t>
            </w:r>
          </w:p>
        </w:tc>
        <w:tc>
          <w:tcPr>
            <w:tcW w:w="1720" w:type="dxa"/>
          </w:tcPr>
          <w:p w:rsidR="001B1953" w:rsidRPr="00D72A71" w:rsidRDefault="001B1953" w:rsidP="004C763D">
            <w:pPr>
              <w:jc w:val="center"/>
              <w:rPr>
                <w:sz w:val="20"/>
                <w:szCs w:val="20"/>
              </w:rPr>
            </w:pPr>
            <w:r w:rsidRPr="00D72A71">
              <w:rPr>
                <w:sz w:val="20"/>
                <w:szCs w:val="20"/>
              </w:rPr>
              <w:t>12</w:t>
            </w:r>
          </w:p>
        </w:tc>
      </w:tr>
      <w:tr w:rsidR="001B1953" w:rsidRPr="00D72A71" w:rsidTr="004C763D">
        <w:trPr>
          <w:trHeight w:val="20"/>
        </w:trPr>
        <w:tc>
          <w:tcPr>
            <w:tcW w:w="2500" w:type="dxa"/>
            <w:vMerge/>
            <w:vAlign w:val="center"/>
          </w:tcPr>
          <w:p w:rsidR="001B1953" w:rsidRPr="00D72A71" w:rsidRDefault="001B1953" w:rsidP="004C763D">
            <w:pPr>
              <w:jc w:val="both"/>
              <w:rPr>
                <w:color w:val="000000"/>
                <w:sz w:val="20"/>
                <w:szCs w:val="20"/>
              </w:rPr>
            </w:pPr>
          </w:p>
        </w:tc>
        <w:tc>
          <w:tcPr>
            <w:tcW w:w="2924" w:type="dxa"/>
          </w:tcPr>
          <w:p w:rsidR="001B1953" w:rsidRPr="00D72A71" w:rsidRDefault="001B1953" w:rsidP="004C763D">
            <w:pPr>
              <w:jc w:val="both"/>
              <w:rPr>
                <w:sz w:val="20"/>
                <w:szCs w:val="20"/>
              </w:rPr>
            </w:pPr>
            <w:r w:rsidRPr="00D72A71">
              <w:rPr>
                <w:sz w:val="20"/>
                <w:szCs w:val="20"/>
              </w:rPr>
              <w:t>Кабинет рентгеновской диагностики</w:t>
            </w:r>
          </w:p>
        </w:tc>
        <w:tc>
          <w:tcPr>
            <w:tcW w:w="3051" w:type="dxa"/>
          </w:tcPr>
          <w:p w:rsidR="001B1953" w:rsidRPr="00D72A71" w:rsidRDefault="001B1953" w:rsidP="004C763D">
            <w:pPr>
              <w:jc w:val="both"/>
              <w:rPr>
                <w:sz w:val="20"/>
                <w:szCs w:val="20"/>
              </w:rPr>
            </w:pPr>
            <w:r w:rsidRPr="00D72A71">
              <w:rPr>
                <w:sz w:val="20"/>
                <w:szCs w:val="20"/>
              </w:rPr>
              <w:t>Рентгенодиагностическое</w:t>
            </w:r>
            <w:r w:rsidR="00FA54BE">
              <w:rPr>
                <w:sz w:val="20"/>
                <w:szCs w:val="20"/>
              </w:rPr>
              <w:t xml:space="preserve"> оборудование</w:t>
            </w:r>
          </w:p>
        </w:tc>
        <w:tc>
          <w:tcPr>
            <w:tcW w:w="1720" w:type="dxa"/>
          </w:tcPr>
          <w:p w:rsidR="001B1953" w:rsidRPr="00D72A71" w:rsidRDefault="001B1953" w:rsidP="004C763D">
            <w:pPr>
              <w:jc w:val="center"/>
              <w:rPr>
                <w:sz w:val="20"/>
                <w:szCs w:val="20"/>
              </w:rPr>
            </w:pPr>
            <w:r w:rsidRPr="00D72A71">
              <w:rPr>
                <w:sz w:val="20"/>
                <w:szCs w:val="20"/>
              </w:rPr>
              <w:t>50</w:t>
            </w:r>
          </w:p>
        </w:tc>
      </w:tr>
      <w:tr w:rsidR="001B1953" w:rsidRPr="00D72A71" w:rsidTr="004C763D">
        <w:trPr>
          <w:trHeight w:val="20"/>
        </w:trPr>
        <w:tc>
          <w:tcPr>
            <w:tcW w:w="2500" w:type="dxa"/>
            <w:vMerge/>
            <w:vAlign w:val="center"/>
          </w:tcPr>
          <w:p w:rsidR="001B1953" w:rsidRPr="00D72A71" w:rsidRDefault="001B1953" w:rsidP="004C763D">
            <w:pPr>
              <w:jc w:val="both"/>
              <w:rPr>
                <w:color w:val="000000"/>
                <w:sz w:val="20"/>
                <w:szCs w:val="20"/>
              </w:rPr>
            </w:pPr>
          </w:p>
        </w:tc>
        <w:tc>
          <w:tcPr>
            <w:tcW w:w="2924" w:type="dxa"/>
          </w:tcPr>
          <w:p w:rsidR="001B1953" w:rsidRPr="00D72A71" w:rsidRDefault="001B1953" w:rsidP="004C763D">
            <w:pPr>
              <w:jc w:val="both"/>
              <w:rPr>
                <w:sz w:val="20"/>
                <w:szCs w:val="20"/>
              </w:rPr>
            </w:pPr>
            <w:r w:rsidRPr="00D72A71">
              <w:rPr>
                <w:sz w:val="20"/>
                <w:szCs w:val="20"/>
              </w:rPr>
              <w:t>Кабинет рентгеновской диагностики</w:t>
            </w:r>
          </w:p>
        </w:tc>
        <w:tc>
          <w:tcPr>
            <w:tcW w:w="3051" w:type="dxa"/>
          </w:tcPr>
          <w:p w:rsidR="001B1953" w:rsidRPr="00D72A71" w:rsidRDefault="00FA54BE" w:rsidP="004C763D">
            <w:pPr>
              <w:jc w:val="both"/>
              <w:rPr>
                <w:sz w:val="20"/>
                <w:szCs w:val="20"/>
              </w:rPr>
            </w:pPr>
            <w:r>
              <w:rPr>
                <w:sz w:val="20"/>
                <w:szCs w:val="20"/>
              </w:rPr>
              <w:t>Маммограф</w:t>
            </w:r>
          </w:p>
        </w:tc>
        <w:tc>
          <w:tcPr>
            <w:tcW w:w="1720" w:type="dxa"/>
          </w:tcPr>
          <w:p w:rsidR="001B1953" w:rsidRPr="00D72A71" w:rsidRDefault="001B1953" w:rsidP="004C763D">
            <w:pPr>
              <w:jc w:val="center"/>
              <w:rPr>
                <w:sz w:val="20"/>
                <w:szCs w:val="20"/>
              </w:rPr>
            </w:pPr>
            <w:r w:rsidRPr="00D72A71">
              <w:rPr>
                <w:sz w:val="20"/>
                <w:szCs w:val="20"/>
              </w:rPr>
              <w:t>10</w:t>
            </w:r>
          </w:p>
        </w:tc>
      </w:tr>
      <w:tr w:rsidR="001B1953" w:rsidRPr="00D72A71" w:rsidTr="004C763D">
        <w:trPr>
          <w:trHeight w:val="20"/>
        </w:trPr>
        <w:tc>
          <w:tcPr>
            <w:tcW w:w="2500" w:type="dxa"/>
            <w:vMerge/>
            <w:vAlign w:val="center"/>
          </w:tcPr>
          <w:p w:rsidR="001B1953" w:rsidRPr="00D72A71" w:rsidRDefault="001B1953" w:rsidP="004C763D">
            <w:pPr>
              <w:jc w:val="both"/>
              <w:rPr>
                <w:color w:val="000000"/>
                <w:sz w:val="20"/>
                <w:szCs w:val="20"/>
              </w:rPr>
            </w:pPr>
          </w:p>
        </w:tc>
        <w:tc>
          <w:tcPr>
            <w:tcW w:w="2924" w:type="dxa"/>
          </w:tcPr>
          <w:p w:rsidR="001B1953" w:rsidRPr="00D72A71" w:rsidRDefault="001B1953" w:rsidP="004C763D">
            <w:pPr>
              <w:jc w:val="both"/>
              <w:rPr>
                <w:sz w:val="20"/>
                <w:szCs w:val="20"/>
              </w:rPr>
            </w:pPr>
            <w:r w:rsidRPr="00D72A71">
              <w:rPr>
                <w:sz w:val="20"/>
                <w:szCs w:val="20"/>
              </w:rPr>
              <w:t>Кабинет рентгеновской диагностики</w:t>
            </w:r>
          </w:p>
        </w:tc>
        <w:tc>
          <w:tcPr>
            <w:tcW w:w="3051" w:type="dxa"/>
          </w:tcPr>
          <w:p w:rsidR="001B1953" w:rsidRPr="00D72A71" w:rsidRDefault="001B1953" w:rsidP="004C763D">
            <w:pPr>
              <w:jc w:val="both"/>
              <w:rPr>
                <w:sz w:val="20"/>
                <w:szCs w:val="20"/>
              </w:rPr>
            </w:pPr>
            <w:r w:rsidRPr="00D72A71">
              <w:rPr>
                <w:sz w:val="20"/>
                <w:szCs w:val="20"/>
              </w:rPr>
              <w:t>Флюорограф</w:t>
            </w:r>
          </w:p>
        </w:tc>
        <w:tc>
          <w:tcPr>
            <w:tcW w:w="1720" w:type="dxa"/>
          </w:tcPr>
          <w:p w:rsidR="001B1953" w:rsidRPr="00D72A71" w:rsidRDefault="001B1953" w:rsidP="004C763D">
            <w:pPr>
              <w:jc w:val="center"/>
              <w:rPr>
                <w:sz w:val="20"/>
                <w:szCs w:val="20"/>
              </w:rPr>
            </w:pPr>
            <w:r w:rsidRPr="00D72A71">
              <w:rPr>
                <w:sz w:val="20"/>
                <w:szCs w:val="20"/>
              </w:rPr>
              <w:t>26,1</w:t>
            </w:r>
          </w:p>
        </w:tc>
      </w:tr>
      <w:tr w:rsidR="001B1953" w:rsidRPr="00D72A71" w:rsidTr="004C763D">
        <w:trPr>
          <w:trHeight w:val="20"/>
        </w:trPr>
        <w:tc>
          <w:tcPr>
            <w:tcW w:w="2500" w:type="dxa"/>
            <w:vMerge w:val="restart"/>
          </w:tcPr>
          <w:p w:rsidR="001B1953" w:rsidRPr="00D72A71" w:rsidRDefault="001B1953" w:rsidP="004C763D">
            <w:pPr>
              <w:jc w:val="both"/>
              <w:rPr>
                <w:color w:val="000000"/>
                <w:sz w:val="20"/>
                <w:szCs w:val="20"/>
              </w:rPr>
            </w:pPr>
            <w:r w:rsidRPr="00D72A71">
              <w:rPr>
                <w:color w:val="000000"/>
                <w:sz w:val="20"/>
                <w:szCs w:val="20"/>
              </w:rPr>
              <w:t>ГАУЗ «Буинская ЦРБ»</w:t>
            </w:r>
          </w:p>
        </w:tc>
        <w:tc>
          <w:tcPr>
            <w:tcW w:w="2924" w:type="dxa"/>
          </w:tcPr>
          <w:p w:rsidR="001B1953" w:rsidRPr="00D72A71" w:rsidRDefault="001B1953" w:rsidP="004C763D">
            <w:pPr>
              <w:jc w:val="both"/>
              <w:rPr>
                <w:sz w:val="20"/>
                <w:szCs w:val="20"/>
              </w:rPr>
            </w:pPr>
            <w:r w:rsidRPr="00D72A71">
              <w:rPr>
                <w:sz w:val="20"/>
                <w:szCs w:val="20"/>
              </w:rPr>
              <w:t>Кабинет ультразвуковой диагностики</w:t>
            </w:r>
          </w:p>
        </w:tc>
        <w:tc>
          <w:tcPr>
            <w:tcW w:w="3051" w:type="dxa"/>
          </w:tcPr>
          <w:p w:rsidR="001B1953" w:rsidRPr="00D72A71" w:rsidRDefault="001B1953" w:rsidP="004C763D">
            <w:pPr>
              <w:jc w:val="both"/>
              <w:rPr>
                <w:sz w:val="20"/>
                <w:szCs w:val="20"/>
              </w:rPr>
            </w:pPr>
            <w:r w:rsidRPr="00D72A71">
              <w:rPr>
                <w:sz w:val="20"/>
                <w:szCs w:val="20"/>
              </w:rPr>
              <w:t>Аппарат ультразвуковой диагностики</w:t>
            </w:r>
          </w:p>
        </w:tc>
        <w:tc>
          <w:tcPr>
            <w:tcW w:w="1720" w:type="dxa"/>
          </w:tcPr>
          <w:p w:rsidR="001B1953" w:rsidRPr="00D72A71" w:rsidRDefault="001B1953" w:rsidP="004C763D">
            <w:pPr>
              <w:jc w:val="center"/>
              <w:rPr>
                <w:sz w:val="20"/>
                <w:szCs w:val="20"/>
              </w:rPr>
            </w:pPr>
            <w:r w:rsidRPr="00D72A71">
              <w:rPr>
                <w:sz w:val="20"/>
                <w:szCs w:val="20"/>
              </w:rPr>
              <w:t>219,2</w:t>
            </w:r>
          </w:p>
        </w:tc>
      </w:tr>
      <w:tr w:rsidR="001B1953" w:rsidRPr="00D72A71" w:rsidTr="004C763D">
        <w:trPr>
          <w:trHeight w:val="20"/>
        </w:trPr>
        <w:tc>
          <w:tcPr>
            <w:tcW w:w="2500" w:type="dxa"/>
            <w:vMerge/>
            <w:vAlign w:val="center"/>
          </w:tcPr>
          <w:p w:rsidR="001B1953" w:rsidRPr="00D72A71" w:rsidRDefault="001B1953" w:rsidP="004C763D">
            <w:pPr>
              <w:jc w:val="both"/>
              <w:rPr>
                <w:color w:val="000000"/>
                <w:sz w:val="20"/>
                <w:szCs w:val="20"/>
              </w:rPr>
            </w:pPr>
          </w:p>
        </w:tc>
        <w:tc>
          <w:tcPr>
            <w:tcW w:w="2924" w:type="dxa"/>
          </w:tcPr>
          <w:p w:rsidR="001B1953" w:rsidRPr="00D72A71" w:rsidRDefault="00FA54BE" w:rsidP="004C763D">
            <w:pPr>
              <w:jc w:val="both"/>
              <w:rPr>
                <w:sz w:val="20"/>
                <w:szCs w:val="20"/>
              </w:rPr>
            </w:pPr>
            <w:r w:rsidRPr="00D72A71">
              <w:rPr>
                <w:sz w:val="20"/>
                <w:szCs w:val="20"/>
              </w:rPr>
              <w:t xml:space="preserve">Кабинет </w:t>
            </w:r>
            <w:r w:rsidR="001B1953" w:rsidRPr="00D72A71">
              <w:rPr>
                <w:sz w:val="20"/>
                <w:szCs w:val="20"/>
              </w:rPr>
              <w:t>эндоскопической диагностики</w:t>
            </w:r>
          </w:p>
        </w:tc>
        <w:tc>
          <w:tcPr>
            <w:tcW w:w="3051" w:type="dxa"/>
          </w:tcPr>
          <w:p w:rsidR="001B1953" w:rsidRPr="00D72A71" w:rsidRDefault="001B1953" w:rsidP="004C763D">
            <w:pPr>
              <w:jc w:val="both"/>
              <w:rPr>
                <w:sz w:val="20"/>
                <w:szCs w:val="20"/>
              </w:rPr>
            </w:pPr>
            <w:r w:rsidRPr="00D72A71">
              <w:rPr>
                <w:sz w:val="20"/>
                <w:szCs w:val="20"/>
              </w:rPr>
              <w:t>Гастроскоп</w:t>
            </w:r>
          </w:p>
        </w:tc>
        <w:tc>
          <w:tcPr>
            <w:tcW w:w="1720" w:type="dxa"/>
          </w:tcPr>
          <w:p w:rsidR="001B1953" w:rsidRPr="00D72A71" w:rsidRDefault="001B1953" w:rsidP="004C763D">
            <w:pPr>
              <w:jc w:val="center"/>
              <w:rPr>
                <w:sz w:val="20"/>
                <w:szCs w:val="20"/>
              </w:rPr>
            </w:pPr>
            <w:r w:rsidRPr="00D72A71">
              <w:rPr>
                <w:sz w:val="20"/>
                <w:szCs w:val="20"/>
              </w:rPr>
              <w:t>10,3</w:t>
            </w:r>
          </w:p>
        </w:tc>
      </w:tr>
      <w:tr w:rsidR="001B1953" w:rsidRPr="00D72A71" w:rsidTr="004C763D">
        <w:trPr>
          <w:trHeight w:val="20"/>
        </w:trPr>
        <w:tc>
          <w:tcPr>
            <w:tcW w:w="2500" w:type="dxa"/>
            <w:vMerge/>
            <w:vAlign w:val="center"/>
          </w:tcPr>
          <w:p w:rsidR="001B1953" w:rsidRPr="00D72A71" w:rsidRDefault="001B1953" w:rsidP="004C763D">
            <w:pPr>
              <w:jc w:val="both"/>
              <w:rPr>
                <w:color w:val="000000"/>
                <w:sz w:val="20"/>
                <w:szCs w:val="20"/>
              </w:rPr>
            </w:pPr>
          </w:p>
        </w:tc>
        <w:tc>
          <w:tcPr>
            <w:tcW w:w="2924" w:type="dxa"/>
          </w:tcPr>
          <w:p w:rsidR="001B1953" w:rsidRPr="00D72A71" w:rsidRDefault="00FA54BE" w:rsidP="004C763D">
            <w:pPr>
              <w:jc w:val="both"/>
              <w:rPr>
                <w:sz w:val="20"/>
                <w:szCs w:val="20"/>
              </w:rPr>
            </w:pPr>
            <w:r w:rsidRPr="00D72A71">
              <w:rPr>
                <w:sz w:val="20"/>
                <w:szCs w:val="20"/>
              </w:rPr>
              <w:t xml:space="preserve">Кабинет </w:t>
            </w:r>
            <w:r w:rsidR="001B1953" w:rsidRPr="00D72A71">
              <w:rPr>
                <w:sz w:val="20"/>
                <w:szCs w:val="20"/>
              </w:rPr>
              <w:t>эндоскопической диагностики</w:t>
            </w:r>
          </w:p>
        </w:tc>
        <w:tc>
          <w:tcPr>
            <w:tcW w:w="3051" w:type="dxa"/>
          </w:tcPr>
          <w:p w:rsidR="001B1953" w:rsidRPr="00D72A71" w:rsidRDefault="001B1953" w:rsidP="004C763D">
            <w:pPr>
              <w:jc w:val="both"/>
              <w:rPr>
                <w:sz w:val="20"/>
                <w:szCs w:val="20"/>
              </w:rPr>
            </w:pPr>
            <w:r w:rsidRPr="00D72A71">
              <w:rPr>
                <w:sz w:val="20"/>
                <w:szCs w:val="20"/>
              </w:rPr>
              <w:t>Колоноскоп</w:t>
            </w:r>
          </w:p>
        </w:tc>
        <w:tc>
          <w:tcPr>
            <w:tcW w:w="1720" w:type="dxa"/>
          </w:tcPr>
          <w:p w:rsidR="001B1953" w:rsidRPr="00D72A71" w:rsidRDefault="001B1953" w:rsidP="004C763D">
            <w:pPr>
              <w:jc w:val="center"/>
              <w:rPr>
                <w:sz w:val="20"/>
                <w:szCs w:val="20"/>
              </w:rPr>
            </w:pPr>
            <w:r w:rsidRPr="00D72A71">
              <w:rPr>
                <w:sz w:val="20"/>
                <w:szCs w:val="20"/>
              </w:rPr>
              <w:t>1,9</w:t>
            </w:r>
          </w:p>
        </w:tc>
      </w:tr>
      <w:tr w:rsidR="001B1953" w:rsidRPr="00D72A71" w:rsidTr="004C763D">
        <w:trPr>
          <w:trHeight w:val="20"/>
        </w:trPr>
        <w:tc>
          <w:tcPr>
            <w:tcW w:w="2500" w:type="dxa"/>
            <w:vMerge/>
            <w:vAlign w:val="center"/>
          </w:tcPr>
          <w:p w:rsidR="001B1953" w:rsidRPr="00D72A71" w:rsidRDefault="001B1953" w:rsidP="004C763D">
            <w:pPr>
              <w:jc w:val="both"/>
              <w:rPr>
                <w:color w:val="000000"/>
                <w:sz w:val="20"/>
                <w:szCs w:val="20"/>
              </w:rPr>
            </w:pPr>
          </w:p>
        </w:tc>
        <w:tc>
          <w:tcPr>
            <w:tcW w:w="2924" w:type="dxa"/>
          </w:tcPr>
          <w:p w:rsidR="001B1953" w:rsidRPr="00D72A71" w:rsidRDefault="001B1953" w:rsidP="004C763D">
            <w:pPr>
              <w:jc w:val="both"/>
              <w:rPr>
                <w:sz w:val="20"/>
                <w:szCs w:val="20"/>
              </w:rPr>
            </w:pPr>
            <w:r w:rsidRPr="00D72A71">
              <w:rPr>
                <w:sz w:val="20"/>
                <w:szCs w:val="20"/>
              </w:rPr>
              <w:t>Кабинет рентгеновской диагностики</w:t>
            </w:r>
          </w:p>
        </w:tc>
        <w:tc>
          <w:tcPr>
            <w:tcW w:w="3051" w:type="dxa"/>
          </w:tcPr>
          <w:p w:rsidR="001B1953" w:rsidRPr="00D72A71" w:rsidRDefault="001B1953" w:rsidP="004C763D">
            <w:pPr>
              <w:jc w:val="both"/>
              <w:rPr>
                <w:sz w:val="20"/>
                <w:szCs w:val="20"/>
              </w:rPr>
            </w:pPr>
            <w:r w:rsidRPr="00D72A71">
              <w:rPr>
                <w:sz w:val="20"/>
                <w:szCs w:val="20"/>
              </w:rPr>
              <w:t>Рентгенодиагностическое</w:t>
            </w:r>
            <w:r w:rsidR="00FA54BE">
              <w:rPr>
                <w:sz w:val="20"/>
                <w:szCs w:val="20"/>
              </w:rPr>
              <w:t xml:space="preserve"> оборудование</w:t>
            </w:r>
          </w:p>
        </w:tc>
        <w:tc>
          <w:tcPr>
            <w:tcW w:w="1720" w:type="dxa"/>
          </w:tcPr>
          <w:p w:rsidR="001B1953" w:rsidRPr="00D72A71" w:rsidRDefault="001B1953" w:rsidP="004C763D">
            <w:pPr>
              <w:jc w:val="center"/>
              <w:rPr>
                <w:sz w:val="20"/>
                <w:szCs w:val="20"/>
              </w:rPr>
            </w:pPr>
            <w:r w:rsidRPr="00D72A71">
              <w:rPr>
                <w:sz w:val="20"/>
                <w:szCs w:val="20"/>
              </w:rPr>
              <w:t>38</w:t>
            </w:r>
          </w:p>
        </w:tc>
      </w:tr>
      <w:tr w:rsidR="001B1953" w:rsidRPr="00D72A71" w:rsidTr="004C763D">
        <w:trPr>
          <w:trHeight w:val="20"/>
        </w:trPr>
        <w:tc>
          <w:tcPr>
            <w:tcW w:w="2500" w:type="dxa"/>
            <w:vMerge/>
            <w:vAlign w:val="center"/>
          </w:tcPr>
          <w:p w:rsidR="001B1953" w:rsidRPr="00D72A71" w:rsidRDefault="001B1953" w:rsidP="004C763D">
            <w:pPr>
              <w:jc w:val="both"/>
              <w:rPr>
                <w:color w:val="000000"/>
                <w:sz w:val="20"/>
                <w:szCs w:val="20"/>
              </w:rPr>
            </w:pPr>
          </w:p>
        </w:tc>
        <w:tc>
          <w:tcPr>
            <w:tcW w:w="2924" w:type="dxa"/>
          </w:tcPr>
          <w:p w:rsidR="001B1953" w:rsidRPr="00D72A71" w:rsidRDefault="001B1953" w:rsidP="004C763D">
            <w:pPr>
              <w:jc w:val="both"/>
              <w:rPr>
                <w:sz w:val="20"/>
                <w:szCs w:val="20"/>
              </w:rPr>
            </w:pPr>
            <w:r w:rsidRPr="00D72A71">
              <w:rPr>
                <w:sz w:val="20"/>
                <w:szCs w:val="20"/>
              </w:rPr>
              <w:t>Кабинет компьютерной томографии</w:t>
            </w:r>
          </w:p>
        </w:tc>
        <w:tc>
          <w:tcPr>
            <w:tcW w:w="3051" w:type="dxa"/>
          </w:tcPr>
          <w:p w:rsidR="001B1953" w:rsidRPr="00D72A71" w:rsidRDefault="001B1953" w:rsidP="004C763D">
            <w:pPr>
              <w:jc w:val="both"/>
              <w:rPr>
                <w:sz w:val="20"/>
                <w:szCs w:val="20"/>
              </w:rPr>
            </w:pPr>
            <w:r w:rsidRPr="00D72A71">
              <w:rPr>
                <w:sz w:val="20"/>
                <w:szCs w:val="20"/>
              </w:rPr>
              <w:t>Компьютерный томограф</w:t>
            </w:r>
          </w:p>
        </w:tc>
        <w:tc>
          <w:tcPr>
            <w:tcW w:w="1720" w:type="dxa"/>
          </w:tcPr>
          <w:p w:rsidR="001B1953" w:rsidRPr="00D72A71" w:rsidRDefault="001B1953" w:rsidP="004C763D">
            <w:pPr>
              <w:jc w:val="center"/>
              <w:rPr>
                <w:sz w:val="20"/>
                <w:szCs w:val="20"/>
              </w:rPr>
            </w:pPr>
            <w:r w:rsidRPr="00D72A71">
              <w:rPr>
                <w:sz w:val="20"/>
                <w:szCs w:val="20"/>
              </w:rPr>
              <w:t>24</w:t>
            </w:r>
          </w:p>
        </w:tc>
      </w:tr>
      <w:tr w:rsidR="001B1953" w:rsidRPr="00D72A71" w:rsidTr="004C763D">
        <w:trPr>
          <w:trHeight w:val="20"/>
        </w:trPr>
        <w:tc>
          <w:tcPr>
            <w:tcW w:w="2500" w:type="dxa"/>
            <w:vMerge/>
            <w:vAlign w:val="center"/>
          </w:tcPr>
          <w:p w:rsidR="001B1953" w:rsidRPr="00D72A71" w:rsidRDefault="001B1953" w:rsidP="004C763D">
            <w:pPr>
              <w:jc w:val="both"/>
              <w:rPr>
                <w:color w:val="000000"/>
                <w:sz w:val="20"/>
                <w:szCs w:val="20"/>
              </w:rPr>
            </w:pPr>
          </w:p>
        </w:tc>
        <w:tc>
          <w:tcPr>
            <w:tcW w:w="2924" w:type="dxa"/>
          </w:tcPr>
          <w:p w:rsidR="001B1953" w:rsidRPr="00D72A71" w:rsidRDefault="001B1953" w:rsidP="004C763D">
            <w:pPr>
              <w:jc w:val="both"/>
              <w:rPr>
                <w:sz w:val="20"/>
                <w:szCs w:val="20"/>
              </w:rPr>
            </w:pPr>
            <w:r w:rsidRPr="00D72A71">
              <w:rPr>
                <w:sz w:val="20"/>
                <w:szCs w:val="20"/>
              </w:rPr>
              <w:t>Кабинет рентгеновской диагностики</w:t>
            </w:r>
          </w:p>
        </w:tc>
        <w:tc>
          <w:tcPr>
            <w:tcW w:w="3051" w:type="dxa"/>
          </w:tcPr>
          <w:p w:rsidR="001B1953" w:rsidRPr="00D72A71" w:rsidRDefault="00FA54BE" w:rsidP="00FA54BE">
            <w:pPr>
              <w:jc w:val="both"/>
              <w:rPr>
                <w:sz w:val="20"/>
                <w:szCs w:val="20"/>
              </w:rPr>
            </w:pPr>
            <w:r>
              <w:rPr>
                <w:sz w:val="20"/>
                <w:szCs w:val="20"/>
              </w:rPr>
              <w:t>Маммограф</w:t>
            </w:r>
          </w:p>
        </w:tc>
        <w:tc>
          <w:tcPr>
            <w:tcW w:w="1720" w:type="dxa"/>
          </w:tcPr>
          <w:p w:rsidR="001B1953" w:rsidRPr="00D72A71" w:rsidRDefault="001B1953" w:rsidP="004C763D">
            <w:pPr>
              <w:jc w:val="center"/>
              <w:rPr>
                <w:sz w:val="20"/>
                <w:szCs w:val="20"/>
              </w:rPr>
            </w:pPr>
            <w:r w:rsidRPr="00D72A71">
              <w:rPr>
                <w:sz w:val="20"/>
                <w:szCs w:val="20"/>
              </w:rPr>
              <w:t>7</w:t>
            </w:r>
          </w:p>
        </w:tc>
      </w:tr>
      <w:tr w:rsidR="001B1953" w:rsidRPr="00D72A71" w:rsidTr="004C763D">
        <w:trPr>
          <w:trHeight w:val="20"/>
        </w:trPr>
        <w:tc>
          <w:tcPr>
            <w:tcW w:w="2500" w:type="dxa"/>
            <w:vMerge/>
            <w:vAlign w:val="center"/>
          </w:tcPr>
          <w:p w:rsidR="001B1953" w:rsidRPr="00D72A71" w:rsidRDefault="001B1953" w:rsidP="004C763D">
            <w:pPr>
              <w:jc w:val="both"/>
              <w:rPr>
                <w:color w:val="000000"/>
                <w:sz w:val="20"/>
                <w:szCs w:val="20"/>
              </w:rPr>
            </w:pPr>
          </w:p>
        </w:tc>
        <w:tc>
          <w:tcPr>
            <w:tcW w:w="2924" w:type="dxa"/>
          </w:tcPr>
          <w:p w:rsidR="001B1953" w:rsidRPr="00D72A71" w:rsidRDefault="001B1953" w:rsidP="004C763D">
            <w:pPr>
              <w:jc w:val="both"/>
              <w:rPr>
                <w:sz w:val="20"/>
                <w:szCs w:val="20"/>
              </w:rPr>
            </w:pPr>
            <w:r w:rsidRPr="00D72A71">
              <w:rPr>
                <w:sz w:val="20"/>
                <w:szCs w:val="20"/>
              </w:rPr>
              <w:t>Кабинет рентгеновской диагностики</w:t>
            </w:r>
          </w:p>
        </w:tc>
        <w:tc>
          <w:tcPr>
            <w:tcW w:w="3051" w:type="dxa"/>
          </w:tcPr>
          <w:p w:rsidR="001B1953" w:rsidRPr="00D72A71" w:rsidRDefault="001B1953" w:rsidP="004C763D">
            <w:pPr>
              <w:jc w:val="both"/>
              <w:rPr>
                <w:sz w:val="20"/>
                <w:szCs w:val="20"/>
              </w:rPr>
            </w:pPr>
            <w:r w:rsidRPr="00D72A71">
              <w:rPr>
                <w:sz w:val="20"/>
                <w:szCs w:val="20"/>
              </w:rPr>
              <w:t>Флюорограф</w:t>
            </w:r>
          </w:p>
        </w:tc>
        <w:tc>
          <w:tcPr>
            <w:tcW w:w="1720" w:type="dxa"/>
          </w:tcPr>
          <w:p w:rsidR="001B1953" w:rsidRPr="00D72A71" w:rsidRDefault="001B1953" w:rsidP="004C763D">
            <w:pPr>
              <w:jc w:val="center"/>
              <w:rPr>
                <w:sz w:val="20"/>
                <w:szCs w:val="20"/>
              </w:rPr>
            </w:pPr>
            <w:r w:rsidRPr="00D72A71">
              <w:rPr>
                <w:sz w:val="20"/>
                <w:szCs w:val="20"/>
              </w:rPr>
              <w:t>33,3</w:t>
            </w:r>
          </w:p>
        </w:tc>
      </w:tr>
      <w:tr w:rsidR="004C763D" w:rsidRPr="00D72A71" w:rsidTr="004C763D">
        <w:trPr>
          <w:trHeight w:val="20"/>
        </w:trPr>
        <w:tc>
          <w:tcPr>
            <w:tcW w:w="2500" w:type="dxa"/>
            <w:vMerge w:val="restart"/>
          </w:tcPr>
          <w:p w:rsidR="004C763D" w:rsidRPr="00D72A71" w:rsidRDefault="004C763D" w:rsidP="004C763D">
            <w:pPr>
              <w:jc w:val="both"/>
              <w:rPr>
                <w:color w:val="000000"/>
                <w:sz w:val="20"/>
                <w:szCs w:val="20"/>
              </w:rPr>
            </w:pPr>
            <w:r w:rsidRPr="00D72A71">
              <w:rPr>
                <w:color w:val="000000"/>
                <w:sz w:val="20"/>
                <w:szCs w:val="20"/>
              </w:rPr>
              <w:t>ГАУЗ «Чистопольская ЦРБ»</w:t>
            </w:r>
          </w:p>
        </w:tc>
        <w:tc>
          <w:tcPr>
            <w:tcW w:w="2924" w:type="dxa"/>
          </w:tcPr>
          <w:p w:rsidR="004C763D" w:rsidRPr="00D72A71" w:rsidRDefault="004C763D" w:rsidP="000F14B6">
            <w:pPr>
              <w:jc w:val="both"/>
              <w:rPr>
                <w:sz w:val="20"/>
                <w:szCs w:val="20"/>
              </w:rPr>
            </w:pPr>
            <w:r w:rsidRPr="00D72A71">
              <w:rPr>
                <w:sz w:val="20"/>
                <w:szCs w:val="20"/>
              </w:rPr>
              <w:t>Кабин</w:t>
            </w:r>
            <w:r w:rsidR="000F14B6">
              <w:rPr>
                <w:sz w:val="20"/>
                <w:szCs w:val="20"/>
              </w:rPr>
              <w:t>е</w:t>
            </w:r>
            <w:r w:rsidRPr="00D72A71">
              <w:rPr>
                <w:sz w:val="20"/>
                <w:szCs w:val="20"/>
              </w:rPr>
              <w:t>т ультразвуковой диагностики</w:t>
            </w:r>
          </w:p>
        </w:tc>
        <w:tc>
          <w:tcPr>
            <w:tcW w:w="3051" w:type="dxa"/>
          </w:tcPr>
          <w:p w:rsidR="004C763D" w:rsidRPr="00D72A71" w:rsidRDefault="004C763D" w:rsidP="004C763D">
            <w:pPr>
              <w:jc w:val="both"/>
              <w:rPr>
                <w:sz w:val="20"/>
                <w:szCs w:val="20"/>
              </w:rPr>
            </w:pPr>
            <w:r w:rsidRPr="00D72A71">
              <w:rPr>
                <w:sz w:val="20"/>
                <w:szCs w:val="20"/>
              </w:rPr>
              <w:t>Аппарат ультразвуковой диагностики</w:t>
            </w:r>
          </w:p>
        </w:tc>
        <w:tc>
          <w:tcPr>
            <w:tcW w:w="1720" w:type="dxa"/>
          </w:tcPr>
          <w:p w:rsidR="004C763D" w:rsidRPr="00D72A71" w:rsidRDefault="004C763D" w:rsidP="004C763D">
            <w:pPr>
              <w:jc w:val="center"/>
              <w:rPr>
                <w:sz w:val="20"/>
                <w:szCs w:val="20"/>
              </w:rPr>
            </w:pPr>
            <w:r w:rsidRPr="00D72A71">
              <w:rPr>
                <w:sz w:val="20"/>
                <w:szCs w:val="20"/>
              </w:rPr>
              <w:t>448,7</w:t>
            </w:r>
          </w:p>
        </w:tc>
      </w:tr>
      <w:tr w:rsidR="004C763D" w:rsidRPr="00D72A71" w:rsidTr="004C763D">
        <w:trPr>
          <w:trHeight w:val="20"/>
        </w:trPr>
        <w:tc>
          <w:tcPr>
            <w:tcW w:w="2500" w:type="dxa"/>
            <w:vMerge/>
            <w:vAlign w:val="center"/>
          </w:tcPr>
          <w:p w:rsidR="004C763D" w:rsidRPr="00D72A71" w:rsidRDefault="004C763D" w:rsidP="004C763D">
            <w:pPr>
              <w:jc w:val="both"/>
              <w:rPr>
                <w:color w:val="000000"/>
                <w:sz w:val="20"/>
                <w:szCs w:val="20"/>
              </w:rPr>
            </w:pPr>
          </w:p>
        </w:tc>
        <w:tc>
          <w:tcPr>
            <w:tcW w:w="2924" w:type="dxa"/>
          </w:tcPr>
          <w:p w:rsidR="004C763D" w:rsidRPr="00D72A71" w:rsidRDefault="00FA54BE" w:rsidP="004C763D">
            <w:pPr>
              <w:jc w:val="both"/>
              <w:rPr>
                <w:sz w:val="20"/>
                <w:szCs w:val="20"/>
              </w:rPr>
            </w:pPr>
            <w:r w:rsidRPr="00D72A71">
              <w:rPr>
                <w:sz w:val="20"/>
                <w:szCs w:val="20"/>
              </w:rPr>
              <w:t xml:space="preserve">Кабинет </w:t>
            </w:r>
            <w:r w:rsidR="004C763D" w:rsidRPr="00D72A71">
              <w:rPr>
                <w:sz w:val="20"/>
                <w:szCs w:val="20"/>
              </w:rPr>
              <w:t>эндоскопической диагностики</w:t>
            </w:r>
          </w:p>
        </w:tc>
        <w:tc>
          <w:tcPr>
            <w:tcW w:w="3051" w:type="dxa"/>
          </w:tcPr>
          <w:p w:rsidR="004C763D" w:rsidRPr="00D72A71" w:rsidRDefault="004C763D" w:rsidP="004C763D">
            <w:pPr>
              <w:jc w:val="both"/>
              <w:rPr>
                <w:sz w:val="20"/>
                <w:szCs w:val="20"/>
              </w:rPr>
            </w:pPr>
            <w:r w:rsidRPr="00D72A71">
              <w:rPr>
                <w:sz w:val="20"/>
                <w:szCs w:val="20"/>
              </w:rPr>
              <w:t>Гастроскоп</w:t>
            </w:r>
          </w:p>
        </w:tc>
        <w:tc>
          <w:tcPr>
            <w:tcW w:w="1720" w:type="dxa"/>
          </w:tcPr>
          <w:p w:rsidR="004C763D" w:rsidRPr="00D72A71" w:rsidRDefault="004C763D" w:rsidP="004C763D">
            <w:pPr>
              <w:jc w:val="center"/>
              <w:rPr>
                <w:sz w:val="20"/>
                <w:szCs w:val="20"/>
              </w:rPr>
            </w:pPr>
            <w:r w:rsidRPr="00D72A71">
              <w:rPr>
                <w:sz w:val="20"/>
                <w:szCs w:val="20"/>
              </w:rPr>
              <w:t>22,4</w:t>
            </w:r>
          </w:p>
        </w:tc>
      </w:tr>
      <w:tr w:rsidR="004C763D" w:rsidRPr="00D72A71" w:rsidTr="004C763D">
        <w:trPr>
          <w:trHeight w:val="20"/>
        </w:trPr>
        <w:tc>
          <w:tcPr>
            <w:tcW w:w="2500" w:type="dxa"/>
            <w:vMerge/>
            <w:vAlign w:val="center"/>
          </w:tcPr>
          <w:p w:rsidR="004C763D" w:rsidRPr="00D72A71" w:rsidRDefault="004C763D" w:rsidP="004C763D">
            <w:pPr>
              <w:jc w:val="both"/>
              <w:rPr>
                <w:color w:val="000000"/>
                <w:sz w:val="20"/>
                <w:szCs w:val="20"/>
              </w:rPr>
            </w:pPr>
          </w:p>
        </w:tc>
        <w:tc>
          <w:tcPr>
            <w:tcW w:w="2924" w:type="dxa"/>
          </w:tcPr>
          <w:p w:rsidR="004C763D" w:rsidRPr="00D72A71" w:rsidRDefault="00FA54BE" w:rsidP="004C763D">
            <w:pPr>
              <w:jc w:val="both"/>
              <w:rPr>
                <w:sz w:val="20"/>
                <w:szCs w:val="20"/>
              </w:rPr>
            </w:pPr>
            <w:r w:rsidRPr="00D72A71">
              <w:rPr>
                <w:sz w:val="20"/>
                <w:szCs w:val="20"/>
              </w:rPr>
              <w:t xml:space="preserve">Кабинет </w:t>
            </w:r>
            <w:r w:rsidR="004C763D" w:rsidRPr="00D72A71">
              <w:rPr>
                <w:sz w:val="20"/>
                <w:szCs w:val="20"/>
              </w:rPr>
              <w:t>эндоскопической диагностики</w:t>
            </w:r>
          </w:p>
        </w:tc>
        <w:tc>
          <w:tcPr>
            <w:tcW w:w="3051" w:type="dxa"/>
          </w:tcPr>
          <w:p w:rsidR="004C763D" w:rsidRPr="00D72A71" w:rsidRDefault="004C763D" w:rsidP="004C763D">
            <w:pPr>
              <w:jc w:val="both"/>
              <w:rPr>
                <w:sz w:val="20"/>
                <w:szCs w:val="20"/>
              </w:rPr>
            </w:pPr>
            <w:r w:rsidRPr="00D72A71">
              <w:rPr>
                <w:sz w:val="20"/>
                <w:szCs w:val="20"/>
              </w:rPr>
              <w:t>Колоноскоп</w:t>
            </w:r>
          </w:p>
        </w:tc>
        <w:tc>
          <w:tcPr>
            <w:tcW w:w="1720" w:type="dxa"/>
          </w:tcPr>
          <w:p w:rsidR="004C763D" w:rsidRPr="00D72A71" w:rsidRDefault="004C763D" w:rsidP="004C763D">
            <w:pPr>
              <w:jc w:val="center"/>
              <w:rPr>
                <w:sz w:val="20"/>
                <w:szCs w:val="20"/>
              </w:rPr>
            </w:pPr>
            <w:r w:rsidRPr="00D72A71">
              <w:rPr>
                <w:sz w:val="20"/>
                <w:szCs w:val="20"/>
              </w:rPr>
              <w:t>2,4</w:t>
            </w:r>
          </w:p>
        </w:tc>
      </w:tr>
      <w:tr w:rsidR="004C763D" w:rsidRPr="00D72A71" w:rsidTr="004C763D">
        <w:trPr>
          <w:trHeight w:val="20"/>
        </w:trPr>
        <w:tc>
          <w:tcPr>
            <w:tcW w:w="2500" w:type="dxa"/>
            <w:vMerge/>
            <w:vAlign w:val="center"/>
          </w:tcPr>
          <w:p w:rsidR="004C763D" w:rsidRPr="00D72A71" w:rsidRDefault="004C763D" w:rsidP="004C763D">
            <w:pPr>
              <w:jc w:val="both"/>
              <w:rPr>
                <w:color w:val="000000"/>
                <w:sz w:val="20"/>
                <w:szCs w:val="20"/>
              </w:rPr>
            </w:pPr>
          </w:p>
        </w:tc>
        <w:tc>
          <w:tcPr>
            <w:tcW w:w="2924" w:type="dxa"/>
          </w:tcPr>
          <w:p w:rsidR="004C763D" w:rsidRPr="00D72A71" w:rsidRDefault="004C763D" w:rsidP="004C763D">
            <w:pPr>
              <w:jc w:val="both"/>
              <w:rPr>
                <w:sz w:val="20"/>
                <w:szCs w:val="20"/>
              </w:rPr>
            </w:pPr>
            <w:r w:rsidRPr="00D72A71">
              <w:rPr>
                <w:sz w:val="20"/>
                <w:szCs w:val="20"/>
              </w:rPr>
              <w:t>Кабинет рентгеновской диагностики</w:t>
            </w:r>
          </w:p>
        </w:tc>
        <w:tc>
          <w:tcPr>
            <w:tcW w:w="3051" w:type="dxa"/>
          </w:tcPr>
          <w:p w:rsidR="004C763D" w:rsidRPr="00D72A71" w:rsidRDefault="004C763D" w:rsidP="004C763D">
            <w:pPr>
              <w:jc w:val="both"/>
              <w:rPr>
                <w:sz w:val="20"/>
                <w:szCs w:val="20"/>
              </w:rPr>
            </w:pPr>
            <w:r w:rsidRPr="00D72A71">
              <w:rPr>
                <w:sz w:val="20"/>
                <w:szCs w:val="20"/>
              </w:rPr>
              <w:t>Рентгенодиагностическое</w:t>
            </w:r>
            <w:r w:rsidR="00FA54BE">
              <w:rPr>
                <w:sz w:val="20"/>
                <w:szCs w:val="20"/>
              </w:rPr>
              <w:t xml:space="preserve"> оборудование</w:t>
            </w:r>
          </w:p>
        </w:tc>
        <w:tc>
          <w:tcPr>
            <w:tcW w:w="1720" w:type="dxa"/>
          </w:tcPr>
          <w:p w:rsidR="004C763D" w:rsidRPr="00D72A71" w:rsidRDefault="004C763D" w:rsidP="004C763D">
            <w:pPr>
              <w:jc w:val="center"/>
              <w:rPr>
                <w:sz w:val="20"/>
                <w:szCs w:val="20"/>
              </w:rPr>
            </w:pPr>
            <w:r w:rsidRPr="00D72A71">
              <w:rPr>
                <w:sz w:val="20"/>
                <w:szCs w:val="20"/>
              </w:rPr>
              <w:t>122</w:t>
            </w:r>
          </w:p>
        </w:tc>
      </w:tr>
      <w:tr w:rsidR="004C763D" w:rsidRPr="00D72A71" w:rsidTr="004C763D">
        <w:trPr>
          <w:trHeight w:val="20"/>
        </w:trPr>
        <w:tc>
          <w:tcPr>
            <w:tcW w:w="2500" w:type="dxa"/>
            <w:vMerge/>
            <w:vAlign w:val="center"/>
          </w:tcPr>
          <w:p w:rsidR="004C763D" w:rsidRPr="00D72A71" w:rsidRDefault="004C763D" w:rsidP="004C763D">
            <w:pPr>
              <w:jc w:val="both"/>
              <w:rPr>
                <w:color w:val="000000"/>
                <w:sz w:val="20"/>
                <w:szCs w:val="20"/>
              </w:rPr>
            </w:pPr>
          </w:p>
        </w:tc>
        <w:tc>
          <w:tcPr>
            <w:tcW w:w="2924" w:type="dxa"/>
          </w:tcPr>
          <w:p w:rsidR="004C763D" w:rsidRPr="00D72A71" w:rsidRDefault="00FA54BE" w:rsidP="004C763D">
            <w:pPr>
              <w:jc w:val="both"/>
              <w:rPr>
                <w:sz w:val="20"/>
                <w:szCs w:val="20"/>
              </w:rPr>
            </w:pPr>
            <w:r w:rsidRPr="00D72A71">
              <w:rPr>
                <w:sz w:val="20"/>
                <w:szCs w:val="20"/>
              </w:rPr>
              <w:t xml:space="preserve">Кабинет </w:t>
            </w:r>
            <w:r w:rsidR="004C763D" w:rsidRPr="00D72A71">
              <w:rPr>
                <w:sz w:val="20"/>
                <w:szCs w:val="20"/>
              </w:rPr>
              <w:t>компьютерной том</w:t>
            </w:r>
            <w:r>
              <w:rPr>
                <w:sz w:val="20"/>
                <w:szCs w:val="20"/>
              </w:rPr>
              <w:t>о</w:t>
            </w:r>
            <w:r w:rsidR="004C763D" w:rsidRPr="00D72A71">
              <w:rPr>
                <w:sz w:val="20"/>
                <w:szCs w:val="20"/>
              </w:rPr>
              <w:t>графии</w:t>
            </w:r>
          </w:p>
        </w:tc>
        <w:tc>
          <w:tcPr>
            <w:tcW w:w="3051" w:type="dxa"/>
          </w:tcPr>
          <w:p w:rsidR="004C763D" w:rsidRPr="00D72A71" w:rsidRDefault="004C763D" w:rsidP="004C763D">
            <w:pPr>
              <w:jc w:val="both"/>
              <w:rPr>
                <w:sz w:val="20"/>
                <w:szCs w:val="20"/>
              </w:rPr>
            </w:pPr>
            <w:r w:rsidRPr="00D72A71">
              <w:rPr>
                <w:sz w:val="20"/>
                <w:szCs w:val="20"/>
              </w:rPr>
              <w:t>Компьютерный томограф</w:t>
            </w:r>
          </w:p>
        </w:tc>
        <w:tc>
          <w:tcPr>
            <w:tcW w:w="1720" w:type="dxa"/>
          </w:tcPr>
          <w:p w:rsidR="004C763D" w:rsidRPr="00D72A71" w:rsidRDefault="004C763D" w:rsidP="004C763D">
            <w:pPr>
              <w:jc w:val="center"/>
              <w:rPr>
                <w:sz w:val="20"/>
                <w:szCs w:val="20"/>
              </w:rPr>
            </w:pPr>
            <w:r w:rsidRPr="00D72A71">
              <w:rPr>
                <w:sz w:val="20"/>
                <w:szCs w:val="20"/>
              </w:rPr>
              <w:t>23</w:t>
            </w:r>
          </w:p>
        </w:tc>
      </w:tr>
      <w:tr w:rsidR="004C763D" w:rsidRPr="00D72A71" w:rsidTr="004C763D">
        <w:trPr>
          <w:trHeight w:val="20"/>
        </w:trPr>
        <w:tc>
          <w:tcPr>
            <w:tcW w:w="2500" w:type="dxa"/>
            <w:vMerge/>
            <w:vAlign w:val="center"/>
          </w:tcPr>
          <w:p w:rsidR="004C763D" w:rsidRPr="00D72A71" w:rsidRDefault="004C763D" w:rsidP="004C763D">
            <w:pPr>
              <w:jc w:val="both"/>
              <w:rPr>
                <w:color w:val="000000"/>
                <w:sz w:val="20"/>
                <w:szCs w:val="20"/>
              </w:rPr>
            </w:pPr>
          </w:p>
        </w:tc>
        <w:tc>
          <w:tcPr>
            <w:tcW w:w="2924" w:type="dxa"/>
          </w:tcPr>
          <w:p w:rsidR="004C763D" w:rsidRPr="00D72A71" w:rsidRDefault="004C763D" w:rsidP="004C763D">
            <w:pPr>
              <w:jc w:val="both"/>
              <w:rPr>
                <w:sz w:val="20"/>
                <w:szCs w:val="20"/>
              </w:rPr>
            </w:pPr>
            <w:r w:rsidRPr="00D72A71">
              <w:rPr>
                <w:sz w:val="20"/>
                <w:szCs w:val="20"/>
              </w:rPr>
              <w:t>Кабинет рентгеновской диагностики</w:t>
            </w:r>
          </w:p>
        </w:tc>
        <w:tc>
          <w:tcPr>
            <w:tcW w:w="3051" w:type="dxa"/>
          </w:tcPr>
          <w:p w:rsidR="004C763D" w:rsidRPr="00D72A71" w:rsidRDefault="004C763D" w:rsidP="00FA54BE">
            <w:pPr>
              <w:jc w:val="both"/>
              <w:rPr>
                <w:sz w:val="20"/>
                <w:szCs w:val="20"/>
              </w:rPr>
            </w:pPr>
            <w:r w:rsidRPr="00D72A71">
              <w:rPr>
                <w:sz w:val="20"/>
                <w:szCs w:val="20"/>
              </w:rPr>
              <w:t>Маммограф</w:t>
            </w:r>
          </w:p>
        </w:tc>
        <w:tc>
          <w:tcPr>
            <w:tcW w:w="1720" w:type="dxa"/>
          </w:tcPr>
          <w:p w:rsidR="004C763D" w:rsidRPr="00D72A71" w:rsidRDefault="004C763D" w:rsidP="004C763D">
            <w:pPr>
              <w:jc w:val="center"/>
              <w:rPr>
                <w:sz w:val="20"/>
                <w:szCs w:val="20"/>
              </w:rPr>
            </w:pPr>
            <w:r w:rsidRPr="00D72A71">
              <w:rPr>
                <w:sz w:val="20"/>
                <w:szCs w:val="20"/>
              </w:rPr>
              <w:t>26</w:t>
            </w:r>
          </w:p>
        </w:tc>
      </w:tr>
      <w:tr w:rsidR="004C763D" w:rsidRPr="00D72A71" w:rsidTr="004C763D">
        <w:trPr>
          <w:trHeight w:val="20"/>
        </w:trPr>
        <w:tc>
          <w:tcPr>
            <w:tcW w:w="2500" w:type="dxa"/>
            <w:vMerge/>
            <w:vAlign w:val="center"/>
          </w:tcPr>
          <w:p w:rsidR="004C763D" w:rsidRPr="00D72A71" w:rsidRDefault="004C763D" w:rsidP="004C763D">
            <w:pPr>
              <w:jc w:val="both"/>
              <w:rPr>
                <w:color w:val="000000"/>
                <w:sz w:val="20"/>
                <w:szCs w:val="20"/>
              </w:rPr>
            </w:pPr>
          </w:p>
        </w:tc>
        <w:tc>
          <w:tcPr>
            <w:tcW w:w="2924" w:type="dxa"/>
          </w:tcPr>
          <w:p w:rsidR="004C763D" w:rsidRPr="00D72A71" w:rsidRDefault="004C763D" w:rsidP="004C763D">
            <w:pPr>
              <w:jc w:val="both"/>
              <w:rPr>
                <w:sz w:val="20"/>
                <w:szCs w:val="20"/>
              </w:rPr>
            </w:pPr>
            <w:r w:rsidRPr="00D72A71">
              <w:rPr>
                <w:sz w:val="20"/>
                <w:szCs w:val="20"/>
              </w:rPr>
              <w:t>Кабинет рентгеновской диагностики</w:t>
            </w:r>
          </w:p>
        </w:tc>
        <w:tc>
          <w:tcPr>
            <w:tcW w:w="3051" w:type="dxa"/>
          </w:tcPr>
          <w:p w:rsidR="004C763D" w:rsidRPr="00D72A71" w:rsidRDefault="004C763D" w:rsidP="004C763D">
            <w:pPr>
              <w:jc w:val="both"/>
              <w:rPr>
                <w:sz w:val="20"/>
                <w:szCs w:val="20"/>
              </w:rPr>
            </w:pPr>
            <w:r w:rsidRPr="00D72A71">
              <w:rPr>
                <w:sz w:val="20"/>
                <w:szCs w:val="20"/>
              </w:rPr>
              <w:t>Флюорограф</w:t>
            </w:r>
          </w:p>
        </w:tc>
        <w:tc>
          <w:tcPr>
            <w:tcW w:w="1720" w:type="dxa"/>
          </w:tcPr>
          <w:p w:rsidR="004C763D" w:rsidRPr="00D72A71" w:rsidRDefault="004C763D" w:rsidP="004C763D">
            <w:pPr>
              <w:jc w:val="center"/>
              <w:rPr>
                <w:sz w:val="20"/>
                <w:szCs w:val="20"/>
              </w:rPr>
            </w:pPr>
            <w:r w:rsidRPr="00D72A71">
              <w:rPr>
                <w:sz w:val="20"/>
                <w:szCs w:val="20"/>
              </w:rPr>
              <w:t>67,4</w:t>
            </w:r>
          </w:p>
        </w:tc>
      </w:tr>
      <w:tr w:rsidR="001B1953" w:rsidRPr="00D72A71" w:rsidTr="004C763D">
        <w:trPr>
          <w:trHeight w:val="20"/>
        </w:trPr>
        <w:tc>
          <w:tcPr>
            <w:tcW w:w="2500" w:type="dxa"/>
            <w:vMerge w:val="restart"/>
          </w:tcPr>
          <w:p w:rsidR="001B1953" w:rsidRPr="00D72A71" w:rsidRDefault="001B1953" w:rsidP="004C763D">
            <w:pPr>
              <w:jc w:val="both"/>
              <w:rPr>
                <w:color w:val="000000"/>
                <w:sz w:val="20"/>
                <w:szCs w:val="20"/>
              </w:rPr>
            </w:pPr>
            <w:r w:rsidRPr="00D72A71">
              <w:rPr>
                <w:color w:val="000000"/>
                <w:sz w:val="20"/>
                <w:szCs w:val="20"/>
              </w:rPr>
              <w:t>ГАУЗ «Городская поликлиника № 20» г.Казани</w:t>
            </w:r>
          </w:p>
        </w:tc>
        <w:tc>
          <w:tcPr>
            <w:tcW w:w="2924" w:type="dxa"/>
          </w:tcPr>
          <w:p w:rsidR="001B1953" w:rsidRPr="00D72A71" w:rsidRDefault="00FA54BE" w:rsidP="004C763D">
            <w:pPr>
              <w:jc w:val="both"/>
              <w:rPr>
                <w:sz w:val="20"/>
                <w:szCs w:val="20"/>
              </w:rPr>
            </w:pPr>
            <w:r w:rsidRPr="00D72A71">
              <w:rPr>
                <w:sz w:val="20"/>
                <w:szCs w:val="20"/>
              </w:rPr>
              <w:t xml:space="preserve">Кабинет </w:t>
            </w:r>
            <w:r w:rsidR="001B1953" w:rsidRPr="00D72A71">
              <w:rPr>
                <w:sz w:val="20"/>
                <w:szCs w:val="20"/>
              </w:rPr>
              <w:t>ультразвуковой диагностики</w:t>
            </w:r>
          </w:p>
        </w:tc>
        <w:tc>
          <w:tcPr>
            <w:tcW w:w="3051" w:type="dxa"/>
          </w:tcPr>
          <w:p w:rsidR="001B1953" w:rsidRPr="00D72A71" w:rsidRDefault="001B1953" w:rsidP="004C763D">
            <w:pPr>
              <w:jc w:val="both"/>
              <w:rPr>
                <w:sz w:val="20"/>
                <w:szCs w:val="20"/>
              </w:rPr>
            </w:pPr>
            <w:r w:rsidRPr="00D72A71">
              <w:rPr>
                <w:sz w:val="20"/>
                <w:szCs w:val="20"/>
              </w:rPr>
              <w:t xml:space="preserve">Аппарат ультразвуковой диагностики </w:t>
            </w:r>
          </w:p>
        </w:tc>
        <w:tc>
          <w:tcPr>
            <w:tcW w:w="1720" w:type="dxa"/>
          </w:tcPr>
          <w:p w:rsidR="001B1953" w:rsidRPr="00D72A71" w:rsidRDefault="001B1953" w:rsidP="004C763D">
            <w:pPr>
              <w:jc w:val="center"/>
              <w:rPr>
                <w:sz w:val="20"/>
                <w:szCs w:val="20"/>
              </w:rPr>
            </w:pPr>
            <w:r w:rsidRPr="00D72A71">
              <w:rPr>
                <w:sz w:val="20"/>
                <w:szCs w:val="20"/>
              </w:rPr>
              <w:t>246,4</w:t>
            </w:r>
          </w:p>
        </w:tc>
      </w:tr>
      <w:tr w:rsidR="001B1953" w:rsidRPr="00D72A71" w:rsidTr="004C763D">
        <w:trPr>
          <w:trHeight w:val="20"/>
        </w:trPr>
        <w:tc>
          <w:tcPr>
            <w:tcW w:w="2500" w:type="dxa"/>
            <w:vMerge/>
            <w:vAlign w:val="center"/>
          </w:tcPr>
          <w:p w:rsidR="001B1953" w:rsidRPr="00D72A71" w:rsidRDefault="001B1953" w:rsidP="004C763D">
            <w:pPr>
              <w:jc w:val="both"/>
              <w:rPr>
                <w:color w:val="000000"/>
                <w:sz w:val="20"/>
                <w:szCs w:val="20"/>
              </w:rPr>
            </w:pPr>
          </w:p>
        </w:tc>
        <w:tc>
          <w:tcPr>
            <w:tcW w:w="2924" w:type="dxa"/>
          </w:tcPr>
          <w:p w:rsidR="001B1953" w:rsidRPr="00D72A71" w:rsidRDefault="00FA54BE" w:rsidP="004C763D">
            <w:pPr>
              <w:jc w:val="both"/>
              <w:rPr>
                <w:sz w:val="20"/>
                <w:szCs w:val="20"/>
              </w:rPr>
            </w:pPr>
            <w:r w:rsidRPr="00D72A71">
              <w:rPr>
                <w:sz w:val="20"/>
                <w:szCs w:val="20"/>
              </w:rPr>
              <w:t xml:space="preserve">Кабинет </w:t>
            </w:r>
            <w:r w:rsidR="001B1953" w:rsidRPr="00D72A71">
              <w:rPr>
                <w:sz w:val="20"/>
                <w:szCs w:val="20"/>
              </w:rPr>
              <w:t>эндоскопической диагностики</w:t>
            </w:r>
          </w:p>
        </w:tc>
        <w:tc>
          <w:tcPr>
            <w:tcW w:w="3051" w:type="dxa"/>
          </w:tcPr>
          <w:p w:rsidR="001B1953" w:rsidRPr="00D72A71" w:rsidRDefault="001B1953" w:rsidP="004C763D">
            <w:pPr>
              <w:jc w:val="both"/>
              <w:rPr>
                <w:sz w:val="20"/>
                <w:szCs w:val="20"/>
              </w:rPr>
            </w:pPr>
            <w:r w:rsidRPr="00D72A71">
              <w:rPr>
                <w:sz w:val="20"/>
                <w:szCs w:val="20"/>
              </w:rPr>
              <w:t>Гастроскоп</w:t>
            </w:r>
          </w:p>
        </w:tc>
        <w:tc>
          <w:tcPr>
            <w:tcW w:w="1720" w:type="dxa"/>
          </w:tcPr>
          <w:p w:rsidR="001B1953" w:rsidRPr="00D72A71" w:rsidRDefault="001B1953" w:rsidP="004C763D">
            <w:pPr>
              <w:jc w:val="center"/>
              <w:rPr>
                <w:sz w:val="20"/>
                <w:szCs w:val="20"/>
              </w:rPr>
            </w:pPr>
            <w:r w:rsidRPr="00D72A71">
              <w:rPr>
                <w:sz w:val="20"/>
                <w:szCs w:val="20"/>
              </w:rPr>
              <w:t>16,3</w:t>
            </w:r>
          </w:p>
        </w:tc>
      </w:tr>
      <w:tr w:rsidR="001B1953" w:rsidRPr="00D72A71" w:rsidTr="004C763D">
        <w:trPr>
          <w:trHeight w:val="20"/>
        </w:trPr>
        <w:tc>
          <w:tcPr>
            <w:tcW w:w="2500" w:type="dxa"/>
            <w:vMerge/>
            <w:vAlign w:val="center"/>
          </w:tcPr>
          <w:p w:rsidR="001B1953" w:rsidRPr="00D72A71" w:rsidRDefault="001B1953" w:rsidP="004C763D">
            <w:pPr>
              <w:jc w:val="both"/>
              <w:rPr>
                <w:color w:val="000000"/>
                <w:sz w:val="20"/>
                <w:szCs w:val="20"/>
              </w:rPr>
            </w:pPr>
          </w:p>
        </w:tc>
        <w:tc>
          <w:tcPr>
            <w:tcW w:w="2924" w:type="dxa"/>
          </w:tcPr>
          <w:p w:rsidR="001B1953" w:rsidRPr="00D72A71" w:rsidRDefault="00FA54BE" w:rsidP="004C763D">
            <w:pPr>
              <w:jc w:val="both"/>
              <w:rPr>
                <w:sz w:val="20"/>
                <w:szCs w:val="20"/>
              </w:rPr>
            </w:pPr>
            <w:r w:rsidRPr="00D72A71">
              <w:rPr>
                <w:sz w:val="20"/>
                <w:szCs w:val="20"/>
              </w:rPr>
              <w:t xml:space="preserve">Кабинет </w:t>
            </w:r>
            <w:r w:rsidR="001B1953" w:rsidRPr="00D72A71">
              <w:rPr>
                <w:sz w:val="20"/>
                <w:szCs w:val="20"/>
              </w:rPr>
              <w:t>эндоскопической диагностики</w:t>
            </w:r>
          </w:p>
        </w:tc>
        <w:tc>
          <w:tcPr>
            <w:tcW w:w="3051" w:type="dxa"/>
          </w:tcPr>
          <w:p w:rsidR="001B1953" w:rsidRPr="00D72A71" w:rsidRDefault="001B1953" w:rsidP="004C763D">
            <w:pPr>
              <w:jc w:val="both"/>
              <w:rPr>
                <w:sz w:val="20"/>
                <w:szCs w:val="20"/>
              </w:rPr>
            </w:pPr>
            <w:r w:rsidRPr="00D72A71">
              <w:rPr>
                <w:sz w:val="20"/>
                <w:szCs w:val="20"/>
              </w:rPr>
              <w:t>Колоноскоп</w:t>
            </w:r>
          </w:p>
        </w:tc>
        <w:tc>
          <w:tcPr>
            <w:tcW w:w="1720" w:type="dxa"/>
          </w:tcPr>
          <w:p w:rsidR="001B1953" w:rsidRPr="00D72A71" w:rsidRDefault="001B1953" w:rsidP="004C763D">
            <w:pPr>
              <w:jc w:val="center"/>
              <w:rPr>
                <w:sz w:val="20"/>
                <w:szCs w:val="20"/>
              </w:rPr>
            </w:pPr>
            <w:r w:rsidRPr="00D72A71">
              <w:rPr>
                <w:sz w:val="20"/>
                <w:szCs w:val="20"/>
              </w:rPr>
              <w:t>4,0</w:t>
            </w:r>
          </w:p>
        </w:tc>
      </w:tr>
      <w:tr w:rsidR="001B1953" w:rsidRPr="00D72A71" w:rsidTr="004C763D">
        <w:trPr>
          <w:trHeight w:val="20"/>
        </w:trPr>
        <w:tc>
          <w:tcPr>
            <w:tcW w:w="2500" w:type="dxa"/>
            <w:vMerge/>
            <w:vAlign w:val="center"/>
          </w:tcPr>
          <w:p w:rsidR="001B1953" w:rsidRPr="00D72A71" w:rsidRDefault="001B1953" w:rsidP="004C763D">
            <w:pPr>
              <w:jc w:val="both"/>
              <w:rPr>
                <w:color w:val="000000"/>
                <w:sz w:val="20"/>
                <w:szCs w:val="20"/>
              </w:rPr>
            </w:pPr>
          </w:p>
        </w:tc>
        <w:tc>
          <w:tcPr>
            <w:tcW w:w="2924" w:type="dxa"/>
          </w:tcPr>
          <w:p w:rsidR="001B1953" w:rsidRPr="00D72A71" w:rsidRDefault="00FA54BE" w:rsidP="004C763D">
            <w:pPr>
              <w:jc w:val="both"/>
              <w:rPr>
                <w:sz w:val="20"/>
                <w:szCs w:val="20"/>
              </w:rPr>
            </w:pPr>
            <w:r w:rsidRPr="00D72A71">
              <w:rPr>
                <w:sz w:val="20"/>
                <w:szCs w:val="20"/>
              </w:rPr>
              <w:t xml:space="preserve">Кабинет </w:t>
            </w:r>
            <w:r w:rsidR="001B1953" w:rsidRPr="00D72A71">
              <w:rPr>
                <w:sz w:val="20"/>
                <w:szCs w:val="20"/>
              </w:rPr>
              <w:t>рентгеновской диагностики</w:t>
            </w:r>
          </w:p>
        </w:tc>
        <w:tc>
          <w:tcPr>
            <w:tcW w:w="3051" w:type="dxa"/>
          </w:tcPr>
          <w:p w:rsidR="001B1953" w:rsidRPr="00D72A71" w:rsidRDefault="001B1953" w:rsidP="004C763D">
            <w:pPr>
              <w:jc w:val="both"/>
              <w:rPr>
                <w:sz w:val="20"/>
                <w:szCs w:val="20"/>
              </w:rPr>
            </w:pPr>
            <w:r w:rsidRPr="00D72A71">
              <w:rPr>
                <w:sz w:val="20"/>
                <w:szCs w:val="20"/>
              </w:rPr>
              <w:t>Рентгенодиагностическое</w:t>
            </w:r>
            <w:r w:rsidR="00FA54BE">
              <w:rPr>
                <w:sz w:val="20"/>
                <w:szCs w:val="20"/>
              </w:rPr>
              <w:t xml:space="preserve"> оборудование</w:t>
            </w:r>
          </w:p>
        </w:tc>
        <w:tc>
          <w:tcPr>
            <w:tcW w:w="1720" w:type="dxa"/>
          </w:tcPr>
          <w:p w:rsidR="001B1953" w:rsidRPr="00D72A71" w:rsidRDefault="001B1953" w:rsidP="004C763D">
            <w:pPr>
              <w:jc w:val="center"/>
              <w:rPr>
                <w:sz w:val="20"/>
                <w:szCs w:val="20"/>
              </w:rPr>
            </w:pPr>
            <w:r w:rsidRPr="00D72A71">
              <w:rPr>
                <w:sz w:val="20"/>
                <w:szCs w:val="20"/>
              </w:rPr>
              <w:t>43</w:t>
            </w:r>
          </w:p>
        </w:tc>
      </w:tr>
      <w:tr w:rsidR="001B1953" w:rsidRPr="00D72A71" w:rsidTr="004C763D">
        <w:trPr>
          <w:trHeight w:val="20"/>
        </w:trPr>
        <w:tc>
          <w:tcPr>
            <w:tcW w:w="2500" w:type="dxa"/>
            <w:vMerge/>
            <w:vAlign w:val="center"/>
          </w:tcPr>
          <w:p w:rsidR="001B1953" w:rsidRPr="00D72A71" w:rsidRDefault="001B1953" w:rsidP="004C763D">
            <w:pPr>
              <w:jc w:val="both"/>
              <w:rPr>
                <w:color w:val="000000"/>
                <w:sz w:val="20"/>
                <w:szCs w:val="20"/>
              </w:rPr>
            </w:pPr>
          </w:p>
        </w:tc>
        <w:tc>
          <w:tcPr>
            <w:tcW w:w="2924" w:type="dxa"/>
          </w:tcPr>
          <w:p w:rsidR="001B1953" w:rsidRPr="00D72A71" w:rsidRDefault="001B1953" w:rsidP="004C763D">
            <w:pPr>
              <w:jc w:val="both"/>
              <w:rPr>
                <w:sz w:val="20"/>
                <w:szCs w:val="20"/>
              </w:rPr>
            </w:pPr>
            <w:r w:rsidRPr="00D72A71">
              <w:rPr>
                <w:sz w:val="20"/>
                <w:szCs w:val="20"/>
              </w:rPr>
              <w:t>Кабинет рентгеновской диагностики</w:t>
            </w:r>
          </w:p>
        </w:tc>
        <w:tc>
          <w:tcPr>
            <w:tcW w:w="3051" w:type="dxa"/>
          </w:tcPr>
          <w:p w:rsidR="001B1953" w:rsidRPr="00D72A71" w:rsidRDefault="00FA54BE" w:rsidP="004C763D">
            <w:pPr>
              <w:jc w:val="both"/>
              <w:rPr>
                <w:sz w:val="20"/>
                <w:szCs w:val="20"/>
              </w:rPr>
            </w:pPr>
            <w:r>
              <w:rPr>
                <w:sz w:val="20"/>
                <w:szCs w:val="20"/>
              </w:rPr>
              <w:t>Маммограф</w:t>
            </w:r>
          </w:p>
        </w:tc>
        <w:tc>
          <w:tcPr>
            <w:tcW w:w="1720" w:type="dxa"/>
          </w:tcPr>
          <w:p w:rsidR="001B1953" w:rsidRPr="00D72A71" w:rsidRDefault="001B1953" w:rsidP="004C763D">
            <w:pPr>
              <w:jc w:val="center"/>
              <w:rPr>
                <w:sz w:val="20"/>
                <w:szCs w:val="20"/>
              </w:rPr>
            </w:pPr>
            <w:r w:rsidRPr="00D72A71">
              <w:rPr>
                <w:sz w:val="20"/>
                <w:szCs w:val="20"/>
              </w:rPr>
              <w:t>70</w:t>
            </w:r>
          </w:p>
        </w:tc>
      </w:tr>
      <w:tr w:rsidR="001B1953" w:rsidRPr="00D72A71" w:rsidTr="004C763D">
        <w:trPr>
          <w:trHeight w:val="20"/>
        </w:trPr>
        <w:tc>
          <w:tcPr>
            <w:tcW w:w="2500" w:type="dxa"/>
            <w:vMerge w:val="restart"/>
          </w:tcPr>
          <w:p w:rsidR="001B1953" w:rsidRPr="00D72A71" w:rsidRDefault="001B1953" w:rsidP="004C763D">
            <w:pPr>
              <w:jc w:val="both"/>
              <w:rPr>
                <w:color w:val="000000"/>
                <w:sz w:val="20"/>
                <w:szCs w:val="20"/>
              </w:rPr>
            </w:pPr>
            <w:r w:rsidRPr="00D72A71">
              <w:rPr>
                <w:color w:val="000000"/>
                <w:sz w:val="20"/>
                <w:szCs w:val="20"/>
              </w:rPr>
              <w:t>ГАУЗ «Арская ЦРБ»</w:t>
            </w:r>
          </w:p>
        </w:tc>
        <w:tc>
          <w:tcPr>
            <w:tcW w:w="2924" w:type="dxa"/>
          </w:tcPr>
          <w:p w:rsidR="001B1953" w:rsidRPr="00D72A71" w:rsidRDefault="00FA54BE" w:rsidP="004C763D">
            <w:pPr>
              <w:jc w:val="both"/>
              <w:rPr>
                <w:sz w:val="20"/>
                <w:szCs w:val="20"/>
              </w:rPr>
            </w:pPr>
            <w:r w:rsidRPr="00D72A71">
              <w:rPr>
                <w:sz w:val="20"/>
                <w:szCs w:val="20"/>
              </w:rPr>
              <w:t xml:space="preserve">Кабинет </w:t>
            </w:r>
            <w:r w:rsidR="001B1953" w:rsidRPr="00D72A71">
              <w:rPr>
                <w:sz w:val="20"/>
                <w:szCs w:val="20"/>
              </w:rPr>
              <w:t>компьютерной том</w:t>
            </w:r>
            <w:r>
              <w:rPr>
                <w:sz w:val="20"/>
                <w:szCs w:val="20"/>
              </w:rPr>
              <w:t>о</w:t>
            </w:r>
            <w:r w:rsidR="001B1953" w:rsidRPr="00D72A71">
              <w:rPr>
                <w:sz w:val="20"/>
                <w:szCs w:val="20"/>
              </w:rPr>
              <w:t>графии</w:t>
            </w:r>
          </w:p>
        </w:tc>
        <w:tc>
          <w:tcPr>
            <w:tcW w:w="3051" w:type="dxa"/>
          </w:tcPr>
          <w:p w:rsidR="001B1953" w:rsidRPr="00D72A71" w:rsidRDefault="001B1953" w:rsidP="004C763D">
            <w:pPr>
              <w:jc w:val="both"/>
              <w:rPr>
                <w:sz w:val="20"/>
                <w:szCs w:val="20"/>
              </w:rPr>
            </w:pPr>
            <w:r w:rsidRPr="00D72A71">
              <w:rPr>
                <w:sz w:val="20"/>
                <w:szCs w:val="20"/>
              </w:rPr>
              <w:t>Компьютерный томограф</w:t>
            </w:r>
          </w:p>
        </w:tc>
        <w:tc>
          <w:tcPr>
            <w:tcW w:w="1720" w:type="dxa"/>
          </w:tcPr>
          <w:p w:rsidR="001B1953" w:rsidRPr="00D72A71" w:rsidRDefault="001B1953" w:rsidP="004C763D">
            <w:pPr>
              <w:jc w:val="center"/>
              <w:rPr>
                <w:sz w:val="20"/>
                <w:szCs w:val="20"/>
              </w:rPr>
            </w:pPr>
            <w:r w:rsidRPr="00D72A71">
              <w:rPr>
                <w:sz w:val="20"/>
                <w:szCs w:val="20"/>
              </w:rPr>
              <w:t>16</w:t>
            </w:r>
          </w:p>
        </w:tc>
      </w:tr>
      <w:tr w:rsidR="001B1953" w:rsidRPr="00D72A71" w:rsidTr="004C763D">
        <w:trPr>
          <w:trHeight w:val="20"/>
        </w:trPr>
        <w:tc>
          <w:tcPr>
            <w:tcW w:w="2500" w:type="dxa"/>
            <w:vMerge/>
            <w:vAlign w:val="center"/>
          </w:tcPr>
          <w:p w:rsidR="001B1953" w:rsidRPr="00D72A71" w:rsidRDefault="001B1953" w:rsidP="004C763D">
            <w:pPr>
              <w:jc w:val="both"/>
              <w:rPr>
                <w:color w:val="000000"/>
                <w:sz w:val="20"/>
                <w:szCs w:val="20"/>
              </w:rPr>
            </w:pPr>
          </w:p>
        </w:tc>
        <w:tc>
          <w:tcPr>
            <w:tcW w:w="2924" w:type="dxa"/>
          </w:tcPr>
          <w:p w:rsidR="001B1953" w:rsidRPr="00D72A71" w:rsidRDefault="00FA54BE" w:rsidP="004C763D">
            <w:pPr>
              <w:jc w:val="both"/>
              <w:rPr>
                <w:sz w:val="20"/>
                <w:szCs w:val="20"/>
              </w:rPr>
            </w:pPr>
            <w:r w:rsidRPr="00D72A71">
              <w:rPr>
                <w:sz w:val="20"/>
                <w:szCs w:val="20"/>
              </w:rPr>
              <w:t xml:space="preserve">Кабинет </w:t>
            </w:r>
            <w:r w:rsidR="001B1953" w:rsidRPr="00D72A71">
              <w:rPr>
                <w:sz w:val="20"/>
                <w:szCs w:val="20"/>
              </w:rPr>
              <w:t>ультразвуковой диагностики</w:t>
            </w:r>
          </w:p>
        </w:tc>
        <w:tc>
          <w:tcPr>
            <w:tcW w:w="3051" w:type="dxa"/>
          </w:tcPr>
          <w:p w:rsidR="001B1953" w:rsidRPr="00D72A71" w:rsidRDefault="001B1953" w:rsidP="004C763D">
            <w:pPr>
              <w:jc w:val="both"/>
              <w:rPr>
                <w:sz w:val="20"/>
                <w:szCs w:val="20"/>
              </w:rPr>
            </w:pPr>
            <w:r w:rsidRPr="00D72A71">
              <w:rPr>
                <w:sz w:val="20"/>
                <w:szCs w:val="20"/>
              </w:rPr>
              <w:t xml:space="preserve">Аппарат ультразвуковой диагностики </w:t>
            </w:r>
          </w:p>
        </w:tc>
        <w:tc>
          <w:tcPr>
            <w:tcW w:w="1720" w:type="dxa"/>
          </w:tcPr>
          <w:p w:rsidR="001B1953" w:rsidRPr="00D72A71" w:rsidRDefault="001B1953" w:rsidP="004C763D">
            <w:pPr>
              <w:jc w:val="center"/>
              <w:rPr>
                <w:sz w:val="20"/>
                <w:szCs w:val="20"/>
              </w:rPr>
            </w:pPr>
            <w:r w:rsidRPr="00D72A71">
              <w:rPr>
                <w:sz w:val="20"/>
                <w:szCs w:val="20"/>
              </w:rPr>
              <w:t>117,1</w:t>
            </w:r>
          </w:p>
        </w:tc>
      </w:tr>
      <w:tr w:rsidR="001B1953" w:rsidRPr="00D72A71" w:rsidTr="004C763D">
        <w:trPr>
          <w:trHeight w:val="20"/>
        </w:trPr>
        <w:tc>
          <w:tcPr>
            <w:tcW w:w="2500" w:type="dxa"/>
            <w:vMerge/>
            <w:vAlign w:val="center"/>
          </w:tcPr>
          <w:p w:rsidR="001B1953" w:rsidRPr="00D72A71" w:rsidRDefault="001B1953" w:rsidP="004C763D">
            <w:pPr>
              <w:jc w:val="both"/>
              <w:rPr>
                <w:color w:val="000000"/>
                <w:sz w:val="20"/>
                <w:szCs w:val="20"/>
              </w:rPr>
            </w:pPr>
          </w:p>
        </w:tc>
        <w:tc>
          <w:tcPr>
            <w:tcW w:w="2924" w:type="dxa"/>
          </w:tcPr>
          <w:p w:rsidR="001B1953" w:rsidRPr="00D72A71" w:rsidRDefault="00FA54BE" w:rsidP="004C763D">
            <w:pPr>
              <w:jc w:val="both"/>
              <w:rPr>
                <w:sz w:val="20"/>
                <w:szCs w:val="20"/>
              </w:rPr>
            </w:pPr>
            <w:r w:rsidRPr="00D72A71">
              <w:rPr>
                <w:sz w:val="20"/>
                <w:szCs w:val="20"/>
              </w:rPr>
              <w:t xml:space="preserve">Кабинет </w:t>
            </w:r>
            <w:r w:rsidR="001B1953" w:rsidRPr="00D72A71">
              <w:rPr>
                <w:sz w:val="20"/>
                <w:szCs w:val="20"/>
              </w:rPr>
              <w:t>эндоскопической диагностики</w:t>
            </w:r>
          </w:p>
        </w:tc>
        <w:tc>
          <w:tcPr>
            <w:tcW w:w="3051" w:type="dxa"/>
          </w:tcPr>
          <w:p w:rsidR="001B1953" w:rsidRPr="00D72A71" w:rsidRDefault="001B1953" w:rsidP="004C763D">
            <w:pPr>
              <w:jc w:val="both"/>
              <w:rPr>
                <w:sz w:val="20"/>
                <w:szCs w:val="20"/>
              </w:rPr>
            </w:pPr>
            <w:r w:rsidRPr="00D72A71">
              <w:rPr>
                <w:sz w:val="20"/>
                <w:szCs w:val="20"/>
              </w:rPr>
              <w:t>Гастроскоп</w:t>
            </w:r>
          </w:p>
        </w:tc>
        <w:tc>
          <w:tcPr>
            <w:tcW w:w="1720" w:type="dxa"/>
          </w:tcPr>
          <w:p w:rsidR="001B1953" w:rsidRPr="00D72A71" w:rsidRDefault="001B1953" w:rsidP="004C763D">
            <w:pPr>
              <w:jc w:val="center"/>
              <w:rPr>
                <w:sz w:val="20"/>
                <w:szCs w:val="20"/>
              </w:rPr>
            </w:pPr>
            <w:r w:rsidRPr="00D72A71">
              <w:rPr>
                <w:sz w:val="20"/>
                <w:szCs w:val="20"/>
              </w:rPr>
              <w:t>4,5</w:t>
            </w:r>
          </w:p>
        </w:tc>
      </w:tr>
      <w:tr w:rsidR="001B1953" w:rsidRPr="00D72A71" w:rsidTr="004C763D">
        <w:trPr>
          <w:trHeight w:val="20"/>
        </w:trPr>
        <w:tc>
          <w:tcPr>
            <w:tcW w:w="2500" w:type="dxa"/>
            <w:vMerge/>
            <w:vAlign w:val="center"/>
          </w:tcPr>
          <w:p w:rsidR="001B1953" w:rsidRPr="00D72A71" w:rsidRDefault="001B1953" w:rsidP="004C763D">
            <w:pPr>
              <w:jc w:val="both"/>
              <w:rPr>
                <w:color w:val="000000"/>
                <w:sz w:val="20"/>
                <w:szCs w:val="20"/>
              </w:rPr>
            </w:pPr>
          </w:p>
        </w:tc>
        <w:tc>
          <w:tcPr>
            <w:tcW w:w="2924" w:type="dxa"/>
          </w:tcPr>
          <w:p w:rsidR="001B1953" w:rsidRPr="00D72A71" w:rsidRDefault="001B1953" w:rsidP="004C763D">
            <w:pPr>
              <w:jc w:val="both"/>
              <w:rPr>
                <w:sz w:val="20"/>
                <w:szCs w:val="20"/>
              </w:rPr>
            </w:pPr>
            <w:r w:rsidRPr="00D72A71">
              <w:rPr>
                <w:sz w:val="20"/>
                <w:szCs w:val="20"/>
              </w:rPr>
              <w:t>Кабинет рентгеновской диагностики</w:t>
            </w:r>
          </w:p>
        </w:tc>
        <w:tc>
          <w:tcPr>
            <w:tcW w:w="3051" w:type="dxa"/>
          </w:tcPr>
          <w:p w:rsidR="001B1953" w:rsidRPr="00D72A71" w:rsidRDefault="001B1953" w:rsidP="004C763D">
            <w:pPr>
              <w:jc w:val="both"/>
              <w:rPr>
                <w:sz w:val="20"/>
                <w:szCs w:val="20"/>
              </w:rPr>
            </w:pPr>
            <w:r w:rsidRPr="00D72A71">
              <w:rPr>
                <w:sz w:val="20"/>
                <w:szCs w:val="20"/>
              </w:rPr>
              <w:t>Рентгенодиагностическое</w:t>
            </w:r>
            <w:r w:rsidR="00FA54BE">
              <w:rPr>
                <w:sz w:val="20"/>
                <w:szCs w:val="20"/>
              </w:rPr>
              <w:t xml:space="preserve"> оборудование</w:t>
            </w:r>
          </w:p>
        </w:tc>
        <w:tc>
          <w:tcPr>
            <w:tcW w:w="1720" w:type="dxa"/>
          </w:tcPr>
          <w:p w:rsidR="001B1953" w:rsidRPr="00D72A71" w:rsidRDefault="001B1953" w:rsidP="004C763D">
            <w:pPr>
              <w:jc w:val="center"/>
              <w:rPr>
                <w:sz w:val="20"/>
                <w:szCs w:val="20"/>
              </w:rPr>
            </w:pPr>
            <w:r w:rsidRPr="00D72A71">
              <w:rPr>
                <w:sz w:val="20"/>
                <w:szCs w:val="20"/>
              </w:rPr>
              <w:t>57</w:t>
            </w:r>
          </w:p>
        </w:tc>
      </w:tr>
      <w:tr w:rsidR="001B1953" w:rsidRPr="00D72A71" w:rsidTr="004C763D">
        <w:trPr>
          <w:trHeight w:val="20"/>
        </w:trPr>
        <w:tc>
          <w:tcPr>
            <w:tcW w:w="2500" w:type="dxa"/>
            <w:vMerge/>
            <w:vAlign w:val="center"/>
          </w:tcPr>
          <w:p w:rsidR="001B1953" w:rsidRPr="00D72A71" w:rsidRDefault="001B1953" w:rsidP="004C763D">
            <w:pPr>
              <w:jc w:val="both"/>
              <w:rPr>
                <w:color w:val="000000"/>
                <w:sz w:val="20"/>
                <w:szCs w:val="20"/>
              </w:rPr>
            </w:pPr>
          </w:p>
        </w:tc>
        <w:tc>
          <w:tcPr>
            <w:tcW w:w="2924" w:type="dxa"/>
          </w:tcPr>
          <w:p w:rsidR="001B1953" w:rsidRPr="00D72A71" w:rsidRDefault="001B1953" w:rsidP="004C763D">
            <w:pPr>
              <w:jc w:val="both"/>
              <w:rPr>
                <w:sz w:val="20"/>
                <w:szCs w:val="20"/>
              </w:rPr>
            </w:pPr>
            <w:r w:rsidRPr="00D72A71">
              <w:rPr>
                <w:sz w:val="20"/>
                <w:szCs w:val="20"/>
              </w:rPr>
              <w:t>Кабинет рентгеновской диагностики</w:t>
            </w:r>
          </w:p>
        </w:tc>
        <w:tc>
          <w:tcPr>
            <w:tcW w:w="3051" w:type="dxa"/>
          </w:tcPr>
          <w:p w:rsidR="001B1953" w:rsidRPr="00D72A71" w:rsidRDefault="00FA54BE" w:rsidP="004C763D">
            <w:pPr>
              <w:jc w:val="both"/>
              <w:rPr>
                <w:sz w:val="20"/>
                <w:szCs w:val="20"/>
              </w:rPr>
            </w:pPr>
            <w:r>
              <w:rPr>
                <w:sz w:val="20"/>
                <w:szCs w:val="20"/>
              </w:rPr>
              <w:t>Маммограф</w:t>
            </w:r>
          </w:p>
        </w:tc>
        <w:tc>
          <w:tcPr>
            <w:tcW w:w="1720" w:type="dxa"/>
          </w:tcPr>
          <w:p w:rsidR="001B1953" w:rsidRPr="00D72A71" w:rsidRDefault="001B1953" w:rsidP="004C763D">
            <w:pPr>
              <w:jc w:val="center"/>
              <w:rPr>
                <w:sz w:val="20"/>
                <w:szCs w:val="20"/>
              </w:rPr>
            </w:pPr>
            <w:r w:rsidRPr="00D72A71">
              <w:rPr>
                <w:sz w:val="20"/>
                <w:szCs w:val="20"/>
              </w:rPr>
              <w:t>26</w:t>
            </w:r>
          </w:p>
        </w:tc>
      </w:tr>
      <w:tr w:rsidR="001B1953" w:rsidRPr="00D72A71" w:rsidTr="004C763D">
        <w:trPr>
          <w:trHeight w:val="20"/>
        </w:trPr>
        <w:tc>
          <w:tcPr>
            <w:tcW w:w="2500" w:type="dxa"/>
            <w:vMerge/>
            <w:vAlign w:val="center"/>
          </w:tcPr>
          <w:p w:rsidR="001B1953" w:rsidRPr="00D72A71" w:rsidRDefault="001B1953" w:rsidP="004C763D">
            <w:pPr>
              <w:jc w:val="both"/>
              <w:rPr>
                <w:color w:val="000000"/>
                <w:sz w:val="20"/>
                <w:szCs w:val="20"/>
              </w:rPr>
            </w:pPr>
          </w:p>
        </w:tc>
        <w:tc>
          <w:tcPr>
            <w:tcW w:w="2924" w:type="dxa"/>
          </w:tcPr>
          <w:p w:rsidR="001B1953" w:rsidRPr="00D72A71" w:rsidRDefault="001B1953" w:rsidP="004C763D">
            <w:pPr>
              <w:jc w:val="both"/>
              <w:rPr>
                <w:sz w:val="20"/>
                <w:szCs w:val="20"/>
              </w:rPr>
            </w:pPr>
            <w:r w:rsidRPr="00D72A71">
              <w:rPr>
                <w:sz w:val="20"/>
                <w:szCs w:val="20"/>
              </w:rPr>
              <w:t>Кабинет рентгеновской диагностики</w:t>
            </w:r>
          </w:p>
        </w:tc>
        <w:tc>
          <w:tcPr>
            <w:tcW w:w="3051" w:type="dxa"/>
          </w:tcPr>
          <w:p w:rsidR="001B1953" w:rsidRPr="00D72A71" w:rsidRDefault="001B1953" w:rsidP="004C763D">
            <w:pPr>
              <w:jc w:val="both"/>
              <w:rPr>
                <w:sz w:val="20"/>
                <w:szCs w:val="20"/>
              </w:rPr>
            </w:pPr>
            <w:r w:rsidRPr="00D72A71">
              <w:rPr>
                <w:sz w:val="20"/>
                <w:szCs w:val="20"/>
              </w:rPr>
              <w:t>Флюорограф</w:t>
            </w:r>
          </w:p>
        </w:tc>
        <w:tc>
          <w:tcPr>
            <w:tcW w:w="1720" w:type="dxa"/>
          </w:tcPr>
          <w:p w:rsidR="001B1953" w:rsidRPr="00D72A71" w:rsidRDefault="001B1953" w:rsidP="004C763D">
            <w:pPr>
              <w:jc w:val="center"/>
              <w:rPr>
                <w:sz w:val="20"/>
                <w:szCs w:val="20"/>
              </w:rPr>
            </w:pPr>
            <w:r w:rsidRPr="00D72A71">
              <w:rPr>
                <w:sz w:val="20"/>
                <w:szCs w:val="20"/>
              </w:rPr>
              <w:t>37,8</w:t>
            </w:r>
          </w:p>
        </w:tc>
      </w:tr>
      <w:tr w:rsidR="001B1953" w:rsidRPr="00D72A71" w:rsidTr="004C763D">
        <w:trPr>
          <w:trHeight w:val="20"/>
        </w:trPr>
        <w:tc>
          <w:tcPr>
            <w:tcW w:w="2500" w:type="dxa"/>
            <w:vMerge w:val="restart"/>
          </w:tcPr>
          <w:p w:rsidR="001B1953" w:rsidRPr="00D72A71" w:rsidRDefault="00151538" w:rsidP="004C763D">
            <w:pPr>
              <w:jc w:val="both"/>
              <w:rPr>
                <w:color w:val="000000"/>
                <w:sz w:val="20"/>
                <w:szCs w:val="20"/>
              </w:rPr>
            </w:pPr>
            <w:r w:rsidRPr="00D72A71">
              <w:rPr>
                <w:rFonts w:eastAsia="Arial"/>
                <w:sz w:val="20"/>
                <w:szCs w:val="20"/>
              </w:rPr>
              <w:t xml:space="preserve">ГАУЗ «РКОД МЗ РТ им.проф.М.З.Сигала» </w:t>
            </w:r>
          </w:p>
        </w:tc>
        <w:tc>
          <w:tcPr>
            <w:tcW w:w="2924" w:type="dxa"/>
          </w:tcPr>
          <w:p w:rsidR="001B1953" w:rsidRPr="00D72A71" w:rsidRDefault="00FA54BE" w:rsidP="004C763D">
            <w:pPr>
              <w:jc w:val="both"/>
              <w:rPr>
                <w:sz w:val="20"/>
                <w:szCs w:val="20"/>
              </w:rPr>
            </w:pPr>
            <w:r>
              <w:rPr>
                <w:sz w:val="20"/>
                <w:szCs w:val="20"/>
              </w:rPr>
              <w:t>Э</w:t>
            </w:r>
            <w:r w:rsidR="001B1953" w:rsidRPr="00D72A71">
              <w:rPr>
                <w:sz w:val="20"/>
                <w:szCs w:val="20"/>
              </w:rPr>
              <w:t>ндоскопическое отделение</w:t>
            </w:r>
          </w:p>
        </w:tc>
        <w:tc>
          <w:tcPr>
            <w:tcW w:w="3051" w:type="dxa"/>
          </w:tcPr>
          <w:p w:rsidR="001B1953" w:rsidRPr="00D72A71" w:rsidRDefault="001B1953" w:rsidP="004C763D">
            <w:pPr>
              <w:jc w:val="both"/>
              <w:rPr>
                <w:sz w:val="20"/>
                <w:szCs w:val="20"/>
              </w:rPr>
            </w:pPr>
            <w:r w:rsidRPr="00D72A71">
              <w:rPr>
                <w:sz w:val="20"/>
                <w:szCs w:val="20"/>
              </w:rPr>
              <w:t>Бронхоскоп</w:t>
            </w:r>
          </w:p>
        </w:tc>
        <w:tc>
          <w:tcPr>
            <w:tcW w:w="1720" w:type="dxa"/>
          </w:tcPr>
          <w:p w:rsidR="001B1953" w:rsidRPr="00D72A71" w:rsidRDefault="001B1953" w:rsidP="004C763D">
            <w:pPr>
              <w:jc w:val="center"/>
              <w:rPr>
                <w:sz w:val="20"/>
                <w:szCs w:val="20"/>
              </w:rPr>
            </w:pPr>
            <w:r w:rsidRPr="00D72A71">
              <w:rPr>
                <w:sz w:val="20"/>
                <w:szCs w:val="20"/>
              </w:rPr>
              <w:t>47,5</w:t>
            </w:r>
          </w:p>
        </w:tc>
      </w:tr>
      <w:tr w:rsidR="001B1953" w:rsidRPr="00D72A71" w:rsidTr="004C763D">
        <w:trPr>
          <w:trHeight w:val="20"/>
        </w:trPr>
        <w:tc>
          <w:tcPr>
            <w:tcW w:w="2500" w:type="dxa"/>
            <w:vMerge/>
            <w:vAlign w:val="center"/>
          </w:tcPr>
          <w:p w:rsidR="001B1953" w:rsidRPr="00D72A71" w:rsidRDefault="001B1953" w:rsidP="004C763D">
            <w:pPr>
              <w:jc w:val="both"/>
              <w:rPr>
                <w:color w:val="000000"/>
                <w:sz w:val="20"/>
                <w:szCs w:val="20"/>
              </w:rPr>
            </w:pPr>
          </w:p>
        </w:tc>
        <w:tc>
          <w:tcPr>
            <w:tcW w:w="2924" w:type="dxa"/>
          </w:tcPr>
          <w:p w:rsidR="001B1953" w:rsidRPr="00D72A71" w:rsidRDefault="00FA54BE" w:rsidP="004C763D">
            <w:pPr>
              <w:jc w:val="both"/>
              <w:rPr>
                <w:sz w:val="20"/>
                <w:szCs w:val="20"/>
              </w:rPr>
            </w:pPr>
            <w:r>
              <w:rPr>
                <w:sz w:val="20"/>
                <w:szCs w:val="20"/>
              </w:rPr>
              <w:t>Э</w:t>
            </w:r>
            <w:r w:rsidR="001B1953" w:rsidRPr="00D72A71">
              <w:rPr>
                <w:sz w:val="20"/>
                <w:szCs w:val="20"/>
              </w:rPr>
              <w:t>ндоскопическое отделение</w:t>
            </w:r>
          </w:p>
        </w:tc>
        <w:tc>
          <w:tcPr>
            <w:tcW w:w="3051" w:type="dxa"/>
          </w:tcPr>
          <w:p w:rsidR="001B1953" w:rsidRPr="00D72A71" w:rsidRDefault="001B1953" w:rsidP="004C763D">
            <w:pPr>
              <w:jc w:val="both"/>
              <w:rPr>
                <w:sz w:val="20"/>
                <w:szCs w:val="20"/>
              </w:rPr>
            </w:pPr>
            <w:r w:rsidRPr="00D72A71">
              <w:rPr>
                <w:sz w:val="20"/>
                <w:szCs w:val="20"/>
              </w:rPr>
              <w:t>Гастроскоп</w:t>
            </w:r>
          </w:p>
        </w:tc>
        <w:tc>
          <w:tcPr>
            <w:tcW w:w="1720" w:type="dxa"/>
          </w:tcPr>
          <w:p w:rsidR="001B1953" w:rsidRPr="00D72A71" w:rsidRDefault="001B1953" w:rsidP="004C763D">
            <w:pPr>
              <w:jc w:val="center"/>
              <w:rPr>
                <w:sz w:val="20"/>
                <w:szCs w:val="20"/>
              </w:rPr>
            </w:pPr>
            <w:r w:rsidRPr="00D72A71">
              <w:rPr>
                <w:sz w:val="20"/>
                <w:szCs w:val="20"/>
              </w:rPr>
              <w:t>83,7</w:t>
            </w:r>
          </w:p>
        </w:tc>
      </w:tr>
      <w:tr w:rsidR="001B1953" w:rsidRPr="00D72A71" w:rsidTr="004C763D">
        <w:trPr>
          <w:trHeight w:val="20"/>
        </w:trPr>
        <w:tc>
          <w:tcPr>
            <w:tcW w:w="2500" w:type="dxa"/>
            <w:vMerge/>
            <w:vAlign w:val="center"/>
          </w:tcPr>
          <w:p w:rsidR="001B1953" w:rsidRPr="00D72A71" w:rsidRDefault="001B1953" w:rsidP="004C763D">
            <w:pPr>
              <w:jc w:val="both"/>
              <w:rPr>
                <w:color w:val="000000"/>
                <w:sz w:val="20"/>
                <w:szCs w:val="20"/>
              </w:rPr>
            </w:pPr>
          </w:p>
        </w:tc>
        <w:tc>
          <w:tcPr>
            <w:tcW w:w="2924" w:type="dxa"/>
          </w:tcPr>
          <w:p w:rsidR="001B1953" w:rsidRPr="00D72A71" w:rsidRDefault="00FA54BE" w:rsidP="004C763D">
            <w:pPr>
              <w:jc w:val="both"/>
              <w:rPr>
                <w:sz w:val="20"/>
                <w:szCs w:val="20"/>
              </w:rPr>
            </w:pPr>
            <w:r>
              <w:rPr>
                <w:sz w:val="20"/>
                <w:szCs w:val="20"/>
              </w:rPr>
              <w:t>Э</w:t>
            </w:r>
            <w:r w:rsidR="001B1953" w:rsidRPr="00D72A71">
              <w:rPr>
                <w:sz w:val="20"/>
                <w:szCs w:val="20"/>
              </w:rPr>
              <w:t>ндоскопическое отделение</w:t>
            </w:r>
          </w:p>
        </w:tc>
        <w:tc>
          <w:tcPr>
            <w:tcW w:w="3051" w:type="dxa"/>
          </w:tcPr>
          <w:p w:rsidR="001B1953" w:rsidRPr="00D72A71" w:rsidRDefault="001B1953" w:rsidP="004C763D">
            <w:pPr>
              <w:jc w:val="both"/>
              <w:rPr>
                <w:sz w:val="20"/>
                <w:szCs w:val="20"/>
              </w:rPr>
            </w:pPr>
            <w:r w:rsidRPr="00D72A71">
              <w:rPr>
                <w:sz w:val="20"/>
                <w:szCs w:val="20"/>
              </w:rPr>
              <w:t>Колоноскоп</w:t>
            </w:r>
          </w:p>
        </w:tc>
        <w:tc>
          <w:tcPr>
            <w:tcW w:w="1720" w:type="dxa"/>
          </w:tcPr>
          <w:p w:rsidR="001B1953" w:rsidRPr="00D72A71" w:rsidRDefault="001B1953" w:rsidP="004C763D">
            <w:pPr>
              <w:jc w:val="center"/>
              <w:rPr>
                <w:sz w:val="20"/>
                <w:szCs w:val="20"/>
              </w:rPr>
            </w:pPr>
            <w:r w:rsidRPr="00D72A71">
              <w:rPr>
                <w:sz w:val="20"/>
                <w:szCs w:val="20"/>
              </w:rPr>
              <w:t>25</w:t>
            </w:r>
          </w:p>
        </w:tc>
      </w:tr>
      <w:tr w:rsidR="001B1953" w:rsidRPr="00D72A71" w:rsidTr="004C763D">
        <w:trPr>
          <w:trHeight w:val="20"/>
        </w:trPr>
        <w:tc>
          <w:tcPr>
            <w:tcW w:w="2500" w:type="dxa"/>
            <w:vMerge/>
            <w:vAlign w:val="center"/>
          </w:tcPr>
          <w:p w:rsidR="001B1953" w:rsidRPr="00D72A71" w:rsidRDefault="001B1953" w:rsidP="004C763D">
            <w:pPr>
              <w:jc w:val="both"/>
              <w:rPr>
                <w:color w:val="000000"/>
                <w:sz w:val="20"/>
                <w:szCs w:val="20"/>
              </w:rPr>
            </w:pPr>
          </w:p>
        </w:tc>
        <w:tc>
          <w:tcPr>
            <w:tcW w:w="2924" w:type="dxa"/>
          </w:tcPr>
          <w:p w:rsidR="001B1953" w:rsidRPr="00D72A71" w:rsidRDefault="001B1953" w:rsidP="004C763D">
            <w:pPr>
              <w:jc w:val="both"/>
              <w:rPr>
                <w:sz w:val="20"/>
                <w:szCs w:val="20"/>
              </w:rPr>
            </w:pPr>
            <w:r w:rsidRPr="00D72A71">
              <w:rPr>
                <w:sz w:val="20"/>
                <w:szCs w:val="20"/>
              </w:rPr>
              <w:t>Рентгенологическое отделение</w:t>
            </w:r>
          </w:p>
        </w:tc>
        <w:tc>
          <w:tcPr>
            <w:tcW w:w="3051" w:type="dxa"/>
          </w:tcPr>
          <w:p w:rsidR="001B1953" w:rsidRPr="00D72A71" w:rsidRDefault="001B1953" w:rsidP="004C763D">
            <w:pPr>
              <w:jc w:val="both"/>
              <w:rPr>
                <w:sz w:val="20"/>
                <w:szCs w:val="20"/>
              </w:rPr>
            </w:pPr>
            <w:r w:rsidRPr="00D72A71">
              <w:rPr>
                <w:sz w:val="20"/>
                <w:szCs w:val="20"/>
              </w:rPr>
              <w:t>Рентгенодиагностическое</w:t>
            </w:r>
            <w:r w:rsidR="00FA54BE">
              <w:rPr>
                <w:sz w:val="20"/>
                <w:szCs w:val="20"/>
              </w:rPr>
              <w:t xml:space="preserve"> оборудование</w:t>
            </w:r>
          </w:p>
        </w:tc>
        <w:tc>
          <w:tcPr>
            <w:tcW w:w="1720" w:type="dxa"/>
          </w:tcPr>
          <w:p w:rsidR="001B1953" w:rsidRPr="00D72A71" w:rsidRDefault="001B1953" w:rsidP="004C763D">
            <w:pPr>
              <w:jc w:val="center"/>
              <w:rPr>
                <w:sz w:val="20"/>
                <w:szCs w:val="20"/>
              </w:rPr>
            </w:pPr>
            <w:r w:rsidRPr="00D72A71">
              <w:rPr>
                <w:sz w:val="20"/>
                <w:szCs w:val="20"/>
              </w:rPr>
              <w:t>339</w:t>
            </w:r>
          </w:p>
        </w:tc>
      </w:tr>
      <w:tr w:rsidR="001B1953" w:rsidRPr="00D72A71" w:rsidTr="004C763D">
        <w:trPr>
          <w:trHeight w:val="20"/>
        </w:trPr>
        <w:tc>
          <w:tcPr>
            <w:tcW w:w="2500" w:type="dxa"/>
            <w:vMerge/>
            <w:vAlign w:val="center"/>
          </w:tcPr>
          <w:p w:rsidR="001B1953" w:rsidRPr="00D72A71" w:rsidRDefault="001B1953" w:rsidP="004C763D">
            <w:pPr>
              <w:jc w:val="both"/>
              <w:rPr>
                <w:color w:val="000000"/>
                <w:sz w:val="20"/>
                <w:szCs w:val="20"/>
              </w:rPr>
            </w:pPr>
          </w:p>
        </w:tc>
        <w:tc>
          <w:tcPr>
            <w:tcW w:w="2924" w:type="dxa"/>
          </w:tcPr>
          <w:p w:rsidR="001B1953" w:rsidRPr="00D72A71" w:rsidRDefault="001B1953" w:rsidP="004C763D">
            <w:pPr>
              <w:jc w:val="both"/>
              <w:rPr>
                <w:sz w:val="20"/>
                <w:szCs w:val="20"/>
              </w:rPr>
            </w:pPr>
            <w:r w:rsidRPr="00D72A71">
              <w:rPr>
                <w:sz w:val="20"/>
                <w:szCs w:val="20"/>
              </w:rPr>
              <w:t>Рентгенологическое отделение</w:t>
            </w:r>
          </w:p>
        </w:tc>
        <w:tc>
          <w:tcPr>
            <w:tcW w:w="3051" w:type="dxa"/>
          </w:tcPr>
          <w:p w:rsidR="001B1953" w:rsidRPr="00D72A71" w:rsidRDefault="00FA54BE" w:rsidP="004C763D">
            <w:pPr>
              <w:jc w:val="both"/>
              <w:rPr>
                <w:sz w:val="20"/>
                <w:szCs w:val="20"/>
              </w:rPr>
            </w:pPr>
            <w:r>
              <w:rPr>
                <w:sz w:val="20"/>
                <w:szCs w:val="20"/>
              </w:rPr>
              <w:t>Маммограф</w:t>
            </w:r>
          </w:p>
        </w:tc>
        <w:tc>
          <w:tcPr>
            <w:tcW w:w="1720" w:type="dxa"/>
          </w:tcPr>
          <w:p w:rsidR="001B1953" w:rsidRPr="00D72A71" w:rsidRDefault="001B1953" w:rsidP="004C763D">
            <w:pPr>
              <w:jc w:val="center"/>
              <w:rPr>
                <w:sz w:val="20"/>
                <w:szCs w:val="20"/>
              </w:rPr>
            </w:pPr>
            <w:r w:rsidRPr="00D72A71">
              <w:rPr>
                <w:sz w:val="20"/>
                <w:szCs w:val="20"/>
              </w:rPr>
              <w:t>95</w:t>
            </w:r>
          </w:p>
        </w:tc>
      </w:tr>
      <w:tr w:rsidR="001B1953" w:rsidRPr="00D72A71" w:rsidTr="004C763D">
        <w:trPr>
          <w:trHeight w:val="20"/>
        </w:trPr>
        <w:tc>
          <w:tcPr>
            <w:tcW w:w="2500" w:type="dxa"/>
            <w:vMerge/>
            <w:vAlign w:val="center"/>
          </w:tcPr>
          <w:p w:rsidR="001B1953" w:rsidRPr="00D72A71" w:rsidRDefault="001B1953" w:rsidP="004C763D">
            <w:pPr>
              <w:jc w:val="both"/>
              <w:rPr>
                <w:color w:val="000000"/>
                <w:sz w:val="20"/>
                <w:szCs w:val="20"/>
              </w:rPr>
            </w:pPr>
          </w:p>
        </w:tc>
        <w:tc>
          <w:tcPr>
            <w:tcW w:w="2924" w:type="dxa"/>
          </w:tcPr>
          <w:p w:rsidR="001B1953" w:rsidRPr="00D72A71" w:rsidRDefault="001B1953" w:rsidP="004C763D">
            <w:pPr>
              <w:jc w:val="both"/>
              <w:rPr>
                <w:sz w:val="20"/>
                <w:szCs w:val="20"/>
              </w:rPr>
            </w:pPr>
            <w:r w:rsidRPr="00D72A71">
              <w:rPr>
                <w:sz w:val="20"/>
                <w:szCs w:val="20"/>
              </w:rPr>
              <w:t>Отделение ультразвуковой диагностики</w:t>
            </w:r>
          </w:p>
        </w:tc>
        <w:tc>
          <w:tcPr>
            <w:tcW w:w="3051" w:type="dxa"/>
          </w:tcPr>
          <w:p w:rsidR="001B1953" w:rsidRPr="00D72A71" w:rsidRDefault="001B1953" w:rsidP="004C763D">
            <w:pPr>
              <w:jc w:val="both"/>
              <w:rPr>
                <w:sz w:val="20"/>
                <w:szCs w:val="20"/>
              </w:rPr>
            </w:pPr>
            <w:r w:rsidRPr="00D72A71">
              <w:rPr>
                <w:sz w:val="20"/>
                <w:szCs w:val="20"/>
              </w:rPr>
              <w:t xml:space="preserve">Аппарат ультразвуковой диагностики </w:t>
            </w:r>
          </w:p>
        </w:tc>
        <w:tc>
          <w:tcPr>
            <w:tcW w:w="1720" w:type="dxa"/>
          </w:tcPr>
          <w:p w:rsidR="001B1953" w:rsidRPr="00D72A71" w:rsidRDefault="001B1953" w:rsidP="004C763D">
            <w:pPr>
              <w:jc w:val="center"/>
              <w:rPr>
                <w:sz w:val="20"/>
                <w:szCs w:val="20"/>
              </w:rPr>
            </w:pPr>
            <w:r w:rsidRPr="00D72A71">
              <w:rPr>
                <w:sz w:val="20"/>
                <w:szCs w:val="20"/>
              </w:rPr>
              <w:t>439</w:t>
            </w:r>
          </w:p>
        </w:tc>
      </w:tr>
      <w:tr w:rsidR="001B1953" w:rsidRPr="00D72A71" w:rsidTr="004C763D">
        <w:trPr>
          <w:trHeight w:val="20"/>
        </w:trPr>
        <w:tc>
          <w:tcPr>
            <w:tcW w:w="2500" w:type="dxa"/>
            <w:vMerge/>
            <w:vAlign w:val="center"/>
          </w:tcPr>
          <w:p w:rsidR="001B1953" w:rsidRPr="00D72A71" w:rsidRDefault="001B1953" w:rsidP="004C763D">
            <w:pPr>
              <w:jc w:val="both"/>
              <w:rPr>
                <w:color w:val="000000"/>
                <w:sz w:val="20"/>
                <w:szCs w:val="20"/>
              </w:rPr>
            </w:pPr>
          </w:p>
        </w:tc>
        <w:tc>
          <w:tcPr>
            <w:tcW w:w="2924" w:type="dxa"/>
          </w:tcPr>
          <w:p w:rsidR="001B1953" w:rsidRPr="00D72A71" w:rsidRDefault="001B1953" w:rsidP="004C763D">
            <w:pPr>
              <w:jc w:val="both"/>
              <w:rPr>
                <w:sz w:val="20"/>
                <w:szCs w:val="20"/>
              </w:rPr>
            </w:pPr>
            <w:r w:rsidRPr="00D72A71">
              <w:rPr>
                <w:sz w:val="20"/>
                <w:szCs w:val="20"/>
              </w:rPr>
              <w:t>Отделение магнитно-резонанс</w:t>
            </w:r>
            <w:r w:rsidR="00D72A71" w:rsidRPr="00D72A71">
              <w:rPr>
                <w:sz w:val="20"/>
                <w:szCs w:val="20"/>
              </w:rPr>
              <w:t>н</w:t>
            </w:r>
            <w:r w:rsidRPr="00D72A71">
              <w:rPr>
                <w:sz w:val="20"/>
                <w:szCs w:val="20"/>
              </w:rPr>
              <w:t>ой и компьютерной томографии</w:t>
            </w:r>
          </w:p>
        </w:tc>
        <w:tc>
          <w:tcPr>
            <w:tcW w:w="3051" w:type="dxa"/>
          </w:tcPr>
          <w:p w:rsidR="001B1953" w:rsidRPr="00D72A71" w:rsidRDefault="001B1953" w:rsidP="004C763D">
            <w:pPr>
              <w:jc w:val="both"/>
              <w:rPr>
                <w:sz w:val="20"/>
                <w:szCs w:val="20"/>
              </w:rPr>
            </w:pPr>
            <w:r w:rsidRPr="00D72A71">
              <w:rPr>
                <w:sz w:val="20"/>
                <w:szCs w:val="20"/>
              </w:rPr>
              <w:t>Компьютерный томограф</w:t>
            </w:r>
          </w:p>
        </w:tc>
        <w:tc>
          <w:tcPr>
            <w:tcW w:w="1720" w:type="dxa"/>
          </w:tcPr>
          <w:p w:rsidR="001B1953" w:rsidRPr="00D72A71" w:rsidRDefault="001B1953" w:rsidP="004C763D">
            <w:pPr>
              <w:jc w:val="center"/>
              <w:rPr>
                <w:sz w:val="20"/>
                <w:szCs w:val="20"/>
              </w:rPr>
            </w:pPr>
            <w:r w:rsidRPr="00D72A71">
              <w:rPr>
                <w:sz w:val="20"/>
                <w:szCs w:val="20"/>
              </w:rPr>
              <w:t>93</w:t>
            </w:r>
          </w:p>
        </w:tc>
      </w:tr>
      <w:tr w:rsidR="001B1953" w:rsidRPr="00D72A71" w:rsidTr="004C763D">
        <w:trPr>
          <w:trHeight w:val="20"/>
        </w:trPr>
        <w:tc>
          <w:tcPr>
            <w:tcW w:w="2500" w:type="dxa"/>
            <w:vMerge/>
            <w:vAlign w:val="center"/>
          </w:tcPr>
          <w:p w:rsidR="001B1953" w:rsidRPr="00D72A71" w:rsidRDefault="001B1953" w:rsidP="004C763D">
            <w:pPr>
              <w:jc w:val="both"/>
              <w:rPr>
                <w:color w:val="000000"/>
                <w:sz w:val="20"/>
                <w:szCs w:val="20"/>
              </w:rPr>
            </w:pPr>
          </w:p>
        </w:tc>
        <w:tc>
          <w:tcPr>
            <w:tcW w:w="2924" w:type="dxa"/>
          </w:tcPr>
          <w:p w:rsidR="001B1953" w:rsidRPr="00D72A71" w:rsidRDefault="001B1953" w:rsidP="004C763D">
            <w:pPr>
              <w:jc w:val="both"/>
              <w:rPr>
                <w:sz w:val="20"/>
                <w:szCs w:val="20"/>
              </w:rPr>
            </w:pPr>
            <w:r w:rsidRPr="00D72A71">
              <w:rPr>
                <w:sz w:val="20"/>
                <w:szCs w:val="20"/>
              </w:rPr>
              <w:t>Отделение магнитно-резонанс</w:t>
            </w:r>
            <w:r w:rsidR="00D72A71" w:rsidRPr="00D72A71">
              <w:rPr>
                <w:sz w:val="20"/>
                <w:szCs w:val="20"/>
              </w:rPr>
              <w:t>н</w:t>
            </w:r>
            <w:r w:rsidRPr="00D72A71">
              <w:rPr>
                <w:sz w:val="20"/>
                <w:szCs w:val="20"/>
              </w:rPr>
              <w:t>ой и компьютерной томографии</w:t>
            </w:r>
          </w:p>
        </w:tc>
        <w:tc>
          <w:tcPr>
            <w:tcW w:w="3051" w:type="dxa"/>
          </w:tcPr>
          <w:p w:rsidR="001B1953" w:rsidRPr="00D72A71" w:rsidRDefault="001B1953" w:rsidP="004C763D">
            <w:pPr>
              <w:jc w:val="both"/>
              <w:rPr>
                <w:sz w:val="20"/>
                <w:szCs w:val="20"/>
              </w:rPr>
            </w:pPr>
            <w:r w:rsidRPr="00D72A71">
              <w:rPr>
                <w:sz w:val="20"/>
                <w:szCs w:val="20"/>
              </w:rPr>
              <w:t>Магнитно-резонансный томограф</w:t>
            </w:r>
          </w:p>
        </w:tc>
        <w:tc>
          <w:tcPr>
            <w:tcW w:w="1720" w:type="dxa"/>
          </w:tcPr>
          <w:p w:rsidR="001B1953" w:rsidRPr="00D72A71" w:rsidRDefault="001B1953" w:rsidP="004C763D">
            <w:pPr>
              <w:jc w:val="center"/>
              <w:rPr>
                <w:sz w:val="20"/>
                <w:szCs w:val="20"/>
              </w:rPr>
            </w:pPr>
            <w:r w:rsidRPr="00D72A71">
              <w:rPr>
                <w:sz w:val="20"/>
                <w:szCs w:val="20"/>
              </w:rPr>
              <w:t>49</w:t>
            </w:r>
          </w:p>
        </w:tc>
      </w:tr>
      <w:tr w:rsidR="001B1953" w:rsidRPr="00D72A71" w:rsidTr="004C763D">
        <w:trPr>
          <w:trHeight w:val="20"/>
        </w:trPr>
        <w:tc>
          <w:tcPr>
            <w:tcW w:w="2500" w:type="dxa"/>
            <w:vMerge/>
            <w:vAlign w:val="center"/>
          </w:tcPr>
          <w:p w:rsidR="001B1953" w:rsidRPr="00D72A71" w:rsidRDefault="001B1953" w:rsidP="004C763D">
            <w:pPr>
              <w:jc w:val="both"/>
              <w:rPr>
                <w:color w:val="000000"/>
                <w:sz w:val="20"/>
                <w:szCs w:val="20"/>
              </w:rPr>
            </w:pPr>
          </w:p>
        </w:tc>
        <w:tc>
          <w:tcPr>
            <w:tcW w:w="2924" w:type="dxa"/>
          </w:tcPr>
          <w:p w:rsidR="001B1953" w:rsidRPr="00D72A71" w:rsidRDefault="001B1953" w:rsidP="004C763D">
            <w:pPr>
              <w:jc w:val="both"/>
              <w:rPr>
                <w:sz w:val="20"/>
                <w:szCs w:val="20"/>
              </w:rPr>
            </w:pPr>
            <w:r w:rsidRPr="00D72A71">
              <w:rPr>
                <w:sz w:val="20"/>
                <w:szCs w:val="20"/>
              </w:rPr>
              <w:t>Отделение позитронно-эмиссионной томографии</w:t>
            </w:r>
          </w:p>
        </w:tc>
        <w:tc>
          <w:tcPr>
            <w:tcW w:w="3051" w:type="dxa"/>
          </w:tcPr>
          <w:p w:rsidR="001B1953" w:rsidRPr="00D72A71" w:rsidRDefault="00006C92" w:rsidP="00FA54BE">
            <w:pPr>
              <w:jc w:val="both"/>
              <w:rPr>
                <w:sz w:val="20"/>
                <w:szCs w:val="20"/>
              </w:rPr>
            </w:pPr>
            <w:r w:rsidRPr="00D72A71">
              <w:rPr>
                <w:sz w:val="20"/>
                <w:szCs w:val="20"/>
              </w:rPr>
              <w:t>Позитронно-эмиссионн</w:t>
            </w:r>
            <w:r w:rsidR="00FA54BE">
              <w:rPr>
                <w:sz w:val="20"/>
                <w:szCs w:val="20"/>
              </w:rPr>
              <w:t>ы</w:t>
            </w:r>
            <w:r w:rsidRPr="00D72A71">
              <w:rPr>
                <w:sz w:val="20"/>
                <w:szCs w:val="20"/>
              </w:rPr>
              <w:t>й томограф</w:t>
            </w:r>
          </w:p>
        </w:tc>
        <w:tc>
          <w:tcPr>
            <w:tcW w:w="1720" w:type="dxa"/>
          </w:tcPr>
          <w:p w:rsidR="001B1953" w:rsidRPr="00D72A71" w:rsidRDefault="001B1953" w:rsidP="004C763D">
            <w:pPr>
              <w:jc w:val="center"/>
              <w:rPr>
                <w:sz w:val="20"/>
                <w:szCs w:val="20"/>
              </w:rPr>
            </w:pPr>
            <w:r w:rsidRPr="00D72A71">
              <w:rPr>
                <w:sz w:val="20"/>
                <w:szCs w:val="20"/>
              </w:rPr>
              <w:t>17</w:t>
            </w:r>
          </w:p>
        </w:tc>
      </w:tr>
      <w:tr w:rsidR="001B1953" w:rsidRPr="00D72A71" w:rsidTr="004C763D">
        <w:trPr>
          <w:trHeight w:val="20"/>
        </w:trPr>
        <w:tc>
          <w:tcPr>
            <w:tcW w:w="2500" w:type="dxa"/>
            <w:vMerge/>
            <w:vAlign w:val="center"/>
          </w:tcPr>
          <w:p w:rsidR="001B1953" w:rsidRPr="00D72A71" w:rsidRDefault="001B1953" w:rsidP="004C763D">
            <w:pPr>
              <w:jc w:val="both"/>
              <w:rPr>
                <w:color w:val="000000"/>
                <w:sz w:val="20"/>
                <w:szCs w:val="20"/>
              </w:rPr>
            </w:pPr>
          </w:p>
        </w:tc>
        <w:tc>
          <w:tcPr>
            <w:tcW w:w="2924" w:type="dxa"/>
          </w:tcPr>
          <w:p w:rsidR="001B1953" w:rsidRPr="00D72A71" w:rsidRDefault="001B1953" w:rsidP="004C763D">
            <w:pPr>
              <w:jc w:val="both"/>
              <w:rPr>
                <w:sz w:val="20"/>
                <w:szCs w:val="20"/>
              </w:rPr>
            </w:pPr>
            <w:r w:rsidRPr="00D72A71">
              <w:rPr>
                <w:sz w:val="20"/>
                <w:szCs w:val="20"/>
              </w:rPr>
              <w:t>Отделение радиоизотопной диагностики</w:t>
            </w:r>
          </w:p>
        </w:tc>
        <w:tc>
          <w:tcPr>
            <w:tcW w:w="3051" w:type="dxa"/>
          </w:tcPr>
          <w:p w:rsidR="001B1953" w:rsidRPr="00D72A71" w:rsidRDefault="002C235F" w:rsidP="004C763D">
            <w:pPr>
              <w:jc w:val="both"/>
              <w:rPr>
                <w:sz w:val="20"/>
                <w:szCs w:val="20"/>
              </w:rPr>
            </w:pPr>
            <w:r w:rsidRPr="00D72A71">
              <w:rPr>
                <w:color w:val="0D0D0D" w:themeColor="text1" w:themeTint="F2"/>
                <w:sz w:val="20"/>
                <w:szCs w:val="20"/>
                <w:shd w:val="clear" w:color="auto" w:fill="FFFFFF"/>
              </w:rPr>
              <w:t>Компьютерный томограф</w:t>
            </w:r>
            <w:r w:rsidR="001B1953" w:rsidRPr="00D72A71">
              <w:rPr>
                <w:color w:val="0D0D0D" w:themeColor="text1" w:themeTint="F2"/>
                <w:sz w:val="20"/>
                <w:szCs w:val="20"/>
              </w:rPr>
              <w:t xml:space="preserve"> (радиоизотопные исследования)</w:t>
            </w:r>
          </w:p>
        </w:tc>
        <w:tc>
          <w:tcPr>
            <w:tcW w:w="1720" w:type="dxa"/>
          </w:tcPr>
          <w:p w:rsidR="001B1953" w:rsidRPr="00D72A71" w:rsidRDefault="001B1953" w:rsidP="004C763D">
            <w:pPr>
              <w:jc w:val="center"/>
              <w:rPr>
                <w:sz w:val="20"/>
                <w:szCs w:val="20"/>
              </w:rPr>
            </w:pPr>
            <w:r w:rsidRPr="00D72A71">
              <w:rPr>
                <w:sz w:val="20"/>
                <w:szCs w:val="20"/>
              </w:rPr>
              <w:t>18</w:t>
            </w:r>
          </w:p>
        </w:tc>
      </w:tr>
      <w:tr w:rsidR="001B1953" w:rsidRPr="00D72A71" w:rsidTr="004C763D">
        <w:trPr>
          <w:trHeight w:val="20"/>
        </w:trPr>
        <w:tc>
          <w:tcPr>
            <w:tcW w:w="2500" w:type="dxa"/>
            <w:vMerge/>
            <w:vAlign w:val="center"/>
          </w:tcPr>
          <w:p w:rsidR="001B1953" w:rsidRPr="00D72A71" w:rsidRDefault="001B1953" w:rsidP="004C763D">
            <w:pPr>
              <w:jc w:val="both"/>
              <w:rPr>
                <w:color w:val="000000"/>
                <w:sz w:val="20"/>
                <w:szCs w:val="20"/>
              </w:rPr>
            </w:pPr>
          </w:p>
        </w:tc>
        <w:tc>
          <w:tcPr>
            <w:tcW w:w="2924" w:type="dxa"/>
          </w:tcPr>
          <w:p w:rsidR="001B1953" w:rsidRPr="00D72A71" w:rsidRDefault="001B1953" w:rsidP="004C763D">
            <w:pPr>
              <w:jc w:val="both"/>
              <w:rPr>
                <w:sz w:val="20"/>
                <w:szCs w:val="20"/>
              </w:rPr>
            </w:pPr>
            <w:r w:rsidRPr="00D72A71">
              <w:rPr>
                <w:sz w:val="20"/>
                <w:szCs w:val="20"/>
              </w:rPr>
              <w:t>Цитологическая лаборатория</w:t>
            </w:r>
          </w:p>
        </w:tc>
        <w:tc>
          <w:tcPr>
            <w:tcW w:w="3051" w:type="dxa"/>
          </w:tcPr>
          <w:p w:rsidR="001B1953" w:rsidRPr="00D72A71" w:rsidRDefault="00FA54BE" w:rsidP="00FA54BE">
            <w:pPr>
              <w:jc w:val="both"/>
              <w:rPr>
                <w:sz w:val="20"/>
                <w:szCs w:val="20"/>
              </w:rPr>
            </w:pPr>
            <w:r>
              <w:rPr>
                <w:sz w:val="20"/>
                <w:szCs w:val="20"/>
              </w:rPr>
              <w:t>Оборудование для ц</w:t>
            </w:r>
            <w:r w:rsidR="001B1953" w:rsidRPr="00D72A71">
              <w:rPr>
                <w:sz w:val="20"/>
                <w:szCs w:val="20"/>
              </w:rPr>
              <w:t>итологически</w:t>
            </w:r>
            <w:r>
              <w:rPr>
                <w:sz w:val="20"/>
                <w:szCs w:val="20"/>
              </w:rPr>
              <w:t>х исследований</w:t>
            </w:r>
          </w:p>
        </w:tc>
        <w:tc>
          <w:tcPr>
            <w:tcW w:w="1720" w:type="dxa"/>
          </w:tcPr>
          <w:p w:rsidR="001B1953" w:rsidRPr="00D72A71" w:rsidRDefault="001B1953" w:rsidP="004C763D">
            <w:pPr>
              <w:jc w:val="center"/>
              <w:rPr>
                <w:sz w:val="20"/>
                <w:szCs w:val="20"/>
              </w:rPr>
            </w:pPr>
            <w:r w:rsidRPr="00D72A71">
              <w:rPr>
                <w:sz w:val="20"/>
                <w:szCs w:val="20"/>
              </w:rPr>
              <w:t>285</w:t>
            </w:r>
          </w:p>
        </w:tc>
      </w:tr>
      <w:tr w:rsidR="001B1953" w:rsidRPr="00D72A71" w:rsidTr="004C763D">
        <w:trPr>
          <w:trHeight w:val="20"/>
        </w:trPr>
        <w:tc>
          <w:tcPr>
            <w:tcW w:w="2500" w:type="dxa"/>
            <w:vMerge/>
            <w:vAlign w:val="center"/>
          </w:tcPr>
          <w:p w:rsidR="001B1953" w:rsidRPr="00D72A71" w:rsidRDefault="001B1953" w:rsidP="004C763D">
            <w:pPr>
              <w:jc w:val="both"/>
              <w:rPr>
                <w:color w:val="000000"/>
                <w:sz w:val="20"/>
                <w:szCs w:val="20"/>
              </w:rPr>
            </w:pPr>
          </w:p>
        </w:tc>
        <w:tc>
          <w:tcPr>
            <w:tcW w:w="2924" w:type="dxa"/>
          </w:tcPr>
          <w:p w:rsidR="001B1953" w:rsidRPr="00D72A71" w:rsidRDefault="001B1953" w:rsidP="004C763D">
            <w:pPr>
              <w:jc w:val="both"/>
              <w:rPr>
                <w:sz w:val="20"/>
                <w:szCs w:val="20"/>
              </w:rPr>
            </w:pPr>
            <w:r w:rsidRPr="00D72A71">
              <w:rPr>
                <w:sz w:val="20"/>
                <w:szCs w:val="20"/>
              </w:rPr>
              <w:t>Патолого</w:t>
            </w:r>
            <w:r w:rsidR="00FA54BE">
              <w:rPr>
                <w:sz w:val="20"/>
                <w:szCs w:val="20"/>
              </w:rPr>
              <w:t>-</w:t>
            </w:r>
            <w:r w:rsidRPr="00D72A71">
              <w:rPr>
                <w:sz w:val="20"/>
                <w:szCs w:val="20"/>
              </w:rPr>
              <w:t>анатомическое отделение</w:t>
            </w:r>
          </w:p>
        </w:tc>
        <w:tc>
          <w:tcPr>
            <w:tcW w:w="3051" w:type="dxa"/>
          </w:tcPr>
          <w:p w:rsidR="001B1953" w:rsidRPr="00D72A71" w:rsidRDefault="000F14B6" w:rsidP="000F14B6">
            <w:pPr>
              <w:jc w:val="both"/>
              <w:rPr>
                <w:sz w:val="20"/>
                <w:szCs w:val="20"/>
              </w:rPr>
            </w:pPr>
            <w:r>
              <w:rPr>
                <w:sz w:val="20"/>
                <w:szCs w:val="20"/>
              </w:rPr>
              <w:t>Оборудование для п</w:t>
            </w:r>
            <w:r w:rsidR="001B1953" w:rsidRPr="00D72A71">
              <w:rPr>
                <w:sz w:val="20"/>
                <w:szCs w:val="20"/>
              </w:rPr>
              <w:t>атолого</w:t>
            </w:r>
            <w:r w:rsidR="00FA54BE">
              <w:rPr>
                <w:sz w:val="20"/>
                <w:szCs w:val="20"/>
              </w:rPr>
              <w:t>-</w:t>
            </w:r>
            <w:r w:rsidR="001B1953" w:rsidRPr="00D72A71">
              <w:rPr>
                <w:sz w:val="20"/>
                <w:szCs w:val="20"/>
              </w:rPr>
              <w:t>анатомически</w:t>
            </w:r>
            <w:r>
              <w:rPr>
                <w:sz w:val="20"/>
                <w:szCs w:val="20"/>
              </w:rPr>
              <w:t>х исследований</w:t>
            </w:r>
            <w:r w:rsidR="001B1953" w:rsidRPr="00D72A71">
              <w:rPr>
                <w:sz w:val="20"/>
                <w:szCs w:val="20"/>
              </w:rPr>
              <w:t xml:space="preserve"> </w:t>
            </w:r>
          </w:p>
        </w:tc>
        <w:tc>
          <w:tcPr>
            <w:tcW w:w="1720" w:type="dxa"/>
          </w:tcPr>
          <w:p w:rsidR="001B1953" w:rsidRPr="00D72A71" w:rsidRDefault="001B1953" w:rsidP="004C763D">
            <w:pPr>
              <w:jc w:val="center"/>
              <w:rPr>
                <w:sz w:val="20"/>
                <w:szCs w:val="20"/>
              </w:rPr>
            </w:pPr>
            <w:r w:rsidRPr="00D72A71">
              <w:rPr>
                <w:sz w:val="20"/>
                <w:szCs w:val="20"/>
              </w:rPr>
              <w:t>77</w:t>
            </w:r>
          </w:p>
        </w:tc>
      </w:tr>
      <w:tr w:rsidR="001B1953" w:rsidRPr="00D72A71" w:rsidTr="004C763D">
        <w:trPr>
          <w:trHeight w:val="20"/>
        </w:trPr>
        <w:tc>
          <w:tcPr>
            <w:tcW w:w="2500" w:type="dxa"/>
            <w:vMerge/>
            <w:vAlign w:val="center"/>
          </w:tcPr>
          <w:p w:rsidR="001B1953" w:rsidRPr="00D72A71" w:rsidRDefault="001B1953" w:rsidP="004C763D">
            <w:pPr>
              <w:jc w:val="both"/>
              <w:rPr>
                <w:color w:val="000000"/>
                <w:sz w:val="20"/>
                <w:szCs w:val="20"/>
              </w:rPr>
            </w:pPr>
          </w:p>
        </w:tc>
        <w:tc>
          <w:tcPr>
            <w:tcW w:w="2924" w:type="dxa"/>
          </w:tcPr>
          <w:p w:rsidR="001B1953" w:rsidRPr="00D72A71" w:rsidRDefault="001B1953" w:rsidP="004C763D">
            <w:pPr>
              <w:jc w:val="both"/>
              <w:rPr>
                <w:sz w:val="20"/>
                <w:szCs w:val="20"/>
              </w:rPr>
            </w:pPr>
            <w:r w:rsidRPr="00D72A71">
              <w:rPr>
                <w:sz w:val="20"/>
                <w:szCs w:val="20"/>
              </w:rPr>
              <w:t>Молекулярно-диагностическая лаборатория</w:t>
            </w:r>
          </w:p>
        </w:tc>
        <w:tc>
          <w:tcPr>
            <w:tcW w:w="3051" w:type="dxa"/>
          </w:tcPr>
          <w:p w:rsidR="001B1953" w:rsidRPr="00D72A71" w:rsidRDefault="0007693F" w:rsidP="000F14B6">
            <w:pPr>
              <w:jc w:val="both"/>
              <w:rPr>
                <w:sz w:val="20"/>
                <w:szCs w:val="20"/>
              </w:rPr>
            </w:pPr>
            <w:r>
              <w:rPr>
                <w:sz w:val="20"/>
                <w:szCs w:val="20"/>
              </w:rPr>
              <w:t>Оборудование для м</w:t>
            </w:r>
            <w:r w:rsidR="001B1953" w:rsidRPr="00D72A71">
              <w:rPr>
                <w:sz w:val="20"/>
                <w:szCs w:val="20"/>
              </w:rPr>
              <w:t>олекуярно-генетически</w:t>
            </w:r>
            <w:r w:rsidR="000F14B6">
              <w:rPr>
                <w:sz w:val="20"/>
                <w:szCs w:val="20"/>
              </w:rPr>
              <w:t>х исследовани</w:t>
            </w:r>
            <w:r w:rsidR="00AB0536">
              <w:rPr>
                <w:sz w:val="20"/>
                <w:szCs w:val="20"/>
              </w:rPr>
              <w:t>й</w:t>
            </w:r>
          </w:p>
        </w:tc>
        <w:tc>
          <w:tcPr>
            <w:tcW w:w="1720" w:type="dxa"/>
          </w:tcPr>
          <w:p w:rsidR="001B1953" w:rsidRPr="00D72A71" w:rsidRDefault="001B1953" w:rsidP="004C763D">
            <w:pPr>
              <w:jc w:val="center"/>
              <w:rPr>
                <w:sz w:val="20"/>
                <w:szCs w:val="20"/>
              </w:rPr>
            </w:pPr>
            <w:r w:rsidRPr="00D72A71">
              <w:rPr>
                <w:sz w:val="20"/>
                <w:szCs w:val="20"/>
              </w:rPr>
              <w:t>8</w:t>
            </w:r>
          </w:p>
        </w:tc>
      </w:tr>
      <w:tr w:rsidR="001B1953" w:rsidRPr="00D72A71" w:rsidTr="004C763D">
        <w:trPr>
          <w:trHeight w:val="20"/>
        </w:trPr>
        <w:tc>
          <w:tcPr>
            <w:tcW w:w="2500" w:type="dxa"/>
            <w:vMerge w:val="restart"/>
          </w:tcPr>
          <w:p w:rsidR="001B1953" w:rsidRPr="00D72A71" w:rsidRDefault="001B1953" w:rsidP="004C763D">
            <w:pPr>
              <w:jc w:val="both"/>
              <w:rPr>
                <w:color w:val="000000"/>
                <w:sz w:val="20"/>
                <w:szCs w:val="20"/>
              </w:rPr>
            </w:pPr>
            <w:r w:rsidRPr="00D72A71">
              <w:rPr>
                <w:color w:val="000000"/>
                <w:sz w:val="20"/>
                <w:szCs w:val="20"/>
              </w:rPr>
              <w:t>ГАУЗ «Детская республиканская клиническая больница» Министерства здравоохранения Республики Татарстан</w:t>
            </w:r>
          </w:p>
        </w:tc>
        <w:tc>
          <w:tcPr>
            <w:tcW w:w="2924" w:type="dxa"/>
            <w:tcBorders>
              <w:bottom w:val="single" w:sz="4" w:space="0" w:color="auto"/>
            </w:tcBorders>
          </w:tcPr>
          <w:p w:rsidR="001B1953" w:rsidRPr="00D72A71" w:rsidRDefault="001B1953" w:rsidP="004C763D">
            <w:pPr>
              <w:jc w:val="both"/>
              <w:rPr>
                <w:sz w:val="20"/>
                <w:szCs w:val="20"/>
              </w:rPr>
            </w:pPr>
            <w:r w:rsidRPr="00D72A71">
              <w:rPr>
                <w:sz w:val="20"/>
                <w:szCs w:val="20"/>
              </w:rPr>
              <w:t>Эндоскопическое отделение</w:t>
            </w:r>
          </w:p>
        </w:tc>
        <w:tc>
          <w:tcPr>
            <w:tcW w:w="3051" w:type="dxa"/>
            <w:tcBorders>
              <w:bottom w:val="single" w:sz="4" w:space="0" w:color="auto"/>
            </w:tcBorders>
          </w:tcPr>
          <w:p w:rsidR="001B1953" w:rsidRPr="00D72A71" w:rsidRDefault="001B1953" w:rsidP="004C763D">
            <w:pPr>
              <w:jc w:val="both"/>
              <w:rPr>
                <w:sz w:val="20"/>
                <w:szCs w:val="20"/>
              </w:rPr>
            </w:pPr>
            <w:r w:rsidRPr="00D72A71">
              <w:rPr>
                <w:sz w:val="20"/>
                <w:szCs w:val="20"/>
              </w:rPr>
              <w:t>Бронхоскоп</w:t>
            </w:r>
          </w:p>
        </w:tc>
        <w:tc>
          <w:tcPr>
            <w:tcW w:w="1720" w:type="dxa"/>
            <w:tcBorders>
              <w:bottom w:val="single" w:sz="4" w:space="0" w:color="auto"/>
            </w:tcBorders>
          </w:tcPr>
          <w:p w:rsidR="001B1953" w:rsidRPr="00D72A71" w:rsidRDefault="001B1953" w:rsidP="004C763D">
            <w:pPr>
              <w:jc w:val="center"/>
              <w:rPr>
                <w:sz w:val="20"/>
                <w:szCs w:val="20"/>
              </w:rPr>
            </w:pPr>
            <w:r w:rsidRPr="00D72A71">
              <w:rPr>
                <w:sz w:val="20"/>
                <w:szCs w:val="20"/>
              </w:rPr>
              <w:t>2,8</w:t>
            </w:r>
          </w:p>
        </w:tc>
      </w:tr>
      <w:tr w:rsidR="001B1953" w:rsidRPr="00D72A71" w:rsidTr="004C763D">
        <w:trPr>
          <w:trHeight w:val="20"/>
        </w:trPr>
        <w:tc>
          <w:tcPr>
            <w:tcW w:w="2500" w:type="dxa"/>
            <w:vMerge/>
            <w:vAlign w:val="center"/>
          </w:tcPr>
          <w:p w:rsidR="001B1953" w:rsidRPr="00D72A71" w:rsidRDefault="001B1953" w:rsidP="004C763D">
            <w:pPr>
              <w:jc w:val="both"/>
              <w:rPr>
                <w:color w:val="000000"/>
                <w:sz w:val="20"/>
                <w:szCs w:val="20"/>
              </w:rPr>
            </w:pPr>
          </w:p>
        </w:tc>
        <w:tc>
          <w:tcPr>
            <w:tcW w:w="2924" w:type="dxa"/>
          </w:tcPr>
          <w:p w:rsidR="001B1953" w:rsidRPr="00D72A71" w:rsidRDefault="001B1953" w:rsidP="004C763D">
            <w:pPr>
              <w:jc w:val="both"/>
              <w:rPr>
                <w:sz w:val="20"/>
                <w:szCs w:val="20"/>
              </w:rPr>
            </w:pPr>
            <w:r w:rsidRPr="00D72A71">
              <w:rPr>
                <w:sz w:val="20"/>
                <w:szCs w:val="20"/>
              </w:rPr>
              <w:t>Эндоскопическое отделение</w:t>
            </w:r>
          </w:p>
        </w:tc>
        <w:tc>
          <w:tcPr>
            <w:tcW w:w="3051" w:type="dxa"/>
          </w:tcPr>
          <w:p w:rsidR="001B1953" w:rsidRPr="00D72A71" w:rsidRDefault="001B1953" w:rsidP="004C763D">
            <w:pPr>
              <w:jc w:val="both"/>
              <w:rPr>
                <w:sz w:val="20"/>
                <w:szCs w:val="20"/>
              </w:rPr>
            </w:pPr>
            <w:r w:rsidRPr="00D72A71">
              <w:rPr>
                <w:sz w:val="20"/>
                <w:szCs w:val="20"/>
              </w:rPr>
              <w:t>Гастроскоп</w:t>
            </w:r>
          </w:p>
        </w:tc>
        <w:tc>
          <w:tcPr>
            <w:tcW w:w="1720" w:type="dxa"/>
          </w:tcPr>
          <w:p w:rsidR="001B1953" w:rsidRPr="00D72A71" w:rsidRDefault="001B1953" w:rsidP="004C763D">
            <w:pPr>
              <w:jc w:val="center"/>
              <w:rPr>
                <w:sz w:val="20"/>
                <w:szCs w:val="20"/>
              </w:rPr>
            </w:pPr>
            <w:r w:rsidRPr="00D72A71">
              <w:rPr>
                <w:sz w:val="20"/>
                <w:szCs w:val="20"/>
              </w:rPr>
              <w:t>12,2</w:t>
            </w:r>
          </w:p>
        </w:tc>
      </w:tr>
      <w:tr w:rsidR="001B1953" w:rsidRPr="00D72A71" w:rsidTr="004C763D">
        <w:trPr>
          <w:trHeight w:val="20"/>
        </w:trPr>
        <w:tc>
          <w:tcPr>
            <w:tcW w:w="2500" w:type="dxa"/>
            <w:vMerge/>
            <w:vAlign w:val="center"/>
          </w:tcPr>
          <w:p w:rsidR="001B1953" w:rsidRPr="00D72A71" w:rsidRDefault="001B1953" w:rsidP="004C763D">
            <w:pPr>
              <w:jc w:val="both"/>
              <w:rPr>
                <w:color w:val="000000"/>
                <w:sz w:val="20"/>
                <w:szCs w:val="20"/>
              </w:rPr>
            </w:pPr>
          </w:p>
        </w:tc>
        <w:tc>
          <w:tcPr>
            <w:tcW w:w="2924" w:type="dxa"/>
            <w:tcBorders>
              <w:bottom w:val="single" w:sz="4" w:space="0" w:color="auto"/>
            </w:tcBorders>
          </w:tcPr>
          <w:p w:rsidR="001B1953" w:rsidRPr="00D72A71" w:rsidRDefault="001B1953" w:rsidP="004C763D">
            <w:pPr>
              <w:jc w:val="both"/>
              <w:rPr>
                <w:sz w:val="20"/>
                <w:szCs w:val="20"/>
              </w:rPr>
            </w:pPr>
            <w:r w:rsidRPr="00D72A71">
              <w:rPr>
                <w:sz w:val="20"/>
                <w:szCs w:val="20"/>
              </w:rPr>
              <w:t>Эндоскопическое отделение</w:t>
            </w:r>
          </w:p>
        </w:tc>
        <w:tc>
          <w:tcPr>
            <w:tcW w:w="3051" w:type="dxa"/>
            <w:tcBorders>
              <w:bottom w:val="single" w:sz="4" w:space="0" w:color="auto"/>
            </w:tcBorders>
          </w:tcPr>
          <w:p w:rsidR="001B1953" w:rsidRPr="00D72A71" w:rsidRDefault="001B1953" w:rsidP="004C763D">
            <w:pPr>
              <w:jc w:val="both"/>
              <w:rPr>
                <w:sz w:val="20"/>
                <w:szCs w:val="20"/>
              </w:rPr>
            </w:pPr>
            <w:r w:rsidRPr="00D72A71">
              <w:rPr>
                <w:sz w:val="20"/>
                <w:szCs w:val="20"/>
              </w:rPr>
              <w:t>Колоноскоп</w:t>
            </w:r>
          </w:p>
        </w:tc>
        <w:tc>
          <w:tcPr>
            <w:tcW w:w="1720" w:type="dxa"/>
            <w:tcBorders>
              <w:bottom w:val="single" w:sz="4" w:space="0" w:color="auto"/>
            </w:tcBorders>
          </w:tcPr>
          <w:p w:rsidR="001B1953" w:rsidRPr="00D72A71" w:rsidRDefault="001B1953" w:rsidP="004C763D">
            <w:pPr>
              <w:jc w:val="center"/>
              <w:rPr>
                <w:sz w:val="20"/>
                <w:szCs w:val="20"/>
              </w:rPr>
            </w:pPr>
            <w:r w:rsidRPr="00D72A71">
              <w:rPr>
                <w:sz w:val="20"/>
                <w:szCs w:val="20"/>
              </w:rPr>
              <w:t>0,3</w:t>
            </w:r>
          </w:p>
        </w:tc>
      </w:tr>
      <w:tr w:rsidR="001B1953" w:rsidRPr="00D72A71" w:rsidTr="004C763D">
        <w:trPr>
          <w:trHeight w:val="20"/>
        </w:trPr>
        <w:tc>
          <w:tcPr>
            <w:tcW w:w="2500" w:type="dxa"/>
            <w:vMerge/>
            <w:vAlign w:val="center"/>
          </w:tcPr>
          <w:p w:rsidR="001B1953" w:rsidRPr="00D72A71" w:rsidRDefault="001B1953" w:rsidP="004C763D">
            <w:pPr>
              <w:jc w:val="both"/>
              <w:rPr>
                <w:color w:val="000000"/>
                <w:sz w:val="20"/>
                <w:szCs w:val="20"/>
              </w:rPr>
            </w:pPr>
          </w:p>
        </w:tc>
        <w:tc>
          <w:tcPr>
            <w:tcW w:w="2924" w:type="dxa"/>
            <w:tcBorders>
              <w:top w:val="single" w:sz="4" w:space="0" w:color="auto"/>
              <w:bottom w:val="single" w:sz="4" w:space="0" w:color="auto"/>
              <w:right w:val="single" w:sz="4" w:space="0" w:color="auto"/>
            </w:tcBorders>
          </w:tcPr>
          <w:p w:rsidR="001B1953" w:rsidRPr="00D72A71" w:rsidRDefault="001B1953" w:rsidP="004C763D">
            <w:pPr>
              <w:jc w:val="both"/>
              <w:rPr>
                <w:sz w:val="20"/>
                <w:szCs w:val="20"/>
              </w:rPr>
            </w:pPr>
            <w:r w:rsidRPr="00D72A71">
              <w:rPr>
                <w:sz w:val="20"/>
                <w:szCs w:val="20"/>
              </w:rPr>
              <w:t>Рентгенологическое отделение</w:t>
            </w:r>
          </w:p>
        </w:tc>
        <w:tc>
          <w:tcPr>
            <w:tcW w:w="3051" w:type="dxa"/>
            <w:tcBorders>
              <w:top w:val="single" w:sz="4" w:space="0" w:color="auto"/>
              <w:left w:val="single" w:sz="4" w:space="0" w:color="auto"/>
              <w:bottom w:val="single" w:sz="4" w:space="0" w:color="auto"/>
              <w:right w:val="single" w:sz="4" w:space="0" w:color="auto"/>
            </w:tcBorders>
          </w:tcPr>
          <w:p w:rsidR="001B1953" w:rsidRPr="00D72A71" w:rsidRDefault="001B1953" w:rsidP="004C763D">
            <w:pPr>
              <w:jc w:val="both"/>
              <w:rPr>
                <w:sz w:val="20"/>
                <w:szCs w:val="20"/>
              </w:rPr>
            </w:pPr>
            <w:r w:rsidRPr="00D72A71">
              <w:rPr>
                <w:sz w:val="20"/>
                <w:szCs w:val="20"/>
              </w:rPr>
              <w:t>Рентгенодиагностическое</w:t>
            </w:r>
            <w:r w:rsidR="00FA54BE">
              <w:rPr>
                <w:sz w:val="20"/>
                <w:szCs w:val="20"/>
              </w:rPr>
              <w:t xml:space="preserve"> оборудование</w:t>
            </w:r>
          </w:p>
        </w:tc>
        <w:tc>
          <w:tcPr>
            <w:tcW w:w="1720" w:type="dxa"/>
            <w:tcBorders>
              <w:top w:val="single" w:sz="4" w:space="0" w:color="auto"/>
              <w:left w:val="single" w:sz="4" w:space="0" w:color="auto"/>
              <w:bottom w:val="single" w:sz="4" w:space="0" w:color="auto"/>
              <w:right w:val="single" w:sz="4" w:space="0" w:color="auto"/>
            </w:tcBorders>
          </w:tcPr>
          <w:p w:rsidR="001B1953" w:rsidRPr="00D72A71" w:rsidRDefault="001B1953" w:rsidP="004C763D">
            <w:pPr>
              <w:jc w:val="center"/>
              <w:rPr>
                <w:sz w:val="20"/>
                <w:szCs w:val="20"/>
              </w:rPr>
            </w:pPr>
            <w:r w:rsidRPr="00D72A71">
              <w:rPr>
                <w:sz w:val="20"/>
                <w:szCs w:val="20"/>
              </w:rPr>
              <w:t>464</w:t>
            </w:r>
          </w:p>
        </w:tc>
      </w:tr>
      <w:tr w:rsidR="001B1953" w:rsidRPr="00D72A71" w:rsidTr="004C763D">
        <w:trPr>
          <w:trHeight w:val="20"/>
        </w:trPr>
        <w:tc>
          <w:tcPr>
            <w:tcW w:w="2500" w:type="dxa"/>
            <w:vMerge/>
            <w:vAlign w:val="center"/>
          </w:tcPr>
          <w:p w:rsidR="001B1953" w:rsidRPr="00D72A71" w:rsidRDefault="001B1953" w:rsidP="004C763D">
            <w:pPr>
              <w:jc w:val="both"/>
              <w:rPr>
                <w:color w:val="000000"/>
                <w:sz w:val="20"/>
                <w:szCs w:val="20"/>
              </w:rPr>
            </w:pPr>
          </w:p>
        </w:tc>
        <w:tc>
          <w:tcPr>
            <w:tcW w:w="2924" w:type="dxa"/>
            <w:tcBorders>
              <w:top w:val="single" w:sz="4" w:space="0" w:color="auto"/>
            </w:tcBorders>
          </w:tcPr>
          <w:p w:rsidR="001B1953" w:rsidRPr="00D72A71" w:rsidRDefault="001B1953" w:rsidP="004C763D">
            <w:pPr>
              <w:jc w:val="both"/>
              <w:rPr>
                <w:sz w:val="20"/>
                <w:szCs w:val="20"/>
              </w:rPr>
            </w:pPr>
            <w:r w:rsidRPr="00D72A71">
              <w:rPr>
                <w:sz w:val="20"/>
                <w:szCs w:val="20"/>
              </w:rPr>
              <w:t>Отделение ультразвуковой диагностики</w:t>
            </w:r>
          </w:p>
        </w:tc>
        <w:tc>
          <w:tcPr>
            <w:tcW w:w="3051" w:type="dxa"/>
            <w:tcBorders>
              <w:top w:val="single" w:sz="4" w:space="0" w:color="auto"/>
            </w:tcBorders>
          </w:tcPr>
          <w:p w:rsidR="001B1953" w:rsidRPr="00D72A71" w:rsidRDefault="001B1953" w:rsidP="004C763D">
            <w:pPr>
              <w:jc w:val="both"/>
              <w:rPr>
                <w:sz w:val="20"/>
                <w:szCs w:val="20"/>
              </w:rPr>
            </w:pPr>
            <w:r w:rsidRPr="00D72A71">
              <w:rPr>
                <w:sz w:val="20"/>
                <w:szCs w:val="20"/>
              </w:rPr>
              <w:t>Аппарат ультразвуковой диагностики</w:t>
            </w:r>
          </w:p>
        </w:tc>
        <w:tc>
          <w:tcPr>
            <w:tcW w:w="1720" w:type="dxa"/>
            <w:tcBorders>
              <w:top w:val="single" w:sz="4" w:space="0" w:color="auto"/>
            </w:tcBorders>
          </w:tcPr>
          <w:p w:rsidR="001B1953" w:rsidRPr="00D72A71" w:rsidRDefault="001B1953" w:rsidP="004C763D">
            <w:pPr>
              <w:jc w:val="center"/>
              <w:rPr>
                <w:sz w:val="20"/>
                <w:szCs w:val="20"/>
              </w:rPr>
            </w:pPr>
            <w:r w:rsidRPr="00D72A71">
              <w:rPr>
                <w:sz w:val="20"/>
                <w:szCs w:val="20"/>
              </w:rPr>
              <w:t>486,7</w:t>
            </w:r>
          </w:p>
        </w:tc>
      </w:tr>
      <w:tr w:rsidR="001B1953" w:rsidRPr="00D72A71" w:rsidTr="004C763D">
        <w:trPr>
          <w:trHeight w:val="20"/>
        </w:trPr>
        <w:tc>
          <w:tcPr>
            <w:tcW w:w="2500" w:type="dxa"/>
            <w:vMerge/>
            <w:vAlign w:val="center"/>
          </w:tcPr>
          <w:p w:rsidR="001B1953" w:rsidRPr="00D72A71" w:rsidRDefault="001B1953" w:rsidP="004C763D">
            <w:pPr>
              <w:jc w:val="both"/>
              <w:rPr>
                <w:color w:val="000000"/>
                <w:sz w:val="20"/>
                <w:szCs w:val="20"/>
              </w:rPr>
            </w:pPr>
          </w:p>
        </w:tc>
        <w:tc>
          <w:tcPr>
            <w:tcW w:w="2924" w:type="dxa"/>
          </w:tcPr>
          <w:p w:rsidR="001B1953" w:rsidRPr="00D72A71" w:rsidRDefault="001B1953" w:rsidP="004C763D">
            <w:pPr>
              <w:jc w:val="both"/>
              <w:rPr>
                <w:sz w:val="20"/>
                <w:szCs w:val="20"/>
              </w:rPr>
            </w:pPr>
            <w:r w:rsidRPr="00D72A71">
              <w:rPr>
                <w:sz w:val="20"/>
                <w:szCs w:val="20"/>
              </w:rPr>
              <w:t>Отделение магнитно-резонанс</w:t>
            </w:r>
            <w:r w:rsidR="00D72A71" w:rsidRPr="00D72A71">
              <w:rPr>
                <w:sz w:val="20"/>
                <w:szCs w:val="20"/>
              </w:rPr>
              <w:t>н</w:t>
            </w:r>
            <w:r w:rsidRPr="00D72A71">
              <w:rPr>
                <w:sz w:val="20"/>
                <w:szCs w:val="20"/>
              </w:rPr>
              <w:t>ой и компьютерной томографии</w:t>
            </w:r>
          </w:p>
        </w:tc>
        <w:tc>
          <w:tcPr>
            <w:tcW w:w="3051" w:type="dxa"/>
          </w:tcPr>
          <w:p w:rsidR="001B1953" w:rsidRPr="00D72A71" w:rsidRDefault="001B1953" w:rsidP="004C763D">
            <w:pPr>
              <w:jc w:val="both"/>
              <w:rPr>
                <w:sz w:val="20"/>
                <w:szCs w:val="20"/>
              </w:rPr>
            </w:pPr>
            <w:r w:rsidRPr="00D72A71">
              <w:rPr>
                <w:sz w:val="20"/>
                <w:szCs w:val="20"/>
              </w:rPr>
              <w:t>Компьютерный томограф</w:t>
            </w:r>
          </w:p>
        </w:tc>
        <w:tc>
          <w:tcPr>
            <w:tcW w:w="1720" w:type="dxa"/>
          </w:tcPr>
          <w:p w:rsidR="001B1953" w:rsidRPr="00D72A71" w:rsidRDefault="001B1953" w:rsidP="004C763D">
            <w:pPr>
              <w:jc w:val="center"/>
              <w:rPr>
                <w:sz w:val="20"/>
                <w:szCs w:val="20"/>
              </w:rPr>
            </w:pPr>
            <w:r w:rsidRPr="00D72A71">
              <w:rPr>
                <w:sz w:val="20"/>
                <w:szCs w:val="20"/>
              </w:rPr>
              <w:t>52</w:t>
            </w:r>
          </w:p>
        </w:tc>
      </w:tr>
      <w:tr w:rsidR="001B1953" w:rsidRPr="00D72A71" w:rsidTr="004C763D">
        <w:trPr>
          <w:trHeight w:val="20"/>
        </w:trPr>
        <w:tc>
          <w:tcPr>
            <w:tcW w:w="2500" w:type="dxa"/>
            <w:vMerge/>
            <w:vAlign w:val="center"/>
          </w:tcPr>
          <w:p w:rsidR="001B1953" w:rsidRPr="00D72A71" w:rsidRDefault="001B1953" w:rsidP="004C763D">
            <w:pPr>
              <w:jc w:val="both"/>
              <w:rPr>
                <w:color w:val="000000"/>
                <w:sz w:val="20"/>
                <w:szCs w:val="20"/>
              </w:rPr>
            </w:pPr>
          </w:p>
        </w:tc>
        <w:tc>
          <w:tcPr>
            <w:tcW w:w="2924" w:type="dxa"/>
          </w:tcPr>
          <w:p w:rsidR="001B1953" w:rsidRPr="00D72A71" w:rsidRDefault="001B1953" w:rsidP="004C763D">
            <w:pPr>
              <w:jc w:val="both"/>
              <w:rPr>
                <w:sz w:val="20"/>
                <w:szCs w:val="20"/>
              </w:rPr>
            </w:pPr>
            <w:r w:rsidRPr="00D72A71">
              <w:rPr>
                <w:sz w:val="20"/>
                <w:szCs w:val="20"/>
              </w:rPr>
              <w:t>Отделение магнитно-резонанс</w:t>
            </w:r>
            <w:r w:rsidR="00D72A71" w:rsidRPr="00D72A71">
              <w:rPr>
                <w:sz w:val="20"/>
                <w:szCs w:val="20"/>
              </w:rPr>
              <w:t>н</w:t>
            </w:r>
            <w:r w:rsidRPr="00D72A71">
              <w:rPr>
                <w:sz w:val="20"/>
                <w:szCs w:val="20"/>
              </w:rPr>
              <w:t>ой и компьютерной томографии</w:t>
            </w:r>
          </w:p>
        </w:tc>
        <w:tc>
          <w:tcPr>
            <w:tcW w:w="3051" w:type="dxa"/>
          </w:tcPr>
          <w:p w:rsidR="001B1953" w:rsidRPr="00D72A71" w:rsidRDefault="001B1953" w:rsidP="004C763D">
            <w:pPr>
              <w:jc w:val="both"/>
              <w:rPr>
                <w:sz w:val="20"/>
                <w:szCs w:val="20"/>
              </w:rPr>
            </w:pPr>
            <w:r w:rsidRPr="00D72A71">
              <w:rPr>
                <w:sz w:val="20"/>
                <w:szCs w:val="20"/>
              </w:rPr>
              <w:t>Магнитно-резонансный томограф</w:t>
            </w:r>
          </w:p>
        </w:tc>
        <w:tc>
          <w:tcPr>
            <w:tcW w:w="1720" w:type="dxa"/>
          </w:tcPr>
          <w:p w:rsidR="001B1953" w:rsidRPr="00D72A71" w:rsidRDefault="001B1953" w:rsidP="004C763D">
            <w:pPr>
              <w:jc w:val="center"/>
              <w:rPr>
                <w:sz w:val="20"/>
                <w:szCs w:val="20"/>
              </w:rPr>
            </w:pPr>
            <w:r w:rsidRPr="00D72A71">
              <w:rPr>
                <w:sz w:val="20"/>
                <w:szCs w:val="20"/>
              </w:rPr>
              <w:t>33</w:t>
            </w:r>
          </w:p>
        </w:tc>
      </w:tr>
    </w:tbl>
    <w:p w:rsidR="00745C6A" w:rsidRPr="00770307" w:rsidRDefault="00745C6A" w:rsidP="00745C6A"/>
    <w:p w:rsidR="00350D5C" w:rsidRDefault="00350D5C" w:rsidP="00350D5C">
      <w:pPr>
        <w:ind w:left="8508"/>
        <w:rPr>
          <w:sz w:val="28"/>
          <w:szCs w:val="28"/>
        </w:rPr>
      </w:pPr>
      <w:r w:rsidRPr="00151538">
        <w:rPr>
          <w:sz w:val="28"/>
          <w:szCs w:val="28"/>
        </w:rPr>
        <w:t xml:space="preserve">Таблица </w:t>
      </w:r>
      <w:r w:rsidR="00242ED7" w:rsidRPr="00151538">
        <w:rPr>
          <w:sz w:val="28"/>
          <w:szCs w:val="28"/>
        </w:rPr>
        <w:t>22.1</w:t>
      </w:r>
    </w:p>
    <w:p w:rsidR="00D72A71" w:rsidRPr="00770307" w:rsidRDefault="00D72A71" w:rsidP="00350D5C">
      <w:pPr>
        <w:ind w:left="8508"/>
        <w:rPr>
          <w:szCs w:val="28"/>
        </w:rPr>
      </w:pPr>
    </w:p>
    <w:p w:rsidR="00350D5C" w:rsidRPr="00500F8B" w:rsidRDefault="00350D5C" w:rsidP="00350D5C">
      <w:pPr>
        <w:jc w:val="center"/>
        <w:rPr>
          <w:sz w:val="28"/>
          <w:szCs w:val="28"/>
        </w:rPr>
      </w:pPr>
      <w:r w:rsidRPr="00500F8B">
        <w:rPr>
          <w:sz w:val="28"/>
          <w:szCs w:val="28"/>
        </w:rPr>
        <w:t>Лечебные подразделения медицинских организаций</w:t>
      </w:r>
    </w:p>
    <w:p w:rsidR="004E231B" w:rsidRDefault="004E231B" w:rsidP="00350D5C">
      <w:pPr>
        <w:rPr>
          <w:sz w:val="28"/>
          <w:szCs w:val="28"/>
        </w:rPr>
      </w:pPr>
    </w:p>
    <w:tbl>
      <w:tblPr>
        <w:tblStyle w:val="af1"/>
        <w:tblW w:w="0" w:type="auto"/>
        <w:tblBorders>
          <w:bottom w:val="none" w:sz="0" w:space="0" w:color="auto"/>
        </w:tblBorders>
        <w:tblLayout w:type="fixed"/>
        <w:tblLook w:val="04A0" w:firstRow="1" w:lastRow="0" w:firstColumn="1" w:lastColumn="0" w:noHBand="0" w:noVBand="1"/>
      </w:tblPr>
      <w:tblGrid>
        <w:gridCol w:w="2873"/>
        <w:gridCol w:w="3538"/>
        <w:gridCol w:w="1945"/>
        <w:gridCol w:w="1839"/>
      </w:tblGrid>
      <w:tr w:rsidR="002B38AD" w:rsidRPr="00E64D38" w:rsidTr="00E64D38">
        <w:trPr>
          <w:trHeight w:val="20"/>
        </w:trPr>
        <w:tc>
          <w:tcPr>
            <w:tcW w:w="2873" w:type="dxa"/>
          </w:tcPr>
          <w:p w:rsidR="002B38AD" w:rsidRPr="00E64D38" w:rsidRDefault="002B38AD" w:rsidP="00E64D38">
            <w:pPr>
              <w:jc w:val="center"/>
              <w:rPr>
                <w:sz w:val="20"/>
                <w:szCs w:val="20"/>
              </w:rPr>
            </w:pPr>
            <w:r w:rsidRPr="00E64D38">
              <w:rPr>
                <w:sz w:val="20"/>
                <w:szCs w:val="20"/>
              </w:rPr>
              <w:t>Наименование медицинской организации</w:t>
            </w:r>
          </w:p>
        </w:tc>
        <w:tc>
          <w:tcPr>
            <w:tcW w:w="3538" w:type="dxa"/>
          </w:tcPr>
          <w:p w:rsidR="000F14B6" w:rsidRDefault="002B38AD" w:rsidP="000F14B6">
            <w:pPr>
              <w:jc w:val="center"/>
              <w:rPr>
                <w:color w:val="000000"/>
                <w:sz w:val="20"/>
                <w:szCs w:val="20"/>
              </w:rPr>
            </w:pPr>
            <w:r w:rsidRPr="00E64D38">
              <w:rPr>
                <w:color w:val="000000"/>
                <w:sz w:val="20"/>
                <w:szCs w:val="20"/>
              </w:rPr>
              <w:t xml:space="preserve">Наименование структурного </w:t>
            </w:r>
          </w:p>
          <w:p w:rsidR="002B38AD" w:rsidRPr="00E64D38" w:rsidRDefault="002B38AD" w:rsidP="000F14B6">
            <w:pPr>
              <w:jc w:val="center"/>
              <w:rPr>
                <w:color w:val="000000"/>
                <w:sz w:val="20"/>
                <w:szCs w:val="20"/>
              </w:rPr>
            </w:pPr>
            <w:r w:rsidRPr="00E64D38">
              <w:rPr>
                <w:color w:val="000000"/>
                <w:sz w:val="20"/>
                <w:szCs w:val="20"/>
              </w:rPr>
              <w:t xml:space="preserve">подразделения </w:t>
            </w:r>
          </w:p>
        </w:tc>
        <w:tc>
          <w:tcPr>
            <w:tcW w:w="1945" w:type="dxa"/>
          </w:tcPr>
          <w:p w:rsidR="002B38AD" w:rsidRPr="00E64D38" w:rsidRDefault="002B38AD" w:rsidP="00E64D38">
            <w:pPr>
              <w:jc w:val="center"/>
              <w:rPr>
                <w:sz w:val="20"/>
                <w:szCs w:val="20"/>
              </w:rPr>
            </w:pPr>
            <w:r w:rsidRPr="00E64D38">
              <w:rPr>
                <w:sz w:val="20"/>
                <w:szCs w:val="20"/>
              </w:rPr>
              <w:t>Профиль коек</w:t>
            </w:r>
          </w:p>
        </w:tc>
        <w:tc>
          <w:tcPr>
            <w:tcW w:w="1839" w:type="dxa"/>
          </w:tcPr>
          <w:p w:rsidR="002B38AD" w:rsidRPr="00E64D38" w:rsidRDefault="002B38AD" w:rsidP="00E64D38">
            <w:pPr>
              <w:jc w:val="center"/>
              <w:rPr>
                <w:sz w:val="20"/>
                <w:szCs w:val="20"/>
              </w:rPr>
            </w:pPr>
            <w:r w:rsidRPr="00E64D38">
              <w:rPr>
                <w:sz w:val="20"/>
                <w:szCs w:val="20"/>
              </w:rPr>
              <w:t>Количество коек</w:t>
            </w:r>
          </w:p>
        </w:tc>
      </w:tr>
    </w:tbl>
    <w:p w:rsidR="00E64D38" w:rsidRPr="00E64D38" w:rsidRDefault="00E64D38">
      <w:pPr>
        <w:rPr>
          <w:sz w:val="2"/>
          <w:szCs w:val="2"/>
        </w:rPr>
      </w:pPr>
    </w:p>
    <w:tbl>
      <w:tblPr>
        <w:tblStyle w:val="af1"/>
        <w:tblW w:w="0" w:type="auto"/>
        <w:tblLayout w:type="fixed"/>
        <w:tblLook w:val="04A0" w:firstRow="1" w:lastRow="0" w:firstColumn="1" w:lastColumn="0" w:noHBand="0" w:noVBand="1"/>
      </w:tblPr>
      <w:tblGrid>
        <w:gridCol w:w="2873"/>
        <w:gridCol w:w="3538"/>
        <w:gridCol w:w="1945"/>
        <w:gridCol w:w="1839"/>
      </w:tblGrid>
      <w:tr w:rsidR="00151538" w:rsidRPr="00E64D38" w:rsidTr="00E64D38">
        <w:trPr>
          <w:trHeight w:val="20"/>
          <w:tblHeader/>
        </w:trPr>
        <w:tc>
          <w:tcPr>
            <w:tcW w:w="2873" w:type="dxa"/>
          </w:tcPr>
          <w:p w:rsidR="00151538" w:rsidRPr="00E64D38" w:rsidRDefault="00151538" w:rsidP="00E64D38">
            <w:pPr>
              <w:jc w:val="center"/>
              <w:rPr>
                <w:sz w:val="20"/>
                <w:szCs w:val="20"/>
              </w:rPr>
            </w:pPr>
            <w:r w:rsidRPr="00E64D38">
              <w:rPr>
                <w:sz w:val="20"/>
                <w:szCs w:val="20"/>
              </w:rPr>
              <w:t>1</w:t>
            </w:r>
          </w:p>
        </w:tc>
        <w:tc>
          <w:tcPr>
            <w:tcW w:w="3538" w:type="dxa"/>
          </w:tcPr>
          <w:p w:rsidR="00151538" w:rsidRPr="00E64D38" w:rsidRDefault="00151538" w:rsidP="00E64D38">
            <w:pPr>
              <w:jc w:val="center"/>
              <w:rPr>
                <w:color w:val="000000"/>
                <w:sz w:val="20"/>
                <w:szCs w:val="20"/>
              </w:rPr>
            </w:pPr>
            <w:r w:rsidRPr="00E64D38">
              <w:rPr>
                <w:color w:val="000000"/>
                <w:sz w:val="20"/>
                <w:szCs w:val="20"/>
              </w:rPr>
              <w:t>2</w:t>
            </w:r>
          </w:p>
        </w:tc>
        <w:tc>
          <w:tcPr>
            <w:tcW w:w="1945" w:type="dxa"/>
          </w:tcPr>
          <w:p w:rsidR="00151538" w:rsidRPr="00E64D38" w:rsidRDefault="00151538" w:rsidP="00E64D38">
            <w:pPr>
              <w:jc w:val="center"/>
              <w:rPr>
                <w:sz w:val="20"/>
                <w:szCs w:val="20"/>
              </w:rPr>
            </w:pPr>
            <w:r w:rsidRPr="00E64D38">
              <w:rPr>
                <w:sz w:val="20"/>
                <w:szCs w:val="20"/>
              </w:rPr>
              <w:t>3</w:t>
            </w:r>
          </w:p>
        </w:tc>
        <w:tc>
          <w:tcPr>
            <w:tcW w:w="1839" w:type="dxa"/>
          </w:tcPr>
          <w:p w:rsidR="00151538" w:rsidRPr="00E64D38" w:rsidRDefault="00151538" w:rsidP="00E64D38">
            <w:pPr>
              <w:jc w:val="center"/>
              <w:rPr>
                <w:sz w:val="20"/>
                <w:szCs w:val="20"/>
              </w:rPr>
            </w:pPr>
            <w:r w:rsidRPr="00E64D38">
              <w:rPr>
                <w:sz w:val="20"/>
                <w:szCs w:val="20"/>
              </w:rPr>
              <w:t>4</w:t>
            </w:r>
          </w:p>
        </w:tc>
      </w:tr>
      <w:tr w:rsidR="0007693F" w:rsidRPr="00E64D38" w:rsidTr="00E64D38">
        <w:trPr>
          <w:trHeight w:val="20"/>
        </w:trPr>
        <w:tc>
          <w:tcPr>
            <w:tcW w:w="2873" w:type="dxa"/>
          </w:tcPr>
          <w:p w:rsidR="0007693F" w:rsidRPr="00E64D38" w:rsidRDefault="0007693F" w:rsidP="0007693F">
            <w:pPr>
              <w:spacing w:line="235" w:lineRule="auto"/>
              <w:jc w:val="both"/>
              <w:rPr>
                <w:color w:val="000000"/>
                <w:sz w:val="20"/>
                <w:szCs w:val="20"/>
              </w:rPr>
            </w:pPr>
            <w:r w:rsidRPr="00E64D38">
              <w:rPr>
                <w:color w:val="000000"/>
                <w:sz w:val="20"/>
                <w:szCs w:val="20"/>
              </w:rPr>
              <w:t>ГАУЗ «Зеленодольская ЦРБ»</w:t>
            </w:r>
          </w:p>
        </w:tc>
        <w:tc>
          <w:tcPr>
            <w:tcW w:w="3538" w:type="dxa"/>
          </w:tcPr>
          <w:p w:rsidR="0007693F" w:rsidRPr="00E64D38" w:rsidRDefault="0007693F" w:rsidP="00DD2282">
            <w:pPr>
              <w:spacing w:line="235" w:lineRule="auto"/>
              <w:jc w:val="both"/>
              <w:rPr>
                <w:sz w:val="20"/>
                <w:szCs w:val="20"/>
              </w:rPr>
            </w:pPr>
            <w:r w:rsidRPr="00E64D38">
              <w:rPr>
                <w:sz w:val="20"/>
                <w:szCs w:val="20"/>
              </w:rPr>
              <w:t xml:space="preserve">Дневной стационар при </w:t>
            </w:r>
            <w:r w:rsidR="00DD2282">
              <w:rPr>
                <w:sz w:val="20"/>
                <w:szCs w:val="20"/>
              </w:rPr>
              <w:t>центре амбулаторной онкологической помощи</w:t>
            </w:r>
            <w:r w:rsidR="00DD2282">
              <w:rPr>
                <w:color w:val="000000"/>
                <w:sz w:val="20"/>
                <w:szCs w:val="20"/>
              </w:rPr>
              <w:t xml:space="preserve"> </w:t>
            </w:r>
          </w:p>
        </w:tc>
        <w:tc>
          <w:tcPr>
            <w:tcW w:w="1945" w:type="dxa"/>
          </w:tcPr>
          <w:p w:rsidR="0007693F" w:rsidRDefault="0007693F" w:rsidP="0007693F">
            <w:pPr>
              <w:jc w:val="both"/>
            </w:pPr>
            <w:r w:rsidRPr="00DD28AF">
              <w:rPr>
                <w:sz w:val="20"/>
                <w:szCs w:val="20"/>
              </w:rPr>
              <w:t>Онкологические (лекарственное противоопухолевое лечение)</w:t>
            </w:r>
          </w:p>
        </w:tc>
        <w:tc>
          <w:tcPr>
            <w:tcW w:w="1839" w:type="dxa"/>
          </w:tcPr>
          <w:p w:rsidR="0007693F" w:rsidRPr="002F0F29" w:rsidRDefault="0007693F" w:rsidP="0007693F">
            <w:pPr>
              <w:spacing w:line="235" w:lineRule="auto"/>
              <w:jc w:val="center"/>
              <w:rPr>
                <w:sz w:val="20"/>
                <w:szCs w:val="20"/>
              </w:rPr>
            </w:pPr>
            <w:r w:rsidRPr="002F0F29">
              <w:rPr>
                <w:sz w:val="20"/>
                <w:szCs w:val="20"/>
              </w:rPr>
              <w:t>10</w:t>
            </w:r>
          </w:p>
        </w:tc>
      </w:tr>
      <w:tr w:rsidR="0007693F" w:rsidRPr="00E64D38" w:rsidTr="00E64D38">
        <w:trPr>
          <w:trHeight w:val="20"/>
        </w:trPr>
        <w:tc>
          <w:tcPr>
            <w:tcW w:w="2873" w:type="dxa"/>
          </w:tcPr>
          <w:p w:rsidR="0007693F" w:rsidRPr="00E64D38" w:rsidRDefault="0007693F" w:rsidP="0007693F">
            <w:pPr>
              <w:spacing w:line="235" w:lineRule="auto"/>
              <w:jc w:val="both"/>
              <w:rPr>
                <w:color w:val="000000"/>
                <w:sz w:val="20"/>
                <w:szCs w:val="20"/>
              </w:rPr>
            </w:pPr>
            <w:r w:rsidRPr="00E64D38">
              <w:rPr>
                <w:color w:val="000000"/>
                <w:sz w:val="20"/>
                <w:szCs w:val="20"/>
              </w:rPr>
              <w:t>ГАУЗ «Нижнекамская центральная районная многопрофильная больница»</w:t>
            </w:r>
          </w:p>
        </w:tc>
        <w:tc>
          <w:tcPr>
            <w:tcW w:w="3538" w:type="dxa"/>
          </w:tcPr>
          <w:p w:rsidR="0007693F" w:rsidRPr="00E64D38" w:rsidRDefault="0007693F" w:rsidP="00DD2282">
            <w:pPr>
              <w:spacing w:line="235" w:lineRule="auto"/>
              <w:jc w:val="both"/>
              <w:rPr>
                <w:sz w:val="20"/>
                <w:szCs w:val="20"/>
              </w:rPr>
            </w:pPr>
            <w:r w:rsidRPr="00E64D38">
              <w:rPr>
                <w:sz w:val="20"/>
                <w:szCs w:val="20"/>
              </w:rPr>
              <w:t xml:space="preserve">Дневной стационар при </w:t>
            </w:r>
            <w:r w:rsidR="00DD2282">
              <w:rPr>
                <w:sz w:val="20"/>
                <w:szCs w:val="20"/>
              </w:rPr>
              <w:t>центре амбулаторной онкологической помощи</w:t>
            </w:r>
            <w:r w:rsidR="00DD2282">
              <w:rPr>
                <w:color w:val="000000"/>
                <w:sz w:val="20"/>
                <w:szCs w:val="20"/>
              </w:rPr>
              <w:t xml:space="preserve"> </w:t>
            </w:r>
          </w:p>
        </w:tc>
        <w:tc>
          <w:tcPr>
            <w:tcW w:w="1945" w:type="dxa"/>
          </w:tcPr>
          <w:p w:rsidR="0007693F" w:rsidRDefault="0007693F" w:rsidP="0007693F">
            <w:pPr>
              <w:jc w:val="both"/>
            </w:pPr>
            <w:r w:rsidRPr="00DD28AF">
              <w:rPr>
                <w:sz w:val="20"/>
                <w:szCs w:val="20"/>
              </w:rPr>
              <w:t>Онкологические (лекарственное противоопухолевое лечение)</w:t>
            </w:r>
          </w:p>
        </w:tc>
        <w:tc>
          <w:tcPr>
            <w:tcW w:w="1839" w:type="dxa"/>
          </w:tcPr>
          <w:p w:rsidR="0007693F" w:rsidRPr="002F0F29" w:rsidRDefault="00934F34" w:rsidP="00934F34">
            <w:pPr>
              <w:spacing w:line="235" w:lineRule="auto"/>
              <w:jc w:val="center"/>
              <w:rPr>
                <w:sz w:val="20"/>
                <w:szCs w:val="20"/>
              </w:rPr>
            </w:pPr>
            <w:r w:rsidRPr="002F0F29">
              <w:rPr>
                <w:sz w:val="20"/>
                <w:szCs w:val="20"/>
              </w:rPr>
              <w:t>25</w:t>
            </w:r>
          </w:p>
        </w:tc>
      </w:tr>
      <w:tr w:rsidR="0007693F" w:rsidRPr="00E64D38" w:rsidTr="00E64D38">
        <w:trPr>
          <w:trHeight w:val="20"/>
        </w:trPr>
        <w:tc>
          <w:tcPr>
            <w:tcW w:w="2873" w:type="dxa"/>
          </w:tcPr>
          <w:p w:rsidR="0007693F" w:rsidRPr="00E64D38" w:rsidRDefault="0007693F" w:rsidP="0007693F">
            <w:pPr>
              <w:spacing w:line="235" w:lineRule="auto"/>
              <w:jc w:val="both"/>
              <w:rPr>
                <w:color w:val="000000"/>
                <w:sz w:val="20"/>
                <w:szCs w:val="20"/>
              </w:rPr>
            </w:pPr>
            <w:r w:rsidRPr="00E64D38">
              <w:rPr>
                <w:color w:val="000000"/>
                <w:sz w:val="20"/>
                <w:szCs w:val="20"/>
              </w:rPr>
              <w:t>ГАУЗ «Бугульминская ЦРБ»</w:t>
            </w:r>
          </w:p>
        </w:tc>
        <w:tc>
          <w:tcPr>
            <w:tcW w:w="3538" w:type="dxa"/>
          </w:tcPr>
          <w:p w:rsidR="0007693F" w:rsidRPr="00E64D38" w:rsidRDefault="0007693F" w:rsidP="00DD2282">
            <w:pPr>
              <w:spacing w:line="235" w:lineRule="auto"/>
              <w:jc w:val="both"/>
              <w:rPr>
                <w:sz w:val="20"/>
                <w:szCs w:val="20"/>
              </w:rPr>
            </w:pPr>
            <w:r w:rsidRPr="00E64D38">
              <w:rPr>
                <w:sz w:val="20"/>
                <w:szCs w:val="20"/>
              </w:rPr>
              <w:t xml:space="preserve">Дневной стационар при </w:t>
            </w:r>
            <w:r w:rsidR="00DD2282">
              <w:rPr>
                <w:sz w:val="20"/>
                <w:szCs w:val="20"/>
              </w:rPr>
              <w:t>центре амбулаторной онкологической помощи</w:t>
            </w:r>
            <w:r w:rsidR="00DD2282">
              <w:rPr>
                <w:color w:val="000000"/>
                <w:sz w:val="20"/>
                <w:szCs w:val="20"/>
              </w:rPr>
              <w:t xml:space="preserve"> </w:t>
            </w:r>
          </w:p>
        </w:tc>
        <w:tc>
          <w:tcPr>
            <w:tcW w:w="1945" w:type="dxa"/>
          </w:tcPr>
          <w:p w:rsidR="0007693F" w:rsidRDefault="0007693F" w:rsidP="0007693F">
            <w:pPr>
              <w:jc w:val="both"/>
            </w:pPr>
            <w:r w:rsidRPr="00DD28AF">
              <w:rPr>
                <w:sz w:val="20"/>
                <w:szCs w:val="20"/>
              </w:rPr>
              <w:t>Онкологические (лекарственное противоопухолевое лечение)</w:t>
            </w:r>
          </w:p>
        </w:tc>
        <w:tc>
          <w:tcPr>
            <w:tcW w:w="1839" w:type="dxa"/>
          </w:tcPr>
          <w:p w:rsidR="0007693F" w:rsidRPr="002F0F29" w:rsidRDefault="00242C89" w:rsidP="0007693F">
            <w:pPr>
              <w:spacing w:line="235" w:lineRule="auto"/>
              <w:jc w:val="center"/>
              <w:rPr>
                <w:sz w:val="20"/>
                <w:szCs w:val="20"/>
              </w:rPr>
            </w:pPr>
            <w:r w:rsidRPr="002F0F29">
              <w:rPr>
                <w:sz w:val="20"/>
                <w:szCs w:val="20"/>
              </w:rPr>
              <w:t>5</w:t>
            </w:r>
          </w:p>
        </w:tc>
      </w:tr>
      <w:tr w:rsidR="0007693F" w:rsidRPr="00E64D38" w:rsidTr="00E64D38">
        <w:trPr>
          <w:trHeight w:val="20"/>
        </w:trPr>
        <w:tc>
          <w:tcPr>
            <w:tcW w:w="2873" w:type="dxa"/>
          </w:tcPr>
          <w:p w:rsidR="0007693F" w:rsidRPr="00E64D38" w:rsidRDefault="0007693F" w:rsidP="0007693F">
            <w:pPr>
              <w:spacing w:line="235" w:lineRule="auto"/>
              <w:jc w:val="both"/>
              <w:rPr>
                <w:color w:val="000000"/>
                <w:sz w:val="20"/>
                <w:szCs w:val="20"/>
              </w:rPr>
            </w:pPr>
            <w:r w:rsidRPr="00E64D38">
              <w:rPr>
                <w:color w:val="000000"/>
                <w:sz w:val="20"/>
                <w:szCs w:val="20"/>
              </w:rPr>
              <w:t>ГАУЗ «Сабинская ЦРБ»</w:t>
            </w:r>
          </w:p>
        </w:tc>
        <w:tc>
          <w:tcPr>
            <w:tcW w:w="3538" w:type="dxa"/>
          </w:tcPr>
          <w:p w:rsidR="0007693F" w:rsidRPr="00E64D38" w:rsidRDefault="0007693F" w:rsidP="00DD2282">
            <w:pPr>
              <w:spacing w:line="235" w:lineRule="auto"/>
              <w:jc w:val="both"/>
              <w:rPr>
                <w:sz w:val="20"/>
                <w:szCs w:val="20"/>
              </w:rPr>
            </w:pPr>
            <w:r w:rsidRPr="00E64D38">
              <w:rPr>
                <w:sz w:val="20"/>
                <w:szCs w:val="20"/>
              </w:rPr>
              <w:t xml:space="preserve">Дневной стационар при </w:t>
            </w:r>
            <w:r w:rsidR="00DD2282">
              <w:rPr>
                <w:sz w:val="20"/>
                <w:szCs w:val="20"/>
              </w:rPr>
              <w:t>центре амбулаторной онкологической помощи</w:t>
            </w:r>
            <w:r w:rsidR="00DD2282">
              <w:rPr>
                <w:color w:val="000000"/>
                <w:sz w:val="20"/>
                <w:szCs w:val="20"/>
              </w:rPr>
              <w:t xml:space="preserve"> </w:t>
            </w:r>
          </w:p>
        </w:tc>
        <w:tc>
          <w:tcPr>
            <w:tcW w:w="1945" w:type="dxa"/>
          </w:tcPr>
          <w:p w:rsidR="0007693F" w:rsidRDefault="0007693F" w:rsidP="0007693F">
            <w:pPr>
              <w:jc w:val="both"/>
              <w:rPr>
                <w:sz w:val="20"/>
                <w:szCs w:val="20"/>
              </w:rPr>
            </w:pPr>
            <w:r w:rsidRPr="00DD28AF">
              <w:rPr>
                <w:sz w:val="20"/>
                <w:szCs w:val="20"/>
              </w:rPr>
              <w:t>Онкологические (лекарственное противоопухолевое лечение)</w:t>
            </w:r>
          </w:p>
          <w:p w:rsidR="0007693F" w:rsidRDefault="0007693F" w:rsidP="0007693F">
            <w:pPr>
              <w:jc w:val="both"/>
            </w:pPr>
          </w:p>
        </w:tc>
        <w:tc>
          <w:tcPr>
            <w:tcW w:w="1839" w:type="dxa"/>
          </w:tcPr>
          <w:p w:rsidR="0007693F" w:rsidRPr="002F0F29" w:rsidRDefault="0007693F" w:rsidP="0007693F">
            <w:pPr>
              <w:spacing w:line="235" w:lineRule="auto"/>
              <w:jc w:val="center"/>
              <w:rPr>
                <w:sz w:val="20"/>
                <w:szCs w:val="20"/>
              </w:rPr>
            </w:pPr>
            <w:r w:rsidRPr="002F0F29">
              <w:rPr>
                <w:sz w:val="20"/>
                <w:szCs w:val="20"/>
              </w:rPr>
              <w:t>5</w:t>
            </w:r>
          </w:p>
        </w:tc>
      </w:tr>
      <w:tr w:rsidR="0007693F" w:rsidRPr="00E64D38" w:rsidTr="00E64D38">
        <w:trPr>
          <w:trHeight w:val="20"/>
        </w:trPr>
        <w:tc>
          <w:tcPr>
            <w:tcW w:w="2873" w:type="dxa"/>
          </w:tcPr>
          <w:p w:rsidR="0007693F" w:rsidRPr="00E64D38" w:rsidRDefault="0007693F" w:rsidP="0007693F">
            <w:pPr>
              <w:spacing w:line="235" w:lineRule="auto"/>
              <w:jc w:val="both"/>
              <w:rPr>
                <w:color w:val="000000"/>
                <w:sz w:val="20"/>
                <w:szCs w:val="20"/>
              </w:rPr>
            </w:pPr>
            <w:r w:rsidRPr="00E64D38">
              <w:rPr>
                <w:color w:val="000000"/>
                <w:sz w:val="20"/>
                <w:szCs w:val="20"/>
              </w:rPr>
              <w:t>ГАУЗ «Буинская ЦРБ»</w:t>
            </w:r>
          </w:p>
        </w:tc>
        <w:tc>
          <w:tcPr>
            <w:tcW w:w="3538" w:type="dxa"/>
          </w:tcPr>
          <w:p w:rsidR="0007693F" w:rsidRPr="00E64D38" w:rsidRDefault="0007693F" w:rsidP="006C25EE">
            <w:pPr>
              <w:spacing w:line="235" w:lineRule="auto"/>
              <w:jc w:val="both"/>
              <w:rPr>
                <w:sz w:val="20"/>
                <w:szCs w:val="20"/>
              </w:rPr>
            </w:pPr>
            <w:r w:rsidRPr="00E64D38">
              <w:rPr>
                <w:sz w:val="20"/>
                <w:szCs w:val="20"/>
              </w:rPr>
              <w:t>Дневной стационар</w:t>
            </w:r>
            <w:r>
              <w:rPr>
                <w:sz w:val="20"/>
                <w:szCs w:val="20"/>
              </w:rPr>
              <w:t xml:space="preserve"> </w:t>
            </w:r>
            <w:r w:rsidRPr="00E64D38">
              <w:rPr>
                <w:sz w:val="20"/>
                <w:szCs w:val="20"/>
              </w:rPr>
              <w:t xml:space="preserve">при </w:t>
            </w:r>
            <w:r w:rsidR="006C25EE">
              <w:rPr>
                <w:sz w:val="20"/>
                <w:szCs w:val="20"/>
              </w:rPr>
              <w:t>центре амбулаторной онкологической помощи</w:t>
            </w:r>
            <w:r w:rsidR="006C25EE">
              <w:rPr>
                <w:color w:val="000000"/>
                <w:sz w:val="20"/>
                <w:szCs w:val="20"/>
              </w:rPr>
              <w:t xml:space="preserve"> </w:t>
            </w:r>
          </w:p>
        </w:tc>
        <w:tc>
          <w:tcPr>
            <w:tcW w:w="1945" w:type="dxa"/>
          </w:tcPr>
          <w:p w:rsidR="0007693F" w:rsidRDefault="0007693F" w:rsidP="0007693F">
            <w:pPr>
              <w:jc w:val="both"/>
            </w:pPr>
            <w:r w:rsidRPr="00DD28AF">
              <w:rPr>
                <w:sz w:val="20"/>
                <w:szCs w:val="20"/>
              </w:rPr>
              <w:t>Онкологические (лекарственное противоопухолевое лечение)</w:t>
            </w:r>
          </w:p>
        </w:tc>
        <w:tc>
          <w:tcPr>
            <w:tcW w:w="1839" w:type="dxa"/>
          </w:tcPr>
          <w:p w:rsidR="0007693F" w:rsidRPr="002F0F29" w:rsidRDefault="00242C89" w:rsidP="0007693F">
            <w:pPr>
              <w:spacing w:line="235" w:lineRule="auto"/>
              <w:jc w:val="center"/>
              <w:rPr>
                <w:sz w:val="20"/>
                <w:szCs w:val="20"/>
              </w:rPr>
            </w:pPr>
            <w:r w:rsidRPr="002F0F29">
              <w:rPr>
                <w:sz w:val="20"/>
                <w:szCs w:val="20"/>
              </w:rPr>
              <w:t>6</w:t>
            </w:r>
          </w:p>
        </w:tc>
      </w:tr>
      <w:tr w:rsidR="0007693F" w:rsidRPr="00E64D38" w:rsidTr="00E64D38">
        <w:trPr>
          <w:trHeight w:val="20"/>
        </w:trPr>
        <w:tc>
          <w:tcPr>
            <w:tcW w:w="2873" w:type="dxa"/>
          </w:tcPr>
          <w:p w:rsidR="0007693F" w:rsidRPr="00E64D38" w:rsidRDefault="0007693F" w:rsidP="0007693F">
            <w:pPr>
              <w:spacing w:line="235" w:lineRule="auto"/>
              <w:jc w:val="both"/>
              <w:rPr>
                <w:color w:val="000000"/>
                <w:sz w:val="20"/>
                <w:szCs w:val="20"/>
              </w:rPr>
            </w:pPr>
            <w:r w:rsidRPr="00E64D38">
              <w:rPr>
                <w:color w:val="000000"/>
                <w:sz w:val="20"/>
                <w:szCs w:val="20"/>
              </w:rPr>
              <w:t>ГАУЗ «Чистопольская ЦРБ»</w:t>
            </w:r>
          </w:p>
        </w:tc>
        <w:tc>
          <w:tcPr>
            <w:tcW w:w="3538" w:type="dxa"/>
          </w:tcPr>
          <w:p w:rsidR="0007693F" w:rsidRPr="00E64D38" w:rsidRDefault="0007693F" w:rsidP="006C25EE">
            <w:pPr>
              <w:spacing w:line="235" w:lineRule="auto"/>
              <w:jc w:val="both"/>
              <w:rPr>
                <w:sz w:val="20"/>
                <w:szCs w:val="20"/>
              </w:rPr>
            </w:pPr>
            <w:r w:rsidRPr="00E64D38">
              <w:rPr>
                <w:sz w:val="20"/>
                <w:szCs w:val="20"/>
              </w:rPr>
              <w:t xml:space="preserve">Дневной стационар при </w:t>
            </w:r>
            <w:r w:rsidR="006C25EE">
              <w:rPr>
                <w:sz w:val="20"/>
                <w:szCs w:val="20"/>
              </w:rPr>
              <w:t>центре амбулаторной онкологической помощи</w:t>
            </w:r>
            <w:r w:rsidR="006C25EE">
              <w:rPr>
                <w:color w:val="000000"/>
                <w:sz w:val="20"/>
                <w:szCs w:val="20"/>
              </w:rPr>
              <w:t xml:space="preserve"> </w:t>
            </w:r>
          </w:p>
        </w:tc>
        <w:tc>
          <w:tcPr>
            <w:tcW w:w="1945" w:type="dxa"/>
          </w:tcPr>
          <w:p w:rsidR="0007693F" w:rsidRDefault="0007693F" w:rsidP="0007693F">
            <w:pPr>
              <w:jc w:val="both"/>
            </w:pPr>
            <w:r w:rsidRPr="00DD28AF">
              <w:rPr>
                <w:sz w:val="20"/>
                <w:szCs w:val="20"/>
              </w:rPr>
              <w:t>Онкологические (лекарственное противоопухолевое лечение)</w:t>
            </w:r>
          </w:p>
        </w:tc>
        <w:tc>
          <w:tcPr>
            <w:tcW w:w="1839" w:type="dxa"/>
          </w:tcPr>
          <w:p w:rsidR="0007693F" w:rsidRPr="002F0F29" w:rsidRDefault="0007693F" w:rsidP="0007693F">
            <w:pPr>
              <w:spacing w:line="235" w:lineRule="auto"/>
              <w:jc w:val="center"/>
              <w:rPr>
                <w:sz w:val="20"/>
                <w:szCs w:val="20"/>
              </w:rPr>
            </w:pPr>
            <w:r w:rsidRPr="002F0F29">
              <w:rPr>
                <w:sz w:val="20"/>
                <w:szCs w:val="20"/>
              </w:rPr>
              <w:t>4</w:t>
            </w:r>
          </w:p>
        </w:tc>
      </w:tr>
      <w:tr w:rsidR="0007693F" w:rsidRPr="00E64D38" w:rsidTr="00E64D38">
        <w:trPr>
          <w:trHeight w:val="20"/>
        </w:trPr>
        <w:tc>
          <w:tcPr>
            <w:tcW w:w="2873" w:type="dxa"/>
          </w:tcPr>
          <w:p w:rsidR="0007693F" w:rsidRPr="00E64D38" w:rsidRDefault="0007693F" w:rsidP="0007693F">
            <w:pPr>
              <w:jc w:val="both"/>
              <w:rPr>
                <w:color w:val="000000"/>
                <w:sz w:val="20"/>
                <w:szCs w:val="20"/>
              </w:rPr>
            </w:pPr>
            <w:r w:rsidRPr="00E64D38">
              <w:rPr>
                <w:color w:val="000000"/>
                <w:sz w:val="20"/>
                <w:szCs w:val="20"/>
              </w:rPr>
              <w:t>ГАУЗ «Арская ЦРБ»</w:t>
            </w:r>
          </w:p>
        </w:tc>
        <w:tc>
          <w:tcPr>
            <w:tcW w:w="3538" w:type="dxa"/>
          </w:tcPr>
          <w:p w:rsidR="0007693F" w:rsidRPr="00E64D38" w:rsidRDefault="0007693F" w:rsidP="005C348C">
            <w:pPr>
              <w:jc w:val="both"/>
              <w:rPr>
                <w:sz w:val="20"/>
                <w:szCs w:val="20"/>
              </w:rPr>
            </w:pPr>
            <w:r w:rsidRPr="00E64D38">
              <w:rPr>
                <w:sz w:val="20"/>
                <w:szCs w:val="20"/>
              </w:rPr>
              <w:t xml:space="preserve">Дневной стационар при </w:t>
            </w:r>
            <w:r w:rsidR="005C348C">
              <w:rPr>
                <w:sz w:val="20"/>
                <w:szCs w:val="20"/>
              </w:rPr>
              <w:t>центре амбулаторной онкологической помощи</w:t>
            </w:r>
            <w:r w:rsidR="005C348C">
              <w:rPr>
                <w:color w:val="000000"/>
                <w:sz w:val="20"/>
                <w:szCs w:val="20"/>
              </w:rPr>
              <w:t xml:space="preserve"> </w:t>
            </w:r>
          </w:p>
        </w:tc>
        <w:tc>
          <w:tcPr>
            <w:tcW w:w="1945" w:type="dxa"/>
          </w:tcPr>
          <w:p w:rsidR="0007693F" w:rsidRDefault="0007693F" w:rsidP="0007693F">
            <w:pPr>
              <w:jc w:val="both"/>
            </w:pPr>
            <w:r w:rsidRPr="00DD28AF">
              <w:rPr>
                <w:sz w:val="20"/>
                <w:szCs w:val="20"/>
              </w:rPr>
              <w:t>Онкологические (лекарственное противоопухолевое лечение)</w:t>
            </w:r>
          </w:p>
        </w:tc>
        <w:tc>
          <w:tcPr>
            <w:tcW w:w="1839" w:type="dxa"/>
          </w:tcPr>
          <w:p w:rsidR="0007693F" w:rsidRPr="002F0F29" w:rsidRDefault="00242C89" w:rsidP="0007693F">
            <w:pPr>
              <w:jc w:val="center"/>
              <w:rPr>
                <w:sz w:val="20"/>
                <w:szCs w:val="20"/>
              </w:rPr>
            </w:pPr>
            <w:r w:rsidRPr="002F0F29">
              <w:rPr>
                <w:sz w:val="20"/>
                <w:szCs w:val="20"/>
              </w:rPr>
              <w:t>6</w:t>
            </w:r>
          </w:p>
        </w:tc>
      </w:tr>
      <w:tr w:rsidR="0007693F" w:rsidRPr="00E64D38" w:rsidTr="00E64D38">
        <w:trPr>
          <w:trHeight w:val="20"/>
        </w:trPr>
        <w:tc>
          <w:tcPr>
            <w:tcW w:w="2873" w:type="dxa"/>
          </w:tcPr>
          <w:p w:rsidR="0007693F" w:rsidRPr="00E64D38" w:rsidRDefault="0007693F" w:rsidP="0007693F">
            <w:pPr>
              <w:autoSpaceDE/>
              <w:autoSpaceDN/>
              <w:adjustRightInd/>
              <w:jc w:val="both"/>
              <w:rPr>
                <w:color w:val="000000"/>
                <w:sz w:val="20"/>
                <w:szCs w:val="20"/>
              </w:rPr>
            </w:pPr>
            <w:r w:rsidRPr="00E64D38">
              <w:rPr>
                <w:color w:val="000000"/>
                <w:sz w:val="20"/>
                <w:szCs w:val="20"/>
              </w:rPr>
              <w:t xml:space="preserve">ГАУЗ «Апастовская ЦРБ» </w:t>
            </w:r>
          </w:p>
        </w:tc>
        <w:tc>
          <w:tcPr>
            <w:tcW w:w="3538" w:type="dxa"/>
          </w:tcPr>
          <w:p w:rsidR="0007693F" w:rsidRPr="00E64D38" w:rsidRDefault="0007693F" w:rsidP="0007693F">
            <w:pPr>
              <w:autoSpaceDE/>
              <w:autoSpaceDN/>
              <w:adjustRightInd/>
              <w:jc w:val="both"/>
              <w:rPr>
                <w:color w:val="000000"/>
                <w:sz w:val="20"/>
                <w:szCs w:val="20"/>
              </w:rPr>
            </w:pPr>
            <w:r w:rsidRPr="00E64D38">
              <w:rPr>
                <w:color w:val="000000"/>
                <w:sz w:val="20"/>
                <w:szCs w:val="20"/>
              </w:rPr>
              <w:t>Дневной стационар противоопухолевой лекарственной терапии</w:t>
            </w:r>
          </w:p>
        </w:tc>
        <w:tc>
          <w:tcPr>
            <w:tcW w:w="1945" w:type="dxa"/>
          </w:tcPr>
          <w:p w:rsidR="0007693F" w:rsidRDefault="0007693F" w:rsidP="0007693F">
            <w:pPr>
              <w:jc w:val="both"/>
            </w:pPr>
            <w:r w:rsidRPr="00DD28AF">
              <w:rPr>
                <w:sz w:val="20"/>
                <w:szCs w:val="20"/>
              </w:rPr>
              <w:t>Онкологические (лекарственное противоопухолевое лечение)</w:t>
            </w:r>
          </w:p>
        </w:tc>
        <w:tc>
          <w:tcPr>
            <w:tcW w:w="1839" w:type="dxa"/>
          </w:tcPr>
          <w:p w:rsidR="0007693F" w:rsidRPr="002F0F29" w:rsidRDefault="0007693F" w:rsidP="0007693F">
            <w:pPr>
              <w:jc w:val="center"/>
              <w:rPr>
                <w:sz w:val="20"/>
                <w:szCs w:val="20"/>
              </w:rPr>
            </w:pPr>
            <w:r w:rsidRPr="002F0F29">
              <w:rPr>
                <w:sz w:val="20"/>
                <w:szCs w:val="20"/>
              </w:rPr>
              <w:t>4</w:t>
            </w:r>
          </w:p>
        </w:tc>
      </w:tr>
      <w:tr w:rsidR="0007693F" w:rsidRPr="00E64D38" w:rsidTr="00E64D38">
        <w:trPr>
          <w:trHeight w:val="20"/>
        </w:trPr>
        <w:tc>
          <w:tcPr>
            <w:tcW w:w="2873" w:type="dxa"/>
          </w:tcPr>
          <w:p w:rsidR="0007693F" w:rsidRPr="00E64D38" w:rsidRDefault="0007693F" w:rsidP="0007693F">
            <w:pPr>
              <w:autoSpaceDE/>
              <w:autoSpaceDN/>
              <w:adjustRightInd/>
              <w:jc w:val="both"/>
              <w:rPr>
                <w:color w:val="000000"/>
                <w:sz w:val="20"/>
                <w:szCs w:val="20"/>
              </w:rPr>
            </w:pPr>
            <w:r w:rsidRPr="00E64D38">
              <w:rPr>
                <w:color w:val="000000"/>
                <w:sz w:val="20"/>
                <w:szCs w:val="20"/>
              </w:rPr>
              <w:t>ГАУЗ «Мамадышская ЦРБ»</w:t>
            </w:r>
          </w:p>
          <w:p w:rsidR="0007693F" w:rsidRPr="00E64D38" w:rsidRDefault="0007693F" w:rsidP="0007693F">
            <w:pPr>
              <w:autoSpaceDE/>
              <w:autoSpaceDN/>
              <w:adjustRightInd/>
              <w:jc w:val="both"/>
              <w:rPr>
                <w:color w:val="000000"/>
                <w:sz w:val="20"/>
                <w:szCs w:val="20"/>
              </w:rPr>
            </w:pPr>
          </w:p>
        </w:tc>
        <w:tc>
          <w:tcPr>
            <w:tcW w:w="3538" w:type="dxa"/>
          </w:tcPr>
          <w:p w:rsidR="0007693F" w:rsidRPr="00E64D38" w:rsidRDefault="0007693F" w:rsidP="0007693F">
            <w:pPr>
              <w:autoSpaceDE/>
              <w:autoSpaceDN/>
              <w:adjustRightInd/>
              <w:jc w:val="both"/>
              <w:rPr>
                <w:color w:val="000000"/>
                <w:sz w:val="20"/>
                <w:szCs w:val="20"/>
              </w:rPr>
            </w:pPr>
            <w:r w:rsidRPr="00E64D38">
              <w:rPr>
                <w:color w:val="000000"/>
                <w:sz w:val="20"/>
                <w:szCs w:val="20"/>
              </w:rPr>
              <w:t>Дневной стационар противоопухолевой лекарственной терапии</w:t>
            </w:r>
          </w:p>
        </w:tc>
        <w:tc>
          <w:tcPr>
            <w:tcW w:w="1945" w:type="dxa"/>
          </w:tcPr>
          <w:p w:rsidR="0007693F" w:rsidRDefault="0007693F" w:rsidP="0007693F">
            <w:pPr>
              <w:jc w:val="both"/>
            </w:pPr>
            <w:r w:rsidRPr="00DD28AF">
              <w:rPr>
                <w:sz w:val="20"/>
                <w:szCs w:val="20"/>
              </w:rPr>
              <w:t>Онкологические (лекарственное противоопухолевое лечение)</w:t>
            </w:r>
          </w:p>
        </w:tc>
        <w:tc>
          <w:tcPr>
            <w:tcW w:w="1839" w:type="dxa"/>
          </w:tcPr>
          <w:p w:rsidR="0007693F" w:rsidRPr="002F0F29" w:rsidRDefault="0007693F" w:rsidP="0007693F">
            <w:pPr>
              <w:jc w:val="center"/>
              <w:rPr>
                <w:sz w:val="20"/>
                <w:szCs w:val="20"/>
              </w:rPr>
            </w:pPr>
            <w:r w:rsidRPr="002F0F29">
              <w:rPr>
                <w:sz w:val="20"/>
                <w:szCs w:val="20"/>
              </w:rPr>
              <w:t>2</w:t>
            </w:r>
          </w:p>
        </w:tc>
      </w:tr>
      <w:tr w:rsidR="00151538" w:rsidRPr="00E64D38" w:rsidTr="00E64D38">
        <w:trPr>
          <w:trHeight w:val="20"/>
        </w:trPr>
        <w:tc>
          <w:tcPr>
            <w:tcW w:w="2873" w:type="dxa"/>
            <w:vMerge w:val="restart"/>
          </w:tcPr>
          <w:p w:rsidR="00151538" w:rsidRPr="00E64D38" w:rsidRDefault="00151538" w:rsidP="00E64D38">
            <w:pPr>
              <w:autoSpaceDE/>
              <w:autoSpaceDN/>
              <w:adjustRightInd/>
              <w:jc w:val="both"/>
              <w:rPr>
                <w:color w:val="000000"/>
                <w:sz w:val="20"/>
                <w:szCs w:val="20"/>
              </w:rPr>
            </w:pPr>
            <w:r w:rsidRPr="00E64D38">
              <w:rPr>
                <w:color w:val="000000"/>
                <w:sz w:val="20"/>
                <w:szCs w:val="20"/>
              </w:rPr>
              <w:t xml:space="preserve">ГАУЗ «Зеленодольская ЦРБ» </w:t>
            </w:r>
          </w:p>
        </w:tc>
        <w:tc>
          <w:tcPr>
            <w:tcW w:w="3538" w:type="dxa"/>
          </w:tcPr>
          <w:p w:rsidR="00151538" w:rsidRPr="00E64D38" w:rsidRDefault="00151538" w:rsidP="00E64D38">
            <w:pPr>
              <w:jc w:val="both"/>
              <w:rPr>
                <w:sz w:val="20"/>
                <w:szCs w:val="20"/>
              </w:rPr>
            </w:pPr>
            <w:r w:rsidRPr="00E64D38">
              <w:rPr>
                <w:sz w:val="20"/>
                <w:szCs w:val="20"/>
              </w:rPr>
              <w:t>Отделение абдоминальной онкологии</w:t>
            </w:r>
          </w:p>
        </w:tc>
        <w:tc>
          <w:tcPr>
            <w:tcW w:w="1945" w:type="dxa"/>
          </w:tcPr>
          <w:p w:rsidR="00151538" w:rsidRPr="00E64D38" w:rsidRDefault="00151538" w:rsidP="00E64D38">
            <w:pPr>
              <w:jc w:val="both"/>
              <w:rPr>
                <w:sz w:val="20"/>
                <w:szCs w:val="20"/>
              </w:rPr>
            </w:pPr>
            <w:r w:rsidRPr="00E64D38">
              <w:rPr>
                <w:sz w:val="20"/>
                <w:szCs w:val="20"/>
              </w:rPr>
              <w:t>Онкологические абдоминальные</w:t>
            </w:r>
          </w:p>
        </w:tc>
        <w:tc>
          <w:tcPr>
            <w:tcW w:w="1839" w:type="dxa"/>
          </w:tcPr>
          <w:p w:rsidR="00151538" w:rsidRPr="002F0F29" w:rsidRDefault="00151538" w:rsidP="00E64D38">
            <w:pPr>
              <w:jc w:val="center"/>
              <w:rPr>
                <w:sz w:val="20"/>
                <w:szCs w:val="20"/>
              </w:rPr>
            </w:pPr>
            <w:r w:rsidRPr="002F0F29">
              <w:rPr>
                <w:sz w:val="20"/>
                <w:szCs w:val="20"/>
              </w:rPr>
              <w:t>25</w:t>
            </w:r>
          </w:p>
        </w:tc>
      </w:tr>
      <w:tr w:rsidR="00151538" w:rsidRPr="00E64D38" w:rsidTr="00E64D38">
        <w:trPr>
          <w:trHeight w:val="20"/>
        </w:trPr>
        <w:tc>
          <w:tcPr>
            <w:tcW w:w="2873" w:type="dxa"/>
            <w:vMerge/>
            <w:vAlign w:val="center"/>
          </w:tcPr>
          <w:p w:rsidR="00151538" w:rsidRPr="00E64D38" w:rsidRDefault="00151538" w:rsidP="00E64D38">
            <w:pPr>
              <w:autoSpaceDE/>
              <w:autoSpaceDN/>
              <w:adjustRightInd/>
              <w:jc w:val="both"/>
              <w:rPr>
                <w:color w:val="000000"/>
                <w:sz w:val="20"/>
                <w:szCs w:val="20"/>
              </w:rPr>
            </w:pPr>
          </w:p>
        </w:tc>
        <w:tc>
          <w:tcPr>
            <w:tcW w:w="3538" w:type="dxa"/>
          </w:tcPr>
          <w:p w:rsidR="00151538" w:rsidRPr="00E64D38" w:rsidRDefault="00151538" w:rsidP="00691E09">
            <w:pPr>
              <w:jc w:val="both"/>
              <w:rPr>
                <w:sz w:val="20"/>
                <w:szCs w:val="20"/>
              </w:rPr>
            </w:pPr>
            <w:r w:rsidRPr="00E64D38">
              <w:rPr>
                <w:sz w:val="20"/>
                <w:szCs w:val="20"/>
              </w:rPr>
              <w:t>Отделение лекарственно</w:t>
            </w:r>
            <w:r w:rsidR="00691E09">
              <w:rPr>
                <w:sz w:val="20"/>
                <w:szCs w:val="20"/>
              </w:rPr>
              <w:t>й</w:t>
            </w:r>
            <w:r w:rsidRPr="00E64D38">
              <w:rPr>
                <w:sz w:val="20"/>
                <w:szCs w:val="20"/>
              </w:rPr>
              <w:t xml:space="preserve"> противоопухолевой терапии</w:t>
            </w:r>
          </w:p>
        </w:tc>
        <w:tc>
          <w:tcPr>
            <w:tcW w:w="1945" w:type="dxa"/>
          </w:tcPr>
          <w:p w:rsidR="00151538" w:rsidRPr="00E64D38" w:rsidRDefault="00151538" w:rsidP="00E64D38">
            <w:pPr>
              <w:jc w:val="both"/>
              <w:rPr>
                <w:sz w:val="20"/>
                <w:szCs w:val="20"/>
              </w:rPr>
            </w:pPr>
            <w:r w:rsidRPr="00E64D38">
              <w:rPr>
                <w:sz w:val="20"/>
                <w:szCs w:val="20"/>
              </w:rPr>
              <w:t>Онкологические (лекарственное противоопухолевое лечение)</w:t>
            </w:r>
          </w:p>
        </w:tc>
        <w:tc>
          <w:tcPr>
            <w:tcW w:w="1839" w:type="dxa"/>
          </w:tcPr>
          <w:p w:rsidR="00151538" w:rsidRPr="002F0F29" w:rsidRDefault="00151538" w:rsidP="00E64D38">
            <w:pPr>
              <w:jc w:val="center"/>
              <w:rPr>
                <w:sz w:val="20"/>
                <w:szCs w:val="20"/>
              </w:rPr>
            </w:pPr>
            <w:r w:rsidRPr="002F0F29">
              <w:rPr>
                <w:sz w:val="20"/>
                <w:szCs w:val="20"/>
              </w:rPr>
              <w:t>20</w:t>
            </w:r>
          </w:p>
        </w:tc>
      </w:tr>
      <w:tr w:rsidR="00FB362E" w:rsidRPr="00E64D38" w:rsidTr="0000154E">
        <w:trPr>
          <w:trHeight w:val="690"/>
        </w:trPr>
        <w:tc>
          <w:tcPr>
            <w:tcW w:w="2873" w:type="dxa"/>
          </w:tcPr>
          <w:p w:rsidR="00FB362E" w:rsidRPr="00E64D38" w:rsidRDefault="00FB362E" w:rsidP="00E64D38">
            <w:pPr>
              <w:autoSpaceDE/>
              <w:autoSpaceDN/>
              <w:adjustRightInd/>
              <w:jc w:val="both"/>
              <w:rPr>
                <w:color w:val="000000"/>
                <w:sz w:val="20"/>
                <w:szCs w:val="20"/>
              </w:rPr>
            </w:pPr>
            <w:r w:rsidRPr="00E64D38">
              <w:rPr>
                <w:color w:val="000000"/>
                <w:sz w:val="20"/>
                <w:szCs w:val="20"/>
              </w:rPr>
              <w:t>ГАУЗ «Нижнекамская центральная районная многопрофильная больница»</w:t>
            </w:r>
          </w:p>
        </w:tc>
        <w:tc>
          <w:tcPr>
            <w:tcW w:w="3538" w:type="dxa"/>
          </w:tcPr>
          <w:p w:rsidR="00FB362E" w:rsidRDefault="00FB362E" w:rsidP="00E64D38">
            <w:pPr>
              <w:jc w:val="both"/>
              <w:rPr>
                <w:sz w:val="20"/>
                <w:szCs w:val="20"/>
              </w:rPr>
            </w:pPr>
            <w:r w:rsidRPr="00E64D38">
              <w:rPr>
                <w:sz w:val="20"/>
                <w:szCs w:val="20"/>
              </w:rPr>
              <w:t>Отделение абдоминальной онкологии</w:t>
            </w:r>
          </w:p>
          <w:p w:rsidR="00FB362E" w:rsidRDefault="00FB362E" w:rsidP="00E64D38">
            <w:pPr>
              <w:jc w:val="both"/>
              <w:rPr>
                <w:sz w:val="20"/>
                <w:szCs w:val="20"/>
              </w:rPr>
            </w:pPr>
          </w:p>
          <w:p w:rsidR="00FB362E" w:rsidRPr="00E64D38" w:rsidRDefault="00FB362E" w:rsidP="00E64D38">
            <w:pPr>
              <w:jc w:val="both"/>
              <w:rPr>
                <w:sz w:val="20"/>
                <w:szCs w:val="20"/>
              </w:rPr>
            </w:pPr>
          </w:p>
        </w:tc>
        <w:tc>
          <w:tcPr>
            <w:tcW w:w="1945" w:type="dxa"/>
          </w:tcPr>
          <w:p w:rsidR="00FB362E" w:rsidRPr="00E64D38" w:rsidRDefault="00FB362E" w:rsidP="00E64D38">
            <w:pPr>
              <w:jc w:val="both"/>
              <w:rPr>
                <w:sz w:val="20"/>
                <w:szCs w:val="20"/>
              </w:rPr>
            </w:pPr>
            <w:r w:rsidRPr="00E64D38">
              <w:rPr>
                <w:sz w:val="20"/>
                <w:szCs w:val="20"/>
              </w:rPr>
              <w:t>Онкологические абдоминальные</w:t>
            </w:r>
          </w:p>
        </w:tc>
        <w:tc>
          <w:tcPr>
            <w:tcW w:w="1839" w:type="dxa"/>
          </w:tcPr>
          <w:p w:rsidR="00FB362E" w:rsidRPr="002F0F29" w:rsidRDefault="00FB362E" w:rsidP="00E64D38">
            <w:pPr>
              <w:jc w:val="center"/>
              <w:rPr>
                <w:sz w:val="20"/>
                <w:szCs w:val="20"/>
              </w:rPr>
            </w:pPr>
            <w:r w:rsidRPr="002F0F29">
              <w:rPr>
                <w:sz w:val="20"/>
                <w:szCs w:val="20"/>
              </w:rPr>
              <w:t>25</w:t>
            </w:r>
          </w:p>
        </w:tc>
      </w:tr>
      <w:tr w:rsidR="00763B4E" w:rsidRPr="00E64D38" w:rsidTr="00E64D38">
        <w:trPr>
          <w:trHeight w:val="20"/>
        </w:trPr>
        <w:tc>
          <w:tcPr>
            <w:tcW w:w="2873" w:type="dxa"/>
            <w:vMerge w:val="restart"/>
          </w:tcPr>
          <w:p w:rsidR="00763B4E" w:rsidRPr="00E64D38" w:rsidRDefault="00E64D38" w:rsidP="00E64D38">
            <w:pPr>
              <w:autoSpaceDE/>
              <w:autoSpaceDN/>
              <w:adjustRightInd/>
              <w:jc w:val="both"/>
              <w:rPr>
                <w:sz w:val="20"/>
                <w:szCs w:val="20"/>
                <w:highlight w:val="green"/>
              </w:rPr>
            </w:pPr>
            <w:r>
              <w:rPr>
                <w:rFonts w:eastAsia="Arial"/>
                <w:sz w:val="20"/>
                <w:szCs w:val="20"/>
              </w:rPr>
              <w:t>ГАУЗ «РКОД МЗ РТ им.</w:t>
            </w:r>
            <w:r w:rsidR="00763B4E" w:rsidRPr="00E64D38">
              <w:rPr>
                <w:rFonts w:eastAsia="Arial"/>
                <w:sz w:val="20"/>
                <w:szCs w:val="20"/>
              </w:rPr>
              <w:t>проф.М.З.Сигала»</w:t>
            </w:r>
          </w:p>
        </w:tc>
        <w:tc>
          <w:tcPr>
            <w:tcW w:w="3538" w:type="dxa"/>
            <w:tcBorders>
              <w:top w:val="single" w:sz="4" w:space="0" w:color="auto"/>
              <w:left w:val="single" w:sz="4" w:space="0" w:color="auto"/>
              <w:bottom w:val="single" w:sz="4" w:space="0" w:color="auto"/>
              <w:right w:val="single" w:sz="4" w:space="0" w:color="auto"/>
            </w:tcBorders>
            <w:shd w:val="clear" w:color="000000" w:fill="FFFFFF"/>
          </w:tcPr>
          <w:p w:rsidR="00763B4E" w:rsidRPr="00E64D38" w:rsidRDefault="00763B4E" w:rsidP="00E64D38">
            <w:pPr>
              <w:autoSpaceDE/>
              <w:autoSpaceDN/>
              <w:adjustRightInd/>
              <w:jc w:val="both"/>
              <w:rPr>
                <w:color w:val="000000"/>
                <w:sz w:val="20"/>
                <w:szCs w:val="20"/>
              </w:rPr>
            </w:pPr>
            <w:r w:rsidRPr="00E64D38">
              <w:rPr>
                <w:color w:val="000000"/>
                <w:sz w:val="20"/>
                <w:szCs w:val="20"/>
              </w:rPr>
              <w:t>Онкологическое отделение № 1 (торакальной онкологии №</w:t>
            </w:r>
            <w:r w:rsidR="00E64D38">
              <w:rPr>
                <w:color w:val="000000"/>
                <w:sz w:val="20"/>
                <w:szCs w:val="20"/>
              </w:rPr>
              <w:t xml:space="preserve"> </w:t>
            </w:r>
            <w:r w:rsidRPr="00E64D38">
              <w:rPr>
                <w:color w:val="000000"/>
                <w:sz w:val="20"/>
                <w:szCs w:val="20"/>
              </w:rPr>
              <w:t>1)</w:t>
            </w:r>
          </w:p>
        </w:tc>
        <w:tc>
          <w:tcPr>
            <w:tcW w:w="1945" w:type="dxa"/>
            <w:tcBorders>
              <w:top w:val="single" w:sz="4" w:space="0" w:color="auto"/>
              <w:left w:val="single" w:sz="4" w:space="0" w:color="auto"/>
              <w:bottom w:val="single" w:sz="4" w:space="0" w:color="auto"/>
              <w:right w:val="single" w:sz="4" w:space="0" w:color="auto"/>
            </w:tcBorders>
            <w:shd w:val="clear" w:color="000000" w:fill="FFFFFF"/>
          </w:tcPr>
          <w:p w:rsidR="00763B4E" w:rsidRPr="00E64D38" w:rsidRDefault="00E64D38" w:rsidP="00E64D38">
            <w:pPr>
              <w:autoSpaceDE/>
              <w:autoSpaceDN/>
              <w:adjustRightInd/>
              <w:jc w:val="both"/>
              <w:rPr>
                <w:color w:val="000000"/>
                <w:sz w:val="20"/>
                <w:szCs w:val="20"/>
              </w:rPr>
            </w:pPr>
            <w:r>
              <w:rPr>
                <w:color w:val="000000"/>
                <w:sz w:val="20"/>
                <w:szCs w:val="20"/>
              </w:rPr>
              <w:t>О</w:t>
            </w:r>
            <w:r w:rsidR="00763B4E" w:rsidRPr="00E64D38">
              <w:rPr>
                <w:color w:val="000000"/>
                <w:sz w:val="20"/>
                <w:szCs w:val="20"/>
              </w:rPr>
              <w:t>нкологические торакальные</w:t>
            </w:r>
          </w:p>
        </w:tc>
        <w:tc>
          <w:tcPr>
            <w:tcW w:w="1839" w:type="dxa"/>
            <w:tcBorders>
              <w:top w:val="single" w:sz="4" w:space="0" w:color="auto"/>
              <w:left w:val="single" w:sz="4" w:space="0" w:color="auto"/>
              <w:bottom w:val="single" w:sz="4" w:space="0" w:color="auto"/>
              <w:right w:val="single" w:sz="4" w:space="0" w:color="auto"/>
            </w:tcBorders>
            <w:shd w:val="clear" w:color="000000" w:fill="FFFFFF"/>
          </w:tcPr>
          <w:p w:rsidR="00763B4E" w:rsidRPr="00E64D38" w:rsidRDefault="00763B4E" w:rsidP="00E64D38">
            <w:pPr>
              <w:autoSpaceDE/>
              <w:autoSpaceDN/>
              <w:adjustRightInd/>
              <w:jc w:val="center"/>
              <w:rPr>
                <w:color w:val="000000"/>
                <w:sz w:val="20"/>
                <w:szCs w:val="20"/>
              </w:rPr>
            </w:pPr>
            <w:r w:rsidRPr="00E64D38">
              <w:rPr>
                <w:color w:val="000000"/>
                <w:sz w:val="20"/>
                <w:szCs w:val="20"/>
              </w:rPr>
              <w:t>38</w:t>
            </w:r>
          </w:p>
        </w:tc>
      </w:tr>
      <w:tr w:rsidR="00763B4E" w:rsidRPr="00E64D38" w:rsidTr="00E64D38">
        <w:trPr>
          <w:trHeight w:val="20"/>
        </w:trPr>
        <w:tc>
          <w:tcPr>
            <w:tcW w:w="2873" w:type="dxa"/>
            <w:vMerge/>
          </w:tcPr>
          <w:p w:rsidR="00763B4E" w:rsidRPr="00E64D38" w:rsidRDefault="00763B4E" w:rsidP="00E64D38">
            <w:pPr>
              <w:autoSpaceDE/>
              <w:autoSpaceDN/>
              <w:adjustRightInd/>
              <w:jc w:val="both"/>
              <w:rPr>
                <w:color w:val="000000"/>
                <w:sz w:val="20"/>
                <w:szCs w:val="20"/>
                <w:highlight w:val="green"/>
              </w:rPr>
            </w:pPr>
          </w:p>
        </w:tc>
        <w:tc>
          <w:tcPr>
            <w:tcW w:w="3538" w:type="dxa"/>
            <w:tcBorders>
              <w:top w:val="nil"/>
              <w:left w:val="single" w:sz="4" w:space="0" w:color="auto"/>
              <w:bottom w:val="single" w:sz="4" w:space="0" w:color="auto"/>
              <w:right w:val="single" w:sz="4" w:space="0" w:color="auto"/>
            </w:tcBorders>
            <w:shd w:val="clear" w:color="000000" w:fill="FFFFFF"/>
          </w:tcPr>
          <w:p w:rsidR="00763B4E" w:rsidRPr="00E64D38" w:rsidRDefault="00763B4E" w:rsidP="00E64D38">
            <w:pPr>
              <w:jc w:val="both"/>
              <w:rPr>
                <w:color w:val="000000"/>
                <w:sz w:val="20"/>
                <w:szCs w:val="20"/>
              </w:rPr>
            </w:pPr>
            <w:r w:rsidRPr="00E64D38">
              <w:rPr>
                <w:color w:val="000000"/>
                <w:sz w:val="20"/>
                <w:szCs w:val="20"/>
              </w:rPr>
              <w:t>Онкологическое отделение № 2 (торакальной онкологии № 2)</w:t>
            </w:r>
          </w:p>
        </w:tc>
        <w:tc>
          <w:tcPr>
            <w:tcW w:w="1945" w:type="dxa"/>
            <w:tcBorders>
              <w:top w:val="nil"/>
              <w:left w:val="single" w:sz="4" w:space="0" w:color="auto"/>
              <w:bottom w:val="single" w:sz="4" w:space="0" w:color="auto"/>
              <w:right w:val="single" w:sz="4" w:space="0" w:color="auto"/>
            </w:tcBorders>
            <w:shd w:val="clear" w:color="000000" w:fill="FFFFFF"/>
          </w:tcPr>
          <w:p w:rsidR="00763B4E" w:rsidRPr="00E64D38" w:rsidRDefault="00E64D38" w:rsidP="00E64D38">
            <w:pPr>
              <w:jc w:val="both"/>
              <w:rPr>
                <w:color w:val="000000"/>
                <w:sz w:val="20"/>
                <w:szCs w:val="20"/>
              </w:rPr>
            </w:pPr>
            <w:r>
              <w:rPr>
                <w:color w:val="000000"/>
                <w:sz w:val="20"/>
                <w:szCs w:val="20"/>
              </w:rPr>
              <w:t>О</w:t>
            </w:r>
            <w:r w:rsidR="00763B4E" w:rsidRPr="00E64D38">
              <w:rPr>
                <w:color w:val="000000"/>
                <w:sz w:val="20"/>
                <w:szCs w:val="20"/>
              </w:rPr>
              <w:t>нкологические торакальные</w:t>
            </w:r>
          </w:p>
        </w:tc>
        <w:tc>
          <w:tcPr>
            <w:tcW w:w="1839" w:type="dxa"/>
            <w:tcBorders>
              <w:top w:val="nil"/>
              <w:left w:val="single" w:sz="4" w:space="0" w:color="auto"/>
              <w:bottom w:val="single" w:sz="4" w:space="0" w:color="auto"/>
              <w:right w:val="single" w:sz="4" w:space="0" w:color="auto"/>
            </w:tcBorders>
            <w:shd w:val="clear" w:color="000000" w:fill="FFFFFF"/>
          </w:tcPr>
          <w:p w:rsidR="00763B4E" w:rsidRPr="00E64D38" w:rsidRDefault="00763B4E" w:rsidP="00E64D38">
            <w:pPr>
              <w:jc w:val="center"/>
              <w:rPr>
                <w:color w:val="000000"/>
                <w:sz w:val="20"/>
                <w:szCs w:val="20"/>
              </w:rPr>
            </w:pPr>
            <w:r w:rsidRPr="00E64D38">
              <w:rPr>
                <w:color w:val="000000"/>
                <w:sz w:val="20"/>
                <w:szCs w:val="20"/>
              </w:rPr>
              <w:t>38</w:t>
            </w:r>
          </w:p>
        </w:tc>
      </w:tr>
      <w:tr w:rsidR="00763B4E" w:rsidRPr="00E64D38" w:rsidTr="00E64D38">
        <w:trPr>
          <w:trHeight w:val="20"/>
        </w:trPr>
        <w:tc>
          <w:tcPr>
            <w:tcW w:w="2873" w:type="dxa"/>
            <w:vMerge/>
          </w:tcPr>
          <w:p w:rsidR="00763B4E" w:rsidRPr="00E64D38" w:rsidRDefault="00763B4E" w:rsidP="00E64D38">
            <w:pPr>
              <w:autoSpaceDE/>
              <w:autoSpaceDN/>
              <w:adjustRightInd/>
              <w:jc w:val="both"/>
              <w:rPr>
                <w:color w:val="000000"/>
                <w:sz w:val="20"/>
                <w:szCs w:val="20"/>
                <w:highlight w:val="green"/>
              </w:rPr>
            </w:pPr>
          </w:p>
        </w:tc>
        <w:tc>
          <w:tcPr>
            <w:tcW w:w="3538" w:type="dxa"/>
            <w:tcBorders>
              <w:top w:val="nil"/>
              <w:left w:val="single" w:sz="4" w:space="0" w:color="auto"/>
              <w:bottom w:val="single" w:sz="4" w:space="0" w:color="auto"/>
              <w:right w:val="single" w:sz="4" w:space="0" w:color="auto"/>
            </w:tcBorders>
            <w:shd w:val="clear" w:color="000000" w:fill="FFFFFF"/>
          </w:tcPr>
          <w:p w:rsidR="00763B4E" w:rsidRPr="00E64D38" w:rsidRDefault="00763B4E" w:rsidP="00E64D38">
            <w:pPr>
              <w:jc w:val="both"/>
              <w:rPr>
                <w:color w:val="000000"/>
                <w:sz w:val="20"/>
                <w:szCs w:val="20"/>
              </w:rPr>
            </w:pPr>
            <w:r w:rsidRPr="00E64D38">
              <w:rPr>
                <w:color w:val="000000"/>
                <w:sz w:val="20"/>
                <w:szCs w:val="20"/>
              </w:rPr>
              <w:t>Онкологическое отделение № 3 (абдоминальной онкологии № 1)</w:t>
            </w:r>
          </w:p>
        </w:tc>
        <w:tc>
          <w:tcPr>
            <w:tcW w:w="1945" w:type="dxa"/>
            <w:tcBorders>
              <w:top w:val="nil"/>
              <w:left w:val="single" w:sz="4" w:space="0" w:color="auto"/>
              <w:bottom w:val="single" w:sz="4" w:space="0" w:color="auto"/>
              <w:right w:val="single" w:sz="4" w:space="0" w:color="auto"/>
            </w:tcBorders>
            <w:shd w:val="clear" w:color="000000" w:fill="FFFFFF"/>
          </w:tcPr>
          <w:p w:rsidR="00763B4E" w:rsidRPr="00E64D38" w:rsidRDefault="00E64D38" w:rsidP="00E64D38">
            <w:pPr>
              <w:jc w:val="both"/>
              <w:rPr>
                <w:color w:val="000000"/>
                <w:sz w:val="20"/>
                <w:szCs w:val="20"/>
              </w:rPr>
            </w:pPr>
            <w:r>
              <w:rPr>
                <w:color w:val="000000"/>
                <w:sz w:val="20"/>
                <w:szCs w:val="20"/>
              </w:rPr>
              <w:t>О</w:t>
            </w:r>
            <w:r w:rsidR="00763B4E" w:rsidRPr="00E64D38">
              <w:rPr>
                <w:color w:val="000000"/>
                <w:sz w:val="20"/>
                <w:szCs w:val="20"/>
              </w:rPr>
              <w:t>нкологические абдоминальные</w:t>
            </w:r>
          </w:p>
        </w:tc>
        <w:tc>
          <w:tcPr>
            <w:tcW w:w="1839" w:type="dxa"/>
            <w:tcBorders>
              <w:top w:val="nil"/>
              <w:left w:val="single" w:sz="4" w:space="0" w:color="auto"/>
              <w:bottom w:val="single" w:sz="4" w:space="0" w:color="auto"/>
              <w:right w:val="single" w:sz="4" w:space="0" w:color="auto"/>
            </w:tcBorders>
            <w:shd w:val="clear" w:color="000000" w:fill="FFFFFF"/>
          </w:tcPr>
          <w:p w:rsidR="00763B4E" w:rsidRPr="00E64D38" w:rsidRDefault="00763B4E" w:rsidP="00E64D38">
            <w:pPr>
              <w:jc w:val="center"/>
              <w:rPr>
                <w:color w:val="000000"/>
                <w:sz w:val="20"/>
                <w:szCs w:val="20"/>
              </w:rPr>
            </w:pPr>
            <w:r w:rsidRPr="00E64D38">
              <w:rPr>
                <w:color w:val="000000"/>
                <w:sz w:val="20"/>
                <w:szCs w:val="20"/>
              </w:rPr>
              <w:t>46</w:t>
            </w:r>
          </w:p>
        </w:tc>
      </w:tr>
      <w:tr w:rsidR="00763B4E" w:rsidRPr="00E64D38" w:rsidTr="00E64D38">
        <w:trPr>
          <w:trHeight w:val="20"/>
        </w:trPr>
        <w:tc>
          <w:tcPr>
            <w:tcW w:w="2873" w:type="dxa"/>
            <w:vMerge/>
          </w:tcPr>
          <w:p w:rsidR="00763B4E" w:rsidRPr="00E64D38" w:rsidRDefault="00763B4E" w:rsidP="00E64D38">
            <w:pPr>
              <w:autoSpaceDE/>
              <w:autoSpaceDN/>
              <w:adjustRightInd/>
              <w:jc w:val="both"/>
              <w:rPr>
                <w:color w:val="000000"/>
                <w:sz w:val="20"/>
                <w:szCs w:val="20"/>
                <w:highlight w:val="green"/>
              </w:rPr>
            </w:pPr>
          </w:p>
        </w:tc>
        <w:tc>
          <w:tcPr>
            <w:tcW w:w="3538" w:type="dxa"/>
            <w:tcBorders>
              <w:top w:val="nil"/>
              <w:left w:val="single" w:sz="4" w:space="0" w:color="auto"/>
              <w:bottom w:val="single" w:sz="4" w:space="0" w:color="auto"/>
              <w:right w:val="single" w:sz="4" w:space="0" w:color="auto"/>
            </w:tcBorders>
            <w:shd w:val="clear" w:color="000000" w:fill="FFFFFF"/>
          </w:tcPr>
          <w:p w:rsidR="00763B4E" w:rsidRPr="00E64D38" w:rsidRDefault="00763B4E" w:rsidP="00E64D38">
            <w:pPr>
              <w:jc w:val="both"/>
              <w:rPr>
                <w:color w:val="000000"/>
                <w:sz w:val="20"/>
                <w:szCs w:val="20"/>
              </w:rPr>
            </w:pPr>
            <w:r w:rsidRPr="00E64D38">
              <w:rPr>
                <w:color w:val="000000"/>
                <w:sz w:val="20"/>
                <w:szCs w:val="20"/>
              </w:rPr>
              <w:t>Онкологическое отделение № 4 (опухолей молочной железы)</w:t>
            </w:r>
          </w:p>
        </w:tc>
        <w:tc>
          <w:tcPr>
            <w:tcW w:w="1945" w:type="dxa"/>
            <w:tcBorders>
              <w:top w:val="nil"/>
              <w:left w:val="single" w:sz="4" w:space="0" w:color="auto"/>
              <w:bottom w:val="single" w:sz="4" w:space="0" w:color="auto"/>
              <w:right w:val="single" w:sz="4" w:space="0" w:color="auto"/>
            </w:tcBorders>
            <w:shd w:val="clear" w:color="000000" w:fill="FFFFFF"/>
          </w:tcPr>
          <w:p w:rsidR="00763B4E" w:rsidRPr="00E64D38" w:rsidRDefault="00E64D38" w:rsidP="00E64D38">
            <w:pPr>
              <w:jc w:val="both"/>
              <w:rPr>
                <w:color w:val="000000"/>
                <w:sz w:val="20"/>
                <w:szCs w:val="20"/>
              </w:rPr>
            </w:pPr>
            <w:r>
              <w:rPr>
                <w:color w:val="000000"/>
                <w:sz w:val="20"/>
                <w:szCs w:val="20"/>
              </w:rPr>
              <w:t>О</w:t>
            </w:r>
            <w:r w:rsidR="00763B4E" w:rsidRPr="00E64D38">
              <w:rPr>
                <w:color w:val="000000"/>
                <w:sz w:val="20"/>
                <w:szCs w:val="20"/>
              </w:rPr>
              <w:t>нкологические</w:t>
            </w:r>
          </w:p>
        </w:tc>
        <w:tc>
          <w:tcPr>
            <w:tcW w:w="1839" w:type="dxa"/>
            <w:tcBorders>
              <w:top w:val="nil"/>
              <w:left w:val="single" w:sz="4" w:space="0" w:color="auto"/>
              <w:bottom w:val="single" w:sz="4" w:space="0" w:color="auto"/>
              <w:right w:val="single" w:sz="4" w:space="0" w:color="auto"/>
            </w:tcBorders>
            <w:shd w:val="clear" w:color="000000" w:fill="FFFFFF"/>
          </w:tcPr>
          <w:p w:rsidR="00763B4E" w:rsidRPr="00E64D38" w:rsidRDefault="00763B4E" w:rsidP="00E64D38">
            <w:pPr>
              <w:jc w:val="center"/>
              <w:rPr>
                <w:color w:val="000000"/>
                <w:sz w:val="20"/>
                <w:szCs w:val="20"/>
              </w:rPr>
            </w:pPr>
            <w:r w:rsidRPr="00E64D38">
              <w:rPr>
                <w:color w:val="000000"/>
                <w:sz w:val="20"/>
                <w:szCs w:val="20"/>
              </w:rPr>
              <w:t>47</w:t>
            </w:r>
          </w:p>
        </w:tc>
      </w:tr>
      <w:tr w:rsidR="00763B4E" w:rsidRPr="00E64D38" w:rsidTr="00E64D38">
        <w:trPr>
          <w:trHeight w:val="20"/>
        </w:trPr>
        <w:tc>
          <w:tcPr>
            <w:tcW w:w="2873" w:type="dxa"/>
            <w:vMerge/>
          </w:tcPr>
          <w:p w:rsidR="00763B4E" w:rsidRPr="00E64D38" w:rsidRDefault="00763B4E" w:rsidP="00E64D38">
            <w:pPr>
              <w:autoSpaceDE/>
              <w:autoSpaceDN/>
              <w:adjustRightInd/>
              <w:jc w:val="both"/>
              <w:rPr>
                <w:color w:val="000000"/>
                <w:sz w:val="20"/>
                <w:szCs w:val="20"/>
                <w:highlight w:val="green"/>
              </w:rPr>
            </w:pPr>
          </w:p>
        </w:tc>
        <w:tc>
          <w:tcPr>
            <w:tcW w:w="3538" w:type="dxa"/>
            <w:tcBorders>
              <w:top w:val="single" w:sz="4" w:space="0" w:color="auto"/>
              <w:left w:val="single" w:sz="4" w:space="0" w:color="auto"/>
              <w:bottom w:val="single" w:sz="4" w:space="0" w:color="auto"/>
              <w:right w:val="single" w:sz="4" w:space="0" w:color="auto"/>
            </w:tcBorders>
            <w:shd w:val="clear" w:color="000000" w:fill="FFFFFF"/>
          </w:tcPr>
          <w:p w:rsidR="00763B4E" w:rsidRPr="00E64D38" w:rsidRDefault="00763B4E" w:rsidP="00E64D38">
            <w:pPr>
              <w:jc w:val="both"/>
              <w:rPr>
                <w:color w:val="000000"/>
                <w:sz w:val="20"/>
                <w:szCs w:val="20"/>
              </w:rPr>
            </w:pPr>
            <w:r w:rsidRPr="00E64D38">
              <w:rPr>
                <w:color w:val="000000"/>
                <w:sz w:val="20"/>
                <w:szCs w:val="20"/>
              </w:rPr>
              <w:t>Онкологическое отделение № 5 (опухолей головы и шеи № 1)</w:t>
            </w:r>
          </w:p>
        </w:tc>
        <w:tc>
          <w:tcPr>
            <w:tcW w:w="1945" w:type="dxa"/>
            <w:tcBorders>
              <w:top w:val="single" w:sz="4" w:space="0" w:color="auto"/>
              <w:left w:val="single" w:sz="4" w:space="0" w:color="auto"/>
              <w:bottom w:val="single" w:sz="4" w:space="0" w:color="auto"/>
              <w:right w:val="single" w:sz="4" w:space="0" w:color="auto"/>
            </w:tcBorders>
            <w:shd w:val="clear" w:color="000000" w:fill="FFFFFF"/>
          </w:tcPr>
          <w:p w:rsidR="00763B4E" w:rsidRPr="00E64D38" w:rsidRDefault="00E64D38" w:rsidP="00E64D38">
            <w:pPr>
              <w:jc w:val="both"/>
              <w:rPr>
                <w:color w:val="000000"/>
                <w:sz w:val="20"/>
                <w:szCs w:val="20"/>
              </w:rPr>
            </w:pPr>
            <w:r>
              <w:rPr>
                <w:color w:val="000000"/>
                <w:sz w:val="20"/>
                <w:szCs w:val="20"/>
              </w:rPr>
              <w:t>О</w:t>
            </w:r>
            <w:r w:rsidR="00763B4E" w:rsidRPr="00E64D38">
              <w:rPr>
                <w:color w:val="000000"/>
                <w:sz w:val="20"/>
                <w:szCs w:val="20"/>
              </w:rPr>
              <w:t>нкологические опухолей головы и шеи</w:t>
            </w:r>
          </w:p>
        </w:tc>
        <w:tc>
          <w:tcPr>
            <w:tcW w:w="1839" w:type="dxa"/>
            <w:tcBorders>
              <w:top w:val="single" w:sz="4" w:space="0" w:color="auto"/>
              <w:left w:val="single" w:sz="4" w:space="0" w:color="auto"/>
              <w:bottom w:val="single" w:sz="4" w:space="0" w:color="auto"/>
              <w:right w:val="single" w:sz="4" w:space="0" w:color="auto"/>
            </w:tcBorders>
            <w:shd w:val="clear" w:color="000000" w:fill="FFFFFF"/>
          </w:tcPr>
          <w:p w:rsidR="00763B4E" w:rsidRPr="00E64D38" w:rsidRDefault="00763B4E" w:rsidP="00E64D38">
            <w:pPr>
              <w:jc w:val="center"/>
              <w:rPr>
                <w:color w:val="000000"/>
                <w:sz w:val="20"/>
                <w:szCs w:val="20"/>
              </w:rPr>
            </w:pPr>
            <w:r w:rsidRPr="00E64D38">
              <w:rPr>
                <w:color w:val="000000"/>
                <w:sz w:val="20"/>
                <w:szCs w:val="20"/>
              </w:rPr>
              <w:t>36</w:t>
            </w:r>
          </w:p>
        </w:tc>
      </w:tr>
      <w:tr w:rsidR="00763B4E" w:rsidRPr="00E64D38" w:rsidTr="00E64D38">
        <w:trPr>
          <w:trHeight w:val="20"/>
        </w:trPr>
        <w:tc>
          <w:tcPr>
            <w:tcW w:w="2873" w:type="dxa"/>
            <w:vMerge/>
          </w:tcPr>
          <w:p w:rsidR="00763B4E" w:rsidRPr="00E64D38" w:rsidRDefault="00763B4E" w:rsidP="00E64D38">
            <w:pPr>
              <w:autoSpaceDE/>
              <w:autoSpaceDN/>
              <w:adjustRightInd/>
              <w:jc w:val="both"/>
              <w:rPr>
                <w:color w:val="000000"/>
                <w:sz w:val="20"/>
                <w:szCs w:val="20"/>
                <w:highlight w:val="green"/>
              </w:rPr>
            </w:pPr>
          </w:p>
        </w:tc>
        <w:tc>
          <w:tcPr>
            <w:tcW w:w="3538" w:type="dxa"/>
            <w:tcBorders>
              <w:top w:val="single" w:sz="4" w:space="0" w:color="auto"/>
              <w:left w:val="single" w:sz="4" w:space="0" w:color="auto"/>
              <w:bottom w:val="single" w:sz="4" w:space="0" w:color="auto"/>
              <w:right w:val="single" w:sz="4" w:space="0" w:color="auto"/>
            </w:tcBorders>
            <w:shd w:val="clear" w:color="000000" w:fill="FFFFFF"/>
          </w:tcPr>
          <w:p w:rsidR="00763B4E" w:rsidRPr="00E64D38" w:rsidRDefault="00763B4E" w:rsidP="00E64D38">
            <w:pPr>
              <w:jc w:val="both"/>
              <w:rPr>
                <w:color w:val="000000"/>
                <w:sz w:val="20"/>
                <w:szCs w:val="20"/>
              </w:rPr>
            </w:pPr>
            <w:r w:rsidRPr="00E64D38">
              <w:rPr>
                <w:color w:val="000000"/>
                <w:sz w:val="20"/>
                <w:szCs w:val="20"/>
              </w:rPr>
              <w:t>Онкологическое отделение № 6 (онкоурологии)</w:t>
            </w:r>
          </w:p>
        </w:tc>
        <w:tc>
          <w:tcPr>
            <w:tcW w:w="1945" w:type="dxa"/>
            <w:tcBorders>
              <w:top w:val="single" w:sz="4" w:space="0" w:color="auto"/>
              <w:left w:val="single" w:sz="4" w:space="0" w:color="auto"/>
              <w:bottom w:val="single" w:sz="4" w:space="0" w:color="auto"/>
              <w:right w:val="single" w:sz="4" w:space="0" w:color="auto"/>
            </w:tcBorders>
            <w:shd w:val="clear" w:color="000000" w:fill="FFFFFF"/>
          </w:tcPr>
          <w:p w:rsidR="00763B4E" w:rsidRPr="00E64D38" w:rsidRDefault="00E64D38" w:rsidP="00E64D38">
            <w:pPr>
              <w:jc w:val="both"/>
              <w:rPr>
                <w:color w:val="000000"/>
                <w:sz w:val="20"/>
                <w:szCs w:val="20"/>
              </w:rPr>
            </w:pPr>
            <w:r>
              <w:rPr>
                <w:color w:val="000000"/>
                <w:sz w:val="20"/>
                <w:szCs w:val="20"/>
              </w:rPr>
              <w:t>О</w:t>
            </w:r>
            <w:r w:rsidR="00763B4E" w:rsidRPr="00E64D38">
              <w:rPr>
                <w:color w:val="000000"/>
                <w:sz w:val="20"/>
                <w:szCs w:val="20"/>
              </w:rPr>
              <w:t>нкоурологические</w:t>
            </w:r>
          </w:p>
        </w:tc>
        <w:tc>
          <w:tcPr>
            <w:tcW w:w="1839" w:type="dxa"/>
            <w:tcBorders>
              <w:top w:val="single" w:sz="4" w:space="0" w:color="auto"/>
              <w:left w:val="single" w:sz="4" w:space="0" w:color="auto"/>
              <w:bottom w:val="single" w:sz="4" w:space="0" w:color="auto"/>
              <w:right w:val="single" w:sz="4" w:space="0" w:color="auto"/>
            </w:tcBorders>
            <w:shd w:val="clear" w:color="000000" w:fill="FFFFFF"/>
          </w:tcPr>
          <w:p w:rsidR="00763B4E" w:rsidRPr="00E64D38" w:rsidRDefault="00763B4E" w:rsidP="00E64D38">
            <w:pPr>
              <w:jc w:val="center"/>
              <w:rPr>
                <w:color w:val="000000"/>
                <w:sz w:val="20"/>
                <w:szCs w:val="20"/>
              </w:rPr>
            </w:pPr>
            <w:r w:rsidRPr="00E64D38">
              <w:rPr>
                <w:color w:val="000000"/>
                <w:sz w:val="20"/>
                <w:szCs w:val="20"/>
              </w:rPr>
              <w:t>41</w:t>
            </w:r>
          </w:p>
        </w:tc>
      </w:tr>
      <w:tr w:rsidR="00763B4E" w:rsidRPr="00E64D38" w:rsidTr="00E64D38">
        <w:trPr>
          <w:trHeight w:val="20"/>
        </w:trPr>
        <w:tc>
          <w:tcPr>
            <w:tcW w:w="2873" w:type="dxa"/>
            <w:vMerge/>
          </w:tcPr>
          <w:p w:rsidR="00763B4E" w:rsidRPr="00E64D38" w:rsidRDefault="00763B4E" w:rsidP="00E64D38">
            <w:pPr>
              <w:autoSpaceDE/>
              <w:autoSpaceDN/>
              <w:adjustRightInd/>
              <w:jc w:val="both"/>
              <w:rPr>
                <w:color w:val="000000"/>
                <w:sz w:val="20"/>
                <w:szCs w:val="20"/>
                <w:highlight w:val="green"/>
              </w:rPr>
            </w:pPr>
          </w:p>
        </w:tc>
        <w:tc>
          <w:tcPr>
            <w:tcW w:w="3538" w:type="dxa"/>
            <w:tcBorders>
              <w:top w:val="nil"/>
              <w:left w:val="single" w:sz="4" w:space="0" w:color="auto"/>
              <w:bottom w:val="single" w:sz="4" w:space="0" w:color="auto"/>
              <w:right w:val="single" w:sz="4" w:space="0" w:color="auto"/>
            </w:tcBorders>
            <w:shd w:val="clear" w:color="000000" w:fill="FFFFFF"/>
          </w:tcPr>
          <w:p w:rsidR="00763B4E" w:rsidRPr="00E64D38" w:rsidRDefault="00763B4E" w:rsidP="00E64D38">
            <w:pPr>
              <w:jc w:val="both"/>
              <w:rPr>
                <w:color w:val="000000"/>
                <w:sz w:val="20"/>
                <w:szCs w:val="20"/>
              </w:rPr>
            </w:pPr>
            <w:r w:rsidRPr="00E64D38">
              <w:rPr>
                <w:color w:val="000000"/>
                <w:sz w:val="20"/>
                <w:szCs w:val="20"/>
              </w:rPr>
              <w:t>Онкологическое отделение № 7 (онкогинекологии № 1)</w:t>
            </w:r>
          </w:p>
        </w:tc>
        <w:tc>
          <w:tcPr>
            <w:tcW w:w="1945" w:type="dxa"/>
            <w:tcBorders>
              <w:top w:val="nil"/>
              <w:left w:val="single" w:sz="4" w:space="0" w:color="auto"/>
              <w:bottom w:val="single" w:sz="4" w:space="0" w:color="auto"/>
              <w:right w:val="single" w:sz="4" w:space="0" w:color="auto"/>
            </w:tcBorders>
            <w:shd w:val="clear" w:color="000000" w:fill="FFFFFF"/>
          </w:tcPr>
          <w:p w:rsidR="00763B4E" w:rsidRPr="00E64D38" w:rsidRDefault="00E64D38" w:rsidP="00E64D38">
            <w:pPr>
              <w:jc w:val="both"/>
              <w:rPr>
                <w:color w:val="000000"/>
                <w:sz w:val="20"/>
                <w:szCs w:val="20"/>
              </w:rPr>
            </w:pPr>
            <w:r>
              <w:rPr>
                <w:color w:val="000000"/>
                <w:sz w:val="20"/>
                <w:szCs w:val="20"/>
              </w:rPr>
              <w:t>О</w:t>
            </w:r>
            <w:r w:rsidR="00763B4E" w:rsidRPr="00E64D38">
              <w:rPr>
                <w:color w:val="000000"/>
                <w:sz w:val="20"/>
                <w:szCs w:val="20"/>
              </w:rPr>
              <w:t>нкогинекологические</w:t>
            </w:r>
          </w:p>
        </w:tc>
        <w:tc>
          <w:tcPr>
            <w:tcW w:w="1839" w:type="dxa"/>
            <w:tcBorders>
              <w:top w:val="nil"/>
              <w:left w:val="single" w:sz="4" w:space="0" w:color="auto"/>
              <w:bottom w:val="single" w:sz="4" w:space="0" w:color="auto"/>
              <w:right w:val="single" w:sz="4" w:space="0" w:color="auto"/>
            </w:tcBorders>
            <w:shd w:val="clear" w:color="000000" w:fill="FFFFFF"/>
          </w:tcPr>
          <w:p w:rsidR="00763B4E" w:rsidRPr="00E64D38" w:rsidRDefault="00763B4E" w:rsidP="00E64D38">
            <w:pPr>
              <w:jc w:val="center"/>
              <w:rPr>
                <w:color w:val="000000"/>
                <w:sz w:val="20"/>
                <w:szCs w:val="20"/>
              </w:rPr>
            </w:pPr>
            <w:r w:rsidRPr="00E64D38">
              <w:rPr>
                <w:color w:val="000000"/>
                <w:sz w:val="20"/>
                <w:szCs w:val="20"/>
              </w:rPr>
              <w:t>47</w:t>
            </w:r>
          </w:p>
        </w:tc>
      </w:tr>
      <w:tr w:rsidR="00763B4E" w:rsidRPr="00E64D38" w:rsidTr="00E64D38">
        <w:trPr>
          <w:trHeight w:val="20"/>
        </w:trPr>
        <w:tc>
          <w:tcPr>
            <w:tcW w:w="2873" w:type="dxa"/>
            <w:vMerge/>
          </w:tcPr>
          <w:p w:rsidR="00763B4E" w:rsidRPr="00E64D38" w:rsidRDefault="00763B4E" w:rsidP="00E64D38">
            <w:pPr>
              <w:autoSpaceDE/>
              <w:autoSpaceDN/>
              <w:adjustRightInd/>
              <w:jc w:val="both"/>
              <w:rPr>
                <w:color w:val="000000"/>
                <w:sz w:val="20"/>
                <w:szCs w:val="20"/>
                <w:highlight w:val="green"/>
              </w:rPr>
            </w:pPr>
          </w:p>
        </w:tc>
        <w:tc>
          <w:tcPr>
            <w:tcW w:w="3538" w:type="dxa"/>
            <w:tcBorders>
              <w:top w:val="nil"/>
              <w:left w:val="single" w:sz="4" w:space="0" w:color="auto"/>
              <w:bottom w:val="single" w:sz="4" w:space="0" w:color="auto"/>
              <w:right w:val="single" w:sz="4" w:space="0" w:color="auto"/>
            </w:tcBorders>
            <w:shd w:val="clear" w:color="000000" w:fill="FFFFFF"/>
          </w:tcPr>
          <w:p w:rsidR="00763B4E" w:rsidRPr="00E64D38" w:rsidRDefault="00763B4E" w:rsidP="00E64D38">
            <w:pPr>
              <w:jc w:val="both"/>
              <w:rPr>
                <w:color w:val="000000"/>
                <w:sz w:val="20"/>
                <w:szCs w:val="20"/>
              </w:rPr>
            </w:pPr>
            <w:r w:rsidRPr="00E64D38">
              <w:rPr>
                <w:color w:val="000000"/>
                <w:sz w:val="20"/>
                <w:szCs w:val="20"/>
              </w:rPr>
              <w:t>Онкологическое отделение № 8 (онкогинекологии № 2)</w:t>
            </w:r>
          </w:p>
        </w:tc>
        <w:tc>
          <w:tcPr>
            <w:tcW w:w="1945" w:type="dxa"/>
            <w:tcBorders>
              <w:top w:val="nil"/>
              <w:left w:val="single" w:sz="4" w:space="0" w:color="auto"/>
              <w:bottom w:val="single" w:sz="4" w:space="0" w:color="auto"/>
              <w:right w:val="single" w:sz="4" w:space="0" w:color="auto"/>
            </w:tcBorders>
            <w:shd w:val="clear" w:color="000000" w:fill="FFFFFF"/>
          </w:tcPr>
          <w:p w:rsidR="00763B4E" w:rsidRPr="00E64D38" w:rsidRDefault="00E64D38" w:rsidP="00E64D38">
            <w:pPr>
              <w:jc w:val="both"/>
              <w:rPr>
                <w:color w:val="000000"/>
                <w:sz w:val="20"/>
                <w:szCs w:val="20"/>
              </w:rPr>
            </w:pPr>
            <w:r>
              <w:rPr>
                <w:color w:val="000000"/>
                <w:sz w:val="20"/>
                <w:szCs w:val="20"/>
              </w:rPr>
              <w:t>О</w:t>
            </w:r>
            <w:r w:rsidR="00763B4E" w:rsidRPr="00E64D38">
              <w:rPr>
                <w:color w:val="000000"/>
                <w:sz w:val="20"/>
                <w:szCs w:val="20"/>
              </w:rPr>
              <w:t>нкогинекологические</w:t>
            </w:r>
          </w:p>
        </w:tc>
        <w:tc>
          <w:tcPr>
            <w:tcW w:w="1839" w:type="dxa"/>
            <w:tcBorders>
              <w:top w:val="nil"/>
              <w:left w:val="single" w:sz="4" w:space="0" w:color="auto"/>
              <w:bottom w:val="single" w:sz="4" w:space="0" w:color="auto"/>
              <w:right w:val="single" w:sz="4" w:space="0" w:color="auto"/>
            </w:tcBorders>
            <w:shd w:val="clear" w:color="000000" w:fill="FFFFFF"/>
          </w:tcPr>
          <w:p w:rsidR="00763B4E" w:rsidRPr="00E64D38" w:rsidRDefault="00763B4E" w:rsidP="00E64D38">
            <w:pPr>
              <w:jc w:val="center"/>
              <w:rPr>
                <w:color w:val="000000"/>
                <w:sz w:val="20"/>
                <w:szCs w:val="20"/>
              </w:rPr>
            </w:pPr>
            <w:r w:rsidRPr="00E64D38">
              <w:rPr>
                <w:color w:val="000000"/>
                <w:sz w:val="20"/>
                <w:szCs w:val="20"/>
              </w:rPr>
              <w:t>28</w:t>
            </w:r>
          </w:p>
        </w:tc>
      </w:tr>
      <w:tr w:rsidR="00763B4E" w:rsidRPr="00E64D38" w:rsidTr="00E64D38">
        <w:trPr>
          <w:trHeight w:val="20"/>
        </w:trPr>
        <w:tc>
          <w:tcPr>
            <w:tcW w:w="2873" w:type="dxa"/>
            <w:vMerge/>
          </w:tcPr>
          <w:p w:rsidR="00763B4E" w:rsidRPr="00E64D38" w:rsidRDefault="00763B4E" w:rsidP="00E64D38">
            <w:pPr>
              <w:autoSpaceDE/>
              <w:autoSpaceDN/>
              <w:adjustRightInd/>
              <w:jc w:val="both"/>
              <w:rPr>
                <w:color w:val="000000"/>
                <w:sz w:val="20"/>
                <w:szCs w:val="20"/>
                <w:highlight w:val="green"/>
              </w:rPr>
            </w:pPr>
          </w:p>
        </w:tc>
        <w:tc>
          <w:tcPr>
            <w:tcW w:w="3538" w:type="dxa"/>
            <w:tcBorders>
              <w:top w:val="nil"/>
              <w:left w:val="single" w:sz="4" w:space="0" w:color="auto"/>
              <w:bottom w:val="single" w:sz="4" w:space="0" w:color="auto"/>
              <w:right w:val="single" w:sz="4" w:space="0" w:color="auto"/>
            </w:tcBorders>
            <w:shd w:val="clear" w:color="000000" w:fill="FFFFFF"/>
          </w:tcPr>
          <w:p w:rsidR="00763B4E" w:rsidRPr="00E64D38" w:rsidRDefault="00763B4E" w:rsidP="00E64D38">
            <w:pPr>
              <w:jc w:val="both"/>
              <w:rPr>
                <w:color w:val="000000"/>
                <w:sz w:val="20"/>
                <w:szCs w:val="20"/>
              </w:rPr>
            </w:pPr>
            <w:r w:rsidRPr="00E64D38">
              <w:rPr>
                <w:color w:val="000000"/>
                <w:sz w:val="20"/>
                <w:szCs w:val="20"/>
              </w:rPr>
              <w:t>Онкологическое отделение № 10 (абдоминальной онкологии № 3)</w:t>
            </w:r>
          </w:p>
        </w:tc>
        <w:tc>
          <w:tcPr>
            <w:tcW w:w="1945" w:type="dxa"/>
            <w:tcBorders>
              <w:top w:val="nil"/>
              <w:left w:val="single" w:sz="4" w:space="0" w:color="auto"/>
              <w:bottom w:val="single" w:sz="4" w:space="0" w:color="auto"/>
              <w:right w:val="single" w:sz="4" w:space="0" w:color="auto"/>
            </w:tcBorders>
            <w:shd w:val="clear" w:color="000000" w:fill="FFFFFF"/>
          </w:tcPr>
          <w:p w:rsidR="00763B4E" w:rsidRPr="00E64D38" w:rsidRDefault="00E64D38" w:rsidP="00E64D38">
            <w:pPr>
              <w:jc w:val="both"/>
              <w:rPr>
                <w:color w:val="000000"/>
                <w:sz w:val="20"/>
                <w:szCs w:val="20"/>
              </w:rPr>
            </w:pPr>
            <w:r>
              <w:rPr>
                <w:color w:val="000000"/>
                <w:sz w:val="20"/>
                <w:szCs w:val="20"/>
              </w:rPr>
              <w:t>О</w:t>
            </w:r>
            <w:r w:rsidR="00763B4E" w:rsidRPr="00E64D38">
              <w:rPr>
                <w:color w:val="000000"/>
                <w:sz w:val="20"/>
                <w:szCs w:val="20"/>
              </w:rPr>
              <w:t>нкологические абдоминальные</w:t>
            </w:r>
          </w:p>
        </w:tc>
        <w:tc>
          <w:tcPr>
            <w:tcW w:w="1839" w:type="dxa"/>
            <w:tcBorders>
              <w:top w:val="nil"/>
              <w:left w:val="single" w:sz="4" w:space="0" w:color="auto"/>
              <w:bottom w:val="single" w:sz="4" w:space="0" w:color="auto"/>
              <w:right w:val="single" w:sz="4" w:space="0" w:color="auto"/>
            </w:tcBorders>
            <w:shd w:val="clear" w:color="000000" w:fill="FFFFFF"/>
          </w:tcPr>
          <w:p w:rsidR="00763B4E" w:rsidRPr="00E64D38" w:rsidRDefault="00763B4E" w:rsidP="00E64D38">
            <w:pPr>
              <w:jc w:val="center"/>
              <w:rPr>
                <w:color w:val="000000"/>
                <w:sz w:val="20"/>
                <w:szCs w:val="20"/>
              </w:rPr>
            </w:pPr>
            <w:r w:rsidRPr="00E64D38">
              <w:rPr>
                <w:color w:val="000000"/>
                <w:sz w:val="20"/>
                <w:szCs w:val="20"/>
              </w:rPr>
              <w:t>47</w:t>
            </w:r>
          </w:p>
        </w:tc>
      </w:tr>
      <w:tr w:rsidR="00763B4E" w:rsidRPr="00E64D38" w:rsidTr="00E64D38">
        <w:trPr>
          <w:trHeight w:val="20"/>
        </w:trPr>
        <w:tc>
          <w:tcPr>
            <w:tcW w:w="2873" w:type="dxa"/>
            <w:vMerge/>
          </w:tcPr>
          <w:p w:rsidR="00763B4E" w:rsidRPr="00E64D38" w:rsidRDefault="00763B4E" w:rsidP="00E64D38">
            <w:pPr>
              <w:autoSpaceDE/>
              <w:autoSpaceDN/>
              <w:adjustRightInd/>
              <w:jc w:val="both"/>
              <w:rPr>
                <w:color w:val="000000"/>
                <w:sz w:val="20"/>
                <w:szCs w:val="20"/>
                <w:highlight w:val="green"/>
              </w:rPr>
            </w:pPr>
          </w:p>
        </w:tc>
        <w:tc>
          <w:tcPr>
            <w:tcW w:w="3538" w:type="dxa"/>
            <w:tcBorders>
              <w:top w:val="nil"/>
              <w:left w:val="single" w:sz="4" w:space="0" w:color="auto"/>
              <w:bottom w:val="single" w:sz="4" w:space="0" w:color="auto"/>
              <w:right w:val="single" w:sz="4" w:space="0" w:color="auto"/>
            </w:tcBorders>
            <w:shd w:val="clear" w:color="000000" w:fill="FFFFFF"/>
          </w:tcPr>
          <w:p w:rsidR="00763B4E" w:rsidRPr="00E64D38" w:rsidRDefault="00763B4E" w:rsidP="00E64D38">
            <w:pPr>
              <w:jc w:val="both"/>
              <w:rPr>
                <w:color w:val="000000"/>
                <w:sz w:val="20"/>
                <w:szCs w:val="20"/>
              </w:rPr>
            </w:pPr>
            <w:r w:rsidRPr="00E64D38">
              <w:rPr>
                <w:color w:val="000000"/>
                <w:sz w:val="20"/>
                <w:szCs w:val="20"/>
              </w:rPr>
              <w:t>Онкологическое отделение № 11 (абдоминальной онкологии № 4)</w:t>
            </w:r>
          </w:p>
        </w:tc>
        <w:tc>
          <w:tcPr>
            <w:tcW w:w="1945" w:type="dxa"/>
            <w:tcBorders>
              <w:top w:val="nil"/>
              <w:left w:val="single" w:sz="4" w:space="0" w:color="auto"/>
              <w:bottom w:val="single" w:sz="4" w:space="0" w:color="auto"/>
              <w:right w:val="single" w:sz="4" w:space="0" w:color="auto"/>
            </w:tcBorders>
            <w:shd w:val="clear" w:color="000000" w:fill="FFFFFF"/>
          </w:tcPr>
          <w:p w:rsidR="00763B4E" w:rsidRPr="00E64D38" w:rsidRDefault="00E64D38" w:rsidP="00E64D38">
            <w:pPr>
              <w:jc w:val="both"/>
              <w:rPr>
                <w:color w:val="000000"/>
                <w:sz w:val="20"/>
                <w:szCs w:val="20"/>
              </w:rPr>
            </w:pPr>
            <w:r>
              <w:rPr>
                <w:color w:val="000000"/>
                <w:sz w:val="20"/>
                <w:szCs w:val="20"/>
              </w:rPr>
              <w:t>О</w:t>
            </w:r>
            <w:r w:rsidR="00763B4E" w:rsidRPr="00E64D38">
              <w:rPr>
                <w:color w:val="000000"/>
                <w:sz w:val="20"/>
                <w:szCs w:val="20"/>
              </w:rPr>
              <w:t>нкологические абдоминальные</w:t>
            </w:r>
          </w:p>
        </w:tc>
        <w:tc>
          <w:tcPr>
            <w:tcW w:w="1839" w:type="dxa"/>
            <w:tcBorders>
              <w:top w:val="nil"/>
              <w:left w:val="single" w:sz="4" w:space="0" w:color="auto"/>
              <w:bottom w:val="single" w:sz="4" w:space="0" w:color="auto"/>
              <w:right w:val="single" w:sz="4" w:space="0" w:color="auto"/>
            </w:tcBorders>
            <w:shd w:val="clear" w:color="000000" w:fill="FFFFFF"/>
          </w:tcPr>
          <w:p w:rsidR="00763B4E" w:rsidRPr="00E64D38" w:rsidRDefault="00763B4E" w:rsidP="00E64D38">
            <w:pPr>
              <w:jc w:val="center"/>
              <w:rPr>
                <w:color w:val="000000"/>
                <w:sz w:val="20"/>
                <w:szCs w:val="20"/>
              </w:rPr>
            </w:pPr>
            <w:r w:rsidRPr="00E64D38">
              <w:rPr>
                <w:color w:val="000000"/>
                <w:sz w:val="20"/>
                <w:szCs w:val="20"/>
              </w:rPr>
              <w:t>47</w:t>
            </w:r>
          </w:p>
        </w:tc>
      </w:tr>
      <w:tr w:rsidR="00763B4E" w:rsidRPr="00E64D38" w:rsidTr="00E64D38">
        <w:trPr>
          <w:trHeight w:val="20"/>
        </w:trPr>
        <w:tc>
          <w:tcPr>
            <w:tcW w:w="2873" w:type="dxa"/>
            <w:vMerge/>
          </w:tcPr>
          <w:p w:rsidR="00763B4E" w:rsidRPr="00E64D38" w:rsidRDefault="00763B4E" w:rsidP="00E64D38">
            <w:pPr>
              <w:autoSpaceDE/>
              <w:autoSpaceDN/>
              <w:adjustRightInd/>
              <w:jc w:val="both"/>
              <w:rPr>
                <w:color w:val="000000"/>
                <w:sz w:val="20"/>
                <w:szCs w:val="20"/>
                <w:highlight w:val="green"/>
              </w:rPr>
            </w:pPr>
          </w:p>
        </w:tc>
        <w:tc>
          <w:tcPr>
            <w:tcW w:w="3538" w:type="dxa"/>
            <w:tcBorders>
              <w:top w:val="nil"/>
              <w:left w:val="single" w:sz="4" w:space="0" w:color="auto"/>
              <w:bottom w:val="single" w:sz="4" w:space="0" w:color="auto"/>
              <w:right w:val="single" w:sz="4" w:space="0" w:color="auto"/>
            </w:tcBorders>
            <w:shd w:val="clear" w:color="000000" w:fill="FFFFFF"/>
          </w:tcPr>
          <w:p w:rsidR="00763B4E" w:rsidRPr="00E64D38" w:rsidRDefault="00763B4E" w:rsidP="00E64D38">
            <w:pPr>
              <w:jc w:val="both"/>
              <w:rPr>
                <w:color w:val="000000"/>
                <w:sz w:val="20"/>
                <w:szCs w:val="20"/>
              </w:rPr>
            </w:pPr>
            <w:r w:rsidRPr="00E64D38">
              <w:rPr>
                <w:color w:val="000000"/>
                <w:sz w:val="20"/>
                <w:szCs w:val="20"/>
              </w:rPr>
              <w:t>Онкологическое отделение № 12 (опухолей головы и шеи № 2)</w:t>
            </w:r>
          </w:p>
        </w:tc>
        <w:tc>
          <w:tcPr>
            <w:tcW w:w="1945" w:type="dxa"/>
            <w:tcBorders>
              <w:top w:val="nil"/>
              <w:left w:val="single" w:sz="4" w:space="0" w:color="auto"/>
              <w:bottom w:val="single" w:sz="4" w:space="0" w:color="auto"/>
              <w:right w:val="single" w:sz="4" w:space="0" w:color="auto"/>
            </w:tcBorders>
            <w:shd w:val="clear" w:color="000000" w:fill="FFFFFF"/>
          </w:tcPr>
          <w:p w:rsidR="00763B4E" w:rsidRPr="00E64D38" w:rsidRDefault="00E64D38" w:rsidP="00E64D38">
            <w:pPr>
              <w:jc w:val="both"/>
              <w:rPr>
                <w:color w:val="000000"/>
                <w:sz w:val="20"/>
                <w:szCs w:val="20"/>
              </w:rPr>
            </w:pPr>
            <w:r>
              <w:rPr>
                <w:color w:val="000000"/>
                <w:sz w:val="20"/>
                <w:szCs w:val="20"/>
              </w:rPr>
              <w:t>О</w:t>
            </w:r>
            <w:r w:rsidR="00763B4E" w:rsidRPr="00E64D38">
              <w:rPr>
                <w:color w:val="000000"/>
                <w:sz w:val="20"/>
                <w:szCs w:val="20"/>
              </w:rPr>
              <w:t>нкологические опухолей головы и шеи</w:t>
            </w:r>
          </w:p>
        </w:tc>
        <w:tc>
          <w:tcPr>
            <w:tcW w:w="1839" w:type="dxa"/>
            <w:tcBorders>
              <w:top w:val="nil"/>
              <w:left w:val="single" w:sz="4" w:space="0" w:color="auto"/>
              <w:bottom w:val="single" w:sz="4" w:space="0" w:color="auto"/>
              <w:right w:val="single" w:sz="4" w:space="0" w:color="auto"/>
            </w:tcBorders>
            <w:shd w:val="clear" w:color="000000" w:fill="FFFFFF"/>
          </w:tcPr>
          <w:p w:rsidR="00763B4E" w:rsidRPr="00E64D38" w:rsidRDefault="00763B4E" w:rsidP="00E64D38">
            <w:pPr>
              <w:jc w:val="center"/>
              <w:rPr>
                <w:color w:val="000000"/>
                <w:sz w:val="20"/>
                <w:szCs w:val="20"/>
              </w:rPr>
            </w:pPr>
            <w:r w:rsidRPr="00E64D38">
              <w:rPr>
                <w:color w:val="000000"/>
                <w:sz w:val="20"/>
                <w:szCs w:val="20"/>
              </w:rPr>
              <w:t>27</w:t>
            </w:r>
          </w:p>
        </w:tc>
      </w:tr>
      <w:tr w:rsidR="00763B4E" w:rsidRPr="00E64D38" w:rsidTr="00E64D38">
        <w:trPr>
          <w:trHeight w:val="20"/>
        </w:trPr>
        <w:tc>
          <w:tcPr>
            <w:tcW w:w="2873" w:type="dxa"/>
            <w:vMerge/>
          </w:tcPr>
          <w:p w:rsidR="00763B4E" w:rsidRPr="00E64D38" w:rsidRDefault="00763B4E" w:rsidP="00E64D38">
            <w:pPr>
              <w:autoSpaceDE/>
              <w:autoSpaceDN/>
              <w:adjustRightInd/>
              <w:jc w:val="both"/>
              <w:rPr>
                <w:color w:val="000000"/>
                <w:sz w:val="20"/>
                <w:szCs w:val="20"/>
                <w:highlight w:val="green"/>
              </w:rPr>
            </w:pPr>
          </w:p>
        </w:tc>
        <w:tc>
          <w:tcPr>
            <w:tcW w:w="3538" w:type="dxa"/>
            <w:tcBorders>
              <w:top w:val="nil"/>
              <w:left w:val="single" w:sz="4" w:space="0" w:color="auto"/>
              <w:bottom w:val="single" w:sz="4" w:space="0" w:color="auto"/>
              <w:right w:val="single" w:sz="4" w:space="0" w:color="auto"/>
            </w:tcBorders>
            <w:shd w:val="clear" w:color="000000" w:fill="FFFFFF"/>
          </w:tcPr>
          <w:p w:rsidR="00763B4E" w:rsidRPr="00E64D38" w:rsidRDefault="00763B4E" w:rsidP="00E64D38">
            <w:pPr>
              <w:jc w:val="both"/>
              <w:rPr>
                <w:color w:val="000000"/>
                <w:sz w:val="20"/>
                <w:szCs w:val="20"/>
              </w:rPr>
            </w:pPr>
            <w:r w:rsidRPr="00E64D38">
              <w:rPr>
                <w:color w:val="000000"/>
                <w:sz w:val="20"/>
                <w:szCs w:val="20"/>
              </w:rPr>
              <w:t>Онкологическое отделение № 16 (опухолей костей, мягких тканей и кожи)</w:t>
            </w:r>
          </w:p>
        </w:tc>
        <w:tc>
          <w:tcPr>
            <w:tcW w:w="1945" w:type="dxa"/>
            <w:tcBorders>
              <w:top w:val="nil"/>
              <w:left w:val="single" w:sz="4" w:space="0" w:color="auto"/>
              <w:bottom w:val="single" w:sz="4" w:space="0" w:color="auto"/>
              <w:right w:val="single" w:sz="4" w:space="0" w:color="auto"/>
            </w:tcBorders>
            <w:shd w:val="clear" w:color="000000" w:fill="FFFFFF"/>
          </w:tcPr>
          <w:p w:rsidR="00763B4E" w:rsidRPr="00E64D38" w:rsidRDefault="00763B4E" w:rsidP="00E64D38">
            <w:pPr>
              <w:jc w:val="both"/>
              <w:rPr>
                <w:color w:val="000000"/>
                <w:sz w:val="20"/>
                <w:szCs w:val="20"/>
              </w:rPr>
            </w:pPr>
            <w:r w:rsidRPr="00E64D38">
              <w:rPr>
                <w:color w:val="000000"/>
                <w:sz w:val="20"/>
                <w:szCs w:val="20"/>
              </w:rPr>
              <w:t>Онкологические  опухолей костей, мягких тканей и кожи</w:t>
            </w:r>
          </w:p>
        </w:tc>
        <w:tc>
          <w:tcPr>
            <w:tcW w:w="1839" w:type="dxa"/>
            <w:tcBorders>
              <w:top w:val="nil"/>
              <w:left w:val="single" w:sz="4" w:space="0" w:color="auto"/>
              <w:bottom w:val="single" w:sz="4" w:space="0" w:color="auto"/>
              <w:right w:val="single" w:sz="4" w:space="0" w:color="auto"/>
            </w:tcBorders>
            <w:shd w:val="clear" w:color="000000" w:fill="FFFFFF"/>
          </w:tcPr>
          <w:p w:rsidR="00763B4E" w:rsidRPr="00E64D38" w:rsidRDefault="00763B4E" w:rsidP="00E64D38">
            <w:pPr>
              <w:jc w:val="center"/>
              <w:rPr>
                <w:color w:val="000000"/>
                <w:sz w:val="20"/>
                <w:szCs w:val="20"/>
              </w:rPr>
            </w:pPr>
            <w:r w:rsidRPr="00E64D38">
              <w:rPr>
                <w:color w:val="000000"/>
                <w:sz w:val="20"/>
                <w:szCs w:val="20"/>
              </w:rPr>
              <w:t>25</w:t>
            </w:r>
          </w:p>
        </w:tc>
      </w:tr>
      <w:tr w:rsidR="00763B4E" w:rsidRPr="00E64D38" w:rsidTr="00E64D38">
        <w:trPr>
          <w:trHeight w:val="20"/>
        </w:trPr>
        <w:tc>
          <w:tcPr>
            <w:tcW w:w="2873" w:type="dxa"/>
            <w:vMerge/>
          </w:tcPr>
          <w:p w:rsidR="00763B4E" w:rsidRPr="00E64D38" w:rsidRDefault="00763B4E" w:rsidP="00E64D38">
            <w:pPr>
              <w:autoSpaceDE/>
              <w:autoSpaceDN/>
              <w:adjustRightInd/>
              <w:jc w:val="both"/>
              <w:rPr>
                <w:color w:val="000000"/>
                <w:sz w:val="20"/>
                <w:szCs w:val="20"/>
                <w:highlight w:val="green"/>
              </w:rPr>
            </w:pPr>
          </w:p>
        </w:tc>
        <w:tc>
          <w:tcPr>
            <w:tcW w:w="3538" w:type="dxa"/>
            <w:tcBorders>
              <w:top w:val="nil"/>
              <w:left w:val="single" w:sz="4" w:space="0" w:color="auto"/>
              <w:bottom w:val="single" w:sz="4" w:space="0" w:color="auto"/>
              <w:right w:val="single" w:sz="4" w:space="0" w:color="auto"/>
            </w:tcBorders>
            <w:shd w:val="clear" w:color="000000" w:fill="FFFFFF"/>
          </w:tcPr>
          <w:p w:rsidR="00763B4E" w:rsidRPr="00E64D38" w:rsidRDefault="00763B4E" w:rsidP="00E64D38">
            <w:pPr>
              <w:jc w:val="both"/>
              <w:rPr>
                <w:color w:val="000000"/>
                <w:sz w:val="20"/>
                <w:szCs w:val="20"/>
              </w:rPr>
            </w:pPr>
            <w:r w:rsidRPr="00E64D38">
              <w:rPr>
                <w:color w:val="000000"/>
                <w:sz w:val="20"/>
                <w:szCs w:val="20"/>
              </w:rPr>
              <w:t>Отделение противоопухолевой лекарственной терапии № 1</w:t>
            </w:r>
          </w:p>
        </w:tc>
        <w:tc>
          <w:tcPr>
            <w:tcW w:w="1945" w:type="dxa"/>
            <w:tcBorders>
              <w:top w:val="nil"/>
              <w:left w:val="single" w:sz="4" w:space="0" w:color="auto"/>
              <w:bottom w:val="single" w:sz="4" w:space="0" w:color="auto"/>
              <w:right w:val="single" w:sz="4" w:space="0" w:color="auto"/>
            </w:tcBorders>
            <w:shd w:val="clear" w:color="000000" w:fill="FFFFFF"/>
          </w:tcPr>
          <w:p w:rsidR="00763B4E" w:rsidRPr="00E64D38" w:rsidRDefault="00E64D38" w:rsidP="00E64D38">
            <w:pPr>
              <w:jc w:val="both"/>
              <w:rPr>
                <w:color w:val="000000"/>
                <w:sz w:val="20"/>
                <w:szCs w:val="20"/>
              </w:rPr>
            </w:pPr>
            <w:r>
              <w:rPr>
                <w:color w:val="000000"/>
                <w:sz w:val="20"/>
                <w:szCs w:val="20"/>
              </w:rPr>
              <w:t>О</w:t>
            </w:r>
            <w:r w:rsidR="00763B4E" w:rsidRPr="00E64D38">
              <w:rPr>
                <w:color w:val="000000"/>
                <w:sz w:val="20"/>
                <w:szCs w:val="20"/>
              </w:rPr>
              <w:t>нкологические</w:t>
            </w:r>
          </w:p>
        </w:tc>
        <w:tc>
          <w:tcPr>
            <w:tcW w:w="1839" w:type="dxa"/>
            <w:tcBorders>
              <w:top w:val="nil"/>
              <w:left w:val="single" w:sz="4" w:space="0" w:color="auto"/>
              <w:bottom w:val="single" w:sz="4" w:space="0" w:color="auto"/>
              <w:right w:val="single" w:sz="4" w:space="0" w:color="auto"/>
            </w:tcBorders>
            <w:shd w:val="clear" w:color="000000" w:fill="FFFFFF"/>
          </w:tcPr>
          <w:p w:rsidR="00763B4E" w:rsidRPr="00E64D38" w:rsidRDefault="00763B4E" w:rsidP="00E64D38">
            <w:pPr>
              <w:jc w:val="center"/>
              <w:rPr>
                <w:color w:val="000000"/>
                <w:sz w:val="20"/>
                <w:szCs w:val="20"/>
              </w:rPr>
            </w:pPr>
            <w:r w:rsidRPr="00E64D38">
              <w:rPr>
                <w:color w:val="000000"/>
                <w:sz w:val="20"/>
                <w:szCs w:val="20"/>
              </w:rPr>
              <w:t>38</w:t>
            </w:r>
          </w:p>
        </w:tc>
      </w:tr>
      <w:tr w:rsidR="00763B4E" w:rsidRPr="00E64D38" w:rsidTr="00E64D38">
        <w:trPr>
          <w:trHeight w:val="20"/>
        </w:trPr>
        <w:tc>
          <w:tcPr>
            <w:tcW w:w="2873" w:type="dxa"/>
            <w:vMerge/>
          </w:tcPr>
          <w:p w:rsidR="00763B4E" w:rsidRPr="00E64D38" w:rsidRDefault="00763B4E" w:rsidP="00E64D38">
            <w:pPr>
              <w:autoSpaceDE/>
              <w:autoSpaceDN/>
              <w:adjustRightInd/>
              <w:jc w:val="both"/>
              <w:rPr>
                <w:color w:val="000000"/>
                <w:sz w:val="20"/>
                <w:szCs w:val="20"/>
                <w:highlight w:val="green"/>
              </w:rPr>
            </w:pPr>
          </w:p>
        </w:tc>
        <w:tc>
          <w:tcPr>
            <w:tcW w:w="3538" w:type="dxa"/>
            <w:tcBorders>
              <w:top w:val="nil"/>
              <w:left w:val="single" w:sz="4" w:space="0" w:color="auto"/>
              <w:bottom w:val="single" w:sz="4" w:space="0" w:color="auto"/>
              <w:right w:val="single" w:sz="4" w:space="0" w:color="auto"/>
            </w:tcBorders>
            <w:shd w:val="clear" w:color="000000" w:fill="FFFFFF"/>
          </w:tcPr>
          <w:p w:rsidR="00763B4E" w:rsidRPr="00E64D38" w:rsidRDefault="00763B4E" w:rsidP="00E64D38">
            <w:pPr>
              <w:jc w:val="both"/>
              <w:rPr>
                <w:color w:val="000000"/>
                <w:sz w:val="20"/>
                <w:szCs w:val="20"/>
              </w:rPr>
            </w:pPr>
            <w:r w:rsidRPr="00E64D38">
              <w:rPr>
                <w:color w:val="000000"/>
                <w:sz w:val="20"/>
                <w:szCs w:val="20"/>
              </w:rPr>
              <w:t>Отделение противоопухолевой лекарственной терапии № 2</w:t>
            </w:r>
          </w:p>
        </w:tc>
        <w:tc>
          <w:tcPr>
            <w:tcW w:w="1945" w:type="dxa"/>
            <w:tcBorders>
              <w:top w:val="nil"/>
              <w:left w:val="single" w:sz="4" w:space="0" w:color="auto"/>
              <w:bottom w:val="single" w:sz="4" w:space="0" w:color="auto"/>
              <w:right w:val="single" w:sz="4" w:space="0" w:color="auto"/>
            </w:tcBorders>
            <w:shd w:val="clear" w:color="000000" w:fill="FFFFFF"/>
          </w:tcPr>
          <w:p w:rsidR="00763B4E" w:rsidRPr="00E64D38" w:rsidRDefault="00E64D38" w:rsidP="00E64D38">
            <w:pPr>
              <w:jc w:val="both"/>
              <w:rPr>
                <w:color w:val="000000"/>
                <w:sz w:val="20"/>
                <w:szCs w:val="20"/>
              </w:rPr>
            </w:pPr>
            <w:r>
              <w:rPr>
                <w:color w:val="000000"/>
                <w:sz w:val="20"/>
                <w:szCs w:val="20"/>
              </w:rPr>
              <w:t>О</w:t>
            </w:r>
            <w:r w:rsidR="00763B4E" w:rsidRPr="00E64D38">
              <w:rPr>
                <w:color w:val="000000"/>
                <w:sz w:val="20"/>
                <w:szCs w:val="20"/>
              </w:rPr>
              <w:t>нкологические</w:t>
            </w:r>
          </w:p>
        </w:tc>
        <w:tc>
          <w:tcPr>
            <w:tcW w:w="1839" w:type="dxa"/>
            <w:tcBorders>
              <w:top w:val="nil"/>
              <w:left w:val="single" w:sz="4" w:space="0" w:color="auto"/>
              <w:bottom w:val="single" w:sz="4" w:space="0" w:color="auto"/>
              <w:right w:val="single" w:sz="4" w:space="0" w:color="auto"/>
            </w:tcBorders>
            <w:shd w:val="clear" w:color="000000" w:fill="FFFFFF"/>
          </w:tcPr>
          <w:p w:rsidR="00763B4E" w:rsidRPr="00E64D38" w:rsidRDefault="00763B4E" w:rsidP="00E64D38">
            <w:pPr>
              <w:jc w:val="center"/>
              <w:rPr>
                <w:color w:val="000000"/>
                <w:sz w:val="20"/>
                <w:szCs w:val="20"/>
              </w:rPr>
            </w:pPr>
            <w:r w:rsidRPr="00E64D38">
              <w:rPr>
                <w:color w:val="000000"/>
                <w:sz w:val="20"/>
                <w:szCs w:val="20"/>
              </w:rPr>
              <w:t>28</w:t>
            </w:r>
          </w:p>
        </w:tc>
      </w:tr>
      <w:tr w:rsidR="00763B4E" w:rsidRPr="00E64D38" w:rsidTr="00E64D38">
        <w:trPr>
          <w:trHeight w:val="20"/>
        </w:trPr>
        <w:tc>
          <w:tcPr>
            <w:tcW w:w="2873" w:type="dxa"/>
            <w:vMerge/>
          </w:tcPr>
          <w:p w:rsidR="00763B4E" w:rsidRPr="00E64D38" w:rsidRDefault="00763B4E" w:rsidP="00E64D38">
            <w:pPr>
              <w:autoSpaceDE/>
              <w:autoSpaceDN/>
              <w:adjustRightInd/>
              <w:jc w:val="both"/>
              <w:rPr>
                <w:color w:val="000000"/>
                <w:sz w:val="20"/>
                <w:szCs w:val="20"/>
                <w:highlight w:val="green"/>
              </w:rPr>
            </w:pPr>
          </w:p>
        </w:tc>
        <w:tc>
          <w:tcPr>
            <w:tcW w:w="3538" w:type="dxa"/>
            <w:tcBorders>
              <w:top w:val="nil"/>
              <w:left w:val="single" w:sz="4" w:space="0" w:color="auto"/>
              <w:bottom w:val="single" w:sz="4" w:space="0" w:color="auto"/>
              <w:right w:val="single" w:sz="4" w:space="0" w:color="auto"/>
            </w:tcBorders>
            <w:shd w:val="clear" w:color="000000" w:fill="FFFFFF"/>
          </w:tcPr>
          <w:p w:rsidR="00763B4E" w:rsidRPr="00E64D38" w:rsidRDefault="00763B4E" w:rsidP="00E64D38">
            <w:pPr>
              <w:jc w:val="both"/>
              <w:rPr>
                <w:color w:val="000000"/>
                <w:sz w:val="20"/>
                <w:szCs w:val="20"/>
              </w:rPr>
            </w:pPr>
            <w:r w:rsidRPr="00E64D38">
              <w:rPr>
                <w:color w:val="000000"/>
                <w:sz w:val="20"/>
                <w:szCs w:val="20"/>
              </w:rPr>
              <w:t>Отделение противоопухолевой лекарственной терапии № 3</w:t>
            </w:r>
          </w:p>
        </w:tc>
        <w:tc>
          <w:tcPr>
            <w:tcW w:w="1945" w:type="dxa"/>
            <w:tcBorders>
              <w:top w:val="nil"/>
              <w:left w:val="single" w:sz="4" w:space="0" w:color="auto"/>
              <w:bottom w:val="single" w:sz="4" w:space="0" w:color="auto"/>
              <w:right w:val="single" w:sz="4" w:space="0" w:color="auto"/>
            </w:tcBorders>
            <w:shd w:val="clear" w:color="000000" w:fill="FFFFFF"/>
          </w:tcPr>
          <w:p w:rsidR="00763B4E" w:rsidRPr="00E64D38" w:rsidRDefault="00FA54BE" w:rsidP="00E64D38">
            <w:pPr>
              <w:jc w:val="both"/>
              <w:rPr>
                <w:color w:val="000000"/>
                <w:sz w:val="20"/>
                <w:szCs w:val="20"/>
              </w:rPr>
            </w:pPr>
            <w:r>
              <w:rPr>
                <w:color w:val="000000"/>
                <w:sz w:val="20"/>
                <w:szCs w:val="20"/>
              </w:rPr>
              <w:t>О</w:t>
            </w:r>
            <w:r w:rsidR="00763B4E" w:rsidRPr="00E64D38">
              <w:rPr>
                <w:color w:val="000000"/>
                <w:sz w:val="20"/>
                <w:szCs w:val="20"/>
              </w:rPr>
              <w:t>нкологические</w:t>
            </w:r>
          </w:p>
        </w:tc>
        <w:tc>
          <w:tcPr>
            <w:tcW w:w="1839" w:type="dxa"/>
            <w:tcBorders>
              <w:top w:val="nil"/>
              <w:left w:val="single" w:sz="4" w:space="0" w:color="auto"/>
              <w:bottom w:val="single" w:sz="4" w:space="0" w:color="auto"/>
              <w:right w:val="single" w:sz="4" w:space="0" w:color="auto"/>
            </w:tcBorders>
            <w:shd w:val="clear" w:color="000000" w:fill="FFFFFF"/>
          </w:tcPr>
          <w:p w:rsidR="00763B4E" w:rsidRPr="00E64D38" w:rsidRDefault="00763B4E" w:rsidP="00E64D38">
            <w:pPr>
              <w:jc w:val="center"/>
              <w:rPr>
                <w:color w:val="000000"/>
                <w:sz w:val="20"/>
                <w:szCs w:val="20"/>
              </w:rPr>
            </w:pPr>
            <w:r w:rsidRPr="00E64D38">
              <w:rPr>
                <w:color w:val="000000"/>
                <w:sz w:val="20"/>
                <w:szCs w:val="20"/>
              </w:rPr>
              <w:t>36</w:t>
            </w:r>
          </w:p>
        </w:tc>
      </w:tr>
      <w:tr w:rsidR="00763B4E" w:rsidRPr="00E64D38" w:rsidTr="00E64D38">
        <w:trPr>
          <w:trHeight w:val="20"/>
        </w:trPr>
        <w:tc>
          <w:tcPr>
            <w:tcW w:w="2873" w:type="dxa"/>
            <w:vMerge/>
          </w:tcPr>
          <w:p w:rsidR="00763B4E" w:rsidRPr="00E64D38" w:rsidRDefault="00763B4E" w:rsidP="00E64D38">
            <w:pPr>
              <w:autoSpaceDE/>
              <w:autoSpaceDN/>
              <w:adjustRightInd/>
              <w:jc w:val="both"/>
              <w:rPr>
                <w:color w:val="000000"/>
                <w:sz w:val="20"/>
                <w:szCs w:val="20"/>
                <w:highlight w:val="green"/>
              </w:rPr>
            </w:pPr>
          </w:p>
        </w:tc>
        <w:tc>
          <w:tcPr>
            <w:tcW w:w="3538" w:type="dxa"/>
            <w:tcBorders>
              <w:top w:val="nil"/>
              <w:left w:val="single" w:sz="4" w:space="0" w:color="auto"/>
              <w:bottom w:val="single" w:sz="4" w:space="0" w:color="auto"/>
              <w:right w:val="single" w:sz="4" w:space="0" w:color="auto"/>
            </w:tcBorders>
            <w:shd w:val="clear" w:color="000000" w:fill="FFFFFF"/>
          </w:tcPr>
          <w:p w:rsidR="00763B4E" w:rsidRPr="00E64D38" w:rsidRDefault="00763B4E" w:rsidP="00E64D38">
            <w:pPr>
              <w:jc w:val="both"/>
              <w:rPr>
                <w:color w:val="000000"/>
                <w:sz w:val="20"/>
                <w:szCs w:val="20"/>
              </w:rPr>
            </w:pPr>
            <w:r w:rsidRPr="00E64D38">
              <w:rPr>
                <w:color w:val="000000"/>
                <w:sz w:val="20"/>
                <w:szCs w:val="20"/>
              </w:rPr>
              <w:t>Стационарное отделение медицинской реабилитации</w:t>
            </w:r>
          </w:p>
        </w:tc>
        <w:tc>
          <w:tcPr>
            <w:tcW w:w="1945" w:type="dxa"/>
            <w:tcBorders>
              <w:top w:val="nil"/>
              <w:left w:val="single" w:sz="4" w:space="0" w:color="auto"/>
              <w:bottom w:val="single" w:sz="4" w:space="0" w:color="auto"/>
              <w:right w:val="single" w:sz="4" w:space="0" w:color="auto"/>
            </w:tcBorders>
            <w:shd w:val="clear" w:color="000000" w:fill="FFFFFF"/>
          </w:tcPr>
          <w:p w:rsidR="00763B4E" w:rsidRPr="00E64D38" w:rsidRDefault="00E64D38" w:rsidP="00E64D38">
            <w:pPr>
              <w:jc w:val="both"/>
              <w:rPr>
                <w:color w:val="000000"/>
                <w:sz w:val="20"/>
                <w:szCs w:val="20"/>
              </w:rPr>
            </w:pPr>
            <w:r>
              <w:rPr>
                <w:color w:val="000000"/>
                <w:sz w:val="20"/>
                <w:szCs w:val="20"/>
              </w:rPr>
              <w:t>Р</w:t>
            </w:r>
            <w:r w:rsidR="00763B4E" w:rsidRPr="00E64D38">
              <w:rPr>
                <w:color w:val="000000"/>
                <w:sz w:val="20"/>
                <w:szCs w:val="20"/>
              </w:rPr>
              <w:t>еабилитационные соматические</w:t>
            </w:r>
          </w:p>
        </w:tc>
        <w:tc>
          <w:tcPr>
            <w:tcW w:w="1839" w:type="dxa"/>
          </w:tcPr>
          <w:p w:rsidR="00763B4E" w:rsidRPr="00E64D38" w:rsidRDefault="00763B4E" w:rsidP="00E64D38">
            <w:pPr>
              <w:jc w:val="center"/>
              <w:rPr>
                <w:sz w:val="20"/>
                <w:szCs w:val="20"/>
              </w:rPr>
            </w:pPr>
            <w:r w:rsidRPr="00E64D38">
              <w:rPr>
                <w:sz w:val="20"/>
                <w:szCs w:val="20"/>
              </w:rPr>
              <w:t>18</w:t>
            </w:r>
          </w:p>
        </w:tc>
      </w:tr>
      <w:tr w:rsidR="00763B4E" w:rsidRPr="00E64D38" w:rsidTr="00E64D38">
        <w:trPr>
          <w:trHeight w:val="20"/>
        </w:trPr>
        <w:tc>
          <w:tcPr>
            <w:tcW w:w="2873" w:type="dxa"/>
            <w:vMerge/>
          </w:tcPr>
          <w:p w:rsidR="00763B4E" w:rsidRPr="00E64D38" w:rsidRDefault="00763B4E" w:rsidP="00E64D38">
            <w:pPr>
              <w:autoSpaceDE/>
              <w:autoSpaceDN/>
              <w:adjustRightInd/>
              <w:jc w:val="both"/>
              <w:rPr>
                <w:color w:val="000000"/>
                <w:sz w:val="20"/>
                <w:szCs w:val="20"/>
                <w:highlight w:val="green"/>
              </w:rPr>
            </w:pPr>
          </w:p>
        </w:tc>
        <w:tc>
          <w:tcPr>
            <w:tcW w:w="3538" w:type="dxa"/>
            <w:tcBorders>
              <w:top w:val="nil"/>
              <w:left w:val="single" w:sz="4" w:space="0" w:color="auto"/>
              <w:bottom w:val="single" w:sz="4" w:space="0" w:color="auto"/>
              <w:right w:val="single" w:sz="4" w:space="0" w:color="auto"/>
            </w:tcBorders>
            <w:shd w:val="clear" w:color="000000" w:fill="FFFFFF"/>
          </w:tcPr>
          <w:p w:rsidR="00763B4E" w:rsidRPr="00E64D38" w:rsidRDefault="00763B4E" w:rsidP="00E64D38">
            <w:pPr>
              <w:jc w:val="both"/>
              <w:rPr>
                <w:color w:val="000000"/>
                <w:sz w:val="20"/>
                <w:szCs w:val="20"/>
              </w:rPr>
            </w:pPr>
            <w:r w:rsidRPr="00E64D38">
              <w:rPr>
                <w:color w:val="000000"/>
                <w:sz w:val="20"/>
                <w:szCs w:val="20"/>
              </w:rPr>
              <w:t>Отделение радиотерапии № 1</w:t>
            </w:r>
          </w:p>
        </w:tc>
        <w:tc>
          <w:tcPr>
            <w:tcW w:w="1945" w:type="dxa"/>
            <w:tcBorders>
              <w:top w:val="nil"/>
              <w:left w:val="single" w:sz="4" w:space="0" w:color="auto"/>
              <w:bottom w:val="single" w:sz="4" w:space="0" w:color="auto"/>
              <w:right w:val="single" w:sz="4" w:space="0" w:color="auto"/>
            </w:tcBorders>
            <w:shd w:val="clear" w:color="000000" w:fill="FFFFFF"/>
          </w:tcPr>
          <w:p w:rsidR="00763B4E" w:rsidRPr="00E64D38" w:rsidRDefault="00E64D38" w:rsidP="00E64D38">
            <w:pPr>
              <w:jc w:val="both"/>
              <w:rPr>
                <w:color w:val="000000"/>
                <w:sz w:val="20"/>
                <w:szCs w:val="20"/>
              </w:rPr>
            </w:pPr>
            <w:r>
              <w:rPr>
                <w:color w:val="000000"/>
                <w:sz w:val="20"/>
                <w:szCs w:val="20"/>
              </w:rPr>
              <w:t>Р</w:t>
            </w:r>
            <w:r w:rsidR="00763B4E" w:rsidRPr="00E64D38">
              <w:rPr>
                <w:color w:val="000000"/>
                <w:sz w:val="20"/>
                <w:szCs w:val="20"/>
              </w:rPr>
              <w:t>адиологические</w:t>
            </w:r>
          </w:p>
        </w:tc>
        <w:tc>
          <w:tcPr>
            <w:tcW w:w="1839" w:type="dxa"/>
            <w:tcBorders>
              <w:top w:val="single" w:sz="4" w:space="0" w:color="auto"/>
              <w:left w:val="single" w:sz="4" w:space="0" w:color="auto"/>
              <w:bottom w:val="single" w:sz="4" w:space="0" w:color="auto"/>
              <w:right w:val="single" w:sz="4" w:space="0" w:color="auto"/>
            </w:tcBorders>
            <w:shd w:val="clear" w:color="000000" w:fill="FFFFFF"/>
          </w:tcPr>
          <w:p w:rsidR="00763B4E" w:rsidRPr="00E64D38" w:rsidRDefault="00763B4E" w:rsidP="00E64D38">
            <w:pPr>
              <w:autoSpaceDE/>
              <w:autoSpaceDN/>
              <w:adjustRightInd/>
              <w:jc w:val="center"/>
              <w:rPr>
                <w:color w:val="000000"/>
                <w:sz w:val="20"/>
                <w:szCs w:val="20"/>
              </w:rPr>
            </w:pPr>
            <w:r w:rsidRPr="00E64D38">
              <w:rPr>
                <w:color w:val="000000"/>
                <w:sz w:val="20"/>
                <w:szCs w:val="20"/>
              </w:rPr>
              <w:t>60</w:t>
            </w:r>
          </w:p>
        </w:tc>
      </w:tr>
      <w:tr w:rsidR="00763B4E" w:rsidRPr="00E64D38" w:rsidTr="00E64D38">
        <w:trPr>
          <w:trHeight w:val="20"/>
        </w:trPr>
        <w:tc>
          <w:tcPr>
            <w:tcW w:w="2873" w:type="dxa"/>
            <w:vMerge/>
          </w:tcPr>
          <w:p w:rsidR="00763B4E" w:rsidRPr="00E64D38" w:rsidRDefault="00763B4E" w:rsidP="00E64D38">
            <w:pPr>
              <w:autoSpaceDE/>
              <w:autoSpaceDN/>
              <w:adjustRightInd/>
              <w:jc w:val="both"/>
              <w:rPr>
                <w:color w:val="000000"/>
                <w:sz w:val="20"/>
                <w:szCs w:val="20"/>
                <w:highlight w:val="green"/>
              </w:rPr>
            </w:pPr>
          </w:p>
        </w:tc>
        <w:tc>
          <w:tcPr>
            <w:tcW w:w="3538" w:type="dxa"/>
            <w:tcBorders>
              <w:top w:val="nil"/>
              <w:left w:val="single" w:sz="4" w:space="0" w:color="auto"/>
              <w:bottom w:val="single" w:sz="4" w:space="0" w:color="auto"/>
              <w:right w:val="single" w:sz="4" w:space="0" w:color="auto"/>
            </w:tcBorders>
            <w:shd w:val="clear" w:color="000000" w:fill="FFFFFF"/>
          </w:tcPr>
          <w:p w:rsidR="00763B4E" w:rsidRPr="00E64D38" w:rsidRDefault="00763B4E" w:rsidP="00E64D38">
            <w:pPr>
              <w:jc w:val="both"/>
              <w:rPr>
                <w:color w:val="000000"/>
                <w:sz w:val="20"/>
                <w:szCs w:val="20"/>
              </w:rPr>
            </w:pPr>
            <w:r w:rsidRPr="00E64D38">
              <w:rPr>
                <w:color w:val="000000"/>
                <w:sz w:val="20"/>
                <w:szCs w:val="20"/>
              </w:rPr>
              <w:t>Отделение радиотерапии № 2</w:t>
            </w:r>
          </w:p>
        </w:tc>
        <w:tc>
          <w:tcPr>
            <w:tcW w:w="1945" w:type="dxa"/>
            <w:tcBorders>
              <w:top w:val="nil"/>
              <w:left w:val="single" w:sz="4" w:space="0" w:color="auto"/>
              <w:bottom w:val="single" w:sz="4" w:space="0" w:color="auto"/>
              <w:right w:val="single" w:sz="4" w:space="0" w:color="auto"/>
            </w:tcBorders>
            <w:shd w:val="clear" w:color="000000" w:fill="FFFFFF"/>
          </w:tcPr>
          <w:p w:rsidR="00763B4E" w:rsidRPr="00E64D38" w:rsidRDefault="00E64D38" w:rsidP="00E64D38">
            <w:pPr>
              <w:jc w:val="both"/>
              <w:rPr>
                <w:color w:val="000000"/>
                <w:sz w:val="20"/>
                <w:szCs w:val="20"/>
              </w:rPr>
            </w:pPr>
            <w:r>
              <w:rPr>
                <w:color w:val="000000"/>
                <w:sz w:val="20"/>
                <w:szCs w:val="20"/>
              </w:rPr>
              <w:t>Р</w:t>
            </w:r>
            <w:r w:rsidR="00763B4E" w:rsidRPr="00E64D38">
              <w:rPr>
                <w:color w:val="000000"/>
                <w:sz w:val="20"/>
                <w:szCs w:val="20"/>
              </w:rPr>
              <w:t>адиологические</w:t>
            </w:r>
          </w:p>
        </w:tc>
        <w:tc>
          <w:tcPr>
            <w:tcW w:w="1839" w:type="dxa"/>
            <w:tcBorders>
              <w:top w:val="nil"/>
              <w:left w:val="single" w:sz="4" w:space="0" w:color="auto"/>
              <w:bottom w:val="single" w:sz="4" w:space="0" w:color="auto"/>
              <w:right w:val="single" w:sz="4" w:space="0" w:color="auto"/>
            </w:tcBorders>
            <w:shd w:val="clear" w:color="000000" w:fill="FFFFFF"/>
          </w:tcPr>
          <w:p w:rsidR="00763B4E" w:rsidRPr="00E64D38" w:rsidRDefault="00763B4E" w:rsidP="00E64D38">
            <w:pPr>
              <w:jc w:val="center"/>
              <w:rPr>
                <w:color w:val="000000"/>
                <w:sz w:val="20"/>
                <w:szCs w:val="20"/>
              </w:rPr>
            </w:pPr>
            <w:r w:rsidRPr="00E64D38">
              <w:rPr>
                <w:color w:val="000000"/>
                <w:sz w:val="20"/>
                <w:szCs w:val="20"/>
              </w:rPr>
              <w:t>40</w:t>
            </w:r>
          </w:p>
        </w:tc>
      </w:tr>
      <w:tr w:rsidR="00763B4E" w:rsidRPr="00E64D38" w:rsidTr="00E64D38">
        <w:trPr>
          <w:trHeight w:val="20"/>
        </w:trPr>
        <w:tc>
          <w:tcPr>
            <w:tcW w:w="2873" w:type="dxa"/>
            <w:vMerge/>
          </w:tcPr>
          <w:p w:rsidR="00763B4E" w:rsidRPr="00E64D38" w:rsidRDefault="00763B4E" w:rsidP="00E64D38">
            <w:pPr>
              <w:autoSpaceDE/>
              <w:autoSpaceDN/>
              <w:adjustRightInd/>
              <w:jc w:val="both"/>
              <w:rPr>
                <w:color w:val="000000"/>
                <w:sz w:val="20"/>
                <w:szCs w:val="20"/>
                <w:highlight w:val="green"/>
              </w:rPr>
            </w:pPr>
          </w:p>
        </w:tc>
        <w:tc>
          <w:tcPr>
            <w:tcW w:w="3538" w:type="dxa"/>
            <w:tcBorders>
              <w:top w:val="nil"/>
              <w:left w:val="single" w:sz="4" w:space="0" w:color="auto"/>
              <w:bottom w:val="single" w:sz="4" w:space="0" w:color="auto"/>
              <w:right w:val="single" w:sz="4" w:space="0" w:color="auto"/>
            </w:tcBorders>
            <w:shd w:val="clear" w:color="000000" w:fill="FFFFFF"/>
          </w:tcPr>
          <w:p w:rsidR="00763B4E" w:rsidRPr="00E64D38" w:rsidRDefault="00763B4E" w:rsidP="00E64D38">
            <w:pPr>
              <w:jc w:val="both"/>
              <w:rPr>
                <w:color w:val="000000"/>
                <w:sz w:val="20"/>
                <w:szCs w:val="20"/>
              </w:rPr>
            </w:pPr>
            <w:r w:rsidRPr="00E64D38">
              <w:rPr>
                <w:color w:val="000000"/>
                <w:sz w:val="20"/>
                <w:szCs w:val="20"/>
              </w:rPr>
              <w:t>Отделение радиотерапии № 3</w:t>
            </w:r>
          </w:p>
        </w:tc>
        <w:tc>
          <w:tcPr>
            <w:tcW w:w="1945" w:type="dxa"/>
            <w:tcBorders>
              <w:top w:val="nil"/>
              <w:left w:val="single" w:sz="4" w:space="0" w:color="auto"/>
              <w:bottom w:val="single" w:sz="4" w:space="0" w:color="auto"/>
              <w:right w:val="single" w:sz="4" w:space="0" w:color="auto"/>
            </w:tcBorders>
            <w:shd w:val="clear" w:color="000000" w:fill="FFFFFF"/>
          </w:tcPr>
          <w:p w:rsidR="00763B4E" w:rsidRPr="00E64D38" w:rsidRDefault="00E64D38" w:rsidP="00E64D38">
            <w:pPr>
              <w:jc w:val="both"/>
              <w:rPr>
                <w:color w:val="000000"/>
                <w:sz w:val="20"/>
                <w:szCs w:val="20"/>
              </w:rPr>
            </w:pPr>
            <w:r>
              <w:rPr>
                <w:color w:val="000000"/>
                <w:sz w:val="20"/>
                <w:szCs w:val="20"/>
              </w:rPr>
              <w:t>Р</w:t>
            </w:r>
            <w:r w:rsidR="00763B4E" w:rsidRPr="00E64D38">
              <w:rPr>
                <w:color w:val="000000"/>
                <w:sz w:val="20"/>
                <w:szCs w:val="20"/>
              </w:rPr>
              <w:t>адиологические</w:t>
            </w:r>
          </w:p>
        </w:tc>
        <w:tc>
          <w:tcPr>
            <w:tcW w:w="1839" w:type="dxa"/>
            <w:tcBorders>
              <w:top w:val="nil"/>
              <w:left w:val="single" w:sz="4" w:space="0" w:color="auto"/>
              <w:bottom w:val="single" w:sz="4" w:space="0" w:color="auto"/>
              <w:right w:val="single" w:sz="4" w:space="0" w:color="auto"/>
            </w:tcBorders>
            <w:shd w:val="clear" w:color="000000" w:fill="FFFFFF"/>
          </w:tcPr>
          <w:p w:rsidR="00763B4E" w:rsidRPr="00E64D38" w:rsidRDefault="00763B4E" w:rsidP="00E64D38">
            <w:pPr>
              <w:jc w:val="center"/>
              <w:rPr>
                <w:color w:val="000000"/>
                <w:sz w:val="20"/>
                <w:szCs w:val="20"/>
              </w:rPr>
            </w:pPr>
            <w:r w:rsidRPr="00E64D38">
              <w:rPr>
                <w:color w:val="000000"/>
                <w:sz w:val="20"/>
                <w:szCs w:val="20"/>
              </w:rPr>
              <w:t>35</w:t>
            </w:r>
          </w:p>
        </w:tc>
      </w:tr>
      <w:tr w:rsidR="00763B4E" w:rsidRPr="00E64D38" w:rsidTr="00E64D38">
        <w:trPr>
          <w:trHeight w:val="20"/>
        </w:trPr>
        <w:tc>
          <w:tcPr>
            <w:tcW w:w="2873" w:type="dxa"/>
            <w:vMerge/>
          </w:tcPr>
          <w:p w:rsidR="00763B4E" w:rsidRPr="00E64D38" w:rsidRDefault="00763B4E" w:rsidP="00E64D38">
            <w:pPr>
              <w:autoSpaceDE/>
              <w:autoSpaceDN/>
              <w:adjustRightInd/>
              <w:jc w:val="both"/>
              <w:rPr>
                <w:color w:val="000000"/>
                <w:sz w:val="20"/>
                <w:szCs w:val="20"/>
                <w:highlight w:val="green"/>
              </w:rPr>
            </w:pPr>
          </w:p>
        </w:tc>
        <w:tc>
          <w:tcPr>
            <w:tcW w:w="3538" w:type="dxa"/>
            <w:tcBorders>
              <w:top w:val="nil"/>
              <w:left w:val="single" w:sz="4" w:space="0" w:color="auto"/>
              <w:bottom w:val="single" w:sz="4" w:space="0" w:color="auto"/>
              <w:right w:val="single" w:sz="4" w:space="0" w:color="auto"/>
            </w:tcBorders>
            <w:shd w:val="clear" w:color="000000" w:fill="FFFFFF"/>
          </w:tcPr>
          <w:p w:rsidR="00763B4E" w:rsidRPr="00E64D38" w:rsidRDefault="00763B4E" w:rsidP="00E64D38">
            <w:pPr>
              <w:jc w:val="both"/>
              <w:rPr>
                <w:color w:val="000000"/>
                <w:sz w:val="20"/>
                <w:szCs w:val="20"/>
              </w:rPr>
            </w:pPr>
            <w:r w:rsidRPr="00E64D38">
              <w:rPr>
                <w:color w:val="000000"/>
                <w:sz w:val="20"/>
                <w:szCs w:val="20"/>
              </w:rPr>
              <w:t>Отделение радионуклидной терапии</w:t>
            </w:r>
          </w:p>
        </w:tc>
        <w:tc>
          <w:tcPr>
            <w:tcW w:w="1945" w:type="dxa"/>
            <w:tcBorders>
              <w:top w:val="nil"/>
              <w:left w:val="single" w:sz="4" w:space="0" w:color="auto"/>
              <w:bottom w:val="single" w:sz="4" w:space="0" w:color="auto"/>
              <w:right w:val="single" w:sz="4" w:space="0" w:color="auto"/>
            </w:tcBorders>
            <w:shd w:val="clear" w:color="000000" w:fill="FFFFFF"/>
          </w:tcPr>
          <w:p w:rsidR="00763B4E" w:rsidRPr="00E64D38" w:rsidRDefault="00E64D38" w:rsidP="00E64D38">
            <w:pPr>
              <w:jc w:val="both"/>
              <w:rPr>
                <w:color w:val="000000"/>
                <w:sz w:val="20"/>
                <w:szCs w:val="20"/>
              </w:rPr>
            </w:pPr>
            <w:r>
              <w:rPr>
                <w:color w:val="000000"/>
                <w:sz w:val="20"/>
                <w:szCs w:val="20"/>
              </w:rPr>
              <w:t>Р</w:t>
            </w:r>
            <w:r w:rsidR="00763B4E" w:rsidRPr="00E64D38">
              <w:rPr>
                <w:color w:val="000000"/>
                <w:sz w:val="20"/>
                <w:szCs w:val="20"/>
              </w:rPr>
              <w:t>адиологические</w:t>
            </w:r>
          </w:p>
        </w:tc>
        <w:tc>
          <w:tcPr>
            <w:tcW w:w="1839" w:type="dxa"/>
            <w:tcBorders>
              <w:top w:val="nil"/>
              <w:left w:val="single" w:sz="4" w:space="0" w:color="auto"/>
              <w:bottom w:val="single" w:sz="4" w:space="0" w:color="auto"/>
              <w:right w:val="single" w:sz="4" w:space="0" w:color="auto"/>
            </w:tcBorders>
            <w:shd w:val="clear" w:color="000000" w:fill="FFFFFF"/>
          </w:tcPr>
          <w:p w:rsidR="00763B4E" w:rsidRPr="00E64D38" w:rsidRDefault="00763B4E" w:rsidP="00E64D38">
            <w:pPr>
              <w:jc w:val="center"/>
              <w:rPr>
                <w:color w:val="000000"/>
                <w:sz w:val="20"/>
                <w:szCs w:val="20"/>
              </w:rPr>
            </w:pPr>
            <w:r w:rsidRPr="00E64D38">
              <w:rPr>
                <w:color w:val="000000"/>
                <w:sz w:val="20"/>
                <w:szCs w:val="20"/>
              </w:rPr>
              <w:t>8</w:t>
            </w:r>
          </w:p>
        </w:tc>
      </w:tr>
      <w:tr w:rsidR="00763B4E" w:rsidRPr="00E64D38" w:rsidTr="00E64D38">
        <w:trPr>
          <w:trHeight w:val="20"/>
        </w:trPr>
        <w:tc>
          <w:tcPr>
            <w:tcW w:w="2873" w:type="dxa"/>
            <w:vMerge/>
          </w:tcPr>
          <w:p w:rsidR="00763B4E" w:rsidRPr="00E64D38" w:rsidRDefault="00763B4E" w:rsidP="00E64D38">
            <w:pPr>
              <w:autoSpaceDE/>
              <w:autoSpaceDN/>
              <w:adjustRightInd/>
              <w:jc w:val="both"/>
              <w:rPr>
                <w:color w:val="000000"/>
                <w:sz w:val="20"/>
                <w:szCs w:val="20"/>
                <w:highlight w:val="green"/>
              </w:rPr>
            </w:pPr>
          </w:p>
        </w:tc>
        <w:tc>
          <w:tcPr>
            <w:tcW w:w="3538" w:type="dxa"/>
            <w:tcBorders>
              <w:top w:val="nil"/>
              <w:left w:val="single" w:sz="4" w:space="0" w:color="auto"/>
              <w:bottom w:val="single" w:sz="4" w:space="0" w:color="auto"/>
              <w:right w:val="single" w:sz="4" w:space="0" w:color="auto"/>
            </w:tcBorders>
            <w:shd w:val="clear" w:color="000000" w:fill="FFFFFF"/>
          </w:tcPr>
          <w:p w:rsidR="00763B4E" w:rsidRPr="00E64D38" w:rsidRDefault="00763B4E" w:rsidP="00E64D38">
            <w:pPr>
              <w:jc w:val="both"/>
              <w:rPr>
                <w:color w:val="000000"/>
                <w:sz w:val="20"/>
                <w:szCs w:val="20"/>
              </w:rPr>
            </w:pPr>
            <w:r w:rsidRPr="00E64D38">
              <w:rPr>
                <w:color w:val="000000"/>
                <w:sz w:val="20"/>
                <w:szCs w:val="20"/>
              </w:rPr>
              <w:t>Дневной стационар №</w:t>
            </w:r>
            <w:r w:rsidR="00E64D38">
              <w:rPr>
                <w:color w:val="000000"/>
                <w:sz w:val="20"/>
                <w:szCs w:val="20"/>
              </w:rPr>
              <w:t xml:space="preserve"> </w:t>
            </w:r>
            <w:r w:rsidRPr="00E64D38">
              <w:rPr>
                <w:color w:val="000000"/>
                <w:sz w:val="20"/>
                <w:szCs w:val="20"/>
              </w:rPr>
              <w:t>1 (противоопухолевой лекарственной терапии)</w:t>
            </w:r>
          </w:p>
        </w:tc>
        <w:tc>
          <w:tcPr>
            <w:tcW w:w="1945" w:type="dxa"/>
            <w:tcBorders>
              <w:top w:val="nil"/>
              <w:left w:val="single" w:sz="4" w:space="0" w:color="auto"/>
              <w:bottom w:val="single" w:sz="4" w:space="0" w:color="auto"/>
              <w:right w:val="single" w:sz="4" w:space="0" w:color="auto"/>
            </w:tcBorders>
            <w:shd w:val="clear" w:color="000000" w:fill="FFFFFF"/>
          </w:tcPr>
          <w:p w:rsidR="00763B4E" w:rsidRPr="00E64D38" w:rsidRDefault="00E64D38" w:rsidP="00E64D38">
            <w:pPr>
              <w:jc w:val="both"/>
              <w:rPr>
                <w:color w:val="000000"/>
                <w:sz w:val="20"/>
                <w:szCs w:val="20"/>
              </w:rPr>
            </w:pPr>
            <w:r>
              <w:rPr>
                <w:color w:val="000000"/>
                <w:sz w:val="20"/>
                <w:szCs w:val="20"/>
              </w:rPr>
              <w:t>О</w:t>
            </w:r>
            <w:r w:rsidR="00763B4E" w:rsidRPr="00E64D38">
              <w:rPr>
                <w:color w:val="000000"/>
                <w:sz w:val="20"/>
                <w:szCs w:val="20"/>
              </w:rPr>
              <w:t>нкологические</w:t>
            </w:r>
          </w:p>
        </w:tc>
        <w:tc>
          <w:tcPr>
            <w:tcW w:w="1839" w:type="dxa"/>
            <w:tcBorders>
              <w:top w:val="single" w:sz="4" w:space="0" w:color="auto"/>
              <w:left w:val="single" w:sz="4" w:space="0" w:color="auto"/>
              <w:bottom w:val="single" w:sz="4" w:space="0" w:color="auto"/>
              <w:right w:val="single" w:sz="4" w:space="0" w:color="auto"/>
            </w:tcBorders>
            <w:shd w:val="clear" w:color="000000" w:fill="FFFFFF"/>
          </w:tcPr>
          <w:p w:rsidR="00763B4E" w:rsidRPr="00E64D38" w:rsidRDefault="00763B4E" w:rsidP="00E64D38">
            <w:pPr>
              <w:autoSpaceDE/>
              <w:autoSpaceDN/>
              <w:adjustRightInd/>
              <w:jc w:val="center"/>
              <w:rPr>
                <w:color w:val="000000"/>
                <w:sz w:val="20"/>
                <w:szCs w:val="20"/>
              </w:rPr>
            </w:pPr>
            <w:r w:rsidRPr="00E64D38">
              <w:rPr>
                <w:color w:val="000000"/>
                <w:sz w:val="20"/>
                <w:szCs w:val="20"/>
              </w:rPr>
              <w:t>48</w:t>
            </w:r>
          </w:p>
        </w:tc>
      </w:tr>
      <w:tr w:rsidR="00763B4E" w:rsidRPr="00E64D38" w:rsidTr="00E64D38">
        <w:trPr>
          <w:trHeight w:val="20"/>
        </w:trPr>
        <w:tc>
          <w:tcPr>
            <w:tcW w:w="2873" w:type="dxa"/>
            <w:vMerge/>
          </w:tcPr>
          <w:p w:rsidR="00763B4E" w:rsidRPr="00E64D38" w:rsidRDefault="00763B4E" w:rsidP="00E64D38">
            <w:pPr>
              <w:autoSpaceDE/>
              <w:autoSpaceDN/>
              <w:adjustRightInd/>
              <w:jc w:val="both"/>
              <w:rPr>
                <w:color w:val="000000"/>
                <w:sz w:val="20"/>
                <w:szCs w:val="20"/>
                <w:highlight w:val="green"/>
              </w:rPr>
            </w:pPr>
          </w:p>
        </w:tc>
        <w:tc>
          <w:tcPr>
            <w:tcW w:w="3538" w:type="dxa"/>
            <w:tcBorders>
              <w:top w:val="nil"/>
              <w:left w:val="nil"/>
              <w:bottom w:val="nil"/>
              <w:right w:val="nil"/>
            </w:tcBorders>
            <w:shd w:val="clear" w:color="000000" w:fill="FFFFFF"/>
          </w:tcPr>
          <w:p w:rsidR="00763B4E" w:rsidRPr="00E64D38" w:rsidRDefault="00763B4E" w:rsidP="00E64D38">
            <w:pPr>
              <w:jc w:val="both"/>
              <w:rPr>
                <w:color w:val="000000"/>
                <w:sz w:val="20"/>
                <w:szCs w:val="20"/>
              </w:rPr>
            </w:pPr>
            <w:r w:rsidRPr="00E64D38">
              <w:rPr>
                <w:color w:val="000000"/>
                <w:sz w:val="20"/>
                <w:szCs w:val="20"/>
              </w:rPr>
              <w:t>Дневной стационар №</w:t>
            </w:r>
            <w:r w:rsidR="00E64D38">
              <w:rPr>
                <w:color w:val="000000"/>
                <w:sz w:val="20"/>
                <w:szCs w:val="20"/>
              </w:rPr>
              <w:t xml:space="preserve"> </w:t>
            </w:r>
            <w:r w:rsidRPr="00E64D38">
              <w:rPr>
                <w:color w:val="000000"/>
                <w:sz w:val="20"/>
                <w:szCs w:val="20"/>
              </w:rPr>
              <w:t>2 (радиотерапевтический)</w:t>
            </w:r>
          </w:p>
        </w:tc>
        <w:tc>
          <w:tcPr>
            <w:tcW w:w="1945" w:type="dxa"/>
            <w:tcBorders>
              <w:top w:val="nil"/>
              <w:left w:val="single" w:sz="4" w:space="0" w:color="auto"/>
              <w:bottom w:val="single" w:sz="4" w:space="0" w:color="auto"/>
              <w:right w:val="single" w:sz="4" w:space="0" w:color="auto"/>
            </w:tcBorders>
            <w:shd w:val="clear" w:color="000000" w:fill="FFFFFF"/>
          </w:tcPr>
          <w:p w:rsidR="00763B4E" w:rsidRPr="00E64D38" w:rsidRDefault="00E64D38" w:rsidP="00E64D38">
            <w:pPr>
              <w:jc w:val="both"/>
              <w:rPr>
                <w:color w:val="000000"/>
                <w:sz w:val="20"/>
                <w:szCs w:val="20"/>
              </w:rPr>
            </w:pPr>
            <w:r>
              <w:rPr>
                <w:color w:val="000000"/>
                <w:sz w:val="20"/>
                <w:szCs w:val="20"/>
              </w:rPr>
              <w:t>Р</w:t>
            </w:r>
            <w:r w:rsidR="00763B4E" w:rsidRPr="00E64D38">
              <w:rPr>
                <w:color w:val="000000"/>
                <w:sz w:val="20"/>
                <w:szCs w:val="20"/>
              </w:rPr>
              <w:t>адиологические</w:t>
            </w:r>
          </w:p>
        </w:tc>
        <w:tc>
          <w:tcPr>
            <w:tcW w:w="1839" w:type="dxa"/>
            <w:tcBorders>
              <w:top w:val="nil"/>
              <w:left w:val="single" w:sz="4" w:space="0" w:color="auto"/>
              <w:bottom w:val="single" w:sz="4" w:space="0" w:color="auto"/>
              <w:right w:val="single" w:sz="4" w:space="0" w:color="auto"/>
            </w:tcBorders>
            <w:shd w:val="clear" w:color="000000" w:fill="FFFFFF"/>
          </w:tcPr>
          <w:p w:rsidR="00763B4E" w:rsidRPr="00E64D38" w:rsidRDefault="00763B4E" w:rsidP="00E64D38">
            <w:pPr>
              <w:jc w:val="center"/>
              <w:rPr>
                <w:color w:val="000000"/>
                <w:sz w:val="20"/>
                <w:szCs w:val="20"/>
              </w:rPr>
            </w:pPr>
            <w:r w:rsidRPr="00E64D38">
              <w:rPr>
                <w:color w:val="000000"/>
                <w:sz w:val="20"/>
                <w:szCs w:val="20"/>
              </w:rPr>
              <w:t>105 </w:t>
            </w:r>
          </w:p>
        </w:tc>
      </w:tr>
      <w:tr w:rsidR="00763B4E" w:rsidRPr="00E64D38" w:rsidTr="00E64D38">
        <w:trPr>
          <w:trHeight w:val="20"/>
        </w:trPr>
        <w:tc>
          <w:tcPr>
            <w:tcW w:w="2873" w:type="dxa"/>
            <w:vMerge/>
          </w:tcPr>
          <w:p w:rsidR="00763B4E" w:rsidRPr="00E64D38" w:rsidRDefault="00763B4E" w:rsidP="00E64D38">
            <w:pPr>
              <w:autoSpaceDE/>
              <w:autoSpaceDN/>
              <w:adjustRightInd/>
              <w:jc w:val="both"/>
              <w:rPr>
                <w:color w:val="000000"/>
                <w:sz w:val="20"/>
                <w:szCs w:val="20"/>
                <w:highlight w:val="green"/>
              </w:rPr>
            </w:pPr>
          </w:p>
        </w:tc>
        <w:tc>
          <w:tcPr>
            <w:tcW w:w="3538" w:type="dxa"/>
            <w:tcBorders>
              <w:top w:val="single" w:sz="4" w:space="0" w:color="auto"/>
              <w:left w:val="single" w:sz="4" w:space="0" w:color="auto"/>
              <w:bottom w:val="single" w:sz="4" w:space="0" w:color="auto"/>
              <w:right w:val="single" w:sz="4" w:space="0" w:color="auto"/>
            </w:tcBorders>
            <w:shd w:val="clear" w:color="000000" w:fill="FFFFFF"/>
          </w:tcPr>
          <w:p w:rsidR="00763B4E" w:rsidRPr="00E64D38" w:rsidRDefault="00763B4E" w:rsidP="00E64D38">
            <w:pPr>
              <w:jc w:val="both"/>
              <w:rPr>
                <w:color w:val="000000"/>
                <w:sz w:val="20"/>
                <w:szCs w:val="20"/>
              </w:rPr>
            </w:pPr>
            <w:r w:rsidRPr="00E64D38">
              <w:rPr>
                <w:color w:val="000000"/>
                <w:sz w:val="20"/>
                <w:szCs w:val="20"/>
              </w:rPr>
              <w:t>Дневной стационар №</w:t>
            </w:r>
            <w:r w:rsidR="00E64D38">
              <w:rPr>
                <w:color w:val="000000"/>
                <w:sz w:val="20"/>
                <w:szCs w:val="20"/>
              </w:rPr>
              <w:t xml:space="preserve"> </w:t>
            </w:r>
            <w:r w:rsidRPr="00E64D38">
              <w:rPr>
                <w:color w:val="000000"/>
                <w:sz w:val="20"/>
                <w:szCs w:val="20"/>
              </w:rPr>
              <w:t>4 (хирургических методов лечения)</w:t>
            </w:r>
          </w:p>
        </w:tc>
        <w:tc>
          <w:tcPr>
            <w:tcW w:w="1945" w:type="dxa"/>
            <w:tcBorders>
              <w:top w:val="nil"/>
              <w:left w:val="single" w:sz="4" w:space="0" w:color="auto"/>
              <w:bottom w:val="single" w:sz="4" w:space="0" w:color="auto"/>
              <w:right w:val="single" w:sz="4" w:space="0" w:color="auto"/>
            </w:tcBorders>
            <w:shd w:val="clear" w:color="000000" w:fill="FFFFFF"/>
          </w:tcPr>
          <w:p w:rsidR="00763B4E" w:rsidRPr="00E64D38" w:rsidRDefault="00E64D38" w:rsidP="00E64D38">
            <w:pPr>
              <w:jc w:val="both"/>
              <w:rPr>
                <w:color w:val="000000"/>
                <w:sz w:val="20"/>
                <w:szCs w:val="20"/>
              </w:rPr>
            </w:pPr>
            <w:r>
              <w:rPr>
                <w:color w:val="000000"/>
                <w:sz w:val="20"/>
                <w:szCs w:val="20"/>
              </w:rPr>
              <w:t>О</w:t>
            </w:r>
            <w:r w:rsidR="00763B4E" w:rsidRPr="00E64D38">
              <w:rPr>
                <w:color w:val="000000"/>
                <w:sz w:val="20"/>
                <w:szCs w:val="20"/>
              </w:rPr>
              <w:t>нкологические</w:t>
            </w:r>
          </w:p>
        </w:tc>
        <w:tc>
          <w:tcPr>
            <w:tcW w:w="1839" w:type="dxa"/>
            <w:tcBorders>
              <w:top w:val="nil"/>
              <w:left w:val="single" w:sz="4" w:space="0" w:color="auto"/>
              <w:bottom w:val="single" w:sz="4" w:space="0" w:color="auto"/>
              <w:right w:val="single" w:sz="4" w:space="0" w:color="auto"/>
            </w:tcBorders>
            <w:shd w:val="clear" w:color="000000" w:fill="FFFFFF"/>
          </w:tcPr>
          <w:p w:rsidR="00763B4E" w:rsidRPr="00E64D38" w:rsidRDefault="00763B4E" w:rsidP="00E64D38">
            <w:pPr>
              <w:jc w:val="center"/>
              <w:rPr>
                <w:color w:val="000000"/>
                <w:sz w:val="20"/>
                <w:szCs w:val="20"/>
              </w:rPr>
            </w:pPr>
            <w:r w:rsidRPr="00E64D38">
              <w:rPr>
                <w:color w:val="000000"/>
                <w:sz w:val="20"/>
                <w:szCs w:val="20"/>
              </w:rPr>
              <w:t>12</w:t>
            </w:r>
          </w:p>
        </w:tc>
      </w:tr>
      <w:tr w:rsidR="00763B4E" w:rsidRPr="00E64D38" w:rsidTr="00E64D38">
        <w:trPr>
          <w:trHeight w:val="20"/>
        </w:trPr>
        <w:tc>
          <w:tcPr>
            <w:tcW w:w="2873" w:type="dxa"/>
            <w:vMerge/>
          </w:tcPr>
          <w:p w:rsidR="00763B4E" w:rsidRPr="00E64D38" w:rsidRDefault="00763B4E" w:rsidP="00E64D38">
            <w:pPr>
              <w:autoSpaceDE/>
              <w:autoSpaceDN/>
              <w:adjustRightInd/>
              <w:jc w:val="both"/>
              <w:rPr>
                <w:color w:val="000000"/>
                <w:sz w:val="20"/>
                <w:szCs w:val="20"/>
                <w:highlight w:val="green"/>
              </w:rPr>
            </w:pPr>
          </w:p>
        </w:tc>
        <w:tc>
          <w:tcPr>
            <w:tcW w:w="3538" w:type="dxa"/>
            <w:tcBorders>
              <w:top w:val="nil"/>
              <w:left w:val="single" w:sz="4" w:space="0" w:color="auto"/>
              <w:bottom w:val="single" w:sz="4" w:space="0" w:color="auto"/>
              <w:right w:val="single" w:sz="4" w:space="0" w:color="auto"/>
            </w:tcBorders>
            <w:shd w:val="clear" w:color="000000" w:fill="FFFFFF"/>
          </w:tcPr>
          <w:p w:rsidR="00763B4E" w:rsidRPr="00E64D38" w:rsidRDefault="00763B4E" w:rsidP="00E64D38">
            <w:pPr>
              <w:jc w:val="both"/>
              <w:rPr>
                <w:color w:val="000000"/>
                <w:sz w:val="20"/>
                <w:szCs w:val="20"/>
              </w:rPr>
            </w:pPr>
            <w:r w:rsidRPr="00E64D38">
              <w:rPr>
                <w:color w:val="000000"/>
                <w:sz w:val="20"/>
                <w:szCs w:val="20"/>
              </w:rPr>
              <w:t>Дневной стационар №</w:t>
            </w:r>
            <w:r w:rsidR="00E64D38">
              <w:rPr>
                <w:color w:val="000000"/>
                <w:sz w:val="20"/>
                <w:szCs w:val="20"/>
              </w:rPr>
              <w:t xml:space="preserve"> </w:t>
            </w:r>
            <w:r w:rsidRPr="00E64D38">
              <w:rPr>
                <w:color w:val="000000"/>
                <w:sz w:val="20"/>
                <w:szCs w:val="20"/>
              </w:rPr>
              <w:t>5 (медицинской реабилитации)</w:t>
            </w:r>
          </w:p>
        </w:tc>
        <w:tc>
          <w:tcPr>
            <w:tcW w:w="1945" w:type="dxa"/>
            <w:tcBorders>
              <w:top w:val="nil"/>
              <w:left w:val="single" w:sz="4" w:space="0" w:color="auto"/>
              <w:bottom w:val="single" w:sz="4" w:space="0" w:color="auto"/>
              <w:right w:val="single" w:sz="4" w:space="0" w:color="auto"/>
            </w:tcBorders>
            <w:shd w:val="clear" w:color="000000" w:fill="FFFFFF"/>
          </w:tcPr>
          <w:p w:rsidR="00763B4E" w:rsidRPr="00E64D38" w:rsidRDefault="00E64D38" w:rsidP="00E64D38">
            <w:pPr>
              <w:jc w:val="both"/>
              <w:rPr>
                <w:color w:val="000000"/>
                <w:sz w:val="20"/>
                <w:szCs w:val="20"/>
              </w:rPr>
            </w:pPr>
            <w:r>
              <w:rPr>
                <w:color w:val="000000"/>
                <w:sz w:val="20"/>
                <w:szCs w:val="20"/>
              </w:rPr>
              <w:t>Р</w:t>
            </w:r>
            <w:r w:rsidR="00763B4E" w:rsidRPr="00E64D38">
              <w:rPr>
                <w:color w:val="000000"/>
                <w:sz w:val="20"/>
                <w:szCs w:val="20"/>
              </w:rPr>
              <w:t>еабилитационные соматические</w:t>
            </w:r>
          </w:p>
        </w:tc>
        <w:tc>
          <w:tcPr>
            <w:tcW w:w="1839" w:type="dxa"/>
            <w:tcBorders>
              <w:top w:val="nil"/>
              <w:left w:val="single" w:sz="4" w:space="0" w:color="auto"/>
              <w:bottom w:val="single" w:sz="4" w:space="0" w:color="auto"/>
              <w:right w:val="single" w:sz="4" w:space="0" w:color="auto"/>
            </w:tcBorders>
            <w:shd w:val="clear" w:color="000000" w:fill="FFFFFF"/>
          </w:tcPr>
          <w:p w:rsidR="00763B4E" w:rsidRPr="00E64D38" w:rsidRDefault="00763B4E" w:rsidP="00E64D38">
            <w:pPr>
              <w:jc w:val="center"/>
              <w:rPr>
                <w:color w:val="000000"/>
                <w:sz w:val="20"/>
                <w:szCs w:val="20"/>
              </w:rPr>
            </w:pPr>
            <w:r w:rsidRPr="00E64D38">
              <w:rPr>
                <w:color w:val="000000"/>
                <w:sz w:val="20"/>
                <w:szCs w:val="20"/>
              </w:rPr>
              <w:t> 6</w:t>
            </w:r>
          </w:p>
        </w:tc>
      </w:tr>
      <w:tr w:rsidR="00184AEF" w:rsidRPr="00E64D38" w:rsidTr="00E64D38">
        <w:trPr>
          <w:trHeight w:val="20"/>
        </w:trPr>
        <w:tc>
          <w:tcPr>
            <w:tcW w:w="2873" w:type="dxa"/>
            <w:vMerge w:val="restart"/>
          </w:tcPr>
          <w:p w:rsidR="00184AEF" w:rsidRPr="00E64D38" w:rsidRDefault="00184AEF" w:rsidP="00E64D38">
            <w:pPr>
              <w:autoSpaceDE/>
              <w:autoSpaceDN/>
              <w:adjustRightInd/>
              <w:jc w:val="both"/>
              <w:rPr>
                <w:color w:val="000000"/>
                <w:sz w:val="20"/>
                <w:szCs w:val="20"/>
                <w:highlight w:val="green"/>
              </w:rPr>
            </w:pPr>
            <w:r w:rsidRPr="00E64D38">
              <w:rPr>
                <w:color w:val="000000"/>
                <w:sz w:val="20"/>
                <w:szCs w:val="20"/>
              </w:rPr>
              <w:t>Набережно</w:t>
            </w:r>
            <w:r w:rsidR="001C12C9">
              <w:rPr>
                <w:color w:val="000000"/>
                <w:sz w:val="20"/>
                <w:szCs w:val="20"/>
              </w:rPr>
              <w:t>-</w:t>
            </w:r>
            <w:r w:rsidRPr="00E64D38">
              <w:rPr>
                <w:color w:val="000000"/>
                <w:sz w:val="20"/>
                <w:szCs w:val="20"/>
              </w:rPr>
              <w:t xml:space="preserve">челнинский филиал </w:t>
            </w:r>
            <w:r w:rsidR="00E64D38">
              <w:rPr>
                <w:rFonts w:eastAsia="Arial"/>
                <w:sz w:val="20"/>
                <w:szCs w:val="20"/>
              </w:rPr>
              <w:t>ГАУЗ «РКОД МЗ РТ им.</w:t>
            </w:r>
            <w:r w:rsidRPr="00E64D38">
              <w:rPr>
                <w:rFonts w:eastAsia="Arial"/>
                <w:sz w:val="20"/>
                <w:szCs w:val="20"/>
              </w:rPr>
              <w:t>проф.М.З.Сигала»</w:t>
            </w:r>
          </w:p>
        </w:tc>
        <w:tc>
          <w:tcPr>
            <w:tcW w:w="3538" w:type="dxa"/>
            <w:tcBorders>
              <w:top w:val="nil"/>
              <w:left w:val="single" w:sz="4" w:space="0" w:color="auto"/>
              <w:bottom w:val="single" w:sz="4" w:space="0" w:color="auto"/>
              <w:right w:val="single" w:sz="4" w:space="0" w:color="auto"/>
            </w:tcBorders>
            <w:shd w:val="clear" w:color="000000" w:fill="FFFFFF"/>
          </w:tcPr>
          <w:p w:rsidR="00184AEF" w:rsidRPr="00E64D38" w:rsidRDefault="00184AEF" w:rsidP="00E64D38">
            <w:pPr>
              <w:jc w:val="both"/>
              <w:rPr>
                <w:color w:val="000000"/>
                <w:sz w:val="20"/>
                <w:szCs w:val="20"/>
              </w:rPr>
            </w:pPr>
            <w:r w:rsidRPr="00E64D38">
              <w:rPr>
                <w:color w:val="000000"/>
                <w:sz w:val="20"/>
                <w:szCs w:val="20"/>
              </w:rPr>
              <w:t>Онкологическое отделение № 15 (абдоминальной и торакальной онкологии)</w:t>
            </w:r>
          </w:p>
        </w:tc>
        <w:tc>
          <w:tcPr>
            <w:tcW w:w="1945" w:type="dxa"/>
            <w:tcBorders>
              <w:top w:val="nil"/>
              <w:left w:val="single" w:sz="4" w:space="0" w:color="auto"/>
              <w:bottom w:val="single" w:sz="4" w:space="0" w:color="auto"/>
              <w:right w:val="single" w:sz="4" w:space="0" w:color="auto"/>
            </w:tcBorders>
            <w:shd w:val="clear" w:color="000000" w:fill="FFFFFF"/>
          </w:tcPr>
          <w:p w:rsidR="00184AEF" w:rsidRPr="00E64D38" w:rsidRDefault="00E64D38" w:rsidP="00E64D38">
            <w:pPr>
              <w:jc w:val="both"/>
              <w:rPr>
                <w:color w:val="000000"/>
                <w:sz w:val="20"/>
                <w:szCs w:val="20"/>
              </w:rPr>
            </w:pPr>
            <w:r>
              <w:rPr>
                <w:color w:val="000000"/>
                <w:sz w:val="20"/>
                <w:szCs w:val="20"/>
              </w:rPr>
              <w:t>О</w:t>
            </w:r>
            <w:r w:rsidR="00184AEF" w:rsidRPr="00E64D38">
              <w:rPr>
                <w:color w:val="000000"/>
                <w:sz w:val="20"/>
                <w:szCs w:val="20"/>
              </w:rPr>
              <w:t>нкологические абдоминальные, онкологические торакальные</w:t>
            </w:r>
          </w:p>
        </w:tc>
        <w:tc>
          <w:tcPr>
            <w:tcW w:w="1839" w:type="dxa"/>
            <w:tcBorders>
              <w:top w:val="nil"/>
              <w:left w:val="single" w:sz="4" w:space="0" w:color="auto"/>
              <w:bottom w:val="single" w:sz="4" w:space="0" w:color="auto"/>
              <w:right w:val="single" w:sz="4" w:space="0" w:color="auto"/>
            </w:tcBorders>
            <w:shd w:val="clear" w:color="000000" w:fill="FFFFFF"/>
          </w:tcPr>
          <w:p w:rsidR="00184AEF" w:rsidRPr="00E64D38" w:rsidRDefault="00184AEF" w:rsidP="00E64D38">
            <w:pPr>
              <w:jc w:val="center"/>
              <w:rPr>
                <w:color w:val="000000"/>
                <w:sz w:val="20"/>
                <w:szCs w:val="20"/>
              </w:rPr>
            </w:pPr>
            <w:r w:rsidRPr="00E64D38">
              <w:rPr>
                <w:color w:val="000000"/>
                <w:sz w:val="20"/>
                <w:szCs w:val="20"/>
              </w:rPr>
              <w:t>40 </w:t>
            </w:r>
          </w:p>
        </w:tc>
      </w:tr>
      <w:tr w:rsidR="00184AEF" w:rsidRPr="00E64D38" w:rsidTr="00E64D38">
        <w:trPr>
          <w:trHeight w:val="20"/>
        </w:trPr>
        <w:tc>
          <w:tcPr>
            <w:tcW w:w="2873" w:type="dxa"/>
            <w:vMerge/>
          </w:tcPr>
          <w:p w:rsidR="00184AEF" w:rsidRPr="00E64D38" w:rsidRDefault="00184AEF" w:rsidP="00E64D38">
            <w:pPr>
              <w:autoSpaceDE/>
              <w:autoSpaceDN/>
              <w:adjustRightInd/>
              <w:jc w:val="both"/>
              <w:rPr>
                <w:color w:val="000000"/>
                <w:sz w:val="20"/>
                <w:szCs w:val="20"/>
                <w:highlight w:val="green"/>
              </w:rPr>
            </w:pPr>
          </w:p>
        </w:tc>
        <w:tc>
          <w:tcPr>
            <w:tcW w:w="3538" w:type="dxa"/>
            <w:tcBorders>
              <w:top w:val="nil"/>
              <w:left w:val="single" w:sz="4" w:space="0" w:color="auto"/>
              <w:bottom w:val="single" w:sz="4" w:space="0" w:color="auto"/>
              <w:right w:val="single" w:sz="4" w:space="0" w:color="auto"/>
            </w:tcBorders>
            <w:shd w:val="clear" w:color="000000" w:fill="FFFFFF"/>
          </w:tcPr>
          <w:p w:rsidR="00184AEF" w:rsidRPr="00E64D38" w:rsidRDefault="00184AEF" w:rsidP="00E64D38">
            <w:pPr>
              <w:jc w:val="both"/>
              <w:rPr>
                <w:color w:val="000000"/>
                <w:sz w:val="20"/>
                <w:szCs w:val="20"/>
              </w:rPr>
            </w:pPr>
            <w:r w:rsidRPr="00E64D38">
              <w:rPr>
                <w:color w:val="000000"/>
                <w:sz w:val="20"/>
                <w:szCs w:val="20"/>
              </w:rPr>
              <w:t>Дневной стационар №</w:t>
            </w:r>
            <w:r w:rsidR="00E64D38">
              <w:rPr>
                <w:color w:val="000000"/>
                <w:sz w:val="20"/>
                <w:szCs w:val="20"/>
              </w:rPr>
              <w:t xml:space="preserve"> </w:t>
            </w:r>
            <w:r w:rsidRPr="00E64D38">
              <w:rPr>
                <w:color w:val="000000"/>
                <w:sz w:val="20"/>
                <w:szCs w:val="20"/>
              </w:rPr>
              <w:t>6 (противоопухолевой лекарственной терапии)</w:t>
            </w:r>
          </w:p>
        </w:tc>
        <w:tc>
          <w:tcPr>
            <w:tcW w:w="1945" w:type="dxa"/>
            <w:tcBorders>
              <w:top w:val="nil"/>
              <w:left w:val="single" w:sz="4" w:space="0" w:color="auto"/>
              <w:bottom w:val="single" w:sz="4" w:space="0" w:color="auto"/>
              <w:right w:val="single" w:sz="4" w:space="0" w:color="auto"/>
            </w:tcBorders>
            <w:shd w:val="clear" w:color="000000" w:fill="FFFFFF"/>
          </w:tcPr>
          <w:p w:rsidR="00184AEF" w:rsidRPr="00E64D38" w:rsidRDefault="00E64D38" w:rsidP="00E64D38">
            <w:pPr>
              <w:jc w:val="both"/>
              <w:rPr>
                <w:color w:val="000000"/>
                <w:sz w:val="20"/>
                <w:szCs w:val="20"/>
              </w:rPr>
            </w:pPr>
            <w:r>
              <w:rPr>
                <w:color w:val="000000"/>
                <w:sz w:val="20"/>
                <w:szCs w:val="20"/>
              </w:rPr>
              <w:t>О</w:t>
            </w:r>
            <w:r w:rsidR="00184AEF" w:rsidRPr="00E64D38">
              <w:rPr>
                <w:color w:val="000000"/>
                <w:sz w:val="20"/>
                <w:szCs w:val="20"/>
              </w:rPr>
              <w:t>нкологические</w:t>
            </w:r>
          </w:p>
        </w:tc>
        <w:tc>
          <w:tcPr>
            <w:tcW w:w="1839" w:type="dxa"/>
            <w:tcBorders>
              <w:top w:val="nil"/>
              <w:left w:val="single" w:sz="4" w:space="0" w:color="auto"/>
              <w:bottom w:val="single" w:sz="4" w:space="0" w:color="auto"/>
              <w:right w:val="single" w:sz="4" w:space="0" w:color="auto"/>
            </w:tcBorders>
            <w:shd w:val="clear" w:color="000000" w:fill="FFFFFF"/>
          </w:tcPr>
          <w:p w:rsidR="00184AEF" w:rsidRPr="00E64D38" w:rsidRDefault="00184AEF" w:rsidP="00E64D38">
            <w:pPr>
              <w:jc w:val="center"/>
              <w:rPr>
                <w:color w:val="000000"/>
                <w:sz w:val="20"/>
                <w:szCs w:val="20"/>
              </w:rPr>
            </w:pPr>
            <w:r w:rsidRPr="00E64D38">
              <w:rPr>
                <w:color w:val="000000"/>
                <w:sz w:val="20"/>
                <w:szCs w:val="20"/>
              </w:rPr>
              <w:t>20</w:t>
            </w:r>
          </w:p>
        </w:tc>
      </w:tr>
      <w:tr w:rsidR="00184AEF" w:rsidRPr="00E64D38" w:rsidTr="00E64D38">
        <w:trPr>
          <w:trHeight w:val="20"/>
        </w:trPr>
        <w:tc>
          <w:tcPr>
            <w:tcW w:w="2873" w:type="dxa"/>
            <w:vMerge/>
          </w:tcPr>
          <w:p w:rsidR="00184AEF" w:rsidRPr="00E64D38" w:rsidRDefault="00184AEF" w:rsidP="00E64D38">
            <w:pPr>
              <w:autoSpaceDE/>
              <w:autoSpaceDN/>
              <w:adjustRightInd/>
              <w:jc w:val="both"/>
              <w:rPr>
                <w:color w:val="000000"/>
                <w:sz w:val="20"/>
                <w:szCs w:val="20"/>
                <w:highlight w:val="green"/>
              </w:rPr>
            </w:pPr>
          </w:p>
        </w:tc>
        <w:tc>
          <w:tcPr>
            <w:tcW w:w="3538" w:type="dxa"/>
            <w:tcBorders>
              <w:top w:val="nil"/>
              <w:left w:val="single" w:sz="4" w:space="0" w:color="auto"/>
              <w:bottom w:val="single" w:sz="4" w:space="0" w:color="auto"/>
              <w:right w:val="single" w:sz="4" w:space="0" w:color="auto"/>
            </w:tcBorders>
            <w:shd w:val="clear" w:color="000000" w:fill="FFFFFF"/>
          </w:tcPr>
          <w:p w:rsidR="00184AEF" w:rsidRPr="00E64D38" w:rsidRDefault="00184AEF" w:rsidP="00E64D38">
            <w:pPr>
              <w:jc w:val="both"/>
              <w:rPr>
                <w:color w:val="000000"/>
                <w:sz w:val="20"/>
                <w:szCs w:val="20"/>
              </w:rPr>
            </w:pPr>
            <w:r w:rsidRPr="00E64D38">
              <w:rPr>
                <w:color w:val="000000"/>
                <w:sz w:val="20"/>
                <w:szCs w:val="20"/>
              </w:rPr>
              <w:t>Дневной стационар №</w:t>
            </w:r>
            <w:r w:rsidR="00E64D38">
              <w:rPr>
                <w:color w:val="000000"/>
                <w:sz w:val="20"/>
                <w:szCs w:val="20"/>
              </w:rPr>
              <w:t xml:space="preserve"> </w:t>
            </w:r>
            <w:r w:rsidRPr="00E64D38">
              <w:rPr>
                <w:color w:val="000000"/>
                <w:sz w:val="20"/>
                <w:szCs w:val="20"/>
              </w:rPr>
              <w:t>8 (радиотерапевтический)</w:t>
            </w:r>
          </w:p>
        </w:tc>
        <w:tc>
          <w:tcPr>
            <w:tcW w:w="1945" w:type="dxa"/>
            <w:tcBorders>
              <w:top w:val="nil"/>
              <w:left w:val="single" w:sz="4" w:space="0" w:color="auto"/>
              <w:bottom w:val="single" w:sz="4" w:space="0" w:color="auto"/>
              <w:right w:val="single" w:sz="4" w:space="0" w:color="auto"/>
            </w:tcBorders>
            <w:shd w:val="clear" w:color="000000" w:fill="FFFFFF"/>
          </w:tcPr>
          <w:p w:rsidR="00184AEF" w:rsidRPr="00E64D38" w:rsidRDefault="00E64D38" w:rsidP="00E64D38">
            <w:pPr>
              <w:jc w:val="both"/>
              <w:rPr>
                <w:color w:val="000000"/>
                <w:sz w:val="20"/>
                <w:szCs w:val="20"/>
              </w:rPr>
            </w:pPr>
            <w:r>
              <w:rPr>
                <w:color w:val="000000"/>
                <w:sz w:val="20"/>
                <w:szCs w:val="20"/>
              </w:rPr>
              <w:t>Р</w:t>
            </w:r>
            <w:r w:rsidR="00184AEF" w:rsidRPr="00E64D38">
              <w:rPr>
                <w:color w:val="000000"/>
                <w:sz w:val="20"/>
                <w:szCs w:val="20"/>
              </w:rPr>
              <w:t>адиологические</w:t>
            </w:r>
          </w:p>
        </w:tc>
        <w:tc>
          <w:tcPr>
            <w:tcW w:w="1839" w:type="dxa"/>
            <w:tcBorders>
              <w:top w:val="nil"/>
              <w:left w:val="single" w:sz="4" w:space="0" w:color="auto"/>
              <w:bottom w:val="single" w:sz="4" w:space="0" w:color="auto"/>
              <w:right w:val="single" w:sz="4" w:space="0" w:color="auto"/>
            </w:tcBorders>
            <w:shd w:val="clear" w:color="000000" w:fill="FFFFFF"/>
          </w:tcPr>
          <w:p w:rsidR="00184AEF" w:rsidRPr="00E64D38" w:rsidRDefault="00184AEF" w:rsidP="00E64D38">
            <w:pPr>
              <w:jc w:val="center"/>
              <w:rPr>
                <w:color w:val="000000"/>
                <w:sz w:val="20"/>
                <w:szCs w:val="20"/>
              </w:rPr>
            </w:pPr>
            <w:r w:rsidRPr="00E64D38">
              <w:rPr>
                <w:color w:val="000000"/>
                <w:sz w:val="20"/>
                <w:szCs w:val="20"/>
              </w:rPr>
              <w:t>10 </w:t>
            </w:r>
          </w:p>
        </w:tc>
      </w:tr>
      <w:tr w:rsidR="00184AEF" w:rsidRPr="00E64D38" w:rsidTr="00E64D38">
        <w:trPr>
          <w:trHeight w:val="20"/>
        </w:trPr>
        <w:tc>
          <w:tcPr>
            <w:tcW w:w="2873" w:type="dxa"/>
            <w:vMerge/>
          </w:tcPr>
          <w:p w:rsidR="00184AEF" w:rsidRPr="00E64D38" w:rsidRDefault="00184AEF" w:rsidP="00E64D38">
            <w:pPr>
              <w:autoSpaceDE/>
              <w:autoSpaceDN/>
              <w:adjustRightInd/>
              <w:jc w:val="both"/>
              <w:rPr>
                <w:color w:val="000000"/>
                <w:sz w:val="20"/>
                <w:szCs w:val="20"/>
                <w:highlight w:val="green"/>
              </w:rPr>
            </w:pPr>
          </w:p>
        </w:tc>
        <w:tc>
          <w:tcPr>
            <w:tcW w:w="3538" w:type="dxa"/>
            <w:tcBorders>
              <w:top w:val="nil"/>
              <w:left w:val="nil"/>
              <w:bottom w:val="nil"/>
              <w:right w:val="nil"/>
            </w:tcBorders>
            <w:shd w:val="clear" w:color="000000" w:fill="FFFFFF"/>
          </w:tcPr>
          <w:p w:rsidR="00184AEF" w:rsidRPr="00E64D38" w:rsidRDefault="00184AEF" w:rsidP="00E64D38">
            <w:pPr>
              <w:jc w:val="both"/>
              <w:rPr>
                <w:color w:val="000000"/>
                <w:sz w:val="20"/>
                <w:szCs w:val="20"/>
              </w:rPr>
            </w:pPr>
            <w:r w:rsidRPr="00E64D38">
              <w:rPr>
                <w:color w:val="000000"/>
                <w:sz w:val="20"/>
                <w:szCs w:val="20"/>
              </w:rPr>
              <w:t>Дневной стационар №</w:t>
            </w:r>
            <w:r w:rsidR="00E64D38">
              <w:rPr>
                <w:color w:val="000000"/>
                <w:sz w:val="20"/>
                <w:szCs w:val="20"/>
              </w:rPr>
              <w:t xml:space="preserve"> </w:t>
            </w:r>
            <w:r w:rsidRPr="00E64D38">
              <w:rPr>
                <w:color w:val="000000"/>
                <w:sz w:val="20"/>
                <w:szCs w:val="20"/>
              </w:rPr>
              <w:t>9 (хирургических методов лечения)</w:t>
            </w:r>
          </w:p>
        </w:tc>
        <w:tc>
          <w:tcPr>
            <w:tcW w:w="1945" w:type="dxa"/>
            <w:tcBorders>
              <w:top w:val="nil"/>
              <w:left w:val="single" w:sz="4" w:space="0" w:color="auto"/>
              <w:bottom w:val="single" w:sz="4" w:space="0" w:color="auto"/>
              <w:right w:val="single" w:sz="4" w:space="0" w:color="auto"/>
            </w:tcBorders>
            <w:shd w:val="clear" w:color="000000" w:fill="FFFFFF"/>
          </w:tcPr>
          <w:p w:rsidR="00184AEF" w:rsidRPr="00E64D38" w:rsidRDefault="00E64D38" w:rsidP="00E64D38">
            <w:pPr>
              <w:jc w:val="both"/>
              <w:rPr>
                <w:color w:val="000000"/>
                <w:sz w:val="20"/>
                <w:szCs w:val="20"/>
              </w:rPr>
            </w:pPr>
            <w:r>
              <w:rPr>
                <w:color w:val="000000"/>
                <w:sz w:val="20"/>
                <w:szCs w:val="20"/>
              </w:rPr>
              <w:t>О</w:t>
            </w:r>
            <w:r w:rsidR="00184AEF" w:rsidRPr="00E64D38">
              <w:rPr>
                <w:color w:val="000000"/>
                <w:sz w:val="20"/>
                <w:szCs w:val="20"/>
              </w:rPr>
              <w:t>нкологические</w:t>
            </w:r>
          </w:p>
        </w:tc>
        <w:tc>
          <w:tcPr>
            <w:tcW w:w="1839" w:type="dxa"/>
            <w:tcBorders>
              <w:top w:val="nil"/>
              <w:left w:val="single" w:sz="4" w:space="0" w:color="auto"/>
              <w:bottom w:val="single" w:sz="4" w:space="0" w:color="auto"/>
              <w:right w:val="single" w:sz="4" w:space="0" w:color="auto"/>
            </w:tcBorders>
            <w:shd w:val="clear" w:color="000000" w:fill="FFFFFF"/>
          </w:tcPr>
          <w:p w:rsidR="00184AEF" w:rsidRPr="00E64D38" w:rsidRDefault="00184AEF" w:rsidP="00E64D38">
            <w:pPr>
              <w:jc w:val="center"/>
              <w:rPr>
                <w:color w:val="000000"/>
                <w:sz w:val="20"/>
                <w:szCs w:val="20"/>
              </w:rPr>
            </w:pPr>
            <w:r w:rsidRPr="00E64D38">
              <w:rPr>
                <w:color w:val="000000"/>
                <w:sz w:val="20"/>
                <w:szCs w:val="20"/>
              </w:rPr>
              <w:t>10</w:t>
            </w:r>
          </w:p>
        </w:tc>
      </w:tr>
      <w:tr w:rsidR="00FB362E" w:rsidRPr="00E64D38" w:rsidTr="00E64D38">
        <w:trPr>
          <w:trHeight w:val="20"/>
        </w:trPr>
        <w:tc>
          <w:tcPr>
            <w:tcW w:w="2873" w:type="dxa"/>
            <w:vMerge w:val="restart"/>
          </w:tcPr>
          <w:p w:rsidR="00FB362E" w:rsidRPr="00E64D38" w:rsidRDefault="00FB362E" w:rsidP="00E64D38">
            <w:pPr>
              <w:autoSpaceDE/>
              <w:autoSpaceDN/>
              <w:adjustRightInd/>
              <w:jc w:val="both"/>
              <w:rPr>
                <w:color w:val="000000"/>
                <w:sz w:val="20"/>
                <w:szCs w:val="20"/>
                <w:highlight w:val="green"/>
              </w:rPr>
            </w:pPr>
            <w:r w:rsidRPr="00E64D38">
              <w:rPr>
                <w:color w:val="000000"/>
                <w:sz w:val="20"/>
                <w:szCs w:val="20"/>
              </w:rPr>
              <w:t xml:space="preserve">Альметьевский филиал </w:t>
            </w:r>
            <w:r w:rsidRPr="00E64D38">
              <w:rPr>
                <w:rFonts w:eastAsia="Arial"/>
                <w:sz w:val="20"/>
                <w:szCs w:val="20"/>
              </w:rPr>
              <w:t>ГАУЗ «РКОД МЗ РТ им.проф.</w:t>
            </w:r>
            <w:r>
              <w:rPr>
                <w:rFonts w:eastAsia="Arial"/>
                <w:sz w:val="20"/>
                <w:szCs w:val="20"/>
              </w:rPr>
              <w:t xml:space="preserve"> </w:t>
            </w:r>
            <w:r w:rsidRPr="00E64D38">
              <w:rPr>
                <w:rFonts w:eastAsia="Arial"/>
                <w:sz w:val="20"/>
                <w:szCs w:val="20"/>
              </w:rPr>
              <w:t>М.З.Сигала»</w:t>
            </w:r>
          </w:p>
        </w:tc>
        <w:tc>
          <w:tcPr>
            <w:tcW w:w="3538" w:type="dxa"/>
            <w:tcBorders>
              <w:top w:val="single" w:sz="4" w:space="0" w:color="auto"/>
              <w:left w:val="single" w:sz="4" w:space="0" w:color="auto"/>
              <w:bottom w:val="single" w:sz="4" w:space="0" w:color="auto"/>
              <w:right w:val="single" w:sz="4" w:space="0" w:color="auto"/>
            </w:tcBorders>
            <w:shd w:val="clear" w:color="000000" w:fill="FFFFFF"/>
          </w:tcPr>
          <w:p w:rsidR="00FB362E" w:rsidRPr="00E64D38" w:rsidRDefault="00FB362E" w:rsidP="00E64D38">
            <w:pPr>
              <w:jc w:val="both"/>
              <w:rPr>
                <w:color w:val="000000"/>
                <w:sz w:val="20"/>
                <w:szCs w:val="20"/>
              </w:rPr>
            </w:pPr>
            <w:r w:rsidRPr="00E64D38">
              <w:rPr>
                <w:color w:val="000000"/>
                <w:sz w:val="20"/>
                <w:szCs w:val="20"/>
              </w:rPr>
              <w:t>Онкологическое отделение № 13 (абдоминальной онкологии № 5)</w:t>
            </w:r>
          </w:p>
        </w:tc>
        <w:tc>
          <w:tcPr>
            <w:tcW w:w="1945" w:type="dxa"/>
            <w:tcBorders>
              <w:top w:val="nil"/>
              <w:left w:val="single" w:sz="4" w:space="0" w:color="auto"/>
              <w:bottom w:val="single" w:sz="4" w:space="0" w:color="auto"/>
              <w:right w:val="single" w:sz="4" w:space="0" w:color="auto"/>
            </w:tcBorders>
            <w:shd w:val="clear" w:color="000000" w:fill="FFFFFF"/>
          </w:tcPr>
          <w:p w:rsidR="00FB362E" w:rsidRPr="00E64D38" w:rsidRDefault="00FB362E" w:rsidP="00E64D38">
            <w:pPr>
              <w:jc w:val="both"/>
              <w:rPr>
                <w:color w:val="000000"/>
                <w:sz w:val="20"/>
                <w:szCs w:val="20"/>
              </w:rPr>
            </w:pPr>
            <w:r>
              <w:rPr>
                <w:color w:val="000000"/>
                <w:sz w:val="20"/>
                <w:szCs w:val="20"/>
              </w:rPr>
              <w:t>О</w:t>
            </w:r>
            <w:r w:rsidRPr="00E64D38">
              <w:rPr>
                <w:color w:val="000000"/>
                <w:sz w:val="20"/>
                <w:szCs w:val="20"/>
              </w:rPr>
              <w:t>нкологические абдоминальные</w:t>
            </w:r>
          </w:p>
        </w:tc>
        <w:tc>
          <w:tcPr>
            <w:tcW w:w="1839" w:type="dxa"/>
            <w:tcBorders>
              <w:top w:val="nil"/>
              <w:left w:val="single" w:sz="4" w:space="0" w:color="auto"/>
              <w:bottom w:val="single" w:sz="4" w:space="0" w:color="auto"/>
              <w:right w:val="single" w:sz="4" w:space="0" w:color="auto"/>
            </w:tcBorders>
            <w:shd w:val="clear" w:color="000000" w:fill="FFFFFF"/>
          </w:tcPr>
          <w:p w:rsidR="00FB362E" w:rsidRPr="00E64D38" w:rsidRDefault="00FB362E" w:rsidP="00E64D38">
            <w:pPr>
              <w:jc w:val="center"/>
              <w:rPr>
                <w:color w:val="000000"/>
                <w:sz w:val="20"/>
                <w:szCs w:val="20"/>
              </w:rPr>
            </w:pPr>
            <w:r w:rsidRPr="00E64D38">
              <w:rPr>
                <w:color w:val="000000"/>
                <w:sz w:val="20"/>
                <w:szCs w:val="20"/>
              </w:rPr>
              <w:t>20 </w:t>
            </w:r>
          </w:p>
        </w:tc>
      </w:tr>
      <w:tr w:rsidR="00FB362E" w:rsidRPr="00E64D38" w:rsidTr="00E64D38">
        <w:trPr>
          <w:trHeight w:val="20"/>
        </w:trPr>
        <w:tc>
          <w:tcPr>
            <w:tcW w:w="2873" w:type="dxa"/>
            <w:vMerge/>
          </w:tcPr>
          <w:p w:rsidR="00FB362E" w:rsidRPr="00E64D38" w:rsidRDefault="00FB362E" w:rsidP="00E64D38">
            <w:pPr>
              <w:autoSpaceDE/>
              <w:autoSpaceDN/>
              <w:adjustRightInd/>
              <w:jc w:val="both"/>
              <w:rPr>
                <w:color w:val="000000"/>
                <w:sz w:val="20"/>
                <w:szCs w:val="20"/>
                <w:highlight w:val="green"/>
              </w:rPr>
            </w:pPr>
          </w:p>
        </w:tc>
        <w:tc>
          <w:tcPr>
            <w:tcW w:w="3538" w:type="dxa"/>
            <w:tcBorders>
              <w:top w:val="nil"/>
              <w:left w:val="single" w:sz="4" w:space="0" w:color="auto"/>
              <w:bottom w:val="single" w:sz="4" w:space="0" w:color="auto"/>
              <w:right w:val="single" w:sz="4" w:space="0" w:color="auto"/>
            </w:tcBorders>
            <w:shd w:val="clear" w:color="000000" w:fill="FFFFFF"/>
          </w:tcPr>
          <w:p w:rsidR="00FB362E" w:rsidRPr="00E64D38" w:rsidRDefault="00FB362E" w:rsidP="00E64D38">
            <w:pPr>
              <w:jc w:val="both"/>
              <w:rPr>
                <w:color w:val="000000"/>
                <w:sz w:val="20"/>
                <w:szCs w:val="20"/>
              </w:rPr>
            </w:pPr>
            <w:r w:rsidRPr="00E64D38">
              <w:rPr>
                <w:color w:val="000000"/>
                <w:sz w:val="20"/>
                <w:szCs w:val="20"/>
              </w:rPr>
              <w:t>Отделение паллиативной медицинской помощи взрослым</w:t>
            </w:r>
          </w:p>
        </w:tc>
        <w:tc>
          <w:tcPr>
            <w:tcW w:w="1945" w:type="dxa"/>
            <w:tcBorders>
              <w:top w:val="nil"/>
              <w:left w:val="single" w:sz="4" w:space="0" w:color="auto"/>
              <w:bottom w:val="single" w:sz="4" w:space="0" w:color="auto"/>
              <w:right w:val="single" w:sz="4" w:space="0" w:color="auto"/>
            </w:tcBorders>
            <w:shd w:val="clear" w:color="000000" w:fill="FFFFFF"/>
          </w:tcPr>
          <w:p w:rsidR="00FB362E" w:rsidRPr="00E64D38" w:rsidRDefault="00FB362E" w:rsidP="00E64D38">
            <w:pPr>
              <w:jc w:val="both"/>
              <w:rPr>
                <w:color w:val="000000"/>
                <w:sz w:val="20"/>
                <w:szCs w:val="20"/>
              </w:rPr>
            </w:pPr>
            <w:r>
              <w:rPr>
                <w:color w:val="000000"/>
                <w:sz w:val="20"/>
                <w:szCs w:val="20"/>
              </w:rPr>
              <w:t>О</w:t>
            </w:r>
            <w:r w:rsidRPr="00E64D38">
              <w:rPr>
                <w:color w:val="000000"/>
                <w:sz w:val="20"/>
                <w:szCs w:val="20"/>
              </w:rPr>
              <w:t>нкологические паллиативные</w:t>
            </w:r>
          </w:p>
        </w:tc>
        <w:tc>
          <w:tcPr>
            <w:tcW w:w="1839" w:type="dxa"/>
            <w:tcBorders>
              <w:top w:val="nil"/>
              <w:left w:val="single" w:sz="4" w:space="0" w:color="auto"/>
              <w:bottom w:val="single" w:sz="4" w:space="0" w:color="auto"/>
              <w:right w:val="single" w:sz="4" w:space="0" w:color="auto"/>
            </w:tcBorders>
            <w:shd w:val="clear" w:color="000000" w:fill="FFFFFF"/>
          </w:tcPr>
          <w:p w:rsidR="00FB362E" w:rsidRPr="00E64D38" w:rsidRDefault="00FB362E" w:rsidP="00E64D38">
            <w:pPr>
              <w:jc w:val="center"/>
              <w:rPr>
                <w:color w:val="000000"/>
                <w:sz w:val="20"/>
                <w:szCs w:val="20"/>
              </w:rPr>
            </w:pPr>
            <w:r w:rsidRPr="00E64D38">
              <w:rPr>
                <w:color w:val="000000"/>
                <w:sz w:val="20"/>
                <w:szCs w:val="20"/>
              </w:rPr>
              <w:t>20</w:t>
            </w:r>
          </w:p>
        </w:tc>
      </w:tr>
      <w:tr w:rsidR="00FB362E" w:rsidRPr="00E64D38" w:rsidTr="00E64D38">
        <w:trPr>
          <w:trHeight w:val="20"/>
        </w:trPr>
        <w:tc>
          <w:tcPr>
            <w:tcW w:w="2873" w:type="dxa"/>
            <w:vMerge/>
          </w:tcPr>
          <w:p w:rsidR="00FB362E" w:rsidRPr="00E64D38" w:rsidRDefault="00FB362E" w:rsidP="00E64D38">
            <w:pPr>
              <w:autoSpaceDE/>
              <w:autoSpaceDN/>
              <w:adjustRightInd/>
              <w:jc w:val="both"/>
              <w:rPr>
                <w:color w:val="000000"/>
                <w:sz w:val="20"/>
                <w:szCs w:val="20"/>
                <w:highlight w:val="green"/>
              </w:rPr>
            </w:pPr>
          </w:p>
        </w:tc>
        <w:tc>
          <w:tcPr>
            <w:tcW w:w="3538" w:type="dxa"/>
            <w:tcBorders>
              <w:top w:val="nil"/>
              <w:left w:val="single" w:sz="4" w:space="0" w:color="auto"/>
              <w:bottom w:val="single" w:sz="4" w:space="0" w:color="auto"/>
              <w:right w:val="single" w:sz="4" w:space="0" w:color="auto"/>
            </w:tcBorders>
            <w:shd w:val="clear" w:color="000000" w:fill="FFFFFF"/>
          </w:tcPr>
          <w:p w:rsidR="00FB362E" w:rsidRPr="00E64D38" w:rsidRDefault="00FB362E" w:rsidP="00E64D38">
            <w:pPr>
              <w:jc w:val="both"/>
              <w:rPr>
                <w:color w:val="000000"/>
                <w:sz w:val="20"/>
                <w:szCs w:val="20"/>
              </w:rPr>
            </w:pPr>
            <w:r w:rsidRPr="00E64D38">
              <w:rPr>
                <w:color w:val="000000"/>
                <w:sz w:val="20"/>
                <w:szCs w:val="20"/>
              </w:rPr>
              <w:t>Дневной стационар №</w:t>
            </w:r>
            <w:r>
              <w:rPr>
                <w:color w:val="000000"/>
                <w:sz w:val="20"/>
                <w:szCs w:val="20"/>
              </w:rPr>
              <w:t xml:space="preserve"> </w:t>
            </w:r>
            <w:r w:rsidRPr="00E64D38">
              <w:rPr>
                <w:color w:val="000000"/>
                <w:sz w:val="20"/>
                <w:szCs w:val="20"/>
              </w:rPr>
              <w:t>3 (противоопухолевой лекарственной терапии)</w:t>
            </w:r>
          </w:p>
        </w:tc>
        <w:tc>
          <w:tcPr>
            <w:tcW w:w="1945" w:type="dxa"/>
            <w:tcBorders>
              <w:top w:val="nil"/>
              <w:left w:val="single" w:sz="4" w:space="0" w:color="auto"/>
              <w:bottom w:val="single" w:sz="4" w:space="0" w:color="auto"/>
              <w:right w:val="single" w:sz="4" w:space="0" w:color="auto"/>
            </w:tcBorders>
            <w:shd w:val="clear" w:color="000000" w:fill="FFFFFF"/>
          </w:tcPr>
          <w:p w:rsidR="00FB362E" w:rsidRPr="00E64D38" w:rsidRDefault="00FB362E" w:rsidP="00E64D38">
            <w:pPr>
              <w:jc w:val="both"/>
              <w:rPr>
                <w:color w:val="000000"/>
                <w:sz w:val="20"/>
                <w:szCs w:val="20"/>
              </w:rPr>
            </w:pPr>
            <w:r>
              <w:rPr>
                <w:color w:val="000000"/>
                <w:sz w:val="20"/>
                <w:szCs w:val="20"/>
              </w:rPr>
              <w:t>О</w:t>
            </w:r>
            <w:r w:rsidRPr="00E64D38">
              <w:rPr>
                <w:color w:val="000000"/>
                <w:sz w:val="20"/>
                <w:szCs w:val="20"/>
              </w:rPr>
              <w:t>нкологические</w:t>
            </w:r>
          </w:p>
        </w:tc>
        <w:tc>
          <w:tcPr>
            <w:tcW w:w="1839" w:type="dxa"/>
            <w:tcBorders>
              <w:top w:val="nil"/>
              <w:left w:val="single" w:sz="4" w:space="0" w:color="auto"/>
              <w:bottom w:val="single" w:sz="4" w:space="0" w:color="auto"/>
              <w:right w:val="single" w:sz="4" w:space="0" w:color="auto"/>
            </w:tcBorders>
            <w:shd w:val="clear" w:color="000000" w:fill="FFFFFF"/>
          </w:tcPr>
          <w:p w:rsidR="00FB362E" w:rsidRPr="00E64D38" w:rsidRDefault="00FB362E" w:rsidP="00E64D38">
            <w:pPr>
              <w:jc w:val="center"/>
              <w:rPr>
                <w:color w:val="000000"/>
                <w:sz w:val="20"/>
                <w:szCs w:val="20"/>
              </w:rPr>
            </w:pPr>
            <w:r w:rsidRPr="00E64D38">
              <w:rPr>
                <w:color w:val="000000"/>
                <w:sz w:val="20"/>
                <w:szCs w:val="20"/>
              </w:rPr>
              <w:t>30</w:t>
            </w:r>
          </w:p>
        </w:tc>
      </w:tr>
      <w:tr w:rsidR="00FB362E" w:rsidRPr="00E64D38" w:rsidTr="0000154E">
        <w:trPr>
          <w:trHeight w:val="20"/>
        </w:trPr>
        <w:tc>
          <w:tcPr>
            <w:tcW w:w="2873" w:type="dxa"/>
            <w:vMerge/>
          </w:tcPr>
          <w:p w:rsidR="00FB362E" w:rsidRPr="00E64D38" w:rsidRDefault="00FB362E" w:rsidP="00E64D38">
            <w:pPr>
              <w:autoSpaceDE/>
              <w:autoSpaceDN/>
              <w:adjustRightInd/>
              <w:jc w:val="both"/>
              <w:rPr>
                <w:color w:val="000000"/>
                <w:sz w:val="20"/>
                <w:szCs w:val="20"/>
                <w:highlight w:val="green"/>
              </w:rPr>
            </w:pPr>
          </w:p>
        </w:tc>
        <w:tc>
          <w:tcPr>
            <w:tcW w:w="3538" w:type="dxa"/>
            <w:tcBorders>
              <w:top w:val="nil"/>
              <w:left w:val="nil"/>
              <w:bottom w:val="single" w:sz="4" w:space="0" w:color="auto"/>
              <w:right w:val="nil"/>
            </w:tcBorders>
            <w:shd w:val="clear" w:color="000000" w:fill="FFFFFF"/>
          </w:tcPr>
          <w:p w:rsidR="00FB362E" w:rsidRPr="00E64D38" w:rsidRDefault="00FB362E" w:rsidP="00E64D38">
            <w:pPr>
              <w:jc w:val="both"/>
              <w:rPr>
                <w:color w:val="000000"/>
                <w:sz w:val="20"/>
                <w:szCs w:val="20"/>
              </w:rPr>
            </w:pPr>
            <w:r w:rsidRPr="00E64D38">
              <w:rPr>
                <w:color w:val="000000"/>
                <w:sz w:val="20"/>
                <w:szCs w:val="20"/>
              </w:rPr>
              <w:t>Дневной стационар №</w:t>
            </w:r>
            <w:r>
              <w:rPr>
                <w:color w:val="000000"/>
                <w:sz w:val="20"/>
                <w:szCs w:val="20"/>
              </w:rPr>
              <w:t xml:space="preserve"> </w:t>
            </w:r>
            <w:r w:rsidRPr="00E64D38">
              <w:rPr>
                <w:color w:val="000000"/>
                <w:sz w:val="20"/>
                <w:szCs w:val="20"/>
              </w:rPr>
              <w:t>7 (радиотерапевтический)</w:t>
            </w:r>
          </w:p>
        </w:tc>
        <w:tc>
          <w:tcPr>
            <w:tcW w:w="1945" w:type="dxa"/>
            <w:tcBorders>
              <w:top w:val="nil"/>
              <w:left w:val="single" w:sz="4" w:space="0" w:color="auto"/>
              <w:bottom w:val="single" w:sz="4" w:space="0" w:color="auto"/>
              <w:right w:val="single" w:sz="4" w:space="0" w:color="auto"/>
            </w:tcBorders>
            <w:shd w:val="clear" w:color="000000" w:fill="FFFFFF"/>
          </w:tcPr>
          <w:p w:rsidR="00FB362E" w:rsidRPr="00E64D38" w:rsidRDefault="00FB362E" w:rsidP="00E64D38">
            <w:pPr>
              <w:jc w:val="both"/>
              <w:rPr>
                <w:color w:val="000000"/>
                <w:sz w:val="20"/>
                <w:szCs w:val="20"/>
              </w:rPr>
            </w:pPr>
            <w:r>
              <w:rPr>
                <w:color w:val="000000"/>
                <w:sz w:val="20"/>
                <w:szCs w:val="20"/>
              </w:rPr>
              <w:t>Р</w:t>
            </w:r>
            <w:r w:rsidRPr="00E64D38">
              <w:rPr>
                <w:color w:val="000000"/>
                <w:sz w:val="20"/>
                <w:szCs w:val="20"/>
              </w:rPr>
              <w:t>адиологические</w:t>
            </w:r>
          </w:p>
        </w:tc>
        <w:tc>
          <w:tcPr>
            <w:tcW w:w="1839" w:type="dxa"/>
            <w:tcBorders>
              <w:top w:val="nil"/>
              <w:left w:val="single" w:sz="4" w:space="0" w:color="auto"/>
              <w:bottom w:val="single" w:sz="4" w:space="0" w:color="auto"/>
              <w:right w:val="single" w:sz="4" w:space="0" w:color="auto"/>
            </w:tcBorders>
            <w:shd w:val="clear" w:color="000000" w:fill="FFFFFF"/>
          </w:tcPr>
          <w:p w:rsidR="00FB362E" w:rsidRPr="00E64D38" w:rsidRDefault="00FB362E" w:rsidP="00E64D38">
            <w:pPr>
              <w:jc w:val="center"/>
              <w:rPr>
                <w:color w:val="000000"/>
                <w:sz w:val="20"/>
                <w:szCs w:val="20"/>
              </w:rPr>
            </w:pPr>
            <w:r w:rsidRPr="00E64D38">
              <w:rPr>
                <w:color w:val="000000"/>
                <w:sz w:val="20"/>
                <w:szCs w:val="20"/>
              </w:rPr>
              <w:t>10 </w:t>
            </w:r>
          </w:p>
        </w:tc>
      </w:tr>
      <w:tr w:rsidR="00FB362E" w:rsidRPr="00E64D38" w:rsidTr="00FB362E">
        <w:trPr>
          <w:trHeight w:val="20"/>
        </w:trPr>
        <w:tc>
          <w:tcPr>
            <w:tcW w:w="2873" w:type="dxa"/>
            <w:vMerge/>
          </w:tcPr>
          <w:p w:rsidR="00FB362E" w:rsidRPr="00E64D38" w:rsidRDefault="00FB362E" w:rsidP="00E64D38">
            <w:pPr>
              <w:jc w:val="both"/>
              <w:rPr>
                <w:color w:val="000000"/>
                <w:sz w:val="20"/>
                <w:szCs w:val="20"/>
                <w:highlight w:val="green"/>
              </w:rPr>
            </w:pPr>
          </w:p>
        </w:tc>
        <w:tc>
          <w:tcPr>
            <w:tcW w:w="3538" w:type="dxa"/>
            <w:tcBorders>
              <w:top w:val="single" w:sz="4" w:space="0" w:color="auto"/>
              <w:left w:val="single" w:sz="4" w:space="0" w:color="auto"/>
              <w:bottom w:val="single" w:sz="4" w:space="0" w:color="auto"/>
              <w:right w:val="single" w:sz="4" w:space="0" w:color="auto"/>
            </w:tcBorders>
            <w:shd w:val="clear" w:color="000000" w:fill="FFFFFF"/>
          </w:tcPr>
          <w:p w:rsidR="00FB362E" w:rsidRPr="00E64D38" w:rsidRDefault="00FB362E" w:rsidP="00E64D38">
            <w:pPr>
              <w:jc w:val="both"/>
              <w:rPr>
                <w:color w:val="000000"/>
                <w:sz w:val="20"/>
                <w:szCs w:val="20"/>
              </w:rPr>
            </w:pPr>
            <w:r w:rsidRPr="00E64D38">
              <w:rPr>
                <w:color w:val="000000"/>
                <w:sz w:val="20"/>
                <w:szCs w:val="20"/>
              </w:rPr>
              <w:t>Дневной стационар №</w:t>
            </w:r>
            <w:r>
              <w:rPr>
                <w:color w:val="000000"/>
                <w:sz w:val="20"/>
                <w:szCs w:val="20"/>
              </w:rPr>
              <w:t xml:space="preserve"> </w:t>
            </w:r>
            <w:r w:rsidRPr="00E64D38">
              <w:rPr>
                <w:color w:val="000000"/>
                <w:sz w:val="20"/>
                <w:szCs w:val="20"/>
              </w:rPr>
              <w:t>10 (противоопухолевой лекарственной терапии)</w:t>
            </w:r>
          </w:p>
        </w:tc>
        <w:tc>
          <w:tcPr>
            <w:tcW w:w="1945" w:type="dxa"/>
            <w:tcBorders>
              <w:top w:val="nil"/>
              <w:left w:val="single" w:sz="4" w:space="0" w:color="auto"/>
              <w:bottom w:val="single" w:sz="4" w:space="0" w:color="auto"/>
              <w:right w:val="single" w:sz="4" w:space="0" w:color="auto"/>
            </w:tcBorders>
            <w:shd w:val="clear" w:color="000000" w:fill="FFFFFF"/>
          </w:tcPr>
          <w:p w:rsidR="00FB362E" w:rsidRPr="00E64D38" w:rsidRDefault="00FB362E" w:rsidP="00E64D38">
            <w:pPr>
              <w:jc w:val="both"/>
              <w:rPr>
                <w:color w:val="000000"/>
                <w:sz w:val="20"/>
                <w:szCs w:val="20"/>
              </w:rPr>
            </w:pPr>
            <w:r>
              <w:rPr>
                <w:color w:val="000000"/>
                <w:sz w:val="20"/>
                <w:szCs w:val="20"/>
              </w:rPr>
              <w:t>О</w:t>
            </w:r>
            <w:r w:rsidRPr="00E64D38">
              <w:rPr>
                <w:color w:val="000000"/>
                <w:sz w:val="20"/>
                <w:szCs w:val="20"/>
              </w:rPr>
              <w:t>нкологические</w:t>
            </w:r>
          </w:p>
        </w:tc>
        <w:tc>
          <w:tcPr>
            <w:tcW w:w="1839" w:type="dxa"/>
            <w:tcBorders>
              <w:top w:val="nil"/>
              <w:left w:val="single" w:sz="4" w:space="0" w:color="auto"/>
              <w:bottom w:val="single" w:sz="4" w:space="0" w:color="auto"/>
              <w:right w:val="single" w:sz="4" w:space="0" w:color="auto"/>
            </w:tcBorders>
            <w:shd w:val="clear" w:color="000000" w:fill="FFFFFF"/>
          </w:tcPr>
          <w:p w:rsidR="00FB362E" w:rsidRPr="00E64D38" w:rsidRDefault="00FB362E" w:rsidP="00E64D38">
            <w:pPr>
              <w:jc w:val="center"/>
              <w:rPr>
                <w:color w:val="000000"/>
                <w:sz w:val="20"/>
                <w:szCs w:val="20"/>
              </w:rPr>
            </w:pPr>
            <w:r w:rsidRPr="00E64D38">
              <w:rPr>
                <w:color w:val="000000"/>
                <w:sz w:val="20"/>
                <w:szCs w:val="20"/>
              </w:rPr>
              <w:t>20</w:t>
            </w:r>
          </w:p>
        </w:tc>
      </w:tr>
      <w:tr w:rsidR="001C12C9" w:rsidRPr="002F0F29" w:rsidTr="00FB362E">
        <w:trPr>
          <w:trHeight w:val="20"/>
        </w:trPr>
        <w:tc>
          <w:tcPr>
            <w:tcW w:w="2873" w:type="dxa"/>
            <w:vMerge w:val="restart"/>
          </w:tcPr>
          <w:p w:rsidR="001C12C9" w:rsidRPr="002F0F29" w:rsidRDefault="001C12C9" w:rsidP="00FB362E">
            <w:pPr>
              <w:jc w:val="both"/>
              <w:rPr>
                <w:color w:val="000000"/>
                <w:sz w:val="20"/>
                <w:szCs w:val="20"/>
              </w:rPr>
            </w:pPr>
            <w:r w:rsidRPr="002F0F29">
              <w:rPr>
                <w:color w:val="000000"/>
                <w:sz w:val="20"/>
                <w:szCs w:val="20"/>
              </w:rPr>
              <w:t xml:space="preserve">Нижнекамский филиал </w:t>
            </w:r>
            <w:r w:rsidRPr="002F0F29">
              <w:rPr>
                <w:rFonts w:eastAsia="Arial"/>
                <w:sz w:val="20"/>
                <w:szCs w:val="20"/>
              </w:rPr>
              <w:t>ГАУЗ «РКОД МЗ РТ им.проф. М.З.Сигала»</w:t>
            </w:r>
          </w:p>
        </w:tc>
        <w:tc>
          <w:tcPr>
            <w:tcW w:w="3538" w:type="dxa"/>
            <w:tcBorders>
              <w:top w:val="single" w:sz="4" w:space="0" w:color="auto"/>
              <w:left w:val="single" w:sz="4" w:space="0" w:color="auto"/>
              <w:bottom w:val="single" w:sz="4" w:space="0" w:color="auto"/>
              <w:right w:val="single" w:sz="4" w:space="0" w:color="auto"/>
            </w:tcBorders>
            <w:shd w:val="clear" w:color="000000" w:fill="FFFFFF"/>
          </w:tcPr>
          <w:p w:rsidR="001C12C9" w:rsidRPr="002F0F29" w:rsidRDefault="001C12C9" w:rsidP="00FB362E">
            <w:pPr>
              <w:jc w:val="both"/>
              <w:rPr>
                <w:color w:val="000000"/>
                <w:sz w:val="20"/>
                <w:szCs w:val="20"/>
              </w:rPr>
            </w:pPr>
            <w:r w:rsidRPr="002F0F29">
              <w:rPr>
                <w:color w:val="000000"/>
                <w:sz w:val="20"/>
                <w:szCs w:val="20"/>
              </w:rPr>
              <w:t>Отделение противоопухолевой лекарственной терапии</w:t>
            </w:r>
          </w:p>
        </w:tc>
        <w:tc>
          <w:tcPr>
            <w:tcW w:w="1945" w:type="dxa"/>
            <w:tcBorders>
              <w:top w:val="single" w:sz="4" w:space="0" w:color="auto"/>
              <w:left w:val="single" w:sz="4" w:space="0" w:color="auto"/>
              <w:bottom w:val="single" w:sz="4" w:space="0" w:color="auto"/>
              <w:right w:val="single" w:sz="4" w:space="0" w:color="auto"/>
            </w:tcBorders>
            <w:shd w:val="clear" w:color="000000" w:fill="FFFFFF"/>
          </w:tcPr>
          <w:p w:rsidR="001C12C9" w:rsidRPr="002F0F29" w:rsidRDefault="001C12C9" w:rsidP="00FB362E">
            <w:r w:rsidRPr="002F0F29">
              <w:rPr>
                <w:color w:val="000000"/>
                <w:sz w:val="20"/>
                <w:szCs w:val="20"/>
              </w:rPr>
              <w:t>Онкологические</w:t>
            </w:r>
          </w:p>
        </w:tc>
        <w:tc>
          <w:tcPr>
            <w:tcW w:w="1839" w:type="dxa"/>
            <w:tcBorders>
              <w:top w:val="single" w:sz="4" w:space="0" w:color="auto"/>
              <w:left w:val="single" w:sz="4" w:space="0" w:color="auto"/>
              <w:bottom w:val="single" w:sz="4" w:space="0" w:color="auto"/>
              <w:right w:val="single" w:sz="4" w:space="0" w:color="auto"/>
            </w:tcBorders>
            <w:shd w:val="clear" w:color="000000" w:fill="FFFFFF"/>
          </w:tcPr>
          <w:p w:rsidR="001C12C9" w:rsidRPr="002F0F29" w:rsidRDefault="001C12C9" w:rsidP="00FB362E">
            <w:pPr>
              <w:jc w:val="center"/>
              <w:rPr>
                <w:color w:val="000000"/>
                <w:sz w:val="20"/>
                <w:szCs w:val="20"/>
              </w:rPr>
            </w:pPr>
            <w:r w:rsidRPr="002F0F29">
              <w:rPr>
                <w:color w:val="000000"/>
                <w:sz w:val="20"/>
                <w:szCs w:val="20"/>
              </w:rPr>
              <w:t>20</w:t>
            </w:r>
          </w:p>
        </w:tc>
      </w:tr>
      <w:tr w:rsidR="001C12C9" w:rsidRPr="002F0F29" w:rsidTr="00FB362E">
        <w:trPr>
          <w:trHeight w:val="20"/>
        </w:trPr>
        <w:tc>
          <w:tcPr>
            <w:tcW w:w="2873" w:type="dxa"/>
            <w:vMerge/>
          </w:tcPr>
          <w:p w:rsidR="001C12C9" w:rsidRPr="002F0F29" w:rsidRDefault="001C12C9" w:rsidP="00FB362E">
            <w:pPr>
              <w:jc w:val="both"/>
              <w:rPr>
                <w:color w:val="000000"/>
                <w:sz w:val="20"/>
                <w:szCs w:val="20"/>
              </w:rPr>
            </w:pPr>
          </w:p>
        </w:tc>
        <w:tc>
          <w:tcPr>
            <w:tcW w:w="3538" w:type="dxa"/>
            <w:tcBorders>
              <w:top w:val="single" w:sz="4" w:space="0" w:color="auto"/>
              <w:left w:val="single" w:sz="4" w:space="0" w:color="auto"/>
              <w:bottom w:val="single" w:sz="4" w:space="0" w:color="auto"/>
              <w:right w:val="single" w:sz="4" w:space="0" w:color="auto"/>
            </w:tcBorders>
            <w:shd w:val="clear" w:color="000000" w:fill="FFFFFF"/>
          </w:tcPr>
          <w:p w:rsidR="001C12C9" w:rsidRPr="002F0F29" w:rsidRDefault="001C12C9" w:rsidP="00FB362E">
            <w:pPr>
              <w:jc w:val="both"/>
              <w:rPr>
                <w:color w:val="000000"/>
                <w:sz w:val="20"/>
                <w:szCs w:val="20"/>
              </w:rPr>
            </w:pPr>
            <w:r w:rsidRPr="002F0F29">
              <w:rPr>
                <w:color w:val="000000"/>
                <w:sz w:val="20"/>
                <w:szCs w:val="20"/>
              </w:rPr>
              <w:t>Дневной стационар противоопухолевой лекарственной терапии</w:t>
            </w:r>
          </w:p>
        </w:tc>
        <w:tc>
          <w:tcPr>
            <w:tcW w:w="1945" w:type="dxa"/>
            <w:tcBorders>
              <w:top w:val="single" w:sz="4" w:space="0" w:color="auto"/>
              <w:left w:val="single" w:sz="4" w:space="0" w:color="auto"/>
              <w:bottom w:val="single" w:sz="4" w:space="0" w:color="auto"/>
              <w:right w:val="single" w:sz="4" w:space="0" w:color="auto"/>
            </w:tcBorders>
            <w:shd w:val="clear" w:color="000000" w:fill="FFFFFF"/>
          </w:tcPr>
          <w:p w:rsidR="001C12C9" w:rsidRPr="002F0F29" w:rsidRDefault="001C12C9" w:rsidP="00FB362E">
            <w:r w:rsidRPr="002F0F29">
              <w:rPr>
                <w:color w:val="000000"/>
                <w:sz w:val="20"/>
                <w:szCs w:val="20"/>
              </w:rPr>
              <w:t>Онкологические</w:t>
            </w:r>
          </w:p>
        </w:tc>
        <w:tc>
          <w:tcPr>
            <w:tcW w:w="1839" w:type="dxa"/>
            <w:tcBorders>
              <w:top w:val="single" w:sz="4" w:space="0" w:color="auto"/>
              <w:left w:val="single" w:sz="4" w:space="0" w:color="auto"/>
              <w:bottom w:val="single" w:sz="4" w:space="0" w:color="auto"/>
              <w:right w:val="single" w:sz="4" w:space="0" w:color="auto"/>
            </w:tcBorders>
            <w:shd w:val="clear" w:color="000000" w:fill="FFFFFF"/>
          </w:tcPr>
          <w:p w:rsidR="001C12C9" w:rsidRPr="002F0F29" w:rsidRDefault="001C12C9" w:rsidP="00FB362E">
            <w:pPr>
              <w:jc w:val="center"/>
              <w:rPr>
                <w:color w:val="000000"/>
                <w:sz w:val="20"/>
                <w:szCs w:val="20"/>
              </w:rPr>
            </w:pPr>
            <w:r w:rsidRPr="002F0F29">
              <w:rPr>
                <w:color w:val="000000"/>
                <w:sz w:val="20"/>
                <w:szCs w:val="20"/>
              </w:rPr>
              <w:t>25</w:t>
            </w:r>
          </w:p>
        </w:tc>
      </w:tr>
    </w:tbl>
    <w:p w:rsidR="00F40878" w:rsidRPr="002F0F29" w:rsidRDefault="00F40878" w:rsidP="00763B4E">
      <w:pPr>
        <w:ind w:left="7200" w:firstLine="1447"/>
        <w:jc w:val="both"/>
        <w:rPr>
          <w:sz w:val="28"/>
          <w:szCs w:val="28"/>
        </w:rPr>
      </w:pPr>
    </w:p>
    <w:p w:rsidR="00651208" w:rsidRPr="002F0F29" w:rsidRDefault="00651208" w:rsidP="00763B4E">
      <w:pPr>
        <w:ind w:left="7200" w:firstLine="1447"/>
        <w:jc w:val="both"/>
        <w:rPr>
          <w:sz w:val="28"/>
          <w:szCs w:val="28"/>
        </w:rPr>
      </w:pPr>
      <w:r w:rsidRPr="002F0F29">
        <w:rPr>
          <w:sz w:val="28"/>
          <w:szCs w:val="28"/>
        </w:rPr>
        <w:t xml:space="preserve">Таблица </w:t>
      </w:r>
      <w:r w:rsidR="00915361" w:rsidRPr="002F0F29">
        <w:rPr>
          <w:sz w:val="28"/>
          <w:szCs w:val="28"/>
        </w:rPr>
        <w:t>22.2</w:t>
      </w:r>
    </w:p>
    <w:p w:rsidR="0067565F" w:rsidRPr="002F0F29" w:rsidRDefault="0067565F" w:rsidP="0067565F">
      <w:pPr>
        <w:ind w:left="7200" w:firstLine="1447"/>
        <w:jc w:val="both"/>
        <w:rPr>
          <w:sz w:val="28"/>
          <w:szCs w:val="28"/>
        </w:rPr>
      </w:pPr>
    </w:p>
    <w:p w:rsidR="0067565F" w:rsidRPr="002F0F29" w:rsidRDefault="0067565F" w:rsidP="0067565F">
      <w:pPr>
        <w:jc w:val="center"/>
        <w:rPr>
          <w:sz w:val="28"/>
          <w:szCs w:val="28"/>
        </w:rPr>
      </w:pPr>
      <w:r w:rsidRPr="002F0F29">
        <w:rPr>
          <w:sz w:val="28"/>
          <w:szCs w:val="28"/>
        </w:rPr>
        <w:t>Динамика коечного фонда по профилям «онкология» и «радиология» в Республике Татарстан, в</w:t>
      </w:r>
      <w:r w:rsidR="001C12C9">
        <w:rPr>
          <w:sz w:val="28"/>
          <w:szCs w:val="28"/>
        </w:rPr>
        <w:t xml:space="preserve"> </w:t>
      </w:r>
      <w:r w:rsidRPr="002F0F29">
        <w:rPr>
          <w:sz w:val="28"/>
          <w:szCs w:val="28"/>
        </w:rPr>
        <w:t>том числе для детей, обеспеченность койками на</w:t>
      </w:r>
      <w:r w:rsidR="001C12C9">
        <w:rPr>
          <w:sz w:val="28"/>
          <w:szCs w:val="28"/>
        </w:rPr>
        <w:t xml:space="preserve"> </w:t>
      </w:r>
      <w:r w:rsidRPr="002F0F29">
        <w:rPr>
          <w:sz w:val="28"/>
          <w:szCs w:val="28"/>
        </w:rPr>
        <w:t>10</w:t>
      </w:r>
      <w:r w:rsidR="001C12C9">
        <w:rPr>
          <w:sz w:val="28"/>
          <w:szCs w:val="28"/>
        </w:rPr>
        <w:t xml:space="preserve"> </w:t>
      </w:r>
      <w:r w:rsidRPr="002F0F29">
        <w:rPr>
          <w:sz w:val="28"/>
          <w:szCs w:val="28"/>
        </w:rPr>
        <w:t>тыс.населения</w:t>
      </w:r>
    </w:p>
    <w:p w:rsidR="0067565F" w:rsidRPr="002F0F29" w:rsidRDefault="0067565F" w:rsidP="0067565F">
      <w:pPr>
        <w:jc w:val="center"/>
        <w:rPr>
          <w:sz w:val="28"/>
          <w:szCs w:val="28"/>
        </w:rPr>
      </w:pPr>
      <w:r w:rsidRPr="002F0F29">
        <w:rPr>
          <w:sz w:val="28"/>
          <w:szCs w:val="28"/>
        </w:rPr>
        <w:t xml:space="preserve"> </w:t>
      </w:r>
      <w:r w:rsidR="001C12C9">
        <w:rPr>
          <w:sz w:val="28"/>
          <w:szCs w:val="28"/>
        </w:rPr>
        <w:t xml:space="preserve">и </w:t>
      </w:r>
      <w:r w:rsidRPr="002F0F29">
        <w:rPr>
          <w:sz w:val="28"/>
          <w:szCs w:val="28"/>
        </w:rPr>
        <w:t>на 1 000 вновь выявленных случаев ЗНО</w:t>
      </w:r>
    </w:p>
    <w:p w:rsidR="0067565F" w:rsidRDefault="0067565F" w:rsidP="0067565F">
      <w:pPr>
        <w:ind w:left="7200" w:firstLine="720"/>
        <w:jc w:val="both"/>
        <w:rPr>
          <w:sz w:val="28"/>
          <w:szCs w:val="28"/>
        </w:rPr>
      </w:pPr>
    </w:p>
    <w:p w:rsidR="001C12C9" w:rsidRDefault="001C12C9" w:rsidP="0067565F">
      <w:pPr>
        <w:ind w:left="7200" w:firstLine="720"/>
        <w:jc w:val="both"/>
        <w:rPr>
          <w:sz w:val="28"/>
          <w:szCs w:val="28"/>
        </w:rPr>
      </w:pPr>
    </w:p>
    <w:p w:rsidR="001C12C9" w:rsidRDefault="001C12C9" w:rsidP="0067565F">
      <w:pPr>
        <w:ind w:left="7200" w:firstLine="720"/>
        <w:jc w:val="both"/>
        <w:rPr>
          <w:sz w:val="28"/>
          <w:szCs w:val="28"/>
        </w:rPr>
      </w:pPr>
    </w:p>
    <w:p w:rsidR="001C12C9" w:rsidRPr="002F0F29" w:rsidRDefault="001C12C9" w:rsidP="0067565F">
      <w:pPr>
        <w:ind w:left="7200" w:firstLine="720"/>
        <w:jc w:val="both"/>
        <w:rPr>
          <w:sz w:val="28"/>
          <w:szCs w:val="28"/>
        </w:rPr>
      </w:pPr>
    </w:p>
    <w:tbl>
      <w:tblPr>
        <w:tblW w:w="4973" w:type="pct"/>
        <w:tblLayout w:type="fixed"/>
        <w:tblLook w:val="04A0" w:firstRow="1" w:lastRow="0" w:firstColumn="1" w:lastColumn="0" w:noHBand="0" w:noVBand="1"/>
      </w:tblPr>
      <w:tblGrid>
        <w:gridCol w:w="2114"/>
        <w:gridCol w:w="1987"/>
        <w:gridCol w:w="1085"/>
        <w:gridCol w:w="1087"/>
        <w:gridCol w:w="1241"/>
        <w:gridCol w:w="1241"/>
        <w:gridCol w:w="1385"/>
      </w:tblGrid>
      <w:tr w:rsidR="0067565F" w:rsidRPr="002F0F29" w:rsidTr="00833415">
        <w:trPr>
          <w:trHeight w:val="266"/>
        </w:trPr>
        <w:tc>
          <w:tcPr>
            <w:tcW w:w="1042" w:type="pct"/>
            <w:vMerge w:val="restart"/>
            <w:tcBorders>
              <w:top w:val="single" w:sz="4" w:space="0" w:color="auto"/>
              <w:left w:val="single" w:sz="4" w:space="0" w:color="auto"/>
              <w:right w:val="single" w:sz="4" w:space="0" w:color="auto"/>
            </w:tcBorders>
          </w:tcPr>
          <w:p w:rsidR="0067565F" w:rsidRPr="002F0F29" w:rsidRDefault="0067565F" w:rsidP="00833415">
            <w:pPr>
              <w:shd w:val="clear" w:color="auto" w:fill="FFFFFF" w:themeFill="background1"/>
              <w:jc w:val="center"/>
              <w:rPr>
                <w:color w:val="000000"/>
                <w:sz w:val="18"/>
                <w:szCs w:val="18"/>
                <w:lang w:bidi="hi-IN"/>
              </w:rPr>
            </w:pPr>
            <w:r w:rsidRPr="002F0F29">
              <w:rPr>
                <w:color w:val="000000"/>
                <w:sz w:val="18"/>
                <w:szCs w:val="18"/>
                <w:lang w:bidi="hi-IN"/>
              </w:rPr>
              <w:t>Профиль коек</w:t>
            </w:r>
          </w:p>
        </w:tc>
        <w:tc>
          <w:tcPr>
            <w:tcW w:w="980" w:type="pct"/>
            <w:vMerge w:val="restart"/>
            <w:tcBorders>
              <w:top w:val="single" w:sz="4" w:space="0" w:color="auto"/>
              <w:left w:val="single" w:sz="4" w:space="0" w:color="auto"/>
              <w:right w:val="single" w:sz="4" w:space="0" w:color="auto"/>
            </w:tcBorders>
            <w:noWrap/>
            <w:hideMark/>
          </w:tcPr>
          <w:p w:rsidR="0067565F" w:rsidRPr="002F0F29" w:rsidRDefault="0067565F" w:rsidP="00833415">
            <w:pPr>
              <w:shd w:val="clear" w:color="auto" w:fill="FFFFFF" w:themeFill="background1"/>
              <w:jc w:val="center"/>
              <w:rPr>
                <w:color w:val="000000"/>
                <w:sz w:val="18"/>
                <w:szCs w:val="18"/>
                <w:lang w:bidi="hi-IN"/>
              </w:rPr>
            </w:pPr>
            <w:r w:rsidRPr="002F0F29">
              <w:rPr>
                <w:color w:val="000000"/>
                <w:sz w:val="18"/>
                <w:szCs w:val="18"/>
                <w:lang w:bidi="hi-IN"/>
              </w:rPr>
              <w:t>Показатель</w:t>
            </w:r>
          </w:p>
        </w:tc>
        <w:tc>
          <w:tcPr>
            <w:tcW w:w="2978" w:type="pct"/>
            <w:gridSpan w:val="5"/>
            <w:tcBorders>
              <w:top w:val="single" w:sz="4" w:space="0" w:color="auto"/>
              <w:left w:val="nil"/>
              <w:bottom w:val="single" w:sz="4" w:space="0" w:color="auto"/>
              <w:right w:val="single" w:sz="4" w:space="0" w:color="auto"/>
            </w:tcBorders>
          </w:tcPr>
          <w:p w:rsidR="0067565F" w:rsidRPr="002F0F29" w:rsidRDefault="0067565F" w:rsidP="00833415">
            <w:pPr>
              <w:shd w:val="clear" w:color="auto" w:fill="FFFFFF" w:themeFill="background1"/>
              <w:jc w:val="center"/>
              <w:rPr>
                <w:color w:val="000000"/>
                <w:sz w:val="18"/>
                <w:szCs w:val="18"/>
                <w:lang w:bidi="hi-IN"/>
              </w:rPr>
            </w:pPr>
            <w:r w:rsidRPr="002F0F29">
              <w:rPr>
                <w:color w:val="000000"/>
                <w:sz w:val="18"/>
                <w:szCs w:val="18"/>
                <w:lang w:bidi="hi-IN"/>
              </w:rPr>
              <w:t>Период</w:t>
            </w:r>
          </w:p>
        </w:tc>
      </w:tr>
      <w:tr w:rsidR="0067565F" w:rsidRPr="002F0F29" w:rsidTr="00833415">
        <w:trPr>
          <w:trHeight w:val="302"/>
        </w:trPr>
        <w:tc>
          <w:tcPr>
            <w:tcW w:w="1042" w:type="pct"/>
            <w:vMerge/>
            <w:tcBorders>
              <w:top w:val="single" w:sz="4" w:space="0" w:color="auto"/>
              <w:left w:val="single" w:sz="4" w:space="0" w:color="auto"/>
              <w:right w:val="single" w:sz="4" w:space="0" w:color="auto"/>
            </w:tcBorders>
            <w:hideMark/>
          </w:tcPr>
          <w:p w:rsidR="0067565F" w:rsidRPr="002F0F29" w:rsidRDefault="0067565F" w:rsidP="00833415">
            <w:pPr>
              <w:jc w:val="center"/>
              <w:rPr>
                <w:color w:val="000000"/>
                <w:sz w:val="18"/>
                <w:szCs w:val="18"/>
                <w:lang w:bidi="hi-IN"/>
              </w:rPr>
            </w:pPr>
          </w:p>
        </w:tc>
        <w:tc>
          <w:tcPr>
            <w:tcW w:w="980" w:type="pct"/>
            <w:vMerge/>
            <w:tcBorders>
              <w:top w:val="single" w:sz="4" w:space="0" w:color="auto"/>
              <w:left w:val="single" w:sz="4" w:space="0" w:color="auto"/>
              <w:right w:val="single" w:sz="4" w:space="0" w:color="auto"/>
            </w:tcBorders>
            <w:hideMark/>
          </w:tcPr>
          <w:p w:rsidR="0067565F" w:rsidRPr="002F0F29" w:rsidRDefault="0067565F" w:rsidP="00833415">
            <w:pPr>
              <w:jc w:val="center"/>
              <w:rPr>
                <w:color w:val="000000"/>
                <w:sz w:val="18"/>
                <w:szCs w:val="18"/>
                <w:lang w:bidi="hi-IN"/>
              </w:rPr>
            </w:pPr>
          </w:p>
        </w:tc>
        <w:tc>
          <w:tcPr>
            <w:tcW w:w="535" w:type="pct"/>
            <w:tcBorders>
              <w:top w:val="single" w:sz="4" w:space="0" w:color="auto"/>
              <w:left w:val="nil"/>
              <w:right w:val="single" w:sz="4" w:space="0" w:color="auto"/>
            </w:tcBorders>
            <w:noWrap/>
          </w:tcPr>
          <w:p w:rsidR="0067565F" w:rsidRPr="002F0F29" w:rsidRDefault="0067565F" w:rsidP="00833415">
            <w:pPr>
              <w:shd w:val="clear" w:color="auto" w:fill="FFFFFF" w:themeFill="background1"/>
              <w:jc w:val="center"/>
              <w:rPr>
                <w:color w:val="000000"/>
                <w:sz w:val="18"/>
                <w:szCs w:val="18"/>
                <w:lang w:bidi="hi-IN"/>
              </w:rPr>
            </w:pPr>
            <w:r w:rsidRPr="002F0F29">
              <w:rPr>
                <w:color w:val="000000"/>
                <w:sz w:val="18"/>
                <w:szCs w:val="18"/>
                <w:lang w:bidi="hi-IN"/>
              </w:rPr>
              <w:t>2021 г.</w:t>
            </w:r>
          </w:p>
        </w:tc>
        <w:tc>
          <w:tcPr>
            <w:tcW w:w="536" w:type="pct"/>
            <w:tcBorders>
              <w:top w:val="single" w:sz="4" w:space="0" w:color="auto"/>
              <w:left w:val="nil"/>
              <w:right w:val="single" w:sz="4" w:space="0" w:color="auto"/>
            </w:tcBorders>
            <w:noWrap/>
          </w:tcPr>
          <w:p w:rsidR="0067565F" w:rsidRPr="002F0F29" w:rsidRDefault="0067565F" w:rsidP="00833415">
            <w:pPr>
              <w:shd w:val="clear" w:color="auto" w:fill="FFFFFF" w:themeFill="background1"/>
              <w:jc w:val="center"/>
              <w:rPr>
                <w:color w:val="000000"/>
                <w:sz w:val="18"/>
                <w:szCs w:val="18"/>
                <w:lang w:bidi="hi-IN"/>
              </w:rPr>
            </w:pPr>
            <w:r w:rsidRPr="002F0F29">
              <w:rPr>
                <w:color w:val="000000"/>
                <w:sz w:val="18"/>
                <w:szCs w:val="18"/>
                <w:lang w:bidi="hi-IN"/>
              </w:rPr>
              <w:t>2022 г.</w:t>
            </w:r>
          </w:p>
        </w:tc>
        <w:tc>
          <w:tcPr>
            <w:tcW w:w="612" w:type="pct"/>
            <w:tcBorders>
              <w:top w:val="single" w:sz="4" w:space="0" w:color="auto"/>
              <w:left w:val="nil"/>
              <w:right w:val="single" w:sz="4" w:space="0" w:color="auto"/>
            </w:tcBorders>
            <w:noWrap/>
          </w:tcPr>
          <w:p w:rsidR="0067565F" w:rsidRPr="002F0F29" w:rsidRDefault="0067565F" w:rsidP="00833415">
            <w:pPr>
              <w:shd w:val="clear" w:color="auto" w:fill="FFFFFF" w:themeFill="background1"/>
              <w:jc w:val="center"/>
              <w:rPr>
                <w:color w:val="000000"/>
                <w:sz w:val="18"/>
                <w:szCs w:val="18"/>
                <w:lang w:bidi="hi-IN"/>
              </w:rPr>
            </w:pPr>
            <w:r w:rsidRPr="002F0F29">
              <w:rPr>
                <w:color w:val="000000"/>
                <w:sz w:val="18"/>
                <w:szCs w:val="18"/>
                <w:lang w:bidi="hi-IN"/>
              </w:rPr>
              <w:t>2023 г.</w:t>
            </w:r>
          </w:p>
        </w:tc>
        <w:tc>
          <w:tcPr>
            <w:tcW w:w="612" w:type="pct"/>
            <w:tcBorders>
              <w:top w:val="single" w:sz="4" w:space="0" w:color="auto"/>
              <w:left w:val="nil"/>
              <w:right w:val="single" w:sz="4" w:space="0" w:color="auto"/>
            </w:tcBorders>
            <w:noWrap/>
          </w:tcPr>
          <w:p w:rsidR="0067565F" w:rsidRPr="002F0F29" w:rsidRDefault="0067565F" w:rsidP="00833415">
            <w:pPr>
              <w:shd w:val="clear" w:color="auto" w:fill="FFFFFF" w:themeFill="background1"/>
              <w:jc w:val="center"/>
              <w:rPr>
                <w:color w:val="000000"/>
                <w:sz w:val="18"/>
                <w:szCs w:val="18"/>
                <w:lang w:bidi="hi-IN"/>
              </w:rPr>
            </w:pPr>
            <w:r w:rsidRPr="002F0F29">
              <w:rPr>
                <w:color w:val="000000"/>
                <w:sz w:val="18"/>
                <w:szCs w:val="18"/>
                <w:lang w:bidi="hi-IN"/>
              </w:rPr>
              <w:t>2024 г.</w:t>
            </w:r>
          </w:p>
        </w:tc>
        <w:tc>
          <w:tcPr>
            <w:tcW w:w="683" w:type="pct"/>
            <w:tcBorders>
              <w:top w:val="single" w:sz="4" w:space="0" w:color="auto"/>
              <w:left w:val="nil"/>
              <w:right w:val="single" w:sz="4" w:space="0" w:color="auto"/>
            </w:tcBorders>
          </w:tcPr>
          <w:p w:rsidR="0067565F" w:rsidRPr="002F0F29" w:rsidRDefault="0067565F" w:rsidP="00833415">
            <w:pPr>
              <w:shd w:val="clear" w:color="auto" w:fill="FFFFFF" w:themeFill="background1"/>
              <w:jc w:val="center"/>
              <w:rPr>
                <w:color w:val="000000"/>
                <w:sz w:val="18"/>
                <w:szCs w:val="18"/>
                <w:lang w:bidi="hi-IN"/>
              </w:rPr>
            </w:pPr>
            <w:r w:rsidRPr="002F0F29">
              <w:rPr>
                <w:color w:val="000000"/>
                <w:sz w:val="18"/>
                <w:szCs w:val="18"/>
                <w:lang w:bidi="hi-IN"/>
              </w:rPr>
              <w:t>2025 г.</w:t>
            </w:r>
          </w:p>
        </w:tc>
      </w:tr>
    </w:tbl>
    <w:p w:rsidR="0067565F" w:rsidRPr="002F0F29" w:rsidRDefault="0067565F" w:rsidP="0067565F">
      <w:pPr>
        <w:rPr>
          <w:sz w:val="2"/>
          <w:szCs w:val="2"/>
        </w:rPr>
      </w:pPr>
    </w:p>
    <w:tbl>
      <w:tblPr>
        <w:tblW w:w="4974" w:type="pct"/>
        <w:tblLayout w:type="fixed"/>
        <w:tblCellMar>
          <w:top w:w="11" w:type="dxa"/>
          <w:bottom w:w="11" w:type="dxa"/>
        </w:tblCellMar>
        <w:tblLook w:val="04A0" w:firstRow="1" w:lastRow="0" w:firstColumn="1" w:lastColumn="0" w:noHBand="0" w:noVBand="1"/>
      </w:tblPr>
      <w:tblGrid>
        <w:gridCol w:w="2117"/>
        <w:gridCol w:w="1988"/>
        <w:gridCol w:w="1085"/>
        <w:gridCol w:w="1087"/>
        <w:gridCol w:w="1241"/>
        <w:gridCol w:w="1241"/>
        <w:gridCol w:w="1383"/>
      </w:tblGrid>
      <w:tr w:rsidR="0067565F" w:rsidRPr="002F0F29" w:rsidTr="005A615B">
        <w:trPr>
          <w:trHeight w:val="20"/>
        </w:trPr>
        <w:tc>
          <w:tcPr>
            <w:tcW w:w="1043" w:type="pct"/>
            <w:vMerge w:val="restart"/>
            <w:tcBorders>
              <w:top w:val="single" w:sz="4" w:space="0" w:color="auto"/>
              <w:left w:val="single" w:sz="4" w:space="0" w:color="auto"/>
              <w:bottom w:val="single" w:sz="4" w:space="0" w:color="auto"/>
              <w:right w:val="single" w:sz="4" w:space="0" w:color="auto"/>
            </w:tcBorders>
            <w:hideMark/>
          </w:tcPr>
          <w:p w:rsidR="0067565F" w:rsidRPr="002F0F29" w:rsidRDefault="0067565F" w:rsidP="00833415">
            <w:pPr>
              <w:shd w:val="clear" w:color="auto" w:fill="FFFFFF" w:themeFill="background1"/>
              <w:jc w:val="both"/>
              <w:rPr>
                <w:color w:val="000000"/>
                <w:sz w:val="18"/>
                <w:szCs w:val="18"/>
                <w:lang w:bidi="hi-IN"/>
              </w:rPr>
            </w:pPr>
            <w:r w:rsidRPr="002F0F29">
              <w:rPr>
                <w:color w:val="000000"/>
                <w:sz w:val="18"/>
                <w:szCs w:val="18"/>
                <w:lang w:bidi="hi-IN"/>
              </w:rPr>
              <w:t>Онкологические, всего</w:t>
            </w:r>
          </w:p>
        </w:tc>
        <w:tc>
          <w:tcPr>
            <w:tcW w:w="980" w:type="pct"/>
            <w:tcBorders>
              <w:top w:val="single" w:sz="4" w:space="0" w:color="auto"/>
              <w:left w:val="nil"/>
              <w:bottom w:val="single" w:sz="4" w:space="0" w:color="auto"/>
              <w:right w:val="single" w:sz="4" w:space="0" w:color="auto"/>
            </w:tcBorders>
            <w:noWrap/>
            <w:vAlign w:val="center"/>
            <w:hideMark/>
          </w:tcPr>
          <w:p w:rsidR="0067565F" w:rsidRPr="002F0F29" w:rsidRDefault="0067565F" w:rsidP="00833415">
            <w:pPr>
              <w:shd w:val="clear" w:color="auto" w:fill="FFFFFF" w:themeFill="background1"/>
              <w:jc w:val="both"/>
              <w:rPr>
                <w:color w:val="000000"/>
                <w:sz w:val="18"/>
                <w:szCs w:val="18"/>
                <w:lang w:bidi="hi-IN"/>
              </w:rPr>
            </w:pPr>
            <w:r w:rsidRPr="002F0F29">
              <w:rPr>
                <w:color w:val="000000"/>
                <w:sz w:val="18"/>
                <w:szCs w:val="18"/>
                <w:lang w:bidi="hi-IN"/>
              </w:rPr>
              <w:t>число коек, всего</w:t>
            </w:r>
          </w:p>
        </w:tc>
        <w:tc>
          <w:tcPr>
            <w:tcW w:w="535" w:type="pct"/>
            <w:tcBorders>
              <w:top w:val="single" w:sz="4" w:space="0" w:color="auto"/>
              <w:left w:val="nil"/>
              <w:bottom w:val="single" w:sz="4" w:space="0" w:color="auto"/>
              <w:right w:val="single" w:sz="4" w:space="0" w:color="auto"/>
            </w:tcBorders>
            <w:noWrap/>
          </w:tcPr>
          <w:p w:rsidR="0067565F" w:rsidRPr="002F0F29" w:rsidRDefault="0067565F" w:rsidP="00833415">
            <w:pPr>
              <w:shd w:val="clear" w:color="auto" w:fill="FFFFFF" w:themeFill="background1"/>
              <w:jc w:val="center"/>
              <w:rPr>
                <w:color w:val="000000"/>
                <w:sz w:val="20"/>
                <w:szCs w:val="20"/>
                <w:lang w:bidi="hi-IN"/>
              </w:rPr>
            </w:pPr>
            <w:r w:rsidRPr="002F0F29">
              <w:rPr>
                <w:sz w:val="20"/>
                <w:szCs w:val="20"/>
              </w:rPr>
              <w:t>877</w:t>
            </w:r>
          </w:p>
        </w:tc>
        <w:tc>
          <w:tcPr>
            <w:tcW w:w="536" w:type="pct"/>
            <w:tcBorders>
              <w:top w:val="single" w:sz="4" w:space="0" w:color="auto"/>
              <w:left w:val="nil"/>
              <w:bottom w:val="single" w:sz="4" w:space="0" w:color="auto"/>
              <w:right w:val="single" w:sz="4" w:space="0" w:color="auto"/>
            </w:tcBorders>
            <w:noWrap/>
          </w:tcPr>
          <w:p w:rsidR="0067565F" w:rsidRPr="002F0F29" w:rsidRDefault="0067565F" w:rsidP="00833415">
            <w:pPr>
              <w:shd w:val="clear" w:color="auto" w:fill="FFFFFF" w:themeFill="background1"/>
              <w:jc w:val="center"/>
              <w:rPr>
                <w:color w:val="000000"/>
                <w:sz w:val="20"/>
                <w:szCs w:val="20"/>
                <w:lang w:bidi="hi-IN"/>
              </w:rPr>
            </w:pPr>
            <w:r w:rsidRPr="002F0F29">
              <w:rPr>
                <w:sz w:val="20"/>
                <w:szCs w:val="20"/>
              </w:rPr>
              <w:t>978</w:t>
            </w:r>
          </w:p>
        </w:tc>
        <w:tc>
          <w:tcPr>
            <w:tcW w:w="612" w:type="pct"/>
            <w:tcBorders>
              <w:top w:val="single" w:sz="4" w:space="0" w:color="auto"/>
              <w:left w:val="nil"/>
              <w:bottom w:val="single" w:sz="4" w:space="0" w:color="auto"/>
              <w:right w:val="single" w:sz="4" w:space="0" w:color="auto"/>
            </w:tcBorders>
            <w:noWrap/>
          </w:tcPr>
          <w:p w:rsidR="0067565F" w:rsidRPr="002F0F29" w:rsidRDefault="0067565F" w:rsidP="00833415">
            <w:pPr>
              <w:shd w:val="clear" w:color="auto" w:fill="FFFFFF" w:themeFill="background1"/>
              <w:jc w:val="center"/>
              <w:rPr>
                <w:color w:val="000000"/>
                <w:sz w:val="20"/>
                <w:szCs w:val="20"/>
                <w:lang w:bidi="hi-IN"/>
              </w:rPr>
            </w:pPr>
            <w:r w:rsidRPr="002F0F29">
              <w:rPr>
                <w:color w:val="000000"/>
                <w:sz w:val="20"/>
                <w:szCs w:val="20"/>
                <w:lang w:bidi="hi-IN"/>
              </w:rPr>
              <w:t>932</w:t>
            </w:r>
          </w:p>
        </w:tc>
        <w:tc>
          <w:tcPr>
            <w:tcW w:w="612" w:type="pct"/>
            <w:tcBorders>
              <w:top w:val="single" w:sz="4" w:space="0" w:color="auto"/>
              <w:left w:val="nil"/>
              <w:bottom w:val="single" w:sz="4" w:space="0" w:color="auto"/>
              <w:right w:val="single" w:sz="4" w:space="0" w:color="auto"/>
            </w:tcBorders>
            <w:noWrap/>
          </w:tcPr>
          <w:p w:rsidR="0067565F" w:rsidRPr="002F0F29" w:rsidRDefault="0067565F" w:rsidP="00833415">
            <w:pPr>
              <w:shd w:val="clear" w:color="auto" w:fill="FFFFFF" w:themeFill="background1"/>
              <w:jc w:val="center"/>
              <w:rPr>
                <w:color w:val="000000"/>
                <w:sz w:val="20"/>
                <w:szCs w:val="20"/>
                <w:lang w:bidi="hi-IN"/>
              </w:rPr>
            </w:pPr>
            <w:r w:rsidRPr="002F0F29">
              <w:rPr>
                <w:color w:val="000000"/>
                <w:sz w:val="20"/>
                <w:szCs w:val="20"/>
                <w:lang w:bidi="hi-IN"/>
              </w:rPr>
              <w:t>764</w:t>
            </w:r>
          </w:p>
        </w:tc>
        <w:tc>
          <w:tcPr>
            <w:tcW w:w="683" w:type="pct"/>
            <w:tcBorders>
              <w:top w:val="single" w:sz="4" w:space="0" w:color="auto"/>
              <w:left w:val="nil"/>
              <w:bottom w:val="single" w:sz="4" w:space="0" w:color="auto"/>
              <w:right w:val="single" w:sz="4" w:space="0" w:color="auto"/>
            </w:tcBorders>
          </w:tcPr>
          <w:p w:rsidR="0067565F" w:rsidRPr="002F0F29" w:rsidRDefault="0067565F" w:rsidP="00833415">
            <w:pPr>
              <w:shd w:val="clear" w:color="auto" w:fill="FFFFFF" w:themeFill="background1"/>
              <w:jc w:val="center"/>
              <w:rPr>
                <w:color w:val="000000"/>
                <w:sz w:val="20"/>
                <w:szCs w:val="20"/>
                <w:lang w:bidi="hi-IN"/>
              </w:rPr>
            </w:pPr>
            <w:r w:rsidRPr="002F0F29">
              <w:rPr>
                <w:color w:val="000000"/>
                <w:sz w:val="20"/>
                <w:szCs w:val="20"/>
                <w:lang w:bidi="hi-IN"/>
              </w:rPr>
              <w:t>865</w:t>
            </w:r>
          </w:p>
        </w:tc>
      </w:tr>
      <w:tr w:rsidR="0067565F" w:rsidRPr="002F0F29" w:rsidTr="005A615B">
        <w:trPr>
          <w:trHeight w:val="20"/>
        </w:trPr>
        <w:tc>
          <w:tcPr>
            <w:tcW w:w="1043" w:type="pct"/>
            <w:vMerge/>
            <w:tcBorders>
              <w:left w:val="single" w:sz="4" w:space="0" w:color="auto"/>
              <w:bottom w:val="single" w:sz="4" w:space="0" w:color="auto"/>
              <w:right w:val="single" w:sz="4" w:space="0" w:color="auto"/>
            </w:tcBorders>
          </w:tcPr>
          <w:p w:rsidR="0067565F" w:rsidRPr="002F0F29" w:rsidRDefault="0067565F" w:rsidP="00833415">
            <w:pPr>
              <w:shd w:val="clear" w:color="auto" w:fill="FFFFFF" w:themeFill="background1"/>
              <w:jc w:val="both"/>
              <w:rPr>
                <w:color w:val="000000"/>
                <w:sz w:val="18"/>
                <w:szCs w:val="18"/>
                <w:lang w:bidi="hi-IN"/>
              </w:rPr>
            </w:pPr>
          </w:p>
        </w:tc>
        <w:tc>
          <w:tcPr>
            <w:tcW w:w="980" w:type="pct"/>
            <w:tcBorders>
              <w:top w:val="nil"/>
              <w:left w:val="nil"/>
              <w:bottom w:val="single" w:sz="4" w:space="0" w:color="auto"/>
              <w:right w:val="single" w:sz="4" w:space="0" w:color="auto"/>
            </w:tcBorders>
            <w:noWrap/>
            <w:vAlign w:val="bottom"/>
            <w:hideMark/>
          </w:tcPr>
          <w:p w:rsidR="0067565F" w:rsidRPr="002F0F29" w:rsidRDefault="0067565F" w:rsidP="00833415">
            <w:pPr>
              <w:shd w:val="clear" w:color="auto" w:fill="FFFFFF" w:themeFill="background1"/>
              <w:jc w:val="both"/>
              <w:rPr>
                <w:color w:val="000000"/>
                <w:sz w:val="18"/>
                <w:szCs w:val="18"/>
                <w:lang w:bidi="hi-IN"/>
              </w:rPr>
            </w:pPr>
            <w:r w:rsidRPr="002F0F29">
              <w:rPr>
                <w:color w:val="000000"/>
                <w:sz w:val="18"/>
                <w:szCs w:val="18"/>
                <w:lang w:bidi="hi-IN"/>
              </w:rPr>
              <w:t>обеспеченность койками на 10 тыс.населения</w:t>
            </w:r>
          </w:p>
        </w:tc>
        <w:tc>
          <w:tcPr>
            <w:tcW w:w="535" w:type="pct"/>
            <w:tcBorders>
              <w:top w:val="single" w:sz="4" w:space="0" w:color="auto"/>
              <w:left w:val="nil"/>
              <w:bottom w:val="single" w:sz="4" w:space="0" w:color="auto"/>
              <w:right w:val="single" w:sz="4" w:space="0" w:color="auto"/>
            </w:tcBorders>
            <w:noWrap/>
          </w:tcPr>
          <w:p w:rsidR="0067565F" w:rsidRPr="002F0F29" w:rsidRDefault="0067565F" w:rsidP="00833415">
            <w:pPr>
              <w:shd w:val="clear" w:color="auto" w:fill="FFFFFF" w:themeFill="background1"/>
              <w:jc w:val="center"/>
              <w:rPr>
                <w:color w:val="000000"/>
                <w:sz w:val="20"/>
                <w:szCs w:val="20"/>
                <w:lang w:bidi="hi-IN"/>
              </w:rPr>
            </w:pPr>
            <w:r w:rsidRPr="002F0F29">
              <w:rPr>
                <w:sz w:val="20"/>
                <w:szCs w:val="20"/>
              </w:rPr>
              <w:t>2,25</w:t>
            </w:r>
          </w:p>
        </w:tc>
        <w:tc>
          <w:tcPr>
            <w:tcW w:w="536" w:type="pct"/>
            <w:tcBorders>
              <w:top w:val="single" w:sz="4" w:space="0" w:color="auto"/>
              <w:left w:val="nil"/>
              <w:bottom w:val="single" w:sz="4" w:space="0" w:color="auto"/>
              <w:right w:val="single" w:sz="4" w:space="0" w:color="auto"/>
            </w:tcBorders>
            <w:noWrap/>
          </w:tcPr>
          <w:p w:rsidR="0067565F" w:rsidRPr="002F0F29" w:rsidRDefault="0067565F" w:rsidP="00833415">
            <w:pPr>
              <w:shd w:val="clear" w:color="auto" w:fill="FFFFFF" w:themeFill="background1"/>
              <w:jc w:val="center"/>
              <w:rPr>
                <w:color w:val="000000"/>
                <w:sz w:val="20"/>
                <w:szCs w:val="20"/>
                <w:lang w:bidi="hi-IN"/>
              </w:rPr>
            </w:pPr>
            <w:r w:rsidRPr="002F0F29">
              <w:rPr>
                <w:sz w:val="20"/>
                <w:szCs w:val="20"/>
              </w:rPr>
              <w:t>2,5</w:t>
            </w:r>
          </w:p>
        </w:tc>
        <w:tc>
          <w:tcPr>
            <w:tcW w:w="612" w:type="pct"/>
            <w:tcBorders>
              <w:top w:val="single" w:sz="4" w:space="0" w:color="auto"/>
              <w:left w:val="nil"/>
              <w:bottom w:val="single" w:sz="4" w:space="0" w:color="auto"/>
              <w:right w:val="single" w:sz="4" w:space="0" w:color="auto"/>
            </w:tcBorders>
            <w:noWrap/>
          </w:tcPr>
          <w:p w:rsidR="0067565F" w:rsidRPr="002F0F29" w:rsidRDefault="0067565F" w:rsidP="00833415">
            <w:pPr>
              <w:shd w:val="clear" w:color="auto" w:fill="FFFFFF" w:themeFill="background1"/>
              <w:jc w:val="center"/>
              <w:rPr>
                <w:color w:val="000000"/>
                <w:sz w:val="20"/>
                <w:szCs w:val="20"/>
                <w:lang w:bidi="hi-IN"/>
              </w:rPr>
            </w:pPr>
            <w:r w:rsidRPr="002F0F29">
              <w:rPr>
                <w:color w:val="000000"/>
                <w:sz w:val="20"/>
                <w:szCs w:val="20"/>
                <w:lang w:bidi="hi-IN"/>
              </w:rPr>
              <w:t>2,3</w:t>
            </w:r>
          </w:p>
        </w:tc>
        <w:tc>
          <w:tcPr>
            <w:tcW w:w="612" w:type="pct"/>
            <w:tcBorders>
              <w:top w:val="single" w:sz="4" w:space="0" w:color="auto"/>
              <w:left w:val="nil"/>
              <w:bottom w:val="single" w:sz="4" w:space="0" w:color="auto"/>
              <w:right w:val="single" w:sz="4" w:space="0" w:color="auto"/>
            </w:tcBorders>
            <w:noWrap/>
          </w:tcPr>
          <w:p w:rsidR="0067565F" w:rsidRPr="002F0F29" w:rsidRDefault="0067565F" w:rsidP="00833415">
            <w:pPr>
              <w:shd w:val="clear" w:color="auto" w:fill="FFFFFF" w:themeFill="background1"/>
              <w:jc w:val="center"/>
              <w:rPr>
                <w:color w:val="000000"/>
                <w:sz w:val="20"/>
                <w:szCs w:val="20"/>
                <w:lang w:bidi="hi-IN"/>
              </w:rPr>
            </w:pPr>
            <w:r w:rsidRPr="002F0F29">
              <w:rPr>
                <w:color w:val="000000"/>
                <w:sz w:val="20"/>
                <w:szCs w:val="20"/>
                <w:lang w:bidi="hi-IN"/>
              </w:rPr>
              <w:t>1,9</w:t>
            </w:r>
          </w:p>
        </w:tc>
        <w:tc>
          <w:tcPr>
            <w:tcW w:w="683" w:type="pct"/>
            <w:tcBorders>
              <w:top w:val="single" w:sz="4" w:space="0" w:color="auto"/>
              <w:left w:val="nil"/>
              <w:bottom w:val="single" w:sz="4" w:space="0" w:color="auto"/>
              <w:right w:val="single" w:sz="4" w:space="0" w:color="auto"/>
            </w:tcBorders>
          </w:tcPr>
          <w:p w:rsidR="0067565F" w:rsidRPr="002F0F29" w:rsidRDefault="0067565F" w:rsidP="00833415">
            <w:pPr>
              <w:shd w:val="clear" w:color="auto" w:fill="FFFFFF" w:themeFill="background1"/>
              <w:jc w:val="center"/>
              <w:rPr>
                <w:color w:val="000000"/>
                <w:sz w:val="20"/>
                <w:szCs w:val="20"/>
                <w:lang w:bidi="hi-IN"/>
              </w:rPr>
            </w:pPr>
            <w:r w:rsidRPr="002F0F29">
              <w:rPr>
                <w:color w:val="000000"/>
                <w:sz w:val="20"/>
                <w:szCs w:val="20"/>
                <w:lang w:bidi="hi-IN"/>
              </w:rPr>
              <w:t>2,15</w:t>
            </w:r>
          </w:p>
        </w:tc>
      </w:tr>
      <w:tr w:rsidR="0067565F" w:rsidRPr="002F0F29" w:rsidTr="005A615B">
        <w:trPr>
          <w:trHeight w:val="20"/>
        </w:trPr>
        <w:tc>
          <w:tcPr>
            <w:tcW w:w="1043" w:type="pct"/>
            <w:vMerge/>
            <w:tcBorders>
              <w:left w:val="single" w:sz="4" w:space="0" w:color="auto"/>
              <w:bottom w:val="single" w:sz="4" w:space="0" w:color="auto"/>
              <w:right w:val="single" w:sz="4" w:space="0" w:color="auto"/>
            </w:tcBorders>
          </w:tcPr>
          <w:p w:rsidR="0067565F" w:rsidRPr="002F0F29" w:rsidRDefault="0067565F" w:rsidP="00833415">
            <w:pPr>
              <w:shd w:val="clear" w:color="auto" w:fill="FFFFFF" w:themeFill="background1"/>
              <w:jc w:val="both"/>
              <w:rPr>
                <w:color w:val="000000"/>
                <w:sz w:val="18"/>
                <w:szCs w:val="18"/>
                <w:lang w:bidi="hi-IN"/>
              </w:rPr>
            </w:pPr>
          </w:p>
        </w:tc>
        <w:tc>
          <w:tcPr>
            <w:tcW w:w="980" w:type="pct"/>
            <w:tcBorders>
              <w:top w:val="nil"/>
              <w:left w:val="nil"/>
              <w:bottom w:val="single" w:sz="4" w:space="0" w:color="auto"/>
              <w:right w:val="single" w:sz="4" w:space="0" w:color="auto"/>
            </w:tcBorders>
            <w:noWrap/>
            <w:vAlign w:val="center"/>
            <w:hideMark/>
          </w:tcPr>
          <w:p w:rsidR="0067565F" w:rsidRPr="002F0F29" w:rsidRDefault="0067565F" w:rsidP="00833415">
            <w:pPr>
              <w:shd w:val="clear" w:color="auto" w:fill="FFFFFF" w:themeFill="background1"/>
              <w:jc w:val="both"/>
              <w:rPr>
                <w:color w:val="000000"/>
                <w:sz w:val="18"/>
                <w:szCs w:val="18"/>
                <w:lang w:bidi="hi-IN"/>
              </w:rPr>
            </w:pPr>
            <w:r w:rsidRPr="002F0F29">
              <w:rPr>
                <w:color w:val="000000"/>
                <w:sz w:val="18"/>
                <w:szCs w:val="18"/>
                <w:lang w:bidi="hi-IN"/>
              </w:rPr>
              <w:t>на 1 000 вновь выявленных больных</w:t>
            </w:r>
          </w:p>
        </w:tc>
        <w:tc>
          <w:tcPr>
            <w:tcW w:w="535" w:type="pct"/>
            <w:tcBorders>
              <w:top w:val="single" w:sz="4" w:space="0" w:color="auto"/>
              <w:left w:val="nil"/>
              <w:bottom w:val="single" w:sz="4" w:space="0" w:color="auto"/>
              <w:right w:val="single" w:sz="4" w:space="0" w:color="auto"/>
            </w:tcBorders>
            <w:noWrap/>
          </w:tcPr>
          <w:p w:rsidR="0067565F" w:rsidRPr="002F0F29" w:rsidRDefault="0067565F" w:rsidP="00833415">
            <w:pPr>
              <w:shd w:val="clear" w:color="auto" w:fill="FFFFFF" w:themeFill="background1"/>
              <w:jc w:val="center"/>
              <w:rPr>
                <w:color w:val="000000"/>
                <w:sz w:val="20"/>
                <w:szCs w:val="20"/>
                <w:lang w:bidi="hi-IN"/>
              </w:rPr>
            </w:pPr>
            <w:r w:rsidRPr="002F0F29">
              <w:rPr>
                <w:sz w:val="20"/>
                <w:szCs w:val="20"/>
              </w:rPr>
              <w:t>60,35</w:t>
            </w:r>
          </w:p>
        </w:tc>
        <w:tc>
          <w:tcPr>
            <w:tcW w:w="536" w:type="pct"/>
            <w:tcBorders>
              <w:top w:val="single" w:sz="4" w:space="0" w:color="auto"/>
              <w:left w:val="nil"/>
              <w:bottom w:val="single" w:sz="4" w:space="0" w:color="auto"/>
              <w:right w:val="single" w:sz="4" w:space="0" w:color="auto"/>
            </w:tcBorders>
            <w:noWrap/>
          </w:tcPr>
          <w:p w:rsidR="0067565F" w:rsidRPr="002F0F29" w:rsidRDefault="0067565F" w:rsidP="00833415">
            <w:pPr>
              <w:shd w:val="clear" w:color="auto" w:fill="FFFFFF" w:themeFill="background1"/>
              <w:jc w:val="center"/>
              <w:rPr>
                <w:color w:val="000000"/>
                <w:sz w:val="20"/>
                <w:szCs w:val="20"/>
                <w:lang w:bidi="hi-IN"/>
              </w:rPr>
            </w:pPr>
            <w:r w:rsidRPr="002F0F29">
              <w:rPr>
                <w:sz w:val="20"/>
                <w:szCs w:val="20"/>
              </w:rPr>
              <w:t>66,8</w:t>
            </w:r>
          </w:p>
        </w:tc>
        <w:tc>
          <w:tcPr>
            <w:tcW w:w="612" w:type="pct"/>
            <w:tcBorders>
              <w:top w:val="single" w:sz="4" w:space="0" w:color="auto"/>
              <w:left w:val="nil"/>
              <w:bottom w:val="single" w:sz="4" w:space="0" w:color="auto"/>
              <w:right w:val="single" w:sz="4" w:space="0" w:color="auto"/>
            </w:tcBorders>
            <w:noWrap/>
          </w:tcPr>
          <w:p w:rsidR="0067565F" w:rsidRPr="002F0F29" w:rsidRDefault="0067565F" w:rsidP="00833415">
            <w:pPr>
              <w:shd w:val="clear" w:color="auto" w:fill="FFFFFF" w:themeFill="background1"/>
              <w:jc w:val="center"/>
              <w:rPr>
                <w:color w:val="000000"/>
                <w:sz w:val="20"/>
                <w:szCs w:val="20"/>
                <w:lang w:bidi="hi-IN"/>
              </w:rPr>
            </w:pPr>
            <w:r w:rsidRPr="002F0F29">
              <w:rPr>
                <w:color w:val="000000"/>
                <w:sz w:val="20"/>
                <w:szCs w:val="20"/>
                <w:lang w:bidi="hi-IN"/>
              </w:rPr>
              <w:t>60,1</w:t>
            </w:r>
          </w:p>
        </w:tc>
        <w:tc>
          <w:tcPr>
            <w:tcW w:w="612" w:type="pct"/>
            <w:tcBorders>
              <w:top w:val="single" w:sz="4" w:space="0" w:color="auto"/>
              <w:left w:val="nil"/>
              <w:bottom w:val="single" w:sz="4" w:space="0" w:color="auto"/>
              <w:right w:val="single" w:sz="4" w:space="0" w:color="auto"/>
            </w:tcBorders>
            <w:noWrap/>
          </w:tcPr>
          <w:p w:rsidR="0067565F" w:rsidRPr="002F0F29" w:rsidRDefault="0067565F" w:rsidP="00833415">
            <w:pPr>
              <w:shd w:val="clear" w:color="auto" w:fill="FFFFFF" w:themeFill="background1"/>
              <w:jc w:val="center"/>
              <w:rPr>
                <w:color w:val="000000"/>
                <w:sz w:val="20"/>
                <w:szCs w:val="20"/>
                <w:lang w:bidi="hi-IN"/>
              </w:rPr>
            </w:pPr>
            <w:r w:rsidRPr="002F0F29">
              <w:rPr>
                <w:color w:val="000000"/>
                <w:sz w:val="20"/>
                <w:szCs w:val="20"/>
                <w:lang w:bidi="hi-IN"/>
              </w:rPr>
              <w:t>46,0</w:t>
            </w:r>
          </w:p>
        </w:tc>
        <w:tc>
          <w:tcPr>
            <w:tcW w:w="683" w:type="pct"/>
            <w:tcBorders>
              <w:top w:val="single" w:sz="4" w:space="0" w:color="auto"/>
              <w:left w:val="nil"/>
              <w:bottom w:val="single" w:sz="4" w:space="0" w:color="auto"/>
              <w:right w:val="single" w:sz="4" w:space="0" w:color="auto"/>
            </w:tcBorders>
          </w:tcPr>
          <w:p w:rsidR="0067565F" w:rsidRPr="002F0F29" w:rsidRDefault="0067565F" w:rsidP="00833415">
            <w:pPr>
              <w:shd w:val="clear" w:color="auto" w:fill="FFFFFF" w:themeFill="background1"/>
              <w:jc w:val="center"/>
              <w:rPr>
                <w:color w:val="000000"/>
                <w:sz w:val="20"/>
                <w:szCs w:val="20"/>
                <w:lang w:bidi="hi-IN"/>
              </w:rPr>
            </w:pPr>
            <w:r w:rsidRPr="002F0F29">
              <w:rPr>
                <w:color w:val="000000"/>
                <w:sz w:val="20"/>
                <w:szCs w:val="20"/>
                <w:lang w:bidi="hi-IN"/>
              </w:rPr>
              <w:t>47,0</w:t>
            </w:r>
          </w:p>
        </w:tc>
      </w:tr>
      <w:tr w:rsidR="0067565F" w:rsidRPr="002F0F29" w:rsidTr="005A615B">
        <w:trPr>
          <w:trHeight w:val="20"/>
        </w:trPr>
        <w:tc>
          <w:tcPr>
            <w:tcW w:w="1043" w:type="pct"/>
            <w:vMerge w:val="restart"/>
            <w:tcBorders>
              <w:top w:val="single" w:sz="4" w:space="0" w:color="auto"/>
              <w:left w:val="single" w:sz="4" w:space="0" w:color="auto"/>
              <w:right w:val="single" w:sz="4" w:space="0" w:color="auto"/>
            </w:tcBorders>
            <w:hideMark/>
          </w:tcPr>
          <w:p w:rsidR="0067565F" w:rsidRPr="002F0F29" w:rsidRDefault="0067565F" w:rsidP="00833415">
            <w:pPr>
              <w:shd w:val="clear" w:color="auto" w:fill="FFFFFF" w:themeFill="background1"/>
              <w:jc w:val="both"/>
              <w:rPr>
                <w:color w:val="000000"/>
                <w:sz w:val="18"/>
                <w:szCs w:val="18"/>
                <w:lang w:bidi="hi-IN"/>
              </w:rPr>
            </w:pPr>
            <w:r w:rsidRPr="002F0F29">
              <w:rPr>
                <w:color w:val="000000"/>
                <w:sz w:val="18"/>
                <w:szCs w:val="18"/>
                <w:lang w:bidi="hi-IN"/>
              </w:rPr>
              <w:t>онкологические для взрослых</w:t>
            </w:r>
          </w:p>
        </w:tc>
        <w:tc>
          <w:tcPr>
            <w:tcW w:w="980" w:type="pct"/>
            <w:tcBorders>
              <w:top w:val="nil"/>
              <w:left w:val="nil"/>
              <w:bottom w:val="single" w:sz="4" w:space="0" w:color="auto"/>
              <w:right w:val="single" w:sz="4" w:space="0" w:color="auto"/>
            </w:tcBorders>
            <w:noWrap/>
            <w:vAlign w:val="center"/>
            <w:hideMark/>
          </w:tcPr>
          <w:p w:rsidR="0067565F" w:rsidRPr="002F0F29" w:rsidRDefault="0067565F" w:rsidP="00833415">
            <w:pPr>
              <w:shd w:val="clear" w:color="auto" w:fill="FFFFFF" w:themeFill="background1"/>
              <w:jc w:val="both"/>
              <w:rPr>
                <w:color w:val="000000"/>
                <w:sz w:val="18"/>
                <w:szCs w:val="18"/>
                <w:lang w:bidi="hi-IN"/>
              </w:rPr>
            </w:pPr>
            <w:r w:rsidRPr="002F0F29">
              <w:rPr>
                <w:color w:val="000000"/>
                <w:sz w:val="18"/>
                <w:szCs w:val="18"/>
                <w:lang w:bidi="hi-IN"/>
              </w:rPr>
              <w:t>число коек, всего</w:t>
            </w:r>
          </w:p>
        </w:tc>
        <w:tc>
          <w:tcPr>
            <w:tcW w:w="535" w:type="pct"/>
            <w:tcBorders>
              <w:top w:val="single" w:sz="4" w:space="0" w:color="auto"/>
              <w:left w:val="nil"/>
              <w:bottom w:val="single" w:sz="4" w:space="0" w:color="auto"/>
              <w:right w:val="single" w:sz="4" w:space="0" w:color="auto"/>
            </w:tcBorders>
            <w:noWrap/>
          </w:tcPr>
          <w:p w:rsidR="0067565F" w:rsidRPr="002F0F29" w:rsidRDefault="0067565F" w:rsidP="00833415">
            <w:pPr>
              <w:shd w:val="clear" w:color="auto" w:fill="FFFFFF" w:themeFill="background1"/>
              <w:jc w:val="center"/>
              <w:rPr>
                <w:color w:val="000000"/>
                <w:sz w:val="20"/>
                <w:szCs w:val="20"/>
                <w:lang w:bidi="hi-IN"/>
              </w:rPr>
            </w:pPr>
            <w:r w:rsidRPr="002F0F29">
              <w:rPr>
                <w:sz w:val="20"/>
                <w:szCs w:val="20"/>
              </w:rPr>
              <w:t>832</w:t>
            </w:r>
          </w:p>
        </w:tc>
        <w:tc>
          <w:tcPr>
            <w:tcW w:w="536" w:type="pct"/>
            <w:tcBorders>
              <w:top w:val="single" w:sz="4" w:space="0" w:color="auto"/>
              <w:left w:val="nil"/>
              <w:bottom w:val="single" w:sz="4" w:space="0" w:color="auto"/>
              <w:right w:val="single" w:sz="4" w:space="0" w:color="auto"/>
            </w:tcBorders>
            <w:noWrap/>
          </w:tcPr>
          <w:p w:rsidR="0067565F" w:rsidRPr="002F0F29" w:rsidRDefault="0067565F" w:rsidP="00833415">
            <w:pPr>
              <w:shd w:val="clear" w:color="auto" w:fill="FFFFFF" w:themeFill="background1"/>
              <w:jc w:val="center"/>
              <w:rPr>
                <w:color w:val="000000"/>
                <w:sz w:val="20"/>
                <w:szCs w:val="20"/>
                <w:lang w:bidi="hi-IN"/>
              </w:rPr>
            </w:pPr>
            <w:r w:rsidRPr="002F0F29">
              <w:rPr>
                <w:sz w:val="20"/>
                <w:szCs w:val="20"/>
              </w:rPr>
              <w:t>977</w:t>
            </w:r>
          </w:p>
        </w:tc>
        <w:tc>
          <w:tcPr>
            <w:tcW w:w="612" w:type="pct"/>
            <w:tcBorders>
              <w:top w:val="single" w:sz="4" w:space="0" w:color="auto"/>
              <w:left w:val="nil"/>
              <w:bottom w:val="single" w:sz="4" w:space="0" w:color="auto"/>
              <w:right w:val="single" w:sz="4" w:space="0" w:color="auto"/>
            </w:tcBorders>
            <w:noWrap/>
          </w:tcPr>
          <w:p w:rsidR="0067565F" w:rsidRPr="002F0F29" w:rsidRDefault="0067565F" w:rsidP="00833415">
            <w:pPr>
              <w:shd w:val="clear" w:color="auto" w:fill="FFFFFF" w:themeFill="background1"/>
              <w:jc w:val="center"/>
              <w:rPr>
                <w:color w:val="000000"/>
                <w:sz w:val="20"/>
                <w:szCs w:val="20"/>
                <w:lang w:bidi="hi-IN"/>
              </w:rPr>
            </w:pPr>
            <w:r w:rsidRPr="002F0F29">
              <w:rPr>
                <w:color w:val="000000"/>
                <w:sz w:val="20"/>
                <w:szCs w:val="20"/>
                <w:lang w:bidi="hi-IN"/>
              </w:rPr>
              <w:t>887</w:t>
            </w:r>
          </w:p>
        </w:tc>
        <w:tc>
          <w:tcPr>
            <w:tcW w:w="612" w:type="pct"/>
            <w:tcBorders>
              <w:top w:val="single" w:sz="4" w:space="0" w:color="auto"/>
              <w:left w:val="nil"/>
              <w:bottom w:val="single" w:sz="4" w:space="0" w:color="auto"/>
              <w:right w:val="single" w:sz="4" w:space="0" w:color="auto"/>
            </w:tcBorders>
            <w:noWrap/>
          </w:tcPr>
          <w:p w:rsidR="0067565F" w:rsidRPr="002F0F29" w:rsidRDefault="0067565F" w:rsidP="00833415">
            <w:pPr>
              <w:shd w:val="clear" w:color="auto" w:fill="FFFFFF" w:themeFill="background1"/>
              <w:jc w:val="center"/>
              <w:rPr>
                <w:color w:val="000000"/>
                <w:sz w:val="20"/>
                <w:szCs w:val="20"/>
                <w:lang w:bidi="hi-IN"/>
              </w:rPr>
            </w:pPr>
            <w:r w:rsidRPr="002F0F29">
              <w:rPr>
                <w:color w:val="000000"/>
                <w:sz w:val="20"/>
                <w:szCs w:val="20"/>
                <w:lang w:bidi="hi-IN"/>
              </w:rPr>
              <w:t>719</w:t>
            </w:r>
          </w:p>
        </w:tc>
        <w:tc>
          <w:tcPr>
            <w:tcW w:w="683" w:type="pct"/>
            <w:tcBorders>
              <w:top w:val="single" w:sz="4" w:space="0" w:color="auto"/>
              <w:left w:val="nil"/>
              <w:bottom w:val="single" w:sz="4" w:space="0" w:color="auto"/>
              <w:right w:val="single" w:sz="4" w:space="0" w:color="auto"/>
            </w:tcBorders>
          </w:tcPr>
          <w:p w:rsidR="0067565F" w:rsidRPr="002F0F29" w:rsidRDefault="0067565F" w:rsidP="00833415">
            <w:pPr>
              <w:shd w:val="clear" w:color="auto" w:fill="FFFFFF" w:themeFill="background1"/>
              <w:jc w:val="center"/>
              <w:rPr>
                <w:color w:val="000000"/>
                <w:sz w:val="20"/>
                <w:szCs w:val="20"/>
                <w:lang w:bidi="hi-IN"/>
              </w:rPr>
            </w:pPr>
            <w:r w:rsidRPr="002F0F29">
              <w:rPr>
                <w:color w:val="000000"/>
                <w:sz w:val="20"/>
                <w:szCs w:val="20"/>
                <w:lang w:bidi="hi-IN"/>
              </w:rPr>
              <w:t>814</w:t>
            </w:r>
          </w:p>
        </w:tc>
      </w:tr>
      <w:tr w:rsidR="0067565F" w:rsidRPr="002F0F29" w:rsidTr="005A615B">
        <w:trPr>
          <w:trHeight w:val="20"/>
        </w:trPr>
        <w:tc>
          <w:tcPr>
            <w:tcW w:w="1043" w:type="pct"/>
            <w:vMerge/>
            <w:tcBorders>
              <w:left w:val="single" w:sz="4" w:space="0" w:color="auto"/>
              <w:right w:val="single" w:sz="4" w:space="0" w:color="auto"/>
            </w:tcBorders>
          </w:tcPr>
          <w:p w:rsidR="0067565F" w:rsidRPr="002F0F29" w:rsidRDefault="0067565F" w:rsidP="00833415">
            <w:pPr>
              <w:shd w:val="clear" w:color="auto" w:fill="FFFFFF" w:themeFill="background1"/>
              <w:jc w:val="both"/>
              <w:rPr>
                <w:color w:val="000000"/>
                <w:sz w:val="18"/>
                <w:szCs w:val="18"/>
                <w:lang w:bidi="hi-IN"/>
              </w:rPr>
            </w:pPr>
          </w:p>
        </w:tc>
        <w:tc>
          <w:tcPr>
            <w:tcW w:w="980" w:type="pct"/>
            <w:tcBorders>
              <w:top w:val="nil"/>
              <w:left w:val="nil"/>
              <w:bottom w:val="single" w:sz="4" w:space="0" w:color="auto"/>
              <w:right w:val="single" w:sz="4" w:space="0" w:color="auto"/>
            </w:tcBorders>
            <w:noWrap/>
            <w:vAlign w:val="bottom"/>
            <w:hideMark/>
          </w:tcPr>
          <w:p w:rsidR="0067565F" w:rsidRPr="002F0F29" w:rsidRDefault="0067565F" w:rsidP="00833415">
            <w:pPr>
              <w:shd w:val="clear" w:color="auto" w:fill="FFFFFF" w:themeFill="background1"/>
              <w:jc w:val="both"/>
              <w:rPr>
                <w:color w:val="000000"/>
                <w:sz w:val="18"/>
                <w:szCs w:val="18"/>
                <w:lang w:bidi="hi-IN"/>
              </w:rPr>
            </w:pPr>
            <w:r w:rsidRPr="002F0F29">
              <w:rPr>
                <w:color w:val="000000"/>
                <w:sz w:val="18"/>
                <w:szCs w:val="18"/>
                <w:lang w:bidi="hi-IN"/>
              </w:rPr>
              <w:t>обеспеченность койками на 10 тыс.населения</w:t>
            </w:r>
          </w:p>
        </w:tc>
        <w:tc>
          <w:tcPr>
            <w:tcW w:w="535" w:type="pct"/>
            <w:tcBorders>
              <w:top w:val="single" w:sz="4" w:space="0" w:color="auto"/>
              <w:left w:val="nil"/>
              <w:bottom w:val="single" w:sz="4" w:space="0" w:color="auto"/>
              <w:right w:val="single" w:sz="4" w:space="0" w:color="auto"/>
            </w:tcBorders>
            <w:noWrap/>
          </w:tcPr>
          <w:p w:rsidR="0067565F" w:rsidRPr="002F0F29" w:rsidRDefault="0067565F" w:rsidP="00833415">
            <w:pPr>
              <w:shd w:val="clear" w:color="auto" w:fill="FFFFFF" w:themeFill="background1"/>
              <w:jc w:val="center"/>
              <w:rPr>
                <w:color w:val="000000"/>
                <w:sz w:val="20"/>
                <w:szCs w:val="20"/>
                <w:lang w:bidi="hi-IN"/>
              </w:rPr>
            </w:pPr>
            <w:r w:rsidRPr="002F0F29">
              <w:rPr>
                <w:sz w:val="20"/>
                <w:szCs w:val="20"/>
              </w:rPr>
              <w:t>2,73</w:t>
            </w:r>
          </w:p>
        </w:tc>
        <w:tc>
          <w:tcPr>
            <w:tcW w:w="536" w:type="pct"/>
            <w:tcBorders>
              <w:top w:val="single" w:sz="4" w:space="0" w:color="auto"/>
              <w:left w:val="nil"/>
              <w:bottom w:val="single" w:sz="4" w:space="0" w:color="auto"/>
              <w:right w:val="single" w:sz="4" w:space="0" w:color="auto"/>
            </w:tcBorders>
            <w:noWrap/>
          </w:tcPr>
          <w:p w:rsidR="0067565F" w:rsidRPr="002F0F29" w:rsidRDefault="0067565F" w:rsidP="00833415">
            <w:pPr>
              <w:shd w:val="clear" w:color="auto" w:fill="FFFFFF" w:themeFill="background1"/>
              <w:jc w:val="center"/>
              <w:rPr>
                <w:color w:val="000000"/>
                <w:sz w:val="20"/>
                <w:szCs w:val="20"/>
                <w:lang w:bidi="hi-IN"/>
              </w:rPr>
            </w:pPr>
            <w:r w:rsidRPr="002F0F29">
              <w:rPr>
                <w:sz w:val="20"/>
                <w:szCs w:val="20"/>
              </w:rPr>
              <w:t>3,1</w:t>
            </w:r>
          </w:p>
        </w:tc>
        <w:tc>
          <w:tcPr>
            <w:tcW w:w="612" w:type="pct"/>
            <w:tcBorders>
              <w:top w:val="single" w:sz="4" w:space="0" w:color="auto"/>
              <w:left w:val="nil"/>
              <w:bottom w:val="single" w:sz="4" w:space="0" w:color="auto"/>
              <w:right w:val="single" w:sz="4" w:space="0" w:color="auto"/>
            </w:tcBorders>
            <w:noWrap/>
          </w:tcPr>
          <w:p w:rsidR="0067565F" w:rsidRPr="002F0F29" w:rsidRDefault="0067565F" w:rsidP="00833415">
            <w:pPr>
              <w:shd w:val="clear" w:color="auto" w:fill="FFFFFF" w:themeFill="background1"/>
              <w:jc w:val="center"/>
              <w:rPr>
                <w:color w:val="000000"/>
                <w:sz w:val="20"/>
                <w:szCs w:val="20"/>
                <w:lang w:bidi="hi-IN"/>
              </w:rPr>
            </w:pPr>
            <w:r w:rsidRPr="002F0F29">
              <w:rPr>
                <w:color w:val="000000"/>
                <w:sz w:val="20"/>
                <w:szCs w:val="20"/>
                <w:lang w:bidi="hi-IN"/>
              </w:rPr>
              <w:t>2,82</w:t>
            </w:r>
          </w:p>
        </w:tc>
        <w:tc>
          <w:tcPr>
            <w:tcW w:w="612" w:type="pct"/>
            <w:tcBorders>
              <w:top w:val="single" w:sz="4" w:space="0" w:color="auto"/>
              <w:left w:val="nil"/>
              <w:bottom w:val="single" w:sz="4" w:space="0" w:color="auto"/>
              <w:right w:val="single" w:sz="4" w:space="0" w:color="auto"/>
            </w:tcBorders>
            <w:noWrap/>
          </w:tcPr>
          <w:p w:rsidR="0067565F" w:rsidRPr="002F0F29" w:rsidRDefault="0067565F" w:rsidP="00833415">
            <w:pPr>
              <w:shd w:val="clear" w:color="auto" w:fill="FFFFFF" w:themeFill="background1"/>
              <w:jc w:val="center"/>
              <w:rPr>
                <w:color w:val="000000"/>
                <w:sz w:val="20"/>
                <w:szCs w:val="20"/>
                <w:lang w:bidi="hi-IN"/>
              </w:rPr>
            </w:pPr>
            <w:r w:rsidRPr="002F0F29">
              <w:rPr>
                <w:color w:val="000000"/>
                <w:sz w:val="20"/>
                <w:szCs w:val="20"/>
                <w:lang w:bidi="hi-IN"/>
              </w:rPr>
              <w:t>2,28</w:t>
            </w:r>
          </w:p>
        </w:tc>
        <w:tc>
          <w:tcPr>
            <w:tcW w:w="683" w:type="pct"/>
            <w:tcBorders>
              <w:top w:val="single" w:sz="4" w:space="0" w:color="auto"/>
              <w:left w:val="nil"/>
              <w:bottom w:val="single" w:sz="4" w:space="0" w:color="auto"/>
              <w:right w:val="single" w:sz="4" w:space="0" w:color="auto"/>
            </w:tcBorders>
          </w:tcPr>
          <w:p w:rsidR="0067565F" w:rsidRPr="002F0F29" w:rsidRDefault="0067565F" w:rsidP="00833415">
            <w:pPr>
              <w:shd w:val="clear" w:color="auto" w:fill="FFFFFF" w:themeFill="background1"/>
              <w:jc w:val="center"/>
              <w:rPr>
                <w:color w:val="000000"/>
                <w:sz w:val="20"/>
                <w:szCs w:val="20"/>
                <w:lang w:bidi="hi-IN"/>
              </w:rPr>
            </w:pPr>
            <w:r w:rsidRPr="002F0F29">
              <w:rPr>
                <w:color w:val="000000"/>
                <w:sz w:val="20"/>
                <w:szCs w:val="20"/>
                <w:lang w:bidi="hi-IN"/>
              </w:rPr>
              <w:t>2,57</w:t>
            </w:r>
          </w:p>
        </w:tc>
      </w:tr>
      <w:tr w:rsidR="0067565F" w:rsidRPr="002F0F29" w:rsidTr="005A615B">
        <w:trPr>
          <w:trHeight w:val="20"/>
        </w:trPr>
        <w:tc>
          <w:tcPr>
            <w:tcW w:w="1043" w:type="pct"/>
            <w:vMerge/>
            <w:tcBorders>
              <w:left w:val="single" w:sz="4" w:space="0" w:color="auto"/>
              <w:bottom w:val="single" w:sz="4" w:space="0" w:color="000000"/>
              <w:right w:val="single" w:sz="4" w:space="0" w:color="auto"/>
            </w:tcBorders>
          </w:tcPr>
          <w:p w:rsidR="0067565F" w:rsidRPr="002F0F29" w:rsidRDefault="0067565F" w:rsidP="00833415">
            <w:pPr>
              <w:shd w:val="clear" w:color="auto" w:fill="FFFFFF" w:themeFill="background1"/>
              <w:jc w:val="both"/>
              <w:rPr>
                <w:color w:val="000000"/>
                <w:sz w:val="18"/>
                <w:szCs w:val="18"/>
                <w:lang w:bidi="hi-IN"/>
              </w:rPr>
            </w:pPr>
          </w:p>
        </w:tc>
        <w:tc>
          <w:tcPr>
            <w:tcW w:w="980" w:type="pct"/>
            <w:tcBorders>
              <w:top w:val="nil"/>
              <w:left w:val="nil"/>
              <w:bottom w:val="single" w:sz="4" w:space="0" w:color="auto"/>
              <w:right w:val="single" w:sz="4" w:space="0" w:color="auto"/>
            </w:tcBorders>
            <w:noWrap/>
            <w:vAlign w:val="center"/>
            <w:hideMark/>
          </w:tcPr>
          <w:p w:rsidR="0067565F" w:rsidRPr="002F0F29" w:rsidRDefault="0067565F" w:rsidP="00833415">
            <w:pPr>
              <w:shd w:val="clear" w:color="auto" w:fill="FFFFFF" w:themeFill="background1"/>
              <w:jc w:val="both"/>
              <w:rPr>
                <w:color w:val="000000"/>
                <w:sz w:val="18"/>
                <w:szCs w:val="18"/>
                <w:lang w:bidi="hi-IN"/>
              </w:rPr>
            </w:pPr>
            <w:r w:rsidRPr="002F0F29">
              <w:rPr>
                <w:color w:val="000000"/>
                <w:sz w:val="18"/>
                <w:szCs w:val="18"/>
                <w:lang w:bidi="hi-IN"/>
              </w:rPr>
              <w:t>на 1 000 вновь выявленных больных</w:t>
            </w:r>
          </w:p>
        </w:tc>
        <w:tc>
          <w:tcPr>
            <w:tcW w:w="535" w:type="pct"/>
            <w:tcBorders>
              <w:top w:val="single" w:sz="4" w:space="0" w:color="auto"/>
              <w:left w:val="nil"/>
              <w:bottom w:val="single" w:sz="4" w:space="0" w:color="auto"/>
              <w:right w:val="single" w:sz="4" w:space="0" w:color="auto"/>
            </w:tcBorders>
            <w:noWrap/>
          </w:tcPr>
          <w:p w:rsidR="0067565F" w:rsidRPr="002F0F29" w:rsidRDefault="0067565F" w:rsidP="00833415">
            <w:pPr>
              <w:shd w:val="clear" w:color="auto" w:fill="FFFFFF" w:themeFill="background1"/>
              <w:jc w:val="center"/>
              <w:rPr>
                <w:color w:val="000000"/>
                <w:sz w:val="20"/>
                <w:szCs w:val="20"/>
                <w:lang w:bidi="hi-IN"/>
              </w:rPr>
            </w:pPr>
            <w:r w:rsidRPr="002F0F29">
              <w:rPr>
                <w:sz w:val="20"/>
                <w:szCs w:val="20"/>
              </w:rPr>
              <w:t>57,65</w:t>
            </w:r>
          </w:p>
        </w:tc>
        <w:tc>
          <w:tcPr>
            <w:tcW w:w="536" w:type="pct"/>
            <w:tcBorders>
              <w:top w:val="single" w:sz="4" w:space="0" w:color="auto"/>
              <w:left w:val="nil"/>
              <w:bottom w:val="single" w:sz="4" w:space="0" w:color="auto"/>
              <w:right w:val="single" w:sz="4" w:space="0" w:color="auto"/>
            </w:tcBorders>
            <w:noWrap/>
          </w:tcPr>
          <w:p w:rsidR="0067565F" w:rsidRPr="002F0F29" w:rsidRDefault="0067565F" w:rsidP="00833415">
            <w:pPr>
              <w:shd w:val="clear" w:color="auto" w:fill="FFFFFF" w:themeFill="background1"/>
              <w:jc w:val="center"/>
              <w:rPr>
                <w:color w:val="000000"/>
                <w:sz w:val="20"/>
                <w:szCs w:val="20"/>
                <w:lang w:bidi="hi-IN"/>
              </w:rPr>
            </w:pPr>
            <w:r w:rsidRPr="002F0F29">
              <w:rPr>
                <w:sz w:val="20"/>
                <w:szCs w:val="20"/>
              </w:rPr>
              <w:t>66,5</w:t>
            </w:r>
          </w:p>
        </w:tc>
        <w:tc>
          <w:tcPr>
            <w:tcW w:w="612" w:type="pct"/>
            <w:tcBorders>
              <w:top w:val="single" w:sz="4" w:space="0" w:color="auto"/>
              <w:left w:val="nil"/>
              <w:bottom w:val="single" w:sz="4" w:space="0" w:color="auto"/>
              <w:right w:val="single" w:sz="4" w:space="0" w:color="auto"/>
            </w:tcBorders>
            <w:noWrap/>
          </w:tcPr>
          <w:p w:rsidR="0067565F" w:rsidRPr="002F0F29" w:rsidRDefault="0067565F" w:rsidP="00833415">
            <w:pPr>
              <w:shd w:val="clear" w:color="auto" w:fill="FFFFFF" w:themeFill="background1"/>
              <w:jc w:val="center"/>
              <w:rPr>
                <w:color w:val="000000"/>
                <w:sz w:val="20"/>
                <w:szCs w:val="20"/>
                <w:lang w:bidi="hi-IN"/>
              </w:rPr>
            </w:pPr>
            <w:r w:rsidRPr="002F0F29">
              <w:rPr>
                <w:color w:val="000000"/>
                <w:sz w:val="20"/>
                <w:szCs w:val="20"/>
                <w:lang w:bidi="hi-IN"/>
              </w:rPr>
              <w:t>57,6</w:t>
            </w:r>
          </w:p>
        </w:tc>
        <w:tc>
          <w:tcPr>
            <w:tcW w:w="612" w:type="pct"/>
            <w:tcBorders>
              <w:top w:val="single" w:sz="4" w:space="0" w:color="auto"/>
              <w:left w:val="nil"/>
              <w:bottom w:val="single" w:sz="4" w:space="0" w:color="auto"/>
              <w:right w:val="single" w:sz="4" w:space="0" w:color="auto"/>
            </w:tcBorders>
            <w:noWrap/>
          </w:tcPr>
          <w:p w:rsidR="0067565F" w:rsidRPr="002F0F29" w:rsidRDefault="0067565F" w:rsidP="00833415">
            <w:pPr>
              <w:shd w:val="clear" w:color="auto" w:fill="FFFFFF" w:themeFill="background1"/>
              <w:jc w:val="center"/>
              <w:rPr>
                <w:color w:val="000000"/>
                <w:sz w:val="20"/>
                <w:szCs w:val="20"/>
                <w:lang w:bidi="hi-IN"/>
              </w:rPr>
            </w:pPr>
            <w:r w:rsidRPr="002F0F29">
              <w:rPr>
                <w:color w:val="000000"/>
                <w:sz w:val="20"/>
                <w:szCs w:val="20"/>
                <w:lang w:bidi="hi-IN"/>
              </w:rPr>
              <w:t>43,6</w:t>
            </w:r>
          </w:p>
        </w:tc>
        <w:tc>
          <w:tcPr>
            <w:tcW w:w="683" w:type="pct"/>
            <w:tcBorders>
              <w:top w:val="single" w:sz="4" w:space="0" w:color="auto"/>
              <w:left w:val="nil"/>
              <w:bottom w:val="single" w:sz="4" w:space="0" w:color="auto"/>
              <w:right w:val="single" w:sz="4" w:space="0" w:color="auto"/>
            </w:tcBorders>
          </w:tcPr>
          <w:p w:rsidR="0067565F" w:rsidRPr="002F0F29" w:rsidRDefault="0067565F" w:rsidP="00833415">
            <w:pPr>
              <w:shd w:val="clear" w:color="auto" w:fill="FFFFFF" w:themeFill="background1"/>
              <w:jc w:val="center"/>
              <w:rPr>
                <w:color w:val="000000"/>
                <w:sz w:val="20"/>
                <w:szCs w:val="20"/>
                <w:lang w:bidi="hi-IN"/>
              </w:rPr>
            </w:pPr>
            <w:r w:rsidRPr="002F0F29">
              <w:rPr>
                <w:color w:val="000000"/>
                <w:sz w:val="20"/>
                <w:szCs w:val="20"/>
                <w:lang w:bidi="hi-IN"/>
              </w:rPr>
              <w:t>44,5</w:t>
            </w:r>
          </w:p>
        </w:tc>
      </w:tr>
      <w:tr w:rsidR="0067565F" w:rsidRPr="002F0F29" w:rsidTr="005A615B">
        <w:trPr>
          <w:trHeight w:val="20"/>
        </w:trPr>
        <w:tc>
          <w:tcPr>
            <w:tcW w:w="1043" w:type="pct"/>
            <w:vMerge w:val="restart"/>
            <w:tcBorders>
              <w:top w:val="single" w:sz="4" w:space="0" w:color="000000"/>
              <w:left w:val="single" w:sz="4" w:space="0" w:color="auto"/>
              <w:bottom w:val="single" w:sz="4" w:space="0" w:color="auto"/>
              <w:right w:val="single" w:sz="4" w:space="0" w:color="auto"/>
            </w:tcBorders>
            <w:hideMark/>
          </w:tcPr>
          <w:p w:rsidR="0067565F" w:rsidRPr="002F0F29" w:rsidRDefault="0067565F" w:rsidP="00833415">
            <w:pPr>
              <w:shd w:val="clear" w:color="auto" w:fill="FFFFFF" w:themeFill="background1"/>
              <w:jc w:val="both"/>
              <w:rPr>
                <w:color w:val="000000"/>
                <w:sz w:val="18"/>
                <w:szCs w:val="18"/>
                <w:lang w:bidi="hi-IN"/>
              </w:rPr>
            </w:pPr>
            <w:r w:rsidRPr="002F0F29">
              <w:rPr>
                <w:color w:val="000000"/>
                <w:sz w:val="18"/>
                <w:szCs w:val="18"/>
                <w:lang w:bidi="hi-IN"/>
              </w:rPr>
              <w:t>онкологические для детей</w:t>
            </w:r>
          </w:p>
        </w:tc>
        <w:tc>
          <w:tcPr>
            <w:tcW w:w="980" w:type="pct"/>
            <w:tcBorders>
              <w:top w:val="nil"/>
              <w:left w:val="nil"/>
              <w:bottom w:val="single" w:sz="4" w:space="0" w:color="auto"/>
              <w:right w:val="single" w:sz="4" w:space="0" w:color="auto"/>
            </w:tcBorders>
            <w:noWrap/>
            <w:vAlign w:val="center"/>
            <w:hideMark/>
          </w:tcPr>
          <w:p w:rsidR="0067565F" w:rsidRPr="002F0F29" w:rsidRDefault="0067565F" w:rsidP="00833415">
            <w:pPr>
              <w:shd w:val="clear" w:color="auto" w:fill="FFFFFF" w:themeFill="background1"/>
              <w:jc w:val="both"/>
              <w:rPr>
                <w:color w:val="000000"/>
                <w:sz w:val="18"/>
                <w:szCs w:val="18"/>
                <w:lang w:bidi="hi-IN"/>
              </w:rPr>
            </w:pPr>
            <w:r w:rsidRPr="002F0F29">
              <w:rPr>
                <w:color w:val="000000"/>
                <w:sz w:val="18"/>
                <w:szCs w:val="18"/>
                <w:lang w:bidi="hi-IN"/>
              </w:rPr>
              <w:t>число коек, всего</w:t>
            </w:r>
          </w:p>
        </w:tc>
        <w:tc>
          <w:tcPr>
            <w:tcW w:w="535" w:type="pct"/>
            <w:tcBorders>
              <w:top w:val="single" w:sz="4" w:space="0" w:color="auto"/>
              <w:left w:val="nil"/>
              <w:bottom w:val="single" w:sz="4" w:space="0" w:color="auto"/>
              <w:right w:val="single" w:sz="4" w:space="0" w:color="auto"/>
            </w:tcBorders>
            <w:noWrap/>
          </w:tcPr>
          <w:p w:rsidR="0067565F" w:rsidRPr="002F0F29" w:rsidRDefault="0067565F" w:rsidP="00833415">
            <w:pPr>
              <w:shd w:val="clear" w:color="auto" w:fill="FFFFFF" w:themeFill="background1"/>
              <w:jc w:val="center"/>
              <w:rPr>
                <w:color w:val="000000"/>
                <w:sz w:val="20"/>
                <w:szCs w:val="20"/>
                <w:lang w:bidi="hi-IN"/>
              </w:rPr>
            </w:pPr>
            <w:r w:rsidRPr="002F0F29">
              <w:rPr>
                <w:sz w:val="20"/>
                <w:szCs w:val="20"/>
              </w:rPr>
              <w:t>45</w:t>
            </w:r>
          </w:p>
        </w:tc>
        <w:tc>
          <w:tcPr>
            <w:tcW w:w="536" w:type="pct"/>
            <w:tcBorders>
              <w:top w:val="single" w:sz="4" w:space="0" w:color="auto"/>
              <w:left w:val="nil"/>
              <w:bottom w:val="single" w:sz="4" w:space="0" w:color="auto"/>
              <w:right w:val="single" w:sz="4" w:space="0" w:color="auto"/>
            </w:tcBorders>
            <w:noWrap/>
          </w:tcPr>
          <w:p w:rsidR="0067565F" w:rsidRPr="002F0F29" w:rsidRDefault="0067565F" w:rsidP="00833415">
            <w:pPr>
              <w:shd w:val="clear" w:color="auto" w:fill="FFFFFF" w:themeFill="background1"/>
              <w:jc w:val="center"/>
              <w:rPr>
                <w:color w:val="000000"/>
                <w:sz w:val="20"/>
                <w:szCs w:val="20"/>
                <w:lang w:bidi="hi-IN"/>
              </w:rPr>
            </w:pPr>
            <w:r w:rsidRPr="002F0F29">
              <w:rPr>
                <w:sz w:val="20"/>
                <w:szCs w:val="20"/>
              </w:rPr>
              <w:t>45</w:t>
            </w:r>
          </w:p>
        </w:tc>
        <w:tc>
          <w:tcPr>
            <w:tcW w:w="612" w:type="pct"/>
            <w:tcBorders>
              <w:top w:val="single" w:sz="4" w:space="0" w:color="auto"/>
              <w:left w:val="nil"/>
              <w:bottom w:val="single" w:sz="4" w:space="0" w:color="auto"/>
              <w:right w:val="single" w:sz="4" w:space="0" w:color="auto"/>
            </w:tcBorders>
            <w:noWrap/>
          </w:tcPr>
          <w:p w:rsidR="0067565F" w:rsidRPr="002F0F29" w:rsidRDefault="0067565F" w:rsidP="00833415">
            <w:pPr>
              <w:shd w:val="clear" w:color="auto" w:fill="FFFFFF" w:themeFill="background1"/>
              <w:jc w:val="center"/>
              <w:rPr>
                <w:color w:val="000000"/>
                <w:sz w:val="20"/>
                <w:szCs w:val="20"/>
                <w:lang w:bidi="hi-IN"/>
              </w:rPr>
            </w:pPr>
            <w:r w:rsidRPr="002F0F29">
              <w:rPr>
                <w:color w:val="000000"/>
                <w:sz w:val="20"/>
                <w:szCs w:val="20"/>
                <w:lang w:bidi="hi-IN"/>
              </w:rPr>
              <w:t>45</w:t>
            </w:r>
          </w:p>
        </w:tc>
        <w:tc>
          <w:tcPr>
            <w:tcW w:w="612" w:type="pct"/>
            <w:tcBorders>
              <w:top w:val="single" w:sz="4" w:space="0" w:color="auto"/>
              <w:left w:val="nil"/>
              <w:bottom w:val="single" w:sz="4" w:space="0" w:color="auto"/>
              <w:right w:val="single" w:sz="4" w:space="0" w:color="auto"/>
            </w:tcBorders>
            <w:noWrap/>
          </w:tcPr>
          <w:p w:rsidR="0067565F" w:rsidRPr="002F0F29" w:rsidRDefault="0067565F" w:rsidP="00833415">
            <w:pPr>
              <w:shd w:val="clear" w:color="auto" w:fill="FFFFFF" w:themeFill="background1"/>
              <w:jc w:val="center"/>
              <w:rPr>
                <w:color w:val="000000"/>
                <w:sz w:val="20"/>
                <w:szCs w:val="20"/>
                <w:lang w:bidi="hi-IN"/>
              </w:rPr>
            </w:pPr>
            <w:r w:rsidRPr="002F0F29">
              <w:rPr>
                <w:color w:val="000000"/>
                <w:sz w:val="20"/>
                <w:szCs w:val="20"/>
                <w:lang w:bidi="hi-IN"/>
              </w:rPr>
              <w:t>45</w:t>
            </w:r>
          </w:p>
        </w:tc>
        <w:tc>
          <w:tcPr>
            <w:tcW w:w="683" w:type="pct"/>
            <w:tcBorders>
              <w:top w:val="single" w:sz="4" w:space="0" w:color="auto"/>
              <w:left w:val="nil"/>
              <w:bottom w:val="single" w:sz="4" w:space="0" w:color="auto"/>
              <w:right w:val="single" w:sz="4" w:space="0" w:color="auto"/>
            </w:tcBorders>
          </w:tcPr>
          <w:p w:rsidR="0067565F" w:rsidRPr="002F0F29" w:rsidRDefault="0067565F" w:rsidP="00833415">
            <w:pPr>
              <w:shd w:val="clear" w:color="auto" w:fill="FFFFFF" w:themeFill="background1"/>
              <w:jc w:val="center"/>
              <w:rPr>
                <w:color w:val="000000"/>
                <w:sz w:val="20"/>
                <w:szCs w:val="20"/>
                <w:lang w:bidi="hi-IN"/>
              </w:rPr>
            </w:pPr>
            <w:r w:rsidRPr="002F0F29">
              <w:rPr>
                <w:color w:val="000000"/>
                <w:sz w:val="20"/>
                <w:szCs w:val="20"/>
                <w:lang w:bidi="hi-IN"/>
              </w:rPr>
              <w:t>51</w:t>
            </w:r>
          </w:p>
        </w:tc>
      </w:tr>
      <w:tr w:rsidR="0067565F" w:rsidRPr="002F0F29" w:rsidTr="005A615B">
        <w:trPr>
          <w:trHeight w:val="20"/>
        </w:trPr>
        <w:tc>
          <w:tcPr>
            <w:tcW w:w="1043" w:type="pct"/>
            <w:vMerge/>
            <w:tcBorders>
              <w:left w:val="single" w:sz="4" w:space="0" w:color="auto"/>
              <w:bottom w:val="single" w:sz="4" w:space="0" w:color="auto"/>
              <w:right w:val="single" w:sz="4" w:space="0" w:color="auto"/>
            </w:tcBorders>
          </w:tcPr>
          <w:p w:rsidR="0067565F" w:rsidRPr="002F0F29" w:rsidRDefault="0067565F" w:rsidP="00833415">
            <w:pPr>
              <w:shd w:val="clear" w:color="auto" w:fill="FFFFFF" w:themeFill="background1"/>
              <w:jc w:val="both"/>
              <w:rPr>
                <w:color w:val="000000"/>
                <w:sz w:val="18"/>
                <w:szCs w:val="18"/>
                <w:lang w:bidi="hi-IN"/>
              </w:rPr>
            </w:pPr>
          </w:p>
        </w:tc>
        <w:tc>
          <w:tcPr>
            <w:tcW w:w="980" w:type="pct"/>
            <w:tcBorders>
              <w:top w:val="nil"/>
              <w:left w:val="nil"/>
              <w:bottom w:val="single" w:sz="4" w:space="0" w:color="auto"/>
              <w:right w:val="single" w:sz="4" w:space="0" w:color="auto"/>
            </w:tcBorders>
            <w:noWrap/>
            <w:vAlign w:val="bottom"/>
            <w:hideMark/>
          </w:tcPr>
          <w:p w:rsidR="0067565F" w:rsidRPr="002F0F29" w:rsidRDefault="0067565F" w:rsidP="00833415">
            <w:pPr>
              <w:shd w:val="clear" w:color="auto" w:fill="FFFFFF" w:themeFill="background1"/>
              <w:jc w:val="both"/>
              <w:rPr>
                <w:color w:val="000000"/>
                <w:sz w:val="18"/>
                <w:szCs w:val="18"/>
                <w:lang w:bidi="hi-IN"/>
              </w:rPr>
            </w:pPr>
            <w:r w:rsidRPr="002F0F29">
              <w:rPr>
                <w:color w:val="000000"/>
                <w:sz w:val="18"/>
                <w:szCs w:val="18"/>
                <w:lang w:bidi="hi-IN"/>
              </w:rPr>
              <w:t>обеспеченность койками на 10 тыс.населения</w:t>
            </w:r>
          </w:p>
        </w:tc>
        <w:tc>
          <w:tcPr>
            <w:tcW w:w="535" w:type="pct"/>
            <w:tcBorders>
              <w:top w:val="single" w:sz="4" w:space="0" w:color="auto"/>
              <w:left w:val="nil"/>
              <w:bottom w:val="single" w:sz="4" w:space="0" w:color="auto"/>
              <w:right w:val="single" w:sz="4" w:space="0" w:color="auto"/>
            </w:tcBorders>
            <w:noWrap/>
          </w:tcPr>
          <w:p w:rsidR="0067565F" w:rsidRPr="002F0F29" w:rsidRDefault="0067565F" w:rsidP="00833415">
            <w:pPr>
              <w:shd w:val="clear" w:color="auto" w:fill="FFFFFF" w:themeFill="background1"/>
              <w:jc w:val="center"/>
              <w:rPr>
                <w:color w:val="000000"/>
                <w:sz w:val="20"/>
                <w:szCs w:val="20"/>
                <w:lang w:bidi="hi-IN"/>
              </w:rPr>
            </w:pPr>
            <w:r w:rsidRPr="002F0F29">
              <w:rPr>
                <w:sz w:val="20"/>
                <w:szCs w:val="20"/>
              </w:rPr>
              <w:t>0,53</w:t>
            </w:r>
          </w:p>
        </w:tc>
        <w:tc>
          <w:tcPr>
            <w:tcW w:w="536" w:type="pct"/>
            <w:tcBorders>
              <w:top w:val="single" w:sz="4" w:space="0" w:color="auto"/>
              <w:left w:val="nil"/>
              <w:bottom w:val="single" w:sz="4" w:space="0" w:color="auto"/>
              <w:right w:val="single" w:sz="4" w:space="0" w:color="auto"/>
            </w:tcBorders>
            <w:noWrap/>
          </w:tcPr>
          <w:p w:rsidR="0067565F" w:rsidRPr="002F0F29" w:rsidRDefault="0067565F" w:rsidP="00833415">
            <w:pPr>
              <w:shd w:val="clear" w:color="auto" w:fill="FFFFFF" w:themeFill="background1"/>
              <w:jc w:val="center"/>
              <w:rPr>
                <w:color w:val="000000"/>
                <w:sz w:val="20"/>
                <w:szCs w:val="20"/>
                <w:lang w:bidi="hi-IN"/>
              </w:rPr>
            </w:pPr>
            <w:r w:rsidRPr="002F0F29">
              <w:rPr>
                <w:sz w:val="20"/>
                <w:szCs w:val="20"/>
              </w:rPr>
              <w:t>0,53</w:t>
            </w:r>
          </w:p>
        </w:tc>
        <w:tc>
          <w:tcPr>
            <w:tcW w:w="612" w:type="pct"/>
            <w:tcBorders>
              <w:top w:val="single" w:sz="4" w:space="0" w:color="auto"/>
              <w:left w:val="nil"/>
              <w:bottom w:val="single" w:sz="4" w:space="0" w:color="auto"/>
              <w:right w:val="single" w:sz="4" w:space="0" w:color="auto"/>
            </w:tcBorders>
            <w:noWrap/>
          </w:tcPr>
          <w:p w:rsidR="0067565F" w:rsidRPr="002F0F29" w:rsidRDefault="0067565F" w:rsidP="00833415">
            <w:pPr>
              <w:shd w:val="clear" w:color="auto" w:fill="FFFFFF" w:themeFill="background1"/>
              <w:jc w:val="center"/>
              <w:rPr>
                <w:color w:val="000000"/>
                <w:sz w:val="20"/>
                <w:szCs w:val="20"/>
                <w:lang w:bidi="hi-IN"/>
              </w:rPr>
            </w:pPr>
            <w:r w:rsidRPr="002F0F29">
              <w:rPr>
                <w:color w:val="000000"/>
                <w:sz w:val="20"/>
                <w:szCs w:val="20"/>
                <w:lang w:bidi="hi-IN"/>
              </w:rPr>
              <w:t>0,53</w:t>
            </w:r>
          </w:p>
        </w:tc>
        <w:tc>
          <w:tcPr>
            <w:tcW w:w="612" w:type="pct"/>
            <w:tcBorders>
              <w:top w:val="single" w:sz="4" w:space="0" w:color="auto"/>
              <w:left w:val="nil"/>
              <w:bottom w:val="single" w:sz="4" w:space="0" w:color="auto"/>
              <w:right w:val="single" w:sz="4" w:space="0" w:color="auto"/>
            </w:tcBorders>
            <w:noWrap/>
          </w:tcPr>
          <w:p w:rsidR="0067565F" w:rsidRPr="002F0F29" w:rsidRDefault="0067565F" w:rsidP="00833415">
            <w:pPr>
              <w:shd w:val="clear" w:color="auto" w:fill="FFFFFF" w:themeFill="background1"/>
              <w:jc w:val="center"/>
              <w:rPr>
                <w:color w:val="000000"/>
                <w:sz w:val="20"/>
                <w:szCs w:val="20"/>
                <w:lang w:bidi="hi-IN"/>
              </w:rPr>
            </w:pPr>
            <w:r w:rsidRPr="002F0F29">
              <w:rPr>
                <w:color w:val="000000"/>
                <w:sz w:val="20"/>
                <w:szCs w:val="20"/>
                <w:lang w:bidi="hi-IN"/>
              </w:rPr>
              <w:t>0,53</w:t>
            </w:r>
          </w:p>
        </w:tc>
        <w:tc>
          <w:tcPr>
            <w:tcW w:w="683" w:type="pct"/>
            <w:tcBorders>
              <w:top w:val="single" w:sz="4" w:space="0" w:color="auto"/>
              <w:left w:val="nil"/>
              <w:bottom w:val="single" w:sz="4" w:space="0" w:color="auto"/>
              <w:right w:val="single" w:sz="4" w:space="0" w:color="auto"/>
            </w:tcBorders>
          </w:tcPr>
          <w:p w:rsidR="0067565F" w:rsidRPr="002F0F29" w:rsidRDefault="0067565F" w:rsidP="00833415">
            <w:pPr>
              <w:shd w:val="clear" w:color="auto" w:fill="FFFFFF" w:themeFill="background1"/>
              <w:jc w:val="center"/>
              <w:rPr>
                <w:color w:val="000000"/>
                <w:sz w:val="20"/>
                <w:szCs w:val="20"/>
                <w:lang w:bidi="hi-IN"/>
              </w:rPr>
            </w:pPr>
            <w:r w:rsidRPr="002F0F29">
              <w:rPr>
                <w:color w:val="000000"/>
                <w:sz w:val="20"/>
                <w:szCs w:val="20"/>
                <w:lang w:bidi="hi-IN"/>
              </w:rPr>
              <w:t>0,59</w:t>
            </w:r>
          </w:p>
        </w:tc>
      </w:tr>
      <w:tr w:rsidR="0067565F" w:rsidRPr="002F0F29" w:rsidTr="005A615B">
        <w:trPr>
          <w:trHeight w:val="20"/>
        </w:trPr>
        <w:tc>
          <w:tcPr>
            <w:tcW w:w="1043" w:type="pct"/>
            <w:vMerge/>
            <w:tcBorders>
              <w:left w:val="single" w:sz="4" w:space="0" w:color="auto"/>
              <w:bottom w:val="single" w:sz="4" w:space="0" w:color="auto"/>
              <w:right w:val="single" w:sz="4" w:space="0" w:color="auto"/>
            </w:tcBorders>
          </w:tcPr>
          <w:p w:rsidR="0067565F" w:rsidRPr="002F0F29" w:rsidRDefault="0067565F" w:rsidP="00833415">
            <w:pPr>
              <w:shd w:val="clear" w:color="auto" w:fill="FFFFFF" w:themeFill="background1"/>
              <w:jc w:val="both"/>
              <w:rPr>
                <w:color w:val="000000"/>
                <w:sz w:val="18"/>
                <w:szCs w:val="18"/>
                <w:lang w:bidi="hi-IN"/>
              </w:rPr>
            </w:pPr>
          </w:p>
        </w:tc>
        <w:tc>
          <w:tcPr>
            <w:tcW w:w="980" w:type="pct"/>
            <w:tcBorders>
              <w:top w:val="nil"/>
              <w:left w:val="nil"/>
              <w:bottom w:val="single" w:sz="4" w:space="0" w:color="auto"/>
              <w:right w:val="single" w:sz="4" w:space="0" w:color="auto"/>
            </w:tcBorders>
            <w:noWrap/>
            <w:vAlign w:val="center"/>
            <w:hideMark/>
          </w:tcPr>
          <w:p w:rsidR="0067565F" w:rsidRPr="002F0F29" w:rsidRDefault="0067565F" w:rsidP="00833415">
            <w:pPr>
              <w:shd w:val="clear" w:color="auto" w:fill="FFFFFF" w:themeFill="background1"/>
              <w:jc w:val="both"/>
              <w:rPr>
                <w:color w:val="000000"/>
                <w:sz w:val="18"/>
                <w:szCs w:val="18"/>
                <w:lang w:bidi="hi-IN"/>
              </w:rPr>
            </w:pPr>
            <w:r w:rsidRPr="002F0F29">
              <w:rPr>
                <w:color w:val="000000"/>
                <w:sz w:val="18"/>
                <w:szCs w:val="18"/>
                <w:lang w:bidi="hi-IN"/>
              </w:rPr>
              <w:t>на 1 000 вновь выявленных больных</w:t>
            </w:r>
          </w:p>
        </w:tc>
        <w:tc>
          <w:tcPr>
            <w:tcW w:w="535" w:type="pct"/>
            <w:tcBorders>
              <w:top w:val="single" w:sz="4" w:space="0" w:color="auto"/>
              <w:left w:val="nil"/>
              <w:bottom w:val="single" w:sz="4" w:space="0" w:color="auto"/>
              <w:right w:val="single" w:sz="4" w:space="0" w:color="auto"/>
            </w:tcBorders>
            <w:noWrap/>
          </w:tcPr>
          <w:p w:rsidR="0067565F" w:rsidRPr="002F0F29" w:rsidRDefault="0067565F" w:rsidP="00833415">
            <w:pPr>
              <w:shd w:val="clear" w:color="auto" w:fill="FFFFFF" w:themeFill="background1"/>
              <w:jc w:val="center"/>
              <w:rPr>
                <w:color w:val="000000"/>
                <w:sz w:val="20"/>
                <w:szCs w:val="20"/>
                <w:lang w:bidi="hi-IN"/>
              </w:rPr>
            </w:pPr>
            <w:r w:rsidRPr="002F0F29">
              <w:rPr>
                <w:sz w:val="20"/>
                <w:szCs w:val="20"/>
              </w:rPr>
              <w:t>454,5</w:t>
            </w:r>
          </w:p>
        </w:tc>
        <w:tc>
          <w:tcPr>
            <w:tcW w:w="536" w:type="pct"/>
            <w:tcBorders>
              <w:top w:val="single" w:sz="4" w:space="0" w:color="auto"/>
              <w:left w:val="nil"/>
              <w:bottom w:val="single" w:sz="4" w:space="0" w:color="auto"/>
              <w:right w:val="single" w:sz="4" w:space="0" w:color="auto"/>
            </w:tcBorders>
            <w:noWrap/>
          </w:tcPr>
          <w:p w:rsidR="0067565F" w:rsidRPr="002F0F29" w:rsidRDefault="0067565F" w:rsidP="00833415">
            <w:pPr>
              <w:shd w:val="clear" w:color="auto" w:fill="FFFFFF" w:themeFill="background1"/>
              <w:jc w:val="center"/>
              <w:rPr>
                <w:color w:val="000000"/>
                <w:sz w:val="20"/>
                <w:szCs w:val="20"/>
                <w:lang w:bidi="hi-IN"/>
              </w:rPr>
            </w:pPr>
            <w:r w:rsidRPr="002F0F29">
              <w:rPr>
                <w:sz w:val="20"/>
                <w:szCs w:val="20"/>
              </w:rPr>
              <w:t>542,2</w:t>
            </w:r>
          </w:p>
        </w:tc>
        <w:tc>
          <w:tcPr>
            <w:tcW w:w="612" w:type="pct"/>
            <w:tcBorders>
              <w:top w:val="single" w:sz="4" w:space="0" w:color="auto"/>
              <w:left w:val="nil"/>
              <w:bottom w:val="single" w:sz="4" w:space="0" w:color="auto"/>
              <w:right w:val="single" w:sz="4" w:space="0" w:color="auto"/>
            </w:tcBorders>
            <w:noWrap/>
          </w:tcPr>
          <w:p w:rsidR="0067565F" w:rsidRPr="002F0F29" w:rsidRDefault="0067565F" w:rsidP="00833415">
            <w:pPr>
              <w:shd w:val="clear" w:color="auto" w:fill="FFFFFF" w:themeFill="background1"/>
              <w:jc w:val="center"/>
              <w:rPr>
                <w:color w:val="000000"/>
                <w:sz w:val="20"/>
                <w:szCs w:val="20"/>
                <w:lang w:bidi="hi-IN"/>
              </w:rPr>
            </w:pPr>
            <w:r w:rsidRPr="002F0F29">
              <w:rPr>
                <w:color w:val="000000"/>
                <w:sz w:val="20"/>
                <w:szCs w:val="20"/>
                <w:lang w:bidi="hi-IN"/>
              </w:rPr>
              <w:t>436,9</w:t>
            </w:r>
          </w:p>
        </w:tc>
        <w:tc>
          <w:tcPr>
            <w:tcW w:w="612" w:type="pct"/>
            <w:tcBorders>
              <w:top w:val="single" w:sz="4" w:space="0" w:color="auto"/>
              <w:left w:val="nil"/>
              <w:bottom w:val="single" w:sz="4" w:space="0" w:color="auto"/>
              <w:right w:val="single" w:sz="4" w:space="0" w:color="auto"/>
            </w:tcBorders>
            <w:noWrap/>
          </w:tcPr>
          <w:p w:rsidR="0067565F" w:rsidRPr="002F0F29" w:rsidRDefault="0067565F" w:rsidP="00833415">
            <w:pPr>
              <w:shd w:val="clear" w:color="auto" w:fill="FFFFFF" w:themeFill="background1"/>
              <w:jc w:val="center"/>
              <w:rPr>
                <w:color w:val="000000"/>
                <w:sz w:val="20"/>
                <w:szCs w:val="20"/>
                <w:lang w:bidi="hi-IN"/>
              </w:rPr>
            </w:pPr>
            <w:r w:rsidRPr="002F0F29">
              <w:rPr>
                <w:color w:val="000000"/>
                <w:sz w:val="20"/>
                <w:szCs w:val="20"/>
                <w:lang w:bidi="hi-IN"/>
              </w:rPr>
              <w:t>548,8</w:t>
            </w:r>
          </w:p>
        </w:tc>
        <w:tc>
          <w:tcPr>
            <w:tcW w:w="683" w:type="pct"/>
            <w:tcBorders>
              <w:top w:val="single" w:sz="4" w:space="0" w:color="auto"/>
              <w:left w:val="nil"/>
              <w:bottom w:val="single" w:sz="4" w:space="0" w:color="auto"/>
              <w:right w:val="single" w:sz="4" w:space="0" w:color="auto"/>
            </w:tcBorders>
          </w:tcPr>
          <w:p w:rsidR="0067565F" w:rsidRPr="002F0F29" w:rsidRDefault="0067565F" w:rsidP="00833415">
            <w:pPr>
              <w:shd w:val="clear" w:color="auto" w:fill="FFFFFF" w:themeFill="background1"/>
              <w:jc w:val="center"/>
              <w:rPr>
                <w:color w:val="000000"/>
                <w:sz w:val="20"/>
                <w:szCs w:val="20"/>
                <w:lang w:bidi="hi-IN"/>
              </w:rPr>
            </w:pPr>
            <w:r w:rsidRPr="002F0F29">
              <w:rPr>
                <w:color w:val="000000"/>
                <w:sz w:val="20"/>
                <w:szCs w:val="20"/>
                <w:lang w:bidi="hi-IN"/>
              </w:rPr>
              <w:t>510</w:t>
            </w:r>
          </w:p>
        </w:tc>
      </w:tr>
      <w:tr w:rsidR="0067565F" w:rsidRPr="002F0F29" w:rsidTr="005A615B">
        <w:trPr>
          <w:trHeight w:val="20"/>
        </w:trPr>
        <w:tc>
          <w:tcPr>
            <w:tcW w:w="1043" w:type="pct"/>
            <w:vMerge w:val="restart"/>
            <w:tcBorders>
              <w:top w:val="single" w:sz="4" w:space="0" w:color="auto"/>
              <w:left w:val="single" w:sz="4" w:space="0" w:color="auto"/>
              <w:right w:val="single" w:sz="4" w:space="0" w:color="auto"/>
            </w:tcBorders>
            <w:hideMark/>
          </w:tcPr>
          <w:p w:rsidR="0067565F" w:rsidRPr="002F0F29" w:rsidRDefault="0067565F" w:rsidP="00833415">
            <w:pPr>
              <w:shd w:val="clear" w:color="auto" w:fill="FFFFFF" w:themeFill="background1"/>
              <w:jc w:val="both"/>
              <w:rPr>
                <w:color w:val="000000"/>
                <w:sz w:val="18"/>
                <w:szCs w:val="18"/>
                <w:lang w:bidi="hi-IN"/>
              </w:rPr>
            </w:pPr>
            <w:r w:rsidRPr="002F0F29">
              <w:rPr>
                <w:color w:val="000000"/>
                <w:sz w:val="18"/>
                <w:szCs w:val="18"/>
                <w:lang w:bidi="hi-IN"/>
              </w:rPr>
              <w:t>Радиотерапевтические (радиологические)</w:t>
            </w:r>
          </w:p>
        </w:tc>
        <w:tc>
          <w:tcPr>
            <w:tcW w:w="980" w:type="pct"/>
            <w:tcBorders>
              <w:top w:val="nil"/>
              <w:left w:val="nil"/>
              <w:bottom w:val="single" w:sz="4" w:space="0" w:color="auto"/>
              <w:right w:val="single" w:sz="4" w:space="0" w:color="auto"/>
            </w:tcBorders>
            <w:noWrap/>
            <w:vAlign w:val="center"/>
            <w:hideMark/>
          </w:tcPr>
          <w:p w:rsidR="0067565F" w:rsidRPr="002F0F29" w:rsidRDefault="0067565F" w:rsidP="00833415">
            <w:pPr>
              <w:shd w:val="clear" w:color="auto" w:fill="FFFFFF" w:themeFill="background1"/>
              <w:jc w:val="both"/>
              <w:rPr>
                <w:color w:val="000000"/>
                <w:sz w:val="18"/>
                <w:szCs w:val="18"/>
                <w:lang w:bidi="hi-IN"/>
              </w:rPr>
            </w:pPr>
            <w:r w:rsidRPr="002F0F29">
              <w:rPr>
                <w:color w:val="000000"/>
                <w:sz w:val="18"/>
                <w:szCs w:val="18"/>
                <w:lang w:bidi="hi-IN"/>
              </w:rPr>
              <w:t>число коек, всего</w:t>
            </w:r>
          </w:p>
        </w:tc>
        <w:tc>
          <w:tcPr>
            <w:tcW w:w="535" w:type="pct"/>
            <w:tcBorders>
              <w:top w:val="single" w:sz="4" w:space="0" w:color="auto"/>
              <w:left w:val="nil"/>
              <w:bottom w:val="single" w:sz="4" w:space="0" w:color="auto"/>
              <w:right w:val="single" w:sz="4" w:space="0" w:color="auto"/>
            </w:tcBorders>
            <w:noWrap/>
          </w:tcPr>
          <w:p w:rsidR="0067565F" w:rsidRPr="002F0F29" w:rsidRDefault="0067565F" w:rsidP="00833415">
            <w:pPr>
              <w:shd w:val="clear" w:color="auto" w:fill="FFFFFF" w:themeFill="background1"/>
              <w:jc w:val="center"/>
              <w:rPr>
                <w:color w:val="000000"/>
                <w:sz w:val="20"/>
                <w:szCs w:val="20"/>
                <w:lang w:bidi="hi-IN"/>
              </w:rPr>
            </w:pPr>
            <w:r w:rsidRPr="002F0F29">
              <w:rPr>
                <w:sz w:val="20"/>
                <w:szCs w:val="20"/>
              </w:rPr>
              <w:t>143</w:t>
            </w:r>
          </w:p>
        </w:tc>
        <w:tc>
          <w:tcPr>
            <w:tcW w:w="536" w:type="pct"/>
            <w:tcBorders>
              <w:top w:val="single" w:sz="4" w:space="0" w:color="auto"/>
              <w:left w:val="nil"/>
              <w:bottom w:val="single" w:sz="4" w:space="0" w:color="auto"/>
              <w:right w:val="single" w:sz="4" w:space="0" w:color="auto"/>
            </w:tcBorders>
            <w:noWrap/>
          </w:tcPr>
          <w:p w:rsidR="0067565F" w:rsidRPr="002F0F29" w:rsidRDefault="0067565F" w:rsidP="00833415">
            <w:pPr>
              <w:shd w:val="clear" w:color="auto" w:fill="FFFFFF" w:themeFill="background1"/>
              <w:jc w:val="center"/>
              <w:rPr>
                <w:color w:val="000000"/>
                <w:sz w:val="20"/>
                <w:szCs w:val="20"/>
                <w:lang w:bidi="hi-IN"/>
              </w:rPr>
            </w:pPr>
            <w:r w:rsidRPr="002F0F29">
              <w:rPr>
                <w:sz w:val="20"/>
                <w:szCs w:val="20"/>
              </w:rPr>
              <w:t>143</w:t>
            </w:r>
          </w:p>
        </w:tc>
        <w:tc>
          <w:tcPr>
            <w:tcW w:w="612" w:type="pct"/>
            <w:tcBorders>
              <w:top w:val="single" w:sz="4" w:space="0" w:color="auto"/>
              <w:left w:val="nil"/>
              <w:bottom w:val="single" w:sz="4" w:space="0" w:color="auto"/>
              <w:right w:val="single" w:sz="4" w:space="0" w:color="auto"/>
            </w:tcBorders>
            <w:noWrap/>
          </w:tcPr>
          <w:p w:rsidR="0067565F" w:rsidRPr="002F0F29" w:rsidRDefault="0067565F" w:rsidP="00833415">
            <w:pPr>
              <w:shd w:val="clear" w:color="auto" w:fill="FFFFFF" w:themeFill="background1"/>
              <w:jc w:val="center"/>
              <w:rPr>
                <w:color w:val="000000"/>
                <w:sz w:val="20"/>
                <w:szCs w:val="20"/>
                <w:lang w:bidi="hi-IN"/>
              </w:rPr>
            </w:pPr>
            <w:r w:rsidRPr="002F0F29">
              <w:rPr>
                <w:color w:val="000000"/>
                <w:sz w:val="20"/>
                <w:szCs w:val="20"/>
                <w:lang w:bidi="hi-IN"/>
              </w:rPr>
              <w:t>143</w:t>
            </w:r>
          </w:p>
        </w:tc>
        <w:tc>
          <w:tcPr>
            <w:tcW w:w="612" w:type="pct"/>
            <w:tcBorders>
              <w:top w:val="single" w:sz="4" w:space="0" w:color="auto"/>
              <w:left w:val="nil"/>
              <w:bottom w:val="single" w:sz="4" w:space="0" w:color="auto"/>
              <w:right w:val="single" w:sz="4" w:space="0" w:color="auto"/>
            </w:tcBorders>
            <w:noWrap/>
          </w:tcPr>
          <w:p w:rsidR="0067565F" w:rsidRPr="002F0F29" w:rsidRDefault="0067565F" w:rsidP="00833415">
            <w:pPr>
              <w:shd w:val="clear" w:color="auto" w:fill="FFFFFF" w:themeFill="background1"/>
              <w:jc w:val="center"/>
              <w:rPr>
                <w:color w:val="000000"/>
                <w:sz w:val="20"/>
                <w:szCs w:val="20"/>
                <w:lang w:bidi="hi-IN"/>
              </w:rPr>
            </w:pPr>
            <w:r w:rsidRPr="002F0F29">
              <w:rPr>
                <w:color w:val="000000"/>
                <w:sz w:val="20"/>
                <w:szCs w:val="20"/>
                <w:lang w:bidi="hi-IN"/>
              </w:rPr>
              <w:t>143</w:t>
            </w:r>
          </w:p>
        </w:tc>
        <w:tc>
          <w:tcPr>
            <w:tcW w:w="683" w:type="pct"/>
            <w:tcBorders>
              <w:top w:val="single" w:sz="4" w:space="0" w:color="auto"/>
              <w:left w:val="nil"/>
              <w:bottom w:val="single" w:sz="4" w:space="0" w:color="auto"/>
              <w:right w:val="single" w:sz="4" w:space="0" w:color="auto"/>
            </w:tcBorders>
          </w:tcPr>
          <w:p w:rsidR="0067565F" w:rsidRPr="002F0F29" w:rsidRDefault="0067565F" w:rsidP="00833415">
            <w:pPr>
              <w:shd w:val="clear" w:color="auto" w:fill="FFFFFF" w:themeFill="background1"/>
              <w:jc w:val="center"/>
              <w:rPr>
                <w:color w:val="000000"/>
                <w:sz w:val="20"/>
                <w:szCs w:val="20"/>
                <w:lang w:bidi="hi-IN"/>
              </w:rPr>
            </w:pPr>
            <w:r w:rsidRPr="002F0F29">
              <w:rPr>
                <w:color w:val="000000"/>
                <w:sz w:val="20"/>
                <w:szCs w:val="20"/>
                <w:lang w:bidi="hi-IN"/>
              </w:rPr>
              <w:t>143</w:t>
            </w:r>
          </w:p>
        </w:tc>
      </w:tr>
      <w:tr w:rsidR="0067565F" w:rsidRPr="002F0F29" w:rsidTr="005A615B">
        <w:trPr>
          <w:trHeight w:val="20"/>
        </w:trPr>
        <w:tc>
          <w:tcPr>
            <w:tcW w:w="1043" w:type="pct"/>
            <w:vMerge/>
            <w:tcBorders>
              <w:left w:val="single" w:sz="4" w:space="0" w:color="auto"/>
              <w:right w:val="single" w:sz="4" w:space="0" w:color="auto"/>
            </w:tcBorders>
            <w:vAlign w:val="center"/>
          </w:tcPr>
          <w:p w:rsidR="0067565F" w:rsidRPr="002F0F29" w:rsidRDefault="0067565F" w:rsidP="00833415">
            <w:pPr>
              <w:shd w:val="clear" w:color="auto" w:fill="FFFFFF" w:themeFill="background1"/>
              <w:jc w:val="both"/>
              <w:rPr>
                <w:color w:val="000000"/>
                <w:sz w:val="18"/>
                <w:szCs w:val="18"/>
                <w:lang w:bidi="hi-IN"/>
              </w:rPr>
            </w:pPr>
          </w:p>
        </w:tc>
        <w:tc>
          <w:tcPr>
            <w:tcW w:w="980" w:type="pct"/>
            <w:tcBorders>
              <w:top w:val="nil"/>
              <w:left w:val="nil"/>
              <w:bottom w:val="single" w:sz="4" w:space="0" w:color="auto"/>
              <w:right w:val="single" w:sz="4" w:space="0" w:color="auto"/>
            </w:tcBorders>
            <w:noWrap/>
            <w:vAlign w:val="bottom"/>
            <w:hideMark/>
          </w:tcPr>
          <w:p w:rsidR="0067565F" w:rsidRPr="002F0F29" w:rsidRDefault="0067565F" w:rsidP="00833415">
            <w:pPr>
              <w:shd w:val="clear" w:color="auto" w:fill="FFFFFF" w:themeFill="background1"/>
              <w:jc w:val="both"/>
              <w:rPr>
                <w:color w:val="000000"/>
                <w:sz w:val="18"/>
                <w:szCs w:val="18"/>
                <w:lang w:bidi="hi-IN"/>
              </w:rPr>
            </w:pPr>
            <w:r w:rsidRPr="002F0F29">
              <w:rPr>
                <w:color w:val="000000"/>
                <w:sz w:val="18"/>
                <w:szCs w:val="18"/>
                <w:lang w:bidi="hi-IN"/>
              </w:rPr>
              <w:t>обеспеченность койками на 10 тыс.населения</w:t>
            </w:r>
          </w:p>
        </w:tc>
        <w:tc>
          <w:tcPr>
            <w:tcW w:w="535" w:type="pct"/>
            <w:tcBorders>
              <w:top w:val="single" w:sz="4" w:space="0" w:color="auto"/>
              <w:left w:val="nil"/>
              <w:bottom w:val="single" w:sz="4" w:space="0" w:color="auto"/>
              <w:right w:val="single" w:sz="4" w:space="0" w:color="auto"/>
            </w:tcBorders>
            <w:noWrap/>
          </w:tcPr>
          <w:p w:rsidR="0067565F" w:rsidRPr="002F0F29" w:rsidRDefault="0067565F" w:rsidP="00833415">
            <w:pPr>
              <w:shd w:val="clear" w:color="auto" w:fill="FFFFFF" w:themeFill="background1"/>
              <w:jc w:val="center"/>
              <w:rPr>
                <w:color w:val="000000"/>
                <w:sz w:val="20"/>
                <w:szCs w:val="20"/>
                <w:lang w:bidi="hi-IN"/>
              </w:rPr>
            </w:pPr>
            <w:r w:rsidRPr="002F0F29">
              <w:rPr>
                <w:sz w:val="20"/>
                <w:szCs w:val="20"/>
              </w:rPr>
              <w:t>0,37</w:t>
            </w:r>
          </w:p>
        </w:tc>
        <w:tc>
          <w:tcPr>
            <w:tcW w:w="536" w:type="pct"/>
            <w:tcBorders>
              <w:top w:val="single" w:sz="4" w:space="0" w:color="auto"/>
              <w:left w:val="nil"/>
              <w:bottom w:val="single" w:sz="4" w:space="0" w:color="auto"/>
              <w:right w:val="single" w:sz="4" w:space="0" w:color="auto"/>
            </w:tcBorders>
            <w:noWrap/>
          </w:tcPr>
          <w:p w:rsidR="0067565F" w:rsidRPr="002F0F29" w:rsidRDefault="0067565F" w:rsidP="00833415">
            <w:pPr>
              <w:shd w:val="clear" w:color="auto" w:fill="FFFFFF" w:themeFill="background1"/>
              <w:jc w:val="center"/>
              <w:rPr>
                <w:color w:val="000000"/>
                <w:sz w:val="20"/>
                <w:szCs w:val="20"/>
                <w:lang w:bidi="hi-IN"/>
              </w:rPr>
            </w:pPr>
            <w:r w:rsidRPr="002F0F29">
              <w:rPr>
                <w:sz w:val="20"/>
                <w:szCs w:val="20"/>
              </w:rPr>
              <w:t>0,37</w:t>
            </w:r>
          </w:p>
        </w:tc>
        <w:tc>
          <w:tcPr>
            <w:tcW w:w="612" w:type="pct"/>
            <w:tcBorders>
              <w:top w:val="single" w:sz="4" w:space="0" w:color="auto"/>
              <w:left w:val="nil"/>
              <w:bottom w:val="single" w:sz="4" w:space="0" w:color="auto"/>
              <w:right w:val="single" w:sz="4" w:space="0" w:color="auto"/>
            </w:tcBorders>
            <w:noWrap/>
          </w:tcPr>
          <w:p w:rsidR="0067565F" w:rsidRPr="002F0F29" w:rsidRDefault="0067565F" w:rsidP="00833415">
            <w:pPr>
              <w:shd w:val="clear" w:color="auto" w:fill="FFFFFF" w:themeFill="background1"/>
              <w:jc w:val="center"/>
              <w:rPr>
                <w:color w:val="000000"/>
                <w:sz w:val="20"/>
                <w:szCs w:val="20"/>
                <w:lang w:bidi="hi-IN"/>
              </w:rPr>
            </w:pPr>
            <w:r w:rsidRPr="002F0F29">
              <w:rPr>
                <w:color w:val="000000"/>
                <w:sz w:val="20"/>
                <w:szCs w:val="20"/>
                <w:lang w:bidi="hi-IN"/>
              </w:rPr>
              <w:t>0,36</w:t>
            </w:r>
          </w:p>
        </w:tc>
        <w:tc>
          <w:tcPr>
            <w:tcW w:w="612" w:type="pct"/>
            <w:tcBorders>
              <w:top w:val="single" w:sz="4" w:space="0" w:color="auto"/>
              <w:left w:val="nil"/>
              <w:bottom w:val="single" w:sz="4" w:space="0" w:color="auto"/>
              <w:right w:val="single" w:sz="4" w:space="0" w:color="auto"/>
            </w:tcBorders>
            <w:noWrap/>
          </w:tcPr>
          <w:p w:rsidR="0067565F" w:rsidRPr="002F0F29" w:rsidRDefault="0067565F" w:rsidP="00833415">
            <w:pPr>
              <w:shd w:val="clear" w:color="auto" w:fill="FFFFFF" w:themeFill="background1"/>
              <w:jc w:val="center"/>
              <w:rPr>
                <w:color w:val="000000"/>
                <w:sz w:val="20"/>
                <w:szCs w:val="20"/>
                <w:lang w:bidi="hi-IN"/>
              </w:rPr>
            </w:pPr>
            <w:r w:rsidRPr="002F0F29">
              <w:rPr>
                <w:color w:val="000000"/>
                <w:sz w:val="20"/>
                <w:szCs w:val="20"/>
                <w:lang w:bidi="hi-IN"/>
              </w:rPr>
              <w:t>0,36</w:t>
            </w:r>
          </w:p>
        </w:tc>
        <w:tc>
          <w:tcPr>
            <w:tcW w:w="683" w:type="pct"/>
            <w:tcBorders>
              <w:top w:val="single" w:sz="4" w:space="0" w:color="auto"/>
              <w:left w:val="nil"/>
              <w:bottom w:val="single" w:sz="4" w:space="0" w:color="auto"/>
              <w:right w:val="single" w:sz="4" w:space="0" w:color="auto"/>
            </w:tcBorders>
          </w:tcPr>
          <w:p w:rsidR="0067565F" w:rsidRPr="002F0F29" w:rsidRDefault="0067565F" w:rsidP="00833415">
            <w:pPr>
              <w:shd w:val="clear" w:color="auto" w:fill="FFFFFF" w:themeFill="background1"/>
              <w:jc w:val="center"/>
              <w:rPr>
                <w:color w:val="000000"/>
                <w:sz w:val="20"/>
                <w:szCs w:val="20"/>
                <w:lang w:bidi="hi-IN"/>
              </w:rPr>
            </w:pPr>
            <w:r w:rsidRPr="002F0F29">
              <w:rPr>
                <w:color w:val="000000"/>
                <w:sz w:val="20"/>
                <w:szCs w:val="20"/>
                <w:lang w:bidi="hi-IN"/>
              </w:rPr>
              <w:t>0,36</w:t>
            </w:r>
          </w:p>
        </w:tc>
      </w:tr>
      <w:tr w:rsidR="0067565F" w:rsidRPr="002F0F29" w:rsidTr="005A615B">
        <w:trPr>
          <w:trHeight w:val="20"/>
        </w:trPr>
        <w:tc>
          <w:tcPr>
            <w:tcW w:w="1043" w:type="pct"/>
            <w:vMerge/>
            <w:tcBorders>
              <w:left w:val="single" w:sz="4" w:space="0" w:color="auto"/>
              <w:bottom w:val="single" w:sz="4" w:space="0" w:color="000000"/>
              <w:right w:val="single" w:sz="4" w:space="0" w:color="auto"/>
            </w:tcBorders>
            <w:vAlign w:val="center"/>
            <w:hideMark/>
          </w:tcPr>
          <w:p w:rsidR="0067565F" w:rsidRPr="002F0F29" w:rsidRDefault="0067565F" w:rsidP="00833415">
            <w:pPr>
              <w:jc w:val="both"/>
              <w:rPr>
                <w:color w:val="000000"/>
                <w:sz w:val="18"/>
                <w:szCs w:val="18"/>
                <w:lang w:bidi="hi-IN"/>
              </w:rPr>
            </w:pPr>
          </w:p>
        </w:tc>
        <w:tc>
          <w:tcPr>
            <w:tcW w:w="980" w:type="pct"/>
            <w:tcBorders>
              <w:top w:val="nil"/>
              <w:left w:val="nil"/>
              <w:bottom w:val="single" w:sz="4" w:space="0" w:color="auto"/>
              <w:right w:val="single" w:sz="4" w:space="0" w:color="auto"/>
            </w:tcBorders>
            <w:vAlign w:val="center"/>
            <w:hideMark/>
          </w:tcPr>
          <w:p w:rsidR="0067565F" w:rsidRPr="002F0F29" w:rsidRDefault="0067565F" w:rsidP="00833415">
            <w:pPr>
              <w:shd w:val="clear" w:color="auto" w:fill="FFFFFF" w:themeFill="background1"/>
              <w:jc w:val="both"/>
              <w:rPr>
                <w:color w:val="000000"/>
                <w:sz w:val="18"/>
                <w:szCs w:val="18"/>
                <w:lang w:bidi="hi-IN"/>
              </w:rPr>
            </w:pPr>
            <w:r w:rsidRPr="002F0F29">
              <w:rPr>
                <w:color w:val="000000"/>
                <w:sz w:val="18"/>
                <w:szCs w:val="18"/>
                <w:lang w:bidi="hi-IN"/>
              </w:rPr>
              <w:t>на 1 000 вновь выявленных больных</w:t>
            </w:r>
          </w:p>
        </w:tc>
        <w:tc>
          <w:tcPr>
            <w:tcW w:w="535" w:type="pct"/>
            <w:tcBorders>
              <w:top w:val="single" w:sz="4" w:space="0" w:color="auto"/>
              <w:left w:val="nil"/>
              <w:bottom w:val="single" w:sz="4" w:space="0" w:color="auto"/>
              <w:right w:val="single" w:sz="4" w:space="0" w:color="auto"/>
            </w:tcBorders>
            <w:noWrap/>
          </w:tcPr>
          <w:p w:rsidR="0067565F" w:rsidRPr="002F0F29" w:rsidRDefault="0067565F" w:rsidP="00833415">
            <w:pPr>
              <w:shd w:val="clear" w:color="auto" w:fill="FFFFFF" w:themeFill="background1"/>
              <w:jc w:val="center"/>
              <w:rPr>
                <w:color w:val="000000"/>
                <w:sz w:val="20"/>
                <w:szCs w:val="20"/>
                <w:lang w:bidi="hi-IN"/>
              </w:rPr>
            </w:pPr>
            <w:r w:rsidRPr="002F0F29">
              <w:rPr>
                <w:sz w:val="20"/>
                <w:szCs w:val="20"/>
              </w:rPr>
              <w:t>9,84</w:t>
            </w:r>
          </w:p>
        </w:tc>
        <w:tc>
          <w:tcPr>
            <w:tcW w:w="536" w:type="pct"/>
            <w:tcBorders>
              <w:top w:val="single" w:sz="4" w:space="0" w:color="auto"/>
              <w:left w:val="nil"/>
              <w:bottom w:val="single" w:sz="4" w:space="0" w:color="auto"/>
              <w:right w:val="single" w:sz="4" w:space="0" w:color="auto"/>
            </w:tcBorders>
            <w:noWrap/>
          </w:tcPr>
          <w:p w:rsidR="0067565F" w:rsidRPr="002F0F29" w:rsidRDefault="0067565F" w:rsidP="00833415">
            <w:pPr>
              <w:shd w:val="clear" w:color="auto" w:fill="FFFFFF" w:themeFill="background1"/>
              <w:jc w:val="center"/>
              <w:rPr>
                <w:color w:val="000000"/>
                <w:sz w:val="20"/>
                <w:szCs w:val="20"/>
                <w:lang w:bidi="hi-IN"/>
              </w:rPr>
            </w:pPr>
            <w:r w:rsidRPr="002F0F29">
              <w:rPr>
                <w:sz w:val="20"/>
                <w:szCs w:val="20"/>
              </w:rPr>
              <w:t>9,67</w:t>
            </w:r>
          </w:p>
        </w:tc>
        <w:tc>
          <w:tcPr>
            <w:tcW w:w="612" w:type="pct"/>
            <w:tcBorders>
              <w:top w:val="single" w:sz="4" w:space="0" w:color="auto"/>
              <w:left w:val="nil"/>
              <w:bottom w:val="single" w:sz="4" w:space="0" w:color="auto"/>
              <w:right w:val="single" w:sz="4" w:space="0" w:color="auto"/>
            </w:tcBorders>
            <w:noWrap/>
          </w:tcPr>
          <w:p w:rsidR="0067565F" w:rsidRPr="002F0F29" w:rsidRDefault="0067565F" w:rsidP="00833415">
            <w:pPr>
              <w:shd w:val="clear" w:color="auto" w:fill="FFFFFF" w:themeFill="background1"/>
              <w:jc w:val="center"/>
              <w:rPr>
                <w:color w:val="000000"/>
                <w:sz w:val="20"/>
                <w:szCs w:val="20"/>
                <w:lang w:bidi="hi-IN"/>
              </w:rPr>
            </w:pPr>
            <w:r w:rsidRPr="002F0F29">
              <w:rPr>
                <w:color w:val="000000"/>
                <w:sz w:val="20"/>
                <w:szCs w:val="20"/>
                <w:lang w:bidi="hi-IN"/>
              </w:rPr>
              <w:t>9,2</w:t>
            </w:r>
          </w:p>
        </w:tc>
        <w:tc>
          <w:tcPr>
            <w:tcW w:w="612" w:type="pct"/>
            <w:tcBorders>
              <w:top w:val="single" w:sz="4" w:space="0" w:color="auto"/>
              <w:left w:val="nil"/>
              <w:bottom w:val="single" w:sz="4" w:space="0" w:color="auto"/>
              <w:right w:val="single" w:sz="4" w:space="0" w:color="auto"/>
            </w:tcBorders>
            <w:noWrap/>
          </w:tcPr>
          <w:p w:rsidR="0067565F" w:rsidRPr="002F0F29" w:rsidRDefault="0067565F" w:rsidP="00833415">
            <w:pPr>
              <w:shd w:val="clear" w:color="auto" w:fill="FFFFFF" w:themeFill="background1"/>
              <w:jc w:val="center"/>
              <w:rPr>
                <w:color w:val="000000"/>
                <w:sz w:val="20"/>
                <w:szCs w:val="20"/>
                <w:lang w:bidi="hi-IN"/>
              </w:rPr>
            </w:pPr>
            <w:r w:rsidRPr="002F0F29">
              <w:rPr>
                <w:color w:val="000000"/>
                <w:sz w:val="20"/>
                <w:szCs w:val="20"/>
                <w:lang w:bidi="hi-IN"/>
              </w:rPr>
              <w:t>8,6</w:t>
            </w:r>
          </w:p>
        </w:tc>
        <w:tc>
          <w:tcPr>
            <w:tcW w:w="683" w:type="pct"/>
            <w:tcBorders>
              <w:top w:val="single" w:sz="4" w:space="0" w:color="auto"/>
              <w:left w:val="nil"/>
              <w:bottom w:val="single" w:sz="4" w:space="0" w:color="auto"/>
              <w:right w:val="single" w:sz="4" w:space="0" w:color="auto"/>
            </w:tcBorders>
          </w:tcPr>
          <w:p w:rsidR="0067565F" w:rsidRPr="002F0F29" w:rsidRDefault="0067565F" w:rsidP="00833415">
            <w:pPr>
              <w:shd w:val="clear" w:color="auto" w:fill="FFFFFF" w:themeFill="background1"/>
              <w:jc w:val="center"/>
              <w:rPr>
                <w:color w:val="000000"/>
                <w:sz w:val="20"/>
                <w:szCs w:val="20"/>
                <w:lang w:bidi="hi-IN"/>
              </w:rPr>
            </w:pPr>
            <w:r w:rsidRPr="002F0F29">
              <w:rPr>
                <w:color w:val="000000"/>
                <w:sz w:val="20"/>
                <w:szCs w:val="20"/>
                <w:lang w:bidi="hi-IN"/>
              </w:rPr>
              <w:t>7,77</w:t>
            </w:r>
          </w:p>
        </w:tc>
      </w:tr>
    </w:tbl>
    <w:p w:rsidR="0067565F" w:rsidRPr="002F0F29" w:rsidRDefault="0067565F" w:rsidP="0067565F">
      <w:pPr>
        <w:ind w:left="7200" w:firstLine="1447"/>
        <w:jc w:val="both"/>
        <w:rPr>
          <w:sz w:val="28"/>
          <w:szCs w:val="28"/>
        </w:rPr>
      </w:pPr>
    </w:p>
    <w:p w:rsidR="00BD0E95" w:rsidRPr="002F0F29" w:rsidRDefault="008E581E" w:rsidP="000E50FE">
      <w:pPr>
        <w:ind w:firstLine="709"/>
        <w:jc w:val="both"/>
        <w:rPr>
          <w:sz w:val="28"/>
          <w:szCs w:val="28"/>
        </w:rPr>
      </w:pPr>
      <w:r w:rsidRPr="002F0F29">
        <w:rPr>
          <w:sz w:val="28"/>
          <w:szCs w:val="28"/>
        </w:rPr>
        <w:t>За 20</w:t>
      </w:r>
      <w:r w:rsidR="009A5BFD" w:rsidRPr="002F0F29">
        <w:rPr>
          <w:sz w:val="28"/>
          <w:szCs w:val="28"/>
        </w:rPr>
        <w:t>2</w:t>
      </w:r>
      <w:r w:rsidR="006407D5" w:rsidRPr="002F0F29">
        <w:rPr>
          <w:sz w:val="28"/>
          <w:szCs w:val="28"/>
        </w:rPr>
        <w:t>1</w:t>
      </w:r>
      <w:r w:rsidR="00D2234B" w:rsidRPr="002F0F29">
        <w:rPr>
          <w:sz w:val="28"/>
          <w:szCs w:val="28"/>
        </w:rPr>
        <w:t xml:space="preserve"> </w:t>
      </w:r>
      <w:r w:rsidR="00D2234B" w:rsidRPr="002F0F29">
        <w:rPr>
          <w:rFonts w:eastAsia="Arial"/>
          <w:sz w:val="28"/>
          <w:szCs w:val="28"/>
        </w:rPr>
        <w:t xml:space="preserve">– </w:t>
      </w:r>
      <w:r w:rsidRPr="002F0F29">
        <w:rPr>
          <w:sz w:val="28"/>
          <w:szCs w:val="28"/>
        </w:rPr>
        <w:t>202</w:t>
      </w:r>
      <w:r w:rsidR="009A5BFD" w:rsidRPr="002F0F29">
        <w:rPr>
          <w:sz w:val="28"/>
          <w:szCs w:val="28"/>
        </w:rPr>
        <w:t>5</w:t>
      </w:r>
      <w:r w:rsidRPr="002F0F29">
        <w:rPr>
          <w:sz w:val="28"/>
          <w:szCs w:val="28"/>
        </w:rPr>
        <w:t xml:space="preserve"> годы произошло уменьшение числа онкологич</w:t>
      </w:r>
      <w:r w:rsidR="00D2234B" w:rsidRPr="002F0F29">
        <w:rPr>
          <w:sz w:val="28"/>
          <w:szCs w:val="28"/>
        </w:rPr>
        <w:t xml:space="preserve">еских коек </w:t>
      </w:r>
      <w:r w:rsidR="00F12595" w:rsidRPr="002F0F29">
        <w:rPr>
          <w:sz w:val="28"/>
          <w:szCs w:val="28"/>
        </w:rPr>
        <w:br/>
      </w:r>
      <w:r w:rsidR="00D2234B" w:rsidRPr="002F0F29">
        <w:rPr>
          <w:sz w:val="28"/>
          <w:szCs w:val="28"/>
        </w:rPr>
        <w:t xml:space="preserve">на </w:t>
      </w:r>
      <w:r w:rsidR="00DE212E" w:rsidRPr="002F0F29">
        <w:rPr>
          <w:sz w:val="28"/>
          <w:szCs w:val="28"/>
        </w:rPr>
        <w:t>1,37</w:t>
      </w:r>
      <w:r w:rsidR="00D2234B" w:rsidRPr="002F0F29">
        <w:rPr>
          <w:sz w:val="28"/>
          <w:szCs w:val="28"/>
        </w:rPr>
        <w:t xml:space="preserve"> процента. Э</w:t>
      </w:r>
      <w:r w:rsidRPr="002F0F29">
        <w:rPr>
          <w:sz w:val="28"/>
          <w:szCs w:val="28"/>
        </w:rPr>
        <w:t>т</w:t>
      </w:r>
      <w:r w:rsidR="00D2234B" w:rsidRPr="002F0F29">
        <w:rPr>
          <w:sz w:val="28"/>
          <w:szCs w:val="28"/>
        </w:rPr>
        <w:t>о</w:t>
      </w:r>
      <w:r w:rsidRPr="002F0F29">
        <w:rPr>
          <w:sz w:val="28"/>
          <w:szCs w:val="28"/>
        </w:rPr>
        <w:t xml:space="preserve"> обусловлено приведением коечного фонда онкологической службы в соотве</w:t>
      </w:r>
      <w:r w:rsidR="000E50FE" w:rsidRPr="002F0F29">
        <w:rPr>
          <w:sz w:val="28"/>
          <w:szCs w:val="28"/>
        </w:rPr>
        <w:t>т</w:t>
      </w:r>
      <w:r w:rsidRPr="002F0F29">
        <w:rPr>
          <w:sz w:val="28"/>
          <w:szCs w:val="28"/>
        </w:rPr>
        <w:t>ствие с требованиями приказа Министерства здравоохранения Ро</w:t>
      </w:r>
      <w:r w:rsidR="00D2234B" w:rsidRPr="002F0F29">
        <w:rPr>
          <w:sz w:val="28"/>
          <w:szCs w:val="28"/>
        </w:rPr>
        <w:t>ссийской Федерации от 19 феврал</w:t>
      </w:r>
      <w:r w:rsidRPr="002F0F29">
        <w:rPr>
          <w:sz w:val="28"/>
          <w:szCs w:val="28"/>
        </w:rPr>
        <w:t>я 2021 г</w:t>
      </w:r>
      <w:r w:rsidR="00FA54BE" w:rsidRPr="002F0F29">
        <w:rPr>
          <w:sz w:val="28"/>
          <w:szCs w:val="28"/>
        </w:rPr>
        <w:t>.</w:t>
      </w:r>
      <w:r w:rsidRPr="002F0F29">
        <w:rPr>
          <w:sz w:val="28"/>
          <w:szCs w:val="28"/>
        </w:rPr>
        <w:t xml:space="preserve"> </w:t>
      </w:r>
      <w:r w:rsidR="00D2234B" w:rsidRPr="002F0F29">
        <w:rPr>
          <w:sz w:val="28"/>
          <w:szCs w:val="28"/>
        </w:rPr>
        <w:t>№</w:t>
      </w:r>
      <w:r w:rsidR="00F12595" w:rsidRPr="002F0F29">
        <w:rPr>
          <w:sz w:val="28"/>
          <w:szCs w:val="28"/>
        </w:rPr>
        <w:t xml:space="preserve"> </w:t>
      </w:r>
      <w:r w:rsidRPr="002F0F29">
        <w:rPr>
          <w:sz w:val="28"/>
          <w:szCs w:val="28"/>
        </w:rPr>
        <w:t>116н</w:t>
      </w:r>
      <w:r w:rsidR="00D901AB" w:rsidRPr="002F0F29">
        <w:rPr>
          <w:sz w:val="28"/>
          <w:szCs w:val="28"/>
        </w:rPr>
        <w:t xml:space="preserve"> </w:t>
      </w:r>
      <w:r w:rsidR="00D901AB" w:rsidRPr="002F0F29">
        <w:rPr>
          <w:color w:val="22272F"/>
          <w:sz w:val="28"/>
          <w:szCs w:val="28"/>
          <w:shd w:val="clear" w:color="auto" w:fill="FFFFFF"/>
        </w:rPr>
        <w:t>«Об утверждении Порядка оказания медицинской помощи взрослому населению при онкологических заболеваниях»</w:t>
      </w:r>
      <w:r w:rsidRPr="002F0F29">
        <w:rPr>
          <w:sz w:val="28"/>
          <w:szCs w:val="28"/>
        </w:rPr>
        <w:t xml:space="preserve">. </w:t>
      </w:r>
      <w:r w:rsidR="006D0C12" w:rsidRPr="002F0F29">
        <w:rPr>
          <w:sz w:val="28"/>
          <w:szCs w:val="28"/>
        </w:rPr>
        <w:t xml:space="preserve">Онкологические отделения </w:t>
      </w:r>
      <w:r w:rsidR="000E50FE" w:rsidRPr="002F0F29">
        <w:rPr>
          <w:sz w:val="28"/>
          <w:szCs w:val="28"/>
        </w:rPr>
        <w:t>м</w:t>
      </w:r>
      <w:r w:rsidR="006D0C12" w:rsidRPr="002F0F29">
        <w:rPr>
          <w:sz w:val="28"/>
          <w:szCs w:val="28"/>
        </w:rPr>
        <w:t>едицинских организаций, не соотве</w:t>
      </w:r>
      <w:r w:rsidR="00FA54BE" w:rsidRPr="002F0F29">
        <w:rPr>
          <w:sz w:val="28"/>
          <w:szCs w:val="28"/>
        </w:rPr>
        <w:t>т</w:t>
      </w:r>
      <w:r w:rsidR="006D0C12" w:rsidRPr="002F0F29">
        <w:rPr>
          <w:sz w:val="28"/>
          <w:szCs w:val="28"/>
        </w:rPr>
        <w:t xml:space="preserve">ствующие требованиям вышеуказанного приказа, были перепрофилированы на лечение пациентов с иными нозологическими формами. </w:t>
      </w:r>
    </w:p>
    <w:p w:rsidR="008E581E" w:rsidRPr="00D901AB" w:rsidRDefault="00320E13" w:rsidP="000E50FE">
      <w:pPr>
        <w:ind w:firstLine="709"/>
        <w:jc w:val="both"/>
        <w:rPr>
          <w:sz w:val="28"/>
          <w:szCs w:val="28"/>
        </w:rPr>
      </w:pPr>
      <w:r w:rsidRPr="002F0F29">
        <w:rPr>
          <w:sz w:val="28"/>
          <w:szCs w:val="28"/>
        </w:rPr>
        <w:t>Коечный фонд онкологического профиля</w:t>
      </w:r>
      <w:r w:rsidR="008E581E" w:rsidRPr="002F0F29">
        <w:rPr>
          <w:sz w:val="28"/>
          <w:szCs w:val="28"/>
        </w:rPr>
        <w:t xml:space="preserve"> для детей за аналогичный период увеличился на </w:t>
      </w:r>
      <w:r w:rsidR="00DE212E" w:rsidRPr="002F0F29">
        <w:rPr>
          <w:sz w:val="28"/>
          <w:szCs w:val="28"/>
        </w:rPr>
        <w:t>13,3</w:t>
      </w:r>
      <w:r w:rsidR="008E581E" w:rsidRPr="002F0F29">
        <w:rPr>
          <w:sz w:val="28"/>
          <w:szCs w:val="28"/>
        </w:rPr>
        <w:t xml:space="preserve"> процент</w:t>
      </w:r>
      <w:r w:rsidR="00D2234B" w:rsidRPr="002F0F29">
        <w:rPr>
          <w:sz w:val="28"/>
          <w:szCs w:val="28"/>
        </w:rPr>
        <w:t>а</w:t>
      </w:r>
      <w:r w:rsidR="007B13E0" w:rsidRPr="002F0F29">
        <w:rPr>
          <w:sz w:val="28"/>
          <w:szCs w:val="28"/>
        </w:rPr>
        <w:t xml:space="preserve"> (с </w:t>
      </w:r>
      <w:r w:rsidR="008A79AE" w:rsidRPr="002F0F29">
        <w:rPr>
          <w:sz w:val="28"/>
          <w:szCs w:val="28"/>
        </w:rPr>
        <w:t xml:space="preserve">45 до </w:t>
      </w:r>
      <w:r w:rsidR="007B13E0" w:rsidRPr="002F0F29">
        <w:rPr>
          <w:sz w:val="28"/>
          <w:szCs w:val="28"/>
        </w:rPr>
        <w:t>5</w:t>
      </w:r>
      <w:r w:rsidR="008A79AE" w:rsidRPr="002F0F29">
        <w:rPr>
          <w:sz w:val="28"/>
          <w:szCs w:val="28"/>
        </w:rPr>
        <w:t>1</w:t>
      </w:r>
      <w:r w:rsidR="007B13E0" w:rsidRPr="002F0F29">
        <w:rPr>
          <w:sz w:val="28"/>
          <w:szCs w:val="28"/>
        </w:rPr>
        <w:t xml:space="preserve"> коек).</w:t>
      </w:r>
      <w:r w:rsidR="00D901AB" w:rsidRPr="002F0F29">
        <w:rPr>
          <w:sz w:val="28"/>
          <w:szCs w:val="28"/>
        </w:rPr>
        <w:t xml:space="preserve"> </w:t>
      </w:r>
      <w:r w:rsidR="008E581E" w:rsidRPr="002F0F29">
        <w:rPr>
          <w:sz w:val="28"/>
          <w:szCs w:val="28"/>
        </w:rPr>
        <w:t>К</w:t>
      </w:r>
      <w:r w:rsidR="008E581E" w:rsidRPr="00F40878">
        <w:rPr>
          <w:sz w:val="28"/>
          <w:szCs w:val="28"/>
        </w:rPr>
        <w:t>оечный фонд радиотерапевтического (радиологического) профиля не изменился</w:t>
      </w:r>
      <w:r w:rsidR="000032B5" w:rsidRPr="00F40878">
        <w:rPr>
          <w:sz w:val="28"/>
          <w:szCs w:val="28"/>
        </w:rPr>
        <w:t xml:space="preserve"> (таблица 22.2).</w:t>
      </w:r>
    </w:p>
    <w:p w:rsidR="00FA54BE" w:rsidRDefault="00FA54BE" w:rsidP="000E50FE">
      <w:pPr>
        <w:ind w:firstLine="709"/>
        <w:jc w:val="both"/>
        <w:rPr>
          <w:rFonts w:eastAsia="Calibri"/>
          <w:sz w:val="28"/>
          <w:szCs w:val="28"/>
        </w:rPr>
      </w:pPr>
    </w:p>
    <w:p w:rsidR="00C5662F" w:rsidRPr="00D901AB" w:rsidRDefault="00C5662F" w:rsidP="000E50FE">
      <w:pPr>
        <w:ind w:firstLine="709"/>
        <w:jc w:val="both"/>
        <w:rPr>
          <w:rFonts w:eastAsia="Calibri"/>
          <w:sz w:val="28"/>
          <w:szCs w:val="28"/>
        </w:rPr>
      </w:pPr>
      <w:r w:rsidRPr="00D901AB">
        <w:rPr>
          <w:rFonts w:eastAsia="Calibri"/>
          <w:sz w:val="28"/>
          <w:szCs w:val="28"/>
        </w:rPr>
        <w:t>Обеспечение укомплектованности кадрами медицинских организаций, оказывающих медицинскую помощь пациентам с</w:t>
      </w:r>
      <w:r w:rsidR="000E50FE" w:rsidRPr="00D901AB">
        <w:rPr>
          <w:rFonts w:eastAsia="Calibri"/>
          <w:sz w:val="28"/>
          <w:szCs w:val="28"/>
        </w:rPr>
        <w:t xml:space="preserve"> </w:t>
      </w:r>
      <w:r w:rsidRPr="00D901AB">
        <w:rPr>
          <w:rFonts w:eastAsia="Calibri"/>
          <w:sz w:val="28"/>
          <w:szCs w:val="28"/>
        </w:rPr>
        <w:t>онкологическими заболеваниями (</w:t>
      </w:r>
      <w:r w:rsidRPr="00D901AB">
        <w:rPr>
          <w:sz w:val="28"/>
          <w:szCs w:val="28"/>
        </w:rPr>
        <w:t>реализация мероприятия осуществляется с учетом возможностей и в пределах средств, направляемых на указанные цели из бюджета Республики Татарстан</w:t>
      </w:r>
      <w:r w:rsidRPr="00D901AB">
        <w:rPr>
          <w:rFonts w:eastAsia="Calibri"/>
          <w:sz w:val="28"/>
          <w:szCs w:val="28"/>
        </w:rPr>
        <w:t>).</w:t>
      </w:r>
    </w:p>
    <w:p w:rsidR="00E33D6D" w:rsidRPr="00D901AB" w:rsidRDefault="00C5662F" w:rsidP="000E50FE">
      <w:pPr>
        <w:ind w:firstLine="709"/>
        <w:jc w:val="both"/>
        <w:rPr>
          <w:rFonts w:eastAsia="Arial"/>
          <w:sz w:val="28"/>
          <w:szCs w:val="28"/>
        </w:rPr>
      </w:pPr>
      <w:r w:rsidRPr="00F40878">
        <w:rPr>
          <w:rFonts w:eastAsia="Arial"/>
          <w:sz w:val="28"/>
          <w:szCs w:val="28"/>
        </w:rPr>
        <w:t>Информация об</w:t>
      </w:r>
      <w:r w:rsidR="006B3CCE" w:rsidRPr="00F40878">
        <w:rPr>
          <w:rFonts w:eastAsia="Arial"/>
          <w:sz w:val="28"/>
          <w:szCs w:val="28"/>
        </w:rPr>
        <w:t xml:space="preserve"> </w:t>
      </w:r>
      <w:r w:rsidRPr="00F40878">
        <w:rPr>
          <w:rFonts w:eastAsia="Arial"/>
          <w:sz w:val="28"/>
          <w:szCs w:val="28"/>
        </w:rPr>
        <w:t>укомплектованности квалифицированными кадрами медицинских организаций, оказывающих специализированную медицинскую помощь, паллиативную медицинскую помощь и</w:t>
      </w:r>
      <w:r w:rsidR="006B3CCE" w:rsidRPr="00F40878">
        <w:rPr>
          <w:rFonts w:eastAsia="Arial"/>
          <w:sz w:val="28"/>
          <w:szCs w:val="28"/>
        </w:rPr>
        <w:t xml:space="preserve"> </w:t>
      </w:r>
      <w:r w:rsidRPr="00F40878">
        <w:rPr>
          <w:rFonts w:eastAsia="Arial"/>
          <w:sz w:val="28"/>
          <w:szCs w:val="28"/>
        </w:rPr>
        <w:t>медицинскую реабилитацию пациентам с</w:t>
      </w:r>
      <w:r w:rsidR="006B3CCE" w:rsidRPr="00F40878">
        <w:rPr>
          <w:rFonts w:eastAsia="Arial"/>
          <w:sz w:val="28"/>
          <w:szCs w:val="28"/>
        </w:rPr>
        <w:t xml:space="preserve"> </w:t>
      </w:r>
      <w:r w:rsidRPr="00F40878">
        <w:rPr>
          <w:rFonts w:eastAsia="Arial"/>
          <w:sz w:val="28"/>
          <w:szCs w:val="28"/>
        </w:rPr>
        <w:t>о</w:t>
      </w:r>
      <w:r w:rsidR="006B3CCE" w:rsidRPr="00F40878">
        <w:rPr>
          <w:rFonts w:eastAsia="Arial"/>
          <w:sz w:val="28"/>
          <w:szCs w:val="28"/>
        </w:rPr>
        <w:t xml:space="preserve">нкологическими заболеваниями (в </w:t>
      </w:r>
      <w:r w:rsidRPr="00F40878">
        <w:rPr>
          <w:rFonts w:eastAsia="Arial"/>
          <w:sz w:val="28"/>
          <w:szCs w:val="28"/>
        </w:rPr>
        <w:t xml:space="preserve">условиях круглосуточного, дневного стационаров </w:t>
      </w:r>
      <w:r w:rsidR="00FA54BE">
        <w:rPr>
          <w:rFonts w:eastAsia="Arial"/>
          <w:sz w:val="28"/>
          <w:szCs w:val="28"/>
        </w:rPr>
        <w:br/>
      </w:r>
      <w:r w:rsidRPr="00F40878">
        <w:rPr>
          <w:rFonts w:eastAsia="Arial"/>
          <w:sz w:val="28"/>
          <w:szCs w:val="28"/>
        </w:rPr>
        <w:t>и</w:t>
      </w:r>
      <w:r w:rsidR="006B3CCE" w:rsidRPr="00F40878">
        <w:rPr>
          <w:rFonts w:eastAsia="Arial"/>
          <w:sz w:val="28"/>
          <w:szCs w:val="28"/>
        </w:rPr>
        <w:t xml:space="preserve"> </w:t>
      </w:r>
      <w:r w:rsidRPr="00F40878">
        <w:rPr>
          <w:rFonts w:eastAsia="Arial"/>
          <w:sz w:val="28"/>
          <w:szCs w:val="28"/>
        </w:rPr>
        <w:t>в</w:t>
      </w:r>
      <w:r w:rsidR="006B3CCE" w:rsidRPr="00F40878">
        <w:rPr>
          <w:rFonts w:eastAsia="Arial"/>
          <w:sz w:val="28"/>
          <w:szCs w:val="28"/>
        </w:rPr>
        <w:t xml:space="preserve"> </w:t>
      </w:r>
      <w:r w:rsidRPr="00F40878">
        <w:rPr>
          <w:rFonts w:eastAsia="Arial"/>
          <w:sz w:val="28"/>
          <w:szCs w:val="28"/>
        </w:rPr>
        <w:t xml:space="preserve">амбулаторных условиях), представлена в таблицах </w:t>
      </w:r>
      <w:r w:rsidR="00915361" w:rsidRPr="00F40878">
        <w:rPr>
          <w:rFonts w:eastAsia="Arial"/>
          <w:sz w:val="28"/>
          <w:szCs w:val="28"/>
        </w:rPr>
        <w:t>22.3</w:t>
      </w:r>
      <w:r w:rsidR="00FA54BE">
        <w:rPr>
          <w:rFonts w:eastAsia="Arial"/>
          <w:sz w:val="28"/>
          <w:szCs w:val="28"/>
        </w:rPr>
        <w:t>,</w:t>
      </w:r>
      <w:r w:rsidR="00D2234B" w:rsidRPr="00F40878">
        <w:rPr>
          <w:rFonts w:eastAsia="Arial"/>
          <w:sz w:val="28"/>
          <w:szCs w:val="28"/>
        </w:rPr>
        <w:t xml:space="preserve"> </w:t>
      </w:r>
      <w:r w:rsidR="00915361" w:rsidRPr="00F40878">
        <w:rPr>
          <w:rFonts w:eastAsia="Arial"/>
          <w:sz w:val="28"/>
          <w:szCs w:val="28"/>
        </w:rPr>
        <w:t>22.4</w:t>
      </w:r>
      <w:r w:rsidR="00501260" w:rsidRPr="00F40878">
        <w:rPr>
          <w:rFonts w:eastAsia="Arial"/>
          <w:sz w:val="28"/>
          <w:szCs w:val="28"/>
        </w:rPr>
        <w:t>.</w:t>
      </w:r>
    </w:p>
    <w:p w:rsidR="00E33D6D" w:rsidRDefault="00E33D6D" w:rsidP="00651208">
      <w:pPr>
        <w:ind w:left="7799" w:firstLine="709"/>
        <w:jc w:val="both"/>
        <w:rPr>
          <w:rFonts w:eastAsia="Arial"/>
          <w:sz w:val="28"/>
          <w:szCs w:val="28"/>
        </w:rPr>
        <w:sectPr w:rsidR="00E33D6D" w:rsidSect="00645122">
          <w:headerReference w:type="default" r:id="rId48"/>
          <w:headerReference w:type="first" r:id="rId49"/>
          <w:pgSz w:w="11906" w:h="16838"/>
          <w:pgMar w:top="1134" w:right="567" w:bottom="1134" w:left="1134" w:header="709" w:footer="709" w:gutter="0"/>
          <w:cols w:space="708"/>
          <w:docGrid w:linePitch="360"/>
        </w:sectPr>
      </w:pPr>
    </w:p>
    <w:p w:rsidR="0067565F" w:rsidRDefault="0067565F" w:rsidP="005D331D">
      <w:pPr>
        <w:ind w:left="7799" w:firstLine="709"/>
        <w:jc w:val="right"/>
        <w:rPr>
          <w:rFonts w:eastAsia="Arial"/>
          <w:sz w:val="28"/>
          <w:szCs w:val="28"/>
        </w:rPr>
      </w:pPr>
    </w:p>
    <w:p w:rsidR="005D331D" w:rsidRDefault="005D331D" w:rsidP="005D331D">
      <w:pPr>
        <w:ind w:left="7799" w:firstLine="709"/>
        <w:jc w:val="right"/>
        <w:rPr>
          <w:rFonts w:eastAsia="Arial"/>
          <w:sz w:val="28"/>
          <w:szCs w:val="28"/>
        </w:rPr>
      </w:pPr>
      <w:r w:rsidRPr="00F40878">
        <w:rPr>
          <w:rFonts w:eastAsia="Arial"/>
          <w:sz w:val="28"/>
          <w:szCs w:val="28"/>
        </w:rPr>
        <w:t>Таблица 22.3</w:t>
      </w:r>
    </w:p>
    <w:p w:rsidR="005D331D" w:rsidRPr="00091230" w:rsidRDefault="005D331D" w:rsidP="005D331D">
      <w:pPr>
        <w:ind w:left="7799" w:firstLine="709"/>
        <w:jc w:val="right"/>
        <w:rPr>
          <w:rFonts w:eastAsia="Arial"/>
          <w:sz w:val="28"/>
          <w:szCs w:val="28"/>
        </w:rPr>
      </w:pPr>
    </w:p>
    <w:p w:rsidR="005D331D" w:rsidRPr="002F0F29" w:rsidRDefault="005D331D" w:rsidP="005D331D">
      <w:pPr>
        <w:jc w:val="center"/>
        <w:rPr>
          <w:sz w:val="28"/>
          <w:szCs w:val="28"/>
        </w:rPr>
      </w:pPr>
      <w:r w:rsidRPr="002F0F29">
        <w:rPr>
          <w:sz w:val="28"/>
          <w:szCs w:val="28"/>
        </w:rPr>
        <w:t xml:space="preserve">Укомплектованность кадрами медицинских организаций, оказывающих специализированную медицинскую помощь </w:t>
      </w:r>
    </w:p>
    <w:p w:rsidR="005D331D" w:rsidRPr="002F0F29" w:rsidRDefault="005D331D" w:rsidP="005D331D">
      <w:pPr>
        <w:jc w:val="center"/>
        <w:rPr>
          <w:sz w:val="28"/>
          <w:szCs w:val="28"/>
        </w:rPr>
      </w:pPr>
      <w:r w:rsidRPr="002F0F29">
        <w:rPr>
          <w:sz w:val="28"/>
          <w:szCs w:val="28"/>
        </w:rPr>
        <w:t>по профилю «онкология»</w:t>
      </w:r>
    </w:p>
    <w:p w:rsidR="005D331D" w:rsidRPr="002F0F29" w:rsidRDefault="005D331D" w:rsidP="005D331D">
      <w:pPr>
        <w:jc w:val="center"/>
      </w:pPr>
    </w:p>
    <w:p w:rsidR="005D331D" w:rsidRPr="002F0F29" w:rsidRDefault="005D331D" w:rsidP="005D331D"/>
    <w:tbl>
      <w:tblPr>
        <w:tblW w:w="15924" w:type="dxa"/>
        <w:tblInd w:w="-71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742"/>
        <w:gridCol w:w="729"/>
        <w:gridCol w:w="729"/>
        <w:gridCol w:w="732"/>
        <w:gridCol w:w="730"/>
        <w:gridCol w:w="730"/>
        <w:gridCol w:w="733"/>
        <w:gridCol w:w="730"/>
        <w:gridCol w:w="731"/>
        <w:gridCol w:w="734"/>
        <w:gridCol w:w="731"/>
        <w:gridCol w:w="731"/>
        <w:gridCol w:w="734"/>
        <w:gridCol w:w="731"/>
        <w:gridCol w:w="731"/>
        <w:gridCol w:w="734"/>
        <w:gridCol w:w="769"/>
        <w:gridCol w:w="694"/>
        <w:gridCol w:w="738"/>
        <w:gridCol w:w="11"/>
      </w:tblGrid>
      <w:tr w:rsidR="005D331D" w:rsidRPr="002F0F29" w:rsidTr="001C12C9">
        <w:trPr>
          <w:trHeight w:val="329"/>
        </w:trPr>
        <w:tc>
          <w:tcPr>
            <w:tcW w:w="15924" w:type="dxa"/>
            <w:gridSpan w:val="20"/>
            <w:shd w:val="clear" w:color="auto" w:fill="auto"/>
            <w:hideMark/>
          </w:tcPr>
          <w:p w:rsidR="005D331D" w:rsidRPr="002F0F29" w:rsidRDefault="005D331D" w:rsidP="001C12C9">
            <w:pPr>
              <w:widowControl/>
              <w:autoSpaceDE/>
              <w:autoSpaceDN/>
              <w:adjustRightInd/>
              <w:jc w:val="center"/>
              <w:rPr>
                <w:color w:val="000000"/>
                <w:sz w:val="15"/>
                <w:szCs w:val="15"/>
              </w:rPr>
            </w:pPr>
            <w:r w:rsidRPr="002F0F29">
              <w:rPr>
                <w:color w:val="000000"/>
                <w:sz w:val="15"/>
                <w:szCs w:val="15"/>
              </w:rPr>
              <w:t>Кадровые ресурсы медицинских организаций, подведомственных Министерству здравоохранения Республики Татарстан</w:t>
            </w:r>
          </w:p>
        </w:tc>
      </w:tr>
      <w:tr w:rsidR="005D331D" w:rsidRPr="002F0F29" w:rsidTr="001C12C9">
        <w:trPr>
          <w:trHeight w:val="346"/>
        </w:trPr>
        <w:tc>
          <w:tcPr>
            <w:tcW w:w="15924" w:type="dxa"/>
            <w:gridSpan w:val="20"/>
            <w:shd w:val="clear" w:color="auto" w:fill="auto"/>
            <w:hideMark/>
          </w:tcPr>
          <w:p w:rsidR="005D331D" w:rsidRPr="002F0F29" w:rsidRDefault="005D331D" w:rsidP="001C12C9">
            <w:pPr>
              <w:widowControl/>
              <w:autoSpaceDE/>
              <w:autoSpaceDN/>
              <w:adjustRightInd/>
              <w:jc w:val="center"/>
              <w:rPr>
                <w:color w:val="000000"/>
                <w:sz w:val="15"/>
                <w:szCs w:val="15"/>
              </w:rPr>
            </w:pPr>
            <w:r w:rsidRPr="002F0F29">
              <w:rPr>
                <w:color w:val="000000"/>
                <w:sz w:val="15"/>
                <w:szCs w:val="15"/>
              </w:rPr>
              <w:t>Свод по всем медицинским организациям, оказывающим медицинскую помощь по профилю «онкология»</w:t>
            </w:r>
          </w:p>
        </w:tc>
      </w:tr>
      <w:tr w:rsidR="005D331D" w:rsidRPr="002F0F29" w:rsidTr="001C12C9">
        <w:trPr>
          <w:trHeight w:val="346"/>
        </w:trPr>
        <w:tc>
          <w:tcPr>
            <w:tcW w:w="2745" w:type="dxa"/>
            <w:vMerge w:val="restart"/>
            <w:shd w:val="clear" w:color="auto" w:fill="auto"/>
            <w:hideMark/>
          </w:tcPr>
          <w:p w:rsidR="005D331D" w:rsidRPr="002F0F29" w:rsidRDefault="005D331D" w:rsidP="001C12C9">
            <w:pPr>
              <w:widowControl/>
              <w:autoSpaceDE/>
              <w:autoSpaceDN/>
              <w:adjustRightInd/>
              <w:jc w:val="center"/>
              <w:rPr>
                <w:color w:val="000000"/>
                <w:sz w:val="15"/>
                <w:szCs w:val="15"/>
              </w:rPr>
            </w:pPr>
            <w:r w:rsidRPr="002F0F29">
              <w:rPr>
                <w:color w:val="000000"/>
                <w:sz w:val="15"/>
                <w:szCs w:val="15"/>
                <w:lang w:eastAsia="en-US"/>
              </w:rPr>
              <w:t>наименование должности</w:t>
            </w:r>
          </w:p>
        </w:tc>
        <w:tc>
          <w:tcPr>
            <w:tcW w:w="2193" w:type="dxa"/>
            <w:gridSpan w:val="3"/>
            <w:shd w:val="clear" w:color="auto" w:fill="auto"/>
            <w:hideMark/>
          </w:tcPr>
          <w:p w:rsidR="005D331D" w:rsidRPr="002F0F29" w:rsidRDefault="005D331D" w:rsidP="001C12C9">
            <w:pPr>
              <w:widowControl/>
              <w:autoSpaceDE/>
              <w:autoSpaceDN/>
              <w:adjustRightInd/>
              <w:jc w:val="center"/>
              <w:rPr>
                <w:color w:val="000000"/>
                <w:sz w:val="15"/>
                <w:szCs w:val="15"/>
              </w:rPr>
            </w:pPr>
            <w:r w:rsidRPr="002F0F29">
              <w:rPr>
                <w:bCs/>
                <w:color w:val="000000"/>
                <w:sz w:val="15"/>
                <w:szCs w:val="15"/>
              </w:rPr>
              <w:t>число штатных должностей</w:t>
            </w:r>
          </w:p>
        </w:tc>
        <w:tc>
          <w:tcPr>
            <w:tcW w:w="2196" w:type="dxa"/>
            <w:gridSpan w:val="3"/>
            <w:shd w:val="clear" w:color="auto" w:fill="auto"/>
            <w:hideMark/>
          </w:tcPr>
          <w:p w:rsidR="005D331D" w:rsidRPr="002F0F29" w:rsidRDefault="005D331D" w:rsidP="001C12C9">
            <w:pPr>
              <w:widowControl/>
              <w:autoSpaceDE/>
              <w:autoSpaceDN/>
              <w:adjustRightInd/>
              <w:jc w:val="center"/>
              <w:rPr>
                <w:color w:val="000000"/>
                <w:sz w:val="15"/>
                <w:szCs w:val="15"/>
              </w:rPr>
            </w:pPr>
            <w:r w:rsidRPr="002F0F29">
              <w:rPr>
                <w:bCs/>
                <w:color w:val="000000"/>
                <w:sz w:val="15"/>
                <w:szCs w:val="15"/>
              </w:rPr>
              <w:t>число занятых должностей</w:t>
            </w:r>
          </w:p>
        </w:tc>
        <w:tc>
          <w:tcPr>
            <w:tcW w:w="2196" w:type="dxa"/>
            <w:gridSpan w:val="3"/>
            <w:shd w:val="clear" w:color="auto" w:fill="auto"/>
            <w:hideMark/>
          </w:tcPr>
          <w:p w:rsidR="005D331D" w:rsidRPr="002F0F29" w:rsidRDefault="005D331D" w:rsidP="001C12C9">
            <w:pPr>
              <w:widowControl/>
              <w:autoSpaceDE/>
              <w:autoSpaceDN/>
              <w:adjustRightInd/>
              <w:jc w:val="center"/>
              <w:rPr>
                <w:color w:val="000000"/>
                <w:sz w:val="15"/>
                <w:szCs w:val="15"/>
              </w:rPr>
            </w:pPr>
            <w:r w:rsidRPr="002F0F29">
              <w:rPr>
                <w:bCs/>
                <w:color w:val="000000"/>
                <w:sz w:val="15"/>
                <w:szCs w:val="15"/>
              </w:rPr>
              <w:t>число физических лиц</w:t>
            </w:r>
          </w:p>
        </w:tc>
        <w:tc>
          <w:tcPr>
            <w:tcW w:w="2196" w:type="dxa"/>
            <w:gridSpan w:val="3"/>
            <w:shd w:val="clear" w:color="auto" w:fill="auto"/>
            <w:hideMark/>
          </w:tcPr>
          <w:p w:rsidR="005D331D" w:rsidRPr="002F0F29" w:rsidRDefault="005D331D" w:rsidP="001C12C9">
            <w:pPr>
              <w:widowControl/>
              <w:autoSpaceDE/>
              <w:autoSpaceDN/>
              <w:adjustRightInd/>
              <w:jc w:val="center"/>
              <w:rPr>
                <w:color w:val="000000"/>
                <w:sz w:val="15"/>
                <w:szCs w:val="15"/>
              </w:rPr>
            </w:pPr>
            <w:r w:rsidRPr="002F0F29">
              <w:rPr>
                <w:bCs/>
                <w:color w:val="000000"/>
                <w:sz w:val="15"/>
                <w:szCs w:val="15"/>
              </w:rPr>
              <w:t>коэффициент совместительства</w:t>
            </w:r>
          </w:p>
        </w:tc>
        <w:tc>
          <w:tcPr>
            <w:tcW w:w="2196" w:type="dxa"/>
            <w:gridSpan w:val="3"/>
            <w:shd w:val="clear" w:color="auto" w:fill="auto"/>
            <w:hideMark/>
          </w:tcPr>
          <w:p w:rsidR="005D331D" w:rsidRPr="002F0F29" w:rsidRDefault="005D331D" w:rsidP="001C12C9">
            <w:pPr>
              <w:widowControl/>
              <w:autoSpaceDE/>
              <w:autoSpaceDN/>
              <w:adjustRightInd/>
              <w:jc w:val="center"/>
              <w:rPr>
                <w:color w:val="000000"/>
                <w:sz w:val="15"/>
                <w:szCs w:val="15"/>
              </w:rPr>
            </w:pPr>
            <w:r w:rsidRPr="002F0F29">
              <w:rPr>
                <w:bCs/>
                <w:color w:val="000000"/>
                <w:sz w:val="15"/>
                <w:szCs w:val="15"/>
              </w:rPr>
              <w:t>укомплектованность штатными единицами</w:t>
            </w:r>
          </w:p>
        </w:tc>
        <w:tc>
          <w:tcPr>
            <w:tcW w:w="2201" w:type="dxa"/>
            <w:gridSpan w:val="4"/>
            <w:shd w:val="clear" w:color="auto" w:fill="auto"/>
            <w:hideMark/>
          </w:tcPr>
          <w:p w:rsidR="005D331D" w:rsidRPr="002F0F29" w:rsidRDefault="005D331D" w:rsidP="001C12C9">
            <w:pPr>
              <w:widowControl/>
              <w:autoSpaceDE/>
              <w:autoSpaceDN/>
              <w:adjustRightInd/>
              <w:jc w:val="center"/>
              <w:rPr>
                <w:color w:val="000000"/>
                <w:sz w:val="15"/>
                <w:szCs w:val="15"/>
              </w:rPr>
            </w:pPr>
            <w:r w:rsidRPr="002F0F29">
              <w:rPr>
                <w:bCs/>
                <w:color w:val="000000"/>
                <w:sz w:val="15"/>
                <w:szCs w:val="15"/>
              </w:rPr>
              <w:t>укомплектованность физическими лицами</w:t>
            </w:r>
          </w:p>
        </w:tc>
      </w:tr>
      <w:tr w:rsidR="005D331D" w:rsidRPr="002F0F29" w:rsidTr="001C12C9">
        <w:trPr>
          <w:gridAfter w:val="1"/>
          <w:wAfter w:w="11" w:type="dxa"/>
          <w:trHeight w:val="346"/>
        </w:trPr>
        <w:tc>
          <w:tcPr>
            <w:tcW w:w="2745" w:type="dxa"/>
            <w:vMerge/>
            <w:vAlign w:val="center"/>
            <w:hideMark/>
          </w:tcPr>
          <w:p w:rsidR="005D331D" w:rsidRPr="002F0F29" w:rsidRDefault="005D331D" w:rsidP="001A02F8">
            <w:pPr>
              <w:widowControl/>
              <w:autoSpaceDE/>
              <w:autoSpaceDN/>
              <w:adjustRightInd/>
              <w:rPr>
                <w:color w:val="000000"/>
                <w:sz w:val="15"/>
                <w:szCs w:val="15"/>
              </w:rPr>
            </w:pPr>
          </w:p>
        </w:tc>
        <w:tc>
          <w:tcPr>
            <w:tcW w:w="730" w:type="dxa"/>
            <w:shd w:val="clear" w:color="auto" w:fill="auto"/>
            <w:hideMark/>
          </w:tcPr>
          <w:p w:rsidR="005D331D" w:rsidRPr="002F0F29" w:rsidRDefault="005D331D" w:rsidP="001C12C9">
            <w:pPr>
              <w:widowControl/>
              <w:autoSpaceDE/>
              <w:autoSpaceDN/>
              <w:adjustRightInd/>
              <w:jc w:val="center"/>
              <w:rPr>
                <w:color w:val="000000"/>
                <w:sz w:val="15"/>
                <w:szCs w:val="15"/>
              </w:rPr>
            </w:pPr>
            <w:r w:rsidRPr="002F0F29">
              <w:rPr>
                <w:color w:val="000000"/>
                <w:sz w:val="15"/>
                <w:szCs w:val="15"/>
              </w:rPr>
              <w:t>2023 г.</w:t>
            </w:r>
          </w:p>
        </w:tc>
        <w:tc>
          <w:tcPr>
            <w:tcW w:w="730" w:type="dxa"/>
            <w:shd w:val="clear" w:color="auto" w:fill="auto"/>
            <w:hideMark/>
          </w:tcPr>
          <w:p w:rsidR="005D331D" w:rsidRPr="002F0F29" w:rsidRDefault="005D331D" w:rsidP="001C12C9">
            <w:pPr>
              <w:widowControl/>
              <w:autoSpaceDE/>
              <w:autoSpaceDN/>
              <w:adjustRightInd/>
              <w:jc w:val="center"/>
              <w:rPr>
                <w:color w:val="000000"/>
                <w:sz w:val="15"/>
                <w:szCs w:val="15"/>
              </w:rPr>
            </w:pPr>
            <w:r w:rsidRPr="002F0F29">
              <w:rPr>
                <w:color w:val="000000"/>
                <w:sz w:val="15"/>
                <w:szCs w:val="15"/>
              </w:rPr>
              <w:t>2024 г.</w:t>
            </w:r>
          </w:p>
        </w:tc>
        <w:tc>
          <w:tcPr>
            <w:tcW w:w="731" w:type="dxa"/>
            <w:shd w:val="clear" w:color="auto" w:fill="auto"/>
            <w:hideMark/>
          </w:tcPr>
          <w:p w:rsidR="005D331D" w:rsidRPr="002F0F29" w:rsidRDefault="005D331D" w:rsidP="001C12C9">
            <w:pPr>
              <w:widowControl/>
              <w:autoSpaceDE/>
              <w:autoSpaceDN/>
              <w:adjustRightInd/>
              <w:jc w:val="center"/>
              <w:rPr>
                <w:color w:val="000000"/>
                <w:sz w:val="15"/>
                <w:szCs w:val="15"/>
              </w:rPr>
            </w:pPr>
            <w:r w:rsidRPr="002F0F29">
              <w:rPr>
                <w:color w:val="000000"/>
                <w:sz w:val="15"/>
                <w:szCs w:val="15"/>
              </w:rPr>
              <w:t>2025 г.</w:t>
            </w:r>
          </w:p>
        </w:tc>
        <w:tc>
          <w:tcPr>
            <w:tcW w:w="731" w:type="dxa"/>
            <w:shd w:val="clear" w:color="auto" w:fill="auto"/>
            <w:hideMark/>
          </w:tcPr>
          <w:p w:rsidR="005D331D" w:rsidRPr="002F0F29" w:rsidRDefault="005D331D" w:rsidP="001C12C9">
            <w:pPr>
              <w:widowControl/>
              <w:autoSpaceDE/>
              <w:autoSpaceDN/>
              <w:adjustRightInd/>
              <w:jc w:val="center"/>
              <w:rPr>
                <w:color w:val="000000"/>
                <w:sz w:val="15"/>
                <w:szCs w:val="15"/>
              </w:rPr>
            </w:pPr>
            <w:r w:rsidRPr="002F0F29">
              <w:rPr>
                <w:color w:val="000000"/>
                <w:sz w:val="15"/>
                <w:szCs w:val="15"/>
              </w:rPr>
              <w:t>2023 г.</w:t>
            </w:r>
          </w:p>
        </w:tc>
        <w:tc>
          <w:tcPr>
            <w:tcW w:w="731" w:type="dxa"/>
            <w:shd w:val="clear" w:color="auto" w:fill="auto"/>
            <w:hideMark/>
          </w:tcPr>
          <w:p w:rsidR="005D331D" w:rsidRPr="002F0F29" w:rsidRDefault="005D331D" w:rsidP="001C12C9">
            <w:pPr>
              <w:widowControl/>
              <w:autoSpaceDE/>
              <w:autoSpaceDN/>
              <w:adjustRightInd/>
              <w:jc w:val="center"/>
              <w:rPr>
                <w:color w:val="000000"/>
                <w:sz w:val="15"/>
                <w:szCs w:val="15"/>
              </w:rPr>
            </w:pPr>
            <w:r w:rsidRPr="002F0F29">
              <w:rPr>
                <w:color w:val="000000"/>
                <w:sz w:val="15"/>
                <w:szCs w:val="15"/>
              </w:rPr>
              <w:t>2024 г.</w:t>
            </w:r>
          </w:p>
        </w:tc>
        <w:tc>
          <w:tcPr>
            <w:tcW w:w="732" w:type="dxa"/>
            <w:shd w:val="clear" w:color="auto" w:fill="auto"/>
            <w:hideMark/>
          </w:tcPr>
          <w:p w:rsidR="005D331D" w:rsidRPr="002F0F29" w:rsidRDefault="005D331D" w:rsidP="001C12C9">
            <w:pPr>
              <w:widowControl/>
              <w:autoSpaceDE/>
              <w:autoSpaceDN/>
              <w:adjustRightInd/>
              <w:jc w:val="center"/>
              <w:rPr>
                <w:color w:val="000000"/>
                <w:sz w:val="15"/>
                <w:szCs w:val="15"/>
              </w:rPr>
            </w:pPr>
            <w:r w:rsidRPr="002F0F29">
              <w:rPr>
                <w:color w:val="000000"/>
                <w:sz w:val="15"/>
                <w:szCs w:val="15"/>
              </w:rPr>
              <w:t>2025 г.</w:t>
            </w:r>
          </w:p>
        </w:tc>
        <w:tc>
          <w:tcPr>
            <w:tcW w:w="731" w:type="dxa"/>
            <w:shd w:val="clear" w:color="auto" w:fill="auto"/>
            <w:hideMark/>
          </w:tcPr>
          <w:p w:rsidR="005D331D" w:rsidRPr="002F0F29" w:rsidRDefault="005D331D" w:rsidP="001C12C9">
            <w:pPr>
              <w:widowControl/>
              <w:autoSpaceDE/>
              <w:autoSpaceDN/>
              <w:adjustRightInd/>
              <w:jc w:val="center"/>
              <w:rPr>
                <w:color w:val="000000"/>
                <w:sz w:val="15"/>
                <w:szCs w:val="15"/>
              </w:rPr>
            </w:pPr>
            <w:r w:rsidRPr="002F0F29">
              <w:rPr>
                <w:color w:val="000000"/>
                <w:sz w:val="15"/>
                <w:szCs w:val="15"/>
              </w:rPr>
              <w:t>2023 г.</w:t>
            </w:r>
          </w:p>
        </w:tc>
        <w:tc>
          <w:tcPr>
            <w:tcW w:w="731" w:type="dxa"/>
            <w:shd w:val="clear" w:color="auto" w:fill="auto"/>
            <w:hideMark/>
          </w:tcPr>
          <w:p w:rsidR="005D331D" w:rsidRPr="002F0F29" w:rsidRDefault="005D331D" w:rsidP="001C12C9">
            <w:pPr>
              <w:widowControl/>
              <w:autoSpaceDE/>
              <w:autoSpaceDN/>
              <w:adjustRightInd/>
              <w:jc w:val="center"/>
              <w:rPr>
                <w:color w:val="000000"/>
                <w:sz w:val="15"/>
                <w:szCs w:val="15"/>
              </w:rPr>
            </w:pPr>
            <w:r w:rsidRPr="002F0F29">
              <w:rPr>
                <w:color w:val="000000"/>
                <w:sz w:val="15"/>
                <w:szCs w:val="15"/>
              </w:rPr>
              <w:t>2024 г.</w:t>
            </w:r>
          </w:p>
        </w:tc>
        <w:tc>
          <w:tcPr>
            <w:tcW w:w="732" w:type="dxa"/>
            <w:shd w:val="clear" w:color="auto" w:fill="auto"/>
            <w:hideMark/>
          </w:tcPr>
          <w:p w:rsidR="005D331D" w:rsidRPr="002F0F29" w:rsidRDefault="005D331D" w:rsidP="001C12C9">
            <w:pPr>
              <w:widowControl/>
              <w:autoSpaceDE/>
              <w:autoSpaceDN/>
              <w:adjustRightInd/>
              <w:jc w:val="center"/>
              <w:rPr>
                <w:color w:val="000000"/>
                <w:sz w:val="15"/>
                <w:szCs w:val="15"/>
              </w:rPr>
            </w:pPr>
            <w:r w:rsidRPr="002F0F29">
              <w:rPr>
                <w:color w:val="000000"/>
                <w:sz w:val="15"/>
                <w:szCs w:val="15"/>
              </w:rPr>
              <w:t>2025 г.</w:t>
            </w:r>
          </w:p>
        </w:tc>
        <w:tc>
          <w:tcPr>
            <w:tcW w:w="731" w:type="dxa"/>
            <w:shd w:val="clear" w:color="auto" w:fill="auto"/>
            <w:hideMark/>
          </w:tcPr>
          <w:p w:rsidR="005D331D" w:rsidRPr="002F0F29" w:rsidRDefault="005D331D" w:rsidP="001C12C9">
            <w:pPr>
              <w:widowControl/>
              <w:autoSpaceDE/>
              <w:autoSpaceDN/>
              <w:adjustRightInd/>
              <w:jc w:val="center"/>
              <w:rPr>
                <w:color w:val="000000"/>
                <w:sz w:val="15"/>
                <w:szCs w:val="15"/>
              </w:rPr>
            </w:pPr>
            <w:r w:rsidRPr="002F0F29">
              <w:rPr>
                <w:color w:val="000000"/>
                <w:sz w:val="15"/>
                <w:szCs w:val="15"/>
              </w:rPr>
              <w:t>2023 г.</w:t>
            </w:r>
          </w:p>
        </w:tc>
        <w:tc>
          <w:tcPr>
            <w:tcW w:w="731" w:type="dxa"/>
            <w:shd w:val="clear" w:color="auto" w:fill="auto"/>
            <w:hideMark/>
          </w:tcPr>
          <w:p w:rsidR="005D331D" w:rsidRPr="002F0F29" w:rsidRDefault="005D331D" w:rsidP="001C12C9">
            <w:pPr>
              <w:widowControl/>
              <w:autoSpaceDE/>
              <w:autoSpaceDN/>
              <w:adjustRightInd/>
              <w:jc w:val="center"/>
              <w:rPr>
                <w:color w:val="000000"/>
                <w:sz w:val="15"/>
                <w:szCs w:val="15"/>
              </w:rPr>
            </w:pPr>
            <w:r w:rsidRPr="002F0F29">
              <w:rPr>
                <w:color w:val="000000"/>
                <w:sz w:val="15"/>
                <w:szCs w:val="15"/>
              </w:rPr>
              <w:t>2024 г.</w:t>
            </w:r>
          </w:p>
        </w:tc>
        <w:tc>
          <w:tcPr>
            <w:tcW w:w="732" w:type="dxa"/>
            <w:shd w:val="clear" w:color="auto" w:fill="auto"/>
            <w:hideMark/>
          </w:tcPr>
          <w:p w:rsidR="005D331D" w:rsidRPr="002F0F29" w:rsidRDefault="005D331D" w:rsidP="001C12C9">
            <w:pPr>
              <w:widowControl/>
              <w:autoSpaceDE/>
              <w:autoSpaceDN/>
              <w:adjustRightInd/>
              <w:jc w:val="center"/>
              <w:rPr>
                <w:color w:val="000000"/>
                <w:sz w:val="15"/>
                <w:szCs w:val="15"/>
              </w:rPr>
            </w:pPr>
            <w:r w:rsidRPr="002F0F29">
              <w:rPr>
                <w:color w:val="000000"/>
                <w:sz w:val="15"/>
                <w:szCs w:val="15"/>
              </w:rPr>
              <w:t>2025 г.</w:t>
            </w:r>
          </w:p>
        </w:tc>
        <w:tc>
          <w:tcPr>
            <w:tcW w:w="731" w:type="dxa"/>
            <w:shd w:val="clear" w:color="auto" w:fill="auto"/>
            <w:hideMark/>
          </w:tcPr>
          <w:p w:rsidR="005D331D" w:rsidRPr="002F0F29" w:rsidRDefault="005D331D" w:rsidP="001C12C9">
            <w:pPr>
              <w:widowControl/>
              <w:autoSpaceDE/>
              <w:autoSpaceDN/>
              <w:adjustRightInd/>
              <w:jc w:val="center"/>
              <w:rPr>
                <w:color w:val="000000"/>
                <w:sz w:val="15"/>
                <w:szCs w:val="15"/>
              </w:rPr>
            </w:pPr>
            <w:r w:rsidRPr="002F0F29">
              <w:rPr>
                <w:color w:val="000000"/>
                <w:sz w:val="15"/>
                <w:szCs w:val="15"/>
              </w:rPr>
              <w:t>2023 г.</w:t>
            </w:r>
          </w:p>
        </w:tc>
        <w:tc>
          <w:tcPr>
            <w:tcW w:w="731" w:type="dxa"/>
            <w:shd w:val="clear" w:color="auto" w:fill="auto"/>
            <w:hideMark/>
          </w:tcPr>
          <w:p w:rsidR="005D331D" w:rsidRPr="002F0F29" w:rsidRDefault="005D331D" w:rsidP="001C12C9">
            <w:pPr>
              <w:widowControl/>
              <w:autoSpaceDE/>
              <w:autoSpaceDN/>
              <w:adjustRightInd/>
              <w:jc w:val="center"/>
              <w:rPr>
                <w:color w:val="000000"/>
                <w:sz w:val="15"/>
                <w:szCs w:val="15"/>
              </w:rPr>
            </w:pPr>
            <w:r w:rsidRPr="002F0F29">
              <w:rPr>
                <w:color w:val="000000"/>
                <w:sz w:val="15"/>
                <w:szCs w:val="15"/>
              </w:rPr>
              <w:t>2024 г.</w:t>
            </w:r>
          </w:p>
        </w:tc>
        <w:tc>
          <w:tcPr>
            <w:tcW w:w="732" w:type="dxa"/>
            <w:shd w:val="clear" w:color="auto" w:fill="auto"/>
            <w:hideMark/>
          </w:tcPr>
          <w:p w:rsidR="005D331D" w:rsidRPr="002F0F29" w:rsidRDefault="005D331D" w:rsidP="001C12C9">
            <w:pPr>
              <w:widowControl/>
              <w:autoSpaceDE/>
              <w:autoSpaceDN/>
              <w:adjustRightInd/>
              <w:jc w:val="center"/>
              <w:rPr>
                <w:color w:val="000000"/>
                <w:sz w:val="15"/>
                <w:szCs w:val="15"/>
              </w:rPr>
            </w:pPr>
            <w:r w:rsidRPr="002F0F29">
              <w:rPr>
                <w:color w:val="000000"/>
                <w:sz w:val="15"/>
                <w:szCs w:val="15"/>
              </w:rPr>
              <w:t>2025 г.</w:t>
            </w:r>
          </w:p>
        </w:tc>
        <w:tc>
          <w:tcPr>
            <w:tcW w:w="769" w:type="dxa"/>
            <w:shd w:val="clear" w:color="auto" w:fill="auto"/>
            <w:hideMark/>
          </w:tcPr>
          <w:p w:rsidR="005D331D" w:rsidRPr="002F0F29" w:rsidRDefault="005D331D" w:rsidP="001C12C9">
            <w:pPr>
              <w:widowControl/>
              <w:autoSpaceDE/>
              <w:autoSpaceDN/>
              <w:adjustRightInd/>
              <w:jc w:val="center"/>
              <w:rPr>
                <w:color w:val="000000"/>
                <w:sz w:val="15"/>
                <w:szCs w:val="15"/>
              </w:rPr>
            </w:pPr>
            <w:r w:rsidRPr="002F0F29">
              <w:rPr>
                <w:color w:val="000000"/>
                <w:sz w:val="15"/>
                <w:szCs w:val="15"/>
              </w:rPr>
              <w:t>2023 г.</w:t>
            </w:r>
          </w:p>
        </w:tc>
        <w:tc>
          <w:tcPr>
            <w:tcW w:w="694" w:type="dxa"/>
            <w:shd w:val="clear" w:color="auto" w:fill="auto"/>
            <w:hideMark/>
          </w:tcPr>
          <w:p w:rsidR="005D331D" w:rsidRPr="002F0F29" w:rsidRDefault="005D331D" w:rsidP="001C12C9">
            <w:pPr>
              <w:widowControl/>
              <w:autoSpaceDE/>
              <w:autoSpaceDN/>
              <w:adjustRightInd/>
              <w:jc w:val="center"/>
              <w:rPr>
                <w:color w:val="000000"/>
                <w:sz w:val="15"/>
                <w:szCs w:val="15"/>
              </w:rPr>
            </w:pPr>
            <w:r w:rsidRPr="002F0F29">
              <w:rPr>
                <w:color w:val="000000"/>
                <w:sz w:val="15"/>
                <w:szCs w:val="15"/>
              </w:rPr>
              <w:t>2024 г.</w:t>
            </w:r>
          </w:p>
        </w:tc>
        <w:tc>
          <w:tcPr>
            <w:tcW w:w="738" w:type="dxa"/>
            <w:shd w:val="clear" w:color="auto" w:fill="auto"/>
            <w:hideMark/>
          </w:tcPr>
          <w:p w:rsidR="005D331D" w:rsidRPr="002F0F29" w:rsidRDefault="005D331D" w:rsidP="001C12C9">
            <w:pPr>
              <w:widowControl/>
              <w:autoSpaceDE/>
              <w:autoSpaceDN/>
              <w:adjustRightInd/>
              <w:jc w:val="center"/>
              <w:rPr>
                <w:color w:val="000000"/>
                <w:sz w:val="15"/>
                <w:szCs w:val="15"/>
              </w:rPr>
            </w:pPr>
            <w:r w:rsidRPr="002F0F29">
              <w:rPr>
                <w:color w:val="000000"/>
                <w:sz w:val="15"/>
                <w:szCs w:val="15"/>
              </w:rPr>
              <w:t>2025 г.</w:t>
            </w:r>
          </w:p>
        </w:tc>
      </w:tr>
      <w:tr w:rsidR="005D331D" w:rsidRPr="002F0F29" w:rsidTr="00DF204B">
        <w:trPr>
          <w:gridAfter w:val="1"/>
          <w:wAfter w:w="11" w:type="dxa"/>
          <w:trHeight w:val="25"/>
        </w:trPr>
        <w:tc>
          <w:tcPr>
            <w:tcW w:w="2745" w:type="dxa"/>
            <w:shd w:val="clear" w:color="auto" w:fill="auto"/>
            <w:hideMark/>
          </w:tcPr>
          <w:p w:rsidR="005D331D" w:rsidRPr="002F0F29" w:rsidRDefault="005D331D" w:rsidP="00DF204B">
            <w:pPr>
              <w:widowControl/>
              <w:autoSpaceDE/>
              <w:autoSpaceDN/>
              <w:adjustRightInd/>
              <w:rPr>
                <w:color w:val="000000"/>
                <w:sz w:val="15"/>
                <w:szCs w:val="15"/>
              </w:rPr>
            </w:pPr>
            <w:r w:rsidRPr="002F0F29">
              <w:rPr>
                <w:color w:val="000000"/>
                <w:sz w:val="15"/>
                <w:szCs w:val="15"/>
              </w:rPr>
              <w:t>Онкологи</w:t>
            </w:r>
          </w:p>
        </w:tc>
        <w:tc>
          <w:tcPr>
            <w:tcW w:w="730" w:type="dxa"/>
            <w:shd w:val="clear" w:color="000000" w:fill="FFFFFF"/>
            <w:hideMark/>
          </w:tcPr>
          <w:p w:rsidR="005D331D" w:rsidRPr="002F0F29" w:rsidRDefault="005D331D" w:rsidP="00DF204B">
            <w:pPr>
              <w:widowControl/>
              <w:autoSpaceDE/>
              <w:autoSpaceDN/>
              <w:adjustRightInd/>
              <w:jc w:val="center"/>
              <w:rPr>
                <w:color w:val="000000"/>
                <w:sz w:val="15"/>
                <w:szCs w:val="15"/>
              </w:rPr>
            </w:pPr>
            <w:r w:rsidRPr="002F0F29">
              <w:rPr>
                <w:color w:val="000000"/>
                <w:sz w:val="15"/>
                <w:szCs w:val="15"/>
              </w:rPr>
              <w:t>467,5</w:t>
            </w:r>
          </w:p>
        </w:tc>
        <w:tc>
          <w:tcPr>
            <w:tcW w:w="730" w:type="dxa"/>
            <w:shd w:val="clear" w:color="auto" w:fill="auto"/>
            <w:hideMark/>
          </w:tcPr>
          <w:p w:rsidR="005D331D" w:rsidRPr="002F0F29" w:rsidRDefault="005D331D" w:rsidP="00DF204B">
            <w:pPr>
              <w:widowControl/>
              <w:autoSpaceDE/>
              <w:autoSpaceDN/>
              <w:adjustRightInd/>
              <w:jc w:val="center"/>
              <w:rPr>
                <w:color w:val="000000"/>
                <w:sz w:val="15"/>
                <w:szCs w:val="15"/>
              </w:rPr>
            </w:pPr>
            <w:r w:rsidRPr="002F0F29">
              <w:rPr>
                <w:color w:val="000000"/>
                <w:sz w:val="15"/>
                <w:szCs w:val="15"/>
              </w:rPr>
              <w:t>462</w:t>
            </w:r>
          </w:p>
        </w:tc>
        <w:tc>
          <w:tcPr>
            <w:tcW w:w="731" w:type="dxa"/>
            <w:shd w:val="clear" w:color="000000" w:fill="FFFFFF"/>
            <w:hideMark/>
          </w:tcPr>
          <w:p w:rsidR="005D331D" w:rsidRPr="002F0F29" w:rsidRDefault="005D331D" w:rsidP="00DF204B">
            <w:pPr>
              <w:widowControl/>
              <w:autoSpaceDE/>
              <w:autoSpaceDN/>
              <w:adjustRightInd/>
              <w:jc w:val="center"/>
              <w:rPr>
                <w:color w:val="000000"/>
                <w:sz w:val="15"/>
                <w:szCs w:val="15"/>
              </w:rPr>
            </w:pPr>
            <w:r w:rsidRPr="002F0F29">
              <w:rPr>
                <w:color w:val="000000"/>
                <w:sz w:val="15"/>
                <w:szCs w:val="15"/>
              </w:rPr>
              <w:t>466,25</w:t>
            </w:r>
          </w:p>
        </w:tc>
        <w:tc>
          <w:tcPr>
            <w:tcW w:w="731" w:type="dxa"/>
            <w:shd w:val="clear" w:color="000000" w:fill="FFFFFF"/>
            <w:hideMark/>
          </w:tcPr>
          <w:p w:rsidR="005D331D" w:rsidRPr="002F0F29" w:rsidRDefault="005D331D" w:rsidP="00DF204B">
            <w:pPr>
              <w:widowControl/>
              <w:autoSpaceDE/>
              <w:autoSpaceDN/>
              <w:adjustRightInd/>
              <w:jc w:val="center"/>
              <w:rPr>
                <w:color w:val="000000"/>
                <w:sz w:val="15"/>
                <w:szCs w:val="15"/>
              </w:rPr>
            </w:pPr>
            <w:r w:rsidRPr="002F0F29">
              <w:rPr>
                <w:color w:val="000000"/>
                <w:sz w:val="15"/>
                <w:szCs w:val="15"/>
                <w:lang w:bidi="hi-IN"/>
              </w:rPr>
              <w:t>458,75</w:t>
            </w:r>
          </w:p>
        </w:tc>
        <w:tc>
          <w:tcPr>
            <w:tcW w:w="731" w:type="dxa"/>
            <w:shd w:val="clear" w:color="auto" w:fill="auto"/>
            <w:hideMark/>
          </w:tcPr>
          <w:p w:rsidR="005D331D" w:rsidRPr="002F0F29" w:rsidRDefault="005D331D" w:rsidP="00DF204B">
            <w:pPr>
              <w:widowControl/>
              <w:autoSpaceDE/>
              <w:autoSpaceDN/>
              <w:adjustRightInd/>
              <w:jc w:val="center"/>
              <w:rPr>
                <w:color w:val="000000"/>
                <w:sz w:val="15"/>
                <w:szCs w:val="15"/>
              </w:rPr>
            </w:pPr>
            <w:r w:rsidRPr="002F0F29">
              <w:rPr>
                <w:color w:val="000000"/>
                <w:sz w:val="15"/>
                <w:szCs w:val="15"/>
                <w:lang w:bidi="hi-IN"/>
              </w:rPr>
              <w:t>454,5</w:t>
            </w:r>
          </w:p>
        </w:tc>
        <w:tc>
          <w:tcPr>
            <w:tcW w:w="732" w:type="dxa"/>
            <w:shd w:val="clear" w:color="000000" w:fill="FFFFFF"/>
            <w:hideMark/>
          </w:tcPr>
          <w:p w:rsidR="005D331D" w:rsidRPr="002F0F29" w:rsidRDefault="005D331D" w:rsidP="00DF204B">
            <w:pPr>
              <w:widowControl/>
              <w:autoSpaceDE/>
              <w:autoSpaceDN/>
              <w:adjustRightInd/>
              <w:jc w:val="center"/>
              <w:rPr>
                <w:color w:val="000000"/>
                <w:sz w:val="15"/>
                <w:szCs w:val="15"/>
              </w:rPr>
            </w:pPr>
            <w:r w:rsidRPr="002F0F29">
              <w:rPr>
                <w:color w:val="000000"/>
                <w:sz w:val="15"/>
                <w:szCs w:val="15"/>
                <w:lang w:bidi="hi-IN"/>
              </w:rPr>
              <w:t>455,25</w:t>
            </w:r>
          </w:p>
        </w:tc>
        <w:tc>
          <w:tcPr>
            <w:tcW w:w="731" w:type="dxa"/>
            <w:shd w:val="clear" w:color="000000" w:fill="FFFFFF"/>
            <w:hideMark/>
          </w:tcPr>
          <w:p w:rsidR="005D331D" w:rsidRPr="002F0F29" w:rsidRDefault="005D331D" w:rsidP="00DF204B">
            <w:pPr>
              <w:widowControl/>
              <w:autoSpaceDE/>
              <w:autoSpaceDN/>
              <w:adjustRightInd/>
              <w:jc w:val="center"/>
              <w:rPr>
                <w:color w:val="000000"/>
                <w:sz w:val="15"/>
                <w:szCs w:val="15"/>
              </w:rPr>
            </w:pPr>
            <w:r w:rsidRPr="002F0F29">
              <w:rPr>
                <w:color w:val="000000"/>
                <w:sz w:val="15"/>
                <w:szCs w:val="15"/>
              </w:rPr>
              <w:t>304</w:t>
            </w:r>
          </w:p>
        </w:tc>
        <w:tc>
          <w:tcPr>
            <w:tcW w:w="731" w:type="dxa"/>
            <w:shd w:val="clear" w:color="auto" w:fill="auto"/>
            <w:hideMark/>
          </w:tcPr>
          <w:p w:rsidR="005D331D" w:rsidRPr="002F0F29" w:rsidRDefault="005D331D" w:rsidP="00DF204B">
            <w:pPr>
              <w:widowControl/>
              <w:autoSpaceDE/>
              <w:autoSpaceDN/>
              <w:adjustRightInd/>
              <w:jc w:val="center"/>
              <w:rPr>
                <w:color w:val="000000"/>
                <w:sz w:val="15"/>
                <w:szCs w:val="15"/>
              </w:rPr>
            </w:pPr>
            <w:r w:rsidRPr="002F0F29">
              <w:rPr>
                <w:color w:val="000000"/>
                <w:sz w:val="15"/>
                <w:szCs w:val="15"/>
              </w:rPr>
              <w:t>311</w:t>
            </w:r>
          </w:p>
        </w:tc>
        <w:tc>
          <w:tcPr>
            <w:tcW w:w="732" w:type="dxa"/>
            <w:shd w:val="clear" w:color="000000" w:fill="FFFFFF"/>
            <w:hideMark/>
          </w:tcPr>
          <w:p w:rsidR="005D331D" w:rsidRPr="002F0F29" w:rsidRDefault="005D331D" w:rsidP="00DF204B">
            <w:pPr>
              <w:widowControl/>
              <w:autoSpaceDE/>
              <w:autoSpaceDN/>
              <w:adjustRightInd/>
              <w:jc w:val="center"/>
              <w:rPr>
                <w:color w:val="000000"/>
                <w:sz w:val="15"/>
                <w:szCs w:val="15"/>
              </w:rPr>
            </w:pPr>
            <w:r w:rsidRPr="002F0F29">
              <w:rPr>
                <w:color w:val="000000"/>
                <w:sz w:val="15"/>
                <w:szCs w:val="15"/>
              </w:rPr>
              <w:t>337</w:t>
            </w:r>
          </w:p>
        </w:tc>
        <w:tc>
          <w:tcPr>
            <w:tcW w:w="731" w:type="dxa"/>
            <w:shd w:val="clear" w:color="000000" w:fill="FFFFFF"/>
            <w:hideMark/>
          </w:tcPr>
          <w:p w:rsidR="005D331D" w:rsidRPr="002F0F29" w:rsidRDefault="005D331D" w:rsidP="00DF204B">
            <w:pPr>
              <w:widowControl/>
              <w:autoSpaceDE/>
              <w:autoSpaceDN/>
              <w:adjustRightInd/>
              <w:jc w:val="center"/>
              <w:rPr>
                <w:color w:val="000000"/>
                <w:sz w:val="15"/>
                <w:szCs w:val="15"/>
              </w:rPr>
            </w:pPr>
            <w:r w:rsidRPr="002F0F29">
              <w:rPr>
                <w:color w:val="000000"/>
                <w:sz w:val="15"/>
                <w:szCs w:val="15"/>
              </w:rPr>
              <w:t>1,5</w:t>
            </w:r>
          </w:p>
        </w:tc>
        <w:tc>
          <w:tcPr>
            <w:tcW w:w="731" w:type="dxa"/>
            <w:shd w:val="clear" w:color="auto" w:fill="auto"/>
            <w:hideMark/>
          </w:tcPr>
          <w:p w:rsidR="005D331D" w:rsidRPr="002F0F29" w:rsidRDefault="005D331D" w:rsidP="00DF204B">
            <w:pPr>
              <w:widowControl/>
              <w:autoSpaceDE/>
              <w:autoSpaceDN/>
              <w:adjustRightInd/>
              <w:jc w:val="center"/>
              <w:rPr>
                <w:color w:val="000000"/>
                <w:sz w:val="15"/>
                <w:szCs w:val="15"/>
              </w:rPr>
            </w:pPr>
            <w:r w:rsidRPr="002F0F29">
              <w:rPr>
                <w:color w:val="000000"/>
                <w:sz w:val="15"/>
                <w:szCs w:val="15"/>
              </w:rPr>
              <w:t>1,5</w:t>
            </w:r>
          </w:p>
        </w:tc>
        <w:tc>
          <w:tcPr>
            <w:tcW w:w="732" w:type="dxa"/>
            <w:shd w:val="clear" w:color="000000" w:fill="FFFFFF"/>
            <w:hideMark/>
          </w:tcPr>
          <w:p w:rsidR="005D331D" w:rsidRPr="002F0F29" w:rsidRDefault="005D331D" w:rsidP="00DF204B">
            <w:pPr>
              <w:widowControl/>
              <w:autoSpaceDE/>
              <w:autoSpaceDN/>
              <w:adjustRightInd/>
              <w:jc w:val="center"/>
              <w:rPr>
                <w:color w:val="000000"/>
                <w:sz w:val="15"/>
                <w:szCs w:val="15"/>
              </w:rPr>
            </w:pPr>
            <w:r w:rsidRPr="002F0F29">
              <w:rPr>
                <w:color w:val="000000"/>
                <w:sz w:val="15"/>
                <w:szCs w:val="15"/>
              </w:rPr>
              <w:t>1,4</w:t>
            </w:r>
          </w:p>
        </w:tc>
        <w:tc>
          <w:tcPr>
            <w:tcW w:w="731" w:type="dxa"/>
            <w:shd w:val="clear" w:color="000000" w:fill="FFFFFF"/>
            <w:hideMark/>
          </w:tcPr>
          <w:p w:rsidR="005D331D" w:rsidRPr="002F0F29" w:rsidRDefault="005D331D" w:rsidP="00DF204B">
            <w:pPr>
              <w:widowControl/>
              <w:autoSpaceDE/>
              <w:autoSpaceDN/>
              <w:adjustRightInd/>
              <w:jc w:val="center"/>
              <w:rPr>
                <w:color w:val="000000"/>
                <w:sz w:val="15"/>
                <w:szCs w:val="15"/>
              </w:rPr>
            </w:pPr>
            <w:r w:rsidRPr="002F0F29">
              <w:rPr>
                <w:color w:val="000000"/>
                <w:sz w:val="15"/>
                <w:szCs w:val="15"/>
              </w:rPr>
              <w:t>98,1</w:t>
            </w:r>
          </w:p>
        </w:tc>
        <w:tc>
          <w:tcPr>
            <w:tcW w:w="731" w:type="dxa"/>
            <w:shd w:val="clear" w:color="auto" w:fill="auto"/>
            <w:hideMark/>
          </w:tcPr>
          <w:p w:rsidR="005D331D" w:rsidRPr="002F0F29" w:rsidRDefault="005D331D" w:rsidP="00DF204B">
            <w:pPr>
              <w:widowControl/>
              <w:autoSpaceDE/>
              <w:autoSpaceDN/>
              <w:adjustRightInd/>
              <w:jc w:val="center"/>
              <w:rPr>
                <w:color w:val="000000"/>
                <w:sz w:val="15"/>
                <w:szCs w:val="15"/>
              </w:rPr>
            </w:pPr>
            <w:r w:rsidRPr="002F0F29">
              <w:rPr>
                <w:color w:val="000000"/>
                <w:sz w:val="15"/>
                <w:szCs w:val="15"/>
              </w:rPr>
              <w:t>98,4</w:t>
            </w:r>
          </w:p>
        </w:tc>
        <w:tc>
          <w:tcPr>
            <w:tcW w:w="732" w:type="dxa"/>
            <w:shd w:val="clear" w:color="000000" w:fill="FFFFFF"/>
            <w:hideMark/>
          </w:tcPr>
          <w:p w:rsidR="005D331D" w:rsidRPr="002F0F29" w:rsidRDefault="005D331D" w:rsidP="00DF204B">
            <w:pPr>
              <w:widowControl/>
              <w:autoSpaceDE/>
              <w:autoSpaceDN/>
              <w:adjustRightInd/>
              <w:jc w:val="center"/>
              <w:rPr>
                <w:color w:val="000000"/>
                <w:sz w:val="15"/>
                <w:szCs w:val="15"/>
              </w:rPr>
            </w:pPr>
            <w:r w:rsidRPr="002F0F29">
              <w:rPr>
                <w:color w:val="000000"/>
                <w:sz w:val="15"/>
                <w:szCs w:val="15"/>
              </w:rPr>
              <w:t>97,6</w:t>
            </w:r>
          </w:p>
        </w:tc>
        <w:tc>
          <w:tcPr>
            <w:tcW w:w="769" w:type="dxa"/>
            <w:shd w:val="clear" w:color="000000" w:fill="FFFFFF"/>
            <w:hideMark/>
          </w:tcPr>
          <w:p w:rsidR="005D331D" w:rsidRPr="002F0F29" w:rsidRDefault="005D331D" w:rsidP="00DF204B">
            <w:pPr>
              <w:widowControl/>
              <w:autoSpaceDE/>
              <w:autoSpaceDN/>
              <w:adjustRightInd/>
              <w:jc w:val="center"/>
              <w:rPr>
                <w:color w:val="000000"/>
                <w:sz w:val="15"/>
                <w:szCs w:val="15"/>
              </w:rPr>
            </w:pPr>
            <w:r w:rsidRPr="002F0F29">
              <w:rPr>
                <w:color w:val="000000"/>
                <w:sz w:val="15"/>
                <w:szCs w:val="15"/>
              </w:rPr>
              <w:t>65</w:t>
            </w:r>
          </w:p>
        </w:tc>
        <w:tc>
          <w:tcPr>
            <w:tcW w:w="694" w:type="dxa"/>
            <w:shd w:val="clear" w:color="auto" w:fill="auto"/>
            <w:hideMark/>
          </w:tcPr>
          <w:p w:rsidR="005D331D" w:rsidRPr="002F0F29" w:rsidRDefault="005D331D" w:rsidP="00DF204B">
            <w:pPr>
              <w:widowControl/>
              <w:autoSpaceDE/>
              <w:autoSpaceDN/>
              <w:adjustRightInd/>
              <w:jc w:val="center"/>
              <w:rPr>
                <w:color w:val="000000"/>
                <w:sz w:val="15"/>
                <w:szCs w:val="15"/>
              </w:rPr>
            </w:pPr>
            <w:r w:rsidRPr="002F0F29">
              <w:rPr>
                <w:color w:val="000000"/>
                <w:sz w:val="15"/>
                <w:szCs w:val="15"/>
              </w:rPr>
              <w:t>68,4</w:t>
            </w:r>
          </w:p>
        </w:tc>
        <w:tc>
          <w:tcPr>
            <w:tcW w:w="738" w:type="dxa"/>
            <w:shd w:val="clear" w:color="auto" w:fill="auto"/>
            <w:hideMark/>
          </w:tcPr>
          <w:p w:rsidR="005D331D" w:rsidRPr="002F0F29" w:rsidRDefault="005D331D" w:rsidP="00DF204B">
            <w:pPr>
              <w:widowControl/>
              <w:autoSpaceDE/>
              <w:autoSpaceDN/>
              <w:adjustRightInd/>
              <w:jc w:val="center"/>
              <w:rPr>
                <w:color w:val="000000"/>
                <w:sz w:val="15"/>
                <w:szCs w:val="15"/>
              </w:rPr>
            </w:pPr>
            <w:r w:rsidRPr="002F0F29">
              <w:rPr>
                <w:color w:val="000000"/>
                <w:sz w:val="15"/>
                <w:szCs w:val="15"/>
              </w:rPr>
              <w:t>72,3</w:t>
            </w:r>
          </w:p>
        </w:tc>
      </w:tr>
      <w:tr w:rsidR="005D331D" w:rsidRPr="002F0F29" w:rsidTr="00DF204B">
        <w:trPr>
          <w:gridAfter w:val="1"/>
          <w:wAfter w:w="11" w:type="dxa"/>
          <w:trHeight w:val="25"/>
        </w:trPr>
        <w:tc>
          <w:tcPr>
            <w:tcW w:w="2745" w:type="dxa"/>
            <w:shd w:val="clear" w:color="auto" w:fill="auto"/>
            <w:hideMark/>
          </w:tcPr>
          <w:p w:rsidR="005D331D" w:rsidRPr="002F0F29" w:rsidRDefault="005D331D" w:rsidP="00DF204B">
            <w:pPr>
              <w:widowControl/>
              <w:autoSpaceDE/>
              <w:autoSpaceDN/>
              <w:adjustRightInd/>
              <w:rPr>
                <w:color w:val="000000"/>
                <w:sz w:val="15"/>
                <w:szCs w:val="15"/>
              </w:rPr>
            </w:pPr>
            <w:r w:rsidRPr="002F0F29">
              <w:rPr>
                <w:color w:val="000000"/>
                <w:sz w:val="15"/>
                <w:szCs w:val="15"/>
              </w:rPr>
              <w:t>Радиологи</w:t>
            </w:r>
          </w:p>
        </w:tc>
        <w:tc>
          <w:tcPr>
            <w:tcW w:w="730" w:type="dxa"/>
            <w:shd w:val="clear" w:color="000000" w:fill="FFFFFF"/>
            <w:hideMark/>
          </w:tcPr>
          <w:p w:rsidR="005D331D" w:rsidRPr="002F0F29" w:rsidRDefault="005D331D" w:rsidP="00DF204B">
            <w:pPr>
              <w:widowControl/>
              <w:autoSpaceDE/>
              <w:autoSpaceDN/>
              <w:adjustRightInd/>
              <w:jc w:val="center"/>
              <w:rPr>
                <w:color w:val="000000"/>
                <w:sz w:val="15"/>
                <w:szCs w:val="15"/>
              </w:rPr>
            </w:pPr>
            <w:r w:rsidRPr="002F0F29">
              <w:rPr>
                <w:color w:val="000000"/>
                <w:sz w:val="15"/>
                <w:szCs w:val="15"/>
              </w:rPr>
              <w:t>39,25</w:t>
            </w:r>
          </w:p>
        </w:tc>
        <w:tc>
          <w:tcPr>
            <w:tcW w:w="730" w:type="dxa"/>
            <w:shd w:val="clear" w:color="auto" w:fill="auto"/>
            <w:hideMark/>
          </w:tcPr>
          <w:p w:rsidR="005D331D" w:rsidRPr="002F0F29" w:rsidRDefault="005D331D" w:rsidP="00DF204B">
            <w:pPr>
              <w:widowControl/>
              <w:autoSpaceDE/>
              <w:autoSpaceDN/>
              <w:adjustRightInd/>
              <w:jc w:val="center"/>
              <w:rPr>
                <w:color w:val="000000"/>
                <w:sz w:val="15"/>
                <w:szCs w:val="15"/>
              </w:rPr>
            </w:pPr>
            <w:r w:rsidRPr="002F0F29">
              <w:rPr>
                <w:color w:val="000000"/>
                <w:sz w:val="15"/>
                <w:szCs w:val="15"/>
              </w:rPr>
              <w:t>37,25</w:t>
            </w:r>
          </w:p>
        </w:tc>
        <w:tc>
          <w:tcPr>
            <w:tcW w:w="731" w:type="dxa"/>
            <w:shd w:val="clear" w:color="000000" w:fill="FFFFFF"/>
            <w:hideMark/>
          </w:tcPr>
          <w:p w:rsidR="005D331D" w:rsidRPr="002F0F29" w:rsidRDefault="005D331D" w:rsidP="00DF204B">
            <w:pPr>
              <w:widowControl/>
              <w:autoSpaceDE/>
              <w:autoSpaceDN/>
              <w:adjustRightInd/>
              <w:jc w:val="center"/>
              <w:rPr>
                <w:color w:val="000000"/>
                <w:sz w:val="15"/>
                <w:szCs w:val="15"/>
              </w:rPr>
            </w:pPr>
            <w:r w:rsidRPr="002F0F29">
              <w:rPr>
                <w:color w:val="000000"/>
                <w:sz w:val="15"/>
                <w:szCs w:val="15"/>
              </w:rPr>
              <w:t>27</w:t>
            </w:r>
          </w:p>
        </w:tc>
        <w:tc>
          <w:tcPr>
            <w:tcW w:w="731" w:type="dxa"/>
            <w:shd w:val="clear" w:color="000000" w:fill="FFFFFF"/>
            <w:hideMark/>
          </w:tcPr>
          <w:p w:rsidR="005D331D" w:rsidRPr="002F0F29" w:rsidRDefault="005D331D" w:rsidP="00DF204B">
            <w:pPr>
              <w:widowControl/>
              <w:autoSpaceDE/>
              <w:autoSpaceDN/>
              <w:adjustRightInd/>
              <w:jc w:val="center"/>
              <w:rPr>
                <w:color w:val="000000"/>
                <w:sz w:val="15"/>
                <w:szCs w:val="15"/>
              </w:rPr>
            </w:pPr>
            <w:r w:rsidRPr="002F0F29">
              <w:rPr>
                <w:color w:val="000000"/>
                <w:sz w:val="15"/>
                <w:szCs w:val="15"/>
              </w:rPr>
              <w:t>38,25</w:t>
            </w:r>
          </w:p>
        </w:tc>
        <w:tc>
          <w:tcPr>
            <w:tcW w:w="731" w:type="dxa"/>
            <w:shd w:val="clear" w:color="auto" w:fill="auto"/>
            <w:hideMark/>
          </w:tcPr>
          <w:p w:rsidR="005D331D" w:rsidRPr="002F0F29" w:rsidRDefault="005D331D" w:rsidP="00DF204B">
            <w:pPr>
              <w:widowControl/>
              <w:autoSpaceDE/>
              <w:autoSpaceDN/>
              <w:adjustRightInd/>
              <w:jc w:val="center"/>
              <w:rPr>
                <w:color w:val="000000"/>
                <w:sz w:val="15"/>
                <w:szCs w:val="15"/>
              </w:rPr>
            </w:pPr>
            <w:r w:rsidRPr="002F0F29">
              <w:rPr>
                <w:color w:val="000000"/>
                <w:sz w:val="15"/>
                <w:szCs w:val="15"/>
              </w:rPr>
              <w:t>37,25</w:t>
            </w:r>
          </w:p>
        </w:tc>
        <w:tc>
          <w:tcPr>
            <w:tcW w:w="732" w:type="dxa"/>
            <w:shd w:val="clear" w:color="000000" w:fill="FFFFFF"/>
            <w:hideMark/>
          </w:tcPr>
          <w:p w:rsidR="005D331D" w:rsidRPr="002F0F29" w:rsidRDefault="005D331D" w:rsidP="00DF204B">
            <w:pPr>
              <w:widowControl/>
              <w:autoSpaceDE/>
              <w:autoSpaceDN/>
              <w:adjustRightInd/>
              <w:jc w:val="center"/>
              <w:rPr>
                <w:color w:val="000000"/>
                <w:sz w:val="15"/>
                <w:szCs w:val="15"/>
              </w:rPr>
            </w:pPr>
            <w:r w:rsidRPr="002F0F29">
              <w:rPr>
                <w:color w:val="000000"/>
                <w:sz w:val="15"/>
                <w:szCs w:val="15"/>
              </w:rPr>
              <w:t>27</w:t>
            </w:r>
          </w:p>
        </w:tc>
        <w:tc>
          <w:tcPr>
            <w:tcW w:w="731" w:type="dxa"/>
            <w:shd w:val="clear" w:color="000000" w:fill="FFFFFF"/>
            <w:hideMark/>
          </w:tcPr>
          <w:p w:rsidR="005D331D" w:rsidRPr="002F0F29" w:rsidRDefault="005D331D" w:rsidP="00DF204B">
            <w:pPr>
              <w:widowControl/>
              <w:autoSpaceDE/>
              <w:autoSpaceDN/>
              <w:adjustRightInd/>
              <w:jc w:val="center"/>
              <w:rPr>
                <w:color w:val="000000"/>
                <w:sz w:val="15"/>
                <w:szCs w:val="15"/>
              </w:rPr>
            </w:pPr>
            <w:r w:rsidRPr="002F0F29">
              <w:rPr>
                <w:color w:val="000000"/>
                <w:sz w:val="15"/>
                <w:szCs w:val="15"/>
              </w:rPr>
              <w:t>14</w:t>
            </w:r>
          </w:p>
        </w:tc>
        <w:tc>
          <w:tcPr>
            <w:tcW w:w="731" w:type="dxa"/>
            <w:shd w:val="clear" w:color="auto" w:fill="auto"/>
            <w:hideMark/>
          </w:tcPr>
          <w:p w:rsidR="005D331D" w:rsidRPr="002F0F29" w:rsidRDefault="005D331D" w:rsidP="00DF204B">
            <w:pPr>
              <w:widowControl/>
              <w:autoSpaceDE/>
              <w:autoSpaceDN/>
              <w:adjustRightInd/>
              <w:jc w:val="center"/>
              <w:rPr>
                <w:color w:val="000000"/>
                <w:sz w:val="15"/>
                <w:szCs w:val="15"/>
              </w:rPr>
            </w:pPr>
            <w:r w:rsidRPr="002F0F29">
              <w:rPr>
                <w:color w:val="000000"/>
                <w:sz w:val="15"/>
                <w:szCs w:val="15"/>
              </w:rPr>
              <w:t>15</w:t>
            </w:r>
          </w:p>
        </w:tc>
        <w:tc>
          <w:tcPr>
            <w:tcW w:w="732" w:type="dxa"/>
            <w:shd w:val="clear" w:color="000000" w:fill="FFFFFF"/>
            <w:hideMark/>
          </w:tcPr>
          <w:p w:rsidR="005D331D" w:rsidRPr="002F0F29" w:rsidRDefault="005D331D" w:rsidP="00DF204B">
            <w:pPr>
              <w:widowControl/>
              <w:autoSpaceDE/>
              <w:autoSpaceDN/>
              <w:adjustRightInd/>
              <w:jc w:val="center"/>
              <w:rPr>
                <w:color w:val="000000"/>
                <w:sz w:val="15"/>
                <w:szCs w:val="15"/>
              </w:rPr>
            </w:pPr>
            <w:r w:rsidRPr="002F0F29">
              <w:rPr>
                <w:color w:val="000000"/>
                <w:sz w:val="15"/>
                <w:szCs w:val="15"/>
              </w:rPr>
              <w:t>15</w:t>
            </w:r>
          </w:p>
        </w:tc>
        <w:tc>
          <w:tcPr>
            <w:tcW w:w="731" w:type="dxa"/>
            <w:shd w:val="clear" w:color="000000" w:fill="FFFFFF"/>
            <w:hideMark/>
          </w:tcPr>
          <w:p w:rsidR="005D331D" w:rsidRPr="002F0F29" w:rsidRDefault="005D331D" w:rsidP="00DF204B">
            <w:pPr>
              <w:widowControl/>
              <w:autoSpaceDE/>
              <w:autoSpaceDN/>
              <w:adjustRightInd/>
              <w:jc w:val="center"/>
              <w:rPr>
                <w:color w:val="000000"/>
                <w:sz w:val="15"/>
                <w:szCs w:val="15"/>
              </w:rPr>
            </w:pPr>
            <w:r w:rsidRPr="002F0F29">
              <w:rPr>
                <w:color w:val="000000"/>
                <w:sz w:val="15"/>
                <w:szCs w:val="15"/>
              </w:rPr>
              <w:t>2,7</w:t>
            </w:r>
          </w:p>
        </w:tc>
        <w:tc>
          <w:tcPr>
            <w:tcW w:w="731" w:type="dxa"/>
            <w:shd w:val="clear" w:color="auto" w:fill="auto"/>
            <w:hideMark/>
          </w:tcPr>
          <w:p w:rsidR="005D331D" w:rsidRPr="002F0F29" w:rsidRDefault="005D331D" w:rsidP="00DF204B">
            <w:pPr>
              <w:widowControl/>
              <w:autoSpaceDE/>
              <w:autoSpaceDN/>
              <w:adjustRightInd/>
              <w:jc w:val="center"/>
              <w:rPr>
                <w:color w:val="000000"/>
                <w:sz w:val="15"/>
                <w:szCs w:val="15"/>
              </w:rPr>
            </w:pPr>
            <w:r w:rsidRPr="002F0F29">
              <w:rPr>
                <w:color w:val="000000"/>
                <w:sz w:val="15"/>
                <w:szCs w:val="15"/>
              </w:rPr>
              <w:t>2,5</w:t>
            </w:r>
          </w:p>
        </w:tc>
        <w:tc>
          <w:tcPr>
            <w:tcW w:w="732" w:type="dxa"/>
            <w:shd w:val="clear" w:color="000000" w:fill="FFFFFF"/>
            <w:hideMark/>
          </w:tcPr>
          <w:p w:rsidR="005D331D" w:rsidRPr="002F0F29" w:rsidRDefault="005D331D" w:rsidP="00DF204B">
            <w:pPr>
              <w:widowControl/>
              <w:autoSpaceDE/>
              <w:autoSpaceDN/>
              <w:adjustRightInd/>
              <w:jc w:val="center"/>
              <w:rPr>
                <w:color w:val="000000"/>
                <w:sz w:val="15"/>
                <w:szCs w:val="15"/>
              </w:rPr>
            </w:pPr>
            <w:r w:rsidRPr="002F0F29">
              <w:rPr>
                <w:color w:val="000000"/>
                <w:sz w:val="15"/>
                <w:szCs w:val="15"/>
              </w:rPr>
              <w:t>1,8</w:t>
            </w:r>
          </w:p>
        </w:tc>
        <w:tc>
          <w:tcPr>
            <w:tcW w:w="731" w:type="dxa"/>
            <w:shd w:val="clear" w:color="000000" w:fill="FFFFFF"/>
            <w:hideMark/>
          </w:tcPr>
          <w:p w:rsidR="005D331D" w:rsidRPr="002F0F29" w:rsidRDefault="005D331D" w:rsidP="00DF204B">
            <w:pPr>
              <w:widowControl/>
              <w:autoSpaceDE/>
              <w:autoSpaceDN/>
              <w:adjustRightInd/>
              <w:jc w:val="center"/>
              <w:rPr>
                <w:color w:val="000000"/>
                <w:sz w:val="15"/>
                <w:szCs w:val="15"/>
              </w:rPr>
            </w:pPr>
            <w:r w:rsidRPr="002F0F29">
              <w:rPr>
                <w:color w:val="000000"/>
                <w:sz w:val="15"/>
                <w:szCs w:val="15"/>
              </w:rPr>
              <w:t>97,5</w:t>
            </w:r>
          </w:p>
        </w:tc>
        <w:tc>
          <w:tcPr>
            <w:tcW w:w="731" w:type="dxa"/>
            <w:shd w:val="clear" w:color="auto" w:fill="auto"/>
            <w:hideMark/>
          </w:tcPr>
          <w:p w:rsidR="005D331D" w:rsidRPr="002F0F29" w:rsidRDefault="005D331D" w:rsidP="00DF204B">
            <w:pPr>
              <w:widowControl/>
              <w:autoSpaceDE/>
              <w:autoSpaceDN/>
              <w:adjustRightInd/>
              <w:jc w:val="center"/>
              <w:rPr>
                <w:color w:val="000000"/>
                <w:sz w:val="15"/>
                <w:szCs w:val="15"/>
              </w:rPr>
            </w:pPr>
            <w:r w:rsidRPr="002F0F29">
              <w:rPr>
                <w:color w:val="000000"/>
                <w:sz w:val="15"/>
                <w:szCs w:val="15"/>
              </w:rPr>
              <w:t>98,3</w:t>
            </w:r>
          </w:p>
        </w:tc>
        <w:tc>
          <w:tcPr>
            <w:tcW w:w="732" w:type="dxa"/>
            <w:shd w:val="clear" w:color="000000" w:fill="FFFFFF"/>
            <w:hideMark/>
          </w:tcPr>
          <w:p w:rsidR="005D331D" w:rsidRPr="002F0F29" w:rsidRDefault="005D331D" w:rsidP="00DF204B">
            <w:pPr>
              <w:widowControl/>
              <w:autoSpaceDE/>
              <w:autoSpaceDN/>
              <w:adjustRightInd/>
              <w:jc w:val="center"/>
              <w:rPr>
                <w:color w:val="000000"/>
                <w:sz w:val="15"/>
                <w:szCs w:val="15"/>
              </w:rPr>
            </w:pPr>
            <w:r w:rsidRPr="002F0F29">
              <w:rPr>
                <w:color w:val="000000"/>
                <w:sz w:val="15"/>
                <w:szCs w:val="15"/>
              </w:rPr>
              <w:t>100</w:t>
            </w:r>
          </w:p>
        </w:tc>
        <w:tc>
          <w:tcPr>
            <w:tcW w:w="769" w:type="dxa"/>
            <w:shd w:val="clear" w:color="000000" w:fill="FFFFFF"/>
            <w:hideMark/>
          </w:tcPr>
          <w:p w:rsidR="005D331D" w:rsidRPr="002F0F29" w:rsidRDefault="005D331D" w:rsidP="00DF204B">
            <w:pPr>
              <w:widowControl/>
              <w:autoSpaceDE/>
              <w:autoSpaceDN/>
              <w:adjustRightInd/>
              <w:jc w:val="center"/>
              <w:rPr>
                <w:color w:val="000000"/>
                <w:sz w:val="15"/>
                <w:szCs w:val="15"/>
              </w:rPr>
            </w:pPr>
            <w:r w:rsidRPr="002F0F29">
              <w:rPr>
                <w:color w:val="000000"/>
                <w:sz w:val="15"/>
                <w:szCs w:val="15"/>
              </w:rPr>
              <w:t>35,7</w:t>
            </w:r>
          </w:p>
        </w:tc>
        <w:tc>
          <w:tcPr>
            <w:tcW w:w="694" w:type="dxa"/>
            <w:shd w:val="clear" w:color="auto" w:fill="auto"/>
            <w:hideMark/>
          </w:tcPr>
          <w:p w:rsidR="005D331D" w:rsidRPr="002F0F29" w:rsidRDefault="005D331D" w:rsidP="00DF204B">
            <w:pPr>
              <w:widowControl/>
              <w:autoSpaceDE/>
              <w:autoSpaceDN/>
              <w:adjustRightInd/>
              <w:jc w:val="center"/>
              <w:rPr>
                <w:color w:val="000000"/>
                <w:sz w:val="15"/>
                <w:szCs w:val="15"/>
              </w:rPr>
            </w:pPr>
            <w:r w:rsidRPr="002F0F29">
              <w:rPr>
                <w:color w:val="000000"/>
                <w:sz w:val="15"/>
                <w:szCs w:val="15"/>
              </w:rPr>
              <w:t>40,3</w:t>
            </w:r>
          </w:p>
        </w:tc>
        <w:tc>
          <w:tcPr>
            <w:tcW w:w="738" w:type="dxa"/>
            <w:shd w:val="clear" w:color="auto" w:fill="auto"/>
            <w:hideMark/>
          </w:tcPr>
          <w:p w:rsidR="005D331D" w:rsidRPr="002F0F29" w:rsidRDefault="005D331D" w:rsidP="00DF204B">
            <w:pPr>
              <w:widowControl/>
              <w:autoSpaceDE/>
              <w:autoSpaceDN/>
              <w:adjustRightInd/>
              <w:jc w:val="center"/>
              <w:rPr>
                <w:color w:val="000000"/>
                <w:sz w:val="15"/>
                <w:szCs w:val="15"/>
              </w:rPr>
            </w:pPr>
            <w:r w:rsidRPr="002F0F29">
              <w:rPr>
                <w:color w:val="000000"/>
                <w:sz w:val="15"/>
                <w:szCs w:val="15"/>
              </w:rPr>
              <w:t>55,6</w:t>
            </w:r>
          </w:p>
        </w:tc>
      </w:tr>
      <w:tr w:rsidR="005D331D" w:rsidRPr="002F0F29" w:rsidTr="00DF204B">
        <w:trPr>
          <w:gridAfter w:val="1"/>
          <w:wAfter w:w="11" w:type="dxa"/>
          <w:trHeight w:val="25"/>
        </w:trPr>
        <w:tc>
          <w:tcPr>
            <w:tcW w:w="2745" w:type="dxa"/>
            <w:shd w:val="clear" w:color="auto" w:fill="auto"/>
            <w:hideMark/>
          </w:tcPr>
          <w:p w:rsidR="005D331D" w:rsidRPr="002F0F29" w:rsidRDefault="005D331D" w:rsidP="00DF204B">
            <w:pPr>
              <w:widowControl/>
              <w:autoSpaceDE/>
              <w:autoSpaceDN/>
              <w:adjustRightInd/>
              <w:rPr>
                <w:color w:val="000000"/>
                <w:sz w:val="15"/>
                <w:szCs w:val="15"/>
              </w:rPr>
            </w:pPr>
            <w:r w:rsidRPr="002F0F29">
              <w:rPr>
                <w:color w:val="000000"/>
                <w:sz w:val="15"/>
                <w:szCs w:val="15"/>
              </w:rPr>
              <w:t>Радиотерапевты</w:t>
            </w:r>
          </w:p>
        </w:tc>
        <w:tc>
          <w:tcPr>
            <w:tcW w:w="730" w:type="dxa"/>
            <w:shd w:val="clear" w:color="000000" w:fill="FFFFFF"/>
            <w:hideMark/>
          </w:tcPr>
          <w:p w:rsidR="005D331D" w:rsidRPr="002F0F29" w:rsidRDefault="005D331D" w:rsidP="00DF204B">
            <w:pPr>
              <w:widowControl/>
              <w:autoSpaceDE/>
              <w:autoSpaceDN/>
              <w:adjustRightInd/>
              <w:jc w:val="center"/>
              <w:rPr>
                <w:color w:val="000000"/>
                <w:sz w:val="15"/>
                <w:szCs w:val="15"/>
              </w:rPr>
            </w:pPr>
            <w:r w:rsidRPr="002F0F29">
              <w:rPr>
                <w:color w:val="000000"/>
                <w:sz w:val="15"/>
                <w:szCs w:val="15"/>
              </w:rPr>
              <w:t>39</w:t>
            </w:r>
          </w:p>
        </w:tc>
        <w:tc>
          <w:tcPr>
            <w:tcW w:w="730" w:type="dxa"/>
            <w:shd w:val="clear" w:color="auto" w:fill="auto"/>
            <w:hideMark/>
          </w:tcPr>
          <w:p w:rsidR="005D331D" w:rsidRPr="002F0F29" w:rsidRDefault="005D331D" w:rsidP="00DF204B">
            <w:pPr>
              <w:widowControl/>
              <w:autoSpaceDE/>
              <w:autoSpaceDN/>
              <w:adjustRightInd/>
              <w:jc w:val="center"/>
              <w:rPr>
                <w:color w:val="000000"/>
                <w:sz w:val="15"/>
                <w:szCs w:val="15"/>
              </w:rPr>
            </w:pPr>
            <w:r w:rsidRPr="002F0F29">
              <w:rPr>
                <w:color w:val="000000"/>
                <w:sz w:val="15"/>
                <w:szCs w:val="15"/>
              </w:rPr>
              <w:t>40,75</w:t>
            </w:r>
          </w:p>
        </w:tc>
        <w:tc>
          <w:tcPr>
            <w:tcW w:w="731" w:type="dxa"/>
            <w:shd w:val="clear" w:color="000000" w:fill="FFFFFF"/>
            <w:hideMark/>
          </w:tcPr>
          <w:p w:rsidR="005D331D" w:rsidRPr="002F0F29" w:rsidRDefault="005D331D" w:rsidP="00DF204B">
            <w:pPr>
              <w:widowControl/>
              <w:autoSpaceDE/>
              <w:autoSpaceDN/>
              <w:adjustRightInd/>
              <w:jc w:val="center"/>
              <w:rPr>
                <w:color w:val="000000"/>
                <w:sz w:val="15"/>
                <w:szCs w:val="15"/>
              </w:rPr>
            </w:pPr>
            <w:r w:rsidRPr="002F0F29">
              <w:rPr>
                <w:color w:val="000000"/>
                <w:sz w:val="15"/>
                <w:szCs w:val="15"/>
              </w:rPr>
              <w:t>43,75</w:t>
            </w:r>
          </w:p>
        </w:tc>
        <w:tc>
          <w:tcPr>
            <w:tcW w:w="731" w:type="dxa"/>
            <w:shd w:val="clear" w:color="000000" w:fill="FFFFFF"/>
            <w:hideMark/>
          </w:tcPr>
          <w:p w:rsidR="005D331D" w:rsidRPr="002F0F29" w:rsidRDefault="005D331D" w:rsidP="00DF204B">
            <w:pPr>
              <w:widowControl/>
              <w:autoSpaceDE/>
              <w:autoSpaceDN/>
              <w:adjustRightInd/>
              <w:jc w:val="center"/>
              <w:rPr>
                <w:color w:val="000000"/>
                <w:sz w:val="15"/>
                <w:szCs w:val="15"/>
              </w:rPr>
            </w:pPr>
            <w:r w:rsidRPr="002F0F29">
              <w:rPr>
                <w:color w:val="000000"/>
                <w:sz w:val="15"/>
                <w:szCs w:val="15"/>
              </w:rPr>
              <w:t>39</w:t>
            </w:r>
          </w:p>
        </w:tc>
        <w:tc>
          <w:tcPr>
            <w:tcW w:w="731" w:type="dxa"/>
            <w:shd w:val="clear" w:color="auto" w:fill="auto"/>
            <w:hideMark/>
          </w:tcPr>
          <w:p w:rsidR="005D331D" w:rsidRPr="002F0F29" w:rsidRDefault="005D331D" w:rsidP="00DF204B">
            <w:pPr>
              <w:widowControl/>
              <w:autoSpaceDE/>
              <w:autoSpaceDN/>
              <w:adjustRightInd/>
              <w:jc w:val="center"/>
              <w:rPr>
                <w:color w:val="000000"/>
                <w:sz w:val="15"/>
                <w:szCs w:val="15"/>
              </w:rPr>
            </w:pPr>
            <w:r w:rsidRPr="002F0F29">
              <w:rPr>
                <w:color w:val="000000"/>
                <w:sz w:val="15"/>
                <w:szCs w:val="15"/>
              </w:rPr>
              <w:t>40,75</w:t>
            </w:r>
          </w:p>
        </w:tc>
        <w:tc>
          <w:tcPr>
            <w:tcW w:w="732" w:type="dxa"/>
            <w:shd w:val="clear" w:color="000000" w:fill="FFFFFF"/>
            <w:hideMark/>
          </w:tcPr>
          <w:p w:rsidR="005D331D" w:rsidRPr="002F0F29" w:rsidRDefault="005D331D" w:rsidP="00DF204B">
            <w:pPr>
              <w:widowControl/>
              <w:autoSpaceDE/>
              <w:autoSpaceDN/>
              <w:adjustRightInd/>
              <w:jc w:val="center"/>
              <w:rPr>
                <w:color w:val="000000"/>
                <w:sz w:val="15"/>
                <w:szCs w:val="15"/>
              </w:rPr>
            </w:pPr>
            <w:r w:rsidRPr="002F0F29">
              <w:rPr>
                <w:color w:val="000000"/>
                <w:sz w:val="15"/>
                <w:szCs w:val="15"/>
              </w:rPr>
              <w:t>43,75</w:t>
            </w:r>
          </w:p>
        </w:tc>
        <w:tc>
          <w:tcPr>
            <w:tcW w:w="731" w:type="dxa"/>
            <w:shd w:val="clear" w:color="000000" w:fill="FFFFFF"/>
            <w:hideMark/>
          </w:tcPr>
          <w:p w:rsidR="005D331D" w:rsidRPr="002F0F29" w:rsidRDefault="005D331D" w:rsidP="00DF204B">
            <w:pPr>
              <w:widowControl/>
              <w:autoSpaceDE/>
              <w:autoSpaceDN/>
              <w:adjustRightInd/>
              <w:jc w:val="center"/>
              <w:rPr>
                <w:color w:val="000000"/>
                <w:sz w:val="15"/>
                <w:szCs w:val="15"/>
              </w:rPr>
            </w:pPr>
            <w:r w:rsidRPr="002F0F29">
              <w:rPr>
                <w:color w:val="000000"/>
                <w:sz w:val="15"/>
                <w:szCs w:val="15"/>
              </w:rPr>
              <w:t>28</w:t>
            </w:r>
          </w:p>
        </w:tc>
        <w:tc>
          <w:tcPr>
            <w:tcW w:w="731" w:type="dxa"/>
            <w:shd w:val="clear" w:color="auto" w:fill="auto"/>
            <w:hideMark/>
          </w:tcPr>
          <w:p w:rsidR="005D331D" w:rsidRPr="002F0F29" w:rsidRDefault="005D331D" w:rsidP="00DF204B">
            <w:pPr>
              <w:widowControl/>
              <w:autoSpaceDE/>
              <w:autoSpaceDN/>
              <w:adjustRightInd/>
              <w:jc w:val="center"/>
              <w:rPr>
                <w:color w:val="000000"/>
                <w:sz w:val="15"/>
                <w:szCs w:val="15"/>
              </w:rPr>
            </w:pPr>
            <w:r w:rsidRPr="002F0F29">
              <w:rPr>
                <w:color w:val="000000"/>
                <w:sz w:val="15"/>
                <w:szCs w:val="15"/>
              </w:rPr>
              <w:t>30</w:t>
            </w:r>
          </w:p>
        </w:tc>
        <w:tc>
          <w:tcPr>
            <w:tcW w:w="732" w:type="dxa"/>
            <w:shd w:val="clear" w:color="000000" w:fill="FFFFFF"/>
            <w:hideMark/>
          </w:tcPr>
          <w:p w:rsidR="005D331D" w:rsidRPr="002F0F29" w:rsidRDefault="005D331D" w:rsidP="00DF204B">
            <w:pPr>
              <w:widowControl/>
              <w:autoSpaceDE/>
              <w:autoSpaceDN/>
              <w:adjustRightInd/>
              <w:jc w:val="center"/>
              <w:rPr>
                <w:color w:val="000000"/>
                <w:sz w:val="15"/>
                <w:szCs w:val="15"/>
              </w:rPr>
            </w:pPr>
            <w:r w:rsidRPr="002F0F29">
              <w:rPr>
                <w:color w:val="000000"/>
                <w:sz w:val="15"/>
                <w:szCs w:val="15"/>
              </w:rPr>
              <w:t>31</w:t>
            </w:r>
          </w:p>
        </w:tc>
        <w:tc>
          <w:tcPr>
            <w:tcW w:w="731" w:type="dxa"/>
            <w:shd w:val="clear" w:color="000000" w:fill="FFFFFF"/>
            <w:hideMark/>
          </w:tcPr>
          <w:p w:rsidR="005D331D" w:rsidRPr="002F0F29" w:rsidRDefault="005D331D" w:rsidP="00DF204B">
            <w:pPr>
              <w:widowControl/>
              <w:autoSpaceDE/>
              <w:autoSpaceDN/>
              <w:adjustRightInd/>
              <w:jc w:val="center"/>
              <w:rPr>
                <w:color w:val="000000"/>
                <w:sz w:val="15"/>
                <w:szCs w:val="15"/>
              </w:rPr>
            </w:pPr>
            <w:r w:rsidRPr="002F0F29">
              <w:rPr>
                <w:color w:val="000000"/>
                <w:sz w:val="15"/>
                <w:szCs w:val="15"/>
              </w:rPr>
              <w:t>1,4</w:t>
            </w:r>
          </w:p>
        </w:tc>
        <w:tc>
          <w:tcPr>
            <w:tcW w:w="731" w:type="dxa"/>
            <w:shd w:val="clear" w:color="auto" w:fill="auto"/>
            <w:hideMark/>
          </w:tcPr>
          <w:p w:rsidR="005D331D" w:rsidRPr="002F0F29" w:rsidRDefault="005D331D" w:rsidP="00DF204B">
            <w:pPr>
              <w:widowControl/>
              <w:autoSpaceDE/>
              <w:autoSpaceDN/>
              <w:adjustRightInd/>
              <w:jc w:val="center"/>
              <w:rPr>
                <w:color w:val="000000"/>
                <w:sz w:val="15"/>
                <w:szCs w:val="15"/>
              </w:rPr>
            </w:pPr>
            <w:r w:rsidRPr="002F0F29">
              <w:rPr>
                <w:color w:val="000000"/>
                <w:sz w:val="15"/>
                <w:szCs w:val="15"/>
              </w:rPr>
              <w:t>1,4</w:t>
            </w:r>
          </w:p>
        </w:tc>
        <w:tc>
          <w:tcPr>
            <w:tcW w:w="732" w:type="dxa"/>
            <w:shd w:val="clear" w:color="000000" w:fill="FFFFFF"/>
            <w:hideMark/>
          </w:tcPr>
          <w:p w:rsidR="005D331D" w:rsidRPr="002F0F29" w:rsidRDefault="005D331D" w:rsidP="00DF204B">
            <w:pPr>
              <w:widowControl/>
              <w:autoSpaceDE/>
              <w:autoSpaceDN/>
              <w:adjustRightInd/>
              <w:jc w:val="center"/>
              <w:rPr>
                <w:color w:val="000000"/>
                <w:sz w:val="15"/>
                <w:szCs w:val="15"/>
              </w:rPr>
            </w:pPr>
            <w:r w:rsidRPr="002F0F29">
              <w:rPr>
                <w:color w:val="000000"/>
                <w:sz w:val="15"/>
                <w:szCs w:val="15"/>
              </w:rPr>
              <w:t>1,4</w:t>
            </w:r>
          </w:p>
        </w:tc>
        <w:tc>
          <w:tcPr>
            <w:tcW w:w="731" w:type="dxa"/>
            <w:shd w:val="clear" w:color="000000" w:fill="FFFFFF"/>
            <w:hideMark/>
          </w:tcPr>
          <w:p w:rsidR="005D331D" w:rsidRPr="002F0F29" w:rsidRDefault="005D331D" w:rsidP="00DF204B">
            <w:pPr>
              <w:widowControl/>
              <w:autoSpaceDE/>
              <w:autoSpaceDN/>
              <w:adjustRightInd/>
              <w:jc w:val="center"/>
              <w:rPr>
                <w:color w:val="000000"/>
                <w:sz w:val="15"/>
                <w:szCs w:val="15"/>
              </w:rPr>
            </w:pPr>
            <w:r w:rsidRPr="002F0F29">
              <w:rPr>
                <w:color w:val="000000"/>
                <w:sz w:val="15"/>
                <w:szCs w:val="15"/>
              </w:rPr>
              <w:t>100</w:t>
            </w:r>
          </w:p>
        </w:tc>
        <w:tc>
          <w:tcPr>
            <w:tcW w:w="731" w:type="dxa"/>
            <w:shd w:val="clear" w:color="auto" w:fill="auto"/>
            <w:hideMark/>
          </w:tcPr>
          <w:p w:rsidR="005D331D" w:rsidRPr="002F0F29" w:rsidRDefault="005D331D" w:rsidP="00DF204B">
            <w:pPr>
              <w:widowControl/>
              <w:autoSpaceDE/>
              <w:autoSpaceDN/>
              <w:adjustRightInd/>
              <w:jc w:val="center"/>
              <w:rPr>
                <w:color w:val="000000"/>
                <w:sz w:val="15"/>
                <w:szCs w:val="15"/>
              </w:rPr>
            </w:pPr>
            <w:r w:rsidRPr="002F0F29">
              <w:rPr>
                <w:color w:val="000000"/>
                <w:sz w:val="15"/>
                <w:szCs w:val="15"/>
              </w:rPr>
              <w:t>100</w:t>
            </w:r>
          </w:p>
        </w:tc>
        <w:tc>
          <w:tcPr>
            <w:tcW w:w="732" w:type="dxa"/>
            <w:shd w:val="clear" w:color="000000" w:fill="FFFFFF"/>
            <w:hideMark/>
          </w:tcPr>
          <w:p w:rsidR="005D331D" w:rsidRPr="002F0F29" w:rsidRDefault="005D331D" w:rsidP="00DF204B">
            <w:pPr>
              <w:widowControl/>
              <w:autoSpaceDE/>
              <w:autoSpaceDN/>
              <w:adjustRightInd/>
              <w:jc w:val="center"/>
              <w:rPr>
                <w:color w:val="000000"/>
                <w:sz w:val="15"/>
                <w:szCs w:val="15"/>
              </w:rPr>
            </w:pPr>
            <w:r w:rsidRPr="002F0F29">
              <w:rPr>
                <w:color w:val="000000"/>
                <w:sz w:val="15"/>
                <w:szCs w:val="15"/>
              </w:rPr>
              <w:t>100</w:t>
            </w:r>
          </w:p>
        </w:tc>
        <w:tc>
          <w:tcPr>
            <w:tcW w:w="769" w:type="dxa"/>
            <w:shd w:val="clear" w:color="000000" w:fill="FFFFFF"/>
            <w:hideMark/>
          </w:tcPr>
          <w:p w:rsidR="005D331D" w:rsidRPr="002F0F29" w:rsidRDefault="005D331D" w:rsidP="00DF204B">
            <w:pPr>
              <w:widowControl/>
              <w:autoSpaceDE/>
              <w:autoSpaceDN/>
              <w:adjustRightInd/>
              <w:jc w:val="center"/>
              <w:rPr>
                <w:color w:val="000000"/>
                <w:sz w:val="15"/>
                <w:szCs w:val="15"/>
              </w:rPr>
            </w:pPr>
            <w:r w:rsidRPr="002F0F29">
              <w:rPr>
                <w:color w:val="000000"/>
                <w:sz w:val="15"/>
                <w:szCs w:val="15"/>
              </w:rPr>
              <w:t>71,8</w:t>
            </w:r>
          </w:p>
        </w:tc>
        <w:tc>
          <w:tcPr>
            <w:tcW w:w="694" w:type="dxa"/>
            <w:shd w:val="clear" w:color="auto" w:fill="auto"/>
            <w:hideMark/>
          </w:tcPr>
          <w:p w:rsidR="005D331D" w:rsidRPr="002F0F29" w:rsidRDefault="005D331D" w:rsidP="00DF204B">
            <w:pPr>
              <w:widowControl/>
              <w:autoSpaceDE/>
              <w:autoSpaceDN/>
              <w:adjustRightInd/>
              <w:jc w:val="center"/>
              <w:rPr>
                <w:color w:val="000000"/>
                <w:sz w:val="15"/>
                <w:szCs w:val="15"/>
              </w:rPr>
            </w:pPr>
            <w:r w:rsidRPr="002F0F29">
              <w:rPr>
                <w:color w:val="000000"/>
                <w:sz w:val="15"/>
                <w:szCs w:val="15"/>
              </w:rPr>
              <w:t>73,6</w:t>
            </w:r>
          </w:p>
        </w:tc>
        <w:tc>
          <w:tcPr>
            <w:tcW w:w="738" w:type="dxa"/>
            <w:shd w:val="clear" w:color="auto" w:fill="auto"/>
            <w:hideMark/>
          </w:tcPr>
          <w:p w:rsidR="005D331D" w:rsidRPr="002F0F29" w:rsidRDefault="005D331D" w:rsidP="00DF204B">
            <w:pPr>
              <w:widowControl/>
              <w:autoSpaceDE/>
              <w:autoSpaceDN/>
              <w:adjustRightInd/>
              <w:jc w:val="center"/>
              <w:rPr>
                <w:color w:val="000000"/>
                <w:sz w:val="15"/>
                <w:szCs w:val="15"/>
              </w:rPr>
            </w:pPr>
            <w:r w:rsidRPr="002F0F29">
              <w:rPr>
                <w:color w:val="000000"/>
                <w:sz w:val="15"/>
                <w:szCs w:val="15"/>
              </w:rPr>
              <w:t>70,9</w:t>
            </w:r>
          </w:p>
        </w:tc>
      </w:tr>
      <w:tr w:rsidR="005D331D" w:rsidRPr="002F0F29" w:rsidTr="00DF204B">
        <w:trPr>
          <w:gridAfter w:val="1"/>
          <w:wAfter w:w="11" w:type="dxa"/>
          <w:trHeight w:val="25"/>
        </w:trPr>
        <w:tc>
          <w:tcPr>
            <w:tcW w:w="2745" w:type="dxa"/>
            <w:shd w:val="clear" w:color="auto" w:fill="auto"/>
            <w:hideMark/>
          </w:tcPr>
          <w:p w:rsidR="005D331D" w:rsidRPr="002F0F29" w:rsidRDefault="005D331D" w:rsidP="00DF204B">
            <w:pPr>
              <w:widowControl/>
              <w:autoSpaceDE/>
              <w:autoSpaceDN/>
              <w:adjustRightInd/>
              <w:rPr>
                <w:color w:val="000000"/>
                <w:sz w:val="15"/>
                <w:szCs w:val="15"/>
              </w:rPr>
            </w:pPr>
            <w:r w:rsidRPr="002F0F29">
              <w:rPr>
                <w:color w:val="000000"/>
                <w:sz w:val="15"/>
                <w:szCs w:val="15"/>
              </w:rPr>
              <w:t>Патологоанатомы</w:t>
            </w:r>
          </w:p>
        </w:tc>
        <w:tc>
          <w:tcPr>
            <w:tcW w:w="730" w:type="dxa"/>
            <w:shd w:val="clear" w:color="000000" w:fill="FFFFFF"/>
            <w:hideMark/>
          </w:tcPr>
          <w:p w:rsidR="005D331D" w:rsidRPr="002F0F29" w:rsidRDefault="005D331D" w:rsidP="00DF204B">
            <w:pPr>
              <w:widowControl/>
              <w:autoSpaceDE/>
              <w:autoSpaceDN/>
              <w:adjustRightInd/>
              <w:jc w:val="center"/>
              <w:rPr>
                <w:color w:val="000000"/>
                <w:sz w:val="15"/>
                <w:szCs w:val="15"/>
              </w:rPr>
            </w:pPr>
            <w:r w:rsidRPr="002F0F29">
              <w:rPr>
                <w:color w:val="000000"/>
                <w:sz w:val="15"/>
                <w:szCs w:val="15"/>
              </w:rPr>
              <w:t>149,5</w:t>
            </w:r>
          </w:p>
        </w:tc>
        <w:tc>
          <w:tcPr>
            <w:tcW w:w="730" w:type="dxa"/>
            <w:shd w:val="clear" w:color="auto" w:fill="auto"/>
            <w:hideMark/>
          </w:tcPr>
          <w:p w:rsidR="005D331D" w:rsidRPr="002F0F29" w:rsidRDefault="005D331D" w:rsidP="00DF204B">
            <w:pPr>
              <w:widowControl/>
              <w:autoSpaceDE/>
              <w:autoSpaceDN/>
              <w:adjustRightInd/>
              <w:jc w:val="center"/>
              <w:rPr>
                <w:color w:val="000000"/>
                <w:sz w:val="15"/>
                <w:szCs w:val="15"/>
              </w:rPr>
            </w:pPr>
            <w:r w:rsidRPr="002F0F29">
              <w:rPr>
                <w:color w:val="000000"/>
                <w:sz w:val="15"/>
                <w:szCs w:val="15"/>
              </w:rPr>
              <w:t>143,25</w:t>
            </w:r>
          </w:p>
        </w:tc>
        <w:tc>
          <w:tcPr>
            <w:tcW w:w="731" w:type="dxa"/>
            <w:shd w:val="clear" w:color="000000" w:fill="FFFFFF"/>
            <w:hideMark/>
          </w:tcPr>
          <w:p w:rsidR="005D331D" w:rsidRPr="002F0F29" w:rsidRDefault="005D331D" w:rsidP="00DF204B">
            <w:pPr>
              <w:widowControl/>
              <w:autoSpaceDE/>
              <w:autoSpaceDN/>
              <w:adjustRightInd/>
              <w:jc w:val="center"/>
              <w:rPr>
                <w:color w:val="000000"/>
                <w:sz w:val="15"/>
                <w:szCs w:val="15"/>
              </w:rPr>
            </w:pPr>
            <w:r w:rsidRPr="002F0F29">
              <w:rPr>
                <w:color w:val="000000"/>
                <w:sz w:val="15"/>
                <w:szCs w:val="15"/>
              </w:rPr>
              <w:t>149,25</w:t>
            </w:r>
          </w:p>
        </w:tc>
        <w:tc>
          <w:tcPr>
            <w:tcW w:w="731" w:type="dxa"/>
            <w:shd w:val="clear" w:color="000000" w:fill="FFFFFF"/>
            <w:hideMark/>
          </w:tcPr>
          <w:p w:rsidR="005D331D" w:rsidRPr="002F0F29" w:rsidRDefault="005D331D" w:rsidP="00DF204B">
            <w:pPr>
              <w:widowControl/>
              <w:autoSpaceDE/>
              <w:autoSpaceDN/>
              <w:adjustRightInd/>
              <w:jc w:val="center"/>
              <w:rPr>
                <w:color w:val="000000"/>
                <w:sz w:val="15"/>
                <w:szCs w:val="15"/>
              </w:rPr>
            </w:pPr>
            <w:r w:rsidRPr="002F0F29">
              <w:rPr>
                <w:color w:val="000000"/>
                <w:sz w:val="15"/>
                <w:szCs w:val="15"/>
              </w:rPr>
              <w:t>145</w:t>
            </w:r>
          </w:p>
        </w:tc>
        <w:tc>
          <w:tcPr>
            <w:tcW w:w="731" w:type="dxa"/>
            <w:shd w:val="clear" w:color="auto" w:fill="auto"/>
            <w:hideMark/>
          </w:tcPr>
          <w:p w:rsidR="005D331D" w:rsidRPr="002F0F29" w:rsidRDefault="005D331D" w:rsidP="00DF204B">
            <w:pPr>
              <w:widowControl/>
              <w:autoSpaceDE/>
              <w:autoSpaceDN/>
              <w:adjustRightInd/>
              <w:jc w:val="center"/>
              <w:rPr>
                <w:color w:val="000000"/>
                <w:sz w:val="15"/>
                <w:szCs w:val="15"/>
              </w:rPr>
            </w:pPr>
            <w:r w:rsidRPr="002F0F29">
              <w:rPr>
                <w:color w:val="000000"/>
                <w:sz w:val="15"/>
                <w:szCs w:val="15"/>
              </w:rPr>
              <w:t>125,5</w:t>
            </w:r>
          </w:p>
        </w:tc>
        <w:tc>
          <w:tcPr>
            <w:tcW w:w="732" w:type="dxa"/>
            <w:shd w:val="clear" w:color="000000" w:fill="FFFFFF"/>
            <w:hideMark/>
          </w:tcPr>
          <w:p w:rsidR="005D331D" w:rsidRPr="002F0F29" w:rsidRDefault="005D331D" w:rsidP="00DF204B">
            <w:pPr>
              <w:widowControl/>
              <w:autoSpaceDE/>
              <w:autoSpaceDN/>
              <w:adjustRightInd/>
              <w:jc w:val="center"/>
              <w:rPr>
                <w:color w:val="000000"/>
                <w:sz w:val="15"/>
                <w:szCs w:val="15"/>
              </w:rPr>
            </w:pPr>
            <w:r w:rsidRPr="002F0F29">
              <w:rPr>
                <w:color w:val="000000"/>
                <w:sz w:val="15"/>
                <w:szCs w:val="15"/>
              </w:rPr>
              <w:t>139</w:t>
            </w:r>
          </w:p>
        </w:tc>
        <w:tc>
          <w:tcPr>
            <w:tcW w:w="731" w:type="dxa"/>
            <w:shd w:val="clear" w:color="000000" w:fill="FFFFFF"/>
            <w:hideMark/>
          </w:tcPr>
          <w:p w:rsidR="005D331D" w:rsidRPr="002F0F29" w:rsidRDefault="005D331D" w:rsidP="00DF204B">
            <w:pPr>
              <w:widowControl/>
              <w:autoSpaceDE/>
              <w:autoSpaceDN/>
              <w:adjustRightInd/>
              <w:jc w:val="center"/>
              <w:rPr>
                <w:color w:val="000000"/>
                <w:sz w:val="15"/>
                <w:szCs w:val="15"/>
              </w:rPr>
            </w:pPr>
            <w:r w:rsidRPr="002F0F29">
              <w:rPr>
                <w:color w:val="000000"/>
                <w:sz w:val="15"/>
                <w:szCs w:val="15"/>
              </w:rPr>
              <w:t>51</w:t>
            </w:r>
          </w:p>
        </w:tc>
        <w:tc>
          <w:tcPr>
            <w:tcW w:w="731" w:type="dxa"/>
            <w:shd w:val="clear" w:color="auto" w:fill="auto"/>
            <w:hideMark/>
          </w:tcPr>
          <w:p w:rsidR="005D331D" w:rsidRPr="002F0F29" w:rsidRDefault="005D331D" w:rsidP="00DF204B">
            <w:pPr>
              <w:widowControl/>
              <w:autoSpaceDE/>
              <w:autoSpaceDN/>
              <w:adjustRightInd/>
              <w:jc w:val="center"/>
              <w:rPr>
                <w:color w:val="000000"/>
                <w:sz w:val="15"/>
                <w:szCs w:val="15"/>
              </w:rPr>
            </w:pPr>
            <w:r w:rsidRPr="002F0F29">
              <w:rPr>
                <w:color w:val="000000"/>
                <w:sz w:val="15"/>
                <w:szCs w:val="15"/>
              </w:rPr>
              <w:t>53</w:t>
            </w:r>
          </w:p>
        </w:tc>
        <w:tc>
          <w:tcPr>
            <w:tcW w:w="732" w:type="dxa"/>
            <w:shd w:val="clear" w:color="000000" w:fill="FFFFFF"/>
            <w:hideMark/>
          </w:tcPr>
          <w:p w:rsidR="005D331D" w:rsidRPr="002F0F29" w:rsidRDefault="005D331D" w:rsidP="00DF204B">
            <w:pPr>
              <w:widowControl/>
              <w:autoSpaceDE/>
              <w:autoSpaceDN/>
              <w:adjustRightInd/>
              <w:jc w:val="center"/>
              <w:rPr>
                <w:color w:val="000000"/>
                <w:sz w:val="15"/>
                <w:szCs w:val="15"/>
              </w:rPr>
            </w:pPr>
            <w:r w:rsidRPr="002F0F29">
              <w:rPr>
                <w:color w:val="000000"/>
                <w:sz w:val="15"/>
                <w:szCs w:val="15"/>
              </w:rPr>
              <w:t>56</w:t>
            </w:r>
          </w:p>
        </w:tc>
        <w:tc>
          <w:tcPr>
            <w:tcW w:w="731" w:type="dxa"/>
            <w:shd w:val="clear" w:color="000000" w:fill="FFFFFF"/>
            <w:hideMark/>
          </w:tcPr>
          <w:p w:rsidR="005D331D" w:rsidRPr="002F0F29" w:rsidRDefault="005D331D" w:rsidP="00DF204B">
            <w:pPr>
              <w:widowControl/>
              <w:autoSpaceDE/>
              <w:autoSpaceDN/>
              <w:adjustRightInd/>
              <w:jc w:val="center"/>
              <w:rPr>
                <w:color w:val="000000"/>
                <w:sz w:val="15"/>
                <w:szCs w:val="15"/>
              </w:rPr>
            </w:pPr>
            <w:r w:rsidRPr="002F0F29">
              <w:rPr>
                <w:color w:val="000000"/>
                <w:sz w:val="15"/>
                <w:szCs w:val="15"/>
              </w:rPr>
              <w:t>2,8</w:t>
            </w:r>
          </w:p>
        </w:tc>
        <w:tc>
          <w:tcPr>
            <w:tcW w:w="731" w:type="dxa"/>
            <w:shd w:val="clear" w:color="auto" w:fill="auto"/>
            <w:hideMark/>
          </w:tcPr>
          <w:p w:rsidR="005D331D" w:rsidRPr="002F0F29" w:rsidRDefault="005D331D" w:rsidP="00DF204B">
            <w:pPr>
              <w:widowControl/>
              <w:autoSpaceDE/>
              <w:autoSpaceDN/>
              <w:adjustRightInd/>
              <w:jc w:val="center"/>
              <w:rPr>
                <w:color w:val="000000"/>
                <w:sz w:val="15"/>
                <w:szCs w:val="15"/>
              </w:rPr>
            </w:pPr>
            <w:r w:rsidRPr="002F0F29">
              <w:rPr>
                <w:color w:val="000000"/>
                <w:sz w:val="15"/>
                <w:szCs w:val="15"/>
              </w:rPr>
              <w:t>2,5</w:t>
            </w:r>
          </w:p>
        </w:tc>
        <w:tc>
          <w:tcPr>
            <w:tcW w:w="732" w:type="dxa"/>
            <w:shd w:val="clear" w:color="000000" w:fill="FFFFFF"/>
            <w:hideMark/>
          </w:tcPr>
          <w:p w:rsidR="005D331D" w:rsidRPr="002F0F29" w:rsidRDefault="005D331D" w:rsidP="00DF204B">
            <w:pPr>
              <w:widowControl/>
              <w:autoSpaceDE/>
              <w:autoSpaceDN/>
              <w:adjustRightInd/>
              <w:jc w:val="center"/>
              <w:rPr>
                <w:color w:val="000000"/>
                <w:sz w:val="15"/>
                <w:szCs w:val="15"/>
              </w:rPr>
            </w:pPr>
            <w:r w:rsidRPr="002F0F29">
              <w:rPr>
                <w:color w:val="000000"/>
                <w:sz w:val="15"/>
                <w:szCs w:val="15"/>
              </w:rPr>
              <w:t>2,7</w:t>
            </w:r>
          </w:p>
        </w:tc>
        <w:tc>
          <w:tcPr>
            <w:tcW w:w="731" w:type="dxa"/>
            <w:shd w:val="clear" w:color="000000" w:fill="FFFFFF"/>
            <w:hideMark/>
          </w:tcPr>
          <w:p w:rsidR="005D331D" w:rsidRPr="002F0F29" w:rsidRDefault="005D331D" w:rsidP="00DF204B">
            <w:pPr>
              <w:widowControl/>
              <w:autoSpaceDE/>
              <w:autoSpaceDN/>
              <w:adjustRightInd/>
              <w:jc w:val="center"/>
              <w:rPr>
                <w:color w:val="000000"/>
                <w:sz w:val="15"/>
                <w:szCs w:val="15"/>
              </w:rPr>
            </w:pPr>
            <w:r w:rsidRPr="002F0F29">
              <w:rPr>
                <w:color w:val="000000"/>
                <w:sz w:val="15"/>
                <w:szCs w:val="15"/>
              </w:rPr>
              <w:t>96,7</w:t>
            </w:r>
          </w:p>
        </w:tc>
        <w:tc>
          <w:tcPr>
            <w:tcW w:w="731" w:type="dxa"/>
            <w:shd w:val="clear" w:color="auto" w:fill="auto"/>
            <w:hideMark/>
          </w:tcPr>
          <w:p w:rsidR="005D331D" w:rsidRPr="002F0F29" w:rsidRDefault="005D331D" w:rsidP="00DF204B">
            <w:pPr>
              <w:widowControl/>
              <w:autoSpaceDE/>
              <w:autoSpaceDN/>
              <w:adjustRightInd/>
              <w:jc w:val="center"/>
              <w:rPr>
                <w:color w:val="000000"/>
                <w:sz w:val="15"/>
                <w:szCs w:val="15"/>
              </w:rPr>
            </w:pPr>
            <w:r w:rsidRPr="002F0F29">
              <w:rPr>
                <w:color w:val="000000"/>
                <w:sz w:val="15"/>
                <w:szCs w:val="15"/>
              </w:rPr>
              <w:t>87,6</w:t>
            </w:r>
          </w:p>
        </w:tc>
        <w:tc>
          <w:tcPr>
            <w:tcW w:w="732" w:type="dxa"/>
            <w:shd w:val="clear" w:color="000000" w:fill="FFFFFF"/>
            <w:hideMark/>
          </w:tcPr>
          <w:p w:rsidR="005D331D" w:rsidRPr="002F0F29" w:rsidRDefault="005D331D" w:rsidP="00DF204B">
            <w:pPr>
              <w:widowControl/>
              <w:autoSpaceDE/>
              <w:autoSpaceDN/>
              <w:adjustRightInd/>
              <w:jc w:val="center"/>
              <w:rPr>
                <w:color w:val="000000"/>
                <w:sz w:val="15"/>
                <w:szCs w:val="15"/>
              </w:rPr>
            </w:pPr>
            <w:r w:rsidRPr="002F0F29">
              <w:rPr>
                <w:color w:val="000000"/>
                <w:sz w:val="15"/>
                <w:szCs w:val="15"/>
              </w:rPr>
              <w:t>93,1</w:t>
            </w:r>
          </w:p>
        </w:tc>
        <w:tc>
          <w:tcPr>
            <w:tcW w:w="769" w:type="dxa"/>
            <w:shd w:val="clear" w:color="000000" w:fill="FFFFFF"/>
            <w:hideMark/>
          </w:tcPr>
          <w:p w:rsidR="005D331D" w:rsidRPr="002F0F29" w:rsidRDefault="005D331D" w:rsidP="00DF204B">
            <w:pPr>
              <w:widowControl/>
              <w:autoSpaceDE/>
              <w:autoSpaceDN/>
              <w:adjustRightInd/>
              <w:jc w:val="center"/>
              <w:rPr>
                <w:color w:val="000000"/>
                <w:sz w:val="15"/>
                <w:szCs w:val="15"/>
              </w:rPr>
            </w:pPr>
            <w:r w:rsidRPr="002F0F29">
              <w:rPr>
                <w:color w:val="000000"/>
                <w:sz w:val="15"/>
                <w:szCs w:val="15"/>
              </w:rPr>
              <w:t>34,1</w:t>
            </w:r>
          </w:p>
        </w:tc>
        <w:tc>
          <w:tcPr>
            <w:tcW w:w="694" w:type="dxa"/>
            <w:shd w:val="clear" w:color="auto" w:fill="auto"/>
            <w:hideMark/>
          </w:tcPr>
          <w:p w:rsidR="005D331D" w:rsidRPr="002F0F29" w:rsidRDefault="005D331D" w:rsidP="00DF204B">
            <w:pPr>
              <w:widowControl/>
              <w:autoSpaceDE/>
              <w:autoSpaceDN/>
              <w:adjustRightInd/>
              <w:jc w:val="center"/>
              <w:rPr>
                <w:color w:val="000000"/>
                <w:sz w:val="15"/>
                <w:szCs w:val="15"/>
              </w:rPr>
            </w:pPr>
            <w:r w:rsidRPr="002F0F29">
              <w:rPr>
                <w:color w:val="000000"/>
                <w:sz w:val="15"/>
                <w:szCs w:val="15"/>
              </w:rPr>
              <w:t>37</w:t>
            </w:r>
          </w:p>
        </w:tc>
        <w:tc>
          <w:tcPr>
            <w:tcW w:w="738" w:type="dxa"/>
            <w:shd w:val="clear" w:color="auto" w:fill="auto"/>
            <w:hideMark/>
          </w:tcPr>
          <w:p w:rsidR="005D331D" w:rsidRPr="002F0F29" w:rsidRDefault="005D331D" w:rsidP="00DF204B">
            <w:pPr>
              <w:widowControl/>
              <w:autoSpaceDE/>
              <w:autoSpaceDN/>
              <w:adjustRightInd/>
              <w:jc w:val="center"/>
              <w:rPr>
                <w:color w:val="000000"/>
                <w:sz w:val="15"/>
                <w:szCs w:val="15"/>
              </w:rPr>
            </w:pPr>
            <w:r w:rsidRPr="002F0F29">
              <w:rPr>
                <w:color w:val="000000"/>
                <w:sz w:val="15"/>
                <w:szCs w:val="15"/>
              </w:rPr>
              <w:t>37,5</w:t>
            </w:r>
          </w:p>
        </w:tc>
      </w:tr>
      <w:tr w:rsidR="005D331D" w:rsidRPr="002F0F29" w:rsidTr="00DF204B">
        <w:trPr>
          <w:gridAfter w:val="1"/>
          <w:wAfter w:w="11" w:type="dxa"/>
          <w:trHeight w:val="25"/>
        </w:trPr>
        <w:tc>
          <w:tcPr>
            <w:tcW w:w="2745" w:type="dxa"/>
            <w:shd w:val="clear" w:color="auto" w:fill="auto"/>
            <w:hideMark/>
          </w:tcPr>
          <w:p w:rsidR="005D331D" w:rsidRPr="002F0F29" w:rsidRDefault="005D331D" w:rsidP="00DF204B">
            <w:pPr>
              <w:widowControl/>
              <w:autoSpaceDE/>
              <w:autoSpaceDN/>
              <w:adjustRightInd/>
              <w:rPr>
                <w:color w:val="000000"/>
                <w:sz w:val="15"/>
                <w:szCs w:val="15"/>
              </w:rPr>
            </w:pPr>
            <w:r w:rsidRPr="002F0F29">
              <w:rPr>
                <w:color w:val="000000"/>
                <w:sz w:val="15"/>
                <w:szCs w:val="15"/>
              </w:rPr>
              <w:t>Рентгенологи</w:t>
            </w:r>
          </w:p>
        </w:tc>
        <w:tc>
          <w:tcPr>
            <w:tcW w:w="730" w:type="dxa"/>
            <w:shd w:val="clear" w:color="000000" w:fill="FFFFFF"/>
            <w:hideMark/>
          </w:tcPr>
          <w:p w:rsidR="005D331D" w:rsidRPr="002F0F29" w:rsidRDefault="005D331D" w:rsidP="00DF204B">
            <w:pPr>
              <w:widowControl/>
              <w:autoSpaceDE/>
              <w:autoSpaceDN/>
              <w:adjustRightInd/>
              <w:jc w:val="center"/>
              <w:rPr>
                <w:color w:val="000000"/>
                <w:sz w:val="15"/>
                <w:szCs w:val="15"/>
              </w:rPr>
            </w:pPr>
            <w:r w:rsidRPr="002F0F29">
              <w:rPr>
                <w:color w:val="000000"/>
                <w:sz w:val="15"/>
                <w:szCs w:val="15"/>
              </w:rPr>
              <w:t>600,5</w:t>
            </w:r>
          </w:p>
        </w:tc>
        <w:tc>
          <w:tcPr>
            <w:tcW w:w="730" w:type="dxa"/>
            <w:shd w:val="clear" w:color="auto" w:fill="auto"/>
            <w:hideMark/>
          </w:tcPr>
          <w:p w:rsidR="005D331D" w:rsidRPr="002F0F29" w:rsidRDefault="005D331D" w:rsidP="00DF204B">
            <w:pPr>
              <w:widowControl/>
              <w:autoSpaceDE/>
              <w:autoSpaceDN/>
              <w:adjustRightInd/>
              <w:jc w:val="center"/>
              <w:rPr>
                <w:color w:val="000000"/>
                <w:sz w:val="15"/>
                <w:szCs w:val="15"/>
              </w:rPr>
            </w:pPr>
            <w:r w:rsidRPr="002F0F29">
              <w:rPr>
                <w:color w:val="000000"/>
                <w:sz w:val="15"/>
                <w:szCs w:val="15"/>
              </w:rPr>
              <w:t>621</w:t>
            </w:r>
          </w:p>
        </w:tc>
        <w:tc>
          <w:tcPr>
            <w:tcW w:w="731" w:type="dxa"/>
            <w:shd w:val="clear" w:color="000000" w:fill="FFFFFF"/>
            <w:hideMark/>
          </w:tcPr>
          <w:p w:rsidR="005D331D" w:rsidRPr="002F0F29" w:rsidRDefault="005D331D" w:rsidP="00DF204B">
            <w:pPr>
              <w:widowControl/>
              <w:autoSpaceDE/>
              <w:autoSpaceDN/>
              <w:adjustRightInd/>
              <w:jc w:val="center"/>
              <w:rPr>
                <w:color w:val="000000"/>
                <w:sz w:val="15"/>
                <w:szCs w:val="15"/>
              </w:rPr>
            </w:pPr>
            <w:r w:rsidRPr="002F0F29">
              <w:rPr>
                <w:color w:val="000000"/>
                <w:sz w:val="15"/>
                <w:szCs w:val="15"/>
              </w:rPr>
              <w:t>606,75</w:t>
            </w:r>
          </w:p>
        </w:tc>
        <w:tc>
          <w:tcPr>
            <w:tcW w:w="731" w:type="dxa"/>
            <w:shd w:val="clear" w:color="000000" w:fill="FFFFFF"/>
            <w:hideMark/>
          </w:tcPr>
          <w:p w:rsidR="005D331D" w:rsidRPr="002F0F29" w:rsidRDefault="005D331D" w:rsidP="00DF204B">
            <w:pPr>
              <w:widowControl/>
              <w:autoSpaceDE/>
              <w:autoSpaceDN/>
              <w:adjustRightInd/>
              <w:jc w:val="center"/>
              <w:rPr>
                <w:color w:val="000000"/>
                <w:sz w:val="15"/>
                <w:szCs w:val="15"/>
              </w:rPr>
            </w:pPr>
            <w:r w:rsidRPr="002F0F29">
              <w:rPr>
                <w:color w:val="000000"/>
                <w:sz w:val="15"/>
                <w:szCs w:val="15"/>
              </w:rPr>
              <w:t>588,75</w:t>
            </w:r>
          </w:p>
        </w:tc>
        <w:tc>
          <w:tcPr>
            <w:tcW w:w="731" w:type="dxa"/>
            <w:shd w:val="clear" w:color="auto" w:fill="auto"/>
            <w:hideMark/>
          </w:tcPr>
          <w:p w:rsidR="005D331D" w:rsidRPr="002F0F29" w:rsidRDefault="005D331D" w:rsidP="00DF204B">
            <w:pPr>
              <w:widowControl/>
              <w:autoSpaceDE/>
              <w:autoSpaceDN/>
              <w:adjustRightInd/>
              <w:jc w:val="center"/>
              <w:rPr>
                <w:color w:val="000000"/>
                <w:sz w:val="15"/>
                <w:szCs w:val="15"/>
              </w:rPr>
            </w:pPr>
            <w:r w:rsidRPr="002F0F29">
              <w:rPr>
                <w:color w:val="000000"/>
                <w:sz w:val="15"/>
                <w:szCs w:val="15"/>
              </w:rPr>
              <w:t>596,25</w:t>
            </w:r>
          </w:p>
        </w:tc>
        <w:tc>
          <w:tcPr>
            <w:tcW w:w="732" w:type="dxa"/>
            <w:shd w:val="clear" w:color="000000" w:fill="FFFFFF"/>
            <w:hideMark/>
          </w:tcPr>
          <w:p w:rsidR="005D331D" w:rsidRPr="002F0F29" w:rsidRDefault="005D331D" w:rsidP="00DF204B">
            <w:pPr>
              <w:widowControl/>
              <w:autoSpaceDE/>
              <w:autoSpaceDN/>
              <w:adjustRightInd/>
              <w:jc w:val="center"/>
              <w:rPr>
                <w:color w:val="000000"/>
                <w:sz w:val="15"/>
                <w:szCs w:val="15"/>
              </w:rPr>
            </w:pPr>
            <w:r w:rsidRPr="002F0F29">
              <w:rPr>
                <w:color w:val="000000"/>
                <w:sz w:val="15"/>
                <w:szCs w:val="15"/>
              </w:rPr>
              <w:t>588</w:t>
            </w:r>
          </w:p>
        </w:tc>
        <w:tc>
          <w:tcPr>
            <w:tcW w:w="731" w:type="dxa"/>
            <w:shd w:val="clear" w:color="000000" w:fill="FFFFFF"/>
            <w:hideMark/>
          </w:tcPr>
          <w:p w:rsidR="005D331D" w:rsidRPr="002F0F29" w:rsidRDefault="005D331D" w:rsidP="00DF204B">
            <w:pPr>
              <w:widowControl/>
              <w:autoSpaceDE/>
              <w:autoSpaceDN/>
              <w:adjustRightInd/>
              <w:jc w:val="center"/>
              <w:rPr>
                <w:color w:val="000000"/>
                <w:sz w:val="15"/>
                <w:szCs w:val="15"/>
              </w:rPr>
            </w:pPr>
            <w:r w:rsidRPr="002F0F29">
              <w:rPr>
                <w:color w:val="000000"/>
                <w:sz w:val="15"/>
                <w:szCs w:val="15"/>
              </w:rPr>
              <w:t>390</w:t>
            </w:r>
          </w:p>
        </w:tc>
        <w:tc>
          <w:tcPr>
            <w:tcW w:w="731" w:type="dxa"/>
            <w:shd w:val="clear" w:color="auto" w:fill="auto"/>
            <w:hideMark/>
          </w:tcPr>
          <w:p w:rsidR="005D331D" w:rsidRPr="002F0F29" w:rsidRDefault="005D331D" w:rsidP="00DF204B">
            <w:pPr>
              <w:widowControl/>
              <w:autoSpaceDE/>
              <w:autoSpaceDN/>
              <w:adjustRightInd/>
              <w:jc w:val="center"/>
              <w:rPr>
                <w:color w:val="000000"/>
                <w:sz w:val="15"/>
                <w:szCs w:val="15"/>
              </w:rPr>
            </w:pPr>
            <w:r w:rsidRPr="002F0F29">
              <w:rPr>
                <w:color w:val="000000"/>
                <w:sz w:val="15"/>
                <w:szCs w:val="15"/>
              </w:rPr>
              <w:t>395</w:t>
            </w:r>
          </w:p>
        </w:tc>
        <w:tc>
          <w:tcPr>
            <w:tcW w:w="732" w:type="dxa"/>
            <w:shd w:val="clear" w:color="000000" w:fill="FFFFFF"/>
            <w:hideMark/>
          </w:tcPr>
          <w:p w:rsidR="005D331D" w:rsidRPr="002F0F29" w:rsidRDefault="005D331D" w:rsidP="00DF204B">
            <w:pPr>
              <w:widowControl/>
              <w:autoSpaceDE/>
              <w:autoSpaceDN/>
              <w:adjustRightInd/>
              <w:jc w:val="center"/>
              <w:rPr>
                <w:color w:val="000000"/>
                <w:sz w:val="15"/>
                <w:szCs w:val="15"/>
              </w:rPr>
            </w:pPr>
            <w:r w:rsidRPr="002F0F29">
              <w:rPr>
                <w:color w:val="000000"/>
                <w:sz w:val="15"/>
                <w:szCs w:val="15"/>
              </w:rPr>
              <w:t>413</w:t>
            </w:r>
          </w:p>
        </w:tc>
        <w:tc>
          <w:tcPr>
            <w:tcW w:w="731" w:type="dxa"/>
            <w:shd w:val="clear" w:color="000000" w:fill="FFFFFF"/>
            <w:hideMark/>
          </w:tcPr>
          <w:p w:rsidR="005D331D" w:rsidRPr="002F0F29" w:rsidRDefault="005D331D" w:rsidP="00DF204B">
            <w:pPr>
              <w:widowControl/>
              <w:autoSpaceDE/>
              <w:autoSpaceDN/>
              <w:adjustRightInd/>
              <w:jc w:val="center"/>
              <w:rPr>
                <w:color w:val="000000"/>
                <w:sz w:val="15"/>
                <w:szCs w:val="15"/>
              </w:rPr>
            </w:pPr>
            <w:r w:rsidRPr="002F0F29">
              <w:rPr>
                <w:color w:val="000000"/>
                <w:sz w:val="15"/>
                <w:szCs w:val="15"/>
              </w:rPr>
              <w:t>1,5</w:t>
            </w:r>
          </w:p>
        </w:tc>
        <w:tc>
          <w:tcPr>
            <w:tcW w:w="731" w:type="dxa"/>
            <w:shd w:val="clear" w:color="auto" w:fill="auto"/>
            <w:hideMark/>
          </w:tcPr>
          <w:p w:rsidR="005D331D" w:rsidRPr="002F0F29" w:rsidRDefault="005D331D" w:rsidP="00DF204B">
            <w:pPr>
              <w:widowControl/>
              <w:autoSpaceDE/>
              <w:autoSpaceDN/>
              <w:adjustRightInd/>
              <w:jc w:val="center"/>
              <w:rPr>
                <w:color w:val="000000"/>
                <w:sz w:val="15"/>
                <w:szCs w:val="15"/>
              </w:rPr>
            </w:pPr>
            <w:r w:rsidRPr="002F0F29">
              <w:rPr>
                <w:color w:val="000000"/>
                <w:sz w:val="15"/>
                <w:szCs w:val="15"/>
              </w:rPr>
              <w:t>1,5</w:t>
            </w:r>
          </w:p>
        </w:tc>
        <w:tc>
          <w:tcPr>
            <w:tcW w:w="732" w:type="dxa"/>
            <w:shd w:val="clear" w:color="000000" w:fill="FFFFFF"/>
            <w:hideMark/>
          </w:tcPr>
          <w:p w:rsidR="005D331D" w:rsidRPr="002F0F29" w:rsidRDefault="005D331D" w:rsidP="00DF204B">
            <w:pPr>
              <w:widowControl/>
              <w:autoSpaceDE/>
              <w:autoSpaceDN/>
              <w:adjustRightInd/>
              <w:jc w:val="center"/>
              <w:rPr>
                <w:color w:val="000000"/>
                <w:sz w:val="15"/>
                <w:szCs w:val="15"/>
              </w:rPr>
            </w:pPr>
            <w:r w:rsidRPr="002F0F29">
              <w:rPr>
                <w:color w:val="000000"/>
                <w:sz w:val="15"/>
                <w:szCs w:val="15"/>
              </w:rPr>
              <w:t>1,5</w:t>
            </w:r>
          </w:p>
        </w:tc>
        <w:tc>
          <w:tcPr>
            <w:tcW w:w="731" w:type="dxa"/>
            <w:shd w:val="clear" w:color="000000" w:fill="FFFFFF"/>
            <w:hideMark/>
          </w:tcPr>
          <w:p w:rsidR="005D331D" w:rsidRPr="002F0F29" w:rsidRDefault="005D331D" w:rsidP="00DF204B">
            <w:pPr>
              <w:widowControl/>
              <w:autoSpaceDE/>
              <w:autoSpaceDN/>
              <w:adjustRightInd/>
              <w:jc w:val="center"/>
              <w:rPr>
                <w:color w:val="000000"/>
                <w:sz w:val="15"/>
                <w:szCs w:val="15"/>
              </w:rPr>
            </w:pPr>
            <w:r w:rsidRPr="002F0F29">
              <w:rPr>
                <w:color w:val="000000"/>
                <w:sz w:val="15"/>
                <w:szCs w:val="15"/>
              </w:rPr>
              <w:t>98</w:t>
            </w:r>
          </w:p>
        </w:tc>
        <w:tc>
          <w:tcPr>
            <w:tcW w:w="731" w:type="dxa"/>
            <w:shd w:val="clear" w:color="auto" w:fill="auto"/>
            <w:hideMark/>
          </w:tcPr>
          <w:p w:rsidR="005D331D" w:rsidRPr="002F0F29" w:rsidRDefault="005D331D" w:rsidP="00DF204B">
            <w:pPr>
              <w:widowControl/>
              <w:autoSpaceDE/>
              <w:autoSpaceDN/>
              <w:adjustRightInd/>
              <w:jc w:val="center"/>
              <w:rPr>
                <w:color w:val="000000"/>
                <w:sz w:val="15"/>
                <w:szCs w:val="15"/>
              </w:rPr>
            </w:pPr>
            <w:r w:rsidRPr="002F0F29">
              <w:rPr>
                <w:color w:val="000000"/>
                <w:sz w:val="15"/>
                <w:szCs w:val="15"/>
              </w:rPr>
              <w:t>96</w:t>
            </w:r>
          </w:p>
        </w:tc>
        <w:tc>
          <w:tcPr>
            <w:tcW w:w="732" w:type="dxa"/>
            <w:shd w:val="clear" w:color="000000" w:fill="FFFFFF"/>
            <w:hideMark/>
          </w:tcPr>
          <w:p w:rsidR="005D331D" w:rsidRPr="002F0F29" w:rsidRDefault="005D331D" w:rsidP="00DF204B">
            <w:pPr>
              <w:widowControl/>
              <w:autoSpaceDE/>
              <w:autoSpaceDN/>
              <w:adjustRightInd/>
              <w:jc w:val="center"/>
              <w:rPr>
                <w:color w:val="000000"/>
                <w:sz w:val="15"/>
                <w:szCs w:val="15"/>
              </w:rPr>
            </w:pPr>
            <w:r w:rsidRPr="002F0F29">
              <w:rPr>
                <w:color w:val="000000"/>
                <w:sz w:val="15"/>
                <w:szCs w:val="15"/>
              </w:rPr>
              <w:t>97,7</w:t>
            </w:r>
          </w:p>
        </w:tc>
        <w:tc>
          <w:tcPr>
            <w:tcW w:w="769" w:type="dxa"/>
            <w:shd w:val="clear" w:color="000000" w:fill="FFFFFF"/>
            <w:hideMark/>
          </w:tcPr>
          <w:p w:rsidR="005D331D" w:rsidRPr="002F0F29" w:rsidRDefault="005D331D" w:rsidP="00DF204B">
            <w:pPr>
              <w:widowControl/>
              <w:autoSpaceDE/>
              <w:autoSpaceDN/>
              <w:adjustRightInd/>
              <w:jc w:val="center"/>
              <w:rPr>
                <w:color w:val="000000"/>
                <w:sz w:val="15"/>
                <w:szCs w:val="15"/>
              </w:rPr>
            </w:pPr>
            <w:r w:rsidRPr="002F0F29">
              <w:rPr>
                <w:color w:val="000000"/>
                <w:sz w:val="15"/>
                <w:szCs w:val="15"/>
              </w:rPr>
              <w:t>65</w:t>
            </w:r>
          </w:p>
        </w:tc>
        <w:tc>
          <w:tcPr>
            <w:tcW w:w="694" w:type="dxa"/>
            <w:shd w:val="clear" w:color="auto" w:fill="auto"/>
            <w:hideMark/>
          </w:tcPr>
          <w:p w:rsidR="005D331D" w:rsidRPr="002F0F29" w:rsidRDefault="005D331D" w:rsidP="00DF204B">
            <w:pPr>
              <w:widowControl/>
              <w:autoSpaceDE/>
              <w:autoSpaceDN/>
              <w:adjustRightInd/>
              <w:jc w:val="center"/>
              <w:rPr>
                <w:color w:val="000000"/>
                <w:sz w:val="15"/>
                <w:szCs w:val="15"/>
              </w:rPr>
            </w:pPr>
            <w:r w:rsidRPr="002F0F29">
              <w:rPr>
                <w:color w:val="000000"/>
                <w:sz w:val="15"/>
                <w:szCs w:val="15"/>
              </w:rPr>
              <w:t>63,6</w:t>
            </w:r>
          </w:p>
        </w:tc>
        <w:tc>
          <w:tcPr>
            <w:tcW w:w="738" w:type="dxa"/>
            <w:shd w:val="clear" w:color="auto" w:fill="auto"/>
            <w:hideMark/>
          </w:tcPr>
          <w:p w:rsidR="005D331D" w:rsidRPr="002F0F29" w:rsidRDefault="005D331D" w:rsidP="00DF204B">
            <w:pPr>
              <w:widowControl/>
              <w:autoSpaceDE/>
              <w:autoSpaceDN/>
              <w:adjustRightInd/>
              <w:jc w:val="center"/>
              <w:rPr>
                <w:color w:val="000000"/>
                <w:sz w:val="15"/>
                <w:szCs w:val="15"/>
              </w:rPr>
            </w:pPr>
            <w:r w:rsidRPr="002F0F29">
              <w:rPr>
                <w:color w:val="000000"/>
                <w:sz w:val="15"/>
                <w:szCs w:val="15"/>
              </w:rPr>
              <w:t>68,1</w:t>
            </w:r>
          </w:p>
        </w:tc>
      </w:tr>
      <w:tr w:rsidR="005D331D" w:rsidRPr="002F0F29" w:rsidTr="00DF204B">
        <w:trPr>
          <w:gridAfter w:val="1"/>
          <w:wAfter w:w="11" w:type="dxa"/>
          <w:trHeight w:val="25"/>
        </w:trPr>
        <w:tc>
          <w:tcPr>
            <w:tcW w:w="2745" w:type="dxa"/>
            <w:shd w:val="clear" w:color="auto" w:fill="auto"/>
            <w:hideMark/>
          </w:tcPr>
          <w:p w:rsidR="005D331D" w:rsidRPr="004563E4" w:rsidRDefault="005D331D" w:rsidP="00DF204B">
            <w:pPr>
              <w:widowControl/>
              <w:autoSpaceDE/>
              <w:autoSpaceDN/>
              <w:adjustRightInd/>
              <w:rPr>
                <w:color w:val="000000"/>
                <w:sz w:val="15"/>
                <w:szCs w:val="15"/>
              </w:rPr>
            </w:pPr>
            <w:r w:rsidRPr="004563E4">
              <w:rPr>
                <w:color w:val="000000"/>
                <w:sz w:val="15"/>
                <w:szCs w:val="15"/>
              </w:rPr>
              <w:t>Врач</w:t>
            </w:r>
            <w:r w:rsidR="001C12C9">
              <w:rPr>
                <w:color w:val="000000"/>
                <w:sz w:val="15"/>
                <w:szCs w:val="15"/>
              </w:rPr>
              <w:t>и</w:t>
            </w:r>
            <w:r w:rsidRPr="004563E4">
              <w:rPr>
                <w:color w:val="000000"/>
                <w:sz w:val="15"/>
                <w:szCs w:val="15"/>
              </w:rPr>
              <w:t xml:space="preserve"> </w:t>
            </w:r>
            <w:r w:rsidR="004563E4" w:rsidRPr="004563E4">
              <w:rPr>
                <w:rFonts w:eastAsia="Arial"/>
                <w:sz w:val="15"/>
                <w:szCs w:val="15"/>
              </w:rPr>
              <w:t>ультразвуковой диагностики</w:t>
            </w:r>
          </w:p>
        </w:tc>
        <w:tc>
          <w:tcPr>
            <w:tcW w:w="730" w:type="dxa"/>
            <w:shd w:val="clear" w:color="000000" w:fill="FFFFFF"/>
            <w:hideMark/>
          </w:tcPr>
          <w:p w:rsidR="005D331D" w:rsidRPr="002F0F29" w:rsidRDefault="005D331D" w:rsidP="00DF204B">
            <w:pPr>
              <w:widowControl/>
              <w:autoSpaceDE/>
              <w:autoSpaceDN/>
              <w:adjustRightInd/>
              <w:jc w:val="center"/>
              <w:rPr>
                <w:color w:val="000000"/>
                <w:sz w:val="15"/>
                <w:szCs w:val="15"/>
              </w:rPr>
            </w:pPr>
            <w:r w:rsidRPr="002F0F29">
              <w:rPr>
                <w:color w:val="000000"/>
                <w:sz w:val="15"/>
                <w:szCs w:val="15"/>
              </w:rPr>
              <w:t>698,75</w:t>
            </w:r>
          </w:p>
        </w:tc>
        <w:tc>
          <w:tcPr>
            <w:tcW w:w="730" w:type="dxa"/>
            <w:shd w:val="clear" w:color="auto" w:fill="auto"/>
            <w:hideMark/>
          </w:tcPr>
          <w:p w:rsidR="005D331D" w:rsidRPr="002F0F29" w:rsidRDefault="005D331D" w:rsidP="00DF204B">
            <w:pPr>
              <w:widowControl/>
              <w:autoSpaceDE/>
              <w:autoSpaceDN/>
              <w:adjustRightInd/>
              <w:jc w:val="center"/>
              <w:rPr>
                <w:color w:val="000000"/>
                <w:sz w:val="15"/>
                <w:szCs w:val="15"/>
              </w:rPr>
            </w:pPr>
            <w:r w:rsidRPr="002F0F29">
              <w:rPr>
                <w:color w:val="000000"/>
                <w:sz w:val="15"/>
                <w:szCs w:val="15"/>
              </w:rPr>
              <w:t>724,5</w:t>
            </w:r>
          </w:p>
        </w:tc>
        <w:tc>
          <w:tcPr>
            <w:tcW w:w="731" w:type="dxa"/>
            <w:shd w:val="clear" w:color="000000" w:fill="FFFFFF"/>
            <w:hideMark/>
          </w:tcPr>
          <w:p w:rsidR="005D331D" w:rsidRPr="002F0F29" w:rsidRDefault="005D331D" w:rsidP="00DF204B">
            <w:pPr>
              <w:widowControl/>
              <w:autoSpaceDE/>
              <w:autoSpaceDN/>
              <w:adjustRightInd/>
              <w:jc w:val="center"/>
              <w:rPr>
                <w:color w:val="000000"/>
                <w:sz w:val="15"/>
                <w:szCs w:val="15"/>
              </w:rPr>
            </w:pPr>
            <w:r w:rsidRPr="002F0F29">
              <w:rPr>
                <w:color w:val="000000"/>
                <w:sz w:val="15"/>
                <w:szCs w:val="15"/>
              </w:rPr>
              <w:t>751,5</w:t>
            </w:r>
          </w:p>
        </w:tc>
        <w:tc>
          <w:tcPr>
            <w:tcW w:w="731" w:type="dxa"/>
            <w:shd w:val="clear" w:color="000000" w:fill="FFFFFF"/>
            <w:hideMark/>
          </w:tcPr>
          <w:p w:rsidR="005D331D" w:rsidRPr="002F0F29" w:rsidRDefault="005D331D" w:rsidP="00DF204B">
            <w:pPr>
              <w:widowControl/>
              <w:autoSpaceDE/>
              <w:autoSpaceDN/>
              <w:adjustRightInd/>
              <w:jc w:val="center"/>
              <w:rPr>
                <w:color w:val="000000"/>
                <w:sz w:val="15"/>
                <w:szCs w:val="15"/>
              </w:rPr>
            </w:pPr>
            <w:r w:rsidRPr="002F0F29">
              <w:rPr>
                <w:color w:val="000000"/>
                <w:sz w:val="15"/>
                <w:szCs w:val="15"/>
              </w:rPr>
              <w:t>674,25</w:t>
            </w:r>
          </w:p>
        </w:tc>
        <w:tc>
          <w:tcPr>
            <w:tcW w:w="731" w:type="dxa"/>
            <w:shd w:val="clear" w:color="auto" w:fill="auto"/>
            <w:hideMark/>
          </w:tcPr>
          <w:p w:rsidR="005D331D" w:rsidRPr="002F0F29" w:rsidRDefault="005D331D" w:rsidP="00DF204B">
            <w:pPr>
              <w:widowControl/>
              <w:autoSpaceDE/>
              <w:autoSpaceDN/>
              <w:adjustRightInd/>
              <w:jc w:val="center"/>
              <w:rPr>
                <w:color w:val="000000"/>
                <w:sz w:val="15"/>
                <w:szCs w:val="15"/>
              </w:rPr>
            </w:pPr>
            <w:r w:rsidRPr="002F0F29">
              <w:rPr>
                <w:color w:val="000000"/>
                <w:sz w:val="15"/>
                <w:szCs w:val="15"/>
              </w:rPr>
              <w:t>702</w:t>
            </w:r>
          </w:p>
        </w:tc>
        <w:tc>
          <w:tcPr>
            <w:tcW w:w="732" w:type="dxa"/>
            <w:shd w:val="clear" w:color="000000" w:fill="FFFFFF"/>
            <w:hideMark/>
          </w:tcPr>
          <w:p w:rsidR="005D331D" w:rsidRPr="002F0F29" w:rsidRDefault="005D331D" w:rsidP="00DF204B">
            <w:pPr>
              <w:widowControl/>
              <w:autoSpaceDE/>
              <w:autoSpaceDN/>
              <w:adjustRightInd/>
              <w:jc w:val="center"/>
              <w:rPr>
                <w:color w:val="000000"/>
                <w:sz w:val="15"/>
                <w:szCs w:val="15"/>
              </w:rPr>
            </w:pPr>
            <w:r w:rsidRPr="002F0F29">
              <w:rPr>
                <w:color w:val="000000"/>
                <w:sz w:val="15"/>
                <w:szCs w:val="15"/>
              </w:rPr>
              <w:t>728</w:t>
            </w:r>
          </w:p>
        </w:tc>
        <w:tc>
          <w:tcPr>
            <w:tcW w:w="731" w:type="dxa"/>
            <w:shd w:val="clear" w:color="000000" w:fill="FFFFFF"/>
            <w:hideMark/>
          </w:tcPr>
          <w:p w:rsidR="005D331D" w:rsidRPr="002F0F29" w:rsidRDefault="005D331D" w:rsidP="00DF204B">
            <w:pPr>
              <w:widowControl/>
              <w:autoSpaceDE/>
              <w:autoSpaceDN/>
              <w:adjustRightInd/>
              <w:jc w:val="center"/>
              <w:rPr>
                <w:color w:val="000000"/>
                <w:sz w:val="15"/>
                <w:szCs w:val="15"/>
              </w:rPr>
            </w:pPr>
            <w:r w:rsidRPr="002F0F29">
              <w:rPr>
                <w:color w:val="000000"/>
                <w:sz w:val="15"/>
                <w:szCs w:val="15"/>
              </w:rPr>
              <w:t>407</w:t>
            </w:r>
          </w:p>
        </w:tc>
        <w:tc>
          <w:tcPr>
            <w:tcW w:w="731" w:type="dxa"/>
            <w:shd w:val="clear" w:color="auto" w:fill="auto"/>
            <w:hideMark/>
          </w:tcPr>
          <w:p w:rsidR="005D331D" w:rsidRPr="002F0F29" w:rsidRDefault="005D331D" w:rsidP="00DF204B">
            <w:pPr>
              <w:widowControl/>
              <w:autoSpaceDE/>
              <w:autoSpaceDN/>
              <w:adjustRightInd/>
              <w:jc w:val="center"/>
              <w:rPr>
                <w:color w:val="000000"/>
                <w:sz w:val="15"/>
                <w:szCs w:val="15"/>
              </w:rPr>
            </w:pPr>
            <w:r w:rsidRPr="002F0F29">
              <w:rPr>
                <w:color w:val="000000"/>
                <w:sz w:val="15"/>
                <w:szCs w:val="15"/>
              </w:rPr>
              <w:t>433</w:t>
            </w:r>
          </w:p>
        </w:tc>
        <w:tc>
          <w:tcPr>
            <w:tcW w:w="732" w:type="dxa"/>
            <w:shd w:val="clear" w:color="000000" w:fill="FFFFFF"/>
            <w:hideMark/>
          </w:tcPr>
          <w:p w:rsidR="005D331D" w:rsidRPr="002F0F29" w:rsidRDefault="005D331D" w:rsidP="00DF204B">
            <w:pPr>
              <w:widowControl/>
              <w:autoSpaceDE/>
              <w:autoSpaceDN/>
              <w:adjustRightInd/>
              <w:jc w:val="center"/>
              <w:rPr>
                <w:color w:val="000000"/>
                <w:sz w:val="15"/>
                <w:szCs w:val="15"/>
              </w:rPr>
            </w:pPr>
            <w:r w:rsidRPr="002F0F29">
              <w:rPr>
                <w:color w:val="000000"/>
                <w:sz w:val="15"/>
                <w:szCs w:val="15"/>
              </w:rPr>
              <w:t>472</w:t>
            </w:r>
          </w:p>
        </w:tc>
        <w:tc>
          <w:tcPr>
            <w:tcW w:w="731" w:type="dxa"/>
            <w:shd w:val="clear" w:color="000000" w:fill="FFFFFF"/>
            <w:hideMark/>
          </w:tcPr>
          <w:p w:rsidR="005D331D" w:rsidRPr="002F0F29" w:rsidRDefault="005D331D" w:rsidP="00DF204B">
            <w:pPr>
              <w:widowControl/>
              <w:autoSpaceDE/>
              <w:autoSpaceDN/>
              <w:adjustRightInd/>
              <w:jc w:val="center"/>
              <w:rPr>
                <w:color w:val="000000"/>
                <w:sz w:val="15"/>
                <w:szCs w:val="15"/>
              </w:rPr>
            </w:pPr>
            <w:r w:rsidRPr="002F0F29">
              <w:rPr>
                <w:color w:val="000000"/>
                <w:sz w:val="15"/>
                <w:szCs w:val="15"/>
              </w:rPr>
              <w:t>1,7</w:t>
            </w:r>
          </w:p>
        </w:tc>
        <w:tc>
          <w:tcPr>
            <w:tcW w:w="731" w:type="dxa"/>
            <w:shd w:val="clear" w:color="auto" w:fill="auto"/>
            <w:hideMark/>
          </w:tcPr>
          <w:p w:rsidR="005D331D" w:rsidRPr="002F0F29" w:rsidRDefault="005D331D" w:rsidP="00DF204B">
            <w:pPr>
              <w:widowControl/>
              <w:autoSpaceDE/>
              <w:autoSpaceDN/>
              <w:adjustRightInd/>
              <w:jc w:val="center"/>
              <w:rPr>
                <w:color w:val="000000"/>
                <w:sz w:val="15"/>
                <w:szCs w:val="15"/>
              </w:rPr>
            </w:pPr>
            <w:r w:rsidRPr="002F0F29">
              <w:rPr>
                <w:color w:val="000000"/>
                <w:sz w:val="15"/>
                <w:szCs w:val="15"/>
              </w:rPr>
              <w:t>1,6</w:t>
            </w:r>
          </w:p>
        </w:tc>
        <w:tc>
          <w:tcPr>
            <w:tcW w:w="732" w:type="dxa"/>
            <w:shd w:val="clear" w:color="000000" w:fill="FFFFFF"/>
            <w:hideMark/>
          </w:tcPr>
          <w:p w:rsidR="005D331D" w:rsidRPr="002F0F29" w:rsidRDefault="005D331D" w:rsidP="00DF204B">
            <w:pPr>
              <w:widowControl/>
              <w:autoSpaceDE/>
              <w:autoSpaceDN/>
              <w:adjustRightInd/>
              <w:jc w:val="center"/>
              <w:rPr>
                <w:color w:val="000000"/>
                <w:sz w:val="15"/>
                <w:szCs w:val="15"/>
              </w:rPr>
            </w:pPr>
            <w:r w:rsidRPr="002F0F29">
              <w:rPr>
                <w:color w:val="000000"/>
                <w:sz w:val="15"/>
                <w:szCs w:val="15"/>
              </w:rPr>
              <w:t>1,6</w:t>
            </w:r>
          </w:p>
        </w:tc>
        <w:tc>
          <w:tcPr>
            <w:tcW w:w="731" w:type="dxa"/>
            <w:shd w:val="clear" w:color="000000" w:fill="FFFFFF"/>
            <w:hideMark/>
          </w:tcPr>
          <w:p w:rsidR="005D331D" w:rsidRPr="002F0F29" w:rsidRDefault="005D331D" w:rsidP="00DF204B">
            <w:pPr>
              <w:widowControl/>
              <w:autoSpaceDE/>
              <w:autoSpaceDN/>
              <w:adjustRightInd/>
              <w:jc w:val="center"/>
              <w:rPr>
                <w:color w:val="000000"/>
                <w:sz w:val="15"/>
                <w:szCs w:val="15"/>
              </w:rPr>
            </w:pPr>
            <w:r w:rsidRPr="002F0F29">
              <w:rPr>
                <w:color w:val="000000"/>
                <w:sz w:val="15"/>
                <w:szCs w:val="15"/>
              </w:rPr>
              <w:t>96,5</w:t>
            </w:r>
          </w:p>
        </w:tc>
        <w:tc>
          <w:tcPr>
            <w:tcW w:w="731" w:type="dxa"/>
            <w:shd w:val="clear" w:color="auto" w:fill="auto"/>
            <w:hideMark/>
          </w:tcPr>
          <w:p w:rsidR="005D331D" w:rsidRPr="002F0F29" w:rsidRDefault="005D331D" w:rsidP="00DF204B">
            <w:pPr>
              <w:widowControl/>
              <w:autoSpaceDE/>
              <w:autoSpaceDN/>
              <w:adjustRightInd/>
              <w:jc w:val="center"/>
              <w:rPr>
                <w:color w:val="000000"/>
                <w:sz w:val="15"/>
                <w:szCs w:val="15"/>
              </w:rPr>
            </w:pPr>
            <w:r w:rsidRPr="002F0F29">
              <w:rPr>
                <w:color w:val="000000"/>
                <w:sz w:val="15"/>
                <w:szCs w:val="15"/>
              </w:rPr>
              <w:t>96,9</w:t>
            </w:r>
          </w:p>
        </w:tc>
        <w:tc>
          <w:tcPr>
            <w:tcW w:w="732" w:type="dxa"/>
            <w:shd w:val="clear" w:color="000000" w:fill="FFFFFF"/>
            <w:hideMark/>
          </w:tcPr>
          <w:p w:rsidR="005D331D" w:rsidRPr="002F0F29" w:rsidRDefault="005D331D" w:rsidP="00DF204B">
            <w:pPr>
              <w:widowControl/>
              <w:autoSpaceDE/>
              <w:autoSpaceDN/>
              <w:adjustRightInd/>
              <w:jc w:val="center"/>
              <w:rPr>
                <w:color w:val="000000"/>
                <w:sz w:val="15"/>
                <w:szCs w:val="15"/>
              </w:rPr>
            </w:pPr>
            <w:r w:rsidRPr="002F0F29">
              <w:rPr>
                <w:color w:val="000000"/>
                <w:sz w:val="15"/>
                <w:szCs w:val="15"/>
              </w:rPr>
              <w:t>96,9</w:t>
            </w:r>
          </w:p>
        </w:tc>
        <w:tc>
          <w:tcPr>
            <w:tcW w:w="769" w:type="dxa"/>
            <w:shd w:val="clear" w:color="000000" w:fill="FFFFFF"/>
            <w:hideMark/>
          </w:tcPr>
          <w:p w:rsidR="005D331D" w:rsidRPr="002F0F29" w:rsidRDefault="005D331D" w:rsidP="00DF204B">
            <w:pPr>
              <w:widowControl/>
              <w:autoSpaceDE/>
              <w:autoSpaceDN/>
              <w:adjustRightInd/>
              <w:jc w:val="center"/>
              <w:rPr>
                <w:color w:val="000000"/>
                <w:sz w:val="15"/>
                <w:szCs w:val="15"/>
              </w:rPr>
            </w:pPr>
            <w:r w:rsidRPr="002F0F29">
              <w:rPr>
                <w:color w:val="000000"/>
                <w:sz w:val="15"/>
                <w:szCs w:val="15"/>
              </w:rPr>
              <w:t>58,2</w:t>
            </w:r>
          </w:p>
        </w:tc>
        <w:tc>
          <w:tcPr>
            <w:tcW w:w="694" w:type="dxa"/>
            <w:shd w:val="clear" w:color="auto" w:fill="auto"/>
            <w:hideMark/>
          </w:tcPr>
          <w:p w:rsidR="005D331D" w:rsidRPr="002F0F29" w:rsidRDefault="005D331D" w:rsidP="00DF204B">
            <w:pPr>
              <w:widowControl/>
              <w:autoSpaceDE/>
              <w:autoSpaceDN/>
              <w:adjustRightInd/>
              <w:jc w:val="center"/>
              <w:rPr>
                <w:color w:val="000000"/>
                <w:sz w:val="15"/>
                <w:szCs w:val="15"/>
              </w:rPr>
            </w:pPr>
            <w:r w:rsidRPr="002F0F29">
              <w:rPr>
                <w:color w:val="000000"/>
                <w:sz w:val="15"/>
                <w:szCs w:val="15"/>
              </w:rPr>
              <w:t>59,8</w:t>
            </w:r>
          </w:p>
        </w:tc>
        <w:tc>
          <w:tcPr>
            <w:tcW w:w="738" w:type="dxa"/>
            <w:shd w:val="clear" w:color="auto" w:fill="auto"/>
            <w:hideMark/>
          </w:tcPr>
          <w:p w:rsidR="005D331D" w:rsidRPr="002F0F29" w:rsidRDefault="005D331D" w:rsidP="00DF204B">
            <w:pPr>
              <w:widowControl/>
              <w:autoSpaceDE/>
              <w:autoSpaceDN/>
              <w:adjustRightInd/>
              <w:jc w:val="center"/>
              <w:rPr>
                <w:color w:val="000000"/>
                <w:sz w:val="15"/>
                <w:szCs w:val="15"/>
              </w:rPr>
            </w:pPr>
            <w:r w:rsidRPr="002F0F29">
              <w:rPr>
                <w:color w:val="000000"/>
                <w:sz w:val="15"/>
                <w:szCs w:val="15"/>
              </w:rPr>
              <w:t>62,8</w:t>
            </w:r>
          </w:p>
        </w:tc>
      </w:tr>
      <w:tr w:rsidR="005D331D" w:rsidRPr="002F0F29" w:rsidTr="00DF204B">
        <w:trPr>
          <w:gridAfter w:val="1"/>
          <w:wAfter w:w="11" w:type="dxa"/>
          <w:trHeight w:val="25"/>
        </w:trPr>
        <w:tc>
          <w:tcPr>
            <w:tcW w:w="2745" w:type="dxa"/>
            <w:shd w:val="clear" w:color="auto" w:fill="auto"/>
            <w:hideMark/>
          </w:tcPr>
          <w:p w:rsidR="005D331D" w:rsidRPr="002F0F29" w:rsidRDefault="005D331D" w:rsidP="00DF204B">
            <w:pPr>
              <w:widowControl/>
              <w:autoSpaceDE/>
              <w:autoSpaceDN/>
              <w:adjustRightInd/>
              <w:rPr>
                <w:color w:val="000000"/>
                <w:sz w:val="15"/>
                <w:szCs w:val="15"/>
              </w:rPr>
            </w:pPr>
            <w:r w:rsidRPr="002F0F29">
              <w:rPr>
                <w:color w:val="000000"/>
                <w:sz w:val="15"/>
                <w:szCs w:val="15"/>
              </w:rPr>
              <w:t>Эндоскописты</w:t>
            </w:r>
          </w:p>
        </w:tc>
        <w:tc>
          <w:tcPr>
            <w:tcW w:w="730" w:type="dxa"/>
            <w:shd w:val="clear" w:color="000000" w:fill="FFFFFF"/>
            <w:hideMark/>
          </w:tcPr>
          <w:p w:rsidR="005D331D" w:rsidRPr="002F0F29" w:rsidRDefault="005D331D" w:rsidP="00DF204B">
            <w:pPr>
              <w:widowControl/>
              <w:autoSpaceDE/>
              <w:autoSpaceDN/>
              <w:adjustRightInd/>
              <w:jc w:val="center"/>
              <w:rPr>
                <w:color w:val="000000"/>
                <w:sz w:val="15"/>
                <w:szCs w:val="15"/>
              </w:rPr>
            </w:pPr>
            <w:r w:rsidRPr="002F0F29">
              <w:rPr>
                <w:color w:val="000000"/>
                <w:sz w:val="15"/>
                <w:szCs w:val="15"/>
              </w:rPr>
              <w:t>234,25</w:t>
            </w:r>
          </w:p>
        </w:tc>
        <w:tc>
          <w:tcPr>
            <w:tcW w:w="730" w:type="dxa"/>
            <w:shd w:val="clear" w:color="auto" w:fill="auto"/>
            <w:hideMark/>
          </w:tcPr>
          <w:p w:rsidR="005D331D" w:rsidRPr="002F0F29" w:rsidRDefault="005D331D" w:rsidP="00DF204B">
            <w:pPr>
              <w:widowControl/>
              <w:autoSpaceDE/>
              <w:autoSpaceDN/>
              <w:adjustRightInd/>
              <w:jc w:val="center"/>
              <w:rPr>
                <w:color w:val="000000"/>
                <w:sz w:val="15"/>
                <w:szCs w:val="15"/>
              </w:rPr>
            </w:pPr>
            <w:r w:rsidRPr="002F0F29">
              <w:rPr>
                <w:color w:val="000000"/>
                <w:sz w:val="15"/>
                <w:szCs w:val="15"/>
              </w:rPr>
              <w:t>236</w:t>
            </w:r>
          </w:p>
        </w:tc>
        <w:tc>
          <w:tcPr>
            <w:tcW w:w="731" w:type="dxa"/>
            <w:shd w:val="clear" w:color="000000" w:fill="FFFFFF"/>
            <w:hideMark/>
          </w:tcPr>
          <w:p w:rsidR="005D331D" w:rsidRPr="002F0F29" w:rsidRDefault="005D331D" w:rsidP="00DF204B">
            <w:pPr>
              <w:widowControl/>
              <w:autoSpaceDE/>
              <w:autoSpaceDN/>
              <w:adjustRightInd/>
              <w:jc w:val="center"/>
              <w:rPr>
                <w:color w:val="000000"/>
                <w:sz w:val="15"/>
                <w:szCs w:val="15"/>
              </w:rPr>
            </w:pPr>
            <w:r w:rsidRPr="002F0F29">
              <w:rPr>
                <w:color w:val="000000"/>
                <w:sz w:val="15"/>
                <w:szCs w:val="15"/>
              </w:rPr>
              <w:t>237,75</w:t>
            </w:r>
          </w:p>
        </w:tc>
        <w:tc>
          <w:tcPr>
            <w:tcW w:w="731" w:type="dxa"/>
            <w:shd w:val="clear" w:color="000000" w:fill="FFFFFF"/>
            <w:hideMark/>
          </w:tcPr>
          <w:p w:rsidR="005D331D" w:rsidRPr="002F0F29" w:rsidRDefault="005D331D" w:rsidP="00DF204B">
            <w:pPr>
              <w:widowControl/>
              <w:autoSpaceDE/>
              <w:autoSpaceDN/>
              <w:adjustRightInd/>
              <w:jc w:val="center"/>
              <w:rPr>
                <w:color w:val="000000"/>
                <w:sz w:val="15"/>
                <w:szCs w:val="15"/>
              </w:rPr>
            </w:pPr>
            <w:r w:rsidRPr="002F0F29">
              <w:rPr>
                <w:color w:val="000000"/>
                <w:sz w:val="15"/>
                <w:szCs w:val="15"/>
              </w:rPr>
              <w:t>226,25</w:t>
            </w:r>
          </w:p>
        </w:tc>
        <w:tc>
          <w:tcPr>
            <w:tcW w:w="731" w:type="dxa"/>
            <w:shd w:val="clear" w:color="auto" w:fill="auto"/>
            <w:hideMark/>
          </w:tcPr>
          <w:p w:rsidR="005D331D" w:rsidRPr="002F0F29" w:rsidRDefault="005D331D" w:rsidP="00DF204B">
            <w:pPr>
              <w:widowControl/>
              <w:autoSpaceDE/>
              <w:autoSpaceDN/>
              <w:adjustRightInd/>
              <w:jc w:val="center"/>
              <w:rPr>
                <w:color w:val="000000"/>
                <w:sz w:val="15"/>
                <w:szCs w:val="15"/>
              </w:rPr>
            </w:pPr>
            <w:r w:rsidRPr="002F0F29">
              <w:rPr>
                <w:color w:val="000000"/>
                <w:sz w:val="15"/>
                <w:szCs w:val="15"/>
              </w:rPr>
              <w:t>222,75</w:t>
            </w:r>
          </w:p>
        </w:tc>
        <w:tc>
          <w:tcPr>
            <w:tcW w:w="732" w:type="dxa"/>
            <w:shd w:val="clear" w:color="000000" w:fill="FFFFFF"/>
            <w:hideMark/>
          </w:tcPr>
          <w:p w:rsidR="005D331D" w:rsidRPr="002F0F29" w:rsidRDefault="005D331D" w:rsidP="00DF204B">
            <w:pPr>
              <w:widowControl/>
              <w:autoSpaceDE/>
              <w:autoSpaceDN/>
              <w:adjustRightInd/>
              <w:jc w:val="center"/>
              <w:rPr>
                <w:color w:val="000000"/>
                <w:sz w:val="15"/>
                <w:szCs w:val="15"/>
              </w:rPr>
            </w:pPr>
            <w:r w:rsidRPr="002F0F29">
              <w:rPr>
                <w:color w:val="000000"/>
                <w:sz w:val="15"/>
                <w:szCs w:val="15"/>
              </w:rPr>
              <w:t>228,75</w:t>
            </w:r>
          </w:p>
        </w:tc>
        <w:tc>
          <w:tcPr>
            <w:tcW w:w="731" w:type="dxa"/>
            <w:shd w:val="clear" w:color="000000" w:fill="FFFFFF"/>
            <w:hideMark/>
          </w:tcPr>
          <w:p w:rsidR="005D331D" w:rsidRPr="002F0F29" w:rsidRDefault="005D331D" w:rsidP="00DF204B">
            <w:pPr>
              <w:widowControl/>
              <w:autoSpaceDE/>
              <w:autoSpaceDN/>
              <w:adjustRightInd/>
              <w:jc w:val="center"/>
              <w:rPr>
                <w:color w:val="000000"/>
                <w:sz w:val="15"/>
                <w:szCs w:val="15"/>
              </w:rPr>
            </w:pPr>
            <w:r w:rsidRPr="002F0F29">
              <w:rPr>
                <w:color w:val="000000"/>
                <w:sz w:val="15"/>
                <w:szCs w:val="15"/>
              </w:rPr>
              <w:t>119</w:t>
            </w:r>
          </w:p>
        </w:tc>
        <w:tc>
          <w:tcPr>
            <w:tcW w:w="731" w:type="dxa"/>
            <w:shd w:val="clear" w:color="auto" w:fill="auto"/>
            <w:hideMark/>
          </w:tcPr>
          <w:p w:rsidR="005D331D" w:rsidRPr="002F0F29" w:rsidRDefault="005D331D" w:rsidP="00DF204B">
            <w:pPr>
              <w:widowControl/>
              <w:autoSpaceDE/>
              <w:autoSpaceDN/>
              <w:adjustRightInd/>
              <w:jc w:val="center"/>
              <w:rPr>
                <w:color w:val="000000"/>
                <w:sz w:val="15"/>
                <w:szCs w:val="15"/>
              </w:rPr>
            </w:pPr>
            <w:r w:rsidRPr="002F0F29">
              <w:rPr>
                <w:color w:val="000000"/>
                <w:sz w:val="15"/>
                <w:szCs w:val="15"/>
              </w:rPr>
              <w:t>125</w:t>
            </w:r>
          </w:p>
        </w:tc>
        <w:tc>
          <w:tcPr>
            <w:tcW w:w="732" w:type="dxa"/>
            <w:shd w:val="clear" w:color="000000" w:fill="FFFFFF"/>
            <w:hideMark/>
          </w:tcPr>
          <w:p w:rsidR="005D331D" w:rsidRPr="002F0F29" w:rsidRDefault="005D331D" w:rsidP="00DF204B">
            <w:pPr>
              <w:widowControl/>
              <w:autoSpaceDE/>
              <w:autoSpaceDN/>
              <w:adjustRightInd/>
              <w:jc w:val="center"/>
              <w:rPr>
                <w:color w:val="000000"/>
                <w:sz w:val="15"/>
                <w:szCs w:val="15"/>
              </w:rPr>
            </w:pPr>
            <w:r w:rsidRPr="002F0F29">
              <w:rPr>
                <w:color w:val="000000"/>
                <w:sz w:val="15"/>
                <w:szCs w:val="15"/>
              </w:rPr>
              <w:t>132</w:t>
            </w:r>
          </w:p>
        </w:tc>
        <w:tc>
          <w:tcPr>
            <w:tcW w:w="731" w:type="dxa"/>
            <w:shd w:val="clear" w:color="000000" w:fill="FFFFFF"/>
            <w:hideMark/>
          </w:tcPr>
          <w:p w:rsidR="005D331D" w:rsidRPr="002F0F29" w:rsidRDefault="005D331D" w:rsidP="00DF204B">
            <w:pPr>
              <w:widowControl/>
              <w:autoSpaceDE/>
              <w:autoSpaceDN/>
              <w:adjustRightInd/>
              <w:jc w:val="center"/>
              <w:rPr>
                <w:color w:val="000000"/>
                <w:sz w:val="15"/>
                <w:szCs w:val="15"/>
              </w:rPr>
            </w:pPr>
            <w:r w:rsidRPr="002F0F29">
              <w:rPr>
                <w:color w:val="000000"/>
                <w:sz w:val="15"/>
                <w:szCs w:val="15"/>
              </w:rPr>
              <w:t>1,9</w:t>
            </w:r>
          </w:p>
        </w:tc>
        <w:tc>
          <w:tcPr>
            <w:tcW w:w="731" w:type="dxa"/>
            <w:shd w:val="clear" w:color="auto" w:fill="auto"/>
            <w:hideMark/>
          </w:tcPr>
          <w:p w:rsidR="005D331D" w:rsidRPr="002F0F29" w:rsidRDefault="005D331D" w:rsidP="00DF204B">
            <w:pPr>
              <w:widowControl/>
              <w:autoSpaceDE/>
              <w:autoSpaceDN/>
              <w:adjustRightInd/>
              <w:jc w:val="center"/>
              <w:rPr>
                <w:color w:val="000000"/>
                <w:sz w:val="15"/>
                <w:szCs w:val="15"/>
              </w:rPr>
            </w:pPr>
            <w:r w:rsidRPr="002F0F29">
              <w:rPr>
                <w:color w:val="000000"/>
                <w:sz w:val="15"/>
                <w:szCs w:val="15"/>
              </w:rPr>
              <w:t>1,8</w:t>
            </w:r>
          </w:p>
        </w:tc>
        <w:tc>
          <w:tcPr>
            <w:tcW w:w="732" w:type="dxa"/>
            <w:shd w:val="clear" w:color="000000" w:fill="FFFFFF"/>
            <w:hideMark/>
          </w:tcPr>
          <w:p w:rsidR="005D331D" w:rsidRPr="002F0F29" w:rsidRDefault="005D331D" w:rsidP="00DF204B">
            <w:pPr>
              <w:widowControl/>
              <w:autoSpaceDE/>
              <w:autoSpaceDN/>
              <w:adjustRightInd/>
              <w:jc w:val="center"/>
              <w:rPr>
                <w:color w:val="000000"/>
                <w:sz w:val="15"/>
                <w:szCs w:val="15"/>
              </w:rPr>
            </w:pPr>
            <w:r w:rsidRPr="002F0F29">
              <w:rPr>
                <w:color w:val="000000"/>
                <w:sz w:val="15"/>
                <w:szCs w:val="15"/>
              </w:rPr>
              <w:t>1,8</w:t>
            </w:r>
          </w:p>
        </w:tc>
        <w:tc>
          <w:tcPr>
            <w:tcW w:w="731" w:type="dxa"/>
            <w:shd w:val="clear" w:color="000000" w:fill="FFFFFF"/>
            <w:hideMark/>
          </w:tcPr>
          <w:p w:rsidR="005D331D" w:rsidRPr="002F0F29" w:rsidRDefault="005D331D" w:rsidP="00DF204B">
            <w:pPr>
              <w:widowControl/>
              <w:autoSpaceDE/>
              <w:autoSpaceDN/>
              <w:adjustRightInd/>
              <w:jc w:val="center"/>
              <w:rPr>
                <w:color w:val="000000"/>
                <w:sz w:val="15"/>
                <w:szCs w:val="15"/>
              </w:rPr>
            </w:pPr>
            <w:r w:rsidRPr="002F0F29">
              <w:rPr>
                <w:color w:val="000000"/>
                <w:sz w:val="15"/>
                <w:szCs w:val="15"/>
              </w:rPr>
              <w:t>96,6</w:t>
            </w:r>
          </w:p>
        </w:tc>
        <w:tc>
          <w:tcPr>
            <w:tcW w:w="731" w:type="dxa"/>
            <w:shd w:val="clear" w:color="auto" w:fill="auto"/>
            <w:hideMark/>
          </w:tcPr>
          <w:p w:rsidR="005D331D" w:rsidRPr="002F0F29" w:rsidRDefault="005D331D" w:rsidP="00DF204B">
            <w:pPr>
              <w:widowControl/>
              <w:autoSpaceDE/>
              <w:autoSpaceDN/>
              <w:adjustRightInd/>
              <w:jc w:val="center"/>
              <w:rPr>
                <w:color w:val="000000"/>
                <w:sz w:val="15"/>
                <w:szCs w:val="15"/>
              </w:rPr>
            </w:pPr>
            <w:r w:rsidRPr="002F0F29">
              <w:rPr>
                <w:color w:val="000000"/>
                <w:sz w:val="15"/>
                <w:szCs w:val="15"/>
              </w:rPr>
              <w:t>94,4</w:t>
            </w:r>
          </w:p>
        </w:tc>
        <w:tc>
          <w:tcPr>
            <w:tcW w:w="732" w:type="dxa"/>
            <w:shd w:val="clear" w:color="000000" w:fill="FFFFFF"/>
            <w:hideMark/>
          </w:tcPr>
          <w:p w:rsidR="005D331D" w:rsidRPr="002F0F29" w:rsidRDefault="005D331D" w:rsidP="00DF204B">
            <w:pPr>
              <w:widowControl/>
              <w:autoSpaceDE/>
              <w:autoSpaceDN/>
              <w:adjustRightInd/>
              <w:jc w:val="center"/>
              <w:rPr>
                <w:color w:val="000000"/>
                <w:sz w:val="15"/>
                <w:szCs w:val="15"/>
              </w:rPr>
            </w:pPr>
            <w:r w:rsidRPr="002F0F29">
              <w:rPr>
                <w:color w:val="000000"/>
                <w:sz w:val="15"/>
                <w:szCs w:val="15"/>
              </w:rPr>
              <w:t>96,2</w:t>
            </w:r>
          </w:p>
        </w:tc>
        <w:tc>
          <w:tcPr>
            <w:tcW w:w="769" w:type="dxa"/>
            <w:shd w:val="clear" w:color="000000" w:fill="FFFFFF"/>
            <w:hideMark/>
          </w:tcPr>
          <w:p w:rsidR="005D331D" w:rsidRPr="002F0F29" w:rsidRDefault="005D331D" w:rsidP="00DF204B">
            <w:pPr>
              <w:widowControl/>
              <w:autoSpaceDE/>
              <w:autoSpaceDN/>
              <w:adjustRightInd/>
              <w:jc w:val="center"/>
              <w:rPr>
                <w:color w:val="000000"/>
                <w:sz w:val="15"/>
                <w:szCs w:val="15"/>
              </w:rPr>
            </w:pPr>
            <w:r w:rsidRPr="002F0F29">
              <w:rPr>
                <w:color w:val="000000"/>
                <w:sz w:val="15"/>
                <w:szCs w:val="15"/>
              </w:rPr>
              <w:t>50,8</w:t>
            </w:r>
          </w:p>
        </w:tc>
        <w:tc>
          <w:tcPr>
            <w:tcW w:w="694" w:type="dxa"/>
            <w:shd w:val="clear" w:color="auto" w:fill="auto"/>
            <w:hideMark/>
          </w:tcPr>
          <w:p w:rsidR="005D331D" w:rsidRPr="002F0F29" w:rsidRDefault="005D331D" w:rsidP="00DF204B">
            <w:pPr>
              <w:widowControl/>
              <w:autoSpaceDE/>
              <w:autoSpaceDN/>
              <w:adjustRightInd/>
              <w:jc w:val="center"/>
              <w:rPr>
                <w:color w:val="000000"/>
                <w:sz w:val="15"/>
                <w:szCs w:val="15"/>
              </w:rPr>
            </w:pPr>
            <w:r w:rsidRPr="002F0F29">
              <w:rPr>
                <w:color w:val="000000"/>
                <w:sz w:val="15"/>
                <w:szCs w:val="15"/>
              </w:rPr>
              <w:t>53</w:t>
            </w:r>
          </w:p>
        </w:tc>
        <w:tc>
          <w:tcPr>
            <w:tcW w:w="738" w:type="dxa"/>
            <w:shd w:val="clear" w:color="auto" w:fill="auto"/>
            <w:hideMark/>
          </w:tcPr>
          <w:p w:rsidR="005D331D" w:rsidRPr="002F0F29" w:rsidRDefault="005D331D" w:rsidP="00DF204B">
            <w:pPr>
              <w:widowControl/>
              <w:autoSpaceDE/>
              <w:autoSpaceDN/>
              <w:adjustRightInd/>
              <w:jc w:val="center"/>
              <w:rPr>
                <w:color w:val="000000"/>
                <w:sz w:val="15"/>
                <w:szCs w:val="15"/>
              </w:rPr>
            </w:pPr>
            <w:r w:rsidRPr="002F0F29">
              <w:rPr>
                <w:color w:val="000000"/>
                <w:sz w:val="15"/>
                <w:szCs w:val="15"/>
              </w:rPr>
              <w:t>55,5</w:t>
            </w:r>
          </w:p>
        </w:tc>
      </w:tr>
    </w:tbl>
    <w:p w:rsidR="005D331D" w:rsidRPr="002F0F29" w:rsidRDefault="005D331D" w:rsidP="00E33D6D">
      <w:pPr>
        <w:ind w:left="7799" w:firstLine="709"/>
        <w:jc w:val="right"/>
        <w:rPr>
          <w:rFonts w:eastAsia="Arial"/>
          <w:sz w:val="28"/>
          <w:szCs w:val="28"/>
        </w:rPr>
      </w:pPr>
    </w:p>
    <w:p w:rsidR="005D331D" w:rsidRPr="002F0F29" w:rsidRDefault="005D331D" w:rsidP="00E33D6D">
      <w:pPr>
        <w:ind w:left="7799" w:firstLine="709"/>
        <w:jc w:val="right"/>
        <w:rPr>
          <w:rFonts w:eastAsia="Arial"/>
          <w:sz w:val="28"/>
          <w:szCs w:val="28"/>
        </w:rPr>
      </w:pPr>
    </w:p>
    <w:p w:rsidR="00E33D6D" w:rsidRPr="002F0F29" w:rsidRDefault="00C87EFE" w:rsidP="00E33D6D">
      <w:pPr>
        <w:spacing w:line="228" w:lineRule="auto"/>
        <w:ind w:left="10636" w:firstLine="708"/>
        <w:jc w:val="right"/>
        <w:rPr>
          <w:sz w:val="28"/>
          <w:szCs w:val="28"/>
        </w:rPr>
      </w:pPr>
      <w:r w:rsidRPr="002F0F29">
        <w:rPr>
          <w:sz w:val="28"/>
          <w:szCs w:val="28"/>
        </w:rPr>
        <w:t xml:space="preserve">Таблица </w:t>
      </w:r>
      <w:r w:rsidR="004530A0" w:rsidRPr="002F0F29">
        <w:rPr>
          <w:sz w:val="28"/>
          <w:szCs w:val="28"/>
        </w:rPr>
        <w:t>22.4</w:t>
      </w:r>
    </w:p>
    <w:p w:rsidR="00E83E4E" w:rsidRPr="002F0F29" w:rsidRDefault="00E83E4E" w:rsidP="00E33D6D">
      <w:pPr>
        <w:spacing w:line="228" w:lineRule="auto"/>
        <w:ind w:left="10636" w:firstLine="708"/>
        <w:jc w:val="right"/>
        <w:rPr>
          <w:sz w:val="28"/>
          <w:szCs w:val="28"/>
        </w:rPr>
      </w:pPr>
    </w:p>
    <w:p w:rsidR="00C36491" w:rsidRPr="002F0F29" w:rsidRDefault="00C36491" w:rsidP="00C36491">
      <w:pPr>
        <w:jc w:val="center"/>
        <w:rPr>
          <w:sz w:val="28"/>
          <w:szCs w:val="28"/>
        </w:rPr>
      </w:pPr>
      <w:r w:rsidRPr="002F0F29">
        <w:rPr>
          <w:sz w:val="28"/>
          <w:szCs w:val="28"/>
        </w:rPr>
        <w:t>Укомплектованность кадрами медицинских организаций, оказывающих медицинскую помощь в амбулаторных условиях</w:t>
      </w:r>
    </w:p>
    <w:p w:rsidR="004530A0" w:rsidRPr="002F0F29" w:rsidRDefault="004530A0" w:rsidP="00E33D6D">
      <w:pPr>
        <w:spacing w:line="228" w:lineRule="auto"/>
        <w:ind w:left="10636" w:firstLine="708"/>
        <w:jc w:val="right"/>
        <w:rPr>
          <w:sz w:val="28"/>
          <w:szCs w:val="28"/>
        </w:rPr>
      </w:pPr>
    </w:p>
    <w:tbl>
      <w:tblPr>
        <w:tblStyle w:val="af1"/>
        <w:tblW w:w="16018" w:type="dxa"/>
        <w:tblInd w:w="-714" w:type="dxa"/>
        <w:tblLayout w:type="fixed"/>
        <w:tblCellMar>
          <w:top w:w="28" w:type="dxa"/>
          <w:bottom w:w="28" w:type="dxa"/>
        </w:tblCellMar>
        <w:tblLook w:val="04A0" w:firstRow="1" w:lastRow="0" w:firstColumn="1" w:lastColumn="0" w:noHBand="0" w:noVBand="1"/>
      </w:tblPr>
      <w:tblGrid>
        <w:gridCol w:w="2552"/>
        <w:gridCol w:w="767"/>
        <w:gridCol w:w="766"/>
        <w:gridCol w:w="709"/>
        <w:gridCol w:w="766"/>
        <w:gridCol w:w="766"/>
        <w:gridCol w:w="709"/>
        <w:gridCol w:w="749"/>
        <w:gridCol w:w="749"/>
        <w:gridCol w:w="680"/>
        <w:gridCol w:w="749"/>
        <w:gridCol w:w="749"/>
        <w:gridCol w:w="703"/>
        <w:gridCol w:w="760"/>
        <w:gridCol w:w="749"/>
        <w:gridCol w:w="754"/>
        <w:gridCol w:w="761"/>
        <w:gridCol w:w="753"/>
        <w:gridCol w:w="827"/>
      </w:tblGrid>
      <w:tr w:rsidR="00C87EFE" w:rsidRPr="002F0F29" w:rsidTr="001C12C9">
        <w:trPr>
          <w:trHeight w:val="20"/>
        </w:trPr>
        <w:tc>
          <w:tcPr>
            <w:tcW w:w="16018" w:type="dxa"/>
            <w:gridSpan w:val="19"/>
          </w:tcPr>
          <w:p w:rsidR="00C87EFE" w:rsidRPr="002F0F29" w:rsidRDefault="00C87EFE" w:rsidP="001C12C9">
            <w:pPr>
              <w:pStyle w:val="affffff4"/>
              <w:widowControl w:val="0"/>
              <w:spacing w:before="0" w:after="0"/>
              <w:contextualSpacing w:val="0"/>
              <w:rPr>
                <w:sz w:val="15"/>
                <w:szCs w:val="15"/>
                <w:lang w:eastAsia="ru-RU"/>
              </w:rPr>
            </w:pPr>
            <w:r w:rsidRPr="002F0F29">
              <w:rPr>
                <w:sz w:val="15"/>
                <w:szCs w:val="15"/>
                <w:lang w:eastAsia="ru-RU"/>
              </w:rPr>
              <w:t xml:space="preserve">Кадровые ресурсы медицинских организаций, подведомственных Министерству здравоохранения </w:t>
            </w:r>
            <w:r w:rsidR="00797C8E" w:rsidRPr="002F0F29">
              <w:rPr>
                <w:sz w:val="15"/>
                <w:szCs w:val="15"/>
                <w:lang w:eastAsia="ru-RU"/>
              </w:rPr>
              <w:t>Республики Татарстан</w:t>
            </w:r>
          </w:p>
        </w:tc>
      </w:tr>
      <w:tr w:rsidR="00C87EFE" w:rsidRPr="002F0F29" w:rsidTr="001C12C9">
        <w:trPr>
          <w:trHeight w:val="20"/>
        </w:trPr>
        <w:tc>
          <w:tcPr>
            <w:tcW w:w="16018" w:type="dxa"/>
            <w:gridSpan w:val="19"/>
          </w:tcPr>
          <w:p w:rsidR="00C87EFE" w:rsidRPr="002F0F29" w:rsidRDefault="00C87EFE" w:rsidP="001C12C9">
            <w:pPr>
              <w:pStyle w:val="affffff4"/>
              <w:widowControl w:val="0"/>
              <w:spacing w:before="0" w:after="0"/>
              <w:contextualSpacing w:val="0"/>
              <w:rPr>
                <w:sz w:val="15"/>
                <w:szCs w:val="15"/>
                <w:lang w:eastAsia="ru-RU"/>
              </w:rPr>
            </w:pPr>
            <w:r w:rsidRPr="002F0F29">
              <w:rPr>
                <w:sz w:val="15"/>
                <w:szCs w:val="15"/>
                <w:lang w:eastAsia="ru-RU"/>
              </w:rPr>
              <w:t>Свод по всем медицинским организациям</w:t>
            </w:r>
            <w:r w:rsidR="00227C4C" w:rsidRPr="002F0F29">
              <w:rPr>
                <w:sz w:val="15"/>
                <w:szCs w:val="15"/>
                <w:lang w:eastAsia="ru-RU"/>
              </w:rPr>
              <w:t>,</w:t>
            </w:r>
            <w:r w:rsidRPr="002F0F29">
              <w:rPr>
                <w:sz w:val="15"/>
                <w:szCs w:val="15"/>
                <w:lang w:eastAsia="ru-RU"/>
              </w:rPr>
              <w:t xml:space="preserve"> оказывающи</w:t>
            </w:r>
            <w:r w:rsidR="00227C4C" w:rsidRPr="002F0F29">
              <w:rPr>
                <w:sz w:val="15"/>
                <w:szCs w:val="15"/>
                <w:lang w:eastAsia="ru-RU"/>
              </w:rPr>
              <w:t>м</w:t>
            </w:r>
            <w:r w:rsidRPr="002F0F29">
              <w:rPr>
                <w:sz w:val="15"/>
                <w:szCs w:val="15"/>
                <w:lang w:eastAsia="ru-RU"/>
              </w:rPr>
              <w:t xml:space="preserve"> медицинскую помощь в амбулаторных условиях</w:t>
            </w:r>
          </w:p>
        </w:tc>
      </w:tr>
      <w:tr w:rsidR="00C87EFE" w:rsidRPr="002F0F29" w:rsidTr="001C12C9">
        <w:trPr>
          <w:trHeight w:val="20"/>
        </w:trPr>
        <w:tc>
          <w:tcPr>
            <w:tcW w:w="2552" w:type="dxa"/>
            <w:vMerge w:val="restart"/>
          </w:tcPr>
          <w:p w:rsidR="00C87EFE" w:rsidRPr="002F0F29" w:rsidRDefault="00227C4C" w:rsidP="001C12C9">
            <w:pPr>
              <w:pStyle w:val="affffff4"/>
              <w:widowControl w:val="0"/>
              <w:spacing w:before="0" w:after="0"/>
              <w:contextualSpacing w:val="0"/>
              <w:rPr>
                <w:sz w:val="15"/>
                <w:szCs w:val="15"/>
              </w:rPr>
            </w:pPr>
            <w:r w:rsidRPr="002F0F29">
              <w:rPr>
                <w:sz w:val="15"/>
                <w:szCs w:val="15"/>
              </w:rPr>
              <w:t>н</w:t>
            </w:r>
            <w:r w:rsidR="00C87EFE" w:rsidRPr="002F0F29">
              <w:rPr>
                <w:sz w:val="15"/>
                <w:szCs w:val="15"/>
              </w:rPr>
              <w:t>аименование должности</w:t>
            </w:r>
          </w:p>
        </w:tc>
        <w:tc>
          <w:tcPr>
            <w:tcW w:w="2242" w:type="dxa"/>
            <w:gridSpan w:val="3"/>
          </w:tcPr>
          <w:p w:rsidR="00C87EFE" w:rsidRPr="002F0F29" w:rsidRDefault="00227C4C" w:rsidP="001C12C9">
            <w:pPr>
              <w:pStyle w:val="affffff4"/>
              <w:widowControl w:val="0"/>
              <w:spacing w:before="0" w:after="0"/>
              <w:contextualSpacing w:val="0"/>
              <w:rPr>
                <w:sz w:val="15"/>
                <w:szCs w:val="15"/>
              </w:rPr>
            </w:pPr>
            <w:r w:rsidRPr="002F0F29">
              <w:rPr>
                <w:sz w:val="15"/>
                <w:szCs w:val="15"/>
                <w:lang w:eastAsia="ru-RU"/>
              </w:rPr>
              <w:t>ч</w:t>
            </w:r>
            <w:r w:rsidR="00C87EFE" w:rsidRPr="002F0F29">
              <w:rPr>
                <w:sz w:val="15"/>
                <w:szCs w:val="15"/>
                <w:lang w:eastAsia="ru-RU"/>
              </w:rPr>
              <w:t>исло штатных должностей</w:t>
            </w:r>
          </w:p>
        </w:tc>
        <w:tc>
          <w:tcPr>
            <w:tcW w:w="2241" w:type="dxa"/>
            <w:gridSpan w:val="3"/>
          </w:tcPr>
          <w:p w:rsidR="00C87EFE" w:rsidRPr="002F0F29" w:rsidRDefault="00227C4C" w:rsidP="001C12C9">
            <w:pPr>
              <w:pStyle w:val="affffff4"/>
              <w:widowControl w:val="0"/>
              <w:spacing w:before="0" w:after="0"/>
              <w:contextualSpacing w:val="0"/>
              <w:rPr>
                <w:sz w:val="15"/>
                <w:szCs w:val="15"/>
              </w:rPr>
            </w:pPr>
            <w:r w:rsidRPr="002F0F29">
              <w:rPr>
                <w:sz w:val="15"/>
                <w:szCs w:val="15"/>
                <w:lang w:eastAsia="ru-RU"/>
              </w:rPr>
              <w:t>ч</w:t>
            </w:r>
            <w:r w:rsidR="00C87EFE" w:rsidRPr="002F0F29">
              <w:rPr>
                <w:sz w:val="15"/>
                <w:szCs w:val="15"/>
                <w:lang w:eastAsia="ru-RU"/>
              </w:rPr>
              <w:t>исло занятых должностей</w:t>
            </w:r>
          </w:p>
        </w:tc>
        <w:tc>
          <w:tcPr>
            <w:tcW w:w="2178" w:type="dxa"/>
            <w:gridSpan w:val="3"/>
          </w:tcPr>
          <w:p w:rsidR="00C87EFE" w:rsidRPr="002F0F29" w:rsidRDefault="00227C4C" w:rsidP="001C12C9">
            <w:pPr>
              <w:pStyle w:val="affffff4"/>
              <w:widowControl w:val="0"/>
              <w:spacing w:before="0" w:after="0"/>
              <w:contextualSpacing w:val="0"/>
              <w:rPr>
                <w:sz w:val="15"/>
                <w:szCs w:val="15"/>
              </w:rPr>
            </w:pPr>
            <w:r w:rsidRPr="002F0F29">
              <w:rPr>
                <w:sz w:val="15"/>
                <w:szCs w:val="15"/>
                <w:lang w:eastAsia="ru-RU"/>
              </w:rPr>
              <w:t>ч</w:t>
            </w:r>
            <w:r w:rsidR="00C87EFE" w:rsidRPr="002F0F29">
              <w:rPr>
                <w:sz w:val="15"/>
                <w:szCs w:val="15"/>
                <w:lang w:eastAsia="ru-RU"/>
              </w:rPr>
              <w:t>исло физических лиц</w:t>
            </w:r>
          </w:p>
        </w:tc>
        <w:tc>
          <w:tcPr>
            <w:tcW w:w="2201" w:type="dxa"/>
            <w:gridSpan w:val="3"/>
          </w:tcPr>
          <w:p w:rsidR="00C87EFE" w:rsidRPr="002F0F29" w:rsidRDefault="00C87EFE" w:rsidP="001C12C9">
            <w:pPr>
              <w:pStyle w:val="affffff4"/>
              <w:widowControl w:val="0"/>
              <w:spacing w:before="0" w:after="0"/>
              <w:contextualSpacing w:val="0"/>
              <w:rPr>
                <w:sz w:val="15"/>
                <w:szCs w:val="15"/>
              </w:rPr>
            </w:pPr>
            <w:r w:rsidRPr="002F0F29">
              <w:rPr>
                <w:sz w:val="15"/>
                <w:szCs w:val="15"/>
                <w:lang w:eastAsia="ru-RU"/>
              </w:rPr>
              <w:t>коэффициент совместительства</w:t>
            </w:r>
          </w:p>
        </w:tc>
        <w:tc>
          <w:tcPr>
            <w:tcW w:w="2263" w:type="dxa"/>
            <w:gridSpan w:val="3"/>
          </w:tcPr>
          <w:p w:rsidR="00C87EFE" w:rsidRPr="002F0F29" w:rsidRDefault="00227C4C" w:rsidP="001C12C9">
            <w:pPr>
              <w:pStyle w:val="affffff4"/>
              <w:widowControl w:val="0"/>
              <w:spacing w:before="0" w:after="0"/>
              <w:contextualSpacing w:val="0"/>
              <w:rPr>
                <w:sz w:val="15"/>
                <w:szCs w:val="15"/>
              </w:rPr>
            </w:pPr>
            <w:r w:rsidRPr="002F0F29">
              <w:rPr>
                <w:sz w:val="15"/>
                <w:szCs w:val="15"/>
                <w:lang w:eastAsia="ru-RU"/>
              </w:rPr>
              <w:t>у</w:t>
            </w:r>
            <w:r w:rsidR="00C87EFE" w:rsidRPr="002F0F29">
              <w:rPr>
                <w:sz w:val="15"/>
                <w:szCs w:val="15"/>
                <w:lang w:eastAsia="ru-RU"/>
              </w:rPr>
              <w:t>комплектованность штатными единицами</w:t>
            </w:r>
          </w:p>
        </w:tc>
        <w:tc>
          <w:tcPr>
            <w:tcW w:w="2341" w:type="dxa"/>
            <w:gridSpan w:val="3"/>
          </w:tcPr>
          <w:p w:rsidR="00C87EFE" w:rsidRPr="002F0F29" w:rsidRDefault="00227C4C" w:rsidP="001C12C9">
            <w:pPr>
              <w:pStyle w:val="affffff4"/>
              <w:widowControl w:val="0"/>
              <w:spacing w:before="0" w:after="0"/>
              <w:contextualSpacing w:val="0"/>
              <w:rPr>
                <w:sz w:val="15"/>
                <w:szCs w:val="15"/>
              </w:rPr>
            </w:pPr>
            <w:r w:rsidRPr="002F0F29">
              <w:rPr>
                <w:sz w:val="15"/>
                <w:szCs w:val="15"/>
                <w:lang w:eastAsia="ru-RU"/>
              </w:rPr>
              <w:t>у</w:t>
            </w:r>
            <w:r w:rsidR="00C87EFE" w:rsidRPr="002F0F29">
              <w:rPr>
                <w:sz w:val="15"/>
                <w:szCs w:val="15"/>
                <w:lang w:eastAsia="ru-RU"/>
              </w:rPr>
              <w:t>комплектованность физическими лицами</w:t>
            </w:r>
          </w:p>
        </w:tc>
      </w:tr>
      <w:tr w:rsidR="008B56D0" w:rsidRPr="002F0F29" w:rsidTr="001C12C9">
        <w:trPr>
          <w:trHeight w:val="20"/>
        </w:trPr>
        <w:tc>
          <w:tcPr>
            <w:tcW w:w="2552" w:type="dxa"/>
            <w:vMerge/>
          </w:tcPr>
          <w:p w:rsidR="008B56D0" w:rsidRPr="002F0F29" w:rsidRDefault="008B56D0" w:rsidP="001C12C9">
            <w:pPr>
              <w:jc w:val="center"/>
              <w:rPr>
                <w:color w:val="000000"/>
                <w:sz w:val="15"/>
                <w:szCs w:val="15"/>
              </w:rPr>
            </w:pPr>
          </w:p>
        </w:tc>
        <w:tc>
          <w:tcPr>
            <w:tcW w:w="767" w:type="dxa"/>
          </w:tcPr>
          <w:p w:rsidR="008B56D0" w:rsidRPr="002F0F29" w:rsidRDefault="008B56D0" w:rsidP="001C12C9">
            <w:pPr>
              <w:jc w:val="center"/>
              <w:rPr>
                <w:sz w:val="15"/>
                <w:szCs w:val="15"/>
              </w:rPr>
            </w:pPr>
            <w:r w:rsidRPr="002F0F29">
              <w:rPr>
                <w:sz w:val="15"/>
                <w:szCs w:val="15"/>
              </w:rPr>
              <w:t>2023 г.</w:t>
            </w:r>
          </w:p>
        </w:tc>
        <w:tc>
          <w:tcPr>
            <w:tcW w:w="766" w:type="dxa"/>
          </w:tcPr>
          <w:p w:rsidR="008B56D0" w:rsidRPr="002F0F29" w:rsidRDefault="008B56D0" w:rsidP="001C12C9">
            <w:pPr>
              <w:jc w:val="center"/>
              <w:rPr>
                <w:sz w:val="15"/>
                <w:szCs w:val="15"/>
              </w:rPr>
            </w:pPr>
            <w:r w:rsidRPr="002F0F29">
              <w:rPr>
                <w:sz w:val="15"/>
                <w:szCs w:val="15"/>
              </w:rPr>
              <w:t>2024 г.</w:t>
            </w:r>
          </w:p>
        </w:tc>
        <w:tc>
          <w:tcPr>
            <w:tcW w:w="709" w:type="dxa"/>
          </w:tcPr>
          <w:p w:rsidR="008B56D0" w:rsidRPr="002F0F29" w:rsidRDefault="008B56D0" w:rsidP="001C12C9">
            <w:pPr>
              <w:jc w:val="center"/>
              <w:rPr>
                <w:sz w:val="15"/>
                <w:szCs w:val="15"/>
              </w:rPr>
            </w:pPr>
            <w:r w:rsidRPr="002F0F29">
              <w:rPr>
                <w:sz w:val="15"/>
                <w:szCs w:val="15"/>
              </w:rPr>
              <w:t>2025 г.</w:t>
            </w:r>
          </w:p>
        </w:tc>
        <w:tc>
          <w:tcPr>
            <w:tcW w:w="766" w:type="dxa"/>
          </w:tcPr>
          <w:p w:rsidR="008B56D0" w:rsidRPr="002F0F29" w:rsidRDefault="008B56D0" w:rsidP="001C12C9">
            <w:pPr>
              <w:jc w:val="center"/>
              <w:rPr>
                <w:sz w:val="15"/>
                <w:szCs w:val="15"/>
              </w:rPr>
            </w:pPr>
            <w:r w:rsidRPr="002F0F29">
              <w:rPr>
                <w:sz w:val="15"/>
                <w:szCs w:val="15"/>
              </w:rPr>
              <w:t>2023 г.</w:t>
            </w:r>
          </w:p>
        </w:tc>
        <w:tc>
          <w:tcPr>
            <w:tcW w:w="766" w:type="dxa"/>
          </w:tcPr>
          <w:p w:rsidR="008B56D0" w:rsidRPr="002F0F29" w:rsidRDefault="008B56D0" w:rsidP="001C12C9">
            <w:pPr>
              <w:jc w:val="center"/>
              <w:rPr>
                <w:sz w:val="15"/>
                <w:szCs w:val="15"/>
              </w:rPr>
            </w:pPr>
            <w:r w:rsidRPr="002F0F29">
              <w:rPr>
                <w:sz w:val="15"/>
                <w:szCs w:val="15"/>
              </w:rPr>
              <w:t>2024 г.</w:t>
            </w:r>
          </w:p>
        </w:tc>
        <w:tc>
          <w:tcPr>
            <w:tcW w:w="709" w:type="dxa"/>
          </w:tcPr>
          <w:p w:rsidR="008B56D0" w:rsidRPr="002F0F29" w:rsidRDefault="008B56D0" w:rsidP="001C12C9">
            <w:pPr>
              <w:jc w:val="center"/>
              <w:rPr>
                <w:sz w:val="15"/>
                <w:szCs w:val="15"/>
              </w:rPr>
            </w:pPr>
            <w:r w:rsidRPr="002F0F29">
              <w:rPr>
                <w:sz w:val="15"/>
                <w:szCs w:val="15"/>
              </w:rPr>
              <w:t>2025 г.</w:t>
            </w:r>
          </w:p>
        </w:tc>
        <w:tc>
          <w:tcPr>
            <w:tcW w:w="749" w:type="dxa"/>
          </w:tcPr>
          <w:p w:rsidR="008B56D0" w:rsidRPr="002F0F29" w:rsidRDefault="008B56D0" w:rsidP="001C12C9">
            <w:pPr>
              <w:jc w:val="center"/>
              <w:rPr>
                <w:sz w:val="15"/>
                <w:szCs w:val="15"/>
              </w:rPr>
            </w:pPr>
            <w:r w:rsidRPr="002F0F29">
              <w:rPr>
                <w:sz w:val="15"/>
                <w:szCs w:val="15"/>
              </w:rPr>
              <w:t>2023 г.</w:t>
            </w:r>
          </w:p>
        </w:tc>
        <w:tc>
          <w:tcPr>
            <w:tcW w:w="749" w:type="dxa"/>
          </w:tcPr>
          <w:p w:rsidR="008B56D0" w:rsidRPr="002F0F29" w:rsidRDefault="008B56D0" w:rsidP="001C12C9">
            <w:pPr>
              <w:jc w:val="center"/>
              <w:rPr>
                <w:sz w:val="15"/>
                <w:szCs w:val="15"/>
              </w:rPr>
            </w:pPr>
            <w:r w:rsidRPr="002F0F29">
              <w:rPr>
                <w:sz w:val="15"/>
                <w:szCs w:val="15"/>
              </w:rPr>
              <w:t>2024 г.</w:t>
            </w:r>
          </w:p>
        </w:tc>
        <w:tc>
          <w:tcPr>
            <w:tcW w:w="680" w:type="dxa"/>
          </w:tcPr>
          <w:p w:rsidR="008B56D0" w:rsidRPr="002F0F29" w:rsidRDefault="008B56D0" w:rsidP="001C12C9">
            <w:pPr>
              <w:jc w:val="center"/>
              <w:rPr>
                <w:sz w:val="15"/>
                <w:szCs w:val="15"/>
              </w:rPr>
            </w:pPr>
            <w:r w:rsidRPr="002F0F29">
              <w:rPr>
                <w:sz w:val="15"/>
                <w:szCs w:val="15"/>
              </w:rPr>
              <w:t>2025 г.</w:t>
            </w:r>
          </w:p>
        </w:tc>
        <w:tc>
          <w:tcPr>
            <w:tcW w:w="749" w:type="dxa"/>
          </w:tcPr>
          <w:p w:rsidR="008B56D0" w:rsidRPr="002F0F29" w:rsidRDefault="008B56D0" w:rsidP="001C12C9">
            <w:pPr>
              <w:jc w:val="center"/>
              <w:rPr>
                <w:sz w:val="15"/>
                <w:szCs w:val="15"/>
              </w:rPr>
            </w:pPr>
            <w:r w:rsidRPr="002F0F29">
              <w:rPr>
                <w:sz w:val="15"/>
                <w:szCs w:val="15"/>
              </w:rPr>
              <w:t>2023 г.</w:t>
            </w:r>
          </w:p>
        </w:tc>
        <w:tc>
          <w:tcPr>
            <w:tcW w:w="749" w:type="dxa"/>
          </w:tcPr>
          <w:p w:rsidR="008B56D0" w:rsidRPr="002F0F29" w:rsidRDefault="008B56D0" w:rsidP="001C12C9">
            <w:pPr>
              <w:jc w:val="center"/>
              <w:rPr>
                <w:sz w:val="15"/>
                <w:szCs w:val="15"/>
              </w:rPr>
            </w:pPr>
            <w:r w:rsidRPr="002F0F29">
              <w:rPr>
                <w:sz w:val="15"/>
                <w:szCs w:val="15"/>
              </w:rPr>
              <w:t>2024 г.</w:t>
            </w:r>
          </w:p>
        </w:tc>
        <w:tc>
          <w:tcPr>
            <w:tcW w:w="703" w:type="dxa"/>
          </w:tcPr>
          <w:p w:rsidR="008B56D0" w:rsidRPr="002F0F29" w:rsidRDefault="008B56D0" w:rsidP="001C12C9">
            <w:pPr>
              <w:jc w:val="center"/>
              <w:rPr>
                <w:sz w:val="15"/>
                <w:szCs w:val="15"/>
              </w:rPr>
            </w:pPr>
            <w:r w:rsidRPr="002F0F29">
              <w:rPr>
                <w:sz w:val="15"/>
                <w:szCs w:val="15"/>
              </w:rPr>
              <w:t>2025 г.</w:t>
            </w:r>
          </w:p>
        </w:tc>
        <w:tc>
          <w:tcPr>
            <w:tcW w:w="760" w:type="dxa"/>
          </w:tcPr>
          <w:p w:rsidR="008B56D0" w:rsidRPr="002F0F29" w:rsidRDefault="008B56D0" w:rsidP="001C12C9">
            <w:pPr>
              <w:jc w:val="center"/>
              <w:rPr>
                <w:sz w:val="15"/>
                <w:szCs w:val="15"/>
              </w:rPr>
            </w:pPr>
            <w:r w:rsidRPr="002F0F29">
              <w:rPr>
                <w:sz w:val="15"/>
                <w:szCs w:val="15"/>
              </w:rPr>
              <w:t>2023 г.</w:t>
            </w:r>
          </w:p>
        </w:tc>
        <w:tc>
          <w:tcPr>
            <w:tcW w:w="749" w:type="dxa"/>
          </w:tcPr>
          <w:p w:rsidR="008B56D0" w:rsidRPr="002F0F29" w:rsidRDefault="008B56D0" w:rsidP="001C12C9">
            <w:pPr>
              <w:jc w:val="center"/>
              <w:rPr>
                <w:sz w:val="15"/>
                <w:szCs w:val="15"/>
              </w:rPr>
            </w:pPr>
            <w:r w:rsidRPr="002F0F29">
              <w:rPr>
                <w:sz w:val="15"/>
                <w:szCs w:val="15"/>
              </w:rPr>
              <w:t>2024 г.</w:t>
            </w:r>
          </w:p>
        </w:tc>
        <w:tc>
          <w:tcPr>
            <w:tcW w:w="754" w:type="dxa"/>
          </w:tcPr>
          <w:p w:rsidR="008B56D0" w:rsidRPr="002F0F29" w:rsidRDefault="008B56D0" w:rsidP="001C12C9">
            <w:pPr>
              <w:jc w:val="center"/>
              <w:rPr>
                <w:sz w:val="15"/>
                <w:szCs w:val="15"/>
              </w:rPr>
            </w:pPr>
            <w:r w:rsidRPr="002F0F29">
              <w:rPr>
                <w:sz w:val="15"/>
                <w:szCs w:val="15"/>
              </w:rPr>
              <w:t>2025 г.</w:t>
            </w:r>
          </w:p>
        </w:tc>
        <w:tc>
          <w:tcPr>
            <w:tcW w:w="761" w:type="dxa"/>
          </w:tcPr>
          <w:p w:rsidR="008B56D0" w:rsidRPr="002F0F29" w:rsidRDefault="008B56D0" w:rsidP="001C12C9">
            <w:pPr>
              <w:jc w:val="center"/>
              <w:rPr>
                <w:sz w:val="15"/>
                <w:szCs w:val="15"/>
              </w:rPr>
            </w:pPr>
            <w:r w:rsidRPr="002F0F29">
              <w:rPr>
                <w:sz w:val="15"/>
                <w:szCs w:val="15"/>
              </w:rPr>
              <w:t>2023 г.</w:t>
            </w:r>
          </w:p>
        </w:tc>
        <w:tc>
          <w:tcPr>
            <w:tcW w:w="753" w:type="dxa"/>
          </w:tcPr>
          <w:p w:rsidR="008B56D0" w:rsidRPr="002F0F29" w:rsidRDefault="008B56D0" w:rsidP="001C12C9">
            <w:pPr>
              <w:jc w:val="center"/>
              <w:rPr>
                <w:sz w:val="15"/>
                <w:szCs w:val="15"/>
              </w:rPr>
            </w:pPr>
            <w:r w:rsidRPr="002F0F29">
              <w:rPr>
                <w:sz w:val="15"/>
                <w:szCs w:val="15"/>
              </w:rPr>
              <w:t>2024 г.</w:t>
            </w:r>
          </w:p>
        </w:tc>
        <w:tc>
          <w:tcPr>
            <w:tcW w:w="827" w:type="dxa"/>
          </w:tcPr>
          <w:p w:rsidR="008B56D0" w:rsidRPr="002F0F29" w:rsidRDefault="008B56D0" w:rsidP="001C12C9">
            <w:pPr>
              <w:jc w:val="center"/>
              <w:rPr>
                <w:sz w:val="15"/>
                <w:szCs w:val="15"/>
              </w:rPr>
            </w:pPr>
            <w:r w:rsidRPr="002F0F29">
              <w:rPr>
                <w:sz w:val="15"/>
                <w:szCs w:val="15"/>
              </w:rPr>
              <w:t>2025 г.</w:t>
            </w:r>
          </w:p>
        </w:tc>
      </w:tr>
      <w:tr w:rsidR="008B56D0" w:rsidRPr="002F0F29" w:rsidTr="00DF204B">
        <w:trPr>
          <w:trHeight w:val="20"/>
        </w:trPr>
        <w:tc>
          <w:tcPr>
            <w:tcW w:w="2552" w:type="dxa"/>
          </w:tcPr>
          <w:p w:rsidR="008B56D0" w:rsidRPr="002F0F29" w:rsidRDefault="008B56D0" w:rsidP="00DF204B">
            <w:pPr>
              <w:rPr>
                <w:sz w:val="15"/>
                <w:szCs w:val="15"/>
              </w:rPr>
            </w:pPr>
            <w:r w:rsidRPr="002F0F29">
              <w:rPr>
                <w:color w:val="000000"/>
                <w:sz w:val="15"/>
                <w:szCs w:val="15"/>
              </w:rPr>
              <w:t>Онкологи</w:t>
            </w:r>
          </w:p>
        </w:tc>
        <w:tc>
          <w:tcPr>
            <w:tcW w:w="767" w:type="dxa"/>
            <w:shd w:val="clear" w:color="000000" w:fill="FFFFFF"/>
          </w:tcPr>
          <w:p w:rsidR="008B56D0" w:rsidRPr="002F0F29" w:rsidRDefault="008B56D0" w:rsidP="00DF204B">
            <w:pPr>
              <w:jc w:val="center"/>
              <w:rPr>
                <w:sz w:val="15"/>
                <w:szCs w:val="15"/>
              </w:rPr>
            </w:pPr>
            <w:r w:rsidRPr="002F0F29">
              <w:rPr>
                <w:color w:val="000000"/>
                <w:sz w:val="15"/>
                <w:szCs w:val="15"/>
              </w:rPr>
              <w:t>227,75</w:t>
            </w:r>
          </w:p>
        </w:tc>
        <w:tc>
          <w:tcPr>
            <w:tcW w:w="766" w:type="dxa"/>
            <w:shd w:val="clear" w:color="000000" w:fill="FFFFFF"/>
          </w:tcPr>
          <w:p w:rsidR="008B56D0" w:rsidRPr="002F0F29" w:rsidRDefault="008B56D0" w:rsidP="00DF204B">
            <w:pPr>
              <w:ind w:left="-57" w:right="-57"/>
              <w:jc w:val="center"/>
              <w:rPr>
                <w:color w:val="000000"/>
                <w:sz w:val="15"/>
                <w:szCs w:val="15"/>
              </w:rPr>
            </w:pPr>
            <w:r w:rsidRPr="002F0F29">
              <w:rPr>
                <w:color w:val="000000"/>
                <w:sz w:val="15"/>
                <w:szCs w:val="15"/>
              </w:rPr>
              <w:t>245,5</w:t>
            </w:r>
          </w:p>
        </w:tc>
        <w:tc>
          <w:tcPr>
            <w:tcW w:w="709" w:type="dxa"/>
          </w:tcPr>
          <w:p w:rsidR="008B56D0" w:rsidRPr="002F0F29" w:rsidRDefault="000467BC" w:rsidP="00DF204B">
            <w:pPr>
              <w:ind w:left="-57" w:right="-57"/>
              <w:jc w:val="center"/>
              <w:rPr>
                <w:color w:val="000000"/>
                <w:sz w:val="15"/>
                <w:szCs w:val="15"/>
              </w:rPr>
            </w:pPr>
            <w:r w:rsidRPr="002F0F29">
              <w:rPr>
                <w:color w:val="000000"/>
                <w:sz w:val="15"/>
                <w:szCs w:val="15"/>
              </w:rPr>
              <w:t>258,25</w:t>
            </w:r>
          </w:p>
        </w:tc>
        <w:tc>
          <w:tcPr>
            <w:tcW w:w="766" w:type="dxa"/>
            <w:shd w:val="clear" w:color="000000" w:fill="FFFFFF"/>
          </w:tcPr>
          <w:p w:rsidR="008B56D0" w:rsidRPr="002F0F29" w:rsidRDefault="008B56D0" w:rsidP="00DF204B">
            <w:pPr>
              <w:jc w:val="center"/>
              <w:rPr>
                <w:sz w:val="15"/>
                <w:szCs w:val="15"/>
              </w:rPr>
            </w:pPr>
            <w:r w:rsidRPr="002F0F29">
              <w:rPr>
                <w:color w:val="000000"/>
                <w:sz w:val="15"/>
                <w:szCs w:val="15"/>
              </w:rPr>
              <w:t>220,75</w:t>
            </w:r>
          </w:p>
        </w:tc>
        <w:tc>
          <w:tcPr>
            <w:tcW w:w="766" w:type="dxa"/>
            <w:shd w:val="clear" w:color="000000" w:fill="FFFFFF"/>
          </w:tcPr>
          <w:p w:rsidR="008B56D0" w:rsidRPr="002F0F29" w:rsidRDefault="008B56D0" w:rsidP="00DF204B">
            <w:pPr>
              <w:ind w:left="-57" w:right="-57"/>
              <w:jc w:val="center"/>
              <w:rPr>
                <w:color w:val="000000"/>
                <w:sz w:val="15"/>
                <w:szCs w:val="15"/>
              </w:rPr>
            </w:pPr>
            <w:r w:rsidRPr="002F0F29">
              <w:rPr>
                <w:color w:val="000000"/>
                <w:sz w:val="15"/>
                <w:szCs w:val="15"/>
              </w:rPr>
              <w:t>240,25</w:t>
            </w:r>
          </w:p>
        </w:tc>
        <w:tc>
          <w:tcPr>
            <w:tcW w:w="709" w:type="dxa"/>
          </w:tcPr>
          <w:p w:rsidR="008B56D0" w:rsidRPr="002F0F29" w:rsidRDefault="000467BC" w:rsidP="00DF204B">
            <w:pPr>
              <w:ind w:left="-57" w:right="-57"/>
              <w:jc w:val="center"/>
              <w:rPr>
                <w:color w:val="000000"/>
                <w:sz w:val="15"/>
                <w:szCs w:val="15"/>
              </w:rPr>
            </w:pPr>
            <w:r w:rsidRPr="002F0F29">
              <w:rPr>
                <w:color w:val="000000"/>
                <w:sz w:val="15"/>
                <w:szCs w:val="15"/>
              </w:rPr>
              <w:t>248,50</w:t>
            </w:r>
          </w:p>
        </w:tc>
        <w:tc>
          <w:tcPr>
            <w:tcW w:w="749" w:type="dxa"/>
            <w:shd w:val="clear" w:color="000000" w:fill="FFFFFF"/>
          </w:tcPr>
          <w:p w:rsidR="008B56D0" w:rsidRPr="002F0F29" w:rsidRDefault="008B56D0" w:rsidP="00DF204B">
            <w:pPr>
              <w:jc w:val="center"/>
              <w:rPr>
                <w:sz w:val="15"/>
                <w:szCs w:val="15"/>
              </w:rPr>
            </w:pPr>
            <w:r w:rsidRPr="002F0F29">
              <w:rPr>
                <w:color w:val="000000"/>
                <w:sz w:val="15"/>
                <w:szCs w:val="15"/>
              </w:rPr>
              <w:t>138</w:t>
            </w:r>
          </w:p>
        </w:tc>
        <w:tc>
          <w:tcPr>
            <w:tcW w:w="749" w:type="dxa"/>
            <w:shd w:val="clear" w:color="000000" w:fill="FFFFFF"/>
          </w:tcPr>
          <w:p w:rsidR="008B56D0" w:rsidRPr="002F0F29" w:rsidRDefault="008B56D0" w:rsidP="00DF204B">
            <w:pPr>
              <w:jc w:val="center"/>
              <w:rPr>
                <w:color w:val="000000"/>
                <w:sz w:val="15"/>
                <w:szCs w:val="15"/>
              </w:rPr>
            </w:pPr>
            <w:r w:rsidRPr="002F0F29">
              <w:rPr>
                <w:color w:val="000000"/>
                <w:sz w:val="15"/>
                <w:szCs w:val="15"/>
              </w:rPr>
              <w:t>168</w:t>
            </w:r>
          </w:p>
        </w:tc>
        <w:tc>
          <w:tcPr>
            <w:tcW w:w="680" w:type="dxa"/>
          </w:tcPr>
          <w:p w:rsidR="008B56D0" w:rsidRPr="002F0F29" w:rsidRDefault="000467BC" w:rsidP="00DF204B">
            <w:pPr>
              <w:jc w:val="center"/>
              <w:rPr>
                <w:color w:val="000000"/>
                <w:sz w:val="15"/>
                <w:szCs w:val="15"/>
              </w:rPr>
            </w:pPr>
            <w:r w:rsidRPr="002F0F29">
              <w:rPr>
                <w:color w:val="000000"/>
                <w:sz w:val="15"/>
                <w:szCs w:val="15"/>
              </w:rPr>
              <w:t>181</w:t>
            </w:r>
          </w:p>
        </w:tc>
        <w:tc>
          <w:tcPr>
            <w:tcW w:w="749" w:type="dxa"/>
            <w:shd w:val="clear" w:color="000000" w:fill="FFFFFF"/>
          </w:tcPr>
          <w:p w:rsidR="008B56D0" w:rsidRPr="002F0F29" w:rsidRDefault="008B56D0" w:rsidP="00DF204B">
            <w:pPr>
              <w:jc w:val="center"/>
              <w:rPr>
                <w:sz w:val="15"/>
                <w:szCs w:val="15"/>
              </w:rPr>
            </w:pPr>
            <w:r w:rsidRPr="002F0F29">
              <w:rPr>
                <w:color w:val="000000"/>
                <w:sz w:val="15"/>
                <w:szCs w:val="15"/>
              </w:rPr>
              <w:t>1,6</w:t>
            </w:r>
          </w:p>
        </w:tc>
        <w:tc>
          <w:tcPr>
            <w:tcW w:w="749" w:type="dxa"/>
            <w:shd w:val="clear" w:color="000000" w:fill="FFFFFF"/>
          </w:tcPr>
          <w:p w:rsidR="008B56D0" w:rsidRPr="002F0F29" w:rsidRDefault="008B56D0" w:rsidP="00DF204B">
            <w:pPr>
              <w:jc w:val="center"/>
              <w:rPr>
                <w:color w:val="000000"/>
                <w:sz w:val="15"/>
                <w:szCs w:val="15"/>
              </w:rPr>
            </w:pPr>
            <w:r w:rsidRPr="002F0F29">
              <w:rPr>
                <w:color w:val="000000"/>
                <w:sz w:val="15"/>
                <w:szCs w:val="15"/>
              </w:rPr>
              <w:t>1,4</w:t>
            </w:r>
          </w:p>
        </w:tc>
        <w:tc>
          <w:tcPr>
            <w:tcW w:w="703" w:type="dxa"/>
          </w:tcPr>
          <w:p w:rsidR="008B56D0" w:rsidRPr="002F0F29" w:rsidRDefault="000467BC" w:rsidP="00DF204B">
            <w:pPr>
              <w:jc w:val="center"/>
              <w:rPr>
                <w:color w:val="000000"/>
                <w:sz w:val="15"/>
                <w:szCs w:val="15"/>
              </w:rPr>
            </w:pPr>
            <w:r w:rsidRPr="002F0F29">
              <w:rPr>
                <w:color w:val="000000"/>
                <w:sz w:val="15"/>
                <w:szCs w:val="15"/>
              </w:rPr>
              <w:t>1,4</w:t>
            </w:r>
          </w:p>
        </w:tc>
        <w:tc>
          <w:tcPr>
            <w:tcW w:w="760" w:type="dxa"/>
            <w:shd w:val="clear" w:color="000000" w:fill="FFFFFF"/>
          </w:tcPr>
          <w:p w:rsidR="008B56D0" w:rsidRPr="002F0F29" w:rsidRDefault="008B56D0" w:rsidP="00DF204B">
            <w:pPr>
              <w:jc w:val="center"/>
              <w:rPr>
                <w:sz w:val="15"/>
                <w:szCs w:val="15"/>
              </w:rPr>
            </w:pPr>
            <w:r w:rsidRPr="002F0F29">
              <w:rPr>
                <w:color w:val="000000"/>
                <w:sz w:val="15"/>
                <w:szCs w:val="15"/>
              </w:rPr>
              <w:t>96,9</w:t>
            </w:r>
          </w:p>
        </w:tc>
        <w:tc>
          <w:tcPr>
            <w:tcW w:w="749" w:type="dxa"/>
            <w:shd w:val="clear" w:color="000000" w:fill="FFFFFF"/>
          </w:tcPr>
          <w:p w:rsidR="008B56D0" w:rsidRPr="002F0F29" w:rsidRDefault="008B56D0" w:rsidP="00DF204B">
            <w:pPr>
              <w:jc w:val="center"/>
              <w:rPr>
                <w:color w:val="000000"/>
                <w:sz w:val="15"/>
                <w:szCs w:val="15"/>
              </w:rPr>
            </w:pPr>
            <w:r w:rsidRPr="002F0F29">
              <w:rPr>
                <w:color w:val="000000"/>
                <w:sz w:val="15"/>
                <w:szCs w:val="15"/>
              </w:rPr>
              <w:t>89,9</w:t>
            </w:r>
          </w:p>
        </w:tc>
        <w:tc>
          <w:tcPr>
            <w:tcW w:w="754" w:type="dxa"/>
          </w:tcPr>
          <w:p w:rsidR="008B56D0" w:rsidRPr="002F0F29" w:rsidRDefault="00723781" w:rsidP="00DF204B">
            <w:pPr>
              <w:jc w:val="center"/>
              <w:rPr>
                <w:color w:val="000000"/>
                <w:sz w:val="15"/>
                <w:szCs w:val="15"/>
              </w:rPr>
            </w:pPr>
            <w:r w:rsidRPr="002F0F29">
              <w:rPr>
                <w:color w:val="000000"/>
                <w:sz w:val="15"/>
                <w:szCs w:val="15"/>
              </w:rPr>
              <w:t>96,2</w:t>
            </w:r>
          </w:p>
        </w:tc>
        <w:tc>
          <w:tcPr>
            <w:tcW w:w="761" w:type="dxa"/>
            <w:shd w:val="clear" w:color="000000" w:fill="FFFFFF"/>
          </w:tcPr>
          <w:p w:rsidR="008B56D0" w:rsidRPr="002F0F29" w:rsidRDefault="008B56D0" w:rsidP="00DF204B">
            <w:pPr>
              <w:jc w:val="center"/>
              <w:rPr>
                <w:sz w:val="15"/>
                <w:szCs w:val="15"/>
              </w:rPr>
            </w:pPr>
            <w:r w:rsidRPr="002F0F29">
              <w:rPr>
                <w:sz w:val="15"/>
                <w:szCs w:val="15"/>
              </w:rPr>
              <w:t>60,6</w:t>
            </w:r>
          </w:p>
        </w:tc>
        <w:tc>
          <w:tcPr>
            <w:tcW w:w="753" w:type="dxa"/>
            <w:shd w:val="clear" w:color="000000" w:fill="FFFFFF"/>
          </w:tcPr>
          <w:p w:rsidR="008B56D0" w:rsidRPr="002F0F29" w:rsidRDefault="008B56D0" w:rsidP="00DF204B">
            <w:pPr>
              <w:jc w:val="center"/>
              <w:rPr>
                <w:sz w:val="15"/>
                <w:szCs w:val="15"/>
              </w:rPr>
            </w:pPr>
            <w:r w:rsidRPr="002F0F29">
              <w:rPr>
                <w:sz w:val="15"/>
                <w:szCs w:val="15"/>
              </w:rPr>
              <w:t>68,4</w:t>
            </w:r>
          </w:p>
        </w:tc>
        <w:tc>
          <w:tcPr>
            <w:tcW w:w="827" w:type="dxa"/>
          </w:tcPr>
          <w:p w:rsidR="008B56D0" w:rsidRPr="002F0F29" w:rsidRDefault="00723781" w:rsidP="00DF204B">
            <w:pPr>
              <w:jc w:val="center"/>
              <w:rPr>
                <w:sz w:val="15"/>
                <w:szCs w:val="15"/>
              </w:rPr>
            </w:pPr>
            <w:r w:rsidRPr="002F0F29">
              <w:rPr>
                <w:sz w:val="15"/>
                <w:szCs w:val="15"/>
              </w:rPr>
              <w:t>70,1</w:t>
            </w:r>
          </w:p>
        </w:tc>
      </w:tr>
      <w:tr w:rsidR="008B56D0" w:rsidRPr="002F0F29" w:rsidTr="00DF204B">
        <w:trPr>
          <w:trHeight w:val="20"/>
        </w:trPr>
        <w:tc>
          <w:tcPr>
            <w:tcW w:w="2552" w:type="dxa"/>
          </w:tcPr>
          <w:p w:rsidR="008B56D0" w:rsidRPr="002F0F29" w:rsidRDefault="008B56D0" w:rsidP="00DF204B">
            <w:pPr>
              <w:rPr>
                <w:sz w:val="15"/>
                <w:szCs w:val="15"/>
              </w:rPr>
            </w:pPr>
            <w:r w:rsidRPr="002F0F29">
              <w:rPr>
                <w:color w:val="000000"/>
                <w:sz w:val="15"/>
                <w:szCs w:val="15"/>
              </w:rPr>
              <w:t>Рентгенологи</w:t>
            </w:r>
          </w:p>
        </w:tc>
        <w:tc>
          <w:tcPr>
            <w:tcW w:w="767" w:type="dxa"/>
            <w:shd w:val="clear" w:color="000000" w:fill="FFFFFF"/>
          </w:tcPr>
          <w:p w:rsidR="008B56D0" w:rsidRPr="002F0F29" w:rsidRDefault="008B56D0" w:rsidP="00DF204B">
            <w:pPr>
              <w:jc w:val="center"/>
              <w:rPr>
                <w:sz w:val="15"/>
                <w:szCs w:val="15"/>
              </w:rPr>
            </w:pPr>
            <w:r w:rsidRPr="002F0F29">
              <w:rPr>
                <w:color w:val="000000"/>
                <w:sz w:val="15"/>
                <w:szCs w:val="15"/>
              </w:rPr>
              <w:t>274,5</w:t>
            </w:r>
          </w:p>
        </w:tc>
        <w:tc>
          <w:tcPr>
            <w:tcW w:w="766" w:type="dxa"/>
            <w:shd w:val="clear" w:color="000000" w:fill="FFFFFF"/>
          </w:tcPr>
          <w:p w:rsidR="008B56D0" w:rsidRPr="002F0F29" w:rsidRDefault="008B56D0" w:rsidP="00DF204B">
            <w:pPr>
              <w:ind w:left="-57" w:right="-57"/>
              <w:jc w:val="center"/>
              <w:rPr>
                <w:color w:val="000000"/>
                <w:sz w:val="15"/>
                <w:szCs w:val="15"/>
              </w:rPr>
            </w:pPr>
            <w:r w:rsidRPr="002F0F29">
              <w:rPr>
                <w:color w:val="000000"/>
                <w:sz w:val="15"/>
                <w:szCs w:val="15"/>
              </w:rPr>
              <w:t>305,25</w:t>
            </w:r>
          </w:p>
        </w:tc>
        <w:tc>
          <w:tcPr>
            <w:tcW w:w="709" w:type="dxa"/>
          </w:tcPr>
          <w:p w:rsidR="008B56D0" w:rsidRPr="002F0F29" w:rsidRDefault="000467BC" w:rsidP="00DF204B">
            <w:pPr>
              <w:ind w:left="-57" w:right="-57"/>
              <w:jc w:val="center"/>
              <w:rPr>
                <w:color w:val="000000"/>
                <w:sz w:val="15"/>
                <w:szCs w:val="15"/>
              </w:rPr>
            </w:pPr>
            <w:r w:rsidRPr="002F0F29">
              <w:rPr>
                <w:color w:val="000000"/>
                <w:sz w:val="15"/>
                <w:szCs w:val="15"/>
              </w:rPr>
              <w:t>305,25</w:t>
            </w:r>
          </w:p>
        </w:tc>
        <w:tc>
          <w:tcPr>
            <w:tcW w:w="766" w:type="dxa"/>
            <w:shd w:val="clear" w:color="000000" w:fill="FFFFFF"/>
          </w:tcPr>
          <w:p w:rsidR="008B56D0" w:rsidRPr="002F0F29" w:rsidRDefault="008B56D0" w:rsidP="00DF204B">
            <w:pPr>
              <w:jc w:val="center"/>
              <w:rPr>
                <w:sz w:val="15"/>
                <w:szCs w:val="15"/>
              </w:rPr>
            </w:pPr>
            <w:r w:rsidRPr="002F0F29">
              <w:rPr>
                <w:color w:val="000000"/>
                <w:sz w:val="15"/>
                <w:szCs w:val="15"/>
              </w:rPr>
              <w:t>271,5</w:t>
            </w:r>
          </w:p>
        </w:tc>
        <w:tc>
          <w:tcPr>
            <w:tcW w:w="766" w:type="dxa"/>
            <w:shd w:val="clear" w:color="000000" w:fill="FFFFFF"/>
          </w:tcPr>
          <w:p w:rsidR="008B56D0" w:rsidRPr="002F0F29" w:rsidRDefault="008B56D0" w:rsidP="00DF204B">
            <w:pPr>
              <w:ind w:left="-57" w:right="-57"/>
              <w:jc w:val="center"/>
              <w:rPr>
                <w:color w:val="000000"/>
                <w:sz w:val="15"/>
                <w:szCs w:val="15"/>
              </w:rPr>
            </w:pPr>
            <w:r w:rsidRPr="002F0F29">
              <w:rPr>
                <w:color w:val="000000"/>
                <w:sz w:val="15"/>
                <w:szCs w:val="15"/>
              </w:rPr>
              <w:t>292,5</w:t>
            </w:r>
          </w:p>
        </w:tc>
        <w:tc>
          <w:tcPr>
            <w:tcW w:w="709" w:type="dxa"/>
          </w:tcPr>
          <w:p w:rsidR="008B56D0" w:rsidRPr="002F0F29" w:rsidRDefault="000467BC" w:rsidP="00DF204B">
            <w:pPr>
              <w:ind w:left="-57" w:right="-57"/>
              <w:jc w:val="center"/>
              <w:rPr>
                <w:color w:val="000000"/>
                <w:sz w:val="15"/>
                <w:szCs w:val="15"/>
              </w:rPr>
            </w:pPr>
            <w:r w:rsidRPr="002F0F29">
              <w:rPr>
                <w:color w:val="000000"/>
                <w:sz w:val="15"/>
                <w:szCs w:val="15"/>
              </w:rPr>
              <w:t>295,75</w:t>
            </w:r>
          </w:p>
        </w:tc>
        <w:tc>
          <w:tcPr>
            <w:tcW w:w="749" w:type="dxa"/>
            <w:shd w:val="clear" w:color="000000" w:fill="FFFFFF"/>
          </w:tcPr>
          <w:p w:rsidR="008B56D0" w:rsidRPr="002F0F29" w:rsidRDefault="008B56D0" w:rsidP="00DF204B">
            <w:pPr>
              <w:jc w:val="center"/>
              <w:rPr>
                <w:sz w:val="15"/>
                <w:szCs w:val="15"/>
              </w:rPr>
            </w:pPr>
            <w:r w:rsidRPr="002F0F29">
              <w:rPr>
                <w:color w:val="000000"/>
                <w:sz w:val="15"/>
                <w:szCs w:val="15"/>
              </w:rPr>
              <w:t>188</w:t>
            </w:r>
          </w:p>
        </w:tc>
        <w:tc>
          <w:tcPr>
            <w:tcW w:w="749" w:type="dxa"/>
            <w:shd w:val="clear" w:color="000000" w:fill="FFFFFF"/>
          </w:tcPr>
          <w:p w:rsidR="008B56D0" w:rsidRPr="002F0F29" w:rsidRDefault="008B56D0" w:rsidP="00DF204B">
            <w:pPr>
              <w:jc w:val="center"/>
              <w:rPr>
                <w:color w:val="000000"/>
                <w:sz w:val="15"/>
                <w:szCs w:val="15"/>
              </w:rPr>
            </w:pPr>
            <w:r w:rsidRPr="002F0F29">
              <w:rPr>
                <w:color w:val="000000"/>
                <w:sz w:val="15"/>
                <w:szCs w:val="15"/>
              </w:rPr>
              <w:t>208</w:t>
            </w:r>
          </w:p>
        </w:tc>
        <w:tc>
          <w:tcPr>
            <w:tcW w:w="680" w:type="dxa"/>
          </w:tcPr>
          <w:p w:rsidR="008B56D0" w:rsidRPr="002F0F29" w:rsidRDefault="000467BC" w:rsidP="00DF204B">
            <w:pPr>
              <w:jc w:val="center"/>
              <w:rPr>
                <w:color w:val="000000"/>
                <w:sz w:val="15"/>
                <w:szCs w:val="15"/>
              </w:rPr>
            </w:pPr>
            <w:r w:rsidRPr="002F0F29">
              <w:rPr>
                <w:color w:val="000000"/>
                <w:sz w:val="15"/>
                <w:szCs w:val="15"/>
              </w:rPr>
              <w:t>214</w:t>
            </w:r>
          </w:p>
        </w:tc>
        <w:tc>
          <w:tcPr>
            <w:tcW w:w="749" w:type="dxa"/>
            <w:shd w:val="clear" w:color="000000" w:fill="FFFFFF"/>
          </w:tcPr>
          <w:p w:rsidR="008B56D0" w:rsidRPr="002F0F29" w:rsidRDefault="008B56D0" w:rsidP="00DF204B">
            <w:pPr>
              <w:jc w:val="center"/>
              <w:rPr>
                <w:sz w:val="15"/>
                <w:szCs w:val="15"/>
              </w:rPr>
            </w:pPr>
            <w:r w:rsidRPr="002F0F29">
              <w:rPr>
                <w:color w:val="000000"/>
                <w:sz w:val="15"/>
                <w:szCs w:val="15"/>
              </w:rPr>
              <w:t>1,4</w:t>
            </w:r>
          </w:p>
        </w:tc>
        <w:tc>
          <w:tcPr>
            <w:tcW w:w="749" w:type="dxa"/>
            <w:shd w:val="clear" w:color="000000" w:fill="FFFFFF"/>
          </w:tcPr>
          <w:p w:rsidR="008B56D0" w:rsidRPr="002F0F29" w:rsidRDefault="008B56D0" w:rsidP="00DF204B">
            <w:pPr>
              <w:jc w:val="center"/>
              <w:rPr>
                <w:color w:val="000000"/>
                <w:sz w:val="15"/>
                <w:szCs w:val="15"/>
              </w:rPr>
            </w:pPr>
            <w:r w:rsidRPr="002F0F29">
              <w:rPr>
                <w:color w:val="000000"/>
                <w:sz w:val="15"/>
                <w:szCs w:val="15"/>
              </w:rPr>
              <w:t>1,4</w:t>
            </w:r>
          </w:p>
        </w:tc>
        <w:tc>
          <w:tcPr>
            <w:tcW w:w="703" w:type="dxa"/>
          </w:tcPr>
          <w:p w:rsidR="008B56D0" w:rsidRPr="002F0F29" w:rsidRDefault="000467BC" w:rsidP="00DF204B">
            <w:pPr>
              <w:jc w:val="center"/>
              <w:rPr>
                <w:color w:val="000000"/>
                <w:sz w:val="15"/>
                <w:szCs w:val="15"/>
              </w:rPr>
            </w:pPr>
            <w:r w:rsidRPr="002F0F29">
              <w:rPr>
                <w:color w:val="000000"/>
                <w:sz w:val="15"/>
                <w:szCs w:val="15"/>
              </w:rPr>
              <w:t>1,4</w:t>
            </w:r>
          </w:p>
        </w:tc>
        <w:tc>
          <w:tcPr>
            <w:tcW w:w="760" w:type="dxa"/>
            <w:shd w:val="clear" w:color="000000" w:fill="FFFFFF"/>
          </w:tcPr>
          <w:p w:rsidR="008B56D0" w:rsidRPr="002F0F29" w:rsidRDefault="008B56D0" w:rsidP="00DF204B">
            <w:pPr>
              <w:jc w:val="center"/>
              <w:rPr>
                <w:sz w:val="15"/>
                <w:szCs w:val="15"/>
              </w:rPr>
            </w:pPr>
            <w:r w:rsidRPr="002F0F29">
              <w:rPr>
                <w:color w:val="000000"/>
                <w:sz w:val="15"/>
                <w:szCs w:val="15"/>
              </w:rPr>
              <w:t>98,9</w:t>
            </w:r>
          </w:p>
        </w:tc>
        <w:tc>
          <w:tcPr>
            <w:tcW w:w="749" w:type="dxa"/>
            <w:shd w:val="clear" w:color="000000" w:fill="FFFFFF"/>
          </w:tcPr>
          <w:p w:rsidR="008B56D0" w:rsidRPr="002F0F29" w:rsidRDefault="008B56D0" w:rsidP="00DF204B">
            <w:pPr>
              <w:jc w:val="center"/>
              <w:rPr>
                <w:color w:val="000000"/>
                <w:sz w:val="15"/>
                <w:szCs w:val="15"/>
              </w:rPr>
            </w:pPr>
            <w:r w:rsidRPr="002F0F29">
              <w:rPr>
                <w:color w:val="000000"/>
                <w:sz w:val="15"/>
                <w:szCs w:val="15"/>
              </w:rPr>
              <w:t>95,8</w:t>
            </w:r>
          </w:p>
        </w:tc>
        <w:tc>
          <w:tcPr>
            <w:tcW w:w="754" w:type="dxa"/>
          </w:tcPr>
          <w:p w:rsidR="008B56D0" w:rsidRPr="002F0F29" w:rsidRDefault="00723781" w:rsidP="00DF204B">
            <w:pPr>
              <w:jc w:val="center"/>
              <w:rPr>
                <w:color w:val="000000"/>
                <w:sz w:val="15"/>
                <w:szCs w:val="15"/>
              </w:rPr>
            </w:pPr>
            <w:r w:rsidRPr="002F0F29">
              <w:rPr>
                <w:color w:val="000000"/>
                <w:sz w:val="15"/>
                <w:szCs w:val="15"/>
              </w:rPr>
              <w:t>96,9</w:t>
            </w:r>
          </w:p>
        </w:tc>
        <w:tc>
          <w:tcPr>
            <w:tcW w:w="761" w:type="dxa"/>
            <w:shd w:val="clear" w:color="000000" w:fill="FFFFFF"/>
          </w:tcPr>
          <w:p w:rsidR="008B56D0" w:rsidRPr="002F0F29" w:rsidRDefault="008B56D0" w:rsidP="00DF204B">
            <w:pPr>
              <w:jc w:val="center"/>
              <w:rPr>
                <w:sz w:val="15"/>
                <w:szCs w:val="15"/>
              </w:rPr>
            </w:pPr>
            <w:r w:rsidRPr="002F0F29">
              <w:rPr>
                <w:sz w:val="15"/>
                <w:szCs w:val="15"/>
              </w:rPr>
              <w:t>68,5</w:t>
            </w:r>
          </w:p>
        </w:tc>
        <w:tc>
          <w:tcPr>
            <w:tcW w:w="753" w:type="dxa"/>
            <w:shd w:val="clear" w:color="000000" w:fill="FFFFFF"/>
          </w:tcPr>
          <w:p w:rsidR="008B56D0" w:rsidRPr="002F0F29" w:rsidRDefault="008B56D0" w:rsidP="00DF204B">
            <w:pPr>
              <w:jc w:val="center"/>
              <w:rPr>
                <w:sz w:val="15"/>
                <w:szCs w:val="15"/>
              </w:rPr>
            </w:pPr>
            <w:r w:rsidRPr="002F0F29">
              <w:rPr>
                <w:sz w:val="15"/>
                <w:szCs w:val="15"/>
              </w:rPr>
              <w:t>68,1</w:t>
            </w:r>
          </w:p>
        </w:tc>
        <w:tc>
          <w:tcPr>
            <w:tcW w:w="827" w:type="dxa"/>
          </w:tcPr>
          <w:p w:rsidR="008B56D0" w:rsidRPr="002F0F29" w:rsidRDefault="00723781" w:rsidP="00DF204B">
            <w:pPr>
              <w:jc w:val="center"/>
              <w:rPr>
                <w:sz w:val="15"/>
                <w:szCs w:val="15"/>
              </w:rPr>
            </w:pPr>
            <w:r w:rsidRPr="002F0F29">
              <w:rPr>
                <w:sz w:val="15"/>
                <w:szCs w:val="15"/>
              </w:rPr>
              <w:t>70,1</w:t>
            </w:r>
          </w:p>
        </w:tc>
      </w:tr>
      <w:tr w:rsidR="008B56D0" w:rsidRPr="002F0F29" w:rsidTr="00DF204B">
        <w:trPr>
          <w:trHeight w:val="20"/>
        </w:trPr>
        <w:tc>
          <w:tcPr>
            <w:tcW w:w="2552" w:type="dxa"/>
          </w:tcPr>
          <w:p w:rsidR="008B56D0" w:rsidRPr="002F0F29" w:rsidRDefault="008B56D0" w:rsidP="00DF204B">
            <w:pPr>
              <w:rPr>
                <w:color w:val="000000"/>
                <w:sz w:val="15"/>
                <w:szCs w:val="15"/>
              </w:rPr>
            </w:pPr>
            <w:r w:rsidRPr="002F0F29">
              <w:rPr>
                <w:color w:val="000000"/>
                <w:sz w:val="15"/>
                <w:szCs w:val="15"/>
              </w:rPr>
              <w:t>Радиологи</w:t>
            </w:r>
          </w:p>
        </w:tc>
        <w:tc>
          <w:tcPr>
            <w:tcW w:w="767" w:type="dxa"/>
            <w:shd w:val="clear" w:color="000000" w:fill="FFFFFF"/>
          </w:tcPr>
          <w:p w:rsidR="008B56D0" w:rsidRPr="002F0F29" w:rsidRDefault="008B56D0" w:rsidP="00DF204B">
            <w:pPr>
              <w:jc w:val="center"/>
              <w:rPr>
                <w:sz w:val="15"/>
                <w:szCs w:val="15"/>
              </w:rPr>
            </w:pPr>
            <w:r w:rsidRPr="002F0F29">
              <w:rPr>
                <w:color w:val="000000"/>
                <w:sz w:val="15"/>
                <w:szCs w:val="15"/>
              </w:rPr>
              <w:t>13,0</w:t>
            </w:r>
          </w:p>
        </w:tc>
        <w:tc>
          <w:tcPr>
            <w:tcW w:w="766" w:type="dxa"/>
            <w:shd w:val="clear" w:color="000000" w:fill="FFFFFF"/>
          </w:tcPr>
          <w:p w:rsidR="008B56D0" w:rsidRPr="002F0F29" w:rsidRDefault="008B56D0" w:rsidP="00DF204B">
            <w:pPr>
              <w:ind w:left="-57" w:right="-57"/>
              <w:jc w:val="center"/>
              <w:rPr>
                <w:color w:val="000000"/>
                <w:sz w:val="15"/>
                <w:szCs w:val="15"/>
              </w:rPr>
            </w:pPr>
            <w:r w:rsidRPr="002F0F29">
              <w:rPr>
                <w:color w:val="000000"/>
                <w:sz w:val="15"/>
                <w:szCs w:val="15"/>
              </w:rPr>
              <w:t>13,0</w:t>
            </w:r>
          </w:p>
        </w:tc>
        <w:tc>
          <w:tcPr>
            <w:tcW w:w="709" w:type="dxa"/>
          </w:tcPr>
          <w:p w:rsidR="008B56D0" w:rsidRPr="002F0F29" w:rsidRDefault="000467BC" w:rsidP="00DF204B">
            <w:pPr>
              <w:ind w:left="-57" w:right="-57"/>
              <w:jc w:val="center"/>
              <w:rPr>
                <w:color w:val="000000"/>
                <w:sz w:val="15"/>
                <w:szCs w:val="15"/>
              </w:rPr>
            </w:pPr>
            <w:r w:rsidRPr="002F0F29">
              <w:rPr>
                <w:color w:val="000000"/>
                <w:sz w:val="15"/>
                <w:szCs w:val="15"/>
              </w:rPr>
              <w:t>12,00</w:t>
            </w:r>
          </w:p>
        </w:tc>
        <w:tc>
          <w:tcPr>
            <w:tcW w:w="766" w:type="dxa"/>
            <w:shd w:val="clear" w:color="000000" w:fill="FFFFFF"/>
          </w:tcPr>
          <w:p w:rsidR="008B56D0" w:rsidRPr="002F0F29" w:rsidRDefault="008B56D0" w:rsidP="00DF204B">
            <w:pPr>
              <w:jc w:val="center"/>
              <w:rPr>
                <w:sz w:val="15"/>
                <w:szCs w:val="15"/>
              </w:rPr>
            </w:pPr>
            <w:r w:rsidRPr="002F0F29">
              <w:rPr>
                <w:color w:val="000000"/>
                <w:sz w:val="15"/>
                <w:szCs w:val="15"/>
              </w:rPr>
              <w:t>13,0</w:t>
            </w:r>
          </w:p>
        </w:tc>
        <w:tc>
          <w:tcPr>
            <w:tcW w:w="766" w:type="dxa"/>
            <w:shd w:val="clear" w:color="000000" w:fill="FFFFFF"/>
          </w:tcPr>
          <w:p w:rsidR="008B56D0" w:rsidRPr="002F0F29" w:rsidRDefault="008B56D0" w:rsidP="00DF204B">
            <w:pPr>
              <w:ind w:left="-57" w:right="-57"/>
              <w:jc w:val="center"/>
              <w:rPr>
                <w:color w:val="000000"/>
                <w:sz w:val="15"/>
                <w:szCs w:val="15"/>
              </w:rPr>
            </w:pPr>
            <w:r w:rsidRPr="002F0F29">
              <w:rPr>
                <w:color w:val="000000"/>
                <w:sz w:val="15"/>
                <w:szCs w:val="15"/>
              </w:rPr>
              <w:t>13,0</w:t>
            </w:r>
          </w:p>
        </w:tc>
        <w:tc>
          <w:tcPr>
            <w:tcW w:w="709" w:type="dxa"/>
          </w:tcPr>
          <w:p w:rsidR="008B56D0" w:rsidRPr="002F0F29" w:rsidRDefault="000467BC" w:rsidP="00DF204B">
            <w:pPr>
              <w:ind w:left="-57" w:right="-57"/>
              <w:jc w:val="center"/>
              <w:rPr>
                <w:color w:val="000000"/>
                <w:sz w:val="15"/>
                <w:szCs w:val="15"/>
              </w:rPr>
            </w:pPr>
            <w:r w:rsidRPr="002F0F29">
              <w:rPr>
                <w:color w:val="000000"/>
                <w:sz w:val="15"/>
                <w:szCs w:val="15"/>
              </w:rPr>
              <w:t>12,00</w:t>
            </w:r>
          </w:p>
        </w:tc>
        <w:tc>
          <w:tcPr>
            <w:tcW w:w="749" w:type="dxa"/>
            <w:shd w:val="clear" w:color="000000" w:fill="FFFFFF"/>
          </w:tcPr>
          <w:p w:rsidR="008B56D0" w:rsidRPr="002F0F29" w:rsidRDefault="008B56D0" w:rsidP="00DF204B">
            <w:pPr>
              <w:jc w:val="center"/>
              <w:rPr>
                <w:sz w:val="15"/>
                <w:szCs w:val="15"/>
              </w:rPr>
            </w:pPr>
            <w:r w:rsidRPr="002F0F29">
              <w:rPr>
                <w:color w:val="000000"/>
                <w:sz w:val="15"/>
                <w:szCs w:val="15"/>
              </w:rPr>
              <w:t>3</w:t>
            </w:r>
          </w:p>
        </w:tc>
        <w:tc>
          <w:tcPr>
            <w:tcW w:w="749" w:type="dxa"/>
            <w:shd w:val="clear" w:color="000000" w:fill="FFFFFF"/>
          </w:tcPr>
          <w:p w:rsidR="008B56D0" w:rsidRPr="002F0F29" w:rsidRDefault="008B56D0" w:rsidP="00DF204B">
            <w:pPr>
              <w:jc w:val="center"/>
              <w:rPr>
                <w:color w:val="000000"/>
                <w:sz w:val="15"/>
                <w:szCs w:val="15"/>
              </w:rPr>
            </w:pPr>
            <w:r w:rsidRPr="002F0F29">
              <w:rPr>
                <w:color w:val="000000"/>
                <w:sz w:val="15"/>
                <w:szCs w:val="15"/>
              </w:rPr>
              <w:t>2</w:t>
            </w:r>
          </w:p>
        </w:tc>
        <w:tc>
          <w:tcPr>
            <w:tcW w:w="680" w:type="dxa"/>
          </w:tcPr>
          <w:p w:rsidR="008B56D0" w:rsidRPr="002F0F29" w:rsidRDefault="000467BC" w:rsidP="00DF204B">
            <w:pPr>
              <w:jc w:val="center"/>
              <w:rPr>
                <w:color w:val="000000"/>
                <w:sz w:val="15"/>
                <w:szCs w:val="15"/>
              </w:rPr>
            </w:pPr>
            <w:r w:rsidRPr="002F0F29">
              <w:rPr>
                <w:color w:val="000000"/>
                <w:sz w:val="15"/>
                <w:szCs w:val="15"/>
              </w:rPr>
              <w:t>4</w:t>
            </w:r>
          </w:p>
        </w:tc>
        <w:tc>
          <w:tcPr>
            <w:tcW w:w="749" w:type="dxa"/>
            <w:shd w:val="clear" w:color="000000" w:fill="FFFFFF"/>
          </w:tcPr>
          <w:p w:rsidR="008B56D0" w:rsidRPr="002F0F29" w:rsidRDefault="008B56D0" w:rsidP="00DF204B">
            <w:pPr>
              <w:jc w:val="center"/>
              <w:rPr>
                <w:sz w:val="15"/>
                <w:szCs w:val="15"/>
              </w:rPr>
            </w:pPr>
            <w:r w:rsidRPr="002F0F29">
              <w:rPr>
                <w:color w:val="000000"/>
                <w:sz w:val="15"/>
                <w:szCs w:val="15"/>
              </w:rPr>
              <w:t>4,3</w:t>
            </w:r>
          </w:p>
        </w:tc>
        <w:tc>
          <w:tcPr>
            <w:tcW w:w="749" w:type="dxa"/>
            <w:shd w:val="clear" w:color="000000" w:fill="FFFFFF"/>
          </w:tcPr>
          <w:p w:rsidR="008B56D0" w:rsidRPr="002F0F29" w:rsidRDefault="008B56D0" w:rsidP="00DF204B">
            <w:pPr>
              <w:jc w:val="center"/>
              <w:rPr>
                <w:color w:val="000000"/>
                <w:sz w:val="15"/>
                <w:szCs w:val="15"/>
              </w:rPr>
            </w:pPr>
            <w:r w:rsidRPr="002F0F29">
              <w:rPr>
                <w:color w:val="000000"/>
                <w:sz w:val="15"/>
                <w:szCs w:val="15"/>
              </w:rPr>
              <w:t>6,5</w:t>
            </w:r>
          </w:p>
        </w:tc>
        <w:tc>
          <w:tcPr>
            <w:tcW w:w="703" w:type="dxa"/>
          </w:tcPr>
          <w:p w:rsidR="008B56D0" w:rsidRPr="002F0F29" w:rsidRDefault="000467BC" w:rsidP="00DF204B">
            <w:pPr>
              <w:jc w:val="center"/>
              <w:rPr>
                <w:color w:val="000000"/>
                <w:sz w:val="15"/>
                <w:szCs w:val="15"/>
              </w:rPr>
            </w:pPr>
            <w:r w:rsidRPr="002F0F29">
              <w:rPr>
                <w:color w:val="000000"/>
                <w:sz w:val="15"/>
                <w:szCs w:val="15"/>
              </w:rPr>
              <w:t>3,0</w:t>
            </w:r>
          </w:p>
        </w:tc>
        <w:tc>
          <w:tcPr>
            <w:tcW w:w="760" w:type="dxa"/>
            <w:shd w:val="clear" w:color="000000" w:fill="FFFFFF"/>
          </w:tcPr>
          <w:p w:rsidR="008B56D0" w:rsidRPr="002F0F29" w:rsidRDefault="008B56D0" w:rsidP="00DF204B">
            <w:pPr>
              <w:jc w:val="center"/>
              <w:rPr>
                <w:sz w:val="15"/>
                <w:szCs w:val="15"/>
              </w:rPr>
            </w:pPr>
            <w:r w:rsidRPr="002F0F29">
              <w:rPr>
                <w:color w:val="000000"/>
                <w:sz w:val="15"/>
                <w:szCs w:val="15"/>
              </w:rPr>
              <w:t>100,0</w:t>
            </w:r>
          </w:p>
        </w:tc>
        <w:tc>
          <w:tcPr>
            <w:tcW w:w="749" w:type="dxa"/>
            <w:shd w:val="clear" w:color="000000" w:fill="FFFFFF"/>
          </w:tcPr>
          <w:p w:rsidR="008B56D0" w:rsidRPr="002F0F29" w:rsidRDefault="008B56D0" w:rsidP="00DF204B">
            <w:pPr>
              <w:jc w:val="center"/>
              <w:rPr>
                <w:color w:val="000000"/>
                <w:sz w:val="15"/>
                <w:szCs w:val="15"/>
              </w:rPr>
            </w:pPr>
            <w:r w:rsidRPr="002F0F29">
              <w:rPr>
                <w:color w:val="000000"/>
                <w:sz w:val="15"/>
                <w:szCs w:val="15"/>
              </w:rPr>
              <w:t>100,0</w:t>
            </w:r>
          </w:p>
        </w:tc>
        <w:tc>
          <w:tcPr>
            <w:tcW w:w="754" w:type="dxa"/>
          </w:tcPr>
          <w:p w:rsidR="008B56D0" w:rsidRPr="002F0F29" w:rsidRDefault="00723781" w:rsidP="00DF204B">
            <w:pPr>
              <w:jc w:val="center"/>
              <w:rPr>
                <w:color w:val="000000"/>
                <w:sz w:val="15"/>
                <w:szCs w:val="15"/>
              </w:rPr>
            </w:pPr>
            <w:r w:rsidRPr="002F0F29">
              <w:rPr>
                <w:color w:val="000000"/>
                <w:sz w:val="15"/>
                <w:szCs w:val="15"/>
              </w:rPr>
              <w:t>100,0</w:t>
            </w:r>
          </w:p>
        </w:tc>
        <w:tc>
          <w:tcPr>
            <w:tcW w:w="761" w:type="dxa"/>
            <w:shd w:val="clear" w:color="000000" w:fill="FFFFFF"/>
          </w:tcPr>
          <w:p w:rsidR="008B56D0" w:rsidRPr="002F0F29" w:rsidRDefault="008B56D0" w:rsidP="00DF204B">
            <w:pPr>
              <w:jc w:val="center"/>
              <w:rPr>
                <w:sz w:val="15"/>
                <w:szCs w:val="15"/>
              </w:rPr>
            </w:pPr>
            <w:r w:rsidRPr="002F0F29">
              <w:rPr>
                <w:sz w:val="15"/>
                <w:szCs w:val="15"/>
              </w:rPr>
              <w:t>23,1</w:t>
            </w:r>
          </w:p>
        </w:tc>
        <w:tc>
          <w:tcPr>
            <w:tcW w:w="753" w:type="dxa"/>
            <w:shd w:val="clear" w:color="000000" w:fill="FFFFFF"/>
          </w:tcPr>
          <w:p w:rsidR="008B56D0" w:rsidRPr="002F0F29" w:rsidRDefault="008B56D0" w:rsidP="00DF204B">
            <w:pPr>
              <w:jc w:val="center"/>
              <w:rPr>
                <w:sz w:val="15"/>
                <w:szCs w:val="15"/>
              </w:rPr>
            </w:pPr>
            <w:r w:rsidRPr="002F0F29">
              <w:rPr>
                <w:sz w:val="15"/>
                <w:szCs w:val="15"/>
              </w:rPr>
              <w:t>15,4</w:t>
            </w:r>
          </w:p>
        </w:tc>
        <w:tc>
          <w:tcPr>
            <w:tcW w:w="827" w:type="dxa"/>
          </w:tcPr>
          <w:p w:rsidR="008B56D0" w:rsidRPr="002F0F29" w:rsidRDefault="00723781" w:rsidP="00DF204B">
            <w:pPr>
              <w:jc w:val="center"/>
              <w:rPr>
                <w:sz w:val="15"/>
                <w:szCs w:val="15"/>
              </w:rPr>
            </w:pPr>
            <w:r w:rsidRPr="002F0F29">
              <w:rPr>
                <w:sz w:val="15"/>
                <w:szCs w:val="15"/>
              </w:rPr>
              <w:t>33,3</w:t>
            </w:r>
          </w:p>
        </w:tc>
      </w:tr>
      <w:tr w:rsidR="008B56D0" w:rsidRPr="002F0F29" w:rsidTr="00DF204B">
        <w:trPr>
          <w:trHeight w:val="20"/>
        </w:trPr>
        <w:tc>
          <w:tcPr>
            <w:tcW w:w="2552" w:type="dxa"/>
          </w:tcPr>
          <w:p w:rsidR="008B56D0" w:rsidRPr="002F0F29" w:rsidRDefault="008B56D0" w:rsidP="00DF204B">
            <w:pPr>
              <w:rPr>
                <w:color w:val="000000"/>
                <w:sz w:val="15"/>
                <w:szCs w:val="15"/>
              </w:rPr>
            </w:pPr>
            <w:r w:rsidRPr="002F0F29">
              <w:rPr>
                <w:sz w:val="15"/>
                <w:szCs w:val="15"/>
              </w:rPr>
              <w:t>Радиотерапевты</w:t>
            </w:r>
          </w:p>
        </w:tc>
        <w:tc>
          <w:tcPr>
            <w:tcW w:w="767" w:type="dxa"/>
            <w:shd w:val="clear" w:color="000000" w:fill="FFFFFF"/>
          </w:tcPr>
          <w:p w:rsidR="008B56D0" w:rsidRPr="002F0F29" w:rsidRDefault="008B56D0" w:rsidP="00DF204B">
            <w:pPr>
              <w:jc w:val="center"/>
              <w:rPr>
                <w:sz w:val="15"/>
                <w:szCs w:val="15"/>
              </w:rPr>
            </w:pPr>
            <w:r w:rsidRPr="002F0F29">
              <w:rPr>
                <w:color w:val="000000"/>
                <w:sz w:val="15"/>
                <w:szCs w:val="15"/>
              </w:rPr>
              <w:t>2,0</w:t>
            </w:r>
          </w:p>
        </w:tc>
        <w:tc>
          <w:tcPr>
            <w:tcW w:w="766" w:type="dxa"/>
            <w:shd w:val="clear" w:color="000000" w:fill="FFFFFF"/>
          </w:tcPr>
          <w:p w:rsidR="008B56D0" w:rsidRPr="002F0F29" w:rsidRDefault="008B56D0" w:rsidP="00DF204B">
            <w:pPr>
              <w:ind w:left="-57" w:right="-57"/>
              <w:jc w:val="center"/>
              <w:rPr>
                <w:color w:val="000000"/>
                <w:sz w:val="15"/>
                <w:szCs w:val="15"/>
              </w:rPr>
            </w:pPr>
            <w:r w:rsidRPr="002F0F29">
              <w:rPr>
                <w:color w:val="000000"/>
                <w:sz w:val="15"/>
                <w:szCs w:val="15"/>
              </w:rPr>
              <w:t>2,0</w:t>
            </w:r>
          </w:p>
        </w:tc>
        <w:tc>
          <w:tcPr>
            <w:tcW w:w="709" w:type="dxa"/>
          </w:tcPr>
          <w:p w:rsidR="008B56D0" w:rsidRPr="002F0F29" w:rsidRDefault="000467BC" w:rsidP="00DF204B">
            <w:pPr>
              <w:ind w:left="-57" w:right="-57"/>
              <w:jc w:val="center"/>
              <w:rPr>
                <w:color w:val="000000"/>
                <w:sz w:val="15"/>
                <w:szCs w:val="15"/>
              </w:rPr>
            </w:pPr>
            <w:r w:rsidRPr="002F0F29">
              <w:rPr>
                <w:color w:val="000000"/>
                <w:sz w:val="15"/>
                <w:szCs w:val="15"/>
              </w:rPr>
              <w:t>2,00</w:t>
            </w:r>
          </w:p>
        </w:tc>
        <w:tc>
          <w:tcPr>
            <w:tcW w:w="766" w:type="dxa"/>
            <w:shd w:val="clear" w:color="000000" w:fill="FFFFFF"/>
          </w:tcPr>
          <w:p w:rsidR="008B56D0" w:rsidRPr="002F0F29" w:rsidRDefault="008B56D0" w:rsidP="00DF204B">
            <w:pPr>
              <w:jc w:val="center"/>
              <w:rPr>
                <w:sz w:val="15"/>
                <w:szCs w:val="15"/>
              </w:rPr>
            </w:pPr>
            <w:r w:rsidRPr="002F0F29">
              <w:rPr>
                <w:color w:val="000000"/>
                <w:sz w:val="15"/>
                <w:szCs w:val="15"/>
              </w:rPr>
              <w:t>2,0</w:t>
            </w:r>
          </w:p>
        </w:tc>
        <w:tc>
          <w:tcPr>
            <w:tcW w:w="766" w:type="dxa"/>
            <w:shd w:val="clear" w:color="000000" w:fill="FFFFFF"/>
          </w:tcPr>
          <w:p w:rsidR="008B56D0" w:rsidRPr="002F0F29" w:rsidRDefault="008B56D0" w:rsidP="00DF204B">
            <w:pPr>
              <w:ind w:left="-57" w:right="-57"/>
              <w:jc w:val="center"/>
              <w:rPr>
                <w:color w:val="000000"/>
                <w:sz w:val="15"/>
                <w:szCs w:val="15"/>
              </w:rPr>
            </w:pPr>
            <w:r w:rsidRPr="002F0F29">
              <w:rPr>
                <w:color w:val="000000"/>
                <w:sz w:val="15"/>
                <w:szCs w:val="15"/>
              </w:rPr>
              <w:t>2,0</w:t>
            </w:r>
          </w:p>
        </w:tc>
        <w:tc>
          <w:tcPr>
            <w:tcW w:w="709" w:type="dxa"/>
          </w:tcPr>
          <w:p w:rsidR="008B56D0" w:rsidRPr="002F0F29" w:rsidRDefault="000467BC" w:rsidP="00DF204B">
            <w:pPr>
              <w:ind w:left="-57" w:right="-57"/>
              <w:jc w:val="center"/>
              <w:rPr>
                <w:color w:val="000000"/>
                <w:sz w:val="15"/>
                <w:szCs w:val="15"/>
              </w:rPr>
            </w:pPr>
            <w:r w:rsidRPr="002F0F29">
              <w:rPr>
                <w:color w:val="000000"/>
                <w:sz w:val="15"/>
                <w:szCs w:val="15"/>
              </w:rPr>
              <w:t>2,00</w:t>
            </w:r>
          </w:p>
        </w:tc>
        <w:tc>
          <w:tcPr>
            <w:tcW w:w="749" w:type="dxa"/>
            <w:shd w:val="clear" w:color="000000" w:fill="FFFFFF"/>
          </w:tcPr>
          <w:p w:rsidR="008B56D0" w:rsidRPr="002F0F29" w:rsidRDefault="008B56D0" w:rsidP="00DF204B">
            <w:pPr>
              <w:jc w:val="center"/>
              <w:rPr>
                <w:sz w:val="15"/>
                <w:szCs w:val="15"/>
              </w:rPr>
            </w:pPr>
            <w:r w:rsidRPr="002F0F29">
              <w:rPr>
                <w:color w:val="000000"/>
                <w:sz w:val="15"/>
                <w:szCs w:val="15"/>
              </w:rPr>
              <w:t>1</w:t>
            </w:r>
          </w:p>
        </w:tc>
        <w:tc>
          <w:tcPr>
            <w:tcW w:w="749" w:type="dxa"/>
            <w:shd w:val="clear" w:color="000000" w:fill="FFFFFF"/>
          </w:tcPr>
          <w:p w:rsidR="008B56D0" w:rsidRPr="002F0F29" w:rsidRDefault="008B56D0" w:rsidP="00DF204B">
            <w:pPr>
              <w:jc w:val="center"/>
              <w:rPr>
                <w:color w:val="000000"/>
                <w:sz w:val="15"/>
                <w:szCs w:val="15"/>
              </w:rPr>
            </w:pPr>
            <w:r w:rsidRPr="002F0F29">
              <w:rPr>
                <w:color w:val="000000"/>
                <w:sz w:val="15"/>
                <w:szCs w:val="15"/>
              </w:rPr>
              <w:t>2</w:t>
            </w:r>
          </w:p>
        </w:tc>
        <w:tc>
          <w:tcPr>
            <w:tcW w:w="680" w:type="dxa"/>
          </w:tcPr>
          <w:p w:rsidR="008B56D0" w:rsidRPr="002F0F29" w:rsidRDefault="000467BC" w:rsidP="00DF204B">
            <w:pPr>
              <w:jc w:val="center"/>
              <w:rPr>
                <w:color w:val="000000"/>
                <w:sz w:val="15"/>
                <w:szCs w:val="15"/>
              </w:rPr>
            </w:pPr>
            <w:r w:rsidRPr="002F0F29">
              <w:rPr>
                <w:color w:val="000000"/>
                <w:sz w:val="15"/>
                <w:szCs w:val="15"/>
              </w:rPr>
              <w:t>1</w:t>
            </w:r>
          </w:p>
        </w:tc>
        <w:tc>
          <w:tcPr>
            <w:tcW w:w="749" w:type="dxa"/>
            <w:shd w:val="clear" w:color="000000" w:fill="FFFFFF"/>
          </w:tcPr>
          <w:p w:rsidR="008B56D0" w:rsidRPr="002F0F29" w:rsidRDefault="008B56D0" w:rsidP="00DF204B">
            <w:pPr>
              <w:jc w:val="center"/>
              <w:rPr>
                <w:sz w:val="15"/>
                <w:szCs w:val="15"/>
              </w:rPr>
            </w:pPr>
            <w:r w:rsidRPr="002F0F29">
              <w:rPr>
                <w:color w:val="000000"/>
                <w:sz w:val="15"/>
                <w:szCs w:val="15"/>
              </w:rPr>
              <w:t>1,0</w:t>
            </w:r>
          </w:p>
        </w:tc>
        <w:tc>
          <w:tcPr>
            <w:tcW w:w="749" w:type="dxa"/>
            <w:shd w:val="clear" w:color="000000" w:fill="FFFFFF"/>
          </w:tcPr>
          <w:p w:rsidR="008B56D0" w:rsidRPr="002F0F29" w:rsidRDefault="008B56D0" w:rsidP="00DF204B">
            <w:pPr>
              <w:jc w:val="center"/>
              <w:rPr>
                <w:color w:val="000000"/>
                <w:sz w:val="15"/>
                <w:szCs w:val="15"/>
              </w:rPr>
            </w:pPr>
            <w:r w:rsidRPr="002F0F29">
              <w:rPr>
                <w:color w:val="000000"/>
                <w:sz w:val="15"/>
                <w:szCs w:val="15"/>
              </w:rPr>
              <w:t>1,0</w:t>
            </w:r>
          </w:p>
        </w:tc>
        <w:tc>
          <w:tcPr>
            <w:tcW w:w="703" w:type="dxa"/>
          </w:tcPr>
          <w:p w:rsidR="008B56D0" w:rsidRPr="002F0F29" w:rsidRDefault="000467BC" w:rsidP="00DF204B">
            <w:pPr>
              <w:jc w:val="center"/>
              <w:rPr>
                <w:color w:val="000000"/>
                <w:sz w:val="15"/>
                <w:szCs w:val="15"/>
              </w:rPr>
            </w:pPr>
            <w:r w:rsidRPr="002F0F29">
              <w:rPr>
                <w:color w:val="000000"/>
                <w:sz w:val="15"/>
                <w:szCs w:val="15"/>
              </w:rPr>
              <w:t>2,0</w:t>
            </w:r>
          </w:p>
        </w:tc>
        <w:tc>
          <w:tcPr>
            <w:tcW w:w="760" w:type="dxa"/>
            <w:shd w:val="clear" w:color="000000" w:fill="FFFFFF"/>
          </w:tcPr>
          <w:p w:rsidR="008B56D0" w:rsidRPr="002F0F29" w:rsidRDefault="008B56D0" w:rsidP="00DF204B">
            <w:pPr>
              <w:jc w:val="center"/>
              <w:rPr>
                <w:sz w:val="15"/>
                <w:szCs w:val="15"/>
              </w:rPr>
            </w:pPr>
            <w:r w:rsidRPr="002F0F29">
              <w:rPr>
                <w:color w:val="000000"/>
                <w:sz w:val="15"/>
                <w:szCs w:val="15"/>
              </w:rPr>
              <w:t>100,0</w:t>
            </w:r>
          </w:p>
        </w:tc>
        <w:tc>
          <w:tcPr>
            <w:tcW w:w="749" w:type="dxa"/>
            <w:shd w:val="clear" w:color="000000" w:fill="FFFFFF"/>
          </w:tcPr>
          <w:p w:rsidR="008B56D0" w:rsidRPr="002F0F29" w:rsidRDefault="008B56D0" w:rsidP="00DF204B">
            <w:pPr>
              <w:jc w:val="center"/>
              <w:rPr>
                <w:color w:val="000000"/>
                <w:sz w:val="15"/>
                <w:szCs w:val="15"/>
              </w:rPr>
            </w:pPr>
            <w:r w:rsidRPr="002F0F29">
              <w:rPr>
                <w:color w:val="000000"/>
                <w:sz w:val="15"/>
                <w:szCs w:val="15"/>
              </w:rPr>
              <w:t>100,0</w:t>
            </w:r>
          </w:p>
        </w:tc>
        <w:tc>
          <w:tcPr>
            <w:tcW w:w="754" w:type="dxa"/>
          </w:tcPr>
          <w:p w:rsidR="008B56D0" w:rsidRPr="002F0F29" w:rsidRDefault="00723781" w:rsidP="00DF204B">
            <w:pPr>
              <w:jc w:val="center"/>
              <w:rPr>
                <w:color w:val="000000"/>
                <w:sz w:val="15"/>
                <w:szCs w:val="15"/>
              </w:rPr>
            </w:pPr>
            <w:r w:rsidRPr="002F0F29">
              <w:rPr>
                <w:color w:val="000000"/>
                <w:sz w:val="15"/>
                <w:szCs w:val="15"/>
              </w:rPr>
              <w:t>100,0</w:t>
            </w:r>
          </w:p>
        </w:tc>
        <w:tc>
          <w:tcPr>
            <w:tcW w:w="761" w:type="dxa"/>
            <w:shd w:val="clear" w:color="000000" w:fill="FFFFFF"/>
          </w:tcPr>
          <w:p w:rsidR="008B56D0" w:rsidRPr="002F0F29" w:rsidRDefault="008B56D0" w:rsidP="00DF204B">
            <w:pPr>
              <w:jc w:val="center"/>
              <w:rPr>
                <w:sz w:val="15"/>
                <w:szCs w:val="15"/>
              </w:rPr>
            </w:pPr>
            <w:r w:rsidRPr="002F0F29">
              <w:rPr>
                <w:sz w:val="15"/>
                <w:szCs w:val="15"/>
              </w:rPr>
              <w:t>50,0</w:t>
            </w:r>
          </w:p>
        </w:tc>
        <w:tc>
          <w:tcPr>
            <w:tcW w:w="753" w:type="dxa"/>
            <w:shd w:val="clear" w:color="000000" w:fill="FFFFFF"/>
          </w:tcPr>
          <w:p w:rsidR="008B56D0" w:rsidRPr="002F0F29" w:rsidRDefault="008B56D0" w:rsidP="00DF204B">
            <w:pPr>
              <w:jc w:val="center"/>
              <w:rPr>
                <w:sz w:val="15"/>
                <w:szCs w:val="15"/>
              </w:rPr>
            </w:pPr>
            <w:r w:rsidRPr="002F0F29">
              <w:rPr>
                <w:sz w:val="15"/>
                <w:szCs w:val="15"/>
              </w:rPr>
              <w:t>100,0</w:t>
            </w:r>
          </w:p>
        </w:tc>
        <w:tc>
          <w:tcPr>
            <w:tcW w:w="827" w:type="dxa"/>
          </w:tcPr>
          <w:p w:rsidR="008B56D0" w:rsidRPr="002F0F29" w:rsidRDefault="00723781" w:rsidP="00DF204B">
            <w:pPr>
              <w:jc w:val="center"/>
              <w:rPr>
                <w:sz w:val="15"/>
                <w:szCs w:val="15"/>
              </w:rPr>
            </w:pPr>
            <w:r w:rsidRPr="002F0F29">
              <w:rPr>
                <w:sz w:val="15"/>
                <w:szCs w:val="15"/>
              </w:rPr>
              <w:t>50,0</w:t>
            </w:r>
          </w:p>
        </w:tc>
      </w:tr>
      <w:tr w:rsidR="008B56D0" w:rsidRPr="002F0F29" w:rsidTr="00DF204B">
        <w:trPr>
          <w:trHeight w:val="20"/>
        </w:trPr>
        <w:tc>
          <w:tcPr>
            <w:tcW w:w="2552" w:type="dxa"/>
          </w:tcPr>
          <w:p w:rsidR="008B56D0" w:rsidRPr="002F0F29" w:rsidRDefault="004563E4" w:rsidP="00DF204B">
            <w:pPr>
              <w:rPr>
                <w:sz w:val="15"/>
                <w:szCs w:val="15"/>
              </w:rPr>
            </w:pPr>
            <w:r>
              <w:rPr>
                <w:color w:val="000000"/>
                <w:sz w:val="15"/>
                <w:szCs w:val="15"/>
              </w:rPr>
              <w:t>Врач</w:t>
            </w:r>
            <w:r w:rsidR="001C12C9">
              <w:rPr>
                <w:color w:val="000000"/>
                <w:sz w:val="15"/>
                <w:szCs w:val="15"/>
              </w:rPr>
              <w:t>и</w:t>
            </w:r>
            <w:r>
              <w:rPr>
                <w:color w:val="000000"/>
                <w:sz w:val="15"/>
                <w:szCs w:val="15"/>
              </w:rPr>
              <w:t xml:space="preserve"> </w:t>
            </w:r>
            <w:r>
              <w:rPr>
                <w:rFonts w:eastAsia="Arial"/>
                <w:sz w:val="15"/>
                <w:szCs w:val="15"/>
              </w:rPr>
              <w:t>ультразвуковой диагностики</w:t>
            </w:r>
          </w:p>
        </w:tc>
        <w:tc>
          <w:tcPr>
            <w:tcW w:w="767" w:type="dxa"/>
            <w:shd w:val="clear" w:color="000000" w:fill="FFFFFF"/>
          </w:tcPr>
          <w:p w:rsidR="008B56D0" w:rsidRPr="002F0F29" w:rsidRDefault="008B56D0" w:rsidP="00DF204B">
            <w:pPr>
              <w:jc w:val="center"/>
              <w:rPr>
                <w:sz w:val="15"/>
                <w:szCs w:val="15"/>
              </w:rPr>
            </w:pPr>
            <w:r w:rsidRPr="002F0F29">
              <w:rPr>
                <w:color w:val="000000"/>
                <w:sz w:val="15"/>
                <w:szCs w:val="15"/>
              </w:rPr>
              <w:t>407,0</w:t>
            </w:r>
          </w:p>
        </w:tc>
        <w:tc>
          <w:tcPr>
            <w:tcW w:w="766" w:type="dxa"/>
            <w:shd w:val="clear" w:color="000000" w:fill="FFFFFF"/>
          </w:tcPr>
          <w:p w:rsidR="008B56D0" w:rsidRPr="002F0F29" w:rsidRDefault="008B56D0" w:rsidP="00DF204B">
            <w:pPr>
              <w:ind w:left="-57" w:right="-57"/>
              <w:jc w:val="center"/>
              <w:rPr>
                <w:color w:val="000000"/>
                <w:sz w:val="15"/>
                <w:szCs w:val="15"/>
              </w:rPr>
            </w:pPr>
            <w:r w:rsidRPr="002F0F29">
              <w:rPr>
                <w:color w:val="000000"/>
                <w:sz w:val="15"/>
                <w:szCs w:val="15"/>
              </w:rPr>
              <w:t>437,0</w:t>
            </w:r>
          </w:p>
        </w:tc>
        <w:tc>
          <w:tcPr>
            <w:tcW w:w="709" w:type="dxa"/>
          </w:tcPr>
          <w:p w:rsidR="008B56D0" w:rsidRPr="002F0F29" w:rsidRDefault="000467BC" w:rsidP="00DF204B">
            <w:pPr>
              <w:ind w:left="-57" w:right="-57"/>
              <w:jc w:val="center"/>
              <w:rPr>
                <w:color w:val="000000"/>
                <w:sz w:val="15"/>
                <w:szCs w:val="15"/>
              </w:rPr>
            </w:pPr>
            <w:r w:rsidRPr="002F0F29">
              <w:rPr>
                <w:color w:val="000000"/>
                <w:sz w:val="15"/>
                <w:szCs w:val="15"/>
              </w:rPr>
              <w:t>466,00</w:t>
            </w:r>
          </w:p>
        </w:tc>
        <w:tc>
          <w:tcPr>
            <w:tcW w:w="766" w:type="dxa"/>
            <w:shd w:val="clear" w:color="000000" w:fill="FFFFFF"/>
          </w:tcPr>
          <w:p w:rsidR="008B56D0" w:rsidRPr="002F0F29" w:rsidRDefault="008B56D0" w:rsidP="00DF204B">
            <w:pPr>
              <w:jc w:val="center"/>
              <w:rPr>
                <w:sz w:val="15"/>
                <w:szCs w:val="15"/>
              </w:rPr>
            </w:pPr>
            <w:r w:rsidRPr="002F0F29">
              <w:rPr>
                <w:color w:val="000000"/>
                <w:sz w:val="15"/>
                <w:szCs w:val="15"/>
              </w:rPr>
              <w:t>402,0</w:t>
            </w:r>
          </w:p>
        </w:tc>
        <w:tc>
          <w:tcPr>
            <w:tcW w:w="766" w:type="dxa"/>
            <w:shd w:val="clear" w:color="000000" w:fill="FFFFFF"/>
          </w:tcPr>
          <w:p w:rsidR="008B56D0" w:rsidRPr="002F0F29" w:rsidRDefault="008B56D0" w:rsidP="00DF204B">
            <w:pPr>
              <w:ind w:left="-57" w:right="-57"/>
              <w:jc w:val="center"/>
              <w:rPr>
                <w:color w:val="000000"/>
                <w:sz w:val="15"/>
                <w:szCs w:val="15"/>
              </w:rPr>
            </w:pPr>
            <w:r w:rsidRPr="002F0F29">
              <w:rPr>
                <w:color w:val="000000"/>
                <w:sz w:val="15"/>
                <w:szCs w:val="15"/>
              </w:rPr>
              <w:t>421,5</w:t>
            </w:r>
          </w:p>
        </w:tc>
        <w:tc>
          <w:tcPr>
            <w:tcW w:w="709" w:type="dxa"/>
          </w:tcPr>
          <w:p w:rsidR="008B56D0" w:rsidRPr="002F0F29" w:rsidRDefault="000467BC" w:rsidP="00DF204B">
            <w:pPr>
              <w:ind w:left="-57" w:right="-57"/>
              <w:jc w:val="center"/>
              <w:rPr>
                <w:color w:val="000000"/>
                <w:sz w:val="15"/>
                <w:szCs w:val="15"/>
              </w:rPr>
            </w:pPr>
            <w:r w:rsidRPr="002F0F29">
              <w:rPr>
                <w:color w:val="000000"/>
                <w:sz w:val="15"/>
                <w:szCs w:val="15"/>
              </w:rPr>
              <w:t>451,25</w:t>
            </w:r>
          </w:p>
        </w:tc>
        <w:tc>
          <w:tcPr>
            <w:tcW w:w="749" w:type="dxa"/>
            <w:shd w:val="clear" w:color="000000" w:fill="FFFFFF"/>
          </w:tcPr>
          <w:p w:rsidR="008B56D0" w:rsidRPr="002F0F29" w:rsidRDefault="008B56D0" w:rsidP="00DF204B">
            <w:pPr>
              <w:jc w:val="center"/>
              <w:rPr>
                <w:sz w:val="15"/>
                <w:szCs w:val="15"/>
              </w:rPr>
            </w:pPr>
            <w:r w:rsidRPr="002F0F29">
              <w:rPr>
                <w:color w:val="000000"/>
                <w:sz w:val="15"/>
                <w:szCs w:val="15"/>
              </w:rPr>
              <w:t>235</w:t>
            </w:r>
          </w:p>
        </w:tc>
        <w:tc>
          <w:tcPr>
            <w:tcW w:w="749" w:type="dxa"/>
            <w:shd w:val="clear" w:color="000000" w:fill="FFFFFF"/>
          </w:tcPr>
          <w:p w:rsidR="008B56D0" w:rsidRPr="002F0F29" w:rsidRDefault="008B56D0" w:rsidP="00DF204B">
            <w:pPr>
              <w:jc w:val="center"/>
              <w:rPr>
                <w:color w:val="000000"/>
                <w:sz w:val="15"/>
                <w:szCs w:val="15"/>
              </w:rPr>
            </w:pPr>
            <w:r w:rsidRPr="002F0F29">
              <w:rPr>
                <w:color w:val="000000"/>
                <w:sz w:val="15"/>
                <w:szCs w:val="15"/>
              </w:rPr>
              <w:t>276</w:t>
            </w:r>
          </w:p>
        </w:tc>
        <w:tc>
          <w:tcPr>
            <w:tcW w:w="680" w:type="dxa"/>
          </w:tcPr>
          <w:p w:rsidR="008B56D0" w:rsidRPr="002F0F29" w:rsidRDefault="000467BC" w:rsidP="00DF204B">
            <w:pPr>
              <w:jc w:val="center"/>
              <w:rPr>
                <w:color w:val="000000"/>
                <w:sz w:val="15"/>
                <w:szCs w:val="15"/>
              </w:rPr>
            </w:pPr>
            <w:r w:rsidRPr="002F0F29">
              <w:rPr>
                <w:color w:val="000000"/>
                <w:sz w:val="15"/>
                <w:szCs w:val="15"/>
              </w:rPr>
              <w:t>305</w:t>
            </w:r>
          </w:p>
        </w:tc>
        <w:tc>
          <w:tcPr>
            <w:tcW w:w="749" w:type="dxa"/>
            <w:shd w:val="clear" w:color="000000" w:fill="FFFFFF"/>
          </w:tcPr>
          <w:p w:rsidR="008B56D0" w:rsidRPr="002F0F29" w:rsidRDefault="008B56D0" w:rsidP="00DF204B">
            <w:pPr>
              <w:jc w:val="center"/>
              <w:rPr>
                <w:sz w:val="15"/>
                <w:szCs w:val="15"/>
              </w:rPr>
            </w:pPr>
            <w:r w:rsidRPr="002F0F29">
              <w:rPr>
                <w:color w:val="000000"/>
                <w:sz w:val="15"/>
                <w:szCs w:val="15"/>
              </w:rPr>
              <w:t>1,7</w:t>
            </w:r>
          </w:p>
        </w:tc>
        <w:tc>
          <w:tcPr>
            <w:tcW w:w="749" w:type="dxa"/>
            <w:shd w:val="clear" w:color="000000" w:fill="FFFFFF"/>
          </w:tcPr>
          <w:p w:rsidR="008B56D0" w:rsidRPr="002F0F29" w:rsidRDefault="008B56D0" w:rsidP="00DF204B">
            <w:pPr>
              <w:jc w:val="center"/>
              <w:rPr>
                <w:color w:val="000000"/>
                <w:sz w:val="15"/>
                <w:szCs w:val="15"/>
              </w:rPr>
            </w:pPr>
            <w:r w:rsidRPr="002F0F29">
              <w:rPr>
                <w:color w:val="000000"/>
                <w:sz w:val="15"/>
                <w:szCs w:val="15"/>
              </w:rPr>
              <w:t>1,5</w:t>
            </w:r>
          </w:p>
        </w:tc>
        <w:tc>
          <w:tcPr>
            <w:tcW w:w="703" w:type="dxa"/>
          </w:tcPr>
          <w:p w:rsidR="008B56D0" w:rsidRPr="002F0F29" w:rsidRDefault="00723781" w:rsidP="00DF204B">
            <w:pPr>
              <w:jc w:val="center"/>
              <w:rPr>
                <w:color w:val="000000"/>
                <w:sz w:val="15"/>
                <w:szCs w:val="15"/>
              </w:rPr>
            </w:pPr>
            <w:r w:rsidRPr="002F0F29">
              <w:rPr>
                <w:color w:val="000000"/>
                <w:sz w:val="15"/>
                <w:szCs w:val="15"/>
              </w:rPr>
              <w:t>1,5</w:t>
            </w:r>
          </w:p>
        </w:tc>
        <w:tc>
          <w:tcPr>
            <w:tcW w:w="760" w:type="dxa"/>
            <w:shd w:val="clear" w:color="000000" w:fill="FFFFFF"/>
          </w:tcPr>
          <w:p w:rsidR="008B56D0" w:rsidRPr="002F0F29" w:rsidRDefault="008B56D0" w:rsidP="00DF204B">
            <w:pPr>
              <w:jc w:val="center"/>
              <w:rPr>
                <w:sz w:val="15"/>
                <w:szCs w:val="15"/>
              </w:rPr>
            </w:pPr>
            <w:r w:rsidRPr="002F0F29">
              <w:rPr>
                <w:color w:val="000000"/>
                <w:sz w:val="15"/>
                <w:szCs w:val="15"/>
              </w:rPr>
              <w:t>98,8</w:t>
            </w:r>
          </w:p>
        </w:tc>
        <w:tc>
          <w:tcPr>
            <w:tcW w:w="749" w:type="dxa"/>
            <w:shd w:val="clear" w:color="000000" w:fill="FFFFFF"/>
          </w:tcPr>
          <w:p w:rsidR="008B56D0" w:rsidRPr="002F0F29" w:rsidRDefault="008B56D0" w:rsidP="00DF204B">
            <w:pPr>
              <w:jc w:val="center"/>
              <w:rPr>
                <w:color w:val="000000"/>
                <w:sz w:val="15"/>
                <w:szCs w:val="15"/>
              </w:rPr>
            </w:pPr>
            <w:r w:rsidRPr="002F0F29">
              <w:rPr>
                <w:color w:val="000000"/>
                <w:sz w:val="15"/>
                <w:szCs w:val="15"/>
              </w:rPr>
              <w:t>96,5</w:t>
            </w:r>
          </w:p>
        </w:tc>
        <w:tc>
          <w:tcPr>
            <w:tcW w:w="754" w:type="dxa"/>
          </w:tcPr>
          <w:p w:rsidR="008B56D0" w:rsidRPr="002F0F29" w:rsidRDefault="00723781" w:rsidP="00DF204B">
            <w:pPr>
              <w:jc w:val="center"/>
              <w:rPr>
                <w:color w:val="000000"/>
                <w:sz w:val="15"/>
                <w:szCs w:val="15"/>
              </w:rPr>
            </w:pPr>
            <w:r w:rsidRPr="002F0F29">
              <w:rPr>
                <w:color w:val="000000"/>
                <w:sz w:val="15"/>
                <w:szCs w:val="15"/>
              </w:rPr>
              <w:t>96,8</w:t>
            </w:r>
          </w:p>
        </w:tc>
        <w:tc>
          <w:tcPr>
            <w:tcW w:w="761" w:type="dxa"/>
            <w:shd w:val="clear" w:color="000000" w:fill="FFFFFF"/>
          </w:tcPr>
          <w:p w:rsidR="008B56D0" w:rsidRPr="002F0F29" w:rsidRDefault="008B56D0" w:rsidP="00DF204B">
            <w:pPr>
              <w:jc w:val="center"/>
              <w:rPr>
                <w:sz w:val="15"/>
                <w:szCs w:val="15"/>
              </w:rPr>
            </w:pPr>
            <w:r w:rsidRPr="002F0F29">
              <w:rPr>
                <w:sz w:val="15"/>
                <w:szCs w:val="15"/>
              </w:rPr>
              <w:t>57,7</w:t>
            </w:r>
          </w:p>
        </w:tc>
        <w:tc>
          <w:tcPr>
            <w:tcW w:w="753" w:type="dxa"/>
            <w:shd w:val="clear" w:color="000000" w:fill="FFFFFF"/>
          </w:tcPr>
          <w:p w:rsidR="008B56D0" w:rsidRPr="002F0F29" w:rsidRDefault="008B56D0" w:rsidP="00DF204B">
            <w:pPr>
              <w:jc w:val="center"/>
              <w:rPr>
                <w:sz w:val="15"/>
                <w:szCs w:val="15"/>
              </w:rPr>
            </w:pPr>
            <w:r w:rsidRPr="002F0F29">
              <w:rPr>
                <w:sz w:val="15"/>
                <w:szCs w:val="15"/>
              </w:rPr>
              <w:t>63,2</w:t>
            </w:r>
          </w:p>
        </w:tc>
        <w:tc>
          <w:tcPr>
            <w:tcW w:w="827" w:type="dxa"/>
          </w:tcPr>
          <w:p w:rsidR="008B56D0" w:rsidRPr="002F0F29" w:rsidRDefault="00723781" w:rsidP="00DF204B">
            <w:pPr>
              <w:jc w:val="center"/>
              <w:rPr>
                <w:sz w:val="15"/>
                <w:szCs w:val="15"/>
              </w:rPr>
            </w:pPr>
            <w:r w:rsidRPr="002F0F29">
              <w:rPr>
                <w:sz w:val="15"/>
                <w:szCs w:val="15"/>
              </w:rPr>
              <w:t>65,5</w:t>
            </w:r>
          </w:p>
        </w:tc>
      </w:tr>
      <w:tr w:rsidR="008B56D0" w:rsidRPr="002F0F29" w:rsidTr="00DF204B">
        <w:trPr>
          <w:trHeight w:val="20"/>
        </w:trPr>
        <w:tc>
          <w:tcPr>
            <w:tcW w:w="2552" w:type="dxa"/>
          </w:tcPr>
          <w:p w:rsidR="008B56D0" w:rsidRPr="002F0F29" w:rsidRDefault="008B56D0" w:rsidP="00DF204B">
            <w:pPr>
              <w:rPr>
                <w:sz w:val="15"/>
                <w:szCs w:val="15"/>
              </w:rPr>
            </w:pPr>
            <w:r w:rsidRPr="002F0F29">
              <w:rPr>
                <w:color w:val="000000"/>
                <w:sz w:val="15"/>
                <w:szCs w:val="15"/>
              </w:rPr>
              <w:t>Эндоскописты</w:t>
            </w:r>
          </w:p>
        </w:tc>
        <w:tc>
          <w:tcPr>
            <w:tcW w:w="767" w:type="dxa"/>
            <w:shd w:val="clear" w:color="000000" w:fill="FFFFFF"/>
          </w:tcPr>
          <w:p w:rsidR="008B56D0" w:rsidRPr="002F0F29" w:rsidRDefault="008B56D0" w:rsidP="00DF204B">
            <w:pPr>
              <w:jc w:val="center"/>
              <w:rPr>
                <w:sz w:val="15"/>
                <w:szCs w:val="15"/>
              </w:rPr>
            </w:pPr>
            <w:r w:rsidRPr="002F0F29">
              <w:rPr>
                <w:color w:val="000000"/>
                <w:sz w:val="15"/>
                <w:szCs w:val="15"/>
              </w:rPr>
              <w:t>121,75</w:t>
            </w:r>
          </w:p>
        </w:tc>
        <w:tc>
          <w:tcPr>
            <w:tcW w:w="766" w:type="dxa"/>
            <w:shd w:val="clear" w:color="000000" w:fill="FFFFFF"/>
          </w:tcPr>
          <w:p w:rsidR="008B56D0" w:rsidRPr="002F0F29" w:rsidRDefault="008B56D0" w:rsidP="00DF204B">
            <w:pPr>
              <w:ind w:left="-57" w:right="-57"/>
              <w:jc w:val="center"/>
              <w:rPr>
                <w:color w:val="000000"/>
                <w:sz w:val="15"/>
                <w:szCs w:val="15"/>
              </w:rPr>
            </w:pPr>
            <w:r w:rsidRPr="002F0F29">
              <w:rPr>
                <w:color w:val="000000"/>
                <w:sz w:val="15"/>
                <w:szCs w:val="15"/>
              </w:rPr>
              <w:t>135,25</w:t>
            </w:r>
          </w:p>
        </w:tc>
        <w:tc>
          <w:tcPr>
            <w:tcW w:w="709" w:type="dxa"/>
          </w:tcPr>
          <w:p w:rsidR="008B56D0" w:rsidRPr="002F0F29" w:rsidRDefault="000467BC" w:rsidP="00DF204B">
            <w:pPr>
              <w:ind w:left="-57" w:right="-57"/>
              <w:jc w:val="center"/>
              <w:rPr>
                <w:color w:val="000000"/>
                <w:sz w:val="15"/>
                <w:szCs w:val="15"/>
              </w:rPr>
            </w:pPr>
            <w:r w:rsidRPr="002F0F29">
              <w:rPr>
                <w:color w:val="000000"/>
                <w:sz w:val="15"/>
                <w:szCs w:val="15"/>
              </w:rPr>
              <w:t>141,25</w:t>
            </w:r>
          </w:p>
        </w:tc>
        <w:tc>
          <w:tcPr>
            <w:tcW w:w="766" w:type="dxa"/>
            <w:shd w:val="clear" w:color="000000" w:fill="FFFFFF"/>
          </w:tcPr>
          <w:p w:rsidR="008B56D0" w:rsidRPr="002F0F29" w:rsidRDefault="008B56D0" w:rsidP="00DF204B">
            <w:pPr>
              <w:jc w:val="center"/>
              <w:rPr>
                <w:sz w:val="15"/>
                <w:szCs w:val="15"/>
              </w:rPr>
            </w:pPr>
            <w:r w:rsidRPr="002F0F29">
              <w:rPr>
                <w:color w:val="000000"/>
                <w:sz w:val="15"/>
                <w:szCs w:val="15"/>
              </w:rPr>
              <w:t>119,75</w:t>
            </w:r>
          </w:p>
        </w:tc>
        <w:tc>
          <w:tcPr>
            <w:tcW w:w="766" w:type="dxa"/>
            <w:shd w:val="clear" w:color="000000" w:fill="FFFFFF"/>
          </w:tcPr>
          <w:p w:rsidR="008B56D0" w:rsidRPr="002F0F29" w:rsidRDefault="008B56D0" w:rsidP="00DF204B">
            <w:pPr>
              <w:ind w:left="-57" w:right="-57"/>
              <w:jc w:val="center"/>
              <w:rPr>
                <w:color w:val="000000"/>
                <w:sz w:val="15"/>
                <w:szCs w:val="15"/>
              </w:rPr>
            </w:pPr>
            <w:r w:rsidRPr="002F0F29">
              <w:rPr>
                <w:color w:val="000000"/>
                <w:sz w:val="15"/>
                <w:szCs w:val="15"/>
              </w:rPr>
              <w:t>124,0</w:t>
            </w:r>
          </w:p>
        </w:tc>
        <w:tc>
          <w:tcPr>
            <w:tcW w:w="709" w:type="dxa"/>
          </w:tcPr>
          <w:p w:rsidR="008B56D0" w:rsidRPr="002F0F29" w:rsidRDefault="000467BC" w:rsidP="00DF204B">
            <w:pPr>
              <w:ind w:left="-57" w:right="-57"/>
              <w:jc w:val="center"/>
              <w:rPr>
                <w:color w:val="000000"/>
                <w:sz w:val="15"/>
                <w:szCs w:val="15"/>
              </w:rPr>
            </w:pPr>
            <w:r w:rsidRPr="002F0F29">
              <w:rPr>
                <w:color w:val="000000"/>
                <w:sz w:val="15"/>
                <w:szCs w:val="15"/>
              </w:rPr>
              <w:t>135,25</w:t>
            </w:r>
          </w:p>
        </w:tc>
        <w:tc>
          <w:tcPr>
            <w:tcW w:w="749" w:type="dxa"/>
            <w:shd w:val="clear" w:color="000000" w:fill="FFFFFF"/>
          </w:tcPr>
          <w:p w:rsidR="008B56D0" w:rsidRPr="002F0F29" w:rsidRDefault="008B56D0" w:rsidP="00DF204B">
            <w:pPr>
              <w:jc w:val="center"/>
              <w:rPr>
                <w:sz w:val="15"/>
                <w:szCs w:val="15"/>
              </w:rPr>
            </w:pPr>
            <w:r w:rsidRPr="002F0F29">
              <w:rPr>
                <w:color w:val="000000"/>
                <w:sz w:val="15"/>
                <w:szCs w:val="15"/>
              </w:rPr>
              <w:t>63</w:t>
            </w:r>
          </w:p>
        </w:tc>
        <w:tc>
          <w:tcPr>
            <w:tcW w:w="749" w:type="dxa"/>
            <w:shd w:val="clear" w:color="000000" w:fill="FFFFFF"/>
          </w:tcPr>
          <w:p w:rsidR="008B56D0" w:rsidRPr="002F0F29" w:rsidRDefault="008B56D0" w:rsidP="00DF204B">
            <w:pPr>
              <w:jc w:val="center"/>
              <w:rPr>
                <w:color w:val="000000"/>
                <w:sz w:val="15"/>
                <w:szCs w:val="15"/>
              </w:rPr>
            </w:pPr>
            <w:r w:rsidRPr="002F0F29">
              <w:rPr>
                <w:color w:val="000000"/>
                <w:sz w:val="15"/>
                <w:szCs w:val="15"/>
              </w:rPr>
              <w:t>68</w:t>
            </w:r>
          </w:p>
        </w:tc>
        <w:tc>
          <w:tcPr>
            <w:tcW w:w="680" w:type="dxa"/>
          </w:tcPr>
          <w:p w:rsidR="008B56D0" w:rsidRPr="002F0F29" w:rsidRDefault="000467BC" w:rsidP="00DF204B">
            <w:pPr>
              <w:jc w:val="center"/>
              <w:rPr>
                <w:color w:val="000000"/>
                <w:sz w:val="15"/>
                <w:szCs w:val="15"/>
              </w:rPr>
            </w:pPr>
            <w:r w:rsidRPr="002F0F29">
              <w:rPr>
                <w:color w:val="000000"/>
                <w:sz w:val="15"/>
                <w:szCs w:val="15"/>
              </w:rPr>
              <w:t>82</w:t>
            </w:r>
          </w:p>
        </w:tc>
        <w:tc>
          <w:tcPr>
            <w:tcW w:w="749" w:type="dxa"/>
            <w:shd w:val="clear" w:color="000000" w:fill="FFFFFF"/>
          </w:tcPr>
          <w:p w:rsidR="008B56D0" w:rsidRPr="002F0F29" w:rsidRDefault="008B56D0" w:rsidP="00DF204B">
            <w:pPr>
              <w:jc w:val="center"/>
              <w:rPr>
                <w:sz w:val="15"/>
                <w:szCs w:val="15"/>
              </w:rPr>
            </w:pPr>
            <w:r w:rsidRPr="002F0F29">
              <w:rPr>
                <w:color w:val="000000"/>
                <w:sz w:val="15"/>
                <w:szCs w:val="15"/>
              </w:rPr>
              <w:t>1,9</w:t>
            </w:r>
          </w:p>
        </w:tc>
        <w:tc>
          <w:tcPr>
            <w:tcW w:w="749" w:type="dxa"/>
            <w:shd w:val="clear" w:color="000000" w:fill="FFFFFF"/>
          </w:tcPr>
          <w:p w:rsidR="008B56D0" w:rsidRPr="002F0F29" w:rsidRDefault="008B56D0" w:rsidP="00DF204B">
            <w:pPr>
              <w:jc w:val="center"/>
              <w:rPr>
                <w:color w:val="000000"/>
                <w:sz w:val="15"/>
                <w:szCs w:val="15"/>
              </w:rPr>
            </w:pPr>
            <w:r w:rsidRPr="002F0F29">
              <w:rPr>
                <w:color w:val="000000"/>
                <w:sz w:val="15"/>
                <w:szCs w:val="15"/>
              </w:rPr>
              <w:t>1,8</w:t>
            </w:r>
          </w:p>
        </w:tc>
        <w:tc>
          <w:tcPr>
            <w:tcW w:w="703" w:type="dxa"/>
          </w:tcPr>
          <w:p w:rsidR="008B56D0" w:rsidRPr="002F0F29" w:rsidRDefault="00723781" w:rsidP="00DF204B">
            <w:pPr>
              <w:jc w:val="center"/>
              <w:rPr>
                <w:color w:val="000000"/>
                <w:sz w:val="15"/>
                <w:szCs w:val="15"/>
              </w:rPr>
            </w:pPr>
            <w:r w:rsidRPr="002F0F29">
              <w:rPr>
                <w:color w:val="000000"/>
                <w:sz w:val="15"/>
                <w:szCs w:val="15"/>
              </w:rPr>
              <w:t>1,7</w:t>
            </w:r>
          </w:p>
        </w:tc>
        <w:tc>
          <w:tcPr>
            <w:tcW w:w="760" w:type="dxa"/>
            <w:shd w:val="clear" w:color="000000" w:fill="FFFFFF"/>
          </w:tcPr>
          <w:p w:rsidR="008B56D0" w:rsidRPr="002F0F29" w:rsidRDefault="008B56D0" w:rsidP="00DF204B">
            <w:pPr>
              <w:jc w:val="center"/>
              <w:rPr>
                <w:sz w:val="15"/>
                <w:szCs w:val="15"/>
              </w:rPr>
            </w:pPr>
            <w:r w:rsidRPr="002F0F29">
              <w:rPr>
                <w:color w:val="000000"/>
                <w:sz w:val="15"/>
                <w:szCs w:val="15"/>
              </w:rPr>
              <w:t>98,4</w:t>
            </w:r>
          </w:p>
        </w:tc>
        <w:tc>
          <w:tcPr>
            <w:tcW w:w="749" w:type="dxa"/>
            <w:shd w:val="clear" w:color="000000" w:fill="FFFFFF"/>
          </w:tcPr>
          <w:p w:rsidR="008B56D0" w:rsidRPr="002F0F29" w:rsidRDefault="008B56D0" w:rsidP="00DF204B">
            <w:pPr>
              <w:jc w:val="center"/>
              <w:rPr>
                <w:color w:val="000000"/>
                <w:sz w:val="15"/>
                <w:szCs w:val="15"/>
              </w:rPr>
            </w:pPr>
            <w:r w:rsidRPr="002F0F29">
              <w:rPr>
                <w:color w:val="000000"/>
                <w:sz w:val="15"/>
                <w:szCs w:val="15"/>
              </w:rPr>
              <w:t>91,7</w:t>
            </w:r>
          </w:p>
        </w:tc>
        <w:tc>
          <w:tcPr>
            <w:tcW w:w="754" w:type="dxa"/>
          </w:tcPr>
          <w:p w:rsidR="008B56D0" w:rsidRPr="002F0F29" w:rsidRDefault="00723781" w:rsidP="00DF204B">
            <w:pPr>
              <w:jc w:val="center"/>
              <w:rPr>
                <w:color w:val="000000"/>
                <w:sz w:val="15"/>
                <w:szCs w:val="15"/>
              </w:rPr>
            </w:pPr>
            <w:r w:rsidRPr="002F0F29">
              <w:rPr>
                <w:color w:val="000000"/>
                <w:sz w:val="15"/>
                <w:szCs w:val="15"/>
              </w:rPr>
              <w:t>95,8</w:t>
            </w:r>
          </w:p>
        </w:tc>
        <w:tc>
          <w:tcPr>
            <w:tcW w:w="761" w:type="dxa"/>
            <w:shd w:val="clear" w:color="000000" w:fill="FFFFFF"/>
          </w:tcPr>
          <w:p w:rsidR="008B56D0" w:rsidRPr="002F0F29" w:rsidRDefault="008B56D0" w:rsidP="00DF204B">
            <w:pPr>
              <w:jc w:val="center"/>
              <w:rPr>
                <w:sz w:val="15"/>
                <w:szCs w:val="15"/>
              </w:rPr>
            </w:pPr>
            <w:r w:rsidRPr="002F0F29">
              <w:rPr>
                <w:sz w:val="15"/>
                <w:szCs w:val="15"/>
              </w:rPr>
              <w:t>51,8</w:t>
            </w:r>
          </w:p>
        </w:tc>
        <w:tc>
          <w:tcPr>
            <w:tcW w:w="753" w:type="dxa"/>
            <w:shd w:val="clear" w:color="000000" w:fill="FFFFFF"/>
          </w:tcPr>
          <w:p w:rsidR="008B56D0" w:rsidRPr="002F0F29" w:rsidRDefault="008B56D0" w:rsidP="00DF204B">
            <w:pPr>
              <w:jc w:val="center"/>
              <w:rPr>
                <w:sz w:val="15"/>
                <w:szCs w:val="15"/>
              </w:rPr>
            </w:pPr>
            <w:r w:rsidRPr="002F0F29">
              <w:rPr>
                <w:sz w:val="15"/>
                <w:szCs w:val="15"/>
              </w:rPr>
              <w:t>50,3</w:t>
            </w:r>
          </w:p>
        </w:tc>
        <w:tc>
          <w:tcPr>
            <w:tcW w:w="827" w:type="dxa"/>
          </w:tcPr>
          <w:p w:rsidR="008B56D0" w:rsidRPr="002F0F29" w:rsidRDefault="00723781" w:rsidP="00DF204B">
            <w:pPr>
              <w:jc w:val="center"/>
              <w:rPr>
                <w:sz w:val="15"/>
                <w:szCs w:val="15"/>
              </w:rPr>
            </w:pPr>
            <w:r w:rsidRPr="002F0F29">
              <w:rPr>
                <w:sz w:val="15"/>
                <w:szCs w:val="15"/>
              </w:rPr>
              <w:t>58,1</w:t>
            </w:r>
          </w:p>
        </w:tc>
      </w:tr>
    </w:tbl>
    <w:p w:rsidR="004530A0" w:rsidRPr="002F0F29" w:rsidRDefault="004530A0" w:rsidP="00A67811">
      <w:pPr>
        <w:ind w:firstLine="709"/>
        <w:jc w:val="both"/>
        <w:rPr>
          <w:rFonts w:eastAsia="Arial"/>
          <w:sz w:val="28"/>
          <w:szCs w:val="28"/>
        </w:rPr>
        <w:sectPr w:rsidR="004530A0" w:rsidRPr="002F0F29" w:rsidSect="00774ED7">
          <w:pgSz w:w="16838" w:h="11906" w:orient="landscape"/>
          <w:pgMar w:top="1134" w:right="567" w:bottom="1134" w:left="1134" w:header="709" w:footer="709" w:gutter="0"/>
          <w:cols w:space="708"/>
          <w:docGrid w:linePitch="360"/>
        </w:sectPr>
      </w:pPr>
    </w:p>
    <w:p w:rsidR="00BD0E95" w:rsidRPr="002F0F29" w:rsidRDefault="00613F64" w:rsidP="00F42223">
      <w:pPr>
        <w:ind w:firstLine="709"/>
        <w:jc w:val="both"/>
        <w:rPr>
          <w:rFonts w:eastAsia="Arial"/>
          <w:sz w:val="28"/>
          <w:szCs w:val="28"/>
        </w:rPr>
      </w:pPr>
      <w:r w:rsidRPr="002F0F29">
        <w:rPr>
          <w:rFonts w:eastAsia="Arial"/>
          <w:sz w:val="28"/>
          <w:szCs w:val="28"/>
        </w:rPr>
        <w:t>За 202</w:t>
      </w:r>
      <w:r w:rsidR="00E83E4E" w:rsidRPr="002F0F29">
        <w:rPr>
          <w:rFonts w:eastAsia="Arial"/>
          <w:sz w:val="28"/>
          <w:szCs w:val="28"/>
        </w:rPr>
        <w:t>3</w:t>
      </w:r>
      <w:r w:rsidR="000F67B5" w:rsidRPr="002F0F29">
        <w:rPr>
          <w:rFonts w:eastAsia="Arial"/>
          <w:sz w:val="28"/>
          <w:szCs w:val="28"/>
        </w:rPr>
        <w:t xml:space="preserve"> </w:t>
      </w:r>
      <w:r w:rsidR="000F67B5" w:rsidRPr="002F0F29">
        <w:rPr>
          <w:rFonts w:eastAsia="Arial"/>
        </w:rPr>
        <w:t xml:space="preserve">– </w:t>
      </w:r>
      <w:r w:rsidRPr="002F0F29">
        <w:rPr>
          <w:rFonts w:eastAsia="Arial"/>
          <w:sz w:val="28"/>
          <w:szCs w:val="28"/>
        </w:rPr>
        <w:t>202</w:t>
      </w:r>
      <w:r w:rsidR="00E83E4E" w:rsidRPr="002F0F29">
        <w:rPr>
          <w:rFonts w:eastAsia="Arial"/>
          <w:sz w:val="28"/>
          <w:szCs w:val="28"/>
        </w:rPr>
        <w:t>5</w:t>
      </w:r>
      <w:r w:rsidRPr="002F0F29">
        <w:rPr>
          <w:rFonts w:eastAsia="Arial"/>
          <w:sz w:val="28"/>
          <w:szCs w:val="28"/>
        </w:rPr>
        <w:t xml:space="preserve"> годы </w:t>
      </w:r>
      <w:r w:rsidR="00E83E4E" w:rsidRPr="002F0F29">
        <w:rPr>
          <w:rFonts w:eastAsia="Arial"/>
          <w:sz w:val="28"/>
          <w:szCs w:val="28"/>
        </w:rPr>
        <w:t xml:space="preserve">увеличилсь </w:t>
      </w:r>
      <w:r w:rsidR="000F67B5" w:rsidRPr="002F0F29">
        <w:rPr>
          <w:rFonts w:eastAsia="Arial"/>
          <w:sz w:val="28"/>
          <w:szCs w:val="28"/>
        </w:rPr>
        <w:t>число</w:t>
      </w:r>
      <w:r w:rsidRPr="002F0F29">
        <w:rPr>
          <w:rFonts w:eastAsia="Arial"/>
          <w:sz w:val="28"/>
          <w:szCs w:val="28"/>
        </w:rPr>
        <w:t xml:space="preserve"> штатных должностей врачей: радиотерапевтов на 1</w:t>
      </w:r>
      <w:r w:rsidR="00E83E4E" w:rsidRPr="002F0F29">
        <w:rPr>
          <w:rFonts w:eastAsia="Arial"/>
          <w:sz w:val="28"/>
          <w:szCs w:val="28"/>
        </w:rPr>
        <w:t>2</w:t>
      </w:r>
      <w:r w:rsidRPr="002F0F29">
        <w:rPr>
          <w:rFonts w:eastAsia="Arial"/>
          <w:sz w:val="28"/>
          <w:szCs w:val="28"/>
        </w:rPr>
        <w:t>,</w:t>
      </w:r>
      <w:r w:rsidR="00E83E4E" w:rsidRPr="002F0F29">
        <w:rPr>
          <w:rFonts w:eastAsia="Arial"/>
          <w:sz w:val="28"/>
          <w:szCs w:val="28"/>
        </w:rPr>
        <w:t>1</w:t>
      </w:r>
      <w:r w:rsidRPr="002F0F29">
        <w:rPr>
          <w:rFonts w:eastAsia="Arial"/>
          <w:sz w:val="28"/>
          <w:szCs w:val="28"/>
        </w:rPr>
        <w:t xml:space="preserve"> процент</w:t>
      </w:r>
      <w:r w:rsidR="000F67B5" w:rsidRPr="002F0F29">
        <w:rPr>
          <w:rFonts w:eastAsia="Arial"/>
          <w:sz w:val="28"/>
          <w:szCs w:val="28"/>
        </w:rPr>
        <w:t>а</w:t>
      </w:r>
      <w:r w:rsidRPr="002F0F29">
        <w:rPr>
          <w:rFonts w:eastAsia="Arial"/>
          <w:sz w:val="28"/>
          <w:szCs w:val="28"/>
        </w:rPr>
        <w:t>, рентгенологов на 1,</w:t>
      </w:r>
      <w:r w:rsidR="00E83E4E" w:rsidRPr="002F0F29">
        <w:rPr>
          <w:rFonts w:eastAsia="Arial"/>
          <w:sz w:val="28"/>
          <w:szCs w:val="28"/>
        </w:rPr>
        <w:t>0</w:t>
      </w:r>
      <w:r w:rsidRPr="002F0F29">
        <w:rPr>
          <w:rFonts w:eastAsia="Arial"/>
          <w:sz w:val="28"/>
          <w:szCs w:val="28"/>
        </w:rPr>
        <w:t xml:space="preserve"> процента, ультразвуковой диагностики на </w:t>
      </w:r>
      <w:r w:rsidR="00E83E4E" w:rsidRPr="002F0F29">
        <w:rPr>
          <w:rFonts w:eastAsia="Arial"/>
          <w:sz w:val="28"/>
          <w:szCs w:val="28"/>
        </w:rPr>
        <w:t>7,5</w:t>
      </w:r>
      <w:r w:rsidRPr="002F0F29">
        <w:rPr>
          <w:rFonts w:eastAsia="Arial"/>
          <w:sz w:val="28"/>
          <w:szCs w:val="28"/>
        </w:rPr>
        <w:t xml:space="preserve"> процента, эндоскопистов на </w:t>
      </w:r>
      <w:r w:rsidR="00E83E4E" w:rsidRPr="002F0F29">
        <w:rPr>
          <w:rFonts w:eastAsia="Arial"/>
          <w:sz w:val="28"/>
          <w:szCs w:val="28"/>
        </w:rPr>
        <w:t>1,5</w:t>
      </w:r>
      <w:r w:rsidRPr="002F0F29">
        <w:rPr>
          <w:rFonts w:eastAsia="Arial"/>
          <w:sz w:val="28"/>
          <w:szCs w:val="28"/>
        </w:rPr>
        <w:t xml:space="preserve"> процент</w:t>
      </w:r>
      <w:r w:rsidR="000F67B5" w:rsidRPr="002F0F29">
        <w:rPr>
          <w:rFonts w:eastAsia="Arial"/>
          <w:sz w:val="28"/>
          <w:szCs w:val="28"/>
        </w:rPr>
        <w:t>а</w:t>
      </w:r>
      <w:r w:rsidRPr="002F0F29">
        <w:rPr>
          <w:rFonts w:eastAsia="Arial"/>
          <w:sz w:val="28"/>
          <w:szCs w:val="28"/>
        </w:rPr>
        <w:t xml:space="preserve">. </w:t>
      </w:r>
    </w:p>
    <w:p w:rsidR="00613F64" w:rsidRPr="002F0F29" w:rsidRDefault="00613F64" w:rsidP="00C55D07">
      <w:pPr>
        <w:spacing w:line="245" w:lineRule="auto"/>
        <w:ind w:firstLine="709"/>
        <w:jc w:val="both"/>
        <w:rPr>
          <w:rFonts w:eastAsia="Arial"/>
          <w:sz w:val="28"/>
          <w:szCs w:val="28"/>
        </w:rPr>
      </w:pPr>
      <w:r w:rsidRPr="002F0F29">
        <w:rPr>
          <w:rFonts w:eastAsia="Arial"/>
          <w:sz w:val="28"/>
          <w:szCs w:val="28"/>
        </w:rPr>
        <w:t>За аналогичный период снизи</w:t>
      </w:r>
      <w:r w:rsidR="000F67B5" w:rsidRPr="002F0F29">
        <w:rPr>
          <w:rFonts w:eastAsia="Arial"/>
          <w:sz w:val="28"/>
          <w:szCs w:val="28"/>
        </w:rPr>
        <w:t>л</w:t>
      </w:r>
      <w:r w:rsidRPr="002F0F29">
        <w:rPr>
          <w:rFonts w:eastAsia="Arial"/>
          <w:sz w:val="28"/>
          <w:szCs w:val="28"/>
        </w:rPr>
        <w:t xml:space="preserve">ось число штатных должностей врачей: </w:t>
      </w:r>
      <w:r w:rsidR="00E83E4E" w:rsidRPr="002F0F29">
        <w:rPr>
          <w:rFonts w:eastAsia="Arial"/>
          <w:sz w:val="28"/>
          <w:szCs w:val="28"/>
        </w:rPr>
        <w:t xml:space="preserve">онкологов на 0,3 процента, </w:t>
      </w:r>
      <w:r w:rsidRPr="002F0F29">
        <w:rPr>
          <w:rFonts w:eastAsia="Arial"/>
          <w:sz w:val="28"/>
          <w:szCs w:val="28"/>
        </w:rPr>
        <w:t xml:space="preserve">радиологов на </w:t>
      </w:r>
      <w:r w:rsidR="00E83E4E" w:rsidRPr="002F0F29">
        <w:rPr>
          <w:rFonts w:eastAsia="Arial"/>
          <w:sz w:val="28"/>
          <w:szCs w:val="28"/>
        </w:rPr>
        <w:t>7,1</w:t>
      </w:r>
      <w:r w:rsidRPr="002F0F29">
        <w:rPr>
          <w:rFonts w:eastAsia="Arial"/>
          <w:sz w:val="28"/>
          <w:szCs w:val="28"/>
        </w:rPr>
        <w:t xml:space="preserve"> процент</w:t>
      </w:r>
      <w:r w:rsidR="000F67B5" w:rsidRPr="002F0F29">
        <w:rPr>
          <w:rFonts w:eastAsia="Arial"/>
          <w:sz w:val="28"/>
          <w:szCs w:val="28"/>
        </w:rPr>
        <w:t>а</w:t>
      </w:r>
      <w:r w:rsidRPr="002F0F29">
        <w:rPr>
          <w:rFonts w:eastAsia="Arial"/>
          <w:sz w:val="28"/>
          <w:szCs w:val="28"/>
        </w:rPr>
        <w:t xml:space="preserve">, патологоанатомов на </w:t>
      </w:r>
      <w:r w:rsidR="00E83E4E" w:rsidRPr="002F0F29">
        <w:rPr>
          <w:rFonts w:eastAsia="Arial"/>
          <w:sz w:val="28"/>
          <w:szCs w:val="28"/>
        </w:rPr>
        <w:t>0,2</w:t>
      </w:r>
      <w:r w:rsidRPr="002F0F29">
        <w:rPr>
          <w:rFonts w:eastAsia="Arial"/>
          <w:sz w:val="28"/>
          <w:szCs w:val="28"/>
        </w:rPr>
        <w:t xml:space="preserve"> процента, </w:t>
      </w:r>
    </w:p>
    <w:p w:rsidR="00613F64" w:rsidRPr="002F0F29" w:rsidRDefault="00613F64" w:rsidP="00C55D07">
      <w:pPr>
        <w:spacing w:line="245" w:lineRule="auto"/>
        <w:ind w:firstLine="709"/>
        <w:jc w:val="both"/>
        <w:rPr>
          <w:rFonts w:eastAsia="Arial"/>
          <w:sz w:val="28"/>
          <w:szCs w:val="28"/>
        </w:rPr>
      </w:pPr>
      <w:r w:rsidRPr="002F0F29">
        <w:rPr>
          <w:rFonts w:eastAsia="Arial"/>
          <w:sz w:val="28"/>
          <w:szCs w:val="28"/>
        </w:rPr>
        <w:t xml:space="preserve">Увеличилось число физических лиц врачей: онкологов на </w:t>
      </w:r>
      <w:r w:rsidR="00E83E4E" w:rsidRPr="002F0F29">
        <w:rPr>
          <w:rFonts w:eastAsia="Arial"/>
          <w:sz w:val="28"/>
          <w:szCs w:val="28"/>
        </w:rPr>
        <w:t>10,9</w:t>
      </w:r>
      <w:r w:rsidRPr="002F0F29">
        <w:rPr>
          <w:rFonts w:eastAsia="Arial"/>
          <w:sz w:val="28"/>
          <w:szCs w:val="28"/>
        </w:rPr>
        <w:t xml:space="preserve"> процента, </w:t>
      </w:r>
      <w:r w:rsidR="00076EB6" w:rsidRPr="002F0F29">
        <w:rPr>
          <w:rFonts w:eastAsia="Arial"/>
          <w:sz w:val="28"/>
          <w:szCs w:val="28"/>
        </w:rPr>
        <w:t xml:space="preserve">рентгенологов на 13,8 процента, радиологов на 33,3 процента, </w:t>
      </w:r>
      <w:r w:rsidR="005506A4" w:rsidRPr="002F0F29">
        <w:rPr>
          <w:rFonts w:eastAsia="Arial"/>
          <w:sz w:val="28"/>
          <w:szCs w:val="28"/>
        </w:rPr>
        <w:t xml:space="preserve">радиотерапевтов на </w:t>
      </w:r>
      <w:r w:rsidR="00E83E4E" w:rsidRPr="002F0F29">
        <w:rPr>
          <w:rFonts w:eastAsia="Arial"/>
          <w:sz w:val="28"/>
          <w:szCs w:val="28"/>
        </w:rPr>
        <w:t>10,7</w:t>
      </w:r>
      <w:r w:rsidR="005506A4" w:rsidRPr="002F0F29">
        <w:rPr>
          <w:rFonts w:eastAsia="Arial"/>
          <w:sz w:val="28"/>
          <w:szCs w:val="28"/>
        </w:rPr>
        <w:t xml:space="preserve"> процент</w:t>
      </w:r>
      <w:r w:rsidR="000F67B5" w:rsidRPr="002F0F29">
        <w:rPr>
          <w:rFonts w:eastAsia="Arial"/>
          <w:sz w:val="28"/>
          <w:szCs w:val="28"/>
        </w:rPr>
        <w:t>а</w:t>
      </w:r>
      <w:r w:rsidR="005506A4" w:rsidRPr="002F0F29">
        <w:rPr>
          <w:rFonts w:eastAsia="Arial"/>
          <w:sz w:val="28"/>
          <w:szCs w:val="28"/>
        </w:rPr>
        <w:t xml:space="preserve">, </w:t>
      </w:r>
      <w:r w:rsidR="00BB3D40" w:rsidRPr="002F0F29">
        <w:rPr>
          <w:rFonts w:eastAsia="Arial"/>
          <w:sz w:val="28"/>
          <w:szCs w:val="28"/>
        </w:rPr>
        <w:t xml:space="preserve">патологоанатомов на 9,8 процента, </w:t>
      </w:r>
      <w:r w:rsidR="005506A4" w:rsidRPr="002F0F29">
        <w:rPr>
          <w:rFonts w:eastAsia="Arial"/>
          <w:sz w:val="28"/>
          <w:szCs w:val="28"/>
        </w:rPr>
        <w:t>ультразвуковой диагностики на 1</w:t>
      </w:r>
      <w:r w:rsidR="00E83E4E" w:rsidRPr="002F0F29">
        <w:rPr>
          <w:rFonts w:eastAsia="Arial"/>
          <w:sz w:val="28"/>
          <w:szCs w:val="28"/>
        </w:rPr>
        <w:t>6,0</w:t>
      </w:r>
      <w:r w:rsidR="005506A4" w:rsidRPr="002F0F29">
        <w:rPr>
          <w:rFonts w:eastAsia="Arial"/>
          <w:sz w:val="28"/>
          <w:szCs w:val="28"/>
        </w:rPr>
        <w:t xml:space="preserve"> процент</w:t>
      </w:r>
      <w:r w:rsidR="000F67B5" w:rsidRPr="002F0F29">
        <w:rPr>
          <w:rFonts w:eastAsia="Arial"/>
          <w:sz w:val="28"/>
          <w:szCs w:val="28"/>
        </w:rPr>
        <w:t>а</w:t>
      </w:r>
      <w:r w:rsidR="005506A4" w:rsidRPr="002F0F29">
        <w:rPr>
          <w:rFonts w:eastAsia="Arial"/>
          <w:sz w:val="28"/>
          <w:szCs w:val="28"/>
        </w:rPr>
        <w:t xml:space="preserve">, эндоскопистов на </w:t>
      </w:r>
      <w:r w:rsidR="001E796C" w:rsidRPr="002F0F29">
        <w:rPr>
          <w:rFonts w:eastAsia="Arial"/>
          <w:sz w:val="28"/>
          <w:szCs w:val="28"/>
        </w:rPr>
        <w:t>10,9</w:t>
      </w:r>
      <w:r w:rsidR="005506A4" w:rsidRPr="002F0F29">
        <w:rPr>
          <w:rFonts w:eastAsia="Arial"/>
          <w:sz w:val="28"/>
          <w:szCs w:val="28"/>
        </w:rPr>
        <w:t xml:space="preserve"> процент</w:t>
      </w:r>
      <w:r w:rsidR="000F67B5" w:rsidRPr="002F0F29">
        <w:rPr>
          <w:rFonts w:eastAsia="Arial"/>
          <w:sz w:val="28"/>
          <w:szCs w:val="28"/>
        </w:rPr>
        <w:t>а</w:t>
      </w:r>
      <w:r w:rsidR="005506A4" w:rsidRPr="002F0F29">
        <w:rPr>
          <w:rFonts w:eastAsia="Arial"/>
          <w:sz w:val="28"/>
          <w:szCs w:val="28"/>
        </w:rPr>
        <w:t>.</w:t>
      </w:r>
    </w:p>
    <w:p w:rsidR="005506A4" w:rsidRPr="002F0F29" w:rsidRDefault="005506A4" w:rsidP="00C55D07">
      <w:pPr>
        <w:spacing w:line="245" w:lineRule="auto"/>
        <w:ind w:firstLine="709"/>
        <w:jc w:val="both"/>
        <w:rPr>
          <w:rFonts w:eastAsia="Arial"/>
          <w:sz w:val="28"/>
          <w:szCs w:val="28"/>
        </w:rPr>
      </w:pPr>
      <w:r w:rsidRPr="002F0F29">
        <w:rPr>
          <w:rFonts w:eastAsia="Arial"/>
          <w:sz w:val="28"/>
          <w:szCs w:val="28"/>
        </w:rPr>
        <w:t>Увеличилась укомп</w:t>
      </w:r>
      <w:r w:rsidR="000F67B5" w:rsidRPr="002F0F29">
        <w:rPr>
          <w:rFonts w:eastAsia="Arial"/>
          <w:sz w:val="28"/>
          <w:szCs w:val="28"/>
        </w:rPr>
        <w:t>л</w:t>
      </w:r>
      <w:r w:rsidRPr="002F0F29">
        <w:rPr>
          <w:rFonts w:eastAsia="Arial"/>
          <w:sz w:val="28"/>
          <w:szCs w:val="28"/>
        </w:rPr>
        <w:t xml:space="preserve">ектованность </w:t>
      </w:r>
      <w:r w:rsidR="000925E9" w:rsidRPr="002F0F29">
        <w:rPr>
          <w:rFonts w:eastAsia="Arial"/>
          <w:sz w:val="28"/>
          <w:szCs w:val="28"/>
        </w:rPr>
        <w:t xml:space="preserve">физическими лицами </w:t>
      </w:r>
      <w:r w:rsidR="0008467C" w:rsidRPr="002F0F29">
        <w:rPr>
          <w:rFonts w:eastAsia="Arial"/>
          <w:sz w:val="28"/>
          <w:szCs w:val="28"/>
        </w:rPr>
        <w:t>врачами</w:t>
      </w:r>
      <w:r w:rsidR="00313BE8" w:rsidRPr="002F0F29">
        <w:rPr>
          <w:rFonts w:eastAsia="Arial"/>
          <w:sz w:val="28"/>
          <w:szCs w:val="28"/>
        </w:rPr>
        <w:t xml:space="preserve">: онкологами на 11,2 процента, радиологами на 55,7 процента, патологанатомами на 10,0 процента, рентгенологами на 4,8 процента, </w:t>
      </w:r>
      <w:r w:rsidR="001F26FE" w:rsidRPr="002F0F29">
        <w:rPr>
          <w:rFonts w:eastAsia="Arial"/>
          <w:sz w:val="28"/>
          <w:szCs w:val="28"/>
        </w:rPr>
        <w:t xml:space="preserve">ультразвуковой диагностики на </w:t>
      </w:r>
      <w:r w:rsidR="00313BE8" w:rsidRPr="002F0F29">
        <w:rPr>
          <w:rFonts w:eastAsia="Arial"/>
          <w:sz w:val="28"/>
          <w:szCs w:val="28"/>
        </w:rPr>
        <w:t>7,9</w:t>
      </w:r>
      <w:r w:rsidR="001F26FE" w:rsidRPr="002F0F29">
        <w:rPr>
          <w:rFonts w:eastAsia="Arial"/>
          <w:sz w:val="28"/>
          <w:szCs w:val="28"/>
        </w:rPr>
        <w:t xml:space="preserve"> процента,</w:t>
      </w:r>
      <w:r w:rsidR="00D2234B" w:rsidRPr="002F0F29">
        <w:rPr>
          <w:rFonts w:eastAsia="Arial"/>
          <w:sz w:val="28"/>
          <w:szCs w:val="28"/>
        </w:rPr>
        <w:t xml:space="preserve"> </w:t>
      </w:r>
      <w:r w:rsidR="001F26FE" w:rsidRPr="002F0F29">
        <w:rPr>
          <w:rFonts w:eastAsia="Arial"/>
          <w:sz w:val="28"/>
          <w:szCs w:val="28"/>
        </w:rPr>
        <w:t xml:space="preserve">эндоскопистов на </w:t>
      </w:r>
      <w:r w:rsidR="00313BE8" w:rsidRPr="002F0F29">
        <w:rPr>
          <w:rFonts w:eastAsia="Arial"/>
          <w:sz w:val="28"/>
          <w:szCs w:val="28"/>
        </w:rPr>
        <w:t>9,3</w:t>
      </w:r>
      <w:r w:rsidR="001F26FE" w:rsidRPr="002F0F29">
        <w:rPr>
          <w:rFonts w:eastAsia="Arial"/>
          <w:sz w:val="28"/>
          <w:szCs w:val="28"/>
        </w:rPr>
        <w:t xml:space="preserve"> процент</w:t>
      </w:r>
      <w:r w:rsidR="000F67B5" w:rsidRPr="002F0F29">
        <w:rPr>
          <w:rFonts w:eastAsia="Arial"/>
          <w:sz w:val="28"/>
          <w:szCs w:val="28"/>
        </w:rPr>
        <w:t>а</w:t>
      </w:r>
      <w:r w:rsidR="001F26FE" w:rsidRPr="002F0F29">
        <w:rPr>
          <w:rFonts w:eastAsia="Arial"/>
          <w:sz w:val="28"/>
          <w:szCs w:val="28"/>
        </w:rPr>
        <w:t>.</w:t>
      </w:r>
    </w:p>
    <w:p w:rsidR="0008467C" w:rsidRPr="002F0F29" w:rsidRDefault="001F26FE" w:rsidP="00C55D07">
      <w:pPr>
        <w:spacing w:line="245" w:lineRule="auto"/>
        <w:ind w:firstLine="709"/>
        <w:jc w:val="both"/>
        <w:rPr>
          <w:rFonts w:eastAsia="Arial"/>
          <w:sz w:val="28"/>
          <w:szCs w:val="28"/>
        </w:rPr>
      </w:pPr>
      <w:r w:rsidRPr="002F0F29">
        <w:rPr>
          <w:rFonts w:eastAsia="Arial"/>
          <w:sz w:val="28"/>
          <w:szCs w:val="28"/>
        </w:rPr>
        <w:t>Снизилась укомплектованность физическими лицами врачей:</w:t>
      </w:r>
      <w:r w:rsidR="00313BE8" w:rsidRPr="002F0F29">
        <w:rPr>
          <w:rFonts w:eastAsia="Arial"/>
          <w:sz w:val="28"/>
          <w:szCs w:val="28"/>
        </w:rPr>
        <w:t xml:space="preserve"> радиотерапевтов на 1,25 процента.</w:t>
      </w:r>
      <w:r w:rsidRPr="002F0F29">
        <w:rPr>
          <w:rFonts w:eastAsia="Arial"/>
          <w:sz w:val="28"/>
          <w:szCs w:val="28"/>
        </w:rPr>
        <w:t xml:space="preserve"> </w:t>
      </w:r>
    </w:p>
    <w:p w:rsidR="00474EDC" w:rsidRPr="002F0F29" w:rsidRDefault="00D26B35" w:rsidP="00C55D07">
      <w:pPr>
        <w:spacing w:line="245" w:lineRule="auto"/>
        <w:ind w:firstLine="709"/>
        <w:jc w:val="both"/>
        <w:rPr>
          <w:rFonts w:eastAsia="Arial"/>
          <w:sz w:val="28"/>
          <w:szCs w:val="28"/>
        </w:rPr>
      </w:pPr>
      <w:r w:rsidRPr="002F0F29">
        <w:rPr>
          <w:rFonts w:eastAsia="Arial"/>
          <w:sz w:val="28"/>
          <w:szCs w:val="28"/>
        </w:rPr>
        <w:t>В амбулаторно-поликлиническом секторе за 202</w:t>
      </w:r>
      <w:r w:rsidR="00474EDC" w:rsidRPr="002F0F29">
        <w:rPr>
          <w:rFonts w:eastAsia="Arial"/>
          <w:sz w:val="28"/>
          <w:szCs w:val="28"/>
        </w:rPr>
        <w:t>3</w:t>
      </w:r>
      <w:r w:rsidR="000F67B5" w:rsidRPr="002F0F29">
        <w:rPr>
          <w:rFonts w:eastAsia="Arial"/>
          <w:sz w:val="28"/>
          <w:szCs w:val="28"/>
        </w:rPr>
        <w:t xml:space="preserve"> </w:t>
      </w:r>
      <w:r w:rsidR="000F67B5" w:rsidRPr="002F0F29">
        <w:rPr>
          <w:rFonts w:eastAsia="Arial"/>
        </w:rPr>
        <w:t xml:space="preserve">– </w:t>
      </w:r>
      <w:r w:rsidRPr="002F0F29">
        <w:rPr>
          <w:rFonts w:eastAsia="Arial"/>
          <w:sz w:val="28"/>
          <w:szCs w:val="28"/>
        </w:rPr>
        <w:t>202</w:t>
      </w:r>
      <w:r w:rsidR="00474EDC" w:rsidRPr="002F0F29">
        <w:rPr>
          <w:rFonts w:eastAsia="Arial"/>
          <w:sz w:val="28"/>
          <w:szCs w:val="28"/>
        </w:rPr>
        <w:t>5</w:t>
      </w:r>
      <w:r w:rsidRPr="002F0F29">
        <w:rPr>
          <w:rFonts w:eastAsia="Arial"/>
          <w:sz w:val="28"/>
          <w:szCs w:val="28"/>
        </w:rPr>
        <w:t xml:space="preserve"> годы </w:t>
      </w:r>
      <w:r w:rsidR="00C51FD2" w:rsidRPr="002F0F29">
        <w:rPr>
          <w:rFonts w:eastAsia="Arial"/>
          <w:sz w:val="28"/>
          <w:szCs w:val="28"/>
        </w:rPr>
        <w:t>увеличилось число штатных должностей врачей: онкологов на 1</w:t>
      </w:r>
      <w:r w:rsidR="00474EDC" w:rsidRPr="002F0F29">
        <w:rPr>
          <w:rFonts w:eastAsia="Arial"/>
          <w:sz w:val="28"/>
          <w:szCs w:val="28"/>
        </w:rPr>
        <w:t>3</w:t>
      </w:r>
      <w:r w:rsidR="00C51FD2" w:rsidRPr="002F0F29">
        <w:rPr>
          <w:rFonts w:eastAsia="Arial"/>
          <w:sz w:val="28"/>
          <w:szCs w:val="28"/>
        </w:rPr>
        <w:t>,</w:t>
      </w:r>
      <w:r w:rsidR="00474EDC" w:rsidRPr="002F0F29">
        <w:rPr>
          <w:rFonts w:eastAsia="Arial"/>
          <w:sz w:val="28"/>
          <w:szCs w:val="28"/>
        </w:rPr>
        <w:t>4</w:t>
      </w:r>
      <w:r w:rsidR="00C51FD2" w:rsidRPr="002F0F29">
        <w:rPr>
          <w:rFonts w:eastAsia="Arial"/>
          <w:sz w:val="28"/>
          <w:szCs w:val="28"/>
        </w:rPr>
        <w:t xml:space="preserve"> процента, </w:t>
      </w:r>
      <w:r w:rsidR="002B7784" w:rsidRPr="002F0F29">
        <w:rPr>
          <w:rFonts w:eastAsia="Arial"/>
          <w:sz w:val="28"/>
          <w:szCs w:val="28"/>
        </w:rPr>
        <w:t xml:space="preserve">рентгенологов на </w:t>
      </w:r>
      <w:r w:rsidR="000F67B5" w:rsidRPr="002F0F29">
        <w:rPr>
          <w:rFonts w:eastAsia="Arial"/>
          <w:sz w:val="28"/>
          <w:szCs w:val="28"/>
        </w:rPr>
        <w:br/>
      </w:r>
      <w:r w:rsidR="00474EDC" w:rsidRPr="002F0F29">
        <w:rPr>
          <w:rFonts w:eastAsia="Arial"/>
          <w:sz w:val="28"/>
          <w:szCs w:val="28"/>
        </w:rPr>
        <w:t>11,2</w:t>
      </w:r>
      <w:r w:rsidR="002B7784" w:rsidRPr="002F0F29">
        <w:rPr>
          <w:rFonts w:eastAsia="Arial"/>
          <w:sz w:val="28"/>
          <w:szCs w:val="28"/>
        </w:rPr>
        <w:t xml:space="preserve"> процент</w:t>
      </w:r>
      <w:r w:rsidR="000F67B5" w:rsidRPr="002F0F29">
        <w:rPr>
          <w:rFonts w:eastAsia="Arial"/>
          <w:sz w:val="28"/>
          <w:szCs w:val="28"/>
        </w:rPr>
        <w:t>а</w:t>
      </w:r>
      <w:r w:rsidR="002B7784" w:rsidRPr="002F0F29">
        <w:rPr>
          <w:rFonts w:eastAsia="Arial"/>
          <w:sz w:val="28"/>
          <w:szCs w:val="28"/>
        </w:rPr>
        <w:t xml:space="preserve">, </w:t>
      </w:r>
      <w:r w:rsidR="00C51FD2" w:rsidRPr="002F0F29">
        <w:rPr>
          <w:rFonts w:eastAsia="Arial"/>
          <w:sz w:val="28"/>
          <w:szCs w:val="28"/>
        </w:rPr>
        <w:t>ультразвуковой диагностики на 1</w:t>
      </w:r>
      <w:r w:rsidR="00474EDC" w:rsidRPr="002F0F29">
        <w:rPr>
          <w:rFonts w:eastAsia="Arial"/>
          <w:sz w:val="28"/>
          <w:szCs w:val="28"/>
        </w:rPr>
        <w:t>4</w:t>
      </w:r>
      <w:r w:rsidR="00C51FD2" w:rsidRPr="002F0F29">
        <w:rPr>
          <w:rFonts w:eastAsia="Arial"/>
          <w:sz w:val="28"/>
          <w:szCs w:val="28"/>
        </w:rPr>
        <w:t>,</w:t>
      </w:r>
      <w:r w:rsidR="00474EDC" w:rsidRPr="002F0F29">
        <w:rPr>
          <w:rFonts w:eastAsia="Arial"/>
          <w:sz w:val="28"/>
          <w:szCs w:val="28"/>
        </w:rPr>
        <w:t>5</w:t>
      </w:r>
      <w:r w:rsidR="00C51FD2" w:rsidRPr="002F0F29">
        <w:rPr>
          <w:rFonts w:eastAsia="Arial"/>
          <w:sz w:val="28"/>
          <w:szCs w:val="28"/>
        </w:rPr>
        <w:t xml:space="preserve"> процент</w:t>
      </w:r>
      <w:r w:rsidR="000F67B5" w:rsidRPr="002F0F29">
        <w:rPr>
          <w:rFonts w:eastAsia="Arial"/>
          <w:sz w:val="28"/>
          <w:szCs w:val="28"/>
        </w:rPr>
        <w:t>а</w:t>
      </w:r>
      <w:r w:rsidR="00C51FD2" w:rsidRPr="002F0F29">
        <w:rPr>
          <w:rFonts w:eastAsia="Arial"/>
          <w:sz w:val="28"/>
          <w:szCs w:val="28"/>
        </w:rPr>
        <w:t xml:space="preserve">, эндоскопистов на </w:t>
      </w:r>
      <w:r w:rsidR="000F67B5" w:rsidRPr="002F0F29">
        <w:rPr>
          <w:rFonts w:eastAsia="Arial"/>
          <w:sz w:val="28"/>
          <w:szCs w:val="28"/>
        </w:rPr>
        <w:br/>
      </w:r>
      <w:r w:rsidR="00474EDC" w:rsidRPr="002F0F29">
        <w:rPr>
          <w:rFonts w:eastAsia="Arial"/>
          <w:sz w:val="28"/>
          <w:szCs w:val="28"/>
        </w:rPr>
        <w:t>16,0</w:t>
      </w:r>
      <w:r w:rsidR="00C51FD2" w:rsidRPr="002F0F29">
        <w:rPr>
          <w:rFonts w:eastAsia="Arial"/>
          <w:sz w:val="28"/>
          <w:szCs w:val="28"/>
        </w:rPr>
        <w:t xml:space="preserve"> процент</w:t>
      </w:r>
      <w:r w:rsidR="000F67B5" w:rsidRPr="002F0F29">
        <w:rPr>
          <w:rFonts w:eastAsia="Arial"/>
          <w:sz w:val="28"/>
          <w:szCs w:val="28"/>
        </w:rPr>
        <w:t>а</w:t>
      </w:r>
      <w:r w:rsidR="00474EDC" w:rsidRPr="002F0F29">
        <w:rPr>
          <w:rFonts w:eastAsia="Arial"/>
          <w:sz w:val="28"/>
          <w:szCs w:val="28"/>
        </w:rPr>
        <w:t xml:space="preserve">. </w:t>
      </w:r>
    </w:p>
    <w:p w:rsidR="00474EDC" w:rsidRPr="002F0F29" w:rsidRDefault="00474EDC" w:rsidP="00C55D07">
      <w:pPr>
        <w:spacing w:line="245" w:lineRule="auto"/>
        <w:ind w:firstLine="709"/>
        <w:jc w:val="both"/>
        <w:rPr>
          <w:rFonts w:eastAsia="Arial"/>
          <w:sz w:val="28"/>
          <w:szCs w:val="28"/>
        </w:rPr>
      </w:pPr>
      <w:r w:rsidRPr="002F0F29">
        <w:rPr>
          <w:rFonts w:eastAsia="Arial"/>
          <w:sz w:val="28"/>
          <w:szCs w:val="28"/>
        </w:rPr>
        <w:t xml:space="preserve">Число штатных должностей врачей </w:t>
      </w:r>
      <w:r w:rsidR="002B7784" w:rsidRPr="002F0F29">
        <w:rPr>
          <w:rFonts w:eastAsia="Arial"/>
          <w:sz w:val="28"/>
          <w:szCs w:val="28"/>
        </w:rPr>
        <w:t>радио</w:t>
      </w:r>
      <w:r w:rsidR="00D30516" w:rsidRPr="002F0F29">
        <w:rPr>
          <w:rFonts w:eastAsia="Arial"/>
          <w:sz w:val="28"/>
          <w:szCs w:val="28"/>
        </w:rPr>
        <w:t>л</w:t>
      </w:r>
      <w:r w:rsidR="002B7784" w:rsidRPr="002F0F29">
        <w:rPr>
          <w:rFonts w:eastAsia="Arial"/>
          <w:sz w:val="28"/>
          <w:szCs w:val="28"/>
        </w:rPr>
        <w:t xml:space="preserve">огов </w:t>
      </w:r>
      <w:r w:rsidRPr="002F0F29">
        <w:rPr>
          <w:rFonts w:eastAsia="Arial"/>
          <w:sz w:val="28"/>
          <w:szCs w:val="28"/>
        </w:rPr>
        <w:t>не изменилось (100,0 процентов).</w:t>
      </w:r>
    </w:p>
    <w:p w:rsidR="00D30516" w:rsidRPr="002F0F29" w:rsidRDefault="00D30516" w:rsidP="00C55D07">
      <w:pPr>
        <w:spacing w:line="245" w:lineRule="auto"/>
        <w:ind w:firstLine="709"/>
        <w:jc w:val="both"/>
        <w:rPr>
          <w:rFonts w:eastAsia="Arial"/>
          <w:sz w:val="28"/>
          <w:szCs w:val="28"/>
        </w:rPr>
      </w:pPr>
      <w:r w:rsidRPr="002F0F29">
        <w:rPr>
          <w:rFonts w:eastAsia="Arial"/>
          <w:sz w:val="28"/>
          <w:szCs w:val="28"/>
        </w:rPr>
        <w:t xml:space="preserve">За </w:t>
      </w:r>
      <w:r w:rsidR="00474EDC" w:rsidRPr="002F0F29">
        <w:rPr>
          <w:rFonts w:eastAsia="Arial"/>
          <w:sz w:val="28"/>
          <w:szCs w:val="28"/>
        </w:rPr>
        <w:t>рассм</w:t>
      </w:r>
      <w:r w:rsidR="00DF204B">
        <w:rPr>
          <w:rFonts w:eastAsia="Arial"/>
          <w:sz w:val="28"/>
          <w:szCs w:val="28"/>
        </w:rPr>
        <w:t>ат</w:t>
      </w:r>
      <w:r w:rsidR="00474EDC" w:rsidRPr="002F0F29">
        <w:rPr>
          <w:rFonts w:eastAsia="Arial"/>
          <w:sz w:val="28"/>
          <w:szCs w:val="28"/>
        </w:rPr>
        <w:t xml:space="preserve">риваемый период </w:t>
      </w:r>
      <w:r w:rsidRPr="002F0F29">
        <w:rPr>
          <w:rFonts w:eastAsia="Arial"/>
          <w:sz w:val="28"/>
          <w:szCs w:val="28"/>
        </w:rPr>
        <w:t>сни</w:t>
      </w:r>
      <w:r w:rsidR="008F2DBC" w:rsidRPr="002F0F29">
        <w:rPr>
          <w:rFonts w:eastAsia="Arial"/>
          <w:sz w:val="28"/>
          <w:szCs w:val="28"/>
        </w:rPr>
        <w:t xml:space="preserve">жения </w:t>
      </w:r>
      <w:r w:rsidRPr="002F0F29">
        <w:rPr>
          <w:rFonts w:eastAsia="Arial"/>
          <w:sz w:val="28"/>
          <w:szCs w:val="28"/>
        </w:rPr>
        <w:t>числ</w:t>
      </w:r>
      <w:r w:rsidR="008F2DBC" w:rsidRPr="002F0F29">
        <w:rPr>
          <w:rFonts w:eastAsia="Arial"/>
          <w:sz w:val="28"/>
          <w:szCs w:val="28"/>
        </w:rPr>
        <w:t>а</w:t>
      </w:r>
      <w:r w:rsidRPr="002F0F29">
        <w:rPr>
          <w:rFonts w:eastAsia="Arial"/>
          <w:sz w:val="28"/>
          <w:szCs w:val="28"/>
        </w:rPr>
        <w:t xml:space="preserve"> штатных должностей враче</w:t>
      </w:r>
      <w:r w:rsidR="008F2DBC" w:rsidRPr="002F0F29">
        <w:rPr>
          <w:rFonts w:eastAsia="Arial"/>
          <w:sz w:val="28"/>
          <w:szCs w:val="28"/>
        </w:rPr>
        <w:t>й не отмечено.</w:t>
      </w:r>
      <w:r w:rsidRPr="002F0F29">
        <w:rPr>
          <w:rFonts w:eastAsia="Arial"/>
          <w:sz w:val="28"/>
          <w:szCs w:val="28"/>
        </w:rPr>
        <w:t xml:space="preserve"> </w:t>
      </w:r>
    </w:p>
    <w:p w:rsidR="008F2DBC" w:rsidRPr="002F0F29" w:rsidRDefault="008F2DBC" w:rsidP="00C55D07">
      <w:pPr>
        <w:spacing w:line="245" w:lineRule="auto"/>
        <w:ind w:firstLine="709"/>
        <w:jc w:val="both"/>
        <w:rPr>
          <w:rFonts w:eastAsia="Arial"/>
          <w:sz w:val="28"/>
          <w:szCs w:val="28"/>
        </w:rPr>
      </w:pPr>
      <w:r w:rsidRPr="002F0F29">
        <w:rPr>
          <w:rFonts w:eastAsia="Arial"/>
          <w:sz w:val="28"/>
          <w:szCs w:val="28"/>
        </w:rPr>
        <w:t>Увеличилось число физических лиц врачей: онкологов на 38,8 процент</w:t>
      </w:r>
      <w:r w:rsidR="000F67B5" w:rsidRPr="002F0F29">
        <w:rPr>
          <w:rFonts w:eastAsia="Arial"/>
          <w:sz w:val="28"/>
          <w:szCs w:val="28"/>
        </w:rPr>
        <w:t>а</w:t>
      </w:r>
      <w:r w:rsidRPr="002F0F29">
        <w:rPr>
          <w:rFonts w:eastAsia="Arial"/>
          <w:sz w:val="28"/>
          <w:szCs w:val="28"/>
        </w:rPr>
        <w:t xml:space="preserve">, рентгенологов на </w:t>
      </w:r>
      <w:r w:rsidR="0012195C" w:rsidRPr="002F0F29">
        <w:rPr>
          <w:rFonts w:eastAsia="Arial"/>
          <w:sz w:val="28"/>
          <w:szCs w:val="28"/>
        </w:rPr>
        <w:t>13,</w:t>
      </w:r>
      <w:r w:rsidRPr="002F0F29">
        <w:rPr>
          <w:rFonts w:eastAsia="Arial"/>
          <w:sz w:val="28"/>
          <w:szCs w:val="28"/>
        </w:rPr>
        <w:t>8 процент</w:t>
      </w:r>
      <w:r w:rsidR="000F67B5" w:rsidRPr="002F0F29">
        <w:rPr>
          <w:rFonts w:eastAsia="Arial"/>
          <w:sz w:val="28"/>
          <w:szCs w:val="28"/>
        </w:rPr>
        <w:t>а</w:t>
      </w:r>
      <w:r w:rsidRPr="002F0F29">
        <w:rPr>
          <w:rFonts w:eastAsia="Arial"/>
          <w:sz w:val="28"/>
          <w:szCs w:val="28"/>
        </w:rPr>
        <w:t>, ультразвуковой диагностики на 2</w:t>
      </w:r>
      <w:r w:rsidR="0012195C" w:rsidRPr="002F0F29">
        <w:rPr>
          <w:rFonts w:eastAsia="Arial"/>
          <w:sz w:val="28"/>
          <w:szCs w:val="28"/>
        </w:rPr>
        <w:t>9</w:t>
      </w:r>
      <w:r w:rsidRPr="002F0F29">
        <w:rPr>
          <w:rFonts w:eastAsia="Arial"/>
          <w:sz w:val="28"/>
          <w:szCs w:val="28"/>
        </w:rPr>
        <w:t>,</w:t>
      </w:r>
      <w:r w:rsidR="0012195C" w:rsidRPr="002F0F29">
        <w:rPr>
          <w:rFonts w:eastAsia="Arial"/>
          <w:sz w:val="28"/>
          <w:szCs w:val="28"/>
        </w:rPr>
        <w:t>8</w:t>
      </w:r>
      <w:r w:rsidRPr="002F0F29">
        <w:rPr>
          <w:rFonts w:eastAsia="Arial"/>
          <w:sz w:val="28"/>
          <w:szCs w:val="28"/>
        </w:rPr>
        <w:t xml:space="preserve"> процента, эндоскопистов на 21,4 процент</w:t>
      </w:r>
      <w:r w:rsidR="000F67B5" w:rsidRPr="002F0F29">
        <w:rPr>
          <w:rFonts w:eastAsia="Arial"/>
          <w:sz w:val="28"/>
          <w:szCs w:val="28"/>
        </w:rPr>
        <w:t>а</w:t>
      </w:r>
      <w:r w:rsidRPr="002F0F29">
        <w:rPr>
          <w:rFonts w:eastAsia="Arial"/>
          <w:sz w:val="28"/>
          <w:szCs w:val="28"/>
        </w:rPr>
        <w:t>.</w:t>
      </w:r>
    </w:p>
    <w:p w:rsidR="00707E09" w:rsidRPr="002F0F29" w:rsidRDefault="00707E09" w:rsidP="00C55D07">
      <w:pPr>
        <w:spacing w:line="245" w:lineRule="auto"/>
        <w:ind w:firstLine="709"/>
        <w:jc w:val="both"/>
        <w:rPr>
          <w:rFonts w:eastAsia="Arial"/>
          <w:sz w:val="28"/>
          <w:szCs w:val="28"/>
        </w:rPr>
      </w:pPr>
      <w:r w:rsidRPr="002F0F29">
        <w:rPr>
          <w:rFonts w:eastAsia="Arial"/>
          <w:sz w:val="28"/>
          <w:szCs w:val="28"/>
        </w:rPr>
        <w:t xml:space="preserve">Увеличилась укомплектованность физическими лицами врачей: онкологов на </w:t>
      </w:r>
      <w:r w:rsidR="0012195C" w:rsidRPr="002F0F29">
        <w:rPr>
          <w:rFonts w:eastAsia="Arial"/>
          <w:sz w:val="28"/>
          <w:szCs w:val="28"/>
        </w:rPr>
        <w:t>3</w:t>
      </w:r>
      <w:r w:rsidRPr="002F0F29">
        <w:rPr>
          <w:rFonts w:eastAsia="Arial"/>
          <w:sz w:val="28"/>
          <w:szCs w:val="28"/>
        </w:rPr>
        <w:t>1,</w:t>
      </w:r>
      <w:r w:rsidR="0012195C" w:rsidRPr="002F0F29">
        <w:rPr>
          <w:rFonts w:eastAsia="Arial"/>
          <w:sz w:val="28"/>
          <w:szCs w:val="28"/>
        </w:rPr>
        <w:t>2</w:t>
      </w:r>
      <w:r w:rsidRPr="002F0F29">
        <w:rPr>
          <w:rFonts w:eastAsia="Arial"/>
          <w:sz w:val="28"/>
          <w:szCs w:val="28"/>
        </w:rPr>
        <w:t xml:space="preserve"> процент</w:t>
      </w:r>
      <w:r w:rsidR="000F67B5" w:rsidRPr="002F0F29">
        <w:rPr>
          <w:rFonts w:eastAsia="Arial"/>
          <w:sz w:val="28"/>
          <w:szCs w:val="28"/>
        </w:rPr>
        <w:t>а</w:t>
      </w:r>
      <w:r w:rsidRPr="002F0F29">
        <w:rPr>
          <w:rFonts w:eastAsia="Arial"/>
          <w:sz w:val="28"/>
          <w:szCs w:val="28"/>
        </w:rPr>
        <w:t>, рентгенологов на 1,7 процент</w:t>
      </w:r>
      <w:r w:rsidR="000F67B5" w:rsidRPr="002F0F29">
        <w:rPr>
          <w:rFonts w:eastAsia="Arial"/>
          <w:sz w:val="28"/>
          <w:szCs w:val="28"/>
        </w:rPr>
        <w:t>а</w:t>
      </w:r>
      <w:r w:rsidRPr="002F0F29">
        <w:rPr>
          <w:rFonts w:eastAsia="Arial"/>
          <w:sz w:val="28"/>
          <w:szCs w:val="28"/>
        </w:rPr>
        <w:t xml:space="preserve">, ультразвуковой диагностики на </w:t>
      </w:r>
      <w:r w:rsidR="00CC76F7" w:rsidRPr="002F0F29">
        <w:rPr>
          <w:rFonts w:eastAsia="Arial"/>
          <w:sz w:val="28"/>
          <w:szCs w:val="28"/>
        </w:rPr>
        <w:br/>
      </w:r>
      <w:r w:rsidRPr="002F0F29">
        <w:rPr>
          <w:rFonts w:eastAsia="Arial"/>
          <w:sz w:val="28"/>
          <w:szCs w:val="28"/>
        </w:rPr>
        <w:t>6,2 процент</w:t>
      </w:r>
      <w:r w:rsidR="000F67B5" w:rsidRPr="002F0F29">
        <w:rPr>
          <w:rFonts w:eastAsia="Arial"/>
          <w:sz w:val="28"/>
          <w:szCs w:val="28"/>
        </w:rPr>
        <w:t>а</w:t>
      </w:r>
      <w:r w:rsidRPr="002F0F29">
        <w:rPr>
          <w:rFonts w:eastAsia="Arial"/>
          <w:sz w:val="28"/>
          <w:szCs w:val="28"/>
        </w:rPr>
        <w:t xml:space="preserve">, эндоскопистов на </w:t>
      </w:r>
      <w:r w:rsidR="0012195C" w:rsidRPr="002F0F29">
        <w:rPr>
          <w:rFonts w:eastAsia="Arial"/>
          <w:sz w:val="28"/>
          <w:szCs w:val="28"/>
        </w:rPr>
        <w:t>30,2</w:t>
      </w:r>
      <w:r w:rsidRPr="002F0F29">
        <w:rPr>
          <w:rFonts w:eastAsia="Arial"/>
          <w:sz w:val="28"/>
          <w:szCs w:val="28"/>
        </w:rPr>
        <w:t xml:space="preserve"> процент</w:t>
      </w:r>
      <w:r w:rsidR="000F67B5" w:rsidRPr="002F0F29">
        <w:rPr>
          <w:rFonts w:eastAsia="Arial"/>
          <w:sz w:val="28"/>
          <w:szCs w:val="28"/>
        </w:rPr>
        <w:t>а</w:t>
      </w:r>
      <w:r w:rsidRPr="002F0F29">
        <w:rPr>
          <w:rFonts w:eastAsia="Arial"/>
          <w:sz w:val="28"/>
          <w:szCs w:val="28"/>
        </w:rPr>
        <w:t>.</w:t>
      </w:r>
    </w:p>
    <w:p w:rsidR="00707E09" w:rsidRPr="002F0F29" w:rsidRDefault="00707E09" w:rsidP="00C55D07">
      <w:pPr>
        <w:spacing w:line="245" w:lineRule="auto"/>
        <w:ind w:firstLine="709"/>
        <w:jc w:val="both"/>
        <w:rPr>
          <w:rFonts w:eastAsia="Arial"/>
          <w:sz w:val="28"/>
          <w:szCs w:val="28"/>
        </w:rPr>
      </w:pPr>
      <w:r w:rsidRPr="002F0F29">
        <w:rPr>
          <w:rFonts w:eastAsia="Arial"/>
          <w:sz w:val="28"/>
          <w:szCs w:val="28"/>
        </w:rPr>
        <w:t>Снижения показателя не отмечено.</w:t>
      </w:r>
    </w:p>
    <w:p w:rsidR="002A1DB9" w:rsidRPr="002F0F29" w:rsidRDefault="002A1DB9" w:rsidP="00C55D07">
      <w:pPr>
        <w:spacing w:line="245" w:lineRule="auto"/>
        <w:ind w:firstLine="709"/>
        <w:jc w:val="both"/>
        <w:rPr>
          <w:rFonts w:eastAsia="Arial"/>
          <w:sz w:val="28"/>
          <w:szCs w:val="28"/>
        </w:rPr>
      </w:pPr>
      <w:r w:rsidRPr="002F0F29">
        <w:rPr>
          <w:rFonts w:eastAsia="Arial"/>
          <w:sz w:val="28"/>
          <w:szCs w:val="28"/>
        </w:rPr>
        <w:t>В 202</w:t>
      </w:r>
      <w:r w:rsidR="004266C7" w:rsidRPr="002F0F29">
        <w:rPr>
          <w:rFonts w:eastAsia="Arial"/>
          <w:sz w:val="28"/>
          <w:szCs w:val="28"/>
        </w:rPr>
        <w:t>5</w:t>
      </w:r>
      <w:r w:rsidRPr="002F0F29">
        <w:rPr>
          <w:rFonts w:eastAsia="Arial"/>
          <w:sz w:val="28"/>
          <w:szCs w:val="28"/>
        </w:rPr>
        <w:t xml:space="preserve"> году укомплектованность физическими лицами врачей</w:t>
      </w:r>
      <w:r w:rsidR="00C55D07" w:rsidRPr="002F0F29">
        <w:rPr>
          <w:rFonts w:eastAsia="Arial"/>
          <w:sz w:val="28"/>
          <w:szCs w:val="28"/>
        </w:rPr>
        <w:t>-</w:t>
      </w:r>
      <w:r w:rsidRPr="002F0F29">
        <w:rPr>
          <w:rFonts w:eastAsia="Arial"/>
          <w:sz w:val="28"/>
          <w:szCs w:val="28"/>
        </w:rPr>
        <w:t>онкологов достигла</w:t>
      </w:r>
      <w:r w:rsidR="004266C7" w:rsidRPr="002F0F29">
        <w:rPr>
          <w:rFonts w:eastAsia="Arial"/>
          <w:sz w:val="28"/>
          <w:szCs w:val="28"/>
        </w:rPr>
        <w:t xml:space="preserve"> 72,3</w:t>
      </w:r>
      <w:r w:rsidRPr="002F0F29">
        <w:rPr>
          <w:rFonts w:eastAsia="Arial"/>
          <w:sz w:val="28"/>
          <w:szCs w:val="28"/>
        </w:rPr>
        <w:t xml:space="preserve"> процент</w:t>
      </w:r>
      <w:r w:rsidR="007B3A1F" w:rsidRPr="002F0F29">
        <w:rPr>
          <w:rFonts w:eastAsia="Arial"/>
          <w:sz w:val="28"/>
          <w:szCs w:val="28"/>
        </w:rPr>
        <w:t>а</w:t>
      </w:r>
      <w:r w:rsidRPr="002F0F29">
        <w:rPr>
          <w:rFonts w:eastAsia="Arial"/>
          <w:sz w:val="28"/>
          <w:szCs w:val="28"/>
        </w:rPr>
        <w:t xml:space="preserve"> </w:t>
      </w:r>
      <w:r w:rsidR="008559F5" w:rsidRPr="002F0F29">
        <w:rPr>
          <w:rFonts w:eastAsia="Arial"/>
          <w:sz w:val="28"/>
          <w:szCs w:val="28"/>
        </w:rPr>
        <w:t>по всем медицинским организациям Республики Татарстан</w:t>
      </w:r>
      <w:r w:rsidRPr="002F0F29">
        <w:rPr>
          <w:rFonts w:eastAsia="Arial"/>
          <w:sz w:val="28"/>
          <w:szCs w:val="28"/>
        </w:rPr>
        <w:t>,</w:t>
      </w:r>
      <w:r w:rsidR="008559F5" w:rsidRPr="002F0F29">
        <w:rPr>
          <w:rFonts w:eastAsia="Arial"/>
          <w:sz w:val="28"/>
          <w:szCs w:val="28"/>
        </w:rPr>
        <w:t xml:space="preserve"> </w:t>
      </w:r>
      <w:r w:rsidR="00320E13" w:rsidRPr="002F0F29">
        <w:rPr>
          <w:rFonts w:eastAsia="Arial"/>
          <w:sz w:val="28"/>
          <w:szCs w:val="28"/>
        </w:rPr>
        <w:br/>
      </w:r>
      <w:r w:rsidR="008559F5" w:rsidRPr="002F0F29">
        <w:rPr>
          <w:rFonts w:eastAsia="Arial"/>
          <w:sz w:val="28"/>
          <w:szCs w:val="28"/>
        </w:rPr>
        <w:t>в том числе</w:t>
      </w:r>
      <w:r w:rsidRPr="002F0F29">
        <w:rPr>
          <w:rFonts w:eastAsia="Arial"/>
          <w:sz w:val="28"/>
          <w:szCs w:val="28"/>
        </w:rPr>
        <w:t xml:space="preserve"> </w:t>
      </w:r>
      <w:r w:rsidR="00320E13" w:rsidRPr="002F0F29">
        <w:rPr>
          <w:rFonts w:eastAsia="Arial"/>
          <w:sz w:val="28"/>
          <w:szCs w:val="28"/>
        </w:rPr>
        <w:t xml:space="preserve">и </w:t>
      </w:r>
      <w:r w:rsidRPr="002F0F29">
        <w:rPr>
          <w:rFonts w:eastAsia="Arial"/>
          <w:sz w:val="28"/>
          <w:szCs w:val="28"/>
        </w:rPr>
        <w:t>в амбулаторном звене</w:t>
      </w:r>
      <w:r w:rsidR="00785004" w:rsidRPr="002F0F29">
        <w:rPr>
          <w:rFonts w:eastAsia="Arial"/>
          <w:sz w:val="28"/>
          <w:szCs w:val="28"/>
        </w:rPr>
        <w:t xml:space="preserve"> (в 2023 г. – 65,0)</w:t>
      </w:r>
      <w:r w:rsidRPr="002F0F29">
        <w:rPr>
          <w:rFonts w:eastAsia="Arial"/>
          <w:sz w:val="28"/>
          <w:szCs w:val="28"/>
        </w:rPr>
        <w:t>.</w:t>
      </w:r>
      <w:r w:rsidR="004266C7" w:rsidRPr="002F0F29">
        <w:rPr>
          <w:rFonts w:eastAsia="Arial"/>
          <w:sz w:val="28"/>
          <w:szCs w:val="28"/>
        </w:rPr>
        <w:t xml:space="preserve"> К</w:t>
      </w:r>
      <w:r w:rsidRPr="002F0F29">
        <w:rPr>
          <w:rFonts w:eastAsia="Arial"/>
          <w:sz w:val="28"/>
          <w:szCs w:val="28"/>
        </w:rPr>
        <w:t xml:space="preserve">оэффициент совместительства </w:t>
      </w:r>
      <w:r w:rsidR="00320E13" w:rsidRPr="002F0F29">
        <w:rPr>
          <w:rFonts w:eastAsia="Arial"/>
          <w:sz w:val="28"/>
          <w:szCs w:val="28"/>
        </w:rPr>
        <w:br/>
      </w:r>
      <w:r w:rsidRPr="002F0F29">
        <w:rPr>
          <w:rFonts w:eastAsia="Arial"/>
          <w:sz w:val="28"/>
          <w:szCs w:val="28"/>
        </w:rPr>
        <w:t xml:space="preserve">в целом </w:t>
      </w:r>
      <w:r w:rsidR="004266C7" w:rsidRPr="002F0F29">
        <w:rPr>
          <w:rFonts w:eastAsia="Arial"/>
          <w:sz w:val="28"/>
          <w:szCs w:val="28"/>
        </w:rPr>
        <w:t xml:space="preserve">соствил </w:t>
      </w:r>
      <w:r w:rsidRPr="002F0F29">
        <w:rPr>
          <w:rFonts w:eastAsia="Arial"/>
          <w:sz w:val="28"/>
          <w:szCs w:val="28"/>
        </w:rPr>
        <w:t>1,</w:t>
      </w:r>
      <w:r w:rsidR="004266C7" w:rsidRPr="002F0F29">
        <w:rPr>
          <w:rFonts w:eastAsia="Arial"/>
          <w:sz w:val="28"/>
          <w:szCs w:val="28"/>
        </w:rPr>
        <w:t>4 (в 202</w:t>
      </w:r>
      <w:r w:rsidR="00EF05C1" w:rsidRPr="002F0F29">
        <w:rPr>
          <w:rFonts w:eastAsia="Arial"/>
          <w:sz w:val="28"/>
          <w:szCs w:val="28"/>
        </w:rPr>
        <w:t>3</w:t>
      </w:r>
      <w:r w:rsidR="004266C7" w:rsidRPr="002F0F29">
        <w:rPr>
          <w:rFonts w:eastAsia="Arial"/>
          <w:sz w:val="28"/>
          <w:szCs w:val="28"/>
        </w:rPr>
        <w:t xml:space="preserve"> г. – 1,5). </w:t>
      </w:r>
      <w:r w:rsidRPr="002F0F29">
        <w:rPr>
          <w:rFonts w:eastAsia="Arial"/>
          <w:sz w:val="28"/>
          <w:szCs w:val="28"/>
        </w:rPr>
        <w:t>В амбулато</w:t>
      </w:r>
      <w:r w:rsidR="007B3A1F" w:rsidRPr="002F0F29">
        <w:rPr>
          <w:rFonts w:eastAsia="Arial"/>
          <w:sz w:val="28"/>
          <w:szCs w:val="28"/>
        </w:rPr>
        <w:t>рно-поликлиническом секторе</w:t>
      </w:r>
      <w:r w:rsidR="00320E13" w:rsidRPr="002F0F29">
        <w:rPr>
          <w:rFonts w:eastAsia="Arial"/>
          <w:sz w:val="28"/>
          <w:szCs w:val="28"/>
        </w:rPr>
        <w:t xml:space="preserve"> </w:t>
      </w:r>
      <w:r w:rsidR="007B3A1F" w:rsidRPr="002F0F29">
        <w:rPr>
          <w:rFonts w:eastAsia="Arial"/>
          <w:sz w:val="28"/>
          <w:szCs w:val="28"/>
        </w:rPr>
        <w:t>в 202</w:t>
      </w:r>
      <w:r w:rsidR="00EF05C1" w:rsidRPr="002F0F29">
        <w:rPr>
          <w:rFonts w:eastAsia="Arial"/>
          <w:sz w:val="28"/>
          <w:szCs w:val="28"/>
        </w:rPr>
        <w:t>5</w:t>
      </w:r>
      <w:r w:rsidR="007B3A1F" w:rsidRPr="002F0F29">
        <w:rPr>
          <w:rFonts w:eastAsia="Arial"/>
          <w:sz w:val="28"/>
          <w:szCs w:val="28"/>
        </w:rPr>
        <w:t xml:space="preserve"> году</w:t>
      </w:r>
      <w:r w:rsidRPr="002F0F29">
        <w:rPr>
          <w:rFonts w:eastAsia="Arial"/>
          <w:sz w:val="28"/>
          <w:szCs w:val="28"/>
        </w:rPr>
        <w:t xml:space="preserve"> показатель состави</w:t>
      </w:r>
      <w:r w:rsidR="007B3A1F" w:rsidRPr="002F0F29">
        <w:rPr>
          <w:rFonts w:eastAsia="Arial"/>
          <w:sz w:val="28"/>
          <w:szCs w:val="28"/>
        </w:rPr>
        <w:t>л</w:t>
      </w:r>
      <w:r w:rsidRPr="002F0F29">
        <w:rPr>
          <w:rFonts w:eastAsia="Arial"/>
          <w:sz w:val="28"/>
          <w:szCs w:val="28"/>
        </w:rPr>
        <w:t xml:space="preserve"> 1,4 со снижением на 0,</w:t>
      </w:r>
      <w:r w:rsidR="00EF05C1" w:rsidRPr="002F0F29">
        <w:rPr>
          <w:rFonts w:eastAsia="Arial"/>
          <w:sz w:val="28"/>
          <w:szCs w:val="28"/>
        </w:rPr>
        <w:t>2</w:t>
      </w:r>
      <w:r w:rsidRPr="002F0F29">
        <w:rPr>
          <w:rFonts w:eastAsia="Arial"/>
          <w:sz w:val="28"/>
          <w:szCs w:val="28"/>
        </w:rPr>
        <w:t xml:space="preserve"> пункта</w:t>
      </w:r>
      <w:r w:rsidR="008559F5" w:rsidRPr="002F0F29">
        <w:rPr>
          <w:rFonts w:eastAsia="Arial"/>
          <w:sz w:val="28"/>
          <w:szCs w:val="28"/>
        </w:rPr>
        <w:t xml:space="preserve"> </w:t>
      </w:r>
      <w:r w:rsidRPr="002F0F29">
        <w:rPr>
          <w:rFonts w:eastAsia="Arial"/>
          <w:sz w:val="28"/>
          <w:szCs w:val="28"/>
        </w:rPr>
        <w:t>(в 202</w:t>
      </w:r>
      <w:r w:rsidR="00EF05C1" w:rsidRPr="002F0F29">
        <w:rPr>
          <w:rFonts w:eastAsia="Arial"/>
          <w:sz w:val="28"/>
          <w:szCs w:val="28"/>
        </w:rPr>
        <w:t>3</w:t>
      </w:r>
      <w:r w:rsidRPr="002F0F29">
        <w:rPr>
          <w:rFonts w:eastAsia="Arial"/>
          <w:sz w:val="28"/>
          <w:szCs w:val="28"/>
        </w:rPr>
        <w:t xml:space="preserve"> году – 1,</w:t>
      </w:r>
      <w:r w:rsidR="00EF05C1" w:rsidRPr="002F0F29">
        <w:rPr>
          <w:rFonts w:eastAsia="Arial"/>
          <w:sz w:val="28"/>
          <w:szCs w:val="28"/>
        </w:rPr>
        <w:t>6</w:t>
      </w:r>
      <w:r w:rsidRPr="002F0F29">
        <w:rPr>
          <w:rFonts w:eastAsia="Arial"/>
          <w:sz w:val="28"/>
          <w:szCs w:val="28"/>
        </w:rPr>
        <w:t>).</w:t>
      </w:r>
    </w:p>
    <w:p w:rsidR="002A1DB9" w:rsidRPr="00CC76F7" w:rsidRDefault="002A1DB9" w:rsidP="00C55D07">
      <w:pPr>
        <w:spacing w:line="245" w:lineRule="auto"/>
        <w:ind w:firstLine="709"/>
        <w:jc w:val="both"/>
        <w:rPr>
          <w:rFonts w:eastAsia="Arial"/>
          <w:sz w:val="28"/>
          <w:szCs w:val="28"/>
        </w:rPr>
      </w:pPr>
      <w:r w:rsidRPr="002F0F29">
        <w:rPr>
          <w:rFonts w:eastAsia="Arial"/>
          <w:sz w:val="28"/>
          <w:szCs w:val="28"/>
        </w:rPr>
        <w:t>Привлечение и подготовка медицинских кадров, осуществляющих медицинскую помощь п</w:t>
      </w:r>
      <w:r w:rsidR="005933BA" w:rsidRPr="002F0F29">
        <w:rPr>
          <w:rFonts w:eastAsia="Arial"/>
          <w:sz w:val="28"/>
          <w:szCs w:val="28"/>
        </w:rPr>
        <w:t xml:space="preserve">ациентам по профилю </w:t>
      </w:r>
      <w:r w:rsidR="002F7358" w:rsidRPr="002F0F29">
        <w:rPr>
          <w:rFonts w:eastAsia="Arial"/>
          <w:sz w:val="28"/>
          <w:szCs w:val="28"/>
        </w:rPr>
        <w:t>«</w:t>
      </w:r>
      <w:r w:rsidR="005933BA" w:rsidRPr="002F0F29">
        <w:rPr>
          <w:rFonts w:eastAsia="Arial"/>
          <w:sz w:val="28"/>
          <w:szCs w:val="28"/>
        </w:rPr>
        <w:t>онко</w:t>
      </w:r>
      <w:r w:rsidRPr="002F0F29">
        <w:rPr>
          <w:rFonts w:eastAsia="Arial"/>
          <w:sz w:val="28"/>
          <w:szCs w:val="28"/>
        </w:rPr>
        <w:t>логия</w:t>
      </w:r>
      <w:r w:rsidR="002F7358" w:rsidRPr="002F0F29">
        <w:rPr>
          <w:rFonts w:eastAsia="Arial"/>
          <w:sz w:val="28"/>
          <w:szCs w:val="28"/>
        </w:rPr>
        <w:t>»</w:t>
      </w:r>
      <w:r w:rsidR="00C55D07" w:rsidRPr="002F0F29">
        <w:rPr>
          <w:rFonts w:eastAsia="Arial"/>
          <w:sz w:val="28"/>
          <w:szCs w:val="28"/>
        </w:rPr>
        <w:t>,</w:t>
      </w:r>
      <w:r w:rsidRPr="002F0F29">
        <w:rPr>
          <w:rFonts w:eastAsia="Arial"/>
          <w:sz w:val="28"/>
          <w:szCs w:val="28"/>
        </w:rPr>
        <w:t xml:space="preserve"> сохраняют свою </w:t>
      </w:r>
      <w:r w:rsidR="005152D8" w:rsidRPr="002F0F29">
        <w:rPr>
          <w:rFonts w:eastAsia="Arial"/>
          <w:sz w:val="28"/>
          <w:szCs w:val="28"/>
        </w:rPr>
        <w:t>ак</w:t>
      </w:r>
      <w:r w:rsidR="007B3A1F" w:rsidRPr="002F0F29">
        <w:rPr>
          <w:rFonts w:eastAsia="Arial"/>
          <w:sz w:val="28"/>
          <w:szCs w:val="28"/>
        </w:rPr>
        <w:t>ту</w:t>
      </w:r>
      <w:r w:rsidR="005152D8" w:rsidRPr="002F0F29">
        <w:rPr>
          <w:rFonts w:eastAsia="Arial"/>
          <w:sz w:val="28"/>
          <w:szCs w:val="28"/>
        </w:rPr>
        <w:t xml:space="preserve">альность, особенно </w:t>
      </w:r>
      <w:r w:rsidR="008B7295" w:rsidRPr="002F0F29">
        <w:rPr>
          <w:rFonts w:eastAsia="Arial"/>
          <w:sz w:val="28"/>
          <w:szCs w:val="28"/>
        </w:rPr>
        <w:t xml:space="preserve">для </w:t>
      </w:r>
      <w:r w:rsidR="005152D8" w:rsidRPr="002F0F29">
        <w:rPr>
          <w:rFonts w:eastAsia="Arial"/>
          <w:sz w:val="28"/>
          <w:szCs w:val="28"/>
        </w:rPr>
        <w:t>амбулаторно-поликлиническо</w:t>
      </w:r>
      <w:r w:rsidR="008B7295" w:rsidRPr="002F0F29">
        <w:rPr>
          <w:rFonts w:eastAsia="Arial"/>
          <w:sz w:val="28"/>
          <w:szCs w:val="28"/>
        </w:rPr>
        <w:t>го сектора зд</w:t>
      </w:r>
      <w:r w:rsidR="00EF05C1" w:rsidRPr="002F0F29">
        <w:rPr>
          <w:rFonts w:eastAsia="Arial"/>
          <w:sz w:val="28"/>
          <w:szCs w:val="28"/>
        </w:rPr>
        <w:t>р</w:t>
      </w:r>
      <w:r w:rsidR="008B7295" w:rsidRPr="002F0F29">
        <w:rPr>
          <w:rFonts w:eastAsia="Arial"/>
          <w:sz w:val="28"/>
          <w:szCs w:val="28"/>
        </w:rPr>
        <w:t>авоохранения</w:t>
      </w:r>
      <w:r w:rsidR="005152D8" w:rsidRPr="002F0F29">
        <w:rPr>
          <w:rFonts w:eastAsia="Arial"/>
          <w:sz w:val="28"/>
          <w:szCs w:val="28"/>
        </w:rPr>
        <w:t>.</w:t>
      </w:r>
    </w:p>
    <w:p w:rsidR="00613F64" w:rsidRPr="00CC76F7" w:rsidRDefault="00613F64" w:rsidP="00C55D07">
      <w:pPr>
        <w:spacing w:line="245" w:lineRule="auto"/>
        <w:ind w:firstLine="709"/>
        <w:jc w:val="both"/>
        <w:rPr>
          <w:rFonts w:eastAsia="Arial"/>
          <w:sz w:val="28"/>
          <w:szCs w:val="28"/>
        </w:rPr>
      </w:pPr>
    </w:p>
    <w:p w:rsidR="00F42223" w:rsidRPr="00CC76F7" w:rsidRDefault="00F42223" w:rsidP="00C55D07">
      <w:pPr>
        <w:spacing w:line="245" w:lineRule="auto"/>
        <w:ind w:firstLine="709"/>
        <w:jc w:val="both"/>
        <w:rPr>
          <w:rFonts w:eastAsia="Arial"/>
          <w:sz w:val="28"/>
          <w:szCs w:val="28"/>
        </w:rPr>
      </w:pPr>
      <w:r w:rsidRPr="00CC76F7">
        <w:rPr>
          <w:rFonts w:eastAsia="Arial"/>
          <w:sz w:val="28"/>
          <w:szCs w:val="28"/>
        </w:rPr>
        <w:t>Организация реабилитационной медицинской помощи.</w:t>
      </w:r>
    </w:p>
    <w:p w:rsidR="00F42223" w:rsidRPr="00CC76F7" w:rsidRDefault="00F42223" w:rsidP="00C55D07">
      <w:pPr>
        <w:spacing w:line="245" w:lineRule="auto"/>
        <w:ind w:firstLine="709"/>
        <w:jc w:val="both"/>
        <w:rPr>
          <w:rFonts w:eastAsia="Arial"/>
          <w:sz w:val="28"/>
          <w:szCs w:val="28"/>
        </w:rPr>
      </w:pPr>
      <w:r w:rsidRPr="00CC76F7">
        <w:rPr>
          <w:rFonts w:eastAsia="Arial"/>
          <w:sz w:val="28"/>
          <w:szCs w:val="28"/>
        </w:rPr>
        <w:t xml:space="preserve">В ГАУЗ </w:t>
      </w:r>
      <w:r w:rsidR="002F7358" w:rsidRPr="00CC76F7">
        <w:rPr>
          <w:rFonts w:eastAsia="Arial"/>
          <w:sz w:val="28"/>
          <w:szCs w:val="28"/>
        </w:rPr>
        <w:t>«</w:t>
      </w:r>
      <w:r w:rsidR="00CC76F7">
        <w:rPr>
          <w:rFonts w:eastAsia="Arial"/>
          <w:sz w:val="28"/>
          <w:szCs w:val="28"/>
        </w:rPr>
        <w:t>РКОД МЗ РТ им.проф.</w:t>
      </w:r>
      <w:r w:rsidR="002B3817" w:rsidRPr="00CC76F7">
        <w:rPr>
          <w:rFonts w:eastAsia="Arial"/>
          <w:sz w:val="28"/>
          <w:szCs w:val="28"/>
        </w:rPr>
        <w:t>М.З.Сигала</w:t>
      </w:r>
      <w:r w:rsidR="002F7358" w:rsidRPr="00CC76F7">
        <w:rPr>
          <w:rFonts w:eastAsia="Arial"/>
          <w:sz w:val="28"/>
          <w:szCs w:val="28"/>
        </w:rPr>
        <w:t>»</w:t>
      </w:r>
      <w:r w:rsidRPr="00CC76F7">
        <w:rPr>
          <w:rFonts w:eastAsia="Arial"/>
          <w:sz w:val="28"/>
          <w:szCs w:val="28"/>
        </w:rPr>
        <w:t xml:space="preserve"> обеспечивается проведение I, II и III этапов медицинской реабилитации пациентов с онкологическими заболеваниями (300 человек, 400 человек и </w:t>
      </w:r>
      <w:r w:rsidR="00EF1D9B" w:rsidRPr="00CC76F7">
        <w:rPr>
          <w:rFonts w:eastAsia="Arial"/>
          <w:sz w:val="28"/>
          <w:szCs w:val="28"/>
        </w:rPr>
        <w:t>500</w:t>
      </w:r>
      <w:r w:rsidRPr="00CC76F7">
        <w:rPr>
          <w:rFonts w:eastAsia="Arial"/>
          <w:sz w:val="28"/>
          <w:szCs w:val="28"/>
        </w:rPr>
        <w:t xml:space="preserve"> </w:t>
      </w:r>
      <w:r w:rsidR="00C55D07">
        <w:rPr>
          <w:rFonts w:eastAsia="Arial"/>
          <w:sz w:val="28"/>
          <w:szCs w:val="28"/>
        </w:rPr>
        <w:t>человек в год соответственно). В</w:t>
      </w:r>
      <w:r w:rsidR="00C55D07" w:rsidRPr="00CC76F7">
        <w:rPr>
          <w:rFonts w:eastAsia="Arial"/>
          <w:sz w:val="28"/>
          <w:szCs w:val="28"/>
        </w:rPr>
        <w:t xml:space="preserve"> год </w:t>
      </w:r>
      <w:r w:rsidRPr="00CC76F7">
        <w:rPr>
          <w:rFonts w:eastAsia="Arial"/>
          <w:sz w:val="28"/>
          <w:szCs w:val="28"/>
        </w:rPr>
        <w:t xml:space="preserve">осуществляется </w:t>
      </w:r>
      <w:r w:rsidR="00C55D07">
        <w:rPr>
          <w:rFonts w:eastAsia="Arial"/>
          <w:sz w:val="28"/>
          <w:szCs w:val="28"/>
        </w:rPr>
        <w:t>м</w:t>
      </w:r>
      <w:r w:rsidR="00C55D07" w:rsidRPr="00CC76F7">
        <w:rPr>
          <w:rFonts w:eastAsia="Arial"/>
          <w:sz w:val="28"/>
          <w:szCs w:val="28"/>
        </w:rPr>
        <w:t xml:space="preserve">едико-психологическое консультирование </w:t>
      </w:r>
      <w:r w:rsidRPr="00CC76F7">
        <w:rPr>
          <w:rFonts w:eastAsia="Arial"/>
          <w:sz w:val="28"/>
          <w:szCs w:val="28"/>
        </w:rPr>
        <w:t xml:space="preserve">2 000 пациентов. В условиях ГАУЗ </w:t>
      </w:r>
      <w:r w:rsidR="002F7358" w:rsidRPr="00CC76F7">
        <w:rPr>
          <w:rFonts w:eastAsia="Arial"/>
          <w:sz w:val="28"/>
          <w:szCs w:val="28"/>
        </w:rPr>
        <w:t>«</w:t>
      </w:r>
      <w:r w:rsidRPr="00CC76F7">
        <w:rPr>
          <w:rFonts w:eastAsia="Arial"/>
          <w:sz w:val="28"/>
          <w:szCs w:val="28"/>
        </w:rPr>
        <w:t>Госпиталь для ветеранов войн</w:t>
      </w:r>
      <w:r w:rsidR="002F7358" w:rsidRPr="00CC76F7">
        <w:rPr>
          <w:rFonts w:eastAsia="Arial"/>
          <w:sz w:val="28"/>
          <w:szCs w:val="28"/>
        </w:rPr>
        <w:t>»</w:t>
      </w:r>
      <w:r w:rsidRPr="00CC76F7">
        <w:rPr>
          <w:rFonts w:eastAsia="Arial"/>
          <w:sz w:val="28"/>
          <w:szCs w:val="28"/>
        </w:rPr>
        <w:t xml:space="preserve"> г.Казани на III этапе медицинской реабилитации ежегодно реабилитационные мероприятия проводятся 50 пациентам. </w:t>
      </w:r>
    </w:p>
    <w:p w:rsidR="00F42223" w:rsidRPr="00CC76F7" w:rsidRDefault="00F42223" w:rsidP="00F42223">
      <w:pPr>
        <w:ind w:firstLine="708"/>
        <w:jc w:val="both"/>
        <w:rPr>
          <w:rFonts w:eastAsia="Arial"/>
          <w:sz w:val="28"/>
          <w:szCs w:val="28"/>
        </w:rPr>
      </w:pPr>
      <w:r w:rsidRPr="00CC76F7">
        <w:rPr>
          <w:rFonts w:eastAsia="Arial"/>
          <w:sz w:val="28"/>
          <w:szCs w:val="28"/>
        </w:rPr>
        <w:t xml:space="preserve">В ГАУЗ </w:t>
      </w:r>
      <w:r w:rsidR="002F7358" w:rsidRPr="00CC76F7">
        <w:rPr>
          <w:rFonts w:eastAsia="Arial"/>
          <w:sz w:val="28"/>
          <w:szCs w:val="28"/>
        </w:rPr>
        <w:t>«</w:t>
      </w:r>
      <w:r w:rsidRPr="00CC76F7">
        <w:rPr>
          <w:rFonts w:eastAsia="Arial"/>
          <w:sz w:val="28"/>
          <w:szCs w:val="28"/>
        </w:rPr>
        <w:t xml:space="preserve">Нижнекамская </w:t>
      </w:r>
      <w:r w:rsidR="00C93DB4" w:rsidRPr="00CC76F7">
        <w:rPr>
          <w:rFonts w:eastAsia="Arial"/>
          <w:sz w:val="28"/>
          <w:szCs w:val="28"/>
        </w:rPr>
        <w:t>центральная районная многопрофил</w:t>
      </w:r>
      <w:r w:rsidRPr="00CC76F7">
        <w:rPr>
          <w:rFonts w:eastAsia="Arial"/>
          <w:sz w:val="28"/>
          <w:szCs w:val="28"/>
        </w:rPr>
        <w:t>ьная больница</w:t>
      </w:r>
      <w:r w:rsidR="00A4645D" w:rsidRPr="00CC76F7">
        <w:rPr>
          <w:rFonts w:eastAsia="Arial"/>
          <w:sz w:val="28"/>
          <w:szCs w:val="28"/>
        </w:rPr>
        <w:t>»</w:t>
      </w:r>
      <w:r w:rsidRPr="00CC76F7">
        <w:rPr>
          <w:rFonts w:eastAsia="Arial"/>
          <w:sz w:val="28"/>
          <w:szCs w:val="28"/>
        </w:rPr>
        <w:t xml:space="preserve"> обеспечивается проведение I</w:t>
      </w:r>
      <w:r w:rsidR="00C93DB4" w:rsidRPr="00CC76F7">
        <w:rPr>
          <w:rFonts w:eastAsia="Arial"/>
          <w:sz w:val="28"/>
          <w:szCs w:val="28"/>
        </w:rPr>
        <w:t xml:space="preserve"> эт</w:t>
      </w:r>
      <w:r w:rsidRPr="00CC76F7">
        <w:rPr>
          <w:rFonts w:eastAsia="Arial"/>
          <w:sz w:val="28"/>
          <w:szCs w:val="28"/>
        </w:rPr>
        <w:t>апа меди</w:t>
      </w:r>
      <w:r w:rsidR="00797C8E" w:rsidRPr="00CC76F7">
        <w:rPr>
          <w:rFonts w:eastAsia="Arial"/>
          <w:sz w:val="28"/>
          <w:szCs w:val="28"/>
        </w:rPr>
        <w:t xml:space="preserve">цинской реабилитации пациентов </w:t>
      </w:r>
      <w:r w:rsidRPr="00CC76F7">
        <w:rPr>
          <w:rFonts w:eastAsia="Arial"/>
          <w:sz w:val="28"/>
          <w:szCs w:val="28"/>
        </w:rPr>
        <w:t>с</w:t>
      </w:r>
      <w:r w:rsidR="002A78AB" w:rsidRPr="00CC76F7">
        <w:rPr>
          <w:rFonts w:eastAsia="Arial"/>
          <w:sz w:val="28"/>
          <w:szCs w:val="28"/>
        </w:rPr>
        <w:t xml:space="preserve"> </w:t>
      </w:r>
      <w:r w:rsidRPr="00CC76F7">
        <w:rPr>
          <w:rFonts w:eastAsia="Arial"/>
          <w:sz w:val="28"/>
          <w:szCs w:val="28"/>
        </w:rPr>
        <w:t>онкологическими забо</w:t>
      </w:r>
      <w:r w:rsidR="00797C8E" w:rsidRPr="00CC76F7">
        <w:rPr>
          <w:rFonts w:eastAsia="Arial"/>
          <w:sz w:val="28"/>
          <w:szCs w:val="28"/>
        </w:rPr>
        <w:t>л</w:t>
      </w:r>
      <w:r w:rsidRPr="00CC76F7">
        <w:rPr>
          <w:rFonts w:eastAsia="Arial"/>
          <w:sz w:val="28"/>
          <w:szCs w:val="28"/>
        </w:rPr>
        <w:t>еваниями (30 человек в год)</w:t>
      </w:r>
      <w:r w:rsidR="00F02F4B" w:rsidRPr="00CC76F7">
        <w:rPr>
          <w:rFonts w:eastAsia="Arial"/>
          <w:sz w:val="28"/>
          <w:szCs w:val="28"/>
        </w:rPr>
        <w:t xml:space="preserve"> (</w:t>
      </w:r>
      <w:r w:rsidR="004571C1" w:rsidRPr="00CC76F7">
        <w:rPr>
          <w:rFonts w:eastAsia="Arial"/>
          <w:sz w:val="28"/>
          <w:szCs w:val="28"/>
        </w:rPr>
        <w:t xml:space="preserve">таблица </w:t>
      </w:r>
      <w:r w:rsidR="00A629C0" w:rsidRPr="00CC76F7">
        <w:rPr>
          <w:rFonts w:eastAsia="Arial"/>
          <w:sz w:val="28"/>
          <w:szCs w:val="28"/>
        </w:rPr>
        <w:t>22.5</w:t>
      </w:r>
      <w:r w:rsidR="00F02F4B" w:rsidRPr="00CC76F7">
        <w:rPr>
          <w:rFonts w:eastAsia="Arial"/>
          <w:sz w:val="28"/>
          <w:szCs w:val="28"/>
        </w:rPr>
        <w:t>)</w:t>
      </w:r>
      <w:r w:rsidR="00172807" w:rsidRPr="00CC76F7">
        <w:rPr>
          <w:rFonts w:eastAsia="Arial"/>
          <w:sz w:val="28"/>
          <w:szCs w:val="28"/>
        </w:rPr>
        <w:t>.</w:t>
      </w:r>
      <w:r w:rsidRPr="00CC76F7">
        <w:rPr>
          <w:rFonts w:eastAsia="Arial"/>
          <w:sz w:val="28"/>
          <w:szCs w:val="28"/>
        </w:rPr>
        <w:t xml:space="preserve"> </w:t>
      </w:r>
    </w:p>
    <w:p w:rsidR="00F42223" w:rsidRPr="00CC76F7" w:rsidRDefault="00F42223" w:rsidP="00F42223">
      <w:pPr>
        <w:jc w:val="both"/>
        <w:rPr>
          <w:rFonts w:eastAsia="Arial"/>
          <w:sz w:val="28"/>
          <w:szCs w:val="28"/>
        </w:rPr>
      </w:pPr>
    </w:p>
    <w:p w:rsidR="00F42223" w:rsidRPr="00CC76F7" w:rsidRDefault="00F42223" w:rsidP="00CC76F7">
      <w:pPr>
        <w:ind w:left="8496"/>
        <w:jc w:val="right"/>
        <w:rPr>
          <w:rFonts w:eastAsia="Arial"/>
          <w:sz w:val="28"/>
          <w:szCs w:val="28"/>
        </w:rPr>
      </w:pPr>
      <w:r w:rsidRPr="00CC76F7">
        <w:rPr>
          <w:rFonts w:eastAsia="Arial"/>
          <w:sz w:val="28"/>
          <w:szCs w:val="28"/>
        </w:rPr>
        <w:t xml:space="preserve">Таблица </w:t>
      </w:r>
      <w:r w:rsidR="00A629C0" w:rsidRPr="00CC76F7">
        <w:rPr>
          <w:rFonts w:eastAsia="Arial"/>
          <w:sz w:val="28"/>
          <w:szCs w:val="28"/>
        </w:rPr>
        <w:t>22.5</w:t>
      </w:r>
    </w:p>
    <w:p w:rsidR="00F42223" w:rsidRPr="00CC76F7" w:rsidRDefault="00F42223" w:rsidP="00F42223">
      <w:pPr>
        <w:jc w:val="center"/>
        <w:rPr>
          <w:rFonts w:eastAsia="Arial"/>
          <w:sz w:val="28"/>
          <w:szCs w:val="28"/>
        </w:rPr>
      </w:pPr>
      <w:r w:rsidRPr="00CC76F7">
        <w:rPr>
          <w:rFonts w:eastAsia="Arial"/>
          <w:sz w:val="28"/>
          <w:szCs w:val="28"/>
        </w:rPr>
        <w:t>Мощность медицинских организаций,</w:t>
      </w:r>
    </w:p>
    <w:p w:rsidR="00F42223" w:rsidRPr="00CC76F7" w:rsidRDefault="00F42223" w:rsidP="00F42223">
      <w:pPr>
        <w:jc w:val="center"/>
        <w:rPr>
          <w:rFonts w:eastAsia="Arial"/>
          <w:sz w:val="28"/>
          <w:szCs w:val="28"/>
        </w:rPr>
      </w:pPr>
      <w:r w:rsidRPr="00CC76F7">
        <w:rPr>
          <w:rFonts w:eastAsia="Arial"/>
          <w:sz w:val="28"/>
          <w:szCs w:val="28"/>
        </w:rPr>
        <w:t>осуществляющих медицинскую реабилитацию онкологических больных</w:t>
      </w:r>
    </w:p>
    <w:p w:rsidR="00E33D6D" w:rsidRPr="00CC76F7" w:rsidRDefault="00E33D6D" w:rsidP="00F42223">
      <w:pPr>
        <w:jc w:val="center"/>
        <w:rPr>
          <w:rFonts w:eastAsia="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2835"/>
        <w:gridCol w:w="2552"/>
        <w:gridCol w:w="1871"/>
        <w:gridCol w:w="1389"/>
        <w:gridCol w:w="1559"/>
      </w:tblGrid>
      <w:tr w:rsidR="00F42223" w:rsidRPr="00091230" w:rsidTr="0026794C">
        <w:trPr>
          <w:trHeight w:val="20"/>
        </w:trPr>
        <w:tc>
          <w:tcPr>
            <w:tcW w:w="2835" w:type="dxa"/>
            <w:tcBorders>
              <w:bottom w:val="single" w:sz="4" w:space="0" w:color="auto"/>
            </w:tcBorders>
          </w:tcPr>
          <w:p w:rsidR="00F42223" w:rsidRPr="00091230" w:rsidRDefault="00F42223" w:rsidP="0026794C">
            <w:pPr>
              <w:jc w:val="center"/>
            </w:pPr>
            <w:r w:rsidRPr="00091230">
              <w:rPr>
                <w:rFonts w:eastAsia="Arial"/>
              </w:rPr>
              <w:t>Наименование медицинской организации</w:t>
            </w:r>
          </w:p>
        </w:tc>
        <w:tc>
          <w:tcPr>
            <w:tcW w:w="2552" w:type="dxa"/>
            <w:tcBorders>
              <w:bottom w:val="single" w:sz="4" w:space="0" w:color="auto"/>
            </w:tcBorders>
            <w:shd w:val="clear" w:color="auto" w:fill="auto"/>
          </w:tcPr>
          <w:p w:rsidR="00F42223" w:rsidRPr="00091230" w:rsidRDefault="00F42223" w:rsidP="0026794C">
            <w:pPr>
              <w:jc w:val="center"/>
              <w:rPr>
                <w:rFonts w:eastAsia="Arial"/>
              </w:rPr>
            </w:pPr>
            <w:r w:rsidRPr="00091230">
              <w:rPr>
                <w:rFonts w:eastAsia="Arial"/>
              </w:rPr>
              <w:t>Показатель</w:t>
            </w:r>
          </w:p>
        </w:tc>
        <w:tc>
          <w:tcPr>
            <w:tcW w:w="1871" w:type="dxa"/>
            <w:tcBorders>
              <w:bottom w:val="single" w:sz="4" w:space="0" w:color="auto"/>
            </w:tcBorders>
            <w:shd w:val="clear" w:color="auto" w:fill="auto"/>
          </w:tcPr>
          <w:p w:rsidR="00F42223" w:rsidRPr="00091230" w:rsidRDefault="00F42223" w:rsidP="0026794C">
            <w:pPr>
              <w:jc w:val="center"/>
              <w:rPr>
                <w:rFonts w:eastAsia="Arial"/>
              </w:rPr>
            </w:pPr>
            <w:r w:rsidRPr="00091230">
              <w:rPr>
                <w:rFonts w:eastAsia="Arial"/>
              </w:rPr>
              <w:t>Круглосуточно</w:t>
            </w:r>
          </w:p>
        </w:tc>
        <w:tc>
          <w:tcPr>
            <w:tcW w:w="1389" w:type="dxa"/>
            <w:tcBorders>
              <w:bottom w:val="single" w:sz="4" w:space="0" w:color="auto"/>
            </w:tcBorders>
            <w:shd w:val="clear" w:color="auto" w:fill="auto"/>
          </w:tcPr>
          <w:p w:rsidR="00F42223" w:rsidRPr="00091230" w:rsidRDefault="00A4645D" w:rsidP="0026794C">
            <w:pPr>
              <w:jc w:val="center"/>
              <w:rPr>
                <w:rFonts w:eastAsia="Arial"/>
              </w:rPr>
            </w:pPr>
            <w:r>
              <w:rPr>
                <w:rFonts w:eastAsia="Arial"/>
              </w:rPr>
              <w:t>Дневной ста</w:t>
            </w:r>
            <w:r w:rsidR="00F42223" w:rsidRPr="00091230">
              <w:rPr>
                <w:rFonts w:eastAsia="Arial"/>
              </w:rPr>
              <w:t>ционар</w:t>
            </w:r>
          </w:p>
        </w:tc>
        <w:tc>
          <w:tcPr>
            <w:tcW w:w="1559" w:type="dxa"/>
            <w:tcBorders>
              <w:bottom w:val="single" w:sz="4" w:space="0" w:color="auto"/>
            </w:tcBorders>
            <w:shd w:val="clear" w:color="auto" w:fill="auto"/>
          </w:tcPr>
          <w:p w:rsidR="00F42223" w:rsidRPr="00091230" w:rsidRDefault="00A4645D" w:rsidP="0026794C">
            <w:pPr>
              <w:jc w:val="center"/>
              <w:rPr>
                <w:rFonts w:eastAsia="Cambria"/>
              </w:rPr>
            </w:pPr>
            <w:r>
              <w:rPr>
                <w:rFonts w:eastAsia="Cambria"/>
              </w:rPr>
              <w:t>Амбул</w:t>
            </w:r>
            <w:r w:rsidR="009D6EBE">
              <w:rPr>
                <w:rFonts w:eastAsia="Cambria"/>
              </w:rPr>
              <w:t>а</w:t>
            </w:r>
            <w:r w:rsidR="00F42223" w:rsidRPr="00091230">
              <w:rPr>
                <w:rFonts w:eastAsia="Cambria"/>
              </w:rPr>
              <w:t>торно</w:t>
            </w:r>
          </w:p>
        </w:tc>
      </w:tr>
      <w:tr w:rsidR="00EF1D9B" w:rsidRPr="00091230" w:rsidTr="0026794C">
        <w:trPr>
          <w:trHeight w:val="20"/>
        </w:trPr>
        <w:tc>
          <w:tcPr>
            <w:tcW w:w="2835" w:type="dxa"/>
            <w:vMerge w:val="restart"/>
            <w:tcBorders>
              <w:top w:val="single" w:sz="4" w:space="0" w:color="auto"/>
              <w:left w:val="single" w:sz="4" w:space="0" w:color="auto"/>
              <w:right w:val="single" w:sz="4" w:space="0" w:color="auto"/>
            </w:tcBorders>
          </w:tcPr>
          <w:p w:rsidR="00EF1D9B" w:rsidRPr="00091230" w:rsidRDefault="00EF1D9B" w:rsidP="0026794C">
            <w:pPr>
              <w:jc w:val="both"/>
              <w:rPr>
                <w:rFonts w:eastAsia="Arial"/>
              </w:rPr>
            </w:pPr>
            <w:r w:rsidRPr="00091230">
              <w:t xml:space="preserve">ГАУЗ </w:t>
            </w:r>
            <w:r w:rsidR="002F7358">
              <w:rPr>
                <w:rFonts w:eastAsia="Arial"/>
              </w:rPr>
              <w:t>«</w:t>
            </w:r>
            <w:r w:rsidR="0026794C">
              <w:rPr>
                <w:rFonts w:eastAsia="Arial"/>
              </w:rPr>
              <w:t>РКОД МЗ РТ им.проф.</w:t>
            </w:r>
            <w:r w:rsidR="002B3817" w:rsidRPr="002B3817">
              <w:rPr>
                <w:rFonts w:eastAsia="Arial"/>
              </w:rPr>
              <w:t>М.З.Сигала</w:t>
            </w:r>
            <w:r w:rsidR="002F7358">
              <w:rPr>
                <w:rFonts w:eastAsia="Arial"/>
              </w:rPr>
              <w:t>»</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F1D9B" w:rsidRPr="00091230" w:rsidRDefault="00C55D07" w:rsidP="00C55D07">
            <w:pPr>
              <w:jc w:val="both"/>
              <w:rPr>
                <w:rFonts w:eastAsia="Arial"/>
              </w:rPr>
            </w:pPr>
            <w:r>
              <w:rPr>
                <w:rFonts w:eastAsia="Arial"/>
              </w:rPr>
              <w:t>Мощность (коек</w:t>
            </w:r>
            <w:r w:rsidR="00EF1D9B" w:rsidRPr="00091230">
              <w:rPr>
                <w:rFonts w:eastAsia="Arial"/>
              </w:rPr>
              <w:t>, посещений в смену)</w:t>
            </w:r>
          </w:p>
        </w:tc>
        <w:tc>
          <w:tcPr>
            <w:tcW w:w="1871" w:type="dxa"/>
            <w:tcBorders>
              <w:top w:val="single" w:sz="4" w:space="0" w:color="auto"/>
              <w:left w:val="single" w:sz="4" w:space="0" w:color="auto"/>
              <w:bottom w:val="single" w:sz="4" w:space="0" w:color="auto"/>
              <w:right w:val="single" w:sz="4" w:space="0" w:color="auto"/>
            </w:tcBorders>
            <w:shd w:val="clear" w:color="auto" w:fill="auto"/>
          </w:tcPr>
          <w:p w:rsidR="00EF1D9B" w:rsidRPr="00091230" w:rsidRDefault="00EF1D9B" w:rsidP="0026794C">
            <w:pPr>
              <w:jc w:val="center"/>
              <w:rPr>
                <w:rFonts w:eastAsia="Arial"/>
              </w:rPr>
            </w:pPr>
            <w:r w:rsidRPr="00091230">
              <w:rPr>
                <w:rFonts w:eastAsia="Arial"/>
              </w:rPr>
              <w:t>23</w:t>
            </w:r>
          </w:p>
        </w:tc>
        <w:tc>
          <w:tcPr>
            <w:tcW w:w="1389" w:type="dxa"/>
            <w:tcBorders>
              <w:top w:val="single" w:sz="4" w:space="0" w:color="auto"/>
              <w:left w:val="single" w:sz="4" w:space="0" w:color="auto"/>
              <w:bottom w:val="single" w:sz="4" w:space="0" w:color="auto"/>
              <w:right w:val="single" w:sz="4" w:space="0" w:color="auto"/>
            </w:tcBorders>
            <w:shd w:val="clear" w:color="auto" w:fill="auto"/>
          </w:tcPr>
          <w:p w:rsidR="00EF1D9B" w:rsidRPr="00091230" w:rsidRDefault="00EF1D9B" w:rsidP="0026794C">
            <w:pPr>
              <w:jc w:val="center"/>
              <w:rPr>
                <w:rFonts w:eastAsia="Arial"/>
              </w:rPr>
            </w:pPr>
            <w:r w:rsidRPr="00091230">
              <w:rPr>
                <w:rFonts w:eastAsia="Arial"/>
              </w:rPr>
              <w:t>12</w:t>
            </w:r>
          </w:p>
        </w:tc>
        <w:tc>
          <w:tcPr>
            <w:tcW w:w="1559" w:type="dxa"/>
            <w:tcBorders>
              <w:top w:val="single" w:sz="4" w:space="0" w:color="auto"/>
              <w:left w:val="single" w:sz="4" w:space="0" w:color="auto"/>
              <w:bottom w:val="single" w:sz="4" w:space="0" w:color="auto"/>
            </w:tcBorders>
            <w:shd w:val="clear" w:color="auto" w:fill="auto"/>
          </w:tcPr>
          <w:p w:rsidR="00EF1D9B" w:rsidRPr="00091230" w:rsidRDefault="00EF1D9B" w:rsidP="0026794C">
            <w:pPr>
              <w:jc w:val="center"/>
            </w:pPr>
            <w:r w:rsidRPr="00091230">
              <w:rPr>
                <w:rFonts w:eastAsia="Cambria"/>
              </w:rPr>
              <w:t>–</w:t>
            </w:r>
          </w:p>
        </w:tc>
      </w:tr>
      <w:tr w:rsidR="00EF1D9B" w:rsidRPr="00091230" w:rsidTr="0026794C">
        <w:trPr>
          <w:trHeight w:val="20"/>
        </w:trPr>
        <w:tc>
          <w:tcPr>
            <w:tcW w:w="2835" w:type="dxa"/>
            <w:vMerge/>
            <w:tcBorders>
              <w:left w:val="single" w:sz="4" w:space="0" w:color="auto"/>
              <w:right w:val="single" w:sz="4" w:space="0" w:color="auto"/>
            </w:tcBorders>
          </w:tcPr>
          <w:p w:rsidR="00EF1D9B" w:rsidRPr="00091230" w:rsidRDefault="00EF1D9B" w:rsidP="0026794C">
            <w:pPr>
              <w:jc w:val="both"/>
              <w:rPr>
                <w:rFonts w:eastAsia="Arial"/>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F1D9B" w:rsidRPr="00091230" w:rsidRDefault="00EF1D9B" w:rsidP="0026794C">
            <w:pPr>
              <w:jc w:val="both"/>
              <w:rPr>
                <w:rFonts w:eastAsia="Arial"/>
              </w:rPr>
            </w:pPr>
            <w:r w:rsidRPr="00091230">
              <w:rPr>
                <w:rFonts w:eastAsia="Arial"/>
              </w:rPr>
              <w:t>Количество штатных единиц врачей</w:t>
            </w:r>
          </w:p>
        </w:tc>
        <w:tc>
          <w:tcPr>
            <w:tcW w:w="1871" w:type="dxa"/>
            <w:tcBorders>
              <w:top w:val="single" w:sz="4" w:space="0" w:color="auto"/>
              <w:left w:val="single" w:sz="4" w:space="0" w:color="auto"/>
              <w:bottom w:val="single" w:sz="4" w:space="0" w:color="auto"/>
              <w:right w:val="single" w:sz="4" w:space="0" w:color="auto"/>
            </w:tcBorders>
            <w:shd w:val="clear" w:color="auto" w:fill="auto"/>
          </w:tcPr>
          <w:p w:rsidR="00EF1D9B" w:rsidRPr="00091230" w:rsidRDefault="00EF1D9B" w:rsidP="0026794C">
            <w:pPr>
              <w:jc w:val="center"/>
              <w:rPr>
                <w:rFonts w:eastAsia="Arial"/>
              </w:rPr>
            </w:pPr>
            <w:r w:rsidRPr="00091230">
              <w:rPr>
                <w:rFonts w:eastAsia="Arial"/>
              </w:rPr>
              <w:t>2,0</w:t>
            </w:r>
          </w:p>
        </w:tc>
        <w:tc>
          <w:tcPr>
            <w:tcW w:w="1389" w:type="dxa"/>
            <w:tcBorders>
              <w:top w:val="single" w:sz="4" w:space="0" w:color="auto"/>
              <w:left w:val="single" w:sz="4" w:space="0" w:color="auto"/>
              <w:bottom w:val="single" w:sz="4" w:space="0" w:color="auto"/>
              <w:right w:val="single" w:sz="4" w:space="0" w:color="auto"/>
            </w:tcBorders>
            <w:shd w:val="clear" w:color="auto" w:fill="auto"/>
          </w:tcPr>
          <w:p w:rsidR="00EF1D9B" w:rsidRPr="00091230" w:rsidRDefault="00EF1D9B" w:rsidP="0026794C">
            <w:pPr>
              <w:jc w:val="center"/>
              <w:rPr>
                <w:rFonts w:eastAsia="Arial"/>
              </w:rPr>
            </w:pPr>
            <w:r w:rsidRPr="00091230">
              <w:rPr>
                <w:rFonts w:eastAsia="Arial"/>
              </w:rPr>
              <w:t>4,0</w:t>
            </w:r>
          </w:p>
        </w:tc>
        <w:tc>
          <w:tcPr>
            <w:tcW w:w="1559" w:type="dxa"/>
            <w:tcBorders>
              <w:top w:val="single" w:sz="4" w:space="0" w:color="auto"/>
              <w:left w:val="single" w:sz="4" w:space="0" w:color="auto"/>
              <w:bottom w:val="single" w:sz="4" w:space="0" w:color="auto"/>
            </w:tcBorders>
            <w:shd w:val="clear" w:color="auto" w:fill="auto"/>
          </w:tcPr>
          <w:p w:rsidR="00EF1D9B" w:rsidRPr="00091230" w:rsidRDefault="00EF1D9B" w:rsidP="0026794C">
            <w:pPr>
              <w:jc w:val="center"/>
            </w:pPr>
            <w:r w:rsidRPr="00091230">
              <w:rPr>
                <w:rFonts w:eastAsia="Cambria"/>
              </w:rPr>
              <w:t>–</w:t>
            </w:r>
          </w:p>
        </w:tc>
      </w:tr>
      <w:tr w:rsidR="00EF1D9B" w:rsidRPr="00091230" w:rsidTr="0026794C">
        <w:trPr>
          <w:trHeight w:val="20"/>
        </w:trPr>
        <w:tc>
          <w:tcPr>
            <w:tcW w:w="2835" w:type="dxa"/>
            <w:vMerge/>
            <w:tcBorders>
              <w:left w:val="single" w:sz="4" w:space="0" w:color="auto"/>
              <w:right w:val="single" w:sz="4" w:space="0" w:color="auto"/>
            </w:tcBorders>
          </w:tcPr>
          <w:p w:rsidR="00EF1D9B" w:rsidRPr="00091230" w:rsidRDefault="00EF1D9B" w:rsidP="0026794C">
            <w:pPr>
              <w:jc w:val="both"/>
              <w:rPr>
                <w:rFonts w:eastAsia="Arial"/>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F1D9B" w:rsidRPr="00091230" w:rsidRDefault="00EF1D9B" w:rsidP="0026794C">
            <w:pPr>
              <w:jc w:val="both"/>
              <w:rPr>
                <w:rFonts w:eastAsia="Arial"/>
              </w:rPr>
            </w:pPr>
            <w:r w:rsidRPr="00091230">
              <w:rPr>
                <w:rFonts w:eastAsia="Arial"/>
              </w:rPr>
              <w:t xml:space="preserve">Количество штатных единиц среднего </w:t>
            </w:r>
            <w:r w:rsidR="00C55D07">
              <w:rPr>
                <w:rFonts w:eastAsia="Arial"/>
              </w:rPr>
              <w:t>пе</w:t>
            </w:r>
            <w:r w:rsidRPr="00091230">
              <w:rPr>
                <w:rFonts w:eastAsia="Arial"/>
              </w:rPr>
              <w:t>рсонала</w:t>
            </w:r>
          </w:p>
        </w:tc>
        <w:tc>
          <w:tcPr>
            <w:tcW w:w="1871" w:type="dxa"/>
            <w:tcBorders>
              <w:top w:val="single" w:sz="4" w:space="0" w:color="auto"/>
              <w:left w:val="single" w:sz="4" w:space="0" w:color="auto"/>
              <w:bottom w:val="single" w:sz="4" w:space="0" w:color="auto"/>
              <w:right w:val="single" w:sz="4" w:space="0" w:color="auto"/>
            </w:tcBorders>
            <w:shd w:val="clear" w:color="auto" w:fill="auto"/>
          </w:tcPr>
          <w:p w:rsidR="00EF1D9B" w:rsidRPr="00091230" w:rsidRDefault="00EF1D9B" w:rsidP="0026794C">
            <w:pPr>
              <w:jc w:val="center"/>
              <w:rPr>
                <w:rFonts w:eastAsia="Arial"/>
              </w:rPr>
            </w:pPr>
            <w:r w:rsidRPr="00091230">
              <w:rPr>
                <w:rFonts w:eastAsia="Arial"/>
              </w:rPr>
              <w:t>2,0</w:t>
            </w:r>
          </w:p>
        </w:tc>
        <w:tc>
          <w:tcPr>
            <w:tcW w:w="1389" w:type="dxa"/>
            <w:tcBorders>
              <w:top w:val="single" w:sz="4" w:space="0" w:color="auto"/>
              <w:left w:val="single" w:sz="4" w:space="0" w:color="auto"/>
              <w:bottom w:val="single" w:sz="4" w:space="0" w:color="auto"/>
              <w:right w:val="single" w:sz="4" w:space="0" w:color="auto"/>
            </w:tcBorders>
            <w:shd w:val="clear" w:color="auto" w:fill="auto"/>
          </w:tcPr>
          <w:p w:rsidR="00EF1D9B" w:rsidRPr="00091230" w:rsidRDefault="00EF1D9B" w:rsidP="0026794C">
            <w:pPr>
              <w:jc w:val="center"/>
              <w:rPr>
                <w:rFonts w:eastAsia="Arial"/>
              </w:rPr>
            </w:pPr>
            <w:r w:rsidRPr="00091230">
              <w:rPr>
                <w:rFonts w:eastAsia="Arial"/>
              </w:rPr>
              <w:t>3,0</w:t>
            </w:r>
          </w:p>
        </w:tc>
        <w:tc>
          <w:tcPr>
            <w:tcW w:w="1559" w:type="dxa"/>
            <w:tcBorders>
              <w:top w:val="single" w:sz="4" w:space="0" w:color="auto"/>
              <w:left w:val="single" w:sz="4" w:space="0" w:color="auto"/>
              <w:bottom w:val="single" w:sz="4" w:space="0" w:color="auto"/>
            </w:tcBorders>
            <w:shd w:val="clear" w:color="auto" w:fill="auto"/>
          </w:tcPr>
          <w:p w:rsidR="00EF1D9B" w:rsidRPr="00091230" w:rsidRDefault="00EF1D9B" w:rsidP="0026794C">
            <w:pPr>
              <w:jc w:val="center"/>
            </w:pPr>
            <w:r w:rsidRPr="00091230">
              <w:rPr>
                <w:rFonts w:eastAsia="Cambria"/>
              </w:rPr>
              <w:t>–</w:t>
            </w:r>
          </w:p>
        </w:tc>
      </w:tr>
      <w:tr w:rsidR="00EF1D9B" w:rsidRPr="00091230" w:rsidTr="0026794C">
        <w:trPr>
          <w:trHeight w:val="20"/>
        </w:trPr>
        <w:tc>
          <w:tcPr>
            <w:tcW w:w="2835" w:type="dxa"/>
            <w:vMerge/>
            <w:tcBorders>
              <w:left w:val="single" w:sz="4" w:space="0" w:color="auto"/>
              <w:right w:val="single" w:sz="4" w:space="0" w:color="auto"/>
            </w:tcBorders>
          </w:tcPr>
          <w:p w:rsidR="00EF1D9B" w:rsidRPr="00091230" w:rsidRDefault="00EF1D9B" w:rsidP="0026794C">
            <w:pPr>
              <w:jc w:val="both"/>
              <w:rPr>
                <w:rFonts w:eastAsia="Arial"/>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F1D9B" w:rsidRPr="00091230" w:rsidRDefault="00EF1D9B" w:rsidP="0026794C">
            <w:pPr>
              <w:jc w:val="both"/>
              <w:rPr>
                <w:rFonts w:eastAsia="Arial"/>
              </w:rPr>
            </w:pPr>
            <w:r w:rsidRPr="00091230">
              <w:rPr>
                <w:rFonts w:eastAsia="Arial"/>
              </w:rPr>
              <w:t>Количество пролеченных больных</w:t>
            </w:r>
          </w:p>
        </w:tc>
        <w:tc>
          <w:tcPr>
            <w:tcW w:w="1871" w:type="dxa"/>
            <w:tcBorders>
              <w:top w:val="single" w:sz="4" w:space="0" w:color="auto"/>
              <w:left w:val="single" w:sz="4" w:space="0" w:color="auto"/>
              <w:bottom w:val="single" w:sz="4" w:space="0" w:color="auto"/>
              <w:right w:val="single" w:sz="4" w:space="0" w:color="auto"/>
            </w:tcBorders>
            <w:shd w:val="clear" w:color="auto" w:fill="auto"/>
          </w:tcPr>
          <w:p w:rsidR="00EF1D9B" w:rsidRPr="00091230" w:rsidRDefault="00172807" w:rsidP="0026794C">
            <w:pPr>
              <w:jc w:val="center"/>
              <w:rPr>
                <w:rFonts w:eastAsia="Arial"/>
              </w:rPr>
            </w:pPr>
            <w:r>
              <w:rPr>
                <w:rFonts w:eastAsia="Arial"/>
              </w:rPr>
              <w:t xml:space="preserve"> </w:t>
            </w:r>
            <w:r w:rsidR="000032B5">
              <w:rPr>
                <w:rFonts w:eastAsia="Arial"/>
              </w:rPr>
              <w:t>700</w:t>
            </w:r>
          </w:p>
        </w:tc>
        <w:tc>
          <w:tcPr>
            <w:tcW w:w="1389" w:type="dxa"/>
            <w:tcBorders>
              <w:top w:val="single" w:sz="4" w:space="0" w:color="auto"/>
              <w:left w:val="single" w:sz="4" w:space="0" w:color="auto"/>
              <w:bottom w:val="single" w:sz="4" w:space="0" w:color="auto"/>
              <w:right w:val="single" w:sz="4" w:space="0" w:color="auto"/>
            </w:tcBorders>
            <w:shd w:val="clear" w:color="auto" w:fill="auto"/>
          </w:tcPr>
          <w:p w:rsidR="00EF1D9B" w:rsidRPr="00091230" w:rsidRDefault="00EF1D9B" w:rsidP="0026794C">
            <w:pPr>
              <w:jc w:val="center"/>
              <w:rPr>
                <w:rFonts w:eastAsia="Arial"/>
              </w:rPr>
            </w:pPr>
            <w:r w:rsidRPr="00091230">
              <w:rPr>
                <w:rFonts w:eastAsia="Arial"/>
              </w:rPr>
              <w:t>500</w:t>
            </w:r>
          </w:p>
        </w:tc>
        <w:tc>
          <w:tcPr>
            <w:tcW w:w="1559" w:type="dxa"/>
            <w:tcBorders>
              <w:top w:val="single" w:sz="4" w:space="0" w:color="auto"/>
              <w:left w:val="single" w:sz="4" w:space="0" w:color="auto"/>
              <w:bottom w:val="single" w:sz="4" w:space="0" w:color="auto"/>
            </w:tcBorders>
            <w:shd w:val="clear" w:color="auto" w:fill="auto"/>
          </w:tcPr>
          <w:p w:rsidR="00EF1D9B" w:rsidRPr="00091230" w:rsidRDefault="00EF1D9B" w:rsidP="0026794C">
            <w:pPr>
              <w:jc w:val="center"/>
            </w:pPr>
            <w:r w:rsidRPr="00091230">
              <w:rPr>
                <w:rFonts w:eastAsia="Cambria"/>
              </w:rPr>
              <w:t>–</w:t>
            </w:r>
          </w:p>
        </w:tc>
      </w:tr>
      <w:tr w:rsidR="00EF1D9B" w:rsidRPr="00091230" w:rsidTr="0026794C">
        <w:trPr>
          <w:trHeight w:val="20"/>
        </w:trPr>
        <w:tc>
          <w:tcPr>
            <w:tcW w:w="2835" w:type="dxa"/>
            <w:vMerge/>
            <w:tcBorders>
              <w:left w:val="single" w:sz="4" w:space="0" w:color="auto"/>
              <w:right w:val="single" w:sz="4" w:space="0" w:color="auto"/>
            </w:tcBorders>
          </w:tcPr>
          <w:p w:rsidR="00EF1D9B" w:rsidRPr="00091230" w:rsidRDefault="00EF1D9B" w:rsidP="0026794C">
            <w:pPr>
              <w:jc w:val="both"/>
              <w:rPr>
                <w:rFonts w:eastAsia="Arial"/>
              </w:rPr>
            </w:pPr>
          </w:p>
        </w:tc>
        <w:tc>
          <w:tcPr>
            <w:tcW w:w="2552" w:type="dxa"/>
            <w:tcBorders>
              <w:top w:val="single" w:sz="4" w:space="0" w:color="auto"/>
              <w:left w:val="single" w:sz="4" w:space="0" w:color="auto"/>
              <w:bottom w:val="single" w:sz="4" w:space="0" w:color="auto"/>
            </w:tcBorders>
            <w:shd w:val="clear" w:color="auto" w:fill="auto"/>
          </w:tcPr>
          <w:p w:rsidR="00EF1D9B" w:rsidRPr="00091230" w:rsidRDefault="00EF1D9B" w:rsidP="0026794C">
            <w:pPr>
              <w:jc w:val="both"/>
              <w:rPr>
                <w:rFonts w:eastAsia="Arial"/>
              </w:rPr>
            </w:pPr>
            <w:r w:rsidRPr="00091230">
              <w:rPr>
                <w:rFonts w:eastAsia="Arial"/>
              </w:rPr>
              <w:t>Количество применяемых методов лечения</w:t>
            </w:r>
          </w:p>
        </w:tc>
        <w:tc>
          <w:tcPr>
            <w:tcW w:w="1871" w:type="dxa"/>
            <w:tcBorders>
              <w:top w:val="single" w:sz="4" w:space="0" w:color="auto"/>
              <w:bottom w:val="single" w:sz="4" w:space="0" w:color="auto"/>
            </w:tcBorders>
            <w:shd w:val="clear" w:color="auto" w:fill="auto"/>
          </w:tcPr>
          <w:p w:rsidR="00EF1D9B" w:rsidRPr="00091230" w:rsidRDefault="00EF1D9B" w:rsidP="0026794C">
            <w:pPr>
              <w:jc w:val="center"/>
              <w:rPr>
                <w:rFonts w:eastAsia="Arial"/>
              </w:rPr>
            </w:pPr>
            <w:r w:rsidRPr="00091230">
              <w:rPr>
                <w:rFonts w:eastAsia="Arial"/>
              </w:rPr>
              <w:t>3</w:t>
            </w:r>
          </w:p>
        </w:tc>
        <w:tc>
          <w:tcPr>
            <w:tcW w:w="1389" w:type="dxa"/>
            <w:tcBorders>
              <w:top w:val="single" w:sz="4" w:space="0" w:color="auto"/>
              <w:bottom w:val="single" w:sz="4" w:space="0" w:color="auto"/>
            </w:tcBorders>
            <w:shd w:val="clear" w:color="auto" w:fill="auto"/>
          </w:tcPr>
          <w:p w:rsidR="00EF1D9B" w:rsidRPr="00091230" w:rsidRDefault="00EF1D9B" w:rsidP="0026794C">
            <w:pPr>
              <w:jc w:val="center"/>
              <w:rPr>
                <w:rFonts w:eastAsia="Arial"/>
              </w:rPr>
            </w:pPr>
            <w:r w:rsidRPr="00091230">
              <w:rPr>
                <w:rFonts w:eastAsia="Arial"/>
              </w:rPr>
              <w:t>3</w:t>
            </w:r>
          </w:p>
        </w:tc>
        <w:tc>
          <w:tcPr>
            <w:tcW w:w="1559" w:type="dxa"/>
            <w:tcBorders>
              <w:top w:val="single" w:sz="4" w:space="0" w:color="auto"/>
              <w:bottom w:val="single" w:sz="4" w:space="0" w:color="auto"/>
            </w:tcBorders>
            <w:shd w:val="clear" w:color="auto" w:fill="auto"/>
          </w:tcPr>
          <w:p w:rsidR="00EF1D9B" w:rsidRPr="00091230" w:rsidRDefault="00EF1D9B" w:rsidP="0026794C">
            <w:pPr>
              <w:jc w:val="center"/>
            </w:pPr>
            <w:r w:rsidRPr="00091230">
              <w:rPr>
                <w:rFonts w:eastAsia="Cambria"/>
              </w:rPr>
              <w:t>–</w:t>
            </w:r>
          </w:p>
        </w:tc>
      </w:tr>
      <w:tr w:rsidR="00797C8E" w:rsidRPr="00091230" w:rsidTr="0026794C">
        <w:trPr>
          <w:trHeight w:val="20"/>
        </w:trPr>
        <w:tc>
          <w:tcPr>
            <w:tcW w:w="2835" w:type="dxa"/>
            <w:vMerge w:val="restart"/>
            <w:tcBorders>
              <w:left w:val="single" w:sz="4" w:space="0" w:color="auto"/>
              <w:right w:val="single" w:sz="4" w:space="0" w:color="auto"/>
            </w:tcBorders>
          </w:tcPr>
          <w:p w:rsidR="00797C8E" w:rsidRPr="00091230" w:rsidRDefault="00797C8E" w:rsidP="0026794C">
            <w:pPr>
              <w:jc w:val="both"/>
              <w:rPr>
                <w:rFonts w:eastAsia="Arial"/>
              </w:rPr>
            </w:pPr>
            <w:r w:rsidRPr="00091230">
              <w:rPr>
                <w:rFonts w:eastAsia="Arial"/>
              </w:rPr>
              <w:t xml:space="preserve">ГАУЗ </w:t>
            </w:r>
            <w:r w:rsidR="002F7358">
              <w:rPr>
                <w:rFonts w:eastAsia="Arial"/>
              </w:rPr>
              <w:t>«</w:t>
            </w:r>
            <w:r w:rsidRPr="00091230">
              <w:rPr>
                <w:rFonts w:eastAsia="Arial"/>
              </w:rPr>
              <w:t>Госпиталь для ветеранов войн</w:t>
            </w:r>
            <w:r w:rsidR="002F7358">
              <w:rPr>
                <w:rFonts w:eastAsia="Arial"/>
              </w:rPr>
              <w:t>»</w:t>
            </w:r>
            <w:r w:rsidRPr="00091230">
              <w:rPr>
                <w:rFonts w:eastAsia="Arial"/>
              </w:rPr>
              <w:t xml:space="preserve"> г.Казани</w:t>
            </w:r>
          </w:p>
        </w:tc>
        <w:tc>
          <w:tcPr>
            <w:tcW w:w="2552" w:type="dxa"/>
            <w:tcBorders>
              <w:top w:val="single" w:sz="4" w:space="0" w:color="auto"/>
              <w:left w:val="single" w:sz="4" w:space="0" w:color="auto"/>
              <w:bottom w:val="single" w:sz="4" w:space="0" w:color="auto"/>
            </w:tcBorders>
            <w:shd w:val="clear" w:color="auto" w:fill="auto"/>
          </w:tcPr>
          <w:p w:rsidR="00797C8E" w:rsidRPr="00091230" w:rsidRDefault="00797C8E" w:rsidP="00C55D07">
            <w:pPr>
              <w:jc w:val="both"/>
              <w:rPr>
                <w:rFonts w:eastAsia="Arial"/>
              </w:rPr>
            </w:pPr>
            <w:r w:rsidRPr="00091230">
              <w:rPr>
                <w:rFonts w:eastAsia="Arial"/>
              </w:rPr>
              <w:t>Мощность (ко</w:t>
            </w:r>
            <w:r w:rsidR="00C55D07">
              <w:rPr>
                <w:rFonts w:eastAsia="Arial"/>
              </w:rPr>
              <w:t>ек</w:t>
            </w:r>
            <w:r w:rsidRPr="00091230">
              <w:rPr>
                <w:rFonts w:eastAsia="Arial"/>
              </w:rPr>
              <w:t>, посещений в смену)</w:t>
            </w:r>
          </w:p>
        </w:tc>
        <w:tc>
          <w:tcPr>
            <w:tcW w:w="1871" w:type="dxa"/>
            <w:tcBorders>
              <w:top w:val="single" w:sz="4" w:space="0" w:color="auto"/>
              <w:bottom w:val="single" w:sz="4" w:space="0" w:color="auto"/>
            </w:tcBorders>
            <w:shd w:val="clear" w:color="auto" w:fill="auto"/>
          </w:tcPr>
          <w:p w:rsidR="00797C8E" w:rsidRPr="00091230" w:rsidRDefault="00797C8E" w:rsidP="0026794C">
            <w:pPr>
              <w:jc w:val="center"/>
              <w:rPr>
                <w:rFonts w:eastAsia="Arial"/>
              </w:rPr>
            </w:pPr>
            <w:r w:rsidRPr="00091230">
              <w:rPr>
                <w:rFonts w:eastAsia="Arial"/>
              </w:rPr>
              <w:t>1</w:t>
            </w:r>
          </w:p>
        </w:tc>
        <w:tc>
          <w:tcPr>
            <w:tcW w:w="1389" w:type="dxa"/>
            <w:tcBorders>
              <w:top w:val="single" w:sz="4" w:space="0" w:color="auto"/>
              <w:bottom w:val="single" w:sz="4" w:space="0" w:color="auto"/>
            </w:tcBorders>
            <w:shd w:val="clear" w:color="auto" w:fill="auto"/>
          </w:tcPr>
          <w:p w:rsidR="00797C8E" w:rsidRPr="00091230" w:rsidRDefault="00797C8E" w:rsidP="0026794C">
            <w:pPr>
              <w:jc w:val="center"/>
              <w:rPr>
                <w:rFonts w:eastAsia="Arial"/>
              </w:rPr>
            </w:pPr>
            <w:r w:rsidRPr="00091230">
              <w:rPr>
                <w:rFonts w:eastAsia="Arial"/>
              </w:rPr>
              <w:t>28</w:t>
            </w:r>
          </w:p>
        </w:tc>
        <w:tc>
          <w:tcPr>
            <w:tcW w:w="1559" w:type="dxa"/>
            <w:tcBorders>
              <w:top w:val="single" w:sz="4" w:space="0" w:color="auto"/>
              <w:bottom w:val="single" w:sz="4" w:space="0" w:color="auto"/>
            </w:tcBorders>
            <w:shd w:val="clear" w:color="auto" w:fill="auto"/>
          </w:tcPr>
          <w:p w:rsidR="00797C8E" w:rsidRPr="00091230" w:rsidRDefault="00797C8E" w:rsidP="0026794C">
            <w:pPr>
              <w:jc w:val="center"/>
            </w:pPr>
            <w:r w:rsidRPr="00091230">
              <w:rPr>
                <w:rFonts w:eastAsia="Cambria"/>
              </w:rPr>
              <w:t>–</w:t>
            </w:r>
          </w:p>
        </w:tc>
      </w:tr>
      <w:tr w:rsidR="00797C8E" w:rsidRPr="00091230" w:rsidTr="0026794C">
        <w:trPr>
          <w:trHeight w:val="20"/>
        </w:trPr>
        <w:tc>
          <w:tcPr>
            <w:tcW w:w="2835" w:type="dxa"/>
            <w:vMerge/>
            <w:tcBorders>
              <w:left w:val="single" w:sz="4" w:space="0" w:color="auto"/>
              <w:right w:val="single" w:sz="4" w:space="0" w:color="auto"/>
            </w:tcBorders>
          </w:tcPr>
          <w:p w:rsidR="00797C8E" w:rsidRPr="00091230" w:rsidRDefault="00797C8E" w:rsidP="0026794C">
            <w:pPr>
              <w:jc w:val="both"/>
              <w:rPr>
                <w:rFonts w:eastAsia="Arial"/>
              </w:rPr>
            </w:pPr>
          </w:p>
        </w:tc>
        <w:tc>
          <w:tcPr>
            <w:tcW w:w="2552" w:type="dxa"/>
            <w:tcBorders>
              <w:top w:val="single" w:sz="4" w:space="0" w:color="auto"/>
              <w:left w:val="single" w:sz="4" w:space="0" w:color="auto"/>
              <w:bottom w:val="single" w:sz="4" w:space="0" w:color="auto"/>
            </w:tcBorders>
            <w:shd w:val="clear" w:color="auto" w:fill="auto"/>
          </w:tcPr>
          <w:p w:rsidR="00797C8E" w:rsidRPr="00091230" w:rsidRDefault="00797C8E" w:rsidP="0026794C">
            <w:pPr>
              <w:jc w:val="both"/>
              <w:rPr>
                <w:rFonts w:eastAsia="Arial"/>
              </w:rPr>
            </w:pPr>
            <w:r w:rsidRPr="00091230">
              <w:rPr>
                <w:rFonts w:eastAsia="Arial"/>
              </w:rPr>
              <w:t>Количество штатных единиц врачей</w:t>
            </w:r>
          </w:p>
        </w:tc>
        <w:tc>
          <w:tcPr>
            <w:tcW w:w="1871" w:type="dxa"/>
            <w:tcBorders>
              <w:top w:val="single" w:sz="4" w:space="0" w:color="auto"/>
              <w:bottom w:val="single" w:sz="4" w:space="0" w:color="auto"/>
            </w:tcBorders>
            <w:shd w:val="clear" w:color="auto" w:fill="auto"/>
          </w:tcPr>
          <w:p w:rsidR="00797C8E" w:rsidRPr="00091230" w:rsidRDefault="00797C8E" w:rsidP="0026794C">
            <w:pPr>
              <w:jc w:val="center"/>
              <w:rPr>
                <w:rFonts w:eastAsia="Arial"/>
              </w:rPr>
            </w:pPr>
            <w:r w:rsidRPr="00091230">
              <w:rPr>
                <w:rFonts w:eastAsia="Arial"/>
              </w:rPr>
              <w:t>0,0</w:t>
            </w:r>
          </w:p>
        </w:tc>
        <w:tc>
          <w:tcPr>
            <w:tcW w:w="1389" w:type="dxa"/>
            <w:tcBorders>
              <w:top w:val="single" w:sz="4" w:space="0" w:color="auto"/>
              <w:bottom w:val="single" w:sz="4" w:space="0" w:color="auto"/>
            </w:tcBorders>
            <w:shd w:val="clear" w:color="auto" w:fill="auto"/>
          </w:tcPr>
          <w:p w:rsidR="00797C8E" w:rsidRPr="00091230" w:rsidRDefault="00797C8E" w:rsidP="0026794C">
            <w:pPr>
              <w:jc w:val="center"/>
              <w:rPr>
                <w:rFonts w:eastAsia="Arial"/>
              </w:rPr>
            </w:pPr>
            <w:r w:rsidRPr="00091230">
              <w:rPr>
                <w:rFonts w:eastAsia="Arial"/>
              </w:rPr>
              <w:t>5,0</w:t>
            </w:r>
          </w:p>
        </w:tc>
        <w:tc>
          <w:tcPr>
            <w:tcW w:w="1559" w:type="dxa"/>
            <w:tcBorders>
              <w:top w:val="single" w:sz="4" w:space="0" w:color="auto"/>
              <w:bottom w:val="single" w:sz="4" w:space="0" w:color="auto"/>
            </w:tcBorders>
            <w:shd w:val="clear" w:color="auto" w:fill="auto"/>
          </w:tcPr>
          <w:p w:rsidR="00797C8E" w:rsidRPr="00091230" w:rsidRDefault="00797C8E" w:rsidP="0026794C">
            <w:pPr>
              <w:jc w:val="center"/>
            </w:pPr>
            <w:r w:rsidRPr="00091230">
              <w:rPr>
                <w:rFonts w:eastAsia="Cambria"/>
              </w:rPr>
              <w:t>–</w:t>
            </w:r>
          </w:p>
        </w:tc>
      </w:tr>
      <w:tr w:rsidR="00797C8E" w:rsidRPr="00091230" w:rsidTr="0026794C">
        <w:trPr>
          <w:trHeight w:val="20"/>
        </w:trPr>
        <w:tc>
          <w:tcPr>
            <w:tcW w:w="2835" w:type="dxa"/>
            <w:vMerge/>
            <w:tcBorders>
              <w:left w:val="single" w:sz="4" w:space="0" w:color="auto"/>
              <w:right w:val="single" w:sz="4" w:space="0" w:color="auto"/>
            </w:tcBorders>
          </w:tcPr>
          <w:p w:rsidR="00797C8E" w:rsidRPr="00091230" w:rsidRDefault="00797C8E" w:rsidP="0026794C">
            <w:pPr>
              <w:jc w:val="both"/>
              <w:rPr>
                <w:rFonts w:eastAsia="Arial"/>
              </w:rPr>
            </w:pPr>
          </w:p>
        </w:tc>
        <w:tc>
          <w:tcPr>
            <w:tcW w:w="2552" w:type="dxa"/>
            <w:tcBorders>
              <w:top w:val="single" w:sz="4" w:space="0" w:color="auto"/>
              <w:left w:val="single" w:sz="4" w:space="0" w:color="auto"/>
              <w:bottom w:val="single" w:sz="4" w:space="0" w:color="auto"/>
            </w:tcBorders>
            <w:shd w:val="clear" w:color="auto" w:fill="auto"/>
          </w:tcPr>
          <w:p w:rsidR="00797C8E" w:rsidRPr="00091230" w:rsidRDefault="00797C8E" w:rsidP="0026794C">
            <w:pPr>
              <w:jc w:val="both"/>
              <w:rPr>
                <w:rFonts w:eastAsia="Arial"/>
              </w:rPr>
            </w:pPr>
            <w:r w:rsidRPr="00091230">
              <w:rPr>
                <w:rFonts w:eastAsia="Arial"/>
              </w:rPr>
              <w:t>Количество штатных единиц среднего персонала</w:t>
            </w:r>
          </w:p>
        </w:tc>
        <w:tc>
          <w:tcPr>
            <w:tcW w:w="1871" w:type="dxa"/>
            <w:tcBorders>
              <w:top w:val="single" w:sz="4" w:space="0" w:color="auto"/>
              <w:bottom w:val="single" w:sz="4" w:space="0" w:color="auto"/>
            </w:tcBorders>
            <w:shd w:val="clear" w:color="auto" w:fill="auto"/>
          </w:tcPr>
          <w:p w:rsidR="00797C8E" w:rsidRPr="00091230" w:rsidRDefault="00797C8E" w:rsidP="0026794C">
            <w:pPr>
              <w:jc w:val="center"/>
              <w:rPr>
                <w:rFonts w:eastAsia="Arial"/>
              </w:rPr>
            </w:pPr>
            <w:r w:rsidRPr="00091230">
              <w:rPr>
                <w:rFonts w:eastAsia="Arial"/>
              </w:rPr>
              <w:t>6,5</w:t>
            </w:r>
          </w:p>
        </w:tc>
        <w:tc>
          <w:tcPr>
            <w:tcW w:w="1389" w:type="dxa"/>
            <w:tcBorders>
              <w:top w:val="single" w:sz="4" w:space="0" w:color="auto"/>
              <w:bottom w:val="single" w:sz="4" w:space="0" w:color="auto"/>
            </w:tcBorders>
            <w:shd w:val="clear" w:color="auto" w:fill="auto"/>
          </w:tcPr>
          <w:p w:rsidR="00797C8E" w:rsidRPr="00091230" w:rsidRDefault="00797C8E" w:rsidP="0026794C">
            <w:pPr>
              <w:jc w:val="center"/>
              <w:rPr>
                <w:rFonts w:eastAsia="Arial"/>
              </w:rPr>
            </w:pPr>
            <w:r w:rsidRPr="00091230">
              <w:rPr>
                <w:rFonts w:eastAsia="Arial"/>
              </w:rPr>
              <w:t>5,0</w:t>
            </w:r>
          </w:p>
        </w:tc>
        <w:tc>
          <w:tcPr>
            <w:tcW w:w="1559" w:type="dxa"/>
            <w:tcBorders>
              <w:top w:val="single" w:sz="4" w:space="0" w:color="auto"/>
              <w:bottom w:val="single" w:sz="4" w:space="0" w:color="auto"/>
            </w:tcBorders>
            <w:shd w:val="clear" w:color="auto" w:fill="auto"/>
          </w:tcPr>
          <w:p w:rsidR="00797C8E" w:rsidRPr="00091230" w:rsidRDefault="00797C8E" w:rsidP="0026794C">
            <w:pPr>
              <w:jc w:val="center"/>
            </w:pPr>
            <w:r w:rsidRPr="00091230">
              <w:rPr>
                <w:rFonts w:eastAsia="Cambria"/>
              </w:rPr>
              <w:t>–</w:t>
            </w:r>
          </w:p>
        </w:tc>
      </w:tr>
      <w:tr w:rsidR="00797C8E" w:rsidRPr="00091230" w:rsidTr="0026794C">
        <w:trPr>
          <w:trHeight w:val="20"/>
        </w:trPr>
        <w:tc>
          <w:tcPr>
            <w:tcW w:w="2835" w:type="dxa"/>
            <w:vMerge/>
            <w:tcBorders>
              <w:left w:val="single" w:sz="4" w:space="0" w:color="auto"/>
              <w:right w:val="single" w:sz="4" w:space="0" w:color="auto"/>
            </w:tcBorders>
          </w:tcPr>
          <w:p w:rsidR="00797C8E" w:rsidRPr="00091230" w:rsidRDefault="00797C8E" w:rsidP="0026794C">
            <w:pPr>
              <w:jc w:val="both"/>
              <w:rPr>
                <w:rFonts w:eastAsia="Arial"/>
              </w:rPr>
            </w:pPr>
          </w:p>
        </w:tc>
        <w:tc>
          <w:tcPr>
            <w:tcW w:w="2552" w:type="dxa"/>
            <w:tcBorders>
              <w:top w:val="single" w:sz="4" w:space="0" w:color="auto"/>
              <w:left w:val="single" w:sz="4" w:space="0" w:color="auto"/>
              <w:bottom w:val="single" w:sz="4" w:space="0" w:color="auto"/>
            </w:tcBorders>
            <w:shd w:val="clear" w:color="auto" w:fill="auto"/>
          </w:tcPr>
          <w:p w:rsidR="00797C8E" w:rsidRPr="00091230" w:rsidRDefault="00797C8E" w:rsidP="0026794C">
            <w:pPr>
              <w:jc w:val="both"/>
              <w:rPr>
                <w:rFonts w:eastAsia="Arial"/>
              </w:rPr>
            </w:pPr>
            <w:r w:rsidRPr="00091230">
              <w:rPr>
                <w:rFonts w:eastAsia="Arial"/>
              </w:rPr>
              <w:t>Количество пролеченных больных</w:t>
            </w:r>
          </w:p>
        </w:tc>
        <w:tc>
          <w:tcPr>
            <w:tcW w:w="1871" w:type="dxa"/>
            <w:tcBorders>
              <w:top w:val="single" w:sz="4" w:space="0" w:color="auto"/>
              <w:bottom w:val="single" w:sz="4" w:space="0" w:color="auto"/>
            </w:tcBorders>
            <w:shd w:val="clear" w:color="auto" w:fill="auto"/>
          </w:tcPr>
          <w:p w:rsidR="00797C8E" w:rsidRPr="00091230" w:rsidRDefault="00797C8E" w:rsidP="0026794C">
            <w:pPr>
              <w:jc w:val="center"/>
              <w:rPr>
                <w:rFonts w:eastAsia="Arial"/>
              </w:rPr>
            </w:pPr>
            <w:r w:rsidRPr="00091230">
              <w:rPr>
                <w:rFonts w:eastAsia="Arial"/>
              </w:rPr>
              <w:t>0</w:t>
            </w:r>
          </w:p>
        </w:tc>
        <w:tc>
          <w:tcPr>
            <w:tcW w:w="1389" w:type="dxa"/>
            <w:tcBorders>
              <w:top w:val="single" w:sz="4" w:space="0" w:color="auto"/>
              <w:bottom w:val="single" w:sz="4" w:space="0" w:color="auto"/>
            </w:tcBorders>
            <w:shd w:val="clear" w:color="auto" w:fill="auto"/>
          </w:tcPr>
          <w:p w:rsidR="00797C8E" w:rsidRPr="00091230" w:rsidRDefault="00797C8E" w:rsidP="0026794C">
            <w:pPr>
              <w:jc w:val="center"/>
              <w:rPr>
                <w:rFonts w:eastAsia="Arial"/>
              </w:rPr>
            </w:pPr>
            <w:r w:rsidRPr="00091230">
              <w:rPr>
                <w:rFonts w:eastAsia="Arial"/>
              </w:rPr>
              <w:t>50</w:t>
            </w:r>
          </w:p>
        </w:tc>
        <w:tc>
          <w:tcPr>
            <w:tcW w:w="1559" w:type="dxa"/>
            <w:tcBorders>
              <w:top w:val="single" w:sz="4" w:space="0" w:color="auto"/>
              <w:bottom w:val="single" w:sz="4" w:space="0" w:color="auto"/>
            </w:tcBorders>
            <w:shd w:val="clear" w:color="auto" w:fill="auto"/>
          </w:tcPr>
          <w:p w:rsidR="00797C8E" w:rsidRPr="00091230" w:rsidRDefault="00797C8E" w:rsidP="0026794C">
            <w:pPr>
              <w:jc w:val="center"/>
            </w:pPr>
            <w:r w:rsidRPr="00091230">
              <w:rPr>
                <w:rFonts w:eastAsia="Cambria"/>
              </w:rPr>
              <w:t>–</w:t>
            </w:r>
          </w:p>
        </w:tc>
      </w:tr>
      <w:tr w:rsidR="00797C8E" w:rsidRPr="00091230" w:rsidTr="0026794C">
        <w:trPr>
          <w:trHeight w:val="20"/>
        </w:trPr>
        <w:tc>
          <w:tcPr>
            <w:tcW w:w="2835" w:type="dxa"/>
            <w:vMerge/>
            <w:tcBorders>
              <w:left w:val="single" w:sz="4" w:space="0" w:color="auto"/>
              <w:right w:val="single" w:sz="4" w:space="0" w:color="auto"/>
            </w:tcBorders>
          </w:tcPr>
          <w:p w:rsidR="00797C8E" w:rsidRPr="00091230" w:rsidRDefault="00797C8E" w:rsidP="0026794C">
            <w:pPr>
              <w:jc w:val="both"/>
              <w:rPr>
                <w:rFonts w:eastAsia="Arial"/>
              </w:rPr>
            </w:pPr>
          </w:p>
        </w:tc>
        <w:tc>
          <w:tcPr>
            <w:tcW w:w="2552" w:type="dxa"/>
            <w:tcBorders>
              <w:top w:val="single" w:sz="4" w:space="0" w:color="auto"/>
              <w:left w:val="single" w:sz="4" w:space="0" w:color="auto"/>
              <w:bottom w:val="single" w:sz="4" w:space="0" w:color="auto"/>
            </w:tcBorders>
            <w:shd w:val="clear" w:color="auto" w:fill="auto"/>
          </w:tcPr>
          <w:p w:rsidR="00797C8E" w:rsidRPr="00091230" w:rsidRDefault="00797C8E" w:rsidP="0026794C">
            <w:pPr>
              <w:jc w:val="both"/>
              <w:rPr>
                <w:rFonts w:eastAsia="Arial"/>
              </w:rPr>
            </w:pPr>
            <w:r w:rsidRPr="00091230">
              <w:rPr>
                <w:rFonts w:eastAsia="Arial"/>
              </w:rPr>
              <w:t>Количество применяемых методов лечения</w:t>
            </w:r>
          </w:p>
        </w:tc>
        <w:tc>
          <w:tcPr>
            <w:tcW w:w="1871" w:type="dxa"/>
            <w:tcBorders>
              <w:top w:val="single" w:sz="4" w:space="0" w:color="auto"/>
              <w:bottom w:val="single" w:sz="4" w:space="0" w:color="auto"/>
            </w:tcBorders>
            <w:shd w:val="clear" w:color="auto" w:fill="auto"/>
          </w:tcPr>
          <w:p w:rsidR="00797C8E" w:rsidRPr="00091230" w:rsidRDefault="00797C8E" w:rsidP="0026794C">
            <w:pPr>
              <w:jc w:val="center"/>
              <w:rPr>
                <w:rFonts w:eastAsia="Arial"/>
              </w:rPr>
            </w:pPr>
            <w:r w:rsidRPr="00091230">
              <w:rPr>
                <w:rFonts w:eastAsia="Arial"/>
              </w:rPr>
              <w:t>3</w:t>
            </w:r>
          </w:p>
        </w:tc>
        <w:tc>
          <w:tcPr>
            <w:tcW w:w="1389" w:type="dxa"/>
            <w:tcBorders>
              <w:top w:val="single" w:sz="4" w:space="0" w:color="auto"/>
              <w:bottom w:val="single" w:sz="4" w:space="0" w:color="auto"/>
            </w:tcBorders>
            <w:shd w:val="clear" w:color="auto" w:fill="auto"/>
          </w:tcPr>
          <w:p w:rsidR="00797C8E" w:rsidRPr="00091230" w:rsidRDefault="00797C8E" w:rsidP="0026794C">
            <w:pPr>
              <w:jc w:val="center"/>
              <w:rPr>
                <w:rFonts w:eastAsia="Arial"/>
              </w:rPr>
            </w:pPr>
            <w:r w:rsidRPr="00091230">
              <w:rPr>
                <w:rFonts w:eastAsia="Arial"/>
              </w:rPr>
              <w:t>3</w:t>
            </w:r>
          </w:p>
        </w:tc>
        <w:tc>
          <w:tcPr>
            <w:tcW w:w="1559" w:type="dxa"/>
            <w:tcBorders>
              <w:top w:val="single" w:sz="4" w:space="0" w:color="auto"/>
              <w:bottom w:val="single" w:sz="4" w:space="0" w:color="auto"/>
            </w:tcBorders>
            <w:shd w:val="clear" w:color="auto" w:fill="auto"/>
          </w:tcPr>
          <w:p w:rsidR="00797C8E" w:rsidRPr="00091230" w:rsidRDefault="00797C8E" w:rsidP="0026794C">
            <w:pPr>
              <w:jc w:val="center"/>
            </w:pPr>
            <w:r w:rsidRPr="00091230">
              <w:rPr>
                <w:rFonts w:eastAsia="Cambria"/>
              </w:rPr>
              <w:t>–</w:t>
            </w:r>
          </w:p>
        </w:tc>
      </w:tr>
      <w:tr w:rsidR="00A4645D" w:rsidRPr="00091230" w:rsidTr="0026794C">
        <w:trPr>
          <w:trHeight w:val="20"/>
        </w:trPr>
        <w:tc>
          <w:tcPr>
            <w:tcW w:w="2835" w:type="dxa"/>
            <w:vMerge w:val="restart"/>
            <w:tcBorders>
              <w:left w:val="single" w:sz="4" w:space="0" w:color="auto"/>
              <w:right w:val="single" w:sz="4" w:space="0" w:color="auto"/>
            </w:tcBorders>
          </w:tcPr>
          <w:p w:rsidR="00A4645D" w:rsidRPr="00091230" w:rsidRDefault="00A4645D" w:rsidP="0026794C">
            <w:pPr>
              <w:jc w:val="both"/>
              <w:rPr>
                <w:rFonts w:eastAsia="Arial"/>
              </w:rPr>
            </w:pPr>
            <w:r w:rsidRPr="00091230">
              <w:rPr>
                <w:rFonts w:eastAsia="Arial"/>
              </w:rPr>
              <w:t xml:space="preserve">ГАУЗ </w:t>
            </w:r>
            <w:r>
              <w:rPr>
                <w:rFonts w:eastAsia="Arial"/>
              </w:rPr>
              <w:t>«</w:t>
            </w:r>
            <w:r w:rsidRPr="00091230">
              <w:rPr>
                <w:rFonts w:eastAsia="Arial"/>
              </w:rPr>
              <w:t>Нижнекамская центральная районная многопрофильная больница</w:t>
            </w:r>
            <w:r>
              <w:rPr>
                <w:rFonts w:eastAsia="Arial"/>
              </w:rPr>
              <w:t>»</w:t>
            </w:r>
          </w:p>
        </w:tc>
        <w:tc>
          <w:tcPr>
            <w:tcW w:w="2552" w:type="dxa"/>
            <w:tcBorders>
              <w:top w:val="single" w:sz="4" w:space="0" w:color="auto"/>
              <w:left w:val="single" w:sz="4" w:space="0" w:color="auto"/>
              <w:bottom w:val="single" w:sz="4" w:space="0" w:color="auto"/>
            </w:tcBorders>
            <w:shd w:val="clear" w:color="auto" w:fill="auto"/>
          </w:tcPr>
          <w:p w:rsidR="00A4645D" w:rsidRPr="00091230" w:rsidRDefault="00A4645D" w:rsidP="00C55D07">
            <w:pPr>
              <w:jc w:val="both"/>
              <w:rPr>
                <w:rFonts w:eastAsia="Arial"/>
              </w:rPr>
            </w:pPr>
            <w:r w:rsidRPr="00091230">
              <w:rPr>
                <w:rFonts w:eastAsia="Arial"/>
              </w:rPr>
              <w:t>Мощность (ко</w:t>
            </w:r>
            <w:r w:rsidR="00C55D07">
              <w:rPr>
                <w:rFonts w:eastAsia="Arial"/>
              </w:rPr>
              <w:t>ек</w:t>
            </w:r>
            <w:r w:rsidRPr="00091230">
              <w:rPr>
                <w:rFonts w:eastAsia="Arial"/>
              </w:rPr>
              <w:t>, посещений в смену)</w:t>
            </w:r>
          </w:p>
        </w:tc>
        <w:tc>
          <w:tcPr>
            <w:tcW w:w="1871" w:type="dxa"/>
            <w:tcBorders>
              <w:top w:val="single" w:sz="4" w:space="0" w:color="auto"/>
              <w:bottom w:val="single" w:sz="4" w:space="0" w:color="auto"/>
            </w:tcBorders>
            <w:shd w:val="clear" w:color="auto" w:fill="auto"/>
          </w:tcPr>
          <w:p w:rsidR="00A4645D" w:rsidRPr="00091230" w:rsidRDefault="00A4645D" w:rsidP="0026794C">
            <w:pPr>
              <w:jc w:val="center"/>
              <w:rPr>
                <w:rFonts w:eastAsia="Arial"/>
              </w:rPr>
            </w:pPr>
            <w:r w:rsidRPr="00091230">
              <w:rPr>
                <w:rFonts w:eastAsia="Arial"/>
              </w:rPr>
              <w:t>1</w:t>
            </w:r>
          </w:p>
        </w:tc>
        <w:tc>
          <w:tcPr>
            <w:tcW w:w="1389" w:type="dxa"/>
            <w:tcBorders>
              <w:top w:val="single" w:sz="4" w:space="0" w:color="auto"/>
              <w:bottom w:val="single" w:sz="4" w:space="0" w:color="auto"/>
            </w:tcBorders>
            <w:shd w:val="clear" w:color="auto" w:fill="auto"/>
          </w:tcPr>
          <w:p w:rsidR="00A4645D" w:rsidRPr="00091230" w:rsidRDefault="00A4645D" w:rsidP="0026794C">
            <w:pPr>
              <w:jc w:val="center"/>
              <w:rPr>
                <w:rFonts w:eastAsia="Arial"/>
              </w:rPr>
            </w:pPr>
            <w:r w:rsidRPr="00091230">
              <w:rPr>
                <w:rFonts w:eastAsia="Arial"/>
              </w:rPr>
              <w:t>-</w:t>
            </w:r>
          </w:p>
        </w:tc>
        <w:tc>
          <w:tcPr>
            <w:tcW w:w="1559" w:type="dxa"/>
            <w:tcBorders>
              <w:top w:val="single" w:sz="4" w:space="0" w:color="auto"/>
              <w:bottom w:val="single" w:sz="4" w:space="0" w:color="auto"/>
            </w:tcBorders>
            <w:shd w:val="clear" w:color="auto" w:fill="auto"/>
          </w:tcPr>
          <w:p w:rsidR="00A4645D" w:rsidRPr="00091230" w:rsidRDefault="00A4645D" w:rsidP="0026794C">
            <w:pPr>
              <w:jc w:val="center"/>
              <w:rPr>
                <w:rFonts w:eastAsia="Cambria"/>
              </w:rPr>
            </w:pPr>
            <w:r w:rsidRPr="00091230">
              <w:rPr>
                <w:rFonts w:eastAsia="Cambria"/>
              </w:rPr>
              <w:t>-</w:t>
            </w:r>
          </w:p>
        </w:tc>
      </w:tr>
      <w:tr w:rsidR="00A4645D" w:rsidRPr="00091230" w:rsidTr="0026794C">
        <w:trPr>
          <w:trHeight w:val="20"/>
        </w:trPr>
        <w:tc>
          <w:tcPr>
            <w:tcW w:w="2835" w:type="dxa"/>
            <w:vMerge/>
            <w:tcBorders>
              <w:left w:val="single" w:sz="4" w:space="0" w:color="auto"/>
              <w:right w:val="single" w:sz="4" w:space="0" w:color="auto"/>
            </w:tcBorders>
          </w:tcPr>
          <w:p w:rsidR="00A4645D" w:rsidRPr="00091230" w:rsidRDefault="00A4645D" w:rsidP="0026794C">
            <w:pPr>
              <w:jc w:val="both"/>
              <w:rPr>
                <w:rFonts w:eastAsia="Arial"/>
              </w:rPr>
            </w:pPr>
          </w:p>
        </w:tc>
        <w:tc>
          <w:tcPr>
            <w:tcW w:w="2552" w:type="dxa"/>
            <w:tcBorders>
              <w:top w:val="single" w:sz="4" w:space="0" w:color="auto"/>
              <w:left w:val="single" w:sz="4" w:space="0" w:color="auto"/>
              <w:bottom w:val="single" w:sz="4" w:space="0" w:color="auto"/>
            </w:tcBorders>
            <w:shd w:val="clear" w:color="auto" w:fill="auto"/>
          </w:tcPr>
          <w:p w:rsidR="00A4645D" w:rsidRPr="00091230" w:rsidRDefault="00A4645D" w:rsidP="0026794C">
            <w:pPr>
              <w:jc w:val="both"/>
              <w:rPr>
                <w:rFonts w:eastAsia="Arial"/>
              </w:rPr>
            </w:pPr>
            <w:r w:rsidRPr="00091230">
              <w:rPr>
                <w:rFonts w:eastAsia="Arial"/>
              </w:rPr>
              <w:t>Количество штатных единиц врачей</w:t>
            </w:r>
          </w:p>
        </w:tc>
        <w:tc>
          <w:tcPr>
            <w:tcW w:w="1871" w:type="dxa"/>
            <w:tcBorders>
              <w:top w:val="single" w:sz="4" w:space="0" w:color="auto"/>
              <w:bottom w:val="single" w:sz="4" w:space="0" w:color="auto"/>
            </w:tcBorders>
            <w:shd w:val="clear" w:color="auto" w:fill="auto"/>
          </w:tcPr>
          <w:p w:rsidR="00A4645D" w:rsidRPr="00091230" w:rsidRDefault="00A4645D" w:rsidP="0026794C">
            <w:pPr>
              <w:jc w:val="center"/>
              <w:rPr>
                <w:rFonts w:eastAsia="Arial"/>
              </w:rPr>
            </w:pPr>
            <w:r w:rsidRPr="00091230">
              <w:rPr>
                <w:rFonts w:eastAsia="Arial"/>
              </w:rPr>
              <w:t>0,25</w:t>
            </w:r>
          </w:p>
        </w:tc>
        <w:tc>
          <w:tcPr>
            <w:tcW w:w="1389" w:type="dxa"/>
            <w:tcBorders>
              <w:top w:val="single" w:sz="4" w:space="0" w:color="auto"/>
              <w:bottom w:val="single" w:sz="4" w:space="0" w:color="auto"/>
            </w:tcBorders>
            <w:shd w:val="clear" w:color="auto" w:fill="auto"/>
          </w:tcPr>
          <w:p w:rsidR="00A4645D" w:rsidRPr="00091230" w:rsidRDefault="00A4645D" w:rsidP="0026794C">
            <w:pPr>
              <w:jc w:val="center"/>
              <w:rPr>
                <w:rFonts w:eastAsia="Arial"/>
              </w:rPr>
            </w:pPr>
            <w:r w:rsidRPr="00091230">
              <w:rPr>
                <w:rFonts w:eastAsia="Arial"/>
              </w:rPr>
              <w:t>-</w:t>
            </w:r>
          </w:p>
        </w:tc>
        <w:tc>
          <w:tcPr>
            <w:tcW w:w="1559" w:type="dxa"/>
            <w:tcBorders>
              <w:top w:val="single" w:sz="4" w:space="0" w:color="auto"/>
              <w:bottom w:val="single" w:sz="4" w:space="0" w:color="auto"/>
            </w:tcBorders>
            <w:shd w:val="clear" w:color="auto" w:fill="auto"/>
          </w:tcPr>
          <w:p w:rsidR="00A4645D" w:rsidRPr="00091230" w:rsidRDefault="00A4645D" w:rsidP="0026794C">
            <w:pPr>
              <w:jc w:val="center"/>
              <w:rPr>
                <w:rFonts w:eastAsia="Cambria"/>
              </w:rPr>
            </w:pPr>
            <w:r w:rsidRPr="00091230">
              <w:rPr>
                <w:rFonts w:eastAsia="Cambria"/>
              </w:rPr>
              <w:t>-</w:t>
            </w:r>
          </w:p>
        </w:tc>
      </w:tr>
      <w:tr w:rsidR="00A4645D" w:rsidRPr="00091230" w:rsidTr="0026794C">
        <w:trPr>
          <w:trHeight w:val="20"/>
        </w:trPr>
        <w:tc>
          <w:tcPr>
            <w:tcW w:w="2835" w:type="dxa"/>
            <w:vMerge/>
            <w:tcBorders>
              <w:left w:val="single" w:sz="4" w:space="0" w:color="auto"/>
              <w:right w:val="single" w:sz="4" w:space="0" w:color="auto"/>
            </w:tcBorders>
          </w:tcPr>
          <w:p w:rsidR="00A4645D" w:rsidRPr="00091230" w:rsidRDefault="00A4645D" w:rsidP="0026794C">
            <w:pPr>
              <w:jc w:val="both"/>
              <w:rPr>
                <w:rFonts w:eastAsia="Arial"/>
              </w:rPr>
            </w:pPr>
          </w:p>
        </w:tc>
        <w:tc>
          <w:tcPr>
            <w:tcW w:w="2552" w:type="dxa"/>
            <w:tcBorders>
              <w:top w:val="single" w:sz="4" w:space="0" w:color="auto"/>
              <w:left w:val="single" w:sz="4" w:space="0" w:color="auto"/>
              <w:bottom w:val="single" w:sz="4" w:space="0" w:color="auto"/>
            </w:tcBorders>
            <w:shd w:val="clear" w:color="auto" w:fill="auto"/>
          </w:tcPr>
          <w:p w:rsidR="00A4645D" w:rsidRPr="00091230" w:rsidRDefault="00A4645D" w:rsidP="0026794C">
            <w:pPr>
              <w:jc w:val="both"/>
              <w:rPr>
                <w:rFonts w:eastAsia="Arial"/>
              </w:rPr>
            </w:pPr>
            <w:r w:rsidRPr="00091230">
              <w:rPr>
                <w:rFonts w:eastAsia="Arial"/>
              </w:rPr>
              <w:t>Количество штатных единиц среднего персонала</w:t>
            </w:r>
          </w:p>
        </w:tc>
        <w:tc>
          <w:tcPr>
            <w:tcW w:w="1871" w:type="dxa"/>
            <w:tcBorders>
              <w:top w:val="single" w:sz="4" w:space="0" w:color="auto"/>
              <w:bottom w:val="single" w:sz="4" w:space="0" w:color="auto"/>
            </w:tcBorders>
            <w:shd w:val="clear" w:color="auto" w:fill="auto"/>
          </w:tcPr>
          <w:p w:rsidR="00A4645D" w:rsidRPr="00091230" w:rsidRDefault="00A4645D" w:rsidP="0026794C">
            <w:pPr>
              <w:jc w:val="center"/>
              <w:rPr>
                <w:rFonts w:eastAsia="Arial"/>
              </w:rPr>
            </w:pPr>
            <w:r w:rsidRPr="00091230">
              <w:rPr>
                <w:rFonts w:eastAsia="Arial"/>
              </w:rPr>
              <w:t>0,25</w:t>
            </w:r>
          </w:p>
        </w:tc>
        <w:tc>
          <w:tcPr>
            <w:tcW w:w="1389" w:type="dxa"/>
            <w:tcBorders>
              <w:top w:val="single" w:sz="4" w:space="0" w:color="auto"/>
              <w:bottom w:val="single" w:sz="4" w:space="0" w:color="auto"/>
            </w:tcBorders>
            <w:shd w:val="clear" w:color="auto" w:fill="auto"/>
          </w:tcPr>
          <w:p w:rsidR="00A4645D" w:rsidRPr="00091230" w:rsidRDefault="00A4645D" w:rsidP="0026794C">
            <w:pPr>
              <w:jc w:val="center"/>
              <w:rPr>
                <w:rFonts w:eastAsia="Arial"/>
              </w:rPr>
            </w:pPr>
            <w:r w:rsidRPr="00091230">
              <w:rPr>
                <w:rFonts w:eastAsia="Arial"/>
              </w:rPr>
              <w:t>-</w:t>
            </w:r>
          </w:p>
        </w:tc>
        <w:tc>
          <w:tcPr>
            <w:tcW w:w="1559" w:type="dxa"/>
            <w:tcBorders>
              <w:top w:val="single" w:sz="4" w:space="0" w:color="auto"/>
              <w:bottom w:val="single" w:sz="4" w:space="0" w:color="auto"/>
            </w:tcBorders>
            <w:shd w:val="clear" w:color="auto" w:fill="auto"/>
          </w:tcPr>
          <w:p w:rsidR="00A4645D" w:rsidRPr="00091230" w:rsidRDefault="00A4645D" w:rsidP="0026794C">
            <w:pPr>
              <w:jc w:val="center"/>
              <w:rPr>
                <w:rFonts w:eastAsia="Cambria"/>
              </w:rPr>
            </w:pPr>
            <w:r w:rsidRPr="00091230">
              <w:rPr>
                <w:rFonts w:eastAsia="Cambria"/>
              </w:rPr>
              <w:t>-</w:t>
            </w:r>
          </w:p>
        </w:tc>
      </w:tr>
      <w:tr w:rsidR="00A4645D" w:rsidRPr="00091230" w:rsidTr="0026794C">
        <w:trPr>
          <w:trHeight w:val="20"/>
        </w:trPr>
        <w:tc>
          <w:tcPr>
            <w:tcW w:w="2835" w:type="dxa"/>
            <w:vMerge/>
            <w:tcBorders>
              <w:left w:val="single" w:sz="4" w:space="0" w:color="auto"/>
              <w:right w:val="single" w:sz="4" w:space="0" w:color="auto"/>
            </w:tcBorders>
          </w:tcPr>
          <w:p w:rsidR="00A4645D" w:rsidRPr="00091230" w:rsidRDefault="00A4645D" w:rsidP="0026794C">
            <w:pPr>
              <w:jc w:val="both"/>
              <w:rPr>
                <w:rFonts w:eastAsia="Arial"/>
              </w:rPr>
            </w:pPr>
          </w:p>
        </w:tc>
        <w:tc>
          <w:tcPr>
            <w:tcW w:w="2552" w:type="dxa"/>
            <w:tcBorders>
              <w:top w:val="single" w:sz="4" w:space="0" w:color="auto"/>
              <w:left w:val="single" w:sz="4" w:space="0" w:color="auto"/>
              <w:bottom w:val="single" w:sz="4" w:space="0" w:color="auto"/>
            </w:tcBorders>
            <w:shd w:val="clear" w:color="auto" w:fill="auto"/>
          </w:tcPr>
          <w:p w:rsidR="00A4645D" w:rsidRPr="00091230" w:rsidRDefault="00A4645D" w:rsidP="0026794C">
            <w:pPr>
              <w:jc w:val="both"/>
              <w:rPr>
                <w:rFonts w:eastAsia="Arial"/>
              </w:rPr>
            </w:pPr>
            <w:r w:rsidRPr="00091230">
              <w:rPr>
                <w:rFonts w:eastAsia="Arial"/>
              </w:rPr>
              <w:t>Количество пролеченных больных</w:t>
            </w:r>
          </w:p>
        </w:tc>
        <w:tc>
          <w:tcPr>
            <w:tcW w:w="1871" w:type="dxa"/>
            <w:tcBorders>
              <w:top w:val="single" w:sz="4" w:space="0" w:color="auto"/>
              <w:bottom w:val="single" w:sz="4" w:space="0" w:color="auto"/>
            </w:tcBorders>
            <w:shd w:val="clear" w:color="auto" w:fill="auto"/>
          </w:tcPr>
          <w:p w:rsidR="00A4645D" w:rsidRPr="00091230" w:rsidRDefault="00A4645D" w:rsidP="0026794C">
            <w:pPr>
              <w:jc w:val="center"/>
              <w:rPr>
                <w:rFonts w:eastAsia="Arial"/>
              </w:rPr>
            </w:pPr>
            <w:r w:rsidRPr="00091230">
              <w:rPr>
                <w:rFonts w:eastAsia="Arial"/>
              </w:rPr>
              <w:t>30</w:t>
            </w:r>
          </w:p>
        </w:tc>
        <w:tc>
          <w:tcPr>
            <w:tcW w:w="1389" w:type="dxa"/>
            <w:tcBorders>
              <w:top w:val="single" w:sz="4" w:space="0" w:color="auto"/>
              <w:bottom w:val="single" w:sz="4" w:space="0" w:color="auto"/>
            </w:tcBorders>
            <w:shd w:val="clear" w:color="auto" w:fill="auto"/>
          </w:tcPr>
          <w:p w:rsidR="00A4645D" w:rsidRPr="00091230" w:rsidRDefault="00A4645D" w:rsidP="0026794C">
            <w:pPr>
              <w:jc w:val="center"/>
              <w:rPr>
                <w:rFonts w:eastAsia="Arial"/>
              </w:rPr>
            </w:pPr>
            <w:r w:rsidRPr="00091230">
              <w:rPr>
                <w:rFonts w:eastAsia="Arial"/>
              </w:rPr>
              <w:t>-</w:t>
            </w:r>
          </w:p>
        </w:tc>
        <w:tc>
          <w:tcPr>
            <w:tcW w:w="1559" w:type="dxa"/>
            <w:tcBorders>
              <w:top w:val="single" w:sz="4" w:space="0" w:color="auto"/>
              <w:bottom w:val="single" w:sz="4" w:space="0" w:color="auto"/>
            </w:tcBorders>
            <w:shd w:val="clear" w:color="auto" w:fill="auto"/>
          </w:tcPr>
          <w:p w:rsidR="00A4645D" w:rsidRPr="00091230" w:rsidRDefault="00A4645D" w:rsidP="0026794C">
            <w:pPr>
              <w:jc w:val="center"/>
              <w:rPr>
                <w:rFonts w:eastAsia="Cambria"/>
              </w:rPr>
            </w:pPr>
            <w:r w:rsidRPr="00091230">
              <w:rPr>
                <w:rFonts w:eastAsia="Cambria"/>
              </w:rPr>
              <w:t>-</w:t>
            </w:r>
          </w:p>
        </w:tc>
      </w:tr>
      <w:tr w:rsidR="00A4645D" w:rsidRPr="00091230" w:rsidTr="0026794C">
        <w:trPr>
          <w:trHeight w:val="20"/>
        </w:trPr>
        <w:tc>
          <w:tcPr>
            <w:tcW w:w="2835" w:type="dxa"/>
            <w:vMerge/>
            <w:tcBorders>
              <w:left w:val="single" w:sz="4" w:space="0" w:color="auto"/>
              <w:right w:val="single" w:sz="4" w:space="0" w:color="auto"/>
            </w:tcBorders>
          </w:tcPr>
          <w:p w:rsidR="00A4645D" w:rsidRPr="00091230" w:rsidRDefault="00A4645D" w:rsidP="0026794C">
            <w:pPr>
              <w:jc w:val="both"/>
              <w:rPr>
                <w:rFonts w:eastAsia="Arial"/>
              </w:rPr>
            </w:pPr>
          </w:p>
        </w:tc>
        <w:tc>
          <w:tcPr>
            <w:tcW w:w="2552" w:type="dxa"/>
            <w:tcBorders>
              <w:top w:val="single" w:sz="4" w:space="0" w:color="auto"/>
              <w:left w:val="single" w:sz="4" w:space="0" w:color="auto"/>
              <w:bottom w:val="single" w:sz="4" w:space="0" w:color="auto"/>
            </w:tcBorders>
            <w:shd w:val="clear" w:color="auto" w:fill="auto"/>
          </w:tcPr>
          <w:p w:rsidR="00A4645D" w:rsidRPr="00091230" w:rsidRDefault="00A4645D" w:rsidP="0026794C">
            <w:pPr>
              <w:jc w:val="both"/>
              <w:rPr>
                <w:rFonts w:eastAsia="Arial"/>
              </w:rPr>
            </w:pPr>
            <w:r w:rsidRPr="00091230">
              <w:rPr>
                <w:rFonts w:eastAsia="Arial"/>
              </w:rPr>
              <w:t>Количество применяемых методов лечения</w:t>
            </w:r>
          </w:p>
        </w:tc>
        <w:tc>
          <w:tcPr>
            <w:tcW w:w="1871" w:type="dxa"/>
            <w:tcBorders>
              <w:top w:val="single" w:sz="4" w:space="0" w:color="auto"/>
              <w:bottom w:val="single" w:sz="4" w:space="0" w:color="auto"/>
            </w:tcBorders>
            <w:shd w:val="clear" w:color="auto" w:fill="auto"/>
          </w:tcPr>
          <w:p w:rsidR="00A4645D" w:rsidRPr="00091230" w:rsidRDefault="00A4645D" w:rsidP="0026794C">
            <w:pPr>
              <w:jc w:val="center"/>
              <w:rPr>
                <w:rFonts w:eastAsia="Arial"/>
              </w:rPr>
            </w:pPr>
            <w:r w:rsidRPr="00091230">
              <w:rPr>
                <w:rFonts w:eastAsia="Arial"/>
              </w:rPr>
              <w:t>2</w:t>
            </w:r>
          </w:p>
        </w:tc>
        <w:tc>
          <w:tcPr>
            <w:tcW w:w="1389" w:type="dxa"/>
            <w:tcBorders>
              <w:top w:val="single" w:sz="4" w:space="0" w:color="auto"/>
              <w:bottom w:val="single" w:sz="4" w:space="0" w:color="auto"/>
            </w:tcBorders>
            <w:shd w:val="clear" w:color="auto" w:fill="auto"/>
          </w:tcPr>
          <w:p w:rsidR="00A4645D" w:rsidRPr="00091230" w:rsidRDefault="00C93DB4" w:rsidP="0026794C">
            <w:pPr>
              <w:jc w:val="center"/>
              <w:rPr>
                <w:rFonts w:eastAsia="Arial"/>
              </w:rPr>
            </w:pPr>
            <w:r>
              <w:rPr>
                <w:rFonts w:eastAsia="Arial"/>
              </w:rPr>
              <w:t>-</w:t>
            </w:r>
          </w:p>
        </w:tc>
        <w:tc>
          <w:tcPr>
            <w:tcW w:w="1559" w:type="dxa"/>
            <w:tcBorders>
              <w:top w:val="single" w:sz="4" w:space="0" w:color="auto"/>
              <w:bottom w:val="single" w:sz="4" w:space="0" w:color="auto"/>
            </w:tcBorders>
            <w:shd w:val="clear" w:color="auto" w:fill="auto"/>
          </w:tcPr>
          <w:p w:rsidR="00A4645D" w:rsidRPr="00091230" w:rsidRDefault="00A4645D" w:rsidP="0026794C">
            <w:pPr>
              <w:jc w:val="center"/>
              <w:rPr>
                <w:rFonts w:eastAsia="Cambria"/>
              </w:rPr>
            </w:pPr>
            <w:r w:rsidRPr="00091230">
              <w:rPr>
                <w:rFonts w:eastAsia="Cambria"/>
              </w:rPr>
              <w:t>-</w:t>
            </w:r>
          </w:p>
        </w:tc>
      </w:tr>
    </w:tbl>
    <w:p w:rsidR="00172807" w:rsidRDefault="00172807" w:rsidP="00E61243">
      <w:pPr>
        <w:ind w:firstLine="709"/>
        <w:rPr>
          <w:sz w:val="28"/>
          <w:szCs w:val="28"/>
        </w:rPr>
      </w:pPr>
    </w:p>
    <w:p w:rsidR="00F42223" w:rsidRPr="00091230" w:rsidRDefault="009D03DE" w:rsidP="0026794C">
      <w:pPr>
        <w:ind w:firstLine="709"/>
        <w:jc w:val="both"/>
        <w:rPr>
          <w:sz w:val="28"/>
          <w:szCs w:val="28"/>
        </w:rPr>
      </w:pPr>
      <w:r w:rsidRPr="00C93DB4">
        <w:rPr>
          <w:sz w:val="28"/>
          <w:szCs w:val="28"/>
        </w:rPr>
        <w:t xml:space="preserve">В целях дальнейшего развития реабилитационного направления для онкологических пациентов с </w:t>
      </w:r>
      <w:r w:rsidR="00DA74FD">
        <w:rPr>
          <w:sz w:val="28"/>
          <w:szCs w:val="28"/>
        </w:rPr>
        <w:t>0</w:t>
      </w:r>
      <w:r w:rsidRPr="00C93DB4">
        <w:rPr>
          <w:sz w:val="28"/>
          <w:szCs w:val="28"/>
        </w:rPr>
        <w:t>2</w:t>
      </w:r>
      <w:r w:rsidR="00DA74FD">
        <w:rPr>
          <w:sz w:val="28"/>
          <w:szCs w:val="28"/>
        </w:rPr>
        <w:t>.09.</w:t>
      </w:r>
      <w:r w:rsidR="00172807" w:rsidRPr="00C93DB4">
        <w:rPr>
          <w:sz w:val="28"/>
          <w:szCs w:val="28"/>
        </w:rPr>
        <w:t xml:space="preserve">2024 </w:t>
      </w:r>
      <w:r w:rsidR="00D50A43" w:rsidRPr="00C93DB4">
        <w:rPr>
          <w:sz w:val="28"/>
          <w:szCs w:val="28"/>
        </w:rPr>
        <w:t xml:space="preserve">в </w:t>
      </w:r>
      <w:r w:rsidR="00172807" w:rsidRPr="00C93DB4">
        <w:rPr>
          <w:sz w:val="28"/>
          <w:szCs w:val="28"/>
        </w:rPr>
        <w:t xml:space="preserve">ГАУЗ </w:t>
      </w:r>
      <w:r w:rsidR="002F7358" w:rsidRPr="00C93DB4">
        <w:rPr>
          <w:sz w:val="28"/>
          <w:szCs w:val="28"/>
        </w:rPr>
        <w:t>«</w:t>
      </w:r>
      <w:r w:rsidR="00172807" w:rsidRPr="00C93DB4">
        <w:rPr>
          <w:sz w:val="28"/>
          <w:szCs w:val="28"/>
        </w:rPr>
        <w:t>РКОД МЗ РТ им.М.З.Сигала</w:t>
      </w:r>
      <w:r w:rsidR="002F7358" w:rsidRPr="00C93DB4">
        <w:rPr>
          <w:sz w:val="28"/>
          <w:szCs w:val="28"/>
        </w:rPr>
        <w:t>»</w:t>
      </w:r>
      <w:r w:rsidR="00172807" w:rsidRPr="00C93DB4">
        <w:rPr>
          <w:sz w:val="28"/>
          <w:szCs w:val="28"/>
        </w:rPr>
        <w:t xml:space="preserve"> развернуто стационарное отделение медицинской реабилитации мощностью 18 коек</w:t>
      </w:r>
      <w:r w:rsidR="001F3DEB" w:rsidRPr="00C93DB4">
        <w:rPr>
          <w:sz w:val="28"/>
          <w:szCs w:val="28"/>
        </w:rPr>
        <w:t xml:space="preserve"> </w:t>
      </w:r>
      <w:r w:rsidR="00C55D07">
        <w:rPr>
          <w:sz w:val="28"/>
          <w:szCs w:val="28"/>
        </w:rPr>
        <w:t>(</w:t>
      </w:r>
      <w:r w:rsidR="001F3DEB" w:rsidRPr="00C93DB4">
        <w:rPr>
          <w:sz w:val="28"/>
          <w:szCs w:val="28"/>
        </w:rPr>
        <w:t>согласно приказу</w:t>
      </w:r>
      <w:r w:rsidRPr="00C93DB4">
        <w:rPr>
          <w:sz w:val="28"/>
          <w:szCs w:val="28"/>
        </w:rPr>
        <w:t xml:space="preserve"> </w:t>
      </w:r>
      <w:r w:rsidR="008559F5" w:rsidRPr="00C93DB4">
        <w:rPr>
          <w:sz w:val="28"/>
          <w:szCs w:val="28"/>
        </w:rPr>
        <w:t xml:space="preserve">ГАУЗ «РКОД МЗ РТ им.М.З.Сигала» </w:t>
      </w:r>
      <w:r w:rsidR="001F3DEB" w:rsidRPr="00C93DB4">
        <w:rPr>
          <w:sz w:val="28"/>
          <w:szCs w:val="28"/>
        </w:rPr>
        <w:t>от 28.04.2023 №</w:t>
      </w:r>
      <w:r w:rsidR="0026794C">
        <w:rPr>
          <w:sz w:val="28"/>
          <w:szCs w:val="28"/>
        </w:rPr>
        <w:t xml:space="preserve"> </w:t>
      </w:r>
      <w:r w:rsidR="001F3DEB" w:rsidRPr="00C93DB4">
        <w:rPr>
          <w:sz w:val="28"/>
          <w:szCs w:val="28"/>
        </w:rPr>
        <w:t>104/п</w:t>
      </w:r>
      <w:r w:rsidR="00C55D07">
        <w:rPr>
          <w:sz w:val="28"/>
          <w:szCs w:val="28"/>
        </w:rPr>
        <w:t>)</w:t>
      </w:r>
      <w:r w:rsidR="00172807" w:rsidRPr="00C93DB4">
        <w:rPr>
          <w:sz w:val="28"/>
          <w:szCs w:val="28"/>
        </w:rPr>
        <w:t xml:space="preserve">. В нем осуществляется </w:t>
      </w:r>
      <w:r w:rsidR="00C55D07">
        <w:rPr>
          <w:sz w:val="28"/>
          <w:szCs w:val="28"/>
          <w:lang w:val="en-US"/>
        </w:rPr>
        <w:t>II</w:t>
      </w:r>
      <w:r w:rsidR="00172807" w:rsidRPr="00C93DB4">
        <w:rPr>
          <w:sz w:val="28"/>
          <w:szCs w:val="28"/>
        </w:rPr>
        <w:t xml:space="preserve"> этап медицинской реабилитации </w:t>
      </w:r>
      <w:r w:rsidR="002D3BEC" w:rsidRPr="00C93DB4">
        <w:rPr>
          <w:sz w:val="28"/>
          <w:szCs w:val="28"/>
        </w:rPr>
        <w:t>400</w:t>
      </w:r>
      <w:r w:rsidR="00172807" w:rsidRPr="00C93DB4">
        <w:rPr>
          <w:sz w:val="28"/>
          <w:szCs w:val="28"/>
        </w:rPr>
        <w:t xml:space="preserve"> пациентов ежегодно.</w:t>
      </w:r>
      <w:r w:rsidR="00172807">
        <w:rPr>
          <w:sz w:val="28"/>
          <w:szCs w:val="28"/>
        </w:rPr>
        <w:t xml:space="preserve"> </w:t>
      </w:r>
    </w:p>
    <w:p w:rsidR="00156D5C" w:rsidRDefault="00156D5C" w:rsidP="0026794C">
      <w:pPr>
        <w:ind w:left="7791" w:firstLine="709"/>
        <w:jc w:val="right"/>
        <w:rPr>
          <w:rFonts w:eastAsia="Arial"/>
          <w:sz w:val="28"/>
          <w:szCs w:val="28"/>
        </w:rPr>
      </w:pPr>
    </w:p>
    <w:p w:rsidR="00156D5C" w:rsidRPr="00F40878" w:rsidRDefault="00156D5C" w:rsidP="0026794C">
      <w:pPr>
        <w:rPr>
          <w:rFonts w:eastAsia="Arial"/>
          <w:sz w:val="28"/>
          <w:szCs w:val="28"/>
        </w:rPr>
      </w:pPr>
      <w:r>
        <w:rPr>
          <w:rFonts w:eastAsia="Arial"/>
          <w:sz w:val="28"/>
          <w:szCs w:val="28"/>
        </w:rPr>
        <w:tab/>
      </w:r>
      <w:r w:rsidRPr="00F40878">
        <w:rPr>
          <w:rFonts w:eastAsia="Arial"/>
          <w:sz w:val="28"/>
          <w:szCs w:val="28"/>
        </w:rPr>
        <w:t>Информация о медицинских организациях и их подразделениях, осуществляющих паллиативную медицинскую помощь, приведена в таблицах 22.6</w:t>
      </w:r>
      <w:r w:rsidR="00C55D07">
        <w:rPr>
          <w:rFonts w:eastAsia="Arial"/>
          <w:sz w:val="28"/>
          <w:szCs w:val="28"/>
        </w:rPr>
        <w:t>,</w:t>
      </w:r>
      <w:r w:rsidR="00F40878" w:rsidRPr="00F40878">
        <w:rPr>
          <w:rFonts w:eastAsia="Arial"/>
          <w:sz w:val="28"/>
          <w:szCs w:val="28"/>
        </w:rPr>
        <w:t xml:space="preserve"> </w:t>
      </w:r>
      <w:r w:rsidRPr="00F40878">
        <w:rPr>
          <w:rFonts w:eastAsia="Arial"/>
          <w:sz w:val="28"/>
          <w:szCs w:val="28"/>
        </w:rPr>
        <w:t xml:space="preserve">22.7. </w:t>
      </w:r>
    </w:p>
    <w:p w:rsidR="0026794C" w:rsidRDefault="0026794C" w:rsidP="0026794C">
      <w:pPr>
        <w:ind w:left="7791" w:firstLine="709"/>
        <w:jc w:val="right"/>
        <w:rPr>
          <w:rFonts w:eastAsia="Arial"/>
          <w:sz w:val="28"/>
          <w:szCs w:val="28"/>
        </w:rPr>
      </w:pPr>
    </w:p>
    <w:p w:rsidR="00F42223" w:rsidRPr="00091230" w:rsidRDefault="00F42223" w:rsidP="0026794C">
      <w:pPr>
        <w:ind w:left="7791" w:firstLine="709"/>
        <w:jc w:val="right"/>
        <w:rPr>
          <w:rFonts w:eastAsia="Arial"/>
          <w:sz w:val="28"/>
          <w:szCs w:val="28"/>
        </w:rPr>
      </w:pPr>
      <w:r w:rsidRPr="00F40878">
        <w:rPr>
          <w:rFonts w:eastAsia="Arial"/>
          <w:sz w:val="28"/>
          <w:szCs w:val="28"/>
        </w:rPr>
        <w:t xml:space="preserve">Таблица </w:t>
      </w:r>
      <w:r w:rsidR="00A629C0" w:rsidRPr="00F40878">
        <w:rPr>
          <w:rFonts w:eastAsia="Arial"/>
          <w:sz w:val="28"/>
          <w:szCs w:val="28"/>
        </w:rPr>
        <w:t>22.6</w:t>
      </w:r>
    </w:p>
    <w:p w:rsidR="00F42223" w:rsidRPr="00091230" w:rsidRDefault="00F42223" w:rsidP="0026794C">
      <w:pPr>
        <w:ind w:left="7788" w:firstLine="708"/>
        <w:rPr>
          <w:rFonts w:eastAsia="Arial"/>
          <w:sz w:val="28"/>
          <w:szCs w:val="28"/>
        </w:rPr>
      </w:pPr>
    </w:p>
    <w:p w:rsidR="00F42223" w:rsidRPr="00091230" w:rsidRDefault="00F42223" w:rsidP="0026794C">
      <w:pPr>
        <w:jc w:val="center"/>
        <w:rPr>
          <w:rFonts w:eastAsia="Arial"/>
          <w:sz w:val="28"/>
          <w:szCs w:val="28"/>
        </w:rPr>
      </w:pPr>
      <w:r w:rsidRPr="00091230">
        <w:rPr>
          <w:rFonts w:eastAsia="Arial"/>
          <w:sz w:val="28"/>
          <w:szCs w:val="28"/>
        </w:rPr>
        <w:t>Характеристика медицинских организаций, оказывающих паллиативную</w:t>
      </w:r>
    </w:p>
    <w:p w:rsidR="00F42223" w:rsidRPr="00091230" w:rsidRDefault="00F42223" w:rsidP="0026794C">
      <w:pPr>
        <w:jc w:val="center"/>
        <w:rPr>
          <w:rFonts w:eastAsia="Arial"/>
          <w:sz w:val="28"/>
          <w:szCs w:val="28"/>
        </w:rPr>
      </w:pPr>
      <w:r w:rsidRPr="00091230">
        <w:rPr>
          <w:rFonts w:eastAsia="Arial"/>
          <w:sz w:val="28"/>
          <w:szCs w:val="28"/>
        </w:rPr>
        <w:t xml:space="preserve">медицинскую помощь при </w:t>
      </w:r>
      <w:r w:rsidR="00C93DB4">
        <w:rPr>
          <w:rFonts w:eastAsia="Arial"/>
          <w:sz w:val="28"/>
          <w:szCs w:val="28"/>
        </w:rPr>
        <w:t>ЗНО</w:t>
      </w:r>
      <w:r w:rsidRPr="00091230">
        <w:rPr>
          <w:rFonts w:eastAsia="Arial"/>
          <w:sz w:val="28"/>
          <w:szCs w:val="28"/>
        </w:rPr>
        <w:t xml:space="preserve"> населению </w:t>
      </w:r>
    </w:p>
    <w:p w:rsidR="00F42223" w:rsidRPr="00091230" w:rsidRDefault="00F42223" w:rsidP="0026794C">
      <w:pPr>
        <w:jc w:val="center"/>
        <w:rPr>
          <w:rFonts w:eastAsia="Arial"/>
          <w:sz w:val="28"/>
          <w:szCs w:val="28"/>
        </w:rPr>
      </w:pPr>
      <w:r w:rsidRPr="00091230">
        <w:rPr>
          <w:rFonts w:eastAsia="Arial"/>
          <w:sz w:val="28"/>
          <w:szCs w:val="28"/>
        </w:rPr>
        <w:t>Республики Татарстан</w:t>
      </w:r>
    </w:p>
    <w:p w:rsidR="00F42223" w:rsidRPr="00091230" w:rsidRDefault="00F42223" w:rsidP="0026794C">
      <w:pPr>
        <w:rPr>
          <w:rFonts w:eastAsia="Arial"/>
          <w:sz w:val="28"/>
        </w:rPr>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2682"/>
        <w:gridCol w:w="2842"/>
        <w:gridCol w:w="1558"/>
        <w:gridCol w:w="1278"/>
        <w:gridCol w:w="1835"/>
      </w:tblGrid>
      <w:tr w:rsidR="00F42223" w:rsidRPr="00091230" w:rsidTr="0026794C">
        <w:trPr>
          <w:trHeight w:val="20"/>
        </w:trPr>
        <w:tc>
          <w:tcPr>
            <w:tcW w:w="2682" w:type="dxa"/>
          </w:tcPr>
          <w:p w:rsidR="00F42223" w:rsidRPr="00091230" w:rsidRDefault="00C55D07" w:rsidP="00C55D07">
            <w:pPr>
              <w:jc w:val="center"/>
              <w:rPr>
                <w:rFonts w:eastAsia="Arial"/>
              </w:rPr>
            </w:pPr>
            <w:r>
              <w:rPr>
                <w:rFonts w:eastAsia="Arial"/>
              </w:rPr>
              <w:t>Наименование медицинской организации</w:t>
            </w:r>
          </w:p>
        </w:tc>
        <w:tc>
          <w:tcPr>
            <w:tcW w:w="2842" w:type="dxa"/>
            <w:shd w:val="clear" w:color="auto" w:fill="auto"/>
          </w:tcPr>
          <w:p w:rsidR="00F42223" w:rsidRPr="00091230" w:rsidRDefault="00F42223" w:rsidP="00810CA9">
            <w:pPr>
              <w:jc w:val="center"/>
              <w:rPr>
                <w:rFonts w:eastAsia="Arial"/>
              </w:rPr>
            </w:pPr>
            <w:r w:rsidRPr="00091230">
              <w:rPr>
                <w:rFonts w:eastAsia="Arial"/>
              </w:rPr>
              <w:t>Показатель</w:t>
            </w:r>
          </w:p>
        </w:tc>
        <w:tc>
          <w:tcPr>
            <w:tcW w:w="1558" w:type="dxa"/>
            <w:shd w:val="clear" w:color="auto" w:fill="auto"/>
          </w:tcPr>
          <w:p w:rsidR="00F42223" w:rsidRPr="00091230" w:rsidRDefault="00F42223" w:rsidP="00810CA9">
            <w:pPr>
              <w:jc w:val="center"/>
              <w:rPr>
                <w:rFonts w:eastAsia="Arial"/>
              </w:rPr>
            </w:pPr>
            <w:r w:rsidRPr="00091230">
              <w:rPr>
                <w:rFonts w:eastAsia="Arial"/>
              </w:rPr>
              <w:t>Круглосуточно</w:t>
            </w:r>
          </w:p>
        </w:tc>
        <w:tc>
          <w:tcPr>
            <w:tcW w:w="1278" w:type="dxa"/>
            <w:shd w:val="clear" w:color="auto" w:fill="auto"/>
          </w:tcPr>
          <w:p w:rsidR="00F42223" w:rsidRPr="00091230" w:rsidRDefault="00F42223" w:rsidP="00810CA9">
            <w:pPr>
              <w:jc w:val="center"/>
              <w:rPr>
                <w:rFonts w:eastAsia="Arial"/>
              </w:rPr>
            </w:pPr>
            <w:r w:rsidRPr="00091230">
              <w:rPr>
                <w:rFonts w:eastAsia="Arial"/>
              </w:rPr>
              <w:t>Дневной</w:t>
            </w:r>
          </w:p>
          <w:p w:rsidR="00F42223" w:rsidRPr="00091230" w:rsidRDefault="00F42223" w:rsidP="00810CA9">
            <w:pPr>
              <w:jc w:val="center"/>
              <w:rPr>
                <w:rFonts w:eastAsia="Arial"/>
              </w:rPr>
            </w:pPr>
            <w:r w:rsidRPr="00091230">
              <w:rPr>
                <w:rFonts w:eastAsia="Arial"/>
              </w:rPr>
              <w:t>стационар</w:t>
            </w:r>
          </w:p>
        </w:tc>
        <w:tc>
          <w:tcPr>
            <w:tcW w:w="1835" w:type="dxa"/>
            <w:shd w:val="clear" w:color="auto" w:fill="auto"/>
          </w:tcPr>
          <w:p w:rsidR="00F42223" w:rsidRPr="00091230" w:rsidRDefault="00F42223" w:rsidP="00810CA9">
            <w:pPr>
              <w:jc w:val="center"/>
              <w:rPr>
                <w:rFonts w:eastAsia="Arial"/>
              </w:rPr>
            </w:pPr>
            <w:r w:rsidRPr="00091230">
              <w:rPr>
                <w:rFonts w:eastAsia="Arial"/>
              </w:rPr>
              <w:t>Амбулаторно</w:t>
            </w:r>
          </w:p>
        </w:tc>
      </w:tr>
    </w:tbl>
    <w:p w:rsidR="00F42223" w:rsidRPr="00091230" w:rsidRDefault="00F42223" w:rsidP="00F42223">
      <w:pPr>
        <w:rPr>
          <w:sz w:val="2"/>
          <w:szCs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2"/>
        <w:gridCol w:w="2842"/>
        <w:gridCol w:w="1558"/>
        <w:gridCol w:w="1278"/>
        <w:gridCol w:w="1835"/>
      </w:tblGrid>
      <w:tr w:rsidR="00F42223" w:rsidRPr="00091230" w:rsidTr="00810CA9">
        <w:trPr>
          <w:trHeight w:val="20"/>
          <w:tblHeader/>
        </w:trPr>
        <w:tc>
          <w:tcPr>
            <w:tcW w:w="2682" w:type="dxa"/>
          </w:tcPr>
          <w:p w:rsidR="00F42223" w:rsidRPr="00091230" w:rsidRDefault="00F42223" w:rsidP="0026794C">
            <w:pPr>
              <w:jc w:val="center"/>
              <w:rPr>
                <w:rFonts w:eastAsia="Arial"/>
              </w:rPr>
            </w:pPr>
            <w:r w:rsidRPr="00091230">
              <w:rPr>
                <w:rFonts w:eastAsia="Arial"/>
              </w:rPr>
              <w:t>1</w:t>
            </w:r>
          </w:p>
        </w:tc>
        <w:tc>
          <w:tcPr>
            <w:tcW w:w="2842" w:type="dxa"/>
            <w:shd w:val="clear" w:color="auto" w:fill="auto"/>
            <w:vAlign w:val="center"/>
          </w:tcPr>
          <w:p w:rsidR="00F42223" w:rsidRPr="00091230" w:rsidRDefault="00F42223" w:rsidP="0026794C">
            <w:pPr>
              <w:jc w:val="center"/>
              <w:rPr>
                <w:rFonts w:eastAsia="Arial"/>
              </w:rPr>
            </w:pPr>
            <w:r w:rsidRPr="00091230">
              <w:rPr>
                <w:rFonts w:eastAsia="Arial"/>
              </w:rPr>
              <w:t>2</w:t>
            </w:r>
          </w:p>
        </w:tc>
        <w:tc>
          <w:tcPr>
            <w:tcW w:w="1558" w:type="dxa"/>
            <w:shd w:val="clear" w:color="auto" w:fill="auto"/>
            <w:vAlign w:val="center"/>
          </w:tcPr>
          <w:p w:rsidR="00F42223" w:rsidRPr="00091230" w:rsidRDefault="00F42223" w:rsidP="0026794C">
            <w:pPr>
              <w:jc w:val="center"/>
              <w:rPr>
                <w:rFonts w:eastAsia="Arial"/>
              </w:rPr>
            </w:pPr>
            <w:r w:rsidRPr="00091230">
              <w:rPr>
                <w:rFonts w:eastAsia="Arial"/>
              </w:rPr>
              <w:t>3</w:t>
            </w:r>
          </w:p>
        </w:tc>
        <w:tc>
          <w:tcPr>
            <w:tcW w:w="1278" w:type="dxa"/>
            <w:shd w:val="clear" w:color="auto" w:fill="auto"/>
            <w:vAlign w:val="center"/>
          </w:tcPr>
          <w:p w:rsidR="00F42223" w:rsidRPr="00091230" w:rsidRDefault="00F42223" w:rsidP="0026794C">
            <w:pPr>
              <w:jc w:val="center"/>
              <w:rPr>
                <w:rFonts w:eastAsia="Arial"/>
              </w:rPr>
            </w:pPr>
            <w:r w:rsidRPr="00091230">
              <w:rPr>
                <w:rFonts w:eastAsia="Arial"/>
              </w:rPr>
              <w:t>4</w:t>
            </w:r>
          </w:p>
        </w:tc>
        <w:tc>
          <w:tcPr>
            <w:tcW w:w="1835" w:type="dxa"/>
            <w:shd w:val="clear" w:color="auto" w:fill="auto"/>
            <w:vAlign w:val="center"/>
          </w:tcPr>
          <w:p w:rsidR="00F42223" w:rsidRPr="00091230" w:rsidRDefault="00F42223" w:rsidP="0026794C">
            <w:pPr>
              <w:jc w:val="center"/>
              <w:rPr>
                <w:rFonts w:eastAsia="Arial"/>
              </w:rPr>
            </w:pPr>
            <w:r w:rsidRPr="00091230">
              <w:rPr>
                <w:rFonts w:eastAsia="Arial"/>
              </w:rPr>
              <w:t>5</w:t>
            </w:r>
          </w:p>
        </w:tc>
      </w:tr>
      <w:tr w:rsidR="00F42223" w:rsidRPr="00091230" w:rsidTr="00810CA9">
        <w:trPr>
          <w:trHeight w:val="20"/>
        </w:trPr>
        <w:tc>
          <w:tcPr>
            <w:tcW w:w="2682" w:type="dxa"/>
            <w:vMerge w:val="restart"/>
          </w:tcPr>
          <w:p w:rsidR="00F42223" w:rsidRPr="00091230" w:rsidRDefault="00F42223" w:rsidP="0026794C">
            <w:pPr>
              <w:jc w:val="both"/>
              <w:rPr>
                <w:rFonts w:eastAsia="Arial"/>
              </w:rPr>
            </w:pPr>
            <w:r w:rsidRPr="00091230">
              <w:t xml:space="preserve">ГАУЗ </w:t>
            </w:r>
            <w:r w:rsidR="002F7358">
              <w:rPr>
                <w:rFonts w:eastAsia="Arial"/>
              </w:rPr>
              <w:t>«</w:t>
            </w:r>
            <w:r w:rsidR="0026794C">
              <w:rPr>
                <w:rFonts w:eastAsia="Arial"/>
              </w:rPr>
              <w:t>РКОД МЗ РТ им.</w:t>
            </w:r>
            <w:r w:rsidR="00AC5011" w:rsidRPr="00AC5011">
              <w:rPr>
                <w:rFonts w:eastAsia="Arial"/>
              </w:rPr>
              <w:t>проф.М.З.Сигала</w:t>
            </w:r>
            <w:r w:rsidR="002F7358">
              <w:rPr>
                <w:rFonts w:eastAsia="Arial"/>
              </w:rPr>
              <w:t>»</w:t>
            </w:r>
          </w:p>
        </w:tc>
        <w:tc>
          <w:tcPr>
            <w:tcW w:w="2842" w:type="dxa"/>
            <w:shd w:val="clear" w:color="auto" w:fill="auto"/>
          </w:tcPr>
          <w:p w:rsidR="00F42223" w:rsidRPr="00091230" w:rsidRDefault="00F42223" w:rsidP="00C55D07">
            <w:pPr>
              <w:jc w:val="both"/>
              <w:rPr>
                <w:rFonts w:eastAsia="Arial"/>
              </w:rPr>
            </w:pPr>
            <w:r w:rsidRPr="00091230">
              <w:rPr>
                <w:rFonts w:eastAsia="Arial"/>
              </w:rPr>
              <w:t>Мощность (ко</w:t>
            </w:r>
            <w:r w:rsidR="00C55D07">
              <w:rPr>
                <w:rFonts w:eastAsia="Arial"/>
              </w:rPr>
              <w:t>ек</w:t>
            </w:r>
            <w:r w:rsidRPr="00091230">
              <w:rPr>
                <w:rFonts w:eastAsia="Arial"/>
              </w:rPr>
              <w:t>, посещений в смену)</w:t>
            </w:r>
          </w:p>
        </w:tc>
        <w:tc>
          <w:tcPr>
            <w:tcW w:w="1558" w:type="dxa"/>
            <w:shd w:val="clear" w:color="auto" w:fill="auto"/>
          </w:tcPr>
          <w:p w:rsidR="00F42223" w:rsidRPr="00091230" w:rsidRDefault="00F42223" w:rsidP="0026794C">
            <w:pPr>
              <w:jc w:val="center"/>
              <w:rPr>
                <w:rFonts w:eastAsia="Arial"/>
              </w:rPr>
            </w:pPr>
            <w:r w:rsidRPr="00091230">
              <w:rPr>
                <w:rFonts w:eastAsia="Arial"/>
              </w:rPr>
              <w:t>20</w:t>
            </w:r>
          </w:p>
        </w:tc>
        <w:tc>
          <w:tcPr>
            <w:tcW w:w="1278" w:type="dxa"/>
            <w:shd w:val="clear" w:color="auto" w:fill="auto"/>
          </w:tcPr>
          <w:p w:rsidR="00F42223" w:rsidRPr="00091230" w:rsidRDefault="00F42223" w:rsidP="0026794C">
            <w:pPr>
              <w:jc w:val="center"/>
              <w:rPr>
                <w:rFonts w:eastAsia="Arial"/>
              </w:rPr>
            </w:pPr>
            <w:r w:rsidRPr="00091230">
              <w:rPr>
                <w:rFonts w:eastAsia="Arial"/>
              </w:rPr>
              <w:t>–</w:t>
            </w:r>
          </w:p>
        </w:tc>
        <w:tc>
          <w:tcPr>
            <w:tcW w:w="1835" w:type="dxa"/>
            <w:shd w:val="clear" w:color="auto" w:fill="auto"/>
          </w:tcPr>
          <w:p w:rsidR="00F42223" w:rsidRPr="00091230" w:rsidRDefault="00F42223" w:rsidP="0026794C">
            <w:pPr>
              <w:jc w:val="center"/>
              <w:rPr>
                <w:rFonts w:eastAsia="Arial"/>
              </w:rPr>
            </w:pPr>
            <w:r w:rsidRPr="00091230">
              <w:rPr>
                <w:rFonts w:eastAsia="Arial"/>
              </w:rPr>
              <w:t>70 в сутки</w:t>
            </w:r>
          </w:p>
          <w:p w:rsidR="00F42223" w:rsidRPr="00091230" w:rsidRDefault="00F42223" w:rsidP="0026794C">
            <w:pPr>
              <w:jc w:val="center"/>
              <w:rPr>
                <w:rFonts w:eastAsia="Arial"/>
              </w:rPr>
            </w:pPr>
            <w:r w:rsidRPr="00091230">
              <w:rPr>
                <w:rFonts w:eastAsia="Arial"/>
              </w:rPr>
              <w:t>(выездная</w:t>
            </w:r>
          </w:p>
          <w:p w:rsidR="00F42223" w:rsidRPr="00091230" w:rsidRDefault="00F42223" w:rsidP="0026794C">
            <w:pPr>
              <w:jc w:val="center"/>
              <w:rPr>
                <w:rFonts w:eastAsia="Arial"/>
              </w:rPr>
            </w:pPr>
            <w:r w:rsidRPr="00091230">
              <w:rPr>
                <w:rFonts w:eastAsia="Arial"/>
              </w:rPr>
              <w:t>паллиативная</w:t>
            </w:r>
          </w:p>
          <w:p w:rsidR="00F42223" w:rsidRPr="00091230" w:rsidRDefault="00F42223" w:rsidP="0026794C">
            <w:pPr>
              <w:jc w:val="center"/>
              <w:rPr>
                <w:rFonts w:eastAsia="Arial"/>
              </w:rPr>
            </w:pPr>
            <w:r w:rsidRPr="00091230">
              <w:rPr>
                <w:rFonts w:eastAsia="Arial"/>
              </w:rPr>
              <w:t>помощь)</w:t>
            </w:r>
          </w:p>
        </w:tc>
      </w:tr>
      <w:tr w:rsidR="00F42223" w:rsidRPr="00091230" w:rsidTr="00810CA9">
        <w:trPr>
          <w:trHeight w:val="20"/>
        </w:trPr>
        <w:tc>
          <w:tcPr>
            <w:tcW w:w="2682" w:type="dxa"/>
            <w:vMerge/>
          </w:tcPr>
          <w:p w:rsidR="00F42223" w:rsidRPr="00091230" w:rsidRDefault="00F42223" w:rsidP="0026794C">
            <w:pPr>
              <w:jc w:val="both"/>
              <w:rPr>
                <w:rFonts w:eastAsia="Arial"/>
              </w:rPr>
            </w:pPr>
          </w:p>
        </w:tc>
        <w:tc>
          <w:tcPr>
            <w:tcW w:w="2842" w:type="dxa"/>
            <w:shd w:val="clear" w:color="auto" w:fill="auto"/>
          </w:tcPr>
          <w:p w:rsidR="00F42223" w:rsidRPr="00091230" w:rsidRDefault="00F42223" w:rsidP="0026794C">
            <w:pPr>
              <w:jc w:val="both"/>
              <w:rPr>
                <w:rFonts w:eastAsia="Arial"/>
              </w:rPr>
            </w:pPr>
            <w:r w:rsidRPr="00091230">
              <w:rPr>
                <w:rFonts w:eastAsia="Arial"/>
              </w:rPr>
              <w:t>Количество штатных единиц врачей</w:t>
            </w:r>
          </w:p>
        </w:tc>
        <w:tc>
          <w:tcPr>
            <w:tcW w:w="1558" w:type="dxa"/>
            <w:shd w:val="clear" w:color="auto" w:fill="auto"/>
          </w:tcPr>
          <w:p w:rsidR="00F42223" w:rsidRPr="00091230" w:rsidRDefault="00F42223" w:rsidP="0026794C">
            <w:pPr>
              <w:jc w:val="center"/>
              <w:rPr>
                <w:rFonts w:eastAsia="Arial"/>
              </w:rPr>
            </w:pPr>
            <w:r w:rsidRPr="00091230">
              <w:rPr>
                <w:rFonts w:eastAsia="Arial"/>
              </w:rPr>
              <w:t>2,0</w:t>
            </w:r>
          </w:p>
        </w:tc>
        <w:tc>
          <w:tcPr>
            <w:tcW w:w="1278" w:type="dxa"/>
            <w:shd w:val="clear" w:color="auto" w:fill="auto"/>
          </w:tcPr>
          <w:p w:rsidR="00F42223" w:rsidRPr="00091230" w:rsidRDefault="00F42223" w:rsidP="0026794C">
            <w:pPr>
              <w:jc w:val="center"/>
            </w:pPr>
            <w:r w:rsidRPr="00091230">
              <w:rPr>
                <w:rFonts w:eastAsia="Arial"/>
              </w:rPr>
              <w:t>–</w:t>
            </w:r>
          </w:p>
        </w:tc>
        <w:tc>
          <w:tcPr>
            <w:tcW w:w="1835" w:type="dxa"/>
            <w:shd w:val="clear" w:color="auto" w:fill="auto"/>
          </w:tcPr>
          <w:p w:rsidR="00F42223" w:rsidRPr="00091230" w:rsidRDefault="00F42223" w:rsidP="0026794C">
            <w:pPr>
              <w:jc w:val="center"/>
              <w:rPr>
                <w:rFonts w:eastAsia="Arial"/>
              </w:rPr>
            </w:pPr>
            <w:r w:rsidRPr="00091230">
              <w:rPr>
                <w:rFonts w:eastAsia="Arial"/>
              </w:rPr>
              <w:t>11,0</w:t>
            </w:r>
          </w:p>
        </w:tc>
      </w:tr>
      <w:tr w:rsidR="00F42223" w:rsidRPr="00091230" w:rsidTr="00810CA9">
        <w:trPr>
          <w:trHeight w:val="20"/>
        </w:trPr>
        <w:tc>
          <w:tcPr>
            <w:tcW w:w="2682" w:type="dxa"/>
            <w:vMerge/>
          </w:tcPr>
          <w:p w:rsidR="00F42223" w:rsidRPr="00091230" w:rsidRDefault="00F42223" w:rsidP="0026794C">
            <w:pPr>
              <w:jc w:val="both"/>
              <w:rPr>
                <w:rFonts w:eastAsia="Arial"/>
              </w:rPr>
            </w:pPr>
          </w:p>
        </w:tc>
        <w:tc>
          <w:tcPr>
            <w:tcW w:w="2842" w:type="dxa"/>
            <w:shd w:val="clear" w:color="auto" w:fill="auto"/>
          </w:tcPr>
          <w:p w:rsidR="00F42223" w:rsidRPr="00091230" w:rsidRDefault="00F42223" w:rsidP="0026794C">
            <w:pPr>
              <w:jc w:val="both"/>
              <w:rPr>
                <w:rFonts w:eastAsia="Arial"/>
              </w:rPr>
            </w:pPr>
            <w:r w:rsidRPr="00091230">
              <w:rPr>
                <w:rFonts w:eastAsia="Arial"/>
              </w:rPr>
              <w:t>Количество штатных единиц среднего персонала</w:t>
            </w:r>
          </w:p>
        </w:tc>
        <w:tc>
          <w:tcPr>
            <w:tcW w:w="1558" w:type="dxa"/>
            <w:shd w:val="clear" w:color="auto" w:fill="auto"/>
          </w:tcPr>
          <w:p w:rsidR="00F42223" w:rsidRPr="00091230" w:rsidRDefault="00F42223" w:rsidP="0026794C">
            <w:pPr>
              <w:jc w:val="center"/>
              <w:rPr>
                <w:rFonts w:eastAsia="Arial"/>
              </w:rPr>
            </w:pPr>
            <w:r w:rsidRPr="00091230">
              <w:rPr>
                <w:rFonts w:eastAsia="Arial"/>
              </w:rPr>
              <w:t>5,0</w:t>
            </w:r>
          </w:p>
        </w:tc>
        <w:tc>
          <w:tcPr>
            <w:tcW w:w="1278" w:type="dxa"/>
            <w:shd w:val="clear" w:color="auto" w:fill="auto"/>
          </w:tcPr>
          <w:p w:rsidR="00F42223" w:rsidRPr="00091230" w:rsidRDefault="00F42223" w:rsidP="0026794C">
            <w:pPr>
              <w:jc w:val="center"/>
            </w:pPr>
            <w:r w:rsidRPr="00091230">
              <w:rPr>
                <w:rFonts w:eastAsia="Arial"/>
              </w:rPr>
              <w:t>–</w:t>
            </w:r>
          </w:p>
        </w:tc>
        <w:tc>
          <w:tcPr>
            <w:tcW w:w="1835" w:type="dxa"/>
            <w:shd w:val="clear" w:color="auto" w:fill="auto"/>
          </w:tcPr>
          <w:p w:rsidR="00F42223" w:rsidRPr="00091230" w:rsidRDefault="00F42223" w:rsidP="0026794C">
            <w:pPr>
              <w:jc w:val="center"/>
              <w:rPr>
                <w:rFonts w:eastAsia="Arial"/>
              </w:rPr>
            </w:pPr>
            <w:r w:rsidRPr="00091230">
              <w:rPr>
                <w:rFonts w:eastAsia="Arial"/>
              </w:rPr>
              <w:t>29,0</w:t>
            </w:r>
          </w:p>
        </w:tc>
      </w:tr>
      <w:tr w:rsidR="00F42223" w:rsidRPr="00091230" w:rsidTr="00F8674D">
        <w:trPr>
          <w:trHeight w:val="975"/>
        </w:trPr>
        <w:tc>
          <w:tcPr>
            <w:tcW w:w="2682" w:type="dxa"/>
            <w:vMerge/>
          </w:tcPr>
          <w:p w:rsidR="00F42223" w:rsidRPr="00091230" w:rsidRDefault="00F42223" w:rsidP="0026794C">
            <w:pPr>
              <w:jc w:val="both"/>
              <w:rPr>
                <w:rFonts w:eastAsia="Arial"/>
              </w:rPr>
            </w:pPr>
          </w:p>
        </w:tc>
        <w:tc>
          <w:tcPr>
            <w:tcW w:w="2842" w:type="dxa"/>
            <w:shd w:val="clear" w:color="auto" w:fill="auto"/>
          </w:tcPr>
          <w:p w:rsidR="00F42223" w:rsidRPr="00091230" w:rsidRDefault="00F42223" w:rsidP="0026794C">
            <w:pPr>
              <w:jc w:val="both"/>
              <w:rPr>
                <w:rFonts w:eastAsia="Arial"/>
              </w:rPr>
            </w:pPr>
            <w:r w:rsidRPr="00091230">
              <w:rPr>
                <w:rFonts w:eastAsia="Arial"/>
              </w:rPr>
              <w:t>Количество штатных единиц младшего персонала</w:t>
            </w:r>
          </w:p>
        </w:tc>
        <w:tc>
          <w:tcPr>
            <w:tcW w:w="1558" w:type="dxa"/>
            <w:shd w:val="clear" w:color="auto" w:fill="auto"/>
          </w:tcPr>
          <w:p w:rsidR="00F42223" w:rsidRPr="00091230" w:rsidRDefault="00F42223" w:rsidP="0026794C">
            <w:pPr>
              <w:jc w:val="center"/>
              <w:rPr>
                <w:rFonts w:eastAsia="Arial"/>
              </w:rPr>
            </w:pPr>
            <w:r w:rsidRPr="00091230">
              <w:rPr>
                <w:rFonts w:eastAsia="Arial"/>
              </w:rPr>
              <w:t>0,0</w:t>
            </w:r>
          </w:p>
        </w:tc>
        <w:tc>
          <w:tcPr>
            <w:tcW w:w="1278" w:type="dxa"/>
            <w:shd w:val="clear" w:color="auto" w:fill="auto"/>
          </w:tcPr>
          <w:p w:rsidR="00F42223" w:rsidRPr="00091230" w:rsidRDefault="00F42223" w:rsidP="0026794C">
            <w:pPr>
              <w:jc w:val="center"/>
            </w:pPr>
            <w:r w:rsidRPr="00091230">
              <w:rPr>
                <w:rFonts w:eastAsia="Arial"/>
              </w:rPr>
              <w:t>–</w:t>
            </w:r>
          </w:p>
        </w:tc>
        <w:tc>
          <w:tcPr>
            <w:tcW w:w="1835" w:type="dxa"/>
            <w:shd w:val="clear" w:color="auto" w:fill="auto"/>
          </w:tcPr>
          <w:p w:rsidR="00F42223" w:rsidRPr="00091230" w:rsidRDefault="00F42223" w:rsidP="0026794C">
            <w:pPr>
              <w:jc w:val="center"/>
              <w:rPr>
                <w:rFonts w:eastAsia="Arial"/>
              </w:rPr>
            </w:pPr>
            <w:r w:rsidRPr="00091230">
              <w:rPr>
                <w:rFonts w:eastAsia="Arial"/>
              </w:rPr>
              <w:t>0,0</w:t>
            </w:r>
          </w:p>
        </w:tc>
      </w:tr>
      <w:tr w:rsidR="00F42223" w:rsidRPr="00091230" w:rsidTr="00810CA9">
        <w:trPr>
          <w:trHeight w:val="20"/>
        </w:trPr>
        <w:tc>
          <w:tcPr>
            <w:tcW w:w="2682" w:type="dxa"/>
            <w:vMerge w:val="restart"/>
          </w:tcPr>
          <w:p w:rsidR="00F42223" w:rsidRPr="00091230" w:rsidRDefault="00F42223" w:rsidP="0026794C">
            <w:pPr>
              <w:jc w:val="both"/>
              <w:rPr>
                <w:rFonts w:eastAsia="Arial"/>
              </w:rPr>
            </w:pPr>
            <w:r w:rsidRPr="00091230">
              <w:rPr>
                <w:rFonts w:eastAsia="Arial"/>
              </w:rPr>
              <w:t xml:space="preserve">ГАУЗ </w:t>
            </w:r>
            <w:r w:rsidR="002F7358">
              <w:rPr>
                <w:rFonts w:eastAsia="Arial"/>
              </w:rPr>
              <w:t>«</w:t>
            </w:r>
            <w:r w:rsidRPr="00091230">
              <w:rPr>
                <w:rFonts w:eastAsia="Arial"/>
              </w:rPr>
              <w:t>Агрызская ЦРБ</w:t>
            </w:r>
            <w:r w:rsidR="002F7358">
              <w:rPr>
                <w:rFonts w:eastAsia="Arial"/>
              </w:rPr>
              <w:t>»</w:t>
            </w:r>
          </w:p>
        </w:tc>
        <w:tc>
          <w:tcPr>
            <w:tcW w:w="2842" w:type="dxa"/>
            <w:shd w:val="clear" w:color="auto" w:fill="auto"/>
          </w:tcPr>
          <w:p w:rsidR="00F42223" w:rsidRPr="00091230" w:rsidRDefault="00C55D07" w:rsidP="00C55D07">
            <w:pPr>
              <w:jc w:val="both"/>
              <w:rPr>
                <w:rFonts w:eastAsia="Arial"/>
              </w:rPr>
            </w:pPr>
            <w:r>
              <w:rPr>
                <w:rFonts w:eastAsia="Arial"/>
              </w:rPr>
              <w:t>Мощность (коек</w:t>
            </w:r>
            <w:r w:rsidR="00F42223" w:rsidRPr="00091230">
              <w:rPr>
                <w:rFonts w:eastAsia="Arial"/>
              </w:rPr>
              <w:t>, посещений в смену)</w:t>
            </w:r>
          </w:p>
        </w:tc>
        <w:tc>
          <w:tcPr>
            <w:tcW w:w="1558" w:type="dxa"/>
            <w:shd w:val="clear" w:color="auto" w:fill="auto"/>
          </w:tcPr>
          <w:p w:rsidR="00F42223" w:rsidRPr="00091230" w:rsidRDefault="00F42223" w:rsidP="0026794C">
            <w:pPr>
              <w:jc w:val="center"/>
            </w:pPr>
            <w:r w:rsidRPr="00091230">
              <w:rPr>
                <w:rFonts w:eastAsia="Arial"/>
              </w:rPr>
              <w:t>–</w:t>
            </w:r>
          </w:p>
        </w:tc>
        <w:tc>
          <w:tcPr>
            <w:tcW w:w="1278" w:type="dxa"/>
            <w:shd w:val="clear" w:color="auto" w:fill="auto"/>
          </w:tcPr>
          <w:p w:rsidR="00F42223" w:rsidRPr="00091230" w:rsidRDefault="00F42223" w:rsidP="0026794C">
            <w:pPr>
              <w:jc w:val="center"/>
            </w:pPr>
            <w:r w:rsidRPr="00091230">
              <w:rPr>
                <w:rFonts w:eastAsia="Arial"/>
              </w:rPr>
              <w:t>–</w:t>
            </w:r>
          </w:p>
        </w:tc>
        <w:tc>
          <w:tcPr>
            <w:tcW w:w="1835" w:type="dxa"/>
            <w:shd w:val="clear" w:color="auto" w:fill="auto"/>
          </w:tcPr>
          <w:p w:rsidR="00F42223" w:rsidRPr="00091230" w:rsidRDefault="00F42223" w:rsidP="0026794C">
            <w:pPr>
              <w:jc w:val="center"/>
              <w:rPr>
                <w:rFonts w:eastAsia="Arial"/>
              </w:rPr>
            </w:pPr>
            <w:r w:rsidRPr="00091230">
              <w:rPr>
                <w:rFonts w:eastAsia="Arial"/>
              </w:rPr>
              <w:t>15</w:t>
            </w:r>
          </w:p>
        </w:tc>
      </w:tr>
      <w:tr w:rsidR="00F42223" w:rsidRPr="00091230" w:rsidTr="00810CA9">
        <w:trPr>
          <w:trHeight w:val="20"/>
        </w:trPr>
        <w:tc>
          <w:tcPr>
            <w:tcW w:w="2682" w:type="dxa"/>
            <w:vMerge/>
          </w:tcPr>
          <w:p w:rsidR="00F42223" w:rsidRPr="00091230" w:rsidRDefault="00F42223" w:rsidP="0026794C">
            <w:pPr>
              <w:jc w:val="both"/>
              <w:rPr>
                <w:rFonts w:eastAsia="Arial"/>
              </w:rPr>
            </w:pPr>
          </w:p>
        </w:tc>
        <w:tc>
          <w:tcPr>
            <w:tcW w:w="2842" w:type="dxa"/>
            <w:shd w:val="clear" w:color="auto" w:fill="auto"/>
          </w:tcPr>
          <w:p w:rsidR="00F42223" w:rsidRPr="00091230" w:rsidRDefault="00F42223" w:rsidP="0026794C">
            <w:pPr>
              <w:jc w:val="both"/>
              <w:rPr>
                <w:rFonts w:eastAsia="Arial"/>
              </w:rPr>
            </w:pPr>
            <w:r w:rsidRPr="00091230">
              <w:rPr>
                <w:rFonts w:eastAsia="Arial"/>
              </w:rPr>
              <w:t>Количество штатных единиц врачей</w:t>
            </w:r>
          </w:p>
        </w:tc>
        <w:tc>
          <w:tcPr>
            <w:tcW w:w="1558" w:type="dxa"/>
            <w:shd w:val="clear" w:color="auto" w:fill="auto"/>
          </w:tcPr>
          <w:p w:rsidR="00F42223" w:rsidRPr="00091230" w:rsidRDefault="00F42223" w:rsidP="0026794C">
            <w:pPr>
              <w:jc w:val="center"/>
            </w:pPr>
            <w:r w:rsidRPr="00091230">
              <w:rPr>
                <w:rFonts w:eastAsia="Arial"/>
              </w:rPr>
              <w:t>–</w:t>
            </w:r>
          </w:p>
        </w:tc>
        <w:tc>
          <w:tcPr>
            <w:tcW w:w="1278" w:type="dxa"/>
            <w:shd w:val="clear" w:color="auto" w:fill="auto"/>
          </w:tcPr>
          <w:p w:rsidR="00F42223" w:rsidRPr="00091230" w:rsidRDefault="00F42223" w:rsidP="0026794C">
            <w:pPr>
              <w:jc w:val="center"/>
            </w:pPr>
            <w:r w:rsidRPr="00091230">
              <w:rPr>
                <w:rFonts w:eastAsia="Arial"/>
              </w:rPr>
              <w:t>–</w:t>
            </w:r>
          </w:p>
        </w:tc>
        <w:tc>
          <w:tcPr>
            <w:tcW w:w="1835" w:type="dxa"/>
            <w:shd w:val="clear" w:color="auto" w:fill="auto"/>
          </w:tcPr>
          <w:p w:rsidR="00F42223" w:rsidRPr="00091230" w:rsidRDefault="00F42223" w:rsidP="0026794C">
            <w:pPr>
              <w:jc w:val="center"/>
              <w:rPr>
                <w:rFonts w:eastAsia="Arial"/>
              </w:rPr>
            </w:pPr>
            <w:r w:rsidRPr="00091230">
              <w:rPr>
                <w:rFonts w:eastAsia="Arial"/>
              </w:rPr>
              <w:t>0,5</w:t>
            </w:r>
          </w:p>
        </w:tc>
      </w:tr>
      <w:tr w:rsidR="00F42223" w:rsidRPr="00091230" w:rsidTr="00810CA9">
        <w:trPr>
          <w:trHeight w:val="20"/>
        </w:trPr>
        <w:tc>
          <w:tcPr>
            <w:tcW w:w="2682" w:type="dxa"/>
            <w:vMerge/>
          </w:tcPr>
          <w:p w:rsidR="00F42223" w:rsidRPr="00091230" w:rsidRDefault="00F42223" w:rsidP="0026794C">
            <w:pPr>
              <w:jc w:val="both"/>
              <w:rPr>
                <w:rFonts w:eastAsia="Arial"/>
              </w:rPr>
            </w:pPr>
          </w:p>
        </w:tc>
        <w:tc>
          <w:tcPr>
            <w:tcW w:w="2842" w:type="dxa"/>
            <w:shd w:val="clear" w:color="auto" w:fill="auto"/>
          </w:tcPr>
          <w:p w:rsidR="00F42223" w:rsidRPr="00091230" w:rsidRDefault="00F42223" w:rsidP="0026794C">
            <w:pPr>
              <w:jc w:val="both"/>
              <w:rPr>
                <w:rFonts w:eastAsia="Arial"/>
              </w:rPr>
            </w:pPr>
            <w:r w:rsidRPr="00091230">
              <w:rPr>
                <w:rFonts w:eastAsia="Arial"/>
              </w:rPr>
              <w:t>Количество штатных единиц среднего персонала</w:t>
            </w:r>
          </w:p>
        </w:tc>
        <w:tc>
          <w:tcPr>
            <w:tcW w:w="1558" w:type="dxa"/>
            <w:shd w:val="clear" w:color="auto" w:fill="auto"/>
          </w:tcPr>
          <w:p w:rsidR="00F42223" w:rsidRPr="00091230" w:rsidRDefault="00F42223" w:rsidP="0026794C">
            <w:pPr>
              <w:jc w:val="center"/>
            </w:pPr>
            <w:r w:rsidRPr="00091230">
              <w:rPr>
                <w:rFonts w:eastAsia="Arial"/>
              </w:rPr>
              <w:t>–</w:t>
            </w:r>
          </w:p>
        </w:tc>
        <w:tc>
          <w:tcPr>
            <w:tcW w:w="1278" w:type="dxa"/>
            <w:shd w:val="clear" w:color="auto" w:fill="auto"/>
          </w:tcPr>
          <w:p w:rsidR="00F42223" w:rsidRPr="00091230" w:rsidRDefault="00F42223" w:rsidP="0026794C">
            <w:pPr>
              <w:jc w:val="center"/>
            </w:pPr>
            <w:r w:rsidRPr="00091230">
              <w:rPr>
                <w:rFonts w:eastAsia="Arial"/>
              </w:rPr>
              <w:t>–</w:t>
            </w:r>
          </w:p>
        </w:tc>
        <w:tc>
          <w:tcPr>
            <w:tcW w:w="1835" w:type="dxa"/>
            <w:shd w:val="clear" w:color="auto" w:fill="auto"/>
          </w:tcPr>
          <w:p w:rsidR="00F42223" w:rsidRPr="00091230" w:rsidRDefault="00F42223" w:rsidP="0026794C">
            <w:pPr>
              <w:jc w:val="center"/>
              <w:rPr>
                <w:rFonts w:eastAsia="Arial"/>
              </w:rPr>
            </w:pPr>
            <w:r w:rsidRPr="00091230">
              <w:rPr>
                <w:rFonts w:eastAsia="Arial"/>
              </w:rPr>
              <w:t>1,0</w:t>
            </w:r>
          </w:p>
        </w:tc>
      </w:tr>
      <w:tr w:rsidR="00F42223" w:rsidRPr="00091230" w:rsidTr="00F8674D">
        <w:trPr>
          <w:trHeight w:val="875"/>
        </w:trPr>
        <w:tc>
          <w:tcPr>
            <w:tcW w:w="2682" w:type="dxa"/>
            <w:vMerge/>
          </w:tcPr>
          <w:p w:rsidR="00F42223" w:rsidRPr="00091230" w:rsidRDefault="00F42223" w:rsidP="0026794C">
            <w:pPr>
              <w:jc w:val="both"/>
              <w:rPr>
                <w:rFonts w:eastAsia="Arial"/>
              </w:rPr>
            </w:pPr>
          </w:p>
        </w:tc>
        <w:tc>
          <w:tcPr>
            <w:tcW w:w="2842" w:type="dxa"/>
            <w:shd w:val="clear" w:color="auto" w:fill="auto"/>
          </w:tcPr>
          <w:p w:rsidR="00F42223" w:rsidRPr="00091230" w:rsidRDefault="00F42223" w:rsidP="0026794C">
            <w:pPr>
              <w:jc w:val="both"/>
              <w:rPr>
                <w:rFonts w:eastAsia="Arial"/>
              </w:rPr>
            </w:pPr>
            <w:r w:rsidRPr="00091230">
              <w:rPr>
                <w:rFonts w:eastAsia="Arial"/>
              </w:rPr>
              <w:t>Количество штатных единиц младшего персонала</w:t>
            </w:r>
          </w:p>
        </w:tc>
        <w:tc>
          <w:tcPr>
            <w:tcW w:w="1558" w:type="dxa"/>
            <w:shd w:val="clear" w:color="auto" w:fill="auto"/>
          </w:tcPr>
          <w:p w:rsidR="00F42223" w:rsidRPr="00091230" w:rsidRDefault="00F42223" w:rsidP="0026794C">
            <w:pPr>
              <w:jc w:val="center"/>
            </w:pPr>
            <w:r w:rsidRPr="00091230">
              <w:rPr>
                <w:rFonts w:eastAsia="Arial"/>
              </w:rPr>
              <w:t>–</w:t>
            </w:r>
          </w:p>
        </w:tc>
        <w:tc>
          <w:tcPr>
            <w:tcW w:w="1278" w:type="dxa"/>
            <w:shd w:val="clear" w:color="auto" w:fill="auto"/>
          </w:tcPr>
          <w:p w:rsidR="00F42223" w:rsidRPr="00091230" w:rsidRDefault="00F42223" w:rsidP="0026794C">
            <w:pPr>
              <w:jc w:val="center"/>
            </w:pPr>
            <w:r w:rsidRPr="00091230">
              <w:rPr>
                <w:rFonts w:eastAsia="Arial"/>
              </w:rPr>
              <w:t>–</w:t>
            </w:r>
          </w:p>
        </w:tc>
        <w:tc>
          <w:tcPr>
            <w:tcW w:w="1835" w:type="dxa"/>
            <w:shd w:val="clear" w:color="auto" w:fill="auto"/>
          </w:tcPr>
          <w:p w:rsidR="00F42223" w:rsidRPr="00091230" w:rsidRDefault="00F42223" w:rsidP="0026794C">
            <w:pPr>
              <w:jc w:val="center"/>
              <w:rPr>
                <w:rFonts w:eastAsia="Arial"/>
              </w:rPr>
            </w:pPr>
            <w:r w:rsidRPr="00091230">
              <w:rPr>
                <w:rFonts w:eastAsia="Arial"/>
              </w:rPr>
              <w:t>0,0</w:t>
            </w:r>
          </w:p>
        </w:tc>
      </w:tr>
      <w:tr w:rsidR="00C93DB4" w:rsidRPr="00091230" w:rsidTr="00810CA9">
        <w:trPr>
          <w:trHeight w:val="20"/>
        </w:trPr>
        <w:tc>
          <w:tcPr>
            <w:tcW w:w="2682" w:type="dxa"/>
            <w:vMerge w:val="restart"/>
          </w:tcPr>
          <w:p w:rsidR="00C93DB4" w:rsidRPr="00091230" w:rsidRDefault="00C93DB4" w:rsidP="0026794C">
            <w:pPr>
              <w:jc w:val="both"/>
              <w:rPr>
                <w:rFonts w:eastAsia="Arial"/>
              </w:rPr>
            </w:pPr>
            <w:r w:rsidRPr="00091230">
              <w:rPr>
                <w:rFonts w:eastAsia="Arial"/>
              </w:rPr>
              <w:t xml:space="preserve">ГАУЗ </w:t>
            </w:r>
            <w:r>
              <w:rPr>
                <w:rFonts w:eastAsia="Arial"/>
              </w:rPr>
              <w:t>«</w:t>
            </w:r>
            <w:r w:rsidRPr="00091230">
              <w:rPr>
                <w:rFonts w:eastAsia="Arial"/>
              </w:rPr>
              <w:t>Актанышская ЦРБ</w:t>
            </w:r>
            <w:r>
              <w:rPr>
                <w:rFonts w:eastAsia="Arial"/>
              </w:rPr>
              <w:t>»</w:t>
            </w:r>
          </w:p>
        </w:tc>
        <w:tc>
          <w:tcPr>
            <w:tcW w:w="2842" w:type="dxa"/>
            <w:shd w:val="clear" w:color="auto" w:fill="auto"/>
          </w:tcPr>
          <w:p w:rsidR="00C93DB4" w:rsidRPr="00091230" w:rsidRDefault="00C93DB4" w:rsidP="00C55D07">
            <w:pPr>
              <w:jc w:val="both"/>
              <w:rPr>
                <w:rFonts w:eastAsia="Arial"/>
              </w:rPr>
            </w:pPr>
            <w:r w:rsidRPr="00091230">
              <w:rPr>
                <w:rFonts w:eastAsia="Arial"/>
              </w:rPr>
              <w:t>Мощность (ко</w:t>
            </w:r>
            <w:r w:rsidR="00C55D07">
              <w:rPr>
                <w:rFonts w:eastAsia="Arial"/>
              </w:rPr>
              <w:t>ек</w:t>
            </w:r>
            <w:r w:rsidRPr="00091230">
              <w:rPr>
                <w:rFonts w:eastAsia="Arial"/>
              </w:rPr>
              <w:t>, посещений в смену)</w:t>
            </w:r>
          </w:p>
        </w:tc>
        <w:tc>
          <w:tcPr>
            <w:tcW w:w="1558" w:type="dxa"/>
            <w:shd w:val="clear" w:color="auto" w:fill="auto"/>
          </w:tcPr>
          <w:p w:rsidR="00C93DB4" w:rsidRPr="00091230" w:rsidRDefault="00C93DB4" w:rsidP="0026794C">
            <w:pPr>
              <w:jc w:val="center"/>
            </w:pPr>
            <w:r w:rsidRPr="00091230">
              <w:rPr>
                <w:rFonts w:eastAsia="Arial"/>
              </w:rPr>
              <w:t>–</w:t>
            </w:r>
          </w:p>
        </w:tc>
        <w:tc>
          <w:tcPr>
            <w:tcW w:w="1278" w:type="dxa"/>
            <w:shd w:val="clear" w:color="auto" w:fill="auto"/>
          </w:tcPr>
          <w:p w:rsidR="00C93DB4" w:rsidRPr="00091230" w:rsidRDefault="00C93DB4" w:rsidP="0026794C">
            <w:pPr>
              <w:jc w:val="center"/>
            </w:pPr>
            <w:r w:rsidRPr="00091230">
              <w:rPr>
                <w:rFonts w:eastAsia="Arial"/>
              </w:rPr>
              <w:t>–</w:t>
            </w:r>
          </w:p>
        </w:tc>
        <w:tc>
          <w:tcPr>
            <w:tcW w:w="1835" w:type="dxa"/>
            <w:shd w:val="clear" w:color="auto" w:fill="auto"/>
          </w:tcPr>
          <w:p w:rsidR="00C93DB4" w:rsidRPr="00091230" w:rsidRDefault="00C93DB4" w:rsidP="0026794C">
            <w:pPr>
              <w:jc w:val="center"/>
              <w:rPr>
                <w:rFonts w:eastAsia="Arial"/>
              </w:rPr>
            </w:pPr>
            <w:r w:rsidRPr="00091230">
              <w:rPr>
                <w:rFonts w:eastAsia="Arial"/>
              </w:rPr>
              <w:t>15</w:t>
            </w:r>
          </w:p>
        </w:tc>
      </w:tr>
      <w:tr w:rsidR="00C93DB4" w:rsidRPr="00091230" w:rsidTr="00810CA9">
        <w:trPr>
          <w:trHeight w:val="20"/>
        </w:trPr>
        <w:tc>
          <w:tcPr>
            <w:tcW w:w="2682" w:type="dxa"/>
            <w:vMerge/>
          </w:tcPr>
          <w:p w:rsidR="00C93DB4" w:rsidRPr="00091230" w:rsidRDefault="00C93DB4" w:rsidP="0026794C">
            <w:pPr>
              <w:jc w:val="both"/>
              <w:rPr>
                <w:rFonts w:eastAsia="Arial"/>
              </w:rPr>
            </w:pPr>
          </w:p>
        </w:tc>
        <w:tc>
          <w:tcPr>
            <w:tcW w:w="2842" w:type="dxa"/>
            <w:shd w:val="clear" w:color="auto" w:fill="auto"/>
          </w:tcPr>
          <w:p w:rsidR="00C93DB4" w:rsidRPr="00091230" w:rsidRDefault="00C93DB4" w:rsidP="0026794C">
            <w:pPr>
              <w:jc w:val="both"/>
              <w:rPr>
                <w:rFonts w:eastAsia="Arial"/>
              </w:rPr>
            </w:pPr>
            <w:r w:rsidRPr="00091230">
              <w:rPr>
                <w:rFonts w:eastAsia="Arial"/>
              </w:rPr>
              <w:t>Количество штатных единиц врачей</w:t>
            </w:r>
          </w:p>
        </w:tc>
        <w:tc>
          <w:tcPr>
            <w:tcW w:w="1558" w:type="dxa"/>
            <w:shd w:val="clear" w:color="auto" w:fill="auto"/>
          </w:tcPr>
          <w:p w:rsidR="00C93DB4" w:rsidRPr="00091230" w:rsidRDefault="00C93DB4" w:rsidP="0026794C">
            <w:pPr>
              <w:jc w:val="center"/>
            </w:pPr>
            <w:r w:rsidRPr="00091230">
              <w:rPr>
                <w:rFonts w:eastAsia="Arial"/>
              </w:rPr>
              <w:t>–</w:t>
            </w:r>
          </w:p>
        </w:tc>
        <w:tc>
          <w:tcPr>
            <w:tcW w:w="1278" w:type="dxa"/>
            <w:shd w:val="clear" w:color="auto" w:fill="auto"/>
          </w:tcPr>
          <w:p w:rsidR="00C93DB4" w:rsidRPr="00091230" w:rsidRDefault="00C93DB4" w:rsidP="0026794C">
            <w:pPr>
              <w:jc w:val="center"/>
            </w:pPr>
            <w:r w:rsidRPr="00091230">
              <w:rPr>
                <w:rFonts w:eastAsia="Arial"/>
              </w:rPr>
              <w:t>–</w:t>
            </w:r>
          </w:p>
        </w:tc>
        <w:tc>
          <w:tcPr>
            <w:tcW w:w="1835" w:type="dxa"/>
            <w:shd w:val="clear" w:color="auto" w:fill="auto"/>
          </w:tcPr>
          <w:p w:rsidR="00C93DB4" w:rsidRPr="00091230" w:rsidRDefault="00C93DB4" w:rsidP="0026794C">
            <w:pPr>
              <w:jc w:val="center"/>
              <w:rPr>
                <w:rFonts w:eastAsia="Arial"/>
              </w:rPr>
            </w:pPr>
            <w:r w:rsidRPr="00091230">
              <w:rPr>
                <w:rFonts w:eastAsia="Arial"/>
              </w:rPr>
              <w:t>0,5</w:t>
            </w:r>
          </w:p>
        </w:tc>
      </w:tr>
      <w:tr w:rsidR="00C93DB4" w:rsidRPr="00091230" w:rsidTr="00810CA9">
        <w:trPr>
          <w:trHeight w:val="20"/>
        </w:trPr>
        <w:tc>
          <w:tcPr>
            <w:tcW w:w="2682" w:type="dxa"/>
            <w:vMerge/>
          </w:tcPr>
          <w:p w:rsidR="00C93DB4" w:rsidRPr="00091230" w:rsidRDefault="00C93DB4" w:rsidP="0026794C">
            <w:pPr>
              <w:jc w:val="both"/>
              <w:rPr>
                <w:rFonts w:eastAsia="Arial"/>
              </w:rPr>
            </w:pPr>
          </w:p>
        </w:tc>
        <w:tc>
          <w:tcPr>
            <w:tcW w:w="2842" w:type="dxa"/>
            <w:shd w:val="clear" w:color="auto" w:fill="auto"/>
          </w:tcPr>
          <w:p w:rsidR="00C93DB4" w:rsidRPr="00091230" w:rsidRDefault="00C93DB4" w:rsidP="0026794C">
            <w:pPr>
              <w:jc w:val="both"/>
              <w:rPr>
                <w:rFonts w:eastAsia="Arial"/>
              </w:rPr>
            </w:pPr>
            <w:r w:rsidRPr="00091230">
              <w:rPr>
                <w:rFonts w:eastAsia="Arial"/>
              </w:rPr>
              <w:t>Количество штатных единиц среднего персонала</w:t>
            </w:r>
          </w:p>
        </w:tc>
        <w:tc>
          <w:tcPr>
            <w:tcW w:w="1558" w:type="dxa"/>
            <w:shd w:val="clear" w:color="auto" w:fill="auto"/>
          </w:tcPr>
          <w:p w:rsidR="00C93DB4" w:rsidRPr="00091230" w:rsidRDefault="00C93DB4" w:rsidP="0026794C">
            <w:pPr>
              <w:jc w:val="center"/>
            </w:pPr>
            <w:r w:rsidRPr="00091230">
              <w:rPr>
                <w:rFonts w:eastAsia="Arial"/>
              </w:rPr>
              <w:t>–</w:t>
            </w:r>
          </w:p>
        </w:tc>
        <w:tc>
          <w:tcPr>
            <w:tcW w:w="1278" w:type="dxa"/>
            <w:shd w:val="clear" w:color="auto" w:fill="auto"/>
          </w:tcPr>
          <w:p w:rsidR="00C93DB4" w:rsidRPr="00091230" w:rsidRDefault="00C93DB4" w:rsidP="0026794C">
            <w:pPr>
              <w:jc w:val="center"/>
            </w:pPr>
            <w:r w:rsidRPr="00091230">
              <w:rPr>
                <w:rFonts w:eastAsia="Arial"/>
              </w:rPr>
              <w:t>–</w:t>
            </w:r>
          </w:p>
        </w:tc>
        <w:tc>
          <w:tcPr>
            <w:tcW w:w="1835" w:type="dxa"/>
            <w:shd w:val="clear" w:color="auto" w:fill="auto"/>
          </w:tcPr>
          <w:p w:rsidR="00C93DB4" w:rsidRPr="00091230" w:rsidRDefault="00C93DB4" w:rsidP="0026794C">
            <w:pPr>
              <w:jc w:val="center"/>
              <w:rPr>
                <w:rFonts w:eastAsia="Arial"/>
              </w:rPr>
            </w:pPr>
            <w:r w:rsidRPr="00091230">
              <w:rPr>
                <w:rFonts w:eastAsia="Arial"/>
              </w:rPr>
              <w:t>1,0</w:t>
            </w:r>
          </w:p>
        </w:tc>
      </w:tr>
      <w:tr w:rsidR="00C93DB4" w:rsidRPr="00091230" w:rsidTr="00810CA9">
        <w:trPr>
          <w:trHeight w:val="20"/>
        </w:trPr>
        <w:tc>
          <w:tcPr>
            <w:tcW w:w="2682" w:type="dxa"/>
            <w:vMerge/>
          </w:tcPr>
          <w:p w:rsidR="00C93DB4" w:rsidRPr="00091230" w:rsidRDefault="00C93DB4" w:rsidP="0026794C">
            <w:pPr>
              <w:jc w:val="both"/>
              <w:rPr>
                <w:rFonts w:eastAsia="Arial"/>
              </w:rPr>
            </w:pPr>
          </w:p>
        </w:tc>
        <w:tc>
          <w:tcPr>
            <w:tcW w:w="2842" w:type="dxa"/>
            <w:shd w:val="clear" w:color="auto" w:fill="auto"/>
          </w:tcPr>
          <w:p w:rsidR="00C93DB4" w:rsidRPr="00091230" w:rsidRDefault="00C93DB4" w:rsidP="0026794C">
            <w:pPr>
              <w:jc w:val="both"/>
              <w:rPr>
                <w:rFonts w:eastAsia="Arial"/>
              </w:rPr>
            </w:pPr>
            <w:r w:rsidRPr="00091230">
              <w:rPr>
                <w:rFonts w:eastAsia="Arial"/>
              </w:rPr>
              <w:t>Количество штатных единиц младшего персонала</w:t>
            </w:r>
          </w:p>
        </w:tc>
        <w:tc>
          <w:tcPr>
            <w:tcW w:w="1558" w:type="dxa"/>
            <w:shd w:val="clear" w:color="auto" w:fill="auto"/>
          </w:tcPr>
          <w:p w:rsidR="00C93DB4" w:rsidRPr="00091230" w:rsidRDefault="00C93DB4" w:rsidP="0026794C">
            <w:pPr>
              <w:jc w:val="center"/>
            </w:pPr>
            <w:r w:rsidRPr="00091230">
              <w:rPr>
                <w:rFonts w:eastAsia="Arial"/>
              </w:rPr>
              <w:t>–</w:t>
            </w:r>
          </w:p>
        </w:tc>
        <w:tc>
          <w:tcPr>
            <w:tcW w:w="1278" w:type="dxa"/>
            <w:shd w:val="clear" w:color="auto" w:fill="auto"/>
          </w:tcPr>
          <w:p w:rsidR="00C93DB4" w:rsidRPr="00091230" w:rsidRDefault="00C93DB4" w:rsidP="0026794C">
            <w:pPr>
              <w:jc w:val="center"/>
            </w:pPr>
            <w:r w:rsidRPr="00091230">
              <w:rPr>
                <w:rFonts w:eastAsia="Arial"/>
              </w:rPr>
              <w:t>–</w:t>
            </w:r>
          </w:p>
        </w:tc>
        <w:tc>
          <w:tcPr>
            <w:tcW w:w="1835" w:type="dxa"/>
            <w:shd w:val="clear" w:color="auto" w:fill="auto"/>
          </w:tcPr>
          <w:p w:rsidR="00C93DB4" w:rsidRPr="00091230" w:rsidRDefault="00C93DB4" w:rsidP="0026794C">
            <w:pPr>
              <w:jc w:val="center"/>
              <w:rPr>
                <w:rFonts w:eastAsia="Arial"/>
              </w:rPr>
            </w:pPr>
            <w:r w:rsidRPr="00091230">
              <w:rPr>
                <w:rFonts w:eastAsia="Arial"/>
              </w:rPr>
              <w:t>0,0</w:t>
            </w:r>
          </w:p>
        </w:tc>
      </w:tr>
      <w:tr w:rsidR="00F42223" w:rsidRPr="00091230" w:rsidTr="00810CA9">
        <w:trPr>
          <w:trHeight w:val="20"/>
        </w:trPr>
        <w:tc>
          <w:tcPr>
            <w:tcW w:w="2682" w:type="dxa"/>
            <w:vMerge w:val="restart"/>
          </w:tcPr>
          <w:p w:rsidR="00F42223" w:rsidRPr="00091230" w:rsidRDefault="00F42223" w:rsidP="0026794C">
            <w:pPr>
              <w:jc w:val="both"/>
              <w:rPr>
                <w:rFonts w:eastAsia="Arial"/>
              </w:rPr>
            </w:pPr>
            <w:r w:rsidRPr="00091230">
              <w:rPr>
                <w:rFonts w:eastAsia="Arial"/>
              </w:rPr>
              <w:t xml:space="preserve">ГАУЗ </w:t>
            </w:r>
            <w:r w:rsidR="002F7358">
              <w:rPr>
                <w:rFonts w:eastAsia="Arial"/>
              </w:rPr>
              <w:t>«</w:t>
            </w:r>
            <w:r w:rsidRPr="00091230">
              <w:rPr>
                <w:rFonts w:eastAsia="Arial"/>
              </w:rPr>
              <w:t>Алексеевская ЦРБ</w:t>
            </w:r>
            <w:r w:rsidR="002F7358">
              <w:rPr>
                <w:rFonts w:eastAsia="Arial"/>
              </w:rPr>
              <w:t>»</w:t>
            </w:r>
          </w:p>
        </w:tc>
        <w:tc>
          <w:tcPr>
            <w:tcW w:w="2842" w:type="dxa"/>
            <w:shd w:val="clear" w:color="auto" w:fill="auto"/>
          </w:tcPr>
          <w:p w:rsidR="00F42223" w:rsidRPr="00091230" w:rsidRDefault="00F42223" w:rsidP="00C55D07">
            <w:pPr>
              <w:jc w:val="both"/>
              <w:rPr>
                <w:rFonts w:eastAsia="Arial"/>
              </w:rPr>
            </w:pPr>
            <w:r w:rsidRPr="00091230">
              <w:rPr>
                <w:rFonts w:eastAsia="Arial"/>
              </w:rPr>
              <w:t>Мощность (ко</w:t>
            </w:r>
            <w:r w:rsidR="00C55D07">
              <w:rPr>
                <w:rFonts w:eastAsia="Arial"/>
              </w:rPr>
              <w:t>ек</w:t>
            </w:r>
            <w:r w:rsidRPr="00091230">
              <w:rPr>
                <w:rFonts w:eastAsia="Arial"/>
              </w:rPr>
              <w:t>, посещений в смену)</w:t>
            </w:r>
          </w:p>
        </w:tc>
        <w:tc>
          <w:tcPr>
            <w:tcW w:w="1558" w:type="dxa"/>
            <w:shd w:val="clear" w:color="auto" w:fill="auto"/>
          </w:tcPr>
          <w:p w:rsidR="00F42223" w:rsidRPr="00091230" w:rsidRDefault="00F42223" w:rsidP="0026794C">
            <w:pPr>
              <w:jc w:val="center"/>
            </w:pPr>
            <w:r w:rsidRPr="00091230">
              <w:rPr>
                <w:rFonts w:eastAsia="Arial"/>
              </w:rPr>
              <w:t>–</w:t>
            </w:r>
          </w:p>
        </w:tc>
        <w:tc>
          <w:tcPr>
            <w:tcW w:w="1278" w:type="dxa"/>
            <w:shd w:val="clear" w:color="auto" w:fill="auto"/>
          </w:tcPr>
          <w:p w:rsidR="00F42223" w:rsidRPr="00091230" w:rsidRDefault="00F42223" w:rsidP="0026794C">
            <w:pPr>
              <w:jc w:val="center"/>
            </w:pPr>
            <w:r w:rsidRPr="00091230">
              <w:rPr>
                <w:rFonts w:eastAsia="Arial"/>
              </w:rPr>
              <w:t>–</w:t>
            </w:r>
          </w:p>
        </w:tc>
        <w:tc>
          <w:tcPr>
            <w:tcW w:w="1835" w:type="dxa"/>
            <w:shd w:val="clear" w:color="auto" w:fill="auto"/>
          </w:tcPr>
          <w:p w:rsidR="00F42223" w:rsidRPr="00091230" w:rsidRDefault="00F42223" w:rsidP="0026794C">
            <w:pPr>
              <w:jc w:val="center"/>
              <w:rPr>
                <w:rFonts w:eastAsia="Arial"/>
              </w:rPr>
            </w:pPr>
            <w:r w:rsidRPr="00091230">
              <w:rPr>
                <w:rFonts w:eastAsia="Arial"/>
              </w:rPr>
              <w:t>15</w:t>
            </w:r>
          </w:p>
        </w:tc>
      </w:tr>
      <w:tr w:rsidR="00F42223" w:rsidRPr="00091230" w:rsidTr="00810CA9">
        <w:trPr>
          <w:trHeight w:val="20"/>
        </w:trPr>
        <w:tc>
          <w:tcPr>
            <w:tcW w:w="2682" w:type="dxa"/>
            <w:vMerge/>
          </w:tcPr>
          <w:p w:rsidR="00F42223" w:rsidRPr="00091230" w:rsidRDefault="00F42223" w:rsidP="0026794C">
            <w:pPr>
              <w:jc w:val="both"/>
              <w:rPr>
                <w:rFonts w:eastAsia="Arial"/>
              </w:rPr>
            </w:pPr>
          </w:p>
        </w:tc>
        <w:tc>
          <w:tcPr>
            <w:tcW w:w="2842" w:type="dxa"/>
            <w:shd w:val="clear" w:color="auto" w:fill="auto"/>
          </w:tcPr>
          <w:p w:rsidR="00F42223" w:rsidRPr="00091230" w:rsidRDefault="00F42223" w:rsidP="0026794C">
            <w:pPr>
              <w:jc w:val="both"/>
              <w:rPr>
                <w:rFonts w:eastAsia="Arial"/>
              </w:rPr>
            </w:pPr>
            <w:r w:rsidRPr="00091230">
              <w:rPr>
                <w:rFonts w:eastAsia="Arial"/>
              </w:rPr>
              <w:t>Количество штатных единиц врачей</w:t>
            </w:r>
          </w:p>
        </w:tc>
        <w:tc>
          <w:tcPr>
            <w:tcW w:w="1558" w:type="dxa"/>
            <w:shd w:val="clear" w:color="auto" w:fill="auto"/>
          </w:tcPr>
          <w:p w:rsidR="00F42223" w:rsidRPr="00091230" w:rsidRDefault="00F42223" w:rsidP="0026794C">
            <w:pPr>
              <w:jc w:val="center"/>
            </w:pPr>
            <w:r w:rsidRPr="00091230">
              <w:rPr>
                <w:rFonts w:eastAsia="Arial"/>
              </w:rPr>
              <w:t>–</w:t>
            </w:r>
          </w:p>
        </w:tc>
        <w:tc>
          <w:tcPr>
            <w:tcW w:w="1278" w:type="dxa"/>
            <w:shd w:val="clear" w:color="auto" w:fill="auto"/>
          </w:tcPr>
          <w:p w:rsidR="00F42223" w:rsidRPr="00091230" w:rsidRDefault="00F42223" w:rsidP="0026794C">
            <w:pPr>
              <w:jc w:val="center"/>
            </w:pPr>
            <w:r w:rsidRPr="00091230">
              <w:rPr>
                <w:rFonts w:eastAsia="Arial"/>
              </w:rPr>
              <w:t>–</w:t>
            </w:r>
          </w:p>
        </w:tc>
        <w:tc>
          <w:tcPr>
            <w:tcW w:w="1835" w:type="dxa"/>
            <w:shd w:val="clear" w:color="auto" w:fill="auto"/>
          </w:tcPr>
          <w:p w:rsidR="00F42223" w:rsidRPr="00091230" w:rsidRDefault="00F42223" w:rsidP="0026794C">
            <w:pPr>
              <w:jc w:val="center"/>
              <w:rPr>
                <w:rFonts w:eastAsia="Arial"/>
              </w:rPr>
            </w:pPr>
            <w:r w:rsidRPr="00091230">
              <w:rPr>
                <w:rFonts w:eastAsia="Arial"/>
              </w:rPr>
              <w:t>0,5</w:t>
            </w:r>
          </w:p>
        </w:tc>
      </w:tr>
      <w:tr w:rsidR="00F42223" w:rsidRPr="00091230" w:rsidTr="00810CA9">
        <w:trPr>
          <w:trHeight w:val="20"/>
        </w:trPr>
        <w:tc>
          <w:tcPr>
            <w:tcW w:w="2682" w:type="dxa"/>
            <w:vMerge/>
          </w:tcPr>
          <w:p w:rsidR="00F42223" w:rsidRPr="00091230" w:rsidRDefault="00F42223" w:rsidP="0026794C">
            <w:pPr>
              <w:jc w:val="both"/>
              <w:rPr>
                <w:rFonts w:eastAsia="Arial"/>
              </w:rPr>
            </w:pPr>
          </w:p>
        </w:tc>
        <w:tc>
          <w:tcPr>
            <w:tcW w:w="2842" w:type="dxa"/>
            <w:shd w:val="clear" w:color="auto" w:fill="auto"/>
          </w:tcPr>
          <w:p w:rsidR="00F42223" w:rsidRPr="00091230" w:rsidRDefault="00F42223" w:rsidP="0026794C">
            <w:pPr>
              <w:jc w:val="both"/>
              <w:rPr>
                <w:rFonts w:eastAsia="Arial"/>
              </w:rPr>
            </w:pPr>
            <w:r w:rsidRPr="00091230">
              <w:rPr>
                <w:rFonts w:eastAsia="Arial"/>
              </w:rPr>
              <w:t>Количество штатных единиц среднего персонала</w:t>
            </w:r>
          </w:p>
        </w:tc>
        <w:tc>
          <w:tcPr>
            <w:tcW w:w="1558" w:type="dxa"/>
            <w:shd w:val="clear" w:color="auto" w:fill="auto"/>
          </w:tcPr>
          <w:p w:rsidR="00F42223" w:rsidRPr="00091230" w:rsidRDefault="00F42223" w:rsidP="0026794C">
            <w:pPr>
              <w:jc w:val="center"/>
            </w:pPr>
            <w:r w:rsidRPr="00091230">
              <w:rPr>
                <w:rFonts w:eastAsia="Arial"/>
              </w:rPr>
              <w:t>–</w:t>
            </w:r>
          </w:p>
        </w:tc>
        <w:tc>
          <w:tcPr>
            <w:tcW w:w="1278" w:type="dxa"/>
            <w:shd w:val="clear" w:color="auto" w:fill="auto"/>
          </w:tcPr>
          <w:p w:rsidR="00F42223" w:rsidRPr="00091230" w:rsidRDefault="00F42223" w:rsidP="0026794C">
            <w:pPr>
              <w:jc w:val="center"/>
            </w:pPr>
            <w:r w:rsidRPr="00091230">
              <w:rPr>
                <w:rFonts w:eastAsia="Arial"/>
              </w:rPr>
              <w:t>–</w:t>
            </w:r>
          </w:p>
        </w:tc>
        <w:tc>
          <w:tcPr>
            <w:tcW w:w="1835" w:type="dxa"/>
            <w:shd w:val="clear" w:color="auto" w:fill="auto"/>
          </w:tcPr>
          <w:p w:rsidR="00F42223" w:rsidRPr="00091230" w:rsidRDefault="00F42223" w:rsidP="0026794C">
            <w:pPr>
              <w:jc w:val="center"/>
              <w:rPr>
                <w:rFonts w:eastAsia="Arial"/>
              </w:rPr>
            </w:pPr>
            <w:r w:rsidRPr="00091230">
              <w:rPr>
                <w:rFonts w:eastAsia="Arial"/>
              </w:rPr>
              <w:t>1,0</w:t>
            </w:r>
          </w:p>
        </w:tc>
      </w:tr>
      <w:tr w:rsidR="00F42223" w:rsidRPr="00091230" w:rsidTr="00810CA9">
        <w:trPr>
          <w:trHeight w:val="20"/>
        </w:trPr>
        <w:tc>
          <w:tcPr>
            <w:tcW w:w="2682" w:type="dxa"/>
            <w:vMerge/>
          </w:tcPr>
          <w:p w:rsidR="00F42223" w:rsidRPr="00091230" w:rsidRDefault="00F42223" w:rsidP="0026794C">
            <w:pPr>
              <w:jc w:val="both"/>
              <w:rPr>
                <w:rFonts w:eastAsia="Arial"/>
              </w:rPr>
            </w:pPr>
          </w:p>
        </w:tc>
        <w:tc>
          <w:tcPr>
            <w:tcW w:w="2842" w:type="dxa"/>
            <w:shd w:val="clear" w:color="auto" w:fill="auto"/>
          </w:tcPr>
          <w:p w:rsidR="00F42223" w:rsidRPr="00091230" w:rsidRDefault="00F42223" w:rsidP="0026794C">
            <w:pPr>
              <w:jc w:val="both"/>
              <w:rPr>
                <w:rFonts w:eastAsia="Arial"/>
              </w:rPr>
            </w:pPr>
            <w:r w:rsidRPr="00091230">
              <w:rPr>
                <w:rFonts w:eastAsia="Arial"/>
              </w:rPr>
              <w:t>Количество штатных единиц младшего персонала</w:t>
            </w:r>
          </w:p>
        </w:tc>
        <w:tc>
          <w:tcPr>
            <w:tcW w:w="1558" w:type="dxa"/>
            <w:shd w:val="clear" w:color="auto" w:fill="auto"/>
          </w:tcPr>
          <w:p w:rsidR="00F42223" w:rsidRPr="00091230" w:rsidRDefault="00F42223" w:rsidP="0026794C">
            <w:pPr>
              <w:jc w:val="center"/>
            </w:pPr>
            <w:r w:rsidRPr="00091230">
              <w:rPr>
                <w:rFonts w:eastAsia="Arial"/>
              </w:rPr>
              <w:t>–</w:t>
            </w:r>
          </w:p>
        </w:tc>
        <w:tc>
          <w:tcPr>
            <w:tcW w:w="1278" w:type="dxa"/>
            <w:shd w:val="clear" w:color="auto" w:fill="auto"/>
          </w:tcPr>
          <w:p w:rsidR="00F42223" w:rsidRPr="00091230" w:rsidRDefault="00F42223" w:rsidP="0026794C">
            <w:pPr>
              <w:jc w:val="center"/>
            </w:pPr>
            <w:r w:rsidRPr="00091230">
              <w:rPr>
                <w:rFonts w:eastAsia="Arial"/>
              </w:rPr>
              <w:t>–</w:t>
            </w:r>
          </w:p>
        </w:tc>
        <w:tc>
          <w:tcPr>
            <w:tcW w:w="1835" w:type="dxa"/>
            <w:shd w:val="clear" w:color="auto" w:fill="auto"/>
          </w:tcPr>
          <w:p w:rsidR="00F42223" w:rsidRPr="00091230" w:rsidRDefault="00F42223" w:rsidP="0026794C">
            <w:pPr>
              <w:jc w:val="center"/>
              <w:rPr>
                <w:rFonts w:eastAsia="Arial"/>
              </w:rPr>
            </w:pPr>
            <w:r w:rsidRPr="00091230">
              <w:rPr>
                <w:rFonts w:eastAsia="Arial"/>
              </w:rPr>
              <w:t>0,0</w:t>
            </w:r>
          </w:p>
        </w:tc>
      </w:tr>
      <w:tr w:rsidR="00F42223" w:rsidRPr="00091230" w:rsidTr="00810CA9">
        <w:trPr>
          <w:trHeight w:val="20"/>
        </w:trPr>
        <w:tc>
          <w:tcPr>
            <w:tcW w:w="2682" w:type="dxa"/>
            <w:vMerge w:val="restart"/>
          </w:tcPr>
          <w:p w:rsidR="00F42223" w:rsidRPr="00091230" w:rsidRDefault="00F42223" w:rsidP="0026794C">
            <w:pPr>
              <w:jc w:val="both"/>
              <w:rPr>
                <w:rFonts w:eastAsia="Arial"/>
              </w:rPr>
            </w:pPr>
            <w:r w:rsidRPr="00091230">
              <w:rPr>
                <w:rFonts w:eastAsia="Arial"/>
              </w:rPr>
              <w:t xml:space="preserve">ГАУЗ </w:t>
            </w:r>
            <w:r w:rsidR="002F7358">
              <w:rPr>
                <w:rFonts w:eastAsia="Arial"/>
              </w:rPr>
              <w:t>«</w:t>
            </w:r>
            <w:r w:rsidRPr="00091230">
              <w:rPr>
                <w:rFonts w:eastAsia="Arial"/>
              </w:rPr>
              <w:t>Альметьевская ЦРБ</w:t>
            </w:r>
            <w:r w:rsidR="002F7358">
              <w:rPr>
                <w:rFonts w:eastAsia="Arial"/>
              </w:rPr>
              <w:t>»</w:t>
            </w:r>
          </w:p>
        </w:tc>
        <w:tc>
          <w:tcPr>
            <w:tcW w:w="2842" w:type="dxa"/>
            <w:shd w:val="clear" w:color="auto" w:fill="auto"/>
          </w:tcPr>
          <w:p w:rsidR="00F42223" w:rsidRPr="00091230" w:rsidRDefault="00C55D07" w:rsidP="00C55D07">
            <w:pPr>
              <w:jc w:val="both"/>
              <w:rPr>
                <w:rFonts w:eastAsia="Arial"/>
              </w:rPr>
            </w:pPr>
            <w:r>
              <w:rPr>
                <w:rFonts w:eastAsia="Arial"/>
              </w:rPr>
              <w:t>Мощность (коек</w:t>
            </w:r>
            <w:r w:rsidR="00F42223" w:rsidRPr="00091230">
              <w:rPr>
                <w:rFonts w:eastAsia="Arial"/>
              </w:rPr>
              <w:t>, посещений в смену)</w:t>
            </w:r>
          </w:p>
        </w:tc>
        <w:tc>
          <w:tcPr>
            <w:tcW w:w="1558" w:type="dxa"/>
            <w:shd w:val="clear" w:color="auto" w:fill="auto"/>
          </w:tcPr>
          <w:p w:rsidR="00F42223" w:rsidRPr="00091230" w:rsidRDefault="00F42223" w:rsidP="0026794C">
            <w:pPr>
              <w:jc w:val="center"/>
            </w:pPr>
            <w:r w:rsidRPr="00091230">
              <w:rPr>
                <w:rFonts w:eastAsia="Arial"/>
              </w:rPr>
              <w:t>–</w:t>
            </w:r>
          </w:p>
        </w:tc>
        <w:tc>
          <w:tcPr>
            <w:tcW w:w="1278" w:type="dxa"/>
            <w:shd w:val="clear" w:color="auto" w:fill="auto"/>
          </w:tcPr>
          <w:p w:rsidR="00F42223" w:rsidRPr="00091230" w:rsidRDefault="00F42223" w:rsidP="0026794C">
            <w:pPr>
              <w:jc w:val="center"/>
            </w:pPr>
            <w:r w:rsidRPr="00091230">
              <w:rPr>
                <w:rFonts w:eastAsia="Arial"/>
              </w:rPr>
              <w:t>–</w:t>
            </w:r>
          </w:p>
        </w:tc>
        <w:tc>
          <w:tcPr>
            <w:tcW w:w="1835" w:type="dxa"/>
            <w:shd w:val="clear" w:color="auto" w:fill="auto"/>
          </w:tcPr>
          <w:p w:rsidR="00F42223" w:rsidRPr="00091230" w:rsidRDefault="00F42223" w:rsidP="0026794C">
            <w:pPr>
              <w:jc w:val="center"/>
              <w:rPr>
                <w:rFonts w:eastAsia="Arial"/>
              </w:rPr>
            </w:pPr>
            <w:r w:rsidRPr="00091230">
              <w:rPr>
                <w:rFonts w:eastAsia="Arial"/>
              </w:rPr>
              <w:t>15</w:t>
            </w:r>
          </w:p>
        </w:tc>
      </w:tr>
      <w:tr w:rsidR="00F42223" w:rsidRPr="00091230" w:rsidTr="00810CA9">
        <w:trPr>
          <w:trHeight w:val="20"/>
        </w:trPr>
        <w:tc>
          <w:tcPr>
            <w:tcW w:w="2682" w:type="dxa"/>
            <w:vMerge/>
          </w:tcPr>
          <w:p w:rsidR="00F42223" w:rsidRPr="00091230" w:rsidRDefault="00F42223" w:rsidP="0026794C">
            <w:pPr>
              <w:jc w:val="both"/>
              <w:rPr>
                <w:rFonts w:eastAsia="Arial"/>
              </w:rPr>
            </w:pPr>
          </w:p>
        </w:tc>
        <w:tc>
          <w:tcPr>
            <w:tcW w:w="2842" w:type="dxa"/>
            <w:shd w:val="clear" w:color="auto" w:fill="auto"/>
          </w:tcPr>
          <w:p w:rsidR="00F42223" w:rsidRPr="00091230" w:rsidRDefault="00F42223" w:rsidP="0026794C">
            <w:pPr>
              <w:jc w:val="both"/>
              <w:rPr>
                <w:rFonts w:eastAsia="Arial"/>
              </w:rPr>
            </w:pPr>
            <w:r w:rsidRPr="00091230">
              <w:rPr>
                <w:rFonts w:eastAsia="Arial"/>
              </w:rPr>
              <w:t>Количество штатных единиц врачей</w:t>
            </w:r>
          </w:p>
        </w:tc>
        <w:tc>
          <w:tcPr>
            <w:tcW w:w="1558" w:type="dxa"/>
            <w:shd w:val="clear" w:color="auto" w:fill="auto"/>
          </w:tcPr>
          <w:p w:rsidR="00F42223" w:rsidRPr="00091230" w:rsidRDefault="00F42223" w:rsidP="0026794C">
            <w:pPr>
              <w:jc w:val="center"/>
            </w:pPr>
            <w:r w:rsidRPr="00091230">
              <w:rPr>
                <w:rFonts w:eastAsia="Arial"/>
              </w:rPr>
              <w:t>–</w:t>
            </w:r>
          </w:p>
        </w:tc>
        <w:tc>
          <w:tcPr>
            <w:tcW w:w="1278" w:type="dxa"/>
            <w:shd w:val="clear" w:color="auto" w:fill="auto"/>
          </w:tcPr>
          <w:p w:rsidR="00F42223" w:rsidRPr="00091230" w:rsidRDefault="00F42223" w:rsidP="0026794C">
            <w:pPr>
              <w:jc w:val="center"/>
            </w:pPr>
            <w:r w:rsidRPr="00091230">
              <w:rPr>
                <w:rFonts w:eastAsia="Arial"/>
              </w:rPr>
              <w:t>–</w:t>
            </w:r>
          </w:p>
        </w:tc>
        <w:tc>
          <w:tcPr>
            <w:tcW w:w="1835" w:type="dxa"/>
            <w:shd w:val="clear" w:color="auto" w:fill="auto"/>
          </w:tcPr>
          <w:p w:rsidR="00F42223" w:rsidRPr="00091230" w:rsidRDefault="00F42223" w:rsidP="0026794C">
            <w:pPr>
              <w:jc w:val="center"/>
              <w:rPr>
                <w:rFonts w:eastAsia="Arial"/>
              </w:rPr>
            </w:pPr>
            <w:r w:rsidRPr="00091230">
              <w:rPr>
                <w:rFonts w:eastAsia="Arial"/>
              </w:rPr>
              <w:t>0,5</w:t>
            </w:r>
          </w:p>
        </w:tc>
      </w:tr>
      <w:tr w:rsidR="00F42223" w:rsidRPr="00091230" w:rsidTr="00810CA9">
        <w:trPr>
          <w:trHeight w:val="20"/>
        </w:trPr>
        <w:tc>
          <w:tcPr>
            <w:tcW w:w="2682" w:type="dxa"/>
            <w:vMerge/>
          </w:tcPr>
          <w:p w:rsidR="00F42223" w:rsidRPr="00091230" w:rsidRDefault="00F42223" w:rsidP="0026794C">
            <w:pPr>
              <w:jc w:val="both"/>
              <w:rPr>
                <w:rFonts w:eastAsia="Arial"/>
              </w:rPr>
            </w:pPr>
          </w:p>
        </w:tc>
        <w:tc>
          <w:tcPr>
            <w:tcW w:w="2842" w:type="dxa"/>
            <w:shd w:val="clear" w:color="auto" w:fill="auto"/>
          </w:tcPr>
          <w:p w:rsidR="00F42223" w:rsidRPr="00091230" w:rsidRDefault="00F42223" w:rsidP="0026794C">
            <w:pPr>
              <w:jc w:val="both"/>
              <w:rPr>
                <w:rFonts w:eastAsia="Arial"/>
              </w:rPr>
            </w:pPr>
            <w:r w:rsidRPr="00091230">
              <w:rPr>
                <w:rFonts w:eastAsia="Arial"/>
              </w:rPr>
              <w:t>Количество штатных единиц среднего персонала</w:t>
            </w:r>
          </w:p>
        </w:tc>
        <w:tc>
          <w:tcPr>
            <w:tcW w:w="1558" w:type="dxa"/>
            <w:shd w:val="clear" w:color="auto" w:fill="auto"/>
          </w:tcPr>
          <w:p w:rsidR="00F42223" w:rsidRPr="00091230" w:rsidRDefault="00F42223" w:rsidP="0026794C">
            <w:pPr>
              <w:jc w:val="center"/>
            </w:pPr>
            <w:r w:rsidRPr="00091230">
              <w:rPr>
                <w:rFonts w:eastAsia="Arial"/>
              </w:rPr>
              <w:t>–</w:t>
            </w:r>
          </w:p>
        </w:tc>
        <w:tc>
          <w:tcPr>
            <w:tcW w:w="1278" w:type="dxa"/>
            <w:shd w:val="clear" w:color="auto" w:fill="auto"/>
          </w:tcPr>
          <w:p w:rsidR="00F42223" w:rsidRPr="00091230" w:rsidRDefault="00F42223" w:rsidP="0026794C">
            <w:pPr>
              <w:jc w:val="center"/>
            </w:pPr>
            <w:r w:rsidRPr="00091230">
              <w:rPr>
                <w:rFonts w:eastAsia="Arial"/>
              </w:rPr>
              <w:t>–</w:t>
            </w:r>
          </w:p>
        </w:tc>
        <w:tc>
          <w:tcPr>
            <w:tcW w:w="1835" w:type="dxa"/>
            <w:shd w:val="clear" w:color="auto" w:fill="auto"/>
          </w:tcPr>
          <w:p w:rsidR="00F42223" w:rsidRPr="00091230" w:rsidRDefault="00F42223" w:rsidP="0026794C">
            <w:pPr>
              <w:jc w:val="center"/>
              <w:rPr>
                <w:rFonts w:eastAsia="Arial"/>
              </w:rPr>
            </w:pPr>
            <w:r w:rsidRPr="00091230">
              <w:rPr>
                <w:rFonts w:eastAsia="Arial"/>
              </w:rPr>
              <w:t>1,0</w:t>
            </w:r>
          </w:p>
        </w:tc>
      </w:tr>
      <w:tr w:rsidR="00F42223" w:rsidRPr="00091230" w:rsidTr="00810CA9">
        <w:trPr>
          <w:trHeight w:val="20"/>
        </w:trPr>
        <w:tc>
          <w:tcPr>
            <w:tcW w:w="2682" w:type="dxa"/>
            <w:vMerge/>
          </w:tcPr>
          <w:p w:rsidR="00F42223" w:rsidRPr="00091230" w:rsidRDefault="00F42223" w:rsidP="0026794C">
            <w:pPr>
              <w:jc w:val="both"/>
              <w:rPr>
                <w:rFonts w:eastAsia="Arial"/>
              </w:rPr>
            </w:pPr>
          </w:p>
        </w:tc>
        <w:tc>
          <w:tcPr>
            <w:tcW w:w="2842" w:type="dxa"/>
            <w:shd w:val="clear" w:color="auto" w:fill="auto"/>
          </w:tcPr>
          <w:p w:rsidR="00F42223" w:rsidRPr="00091230" w:rsidRDefault="00F42223" w:rsidP="0026794C">
            <w:pPr>
              <w:jc w:val="both"/>
              <w:rPr>
                <w:rFonts w:eastAsia="Arial"/>
              </w:rPr>
            </w:pPr>
            <w:r w:rsidRPr="00091230">
              <w:rPr>
                <w:rFonts w:eastAsia="Arial"/>
              </w:rPr>
              <w:t>Количество штатных единиц младшего персонала</w:t>
            </w:r>
          </w:p>
        </w:tc>
        <w:tc>
          <w:tcPr>
            <w:tcW w:w="1558" w:type="dxa"/>
            <w:shd w:val="clear" w:color="auto" w:fill="auto"/>
          </w:tcPr>
          <w:p w:rsidR="00F42223" w:rsidRPr="00091230" w:rsidRDefault="00F42223" w:rsidP="0026794C">
            <w:pPr>
              <w:jc w:val="center"/>
            </w:pPr>
            <w:r w:rsidRPr="00091230">
              <w:rPr>
                <w:rFonts w:eastAsia="Arial"/>
              </w:rPr>
              <w:t>–</w:t>
            </w:r>
          </w:p>
        </w:tc>
        <w:tc>
          <w:tcPr>
            <w:tcW w:w="1278" w:type="dxa"/>
            <w:shd w:val="clear" w:color="auto" w:fill="auto"/>
          </w:tcPr>
          <w:p w:rsidR="00F42223" w:rsidRPr="00091230" w:rsidRDefault="00F42223" w:rsidP="0026794C">
            <w:pPr>
              <w:jc w:val="center"/>
            </w:pPr>
            <w:r w:rsidRPr="00091230">
              <w:rPr>
                <w:rFonts w:eastAsia="Arial"/>
              </w:rPr>
              <w:t>–</w:t>
            </w:r>
          </w:p>
        </w:tc>
        <w:tc>
          <w:tcPr>
            <w:tcW w:w="1835" w:type="dxa"/>
            <w:shd w:val="clear" w:color="auto" w:fill="auto"/>
          </w:tcPr>
          <w:p w:rsidR="00F42223" w:rsidRPr="00091230" w:rsidRDefault="00F42223" w:rsidP="0026794C">
            <w:pPr>
              <w:jc w:val="center"/>
              <w:rPr>
                <w:rFonts w:eastAsia="Arial"/>
              </w:rPr>
            </w:pPr>
            <w:r w:rsidRPr="00091230">
              <w:rPr>
                <w:rFonts w:eastAsia="Arial"/>
              </w:rPr>
              <w:t>0,0</w:t>
            </w:r>
          </w:p>
        </w:tc>
      </w:tr>
      <w:tr w:rsidR="00F42223" w:rsidRPr="00091230" w:rsidTr="00810CA9">
        <w:trPr>
          <w:trHeight w:val="20"/>
        </w:trPr>
        <w:tc>
          <w:tcPr>
            <w:tcW w:w="2682" w:type="dxa"/>
            <w:vMerge w:val="restart"/>
          </w:tcPr>
          <w:p w:rsidR="00F42223" w:rsidRPr="00091230" w:rsidRDefault="00F42223" w:rsidP="0026794C">
            <w:pPr>
              <w:jc w:val="both"/>
              <w:rPr>
                <w:rFonts w:eastAsia="Arial"/>
              </w:rPr>
            </w:pPr>
            <w:r w:rsidRPr="00091230">
              <w:rPr>
                <w:rFonts w:eastAsia="Arial"/>
              </w:rPr>
              <w:t xml:space="preserve">ГАУЗ </w:t>
            </w:r>
            <w:r w:rsidR="002F7358">
              <w:rPr>
                <w:rFonts w:eastAsia="Arial"/>
              </w:rPr>
              <w:t>«</w:t>
            </w:r>
            <w:r w:rsidRPr="00091230">
              <w:rPr>
                <w:rFonts w:eastAsia="Arial"/>
              </w:rPr>
              <w:t>Балтасинская ЦРБ</w:t>
            </w:r>
            <w:r w:rsidR="002F7358">
              <w:rPr>
                <w:rFonts w:eastAsia="Arial"/>
              </w:rPr>
              <w:t>»</w:t>
            </w:r>
          </w:p>
        </w:tc>
        <w:tc>
          <w:tcPr>
            <w:tcW w:w="2842" w:type="dxa"/>
            <w:shd w:val="clear" w:color="auto" w:fill="auto"/>
          </w:tcPr>
          <w:p w:rsidR="00F42223" w:rsidRPr="00091230" w:rsidRDefault="00F42223" w:rsidP="00C55D07">
            <w:pPr>
              <w:jc w:val="both"/>
              <w:rPr>
                <w:rFonts w:eastAsia="Arial"/>
              </w:rPr>
            </w:pPr>
            <w:r w:rsidRPr="00091230">
              <w:rPr>
                <w:rFonts w:eastAsia="Arial"/>
              </w:rPr>
              <w:t>Мощность (ко</w:t>
            </w:r>
            <w:r w:rsidR="00C55D07">
              <w:rPr>
                <w:rFonts w:eastAsia="Arial"/>
              </w:rPr>
              <w:t>е</w:t>
            </w:r>
            <w:r w:rsidRPr="00091230">
              <w:rPr>
                <w:rFonts w:eastAsia="Arial"/>
              </w:rPr>
              <w:t>к, посещений в смену)</w:t>
            </w:r>
          </w:p>
        </w:tc>
        <w:tc>
          <w:tcPr>
            <w:tcW w:w="1558" w:type="dxa"/>
            <w:shd w:val="clear" w:color="auto" w:fill="auto"/>
          </w:tcPr>
          <w:p w:rsidR="00F42223" w:rsidRPr="00091230" w:rsidRDefault="00F42223" w:rsidP="0026794C">
            <w:pPr>
              <w:jc w:val="center"/>
            </w:pPr>
            <w:r w:rsidRPr="00091230">
              <w:rPr>
                <w:rFonts w:eastAsia="Arial"/>
              </w:rPr>
              <w:t>–</w:t>
            </w:r>
          </w:p>
        </w:tc>
        <w:tc>
          <w:tcPr>
            <w:tcW w:w="1278" w:type="dxa"/>
            <w:shd w:val="clear" w:color="auto" w:fill="auto"/>
          </w:tcPr>
          <w:p w:rsidR="00F42223" w:rsidRPr="00091230" w:rsidRDefault="00F42223" w:rsidP="0026794C">
            <w:pPr>
              <w:jc w:val="center"/>
            </w:pPr>
            <w:r w:rsidRPr="00091230">
              <w:rPr>
                <w:rFonts w:eastAsia="Arial"/>
              </w:rPr>
              <w:t>–</w:t>
            </w:r>
          </w:p>
        </w:tc>
        <w:tc>
          <w:tcPr>
            <w:tcW w:w="1835" w:type="dxa"/>
            <w:shd w:val="clear" w:color="auto" w:fill="auto"/>
          </w:tcPr>
          <w:p w:rsidR="00F42223" w:rsidRPr="00091230" w:rsidRDefault="00F42223" w:rsidP="0026794C">
            <w:pPr>
              <w:jc w:val="center"/>
              <w:rPr>
                <w:rFonts w:eastAsia="Arial"/>
              </w:rPr>
            </w:pPr>
            <w:r w:rsidRPr="00091230">
              <w:rPr>
                <w:rFonts w:eastAsia="Arial"/>
              </w:rPr>
              <w:t>15</w:t>
            </w:r>
          </w:p>
        </w:tc>
      </w:tr>
      <w:tr w:rsidR="00F42223" w:rsidRPr="00091230" w:rsidTr="00810CA9">
        <w:trPr>
          <w:trHeight w:val="20"/>
        </w:trPr>
        <w:tc>
          <w:tcPr>
            <w:tcW w:w="2682" w:type="dxa"/>
            <w:vMerge/>
          </w:tcPr>
          <w:p w:rsidR="00F42223" w:rsidRPr="00091230" w:rsidRDefault="00F42223" w:rsidP="0026794C">
            <w:pPr>
              <w:jc w:val="both"/>
              <w:rPr>
                <w:rFonts w:eastAsia="Arial"/>
              </w:rPr>
            </w:pPr>
          </w:p>
        </w:tc>
        <w:tc>
          <w:tcPr>
            <w:tcW w:w="2842" w:type="dxa"/>
            <w:shd w:val="clear" w:color="auto" w:fill="auto"/>
          </w:tcPr>
          <w:p w:rsidR="00F42223" w:rsidRPr="00091230" w:rsidRDefault="00F42223" w:rsidP="0026794C">
            <w:pPr>
              <w:jc w:val="both"/>
              <w:rPr>
                <w:rFonts w:eastAsia="Arial"/>
              </w:rPr>
            </w:pPr>
            <w:r w:rsidRPr="00091230">
              <w:rPr>
                <w:rFonts w:eastAsia="Arial"/>
              </w:rPr>
              <w:t>Количество штатных единиц врачей</w:t>
            </w:r>
          </w:p>
        </w:tc>
        <w:tc>
          <w:tcPr>
            <w:tcW w:w="1558" w:type="dxa"/>
            <w:shd w:val="clear" w:color="auto" w:fill="auto"/>
          </w:tcPr>
          <w:p w:rsidR="00F42223" w:rsidRPr="00091230" w:rsidRDefault="00F42223" w:rsidP="0026794C">
            <w:pPr>
              <w:jc w:val="center"/>
            </w:pPr>
            <w:r w:rsidRPr="00091230">
              <w:rPr>
                <w:rFonts w:eastAsia="Arial"/>
              </w:rPr>
              <w:t>–</w:t>
            </w:r>
          </w:p>
        </w:tc>
        <w:tc>
          <w:tcPr>
            <w:tcW w:w="1278" w:type="dxa"/>
            <w:shd w:val="clear" w:color="auto" w:fill="auto"/>
          </w:tcPr>
          <w:p w:rsidR="00F42223" w:rsidRPr="00091230" w:rsidRDefault="00F42223" w:rsidP="0026794C">
            <w:pPr>
              <w:jc w:val="center"/>
            </w:pPr>
            <w:r w:rsidRPr="00091230">
              <w:rPr>
                <w:rFonts w:eastAsia="Arial"/>
              </w:rPr>
              <w:t>–</w:t>
            </w:r>
          </w:p>
        </w:tc>
        <w:tc>
          <w:tcPr>
            <w:tcW w:w="1835" w:type="dxa"/>
            <w:shd w:val="clear" w:color="auto" w:fill="auto"/>
          </w:tcPr>
          <w:p w:rsidR="00F42223" w:rsidRPr="00091230" w:rsidRDefault="00F42223" w:rsidP="0026794C">
            <w:pPr>
              <w:jc w:val="center"/>
              <w:rPr>
                <w:rFonts w:eastAsia="Arial"/>
              </w:rPr>
            </w:pPr>
            <w:r w:rsidRPr="00091230">
              <w:rPr>
                <w:rFonts w:eastAsia="Arial"/>
              </w:rPr>
              <w:t>0,5</w:t>
            </w:r>
          </w:p>
        </w:tc>
      </w:tr>
      <w:tr w:rsidR="00F42223" w:rsidRPr="00091230" w:rsidTr="00810CA9">
        <w:trPr>
          <w:trHeight w:val="20"/>
        </w:trPr>
        <w:tc>
          <w:tcPr>
            <w:tcW w:w="2682" w:type="dxa"/>
            <w:vMerge/>
          </w:tcPr>
          <w:p w:rsidR="00F42223" w:rsidRPr="00091230" w:rsidRDefault="00F42223" w:rsidP="0026794C">
            <w:pPr>
              <w:jc w:val="both"/>
              <w:rPr>
                <w:rFonts w:eastAsia="Arial"/>
              </w:rPr>
            </w:pPr>
          </w:p>
        </w:tc>
        <w:tc>
          <w:tcPr>
            <w:tcW w:w="2842" w:type="dxa"/>
            <w:shd w:val="clear" w:color="auto" w:fill="auto"/>
          </w:tcPr>
          <w:p w:rsidR="00F42223" w:rsidRPr="00091230" w:rsidRDefault="00F42223" w:rsidP="0026794C">
            <w:pPr>
              <w:jc w:val="both"/>
              <w:rPr>
                <w:rFonts w:eastAsia="Arial"/>
              </w:rPr>
            </w:pPr>
            <w:r w:rsidRPr="00091230">
              <w:rPr>
                <w:rFonts w:eastAsia="Arial"/>
              </w:rPr>
              <w:t>Количество штатных единиц среднего персонала</w:t>
            </w:r>
          </w:p>
        </w:tc>
        <w:tc>
          <w:tcPr>
            <w:tcW w:w="1558" w:type="dxa"/>
            <w:shd w:val="clear" w:color="auto" w:fill="auto"/>
          </w:tcPr>
          <w:p w:rsidR="00F42223" w:rsidRPr="00091230" w:rsidRDefault="00F42223" w:rsidP="0026794C">
            <w:pPr>
              <w:jc w:val="center"/>
            </w:pPr>
            <w:r w:rsidRPr="00091230">
              <w:rPr>
                <w:rFonts w:eastAsia="Arial"/>
              </w:rPr>
              <w:t>–</w:t>
            </w:r>
          </w:p>
        </w:tc>
        <w:tc>
          <w:tcPr>
            <w:tcW w:w="1278" w:type="dxa"/>
            <w:shd w:val="clear" w:color="auto" w:fill="auto"/>
          </w:tcPr>
          <w:p w:rsidR="00F42223" w:rsidRPr="00091230" w:rsidRDefault="00F42223" w:rsidP="0026794C">
            <w:pPr>
              <w:jc w:val="center"/>
            </w:pPr>
            <w:r w:rsidRPr="00091230">
              <w:rPr>
                <w:rFonts w:eastAsia="Arial"/>
              </w:rPr>
              <w:t>–</w:t>
            </w:r>
          </w:p>
        </w:tc>
        <w:tc>
          <w:tcPr>
            <w:tcW w:w="1835" w:type="dxa"/>
            <w:shd w:val="clear" w:color="auto" w:fill="auto"/>
          </w:tcPr>
          <w:p w:rsidR="00F42223" w:rsidRPr="00091230" w:rsidRDefault="00F42223" w:rsidP="0026794C">
            <w:pPr>
              <w:jc w:val="center"/>
              <w:rPr>
                <w:rFonts w:eastAsia="Arial"/>
              </w:rPr>
            </w:pPr>
            <w:r w:rsidRPr="00091230">
              <w:rPr>
                <w:rFonts w:eastAsia="Arial"/>
              </w:rPr>
              <w:t>1,0</w:t>
            </w:r>
          </w:p>
        </w:tc>
      </w:tr>
      <w:tr w:rsidR="00F42223" w:rsidRPr="00091230" w:rsidTr="00810CA9">
        <w:trPr>
          <w:trHeight w:val="20"/>
        </w:trPr>
        <w:tc>
          <w:tcPr>
            <w:tcW w:w="2682" w:type="dxa"/>
            <w:vMerge/>
          </w:tcPr>
          <w:p w:rsidR="00F42223" w:rsidRPr="00091230" w:rsidRDefault="00F42223" w:rsidP="0026794C">
            <w:pPr>
              <w:jc w:val="both"/>
              <w:rPr>
                <w:rFonts w:eastAsia="Arial"/>
              </w:rPr>
            </w:pPr>
          </w:p>
        </w:tc>
        <w:tc>
          <w:tcPr>
            <w:tcW w:w="2842" w:type="dxa"/>
            <w:shd w:val="clear" w:color="auto" w:fill="auto"/>
          </w:tcPr>
          <w:p w:rsidR="00F42223" w:rsidRPr="00091230" w:rsidRDefault="00F42223" w:rsidP="0026794C">
            <w:pPr>
              <w:jc w:val="both"/>
              <w:rPr>
                <w:rFonts w:eastAsia="Arial"/>
              </w:rPr>
            </w:pPr>
            <w:r w:rsidRPr="00091230">
              <w:rPr>
                <w:rFonts w:eastAsia="Arial"/>
              </w:rPr>
              <w:t>Количество штатных единиц младшего персонала</w:t>
            </w:r>
          </w:p>
        </w:tc>
        <w:tc>
          <w:tcPr>
            <w:tcW w:w="1558" w:type="dxa"/>
            <w:shd w:val="clear" w:color="auto" w:fill="auto"/>
          </w:tcPr>
          <w:p w:rsidR="00F42223" w:rsidRPr="00091230" w:rsidRDefault="00F42223" w:rsidP="0026794C">
            <w:pPr>
              <w:jc w:val="center"/>
            </w:pPr>
            <w:r w:rsidRPr="00091230">
              <w:rPr>
                <w:rFonts w:eastAsia="Arial"/>
              </w:rPr>
              <w:t>–</w:t>
            </w:r>
          </w:p>
        </w:tc>
        <w:tc>
          <w:tcPr>
            <w:tcW w:w="1278" w:type="dxa"/>
            <w:shd w:val="clear" w:color="auto" w:fill="auto"/>
          </w:tcPr>
          <w:p w:rsidR="00F42223" w:rsidRPr="00091230" w:rsidRDefault="00F42223" w:rsidP="0026794C">
            <w:pPr>
              <w:jc w:val="center"/>
            </w:pPr>
            <w:r w:rsidRPr="00091230">
              <w:rPr>
                <w:rFonts w:eastAsia="Arial"/>
              </w:rPr>
              <w:t>–</w:t>
            </w:r>
          </w:p>
        </w:tc>
        <w:tc>
          <w:tcPr>
            <w:tcW w:w="1835" w:type="dxa"/>
            <w:shd w:val="clear" w:color="auto" w:fill="auto"/>
          </w:tcPr>
          <w:p w:rsidR="00F42223" w:rsidRPr="00091230" w:rsidRDefault="00F42223" w:rsidP="0026794C">
            <w:pPr>
              <w:jc w:val="center"/>
              <w:rPr>
                <w:rFonts w:eastAsia="Arial"/>
              </w:rPr>
            </w:pPr>
            <w:r w:rsidRPr="00091230">
              <w:rPr>
                <w:rFonts w:eastAsia="Arial"/>
              </w:rPr>
              <w:t>0,0</w:t>
            </w:r>
          </w:p>
        </w:tc>
      </w:tr>
      <w:tr w:rsidR="00F42223" w:rsidRPr="00091230" w:rsidTr="00810CA9">
        <w:trPr>
          <w:trHeight w:val="20"/>
        </w:trPr>
        <w:tc>
          <w:tcPr>
            <w:tcW w:w="2682" w:type="dxa"/>
            <w:vMerge w:val="restart"/>
          </w:tcPr>
          <w:p w:rsidR="00F42223" w:rsidRPr="00091230" w:rsidRDefault="00F42223" w:rsidP="0026794C">
            <w:pPr>
              <w:jc w:val="both"/>
              <w:rPr>
                <w:rFonts w:eastAsia="Arial"/>
              </w:rPr>
            </w:pPr>
            <w:r w:rsidRPr="00091230">
              <w:rPr>
                <w:rFonts w:eastAsia="Arial"/>
              </w:rPr>
              <w:t xml:space="preserve">ГАУЗ </w:t>
            </w:r>
            <w:r w:rsidR="002F7358">
              <w:rPr>
                <w:rFonts w:eastAsia="Arial"/>
              </w:rPr>
              <w:t>«</w:t>
            </w:r>
            <w:r w:rsidRPr="00091230">
              <w:rPr>
                <w:rFonts w:eastAsia="Arial"/>
              </w:rPr>
              <w:t>Заинская ЦРБ</w:t>
            </w:r>
            <w:r w:rsidR="002F7358">
              <w:rPr>
                <w:rFonts w:eastAsia="Arial"/>
              </w:rPr>
              <w:t>»</w:t>
            </w:r>
          </w:p>
        </w:tc>
        <w:tc>
          <w:tcPr>
            <w:tcW w:w="2842" w:type="dxa"/>
            <w:shd w:val="clear" w:color="auto" w:fill="auto"/>
          </w:tcPr>
          <w:p w:rsidR="00F42223" w:rsidRPr="00091230" w:rsidRDefault="00F42223" w:rsidP="00C55D07">
            <w:pPr>
              <w:jc w:val="both"/>
              <w:rPr>
                <w:rFonts w:eastAsia="Arial"/>
              </w:rPr>
            </w:pPr>
            <w:r w:rsidRPr="00091230">
              <w:rPr>
                <w:rFonts w:eastAsia="Arial"/>
              </w:rPr>
              <w:t>Мощность (ко</w:t>
            </w:r>
            <w:r w:rsidR="00C55D07">
              <w:rPr>
                <w:rFonts w:eastAsia="Arial"/>
              </w:rPr>
              <w:t>ек</w:t>
            </w:r>
            <w:r w:rsidRPr="00091230">
              <w:rPr>
                <w:rFonts w:eastAsia="Arial"/>
              </w:rPr>
              <w:t>, посещений в смену)</w:t>
            </w:r>
          </w:p>
        </w:tc>
        <w:tc>
          <w:tcPr>
            <w:tcW w:w="1558" w:type="dxa"/>
            <w:shd w:val="clear" w:color="auto" w:fill="auto"/>
          </w:tcPr>
          <w:p w:rsidR="00F42223" w:rsidRPr="00091230" w:rsidRDefault="00F42223" w:rsidP="0026794C">
            <w:pPr>
              <w:jc w:val="center"/>
            </w:pPr>
            <w:r w:rsidRPr="00091230">
              <w:rPr>
                <w:rFonts w:eastAsia="Arial"/>
              </w:rPr>
              <w:t>–</w:t>
            </w:r>
          </w:p>
        </w:tc>
        <w:tc>
          <w:tcPr>
            <w:tcW w:w="1278" w:type="dxa"/>
            <w:shd w:val="clear" w:color="auto" w:fill="auto"/>
          </w:tcPr>
          <w:p w:rsidR="00F42223" w:rsidRPr="00091230" w:rsidRDefault="00F42223" w:rsidP="0026794C">
            <w:pPr>
              <w:jc w:val="center"/>
            </w:pPr>
            <w:r w:rsidRPr="00091230">
              <w:rPr>
                <w:rFonts w:eastAsia="Arial"/>
              </w:rPr>
              <w:t>–</w:t>
            </w:r>
          </w:p>
        </w:tc>
        <w:tc>
          <w:tcPr>
            <w:tcW w:w="1835" w:type="dxa"/>
            <w:shd w:val="clear" w:color="auto" w:fill="auto"/>
          </w:tcPr>
          <w:p w:rsidR="00F42223" w:rsidRPr="00091230" w:rsidRDefault="00F42223" w:rsidP="0026794C">
            <w:pPr>
              <w:jc w:val="center"/>
              <w:rPr>
                <w:rFonts w:eastAsia="Arial"/>
              </w:rPr>
            </w:pPr>
            <w:r w:rsidRPr="00091230">
              <w:rPr>
                <w:rFonts w:eastAsia="Arial"/>
              </w:rPr>
              <w:t>15</w:t>
            </w:r>
          </w:p>
        </w:tc>
      </w:tr>
      <w:tr w:rsidR="00F42223" w:rsidRPr="00091230" w:rsidTr="00810CA9">
        <w:trPr>
          <w:trHeight w:val="20"/>
        </w:trPr>
        <w:tc>
          <w:tcPr>
            <w:tcW w:w="2682" w:type="dxa"/>
            <w:vMerge/>
          </w:tcPr>
          <w:p w:rsidR="00F42223" w:rsidRPr="00091230" w:rsidRDefault="00F42223" w:rsidP="0026794C">
            <w:pPr>
              <w:jc w:val="both"/>
              <w:rPr>
                <w:rFonts w:eastAsia="Arial"/>
              </w:rPr>
            </w:pPr>
          </w:p>
        </w:tc>
        <w:tc>
          <w:tcPr>
            <w:tcW w:w="2842" w:type="dxa"/>
            <w:shd w:val="clear" w:color="auto" w:fill="auto"/>
          </w:tcPr>
          <w:p w:rsidR="00F42223" w:rsidRPr="00091230" w:rsidRDefault="00F42223" w:rsidP="0026794C">
            <w:pPr>
              <w:jc w:val="both"/>
              <w:rPr>
                <w:rFonts w:eastAsia="Arial"/>
              </w:rPr>
            </w:pPr>
            <w:r w:rsidRPr="00091230">
              <w:rPr>
                <w:rFonts w:eastAsia="Arial"/>
              </w:rPr>
              <w:t>Количество штатных единиц врачей</w:t>
            </w:r>
          </w:p>
        </w:tc>
        <w:tc>
          <w:tcPr>
            <w:tcW w:w="1558" w:type="dxa"/>
            <w:shd w:val="clear" w:color="auto" w:fill="auto"/>
          </w:tcPr>
          <w:p w:rsidR="00F42223" w:rsidRPr="00091230" w:rsidRDefault="00F42223" w:rsidP="0026794C">
            <w:pPr>
              <w:jc w:val="center"/>
            </w:pPr>
            <w:r w:rsidRPr="00091230">
              <w:rPr>
                <w:rFonts w:eastAsia="Arial"/>
              </w:rPr>
              <w:t>–</w:t>
            </w:r>
          </w:p>
        </w:tc>
        <w:tc>
          <w:tcPr>
            <w:tcW w:w="1278" w:type="dxa"/>
            <w:shd w:val="clear" w:color="auto" w:fill="auto"/>
          </w:tcPr>
          <w:p w:rsidR="00F42223" w:rsidRPr="00091230" w:rsidRDefault="00F42223" w:rsidP="0026794C">
            <w:pPr>
              <w:jc w:val="center"/>
            </w:pPr>
            <w:r w:rsidRPr="00091230">
              <w:rPr>
                <w:rFonts w:eastAsia="Arial"/>
              </w:rPr>
              <w:t>–</w:t>
            </w:r>
          </w:p>
        </w:tc>
        <w:tc>
          <w:tcPr>
            <w:tcW w:w="1835" w:type="dxa"/>
            <w:shd w:val="clear" w:color="auto" w:fill="auto"/>
          </w:tcPr>
          <w:p w:rsidR="00F42223" w:rsidRPr="00091230" w:rsidRDefault="00F42223" w:rsidP="0026794C">
            <w:pPr>
              <w:jc w:val="center"/>
              <w:rPr>
                <w:rFonts w:eastAsia="Arial"/>
              </w:rPr>
            </w:pPr>
            <w:r w:rsidRPr="00091230">
              <w:rPr>
                <w:rFonts w:eastAsia="Arial"/>
              </w:rPr>
              <w:t>0,5</w:t>
            </w:r>
          </w:p>
        </w:tc>
      </w:tr>
      <w:tr w:rsidR="00F42223" w:rsidRPr="00091230" w:rsidTr="00810CA9">
        <w:trPr>
          <w:trHeight w:val="20"/>
        </w:trPr>
        <w:tc>
          <w:tcPr>
            <w:tcW w:w="2682" w:type="dxa"/>
            <w:vMerge/>
          </w:tcPr>
          <w:p w:rsidR="00F42223" w:rsidRPr="00091230" w:rsidRDefault="00F42223" w:rsidP="0026794C">
            <w:pPr>
              <w:jc w:val="both"/>
              <w:rPr>
                <w:rFonts w:eastAsia="Arial"/>
              </w:rPr>
            </w:pPr>
          </w:p>
        </w:tc>
        <w:tc>
          <w:tcPr>
            <w:tcW w:w="2842" w:type="dxa"/>
            <w:shd w:val="clear" w:color="auto" w:fill="auto"/>
          </w:tcPr>
          <w:p w:rsidR="00F42223" w:rsidRPr="00091230" w:rsidRDefault="00F42223" w:rsidP="0026794C">
            <w:pPr>
              <w:jc w:val="both"/>
              <w:rPr>
                <w:rFonts w:eastAsia="Arial"/>
              </w:rPr>
            </w:pPr>
            <w:r w:rsidRPr="00091230">
              <w:rPr>
                <w:rFonts w:eastAsia="Arial"/>
              </w:rPr>
              <w:t>Количество штатных единиц среднего персонала</w:t>
            </w:r>
          </w:p>
        </w:tc>
        <w:tc>
          <w:tcPr>
            <w:tcW w:w="1558" w:type="dxa"/>
            <w:shd w:val="clear" w:color="auto" w:fill="auto"/>
          </w:tcPr>
          <w:p w:rsidR="00F42223" w:rsidRPr="00091230" w:rsidRDefault="00F42223" w:rsidP="0026794C">
            <w:pPr>
              <w:jc w:val="center"/>
            </w:pPr>
            <w:r w:rsidRPr="00091230">
              <w:rPr>
                <w:rFonts w:eastAsia="Arial"/>
              </w:rPr>
              <w:t>–</w:t>
            </w:r>
          </w:p>
        </w:tc>
        <w:tc>
          <w:tcPr>
            <w:tcW w:w="1278" w:type="dxa"/>
            <w:shd w:val="clear" w:color="auto" w:fill="auto"/>
          </w:tcPr>
          <w:p w:rsidR="00F42223" w:rsidRPr="00091230" w:rsidRDefault="00F42223" w:rsidP="0026794C">
            <w:pPr>
              <w:jc w:val="center"/>
            </w:pPr>
            <w:r w:rsidRPr="00091230">
              <w:rPr>
                <w:rFonts w:eastAsia="Arial"/>
              </w:rPr>
              <w:t>–</w:t>
            </w:r>
          </w:p>
        </w:tc>
        <w:tc>
          <w:tcPr>
            <w:tcW w:w="1835" w:type="dxa"/>
            <w:shd w:val="clear" w:color="auto" w:fill="auto"/>
          </w:tcPr>
          <w:p w:rsidR="00F42223" w:rsidRPr="00091230" w:rsidRDefault="00F42223" w:rsidP="0026794C">
            <w:pPr>
              <w:jc w:val="center"/>
              <w:rPr>
                <w:rFonts w:eastAsia="Arial"/>
              </w:rPr>
            </w:pPr>
            <w:r w:rsidRPr="00091230">
              <w:rPr>
                <w:rFonts w:eastAsia="Arial"/>
              </w:rPr>
              <w:t>1,0</w:t>
            </w:r>
          </w:p>
        </w:tc>
      </w:tr>
      <w:tr w:rsidR="00F42223" w:rsidRPr="00091230" w:rsidTr="00810CA9">
        <w:trPr>
          <w:trHeight w:val="20"/>
        </w:trPr>
        <w:tc>
          <w:tcPr>
            <w:tcW w:w="2682" w:type="dxa"/>
            <w:vMerge/>
            <w:tcBorders>
              <w:bottom w:val="single" w:sz="4" w:space="0" w:color="auto"/>
            </w:tcBorders>
          </w:tcPr>
          <w:p w:rsidR="00F42223" w:rsidRPr="00091230" w:rsidRDefault="00F42223" w:rsidP="0026794C">
            <w:pPr>
              <w:jc w:val="both"/>
              <w:rPr>
                <w:rFonts w:eastAsia="Arial"/>
              </w:rPr>
            </w:pPr>
          </w:p>
        </w:tc>
        <w:tc>
          <w:tcPr>
            <w:tcW w:w="2842" w:type="dxa"/>
            <w:shd w:val="clear" w:color="auto" w:fill="auto"/>
          </w:tcPr>
          <w:p w:rsidR="00F42223" w:rsidRPr="00091230" w:rsidRDefault="00F42223" w:rsidP="0026794C">
            <w:pPr>
              <w:jc w:val="both"/>
              <w:rPr>
                <w:rFonts w:eastAsia="Arial"/>
              </w:rPr>
            </w:pPr>
            <w:r w:rsidRPr="00091230">
              <w:rPr>
                <w:rFonts w:eastAsia="Arial"/>
              </w:rPr>
              <w:t>Количество штатных единиц младшего персонала</w:t>
            </w:r>
          </w:p>
        </w:tc>
        <w:tc>
          <w:tcPr>
            <w:tcW w:w="1558" w:type="dxa"/>
            <w:shd w:val="clear" w:color="auto" w:fill="auto"/>
          </w:tcPr>
          <w:p w:rsidR="00F42223" w:rsidRPr="00091230" w:rsidRDefault="00F42223" w:rsidP="0026794C">
            <w:pPr>
              <w:jc w:val="center"/>
            </w:pPr>
            <w:r w:rsidRPr="00091230">
              <w:rPr>
                <w:rFonts w:eastAsia="Arial"/>
              </w:rPr>
              <w:t>–</w:t>
            </w:r>
          </w:p>
        </w:tc>
        <w:tc>
          <w:tcPr>
            <w:tcW w:w="1278" w:type="dxa"/>
            <w:shd w:val="clear" w:color="auto" w:fill="auto"/>
          </w:tcPr>
          <w:p w:rsidR="00F42223" w:rsidRPr="00091230" w:rsidRDefault="00F42223" w:rsidP="0026794C">
            <w:pPr>
              <w:jc w:val="center"/>
            </w:pPr>
            <w:r w:rsidRPr="00091230">
              <w:rPr>
                <w:rFonts w:eastAsia="Arial"/>
              </w:rPr>
              <w:t>–</w:t>
            </w:r>
          </w:p>
        </w:tc>
        <w:tc>
          <w:tcPr>
            <w:tcW w:w="1835" w:type="dxa"/>
            <w:shd w:val="clear" w:color="auto" w:fill="auto"/>
          </w:tcPr>
          <w:p w:rsidR="00F42223" w:rsidRPr="00091230" w:rsidRDefault="00F42223" w:rsidP="0026794C">
            <w:pPr>
              <w:jc w:val="center"/>
              <w:rPr>
                <w:rFonts w:eastAsia="Arial"/>
              </w:rPr>
            </w:pPr>
            <w:r w:rsidRPr="00091230">
              <w:rPr>
                <w:rFonts w:eastAsia="Arial"/>
              </w:rPr>
              <w:t>0,0</w:t>
            </w:r>
          </w:p>
        </w:tc>
      </w:tr>
      <w:tr w:rsidR="00C93DB4" w:rsidRPr="00091230" w:rsidTr="00947DC4">
        <w:trPr>
          <w:trHeight w:val="20"/>
        </w:trPr>
        <w:tc>
          <w:tcPr>
            <w:tcW w:w="2682" w:type="dxa"/>
            <w:vMerge w:val="restart"/>
          </w:tcPr>
          <w:p w:rsidR="00C93DB4" w:rsidRPr="00091230" w:rsidRDefault="00C93DB4" w:rsidP="0026794C">
            <w:pPr>
              <w:jc w:val="both"/>
              <w:rPr>
                <w:rFonts w:eastAsia="Arial"/>
              </w:rPr>
            </w:pPr>
            <w:r w:rsidRPr="00091230">
              <w:rPr>
                <w:rFonts w:eastAsia="Arial"/>
              </w:rPr>
              <w:t xml:space="preserve">ГАУЗ </w:t>
            </w:r>
            <w:r>
              <w:rPr>
                <w:rFonts w:eastAsia="Arial"/>
              </w:rPr>
              <w:t>«</w:t>
            </w:r>
            <w:r w:rsidRPr="00091230">
              <w:rPr>
                <w:rFonts w:eastAsia="Arial"/>
              </w:rPr>
              <w:t>Камско-Устьинская ЦРБ</w:t>
            </w:r>
            <w:r>
              <w:rPr>
                <w:rFonts w:eastAsia="Arial"/>
              </w:rPr>
              <w:t>»</w:t>
            </w:r>
          </w:p>
        </w:tc>
        <w:tc>
          <w:tcPr>
            <w:tcW w:w="2842" w:type="dxa"/>
            <w:shd w:val="clear" w:color="auto" w:fill="auto"/>
          </w:tcPr>
          <w:p w:rsidR="00C93DB4" w:rsidRPr="00091230" w:rsidRDefault="00C55D07" w:rsidP="00C55D07">
            <w:pPr>
              <w:jc w:val="both"/>
              <w:rPr>
                <w:rFonts w:eastAsia="Arial"/>
              </w:rPr>
            </w:pPr>
            <w:r>
              <w:rPr>
                <w:rFonts w:eastAsia="Arial"/>
              </w:rPr>
              <w:t>Мощность (коек</w:t>
            </w:r>
            <w:r w:rsidR="00C93DB4" w:rsidRPr="00091230">
              <w:rPr>
                <w:rFonts w:eastAsia="Arial"/>
              </w:rPr>
              <w:t>, посещений в смену)</w:t>
            </w:r>
          </w:p>
        </w:tc>
        <w:tc>
          <w:tcPr>
            <w:tcW w:w="1558" w:type="dxa"/>
            <w:shd w:val="clear" w:color="auto" w:fill="auto"/>
          </w:tcPr>
          <w:p w:rsidR="00C93DB4" w:rsidRPr="00091230" w:rsidRDefault="00C93DB4" w:rsidP="0026794C">
            <w:pPr>
              <w:jc w:val="center"/>
            </w:pPr>
            <w:r w:rsidRPr="00091230">
              <w:rPr>
                <w:rFonts w:eastAsia="Arial"/>
              </w:rPr>
              <w:t>–</w:t>
            </w:r>
          </w:p>
        </w:tc>
        <w:tc>
          <w:tcPr>
            <w:tcW w:w="1278" w:type="dxa"/>
            <w:shd w:val="clear" w:color="auto" w:fill="auto"/>
          </w:tcPr>
          <w:p w:rsidR="00C93DB4" w:rsidRPr="00091230" w:rsidRDefault="00C93DB4" w:rsidP="0026794C">
            <w:pPr>
              <w:jc w:val="center"/>
            </w:pPr>
            <w:r w:rsidRPr="00091230">
              <w:rPr>
                <w:rFonts w:eastAsia="Arial"/>
              </w:rPr>
              <w:t>–</w:t>
            </w:r>
          </w:p>
        </w:tc>
        <w:tc>
          <w:tcPr>
            <w:tcW w:w="1835" w:type="dxa"/>
            <w:shd w:val="clear" w:color="auto" w:fill="auto"/>
          </w:tcPr>
          <w:p w:rsidR="00C93DB4" w:rsidRPr="00091230" w:rsidRDefault="00C93DB4" w:rsidP="0026794C">
            <w:pPr>
              <w:jc w:val="center"/>
              <w:rPr>
                <w:rFonts w:eastAsia="Arial"/>
              </w:rPr>
            </w:pPr>
            <w:r w:rsidRPr="00091230">
              <w:rPr>
                <w:rFonts w:eastAsia="Arial"/>
              </w:rPr>
              <w:t>15</w:t>
            </w:r>
          </w:p>
        </w:tc>
      </w:tr>
      <w:tr w:rsidR="00C93DB4" w:rsidRPr="00091230" w:rsidTr="00947DC4">
        <w:trPr>
          <w:trHeight w:val="20"/>
        </w:trPr>
        <w:tc>
          <w:tcPr>
            <w:tcW w:w="2682" w:type="dxa"/>
            <w:vMerge/>
          </w:tcPr>
          <w:p w:rsidR="00C93DB4" w:rsidRPr="00091230" w:rsidRDefault="00C93DB4" w:rsidP="0026794C">
            <w:pPr>
              <w:jc w:val="both"/>
              <w:rPr>
                <w:rFonts w:eastAsia="Arial"/>
              </w:rPr>
            </w:pPr>
          </w:p>
        </w:tc>
        <w:tc>
          <w:tcPr>
            <w:tcW w:w="2842" w:type="dxa"/>
            <w:shd w:val="clear" w:color="auto" w:fill="auto"/>
          </w:tcPr>
          <w:p w:rsidR="00C93DB4" w:rsidRPr="00091230" w:rsidRDefault="00C93DB4" w:rsidP="0026794C">
            <w:pPr>
              <w:jc w:val="both"/>
              <w:rPr>
                <w:rFonts w:eastAsia="Arial"/>
              </w:rPr>
            </w:pPr>
            <w:r w:rsidRPr="00091230">
              <w:rPr>
                <w:rFonts w:eastAsia="Arial"/>
              </w:rPr>
              <w:t>Количество штатных единиц врачей</w:t>
            </w:r>
          </w:p>
        </w:tc>
        <w:tc>
          <w:tcPr>
            <w:tcW w:w="1558" w:type="dxa"/>
            <w:shd w:val="clear" w:color="auto" w:fill="auto"/>
          </w:tcPr>
          <w:p w:rsidR="00C93DB4" w:rsidRPr="00091230" w:rsidRDefault="00C93DB4" w:rsidP="0026794C">
            <w:pPr>
              <w:jc w:val="center"/>
            </w:pPr>
            <w:r w:rsidRPr="00091230">
              <w:rPr>
                <w:rFonts w:eastAsia="Arial"/>
              </w:rPr>
              <w:t>–</w:t>
            </w:r>
          </w:p>
        </w:tc>
        <w:tc>
          <w:tcPr>
            <w:tcW w:w="1278" w:type="dxa"/>
            <w:shd w:val="clear" w:color="auto" w:fill="auto"/>
          </w:tcPr>
          <w:p w:rsidR="00C93DB4" w:rsidRPr="00091230" w:rsidRDefault="00C93DB4" w:rsidP="0026794C">
            <w:pPr>
              <w:jc w:val="center"/>
            </w:pPr>
            <w:r w:rsidRPr="00091230">
              <w:rPr>
                <w:rFonts w:eastAsia="Arial"/>
              </w:rPr>
              <w:t>–</w:t>
            </w:r>
          </w:p>
        </w:tc>
        <w:tc>
          <w:tcPr>
            <w:tcW w:w="1835" w:type="dxa"/>
            <w:shd w:val="clear" w:color="auto" w:fill="auto"/>
          </w:tcPr>
          <w:p w:rsidR="00C93DB4" w:rsidRPr="00091230" w:rsidRDefault="00C93DB4" w:rsidP="0026794C">
            <w:pPr>
              <w:jc w:val="center"/>
              <w:rPr>
                <w:rFonts w:eastAsia="Arial"/>
              </w:rPr>
            </w:pPr>
            <w:r w:rsidRPr="00091230">
              <w:rPr>
                <w:rFonts w:eastAsia="Arial"/>
              </w:rPr>
              <w:t>0,5</w:t>
            </w:r>
          </w:p>
        </w:tc>
      </w:tr>
      <w:tr w:rsidR="00C93DB4" w:rsidRPr="00091230" w:rsidTr="00947DC4">
        <w:trPr>
          <w:trHeight w:val="20"/>
        </w:trPr>
        <w:tc>
          <w:tcPr>
            <w:tcW w:w="2682" w:type="dxa"/>
            <w:vMerge/>
          </w:tcPr>
          <w:p w:rsidR="00C93DB4" w:rsidRPr="00091230" w:rsidRDefault="00C93DB4" w:rsidP="0026794C">
            <w:pPr>
              <w:jc w:val="both"/>
              <w:rPr>
                <w:rFonts w:eastAsia="Arial"/>
              </w:rPr>
            </w:pPr>
          </w:p>
        </w:tc>
        <w:tc>
          <w:tcPr>
            <w:tcW w:w="2842" w:type="dxa"/>
            <w:shd w:val="clear" w:color="auto" w:fill="auto"/>
          </w:tcPr>
          <w:p w:rsidR="00C93DB4" w:rsidRPr="00091230" w:rsidRDefault="00C93DB4" w:rsidP="0026794C">
            <w:pPr>
              <w:jc w:val="both"/>
              <w:rPr>
                <w:rFonts w:eastAsia="Arial"/>
              </w:rPr>
            </w:pPr>
            <w:r w:rsidRPr="00091230">
              <w:rPr>
                <w:rFonts w:eastAsia="Arial"/>
              </w:rPr>
              <w:t>Количество штатных единиц среднего персонала</w:t>
            </w:r>
          </w:p>
        </w:tc>
        <w:tc>
          <w:tcPr>
            <w:tcW w:w="1558" w:type="dxa"/>
            <w:shd w:val="clear" w:color="auto" w:fill="auto"/>
          </w:tcPr>
          <w:p w:rsidR="00C93DB4" w:rsidRPr="00091230" w:rsidRDefault="00C93DB4" w:rsidP="0026794C">
            <w:pPr>
              <w:jc w:val="center"/>
            </w:pPr>
            <w:r w:rsidRPr="00091230">
              <w:rPr>
                <w:rFonts w:eastAsia="Arial"/>
              </w:rPr>
              <w:t>–</w:t>
            </w:r>
          </w:p>
        </w:tc>
        <w:tc>
          <w:tcPr>
            <w:tcW w:w="1278" w:type="dxa"/>
            <w:shd w:val="clear" w:color="auto" w:fill="auto"/>
          </w:tcPr>
          <w:p w:rsidR="00C93DB4" w:rsidRPr="00091230" w:rsidRDefault="00C93DB4" w:rsidP="0026794C">
            <w:pPr>
              <w:jc w:val="center"/>
            </w:pPr>
            <w:r w:rsidRPr="00091230">
              <w:rPr>
                <w:rFonts w:eastAsia="Arial"/>
              </w:rPr>
              <w:t>–</w:t>
            </w:r>
          </w:p>
        </w:tc>
        <w:tc>
          <w:tcPr>
            <w:tcW w:w="1835" w:type="dxa"/>
            <w:shd w:val="clear" w:color="auto" w:fill="auto"/>
          </w:tcPr>
          <w:p w:rsidR="00C93DB4" w:rsidRPr="00091230" w:rsidRDefault="00C93DB4" w:rsidP="0026794C">
            <w:pPr>
              <w:jc w:val="center"/>
              <w:rPr>
                <w:rFonts w:eastAsia="Arial"/>
              </w:rPr>
            </w:pPr>
            <w:r w:rsidRPr="00091230">
              <w:rPr>
                <w:rFonts w:eastAsia="Arial"/>
              </w:rPr>
              <w:t>1,0</w:t>
            </w:r>
          </w:p>
        </w:tc>
      </w:tr>
      <w:tr w:rsidR="00C93DB4" w:rsidRPr="00091230" w:rsidTr="00947DC4">
        <w:trPr>
          <w:trHeight w:val="20"/>
        </w:trPr>
        <w:tc>
          <w:tcPr>
            <w:tcW w:w="2682" w:type="dxa"/>
            <w:vMerge/>
          </w:tcPr>
          <w:p w:rsidR="00C93DB4" w:rsidRPr="00091230" w:rsidRDefault="00C93DB4" w:rsidP="0026794C">
            <w:pPr>
              <w:jc w:val="both"/>
              <w:rPr>
                <w:rFonts w:eastAsia="Arial"/>
              </w:rPr>
            </w:pPr>
          </w:p>
        </w:tc>
        <w:tc>
          <w:tcPr>
            <w:tcW w:w="2842" w:type="dxa"/>
            <w:shd w:val="clear" w:color="auto" w:fill="auto"/>
          </w:tcPr>
          <w:p w:rsidR="00C93DB4" w:rsidRPr="00091230" w:rsidRDefault="00C93DB4" w:rsidP="0026794C">
            <w:pPr>
              <w:jc w:val="both"/>
              <w:rPr>
                <w:rFonts w:eastAsia="Arial"/>
              </w:rPr>
            </w:pPr>
            <w:r w:rsidRPr="00091230">
              <w:rPr>
                <w:rFonts w:eastAsia="Arial"/>
              </w:rPr>
              <w:t>Количество штатных единиц младшего персонала</w:t>
            </w:r>
          </w:p>
        </w:tc>
        <w:tc>
          <w:tcPr>
            <w:tcW w:w="1558" w:type="dxa"/>
            <w:shd w:val="clear" w:color="auto" w:fill="auto"/>
          </w:tcPr>
          <w:p w:rsidR="00C93DB4" w:rsidRPr="00091230" w:rsidRDefault="00C93DB4" w:rsidP="0026794C">
            <w:pPr>
              <w:jc w:val="center"/>
            </w:pPr>
            <w:r w:rsidRPr="00091230">
              <w:rPr>
                <w:rFonts w:eastAsia="Arial"/>
              </w:rPr>
              <w:t>–</w:t>
            </w:r>
          </w:p>
        </w:tc>
        <w:tc>
          <w:tcPr>
            <w:tcW w:w="1278" w:type="dxa"/>
            <w:shd w:val="clear" w:color="auto" w:fill="auto"/>
          </w:tcPr>
          <w:p w:rsidR="00C93DB4" w:rsidRPr="00091230" w:rsidRDefault="00C93DB4" w:rsidP="0026794C">
            <w:pPr>
              <w:jc w:val="center"/>
            </w:pPr>
            <w:r w:rsidRPr="00091230">
              <w:rPr>
                <w:rFonts w:eastAsia="Arial"/>
              </w:rPr>
              <w:t>–</w:t>
            </w:r>
          </w:p>
        </w:tc>
        <w:tc>
          <w:tcPr>
            <w:tcW w:w="1835" w:type="dxa"/>
            <w:shd w:val="clear" w:color="auto" w:fill="auto"/>
          </w:tcPr>
          <w:p w:rsidR="00C93DB4" w:rsidRPr="00091230" w:rsidRDefault="00C93DB4" w:rsidP="0026794C">
            <w:pPr>
              <w:jc w:val="center"/>
              <w:rPr>
                <w:rFonts w:eastAsia="Arial"/>
              </w:rPr>
            </w:pPr>
            <w:r w:rsidRPr="00091230">
              <w:rPr>
                <w:rFonts w:eastAsia="Arial"/>
              </w:rPr>
              <w:t>0,0</w:t>
            </w:r>
          </w:p>
        </w:tc>
      </w:tr>
      <w:tr w:rsidR="00F42223" w:rsidRPr="00091230" w:rsidTr="00810CA9">
        <w:trPr>
          <w:trHeight w:val="20"/>
        </w:trPr>
        <w:tc>
          <w:tcPr>
            <w:tcW w:w="2682" w:type="dxa"/>
            <w:vMerge w:val="restart"/>
          </w:tcPr>
          <w:p w:rsidR="00F42223" w:rsidRPr="00091230" w:rsidRDefault="00F42223" w:rsidP="0026794C">
            <w:pPr>
              <w:jc w:val="both"/>
              <w:rPr>
                <w:rFonts w:eastAsia="Arial"/>
              </w:rPr>
            </w:pPr>
            <w:r w:rsidRPr="00091230">
              <w:rPr>
                <w:rFonts w:eastAsia="Arial"/>
              </w:rPr>
              <w:t xml:space="preserve">ГАУЗ </w:t>
            </w:r>
            <w:r w:rsidR="002F7358">
              <w:rPr>
                <w:rFonts w:eastAsia="Arial"/>
              </w:rPr>
              <w:t>«</w:t>
            </w:r>
            <w:r w:rsidRPr="00091230">
              <w:rPr>
                <w:rFonts w:eastAsia="Arial"/>
              </w:rPr>
              <w:t>Лениногорская ЦРБ</w:t>
            </w:r>
            <w:r w:rsidR="002F7358">
              <w:rPr>
                <w:rFonts w:eastAsia="Arial"/>
              </w:rPr>
              <w:t>»</w:t>
            </w:r>
          </w:p>
        </w:tc>
        <w:tc>
          <w:tcPr>
            <w:tcW w:w="2842" w:type="dxa"/>
            <w:shd w:val="clear" w:color="auto" w:fill="auto"/>
          </w:tcPr>
          <w:p w:rsidR="00F42223" w:rsidRPr="00091230" w:rsidRDefault="00F42223" w:rsidP="00C55D07">
            <w:pPr>
              <w:jc w:val="both"/>
              <w:rPr>
                <w:rFonts w:eastAsia="Arial"/>
              </w:rPr>
            </w:pPr>
            <w:r w:rsidRPr="00091230">
              <w:rPr>
                <w:rFonts w:eastAsia="Arial"/>
              </w:rPr>
              <w:t>Мощность (ко</w:t>
            </w:r>
            <w:r w:rsidR="00C55D07">
              <w:rPr>
                <w:rFonts w:eastAsia="Arial"/>
              </w:rPr>
              <w:t>е</w:t>
            </w:r>
            <w:r w:rsidRPr="00091230">
              <w:rPr>
                <w:rFonts w:eastAsia="Arial"/>
              </w:rPr>
              <w:t>к, посещений в смену)</w:t>
            </w:r>
          </w:p>
        </w:tc>
        <w:tc>
          <w:tcPr>
            <w:tcW w:w="1558" w:type="dxa"/>
            <w:shd w:val="clear" w:color="auto" w:fill="auto"/>
          </w:tcPr>
          <w:p w:rsidR="00F42223" w:rsidRPr="00091230" w:rsidRDefault="00F42223" w:rsidP="0026794C">
            <w:pPr>
              <w:jc w:val="center"/>
            </w:pPr>
            <w:r w:rsidRPr="00091230">
              <w:rPr>
                <w:rFonts w:eastAsia="Arial"/>
              </w:rPr>
              <w:t>–</w:t>
            </w:r>
          </w:p>
        </w:tc>
        <w:tc>
          <w:tcPr>
            <w:tcW w:w="1278" w:type="dxa"/>
            <w:shd w:val="clear" w:color="auto" w:fill="auto"/>
          </w:tcPr>
          <w:p w:rsidR="00F42223" w:rsidRPr="00091230" w:rsidRDefault="00F42223" w:rsidP="0026794C">
            <w:pPr>
              <w:jc w:val="center"/>
            </w:pPr>
            <w:r w:rsidRPr="00091230">
              <w:rPr>
                <w:rFonts w:eastAsia="Arial"/>
              </w:rPr>
              <w:t>–</w:t>
            </w:r>
          </w:p>
        </w:tc>
        <w:tc>
          <w:tcPr>
            <w:tcW w:w="1835" w:type="dxa"/>
            <w:shd w:val="clear" w:color="auto" w:fill="auto"/>
          </w:tcPr>
          <w:p w:rsidR="00F42223" w:rsidRPr="00091230" w:rsidRDefault="00F42223" w:rsidP="0026794C">
            <w:pPr>
              <w:jc w:val="center"/>
              <w:rPr>
                <w:rFonts w:eastAsia="Arial"/>
              </w:rPr>
            </w:pPr>
            <w:r w:rsidRPr="00091230">
              <w:rPr>
                <w:rFonts w:eastAsia="Arial"/>
              </w:rPr>
              <w:t>15</w:t>
            </w:r>
          </w:p>
        </w:tc>
      </w:tr>
      <w:tr w:rsidR="00F42223" w:rsidRPr="00091230" w:rsidTr="00810CA9">
        <w:trPr>
          <w:trHeight w:val="20"/>
        </w:trPr>
        <w:tc>
          <w:tcPr>
            <w:tcW w:w="2682" w:type="dxa"/>
            <w:vMerge/>
          </w:tcPr>
          <w:p w:rsidR="00F42223" w:rsidRPr="00091230" w:rsidRDefault="00F42223" w:rsidP="0026794C">
            <w:pPr>
              <w:jc w:val="both"/>
              <w:rPr>
                <w:rFonts w:eastAsia="Arial"/>
              </w:rPr>
            </w:pPr>
          </w:p>
        </w:tc>
        <w:tc>
          <w:tcPr>
            <w:tcW w:w="2842" w:type="dxa"/>
            <w:shd w:val="clear" w:color="auto" w:fill="auto"/>
          </w:tcPr>
          <w:p w:rsidR="00F42223" w:rsidRPr="00091230" w:rsidRDefault="00F42223" w:rsidP="0026794C">
            <w:pPr>
              <w:jc w:val="both"/>
              <w:rPr>
                <w:rFonts w:eastAsia="Arial"/>
              </w:rPr>
            </w:pPr>
            <w:r w:rsidRPr="00091230">
              <w:rPr>
                <w:rFonts w:eastAsia="Arial"/>
              </w:rPr>
              <w:t>Количество штатных единиц врачей</w:t>
            </w:r>
          </w:p>
        </w:tc>
        <w:tc>
          <w:tcPr>
            <w:tcW w:w="1558" w:type="dxa"/>
            <w:shd w:val="clear" w:color="auto" w:fill="auto"/>
          </w:tcPr>
          <w:p w:rsidR="00F42223" w:rsidRPr="00091230" w:rsidRDefault="00F42223" w:rsidP="0026794C">
            <w:pPr>
              <w:jc w:val="center"/>
            </w:pPr>
            <w:r w:rsidRPr="00091230">
              <w:rPr>
                <w:rFonts w:eastAsia="Arial"/>
              </w:rPr>
              <w:t>–</w:t>
            </w:r>
          </w:p>
        </w:tc>
        <w:tc>
          <w:tcPr>
            <w:tcW w:w="1278" w:type="dxa"/>
            <w:shd w:val="clear" w:color="auto" w:fill="auto"/>
          </w:tcPr>
          <w:p w:rsidR="00F42223" w:rsidRPr="00091230" w:rsidRDefault="00F42223" w:rsidP="0026794C">
            <w:pPr>
              <w:jc w:val="center"/>
            </w:pPr>
            <w:r w:rsidRPr="00091230">
              <w:rPr>
                <w:rFonts w:eastAsia="Arial"/>
              </w:rPr>
              <w:t>–</w:t>
            </w:r>
          </w:p>
        </w:tc>
        <w:tc>
          <w:tcPr>
            <w:tcW w:w="1835" w:type="dxa"/>
            <w:shd w:val="clear" w:color="auto" w:fill="auto"/>
          </w:tcPr>
          <w:p w:rsidR="00F42223" w:rsidRPr="00091230" w:rsidRDefault="00F42223" w:rsidP="0026794C">
            <w:pPr>
              <w:jc w:val="center"/>
              <w:rPr>
                <w:rFonts w:eastAsia="Arial"/>
              </w:rPr>
            </w:pPr>
            <w:r w:rsidRPr="00091230">
              <w:rPr>
                <w:rFonts w:eastAsia="Arial"/>
              </w:rPr>
              <w:t>0,5</w:t>
            </w:r>
          </w:p>
        </w:tc>
      </w:tr>
      <w:tr w:rsidR="00F42223" w:rsidRPr="00091230" w:rsidTr="00810CA9">
        <w:trPr>
          <w:trHeight w:val="20"/>
        </w:trPr>
        <w:tc>
          <w:tcPr>
            <w:tcW w:w="2682" w:type="dxa"/>
            <w:vMerge/>
          </w:tcPr>
          <w:p w:rsidR="00F42223" w:rsidRPr="00091230" w:rsidRDefault="00F42223" w:rsidP="0026794C">
            <w:pPr>
              <w:jc w:val="both"/>
              <w:rPr>
                <w:rFonts w:eastAsia="Arial"/>
              </w:rPr>
            </w:pPr>
          </w:p>
        </w:tc>
        <w:tc>
          <w:tcPr>
            <w:tcW w:w="2842" w:type="dxa"/>
            <w:shd w:val="clear" w:color="auto" w:fill="auto"/>
          </w:tcPr>
          <w:p w:rsidR="00F42223" w:rsidRPr="00091230" w:rsidRDefault="00F42223" w:rsidP="0026794C">
            <w:pPr>
              <w:jc w:val="both"/>
              <w:rPr>
                <w:rFonts w:eastAsia="Arial"/>
              </w:rPr>
            </w:pPr>
            <w:r w:rsidRPr="00091230">
              <w:rPr>
                <w:rFonts w:eastAsia="Arial"/>
              </w:rPr>
              <w:t>Количество штатных единиц среднего персонала</w:t>
            </w:r>
          </w:p>
        </w:tc>
        <w:tc>
          <w:tcPr>
            <w:tcW w:w="1558" w:type="dxa"/>
            <w:shd w:val="clear" w:color="auto" w:fill="auto"/>
          </w:tcPr>
          <w:p w:rsidR="00F42223" w:rsidRPr="00091230" w:rsidRDefault="00F42223" w:rsidP="0026794C">
            <w:pPr>
              <w:jc w:val="center"/>
            </w:pPr>
            <w:r w:rsidRPr="00091230">
              <w:rPr>
                <w:rFonts w:eastAsia="Arial"/>
              </w:rPr>
              <w:t>–</w:t>
            </w:r>
          </w:p>
        </w:tc>
        <w:tc>
          <w:tcPr>
            <w:tcW w:w="1278" w:type="dxa"/>
            <w:shd w:val="clear" w:color="auto" w:fill="auto"/>
          </w:tcPr>
          <w:p w:rsidR="00F42223" w:rsidRPr="00091230" w:rsidRDefault="00F42223" w:rsidP="0026794C">
            <w:pPr>
              <w:jc w:val="center"/>
            </w:pPr>
            <w:r w:rsidRPr="00091230">
              <w:rPr>
                <w:rFonts w:eastAsia="Arial"/>
              </w:rPr>
              <w:t>–</w:t>
            </w:r>
          </w:p>
        </w:tc>
        <w:tc>
          <w:tcPr>
            <w:tcW w:w="1835" w:type="dxa"/>
            <w:shd w:val="clear" w:color="auto" w:fill="auto"/>
          </w:tcPr>
          <w:p w:rsidR="00F42223" w:rsidRPr="00091230" w:rsidRDefault="00F42223" w:rsidP="0026794C">
            <w:pPr>
              <w:jc w:val="center"/>
              <w:rPr>
                <w:rFonts w:eastAsia="Arial"/>
              </w:rPr>
            </w:pPr>
            <w:r w:rsidRPr="00091230">
              <w:rPr>
                <w:rFonts w:eastAsia="Arial"/>
              </w:rPr>
              <w:t>1,0</w:t>
            </w:r>
          </w:p>
        </w:tc>
      </w:tr>
      <w:tr w:rsidR="00F42223" w:rsidRPr="00091230" w:rsidTr="00810CA9">
        <w:trPr>
          <w:trHeight w:val="20"/>
        </w:trPr>
        <w:tc>
          <w:tcPr>
            <w:tcW w:w="2682" w:type="dxa"/>
            <w:vMerge/>
          </w:tcPr>
          <w:p w:rsidR="00F42223" w:rsidRPr="00091230" w:rsidRDefault="00F42223" w:rsidP="0026794C">
            <w:pPr>
              <w:jc w:val="both"/>
              <w:rPr>
                <w:rFonts w:eastAsia="Arial"/>
              </w:rPr>
            </w:pPr>
          </w:p>
        </w:tc>
        <w:tc>
          <w:tcPr>
            <w:tcW w:w="2842" w:type="dxa"/>
            <w:shd w:val="clear" w:color="auto" w:fill="auto"/>
          </w:tcPr>
          <w:p w:rsidR="00F42223" w:rsidRPr="00091230" w:rsidRDefault="00F42223" w:rsidP="0026794C">
            <w:pPr>
              <w:jc w:val="both"/>
              <w:rPr>
                <w:rFonts w:eastAsia="Arial"/>
              </w:rPr>
            </w:pPr>
            <w:r w:rsidRPr="00091230">
              <w:rPr>
                <w:rFonts w:eastAsia="Arial"/>
              </w:rPr>
              <w:t>Количество штатных единиц младшего персонала</w:t>
            </w:r>
          </w:p>
        </w:tc>
        <w:tc>
          <w:tcPr>
            <w:tcW w:w="1558" w:type="dxa"/>
            <w:shd w:val="clear" w:color="auto" w:fill="auto"/>
          </w:tcPr>
          <w:p w:rsidR="00F42223" w:rsidRPr="00091230" w:rsidRDefault="00F42223" w:rsidP="0026794C">
            <w:pPr>
              <w:jc w:val="center"/>
            </w:pPr>
            <w:r w:rsidRPr="00091230">
              <w:rPr>
                <w:rFonts w:eastAsia="Arial"/>
              </w:rPr>
              <w:t>–</w:t>
            </w:r>
          </w:p>
        </w:tc>
        <w:tc>
          <w:tcPr>
            <w:tcW w:w="1278" w:type="dxa"/>
            <w:shd w:val="clear" w:color="auto" w:fill="auto"/>
          </w:tcPr>
          <w:p w:rsidR="00F42223" w:rsidRPr="00091230" w:rsidRDefault="00F42223" w:rsidP="0026794C">
            <w:pPr>
              <w:jc w:val="center"/>
            </w:pPr>
            <w:r w:rsidRPr="00091230">
              <w:rPr>
                <w:rFonts w:eastAsia="Arial"/>
              </w:rPr>
              <w:t>–</w:t>
            </w:r>
          </w:p>
        </w:tc>
        <w:tc>
          <w:tcPr>
            <w:tcW w:w="1835" w:type="dxa"/>
            <w:shd w:val="clear" w:color="auto" w:fill="auto"/>
          </w:tcPr>
          <w:p w:rsidR="00F42223" w:rsidRPr="00091230" w:rsidRDefault="00F42223" w:rsidP="0026794C">
            <w:pPr>
              <w:jc w:val="center"/>
              <w:rPr>
                <w:rFonts w:eastAsia="Arial"/>
              </w:rPr>
            </w:pPr>
            <w:r w:rsidRPr="00091230">
              <w:rPr>
                <w:rFonts w:eastAsia="Arial"/>
              </w:rPr>
              <w:t>0,0</w:t>
            </w:r>
          </w:p>
        </w:tc>
      </w:tr>
      <w:tr w:rsidR="00F42223" w:rsidRPr="00091230" w:rsidTr="00810CA9">
        <w:trPr>
          <w:trHeight w:val="20"/>
        </w:trPr>
        <w:tc>
          <w:tcPr>
            <w:tcW w:w="2682" w:type="dxa"/>
            <w:vMerge w:val="restart"/>
          </w:tcPr>
          <w:p w:rsidR="00F42223" w:rsidRPr="00091230" w:rsidRDefault="00F42223" w:rsidP="0026794C">
            <w:pPr>
              <w:jc w:val="both"/>
              <w:rPr>
                <w:rFonts w:eastAsia="Arial"/>
              </w:rPr>
            </w:pPr>
            <w:r w:rsidRPr="00091230">
              <w:rPr>
                <w:rFonts w:eastAsia="Arial"/>
              </w:rPr>
              <w:t xml:space="preserve">ГАУЗ </w:t>
            </w:r>
            <w:r w:rsidR="002F7358">
              <w:rPr>
                <w:rFonts w:eastAsia="Arial"/>
              </w:rPr>
              <w:t>«</w:t>
            </w:r>
            <w:r w:rsidRPr="00091230">
              <w:rPr>
                <w:rFonts w:eastAsia="Arial"/>
              </w:rPr>
              <w:t>Аксубаевская ЦРБ</w:t>
            </w:r>
            <w:r w:rsidR="002F7358">
              <w:rPr>
                <w:rFonts w:eastAsia="Arial"/>
              </w:rPr>
              <w:t>»</w:t>
            </w:r>
          </w:p>
        </w:tc>
        <w:tc>
          <w:tcPr>
            <w:tcW w:w="2842" w:type="dxa"/>
            <w:shd w:val="clear" w:color="auto" w:fill="auto"/>
          </w:tcPr>
          <w:p w:rsidR="00F42223" w:rsidRPr="00091230" w:rsidRDefault="00F42223" w:rsidP="00C55D07">
            <w:pPr>
              <w:jc w:val="both"/>
              <w:rPr>
                <w:rFonts w:eastAsia="Arial"/>
              </w:rPr>
            </w:pPr>
            <w:r w:rsidRPr="00091230">
              <w:rPr>
                <w:rFonts w:eastAsia="Arial"/>
              </w:rPr>
              <w:t>Мощность (ко</w:t>
            </w:r>
            <w:r w:rsidR="00C55D07">
              <w:rPr>
                <w:rFonts w:eastAsia="Arial"/>
              </w:rPr>
              <w:t>ек</w:t>
            </w:r>
            <w:r w:rsidRPr="00091230">
              <w:rPr>
                <w:rFonts w:eastAsia="Arial"/>
              </w:rPr>
              <w:t>, посещений в смену)</w:t>
            </w:r>
          </w:p>
        </w:tc>
        <w:tc>
          <w:tcPr>
            <w:tcW w:w="1558" w:type="dxa"/>
            <w:shd w:val="clear" w:color="auto" w:fill="auto"/>
          </w:tcPr>
          <w:p w:rsidR="00F42223" w:rsidRPr="00091230" w:rsidRDefault="00F42223" w:rsidP="0026794C">
            <w:pPr>
              <w:jc w:val="center"/>
            </w:pPr>
            <w:r w:rsidRPr="00091230">
              <w:rPr>
                <w:rFonts w:eastAsia="Arial"/>
              </w:rPr>
              <w:t>–</w:t>
            </w:r>
          </w:p>
        </w:tc>
        <w:tc>
          <w:tcPr>
            <w:tcW w:w="1278" w:type="dxa"/>
            <w:shd w:val="clear" w:color="auto" w:fill="auto"/>
          </w:tcPr>
          <w:p w:rsidR="00F42223" w:rsidRPr="00091230" w:rsidRDefault="00F42223" w:rsidP="0026794C">
            <w:pPr>
              <w:jc w:val="center"/>
            </w:pPr>
            <w:r w:rsidRPr="00091230">
              <w:rPr>
                <w:rFonts w:eastAsia="Arial"/>
              </w:rPr>
              <w:t>–</w:t>
            </w:r>
          </w:p>
        </w:tc>
        <w:tc>
          <w:tcPr>
            <w:tcW w:w="1835" w:type="dxa"/>
            <w:shd w:val="clear" w:color="auto" w:fill="auto"/>
          </w:tcPr>
          <w:p w:rsidR="00F42223" w:rsidRPr="00091230" w:rsidRDefault="00F42223" w:rsidP="0026794C">
            <w:pPr>
              <w:jc w:val="center"/>
              <w:rPr>
                <w:rFonts w:eastAsia="Arial"/>
              </w:rPr>
            </w:pPr>
            <w:r w:rsidRPr="00091230">
              <w:rPr>
                <w:rFonts w:eastAsia="Arial"/>
              </w:rPr>
              <w:t>15</w:t>
            </w:r>
          </w:p>
        </w:tc>
      </w:tr>
      <w:tr w:rsidR="00F42223" w:rsidRPr="00091230" w:rsidTr="00810CA9">
        <w:trPr>
          <w:trHeight w:val="20"/>
        </w:trPr>
        <w:tc>
          <w:tcPr>
            <w:tcW w:w="2682" w:type="dxa"/>
            <w:vMerge/>
          </w:tcPr>
          <w:p w:rsidR="00F42223" w:rsidRPr="00091230" w:rsidRDefault="00F42223" w:rsidP="0026794C">
            <w:pPr>
              <w:jc w:val="both"/>
              <w:rPr>
                <w:rFonts w:eastAsia="Arial"/>
              </w:rPr>
            </w:pPr>
          </w:p>
        </w:tc>
        <w:tc>
          <w:tcPr>
            <w:tcW w:w="2842" w:type="dxa"/>
            <w:shd w:val="clear" w:color="auto" w:fill="auto"/>
          </w:tcPr>
          <w:p w:rsidR="00F42223" w:rsidRPr="00091230" w:rsidRDefault="00F42223" w:rsidP="0026794C">
            <w:pPr>
              <w:jc w:val="both"/>
              <w:rPr>
                <w:rFonts w:eastAsia="Arial"/>
              </w:rPr>
            </w:pPr>
            <w:r w:rsidRPr="00091230">
              <w:rPr>
                <w:rFonts w:eastAsia="Arial"/>
              </w:rPr>
              <w:t>Количество штатных единиц врачей</w:t>
            </w:r>
          </w:p>
        </w:tc>
        <w:tc>
          <w:tcPr>
            <w:tcW w:w="1558" w:type="dxa"/>
            <w:shd w:val="clear" w:color="auto" w:fill="auto"/>
          </w:tcPr>
          <w:p w:rsidR="00F42223" w:rsidRPr="00091230" w:rsidRDefault="00F42223" w:rsidP="0026794C">
            <w:pPr>
              <w:jc w:val="center"/>
            </w:pPr>
            <w:r w:rsidRPr="00091230">
              <w:rPr>
                <w:rFonts w:eastAsia="Arial"/>
              </w:rPr>
              <w:t>–</w:t>
            </w:r>
          </w:p>
        </w:tc>
        <w:tc>
          <w:tcPr>
            <w:tcW w:w="1278" w:type="dxa"/>
            <w:shd w:val="clear" w:color="auto" w:fill="auto"/>
          </w:tcPr>
          <w:p w:rsidR="00F42223" w:rsidRPr="00091230" w:rsidRDefault="00F42223" w:rsidP="0026794C">
            <w:pPr>
              <w:jc w:val="center"/>
            </w:pPr>
            <w:r w:rsidRPr="00091230">
              <w:rPr>
                <w:rFonts w:eastAsia="Arial"/>
              </w:rPr>
              <w:t>–</w:t>
            </w:r>
          </w:p>
        </w:tc>
        <w:tc>
          <w:tcPr>
            <w:tcW w:w="1835" w:type="dxa"/>
            <w:shd w:val="clear" w:color="auto" w:fill="auto"/>
          </w:tcPr>
          <w:p w:rsidR="00F42223" w:rsidRPr="00091230" w:rsidRDefault="00F42223" w:rsidP="0026794C">
            <w:pPr>
              <w:jc w:val="center"/>
              <w:rPr>
                <w:rFonts w:eastAsia="Arial"/>
              </w:rPr>
            </w:pPr>
            <w:r w:rsidRPr="00091230">
              <w:rPr>
                <w:rFonts w:eastAsia="Arial"/>
              </w:rPr>
              <w:t>0,5</w:t>
            </w:r>
          </w:p>
        </w:tc>
      </w:tr>
      <w:tr w:rsidR="00F42223" w:rsidRPr="00091230" w:rsidTr="00810CA9">
        <w:trPr>
          <w:trHeight w:val="20"/>
        </w:trPr>
        <w:tc>
          <w:tcPr>
            <w:tcW w:w="2682" w:type="dxa"/>
            <w:vMerge/>
          </w:tcPr>
          <w:p w:rsidR="00F42223" w:rsidRPr="00091230" w:rsidRDefault="00F42223" w:rsidP="0026794C">
            <w:pPr>
              <w:jc w:val="both"/>
              <w:rPr>
                <w:rFonts w:eastAsia="Arial"/>
              </w:rPr>
            </w:pPr>
          </w:p>
        </w:tc>
        <w:tc>
          <w:tcPr>
            <w:tcW w:w="2842" w:type="dxa"/>
            <w:shd w:val="clear" w:color="auto" w:fill="auto"/>
          </w:tcPr>
          <w:p w:rsidR="00F42223" w:rsidRPr="00091230" w:rsidRDefault="00F42223" w:rsidP="0026794C">
            <w:pPr>
              <w:jc w:val="both"/>
              <w:rPr>
                <w:rFonts w:eastAsia="Arial"/>
              </w:rPr>
            </w:pPr>
            <w:r w:rsidRPr="00091230">
              <w:rPr>
                <w:rFonts w:eastAsia="Arial"/>
              </w:rPr>
              <w:t>Количество штатных единиц среднего персонала</w:t>
            </w:r>
          </w:p>
        </w:tc>
        <w:tc>
          <w:tcPr>
            <w:tcW w:w="1558" w:type="dxa"/>
            <w:shd w:val="clear" w:color="auto" w:fill="auto"/>
          </w:tcPr>
          <w:p w:rsidR="00F42223" w:rsidRPr="00091230" w:rsidRDefault="00F42223" w:rsidP="0026794C">
            <w:pPr>
              <w:jc w:val="center"/>
            </w:pPr>
            <w:r w:rsidRPr="00091230">
              <w:rPr>
                <w:rFonts w:eastAsia="Arial"/>
              </w:rPr>
              <w:t>–</w:t>
            </w:r>
          </w:p>
        </w:tc>
        <w:tc>
          <w:tcPr>
            <w:tcW w:w="1278" w:type="dxa"/>
            <w:shd w:val="clear" w:color="auto" w:fill="auto"/>
          </w:tcPr>
          <w:p w:rsidR="00F42223" w:rsidRPr="00091230" w:rsidRDefault="00F42223" w:rsidP="0026794C">
            <w:pPr>
              <w:jc w:val="center"/>
            </w:pPr>
            <w:r w:rsidRPr="00091230">
              <w:rPr>
                <w:rFonts w:eastAsia="Arial"/>
              </w:rPr>
              <w:t>–</w:t>
            </w:r>
          </w:p>
        </w:tc>
        <w:tc>
          <w:tcPr>
            <w:tcW w:w="1835" w:type="dxa"/>
            <w:shd w:val="clear" w:color="auto" w:fill="auto"/>
          </w:tcPr>
          <w:p w:rsidR="00F42223" w:rsidRPr="00091230" w:rsidRDefault="00F42223" w:rsidP="0026794C">
            <w:pPr>
              <w:jc w:val="center"/>
              <w:rPr>
                <w:rFonts w:eastAsia="Arial"/>
              </w:rPr>
            </w:pPr>
            <w:r w:rsidRPr="00091230">
              <w:rPr>
                <w:rFonts w:eastAsia="Arial"/>
              </w:rPr>
              <w:t>1,0</w:t>
            </w:r>
          </w:p>
        </w:tc>
      </w:tr>
      <w:tr w:rsidR="00F42223" w:rsidRPr="00091230" w:rsidTr="00810CA9">
        <w:trPr>
          <w:trHeight w:val="20"/>
        </w:trPr>
        <w:tc>
          <w:tcPr>
            <w:tcW w:w="2682" w:type="dxa"/>
            <w:vMerge/>
          </w:tcPr>
          <w:p w:rsidR="00F42223" w:rsidRPr="00091230" w:rsidRDefault="00F42223" w:rsidP="0026794C">
            <w:pPr>
              <w:jc w:val="both"/>
              <w:rPr>
                <w:rFonts w:eastAsia="Arial"/>
              </w:rPr>
            </w:pPr>
          </w:p>
        </w:tc>
        <w:tc>
          <w:tcPr>
            <w:tcW w:w="2842" w:type="dxa"/>
            <w:shd w:val="clear" w:color="auto" w:fill="auto"/>
          </w:tcPr>
          <w:p w:rsidR="00F42223" w:rsidRPr="00091230" w:rsidRDefault="00F42223" w:rsidP="0026794C">
            <w:pPr>
              <w:jc w:val="both"/>
              <w:rPr>
                <w:rFonts w:eastAsia="Arial"/>
              </w:rPr>
            </w:pPr>
            <w:r w:rsidRPr="00091230">
              <w:rPr>
                <w:rFonts w:eastAsia="Arial"/>
              </w:rPr>
              <w:t>Количество штатных единиц младшего персонала</w:t>
            </w:r>
          </w:p>
        </w:tc>
        <w:tc>
          <w:tcPr>
            <w:tcW w:w="1558" w:type="dxa"/>
            <w:shd w:val="clear" w:color="auto" w:fill="auto"/>
          </w:tcPr>
          <w:p w:rsidR="00F42223" w:rsidRPr="00091230" w:rsidRDefault="00F42223" w:rsidP="0026794C">
            <w:pPr>
              <w:jc w:val="center"/>
            </w:pPr>
            <w:r w:rsidRPr="00091230">
              <w:rPr>
                <w:rFonts w:eastAsia="Arial"/>
              </w:rPr>
              <w:t>–</w:t>
            </w:r>
          </w:p>
        </w:tc>
        <w:tc>
          <w:tcPr>
            <w:tcW w:w="1278" w:type="dxa"/>
            <w:shd w:val="clear" w:color="auto" w:fill="auto"/>
          </w:tcPr>
          <w:p w:rsidR="00F42223" w:rsidRPr="00091230" w:rsidRDefault="00F42223" w:rsidP="0026794C">
            <w:pPr>
              <w:jc w:val="center"/>
            </w:pPr>
            <w:r w:rsidRPr="00091230">
              <w:rPr>
                <w:rFonts w:eastAsia="Arial"/>
              </w:rPr>
              <w:t>–</w:t>
            </w:r>
          </w:p>
        </w:tc>
        <w:tc>
          <w:tcPr>
            <w:tcW w:w="1835" w:type="dxa"/>
            <w:shd w:val="clear" w:color="auto" w:fill="auto"/>
          </w:tcPr>
          <w:p w:rsidR="00F42223" w:rsidRPr="00091230" w:rsidRDefault="00F42223" w:rsidP="0026794C">
            <w:pPr>
              <w:jc w:val="center"/>
              <w:rPr>
                <w:rFonts w:eastAsia="Arial"/>
              </w:rPr>
            </w:pPr>
            <w:r w:rsidRPr="00091230">
              <w:rPr>
                <w:rFonts w:eastAsia="Arial"/>
              </w:rPr>
              <w:t>0,0</w:t>
            </w:r>
          </w:p>
        </w:tc>
      </w:tr>
      <w:tr w:rsidR="00F42223" w:rsidRPr="00091230" w:rsidTr="00810CA9">
        <w:trPr>
          <w:trHeight w:val="20"/>
        </w:trPr>
        <w:tc>
          <w:tcPr>
            <w:tcW w:w="2682" w:type="dxa"/>
            <w:vMerge w:val="restart"/>
          </w:tcPr>
          <w:p w:rsidR="00F42223" w:rsidRPr="00091230" w:rsidRDefault="00F42223" w:rsidP="0026794C">
            <w:pPr>
              <w:jc w:val="both"/>
              <w:rPr>
                <w:rFonts w:eastAsia="Arial"/>
              </w:rPr>
            </w:pPr>
            <w:r w:rsidRPr="00091230">
              <w:rPr>
                <w:rFonts w:eastAsia="Arial"/>
              </w:rPr>
              <w:t xml:space="preserve">ГАУЗ </w:t>
            </w:r>
            <w:r w:rsidR="002F7358">
              <w:rPr>
                <w:rFonts w:eastAsia="Arial"/>
              </w:rPr>
              <w:t>«</w:t>
            </w:r>
            <w:r w:rsidRPr="00091230">
              <w:rPr>
                <w:rFonts w:eastAsia="Arial"/>
              </w:rPr>
              <w:t>Менделеевская ЦРБ</w:t>
            </w:r>
            <w:r w:rsidR="002F7358">
              <w:rPr>
                <w:rFonts w:eastAsia="Arial"/>
              </w:rPr>
              <w:t>»</w:t>
            </w:r>
          </w:p>
        </w:tc>
        <w:tc>
          <w:tcPr>
            <w:tcW w:w="2842" w:type="dxa"/>
            <w:shd w:val="clear" w:color="auto" w:fill="auto"/>
          </w:tcPr>
          <w:p w:rsidR="00F42223" w:rsidRPr="00091230" w:rsidRDefault="00F42223" w:rsidP="00C55D07">
            <w:pPr>
              <w:jc w:val="both"/>
              <w:rPr>
                <w:rFonts w:eastAsia="Arial"/>
              </w:rPr>
            </w:pPr>
            <w:r w:rsidRPr="00091230">
              <w:rPr>
                <w:rFonts w:eastAsia="Arial"/>
              </w:rPr>
              <w:t>Мощность (ко</w:t>
            </w:r>
            <w:r w:rsidR="00C55D07">
              <w:rPr>
                <w:rFonts w:eastAsia="Arial"/>
              </w:rPr>
              <w:t>ек</w:t>
            </w:r>
            <w:r w:rsidRPr="00091230">
              <w:rPr>
                <w:rFonts w:eastAsia="Arial"/>
              </w:rPr>
              <w:t>, посещений в смену)</w:t>
            </w:r>
          </w:p>
        </w:tc>
        <w:tc>
          <w:tcPr>
            <w:tcW w:w="1558" w:type="dxa"/>
            <w:shd w:val="clear" w:color="auto" w:fill="auto"/>
          </w:tcPr>
          <w:p w:rsidR="00F42223" w:rsidRPr="00091230" w:rsidRDefault="00F42223" w:rsidP="0026794C">
            <w:pPr>
              <w:jc w:val="center"/>
            </w:pPr>
            <w:r w:rsidRPr="00091230">
              <w:rPr>
                <w:rFonts w:eastAsia="Arial"/>
              </w:rPr>
              <w:t>–</w:t>
            </w:r>
          </w:p>
        </w:tc>
        <w:tc>
          <w:tcPr>
            <w:tcW w:w="1278" w:type="dxa"/>
            <w:shd w:val="clear" w:color="auto" w:fill="auto"/>
          </w:tcPr>
          <w:p w:rsidR="00F42223" w:rsidRPr="00091230" w:rsidRDefault="00F42223" w:rsidP="0026794C">
            <w:pPr>
              <w:jc w:val="center"/>
            </w:pPr>
            <w:r w:rsidRPr="00091230">
              <w:rPr>
                <w:rFonts w:eastAsia="Arial"/>
              </w:rPr>
              <w:t>–</w:t>
            </w:r>
          </w:p>
        </w:tc>
        <w:tc>
          <w:tcPr>
            <w:tcW w:w="1835" w:type="dxa"/>
            <w:shd w:val="clear" w:color="auto" w:fill="auto"/>
          </w:tcPr>
          <w:p w:rsidR="00F42223" w:rsidRPr="00091230" w:rsidRDefault="00F42223" w:rsidP="0026794C">
            <w:pPr>
              <w:jc w:val="center"/>
              <w:rPr>
                <w:rFonts w:eastAsia="Arial"/>
              </w:rPr>
            </w:pPr>
            <w:r w:rsidRPr="00091230">
              <w:rPr>
                <w:rFonts w:eastAsia="Arial"/>
              </w:rPr>
              <w:t>15</w:t>
            </w:r>
          </w:p>
        </w:tc>
      </w:tr>
      <w:tr w:rsidR="00F42223" w:rsidRPr="00091230" w:rsidTr="00810CA9">
        <w:trPr>
          <w:trHeight w:val="20"/>
        </w:trPr>
        <w:tc>
          <w:tcPr>
            <w:tcW w:w="2682" w:type="dxa"/>
            <w:vMerge/>
          </w:tcPr>
          <w:p w:rsidR="00F42223" w:rsidRPr="00091230" w:rsidRDefault="00F42223" w:rsidP="0026794C">
            <w:pPr>
              <w:jc w:val="both"/>
              <w:rPr>
                <w:rFonts w:eastAsia="Arial"/>
              </w:rPr>
            </w:pPr>
          </w:p>
        </w:tc>
        <w:tc>
          <w:tcPr>
            <w:tcW w:w="2842" w:type="dxa"/>
            <w:shd w:val="clear" w:color="auto" w:fill="auto"/>
          </w:tcPr>
          <w:p w:rsidR="00F42223" w:rsidRPr="00091230" w:rsidRDefault="00F42223" w:rsidP="0026794C">
            <w:pPr>
              <w:jc w:val="both"/>
              <w:rPr>
                <w:rFonts w:eastAsia="Arial"/>
              </w:rPr>
            </w:pPr>
            <w:r w:rsidRPr="00091230">
              <w:rPr>
                <w:rFonts w:eastAsia="Arial"/>
              </w:rPr>
              <w:t>Количество штатных единиц врачей</w:t>
            </w:r>
          </w:p>
        </w:tc>
        <w:tc>
          <w:tcPr>
            <w:tcW w:w="1558" w:type="dxa"/>
            <w:shd w:val="clear" w:color="auto" w:fill="auto"/>
          </w:tcPr>
          <w:p w:rsidR="00F42223" w:rsidRPr="00091230" w:rsidRDefault="00F42223" w:rsidP="0026794C">
            <w:pPr>
              <w:jc w:val="center"/>
            </w:pPr>
            <w:r w:rsidRPr="00091230">
              <w:rPr>
                <w:rFonts w:eastAsia="Arial"/>
              </w:rPr>
              <w:t>–</w:t>
            </w:r>
          </w:p>
        </w:tc>
        <w:tc>
          <w:tcPr>
            <w:tcW w:w="1278" w:type="dxa"/>
            <w:shd w:val="clear" w:color="auto" w:fill="auto"/>
          </w:tcPr>
          <w:p w:rsidR="00F42223" w:rsidRPr="00091230" w:rsidRDefault="00F42223" w:rsidP="0026794C">
            <w:pPr>
              <w:jc w:val="center"/>
            </w:pPr>
            <w:r w:rsidRPr="00091230">
              <w:rPr>
                <w:rFonts w:eastAsia="Arial"/>
              </w:rPr>
              <w:t>–</w:t>
            </w:r>
          </w:p>
        </w:tc>
        <w:tc>
          <w:tcPr>
            <w:tcW w:w="1835" w:type="dxa"/>
            <w:shd w:val="clear" w:color="auto" w:fill="auto"/>
          </w:tcPr>
          <w:p w:rsidR="00F42223" w:rsidRPr="00091230" w:rsidRDefault="00F42223" w:rsidP="0026794C">
            <w:pPr>
              <w:jc w:val="center"/>
              <w:rPr>
                <w:rFonts w:eastAsia="Arial"/>
              </w:rPr>
            </w:pPr>
            <w:r w:rsidRPr="00091230">
              <w:rPr>
                <w:rFonts w:eastAsia="Arial"/>
              </w:rPr>
              <w:t>0,5</w:t>
            </w:r>
          </w:p>
        </w:tc>
      </w:tr>
      <w:tr w:rsidR="00F42223" w:rsidRPr="00091230" w:rsidTr="00810CA9">
        <w:trPr>
          <w:trHeight w:val="20"/>
        </w:trPr>
        <w:tc>
          <w:tcPr>
            <w:tcW w:w="2682" w:type="dxa"/>
            <w:vMerge/>
          </w:tcPr>
          <w:p w:rsidR="00F42223" w:rsidRPr="00091230" w:rsidRDefault="00F42223" w:rsidP="0026794C">
            <w:pPr>
              <w:jc w:val="both"/>
              <w:rPr>
                <w:rFonts w:eastAsia="Arial"/>
              </w:rPr>
            </w:pPr>
          </w:p>
        </w:tc>
        <w:tc>
          <w:tcPr>
            <w:tcW w:w="2842" w:type="dxa"/>
            <w:shd w:val="clear" w:color="auto" w:fill="auto"/>
          </w:tcPr>
          <w:p w:rsidR="00F42223" w:rsidRPr="00091230" w:rsidRDefault="00F42223" w:rsidP="0026794C">
            <w:pPr>
              <w:jc w:val="both"/>
              <w:rPr>
                <w:rFonts w:eastAsia="Arial"/>
              </w:rPr>
            </w:pPr>
            <w:r w:rsidRPr="00091230">
              <w:rPr>
                <w:rFonts w:eastAsia="Arial"/>
              </w:rPr>
              <w:t>Количество штатных единиц среднего персонала</w:t>
            </w:r>
          </w:p>
        </w:tc>
        <w:tc>
          <w:tcPr>
            <w:tcW w:w="1558" w:type="dxa"/>
            <w:shd w:val="clear" w:color="auto" w:fill="auto"/>
          </w:tcPr>
          <w:p w:rsidR="00F42223" w:rsidRPr="00091230" w:rsidRDefault="00F42223" w:rsidP="0026794C">
            <w:pPr>
              <w:jc w:val="center"/>
            </w:pPr>
            <w:r w:rsidRPr="00091230">
              <w:rPr>
                <w:rFonts w:eastAsia="Arial"/>
              </w:rPr>
              <w:t>–</w:t>
            </w:r>
          </w:p>
        </w:tc>
        <w:tc>
          <w:tcPr>
            <w:tcW w:w="1278" w:type="dxa"/>
            <w:shd w:val="clear" w:color="auto" w:fill="auto"/>
          </w:tcPr>
          <w:p w:rsidR="00F42223" w:rsidRPr="00091230" w:rsidRDefault="00F42223" w:rsidP="0026794C">
            <w:pPr>
              <w:jc w:val="center"/>
            </w:pPr>
            <w:r w:rsidRPr="00091230">
              <w:rPr>
                <w:rFonts w:eastAsia="Arial"/>
              </w:rPr>
              <w:t>–</w:t>
            </w:r>
          </w:p>
        </w:tc>
        <w:tc>
          <w:tcPr>
            <w:tcW w:w="1835" w:type="dxa"/>
            <w:shd w:val="clear" w:color="auto" w:fill="auto"/>
          </w:tcPr>
          <w:p w:rsidR="00F42223" w:rsidRPr="00091230" w:rsidRDefault="00F42223" w:rsidP="0026794C">
            <w:pPr>
              <w:jc w:val="center"/>
              <w:rPr>
                <w:rFonts w:eastAsia="Arial"/>
              </w:rPr>
            </w:pPr>
            <w:r w:rsidRPr="00091230">
              <w:rPr>
                <w:rFonts w:eastAsia="Arial"/>
              </w:rPr>
              <w:t>1,0</w:t>
            </w:r>
          </w:p>
        </w:tc>
      </w:tr>
      <w:tr w:rsidR="00F42223" w:rsidRPr="00091230" w:rsidTr="00810CA9">
        <w:trPr>
          <w:trHeight w:val="20"/>
        </w:trPr>
        <w:tc>
          <w:tcPr>
            <w:tcW w:w="2682" w:type="dxa"/>
            <w:vMerge/>
          </w:tcPr>
          <w:p w:rsidR="00F42223" w:rsidRPr="00091230" w:rsidRDefault="00F42223" w:rsidP="0026794C">
            <w:pPr>
              <w:jc w:val="both"/>
              <w:rPr>
                <w:rFonts w:eastAsia="Arial"/>
              </w:rPr>
            </w:pPr>
          </w:p>
        </w:tc>
        <w:tc>
          <w:tcPr>
            <w:tcW w:w="2842" w:type="dxa"/>
            <w:shd w:val="clear" w:color="auto" w:fill="auto"/>
          </w:tcPr>
          <w:p w:rsidR="00F42223" w:rsidRPr="00091230" w:rsidRDefault="00F42223" w:rsidP="0026794C">
            <w:pPr>
              <w:jc w:val="both"/>
              <w:rPr>
                <w:rFonts w:eastAsia="Arial"/>
              </w:rPr>
            </w:pPr>
            <w:r w:rsidRPr="00091230">
              <w:rPr>
                <w:rFonts w:eastAsia="Arial"/>
              </w:rPr>
              <w:t>Количество штатных единиц младшего персонала</w:t>
            </w:r>
          </w:p>
        </w:tc>
        <w:tc>
          <w:tcPr>
            <w:tcW w:w="1558" w:type="dxa"/>
            <w:shd w:val="clear" w:color="auto" w:fill="auto"/>
          </w:tcPr>
          <w:p w:rsidR="00F42223" w:rsidRPr="00091230" w:rsidRDefault="00F42223" w:rsidP="0026794C">
            <w:pPr>
              <w:jc w:val="center"/>
            </w:pPr>
            <w:r w:rsidRPr="00091230">
              <w:rPr>
                <w:rFonts w:eastAsia="Arial"/>
              </w:rPr>
              <w:t>–</w:t>
            </w:r>
          </w:p>
        </w:tc>
        <w:tc>
          <w:tcPr>
            <w:tcW w:w="1278" w:type="dxa"/>
            <w:shd w:val="clear" w:color="auto" w:fill="auto"/>
          </w:tcPr>
          <w:p w:rsidR="00F42223" w:rsidRPr="00091230" w:rsidRDefault="00F42223" w:rsidP="0026794C">
            <w:pPr>
              <w:jc w:val="center"/>
            </w:pPr>
            <w:r w:rsidRPr="00091230">
              <w:rPr>
                <w:rFonts w:eastAsia="Arial"/>
              </w:rPr>
              <w:t>–</w:t>
            </w:r>
          </w:p>
        </w:tc>
        <w:tc>
          <w:tcPr>
            <w:tcW w:w="1835" w:type="dxa"/>
            <w:shd w:val="clear" w:color="auto" w:fill="auto"/>
          </w:tcPr>
          <w:p w:rsidR="00F42223" w:rsidRPr="00091230" w:rsidRDefault="00F42223" w:rsidP="0026794C">
            <w:pPr>
              <w:jc w:val="center"/>
              <w:rPr>
                <w:rFonts w:eastAsia="Arial"/>
              </w:rPr>
            </w:pPr>
            <w:r w:rsidRPr="00091230">
              <w:rPr>
                <w:rFonts w:eastAsia="Arial"/>
              </w:rPr>
              <w:t>0,0</w:t>
            </w:r>
          </w:p>
        </w:tc>
      </w:tr>
      <w:tr w:rsidR="00F42223" w:rsidRPr="00091230" w:rsidTr="00810CA9">
        <w:trPr>
          <w:trHeight w:val="20"/>
        </w:trPr>
        <w:tc>
          <w:tcPr>
            <w:tcW w:w="2682" w:type="dxa"/>
            <w:vMerge w:val="restart"/>
          </w:tcPr>
          <w:p w:rsidR="00F42223" w:rsidRPr="00091230" w:rsidRDefault="00F42223" w:rsidP="0026794C">
            <w:pPr>
              <w:jc w:val="both"/>
              <w:rPr>
                <w:rFonts w:eastAsia="Arial"/>
              </w:rPr>
            </w:pPr>
            <w:r w:rsidRPr="00091230">
              <w:rPr>
                <w:rFonts w:eastAsia="Arial"/>
              </w:rPr>
              <w:t xml:space="preserve">ГАУЗ </w:t>
            </w:r>
            <w:r w:rsidR="002F7358">
              <w:rPr>
                <w:rFonts w:eastAsia="Arial"/>
              </w:rPr>
              <w:t>«</w:t>
            </w:r>
            <w:r w:rsidRPr="00091230">
              <w:rPr>
                <w:rFonts w:eastAsia="Arial"/>
              </w:rPr>
              <w:t>Мензелинская ЦРБ</w:t>
            </w:r>
            <w:r w:rsidR="002F7358">
              <w:rPr>
                <w:rFonts w:eastAsia="Arial"/>
              </w:rPr>
              <w:t>»</w:t>
            </w:r>
          </w:p>
        </w:tc>
        <w:tc>
          <w:tcPr>
            <w:tcW w:w="2842" w:type="dxa"/>
            <w:shd w:val="clear" w:color="auto" w:fill="auto"/>
          </w:tcPr>
          <w:p w:rsidR="00F42223" w:rsidRPr="00091230" w:rsidRDefault="00C55D07" w:rsidP="00C55D07">
            <w:pPr>
              <w:jc w:val="both"/>
              <w:rPr>
                <w:rFonts w:eastAsia="Arial"/>
              </w:rPr>
            </w:pPr>
            <w:r>
              <w:rPr>
                <w:rFonts w:eastAsia="Arial"/>
              </w:rPr>
              <w:t>Мощность (коек</w:t>
            </w:r>
            <w:r w:rsidR="00F42223" w:rsidRPr="00091230">
              <w:rPr>
                <w:rFonts w:eastAsia="Arial"/>
              </w:rPr>
              <w:t>, посещений в смену)</w:t>
            </w:r>
          </w:p>
        </w:tc>
        <w:tc>
          <w:tcPr>
            <w:tcW w:w="1558" w:type="dxa"/>
            <w:shd w:val="clear" w:color="auto" w:fill="auto"/>
          </w:tcPr>
          <w:p w:rsidR="00F42223" w:rsidRPr="00091230" w:rsidRDefault="00F42223" w:rsidP="0026794C">
            <w:pPr>
              <w:jc w:val="center"/>
            </w:pPr>
            <w:r w:rsidRPr="00091230">
              <w:rPr>
                <w:rFonts w:eastAsia="Arial"/>
              </w:rPr>
              <w:t>–</w:t>
            </w:r>
          </w:p>
        </w:tc>
        <w:tc>
          <w:tcPr>
            <w:tcW w:w="1278" w:type="dxa"/>
            <w:shd w:val="clear" w:color="auto" w:fill="auto"/>
          </w:tcPr>
          <w:p w:rsidR="00F42223" w:rsidRPr="00091230" w:rsidRDefault="00F42223" w:rsidP="0026794C">
            <w:pPr>
              <w:jc w:val="center"/>
            </w:pPr>
            <w:r w:rsidRPr="00091230">
              <w:rPr>
                <w:rFonts w:eastAsia="Arial"/>
              </w:rPr>
              <w:t>–</w:t>
            </w:r>
          </w:p>
        </w:tc>
        <w:tc>
          <w:tcPr>
            <w:tcW w:w="1835" w:type="dxa"/>
            <w:shd w:val="clear" w:color="auto" w:fill="auto"/>
          </w:tcPr>
          <w:p w:rsidR="00F42223" w:rsidRPr="00091230" w:rsidRDefault="00F42223" w:rsidP="0026794C">
            <w:pPr>
              <w:jc w:val="center"/>
              <w:rPr>
                <w:rFonts w:eastAsia="Arial"/>
              </w:rPr>
            </w:pPr>
            <w:r w:rsidRPr="00091230">
              <w:rPr>
                <w:rFonts w:eastAsia="Arial"/>
              </w:rPr>
              <w:t>15</w:t>
            </w:r>
          </w:p>
        </w:tc>
      </w:tr>
      <w:tr w:rsidR="00F42223" w:rsidRPr="00091230" w:rsidTr="00810CA9">
        <w:trPr>
          <w:trHeight w:val="20"/>
        </w:trPr>
        <w:tc>
          <w:tcPr>
            <w:tcW w:w="2682" w:type="dxa"/>
            <w:vMerge/>
          </w:tcPr>
          <w:p w:rsidR="00F42223" w:rsidRPr="00091230" w:rsidRDefault="00F42223" w:rsidP="0026794C">
            <w:pPr>
              <w:jc w:val="both"/>
              <w:rPr>
                <w:rFonts w:eastAsia="Arial"/>
              </w:rPr>
            </w:pPr>
          </w:p>
        </w:tc>
        <w:tc>
          <w:tcPr>
            <w:tcW w:w="2842" w:type="dxa"/>
            <w:shd w:val="clear" w:color="auto" w:fill="auto"/>
          </w:tcPr>
          <w:p w:rsidR="00F42223" w:rsidRPr="00091230" w:rsidRDefault="00F42223" w:rsidP="0026794C">
            <w:pPr>
              <w:jc w:val="both"/>
              <w:rPr>
                <w:rFonts w:eastAsia="Arial"/>
              </w:rPr>
            </w:pPr>
            <w:r w:rsidRPr="00091230">
              <w:rPr>
                <w:rFonts w:eastAsia="Arial"/>
              </w:rPr>
              <w:t>Количество штатных единиц врачей</w:t>
            </w:r>
          </w:p>
        </w:tc>
        <w:tc>
          <w:tcPr>
            <w:tcW w:w="1558" w:type="dxa"/>
            <w:shd w:val="clear" w:color="auto" w:fill="auto"/>
          </w:tcPr>
          <w:p w:rsidR="00F42223" w:rsidRPr="00091230" w:rsidRDefault="00F42223" w:rsidP="0026794C">
            <w:pPr>
              <w:jc w:val="center"/>
            </w:pPr>
            <w:r w:rsidRPr="00091230">
              <w:rPr>
                <w:rFonts w:eastAsia="Arial"/>
              </w:rPr>
              <w:t>–</w:t>
            </w:r>
          </w:p>
        </w:tc>
        <w:tc>
          <w:tcPr>
            <w:tcW w:w="1278" w:type="dxa"/>
            <w:shd w:val="clear" w:color="auto" w:fill="auto"/>
          </w:tcPr>
          <w:p w:rsidR="00F42223" w:rsidRPr="00091230" w:rsidRDefault="00F42223" w:rsidP="0026794C">
            <w:pPr>
              <w:jc w:val="center"/>
            </w:pPr>
            <w:r w:rsidRPr="00091230">
              <w:rPr>
                <w:rFonts w:eastAsia="Arial"/>
              </w:rPr>
              <w:t>–</w:t>
            </w:r>
          </w:p>
        </w:tc>
        <w:tc>
          <w:tcPr>
            <w:tcW w:w="1835" w:type="dxa"/>
            <w:shd w:val="clear" w:color="auto" w:fill="auto"/>
          </w:tcPr>
          <w:p w:rsidR="00F42223" w:rsidRPr="00091230" w:rsidRDefault="00F42223" w:rsidP="0026794C">
            <w:pPr>
              <w:jc w:val="center"/>
              <w:rPr>
                <w:rFonts w:eastAsia="Arial"/>
              </w:rPr>
            </w:pPr>
            <w:r w:rsidRPr="00091230">
              <w:rPr>
                <w:rFonts w:eastAsia="Arial"/>
              </w:rPr>
              <w:t>0,5</w:t>
            </w:r>
          </w:p>
        </w:tc>
      </w:tr>
      <w:tr w:rsidR="00F42223" w:rsidRPr="00091230" w:rsidTr="00810CA9">
        <w:trPr>
          <w:trHeight w:val="20"/>
        </w:trPr>
        <w:tc>
          <w:tcPr>
            <w:tcW w:w="2682" w:type="dxa"/>
            <w:vMerge/>
          </w:tcPr>
          <w:p w:rsidR="00F42223" w:rsidRPr="00091230" w:rsidRDefault="00F42223" w:rsidP="0026794C">
            <w:pPr>
              <w:jc w:val="both"/>
              <w:rPr>
                <w:rFonts w:eastAsia="Arial"/>
              </w:rPr>
            </w:pPr>
          </w:p>
        </w:tc>
        <w:tc>
          <w:tcPr>
            <w:tcW w:w="2842" w:type="dxa"/>
            <w:shd w:val="clear" w:color="auto" w:fill="auto"/>
          </w:tcPr>
          <w:p w:rsidR="00F42223" w:rsidRPr="00091230" w:rsidRDefault="00F42223" w:rsidP="0026794C">
            <w:pPr>
              <w:jc w:val="both"/>
              <w:rPr>
                <w:rFonts w:eastAsia="Arial"/>
              </w:rPr>
            </w:pPr>
            <w:r w:rsidRPr="00091230">
              <w:rPr>
                <w:rFonts w:eastAsia="Arial"/>
              </w:rPr>
              <w:t>Количество штатных единиц среднего персонала</w:t>
            </w:r>
          </w:p>
        </w:tc>
        <w:tc>
          <w:tcPr>
            <w:tcW w:w="1558" w:type="dxa"/>
            <w:shd w:val="clear" w:color="auto" w:fill="auto"/>
          </w:tcPr>
          <w:p w:rsidR="00F42223" w:rsidRPr="00091230" w:rsidRDefault="00F42223" w:rsidP="0026794C">
            <w:pPr>
              <w:jc w:val="center"/>
            </w:pPr>
            <w:r w:rsidRPr="00091230">
              <w:rPr>
                <w:rFonts w:eastAsia="Arial"/>
              </w:rPr>
              <w:t>–</w:t>
            </w:r>
          </w:p>
        </w:tc>
        <w:tc>
          <w:tcPr>
            <w:tcW w:w="1278" w:type="dxa"/>
            <w:shd w:val="clear" w:color="auto" w:fill="auto"/>
          </w:tcPr>
          <w:p w:rsidR="00F42223" w:rsidRPr="00091230" w:rsidRDefault="00F42223" w:rsidP="0026794C">
            <w:pPr>
              <w:jc w:val="center"/>
            </w:pPr>
            <w:r w:rsidRPr="00091230">
              <w:rPr>
                <w:rFonts w:eastAsia="Arial"/>
              </w:rPr>
              <w:t>–</w:t>
            </w:r>
          </w:p>
        </w:tc>
        <w:tc>
          <w:tcPr>
            <w:tcW w:w="1835" w:type="dxa"/>
            <w:shd w:val="clear" w:color="auto" w:fill="auto"/>
          </w:tcPr>
          <w:p w:rsidR="00F42223" w:rsidRPr="00091230" w:rsidRDefault="00F42223" w:rsidP="0026794C">
            <w:pPr>
              <w:jc w:val="center"/>
              <w:rPr>
                <w:rFonts w:eastAsia="Arial"/>
              </w:rPr>
            </w:pPr>
            <w:r w:rsidRPr="00091230">
              <w:rPr>
                <w:rFonts w:eastAsia="Arial"/>
              </w:rPr>
              <w:t>1,0</w:t>
            </w:r>
          </w:p>
        </w:tc>
      </w:tr>
      <w:tr w:rsidR="00F42223" w:rsidRPr="00091230" w:rsidTr="00810CA9">
        <w:trPr>
          <w:trHeight w:val="20"/>
        </w:trPr>
        <w:tc>
          <w:tcPr>
            <w:tcW w:w="2682" w:type="dxa"/>
            <w:vMerge/>
          </w:tcPr>
          <w:p w:rsidR="00F42223" w:rsidRPr="00091230" w:rsidRDefault="00F42223" w:rsidP="0026794C">
            <w:pPr>
              <w:jc w:val="both"/>
              <w:rPr>
                <w:rFonts w:eastAsia="Arial"/>
              </w:rPr>
            </w:pPr>
          </w:p>
        </w:tc>
        <w:tc>
          <w:tcPr>
            <w:tcW w:w="2842" w:type="dxa"/>
            <w:shd w:val="clear" w:color="auto" w:fill="auto"/>
          </w:tcPr>
          <w:p w:rsidR="00F42223" w:rsidRPr="00091230" w:rsidRDefault="00F42223" w:rsidP="0026794C">
            <w:pPr>
              <w:jc w:val="both"/>
              <w:rPr>
                <w:rFonts w:eastAsia="Arial"/>
              </w:rPr>
            </w:pPr>
            <w:r w:rsidRPr="00091230">
              <w:rPr>
                <w:rFonts w:eastAsia="Arial"/>
              </w:rPr>
              <w:t>Количество штатных единиц младшего персонала</w:t>
            </w:r>
          </w:p>
        </w:tc>
        <w:tc>
          <w:tcPr>
            <w:tcW w:w="1558" w:type="dxa"/>
            <w:shd w:val="clear" w:color="auto" w:fill="auto"/>
          </w:tcPr>
          <w:p w:rsidR="00F42223" w:rsidRPr="00091230" w:rsidRDefault="00F42223" w:rsidP="0026794C">
            <w:pPr>
              <w:jc w:val="center"/>
            </w:pPr>
            <w:r w:rsidRPr="00091230">
              <w:rPr>
                <w:rFonts w:eastAsia="Arial"/>
              </w:rPr>
              <w:t>–</w:t>
            </w:r>
          </w:p>
        </w:tc>
        <w:tc>
          <w:tcPr>
            <w:tcW w:w="1278" w:type="dxa"/>
            <w:shd w:val="clear" w:color="auto" w:fill="auto"/>
          </w:tcPr>
          <w:p w:rsidR="00F42223" w:rsidRPr="00091230" w:rsidRDefault="00F42223" w:rsidP="0026794C">
            <w:pPr>
              <w:jc w:val="center"/>
            </w:pPr>
            <w:r w:rsidRPr="00091230">
              <w:rPr>
                <w:rFonts w:eastAsia="Arial"/>
              </w:rPr>
              <w:t>–</w:t>
            </w:r>
          </w:p>
        </w:tc>
        <w:tc>
          <w:tcPr>
            <w:tcW w:w="1835" w:type="dxa"/>
            <w:shd w:val="clear" w:color="auto" w:fill="auto"/>
          </w:tcPr>
          <w:p w:rsidR="00F42223" w:rsidRPr="00091230" w:rsidRDefault="00F42223" w:rsidP="0026794C">
            <w:pPr>
              <w:jc w:val="center"/>
              <w:rPr>
                <w:rFonts w:eastAsia="Arial"/>
              </w:rPr>
            </w:pPr>
            <w:r w:rsidRPr="00091230">
              <w:rPr>
                <w:rFonts w:eastAsia="Arial"/>
              </w:rPr>
              <w:t>0,0</w:t>
            </w:r>
          </w:p>
        </w:tc>
      </w:tr>
      <w:tr w:rsidR="00F42223" w:rsidRPr="00091230" w:rsidTr="00810CA9">
        <w:trPr>
          <w:trHeight w:val="20"/>
        </w:trPr>
        <w:tc>
          <w:tcPr>
            <w:tcW w:w="2682" w:type="dxa"/>
            <w:vMerge w:val="restart"/>
          </w:tcPr>
          <w:p w:rsidR="00F42223" w:rsidRPr="00091230" w:rsidRDefault="00F42223" w:rsidP="0026794C">
            <w:pPr>
              <w:jc w:val="both"/>
              <w:rPr>
                <w:rFonts w:eastAsia="Arial"/>
              </w:rPr>
            </w:pPr>
            <w:r w:rsidRPr="00091230">
              <w:rPr>
                <w:rFonts w:eastAsia="Arial"/>
              </w:rPr>
              <w:t xml:space="preserve">ГАУЗ </w:t>
            </w:r>
            <w:r w:rsidR="002F7358">
              <w:rPr>
                <w:rFonts w:eastAsia="Arial"/>
              </w:rPr>
              <w:t>«</w:t>
            </w:r>
            <w:r w:rsidRPr="00091230">
              <w:rPr>
                <w:rFonts w:eastAsia="Arial"/>
              </w:rPr>
              <w:t>Нурлатская ЦРБ</w:t>
            </w:r>
            <w:r w:rsidR="002F7358">
              <w:rPr>
                <w:rFonts w:eastAsia="Arial"/>
              </w:rPr>
              <w:t>»</w:t>
            </w:r>
          </w:p>
        </w:tc>
        <w:tc>
          <w:tcPr>
            <w:tcW w:w="2842" w:type="dxa"/>
            <w:shd w:val="clear" w:color="auto" w:fill="auto"/>
          </w:tcPr>
          <w:p w:rsidR="00F42223" w:rsidRPr="00091230" w:rsidRDefault="00C55D07" w:rsidP="00C55D07">
            <w:pPr>
              <w:jc w:val="both"/>
              <w:rPr>
                <w:rFonts w:eastAsia="Arial"/>
              </w:rPr>
            </w:pPr>
            <w:r>
              <w:rPr>
                <w:rFonts w:eastAsia="Arial"/>
              </w:rPr>
              <w:t>Мощность (коек</w:t>
            </w:r>
            <w:r w:rsidR="00F42223" w:rsidRPr="00091230">
              <w:rPr>
                <w:rFonts w:eastAsia="Arial"/>
              </w:rPr>
              <w:t>, посещений в смену)</w:t>
            </w:r>
          </w:p>
        </w:tc>
        <w:tc>
          <w:tcPr>
            <w:tcW w:w="1558" w:type="dxa"/>
            <w:shd w:val="clear" w:color="auto" w:fill="auto"/>
          </w:tcPr>
          <w:p w:rsidR="00F42223" w:rsidRPr="00091230" w:rsidRDefault="00F42223" w:rsidP="0026794C">
            <w:pPr>
              <w:jc w:val="center"/>
            </w:pPr>
            <w:r w:rsidRPr="00091230">
              <w:rPr>
                <w:rFonts w:eastAsia="Arial"/>
              </w:rPr>
              <w:t>–</w:t>
            </w:r>
          </w:p>
        </w:tc>
        <w:tc>
          <w:tcPr>
            <w:tcW w:w="1278" w:type="dxa"/>
            <w:shd w:val="clear" w:color="auto" w:fill="auto"/>
          </w:tcPr>
          <w:p w:rsidR="00F42223" w:rsidRPr="00091230" w:rsidRDefault="00F42223" w:rsidP="0026794C">
            <w:pPr>
              <w:jc w:val="center"/>
            </w:pPr>
            <w:r w:rsidRPr="00091230">
              <w:rPr>
                <w:rFonts w:eastAsia="Arial"/>
              </w:rPr>
              <w:t>–</w:t>
            </w:r>
          </w:p>
        </w:tc>
        <w:tc>
          <w:tcPr>
            <w:tcW w:w="1835" w:type="dxa"/>
            <w:shd w:val="clear" w:color="auto" w:fill="auto"/>
          </w:tcPr>
          <w:p w:rsidR="00F42223" w:rsidRPr="00091230" w:rsidRDefault="00F42223" w:rsidP="0026794C">
            <w:pPr>
              <w:jc w:val="center"/>
              <w:rPr>
                <w:rFonts w:eastAsia="Arial"/>
              </w:rPr>
            </w:pPr>
            <w:r w:rsidRPr="00091230">
              <w:rPr>
                <w:rFonts w:eastAsia="Arial"/>
              </w:rPr>
              <w:t>15</w:t>
            </w:r>
          </w:p>
        </w:tc>
      </w:tr>
      <w:tr w:rsidR="00F42223" w:rsidRPr="00091230" w:rsidTr="00810CA9">
        <w:trPr>
          <w:trHeight w:val="20"/>
        </w:trPr>
        <w:tc>
          <w:tcPr>
            <w:tcW w:w="2682" w:type="dxa"/>
            <w:vMerge/>
          </w:tcPr>
          <w:p w:rsidR="00F42223" w:rsidRPr="00091230" w:rsidRDefault="00F42223" w:rsidP="0026794C">
            <w:pPr>
              <w:jc w:val="both"/>
              <w:rPr>
                <w:rFonts w:eastAsia="Arial"/>
              </w:rPr>
            </w:pPr>
          </w:p>
        </w:tc>
        <w:tc>
          <w:tcPr>
            <w:tcW w:w="2842" w:type="dxa"/>
            <w:shd w:val="clear" w:color="auto" w:fill="auto"/>
          </w:tcPr>
          <w:p w:rsidR="00F42223" w:rsidRPr="00091230" w:rsidRDefault="00F42223" w:rsidP="0026794C">
            <w:pPr>
              <w:jc w:val="both"/>
              <w:rPr>
                <w:rFonts w:eastAsia="Arial"/>
              </w:rPr>
            </w:pPr>
            <w:r w:rsidRPr="00091230">
              <w:rPr>
                <w:rFonts w:eastAsia="Arial"/>
              </w:rPr>
              <w:t>Количество штатных единиц врачей</w:t>
            </w:r>
          </w:p>
        </w:tc>
        <w:tc>
          <w:tcPr>
            <w:tcW w:w="1558" w:type="dxa"/>
            <w:shd w:val="clear" w:color="auto" w:fill="auto"/>
          </w:tcPr>
          <w:p w:rsidR="00F42223" w:rsidRPr="00091230" w:rsidRDefault="00F42223" w:rsidP="0026794C">
            <w:pPr>
              <w:jc w:val="center"/>
            </w:pPr>
            <w:r w:rsidRPr="00091230">
              <w:rPr>
                <w:rFonts w:eastAsia="Arial"/>
              </w:rPr>
              <w:t>–</w:t>
            </w:r>
          </w:p>
        </w:tc>
        <w:tc>
          <w:tcPr>
            <w:tcW w:w="1278" w:type="dxa"/>
            <w:shd w:val="clear" w:color="auto" w:fill="auto"/>
          </w:tcPr>
          <w:p w:rsidR="00F42223" w:rsidRPr="00091230" w:rsidRDefault="00F42223" w:rsidP="0026794C">
            <w:pPr>
              <w:jc w:val="center"/>
            </w:pPr>
            <w:r w:rsidRPr="00091230">
              <w:rPr>
                <w:rFonts w:eastAsia="Arial"/>
              </w:rPr>
              <w:t>–</w:t>
            </w:r>
          </w:p>
        </w:tc>
        <w:tc>
          <w:tcPr>
            <w:tcW w:w="1835" w:type="dxa"/>
            <w:shd w:val="clear" w:color="auto" w:fill="auto"/>
          </w:tcPr>
          <w:p w:rsidR="00F42223" w:rsidRPr="00091230" w:rsidRDefault="00F42223" w:rsidP="0026794C">
            <w:pPr>
              <w:jc w:val="center"/>
              <w:rPr>
                <w:rFonts w:eastAsia="Arial"/>
              </w:rPr>
            </w:pPr>
            <w:r w:rsidRPr="00091230">
              <w:rPr>
                <w:rFonts w:eastAsia="Arial"/>
              </w:rPr>
              <w:t>0,5</w:t>
            </w:r>
          </w:p>
        </w:tc>
      </w:tr>
      <w:tr w:rsidR="00F42223" w:rsidRPr="00091230" w:rsidTr="00810CA9">
        <w:trPr>
          <w:trHeight w:val="20"/>
        </w:trPr>
        <w:tc>
          <w:tcPr>
            <w:tcW w:w="2682" w:type="dxa"/>
            <w:vMerge/>
          </w:tcPr>
          <w:p w:rsidR="00F42223" w:rsidRPr="00091230" w:rsidRDefault="00F42223" w:rsidP="0026794C">
            <w:pPr>
              <w:jc w:val="both"/>
              <w:rPr>
                <w:rFonts w:eastAsia="Arial"/>
              </w:rPr>
            </w:pPr>
          </w:p>
        </w:tc>
        <w:tc>
          <w:tcPr>
            <w:tcW w:w="2842" w:type="dxa"/>
            <w:shd w:val="clear" w:color="auto" w:fill="auto"/>
          </w:tcPr>
          <w:p w:rsidR="00F42223" w:rsidRPr="00091230" w:rsidRDefault="00F42223" w:rsidP="0026794C">
            <w:pPr>
              <w:jc w:val="both"/>
              <w:rPr>
                <w:rFonts w:eastAsia="Arial"/>
              </w:rPr>
            </w:pPr>
            <w:r w:rsidRPr="00091230">
              <w:rPr>
                <w:rFonts w:eastAsia="Arial"/>
              </w:rPr>
              <w:t>Количество штатных единиц среднего персонала</w:t>
            </w:r>
          </w:p>
        </w:tc>
        <w:tc>
          <w:tcPr>
            <w:tcW w:w="1558" w:type="dxa"/>
            <w:shd w:val="clear" w:color="auto" w:fill="auto"/>
          </w:tcPr>
          <w:p w:rsidR="00F42223" w:rsidRPr="00091230" w:rsidRDefault="00F42223" w:rsidP="0026794C">
            <w:pPr>
              <w:jc w:val="center"/>
            </w:pPr>
            <w:r w:rsidRPr="00091230">
              <w:rPr>
                <w:rFonts w:eastAsia="Arial"/>
              </w:rPr>
              <w:t>–</w:t>
            </w:r>
          </w:p>
        </w:tc>
        <w:tc>
          <w:tcPr>
            <w:tcW w:w="1278" w:type="dxa"/>
            <w:shd w:val="clear" w:color="auto" w:fill="auto"/>
          </w:tcPr>
          <w:p w:rsidR="00F42223" w:rsidRPr="00091230" w:rsidRDefault="00F42223" w:rsidP="0026794C">
            <w:pPr>
              <w:jc w:val="center"/>
            </w:pPr>
            <w:r w:rsidRPr="00091230">
              <w:rPr>
                <w:rFonts w:eastAsia="Arial"/>
              </w:rPr>
              <w:t>–</w:t>
            </w:r>
          </w:p>
        </w:tc>
        <w:tc>
          <w:tcPr>
            <w:tcW w:w="1835" w:type="dxa"/>
            <w:shd w:val="clear" w:color="auto" w:fill="auto"/>
          </w:tcPr>
          <w:p w:rsidR="00F42223" w:rsidRPr="00091230" w:rsidRDefault="00F42223" w:rsidP="0026794C">
            <w:pPr>
              <w:jc w:val="center"/>
              <w:rPr>
                <w:rFonts w:eastAsia="Arial"/>
              </w:rPr>
            </w:pPr>
            <w:r w:rsidRPr="00091230">
              <w:rPr>
                <w:rFonts w:eastAsia="Arial"/>
              </w:rPr>
              <w:t>1,0</w:t>
            </w:r>
          </w:p>
        </w:tc>
      </w:tr>
      <w:tr w:rsidR="00F42223" w:rsidRPr="00091230" w:rsidTr="00810CA9">
        <w:trPr>
          <w:trHeight w:val="20"/>
        </w:trPr>
        <w:tc>
          <w:tcPr>
            <w:tcW w:w="2682" w:type="dxa"/>
            <w:vMerge/>
          </w:tcPr>
          <w:p w:rsidR="00F42223" w:rsidRPr="00091230" w:rsidRDefault="00F42223" w:rsidP="0026794C">
            <w:pPr>
              <w:jc w:val="both"/>
              <w:rPr>
                <w:rFonts w:eastAsia="Arial"/>
              </w:rPr>
            </w:pPr>
          </w:p>
        </w:tc>
        <w:tc>
          <w:tcPr>
            <w:tcW w:w="2842" w:type="dxa"/>
            <w:shd w:val="clear" w:color="auto" w:fill="auto"/>
          </w:tcPr>
          <w:p w:rsidR="00F42223" w:rsidRPr="00091230" w:rsidRDefault="00F42223" w:rsidP="0026794C">
            <w:pPr>
              <w:jc w:val="both"/>
              <w:rPr>
                <w:rFonts w:eastAsia="Arial"/>
              </w:rPr>
            </w:pPr>
            <w:r w:rsidRPr="00091230">
              <w:rPr>
                <w:rFonts w:eastAsia="Arial"/>
              </w:rPr>
              <w:t>Количество штатных единиц младшего персонала</w:t>
            </w:r>
          </w:p>
        </w:tc>
        <w:tc>
          <w:tcPr>
            <w:tcW w:w="1558" w:type="dxa"/>
            <w:shd w:val="clear" w:color="auto" w:fill="auto"/>
          </w:tcPr>
          <w:p w:rsidR="00F42223" w:rsidRPr="00091230" w:rsidRDefault="00F42223" w:rsidP="0026794C">
            <w:pPr>
              <w:jc w:val="center"/>
            </w:pPr>
            <w:r w:rsidRPr="00091230">
              <w:rPr>
                <w:rFonts w:eastAsia="Arial"/>
              </w:rPr>
              <w:t>–</w:t>
            </w:r>
          </w:p>
        </w:tc>
        <w:tc>
          <w:tcPr>
            <w:tcW w:w="1278" w:type="dxa"/>
            <w:shd w:val="clear" w:color="auto" w:fill="auto"/>
          </w:tcPr>
          <w:p w:rsidR="00F42223" w:rsidRPr="00091230" w:rsidRDefault="00F42223" w:rsidP="0026794C">
            <w:pPr>
              <w:jc w:val="center"/>
            </w:pPr>
            <w:r w:rsidRPr="00091230">
              <w:rPr>
                <w:rFonts w:eastAsia="Arial"/>
              </w:rPr>
              <w:t>–</w:t>
            </w:r>
          </w:p>
        </w:tc>
        <w:tc>
          <w:tcPr>
            <w:tcW w:w="1835" w:type="dxa"/>
            <w:shd w:val="clear" w:color="auto" w:fill="auto"/>
          </w:tcPr>
          <w:p w:rsidR="00F42223" w:rsidRPr="00091230" w:rsidRDefault="00F42223" w:rsidP="0026794C">
            <w:pPr>
              <w:jc w:val="center"/>
              <w:rPr>
                <w:rFonts w:eastAsia="Arial"/>
              </w:rPr>
            </w:pPr>
            <w:r w:rsidRPr="00091230">
              <w:rPr>
                <w:rFonts w:eastAsia="Arial"/>
              </w:rPr>
              <w:t>0,0</w:t>
            </w:r>
          </w:p>
        </w:tc>
      </w:tr>
      <w:tr w:rsidR="00F42223" w:rsidRPr="00091230" w:rsidTr="00810CA9">
        <w:trPr>
          <w:trHeight w:val="20"/>
        </w:trPr>
        <w:tc>
          <w:tcPr>
            <w:tcW w:w="2682" w:type="dxa"/>
            <w:vMerge w:val="restart"/>
          </w:tcPr>
          <w:p w:rsidR="00F42223" w:rsidRPr="00091230" w:rsidRDefault="00F42223" w:rsidP="0026794C">
            <w:pPr>
              <w:jc w:val="both"/>
              <w:rPr>
                <w:rFonts w:eastAsia="Arial"/>
              </w:rPr>
            </w:pPr>
            <w:r w:rsidRPr="00091230">
              <w:rPr>
                <w:rFonts w:eastAsia="Arial"/>
              </w:rPr>
              <w:t xml:space="preserve">ГАУЗ </w:t>
            </w:r>
            <w:r w:rsidR="002F7358">
              <w:rPr>
                <w:rFonts w:eastAsia="Arial"/>
              </w:rPr>
              <w:t>«</w:t>
            </w:r>
            <w:r w:rsidRPr="00091230">
              <w:rPr>
                <w:rFonts w:eastAsia="Arial"/>
              </w:rPr>
              <w:t>Сармановская ЦРБ</w:t>
            </w:r>
            <w:r w:rsidR="002F7358">
              <w:rPr>
                <w:rFonts w:eastAsia="Arial"/>
              </w:rPr>
              <w:t>»</w:t>
            </w:r>
          </w:p>
        </w:tc>
        <w:tc>
          <w:tcPr>
            <w:tcW w:w="2842" w:type="dxa"/>
            <w:shd w:val="clear" w:color="auto" w:fill="auto"/>
          </w:tcPr>
          <w:p w:rsidR="00F42223" w:rsidRPr="00091230" w:rsidRDefault="00F42223" w:rsidP="00C55D07">
            <w:pPr>
              <w:jc w:val="both"/>
              <w:rPr>
                <w:rFonts w:eastAsia="Arial"/>
              </w:rPr>
            </w:pPr>
            <w:r w:rsidRPr="00091230">
              <w:rPr>
                <w:rFonts w:eastAsia="Arial"/>
              </w:rPr>
              <w:t>Мощность (ко</w:t>
            </w:r>
            <w:r w:rsidR="00C55D07">
              <w:rPr>
                <w:rFonts w:eastAsia="Arial"/>
              </w:rPr>
              <w:t>ек</w:t>
            </w:r>
            <w:r w:rsidRPr="00091230">
              <w:rPr>
                <w:rFonts w:eastAsia="Arial"/>
              </w:rPr>
              <w:t>, посещений в смену)</w:t>
            </w:r>
          </w:p>
        </w:tc>
        <w:tc>
          <w:tcPr>
            <w:tcW w:w="1558" w:type="dxa"/>
            <w:shd w:val="clear" w:color="auto" w:fill="auto"/>
          </w:tcPr>
          <w:p w:rsidR="00F42223" w:rsidRPr="00091230" w:rsidRDefault="00F42223" w:rsidP="0026794C">
            <w:pPr>
              <w:jc w:val="center"/>
            </w:pPr>
            <w:r w:rsidRPr="00091230">
              <w:rPr>
                <w:rFonts w:eastAsia="Arial"/>
              </w:rPr>
              <w:t>–</w:t>
            </w:r>
          </w:p>
        </w:tc>
        <w:tc>
          <w:tcPr>
            <w:tcW w:w="1278" w:type="dxa"/>
            <w:shd w:val="clear" w:color="auto" w:fill="auto"/>
          </w:tcPr>
          <w:p w:rsidR="00F42223" w:rsidRPr="00091230" w:rsidRDefault="00F42223" w:rsidP="0026794C">
            <w:pPr>
              <w:jc w:val="center"/>
            </w:pPr>
            <w:r w:rsidRPr="00091230">
              <w:rPr>
                <w:rFonts w:eastAsia="Arial"/>
              </w:rPr>
              <w:t>–</w:t>
            </w:r>
          </w:p>
        </w:tc>
        <w:tc>
          <w:tcPr>
            <w:tcW w:w="1835" w:type="dxa"/>
            <w:shd w:val="clear" w:color="auto" w:fill="auto"/>
          </w:tcPr>
          <w:p w:rsidR="00F42223" w:rsidRPr="00091230" w:rsidRDefault="00F42223" w:rsidP="0026794C">
            <w:pPr>
              <w:jc w:val="center"/>
              <w:rPr>
                <w:rFonts w:eastAsia="Arial"/>
              </w:rPr>
            </w:pPr>
            <w:r w:rsidRPr="00091230">
              <w:rPr>
                <w:rFonts w:eastAsia="Arial"/>
              </w:rPr>
              <w:t>15</w:t>
            </w:r>
          </w:p>
        </w:tc>
      </w:tr>
      <w:tr w:rsidR="00F42223" w:rsidRPr="00091230" w:rsidTr="00810CA9">
        <w:trPr>
          <w:trHeight w:val="20"/>
        </w:trPr>
        <w:tc>
          <w:tcPr>
            <w:tcW w:w="2682" w:type="dxa"/>
            <w:vMerge/>
          </w:tcPr>
          <w:p w:rsidR="00F42223" w:rsidRPr="00091230" w:rsidRDefault="00F42223" w:rsidP="0026794C">
            <w:pPr>
              <w:jc w:val="both"/>
              <w:rPr>
                <w:rFonts w:eastAsia="Arial"/>
              </w:rPr>
            </w:pPr>
          </w:p>
        </w:tc>
        <w:tc>
          <w:tcPr>
            <w:tcW w:w="2842" w:type="dxa"/>
            <w:shd w:val="clear" w:color="auto" w:fill="auto"/>
          </w:tcPr>
          <w:p w:rsidR="00F42223" w:rsidRPr="00091230" w:rsidRDefault="00F42223" w:rsidP="0026794C">
            <w:pPr>
              <w:jc w:val="both"/>
              <w:rPr>
                <w:rFonts w:eastAsia="Arial"/>
              </w:rPr>
            </w:pPr>
            <w:r w:rsidRPr="00091230">
              <w:rPr>
                <w:rFonts w:eastAsia="Arial"/>
              </w:rPr>
              <w:t>Количество штатных единиц врачей</w:t>
            </w:r>
          </w:p>
        </w:tc>
        <w:tc>
          <w:tcPr>
            <w:tcW w:w="1558" w:type="dxa"/>
            <w:shd w:val="clear" w:color="auto" w:fill="auto"/>
          </w:tcPr>
          <w:p w:rsidR="00F42223" w:rsidRPr="00091230" w:rsidRDefault="00F42223" w:rsidP="0026794C">
            <w:pPr>
              <w:jc w:val="center"/>
            </w:pPr>
            <w:r w:rsidRPr="00091230">
              <w:rPr>
                <w:rFonts w:eastAsia="Arial"/>
              </w:rPr>
              <w:t>–</w:t>
            </w:r>
          </w:p>
        </w:tc>
        <w:tc>
          <w:tcPr>
            <w:tcW w:w="1278" w:type="dxa"/>
            <w:shd w:val="clear" w:color="auto" w:fill="auto"/>
          </w:tcPr>
          <w:p w:rsidR="00F42223" w:rsidRPr="00091230" w:rsidRDefault="00F42223" w:rsidP="0026794C">
            <w:pPr>
              <w:jc w:val="center"/>
            </w:pPr>
            <w:r w:rsidRPr="00091230">
              <w:rPr>
                <w:rFonts w:eastAsia="Arial"/>
              </w:rPr>
              <w:t>–</w:t>
            </w:r>
          </w:p>
        </w:tc>
        <w:tc>
          <w:tcPr>
            <w:tcW w:w="1835" w:type="dxa"/>
            <w:shd w:val="clear" w:color="auto" w:fill="auto"/>
          </w:tcPr>
          <w:p w:rsidR="00F42223" w:rsidRPr="00091230" w:rsidRDefault="00F42223" w:rsidP="0026794C">
            <w:pPr>
              <w:jc w:val="center"/>
              <w:rPr>
                <w:rFonts w:eastAsia="Arial"/>
              </w:rPr>
            </w:pPr>
            <w:r w:rsidRPr="00091230">
              <w:rPr>
                <w:rFonts w:eastAsia="Arial"/>
              </w:rPr>
              <w:t>0,5</w:t>
            </w:r>
          </w:p>
        </w:tc>
      </w:tr>
      <w:tr w:rsidR="00F42223" w:rsidRPr="00091230" w:rsidTr="00810CA9">
        <w:trPr>
          <w:trHeight w:val="20"/>
        </w:trPr>
        <w:tc>
          <w:tcPr>
            <w:tcW w:w="2682" w:type="dxa"/>
            <w:vMerge/>
          </w:tcPr>
          <w:p w:rsidR="00F42223" w:rsidRPr="00091230" w:rsidRDefault="00F42223" w:rsidP="0026794C">
            <w:pPr>
              <w:jc w:val="both"/>
              <w:rPr>
                <w:rFonts w:eastAsia="Arial"/>
              </w:rPr>
            </w:pPr>
          </w:p>
        </w:tc>
        <w:tc>
          <w:tcPr>
            <w:tcW w:w="2842" w:type="dxa"/>
            <w:shd w:val="clear" w:color="auto" w:fill="auto"/>
          </w:tcPr>
          <w:p w:rsidR="00F42223" w:rsidRPr="00091230" w:rsidRDefault="00F42223" w:rsidP="0026794C">
            <w:pPr>
              <w:jc w:val="both"/>
              <w:rPr>
                <w:rFonts w:eastAsia="Arial"/>
              </w:rPr>
            </w:pPr>
            <w:r w:rsidRPr="00091230">
              <w:rPr>
                <w:rFonts w:eastAsia="Arial"/>
              </w:rPr>
              <w:t>Количество штатных единиц среднего персонала</w:t>
            </w:r>
          </w:p>
        </w:tc>
        <w:tc>
          <w:tcPr>
            <w:tcW w:w="1558" w:type="dxa"/>
            <w:shd w:val="clear" w:color="auto" w:fill="auto"/>
          </w:tcPr>
          <w:p w:rsidR="00F42223" w:rsidRPr="00091230" w:rsidRDefault="00F42223" w:rsidP="0026794C">
            <w:pPr>
              <w:jc w:val="center"/>
            </w:pPr>
            <w:r w:rsidRPr="00091230">
              <w:rPr>
                <w:rFonts w:eastAsia="Arial"/>
              </w:rPr>
              <w:t>–</w:t>
            </w:r>
          </w:p>
        </w:tc>
        <w:tc>
          <w:tcPr>
            <w:tcW w:w="1278" w:type="dxa"/>
            <w:shd w:val="clear" w:color="auto" w:fill="auto"/>
          </w:tcPr>
          <w:p w:rsidR="00F42223" w:rsidRPr="00091230" w:rsidRDefault="00F42223" w:rsidP="0026794C">
            <w:pPr>
              <w:jc w:val="center"/>
            </w:pPr>
            <w:r w:rsidRPr="00091230">
              <w:rPr>
                <w:rFonts w:eastAsia="Arial"/>
              </w:rPr>
              <w:t>–</w:t>
            </w:r>
          </w:p>
        </w:tc>
        <w:tc>
          <w:tcPr>
            <w:tcW w:w="1835" w:type="dxa"/>
            <w:shd w:val="clear" w:color="auto" w:fill="auto"/>
          </w:tcPr>
          <w:p w:rsidR="00F42223" w:rsidRPr="00091230" w:rsidRDefault="00F42223" w:rsidP="0026794C">
            <w:pPr>
              <w:jc w:val="center"/>
              <w:rPr>
                <w:rFonts w:eastAsia="Arial"/>
              </w:rPr>
            </w:pPr>
            <w:r w:rsidRPr="00091230">
              <w:rPr>
                <w:rFonts w:eastAsia="Arial"/>
              </w:rPr>
              <w:t>1,0</w:t>
            </w:r>
          </w:p>
        </w:tc>
      </w:tr>
      <w:tr w:rsidR="00F42223" w:rsidRPr="00091230" w:rsidTr="00810CA9">
        <w:trPr>
          <w:trHeight w:val="20"/>
        </w:trPr>
        <w:tc>
          <w:tcPr>
            <w:tcW w:w="2682" w:type="dxa"/>
            <w:vMerge/>
          </w:tcPr>
          <w:p w:rsidR="00F42223" w:rsidRPr="00091230" w:rsidRDefault="00F42223" w:rsidP="0026794C">
            <w:pPr>
              <w:jc w:val="both"/>
              <w:rPr>
                <w:rFonts w:eastAsia="Arial"/>
              </w:rPr>
            </w:pPr>
          </w:p>
        </w:tc>
        <w:tc>
          <w:tcPr>
            <w:tcW w:w="2842" w:type="dxa"/>
            <w:shd w:val="clear" w:color="auto" w:fill="auto"/>
          </w:tcPr>
          <w:p w:rsidR="00F42223" w:rsidRPr="00091230" w:rsidRDefault="00F42223" w:rsidP="0026794C">
            <w:pPr>
              <w:jc w:val="both"/>
              <w:rPr>
                <w:rFonts w:eastAsia="Arial"/>
              </w:rPr>
            </w:pPr>
            <w:r w:rsidRPr="00091230">
              <w:rPr>
                <w:rFonts w:eastAsia="Arial"/>
              </w:rPr>
              <w:t>Количество штатных единиц младшего персонала</w:t>
            </w:r>
          </w:p>
        </w:tc>
        <w:tc>
          <w:tcPr>
            <w:tcW w:w="1558" w:type="dxa"/>
            <w:shd w:val="clear" w:color="auto" w:fill="auto"/>
          </w:tcPr>
          <w:p w:rsidR="00F42223" w:rsidRPr="00091230" w:rsidRDefault="00F42223" w:rsidP="0026794C">
            <w:pPr>
              <w:jc w:val="center"/>
            </w:pPr>
            <w:r w:rsidRPr="00091230">
              <w:rPr>
                <w:rFonts w:eastAsia="Arial"/>
              </w:rPr>
              <w:t>–</w:t>
            </w:r>
          </w:p>
        </w:tc>
        <w:tc>
          <w:tcPr>
            <w:tcW w:w="1278" w:type="dxa"/>
            <w:shd w:val="clear" w:color="auto" w:fill="auto"/>
          </w:tcPr>
          <w:p w:rsidR="00F42223" w:rsidRPr="00091230" w:rsidRDefault="00F42223" w:rsidP="0026794C">
            <w:pPr>
              <w:jc w:val="center"/>
            </w:pPr>
            <w:r w:rsidRPr="00091230">
              <w:rPr>
                <w:rFonts w:eastAsia="Arial"/>
              </w:rPr>
              <w:t>–</w:t>
            </w:r>
          </w:p>
        </w:tc>
        <w:tc>
          <w:tcPr>
            <w:tcW w:w="1835" w:type="dxa"/>
            <w:shd w:val="clear" w:color="auto" w:fill="auto"/>
          </w:tcPr>
          <w:p w:rsidR="00F42223" w:rsidRPr="00091230" w:rsidRDefault="00F42223" w:rsidP="0026794C">
            <w:pPr>
              <w:jc w:val="center"/>
              <w:rPr>
                <w:rFonts w:eastAsia="Arial"/>
              </w:rPr>
            </w:pPr>
            <w:r w:rsidRPr="00091230">
              <w:rPr>
                <w:rFonts w:eastAsia="Arial"/>
              </w:rPr>
              <w:t>0,0</w:t>
            </w:r>
          </w:p>
        </w:tc>
      </w:tr>
      <w:tr w:rsidR="00F42223" w:rsidRPr="00091230" w:rsidTr="00810CA9">
        <w:trPr>
          <w:trHeight w:val="20"/>
        </w:trPr>
        <w:tc>
          <w:tcPr>
            <w:tcW w:w="2682" w:type="dxa"/>
            <w:vMerge w:val="restart"/>
          </w:tcPr>
          <w:p w:rsidR="00F42223" w:rsidRPr="00091230" w:rsidRDefault="00F42223" w:rsidP="008F48C1">
            <w:pPr>
              <w:jc w:val="both"/>
              <w:rPr>
                <w:rFonts w:eastAsia="Arial"/>
              </w:rPr>
            </w:pPr>
            <w:r w:rsidRPr="00091230">
              <w:rPr>
                <w:rFonts w:eastAsia="Arial"/>
              </w:rPr>
              <w:t xml:space="preserve">ГАУЗ </w:t>
            </w:r>
            <w:r w:rsidR="002F7358">
              <w:rPr>
                <w:rFonts w:eastAsia="Arial"/>
              </w:rPr>
              <w:t>«</w:t>
            </w:r>
            <w:r w:rsidR="00C93DB4">
              <w:rPr>
                <w:rFonts w:eastAsia="Arial"/>
              </w:rPr>
              <w:t>Городская поликлиник</w:t>
            </w:r>
            <w:r w:rsidRPr="00091230">
              <w:rPr>
                <w:rFonts w:eastAsia="Arial"/>
              </w:rPr>
              <w:t>а № 4 им</w:t>
            </w:r>
            <w:r w:rsidR="008F48C1">
              <w:rPr>
                <w:rFonts w:eastAsia="Arial"/>
              </w:rPr>
              <w:t>.</w:t>
            </w:r>
            <w:r w:rsidRPr="00091230">
              <w:rPr>
                <w:rFonts w:eastAsia="Arial"/>
              </w:rPr>
              <w:t xml:space="preserve"> Л.Н.Ганиевой</w:t>
            </w:r>
            <w:r w:rsidR="002F7358">
              <w:rPr>
                <w:rFonts w:eastAsia="Arial"/>
              </w:rPr>
              <w:t>»</w:t>
            </w:r>
            <w:r w:rsidRPr="00091230">
              <w:rPr>
                <w:rFonts w:eastAsia="Arial"/>
              </w:rPr>
              <w:t xml:space="preserve"> г.Набережные Челны</w:t>
            </w:r>
          </w:p>
        </w:tc>
        <w:tc>
          <w:tcPr>
            <w:tcW w:w="2842" w:type="dxa"/>
            <w:shd w:val="clear" w:color="auto" w:fill="auto"/>
          </w:tcPr>
          <w:p w:rsidR="00F42223" w:rsidRPr="00091230" w:rsidRDefault="00F42223" w:rsidP="00C55D07">
            <w:pPr>
              <w:jc w:val="both"/>
              <w:rPr>
                <w:rFonts w:eastAsia="Arial"/>
              </w:rPr>
            </w:pPr>
            <w:r w:rsidRPr="00091230">
              <w:rPr>
                <w:rFonts w:eastAsia="Arial"/>
              </w:rPr>
              <w:t>Мощность (ко</w:t>
            </w:r>
            <w:r w:rsidR="00C55D07">
              <w:rPr>
                <w:rFonts w:eastAsia="Arial"/>
              </w:rPr>
              <w:t>ек</w:t>
            </w:r>
            <w:r w:rsidRPr="00091230">
              <w:rPr>
                <w:rFonts w:eastAsia="Arial"/>
              </w:rPr>
              <w:t>, посещений в смену)</w:t>
            </w:r>
          </w:p>
        </w:tc>
        <w:tc>
          <w:tcPr>
            <w:tcW w:w="1558" w:type="dxa"/>
            <w:shd w:val="clear" w:color="auto" w:fill="auto"/>
          </w:tcPr>
          <w:p w:rsidR="00F42223" w:rsidRPr="00091230" w:rsidRDefault="00F42223" w:rsidP="0026794C">
            <w:pPr>
              <w:jc w:val="center"/>
            </w:pPr>
            <w:r w:rsidRPr="00091230">
              <w:rPr>
                <w:rFonts w:eastAsia="Arial"/>
              </w:rPr>
              <w:t>–</w:t>
            </w:r>
          </w:p>
        </w:tc>
        <w:tc>
          <w:tcPr>
            <w:tcW w:w="1278" w:type="dxa"/>
            <w:shd w:val="clear" w:color="auto" w:fill="auto"/>
          </w:tcPr>
          <w:p w:rsidR="00F42223" w:rsidRPr="00091230" w:rsidRDefault="00F42223" w:rsidP="0026794C">
            <w:pPr>
              <w:jc w:val="center"/>
            </w:pPr>
            <w:r w:rsidRPr="00091230">
              <w:rPr>
                <w:rFonts w:eastAsia="Arial"/>
              </w:rPr>
              <w:t>–</w:t>
            </w:r>
          </w:p>
        </w:tc>
        <w:tc>
          <w:tcPr>
            <w:tcW w:w="1835" w:type="dxa"/>
            <w:shd w:val="clear" w:color="auto" w:fill="auto"/>
          </w:tcPr>
          <w:p w:rsidR="00F42223" w:rsidRPr="00091230" w:rsidRDefault="00F42223" w:rsidP="0026794C">
            <w:pPr>
              <w:jc w:val="center"/>
              <w:rPr>
                <w:rFonts w:eastAsia="Arial"/>
              </w:rPr>
            </w:pPr>
            <w:r w:rsidRPr="00091230">
              <w:rPr>
                <w:rFonts w:eastAsia="Arial"/>
              </w:rPr>
              <w:t>15</w:t>
            </w:r>
          </w:p>
        </w:tc>
      </w:tr>
      <w:tr w:rsidR="00F42223" w:rsidRPr="00091230" w:rsidTr="00810CA9">
        <w:trPr>
          <w:trHeight w:val="20"/>
        </w:trPr>
        <w:tc>
          <w:tcPr>
            <w:tcW w:w="2682" w:type="dxa"/>
            <w:vMerge/>
          </w:tcPr>
          <w:p w:rsidR="00F42223" w:rsidRPr="00091230" w:rsidRDefault="00F42223" w:rsidP="0026794C">
            <w:pPr>
              <w:jc w:val="both"/>
              <w:rPr>
                <w:rFonts w:eastAsia="Arial"/>
              </w:rPr>
            </w:pPr>
          </w:p>
        </w:tc>
        <w:tc>
          <w:tcPr>
            <w:tcW w:w="2842" w:type="dxa"/>
            <w:shd w:val="clear" w:color="auto" w:fill="auto"/>
          </w:tcPr>
          <w:p w:rsidR="00F42223" w:rsidRPr="00091230" w:rsidRDefault="00F42223" w:rsidP="0026794C">
            <w:pPr>
              <w:jc w:val="both"/>
              <w:rPr>
                <w:rFonts w:eastAsia="Arial"/>
              </w:rPr>
            </w:pPr>
            <w:r w:rsidRPr="00091230">
              <w:rPr>
                <w:rFonts w:eastAsia="Arial"/>
              </w:rPr>
              <w:t>Количество штатных единиц врачей</w:t>
            </w:r>
          </w:p>
        </w:tc>
        <w:tc>
          <w:tcPr>
            <w:tcW w:w="1558" w:type="dxa"/>
            <w:shd w:val="clear" w:color="auto" w:fill="auto"/>
          </w:tcPr>
          <w:p w:rsidR="00F42223" w:rsidRPr="00091230" w:rsidRDefault="00F42223" w:rsidP="0026794C">
            <w:pPr>
              <w:jc w:val="center"/>
            </w:pPr>
            <w:r w:rsidRPr="00091230">
              <w:rPr>
                <w:rFonts w:eastAsia="Arial"/>
              </w:rPr>
              <w:t>–</w:t>
            </w:r>
          </w:p>
        </w:tc>
        <w:tc>
          <w:tcPr>
            <w:tcW w:w="1278" w:type="dxa"/>
            <w:shd w:val="clear" w:color="auto" w:fill="auto"/>
          </w:tcPr>
          <w:p w:rsidR="00F42223" w:rsidRPr="00091230" w:rsidRDefault="00F42223" w:rsidP="0026794C">
            <w:pPr>
              <w:jc w:val="center"/>
            </w:pPr>
            <w:r w:rsidRPr="00091230">
              <w:rPr>
                <w:rFonts w:eastAsia="Arial"/>
              </w:rPr>
              <w:t>–</w:t>
            </w:r>
          </w:p>
        </w:tc>
        <w:tc>
          <w:tcPr>
            <w:tcW w:w="1835" w:type="dxa"/>
            <w:shd w:val="clear" w:color="auto" w:fill="auto"/>
          </w:tcPr>
          <w:p w:rsidR="00F42223" w:rsidRPr="00091230" w:rsidRDefault="00F42223" w:rsidP="0026794C">
            <w:pPr>
              <w:jc w:val="center"/>
              <w:rPr>
                <w:rFonts w:eastAsia="Arial"/>
              </w:rPr>
            </w:pPr>
            <w:r w:rsidRPr="00091230">
              <w:rPr>
                <w:rFonts w:eastAsia="Arial"/>
              </w:rPr>
              <w:t>0,5</w:t>
            </w:r>
          </w:p>
        </w:tc>
      </w:tr>
      <w:tr w:rsidR="00F42223" w:rsidRPr="00091230" w:rsidTr="00810CA9">
        <w:trPr>
          <w:trHeight w:val="20"/>
        </w:trPr>
        <w:tc>
          <w:tcPr>
            <w:tcW w:w="2682" w:type="dxa"/>
            <w:vMerge/>
          </w:tcPr>
          <w:p w:rsidR="00F42223" w:rsidRPr="00091230" w:rsidRDefault="00F42223" w:rsidP="0026794C">
            <w:pPr>
              <w:jc w:val="both"/>
              <w:rPr>
                <w:rFonts w:eastAsia="Arial"/>
              </w:rPr>
            </w:pPr>
          </w:p>
        </w:tc>
        <w:tc>
          <w:tcPr>
            <w:tcW w:w="2842" w:type="dxa"/>
            <w:shd w:val="clear" w:color="auto" w:fill="auto"/>
          </w:tcPr>
          <w:p w:rsidR="00F42223" w:rsidRPr="00091230" w:rsidRDefault="00F42223" w:rsidP="0026794C">
            <w:pPr>
              <w:jc w:val="both"/>
              <w:rPr>
                <w:rFonts w:eastAsia="Arial"/>
              </w:rPr>
            </w:pPr>
            <w:r w:rsidRPr="00091230">
              <w:rPr>
                <w:rFonts w:eastAsia="Arial"/>
              </w:rPr>
              <w:t>Количество штатных единиц среднего персонала</w:t>
            </w:r>
          </w:p>
        </w:tc>
        <w:tc>
          <w:tcPr>
            <w:tcW w:w="1558" w:type="dxa"/>
            <w:shd w:val="clear" w:color="auto" w:fill="auto"/>
          </w:tcPr>
          <w:p w:rsidR="00F42223" w:rsidRPr="00091230" w:rsidRDefault="00F42223" w:rsidP="0026794C">
            <w:pPr>
              <w:jc w:val="center"/>
            </w:pPr>
            <w:r w:rsidRPr="00091230">
              <w:rPr>
                <w:rFonts w:eastAsia="Arial"/>
              </w:rPr>
              <w:t>–</w:t>
            </w:r>
          </w:p>
        </w:tc>
        <w:tc>
          <w:tcPr>
            <w:tcW w:w="1278" w:type="dxa"/>
            <w:shd w:val="clear" w:color="auto" w:fill="auto"/>
          </w:tcPr>
          <w:p w:rsidR="00F42223" w:rsidRPr="00091230" w:rsidRDefault="00F42223" w:rsidP="0026794C">
            <w:pPr>
              <w:jc w:val="center"/>
            </w:pPr>
            <w:r w:rsidRPr="00091230">
              <w:rPr>
                <w:rFonts w:eastAsia="Arial"/>
              </w:rPr>
              <w:t>–</w:t>
            </w:r>
          </w:p>
        </w:tc>
        <w:tc>
          <w:tcPr>
            <w:tcW w:w="1835" w:type="dxa"/>
            <w:shd w:val="clear" w:color="auto" w:fill="auto"/>
          </w:tcPr>
          <w:p w:rsidR="00F42223" w:rsidRPr="00091230" w:rsidRDefault="00F42223" w:rsidP="0026794C">
            <w:pPr>
              <w:jc w:val="center"/>
              <w:rPr>
                <w:rFonts w:eastAsia="Arial"/>
              </w:rPr>
            </w:pPr>
            <w:r w:rsidRPr="00091230">
              <w:rPr>
                <w:rFonts w:eastAsia="Arial"/>
              </w:rPr>
              <w:t>1,0</w:t>
            </w:r>
          </w:p>
        </w:tc>
      </w:tr>
      <w:tr w:rsidR="00F42223" w:rsidRPr="00091230" w:rsidTr="00810CA9">
        <w:trPr>
          <w:trHeight w:val="20"/>
        </w:trPr>
        <w:tc>
          <w:tcPr>
            <w:tcW w:w="2682" w:type="dxa"/>
            <w:vMerge/>
          </w:tcPr>
          <w:p w:rsidR="00F42223" w:rsidRPr="00091230" w:rsidRDefault="00F42223" w:rsidP="0026794C">
            <w:pPr>
              <w:jc w:val="both"/>
              <w:rPr>
                <w:rFonts w:eastAsia="Arial"/>
              </w:rPr>
            </w:pPr>
          </w:p>
        </w:tc>
        <w:tc>
          <w:tcPr>
            <w:tcW w:w="2842" w:type="dxa"/>
            <w:shd w:val="clear" w:color="auto" w:fill="auto"/>
          </w:tcPr>
          <w:p w:rsidR="00F42223" w:rsidRPr="00091230" w:rsidRDefault="00F42223" w:rsidP="0026794C">
            <w:pPr>
              <w:jc w:val="both"/>
              <w:rPr>
                <w:rFonts w:eastAsia="Arial"/>
              </w:rPr>
            </w:pPr>
            <w:r w:rsidRPr="00091230">
              <w:rPr>
                <w:rFonts w:eastAsia="Arial"/>
              </w:rPr>
              <w:t>Количество штатных единиц младшего персонала</w:t>
            </w:r>
          </w:p>
        </w:tc>
        <w:tc>
          <w:tcPr>
            <w:tcW w:w="1558" w:type="dxa"/>
            <w:shd w:val="clear" w:color="auto" w:fill="auto"/>
          </w:tcPr>
          <w:p w:rsidR="00F42223" w:rsidRPr="00091230" w:rsidRDefault="00F42223" w:rsidP="0026794C">
            <w:pPr>
              <w:jc w:val="center"/>
            </w:pPr>
            <w:r w:rsidRPr="00091230">
              <w:rPr>
                <w:rFonts w:eastAsia="Arial"/>
              </w:rPr>
              <w:t>–</w:t>
            </w:r>
          </w:p>
        </w:tc>
        <w:tc>
          <w:tcPr>
            <w:tcW w:w="1278" w:type="dxa"/>
            <w:shd w:val="clear" w:color="auto" w:fill="auto"/>
          </w:tcPr>
          <w:p w:rsidR="00F42223" w:rsidRPr="00091230" w:rsidRDefault="00F42223" w:rsidP="0026794C">
            <w:pPr>
              <w:jc w:val="center"/>
            </w:pPr>
            <w:r w:rsidRPr="00091230">
              <w:rPr>
                <w:rFonts w:eastAsia="Arial"/>
              </w:rPr>
              <w:t>–</w:t>
            </w:r>
          </w:p>
        </w:tc>
        <w:tc>
          <w:tcPr>
            <w:tcW w:w="1835" w:type="dxa"/>
            <w:shd w:val="clear" w:color="auto" w:fill="auto"/>
          </w:tcPr>
          <w:p w:rsidR="00F42223" w:rsidRPr="00091230" w:rsidRDefault="00F42223" w:rsidP="0026794C">
            <w:pPr>
              <w:jc w:val="center"/>
              <w:rPr>
                <w:rFonts w:eastAsia="Arial"/>
              </w:rPr>
            </w:pPr>
            <w:r w:rsidRPr="00091230">
              <w:rPr>
                <w:rFonts w:eastAsia="Arial"/>
              </w:rPr>
              <w:t>0,0</w:t>
            </w:r>
          </w:p>
        </w:tc>
      </w:tr>
      <w:tr w:rsidR="00F42223" w:rsidRPr="00091230" w:rsidTr="00810CA9">
        <w:trPr>
          <w:trHeight w:val="20"/>
        </w:trPr>
        <w:tc>
          <w:tcPr>
            <w:tcW w:w="2682" w:type="dxa"/>
            <w:vMerge w:val="restart"/>
          </w:tcPr>
          <w:p w:rsidR="00F42223" w:rsidRPr="00091230" w:rsidRDefault="00F42223" w:rsidP="0026794C">
            <w:pPr>
              <w:jc w:val="both"/>
              <w:rPr>
                <w:rFonts w:eastAsia="Arial"/>
              </w:rPr>
            </w:pPr>
            <w:r w:rsidRPr="00091230">
              <w:rPr>
                <w:rFonts w:eastAsia="Arial"/>
              </w:rPr>
              <w:t xml:space="preserve">ГАУЗ </w:t>
            </w:r>
            <w:r w:rsidR="002F7358">
              <w:rPr>
                <w:rFonts w:eastAsia="Arial"/>
              </w:rPr>
              <w:t>«</w:t>
            </w:r>
            <w:r w:rsidRPr="00091230">
              <w:rPr>
                <w:rFonts w:eastAsia="Arial"/>
              </w:rPr>
              <w:t>Черемшанская ЦРБ</w:t>
            </w:r>
            <w:r w:rsidR="002F7358">
              <w:rPr>
                <w:rFonts w:eastAsia="Arial"/>
              </w:rPr>
              <w:t>»</w:t>
            </w:r>
          </w:p>
        </w:tc>
        <w:tc>
          <w:tcPr>
            <w:tcW w:w="2842" w:type="dxa"/>
            <w:shd w:val="clear" w:color="auto" w:fill="auto"/>
          </w:tcPr>
          <w:p w:rsidR="00F42223" w:rsidRPr="00091230" w:rsidRDefault="00F42223" w:rsidP="00C55D07">
            <w:pPr>
              <w:jc w:val="both"/>
              <w:rPr>
                <w:rFonts w:eastAsia="Arial"/>
              </w:rPr>
            </w:pPr>
            <w:r w:rsidRPr="00091230">
              <w:rPr>
                <w:rFonts w:eastAsia="Arial"/>
              </w:rPr>
              <w:t>Мощность (ко</w:t>
            </w:r>
            <w:r w:rsidR="00C55D07">
              <w:rPr>
                <w:rFonts w:eastAsia="Arial"/>
              </w:rPr>
              <w:t>ек</w:t>
            </w:r>
            <w:r w:rsidRPr="00091230">
              <w:rPr>
                <w:rFonts w:eastAsia="Arial"/>
              </w:rPr>
              <w:t>, посещений в смену)</w:t>
            </w:r>
          </w:p>
        </w:tc>
        <w:tc>
          <w:tcPr>
            <w:tcW w:w="1558" w:type="dxa"/>
            <w:shd w:val="clear" w:color="auto" w:fill="auto"/>
          </w:tcPr>
          <w:p w:rsidR="00F42223" w:rsidRPr="00091230" w:rsidRDefault="00F42223" w:rsidP="0026794C">
            <w:pPr>
              <w:jc w:val="center"/>
            </w:pPr>
            <w:r w:rsidRPr="00091230">
              <w:rPr>
                <w:rFonts w:eastAsia="Arial"/>
              </w:rPr>
              <w:t>–</w:t>
            </w:r>
          </w:p>
        </w:tc>
        <w:tc>
          <w:tcPr>
            <w:tcW w:w="1278" w:type="dxa"/>
            <w:shd w:val="clear" w:color="auto" w:fill="auto"/>
          </w:tcPr>
          <w:p w:rsidR="00F42223" w:rsidRPr="00091230" w:rsidRDefault="00F42223" w:rsidP="0026794C">
            <w:pPr>
              <w:jc w:val="center"/>
            </w:pPr>
            <w:r w:rsidRPr="00091230">
              <w:rPr>
                <w:rFonts w:eastAsia="Arial"/>
              </w:rPr>
              <w:t>–</w:t>
            </w:r>
          </w:p>
        </w:tc>
        <w:tc>
          <w:tcPr>
            <w:tcW w:w="1835" w:type="dxa"/>
            <w:shd w:val="clear" w:color="auto" w:fill="auto"/>
          </w:tcPr>
          <w:p w:rsidR="00F42223" w:rsidRPr="00091230" w:rsidRDefault="00F42223" w:rsidP="0026794C">
            <w:pPr>
              <w:jc w:val="center"/>
              <w:rPr>
                <w:rFonts w:eastAsia="Arial"/>
              </w:rPr>
            </w:pPr>
            <w:r w:rsidRPr="00091230">
              <w:rPr>
                <w:rFonts w:eastAsia="Arial"/>
              </w:rPr>
              <w:t>15</w:t>
            </w:r>
          </w:p>
        </w:tc>
      </w:tr>
      <w:tr w:rsidR="00F42223" w:rsidRPr="00091230" w:rsidTr="00810CA9">
        <w:trPr>
          <w:trHeight w:val="20"/>
        </w:trPr>
        <w:tc>
          <w:tcPr>
            <w:tcW w:w="2682" w:type="dxa"/>
            <w:vMerge/>
          </w:tcPr>
          <w:p w:rsidR="00F42223" w:rsidRPr="00091230" w:rsidRDefault="00F42223" w:rsidP="0026794C">
            <w:pPr>
              <w:jc w:val="both"/>
              <w:rPr>
                <w:rFonts w:eastAsia="Arial"/>
              </w:rPr>
            </w:pPr>
          </w:p>
        </w:tc>
        <w:tc>
          <w:tcPr>
            <w:tcW w:w="2842" w:type="dxa"/>
            <w:shd w:val="clear" w:color="auto" w:fill="auto"/>
          </w:tcPr>
          <w:p w:rsidR="00F42223" w:rsidRPr="00091230" w:rsidRDefault="00F42223" w:rsidP="0026794C">
            <w:pPr>
              <w:jc w:val="both"/>
              <w:rPr>
                <w:rFonts w:eastAsia="Arial"/>
              </w:rPr>
            </w:pPr>
            <w:r w:rsidRPr="00091230">
              <w:rPr>
                <w:rFonts w:eastAsia="Arial"/>
              </w:rPr>
              <w:t>Количество штатных единиц врачей</w:t>
            </w:r>
          </w:p>
        </w:tc>
        <w:tc>
          <w:tcPr>
            <w:tcW w:w="1558" w:type="dxa"/>
            <w:shd w:val="clear" w:color="auto" w:fill="auto"/>
          </w:tcPr>
          <w:p w:rsidR="00F42223" w:rsidRPr="00091230" w:rsidRDefault="00F42223" w:rsidP="0026794C">
            <w:pPr>
              <w:jc w:val="center"/>
            </w:pPr>
            <w:r w:rsidRPr="00091230">
              <w:rPr>
                <w:rFonts w:eastAsia="Arial"/>
              </w:rPr>
              <w:t>–</w:t>
            </w:r>
          </w:p>
        </w:tc>
        <w:tc>
          <w:tcPr>
            <w:tcW w:w="1278" w:type="dxa"/>
            <w:shd w:val="clear" w:color="auto" w:fill="auto"/>
          </w:tcPr>
          <w:p w:rsidR="00F42223" w:rsidRPr="00091230" w:rsidRDefault="00F42223" w:rsidP="0026794C">
            <w:pPr>
              <w:jc w:val="center"/>
            </w:pPr>
            <w:r w:rsidRPr="00091230">
              <w:rPr>
                <w:rFonts w:eastAsia="Arial"/>
              </w:rPr>
              <w:t>–</w:t>
            </w:r>
          </w:p>
        </w:tc>
        <w:tc>
          <w:tcPr>
            <w:tcW w:w="1835" w:type="dxa"/>
            <w:shd w:val="clear" w:color="auto" w:fill="auto"/>
          </w:tcPr>
          <w:p w:rsidR="00F42223" w:rsidRPr="00091230" w:rsidRDefault="00F42223" w:rsidP="0026794C">
            <w:pPr>
              <w:jc w:val="center"/>
              <w:rPr>
                <w:rFonts w:eastAsia="Arial"/>
              </w:rPr>
            </w:pPr>
            <w:r w:rsidRPr="00091230">
              <w:rPr>
                <w:rFonts w:eastAsia="Arial"/>
              </w:rPr>
              <w:t>0,5</w:t>
            </w:r>
          </w:p>
        </w:tc>
      </w:tr>
      <w:tr w:rsidR="00F42223" w:rsidRPr="00091230" w:rsidTr="00810CA9">
        <w:trPr>
          <w:trHeight w:val="20"/>
        </w:trPr>
        <w:tc>
          <w:tcPr>
            <w:tcW w:w="2682" w:type="dxa"/>
            <w:vMerge/>
          </w:tcPr>
          <w:p w:rsidR="00F42223" w:rsidRPr="00091230" w:rsidRDefault="00F42223" w:rsidP="0026794C">
            <w:pPr>
              <w:jc w:val="both"/>
              <w:rPr>
                <w:rFonts w:eastAsia="Arial"/>
              </w:rPr>
            </w:pPr>
          </w:p>
        </w:tc>
        <w:tc>
          <w:tcPr>
            <w:tcW w:w="2842" w:type="dxa"/>
            <w:shd w:val="clear" w:color="auto" w:fill="auto"/>
          </w:tcPr>
          <w:p w:rsidR="00F42223" w:rsidRPr="00091230" w:rsidRDefault="00F42223" w:rsidP="0026794C">
            <w:pPr>
              <w:jc w:val="both"/>
              <w:rPr>
                <w:rFonts w:eastAsia="Arial"/>
              </w:rPr>
            </w:pPr>
            <w:r w:rsidRPr="00091230">
              <w:rPr>
                <w:rFonts w:eastAsia="Arial"/>
              </w:rPr>
              <w:t>Количество штатных единиц среднего персонала</w:t>
            </w:r>
          </w:p>
        </w:tc>
        <w:tc>
          <w:tcPr>
            <w:tcW w:w="1558" w:type="dxa"/>
            <w:shd w:val="clear" w:color="auto" w:fill="auto"/>
          </w:tcPr>
          <w:p w:rsidR="00F42223" w:rsidRPr="00091230" w:rsidRDefault="00F42223" w:rsidP="0026794C">
            <w:pPr>
              <w:jc w:val="center"/>
            </w:pPr>
            <w:r w:rsidRPr="00091230">
              <w:rPr>
                <w:rFonts w:eastAsia="Arial"/>
              </w:rPr>
              <w:t>–</w:t>
            </w:r>
          </w:p>
        </w:tc>
        <w:tc>
          <w:tcPr>
            <w:tcW w:w="1278" w:type="dxa"/>
            <w:shd w:val="clear" w:color="auto" w:fill="auto"/>
          </w:tcPr>
          <w:p w:rsidR="00F42223" w:rsidRPr="00091230" w:rsidRDefault="00F42223" w:rsidP="0026794C">
            <w:pPr>
              <w:jc w:val="center"/>
            </w:pPr>
            <w:r w:rsidRPr="00091230">
              <w:rPr>
                <w:rFonts w:eastAsia="Arial"/>
              </w:rPr>
              <w:t>–</w:t>
            </w:r>
          </w:p>
        </w:tc>
        <w:tc>
          <w:tcPr>
            <w:tcW w:w="1835" w:type="dxa"/>
            <w:shd w:val="clear" w:color="auto" w:fill="auto"/>
          </w:tcPr>
          <w:p w:rsidR="00F42223" w:rsidRPr="00091230" w:rsidRDefault="00F42223" w:rsidP="0026794C">
            <w:pPr>
              <w:jc w:val="center"/>
              <w:rPr>
                <w:rFonts w:eastAsia="Arial"/>
              </w:rPr>
            </w:pPr>
            <w:r w:rsidRPr="00091230">
              <w:rPr>
                <w:rFonts w:eastAsia="Arial"/>
              </w:rPr>
              <w:t>1,0</w:t>
            </w:r>
          </w:p>
        </w:tc>
      </w:tr>
      <w:tr w:rsidR="00F42223" w:rsidRPr="00091230" w:rsidTr="00810CA9">
        <w:trPr>
          <w:trHeight w:val="20"/>
        </w:trPr>
        <w:tc>
          <w:tcPr>
            <w:tcW w:w="2682" w:type="dxa"/>
            <w:vMerge/>
          </w:tcPr>
          <w:p w:rsidR="00F42223" w:rsidRPr="00091230" w:rsidRDefault="00F42223" w:rsidP="0026794C">
            <w:pPr>
              <w:jc w:val="both"/>
              <w:rPr>
                <w:rFonts w:eastAsia="Arial"/>
              </w:rPr>
            </w:pPr>
          </w:p>
        </w:tc>
        <w:tc>
          <w:tcPr>
            <w:tcW w:w="2842" w:type="dxa"/>
            <w:shd w:val="clear" w:color="auto" w:fill="auto"/>
          </w:tcPr>
          <w:p w:rsidR="00F42223" w:rsidRPr="00091230" w:rsidRDefault="00F42223" w:rsidP="0026794C">
            <w:pPr>
              <w:jc w:val="both"/>
              <w:rPr>
                <w:rFonts w:eastAsia="Arial"/>
              </w:rPr>
            </w:pPr>
            <w:r w:rsidRPr="00091230">
              <w:rPr>
                <w:rFonts w:eastAsia="Arial"/>
              </w:rPr>
              <w:t>Количество штатных единиц младшего персонала</w:t>
            </w:r>
          </w:p>
        </w:tc>
        <w:tc>
          <w:tcPr>
            <w:tcW w:w="1558" w:type="dxa"/>
            <w:shd w:val="clear" w:color="auto" w:fill="auto"/>
          </w:tcPr>
          <w:p w:rsidR="00F42223" w:rsidRPr="00091230" w:rsidRDefault="00F42223" w:rsidP="0026794C">
            <w:pPr>
              <w:jc w:val="center"/>
            </w:pPr>
            <w:r w:rsidRPr="00091230">
              <w:rPr>
                <w:rFonts w:eastAsia="Arial"/>
              </w:rPr>
              <w:t>–</w:t>
            </w:r>
          </w:p>
        </w:tc>
        <w:tc>
          <w:tcPr>
            <w:tcW w:w="1278" w:type="dxa"/>
            <w:shd w:val="clear" w:color="auto" w:fill="auto"/>
          </w:tcPr>
          <w:p w:rsidR="00F42223" w:rsidRPr="00091230" w:rsidRDefault="00F42223" w:rsidP="0026794C">
            <w:pPr>
              <w:jc w:val="center"/>
            </w:pPr>
            <w:r w:rsidRPr="00091230">
              <w:rPr>
                <w:rFonts w:eastAsia="Arial"/>
              </w:rPr>
              <w:t>–</w:t>
            </w:r>
          </w:p>
        </w:tc>
        <w:tc>
          <w:tcPr>
            <w:tcW w:w="1835" w:type="dxa"/>
            <w:shd w:val="clear" w:color="auto" w:fill="auto"/>
          </w:tcPr>
          <w:p w:rsidR="00F42223" w:rsidRPr="00091230" w:rsidRDefault="00F42223" w:rsidP="0026794C">
            <w:pPr>
              <w:jc w:val="center"/>
              <w:rPr>
                <w:rFonts w:eastAsia="Arial"/>
              </w:rPr>
            </w:pPr>
            <w:r w:rsidRPr="00091230">
              <w:rPr>
                <w:rFonts w:eastAsia="Arial"/>
              </w:rPr>
              <w:t>0,0</w:t>
            </w:r>
          </w:p>
        </w:tc>
      </w:tr>
      <w:tr w:rsidR="00F42223" w:rsidRPr="00091230" w:rsidTr="00810CA9">
        <w:trPr>
          <w:trHeight w:val="20"/>
        </w:trPr>
        <w:tc>
          <w:tcPr>
            <w:tcW w:w="2682" w:type="dxa"/>
            <w:vMerge w:val="restart"/>
          </w:tcPr>
          <w:p w:rsidR="00F42223" w:rsidRPr="00091230" w:rsidRDefault="00F42223" w:rsidP="0026794C">
            <w:pPr>
              <w:jc w:val="both"/>
              <w:rPr>
                <w:rFonts w:eastAsia="Arial"/>
              </w:rPr>
            </w:pPr>
            <w:r w:rsidRPr="00091230">
              <w:rPr>
                <w:rFonts w:eastAsia="Arial"/>
              </w:rPr>
              <w:t xml:space="preserve">ГАУЗ </w:t>
            </w:r>
            <w:r w:rsidR="002F7358">
              <w:rPr>
                <w:rFonts w:eastAsia="Arial"/>
              </w:rPr>
              <w:t>«</w:t>
            </w:r>
            <w:r w:rsidRPr="00091230">
              <w:rPr>
                <w:rFonts w:eastAsia="Arial"/>
              </w:rPr>
              <w:t>Уруссинская ЦРБ Ютазинского муниципального рай</w:t>
            </w:r>
            <w:r w:rsidR="00C93DB4">
              <w:rPr>
                <w:rFonts w:eastAsia="Arial"/>
              </w:rPr>
              <w:t>о</w:t>
            </w:r>
            <w:r w:rsidRPr="00091230">
              <w:rPr>
                <w:rFonts w:eastAsia="Arial"/>
              </w:rPr>
              <w:t>на Р</w:t>
            </w:r>
            <w:r w:rsidR="00C93DB4">
              <w:rPr>
                <w:rFonts w:eastAsia="Arial"/>
              </w:rPr>
              <w:t xml:space="preserve">еспублики </w:t>
            </w:r>
            <w:r w:rsidRPr="00091230">
              <w:rPr>
                <w:rFonts w:eastAsia="Arial"/>
              </w:rPr>
              <w:t>Т</w:t>
            </w:r>
            <w:r w:rsidR="00C93DB4">
              <w:rPr>
                <w:rFonts w:eastAsia="Arial"/>
              </w:rPr>
              <w:t>атарстан</w:t>
            </w:r>
            <w:r w:rsidR="002F7358">
              <w:rPr>
                <w:rFonts w:eastAsia="Arial"/>
              </w:rPr>
              <w:t>»</w:t>
            </w:r>
          </w:p>
        </w:tc>
        <w:tc>
          <w:tcPr>
            <w:tcW w:w="2842" w:type="dxa"/>
            <w:shd w:val="clear" w:color="auto" w:fill="auto"/>
          </w:tcPr>
          <w:p w:rsidR="00F42223" w:rsidRPr="00091230" w:rsidRDefault="00F42223" w:rsidP="00C55D07">
            <w:pPr>
              <w:jc w:val="both"/>
              <w:rPr>
                <w:rFonts w:eastAsia="Arial"/>
              </w:rPr>
            </w:pPr>
            <w:r w:rsidRPr="00091230">
              <w:rPr>
                <w:rFonts w:eastAsia="Arial"/>
              </w:rPr>
              <w:t>Мощность (ко</w:t>
            </w:r>
            <w:r w:rsidR="00C55D07">
              <w:rPr>
                <w:rFonts w:eastAsia="Arial"/>
              </w:rPr>
              <w:t>ек</w:t>
            </w:r>
            <w:r w:rsidRPr="00091230">
              <w:rPr>
                <w:rFonts w:eastAsia="Arial"/>
              </w:rPr>
              <w:t>, посещений в смену)</w:t>
            </w:r>
          </w:p>
        </w:tc>
        <w:tc>
          <w:tcPr>
            <w:tcW w:w="1558" w:type="dxa"/>
            <w:shd w:val="clear" w:color="auto" w:fill="auto"/>
          </w:tcPr>
          <w:p w:rsidR="00F42223" w:rsidRPr="00091230" w:rsidRDefault="00F42223" w:rsidP="0026794C">
            <w:pPr>
              <w:jc w:val="center"/>
            </w:pPr>
            <w:r w:rsidRPr="00091230">
              <w:rPr>
                <w:rFonts w:eastAsia="Arial"/>
              </w:rPr>
              <w:t>–</w:t>
            </w:r>
          </w:p>
        </w:tc>
        <w:tc>
          <w:tcPr>
            <w:tcW w:w="1278" w:type="dxa"/>
            <w:shd w:val="clear" w:color="auto" w:fill="auto"/>
          </w:tcPr>
          <w:p w:rsidR="00F42223" w:rsidRPr="00091230" w:rsidRDefault="00F42223" w:rsidP="0026794C">
            <w:pPr>
              <w:jc w:val="center"/>
            </w:pPr>
            <w:r w:rsidRPr="00091230">
              <w:rPr>
                <w:rFonts w:eastAsia="Arial"/>
              </w:rPr>
              <w:t>–</w:t>
            </w:r>
          </w:p>
        </w:tc>
        <w:tc>
          <w:tcPr>
            <w:tcW w:w="1835" w:type="dxa"/>
            <w:shd w:val="clear" w:color="auto" w:fill="auto"/>
          </w:tcPr>
          <w:p w:rsidR="00F42223" w:rsidRPr="00091230" w:rsidRDefault="00F42223" w:rsidP="0026794C">
            <w:pPr>
              <w:jc w:val="center"/>
              <w:rPr>
                <w:rFonts w:eastAsia="Arial"/>
              </w:rPr>
            </w:pPr>
            <w:r w:rsidRPr="00091230">
              <w:rPr>
                <w:rFonts w:eastAsia="Arial"/>
              </w:rPr>
              <w:t>15</w:t>
            </w:r>
          </w:p>
        </w:tc>
      </w:tr>
      <w:tr w:rsidR="00F42223" w:rsidRPr="00091230" w:rsidTr="00810CA9">
        <w:trPr>
          <w:trHeight w:val="20"/>
        </w:trPr>
        <w:tc>
          <w:tcPr>
            <w:tcW w:w="2682" w:type="dxa"/>
            <w:vMerge/>
          </w:tcPr>
          <w:p w:rsidR="00F42223" w:rsidRPr="00091230" w:rsidRDefault="00F42223" w:rsidP="0026794C">
            <w:pPr>
              <w:jc w:val="both"/>
              <w:rPr>
                <w:rFonts w:eastAsia="Arial"/>
              </w:rPr>
            </w:pPr>
          </w:p>
        </w:tc>
        <w:tc>
          <w:tcPr>
            <w:tcW w:w="2842" w:type="dxa"/>
            <w:shd w:val="clear" w:color="auto" w:fill="auto"/>
          </w:tcPr>
          <w:p w:rsidR="00F42223" w:rsidRPr="00091230" w:rsidRDefault="00F42223" w:rsidP="0026794C">
            <w:pPr>
              <w:jc w:val="both"/>
              <w:rPr>
                <w:rFonts w:eastAsia="Arial"/>
              </w:rPr>
            </w:pPr>
            <w:r w:rsidRPr="00091230">
              <w:rPr>
                <w:rFonts w:eastAsia="Arial"/>
              </w:rPr>
              <w:t>Количество штатных единиц врачей</w:t>
            </w:r>
          </w:p>
        </w:tc>
        <w:tc>
          <w:tcPr>
            <w:tcW w:w="1558" w:type="dxa"/>
            <w:shd w:val="clear" w:color="auto" w:fill="auto"/>
          </w:tcPr>
          <w:p w:rsidR="00F42223" w:rsidRPr="00091230" w:rsidRDefault="00F42223" w:rsidP="0026794C">
            <w:pPr>
              <w:jc w:val="center"/>
            </w:pPr>
            <w:r w:rsidRPr="00091230">
              <w:rPr>
                <w:rFonts w:eastAsia="Arial"/>
              </w:rPr>
              <w:t>–</w:t>
            </w:r>
          </w:p>
        </w:tc>
        <w:tc>
          <w:tcPr>
            <w:tcW w:w="1278" w:type="dxa"/>
            <w:shd w:val="clear" w:color="auto" w:fill="auto"/>
          </w:tcPr>
          <w:p w:rsidR="00F42223" w:rsidRPr="00091230" w:rsidRDefault="00F42223" w:rsidP="0026794C">
            <w:pPr>
              <w:jc w:val="center"/>
            </w:pPr>
            <w:r w:rsidRPr="00091230">
              <w:rPr>
                <w:rFonts w:eastAsia="Arial"/>
              </w:rPr>
              <w:t>–</w:t>
            </w:r>
          </w:p>
        </w:tc>
        <w:tc>
          <w:tcPr>
            <w:tcW w:w="1835" w:type="dxa"/>
            <w:shd w:val="clear" w:color="auto" w:fill="auto"/>
          </w:tcPr>
          <w:p w:rsidR="00F42223" w:rsidRPr="00091230" w:rsidRDefault="00F42223" w:rsidP="0026794C">
            <w:pPr>
              <w:jc w:val="center"/>
              <w:rPr>
                <w:rFonts w:eastAsia="Arial"/>
              </w:rPr>
            </w:pPr>
            <w:r w:rsidRPr="00091230">
              <w:rPr>
                <w:rFonts w:eastAsia="Arial"/>
              </w:rPr>
              <w:t>0,5</w:t>
            </w:r>
          </w:p>
        </w:tc>
      </w:tr>
      <w:tr w:rsidR="00F42223" w:rsidRPr="00091230" w:rsidTr="00810CA9">
        <w:trPr>
          <w:trHeight w:val="20"/>
        </w:trPr>
        <w:tc>
          <w:tcPr>
            <w:tcW w:w="2682" w:type="dxa"/>
            <w:vMerge/>
          </w:tcPr>
          <w:p w:rsidR="00F42223" w:rsidRPr="00091230" w:rsidRDefault="00F42223" w:rsidP="0026794C">
            <w:pPr>
              <w:jc w:val="both"/>
              <w:rPr>
                <w:rFonts w:eastAsia="Arial"/>
              </w:rPr>
            </w:pPr>
          </w:p>
        </w:tc>
        <w:tc>
          <w:tcPr>
            <w:tcW w:w="2842" w:type="dxa"/>
            <w:shd w:val="clear" w:color="auto" w:fill="auto"/>
          </w:tcPr>
          <w:p w:rsidR="00F42223" w:rsidRPr="00091230" w:rsidRDefault="00F42223" w:rsidP="0026794C">
            <w:pPr>
              <w:jc w:val="both"/>
              <w:rPr>
                <w:rFonts w:eastAsia="Arial"/>
              </w:rPr>
            </w:pPr>
            <w:r w:rsidRPr="00091230">
              <w:rPr>
                <w:rFonts w:eastAsia="Arial"/>
              </w:rPr>
              <w:t>Количество штатных единиц среднего персонала</w:t>
            </w:r>
          </w:p>
        </w:tc>
        <w:tc>
          <w:tcPr>
            <w:tcW w:w="1558" w:type="dxa"/>
            <w:shd w:val="clear" w:color="auto" w:fill="auto"/>
          </w:tcPr>
          <w:p w:rsidR="00F42223" w:rsidRPr="00091230" w:rsidRDefault="00F42223" w:rsidP="0026794C">
            <w:pPr>
              <w:jc w:val="center"/>
            </w:pPr>
            <w:r w:rsidRPr="00091230">
              <w:rPr>
                <w:rFonts w:eastAsia="Arial"/>
              </w:rPr>
              <w:t>–</w:t>
            </w:r>
          </w:p>
        </w:tc>
        <w:tc>
          <w:tcPr>
            <w:tcW w:w="1278" w:type="dxa"/>
            <w:shd w:val="clear" w:color="auto" w:fill="auto"/>
          </w:tcPr>
          <w:p w:rsidR="00F42223" w:rsidRPr="00091230" w:rsidRDefault="00F42223" w:rsidP="0026794C">
            <w:pPr>
              <w:jc w:val="center"/>
            </w:pPr>
            <w:r w:rsidRPr="00091230">
              <w:rPr>
                <w:rFonts w:eastAsia="Arial"/>
              </w:rPr>
              <w:t>–</w:t>
            </w:r>
          </w:p>
        </w:tc>
        <w:tc>
          <w:tcPr>
            <w:tcW w:w="1835" w:type="dxa"/>
            <w:shd w:val="clear" w:color="auto" w:fill="auto"/>
          </w:tcPr>
          <w:p w:rsidR="00F42223" w:rsidRPr="00091230" w:rsidRDefault="00F42223" w:rsidP="0026794C">
            <w:pPr>
              <w:jc w:val="center"/>
              <w:rPr>
                <w:rFonts w:eastAsia="Arial"/>
              </w:rPr>
            </w:pPr>
            <w:r w:rsidRPr="00091230">
              <w:rPr>
                <w:rFonts w:eastAsia="Arial"/>
              </w:rPr>
              <w:t>1,0</w:t>
            </w:r>
          </w:p>
        </w:tc>
      </w:tr>
      <w:tr w:rsidR="00F42223" w:rsidRPr="00091230" w:rsidTr="00810CA9">
        <w:trPr>
          <w:trHeight w:val="20"/>
        </w:trPr>
        <w:tc>
          <w:tcPr>
            <w:tcW w:w="2682" w:type="dxa"/>
            <w:vMerge/>
          </w:tcPr>
          <w:p w:rsidR="00F42223" w:rsidRPr="00091230" w:rsidRDefault="00F42223" w:rsidP="0026794C">
            <w:pPr>
              <w:jc w:val="both"/>
              <w:rPr>
                <w:rFonts w:eastAsia="Arial"/>
              </w:rPr>
            </w:pPr>
          </w:p>
        </w:tc>
        <w:tc>
          <w:tcPr>
            <w:tcW w:w="2842" w:type="dxa"/>
            <w:shd w:val="clear" w:color="auto" w:fill="auto"/>
          </w:tcPr>
          <w:p w:rsidR="00F42223" w:rsidRPr="00091230" w:rsidRDefault="00F42223" w:rsidP="0026794C">
            <w:pPr>
              <w:jc w:val="both"/>
              <w:rPr>
                <w:rFonts w:eastAsia="Arial"/>
              </w:rPr>
            </w:pPr>
            <w:r w:rsidRPr="00091230">
              <w:rPr>
                <w:rFonts w:eastAsia="Arial"/>
              </w:rPr>
              <w:t>Количество штатных единиц младшего персонала</w:t>
            </w:r>
          </w:p>
        </w:tc>
        <w:tc>
          <w:tcPr>
            <w:tcW w:w="1558" w:type="dxa"/>
            <w:shd w:val="clear" w:color="auto" w:fill="auto"/>
          </w:tcPr>
          <w:p w:rsidR="00F42223" w:rsidRPr="00091230" w:rsidRDefault="00F42223" w:rsidP="0026794C">
            <w:pPr>
              <w:jc w:val="center"/>
            </w:pPr>
            <w:r w:rsidRPr="00091230">
              <w:rPr>
                <w:rFonts w:eastAsia="Arial"/>
              </w:rPr>
              <w:t>–</w:t>
            </w:r>
          </w:p>
        </w:tc>
        <w:tc>
          <w:tcPr>
            <w:tcW w:w="1278" w:type="dxa"/>
            <w:shd w:val="clear" w:color="auto" w:fill="auto"/>
          </w:tcPr>
          <w:p w:rsidR="00F42223" w:rsidRPr="00091230" w:rsidRDefault="00F42223" w:rsidP="0026794C">
            <w:pPr>
              <w:jc w:val="center"/>
            </w:pPr>
            <w:r w:rsidRPr="00091230">
              <w:rPr>
                <w:rFonts w:eastAsia="Arial"/>
              </w:rPr>
              <w:t>–</w:t>
            </w:r>
          </w:p>
        </w:tc>
        <w:tc>
          <w:tcPr>
            <w:tcW w:w="1835" w:type="dxa"/>
            <w:shd w:val="clear" w:color="auto" w:fill="auto"/>
          </w:tcPr>
          <w:p w:rsidR="00F42223" w:rsidRPr="00091230" w:rsidRDefault="00F42223" w:rsidP="0026794C">
            <w:pPr>
              <w:jc w:val="center"/>
              <w:rPr>
                <w:rFonts w:eastAsia="Arial"/>
              </w:rPr>
            </w:pPr>
            <w:r w:rsidRPr="00091230">
              <w:rPr>
                <w:rFonts w:eastAsia="Arial"/>
              </w:rPr>
              <w:t>0,0</w:t>
            </w:r>
          </w:p>
        </w:tc>
      </w:tr>
      <w:tr w:rsidR="00F42223" w:rsidRPr="00091230" w:rsidTr="00810CA9">
        <w:trPr>
          <w:trHeight w:val="20"/>
        </w:trPr>
        <w:tc>
          <w:tcPr>
            <w:tcW w:w="2682" w:type="dxa"/>
            <w:vMerge w:val="restart"/>
          </w:tcPr>
          <w:p w:rsidR="00F42223" w:rsidRPr="00091230" w:rsidRDefault="00F42223" w:rsidP="0026794C">
            <w:pPr>
              <w:jc w:val="both"/>
              <w:rPr>
                <w:rFonts w:eastAsia="Arial"/>
              </w:rPr>
            </w:pPr>
            <w:r w:rsidRPr="00091230">
              <w:rPr>
                <w:rFonts w:eastAsia="Arial"/>
              </w:rPr>
              <w:t xml:space="preserve">ГАУЗ </w:t>
            </w:r>
            <w:r w:rsidR="002F7358">
              <w:rPr>
                <w:rFonts w:eastAsia="Arial"/>
              </w:rPr>
              <w:t>«</w:t>
            </w:r>
            <w:r w:rsidRPr="00091230">
              <w:rPr>
                <w:rFonts w:eastAsia="Arial"/>
              </w:rPr>
              <w:t>Буинская ЦРБ</w:t>
            </w:r>
            <w:r w:rsidR="002F7358">
              <w:rPr>
                <w:rFonts w:eastAsia="Arial"/>
              </w:rPr>
              <w:t>»</w:t>
            </w:r>
          </w:p>
        </w:tc>
        <w:tc>
          <w:tcPr>
            <w:tcW w:w="2842" w:type="dxa"/>
            <w:shd w:val="clear" w:color="auto" w:fill="auto"/>
          </w:tcPr>
          <w:p w:rsidR="00F42223" w:rsidRPr="00091230" w:rsidRDefault="00F42223" w:rsidP="00C55D07">
            <w:pPr>
              <w:jc w:val="both"/>
              <w:rPr>
                <w:rFonts w:eastAsia="Arial"/>
              </w:rPr>
            </w:pPr>
            <w:r w:rsidRPr="00091230">
              <w:rPr>
                <w:rFonts w:eastAsia="Arial"/>
              </w:rPr>
              <w:t>Мощность (ко</w:t>
            </w:r>
            <w:r w:rsidR="00C55D07">
              <w:rPr>
                <w:rFonts w:eastAsia="Arial"/>
              </w:rPr>
              <w:t>ек</w:t>
            </w:r>
            <w:r w:rsidRPr="00091230">
              <w:rPr>
                <w:rFonts w:eastAsia="Arial"/>
              </w:rPr>
              <w:t>, посещений в смену)</w:t>
            </w:r>
          </w:p>
        </w:tc>
        <w:tc>
          <w:tcPr>
            <w:tcW w:w="1558" w:type="dxa"/>
            <w:shd w:val="clear" w:color="auto" w:fill="auto"/>
          </w:tcPr>
          <w:p w:rsidR="00F42223" w:rsidRPr="00091230" w:rsidRDefault="00F42223" w:rsidP="0026794C">
            <w:pPr>
              <w:jc w:val="center"/>
            </w:pPr>
            <w:r w:rsidRPr="00091230">
              <w:rPr>
                <w:rFonts w:eastAsia="Arial"/>
              </w:rPr>
              <w:t>–</w:t>
            </w:r>
          </w:p>
        </w:tc>
        <w:tc>
          <w:tcPr>
            <w:tcW w:w="1278" w:type="dxa"/>
            <w:shd w:val="clear" w:color="auto" w:fill="auto"/>
          </w:tcPr>
          <w:p w:rsidR="00F42223" w:rsidRPr="00091230" w:rsidRDefault="00F42223" w:rsidP="0026794C">
            <w:pPr>
              <w:jc w:val="center"/>
            </w:pPr>
            <w:r w:rsidRPr="00091230">
              <w:rPr>
                <w:rFonts w:eastAsia="Arial"/>
              </w:rPr>
              <w:t>–</w:t>
            </w:r>
          </w:p>
        </w:tc>
        <w:tc>
          <w:tcPr>
            <w:tcW w:w="1835" w:type="dxa"/>
            <w:shd w:val="clear" w:color="auto" w:fill="auto"/>
          </w:tcPr>
          <w:p w:rsidR="00F42223" w:rsidRPr="00091230" w:rsidRDefault="00F42223" w:rsidP="0026794C">
            <w:pPr>
              <w:jc w:val="center"/>
              <w:rPr>
                <w:rFonts w:eastAsia="Arial"/>
              </w:rPr>
            </w:pPr>
            <w:r w:rsidRPr="00091230">
              <w:rPr>
                <w:rFonts w:eastAsia="Arial"/>
              </w:rPr>
              <w:t>15</w:t>
            </w:r>
          </w:p>
        </w:tc>
      </w:tr>
      <w:tr w:rsidR="00F42223" w:rsidRPr="00091230" w:rsidTr="00810CA9">
        <w:trPr>
          <w:trHeight w:val="20"/>
        </w:trPr>
        <w:tc>
          <w:tcPr>
            <w:tcW w:w="2682" w:type="dxa"/>
            <w:vMerge/>
          </w:tcPr>
          <w:p w:rsidR="00F42223" w:rsidRPr="00091230" w:rsidRDefault="00F42223" w:rsidP="0026794C">
            <w:pPr>
              <w:jc w:val="both"/>
              <w:rPr>
                <w:rFonts w:eastAsia="Arial"/>
              </w:rPr>
            </w:pPr>
          </w:p>
        </w:tc>
        <w:tc>
          <w:tcPr>
            <w:tcW w:w="2842" w:type="dxa"/>
            <w:shd w:val="clear" w:color="auto" w:fill="auto"/>
          </w:tcPr>
          <w:p w:rsidR="00F42223" w:rsidRPr="00091230" w:rsidRDefault="00F42223" w:rsidP="0026794C">
            <w:pPr>
              <w:jc w:val="both"/>
              <w:rPr>
                <w:rFonts w:eastAsia="Arial"/>
              </w:rPr>
            </w:pPr>
            <w:r w:rsidRPr="00091230">
              <w:rPr>
                <w:rFonts w:eastAsia="Arial"/>
              </w:rPr>
              <w:t>Количество штатных единиц врачей</w:t>
            </w:r>
          </w:p>
        </w:tc>
        <w:tc>
          <w:tcPr>
            <w:tcW w:w="1558" w:type="dxa"/>
            <w:shd w:val="clear" w:color="auto" w:fill="auto"/>
          </w:tcPr>
          <w:p w:rsidR="00F42223" w:rsidRPr="00091230" w:rsidRDefault="00F42223" w:rsidP="0026794C">
            <w:pPr>
              <w:jc w:val="center"/>
            </w:pPr>
            <w:r w:rsidRPr="00091230">
              <w:rPr>
                <w:rFonts w:eastAsia="Arial"/>
              </w:rPr>
              <w:t>–</w:t>
            </w:r>
          </w:p>
        </w:tc>
        <w:tc>
          <w:tcPr>
            <w:tcW w:w="1278" w:type="dxa"/>
            <w:shd w:val="clear" w:color="auto" w:fill="auto"/>
          </w:tcPr>
          <w:p w:rsidR="00F42223" w:rsidRPr="00091230" w:rsidRDefault="00F42223" w:rsidP="0026794C">
            <w:pPr>
              <w:jc w:val="center"/>
            </w:pPr>
            <w:r w:rsidRPr="00091230">
              <w:rPr>
                <w:rFonts w:eastAsia="Arial"/>
              </w:rPr>
              <w:t>–</w:t>
            </w:r>
          </w:p>
        </w:tc>
        <w:tc>
          <w:tcPr>
            <w:tcW w:w="1835" w:type="dxa"/>
            <w:shd w:val="clear" w:color="auto" w:fill="auto"/>
          </w:tcPr>
          <w:p w:rsidR="00F42223" w:rsidRPr="00091230" w:rsidRDefault="00F42223" w:rsidP="0026794C">
            <w:pPr>
              <w:jc w:val="center"/>
              <w:rPr>
                <w:rFonts w:eastAsia="Arial"/>
              </w:rPr>
            </w:pPr>
            <w:r w:rsidRPr="00091230">
              <w:rPr>
                <w:rFonts w:eastAsia="Arial"/>
              </w:rPr>
              <w:t>0,5</w:t>
            </w:r>
          </w:p>
        </w:tc>
      </w:tr>
      <w:tr w:rsidR="00F42223" w:rsidRPr="00091230" w:rsidTr="00810CA9">
        <w:trPr>
          <w:trHeight w:val="20"/>
        </w:trPr>
        <w:tc>
          <w:tcPr>
            <w:tcW w:w="2682" w:type="dxa"/>
            <w:vMerge/>
          </w:tcPr>
          <w:p w:rsidR="00F42223" w:rsidRPr="00091230" w:rsidRDefault="00F42223" w:rsidP="0026794C">
            <w:pPr>
              <w:jc w:val="both"/>
              <w:rPr>
                <w:rFonts w:eastAsia="Arial"/>
              </w:rPr>
            </w:pPr>
          </w:p>
        </w:tc>
        <w:tc>
          <w:tcPr>
            <w:tcW w:w="2842" w:type="dxa"/>
            <w:shd w:val="clear" w:color="auto" w:fill="auto"/>
          </w:tcPr>
          <w:p w:rsidR="00F42223" w:rsidRPr="00091230" w:rsidRDefault="00F42223" w:rsidP="0026794C">
            <w:pPr>
              <w:jc w:val="both"/>
              <w:rPr>
                <w:rFonts w:eastAsia="Arial"/>
              </w:rPr>
            </w:pPr>
            <w:r w:rsidRPr="00091230">
              <w:rPr>
                <w:rFonts w:eastAsia="Arial"/>
              </w:rPr>
              <w:t>Количество штатных единиц среднего персонала</w:t>
            </w:r>
          </w:p>
        </w:tc>
        <w:tc>
          <w:tcPr>
            <w:tcW w:w="1558" w:type="dxa"/>
            <w:shd w:val="clear" w:color="auto" w:fill="auto"/>
          </w:tcPr>
          <w:p w:rsidR="00F42223" w:rsidRPr="00091230" w:rsidRDefault="00F42223" w:rsidP="0026794C">
            <w:pPr>
              <w:jc w:val="center"/>
            </w:pPr>
            <w:r w:rsidRPr="00091230">
              <w:rPr>
                <w:rFonts w:eastAsia="Arial"/>
              </w:rPr>
              <w:t>–</w:t>
            </w:r>
          </w:p>
        </w:tc>
        <w:tc>
          <w:tcPr>
            <w:tcW w:w="1278" w:type="dxa"/>
            <w:shd w:val="clear" w:color="auto" w:fill="auto"/>
          </w:tcPr>
          <w:p w:rsidR="00F42223" w:rsidRPr="00091230" w:rsidRDefault="00F42223" w:rsidP="0026794C">
            <w:pPr>
              <w:jc w:val="center"/>
            </w:pPr>
            <w:r w:rsidRPr="00091230">
              <w:rPr>
                <w:rFonts w:eastAsia="Arial"/>
              </w:rPr>
              <w:t>–</w:t>
            </w:r>
          </w:p>
        </w:tc>
        <w:tc>
          <w:tcPr>
            <w:tcW w:w="1835" w:type="dxa"/>
            <w:shd w:val="clear" w:color="auto" w:fill="auto"/>
          </w:tcPr>
          <w:p w:rsidR="00F42223" w:rsidRPr="00091230" w:rsidRDefault="00F42223" w:rsidP="0026794C">
            <w:pPr>
              <w:jc w:val="center"/>
              <w:rPr>
                <w:rFonts w:eastAsia="Arial"/>
              </w:rPr>
            </w:pPr>
            <w:r w:rsidRPr="00091230">
              <w:rPr>
                <w:rFonts w:eastAsia="Arial"/>
              </w:rPr>
              <w:t>1,0</w:t>
            </w:r>
          </w:p>
        </w:tc>
      </w:tr>
      <w:tr w:rsidR="00F42223" w:rsidRPr="00091230" w:rsidTr="00810CA9">
        <w:trPr>
          <w:trHeight w:val="20"/>
        </w:trPr>
        <w:tc>
          <w:tcPr>
            <w:tcW w:w="2682" w:type="dxa"/>
            <w:vMerge/>
          </w:tcPr>
          <w:p w:rsidR="00F42223" w:rsidRPr="00091230" w:rsidRDefault="00F42223" w:rsidP="0026794C">
            <w:pPr>
              <w:jc w:val="both"/>
              <w:rPr>
                <w:rFonts w:eastAsia="Arial"/>
              </w:rPr>
            </w:pPr>
          </w:p>
        </w:tc>
        <w:tc>
          <w:tcPr>
            <w:tcW w:w="2842" w:type="dxa"/>
            <w:shd w:val="clear" w:color="auto" w:fill="auto"/>
          </w:tcPr>
          <w:p w:rsidR="00F42223" w:rsidRPr="00091230" w:rsidRDefault="00F42223" w:rsidP="0026794C">
            <w:pPr>
              <w:jc w:val="both"/>
              <w:rPr>
                <w:rFonts w:eastAsia="Arial"/>
              </w:rPr>
            </w:pPr>
            <w:r w:rsidRPr="00091230">
              <w:rPr>
                <w:rFonts w:eastAsia="Arial"/>
              </w:rPr>
              <w:t>Количество штатных единиц младшего персонала</w:t>
            </w:r>
          </w:p>
        </w:tc>
        <w:tc>
          <w:tcPr>
            <w:tcW w:w="1558" w:type="dxa"/>
            <w:shd w:val="clear" w:color="auto" w:fill="auto"/>
          </w:tcPr>
          <w:p w:rsidR="00F42223" w:rsidRPr="00091230" w:rsidRDefault="00F42223" w:rsidP="0026794C">
            <w:pPr>
              <w:jc w:val="center"/>
            </w:pPr>
            <w:r w:rsidRPr="00091230">
              <w:rPr>
                <w:rFonts w:eastAsia="Arial"/>
              </w:rPr>
              <w:t>–</w:t>
            </w:r>
          </w:p>
        </w:tc>
        <w:tc>
          <w:tcPr>
            <w:tcW w:w="1278" w:type="dxa"/>
            <w:shd w:val="clear" w:color="auto" w:fill="auto"/>
          </w:tcPr>
          <w:p w:rsidR="00F42223" w:rsidRPr="00091230" w:rsidRDefault="00F42223" w:rsidP="0026794C">
            <w:pPr>
              <w:jc w:val="center"/>
            </w:pPr>
            <w:r w:rsidRPr="00091230">
              <w:rPr>
                <w:rFonts w:eastAsia="Arial"/>
              </w:rPr>
              <w:t>–</w:t>
            </w:r>
          </w:p>
        </w:tc>
        <w:tc>
          <w:tcPr>
            <w:tcW w:w="1835" w:type="dxa"/>
            <w:shd w:val="clear" w:color="auto" w:fill="auto"/>
          </w:tcPr>
          <w:p w:rsidR="00F42223" w:rsidRPr="00091230" w:rsidRDefault="00F42223" w:rsidP="0026794C">
            <w:pPr>
              <w:jc w:val="center"/>
              <w:rPr>
                <w:rFonts w:eastAsia="Arial"/>
              </w:rPr>
            </w:pPr>
            <w:r w:rsidRPr="00091230">
              <w:rPr>
                <w:rFonts w:eastAsia="Arial"/>
              </w:rPr>
              <w:t>0,0</w:t>
            </w:r>
          </w:p>
        </w:tc>
      </w:tr>
      <w:tr w:rsidR="00F42223" w:rsidRPr="00091230" w:rsidTr="00810CA9">
        <w:trPr>
          <w:trHeight w:val="20"/>
        </w:trPr>
        <w:tc>
          <w:tcPr>
            <w:tcW w:w="2682" w:type="dxa"/>
            <w:vMerge w:val="restart"/>
          </w:tcPr>
          <w:p w:rsidR="00F42223" w:rsidRPr="00091230" w:rsidRDefault="00F42223" w:rsidP="0026794C">
            <w:pPr>
              <w:jc w:val="both"/>
              <w:rPr>
                <w:rFonts w:eastAsia="Arial"/>
              </w:rPr>
            </w:pPr>
            <w:r w:rsidRPr="00091230">
              <w:rPr>
                <w:rFonts w:eastAsia="Arial"/>
              </w:rPr>
              <w:t xml:space="preserve">ГАУЗ </w:t>
            </w:r>
            <w:r w:rsidR="002F7358">
              <w:rPr>
                <w:rFonts w:eastAsia="Arial"/>
              </w:rPr>
              <w:t>«</w:t>
            </w:r>
            <w:r w:rsidRPr="00091230">
              <w:rPr>
                <w:rFonts w:eastAsia="Arial"/>
              </w:rPr>
              <w:t>Азнакаевская ЦРБ</w:t>
            </w:r>
            <w:r w:rsidR="002F7358">
              <w:rPr>
                <w:rFonts w:eastAsia="Arial"/>
              </w:rPr>
              <w:t>»</w:t>
            </w:r>
          </w:p>
        </w:tc>
        <w:tc>
          <w:tcPr>
            <w:tcW w:w="2842" w:type="dxa"/>
            <w:shd w:val="clear" w:color="auto" w:fill="auto"/>
          </w:tcPr>
          <w:p w:rsidR="00F42223" w:rsidRPr="00091230" w:rsidRDefault="00F42223" w:rsidP="00C55D07">
            <w:pPr>
              <w:jc w:val="both"/>
              <w:rPr>
                <w:rFonts w:eastAsia="Arial"/>
              </w:rPr>
            </w:pPr>
            <w:r w:rsidRPr="00091230">
              <w:rPr>
                <w:rFonts w:eastAsia="Arial"/>
              </w:rPr>
              <w:t>Мощность (ко</w:t>
            </w:r>
            <w:r w:rsidR="00C55D07">
              <w:rPr>
                <w:rFonts w:eastAsia="Arial"/>
              </w:rPr>
              <w:t>ек</w:t>
            </w:r>
            <w:r w:rsidRPr="00091230">
              <w:rPr>
                <w:rFonts w:eastAsia="Arial"/>
              </w:rPr>
              <w:t>, посещений в смену)</w:t>
            </w:r>
          </w:p>
        </w:tc>
        <w:tc>
          <w:tcPr>
            <w:tcW w:w="1558" w:type="dxa"/>
            <w:shd w:val="clear" w:color="auto" w:fill="auto"/>
          </w:tcPr>
          <w:p w:rsidR="00F42223" w:rsidRPr="00091230" w:rsidRDefault="00F42223" w:rsidP="0026794C">
            <w:pPr>
              <w:jc w:val="center"/>
            </w:pPr>
            <w:r w:rsidRPr="00091230">
              <w:rPr>
                <w:rFonts w:eastAsia="Arial"/>
              </w:rPr>
              <w:t>–</w:t>
            </w:r>
          </w:p>
        </w:tc>
        <w:tc>
          <w:tcPr>
            <w:tcW w:w="1278" w:type="dxa"/>
            <w:shd w:val="clear" w:color="auto" w:fill="auto"/>
          </w:tcPr>
          <w:p w:rsidR="00F42223" w:rsidRPr="00091230" w:rsidRDefault="00F42223" w:rsidP="0026794C">
            <w:pPr>
              <w:jc w:val="center"/>
            </w:pPr>
            <w:r w:rsidRPr="00091230">
              <w:rPr>
                <w:rFonts w:eastAsia="Arial"/>
              </w:rPr>
              <w:t>–</w:t>
            </w:r>
          </w:p>
        </w:tc>
        <w:tc>
          <w:tcPr>
            <w:tcW w:w="1835" w:type="dxa"/>
            <w:shd w:val="clear" w:color="auto" w:fill="auto"/>
          </w:tcPr>
          <w:p w:rsidR="00F42223" w:rsidRPr="00091230" w:rsidRDefault="00F42223" w:rsidP="0026794C">
            <w:pPr>
              <w:jc w:val="center"/>
              <w:rPr>
                <w:rFonts w:eastAsia="Arial"/>
              </w:rPr>
            </w:pPr>
            <w:r w:rsidRPr="00091230">
              <w:rPr>
                <w:rFonts w:eastAsia="Arial"/>
              </w:rPr>
              <w:t>15</w:t>
            </w:r>
          </w:p>
        </w:tc>
      </w:tr>
      <w:tr w:rsidR="00F42223" w:rsidRPr="00091230" w:rsidTr="00810CA9">
        <w:trPr>
          <w:trHeight w:val="20"/>
        </w:trPr>
        <w:tc>
          <w:tcPr>
            <w:tcW w:w="2682" w:type="dxa"/>
            <w:vMerge/>
          </w:tcPr>
          <w:p w:rsidR="00F42223" w:rsidRPr="00091230" w:rsidRDefault="00F42223" w:rsidP="0026794C">
            <w:pPr>
              <w:jc w:val="both"/>
              <w:rPr>
                <w:rFonts w:eastAsia="Arial"/>
              </w:rPr>
            </w:pPr>
          </w:p>
        </w:tc>
        <w:tc>
          <w:tcPr>
            <w:tcW w:w="2842" w:type="dxa"/>
            <w:shd w:val="clear" w:color="auto" w:fill="auto"/>
          </w:tcPr>
          <w:p w:rsidR="00F42223" w:rsidRPr="00091230" w:rsidRDefault="00F42223" w:rsidP="0026794C">
            <w:pPr>
              <w:jc w:val="both"/>
              <w:rPr>
                <w:rFonts w:eastAsia="Arial"/>
              </w:rPr>
            </w:pPr>
            <w:r w:rsidRPr="00091230">
              <w:rPr>
                <w:rFonts w:eastAsia="Arial"/>
              </w:rPr>
              <w:t>Количество штатных единиц врачей</w:t>
            </w:r>
          </w:p>
        </w:tc>
        <w:tc>
          <w:tcPr>
            <w:tcW w:w="1558" w:type="dxa"/>
            <w:shd w:val="clear" w:color="auto" w:fill="auto"/>
          </w:tcPr>
          <w:p w:rsidR="00F42223" w:rsidRPr="00091230" w:rsidRDefault="00F42223" w:rsidP="0026794C">
            <w:pPr>
              <w:jc w:val="center"/>
            </w:pPr>
            <w:r w:rsidRPr="00091230">
              <w:rPr>
                <w:rFonts w:eastAsia="Arial"/>
              </w:rPr>
              <w:t>–</w:t>
            </w:r>
          </w:p>
        </w:tc>
        <w:tc>
          <w:tcPr>
            <w:tcW w:w="1278" w:type="dxa"/>
            <w:shd w:val="clear" w:color="auto" w:fill="auto"/>
          </w:tcPr>
          <w:p w:rsidR="00F42223" w:rsidRPr="00091230" w:rsidRDefault="00F42223" w:rsidP="0026794C">
            <w:pPr>
              <w:jc w:val="center"/>
            </w:pPr>
            <w:r w:rsidRPr="00091230">
              <w:rPr>
                <w:rFonts w:eastAsia="Arial"/>
              </w:rPr>
              <w:t>–</w:t>
            </w:r>
          </w:p>
        </w:tc>
        <w:tc>
          <w:tcPr>
            <w:tcW w:w="1835" w:type="dxa"/>
            <w:shd w:val="clear" w:color="auto" w:fill="auto"/>
          </w:tcPr>
          <w:p w:rsidR="00F42223" w:rsidRPr="00091230" w:rsidRDefault="00F42223" w:rsidP="0026794C">
            <w:pPr>
              <w:jc w:val="center"/>
              <w:rPr>
                <w:rFonts w:eastAsia="Arial"/>
              </w:rPr>
            </w:pPr>
            <w:r w:rsidRPr="00091230">
              <w:rPr>
                <w:rFonts w:eastAsia="Arial"/>
              </w:rPr>
              <w:t>0,5</w:t>
            </w:r>
          </w:p>
        </w:tc>
      </w:tr>
      <w:tr w:rsidR="00F42223" w:rsidRPr="00091230" w:rsidTr="00810CA9">
        <w:trPr>
          <w:trHeight w:val="20"/>
        </w:trPr>
        <w:tc>
          <w:tcPr>
            <w:tcW w:w="2682" w:type="dxa"/>
            <w:vMerge/>
          </w:tcPr>
          <w:p w:rsidR="00F42223" w:rsidRPr="00091230" w:rsidRDefault="00F42223" w:rsidP="0026794C">
            <w:pPr>
              <w:jc w:val="both"/>
              <w:rPr>
                <w:rFonts w:eastAsia="Arial"/>
              </w:rPr>
            </w:pPr>
          </w:p>
        </w:tc>
        <w:tc>
          <w:tcPr>
            <w:tcW w:w="2842" w:type="dxa"/>
            <w:shd w:val="clear" w:color="auto" w:fill="auto"/>
          </w:tcPr>
          <w:p w:rsidR="00F42223" w:rsidRPr="00091230" w:rsidRDefault="00F42223" w:rsidP="0026794C">
            <w:pPr>
              <w:jc w:val="both"/>
              <w:rPr>
                <w:rFonts w:eastAsia="Arial"/>
              </w:rPr>
            </w:pPr>
            <w:r w:rsidRPr="00091230">
              <w:rPr>
                <w:rFonts w:eastAsia="Arial"/>
              </w:rPr>
              <w:t>Количество штатных единиц среднего персонала</w:t>
            </w:r>
          </w:p>
        </w:tc>
        <w:tc>
          <w:tcPr>
            <w:tcW w:w="1558" w:type="dxa"/>
            <w:shd w:val="clear" w:color="auto" w:fill="auto"/>
          </w:tcPr>
          <w:p w:rsidR="00F42223" w:rsidRPr="00091230" w:rsidRDefault="00F42223" w:rsidP="0026794C">
            <w:pPr>
              <w:jc w:val="center"/>
            </w:pPr>
            <w:r w:rsidRPr="00091230">
              <w:rPr>
                <w:rFonts w:eastAsia="Arial"/>
              </w:rPr>
              <w:t>–</w:t>
            </w:r>
          </w:p>
        </w:tc>
        <w:tc>
          <w:tcPr>
            <w:tcW w:w="1278" w:type="dxa"/>
            <w:shd w:val="clear" w:color="auto" w:fill="auto"/>
          </w:tcPr>
          <w:p w:rsidR="00F42223" w:rsidRPr="00091230" w:rsidRDefault="00F42223" w:rsidP="0026794C">
            <w:pPr>
              <w:jc w:val="center"/>
            </w:pPr>
            <w:r w:rsidRPr="00091230">
              <w:rPr>
                <w:rFonts w:eastAsia="Arial"/>
              </w:rPr>
              <w:t>–</w:t>
            </w:r>
          </w:p>
        </w:tc>
        <w:tc>
          <w:tcPr>
            <w:tcW w:w="1835" w:type="dxa"/>
            <w:shd w:val="clear" w:color="auto" w:fill="auto"/>
          </w:tcPr>
          <w:p w:rsidR="00F42223" w:rsidRPr="00091230" w:rsidRDefault="00F42223" w:rsidP="0026794C">
            <w:pPr>
              <w:jc w:val="center"/>
              <w:rPr>
                <w:rFonts w:eastAsia="Arial"/>
              </w:rPr>
            </w:pPr>
            <w:r w:rsidRPr="00091230">
              <w:rPr>
                <w:rFonts w:eastAsia="Arial"/>
              </w:rPr>
              <w:t>1,0</w:t>
            </w:r>
          </w:p>
        </w:tc>
      </w:tr>
      <w:tr w:rsidR="00F42223" w:rsidRPr="00091230" w:rsidTr="00810CA9">
        <w:trPr>
          <w:trHeight w:val="20"/>
        </w:trPr>
        <w:tc>
          <w:tcPr>
            <w:tcW w:w="2682" w:type="dxa"/>
            <w:vMerge/>
          </w:tcPr>
          <w:p w:rsidR="00F42223" w:rsidRPr="00091230" w:rsidRDefault="00F42223" w:rsidP="0026794C">
            <w:pPr>
              <w:jc w:val="both"/>
              <w:rPr>
                <w:rFonts w:eastAsia="Arial"/>
              </w:rPr>
            </w:pPr>
          </w:p>
        </w:tc>
        <w:tc>
          <w:tcPr>
            <w:tcW w:w="2842" w:type="dxa"/>
            <w:shd w:val="clear" w:color="auto" w:fill="auto"/>
          </w:tcPr>
          <w:p w:rsidR="00F42223" w:rsidRPr="00091230" w:rsidRDefault="00F42223" w:rsidP="0026794C">
            <w:pPr>
              <w:jc w:val="both"/>
              <w:rPr>
                <w:rFonts w:eastAsia="Arial"/>
              </w:rPr>
            </w:pPr>
            <w:r w:rsidRPr="00091230">
              <w:rPr>
                <w:rFonts w:eastAsia="Arial"/>
              </w:rPr>
              <w:t>Количество штатных единиц младшего персонала</w:t>
            </w:r>
          </w:p>
        </w:tc>
        <w:tc>
          <w:tcPr>
            <w:tcW w:w="1558" w:type="dxa"/>
            <w:shd w:val="clear" w:color="auto" w:fill="auto"/>
          </w:tcPr>
          <w:p w:rsidR="00F42223" w:rsidRPr="00091230" w:rsidRDefault="00F42223" w:rsidP="0026794C">
            <w:pPr>
              <w:jc w:val="center"/>
            </w:pPr>
            <w:r w:rsidRPr="00091230">
              <w:rPr>
                <w:rFonts w:eastAsia="Arial"/>
              </w:rPr>
              <w:t>–</w:t>
            </w:r>
          </w:p>
        </w:tc>
        <w:tc>
          <w:tcPr>
            <w:tcW w:w="1278" w:type="dxa"/>
            <w:shd w:val="clear" w:color="auto" w:fill="auto"/>
          </w:tcPr>
          <w:p w:rsidR="00F42223" w:rsidRPr="00091230" w:rsidRDefault="00F42223" w:rsidP="0026794C">
            <w:pPr>
              <w:jc w:val="center"/>
            </w:pPr>
            <w:r w:rsidRPr="00091230">
              <w:rPr>
                <w:rFonts w:eastAsia="Arial"/>
              </w:rPr>
              <w:t>–</w:t>
            </w:r>
          </w:p>
        </w:tc>
        <w:tc>
          <w:tcPr>
            <w:tcW w:w="1835" w:type="dxa"/>
            <w:shd w:val="clear" w:color="auto" w:fill="auto"/>
          </w:tcPr>
          <w:p w:rsidR="00F42223" w:rsidRPr="00091230" w:rsidRDefault="00F42223" w:rsidP="0026794C">
            <w:pPr>
              <w:jc w:val="center"/>
              <w:rPr>
                <w:rFonts w:eastAsia="Arial"/>
              </w:rPr>
            </w:pPr>
            <w:r w:rsidRPr="00091230">
              <w:rPr>
                <w:rFonts w:eastAsia="Arial"/>
              </w:rPr>
              <w:t>0,0</w:t>
            </w:r>
          </w:p>
        </w:tc>
      </w:tr>
      <w:tr w:rsidR="00F42223" w:rsidRPr="00091230" w:rsidTr="00810CA9">
        <w:trPr>
          <w:trHeight w:val="20"/>
        </w:trPr>
        <w:tc>
          <w:tcPr>
            <w:tcW w:w="2682" w:type="dxa"/>
            <w:vMerge w:val="restart"/>
          </w:tcPr>
          <w:p w:rsidR="00F42223" w:rsidRPr="00091230" w:rsidRDefault="00F42223" w:rsidP="0026794C">
            <w:pPr>
              <w:jc w:val="both"/>
              <w:rPr>
                <w:rFonts w:eastAsia="Arial"/>
              </w:rPr>
            </w:pPr>
            <w:r w:rsidRPr="00091230">
              <w:rPr>
                <w:rFonts w:eastAsia="Arial"/>
              </w:rPr>
              <w:t xml:space="preserve">ГАУЗ </w:t>
            </w:r>
            <w:r w:rsidR="002F7358">
              <w:rPr>
                <w:rFonts w:eastAsia="Arial"/>
              </w:rPr>
              <w:t>«</w:t>
            </w:r>
            <w:r w:rsidRPr="00091230">
              <w:rPr>
                <w:rFonts w:eastAsia="Arial"/>
              </w:rPr>
              <w:t>Чистопольская ЦРБ</w:t>
            </w:r>
            <w:r w:rsidR="002F7358">
              <w:rPr>
                <w:rFonts w:eastAsia="Arial"/>
              </w:rPr>
              <w:t>»</w:t>
            </w:r>
          </w:p>
        </w:tc>
        <w:tc>
          <w:tcPr>
            <w:tcW w:w="2842" w:type="dxa"/>
            <w:shd w:val="clear" w:color="auto" w:fill="auto"/>
          </w:tcPr>
          <w:p w:rsidR="00F42223" w:rsidRPr="00091230" w:rsidRDefault="00F42223" w:rsidP="00C55D07">
            <w:pPr>
              <w:jc w:val="both"/>
              <w:rPr>
                <w:rFonts w:eastAsia="Arial"/>
              </w:rPr>
            </w:pPr>
            <w:r w:rsidRPr="00091230">
              <w:rPr>
                <w:rFonts w:eastAsia="Arial"/>
              </w:rPr>
              <w:t>Мощность (ко</w:t>
            </w:r>
            <w:r w:rsidR="00C55D07">
              <w:rPr>
                <w:rFonts w:eastAsia="Arial"/>
              </w:rPr>
              <w:t>ек</w:t>
            </w:r>
            <w:r w:rsidRPr="00091230">
              <w:rPr>
                <w:rFonts w:eastAsia="Arial"/>
              </w:rPr>
              <w:t>, посещений в смену)</w:t>
            </w:r>
          </w:p>
        </w:tc>
        <w:tc>
          <w:tcPr>
            <w:tcW w:w="1558" w:type="dxa"/>
            <w:shd w:val="clear" w:color="auto" w:fill="auto"/>
          </w:tcPr>
          <w:p w:rsidR="00F42223" w:rsidRPr="00091230" w:rsidRDefault="00F42223" w:rsidP="0026794C">
            <w:pPr>
              <w:jc w:val="center"/>
            </w:pPr>
            <w:r w:rsidRPr="00091230">
              <w:rPr>
                <w:rFonts w:eastAsia="Arial"/>
              </w:rPr>
              <w:t>–</w:t>
            </w:r>
          </w:p>
        </w:tc>
        <w:tc>
          <w:tcPr>
            <w:tcW w:w="1278" w:type="dxa"/>
            <w:shd w:val="clear" w:color="auto" w:fill="auto"/>
          </w:tcPr>
          <w:p w:rsidR="00F42223" w:rsidRPr="00091230" w:rsidRDefault="00F42223" w:rsidP="0026794C">
            <w:pPr>
              <w:jc w:val="center"/>
            </w:pPr>
            <w:r w:rsidRPr="00091230">
              <w:rPr>
                <w:rFonts w:eastAsia="Arial"/>
              </w:rPr>
              <w:t>–</w:t>
            </w:r>
          </w:p>
        </w:tc>
        <w:tc>
          <w:tcPr>
            <w:tcW w:w="1835" w:type="dxa"/>
            <w:shd w:val="clear" w:color="auto" w:fill="auto"/>
          </w:tcPr>
          <w:p w:rsidR="00F42223" w:rsidRPr="00091230" w:rsidRDefault="00F42223" w:rsidP="0026794C">
            <w:pPr>
              <w:jc w:val="center"/>
              <w:rPr>
                <w:rFonts w:eastAsia="Arial"/>
              </w:rPr>
            </w:pPr>
            <w:r w:rsidRPr="00091230">
              <w:rPr>
                <w:rFonts w:eastAsia="Arial"/>
              </w:rPr>
              <w:t>15</w:t>
            </w:r>
          </w:p>
        </w:tc>
      </w:tr>
      <w:tr w:rsidR="00F42223" w:rsidRPr="00091230" w:rsidTr="00810CA9">
        <w:trPr>
          <w:trHeight w:val="20"/>
        </w:trPr>
        <w:tc>
          <w:tcPr>
            <w:tcW w:w="2682" w:type="dxa"/>
            <w:vMerge/>
          </w:tcPr>
          <w:p w:rsidR="00F42223" w:rsidRPr="00091230" w:rsidRDefault="00F42223" w:rsidP="0026794C">
            <w:pPr>
              <w:jc w:val="both"/>
              <w:rPr>
                <w:rFonts w:eastAsia="Arial"/>
              </w:rPr>
            </w:pPr>
          </w:p>
        </w:tc>
        <w:tc>
          <w:tcPr>
            <w:tcW w:w="2842" w:type="dxa"/>
            <w:shd w:val="clear" w:color="auto" w:fill="auto"/>
          </w:tcPr>
          <w:p w:rsidR="00F42223" w:rsidRPr="00091230" w:rsidRDefault="00F42223" w:rsidP="0026794C">
            <w:pPr>
              <w:jc w:val="both"/>
              <w:rPr>
                <w:rFonts w:eastAsia="Arial"/>
              </w:rPr>
            </w:pPr>
            <w:r w:rsidRPr="00091230">
              <w:rPr>
                <w:rFonts w:eastAsia="Arial"/>
              </w:rPr>
              <w:t>Количество штатных единиц врачей</w:t>
            </w:r>
          </w:p>
        </w:tc>
        <w:tc>
          <w:tcPr>
            <w:tcW w:w="1558" w:type="dxa"/>
            <w:shd w:val="clear" w:color="auto" w:fill="auto"/>
          </w:tcPr>
          <w:p w:rsidR="00F42223" w:rsidRPr="00091230" w:rsidRDefault="00F42223" w:rsidP="0026794C">
            <w:pPr>
              <w:jc w:val="center"/>
            </w:pPr>
            <w:r w:rsidRPr="00091230">
              <w:rPr>
                <w:rFonts w:eastAsia="Arial"/>
              </w:rPr>
              <w:t>–</w:t>
            </w:r>
          </w:p>
        </w:tc>
        <w:tc>
          <w:tcPr>
            <w:tcW w:w="1278" w:type="dxa"/>
            <w:shd w:val="clear" w:color="auto" w:fill="auto"/>
          </w:tcPr>
          <w:p w:rsidR="00F42223" w:rsidRPr="00091230" w:rsidRDefault="00F42223" w:rsidP="0026794C">
            <w:pPr>
              <w:jc w:val="center"/>
            </w:pPr>
            <w:r w:rsidRPr="00091230">
              <w:rPr>
                <w:rFonts w:eastAsia="Arial"/>
              </w:rPr>
              <w:t>–</w:t>
            </w:r>
          </w:p>
        </w:tc>
        <w:tc>
          <w:tcPr>
            <w:tcW w:w="1835" w:type="dxa"/>
            <w:shd w:val="clear" w:color="auto" w:fill="auto"/>
          </w:tcPr>
          <w:p w:rsidR="00F42223" w:rsidRPr="00091230" w:rsidRDefault="00F42223" w:rsidP="0026794C">
            <w:pPr>
              <w:jc w:val="center"/>
              <w:rPr>
                <w:rFonts w:eastAsia="Arial"/>
              </w:rPr>
            </w:pPr>
            <w:r w:rsidRPr="00091230">
              <w:rPr>
                <w:rFonts w:eastAsia="Arial"/>
              </w:rPr>
              <w:t>0,5</w:t>
            </w:r>
          </w:p>
        </w:tc>
      </w:tr>
      <w:tr w:rsidR="00F42223" w:rsidRPr="00091230" w:rsidTr="00810CA9">
        <w:trPr>
          <w:trHeight w:val="20"/>
        </w:trPr>
        <w:tc>
          <w:tcPr>
            <w:tcW w:w="2682" w:type="dxa"/>
            <w:vMerge/>
          </w:tcPr>
          <w:p w:rsidR="00F42223" w:rsidRPr="00091230" w:rsidRDefault="00F42223" w:rsidP="0026794C">
            <w:pPr>
              <w:jc w:val="both"/>
              <w:rPr>
                <w:rFonts w:eastAsia="Arial"/>
              </w:rPr>
            </w:pPr>
          </w:p>
        </w:tc>
        <w:tc>
          <w:tcPr>
            <w:tcW w:w="2842" w:type="dxa"/>
            <w:shd w:val="clear" w:color="auto" w:fill="auto"/>
          </w:tcPr>
          <w:p w:rsidR="00F42223" w:rsidRPr="00091230" w:rsidRDefault="00F42223" w:rsidP="0026794C">
            <w:pPr>
              <w:jc w:val="both"/>
              <w:rPr>
                <w:rFonts w:eastAsia="Arial"/>
              </w:rPr>
            </w:pPr>
            <w:r w:rsidRPr="00091230">
              <w:rPr>
                <w:rFonts w:eastAsia="Arial"/>
              </w:rPr>
              <w:t>Количество штатных единиц среднего персонала</w:t>
            </w:r>
          </w:p>
        </w:tc>
        <w:tc>
          <w:tcPr>
            <w:tcW w:w="1558" w:type="dxa"/>
            <w:shd w:val="clear" w:color="auto" w:fill="auto"/>
          </w:tcPr>
          <w:p w:rsidR="00F42223" w:rsidRPr="00091230" w:rsidRDefault="00F42223" w:rsidP="0026794C">
            <w:pPr>
              <w:jc w:val="center"/>
            </w:pPr>
            <w:r w:rsidRPr="00091230">
              <w:rPr>
                <w:rFonts w:eastAsia="Arial"/>
              </w:rPr>
              <w:t>–</w:t>
            </w:r>
          </w:p>
        </w:tc>
        <w:tc>
          <w:tcPr>
            <w:tcW w:w="1278" w:type="dxa"/>
            <w:shd w:val="clear" w:color="auto" w:fill="auto"/>
          </w:tcPr>
          <w:p w:rsidR="00F42223" w:rsidRPr="00091230" w:rsidRDefault="00F42223" w:rsidP="0026794C">
            <w:pPr>
              <w:jc w:val="center"/>
            </w:pPr>
            <w:r w:rsidRPr="00091230">
              <w:rPr>
                <w:rFonts w:eastAsia="Arial"/>
              </w:rPr>
              <w:t>–</w:t>
            </w:r>
          </w:p>
        </w:tc>
        <w:tc>
          <w:tcPr>
            <w:tcW w:w="1835" w:type="dxa"/>
            <w:shd w:val="clear" w:color="auto" w:fill="auto"/>
          </w:tcPr>
          <w:p w:rsidR="00F42223" w:rsidRPr="00091230" w:rsidRDefault="00F42223" w:rsidP="0026794C">
            <w:pPr>
              <w:jc w:val="center"/>
              <w:rPr>
                <w:rFonts w:eastAsia="Arial"/>
              </w:rPr>
            </w:pPr>
            <w:r w:rsidRPr="00091230">
              <w:rPr>
                <w:rFonts w:eastAsia="Arial"/>
              </w:rPr>
              <w:t>1,0</w:t>
            </w:r>
          </w:p>
        </w:tc>
      </w:tr>
      <w:tr w:rsidR="00F42223" w:rsidRPr="00091230" w:rsidTr="00810CA9">
        <w:trPr>
          <w:trHeight w:val="20"/>
        </w:trPr>
        <w:tc>
          <w:tcPr>
            <w:tcW w:w="2682" w:type="dxa"/>
            <w:vMerge/>
            <w:tcBorders>
              <w:bottom w:val="single" w:sz="4" w:space="0" w:color="auto"/>
            </w:tcBorders>
          </w:tcPr>
          <w:p w:rsidR="00F42223" w:rsidRPr="00091230" w:rsidRDefault="00F42223" w:rsidP="0026794C">
            <w:pPr>
              <w:jc w:val="both"/>
              <w:rPr>
                <w:rFonts w:eastAsia="Arial"/>
              </w:rPr>
            </w:pPr>
          </w:p>
        </w:tc>
        <w:tc>
          <w:tcPr>
            <w:tcW w:w="2842" w:type="dxa"/>
            <w:shd w:val="clear" w:color="auto" w:fill="auto"/>
          </w:tcPr>
          <w:p w:rsidR="00F42223" w:rsidRPr="00091230" w:rsidRDefault="00F42223" w:rsidP="0026794C">
            <w:pPr>
              <w:jc w:val="both"/>
              <w:rPr>
                <w:rFonts w:eastAsia="Arial"/>
              </w:rPr>
            </w:pPr>
            <w:r w:rsidRPr="00091230">
              <w:rPr>
                <w:rFonts w:eastAsia="Arial"/>
              </w:rPr>
              <w:t>Количество штатных единиц младшего персонала</w:t>
            </w:r>
          </w:p>
        </w:tc>
        <w:tc>
          <w:tcPr>
            <w:tcW w:w="1558" w:type="dxa"/>
            <w:shd w:val="clear" w:color="auto" w:fill="auto"/>
          </w:tcPr>
          <w:p w:rsidR="00F42223" w:rsidRPr="00091230" w:rsidRDefault="00F42223" w:rsidP="0026794C">
            <w:pPr>
              <w:jc w:val="center"/>
            </w:pPr>
            <w:r w:rsidRPr="00091230">
              <w:rPr>
                <w:rFonts w:eastAsia="Arial"/>
              </w:rPr>
              <w:t>–</w:t>
            </w:r>
          </w:p>
        </w:tc>
        <w:tc>
          <w:tcPr>
            <w:tcW w:w="1278" w:type="dxa"/>
            <w:shd w:val="clear" w:color="auto" w:fill="auto"/>
          </w:tcPr>
          <w:p w:rsidR="00F42223" w:rsidRPr="00091230" w:rsidRDefault="00F42223" w:rsidP="0026794C">
            <w:pPr>
              <w:jc w:val="center"/>
            </w:pPr>
            <w:r w:rsidRPr="00091230">
              <w:rPr>
                <w:rFonts w:eastAsia="Arial"/>
              </w:rPr>
              <w:t>–</w:t>
            </w:r>
          </w:p>
        </w:tc>
        <w:tc>
          <w:tcPr>
            <w:tcW w:w="1835" w:type="dxa"/>
            <w:shd w:val="clear" w:color="auto" w:fill="auto"/>
          </w:tcPr>
          <w:p w:rsidR="00F42223" w:rsidRPr="00091230" w:rsidRDefault="00F42223" w:rsidP="0026794C">
            <w:pPr>
              <w:jc w:val="center"/>
              <w:rPr>
                <w:rFonts w:eastAsia="Arial"/>
              </w:rPr>
            </w:pPr>
            <w:r w:rsidRPr="00091230">
              <w:rPr>
                <w:rFonts w:eastAsia="Arial"/>
              </w:rPr>
              <w:t>0,0</w:t>
            </w:r>
          </w:p>
        </w:tc>
      </w:tr>
      <w:tr w:rsidR="00C93DB4" w:rsidRPr="00091230" w:rsidTr="00947DC4">
        <w:trPr>
          <w:trHeight w:val="20"/>
        </w:trPr>
        <w:tc>
          <w:tcPr>
            <w:tcW w:w="2682" w:type="dxa"/>
            <w:vMerge w:val="restart"/>
          </w:tcPr>
          <w:p w:rsidR="00C93DB4" w:rsidRPr="00091230" w:rsidRDefault="00C93DB4" w:rsidP="0026794C">
            <w:pPr>
              <w:jc w:val="both"/>
              <w:rPr>
                <w:rFonts w:eastAsia="Arial"/>
              </w:rPr>
            </w:pPr>
            <w:r w:rsidRPr="00091230">
              <w:rPr>
                <w:rFonts w:eastAsia="Arial"/>
              </w:rPr>
              <w:t xml:space="preserve">ГАУЗ </w:t>
            </w:r>
            <w:r>
              <w:rPr>
                <w:rFonts w:eastAsia="Arial"/>
              </w:rPr>
              <w:t>«</w:t>
            </w:r>
            <w:r w:rsidRPr="00091230">
              <w:rPr>
                <w:rFonts w:eastAsia="Arial"/>
              </w:rPr>
              <w:t>Кукморская ЦРБ</w:t>
            </w:r>
            <w:r>
              <w:rPr>
                <w:rFonts w:eastAsia="Arial"/>
              </w:rPr>
              <w:t>»</w:t>
            </w:r>
          </w:p>
        </w:tc>
        <w:tc>
          <w:tcPr>
            <w:tcW w:w="2842" w:type="dxa"/>
            <w:shd w:val="clear" w:color="auto" w:fill="auto"/>
          </w:tcPr>
          <w:p w:rsidR="00C93DB4" w:rsidRPr="00091230" w:rsidRDefault="00C93DB4" w:rsidP="00C55D07">
            <w:pPr>
              <w:jc w:val="both"/>
              <w:rPr>
                <w:rFonts w:eastAsia="Arial"/>
              </w:rPr>
            </w:pPr>
            <w:r w:rsidRPr="00091230">
              <w:rPr>
                <w:rFonts w:eastAsia="Arial"/>
              </w:rPr>
              <w:t>Мощность (ко</w:t>
            </w:r>
            <w:r w:rsidR="00C55D07">
              <w:rPr>
                <w:rFonts w:eastAsia="Arial"/>
              </w:rPr>
              <w:t>ек</w:t>
            </w:r>
            <w:r w:rsidRPr="00091230">
              <w:rPr>
                <w:rFonts w:eastAsia="Arial"/>
              </w:rPr>
              <w:t>, посещений в смену)</w:t>
            </w:r>
          </w:p>
        </w:tc>
        <w:tc>
          <w:tcPr>
            <w:tcW w:w="1558" w:type="dxa"/>
            <w:shd w:val="clear" w:color="auto" w:fill="auto"/>
          </w:tcPr>
          <w:p w:rsidR="00C93DB4" w:rsidRPr="00091230" w:rsidRDefault="00C93DB4" w:rsidP="0026794C">
            <w:pPr>
              <w:jc w:val="center"/>
            </w:pPr>
            <w:r w:rsidRPr="00091230">
              <w:rPr>
                <w:rFonts w:eastAsia="Arial"/>
              </w:rPr>
              <w:t>–</w:t>
            </w:r>
          </w:p>
        </w:tc>
        <w:tc>
          <w:tcPr>
            <w:tcW w:w="1278" w:type="dxa"/>
            <w:shd w:val="clear" w:color="auto" w:fill="auto"/>
          </w:tcPr>
          <w:p w:rsidR="00C93DB4" w:rsidRPr="00091230" w:rsidRDefault="00C93DB4" w:rsidP="0026794C">
            <w:pPr>
              <w:jc w:val="center"/>
            </w:pPr>
            <w:r w:rsidRPr="00091230">
              <w:rPr>
                <w:rFonts w:eastAsia="Arial"/>
              </w:rPr>
              <w:t>–</w:t>
            </w:r>
          </w:p>
        </w:tc>
        <w:tc>
          <w:tcPr>
            <w:tcW w:w="1835" w:type="dxa"/>
            <w:shd w:val="clear" w:color="auto" w:fill="auto"/>
          </w:tcPr>
          <w:p w:rsidR="00C93DB4" w:rsidRPr="00091230" w:rsidRDefault="00C93DB4" w:rsidP="0026794C">
            <w:pPr>
              <w:jc w:val="center"/>
              <w:rPr>
                <w:rFonts w:eastAsia="Arial"/>
              </w:rPr>
            </w:pPr>
            <w:r w:rsidRPr="00091230">
              <w:rPr>
                <w:rFonts w:eastAsia="Arial"/>
              </w:rPr>
              <w:t>15</w:t>
            </w:r>
          </w:p>
        </w:tc>
      </w:tr>
      <w:tr w:rsidR="00C93DB4" w:rsidRPr="00091230" w:rsidTr="00947DC4">
        <w:trPr>
          <w:trHeight w:val="20"/>
        </w:trPr>
        <w:tc>
          <w:tcPr>
            <w:tcW w:w="2682" w:type="dxa"/>
            <w:vMerge/>
          </w:tcPr>
          <w:p w:rsidR="00C93DB4" w:rsidRPr="00091230" w:rsidRDefault="00C93DB4" w:rsidP="0026794C">
            <w:pPr>
              <w:jc w:val="both"/>
              <w:rPr>
                <w:rFonts w:eastAsia="Arial"/>
              </w:rPr>
            </w:pPr>
          </w:p>
        </w:tc>
        <w:tc>
          <w:tcPr>
            <w:tcW w:w="2842" w:type="dxa"/>
            <w:tcBorders>
              <w:bottom w:val="single" w:sz="4" w:space="0" w:color="auto"/>
            </w:tcBorders>
            <w:shd w:val="clear" w:color="auto" w:fill="auto"/>
          </w:tcPr>
          <w:p w:rsidR="00C93DB4" w:rsidRPr="00091230" w:rsidRDefault="00C93DB4" w:rsidP="0026794C">
            <w:pPr>
              <w:jc w:val="both"/>
              <w:rPr>
                <w:rFonts w:eastAsia="Arial"/>
              </w:rPr>
            </w:pPr>
            <w:r w:rsidRPr="00091230">
              <w:rPr>
                <w:rFonts w:eastAsia="Arial"/>
              </w:rPr>
              <w:t>Количество штатных единиц врачей</w:t>
            </w:r>
          </w:p>
        </w:tc>
        <w:tc>
          <w:tcPr>
            <w:tcW w:w="1558" w:type="dxa"/>
            <w:tcBorders>
              <w:bottom w:val="single" w:sz="4" w:space="0" w:color="auto"/>
            </w:tcBorders>
            <w:shd w:val="clear" w:color="auto" w:fill="auto"/>
          </w:tcPr>
          <w:p w:rsidR="00C93DB4" w:rsidRPr="00091230" w:rsidRDefault="00C93DB4" w:rsidP="0026794C">
            <w:pPr>
              <w:jc w:val="center"/>
            </w:pPr>
            <w:r w:rsidRPr="00091230">
              <w:rPr>
                <w:rFonts w:eastAsia="Arial"/>
              </w:rPr>
              <w:t>–</w:t>
            </w:r>
          </w:p>
        </w:tc>
        <w:tc>
          <w:tcPr>
            <w:tcW w:w="1278" w:type="dxa"/>
            <w:tcBorders>
              <w:bottom w:val="single" w:sz="4" w:space="0" w:color="auto"/>
            </w:tcBorders>
            <w:shd w:val="clear" w:color="auto" w:fill="auto"/>
          </w:tcPr>
          <w:p w:rsidR="00C93DB4" w:rsidRPr="00091230" w:rsidRDefault="00C93DB4" w:rsidP="0026794C">
            <w:pPr>
              <w:jc w:val="center"/>
            </w:pPr>
            <w:r w:rsidRPr="00091230">
              <w:rPr>
                <w:rFonts w:eastAsia="Arial"/>
              </w:rPr>
              <w:t>–</w:t>
            </w:r>
          </w:p>
        </w:tc>
        <w:tc>
          <w:tcPr>
            <w:tcW w:w="1835" w:type="dxa"/>
            <w:tcBorders>
              <w:bottom w:val="single" w:sz="4" w:space="0" w:color="auto"/>
            </w:tcBorders>
            <w:shd w:val="clear" w:color="auto" w:fill="auto"/>
          </w:tcPr>
          <w:p w:rsidR="00C93DB4" w:rsidRPr="00091230" w:rsidRDefault="00C93DB4" w:rsidP="0026794C">
            <w:pPr>
              <w:jc w:val="center"/>
              <w:rPr>
                <w:rFonts w:eastAsia="Arial"/>
              </w:rPr>
            </w:pPr>
            <w:r w:rsidRPr="00091230">
              <w:rPr>
                <w:rFonts w:eastAsia="Arial"/>
              </w:rPr>
              <w:t>0,5</w:t>
            </w:r>
          </w:p>
        </w:tc>
      </w:tr>
      <w:tr w:rsidR="00C93DB4" w:rsidRPr="00091230" w:rsidTr="00810CA9">
        <w:trPr>
          <w:trHeight w:val="20"/>
        </w:trPr>
        <w:tc>
          <w:tcPr>
            <w:tcW w:w="2682" w:type="dxa"/>
            <w:vMerge/>
          </w:tcPr>
          <w:p w:rsidR="00C93DB4" w:rsidRPr="00091230" w:rsidRDefault="00C93DB4" w:rsidP="0026794C">
            <w:pPr>
              <w:jc w:val="both"/>
              <w:rPr>
                <w:rFonts w:eastAsia="Arial"/>
              </w:rPr>
            </w:pPr>
          </w:p>
        </w:tc>
        <w:tc>
          <w:tcPr>
            <w:tcW w:w="2842" w:type="dxa"/>
            <w:tcBorders>
              <w:top w:val="single" w:sz="4" w:space="0" w:color="auto"/>
            </w:tcBorders>
            <w:shd w:val="clear" w:color="auto" w:fill="auto"/>
          </w:tcPr>
          <w:p w:rsidR="00C93DB4" w:rsidRPr="00091230" w:rsidRDefault="00C93DB4" w:rsidP="0026794C">
            <w:pPr>
              <w:jc w:val="both"/>
              <w:rPr>
                <w:rFonts w:eastAsia="Arial"/>
              </w:rPr>
            </w:pPr>
            <w:r w:rsidRPr="00091230">
              <w:rPr>
                <w:rFonts w:eastAsia="Arial"/>
              </w:rPr>
              <w:t>Количество штатных единиц среднего персонала</w:t>
            </w:r>
          </w:p>
        </w:tc>
        <w:tc>
          <w:tcPr>
            <w:tcW w:w="1558" w:type="dxa"/>
            <w:tcBorders>
              <w:top w:val="single" w:sz="4" w:space="0" w:color="auto"/>
            </w:tcBorders>
            <w:shd w:val="clear" w:color="auto" w:fill="auto"/>
          </w:tcPr>
          <w:p w:rsidR="00C93DB4" w:rsidRPr="00091230" w:rsidRDefault="00C93DB4" w:rsidP="0026794C">
            <w:pPr>
              <w:jc w:val="center"/>
            </w:pPr>
            <w:r w:rsidRPr="00091230">
              <w:rPr>
                <w:rFonts w:eastAsia="Arial"/>
              </w:rPr>
              <w:t>–</w:t>
            </w:r>
          </w:p>
        </w:tc>
        <w:tc>
          <w:tcPr>
            <w:tcW w:w="1278" w:type="dxa"/>
            <w:tcBorders>
              <w:top w:val="single" w:sz="4" w:space="0" w:color="auto"/>
            </w:tcBorders>
            <w:shd w:val="clear" w:color="auto" w:fill="auto"/>
          </w:tcPr>
          <w:p w:rsidR="00C93DB4" w:rsidRPr="00091230" w:rsidRDefault="00C93DB4" w:rsidP="0026794C">
            <w:pPr>
              <w:jc w:val="center"/>
            </w:pPr>
            <w:r w:rsidRPr="00091230">
              <w:rPr>
                <w:rFonts w:eastAsia="Arial"/>
              </w:rPr>
              <w:t>–</w:t>
            </w:r>
          </w:p>
        </w:tc>
        <w:tc>
          <w:tcPr>
            <w:tcW w:w="1835" w:type="dxa"/>
            <w:tcBorders>
              <w:top w:val="single" w:sz="4" w:space="0" w:color="auto"/>
            </w:tcBorders>
            <w:shd w:val="clear" w:color="auto" w:fill="auto"/>
          </w:tcPr>
          <w:p w:rsidR="00C93DB4" w:rsidRPr="00091230" w:rsidRDefault="00C93DB4" w:rsidP="0026794C">
            <w:pPr>
              <w:jc w:val="center"/>
              <w:rPr>
                <w:rFonts w:eastAsia="Arial"/>
              </w:rPr>
            </w:pPr>
            <w:r w:rsidRPr="00091230">
              <w:rPr>
                <w:rFonts w:eastAsia="Arial"/>
              </w:rPr>
              <w:t>1,0</w:t>
            </w:r>
          </w:p>
        </w:tc>
      </w:tr>
      <w:tr w:rsidR="00C93DB4" w:rsidRPr="00091230" w:rsidTr="00810CA9">
        <w:trPr>
          <w:trHeight w:val="20"/>
        </w:trPr>
        <w:tc>
          <w:tcPr>
            <w:tcW w:w="2682" w:type="dxa"/>
            <w:vMerge/>
          </w:tcPr>
          <w:p w:rsidR="00C93DB4" w:rsidRPr="00091230" w:rsidRDefault="00C93DB4" w:rsidP="0026794C">
            <w:pPr>
              <w:jc w:val="both"/>
              <w:rPr>
                <w:rFonts w:eastAsia="Arial"/>
              </w:rPr>
            </w:pPr>
          </w:p>
        </w:tc>
        <w:tc>
          <w:tcPr>
            <w:tcW w:w="2842" w:type="dxa"/>
            <w:shd w:val="clear" w:color="auto" w:fill="auto"/>
          </w:tcPr>
          <w:p w:rsidR="00C93DB4" w:rsidRPr="00091230" w:rsidRDefault="00C93DB4" w:rsidP="0026794C">
            <w:pPr>
              <w:jc w:val="both"/>
              <w:rPr>
                <w:rFonts w:eastAsia="Arial"/>
              </w:rPr>
            </w:pPr>
            <w:r w:rsidRPr="00091230">
              <w:rPr>
                <w:rFonts w:eastAsia="Arial"/>
              </w:rPr>
              <w:t>Количество штатных единиц младшего персонала</w:t>
            </w:r>
          </w:p>
        </w:tc>
        <w:tc>
          <w:tcPr>
            <w:tcW w:w="1558" w:type="dxa"/>
            <w:shd w:val="clear" w:color="auto" w:fill="auto"/>
          </w:tcPr>
          <w:p w:rsidR="00C93DB4" w:rsidRPr="00091230" w:rsidRDefault="00C93DB4" w:rsidP="0026794C">
            <w:pPr>
              <w:jc w:val="center"/>
            </w:pPr>
            <w:r w:rsidRPr="00091230">
              <w:rPr>
                <w:rFonts w:eastAsia="Arial"/>
              </w:rPr>
              <w:t>–</w:t>
            </w:r>
          </w:p>
        </w:tc>
        <w:tc>
          <w:tcPr>
            <w:tcW w:w="1278" w:type="dxa"/>
            <w:shd w:val="clear" w:color="auto" w:fill="auto"/>
          </w:tcPr>
          <w:p w:rsidR="00C93DB4" w:rsidRPr="00091230" w:rsidRDefault="00C93DB4" w:rsidP="0026794C">
            <w:pPr>
              <w:jc w:val="center"/>
            </w:pPr>
            <w:r w:rsidRPr="00091230">
              <w:rPr>
                <w:rFonts w:eastAsia="Arial"/>
              </w:rPr>
              <w:t>–</w:t>
            </w:r>
          </w:p>
        </w:tc>
        <w:tc>
          <w:tcPr>
            <w:tcW w:w="1835" w:type="dxa"/>
            <w:shd w:val="clear" w:color="auto" w:fill="auto"/>
          </w:tcPr>
          <w:p w:rsidR="00C93DB4" w:rsidRPr="00091230" w:rsidRDefault="00C93DB4" w:rsidP="0026794C">
            <w:pPr>
              <w:jc w:val="center"/>
              <w:rPr>
                <w:rFonts w:eastAsia="Arial"/>
              </w:rPr>
            </w:pPr>
            <w:r w:rsidRPr="00091230">
              <w:rPr>
                <w:rFonts w:eastAsia="Arial"/>
              </w:rPr>
              <w:t>0,0</w:t>
            </w:r>
          </w:p>
        </w:tc>
      </w:tr>
      <w:tr w:rsidR="00F42223" w:rsidRPr="00091230" w:rsidTr="00810CA9">
        <w:trPr>
          <w:trHeight w:val="20"/>
        </w:trPr>
        <w:tc>
          <w:tcPr>
            <w:tcW w:w="2682" w:type="dxa"/>
            <w:vMerge w:val="restart"/>
          </w:tcPr>
          <w:p w:rsidR="00F42223" w:rsidRPr="00091230" w:rsidRDefault="00F42223" w:rsidP="0026794C">
            <w:pPr>
              <w:jc w:val="both"/>
              <w:rPr>
                <w:rFonts w:eastAsia="Arial"/>
              </w:rPr>
            </w:pPr>
            <w:r w:rsidRPr="00091230">
              <w:rPr>
                <w:rFonts w:eastAsia="Arial"/>
              </w:rPr>
              <w:t xml:space="preserve">ГАУЗ </w:t>
            </w:r>
            <w:r w:rsidR="002F7358">
              <w:rPr>
                <w:rFonts w:eastAsia="Arial"/>
              </w:rPr>
              <w:t>«</w:t>
            </w:r>
            <w:r w:rsidRPr="00091230">
              <w:rPr>
                <w:rFonts w:eastAsia="Arial"/>
              </w:rPr>
              <w:t>Сабинская ЦРБ</w:t>
            </w:r>
            <w:r w:rsidR="002F7358">
              <w:rPr>
                <w:rFonts w:eastAsia="Arial"/>
              </w:rPr>
              <w:t>»</w:t>
            </w:r>
          </w:p>
        </w:tc>
        <w:tc>
          <w:tcPr>
            <w:tcW w:w="2842" w:type="dxa"/>
            <w:shd w:val="clear" w:color="auto" w:fill="auto"/>
          </w:tcPr>
          <w:p w:rsidR="00F42223" w:rsidRPr="00091230" w:rsidRDefault="00F42223" w:rsidP="00C55D07">
            <w:pPr>
              <w:jc w:val="both"/>
              <w:rPr>
                <w:rFonts w:eastAsia="Arial"/>
              </w:rPr>
            </w:pPr>
            <w:r w:rsidRPr="00091230">
              <w:rPr>
                <w:rFonts w:eastAsia="Arial"/>
              </w:rPr>
              <w:t>Мощность (ко</w:t>
            </w:r>
            <w:r w:rsidR="00C55D07">
              <w:rPr>
                <w:rFonts w:eastAsia="Arial"/>
              </w:rPr>
              <w:t>ек</w:t>
            </w:r>
            <w:r w:rsidRPr="00091230">
              <w:rPr>
                <w:rFonts w:eastAsia="Arial"/>
              </w:rPr>
              <w:t>, посещений в смену)</w:t>
            </w:r>
          </w:p>
        </w:tc>
        <w:tc>
          <w:tcPr>
            <w:tcW w:w="1558" w:type="dxa"/>
            <w:shd w:val="clear" w:color="auto" w:fill="auto"/>
          </w:tcPr>
          <w:p w:rsidR="00F42223" w:rsidRPr="00091230" w:rsidRDefault="00F42223" w:rsidP="0026794C">
            <w:pPr>
              <w:jc w:val="center"/>
            </w:pPr>
            <w:r w:rsidRPr="00091230">
              <w:rPr>
                <w:rFonts w:eastAsia="Arial"/>
              </w:rPr>
              <w:t>–</w:t>
            </w:r>
          </w:p>
        </w:tc>
        <w:tc>
          <w:tcPr>
            <w:tcW w:w="1278" w:type="dxa"/>
            <w:shd w:val="clear" w:color="auto" w:fill="auto"/>
          </w:tcPr>
          <w:p w:rsidR="00F42223" w:rsidRPr="00091230" w:rsidRDefault="00F42223" w:rsidP="0026794C">
            <w:pPr>
              <w:jc w:val="center"/>
            </w:pPr>
            <w:r w:rsidRPr="00091230">
              <w:rPr>
                <w:rFonts w:eastAsia="Arial"/>
              </w:rPr>
              <w:t>–</w:t>
            </w:r>
          </w:p>
        </w:tc>
        <w:tc>
          <w:tcPr>
            <w:tcW w:w="1835" w:type="dxa"/>
            <w:shd w:val="clear" w:color="auto" w:fill="auto"/>
          </w:tcPr>
          <w:p w:rsidR="00F42223" w:rsidRPr="00091230" w:rsidRDefault="00F42223" w:rsidP="0026794C">
            <w:pPr>
              <w:jc w:val="center"/>
              <w:rPr>
                <w:rFonts w:eastAsia="Arial"/>
              </w:rPr>
            </w:pPr>
            <w:r w:rsidRPr="00091230">
              <w:rPr>
                <w:rFonts w:eastAsia="Arial"/>
              </w:rPr>
              <w:t>15</w:t>
            </w:r>
          </w:p>
        </w:tc>
      </w:tr>
      <w:tr w:rsidR="00F42223" w:rsidRPr="00091230" w:rsidTr="00810CA9">
        <w:trPr>
          <w:trHeight w:val="20"/>
        </w:trPr>
        <w:tc>
          <w:tcPr>
            <w:tcW w:w="2682" w:type="dxa"/>
            <w:vMerge/>
          </w:tcPr>
          <w:p w:rsidR="00F42223" w:rsidRPr="00091230" w:rsidRDefault="00F42223" w:rsidP="0026794C">
            <w:pPr>
              <w:jc w:val="both"/>
              <w:rPr>
                <w:rFonts w:eastAsia="Arial"/>
              </w:rPr>
            </w:pPr>
          </w:p>
        </w:tc>
        <w:tc>
          <w:tcPr>
            <w:tcW w:w="2842" w:type="dxa"/>
            <w:shd w:val="clear" w:color="auto" w:fill="auto"/>
          </w:tcPr>
          <w:p w:rsidR="00F42223" w:rsidRPr="00091230" w:rsidRDefault="00F42223" w:rsidP="0026794C">
            <w:pPr>
              <w:jc w:val="both"/>
              <w:rPr>
                <w:rFonts w:eastAsia="Arial"/>
              </w:rPr>
            </w:pPr>
            <w:r w:rsidRPr="00091230">
              <w:rPr>
                <w:rFonts w:eastAsia="Arial"/>
              </w:rPr>
              <w:t>Количество штатных единиц врачей</w:t>
            </w:r>
          </w:p>
        </w:tc>
        <w:tc>
          <w:tcPr>
            <w:tcW w:w="1558" w:type="dxa"/>
            <w:shd w:val="clear" w:color="auto" w:fill="auto"/>
          </w:tcPr>
          <w:p w:rsidR="00F42223" w:rsidRPr="00091230" w:rsidRDefault="00F42223" w:rsidP="0026794C">
            <w:pPr>
              <w:jc w:val="center"/>
            </w:pPr>
            <w:r w:rsidRPr="00091230">
              <w:rPr>
                <w:rFonts w:eastAsia="Arial"/>
              </w:rPr>
              <w:t>–</w:t>
            </w:r>
          </w:p>
        </w:tc>
        <w:tc>
          <w:tcPr>
            <w:tcW w:w="1278" w:type="dxa"/>
            <w:shd w:val="clear" w:color="auto" w:fill="auto"/>
          </w:tcPr>
          <w:p w:rsidR="00F42223" w:rsidRPr="00091230" w:rsidRDefault="00F42223" w:rsidP="0026794C">
            <w:pPr>
              <w:jc w:val="center"/>
            </w:pPr>
            <w:r w:rsidRPr="00091230">
              <w:rPr>
                <w:rFonts w:eastAsia="Arial"/>
              </w:rPr>
              <w:t>–</w:t>
            </w:r>
          </w:p>
        </w:tc>
        <w:tc>
          <w:tcPr>
            <w:tcW w:w="1835" w:type="dxa"/>
            <w:shd w:val="clear" w:color="auto" w:fill="auto"/>
          </w:tcPr>
          <w:p w:rsidR="00F42223" w:rsidRPr="00091230" w:rsidRDefault="00F42223" w:rsidP="0026794C">
            <w:pPr>
              <w:jc w:val="center"/>
              <w:rPr>
                <w:rFonts w:eastAsia="Arial"/>
              </w:rPr>
            </w:pPr>
            <w:r w:rsidRPr="00091230">
              <w:rPr>
                <w:rFonts w:eastAsia="Arial"/>
              </w:rPr>
              <w:t>0,5</w:t>
            </w:r>
          </w:p>
        </w:tc>
      </w:tr>
      <w:tr w:rsidR="00F42223" w:rsidRPr="00091230" w:rsidTr="00810CA9">
        <w:trPr>
          <w:trHeight w:val="20"/>
        </w:trPr>
        <w:tc>
          <w:tcPr>
            <w:tcW w:w="2682" w:type="dxa"/>
            <w:vMerge/>
          </w:tcPr>
          <w:p w:rsidR="00F42223" w:rsidRPr="00091230" w:rsidRDefault="00F42223" w:rsidP="0026794C">
            <w:pPr>
              <w:jc w:val="both"/>
              <w:rPr>
                <w:rFonts w:eastAsia="Arial"/>
              </w:rPr>
            </w:pPr>
          </w:p>
        </w:tc>
        <w:tc>
          <w:tcPr>
            <w:tcW w:w="2842" w:type="dxa"/>
            <w:shd w:val="clear" w:color="auto" w:fill="auto"/>
          </w:tcPr>
          <w:p w:rsidR="00F42223" w:rsidRPr="00091230" w:rsidRDefault="00F42223" w:rsidP="0026794C">
            <w:pPr>
              <w:jc w:val="both"/>
              <w:rPr>
                <w:rFonts w:eastAsia="Arial"/>
              </w:rPr>
            </w:pPr>
            <w:r w:rsidRPr="00091230">
              <w:rPr>
                <w:rFonts w:eastAsia="Arial"/>
              </w:rPr>
              <w:t>Количество штатных единиц среднего персонала</w:t>
            </w:r>
          </w:p>
        </w:tc>
        <w:tc>
          <w:tcPr>
            <w:tcW w:w="1558" w:type="dxa"/>
            <w:shd w:val="clear" w:color="auto" w:fill="auto"/>
          </w:tcPr>
          <w:p w:rsidR="00F42223" w:rsidRPr="00091230" w:rsidRDefault="00F42223" w:rsidP="0026794C">
            <w:pPr>
              <w:jc w:val="center"/>
            </w:pPr>
            <w:r w:rsidRPr="00091230">
              <w:rPr>
                <w:rFonts w:eastAsia="Arial"/>
              </w:rPr>
              <w:t>–</w:t>
            </w:r>
          </w:p>
        </w:tc>
        <w:tc>
          <w:tcPr>
            <w:tcW w:w="1278" w:type="dxa"/>
            <w:shd w:val="clear" w:color="auto" w:fill="auto"/>
          </w:tcPr>
          <w:p w:rsidR="00F42223" w:rsidRPr="00091230" w:rsidRDefault="00F42223" w:rsidP="0026794C">
            <w:pPr>
              <w:jc w:val="center"/>
            </w:pPr>
            <w:r w:rsidRPr="00091230">
              <w:rPr>
                <w:rFonts w:eastAsia="Arial"/>
              </w:rPr>
              <w:t>–</w:t>
            </w:r>
          </w:p>
        </w:tc>
        <w:tc>
          <w:tcPr>
            <w:tcW w:w="1835" w:type="dxa"/>
            <w:shd w:val="clear" w:color="auto" w:fill="auto"/>
          </w:tcPr>
          <w:p w:rsidR="00F42223" w:rsidRPr="00091230" w:rsidRDefault="00F42223" w:rsidP="0026794C">
            <w:pPr>
              <w:jc w:val="center"/>
              <w:rPr>
                <w:rFonts w:eastAsia="Arial"/>
              </w:rPr>
            </w:pPr>
            <w:r w:rsidRPr="00091230">
              <w:rPr>
                <w:rFonts w:eastAsia="Arial"/>
              </w:rPr>
              <w:t>1,0</w:t>
            </w:r>
          </w:p>
        </w:tc>
      </w:tr>
      <w:tr w:rsidR="00F42223" w:rsidRPr="00091230" w:rsidTr="00810CA9">
        <w:trPr>
          <w:trHeight w:val="20"/>
        </w:trPr>
        <w:tc>
          <w:tcPr>
            <w:tcW w:w="2682" w:type="dxa"/>
            <w:vMerge/>
          </w:tcPr>
          <w:p w:rsidR="00F42223" w:rsidRPr="00091230" w:rsidRDefault="00F42223" w:rsidP="0026794C">
            <w:pPr>
              <w:jc w:val="both"/>
              <w:rPr>
                <w:rFonts w:eastAsia="Arial"/>
              </w:rPr>
            </w:pPr>
          </w:p>
        </w:tc>
        <w:tc>
          <w:tcPr>
            <w:tcW w:w="2842" w:type="dxa"/>
            <w:shd w:val="clear" w:color="auto" w:fill="auto"/>
          </w:tcPr>
          <w:p w:rsidR="00F42223" w:rsidRPr="00091230" w:rsidRDefault="00F42223" w:rsidP="0026794C">
            <w:pPr>
              <w:jc w:val="both"/>
              <w:rPr>
                <w:rFonts w:eastAsia="Arial"/>
              </w:rPr>
            </w:pPr>
            <w:r w:rsidRPr="00091230">
              <w:rPr>
                <w:rFonts w:eastAsia="Arial"/>
              </w:rPr>
              <w:t>Количество штатных единиц младшего персонала</w:t>
            </w:r>
          </w:p>
        </w:tc>
        <w:tc>
          <w:tcPr>
            <w:tcW w:w="1558" w:type="dxa"/>
            <w:shd w:val="clear" w:color="auto" w:fill="auto"/>
          </w:tcPr>
          <w:p w:rsidR="00F42223" w:rsidRPr="00091230" w:rsidRDefault="00F42223" w:rsidP="0026794C">
            <w:pPr>
              <w:jc w:val="center"/>
            </w:pPr>
            <w:r w:rsidRPr="00091230">
              <w:rPr>
                <w:rFonts w:eastAsia="Arial"/>
              </w:rPr>
              <w:t>–</w:t>
            </w:r>
          </w:p>
        </w:tc>
        <w:tc>
          <w:tcPr>
            <w:tcW w:w="1278" w:type="dxa"/>
            <w:shd w:val="clear" w:color="auto" w:fill="auto"/>
          </w:tcPr>
          <w:p w:rsidR="00F42223" w:rsidRPr="00091230" w:rsidRDefault="00F42223" w:rsidP="0026794C">
            <w:pPr>
              <w:jc w:val="center"/>
            </w:pPr>
            <w:r w:rsidRPr="00091230">
              <w:rPr>
                <w:rFonts w:eastAsia="Arial"/>
              </w:rPr>
              <w:t>–</w:t>
            </w:r>
          </w:p>
        </w:tc>
        <w:tc>
          <w:tcPr>
            <w:tcW w:w="1835" w:type="dxa"/>
            <w:shd w:val="clear" w:color="auto" w:fill="auto"/>
          </w:tcPr>
          <w:p w:rsidR="00F42223" w:rsidRPr="00091230" w:rsidRDefault="00F42223" w:rsidP="0026794C">
            <w:pPr>
              <w:jc w:val="center"/>
              <w:rPr>
                <w:rFonts w:eastAsia="Arial"/>
              </w:rPr>
            </w:pPr>
            <w:r w:rsidRPr="00091230">
              <w:rPr>
                <w:rFonts w:eastAsia="Arial"/>
              </w:rPr>
              <w:t>0,0</w:t>
            </w:r>
          </w:p>
        </w:tc>
      </w:tr>
      <w:tr w:rsidR="00F42223" w:rsidRPr="00091230" w:rsidTr="00810CA9">
        <w:trPr>
          <w:trHeight w:val="20"/>
        </w:trPr>
        <w:tc>
          <w:tcPr>
            <w:tcW w:w="2682" w:type="dxa"/>
            <w:vMerge w:val="restart"/>
          </w:tcPr>
          <w:p w:rsidR="00F42223" w:rsidRPr="00091230" w:rsidRDefault="00F42223" w:rsidP="0026794C">
            <w:pPr>
              <w:jc w:val="both"/>
              <w:rPr>
                <w:rFonts w:eastAsia="Arial"/>
              </w:rPr>
            </w:pPr>
            <w:r w:rsidRPr="00091230">
              <w:rPr>
                <w:rFonts w:eastAsia="Arial"/>
              </w:rPr>
              <w:t xml:space="preserve">ГАУЗ </w:t>
            </w:r>
            <w:r w:rsidR="002F7358">
              <w:rPr>
                <w:rFonts w:eastAsia="Arial"/>
              </w:rPr>
              <w:t>«</w:t>
            </w:r>
            <w:r w:rsidRPr="00091230">
              <w:rPr>
                <w:rFonts w:eastAsia="Arial"/>
              </w:rPr>
              <w:t>Арская ЦРБ</w:t>
            </w:r>
            <w:r w:rsidR="002F7358">
              <w:rPr>
                <w:rFonts w:eastAsia="Arial"/>
              </w:rPr>
              <w:t>»</w:t>
            </w:r>
          </w:p>
        </w:tc>
        <w:tc>
          <w:tcPr>
            <w:tcW w:w="2842" w:type="dxa"/>
            <w:shd w:val="clear" w:color="auto" w:fill="auto"/>
          </w:tcPr>
          <w:p w:rsidR="00F42223" w:rsidRPr="00091230" w:rsidRDefault="00F42223" w:rsidP="00C55D07">
            <w:pPr>
              <w:jc w:val="both"/>
              <w:rPr>
                <w:rFonts w:eastAsia="Arial"/>
              </w:rPr>
            </w:pPr>
            <w:r w:rsidRPr="00091230">
              <w:rPr>
                <w:rFonts w:eastAsia="Arial"/>
              </w:rPr>
              <w:t>Мощность (ко</w:t>
            </w:r>
            <w:r w:rsidR="00C55D07">
              <w:rPr>
                <w:rFonts w:eastAsia="Arial"/>
              </w:rPr>
              <w:t>ек</w:t>
            </w:r>
            <w:r w:rsidRPr="00091230">
              <w:rPr>
                <w:rFonts w:eastAsia="Arial"/>
              </w:rPr>
              <w:t>, посещений в смену)</w:t>
            </w:r>
          </w:p>
        </w:tc>
        <w:tc>
          <w:tcPr>
            <w:tcW w:w="1558" w:type="dxa"/>
            <w:shd w:val="clear" w:color="auto" w:fill="auto"/>
          </w:tcPr>
          <w:p w:rsidR="00F42223" w:rsidRPr="00091230" w:rsidRDefault="00F42223" w:rsidP="0026794C">
            <w:pPr>
              <w:jc w:val="center"/>
            </w:pPr>
            <w:r w:rsidRPr="00091230">
              <w:rPr>
                <w:rFonts w:eastAsia="Arial"/>
              </w:rPr>
              <w:t>–</w:t>
            </w:r>
          </w:p>
        </w:tc>
        <w:tc>
          <w:tcPr>
            <w:tcW w:w="1278" w:type="dxa"/>
            <w:shd w:val="clear" w:color="auto" w:fill="auto"/>
          </w:tcPr>
          <w:p w:rsidR="00F42223" w:rsidRPr="00091230" w:rsidRDefault="00F42223" w:rsidP="0026794C">
            <w:pPr>
              <w:jc w:val="center"/>
            </w:pPr>
            <w:r w:rsidRPr="00091230">
              <w:rPr>
                <w:rFonts w:eastAsia="Arial"/>
              </w:rPr>
              <w:t>–</w:t>
            </w:r>
          </w:p>
        </w:tc>
        <w:tc>
          <w:tcPr>
            <w:tcW w:w="1835" w:type="dxa"/>
            <w:shd w:val="clear" w:color="auto" w:fill="auto"/>
          </w:tcPr>
          <w:p w:rsidR="00F42223" w:rsidRPr="00091230" w:rsidRDefault="00F42223" w:rsidP="0026794C">
            <w:pPr>
              <w:jc w:val="center"/>
              <w:rPr>
                <w:rFonts w:eastAsia="Arial"/>
              </w:rPr>
            </w:pPr>
            <w:r w:rsidRPr="00091230">
              <w:rPr>
                <w:rFonts w:eastAsia="Arial"/>
              </w:rPr>
              <w:t>15</w:t>
            </w:r>
          </w:p>
        </w:tc>
      </w:tr>
      <w:tr w:rsidR="00F42223" w:rsidRPr="00091230" w:rsidTr="00810CA9">
        <w:trPr>
          <w:trHeight w:val="20"/>
        </w:trPr>
        <w:tc>
          <w:tcPr>
            <w:tcW w:w="2682" w:type="dxa"/>
            <w:vMerge/>
          </w:tcPr>
          <w:p w:rsidR="00F42223" w:rsidRPr="00091230" w:rsidRDefault="00F42223" w:rsidP="0026794C">
            <w:pPr>
              <w:jc w:val="both"/>
              <w:rPr>
                <w:rFonts w:eastAsia="Arial"/>
              </w:rPr>
            </w:pPr>
          </w:p>
        </w:tc>
        <w:tc>
          <w:tcPr>
            <w:tcW w:w="2842" w:type="dxa"/>
            <w:shd w:val="clear" w:color="auto" w:fill="auto"/>
          </w:tcPr>
          <w:p w:rsidR="00F42223" w:rsidRPr="00091230" w:rsidRDefault="00F42223" w:rsidP="0026794C">
            <w:pPr>
              <w:jc w:val="both"/>
              <w:rPr>
                <w:rFonts w:eastAsia="Arial"/>
              </w:rPr>
            </w:pPr>
            <w:r w:rsidRPr="00091230">
              <w:rPr>
                <w:rFonts w:eastAsia="Arial"/>
              </w:rPr>
              <w:t>Количество штатных единиц врачей</w:t>
            </w:r>
          </w:p>
        </w:tc>
        <w:tc>
          <w:tcPr>
            <w:tcW w:w="1558" w:type="dxa"/>
            <w:shd w:val="clear" w:color="auto" w:fill="auto"/>
          </w:tcPr>
          <w:p w:rsidR="00F42223" w:rsidRPr="00091230" w:rsidRDefault="00F42223" w:rsidP="0026794C">
            <w:pPr>
              <w:jc w:val="center"/>
            </w:pPr>
            <w:r w:rsidRPr="00091230">
              <w:rPr>
                <w:rFonts w:eastAsia="Arial"/>
              </w:rPr>
              <w:t>–</w:t>
            </w:r>
          </w:p>
        </w:tc>
        <w:tc>
          <w:tcPr>
            <w:tcW w:w="1278" w:type="dxa"/>
            <w:shd w:val="clear" w:color="auto" w:fill="auto"/>
          </w:tcPr>
          <w:p w:rsidR="00F42223" w:rsidRPr="00091230" w:rsidRDefault="00F42223" w:rsidP="0026794C">
            <w:pPr>
              <w:jc w:val="center"/>
            </w:pPr>
            <w:r w:rsidRPr="00091230">
              <w:rPr>
                <w:rFonts w:eastAsia="Arial"/>
              </w:rPr>
              <w:t>–</w:t>
            </w:r>
          </w:p>
        </w:tc>
        <w:tc>
          <w:tcPr>
            <w:tcW w:w="1835" w:type="dxa"/>
            <w:shd w:val="clear" w:color="auto" w:fill="auto"/>
          </w:tcPr>
          <w:p w:rsidR="00F42223" w:rsidRPr="00091230" w:rsidRDefault="00F42223" w:rsidP="0026794C">
            <w:pPr>
              <w:jc w:val="center"/>
              <w:rPr>
                <w:rFonts w:eastAsia="Arial"/>
              </w:rPr>
            </w:pPr>
            <w:r w:rsidRPr="00091230">
              <w:rPr>
                <w:rFonts w:eastAsia="Arial"/>
              </w:rPr>
              <w:t>0,5</w:t>
            </w:r>
          </w:p>
        </w:tc>
      </w:tr>
      <w:tr w:rsidR="00F42223" w:rsidRPr="00091230" w:rsidTr="00810CA9">
        <w:trPr>
          <w:trHeight w:val="20"/>
        </w:trPr>
        <w:tc>
          <w:tcPr>
            <w:tcW w:w="2682" w:type="dxa"/>
            <w:vMerge/>
          </w:tcPr>
          <w:p w:rsidR="00F42223" w:rsidRPr="00091230" w:rsidRDefault="00F42223" w:rsidP="0026794C">
            <w:pPr>
              <w:jc w:val="both"/>
              <w:rPr>
                <w:rFonts w:eastAsia="Arial"/>
              </w:rPr>
            </w:pPr>
          </w:p>
        </w:tc>
        <w:tc>
          <w:tcPr>
            <w:tcW w:w="2842" w:type="dxa"/>
            <w:shd w:val="clear" w:color="auto" w:fill="auto"/>
          </w:tcPr>
          <w:p w:rsidR="00F42223" w:rsidRPr="00091230" w:rsidRDefault="00F42223" w:rsidP="0026794C">
            <w:pPr>
              <w:jc w:val="both"/>
              <w:rPr>
                <w:rFonts w:eastAsia="Arial"/>
              </w:rPr>
            </w:pPr>
            <w:r w:rsidRPr="00091230">
              <w:rPr>
                <w:rFonts w:eastAsia="Arial"/>
              </w:rPr>
              <w:t>Количество штатных единиц среднего персонала</w:t>
            </w:r>
          </w:p>
        </w:tc>
        <w:tc>
          <w:tcPr>
            <w:tcW w:w="1558" w:type="dxa"/>
            <w:shd w:val="clear" w:color="auto" w:fill="auto"/>
          </w:tcPr>
          <w:p w:rsidR="00F42223" w:rsidRPr="00091230" w:rsidRDefault="00F42223" w:rsidP="0026794C">
            <w:pPr>
              <w:jc w:val="center"/>
            </w:pPr>
            <w:r w:rsidRPr="00091230">
              <w:rPr>
                <w:rFonts w:eastAsia="Arial"/>
              </w:rPr>
              <w:t>–</w:t>
            </w:r>
          </w:p>
        </w:tc>
        <w:tc>
          <w:tcPr>
            <w:tcW w:w="1278" w:type="dxa"/>
            <w:shd w:val="clear" w:color="auto" w:fill="auto"/>
          </w:tcPr>
          <w:p w:rsidR="00F42223" w:rsidRPr="00091230" w:rsidRDefault="00F42223" w:rsidP="0026794C">
            <w:pPr>
              <w:jc w:val="center"/>
            </w:pPr>
            <w:r w:rsidRPr="00091230">
              <w:rPr>
                <w:rFonts w:eastAsia="Arial"/>
              </w:rPr>
              <w:t>–</w:t>
            </w:r>
          </w:p>
        </w:tc>
        <w:tc>
          <w:tcPr>
            <w:tcW w:w="1835" w:type="dxa"/>
            <w:shd w:val="clear" w:color="auto" w:fill="auto"/>
          </w:tcPr>
          <w:p w:rsidR="00F42223" w:rsidRPr="00091230" w:rsidRDefault="00F42223" w:rsidP="0026794C">
            <w:pPr>
              <w:jc w:val="center"/>
              <w:rPr>
                <w:rFonts w:eastAsia="Arial"/>
              </w:rPr>
            </w:pPr>
            <w:r w:rsidRPr="00091230">
              <w:rPr>
                <w:rFonts w:eastAsia="Arial"/>
              </w:rPr>
              <w:t>1,0</w:t>
            </w:r>
          </w:p>
        </w:tc>
      </w:tr>
      <w:tr w:rsidR="00F42223" w:rsidRPr="00091230" w:rsidTr="00810CA9">
        <w:trPr>
          <w:trHeight w:val="20"/>
        </w:trPr>
        <w:tc>
          <w:tcPr>
            <w:tcW w:w="2682" w:type="dxa"/>
            <w:vMerge/>
          </w:tcPr>
          <w:p w:rsidR="00F42223" w:rsidRPr="00091230" w:rsidRDefault="00F42223" w:rsidP="0026794C">
            <w:pPr>
              <w:jc w:val="both"/>
              <w:rPr>
                <w:rFonts w:eastAsia="Arial"/>
              </w:rPr>
            </w:pPr>
          </w:p>
        </w:tc>
        <w:tc>
          <w:tcPr>
            <w:tcW w:w="2842" w:type="dxa"/>
            <w:shd w:val="clear" w:color="auto" w:fill="auto"/>
          </w:tcPr>
          <w:p w:rsidR="00F42223" w:rsidRPr="00091230" w:rsidRDefault="00F42223" w:rsidP="0026794C">
            <w:pPr>
              <w:jc w:val="both"/>
              <w:rPr>
                <w:rFonts w:eastAsia="Arial"/>
              </w:rPr>
            </w:pPr>
            <w:r w:rsidRPr="00091230">
              <w:rPr>
                <w:rFonts w:eastAsia="Arial"/>
              </w:rPr>
              <w:t>Количество штатных единиц младшего персонала</w:t>
            </w:r>
          </w:p>
        </w:tc>
        <w:tc>
          <w:tcPr>
            <w:tcW w:w="1558" w:type="dxa"/>
            <w:shd w:val="clear" w:color="auto" w:fill="auto"/>
          </w:tcPr>
          <w:p w:rsidR="00F42223" w:rsidRPr="00091230" w:rsidRDefault="00F42223" w:rsidP="0026794C">
            <w:pPr>
              <w:jc w:val="center"/>
            </w:pPr>
            <w:r w:rsidRPr="00091230">
              <w:rPr>
                <w:rFonts w:eastAsia="Arial"/>
              </w:rPr>
              <w:t>–</w:t>
            </w:r>
          </w:p>
        </w:tc>
        <w:tc>
          <w:tcPr>
            <w:tcW w:w="1278" w:type="dxa"/>
            <w:shd w:val="clear" w:color="auto" w:fill="auto"/>
          </w:tcPr>
          <w:p w:rsidR="00F42223" w:rsidRPr="00091230" w:rsidRDefault="00F42223" w:rsidP="0026794C">
            <w:pPr>
              <w:jc w:val="center"/>
            </w:pPr>
            <w:r w:rsidRPr="00091230">
              <w:rPr>
                <w:rFonts w:eastAsia="Arial"/>
              </w:rPr>
              <w:t>–</w:t>
            </w:r>
          </w:p>
        </w:tc>
        <w:tc>
          <w:tcPr>
            <w:tcW w:w="1835" w:type="dxa"/>
            <w:shd w:val="clear" w:color="auto" w:fill="auto"/>
          </w:tcPr>
          <w:p w:rsidR="00F42223" w:rsidRPr="00091230" w:rsidRDefault="00F42223" w:rsidP="0026794C">
            <w:pPr>
              <w:jc w:val="center"/>
              <w:rPr>
                <w:rFonts w:eastAsia="Arial"/>
              </w:rPr>
            </w:pPr>
            <w:r w:rsidRPr="00091230">
              <w:rPr>
                <w:rFonts w:eastAsia="Arial"/>
              </w:rPr>
              <w:t>0,0</w:t>
            </w:r>
          </w:p>
        </w:tc>
      </w:tr>
      <w:tr w:rsidR="00F42223" w:rsidRPr="00091230" w:rsidTr="00810CA9">
        <w:trPr>
          <w:trHeight w:val="20"/>
        </w:trPr>
        <w:tc>
          <w:tcPr>
            <w:tcW w:w="2682" w:type="dxa"/>
            <w:vMerge w:val="restart"/>
          </w:tcPr>
          <w:p w:rsidR="00F42223" w:rsidRPr="00091230" w:rsidRDefault="00F42223" w:rsidP="0026794C">
            <w:pPr>
              <w:jc w:val="both"/>
              <w:rPr>
                <w:rFonts w:eastAsia="Arial"/>
              </w:rPr>
            </w:pPr>
            <w:r w:rsidRPr="00091230">
              <w:rPr>
                <w:rFonts w:eastAsia="Arial"/>
              </w:rPr>
              <w:t xml:space="preserve">ГАУЗ </w:t>
            </w:r>
            <w:r w:rsidR="002F7358">
              <w:rPr>
                <w:rFonts w:eastAsia="Arial"/>
              </w:rPr>
              <w:t>«</w:t>
            </w:r>
            <w:r w:rsidRPr="00091230">
              <w:rPr>
                <w:rFonts w:eastAsia="Arial"/>
              </w:rPr>
              <w:t>Елабужская ЦРБ</w:t>
            </w:r>
            <w:r w:rsidR="002F7358">
              <w:rPr>
                <w:rFonts w:eastAsia="Arial"/>
              </w:rPr>
              <w:t>»</w:t>
            </w:r>
          </w:p>
        </w:tc>
        <w:tc>
          <w:tcPr>
            <w:tcW w:w="2842" w:type="dxa"/>
            <w:shd w:val="clear" w:color="auto" w:fill="auto"/>
          </w:tcPr>
          <w:p w:rsidR="00F42223" w:rsidRPr="00091230" w:rsidRDefault="00F42223" w:rsidP="00C55D07">
            <w:pPr>
              <w:jc w:val="both"/>
              <w:rPr>
                <w:rFonts w:eastAsia="Arial"/>
              </w:rPr>
            </w:pPr>
            <w:r w:rsidRPr="00091230">
              <w:rPr>
                <w:rFonts w:eastAsia="Arial"/>
              </w:rPr>
              <w:t>Мощность (ко</w:t>
            </w:r>
            <w:r w:rsidR="00C55D07">
              <w:rPr>
                <w:rFonts w:eastAsia="Arial"/>
              </w:rPr>
              <w:t>ек</w:t>
            </w:r>
            <w:r w:rsidRPr="00091230">
              <w:rPr>
                <w:rFonts w:eastAsia="Arial"/>
              </w:rPr>
              <w:t>, посещений в смену)</w:t>
            </w:r>
          </w:p>
        </w:tc>
        <w:tc>
          <w:tcPr>
            <w:tcW w:w="1558" w:type="dxa"/>
            <w:shd w:val="clear" w:color="auto" w:fill="auto"/>
          </w:tcPr>
          <w:p w:rsidR="00F42223" w:rsidRPr="00091230" w:rsidRDefault="00F42223" w:rsidP="0026794C">
            <w:pPr>
              <w:jc w:val="center"/>
            </w:pPr>
            <w:r w:rsidRPr="00091230">
              <w:rPr>
                <w:rFonts w:eastAsia="Arial"/>
              </w:rPr>
              <w:t>–</w:t>
            </w:r>
          </w:p>
        </w:tc>
        <w:tc>
          <w:tcPr>
            <w:tcW w:w="1278" w:type="dxa"/>
            <w:shd w:val="clear" w:color="auto" w:fill="auto"/>
          </w:tcPr>
          <w:p w:rsidR="00F42223" w:rsidRPr="00091230" w:rsidRDefault="00F42223" w:rsidP="0026794C">
            <w:pPr>
              <w:jc w:val="center"/>
            </w:pPr>
            <w:r w:rsidRPr="00091230">
              <w:rPr>
                <w:rFonts w:eastAsia="Arial"/>
              </w:rPr>
              <w:t>–</w:t>
            </w:r>
          </w:p>
        </w:tc>
        <w:tc>
          <w:tcPr>
            <w:tcW w:w="1835" w:type="dxa"/>
            <w:shd w:val="clear" w:color="auto" w:fill="auto"/>
          </w:tcPr>
          <w:p w:rsidR="00F42223" w:rsidRPr="00091230" w:rsidRDefault="00F42223" w:rsidP="0026794C">
            <w:pPr>
              <w:jc w:val="center"/>
              <w:rPr>
                <w:rFonts w:eastAsia="Arial"/>
              </w:rPr>
            </w:pPr>
            <w:r w:rsidRPr="00091230">
              <w:rPr>
                <w:rFonts w:eastAsia="Arial"/>
              </w:rPr>
              <w:t>15</w:t>
            </w:r>
          </w:p>
        </w:tc>
      </w:tr>
      <w:tr w:rsidR="00F42223" w:rsidRPr="00091230" w:rsidTr="00810CA9">
        <w:trPr>
          <w:trHeight w:val="20"/>
        </w:trPr>
        <w:tc>
          <w:tcPr>
            <w:tcW w:w="2682" w:type="dxa"/>
            <w:vMerge/>
          </w:tcPr>
          <w:p w:rsidR="00F42223" w:rsidRPr="00091230" w:rsidRDefault="00F42223" w:rsidP="0026794C">
            <w:pPr>
              <w:jc w:val="both"/>
              <w:rPr>
                <w:rFonts w:eastAsia="Arial"/>
              </w:rPr>
            </w:pPr>
          </w:p>
        </w:tc>
        <w:tc>
          <w:tcPr>
            <w:tcW w:w="2842" w:type="dxa"/>
            <w:shd w:val="clear" w:color="auto" w:fill="auto"/>
          </w:tcPr>
          <w:p w:rsidR="00F42223" w:rsidRPr="00091230" w:rsidRDefault="00F42223" w:rsidP="0026794C">
            <w:pPr>
              <w:jc w:val="both"/>
              <w:rPr>
                <w:rFonts w:eastAsia="Arial"/>
              </w:rPr>
            </w:pPr>
            <w:r w:rsidRPr="00091230">
              <w:rPr>
                <w:rFonts w:eastAsia="Arial"/>
              </w:rPr>
              <w:t>Количество штатных единиц врачей</w:t>
            </w:r>
          </w:p>
        </w:tc>
        <w:tc>
          <w:tcPr>
            <w:tcW w:w="1558" w:type="dxa"/>
            <w:shd w:val="clear" w:color="auto" w:fill="auto"/>
          </w:tcPr>
          <w:p w:rsidR="00F42223" w:rsidRPr="00091230" w:rsidRDefault="00F42223" w:rsidP="0026794C">
            <w:pPr>
              <w:jc w:val="center"/>
            </w:pPr>
            <w:r w:rsidRPr="00091230">
              <w:rPr>
                <w:rFonts w:eastAsia="Arial"/>
              </w:rPr>
              <w:t>–</w:t>
            </w:r>
          </w:p>
        </w:tc>
        <w:tc>
          <w:tcPr>
            <w:tcW w:w="1278" w:type="dxa"/>
            <w:shd w:val="clear" w:color="auto" w:fill="auto"/>
          </w:tcPr>
          <w:p w:rsidR="00F42223" w:rsidRPr="00091230" w:rsidRDefault="00F42223" w:rsidP="0026794C">
            <w:pPr>
              <w:jc w:val="center"/>
            </w:pPr>
            <w:r w:rsidRPr="00091230">
              <w:rPr>
                <w:rFonts w:eastAsia="Arial"/>
              </w:rPr>
              <w:t>–</w:t>
            </w:r>
          </w:p>
        </w:tc>
        <w:tc>
          <w:tcPr>
            <w:tcW w:w="1835" w:type="dxa"/>
            <w:shd w:val="clear" w:color="auto" w:fill="auto"/>
          </w:tcPr>
          <w:p w:rsidR="00F42223" w:rsidRPr="00091230" w:rsidRDefault="00F42223" w:rsidP="0026794C">
            <w:pPr>
              <w:jc w:val="center"/>
              <w:rPr>
                <w:rFonts w:eastAsia="Arial"/>
              </w:rPr>
            </w:pPr>
            <w:r w:rsidRPr="00091230">
              <w:rPr>
                <w:rFonts w:eastAsia="Arial"/>
              </w:rPr>
              <w:t>0,5</w:t>
            </w:r>
          </w:p>
        </w:tc>
      </w:tr>
      <w:tr w:rsidR="00F42223" w:rsidRPr="00091230" w:rsidTr="00810CA9">
        <w:trPr>
          <w:trHeight w:val="20"/>
        </w:trPr>
        <w:tc>
          <w:tcPr>
            <w:tcW w:w="2682" w:type="dxa"/>
            <w:vMerge/>
          </w:tcPr>
          <w:p w:rsidR="00F42223" w:rsidRPr="00091230" w:rsidRDefault="00F42223" w:rsidP="0026794C">
            <w:pPr>
              <w:jc w:val="both"/>
              <w:rPr>
                <w:rFonts w:eastAsia="Arial"/>
              </w:rPr>
            </w:pPr>
          </w:p>
        </w:tc>
        <w:tc>
          <w:tcPr>
            <w:tcW w:w="2842" w:type="dxa"/>
            <w:shd w:val="clear" w:color="auto" w:fill="auto"/>
          </w:tcPr>
          <w:p w:rsidR="00F42223" w:rsidRPr="00091230" w:rsidRDefault="00F42223" w:rsidP="0026794C">
            <w:pPr>
              <w:jc w:val="both"/>
              <w:rPr>
                <w:rFonts w:eastAsia="Arial"/>
              </w:rPr>
            </w:pPr>
            <w:r w:rsidRPr="00091230">
              <w:rPr>
                <w:rFonts w:eastAsia="Arial"/>
              </w:rPr>
              <w:t>Количество штатных единиц среднего персонала</w:t>
            </w:r>
          </w:p>
        </w:tc>
        <w:tc>
          <w:tcPr>
            <w:tcW w:w="1558" w:type="dxa"/>
            <w:shd w:val="clear" w:color="auto" w:fill="auto"/>
          </w:tcPr>
          <w:p w:rsidR="00F42223" w:rsidRPr="00091230" w:rsidRDefault="00F42223" w:rsidP="0026794C">
            <w:pPr>
              <w:jc w:val="center"/>
            </w:pPr>
            <w:r w:rsidRPr="00091230">
              <w:rPr>
                <w:rFonts w:eastAsia="Arial"/>
              </w:rPr>
              <w:t>–</w:t>
            </w:r>
          </w:p>
        </w:tc>
        <w:tc>
          <w:tcPr>
            <w:tcW w:w="1278" w:type="dxa"/>
            <w:shd w:val="clear" w:color="auto" w:fill="auto"/>
          </w:tcPr>
          <w:p w:rsidR="00F42223" w:rsidRPr="00091230" w:rsidRDefault="00F42223" w:rsidP="0026794C">
            <w:pPr>
              <w:jc w:val="center"/>
            </w:pPr>
            <w:r w:rsidRPr="00091230">
              <w:rPr>
                <w:rFonts w:eastAsia="Arial"/>
              </w:rPr>
              <w:t>–</w:t>
            </w:r>
          </w:p>
        </w:tc>
        <w:tc>
          <w:tcPr>
            <w:tcW w:w="1835" w:type="dxa"/>
            <w:shd w:val="clear" w:color="auto" w:fill="auto"/>
          </w:tcPr>
          <w:p w:rsidR="00F42223" w:rsidRPr="00091230" w:rsidRDefault="00F42223" w:rsidP="0026794C">
            <w:pPr>
              <w:jc w:val="center"/>
              <w:rPr>
                <w:rFonts w:eastAsia="Arial"/>
              </w:rPr>
            </w:pPr>
            <w:r w:rsidRPr="00091230">
              <w:rPr>
                <w:rFonts w:eastAsia="Arial"/>
              </w:rPr>
              <w:t>1,0</w:t>
            </w:r>
          </w:p>
        </w:tc>
      </w:tr>
      <w:tr w:rsidR="00F42223" w:rsidRPr="00091230" w:rsidTr="00810CA9">
        <w:trPr>
          <w:trHeight w:val="20"/>
        </w:trPr>
        <w:tc>
          <w:tcPr>
            <w:tcW w:w="2682" w:type="dxa"/>
            <w:vMerge/>
          </w:tcPr>
          <w:p w:rsidR="00F42223" w:rsidRPr="00091230" w:rsidRDefault="00F42223" w:rsidP="0026794C">
            <w:pPr>
              <w:jc w:val="both"/>
              <w:rPr>
                <w:rFonts w:eastAsia="Arial"/>
              </w:rPr>
            </w:pPr>
          </w:p>
        </w:tc>
        <w:tc>
          <w:tcPr>
            <w:tcW w:w="2842" w:type="dxa"/>
            <w:shd w:val="clear" w:color="auto" w:fill="auto"/>
          </w:tcPr>
          <w:p w:rsidR="00F42223" w:rsidRPr="00091230" w:rsidRDefault="00F42223" w:rsidP="0026794C">
            <w:pPr>
              <w:jc w:val="both"/>
              <w:rPr>
                <w:rFonts w:eastAsia="Arial"/>
              </w:rPr>
            </w:pPr>
            <w:r w:rsidRPr="00091230">
              <w:rPr>
                <w:rFonts w:eastAsia="Arial"/>
              </w:rPr>
              <w:t>Количество штатных единиц младшего персонала</w:t>
            </w:r>
          </w:p>
        </w:tc>
        <w:tc>
          <w:tcPr>
            <w:tcW w:w="1558" w:type="dxa"/>
            <w:shd w:val="clear" w:color="auto" w:fill="auto"/>
          </w:tcPr>
          <w:p w:rsidR="00F42223" w:rsidRPr="00091230" w:rsidRDefault="00F42223" w:rsidP="0026794C">
            <w:pPr>
              <w:jc w:val="center"/>
            </w:pPr>
            <w:r w:rsidRPr="00091230">
              <w:rPr>
                <w:rFonts w:eastAsia="Arial"/>
              </w:rPr>
              <w:t>–</w:t>
            </w:r>
          </w:p>
        </w:tc>
        <w:tc>
          <w:tcPr>
            <w:tcW w:w="1278" w:type="dxa"/>
            <w:shd w:val="clear" w:color="auto" w:fill="auto"/>
          </w:tcPr>
          <w:p w:rsidR="00F42223" w:rsidRPr="00091230" w:rsidRDefault="00F42223" w:rsidP="0026794C">
            <w:pPr>
              <w:jc w:val="center"/>
            </w:pPr>
            <w:r w:rsidRPr="00091230">
              <w:rPr>
                <w:rFonts w:eastAsia="Arial"/>
              </w:rPr>
              <w:t>–</w:t>
            </w:r>
          </w:p>
        </w:tc>
        <w:tc>
          <w:tcPr>
            <w:tcW w:w="1835" w:type="dxa"/>
            <w:shd w:val="clear" w:color="auto" w:fill="auto"/>
          </w:tcPr>
          <w:p w:rsidR="00F42223" w:rsidRPr="00091230" w:rsidRDefault="00F42223" w:rsidP="0026794C">
            <w:pPr>
              <w:jc w:val="center"/>
              <w:rPr>
                <w:rFonts w:eastAsia="Arial"/>
              </w:rPr>
            </w:pPr>
            <w:r w:rsidRPr="00091230">
              <w:rPr>
                <w:rFonts w:eastAsia="Arial"/>
              </w:rPr>
              <w:t>0,0</w:t>
            </w:r>
          </w:p>
        </w:tc>
      </w:tr>
      <w:tr w:rsidR="00F42223" w:rsidRPr="00091230" w:rsidTr="00810CA9">
        <w:trPr>
          <w:trHeight w:val="20"/>
        </w:trPr>
        <w:tc>
          <w:tcPr>
            <w:tcW w:w="2682" w:type="dxa"/>
            <w:vMerge w:val="restart"/>
          </w:tcPr>
          <w:p w:rsidR="00F42223" w:rsidRPr="00091230" w:rsidRDefault="00F42223" w:rsidP="0026794C">
            <w:pPr>
              <w:jc w:val="both"/>
              <w:rPr>
                <w:rFonts w:eastAsia="Arial"/>
              </w:rPr>
            </w:pPr>
            <w:r w:rsidRPr="00091230">
              <w:rPr>
                <w:rFonts w:eastAsia="Arial"/>
              </w:rPr>
              <w:t xml:space="preserve">ГАУЗ </w:t>
            </w:r>
            <w:r w:rsidR="002F7358">
              <w:rPr>
                <w:rFonts w:eastAsia="Arial"/>
              </w:rPr>
              <w:t>«</w:t>
            </w:r>
            <w:r w:rsidRPr="00091230">
              <w:rPr>
                <w:rFonts w:eastAsia="Arial"/>
              </w:rPr>
              <w:t>Республиканский центр по профилактике и борьбе со СПИД и инфекционными заболеваниями М</w:t>
            </w:r>
            <w:r w:rsidR="00C93DB4">
              <w:rPr>
                <w:rFonts w:eastAsia="Arial"/>
              </w:rPr>
              <w:t>инистерства здравоохранения Республики Татарстан</w:t>
            </w:r>
            <w:r w:rsidR="002F7358">
              <w:rPr>
                <w:rFonts w:eastAsia="Arial"/>
              </w:rPr>
              <w:t>»</w:t>
            </w:r>
          </w:p>
        </w:tc>
        <w:tc>
          <w:tcPr>
            <w:tcW w:w="2842" w:type="dxa"/>
            <w:shd w:val="clear" w:color="auto" w:fill="auto"/>
          </w:tcPr>
          <w:p w:rsidR="00F42223" w:rsidRPr="00091230" w:rsidRDefault="00F42223" w:rsidP="00C55D07">
            <w:pPr>
              <w:jc w:val="both"/>
              <w:rPr>
                <w:rFonts w:eastAsia="Arial"/>
              </w:rPr>
            </w:pPr>
            <w:r w:rsidRPr="00091230">
              <w:rPr>
                <w:rFonts w:eastAsia="Arial"/>
              </w:rPr>
              <w:t>Мощность (ко</w:t>
            </w:r>
            <w:r w:rsidR="00C55D07">
              <w:rPr>
                <w:rFonts w:eastAsia="Arial"/>
              </w:rPr>
              <w:t>ек</w:t>
            </w:r>
            <w:r w:rsidRPr="00091230">
              <w:rPr>
                <w:rFonts w:eastAsia="Arial"/>
              </w:rPr>
              <w:t>, посещений в смену)</w:t>
            </w:r>
          </w:p>
        </w:tc>
        <w:tc>
          <w:tcPr>
            <w:tcW w:w="1558" w:type="dxa"/>
            <w:shd w:val="clear" w:color="auto" w:fill="auto"/>
          </w:tcPr>
          <w:p w:rsidR="00F42223" w:rsidRPr="00091230" w:rsidRDefault="00F42223" w:rsidP="0026794C">
            <w:pPr>
              <w:jc w:val="center"/>
            </w:pPr>
            <w:r w:rsidRPr="00091230">
              <w:rPr>
                <w:rFonts w:eastAsia="Arial"/>
              </w:rPr>
              <w:t>–</w:t>
            </w:r>
          </w:p>
        </w:tc>
        <w:tc>
          <w:tcPr>
            <w:tcW w:w="1278" w:type="dxa"/>
            <w:shd w:val="clear" w:color="auto" w:fill="auto"/>
          </w:tcPr>
          <w:p w:rsidR="00F42223" w:rsidRPr="00091230" w:rsidRDefault="00F42223" w:rsidP="0026794C">
            <w:pPr>
              <w:jc w:val="center"/>
            </w:pPr>
            <w:r w:rsidRPr="00091230">
              <w:rPr>
                <w:rFonts w:eastAsia="Arial"/>
              </w:rPr>
              <w:t>–</w:t>
            </w:r>
          </w:p>
        </w:tc>
        <w:tc>
          <w:tcPr>
            <w:tcW w:w="1835" w:type="dxa"/>
            <w:shd w:val="clear" w:color="auto" w:fill="auto"/>
          </w:tcPr>
          <w:p w:rsidR="00F42223" w:rsidRPr="00091230" w:rsidRDefault="00F42223" w:rsidP="0026794C">
            <w:pPr>
              <w:jc w:val="center"/>
              <w:rPr>
                <w:rFonts w:eastAsia="Arial"/>
              </w:rPr>
            </w:pPr>
            <w:r w:rsidRPr="00091230">
              <w:rPr>
                <w:rFonts w:eastAsia="Arial"/>
              </w:rPr>
              <w:t>15</w:t>
            </w:r>
          </w:p>
        </w:tc>
      </w:tr>
      <w:tr w:rsidR="00F42223" w:rsidRPr="00091230" w:rsidTr="00810CA9">
        <w:trPr>
          <w:trHeight w:val="20"/>
        </w:trPr>
        <w:tc>
          <w:tcPr>
            <w:tcW w:w="2682" w:type="dxa"/>
            <w:vMerge/>
          </w:tcPr>
          <w:p w:rsidR="00F42223" w:rsidRPr="00091230" w:rsidRDefault="00F42223" w:rsidP="0026794C">
            <w:pPr>
              <w:jc w:val="both"/>
              <w:rPr>
                <w:rFonts w:eastAsia="Arial"/>
              </w:rPr>
            </w:pPr>
          </w:p>
        </w:tc>
        <w:tc>
          <w:tcPr>
            <w:tcW w:w="2842" w:type="dxa"/>
            <w:shd w:val="clear" w:color="auto" w:fill="auto"/>
          </w:tcPr>
          <w:p w:rsidR="00F42223" w:rsidRPr="00091230" w:rsidRDefault="00F42223" w:rsidP="0026794C">
            <w:pPr>
              <w:jc w:val="both"/>
              <w:rPr>
                <w:rFonts w:eastAsia="Arial"/>
              </w:rPr>
            </w:pPr>
            <w:r w:rsidRPr="00091230">
              <w:rPr>
                <w:rFonts w:eastAsia="Arial"/>
              </w:rPr>
              <w:t>Количество штатных единиц врачей</w:t>
            </w:r>
          </w:p>
        </w:tc>
        <w:tc>
          <w:tcPr>
            <w:tcW w:w="1558" w:type="dxa"/>
            <w:shd w:val="clear" w:color="auto" w:fill="auto"/>
          </w:tcPr>
          <w:p w:rsidR="00F42223" w:rsidRPr="00091230" w:rsidRDefault="00F42223" w:rsidP="0026794C">
            <w:pPr>
              <w:jc w:val="center"/>
            </w:pPr>
            <w:r w:rsidRPr="00091230">
              <w:rPr>
                <w:rFonts w:eastAsia="Arial"/>
              </w:rPr>
              <w:t>–</w:t>
            </w:r>
          </w:p>
        </w:tc>
        <w:tc>
          <w:tcPr>
            <w:tcW w:w="1278" w:type="dxa"/>
            <w:shd w:val="clear" w:color="auto" w:fill="auto"/>
          </w:tcPr>
          <w:p w:rsidR="00F42223" w:rsidRPr="00091230" w:rsidRDefault="00F42223" w:rsidP="0026794C">
            <w:pPr>
              <w:jc w:val="center"/>
            </w:pPr>
            <w:r w:rsidRPr="00091230">
              <w:rPr>
                <w:rFonts w:eastAsia="Arial"/>
              </w:rPr>
              <w:t>–</w:t>
            </w:r>
          </w:p>
        </w:tc>
        <w:tc>
          <w:tcPr>
            <w:tcW w:w="1835" w:type="dxa"/>
            <w:shd w:val="clear" w:color="auto" w:fill="auto"/>
          </w:tcPr>
          <w:p w:rsidR="00F42223" w:rsidRPr="00091230" w:rsidRDefault="00F42223" w:rsidP="0026794C">
            <w:pPr>
              <w:jc w:val="center"/>
              <w:rPr>
                <w:rFonts w:eastAsia="Arial"/>
              </w:rPr>
            </w:pPr>
            <w:r w:rsidRPr="00091230">
              <w:rPr>
                <w:rFonts w:eastAsia="Arial"/>
              </w:rPr>
              <w:t>0,5</w:t>
            </w:r>
          </w:p>
        </w:tc>
      </w:tr>
      <w:tr w:rsidR="00F42223" w:rsidRPr="00091230" w:rsidTr="00810CA9">
        <w:trPr>
          <w:trHeight w:val="20"/>
        </w:trPr>
        <w:tc>
          <w:tcPr>
            <w:tcW w:w="2682" w:type="dxa"/>
            <w:vMerge/>
          </w:tcPr>
          <w:p w:rsidR="00F42223" w:rsidRPr="00091230" w:rsidRDefault="00F42223" w:rsidP="0026794C">
            <w:pPr>
              <w:jc w:val="both"/>
              <w:rPr>
                <w:rFonts w:eastAsia="Arial"/>
              </w:rPr>
            </w:pPr>
          </w:p>
        </w:tc>
        <w:tc>
          <w:tcPr>
            <w:tcW w:w="2842" w:type="dxa"/>
            <w:shd w:val="clear" w:color="auto" w:fill="auto"/>
          </w:tcPr>
          <w:p w:rsidR="00F42223" w:rsidRPr="00091230" w:rsidRDefault="00F42223" w:rsidP="0026794C">
            <w:pPr>
              <w:jc w:val="both"/>
              <w:rPr>
                <w:rFonts w:eastAsia="Arial"/>
              </w:rPr>
            </w:pPr>
            <w:r w:rsidRPr="00091230">
              <w:rPr>
                <w:rFonts w:eastAsia="Arial"/>
              </w:rPr>
              <w:t>Количество штатных единиц среднего персонала</w:t>
            </w:r>
          </w:p>
        </w:tc>
        <w:tc>
          <w:tcPr>
            <w:tcW w:w="1558" w:type="dxa"/>
            <w:shd w:val="clear" w:color="auto" w:fill="auto"/>
          </w:tcPr>
          <w:p w:rsidR="00F42223" w:rsidRPr="00091230" w:rsidRDefault="00F42223" w:rsidP="0026794C">
            <w:pPr>
              <w:jc w:val="center"/>
            </w:pPr>
            <w:r w:rsidRPr="00091230">
              <w:rPr>
                <w:rFonts w:eastAsia="Arial"/>
              </w:rPr>
              <w:t>–</w:t>
            </w:r>
          </w:p>
        </w:tc>
        <w:tc>
          <w:tcPr>
            <w:tcW w:w="1278" w:type="dxa"/>
            <w:shd w:val="clear" w:color="auto" w:fill="auto"/>
          </w:tcPr>
          <w:p w:rsidR="00F42223" w:rsidRPr="00091230" w:rsidRDefault="00F42223" w:rsidP="0026794C">
            <w:pPr>
              <w:jc w:val="center"/>
            </w:pPr>
            <w:r w:rsidRPr="00091230">
              <w:rPr>
                <w:rFonts w:eastAsia="Arial"/>
              </w:rPr>
              <w:t>–</w:t>
            </w:r>
          </w:p>
        </w:tc>
        <w:tc>
          <w:tcPr>
            <w:tcW w:w="1835" w:type="dxa"/>
            <w:shd w:val="clear" w:color="auto" w:fill="auto"/>
          </w:tcPr>
          <w:p w:rsidR="00F42223" w:rsidRPr="00091230" w:rsidRDefault="00F42223" w:rsidP="0026794C">
            <w:pPr>
              <w:jc w:val="center"/>
              <w:rPr>
                <w:rFonts w:eastAsia="Arial"/>
              </w:rPr>
            </w:pPr>
            <w:r w:rsidRPr="00091230">
              <w:rPr>
                <w:rFonts w:eastAsia="Arial"/>
              </w:rPr>
              <w:t>1,0</w:t>
            </w:r>
          </w:p>
        </w:tc>
      </w:tr>
      <w:tr w:rsidR="00F42223" w:rsidRPr="00091230" w:rsidTr="00810CA9">
        <w:trPr>
          <w:trHeight w:val="20"/>
        </w:trPr>
        <w:tc>
          <w:tcPr>
            <w:tcW w:w="2682" w:type="dxa"/>
            <w:vMerge/>
          </w:tcPr>
          <w:p w:rsidR="00F42223" w:rsidRPr="00091230" w:rsidRDefault="00F42223" w:rsidP="0026794C">
            <w:pPr>
              <w:jc w:val="both"/>
              <w:rPr>
                <w:rFonts w:eastAsia="Arial"/>
              </w:rPr>
            </w:pPr>
          </w:p>
        </w:tc>
        <w:tc>
          <w:tcPr>
            <w:tcW w:w="2842" w:type="dxa"/>
            <w:shd w:val="clear" w:color="auto" w:fill="auto"/>
          </w:tcPr>
          <w:p w:rsidR="00F42223" w:rsidRPr="00091230" w:rsidRDefault="00F42223" w:rsidP="0026794C">
            <w:pPr>
              <w:jc w:val="both"/>
              <w:rPr>
                <w:rFonts w:eastAsia="Arial"/>
              </w:rPr>
            </w:pPr>
            <w:r w:rsidRPr="00091230">
              <w:rPr>
                <w:rFonts w:eastAsia="Arial"/>
              </w:rPr>
              <w:t>Количество штатных единиц младшего персонала</w:t>
            </w:r>
          </w:p>
        </w:tc>
        <w:tc>
          <w:tcPr>
            <w:tcW w:w="1558" w:type="dxa"/>
            <w:shd w:val="clear" w:color="auto" w:fill="auto"/>
          </w:tcPr>
          <w:p w:rsidR="00F42223" w:rsidRPr="00091230" w:rsidRDefault="00F42223" w:rsidP="0026794C">
            <w:pPr>
              <w:jc w:val="center"/>
            </w:pPr>
            <w:r w:rsidRPr="00091230">
              <w:rPr>
                <w:rFonts w:eastAsia="Arial"/>
              </w:rPr>
              <w:t>–</w:t>
            </w:r>
          </w:p>
        </w:tc>
        <w:tc>
          <w:tcPr>
            <w:tcW w:w="1278" w:type="dxa"/>
            <w:shd w:val="clear" w:color="auto" w:fill="auto"/>
          </w:tcPr>
          <w:p w:rsidR="00F42223" w:rsidRPr="00091230" w:rsidRDefault="00F42223" w:rsidP="0026794C">
            <w:pPr>
              <w:jc w:val="center"/>
            </w:pPr>
            <w:r w:rsidRPr="00091230">
              <w:rPr>
                <w:rFonts w:eastAsia="Arial"/>
              </w:rPr>
              <w:t>–</w:t>
            </w:r>
          </w:p>
        </w:tc>
        <w:tc>
          <w:tcPr>
            <w:tcW w:w="1835" w:type="dxa"/>
            <w:shd w:val="clear" w:color="auto" w:fill="auto"/>
          </w:tcPr>
          <w:p w:rsidR="00F42223" w:rsidRPr="00091230" w:rsidRDefault="00F42223" w:rsidP="0026794C">
            <w:pPr>
              <w:jc w:val="center"/>
              <w:rPr>
                <w:rFonts w:eastAsia="Arial"/>
              </w:rPr>
            </w:pPr>
            <w:r w:rsidRPr="00091230">
              <w:rPr>
                <w:rFonts w:eastAsia="Arial"/>
              </w:rPr>
              <w:t>0,0</w:t>
            </w:r>
          </w:p>
        </w:tc>
      </w:tr>
      <w:tr w:rsidR="00F42223" w:rsidRPr="00091230" w:rsidTr="00810CA9">
        <w:trPr>
          <w:trHeight w:val="20"/>
        </w:trPr>
        <w:tc>
          <w:tcPr>
            <w:tcW w:w="2682" w:type="dxa"/>
            <w:vMerge w:val="restart"/>
          </w:tcPr>
          <w:p w:rsidR="00F42223" w:rsidRPr="00091230" w:rsidRDefault="00F42223" w:rsidP="0026794C">
            <w:pPr>
              <w:jc w:val="both"/>
              <w:rPr>
                <w:rFonts w:eastAsia="Arial"/>
              </w:rPr>
            </w:pPr>
            <w:r w:rsidRPr="00091230">
              <w:rPr>
                <w:rFonts w:eastAsia="Arial"/>
              </w:rPr>
              <w:t xml:space="preserve">ГАУЗ </w:t>
            </w:r>
            <w:r w:rsidR="002F7358">
              <w:rPr>
                <w:rFonts w:eastAsia="Arial"/>
              </w:rPr>
              <w:t>«</w:t>
            </w:r>
            <w:r w:rsidRPr="00091230">
              <w:rPr>
                <w:rFonts w:eastAsia="Arial"/>
              </w:rPr>
              <w:t>Бавлинская ЦРБ</w:t>
            </w:r>
            <w:r w:rsidR="002F7358">
              <w:rPr>
                <w:rFonts w:eastAsia="Arial"/>
              </w:rPr>
              <w:t>»</w:t>
            </w:r>
          </w:p>
        </w:tc>
        <w:tc>
          <w:tcPr>
            <w:tcW w:w="2842" w:type="dxa"/>
            <w:shd w:val="clear" w:color="auto" w:fill="auto"/>
          </w:tcPr>
          <w:p w:rsidR="00F42223" w:rsidRPr="00091230" w:rsidRDefault="00F42223" w:rsidP="00C55D07">
            <w:pPr>
              <w:jc w:val="both"/>
              <w:rPr>
                <w:rFonts w:eastAsia="Arial"/>
              </w:rPr>
            </w:pPr>
            <w:r w:rsidRPr="00091230">
              <w:rPr>
                <w:rFonts w:eastAsia="Arial"/>
              </w:rPr>
              <w:t>Мощность (ко</w:t>
            </w:r>
            <w:r w:rsidR="00C55D07">
              <w:rPr>
                <w:rFonts w:eastAsia="Arial"/>
              </w:rPr>
              <w:t>ек</w:t>
            </w:r>
            <w:r w:rsidRPr="00091230">
              <w:rPr>
                <w:rFonts w:eastAsia="Arial"/>
              </w:rPr>
              <w:t>, посещений в смену)</w:t>
            </w:r>
          </w:p>
        </w:tc>
        <w:tc>
          <w:tcPr>
            <w:tcW w:w="1558" w:type="dxa"/>
            <w:shd w:val="clear" w:color="auto" w:fill="auto"/>
          </w:tcPr>
          <w:p w:rsidR="00F42223" w:rsidRPr="00091230" w:rsidRDefault="00F42223" w:rsidP="0026794C">
            <w:pPr>
              <w:jc w:val="center"/>
            </w:pPr>
            <w:r w:rsidRPr="00091230">
              <w:rPr>
                <w:rFonts w:eastAsia="Arial"/>
              </w:rPr>
              <w:t>–</w:t>
            </w:r>
          </w:p>
        </w:tc>
        <w:tc>
          <w:tcPr>
            <w:tcW w:w="1278" w:type="dxa"/>
            <w:shd w:val="clear" w:color="auto" w:fill="auto"/>
          </w:tcPr>
          <w:p w:rsidR="00F42223" w:rsidRPr="00091230" w:rsidRDefault="00F42223" w:rsidP="0026794C">
            <w:pPr>
              <w:jc w:val="center"/>
            </w:pPr>
            <w:r w:rsidRPr="00091230">
              <w:rPr>
                <w:rFonts w:eastAsia="Arial"/>
              </w:rPr>
              <w:t>–</w:t>
            </w:r>
          </w:p>
        </w:tc>
        <w:tc>
          <w:tcPr>
            <w:tcW w:w="1835" w:type="dxa"/>
            <w:shd w:val="clear" w:color="auto" w:fill="auto"/>
          </w:tcPr>
          <w:p w:rsidR="00F42223" w:rsidRPr="00091230" w:rsidRDefault="00F42223" w:rsidP="0026794C">
            <w:pPr>
              <w:jc w:val="center"/>
              <w:rPr>
                <w:rFonts w:eastAsia="Arial"/>
              </w:rPr>
            </w:pPr>
            <w:r w:rsidRPr="00091230">
              <w:rPr>
                <w:rFonts w:eastAsia="Arial"/>
              </w:rPr>
              <w:t>15</w:t>
            </w:r>
          </w:p>
        </w:tc>
      </w:tr>
      <w:tr w:rsidR="00F42223" w:rsidRPr="00091230" w:rsidTr="00810CA9">
        <w:trPr>
          <w:trHeight w:val="20"/>
        </w:trPr>
        <w:tc>
          <w:tcPr>
            <w:tcW w:w="2682" w:type="dxa"/>
            <w:vMerge/>
          </w:tcPr>
          <w:p w:rsidR="00F42223" w:rsidRPr="00091230" w:rsidRDefault="00F42223" w:rsidP="0026794C">
            <w:pPr>
              <w:jc w:val="both"/>
              <w:rPr>
                <w:rFonts w:eastAsia="Arial"/>
              </w:rPr>
            </w:pPr>
          </w:p>
        </w:tc>
        <w:tc>
          <w:tcPr>
            <w:tcW w:w="2842" w:type="dxa"/>
            <w:shd w:val="clear" w:color="auto" w:fill="auto"/>
          </w:tcPr>
          <w:p w:rsidR="00F42223" w:rsidRPr="00091230" w:rsidRDefault="00F42223" w:rsidP="0026794C">
            <w:pPr>
              <w:jc w:val="both"/>
              <w:rPr>
                <w:rFonts w:eastAsia="Arial"/>
              </w:rPr>
            </w:pPr>
            <w:r w:rsidRPr="00091230">
              <w:rPr>
                <w:rFonts w:eastAsia="Arial"/>
              </w:rPr>
              <w:t>Количество штатных единиц врачей</w:t>
            </w:r>
          </w:p>
        </w:tc>
        <w:tc>
          <w:tcPr>
            <w:tcW w:w="1558" w:type="dxa"/>
            <w:shd w:val="clear" w:color="auto" w:fill="auto"/>
          </w:tcPr>
          <w:p w:rsidR="00F42223" w:rsidRPr="00091230" w:rsidRDefault="00F42223" w:rsidP="0026794C">
            <w:pPr>
              <w:jc w:val="center"/>
            </w:pPr>
            <w:r w:rsidRPr="00091230">
              <w:rPr>
                <w:rFonts w:eastAsia="Arial"/>
              </w:rPr>
              <w:t>–</w:t>
            </w:r>
          </w:p>
        </w:tc>
        <w:tc>
          <w:tcPr>
            <w:tcW w:w="1278" w:type="dxa"/>
            <w:shd w:val="clear" w:color="auto" w:fill="auto"/>
          </w:tcPr>
          <w:p w:rsidR="00F42223" w:rsidRPr="00091230" w:rsidRDefault="00F42223" w:rsidP="0026794C">
            <w:pPr>
              <w:jc w:val="center"/>
            </w:pPr>
            <w:r w:rsidRPr="00091230">
              <w:rPr>
                <w:rFonts w:eastAsia="Arial"/>
              </w:rPr>
              <w:t>–</w:t>
            </w:r>
          </w:p>
        </w:tc>
        <w:tc>
          <w:tcPr>
            <w:tcW w:w="1835" w:type="dxa"/>
            <w:shd w:val="clear" w:color="auto" w:fill="auto"/>
          </w:tcPr>
          <w:p w:rsidR="00F42223" w:rsidRPr="00091230" w:rsidRDefault="00F42223" w:rsidP="0026794C">
            <w:pPr>
              <w:jc w:val="center"/>
              <w:rPr>
                <w:rFonts w:eastAsia="Arial"/>
              </w:rPr>
            </w:pPr>
            <w:r w:rsidRPr="00091230">
              <w:rPr>
                <w:rFonts w:eastAsia="Arial"/>
              </w:rPr>
              <w:t>0,5</w:t>
            </w:r>
          </w:p>
        </w:tc>
      </w:tr>
      <w:tr w:rsidR="00F42223" w:rsidRPr="00091230" w:rsidTr="00810CA9">
        <w:trPr>
          <w:trHeight w:val="20"/>
        </w:trPr>
        <w:tc>
          <w:tcPr>
            <w:tcW w:w="2682" w:type="dxa"/>
            <w:vMerge/>
          </w:tcPr>
          <w:p w:rsidR="00F42223" w:rsidRPr="00091230" w:rsidRDefault="00F42223" w:rsidP="0026794C">
            <w:pPr>
              <w:jc w:val="both"/>
              <w:rPr>
                <w:rFonts w:eastAsia="Arial"/>
              </w:rPr>
            </w:pPr>
          </w:p>
        </w:tc>
        <w:tc>
          <w:tcPr>
            <w:tcW w:w="2842" w:type="dxa"/>
            <w:shd w:val="clear" w:color="auto" w:fill="auto"/>
          </w:tcPr>
          <w:p w:rsidR="00F42223" w:rsidRPr="00091230" w:rsidRDefault="00F42223" w:rsidP="0026794C">
            <w:pPr>
              <w:jc w:val="both"/>
              <w:rPr>
                <w:rFonts w:eastAsia="Arial"/>
              </w:rPr>
            </w:pPr>
            <w:r w:rsidRPr="00091230">
              <w:rPr>
                <w:rFonts w:eastAsia="Arial"/>
              </w:rPr>
              <w:t>Количество штатных единиц среднего персонала</w:t>
            </w:r>
          </w:p>
        </w:tc>
        <w:tc>
          <w:tcPr>
            <w:tcW w:w="1558" w:type="dxa"/>
            <w:shd w:val="clear" w:color="auto" w:fill="auto"/>
          </w:tcPr>
          <w:p w:rsidR="00F42223" w:rsidRPr="00091230" w:rsidRDefault="00F42223" w:rsidP="0026794C">
            <w:pPr>
              <w:jc w:val="center"/>
            </w:pPr>
            <w:r w:rsidRPr="00091230">
              <w:rPr>
                <w:rFonts w:eastAsia="Arial"/>
              </w:rPr>
              <w:t>–</w:t>
            </w:r>
          </w:p>
        </w:tc>
        <w:tc>
          <w:tcPr>
            <w:tcW w:w="1278" w:type="dxa"/>
            <w:shd w:val="clear" w:color="auto" w:fill="auto"/>
          </w:tcPr>
          <w:p w:rsidR="00F42223" w:rsidRPr="00091230" w:rsidRDefault="00F42223" w:rsidP="0026794C">
            <w:pPr>
              <w:jc w:val="center"/>
            </w:pPr>
            <w:r w:rsidRPr="00091230">
              <w:rPr>
                <w:rFonts w:eastAsia="Arial"/>
              </w:rPr>
              <w:t>–</w:t>
            </w:r>
          </w:p>
        </w:tc>
        <w:tc>
          <w:tcPr>
            <w:tcW w:w="1835" w:type="dxa"/>
            <w:shd w:val="clear" w:color="auto" w:fill="auto"/>
          </w:tcPr>
          <w:p w:rsidR="00F42223" w:rsidRPr="00091230" w:rsidRDefault="00F42223" w:rsidP="0026794C">
            <w:pPr>
              <w:jc w:val="center"/>
              <w:rPr>
                <w:rFonts w:eastAsia="Arial"/>
              </w:rPr>
            </w:pPr>
            <w:r w:rsidRPr="00091230">
              <w:rPr>
                <w:rFonts w:eastAsia="Arial"/>
              </w:rPr>
              <w:t>1,0</w:t>
            </w:r>
          </w:p>
        </w:tc>
      </w:tr>
      <w:tr w:rsidR="00F42223" w:rsidRPr="00091230" w:rsidTr="00810CA9">
        <w:trPr>
          <w:trHeight w:val="20"/>
        </w:trPr>
        <w:tc>
          <w:tcPr>
            <w:tcW w:w="2682" w:type="dxa"/>
            <w:vMerge/>
          </w:tcPr>
          <w:p w:rsidR="00F42223" w:rsidRPr="00091230" w:rsidRDefault="00F42223" w:rsidP="0026794C">
            <w:pPr>
              <w:jc w:val="both"/>
              <w:rPr>
                <w:rFonts w:eastAsia="Arial"/>
              </w:rPr>
            </w:pPr>
          </w:p>
        </w:tc>
        <w:tc>
          <w:tcPr>
            <w:tcW w:w="2842" w:type="dxa"/>
            <w:shd w:val="clear" w:color="auto" w:fill="auto"/>
          </w:tcPr>
          <w:p w:rsidR="00F42223" w:rsidRPr="00091230" w:rsidRDefault="00F42223" w:rsidP="0026794C">
            <w:pPr>
              <w:jc w:val="both"/>
              <w:rPr>
                <w:rFonts w:eastAsia="Arial"/>
              </w:rPr>
            </w:pPr>
            <w:r w:rsidRPr="00091230">
              <w:rPr>
                <w:rFonts w:eastAsia="Arial"/>
              </w:rPr>
              <w:t>Количество штатных единиц младшего персонала</w:t>
            </w:r>
          </w:p>
        </w:tc>
        <w:tc>
          <w:tcPr>
            <w:tcW w:w="1558" w:type="dxa"/>
            <w:shd w:val="clear" w:color="auto" w:fill="auto"/>
          </w:tcPr>
          <w:p w:rsidR="00F42223" w:rsidRPr="00091230" w:rsidRDefault="00F42223" w:rsidP="0026794C">
            <w:pPr>
              <w:jc w:val="center"/>
            </w:pPr>
            <w:r w:rsidRPr="00091230">
              <w:rPr>
                <w:rFonts w:eastAsia="Arial"/>
              </w:rPr>
              <w:t>–</w:t>
            </w:r>
          </w:p>
        </w:tc>
        <w:tc>
          <w:tcPr>
            <w:tcW w:w="1278" w:type="dxa"/>
            <w:shd w:val="clear" w:color="auto" w:fill="auto"/>
          </w:tcPr>
          <w:p w:rsidR="00F42223" w:rsidRPr="00091230" w:rsidRDefault="00F42223" w:rsidP="0026794C">
            <w:pPr>
              <w:jc w:val="center"/>
            </w:pPr>
            <w:r w:rsidRPr="00091230">
              <w:rPr>
                <w:rFonts w:eastAsia="Arial"/>
              </w:rPr>
              <w:t>–</w:t>
            </w:r>
          </w:p>
        </w:tc>
        <w:tc>
          <w:tcPr>
            <w:tcW w:w="1835" w:type="dxa"/>
            <w:shd w:val="clear" w:color="auto" w:fill="auto"/>
          </w:tcPr>
          <w:p w:rsidR="00F42223" w:rsidRPr="00091230" w:rsidRDefault="00F42223" w:rsidP="0026794C">
            <w:pPr>
              <w:jc w:val="center"/>
              <w:rPr>
                <w:rFonts w:eastAsia="Arial"/>
              </w:rPr>
            </w:pPr>
            <w:r w:rsidRPr="00091230">
              <w:rPr>
                <w:rFonts w:eastAsia="Arial"/>
              </w:rPr>
              <w:t>0,0</w:t>
            </w:r>
          </w:p>
        </w:tc>
      </w:tr>
      <w:tr w:rsidR="00F42223" w:rsidRPr="00091230" w:rsidTr="00810CA9">
        <w:trPr>
          <w:trHeight w:val="20"/>
        </w:trPr>
        <w:tc>
          <w:tcPr>
            <w:tcW w:w="2682" w:type="dxa"/>
            <w:vMerge w:val="restart"/>
          </w:tcPr>
          <w:p w:rsidR="00F42223" w:rsidRPr="00091230" w:rsidRDefault="00F42223" w:rsidP="0026794C">
            <w:pPr>
              <w:jc w:val="both"/>
              <w:rPr>
                <w:rFonts w:eastAsia="Arial"/>
              </w:rPr>
            </w:pPr>
            <w:r w:rsidRPr="00091230">
              <w:rPr>
                <w:rFonts w:eastAsia="Arial"/>
              </w:rPr>
              <w:t xml:space="preserve">ГАУЗ </w:t>
            </w:r>
            <w:r w:rsidR="002F7358">
              <w:rPr>
                <w:rFonts w:eastAsia="Arial"/>
              </w:rPr>
              <w:t>«</w:t>
            </w:r>
            <w:r w:rsidRPr="00091230">
              <w:rPr>
                <w:rFonts w:eastAsia="Arial"/>
              </w:rPr>
              <w:t>Высокогорская ЦРБ</w:t>
            </w:r>
            <w:r w:rsidR="002F7358">
              <w:rPr>
                <w:rFonts w:eastAsia="Arial"/>
              </w:rPr>
              <w:t>»</w:t>
            </w:r>
          </w:p>
        </w:tc>
        <w:tc>
          <w:tcPr>
            <w:tcW w:w="2842" w:type="dxa"/>
            <w:shd w:val="clear" w:color="auto" w:fill="auto"/>
          </w:tcPr>
          <w:p w:rsidR="00F42223" w:rsidRPr="00091230" w:rsidRDefault="00F42223" w:rsidP="00C55D07">
            <w:pPr>
              <w:jc w:val="both"/>
              <w:rPr>
                <w:rFonts w:eastAsia="Arial"/>
              </w:rPr>
            </w:pPr>
            <w:r w:rsidRPr="00091230">
              <w:rPr>
                <w:rFonts w:eastAsia="Arial"/>
              </w:rPr>
              <w:t>Мощность (ко</w:t>
            </w:r>
            <w:r w:rsidR="00C55D07">
              <w:rPr>
                <w:rFonts w:eastAsia="Arial"/>
              </w:rPr>
              <w:t>ек</w:t>
            </w:r>
            <w:r w:rsidRPr="00091230">
              <w:rPr>
                <w:rFonts w:eastAsia="Arial"/>
              </w:rPr>
              <w:t>, посещений в смену)</w:t>
            </w:r>
          </w:p>
        </w:tc>
        <w:tc>
          <w:tcPr>
            <w:tcW w:w="1558" w:type="dxa"/>
            <w:shd w:val="clear" w:color="auto" w:fill="auto"/>
          </w:tcPr>
          <w:p w:rsidR="00F42223" w:rsidRPr="00091230" w:rsidRDefault="00F42223" w:rsidP="0026794C">
            <w:pPr>
              <w:jc w:val="center"/>
            </w:pPr>
            <w:r w:rsidRPr="00091230">
              <w:rPr>
                <w:rFonts w:eastAsia="Arial"/>
              </w:rPr>
              <w:t>–</w:t>
            </w:r>
          </w:p>
        </w:tc>
        <w:tc>
          <w:tcPr>
            <w:tcW w:w="1278" w:type="dxa"/>
            <w:shd w:val="clear" w:color="auto" w:fill="auto"/>
          </w:tcPr>
          <w:p w:rsidR="00F42223" w:rsidRPr="00091230" w:rsidRDefault="00F42223" w:rsidP="0026794C">
            <w:pPr>
              <w:jc w:val="center"/>
            </w:pPr>
            <w:r w:rsidRPr="00091230">
              <w:rPr>
                <w:rFonts w:eastAsia="Arial"/>
              </w:rPr>
              <w:t>–</w:t>
            </w:r>
          </w:p>
        </w:tc>
        <w:tc>
          <w:tcPr>
            <w:tcW w:w="1835" w:type="dxa"/>
            <w:shd w:val="clear" w:color="auto" w:fill="auto"/>
          </w:tcPr>
          <w:p w:rsidR="00F42223" w:rsidRPr="00091230" w:rsidRDefault="00F42223" w:rsidP="0026794C">
            <w:pPr>
              <w:jc w:val="center"/>
              <w:rPr>
                <w:rFonts w:eastAsia="Arial"/>
              </w:rPr>
            </w:pPr>
            <w:r w:rsidRPr="00091230">
              <w:rPr>
                <w:rFonts w:eastAsia="Arial"/>
              </w:rPr>
              <w:t>15</w:t>
            </w:r>
          </w:p>
        </w:tc>
      </w:tr>
      <w:tr w:rsidR="00F42223" w:rsidRPr="00091230" w:rsidTr="00810CA9">
        <w:trPr>
          <w:trHeight w:val="20"/>
        </w:trPr>
        <w:tc>
          <w:tcPr>
            <w:tcW w:w="2682" w:type="dxa"/>
            <w:vMerge/>
          </w:tcPr>
          <w:p w:rsidR="00F42223" w:rsidRPr="00091230" w:rsidRDefault="00F42223" w:rsidP="0026794C">
            <w:pPr>
              <w:jc w:val="both"/>
              <w:rPr>
                <w:rFonts w:eastAsia="Arial"/>
              </w:rPr>
            </w:pPr>
          </w:p>
        </w:tc>
        <w:tc>
          <w:tcPr>
            <w:tcW w:w="2842" w:type="dxa"/>
            <w:shd w:val="clear" w:color="auto" w:fill="auto"/>
          </w:tcPr>
          <w:p w:rsidR="00F42223" w:rsidRPr="00091230" w:rsidRDefault="00F42223" w:rsidP="0026794C">
            <w:pPr>
              <w:jc w:val="both"/>
              <w:rPr>
                <w:rFonts w:eastAsia="Arial"/>
              </w:rPr>
            </w:pPr>
            <w:r w:rsidRPr="00091230">
              <w:rPr>
                <w:rFonts w:eastAsia="Arial"/>
              </w:rPr>
              <w:t>Количество штатных единиц врачей</w:t>
            </w:r>
          </w:p>
        </w:tc>
        <w:tc>
          <w:tcPr>
            <w:tcW w:w="1558" w:type="dxa"/>
            <w:shd w:val="clear" w:color="auto" w:fill="auto"/>
          </w:tcPr>
          <w:p w:rsidR="00F42223" w:rsidRPr="00091230" w:rsidRDefault="00F42223" w:rsidP="0026794C">
            <w:pPr>
              <w:jc w:val="center"/>
            </w:pPr>
            <w:r w:rsidRPr="00091230">
              <w:rPr>
                <w:rFonts w:eastAsia="Arial"/>
              </w:rPr>
              <w:t>–</w:t>
            </w:r>
          </w:p>
        </w:tc>
        <w:tc>
          <w:tcPr>
            <w:tcW w:w="1278" w:type="dxa"/>
            <w:shd w:val="clear" w:color="auto" w:fill="auto"/>
          </w:tcPr>
          <w:p w:rsidR="00F42223" w:rsidRPr="00091230" w:rsidRDefault="00F42223" w:rsidP="0026794C">
            <w:pPr>
              <w:jc w:val="center"/>
            </w:pPr>
            <w:r w:rsidRPr="00091230">
              <w:rPr>
                <w:rFonts w:eastAsia="Arial"/>
              </w:rPr>
              <w:t>–</w:t>
            </w:r>
          </w:p>
        </w:tc>
        <w:tc>
          <w:tcPr>
            <w:tcW w:w="1835" w:type="dxa"/>
            <w:shd w:val="clear" w:color="auto" w:fill="auto"/>
          </w:tcPr>
          <w:p w:rsidR="00F42223" w:rsidRPr="00091230" w:rsidRDefault="00F42223" w:rsidP="0026794C">
            <w:pPr>
              <w:jc w:val="center"/>
              <w:rPr>
                <w:rFonts w:eastAsia="Arial"/>
              </w:rPr>
            </w:pPr>
            <w:r w:rsidRPr="00091230">
              <w:rPr>
                <w:rFonts w:eastAsia="Arial"/>
              </w:rPr>
              <w:t>0,5</w:t>
            </w:r>
          </w:p>
        </w:tc>
      </w:tr>
      <w:tr w:rsidR="00F42223" w:rsidRPr="00091230" w:rsidTr="00810CA9">
        <w:trPr>
          <w:trHeight w:val="20"/>
        </w:trPr>
        <w:tc>
          <w:tcPr>
            <w:tcW w:w="2682" w:type="dxa"/>
            <w:vMerge/>
          </w:tcPr>
          <w:p w:rsidR="00F42223" w:rsidRPr="00091230" w:rsidRDefault="00F42223" w:rsidP="0026794C">
            <w:pPr>
              <w:jc w:val="both"/>
              <w:rPr>
                <w:rFonts w:eastAsia="Arial"/>
              </w:rPr>
            </w:pPr>
          </w:p>
        </w:tc>
        <w:tc>
          <w:tcPr>
            <w:tcW w:w="2842" w:type="dxa"/>
            <w:shd w:val="clear" w:color="auto" w:fill="auto"/>
          </w:tcPr>
          <w:p w:rsidR="00F42223" w:rsidRPr="00091230" w:rsidRDefault="00F42223" w:rsidP="0026794C">
            <w:pPr>
              <w:jc w:val="both"/>
              <w:rPr>
                <w:rFonts w:eastAsia="Arial"/>
              </w:rPr>
            </w:pPr>
            <w:r w:rsidRPr="00091230">
              <w:rPr>
                <w:rFonts w:eastAsia="Arial"/>
              </w:rPr>
              <w:t>Количество штатных единиц среднего персонала</w:t>
            </w:r>
          </w:p>
        </w:tc>
        <w:tc>
          <w:tcPr>
            <w:tcW w:w="1558" w:type="dxa"/>
            <w:shd w:val="clear" w:color="auto" w:fill="auto"/>
          </w:tcPr>
          <w:p w:rsidR="00F42223" w:rsidRPr="00091230" w:rsidRDefault="00F42223" w:rsidP="0026794C">
            <w:pPr>
              <w:jc w:val="center"/>
            </w:pPr>
            <w:r w:rsidRPr="00091230">
              <w:rPr>
                <w:rFonts w:eastAsia="Arial"/>
              </w:rPr>
              <w:t>–</w:t>
            </w:r>
          </w:p>
        </w:tc>
        <w:tc>
          <w:tcPr>
            <w:tcW w:w="1278" w:type="dxa"/>
            <w:shd w:val="clear" w:color="auto" w:fill="auto"/>
          </w:tcPr>
          <w:p w:rsidR="00F42223" w:rsidRPr="00091230" w:rsidRDefault="00F42223" w:rsidP="0026794C">
            <w:pPr>
              <w:jc w:val="center"/>
            </w:pPr>
            <w:r w:rsidRPr="00091230">
              <w:rPr>
                <w:rFonts w:eastAsia="Arial"/>
              </w:rPr>
              <w:t>–</w:t>
            </w:r>
          </w:p>
        </w:tc>
        <w:tc>
          <w:tcPr>
            <w:tcW w:w="1835" w:type="dxa"/>
            <w:shd w:val="clear" w:color="auto" w:fill="auto"/>
          </w:tcPr>
          <w:p w:rsidR="00F42223" w:rsidRPr="00091230" w:rsidRDefault="00F42223" w:rsidP="0026794C">
            <w:pPr>
              <w:jc w:val="center"/>
              <w:rPr>
                <w:rFonts w:eastAsia="Arial"/>
              </w:rPr>
            </w:pPr>
            <w:r w:rsidRPr="00091230">
              <w:rPr>
                <w:rFonts w:eastAsia="Arial"/>
              </w:rPr>
              <w:t>1,0</w:t>
            </w:r>
          </w:p>
        </w:tc>
      </w:tr>
      <w:tr w:rsidR="00F42223" w:rsidRPr="00091230" w:rsidTr="00810CA9">
        <w:trPr>
          <w:trHeight w:val="20"/>
        </w:trPr>
        <w:tc>
          <w:tcPr>
            <w:tcW w:w="2682" w:type="dxa"/>
            <w:vMerge/>
          </w:tcPr>
          <w:p w:rsidR="00F42223" w:rsidRPr="00091230" w:rsidRDefault="00F42223" w:rsidP="0026794C">
            <w:pPr>
              <w:jc w:val="both"/>
              <w:rPr>
                <w:rFonts w:eastAsia="Arial"/>
              </w:rPr>
            </w:pPr>
          </w:p>
        </w:tc>
        <w:tc>
          <w:tcPr>
            <w:tcW w:w="2842" w:type="dxa"/>
            <w:shd w:val="clear" w:color="auto" w:fill="auto"/>
          </w:tcPr>
          <w:p w:rsidR="00F42223" w:rsidRPr="00091230" w:rsidRDefault="00F42223" w:rsidP="0026794C">
            <w:pPr>
              <w:jc w:val="both"/>
              <w:rPr>
                <w:rFonts w:eastAsia="Arial"/>
              </w:rPr>
            </w:pPr>
            <w:r w:rsidRPr="00091230">
              <w:rPr>
                <w:rFonts w:eastAsia="Arial"/>
              </w:rPr>
              <w:t>Количество штатных единиц младшего персонала</w:t>
            </w:r>
          </w:p>
        </w:tc>
        <w:tc>
          <w:tcPr>
            <w:tcW w:w="1558" w:type="dxa"/>
            <w:shd w:val="clear" w:color="auto" w:fill="auto"/>
          </w:tcPr>
          <w:p w:rsidR="00F42223" w:rsidRPr="00091230" w:rsidRDefault="00F42223" w:rsidP="0026794C">
            <w:pPr>
              <w:jc w:val="center"/>
            </w:pPr>
            <w:r w:rsidRPr="00091230">
              <w:rPr>
                <w:rFonts w:eastAsia="Arial"/>
              </w:rPr>
              <w:t>–</w:t>
            </w:r>
          </w:p>
        </w:tc>
        <w:tc>
          <w:tcPr>
            <w:tcW w:w="1278" w:type="dxa"/>
            <w:shd w:val="clear" w:color="auto" w:fill="auto"/>
          </w:tcPr>
          <w:p w:rsidR="00F42223" w:rsidRPr="00091230" w:rsidRDefault="00F42223" w:rsidP="0026794C">
            <w:pPr>
              <w:jc w:val="center"/>
            </w:pPr>
            <w:r w:rsidRPr="00091230">
              <w:rPr>
                <w:rFonts w:eastAsia="Arial"/>
              </w:rPr>
              <w:t>–</w:t>
            </w:r>
          </w:p>
        </w:tc>
        <w:tc>
          <w:tcPr>
            <w:tcW w:w="1835" w:type="dxa"/>
            <w:shd w:val="clear" w:color="auto" w:fill="auto"/>
          </w:tcPr>
          <w:p w:rsidR="00F42223" w:rsidRPr="00091230" w:rsidRDefault="00F42223" w:rsidP="0026794C">
            <w:pPr>
              <w:jc w:val="center"/>
              <w:rPr>
                <w:rFonts w:eastAsia="Arial"/>
              </w:rPr>
            </w:pPr>
            <w:r w:rsidRPr="00091230">
              <w:rPr>
                <w:rFonts w:eastAsia="Arial"/>
              </w:rPr>
              <w:t>0,0</w:t>
            </w:r>
          </w:p>
        </w:tc>
      </w:tr>
      <w:tr w:rsidR="00F42223" w:rsidRPr="00091230" w:rsidTr="00810CA9">
        <w:trPr>
          <w:trHeight w:val="20"/>
        </w:trPr>
        <w:tc>
          <w:tcPr>
            <w:tcW w:w="2682" w:type="dxa"/>
            <w:vMerge w:val="restart"/>
          </w:tcPr>
          <w:p w:rsidR="00F42223" w:rsidRPr="00091230" w:rsidRDefault="00F42223" w:rsidP="0026794C">
            <w:pPr>
              <w:jc w:val="both"/>
              <w:rPr>
                <w:rFonts w:eastAsia="Arial"/>
              </w:rPr>
            </w:pPr>
            <w:r w:rsidRPr="00091230">
              <w:rPr>
                <w:rFonts w:eastAsia="Arial"/>
              </w:rPr>
              <w:t xml:space="preserve">ГАУЗ </w:t>
            </w:r>
            <w:r w:rsidR="002F7358">
              <w:rPr>
                <w:rFonts w:eastAsia="Arial"/>
              </w:rPr>
              <w:t>«</w:t>
            </w:r>
            <w:r w:rsidRPr="00091230">
              <w:rPr>
                <w:rFonts w:eastAsia="Arial"/>
              </w:rPr>
              <w:t>Бугульминская ЦРБ</w:t>
            </w:r>
            <w:r w:rsidR="002F7358">
              <w:rPr>
                <w:rFonts w:eastAsia="Arial"/>
              </w:rPr>
              <w:t>»</w:t>
            </w:r>
          </w:p>
        </w:tc>
        <w:tc>
          <w:tcPr>
            <w:tcW w:w="2842" w:type="dxa"/>
            <w:shd w:val="clear" w:color="auto" w:fill="auto"/>
          </w:tcPr>
          <w:p w:rsidR="00F42223" w:rsidRPr="00091230" w:rsidRDefault="00F42223" w:rsidP="00C55D07">
            <w:pPr>
              <w:jc w:val="both"/>
              <w:rPr>
                <w:rFonts w:eastAsia="Arial"/>
              </w:rPr>
            </w:pPr>
            <w:r w:rsidRPr="00091230">
              <w:rPr>
                <w:rFonts w:eastAsia="Arial"/>
              </w:rPr>
              <w:t>Мощность (ко</w:t>
            </w:r>
            <w:r w:rsidR="00C55D07">
              <w:rPr>
                <w:rFonts w:eastAsia="Arial"/>
              </w:rPr>
              <w:t>ек</w:t>
            </w:r>
            <w:r w:rsidRPr="00091230">
              <w:rPr>
                <w:rFonts w:eastAsia="Arial"/>
              </w:rPr>
              <w:t>, посещений в смену)</w:t>
            </w:r>
          </w:p>
        </w:tc>
        <w:tc>
          <w:tcPr>
            <w:tcW w:w="1558" w:type="dxa"/>
            <w:shd w:val="clear" w:color="auto" w:fill="auto"/>
          </w:tcPr>
          <w:p w:rsidR="00F42223" w:rsidRPr="00091230" w:rsidRDefault="00F42223" w:rsidP="0026794C">
            <w:pPr>
              <w:jc w:val="center"/>
            </w:pPr>
            <w:r w:rsidRPr="00091230">
              <w:rPr>
                <w:rFonts w:eastAsia="Arial"/>
              </w:rPr>
              <w:t>–</w:t>
            </w:r>
          </w:p>
        </w:tc>
        <w:tc>
          <w:tcPr>
            <w:tcW w:w="1278" w:type="dxa"/>
            <w:shd w:val="clear" w:color="auto" w:fill="auto"/>
          </w:tcPr>
          <w:p w:rsidR="00F42223" w:rsidRPr="00091230" w:rsidRDefault="00F42223" w:rsidP="0026794C">
            <w:pPr>
              <w:jc w:val="center"/>
            </w:pPr>
            <w:r w:rsidRPr="00091230">
              <w:rPr>
                <w:rFonts w:eastAsia="Arial"/>
              </w:rPr>
              <w:t>–</w:t>
            </w:r>
          </w:p>
        </w:tc>
        <w:tc>
          <w:tcPr>
            <w:tcW w:w="1835" w:type="dxa"/>
            <w:shd w:val="clear" w:color="auto" w:fill="auto"/>
          </w:tcPr>
          <w:p w:rsidR="00F42223" w:rsidRPr="00091230" w:rsidRDefault="00F42223" w:rsidP="0026794C">
            <w:pPr>
              <w:jc w:val="center"/>
              <w:rPr>
                <w:rFonts w:eastAsia="Arial"/>
              </w:rPr>
            </w:pPr>
            <w:r w:rsidRPr="00091230">
              <w:rPr>
                <w:rFonts w:eastAsia="Arial"/>
              </w:rPr>
              <w:t>15</w:t>
            </w:r>
          </w:p>
        </w:tc>
      </w:tr>
      <w:tr w:rsidR="00F42223" w:rsidRPr="00091230" w:rsidTr="00810CA9">
        <w:trPr>
          <w:trHeight w:val="20"/>
        </w:trPr>
        <w:tc>
          <w:tcPr>
            <w:tcW w:w="2682" w:type="dxa"/>
            <w:vMerge/>
          </w:tcPr>
          <w:p w:rsidR="00F42223" w:rsidRPr="00091230" w:rsidRDefault="00F42223" w:rsidP="0026794C">
            <w:pPr>
              <w:jc w:val="both"/>
              <w:rPr>
                <w:rFonts w:eastAsia="Arial"/>
              </w:rPr>
            </w:pPr>
          </w:p>
        </w:tc>
        <w:tc>
          <w:tcPr>
            <w:tcW w:w="2842" w:type="dxa"/>
            <w:shd w:val="clear" w:color="auto" w:fill="auto"/>
          </w:tcPr>
          <w:p w:rsidR="00F42223" w:rsidRPr="00091230" w:rsidRDefault="00F42223" w:rsidP="0026794C">
            <w:pPr>
              <w:jc w:val="both"/>
              <w:rPr>
                <w:rFonts w:eastAsia="Arial"/>
              </w:rPr>
            </w:pPr>
            <w:r w:rsidRPr="00091230">
              <w:rPr>
                <w:rFonts w:eastAsia="Arial"/>
              </w:rPr>
              <w:t>Количество штатных единиц врачей</w:t>
            </w:r>
          </w:p>
        </w:tc>
        <w:tc>
          <w:tcPr>
            <w:tcW w:w="1558" w:type="dxa"/>
            <w:shd w:val="clear" w:color="auto" w:fill="auto"/>
          </w:tcPr>
          <w:p w:rsidR="00F42223" w:rsidRPr="00091230" w:rsidRDefault="00F42223" w:rsidP="0026794C">
            <w:pPr>
              <w:jc w:val="center"/>
            </w:pPr>
            <w:r w:rsidRPr="00091230">
              <w:rPr>
                <w:rFonts w:eastAsia="Arial"/>
              </w:rPr>
              <w:t>–</w:t>
            </w:r>
          </w:p>
        </w:tc>
        <w:tc>
          <w:tcPr>
            <w:tcW w:w="1278" w:type="dxa"/>
            <w:shd w:val="clear" w:color="auto" w:fill="auto"/>
          </w:tcPr>
          <w:p w:rsidR="00F42223" w:rsidRPr="00091230" w:rsidRDefault="00F42223" w:rsidP="0026794C">
            <w:pPr>
              <w:jc w:val="center"/>
            </w:pPr>
            <w:r w:rsidRPr="00091230">
              <w:rPr>
                <w:rFonts w:eastAsia="Arial"/>
              </w:rPr>
              <w:t>–</w:t>
            </w:r>
          </w:p>
        </w:tc>
        <w:tc>
          <w:tcPr>
            <w:tcW w:w="1835" w:type="dxa"/>
            <w:shd w:val="clear" w:color="auto" w:fill="auto"/>
          </w:tcPr>
          <w:p w:rsidR="00F42223" w:rsidRPr="00091230" w:rsidRDefault="00F42223" w:rsidP="0026794C">
            <w:pPr>
              <w:jc w:val="center"/>
              <w:rPr>
                <w:rFonts w:eastAsia="Arial"/>
              </w:rPr>
            </w:pPr>
            <w:r w:rsidRPr="00091230">
              <w:rPr>
                <w:rFonts w:eastAsia="Arial"/>
              </w:rPr>
              <w:t>0,5</w:t>
            </w:r>
          </w:p>
        </w:tc>
      </w:tr>
      <w:tr w:rsidR="00F42223" w:rsidRPr="00091230" w:rsidTr="00810CA9">
        <w:trPr>
          <w:trHeight w:val="20"/>
        </w:trPr>
        <w:tc>
          <w:tcPr>
            <w:tcW w:w="2682" w:type="dxa"/>
            <w:vMerge/>
          </w:tcPr>
          <w:p w:rsidR="00F42223" w:rsidRPr="00091230" w:rsidRDefault="00F42223" w:rsidP="0026794C">
            <w:pPr>
              <w:jc w:val="both"/>
              <w:rPr>
                <w:rFonts w:eastAsia="Arial"/>
              </w:rPr>
            </w:pPr>
          </w:p>
        </w:tc>
        <w:tc>
          <w:tcPr>
            <w:tcW w:w="2842" w:type="dxa"/>
            <w:shd w:val="clear" w:color="auto" w:fill="auto"/>
          </w:tcPr>
          <w:p w:rsidR="00F42223" w:rsidRPr="00091230" w:rsidRDefault="00F42223" w:rsidP="0026794C">
            <w:pPr>
              <w:jc w:val="both"/>
              <w:rPr>
                <w:rFonts w:eastAsia="Arial"/>
              </w:rPr>
            </w:pPr>
            <w:r w:rsidRPr="00091230">
              <w:rPr>
                <w:rFonts w:eastAsia="Arial"/>
              </w:rPr>
              <w:t>Количество штатных единиц среднего персонала</w:t>
            </w:r>
          </w:p>
        </w:tc>
        <w:tc>
          <w:tcPr>
            <w:tcW w:w="1558" w:type="dxa"/>
            <w:shd w:val="clear" w:color="auto" w:fill="auto"/>
          </w:tcPr>
          <w:p w:rsidR="00F42223" w:rsidRPr="00091230" w:rsidRDefault="00F42223" w:rsidP="0026794C">
            <w:pPr>
              <w:jc w:val="center"/>
            </w:pPr>
            <w:r w:rsidRPr="00091230">
              <w:rPr>
                <w:rFonts w:eastAsia="Arial"/>
              </w:rPr>
              <w:t>–</w:t>
            </w:r>
          </w:p>
        </w:tc>
        <w:tc>
          <w:tcPr>
            <w:tcW w:w="1278" w:type="dxa"/>
            <w:shd w:val="clear" w:color="auto" w:fill="auto"/>
          </w:tcPr>
          <w:p w:rsidR="00F42223" w:rsidRPr="00091230" w:rsidRDefault="00F42223" w:rsidP="0026794C">
            <w:pPr>
              <w:jc w:val="center"/>
            </w:pPr>
            <w:r w:rsidRPr="00091230">
              <w:rPr>
                <w:rFonts w:eastAsia="Arial"/>
              </w:rPr>
              <w:t>–</w:t>
            </w:r>
          </w:p>
        </w:tc>
        <w:tc>
          <w:tcPr>
            <w:tcW w:w="1835" w:type="dxa"/>
            <w:shd w:val="clear" w:color="auto" w:fill="auto"/>
          </w:tcPr>
          <w:p w:rsidR="00F42223" w:rsidRPr="00091230" w:rsidRDefault="00F42223" w:rsidP="0026794C">
            <w:pPr>
              <w:jc w:val="center"/>
              <w:rPr>
                <w:rFonts w:eastAsia="Arial"/>
              </w:rPr>
            </w:pPr>
            <w:r w:rsidRPr="00091230">
              <w:rPr>
                <w:rFonts w:eastAsia="Arial"/>
              </w:rPr>
              <w:t>1,0</w:t>
            </w:r>
          </w:p>
        </w:tc>
      </w:tr>
      <w:tr w:rsidR="00F42223" w:rsidRPr="00091230" w:rsidTr="00810CA9">
        <w:trPr>
          <w:trHeight w:val="20"/>
        </w:trPr>
        <w:tc>
          <w:tcPr>
            <w:tcW w:w="2682" w:type="dxa"/>
            <w:vMerge/>
          </w:tcPr>
          <w:p w:rsidR="00F42223" w:rsidRPr="00091230" w:rsidRDefault="00F42223" w:rsidP="0026794C">
            <w:pPr>
              <w:jc w:val="both"/>
              <w:rPr>
                <w:rFonts w:eastAsia="Arial"/>
              </w:rPr>
            </w:pPr>
          </w:p>
        </w:tc>
        <w:tc>
          <w:tcPr>
            <w:tcW w:w="2842" w:type="dxa"/>
            <w:shd w:val="clear" w:color="auto" w:fill="auto"/>
          </w:tcPr>
          <w:p w:rsidR="00F42223" w:rsidRPr="00091230" w:rsidRDefault="00F42223" w:rsidP="0026794C">
            <w:pPr>
              <w:jc w:val="both"/>
              <w:rPr>
                <w:rFonts w:eastAsia="Arial"/>
              </w:rPr>
            </w:pPr>
            <w:r w:rsidRPr="00091230">
              <w:rPr>
                <w:rFonts w:eastAsia="Arial"/>
              </w:rPr>
              <w:t>Количество штатных единиц младшего персонала</w:t>
            </w:r>
          </w:p>
        </w:tc>
        <w:tc>
          <w:tcPr>
            <w:tcW w:w="1558" w:type="dxa"/>
            <w:shd w:val="clear" w:color="auto" w:fill="auto"/>
          </w:tcPr>
          <w:p w:rsidR="00F42223" w:rsidRPr="00091230" w:rsidRDefault="00F42223" w:rsidP="0026794C">
            <w:pPr>
              <w:jc w:val="center"/>
            </w:pPr>
            <w:r w:rsidRPr="00091230">
              <w:rPr>
                <w:rFonts w:eastAsia="Arial"/>
              </w:rPr>
              <w:t>–</w:t>
            </w:r>
          </w:p>
        </w:tc>
        <w:tc>
          <w:tcPr>
            <w:tcW w:w="1278" w:type="dxa"/>
            <w:shd w:val="clear" w:color="auto" w:fill="auto"/>
          </w:tcPr>
          <w:p w:rsidR="00F42223" w:rsidRPr="00091230" w:rsidRDefault="00F42223" w:rsidP="0026794C">
            <w:pPr>
              <w:jc w:val="center"/>
            </w:pPr>
            <w:r w:rsidRPr="00091230">
              <w:rPr>
                <w:rFonts w:eastAsia="Arial"/>
              </w:rPr>
              <w:t>–</w:t>
            </w:r>
          </w:p>
        </w:tc>
        <w:tc>
          <w:tcPr>
            <w:tcW w:w="1835" w:type="dxa"/>
            <w:shd w:val="clear" w:color="auto" w:fill="auto"/>
          </w:tcPr>
          <w:p w:rsidR="00F42223" w:rsidRPr="00091230" w:rsidRDefault="00F42223" w:rsidP="0026794C">
            <w:pPr>
              <w:jc w:val="center"/>
              <w:rPr>
                <w:rFonts w:eastAsia="Arial"/>
              </w:rPr>
            </w:pPr>
            <w:r w:rsidRPr="00091230">
              <w:rPr>
                <w:rFonts w:eastAsia="Arial"/>
              </w:rPr>
              <w:t>0,0</w:t>
            </w:r>
          </w:p>
        </w:tc>
      </w:tr>
      <w:tr w:rsidR="00F42223" w:rsidRPr="00091230" w:rsidTr="00810CA9">
        <w:trPr>
          <w:trHeight w:val="20"/>
        </w:trPr>
        <w:tc>
          <w:tcPr>
            <w:tcW w:w="2682" w:type="dxa"/>
            <w:vMerge w:val="restart"/>
          </w:tcPr>
          <w:p w:rsidR="00F42223" w:rsidRPr="00091230" w:rsidRDefault="00F42223" w:rsidP="0026794C">
            <w:pPr>
              <w:jc w:val="both"/>
              <w:rPr>
                <w:rFonts w:eastAsia="Arial"/>
              </w:rPr>
            </w:pPr>
            <w:r w:rsidRPr="00091230">
              <w:rPr>
                <w:rFonts w:eastAsia="Arial"/>
              </w:rPr>
              <w:t xml:space="preserve">ГАУЗ </w:t>
            </w:r>
            <w:r w:rsidR="002F7358">
              <w:rPr>
                <w:rFonts w:eastAsia="Arial"/>
              </w:rPr>
              <w:t>«</w:t>
            </w:r>
            <w:r w:rsidRPr="00091230">
              <w:rPr>
                <w:rFonts w:eastAsia="Arial"/>
              </w:rPr>
              <w:t>Рыбно-Слободская ЦРБ</w:t>
            </w:r>
            <w:r w:rsidR="002F7358">
              <w:rPr>
                <w:rFonts w:eastAsia="Arial"/>
              </w:rPr>
              <w:t>»</w:t>
            </w:r>
          </w:p>
        </w:tc>
        <w:tc>
          <w:tcPr>
            <w:tcW w:w="2842" w:type="dxa"/>
            <w:shd w:val="clear" w:color="auto" w:fill="auto"/>
          </w:tcPr>
          <w:p w:rsidR="00F42223" w:rsidRPr="00091230" w:rsidRDefault="00F42223" w:rsidP="00C55D07">
            <w:pPr>
              <w:jc w:val="both"/>
              <w:rPr>
                <w:rFonts w:eastAsia="Arial"/>
              </w:rPr>
            </w:pPr>
            <w:r w:rsidRPr="00091230">
              <w:rPr>
                <w:rFonts w:eastAsia="Arial"/>
              </w:rPr>
              <w:t>Мощность (ко</w:t>
            </w:r>
            <w:r w:rsidR="00C55D07">
              <w:rPr>
                <w:rFonts w:eastAsia="Arial"/>
              </w:rPr>
              <w:t>ек</w:t>
            </w:r>
            <w:r w:rsidRPr="00091230">
              <w:rPr>
                <w:rFonts w:eastAsia="Arial"/>
              </w:rPr>
              <w:t>, посещений в смену)</w:t>
            </w:r>
          </w:p>
        </w:tc>
        <w:tc>
          <w:tcPr>
            <w:tcW w:w="1558" w:type="dxa"/>
            <w:shd w:val="clear" w:color="auto" w:fill="auto"/>
          </w:tcPr>
          <w:p w:rsidR="00F42223" w:rsidRPr="00091230" w:rsidRDefault="00F42223" w:rsidP="0026794C">
            <w:pPr>
              <w:jc w:val="center"/>
            </w:pPr>
            <w:r w:rsidRPr="00091230">
              <w:rPr>
                <w:rFonts w:eastAsia="Arial"/>
              </w:rPr>
              <w:t>–</w:t>
            </w:r>
          </w:p>
        </w:tc>
        <w:tc>
          <w:tcPr>
            <w:tcW w:w="1278" w:type="dxa"/>
            <w:shd w:val="clear" w:color="auto" w:fill="auto"/>
          </w:tcPr>
          <w:p w:rsidR="00F42223" w:rsidRPr="00091230" w:rsidRDefault="00F42223" w:rsidP="0026794C">
            <w:pPr>
              <w:jc w:val="center"/>
            </w:pPr>
            <w:r w:rsidRPr="00091230">
              <w:rPr>
                <w:rFonts w:eastAsia="Arial"/>
              </w:rPr>
              <w:t>–</w:t>
            </w:r>
          </w:p>
        </w:tc>
        <w:tc>
          <w:tcPr>
            <w:tcW w:w="1835" w:type="dxa"/>
            <w:shd w:val="clear" w:color="auto" w:fill="auto"/>
          </w:tcPr>
          <w:p w:rsidR="00F42223" w:rsidRPr="00091230" w:rsidRDefault="00F42223" w:rsidP="0026794C">
            <w:pPr>
              <w:jc w:val="center"/>
              <w:rPr>
                <w:rFonts w:eastAsia="Arial"/>
              </w:rPr>
            </w:pPr>
            <w:r w:rsidRPr="00091230">
              <w:rPr>
                <w:rFonts w:eastAsia="Arial"/>
              </w:rPr>
              <w:t>15</w:t>
            </w:r>
          </w:p>
        </w:tc>
      </w:tr>
      <w:tr w:rsidR="00F42223" w:rsidRPr="00091230" w:rsidTr="00810CA9">
        <w:trPr>
          <w:trHeight w:val="20"/>
        </w:trPr>
        <w:tc>
          <w:tcPr>
            <w:tcW w:w="2682" w:type="dxa"/>
            <w:vMerge/>
          </w:tcPr>
          <w:p w:rsidR="00F42223" w:rsidRPr="00091230" w:rsidRDefault="00F42223" w:rsidP="0026794C">
            <w:pPr>
              <w:jc w:val="both"/>
              <w:rPr>
                <w:rFonts w:eastAsia="Arial"/>
              </w:rPr>
            </w:pPr>
          </w:p>
        </w:tc>
        <w:tc>
          <w:tcPr>
            <w:tcW w:w="2842" w:type="dxa"/>
            <w:shd w:val="clear" w:color="auto" w:fill="auto"/>
          </w:tcPr>
          <w:p w:rsidR="00F42223" w:rsidRPr="00091230" w:rsidRDefault="00F42223" w:rsidP="0026794C">
            <w:pPr>
              <w:jc w:val="both"/>
              <w:rPr>
                <w:rFonts w:eastAsia="Arial"/>
              </w:rPr>
            </w:pPr>
            <w:r w:rsidRPr="00091230">
              <w:rPr>
                <w:rFonts w:eastAsia="Arial"/>
              </w:rPr>
              <w:t>Количество штатных единиц врачей</w:t>
            </w:r>
          </w:p>
        </w:tc>
        <w:tc>
          <w:tcPr>
            <w:tcW w:w="1558" w:type="dxa"/>
            <w:shd w:val="clear" w:color="auto" w:fill="auto"/>
          </w:tcPr>
          <w:p w:rsidR="00F42223" w:rsidRPr="00091230" w:rsidRDefault="00F42223" w:rsidP="0026794C">
            <w:pPr>
              <w:jc w:val="center"/>
            </w:pPr>
            <w:r w:rsidRPr="00091230">
              <w:rPr>
                <w:rFonts w:eastAsia="Arial"/>
              </w:rPr>
              <w:t>–</w:t>
            </w:r>
          </w:p>
        </w:tc>
        <w:tc>
          <w:tcPr>
            <w:tcW w:w="1278" w:type="dxa"/>
            <w:shd w:val="clear" w:color="auto" w:fill="auto"/>
          </w:tcPr>
          <w:p w:rsidR="00F42223" w:rsidRPr="00091230" w:rsidRDefault="00F42223" w:rsidP="0026794C">
            <w:pPr>
              <w:jc w:val="center"/>
            </w:pPr>
            <w:r w:rsidRPr="00091230">
              <w:rPr>
                <w:rFonts w:eastAsia="Arial"/>
              </w:rPr>
              <w:t>–</w:t>
            </w:r>
          </w:p>
        </w:tc>
        <w:tc>
          <w:tcPr>
            <w:tcW w:w="1835" w:type="dxa"/>
            <w:shd w:val="clear" w:color="auto" w:fill="auto"/>
          </w:tcPr>
          <w:p w:rsidR="00F42223" w:rsidRPr="00091230" w:rsidRDefault="00F42223" w:rsidP="0026794C">
            <w:pPr>
              <w:jc w:val="center"/>
              <w:rPr>
                <w:rFonts w:eastAsia="Arial"/>
              </w:rPr>
            </w:pPr>
            <w:r w:rsidRPr="00091230">
              <w:rPr>
                <w:rFonts w:eastAsia="Arial"/>
              </w:rPr>
              <w:t>0,5</w:t>
            </w:r>
          </w:p>
        </w:tc>
      </w:tr>
      <w:tr w:rsidR="00F42223" w:rsidRPr="00091230" w:rsidTr="00810CA9">
        <w:trPr>
          <w:trHeight w:val="20"/>
        </w:trPr>
        <w:tc>
          <w:tcPr>
            <w:tcW w:w="2682" w:type="dxa"/>
            <w:vMerge/>
          </w:tcPr>
          <w:p w:rsidR="00F42223" w:rsidRPr="00091230" w:rsidRDefault="00F42223" w:rsidP="0026794C">
            <w:pPr>
              <w:jc w:val="both"/>
              <w:rPr>
                <w:rFonts w:eastAsia="Arial"/>
              </w:rPr>
            </w:pPr>
          </w:p>
        </w:tc>
        <w:tc>
          <w:tcPr>
            <w:tcW w:w="2842" w:type="dxa"/>
            <w:shd w:val="clear" w:color="auto" w:fill="auto"/>
          </w:tcPr>
          <w:p w:rsidR="00F42223" w:rsidRPr="00091230" w:rsidRDefault="00F42223" w:rsidP="0026794C">
            <w:pPr>
              <w:jc w:val="both"/>
              <w:rPr>
                <w:rFonts w:eastAsia="Arial"/>
              </w:rPr>
            </w:pPr>
            <w:r w:rsidRPr="00091230">
              <w:rPr>
                <w:rFonts w:eastAsia="Arial"/>
              </w:rPr>
              <w:t>Количество штатных единиц среднего персонала</w:t>
            </w:r>
          </w:p>
        </w:tc>
        <w:tc>
          <w:tcPr>
            <w:tcW w:w="1558" w:type="dxa"/>
            <w:shd w:val="clear" w:color="auto" w:fill="auto"/>
          </w:tcPr>
          <w:p w:rsidR="00F42223" w:rsidRPr="00091230" w:rsidRDefault="00F42223" w:rsidP="0026794C">
            <w:pPr>
              <w:jc w:val="center"/>
            </w:pPr>
            <w:r w:rsidRPr="00091230">
              <w:rPr>
                <w:rFonts w:eastAsia="Arial"/>
              </w:rPr>
              <w:t>–</w:t>
            </w:r>
          </w:p>
        </w:tc>
        <w:tc>
          <w:tcPr>
            <w:tcW w:w="1278" w:type="dxa"/>
            <w:shd w:val="clear" w:color="auto" w:fill="auto"/>
          </w:tcPr>
          <w:p w:rsidR="00F42223" w:rsidRPr="00091230" w:rsidRDefault="00F42223" w:rsidP="0026794C">
            <w:pPr>
              <w:jc w:val="center"/>
            </w:pPr>
            <w:r w:rsidRPr="00091230">
              <w:rPr>
                <w:rFonts w:eastAsia="Arial"/>
              </w:rPr>
              <w:t>–</w:t>
            </w:r>
          </w:p>
        </w:tc>
        <w:tc>
          <w:tcPr>
            <w:tcW w:w="1835" w:type="dxa"/>
            <w:shd w:val="clear" w:color="auto" w:fill="auto"/>
          </w:tcPr>
          <w:p w:rsidR="00F42223" w:rsidRPr="00091230" w:rsidRDefault="00F42223" w:rsidP="0026794C">
            <w:pPr>
              <w:jc w:val="center"/>
              <w:rPr>
                <w:rFonts w:eastAsia="Arial"/>
              </w:rPr>
            </w:pPr>
            <w:r w:rsidRPr="00091230">
              <w:rPr>
                <w:rFonts w:eastAsia="Arial"/>
              </w:rPr>
              <w:t>1,0</w:t>
            </w:r>
          </w:p>
        </w:tc>
      </w:tr>
      <w:tr w:rsidR="00F42223" w:rsidRPr="00091230" w:rsidTr="00810CA9">
        <w:trPr>
          <w:trHeight w:val="20"/>
        </w:trPr>
        <w:tc>
          <w:tcPr>
            <w:tcW w:w="2682" w:type="dxa"/>
            <w:vMerge/>
          </w:tcPr>
          <w:p w:rsidR="00F42223" w:rsidRPr="00091230" w:rsidRDefault="00F42223" w:rsidP="0026794C">
            <w:pPr>
              <w:jc w:val="both"/>
              <w:rPr>
                <w:rFonts w:eastAsia="Arial"/>
              </w:rPr>
            </w:pPr>
          </w:p>
        </w:tc>
        <w:tc>
          <w:tcPr>
            <w:tcW w:w="2842" w:type="dxa"/>
            <w:shd w:val="clear" w:color="auto" w:fill="auto"/>
          </w:tcPr>
          <w:p w:rsidR="00F42223" w:rsidRPr="00091230" w:rsidRDefault="00F42223" w:rsidP="0026794C">
            <w:pPr>
              <w:jc w:val="both"/>
              <w:rPr>
                <w:rFonts w:eastAsia="Arial"/>
              </w:rPr>
            </w:pPr>
            <w:r w:rsidRPr="00091230">
              <w:rPr>
                <w:rFonts w:eastAsia="Arial"/>
              </w:rPr>
              <w:t>Количество штатных единиц младшего персонала</w:t>
            </w:r>
          </w:p>
        </w:tc>
        <w:tc>
          <w:tcPr>
            <w:tcW w:w="1558" w:type="dxa"/>
            <w:shd w:val="clear" w:color="auto" w:fill="auto"/>
          </w:tcPr>
          <w:p w:rsidR="00F42223" w:rsidRPr="00091230" w:rsidRDefault="00F42223" w:rsidP="0026794C">
            <w:pPr>
              <w:jc w:val="center"/>
            </w:pPr>
            <w:r w:rsidRPr="00091230">
              <w:rPr>
                <w:rFonts w:eastAsia="Arial"/>
              </w:rPr>
              <w:t>–</w:t>
            </w:r>
          </w:p>
        </w:tc>
        <w:tc>
          <w:tcPr>
            <w:tcW w:w="1278" w:type="dxa"/>
            <w:shd w:val="clear" w:color="auto" w:fill="auto"/>
          </w:tcPr>
          <w:p w:rsidR="00F42223" w:rsidRPr="00091230" w:rsidRDefault="00F42223" w:rsidP="0026794C">
            <w:pPr>
              <w:jc w:val="center"/>
            </w:pPr>
            <w:r w:rsidRPr="00091230">
              <w:rPr>
                <w:rFonts w:eastAsia="Arial"/>
              </w:rPr>
              <w:t>–</w:t>
            </w:r>
          </w:p>
        </w:tc>
        <w:tc>
          <w:tcPr>
            <w:tcW w:w="1835" w:type="dxa"/>
            <w:shd w:val="clear" w:color="auto" w:fill="auto"/>
          </w:tcPr>
          <w:p w:rsidR="00F42223" w:rsidRPr="00091230" w:rsidRDefault="00F42223" w:rsidP="0026794C">
            <w:pPr>
              <w:jc w:val="center"/>
              <w:rPr>
                <w:rFonts w:eastAsia="Arial"/>
              </w:rPr>
            </w:pPr>
            <w:r w:rsidRPr="00091230">
              <w:rPr>
                <w:rFonts w:eastAsia="Arial"/>
              </w:rPr>
              <w:t>0,0</w:t>
            </w:r>
          </w:p>
        </w:tc>
      </w:tr>
      <w:tr w:rsidR="00F42223" w:rsidRPr="00091230" w:rsidTr="00810CA9">
        <w:trPr>
          <w:trHeight w:val="20"/>
        </w:trPr>
        <w:tc>
          <w:tcPr>
            <w:tcW w:w="2682" w:type="dxa"/>
            <w:vMerge w:val="restart"/>
          </w:tcPr>
          <w:p w:rsidR="00F42223" w:rsidRPr="00091230" w:rsidRDefault="00F42223" w:rsidP="0026794C">
            <w:pPr>
              <w:jc w:val="both"/>
              <w:rPr>
                <w:rFonts w:eastAsia="Arial"/>
              </w:rPr>
            </w:pPr>
            <w:r w:rsidRPr="00091230">
              <w:rPr>
                <w:rFonts w:eastAsia="Arial"/>
              </w:rPr>
              <w:t xml:space="preserve">ГАУЗ </w:t>
            </w:r>
            <w:r w:rsidR="002F7358">
              <w:rPr>
                <w:rFonts w:eastAsia="Arial"/>
              </w:rPr>
              <w:t>«</w:t>
            </w:r>
            <w:r w:rsidRPr="00091230">
              <w:rPr>
                <w:rFonts w:eastAsia="Arial"/>
              </w:rPr>
              <w:t>Мамадышская ЦРБ</w:t>
            </w:r>
            <w:r w:rsidR="002F7358">
              <w:rPr>
                <w:rFonts w:eastAsia="Arial"/>
              </w:rPr>
              <w:t>»</w:t>
            </w:r>
          </w:p>
        </w:tc>
        <w:tc>
          <w:tcPr>
            <w:tcW w:w="2842" w:type="dxa"/>
            <w:shd w:val="clear" w:color="auto" w:fill="auto"/>
          </w:tcPr>
          <w:p w:rsidR="00F42223" w:rsidRPr="00091230" w:rsidRDefault="00F42223" w:rsidP="00C55D07">
            <w:pPr>
              <w:jc w:val="both"/>
              <w:rPr>
                <w:rFonts w:eastAsia="Arial"/>
              </w:rPr>
            </w:pPr>
            <w:r w:rsidRPr="00091230">
              <w:rPr>
                <w:rFonts w:eastAsia="Arial"/>
              </w:rPr>
              <w:t>Мощность (ко</w:t>
            </w:r>
            <w:r w:rsidR="00C55D07">
              <w:rPr>
                <w:rFonts w:eastAsia="Arial"/>
              </w:rPr>
              <w:t>ек</w:t>
            </w:r>
            <w:r w:rsidRPr="00091230">
              <w:rPr>
                <w:rFonts w:eastAsia="Arial"/>
              </w:rPr>
              <w:t>, посещений в смену)</w:t>
            </w:r>
          </w:p>
        </w:tc>
        <w:tc>
          <w:tcPr>
            <w:tcW w:w="1558" w:type="dxa"/>
            <w:shd w:val="clear" w:color="auto" w:fill="auto"/>
          </w:tcPr>
          <w:p w:rsidR="00F42223" w:rsidRPr="00091230" w:rsidRDefault="00F42223" w:rsidP="0026794C">
            <w:pPr>
              <w:jc w:val="center"/>
            </w:pPr>
            <w:r w:rsidRPr="00091230">
              <w:rPr>
                <w:rFonts w:eastAsia="Arial"/>
              </w:rPr>
              <w:t>–</w:t>
            </w:r>
          </w:p>
        </w:tc>
        <w:tc>
          <w:tcPr>
            <w:tcW w:w="1278" w:type="dxa"/>
            <w:shd w:val="clear" w:color="auto" w:fill="auto"/>
          </w:tcPr>
          <w:p w:rsidR="00F42223" w:rsidRPr="00091230" w:rsidRDefault="00F42223" w:rsidP="0026794C">
            <w:pPr>
              <w:jc w:val="center"/>
            </w:pPr>
            <w:r w:rsidRPr="00091230">
              <w:rPr>
                <w:rFonts w:eastAsia="Arial"/>
              </w:rPr>
              <w:t>–</w:t>
            </w:r>
          </w:p>
        </w:tc>
        <w:tc>
          <w:tcPr>
            <w:tcW w:w="1835" w:type="dxa"/>
            <w:shd w:val="clear" w:color="auto" w:fill="auto"/>
          </w:tcPr>
          <w:p w:rsidR="00F42223" w:rsidRPr="00091230" w:rsidRDefault="00F42223" w:rsidP="0026794C">
            <w:pPr>
              <w:jc w:val="center"/>
              <w:rPr>
                <w:rFonts w:eastAsia="Arial"/>
              </w:rPr>
            </w:pPr>
            <w:r w:rsidRPr="00091230">
              <w:rPr>
                <w:rFonts w:eastAsia="Arial"/>
              </w:rPr>
              <w:t>15</w:t>
            </w:r>
          </w:p>
        </w:tc>
      </w:tr>
      <w:tr w:rsidR="00F42223" w:rsidRPr="00091230" w:rsidTr="00810CA9">
        <w:trPr>
          <w:trHeight w:val="20"/>
        </w:trPr>
        <w:tc>
          <w:tcPr>
            <w:tcW w:w="2682" w:type="dxa"/>
            <w:vMerge/>
          </w:tcPr>
          <w:p w:rsidR="00F42223" w:rsidRPr="00091230" w:rsidRDefault="00F42223" w:rsidP="0026794C">
            <w:pPr>
              <w:jc w:val="both"/>
              <w:rPr>
                <w:rFonts w:eastAsia="Arial"/>
              </w:rPr>
            </w:pPr>
          </w:p>
        </w:tc>
        <w:tc>
          <w:tcPr>
            <w:tcW w:w="2842" w:type="dxa"/>
            <w:shd w:val="clear" w:color="auto" w:fill="auto"/>
          </w:tcPr>
          <w:p w:rsidR="00F42223" w:rsidRPr="00091230" w:rsidRDefault="00F42223" w:rsidP="0026794C">
            <w:pPr>
              <w:jc w:val="both"/>
              <w:rPr>
                <w:rFonts w:eastAsia="Arial"/>
              </w:rPr>
            </w:pPr>
            <w:r w:rsidRPr="00091230">
              <w:rPr>
                <w:rFonts w:eastAsia="Arial"/>
              </w:rPr>
              <w:t>Количество штатных единиц врачей</w:t>
            </w:r>
          </w:p>
        </w:tc>
        <w:tc>
          <w:tcPr>
            <w:tcW w:w="1558" w:type="dxa"/>
            <w:shd w:val="clear" w:color="auto" w:fill="auto"/>
          </w:tcPr>
          <w:p w:rsidR="00F42223" w:rsidRPr="00091230" w:rsidRDefault="00F42223" w:rsidP="0026794C">
            <w:pPr>
              <w:jc w:val="center"/>
            </w:pPr>
            <w:r w:rsidRPr="00091230">
              <w:rPr>
                <w:rFonts w:eastAsia="Arial"/>
              </w:rPr>
              <w:t>–</w:t>
            </w:r>
          </w:p>
        </w:tc>
        <w:tc>
          <w:tcPr>
            <w:tcW w:w="1278" w:type="dxa"/>
            <w:shd w:val="clear" w:color="auto" w:fill="auto"/>
          </w:tcPr>
          <w:p w:rsidR="00F42223" w:rsidRPr="00091230" w:rsidRDefault="00F42223" w:rsidP="0026794C">
            <w:pPr>
              <w:jc w:val="center"/>
            </w:pPr>
            <w:r w:rsidRPr="00091230">
              <w:rPr>
                <w:rFonts w:eastAsia="Arial"/>
              </w:rPr>
              <w:t>–</w:t>
            </w:r>
          </w:p>
        </w:tc>
        <w:tc>
          <w:tcPr>
            <w:tcW w:w="1835" w:type="dxa"/>
            <w:shd w:val="clear" w:color="auto" w:fill="auto"/>
          </w:tcPr>
          <w:p w:rsidR="00F42223" w:rsidRPr="00091230" w:rsidRDefault="00F42223" w:rsidP="0026794C">
            <w:pPr>
              <w:jc w:val="center"/>
              <w:rPr>
                <w:rFonts w:eastAsia="Arial"/>
              </w:rPr>
            </w:pPr>
            <w:r w:rsidRPr="00091230">
              <w:rPr>
                <w:rFonts w:eastAsia="Arial"/>
              </w:rPr>
              <w:t>0,5</w:t>
            </w:r>
          </w:p>
        </w:tc>
      </w:tr>
      <w:tr w:rsidR="00F42223" w:rsidRPr="00091230" w:rsidTr="00810CA9">
        <w:trPr>
          <w:trHeight w:val="20"/>
        </w:trPr>
        <w:tc>
          <w:tcPr>
            <w:tcW w:w="2682" w:type="dxa"/>
            <w:vMerge/>
          </w:tcPr>
          <w:p w:rsidR="00F42223" w:rsidRPr="00091230" w:rsidRDefault="00F42223" w:rsidP="0026794C">
            <w:pPr>
              <w:jc w:val="both"/>
              <w:rPr>
                <w:rFonts w:eastAsia="Arial"/>
              </w:rPr>
            </w:pPr>
          </w:p>
        </w:tc>
        <w:tc>
          <w:tcPr>
            <w:tcW w:w="2842" w:type="dxa"/>
            <w:shd w:val="clear" w:color="auto" w:fill="auto"/>
          </w:tcPr>
          <w:p w:rsidR="00F42223" w:rsidRPr="00091230" w:rsidRDefault="00F42223" w:rsidP="0026794C">
            <w:pPr>
              <w:jc w:val="both"/>
              <w:rPr>
                <w:rFonts w:eastAsia="Arial"/>
              </w:rPr>
            </w:pPr>
            <w:r w:rsidRPr="00091230">
              <w:rPr>
                <w:rFonts w:eastAsia="Arial"/>
              </w:rPr>
              <w:t>Количество штатных единиц среднего персонала</w:t>
            </w:r>
          </w:p>
        </w:tc>
        <w:tc>
          <w:tcPr>
            <w:tcW w:w="1558" w:type="dxa"/>
            <w:shd w:val="clear" w:color="auto" w:fill="auto"/>
          </w:tcPr>
          <w:p w:rsidR="00F42223" w:rsidRPr="00091230" w:rsidRDefault="00F42223" w:rsidP="0026794C">
            <w:pPr>
              <w:jc w:val="center"/>
            </w:pPr>
            <w:r w:rsidRPr="00091230">
              <w:rPr>
                <w:rFonts w:eastAsia="Arial"/>
              </w:rPr>
              <w:t>–</w:t>
            </w:r>
          </w:p>
        </w:tc>
        <w:tc>
          <w:tcPr>
            <w:tcW w:w="1278" w:type="dxa"/>
            <w:shd w:val="clear" w:color="auto" w:fill="auto"/>
          </w:tcPr>
          <w:p w:rsidR="00F42223" w:rsidRPr="00091230" w:rsidRDefault="00F42223" w:rsidP="0026794C">
            <w:pPr>
              <w:jc w:val="center"/>
            </w:pPr>
            <w:r w:rsidRPr="00091230">
              <w:rPr>
                <w:rFonts w:eastAsia="Arial"/>
              </w:rPr>
              <w:t>–</w:t>
            </w:r>
          </w:p>
        </w:tc>
        <w:tc>
          <w:tcPr>
            <w:tcW w:w="1835" w:type="dxa"/>
            <w:shd w:val="clear" w:color="auto" w:fill="auto"/>
          </w:tcPr>
          <w:p w:rsidR="00F42223" w:rsidRPr="00091230" w:rsidRDefault="00F42223" w:rsidP="0026794C">
            <w:pPr>
              <w:jc w:val="center"/>
              <w:rPr>
                <w:rFonts w:eastAsia="Arial"/>
              </w:rPr>
            </w:pPr>
            <w:r w:rsidRPr="00091230">
              <w:rPr>
                <w:rFonts w:eastAsia="Arial"/>
              </w:rPr>
              <w:t>1,0</w:t>
            </w:r>
          </w:p>
        </w:tc>
      </w:tr>
      <w:tr w:rsidR="00F42223" w:rsidRPr="00091230" w:rsidTr="00810CA9">
        <w:trPr>
          <w:trHeight w:val="20"/>
        </w:trPr>
        <w:tc>
          <w:tcPr>
            <w:tcW w:w="2682" w:type="dxa"/>
            <w:vMerge/>
          </w:tcPr>
          <w:p w:rsidR="00F42223" w:rsidRPr="00091230" w:rsidRDefault="00F42223" w:rsidP="0026794C">
            <w:pPr>
              <w:jc w:val="both"/>
              <w:rPr>
                <w:rFonts w:eastAsia="Arial"/>
              </w:rPr>
            </w:pPr>
          </w:p>
        </w:tc>
        <w:tc>
          <w:tcPr>
            <w:tcW w:w="2842" w:type="dxa"/>
            <w:shd w:val="clear" w:color="auto" w:fill="auto"/>
          </w:tcPr>
          <w:p w:rsidR="00F42223" w:rsidRPr="00091230" w:rsidRDefault="00F42223" w:rsidP="0026794C">
            <w:pPr>
              <w:jc w:val="both"/>
              <w:rPr>
                <w:rFonts w:eastAsia="Arial"/>
              </w:rPr>
            </w:pPr>
            <w:r w:rsidRPr="00091230">
              <w:rPr>
                <w:rFonts w:eastAsia="Arial"/>
              </w:rPr>
              <w:t>Количество штатных единиц младшего персонала</w:t>
            </w:r>
          </w:p>
        </w:tc>
        <w:tc>
          <w:tcPr>
            <w:tcW w:w="1558" w:type="dxa"/>
            <w:shd w:val="clear" w:color="auto" w:fill="auto"/>
          </w:tcPr>
          <w:p w:rsidR="00F42223" w:rsidRPr="00091230" w:rsidRDefault="00F42223" w:rsidP="0026794C">
            <w:pPr>
              <w:jc w:val="center"/>
            </w:pPr>
            <w:r w:rsidRPr="00091230">
              <w:rPr>
                <w:rFonts w:eastAsia="Arial"/>
              </w:rPr>
              <w:t>–</w:t>
            </w:r>
          </w:p>
        </w:tc>
        <w:tc>
          <w:tcPr>
            <w:tcW w:w="1278" w:type="dxa"/>
            <w:shd w:val="clear" w:color="auto" w:fill="auto"/>
          </w:tcPr>
          <w:p w:rsidR="00F42223" w:rsidRPr="00091230" w:rsidRDefault="00F42223" w:rsidP="0026794C">
            <w:pPr>
              <w:jc w:val="center"/>
            </w:pPr>
            <w:r w:rsidRPr="00091230">
              <w:rPr>
                <w:rFonts w:eastAsia="Arial"/>
              </w:rPr>
              <w:t>–</w:t>
            </w:r>
          </w:p>
        </w:tc>
        <w:tc>
          <w:tcPr>
            <w:tcW w:w="1835" w:type="dxa"/>
            <w:shd w:val="clear" w:color="auto" w:fill="auto"/>
          </w:tcPr>
          <w:p w:rsidR="00F42223" w:rsidRPr="00091230" w:rsidRDefault="00F42223" w:rsidP="0026794C">
            <w:pPr>
              <w:jc w:val="center"/>
              <w:rPr>
                <w:rFonts w:eastAsia="Arial"/>
              </w:rPr>
            </w:pPr>
            <w:r w:rsidRPr="00091230">
              <w:rPr>
                <w:rFonts w:eastAsia="Arial"/>
              </w:rPr>
              <w:t>0,0</w:t>
            </w:r>
          </w:p>
        </w:tc>
      </w:tr>
      <w:tr w:rsidR="00F42223" w:rsidRPr="00091230" w:rsidTr="00810CA9">
        <w:trPr>
          <w:trHeight w:val="20"/>
        </w:trPr>
        <w:tc>
          <w:tcPr>
            <w:tcW w:w="2682" w:type="dxa"/>
            <w:vMerge w:val="restart"/>
          </w:tcPr>
          <w:p w:rsidR="00F42223" w:rsidRPr="00091230" w:rsidRDefault="00F42223" w:rsidP="0026794C">
            <w:pPr>
              <w:jc w:val="both"/>
              <w:rPr>
                <w:rFonts w:eastAsia="Arial"/>
              </w:rPr>
            </w:pPr>
            <w:r w:rsidRPr="00091230">
              <w:rPr>
                <w:rFonts w:eastAsia="Arial"/>
              </w:rPr>
              <w:t xml:space="preserve">ГАУЗ </w:t>
            </w:r>
            <w:r w:rsidR="002F7358">
              <w:rPr>
                <w:rFonts w:eastAsia="Arial"/>
              </w:rPr>
              <w:t>«</w:t>
            </w:r>
            <w:r w:rsidRPr="00091230">
              <w:rPr>
                <w:rFonts w:eastAsia="Arial"/>
              </w:rPr>
              <w:t>Зеленодольская ЦРБ</w:t>
            </w:r>
            <w:r w:rsidR="002F7358">
              <w:rPr>
                <w:rFonts w:eastAsia="Arial"/>
              </w:rPr>
              <w:t>»</w:t>
            </w:r>
          </w:p>
        </w:tc>
        <w:tc>
          <w:tcPr>
            <w:tcW w:w="2842" w:type="dxa"/>
            <w:shd w:val="clear" w:color="auto" w:fill="auto"/>
          </w:tcPr>
          <w:p w:rsidR="00F42223" w:rsidRPr="00091230" w:rsidRDefault="00F42223" w:rsidP="00C55D07">
            <w:pPr>
              <w:jc w:val="both"/>
              <w:rPr>
                <w:rFonts w:eastAsia="Arial"/>
              </w:rPr>
            </w:pPr>
            <w:r w:rsidRPr="00091230">
              <w:rPr>
                <w:rFonts w:eastAsia="Arial"/>
              </w:rPr>
              <w:t>Мощность (ко</w:t>
            </w:r>
            <w:r w:rsidR="00C55D07">
              <w:rPr>
                <w:rFonts w:eastAsia="Arial"/>
              </w:rPr>
              <w:t>ек</w:t>
            </w:r>
            <w:r w:rsidRPr="00091230">
              <w:rPr>
                <w:rFonts w:eastAsia="Arial"/>
              </w:rPr>
              <w:t>, посещений в смену)</w:t>
            </w:r>
          </w:p>
        </w:tc>
        <w:tc>
          <w:tcPr>
            <w:tcW w:w="1558" w:type="dxa"/>
            <w:shd w:val="clear" w:color="auto" w:fill="auto"/>
          </w:tcPr>
          <w:p w:rsidR="00F42223" w:rsidRPr="00091230" w:rsidRDefault="00F42223" w:rsidP="0026794C">
            <w:pPr>
              <w:jc w:val="center"/>
            </w:pPr>
            <w:r w:rsidRPr="00091230">
              <w:rPr>
                <w:rFonts w:eastAsia="Arial"/>
              </w:rPr>
              <w:t>–</w:t>
            </w:r>
          </w:p>
        </w:tc>
        <w:tc>
          <w:tcPr>
            <w:tcW w:w="1278" w:type="dxa"/>
            <w:shd w:val="clear" w:color="auto" w:fill="auto"/>
          </w:tcPr>
          <w:p w:rsidR="00F42223" w:rsidRPr="00091230" w:rsidRDefault="00F42223" w:rsidP="0026794C">
            <w:pPr>
              <w:jc w:val="center"/>
            </w:pPr>
            <w:r w:rsidRPr="00091230">
              <w:rPr>
                <w:rFonts w:eastAsia="Arial"/>
              </w:rPr>
              <w:t>–</w:t>
            </w:r>
          </w:p>
        </w:tc>
        <w:tc>
          <w:tcPr>
            <w:tcW w:w="1835" w:type="dxa"/>
            <w:shd w:val="clear" w:color="auto" w:fill="auto"/>
          </w:tcPr>
          <w:p w:rsidR="00F42223" w:rsidRPr="00091230" w:rsidRDefault="00F42223" w:rsidP="0026794C">
            <w:pPr>
              <w:jc w:val="center"/>
              <w:rPr>
                <w:rFonts w:eastAsia="Arial"/>
              </w:rPr>
            </w:pPr>
            <w:r w:rsidRPr="00091230">
              <w:rPr>
                <w:rFonts w:eastAsia="Arial"/>
              </w:rPr>
              <w:t>20</w:t>
            </w:r>
          </w:p>
        </w:tc>
      </w:tr>
      <w:tr w:rsidR="00F42223" w:rsidRPr="00091230" w:rsidTr="00810CA9">
        <w:trPr>
          <w:trHeight w:val="20"/>
        </w:trPr>
        <w:tc>
          <w:tcPr>
            <w:tcW w:w="2682" w:type="dxa"/>
            <w:vMerge/>
          </w:tcPr>
          <w:p w:rsidR="00F42223" w:rsidRPr="00091230" w:rsidRDefault="00F42223" w:rsidP="0026794C">
            <w:pPr>
              <w:jc w:val="both"/>
              <w:rPr>
                <w:rFonts w:eastAsia="Arial"/>
              </w:rPr>
            </w:pPr>
          </w:p>
        </w:tc>
        <w:tc>
          <w:tcPr>
            <w:tcW w:w="2842" w:type="dxa"/>
            <w:shd w:val="clear" w:color="auto" w:fill="auto"/>
          </w:tcPr>
          <w:p w:rsidR="00F42223" w:rsidRPr="00091230" w:rsidRDefault="00F42223" w:rsidP="0026794C">
            <w:pPr>
              <w:jc w:val="both"/>
              <w:rPr>
                <w:rFonts w:eastAsia="Arial"/>
              </w:rPr>
            </w:pPr>
            <w:r w:rsidRPr="00091230">
              <w:rPr>
                <w:rFonts w:eastAsia="Arial"/>
              </w:rPr>
              <w:t>Количество штатных единиц врачей</w:t>
            </w:r>
          </w:p>
        </w:tc>
        <w:tc>
          <w:tcPr>
            <w:tcW w:w="1558" w:type="dxa"/>
            <w:shd w:val="clear" w:color="auto" w:fill="auto"/>
          </w:tcPr>
          <w:p w:rsidR="00F42223" w:rsidRPr="00091230" w:rsidRDefault="00F42223" w:rsidP="0026794C">
            <w:pPr>
              <w:jc w:val="center"/>
            </w:pPr>
            <w:r w:rsidRPr="00091230">
              <w:rPr>
                <w:rFonts w:eastAsia="Arial"/>
              </w:rPr>
              <w:t>–</w:t>
            </w:r>
          </w:p>
        </w:tc>
        <w:tc>
          <w:tcPr>
            <w:tcW w:w="1278" w:type="dxa"/>
            <w:shd w:val="clear" w:color="auto" w:fill="auto"/>
          </w:tcPr>
          <w:p w:rsidR="00F42223" w:rsidRPr="00091230" w:rsidRDefault="00F42223" w:rsidP="0026794C">
            <w:pPr>
              <w:jc w:val="center"/>
            </w:pPr>
            <w:r w:rsidRPr="00091230">
              <w:rPr>
                <w:rFonts w:eastAsia="Arial"/>
              </w:rPr>
              <w:t>–</w:t>
            </w:r>
          </w:p>
        </w:tc>
        <w:tc>
          <w:tcPr>
            <w:tcW w:w="1835" w:type="dxa"/>
            <w:shd w:val="clear" w:color="auto" w:fill="auto"/>
          </w:tcPr>
          <w:p w:rsidR="00F42223" w:rsidRPr="00091230" w:rsidRDefault="00F42223" w:rsidP="0026794C">
            <w:pPr>
              <w:jc w:val="center"/>
              <w:rPr>
                <w:rFonts w:eastAsia="Arial"/>
              </w:rPr>
            </w:pPr>
            <w:r w:rsidRPr="00091230">
              <w:rPr>
                <w:rFonts w:eastAsia="Arial"/>
              </w:rPr>
              <w:t>1,0</w:t>
            </w:r>
          </w:p>
        </w:tc>
      </w:tr>
      <w:tr w:rsidR="00F42223" w:rsidRPr="00091230" w:rsidTr="00810CA9">
        <w:trPr>
          <w:trHeight w:val="20"/>
        </w:trPr>
        <w:tc>
          <w:tcPr>
            <w:tcW w:w="2682" w:type="dxa"/>
            <w:vMerge/>
          </w:tcPr>
          <w:p w:rsidR="00F42223" w:rsidRPr="00091230" w:rsidRDefault="00F42223" w:rsidP="0026794C">
            <w:pPr>
              <w:jc w:val="both"/>
              <w:rPr>
                <w:rFonts w:eastAsia="Arial"/>
              </w:rPr>
            </w:pPr>
          </w:p>
        </w:tc>
        <w:tc>
          <w:tcPr>
            <w:tcW w:w="2842" w:type="dxa"/>
            <w:shd w:val="clear" w:color="auto" w:fill="auto"/>
          </w:tcPr>
          <w:p w:rsidR="00F42223" w:rsidRPr="00091230" w:rsidRDefault="00F42223" w:rsidP="0026794C">
            <w:pPr>
              <w:jc w:val="both"/>
              <w:rPr>
                <w:rFonts w:eastAsia="Arial"/>
              </w:rPr>
            </w:pPr>
            <w:r w:rsidRPr="00091230">
              <w:rPr>
                <w:rFonts w:eastAsia="Arial"/>
              </w:rPr>
              <w:t>Количество штатных единиц среднего персонала</w:t>
            </w:r>
          </w:p>
        </w:tc>
        <w:tc>
          <w:tcPr>
            <w:tcW w:w="1558" w:type="dxa"/>
            <w:shd w:val="clear" w:color="auto" w:fill="auto"/>
          </w:tcPr>
          <w:p w:rsidR="00F42223" w:rsidRPr="00091230" w:rsidRDefault="00F42223" w:rsidP="0026794C">
            <w:pPr>
              <w:jc w:val="center"/>
            </w:pPr>
            <w:r w:rsidRPr="00091230">
              <w:rPr>
                <w:rFonts w:eastAsia="Arial"/>
              </w:rPr>
              <w:t>–</w:t>
            </w:r>
          </w:p>
        </w:tc>
        <w:tc>
          <w:tcPr>
            <w:tcW w:w="1278" w:type="dxa"/>
            <w:shd w:val="clear" w:color="auto" w:fill="auto"/>
          </w:tcPr>
          <w:p w:rsidR="00F42223" w:rsidRPr="00091230" w:rsidRDefault="00F42223" w:rsidP="0026794C">
            <w:pPr>
              <w:jc w:val="center"/>
            </w:pPr>
            <w:r w:rsidRPr="00091230">
              <w:rPr>
                <w:rFonts w:eastAsia="Arial"/>
              </w:rPr>
              <w:t>–</w:t>
            </w:r>
          </w:p>
        </w:tc>
        <w:tc>
          <w:tcPr>
            <w:tcW w:w="1835" w:type="dxa"/>
            <w:shd w:val="clear" w:color="auto" w:fill="auto"/>
          </w:tcPr>
          <w:p w:rsidR="00F42223" w:rsidRPr="00091230" w:rsidRDefault="00F42223" w:rsidP="0026794C">
            <w:pPr>
              <w:jc w:val="center"/>
              <w:rPr>
                <w:rFonts w:eastAsia="Arial"/>
              </w:rPr>
            </w:pPr>
            <w:r w:rsidRPr="00091230">
              <w:rPr>
                <w:rFonts w:eastAsia="Arial"/>
              </w:rPr>
              <w:t>1,0</w:t>
            </w:r>
          </w:p>
        </w:tc>
      </w:tr>
      <w:tr w:rsidR="00F42223" w:rsidRPr="00091230" w:rsidTr="00810CA9">
        <w:trPr>
          <w:trHeight w:val="20"/>
        </w:trPr>
        <w:tc>
          <w:tcPr>
            <w:tcW w:w="2682" w:type="dxa"/>
            <w:vMerge/>
          </w:tcPr>
          <w:p w:rsidR="00F42223" w:rsidRPr="00091230" w:rsidRDefault="00F42223" w:rsidP="0026794C">
            <w:pPr>
              <w:jc w:val="both"/>
              <w:rPr>
                <w:rFonts w:eastAsia="Arial"/>
              </w:rPr>
            </w:pPr>
          </w:p>
        </w:tc>
        <w:tc>
          <w:tcPr>
            <w:tcW w:w="2842" w:type="dxa"/>
            <w:shd w:val="clear" w:color="auto" w:fill="auto"/>
          </w:tcPr>
          <w:p w:rsidR="00F42223" w:rsidRPr="00091230" w:rsidRDefault="00F42223" w:rsidP="0026794C">
            <w:pPr>
              <w:jc w:val="both"/>
              <w:rPr>
                <w:rFonts w:eastAsia="Arial"/>
              </w:rPr>
            </w:pPr>
            <w:r w:rsidRPr="00091230">
              <w:rPr>
                <w:rFonts w:eastAsia="Arial"/>
              </w:rPr>
              <w:t>Количество штатных единиц младшего персонала</w:t>
            </w:r>
          </w:p>
        </w:tc>
        <w:tc>
          <w:tcPr>
            <w:tcW w:w="1558" w:type="dxa"/>
            <w:shd w:val="clear" w:color="auto" w:fill="auto"/>
          </w:tcPr>
          <w:p w:rsidR="00F42223" w:rsidRPr="00091230" w:rsidRDefault="00F42223" w:rsidP="0026794C">
            <w:pPr>
              <w:jc w:val="center"/>
            </w:pPr>
            <w:r w:rsidRPr="00091230">
              <w:rPr>
                <w:rFonts w:eastAsia="Arial"/>
              </w:rPr>
              <w:t>–</w:t>
            </w:r>
          </w:p>
        </w:tc>
        <w:tc>
          <w:tcPr>
            <w:tcW w:w="1278" w:type="dxa"/>
            <w:shd w:val="clear" w:color="auto" w:fill="auto"/>
          </w:tcPr>
          <w:p w:rsidR="00F42223" w:rsidRPr="00091230" w:rsidRDefault="00F42223" w:rsidP="0026794C">
            <w:pPr>
              <w:jc w:val="center"/>
            </w:pPr>
            <w:r w:rsidRPr="00091230">
              <w:rPr>
                <w:rFonts w:eastAsia="Arial"/>
              </w:rPr>
              <w:t>–</w:t>
            </w:r>
          </w:p>
        </w:tc>
        <w:tc>
          <w:tcPr>
            <w:tcW w:w="1835" w:type="dxa"/>
            <w:shd w:val="clear" w:color="auto" w:fill="auto"/>
          </w:tcPr>
          <w:p w:rsidR="00F42223" w:rsidRPr="00091230" w:rsidRDefault="00F42223" w:rsidP="0026794C">
            <w:pPr>
              <w:jc w:val="center"/>
              <w:rPr>
                <w:rFonts w:eastAsia="Arial"/>
              </w:rPr>
            </w:pPr>
            <w:r w:rsidRPr="00091230">
              <w:rPr>
                <w:rFonts w:eastAsia="Arial"/>
              </w:rPr>
              <w:t>0,0</w:t>
            </w:r>
          </w:p>
        </w:tc>
      </w:tr>
      <w:tr w:rsidR="00F42223" w:rsidRPr="00091230" w:rsidTr="00810CA9">
        <w:trPr>
          <w:trHeight w:val="20"/>
        </w:trPr>
        <w:tc>
          <w:tcPr>
            <w:tcW w:w="2682" w:type="dxa"/>
            <w:vMerge w:val="restart"/>
          </w:tcPr>
          <w:p w:rsidR="00F42223" w:rsidRPr="00091230" w:rsidRDefault="00F42223" w:rsidP="0026794C">
            <w:pPr>
              <w:jc w:val="both"/>
              <w:rPr>
                <w:rFonts w:eastAsia="Arial"/>
              </w:rPr>
            </w:pPr>
            <w:r w:rsidRPr="00091230">
              <w:rPr>
                <w:rFonts w:eastAsia="Arial"/>
              </w:rPr>
              <w:t xml:space="preserve">ГАУЗ </w:t>
            </w:r>
            <w:r w:rsidR="002F7358">
              <w:rPr>
                <w:rFonts w:eastAsia="Arial"/>
              </w:rPr>
              <w:t>«</w:t>
            </w:r>
            <w:r w:rsidRPr="00091230">
              <w:rPr>
                <w:rFonts w:eastAsia="Arial"/>
              </w:rPr>
              <w:t>Городская поликлиника № 10</w:t>
            </w:r>
            <w:r w:rsidR="002F7358">
              <w:rPr>
                <w:rFonts w:eastAsia="Arial"/>
              </w:rPr>
              <w:t>»</w:t>
            </w:r>
            <w:r w:rsidRPr="00091230">
              <w:rPr>
                <w:rFonts w:eastAsia="Arial"/>
              </w:rPr>
              <w:t xml:space="preserve"> г.Казани</w:t>
            </w:r>
          </w:p>
        </w:tc>
        <w:tc>
          <w:tcPr>
            <w:tcW w:w="2842" w:type="dxa"/>
            <w:shd w:val="clear" w:color="auto" w:fill="auto"/>
          </w:tcPr>
          <w:p w:rsidR="00F42223" w:rsidRPr="00091230" w:rsidRDefault="00F42223" w:rsidP="00C55D07">
            <w:pPr>
              <w:jc w:val="both"/>
              <w:rPr>
                <w:rFonts w:eastAsia="Arial"/>
              </w:rPr>
            </w:pPr>
            <w:r w:rsidRPr="00091230">
              <w:rPr>
                <w:rFonts w:eastAsia="Arial"/>
              </w:rPr>
              <w:t>Мощность (ко</w:t>
            </w:r>
            <w:r w:rsidR="00C55D07">
              <w:rPr>
                <w:rFonts w:eastAsia="Arial"/>
              </w:rPr>
              <w:t>ек</w:t>
            </w:r>
            <w:r w:rsidRPr="00091230">
              <w:rPr>
                <w:rFonts w:eastAsia="Arial"/>
              </w:rPr>
              <w:t>, посещений в смену)</w:t>
            </w:r>
          </w:p>
        </w:tc>
        <w:tc>
          <w:tcPr>
            <w:tcW w:w="1558" w:type="dxa"/>
            <w:shd w:val="clear" w:color="auto" w:fill="auto"/>
          </w:tcPr>
          <w:p w:rsidR="00F42223" w:rsidRPr="00091230" w:rsidRDefault="00F42223" w:rsidP="0026794C">
            <w:pPr>
              <w:jc w:val="center"/>
            </w:pPr>
            <w:r w:rsidRPr="00091230">
              <w:rPr>
                <w:rFonts w:eastAsia="Arial"/>
              </w:rPr>
              <w:t>–</w:t>
            </w:r>
          </w:p>
        </w:tc>
        <w:tc>
          <w:tcPr>
            <w:tcW w:w="1278" w:type="dxa"/>
            <w:shd w:val="clear" w:color="auto" w:fill="auto"/>
          </w:tcPr>
          <w:p w:rsidR="00F42223" w:rsidRPr="00091230" w:rsidRDefault="00F42223" w:rsidP="0026794C">
            <w:pPr>
              <w:jc w:val="center"/>
            </w:pPr>
            <w:r w:rsidRPr="00091230">
              <w:rPr>
                <w:rFonts w:eastAsia="Arial"/>
              </w:rPr>
              <w:t>–</w:t>
            </w:r>
          </w:p>
        </w:tc>
        <w:tc>
          <w:tcPr>
            <w:tcW w:w="1835" w:type="dxa"/>
            <w:shd w:val="clear" w:color="auto" w:fill="auto"/>
          </w:tcPr>
          <w:p w:rsidR="00F42223" w:rsidRPr="00091230" w:rsidRDefault="00F42223" w:rsidP="0026794C">
            <w:pPr>
              <w:jc w:val="center"/>
              <w:rPr>
                <w:rFonts w:eastAsia="Arial"/>
              </w:rPr>
            </w:pPr>
            <w:r w:rsidRPr="00091230">
              <w:rPr>
                <w:rFonts w:eastAsia="Arial"/>
              </w:rPr>
              <w:t>15</w:t>
            </w:r>
          </w:p>
        </w:tc>
      </w:tr>
      <w:tr w:rsidR="00F42223" w:rsidRPr="00091230" w:rsidTr="00810CA9">
        <w:trPr>
          <w:trHeight w:val="20"/>
        </w:trPr>
        <w:tc>
          <w:tcPr>
            <w:tcW w:w="2682" w:type="dxa"/>
            <w:vMerge/>
          </w:tcPr>
          <w:p w:rsidR="00F42223" w:rsidRPr="00091230" w:rsidRDefault="00F42223" w:rsidP="0026794C">
            <w:pPr>
              <w:jc w:val="both"/>
              <w:rPr>
                <w:rFonts w:eastAsia="Arial"/>
              </w:rPr>
            </w:pPr>
          </w:p>
        </w:tc>
        <w:tc>
          <w:tcPr>
            <w:tcW w:w="2842" w:type="dxa"/>
            <w:shd w:val="clear" w:color="auto" w:fill="auto"/>
          </w:tcPr>
          <w:p w:rsidR="00F42223" w:rsidRPr="00091230" w:rsidRDefault="00F42223" w:rsidP="0026794C">
            <w:pPr>
              <w:jc w:val="both"/>
              <w:rPr>
                <w:rFonts w:eastAsia="Arial"/>
              </w:rPr>
            </w:pPr>
            <w:r w:rsidRPr="00091230">
              <w:rPr>
                <w:rFonts w:eastAsia="Arial"/>
              </w:rPr>
              <w:t>Количество штатных единиц врачей</w:t>
            </w:r>
          </w:p>
        </w:tc>
        <w:tc>
          <w:tcPr>
            <w:tcW w:w="1558" w:type="dxa"/>
            <w:shd w:val="clear" w:color="auto" w:fill="auto"/>
          </w:tcPr>
          <w:p w:rsidR="00F42223" w:rsidRPr="00091230" w:rsidRDefault="00F42223" w:rsidP="0026794C">
            <w:pPr>
              <w:jc w:val="center"/>
            </w:pPr>
            <w:r w:rsidRPr="00091230">
              <w:rPr>
                <w:rFonts w:eastAsia="Arial"/>
              </w:rPr>
              <w:t>–</w:t>
            </w:r>
          </w:p>
        </w:tc>
        <w:tc>
          <w:tcPr>
            <w:tcW w:w="1278" w:type="dxa"/>
            <w:shd w:val="clear" w:color="auto" w:fill="auto"/>
          </w:tcPr>
          <w:p w:rsidR="00F42223" w:rsidRPr="00091230" w:rsidRDefault="00F42223" w:rsidP="0026794C">
            <w:pPr>
              <w:jc w:val="center"/>
            </w:pPr>
            <w:r w:rsidRPr="00091230">
              <w:rPr>
                <w:rFonts w:eastAsia="Arial"/>
              </w:rPr>
              <w:t>–</w:t>
            </w:r>
          </w:p>
        </w:tc>
        <w:tc>
          <w:tcPr>
            <w:tcW w:w="1835" w:type="dxa"/>
            <w:shd w:val="clear" w:color="auto" w:fill="auto"/>
          </w:tcPr>
          <w:p w:rsidR="00F42223" w:rsidRPr="00091230" w:rsidRDefault="00F42223" w:rsidP="0026794C">
            <w:pPr>
              <w:jc w:val="center"/>
              <w:rPr>
                <w:rFonts w:eastAsia="Arial"/>
              </w:rPr>
            </w:pPr>
            <w:r w:rsidRPr="00091230">
              <w:rPr>
                <w:rFonts w:eastAsia="Arial"/>
              </w:rPr>
              <w:t>0,5</w:t>
            </w:r>
          </w:p>
        </w:tc>
      </w:tr>
      <w:tr w:rsidR="00F42223" w:rsidRPr="00091230" w:rsidTr="00810CA9">
        <w:trPr>
          <w:trHeight w:val="20"/>
        </w:trPr>
        <w:tc>
          <w:tcPr>
            <w:tcW w:w="2682" w:type="dxa"/>
            <w:vMerge/>
          </w:tcPr>
          <w:p w:rsidR="00F42223" w:rsidRPr="00091230" w:rsidRDefault="00F42223" w:rsidP="0026794C">
            <w:pPr>
              <w:jc w:val="both"/>
              <w:rPr>
                <w:rFonts w:eastAsia="Arial"/>
              </w:rPr>
            </w:pPr>
          </w:p>
        </w:tc>
        <w:tc>
          <w:tcPr>
            <w:tcW w:w="2842" w:type="dxa"/>
            <w:shd w:val="clear" w:color="auto" w:fill="auto"/>
          </w:tcPr>
          <w:p w:rsidR="00F42223" w:rsidRPr="00091230" w:rsidRDefault="00F42223" w:rsidP="0026794C">
            <w:pPr>
              <w:jc w:val="both"/>
              <w:rPr>
                <w:rFonts w:eastAsia="Arial"/>
              </w:rPr>
            </w:pPr>
            <w:r w:rsidRPr="00091230">
              <w:rPr>
                <w:rFonts w:eastAsia="Arial"/>
              </w:rPr>
              <w:t>Количество штатных единиц среднего персонала</w:t>
            </w:r>
          </w:p>
        </w:tc>
        <w:tc>
          <w:tcPr>
            <w:tcW w:w="1558" w:type="dxa"/>
            <w:shd w:val="clear" w:color="auto" w:fill="auto"/>
          </w:tcPr>
          <w:p w:rsidR="00F42223" w:rsidRPr="00091230" w:rsidRDefault="00F42223" w:rsidP="0026794C">
            <w:pPr>
              <w:jc w:val="center"/>
            </w:pPr>
            <w:r w:rsidRPr="00091230">
              <w:rPr>
                <w:rFonts w:eastAsia="Arial"/>
              </w:rPr>
              <w:t>–</w:t>
            </w:r>
          </w:p>
        </w:tc>
        <w:tc>
          <w:tcPr>
            <w:tcW w:w="1278" w:type="dxa"/>
            <w:shd w:val="clear" w:color="auto" w:fill="auto"/>
          </w:tcPr>
          <w:p w:rsidR="00F42223" w:rsidRPr="00091230" w:rsidRDefault="00F42223" w:rsidP="0026794C">
            <w:pPr>
              <w:jc w:val="center"/>
            </w:pPr>
            <w:r w:rsidRPr="00091230">
              <w:rPr>
                <w:rFonts w:eastAsia="Arial"/>
              </w:rPr>
              <w:t>–</w:t>
            </w:r>
          </w:p>
        </w:tc>
        <w:tc>
          <w:tcPr>
            <w:tcW w:w="1835" w:type="dxa"/>
            <w:shd w:val="clear" w:color="auto" w:fill="auto"/>
          </w:tcPr>
          <w:p w:rsidR="00F42223" w:rsidRPr="00091230" w:rsidRDefault="00F42223" w:rsidP="0026794C">
            <w:pPr>
              <w:jc w:val="center"/>
              <w:rPr>
                <w:rFonts w:eastAsia="Arial"/>
              </w:rPr>
            </w:pPr>
            <w:r w:rsidRPr="00091230">
              <w:rPr>
                <w:rFonts w:eastAsia="Arial"/>
              </w:rPr>
              <w:t>1,0</w:t>
            </w:r>
          </w:p>
        </w:tc>
      </w:tr>
      <w:tr w:rsidR="00F42223" w:rsidRPr="00091230" w:rsidTr="00810CA9">
        <w:trPr>
          <w:trHeight w:val="20"/>
        </w:trPr>
        <w:tc>
          <w:tcPr>
            <w:tcW w:w="2682" w:type="dxa"/>
            <w:vMerge/>
          </w:tcPr>
          <w:p w:rsidR="00F42223" w:rsidRPr="00091230" w:rsidRDefault="00F42223" w:rsidP="0026794C">
            <w:pPr>
              <w:autoSpaceDE/>
              <w:autoSpaceDN/>
              <w:adjustRightInd/>
              <w:jc w:val="both"/>
              <w:rPr>
                <w:rFonts w:eastAsia="Arial"/>
              </w:rPr>
            </w:pPr>
          </w:p>
        </w:tc>
        <w:tc>
          <w:tcPr>
            <w:tcW w:w="2842" w:type="dxa"/>
            <w:shd w:val="clear" w:color="auto" w:fill="auto"/>
          </w:tcPr>
          <w:p w:rsidR="00F42223" w:rsidRPr="00091230" w:rsidRDefault="00F42223" w:rsidP="0026794C">
            <w:pPr>
              <w:jc w:val="both"/>
              <w:rPr>
                <w:rFonts w:eastAsia="Arial"/>
              </w:rPr>
            </w:pPr>
            <w:r w:rsidRPr="00091230">
              <w:rPr>
                <w:rFonts w:eastAsia="Arial"/>
              </w:rPr>
              <w:t>Количество штатных единиц младшего персонала</w:t>
            </w:r>
          </w:p>
        </w:tc>
        <w:tc>
          <w:tcPr>
            <w:tcW w:w="1558" w:type="dxa"/>
            <w:shd w:val="clear" w:color="auto" w:fill="auto"/>
          </w:tcPr>
          <w:p w:rsidR="00F42223" w:rsidRPr="00091230" w:rsidRDefault="00F42223" w:rsidP="0026794C">
            <w:pPr>
              <w:jc w:val="center"/>
            </w:pPr>
            <w:r w:rsidRPr="00091230">
              <w:rPr>
                <w:rFonts w:eastAsia="Arial"/>
              </w:rPr>
              <w:t>–</w:t>
            </w:r>
          </w:p>
        </w:tc>
        <w:tc>
          <w:tcPr>
            <w:tcW w:w="1278" w:type="dxa"/>
            <w:shd w:val="clear" w:color="auto" w:fill="auto"/>
          </w:tcPr>
          <w:p w:rsidR="00F42223" w:rsidRPr="00091230" w:rsidRDefault="00F42223" w:rsidP="0026794C">
            <w:pPr>
              <w:jc w:val="center"/>
            </w:pPr>
            <w:r w:rsidRPr="00091230">
              <w:rPr>
                <w:rFonts w:eastAsia="Arial"/>
              </w:rPr>
              <w:t>–</w:t>
            </w:r>
          </w:p>
        </w:tc>
        <w:tc>
          <w:tcPr>
            <w:tcW w:w="1835" w:type="dxa"/>
            <w:shd w:val="clear" w:color="auto" w:fill="auto"/>
          </w:tcPr>
          <w:p w:rsidR="00F42223" w:rsidRPr="00091230" w:rsidRDefault="00F42223" w:rsidP="0026794C">
            <w:pPr>
              <w:jc w:val="center"/>
              <w:rPr>
                <w:rFonts w:eastAsia="Arial"/>
              </w:rPr>
            </w:pPr>
            <w:r w:rsidRPr="00091230">
              <w:rPr>
                <w:rFonts w:eastAsia="Arial"/>
              </w:rPr>
              <w:t>0,0</w:t>
            </w:r>
          </w:p>
        </w:tc>
      </w:tr>
    </w:tbl>
    <w:p w:rsidR="00E33D6D" w:rsidRDefault="00E33D6D" w:rsidP="00F42223">
      <w:pPr>
        <w:ind w:left="7791" w:firstLine="709"/>
        <w:jc w:val="right"/>
        <w:rPr>
          <w:rFonts w:eastAsia="Arial"/>
          <w:sz w:val="28"/>
          <w:szCs w:val="28"/>
        </w:rPr>
      </w:pPr>
    </w:p>
    <w:p w:rsidR="00F8674D" w:rsidRDefault="00F8674D" w:rsidP="00F42223">
      <w:pPr>
        <w:ind w:left="7791" w:firstLine="709"/>
        <w:jc w:val="right"/>
        <w:rPr>
          <w:rFonts w:eastAsia="Arial"/>
          <w:sz w:val="28"/>
          <w:szCs w:val="28"/>
        </w:rPr>
      </w:pPr>
    </w:p>
    <w:p w:rsidR="00F8674D" w:rsidRDefault="00F8674D" w:rsidP="00F42223">
      <w:pPr>
        <w:ind w:left="7791" w:firstLine="709"/>
        <w:jc w:val="right"/>
        <w:rPr>
          <w:rFonts w:eastAsia="Arial"/>
          <w:sz w:val="28"/>
          <w:szCs w:val="28"/>
        </w:rPr>
      </w:pPr>
    </w:p>
    <w:p w:rsidR="00F8674D" w:rsidRDefault="00F8674D" w:rsidP="00F42223">
      <w:pPr>
        <w:ind w:left="7791" w:firstLine="709"/>
        <w:jc w:val="right"/>
        <w:rPr>
          <w:rFonts w:eastAsia="Arial"/>
          <w:sz w:val="28"/>
          <w:szCs w:val="28"/>
        </w:rPr>
      </w:pPr>
    </w:p>
    <w:p w:rsidR="00F8674D" w:rsidRDefault="00F8674D" w:rsidP="00F42223">
      <w:pPr>
        <w:ind w:left="7791" w:firstLine="709"/>
        <w:jc w:val="right"/>
        <w:rPr>
          <w:rFonts w:eastAsia="Arial"/>
          <w:sz w:val="28"/>
          <w:szCs w:val="28"/>
        </w:rPr>
      </w:pPr>
    </w:p>
    <w:p w:rsidR="00F8674D" w:rsidRDefault="00F8674D" w:rsidP="00F42223">
      <w:pPr>
        <w:ind w:left="7791" w:firstLine="709"/>
        <w:jc w:val="right"/>
        <w:rPr>
          <w:rFonts w:eastAsia="Arial"/>
          <w:sz w:val="28"/>
          <w:szCs w:val="28"/>
        </w:rPr>
      </w:pPr>
    </w:p>
    <w:p w:rsidR="00F42223" w:rsidRDefault="00F42223" w:rsidP="002A78AB">
      <w:pPr>
        <w:ind w:left="7791" w:firstLine="709"/>
        <w:jc w:val="right"/>
        <w:rPr>
          <w:rFonts w:eastAsia="Arial"/>
          <w:sz w:val="28"/>
          <w:szCs w:val="28"/>
        </w:rPr>
      </w:pPr>
      <w:r w:rsidRPr="003511C0">
        <w:rPr>
          <w:rFonts w:eastAsia="Arial"/>
          <w:sz w:val="28"/>
          <w:szCs w:val="28"/>
        </w:rPr>
        <w:t xml:space="preserve">Таблица </w:t>
      </w:r>
      <w:r w:rsidR="00A629C0" w:rsidRPr="003511C0">
        <w:rPr>
          <w:rFonts w:eastAsia="Arial"/>
          <w:sz w:val="28"/>
          <w:szCs w:val="28"/>
        </w:rPr>
        <w:t>22.7</w:t>
      </w:r>
    </w:p>
    <w:p w:rsidR="00F8674D" w:rsidRPr="00091230" w:rsidRDefault="00F8674D" w:rsidP="002A78AB">
      <w:pPr>
        <w:ind w:left="7791" w:firstLine="709"/>
        <w:jc w:val="right"/>
        <w:rPr>
          <w:rFonts w:eastAsia="Arial"/>
          <w:sz w:val="28"/>
          <w:szCs w:val="28"/>
        </w:rPr>
      </w:pPr>
    </w:p>
    <w:p w:rsidR="00F42223" w:rsidRPr="00091230" w:rsidRDefault="00F42223" w:rsidP="00F42223">
      <w:pPr>
        <w:jc w:val="center"/>
        <w:rPr>
          <w:rFonts w:eastAsia="Arial"/>
          <w:sz w:val="28"/>
          <w:szCs w:val="28"/>
        </w:rPr>
      </w:pPr>
      <w:r w:rsidRPr="00091230">
        <w:rPr>
          <w:rFonts w:eastAsia="Arial"/>
          <w:sz w:val="28"/>
          <w:szCs w:val="28"/>
        </w:rPr>
        <w:t xml:space="preserve">Перечень </w:t>
      </w:r>
    </w:p>
    <w:p w:rsidR="00F42223" w:rsidRPr="00091230" w:rsidRDefault="00F42223" w:rsidP="00F42223">
      <w:pPr>
        <w:jc w:val="center"/>
        <w:rPr>
          <w:rFonts w:eastAsia="Arial"/>
          <w:sz w:val="28"/>
          <w:szCs w:val="28"/>
        </w:rPr>
      </w:pPr>
      <w:r w:rsidRPr="00091230">
        <w:rPr>
          <w:rFonts w:eastAsia="Arial"/>
          <w:sz w:val="28"/>
          <w:szCs w:val="28"/>
        </w:rPr>
        <w:t>государственных медицинских организаций, на базе которых открыты</w:t>
      </w:r>
    </w:p>
    <w:p w:rsidR="00F42223" w:rsidRPr="00091230" w:rsidRDefault="00F42223" w:rsidP="00F42223">
      <w:pPr>
        <w:jc w:val="center"/>
        <w:rPr>
          <w:rFonts w:eastAsia="Arial"/>
          <w:sz w:val="28"/>
          <w:szCs w:val="28"/>
        </w:rPr>
      </w:pPr>
      <w:r w:rsidRPr="00091230">
        <w:rPr>
          <w:rFonts w:eastAsia="Arial"/>
          <w:sz w:val="28"/>
          <w:szCs w:val="28"/>
        </w:rPr>
        <w:t>и функционируют в 202</w:t>
      </w:r>
      <w:r w:rsidR="00552F8C">
        <w:rPr>
          <w:rFonts w:eastAsia="Arial"/>
          <w:sz w:val="28"/>
          <w:szCs w:val="28"/>
        </w:rPr>
        <w:t>5</w:t>
      </w:r>
      <w:r w:rsidRPr="00091230">
        <w:rPr>
          <w:rFonts w:eastAsia="Arial"/>
          <w:sz w:val="28"/>
          <w:szCs w:val="28"/>
        </w:rPr>
        <w:t xml:space="preserve"> год</w:t>
      </w:r>
      <w:r w:rsidR="00E742C6">
        <w:rPr>
          <w:rFonts w:eastAsia="Arial"/>
          <w:sz w:val="28"/>
          <w:szCs w:val="28"/>
        </w:rPr>
        <w:t>у</w:t>
      </w:r>
      <w:r w:rsidRPr="00091230">
        <w:rPr>
          <w:rFonts w:eastAsia="Arial"/>
          <w:sz w:val="28"/>
          <w:szCs w:val="28"/>
        </w:rPr>
        <w:t xml:space="preserve"> кабинеты паллиативной медицинской </w:t>
      </w:r>
    </w:p>
    <w:p w:rsidR="00F42223" w:rsidRPr="00091230" w:rsidRDefault="00F42223" w:rsidP="00F42223">
      <w:pPr>
        <w:jc w:val="center"/>
        <w:rPr>
          <w:rFonts w:eastAsia="Arial"/>
          <w:sz w:val="28"/>
          <w:szCs w:val="28"/>
        </w:rPr>
      </w:pPr>
      <w:r w:rsidRPr="00091230">
        <w:rPr>
          <w:rFonts w:eastAsia="Arial"/>
          <w:sz w:val="28"/>
          <w:szCs w:val="28"/>
        </w:rPr>
        <w:t>помощи с выездной патронажной службой</w:t>
      </w:r>
    </w:p>
    <w:p w:rsidR="00F42223" w:rsidRPr="00091230" w:rsidRDefault="00F42223" w:rsidP="00F42223">
      <w:pPr>
        <w:rPr>
          <w:rFonts w:eastAsia="Arial"/>
          <w:sz w:val="28"/>
          <w:szCs w:val="28"/>
        </w:rPr>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540"/>
        <w:gridCol w:w="5766"/>
        <w:gridCol w:w="1650"/>
        <w:gridCol w:w="2239"/>
      </w:tblGrid>
      <w:tr w:rsidR="00F42223" w:rsidRPr="00091230" w:rsidTr="00F8674D">
        <w:trPr>
          <w:trHeight w:val="20"/>
        </w:trPr>
        <w:tc>
          <w:tcPr>
            <w:tcW w:w="540" w:type="dxa"/>
            <w:shd w:val="clear" w:color="auto" w:fill="auto"/>
          </w:tcPr>
          <w:p w:rsidR="00F42223" w:rsidRPr="00091230" w:rsidRDefault="00F42223" w:rsidP="00810CA9">
            <w:pPr>
              <w:jc w:val="center"/>
              <w:rPr>
                <w:rFonts w:eastAsia="Cambria"/>
              </w:rPr>
            </w:pPr>
            <w:r w:rsidRPr="00091230">
              <w:rPr>
                <w:rFonts w:eastAsia="Cambria"/>
              </w:rPr>
              <w:t>№ п/п</w:t>
            </w:r>
          </w:p>
        </w:tc>
        <w:tc>
          <w:tcPr>
            <w:tcW w:w="5766" w:type="dxa"/>
            <w:shd w:val="clear" w:color="auto" w:fill="auto"/>
          </w:tcPr>
          <w:p w:rsidR="00F42223" w:rsidRPr="00091230" w:rsidRDefault="00F42223" w:rsidP="00810CA9">
            <w:pPr>
              <w:jc w:val="center"/>
              <w:rPr>
                <w:rFonts w:eastAsia="Cambria"/>
              </w:rPr>
            </w:pPr>
            <w:r w:rsidRPr="00091230">
              <w:rPr>
                <w:rFonts w:eastAsia="Cambria"/>
              </w:rPr>
              <w:t>Наименование медицинской организации</w:t>
            </w:r>
          </w:p>
        </w:tc>
        <w:tc>
          <w:tcPr>
            <w:tcW w:w="1650" w:type="dxa"/>
            <w:shd w:val="clear" w:color="auto" w:fill="auto"/>
          </w:tcPr>
          <w:p w:rsidR="00F42223" w:rsidRPr="00091230" w:rsidRDefault="00F42223" w:rsidP="00810CA9">
            <w:pPr>
              <w:jc w:val="center"/>
              <w:rPr>
                <w:rFonts w:eastAsia="Cambria"/>
              </w:rPr>
            </w:pPr>
            <w:r w:rsidRPr="00091230">
              <w:rPr>
                <w:rFonts w:eastAsia="Cambria"/>
              </w:rPr>
              <w:t xml:space="preserve">Число кабинетов </w:t>
            </w:r>
            <w:r w:rsidRPr="00091230">
              <w:rPr>
                <w:rFonts w:eastAsia="Arial"/>
              </w:rPr>
              <w:t>паллиативной медицинской помощи</w:t>
            </w:r>
          </w:p>
        </w:tc>
        <w:tc>
          <w:tcPr>
            <w:tcW w:w="2239" w:type="dxa"/>
            <w:shd w:val="clear" w:color="auto" w:fill="auto"/>
          </w:tcPr>
          <w:p w:rsidR="00F42223" w:rsidRPr="00091230" w:rsidRDefault="00F42223" w:rsidP="00810CA9">
            <w:pPr>
              <w:jc w:val="center"/>
              <w:rPr>
                <w:rFonts w:eastAsia="Cambria"/>
              </w:rPr>
            </w:pPr>
            <w:r w:rsidRPr="00091230">
              <w:rPr>
                <w:rFonts w:eastAsia="Cambria"/>
              </w:rPr>
              <w:t>Сроки начала функционирования</w:t>
            </w:r>
          </w:p>
        </w:tc>
      </w:tr>
    </w:tbl>
    <w:p w:rsidR="00F8674D" w:rsidRPr="00F8674D" w:rsidRDefault="00F8674D">
      <w:pPr>
        <w:rPr>
          <w:sz w:val="2"/>
          <w:szCs w:val="2"/>
        </w:rPr>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540"/>
        <w:gridCol w:w="8"/>
        <w:gridCol w:w="5758"/>
        <w:gridCol w:w="1650"/>
        <w:gridCol w:w="2239"/>
      </w:tblGrid>
      <w:tr w:rsidR="00F8674D" w:rsidRPr="00091230" w:rsidTr="00F8674D">
        <w:trPr>
          <w:trHeight w:val="20"/>
          <w:tblHeader/>
        </w:trPr>
        <w:tc>
          <w:tcPr>
            <w:tcW w:w="540" w:type="dxa"/>
            <w:shd w:val="clear" w:color="auto" w:fill="auto"/>
          </w:tcPr>
          <w:p w:rsidR="00F8674D" w:rsidRPr="00091230" w:rsidRDefault="00F8674D" w:rsidP="00810CA9">
            <w:pPr>
              <w:jc w:val="center"/>
              <w:rPr>
                <w:rFonts w:eastAsia="Cambria"/>
              </w:rPr>
            </w:pPr>
            <w:r>
              <w:rPr>
                <w:rFonts w:eastAsia="Cambria"/>
              </w:rPr>
              <w:t>1</w:t>
            </w:r>
          </w:p>
        </w:tc>
        <w:tc>
          <w:tcPr>
            <w:tcW w:w="5766" w:type="dxa"/>
            <w:gridSpan w:val="2"/>
            <w:shd w:val="clear" w:color="auto" w:fill="auto"/>
          </w:tcPr>
          <w:p w:rsidR="00F8674D" w:rsidRPr="00091230" w:rsidRDefault="00F8674D" w:rsidP="00810CA9">
            <w:pPr>
              <w:jc w:val="center"/>
              <w:rPr>
                <w:rFonts w:eastAsia="Cambria"/>
              </w:rPr>
            </w:pPr>
            <w:r>
              <w:rPr>
                <w:rFonts w:eastAsia="Cambria"/>
              </w:rPr>
              <w:t>2</w:t>
            </w:r>
          </w:p>
        </w:tc>
        <w:tc>
          <w:tcPr>
            <w:tcW w:w="1650" w:type="dxa"/>
            <w:shd w:val="clear" w:color="auto" w:fill="auto"/>
          </w:tcPr>
          <w:p w:rsidR="00F8674D" w:rsidRPr="00091230" w:rsidRDefault="00F8674D" w:rsidP="00810CA9">
            <w:pPr>
              <w:jc w:val="center"/>
              <w:rPr>
                <w:rFonts w:eastAsia="Cambria"/>
              </w:rPr>
            </w:pPr>
            <w:r>
              <w:rPr>
                <w:rFonts w:eastAsia="Cambria"/>
              </w:rPr>
              <w:t>3</w:t>
            </w:r>
          </w:p>
        </w:tc>
        <w:tc>
          <w:tcPr>
            <w:tcW w:w="2239" w:type="dxa"/>
            <w:shd w:val="clear" w:color="auto" w:fill="auto"/>
          </w:tcPr>
          <w:p w:rsidR="00F8674D" w:rsidRPr="00091230" w:rsidRDefault="00F8674D" w:rsidP="00810CA9">
            <w:pPr>
              <w:jc w:val="center"/>
              <w:rPr>
                <w:rFonts w:eastAsia="Cambria"/>
              </w:rPr>
            </w:pPr>
            <w:r>
              <w:rPr>
                <w:rFonts w:eastAsia="Cambria"/>
              </w:rPr>
              <w:t>4</w:t>
            </w:r>
          </w:p>
        </w:tc>
      </w:tr>
      <w:tr w:rsidR="00F42223" w:rsidRPr="00F8674D" w:rsidTr="00F8674D">
        <w:tblPrEx>
          <w:tblBorders>
            <w:bottom w:val="single" w:sz="4" w:space="0" w:color="auto"/>
          </w:tblBorders>
          <w:tblCellMar>
            <w:top w:w="17" w:type="dxa"/>
            <w:bottom w:w="17" w:type="dxa"/>
          </w:tblCellMar>
        </w:tblPrEx>
        <w:trPr>
          <w:trHeight w:val="20"/>
        </w:trPr>
        <w:tc>
          <w:tcPr>
            <w:tcW w:w="540" w:type="dxa"/>
            <w:shd w:val="clear" w:color="auto" w:fill="auto"/>
          </w:tcPr>
          <w:p w:rsidR="00F42223" w:rsidRPr="00F8674D" w:rsidRDefault="00887958" w:rsidP="00F8674D">
            <w:pPr>
              <w:jc w:val="center"/>
              <w:rPr>
                <w:rFonts w:eastAsia="Cambria"/>
              </w:rPr>
            </w:pPr>
            <w:r w:rsidRPr="00F8674D">
              <w:rPr>
                <w:rFonts w:eastAsia="Cambria"/>
              </w:rPr>
              <w:t>1</w:t>
            </w:r>
            <w:r w:rsidR="00A33AEC" w:rsidRPr="00F8674D">
              <w:rPr>
                <w:rFonts w:eastAsia="Cambria"/>
              </w:rPr>
              <w:t>.</w:t>
            </w:r>
          </w:p>
        </w:tc>
        <w:tc>
          <w:tcPr>
            <w:tcW w:w="5766" w:type="dxa"/>
            <w:gridSpan w:val="2"/>
            <w:shd w:val="clear" w:color="auto" w:fill="auto"/>
          </w:tcPr>
          <w:p w:rsidR="00F42223" w:rsidRPr="00F8674D" w:rsidRDefault="00F42223" w:rsidP="00F8674D">
            <w:pPr>
              <w:jc w:val="both"/>
              <w:rPr>
                <w:rFonts w:eastAsia="Cambria"/>
              </w:rPr>
            </w:pPr>
            <w:r w:rsidRPr="00F8674D">
              <w:rPr>
                <w:rFonts w:eastAsia="Cambria"/>
              </w:rPr>
              <w:t xml:space="preserve">ГАУЗ </w:t>
            </w:r>
            <w:r w:rsidR="002F7358" w:rsidRPr="00F8674D">
              <w:rPr>
                <w:rFonts w:eastAsia="Cambria"/>
              </w:rPr>
              <w:t>«</w:t>
            </w:r>
            <w:r w:rsidRPr="00F8674D">
              <w:rPr>
                <w:rFonts w:eastAsia="Cambria"/>
              </w:rPr>
              <w:t>Буинская ЦРБ</w:t>
            </w:r>
            <w:r w:rsidR="002F7358" w:rsidRPr="00F8674D">
              <w:rPr>
                <w:rFonts w:eastAsia="Cambria"/>
              </w:rPr>
              <w:t>»</w:t>
            </w:r>
          </w:p>
        </w:tc>
        <w:tc>
          <w:tcPr>
            <w:tcW w:w="1650" w:type="dxa"/>
            <w:shd w:val="clear" w:color="auto" w:fill="auto"/>
          </w:tcPr>
          <w:p w:rsidR="00F42223" w:rsidRPr="00F8674D" w:rsidRDefault="00F42223" w:rsidP="00F8674D">
            <w:pPr>
              <w:jc w:val="center"/>
              <w:rPr>
                <w:rFonts w:eastAsia="Cambria"/>
              </w:rPr>
            </w:pPr>
            <w:r w:rsidRPr="00F8674D">
              <w:rPr>
                <w:rFonts w:eastAsia="Cambria"/>
              </w:rPr>
              <w:t>1</w:t>
            </w:r>
          </w:p>
        </w:tc>
        <w:tc>
          <w:tcPr>
            <w:tcW w:w="2239" w:type="dxa"/>
            <w:shd w:val="clear" w:color="auto" w:fill="auto"/>
          </w:tcPr>
          <w:p w:rsidR="00F42223" w:rsidRPr="00F8674D" w:rsidRDefault="00F42223" w:rsidP="00F8674D">
            <w:pPr>
              <w:jc w:val="center"/>
              <w:rPr>
                <w:rFonts w:eastAsia="Cambria"/>
              </w:rPr>
            </w:pPr>
            <w:r w:rsidRPr="00F8674D">
              <w:rPr>
                <w:rFonts w:eastAsia="Cambria"/>
              </w:rPr>
              <w:t xml:space="preserve">с </w:t>
            </w:r>
            <w:r w:rsidR="00887958" w:rsidRPr="00F8674D">
              <w:rPr>
                <w:rFonts w:eastAsia="Cambria"/>
              </w:rPr>
              <w:t>01</w:t>
            </w:r>
            <w:r w:rsidR="00C93DB4" w:rsidRPr="00F8674D">
              <w:rPr>
                <w:rFonts w:eastAsia="Cambria"/>
              </w:rPr>
              <w:t>.</w:t>
            </w:r>
            <w:r w:rsidR="00887958" w:rsidRPr="00F8674D">
              <w:rPr>
                <w:rFonts w:eastAsia="Cambria"/>
              </w:rPr>
              <w:t>08</w:t>
            </w:r>
            <w:r w:rsidR="00C93DB4" w:rsidRPr="00F8674D">
              <w:rPr>
                <w:rFonts w:eastAsia="Cambria"/>
              </w:rPr>
              <w:t>.</w:t>
            </w:r>
            <w:r w:rsidRPr="00F8674D">
              <w:rPr>
                <w:rFonts w:eastAsia="Cambria"/>
              </w:rPr>
              <w:t>2020</w:t>
            </w:r>
          </w:p>
        </w:tc>
      </w:tr>
      <w:tr w:rsidR="00F42223" w:rsidRPr="00F8674D" w:rsidTr="00F8674D">
        <w:tblPrEx>
          <w:tblBorders>
            <w:bottom w:val="single" w:sz="4" w:space="0" w:color="auto"/>
          </w:tblBorders>
          <w:tblCellMar>
            <w:top w:w="17" w:type="dxa"/>
            <w:bottom w:w="17" w:type="dxa"/>
          </w:tblCellMar>
        </w:tblPrEx>
        <w:trPr>
          <w:trHeight w:val="20"/>
        </w:trPr>
        <w:tc>
          <w:tcPr>
            <w:tcW w:w="540" w:type="dxa"/>
            <w:shd w:val="clear" w:color="auto" w:fill="auto"/>
          </w:tcPr>
          <w:p w:rsidR="00F42223" w:rsidRPr="00F8674D" w:rsidRDefault="00887958" w:rsidP="00F8674D">
            <w:pPr>
              <w:jc w:val="center"/>
              <w:rPr>
                <w:rFonts w:eastAsia="Cambria"/>
              </w:rPr>
            </w:pPr>
            <w:r w:rsidRPr="00F8674D">
              <w:rPr>
                <w:rFonts w:eastAsia="Cambria"/>
              </w:rPr>
              <w:t>2</w:t>
            </w:r>
            <w:r w:rsidR="00A33AEC" w:rsidRPr="00F8674D">
              <w:rPr>
                <w:rFonts w:eastAsia="Cambria"/>
              </w:rPr>
              <w:t>.</w:t>
            </w:r>
          </w:p>
        </w:tc>
        <w:tc>
          <w:tcPr>
            <w:tcW w:w="5766" w:type="dxa"/>
            <w:gridSpan w:val="2"/>
            <w:shd w:val="clear" w:color="auto" w:fill="auto"/>
          </w:tcPr>
          <w:p w:rsidR="00F42223" w:rsidRPr="00F8674D" w:rsidRDefault="00F42223" w:rsidP="00F8674D">
            <w:pPr>
              <w:jc w:val="both"/>
              <w:rPr>
                <w:rFonts w:eastAsia="Cambria"/>
              </w:rPr>
            </w:pPr>
            <w:r w:rsidRPr="00F8674D">
              <w:rPr>
                <w:rFonts w:eastAsia="Cambria"/>
              </w:rPr>
              <w:t xml:space="preserve">ГАУЗ </w:t>
            </w:r>
            <w:r w:rsidR="002F7358" w:rsidRPr="00F8674D">
              <w:rPr>
                <w:rFonts w:eastAsia="Cambria"/>
              </w:rPr>
              <w:t>«</w:t>
            </w:r>
            <w:r w:rsidRPr="00F8674D">
              <w:rPr>
                <w:rFonts w:eastAsia="Cambria"/>
              </w:rPr>
              <w:t>Азнакаевская ЦРБ</w:t>
            </w:r>
            <w:r w:rsidR="002F7358" w:rsidRPr="00F8674D">
              <w:rPr>
                <w:rFonts w:eastAsia="Cambria"/>
              </w:rPr>
              <w:t>»</w:t>
            </w:r>
          </w:p>
        </w:tc>
        <w:tc>
          <w:tcPr>
            <w:tcW w:w="1650" w:type="dxa"/>
            <w:shd w:val="clear" w:color="auto" w:fill="auto"/>
          </w:tcPr>
          <w:p w:rsidR="00F42223" w:rsidRPr="00F8674D" w:rsidRDefault="00F42223" w:rsidP="00F8674D">
            <w:pPr>
              <w:jc w:val="center"/>
              <w:rPr>
                <w:rFonts w:eastAsia="Cambria"/>
              </w:rPr>
            </w:pPr>
            <w:r w:rsidRPr="00F8674D">
              <w:rPr>
                <w:rFonts w:eastAsia="Cambria"/>
              </w:rPr>
              <w:t>1</w:t>
            </w:r>
          </w:p>
        </w:tc>
        <w:tc>
          <w:tcPr>
            <w:tcW w:w="2239" w:type="dxa"/>
            <w:shd w:val="clear" w:color="auto" w:fill="auto"/>
          </w:tcPr>
          <w:p w:rsidR="00F42223" w:rsidRPr="00F8674D" w:rsidRDefault="00F42223" w:rsidP="00F8674D">
            <w:pPr>
              <w:jc w:val="center"/>
              <w:rPr>
                <w:rFonts w:eastAsia="Cambria"/>
              </w:rPr>
            </w:pPr>
            <w:r w:rsidRPr="00F8674D">
              <w:rPr>
                <w:rFonts w:eastAsia="Cambria"/>
              </w:rPr>
              <w:t xml:space="preserve">с </w:t>
            </w:r>
            <w:r w:rsidR="00887958" w:rsidRPr="00F8674D">
              <w:rPr>
                <w:rFonts w:eastAsia="Cambria"/>
              </w:rPr>
              <w:t>01</w:t>
            </w:r>
            <w:r w:rsidR="00C93DB4" w:rsidRPr="00F8674D">
              <w:rPr>
                <w:rFonts w:eastAsia="Cambria"/>
              </w:rPr>
              <w:t>.</w:t>
            </w:r>
            <w:r w:rsidR="00887958" w:rsidRPr="00F8674D">
              <w:rPr>
                <w:rFonts w:eastAsia="Cambria"/>
              </w:rPr>
              <w:t>08</w:t>
            </w:r>
            <w:r w:rsidR="00C93DB4" w:rsidRPr="00F8674D">
              <w:rPr>
                <w:rFonts w:eastAsia="Cambria"/>
              </w:rPr>
              <w:t>.</w:t>
            </w:r>
            <w:r w:rsidRPr="00F8674D">
              <w:rPr>
                <w:rFonts w:eastAsia="Cambria"/>
              </w:rPr>
              <w:t>2020</w:t>
            </w:r>
          </w:p>
        </w:tc>
      </w:tr>
      <w:tr w:rsidR="00F42223" w:rsidRPr="00F8674D" w:rsidTr="00F8674D">
        <w:tblPrEx>
          <w:tblBorders>
            <w:bottom w:val="single" w:sz="4" w:space="0" w:color="auto"/>
          </w:tblBorders>
          <w:tblCellMar>
            <w:top w:w="17" w:type="dxa"/>
            <w:bottom w:w="17" w:type="dxa"/>
          </w:tblCellMar>
        </w:tblPrEx>
        <w:trPr>
          <w:trHeight w:val="20"/>
        </w:trPr>
        <w:tc>
          <w:tcPr>
            <w:tcW w:w="540" w:type="dxa"/>
            <w:shd w:val="clear" w:color="auto" w:fill="auto"/>
          </w:tcPr>
          <w:p w:rsidR="00F42223" w:rsidRPr="00F8674D" w:rsidRDefault="00887958" w:rsidP="00F8674D">
            <w:pPr>
              <w:jc w:val="center"/>
              <w:rPr>
                <w:rFonts w:eastAsia="Cambria"/>
              </w:rPr>
            </w:pPr>
            <w:r w:rsidRPr="00F8674D">
              <w:rPr>
                <w:rFonts w:eastAsia="Cambria"/>
              </w:rPr>
              <w:t>3</w:t>
            </w:r>
            <w:r w:rsidR="00A33AEC" w:rsidRPr="00F8674D">
              <w:rPr>
                <w:rFonts w:eastAsia="Cambria"/>
              </w:rPr>
              <w:t>.</w:t>
            </w:r>
          </w:p>
        </w:tc>
        <w:tc>
          <w:tcPr>
            <w:tcW w:w="5766" w:type="dxa"/>
            <w:gridSpan w:val="2"/>
            <w:shd w:val="clear" w:color="auto" w:fill="auto"/>
          </w:tcPr>
          <w:p w:rsidR="00F42223" w:rsidRPr="00F8674D" w:rsidRDefault="00F42223" w:rsidP="00F8674D">
            <w:pPr>
              <w:jc w:val="both"/>
              <w:rPr>
                <w:rFonts w:eastAsia="Cambria"/>
              </w:rPr>
            </w:pPr>
            <w:r w:rsidRPr="00F8674D">
              <w:rPr>
                <w:rFonts w:eastAsia="Cambria"/>
              </w:rPr>
              <w:t xml:space="preserve">ГАУЗ </w:t>
            </w:r>
            <w:r w:rsidR="002F7358" w:rsidRPr="00F8674D">
              <w:rPr>
                <w:rFonts w:eastAsia="Cambria"/>
              </w:rPr>
              <w:t>«</w:t>
            </w:r>
            <w:r w:rsidRPr="00F8674D">
              <w:rPr>
                <w:rFonts w:eastAsia="Cambria"/>
              </w:rPr>
              <w:t>Чистопольская ЦРБ</w:t>
            </w:r>
            <w:r w:rsidR="002F7358" w:rsidRPr="00F8674D">
              <w:rPr>
                <w:rFonts w:eastAsia="Cambria"/>
              </w:rPr>
              <w:t>»</w:t>
            </w:r>
          </w:p>
        </w:tc>
        <w:tc>
          <w:tcPr>
            <w:tcW w:w="1650" w:type="dxa"/>
            <w:shd w:val="clear" w:color="auto" w:fill="auto"/>
          </w:tcPr>
          <w:p w:rsidR="00F42223" w:rsidRPr="00F8674D" w:rsidRDefault="00F42223" w:rsidP="00F8674D">
            <w:pPr>
              <w:jc w:val="center"/>
              <w:rPr>
                <w:rFonts w:eastAsia="Cambria"/>
              </w:rPr>
            </w:pPr>
            <w:r w:rsidRPr="00F8674D">
              <w:rPr>
                <w:rFonts w:eastAsia="Cambria"/>
              </w:rPr>
              <w:t>1</w:t>
            </w:r>
          </w:p>
        </w:tc>
        <w:tc>
          <w:tcPr>
            <w:tcW w:w="2239" w:type="dxa"/>
            <w:shd w:val="clear" w:color="auto" w:fill="auto"/>
          </w:tcPr>
          <w:p w:rsidR="00F42223" w:rsidRPr="00F8674D" w:rsidRDefault="00F42223" w:rsidP="00F8674D">
            <w:pPr>
              <w:jc w:val="center"/>
              <w:rPr>
                <w:rFonts w:eastAsia="Cambria"/>
              </w:rPr>
            </w:pPr>
            <w:r w:rsidRPr="00F8674D">
              <w:rPr>
                <w:rFonts w:eastAsia="Cambria"/>
              </w:rPr>
              <w:t xml:space="preserve">с </w:t>
            </w:r>
            <w:r w:rsidR="00887958" w:rsidRPr="00F8674D">
              <w:rPr>
                <w:rFonts w:eastAsia="Cambria"/>
              </w:rPr>
              <w:t>01</w:t>
            </w:r>
            <w:r w:rsidR="00C93DB4" w:rsidRPr="00F8674D">
              <w:rPr>
                <w:rFonts w:eastAsia="Cambria"/>
              </w:rPr>
              <w:t>.</w:t>
            </w:r>
            <w:r w:rsidR="00887958" w:rsidRPr="00F8674D">
              <w:rPr>
                <w:rFonts w:eastAsia="Cambria"/>
              </w:rPr>
              <w:t>08</w:t>
            </w:r>
            <w:r w:rsidR="00C93DB4" w:rsidRPr="00F8674D">
              <w:rPr>
                <w:rFonts w:eastAsia="Cambria"/>
              </w:rPr>
              <w:t>.</w:t>
            </w:r>
            <w:r w:rsidRPr="00F8674D">
              <w:rPr>
                <w:rFonts w:eastAsia="Cambria"/>
              </w:rPr>
              <w:t>2020</w:t>
            </w:r>
          </w:p>
        </w:tc>
      </w:tr>
      <w:tr w:rsidR="00F42223" w:rsidRPr="00F8674D" w:rsidTr="00F8674D">
        <w:tblPrEx>
          <w:tblBorders>
            <w:bottom w:val="single" w:sz="4" w:space="0" w:color="auto"/>
          </w:tblBorders>
          <w:tblCellMar>
            <w:top w:w="17" w:type="dxa"/>
            <w:bottom w:w="17" w:type="dxa"/>
          </w:tblCellMar>
        </w:tblPrEx>
        <w:trPr>
          <w:trHeight w:val="20"/>
        </w:trPr>
        <w:tc>
          <w:tcPr>
            <w:tcW w:w="540" w:type="dxa"/>
            <w:shd w:val="clear" w:color="auto" w:fill="auto"/>
          </w:tcPr>
          <w:p w:rsidR="00F42223" w:rsidRPr="00F8674D" w:rsidRDefault="00887958" w:rsidP="00F8674D">
            <w:pPr>
              <w:jc w:val="center"/>
              <w:rPr>
                <w:rFonts w:eastAsia="Cambria"/>
              </w:rPr>
            </w:pPr>
            <w:r w:rsidRPr="00F8674D">
              <w:rPr>
                <w:rFonts w:eastAsia="Cambria"/>
              </w:rPr>
              <w:t>4</w:t>
            </w:r>
            <w:r w:rsidR="00A33AEC" w:rsidRPr="00F8674D">
              <w:rPr>
                <w:rFonts w:eastAsia="Cambria"/>
              </w:rPr>
              <w:t>.</w:t>
            </w:r>
          </w:p>
        </w:tc>
        <w:tc>
          <w:tcPr>
            <w:tcW w:w="5766" w:type="dxa"/>
            <w:gridSpan w:val="2"/>
            <w:shd w:val="clear" w:color="auto" w:fill="auto"/>
          </w:tcPr>
          <w:p w:rsidR="00F42223" w:rsidRPr="00F8674D" w:rsidRDefault="00F42223" w:rsidP="00F8674D">
            <w:pPr>
              <w:jc w:val="both"/>
              <w:rPr>
                <w:rFonts w:eastAsia="Cambria"/>
              </w:rPr>
            </w:pPr>
            <w:r w:rsidRPr="00F8674D">
              <w:rPr>
                <w:rFonts w:eastAsia="Cambria"/>
              </w:rPr>
              <w:t xml:space="preserve">ГАУЗ </w:t>
            </w:r>
            <w:r w:rsidR="002F7358" w:rsidRPr="00F8674D">
              <w:rPr>
                <w:rFonts w:eastAsia="Cambria"/>
              </w:rPr>
              <w:t>«</w:t>
            </w:r>
            <w:r w:rsidRPr="00F8674D">
              <w:rPr>
                <w:rFonts w:eastAsia="Cambria"/>
              </w:rPr>
              <w:t>Кукморская ЦРБ</w:t>
            </w:r>
            <w:r w:rsidR="002F7358" w:rsidRPr="00F8674D">
              <w:rPr>
                <w:rFonts w:eastAsia="Cambria"/>
              </w:rPr>
              <w:t>»</w:t>
            </w:r>
          </w:p>
        </w:tc>
        <w:tc>
          <w:tcPr>
            <w:tcW w:w="1650" w:type="dxa"/>
            <w:shd w:val="clear" w:color="auto" w:fill="auto"/>
          </w:tcPr>
          <w:p w:rsidR="00F42223" w:rsidRPr="00F8674D" w:rsidRDefault="00F42223" w:rsidP="00F8674D">
            <w:pPr>
              <w:jc w:val="center"/>
              <w:rPr>
                <w:rFonts w:eastAsia="Cambria"/>
              </w:rPr>
            </w:pPr>
            <w:r w:rsidRPr="00F8674D">
              <w:rPr>
                <w:rFonts w:eastAsia="Cambria"/>
              </w:rPr>
              <w:t>1</w:t>
            </w:r>
          </w:p>
        </w:tc>
        <w:tc>
          <w:tcPr>
            <w:tcW w:w="2239" w:type="dxa"/>
            <w:shd w:val="clear" w:color="auto" w:fill="auto"/>
          </w:tcPr>
          <w:p w:rsidR="00F42223" w:rsidRPr="00F8674D" w:rsidRDefault="00F42223" w:rsidP="00F8674D">
            <w:pPr>
              <w:jc w:val="center"/>
              <w:rPr>
                <w:rFonts w:eastAsia="Cambria"/>
              </w:rPr>
            </w:pPr>
            <w:r w:rsidRPr="00F8674D">
              <w:rPr>
                <w:rFonts w:eastAsia="Cambria"/>
              </w:rPr>
              <w:t xml:space="preserve">с </w:t>
            </w:r>
            <w:r w:rsidR="00887958" w:rsidRPr="00F8674D">
              <w:rPr>
                <w:rFonts w:eastAsia="Cambria"/>
              </w:rPr>
              <w:t>01</w:t>
            </w:r>
            <w:r w:rsidR="00C93DB4" w:rsidRPr="00F8674D">
              <w:rPr>
                <w:rFonts w:eastAsia="Cambria"/>
              </w:rPr>
              <w:t>.</w:t>
            </w:r>
            <w:r w:rsidR="00887958" w:rsidRPr="00F8674D">
              <w:rPr>
                <w:rFonts w:eastAsia="Cambria"/>
              </w:rPr>
              <w:t>08</w:t>
            </w:r>
            <w:r w:rsidR="00C93DB4" w:rsidRPr="00F8674D">
              <w:rPr>
                <w:rFonts w:eastAsia="Cambria"/>
              </w:rPr>
              <w:t>.</w:t>
            </w:r>
            <w:r w:rsidRPr="00F8674D">
              <w:rPr>
                <w:rFonts w:eastAsia="Cambria"/>
              </w:rPr>
              <w:t>2020</w:t>
            </w:r>
          </w:p>
        </w:tc>
      </w:tr>
      <w:tr w:rsidR="00F42223" w:rsidRPr="00F8674D" w:rsidTr="00F8674D">
        <w:tblPrEx>
          <w:tblBorders>
            <w:bottom w:val="single" w:sz="4" w:space="0" w:color="auto"/>
          </w:tblBorders>
          <w:tblCellMar>
            <w:top w:w="17" w:type="dxa"/>
            <w:bottom w:w="17" w:type="dxa"/>
          </w:tblCellMar>
        </w:tblPrEx>
        <w:trPr>
          <w:trHeight w:val="20"/>
        </w:trPr>
        <w:tc>
          <w:tcPr>
            <w:tcW w:w="540" w:type="dxa"/>
            <w:shd w:val="clear" w:color="auto" w:fill="auto"/>
          </w:tcPr>
          <w:p w:rsidR="00F42223" w:rsidRPr="00F8674D" w:rsidRDefault="00887958" w:rsidP="00F8674D">
            <w:pPr>
              <w:jc w:val="center"/>
              <w:rPr>
                <w:rFonts w:eastAsia="Cambria"/>
              </w:rPr>
            </w:pPr>
            <w:r w:rsidRPr="00F8674D">
              <w:rPr>
                <w:rFonts w:eastAsia="Cambria"/>
              </w:rPr>
              <w:t>5</w:t>
            </w:r>
            <w:r w:rsidR="00A33AEC" w:rsidRPr="00F8674D">
              <w:rPr>
                <w:rFonts w:eastAsia="Cambria"/>
              </w:rPr>
              <w:t>.</w:t>
            </w:r>
          </w:p>
        </w:tc>
        <w:tc>
          <w:tcPr>
            <w:tcW w:w="5766" w:type="dxa"/>
            <w:gridSpan w:val="2"/>
            <w:shd w:val="clear" w:color="auto" w:fill="auto"/>
          </w:tcPr>
          <w:p w:rsidR="00F42223" w:rsidRPr="00F8674D" w:rsidRDefault="00F42223" w:rsidP="00F8674D">
            <w:pPr>
              <w:jc w:val="both"/>
              <w:rPr>
                <w:rFonts w:eastAsia="Cambria"/>
              </w:rPr>
            </w:pPr>
            <w:r w:rsidRPr="00F8674D">
              <w:rPr>
                <w:rFonts w:eastAsia="Cambria"/>
              </w:rPr>
              <w:t xml:space="preserve">ГАУЗ </w:t>
            </w:r>
            <w:r w:rsidR="002F7358" w:rsidRPr="00F8674D">
              <w:rPr>
                <w:rFonts w:eastAsia="Cambria"/>
              </w:rPr>
              <w:t>«</w:t>
            </w:r>
            <w:r w:rsidRPr="00F8674D">
              <w:rPr>
                <w:rFonts w:eastAsia="Cambria"/>
              </w:rPr>
              <w:t>Сабинская ЦРБ</w:t>
            </w:r>
            <w:r w:rsidR="002F7358" w:rsidRPr="00F8674D">
              <w:rPr>
                <w:rFonts w:eastAsia="Cambria"/>
              </w:rPr>
              <w:t>»</w:t>
            </w:r>
          </w:p>
        </w:tc>
        <w:tc>
          <w:tcPr>
            <w:tcW w:w="1650" w:type="dxa"/>
            <w:shd w:val="clear" w:color="auto" w:fill="auto"/>
          </w:tcPr>
          <w:p w:rsidR="00F42223" w:rsidRPr="00F8674D" w:rsidRDefault="00F42223" w:rsidP="00F8674D">
            <w:pPr>
              <w:jc w:val="center"/>
              <w:rPr>
                <w:rFonts w:eastAsia="Cambria"/>
              </w:rPr>
            </w:pPr>
            <w:r w:rsidRPr="00F8674D">
              <w:rPr>
                <w:rFonts w:eastAsia="Cambria"/>
              </w:rPr>
              <w:t>1</w:t>
            </w:r>
          </w:p>
        </w:tc>
        <w:tc>
          <w:tcPr>
            <w:tcW w:w="2239" w:type="dxa"/>
            <w:shd w:val="clear" w:color="auto" w:fill="auto"/>
          </w:tcPr>
          <w:p w:rsidR="00F42223" w:rsidRPr="00F8674D" w:rsidRDefault="00F42223" w:rsidP="00F8674D">
            <w:pPr>
              <w:jc w:val="center"/>
              <w:rPr>
                <w:rFonts w:eastAsia="Cambria"/>
              </w:rPr>
            </w:pPr>
            <w:r w:rsidRPr="00F8674D">
              <w:rPr>
                <w:rFonts w:eastAsia="Cambria"/>
              </w:rPr>
              <w:t xml:space="preserve">с </w:t>
            </w:r>
            <w:r w:rsidR="00887958" w:rsidRPr="00F8674D">
              <w:rPr>
                <w:rFonts w:eastAsia="Cambria"/>
              </w:rPr>
              <w:t>01</w:t>
            </w:r>
            <w:r w:rsidR="00921017" w:rsidRPr="00F8674D">
              <w:rPr>
                <w:rFonts w:eastAsia="Cambria"/>
              </w:rPr>
              <w:t>.</w:t>
            </w:r>
            <w:r w:rsidR="00887958" w:rsidRPr="00F8674D">
              <w:rPr>
                <w:rFonts w:eastAsia="Cambria"/>
              </w:rPr>
              <w:t>08</w:t>
            </w:r>
            <w:r w:rsidR="00921017" w:rsidRPr="00F8674D">
              <w:rPr>
                <w:rFonts w:eastAsia="Cambria"/>
              </w:rPr>
              <w:t>.</w:t>
            </w:r>
            <w:r w:rsidRPr="00F8674D">
              <w:rPr>
                <w:rFonts w:eastAsia="Cambria"/>
              </w:rPr>
              <w:t>2020</w:t>
            </w:r>
          </w:p>
        </w:tc>
      </w:tr>
      <w:tr w:rsidR="00F42223" w:rsidRPr="00F8674D" w:rsidTr="00F8674D">
        <w:tblPrEx>
          <w:tblBorders>
            <w:bottom w:val="single" w:sz="4" w:space="0" w:color="auto"/>
          </w:tblBorders>
          <w:tblCellMar>
            <w:top w:w="17" w:type="dxa"/>
            <w:bottom w:w="17" w:type="dxa"/>
          </w:tblCellMar>
        </w:tblPrEx>
        <w:trPr>
          <w:trHeight w:val="20"/>
        </w:trPr>
        <w:tc>
          <w:tcPr>
            <w:tcW w:w="540" w:type="dxa"/>
            <w:shd w:val="clear" w:color="auto" w:fill="auto"/>
          </w:tcPr>
          <w:p w:rsidR="00F42223" w:rsidRPr="00F8674D" w:rsidRDefault="00887958" w:rsidP="00F8674D">
            <w:pPr>
              <w:jc w:val="center"/>
              <w:rPr>
                <w:rFonts w:eastAsia="Cambria"/>
              </w:rPr>
            </w:pPr>
            <w:r w:rsidRPr="00F8674D">
              <w:rPr>
                <w:rFonts w:eastAsia="Cambria"/>
              </w:rPr>
              <w:t>6</w:t>
            </w:r>
            <w:r w:rsidR="00A33AEC" w:rsidRPr="00F8674D">
              <w:rPr>
                <w:rFonts w:eastAsia="Cambria"/>
              </w:rPr>
              <w:t>.</w:t>
            </w:r>
          </w:p>
        </w:tc>
        <w:tc>
          <w:tcPr>
            <w:tcW w:w="5766" w:type="dxa"/>
            <w:gridSpan w:val="2"/>
            <w:shd w:val="clear" w:color="auto" w:fill="auto"/>
          </w:tcPr>
          <w:p w:rsidR="00F42223" w:rsidRPr="00F8674D" w:rsidRDefault="00F42223" w:rsidP="00F8674D">
            <w:pPr>
              <w:jc w:val="both"/>
              <w:rPr>
                <w:rFonts w:eastAsia="Cambria"/>
              </w:rPr>
            </w:pPr>
            <w:r w:rsidRPr="00F8674D">
              <w:rPr>
                <w:rFonts w:eastAsia="Cambria"/>
              </w:rPr>
              <w:t xml:space="preserve">ГАУЗ </w:t>
            </w:r>
            <w:r w:rsidR="002F7358" w:rsidRPr="00F8674D">
              <w:rPr>
                <w:rFonts w:eastAsia="Cambria"/>
              </w:rPr>
              <w:t>«</w:t>
            </w:r>
            <w:r w:rsidRPr="00F8674D">
              <w:rPr>
                <w:rFonts w:eastAsia="Cambria"/>
              </w:rPr>
              <w:t>Арская ЦРБ</w:t>
            </w:r>
            <w:r w:rsidR="002F7358" w:rsidRPr="00F8674D">
              <w:rPr>
                <w:rFonts w:eastAsia="Cambria"/>
              </w:rPr>
              <w:t>»</w:t>
            </w:r>
          </w:p>
        </w:tc>
        <w:tc>
          <w:tcPr>
            <w:tcW w:w="1650" w:type="dxa"/>
            <w:shd w:val="clear" w:color="auto" w:fill="auto"/>
          </w:tcPr>
          <w:p w:rsidR="00F42223" w:rsidRPr="00F8674D" w:rsidRDefault="00F42223" w:rsidP="00F8674D">
            <w:pPr>
              <w:jc w:val="center"/>
              <w:rPr>
                <w:rFonts w:eastAsia="Cambria"/>
              </w:rPr>
            </w:pPr>
            <w:r w:rsidRPr="00F8674D">
              <w:rPr>
                <w:rFonts w:eastAsia="Cambria"/>
              </w:rPr>
              <w:t>1</w:t>
            </w:r>
          </w:p>
        </w:tc>
        <w:tc>
          <w:tcPr>
            <w:tcW w:w="2239" w:type="dxa"/>
            <w:shd w:val="clear" w:color="auto" w:fill="auto"/>
          </w:tcPr>
          <w:p w:rsidR="00F42223" w:rsidRPr="00F8674D" w:rsidRDefault="00F42223" w:rsidP="00F8674D">
            <w:pPr>
              <w:jc w:val="center"/>
              <w:rPr>
                <w:rFonts w:eastAsia="Cambria"/>
              </w:rPr>
            </w:pPr>
            <w:r w:rsidRPr="00F8674D">
              <w:rPr>
                <w:rFonts w:eastAsia="Cambria"/>
              </w:rPr>
              <w:t xml:space="preserve">с </w:t>
            </w:r>
            <w:r w:rsidR="00887958" w:rsidRPr="00F8674D">
              <w:rPr>
                <w:rFonts w:eastAsia="Cambria"/>
              </w:rPr>
              <w:t>01</w:t>
            </w:r>
            <w:r w:rsidR="00921017" w:rsidRPr="00F8674D">
              <w:rPr>
                <w:rFonts w:eastAsia="Cambria"/>
              </w:rPr>
              <w:t>.</w:t>
            </w:r>
            <w:r w:rsidR="00887958" w:rsidRPr="00F8674D">
              <w:rPr>
                <w:rFonts w:eastAsia="Cambria"/>
              </w:rPr>
              <w:t>08</w:t>
            </w:r>
            <w:r w:rsidR="00921017" w:rsidRPr="00F8674D">
              <w:rPr>
                <w:rFonts w:eastAsia="Cambria"/>
              </w:rPr>
              <w:t>.</w:t>
            </w:r>
            <w:r w:rsidRPr="00F8674D">
              <w:rPr>
                <w:rFonts w:eastAsia="Cambria"/>
              </w:rPr>
              <w:t>2020</w:t>
            </w:r>
          </w:p>
        </w:tc>
      </w:tr>
      <w:tr w:rsidR="00F42223" w:rsidRPr="00F8674D" w:rsidTr="00F8674D">
        <w:tblPrEx>
          <w:tblBorders>
            <w:bottom w:val="single" w:sz="4" w:space="0" w:color="auto"/>
          </w:tblBorders>
          <w:tblCellMar>
            <w:top w:w="17" w:type="dxa"/>
            <w:bottom w:w="17" w:type="dxa"/>
          </w:tblCellMar>
        </w:tblPrEx>
        <w:trPr>
          <w:trHeight w:val="20"/>
        </w:trPr>
        <w:tc>
          <w:tcPr>
            <w:tcW w:w="540" w:type="dxa"/>
            <w:tcBorders>
              <w:bottom w:val="single" w:sz="4" w:space="0" w:color="auto"/>
            </w:tcBorders>
            <w:shd w:val="clear" w:color="auto" w:fill="auto"/>
          </w:tcPr>
          <w:p w:rsidR="00F42223" w:rsidRPr="00F8674D" w:rsidRDefault="00887958" w:rsidP="00F8674D">
            <w:pPr>
              <w:jc w:val="center"/>
              <w:rPr>
                <w:rFonts w:eastAsia="Cambria"/>
              </w:rPr>
            </w:pPr>
            <w:r w:rsidRPr="00F8674D">
              <w:rPr>
                <w:rFonts w:eastAsia="Cambria"/>
              </w:rPr>
              <w:t>7</w:t>
            </w:r>
            <w:r w:rsidR="00A33AEC" w:rsidRPr="00F8674D">
              <w:rPr>
                <w:rFonts w:eastAsia="Cambria"/>
              </w:rPr>
              <w:t>.</w:t>
            </w:r>
          </w:p>
        </w:tc>
        <w:tc>
          <w:tcPr>
            <w:tcW w:w="5766" w:type="dxa"/>
            <w:gridSpan w:val="2"/>
            <w:tcBorders>
              <w:bottom w:val="single" w:sz="4" w:space="0" w:color="auto"/>
            </w:tcBorders>
            <w:shd w:val="clear" w:color="auto" w:fill="auto"/>
          </w:tcPr>
          <w:p w:rsidR="00F42223" w:rsidRPr="00F8674D" w:rsidRDefault="00F42223" w:rsidP="00F8674D">
            <w:pPr>
              <w:jc w:val="both"/>
              <w:rPr>
                <w:rFonts w:eastAsia="Cambria"/>
              </w:rPr>
            </w:pPr>
            <w:r w:rsidRPr="00F8674D">
              <w:rPr>
                <w:rFonts w:eastAsia="Cambria"/>
              </w:rPr>
              <w:t xml:space="preserve">ГАУЗ </w:t>
            </w:r>
            <w:r w:rsidR="002F7358" w:rsidRPr="00F8674D">
              <w:rPr>
                <w:rFonts w:eastAsia="Cambria"/>
              </w:rPr>
              <w:t>«</w:t>
            </w:r>
            <w:r w:rsidRPr="00F8674D">
              <w:rPr>
                <w:rFonts w:eastAsia="Cambria"/>
              </w:rPr>
              <w:t>Елабужская ЦРБ</w:t>
            </w:r>
            <w:r w:rsidR="002F7358" w:rsidRPr="00F8674D">
              <w:rPr>
                <w:rFonts w:eastAsia="Cambria"/>
              </w:rPr>
              <w:t>»</w:t>
            </w:r>
          </w:p>
        </w:tc>
        <w:tc>
          <w:tcPr>
            <w:tcW w:w="1650" w:type="dxa"/>
            <w:tcBorders>
              <w:bottom w:val="single" w:sz="4" w:space="0" w:color="auto"/>
            </w:tcBorders>
            <w:shd w:val="clear" w:color="auto" w:fill="auto"/>
          </w:tcPr>
          <w:p w:rsidR="00F42223" w:rsidRPr="00F8674D" w:rsidRDefault="00F42223" w:rsidP="00F8674D">
            <w:pPr>
              <w:jc w:val="center"/>
              <w:rPr>
                <w:rFonts w:eastAsia="Cambria"/>
              </w:rPr>
            </w:pPr>
            <w:r w:rsidRPr="00F8674D">
              <w:rPr>
                <w:rFonts w:eastAsia="Cambria"/>
              </w:rPr>
              <w:t>1</w:t>
            </w:r>
          </w:p>
        </w:tc>
        <w:tc>
          <w:tcPr>
            <w:tcW w:w="2239" w:type="dxa"/>
            <w:tcBorders>
              <w:bottom w:val="single" w:sz="4" w:space="0" w:color="auto"/>
            </w:tcBorders>
            <w:shd w:val="clear" w:color="auto" w:fill="auto"/>
          </w:tcPr>
          <w:p w:rsidR="00F42223" w:rsidRPr="00F8674D" w:rsidRDefault="00F42223" w:rsidP="00F8674D">
            <w:pPr>
              <w:jc w:val="center"/>
              <w:rPr>
                <w:rFonts w:eastAsia="Cambria"/>
              </w:rPr>
            </w:pPr>
            <w:r w:rsidRPr="00F8674D">
              <w:rPr>
                <w:rFonts w:eastAsia="Cambria"/>
              </w:rPr>
              <w:t xml:space="preserve">с </w:t>
            </w:r>
            <w:r w:rsidR="00887958" w:rsidRPr="00F8674D">
              <w:rPr>
                <w:rFonts w:eastAsia="Cambria"/>
              </w:rPr>
              <w:t>01</w:t>
            </w:r>
            <w:r w:rsidR="00921017" w:rsidRPr="00F8674D">
              <w:rPr>
                <w:rFonts w:eastAsia="Cambria"/>
              </w:rPr>
              <w:t>.</w:t>
            </w:r>
            <w:r w:rsidR="00887958" w:rsidRPr="00F8674D">
              <w:rPr>
                <w:rFonts w:eastAsia="Cambria"/>
              </w:rPr>
              <w:t>09</w:t>
            </w:r>
            <w:r w:rsidR="00921017" w:rsidRPr="00F8674D">
              <w:rPr>
                <w:rFonts w:eastAsia="Cambria"/>
              </w:rPr>
              <w:t>.</w:t>
            </w:r>
            <w:r w:rsidRPr="00F8674D">
              <w:rPr>
                <w:rFonts w:eastAsia="Cambria"/>
              </w:rPr>
              <w:t>2020</w:t>
            </w:r>
          </w:p>
        </w:tc>
      </w:tr>
      <w:tr w:rsidR="00F42223" w:rsidRPr="00F8674D" w:rsidTr="00F8674D">
        <w:tblPrEx>
          <w:tblBorders>
            <w:bottom w:val="single" w:sz="4" w:space="0" w:color="auto"/>
          </w:tblBorders>
          <w:tblCellMar>
            <w:top w:w="17" w:type="dxa"/>
            <w:bottom w:w="17" w:type="dxa"/>
          </w:tblCellMar>
        </w:tblPrEx>
        <w:trPr>
          <w:trHeight w:val="20"/>
        </w:trPr>
        <w:tc>
          <w:tcPr>
            <w:tcW w:w="548" w:type="dxa"/>
            <w:gridSpan w:val="2"/>
            <w:tcBorders>
              <w:top w:val="single" w:sz="4" w:space="0" w:color="auto"/>
              <w:left w:val="single" w:sz="4" w:space="0" w:color="auto"/>
              <w:bottom w:val="single" w:sz="4" w:space="0" w:color="auto"/>
            </w:tcBorders>
            <w:shd w:val="clear" w:color="auto" w:fill="auto"/>
          </w:tcPr>
          <w:p w:rsidR="00F42223" w:rsidRPr="00F8674D" w:rsidRDefault="00887958" w:rsidP="00F8674D">
            <w:pPr>
              <w:jc w:val="center"/>
              <w:rPr>
                <w:rFonts w:eastAsia="Cambria"/>
              </w:rPr>
            </w:pPr>
            <w:r w:rsidRPr="00F8674D">
              <w:rPr>
                <w:rFonts w:eastAsia="Cambria"/>
              </w:rPr>
              <w:t>8</w:t>
            </w:r>
            <w:r w:rsidR="00A33AEC" w:rsidRPr="00F8674D">
              <w:rPr>
                <w:rFonts w:eastAsia="Cambria"/>
              </w:rPr>
              <w:t>.</w:t>
            </w:r>
          </w:p>
        </w:tc>
        <w:tc>
          <w:tcPr>
            <w:tcW w:w="5758" w:type="dxa"/>
            <w:tcBorders>
              <w:top w:val="single" w:sz="4" w:space="0" w:color="auto"/>
              <w:bottom w:val="single" w:sz="4" w:space="0" w:color="auto"/>
            </w:tcBorders>
            <w:shd w:val="clear" w:color="auto" w:fill="auto"/>
          </w:tcPr>
          <w:p w:rsidR="00F42223" w:rsidRPr="00F8674D" w:rsidRDefault="00F42223" w:rsidP="00320E13">
            <w:pPr>
              <w:jc w:val="both"/>
              <w:rPr>
                <w:rFonts w:eastAsia="Cambria"/>
              </w:rPr>
            </w:pPr>
            <w:r w:rsidRPr="00F8674D">
              <w:rPr>
                <w:rFonts w:eastAsia="Cambria"/>
              </w:rPr>
              <w:t xml:space="preserve">ГАУЗ </w:t>
            </w:r>
            <w:r w:rsidR="002F7358" w:rsidRPr="00F8674D">
              <w:rPr>
                <w:rFonts w:eastAsia="Cambria"/>
              </w:rPr>
              <w:t>«</w:t>
            </w:r>
            <w:r w:rsidRPr="00F8674D">
              <w:rPr>
                <w:rFonts w:eastAsia="Cambria"/>
              </w:rPr>
              <w:t>Республиканский центр по профилактике и борьбе со СПИД и инфекционными заболеваниями М</w:t>
            </w:r>
            <w:r w:rsidR="00C55D07">
              <w:rPr>
                <w:rFonts w:eastAsia="Cambria"/>
              </w:rPr>
              <w:t>инистерства здравоохранения</w:t>
            </w:r>
            <w:r w:rsidRPr="00F8674D">
              <w:rPr>
                <w:rFonts w:eastAsia="Cambria"/>
              </w:rPr>
              <w:t xml:space="preserve"> </w:t>
            </w:r>
            <w:r w:rsidR="00C55D07">
              <w:rPr>
                <w:rFonts w:eastAsia="Cambria"/>
              </w:rPr>
              <w:t>Республики Татарстан</w:t>
            </w:r>
            <w:r w:rsidR="002F7358" w:rsidRPr="00F8674D">
              <w:rPr>
                <w:rFonts w:eastAsia="Cambria"/>
              </w:rPr>
              <w:t>»</w:t>
            </w:r>
            <w:r w:rsidRPr="00F8674D">
              <w:rPr>
                <w:rFonts w:eastAsia="Cambria"/>
              </w:rPr>
              <w:t xml:space="preserve"> (для ВИЧ-больных)</w:t>
            </w:r>
          </w:p>
        </w:tc>
        <w:tc>
          <w:tcPr>
            <w:tcW w:w="1650" w:type="dxa"/>
            <w:tcBorders>
              <w:top w:val="single" w:sz="4" w:space="0" w:color="auto"/>
              <w:bottom w:val="single" w:sz="4" w:space="0" w:color="auto"/>
            </w:tcBorders>
            <w:shd w:val="clear" w:color="auto" w:fill="auto"/>
          </w:tcPr>
          <w:p w:rsidR="00F42223" w:rsidRPr="00F8674D" w:rsidRDefault="00F42223" w:rsidP="00F8674D">
            <w:pPr>
              <w:jc w:val="center"/>
              <w:rPr>
                <w:rFonts w:eastAsia="Cambria"/>
              </w:rPr>
            </w:pPr>
            <w:r w:rsidRPr="00F8674D">
              <w:rPr>
                <w:rFonts w:eastAsia="Cambria"/>
              </w:rPr>
              <w:t>1</w:t>
            </w:r>
          </w:p>
        </w:tc>
        <w:tc>
          <w:tcPr>
            <w:tcW w:w="2239" w:type="dxa"/>
            <w:tcBorders>
              <w:top w:val="single" w:sz="4" w:space="0" w:color="auto"/>
              <w:bottom w:val="single" w:sz="4" w:space="0" w:color="auto"/>
              <w:right w:val="single" w:sz="4" w:space="0" w:color="auto"/>
            </w:tcBorders>
            <w:shd w:val="clear" w:color="auto" w:fill="auto"/>
          </w:tcPr>
          <w:p w:rsidR="00F42223" w:rsidRPr="00F8674D" w:rsidRDefault="00F42223" w:rsidP="00F8674D">
            <w:pPr>
              <w:jc w:val="center"/>
              <w:rPr>
                <w:rFonts w:eastAsia="Cambria"/>
              </w:rPr>
            </w:pPr>
            <w:r w:rsidRPr="00F8674D">
              <w:rPr>
                <w:rFonts w:eastAsia="Cambria"/>
              </w:rPr>
              <w:t xml:space="preserve">с </w:t>
            </w:r>
            <w:r w:rsidR="00887958" w:rsidRPr="00F8674D">
              <w:rPr>
                <w:rFonts w:eastAsia="Cambria"/>
              </w:rPr>
              <w:t>01</w:t>
            </w:r>
            <w:r w:rsidR="00921017" w:rsidRPr="00F8674D">
              <w:rPr>
                <w:rFonts w:eastAsia="Cambria"/>
              </w:rPr>
              <w:t>.</w:t>
            </w:r>
            <w:r w:rsidR="00887958" w:rsidRPr="00F8674D">
              <w:rPr>
                <w:rFonts w:eastAsia="Cambria"/>
              </w:rPr>
              <w:t>09</w:t>
            </w:r>
            <w:r w:rsidR="00921017" w:rsidRPr="00F8674D">
              <w:rPr>
                <w:rFonts w:eastAsia="Cambria"/>
              </w:rPr>
              <w:t>.</w:t>
            </w:r>
            <w:r w:rsidRPr="00F8674D">
              <w:rPr>
                <w:rFonts w:eastAsia="Cambria"/>
              </w:rPr>
              <w:t>2020</w:t>
            </w:r>
          </w:p>
        </w:tc>
      </w:tr>
      <w:tr w:rsidR="00F42223" w:rsidRPr="00F8674D" w:rsidTr="00F8674D">
        <w:tblPrEx>
          <w:tblBorders>
            <w:bottom w:val="single" w:sz="4" w:space="0" w:color="auto"/>
          </w:tblBorders>
          <w:tblCellMar>
            <w:top w:w="17" w:type="dxa"/>
            <w:bottom w:w="17" w:type="dxa"/>
          </w:tblCellMar>
        </w:tblPrEx>
        <w:trPr>
          <w:trHeight w:val="20"/>
        </w:trPr>
        <w:tc>
          <w:tcPr>
            <w:tcW w:w="548" w:type="dxa"/>
            <w:gridSpan w:val="2"/>
            <w:tcBorders>
              <w:top w:val="single" w:sz="4" w:space="0" w:color="auto"/>
            </w:tcBorders>
            <w:shd w:val="clear" w:color="auto" w:fill="auto"/>
          </w:tcPr>
          <w:p w:rsidR="00F42223" w:rsidRPr="00F8674D" w:rsidRDefault="00887958" w:rsidP="00F8674D">
            <w:pPr>
              <w:jc w:val="center"/>
              <w:rPr>
                <w:rFonts w:eastAsia="Cambria"/>
              </w:rPr>
            </w:pPr>
            <w:r w:rsidRPr="00F8674D">
              <w:rPr>
                <w:rFonts w:eastAsia="Cambria"/>
              </w:rPr>
              <w:t>9</w:t>
            </w:r>
            <w:r w:rsidR="00A33AEC" w:rsidRPr="00F8674D">
              <w:rPr>
                <w:rFonts w:eastAsia="Cambria"/>
              </w:rPr>
              <w:t>.</w:t>
            </w:r>
          </w:p>
        </w:tc>
        <w:tc>
          <w:tcPr>
            <w:tcW w:w="5758" w:type="dxa"/>
            <w:tcBorders>
              <w:top w:val="single" w:sz="4" w:space="0" w:color="auto"/>
            </w:tcBorders>
            <w:shd w:val="clear" w:color="auto" w:fill="auto"/>
          </w:tcPr>
          <w:p w:rsidR="00F42223" w:rsidRPr="00F8674D" w:rsidRDefault="00F42223" w:rsidP="00F8674D">
            <w:pPr>
              <w:jc w:val="both"/>
              <w:rPr>
                <w:rFonts w:eastAsia="Cambria"/>
              </w:rPr>
            </w:pPr>
            <w:r w:rsidRPr="00F8674D">
              <w:rPr>
                <w:rFonts w:eastAsia="Cambria"/>
              </w:rPr>
              <w:t xml:space="preserve">ГАУЗ </w:t>
            </w:r>
            <w:r w:rsidR="002F7358" w:rsidRPr="00F8674D">
              <w:rPr>
                <w:rFonts w:eastAsia="Cambria"/>
              </w:rPr>
              <w:t>«</w:t>
            </w:r>
            <w:r w:rsidRPr="00F8674D">
              <w:rPr>
                <w:rFonts w:eastAsia="Cambria"/>
              </w:rPr>
              <w:t>Бавлинская ЦРБ</w:t>
            </w:r>
            <w:r w:rsidR="002F7358" w:rsidRPr="00F8674D">
              <w:rPr>
                <w:rFonts w:eastAsia="Cambria"/>
              </w:rPr>
              <w:t>»</w:t>
            </w:r>
          </w:p>
        </w:tc>
        <w:tc>
          <w:tcPr>
            <w:tcW w:w="1650" w:type="dxa"/>
            <w:tcBorders>
              <w:top w:val="single" w:sz="4" w:space="0" w:color="auto"/>
            </w:tcBorders>
            <w:shd w:val="clear" w:color="auto" w:fill="auto"/>
          </w:tcPr>
          <w:p w:rsidR="00F42223" w:rsidRPr="00F8674D" w:rsidRDefault="00F42223" w:rsidP="00F8674D">
            <w:pPr>
              <w:jc w:val="center"/>
              <w:rPr>
                <w:rFonts w:eastAsia="Cambria"/>
              </w:rPr>
            </w:pPr>
            <w:r w:rsidRPr="00F8674D">
              <w:rPr>
                <w:rFonts w:eastAsia="Cambria"/>
              </w:rPr>
              <w:t>1</w:t>
            </w:r>
          </w:p>
        </w:tc>
        <w:tc>
          <w:tcPr>
            <w:tcW w:w="2239" w:type="dxa"/>
            <w:tcBorders>
              <w:top w:val="single" w:sz="4" w:space="0" w:color="auto"/>
            </w:tcBorders>
            <w:shd w:val="clear" w:color="auto" w:fill="auto"/>
          </w:tcPr>
          <w:p w:rsidR="00F42223" w:rsidRPr="00F8674D" w:rsidRDefault="00F42223" w:rsidP="00F8674D">
            <w:pPr>
              <w:jc w:val="center"/>
              <w:rPr>
                <w:rFonts w:eastAsia="Cambria"/>
              </w:rPr>
            </w:pPr>
            <w:r w:rsidRPr="00F8674D">
              <w:rPr>
                <w:rFonts w:eastAsia="Cambria"/>
              </w:rPr>
              <w:t xml:space="preserve">с </w:t>
            </w:r>
            <w:r w:rsidR="00887958" w:rsidRPr="00F8674D">
              <w:rPr>
                <w:rFonts w:eastAsia="Cambria"/>
              </w:rPr>
              <w:t>01</w:t>
            </w:r>
            <w:r w:rsidR="00921017" w:rsidRPr="00F8674D">
              <w:rPr>
                <w:rFonts w:eastAsia="Cambria"/>
              </w:rPr>
              <w:t>.</w:t>
            </w:r>
            <w:r w:rsidR="00887958" w:rsidRPr="00F8674D">
              <w:rPr>
                <w:rFonts w:eastAsia="Cambria"/>
              </w:rPr>
              <w:t>09</w:t>
            </w:r>
            <w:r w:rsidR="00921017" w:rsidRPr="00F8674D">
              <w:rPr>
                <w:rFonts w:eastAsia="Cambria"/>
              </w:rPr>
              <w:t>.</w:t>
            </w:r>
            <w:r w:rsidRPr="00F8674D">
              <w:rPr>
                <w:rFonts w:eastAsia="Cambria"/>
              </w:rPr>
              <w:t>2020</w:t>
            </w:r>
          </w:p>
        </w:tc>
      </w:tr>
      <w:tr w:rsidR="00F42223" w:rsidRPr="00F8674D" w:rsidTr="00F8674D">
        <w:tblPrEx>
          <w:tblBorders>
            <w:bottom w:val="single" w:sz="4" w:space="0" w:color="auto"/>
          </w:tblBorders>
          <w:tblCellMar>
            <w:top w:w="17" w:type="dxa"/>
            <w:bottom w:w="17" w:type="dxa"/>
          </w:tblCellMar>
        </w:tblPrEx>
        <w:trPr>
          <w:trHeight w:val="20"/>
        </w:trPr>
        <w:tc>
          <w:tcPr>
            <w:tcW w:w="548" w:type="dxa"/>
            <w:gridSpan w:val="2"/>
            <w:shd w:val="clear" w:color="auto" w:fill="auto"/>
          </w:tcPr>
          <w:p w:rsidR="00F42223" w:rsidRPr="00F8674D" w:rsidRDefault="00887958" w:rsidP="00F8674D">
            <w:pPr>
              <w:jc w:val="center"/>
              <w:rPr>
                <w:rFonts w:eastAsia="Cambria"/>
              </w:rPr>
            </w:pPr>
            <w:r w:rsidRPr="00F8674D">
              <w:rPr>
                <w:rFonts w:eastAsia="Cambria"/>
              </w:rPr>
              <w:t>10</w:t>
            </w:r>
            <w:r w:rsidR="00A33AEC" w:rsidRPr="00F8674D">
              <w:rPr>
                <w:rFonts w:eastAsia="Cambria"/>
              </w:rPr>
              <w:t>.</w:t>
            </w:r>
          </w:p>
        </w:tc>
        <w:tc>
          <w:tcPr>
            <w:tcW w:w="5758" w:type="dxa"/>
            <w:shd w:val="clear" w:color="auto" w:fill="auto"/>
          </w:tcPr>
          <w:p w:rsidR="00F42223" w:rsidRPr="00F8674D" w:rsidRDefault="00F42223" w:rsidP="00F8674D">
            <w:pPr>
              <w:jc w:val="both"/>
              <w:rPr>
                <w:rFonts w:eastAsia="Cambria"/>
              </w:rPr>
            </w:pPr>
            <w:r w:rsidRPr="00F8674D">
              <w:rPr>
                <w:rFonts w:eastAsia="Cambria"/>
              </w:rPr>
              <w:t xml:space="preserve">ГАУЗ </w:t>
            </w:r>
            <w:r w:rsidR="002F7358" w:rsidRPr="00F8674D">
              <w:rPr>
                <w:rFonts w:eastAsia="Cambria"/>
              </w:rPr>
              <w:t>«</w:t>
            </w:r>
            <w:r w:rsidRPr="00F8674D">
              <w:rPr>
                <w:rFonts w:eastAsia="Cambria"/>
              </w:rPr>
              <w:t>Высокогорская ЦРБ</w:t>
            </w:r>
            <w:r w:rsidR="002F7358" w:rsidRPr="00F8674D">
              <w:rPr>
                <w:rFonts w:eastAsia="Cambria"/>
              </w:rPr>
              <w:t>»</w:t>
            </w:r>
          </w:p>
        </w:tc>
        <w:tc>
          <w:tcPr>
            <w:tcW w:w="1650" w:type="dxa"/>
            <w:shd w:val="clear" w:color="auto" w:fill="auto"/>
          </w:tcPr>
          <w:p w:rsidR="00F42223" w:rsidRPr="00F8674D" w:rsidRDefault="00F42223" w:rsidP="00F8674D">
            <w:pPr>
              <w:jc w:val="center"/>
              <w:rPr>
                <w:rFonts w:eastAsia="Cambria"/>
              </w:rPr>
            </w:pPr>
            <w:r w:rsidRPr="00F8674D">
              <w:rPr>
                <w:rFonts w:eastAsia="Cambria"/>
              </w:rPr>
              <w:t>1</w:t>
            </w:r>
          </w:p>
        </w:tc>
        <w:tc>
          <w:tcPr>
            <w:tcW w:w="2239" w:type="dxa"/>
            <w:shd w:val="clear" w:color="auto" w:fill="auto"/>
          </w:tcPr>
          <w:p w:rsidR="00F42223" w:rsidRPr="00F8674D" w:rsidRDefault="00F42223" w:rsidP="00F8674D">
            <w:pPr>
              <w:jc w:val="center"/>
              <w:rPr>
                <w:rFonts w:eastAsia="Cambria"/>
              </w:rPr>
            </w:pPr>
            <w:r w:rsidRPr="00F8674D">
              <w:rPr>
                <w:rFonts w:eastAsia="Cambria"/>
              </w:rPr>
              <w:t xml:space="preserve">с </w:t>
            </w:r>
            <w:r w:rsidR="00887958" w:rsidRPr="00F8674D">
              <w:rPr>
                <w:rFonts w:eastAsia="Cambria"/>
              </w:rPr>
              <w:t>01</w:t>
            </w:r>
            <w:r w:rsidR="00921017" w:rsidRPr="00F8674D">
              <w:rPr>
                <w:rFonts w:eastAsia="Cambria"/>
              </w:rPr>
              <w:t>.</w:t>
            </w:r>
            <w:r w:rsidR="00887958" w:rsidRPr="00F8674D">
              <w:rPr>
                <w:rFonts w:eastAsia="Cambria"/>
              </w:rPr>
              <w:t>09</w:t>
            </w:r>
            <w:r w:rsidR="00921017" w:rsidRPr="00F8674D">
              <w:rPr>
                <w:rFonts w:eastAsia="Cambria"/>
              </w:rPr>
              <w:t>.</w:t>
            </w:r>
            <w:r w:rsidRPr="00F8674D">
              <w:rPr>
                <w:rFonts w:eastAsia="Cambria"/>
              </w:rPr>
              <w:t>2020</w:t>
            </w:r>
          </w:p>
        </w:tc>
      </w:tr>
      <w:tr w:rsidR="00F42223" w:rsidRPr="00F8674D" w:rsidTr="00F8674D">
        <w:tblPrEx>
          <w:tblBorders>
            <w:bottom w:val="single" w:sz="4" w:space="0" w:color="auto"/>
          </w:tblBorders>
          <w:tblCellMar>
            <w:top w:w="17" w:type="dxa"/>
            <w:bottom w:w="17" w:type="dxa"/>
          </w:tblCellMar>
        </w:tblPrEx>
        <w:trPr>
          <w:trHeight w:val="20"/>
        </w:trPr>
        <w:tc>
          <w:tcPr>
            <w:tcW w:w="548" w:type="dxa"/>
            <w:gridSpan w:val="2"/>
            <w:shd w:val="clear" w:color="auto" w:fill="auto"/>
          </w:tcPr>
          <w:p w:rsidR="00F42223" w:rsidRPr="00F8674D" w:rsidRDefault="00887958" w:rsidP="00F8674D">
            <w:pPr>
              <w:jc w:val="center"/>
              <w:rPr>
                <w:rFonts w:eastAsia="Cambria"/>
              </w:rPr>
            </w:pPr>
            <w:r w:rsidRPr="00F8674D">
              <w:rPr>
                <w:rFonts w:eastAsia="Cambria"/>
              </w:rPr>
              <w:t>11</w:t>
            </w:r>
            <w:r w:rsidR="00A33AEC" w:rsidRPr="00F8674D">
              <w:rPr>
                <w:rFonts w:eastAsia="Cambria"/>
              </w:rPr>
              <w:t>.</w:t>
            </w:r>
          </w:p>
        </w:tc>
        <w:tc>
          <w:tcPr>
            <w:tcW w:w="5758" w:type="dxa"/>
            <w:shd w:val="clear" w:color="auto" w:fill="auto"/>
          </w:tcPr>
          <w:p w:rsidR="00F42223" w:rsidRPr="00F8674D" w:rsidRDefault="00F42223" w:rsidP="00F8674D">
            <w:pPr>
              <w:jc w:val="both"/>
              <w:rPr>
                <w:rFonts w:eastAsia="Cambria"/>
              </w:rPr>
            </w:pPr>
            <w:r w:rsidRPr="00F8674D">
              <w:rPr>
                <w:rFonts w:eastAsia="Cambria"/>
              </w:rPr>
              <w:t xml:space="preserve">ГАУЗ </w:t>
            </w:r>
            <w:r w:rsidR="002F7358" w:rsidRPr="00F8674D">
              <w:rPr>
                <w:rFonts w:eastAsia="Cambria"/>
              </w:rPr>
              <w:t>«</w:t>
            </w:r>
            <w:r w:rsidRPr="00F8674D">
              <w:rPr>
                <w:rFonts w:eastAsia="Cambria"/>
              </w:rPr>
              <w:t>Бугульминская ЦРБ</w:t>
            </w:r>
            <w:r w:rsidR="002F7358" w:rsidRPr="00F8674D">
              <w:rPr>
                <w:rFonts w:eastAsia="Cambria"/>
              </w:rPr>
              <w:t>»</w:t>
            </w:r>
          </w:p>
        </w:tc>
        <w:tc>
          <w:tcPr>
            <w:tcW w:w="1650" w:type="dxa"/>
            <w:shd w:val="clear" w:color="auto" w:fill="auto"/>
          </w:tcPr>
          <w:p w:rsidR="00F42223" w:rsidRPr="00F8674D" w:rsidRDefault="00F42223" w:rsidP="00F8674D">
            <w:pPr>
              <w:jc w:val="center"/>
              <w:rPr>
                <w:rFonts w:eastAsia="Cambria"/>
              </w:rPr>
            </w:pPr>
            <w:r w:rsidRPr="00F8674D">
              <w:rPr>
                <w:rFonts w:eastAsia="Cambria"/>
              </w:rPr>
              <w:t>1</w:t>
            </w:r>
          </w:p>
        </w:tc>
        <w:tc>
          <w:tcPr>
            <w:tcW w:w="2239" w:type="dxa"/>
            <w:shd w:val="clear" w:color="auto" w:fill="auto"/>
          </w:tcPr>
          <w:p w:rsidR="00F42223" w:rsidRPr="00F8674D" w:rsidRDefault="00F42223" w:rsidP="00F8674D">
            <w:pPr>
              <w:jc w:val="center"/>
              <w:rPr>
                <w:rFonts w:eastAsia="Cambria"/>
              </w:rPr>
            </w:pPr>
            <w:r w:rsidRPr="00F8674D">
              <w:rPr>
                <w:rFonts w:eastAsia="Cambria"/>
              </w:rPr>
              <w:t xml:space="preserve">с </w:t>
            </w:r>
            <w:r w:rsidR="00887958" w:rsidRPr="00F8674D">
              <w:rPr>
                <w:rFonts w:eastAsia="Cambria"/>
              </w:rPr>
              <w:t>01</w:t>
            </w:r>
            <w:r w:rsidR="00921017" w:rsidRPr="00F8674D">
              <w:rPr>
                <w:rFonts w:eastAsia="Cambria"/>
              </w:rPr>
              <w:t>.</w:t>
            </w:r>
            <w:r w:rsidR="00887958" w:rsidRPr="00F8674D">
              <w:rPr>
                <w:rFonts w:eastAsia="Cambria"/>
              </w:rPr>
              <w:t>09</w:t>
            </w:r>
            <w:r w:rsidR="00921017" w:rsidRPr="00F8674D">
              <w:rPr>
                <w:rFonts w:eastAsia="Cambria"/>
              </w:rPr>
              <w:t>.</w:t>
            </w:r>
            <w:r w:rsidRPr="00F8674D">
              <w:rPr>
                <w:rFonts w:eastAsia="Cambria"/>
              </w:rPr>
              <w:t>2020</w:t>
            </w:r>
          </w:p>
        </w:tc>
      </w:tr>
      <w:tr w:rsidR="00F42223" w:rsidRPr="00F8674D" w:rsidTr="00F8674D">
        <w:tblPrEx>
          <w:tblBorders>
            <w:bottom w:val="single" w:sz="4" w:space="0" w:color="auto"/>
          </w:tblBorders>
          <w:tblCellMar>
            <w:top w:w="17" w:type="dxa"/>
            <w:bottom w:w="17" w:type="dxa"/>
          </w:tblCellMar>
        </w:tblPrEx>
        <w:trPr>
          <w:trHeight w:val="20"/>
        </w:trPr>
        <w:tc>
          <w:tcPr>
            <w:tcW w:w="548" w:type="dxa"/>
            <w:gridSpan w:val="2"/>
            <w:shd w:val="clear" w:color="auto" w:fill="auto"/>
          </w:tcPr>
          <w:p w:rsidR="00F42223" w:rsidRPr="00F8674D" w:rsidRDefault="00887958" w:rsidP="00F8674D">
            <w:pPr>
              <w:jc w:val="center"/>
              <w:rPr>
                <w:rFonts w:eastAsia="Cambria"/>
              </w:rPr>
            </w:pPr>
            <w:r w:rsidRPr="00F8674D">
              <w:rPr>
                <w:rFonts w:eastAsia="Cambria"/>
              </w:rPr>
              <w:t>12</w:t>
            </w:r>
            <w:r w:rsidR="00A33AEC" w:rsidRPr="00F8674D">
              <w:rPr>
                <w:rFonts w:eastAsia="Cambria"/>
              </w:rPr>
              <w:t>.</w:t>
            </w:r>
          </w:p>
        </w:tc>
        <w:tc>
          <w:tcPr>
            <w:tcW w:w="5758" w:type="dxa"/>
            <w:shd w:val="clear" w:color="auto" w:fill="auto"/>
          </w:tcPr>
          <w:p w:rsidR="00F42223" w:rsidRPr="00F8674D" w:rsidRDefault="00F42223" w:rsidP="00F8674D">
            <w:pPr>
              <w:jc w:val="both"/>
              <w:rPr>
                <w:rFonts w:eastAsia="Cambria"/>
              </w:rPr>
            </w:pPr>
            <w:r w:rsidRPr="00F8674D">
              <w:rPr>
                <w:rFonts w:eastAsia="Cambria"/>
              </w:rPr>
              <w:t xml:space="preserve">ГАУЗ </w:t>
            </w:r>
            <w:r w:rsidR="002F7358" w:rsidRPr="00F8674D">
              <w:rPr>
                <w:rFonts w:eastAsia="Cambria"/>
              </w:rPr>
              <w:t>«</w:t>
            </w:r>
            <w:r w:rsidRPr="00F8674D">
              <w:rPr>
                <w:rFonts w:eastAsia="Cambria"/>
              </w:rPr>
              <w:t>Рыбно-Слободская ЦРБ</w:t>
            </w:r>
            <w:r w:rsidR="002F7358" w:rsidRPr="00F8674D">
              <w:rPr>
                <w:rFonts w:eastAsia="Cambria"/>
              </w:rPr>
              <w:t>»</w:t>
            </w:r>
          </w:p>
        </w:tc>
        <w:tc>
          <w:tcPr>
            <w:tcW w:w="1650" w:type="dxa"/>
            <w:shd w:val="clear" w:color="auto" w:fill="auto"/>
          </w:tcPr>
          <w:p w:rsidR="00F42223" w:rsidRPr="00F8674D" w:rsidRDefault="00F42223" w:rsidP="00F8674D">
            <w:pPr>
              <w:jc w:val="center"/>
              <w:rPr>
                <w:rFonts w:eastAsia="Cambria"/>
              </w:rPr>
            </w:pPr>
            <w:r w:rsidRPr="00F8674D">
              <w:rPr>
                <w:rFonts w:eastAsia="Cambria"/>
              </w:rPr>
              <w:t>1</w:t>
            </w:r>
          </w:p>
        </w:tc>
        <w:tc>
          <w:tcPr>
            <w:tcW w:w="2239" w:type="dxa"/>
            <w:shd w:val="clear" w:color="auto" w:fill="auto"/>
          </w:tcPr>
          <w:p w:rsidR="00F42223" w:rsidRPr="00F8674D" w:rsidRDefault="00F42223" w:rsidP="00F8674D">
            <w:pPr>
              <w:jc w:val="center"/>
              <w:rPr>
                <w:rFonts w:eastAsia="Cambria"/>
              </w:rPr>
            </w:pPr>
            <w:r w:rsidRPr="00F8674D">
              <w:rPr>
                <w:rFonts w:eastAsia="Cambria"/>
              </w:rPr>
              <w:t xml:space="preserve">с </w:t>
            </w:r>
            <w:r w:rsidR="00887958" w:rsidRPr="00F8674D">
              <w:rPr>
                <w:rFonts w:eastAsia="Cambria"/>
              </w:rPr>
              <w:t>01</w:t>
            </w:r>
            <w:r w:rsidR="00921017" w:rsidRPr="00F8674D">
              <w:rPr>
                <w:rFonts w:eastAsia="Cambria"/>
              </w:rPr>
              <w:t>.</w:t>
            </w:r>
            <w:r w:rsidR="00887958" w:rsidRPr="00F8674D">
              <w:rPr>
                <w:rFonts w:eastAsia="Cambria"/>
              </w:rPr>
              <w:t>09</w:t>
            </w:r>
            <w:r w:rsidR="00921017" w:rsidRPr="00F8674D">
              <w:rPr>
                <w:rFonts w:eastAsia="Cambria"/>
              </w:rPr>
              <w:t>.</w:t>
            </w:r>
            <w:r w:rsidRPr="00F8674D">
              <w:rPr>
                <w:rFonts w:eastAsia="Cambria"/>
              </w:rPr>
              <w:t>2020</w:t>
            </w:r>
          </w:p>
        </w:tc>
      </w:tr>
      <w:tr w:rsidR="00F42223" w:rsidRPr="00F8674D" w:rsidTr="00F8674D">
        <w:tblPrEx>
          <w:tblBorders>
            <w:bottom w:val="single" w:sz="4" w:space="0" w:color="auto"/>
          </w:tblBorders>
          <w:tblCellMar>
            <w:top w:w="17" w:type="dxa"/>
            <w:bottom w:w="17" w:type="dxa"/>
          </w:tblCellMar>
        </w:tblPrEx>
        <w:trPr>
          <w:trHeight w:val="20"/>
        </w:trPr>
        <w:tc>
          <w:tcPr>
            <w:tcW w:w="548" w:type="dxa"/>
            <w:gridSpan w:val="2"/>
            <w:shd w:val="clear" w:color="auto" w:fill="auto"/>
          </w:tcPr>
          <w:p w:rsidR="00F42223" w:rsidRPr="00F8674D" w:rsidRDefault="00887958" w:rsidP="00F8674D">
            <w:pPr>
              <w:jc w:val="center"/>
              <w:rPr>
                <w:rFonts w:eastAsia="Cambria"/>
              </w:rPr>
            </w:pPr>
            <w:r w:rsidRPr="00F8674D">
              <w:rPr>
                <w:rFonts w:eastAsia="Cambria"/>
              </w:rPr>
              <w:t>13</w:t>
            </w:r>
            <w:r w:rsidR="00A33AEC" w:rsidRPr="00F8674D">
              <w:rPr>
                <w:rFonts w:eastAsia="Cambria"/>
              </w:rPr>
              <w:t>.</w:t>
            </w:r>
          </w:p>
        </w:tc>
        <w:tc>
          <w:tcPr>
            <w:tcW w:w="5758" w:type="dxa"/>
            <w:shd w:val="clear" w:color="auto" w:fill="auto"/>
          </w:tcPr>
          <w:p w:rsidR="00F42223" w:rsidRPr="00F8674D" w:rsidRDefault="00F42223" w:rsidP="00F8674D">
            <w:pPr>
              <w:jc w:val="both"/>
              <w:rPr>
                <w:rFonts w:eastAsia="Cambria"/>
              </w:rPr>
            </w:pPr>
            <w:r w:rsidRPr="00F8674D">
              <w:rPr>
                <w:rFonts w:eastAsia="Cambria"/>
              </w:rPr>
              <w:t xml:space="preserve">ГАУЗ </w:t>
            </w:r>
            <w:r w:rsidR="002F7358" w:rsidRPr="00F8674D">
              <w:rPr>
                <w:rFonts w:eastAsia="Cambria"/>
              </w:rPr>
              <w:t>«</w:t>
            </w:r>
            <w:r w:rsidRPr="00F8674D">
              <w:rPr>
                <w:rFonts w:eastAsia="Cambria"/>
              </w:rPr>
              <w:t>Мамадышская ЦРБ</w:t>
            </w:r>
            <w:r w:rsidR="002F7358" w:rsidRPr="00F8674D">
              <w:rPr>
                <w:rFonts w:eastAsia="Cambria"/>
              </w:rPr>
              <w:t>»</w:t>
            </w:r>
          </w:p>
        </w:tc>
        <w:tc>
          <w:tcPr>
            <w:tcW w:w="1650" w:type="dxa"/>
            <w:shd w:val="clear" w:color="auto" w:fill="auto"/>
          </w:tcPr>
          <w:p w:rsidR="00F42223" w:rsidRPr="00F8674D" w:rsidRDefault="00F42223" w:rsidP="00F8674D">
            <w:pPr>
              <w:jc w:val="center"/>
              <w:rPr>
                <w:rFonts w:eastAsia="Cambria"/>
              </w:rPr>
            </w:pPr>
            <w:r w:rsidRPr="00F8674D">
              <w:rPr>
                <w:rFonts w:eastAsia="Cambria"/>
              </w:rPr>
              <w:t>1</w:t>
            </w:r>
          </w:p>
        </w:tc>
        <w:tc>
          <w:tcPr>
            <w:tcW w:w="2239" w:type="dxa"/>
            <w:shd w:val="clear" w:color="auto" w:fill="auto"/>
          </w:tcPr>
          <w:p w:rsidR="00F42223" w:rsidRPr="00F8674D" w:rsidRDefault="00F42223" w:rsidP="00F8674D">
            <w:pPr>
              <w:jc w:val="center"/>
              <w:rPr>
                <w:rFonts w:eastAsia="Cambria"/>
              </w:rPr>
            </w:pPr>
            <w:r w:rsidRPr="00F8674D">
              <w:rPr>
                <w:rFonts w:eastAsia="Cambria"/>
              </w:rPr>
              <w:t xml:space="preserve">с </w:t>
            </w:r>
            <w:r w:rsidR="00887958" w:rsidRPr="00F8674D">
              <w:rPr>
                <w:rFonts w:eastAsia="Cambria"/>
              </w:rPr>
              <w:t>01</w:t>
            </w:r>
            <w:r w:rsidR="00921017" w:rsidRPr="00F8674D">
              <w:rPr>
                <w:rFonts w:eastAsia="Cambria"/>
              </w:rPr>
              <w:t>.</w:t>
            </w:r>
            <w:r w:rsidR="00887958" w:rsidRPr="00F8674D">
              <w:rPr>
                <w:rFonts w:eastAsia="Cambria"/>
              </w:rPr>
              <w:t>09</w:t>
            </w:r>
            <w:r w:rsidR="00921017" w:rsidRPr="00F8674D">
              <w:rPr>
                <w:rFonts w:eastAsia="Cambria"/>
              </w:rPr>
              <w:t>.</w:t>
            </w:r>
            <w:r w:rsidRPr="00F8674D">
              <w:rPr>
                <w:rFonts w:eastAsia="Cambria"/>
              </w:rPr>
              <w:t>2020</w:t>
            </w:r>
          </w:p>
        </w:tc>
      </w:tr>
      <w:tr w:rsidR="00F42223" w:rsidRPr="00F8674D" w:rsidTr="00F8674D">
        <w:tblPrEx>
          <w:tblBorders>
            <w:bottom w:val="single" w:sz="4" w:space="0" w:color="auto"/>
          </w:tblBorders>
          <w:tblCellMar>
            <w:top w:w="17" w:type="dxa"/>
            <w:bottom w:w="17" w:type="dxa"/>
          </w:tblCellMar>
        </w:tblPrEx>
        <w:trPr>
          <w:trHeight w:val="20"/>
        </w:trPr>
        <w:tc>
          <w:tcPr>
            <w:tcW w:w="548" w:type="dxa"/>
            <w:gridSpan w:val="2"/>
            <w:shd w:val="clear" w:color="auto" w:fill="auto"/>
          </w:tcPr>
          <w:p w:rsidR="00F42223" w:rsidRPr="00F8674D" w:rsidRDefault="00887958" w:rsidP="00F8674D">
            <w:pPr>
              <w:jc w:val="center"/>
              <w:rPr>
                <w:rFonts w:eastAsia="Cambria"/>
              </w:rPr>
            </w:pPr>
            <w:r w:rsidRPr="00F8674D">
              <w:rPr>
                <w:rFonts w:eastAsia="Cambria"/>
              </w:rPr>
              <w:t>14</w:t>
            </w:r>
            <w:r w:rsidR="00A33AEC" w:rsidRPr="00F8674D">
              <w:rPr>
                <w:rFonts w:eastAsia="Cambria"/>
              </w:rPr>
              <w:t>.</w:t>
            </w:r>
          </w:p>
        </w:tc>
        <w:tc>
          <w:tcPr>
            <w:tcW w:w="5758" w:type="dxa"/>
            <w:shd w:val="clear" w:color="auto" w:fill="auto"/>
          </w:tcPr>
          <w:p w:rsidR="00F42223" w:rsidRPr="00F8674D" w:rsidRDefault="00F42223" w:rsidP="00F8674D">
            <w:pPr>
              <w:jc w:val="both"/>
              <w:rPr>
                <w:rFonts w:eastAsia="Cambria"/>
              </w:rPr>
            </w:pPr>
            <w:r w:rsidRPr="00F8674D">
              <w:rPr>
                <w:rFonts w:eastAsia="Cambria"/>
              </w:rPr>
              <w:t xml:space="preserve">ГАУЗ </w:t>
            </w:r>
            <w:r w:rsidR="002F7358" w:rsidRPr="00F8674D">
              <w:rPr>
                <w:rFonts w:eastAsia="Cambria"/>
              </w:rPr>
              <w:t>«</w:t>
            </w:r>
            <w:r w:rsidRPr="00F8674D">
              <w:rPr>
                <w:rFonts w:eastAsia="Cambria"/>
              </w:rPr>
              <w:t>Зеленодольская ЦРБ</w:t>
            </w:r>
            <w:r w:rsidR="002F7358" w:rsidRPr="00F8674D">
              <w:rPr>
                <w:rFonts w:eastAsia="Cambria"/>
              </w:rPr>
              <w:t>»</w:t>
            </w:r>
          </w:p>
        </w:tc>
        <w:tc>
          <w:tcPr>
            <w:tcW w:w="1650" w:type="dxa"/>
            <w:shd w:val="clear" w:color="auto" w:fill="auto"/>
          </w:tcPr>
          <w:p w:rsidR="00F42223" w:rsidRPr="00F8674D" w:rsidRDefault="00F42223" w:rsidP="00F8674D">
            <w:pPr>
              <w:jc w:val="center"/>
              <w:rPr>
                <w:rFonts w:eastAsia="Cambria"/>
              </w:rPr>
            </w:pPr>
            <w:r w:rsidRPr="00F8674D">
              <w:rPr>
                <w:rFonts w:eastAsia="Cambria"/>
              </w:rPr>
              <w:t>1</w:t>
            </w:r>
          </w:p>
        </w:tc>
        <w:tc>
          <w:tcPr>
            <w:tcW w:w="2239" w:type="dxa"/>
            <w:shd w:val="clear" w:color="auto" w:fill="auto"/>
          </w:tcPr>
          <w:p w:rsidR="00F42223" w:rsidRPr="00F8674D" w:rsidRDefault="00F42223" w:rsidP="00F8674D">
            <w:pPr>
              <w:jc w:val="center"/>
              <w:rPr>
                <w:rFonts w:eastAsia="Cambria"/>
              </w:rPr>
            </w:pPr>
            <w:r w:rsidRPr="00F8674D">
              <w:rPr>
                <w:rFonts w:eastAsia="Cambria"/>
              </w:rPr>
              <w:t xml:space="preserve">с </w:t>
            </w:r>
            <w:r w:rsidR="00887958" w:rsidRPr="00F8674D">
              <w:rPr>
                <w:rFonts w:eastAsia="Cambria"/>
              </w:rPr>
              <w:t>01</w:t>
            </w:r>
            <w:r w:rsidR="00921017" w:rsidRPr="00F8674D">
              <w:rPr>
                <w:rFonts w:eastAsia="Cambria"/>
              </w:rPr>
              <w:t>.</w:t>
            </w:r>
            <w:r w:rsidR="00887958" w:rsidRPr="00F8674D">
              <w:rPr>
                <w:rFonts w:eastAsia="Cambria"/>
              </w:rPr>
              <w:t>09</w:t>
            </w:r>
            <w:r w:rsidR="00921017" w:rsidRPr="00F8674D">
              <w:rPr>
                <w:rFonts w:eastAsia="Cambria"/>
              </w:rPr>
              <w:t>.</w:t>
            </w:r>
            <w:r w:rsidRPr="00F8674D">
              <w:rPr>
                <w:rFonts w:eastAsia="Cambria"/>
              </w:rPr>
              <w:t>2020</w:t>
            </w:r>
          </w:p>
        </w:tc>
      </w:tr>
      <w:tr w:rsidR="00F42223" w:rsidRPr="00F8674D" w:rsidTr="00F8674D">
        <w:tblPrEx>
          <w:tblBorders>
            <w:bottom w:val="single" w:sz="4" w:space="0" w:color="auto"/>
          </w:tblBorders>
          <w:tblCellMar>
            <w:top w:w="17" w:type="dxa"/>
            <w:bottom w:w="17" w:type="dxa"/>
          </w:tblCellMar>
        </w:tblPrEx>
        <w:trPr>
          <w:trHeight w:val="20"/>
        </w:trPr>
        <w:tc>
          <w:tcPr>
            <w:tcW w:w="548" w:type="dxa"/>
            <w:gridSpan w:val="2"/>
            <w:shd w:val="clear" w:color="auto" w:fill="auto"/>
          </w:tcPr>
          <w:p w:rsidR="00F42223" w:rsidRPr="00F8674D" w:rsidRDefault="00887958" w:rsidP="00F8674D">
            <w:pPr>
              <w:jc w:val="center"/>
              <w:rPr>
                <w:rFonts w:eastAsia="Cambria"/>
              </w:rPr>
            </w:pPr>
            <w:r w:rsidRPr="00F8674D">
              <w:rPr>
                <w:rFonts w:eastAsia="Cambria"/>
              </w:rPr>
              <w:t>15</w:t>
            </w:r>
            <w:r w:rsidR="00A33AEC" w:rsidRPr="00F8674D">
              <w:rPr>
                <w:rFonts w:eastAsia="Cambria"/>
              </w:rPr>
              <w:t>.</w:t>
            </w:r>
          </w:p>
        </w:tc>
        <w:tc>
          <w:tcPr>
            <w:tcW w:w="5758" w:type="dxa"/>
            <w:shd w:val="clear" w:color="auto" w:fill="auto"/>
          </w:tcPr>
          <w:p w:rsidR="00F42223" w:rsidRPr="00F8674D" w:rsidRDefault="00F42223" w:rsidP="00F8674D">
            <w:pPr>
              <w:jc w:val="both"/>
              <w:rPr>
                <w:rFonts w:eastAsia="Cambria"/>
              </w:rPr>
            </w:pPr>
            <w:r w:rsidRPr="00F8674D">
              <w:rPr>
                <w:rFonts w:eastAsia="Cambria"/>
              </w:rPr>
              <w:t xml:space="preserve">ГАУЗ </w:t>
            </w:r>
            <w:r w:rsidR="002F7358" w:rsidRPr="00F8674D">
              <w:rPr>
                <w:rFonts w:eastAsia="Cambria"/>
              </w:rPr>
              <w:t>«</w:t>
            </w:r>
            <w:r w:rsidRPr="00F8674D">
              <w:rPr>
                <w:rFonts w:eastAsia="Cambria"/>
              </w:rPr>
              <w:t>Городская поликлиника № 10</w:t>
            </w:r>
            <w:r w:rsidR="002F7358" w:rsidRPr="00F8674D">
              <w:rPr>
                <w:rFonts w:eastAsia="Cambria"/>
              </w:rPr>
              <w:t>»</w:t>
            </w:r>
            <w:r w:rsidRPr="00F8674D">
              <w:rPr>
                <w:rFonts w:eastAsia="Cambria"/>
              </w:rPr>
              <w:t xml:space="preserve"> г.Казани</w:t>
            </w:r>
          </w:p>
        </w:tc>
        <w:tc>
          <w:tcPr>
            <w:tcW w:w="1650" w:type="dxa"/>
            <w:shd w:val="clear" w:color="auto" w:fill="auto"/>
          </w:tcPr>
          <w:p w:rsidR="00F42223" w:rsidRPr="00F8674D" w:rsidRDefault="00F42223" w:rsidP="00F8674D">
            <w:pPr>
              <w:jc w:val="center"/>
              <w:rPr>
                <w:rFonts w:eastAsia="Cambria"/>
              </w:rPr>
            </w:pPr>
            <w:r w:rsidRPr="00F8674D">
              <w:rPr>
                <w:rFonts w:eastAsia="Cambria"/>
              </w:rPr>
              <w:t>1</w:t>
            </w:r>
          </w:p>
        </w:tc>
        <w:tc>
          <w:tcPr>
            <w:tcW w:w="2239" w:type="dxa"/>
            <w:shd w:val="clear" w:color="auto" w:fill="auto"/>
          </w:tcPr>
          <w:p w:rsidR="00F42223" w:rsidRPr="00F8674D" w:rsidRDefault="00F42223" w:rsidP="00F8674D">
            <w:pPr>
              <w:jc w:val="center"/>
              <w:rPr>
                <w:rFonts w:eastAsia="Cambria"/>
              </w:rPr>
            </w:pPr>
            <w:r w:rsidRPr="00F8674D">
              <w:rPr>
                <w:rFonts w:eastAsia="Cambria"/>
              </w:rPr>
              <w:t xml:space="preserve">с </w:t>
            </w:r>
            <w:r w:rsidR="00887958" w:rsidRPr="00F8674D">
              <w:rPr>
                <w:rFonts w:eastAsia="Cambria"/>
              </w:rPr>
              <w:t>01</w:t>
            </w:r>
            <w:r w:rsidR="00921017" w:rsidRPr="00F8674D">
              <w:rPr>
                <w:rFonts w:eastAsia="Cambria"/>
              </w:rPr>
              <w:t>.</w:t>
            </w:r>
            <w:r w:rsidR="00887958" w:rsidRPr="00F8674D">
              <w:rPr>
                <w:rFonts w:eastAsia="Cambria"/>
              </w:rPr>
              <w:t>09</w:t>
            </w:r>
            <w:r w:rsidR="00921017" w:rsidRPr="00F8674D">
              <w:rPr>
                <w:rFonts w:eastAsia="Cambria"/>
              </w:rPr>
              <w:t>.</w:t>
            </w:r>
            <w:r w:rsidRPr="00F8674D">
              <w:rPr>
                <w:rFonts w:eastAsia="Cambria"/>
              </w:rPr>
              <w:t>2020</w:t>
            </w:r>
          </w:p>
        </w:tc>
      </w:tr>
      <w:tr w:rsidR="00F42223" w:rsidRPr="00F8674D" w:rsidTr="00F8674D">
        <w:tblPrEx>
          <w:tblBorders>
            <w:bottom w:val="single" w:sz="4" w:space="0" w:color="auto"/>
          </w:tblBorders>
          <w:tblCellMar>
            <w:top w:w="17" w:type="dxa"/>
            <w:bottom w:w="17" w:type="dxa"/>
          </w:tblCellMar>
        </w:tblPrEx>
        <w:trPr>
          <w:trHeight w:val="20"/>
        </w:trPr>
        <w:tc>
          <w:tcPr>
            <w:tcW w:w="548" w:type="dxa"/>
            <w:gridSpan w:val="2"/>
            <w:shd w:val="clear" w:color="auto" w:fill="auto"/>
          </w:tcPr>
          <w:p w:rsidR="00F42223" w:rsidRPr="00F8674D" w:rsidRDefault="00887958" w:rsidP="00F8674D">
            <w:pPr>
              <w:jc w:val="center"/>
              <w:rPr>
                <w:rFonts w:eastAsia="Cambria"/>
              </w:rPr>
            </w:pPr>
            <w:r w:rsidRPr="00F8674D">
              <w:rPr>
                <w:rFonts w:eastAsia="Cambria"/>
              </w:rPr>
              <w:t>16</w:t>
            </w:r>
            <w:r w:rsidR="00A33AEC" w:rsidRPr="00F8674D">
              <w:rPr>
                <w:rFonts w:eastAsia="Cambria"/>
              </w:rPr>
              <w:t>.</w:t>
            </w:r>
          </w:p>
        </w:tc>
        <w:tc>
          <w:tcPr>
            <w:tcW w:w="5758" w:type="dxa"/>
            <w:shd w:val="clear" w:color="auto" w:fill="auto"/>
          </w:tcPr>
          <w:p w:rsidR="00F42223" w:rsidRPr="00F8674D" w:rsidRDefault="00F42223" w:rsidP="00F8674D">
            <w:pPr>
              <w:jc w:val="both"/>
              <w:rPr>
                <w:rFonts w:eastAsia="Cambria"/>
              </w:rPr>
            </w:pPr>
            <w:r w:rsidRPr="00F8674D">
              <w:rPr>
                <w:rFonts w:eastAsia="Cambria"/>
              </w:rPr>
              <w:t xml:space="preserve">ГАУЗ </w:t>
            </w:r>
            <w:r w:rsidR="002F7358" w:rsidRPr="00F8674D">
              <w:rPr>
                <w:rFonts w:eastAsia="Cambria"/>
              </w:rPr>
              <w:t>«</w:t>
            </w:r>
            <w:r w:rsidRPr="00F8674D">
              <w:rPr>
                <w:rFonts w:eastAsia="Cambria"/>
              </w:rPr>
              <w:t>Агрызская ЦРБ</w:t>
            </w:r>
            <w:r w:rsidR="002F7358" w:rsidRPr="00F8674D">
              <w:rPr>
                <w:rFonts w:eastAsia="Cambria"/>
              </w:rPr>
              <w:t>»</w:t>
            </w:r>
          </w:p>
        </w:tc>
        <w:tc>
          <w:tcPr>
            <w:tcW w:w="1650" w:type="dxa"/>
            <w:shd w:val="clear" w:color="auto" w:fill="auto"/>
          </w:tcPr>
          <w:p w:rsidR="00F42223" w:rsidRPr="00F8674D" w:rsidRDefault="00F42223" w:rsidP="00F8674D">
            <w:pPr>
              <w:jc w:val="center"/>
              <w:rPr>
                <w:rFonts w:eastAsia="Cambria"/>
              </w:rPr>
            </w:pPr>
            <w:r w:rsidRPr="00F8674D">
              <w:rPr>
                <w:rFonts w:eastAsia="Cambria"/>
              </w:rPr>
              <w:t>1</w:t>
            </w:r>
          </w:p>
        </w:tc>
        <w:tc>
          <w:tcPr>
            <w:tcW w:w="2239" w:type="dxa"/>
            <w:shd w:val="clear" w:color="auto" w:fill="auto"/>
          </w:tcPr>
          <w:p w:rsidR="00F42223" w:rsidRPr="00F8674D" w:rsidRDefault="00F42223" w:rsidP="00F8674D">
            <w:pPr>
              <w:jc w:val="center"/>
              <w:rPr>
                <w:rFonts w:eastAsia="Cambria"/>
              </w:rPr>
            </w:pPr>
            <w:r w:rsidRPr="00F8674D">
              <w:rPr>
                <w:rFonts w:eastAsia="Cambria"/>
              </w:rPr>
              <w:t xml:space="preserve">с </w:t>
            </w:r>
            <w:r w:rsidR="00887958" w:rsidRPr="00F8674D">
              <w:rPr>
                <w:rFonts w:eastAsia="Cambria"/>
              </w:rPr>
              <w:t>01</w:t>
            </w:r>
            <w:r w:rsidR="00921017" w:rsidRPr="00F8674D">
              <w:rPr>
                <w:rFonts w:eastAsia="Cambria"/>
              </w:rPr>
              <w:t>.</w:t>
            </w:r>
            <w:r w:rsidR="00887958" w:rsidRPr="00F8674D">
              <w:rPr>
                <w:rFonts w:eastAsia="Cambria"/>
              </w:rPr>
              <w:t>09</w:t>
            </w:r>
            <w:r w:rsidR="00921017" w:rsidRPr="00F8674D">
              <w:rPr>
                <w:rFonts w:eastAsia="Cambria"/>
              </w:rPr>
              <w:t>.</w:t>
            </w:r>
            <w:r w:rsidRPr="00F8674D">
              <w:rPr>
                <w:rFonts w:eastAsia="Cambria"/>
              </w:rPr>
              <w:t>2021</w:t>
            </w:r>
          </w:p>
        </w:tc>
      </w:tr>
      <w:tr w:rsidR="00F42223" w:rsidRPr="00F8674D" w:rsidTr="00F8674D">
        <w:tblPrEx>
          <w:tblBorders>
            <w:bottom w:val="single" w:sz="4" w:space="0" w:color="auto"/>
          </w:tblBorders>
          <w:tblCellMar>
            <w:top w:w="17" w:type="dxa"/>
            <w:bottom w:w="17" w:type="dxa"/>
          </w:tblCellMar>
        </w:tblPrEx>
        <w:trPr>
          <w:trHeight w:val="20"/>
        </w:trPr>
        <w:tc>
          <w:tcPr>
            <w:tcW w:w="548" w:type="dxa"/>
            <w:gridSpan w:val="2"/>
            <w:shd w:val="clear" w:color="auto" w:fill="auto"/>
          </w:tcPr>
          <w:p w:rsidR="00F42223" w:rsidRPr="00F8674D" w:rsidRDefault="00887958" w:rsidP="00F8674D">
            <w:pPr>
              <w:jc w:val="center"/>
              <w:rPr>
                <w:rFonts w:eastAsia="Cambria"/>
              </w:rPr>
            </w:pPr>
            <w:r w:rsidRPr="00F8674D">
              <w:rPr>
                <w:rFonts w:eastAsia="Cambria"/>
              </w:rPr>
              <w:t>17</w:t>
            </w:r>
            <w:r w:rsidR="00A33AEC" w:rsidRPr="00F8674D">
              <w:rPr>
                <w:rFonts w:eastAsia="Cambria"/>
              </w:rPr>
              <w:t>.</w:t>
            </w:r>
          </w:p>
        </w:tc>
        <w:tc>
          <w:tcPr>
            <w:tcW w:w="5758" w:type="dxa"/>
            <w:shd w:val="clear" w:color="auto" w:fill="auto"/>
          </w:tcPr>
          <w:p w:rsidR="00F42223" w:rsidRPr="00F8674D" w:rsidRDefault="00F42223" w:rsidP="00F8674D">
            <w:pPr>
              <w:jc w:val="both"/>
              <w:rPr>
                <w:rFonts w:eastAsia="Cambria"/>
              </w:rPr>
            </w:pPr>
            <w:r w:rsidRPr="00F8674D">
              <w:rPr>
                <w:rFonts w:eastAsia="Cambria"/>
              </w:rPr>
              <w:t xml:space="preserve">ГАУЗ </w:t>
            </w:r>
            <w:r w:rsidR="002F7358" w:rsidRPr="00F8674D">
              <w:rPr>
                <w:rFonts w:eastAsia="Cambria"/>
              </w:rPr>
              <w:t>«</w:t>
            </w:r>
            <w:r w:rsidRPr="00F8674D">
              <w:rPr>
                <w:rFonts w:eastAsia="Cambria"/>
              </w:rPr>
              <w:t>Актанышская ЦРБ</w:t>
            </w:r>
            <w:r w:rsidR="002F7358" w:rsidRPr="00F8674D">
              <w:rPr>
                <w:rFonts w:eastAsia="Cambria"/>
              </w:rPr>
              <w:t>»</w:t>
            </w:r>
          </w:p>
        </w:tc>
        <w:tc>
          <w:tcPr>
            <w:tcW w:w="1650" w:type="dxa"/>
            <w:shd w:val="clear" w:color="auto" w:fill="auto"/>
          </w:tcPr>
          <w:p w:rsidR="00F42223" w:rsidRPr="00F8674D" w:rsidRDefault="00F42223" w:rsidP="00F8674D">
            <w:pPr>
              <w:jc w:val="center"/>
              <w:rPr>
                <w:rFonts w:eastAsia="Cambria"/>
              </w:rPr>
            </w:pPr>
            <w:r w:rsidRPr="00F8674D">
              <w:rPr>
                <w:rFonts w:eastAsia="Cambria"/>
              </w:rPr>
              <w:t>1</w:t>
            </w:r>
          </w:p>
        </w:tc>
        <w:tc>
          <w:tcPr>
            <w:tcW w:w="2239" w:type="dxa"/>
            <w:shd w:val="clear" w:color="auto" w:fill="auto"/>
          </w:tcPr>
          <w:p w:rsidR="00F42223" w:rsidRPr="00F8674D" w:rsidRDefault="00F42223" w:rsidP="00F8674D">
            <w:pPr>
              <w:jc w:val="center"/>
              <w:rPr>
                <w:rFonts w:eastAsia="Cambria"/>
              </w:rPr>
            </w:pPr>
            <w:r w:rsidRPr="00F8674D">
              <w:rPr>
                <w:rFonts w:eastAsia="Cambria"/>
              </w:rPr>
              <w:t xml:space="preserve">с </w:t>
            </w:r>
            <w:r w:rsidR="00887958" w:rsidRPr="00F8674D">
              <w:rPr>
                <w:rFonts w:eastAsia="Cambria"/>
              </w:rPr>
              <w:t>01</w:t>
            </w:r>
            <w:r w:rsidR="003F1BDB" w:rsidRPr="00F8674D">
              <w:rPr>
                <w:rFonts w:eastAsia="Cambria"/>
              </w:rPr>
              <w:t>.</w:t>
            </w:r>
            <w:r w:rsidR="00887958" w:rsidRPr="00F8674D">
              <w:rPr>
                <w:rFonts w:eastAsia="Cambria"/>
              </w:rPr>
              <w:t>09</w:t>
            </w:r>
            <w:r w:rsidR="003F1BDB" w:rsidRPr="00F8674D">
              <w:rPr>
                <w:rFonts w:eastAsia="Cambria"/>
              </w:rPr>
              <w:t>.</w:t>
            </w:r>
            <w:r w:rsidRPr="00F8674D">
              <w:rPr>
                <w:rFonts w:eastAsia="Cambria"/>
              </w:rPr>
              <w:t>2021</w:t>
            </w:r>
          </w:p>
        </w:tc>
      </w:tr>
      <w:tr w:rsidR="00F42223" w:rsidRPr="00F8674D" w:rsidTr="00F8674D">
        <w:tblPrEx>
          <w:tblBorders>
            <w:bottom w:val="single" w:sz="4" w:space="0" w:color="auto"/>
          </w:tblBorders>
          <w:tblCellMar>
            <w:top w:w="17" w:type="dxa"/>
            <w:bottom w:w="17" w:type="dxa"/>
          </w:tblCellMar>
        </w:tblPrEx>
        <w:trPr>
          <w:trHeight w:val="20"/>
        </w:trPr>
        <w:tc>
          <w:tcPr>
            <w:tcW w:w="548" w:type="dxa"/>
            <w:gridSpan w:val="2"/>
            <w:shd w:val="clear" w:color="auto" w:fill="auto"/>
          </w:tcPr>
          <w:p w:rsidR="00F42223" w:rsidRPr="00F8674D" w:rsidRDefault="00887958" w:rsidP="00F8674D">
            <w:pPr>
              <w:jc w:val="center"/>
              <w:rPr>
                <w:rFonts w:eastAsia="Cambria"/>
              </w:rPr>
            </w:pPr>
            <w:r w:rsidRPr="00F8674D">
              <w:rPr>
                <w:rFonts w:eastAsia="Cambria"/>
              </w:rPr>
              <w:t>18</w:t>
            </w:r>
            <w:r w:rsidR="00A33AEC" w:rsidRPr="00F8674D">
              <w:rPr>
                <w:rFonts w:eastAsia="Cambria"/>
              </w:rPr>
              <w:t>.</w:t>
            </w:r>
          </w:p>
        </w:tc>
        <w:tc>
          <w:tcPr>
            <w:tcW w:w="5758" w:type="dxa"/>
            <w:shd w:val="clear" w:color="auto" w:fill="auto"/>
          </w:tcPr>
          <w:p w:rsidR="00F42223" w:rsidRPr="00F8674D" w:rsidRDefault="00F42223" w:rsidP="00F8674D">
            <w:pPr>
              <w:jc w:val="both"/>
              <w:rPr>
                <w:rFonts w:eastAsia="Cambria"/>
              </w:rPr>
            </w:pPr>
            <w:r w:rsidRPr="00F8674D">
              <w:rPr>
                <w:rFonts w:eastAsia="Cambria"/>
              </w:rPr>
              <w:t xml:space="preserve">ГАУЗ </w:t>
            </w:r>
            <w:r w:rsidR="002F7358" w:rsidRPr="00F8674D">
              <w:rPr>
                <w:rFonts w:eastAsia="Cambria"/>
              </w:rPr>
              <w:t>«</w:t>
            </w:r>
            <w:r w:rsidRPr="00F8674D">
              <w:rPr>
                <w:rFonts w:eastAsia="Cambria"/>
              </w:rPr>
              <w:t>Алексеевская ЦРБ</w:t>
            </w:r>
            <w:r w:rsidR="002F7358" w:rsidRPr="00F8674D">
              <w:rPr>
                <w:rFonts w:eastAsia="Cambria"/>
              </w:rPr>
              <w:t>»</w:t>
            </w:r>
          </w:p>
        </w:tc>
        <w:tc>
          <w:tcPr>
            <w:tcW w:w="1650" w:type="dxa"/>
            <w:shd w:val="clear" w:color="auto" w:fill="auto"/>
          </w:tcPr>
          <w:p w:rsidR="00F42223" w:rsidRPr="00F8674D" w:rsidRDefault="00F42223" w:rsidP="00F8674D">
            <w:pPr>
              <w:jc w:val="center"/>
              <w:rPr>
                <w:rFonts w:eastAsia="Cambria"/>
              </w:rPr>
            </w:pPr>
            <w:r w:rsidRPr="00F8674D">
              <w:rPr>
                <w:rFonts w:eastAsia="Cambria"/>
              </w:rPr>
              <w:t>1</w:t>
            </w:r>
          </w:p>
        </w:tc>
        <w:tc>
          <w:tcPr>
            <w:tcW w:w="2239" w:type="dxa"/>
            <w:shd w:val="clear" w:color="auto" w:fill="auto"/>
          </w:tcPr>
          <w:p w:rsidR="00F42223" w:rsidRPr="00F8674D" w:rsidRDefault="00F42223" w:rsidP="00F8674D">
            <w:pPr>
              <w:jc w:val="center"/>
              <w:rPr>
                <w:rFonts w:eastAsia="Cambria"/>
              </w:rPr>
            </w:pPr>
            <w:r w:rsidRPr="00F8674D">
              <w:rPr>
                <w:rFonts w:eastAsia="Cambria"/>
              </w:rPr>
              <w:t xml:space="preserve">с </w:t>
            </w:r>
            <w:r w:rsidR="00887958" w:rsidRPr="00F8674D">
              <w:rPr>
                <w:rFonts w:eastAsia="Cambria"/>
              </w:rPr>
              <w:t>01</w:t>
            </w:r>
            <w:r w:rsidR="003F1BDB" w:rsidRPr="00F8674D">
              <w:rPr>
                <w:rFonts w:eastAsia="Cambria"/>
              </w:rPr>
              <w:t>.</w:t>
            </w:r>
            <w:r w:rsidR="00887958" w:rsidRPr="00F8674D">
              <w:rPr>
                <w:rFonts w:eastAsia="Cambria"/>
              </w:rPr>
              <w:t>09</w:t>
            </w:r>
            <w:r w:rsidR="003F1BDB" w:rsidRPr="00F8674D">
              <w:rPr>
                <w:rFonts w:eastAsia="Cambria"/>
              </w:rPr>
              <w:t>.</w:t>
            </w:r>
            <w:r w:rsidRPr="00F8674D">
              <w:rPr>
                <w:rFonts w:eastAsia="Cambria"/>
              </w:rPr>
              <w:t>2021</w:t>
            </w:r>
          </w:p>
        </w:tc>
      </w:tr>
      <w:tr w:rsidR="00F42223" w:rsidRPr="00F8674D" w:rsidTr="00F8674D">
        <w:tblPrEx>
          <w:tblBorders>
            <w:bottom w:val="single" w:sz="4" w:space="0" w:color="auto"/>
          </w:tblBorders>
          <w:tblCellMar>
            <w:top w:w="17" w:type="dxa"/>
            <w:bottom w:w="17" w:type="dxa"/>
          </w:tblCellMar>
        </w:tblPrEx>
        <w:trPr>
          <w:trHeight w:val="20"/>
        </w:trPr>
        <w:tc>
          <w:tcPr>
            <w:tcW w:w="548" w:type="dxa"/>
            <w:gridSpan w:val="2"/>
            <w:shd w:val="clear" w:color="auto" w:fill="auto"/>
          </w:tcPr>
          <w:p w:rsidR="00F42223" w:rsidRPr="00F8674D" w:rsidRDefault="00887958" w:rsidP="00F8674D">
            <w:pPr>
              <w:jc w:val="center"/>
              <w:rPr>
                <w:rFonts w:eastAsia="Cambria"/>
              </w:rPr>
            </w:pPr>
            <w:r w:rsidRPr="00F8674D">
              <w:rPr>
                <w:rFonts w:eastAsia="Cambria"/>
              </w:rPr>
              <w:t>19</w:t>
            </w:r>
            <w:r w:rsidR="00A33AEC" w:rsidRPr="00F8674D">
              <w:rPr>
                <w:rFonts w:eastAsia="Cambria"/>
              </w:rPr>
              <w:t>.</w:t>
            </w:r>
          </w:p>
        </w:tc>
        <w:tc>
          <w:tcPr>
            <w:tcW w:w="5758" w:type="dxa"/>
            <w:shd w:val="clear" w:color="auto" w:fill="auto"/>
          </w:tcPr>
          <w:p w:rsidR="00F42223" w:rsidRPr="00F8674D" w:rsidRDefault="00F42223" w:rsidP="00F8674D">
            <w:pPr>
              <w:jc w:val="both"/>
              <w:rPr>
                <w:rFonts w:eastAsia="Cambria"/>
              </w:rPr>
            </w:pPr>
            <w:r w:rsidRPr="00F8674D">
              <w:rPr>
                <w:rFonts w:eastAsia="Cambria"/>
              </w:rPr>
              <w:t xml:space="preserve">ГАУЗ </w:t>
            </w:r>
            <w:r w:rsidR="002F7358" w:rsidRPr="00F8674D">
              <w:rPr>
                <w:rFonts w:eastAsia="Cambria"/>
              </w:rPr>
              <w:t>«</w:t>
            </w:r>
            <w:r w:rsidRPr="00F8674D">
              <w:rPr>
                <w:rFonts w:eastAsia="Cambria"/>
              </w:rPr>
              <w:t>Альметьевская ЦРБ</w:t>
            </w:r>
            <w:r w:rsidR="002F7358" w:rsidRPr="00F8674D">
              <w:rPr>
                <w:rFonts w:eastAsia="Cambria"/>
              </w:rPr>
              <w:t>»</w:t>
            </w:r>
          </w:p>
        </w:tc>
        <w:tc>
          <w:tcPr>
            <w:tcW w:w="1650" w:type="dxa"/>
            <w:shd w:val="clear" w:color="auto" w:fill="auto"/>
          </w:tcPr>
          <w:p w:rsidR="00F42223" w:rsidRPr="00F8674D" w:rsidRDefault="00F42223" w:rsidP="00F8674D">
            <w:pPr>
              <w:jc w:val="center"/>
              <w:rPr>
                <w:rFonts w:eastAsia="Cambria"/>
              </w:rPr>
            </w:pPr>
            <w:r w:rsidRPr="00F8674D">
              <w:rPr>
                <w:rFonts w:eastAsia="Cambria"/>
              </w:rPr>
              <w:t>1</w:t>
            </w:r>
          </w:p>
        </w:tc>
        <w:tc>
          <w:tcPr>
            <w:tcW w:w="2239" w:type="dxa"/>
            <w:shd w:val="clear" w:color="auto" w:fill="auto"/>
          </w:tcPr>
          <w:p w:rsidR="00F42223" w:rsidRPr="00F8674D" w:rsidRDefault="00F42223" w:rsidP="00F8674D">
            <w:pPr>
              <w:jc w:val="center"/>
              <w:rPr>
                <w:rFonts w:eastAsia="Cambria"/>
              </w:rPr>
            </w:pPr>
            <w:r w:rsidRPr="00F8674D">
              <w:rPr>
                <w:rFonts w:eastAsia="Cambria"/>
              </w:rPr>
              <w:t xml:space="preserve">с </w:t>
            </w:r>
            <w:r w:rsidR="00887958" w:rsidRPr="00F8674D">
              <w:rPr>
                <w:rFonts w:eastAsia="Cambria"/>
              </w:rPr>
              <w:t>01</w:t>
            </w:r>
            <w:r w:rsidR="003F1BDB" w:rsidRPr="00F8674D">
              <w:rPr>
                <w:rFonts w:eastAsia="Cambria"/>
              </w:rPr>
              <w:t>.</w:t>
            </w:r>
            <w:r w:rsidR="00887958" w:rsidRPr="00F8674D">
              <w:rPr>
                <w:rFonts w:eastAsia="Cambria"/>
              </w:rPr>
              <w:t>09</w:t>
            </w:r>
            <w:r w:rsidR="003F1BDB" w:rsidRPr="00F8674D">
              <w:rPr>
                <w:rFonts w:eastAsia="Cambria"/>
              </w:rPr>
              <w:t>.</w:t>
            </w:r>
            <w:r w:rsidRPr="00F8674D">
              <w:rPr>
                <w:rFonts w:eastAsia="Cambria"/>
              </w:rPr>
              <w:t>2021</w:t>
            </w:r>
          </w:p>
        </w:tc>
      </w:tr>
      <w:tr w:rsidR="00F42223" w:rsidRPr="00F8674D" w:rsidTr="00F8674D">
        <w:tblPrEx>
          <w:tblBorders>
            <w:bottom w:val="single" w:sz="4" w:space="0" w:color="auto"/>
          </w:tblBorders>
          <w:tblCellMar>
            <w:top w:w="17" w:type="dxa"/>
            <w:bottom w:w="17" w:type="dxa"/>
          </w:tblCellMar>
        </w:tblPrEx>
        <w:trPr>
          <w:trHeight w:val="20"/>
        </w:trPr>
        <w:tc>
          <w:tcPr>
            <w:tcW w:w="548" w:type="dxa"/>
            <w:gridSpan w:val="2"/>
            <w:shd w:val="clear" w:color="auto" w:fill="auto"/>
          </w:tcPr>
          <w:p w:rsidR="00F42223" w:rsidRPr="00F8674D" w:rsidRDefault="00887958" w:rsidP="00F8674D">
            <w:pPr>
              <w:jc w:val="center"/>
              <w:rPr>
                <w:rFonts w:eastAsia="Cambria"/>
              </w:rPr>
            </w:pPr>
            <w:r w:rsidRPr="00F8674D">
              <w:rPr>
                <w:rFonts w:eastAsia="Cambria"/>
              </w:rPr>
              <w:t>20</w:t>
            </w:r>
            <w:r w:rsidR="00A33AEC" w:rsidRPr="00F8674D">
              <w:rPr>
                <w:rFonts w:eastAsia="Cambria"/>
              </w:rPr>
              <w:t>.</w:t>
            </w:r>
          </w:p>
        </w:tc>
        <w:tc>
          <w:tcPr>
            <w:tcW w:w="5758" w:type="dxa"/>
            <w:shd w:val="clear" w:color="auto" w:fill="auto"/>
          </w:tcPr>
          <w:p w:rsidR="00F42223" w:rsidRPr="00F8674D" w:rsidRDefault="00F42223" w:rsidP="00F8674D">
            <w:pPr>
              <w:jc w:val="both"/>
              <w:rPr>
                <w:rFonts w:eastAsia="Cambria"/>
              </w:rPr>
            </w:pPr>
            <w:r w:rsidRPr="00F8674D">
              <w:rPr>
                <w:rFonts w:eastAsia="Cambria"/>
              </w:rPr>
              <w:t xml:space="preserve">ГАУЗ </w:t>
            </w:r>
            <w:r w:rsidR="002F7358" w:rsidRPr="00F8674D">
              <w:rPr>
                <w:rFonts w:eastAsia="Cambria"/>
              </w:rPr>
              <w:t>«</w:t>
            </w:r>
            <w:r w:rsidRPr="00F8674D">
              <w:rPr>
                <w:rFonts w:eastAsia="Cambria"/>
              </w:rPr>
              <w:t>Балтасинская ЦРБ</w:t>
            </w:r>
            <w:r w:rsidR="002F7358" w:rsidRPr="00F8674D">
              <w:rPr>
                <w:rFonts w:eastAsia="Cambria"/>
              </w:rPr>
              <w:t>»</w:t>
            </w:r>
          </w:p>
        </w:tc>
        <w:tc>
          <w:tcPr>
            <w:tcW w:w="1650" w:type="dxa"/>
            <w:shd w:val="clear" w:color="auto" w:fill="auto"/>
          </w:tcPr>
          <w:p w:rsidR="00F42223" w:rsidRPr="00F8674D" w:rsidRDefault="00F42223" w:rsidP="00F8674D">
            <w:pPr>
              <w:jc w:val="center"/>
              <w:rPr>
                <w:rFonts w:eastAsia="Cambria"/>
              </w:rPr>
            </w:pPr>
            <w:r w:rsidRPr="00F8674D">
              <w:rPr>
                <w:rFonts w:eastAsia="Cambria"/>
              </w:rPr>
              <w:t>1</w:t>
            </w:r>
          </w:p>
        </w:tc>
        <w:tc>
          <w:tcPr>
            <w:tcW w:w="2239" w:type="dxa"/>
            <w:shd w:val="clear" w:color="auto" w:fill="auto"/>
          </w:tcPr>
          <w:p w:rsidR="00F42223" w:rsidRPr="00F8674D" w:rsidRDefault="00F42223" w:rsidP="00F8674D">
            <w:pPr>
              <w:jc w:val="center"/>
              <w:rPr>
                <w:rFonts w:eastAsia="Cambria"/>
              </w:rPr>
            </w:pPr>
            <w:r w:rsidRPr="00F8674D">
              <w:rPr>
                <w:rFonts w:eastAsia="Cambria"/>
              </w:rPr>
              <w:t xml:space="preserve">с </w:t>
            </w:r>
            <w:r w:rsidR="00887958" w:rsidRPr="00F8674D">
              <w:rPr>
                <w:rFonts w:eastAsia="Cambria"/>
              </w:rPr>
              <w:t>01</w:t>
            </w:r>
            <w:r w:rsidR="00D40EC0" w:rsidRPr="00F8674D">
              <w:rPr>
                <w:rFonts w:eastAsia="Cambria"/>
              </w:rPr>
              <w:t>.</w:t>
            </w:r>
            <w:r w:rsidR="00887958" w:rsidRPr="00F8674D">
              <w:rPr>
                <w:rFonts w:eastAsia="Cambria"/>
              </w:rPr>
              <w:t>09</w:t>
            </w:r>
            <w:r w:rsidR="00D40EC0" w:rsidRPr="00F8674D">
              <w:rPr>
                <w:rFonts w:eastAsia="Cambria"/>
              </w:rPr>
              <w:t>.</w:t>
            </w:r>
            <w:r w:rsidRPr="00F8674D">
              <w:rPr>
                <w:rFonts w:eastAsia="Cambria"/>
              </w:rPr>
              <w:t>2020</w:t>
            </w:r>
          </w:p>
        </w:tc>
      </w:tr>
      <w:tr w:rsidR="00F42223" w:rsidRPr="00F8674D" w:rsidTr="00F8674D">
        <w:tblPrEx>
          <w:tblBorders>
            <w:bottom w:val="single" w:sz="4" w:space="0" w:color="auto"/>
          </w:tblBorders>
          <w:tblCellMar>
            <w:top w:w="17" w:type="dxa"/>
            <w:bottom w:w="17" w:type="dxa"/>
          </w:tblCellMar>
        </w:tblPrEx>
        <w:trPr>
          <w:trHeight w:val="20"/>
        </w:trPr>
        <w:tc>
          <w:tcPr>
            <w:tcW w:w="548" w:type="dxa"/>
            <w:gridSpan w:val="2"/>
            <w:shd w:val="clear" w:color="auto" w:fill="auto"/>
          </w:tcPr>
          <w:p w:rsidR="00F42223" w:rsidRPr="00F8674D" w:rsidRDefault="00887958" w:rsidP="00F8674D">
            <w:pPr>
              <w:jc w:val="center"/>
              <w:rPr>
                <w:rFonts w:eastAsia="Cambria"/>
              </w:rPr>
            </w:pPr>
            <w:r w:rsidRPr="00F8674D">
              <w:rPr>
                <w:rFonts w:eastAsia="Cambria"/>
              </w:rPr>
              <w:t>21</w:t>
            </w:r>
            <w:r w:rsidR="00A33AEC" w:rsidRPr="00F8674D">
              <w:rPr>
                <w:rFonts w:eastAsia="Cambria"/>
              </w:rPr>
              <w:t>.</w:t>
            </w:r>
          </w:p>
        </w:tc>
        <w:tc>
          <w:tcPr>
            <w:tcW w:w="5758" w:type="dxa"/>
            <w:shd w:val="clear" w:color="auto" w:fill="auto"/>
          </w:tcPr>
          <w:p w:rsidR="00F42223" w:rsidRPr="00F8674D" w:rsidRDefault="00F42223" w:rsidP="00F8674D">
            <w:pPr>
              <w:jc w:val="both"/>
              <w:rPr>
                <w:rFonts w:eastAsia="Cambria"/>
              </w:rPr>
            </w:pPr>
            <w:r w:rsidRPr="00F8674D">
              <w:rPr>
                <w:rFonts w:eastAsia="Cambria"/>
              </w:rPr>
              <w:t xml:space="preserve">ГАУЗ </w:t>
            </w:r>
            <w:r w:rsidR="002F7358" w:rsidRPr="00F8674D">
              <w:rPr>
                <w:rFonts w:eastAsia="Cambria"/>
              </w:rPr>
              <w:t>«</w:t>
            </w:r>
            <w:r w:rsidRPr="00F8674D">
              <w:rPr>
                <w:rFonts w:eastAsia="Cambria"/>
              </w:rPr>
              <w:t>Заинская ЦРБ</w:t>
            </w:r>
            <w:r w:rsidR="002F7358" w:rsidRPr="00F8674D">
              <w:rPr>
                <w:rFonts w:eastAsia="Cambria"/>
              </w:rPr>
              <w:t>»</w:t>
            </w:r>
          </w:p>
        </w:tc>
        <w:tc>
          <w:tcPr>
            <w:tcW w:w="1650" w:type="dxa"/>
            <w:shd w:val="clear" w:color="auto" w:fill="auto"/>
          </w:tcPr>
          <w:p w:rsidR="00F42223" w:rsidRPr="00F8674D" w:rsidRDefault="00F42223" w:rsidP="00F8674D">
            <w:pPr>
              <w:jc w:val="center"/>
              <w:rPr>
                <w:rFonts w:eastAsia="Cambria"/>
              </w:rPr>
            </w:pPr>
            <w:r w:rsidRPr="00F8674D">
              <w:rPr>
                <w:rFonts w:eastAsia="Cambria"/>
              </w:rPr>
              <w:t>1</w:t>
            </w:r>
          </w:p>
        </w:tc>
        <w:tc>
          <w:tcPr>
            <w:tcW w:w="2239" w:type="dxa"/>
            <w:shd w:val="clear" w:color="auto" w:fill="auto"/>
          </w:tcPr>
          <w:p w:rsidR="00F42223" w:rsidRPr="00F8674D" w:rsidRDefault="00F42223" w:rsidP="00F8674D">
            <w:pPr>
              <w:jc w:val="center"/>
              <w:rPr>
                <w:rFonts w:eastAsia="Cambria"/>
              </w:rPr>
            </w:pPr>
            <w:r w:rsidRPr="00F8674D">
              <w:rPr>
                <w:rFonts w:eastAsia="Cambria"/>
              </w:rPr>
              <w:t xml:space="preserve">с </w:t>
            </w:r>
            <w:r w:rsidR="00887958" w:rsidRPr="00F8674D">
              <w:rPr>
                <w:rFonts w:eastAsia="Cambria"/>
              </w:rPr>
              <w:t>01</w:t>
            </w:r>
            <w:r w:rsidR="00D40EC0" w:rsidRPr="00F8674D">
              <w:rPr>
                <w:rFonts w:eastAsia="Cambria"/>
              </w:rPr>
              <w:t>.</w:t>
            </w:r>
            <w:r w:rsidR="00887958" w:rsidRPr="00F8674D">
              <w:rPr>
                <w:rFonts w:eastAsia="Cambria"/>
              </w:rPr>
              <w:t>09</w:t>
            </w:r>
            <w:r w:rsidR="00D40EC0" w:rsidRPr="00F8674D">
              <w:rPr>
                <w:rFonts w:eastAsia="Cambria"/>
              </w:rPr>
              <w:t>.</w:t>
            </w:r>
            <w:r w:rsidRPr="00F8674D">
              <w:rPr>
                <w:rFonts w:eastAsia="Cambria"/>
              </w:rPr>
              <w:t>2020</w:t>
            </w:r>
          </w:p>
        </w:tc>
      </w:tr>
      <w:tr w:rsidR="00F42223" w:rsidRPr="00F8674D" w:rsidTr="00F8674D">
        <w:tblPrEx>
          <w:tblBorders>
            <w:bottom w:val="single" w:sz="4" w:space="0" w:color="auto"/>
          </w:tblBorders>
          <w:tblCellMar>
            <w:top w:w="17" w:type="dxa"/>
            <w:bottom w:w="17" w:type="dxa"/>
          </w:tblCellMar>
        </w:tblPrEx>
        <w:trPr>
          <w:trHeight w:val="20"/>
        </w:trPr>
        <w:tc>
          <w:tcPr>
            <w:tcW w:w="548" w:type="dxa"/>
            <w:gridSpan w:val="2"/>
            <w:shd w:val="clear" w:color="auto" w:fill="auto"/>
          </w:tcPr>
          <w:p w:rsidR="00F42223" w:rsidRPr="00F8674D" w:rsidRDefault="00887958" w:rsidP="00F8674D">
            <w:pPr>
              <w:jc w:val="center"/>
              <w:rPr>
                <w:rFonts w:eastAsia="Cambria"/>
              </w:rPr>
            </w:pPr>
            <w:r w:rsidRPr="00F8674D">
              <w:rPr>
                <w:rFonts w:eastAsia="Cambria"/>
              </w:rPr>
              <w:t>22</w:t>
            </w:r>
            <w:r w:rsidR="00A33AEC" w:rsidRPr="00F8674D">
              <w:rPr>
                <w:rFonts w:eastAsia="Cambria"/>
              </w:rPr>
              <w:t>.</w:t>
            </w:r>
          </w:p>
        </w:tc>
        <w:tc>
          <w:tcPr>
            <w:tcW w:w="5758" w:type="dxa"/>
            <w:shd w:val="clear" w:color="auto" w:fill="auto"/>
          </w:tcPr>
          <w:p w:rsidR="00F42223" w:rsidRPr="00F8674D" w:rsidRDefault="00F42223" w:rsidP="00F8674D">
            <w:pPr>
              <w:jc w:val="both"/>
              <w:rPr>
                <w:rFonts w:eastAsia="Cambria"/>
              </w:rPr>
            </w:pPr>
            <w:r w:rsidRPr="00F8674D">
              <w:rPr>
                <w:rFonts w:eastAsia="Cambria"/>
              </w:rPr>
              <w:t xml:space="preserve">ГАУЗ </w:t>
            </w:r>
            <w:r w:rsidR="002F7358" w:rsidRPr="00F8674D">
              <w:rPr>
                <w:rFonts w:eastAsia="Cambria"/>
              </w:rPr>
              <w:t>«</w:t>
            </w:r>
            <w:r w:rsidRPr="00F8674D">
              <w:rPr>
                <w:rFonts w:eastAsia="Cambria"/>
              </w:rPr>
              <w:t>Камско-Устьинская ЦРБ</w:t>
            </w:r>
            <w:r w:rsidR="002F7358" w:rsidRPr="00F8674D">
              <w:rPr>
                <w:rFonts w:eastAsia="Cambria"/>
              </w:rPr>
              <w:t>»</w:t>
            </w:r>
          </w:p>
        </w:tc>
        <w:tc>
          <w:tcPr>
            <w:tcW w:w="1650" w:type="dxa"/>
            <w:shd w:val="clear" w:color="auto" w:fill="auto"/>
          </w:tcPr>
          <w:p w:rsidR="00F42223" w:rsidRPr="00F8674D" w:rsidRDefault="00F42223" w:rsidP="00F8674D">
            <w:pPr>
              <w:jc w:val="center"/>
              <w:rPr>
                <w:rFonts w:eastAsia="Cambria"/>
              </w:rPr>
            </w:pPr>
            <w:r w:rsidRPr="00F8674D">
              <w:rPr>
                <w:rFonts w:eastAsia="Cambria"/>
              </w:rPr>
              <w:t>1</w:t>
            </w:r>
          </w:p>
        </w:tc>
        <w:tc>
          <w:tcPr>
            <w:tcW w:w="2239" w:type="dxa"/>
            <w:shd w:val="clear" w:color="auto" w:fill="auto"/>
          </w:tcPr>
          <w:p w:rsidR="00F42223" w:rsidRPr="00F8674D" w:rsidRDefault="00F42223" w:rsidP="00F8674D">
            <w:pPr>
              <w:jc w:val="center"/>
              <w:rPr>
                <w:rFonts w:eastAsia="Cambria"/>
              </w:rPr>
            </w:pPr>
            <w:r w:rsidRPr="00F8674D">
              <w:rPr>
                <w:rFonts w:eastAsia="Cambria"/>
              </w:rPr>
              <w:t xml:space="preserve">с </w:t>
            </w:r>
            <w:r w:rsidR="00887958" w:rsidRPr="00F8674D">
              <w:rPr>
                <w:rFonts w:eastAsia="Cambria"/>
              </w:rPr>
              <w:t>01</w:t>
            </w:r>
            <w:r w:rsidR="00D40EC0" w:rsidRPr="00F8674D">
              <w:rPr>
                <w:rFonts w:eastAsia="Cambria"/>
              </w:rPr>
              <w:t>.</w:t>
            </w:r>
            <w:r w:rsidR="00887958" w:rsidRPr="00F8674D">
              <w:rPr>
                <w:rFonts w:eastAsia="Cambria"/>
              </w:rPr>
              <w:t>09</w:t>
            </w:r>
            <w:r w:rsidR="00D40EC0" w:rsidRPr="00F8674D">
              <w:rPr>
                <w:rFonts w:eastAsia="Cambria"/>
              </w:rPr>
              <w:t>.</w:t>
            </w:r>
            <w:r w:rsidRPr="00F8674D">
              <w:rPr>
                <w:rFonts w:eastAsia="Cambria"/>
              </w:rPr>
              <w:t>2020</w:t>
            </w:r>
          </w:p>
        </w:tc>
      </w:tr>
      <w:tr w:rsidR="00F42223" w:rsidRPr="00F8674D" w:rsidTr="00F8674D">
        <w:tblPrEx>
          <w:tblBorders>
            <w:bottom w:val="single" w:sz="4" w:space="0" w:color="auto"/>
          </w:tblBorders>
          <w:tblCellMar>
            <w:top w:w="17" w:type="dxa"/>
            <w:bottom w:w="17" w:type="dxa"/>
          </w:tblCellMar>
        </w:tblPrEx>
        <w:trPr>
          <w:trHeight w:val="20"/>
        </w:trPr>
        <w:tc>
          <w:tcPr>
            <w:tcW w:w="548" w:type="dxa"/>
            <w:gridSpan w:val="2"/>
            <w:shd w:val="clear" w:color="auto" w:fill="auto"/>
          </w:tcPr>
          <w:p w:rsidR="00F42223" w:rsidRPr="00F8674D" w:rsidRDefault="00887958" w:rsidP="00F8674D">
            <w:pPr>
              <w:jc w:val="center"/>
              <w:rPr>
                <w:rFonts w:eastAsia="Cambria"/>
              </w:rPr>
            </w:pPr>
            <w:r w:rsidRPr="00F8674D">
              <w:rPr>
                <w:rFonts w:eastAsia="Cambria"/>
              </w:rPr>
              <w:t>23</w:t>
            </w:r>
            <w:r w:rsidR="00A33AEC" w:rsidRPr="00F8674D">
              <w:rPr>
                <w:rFonts w:eastAsia="Cambria"/>
              </w:rPr>
              <w:t>.</w:t>
            </w:r>
          </w:p>
        </w:tc>
        <w:tc>
          <w:tcPr>
            <w:tcW w:w="5758" w:type="dxa"/>
            <w:shd w:val="clear" w:color="auto" w:fill="auto"/>
          </w:tcPr>
          <w:p w:rsidR="00F42223" w:rsidRPr="00F8674D" w:rsidRDefault="00F42223" w:rsidP="00F8674D">
            <w:pPr>
              <w:jc w:val="both"/>
              <w:rPr>
                <w:rFonts w:eastAsia="Cambria"/>
              </w:rPr>
            </w:pPr>
            <w:r w:rsidRPr="00F8674D">
              <w:rPr>
                <w:rFonts w:eastAsia="Cambria"/>
              </w:rPr>
              <w:t xml:space="preserve">ГАУЗ </w:t>
            </w:r>
            <w:r w:rsidR="002F7358" w:rsidRPr="00F8674D">
              <w:rPr>
                <w:rFonts w:eastAsia="Cambria"/>
              </w:rPr>
              <w:t>«</w:t>
            </w:r>
            <w:r w:rsidRPr="00F8674D">
              <w:rPr>
                <w:rFonts w:eastAsia="Cambria"/>
              </w:rPr>
              <w:t>Лениногорская ЦРБ</w:t>
            </w:r>
            <w:r w:rsidR="002F7358" w:rsidRPr="00F8674D">
              <w:rPr>
                <w:rFonts w:eastAsia="Cambria"/>
              </w:rPr>
              <w:t>»</w:t>
            </w:r>
          </w:p>
        </w:tc>
        <w:tc>
          <w:tcPr>
            <w:tcW w:w="1650" w:type="dxa"/>
            <w:shd w:val="clear" w:color="auto" w:fill="auto"/>
          </w:tcPr>
          <w:p w:rsidR="00F42223" w:rsidRPr="00F8674D" w:rsidRDefault="00F42223" w:rsidP="00F8674D">
            <w:pPr>
              <w:jc w:val="center"/>
              <w:rPr>
                <w:rFonts w:eastAsia="Cambria"/>
              </w:rPr>
            </w:pPr>
            <w:r w:rsidRPr="00F8674D">
              <w:rPr>
                <w:rFonts w:eastAsia="Cambria"/>
              </w:rPr>
              <w:t>1</w:t>
            </w:r>
          </w:p>
        </w:tc>
        <w:tc>
          <w:tcPr>
            <w:tcW w:w="2239" w:type="dxa"/>
            <w:shd w:val="clear" w:color="auto" w:fill="auto"/>
          </w:tcPr>
          <w:p w:rsidR="00F42223" w:rsidRPr="00F8674D" w:rsidRDefault="00F42223" w:rsidP="00F8674D">
            <w:pPr>
              <w:jc w:val="center"/>
              <w:rPr>
                <w:rFonts w:eastAsia="Cambria"/>
              </w:rPr>
            </w:pPr>
            <w:r w:rsidRPr="00F8674D">
              <w:rPr>
                <w:rFonts w:eastAsia="Cambria"/>
              </w:rPr>
              <w:t xml:space="preserve">с </w:t>
            </w:r>
            <w:r w:rsidR="00887958" w:rsidRPr="00F8674D">
              <w:rPr>
                <w:rFonts w:eastAsia="Cambria"/>
              </w:rPr>
              <w:t>01</w:t>
            </w:r>
            <w:r w:rsidR="00D40EC0" w:rsidRPr="00F8674D">
              <w:rPr>
                <w:rFonts w:eastAsia="Cambria"/>
              </w:rPr>
              <w:t>.</w:t>
            </w:r>
            <w:r w:rsidR="00887958" w:rsidRPr="00F8674D">
              <w:rPr>
                <w:rFonts w:eastAsia="Cambria"/>
              </w:rPr>
              <w:t>09</w:t>
            </w:r>
            <w:r w:rsidR="00D40EC0" w:rsidRPr="00F8674D">
              <w:rPr>
                <w:rFonts w:eastAsia="Cambria"/>
              </w:rPr>
              <w:t>.</w:t>
            </w:r>
            <w:r w:rsidRPr="00F8674D">
              <w:rPr>
                <w:rFonts w:eastAsia="Cambria"/>
              </w:rPr>
              <w:t>2020</w:t>
            </w:r>
          </w:p>
        </w:tc>
      </w:tr>
      <w:tr w:rsidR="00F42223" w:rsidRPr="00F8674D" w:rsidTr="00F8674D">
        <w:tblPrEx>
          <w:tblBorders>
            <w:bottom w:val="single" w:sz="4" w:space="0" w:color="auto"/>
          </w:tblBorders>
          <w:tblCellMar>
            <w:top w:w="17" w:type="dxa"/>
            <w:bottom w:w="17" w:type="dxa"/>
          </w:tblCellMar>
        </w:tblPrEx>
        <w:trPr>
          <w:trHeight w:val="20"/>
        </w:trPr>
        <w:tc>
          <w:tcPr>
            <w:tcW w:w="548" w:type="dxa"/>
            <w:gridSpan w:val="2"/>
            <w:shd w:val="clear" w:color="auto" w:fill="auto"/>
          </w:tcPr>
          <w:p w:rsidR="00F42223" w:rsidRPr="00F8674D" w:rsidRDefault="00887958" w:rsidP="00F8674D">
            <w:pPr>
              <w:jc w:val="center"/>
              <w:rPr>
                <w:rFonts w:eastAsia="Cambria"/>
              </w:rPr>
            </w:pPr>
            <w:r w:rsidRPr="00F8674D">
              <w:rPr>
                <w:rFonts w:eastAsia="Cambria"/>
              </w:rPr>
              <w:t>24</w:t>
            </w:r>
            <w:r w:rsidR="00A33AEC" w:rsidRPr="00F8674D">
              <w:rPr>
                <w:rFonts w:eastAsia="Cambria"/>
              </w:rPr>
              <w:t>.</w:t>
            </w:r>
          </w:p>
        </w:tc>
        <w:tc>
          <w:tcPr>
            <w:tcW w:w="5758" w:type="dxa"/>
            <w:shd w:val="clear" w:color="auto" w:fill="auto"/>
          </w:tcPr>
          <w:p w:rsidR="00F42223" w:rsidRPr="00F8674D" w:rsidRDefault="00F42223" w:rsidP="00F8674D">
            <w:pPr>
              <w:jc w:val="both"/>
              <w:rPr>
                <w:rFonts w:eastAsia="Cambria"/>
              </w:rPr>
            </w:pPr>
            <w:r w:rsidRPr="00F8674D">
              <w:rPr>
                <w:rFonts w:eastAsia="Cambria"/>
              </w:rPr>
              <w:t xml:space="preserve">ГАУЗ </w:t>
            </w:r>
            <w:r w:rsidR="002F7358" w:rsidRPr="00F8674D">
              <w:rPr>
                <w:rFonts w:eastAsia="Cambria"/>
              </w:rPr>
              <w:t>«</w:t>
            </w:r>
            <w:r w:rsidRPr="00F8674D">
              <w:rPr>
                <w:rFonts w:eastAsia="Cambria"/>
              </w:rPr>
              <w:t>Аксубаевская ЦРБ</w:t>
            </w:r>
            <w:r w:rsidR="002F7358" w:rsidRPr="00F8674D">
              <w:rPr>
                <w:rFonts w:eastAsia="Cambria"/>
              </w:rPr>
              <w:t>»</w:t>
            </w:r>
          </w:p>
        </w:tc>
        <w:tc>
          <w:tcPr>
            <w:tcW w:w="1650" w:type="dxa"/>
            <w:shd w:val="clear" w:color="auto" w:fill="auto"/>
          </w:tcPr>
          <w:p w:rsidR="00F42223" w:rsidRPr="00F8674D" w:rsidRDefault="00F42223" w:rsidP="00F8674D">
            <w:pPr>
              <w:jc w:val="center"/>
              <w:rPr>
                <w:rFonts w:eastAsia="Cambria"/>
              </w:rPr>
            </w:pPr>
            <w:r w:rsidRPr="00F8674D">
              <w:rPr>
                <w:rFonts w:eastAsia="Cambria"/>
              </w:rPr>
              <w:t>1</w:t>
            </w:r>
          </w:p>
        </w:tc>
        <w:tc>
          <w:tcPr>
            <w:tcW w:w="2239" w:type="dxa"/>
            <w:shd w:val="clear" w:color="auto" w:fill="auto"/>
          </w:tcPr>
          <w:p w:rsidR="00F42223" w:rsidRPr="00F8674D" w:rsidRDefault="00F42223" w:rsidP="00F8674D">
            <w:pPr>
              <w:jc w:val="center"/>
              <w:rPr>
                <w:rFonts w:eastAsia="Cambria"/>
              </w:rPr>
            </w:pPr>
            <w:r w:rsidRPr="00F8674D">
              <w:rPr>
                <w:rFonts w:eastAsia="Cambria"/>
              </w:rPr>
              <w:t xml:space="preserve">с </w:t>
            </w:r>
            <w:r w:rsidR="00887958" w:rsidRPr="00F8674D">
              <w:rPr>
                <w:rFonts w:eastAsia="Cambria"/>
              </w:rPr>
              <w:t>01</w:t>
            </w:r>
            <w:r w:rsidR="00D40EC0" w:rsidRPr="00F8674D">
              <w:rPr>
                <w:rFonts w:eastAsia="Cambria"/>
              </w:rPr>
              <w:t>.</w:t>
            </w:r>
            <w:r w:rsidR="00887958" w:rsidRPr="00F8674D">
              <w:rPr>
                <w:rFonts w:eastAsia="Cambria"/>
              </w:rPr>
              <w:t>09</w:t>
            </w:r>
            <w:r w:rsidR="00D40EC0" w:rsidRPr="00F8674D">
              <w:rPr>
                <w:rFonts w:eastAsia="Cambria"/>
              </w:rPr>
              <w:t>.</w:t>
            </w:r>
            <w:r w:rsidRPr="00F8674D">
              <w:rPr>
                <w:rFonts w:eastAsia="Cambria"/>
              </w:rPr>
              <w:t>2020</w:t>
            </w:r>
          </w:p>
        </w:tc>
      </w:tr>
      <w:tr w:rsidR="00F42223" w:rsidRPr="00F8674D" w:rsidTr="00F8674D">
        <w:tblPrEx>
          <w:tblBorders>
            <w:bottom w:val="single" w:sz="4" w:space="0" w:color="auto"/>
          </w:tblBorders>
          <w:tblCellMar>
            <w:top w:w="17" w:type="dxa"/>
            <w:bottom w:w="17" w:type="dxa"/>
          </w:tblCellMar>
        </w:tblPrEx>
        <w:trPr>
          <w:trHeight w:val="20"/>
        </w:trPr>
        <w:tc>
          <w:tcPr>
            <w:tcW w:w="548" w:type="dxa"/>
            <w:gridSpan w:val="2"/>
            <w:shd w:val="clear" w:color="auto" w:fill="auto"/>
          </w:tcPr>
          <w:p w:rsidR="00F42223" w:rsidRPr="00F8674D" w:rsidRDefault="00887958" w:rsidP="00F8674D">
            <w:pPr>
              <w:jc w:val="center"/>
              <w:rPr>
                <w:rFonts w:eastAsia="Cambria"/>
              </w:rPr>
            </w:pPr>
            <w:r w:rsidRPr="00F8674D">
              <w:rPr>
                <w:rFonts w:eastAsia="Cambria"/>
              </w:rPr>
              <w:t>25</w:t>
            </w:r>
            <w:r w:rsidR="00A33AEC" w:rsidRPr="00F8674D">
              <w:rPr>
                <w:rFonts w:eastAsia="Cambria"/>
              </w:rPr>
              <w:t>.</w:t>
            </w:r>
          </w:p>
        </w:tc>
        <w:tc>
          <w:tcPr>
            <w:tcW w:w="5758" w:type="dxa"/>
            <w:shd w:val="clear" w:color="auto" w:fill="auto"/>
          </w:tcPr>
          <w:p w:rsidR="00F42223" w:rsidRPr="00F8674D" w:rsidRDefault="00F42223" w:rsidP="00F8674D">
            <w:pPr>
              <w:jc w:val="both"/>
              <w:rPr>
                <w:rFonts w:eastAsia="Cambria"/>
              </w:rPr>
            </w:pPr>
            <w:r w:rsidRPr="00F8674D">
              <w:rPr>
                <w:rFonts w:eastAsia="Cambria"/>
              </w:rPr>
              <w:t xml:space="preserve">ГАУЗ </w:t>
            </w:r>
            <w:r w:rsidR="002F7358" w:rsidRPr="00F8674D">
              <w:rPr>
                <w:rFonts w:eastAsia="Cambria"/>
              </w:rPr>
              <w:t>«</w:t>
            </w:r>
            <w:r w:rsidRPr="00F8674D">
              <w:rPr>
                <w:rFonts w:eastAsia="Cambria"/>
              </w:rPr>
              <w:t>Менделеевская ЦРБ</w:t>
            </w:r>
            <w:r w:rsidR="002F7358" w:rsidRPr="00F8674D">
              <w:rPr>
                <w:rFonts w:eastAsia="Cambria"/>
              </w:rPr>
              <w:t>»</w:t>
            </w:r>
          </w:p>
        </w:tc>
        <w:tc>
          <w:tcPr>
            <w:tcW w:w="1650" w:type="dxa"/>
            <w:shd w:val="clear" w:color="auto" w:fill="auto"/>
          </w:tcPr>
          <w:p w:rsidR="00F42223" w:rsidRPr="00F8674D" w:rsidRDefault="00F42223" w:rsidP="00F8674D">
            <w:pPr>
              <w:jc w:val="center"/>
              <w:rPr>
                <w:rFonts w:eastAsia="Cambria"/>
              </w:rPr>
            </w:pPr>
            <w:r w:rsidRPr="00F8674D">
              <w:rPr>
                <w:rFonts w:eastAsia="Cambria"/>
              </w:rPr>
              <w:t>1</w:t>
            </w:r>
          </w:p>
        </w:tc>
        <w:tc>
          <w:tcPr>
            <w:tcW w:w="2239" w:type="dxa"/>
            <w:shd w:val="clear" w:color="auto" w:fill="auto"/>
          </w:tcPr>
          <w:p w:rsidR="00F42223" w:rsidRPr="00F8674D" w:rsidRDefault="00F42223" w:rsidP="00F8674D">
            <w:pPr>
              <w:jc w:val="center"/>
              <w:rPr>
                <w:rFonts w:eastAsia="Cambria"/>
              </w:rPr>
            </w:pPr>
            <w:r w:rsidRPr="00F8674D">
              <w:rPr>
                <w:rFonts w:eastAsia="Cambria"/>
              </w:rPr>
              <w:t xml:space="preserve">с </w:t>
            </w:r>
            <w:r w:rsidR="00887958" w:rsidRPr="00F8674D">
              <w:rPr>
                <w:rFonts w:eastAsia="Cambria"/>
              </w:rPr>
              <w:t>01</w:t>
            </w:r>
            <w:r w:rsidR="00D40EC0" w:rsidRPr="00F8674D">
              <w:rPr>
                <w:rFonts w:eastAsia="Cambria"/>
              </w:rPr>
              <w:t>.</w:t>
            </w:r>
            <w:r w:rsidR="00887958" w:rsidRPr="00F8674D">
              <w:rPr>
                <w:rFonts w:eastAsia="Cambria"/>
              </w:rPr>
              <w:t>09</w:t>
            </w:r>
            <w:r w:rsidR="00D40EC0" w:rsidRPr="00F8674D">
              <w:rPr>
                <w:rFonts w:eastAsia="Cambria"/>
              </w:rPr>
              <w:t>.</w:t>
            </w:r>
            <w:r w:rsidRPr="00F8674D">
              <w:rPr>
                <w:rFonts w:eastAsia="Cambria"/>
              </w:rPr>
              <w:t>2020</w:t>
            </w:r>
          </w:p>
        </w:tc>
      </w:tr>
      <w:tr w:rsidR="00F42223" w:rsidRPr="00F8674D" w:rsidTr="00F8674D">
        <w:tblPrEx>
          <w:tblBorders>
            <w:bottom w:val="single" w:sz="4" w:space="0" w:color="auto"/>
          </w:tblBorders>
          <w:tblCellMar>
            <w:top w:w="17" w:type="dxa"/>
            <w:bottom w:w="17" w:type="dxa"/>
          </w:tblCellMar>
        </w:tblPrEx>
        <w:trPr>
          <w:trHeight w:val="20"/>
        </w:trPr>
        <w:tc>
          <w:tcPr>
            <w:tcW w:w="548" w:type="dxa"/>
            <w:gridSpan w:val="2"/>
            <w:shd w:val="clear" w:color="auto" w:fill="auto"/>
          </w:tcPr>
          <w:p w:rsidR="00F42223" w:rsidRPr="00F8674D" w:rsidRDefault="00887958" w:rsidP="00F8674D">
            <w:pPr>
              <w:jc w:val="center"/>
              <w:rPr>
                <w:rFonts w:eastAsia="Cambria"/>
              </w:rPr>
            </w:pPr>
            <w:r w:rsidRPr="00F8674D">
              <w:rPr>
                <w:rFonts w:eastAsia="Cambria"/>
              </w:rPr>
              <w:t>26</w:t>
            </w:r>
            <w:r w:rsidR="00A33AEC" w:rsidRPr="00F8674D">
              <w:rPr>
                <w:rFonts w:eastAsia="Cambria"/>
              </w:rPr>
              <w:t>.</w:t>
            </w:r>
          </w:p>
        </w:tc>
        <w:tc>
          <w:tcPr>
            <w:tcW w:w="5758" w:type="dxa"/>
            <w:shd w:val="clear" w:color="auto" w:fill="auto"/>
          </w:tcPr>
          <w:p w:rsidR="00F42223" w:rsidRPr="00F8674D" w:rsidRDefault="00F42223" w:rsidP="00F8674D">
            <w:pPr>
              <w:jc w:val="both"/>
              <w:rPr>
                <w:rFonts w:eastAsia="Cambria"/>
              </w:rPr>
            </w:pPr>
            <w:r w:rsidRPr="00F8674D">
              <w:rPr>
                <w:rFonts w:eastAsia="Cambria"/>
              </w:rPr>
              <w:t xml:space="preserve">ГАУЗ </w:t>
            </w:r>
            <w:r w:rsidR="002F7358" w:rsidRPr="00F8674D">
              <w:rPr>
                <w:rFonts w:eastAsia="Cambria"/>
              </w:rPr>
              <w:t>«</w:t>
            </w:r>
            <w:r w:rsidRPr="00F8674D">
              <w:rPr>
                <w:rFonts w:eastAsia="Cambria"/>
              </w:rPr>
              <w:t>Мензелинская ЦРБ</w:t>
            </w:r>
            <w:r w:rsidR="002F7358" w:rsidRPr="00F8674D">
              <w:rPr>
                <w:rFonts w:eastAsia="Cambria"/>
              </w:rPr>
              <w:t>»</w:t>
            </w:r>
          </w:p>
        </w:tc>
        <w:tc>
          <w:tcPr>
            <w:tcW w:w="1650" w:type="dxa"/>
            <w:shd w:val="clear" w:color="auto" w:fill="auto"/>
          </w:tcPr>
          <w:p w:rsidR="00F42223" w:rsidRPr="00F8674D" w:rsidRDefault="00F42223" w:rsidP="00F8674D">
            <w:pPr>
              <w:jc w:val="center"/>
              <w:rPr>
                <w:rFonts w:eastAsia="Cambria"/>
              </w:rPr>
            </w:pPr>
            <w:r w:rsidRPr="00F8674D">
              <w:rPr>
                <w:rFonts w:eastAsia="Cambria"/>
              </w:rPr>
              <w:t>1</w:t>
            </w:r>
          </w:p>
        </w:tc>
        <w:tc>
          <w:tcPr>
            <w:tcW w:w="2239" w:type="dxa"/>
            <w:shd w:val="clear" w:color="auto" w:fill="auto"/>
          </w:tcPr>
          <w:p w:rsidR="00F42223" w:rsidRPr="00F8674D" w:rsidRDefault="00F42223" w:rsidP="00F8674D">
            <w:pPr>
              <w:jc w:val="center"/>
              <w:rPr>
                <w:rFonts w:eastAsia="Cambria"/>
              </w:rPr>
            </w:pPr>
            <w:r w:rsidRPr="00F8674D">
              <w:rPr>
                <w:rFonts w:eastAsia="Cambria"/>
              </w:rPr>
              <w:t xml:space="preserve">с </w:t>
            </w:r>
            <w:r w:rsidR="00887958" w:rsidRPr="00F8674D">
              <w:rPr>
                <w:rFonts w:eastAsia="Cambria"/>
              </w:rPr>
              <w:t>01</w:t>
            </w:r>
            <w:r w:rsidR="00D40EC0" w:rsidRPr="00F8674D">
              <w:rPr>
                <w:rFonts w:eastAsia="Cambria"/>
              </w:rPr>
              <w:t>.</w:t>
            </w:r>
            <w:r w:rsidR="00887958" w:rsidRPr="00F8674D">
              <w:rPr>
                <w:rFonts w:eastAsia="Cambria"/>
              </w:rPr>
              <w:t>09</w:t>
            </w:r>
            <w:r w:rsidR="00D40EC0" w:rsidRPr="00F8674D">
              <w:rPr>
                <w:rFonts w:eastAsia="Cambria"/>
              </w:rPr>
              <w:t>.</w:t>
            </w:r>
            <w:r w:rsidRPr="00F8674D">
              <w:rPr>
                <w:rFonts w:eastAsia="Cambria"/>
              </w:rPr>
              <w:t>2020</w:t>
            </w:r>
          </w:p>
        </w:tc>
      </w:tr>
      <w:tr w:rsidR="00F42223" w:rsidRPr="00F8674D" w:rsidTr="00F8674D">
        <w:tblPrEx>
          <w:tblBorders>
            <w:bottom w:val="single" w:sz="4" w:space="0" w:color="auto"/>
          </w:tblBorders>
          <w:tblCellMar>
            <w:top w:w="17" w:type="dxa"/>
            <w:bottom w:w="17" w:type="dxa"/>
          </w:tblCellMar>
        </w:tblPrEx>
        <w:trPr>
          <w:trHeight w:val="20"/>
        </w:trPr>
        <w:tc>
          <w:tcPr>
            <w:tcW w:w="548" w:type="dxa"/>
            <w:gridSpan w:val="2"/>
            <w:shd w:val="clear" w:color="auto" w:fill="auto"/>
          </w:tcPr>
          <w:p w:rsidR="00F42223" w:rsidRPr="00F8674D" w:rsidRDefault="00887958" w:rsidP="00F8674D">
            <w:pPr>
              <w:jc w:val="center"/>
              <w:rPr>
                <w:rFonts w:eastAsia="Cambria"/>
              </w:rPr>
            </w:pPr>
            <w:r w:rsidRPr="00F8674D">
              <w:rPr>
                <w:rFonts w:eastAsia="Cambria"/>
              </w:rPr>
              <w:t>27</w:t>
            </w:r>
            <w:r w:rsidR="00A33AEC" w:rsidRPr="00F8674D">
              <w:rPr>
                <w:rFonts w:eastAsia="Cambria"/>
              </w:rPr>
              <w:t>.</w:t>
            </w:r>
          </w:p>
        </w:tc>
        <w:tc>
          <w:tcPr>
            <w:tcW w:w="5758" w:type="dxa"/>
            <w:shd w:val="clear" w:color="auto" w:fill="auto"/>
          </w:tcPr>
          <w:p w:rsidR="00F42223" w:rsidRPr="00F8674D" w:rsidRDefault="00F42223" w:rsidP="00F8674D">
            <w:pPr>
              <w:jc w:val="both"/>
              <w:rPr>
                <w:rFonts w:eastAsia="Cambria"/>
              </w:rPr>
            </w:pPr>
            <w:r w:rsidRPr="00F8674D">
              <w:rPr>
                <w:rFonts w:eastAsia="Cambria"/>
              </w:rPr>
              <w:t xml:space="preserve">ГАУЗ </w:t>
            </w:r>
            <w:r w:rsidR="002F7358" w:rsidRPr="00F8674D">
              <w:rPr>
                <w:rFonts w:eastAsia="Cambria"/>
              </w:rPr>
              <w:t>«</w:t>
            </w:r>
            <w:r w:rsidRPr="00F8674D">
              <w:rPr>
                <w:rFonts w:eastAsia="Cambria"/>
              </w:rPr>
              <w:t>Нурлатская ЦРБ</w:t>
            </w:r>
            <w:r w:rsidR="002F7358" w:rsidRPr="00F8674D">
              <w:rPr>
                <w:rFonts w:eastAsia="Cambria"/>
              </w:rPr>
              <w:t>»</w:t>
            </w:r>
          </w:p>
        </w:tc>
        <w:tc>
          <w:tcPr>
            <w:tcW w:w="1650" w:type="dxa"/>
            <w:shd w:val="clear" w:color="auto" w:fill="auto"/>
          </w:tcPr>
          <w:p w:rsidR="00F42223" w:rsidRPr="00F8674D" w:rsidRDefault="00F42223" w:rsidP="00F8674D">
            <w:pPr>
              <w:jc w:val="center"/>
              <w:rPr>
                <w:rFonts w:eastAsia="Cambria"/>
              </w:rPr>
            </w:pPr>
            <w:r w:rsidRPr="00F8674D">
              <w:rPr>
                <w:rFonts w:eastAsia="Cambria"/>
              </w:rPr>
              <w:t>1</w:t>
            </w:r>
          </w:p>
        </w:tc>
        <w:tc>
          <w:tcPr>
            <w:tcW w:w="2239" w:type="dxa"/>
            <w:shd w:val="clear" w:color="auto" w:fill="auto"/>
          </w:tcPr>
          <w:p w:rsidR="00F42223" w:rsidRPr="00F8674D" w:rsidRDefault="00F42223" w:rsidP="00F8674D">
            <w:pPr>
              <w:jc w:val="center"/>
              <w:rPr>
                <w:rFonts w:eastAsia="Cambria"/>
              </w:rPr>
            </w:pPr>
            <w:r w:rsidRPr="00F8674D">
              <w:rPr>
                <w:rFonts w:eastAsia="Cambria"/>
              </w:rPr>
              <w:t xml:space="preserve">с </w:t>
            </w:r>
            <w:r w:rsidR="00887958" w:rsidRPr="00F8674D">
              <w:rPr>
                <w:rFonts w:eastAsia="Cambria"/>
              </w:rPr>
              <w:t>01</w:t>
            </w:r>
            <w:r w:rsidR="00D40EC0" w:rsidRPr="00F8674D">
              <w:rPr>
                <w:rFonts w:eastAsia="Cambria"/>
              </w:rPr>
              <w:t>.</w:t>
            </w:r>
            <w:r w:rsidR="00887958" w:rsidRPr="00F8674D">
              <w:rPr>
                <w:rFonts w:eastAsia="Cambria"/>
              </w:rPr>
              <w:t>09</w:t>
            </w:r>
            <w:r w:rsidR="00D40EC0" w:rsidRPr="00F8674D">
              <w:rPr>
                <w:rFonts w:eastAsia="Cambria"/>
              </w:rPr>
              <w:t>.</w:t>
            </w:r>
            <w:r w:rsidRPr="00F8674D">
              <w:rPr>
                <w:rFonts w:eastAsia="Cambria"/>
              </w:rPr>
              <w:t>2021</w:t>
            </w:r>
          </w:p>
        </w:tc>
      </w:tr>
      <w:tr w:rsidR="00F42223" w:rsidRPr="00F8674D" w:rsidTr="00F8674D">
        <w:tblPrEx>
          <w:tblBorders>
            <w:bottom w:val="single" w:sz="4" w:space="0" w:color="auto"/>
          </w:tblBorders>
          <w:tblCellMar>
            <w:top w:w="17" w:type="dxa"/>
            <w:bottom w:w="17" w:type="dxa"/>
          </w:tblCellMar>
        </w:tblPrEx>
        <w:trPr>
          <w:trHeight w:val="20"/>
        </w:trPr>
        <w:tc>
          <w:tcPr>
            <w:tcW w:w="548" w:type="dxa"/>
            <w:gridSpan w:val="2"/>
            <w:shd w:val="clear" w:color="auto" w:fill="auto"/>
          </w:tcPr>
          <w:p w:rsidR="00F42223" w:rsidRPr="00F8674D" w:rsidRDefault="00887958" w:rsidP="00F8674D">
            <w:pPr>
              <w:jc w:val="center"/>
              <w:rPr>
                <w:rFonts w:eastAsia="Cambria"/>
              </w:rPr>
            </w:pPr>
            <w:r w:rsidRPr="00F8674D">
              <w:rPr>
                <w:rFonts w:eastAsia="Cambria"/>
              </w:rPr>
              <w:t>28</w:t>
            </w:r>
            <w:r w:rsidR="00A33AEC" w:rsidRPr="00F8674D">
              <w:rPr>
                <w:rFonts w:eastAsia="Cambria"/>
              </w:rPr>
              <w:t>.</w:t>
            </w:r>
          </w:p>
        </w:tc>
        <w:tc>
          <w:tcPr>
            <w:tcW w:w="5758" w:type="dxa"/>
            <w:shd w:val="clear" w:color="auto" w:fill="auto"/>
          </w:tcPr>
          <w:p w:rsidR="00F42223" w:rsidRPr="00F8674D" w:rsidRDefault="00F42223" w:rsidP="00F8674D">
            <w:pPr>
              <w:jc w:val="both"/>
              <w:rPr>
                <w:rFonts w:eastAsia="Cambria"/>
              </w:rPr>
            </w:pPr>
            <w:r w:rsidRPr="00F8674D">
              <w:rPr>
                <w:rFonts w:eastAsia="Cambria"/>
              </w:rPr>
              <w:t xml:space="preserve">ГАУЗ </w:t>
            </w:r>
            <w:r w:rsidR="002F7358" w:rsidRPr="00F8674D">
              <w:rPr>
                <w:rFonts w:eastAsia="Cambria"/>
              </w:rPr>
              <w:t>«</w:t>
            </w:r>
            <w:r w:rsidRPr="00F8674D">
              <w:rPr>
                <w:rFonts w:eastAsia="Cambria"/>
              </w:rPr>
              <w:t>Сармановская ЦРБ</w:t>
            </w:r>
            <w:r w:rsidR="002F7358" w:rsidRPr="00F8674D">
              <w:rPr>
                <w:rFonts w:eastAsia="Cambria"/>
              </w:rPr>
              <w:t>»</w:t>
            </w:r>
          </w:p>
        </w:tc>
        <w:tc>
          <w:tcPr>
            <w:tcW w:w="1650" w:type="dxa"/>
            <w:shd w:val="clear" w:color="auto" w:fill="auto"/>
          </w:tcPr>
          <w:p w:rsidR="00F42223" w:rsidRPr="00F8674D" w:rsidRDefault="00F42223" w:rsidP="00F8674D">
            <w:pPr>
              <w:jc w:val="center"/>
              <w:rPr>
                <w:rFonts w:eastAsia="Cambria"/>
              </w:rPr>
            </w:pPr>
            <w:r w:rsidRPr="00F8674D">
              <w:rPr>
                <w:rFonts w:eastAsia="Cambria"/>
              </w:rPr>
              <w:t>1</w:t>
            </w:r>
          </w:p>
        </w:tc>
        <w:tc>
          <w:tcPr>
            <w:tcW w:w="2239" w:type="dxa"/>
            <w:shd w:val="clear" w:color="auto" w:fill="auto"/>
          </w:tcPr>
          <w:p w:rsidR="00F42223" w:rsidRPr="00F8674D" w:rsidRDefault="00F42223" w:rsidP="00F8674D">
            <w:pPr>
              <w:jc w:val="center"/>
              <w:rPr>
                <w:rFonts w:eastAsia="Cambria"/>
              </w:rPr>
            </w:pPr>
            <w:r w:rsidRPr="00F8674D">
              <w:rPr>
                <w:rFonts w:eastAsia="Cambria"/>
              </w:rPr>
              <w:t xml:space="preserve">с </w:t>
            </w:r>
            <w:r w:rsidR="00887958" w:rsidRPr="00F8674D">
              <w:rPr>
                <w:rFonts w:eastAsia="Cambria"/>
              </w:rPr>
              <w:t>01</w:t>
            </w:r>
            <w:r w:rsidR="00D40EC0" w:rsidRPr="00F8674D">
              <w:rPr>
                <w:rFonts w:eastAsia="Cambria"/>
              </w:rPr>
              <w:t>.</w:t>
            </w:r>
            <w:r w:rsidR="00887958" w:rsidRPr="00F8674D">
              <w:rPr>
                <w:rFonts w:eastAsia="Cambria"/>
              </w:rPr>
              <w:t>09</w:t>
            </w:r>
            <w:r w:rsidR="00D40EC0" w:rsidRPr="00F8674D">
              <w:rPr>
                <w:rFonts w:eastAsia="Cambria"/>
              </w:rPr>
              <w:t>.</w:t>
            </w:r>
            <w:r w:rsidRPr="00F8674D">
              <w:rPr>
                <w:rFonts w:eastAsia="Cambria"/>
              </w:rPr>
              <w:t>2021</w:t>
            </w:r>
          </w:p>
        </w:tc>
      </w:tr>
      <w:tr w:rsidR="00F42223" w:rsidRPr="00F8674D" w:rsidTr="00F8674D">
        <w:tblPrEx>
          <w:tblBorders>
            <w:bottom w:val="single" w:sz="4" w:space="0" w:color="auto"/>
          </w:tblBorders>
          <w:tblCellMar>
            <w:top w:w="17" w:type="dxa"/>
            <w:bottom w:w="17" w:type="dxa"/>
          </w:tblCellMar>
        </w:tblPrEx>
        <w:trPr>
          <w:trHeight w:val="20"/>
        </w:trPr>
        <w:tc>
          <w:tcPr>
            <w:tcW w:w="548" w:type="dxa"/>
            <w:gridSpan w:val="2"/>
            <w:shd w:val="clear" w:color="auto" w:fill="auto"/>
          </w:tcPr>
          <w:p w:rsidR="00F42223" w:rsidRPr="00F8674D" w:rsidRDefault="00887958" w:rsidP="00F8674D">
            <w:pPr>
              <w:jc w:val="center"/>
              <w:rPr>
                <w:rFonts w:eastAsia="Cambria"/>
              </w:rPr>
            </w:pPr>
            <w:r w:rsidRPr="00F8674D">
              <w:rPr>
                <w:rFonts w:eastAsia="Cambria"/>
              </w:rPr>
              <w:t>29</w:t>
            </w:r>
            <w:r w:rsidR="00A33AEC" w:rsidRPr="00F8674D">
              <w:rPr>
                <w:rFonts w:eastAsia="Cambria"/>
              </w:rPr>
              <w:t>.</w:t>
            </w:r>
          </w:p>
        </w:tc>
        <w:tc>
          <w:tcPr>
            <w:tcW w:w="5758" w:type="dxa"/>
            <w:shd w:val="clear" w:color="auto" w:fill="auto"/>
          </w:tcPr>
          <w:p w:rsidR="00F42223" w:rsidRPr="00F8674D" w:rsidRDefault="00F42223" w:rsidP="006C4AF7">
            <w:pPr>
              <w:jc w:val="both"/>
              <w:rPr>
                <w:rFonts w:eastAsia="Cambria"/>
              </w:rPr>
            </w:pPr>
            <w:r w:rsidRPr="00F8674D">
              <w:rPr>
                <w:rFonts w:eastAsia="Cambria"/>
              </w:rPr>
              <w:t xml:space="preserve">ГАУЗ </w:t>
            </w:r>
            <w:r w:rsidR="002F7358" w:rsidRPr="00F8674D">
              <w:rPr>
                <w:rFonts w:eastAsia="Arial"/>
              </w:rPr>
              <w:t>«</w:t>
            </w:r>
            <w:r w:rsidR="003F1BDB" w:rsidRPr="00F8674D">
              <w:rPr>
                <w:rFonts w:eastAsia="Arial"/>
              </w:rPr>
              <w:t>Городская поликлиник</w:t>
            </w:r>
            <w:r w:rsidRPr="00F8674D">
              <w:rPr>
                <w:rFonts w:eastAsia="Arial"/>
              </w:rPr>
              <w:t>а № 4 имени Л.Н.Ганиевой</w:t>
            </w:r>
            <w:r w:rsidR="002F7358" w:rsidRPr="00F8674D">
              <w:rPr>
                <w:rFonts w:eastAsia="Arial"/>
              </w:rPr>
              <w:t>»</w:t>
            </w:r>
            <w:r w:rsidRPr="00F8674D">
              <w:rPr>
                <w:rFonts w:eastAsia="Arial"/>
              </w:rPr>
              <w:t xml:space="preserve"> г.Набережные Челны</w:t>
            </w:r>
          </w:p>
        </w:tc>
        <w:tc>
          <w:tcPr>
            <w:tcW w:w="1650" w:type="dxa"/>
            <w:shd w:val="clear" w:color="auto" w:fill="auto"/>
          </w:tcPr>
          <w:p w:rsidR="00F42223" w:rsidRPr="00F8674D" w:rsidRDefault="00F42223" w:rsidP="00F8674D">
            <w:pPr>
              <w:jc w:val="center"/>
              <w:rPr>
                <w:rFonts w:eastAsia="Cambria"/>
              </w:rPr>
            </w:pPr>
            <w:r w:rsidRPr="00F8674D">
              <w:rPr>
                <w:rFonts w:eastAsia="Cambria"/>
              </w:rPr>
              <w:t>1</w:t>
            </w:r>
          </w:p>
        </w:tc>
        <w:tc>
          <w:tcPr>
            <w:tcW w:w="2239" w:type="dxa"/>
            <w:shd w:val="clear" w:color="auto" w:fill="auto"/>
          </w:tcPr>
          <w:p w:rsidR="00F42223" w:rsidRPr="00F8674D" w:rsidRDefault="00F42223" w:rsidP="00F8674D">
            <w:pPr>
              <w:jc w:val="center"/>
              <w:rPr>
                <w:rFonts w:eastAsia="Cambria"/>
              </w:rPr>
            </w:pPr>
            <w:r w:rsidRPr="00F8674D">
              <w:rPr>
                <w:rFonts w:eastAsia="Cambria"/>
              </w:rPr>
              <w:t xml:space="preserve">с </w:t>
            </w:r>
            <w:r w:rsidR="00887958" w:rsidRPr="00F8674D">
              <w:rPr>
                <w:rFonts w:eastAsia="Cambria"/>
              </w:rPr>
              <w:t>01</w:t>
            </w:r>
            <w:r w:rsidR="00D40EC0" w:rsidRPr="00F8674D">
              <w:rPr>
                <w:rFonts w:eastAsia="Cambria"/>
              </w:rPr>
              <w:t>.</w:t>
            </w:r>
            <w:r w:rsidR="00887958" w:rsidRPr="00F8674D">
              <w:rPr>
                <w:rFonts w:eastAsia="Cambria"/>
              </w:rPr>
              <w:t>09</w:t>
            </w:r>
            <w:r w:rsidR="00D40EC0" w:rsidRPr="00F8674D">
              <w:rPr>
                <w:rFonts w:eastAsia="Cambria"/>
              </w:rPr>
              <w:t>.</w:t>
            </w:r>
            <w:r w:rsidRPr="00F8674D">
              <w:rPr>
                <w:rFonts w:eastAsia="Cambria"/>
              </w:rPr>
              <w:t>2021</w:t>
            </w:r>
          </w:p>
        </w:tc>
      </w:tr>
      <w:tr w:rsidR="00F42223" w:rsidRPr="00F8674D" w:rsidTr="00F8674D">
        <w:tblPrEx>
          <w:tblBorders>
            <w:bottom w:val="single" w:sz="4" w:space="0" w:color="auto"/>
          </w:tblBorders>
          <w:tblCellMar>
            <w:top w:w="17" w:type="dxa"/>
            <w:bottom w:w="17" w:type="dxa"/>
          </w:tblCellMar>
        </w:tblPrEx>
        <w:trPr>
          <w:trHeight w:val="20"/>
        </w:trPr>
        <w:tc>
          <w:tcPr>
            <w:tcW w:w="548" w:type="dxa"/>
            <w:gridSpan w:val="2"/>
            <w:shd w:val="clear" w:color="auto" w:fill="auto"/>
          </w:tcPr>
          <w:p w:rsidR="00F42223" w:rsidRPr="00F8674D" w:rsidRDefault="00887958" w:rsidP="00F8674D">
            <w:pPr>
              <w:jc w:val="center"/>
              <w:rPr>
                <w:rFonts w:eastAsia="Cambria"/>
              </w:rPr>
            </w:pPr>
            <w:r w:rsidRPr="00F8674D">
              <w:rPr>
                <w:rFonts w:eastAsia="Cambria"/>
              </w:rPr>
              <w:t>30</w:t>
            </w:r>
            <w:r w:rsidR="00A33AEC" w:rsidRPr="00F8674D">
              <w:rPr>
                <w:rFonts w:eastAsia="Cambria"/>
              </w:rPr>
              <w:t>.</w:t>
            </w:r>
          </w:p>
        </w:tc>
        <w:tc>
          <w:tcPr>
            <w:tcW w:w="5758" w:type="dxa"/>
            <w:shd w:val="clear" w:color="auto" w:fill="auto"/>
          </w:tcPr>
          <w:p w:rsidR="00F42223" w:rsidRPr="00F8674D" w:rsidRDefault="00F42223" w:rsidP="00F8674D">
            <w:pPr>
              <w:jc w:val="both"/>
              <w:rPr>
                <w:rFonts w:eastAsia="Cambria"/>
              </w:rPr>
            </w:pPr>
            <w:r w:rsidRPr="00F8674D">
              <w:rPr>
                <w:rFonts w:eastAsia="Cambria"/>
              </w:rPr>
              <w:t xml:space="preserve">ГАУЗ </w:t>
            </w:r>
            <w:r w:rsidR="002F7358" w:rsidRPr="00F8674D">
              <w:rPr>
                <w:rFonts w:eastAsia="Cambria"/>
              </w:rPr>
              <w:t>«</w:t>
            </w:r>
            <w:r w:rsidRPr="00F8674D">
              <w:rPr>
                <w:rFonts w:eastAsia="Cambria"/>
              </w:rPr>
              <w:t>Черемшанская ЦРБ</w:t>
            </w:r>
            <w:r w:rsidR="002F7358" w:rsidRPr="00F8674D">
              <w:rPr>
                <w:rFonts w:eastAsia="Cambria"/>
              </w:rPr>
              <w:t>»</w:t>
            </w:r>
          </w:p>
        </w:tc>
        <w:tc>
          <w:tcPr>
            <w:tcW w:w="1650" w:type="dxa"/>
            <w:shd w:val="clear" w:color="auto" w:fill="auto"/>
          </w:tcPr>
          <w:p w:rsidR="00F42223" w:rsidRPr="00F8674D" w:rsidRDefault="00F42223" w:rsidP="00F8674D">
            <w:pPr>
              <w:jc w:val="center"/>
              <w:rPr>
                <w:rFonts w:eastAsia="Cambria"/>
              </w:rPr>
            </w:pPr>
            <w:r w:rsidRPr="00F8674D">
              <w:rPr>
                <w:rFonts w:eastAsia="Cambria"/>
              </w:rPr>
              <w:t>1</w:t>
            </w:r>
          </w:p>
        </w:tc>
        <w:tc>
          <w:tcPr>
            <w:tcW w:w="2239" w:type="dxa"/>
            <w:shd w:val="clear" w:color="auto" w:fill="auto"/>
          </w:tcPr>
          <w:p w:rsidR="00F42223" w:rsidRPr="00F8674D" w:rsidRDefault="00F42223" w:rsidP="00F8674D">
            <w:pPr>
              <w:jc w:val="center"/>
              <w:rPr>
                <w:rFonts w:eastAsia="Cambria"/>
              </w:rPr>
            </w:pPr>
            <w:r w:rsidRPr="00F8674D">
              <w:rPr>
                <w:rFonts w:eastAsia="Cambria"/>
              </w:rPr>
              <w:t xml:space="preserve">с </w:t>
            </w:r>
            <w:r w:rsidR="00887958" w:rsidRPr="00F8674D">
              <w:rPr>
                <w:rFonts w:eastAsia="Cambria"/>
              </w:rPr>
              <w:t>01</w:t>
            </w:r>
            <w:r w:rsidR="00D40EC0" w:rsidRPr="00F8674D">
              <w:rPr>
                <w:rFonts w:eastAsia="Cambria"/>
              </w:rPr>
              <w:t>.</w:t>
            </w:r>
            <w:r w:rsidR="00887958" w:rsidRPr="00F8674D">
              <w:rPr>
                <w:rFonts w:eastAsia="Cambria"/>
              </w:rPr>
              <w:t>09</w:t>
            </w:r>
            <w:r w:rsidR="00D40EC0" w:rsidRPr="00F8674D">
              <w:rPr>
                <w:rFonts w:eastAsia="Cambria"/>
              </w:rPr>
              <w:t>.</w:t>
            </w:r>
            <w:r w:rsidRPr="00F8674D">
              <w:rPr>
                <w:rFonts w:eastAsia="Cambria"/>
              </w:rPr>
              <w:t>2021</w:t>
            </w:r>
          </w:p>
        </w:tc>
      </w:tr>
      <w:tr w:rsidR="00F42223" w:rsidRPr="00F8674D" w:rsidTr="00F8674D">
        <w:tblPrEx>
          <w:tblBorders>
            <w:bottom w:val="single" w:sz="4" w:space="0" w:color="auto"/>
          </w:tblBorders>
          <w:tblCellMar>
            <w:top w:w="17" w:type="dxa"/>
            <w:bottom w:w="17" w:type="dxa"/>
          </w:tblCellMar>
        </w:tblPrEx>
        <w:trPr>
          <w:trHeight w:val="20"/>
        </w:trPr>
        <w:tc>
          <w:tcPr>
            <w:tcW w:w="548" w:type="dxa"/>
            <w:gridSpan w:val="2"/>
            <w:shd w:val="clear" w:color="auto" w:fill="auto"/>
          </w:tcPr>
          <w:p w:rsidR="00F42223" w:rsidRPr="00F8674D" w:rsidRDefault="00887958" w:rsidP="00F8674D">
            <w:pPr>
              <w:jc w:val="center"/>
              <w:rPr>
                <w:rFonts w:eastAsia="Cambria"/>
              </w:rPr>
            </w:pPr>
            <w:r w:rsidRPr="00F8674D">
              <w:rPr>
                <w:rFonts w:eastAsia="Cambria"/>
              </w:rPr>
              <w:t>31</w:t>
            </w:r>
            <w:r w:rsidR="00A33AEC" w:rsidRPr="00F8674D">
              <w:rPr>
                <w:rFonts w:eastAsia="Cambria"/>
              </w:rPr>
              <w:t>.</w:t>
            </w:r>
          </w:p>
        </w:tc>
        <w:tc>
          <w:tcPr>
            <w:tcW w:w="5758" w:type="dxa"/>
            <w:shd w:val="clear" w:color="auto" w:fill="auto"/>
          </w:tcPr>
          <w:p w:rsidR="00F42223" w:rsidRPr="00F8674D" w:rsidRDefault="00F42223" w:rsidP="00F8674D">
            <w:pPr>
              <w:jc w:val="both"/>
              <w:rPr>
                <w:rFonts w:eastAsia="Cambria"/>
              </w:rPr>
            </w:pPr>
            <w:r w:rsidRPr="00F8674D">
              <w:rPr>
                <w:rFonts w:eastAsia="Arial"/>
              </w:rPr>
              <w:t xml:space="preserve">ГАУЗ </w:t>
            </w:r>
            <w:r w:rsidR="002F7358" w:rsidRPr="00F8674D">
              <w:rPr>
                <w:rFonts w:eastAsia="Arial"/>
              </w:rPr>
              <w:t>«</w:t>
            </w:r>
            <w:r w:rsidRPr="00F8674D">
              <w:rPr>
                <w:rFonts w:eastAsia="Arial"/>
              </w:rPr>
              <w:t>Уруссинская ЦРБ Ютазинского муниципального рай</w:t>
            </w:r>
            <w:r w:rsidR="00C93DB4" w:rsidRPr="00F8674D">
              <w:rPr>
                <w:rFonts w:eastAsia="Arial"/>
              </w:rPr>
              <w:t>о</w:t>
            </w:r>
            <w:r w:rsidRPr="00F8674D">
              <w:rPr>
                <w:rFonts w:eastAsia="Arial"/>
              </w:rPr>
              <w:t>на Р</w:t>
            </w:r>
            <w:r w:rsidR="00C93DB4" w:rsidRPr="00F8674D">
              <w:rPr>
                <w:rFonts w:eastAsia="Arial"/>
              </w:rPr>
              <w:t xml:space="preserve">еспублики </w:t>
            </w:r>
            <w:r w:rsidRPr="00F8674D">
              <w:rPr>
                <w:rFonts w:eastAsia="Arial"/>
              </w:rPr>
              <w:t>Т</w:t>
            </w:r>
            <w:r w:rsidR="00C93DB4" w:rsidRPr="00F8674D">
              <w:rPr>
                <w:rFonts w:eastAsia="Arial"/>
              </w:rPr>
              <w:t>атарстан</w:t>
            </w:r>
            <w:r w:rsidR="002F7358" w:rsidRPr="00F8674D">
              <w:rPr>
                <w:rFonts w:eastAsia="Arial"/>
              </w:rPr>
              <w:t>»</w:t>
            </w:r>
          </w:p>
        </w:tc>
        <w:tc>
          <w:tcPr>
            <w:tcW w:w="1650" w:type="dxa"/>
            <w:shd w:val="clear" w:color="auto" w:fill="auto"/>
          </w:tcPr>
          <w:p w:rsidR="00F42223" w:rsidRPr="00F8674D" w:rsidRDefault="00F42223" w:rsidP="00F8674D">
            <w:pPr>
              <w:jc w:val="center"/>
              <w:rPr>
                <w:rFonts w:eastAsia="Cambria"/>
              </w:rPr>
            </w:pPr>
            <w:r w:rsidRPr="00F8674D">
              <w:rPr>
                <w:rFonts w:eastAsia="Cambria"/>
              </w:rPr>
              <w:t>1</w:t>
            </w:r>
          </w:p>
        </w:tc>
        <w:tc>
          <w:tcPr>
            <w:tcW w:w="2239" w:type="dxa"/>
            <w:shd w:val="clear" w:color="auto" w:fill="auto"/>
          </w:tcPr>
          <w:p w:rsidR="00F42223" w:rsidRPr="00F8674D" w:rsidRDefault="00F42223" w:rsidP="00F8674D">
            <w:pPr>
              <w:jc w:val="center"/>
              <w:rPr>
                <w:rFonts w:eastAsia="Cambria"/>
              </w:rPr>
            </w:pPr>
            <w:r w:rsidRPr="00F8674D">
              <w:rPr>
                <w:rFonts w:eastAsia="Cambria"/>
              </w:rPr>
              <w:t xml:space="preserve">с </w:t>
            </w:r>
            <w:r w:rsidR="00887958" w:rsidRPr="00F8674D">
              <w:rPr>
                <w:rFonts w:eastAsia="Cambria"/>
              </w:rPr>
              <w:t>01</w:t>
            </w:r>
            <w:r w:rsidR="00D40EC0" w:rsidRPr="00F8674D">
              <w:rPr>
                <w:rFonts w:eastAsia="Cambria"/>
              </w:rPr>
              <w:t>.</w:t>
            </w:r>
            <w:r w:rsidR="00887958" w:rsidRPr="00F8674D">
              <w:rPr>
                <w:rFonts w:eastAsia="Cambria"/>
              </w:rPr>
              <w:t>09</w:t>
            </w:r>
            <w:r w:rsidR="00D40EC0" w:rsidRPr="00F8674D">
              <w:rPr>
                <w:rFonts w:eastAsia="Cambria"/>
              </w:rPr>
              <w:t>.</w:t>
            </w:r>
            <w:r w:rsidRPr="00F8674D">
              <w:rPr>
                <w:rFonts w:eastAsia="Cambria"/>
              </w:rPr>
              <w:t>2021</w:t>
            </w:r>
          </w:p>
        </w:tc>
      </w:tr>
    </w:tbl>
    <w:p w:rsidR="00F42223" w:rsidRDefault="00F42223" w:rsidP="00E61243">
      <w:pPr>
        <w:ind w:firstLine="709"/>
        <w:rPr>
          <w:sz w:val="28"/>
          <w:szCs w:val="28"/>
        </w:rPr>
      </w:pPr>
    </w:p>
    <w:p w:rsidR="00466FD5" w:rsidRPr="002E1F36" w:rsidRDefault="00466FD5" w:rsidP="00005FA2">
      <w:pPr>
        <w:ind w:firstLine="709"/>
        <w:jc w:val="both"/>
        <w:rPr>
          <w:sz w:val="28"/>
          <w:szCs w:val="28"/>
        </w:rPr>
      </w:pPr>
      <w:r w:rsidRPr="002F0F29">
        <w:rPr>
          <w:sz w:val="28"/>
          <w:szCs w:val="28"/>
        </w:rPr>
        <w:t>В 202</w:t>
      </w:r>
      <w:r w:rsidR="00055121" w:rsidRPr="002F0F29">
        <w:rPr>
          <w:sz w:val="28"/>
          <w:szCs w:val="28"/>
        </w:rPr>
        <w:t>5</w:t>
      </w:r>
      <w:r w:rsidRPr="002F0F29">
        <w:rPr>
          <w:sz w:val="28"/>
          <w:szCs w:val="28"/>
        </w:rPr>
        <w:t xml:space="preserve"> году </w:t>
      </w:r>
      <w:r w:rsidR="00A629C0" w:rsidRPr="002F0F29">
        <w:rPr>
          <w:sz w:val="28"/>
          <w:szCs w:val="28"/>
        </w:rPr>
        <w:t>выполнено</w:t>
      </w:r>
      <w:r w:rsidR="00C55D07" w:rsidRPr="002F0F29">
        <w:rPr>
          <w:sz w:val="28"/>
          <w:szCs w:val="28"/>
        </w:rPr>
        <w:t xml:space="preserve"> </w:t>
      </w:r>
      <w:r w:rsidRPr="002F0F29">
        <w:rPr>
          <w:sz w:val="28"/>
          <w:szCs w:val="28"/>
        </w:rPr>
        <w:t>4 564 посещения</w:t>
      </w:r>
      <w:r w:rsidR="00C55D07" w:rsidRPr="002F0F29">
        <w:rPr>
          <w:sz w:val="28"/>
          <w:szCs w:val="28"/>
        </w:rPr>
        <w:t xml:space="preserve"> кабинетов паллиативной медицинской помощи медицинских организаций </w:t>
      </w:r>
      <w:r w:rsidR="00C55D07" w:rsidRPr="002F0F29">
        <w:rPr>
          <w:color w:val="000000"/>
          <w:sz w:val="28"/>
          <w:szCs w:val="28"/>
        </w:rPr>
        <w:t>Министерства здравоохранения Республики Татарстан</w:t>
      </w:r>
      <w:r w:rsidRPr="002F0F29">
        <w:rPr>
          <w:sz w:val="28"/>
          <w:szCs w:val="28"/>
        </w:rPr>
        <w:t>.</w:t>
      </w:r>
      <w:r w:rsidR="002E1F36" w:rsidRPr="002F0F29">
        <w:rPr>
          <w:sz w:val="28"/>
          <w:szCs w:val="28"/>
        </w:rPr>
        <w:t xml:space="preserve"> </w:t>
      </w:r>
      <w:r w:rsidRPr="002F0F29">
        <w:rPr>
          <w:sz w:val="28"/>
          <w:szCs w:val="28"/>
        </w:rPr>
        <w:t>Осуществлено 10 570 выездов</w:t>
      </w:r>
      <w:r w:rsidRPr="00DA6979">
        <w:rPr>
          <w:sz w:val="28"/>
          <w:szCs w:val="28"/>
        </w:rPr>
        <w:t xml:space="preserve"> на дом к пациентам.</w:t>
      </w:r>
      <w:r w:rsidRPr="002E1F36">
        <w:rPr>
          <w:sz w:val="28"/>
          <w:szCs w:val="28"/>
        </w:rPr>
        <w:t xml:space="preserve"> </w:t>
      </w:r>
    </w:p>
    <w:p w:rsidR="00DA1D4D" w:rsidRPr="002E1F36" w:rsidRDefault="00DA1D4D" w:rsidP="00005FA2">
      <w:pPr>
        <w:ind w:firstLine="709"/>
        <w:jc w:val="both"/>
        <w:rPr>
          <w:sz w:val="28"/>
          <w:szCs w:val="28"/>
        </w:rPr>
      </w:pPr>
    </w:p>
    <w:p w:rsidR="00824251" w:rsidRPr="00EF628C" w:rsidRDefault="00824251" w:rsidP="00824251">
      <w:pPr>
        <w:ind w:firstLine="709"/>
        <w:jc w:val="both"/>
        <w:rPr>
          <w:rFonts w:eastAsia="Arial"/>
          <w:sz w:val="28"/>
          <w:szCs w:val="28"/>
        </w:rPr>
      </w:pPr>
      <w:r w:rsidRPr="00EF628C">
        <w:rPr>
          <w:rFonts w:eastAsia="Arial"/>
          <w:sz w:val="28"/>
          <w:szCs w:val="28"/>
        </w:rPr>
        <w:t xml:space="preserve">Развитие радиологической службы. </w:t>
      </w:r>
    </w:p>
    <w:p w:rsidR="00156D5C" w:rsidRPr="003511C0" w:rsidRDefault="00156D5C" w:rsidP="00156D5C">
      <w:pPr>
        <w:ind w:firstLine="709"/>
        <w:jc w:val="both"/>
        <w:rPr>
          <w:rFonts w:eastAsia="Arial"/>
          <w:sz w:val="28"/>
          <w:szCs w:val="28"/>
        </w:rPr>
      </w:pPr>
      <w:r w:rsidRPr="003511C0">
        <w:rPr>
          <w:rFonts w:eastAsia="Arial"/>
          <w:sz w:val="28"/>
          <w:szCs w:val="28"/>
        </w:rPr>
        <w:t>Информация об инфраструктуре радиологической службы представлена в таблице 23.</w:t>
      </w:r>
    </w:p>
    <w:p w:rsidR="00EF628C" w:rsidRDefault="00EF628C" w:rsidP="00EF628C">
      <w:pPr>
        <w:ind w:firstLine="8505"/>
        <w:jc w:val="right"/>
        <w:rPr>
          <w:rFonts w:eastAsia="Arial"/>
          <w:sz w:val="28"/>
          <w:szCs w:val="28"/>
        </w:rPr>
      </w:pPr>
    </w:p>
    <w:p w:rsidR="005A19FB" w:rsidRDefault="008250F8" w:rsidP="00EF628C">
      <w:pPr>
        <w:ind w:firstLine="8505"/>
        <w:jc w:val="right"/>
        <w:rPr>
          <w:rFonts w:eastAsia="Arial"/>
          <w:sz w:val="28"/>
          <w:szCs w:val="28"/>
        </w:rPr>
      </w:pPr>
      <w:r w:rsidRPr="003511C0">
        <w:rPr>
          <w:rFonts w:eastAsia="Arial"/>
          <w:sz w:val="28"/>
          <w:szCs w:val="28"/>
        </w:rPr>
        <w:t>Таблица 23</w:t>
      </w:r>
      <w:r w:rsidR="003511C0" w:rsidRPr="003511C0">
        <w:rPr>
          <w:rFonts w:eastAsia="Arial"/>
          <w:sz w:val="28"/>
          <w:szCs w:val="28"/>
        </w:rPr>
        <w:tab/>
      </w:r>
    </w:p>
    <w:p w:rsidR="00EF628C" w:rsidRPr="003511C0" w:rsidRDefault="00EF628C" w:rsidP="003511C0">
      <w:pPr>
        <w:ind w:firstLine="8505"/>
        <w:jc w:val="both"/>
        <w:rPr>
          <w:rFonts w:eastAsia="Arial"/>
          <w:sz w:val="28"/>
          <w:szCs w:val="28"/>
        </w:rPr>
      </w:pPr>
    </w:p>
    <w:p w:rsidR="005A19FB" w:rsidRPr="003511C0" w:rsidRDefault="005A19FB" w:rsidP="00EF628C">
      <w:pPr>
        <w:jc w:val="center"/>
        <w:rPr>
          <w:sz w:val="28"/>
          <w:szCs w:val="28"/>
        </w:rPr>
      </w:pPr>
      <w:r w:rsidRPr="003511C0">
        <w:rPr>
          <w:sz w:val="28"/>
          <w:szCs w:val="28"/>
        </w:rPr>
        <w:t>Инфрас</w:t>
      </w:r>
      <w:r w:rsidR="003511C0">
        <w:rPr>
          <w:sz w:val="28"/>
          <w:szCs w:val="28"/>
        </w:rPr>
        <w:t>труктура радиологической службы</w:t>
      </w:r>
    </w:p>
    <w:p w:rsidR="005A19FB" w:rsidRPr="00EF628C" w:rsidRDefault="005A19FB" w:rsidP="005A19FB">
      <w:pPr>
        <w:rPr>
          <w:sz w:val="28"/>
          <w:highlight w:val="cyan"/>
        </w:rPr>
      </w:pPr>
    </w:p>
    <w:tbl>
      <w:tblPr>
        <w:tblStyle w:val="af1"/>
        <w:tblW w:w="10202" w:type="dxa"/>
        <w:tblLayout w:type="fixed"/>
        <w:tblLook w:val="04A0" w:firstRow="1" w:lastRow="0" w:firstColumn="1" w:lastColumn="0" w:noHBand="0" w:noVBand="1"/>
      </w:tblPr>
      <w:tblGrid>
        <w:gridCol w:w="1555"/>
        <w:gridCol w:w="1134"/>
        <w:gridCol w:w="1556"/>
        <w:gridCol w:w="1418"/>
        <w:gridCol w:w="1275"/>
        <w:gridCol w:w="2192"/>
        <w:gridCol w:w="1072"/>
      </w:tblGrid>
      <w:tr w:rsidR="00C55D07" w:rsidRPr="009F7FC4" w:rsidTr="00C55D07">
        <w:tc>
          <w:tcPr>
            <w:tcW w:w="1555" w:type="dxa"/>
            <w:vMerge w:val="restart"/>
            <w:tcBorders>
              <w:bottom w:val="nil"/>
            </w:tcBorders>
          </w:tcPr>
          <w:p w:rsidR="00C55D07" w:rsidRPr="003511C0" w:rsidRDefault="00C55D07" w:rsidP="00EF628C">
            <w:pPr>
              <w:jc w:val="center"/>
              <w:rPr>
                <w:sz w:val="20"/>
                <w:szCs w:val="20"/>
              </w:rPr>
            </w:pPr>
            <w:r w:rsidRPr="003511C0">
              <w:rPr>
                <w:sz w:val="20"/>
                <w:szCs w:val="20"/>
              </w:rPr>
              <w:t>Наименование</w:t>
            </w:r>
            <w:r>
              <w:rPr>
                <w:sz w:val="20"/>
                <w:szCs w:val="20"/>
              </w:rPr>
              <w:t xml:space="preserve"> </w:t>
            </w:r>
            <w:r w:rsidRPr="003511C0">
              <w:rPr>
                <w:sz w:val="20"/>
                <w:szCs w:val="20"/>
              </w:rPr>
              <w:t>медицинской</w:t>
            </w:r>
            <w:r>
              <w:rPr>
                <w:sz w:val="20"/>
                <w:szCs w:val="20"/>
              </w:rPr>
              <w:t xml:space="preserve"> </w:t>
            </w:r>
            <w:r w:rsidRPr="003511C0">
              <w:rPr>
                <w:sz w:val="20"/>
                <w:szCs w:val="20"/>
              </w:rPr>
              <w:t>организации</w:t>
            </w:r>
          </w:p>
        </w:tc>
        <w:tc>
          <w:tcPr>
            <w:tcW w:w="1134" w:type="dxa"/>
            <w:vMerge w:val="restart"/>
            <w:tcBorders>
              <w:bottom w:val="nil"/>
            </w:tcBorders>
          </w:tcPr>
          <w:p w:rsidR="00C55D07" w:rsidRPr="003511C0" w:rsidRDefault="00C55D07" w:rsidP="00EF628C">
            <w:pPr>
              <w:jc w:val="center"/>
              <w:rPr>
                <w:sz w:val="20"/>
                <w:szCs w:val="20"/>
              </w:rPr>
            </w:pPr>
            <w:r w:rsidRPr="003511C0">
              <w:rPr>
                <w:sz w:val="20"/>
                <w:szCs w:val="20"/>
              </w:rPr>
              <w:t>Наименование</w:t>
            </w:r>
          </w:p>
          <w:p w:rsidR="00C55D07" w:rsidRPr="003511C0" w:rsidRDefault="00C55D07" w:rsidP="00EF628C">
            <w:pPr>
              <w:jc w:val="center"/>
              <w:rPr>
                <w:sz w:val="20"/>
                <w:szCs w:val="20"/>
              </w:rPr>
            </w:pPr>
            <w:r w:rsidRPr="003511C0">
              <w:rPr>
                <w:sz w:val="20"/>
                <w:szCs w:val="20"/>
              </w:rPr>
              <w:t>структурного</w:t>
            </w:r>
          </w:p>
          <w:p w:rsidR="00C55D07" w:rsidRPr="003511C0" w:rsidRDefault="00C55D07" w:rsidP="00EF628C">
            <w:pPr>
              <w:jc w:val="center"/>
              <w:rPr>
                <w:sz w:val="20"/>
                <w:szCs w:val="20"/>
              </w:rPr>
            </w:pPr>
            <w:r w:rsidRPr="003511C0">
              <w:rPr>
                <w:sz w:val="20"/>
                <w:szCs w:val="20"/>
              </w:rPr>
              <w:t>подразделения</w:t>
            </w:r>
          </w:p>
        </w:tc>
        <w:tc>
          <w:tcPr>
            <w:tcW w:w="4249" w:type="dxa"/>
            <w:gridSpan w:val="3"/>
            <w:tcBorders>
              <w:bottom w:val="single" w:sz="4" w:space="0" w:color="auto"/>
            </w:tcBorders>
          </w:tcPr>
          <w:p w:rsidR="00C55D07" w:rsidRPr="003511C0" w:rsidRDefault="00C55D07" w:rsidP="006C4AF7">
            <w:pPr>
              <w:jc w:val="center"/>
              <w:rPr>
                <w:sz w:val="20"/>
                <w:szCs w:val="20"/>
              </w:rPr>
            </w:pPr>
            <w:r w:rsidRPr="003511C0">
              <w:rPr>
                <w:sz w:val="20"/>
                <w:szCs w:val="20"/>
              </w:rPr>
              <w:t>Кадровая обеспеч</w:t>
            </w:r>
            <w:r w:rsidR="006C4AF7">
              <w:rPr>
                <w:sz w:val="20"/>
                <w:szCs w:val="20"/>
              </w:rPr>
              <w:t>енность</w:t>
            </w:r>
          </w:p>
        </w:tc>
        <w:tc>
          <w:tcPr>
            <w:tcW w:w="3264" w:type="dxa"/>
            <w:gridSpan w:val="2"/>
            <w:tcBorders>
              <w:bottom w:val="single" w:sz="4" w:space="0" w:color="auto"/>
            </w:tcBorders>
          </w:tcPr>
          <w:p w:rsidR="00C55D07" w:rsidRPr="003511C0" w:rsidRDefault="00C55D07" w:rsidP="00EF628C">
            <w:pPr>
              <w:jc w:val="center"/>
              <w:rPr>
                <w:color w:val="000000"/>
                <w:sz w:val="20"/>
                <w:szCs w:val="20"/>
              </w:rPr>
            </w:pPr>
            <w:r w:rsidRPr="003511C0">
              <w:rPr>
                <w:color w:val="000000"/>
                <w:sz w:val="20"/>
                <w:szCs w:val="20"/>
              </w:rPr>
              <w:t>Оборудование</w:t>
            </w:r>
          </w:p>
        </w:tc>
      </w:tr>
      <w:tr w:rsidR="007C43BB" w:rsidRPr="009F7FC4" w:rsidTr="005C02E1">
        <w:tc>
          <w:tcPr>
            <w:tcW w:w="1555" w:type="dxa"/>
            <w:vMerge/>
            <w:tcBorders>
              <w:bottom w:val="nil"/>
            </w:tcBorders>
          </w:tcPr>
          <w:p w:rsidR="007C43BB" w:rsidRPr="003511C0" w:rsidRDefault="007C43BB" w:rsidP="00EF628C">
            <w:pPr>
              <w:jc w:val="center"/>
              <w:rPr>
                <w:sz w:val="20"/>
                <w:szCs w:val="20"/>
              </w:rPr>
            </w:pPr>
          </w:p>
        </w:tc>
        <w:tc>
          <w:tcPr>
            <w:tcW w:w="1134" w:type="dxa"/>
            <w:vMerge/>
            <w:tcBorders>
              <w:bottom w:val="nil"/>
            </w:tcBorders>
          </w:tcPr>
          <w:p w:rsidR="007C43BB" w:rsidRPr="003511C0" w:rsidRDefault="007C43BB" w:rsidP="00EF628C">
            <w:pPr>
              <w:jc w:val="center"/>
              <w:rPr>
                <w:sz w:val="20"/>
                <w:szCs w:val="20"/>
              </w:rPr>
            </w:pPr>
          </w:p>
        </w:tc>
        <w:tc>
          <w:tcPr>
            <w:tcW w:w="1556" w:type="dxa"/>
            <w:tcBorders>
              <w:bottom w:val="nil"/>
            </w:tcBorders>
          </w:tcPr>
          <w:p w:rsidR="007C43BB" w:rsidRPr="003511C0" w:rsidRDefault="00EF628C" w:rsidP="00EF628C">
            <w:pPr>
              <w:jc w:val="center"/>
              <w:rPr>
                <w:sz w:val="20"/>
                <w:szCs w:val="20"/>
              </w:rPr>
            </w:pPr>
            <w:r>
              <w:rPr>
                <w:sz w:val="20"/>
                <w:szCs w:val="20"/>
              </w:rPr>
              <w:t>с</w:t>
            </w:r>
            <w:r w:rsidR="007C43BB" w:rsidRPr="003511C0">
              <w:rPr>
                <w:sz w:val="20"/>
                <w:szCs w:val="20"/>
              </w:rPr>
              <w:t>пециальность</w:t>
            </w:r>
          </w:p>
        </w:tc>
        <w:tc>
          <w:tcPr>
            <w:tcW w:w="1418" w:type="dxa"/>
            <w:tcBorders>
              <w:bottom w:val="nil"/>
            </w:tcBorders>
          </w:tcPr>
          <w:p w:rsidR="007C43BB" w:rsidRPr="003511C0" w:rsidRDefault="00EF628C" w:rsidP="00EF628C">
            <w:pPr>
              <w:jc w:val="center"/>
              <w:rPr>
                <w:sz w:val="20"/>
                <w:szCs w:val="20"/>
              </w:rPr>
            </w:pPr>
            <w:r>
              <w:rPr>
                <w:sz w:val="20"/>
                <w:szCs w:val="20"/>
              </w:rPr>
              <w:t>к</w:t>
            </w:r>
            <w:r w:rsidR="007C43BB" w:rsidRPr="003511C0">
              <w:rPr>
                <w:sz w:val="20"/>
                <w:szCs w:val="20"/>
              </w:rPr>
              <w:t>оличество</w:t>
            </w:r>
          </w:p>
          <w:p w:rsidR="007C43BB" w:rsidRPr="003511C0" w:rsidRDefault="007C43BB" w:rsidP="00EF628C">
            <w:pPr>
              <w:jc w:val="center"/>
              <w:rPr>
                <w:sz w:val="20"/>
                <w:szCs w:val="20"/>
              </w:rPr>
            </w:pPr>
            <w:r w:rsidRPr="003511C0">
              <w:rPr>
                <w:sz w:val="20"/>
                <w:szCs w:val="20"/>
              </w:rPr>
              <w:t>штатных</w:t>
            </w:r>
          </w:p>
          <w:p w:rsidR="007C43BB" w:rsidRPr="003511C0" w:rsidRDefault="007C43BB" w:rsidP="00EF628C">
            <w:pPr>
              <w:jc w:val="center"/>
              <w:rPr>
                <w:sz w:val="20"/>
                <w:szCs w:val="20"/>
              </w:rPr>
            </w:pPr>
            <w:r w:rsidRPr="003511C0">
              <w:rPr>
                <w:sz w:val="20"/>
                <w:szCs w:val="20"/>
              </w:rPr>
              <w:t>должностей</w:t>
            </w:r>
          </w:p>
          <w:p w:rsidR="007C43BB" w:rsidRPr="003511C0" w:rsidRDefault="007C43BB" w:rsidP="00EF628C">
            <w:pPr>
              <w:jc w:val="center"/>
              <w:rPr>
                <w:sz w:val="20"/>
                <w:szCs w:val="20"/>
              </w:rPr>
            </w:pPr>
            <w:r w:rsidRPr="003511C0">
              <w:rPr>
                <w:sz w:val="20"/>
                <w:szCs w:val="20"/>
              </w:rPr>
              <w:t>(согласно</w:t>
            </w:r>
          </w:p>
          <w:p w:rsidR="007C43BB" w:rsidRPr="003511C0" w:rsidRDefault="007C43BB" w:rsidP="00EF628C">
            <w:pPr>
              <w:jc w:val="center"/>
              <w:rPr>
                <w:sz w:val="20"/>
                <w:szCs w:val="20"/>
              </w:rPr>
            </w:pPr>
            <w:r w:rsidRPr="003511C0">
              <w:rPr>
                <w:sz w:val="20"/>
                <w:szCs w:val="20"/>
              </w:rPr>
              <w:t>штатному</w:t>
            </w:r>
          </w:p>
          <w:p w:rsidR="007C43BB" w:rsidRPr="003511C0" w:rsidRDefault="007C43BB" w:rsidP="00EF628C">
            <w:pPr>
              <w:jc w:val="center"/>
              <w:rPr>
                <w:sz w:val="20"/>
                <w:szCs w:val="20"/>
              </w:rPr>
            </w:pPr>
            <w:r w:rsidRPr="003511C0">
              <w:rPr>
                <w:sz w:val="20"/>
                <w:szCs w:val="20"/>
              </w:rPr>
              <w:t>расписанию)</w:t>
            </w:r>
          </w:p>
        </w:tc>
        <w:tc>
          <w:tcPr>
            <w:tcW w:w="1275" w:type="dxa"/>
            <w:tcBorders>
              <w:bottom w:val="nil"/>
            </w:tcBorders>
          </w:tcPr>
          <w:p w:rsidR="007C43BB" w:rsidRPr="003511C0" w:rsidRDefault="00EF628C" w:rsidP="00EF628C">
            <w:pPr>
              <w:jc w:val="center"/>
              <w:rPr>
                <w:sz w:val="20"/>
                <w:szCs w:val="20"/>
              </w:rPr>
            </w:pPr>
            <w:r>
              <w:rPr>
                <w:sz w:val="20"/>
                <w:szCs w:val="20"/>
              </w:rPr>
              <w:t>к</w:t>
            </w:r>
            <w:r w:rsidR="007C43BB" w:rsidRPr="003511C0">
              <w:rPr>
                <w:sz w:val="20"/>
                <w:szCs w:val="20"/>
              </w:rPr>
              <w:t>оличество</w:t>
            </w:r>
          </w:p>
          <w:p w:rsidR="007C43BB" w:rsidRPr="003511C0" w:rsidRDefault="007C43BB" w:rsidP="00EF628C">
            <w:pPr>
              <w:jc w:val="center"/>
              <w:rPr>
                <w:sz w:val="20"/>
                <w:szCs w:val="20"/>
              </w:rPr>
            </w:pPr>
            <w:r w:rsidRPr="003511C0">
              <w:rPr>
                <w:sz w:val="20"/>
                <w:szCs w:val="20"/>
              </w:rPr>
              <w:t>физических лиц,</w:t>
            </w:r>
          </w:p>
          <w:p w:rsidR="007C43BB" w:rsidRPr="003511C0" w:rsidRDefault="007C43BB" w:rsidP="00EF628C">
            <w:pPr>
              <w:jc w:val="center"/>
              <w:rPr>
                <w:sz w:val="20"/>
                <w:szCs w:val="20"/>
              </w:rPr>
            </w:pPr>
            <w:r w:rsidRPr="003511C0">
              <w:rPr>
                <w:sz w:val="20"/>
                <w:szCs w:val="20"/>
              </w:rPr>
              <w:t>фактически</w:t>
            </w:r>
          </w:p>
          <w:p w:rsidR="007C43BB" w:rsidRPr="003511C0" w:rsidRDefault="007C43BB" w:rsidP="00EF628C">
            <w:pPr>
              <w:jc w:val="center"/>
              <w:rPr>
                <w:sz w:val="20"/>
                <w:szCs w:val="20"/>
              </w:rPr>
            </w:pPr>
            <w:r w:rsidRPr="003511C0">
              <w:rPr>
                <w:sz w:val="20"/>
                <w:szCs w:val="20"/>
              </w:rPr>
              <w:t>занима</w:t>
            </w:r>
            <w:r w:rsidR="006C4AF7">
              <w:rPr>
                <w:sz w:val="20"/>
                <w:szCs w:val="20"/>
              </w:rPr>
              <w:t>-</w:t>
            </w:r>
            <w:r w:rsidRPr="003511C0">
              <w:rPr>
                <w:sz w:val="20"/>
                <w:szCs w:val="20"/>
              </w:rPr>
              <w:t>ющих</w:t>
            </w:r>
          </w:p>
          <w:p w:rsidR="007C43BB" w:rsidRPr="003511C0" w:rsidRDefault="007C43BB" w:rsidP="00EF628C">
            <w:pPr>
              <w:jc w:val="center"/>
              <w:rPr>
                <w:sz w:val="20"/>
                <w:szCs w:val="20"/>
              </w:rPr>
            </w:pPr>
            <w:r w:rsidRPr="003511C0">
              <w:rPr>
                <w:sz w:val="20"/>
                <w:szCs w:val="20"/>
              </w:rPr>
              <w:t>штатные</w:t>
            </w:r>
          </w:p>
          <w:p w:rsidR="007C43BB" w:rsidRPr="003511C0" w:rsidRDefault="007C43BB" w:rsidP="00EF628C">
            <w:pPr>
              <w:jc w:val="center"/>
              <w:rPr>
                <w:sz w:val="20"/>
                <w:szCs w:val="20"/>
              </w:rPr>
            </w:pPr>
            <w:r w:rsidRPr="003511C0">
              <w:rPr>
                <w:sz w:val="20"/>
                <w:szCs w:val="20"/>
              </w:rPr>
              <w:t>должности</w:t>
            </w:r>
          </w:p>
        </w:tc>
        <w:tc>
          <w:tcPr>
            <w:tcW w:w="2192" w:type="dxa"/>
            <w:tcBorders>
              <w:bottom w:val="nil"/>
            </w:tcBorders>
          </w:tcPr>
          <w:p w:rsidR="007C43BB" w:rsidRPr="003511C0" w:rsidRDefault="00EF628C" w:rsidP="00EF628C">
            <w:pPr>
              <w:jc w:val="center"/>
              <w:rPr>
                <w:color w:val="000000"/>
                <w:sz w:val="20"/>
                <w:szCs w:val="20"/>
              </w:rPr>
            </w:pPr>
            <w:r>
              <w:rPr>
                <w:sz w:val="20"/>
                <w:szCs w:val="20"/>
              </w:rPr>
              <w:t>н</w:t>
            </w:r>
            <w:r w:rsidR="007C43BB" w:rsidRPr="003511C0">
              <w:rPr>
                <w:sz w:val="20"/>
                <w:szCs w:val="20"/>
              </w:rPr>
              <w:t>аименование</w:t>
            </w:r>
          </w:p>
        </w:tc>
        <w:tc>
          <w:tcPr>
            <w:tcW w:w="1072" w:type="dxa"/>
            <w:tcBorders>
              <w:bottom w:val="nil"/>
            </w:tcBorders>
          </w:tcPr>
          <w:p w:rsidR="007C43BB" w:rsidRPr="003511C0" w:rsidRDefault="00EF628C" w:rsidP="00EF628C">
            <w:pPr>
              <w:jc w:val="center"/>
              <w:rPr>
                <w:color w:val="000000"/>
                <w:sz w:val="20"/>
                <w:szCs w:val="20"/>
              </w:rPr>
            </w:pPr>
            <w:r>
              <w:rPr>
                <w:sz w:val="20"/>
                <w:szCs w:val="20"/>
              </w:rPr>
              <w:t>г</w:t>
            </w:r>
            <w:r w:rsidR="007C43BB" w:rsidRPr="003511C0">
              <w:rPr>
                <w:sz w:val="20"/>
                <w:szCs w:val="20"/>
              </w:rPr>
              <w:t>од ввода в эксплуатацию</w:t>
            </w:r>
          </w:p>
        </w:tc>
      </w:tr>
    </w:tbl>
    <w:p w:rsidR="005C02E1" w:rsidRPr="005C02E1" w:rsidRDefault="005C02E1">
      <w:pPr>
        <w:rPr>
          <w:sz w:val="2"/>
          <w:szCs w:val="2"/>
        </w:rPr>
      </w:pPr>
    </w:p>
    <w:tbl>
      <w:tblPr>
        <w:tblStyle w:val="af1"/>
        <w:tblW w:w="10202" w:type="dxa"/>
        <w:tblLayout w:type="fixed"/>
        <w:tblLook w:val="04A0" w:firstRow="1" w:lastRow="0" w:firstColumn="1" w:lastColumn="0" w:noHBand="0" w:noVBand="1"/>
      </w:tblPr>
      <w:tblGrid>
        <w:gridCol w:w="1555"/>
        <w:gridCol w:w="1134"/>
        <w:gridCol w:w="1556"/>
        <w:gridCol w:w="1418"/>
        <w:gridCol w:w="1275"/>
        <w:gridCol w:w="2192"/>
        <w:gridCol w:w="1072"/>
      </w:tblGrid>
      <w:tr w:rsidR="007C43BB" w:rsidRPr="009F7FC4" w:rsidTr="00612C8D">
        <w:trPr>
          <w:tblHeader/>
        </w:trPr>
        <w:tc>
          <w:tcPr>
            <w:tcW w:w="1555" w:type="dxa"/>
          </w:tcPr>
          <w:p w:rsidR="007C43BB" w:rsidRPr="003511C0" w:rsidRDefault="007C43BB" w:rsidP="00E742C6">
            <w:pPr>
              <w:spacing w:line="245" w:lineRule="auto"/>
              <w:jc w:val="center"/>
              <w:rPr>
                <w:sz w:val="20"/>
                <w:szCs w:val="20"/>
              </w:rPr>
            </w:pPr>
            <w:r w:rsidRPr="003511C0">
              <w:rPr>
                <w:sz w:val="20"/>
                <w:szCs w:val="20"/>
              </w:rPr>
              <w:t>1</w:t>
            </w:r>
          </w:p>
        </w:tc>
        <w:tc>
          <w:tcPr>
            <w:tcW w:w="1134" w:type="dxa"/>
          </w:tcPr>
          <w:p w:rsidR="007C43BB" w:rsidRPr="003511C0" w:rsidRDefault="007C43BB" w:rsidP="00E742C6">
            <w:pPr>
              <w:spacing w:line="245" w:lineRule="auto"/>
              <w:jc w:val="center"/>
              <w:rPr>
                <w:sz w:val="20"/>
                <w:szCs w:val="20"/>
              </w:rPr>
            </w:pPr>
            <w:r w:rsidRPr="003511C0">
              <w:rPr>
                <w:sz w:val="20"/>
                <w:szCs w:val="20"/>
              </w:rPr>
              <w:t>2</w:t>
            </w:r>
          </w:p>
        </w:tc>
        <w:tc>
          <w:tcPr>
            <w:tcW w:w="1556" w:type="dxa"/>
          </w:tcPr>
          <w:p w:rsidR="007C43BB" w:rsidRPr="003511C0" w:rsidRDefault="007C43BB" w:rsidP="00E742C6">
            <w:pPr>
              <w:spacing w:line="245" w:lineRule="auto"/>
              <w:jc w:val="center"/>
              <w:rPr>
                <w:sz w:val="20"/>
                <w:szCs w:val="20"/>
              </w:rPr>
            </w:pPr>
            <w:r w:rsidRPr="003511C0">
              <w:rPr>
                <w:sz w:val="20"/>
                <w:szCs w:val="20"/>
              </w:rPr>
              <w:t>3</w:t>
            </w:r>
          </w:p>
        </w:tc>
        <w:tc>
          <w:tcPr>
            <w:tcW w:w="1418" w:type="dxa"/>
          </w:tcPr>
          <w:p w:rsidR="007C43BB" w:rsidRPr="003511C0" w:rsidRDefault="007C43BB" w:rsidP="00E742C6">
            <w:pPr>
              <w:spacing w:line="245" w:lineRule="auto"/>
              <w:jc w:val="center"/>
              <w:rPr>
                <w:sz w:val="20"/>
                <w:szCs w:val="20"/>
              </w:rPr>
            </w:pPr>
            <w:r w:rsidRPr="003511C0">
              <w:rPr>
                <w:sz w:val="20"/>
                <w:szCs w:val="20"/>
              </w:rPr>
              <w:t>4</w:t>
            </w:r>
          </w:p>
        </w:tc>
        <w:tc>
          <w:tcPr>
            <w:tcW w:w="1275" w:type="dxa"/>
          </w:tcPr>
          <w:p w:rsidR="007C43BB" w:rsidRPr="003511C0" w:rsidRDefault="007C43BB" w:rsidP="00E742C6">
            <w:pPr>
              <w:spacing w:line="245" w:lineRule="auto"/>
              <w:jc w:val="center"/>
              <w:rPr>
                <w:sz w:val="20"/>
                <w:szCs w:val="20"/>
              </w:rPr>
            </w:pPr>
            <w:r w:rsidRPr="003511C0">
              <w:rPr>
                <w:sz w:val="20"/>
                <w:szCs w:val="20"/>
              </w:rPr>
              <w:t>5</w:t>
            </w:r>
          </w:p>
        </w:tc>
        <w:tc>
          <w:tcPr>
            <w:tcW w:w="2192" w:type="dxa"/>
          </w:tcPr>
          <w:p w:rsidR="007C43BB" w:rsidRPr="003511C0" w:rsidRDefault="007C43BB" w:rsidP="00E742C6">
            <w:pPr>
              <w:spacing w:line="245" w:lineRule="auto"/>
              <w:jc w:val="center"/>
              <w:rPr>
                <w:color w:val="333333"/>
                <w:spacing w:val="-2"/>
                <w:sz w:val="20"/>
                <w:szCs w:val="20"/>
                <w:shd w:val="clear" w:color="auto" w:fill="FFFFFF"/>
              </w:rPr>
            </w:pPr>
            <w:r w:rsidRPr="003511C0">
              <w:rPr>
                <w:color w:val="333333"/>
                <w:spacing w:val="-2"/>
                <w:sz w:val="20"/>
                <w:szCs w:val="20"/>
                <w:shd w:val="clear" w:color="auto" w:fill="FFFFFF"/>
              </w:rPr>
              <w:t>6</w:t>
            </w:r>
          </w:p>
        </w:tc>
        <w:tc>
          <w:tcPr>
            <w:tcW w:w="1072" w:type="dxa"/>
          </w:tcPr>
          <w:p w:rsidR="007C43BB" w:rsidRPr="003511C0" w:rsidRDefault="007C43BB" w:rsidP="00E742C6">
            <w:pPr>
              <w:spacing w:line="245" w:lineRule="auto"/>
              <w:jc w:val="center"/>
              <w:rPr>
                <w:color w:val="000000"/>
                <w:sz w:val="20"/>
                <w:szCs w:val="20"/>
              </w:rPr>
            </w:pPr>
            <w:r w:rsidRPr="003511C0">
              <w:rPr>
                <w:color w:val="000000"/>
                <w:sz w:val="20"/>
                <w:szCs w:val="20"/>
              </w:rPr>
              <w:t>7</w:t>
            </w:r>
          </w:p>
        </w:tc>
      </w:tr>
      <w:tr w:rsidR="00D901D3" w:rsidRPr="009F7FC4" w:rsidTr="00DB493B">
        <w:tc>
          <w:tcPr>
            <w:tcW w:w="1555" w:type="dxa"/>
            <w:vMerge w:val="restart"/>
          </w:tcPr>
          <w:p w:rsidR="00D901D3" w:rsidRDefault="00D901D3" w:rsidP="00E742C6">
            <w:pPr>
              <w:spacing w:line="245" w:lineRule="auto"/>
              <w:ind w:left="-45" w:right="-28"/>
              <w:jc w:val="both"/>
              <w:rPr>
                <w:sz w:val="20"/>
                <w:szCs w:val="20"/>
              </w:rPr>
            </w:pPr>
            <w:r w:rsidRPr="003511C0">
              <w:rPr>
                <w:sz w:val="20"/>
                <w:szCs w:val="20"/>
              </w:rPr>
              <w:t>ГАУЗ «РКОД МЗ РТ</w:t>
            </w:r>
          </w:p>
          <w:p w:rsidR="00D901D3" w:rsidRPr="003511C0" w:rsidRDefault="00D901D3" w:rsidP="00E742C6">
            <w:pPr>
              <w:spacing w:line="245" w:lineRule="auto"/>
              <w:ind w:left="-45" w:right="-28"/>
              <w:jc w:val="both"/>
              <w:rPr>
                <w:sz w:val="20"/>
                <w:szCs w:val="20"/>
              </w:rPr>
            </w:pPr>
            <w:r w:rsidRPr="00DB493B">
              <w:rPr>
                <w:spacing w:val="-4"/>
                <w:sz w:val="20"/>
                <w:szCs w:val="20"/>
              </w:rPr>
              <w:t>им.проф.М.З.Си</w:t>
            </w:r>
            <w:r>
              <w:rPr>
                <w:spacing w:val="-2"/>
                <w:sz w:val="20"/>
                <w:szCs w:val="20"/>
              </w:rPr>
              <w:t>-</w:t>
            </w:r>
            <w:r w:rsidRPr="003511C0">
              <w:rPr>
                <w:sz w:val="20"/>
                <w:szCs w:val="20"/>
              </w:rPr>
              <w:t>гала»</w:t>
            </w:r>
          </w:p>
        </w:tc>
        <w:tc>
          <w:tcPr>
            <w:tcW w:w="1134" w:type="dxa"/>
            <w:vMerge w:val="restart"/>
          </w:tcPr>
          <w:p w:rsidR="00D901D3" w:rsidRPr="003511C0" w:rsidRDefault="00520431" w:rsidP="00520431">
            <w:pPr>
              <w:spacing w:line="245" w:lineRule="auto"/>
              <w:jc w:val="both"/>
              <w:rPr>
                <w:sz w:val="20"/>
                <w:szCs w:val="20"/>
              </w:rPr>
            </w:pPr>
            <w:r>
              <w:rPr>
                <w:color w:val="333333"/>
                <w:spacing w:val="-2"/>
                <w:sz w:val="20"/>
                <w:szCs w:val="20"/>
                <w:shd w:val="clear" w:color="auto" w:fill="FFFFFF"/>
              </w:rPr>
              <w:t>Позитронно-эмиссионный компьютерный томограф</w:t>
            </w:r>
          </w:p>
        </w:tc>
        <w:tc>
          <w:tcPr>
            <w:tcW w:w="1556" w:type="dxa"/>
          </w:tcPr>
          <w:p w:rsidR="00D901D3" w:rsidRPr="003511C0" w:rsidRDefault="00D901D3" w:rsidP="00E742C6">
            <w:pPr>
              <w:spacing w:line="245" w:lineRule="auto"/>
              <w:jc w:val="both"/>
              <w:rPr>
                <w:sz w:val="20"/>
                <w:szCs w:val="20"/>
              </w:rPr>
            </w:pPr>
            <w:r w:rsidRPr="003511C0">
              <w:rPr>
                <w:sz w:val="20"/>
                <w:szCs w:val="20"/>
              </w:rPr>
              <w:t>Врач-радиолог</w:t>
            </w:r>
          </w:p>
        </w:tc>
        <w:tc>
          <w:tcPr>
            <w:tcW w:w="1418" w:type="dxa"/>
          </w:tcPr>
          <w:p w:rsidR="00D901D3" w:rsidRPr="003511C0" w:rsidRDefault="00D901D3" w:rsidP="00E742C6">
            <w:pPr>
              <w:spacing w:line="245" w:lineRule="auto"/>
              <w:jc w:val="center"/>
              <w:rPr>
                <w:sz w:val="20"/>
                <w:szCs w:val="20"/>
              </w:rPr>
            </w:pPr>
            <w:r w:rsidRPr="003511C0">
              <w:rPr>
                <w:sz w:val="20"/>
                <w:szCs w:val="20"/>
              </w:rPr>
              <w:t>8</w:t>
            </w:r>
          </w:p>
        </w:tc>
        <w:tc>
          <w:tcPr>
            <w:tcW w:w="1275" w:type="dxa"/>
          </w:tcPr>
          <w:p w:rsidR="00D901D3" w:rsidRPr="003511C0" w:rsidRDefault="00D901D3" w:rsidP="00E742C6">
            <w:pPr>
              <w:spacing w:line="245" w:lineRule="auto"/>
              <w:jc w:val="center"/>
              <w:rPr>
                <w:sz w:val="20"/>
                <w:szCs w:val="20"/>
              </w:rPr>
            </w:pPr>
            <w:r w:rsidRPr="003511C0">
              <w:rPr>
                <w:sz w:val="20"/>
                <w:szCs w:val="20"/>
              </w:rPr>
              <w:t>1</w:t>
            </w:r>
          </w:p>
        </w:tc>
        <w:tc>
          <w:tcPr>
            <w:tcW w:w="2192" w:type="dxa"/>
          </w:tcPr>
          <w:p w:rsidR="00D901D3" w:rsidRPr="00DA5F6F" w:rsidRDefault="00520431" w:rsidP="00DA5F6F">
            <w:pPr>
              <w:spacing w:line="245" w:lineRule="auto"/>
              <w:ind w:left="-28"/>
              <w:jc w:val="both"/>
              <w:rPr>
                <w:color w:val="000000"/>
                <w:sz w:val="20"/>
                <w:szCs w:val="20"/>
              </w:rPr>
            </w:pPr>
            <w:r w:rsidRPr="00DA5F6F">
              <w:rPr>
                <w:color w:val="333333"/>
                <w:spacing w:val="-2"/>
                <w:sz w:val="20"/>
                <w:szCs w:val="20"/>
                <w:shd w:val="clear" w:color="auto" w:fill="FFFFFF"/>
              </w:rPr>
              <w:t>Позитронно-эмиссионный компьютерный томограф</w:t>
            </w:r>
            <w:r w:rsidR="00D901D3" w:rsidRPr="00DA5F6F">
              <w:rPr>
                <w:color w:val="333333"/>
                <w:spacing w:val="-2"/>
                <w:sz w:val="20"/>
                <w:szCs w:val="20"/>
                <w:shd w:val="clear" w:color="auto" w:fill="FFFFFF"/>
              </w:rPr>
              <w:t>, совмещенный с рентгеновским компьютерным томографом (</w:t>
            </w:r>
            <w:r w:rsidRPr="00DA5F6F">
              <w:rPr>
                <w:color w:val="333333"/>
                <w:spacing w:val="-2"/>
                <w:sz w:val="20"/>
                <w:szCs w:val="20"/>
                <w:shd w:val="clear" w:color="auto" w:fill="FFFFFF"/>
              </w:rPr>
              <w:t xml:space="preserve">далее </w:t>
            </w:r>
            <w:r w:rsidR="00DA5F6F" w:rsidRPr="00DA5F6F">
              <w:rPr>
                <w:bCs/>
                <w:iCs/>
                <w:color w:val="0D0D0D" w:themeColor="text1" w:themeTint="F2"/>
                <w:sz w:val="20"/>
                <w:szCs w:val="20"/>
              </w:rPr>
              <w:t>–</w:t>
            </w:r>
            <w:r w:rsidR="00DA5F6F" w:rsidRPr="00DA5F6F">
              <w:rPr>
                <w:color w:val="333333"/>
                <w:spacing w:val="-2"/>
                <w:sz w:val="20"/>
                <w:szCs w:val="20"/>
                <w:shd w:val="clear" w:color="auto" w:fill="FFFFFF"/>
              </w:rPr>
              <w:t xml:space="preserve"> </w:t>
            </w:r>
            <w:r w:rsidR="00D901D3" w:rsidRPr="00DA5F6F">
              <w:rPr>
                <w:color w:val="333333"/>
                <w:spacing w:val="-2"/>
                <w:sz w:val="20"/>
                <w:szCs w:val="20"/>
                <w:shd w:val="clear" w:color="auto" w:fill="FFFFFF"/>
              </w:rPr>
              <w:t>П</w:t>
            </w:r>
            <w:r w:rsidRPr="00DA5F6F">
              <w:rPr>
                <w:color w:val="333333"/>
                <w:spacing w:val="-2"/>
                <w:sz w:val="20"/>
                <w:szCs w:val="20"/>
                <w:shd w:val="clear" w:color="auto" w:fill="FFFFFF"/>
              </w:rPr>
              <w:t xml:space="preserve">ЭТ/КТ) </w:t>
            </w:r>
            <w:r w:rsidR="00D901D3" w:rsidRPr="00DA5F6F">
              <w:rPr>
                <w:color w:val="333333"/>
                <w:spacing w:val="-2"/>
                <w:sz w:val="20"/>
                <w:szCs w:val="20"/>
                <w:shd w:val="clear" w:color="auto" w:fill="FFFFFF"/>
              </w:rPr>
              <w:t>Discovery 710</w:t>
            </w:r>
          </w:p>
        </w:tc>
        <w:tc>
          <w:tcPr>
            <w:tcW w:w="1072" w:type="dxa"/>
          </w:tcPr>
          <w:p w:rsidR="00D901D3" w:rsidRPr="003511C0" w:rsidRDefault="00D901D3" w:rsidP="00E742C6">
            <w:pPr>
              <w:spacing w:line="245" w:lineRule="auto"/>
              <w:jc w:val="center"/>
              <w:rPr>
                <w:color w:val="000000"/>
                <w:sz w:val="20"/>
                <w:szCs w:val="20"/>
              </w:rPr>
            </w:pPr>
            <w:r w:rsidRPr="003511C0">
              <w:rPr>
                <w:color w:val="000000"/>
                <w:sz w:val="20"/>
                <w:szCs w:val="20"/>
              </w:rPr>
              <w:t>2020</w:t>
            </w:r>
          </w:p>
        </w:tc>
      </w:tr>
      <w:tr w:rsidR="00D901D3" w:rsidRPr="009F7FC4" w:rsidTr="00DB493B">
        <w:tc>
          <w:tcPr>
            <w:tcW w:w="1555" w:type="dxa"/>
            <w:vMerge/>
          </w:tcPr>
          <w:p w:rsidR="00D901D3" w:rsidRPr="003511C0" w:rsidRDefault="00D901D3" w:rsidP="00E742C6">
            <w:pPr>
              <w:spacing w:line="245" w:lineRule="auto"/>
              <w:ind w:left="-45" w:right="-28"/>
              <w:rPr>
                <w:sz w:val="20"/>
                <w:szCs w:val="20"/>
              </w:rPr>
            </w:pPr>
          </w:p>
        </w:tc>
        <w:tc>
          <w:tcPr>
            <w:tcW w:w="1134" w:type="dxa"/>
            <w:vMerge/>
          </w:tcPr>
          <w:p w:rsidR="00D901D3" w:rsidRPr="003511C0" w:rsidRDefault="00D901D3" w:rsidP="00E742C6">
            <w:pPr>
              <w:spacing w:line="245" w:lineRule="auto"/>
              <w:jc w:val="both"/>
              <w:rPr>
                <w:sz w:val="20"/>
                <w:szCs w:val="20"/>
              </w:rPr>
            </w:pPr>
          </w:p>
        </w:tc>
        <w:tc>
          <w:tcPr>
            <w:tcW w:w="1556" w:type="dxa"/>
          </w:tcPr>
          <w:p w:rsidR="00D901D3" w:rsidRPr="003511C0" w:rsidRDefault="00D901D3" w:rsidP="00E742C6">
            <w:pPr>
              <w:spacing w:line="245" w:lineRule="auto"/>
              <w:jc w:val="both"/>
              <w:rPr>
                <w:sz w:val="20"/>
                <w:szCs w:val="20"/>
              </w:rPr>
            </w:pPr>
            <w:r w:rsidRPr="003511C0">
              <w:rPr>
                <w:sz w:val="20"/>
                <w:szCs w:val="20"/>
              </w:rPr>
              <w:t>Врач-рентгенолог</w:t>
            </w:r>
          </w:p>
        </w:tc>
        <w:tc>
          <w:tcPr>
            <w:tcW w:w="1418" w:type="dxa"/>
          </w:tcPr>
          <w:p w:rsidR="00D901D3" w:rsidRPr="003511C0" w:rsidRDefault="00D901D3" w:rsidP="00E742C6">
            <w:pPr>
              <w:spacing w:line="245" w:lineRule="auto"/>
              <w:jc w:val="center"/>
              <w:rPr>
                <w:sz w:val="20"/>
                <w:szCs w:val="20"/>
              </w:rPr>
            </w:pPr>
            <w:r w:rsidRPr="003511C0">
              <w:rPr>
                <w:sz w:val="20"/>
                <w:szCs w:val="20"/>
              </w:rPr>
              <w:t>4</w:t>
            </w:r>
          </w:p>
        </w:tc>
        <w:tc>
          <w:tcPr>
            <w:tcW w:w="1275" w:type="dxa"/>
          </w:tcPr>
          <w:p w:rsidR="00D901D3" w:rsidRPr="003511C0" w:rsidRDefault="00D901D3" w:rsidP="00E742C6">
            <w:pPr>
              <w:spacing w:line="245" w:lineRule="auto"/>
              <w:jc w:val="center"/>
              <w:rPr>
                <w:sz w:val="20"/>
                <w:szCs w:val="20"/>
              </w:rPr>
            </w:pPr>
            <w:r w:rsidRPr="003511C0">
              <w:rPr>
                <w:sz w:val="20"/>
                <w:szCs w:val="20"/>
              </w:rPr>
              <w:t>1</w:t>
            </w:r>
          </w:p>
        </w:tc>
        <w:tc>
          <w:tcPr>
            <w:tcW w:w="2192" w:type="dxa"/>
          </w:tcPr>
          <w:p w:rsidR="00D901D3" w:rsidRPr="003511C0" w:rsidRDefault="00D901D3" w:rsidP="00520431">
            <w:pPr>
              <w:spacing w:line="245" w:lineRule="auto"/>
              <w:ind w:left="-28"/>
              <w:jc w:val="both"/>
              <w:rPr>
                <w:color w:val="000000"/>
                <w:sz w:val="20"/>
                <w:szCs w:val="20"/>
              </w:rPr>
            </w:pPr>
            <w:r w:rsidRPr="003511C0">
              <w:rPr>
                <w:color w:val="333333"/>
                <w:spacing w:val="-2"/>
                <w:sz w:val="20"/>
                <w:szCs w:val="20"/>
                <w:shd w:val="clear" w:color="auto" w:fill="FFFFFF"/>
              </w:rPr>
              <w:t>ПЭТ/КТ Discovery IQ, ширина ПЭТ 4 детектора</w:t>
            </w:r>
          </w:p>
        </w:tc>
        <w:tc>
          <w:tcPr>
            <w:tcW w:w="1072" w:type="dxa"/>
          </w:tcPr>
          <w:p w:rsidR="00D901D3" w:rsidRPr="003511C0" w:rsidRDefault="00D901D3" w:rsidP="00E742C6">
            <w:pPr>
              <w:spacing w:line="245" w:lineRule="auto"/>
              <w:jc w:val="center"/>
              <w:rPr>
                <w:color w:val="000000"/>
                <w:sz w:val="20"/>
                <w:szCs w:val="20"/>
              </w:rPr>
            </w:pPr>
            <w:r w:rsidRPr="003511C0">
              <w:rPr>
                <w:color w:val="000000"/>
                <w:sz w:val="20"/>
                <w:szCs w:val="20"/>
              </w:rPr>
              <w:t>2022</w:t>
            </w:r>
          </w:p>
        </w:tc>
      </w:tr>
      <w:tr w:rsidR="00D901D3" w:rsidRPr="009F7FC4" w:rsidTr="00DB493B">
        <w:tc>
          <w:tcPr>
            <w:tcW w:w="1555" w:type="dxa"/>
            <w:vMerge/>
          </w:tcPr>
          <w:p w:rsidR="00D901D3" w:rsidRPr="003511C0" w:rsidRDefault="00D901D3" w:rsidP="00E742C6">
            <w:pPr>
              <w:spacing w:line="245" w:lineRule="auto"/>
              <w:ind w:left="-45" w:right="-28"/>
              <w:rPr>
                <w:sz w:val="20"/>
                <w:szCs w:val="20"/>
              </w:rPr>
            </w:pPr>
          </w:p>
        </w:tc>
        <w:tc>
          <w:tcPr>
            <w:tcW w:w="1134" w:type="dxa"/>
            <w:vMerge/>
          </w:tcPr>
          <w:p w:rsidR="00D901D3" w:rsidRPr="003511C0" w:rsidRDefault="00D901D3" w:rsidP="00E742C6">
            <w:pPr>
              <w:spacing w:line="245" w:lineRule="auto"/>
              <w:jc w:val="both"/>
              <w:rPr>
                <w:sz w:val="20"/>
                <w:szCs w:val="20"/>
              </w:rPr>
            </w:pPr>
          </w:p>
        </w:tc>
        <w:tc>
          <w:tcPr>
            <w:tcW w:w="1556" w:type="dxa"/>
          </w:tcPr>
          <w:p w:rsidR="00D901D3" w:rsidRPr="003511C0" w:rsidRDefault="00F35BBA" w:rsidP="00BE3850">
            <w:pPr>
              <w:spacing w:line="245" w:lineRule="auto"/>
              <w:jc w:val="both"/>
              <w:rPr>
                <w:sz w:val="20"/>
                <w:szCs w:val="20"/>
              </w:rPr>
            </w:pPr>
            <w:r>
              <w:rPr>
                <w:sz w:val="20"/>
                <w:szCs w:val="20"/>
              </w:rPr>
              <w:t>Рентген</w:t>
            </w:r>
            <w:r w:rsidR="00D901D3" w:rsidRPr="003511C0">
              <w:rPr>
                <w:sz w:val="20"/>
                <w:szCs w:val="20"/>
              </w:rPr>
              <w:t>лаборант</w:t>
            </w:r>
          </w:p>
        </w:tc>
        <w:tc>
          <w:tcPr>
            <w:tcW w:w="1418" w:type="dxa"/>
          </w:tcPr>
          <w:p w:rsidR="00D901D3" w:rsidRPr="003511C0" w:rsidRDefault="00D901D3" w:rsidP="00E742C6">
            <w:pPr>
              <w:spacing w:line="245" w:lineRule="auto"/>
              <w:jc w:val="center"/>
              <w:rPr>
                <w:sz w:val="20"/>
                <w:szCs w:val="20"/>
              </w:rPr>
            </w:pPr>
            <w:r w:rsidRPr="003511C0">
              <w:rPr>
                <w:sz w:val="20"/>
                <w:szCs w:val="20"/>
              </w:rPr>
              <w:t>4</w:t>
            </w:r>
          </w:p>
        </w:tc>
        <w:tc>
          <w:tcPr>
            <w:tcW w:w="1275" w:type="dxa"/>
          </w:tcPr>
          <w:p w:rsidR="00D901D3" w:rsidRPr="003511C0" w:rsidRDefault="00D901D3" w:rsidP="00E742C6">
            <w:pPr>
              <w:spacing w:line="245" w:lineRule="auto"/>
              <w:jc w:val="center"/>
              <w:rPr>
                <w:sz w:val="20"/>
                <w:szCs w:val="20"/>
              </w:rPr>
            </w:pPr>
            <w:r w:rsidRPr="003511C0">
              <w:rPr>
                <w:sz w:val="20"/>
                <w:szCs w:val="20"/>
              </w:rPr>
              <w:t>3</w:t>
            </w:r>
          </w:p>
        </w:tc>
        <w:tc>
          <w:tcPr>
            <w:tcW w:w="2192" w:type="dxa"/>
          </w:tcPr>
          <w:p w:rsidR="00D901D3" w:rsidRPr="003511C0" w:rsidRDefault="00D901D3" w:rsidP="00D901D3">
            <w:pPr>
              <w:spacing w:line="245" w:lineRule="auto"/>
              <w:ind w:left="-28"/>
              <w:jc w:val="both"/>
              <w:rPr>
                <w:color w:val="000000"/>
                <w:sz w:val="20"/>
                <w:szCs w:val="20"/>
              </w:rPr>
            </w:pPr>
            <w:r w:rsidRPr="00612C8D">
              <w:rPr>
                <w:color w:val="333333"/>
                <w:spacing w:val="-2"/>
                <w:sz w:val="20"/>
                <w:szCs w:val="20"/>
                <w:shd w:val="clear" w:color="auto" w:fill="FFFFFF"/>
              </w:rPr>
              <w:t>Циклотрон для получения радионуклидов для производства радиофармпрепаратов PETtrace с принадлежностями. Варианты исполнения: PETtrace 840</w:t>
            </w:r>
          </w:p>
        </w:tc>
        <w:tc>
          <w:tcPr>
            <w:tcW w:w="1072" w:type="dxa"/>
          </w:tcPr>
          <w:p w:rsidR="00D901D3" w:rsidRPr="003511C0" w:rsidRDefault="00D901D3" w:rsidP="00E742C6">
            <w:pPr>
              <w:spacing w:line="245" w:lineRule="auto"/>
              <w:jc w:val="center"/>
              <w:rPr>
                <w:color w:val="000000"/>
                <w:sz w:val="20"/>
                <w:szCs w:val="20"/>
                <w:lang w:val="en-US"/>
              </w:rPr>
            </w:pPr>
            <w:r w:rsidRPr="003511C0">
              <w:rPr>
                <w:color w:val="000000"/>
                <w:sz w:val="20"/>
                <w:szCs w:val="20"/>
                <w:lang w:val="en-US"/>
              </w:rPr>
              <w:t>2011</w:t>
            </w:r>
          </w:p>
        </w:tc>
      </w:tr>
      <w:tr w:rsidR="00D901D3" w:rsidRPr="009F7FC4" w:rsidTr="00DB493B">
        <w:tc>
          <w:tcPr>
            <w:tcW w:w="1555" w:type="dxa"/>
            <w:vMerge/>
          </w:tcPr>
          <w:p w:rsidR="00D901D3" w:rsidRPr="003511C0" w:rsidRDefault="00D901D3" w:rsidP="00E742C6">
            <w:pPr>
              <w:spacing w:line="245" w:lineRule="auto"/>
              <w:ind w:left="-45" w:right="-28"/>
              <w:rPr>
                <w:sz w:val="20"/>
                <w:szCs w:val="20"/>
              </w:rPr>
            </w:pPr>
          </w:p>
        </w:tc>
        <w:tc>
          <w:tcPr>
            <w:tcW w:w="1134" w:type="dxa"/>
            <w:vMerge/>
          </w:tcPr>
          <w:p w:rsidR="00D901D3" w:rsidRPr="003511C0" w:rsidRDefault="00D901D3" w:rsidP="00E742C6">
            <w:pPr>
              <w:spacing w:line="245" w:lineRule="auto"/>
              <w:jc w:val="both"/>
              <w:rPr>
                <w:sz w:val="20"/>
                <w:szCs w:val="20"/>
              </w:rPr>
            </w:pPr>
          </w:p>
        </w:tc>
        <w:tc>
          <w:tcPr>
            <w:tcW w:w="1556" w:type="dxa"/>
          </w:tcPr>
          <w:p w:rsidR="00D901D3" w:rsidRPr="003511C0" w:rsidRDefault="00D901D3" w:rsidP="00552F8C">
            <w:pPr>
              <w:spacing w:line="245" w:lineRule="auto"/>
              <w:jc w:val="both"/>
              <w:rPr>
                <w:sz w:val="20"/>
                <w:szCs w:val="20"/>
              </w:rPr>
            </w:pPr>
            <w:r w:rsidRPr="003511C0">
              <w:rPr>
                <w:sz w:val="20"/>
                <w:szCs w:val="20"/>
              </w:rPr>
              <w:t>Медсестра процедурн</w:t>
            </w:r>
            <w:r w:rsidR="00552F8C">
              <w:rPr>
                <w:sz w:val="20"/>
                <w:szCs w:val="20"/>
              </w:rPr>
              <w:t>ая</w:t>
            </w:r>
          </w:p>
        </w:tc>
        <w:tc>
          <w:tcPr>
            <w:tcW w:w="1418" w:type="dxa"/>
          </w:tcPr>
          <w:p w:rsidR="00D901D3" w:rsidRPr="003511C0" w:rsidRDefault="00D901D3" w:rsidP="00E742C6">
            <w:pPr>
              <w:spacing w:line="245" w:lineRule="auto"/>
              <w:jc w:val="center"/>
              <w:rPr>
                <w:sz w:val="20"/>
                <w:szCs w:val="20"/>
              </w:rPr>
            </w:pPr>
            <w:r w:rsidRPr="003511C0">
              <w:rPr>
                <w:sz w:val="20"/>
                <w:szCs w:val="20"/>
              </w:rPr>
              <w:t>6</w:t>
            </w:r>
          </w:p>
        </w:tc>
        <w:tc>
          <w:tcPr>
            <w:tcW w:w="1275" w:type="dxa"/>
          </w:tcPr>
          <w:p w:rsidR="00D901D3" w:rsidRPr="003511C0" w:rsidRDefault="00D901D3" w:rsidP="00E742C6">
            <w:pPr>
              <w:spacing w:line="245" w:lineRule="auto"/>
              <w:jc w:val="center"/>
              <w:rPr>
                <w:sz w:val="20"/>
                <w:szCs w:val="20"/>
              </w:rPr>
            </w:pPr>
            <w:r w:rsidRPr="003511C0">
              <w:rPr>
                <w:sz w:val="20"/>
                <w:szCs w:val="20"/>
              </w:rPr>
              <w:t>6</w:t>
            </w:r>
          </w:p>
        </w:tc>
        <w:tc>
          <w:tcPr>
            <w:tcW w:w="2192" w:type="dxa"/>
          </w:tcPr>
          <w:p w:rsidR="00D901D3" w:rsidRPr="003511C0" w:rsidRDefault="00D901D3" w:rsidP="00E742C6">
            <w:pPr>
              <w:spacing w:line="245" w:lineRule="auto"/>
              <w:ind w:left="-28"/>
              <w:jc w:val="both"/>
              <w:rPr>
                <w:color w:val="000000"/>
                <w:sz w:val="20"/>
                <w:szCs w:val="20"/>
              </w:rPr>
            </w:pPr>
          </w:p>
        </w:tc>
        <w:tc>
          <w:tcPr>
            <w:tcW w:w="1072" w:type="dxa"/>
          </w:tcPr>
          <w:p w:rsidR="00D901D3" w:rsidRPr="003511C0" w:rsidRDefault="00D901D3" w:rsidP="00E742C6">
            <w:pPr>
              <w:spacing w:line="245" w:lineRule="auto"/>
              <w:jc w:val="center"/>
              <w:rPr>
                <w:color w:val="000000"/>
                <w:sz w:val="20"/>
                <w:szCs w:val="20"/>
              </w:rPr>
            </w:pPr>
          </w:p>
        </w:tc>
      </w:tr>
      <w:tr w:rsidR="00D901D3" w:rsidRPr="009F7FC4" w:rsidTr="00DB493B">
        <w:tc>
          <w:tcPr>
            <w:tcW w:w="1555" w:type="dxa"/>
            <w:vMerge/>
          </w:tcPr>
          <w:p w:rsidR="00D901D3" w:rsidRPr="003511C0" w:rsidRDefault="00D901D3" w:rsidP="00DB493B">
            <w:pPr>
              <w:ind w:left="-45" w:right="-28"/>
              <w:rPr>
                <w:sz w:val="20"/>
                <w:szCs w:val="20"/>
              </w:rPr>
            </w:pPr>
          </w:p>
        </w:tc>
        <w:tc>
          <w:tcPr>
            <w:tcW w:w="1134" w:type="dxa"/>
            <w:vMerge/>
          </w:tcPr>
          <w:p w:rsidR="00D901D3" w:rsidRPr="003511C0" w:rsidRDefault="00D901D3" w:rsidP="00DB493B">
            <w:pPr>
              <w:jc w:val="both"/>
              <w:rPr>
                <w:sz w:val="20"/>
                <w:szCs w:val="20"/>
              </w:rPr>
            </w:pPr>
          </w:p>
        </w:tc>
        <w:tc>
          <w:tcPr>
            <w:tcW w:w="1556" w:type="dxa"/>
          </w:tcPr>
          <w:p w:rsidR="00D901D3" w:rsidRPr="003511C0" w:rsidRDefault="00D901D3" w:rsidP="00DB493B">
            <w:pPr>
              <w:jc w:val="both"/>
              <w:rPr>
                <w:sz w:val="20"/>
                <w:szCs w:val="20"/>
              </w:rPr>
            </w:pPr>
            <w:r w:rsidRPr="003511C0">
              <w:rPr>
                <w:sz w:val="20"/>
                <w:szCs w:val="20"/>
              </w:rPr>
              <w:t>Медицинский физик</w:t>
            </w:r>
          </w:p>
        </w:tc>
        <w:tc>
          <w:tcPr>
            <w:tcW w:w="1418" w:type="dxa"/>
          </w:tcPr>
          <w:p w:rsidR="00D901D3" w:rsidRPr="003511C0" w:rsidRDefault="00D901D3" w:rsidP="00EF628C">
            <w:pPr>
              <w:jc w:val="center"/>
              <w:rPr>
                <w:sz w:val="20"/>
                <w:szCs w:val="20"/>
              </w:rPr>
            </w:pPr>
            <w:r w:rsidRPr="003511C0">
              <w:rPr>
                <w:sz w:val="20"/>
                <w:szCs w:val="20"/>
              </w:rPr>
              <w:t>0</w:t>
            </w:r>
          </w:p>
        </w:tc>
        <w:tc>
          <w:tcPr>
            <w:tcW w:w="1275" w:type="dxa"/>
          </w:tcPr>
          <w:p w:rsidR="00D901D3" w:rsidRPr="003511C0" w:rsidRDefault="00D901D3" w:rsidP="00EF628C">
            <w:pPr>
              <w:jc w:val="center"/>
              <w:rPr>
                <w:sz w:val="20"/>
                <w:szCs w:val="20"/>
              </w:rPr>
            </w:pPr>
          </w:p>
        </w:tc>
        <w:tc>
          <w:tcPr>
            <w:tcW w:w="2192" w:type="dxa"/>
          </w:tcPr>
          <w:p w:rsidR="00D901D3" w:rsidRPr="003511C0" w:rsidRDefault="00D901D3" w:rsidP="00DB493B">
            <w:pPr>
              <w:ind w:left="-28"/>
              <w:jc w:val="both"/>
              <w:rPr>
                <w:color w:val="000000"/>
                <w:sz w:val="20"/>
                <w:szCs w:val="20"/>
              </w:rPr>
            </w:pPr>
          </w:p>
        </w:tc>
        <w:tc>
          <w:tcPr>
            <w:tcW w:w="1072" w:type="dxa"/>
          </w:tcPr>
          <w:p w:rsidR="00D901D3" w:rsidRPr="003511C0" w:rsidRDefault="00D901D3" w:rsidP="00EF628C">
            <w:pPr>
              <w:jc w:val="center"/>
              <w:rPr>
                <w:color w:val="000000"/>
                <w:sz w:val="20"/>
                <w:szCs w:val="20"/>
              </w:rPr>
            </w:pPr>
          </w:p>
        </w:tc>
      </w:tr>
      <w:tr w:rsidR="00D901D3" w:rsidRPr="009F7FC4" w:rsidTr="00DB493B">
        <w:tc>
          <w:tcPr>
            <w:tcW w:w="1555" w:type="dxa"/>
            <w:vMerge/>
          </w:tcPr>
          <w:p w:rsidR="00D901D3" w:rsidRPr="003511C0" w:rsidRDefault="00D901D3" w:rsidP="00DB493B">
            <w:pPr>
              <w:ind w:left="-45" w:right="-28"/>
              <w:rPr>
                <w:sz w:val="20"/>
                <w:szCs w:val="20"/>
              </w:rPr>
            </w:pPr>
          </w:p>
        </w:tc>
        <w:tc>
          <w:tcPr>
            <w:tcW w:w="1134" w:type="dxa"/>
            <w:vMerge/>
          </w:tcPr>
          <w:p w:rsidR="00D901D3" w:rsidRPr="003511C0" w:rsidRDefault="00D901D3" w:rsidP="00DB493B">
            <w:pPr>
              <w:jc w:val="both"/>
              <w:rPr>
                <w:sz w:val="20"/>
                <w:szCs w:val="20"/>
              </w:rPr>
            </w:pPr>
          </w:p>
        </w:tc>
        <w:tc>
          <w:tcPr>
            <w:tcW w:w="1556" w:type="dxa"/>
          </w:tcPr>
          <w:p w:rsidR="00D901D3" w:rsidRDefault="00D901D3" w:rsidP="00DB493B">
            <w:pPr>
              <w:jc w:val="both"/>
              <w:rPr>
                <w:sz w:val="20"/>
                <w:szCs w:val="20"/>
              </w:rPr>
            </w:pPr>
            <w:r w:rsidRPr="003511C0">
              <w:rPr>
                <w:sz w:val="20"/>
                <w:szCs w:val="20"/>
              </w:rPr>
              <w:t>Инженер-</w:t>
            </w:r>
          </w:p>
          <w:p w:rsidR="00D901D3" w:rsidRPr="003511C0" w:rsidRDefault="00D901D3" w:rsidP="00DB493B">
            <w:pPr>
              <w:jc w:val="both"/>
              <w:rPr>
                <w:sz w:val="20"/>
                <w:szCs w:val="20"/>
              </w:rPr>
            </w:pPr>
            <w:r w:rsidRPr="003511C0">
              <w:rPr>
                <w:sz w:val="20"/>
                <w:szCs w:val="20"/>
              </w:rPr>
              <w:t>химик</w:t>
            </w:r>
          </w:p>
        </w:tc>
        <w:tc>
          <w:tcPr>
            <w:tcW w:w="1418" w:type="dxa"/>
          </w:tcPr>
          <w:p w:rsidR="00D901D3" w:rsidRPr="003511C0" w:rsidRDefault="00D901D3" w:rsidP="00EF628C">
            <w:pPr>
              <w:jc w:val="center"/>
              <w:rPr>
                <w:sz w:val="20"/>
                <w:szCs w:val="20"/>
              </w:rPr>
            </w:pPr>
            <w:r w:rsidRPr="003511C0">
              <w:rPr>
                <w:sz w:val="20"/>
                <w:szCs w:val="20"/>
              </w:rPr>
              <w:t>5</w:t>
            </w:r>
          </w:p>
        </w:tc>
        <w:tc>
          <w:tcPr>
            <w:tcW w:w="1275" w:type="dxa"/>
          </w:tcPr>
          <w:p w:rsidR="00D901D3" w:rsidRPr="003511C0" w:rsidRDefault="00D901D3" w:rsidP="00EF628C">
            <w:pPr>
              <w:jc w:val="center"/>
              <w:rPr>
                <w:sz w:val="20"/>
                <w:szCs w:val="20"/>
              </w:rPr>
            </w:pPr>
            <w:r w:rsidRPr="003511C0">
              <w:rPr>
                <w:sz w:val="20"/>
                <w:szCs w:val="20"/>
              </w:rPr>
              <w:t>5</w:t>
            </w:r>
          </w:p>
        </w:tc>
        <w:tc>
          <w:tcPr>
            <w:tcW w:w="2192" w:type="dxa"/>
          </w:tcPr>
          <w:p w:rsidR="00D901D3" w:rsidRPr="003511C0" w:rsidRDefault="00D901D3" w:rsidP="00DB493B">
            <w:pPr>
              <w:ind w:left="-28"/>
              <w:jc w:val="both"/>
              <w:rPr>
                <w:color w:val="000000"/>
                <w:sz w:val="20"/>
                <w:szCs w:val="20"/>
              </w:rPr>
            </w:pPr>
          </w:p>
        </w:tc>
        <w:tc>
          <w:tcPr>
            <w:tcW w:w="1072" w:type="dxa"/>
          </w:tcPr>
          <w:p w:rsidR="00D901D3" w:rsidRPr="003511C0" w:rsidRDefault="00D901D3" w:rsidP="00EF628C">
            <w:pPr>
              <w:jc w:val="center"/>
              <w:rPr>
                <w:color w:val="000000"/>
                <w:sz w:val="20"/>
                <w:szCs w:val="20"/>
              </w:rPr>
            </w:pPr>
          </w:p>
        </w:tc>
      </w:tr>
      <w:tr w:rsidR="00D901D3" w:rsidRPr="009F7FC4" w:rsidTr="00DB493B">
        <w:tc>
          <w:tcPr>
            <w:tcW w:w="1555" w:type="dxa"/>
            <w:vMerge/>
          </w:tcPr>
          <w:p w:rsidR="00D901D3" w:rsidRPr="003511C0" w:rsidRDefault="00D901D3" w:rsidP="00DB493B">
            <w:pPr>
              <w:ind w:left="-45" w:right="-28"/>
              <w:rPr>
                <w:sz w:val="20"/>
                <w:szCs w:val="20"/>
              </w:rPr>
            </w:pPr>
          </w:p>
        </w:tc>
        <w:tc>
          <w:tcPr>
            <w:tcW w:w="1134" w:type="dxa"/>
            <w:vMerge/>
          </w:tcPr>
          <w:p w:rsidR="00D901D3" w:rsidRPr="003511C0" w:rsidRDefault="00D901D3" w:rsidP="00DB493B">
            <w:pPr>
              <w:jc w:val="both"/>
              <w:rPr>
                <w:sz w:val="20"/>
                <w:szCs w:val="20"/>
              </w:rPr>
            </w:pPr>
          </w:p>
        </w:tc>
        <w:tc>
          <w:tcPr>
            <w:tcW w:w="1556" w:type="dxa"/>
          </w:tcPr>
          <w:p w:rsidR="00D901D3" w:rsidRDefault="00D901D3" w:rsidP="00DB493B">
            <w:pPr>
              <w:jc w:val="both"/>
              <w:rPr>
                <w:sz w:val="20"/>
                <w:szCs w:val="20"/>
              </w:rPr>
            </w:pPr>
            <w:r w:rsidRPr="003511C0">
              <w:rPr>
                <w:sz w:val="20"/>
                <w:szCs w:val="20"/>
              </w:rPr>
              <w:t>Инженер-</w:t>
            </w:r>
          </w:p>
          <w:p w:rsidR="00D901D3" w:rsidRPr="003511C0" w:rsidRDefault="00D901D3" w:rsidP="00DB493B">
            <w:pPr>
              <w:jc w:val="both"/>
              <w:rPr>
                <w:sz w:val="20"/>
                <w:szCs w:val="20"/>
              </w:rPr>
            </w:pPr>
            <w:r w:rsidRPr="003511C0">
              <w:rPr>
                <w:sz w:val="20"/>
                <w:szCs w:val="20"/>
              </w:rPr>
              <w:t>техник</w:t>
            </w:r>
          </w:p>
        </w:tc>
        <w:tc>
          <w:tcPr>
            <w:tcW w:w="1418" w:type="dxa"/>
          </w:tcPr>
          <w:p w:rsidR="00D901D3" w:rsidRPr="003511C0" w:rsidRDefault="00D901D3" w:rsidP="00EF628C">
            <w:pPr>
              <w:jc w:val="center"/>
              <w:rPr>
                <w:sz w:val="20"/>
                <w:szCs w:val="20"/>
              </w:rPr>
            </w:pPr>
            <w:r w:rsidRPr="003511C0">
              <w:rPr>
                <w:sz w:val="20"/>
                <w:szCs w:val="20"/>
              </w:rPr>
              <w:t>7</w:t>
            </w:r>
          </w:p>
        </w:tc>
        <w:tc>
          <w:tcPr>
            <w:tcW w:w="1275" w:type="dxa"/>
          </w:tcPr>
          <w:p w:rsidR="00D901D3" w:rsidRPr="003511C0" w:rsidRDefault="00D901D3" w:rsidP="00EF628C">
            <w:pPr>
              <w:jc w:val="center"/>
              <w:rPr>
                <w:sz w:val="20"/>
                <w:szCs w:val="20"/>
              </w:rPr>
            </w:pPr>
            <w:r w:rsidRPr="003511C0">
              <w:rPr>
                <w:sz w:val="20"/>
                <w:szCs w:val="20"/>
              </w:rPr>
              <w:t>7</w:t>
            </w:r>
          </w:p>
        </w:tc>
        <w:tc>
          <w:tcPr>
            <w:tcW w:w="2192" w:type="dxa"/>
          </w:tcPr>
          <w:p w:rsidR="00D901D3" w:rsidRPr="003511C0" w:rsidRDefault="00D901D3" w:rsidP="00DB493B">
            <w:pPr>
              <w:ind w:left="-28"/>
              <w:jc w:val="both"/>
              <w:rPr>
                <w:color w:val="000000"/>
                <w:sz w:val="20"/>
                <w:szCs w:val="20"/>
              </w:rPr>
            </w:pPr>
          </w:p>
        </w:tc>
        <w:tc>
          <w:tcPr>
            <w:tcW w:w="1072" w:type="dxa"/>
          </w:tcPr>
          <w:p w:rsidR="00D901D3" w:rsidRPr="003511C0" w:rsidRDefault="00D901D3" w:rsidP="00EF628C">
            <w:pPr>
              <w:jc w:val="center"/>
              <w:rPr>
                <w:sz w:val="20"/>
                <w:szCs w:val="20"/>
              </w:rPr>
            </w:pPr>
          </w:p>
        </w:tc>
      </w:tr>
      <w:tr w:rsidR="00D901D3" w:rsidRPr="009F7FC4" w:rsidTr="00DB493B">
        <w:tc>
          <w:tcPr>
            <w:tcW w:w="1555" w:type="dxa"/>
            <w:vMerge/>
          </w:tcPr>
          <w:p w:rsidR="00D901D3" w:rsidRPr="003511C0" w:rsidRDefault="00D901D3" w:rsidP="00DB493B">
            <w:pPr>
              <w:ind w:left="-45" w:right="-28"/>
              <w:rPr>
                <w:sz w:val="20"/>
                <w:szCs w:val="20"/>
              </w:rPr>
            </w:pPr>
          </w:p>
        </w:tc>
        <w:tc>
          <w:tcPr>
            <w:tcW w:w="1134" w:type="dxa"/>
            <w:vMerge/>
          </w:tcPr>
          <w:p w:rsidR="00D901D3" w:rsidRPr="003511C0" w:rsidRDefault="00D901D3" w:rsidP="00DB493B">
            <w:pPr>
              <w:jc w:val="both"/>
              <w:rPr>
                <w:sz w:val="20"/>
                <w:szCs w:val="20"/>
              </w:rPr>
            </w:pPr>
          </w:p>
        </w:tc>
        <w:tc>
          <w:tcPr>
            <w:tcW w:w="1556" w:type="dxa"/>
          </w:tcPr>
          <w:p w:rsidR="00D901D3" w:rsidRDefault="00D901D3" w:rsidP="00DB493B">
            <w:pPr>
              <w:jc w:val="both"/>
              <w:rPr>
                <w:sz w:val="20"/>
                <w:szCs w:val="20"/>
              </w:rPr>
            </w:pPr>
            <w:r w:rsidRPr="003511C0">
              <w:rPr>
                <w:sz w:val="20"/>
                <w:szCs w:val="20"/>
              </w:rPr>
              <w:t>Техник-</w:t>
            </w:r>
          </w:p>
          <w:p w:rsidR="00D901D3" w:rsidRPr="003511C0" w:rsidRDefault="00D901D3" w:rsidP="00DB493B">
            <w:pPr>
              <w:jc w:val="both"/>
              <w:rPr>
                <w:sz w:val="20"/>
                <w:szCs w:val="20"/>
              </w:rPr>
            </w:pPr>
            <w:r w:rsidRPr="003511C0">
              <w:rPr>
                <w:sz w:val="20"/>
                <w:szCs w:val="20"/>
              </w:rPr>
              <w:t>дозиметрист</w:t>
            </w:r>
          </w:p>
        </w:tc>
        <w:tc>
          <w:tcPr>
            <w:tcW w:w="1418" w:type="dxa"/>
          </w:tcPr>
          <w:p w:rsidR="00D901D3" w:rsidRPr="003511C0" w:rsidRDefault="00D901D3" w:rsidP="00EF628C">
            <w:pPr>
              <w:jc w:val="center"/>
              <w:rPr>
                <w:sz w:val="20"/>
                <w:szCs w:val="20"/>
              </w:rPr>
            </w:pPr>
            <w:r w:rsidRPr="003511C0">
              <w:rPr>
                <w:sz w:val="20"/>
                <w:szCs w:val="20"/>
              </w:rPr>
              <w:t>2</w:t>
            </w:r>
          </w:p>
        </w:tc>
        <w:tc>
          <w:tcPr>
            <w:tcW w:w="1275" w:type="dxa"/>
          </w:tcPr>
          <w:p w:rsidR="00D901D3" w:rsidRPr="003511C0" w:rsidRDefault="00D901D3" w:rsidP="00EF628C">
            <w:pPr>
              <w:jc w:val="center"/>
              <w:rPr>
                <w:sz w:val="20"/>
                <w:szCs w:val="20"/>
              </w:rPr>
            </w:pPr>
            <w:r w:rsidRPr="003511C0">
              <w:rPr>
                <w:sz w:val="20"/>
                <w:szCs w:val="20"/>
              </w:rPr>
              <w:t>1</w:t>
            </w:r>
          </w:p>
        </w:tc>
        <w:tc>
          <w:tcPr>
            <w:tcW w:w="2192" w:type="dxa"/>
          </w:tcPr>
          <w:p w:rsidR="00D901D3" w:rsidRPr="003511C0" w:rsidRDefault="00D901D3" w:rsidP="00DB493B">
            <w:pPr>
              <w:ind w:left="-28"/>
              <w:jc w:val="both"/>
              <w:rPr>
                <w:color w:val="000000"/>
                <w:sz w:val="20"/>
                <w:szCs w:val="20"/>
              </w:rPr>
            </w:pPr>
          </w:p>
        </w:tc>
        <w:tc>
          <w:tcPr>
            <w:tcW w:w="1072" w:type="dxa"/>
          </w:tcPr>
          <w:p w:rsidR="00D901D3" w:rsidRPr="003511C0" w:rsidRDefault="00D901D3" w:rsidP="00EF628C">
            <w:pPr>
              <w:jc w:val="center"/>
              <w:rPr>
                <w:sz w:val="20"/>
                <w:szCs w:val="20"/>
              </w:rPr>
            </w:pPr>
          </w:p>
        </w:tc>
      </w:tr>
      <w:tr w:rsidR="00D901D3" w:rsidRPr="009F7FC4" w:rsidTr="00DB493B">
        <w:tc>
          <w:tcPr>
            <w:tcW w:w="1555" w:type="dxa"/>
            <w:vMerge/>
          </w:tcPr>
          <w:p w:rsidR="00D901D3" w:rsidRPr="003511C0" w:rsidRDefault="00D901D3" w:rsidP="00321EDA">
            <w:pPr>
              <w:ind w:left="-45" w:right="-28"/>
              <w:rPr>
                <w:sz w:val="20"/>
                <w:szCs w:val="20"/>
              </w:rPr>
            </w:pPr>
          </w:p>
        </w:tc>
        <w:tc>
          <w:tcPr>
            <w:tcW w:w="1134" w:type="dxa"/>
            <w:vMerge w:val="restart"/>
          </w:tcPr>
          <w:p w:rsidR="00D901D3" w:rsidRPr="003511C0" w:rsidRDefault="00721310" w:rsidP="00DA5F6F">
            <w:pPr>
              <w:jc w:val="both"/>
              <w:rPr>
                <w:sz w:val="20"/>
                <w:szCs w:val="20"/>
              </w:rPr>
            </w:pPr>
            <w:r w:rsidRPr="003511C0">
              <w:rPr>
                <w:color w:val="333333"/>
                <w:spacing w:val="-2"/>
                <w:sz w:val="20"/>
                <w:szCs w:val="20"/>
                <w:shd w:val="clear" w:color="auto" w:fill="FFFFFF"/>
              </w:rPr>
              <w:t>Однофотонный эмиссионный компьютерный томограф</w:t>
            </w:r>
            <w:r w:rsidRPr="003511C0">
              <w:rPr>
                <w:sz w:val="20"/>
                <w:szCs w:val="20"/>
              </w:rPr>
              <w:t xml:space="preserve"> </w:t>
            </w:r>
          </w:p>
        </w:tc>
        <w:tc>
          <w:tcPr>
            <w:tcW w:w="1556" w:type="dxa"/>
          </w:tcPr>
          <w:p w:rsidR="00D901D3" w:rsidRPr="003511C0" w:rsidRDefault="00D901D3" w:rsidP="00321EDA">
            <w:pPr>
              <w:jc w:val="both"/>
              <w:rPr>
                <w:sz w:val="20"/>
                <w:szCs w:val="20"/>
              </w:rPr>
            </w:pPr>
            <w:r w:rsidRPr="003511C0">
              <w:rPr>
                <w:sz w:val="20"/>
                <w:szCs w:val="20"/>
              </w:rPr>
              <w:t>Врач-радиолог</w:t>
            </w:r>
          </w:p>
        </w:tc>
        <w:tc>
          <w:tcPr>
            <w:tcW w:w="1418" w:type="dxa"/>
          </w:tcPr>
          <w:p w:rsidR="00D901D3" w:rsidRPr="003511C0" w:rsidRDefault="00D901D3" w:rsidP="00321EDA">
            <w:pPr>
              <w:jc w:val="center"/>
              <w:rPr>
                <w:sz w:val="20"/>
                <w:szCs w:val="20"/>
              </w:rPr>
            </w:pPr>
            <w:r w:rsidRPr="003511C0">
              <w:rPr>
                <w:sz w:val="20"/>
                <w:szCs w:val="20"/>
              </w:rPr>
              <w:t>4</w:t>
            </w:r>
          </w:p>
        </w:tc>
        <w:tc>
          <w:tcPr>
            <w:tcW w:w="1275" w:type="dxa"/>
          </w:tcPr>
          <w:p w:rsidR="00D901D3" w:rsidRPr="003511C0" w:rsidRDefault="00D901D3" w:rsidP="00321EDA">
            <w:pPr>
              <w:jc w:val="center"/>
              <w:rPr>
                <w:sz w:val="20"/>
                <w:szCs w:val="20"/>
              </w:rPr>
            </w:pPr>
            <w:r w:rsidRPr="003511C0">
              <w:rPr>
                <w:sz w:val="20"/>
                <w:szCs w:val="20"/>
              </w:rPr>
              <w:t>3</w:t>
            </w:r>
          </w:p>
        </w:tc>
        <w:tc>
          <w:tcPr>
            <w:tcW w:w="2192" w:type="dxa"/>
          </w:tcPr>
          <w:p w:rsidR="00D901D3" w:rsidRPr="00DA5F6F" w:rsidRDefault="00DA5F6F" w:rsidP="00DA5F6F">
            <w:pPr>
              <w:ind w:left="-28"/>
              <w:jc w:val="both"/>
              <w:rPr>
                <w:color w:val="000000"/>
                <w:sz w:val="20"/>
                <w:szCs w:val="20"/>
              </w:rPr>
            </w:pPr>
            <w:r w:rsidRPr="00DA5F6F">
              <w:rPr>
                <w:color w:val="333333"/>
                <w:spacing w:val="-2"/>
                <w:sz w:val="20"/>
                <w:szCs w:val="20"/>
                <w:shd w:val="clear" w:color="auto" w:fill="FFFFFF"/>
              </w:rPr>
              <w:t>Однофотонный эмиссионный компьютерный томограф</w:t>
            </w:r>
            <w:r w:rsidR="00D901D3" w:rsidRPr="00DA5F6F">
              <w:rPr>
                <w:color w:val="333333"/>
                <w:spacing w:val="-2"/>
                <w:sz w:val="20"/>
                <w:szCs w:val="20"/>
                <w:shd w:val="clear" w:color="auto" w:fill="FFFFFF"/>
              </w:rPr>
              <w:t>, совмещенный с рентгеновским компьютерным томографом (</w:t>
            </w:r>
            <w:r w:rsidRPr="00DA5F6F">
              <w:rPr>
                <w:color w:val="333333"/>
                <w:spacing w:val="-2"/>
                <w:sz w:val="20"/>
                <w:szCs w:val="20"/>
                <w:shd w:val="clear" w:color="auto" w:fill="FFFFFF"/>
              </w:rPr>
              <w:t xml:space="preserve">далее </w:t>
            </w:r>
            <w:r w:rsidRPr="00DA5F6F">
              <w:rPr>
                <w:color w:val="0D0D0D" w:themeColor="text1" w:themeTint="F2"/>
                <w:spacing w:val="-4"/>
                <w:sz w:val="20"/>
                <w:szCs w:val="20"/>
              </w:rPr>
              <w:t>–</w:t>
            </w:r>
            <w:r w:rsidRPr="00DA5F6F">
              <w:rPr>
                <w:color w:val="333333"/>
                <w:spacing w:val="-2"/>
                <w:sz w:val="20"/>
                <w:szCs w:val="20"/>
                <w:shd w:val="clear" w:color="auto" w:fill="FFFFFF"/>
              </w:rPr>
              <w:t xml:space="preserve"> </w:t>
            </w:r>
            <w:r w:rsidR="00D901D3" w:rsidRPr="00DA5F6F">
              <w:rPr>
                <w:color w:val="333333"/>
                <w:spacing w:val="-2"/>
                <w:sz w:val="20"/>
                <w:szCs w:val="20"/>
                <w:shd w:val="clear" w:color="auto" w:fill="FFFFFF"/>
              </w:rPr>
              <w:t>ОФЭКТ/КТ) Symbia_T16, производитель Сименс</w:t>
            </w:r>
          </w:p>
        </w:tc>
        <w:tc>
          <w:tcPr>
            <w:tcW w:w="1072" w:type="dxa"/>
          </w:tcPr>
          <w:p w:rsidR="00D901D3" w:rsidRPr="003511C0" w:rsidRDefault="00D901D3" w:rsidP="00321EDA">
            <w:pPr>
              <w:jc w:val="center"/>
              <w:rPr>
                <w:color w:val="000000"/>
                <w:sz w:val="20"/>
                <w:szCs w:val="20"/>
              </w:rPr>
            </w:pPr>
            <w:r w:rsidRPr="003511C0">
              <w:rPr>
                <w:color w:val="000000"/>
                <w:sz w:val="20"/>
                <w:szCs w:val="20"/>
              </w:rPr>
              <w:t>2010</w:t>
            </w:r>
          </w:p>
        </w:tc>
      </w:tr>
      <w:tr w:rsidR="00D901D3" w:rsidRPr="009F7FC4" w:rsidTr="00DB493B">
        <w:tc>
          <w:tcPr>
            <w:tcW w:w="1555" w:type="dxa"/>
            <w:vMerge/>
          </w:tcPr>
          <w:p w:rsidR="00D901D3" w:rsidRPr="003511C0" w:rsidRDefault="00D901D3" w:rsidP="00321EDA">
            <w:pPr>
              <w:ind w:left="-45" w:right="-28"/>
              <w:rPr>
                <w:sz w:val="20"/>
                <w:szCs w:val="20"/>
              </w:rPr>
            </w:pPr>
          </w:p>
        </w:tc>
        <w:tc>
          <w:tcPr>
            <w:tcW w:w="1134" w:type="dxa"/>
            <w:vMerge/>
          </w:tcPr>
          <w:p w:rsidR="00D901D3" w:rsidRPr="003511C0" w:rsidRDefault="00D901D3" w:rsidP="00321EDA">
            <w:pPr>
              <w:jc w:val="both"/>
              <w:rPr>
                <w:sz w:val="20"/>
                <w:szCs w:val="20"/>
              </w:rPr>
            </w:pPr>
          </w:p>
        </w:tc>
        <w:tc>
          <w:tcPr>
            <w:tcW w:w="1556" w:type="dxa"/>
          </w:tcPr>
          <w:p w:rsidR="00D901D3" w:rsidRPr="003511C0" w:rsidRDefault="00D901D3" w:rsidP="00321EDA">
            <w:pPr>
              <w:jc w:val="both"/>
              <w:rPr>
                <w:sz w:val="20"/>
                <w:szCs w:val="20"/>
              </w:rPr>
            </w:pPr>
            <w:r w:rsidRPr="003511C0">
              <w:rPr>
                <w:sz w:val="20"/>
                <w:szCs w:val="20"/>
              </w:rPr>
              <w:t>Врач-рентгенолог</w:t>
            </w:r>
          </w:p>
        </w:tc>
        <w:tc>
          <w:tcPr>
            <w:tcW w:w="1418" w:type="dxa"/>
          </w:tcPr>
          <w:p w:rsidR="00D901D3" w:rsidRPr="003511C0" w:rsidRDefault="00D901D3" w:rsidP="00321EDA">
            <w:pPr>
              <w:jc w:val="center"/>
              <w:rPr>
                <w:sz w:val="20"/>
                <w:szCs w:val="20"/>
              </w:rPr>
            </w:pPr>
            <w:r w:rsidRPr="003511C0">
              <w:rPr>
                <w:sz w:val="20"/>
                <w:szCs w:val="20"/>
              </w:rPr>
              <w:t>0</w:t>
            </w:r>
          </w:p>
        </w:tc>
        <w:tc>
          <w:tcPr>
            <w:tcW w:w="1275" w:type="dxa"/>
          </w:tcPr>
          <w:p w:rsidR="00D901D3" w:rsidRPr="003511C0" w:rsidRDefault="00D901D3" w:rsidP="00321EDA">
            <w:pPr>
              <w:jc w:val="center"/>
              <w:rPr>
                <w:sz w:val="20"/>
                <w:szCs w:val="20"/>
              </w:rPr>
            </w:pPr>
          </w:p>
        </w:tc>
        <w:tc>
          <w:tcPr>
            <w:tcW w:w="2192" w:type="dxa"/>
          </w:tcPr>
          <w:p w:rsidR="00D901D3" w:rsidRPr="00DA5F6F" w:rsidRDefault="00721310" w:rsidP="00721310">
            <w:pPr>
              <w:ind w:left="-28"/>
              <w:jc w:val="both"/>
              <w:rPr>
                <w:color w:val="000000"/>
                <w:sz w:val="20"/>
                <w:szCs w:val="20"/>
              </w:rPr>
            </w:pPr>
            <w:r w:rsidRPr="00DA5F6F">
              <w:rPr>
                <w:sz w:val="20"/>
                <w:szCs w:val="20"/>
              </w:rPr>
              <w:t>ОФЭКТ</w:t>
            </w:r>
            <w:r w:rsidR="00D901D3" w:rsidRPr="00DA5F6F">
              <w:rPr>
                <w:color w:val="333333"/>
                <w:spacing w:val="-2"/>
                <w:sz w:val="20"/>
                <w:szCs w:val="20"/>
                <w:shd w:val="clear" w:color="auto" w:fill="FFFFFF"/>
              </w:rPr>
              <w:t>, совмещенный с рентгеновским компьютерным томографом (ОФЭКТ/КТ), вариант исполнения NM/CT 870 DR с принадл</w:t>
            </w:r>
            <w:r w:rsidRPr="00DA5F6F">
              <w:rPr>
                <w:color w:val="333333"/>
                <w:spacing w:val="-2"/>
                <w:sz w:val="20"/>
                <w:szCs w:val="20"/>
                <w:shd w:val="clear" w:color="auto" w:fill="FFFFFF"/>
              </w:rPr>
              <w:t>ежностями</w:t>
            </w:r>
            <w:r w:rsidR="00D901D3" w:rsidRPr="00DA5F6F">
              <w:rPr>
                <w:color w:val="333333"/>
                <w:spacing w:val="-2"/>
                <w:sz w:val="20"/>
                <w:szCs w:val="20"/>
                <w:shd w:val="clear" w:color="auto" w:fill="FFFFFF"/>
              </w:rPr>
              <w:t xml:space="preserve"> (RU1195NM01)</w:t>
            </w:r>
          </w:p>
        </w:tc>
        <w:tc>
          <w:tcPr>
            <w:tcW w:w="1072" w:type="dxa"/>
          </w:tcPr>
          <w:p w:rsidR="00D901D3" w:rsidRPr="003511C0" w:rsidRDefault="00D901D3" w:rsidP="00321EDA">
            <w:pPr>
              <w:jc w:val="center"/>
              <w:rPr>
                <w:color w:val="000000"/>
                <w:sz w:val="20"/>
                <w:szCs w:val="20"/>
              </w:rPr>
            </w:pPr>
            <w:r w:rsidRPr="003511C0">
              <w:rPr>
                <w:color w:val="000000"/>
                <w:sz w:val="20"/>
                <w:szCs w:val="20"/>
              </w:rPr>
              <w:t>2021</w:t>
            </w:r>
          </w:p>
        </w:tc>
      </w:tr>
      <w:tr w:rsidR="00D901D3" w:rsidRPr="009F7FC4" w:rsidTr="00DB493B">
        <w:tc>
          <w:tcPr>
            <w:tcW w:w="1555" w:type="dxa"/>
            <w:vMerge/>
          </w:tcPr>
          <w:p w:rsidR="00D901D3" w:rsidRPr="003511C0" w:rsidRDefault="00D901D3" w:rsidP="00321EDA">
            <w:pPr>
              <w:ind w:left="-45" w:right="-28"/>
              <w:rPr>
                <w:sz w:val="20"/>
                <w:szCs w:val="20"/>
              </w:rPr>
            </w:pPr>
          </w:p>
        </w:tc>
        <w:tc>
          <w:tcPr>
            <w:tcW w:w="1134" w:type="dxa"/>
            <w:vMerge/>
          </w:tcPr>
          <w:p w:rsidR="00D901D3" w:rsidRPr="003511C0" w:rsidRDefault="00D901D3" w:rsidP="00321EDA">
            <w:pPr>
              <w:jc w:val="both"/>
              <w:rPr>
                <w:sz w:val="20"/>
                <w:szCs w:val="20"/>
              </w:rPr>
            </w:pPr>
          </w:p>
        </w:tc>
        <w:tc>
          <w:tcPr>
            <w:tcW w:w="1556" w:type="dxa"/>
          </w:tcPr>
          <w:p w:rsidR="00D901D3" w:rsidRPr="003511C0" w:rsidRDefault="00F35BBA" w:rsidP="00BE3850">
            <w:pPr>
              <w:jc w:val="both"/>
              <w:rPr>
                <w:sz w:val="20"/>
                <w:szCs w:val="20"/>
              </w:rPr>
            </w:pPr>
            <w:r>
              <w:rPr>
                <w:sz w:val="20"/>
                <w:szCs w:val="20"/>
              </w:rPr>
              <w:t>Рентген</w:t>
            </w:r>
            <w:r w:rsidRPr="003511C0">
              <w:rPr>
                <w:sz w:val="20"/>
                <w:szCs w:val="20"/>
              </w:rPr>
              <w:t>лаборант</w:t>
            </w:r>
          </w:p>
        </w:tc>
        <w:tc>
          <w:tcPr>
            <w:tcW w:w="1418" w:type="dxa"/>
          </w:tcPr>
          <w:p w:rsidR="00D901D3" w:rsidRPr="003511C0" w:rsidRDefault="00D901D3" w:rsidP="00321EDA">
            <w:pPr>
              <w:jc w:val="center"/>
              <w:rPr>
                <w:sz w:val="20"/>
                <w:szCs w:val="20"/>
              </w:rPr>
            </w:pPr>
            <w:r w:rsidRPr="003511C0">
              <w:rPr>
                <w:sz w:val="20"/>
                <w:szCs w:val="20"/>
              </w:rPr>
              <w:t>2</w:t>
            </w:r>
          </w:p>
        </w:tc>
        <w:tc>
          <w:tcPr>
            <w:tcW w:w="1275" w:type="dxa"/>
          </w:tcPr>
          <w:p w:rsidR="00D901D3" w:rsidRPr="003511C0" w:rsidRDefault="00D901D3" w:rsidP="00321EDA">
            <w:pPr>
              <w:jc w:val="center"/>
              <w:rPr>
                <w:sz w:val="20"/>
                <w:szCs w:val="20"/>
              </w:rPr>
            </w:pPr>
            <w:r w:rsidRPr="003511C0">
              <w:rPr>
                <w:sz w:val="20"/>
                <w:szCs w:val="20"/>
              </w:rPr>
              <w:t>1</w:t>
            </w:r>
          </w:p>
        </w:tc>
        <w:tc>
          <w:tcPr>
            <w:tcW w:w="2192" w:type="dxa"/>
          </w:tcPr>
          <w:p w:rsidR="00D901D3" w:rsidRPr="003511C0" w:rsidRDefault="00D901D3" w:rsidP="00321EDA">
            <w:pPr>
              <w:ind w:left="-28"/>
              <w:jc w:val="both"/>
              <w:rPr>
                <w:color w:val="000000"/>
                <w:sz w:val="20"/>
                <w:szCs w:val="20"/>
              </w:rPr>
            </w:pPr>
          </w:p>
        </w:tc>
        <w:tc>
          <w:tcPr>
            <w:tcW w:w="1072" w:type="dxa"/>
          </w:tcPr>
          <w:p w:rsidR="00D901D3" w:rsidRPr="003511C0" w:rsidRDefault="00D901D3" w:rsidP="00321EDA">
            <w:pPr>
              <w:jc w:val="center"/>
              <w:rPr>
                <w:color w:val="000000"/>
                <w:sz w:val="20"/>
                <w:szCs w:val="20"/>
              </w:rPr>
            </w:pPr>
          </w:p>
        </w:tc>
      </w:tr>
      <w:tr w:rsidR="00D901D3" w:rsidRPr="009F7FC4" w:rsidTr="00DB493B">
        <w:tc>
          <w:tcPr>
            <w:tcW w:w="1555" w:type="dxa"/>
            <w:vMerge/>
          </w:tcPr>
          <w:p w:rsidR="00D901D3" w:rsidRPr="003511C0" w:rsidRDefault="00D901D3" w:rsidP="00321EDA">
            <w:pPr>
              <w:ind w:left="-45" w:right="-28"/>
              <w:rPr>
                <w:sz w:val="20"/>
                <w:szCs w:val="20"/>
              </w:rPr>
            </w:pPr>
          </w:p>
        </w:tc>
        <w:tc>
          <w:tcPr>
            <w:tcW w:w="1134" w:type="dxa"/>
            <w:vMerge/>
          </w:tcPr>
          <w:p w:rsidR="00D901D3" w:rsidRPr="003511C0" w:rsidRDefault="00D901D3" w:rsidP="00321EDA">
            <w:pPr>
              <w:jc w:val="both"/>
              <w:rPr>
                <w:sz w:val="20"/>
                <w:szCs w:val="20"/>
              </w:rPr>
            </w:pPr>
          </w:p>
        </w:tc>
        <w:tc>
          <w:tcPr>
            <w:tcW w:w="1556" w:type="dxa"/>
          </w:tcPr>
          <w:p w:rsidR="00D901D3" w:rsidRPr="003511C0" w:rsidRDefault="00D901D3" w:rsidP="00552F8C">
            <w:pPr>
              <w:jc w:val="both"/>
              <w:rPr>
                <w:sz w:val="20"/>
                <w:szCs w:val="20"/>
              </w:rPr>
            </w:pPr>
            <w:r w:rsidRPr="003511C0">
              <w:rPr>
                <w:sz w:val="20"/>
                <w:szCs w:val="20"/>
              </w:rPr>
              <w:t>Медсестра процедурн</w:t>
            </w:r>
            <w:r w:rsidR="00552F8C">
              <w:rPr>
                <w:sz w:val="20"/>
                <w:szCs w:val="20"/>
              </w:rPr>
              <w:t>ая</w:t>
            </w:r>
          </w:p>
        </w:tc>
        <w:tc>
          <w:tcPr>
            <w:tcW w:w="1418" w:type="dxa"/>
          </w:tcPr>
          <w:p w:rsidR="00D901D3" w:rsidRPr="003511C0" w:rsidRDefault="00D901D3" w:rsidP="00321EDA">
            <w:pPr>
              <w:jc w:val="center"/>
              <w:rPr>
                <w:sz w:val="20"/>
                <w:szCs w:val="20"/>
              </w:rPr>
            </w:pPr>
            <w:r w:rsidRPr="003511C0">
              <w:rPr>
                <w:sz w:val="20"/>
                <w:szCs w:val="20"/>
              </w:rPr>
              <w:t>6</w:t>
            </w:r>
          </w:p>
        </w:tc>
        <w:tc>
          <w:tcPr>
            <w:tcW w:w="1275" w:type="dxa"/>
          </w:tcPr>
          <w:p w:rsidR="00D901D3" w:rsidRPr="003511C0" w:rsidRDefault="00D901D3" w:rsidP="00321EDA">
            <w:pPr>
              <w:jc w:val="center"/>
              <w:rPr>
                <w:sz w:val="20"/>
                <w:szCs w:val="20"/>
              </w:rPr>
            </w:pPr>
            <w:r w:rsidRPr="003511C0">
              <w:rPr>
                <w:sz w:val="20"/>
                <w:szCs w:val="20"/>
              </w:rPr>
              <w:t>5</w:t>
            </w:r>
          </w:p>
        </w:tc>
        <w:tc>
          <w:tcPr>
            <w:tcW w:w="2192" w:type="dxa"/>
          </w:tcPr>
          <w:p w:rsidR="00D901D3" w:rsidRPr="003511C0" w:rsidRDefault="00D901D3" w:rsidP="00321EDA">
            <w:pPr>
              <w:ind w:left="-28"/>
              <w:jc w:val="both"/>
              <w:rPr>
                <w:color w:val="000000"/>
                <w:sz w:val="20"/>
                <w:szCs w:val="20"/>
              </w:rPr>
            </w:pPr>
          </w:p>
        </w:tc>
        <w:tc>
          <w:tcPr>
            <w:tcW w:w="1072" w:type="dxa"/>
          </w:tcPr>
          <w:p w:rsidR="00D901D3" w:rsidRPr="003511C0" w:rsidRDefault="00D901D3" w:rsidP="00321EDA">
            <w:pPr>
              <w:jc w:val="center"/>
              <w:rPr>
                <w:color w:val="000000"/>
                <w:sz w:val="20"/>
                <w:szCs w:val="20"/>
              </w:rPr>
            </w:pPr>
          </w:p>
        </w:tc>
      </w:tr>
      <w:tr w:rsidR="00D901D3" w:rsidRPr="009F7FC4" w:rsidTr="00DB493B">
        <w:tc>
          <w:tcPr>
            <w:tcW w:w="1555" w:type="dxa"/>
            <w:vMerge/>
          </w:tcPr>
          <w:p w:rsidR="00D901D3" w:rsidRPr="003511C0" w:rsidRDefault="00D901D3" w:rsidP="00321EDA">
            <w:pPr>
              <w:ind w:left="-45" w:right="-28"/>
              <w:rPr>
                <w:sz w:val="20"/>
                <w:szCs w:val="20"/>
              </w:rPr>
            </w:pPr>
          </w:p>
        </w:tc>
        <w:tc>
          <w:tcPr>
            <w:tcW w:w="1134" w:type="dxa"/>
            <w:vMerge/>
          </w:tcPr>
          <w:p w:rsidR="00D901D3" w:rsidRPr="003511C0" w:rsidRDefault="00D901D3" w:rsidP="00321EDA">
            <w:pPr>
              <w:jc w:val="both"/>
              <w:rPr>
                <w:sz w:val="20"/>
                <w:szCs w:val="20"/>
              </w:rPr>
            </w:pPr>
          </w:p>
        </w:tc>
        <w:tc>
          <w:tcPr>
            <w:tcW w:w="1556" w:type="dxa"/>
          </w:tcPr>
          <w:p w:rsidR="00D901D3" w:rsidRPr="003511C0" w:rsidRDefault="00D901D3" w:rsidP="00321EDA">
            <w:pPr>
              <w:jc w:val="both"/>
              <w:rPr>
                <w:sz w:val="20"/>
                <w:szCs w:val="20"/>
              </w:rPr>
            </w:pPr>
            <w:r w:rsidRPr="003511C0">
              <w:rPr>
                <w:sz w:val="20"/>
                <w:szCs w:val="20"/>
              </w:rPr>
              <w:t>Медицинский физик</w:t>
            </w:r>
          </w:p>
        </w:tc>
        <w:tc>
          <w:tcPr>
            <w:tcW w:w="1418" w:type="dxa"/>
          </w:tcPr>
          <w:p w:rsidR="00D901D3" w:rsidRPr="003511C0" w:rsidRDefault="00D901D3" w:rsidP="00321EDA">
            <w:pPr>
              <w:jc w:val="center"/>
              <w:rPr>
                <w:sz w:val="20"/>
                <w:szCs w:val="20"/>
              </w:rPr>
            </w:pPr>
            <w:r w:rsidRPr="003511C0">
              <w:rPr>
                <w:sz w:val="20"/>
                <w:szCs w:val="20"/>
              </w:rPr>
              <w:t>0</w:t>
            </w:r>
          </w:p>
        </w:tc>
        <w:tc>
          <w:tcPr>
            <w:tcW w:w="1275" w:type="dxa"/>
          </w:tcPr>
          <w:p w:rsidR="00D901D3" w:rsidRPr="003511C0" w:rsidRDefault="00D901D3" w:rsidP="00321EDA">
            <w:pPr>
              <w:jc w:val="center"/>
              <w:rPr>
                <w:sz w:val="20"/>
                <w:szCs w:val="20"/>
              </w:rPr>
            </w:pPr>
          </w:p>
        </w:tc>
        <w:tc>
          <w:tcPr>
            <w:tcW w:w="2192" w:type="dxa"/>
          </w:tcPr>
          <w:p w:rsidR="00D901D3" w:rsidRPr="003511C0" w:rsidRDefault="00D901D3" w:rsidP="00321EDA">
            <w:pPr>
              <w:ind w:left="-28"/>
              <w:jc w:val="both"/>
              <w:rPr>
                <w:sz w:val="20"/>
                <w:szCs w:val="20"/>
              </w:rPr>
            </w:pPr>
          </w:p>
        </w:tc>
        <w:tc>
          <w:tcPr>
            <w:tcW w:w="1072" w:type="dxa"/>
          </w:tcPr>
          <w:p w:rsidR="00D901D3" w:rsidRPr="003511C0" w:rsidRDefault="00D901D3" w:rsidP="00321EDA">
            <w:pPr>
              <w:rPr>
                <w:sz w:val="20"/>
                <w:szCs w:val="20"/>
              </w:rPr>
            </w:pPr>
          </w:p>
        </w:tc>
      </w:tr>
      <w:tr w:rsidR="00D901D3" w:rsidRPr="009F7FC4" w:rsidTr="00DB493B">
        <w:tc>
          <w:tcPr>
            <w:tcW w:w="1555" w:type="dxa"/>
            <w:vMerge/>
          </w:tcPr>
          <w:p w:rsidR="00D901D3" w:rsidRPr="003511C0" w:rsidRDefault="00D901D3" w:rsidP="00321EDA">
            <w:pPr>
              <w:ind w:left="-45" w:right="-28"/>
              <w:rPr>
                <w:sz w:val="20"/>
                <w:szCs w:val="20"/>
              </w:rPr>
            </w:pPr>
          </w:p>
        </w:tc>
        <w:tc>
          <w:tcPr>
            <w:tcW w:w="1134" w:type="dxa"/>
            <w:vMerge/>
          </w:tcPr>
          <w:p w:rsidR="00D901D3" w:rsidRPr="003511C0" w:rsidRDefault="00D901D3" w:rsidP="00321EDA">
            <w:pPr>
              <w:jc w:val="both"/>
              <w:rPr>
                <w:sz w:val="20"/>
                <w:szCs w:val="20"/>
              </w:rPr>
            </w:pPr>
          </w:p>
        </w:tc>
        <w:tc>
          <w:tcPr>
            <w:tcW w:w="1556" w:type="dxa"/>
          </w:tcPr>
          <w:p w:rsidR="00D901D3" w:rsidRDefault="00D901D3" w:rsidP="00321EDA">
            <w:pPr>
              <w:jc w:val="both"/>
              <w:rPr>
                <w:sz w:val="20"/>
                <w:szCs w:val="20"/>
              </w:rPr>
            </w:pPr>
            <w:r w:rsidRPr="003511C0">
              <w:rPr>
                <w:sz w:val="20"/>
                <w:szCs w:val="20"/>
              </w:rPr>
              <w:t>Инженер-</w:t>
            </w:r>
          </w:p>
          <w:p w:rsidR="00D901D3" w:rsidRPr="003511C0" w:rsidRDefault="00D901D3" w:rsidP="00321EDA">
            <w:pPr>
              <w:jc w:val="both"/>
              <w:rPr>
                <w:sz w:val="20"/>
                <w:szCs w:val="20"/>
              </w:rPr>
            </w:pPr>
            <w:r w:rsidRPr="003511C0">
              <w:rPr>
                <w:sz w:val="20"/>
                <w:szCs w:val="20"/>
              </w:rPr>
              <w:t>химик</w:t>
            </w:r>
          </w:p>
        </w:tc>
        <w:tc>
          <w:tcPr>
            <w:tcW w:w="1418" w:type="dxa"/>
          </w:tcPr>
          <w:p w:rsidR="00D901D3" w:rsidRPr="003511C0" w:rsidRDefault="00D901D3" w:rsidP="00321EDA">
            <w:pPr>
              <w:jc w:val="center"/>
              <w:rPr>
                <w:sz w:val="20"/>
                <w:szCs w:val="20"/>
              </w:rPr>
            </w:pPr>
            <w:r w:rsidRPr="003511C0">
              <w:rPr>
                <w:sz w:val="20"/>
                <w:szCs w:val="20"/>
              </w:rPr>
              <w:t>0</w:t>
            </w:r>
          </w:p>
        </w:tc>
        <w:tc>
          <w:tcPr>
            <w:tcW w:w="1275" w:type="dxa"/>
          </w:tcPr>
          <w:p w:rsidR="00D901D3" w:rsidRPr="003511C0" w:rsidRDefault="00D901D3" w:rsidP="00321EDA">
            <w:pPr>
              <w:jc w:val="center"/>
              <w:rPr>
                <w:sz w:val="20"/>
                <w:szCs w:val="20"/>
              </w:rPr>
            </w:pPr>
          </w:p>
        </w:tc>
        <w:tc>
          <w:tcPr>
            <w:tcW w:w="2192" w:type="dxa"/>
          </w:tcPr>
          <w:p w:rsidR="00D901D3" w:rsidRPr="003511C0" w:rsidRDefault="00D901D3" w:rsidP="00321EDA">
            <w:pPr>
              <w:ind w:left="-28"/>
              <w:jc w:val="both"/>
              <w:rPr>
                <w:sz w:val="20"/>
                <w:szCs w:val="20"/>
              </w:rPr>
            </w:pPr>
          </w:p>
        </w:tc>
        <w:tc>
          <w:tcPr>
            <w:tcW w:w="1072" w:type="dxa"/>
          </w:tcPr>
          <w:p w:rsidR="00D901D3" w:rsidRPr="003511C0" w:rsidRDefault="00D901D3" w:rsidP="00321EDA">
            <w:pPr>
              <w:rPr>
                <w:sz w:val="20"/>
                <w:szCs w:val="20"/>
              </w:rPr>
            </w:pPr>
          </w:p>
        </w:tc>
      </w:tr>
      <w:tr w:rsidR="00D901D3" w:rsidRPr="009F7FC4" w:rsidTr="00DB493B">
        <w:tc>
          <w:tcPr>
            <w:tcW w:w="1555" w:type="dxa"/>
            <w:vMerge/>
          </w:tcPr>
          <w:p w:rsidR="00D901D3" w:rsidRPr="003511C0" w:rsidRDefault="00D901D3" w:rsidP="00321EDA">
            <w:pPr>
              <w:ind w:left="-45" w:right="-28"/>
              <w:rPr>
                <w:sz w:val="20"/>
                <w:szCs w:val="20"/>
              </w:rPr>
            </w:pPr>
          </w:p>
        </w:tc>
        <w:tc>
          <w:tcPr>
            <w:tcW w:w="1134" w:type="dxa"/>
            <w:vMerge/>
          </w:tcPr>
          <w:p w:rsidR="00D901D3" w:rsidRPr="003511C0" w:rsidRDefault="00D901D3" w:rsidP="00321EDA">
            <w:pPr>
              <w:jc w:val="both"/>
              <w:rPr>
                <w:sz w:val="20"/>
                <w:szCs w:val="20"/>
              </w:rPr>
            </w:pPr>
          </w:p>
        </w:tc>
        <w:tc>
          <w:tcPr>
            <w:tcW w:w="1556" w:type="dxa"/>
          </w:tcPr>
          <w:p w:rsidR="00D901D3" w:rsidRDefault="00D901D3" w:rsidP="00321EDA">
            <w:pPr>
              <w:jc w:val="both"/>
              <w:rPr>
                <w:sz w:val="20"/>
                <w:szCs w:val="20"/>
              </w:rPr>
            </w:pPr>
            <w:r w:rsidRPr="003511C0">
              <w:rPr>
                <w:sz w:val="20"/>
                <w:szCs w:val="20"/>
              </w:rPr>
              <w:t>Инженер-</w:t>
            </w:r>
          </w:p>
          <w:p w:rsidR="00D901D3" w:rsidRPr="003511C0" w:rsidRDefault="00D901D3" w:rsidP="00321EDA">
            <w:pPr>
              <w:jc w:val="both"/>
              <w:rPr>
                <w:sz w:val="20"/>
                <w:szCs w:val="20"/>
              </w:rPr>
            </w:pPr>
            <w:r w:rsidRPr="003511C0">
              <w:rPr>
                <w:sz w:val="20"/>
                <w:szCs w:val="20"/>
              </w:rPr>
              <w:t>техник</w:t>
            </w:r>
          </w:p>
        </w:tc>
        <w:tc>
          <w:tcPr>
            <w:tcW w:w="1418" w:type="dxa"/>
          </w:tcPr>
          <w:p w:rsidR="00D901D3" w:rsidRPr="003511C0" w:rsidRDefault="00D901D3" w:rsidP="00321EDA">
            <w:pPr>
              <w:jc w:val="center"/>
              <w:rPr>
                <w:sz w:val="20"/>
                <w:szCs w:val="20"/>
              </w:rPr>
            </w:pPr>
            <w:r w:rsidRPr="003511C0">
              <w:rPr>
                <w:sz w:val="20"/>
                <w:szCs w:val="20"/>
              </w:rPr>
              <w:t>0</w:t>
            </w:r>
          </w:p>
        </w:tc>
        <w:tc>
          <w:tcPr>
            <w:tcW w:w="1275" w:type="dxa"/>
          </w:tcPr>
          <w:p w:rsidR="00D901D3" w:rsidRPr="003511C0" w:rsidRDefault="00D901D3" w:rsidP="00321EDA">
            <w:pPr>
              <w:jc w:val="center"/>
              <w:rPr>
                <w:sz w:val="20"/>
                <w:szCs w:val="20"/>
              </w:rPr>
            </w:pPr>
          </w:p>
        </w:tc>
        <w:tc>
          <w:tcPr>
            <w:tcW w:w="2192" w:type="dxa"/>
          </w:tcPr>
          <w:p w:rsidR="00D901D3" w:rsidRPr="003511C0" w:rsidRDefault="00D901D3" w:rsidP="00321EDA">
            <w:pPr>
              <w:ind w:left="-28"/>
              <w:jc w:val="both"/>
              <w:rPr>
                <w:sz w:val="20"/>
                <w:szCs w:val="20"/>
              </w:rPr>
            </w:pPr>
          </w:p>
        </w:tc>
        <w:tc>
          <w:tcPr>
            <w:tcW w:w="1072" w:type="dxa"/>
          </w:tcPr>
          <w:p w:rsidR="00D901D3" w:rsidRPr="003511C0" w:rsidRDefault="00D901D3" w:rsidP="00321EDA">
            <w:pPr>
              <w:rPr>
                <w:sz w:val="20"/>
                <w:szCs w:val="20"/>
              </w:rPr>
            </w:pPr>
          </w:p>
        </w:tc>
      </w:tr>
      <w:tr w:rsidR="00D901D3" w:rsidRPr="009F7FC4" w:rsidTr="00DB493B">
        <w:tc>
          <w:tcPr>
            <w:tcW w:w="1555" w:type="dxa"/>
            <w:vMerge/>
          </w:tcPr>
          <w:p w:rsidR="00D901D3" w:rsidRPr="003511C0" w:rsidRDefault="00D901D3" w:rsidP="00321EDA">
            <w:pPr>
              <w:ind w:left="-45" w:right="-28"/>
              <w:rPr>
                <w:sz w:val="20"/>
                <w:szCs w:val="20"/>
              </w:rPr>
            </w:pPr>
          </w:p>
        </w:tc>
        <w:tc>
          <w:tcPr>
            <w:tcW w:w="1134" w:type="dxa"/>
            <w:vMerge/>
          </w:tcPr>
          <w:p w:rsidR="00D901D3" w:rsidRPr="003511C0" w:rsidRDefault="00D901D3" w:rsidP="00321EDA">
            <w:pPr>
              <w:jc w:val="both"/>
              <w:rPr>
                <w:sz w:val="20"/>
                <w:szCs w:val="20"/>
              </w:rPr>
            </w:pPr>
          </w:p>
        </w:tc>
        <w:tc>
          <w:tcPr>
            <w:tcW w:w="1556" w:type="dxa"/>
          </w:tcPr>
          <w:p w:rsidR="00D901D3" w:rsidRDefault="00D901D3" w:rsidP="00321EDA">
            <w:pPr>
              <w:jc w:val="both"/>
              <w:rPr>
                <w:sz w:val="20"/>
                <w:szCs w:val="20"/>
              </w:rPr>
            </w:pPr>
            <w:r w:rsidRPr="003511C0">
              <w:rPr>
                <w:sz w:val="20"/>
                <w:szCs w:val="20"/>
              </w:rPr>
              <w:t>Техник-</w:t>
            </w:r>
          </w:p>
          <w:p w:rsidR="00D901D3" w:rsidRPr="003511C0" w:rsidRDefault="00D901D3" w:rsidP="00321EDA">
            <w:pPr>
              <w:jc w:val="both"/>
              <w:rPr>
                <w:sz w:val="20"/>
                <w:szCs w:val="20"/>
              </w:rPr>
            </w:pPr>
            <w:r w:rsidRPr="003511C0">
              <w:rPr>
                <w:sz w:val="20"/>
                <w:szCs w:val="20"/>
              </w:rPr>
              <w:t>дозиметрист</w:t>
            </w:r>
          </w:p>
        </w:tc>
        <w:tc>
          <w:tcPr>
            <w:tcW w:w="1418" w:type="dxa"/>
          </w:tcPr>
          <w:p w:rsidR="00D901D3" w:rsidRPr="003511C0" w:rsidRDefault="00D901D3" w:rsidP="00321EDA">
            <w:pPr>
              <w:jc w:val="center"/>
              <w:rPr>
                <w:sz w:val="20"/>
                <w:szCs w:val="20"/>
              </w:rPr>
            </w:pPr>
            <w:r w:rsidRPr="003511C0">
              <w:rPr>
                <w:sz w:val="20"/>
                <w:szCs w:val="20"/>
              </w:rPr>
              <w:t>0</w:t>
            </w:r>
          </w:p>
        </w:tc>
        <w:tc>
          <w:tcPr>
            <w:tcW w:w="1275" w:type="dxa"/>
          </w:tcPr>
          <w:p w:rsidR="00D901D3" w:rsidRPr="003511C0" w:rsidRDefault="00D901D3" w:rsidP="00321EDA">
            <w:pPr>
              <w:jc w:val="center"/>
              <w:rPr>
                <w:sz w:val="20"/>
                <w:szCs w:val="20"/>
              </w:rPr>
            </w:pPr>
          </w:p>
        </w:tc>
        <w:tc>
          <w:tcPr>
            <w:tcW w:w="2192" w:type="dxa"/>
          </w:tcPr>
          <w:p w:rsidR="00D901D3" w:rsidRPr="003511C0" w:rsidRDefault="00D901D3" w:rsidP="00321EDA">
            <w:pPr>
              <w:ind w:left="-28"/>
              <w:jc w:val="both"/>
              <w:rPr>
                <w:sz w:val="20"/>
                <w:szCs w:val="20"/>
              </w:rPr>
            </w:pPr>
          </w:p>
        </w:tc>
        <w:tc>
          <w:tcPr>
            <w:tcW w:w="1072" w:type="dxa"/>
          </w:tcPr>
          <w:p w:rsidR="00D901D3" w:rsidRPr="003511C0" w:rsidRDefault="00D901D3" w:rsidP="00321EDA">
            <w:pPr>
              <w:rPr>
                <w:sz w:val="20"/>
                <w:szCs w:val="20"/>
              </w:rPr>
            </w:pPr>
          </w:p>
        </w:tc>
      </w:tr>
      <w:tr w:rsidR="00C55D07" w:rsidRPr="009F7FC4" w:rsidTr="00DB493B">
        <w:tc>
          <w:tcPr>
            <w:tcW w:w="1555" w:type="dxa"/>
            <w:vMerge w:val="restart"/>
          </w:tcPr>
          <w:p w:rsidR="00C55D07" w:rsidRPr="003511C0" w:rsidRDefault="00C55D07" w:rsidP="00321EDA">
            <w:pPr>
              <w:ind w:left="-45" w:right="-28"/>
              <w:jc w:val="both"/>
              <w:rPr>
                <w:sz w:val="20"/>
                <w:szCs w:val="20"/>
              </w:rPr>
            </w:pPr>
            <w:r w:rsidRPr="003511C0">
              <w:rPr>
                <w:sz w:val="20"/>
                <w:szCs w:val="20"/>
              </w:rPr>
              <w:t>ГАУЗ «Р</w:t>
            </w:r>
            <w:r>
              <w:rPr>
                <w:sz w:val="20"/>
                <w:szCs w:val="20"/>
              </w:rPr>
              <w:t>еспубликанская клиническая больница Министерства здравоохранения</w:t>
            </w:r>
            <w:r w:rsidRPr="003511C0">
              <w:rPr>
                <w:sz w:val="20"/>
                <w:szCs w:val="20"/>
              </w:rPr>
              <w:t xml:space="preserve"> </w:t>
            </w:r>
            <w:r>
              <w:rPr>
                <w:sz w:val="20"/>
                <w:szCs w:val="20"/>
              </w:rPr>
              <w:t>Республики Татарстан</w:t>
            </w:r>
            <w:r w:rsidRPr="003511C0">
              <w:rPr>
                <w:sz w:val="20"/>
                <w:szCs w:val="20"/>
              </w:rPr>
              <w:t>»</w:t>
            </w:r>
          </w:p>
        </w:tc>
        <w:tc>
          <w:tcPr>
            <w:tcW w:w="1134" w:type="dxa"/>
            <w:vMerge w:val="restart"/>
          </w:tcPr>
          <w:p w:rsidR="00C55D07" w:rsidRPr="003511C0" w:rsidRDefault="00C55D07" w:rsidP="00321EDA">
            <w:pPr>
              <w:jc w:val="both"/>
              <w:rPr>
                <w:sz w:val="20"/>
                <w:szCs w:val="20"/>
              </w:rPr>
            </w:pPr>
            <w:r w:rsidRPr="003511C0">
              <w:rPr>
                <w:sz w:val="20"/>
                <w:szCs w:val="20"/>
              </w:rPr>
              <w:t>Отделение радионук</w:t>
            </w:r>
            <w:r>
              <w:rPr>
                <w:sz w:val="20"/>
                <w:szCs w:val="20"/>
              </w:rPr>
              <w:t>-</w:t>
            </w:r>
            <w:r w:rsidRPr="003511C0">
              <w:rPr>
                <w:sz w:val="20"/>
                <w:szCs w:val="20"/>
              </w:rPr>
              <w:t>лидной диагностики</w:t>
            </w:r>
          </w:p>
        </w:tc>
        <w:tc>
          <w:tcPr>
            <w:tcW w:w="1556" w:type="dxa"/>
          </w:tcPr>
          <w:p w:rsidR="00C55D07" w:rsidRPr="003511C0" w:rsidRDefault="00C55D07" w:rsidP="00321EDA">
            <w:pPr>
              <w:jc w:val="both"/>
              <w:rPr>
                <w:sz w:val="20"/>
                <w:szCs w:val="20"/>
              </w:rPr>
            </w:pPr>
            <w:r w:rsidRPr="003511C0">
              <w:rPr>
                <w:sz w:val="20"/>
                <w:szCs w:val="20"/>
              </w:rPr>
              <w:t>Врач-радиолог</w:t>
            </w:r>
          </w:p>
        </w:tc>
        <w:tc>
          <w:tcPr>
            <w:tcW w:w="1418" w:type="dxa"/>
          </w:tcPr>
          <w:p w:rsidR="00C55D07" w:rsidRPr="003511C0" w:rsidRDefault="00C55D07" w:rsidP="00321EDA">
            <w:pPr>
              <w:jc w:val="center"/>
              <w:rPr>
                <w:sz w:val="20"/>
                <w:szCs w:val="20"/>
              </w:rPr>
            </w:pPr>
            <w:r w:rsidRPr="003511C0">
              <w:rPr>
                <w:sz w:val="20"/>
                <w:szCs w:val="20"/>
              </w:rPr>
              <w:t>10</w:t>
            </w:r>
          </w:p>
        </w:tc>
        <w:tc>
          <w:tcPr>
            <w:tcW w:w="1275" w:type="dxa"/>
          </w:tcPr>
          <w:p w:rsidR="00C55D07" w:rsidRPr="003511C0" w:rsidRDefault="00C55D07" w:rsidP="00321EDA">
            <w:pPr>
              <w:jc w:val="center"/>
              <w:rPr>
                <w:sz w:val="20"/>
                <w:szCs w:val="20"/>
              </w:rPr>
            </w:pPr>
            <w:r w:rsidRPr="003511C0">
              <w:rPr>
                <w:sz w:val="20"/>
                <w:szCs w:val="20"/>
              </w:rPr>
              <w:t>6</w:t>
            </w:r>
          </w:p>
        </w:tc>
        <w:tc>
          <w:tcPr>
            <w:tcW w:w="2192" w:type="dxa"/>
          </w:tcPr>
          <w:p w:rsidR="00C55D07" w:rsidRPr="00321EDA" w:rsidRDefault="00C55D07" w:rsidP="00321EDA">
            <w:pPr>
              <w:autoSpaceDE/>
              <w:autoSpaceDN/>
              <w:adjustRightInd/>
              <w:ind w:left="-28"/>
              <w:jc w:val="both"/>
              <w:rPr>
                <w:color w:val="000000"/>
                <w:sz w:val="20"/>
                <w:szCs w:val="20"/>
              </w:rPr>
            </w:pPr>
            <w:r w:rsidRPr="00A972AC">
              <w:rPr>
                <w:color w:val="0D0D0D" w:themeColor="text1" w:themeTint="F2"/>
                <w:sz w:val="20"/>
                <w:szCs w:val="20"/>
                <w:shd w:val="clear" w:color="auto" w:fill="FFFFFF"/>
              </w:rPr>
              <w:t xml:space="preserve">Планарная </w:t>
            </w:r>
            <w:r w:rsidRPr="00321EDA">
              <w:rPr>
                <w:color w:val="000000"/>
                <w:sz w:val="20"/>
                <w:szCs w:val="20"/>
              </w:rPr>
              <w:t>диагностическая гамма-камера:</w:t>
            </w:r>
          </w:p>
          <w:p w:rsidR="00C55D07" w:rsidRPr="00321EDA" w:rsidRDefault="00321EDA" w:rsidP="00321EDA">
            <w:pPr>
              <w:autoSpaceDE/>
              <w:autoSpaceDN/>
              <w:adjustRightInd/>
              <w:ind w:left="-28"/>
              <w:jc w:val="both"/>
              <w:rPr>
                <w:color w:val="000000"/>
                <w:sz w:val="20"/>
                <w:szCs w:val="20"/>
              </w:rPr>
            </w:pPr>
            <w:r w:rsidRPr="00321EDA">
              <w:rPr>
                <w:color w:val="000000"/>
                <w:sz w:val="20"/>
                <w:szCs w:val="20"/>
              </w:rPr>
              <w:t>г</w:t>
            </w:r>
            <w:r w:rsidR="00C55D07" w:rsidRPr="00321EDA">
              <w:rPr>
                <w:color w:val="000000"/>
                <w:sz w:val="20"/>
                <w:szCs w:val="20"/>
              </w:rPr>
              <w:t>амма-камера цифровая MB9100</w:t>
            </w:r>
            <w:r w:rsidRPr="00321EDA">
              <w:rPr>
                <w:color w:val="000000"/>
                <w:sz w:val="20"/>
                <w:szCs w:val="20"/>
              </w:rPr>
              <w:t xml:space="preserve">, </w:t>
            </w:r>
            <w:r w:rsidR="00C55D07" w:rsidRPr="00321EDA">
              <w:rPr>
                <w:color w:val="000000"/>
                <w:sz w:val="20"/>
                <w:szCs w:val="20"/>
              </w:rPr>
              <w:t xml:space="preserve"> </w:t>
            </w:r>
          </w:p>
          <w:p w:rsidR="00C55D07" w:rsidRPr="00321EDA" w:rsidRDefault="00321EDA" w:rsidP="00321EDA">
            <w:pPr>
              <w:autoSpaceDE/>
              <w:autoSpaceDN/>
              <w:adjustRightInd/>
              <w:ind w:left="-28"/>
              <w:jc w:val="both"/>
              <w:rPr>
                <w:color w:val="000000"/>
                <w:sz w:val="20"/>
                <w:szCs w:val="20"/>
              </w:rPr>
            </w:pPr>
            <w:r w:rsidRPr="00321EDA">
              <w:rPr>
                <w:color w:val="000000"/>
                <w:sz w:val="20"/>
                <w:szCs w:val="20"/>
              </w:rPr>
              <w:t>п</w:t>
            </w:r>
            <w:r w:rsidR="00C55D07" w:rsidRPr="00321EDA">
              <w:rPr>
                <w:color w:val="000000"/>
                <w:sz w:val="20"/>
                <w:szCs w:val="20"/>
              </w:rPr>
              <w:t xml:space="preserve">роизводитель </w:t>
            </w:r>
          </w:p>
          <w:p w:rsidR="00C55D07" w:rsidRPr="003511C0" w:rsidRDefault="00C55D07" w:rsidP="00321EDA">
            <w:pPr>
              <w:autoSpaceDE/>
              <w:autoSpaceDN/>
              <w:adjustRightInd/>
              <w:ind w:left="-28"/>
              <w:jc w:val="both"/>
              <w:rPr>
                <w:sz w:val="20"/>
                <w:szCs w:val="20"/>
              </w:rPr>
            </w:pPr>
            <w:r w:rsidRPr="00321EDA">
              <w:rPr>
                <w:color w:val="000000"/>
                <w:sz w:val="20"/>
                <w:szCs w:val="20"/>
              </w:rPr>
              <w:t>Венгрия</w:t>
            </w:r>
          </w:p>
        </w:tc>
        <w:tc>
          <w:tcPr>
            <w:tcW w:w="1072" w:type="dxa"/>
          </w:tcPr>
          <w:p w:rsidR="00C55D07" w:rsidRPr="003511C0" w:rsidRDefault="00C55D07" w:rsidP="00321EDA">
            <w:pPr>
              <w:rPr>
                <w:sz w:val="20"/>
                <w:szCs w:val="20"/>
              </w:rPr>
            </w:pPr>
            <w:r w:rsidRPr="003511C0">
              <w:rPr>
                <w:sz w:val="20"/>
                <w:szCs w:val="20"/>
              </w:rPr>
              <w:t>1983</w:t>
            </w:r>
          </w:p>
        </w:tc>
      </w:tr>
      <w:tr w:rsidR="00C55D07" w:rsidRPr="009F7FC4" w:rsidTr="00DB493B">
        <w:tc>
          <w:tcPr>
            <w:tcW w:w="1555" w:type="dxa"/>
            <w:vMerge/>
          </w:tcPr>
          <w:p w:rsidR="00C55D07" w:rsidRPr="003511C0" w:rsidRDefault="00C55D07" w:rsidP="00321EDA">
            <w:pPr>
              <w:ind w:left="-45" w:right="-28"/>
              <w:rPr>
                <w:sz w:val="20"/>
                <w:szCs w:val="20"/>
              </w:rPr>
            </w:pPr>
          </w:p>
        </w:tc>
        <w:tc>
          <w:tcPr>
            <w:tcW w:w="1134" w:type="dxa"/>
            <w:vMerge/>
          </w:tcPr>
          <w:p w:rsidR="00C55D07" w:rsidRPr="003511C0" w:rsidRDefault="00C55D07" w:rsidP="00321EDA">
            <w:pPr>
              <w:jc w:val="both"/>
              <w:rPr>
                <w:sz w:val="20"/>
                <w:szCs w:val="20"/>
              </w:rPr>
            </w:pPr>
          </w:p>
        </w:tc>
        <w:tc>
          <w:tcPr>
            <w:tcW w:w="1556" w:type="dxa"/>
          </w:tcPr>
          <w:p w:rsidR="00C55D07" w:rsidRPr="003511C0" w:rsidRDefault="00C55D07" w:rsidP="00321EDA">
            <w:pPr>
              <w:jc w:val="both"/>
              <w:rPr>
                <w:sz w:val="20"/>
                <w:szCs w:val="20"/>
              </w:rPr>
            </w:pPr>
            <w:r w:rsidRPr="003511C0">
              <w:rPr>
                <w:sz w:val="20"/>
                <w:szCs w:val="20"/>
              </w:rPr>
              <w:t>Врач-рентгенолог</w:t>
            </w:r>
          </w:p>
        </w:tc>
        <w:tc>
          <w:tcPr>
            <w:tcW w:w="1418" w:type="dxa"/>
          </w:tcPr>
          <w:p w:rsidR="00C55D07" w:rsidRPr="003511C0" w:rsidRDefault="00C55D07" w:rsidP="00321EDA">
            <w:pPr>
              <w:jc w:val="center"/>
              <w:rPr>
                <w:sz w:val="20"/>
                <w:szCs w:val="20"/>
              </w:rPr>
            </w:pPr>
            <w:r w:rsidRPr="003511C0">
              <w:rPr>
                <w:sz w:val="20"/>
                <w:szCs w:val="20"/>
              </w:rPr>
              <w:t>0</w:t>
            </w:r>
          </w:p>
        </w:tc>
        <w:tc>
          <w:tcPr>
            <w:tcW w:w="1275" w:type="dxa"/>
          </w:tcPr>
          <w:p w:rsidR="00C55D07" w:rsidRPr="003511C0" w:rsidRDefault="00C55D07" w:rsidP="00321EDA">
            <w:pPr>
              <w:jc w:val="center"/>
              <w:rPr>
                <w:sz w:val="20"/>
                <w:szCs w:val="20"/>
              </w:rPr>
            </w:pPr>
            <w:r w:rsidRPr="003511C0">
              <w:rPr>
                <w:sz w:val="20"/>
                <w:szCs w:val="20"/>
              </w:rPr>
              <w:t>0</w:t>
            </w:r>
          </w:p>
        </w:tc>
        <w:tc>
          <w:tcPr>
            <w:tcW w:w="2192" w:type="dxa"/>
          </w:tcPr>
          <w:p w:rsidR="00C55D07" w:rsidRPr="003511C0" w:rsidRDefault="00C55D07" w:rsidP="00321EDA">
            <w:pPr>
              <w:autoSpaceDE/>
              <w:autoSpaceDN/>
              <w:adjustRightInd/>
              <w:ind w:left="-28"/>
              <w:jc w:val="both"/>
              <w:rPr>
                <w:color w:val="000000"/>
                <w:sz w:val="20"/>
                <w:szCs w:val="20"/>
              </w:rPr>
            </w:pPr>
            <w:r w:rsidRPr="003511C0">
              <w:rPr>
                <w:color w:val="000000"/>
                <w:sz w:val="20"/>
                <w:szCs w:val="20"/>
              </w:rPr>
              <w:t xml:space="preserve">Система однофотонной эмиссионной томографии (ОФЭКТ) с </w:t>
            </w:r>
            <w:r>
              <w:rPr>
                <w:color w:val="000000"/>
                <w:sz w:val="20"/>
                <w:szCs w:val="20"/>
              </w:rPr>
              <w:br/>
            </w:r>
            <w:r w:rsidR="00321EDA">
              <w:rPr>
                <w:color w:val="000000"/>
                <w:sz w:val="20"/>
                <w:szCs w:val="20"/>
              </w:rPr>
              <w:t>2  </w:t>
            </w:r>
            <w:r w:rsidRPr="003511C0">
              <w:rPr>
                <w:color w:val="000000"/>
                <w:sz w:val="20"/>
                <w:szCs w:val="20"/>
              </w:rPr>
              <w:t>детекторами BrightView</w:t>
            </w:r>
            <w:r w:rsidR="00321EDA">
              <w:rPr>
                <w:color w:val="000000"/>
                <w:sz w:val="20"/>
                <w:szCs w:val="20"/>
              </w:rPr>
              <w:t>,</w:t>
            </w:r>
          </w:p>
          <w:p w:rsidR="00C55D07" w:rsidRPr="003511C0" w:rsidRDefault="00321EDA" w:rsidP="00321EDA">
            <w:pPr>
              <w:autoSpaceDE/>
              <w:autoSpaceDN/>
              <w:adjustRightInd/>
              <w:ind w:left="-28"/>
              <w:jc w:val="both"/>
              <w:rPr>
                <w:sz w:val="20"/>
                <w:szCs w:val="20"/>
              </w:rPr>
            </w:pPr>
            <w:r>
              <w:rPr>
                <w:color w:val="000000"/>
                <w:sz w:val="20"/>
                <w:szCs w:val="20"/>
              </w:rPr>
              <w:t>п</w:t>
            </w:r>
            <w:r w:rsidR="00C55D07" w:rsidRPr="003511C0">
              <w:rPr>
                <w:color w:val="000000"/>
                <w:sz w:val="20"/>
                <w:szCs w:val="20"/>
              </w:rPr>
              <w:t>роизводитель Филипс</w:t>
            </w:r>
          </w:p>
        </w:tc>
        <w:tc>
          <w:tcPr>
            <w:tcW w:w="1072" w:type="dxa"/>
          </w:tcPr>
          <w:p w:rsidR="00C55D07" w:rsidRPr="003511C0" w:rsidRDefault="00C55D07" w:rsidP="00321EDA">
            <w:pPr>
              <w:rPr>
                <w:sz w:val="20"/>
                <w:szCs w:val="20"/>
              </w:rPr>
            </w:pPr>
            <w:r w:rsidRPr="003511C0">
              <w:rPr>
                <w:sz w:val="20"/>
                <w:szCs w:val="20"/>
              </w:rPr>
              <w:t>2012</w:t>
            </w:r>
          </w:p>
        </w:tc>
      </w:tr>
      <w:tr w:rsidR="00C55D07" w:rsidRPr="009F7FC4" w:rsidTr="00DB493B">
        <w:tc>
          <w:tcPr>
            <w:tcW w:w="1555" w:type="dxa"/>
            <w:vMerge/>
          </w:tcPr>
          <w:p w:rsidR="00C55D07" w:rsidRPr="003511C0" w:rsidRDefault="00C55D07" w:rsidP="00DB493B">
            <w:pPr>
              <w:ind w:left="-45" w:right="-28"/>
              <w:rPr>
                <w:sz w:val="20"/>
                <w:szCs w:val="20"/>
              </w:rPr>
            </w:pPr>
          </w:p>
        </w:tc>
        <w:tc>
          <w:tcPr>
            <w:tcW w:w="1134" w:type="dxa"/>
            <w:vMerge/>
          </w:tcPr>
          <w:p w:rsidR="00C55D07" w:rsidRPr="003511C0" w:rsidRDefault="00C55D07" w:rsidP="00DB493B">
            <w:pPr>
              <w:jc w:val="both"/>
              <w:rPr>
                <w:sz w:val="20"/>
                <w:szCs w:val="20"/>
              </w:rPr>
            </w:pPr>
          </w:p>
        </w:tc>
        <w:tc>
          <w:tcPr>
            <w:tcW w:w="1556" w:type="dxa"/>
          </w:tcPr>
          <w:p w:rsidR="00C55D07" w:rsidRPr="003511C0" w:rsidRDefault="00F35BBA" w:rsidP="00BE3850">
            <w:pPr>
              <w:jc w:val="both"/>
              <w:rPr>
                <w:sz w:val="20"/>
                <w:szCs w:val="20"/>
              </w:rPr>
            </w:pPr>
            <w:r>
              <w:rPr>
                <w:sz w:val="20"/>
                <w:szCs w:val="20"/>
              </w:rPr>
              <w:t>Рентген</w:t>
            </w:r>
            <w:r w:rsidRPr="003511C0">
              <w:rPr>
                <w:sz w:val="20"/>
                <w:szCs w:val="20"/>
              </w:rPr>
              <w:t>лаборант</w:t>
            </w:r>
          </w:p>
        </w:tc>
        <w:tc>
          <w:tcPr>
            <w:tcW w:w="1418" w:type="dxa"/>
          </w:tcPr>
          <w:p w:rsidR="00C55D07" w:rsidRPr="003511C0" w:rsidRDefault="00C55D07" w:rsidP="00EF628C">
            <w:pPr>
              <w:jc w:val="center"/>
              <w:rPr>
                <w:sz w:val="20"/>
                <w:szCs w:val="20"/>
              </w:rPr>
            </w:pPr>
            <w:r w:rsidRPr="003511C0">
              <w:rPr>
                <w:sz w:val="20"/>
                <w:szCs w:val="20"/>
              </w:rPr>
              <w:t>2</w:t>
            </w:r>
          </w:p>
        </w:tc>
        <w:tc>
          <w:tcPr>
            <w:tcW w:w="1275" w:type="dxa"/>
          </w:tcPr>
          <w:p w:rsidR="00C55D07" w:rsidRPr="003511C0" w:rsidRDefault="00C55D07" w:rsidP="00EF628C">
            <w:pPr>
              <w:jc w:val="center"/>
              <w:rPr>
                <w:sz w:val="20"/>
                <w:szCs w:val="20"/>
              </w:rPr>
            </w:pPr>
            <w:r w:rsidRPr="003511C0">
              <w:rPr>
                <w:sz w:val="20"/>
                <w:szCs w:val="20"/>
              </w:rPr>
              <w:t>1</w:t>
            </w:r>
          </w:p>
        </w:tc>
        <w:tc>
          <w:tcPr>
            <w:tcW w:w="2192" w:type="dxa"/>
          </w:tcPr>
          <w:p w:rsidR="00C55D07" w:rsidRPr="003511C0" w:rsidRDefault="00C55D07" w:rsidP="00DB493B">
            <w:pPr>
              <w:ind w:left="-28"/>
              <w:jc w:val="both"/>
              <w:rPr>
                <w:sz w:val="20"/>
                <w:szCs w:val="20"/>
              </w:rPr>
            </w:pPr>
          </w:p>
        </w:tc>
        <w:tc>
          <w:tcPr>
            <w:tcW w:w="1072" w:type="dxa"/>
          </w:tcPr>
          <w:p w:rsidR="00C55D07" w:rsidRPr="003511C0" w:rsidRDefault="00C55D07" w:rsidP="00EF628C">
            <w:pPr>
              <w:rPr>
                <w:sz w:val="20"/>
                <w:szCs w:val="20"/>
              </w:rPr>
            </w:pPr>
          </w:p>
        </w:tc>
      </w:tr>
      <w:tr w:rsidR="00C55D07" w:rsidRPr="009F7FC4" w:rsidTr="00DB493B">
        <w:tc>
          <w:tcPr>
            <w:tcW w:w="1555" w:type="dxa"/>
            <w:vMerge/>
          </w:tcPr>
          <w:p w:rsidR="00C55D07" w:rsidRPr="003511C0" w:rsidRDefault="00C55D07" w:rsidP="00DB493B">
            <w:pPr>
              <w:ind w:left="-45" w:right="-28"/>
              <w:rPr>
                <w:sz w:val="20"/>
                <w:szCs w:val="20"/>
              </w:rPr>
            </w:pPr>
          </w:p>
        </w:tc>
        <w:tc>
          <w:tcPr>
            <w:tcW w:w="1134" w:type="dxa"/>
            <w:vMerge/>
          </w:tcPr>
          <w:p w:rsidR="00C55D07" w:rsidRPr="003511C0" w:rsidRDefault="00C55D07" w:rsidP="00DB493B">
            <w:pPr>
              <w:jc w:val="both"/>
              <w:rPr>
                <w:sz w:val="20"/>
                <w:szCs w:val="20"/>
              </w:rPr>
            </w:pPr>
          </w:p>
        </w:tc>
        <w:tc>
          <w:tcPr>
            <w:tcW w:w="1556" w:type="dxa"/>
          </w:tcPr>
          <w:p w:rsidR="00C55D07" w:rsidRPr="003511C0" w:rsidRDefault="00C55D07" w:rsidP="00552F8C">
            <w:pPr>
              <w:jc w:val="both"/>
              <w:rPr>
                <w:sz w:val="20"/>
                <w:szCs w:val="20"/>
              </w:rPr>
            </w:pPr>
            <w:r w:rsidRPr="003511C0">
              <w:rPr>
                <w:sz w:val="20"/>
                <w:szCs w:val="20"/>
              </w:rPr>
              <w:t>Медсестра процедурн</w:t>
            </w:r>
            <w:r w:rsidR="00552F8C">
              <w:rPr>
                <w:sz w:val="20"/>
                <w:szCs w:val="20"/>
              </w:rPr>
              <w:t>ая</w:t>
            </w:r>
          </w:p>
        </w:tc>
        <w:tc>
          <w:tcPr>
            <w:tcW w:w="1418" w:type="dxa"/>
          </w:tcPr>
          <w:p w:rsidR="00C55D07" w:rsidRPr="003511C0" w:rsidRDefault="00C55D07" w:rsidP="00EF628C">
            <w:pPr>
              <w:jc w:val="center"/>
              <w:rPr>
                <w:sz w:val="20"/>
                <w:szCs w:val="20"/>
              </w:rPr>
            </w:pPr>
            <w:r w:rsidRPr="003511C0">
              <w:rPr>
                <w:sz w:val="20"/>
                <w:szCs w:val="20"/>
              </w:rPr>
              <w:t>5</w:t>
            </w:r>
          </w:p>
        </w:tc>
        <w:tc>
          <w:tcPr>
            <w:tcW w:w="1275" w:type="dxa"/>
          </w:tcPr>
          <w:p w:rsidR="00C55D07" w:rsidRPr="003511C0" w:rsidRDefault="00C55D07" w:rsidP="00EF628C">
            <w:pPr>
              <w:jc w:val="center"/>
              <w:rPr>
                <w:sz w:val="20"/>
                <w:szCs w:val="20"/>
              </w:rPr>
            </w:pPr>
            <w:r w:rsidRPr="003511C0">
              <w:rPr>
                <w:sz w:val="20"/>
                <w:szCs w:val="20"/>
              </w:rPr>
              <w:t>4</w:t>
            </w:r>
          </w:p>
        </w:tc>
        <w:tc>
          <w:tcPr>
            <w:tcW w:w="2192" w:type="dxa"/>
          </w:tcPr>
          <w:p w:rsidR="00C55D07" w:rsidRPr="003511C0" w:rsidRDefault="00C55D07" w:rsidP="00DB493B">
            <w:pPr>
              <w:ind w:left="-28"/>
              <w:jc w:val="both"/>
              <w:rPr>
                <w:sz w:val="20"/>
                <w:szCs w:val="20"/>
              </w:rPr>
            </w:pPr>
          </w:p>
        </w:tc>
        <w:tc>
          <w:tcPr>
            <w:tcW w:w="1072" w:type="dxa"/>
          </w:tcPr>
          <w:p w:rsidR="00C55D07" w:rsidRPr="003511C0" w:rsidRDefault="00C55D07" w:rsidP="00EF628C">
            <w:pPr>
              <w:rPr>
                <w:sz w:val="20"/>
                <w:szCs w:val="20"/>
              </w:rPr>
            </w:pPr>
          </w:p>
        </w:tc>
      </w:tr>
      <w:tr w:rsidR="00C55D07" w:rsidRPr="009F7FC4" w:rsidTr="00DB493B">
        <w:tc>
          <w:tcPr>
            <w:tcW w:w="1555" w:type="dxa"/>
            <w:vMerge/>
          </w:tcPr>
          <w:p w:rsidR="00C55D07" w:rsidRPr="003511C0" w:rsidRDefault="00C55D07" w:rsidP="00DB493B">
            <w:pPr>
              <w:ind w:left="-45" w:right="-28"/>
              <w:rPr>
                <w:sz w:val="20"/>
                <w:szCs w:val="20"/>
              </w:rPr>
            </w:pPr>
          </w:p>
        </w:tc>
        <w:tc>
          <w:tcPr>
            <w:tcW w:w="1134" w:type="dxa"/>
            <w:vMerge/>
          </w:tcPr>
          <w:p w:rsidR="00C55D07" w:rsidRPr="003511C0" w:rsidRDefault="00C55D07" w:rsidP="00DB493B">
            <w:pPr>
              <w:jc w:val="both"/>
              <w:rPr>
                <w:sz w:val="20"/>
                <w:szCs w:val="20"/>
              </w:rPr>
            </w:pPr>
          </w:p>
        </w:tc>
        <w:tc>
          <w:tcPr>
            <w:tcW w:w="1556" w:type="dxa"/>
          </w:tcPr>
          <w:p w:rsidR="00C55D07" w:rsidRPr="003511C0" w:rsidRDefault="00C55D07" w:rsidP="00DB493B">
            <w:pPr>
              <w:jc w:val="both"/>
              <w:rPr>
                <w:sz w:val="20"/>
                <w:szCs w:val="20"/>
              </w:rPr>
            </w:pPr>
            <w:r w:rsidRPr="003511C0">
              <w:rPr>
                <w:sz w:val="20"/>
                <w:szCs w:val="20"/>
              </w:rPr>
              <w:t>Медицинский физик</w:t>
            </w:r>
          </w:p>
        </w:tc>
        <w:tc>
          <w:tcPr>
            <w:tcW w:w="1418" w:type="dxa"/>
          </w:tcPr>
          <w:p w:rsidR="00C55D07" w:rsidRPr="003511C0" w:rsidRDefault="00C55D07" w:rsidP="00EF628C">
            <w:pPr>
              <w:jc w:val="center"/>
              <w:rPr>
                <w:sz w:val="20"/>
                <w:szCs w:val="20"/>
              </w:rPr>
            </w:pPr>
            <w:r w:rsidRPr="003511C0">
              <w:rPr>
                <w:sz w:val="20"/>
                <w:szCs w:val="20"/>
              </w:rPr>
              <w:t>0</w:t>
            </w:r>
          </w:p>
        </w:tc>
        <w:tc>
          <w:tcPr>
            <w:tcW w:w="1275" w:type="dxa"/>
          </w:tcPr>
          <w:p w:rsidR="00C55D07" w:rsidRPr="003511C0" w:rsidRDefault="00C55D07" w:rsidP="00EF628C">
            <w:pPr>
              <w:jc w:val="center"/>
              <w:rPr>
                <w:sz w:val="20"/>
                <w:szCs w:val="20"/>
              </w:rPr>
            </w:pPr>
          </w:p>
        </w:tc>
        <w:tc>
          <w:tcPr>
            <w:tcW w:w="2192" w:type="dxa"/>
          </w:tcPr>
          <w:p w:rsidR="00C55D07" w:rsidRPr="003511C0" w:rsidRDefault="00C55D07" w:rsidP="00DB493B">
            <w:pPr>
              <w:ind w:left="-28"/>
              <w:jc w:val="both"/>
              <w:rPr>
                <w:sz w:val="20"/>
                <w:szCs w:val="20"/>
              </w:rPr>
            </w:pPr>
          </w:p>
        </w:tc>
        <w:tc>
          <w:tcPr>
            <w:tcW w:w="1072" w:type="dxa"/>
          </w:tcPr>
          <w:p w:rsidR="00C55D07" w:rsidRPr="003511C0" w:rsidRDefault="00C55D07" w:rsidP="00EF628C">
            <w:pPr>
              <w:rPr>
                <w:sz w:val="20"/>
                <w:szCs w:val="20"/>
              </w:rPr>
            </w:pPr>
          </w:p>
        </w:tc>
      </w:tr>
      <w:tr w:rsidR="00C55D07" w:rsidRPr="009F7FC4" w:rsidTr="00DB493B">
        <w:tc>
          <w:tcPr>
            <w:tcW w:w="1555" w:type="dxa"/>
            <w:vMerge/>
          </w:tcPr>
          <w:p w:rsidR="00C55D07" w:rsidRPr="003511C0" w:rsidRDefault="00C55D07" w:rsidP="00DB493B">
            <w:pPr>
              <w:ind w:left="-45" w:right="-28"/>
              <w:rPr>
                <w:sz w:val="20"/>
                <w:szCs w:val="20"/>
              </w:rPr>
            </w:pPr>
          </w:p>
        </w:tc>
        <w:tc>
          <w:tcPr>
            <w:tcW w:w="1134" w:type="dxa"/>
            <w:vMerge/>
          </w:tcPr>
          <w:p w:rsidR="00C55D07" w:rsidRPr="003511C0" w:rsidRDefault="00C55D07" w:rsidP="00DB493B">
            <w:pPr>
              <w:jc w:val="both"/>
              <w:rPr>
                <w:sz w:val="20"/>
                <w:szCs w:val="20"/>
              </w:rPr>
            </w:pPr>
          </w:p>
        </w:tc>
        <w:tc>
          <w:tcPr>
            <w:tcW w:w="1556" w:type="dxa"/>
          </w:tcPr>
          <w:p w:rsidR="00321EDA" w:rsidRDefault="00C55D07" w:rsidP="00DB493B">
            <w:pPr>
              <w:jc w:val="both"/>
              <w:rPr>
                <w:sz w:val="20"/>
                <w:szCs w:val="20"/>
              </w:rPr>
            </w:pPr>
            <w:r w:rsidRPr="003511C0">
              <w:rPr>
                <w:sz w:val="20"/>
                <w:szCs w:val="20"/>
              </w:rPr>
              <w:t>Инженер-</w:t>
            </w:r>
          </w:p>
          <w:p w:rsidR="00C55D07" w:rsidRPr="003511C0" w:rsidRDefault="00C55D07" w:rsidP="00DB493B">
            <w:pPr>
              <w:jc w:val="both"/>
              <w:rPr>
                <w:sz w:val="20"/>
                <w:szCs w:val="20"/>
              </w:rPr>
            </w:pPr>
            <w:r w:rsidRPr="003511C0">
              <w:rPr>
                <w:sz w:val="20"/>
                <w:szCs w:val="20"/>
              </w:rPr>
              <w:t>химик</w:t>
            </w:r>
          </w:p>
        </w:tc>
        <w:tc>
          <w:tcPr>
            <w:tcW w:w="1418" w:type="dxa"/>
          </w:tcPr>
          <w:p w:rsidR="00C55D07" w:rsidRPr="003511C0" w:rsidRDefault="00C55D07" w:rsidP="00EF628C">
            <w:pPr>
              <w:jc w:val="center"/>
              <w:rPr>
                <w:sz w:val="20"/>
                <w:szCs w:val="20"/>
              </w:rPr>
            </w:pPr>
            <w:r w:rsidRPr="003511C0">
              <w:rPr>
                <w:sz w:val="20"/>
                <w:szCs w:val="20"/>
              </w:rPr>
              <w:t>0</w:t>
            </w:r>
          </w:p>
        </w:tc>
        <w:tc>
          <w:tcPr>
            <w:tcW w:w="1275" w:type="dxa"/>
          </w:tcPr>
          <w:p w:rsidR="00C55D07" w:rsidRPr="003511C0" w:rsidRDefault="00C55D07" w:rsidP="00EF628C">
            <w:pPr>
              <w:jc w:val="center"/>
              <w:rPr>
                <w:sz w:val="20"/>
                <w:szCs w:val="20"/>
              </w:rPr>
            </w:pPr>
          </w:p>
        </w:tc>
        <w:tc>
          <w:tcPr>
            <w:tcW w:w="2192" w:type="dxa"/>
          </w:tcPr>
          <w:p w:rsidR="00C55D07" w:rsidRPr="003511C0" w:rsidRDefault="00C55D07" w:rsidP="00DB493B">
            <w:pPr>
              <w:ind w:left="-28"/>
              <w:jc w:val="both"/>
              <w:rPr>
                <w:sz w:val="20"/>
                <w:szCs w:val="20"/>
              </w:rPr>
            </w:pPr>
          </w:p>
        </w:tc>
        <w:tc>
          <w:tcPr>
            <w:tcW w:w="1072" w:type="dxa"/>
          </w:tcPr>
          <w:p w:rsidR="00C55D07" w:rsidRPr="003511C0" w:rsidRDefault="00C55D07" w:rsidP="00EF628C">
            <w:pPr>
              <w:rPr>
                <w:sz w:val="20"/>
                <w:szCs w:val="20"/>
              </w:rPr>
            </w:pPr>
          </w:p>
        </w:tc>
      </w:tr>
      <w:tr w:rsidR="00C55D07" w:rsidRPr="009F7FC4" w:rsidTr="00DB493B">
        <w:tc>
          <w:tcPr>
            <w:tcW w:w="1555" w:type="dxa"/>
            <w:vMerge/>
          </w:tcPr>
          <w:p w:rsidR="00C55D07" w:rsidRPr="003511C0" w:rsidRDefault="00C55D07" w:rsidP="00DB493B">
            <w:pPr>
              <w:ind w:left="-45" w:right="-28"/>
              <w:rPr>
                <w:sz w:val="20"/>
                <w:szCs w:val="20"/>
              </w:rPr>
            </w:pPr>
          </w:p>
        </w:tc>
        <w:tc>
          <w:tcPr>
            <w:tcW w:w="1134" w:type="dxa"/>
            <w:vMerge/>
          </w:tcPr>
          <w:p w:rsidR="00C55D07" w:rsidRPr="003511C0" w:rsidRDefault="00C55D07" w:rsidP="00DB493B">
            <w:pPr>
              <w:jc w:val="both"/>
              <w:rPr>
                <w:sz w:val="20"/>
                <w:szCs w:val="20"/>
              </w:rPr>
            </w:pPr>
          </w:p>
        </w:tc>
        <w:tc>
          <w:tcPr>
            <w:tcW w:w="1556" w:type="dxa"/>
          </w:tcPr>
          <w:p w:rsidR="00321EDA" w:rsidRDefault="00C55D07" w:rsidP="00DB493B">
            <w:pPr>
              <w:jc w:val="both"/>
              <w:rPr>
                <w:sz w:val="20"/>
                <w:szCs w:val="20"/>
              </w:rPr>
            </w:pPr>
            <w:r w:rsidRPr="003511C0">
              <w:rPr>
                <w:sz w:val="20"/>
                <w:szCs w:val="20"/>
              </w:rPr>
              <w:t>Инженер-</w:t>
            </w:r>
          </w:p>
          <w:p w:rsidR="00C55D07" w:rsidRPr="003511C0" w:rsidRDefault="00C55D07" w:rsidP="00DB493B">
            <w:pPr>
              <w:jc w:val="both"/>
              <w:rPr>
                <w:sz w:val="20"/>
                <w:szCs w:val="20"/>
              </w:rPr>
            </w:pPr>
            <w:r w:rsidRPr="003511C0">
              <w:rPr>
                <w:sz w:val="20"/>
                <w:szCs w:val="20"/>
              </w:rPr>
              <w:t>техник</w:t>
            </w:r>
          </w:p>
        </w:tc>
        <w:tc>
          <w:tcPr>
            <w:tcW w:w="1418" w:type="dxa"/>
          </w:tcPr>
          <w:p w:rsidR="00C55D07" w:rsidRPr="003511C0" w:rsidRDefault="00C55D07" w:rsidP="00EF628C">
            <w:pPr>
              <w:jc w:val="center"/>
              <w:rPr>
                <w:sz w:val="20"/>
                <w:szCs w:val="20"/>
              </w:rPr>
            </w:pPr>
            <w:r w:rsidRPr="003511C0">
              <w:rPr>
                <w:sz w:val="20"/>
                <w:szCs w:val="20"/>
              </w:rPr>
              <w:t>0</w:t>
            </w:r>
          </w:p>
        </w:tc>
        <w:tc>
          <w:tcPr>
            <w:tcW w:w="1275" w:type="dxa"/>
          </w:tcPr>
          <w:p w:rsidR="00C55D07" w:rsidRPr="003511C0" w:rsidRDefault="00C55D07" w:rsidP="00EF628C">
            <w:pPr>
              <w:jc w:val="center"/>
              <w:rPr>
                <w:sz w:val="20"/>
                <w:szCs w:val="20"/>
              </w:rPr>
            </w:pPr>
          </w:p>
        </w:tc>
        <w:tc>
          <w:tcPr>
            <w:tcW w:w="2192" w:type="dxa"/>
          </w:tcPr>
          <w:p w:rsidR="00C55D07" w:rsidRPr="003511C0" w:rsidRDefault="00C55D07" w:rsidP="00DB493B">
            <w:pPr>
              <w:ind w:left="-28"/>
              <w:jc w:val="both"/>
              <w:rPr>
                <w:sz w:val="20"/>
                <w:szCs w:val="20"/>
              </w:rPr>
            </w:pPr>
          </w:p>
        </w:tc>
        <w:tc>
          <w:tcPr>
            <w:tcW w:w="1072" w:type="dxa"/>
          </w:tcPr>
          <w:p w:rsidR="00C55D07" w:rsidRPr="003511C0" w:rsidRDefault="00C55D07" w:rsidP="00EF628C">
            <w:pPr>
              <w:rPr>
                <w:sz w:val="20"/>
                <w:szCs w:val="20"/>
              </w:rPr>
            </w:pPr>
          </w:p>
        </w:tc>
      </w:tr>
      <w:tr w:rsidR="00C55D07" w:rsidRPr="009F7FC4" w:rsidTr="00DB493B">
        <w:tc>
          <w:tcPr>
            <w:tcW w:w="1555" w:type="dxa"/>
            <w:vMerge/>
          </w:tcPr>
          <w:p w:rsidR="00C55D07" w:rsidRPr="003511C0" w:rsidRDefault="00C55D07" w:rsidP="00DB493B">
            <w:pPr>
              <w:ind w:left="-45" w:right="-28"/>
              <w:rPr>
                <w:sz w:val="20"/>
                <w:szCs w:val="20"/>
              </w:rPr>
            </w:pPr>
          </w:p>
        </w:tc>
        <w:tc>
          <w:tcPr>
            <w:tcW w:w="1134" w:type="dxa"/>
            <w:vMerge/>
          </w:tcPr>
          <w:p w:rsidR="00C55D07" w:rsidRPr="003511C0" w:rsidRDefault="00C55D07" w:rsidP="00DB493B">
            <w:pPr>
              <w:jc w:val="both"/>
              <w:rPr>
                <w:sz w:val="20"/>
                <w:szCs w:val="20"/>
              </w:rPr>
            </w:pPr>
          </w:p>
        </w:tc>
        <w:tc>
          <w:tcPr>
            <w:tcW w:w="1556" w:type="dxa"/>
          </w:tcPr>
          <w:p w:rsidR="00321EDA" w:rsidRDefault="00C55D07" w:rsidP="00DB493B">
            <w:pPr>
              <w:jc w:val="both"/>
              <w:rPr>
                <w:sz w:val="20"/>
                <w:szCs w:val="20"/>
              </w:rPr>
            </w:pPr>
            <w:r w:rsidRPr="003511C0">
              <w:rPr>
                <w:sz w:val="20"/>
                <w:szCs w:val="20"/>
              </w:rPr>
              <w:t>Техник-</w:t>
            </w:r>
          </w:p>
          <w:p w:rsidR="00C55D07" w:rsidRPr="003511C0" w:rsidRDefault="00C55D07" w:rsidP="00DB493B">
            <w:pPr>
              <w:jc w:val="both"/>
              <w:rPr>
                <w:sz w:val="20"/>
                <w:szCs w:val="20"/>
              </w:rPr>
            </w:pPr>
            <w:r w:rsidRPr="003511C0">
              <w:rPr>
                <w:sz w:val="20"/>
                <w:szCs w:val="20"/>
              </w:rPr>
              <w:t>дозиметрист</w:t>
            </w:r>
          </w:p>
        </w:tc>
        <w:tc>
          <w:tcPr>
            <w:tcW w:w="1418" w:type="dxa"/>
          </w:tcPr>
          <w:p w:rsidR="00C55D07" w:rsidRPr="003511C0" w:rsidRDefault="00C55D07" w:rsidP="00EF628C">
            <w:pPr>
              <w:jc w:val="center"/>
              <w:rPr>
                <w:sz w:val="20"/>
                <w:szCs w:val="20"/>
              </w:rPr>
            </w:pPr>
            <w:r w:rsidRPr="003511C0">
              <w:rPr>
                <w:sz w:val="20"/>
                <w:szCs w:val="20"/>
              </w:rPr>
              <w:t>0</w:t>
            </w:r>
          </w:p>
        </w:tc>
        <w:tc>
          <w:tcPr>
            <w:tcW w:w="1275" w:type="dxa"/>
          </w:tcPr>
          <w:p w:rsidR="00C55D07" w:rsidRPr="003511C0" w:rsidRDefault="00C55D07" w:rsidP="00EF628C">
            <w:pPr>
              <w:jc w:val="center"/>
              <w:rPr>
                <w:sz w:val="20"/>
                <w:szCs w:val="20"/>
              </w:rPr>
            </w:pPr>
          </w:p>
        </w:tc>
        <w:tc>
          <w:tcPr>
            <w:tcW w:w="2192" w:type="dxa"/>
          </w:tcPr>
          <w:p w:rsidR="00C55D07" w:rsidRPr="003511C0" w:rsidRDefault="00C55D07" w:rsidP="00DB493B">
            <w:pPr>
              <w:ind w:left="-28"/>
              <w:jc w:val="both"/>
              <w:rPr>
                <w:sz w:val="20"/>
                <w:szCs w:val="20"/>
              </w:rPr>
            </w:pPr>
          </w:p>
        </w:tc>
        <w:tc>
          <w:tcPr>
            <w:tcW w:w="1072" w:type="dxa"/>
          </w:tcPr>
          <w:p w:rsidR="00C55D07" w:rsidRPr="003511C0" w:rsidRDefault="00C55D07" w:rsidP="00EF628C">
            <w:pPr>
              <w:rPr>
                <w:sz w:val="20"/>
                <w:szCs w:val="20"/>
              </w:rPr>
            </w:pPr>
          </w:p>
        </w:tc>
      </w:tr>
      <w:tr w:rsidR="00321EDA" w:rsidRPr="009F7FC4" w:rsidTr="00DB493B">
        <w:tc>
          <w:tcPr>
            <w:tcW w:w="1555" w:type="dxa"/>
            <w:vMerge w:val="restart"/>
          </w:tcPr>
          <w:p w:rsidR="00321EDA" w:rsidRPr="003511C0" w:rsidRDefault="00321EDA" w:rsidP="00612C8D">
            <w:pPr>
              <w:ind w:left="-45" w:right="-28"/>
              <w:jc w:val="both"/>
              <w:rPr>
                <w:sz w:val="20"/>
                <w:szCs w:val="20"/>
              </w:rPr>
            </w:pPr>
            <w:r w:rsidRPr="003511C0">
              <w:rPr>
                <w:sz w:val="20"/>
                <w:szCs w:val="20"/>
              </w:rPr>
              <w:t>ГАУЗ «М</w:t>
            </w:r>
            <w:r>
              <w:rPr>
                <w:sz w:val="20"/>
                <w:szCs w:val="20"/>
              </w:rPr>
              <w:t>ежрегиональный клинико-диагностический центр</w:t>
            </w:r>
            <w:r w:rsidRPr="003511C0">
              <w:rPr>
                <w:sz w:val="20"/>
                <w:szCs w:val="20"/>
              </w:rPr>
              <w:t>»</w:t>
            </w:r>
          </w:p>
        </w:tc>
        <w:tc>
          <w:tcPr>
            <w:tcW w:w="1134" w:type="dxa"/>
            <w:vMerge w:val="restart"/>
          </w:tcPr>
          <w:p w:rsidR="00321EDA" w:rsidRPr="003511C0" w:rsidRDefault="00321EDA" w:rsidP="00DB493B">
            <w:pPr>
              <w:jc w:val="both"/>
              <w:rPr>
                <w:sz w:val="20"/>
                <w:szCs w:val="20"/>
              </w:rPr>
            </w:pPr>
            <w:r w:rsidRPr="003511C0">
              <w:rPr>
                <w:sz w:val="20"/>
                <w:szCs w:val="20"/>
              </w:rPr>
              <w:t>Отделение радионук</w:t>
            </w:r>
            <w:r>
              <w:rPr>
                <w:sz w:val="20"/>
                <w:szCs w:val="20"/>
              </w:rPr>
              <w:t>-</w:t>
            </w:r>
            <w:r w:rsidRPr="003511C0">
              <w:rPr>
                <w:sz w:val="20"/>
                <w:szCs w:val="20"/>
              </w:rPr>
              <w:t>лидной диагностики</w:t>
            </w:r>
          </w:p>
        </w:tc>
        <w:tc>
          <w:tcPr>
            <w:tcW w:w="1556" w:type="dxa"/>
          </w:tcPr>
          <w:p w:rsidR="00321EDA" w:rsidRPr="003511C0" w:rsidRDefault="00321EDA" w:rsidP="00DB493B">
            <w:pPr>
              <w:jc w:val="both"/>
              <w:rPr>
                <w:sz w:val="20"/>
                <w:szCs w:val="20"/>
              </w:rPr>
            </w:pPr>
            <w:r w:rsidRPr="003511C0">
              <w:rPr>
                <w:sz w:val="20"/>
                <w:szCs w:val="20"/>
              </w:rPr>
              <w:t>Врач-радиолог</w:t>
            </w:r>
          </w:p>
        </w:tc>
        <w:tc>
          <w:tcPr>
            <w:tcW w:w="1418" w:type="dxa"/>
          </w:tcPr>
          <w:p w:rsidR="00321EDA" w:rsidRPr="003511C0" w:rsidRDefault="00321EDA" w:rsidP="00EF628C">
            <w:pPr>
              <w:jc w:val="center"/>
              <w:rPr>
                <w:sz w:val="20"/>
                <w:szCs w:val="20"/>
              </w:rPr>
            </w:pPr>
            <w:r w:rsidRPr="003511C0">
              <w:rPr>
                <w:sz w:val="20"/>
                <w:szCs w:val="20"/>
              </w:rPr>
              <w:t>2</w:t>
            </w:r>
          </w:p>
        </w:tc>
        <w:tc>
          <w:tcPr>
            <w:tcW w:w="1275" w:type="dxa"/>
          </w:tcPr>
          <w:p w:rsidR="00321EDA" w:rsidRPr="003511C0" w:rsidRDefault="00321EDA" w:rsidP="00EF628C">
            <w:pPr>
              <w:jc w:val="center"/>
              <w:rPr>
                <w:sz w:val="20"/>
                <w:szCs w:val="20"/>
              </w:rPr>
            </w:pPr>
            <w:r w:rsidRPr="003511C0">
              <w:rPr>
                <w:sz w:val="20"/>
                <w:szCs w:val="20"/>
              </w:rPr>
              <w:t>1</w:t>
            </w:r>
          </w:p>
        </w:tc>
        <w:tc>
          <w:tcPr>
            <w:tcW w:w="2192" w:type="dxa"/>
          </w:tcPr>
          <w:p w:rsidR="00321EDA" w:rsidRPr="003511C0" w:rsidRDefault="00321EDA" w:rsidP="00321EDA">
            <w:pPr>
              <w:autoSpaceDE/>
              <w:autoSpaceDN/>
              <w:adjustRightInd/>
              <w:ind w:left="-28"/>
              <w:jc w:val="both"/>
              <w:rPr>
                <w:sz w:val="20"/>
                <w:szCs w:val="20"/>
              </w:rPr>
            </w:pPr>
            <w:r w:rsidRPr="003511C0">
              <w:rPr>
                <w:color w:val="000000"/>
                <w:sz w:val="20"/>
                <w:szCs w:val="20"/>
              </w:rPr>
              <w:t>Система однофотонн</w:t>
            </w:r>
            <w:r>
              <w:rPr>
                <w:color w:val="000000"/>
                <w:sz w:val="20"/>
                <w:szCs w:val="20"/>
              </w:rPr>
              <w:t>о</w:t>
            </w:r>
            <w:r w:rsidRPr="003511C0">
              <w:rPr>
                <w:color w:val="000000"/>
                <w:sz w:val="20"/>
                <w:szCs w:val="20"/>
              </w:rPr>
              <w:t>й эмиссионн</w:t>
            </w:r>
            <w:r>
              <w:rPr>
                <w:color w:val="000000"/>
                <w:sz w:val="20"/>
                <w:szCs w:val="20"/>
              </w:rPr>
              <w:t>о</w:t>
            </w:r>
            <w:r w:rsidRPr="003511C0">
              <w:rPr>
                <w:color w:val="000000"/>
                <w:sz w:val="20"/>
                <w:szCs w:val="20"/>
              </w:rPr>
              <w:t>й компьютерн</w:t>
            </w:r>
            <w:r>
              <w:rPr>
                <w:color w:val="000000"/>
                <w:sz w:val="20"/>
                <w:szCs w:val="20"/>
              </w:rPr>
              <w:t>о</w:t>
            </w:r>
            <w:r w:rsidRPr="003511C0">
              <w:rPr>
                <w:color w:val="000000"/>
                <w:sz w:val="20"/>
                <w:szCs w:val="20"/>
              </w:rPr>
              <w:t>й томограф</w:t>
            </w:r>
            <w:r>
              <w:rPr>
                <w:color w:val="000000"/>
                <w:sz w:val="20"/>
                <w:szCs w:val="20"/>
              </w:rPr>
              <w:t>ии</w:t>
            </w:r>
            <w:r w:rsidRPr="003511C0">
              <w:rPr>
                <w:color w:val="000000"/>
                <w:sz w:val="20"/>
                <w:szCs w:val="20"/>
              </w:rPr>
              <w:t xml:space="preserve"> с ротационным детектором Millennium </w:t>
            </w:r>
            <w:r w:rsidRPr="003511C0">
              <w:rPr>
                <w:color w:val="000000"/>
                <w:sz w:val="20"/>
                <w:szCs w:val="20"/>
                <w:lang w:val="en-US"/>
              </w:rPr>
              <w:t>MPR</w:t>
            </w:r>
            <w:r w:rsidRPr="003511C0">
              <w:rPr>
                <w:color w:val="000000"/>
                <w:sz w:val="20"/>
                <w:szCs w:val="20"/>
              </w:rPr>
              <w:t>, производитель G</w:t>
            </w:r>
            <w:r w:rsidRPr="003511C0">
              <w:rPr>
                <w:color w:val="000000"/>
                <w:sz w:val="20"/>
                <w:szCs w:val="20"/>
                <w:lang w:val="en-US"/>
              </w:rPr>
              <w:t>E</w:t>
            </w:r>
          </w:p>
        </w:tc>
        <w:tc>
          <w:tcPr>
            <w:tcW w:w="1072" w:type="dxa"/>
          </w:tcPr>
          <w:p w:rsidR="00321EDA" w:rsidRPr="003511C0" w:rsidRDefault="00321EDA" w:rsidP="00EF628C">
            <w:pPr>
              <w:rPr>
                <w:sz w:val="20"/>
                <w:szCs w:val="20"/>
              </w:rPr>
            </w:pPr>
            <w:r w:rsidRPr="003511C0">
              <w:rPr>
                <w:sz w:val="20"/>
                <w:szCs w:val="20"/>
              </w:rPr>
              <w:t>2001</w:t>
            </w:r>
          </w:p>
        </w:tc>
      </w:tr>
      <w:tr w:rsidR="00321EDA" w:rsidRPr="009F7FC4" w:rsidTr="00DB493B">
        <w:tc>
          <w:tcPr>
            <w:tcW w:w="1555" w:type="dxa"/>
            <w:vMerge/>
          </w:tcPr>
          <w:p w:rsidR="00321EDA" w:rsidRPr="003511C0" w:rsidRDefault="00321EDA" w:rsidP="00612C8D">
            <w:pPr>
              <w:ind w:left="-45" w:right="-28"/>
              <w:jc w:val="both"/>
              <w:rPr>
                <w:sz w:val="20"/>
                <w:szCs w:val="20"/>
              </w:rPr>
            </w:pPr>
          </w:p>
        </w:tc>
        <w:tc>
          <w:tcPr>
            <w:tcW w:w="1134" w:type="dxa"/>
            <w:vMerge/>
          </w:tcPr>
          <w:p w:rsidR="00321EDA" w:rsidRPr="003511C0" w:rsidRDefault="00321EDA" w:rsidP="00DB493B">
            <w:pPr>
              <w:jc w:val="both"/>
              <w:rPr>
                <w:sz w:val="20"/>
                <w:szCs w:val="20"/>
              </w:rPr>
            </w:pPr>
          </w:p>
        </w:tc>
        <w:tc>
          <w:tcPr>
            <w:tcW w:w="1556" w:type="dxa"/>
          </w:tcPr>
          <w:p w:rsidR="00321EDA" w:rsidRPr="003511C0" w:rsidRDefault="00321EDA" w:rsidP="00DB493B">
            <w:pPr>
              <w:jc w:val="both"/>
              <w:rPr>
                <w:sz w:val="20"/>
                <w:szCs w:val="20"/>
              </w:rPr>
            </w:pPr>
            <w:r w:rsidRPr="003511C0">
              <w:rPr>
                <w:sz w:val="20"/>
                <w:szCs w:val="20"/>
              </w:rPr>
              <w:t>Врач-рентгенолог</w:t>
            </w:r>
          </w:p>
        </w:tc>
        <w:tc>
          <w:tcPr>
            <w:tcW w:w="1418" w:type="dxa"/>
          </w:tcPr>
          <w:p w:rsidR="00321EDA" w:rsidRPr="003511C0" w:rsidRDefault="00321EDA" w:rsidP="00EF628C">
            <w:pPr>
              <w:jc w:val="center"/>
              <w:rPr>
                <w:sz w:val="20"/>
                <w:szCs w:val="20"/>
              </w:rPr>
            </w:pPr>
            <w:r w:rsidRPr="003511C0">
              <w:rPr>
                <w:sz w:val="20"/>
                <w:szCs w:val="20"/>
              </w:rPr>
              <w:t>0</w:t>
            </w:r>
          </w:p>
        </w:tc>
        <w:tc>
          <w:tcPr>
            <w:tcW w:w="1275" w:type="dxa"/>
          </w:tcPr>
          <w:p w:rsidR="00321EDA" w:rsidRPr="003511C0" w:rsidRDefault="00321EDA" w:rsidP="00EF628C">
            <w:pPr>
              <w:jc w:val="center"/>
              <w:rPr>
                <w:sz w:val="20"/>
                <w:szCs w:val="20"/>
              </w:rPr>
            </w:pPr>
            <w:r w:rsidRPr="003511C0">
              <w:rPr>
                <w:sz w:val="20"/>
                <w:szCs w:val="20"/>
              </w:rPr>
              <w:t>0</w:t>
            </w:r>
          </w:p>
        </w:tc>
        <w:tc>
          <w:tcPr>
            <w:tcW w:w="2192" w:type="dxa"/>
          </w:tcPr>
          <w:p w:rsidR="00321EDA" w:rsidRPr="003511C0" w:rsidRDefault="00321EDA" w:rsidP="00DB493B">
            <w:pPr>
              <w:ind w:left="-28"/>
              <w:jc w:val="both"/>
              <w:rPr>
                <w:sz w:val="20"/>
                <w:szCs w:val="20"/>
              </w:rPr>
            </w:pPr>
          </w:p>
        </w:tc>
        <w:tc>
          <w:tcPr>
            <w:tcW w:w="1072" w:type="dxa"/>
          </w:tcPr>
          <w:p w:rsidR="00321EDA" w:rsidRPr="003511C0" w:rsidRDefault="00321EDA" w:rsidP="00EF628C">
            <w:pPr>
              <w:rPr>
                <w:sz w:val="20"/>
                <w:szCs w:val="20"/>
              </w:rPr>
            </w:pPr>
          </w:p>
        </w:tc>
      </w:tr>
      <w:tr w:rsidR="00321EDA" w:rsidRPr="009F7FC4" w:rsidTr="00DB493B">
        <w:tc>
          <w:tcPr>
            <w:tcW w:w="1555" w:type="dxa"/>
            <w:vMerge/>
          </w:tcPr>
          <w:p w:rsidR="00321EDA" w:rsidRPr="003511C0" w:rsidRDefault="00321EDA" w:rsidP="00612C8D">
            <w:pPr>
              <w:ind w:left="-45" w:right="-28"/>
              <w:jc w:val="both"/>
              <w:rPr>
                <w:sz w:val="20"/>
                <w:szCs w:val="20"/>
              </w:rPr>
            </w:pPr>
          </w:p>
        </w:tc>
        <w:tc>
          <w:tcPr>
            <w:tcW w:w="1134" w:type="dxa"/>
            <w:vMerge/>
          </w:tcPr>
          <w:p w:rsidR="00321EDA" w:rsidRPr="003511C0" w:rsidRDefault="00321EDA" w:rsidP="00DB493B">
            <w:pPr>
              <w:jc w:val="both"/>
              <w:rPr>
                <w:sz w:val="20"/>
                <w:szCs w:val="20"/>
              </w:rPr>
            </w:pPr>
          </w:p>
        </w:tc>
        <w:tc>
          <w:tcPr>
            <w:tcW w:w="1556" w:type="dxa"/>
          </w:tcPr>
          <w:p w:rsidR="00321EDA" w:rsidRPr="003511C0" w:rsidRDefault="00321EDA" w:rsidP="00DB493B">
            <w:pPr>
              <w:jc w:val="both"/>
              <w:rPr>
                <w:sz w:val="20"/>
                <w:szCs w:val="20"/>
              </w:rPr>
            </w:pPr>
            <w:r w:rsidRPr="003511C0">
              <w:rPr>
                <w:sz w:val="20"/>
                <w:szCs w:val="20"/>
              </w:rPr>
              <w:t xml:space="preserve">Рентгенлаборант </w:t>
            </w:r>
          </w:p>
        </w:tc>
        <w:tc>
          <w:tcPr>
            <w:tcW w:w="1418" w:type="dxa"/>
          </w:tcPr>
          <w:p w:rsidR="00321EDA" w:rsidRPr="003511C0" w:rsidRDefault="00321EDA" w:rsidP="00EF628C">
            <w:pPr>
              <w:jc w:val="center"/>
              <w:rPr>
                <w:sz w:val="20"/>
                <w:szCs w:val="20"/>
              </w:rPr>
            </w:pPr>
            <w:r w:rsidRPr="003511C0">
              <w:rPr>
                <w:sz w:val="20"/>
                <w:szCs w:val="20"/>
              </w:rPr>
              <w:t>1</w:t>
            </w:r>
          </w:p>
        </w:tc>
        <w:tc>
          <w:tcPr>
            <w:tcW w:w="1275" w:type="dxa"/>
          </w:tcPr>
          <w:p w:rsidR="00321EDA" w:rsidRPr="003511C0" w:rsidRDefault="00321EDA" w:rsidP="00EF628C">
            <w:pPr>
              <w:jc w:val="center"/>
              <w:rPr>
                <w:sz w:val="20"/>
                <w:szCs w:val="20"/>
              </w:rPr>
            </w:pPr>
            <w:r w:rsidRPr="003511C0">
              <w:rPr>
                <w:sz w:val="20"/>
                <w:szCs w:val="20"/>
              </w:rPr>
              <w:t>1</w:t>
            </w:r>
          </w:p>
        </w:tc>
        <w:tc>
          <w:tcPr>
            <w:tcW w:w="2192" w:type="dxa"/>
          </w:tcPr>
          <w:p w:rsidR="00321EDA" w:rsidRPr="003511C0" w:rsidRDefault="00321EDA" w:rsidP="00DB493B">
            <w:pPr>
              <w:ind w:left="-28"/>
              <w:jc w:val="both"/>
              <w:rPr>
                <w:sz w:val="20"/>
                <w:szCs w:val="20"/>
              </w:rPr>
            </w:pPr>
          </w:p>
        </w:tc>
        <w:tc>
          <w:tcPr>
            <w:tcW w:w="1072" w:type="dxa"/>
          </w:tcPr>
          <w:p w:rsidR="00321EDA" w:rsidRPr="003511C0" w:rsidRDefault="00321EDA" w:rsidP="00EF628C">
            <w:pPr>
              <w:rPr>
                <w:sz w:val="20"/>
                <w:szCs w:val="20"/>
              </w:rPr>
            </w:pPr>
          </w:p>
        </w:tc>
      </w:tr>
      <w:tr w:rsidR="00321EDA" w:rsidRPr="009F7FC4" w:rsidTr="00DB493B">
        <w:tc>
          <w:tcPr>
            <w:tcW w:w="1555" w:type="dxa"/>
            <w:vMerge/>
          </w:tcPr>
          <w:p w:rsidR="00321EDA" w:rsidRPr="003511C0" w:rsidRDefault="00321EDA" w:rsidP="00612C8D">
            <w:pPr>
              <w:ind w:left="-45" w:right="-28"/>
              <w:jc w:val="both"/>
              <w:rPr>
                <w:sz w:val="20"/>
                <w:szCs w:val="20"/>
              </w:rPr>
            </w:pPr>
          </w:p>
        </w:tc>
        <w:tc>
          <w:tcPr>
            <w:tcW w:w="1134" w:type="dxa"/>
            <w:vMerge/>
          </w:tcPr>
          <w:p w:rsidR="00321EDA" w:rsidRPr="003511C0" w:rsidRDefault="00321EDA" w:rsidP="00DB493B">
            <w:pPr>
              <w:jc w:val="both"/>
              <w:rPr>
                <w:sz w:val="20"/>
                <w:szCs w:val="20"/>
              </w:rPr>
            </w:pPr>
          </w:p>
        </w:tc>
        <w:tc>
          <w:tcPr>
            <w:tcW w:w="1556" w:type="dxa"/>
          </w:tcPr>
          <w:p w:rsidR="00321EDA" w:rsidRPr="003511C0" w:rsidRDefault="00321EDA" w:rsidP="00552F8C">
            <w:pPr>
              <w:jc w:val="both"/>
              <w:rPr>
                <w:sz w:val="20"/>
                <w:szCs w:val="20"/>
              </w:rPr>
            </w:pPr>
            <w:r w:rsidRPr="003511C0">
              <w:rPr>
                <w:sz w:val="20"/>
                <w:szCs w:val="20"/>
              </w:rPr>
              <w:t>Медсестра процедурн</w:t>
            </w:r>
            <w:r w:rsidR="00552F8C">
              <w:rPr>
                <w:sz w:val="20"/>
                <w:szCs w:val="20"/>
              </w:rPr>
              <w:t>ая</w:t>
            </w:r>
          </w:p>
        </w:tc>
        <w:tc>
          <w:tcPr>
            <w:tcW w:w="1418" w:type="dxa"/>
          </w:tcPr>
          <w:p w:rsidR="00321EDA" w:rsidRPr="003511C0" w:rsidRDefault="00321EDA" w:rsidP="00EF628C">
            <w:pPr>
              <w:jc w:val="center"/>
              <w:rPr>
                <w:sz w:val="20"/>
                <w:szCs w:val="20"/>
              </w:rPr>
            </w:pPr>
            <w:r w:rsidRPr="003511C0">
              <w:rPr>
                <w:sz w:val="20"/>
                <w:szCs w:val="20"/>
              </w:rPr>
              <w:t>3</w:t>
            </w:r>
          </w:p>
        </w:tc>
        <w:tc>
          <w:tcPr>
            <w:tcW w:w="1275" w:type="dxa"/>
          </w:tcPr>
          <w:p w:rsidR="00321EDA" w:rsidRPr="003511C0" w:rsidRDefault="00321EDA" w:rsidP="00EF628C">
            <w:pPr>
              <w:jc w:val="center"/>
              <w:rPr>
                <w:sz w:val="20"/>
                <w:szCs w:val="20"/>
              </w:rPr>
            </w:pPr>
            <w:r w:rsidRPr="003511C0">
              <w:rPr>
                <w:sz w:val="20"/>
                <w:szCs w:val="20"/>
              </w:rPr>
              <w:t>2</w:t>
            </w:r>
          </w:p>
        </w:tc>
        <w:tc>
          <w:tcPr>
            <w:tcW w:w="2192" w:type="dxa"/>
          </w:tcPr>
          <w:p w:rsidR="00321EDA" w:rsidRPr="003511C0" w:rsidRDefault="00321EDA" w:rsidP="00DB493B">
            <w:pPr>
              <w:ind w:left="-28"/>
              <w:jc w:val="both"/>
              <w:rPr>
                <w:sz w:val="20"/>
                <w:szCs w:val="20"/>
              </w:rPr>
            </w:pPr>
          </w:p>
        </w:tc>
        <w:tc>
          <w:tcPr>
            <w:tcW w:w="1072" w:type="dxa"/>
          </w:tcPr>
          <w:p w:rsidR="00321EDA" w:rsidRPr="003511C0" w:rsidRDefault="00321EDA" w:rsidP="00EF628C">
            <w:pPr>
              <w:rPr>
                <w:sz w:val="20"/>
                <w:szCs w:val="20"/>
              </w:rPr>
            </w:pPr>
          </w:p>
        </w:tc>
      </w:tr>
      <w:tr w:rsidR="00321EDA" w:rsidRPr="009F7FC4" w:rsidTr="00DB493B">
        <w:tc>
          <w:tcPr>
            <w:tcW w:w="1555" w:type="dxa"/>
            <w:vMerge/>
          </w:tcPr>
          <w:p w:rsidR="00321EDA" w:rsidRPr="003511C0" w:rsidRDefault="00321EDA" w:rsidP="00612C8D">
            <w:pPr>
              <w:ind w:left="-45" w:right="-28"/>
              <w:jc w:val="both"/>
              <w:rPr>
                <w:sz w:val="20"/>
                <w:szCs w:val="20"/>
              </w:rPr>
            </w:pPr>
          </w:p>
        </w:tc>
        <w:tc>
          <w:tcPr>
            <w:tcW w:w="1134" w:type="dxa"/>
            <w:vMerge/>
          </w:tcPr>
          <w:p w:rsidR="00321EDA" w:rsidRPr="003511C0" w:rsidRDefault="00321EDA" w:rsidP="00DB493B">
            <w:pPr>
              <w:jc w:val="both"/>
              <w:rPr>
                <w:sz w:val="20"/>
                <w:szCs w:val="20"/>
              </w:rPr>
            </w:pPr>
          </w:p>
        </w:tc>
        <w:tc>
          <w:tcPr>
            <w:tcW w:w="1556" w:type="dxa"/>
          </w:tcPr>
          <w:p w:rsidR="00321EDA" w:rsidRPr="003511C0" w:rsidRDefault="00321EDA" w:rsidP="00DB493B">
            <w:pPr>
              <w:jc w:val="both"/>
              <w:rPr>
                <w:sz w:val="20"/>
                <w:szCs w:val="20"/>
              </w:rPr>
            </w:pPr>
            <w:r w:rsidRPr="003511C0">
              <w:rPr>
                <w:sz w:val="20"/>
                <w:szCs w:val="20"/>
              </w:rPr>
              <w:t>Медицинский физик</w:t>
            </w:r>
          </w:p>
        </w:tc>
        <w:tc>
          <w:tcPr>
            <w:tcW w:w="1418" w:type="dxa"/>
          </w:tcPr>
          <w:p w:rsidR="00321EDA" w:rsidRPr="003511C0" w:rsidRDefault="00321EDA" w:rsidP="00EF628C">
            <w:pPr>
              <w:jc w:val="center"/>
              <w:rPr>
                <w:sz w:val="20"/>
                <w:szCs w:val="20"/>
              </w:rPr>
            </w:pPr>
            <w:r w:rsidRPr="003511C0">
              <w:rPr>
                <w:sz w:val="20"/>
                <w:szCs w:val="20"/>
              </w:rPr>
              <w:t>0</w:t>
            </w:r>
          </w:p>
        </w:tc>
        <w:tc>
          <w:tcPr>
            <w:tcW w:w="1275" w:type="dxa"/>
          </w:tcPr>
          <w:p w:rsidR="00321EDA" w:rsidRPr="003511C0" w:rsidRDefault="00321EDA" w:rsidP="00EF628C">
            <w:pPr>
              <w:jc w:val="center"/>
              <w:rPr>
                <w:sz w:val="20"/>
                <w:szCs w:val="20"/>
              </w:rPr>
            </w:pPr>
          </w:p>
        </w:tc>
        <w:tc>
          <w:tcPr>
            <w:tcW w:w="2192" w:type="dxa"/>
          </w:tcPr>
          <w:p w:rsidR="00321EDA" w:rsidRPr="003511C0" w:rsidRDefault="00321EDA" w:rsidP="00DB493B">
            <w:pPr>
              <w:ind w:left="-28"/>
              <w:jc w:val="both"/>
              <w:rPr>
                <w:sz w:val="20"/>
                <w:szCs w:val="20"/>
              </w:rPr>
            </w:pPr>
          </w:p>
        </w:tc>
        <w:tc>
          <w:tcPr>
            <w:tcW w:w="1072" w:type="dxa"/>
          </w:tcPr>
          <w:p w:rsidR="00321EDA" w:rsidRPr="003511C0" w:rsidRDefault="00321EDA" w:rsidP="00EF628C">
            <w:pPr>
              <w:rPr>
                <w:sz w:val="20"/>
                <w:szCs w:val="20"/>
              </w:rPr>
            </w:pPr>
          </w:p>
        </w:tc>
      </w:tr>
      <w:tr w:rsidR="00321EDA" w:rsidRPr="009F7FC4" w:rsidTr="00DB493B">
        <w:tc>
          <w:tcPr>
            <w:tcW w:w="1555" w:type="dxa"/>
            <w:vMerge/>
          </w:tcPr>
          <w:p w:rsidR="00321EDA" w:rsidRPr="003511C0" w:rsidRDefault="00321EDA" w:rsidP="00612C8D">
            <w:pPr>
              <w:ind w:left="-45" w:right="-28"/>
              <w:jc w:val="both"/>
              <w:rPr>
                <w:sz w:val="20"/>
                <w:szCs w:val="20"/>
              </w:rPr>
            </w:pPr>
          </w:p>
        </w:tc>
        <w:tc>
          <w:tcPr>
            <w:tcW w:w="1134" w:type="dxa"/>
            <w:vMerge/>
          </w:tcPr>
          <w:p w:rsidR="00321EDA" w:rsidRPr="003511C0" w:rsidRDefault="00321EDA" w:rsidP="00DB493B">
            <w:pPr>
              <w:jc w:val="both"/>
              <w:rPr>
                <w:sz w:val="20"/>
                <w:szCs w:val="20"/>
              </w:rPr>
            </w:pPr>
          </w:p>
        </w:tc>
        <w:tc>
          <w:tcPr>
            <w:tcW w:w="1556" w:type="dxa"/>
          </w:tcPr>
          <w:p w:rsidR="00321EDA" w:rsidRDefault="00321EDA" w:rsidP="00DB493B">
            <w:pPr>
              <w:jc w:val="both"/>
              <w:rPr>
                <w:sz w:val="20"/>
                <w:szCs w:val="20"/>
              </w:rPr>
            </w:pPr>
            <w:r w:rsidRPr="003511C0">
              <w:rPr>
                <w:sz w:val="20"/>
                <w:szCs w:val="20"/>
              </w:rPr>
              <w:t>Инженер-</w:t>
            </w:r>
          </w:p>
          <w:p w:rsidR="00321EDA" w:rsidRPr="003511C0" w:rsidRDefault="00321EDA" w:rsidP="00DB493B">
            <w:pPr>
              <w:jc w:val="both"/>
              <w:rPr>
                <w:sz w:val="20"/>
                <w:szCs w:val="20"/>
              </w:rPr>
            </w:pPr>
            <w:r w:rsidRPr="003511C0">
              <w:rPr>
                <w:sz w:val="20"/>
                <w:szCs w:val="20"/>
              </w:rPr>
              <w:t>химик</w:t>
            </w:r>
          </w:p>
        </w:tc>
        <w:tc>
          <w:tcPr>
            <w:tcW w:w="1418" w:type="dxa"/>
          </w:tcPr>
          <w:p w:rsidR="00321EDA" w:rsidRPr="003511C0" w:rsidRDefault="00321EDA" w:rsidP="00EF628C">
            <w:pPr>
              <w:jc w:val="center"/>
              <w:rPr>
                <w:sz w:val="20"/>
                <w:szCs w:val="20"/>
              </w:rPr>
            </w:pPr>
            <w:r w:rsidRPr="003511C0">
              <w:rPr>
                <w:sz w:val="20"/>
                <w:szCs w:val="20"/>
              </w:rPr>
              <w:t>0</w:t>
            </w:r>
          </w:p>
        </w:tc>
        <w:tc>
          <w:tcPr>
            <w:tcW w:w="1275" w:type="dxa"/>
          </w:tcPr>
          <w:p w:rsidR="00321EDA" w:rsidRPr="003511C0" w:rsidRDefault="00321EDA" w:rsidP="00EF628C">
            <w:pPr>
              <w:jc w:val="center"/>
              <w:rPr>
                <w:sz w:val="20"/>
                <w:szCs w:val="20"/>
              </w:rPr>
            </w:pPr>
          </w:p>
        </w:tc>
        <w:tc>
          <w:tcPr>
            <w:tcW w:w="2192" w:type="dxa"/>
          </w:tcPr>
          <w:p w:rsidR="00321EDA" w:rsidRPr="003511C0" w:rsidRDefault="00321EDA" w:rsidP="00DB493B">
            <w:pPr>
              <w:ind w:left="-28"/>
              <w:jc w:val="both"/>
              <w:rPr>
                <w:sz w:val="20"/>
                <w:szCs w:val="20"/>
              </w:rPr>
            </w:pPr>
          </w:p>
        </w:tc>
        <w:tc>
          <w:tcPr>
            <w:tcW w:w="1072" w:type="dxa"/>
          </w:tcPr>
          <w:p w:rsidR="00321EDA" w:rsidRPr="003511C0" w:rsidRDefault="00321EDA" w:rsidP="00EF628C">
            <w:pPr>
              <w:rPr>
                <w:sz w:val="20"/>
                <w:szCs w:val="20"/>
              </w:rPr>
            </w:pPr>
          </w:p>
        </w:tc>
      </w:tr>
      <w:tr w:rsidR="00321EDA" w:rsidRPr="009F7FC4" w:rsidTr="00DB493B">
        <w:tc>
          <w:tcPr>
            <w:tcW w:w="1555" w:type="dxa"/>
            <w:vMerge/>
          </w:tcPr>
          <w:p w:rsidR="00321EDA" w:rsidRPr="003511C0" w:rsidRDefault="00321EDA" w:rsidP="00612C8D">
            <w:pPr>
              <w:ind w:left="-45" w:right="-28"/>
              <w:jc w:val="both"/>
              <w:rPr>
                <w:sz w:val="20"/>
                <w:szCs w:val="20"/>
              </w:rPr>
            </w:pPr>
          </w:p>
        </w:tc>
        <w:tc>
          <w:tcPr>
            <w:tcW w:w="1134" w:type="dxa"/>
            <w:vMerge/>
          </w:tcPr>
          <w:p w:rsidR="00321EDA" w:rsidRPr="003511C0" w:rsidRDefault="00321EDA" w:rsidP="00DB493B">
            <w:pPr>
              <w:jc w:val="both"/>
              <w:rPr>
                <w:sz w:val="20"/>
                <w:szCs w:val="20"/>
              </w:rPr>
            </w:pPr>
          </w:p>
        </w:tc>
        <w:tc>
          <w:tcPr>
            <w:tcW w:w="1556" w:type="dxa"/>
          </w:tcPr>
          <w:p w:rsidR="00321EDA" w:rsidRDefault="00321EDA" w:rsidP="00DB493B">
            <w:pPr>
              <w:jc w:val="both"/>
              <w:rPr>
                <w:sz w:val="20"/>
                <w:szCs w:val="20"/>
              </w:rPr>
            </w:pPr>
            <w:r w:rsidRPr="003511C0">
              <w:rPr>
                <w:sz w:val="20"/>
                <w:szCs w:val="20"/>
              </w:rPr>
              <w:t>Инженер-</w:t>
            </w:r>
          </w:p>
          <w:p w:rsidR="00321EDA" w:rsidRPr="003511C0" w:rsidRDefault="00321EDA" w:rsidP="00DB493B">
            <w:pPr>
              <w:jc w:val="both"/>
              <w:rPr>
                <w:sz w:val="20"/>
                <w:szCs w:val="20"/>
              </w:rPr>
            </w:pPr>
            <w:r w:rsidRPr="003511C0">
              <w:rPr>
                <w:sz w:val="20"/>
                <w:szCs w:val="20"/>
              </w:rPr>
              <w:t>техник</w:t>
            </w:r>
          </w:p>
        </w:tc>
        <w:tc>
          <w:tcPr>
            <w:tcW w:w="1418" w:type="dxa"/>
          </w:tcPr>
          <w:p w:rsidR="00321EDA" w:rsidRPr="003511C0" w:rsidRDefault="00321EDA" w:rsidP="00EF628C">
            <w:pPr>
              <w:jc w:val="center"/>
              <w:rPr>
                <w:sz w:val="20"/>
                <w:szCs w:val="20"/>
              </w:rPr>
            </w:pPr>
            <w:r w:rsidRPr="003511C0">
              <w:rPr>
                <w:sz w:val="20"/>
                <w:szCs w:val="20"/>
              </w:rPr>
              <w:t>0</w:t>
            </w:r>
          </w:p>
        </w:tc>
        <w:tc>
          <w:tcPr>
            <w:tcW w:w="1275" w:type="dxa"/>
          </w:tcPr>
          <w:p w:rsidR="00321EDA" w:rsidRPr="003511C0" w:rsidRDefault="00321EDA" w:rsidP="00EF628C">
            <w:pPr>
              <w:jc w:val="center"/>
              <w:rPr>
                <w:sz w:val="20"/>
                <w:szCs w:val="20"/>
              </w:rPr>
            </w:pPr>
          </w:p>
        </w:tc>
        <w:tc>
          <w:tcPr>
            <w:tcW w:w="2192" w:type="dxa"/>
          </w:tcPr>
          <w:p w:rsidR="00321EDA" w:rsidRPr="003511C0" w:rsidRDefault="00321EDA" w:rsidP="00DB493B">
            <w:pPr>
              <w:ind w:left="-28"/>
              <w:jc w:val="both"/>
              <w:rPr>
                <w:sz w:val="20"/>
                <w:szCs w:val="20"/>
              </w:rPr>
            </w:pPr>
          </w:p>
        </w:tc>
        <w:tc>
          <w:tcPr>
            <w:tcW w:w="1072" w:type="dxa"/>
          </w:tcPr>
          <w:p w:rsidR="00321EDA" w:rsidRPr="003511C0" w:rsidRDefault="00321EDA" w:rsidP="00EF628C">
            <w:pPr>
              <w:rPr>
                <w:sz w:val="20"/>
                <w:szCs w:val="20"/>
              </w:rPr>
            </w:pPr>
          </w:p>
        </w:tc>
      </w:tr>
      <w:tr w:rsidR="00321EDA" w:rsidRPr="009F7FC4" w:rsidTr="00DB493B">
        <w:tc>
          <w:tcPr>
            <w:tcW w:w="1555" w:type="dxa"/>
            <w:vMerge/>
          </w:tcPr>
          <w:p w:rsidR="00321EDA" w:rsidRPr="003511C0" w:rsidRDefault="00321EDA" w:rsidP="00612C8D">
            <w:pPr>
              <w:ind w:left="-45" w:right="-28"/>
              <w:jc w:val="both"/>
              <w:rPr>
                <w:sz w:val="20"/>
                <w:szCs w:val="20"/>
              </w:rPr>
            </w:pPr>
          </w:p>
        </w:tc>
        <w:tc>
          <w:tcPr>
            <w:tcW w:w="1134" w:type="dxa"/>
            <w:vMerge/>
          </w:tcPr>
          <w:p w:rsidR="00321EDA" w:rsidRPr="003511C0" w:rsidRDefault="00321EDA" w:rsidP="00DB493B">
            <w:pPr>
              <w:jc w:val="both"/>
              <w:rPr>
                <w:sz w:val="20"/>
                <w:szCs w:val="20"/>
              </w:rPr>
            </w:pPr>
          </w:p>
        </w:tc>
        <w:tc>
          <w:tcPr>
            <w:tcW w:w="1556" w:type="dxa"/>
          </w:tcPr>
          <w:p w:rsidR="00321EDA" w:rsidRDefault="00321EDA" w:rsidP="00DB493B">
            <w:pPr>
              <w:jc w:val="both"/>
              <w:rPr>
                <w:sz w:val="20"/>
                <w:szCs w:val="20"/>
              </w:rPr>
            </w:pPr>
            <w:r w:rsidRPr="003511C0">
              <w:rPr>
                <w:sz w:val="20"/>
                <w:szCs w:val="20"/>
              </w:rPr>
              <w:t>Техник-</w:t>
            </w:r>
          </w:p>
          <w:p w:rsidR="00321EDA" w:rsidRPr="003511C0" w:rsidRDefault="00321EDA" w:rsidP="00DB493B">
            <w:pPr>
              <w:jc w:val="both"/>
              <w:rPr>
                <w:sz w:val="20"/>
                <w:szCs w:val="20"/>
              </w:rPr>
            </w:pPr>
            <w:r w:rsidRPr="003511C0">
              <w:rPr>
                <w:sz w:val="20"/>
                <w:szCs w:val="20"/>
              </w:rPr>
              <w:t>дозиметрист</w:t>
            </w:r>
          </w:p>
        </w:tc>
        <w:tc>
          <w:tcPr>
            <w:tcW w:w="1418" w:type="dxa"/>
          </w:tcPr>
          <w:p w:rsidR="00321EDA" w:rsidRPr="003511C0" w:rsidRDefault="00321EDA" w:rsidP="00EF628C">
            <w:pPr>
              <w:jc w:val="center"/>
              <w:rPr>
                <w:sz w:val="20"/>
                <w:szCs w:val="20"/>
              </w:rPr>
            </w:pPr>
            <w:r w:rsidRPr="003511C0">
              <w:rPr>
                <w:sz w:val="20"/>
                <w:szCs w:val="20"/>
              </w:rPr>
              <w:t>0</w:t>
            </w:r>
          </w:p>
        </w:tc>
        <w:tc>
          <w:tcPr>
            <w:tcW w:w="1275" w:type="dxa"/>
          </w:tcPr>
          <w:p w:rsidR="00321EDA" w:rsidRPr="003511C0" w:rsidRDefault="00321EDA" w:rsidP="00EF628C">
            <w:pPr>
              <w:jc w:val="center"/>
              <w:rPr>
                <w:sz w:val="20"/>
                <w:szCs w:val="20"/>
              </w:rPr>
            </w:pPr>
          </w:p>
        </w:tc>
        <w:tc>
          <w:tcPr>
            <w:tcW w:w="2192" w:type="dxa"/>
          </w:tcPr>
          <w:p w:rsidR="00321EDA" w:rsidRPr="003511C0" w:rsidRDefault="00321EDA" w:rsidP="00DB493B">
            <w:pPr>
              <w:ind w:left="-28"/>
              <w:jc w:val="both"/>
              <w:rPr>
                <w:sz w:val="20"/>
                <w:szCs w:val="20"/>
              </w:rPr>
            </w:pPr>
          </w:p>
        </w:tc>
        <w:tc>
          <w:tcPr>
            <w:tcW w:w="1072" w:type="dxa"/>
          </w:tcPr>
          <w:p w:rsidR="00321EDA" w:rsidRPr="003511C0" w:rsidRDefault="00321EDA" w:rsidP="00EF628C">
            <w:pPr>
              <w:rPr>
                <w:sz w:val="20"/>
                <w:szCs w:val="20"/>
              </w:rPr>
            </w:pPr>
          </w:p>
        </w:tc>
      </w:tr>
      <w:tr w:rsidR="00321EDA" w:rsidRPr="009F7FC4" w:rsidTr="00DB493B">
        <w:tc>
          <w:tcPr>
            <w:tcW w:w="1555" w:type="dxa"/>
            <w:vMerge w:val="restart"/>
          </w:tcPr>
          <w:p w:rsidR="00321EDA" w:rsidRPr="003511C0" w:rsidRDefault="00321EDA" w:rsidP="00612C8D">
            <w:pPr>
              <w:ind w:left="-45" w:right="-28"/>
              <w:jc w:val="both"/>
              <w:rPr>
                <w:sz w:val="20"/>
                <w:szCs w:val="20"/>
              </w:rPr>
            </w:pPr>
            <w:r w:rsidRPr="003511C0">
              <w:rPr>
                <w:sz w:val="20"/>
                <w:szCs w:val="20"/>
              </w:rPr>
              <w:t>ГАУЗ</w:t>
            </w:r>
            <w:r>
              <w:rPr>
                <w:sz w:val="20"/>
                <w:szCs w:val="20"/>
              </w:rPr>
              <w:t xml:space="preserve"> </w:t>
            </w:r>
            <w:r w:rsidRPr="003511C0">
              <w:rPr>
                <w:sz w:val="20"/>
                <w:szCs w:val="20"/>
              </w:rPr>
              <w:t>Р</w:t>
            </w:r>
            <w:r>
              <w:rPr>
                <w:sz w:val="20"/>
                <w:szCs w:val="20"/>
              </w:rPr>
              <w:t xml:space="preserve">еспублики </w:t>
            </w:r>
            <w:r w:rsidRPr="003511C0">
              <w:rPr>
                <w:sz w:val="20"/>
                <w:szCs w:val="20"/>
              </w:rPr>
              <w:t>Т</w:t>
            </w:r>
            <w:r>
              <w:rPr>
                <w:sz w:val="20"/>
                <w:szCs w:val="20"/>
              </w:rPr>
              <w:t>атарстан</w:t>
            </w:r>
            <w:r w:rsidRPr="003511C0">
              <w:rPr>
                <w:sz w:val="20"/>
                <w:szCs w:val="20"/>
              </w:rPr>
              <w:t xml:space="preserve"> </w:t>
            </w:r>
          </w:p>
          <w:p w:rsidR="00321EDA" w:rsidRPr="003511C0" w:rsidRDefault="00321EDA" w:rsidP="005126B4">
            <w:pPr>
              <w:ind w:left="-45" w:right="-28"/>
              <w:jc w:val="both"/>
              <w:rPr>
                <w:sz w:val="20"/>
                <w:szCs w:val="20"/>
              </w:rPr>
            </w:pPr>
            <w:r w:rsidRPr="003511C0">
              <w:rPr>
                <w:sz w:val="20"/>
                <w:szCs w:val="20"/>
              </w:rPr>
              <w:t>«Б</w:t>
            </w:r>
            <w:r>
              <w:rPr>
                <w:sz w:val="20"/>
                <w:szCs w:val="20"/>
              </w:rPr>
              <w:t>ольница скорой медицинской помощи</w:t>
            </w:r>
            <w:r w:rsidR="005126B4">
              <w:rPr>
                <w:sz w:val="20"/>
                <w:szCs w:val="20"/>
              </w:rPr>
              <w:t xml:space="preserve"> </w:t>
            </w:r>
            <w:r w:rsidR="005126B4">
              <w:rPr>
                <w:rFonts w:eastAsia="Calibri"/>
                <w:sz w:val="20"/>
                <w:szCs w:val="20"/>
              </w:rPr>
              <w:t>им. Р.С.Акчурина»</w:t>
            </w:r>
            <w:r>
              <w:rPr>
                <w:sz w:val="20"/>
                <w:szCs w:val="20"/>
              </w:rPr>
              <w:t xml:space="preserve"> г.</w:t>
            </w:r>
            <w:r w:rsidRPr="003511C0">
              <w:rPr>
                <w:sz w:val="20"/>
                <w:szCs w:val="20"/>
              </w:rPr>
              <w:t>Набережные Челны</w:t>
            </w:r>
          </w:p>
        </w:tc>
        <w:tc>
          <w:tcPr>
            <w:tcW w:w="1134" w:type="dxa"/>
            <w:vMerge w:val="restart"/>
          </w:tcPr>
          <w:p w:rsidR="00321EDA" w:rsidRPr="003511C0" w:rsidRDefault="00321EDA" w:rsidP="00DB493B">
            <w:pPr>
              <w:jc w:val="both"/>
              <w:rPr>
                <w:sz w:val="20"/>
                <w:szCs w:val="20"/>
              </w:rPr>
            </w:pPr>
            <w:r w:rsidRPr="003511C0">
              <w:rPr>
                <w:sz w:val="20"/>
                <w:szCs w:val="20"/>
              </w:rPr>
              <w:t>Отделение радионуклидной диагностики</w:t>
            </w:r>
          </w:p>
        </w:tc>
        <w:tc>
          <w:tcPr>
            <w:tcW w:w="1556" w:type="dxa"/>
          </w:tcPr>
          <w:p w:rsidR="00321EDA" w:rsidRPr="003511C0" w:rsidRDefault="00321EDA" w:rsidP="00DB493B">
            <w:pPr>
              <w:jc w:val="both"/>
              <w:rPr>
                <w:sz w:val="20"/>
                <w:szCs w:val="20"/>
              </w:rPr>
            </w:pPr>
            <w:r w:rsidRPr="003511C0">
              <w:rPr>
                <w:sz w:val="20"/>
                <w:szCs w:val="20"/>
              </w:rPr>
              <w:t>Врач-радиолог</w:t>
            </w:r>
          </w:p>
        </w:tc>
        <w:tc>
          <w:tcPr>
            <w:tcW w:w="1418" w:type="dxa"/>
          </w:tcPr>
          <w:p w:rsidR="00321EDA" w:rsidRPr="003511C0" w:rsidRDefault="00321EDA" w:rsidP="00EF628C">
            <w:pPr>
              <w:jc w:val="center"/>
              <w:rPr>
                <w:sz w:val="20"/>
                <w:szCs w:val="20"/>
              </w:rPr>
            </w:pPr>
            <w:r w:rsidRPr="003511C0">
              <w:rPr>
                <w:sz w:val="20"/>
                <w:szCs w:val="20"/>
              </w:rPr>
              <w:t>2</w:t>
            </w:r>
          </w:p>
        </w:tc>
        <w:tc>
          <w:tcPr>
            <w:tcW w:w="1275" w:type="dxa"/>
          </w:tcPr>
          <w:p w:rsidR="00321EDA" w:rsidRPr="003511C0" w:rsidRDefault="00321EDA" w:rsidP="00EF628C">
            <w:pPr>
              <w:jc w:val="center"/>
              <w:rPr>
                <w:sz w:val="20"/>
                <w:szCs w:val="20"/>
              </w:rPr>
            </w:pPr>
            <w:r w:rsidRPr="003511C0">
              <w:rPr>
                <w:sz w:val="20"/>
                <w:szCs w:val="20"/>
              </w:rPr>
              <w:t>2</w:t>
            </w:r>
          </w:p>
        </w:tc>
        <w:tc>
          <w:tcPr>
            <w:tcW w:w="2192" w:type="dxa"/>
          </w:tcPr>
          <w:p w:rsidR="00321EDA" w:rsidRPr="003511C0" w:rsidRDefault="00321EDA" w:rsidP="00DB493B">
            <w:pPr>
              <w:autoSpaceDE/>
              <w:autoSpaceDN/>
              <w:adjustRightInd/>
              <w:ind w:left="-28"/>
              <w:jc w:val="both"/>
              <w:rPr>
                <w:sz w:val="20"/>
                <w:szCs w:val="20"/>
              </w:rPr>
            </w:pPr>
            <w:r w:rsidRPr="003511C0">
              <w:rPr>
                <w:color w:val="000000"/>
                <w:sz w:val="20"/>
                <w:szCs w:val="20"/>
              </w:rPr>
              <w:t xml:space="preserve">Система однофотонной эмиссионной томографии (ОФЭКТ) </w:t>
            </w:r>
            <w:r w:rsidRPr="003511C0">
              <w:rPr>
                <w:color w:val="333333"/>
                <w:spacing w:val="-2"/>
                <w:sz w:val="20"/>
                <w:szCs w:val="20"/>
                <w:shd w:val="clear" w:color="auto" w:fill="FFFFFF"/>
              </w:rPr>
              <w:t xml:space="preserve">Symbia </w:t>
            </w:r>
            <w:r w:rsidRPr="003511C0">
              <w:rPr>
                <w:color w:val="333333"/>
                <w:spacing w:val="-2"/>
                <w:sz w:val="20"/>
                <w:szCs w:val="20"/>
                <w:shd w:val="clear" w:color="auto" w:fill="FFFFFF"/>
                <w:lang w:val="en-US"/>
              </w:rPr>
              <w:t>E</w:t>
            </w:r>
            <w:r w:rsidRPr="003511C0">
              <w:rPr>
                <w:color w:val="333333"/>
                <w:spacing w:val="-2"/>
                <w:sz w:val="20"/>
                <w:szCs w:val="20"/>
                <w:shd w:val="clear" w:color="auto" w:fill="FFFFFF"/>
              </w:rPr>
              <w:t>, производитель Сименс</w:t>
            </w:r>
          </w:p>
        </w:tc>
        <w:tc>
          <w:tcPr>
            <w:tcW w:w="1072" w:type="dxa"/>
          </w:tcPr>
          <w:p w:rsidR="00321EDA" w:rsidRPr="003511C0" w:rsidRDefault="00321EDA" w:rsidP="00EF628C">
            <w:pPr>
              <w:rPr>
                <w:sz w:val="20"/>
                <w:szCs w:val="20"/>
              </w:rPr>
            </w:pPr>
            <w:r w:rsidRPr="003511C0">
              <w:rPr>
                <w:sz w:val="20"/>
                <w:szCs w:val="20"/>
              </w:rPr>
              <w:t>2011</w:t>
            </w:r>
          </w:p>
        </w:tc>
      </w:tr>
      <w:tr w:rsidR="00321EDA" w:rsidRPr="009F7FC4" w:rsidTr="00DB493B">
        <w:tc>
          <w:tcPr>
            <w:tcW w:w="1555" w:type="dxa"/>
            <w:vMerge/>
          </w:tcPr>
          <w:p w:rsidR="00321EDA" w:rsidRPr="003511C0" w:rsidRDefault="00321EDA" w:rsidP="00EF628C">
            <w:pPr>
              <w:rPr>
                <w:sz w:val="20"/>
                <w:szCs w:val="20"/>
              </w:rPr>
            </w:pPr>
          </w:p>
        </w:tc>
        <w:tc>
          <w:tcPr>
            <w:tcW w:w="1134" w:type="dxa"/>
            <w:vMerge/>
          </w:tcPr>
          <w:p w:rsidR="00321EDA" w:rsidRPr="003511C0" w:rsidRDefault="00321EDA" w:rsidP="00DB493B">
            <w:pPr>
              <w:jc w:val="both"/>
              <w:rPr>
                <w:sz w:val="20"/>
                <w:szCs w:val="20"/>
              </w:rPr>
            </w:pPr>
          </w:p>
        </w:tc>
        <w:tc>
          <w:tcPr>
            <w:tcW w:w="1556" w:type="dxa"/>
          </w:tcPr>
          <w:p w:rsidR="00321EDA" w:rsidRPr="003511C0" w:rsidRDefault="00321EDA" w:rsidP="00DB493B">
            <w:pPr>
              <w:jc w:val="both"/>
              <w:rPr>
                <w:sz w:val="20"/>
                <w:szCs w:val="20"/>
              </w:rPr>
            </w:pPr>
            <w:r w:rsidRPr="003511C0">
              <w:rPr>
                <w:sz w:val="20"/>
                <w:szCs w:val="20"/>
              </w:rPr>
              <w:t>Врач-рентгенолог</w:t>
            </w:r>
          </w:p>
        </w:tc>
        <w:tc>
          <w:tcPr>
            <w:tcW w:w="1418" w:type="dxa"/>
          </w:tcPr>
          <w:p w:rsidR="00321EDA" w:rsidRPr="003511C0" w:rsidRDefault="00321EDA" w:rsidP="00EF628C">
            <w:pPr>
              <w:jc w:val="center"/>
              <w:rPr>
                <w:sz w:val="20"/>
                <w:szCs w:val="20"/>
              </w:rPr>
            </w:pPr>
            <w:r w:rsidRPr="003511C0">
              <w:rPr>
                <w:sz w:val="20"/>
                <w:szCs w:val="20"/>
              </w:rPr>
              <w:t>0</w:t>
            </w:r>
          </w:p>
        </w:tc>
        <w:tc>
          <w:tcPr>
            <w:tcW w:w="1275" w:type="dxa"/>
          </w:tcPr>
          <w:p w:rsidR="00321EDA" w:rsidRPr="003511C0" w:rsidRDefault="00321EDA" w:rsidP="00EF628C">
            <w:pPr>
              <w:jc w:val="center"/>
              <w:rPr>
                <w:sz w:val="20"/>
                <w:szCs w:val="20"/>
              </w:rPr>
            </w:pPr>
            <w:r w:rsidRPr="003511C0">
              <w:rPr>
                <w:sz w:val="20"/>
                <w:szCs w:val="20"/>
              </w:rPr>
              <w:t>0</w:t>
            </w:r>
          </w:p>
        </w:tc>
        <w:tc>
          <w:tcPr>
            <w:tcW w:w="2192" w:type="dxa"/>
          </w:tcPr>
          <w:p w:rsidR="00321EDA" w:rsidRPr="003511C0" w:rsidRDefault="00321EDA" w:rsidP="00DB493B">
            <w:pPr>
              <w:ind w:left="-28"/>
              <w:jc w:val="both"/>
              <w:rPr>
                <w:sz w:val="20"/>
                <w:szCs w:val="20"/>
              </w:rPr>
            </w:pPr>
          </w:p>
        </w:tc>
        <w:tc>
          <w:tcPr>
            <w:tcW w:w="1072" w:type="dxa"/>
          </w:tcPr>
          <w:p w:rsidR="00321EDA" w:rsidRPr="003511C0" w:rsidRDefault="00321EDA" w:rsidP="00EF628C">
            <w:pPr>
              <w:rPr>
                <w:sz w:val="20"/>
                <w:szCs w:val="20"/>
              </w:rPr>
            </w:pPr>
          </w:p>
        </w:tc>
      </w:tr>
      <w:tr w:rsidR="00321EDA" w:rsidRPr="009F7FC4" w:rsidTr="00DB493B">
        <w:tc>
          <w:tcPr>
            <w:tcW w:w="1555" w:type="dxa"/>
            <w:vMerge/>
          </w:tcPr>
          <w:p w:rsidR="00321EDA" w:rsidRPr="003511C0" w:rsidRDefault="00321EDA" w:rsidP="00EF628C">
            <w:pPr>
              <w:rPr>
                <w:sz w:val="20"/>
                <w:szCs w:val="20"/>
              </w:rPr>
            </w:pPr>
          </w:p>
        </w:tc>
        <w:tc>
          <w:tcPr>
            <w:tcW w:w="1134" w:type="dxa"/>
            <w:vMerge/>
          </w:tcPr>
          <w:p w:rsidR="00321EDA" w:rsidRPr="003511C0" w:rsidRDefault="00321EDA" w:rsidP="00DB493B">
            <w:pPr>
              <w:jc w:val="both"/>
              <w:rPr>
                <w:sz w:val="20"/>
                <w:szCs w:val="20"/>
              </w:rPr>
            </w:pPr>
          </w:p>
        </w:tc>
        <w:tc>
          <w:tcPr>
            <w:tcW w:w="1556" w:type="dxa"/>
          </w:tcPr>
          <w:p w:rsidR="00321EDA" w:rsidRPr="003511C0" w:rsidRDefault="00321EDA" w:rsidP="00DB493B">
            <w:pPr>
              <w:jc w:val="both"/>
              <w:rPr>
                <w:sz w:val="20"/>
                <w:szCs w:val="20"/>
              </w:rPr>
            </w:pPr>
            <w:r w:rsidRPr="003511C0">
              <w:rPr>
                <w:sz w:val="20"/>
                <w:szCs w:val="20"/>
              </w:rPr>
              <w:t xml:space="preserve">Рентгенлаборант </w:t>
            </w:r>
          </w:p>
        </w:tc>
        <w:tc>
          <w:tcPr>
            <w:tcW w:w="1418" w:type="dxa"/>
          </w:tcPr>
          <w:p w:rsidR="00321EDA" w:rsidRPr="003511C0" w:rsidRDefault="00321EDA" w:rsidP="00EF628C">
            <w:pPr>
              <w:jc w:val="center"/>
              <w:rPr>
                <w:sz w:val="20"/>
                <w:szCs w:val="20"/>
              </w:rPr>
            </w:pPr>
            <w:r w:rsidRPr="003511C0">
              <w:rPr>
                <w:sz w:val="20"/>
                <w:szCs w:val="20"/>
              </w:rPr>
              <w:t>1</w:t>
            </w:r>
          </w:p>
        </w:tc>
        <w:tc>
          <w:tcPr>
            <w:tcW w:w="1275" w:type="dxa"/>
          </w:tcPr>
          <w:p w:rsidR="00321EDA" w:rsidRPr="003511C0" w:rsidRDefault="00321EDA" w:rsidP="00EF628C">
            <w:pPr>
              <w:jc w:val="center"/>
              <w:rPr>
                <w:sz w:val="20"/>
                <w:szCs w:val="20"/>
              </w:rPr>
            </w:pPr>
            <w:r w:rsidRPr="003511C0">
              <w:rPr>
                <w:sz w:val="20"/>
                <w:szCs w:val="20"/>
              </w:rPr>
              <w:t>1</w:t>
            </w:r>
          </w:p>
        </w:tc>
        <w:tc>
          <w:tcPr>
            <w:tcW w:w="2192" w:type="dxa"/>
          </w:tcPr>
          <w:p w:rsidR="00321EDA" w:rsidRPr="003511C0" w:rsidRDefault="00321EDA" w:rsidP="00DB493B">
            <w:pPr>
              <w:ind w:left="-28"/>
              <w:jc w:val="both"/>
              <w:rPr>
                <w:sz w:val="20"/>
                <w:szCs w:val="20"/>
              </w:rPr>
            </w:pPr>
          </w:p>
        </w:tc>
        <w:tc>
          <w:tcPr>
            <w:tcW w:w="1072" w:type="dxa"/>
          </w:tcPr>
          <w:p w:rsidR="00321EDA" w:rsidRPr="003511C0" w:rsidRDefault="00321EDA" w:rsidP="00EF628C">
            <w:pPr>
              <w:rPr>
                <w:sz w:val="20"/>
                <w:szCs w:val="20"/>
              </w:rPr>
            </w:pPr>
          </w:p>
        </w:tc>
      </w:tr>
      <w:tr w:rsidR="00321EDA" w:rsidRPr="009F7FC4" w:rsidTr="00DB493B">
        <w:tc>
          <w:tcPr>
            <w:tcW w:w="1555" w:type="dxa"/>
            <w:vMerge/>
          </w:tcPr>
          <w:p w:rsidR="00321EDA" w:rsidRPr="003511C0" w:rsidRDefault="00321EDA" w:rsidP="00EF628C">
            <w:pPr>
              <w:rPr>
                <w:sz w:val="20"/>
                <w:szCs w:val="20"/>
              </w:rPr>
            </w:pPr>
          </w:p>
        </w:tc>
        <w:tc>
          <w:tcPr>
            <w:tcW w:w="1134" w:type="dxa"/>
            <w:vMerge/>
          </w:tcPr>
          <w:p w:rsidR="00321EDA" w:rsidRPr="003511C0" w:rsidRDefault="00321EDA" w:rsidP="00DB493B">
            <w:pPr>
              <w:jc w:val="both"/>
              <w:rPr>
                <w:sz w:val="20"/>
                <w:szCs w:val="20"/>
              </w:rPr>
            </w:pPr>
          </w:p>
        </w:tc>
        <w:tc>
          <w:tcPr>
            <w:tcW w:w="1556" w:type="dxa"/>
          </w:tcPr>
          <w:p w:rsidR="00321EDA" w:rsidRPr="003511C0" w:rsidRDefault="00321EDA" w:rsidP="00552F8C">
            <w:pPr>
              <w:jc w:val="both"/>
              <w:rPr>
                <w:sz w:val="20"/>
                <w:szCs w:val="20"/>
              </w:rPr>
            </w:pPr>
            <w:r w:rsidRPr="003511C0">
              <w:rPr>
                <w:sz w:val="20"/>
                <w:szCs w:val="20"/>
              </w:rPr>
              <w:t>Медсестра процедурн</w:t>
            </w:r>
            <w:r w:rsidR="00552F8C">
              <w:rPr>
                <w:sz w:val="20"/>
                <w:szCs w:val="20"/>
              </w:rPr>
              <w:t>ая</w:t>
            </w:r>
          </w:p>
        </w:tc>
        <w:tc>
          <w:tcPr>
            <w:tcW w:w="1418" w:type="dxa"/>
          </w:tcPr>
          <w:p w:rsidR="00321EDA" w:rsidRPr="003511C0" w:rsidRDefault="00321EDA" w:rsidP="00EF628C">
            <w:pPr>
              <w:jc w:val="center"/>
              <w:rPr>
                <w:sz w:val="20"/>
                <w:szCs w:val="20"/>
              </w:rPr>
            </w:pPr>
            <w:r w:rsidRPr="003511C0">
              <w:rPr>
                <w:sz w:val="20"/>
                <w:szCs w:val="20"/>
              </w:rPr>
              <w:t>3</w:t>
            </w:r>
          </w:p>
        </w:tc>
        <w:tc>
          <w:tcPr>
            <w:tcW w:w="1275" w:type="dxa"/>
          </w:tcPr>
          <w:p w:rsidR="00321EDA" w:rsidRPr="003511C0" w:rsidRDefault="00321EDA" w:rsidP="00EF628C">
            <w:pPr>
              <w:jc w:val="center"/>
              <w:rPr>
                <w:sz w:val="20"/>
                <w:szCs w:val="20"/>
              </w:rPr>
            </w:pPr>
            <w:r w:rsidRPr="003511C0">
              <w:rPr>
                <w:sz w:val="20"/>
                <w:szCs w:val="20"/>
              </w:rPr>
              <w:t>2</w:t>
            </w:r>
          </w:p>
        </w:tc>
        <w:tc>
          <w:tcPr>
            <w:tcW w:w="2192" w:type="dxa"/>
          </w:tcPr>
          <w:p w:rsidR="00321EDA" w:rsidRPr="003511C0" w:rsidRDefault="00321EDA" w:rsidP="00DB493B">
            <w:pPr>
              <w:ind w:left="-28"/>
              <w:jc w:val="both"/>
              <w:rPr>
                <w:sz w:val="20"/>
                <w:szCs w:val="20"/>
              </w:rPr>
            </w:pPr>
          </w:p>
        </w:tc>
        <w:tc>
          <w:tcPr>
            <w:tcW w:w="1072" w:type="dxa"/>
          </w:tcPr>
          <w:p w:rsidR="00321EDA" w:rsidRPr="003511C0" w:rsidRDefault="00321EDA" w:rsidP="00EF628C">
            <w:pPr>
              <w:rPr>
                <w:sz w:val="20"/>
                <w:szCs w:val="20"/>
              </w:rPr>
            </w:pPr>
          </w:p>
        </w:tc>
      </w:tr>
      <w:tr w:rsidR="00321EDA" w:rsidRPr="009F7FC4" w:rsidTr="00DB493B">
        <w:tc>
          <w:tcPr>
            <w:tcW w:w="1555" w:type="dxa"/>
            <w:vMerge/>
          </w:tcPr>
          <w:p w:rsidR="00321EDA" w:rsidRPr="003511C0" w:rsidRDefault="00321EDA" w:rsidP="00EF628C">
            <w:pPr>
              <w:rPr>
                <w:sz w:val="20"/>
                <w:szCs w:val="20"/>
              </w:rPr>
            </w:pPr>
          </w:p>
        </w:tc>
        <w:tc>
          <w:tcPr>
            <w:tcW w:w="1134" w:type="dxa"/>
            <w:vMerge/>
          </w:tcPr>
          <w:p w:rsidR="00321EDA" w:rsidRPr="003511C0" w:rsidRDefault="00321EDA" w:rsidP="00DB493B">
            <w:pPr>
              <w:jc w:val="both"/>
              <w:rPr>
                <w:sz w:val="20"/>
                <w:szCs w:val="20"/>
              </w:rPr>
            </w:pPr>
          </w:p>
        </w:tc>
        <w:tc>
          <w:tcPr>
            <w:tcW w:w="1556" w:type="dxa"/>
          </w:tcPr>
          <w:p w:rsidR="00321EDA" w:rsidRPr="003511C0" w:rsidRDefault="00321EDA" w:rsidP="00DB493B">
            <w:pPr>
              <w:jc w:val="both"/>
              <w:rPr>
                <w:sz w:val="20"/>
                <w:szCs w:val="20"/>
              </w:rPr>
            </w:pPr>
            <w:r w:rsidRPr="003511C0">
              <w:rPr>
                <w:sz w:val="20"/>
                <w:szCs w:val="20"/>
              </w:rPr>
              <w:t>Медицинский физик</w:t>
            </w:r>
          </w:p>
        </w:tc>
        <w:tc>
          <w:tcPr>
            <w:tcW w:w="1418" w:type="dxa"/>
          </w:tcPr>
          <w:p w:rsidR="00321EDA" w:rsidRPr="003511C0" w:rsidRDefault="00321EDA" w:rsidP="00EF628C">
            <w:pPr>
              <w:jc w:val="center"/>
              <w:rPr>
                <w:sz w:val="20"/>
                <w:szCs w:val="20"/>
              </w:rPr>
            </w:pPr>
            <w:r w:rsidRPr="003511C0">
              <w:rPr>
                <w:sz w:val="20"/>
                <w:szCs w:val="20"/>
              </w:rPr>
              <w:t>0</w:t>
            </w:r>
          </w:p>
        </w:tc>
        <w:tc>
          <w:tcPr>
            <w:tcW w:w="1275" w:type="dxa"/>
          </w:tcPr>
          <w:p w:rsidR="00321EDA" w:rsidRPr="003511C0" w:rsidRDefault="00321EDA" w:rsidP="00EF628C">
            <w:pPr>
              <w:jc w:val="center"/>
              <w:rPr>
                <w:sz w:val="20"/>
                <w:szCs w:val="20"/>
              </w:rPr>
            </w:pPr>
          </w:p>
        </w:tc>
        <w:tc>
          <w:tcPr>
            <w:tcW w:w="2192" w:type="dxa"/>
          </w:tcPr>
          <w:p w:rsidR="00321EDA" w:rsidRPr="003511C0" w:rsidRDefault="00321EDA" w:rsidP="00DB493B">
            <w:pPr>
              <w:ind w:left="-28"/>
              <w:jc w:val="both"/>
              <w:rPr>
                <w:sz w:val="20"/>
                <w:szCs w:val="20"/>
              </w:rPr>
            </w:pPr>
          </w:p>
        </w:tc>
        <w:tc>
          <w:tcPr>
            <w:tcW w:w="1072" w:type="dxa"/>
          </w:tcPr>
          <w:p w:rsidR="00321EDA" w:rsidRPr="003511C0" w:rsidRDefault="00321EDA" w:rsidP="00EF628C">
            <w:pPr>
              <w:rPr>
                <w:sz w:val="20"/>
                <w:szCs w:val="20"/>
              </w:rPr>
            </w:pPr>
          </w:p>
        </w:tc>
      </w:tr>
      <w:tr w:rsidR="00321EDA" w:rsidRPr="009F7FC4" w:rsidTr="00DB493B">
        <w:tc>
          <w:tcPr>
            <w:tcW w:w="1555" w:type="dxa"/>
            <w:vMerge/>
          </w:tcPr>
          <w:p w:rsidR="00321EDA" w:rsidRPr="003511C0" w:rsidRDefault="00321EDA" w:rsidP="00EF628C">
            <w:pPr>
              <w:rPr>
                <w:sz w:val="20"/>
                <w:szCs w:val="20"/>
              </w:rPr>
            </w:pPr>
          </w:p>
        </w:tc>
        <w:tc>
          <w:tcPr>
            <w:tcW w:w="1134" w:type="dxa"/>
            <w:vMerge/>
          </w:tcPr>
          <w:p w:rsidR="00321EDA" w:rsidRPr="003511C0" w:rsidRDefault="00321EDA" w:rsidP="00DB493B">
            <w:pPr>
              <w:jc w:val="both"/>
              <w:rPr>
                <w:sz w:val="20"/>
                <w:szCs w:val="20"/>
              </w:rPr>
            </w:pPr>
          </w:p>
        </w:tc>
        <w:tc>
          <w:tcPr>
            <w:tcW w:w="1556" w:type="dxa"/>
          </w:tcPr>
          <w:p w:rsidR="00321EDA" w:rsidRDefault="00321EDA" w:rsidP="00DB493B">
            <w:pPr>
              <w:jc w:val="both"/>
              <w:rPr>
                <w:sz w:val="20"/>
                <w:szCs w:val="20"/>
              </w:rPr>
            </w:pPr>
            <w:r w:rsidRPr="003511C0">
              <w:rPr>
                <w:sz w:val="20"/>
                <w:szCs w:val="20"/>
              </w:rPr>
              <w:t>Инженер-</w:t>
            </w:r>
          </w:p>
          <w:p w:rsidR="00321EDA" w:rsidRPr="003511C0" w:rsidRDefault="00321EDA" w:rsidP="00DB493B">
            <w:pPr>
              <w:jc w:val="both"/>
              <w:rPr>
                <w:sz w:val="20"/>
                <w:szCs w:val="20"/>
              </w:rPr>
            </w:pPr>
            <w:r w:rsidRPr="003511C0">
              <w:rPr>
                <w:sz w:val="20"/>
                <w:szCs w:val="20"/>
              </w:rPr>
              <w:t>химик</w:t>
            </w:r>
          </w:p>
        </w:tc>
        <w:tc>
          <w:tcPr>
            <w:tcW w:w="1418" w:type="dxa"/>
          </w:tcPr>
          <w:p w:rsidR="00321EDA" w:rsidRPr="003511C0" w:rsidRDefault="00321EDA" w:rsidP="00EF628C">
            <w:pPr>
              <w:jc w:val="center"/>
              <w:rPr>
                <w:sz w:val="20"/>
                <w:szCs w:val="20"/>
              </w:rPr>
            </w:pPr>
            <w:r w:rsidRPr="003511C0">
              <w:rPr>
                <w:sz w:val="20"/>
                <w:szCs w:val="20"/>
              </w:rPr>
              <w:t>0</w:t>
            </w:r>
          </w:p>
        </w:tc>
        <w:tc>
          <w:tcPr>
            <w:tcW w:w="1275" w:type="dxa"/>
          </w:tcPr>
          <w:p w:rsidR="00321EDA" w:rsidRPr="003511C0" w:rsidRDefault="00321EDA" w:rsidP="00EF628C">
            <w:pPr>
              <w:jc w:val="center"/>
              <w:rPr>
                <w:sz w:val="20"/>
                <w:szCs w:val="20"/>
              </w:rPr>
            </w:pPr>
          </w:p>
        </w:tc>
        <w:tc>
          <w:tcPr>
            <w:tcW w:w="2192" w:type="dxa"/>
          </w:tcPr>
          <w:p w:rsidR="00321EDA" w:rsidRPr="003511C0" w:rsidRDefault="00321EDA" w:rsidP="00DB493B">
            <w:pPr>
              <w:ind w:left="-28"/>
              <w:jc w:val="both"/>
              <w:rPr>
                <w:sz w:val="20"/>
                <w:szCs w:val="20"/>
              </w:rPr>
            </w:pPr>
          </w:p>
        </w:tc>
        <w:tc>
          <w:tcPr>
            <w:tcW w:w="1072" w:type="dxa"/>
          </w:tcPr>
          <w:p w:rsidR="00321EDA" w:rsidRPr="003511C0" w:rsidRDefault="00321EDA" w:rsidP="00EF628C">
            <w:pPr>
              <w:rPr>
                <w:sz w:val="20"/>
                <w:szCs w:val="20"/>
              </w:rPr>
            </w:pPr>
          </w:p>
        </w:tc>
      </w:tr>
      <w:tr w:rsidR="00321EDA" w:rsidRPr="009F7FC4" w:rsidTr="00DB493B">
        <w:tc>
          <w:tcPr>
            <w:tcW w:w="1555" w:type="dxa"/>
            <w:vMerge/>
          </w:tcPr>
          <w:p w:rsidR="00321EDA" w:rsidRPr="003511C0" w:rsidRDefault="00321EDA" w:rsidP="00EF628C">
            <w:pPr>
              <w:rPr>
                <w:sz w:val="20"/>
                <w:szCs w:val="20"/>
              </w:rPr>
            </w:pPr>
          </w:p>
        </w:tc>
        <w:tc>
          <w:tcPr>
            <w:tcW w:w="1134" w:type="dxa"/>
            <w:vMerge/>
          </w:tcPr>
          <w:p w:rsidR="00321EDA" w:rsidRPr="003511C0" w:rsidRDefault="00321EDA" w:rsidP="00DB493B">
            <w:pPr>
              <w:jc w:val="both"/>
              <w:rPr>
                <w:sz w:val="20"/>
                <w:szCs w:val="20"/>
              </w:rPr>
            </w:pPr>
          </w:p>
        </w:tc>
        <w:tc>
          <w:tcPr>
            <w:tcW w:w="1556" w:type="dxa"/>
          </w:tcPr>
          <w:p w:rsidR="00321EDA" w:rsidRDefault="00321EDA" w:rsidP="00DB493B">
            <w:pPr>
              <w:jc w:val="both"/>
              <w:rPr>
                <w:sz w:val="20"/>
                <w:szCs w:val="20"/>
              </w:rPr>
            </w:pPr>
            <w:r w:rsidRPr="003511C0">
              <w:rPr>
                <w:sz w:val="20"/>
                <w:szCs w:val="20"/>
              </w:rPr>
              <w:t>Инженер-</w:t>
            </w:r>
          </w:p>
          <w:p w:rsidR="00321EDA" w:rsidRPr="003511C0" w:rsidRDefault="00321EDA" w:rsidP="00DB493B">
            <w:pPr>
              <w:jc w:val="both"/>
              <w:rPr>
                <w:sz w:val="20"/>
                <w:szCs w:val="20"/>
              </w:rPr>
            </w:pPr>
            <w:r w:rsidRPr="003511C0">
              <w:rPr>
                <w:sz w:val="20"/>
                <w:szCs w:val="20"/>
              </w:rPr>
              <w:t>техник</w:t>
            </w:r>
          </w:p>
        </w:tc>
        <w:tc>
          <w:tcPr>
            <w:tcW w:w="1418" w:type="dxa"/>
          </w:tcPr>
          <w:p w:rsidR="00321EDA" w:rsidRPr="003511C0" w:rsidRDefault="00321EDA" w:rsidP="00EF628C">
            <w:pPr>
              <w:jc w:val="center"/>
              <w:rPr>
                <w:sz w:val="20"/>
                <w:szCs w:val="20"/>
              </w:rPr>
            </w:pPr>
            <w:r w:rsidRPr="003511C0">
              <w:rPr>
                <w:sz w:val="20"/>
                <w:szCs w:val="20"/>
              </w:rPr>
              <w:t>0</w:t>
            </w:r>
          </w:p>
        </w:tc>
        <w:tc>
          <w:tcPr>
            <w:tcW w:w="1275" w:type="dxa"/>
          </w:tcPr>
          <w:p w:rsidR="00321EDA" w:rsidRPr="003511C0" w:rsidRDefault="00321EDA" w:rsidP="00EF628C">
            <w:pPr>
              <w:jc w:val="center"/>
              <w:rPr>
                <w:sz w:val="20"/>
                <w:szCs w:val="20"/>
              </w:rPr>
            </w:pPr>
          </w:p>
        </w:tc>
        <w:tc>
          <w:tcPr>
            <w:tcW w:w="2192" w:type="dxa"/>
          </w:tcPr>
          <w:p w:rsidR="00321EDA" w:rsidRPr="003511C0" w:rsidRDefault="00321EDA" w:rsidP="00DB493B">
            <w:pPr>
              <w:ind w:left="-28"/>
              <w:jc w:val="both"/>
              <w:rPr>
                <w:sz w:val="20"/>
                <w:szCs w:val="20"/>
              </w:rPr>
            </w:pPr>
          </w:p>
        </w:tc>
        <w:tc>
          <w:tcPr>
            <w:tcW w:w="1072" w:type="dxa"/>
          </w:tcPr>
          <w:p w:rsidR="00321EDA" w:rsidRPr="003511C0" w:rsidRDefault="00321EDA" w:rsidP="00EF628C">
            <w:pPr>
              <w:rPr>
                <w:sz w:val="20"/>
                <w:szCs w:val="20"/>
              </w:rPr>
            </w:pPr>
          </w:p>
        </w:tc>
      </w:tr>
      <w:tr w:rsidR="00321EDA" w:rsidRPr="009F7FC4" w:rsidTr="00DB493B">
        <w:tc>
          <w:tcPr>
            <w:tcW w:w="1555" w:type="dxa"/>
            <w:vMerge/>
          </w:tcPr>
          <w:p w:rsidR="00321EDA" w:rsidRPr="003511C0" w:rsidRDefault="00321EDA" w:rsidP="00EF628C">
            <w:pPr>
              <w:rPr>
                <w:sz w:val="20"/>
                <w:szCs w:val="20"/>
              </w:rPr>
            </w:pPr>
          </w:p>
        </w:tc>
        <w:tc>
          <w:tcPr>
            <w:tcW w:w="1134" w:type="dxa"/>
            <w:vMerge/>
          </w:tcPr>
          <w:p w:rsidR="00321EDA" w:rsidRPr="003511C0" w:rsidRDefault="00321EDA" w:rsidP="00DB493B">
            <w:pPr>
              <w:jc w:val="both"/>
              <w:rPr>
                <w:sz w:val="20"/>
                <w:szCs w:val="20"/>
              </w:rPr>
            </w:pPr>
          </w:p>
        </w:tc>
        <w:tc>
          <w:tcPr>
            <w:tcW w:w="1556" w:type="dxa"/>
          </w:tcPr>
          <w:p w:rsidR="00321EDA" w:rsidRDefault="00321EDA" w:rsidP="00DB493B">
            <w:pPr>
              <w:jc w:val="both"/>
              <w:rPr>
                <w:sz w:val="20"/>
                <w:szCs w:val="20"/>
              </w:rPr>
            </w:pPr>
            <w:r w:rsidRPr="003511C0">
              <w:rPr>
                <w:sz w:val="20"/>
                <w:szCs w:val="20"/>
              </w:rPr>
              <w:t>Техник-</w:t>
            </w:r>
          </w:p>
          <w:p w:rsidR="00321EDA" w:rsidRPr="003511C0" w:rsidRDefault="00321EDA" w:rsidP="00DB493B">
            <w:pPr>
              <w:jc w:val="both"/>
              <w:rPr>
                <w:sz w:val="20"/>
                <w:szCs w:val="20"/>
              </w:rPr>
            </w:pPr>
            <w:r w:rsidRPr="003511C0">
              <w:rPr>
                <w:sz w:val="20"/>
                <w:szCs w:val="20"/>
              </w:rPr>
              <w:t>дозиметрист</w:t>
            </w:r>
          </w:p>
        </w:tc>
        <w:tc>
          <w:tcPr>
            <w:tcW w:w="1418" w:type="dxa"/>
          </w:tcPr>
          <w:p w:rsidR="00321EDA" w:rsidRPr="003511C0" w:rsidRDefault="00321EDA" w:rsidP="00EF628C">
            <w:pPr>
              <w:jc w:val="center"/>
              <w:rPr>
                <w:sz w:val="20"/>
                <w:szCs w:val="20"/>
              </w:rPr>
            </w:pPr>
            <w:r w:rsidRPr="003511C0">
              <w:rPr>
                <w:sz w:val="20"/>
                <w:szCs w:val="20"/>
              </w:rPr>
              <w:t>0</w:t>
            </w:r>
          </w:p>
        </w:tc>
        <w:tc>
          <w:tcPr>
            <w:tcW w:w="1275" w:type="dxa"/>
          </w:tcPr>
          <w:p w:rsidR="00321EDA" w:rsidRPr="003511C0" w:rsidRDefault="00321EDA" w:rsidP="00EF628C">
            <w:pPr>
              <w:jc w:val="center"/>
              <w:rPr>
                <w:sz w:val="20"/>
                <w:szCs w:val="20"/>
              </w:rPr>
            </w:pPr>
          </w:p>
        </w:tc>
        <w:tc>
          <w:tcPr>
            <w:tcW w:w="2192" w:type="dxa"/>
          </w:tcPr>
          <w:p w:rsidR="00321EDA" w:rsidRPr="003511C0" w:rsidRDefault="00321EDA" w:rsidP="00DB493B">
            <w:pPr>
              <w:ind w:left="-28"/>
              <w:jc w:val="both"/>
              <w:rPr>
                <w:sz w:val="20"/>
                <w:szCs w:val="20"/>
              </w:rPr>
            </w:pPr>
          </w:p>
        </w:tc>
        <w:tc>
          <w:tcPr>
            <w:tcW w:w="1072" w:type="dxa"/>
          </w:tcPr>
          <w:p w:rsidR="00321EDA" w:rsidRPr="003511C0" w:rsidRDefault="00321EDA" w:rsidP="00EF628C">
            <w:pPr>
              <w:rPr>
                <w:sz w:val="20"/>
                <w:szCs w:val="20"/>
              </w:rPr>
            </w:pPr>
          </w:p>
        </w:tc>
      </w:tr>
    </w:tbl>
    <w:p w:rsidR="005A19FB" w:rsidRPr="00711734" w:rsidRDefault="005A19FB" w:rsidP="00711734">
      <w:pPr>
        <w:ind w:firstLine="709"/>
        <w:jc w:val="both"/>
        <w:rPr>
          <w:rFonts w:eastAsia="Arial"/>
          <w:sz w:val="28"/>
          <w:szCs w:val="28"/>
        </w:rPr>
      </w:pPr>
    </w:p>
    <w:p w:rsidR="00F35BBA" w:rsidRDefault="005E08CE" w:rsidP="005628F5">
      <w:pPr>
        <w:spacing w:line="233" w:lineRule="auto"/>
        <w:ind w:firstLine="709"/>
        <w:jc w:val="both"/>
        <w:rPr>
          <w:rFonts w:eastAsia="Arial"/>
          <w:color w:val="000000"/>
          <w:sz w:val="28"/>
          <w:szCs w:val="28"/>
        </w:rPr>
      </w:pPr>
      <w:r w:rsidRPr="00711734">
        <w:rPr>
          <w:rFonts w:eastAsia="Segoe UI"/>
          <w:color w:val="000000"/>
          <w:sz w:val="28"/>
          <w:szCs w:val="28"/>
        </w:rPr>
        <w:t xml:space="preserve">Кабинет </w:t>
      </w:r>
      <w:r w:rsidR="005628F5">
        <w:rPr>
          <w:rFonts w:eastAsia="Segoe UI"/>
          <w:color w:val="000000"/>
          <w:sz w:val="28"/>
          <w:szCs w:val="28"/>
        </w:rPr>
        <w:t>о</w:t>
      </w:r>
      <w:r w:rsidR="00117C59" w:rsidRPr="00117C59">
        <w:rPr>
          <w:color w:val="333333"/>
          <w:spacing w:val="-2"/>
          <w:sz w:val="28"/>
          <w:szCs w:val="28"/>
          <w:shd w:val="clear" w:color="auto" w:fill="FFFFFF"/>
        </w:rPr>
        <w:t>днофотонн</w:t>
      </w:r>
      <w:r w:rsidR="00117C59">
        <w:rPr>
          <w:color w:val="333333"/>
          <w:spacing w:val="-2"/>
          <w:sz w:val="28"/>
          <w:szCs w:val="28"/>
          <w:shd w:val="clear" w:color="auto" w:fill="FFFFFF"/>
        </w:rPr>
        <w:t>о</w:t>
      </w:r>
      <w:r w:rsidR="00117C59" w:rsidRPr="00117C59">
        <w:rPr>
          <w:color w:val="333333"/>
          <w:spacing w:val="-2"/>
          <w:sz w:val="28"/>
          <w:szCs w:val="28"/>
          <w:shd w:val="clear" w:color="auto" w:fill="FFFFFF"/>
        </w:rPr>
        <w:t>й эмиссионн</w:t>
      </w:r>
      <w:r w:rsidR="00117C59">
        <w:rPr>
          <w:color w:val="333333"/>
          <w:spacing w:val="-2"/>
          <w:sz w:val="28"/>
          <w:szCs w:val="28"/>
          <w:shd w:val="clear" w:color="auto" w:fill="FFFFFF"/>
        </w:rPr>
        <w:t>о</w:t>
      </w:r>
      <w:r w:rsidR="00117C59" w:rsidRPr="00117C59">
        <w:rPr>
          <w:color w:val="333333"/>
          <w:spacing w:val="-2"/>
          <w:sz w:val="28"/>
          <w:szCs w:val="28"/>
          <w:shd w:val="clear" w:color="auto" w:fill="FFFFFF"/>
        </w:rPr>
        <w:t>й компьютерн</w:t>
      </w:r>
      <w:r w:rsidR="00117C59">
        <w:rPr>
          <w:color w:val="333333"/>
          <w:spacing w:val="-2"/>
          <w:sz w:val="28"/>
          <w:szCs w:val="28"/>
          <w:shd w:val="clear" w:color="auto" w:fill="FFFFFF"/>
        </w:rPr>
        <w:t>о</w:t>
      </w:r>
      <w:r w:rsidR="00117C59" w:rsidRPr="00117C59">
        <w:rPr>
          <w:color w:val="333333"/>
          <w:spacing w:val="-2"/>
          <w:sz w:val="28"/>
          <w:szCs w:val="28"/>
          <w:shd w:val="clear" w:color="auto" w:fill="FFFFFF"/>
        </w:rPr>
        <w:t>й томограф</w:t>
      </w:r>
      <w:r w:rsidR="00117C59">
        <w:rPr>
          <w:color w:val="333333"/>
          <w:spacing w:val="-2"/>
          <w:sz w:val="28"/>
          <w:szCs w:val="28"/>
          <w:shd w:val="clear" w:color="auto" w:fill="FFFFFF"/>
        </w:rPr>
        <w:t>ии</w:t>
      </w:r>
      <w:r w:rsidR="005628F5">
        <w:rPr>
          <w:color w:val="333333"/>
          <w:spacing w:val="-2"/>
          <w:sz w:val="28"/>
          <w:szCs w:val="28"/>
          <w:shd w:val="clear" w:color="auto" w:fill="FFFFFF"/>
        </w:rPr>
        <w:t>,</w:t>
      </w:r>
      <w:r w:rsidR="00117C59">
        <w:rPr>
          <w:color w:val="333333"/>
          <w:spacing w:val="-2"/>
          <w:sz w:val="28"/>
          <w:szCs w:val="28"/>
          <w:shd w:val="clear" w:color="auto" w:fill="FFFFFF"/>
        </w:rPr>
        <w:t xml:space="preserve"> совмещенной с рентгеновским компьютерным томографом (далее –</w:t>
      </w:r>
      <w:r w:rsidR="00117C59" w:rsidRPr="003511C0">
        <w:rPr>
          <w:sz w:val="20"/>
          <w:szCs w:val="20"/>
        </w:rPr>
        <w:t xml:space="preserve"> </w:t>
      </w:r>
      <w:r w:rsidRPr="00711734">
        <w:rPr>
          <w:rFonts w:eastAsia="Segoe UI"/>
          <w:color w:val="000000"/>
          <w:sz w:val="28"/>
          <w:szCs w:val="28"/>
        </w:rPr>
        <w:t>ОФЭКТ/</w:t>
      </w:r>
      <w:r w:rsidRPr="00711734">
        <w:rPr>
          <w:rFonts w:eastAsia="Arial"/>
          <w:color w:val="000000"/>
          <w:sz w:val="28"/>
          <w:szCs w:val="28"/>
        </w:rPr>
        <w:t>КТ</w:t>
      </w:r>
      <w:r w:rsidR="00117C59">
        <w:rPr>
          <w:rFonts w:eastAsia="Arial"/>
          <w:color w:val="000000"/>
          <w:sz w:val="28"/>
          <w:szCs w:val="28"/>
        </w:rPr>
        <w:t>)</w:t>
      </w:r>
      <w:r w:rsidR="00F35BBA">
        <w:rPr>
          <w:rFonts w:eastAsia="Arial"/>
          <w:color w:val="000000"/>
          <w:sz w:val="28"/>
          <w:szCs w:val="28"/>
        </w:rPr>
        <w:t>,</w:t>
      </w:r>
      <w:r w:rsidRPr="00711734">
        <w:rPr>
          <w:rFonts w:eastAsia="Arial"/>
          <w:color w:val="000000"/>
          <w:sz w:val="28"/>
          <w:szCs w:val="28"/>
        </w:rPr>
        <w:t xml:space="preserve"> отделения радионуклидной диагностики. </w:t>
      </w:r>
    </w:p>
    <w:p w:rsidR="005E08CE" w:rsidRPr="00711734" w:rsidRDefault="005E08CE" w:rsidP="005628F5">
      <w:pPr>
        <w:spacing w:line="233" w:lineRule="auto"/>
        <w:ind w:firstLine="709"/>
        <w:jc w:val="both"/>
        <w:rPr>
          <w:rFonts w:eastAsia="Arial"/>
          <w:color w:val="000000"/>
          <w:sz w:val="28"/>
          <w:szCs w:val="28"/>
        </w:rPr>
      </w:pPr>
      <w:r w:rsidRPr="00711734">
        <w:rPr>
          <w:rFonts w:eastAsia="Arial"/>
          <w:color w:val="000000"/>
          <w:sz w:val="28"/>
          <w:szCs w:val="28"/>
        </w:rPr>
        <w:t>Работает в</w:t>
      </w:r>
      <w:r w:rsidR="00117C59">
        <w:rPr>
          <w:rFonts w:eastAsia="Arial"/>
          <w:color w:val="000000"/>
          <w:sz w:val="28"/>
          <w:szCs w:val="28"/>
        </w:rPr>
        <w:t xml:space="preserve"> </w:t>
      </w:r>
      <w:r w:rsidRPr="00711734">
        <w:rPr>
          <w:rFonts w:eastAsia="Arial"/>
          <w:color w:val="000000"/>
          <w:sz w:val="28"/>
          <w:szCs w:val="28"/>
        </w:rPr>
        <w:t xml:space="preserve">2 смены на 2 аппаратах ОФЭКТ/КТ: Siemens Symbia T16, 2010 года ввода в эксплуатацию, GE Discovery NM/CT 870 DR 2023 года ввода в эксплуатацию; </w:t>
      </w:r>
      <w:r w:rsidR="00321EDA">
        <w:rPr>
          <w:rFonts w:eastAsia="Arial"/>
          <w:color w:val="000000"/>
          <w:sz w:val="28"/>
          <w:szCs w:val="28"/>
        </w:rPr>
        <w:t>в</w:t>
      </w:r>
      <w:r w:rsidRPr="00711734">
        <w:rPr>
          <w:rFonts w:eastAsia="Arial"/>
          <w:color w:val="000000"/>
          <w:sz w:val="28"/>
          <w:szCs w:val="28"/>
        </w:rPr>
        <w:t xml:space="preserve"> настоящее время оба аппарата ОФЭКТ/КТ требуют ремонта и не функционируют.</w:t>
      </w:r>
    </w:p>
    <w:p w:rsidR="005E08CE" w:rsidRPr="00711734" w:rsidRDefault="005E08CE" w:rsidP="005628F5">
      <w:pPr>
        <w:spacing w:line="233" w:lineRule="auto"/>
        <w:ind w:firstLine="709"/>
        <w:jc w:val="both"/>
        <w:rPr>
          <w:rFonts w:eastAsia="Arial"/>
          <w:color w:val="000000"/>
          <w:sz w:val="28"/>
          <w:szCs w:val="28"/>
        </w:rPr>
      </w:pPr>
      <w:r w:rsidRPr="00711734">
        <w:rPr>
          <w:rFonts w:eastAsia="Arial"/>
          <w:color w:val="000000"/>
          <w:sz w:val="28"/>
          <w:szCs w:val="28"/>
        </w:rPr>
        <w:t>Основной используемый изотоп – Tc99m поставляется в виде генераторов технеция ГТ-4К 19ГБк специализированным автотранспортом АО «В/О «Изотоп» (142450, Московска</w:t>
      </w:r>
      <w:r w:rsidR="00711734">
        <w:rPr>
          <w:rFonts w:eastAsia="Arial"/>
          <w:color w:val="000000"/>
          <w:sz w:val="28"/>
          <w:szCs w:val="28"/>
        </w:rPr>
        <w:t>я область, Богородский г</w:t>
      </w:r>
      <w:r w:rsidR="005628F5">
        <w:rPr>
          <w:rFonts w:eastAsia="Arial"/>
          <w:color w:val="000000"/>
          <w:sz w:val="28"/>
          <w:szCs w:val="28"/>
        </w:rPr>
        <w:t>ородской округ</w:t>
      </w:r>
      <w:r w:rsidR="00711734">
        <w:rPr>
          <w:rFonts w:eastAsia="Arial"/>
          <w:color w:val="000000"/>
          <w:sz w:val="28"/>
          <w:szCs w:val="28"/>
        </w:rPr>
        <w:t>, г.</w:t>
      </w:r>
      <w:r w:rsidRPr="00711734">
        <w:rPr>
          <w:rFonts w:eastAsia="Arial"/>
          <w:color w:val="000000"/>
          <w:sz w:val="28"/>
          <w:szCs w:val="28"/>
        </w:rPr>
        <w:t>Старая Купавна, ул.Советская, д.2).</w:t>
      </w:r>
    </w:p>
    <w:p w:rsidR="005E08CE" w:rsidRPr="00711734" w:rsidRDefault="005E08CE" w:rsidP="005628F5">
      <w:pPr>
        <w:spacing w:line="233" w:lineRule="auto"/>
        <w:ind w:firstLine="709"/>
        <w:jc w:val="both"/>
        <w:rPr>
          <w:rFonts w:eastAsia="Arial"/>
          <w:color w:val="000000"/>
          <w:sz w:val="28"/>
          <w:szCs w:val="28"/>
        </w:rPr>
      </w:pPr>
      <w:r w:rsidRPr="00711734">
        <w:rPr>
          <w:rFonts w:eastAsia="Arial"/>
          <w:color w:val="000000"/>
          <w:sz w:val="28"/>
          <w:szCs w:val="28"/>
        </w:rPr>
        <w:t xml:space="preserve">Непосредственно </w:t>
      </w:r>
      <w:r w:rsidR="005628F5">
        <w:rPr>
          <w:rFonts w:eastAsia="Arial"/>
          <w:color w:val="000000"/>
          <w:sz w:val="28"/>
          <w:szCs w:val="28"/>
        </w:rPr>
        <w:t xml:space="preserve">в кабинете </w:t>
      </w:r>
      <w:r w:rsidRPr="00711734">
        <w:rPr>
          <w:rFonts w:eastAsia="Arial"/>
          <w:color w:val="000000"/>
          <w:sz w:val="28"/>
          <w:szCs w:val="28"/>
        </w:rPr>
        <w:t>ОФЭКТ/КТ отделения радионуклидной ди</w:t>
      </w:r>
      <w:r w:rsidR="00F35BBA">
        <w:rPr>
          <w:rFonts w:eastAsia="Arial"/>
          <w:color w:val="000000"/>
          <w:sz w:val="28"/>
          <w:szCs w:val="28"/>
        </w:rPr>
        <w:t>а</w:t>
      </w:r>
      <w:r w:rsidRPr="00711734">
        <w:rPr>
          <w:rFonts w:eastAsia="Arial"/>
          <w:color w:val="000000"/>
          <w:sz w:val="28"/>
          <w:szCs w:val="28"/>
        </w:rPr>
        <w:t xml:space="preserve">гностики </w:t>
      </w:r>
      <w:r w:rsidR="005628F5" w:rsidRPr="00711734">
        <w:rPr>
          <w:rFonts w:eastAsia="Arial"/>
          <w:color w:val="000000"/>
          <w:sz w:val="28"/>
          <w:szCs w:val="28"/>
        </w:rPr>
        <w:t xml:space="preserve">получаются различные </w:t>
      </w:r>
      <w:r w:rsidR="005628F5">
        <w:rPr>
          <w:rFonts w:eastAsia="Arial"/>
          <w:color w:val="000000"/>
          <w:sz w:val="28"/>
          <w:szCs w:val="28"/>
        </w:rPr>
        <w:t>ра</w:t>
      </w:r>
      <w:r w:rsidR="00F35BBA">
        <w:rPr>
          <w:rFonts w:eastAsia="Arial"/>
          <w:color w:val="000000"/>
          <w:sz w:val="28"/>
          <w:szCs w:val="28"/>
        </w:rPr>
        <w:t xml:space="preserve">диофармпрепараты </w:t>
      </w:r>
      <w:r w:rsidR="005628F5">
        <w:rPr>
          <w:rFonts w:eastAsia="Arial"/>
          <w:color w:val="000000"/>
          <w:sz w:val="28"/>
          <w:szCs w:val="28"/>
        </w:rPr>
        <w:t xml:space="preserve">путем </w:t>
      </w:r>
      <w:r w:rsidRPr="00711734">
        <w:rPr>
          <w:rFonts w:eastAsia="Arial"/>
          <w:color w:val="000000"/>
          <w:sz w:val="28"/>
          <w:szCs w:val="28"/>
        </w:rPr>
        <w:t>присоеди</w:t>
      </w:r>
      <w:r w:rsidR="005628F5">
        <w:rPr>
          <w:rFonts w:eastAsia="Arial"/>
          <w:color w:val="000000"/>
          <w:sz w:val="28"/>
          <w:szCs w:val="28"/>
        </w:rPr>
        <w:t>не</w:t>
      </w:r>
      <w:r w:rsidRPr="00711734">
        <w:rPr>
          <w:rFonts w:eastAsia="Arial"/>
          <w:color w:val="000000"/>
          <w:sz w:val="28"/>
          <w:szCs w:val="28"/>
        </w:rPr>
        <w:t>н</w:t>
      </w:r>
      <w:r w:rsidR="005628F5">
        <w:rPr>
          <w:rFonts w:eastAsia="Arial"/>
          <w:color w:val="000000"/>
          <w:sz w:val="28"/>
          <w:szCs w:val="28"/>
        </w:rPr>
        <w:t>и</w:t>
      </w:r>
      <w:r w:rsidRPr="00711734">
        <w:rPr>
          <w:rFonts w:eastAsia="Arial"/>
          <w:color w:val="000000"/>
          <w:sz w:val="28"/>
          <w:szCs w:val="28"/>
        </w:rPr>
        <w:t>я изотоп</w:t>
      </w:r>
      <w:r w:rsidR="005628F5">
        <w:rPr>
          <w:rFonts w:eastAsia="Arial"/>
          <w:color w:val="000000"/>
          <w:sz w:val="28"/>
          <w:szCs w:val="28"/>
        </w:rPr>
        <w:t>а</w:t>
      </w:r>
      <w:r w:rsidRPr="00711734">
        <w:rPr>
          <w:rFonts w:eastAsia="Arial"/>
          <w:color w:val="000000"/>
          <w:sz w:val="28"/>
          <w:szCs w:val="28"/>
        </w:rPr>
        <w:t xml:space="preserve"> Tc99m к биологически активной молекуле из «холодных» наборов:</w:t>
      </w:r>
    </w:p>
    <w:p w:rsidR="005E08CE" w:rsidRPr="00711734" w:rsidRDefault="00321EDA" w:rsidP="005628F5">
      <w:pPr>
        <w:spacing w:line="233" w:lineRule="auto"/>
        <w:ind w:firstLine="709"/>
        <w:jc w:val="both"/>
        <w:rPr>
          <w:rFonts w:eastAsia="Arial"/>
          <w:color w:val="000000"/>
          <w:sz w:val="28"/>
          <w:szCs w:val="28"/>
        </w:rPr>
      </w:pPr>
      <w:r>
        <w:rPr>
          <w:rFonts w:eastAsia="Arial"/>
          <w:color w:val="000000"/>
          <w:sz w:val="28"/>
          <w:szCs w:val="28"/>
        </w:rPr>
        <w:t>Tc99m-пер</w:t>
      </w:r>
      <w:r w:rsidR="005E08CE" w:rsidRPr="00711734">
        <w:rPr>
          <w:rFonts w:eastAsia="Arial"/>
          <w:color w:val="000000"/>
          <w:sz w:val="28"/>
          <w:szCs w:val="28"/>
        </w:rPr>
        <w:t>технетат – для исследования щитовидной железы;</w:t>
      </w:r>
    </w:p>
    <w:p w:rsidR="005E08CE" w:rsidRPr="00711734" w:rsidRDefault="005E08CE" w:rsidP="005628F5">
      <w:pPr>
        <w:spacing w:line="233" w:lineRule="auto"/>
        <w:ind w:firstLine="709"/>
        <w:jc w:val="both"/>
        <w:rPr>
          <w:rFonts w:eastAsia="Arial"/>
          <w:color w:val="000000"/>
          <w:sz w:val="28"/>
          <w:szCs w:val="28"/>
        </w:rPr>
      </w:pPr>
      <w:r w:rsidRPr="00711734">
        <w:rPr>
          <w:rFonts w:eastAsia="Arial"/>
          <w:color w:val="000000"/>
          <w:sz w:val="28"/>
          <w:szCs w:val="28"/>
        </w:rPr>
        <w:t>Tc99m-пирфотех – для исследования костной системы, а также исследования миокарда на ATTR-амилоидоз;</w:t>
      </w:r>
    </w:p>
    <w:p w:rsidR="005E08CE" w:rsidRPr="00711734" w:rsidRDefault="005E08CE" w:rsidP="00711734">
      <w:pPr>
        <w:ind w:firstLine="709"/>
        <w:jc w:val="both"/>
        <w:rPr>
          <w:rFonts w:eastAsia="Arial"/>
          <w:color w:val="000000"/>
          <w:sz w:val="28"/>
          <w:szCs w:val="28"/>
        </w:rPr>
      </w:pPr>
      <w:r w:rsidRPr="00711734">
        <w:rPr>
          <w:rFonts w:eastAsia="Arial"/>
          <w:color w:val="000000"/>
          <w:sz w:val="28"/>
          <w:szCs w:val="28"/>
        </w:rPr>
        <w:t>Tc99m-пентатех – для исследования функции почек;</w:t>
      </w:r>
    </w:p>
    <w:p w:rsidR="005E08CE" w:rsidRPr="00711734" w:rsidRDefault="005E08CE" w:rsidP="00711734">
      <w:pPr>
        <w:ind w:firstLine="709"/>
        <w:jc w:val="both"/>
        <w:rPr>
          <w:rFonts w:eastAsia="Arial"/>
          <w:color w:val="000000"/>
          <w:sz w:val="28"/>
          <w:szCs w:val="28"/>
        </w:rPr>
      </w:pPr>
      <w:r w:rsidRPr="00711734">
        <w:rPr>
          <w:rFonts w:eastAsia="Arial"/>
          <w:color w:val="000000"/>
          <w:sz w:val="28"/>
          <w:szCs w:val="28"/>
        </w:rPr>
        <w:t>Tc99m-технетрил – для исследования паращитовидных желез, а также оценки перфузии миокарда левого желудочка;</w:t>
      </w:r>
    </w:p>
    <w:p w:rsidR="005E08CE" w:rsidRPr="00711734" w:rsidRDefault="005E08CE" w:rsidP="00711734">
      <w:pPr>
        <w:ind w:firstLine="709"/>
        <w:jc w:val="both"/>
        <w:rPr>
          <w:rFonts w:eastAsia="Arial"/>
          <w:color w:val="000000"/>
          <w:sz w:val="28"/>
          <w:szCs w:val="28"/>
        </w:rPr>
      </w:pPr>
      <w:r w:rsidRPr="00711734">
        <w:rPr>
          <w:rFonts w:eastAsia="Arial"/>
          <w:color w:val="000000"/>
          <w:sz w:val="28"/>
          <w:szCs w:val="28"/>
        </w:rPr>
        <w:t>Tc99m-технефит – для исследования гепатобилиарной системы;</w:t>
      </w:r>
    </w:p>
    <w:p w:rsidR="005E08CE" w:rsidRPr="00711734" w:rsidRDefault="005E08CE" w:rsidP="00711734">
      <w:pPr>
        <w:ind w:firstLine="709"/>
        <w:jc w:val="both"/>
        <w:rPr>
          <w:rFonts w:eastAsia="Arial"/>
          <w:color w:val="000000"/>
          <w:sz w:val="28"/>
          <w:szCs w:val="28"/>
        </w:rPr>
      </w:pPr>
      <w:r w:rsidRPr="00711734">
        <w:rPr>
          <w:rFonts w:eastAsia="Arial"/>
          <w:color w:val="000000"/>
          <w:sz w:val="28"/>
          <w:szCs w:val="28"/>
        </w:rPr>
        <w:t>Tc99m-нанотоп – для определения ст</w:t>
      </w:r>
      <w:r w:rsidR="00321EDA">
        <w:rPr>
          <w:rFonts w:eastAsia="Arial"/>
          <w:color w:val="000000"/>
          <w:sz w:val="28"/>
          <w:szCs w:val="28"/>
        </w:rPr>
        <w:t>о</w:t>
      </w:r>
      <w:r w:rsidRPr="00711734">
        <w:rPr>
          <w:rFonts w:eastAsia="Arial"/>
          <w:color w:val="000000"/>
          <w:sz w:val="28"/>
          <w:szCs w:val="28"/>
        </w:rPr>
        <w:t>рожевого лимфатического узла и исследования лимфатической системы.</w:t>
      </w:r>
    </w:p>
    <w:p w:rsidR="005E08CE" w:rsidRPr="00711734" w:rsidRDefault="005E08CE" w:rsidP="00711734">
      <w:pPr>
        <w:ind w:firstLine="709"/>
        <w:jc w:val="both"/>
        <w:rPr>
          <w:rFonts w:eastAsia="Arial"/>
          <w:color w:val="000000"/>
          <w:sz w:val="28"/>
          <w:szCs w:val="28"/>
        </w:rPr>
      </w:pPr>
      <w:r w:rsidRPr="00711734">
        <w:rPr>
          <w:rFonts w:eastAsia="Arial"/>
          <w:color w:val="000000"/>
          <w:sz w:val="28"/>
          <w:szCs w:val="28"/>
        </w:rPr>
        <w:t>Кроме того, проводится постлечебное сканирование для оценки эффективности проведенного лечения пациентам с введенным в отделении радиону</w:t>
      </w:r>
      <w:r w:rsidR="00321EDA">
        <w:rPr>
          <w:rFonts w:eastAsia="Arial"/>
          <w:color w:val="000000"/>
          <w:sz w:val="28"/>
          <w:szCs w:val="28"/>
        </w:rPr>
        <w:t>к</w:t>
      </w:r>
      <w:r w:rsidRPr="00711734">
        <w:rPr>
          <w:rFonts w:eastAsia="Arial"/>
          <w:color w:val="000000"/>
          <w:sz w:val="28"/>
          <w:szCs w:val="28"/>
        </w:rPr>
        <w:t xml:space="preserve">лидной терапии </w:t>
      </w:r>
      <w:r w:rsidR="00974B80">
        <w:rPr>
          <w:rFonts w:eastAsia="Arial"/>
          <w:color w:val="000000"/>
          <w:sz w:val="28"/>
          <w:szCs w:val="28"/>
        </w:rPr>
        <w:t>радиофармпрепаратом</w:t>
      </w:r>
      <w:r w:rsidRPr="00711734">
        <w:rPr>
          <w:rFonts w:eastAsia="Arial"/>
          <w:color w:val="000000"/>
          <w:sz w:val="28"/>
          <w:szCs w:val="28"/>
        </w:rPr>
        <w:t xml:space="preserve"> на основе I131 и Sm-153.</w:t>
      </w:r>
    </w:p>
    <w:p w:rsidR="005E08CE" w:rsidRPr="00711734" w:rsidRDefault="005E08CE" w:rsidP="00711734">
      <w:pPr>
        <w:ind w:firstLine="709"/>
        <w:jc w:val="both"/>
        <w:rPr>
          <w:rFonts w:eastAsia="Arial"/>
          <w:color w:val="000000"/>
          <w:sz w:val="28"/>
          <w:szCs w:val="28"/>
        </w:rPr>
      </w:pPr>
      <w:r w:rsidRPr="00711734">
        <w:rPr>
          <w:rFonts w:eastAsia="Arial"/>
          <w:color w:val="000000"/>
          <w:sz w:val="28"/>
          <w:szCs w:val="28"/>
        </w:rPr>
        <w:t>Плановое задание на 2025 год на аппаратах ОФЭКТ/КТ установлено</w:t>
      </w:r>
      <w:r w:rsidR="00F35BBA">
        <w:rPr>
          <w:rFonts w:eastAsia="Arial"/>
          <w:color w:val="000000"/>
          <w:sz w:val="28"/>
          <w:szCs w:val="28"/>
        </w:rPr>
        <w:t>:</w:t>
      </w:r>
      <w:r w:rsidRPr="00711734">
        <w:rPr>
          <w:rFonts w:eastAsia="Arial"/>
          <w:color w:val="000000"/>
          <w:sz w:val="28"/>
          <w:szCs w:val="28"/>
        </w:rPr>
        <w:t xml:space="preserve"> 8</w:t>
      </w:r>
      <w:r w:rsidR="00F35BBA">
        <w:rPr>
          <w:rFonts w:eastAsia="Arial"/>
          <w:color w:val="000000"/>
          <w:sz w:val="28"/>
          <w:szCs w:val="28"/>
        </w:rPr>
        <w:t xml:space="preserve"> </w:t>
      </w:r>
      <w:r w:rsidRPr="00711734">
        <w:rPr>
          <w:rFonts w:eastAsia="Arial"/>
          <w:color w:val="000000"/>
          <w:sz w:val="28"/>
          <w:szCs w:val="28"/>
        </w:rPr>
        <w:t>500 исследований планарной сцинтиграфии и 10</w:t>
      </w:r>
      <w:r w:rsidR="00321EDA">
        <w:rPr>
          <w:rFonts w:eastAsia="Arial"/>
          <w:color w:val="000000"/>
          <w:sz w:val="28"/>
          <w:szCs w:val="28"/>
        </w:rPr>
        <w:t xml:space="preserve"> </w:t>
      </w:r>
      <w:r w:rsidRPr="00711734">
        <w:rPr>
          <w:rFonts w:eastAsia="Arial"/>
          <w:color w:val="000000"/>
          <w:sz w:val="28"/>
          <w:szCs w:val="28"/>
        </w:rPr>
        <w:t>415 исследований ОФЭКТ/КТ.</w:t>
      </w:r>
    </w:p>
    <w:p w:rsidR="00321EDA" w:rsidRDefault="00321EDA" w:rsidP="00711734">
      <w:pPr>
        <w:ind w:firstLine="709"/>
        <w:jc w:val="both"/>
        <w:rPr>
          <w:rFonts w:eastAsia="Segoe UI"/>
          <w:color w:val="000000"/>
          <w:sz w:val="28"/>
          <w:szCs w:val="28"/>
        </w:rPr>
      </w:pPr>
    </w:p>
    <w:p w:rsidR="005E08CE" w:rsidRPr="00711734" w:rsidRDefault="005E08CE" w:rsidP="00711734">
      <w:pPr>
        <w:ind w:firstLine="709"/>
        <w:jc w:val="both"/>
        <w:rPr>
          <w:rFonts w:eastAsia="Arial"/>
          <w:color w:val="000000"/>
          <w:sz w:val="28"/>
          <w:szCs w:val="28"/>
        </w:rPr>
      </w:pPr>
      <w:r w:rsidRPr="00711734">
        <w:rPr>
          <w:rFonts w:eastAsia="Segoe UI"/>
          <w:color w:val="000000"/>
          <w:sz w:val="28"/>
          <w:szCs w:val="28"/>
        </w:rPr>
        <w:t>Кабинет ПЭТ/</w:t>
      </w:r>
      <w:r w:rsidRPr="00711734">
        <w:rPr>
          <w:rFonts w:eastAsia="Arial"/>
          <w:color w:val="000000"/>
          <w:sz w:val="28"/>
          <w:szCs w:val="28"/>
        </w:rPr>
        <w:t>КТ отделения радионуклидной диагностики.</w:t>
      </w:r>
    </w:p>
    <w:p w:rsidR="005E08CE" w:rsidRPr="00711734" w:rsidRDefault="005E08CE" w:rsidP="00711734">
      <w:pPr>
        <w:ind w:firstLine="709"/>
        <w:jc w:val="both"/>
        <w:rPr>
          <w:rFonts w:eastAsia="Arial"/>
          <w:color w:val="000000"/>
          <w:sz w:val="28"/>
          <w:szCs w:val="28"/>
        </w:rPr>
      </w:pPr>
      <w:r w:rsidRPr="00711734">
        <w:rPr>
          <w:rFonts w:eastAsia="Arial"/>
          <w:color w:val="000000"/>
          <w:sz w:val="28"/>
          <w:szCs w:val="28"/>
        </w:rPr>
        <w:t xml:space="preserve">Работает в 2 смены на 2 аппаратах ПЭТ/КТ: GE Discovery 710, 2021 года ввода в эксплуатацию, GE Discovery IQ 4R 2023 года ввода в эксплуатацию; </w:t>
      </w:r>
      <w:r w:rsidR="00321EDA">
        <w:rPr>
          <w:rFonts w:eastAsia="Arial"/>
          <w:color w:val="000000"/>
          <w:sz w:val="28"/>
          <w:szCs w:val="28"/>
        </w:rPr>
        <w:t>в</w:t>
      </w:r>
      <w:r w:rsidRPr="00711734">
        <w:rPr>
          <w:rFonts w:eastAsia="Arial"/>
          <w:color w:val="000000"/>
          <w:sz w:val="28"/>
          <w:szCs w:val="28"/>
        </w:rPr>
        <w:t xml:space="preserve"> настоящее время оба аппарата ПЭТ/КТ функционируют.</w:t>
      </w:r>
    </w:p>
    <w:p w:rsidR="005E08CE" w:rsidRPr="00711734" w:rsidRDefault="005E08CE" w:rsidP="00711734">
      <w:pPr>
        <w:ind w:firstLine="709"/>
        <w:jc w:val="both"/>
        <w:rPr>
          <w:rFonts w:eastAsia="Arial"/>
          <w:color w:val="000000"/>
          <w:sz w:val="28"/>
          <w:szCs w:val="28"/>
        </w:rPr>
      </w:pPr>
      <w:r w:rsidRPr="00711734">
        <w:rPr>
          <w:rFonts w:eastAsia="Arial"/>
          <w:color w:val="000000"/>
          <w:sz w:val="28"/>
          <w:szCs w:val="28"/>
        </w:rPr>
        <w:t>Основной используемый изотоп F18 нарабатывается на собственном циклотроне PET Trace 800 серии в циклотрон-радиохимическом блоке.</w:t>
      </w:r>
    </w:p>
    <w:p w:rsidR="005E08CE" w:rsidRPr="00711734" w:rsidRDefault="005E08CE" w:rsidP="00711734">
      <w:pPr>
        <w:ind w:firstLine="709"/>
        <w:jc w:val="both"/>
        <w:rPr>
          <w:rFonts w:eastAsia="Arial"/>
          <w:color w:val="000000"/>
          <w:sz w:val="28"/>
          <w:szCs w:val="28"/>
        </w:rPr>
      </w:pPr>
      <w:r w:rsidRPr="00711734">
        <w:rPr>
          <w:rFonts w:eastAsia="Arial"/>
          <w:color w:val="000000"/>
          <w:sz w:val="28"/>
          <w:szCs w:val="28"/>
        </w:rPr>
        <w:t xml:space="preserve">Непосредственно </w:t>
      </w:r>
      <w:r w:rsidR="00321EDA">
        <w:rPr>
          <w:rFonts w:eastAsia="Arial"/>
          <w:color w:val="000000"/>
          <w:sz w:val="28"/>
          <w:szCs w:val="28"/>
        </w:rPr>
        <w:t xml:space="preserve">в </w:t>
      </w:r>
      <w:r w:rsidRPr="00711734">
        <w:rPr>
          <w:rFonts w:eastAsia="Arial"/>
          <w:color w:val="000000"/>
          <w:sz w:val="28"/>
          <w:szCs w:val="28"/>
        </w:rPr>
        <w:t xml:space="preserve">циклотрон-радиохимическом блоке, присоединяя изотоп F18 к биологически активной молекуле, получают различные </w:t>
      </w:r>
      <w:r w:rsidR="00974B80">
        <w:rPr>
          <w:rFonts w:eastAsia="Arial"/>
          <w:color w:val="000000"/>
          <w:sz w:val="28"/>
          <w:szCs w:val="28"/>
        </w:rPr>
        <w:t>радиофармпрепараты</w:t>
      </w:r>
      <w:r w:rsidRPr="00711734">
        <w:rPr>
          <w:rFonts w:eastAsia="Arial"/>
          <w:color w:val="000000"/>
          <w:sz w:val="28"/>
          <w:szCs w:val="28"/>
        </w:rPr>
        <w:t>:</w:t>
      </w:r>
    </w:p>
    <w:p w:rsidR="005E08CE" w:rsidRPr="00711734" w:rsidRDefault="005E08CE" w:rsidP="00711734">
      <w:pPr>
        <w:ind w:firstLine="709"/>
        <w:jc w:val="both"/>
        <w:rPr>
          <w:rFonts w:eastAsia="Arial"/>
          <w:color w:val="000000"/>
          <w:sz w:val="28"/>
          <w:szCs w:val="28"/>
        </w:rPr>
      </w:pPr>
      <w:r w:rsidRPr="00711734">
        <w:rPr>
          <w:rFonts w:eastAsia="Arial"/>
          <w:color w:val="000000"/>
          <w:sz w:val="28"/>
          <w:szCs w:val="28"/>
        </w:rPr>
        <w:t>F18-натрия фторид – для исследования костной системы;</w:t>
      </w:r>
    </w:p>
    <w:p w:rsidR="005E08CE" w:rsidRPr="00711734" w:rsidRDefault="005E08CE" w:rsidP="00711734">
      <w:pPr>
        <w:ind w:firstLine="709"/>
        <w:jc w:val="both"/>
        <w:rPr>
          <w:rFonts w:eastAsia="Arial"/>
          <w:color w:val="000000"/>
          <w:sz w:val="28"/>
          <w:szCs w:val="28"/>
        </w:rPr>
      </w:pPr>
      <w:r w:rsidRPr="00711734">
        <w:rPr>
          <w:rFonts w:eastAsia="Arial"/>
          <w:color w:val="000000"/>
          <w:sz w:val="28"/>
          <w:szCs w:val="28"/>
        </w:rPr>
        <w:t>F18-ФДГ – основной препарат для выявления опухолевого процесса в организме;</w:t>
      </w:r>
    </w:p>
    <w:p w:rsidR="005E08CE" w:rsidRPr="00711734" w:rsidRDefault="005E08CE" w:rsidP="00711734">
      <w:pPr>
        <w:ind w:firstLine="709"/>
        <w:jc w:val="both"/>
        <w:rPr>
          <w:rFonts w:eastAsia="Arial"/>
          <w:color w:val="000000"/>
          <w:sz w:val="28"/>
          <w:szCs w:val="28"/>
        </w:rPr>
      </w:pPr>
      <w:r w:rsidRPr="00711734">
        <w:rPr>
          <w:rFonts w:eastAsia="Arial"/>
          <w:color w:val="000000"/>
          <w:sz w:val="28"/>
          <w:szCs w:val="28"/>
        </w:rPr>
        <w:t xml:space="preserve">F18-ПСМА – </w:t>
      </w:r>
      <w:r w:rsidR="00321EDA">
        <w:rPr>
          <w:rFonts w:eastAsia="Arial"/>
          <w:color w:val="000000"/>
          <w:sz w:val="28"/>
          <w:szCs w:val="28"/>
        </w:rPr>
        <w:t>для выявления</w:t>
      </w:r>
      <w:r w:rsidRPr="00711734">
        <w:rPr>
          <w:rFonts w:eastAsia="Arial"/>
          <w:color w:val="000000"/>
          <w:sz w:val="28"/>
          <w:szCs w:val="28"/>
        </w:rPr>
        <w:t xml:space="preserve"> рецидива и метастазов рака предстательной железы;</w:t>
      </w:r>
    </w:p>
    <w:p w:rsidR="005E08CE" w:rsidRPr="00711734" w:rsidRDefault="005E08CE" w:rsidP="00711734">
      <w:pPr>
        <w:ind w:firstLine="709"/>
        <w:jc w:val="both"/>
        <w:rPr>
          <w:rFonts w:eastAsia="Arial"/>
          <w:color w:val="000000"/>
          <w:sz w:val="28"/>
          <w:szCs w:val="28"/>
        </w:rPr>
      </w:pPr>
      <w:r w:rsidRPr="00711734">
        <w:rPr>
          <w:rFonts w:eastAsia="Arial"/>
          <w:color w:val="000000"/>
          <w:sz w:val="28"/>
          <w:szCs w:val="28"/>
        </w:rPr>
        <w:t xml:space="preserve">F18-ФЭС – </w:t>
      </w:r>
      <w:r w:rsidR="00321EDA">
        <w:rPr>
          <w:rFonts w:eastAsia="Arial"/>
          <w:color w:val="000000"/>
          <w:sz w:val="28"/>
          <w:szCs w:val="28"/>
        </w:rPr>
        <w:t xml:space="preserve">для </w:t>
      </w:r>
      <w:r w:rsidRPr="00711734">
        <w:rPr>
          <w:rFonts w:eastAsia="Arial"/>
          <w:color w:val="000000"/>
          <w:sz w:val="28"/>
          <w:szCs w:val="28"/>
        </w:rPr>
        <w:t>выявления первичных злокачественных опухолей и их продолженного роста или рецидива после хирургического и лучевого лечения.</w:t>
      </w:r>
    </w:p>
    <w:p w:rsidR="005E08CE" w:rsidRPr="00711734" w:rsidRDefault="005E08CE" w:rsidP="00711734">
      <w:pPr>
        <w:ind w:firstLine="709"/>
        <w:jc w:val="both"/>
        <w:rPr>
          <w:rFonts w:eastAsia="Arial"/>
          <w:color w:val="000000"/>
          <w:sz w:val="28"/>
          <w:szCs w:val="28"/>
        </w:rPr>
      </w:pPr>
      <w:r w:rsidRPr="00711734">
        <w:rPr>
          <w:rFonts w:eastAsia="Arial"/>
          <w:color w:val="000000"/>
          <w:sz w:val="28"/>
          <w:szCs w:val="28"/>
        </w:rPr>
        <w:t>Плановое задание на 2025 год на аппаратах ПЭТ/КТ установлено</w:t>
      </w:r>
      <w:r w:rsidR="00F35BBA">
        <w:rPr>
          <w:rFonts w:eastAsia="Arial"/>
          <w:color w:val="000000"/>
          <w:sz w:val="28"/>
          <w:szCs w:val="28"/>
        </w:rPr>
        <w:t>:</w:t>
      </w:r>
      <w:r w:rsidRPr="00711734">
        <w:rPr>
          <w:rFonts w:eastAsia="Arial"/>
          <w:color w:val="000000"/>
          <w:sz w:val="28"/>
          <w:szCs w:val="28"/>
        </w:rPr>
        <w:t xml:space="preserve"> 7</w:t>
      </w:r>
      <w:r w:rsidR="00321EDA">
        <w:rPr>
          <w:rFonts w:eastAsia="Arial"/>
          <w:color w:val="000000"/>
          <w:sz w:val="28"/>
          <w:szCs w:val="28"/>
        </w:rPr>
        <w:t> </w:t>
      </w:r>
      <w:r w:rsidRPr="00711734">
        <w:rPr>
          <w:rFonts w:eastAsia="Arial"/>
          <w:color w:val="000000"/>
          <w:sz w:val="28"/>
          <w:szCs w:val="28"/>
        </w:rPr>
        <w:t>961 исследовани</w:t>
      </w:r>
      <w:r w:rsidR="00763CBF">
        <w:rPr>
          <w:rFonts w:eastAsia="Arial"/>
          <w:color w:val="000000"/>
          <w:sz w:val="28"/>
          <w:szCs w:val="28"/>
        </w:rPr>
        <w:t>е</w:t>
      </w:r>
      <w:r w:rsidRPr="00711734">
        <w:rPr>
          <w:rFonts w:eastAsia="Arial"/>
          <w:color w:val="000000"/>
          <w:sz w:val="28"/>
          <w:szCs w:val="28"/>
        </w:rPr>
        <w:t xml:space="preserve"> ПЭТ/КТ.</w:t>
      </w:r>
    </w:p>
    <w:p w:rsidR="005E08CE" w:rsidRPr="00711734" w:rsidRDefault="005E08CE" w:rsidP="00711734">
      <w:pPr>
        <w:ind w:firstLine="709"/>
        <w:jc w:val="both"/>
        <w:rPr>
          <w:sz w:val="28"/>
          <w:szCs w:val="28"/>
        </w:rPr>
      </w:pPr>
    </w:p>
    <w:p w:rsidR="005E08CE" w:rsidRPr="00711734" w:rsidRDefault="00F35BBA" w:rsidP="00711734">
      <w:pPr>
        <w:ind w:firstLine="709"/>
        <w:jc w:val="both"/>
        <w:rPr>
          <w:sz w:val="28"/>
          <w:szCs w:val="28"/>
        </w:rPr>
      </w:pPr>
      <w:r>
        <w:rPr>
          <w:bCs/>
          <w:sz w:val="28"/>
          <w:szCs w:val="28"/>
        </w:rPr>
        <w:t>ОФЭКТ/</w:t>
      </w:r>
      <w:r w:rsidR="005E08CE" w:rsidRPr="00711734">
        <w:rPr>
          <w:bCs/>
          <w:sz w:val="28"/>
          <w:szCs w:val="28"/>
        </w:rPr>
        <w:t>КТ миокарда</w:t>
      </w:r>
      <w:r w:rsidR="005E08CE" w:rsidRPr="00711734">
        <w:rPr>
          <w:b/>
          <w:bCs/>
          <w:sz w:val="28"/>
          <w:szCs w:val="28"/>
        </w:rPr>
        <w:t xml:space="preserve"> </w:t>
      </w:r>
      <w:r w:rsidR="005E08CE" w:rsidRPr="00711734">
        <w:rPr>
          <w:sz w:val="28"/>
          <w:szCs w:val="28"/>
        </w:rPr>
        <w:t>с 99mTc-пирофосфатом</w:t>
      </w:r>
      <w:r w:rsidR="00321EDA">
        <w:rPr>
          <w:sz w:val="28"/>
          <w:szCs w:val="28"/>
        </w:rPr>
        <w:t>.</w:t>
      </w:r>
    </w:p>
    <w:p w:rsidR="005E08CE" w:rsidRPr="00711734" w:rsidRDefault="005E08CE" w:rsidP="00711734">
      <w:pPr>
        <w:ind w:firstLine="709"/>
        <w:jc w:val="both"/>
        <w:rPr>
          <w:sz w:val="28"/>
          <w:szCs w:val="28"/>
        </w:rPr>
      </w:pPr>
      <w:r w:rsidRPr="00711734">
        <w:rPr>
          <w:sz w:val="28"/>
          <w:szCs w:val="28"/>
        </w:rPr>
        <w:t>Метод предполагает внутривенное введение радиофармпрепарата 99mTc-пирофосфата и основан на оценке его включения и распределения в миокарде, что позволяет дифференцировать транстиретиновый амилоидоз (ATTR-амилоидоз или амилоидоз тяжелых цепей) от легких цепей (AL-амилоидоз) без использования эндомиокардиальной биопсии и позволяет выявить нарушения на ранней стадии развития.</w:t>
      </w:r>
    </w:p>
    <w:p w:rsidR="005E08CE" w:rsidRPr="00711734" w:rsidRDefault="005E08CE" w:rsidP="00711734">
      <w:pPr>
        <w:jc w:val="both"/>
        <w:rPr>
          <w:sz w:val="28"/>
          <w:szCs w:val="28"/>
        </w:rPr>
      </w:pPr>
    </w:p>
    <w:p w:rsidR="005E08CE" w:rsidRPr="00711734" w:rsidRDefault="00F35BBA" w:rsidP="00711734">
      <w:pPr>
        <w:ind w:firstLine="709"/>
        <w:jc w:val="both"/>
        <w:rPr>
          <w:sz w:val="28"/>
          <w:szCs w:val="28"/>
        </w:rPr>
      </w:pPr>
      <w:r>
        <w:rPr>
          <w:bCs/>
          <w:sz w:val="28"/>
          <w:szCs w:val="28"/>
        </w:rPr>
        <w:t>ОФЭКТ/</w:t>
      </w:r>
      <w:r w:rsidR="005E08CE" w:rsidRPr="00711734">
        <w:rPr>
          <w:bCs/>
          <w:sz w:val="28"/>
          <w:szCs w:val="28"/>
        </w:rPr>
        <w:t>КТ миокарда левого желудочка</w:t>
      </w:r>
      <w:r w:rsidR="005E08CE" w:rsidRPr="00711734">
        <w:rPr>
          <w:b/>
          <w:bCs/>
          <w:sz w:val="28"/>
          <w:szCs w:val="28"/>
        </w:rPr>
        <w:t xml:space="preserve"> </w:t>
      </w:r>
      <w:r w:rsidR="005E08CE" w:rsidRPr="00711734">
        <w:rPr>
          <w:sz w:val="28"/>
          <w:szCs w:val="28"/>
        </w:rPr>
        <w:t>в покое с 99mTc-технетрилом</w:t>
      </w:r>
      <w:r w:rsidR="00321EDA">
        <w:rPr>
          <w:sz w:val="28"/>
          <w:szCs w:val="28"/>
        </w:rPr>
        <w:t>.</w:t>
      </w:r>
    </w:p>
    <w:p w:rsidR="005E08CE" w:rsidRPr="00711734" w:rsidRDefault="005E08CE" w:rsidP="00711734">
      <w:pPr>
        <w:ind w:firstLine="709"/>
        <w:jc w:val="both"/>
        <w:rPr>
          <w:sz w:val="28"/>
          <w:szCs w:val="28"/>
        </w:rPr>
      </w:pPr>
      <w:r w:rsidRPr="00711734">
        <w:rPr>
          <w:sz w:val="28"/>
          <w:szCs w:val="28"/>
        </w:rPr>
        <w:t xml:space="preserve">Метод предполагает внутривенное введение радиофармпрепарата 99mTc-технетрила и основан на оценке его включения и распределения в миокарде, которое происходит пропорционально коронарному кровотоку. Выполнение исследования </w:t>
      </w:r>
      <w:r w:rsidR="00711734">
        <w:rPr>
          <w:sz w:val="28"/>
          <w:szCs w:val="28"/>
        </w:rPr>
        <w:br/>
      </w:r>
      <w:r w:rsidRPr="00711734">
        <w:rPr>
          <w:sz w:val="28"/>
          <w:szCs w:val="28"/>
        </w:rPr>
        <w:t>с ЭКГ-синхронизацией дает возможность получать информацию о сократимости миокарда, выявлять зоны гипокинезии, акинезии или дискинезии левого желудочка, получать количественные параметры систолической и диастолической функции. Данное исследование назначается для:</w:t>
      </w:r>
    </w:p>
    <w:p w:rsidR="005E08CE" w:rsidRPr="00711734" w:rsidRDefault="005E08CE" w:rsidP="00711734">
      <w:pPr>
        <w:autoSpaceDE/>
        <w:adjustRightInd/>
        <w:ind w:firstLine="709"/>
        <w:jc w:val="both"/>
        <w:rPr>
          <w:sz w:val="28"/>
          <w:szCs w:val="28"/>
        </w:rPr>
      </w:pPr>
      <w:r w:rsidRPr="00711734">
        <w:rPr>
          <w:sz w:val="28"/>
          <w:szCs w:val="28"/>
        </w:rPr>
        <w:t>оценки ишемии или</w:t>
      </w:r>
      <w:r w:rsidR="00321EDA">
        <w:rPr>
          <w:sz w:val="28"/>
          <w:szCs w:val="28"/>
        </w:rPr>
        <w:t xml:space="preserve"> рубцового повреждения миокарда;</w:t>
      </w:r>
    </w:p>
    <w:p w:rsidR="005E08CE" w:rsidRPr="00711734" w:rsidRDefault="005E08CE" w:rsidP="00711734">
      <w:pPr>
        <w:autoSpaceDE/>
        <w:adjustRightInd/>
        <w:ind w:firstLine="709"/>
        <w:jc w:val="both"/>
        <w:rPr>
          <w:sz w:val="28"/>
          <w:szCs w:val="28"/>
        </w:rPr>
      </w:pPr>
      <w:r w:rsidRPr="00711734">
        <w:rPr>
          <w:sz w:val="28"/>
          <w:szCs w:val="28"/>
        </w:rPr>
        <w:t>о</w:t>
      </w:r>
      <w:r w:rsidR="00321EDA">
        <w:rPr>
          <w:sz w:val="28"/>
          <w:szCs w:val="28"/>
        </w:rPr>
        <w:t>ценки жизнеспособности миокарда;</w:t>
      </w:r>
    </w:p>
    <w:p w:rsidR="005E08CE" w:rsidRPr="00711734" w:rsidRDefault="005E08CE" w:rsidP="00711734">
      <w:pPr>
        <w:autoSpaceDE/>
        <w:adjustRightInd/>
        <w:ind w:firstLine="709"/>
        <w:jc w:val="both"/>
        <w:rPr>
          <w:sz w:val="28"/>
          <w:szCs w:val="28"/>
        </w:rPr>
      </w:pPr>
      <w:r w:rsidRPr="00711734">
        <w:rPr>
          <w:sz w:val="28"/>
          <w:szCs w:val="28"/>
        </w:rPr>
        <w:t>прогноза степени риск</w:t>
      </w:r>
      <w:r w:rsidR="00321EDA">
        <w:rPr>
          <w:sz w:val="28"/>
          <w:szCs w:val="28"/>
        </w:rPr>
        <w:t>а сердечных событий у пациентов;</w:t>
      </w:r>
    </w:p>
    <w:p w:rsidR="005E08CE" w:rsidRPr="00711734" w:rsidRDefault="005E08CE" w:rsidP="00711734">
      <w:pPr>
        <w:autoSpaceDE/>
        <w:adjustRightInd/>
        <w:ind w:firstLine="709"/>
        <w:jc w:val="both"/>
        <w:rPr>
          <w:sz w:val="28"/>
          <w:szCs w:val="28"/>
        </w:rPr>
      </w:pPr>
      <w:r w:rsidRPr="00711734">
        <w:rPr>
          <w:sz w:val="28"/>
          <w:szCs w:val="28"/>
        </w:rPr>
        <w:t>контроля и оценки эффективности лечения.</w:t>
      </w:r>
    </w:p>
    <w:p w:rsidR="005E08CE" w:rsidRPr="00711734" w:rsidRDefault="005E08CE" w:rsidP="00711734">
      <w:pPr>
        <w:tabs>
          <w:tab w:val="left" w:pos="720"/>
        </w:tabs>
        <w:jc w:val="both"/>
        <w:rPr>
          <w:sz w:val="28"/>
          <w:szCs w:val="28"/>
        </w:rPr>
      </w:pPr>
    </w:p>
    <w:p w:rsidR="005E08CE" w:rsidRPr="00711734" w:rsidRDefault="005E08CE" w:rsidP="00711734">
      <w:pPr>
        <w:ind w:firstLine="709"/>
        <w:jc w:val="both"/>
        <w:rPr>
          <w:b/>
          <w:bCs/>
          <w:sz w:val="28"/>
          <w:szCs w:val="28"/>
        </w:rPr>
      </w:pPr>
      <w:r w:rsidRPr="00711734">
        <w:rPr>
          <w:bCs/>
          <w:sz w:val="28"/>
          <w:szCs w:val="28"/>
        </w:rPr>
        <w:t>Сцинтиграфия паращитовидных желез</w:t>
      </w:r>
      <w:r w:rsidRPr="00711734">
        <w:rPr>
          <w:b/>
          <w:bCs/>
          <w:sz w:val="28"/>
          <w:szCs w:val="28"/>
        </w:rPr>
        <w:t xml:space="preserve"> </w:t>
      </w:r>
      <w:r w:rsidRPr="00711734">
        <w:rPr>
          <w:bCs/>
          <w:sz w:val="28"/>
          <w:szCs w:val="28"/>
        </w:rPr>
        <w:t>с 99mTc-технетрилом</w:t>
      </w:r>
      <w:r w:rsidR="00321EDA">
        <w:rPr>
          <w:bCs/>
          <w:sz w:val="28"/>
          <w:szCs w:val="28"/>
        </w:rPr>
        <w:t>.</w:t>
      </w:r>
    </w:p>
    <w:p w:rsidR="005E08CE" w:rsidRPr="00711734" w:rsidRDefault="005E08CE" w:rsidP="00711734">
      <w:pPr>
        <w:ind w:firstLine="709"/>
        <w:jc w:val="both"/>
        <w:rPr>
          <w:sz w:val="28"/>
          <w:szCs w:val="28"/>
        </w:rPr>
      </w:pPr>
      <w:r w:rsidRPr="00711734">
        <w:rPr>
          <w:sz w:val="28"/>
          <w:szCs w:val="28"/>
        </w:rPr>
        <w:t xml:space="preserve">Метод предполагает внутривенное введение радиофармпрепарата 99mTc-технетрила и основан на различном его включении и распределении в щитовидной и паращитовидных железах </w:t>
      </w:r>
      <w:r w:rsidRPr="00711734">
        <w:rPr>
          <w:color w:val="000000"/>
          <w:sz w:val="26"/>
          <w:szCs w:val="26"/>
        </w:rPr>
        <w:t>–</w:t>
      </w:r>
      <w:r w:rsidRPr="00711734">
        <w:rPr>
          <w:sz w:val="28"/>
          <w:szCs w:val="28"/>
        </w:rPr>
        <w:t xml:space="preserve"> тиреоидная и паратиреоидная фазы соответственно, сравнение </w:t>
      </w:r>
      <w:r w:rsidR="00233D7A" w:rsidRPr="00711734">
        <w:rPr>
          <w:sz w:val="28"/>
          <w:szCs w:val="28"/>
        </w:rPr>
        <w:t xml:space="preserve">этих </w:t>
      </w:r>
      <w:r w:rsidRPr="00711734">
        <w:rPr>
          <w:sz w:val="28"/>
          <w:szCs w:val="28"/>
        </w:rPr>
        <w:t>изображений позволяет дифференцировать щитовидную и паращитовидные железы.</w:t>
      </w:r>
    </w:p>
    <w:p w:rsidR="005E08CE" w:rsidRPr="00711734" w:rsidRDefault="005E08CE" w:rsidP="00711734">
      <w:pPr>
        <w:ind w:firstLine="709"/>
        <w:jc w:val="both"/>
        <w:rPr>
          <w:sz w:val="28"/>
          <w:szCs w:val="28"/>
        </w:rPr>
      </w:pPr>
      <w:r w:rsidRPr="00711734">
        <w:rPr>
          <w:sz w:val="28"/>
          <w:szCs w:val="28"/>
        </w:rPr>
        <w:t xml:space="preserve">Данное исследование назначается для выявления гормон-продуцирующей аденомы у больных с повышением уровня паратгормона, увеличением паращитовидных желез, а также при нефролитиазе и остеопорозе. </w:t>
      </w:r>
    </w:p>
    <w:p w:rsidR="00824251" w:rsidRPr="00711734" w:rsidRDefault="00824251" w:rsidP="00711734">
      <w:pPr>
        <w:jc w:val="both"/>
        <w:rPr>
          <w:sz w:val="28"/>
          <w:szCs w:val="28"/>
          <w:highlight w:val="cyan"/>
        </w:rPr>
      </w:pPr>
    </w:p>
    <w:p w:rsidR="00E35FD0" w:rsidRPr="00711734" w:rsidRDefault="00E35FD0" w:rsidP="00321EDA">
      <w:pPr>
        <w:ind w:firstLine="709"/>
        <w:jc w:val="both"/>
        <w:rPr>
          <w:rFonts w:eastAsia="Arial"/>
          <w:sz w:val="28"/>
          <w:szCs w:val="28"/>
        </w:rPr>
      </w:pPr>
      <w:r w:rsidRPr="00711734">
        <w:rPr>
          <w:rFonts w:eastAsia="Arial"/>
          <w:sz w:val="28"/>
          <w:szCs w:val="28"/>
        </w:rPr>
        <w:t>Отделение р</w:t>
      </w:r>
      <w:r w:rsidR="005E08CE" w:rsidRPr="00711734">
        <w:rPr>
          <w:rFonts w:eastAsia="Arial"/>
          <w:sz w:val="28"/>
          <w:szCs w:val="28"/>
        </w:rPr>
        <w:t xml:space="preserve">адионуклидной диагностики </w:t>
      </w:r>
      <w:r w:rsidR="005E08CE" w:rsidRPr="00711734">
        <w:rPr>
          <w:sz w:val="28"/>
          <w:szCs w:val="28"/>
        </w:rPr>
        <w:t>ГАУЗ «Республиканская клиниче</w:t>
      </w:r>
      <w:r w:rsidR="00E65A31">
        <w:rPr>
          <w:sz w:val="28"/>
          <w:szCs w:val="28"/>
        </w:rPr>
        <w:t>-</w:t>
      </w:r>
      <w:r w:rsidR="005E08CE" w:rsidRPr="00711734">
        <w:rPr>
          <w:sz w:val="28"/>
          <w:szCs w:val="28"/>
        </w:rPr>
        <w:t>ская больница Министерства зддравоохранения Республики Татарстан»</w:t>
      </w:r>
      <w:r w:rsidR="005E08CE" w:rsidRPr="00711734">
        <w:rPr>
          <w:rFonts w:eastAsia="Arial"/>
          <w:sz w:val="28"/>
          <w:szCs w:val="28"/>
        </w:rPr>
        <w:t xml:space="preserve"> </w:t>
      </w:r>
      <w:r w:rsidRPr="00711734">
        <w:rPr>
          <w:rFonts w:eastAsia="Arial"/>
          <w:sz w:val="28"/>
          <w:szCs w:val="28"/>
        </w:rPr>
        <w:t xml:space="preserve">работает </w:t>
      </w:r>
      <w:r w:rsidR="00E65A31">
        <w:rPr>
          <w:rFonts w:eastAsia="Arial"/>
          <w:sz w:val="28"/>
          <w:szCs w:val="28"/>
        </w:rPr>
        <w:br/>
      </w:r>
      <w:r w:rsidRPr="00711734">
        <w:rPr>
          <w:rFonts w:eastAsia="Arial"/>
          <w:sz w:val="28"/>
          <w:szCs w:val="28"/>
        </w:rPr>
        <w:t>в 2 смены, выполняется более 25 методик исследования по разным профилям.</w:t>
      </w:r>
    </w:p>
    <w:p w:rsidR="00E35FD0" w:rsidRPr="00711734" w:rsidRDefault="00E35FD0" w:rsidP="00321EDA">
      <w:pPr>
        <w:ind w:firstLine="709"/>
        <w:jc w:val="both"/>
        <w:rPr>
          <w:rFonts w:eastAsia="Arial"/>
          <w:sz w:val="28"/>
          <w:szCs w:val="28"/>
        </w:rPr>
      </w:pPr>
      <w:r w:rsidRPr="00711734">
        <w:rPr>
          <w:rFonts w:eastAsia="Arial"/>
          <w:sz w:val="28"/>
          <w:szCs w:val="28"/>
        </w:rPr>
        <w:t xml:space="preserve">Отделение радионуклидной диагностики </w:t>
      </w:r>
      <w:r w:rsidR="005E08CE" w:rsidRPr="00711734">
        <w:rPr>
          <w:sz w:val="28"/>
          <w:szCs w:val="28"/>
        </w:rPr>
        <w:t>ГАУЗ «Межрегиональный клинико-диагностический центр»</w:t>
      </w:r>
      <w:r w:rsidR="005E08CE" w:rsidRPr="00711734">
        <w:rPr>
          <w:rFonts w:eastAsia="Arial"/>
          <w:sz w:val="28"/>
          <w:szCs w:val="28"/>
        </w:rPr>
        <w:t xml:space="preserve"> </w:t>
      </w:r>
      <w:r w:rsidRPr="00711734">
        <w:rPr>
          <w:rFonts w:eastAsia="Arial"/>
          <w:sz w:val="28"/>
          <w:szCs w:val="28"/>
        </w:rPr>
        <w:t>работает в 1 смену, выполняется около 20 методик исследования по разным профилям.</w:t>
      </w:r>
    </w:p>
    <w:p w:rsidR="00E35FD0" w:rsidRPr="005126B4" w:rsidRDefault="00E35FD0" w:rsidP="00321EDA">
      <w:pPr>
        <w:ind w:firstLine="709"/>
        <w:jc w:val="both"/>
        <w:rPr>
          <w:rFonts w:eastAsia="Arial"/>
          <w:sz w:val="28"/>
          <w:szCs w:val="28"/>
        </w:rPr>
      </w:pPr>
      <w:r w:rsidRPr="005126B4">
        <w:rPr>
          <w:rFonts w:eastAsia="Arial"/>
          <w:sz w:val="28"/>
          <w:szCs w:val="28"/>
        </w:rPr>
        <w:t xml:space="preserve">Отделение радионуклидной диагностики </w:t>
      </w:r>
      <w:r w:rsidR="005E08CE" w:rsidRPr="005126B4">
        <w:rPr>
          <w:sz w:val="28"/>
          <w:szCs w:val="28"/>
        </w:rPr>
        <w:t>ГАУЗ Республики Татарстан «Больница скорой медицинской помощи</w:t>
      </w:r>
      <w:r w:rsidR="005126B4" w:rsidRPr="005126B4">
        <w:rPr>
          <w:sz w:val="28"/>
          <w:szCs w:val="28"/>
        </w:rPr>
        <w:t xml:space="preserve"> </w:t>
      </w:r>
      <w:r w:rsidR="005126B4" w:rsidRPr="005126B4">
        <w:rPr>
          <w:rFonts w:eastAsia="Calibri"/>
          <w:sz w:val="28"/>
          <w:szCs w:val="28"/>
        </w:rPr>
        <w:t>им. Р.С.Акчурина»</w:t>
      </w:r>
      <w:r w:rsidR="005E08CE" w:rsidRPr="005126B4">
        <w:rPr>
          <w:sz w:val="28"/>
          <w:szCs w:val="28"/>
        </w:rPr>
        <w:t xml:space="preserve"> г.Набережные Челны</w:t>
      </w:r>
      <w:r w:rsidR="005E08CE" w:rsidRPr="005126B4">
        <w:rPr>
          <w:rFonts w:eastAsia="Arial"/>
          <w:sz w:val="28"/>
          <w:szCs w:val="28"/>
        </w:rPr>
        <w:t xml:space="preserve"> </w:t>
      </w:r>
      <w:r w:rsidRPr="005126B4">
        <w:rPr>
          <w:rFonts w:eastAsia="Arial"/>
          <w:sz w:val="28"/>
          <w:szCs w:val="28"/>
        </w:rPr>
        <w:t>работает в 1 смену, выполняется 4 вида исследования</w:t>
      </w:r>
      <w:r w:rsidR="00140FFE" w:rsidRPr="005126B4">
        <w:rPr>
          <w:rFonts w:eastAsia="Arial"/>
          <w:sz w:val="28"/>
          <w:szCs w:val="28"/>
        </w:rPr>
        <w:t>.</w:t>
      </w:r>
    </w:p>
    <w:p w:rsidR="005E08CE" w:rsidRPr="00711734" w:rsidRDefault="005E08CE" w:rsidP="00321EDA">
      <w:pPr>
        <w:ind w:firstLine="709"/>
        <w:jc w:val="both"/>
        <w:rPr>
          <w:sz w:val="28"/>
          <w:szCs w:val="28"/>
        </w:rPr>
      </w:pPr>
    </w:p>
    <w:p w:rsidR="006E51B5" w:rsidRDefault="00824251" w:rsidP="008E39BF">
      <w:pPr>
        <w:jc w:val="both"/>
        <w:rPr>
          <w:sz w:val="28"/>
          <w:szCs w:val="28"/>
          <w:highlight w:val="cyan"/>
        </w:rPr>
        <w:sectPr w:rsidR="006E51B5" w:rsidSect="00C87EFE">
          <w:pgSz w:w="11906" w:h="16838"/>
          <w:pgMar w:top="1134" w:right="567" w:bottom="1134" w:left="1134" w:header="709" w:footer="709" w:gutter="0"/>
          <w:cols w:space="708"/>
          <w:docGrid w:linePitch="360"/>
        </w:sectPr>
      </w:pPr>
      <w:r w:rsidRPr="00711734">
        <w:rPr>
          <w:sz w:val="28"/>
          <w:szCs w:val="28"/>
        </w:rPr>
        <w:tab/>
        <w:t>Прогнозная потребность населения Республики Татарстан в диагностических исследованиях с применением радиофармацевтических лекарственных препаратов на период 2025</w:t>
      </w:r>
      <w:r w:rsidR="00711734">
        <w:rPr>
          <w:sz w:val="28"/>
          <w:szCs w:val="28"/>
        </w:rPr>
        <w:t xml:space="preserve"> – 2030 год</w:t>
      </w:r>
      <w:r w:rsidR="00321EDA">
        <w:rPr>
          <w:sz w:val="28"/>
          <w:szCs w:val="28"/>
        </w:rPr>
        <w:t>ов</w:t>
      </w:r>
      <w:r w:rsidR="00711734">
        <w:rPr>
          <w:sz w:val="28"/>
          <w:szCs w:val="28"/>
        </w:rPr>
        <w:t xml:space="preserve"> п</w:t>
      </w:r>
      <w:r w:rsidRPr="00711734">
        <w:rPr>
          <w:sz w:val="28"/>
          <w:szCs w:val="28"/>
        </w:rPr>
        <w:t>редставлена в таблице 23.1</w:t>
      </w:r>
      <w:r w:rsidR="00140FFE" w:rsidRPr="00711734">
        <w:rPr>
          <w:sz w:val="28"/>
          <w:szCs w:val="28"/>
        </w:rPr>
        <w:t>.</w:t>
      </w:r>
      <w:r w:rsidR="008E39BF">
        <w:rPr>
          <w:sz w:val="28"/>
          <w:szCs w:val="28"/>
        </w:rPr>
        <w:t xml:space="preserve">  </w:t>
      </w:r>
    </w:p>
    <w:p w:rsidR="00824251" w:rsidRPr="005E08CE" w:rsidRDefault="00F27227" w:rsidP="007A08A2">
      <w:pPr>
        <w:ind w:left="12053" w:firstLine="709"/>
        <w:jc w:val="right"/>
        <w:rPr>
          <w:sz w:val="28"/>
          <w:szCs w:val="28"/>
        </w:rPr>
      </w:pPr>
      <w:r w:rsidRPr="005E08CE">
        <w:rPr>
          <w:sz w:val="28"/>
          <w:szCs w:val="28"/>
        </w:rPr>
        <w:t>Таблица 23.</w:t>
      </w:r>
      <w:r w:rsidR="00824251" w:rsidRPr="005E08CE">
        <w:rPr>
          <w:sz w:val="28"/>
          <w:szCs w:val="28"/>
        </w:rPr>
        <w:t>1</w:t>
      </w:r>
    </w:p>
    <w:p w:rsidR="00B05DEE" w:rsidRPr="007A08A2" w:rsidRDefault="00B05DEE" w:rsidP="00B05DEE">
      <w:pPr>
        <w:ind w:left="7799" w:firstLine="709"/>
        <w:rPr>
          <w:sz w:val="18"/>
          <w:szCs w:val="18"/>
        </w:rPr>
      </w:pPr>
    </w:p>
    <w:p w:rsidR="007A08A2" w:rsidRDefault="00824251" w:rsidP="00824251">
      <w:pPr>
        <w:jc w:val="center"/>
        <w:rPr>
          <w:sz w:val="28"/>
          <w:szCs w:val="28"/>
        </w:rPr>
      </w:pPr>
      <w:r w:rsidRPr="005E08CE">
        <w:rPr>
          <w:sz w:val="28"/>
          <w:szCs w:val="28"/>
        </w:rPr>
        <w:t xml:space="preserve">Прогнозная потребность населения Республики Татарстан в диагностических исследованиях </w:t>
      </w:r>
    </w:p>
    <w:p w:rsidR="00824251" w:rsidRPr="005E08CE" w:rsidRDefault="00824251" w:rsidP="00824251">
      <w:pPr>
        <w:jc w:val="center"/>
        <w:rPr>
          <w:sz w:val="28"/>
          <w:szCs w:val="28"/>
        </w:rPr>
      </w:pPr>
      <w:r w:rsidRPr="005E08CE">
        <w:rPr>
          <w:sz w:val="28"/>
          <w:szCs w:val="28"/>
        </w:rPr>
        <w:t>с применением радиофармацевтических лекарственных препаратов на период 2025</w:t>
      </w:r>
      <w:r w:rsidR="007A08A2">
        <w:rPr>
          <w:sz w:val="28"/>
          <w:szCs w:val="28"/>
        </w:rPr>
        <w:t xml:space="preserve"> – 2030 год</w:t>
      </w:r>
      <w:r w:rsidR="00CC5E18">
        <w:rPr>
          <w:sz w:val="28"/>
          <w:szCs w:val="28"/>
        </w:rPr>
        <w:t>ов</w:t>
      </w:r>
    </w:p>
    <w:p w:rsidR="00343A8C" w:rsidRPr="00E65A31" w:rsidRDefault="00343A8C" w:rsidP="00824251">
      <w:pPr>
        <w:jc w:val="center"/>
        <w:rPr>
          <w:szCs w:val="28"/>
        </w:rPr>
      </w:pPr>
    </w:p>
    <w:tbl>
      <w:tblPr>
        <w:tblStyle w:val="af1"/>
        <w:tblW w:w="15111" w:type="dxa"/>
        <w:tblLook w:val="04A0" w:firstRow="1" w:lastRow="0" w:firstColumn="1" w:lastColumn="0" w:noHBand="0" w:noVBand="1"/>
      </w:tblPr>
      <w:tblGrid>
        <w:gridCol w:w="1555"/>
        <w:gridCol w:w="1353"/>
        <w:gridCol w:w="1203"/>
        <w:gridCol w:w="1203"/>
        <w:gridCol w:w="1204"/>
        <w:gridCol w:w="1351"/>
        <w:gridCol w:w="12"/>
        <w:gridCol w:w="1264"/>
        <w:gridCol w:w="1204"/>
        <w:gridCol w:w="1204"/>
        <w:gridCol w:w="1204"/>
        <w:gridCol w:w="1090"/>
        <w:gridCol w:w="1264"/>
      </w:tblGrid>
      <w:tr w:rsidR="00824251" w:rsidRPr="005E08CE" w:rsidTr="007A08A2">
        <w:trPr>
          <w:trHeight w:val="20"/>
        </w:trPr>
        <w:tc>
          <w:tcPr>
            <w:tcW w:w="7881" w:type="dxa"/>
            <w:gridSpan w:val="7"/>
          </w:tcPr>
          <w:p w:rsidR="007A08A2" w:rsidRDefault="00824251" w:rsidP="00B06097">
            <w:pPr>
              <w:jc w:val="center"/>
            </w:pPr>
            <w:r w:rsidRPr="005E08CE">
              <w:t>Однофотонная эмиссионная компьютерная томография,</w:t>
            </w:r>
            <w:r w:rsidR="007A08A2">
              <w:t xml:space="preserve"> </w:t>
            </w:r>
            <w:r w:rsidR="005E08CE" w:rsidRPr="005E08CE">
              <w:t>в том числе</w:t>
            </w:r>
            <w:r w:rsidRPr="005E08CE">
              <w:t xml:space="preserve"> </w:t>
            </w:r>
          </w:p>
          <w:p w:rsidR="00824251" w:rsidRPr="005E08CE" w:rsidRDefault="00824251" w:rsidP="00B06097">
            <w:pPr>
              <w:jc w:val="center"/>
            </w:pPr>
            <w:r w:rsidRPr="005E08CE">
              <w:t>с рентгеновской компьютерной томографией</w:t>
            </w:r>
            <w:r w:rsidR="00CC5E18">
              <w:t>,</w:t>
            </w:r>
            <w:r w:rsidRPr="005E08CE">
              <w:t xml:space="preserve"> и другие сцинтиграфические исследования</w:t>
            </w:r>
            <w:r w:rsidR="005E08CE" w:rsidRPr="005E08CE">
              <w:t>,</w:t>
            </w:r>
            <w:r w:rsidR="007A08A2">
              <w:t xml:space="preserve"> </w:t>
            </w:r>
            <w:r w:rsidR="005E08CE" w:rsidRPr="005E08CE">
              <w:t>исследований в год</w:t>
            </w:r>
          </w:p>
        </w:tc>
        <w:tc>
          <w:tcPr>
            <w:tcW w:w="7230" w:type="dxa"/>
            <w:gridSpan w:val="6"/>
          </w:tcPr>
          <w:p w:rsidR="00824251" w:rsidRPr="005E08CE" w:rsidRDefault="00824251" w:rsidP="00B06097">
            <w:pPr>
              <w:jc w:val="center"/>
            </w:pPr>
            <w:r w:rsidRPr="005E08CE">
              <w:t>Позитронно-эмиссионная томография</w:t>
            </w:r>
            <w:r w:rsidR="005E08CE" w:rsidRPr="005E08CE">
              <w:t>, в том числе</w:t>
            </w:r>
            <w:r w:rsidRPr="005E08CE">
              <w:t xml:space="preserve"> с рентгеновской компьютерной томографией</w:t>
            </w:r>
            <w:r w:rsidR="005E08CE" w:rsidRPr="005E08CE">
              <w:t>,</w:t>
            </w:r>
          </w:p>
          <w:p w:rsidR="00824251" w:rsidRPr="005E08CE" w:rsidRDefault="00824251" w:rsidP="00B06097">
            <w:pPr>
              <w:jc w:val="center"/>
            </w:pPr>
            <w:r w:rsidRPr="005E08CE">
              <w:t>исследований</w:t>
            </w:r>
            <w:r w:rsidR="005E08CE" w:rsidRPr="005E08CE">
              <w:t xml:space="preserve"> в год</w:t>
            </w:r>
          </w:p>
        </w:tc>
      </w:tr>
      <w:tr w:rsidR="00824251" w:rsidRPr="005E08CE" w:rsidTr="007A08A2">
        <w:trPr>
          <w:trHeight w:val="20"/>
        </w:trPr>
        <w:tc>
          <w:tcPr>
            <w:tcW w:w="1555" w:type="dxa"/>
          </w:tcPr>
          <w:p w:rsidR="00824251" w:rsidRPr="005E08CE" w:rsidRDefault="00824251" w:rsidP="00B06097">
            <w:pPr>
              <w:jc w:val="center"/>
            </w:pPr>
            <w:r w:rsidRPr="005E08CE">
              <w:t>2025</w:t>
            </w:r>
            <w:r w:rsidR="007A08A2">
              <w:t xml:space="preserve"> г.</w:t>
            </w:r>
          </w:p>
        </w:tc>
        <w:tc>
          <w:tcPr>
            <w:tcW w:w="1353" w:type="dxa"/>
          </w:tcPr>
          <w:p w:rsidR="00824251" w:rsidRPr="005E08CE" w:rsidRDefault="00824251" w:rsidP="00B06097">
            <w:pPr>
              <w:jc w:val="center"/>
            </w:pPr>
            <w:r w:rsidRPr="005E08CE">
              <w:t>2026</w:t>
            </w:r>
            <w:r w:rsidR="007A08A2">
              <w:t xml:space="preserve"> г.</w:t>
            </w:r>
          </w:p>
        </w:tc>
        <w:tc>
          <w:tcPr>
            <w:tcW w:w="1203" w:type="dxa"/>
          </w:tcPr>
          <w:p w:rsidR="00824251" w:rsidRPr="005E08CE" w:rsidRDefault="00824251" w:rsidP="00B06097">
            <w:pPr>
              <w:jc w:val="center"/>
            </w:pPr>
            <w:r w:rsidRPr="005E08CE">
              <w:t>2027</w:t>
            </w:r>
            <w:r w:rsidR="007A08A2">
              <w:t xml:space="preserve"> г.</w:t>
            </w:r>
          </w:p>
        </w:tc>
        <w:tc>
          <w:tcPr>
            <w:tcW w:w="1203" w:type="dxa"/>
          </w:tcPr>
          <w:p w:rsidR="00824251" w:rsidRPr="005E08CE" w:rsidRDefault="00824251" w:rsidP="00B06097">
            <w:pPr>
              <w:jc w:val="center"/>
            </w:pPr>
            <w:r w:rsidRPr="005E08CE">
              <w:t>2028</w:t>
            </w:r>
            <w:r w:rsidR="007A08A2">
              <w:t xml:space="preserve"> г.</w:t>
            </w:r>
          </w:p>
        </w:tc>
        <w:tc>
          <w:tcPr>
            <w:tcW w:w="1204" w:type="dxa"/>
          </w:tcPr>
          <w:p w:rsidR="00824251" w:rsidRPr="005E08CE" w:rsidRDefault="00824251" w:rsidP="00B06097">
            <w:pPr>
              <w:jc w:val="center"/>
            </w:pPr>
            <w:r w:rsidRPr="005E08CE">
              <w:t>2029</w:t>
            </w:r>
            <w:r w:rsidR="007A08A2">
              <w:t xml:space="preserve"> г.</w:t>
            </w:r>
          </w:p>
        </w:tc>
        <w:tc>
          <w:tcPr>
            <w:tcW w:w="1351" w:type="dxa"/>
          </w:tcPr>
          <w:p w:rsidR="00824251" w:rsidRPr="005E08CE" w:rsidRDefault="00824251" w:rsidP="00B06097">
            <w:pPr>
              <w:jc w:val="center"/>
            </w:pPr>
            <w:r w:rsidRPr="005E08CE">
              <w:t>2030</w:t>
            </w:r>
            <w:r w:rsidR="007A08A2">
              <w:t xml:space="preserve"> г.</w:t>
            </w:r>
          </w:p>
        </w:tc>
        <w:tc>
          <w:tcPr>
            <w:tcW w:w="1276" w:type="dxa"/>
            <w:gridSpan w:val="2"/>
          </w:tcPr>
          <w:p w:rsidR="00824251" w:rsidRPr="005E08CE" w:rsidRDefault="00824251" w:rsidP="00B06097">
            <w:pPr>
              <w:jc w:val="center"/>
            </w:pPr>
            <w:r w:rsidRPr="005E08CE">
              <w:t>2025</w:t>
            </w:r>
            <w:r w:rsidR="007A08A2">
              <w:t xml:space="preserve"> г.</w:t>
            </w:r>
          </w:p>
        </w:tc>
        <w:tc>
          <w:tcPr>
            <w:tcW w:w="1204" w:type="dxa"/>
          </w:tcPr>
          <w:p w:rsidR="00824251" w:rsidRPr="005E08CE" w:rsidRDefault="007A08A2" w:rsidP="00B06097">
            <w:pPr>
              <w:jc w:val="center"/>
            </w:pPr>
            <w:r>
              <w:t>2</w:t>
            </w:r>
            <w:r w:rsidR="00824251" w:rsidRPr="005E08CE">
              <w:t>026</w:t>
            </w:r>
            <w:r>
              <w:t xml:space="preserve"> г.</w:t>
            </w:r>
          </w:p>
        </w:tc>
        <w:tc>
          <w:tcPr>
            <w:tcW w:w="1204" w:type="dxa"/>
          </w:tcPr>
          <w:p w:rsidR="00824251" w:rsidRPr="005E08CE" w:rsidRDefault="00824251" w:rsidP="00B06097">
            <w:pPr>
              <w:jc w:val="center"/>
            </w:pPr>
            <w:r w:rsidRPr="005E08CE">
              <w:t>2027</w:t>
            </w:r>
            <w:r w:rsidR="007A08A2">
              <w:t xml:space="preserve"> г.</w:t>
            </w:r>
          </w:p>
        </w:tc>
        <w:tc>
          <w:tcPr>
            <w:tcW w:w="1204" w:type="dxa"/>
          </w:tcPr>
          <w:p w:rsidR="00824251" w:rsidRPr="005E08CE" w:rsidRDefault="00824251" w:rsidP="00B06097">
            <w:pPr>
              <w:jc w:val="center"/>
            </w:pPr>
            <w:r w:rsidRPr="005E08CE">
              <w:t>2028</w:t>
            </w:r>
            <w:r w:rsidR="007A08A2">
              <w:t xml:space="preserve"> г.</w:t>
            </w:r>
          </w:p>
        </w:tc>
        <w:tc>
          <w:tcPr>
            <w:tcW w:w="1090" w:type="dxa"/>
          </w:tcPr>
          <w:p w:rsidR="00824251" w:rsidRPr="005E08CE" w:rsidRDefault="00824251" w:rsidP="00B06097">
            <w:pPr>
              <w:jc w:val="center"/>
            </w:pPr>
            <w:r w:rsidRPr="005E08CE">
              <w:t>2029</w:t>
            </w:r>
            <w:r w:rsidR="007A08A2">
              <w:t xml:space="preserve"> г.</w:t>
            </w:r>
          </w:p>
        </w:tc>
        <w:tc>
          <w:tcPr>
            <w:tcW w:w="1264" w:type="dxa"/>
          </w:tcPr>
          <w:p w:rsidR="00824251" w:rsidRPr="005E08CE" w:rsidRDefault="00824251" w:rsidP="00B06097">
            <w:pPr>
              <w:jc w:val="center"/>
            </w:pPr>
            <w:r w:rsidRPr="005E08CE">
              <w:t>2030</w:t>
            </w:r>
            <w:r w:rsidR="007A08A2">
              <w:t xml:space="preserve"> г.</w:t>
            </w:r>
          </w:p>
        </w:tc>
      </w:tr>
      <w:tr w:rsidR="00824251" w:rsidRPr="005E08CE" w:rsidTr="007A08A2">
        <w:trPr>
          <w:trHeight w:val="20"/>
        </w:trPr>
        <w:tc>
          <w:tcPr>
            <w:tcW w:w="15111" w:type="dxa"/>
            <w:gridSpan w:val="13"/>
          </w:tcPr>
          <w:p w:rsidR="00824251" w:rsidRPr="005E08CE" w:rsidRDefault="00824251" w:rsidP="00B06097">
            <w:pPr>
              <w:jc w:val="center"/>
            </w:pPr>
            <w:r w:rsidRPr="005E08CE">
              <w:t>Новообразования (Коды МКБ-10: С00</w:t>
            </w:r>
            <w:r w:rsidR="00CC5E18">
              <w:t xml:space="preserve"> – </w:t>
            </w:r>
            <w:r w:rsidRPr="005E08CE">
              <w:t>В48)</w:t>
            </w:r>
          </w:p>
        </w:tc>
      </w:tr>
      <w:tr w:rsidR="00824251" w:rsidRPr="005E08CE" w:rsidTr="007A08A2">
        <w:trPr>
          <w:trHeight w:val="20"/>
        </w:trPr>
        <w:tc>
          <w:tcPr>
            <w:tcW w:w="1555" w:type="dxa"/>
          </w:tcPr>
          <w:p w:rsidR="00824251" w:rsidRPr="005E08CE" w:rsidRDefault="00824251" w:rsidP="00B06097">
            <w:pPr>
              <w:jc w:val="center"/>
            </w:pPr>
            <w:r w:rsidRPr="005E08CE">
              <w:t>8 473</w:t>
            </w:r>
          </w:p>
        </w:tc>
        <w:tc>
          <w:tcPr>
            <w:tcW w:w="1353" w:type="dxa"/>
          </w:tcPr>
          <w:p w:rsidR="00824251" w:rsidRPr="005E08CE" w:rsidRDefault="00824251" w:rsidP="00B06097">
            <w:pPr>
              <w:jc w:val="center"/>
            </w:pPr>
            <w:r w:rsidRPr="005E08CE">
              <w:t>8 746</w:t>
            </w:r>
          </w:p>
        </w:tc>
        <w:tc>
          <w:tcPr>
            <w:tcW w:w="1203" w:type="dxa"/>
          </w:tcPr>
          <w:p w:rsidR="00824251" w:rsidRPr="005E08CE" w:rsidRDefault="00824251" w:rsidP="00B06097">
            <w:pPr>
              <w:jc w:val="center"/>
            </w:pPr>
            <w:r w:rsidRPr="005E08CE">
              <w:t>9 020</w:t>
            </w:r>
          </w:p>
        </w:tc>
        <w:tc>
          <w:tcPr>
            <w:tcW w:w="1203" w:type="dxa"/>
          </w:tcPr>
          <w:p w:rsidR="00824251" w:rsidRPr="005E08CE" w:rsidRDefault="00824251" w:rsidP="00B06097">
            <w:pPr>
              <w:jc w:val="center"/>
            </w:pPr>
            <w:r w:rsidRPr="005E08CE">
              <w:t>9 293</w:t>
            </w:r>
          </w:p>
        </w:tc>
        <w:tc>
          <w:tcPr>
            <w:tcW w:w="1204" w:type="dxa"/>
          </w:tcPr>
          <w:p w:rsidR="00824251" w:rsidRPr="005E08CE" w:rsidRDefault="00824251" w:rsidP="00B06097">
            <w:pPr>
              <w:jc w:val="center"/>
            </w:pPr>
            <w:r w:rsidRPr="005E08CE">
              <w:t>9 566</w:t>
            </w:r>
          </w:p>
        </w:tc>
        <w:tc>
          <w:tcPr>
            <w:tcW w:w="1351" w:type="dxa"/>
          </w:tcPr>
          <w:p w:rsidR="00824251" w:rsidRPr="005E08CE" w:rsidRDefault="00824251" w:rsidP="00B06097">
            <w:pPr>
              <w:jc w:val="center"/>
            </w:pPr>
            <w:r w:rsidRPr="005E08CE">
              <w:t>9 566</w:t>
            </w:r>
          </w:p>
        </w:tc>
        <w:tc>
          <w:tcPr>
            <w:tcW w:w="1276" w:type="dxa"/>
            <w:gridSpan w:val="2"/>
          </w:tcPr>
          <w:p w:rsidR="00824251" w:rsidRPr="005E08CE" w:rsidRDefault="00824251" w:rsidP="00B06097">
            <w:pPr>
              <w:jc w:val="center"/>
            </w:pPr>
            <w:r w:rsidRPr="005E08CE">
              <w:t>7 531</w:t>
            </w:r>
          </w:p>
        </w:tc>
        <w:tc>
          <w:tcPr>
            <w:tcW w:w="1204" w:type="dxa"/>
          </w:tcPr>
          <w:p w:rsidR="00824251" w:rsidRPr="005E08CE" w:rsidRDefault="00824251" w:rsidP="00B06097">
            <w:pPr>
              <w:jc w:val="center"/>
            </w:pPr>
            <w:r w:rsidRPr="005E08CE">
              <w:t>7 719</w:t>
            </w:r>
          </w:p>
        </w:tc>
        <w:tc>
          <w:tcPr>
            <w:tcW w:w="1204" w:type="dxa"/>
          </w:tcPr>
          <w:p w:rsidR="00824251" w:rsidRPr="005E08CE" w:rsidRDefault="00824251" w:rsidP="00B06097">
            <w:pPr>
              <w:jc w:val="center"/>
            </w:pPr>
            <w:r w:rsidRPr="005E08CE">
              <w:t>7 912</w:t>
            </w:r>
          </w:p>
        </w:tc>
        <w:tc>
          <w:tcPr>
            <w:tcW w:w="1204" w:type="dxa"/>
          </w:tcPr>
          <w:p w:rsidR="00824251" w:rsidRPr="005E08CE" w:rsidRDefault="00824251" w:rsidP="00B06097">
            <w:pPr>
              <w:jc w:val="center"/>
            </w:pPr>
            <w:r w:rsidRPr="005E08CE">
              <w:t>8 110</w:t>
            </w:r>
          </w:p>
        </w:tc>
        <w:tc>
          <w:tcPr>
            <w:tcW w:w="1090" w:type="dxa"/>
          </w:tcPr>
          <w:p w:rsidR="00824251" w:rsidRPr="005E08CE" w:rsidRDefault="00824251" w:rsidP="00B06097">
            <w:pPr>
              <w:jc w:val="center"/>
            </w:pPr>
            <w:r w:rsidRPr="005E08CE">
              <w:t>8 313</w:t>
            </w:r>
          </w:p>
        </w:tc>
        <w:tc>
          <w:tcPr>
            <w:tcW w:w="1264" w:type="dxa"/>
          </w:tcPr>
          <w:p w:rsidR="00824251" w:rsidRPr="005E08CE" w:rsidRDefault="00824251" w:rsidP="00B06097">
            <w:pPr>
              <w:jc w:val="center"/>
            </w:pPr>
            <w:r w:rsidRPr="005E08CE">
              <w:t>8 521</w:t>
            </w:r>
          </w:p>
        </w:tc>
      </w:tr>
      <w:tr w:rsidR="00824251" w:rsidRPr="005E08CE" w:rsidTr="007A08A2">
        <w:trPr>
          <w:trHeight w:val="20"/>
        </w:trPr>
        <w:tc>
          <w:tcPr>
            <w:tcW w:w="15111" w:type="dxa"/>
            <w:gridSpan w:val="13"/>
          </w:tcPr>
          <w:p w:rsidR="00824251" w:rsidRPr="005E08CE" w:rsidRDefault="00824251" w:rsidP="00B06097">
            <w:pPr>
              <w:jc w:val="center"/>
            </w:pPr>
            <w:r w:rsidRPr="005E08CE">
              <w:t xml:space="preserve">Болезни нервной системы (Коды МКБ-10: </w:t>
            </w:r>
            <w:r w:rsidRPr="005E08CE">
              <w:rPr>
                <w:lang w:val="en-US"/>
              </w:rPr>
              <w:t>G</w:t>
            </w:r>
            <w:r w:rsidRPr="005E08CE">
              <w:t>00</w:t>
            </w:r>
            <w:r w:rsidR="00CC5E18">
              <w:t xml:space="preserve"> – </w:t>
            </w:r>
            <w:r w:rsidRPr="005E08CE">
              <w:rPr>
                <w:lang w:val="en-US"/>
              </w:rPr>
              <w:t>G</w:t>
            </w:r>
            <w:r w:rsidRPr="005E08CE">
              <w:t>99)</w:t>
            </w:r>
          </w:p>
        </w:tc>
      </w:tr>
      <w:tr w:rsidR="00824251" w:rsidRPr="005E08CE" w:rsidTr="007A08A2">
        <w:trPr>
          <w:trHeight w:val="20"/>
        </w:trPr>
        <w:tc>
          <w:tcPr>
            <w:tcW w:w="1555" w:type="dxa"/>
          </w:tcPr>
          <w:p w:rsidR="00824251" w:rsidRPr="005E08CE" w:rsidRDefault="00824251" w:rsidP="00B06097">
            <w:pPr>
              <w:jc w:val="center"/>
              <w:rPr>
                <w:lang w:val="en-US"/>
              </w:rPr>
            </w:pPr>
            <w:r w:rsidRPr="005E08CE">
              <w:rPr>
                <w:lang w:val="en-US"/>
              </w:rPr>
              <w:t>3</w:t>
            </w:r>
          </w:p>
        </w:tc>
        <w:tc>
          <w:tcPr>
            <w:tcW w:w="1353" w:type="dxa"/>
          </w:tcPr>
          <w:p w:rsidR="00824251" w:rsidRPr="005E08CE" w:rsidRDefault="00824251" w:rsidP="00B06097">
            <w:pPr>
              <w:jc w:val="center"/>
              <w:rPr>
                <w:lang w:val="en-US"/>
              </w:rPr>
            </w:pPr>
            <w:r w:rsidRPr="005E08CE">
              <w:rPr>
                <w:lang w:val="en-US"/>
              </w:rPr>
              <w:t>3</w:t>
            </w:r>
          </w:p>
        </w:tc>
        <w:tc>
          <w:tcPr>
            <w:tcW w:w="1203" w:type="dxa"/>
          </w:tcPr>
          <w:p w:rsidR="00824251" w:rsidRPr="005E08CE" w:rsidRDefault="00824251" w:rsidP="00B06097">
            <w:pPr>
              <w:jc w:val="center"/>
              <w:rPr>
                <w:lang w:val="en-US"/>
              </w:rPr>
            </w:pPr>
            <w:r w:rsidRPr="005E08CE">
              <w:rPr>
                <w:lang w:val="en-US"/>
              </w:rPr>
              <w:t>4</w:t>
            </w:r>
          </w:p>
        </w:tc>
        <w:tc>
          <w:tcPr>
            <w:tcW w:w="1203" w:type="dxa"/>
          </w:tcPr>
          <w:p w:rsidR="00824251" w:rsidRPr="005E08CE" w:rsidRDefault="00824251" w:rsidP="00B06097">
            <w:pPr>
              <w:jc w:val="center"/>
              <w:rPr>
                <w:lang w:val="en-US"/>
              </w:rPr>
            </w:pPr>
            <w:r w:rsidRPr="005E08CE">
              <w:rPr>
                <w:lang w:val="en-US"/>
              </w:rPr>
              <w:t>5</w:t>
            </w:r>
          </w:p>
        </w:tc>
        <w:tc>
          <w:tcPr>
            <w:tcW w:w="1204" w:type="dxa"/>
          </w:tcPr>
          <w:p w:rsidR="00824251" w:rsidRPr="005E08CE" w:rsidRDefault="00824251" w:rsidP="00B06097">
            <w:pPr>
              <w:jc w:val="center"/>
              <w:rPr>
                <w:lang w:val="en-US"/>
              </w:rPr>
            </w:pPr>
            <w:r w:rsidRPr="005E08CE">
              <w:rPr>
                <w:lang w:val="en-US"/>
              </w:rPr>
              <w:t>6</w:t>
            </w:r>
          </w:p>
        </w:tc>
        <w:tc>
          <w:tcPr>
            <w:tcW w:w="1351" w:type="dxa"/>
          </w:tcPr>
          <w:p w:rsidR="00824251" w:rsidRPr="005E08CE" w:rsidRDefault="00824251" w:rsidP="00B06097">
            <w:pPr>
              <w:jc w:val="center"/>
              <w:rPr>
                <w:lang w:val="en-US"/>
              </w:rPr>
            </w:pPr>
            <w:r w:rsidRPr="005E08CE">
              <w:rPr>
                <w:lang w:val="en-US"/>
              </w:rPr>
              <w:t>8</w:t>
            </w:r>
          </w:p>
        </w:tc>
        <w:tc>
          <w:tcPr>
            <w:tcW w:w="1276" w:type="dxa"/>
            <w:gridSpan w:val="2"/>
          </w:tcPr>
          <w:p w:rsidR="00824251" w:rsidRPr="005E08CE" w:rsidRDefault="00824251" w:rsidP="00B06097">
            <w:pPr>
              <w:jc w:val="center"/>
              <w:rPr>
                <w:lang w:val="en-US"/>
              </w:rPr>
            </w:pPr>
            <w:r w:rsidRPr="005E08CE">
              <w:rPr>
                <w:lang w:val="en-US"/>
              </w:rPr>
              <w:t>61</w:t>
            </w:r>
          </w:p>
        </w:tc>
        <w:tc>
          <w:tcPr>
            <w:tcW w:w="1204" w:type="dxa"/>
          </w:tcPr>
          <w:p w:rsidR="00824251" w:rsidRPr="005E08CE" w:rsidRDefault="00824251" w:rsidP="00B06097">
            <w:pPr>
              <w:jc w:val="center"/>
              <w:rPr>
                <w:lang w:val="en-US"/>
              </w:rPr>
            </w:pPr>
            <w:r w:rsidRPr="005E08CE">
              <w:rPr>
                <w:lang w:val="en-US"/>
              </w:rPr>
              <w:t>69</w:t>
            </w:r>
          </w:p>
        </w:tc>
        <w:tc>
          <w:tcPr>
            <w:tcW w:w="1204" w:type="dxa"/>
          </w:tcPr>
          <w:p w:rsidR="00824251" w:rsidRPr="005E08CE" w:rsidRDefault="00824251" w:rsidP="00B06097">
            <w:pPr>
              <w:jc w:val="center"/>
              <w:rPr>
                <w:lang w:val="en-US"/>
              </w:rPr>
            </w:pPr>
            <w:r w:rsidRPr="005E08CE">
              <w:rPr>
                <w:lang w:val="en-US"/>
              </w:rPr>
              <w:t>79</w:t>
            </w:r>
          </w:p>
        </w:tc>
        <w:tc>
          <w:tcPr>
            <w:tcW w:w="1204" w:type="dxa"/>
          </w:tcPr>
          <w:p w:rsidR="00824251" w:rsidRPr="005E08CE" w:rsidRDefault="00824251" w:rsidP="00B06097">
            <w:pPr>
              <w:jc w:val="center"/>
              <w:rPr>
                <w:lang w:val="en-US"/>
              </w:rPr>
            </w:pPr>
            <w:r w:rsidRPr="005E08CE">
              <w:rPr>
                <w:lang w:val="en-US"/>
              </w:rPr>
              <w:t>95</w:t>
            </w:r>
          </w:p>
        </w:tc>
        <w:tc>
          <w:tcPr>
            <w:tcW w:w="1090" w:type="dxa"/>
          </w:tcPr>
          <w:p w:rsidR="00824251" w:rsidRPr="005E08CE" w:rsidRDefault="00824251" w:rsidP="00B06097">
            <w:pPr>
              <w:jc w:val="center"/>
              <w:rPr>
                <w:lang w:val="en-US"/>
              </w:rPr>
            </w:pPr>
            <w:r w:rsidRPr="005E08CE">
              <w:rPr>
                <w:lang w:val="en-US"/>
              </w:rPr>
              <w:t>118</w:t>
            </w:r>
          </w:p>
        </w:tc>
        <w:tc>
          <w:tcPr>
            <w:tcW w:w="1264" w:type="dxa"/>
          </w:tcPr>
          <w:p w:rsidR="00824251" w:rsidRPr="005E08CE" w:rsidRDefault="00824251" w:rsidP="00B06097">
            <w:pPr>
              <w:jc w:val="center"/>
              <w:rPr>
                <w:lang w:val="en-US"/>
              </w:rPr>
            </w:pPr>
            <w:r w:rsidRPr="005E08CE">
              <w:rPr>
                <w:lang w:val="en-US"/>
              </w:rPr>
              <w:t>154</w:t>
            </w:r>
          </w:p>
        </w:tc>
      </w:tr>
      <w:tr w:rsidR="00824251" w:rsidRPr="005E08CE" w:rsidTr="007A08A2">
        <w:trPr>
          <w:trHeight w:val="20"/>
        </w:trPr>
        <w:tc>
          <w:tcPr>
            <w:tcW w:w="15111" w:type="dxa"/>
            <w:gridSpan w:val="13"/>
          </w:tcPr>
          <w:p w:rsidR="00824251" w:rsidRPr="005E08CE" w:rsidRDefault="00824251" w:rsidP="00B06097">
            <w:pPr>
              <w:jc w:val="center"/>
            </w:pPr>
            <w:r w:rsidRPr="005E08CE">
              <w:t xml:space="preserve">Болезни системы кровообращения (Коды МКБ-10: </w:t>
            </w:r>
            <w:r w:rsidRPr="005E08CE">
              <w:rPr>
                <w:lang w:val="en-US"/>
              </w:rPr>
              <w:t>I</w:t>
            </w:r>
            <w:r w:rsidRPr="005E08CE">
              <w:t>00</w:t>
            </w:r>
            <w:r w:rsidR="00CC5E18">
              <w:t xml:space="preserve"> – </w:t>
            </w:r>
            <w:r w:rsidRPr="005E08CE">
              <w:rPr>
                <w:lang w:val="en-US"/>
              </w:rPr>
              <w:t>I</w:t>
            </w:r>
            <w:r w:rsidRPr="005E08CE">
              <w:t>99)</w:t>
            </w:r>
          </w:p>
        </w:tc>
      </w:tr>
      <w:tr w:rsidR="00824251" w:rsidRPr="005E08CE" w:rsidTr="007A08A2">
        <w:trPr>
          <w:trHeight w:val="20"/>
        </w:trPr>
        <w:tc>
          <w:tcPr>
            <w:tcW w:w="1555" w:type="dxa"/>
          </w:tcPr>
          <w:p w:rsidR="00824251" w:rsidRPr="005E08CE" w:rsidRDefault="00824251" w:rsidP="00B06097">
            <w:pPr>
              <w:jc w:val="center"/>
              <w:rPr>
                <w:lang w:val="en-US"/>
              </w:rPr>
            </w:pPr>
            <w:r w:rsidRPr="005E08CE">
              <w:rPr>
                <w:lang w:val="en-US"/>
              </w:rPr>
              <w:t>2 143</w:t>
            </w:r>
          </w:p>
        </w:tc>
        <w:tc>
          <w:tcPr>
            <w:tcW w:w="1353" w:type="dxa"/>
          </w:tcPr>
          <w:p w:rsidR="00824251" w:rsidRPr="005E08CE" w:rsidRDefault="00824251" w:rsidP="00B06097">
            <w:pPr>
              <w:jc w:val="center"/>
              <w:rPr>
                <w:lang w:val="en-US"/>
              </w:rPr>
            </w:pPr>
            <w:r w:rsidRPr="005E08CE">
              <w:rPr>
                <w:lang w:val="en-US"/>
              </w:rPr>
              <w:t>2 323</w:t>
            </w:r>
          </w:p>
        </w:tc>
        <w:tc>
          <w:tcPr>
            <w:tcW w:w="1203" w:type="dxa"/>
          </w:tcPr>
          <w:p w:rsidR="00824251" w:rsidRPr="005E08CE" w:rsidRDefault="00824251" w:rsidP="00B06097">
            <w:pPr>
              <w:jc w:val="center"/>
              <w:rPr>
                <w:lang w:val="en-US"/>
              </w:rPr>
            </w:pPr>
            <w:r w:rsidRPr="005E08CE">
              <w:rPr>
                <w:lang w:val="en-US"/>
              </w:rPr>
              <w:t>2 502</w:t>
            </w:r>
          </w:p>
        </w:tc>
        <w:tc>
          <w:tcPr>
            <w:tcW w:w="1203" w:type="dxa"/>
          </w:tcPr>
          <w:p w:rsidR="00824251" w:rsidRPr="005E08CE" w:rsidRDefault="00824251" w:rsidP="00B06097">
            <w:pPr>
              <w:jc w:val="center"/>
              <w:rPr>
                <w:lang w:val="en-US"/>
              </w:rPr>
            </w:pPr>
            <w:r w:rsidRPr="005E08CE">
              <w:rPr>
                <w:lang w:val="en-US"/>
              </w:rPr>
              <w:t>2 681</w:t>
            </w:r>
          </w:p>
        </w:tc>
        <w:tc>
          <w:tcPr>
            <w:tcW w:w="1204" w:type="dxa"/>
          </w:tcPr>
          <w:p w:rsidR="00824251" w:rsidRPr="005E08CE" w:rsidRDefault="00824251" w:rsidP="00B06097">
            <w:pPr>
              <w:jc w:val="center"/>
              <w:rPr>
                <w:lang w:val="en-US"/>
              </w:rPr>
            </w:pPr>
            <w:r w:rsidRPr="005E08CE">
              <w:rPr>
                <w:lang w:val="en-US"/>
              </w:rPr>
              <w:t>2861</w:t>
            </w:r>
          </w:p>
        </w:tc>
        <w:tc>
          <w:tcPr>
            <w:tcW w:w="1351" w:type="dxa"/>
          </w:tcPr>
          <w:p w:rsidR="00824251" w:rsidRPr="005E08CE" w:rsidRDefault="00824251" w:rsidP="00B06097">
            <w:pPr>
              <w:jc w:val="center"/>
              <w:rPr>
                <w:lang w:val="en-US"/>
              </w:rPr>
            </w:pPr>
            <w:r w:rsidRPr="005E08CE">
              <w:rPr>
                <w:lang w:val="en-US"/>
              </w:rPr>
              <w:t>3 040</w:t>
            </w:r>
          </w:p>
        </w:tc>
        <w:tc>
          <w:tcPr>
            <w:tcW w:w="1276" w:type="dxa"/>
            <w:gridSpan w:val="2"/>
          </w:tcPr>
          <w:p w:rsidR="00824251" w:rsidRPr="005E08CE" w:rsidRDefault="00824251" w:rsidP="00B06097">
            <w:pPr>
              <w:jc w:val="center"/>
              <w:rPr>
                <w:lang w:val="en-US"/>
              </w:rPr>
            </w:pPr>
            <w:r w:rsidRPr="005E08CE">
              <w:rPr>
                <w:lang w:val="en-US"/>
              </w:rPr>
              <w:t>14</w:t>
            </w:r>
          </w:p>
        </w:tc>
        <w:tc>
          <w:tcPr>
            <w:tcW w:w="1204" w:type="dxa"/>
          </w:tcPr>
          <w:p w:rsidR="00824251" w:rsidRPr="005E08CE" w:rsidRDefault="00824251" w:rsidP="00B06097">
            <w:pPr>
              <w:jc w:val="center"/>
              <w:rPr>
                <w:lang w:val="en-US"/>
              </w:rPr>
            </w:pPr>
            <w:r w:rsidRPr="005E08CE">
              <w:rPr>
                <w:lang w:val="en-US"/>
              </w:rPr>
              <w:t>32</w:t>
            </w:r>
          </w:p>
        </w:tc>
        <w:tc>
          <w:tcPr>
            <w:tcW w:w="1204" w:type="dxa"/>
          </w:tcPr>
          <w:p w:rsidR="00824251" w:rsidRPr="005E08CE" w:rsidRDefault="00824251" w:rsidP="00B06097">
            <w:pPr>
              <w:jc w:val="center"/>
              <w:rPr>
                <w:lang w:val="en-US"/>
              </w:rPr>
            </w:pPr>
            <w:r w:rsidRPr="005E08CE">
              <w:rPr>
                <w:lang w:val="en-US"/>
              </w:rPr>
              <w:t>50</w:t>
            </w:r>
          </w:p>
        </w:tc>
        <w:tc>
          <w:tcPr>
            <w:tcW w:w="1204" w:type="dxa"/>
          </w:tcPr>
          <w:p w:rsidR="00824251" w:rsidRPr="005E08CE" w:rsidRDefault="00824251" w:rsidP="00B06097">
            <w:pPr>
              <w:jc w:val="center"/>
              <w:rPr>
                <w:lang w:val="en-US"/>
              </w:rPr>
            </w:pPr>
            <w:r w:rsidRPr="005E08CE">
              <w:rPr>
                <w:lang w:val="en-US"/>
              </w:rPr>
              <w:t>68</w:t>
            </w:r>
          </w:p>
        </w:tc>
        <w:tc>
          <w:tcPr>
            <w:tcW w:w="1090" w:type="dxa"/>
          </w:tcPr>
          <w:p w:rsidR="00824251" w:rsidRPr="005E08CE" w:rsidRDefault="00824251" w:rsidP="00B06097">
            <w:pPr>
              <w:jc w:val="center"/>
              <w:rPr>
                <w:lang w:val="en-US"/>
              </w:rPr>
            </w:pPr>
            <w:r w:rsidRPr="005E08CE">
              <w:rPr>
                <w:lang w:val="en-US"/>
              </w:rPr>
              <w:t>86</w:t>
            </w:r>
          </w:p>
        </w:tc>
        <w:tc>
          <w:tcPr>
            <w:tcW w:w="1264" w:type="dxa"/>
          </w:tcPr>
          <w:p w:rsidR="00824251" w:rsidRPr="005E08CE" w:rsidRDefault="00824251" w:rsidP="00B06097">
            <w:pPr>
              <w:jc w:val="center"/>
              <w:rPr>
                <w:lang w:val="en-US"/>
              </w:rPr>
            </w:pPr>
            <w:r w:rsidRPr="005E08CE">
              <w:rPr>
                <w:lang w:val="en-US"/>
              </w:rPr>
              <w:t>104</w:t>
            </w:r>
          </w:p>
        </w:tc>
      </w:tr>
      <w:tr w:rsidR="00824251" w:rsidRPr="005E08CE" w:rsidTr="007A08A2">
        <w:trPr>
          <w:trHeight w:val="20"/>
        </w:trPr>
        <w:tc>
          <w:tcPr>
            <w:tcW w:w="15111" w:type="dxa"/>
            <w:gridSpan w:val="13"/>
          </w:tcPr>
          <w:p w:rsidR="00824251" w:rsidRPr="005E08CE" w:rsidRDefault="00824251" w:rsidP="00B06097">
            <w:pPr>
              <w:jc w:val="center"/>
            </w:pPr>
            <w:r w:rsidRPr="005E08CE">
              <w:t xml:space="preserve">Эндокринные заболевания (Коды МКБ-10: </w:t>
            </w:r>
            <w:r w:rsidRPr="005E08CE">
              <w:rPr>
                <w:lang w:val="en-US"/>
              </w:rPr>
              <w:t>E</w:t>
            </w:r>
            <w:r w:rsidRPr="005E08CE">
              <w:t>00</w:t>
            </w:r>
            <w:r w:rsidR="00CC5E18">
              <w:t xml:space="preserve"> – </w:t>
            </w:r>
            <w:r w:rsidRPr="005E08CE">
              <w:rPr>
                <w:lang w:val="en-US"/>
              </w:rPr>
              <w:t>E</w:t>
            </w:r>
            <w:r w:rsidRPr="005E08CE">
              <w:t>90)</w:t>
            </w:r>
          </w:p>
        </w:tc>
      </w:tr>
      <w:tr w:rsidR="00824251" w:rsidRPr="005E08CE" w:rsidTr="007A08A2">
        <w:trPr>
          <w:trHeight w:val="20"/>
        </w:trPr>
        <w:tc>
          <w:tcPr>
            <w:tcW w:w="1555" w:type="dxa"/>
          </w:tcPr>
          <w:p w:rsidR="00824251" w:rsidRPr="005E08CE" w:rsidRDefault="00824251" w:rsidP="00B06097">
            <w:pPr>
              <w:jc w:val="center"/>
              <w:rPr>
                <w:lang w:val="en-US"/>
              </w:rPr>
            </w:pPr>
            <w:r w:rsidRPr="005E08CE">
              <w:rPr>
                <w:lang w:val="en-US"/>
              </w:rPr>
              <w:t>1 175</w:t>
            </w:r>
          </w:p>
        </w:tc>
        <w:tc>
          <w:tcPr>
            <w:tcW w:w="1353" w:type="dxa"/>
          </w:tcPr>
          <w:p w:rsidR="00824251" w:rsidRPr="005E08CE" w:rsidRDefault="00824251" w:rsidP="00B06097">
            <w:pPr>
              <w:jc w:val="center"/>
              <w:rPr>
                <w:lang w:val="en-US"/>
              </w:rPr>
            </w:pPr>
            <w:r w:rsidRPr="005E08CE">
              <w:rPr>
                <w:lang w:val="en-US"/>
              </w:rPr>
              <w:t>1 202</w:t>
            </w:r>
          </w:p>
        </w:tc>
        <w:tc>
          <w:tcPr>
            <w:tcW w:w="1203" w:type="dxa"/>
          </w:tcPr>
          <w:p w:rsidR="00824251" w:rsidRPr="005E08CE" w:rsidRDefault="00824251" w:rsidP="00B06097">
            <w:pPr>
              <w:jc w:val="center"/>
              <w:rPr>
                <w:lang w:val="en-US"/>
              </w:rPr>
            </w:pPr>
            <w:r w:rsidRPr="005E08CE">
              <w:rPr>
                <w:lang w:val="en-US"/>
              </w:rPr>
              <w:t>1 230</w:t>
            </w:r>
          </w:p>
        </w:tc>
        <w:tc>
          <w:tcPr>
            <w:tcW w:w="1203" w:type="dxa"/>
          </w:tcPr>
          <w:p w:rsidR="00824251" w:rsidRPr="005E08CE" w:rsidRDefault="00824251" w:rsidP="00B06097">
            <w:pPr>
              <w:jc w:val="center"/>
              <w:rPr>
                <w:lang w:val="en-US"/>
              </w:rPr>
            </w:pPr>
            <w:r w:rsidRPr="005E08CE">
              <w:rPr>
                <w:lang w:val="en-US"/>
              </w:rPr>
              <w:t>1 257</w:t>
            </w:r>
          </w:p>
        </w:tc>
        <w:tc>
          <w:tcPr>
            <w:tcW w:w="1204" w:type="dxa"/>
          </w:tcPr>
          <w:p w:rsidR="00824251" w:rsidRPr="005E08CE" w:rsidRDefault="00824251" w:rsidP="00B06097">
            <w:pPr>
              <w:jc w:val="center"/>
              <w:rPr>
                <w:lang w:val="en-US"/>
              </w:rPr>
            </w:pPr>
            <w:r w:rsidRPr="005E08CE">
              <w:rPr>
                <w:lang w:val="en-US"/>
              </w:rPr>
              <w:t>1 284</w:t>
            </w:r>
          </w:p>
        </w:tc>
        <w:tc>
          <w:tcPr>
            <w:tcW w:w="1351" w:type="dxa"/>
          </w:tcPr>
          <w:p w:rsidR="00824251" w:rsidRPr="005E08CE" w:rsidRDefault="00824251" w:rsidP="00B06097">
            <w:pPr>
              <w:jc w:val="center"/>
              <w:rPr>
                <w:lang w:val="en-US"/>
              </w:rPr>
            </w:pPr>
            <w:r w:rsidRPr="005E08CE">
              <w:rPr>
                <w:lang w:val="en-US"/>
              </w:rPr>
              <w:t>1 312</w:t>
            </w:r>
          </w:p>
        </w:tc>
        <w:tc>
          <w:tcPr>
            <w:tcW w:w="1276" w:type="dxa"/>
            <w:gridSpan w:val="2"/>
          </w:tcPr>
          <w:p w:rsidR="00824251" w:rsidRPr="005E08CE" w:rsidRDefault="00824251" w:rsidP="00B06097">
            <w:pPr>
              <w:jc w:val="center"/>
              <w:rPr>
                <w:lang w:val="en-US"/>
              </w:rPr>
            </w:pPr>
            <w:r w:rsidRPr="005E08CE">
              <w:rPr>
                <w:lang w:val="en-US"/>
              </w:rPr>
              <w:t>30</w:t>
            </w:r>
          </w:p>
        </w:tc>
        <w:tc>
          <w:tcPr>
            <w:tcW w:w="1204" w:type="dxa"/>
          </w:tcPr>
          <w:p w:rsidR="00824251" w:rsidRPr="005E08CE" w:rsidRDefault="00824251" w:rsidP="00B06097">
            <w:pPr>
              <w:jc w:val="center"/>
              <w:rPr>
                <w:lang w:val="en-US"/>
              </w:rPr>
            </w:pPr>
            <w:r w:rsidRPr="005E08CE">
              <w:rPr>
                <w:lang w:val="en-US"/>
              </w:rPr>
              <w:t>33</w:t>
            </w:r>
          </w:p>
        </w:tc>
        <w:tc>
          <w:tcPr>
            <w:tcW w:w="1204" w:type="dxa"/>
          </w:tcPr>
          <w:p w:rsidR="00824251" w:rsidRPr="005E08CE" w:rsidRDefault="00824251" w:rsidP="00B06097">
            <w:pPr>
              <w:jc w:val="center"/>
              <w:rPr>
                <w:lang w:val="en-US"/>
              </w:rPr>
            </w:pPr>
            <w:r w:rsidRPr="005E08CE">
              <w:rPr>
                <w:lang w:val="en-US"/>
              </w:rPr>
              <w:t>37</w:t>
            </w:r>
          </w:p>
        </w:tc>
        <w:tc>
          <w:tcPr>
            <w:tcW w:w="1204" w:type="dxa"/>
          </w:tcPr>
          <w:p w:rsidR="00824251" w:rsidRPr="005E08CE" w:rsidRDefault="00824251" w:rsidP="00B06097">
            <w:pPr>
              <w:jc w:val="center"/>
              <w:rPr>
                <w:lang w:val="en-US"/>
              </w:rPr>
            </w:pPr>
            <w:r w:rsidRPr="005E08CE">
              <w:rPr>
                <w:lang w:val="en-US"/>
              </w:rPr>
              <w:t>41</w:t>
            </w:r>
          </w:p>
        </w:tc>
        <w:tc>
          <w:tcPr>
            <w:tcW w:w="1090" w:type="dxa"/>
          </w:tcPr>
          <w:p w:rsidR="00824251" w:rsidRPr="005E08CE" w:rsidRDefault="00824251" w:rsidP="00B06097">
            <w:pPr>
              <w:jc w:val="center"/>
              <w:rPr>
                <w:lang w:val="en-US"/>
              </w:rPr>
            </w:pPr>
            <w:r w:rsidRPr="005E08CE">
              <w:rPr>
                <w:lang w:val="en-US"/>
              </w:rPr>
              <w:t>48</w:t>
            </w:r>
          </w:p>
        </w:tc>
        <w:tc>
          <w:tcPr>
            <w:tcW w:w="1264" w:type="dxa"/>
          </w:tcPr>
          <w:p w:rsidR="00824251" w:rsidRPr="005E08CE" w:rsidRDefault="00824251" w:rsidP="00B06097">
            <w:pPr>
              <w:jc w:val="center"/>
              <w:rPr>
                <w:lang w:val="en-US"/>
              </w:rPr>
            </w:pPr>
            <w:r w:rsidRPr="005E08CE">
              <w:rPr>
                <w:lang w:val="en-US"/>
              </w:rPr>
              <w:t>55</w:t>
            </w:r>
          </w:p>
        </w:tc>
      </w:tr>
      <w:tr w:rsidR="00824251" w:rsidRPr="005E08CE" w:rsidTr="007A08A2">
        <w:trPr>
          <w:trHeight w:val="20"/>
        </w:trPr>
        <w:tc>
          <w:tcPr>
            <w:tcW w:w="15111" w:type="dxa"/>
            <w:gridSpan w:val="13"/>
          </w:tcPr>
          <w:p w:rsidR="00824251" w:rsidRPr="005E08CE" w:rsidRDefault="00824251" w:rsidP="00B06097">
            <w:pPr>
              <w:jc w:val="center"/>
            </w:pPr>
            <w:r w:rsidRPr="005E08CE">
              <w:t>Иные профили</w:t>
            </w:r>
          </w:p>
        </w:tc>
      </w:tr>
      <w:tr w:rsidR="00824251" w:rsidRPr="00BF6DF7" w:rsidTr="007A08A2">
        <w:trPr>
          <w:trHeight w:val="20"/>
        </w:trPr>
        <w:tc>
          <w:tcPr>
            <w:tcW w:w="1555" w:type="dxa"/>
          </w:tcPr>
          <w:p w:rsidR="00824251" w:rsidRPr="005E08CE" w:rsidRDefault="00824251" w:rsidP="00B06097">
            <w:pPr>
              <w:jc w:val="center"/>
            </w:pPr>
            <w:r w:rsidRPr="005E08CE">
              <w:t>2 584</w:t>
            </w:r>
          </w:p>
        </w:tc>
        <w:tc>
          <w:tcPr>
            <w:tcW w:w="1353" w:type="dxa"/>
          </w:tcPr>
          <w:p w:rsidR="00824251" w:rsidRPr="005E08CE" w:rsidRDefault="00824251" w:rsidP="00B06097">
            <w:pPr>
              <w:jc w:val="center"/>
            </w:pPr>
            <w:r w:rsidRPr="005E08CE">
              <w:t>2 648</w:t>
            </w:r>
          </w:p>
        </w:tc>
        <w:tc>
          <w:tcPr>
            <w:tcW w:w="1203" w:type="dxa"/>
          </w:tcPr>
          <w:p w:rsidR="00824251" w:rsidRPr="005E08CE" w:rsidRDefault="00824251" w:rsidP="00B06097">
            <w:pPr>
              <w:jc w:val="center"/>
            </w:pPr>
            <w:r w:rsidRPr="005E08CE">
              <w:t>2 715</w:t>
            </w:r>
          </w:p>
        </w:tc>
        <w:tc>
          <w:tcPr>
            <w:tcW w:w="1203" w:type="dxa"/>
          </w:tcPr>
          <w:p w:rsidR="00824251" w:rsidRPr="005E08CE" w:rsidRDefault="00824251" w:rsidP="00B06097">
            <w:pPr>
              <w:jc w:val="center"/>
            </w:pPr>
            <w:r w:rsidRPr="005E08CE">
              <w:t>2 782</w:t>
            </w:r>
          </w:p>
        </w:tc>
        <w:tc>
          <w:tcPr>
            <w:tcW w:w="1204" w:type="dxa"/>
          </w:tcPr>
          <w:p w:rsidR="00824251" w:rsidRPr="005E08CE" w:rsidRDefault="00824251" w:rsidP="00B06097">
            <w:pPr>
              <w:jc w:val="center"/>
            </w:pPr>
            <w:r w:rsidRPr="005E08CE">
              <w:t>2 852</w:t>
            </w:r>
          </w:p>
        </w:tc>
        <w:tc>
          <w:tcPr>
            <w:tcW w:w="1351" w:type="dxa"/>
          </w:tcPr>
          <w:p w:rsidR="00824251" w:rsidRPr="005E08CE" w:rsidRDefault="00824251" w:rsidP="00B06097">
            <w:pPr>
              <w:jc w:val="center"/>
            </w:pPr>
            <w:r w:rsidRPr="005E08CE">
              <w:t>2 923</w:t>
            </w:r>
          </w:p>
        </w:tc>
        <w:tc>
          <w:tcPr>
            <w:tcW w:w="1276" w:type="dxa"/>
            <w:gridSpan w:val="2"/>
          </w:tcPr>
          <w:p w:rsidR="00824251" w:rsidRPr="005E08CE" w:rsidRDefault="00824251" w:rsidP="00B06097">
            <w:pPr>
              <w:jc w:val="center"/>
            </w:pPr>
            <w:r w:rsidRPr="005E08CE">
              <w:t>260</w:t>
            </w:r>
          </w:p>
        </w:tc>
        <w:tc>
          <w:tcPr>
            <w:tcW w:w="1204" w:type="dxa"/>
          </w:tcPr>
          <w:p w:rsidR="00824251" w:rsidRPr="005E08CE" w:rsidRDefault="00824251" w:rsidP="00B06097">
            <w:pPr>
              <w:jc w:val="center"/>
            </w:pPr>
            <w:r w:rsidRPr="005E08CE">
              <w:t>266</w:t>
            </w:r>
          </w:p>
        </w:tc>
        <w:tc>
          <w:tcPr>
            <w:tcW w:w="1204" w:type="dxa"/>
          </w:tcPr>
          <w:p w:rsidR="00824251" w:rsidRPr="005E08CE" w:rsidRDefault="00824251" w:rsidP="00B06097">
            <w:pPr>
              <w:jc w:val="center"/>
            </w:pPr>
            <w:r w:rsidRPr="005E08CE">
              <w:t>273</w:t>
            </w:r>
          </w:p>
        </w:tc>
        <w:tc>
          <w:tcPr>
            <w:tcW w:w="1204" w:type="dxa"/>
          </w:tcPr>
          <w:p w:rsidR="00824251" w:rsidRPr="005E08CE" w:rsidRDefault="00824251" w:rsidP="00B06097">
            <w:pPr>
              <w:jc w:val="center"/>
            </w:pPr>
            <w:r w:rsidRPr="005E08CE">
              <w:t>280</w:t>
            </w:r>
          </w:p>
        </w:tc>
        <w:tc>
          <w:tcPr>
            <w:tcW w:w="1090" w:type="dxa"/>
          </w:tcPr>
          <w:p w:rsidR="00824251" w:rsidRPr="005E08CE" w:rsidRDefault="00824251" w:rsidP="00B06097">
            <w:pPr>
              <w:jc w:val="center"/>
            </w:pPr>
            <w:r w:rsidRPr="005E08CE">
              <w:t>287</w:t>
            </w:r>
          </w:p>
        </w:tc>
        <w:tc>
          <w:tcPr>
            <w:tcW w:w="1264" w:type="dxa"/>
          </w:tcPr>
          <w:p w:rsidR="00824251" w:rsidRPr="005E08CE" w:rsidRDefault="00824251" w:rsidP="00B06097">
            <w:pPr>
              <w:jc w:val="center"/>
            </w:pPr>
            <w:r w:rsidRPr="005E08CE">
              <w:t>294</w:t>
            </w:r>
          </w:p>
        </w:tc>
      </w:tr>
    </w:tbl>
    <w:p w:rsidR="00824251" w:rsidRPr="00091230" w:rsidRDefault="00824251" w:rsidP="00F96BCF">
      <w:pPr>
        <w:rPr>
          <w:sz w:val="28"/>
          <w:szCs w:val="28"/>
        </w:rPr>
      </w:pPr>
    </w:p>
    <w:p w:rsidR="000709BF" w:rsidRPr="005E08CE" w:rsidRDefault="003878D1" w:rsidP="006D3B28">
      <w:pPr>
        <w:ind w:firstLine="709"/>
        <w:jc w:val="both"/>
        <w:rPr>
          <w:rFonts w:eastAsia="Arial"/>
          <w:sz w:val="28"/>
          <w:szCs w:val="28"/>
        </w:rPr>
      </w:pPr>
      <w:r w:rsidRPr="005E08CE">
        <w:rPr>
          <w:rFonts w:eastAsia="Arial"/>
          <w:sz w:val="28"/>
          <w:szCs w:val="28"/>
        </w:rPr>
        <w:t>Информация об инфраструктуре радиотер</w:t>
      </w:r>
      <w:r w:rsidR="00CC5E18">
        <w:rPr>
          <w:rFonts w:eastAsia="Arial"/>
          <w:sz w:val="28"/>
          <w:szCs w:val="28"/>
        </w:rPr>
        <w:t>а</w:t>
      </w:r>
      <w:r w:rsidRPr="005E08CE">
        <w:rPr>
          <w:rFonts w:eastAsia="Arial"/>
          <w:sz w:val="28"/>
          <w:szCs w:val="28"/>
        </w:rPr>
        <w:t xml:space="preserve">певтической </w:t>
      </w:r>
      <w:r w:rsidR="002F7D91" w:rsidRPr="005E08CE">
        <w:rPr>
          <w:rFonts w:eastAsia="Arial"/>
          <w:sz w:val="28"/>
          <w:szCs w:val="28"/>
        </w:rPr>
        <w:t>службы</w:t>
      </w:r>
      <w:r w:rsidRPr="005E08CE">
        <w:rPr>
          <w:rFonts w:eastAsia="Arial"/>
          <w:sz w:val="28"/>
          <w:szCs w:val="28"/>
        </w:rPr>
        <w:t xml:space="preserve"> представлена в таблице 24.</w:t>
      </w:r>
    </w:p>
    <w:p w:rsidR="00453763" w:rsidRDefault="00453763" w:rsidP="00F507AB">
      <w:pPr>
        <w:ind w:left="11344" w:firstLine="1839"/>
        <w:jc w:val="right"/>
        <w:rPr>
          <w:sz w:val="28"/>
          <w:szCs w:val="28"/>
        </w:rPr>
      </w:pPr>
      <w:r w:rsidRPr="005E08CE">
        <w:rPr>
          <w:sz w:val="28"/>
          <w:szCs w:val="28"/>
        </w:rPr>
        <w:t xml:space="preserve">Таблица </w:t>
      </w:r>
      <w:r w:rsidR="00343A8C" w:rsidRPr="005E08CE">
        <w:rPr>
          <w:sz w:val="28"/>
          <w:szCs w:val="28"/>
        </w:rPr>
        <w:t>24</w:t>
      </w:r>
    </w:p>
    <w:p w:rsidR="00E65A31" w:rsidRPr="00E65A31" w:rsidRDefault="00E65A31" w:rsidP="00F507AB">
      <w:pPr>
        <w:ind w:left="11344" w:firstLine="1839"/>
        <w:jc w:val="right"/>
        <w:rPr>
          <w:sz w:val="16"/>
          <w:szCs w:val="16"/>
        </w:rPr>
      </w:pPr>
    </w:p>
    <w:p w:rsidR="00453763" w:rsidRPr="000E56B6" w:rsidRDefault="00453763" w:rsidP="00453763">
      <w:pPr>
        <w:jc w:val="center"/>
        <w:rPr>
          <w:sz w:val="28"/>
          <w:szCs w:val="28"/>
        </w:rPr>
      </w:pPr>
      <w:r w:rsidRPr="000E56B6">
        <w:rPr>
          <w:sz w:val="28"/>
          <w:szCs w:val="28"/>
        </w:rPr>
        <w:t>Инфраструкт</w:t>
      </w:r>
      <w:r w:rsidR="007A08A2">
        <w:rPr>
          <w:sz w:val="28"/>
          <w:szCs w:val="28"/>
        </w:rPr>
        <w:t>ура радиотерапевтической службы</w:t>
      </w:r>
    </w:p>
    <w:p w:rsidR="00453763" w:rsidRPr="000E56B6" w:rsidRDefault="00453763" w:rsidP="00453763"/>
    <w:tbl>
      <w:tblPr>
        <w:tblStyle w:val="af1"/>
        <w:tblW w:w="15121" w:type="dxa"/>
        <w:tblLayout w:type="fixed"/>
        <w:tblLook w:val="04A0" w:firstRow="1" w:lastRow="0" w:firstColumn="1" w:lastColumn="0" w:noHBand="0" w:noVBand="1"/>
      </w:tblPr>
      <w:tblGrid>
        <w:gridCol w:w="2211"/>
        <w:gridCol w:w="1842"/>
        <w:gridCol w:w="2410"/>
        <w:gridCol w:w="2410"/>
        <w:gridCol w:w="6"/>
        <w:gridCol w:w="1695"/>
        <w:gridCol w:w="1843"/>
        <w:gridCol w:w="1352"/>
        <w:gridCol w:w="1352"/>
      </w:tblGrid>
      <w:tr w:rsidR="00453763" w:rsidRPr="000E56B6" w:rsidTr="00F507AB">
        <w:trPr>
          <w:trHeight w:val="20"/>
        </w:trPr>
        <w:tc>
          <w:tcPr>
            <w:tcW w:w="2211" w:type="dxa"/>
            <w:vMerge w:val="restart"/>
            <w:tcBorders>
              <w:bottom w:val="nil"/>
            </w:tcBorders>
          </w:tcPr>
          <w:p w:rsidR="00453763" w:rsidRPr="000E56B6" w:rsidRDefault="00453763" w:rsidP="00093107">
            <w:pPr>
              <w:jc w:val="center"/>
              <w:rPr>
                <w:sz w:val="20"/>
                <w:szCs w:val="20"/>
              </w:rPr>
            </w:pPr>
            <w:r w:rsidRPr="000E56B6">
              <w:rPr>
                <w:sz w:val="20"/>
                <w:szCs w:val="20"/>
              </w:rPr>
              <w:t>Наименование</w:t>
            </w:r>
          </w:p>
          <w:p w:rsidR="00453763" w:rsidRPr="000E56B6" w:rsidRDefault="00453763" w:rsidP="00093107">
            <w:pPr>
              <w:jc w:val="center"/>
              <w:rPr>
                <w:sz w:val="20"/>
                <w:szCs w:val="20"/>
              </w:rPr>
            </w:pPr>
            <w:r w:rsidRPr="000E56B6">
              <w:rPr>
                <w:sz w:val="20"/>
                <w:szCs w:val="20"/>
              </w:rPr>
              <w:t>медицинской</w:t>
            </w:r>
          </w:p>
          <w:p w:rsidR="00453763" w:rsidRPr="000E56B6" w:rsidRDefault="00453763" w:rsidP="00093107">
            <w:pPr>
              <w:jc w:val="center"/>
              <w:rPr>
                <w:sz w:val="20"/>
                <w:szCs w:val="20"/>
              </w:rPr>
            </w:pPr>
            <w:r w:rsidRPr="000E56B6">
              <w:rPr>
                <w:sz w:val="20"/>
                <w:szCs w:val="20"/>
              </w:rPr>
              <w:t>организации</w:t>
            </w:r>
          </w:p>
        </w:tc>
        <w:tc>
          <w:tcPr>
            <w:tcW w:w="1842" w:type="dxa"/>
            <w:vMerge w:val="restart"/>
            <w:tcBorders>
              <w:bottom w:val="nil"/>
            </w:tcBorders>
          </w:tcPr>
          <w:p w:rsidR="00453763" w:rsidRPr="000E56B6" w:rsidRDefault="00453763" w:rsidP="00093107">
            <w:pPr>
              <w:jc w:val="center"/>
              <w:rPr>
                <w:sz w:val="20"/>
                <w:szCs w:val="20"/>
              </w:rPr>
            </w:pPr>
            <w:r w:rsidRPr="000E56B6">
              <w:rPr>
                <w:sz w:val="20"/>
                <w:szCs w:val="20"/>
              </w:rPr>
              <w:t>Наименование</w:t>
            </w:r>
          </w:p>
          <w:p w:rsidR="00453763" w:rsidRPr="000E56B6" w:rsidRDefault="00453763" w:rsidP="00093107">
            <w:pPr>
              <w:jc w:val="center"/>
              <w:rPr>
                <w:sz w:val="20"/>
                <w:szCs w:val="20"/>
              </w:rPr>
            </w:pPr>
            <w:r w:rsidRPr="000E56B6">
              <w:rPr>
                <w:sz w:val="20"/>
                <w:szCs w:val="20"/>
              </w:rPr>
              <w:t>структурного</w:t>
            </w:r>
          </w:p>
          <w:p w:rsidR="00453763" w:rsidRPr="000E56B6" w:rsidRDefault="00453763" w:rsidP="00093107">
            <w:pPr>
              <w:jc w:val="center"/>
              <w:rPr>
                <w:sz w:val="20"/>
                <w:szCs w:val="20"/>
              </w:rPr>
            </w:pPr>
            <w:r w:rsidRPr="000E56B6">
              <w:rPr>
                <w:sz w:val="20"/>
                <w:szCs w:val="20"/>
              </w:rPr>
              <w:t>подразделения</w:t>
            </w:r>
          </w:p>
        </w:tc>
        <w:tc>
          <w:tcPr>
            <w:tcW w:w="4826" w:type="dxa"/>
            <w:gridSpan w:val="3"/>
            <w:tcBorders>
              <w:bottom w:val="single" w:sz="4" w:space="0" w:color="auto"/>
            </w:tcBorders>
          </w:tcPr>
          <w:p w:rsidR="00453763" w:rsidRPr="000E56B6" w:rsidRDefault="00453763" w:rsidP="00093107">
            <w:pPr>
              <w:jc w:val="center"/>
              <w:rPr>
                <w:sz w:val="20"/>
                <w:szCs w:val="20"/>
              </w:rPr>
            </w:pPr>
            <w:r w:rsidRPr="000E56B6">
              <w:rPr>
                <w:sz w:val="20"/>
                <w:szCs w:val="20"/>
              </w:rPr>
              <w:t>Кадровая обеспеченность</w:t>
            </w:r>
          </w:p>
        </w:tc>
        <w:tc>
          <w:tcPr>
            <w:tcW w:w="6242" w:type="dxa"/>
            <w:gridSpan w:val="4"/>
            <w:tcBorders>
              <w:bottom w:val="single" w:sz="4" w:space="0" w:color="auto"/>
            </w:tcBorders>
          </w:tcPr>
          <w:p w:rsidR="00453763" w:rsidRPr="000E56B6" w:rsidRDefault="00453763" w:rsidP="00093107">
            <w:pPr>
              <w:jc w:val="center"/>
              <w:rPr>
                <w:sz w:val="20"/>
                <w:szCs w:val="20"/>
              </w:rPr>
            </w:pPr>
            <w:r w:rsidRPr="000E56B6">
              <w:rPr>
                <w:sz w:val="20"/>
                <w:szCs w:val="20"/>
              </w:rPr>
              <w:t>Оборудование</w:t>
            </w:r>
          </w:p>
        </w:tc>
      </w:tr>
      <w:tr w:rsidR="00453763" w:rsidRPr="000E56B6" w:rsidTr="00F507AB">
        <w:trPr>
          <w:trHeight w:val="20"/>
        </w:trPr>
        <w:tc>
          <w:tcPr>
            <w:tcW w:w="2211" w:type="dxa"/>
            <w:vMerge/>
            <w:tcBorders>
              <w:bottom w:val="nil"/>
            </w:tcBorders>
          </w:tcPr>
          <w:p w:rsidR="00453763" w:rsidRPr="000E56B6" w:rsidRDefault="00453763" w:rsidP="00093107">
            <w:pPr>
              <w:jc w:val="center"/>
              <w:rPr>
                <w:sz w:val="20"/>
                <w:szCs w:val="20"/>
              </w:rPr>
            </w:pPr>
          </w:p>
        </w:tc>
        <w:tc>
          <w:tcPr>
            <w:tcW w:w="1842" w:type="dxa"/>
            <w:vMerge/>
            <w:tcBorders>
              <w:bottom w:val="nil"/>
            </w:tcBorders>
          </w:tcPr>
          <w:p w:rsidR="00453763" w:rsidRPr="000E56B6" w:rsidRDefault="00453763" w:rsidP="00093107">
            <w:pPr>
              <w:jc w:val="center"/>
              <w:rPr>
                <w:sz w:val="20"/>
                <w:szCs w:val="20"/>
              </w:rPr>
            </w:pPr>
          </w:p>
        </w:tc>
        <w:tc>
          <w:tcPr>
            <w:tcW w:w="2410" w:type="dxa"/>
            <w:tcBorders>
              <w:bottom w:val="nil"/>
            </w:tcBorders>
          </w:tcPr>
          <w:p w:rsidR="00453763" w:rsidRPr="000E56B6" w:rsidRDefault="00F507AB" w:rsidP="00093107">
            <w:pPr>
              <w:jc w:val="center"/>
              <w:rPr>
                <w:sz w:val="20"/>
                <w:szCs w:val="20"/>
              </w:rPr>
            </w:pPr>
            <w:r>
              <w:rPr>
                <w:sz w:val="20"/>
                <w:szCs w:val="20"/>
              </w:rPr>
              <w:t>к</w:t>
            </w:r>
            <w:r w:rsidR="00453763" w:rsidRPr="000E56B6">
              <w:rPr>
                <w:sz w:val="20"/>
                <w:szCs w:val="20"/>
              </w:rPr>
              <w:t>оличество</w:t>
            </w:r>
            <w:r>
              <w:rPr>
                <w:sz w:val="20"/>
                <w:szCs w:val="20"/>
              </w:rPr>
              <w:t xml:space="preserve"> </w:t>
            </w:r>
            <w:r w:rsidR="00453763" w:rsidRPr="000E56B6">
              <w:rPr>
                <w:sz w:val="20"/>
                <w:szCs w:val="20"/>
              </w:rPr>
              <w:t>штатных</w:t>
            </w:r>
          </w:p>
          <w:p w:rsidR="00CC5E18" w:rsidRDefault="00453763" w:rsidP="00093107">
            <w:pPr>
              <w:jc w:val="center"/>
              <w:rPr>
                <w:sz w:val="20"/>
                <w:szCs w:val="20"/>
              </w:rPr>
            </w:pPr>
            <w:r w:rsidRPr="000E56B6">
              <w:rPr>
                <w:sz w:val="20"/>
                <w:szCs w:val="20"/>
              </w:rPr>
              <w:t>должностей врачей-</w:t>
            </w:r>
          </w:p>
          <w:p w:rsidR="00453763" w:rsidRPr="000E56B6" w:rsidRDefault="00453763" w:rsidP="00093107">
            <w:pPr>
              <w:jc w:val="center"/>
              <w:rPr>
                <w:sz w:val="20"/>
                <w:szCs w:val="20"/>
              </w:rPr>
            </w:pPr>
            <w:r w:rsidRPr="000E56B6">
              <w:rPr>
                <w:sz w:val="20"/>
                <w:szCs w:val="20"/>
              </w:rPr>
              <w:t>радиотерапевтов</w:t>
            </w:r>
          </w:p>
          <w:p w:rsidR="00453763" w:rsidRPr="000E56B6" w:rsidRDefault="00453763" w:rsidP="00093107">
            <w:pPr>
              <w:jc w:val="center"/>
              <w:rPr>
                <w:sz w:val="20"/>
                <w:szCs w:val="20"/>
              </w:rPr>
            </w:pPr>
            <w:r w:rsidRPr="000E56B6">
              <w:rPr>
                <w:sz w:val="20"/>
                <w:szCs w:val="20"/>
              </w:rPr>
              <w:t>(согласно</w:t>
            </w:r>
            <w:r w:rsidR="00F507AB">
              <w:rPr>
                <w:sz w:val="20"/>
                <w:szCs w:val="20"/>
              </w:rPr>
              <w:t xml:space="preserve"> </w:t>
            </w:r>
            <w:r w:rsidRPr="000E56B6">
              <w:rPr>
                <w:sz w:val="20"/>
                <w:szCs w:val="20"/>
              </w:rPr>
              <w:t>штатному</w:t>
            </w:r>
          </w:p>
          <w:p w:rsidR="00453763" w:rsidRPr="000E56B6" w:rsidRDefault="00453763" w:rsidP="00093107">
            <w:pPr>
              <w:jc w:val="center"/>
              <w:rPr>
                <w:sz w:val="20"/>
                <w:szCs w:val="20"/>
              </w:rPr>
            </w:pPr>
            <w:r w:rsidRPr="000E56B6">
              <w:rPr>
                <w:sz w:val="20"/>
                <w:szCs w:val="20"/>
              </w:rPr>
              <w:t>расписанию)</w:t>
            </w:r>
          </w:p>
        </w:tc>
        <w:tc>
          <w:tcPr>
            <w:tcW w:w="2410" w:type="dxa"/>
            <w:tcBorders>
              <w:bottom w:val="nil"/>
            </w:tcBorders>
          </w:tcPr>
          <w:p w:rsidR="00453763" w:rsidRPr="000E56B6" w:rsidRDefault="00F507AB" w:rsidP="00F507AB">
            <w:pPr>
              <w:jc w:val="center"/>
              <w:rPr>
                <w:sz w:val="20"/>
                <w:szCs w:val="20"/>
              </w:rPr>
            </w:pPr>
            <w:r>
              <w:rPr>
                <w:sz w:val="20"/>
                <w:szCs w:val="20"/>
              </w:rPr>
              <w:t>к</w:t>
            </w:r>
            <w:r w:rsidR="00453763" w:rsidRPr="000E56B6">
              <w:rPr>
                <w:sz w:val="20"/>
                <w:szCs w:val="20"/>
              </w:rPr>
              <w:t>оличество</w:t>
            </w:r>
            <w:r>
              <w:rPr>
                <w:sz w:val="20"/>
                <w:szCs w:val="20"/>
              </w:rPr>
              <w:t xml:space="preserve"> </w:t>
            </w:r>
            <w:r w:rsidR="00453763" w:rsidRPr="000E56B6">
              <w:rPr>
                <w:sz w:val="20"/>
                <w:szCs w:val="20"/>
              </w:rPr>
              <w:t>физических лиц врачей-радиотерапевтов,</w:t>
            </w:r>
            <w:r>
              <w:rPr>
                <w:sz w:val="20"/>
                <w:szCs w:val="20"/>
              </w:rPr>
              <w:t xml:space="preserve"> </w:t>
            </w:r>
            <w:r w:rsidR="00453763" w:rsidRPr="000E56B6">
              <w:rPr>
                <w:sz w:val="20"/>
                <w:szCs w:val="20"/>
              </w:rPr>
              <w:t>фактически</w:t>
            </w:r>
            <w:r>
              <w:rPr>
                <w:sz w:val="20"/>
                <w:szCs w:val="20"/>
              </w:rPr>
              <w:t xml:space="preserve"> </w:t>
            </w:r>
            <w:r w:rsidR="00453763" w:rsidRPr="000E56B6">
              <w:rPr>
                <w:sz w:val="20"/>
                <w:szCs w:val="20"/>
              </w:rPr>
              <w:t>занимающих</w:t>
            </w:r>
            <w:r>
              <w:rPr>
                <w:sz w:val="20"/>
                <w:szCs w:val="20"/>
              </w:rPr>
              <w:t xml:space="preserve"> </w:t>
            </w:r>
            <w:r w:rsidR="00453763" w:rsidRPr="000E56B6">
              <w:rPr>
                <w:sz w:val="20"/>
                <w:szCs w:val="20"/>
              </w:rPr>
              <w:t>штатные</w:t>
            </w:r>
            <w:r>
              <w:rPr>
                <w:sz w:val="20"/>
                <w:szCs w:val="20"/>
              </w:rPr>
              <w:t xml:space="preserve"> </w:t>
            </w:r>
            <w:r w:rsidR="00453763" w:rsidRPr="000E56B6">
              <w:rPr>
                <w:sz w:val="20"/>
                <w:szCs w:val="20"/>
              </w:rPr>
              <w:t>должности</w:t>
            </w:r>
          </w:p>
        </w:tc>
        <w:tc>
          <w:tcPr>
            <w:tcW w:w="1701" w:type="dxa"/>
            <w:gridSpan w:val="2"/>
            <w:tcBorders>
              <w:bottom w:val="nil"/>
            </w:tcBorders>
          </w:tcPr>
          <w:p w:rsidR="00453763" w:rsidRPr="000E56B6" w:rsidRDefault="00F507AB" w:rsidP="00093107">
            <w:pPr>
              <w:jc w:val="center"/>
              <w:rPr>
                <w:color w:val="000000"/>
                <w:sz w:val="20"/>
                <w:szCs w:val="20"/>
              </w:rPr>
            </w:pPr>
            <w:r>
              <w:rPr>
                <w:color w:val="000000"/>
                <w:sz w:val="20"/>
                <w:szCs w:val="20"/>
              </w:rPr>
              <w:t>в</w:t>
            </w:r>
            <w:r w:rsidR="00453763" w:rsidRPr="000E56B6">
              <w:rPr>
                <w:color w:val="000000"/>
                <w:sz w:val="20"/>
                <w:szCs w:val="20"/>
                <w:lang w:val="en-GB"/>
              </w:rPr>
              <w:t>ид оборудования</w:t>
            </w:r>
          </w:p>
        </w:tc>
        <w:tc>
          <w:tcPr>
            <w:tcW w:w="1843" w:type="dxa"/>
            <w:tcBorders>
              <w:bottom w:val="nil"/>
            </w:tcBorders>
          </w:tcPr>
          <w:p w:rsidR="00453763" w:rsidRPr="000E56B6" w:rsidRDefault="00F507AB" w:rsidP="00093107">
            <w:pPr>
              <w:jc w:val="center"/>
              <w:rPr>
                <w:color w:val="000000"/>
                <w:sz w:val="20"/>
                <w:szCs w:val="20"/>
              </w:rPr>
            </w:pPr>
            <w:r>
              <w:rPr>
                <w:color w:val="000000"/>
                <w:sz w:val="20"/>
                <w:szCs w:val="20"/>
              </w:rPr>
              <w:t>н</w:t>
            </w:r>
            <w:r w:rsidR="00453763" w:rsidRPr="000E56B6">
              <w:rPr>
                <w:color w:val="000000"/>
                <w:sz w:val="20"/>
                <w:szCs w:val="20"/>
              </w:rPr>
              <w:t>аименование</w:t>
            </w:r>
          </w:p>
          <w:p w:rsidR="00453763" w:rsidRPr="000E56B6" w:rsidRDefault="00453763" w:rsidP="00093107">
            <w:pPr>
              <w:jc w:val="center"/>
              <w:rPr>
                <w:color w:val="000000"/>
                <w:sz w:val="20"/>
                <w:szCs w:val="20"/>
              </w:rPr>
            </w:pPr>
          </w:p>
        </w:tc>
        <w:tc>
          <w:tcPr>
            <w:tcW w:w="1352" w:type="dxa"/>
            <w:tcBorders>
              <w:bottom w:val="nil"/>
            </w:tcBorders>
          </w:tcPr>
          <w:p w:rsidR="00453763" w:rsidRPr="000E56B6" w:rsidRDefault="00F507AB" w:rsidP="00093107">
            <w:pPr>
              <w:jc w:val="center"/>
              <w:rPr>
                <w:color w:val="000000"/>
                <w:sz w:val="20"/>
                <w:szCs w:val="20"/>
              </w:rPr>
            </w:pPr>
            <w:r>
              <w:rPr>
                <w:color w:val="000000"/>
                <w:sz w:val="20"/>
                <w:szCs w:val="20"/>
              </w:rPr>
              <w:t>к</w:t>
            </w:r>
            <w:r w:rsidR="00453763" w:rsidRPr="000E56B6">
              <w:rPr>
                <w:color w:val="000000"/>
                <w:sz w:val="20"/>
                <w:szCs w:val="20"/>
              </w:rPr>
              <w:t>оличество</w:t>
            </w:r>
          </w:p>
        </w:tc>
        <w:tc>
          <w:tcPr>
            <w:tcW w:w="1352" w:type="dxa"/>
            <w:tcBorders>
              <w:bottom w:val="nil"/>
            </w:tcBorders>
          </w:tcPr>
          <w:p w:rsidR="00F507AB" w:rsidRDefault="00F507AB" w:rsidP="00093107">
            <w:pPr>
              <w:jc w:val="center"/>
              <w:rPr>
                <w:sz w:val="20"/>
                <w:szCs w:val="20"/>
              </w:rPr>
            </w:pPr>
            <w:r>
              <w:rPr>
                <w:sz w:val="20"/>
                <w:szCs w:val="20"/>
              </w:rPr>
              <w:t>г</w:t>
            </w:r>
            <w:r w:rsidR="00453763" w:rsidRPr="000E56B6">
              <w:rPr>
                <w:sz w:val="20"/>
                <w:szCs w:val="20"/>
              </w:rPr>
              <w:t>од</w:t>
            </w:r>
            <w:r>
              <w:rPr>
                <w:sz w:val="20"/>
                <w:szCs w:val="20"/>
              </w:rPr>
              <w:t xml:space="preserve"> </w:t>
            </w:r>
            <w:r w:rsidR="00453763" w:rsidRPr="000E56B6">
              <w:rPr>
                <w:sz w:val="20"/>
                <w:szCs w:val="20"/>
              </w:rPr>
              <w:t xml:space="preserve">ввода </w:t>
            </w:r>
          </w:p>
          <w:p w:rsidR="00453763" w:rsidRPr="000E56B6" w:rsidRDefault="00453763" w:rsidP="00093107">
            <w:pPr>
              <w:jc w:val="center"/>
              <w:rPr>
                <w:sz w:val="20"/>
                <w:szCs w:val="20"/>
              </w:rPr>
            </w:pPr>
            <w:r w:rsidRPr="000E56B6">
              <w:rPr>
                <w:sz w:val="20"/>
                <w:szCs w:val="20"/>
              </w:rPr>
              <w:t>в</w:t>
            </w:r>
            <w:r w:rsidR="00F507AB">
              <w:rPr>
                <w:sz w:val="20"/>
                <w:szCs w:val="20"/>
              </w:rPr>
              <w:t xml:space="preserve"> </w:t>
            </w:r>
            <w:r w:rsidRPr="000E56B6">
              <w:rPr>
                <w:sz w:val="20"/>
                <w:szCs w:val="20"/>
              </w:rPr>
              <w:t>эксплу-</w:t>
            </w:r>
          </w:p>
          <w:p w:rsidR="00453763" w:rsidRPr="000E56B6" w:rsidRDefault="00453763" w:rsidP="00093107">
            <w:pPr>
              <w:jc w:val="center"/>
              <w:rPr>
                <w:sz w:val="20"/>
                <w:szCs w:val="20"/>
              </w:rPr>
            </w:pPr>
            <w:r w:rsidRPr="000E56B6">
              <w:rPr>
                <w:sz w:val="20"/>
                <w:szCs w:val="20"/>
              </w:rPr>
              <w:t>атацию</w:t>
            </w:r>
          </w:p>
        </w:tc>
      </w:tr>
    </w:tbl>
    <w:p w:rsidR="00F507AB" w:rsidRPr="00F507AB" w:rsidRDefault="00F507AB">
      <w:pPr>
        <w:rPr>
          <w:sz w:val="2"/>
          <w:szCs w:val="2"/>
        </w:rPr>
      </w:pPr>
    </w:p>
    <w:tbl>
      <w:tblPr>
        <w:tblStyle w:val="af1"/>
        <w:tblW w:w="15121" w:type="dxa"/>
        <w:tblLayout w:type="fixed"/>
        <w:tblLook w:val="04A0" w:firstRow="1" w:lastRow="0" w:firstColumn="1" w:lastColumn="0" w:noHBand="0" w:noVBand="1"/>
      </w:tblPr>
      <w:tblGrid>
        <w:gridCol w:w="2211"/>
        <w:gridCol w:w="1842"/>
        <w:gridCol w:w="2410"/>
        <w:gridCol w:w="2410"/>
        <w:gridCol w:w="1701"/>
        <w:gridCol w:w="1843"/>
        <w:gridCol w:w="1352"/>
        <w:gridCol w:w="1352"/>
      </w:tblGrid>
      <w:tr w:rsidR="00453763" w:rsidRPr="000E56B6" w:rsidTr="00F507AB">
        <w:trPr>
          <w:trHeight w:val="20"/>
          <w:tblHeader/>
        </w:trPr>
        <w:tc>
          <w:tcPr>
            <w:tcW w:w="2211" w:type="dxa"/>
          </w:tcPr>
          <w:p w:rsidR="00453763" w:rsidRPr="000E56B6" w:rsidRDefault="00453763" w:rsidP="00DC212A">
            <w:pPr>
              <w:jc w:val="center"/>
              <w:rPr>
                <w:sz w:val="20"/>
                <w:szCs w:val="20"/>
              </w:rPr>
            </w:pPr>
            <w:r w:rsidRPr="000E56B6">
              <w:rPr>
                <w:sz w:val="20"/>
                <w:szCs w:val="20"/>
              </w:rPr>
              <w:t>1</w:t>
            </w:r>
          </w:p>
        </w:tc>
        <w:tc>
          <w:tcPr>
            <w:tcW w:w="1842" w:type="dxa"/>
          </w:tcPr>
          <w:p w:rsidR="00453763" w:rsidRPr="000E56B6" w:rsidRDefault="00453763" w:rsidP="00DC212A">
            <w:pPr>
              <w:jc w:val="center"/>
              <w:rPr>
                <w:sz w:val="20"/>
                <w:szCs w:val="20"/>
              </w:rPr>
            </w:pPr>
            <w:r w:rsidRPr="000E56B6">
              <w:rPr>
                <w:sz w:val="20"/>
                <w:szCs w:val="20"/>
              </w:rPr>
              <w:t>2</w:t>
            </w:r>
          </w:p>
        </w:tc>
        <w:tc>
          <w:tcPr>
            <w:tcW w:w="2410" w:type="dxa"/>
          </w:tcPr>
          <w:p w:rsidR="00453763" w:rsidRPr="000E56B6" w:rsidRDefault="00453763" w:rsidP="00DC212A">
            <w:pPr>
              <w:jc w:val="center"/>
              <w:rPr>
                <w:sz w:val="20"/>
                <w:szCs w:val="20"/>
              </w:rPr>
            </w:pPr>
            <w:r w:rsidRPr="000E56B6">
              <w:rPr>
                <w:sz w:val="20"/>
                <w:szCs w:val="20"/>
              </w:rPr>
              <w:t>3</w:t>
            </w:r>
          </w:p>
        </w:tc>
        <w:tc>
          <w:tcPr>
            <w:tcW w:w="2410" w:type="dxa"/>
          </w:tcPr>
          <w:p w:rsidR="00453763" w:rsidRPr="000E56B6" w:rsidRDefault="00453763" w:rsidP="00DC212A">
            <w:pPr>
              <w:jc w:val="center"/>
              <w:rPr>
                <w:sz w:val="20"/>
                <w:szCs w:val="20"/>
              </w:rPr>
            </w:pPr>
            <w:r w:rsidRPr="000E56B6">
              <w:rPr>
                <w:sz w:val="20"/>
                <w:szCs w:val="20"/>
              </w:rPr>
              <w:t>4</w:t>
            </w:r>
          </w:p>
        </w:tc>
        <w:tc>
          <w:tcPr>
            <w:tcW w:w="1701" w:type="dxa"/>
          </w:tcPr>
          <w:p w:rsidR="00453763" w:rsidRPr="000E56B6" w:rsidRDefault="00453763" w:rsidP="00DC212A">
            <w:pPr>
              <w:jc w:val="center"/>
              <w:rPr>
                <w:color w:val="000000"/>
                <w:sz w:val="20"/>
                <w:szCs w:val="20"/>
              </w:rPr>
            </w:pPr>
            <w:r w:rsidRPr="000E56B6">
              <w:rPr>
                <w:color w:val="000000"/>
                <w:sz w:val="20"/>
                <w:szCs w:val="20"/>
              </w:rPr>
              <w:t>5</w:t>
            </w:r>
          </w:p>
        </w:tc>
        <w:tc>
          <w:tcPr>
            <w:tcW w:w="1843" w:type="dxa"/>
          </w:tcPr>
          <w:p w:rsidR="00453763" w:rsidRPr="000E56B6" w:rsidRDefault="00453763" w:rsidP="00DC212A">
            <w:pPr>
              <w:jc w:val="center"/>
              <w:rPr>
                <w:color w:val="000000"/>
                <w:sz w:val="20"/>
                <w:szCs w:val="20"/>
              </w:rPr>
            </w:pPr>
            <w:r w:rsidRPr="000E56B6">
              <w:rPr>
                <w:color w:val="000000"/>
                <w:sz w:val="20"/>
                <w:szCs w:val="20"/>
              </w:rPr>
              <w:t>6</w:t>
            </w:r>
          </w:p>
        </w:tc>
        <w:tc>
          <w:tcPr>
            <w:tcW w:w="1352" w:type="dxa"/>
          </w:tcPr>
          <w:p w:rsidR="00453763" w:rsidRPr="000E56B6" w:rsidRDefault="00453763" w:rsidP="00DC212A">
            <w:pPr>
              <w:jc w:val="center"/>
              <w:rPr>
                <w:color w:val="000000"/>
                <w:sz w:val="20"/>
                <w:szCs w:val="20"/>
              </w:rPr>
            </w:pPr>
            <w:r w:rsidRPr="000E56B6">
              <w:rPr>
                <w:color w:val="000000"/>
                <w:sz w:val="20"/>
                <w:szCs w:val="20"/>
              </w:rPr>
              <w:t>7</w:t>
            </w:r>
          </w:p>
        </w:tc>
        <w:tc>
          <w:tcPr>
            <w:tcW w:w="1352" w:type="dxa"/>
          </w:tcPr>
          <w:p w:rsidR="00453763" w:rsidRPr="000E56B6" w:rsidRDefault="00453763" w:rsidP="00DC212A">
            <w:pPr>
              <w:jc w:val="center"/>
              <w:rPr>
                <w:color w:val="000000"/>
                <w:sz w:val="20"/>
                <w:szCs w:val="20"/>
              </w:rPr>
            </w:pPr>
            <w:r w:rsidRPr="000E56B6">
              <w:rPr>
                <w:color w:val="000000"/>
                <w:sz w:val="20"/>
                <w:szCs w:val="20"/>
              </w:rPr>
              <w:t>8</w:t>
            </w:r>
          </w:p>
        </w:tc>
      </w:tr>
      <w:tr w:rsidR="00093107" w:rsidRPr="000E56B6" w:rsidTr="00F507AB">
        <w:trPr>
          <w:trHeight w:val="20"/>
        </w:trPr>
        <w:tc>
          <w:tcPr>
            <w:tcW w:w="2211" w:type="dxa"/>
          </w:tcPr>
          <w:p w:rsidR="00093107" w:rsidRPr="000E56B6" w:rsidRDefault="00093107" w:rsidP="00F507AB">
            <w:pPr>
              <w:jc w:val="both"/>
              <w:rPr>
                <w:sz w:val="20"/>
                <w:szCs w:val="20"/>
              </w:rPr>
            </w:pPr>
            <w:r w:rsidRPr="000E56B6">
              <w:rPr>
                <w:sz w:val="20"/>
                <w:szCs w:val="20"/>
              </w:rPr>
              <w:t>ГАУЗ «РКОД</w:t>
            </w:r>
            <w:r w:rsidR="00F507AB">
              <w:rPr>
                <w:sz w:val="20"/>
                <w:szCs w:val="20"/>
              </w:rPr>
              <w:t xml:space="preserve"> </w:t>
            </w:r>
            <w:r w:rsidRPr="000E56B6">
              <w:rPr>
                <w:sz w:val="20"/>
                <w:szCs w:val="20"/>
              </w:rPr>
              <w:t>МЗ РТ</w:t>
            </w:r>
          </w:p>
          <w:p w:rsidR="00093107" w:rsidRPr="000E56B6" w:rsidRDefault="00093107" w:rsidP="00F507AB">
            <w:pPr>
              <w:jc w:val="both"/>
              <w:rPr>
                <w:sz w:val="20"/>
                <w:szCs w:val="20"/>
              </w:rPr>
            </w:pPr>
            <w:r w:rsidRPr="000E56B6">
              <w:rPr>
                <w:sz w:val="20"/>
                <w:szCs w:val="20"/>
              </w:rPr>
              <w:t xml:space="preserve">им.проф.М.З.Сигала» </w:t>
            </w:r>
          </w:p>
        </w:tc>
        <w:tc>
          <w:tcPr>
            <w:tcW w:w="1842" w:type="dxa"/>
          </w:tcPr>
          <w:p w:rsidR="00093107" w:rsidRPr="000E56B6" w:rsidRDefault="00093107" w:rsidP="00F507AB">
            <w:pPr>
              <w:jc w:val="both"/>
              <w:rPr>
                <w:sz w:val="20"/>
                <w:szCs w:val="20"/>
              </w:rPr>
            </w:pPr>
            <w:r w:rsidRPr="000E56B6">
              <w:rPr>
                <w:sz w:val="20"/>
                <w:szCs w:val="20"/>
              </w:rPr>
              <w:t>ДС 2 Радиология</w:t>
            </w:r>
          </w:p>
        </w:tc>
        <w:tc>
          <w:tcPr>
            <w:tcW w:w="2410" w:type="dxa"/>
          </w:tcPr>
          <w:p w:rsidR="00093107" w:rsidRPr="000E56B6" w:rsidRDefault="00093107" w:rsidP="00093107">
            <w:pPr>
              <w:jc w:val="center"/>
              <w:rPr>
                <w:sz w:val="20"/>
                <w:szCs w:val="20"/>
              </w:rPr>
            </w:pPr>
            <w:r w:rsidRPr="000E56B6">
              <w:rPr>
                <w:sz w:val="20"/>
                <w:szCs w:val="20"/>
              </w:rPr>
              <w:t>11</w:t>
            </w:r>
          </w:p>
        </w:tc>
        <w:tc>
          <w:tcPr>
            <w:tcW w:w="2410" w:type="dxa"/>
          </w:tcPr>
          <w:p w:rsidR="00093107" w:rsidRPr="000E56B6" w:rsidRDefault="00093107" w:rsidP="00093107">
            <w:pPr>
              <w:jc w:val="center"/>
              <w:rPr>
                <w:sz w:val="20"/>
                <w:szCs w:val="20"/>
              </w:rPr>
            </w:pPr>
            <w:r w:rsidRPr="000E56B6">
              <w:rPr>
                <w:sz w:val="20"/>
                <w:szCs w:val="20"/>
              </w:rPr>
              <w:t>11</w:t>
            </w:r>
          </w:p>
        </w:tc>
        <w:tc>
          <w:tcPr>
            <w:tcW w:w="1701" w:type="dxa"/>
          </w:tcPr>
          <w:p w:rsidR="00093107" w:rsidRPr="000E56B6" w:rsidRDefault="00093107" w:rsidP="00E245B9">
            <w:pPr>
              <w:jc w:val="both"/>
              <w:rPr>
                <w:color w:val="000000"/>
                <w:sz w:val="20"/>
                <w:szCs w:val="20"/>
              </w:rPr>
            </w:pPr>
            <w:r w:rsidRPr="000E56B6">
              <w:rPr>
                <w:color w:val="000000"/>
                <w:sz w:val="20"/>
                <w:szCs w:val="20"/>
              </w:rPr>
              <w:t xml:space="preserve">Аппараты для </w:t>
            </w:r>
            <w:r w:rsidR="005B2129">
              <w:rPr>
                <w:color w:val="000000"/>
                <w:sz w:val="20"/>
                <w:szCs w:val="20"/>
              </w:rPr>
              <w:t xml:space="preserve">дистанционной лучевой терапии </w:t>
            </w:r>
          </w:p>
        </w:tc>
        <w:tc>
          <w:tcPr>
            <w:tcW w:w="1843" w:type="dxa"/>
          </w:tcPr>
          <w:p w:rsidR="00093107" w:rsidRPr="000E56B6" w:rsidRDefault="00093107" w:rsidP="00093107">
            <w:pPr>
              <w:jc w:val="center"/>
              <w:rPr>
                <w:color w:val="000000"/>
                <w:sz w:val="20"/>
                <w:szCs w:val="20"/>
              </w:rPr>
            </w:pPr>
            <w:r w:rsidRPr="000E56B6">
              <w:rPr>
                <w:color w:val="000000"/>
                <w:sz w:val="20"/>
                <w:szCs w:val="20"/>
              </w:rPr>
              <w:t xml:space="preserve">ЛУ </w:t>
            </w:r>
            <w:r w:rsidRPr="000E56B6">
              <w:rPr>
                <w:color w:val="000000"/>
                <w:sz w:val="20"/>
                <w:szCs w:val="20"/>
                <w:lang w:val="en-GB"/>
              </w:rPr>
              <w:t>TrueBeam</w:t>
            </w:r>
            <w:r w:rsidRPr="000E56B6">
              <w:rPr>
                <w:color w:val="000000"/>
                <w:sz w:val="20"/>
                <w:szCs w:val="20"/>
              </w:rPr>
              <w:t xml:space="preserve"> </w:t>
            </w:r>
            <w:r w:rsidRPr="000E56B6">
              <w:rPr>
                <w:color w:val="000000"/>
                <w:sz w:val="20"/>
                <w:szCs w:val="20"/>
                <w:lang w:val="en-GB"/>
              </w:rPr>
              <w:t>TX</w:t>
            </w:r>
            <w:r w:rsidRPr="000E56B6">
              <w:rPr>
                <w:color w:val="000000"/>
                <w:sz w:val="20"/>
                <w:szCs w:val="20"/>
              </w:rPr>
              <w:t xml:space="preserve"> </w:t>
            </w:r>
            <w:r w:rsidRPr="000E56B6">
              <w:rPr>
                <w:color w:val="000000"/>
                <w:sz w:val="20"/>
                <w:szCs w:val="20"/>
                <w:lang w:val="en-GB"/>
              </w:rPr>
              <w:t>Varian</w:t>
            </w:r>
          </w:p>
        </w:tc>
        <w:tc>
          <w:tcPr>
            <w:tcW w:w="1352" w:type="dxa"/>
          </w:tcPr>
          <w:p w:rsidR="00093107" w:rsidRPr="000E56B6" w:rsidRDefault="00093107" w:rsidP="00093107">
            <w:pPr>
              <w:jc w:val="center"/>
              <w:rPr>
                <w:color w:val="000000"/>
                <w:sz w:val="20"/>
                <w:szCs w:val="20"/>
              </w:rPr>
            </w:pPr>
            <w:r w:rsidRPr="000E56B6">
              <w:rPr>
                <w:color w:val="000000"/>
                <w:sz w:val="20"/>
                <w:szCs w:val="20"/>
              </w:rPr>
              <w:t>5</w:t>
            </w:r>
          </w:p>
        </w:tc>
        <w:tc>
          <w:tcPr>
            <w:tcW w:w="1352" w:type="dxa"/>
          </w:tcPr>
          <w:p w:rsidR="00093107" w:rsidRPr="000E56B6" w:rsidRDefault="00093107" w:rsidP="00093107">
            <w:pPr>
              <w:jc w:val="center"/>
              <w:rPr>
                <w:color w:val="000000"/>
                <w:sz w:val="20"/>
                <w:szCs w:val="20"/>
              </w:rPr>
            </w:pPr>
            <w:r w:rsidRPr="000E56B6">
              <w:rPr>
                <w:color w:val="000000"/>
                <w:sz w:val="20"/>
                <w:szCs w:val="20"/>
              </w:rPr>
              <w:t>2021</w:t>
            </w:r>
          </w:p>
        </w:tc>
      </w:tr>
      <w:tr w:rsidR="00093107" w:rsidRPr="000E56B6" w:rsidTr="00F507AB">
        <w:trPr>
          <w:trHeight w:val="20"/>
        </w:trPr>
        <w:tc>
          <w:tcPr>
            <w:tcW w:w="2211" w:type="dxa"/>
          </w:tcPr>
          <w:p w:rsidR="00093107" w:rsidRPr="000E56B6" w:rsidRDefault="00093107" w:rsidP="00F507AB">
            <w:pPr>
              <w:jc w:val="both"/>
              <w:rPr>
                <w:sz w:val="20"/>
                <w:szCs w:val="20"/>
              </w:rPr>
            </w:pPr>
          </w:p>
        </w:tc>
        <w:tc>
          <w:tcPr>
            <w:tcW w:w="1842" w:type="dxa"/>
          </w:tcPr>
          <w:p w:rsidR="00093107" w:rsidRPr="000E56B6" w:rsidRDefault="00093107" w:rsidP="00F507AB">
            <w:pPr>
              <w:jc w:val="both"/>
              <w:rPr>
                <w:sz w:val="20"/>
                <w:szCs w:val="20"/>
              </w:rPr>
            </w:pPr>
            <w:r w:rsidRPr="000E56B6">
              <w:rPr>
                <w:sz w:val="20"/>
                <w:szCs w:val="20"/>
              </w:rPr>
              <w:t>КС Радиология 1</w:t>
            </w:r>
          </w:p>
        </w:tc>
        <w:tc>
          <w:tcPr>
            <w:tcW w:w="2410" w:type="dxa"/>
          </w:tcPr>
          <w:p w:rsidR="00093107" w:rsidRPr="000E56B6" w:rsidRDefault="00093107" w:rsidP="00093107">
            <w:pPr>
              <w:jc w:val="center"/>
              <w:rPr>
                <w:sz w:val="20"/>
                <w:szCs w:val="20"/>
              </w:rPr>
            </w:pPr>
            <w:r w:rsidRPr="000E56B6">
              <w:rPr>
                <w:sz w:val="20"/>
                <w:szCs w:val="20"/>
              </w:rPr>
              <w:t>7</w:t>
            </w:r>
          </w:p>
        </w:tc>
        <w:tc>
          <w:tcPr>
            <w:tcW w:w="2410" w:type="dxa"/>
          </w:tcPr>
          <w:p w:rsidR="00093107" w:rsidRPr="000E56B6" w:rsidRDefault="00093107" w:rsidP="00093107">
            <w:pPr>
              <w:jc w:val="center"/>
              <w:rPr>
                <w:sz w:val="20"/>
                <w:szCs w:val="20"/>
              </w:rPr>
            </w:pPr>
            <w:r w:rsidRPr="000E56B6">
              <w:rPr>
                <w:sz w:val="20"/>
                <w:szCs w:val="20"/>
              </w:rPr>
              <w:t>7</w:t>
            </w:r>
          </w:p>
        </w:tc>
        <w:tc>
          <w:tcPr>
            <w:tcW w:w="1701" w:type="dxa"/>
          </w:tcPr>
          <w:p w:rsidR="00093107" w:rsidRPr="000E56B6" w:rsidRDefault="00093107" w:rsidP="00F507AB">
            <w:pPr>
              <w:jc w:val="both"/>
              <w:rPr>
                <w:color w:val="000000"/>
                <w:sz w:val="20"/>
                <w:szCs w:val="20"/>
              </w:rPr>
            </w:pPr>
          </w:p>
        </w:tc>
        <w:tc>
          <w:tcPr>
            <w:tcW w:w="1843" w:type="dxa"/>
          </w:tcPr>
          <w:p w:rsidR="00093107" w:rsidRPr="000E56B6" w:rsidRDefault="00093107" w:rsidP="00093107">
            <w:pPr>
              <w:jc w:val="center"/>
              <w:rPr>
                <w:color w:val="000000"/>
                <w:sz w:val="20"/>
                <w:szCs w:val="20"/>
              </w:rPr>
            </w:pPr>
            <w:r w:rsidRPr="000E56B6">
              <w:rPr>
                <w:color w:val="000000"/>
                <w:sz w:val="20"/>
                <w:szCs w:val="20"/>
              </w:rPr>
              <w:t>ЛУ для томотерапии TomoHD, Accuray</w:t>
            </w:r>
          </w:p>
        </w:tc>
        <w:tc>
          <w:tcPr>
            <w:tcW w:w="1352" w:type="dxa"/>
          </w:tcPr>
          <w:p w:rsidR="00093107" w:rsidRPr="000E56B6" w:rsidRDefault="00093107" w:rsidP="00093107">
            <w:pPr>
              <w:jc w:val="center"/>
              <w:rPr>
                <w:color w:val="000000"/>
                <w:sz w:val="20"/>
                <w:szCs w:val="20"/>
              </w:rPr>
            </w:pPr>
            <w:r w:rsidRPr="000E56B6">
              <w:rPr>
                <w:color w:val="000000"/>
                <w:sz w:val="20"/>
                <w:szCs w:val="20"/>
              </w:rPr>
              <w:t>2</w:t>
            </w:r>
          </w:p>
        </w:tc>
        <w:tc>
          <w:tcPr>
            <w:tcW w:w="1352" w:type="dxa"/>
          </w:tcPr>
          <w:p w:rsidR="00093107" w:rsidRPr="000E56B6" w:rsidRDefault="00093107" w:rsidP="00093107">
            <w:pPr>
              <w:jc w:val="center"/>
              <w:rPr>
                <w:color w:val="000000"/>
                <w:sz w:val="20"/>
                <w:szCs w:val="20"/>
              </w:rPr>
            </w:pPr>
            <w:r w:rsidRPr="000E56B6">
              <w:rPr>
                <w:color w:val="000000"/>
                <w:sz w:val="20"/>
                <w:szCs w:val="20"/>
                <w:lang w:val="en-GB"/>
              </w:rPr>
              <w:t>2019</w:t>
            </w:r>
          </w:p>
        </w:tc>
      </w:tr>
      <w:tr w:rsidR="00093107" w:rsidRPr="000E56B6" w:rsidTr="00F507AB">
        <w:trPr>
          <w:trHeight w:val="20"/>
        </w:trPr>
        <w:tc>
          <w:tcPr>
            <w:tcW w:w="2211" w:type="dxa"/>
          </w:tcPr>
          <w:p w:rsidR="00093107" w:rsidRPr="000E56B6" w:rsidRDefault="00093107" w:rsidP="00F507AB">
            <w:pPr>
              <w:jc w:val="both"/>
              <w:rPr>
                <w:sz w:val="20"/>
                <w:szCs w:val="20"/>
              </w:rPr>
            </w:pPr>
          </w:p>
        </w:tc>
        <w:tc>
          <w:tcPr>
            <w:tcW w:w="1842" w:type="dxa"/>
          </w:tcPr>
          <w:p w:rsidR="00093107" w:rsidRPr="000E56B6" w:rsidRDefault="00093107" w:rsidP="00F507AB">
            <w:pPr>
              <w:jc w:val="both"/>
              <w:rPr>
                <w:sz w:val="20"/>
                <w:szCs w:val="20"/>
              </w:rPr>
            </w:pPr>
            <w:r w:rsidRPr="000E56B6">
              <w:rPr>
                <w:sz w:val="20"/>
                <w:szCs w:val="20"/>
              </w:rPr>
              <w:t>КС Радиология 2</w:t>
            </w:r>
          </w:p>
        </w:tc>
        <w:tc>
          <w:tcPr>
            <w:tcW w:w="2410" w:type="dxa"/>
          </w:tcPr>
          <w:p w:rsidR="00093107" w:rsidRPr="000E56B6" w:rsidRDefault="00093107" w:rsidP="00093107">
            <w:pPr>
              <w:jc w:val="center"/>
              <w:rPr>
                <w:sz w:val="20"/>
                <w:szCs w:val="20"/>
              </w:rPr>
            </w:pPr>
            <w:r w:rsidRPr="000E56B6">
              <w:rPr>
                <w:sz w:val="20"/>
                <w:szCs w:val="20"/>
              </w:rPr>
              <w:t>3</w:t>
            </w:r>
          </w:p>
        </w:tc>
        <w:tc>
          <w:tcPr>
            <w:tcW w:w="2410" w:type="dxa"/>
          </w:tcPr>
          <w:p w:rsidR="00093107" w:rsidRPr="000E56B6" w:rsidRDefault="00093107" w:rsidP="00093107">
            <w:pPr>
              <w:jc w:val="center"/>
              <w:rPr>
                <w:sz w:val="20"/>
                <w:szCs w:val="20"/>
              </w:rPr>
            </w:pPr>
            <w:r w:rsidRPr="000E56B6">
              <w:rPr>
                <w:sz w:val="20"/>
                <w:szCs w:val="20"/>
              </w:rPr>
              <w:t>3</w:t>
            </w:r>
          </w:p>
        </w:tc>
        <w:tc>
          <w:tcPr>
            <w:tcW w:w="1701" w:type="dxa"/>
          </w:tcPr>
          <w:p w:rsidR="00093107" w:rsidRPr="000E56B6" w:rsidRDefault="00093107" w:rsidP="00F507AB">
            <w:pPr>
              <w:jc w:val="both"/>
              <w:rPr>
                <w:color w:val="000000"/>
                <w:sz w:val="20"/>
                <w:szCs w:val="20"/>
              </w:rPr>
            </w:pPr>
          </w:p>
        </w:tc>
        <w:tc>
          <w:tcPr>
            <w:tcW w:w="1843" w:type="dxa"/>
          </w:tcPr>
          <w:p w:rsidR="00093107" w:rsidRPr="000E56B6" w:rsidRDefault="00093107" w:rsidP="00093107">
            <w:pPr>
              <w:jc w:val="center"/>
              <w:rPr>
                <w:color w:val="000000"/>
                <w:sz w:val="20"/>
                <w:szCs w:val="20"/>
              </w:rPr>
            </w:pPr>
            <w:r w:rsidRPr="000E56B6">
              <w:rPr>
                <w:color w:val="000000"/>
                <w:sz w:val="20"/>
                <w:szCs w:val="20"/>
                <w:lang w:val="en-GB"/>
              </w:rPr>
              <w:t>ГТУ Theratron</w:t>
            </w:r>
          </w:p>
        </w:tc>
        <w:tc>
          <w:tcPr>
            <w:tcW w:w="1352" w:type="dxa"/>
          </w:tcPr>
          <w:p w:rsidR="00093107" w:rsidRPr="000E56B6" w:rsidRDefault="00093107" w:rsidP="00093107">
            <w:pPr>
              <w:jc w:val="center"/>
              <w:rPr>
                <w:color w:val="000000"/>
                <w:sz w:val="20"/>
                <w:szCs w:val="20"/>
              </w:rPr>
            </w:pPr>
            <w:r w:rsidRPr="000E56B6">
              <w:rPr>
                <w:color w:val="000000"/>
                <w:sz w:val="20"/>
                <w:szCs w:val="20"/>
              </w:rPr>
              <w:t>1</w:t>
            </w:r>
          </w:p>
        </w:tc>
        <w:tc>
          <w:tcPr>
            <w:tcW w:w="1352" w:type="dxa"/>
          </w:tcPr>
          <w:p w:rsidR="00093107" w:rsidRPr="000E56B6" w:rsidRDefault="00093107" w:rsidP="00093107">
            <w:pPr>
              <w:jc w:val="center"/>
              <w:rPr>
                <w:color w:val="000000"/>
                <w:sz w:val="20"/>
                <w:szCs w:val="20"/>
              </w:rPr>
            </w:pPr>
            <w:r w:rsidRPr="000E56B6">
              <w:rPr>
                <w:color w:val="000000"/>
                <w:sz w:val="20"/>
                <w:szCs w:val="20"/>
                <w:lang w:val="en-GB"/>
              </w:rPr>
              <w:t>2011</w:t>
            </w:r>
          </w:p>
        </w:tc>
      </w:tr>
      <w:tr w:rsidR="00093107" w:rsidRPr="000E56B6" w:rsidTr="00F507AB">
        <w:trPr>
          <w:trHeight w:val="20"/>
        </w:trPr>
        <w:tc>
          <w:tcPr>
            <w:tcW w:w="2211" w:type="dxa"/>
          </w:tcPr>
          <w:p w:rsidR="00093107" w:rsidRPr="000E56B6" w:rsidRDefault="00093107" w:rsidP="00F507AB">
            <w:pPr>
              <w:jc w:val="both"/>
              <w:rPr>
                <w:sz w:val="20"/>
                <w:szCs w:val="20"/>
              </w:rPr>
            </w:pPr>
          </w:p>
        </w:tc>
        <w:tc>
          <w:tcPr>
            <w:tcW w:w="1842" w:type="dxa"/>
          </w:tcPr>
          <w:p w:rsidR="00093107" w:rsidRPr="000E56B6" w:rsidRDefault="00093107" w:rsidP="00F507AB">
            <w:pPr>
              <w:jc w:val="both"/>
              <w:rPr>
                <w:sz w:val="20"/>
                <w:szCs w:val="20"/>
              </w:rPr>
            </w:pPr>
            <w:r w:rsidRPr="000E56B6">
              <w:rPr>
                <w:sz w:val="20"/>
                <w:szCs w:val="20"/>
              </w:rPr>
              <w:t>КС Радиология 3</w:t>
            </w:r>
          </w:p>
        </w:tc>
        <w:tc>
          <w:tcPr>
            <w:tcW w:w="2410" w:type="dxa"/>
          </w:tcPr>
          <w:p w:rsidR="00093107" w:rsidRPr="000E56B6" w:rsidRDefault="00093107" w:rsidP="00093107">
            <w:pPr>
              <w:jc w:val="center"/>
              <w:rPr>
                <w:sz w:val="20"/>
                <w:szCs w:val="20"/>
              </w:rPr>
            </w:pPr>
            <w:r w:rsidRPr="000E56B6">
              <w:rPr>
                <w:sz w:val="20"/>
                <w:szCs w:val="20"/>
              </w:rPr>
              <w:t>4</w:t>
            </w:r>
          </w:p>
        </w:tc>
        <w:tc>
          <w:tcPr>
            <w:tcW w:w="2410" w:type="dxa"/>
          </w:tcPr>
          <w:p w:rsidR="00093107" w:rsidRPr="000E56B6" w:rsidRDefault="00093107" w:rsidP="00093107">
            <w:pPr>
              <w:jc w:val="center"/>
              <w:rPr>
                <w:sz w:val="20"/>
                <w:szCs w:val="20"/>
              </w:rPr>
            </w:pPr>
            <w:r w:rsidRPr="000E56B6">
              <w:rPr>
                <w:sz w:val="20"/>
                <w:szCs w:val="20"/>
              </w:rPr>
              <w:t>4</w:t>
            </w:r>
          </w:p>
        </w:tc>
        <w:tc>
          <w:tcPr>
            <w:tcW w:w="1701" w:type="dxa"/>
          </w:tcPr>
          <w:p w:rsidR="00093107" w:rsidRPr="000E56B6" w:rsidRDefault="00093107" w:rsidP="00F507AB">
            <w:pPr>
              <w:jc w:val="both"/>
              <w:rPr>
                <w:color w:val="000000"/>
                <w:sz w:val="20"/>
                <w:szCs w:val="20"/>
              </w:rPr>
            </w:pPr>
            <w:r w:rsidRPr="000E56B6">
              <w:rPr>
                <w:color w:val="000000"/>
                <w:sz w:val="20"/>
                <w:szCs w:val="20"/>
                <w:lang w:val="en-GB"/>
              </w:rPr>
              <w:t>Аппараты для брахит</w:t>
            </w:r>
            <w:r w:rsidRPr="000E56B6">
              <w:rPr>
                <w:color w:val="000000"/>
                <w:sz w:val="20"/>
                <w:szCs w:val="20"/>
              </w:rPr>
              <w:t>ер</w:t>
            </w:r>
            <w:r w:rsidRPr="000E56B6">
              <w:rPr>
                <w:color w:val="000000"/>
                <w:sz w:val="20"/>
                <w:szCs w:val="20"/>
                <w:lang w:val="en-GB"/>
              </w:rPr>
              <w:t>апии</w:t>
            </w:r>
          </w:p>
        </w:tc>
        <w:tc>
          <w:tcPr>
            <w:tcW w:w="1843" w:type="dxa"/>
          </w:tcPr>
          <w:p w:rsidR="00093107" w:rsidRPr="000E56B6" w:rsidRDefault="00093107" w:rsidP="00093107">
            <w:pPr>
              <w:jc w:val="center"/>
              <w:rPr>
                <w:color w:val="000000"/>
                <w:sz w:val="20"/>
                <w:szCs w:val="20"/>
              </w:rPr>
            </w:pPr>
            <w:r w:rsidRPr="000E56B6">
              <w:rPr>
                <w:color w:val="000000"/>
                <w:sz w:val="20"/>
                <w:szCs w:val="20"/>
                <w:lang w:val="en-GB"/>
              </w:rPr>
              <w:t xml:space="preserve">MultiSource, Bebig, </w:t>
            </w:r>
            <w:r w:rsidRPr="000E56B6">
              <w:rPr>
                <w:color w:val="000000"/>
                <w:sz w:val="20"/>
                <w:szCs w:val="20"/>
                <w:lang w:val="en-GB"/>
              </w:rPr>
              <w:br/>
              <w:t>Со-60</w:t>
            </w:r>
          </w:p>
        </w:tc>
        <w:tc>
          <w:tcPr>
            <w:tcW w:w="1352" w:type="dxa"/>
          </w:tcPr>
          <w:p w:rsidR="00093107" w:rsidRPr="000E56B6" w:rsidRDefault="00093107" w:rsidP="00093107">
            <w:pPr>
              <w:jc w:val="center"/>
              <w:rPr>
                <w:color w:val="000000"/>
                <w:sz w:val="20"/>
                <w:szCs w:val="20"/>
              </w:rPr>
            </w:pPr>
            <w:r w:rsidRPr="000E56B6">
              <w:rPr>
                <w:color w:val="000000"/>
                <w:sz w:val="20"/>
                <w:szCs w:val="20"/>
              </w:rPr>
              <w:t>2</w:t>
            </w:r>
          </w:p>
        </w:tc>
        <w:tc>
          <w:tcPr>
            <w:tcW w:w="1352" w:type="dxa"/>
          </w:tcPr>
          <w:p w:rsidR="00093107" w:rsidRPr="000E56B6" w:rsidRDefault="00093107" w:rsidP="00093107">
            <w:pPr>
              <w:jc w:val="center"/>
              <w:rPr>
                <w:color w:val="000000"/>
                <w:sz w:val="20"/>
                <w:szCs w:val="20"/>
              </w:rPr>
            </w:pPr>
            <w:r w:rsidRPr="000E56B6">
              <w:rPr>
                <w:color w:val="000000"/>
                <w:sz w:val="20"/>
                <w:szCs w:val="20"/>
                <w:lang w:val="en-GB"/>
              </w:rPr>
              <w:t>2011</w:t>
            </w:r>
          </w:p>
        </w:tc>
      </w:tr>
      <w:tr w:rsidR="00093107" w:rsidRPr="000E56B6" w:rsidTr="00F507AB">
        <w:trPr>
          <w:trHeight w:val="20"/>
        </w:trPr>
        <w:tc>
          <w:tcPr>
            <w:tcW w:w="2211" w:type="dxa"/>
          </w:tcPr>
          <w:p w:rsidR="00093107" w:rsidRPr="000E56B6" w:rsidRDefault="00093107" w:rsidP="00F507AB">
            <w:pPr>
              <w:jc w:val="both"/>
              <w:rPr>
                <w:sz w:val="20"/>
                <w:szCs w:val="20"/>
              </w:rPr>
            </w:pPr>
          </w:p>
        </w:tc>
        <w:tc>
          <w:tcPr>
            <w:tcW w:w="1842" w:type="dxa"/>
          </w:tcPr>
          <w:p w:rsidR="00093107" w:rsidRPr="000E56B6" w:rsidRDefault="00093107" w:rsidP="00F507AB">
            <w:pPr>
              <w:jc w:val="both"/>
              <w:rPr>
                <w:sz w:val="20"/>
                <w:szCs w:val="20"/>
              </w:rPr>
            </w:pPr>
            <w:r w:rsidRPr="000E56B6">
              <w:rPr>
                <w:sz w:val="20"/>
                <w:szCs w:val="20"/>
              </w:rPr>
              <w:t>РНТ</w:t>
            </w:r>
          </w:p>
        </w:tc>
        <w:tc>
          <w:tcPr>
            <w:tcW w:w="2410" w:type="dxa"/>
          </w:tcPr>
          <w:p w:rsidR="00093107" w:rsidRPr="000E56B6" w:rsidRDefault="00093107" w:rsidP="00093107">
            <w:pPr>
              <w:jc w:val="center"/>
              <w:rPr>
                <w:sz w:val="20"/>
                <w:szCs w:val="20"/>
              </w:rPr>
            </w:pPr>
            <w:r w:rsidRPr="000E56B6">
              <w:rPr>
                <w:sz w:val="20"/>
                <w:szCs w:val="20"/>
              </w:rPr>
              <w:t>2,5</w:t>
            </w:r>
          </w:p>
        </w:tc>
        <w:tc>
          <w:tcPr>
            <w:tcW w:w="2410" w:type="dxa"/>
          </w:tcPr>
          <w:p w:rsidR="00093107" w:rsidRPr="000E56B6" w:rsidRDefault="00093107" w:rsidP="00093107">
            <w:pPr>
              <w:jc w:val="center"/>
              <w:rPr>
                <w:sz w:val="20"/>
                <w:szCs w:val="20"/>
              </w:rPr>
            </w:pPr>
            <w:r w:rsidRPr="000E56B6">
              <w:rPr>
                <w:sz w:val="20"/>
                <w:szCs w:val="20"/>
              </w:rPr>
              <w:t>3</w:t>
            </w:r>
          </w:p>
        </w:tc>
        <w:tc>
          <w:tcPr>
            <w:tcW w:w="1701" w:type="dxa"/>
          </w:tcPr>
          <w:p w:rsidR="00093107" w:rsidRPr="000E56B6" w:rsidRDefault="00093107" w:rsidP="00F507AB">
            <w:pPr>
              <w:jc w:val="both"/>
              <w:rPr>
                <w:color w:val="000000"/>
                <w:sz w:val="20"/>
                <w:szCs w:val="20"/>
              </w:rPr>
            </w:pPr>
          </w:p>
        </w:tc>
        <w:tc>
          <w:tcPr>
            <w:tcW w:w="1843" w:type="dxa"/>
          </w:tcPr>
          <w:p w:rsidR="00093107" w:rsidRPr="000E56B6" w:rsidRDefault="00093107" w:rsidP="00093107">
            <w:pPr>
              <w:jc w:val="center"/>
              <w:rPr>
                <w:color w:val="000000"/>
                <w:sz w:val="20"/>
                <w:szCs w:val="20"/>
              </w:rPr>
            </w:pPr>
            <w:r w:rsidRPr="000E56B6">
              <w:rPr>
                <w:color w:val="000000"/>
                <w:sz w:val="20"/>
                <w:szCs w:val="20"/>
                <w:lang w:val="en-GB"/>
              </w:rPr>
              <w:t xml:space="preserve">SagiNova, Bebig, </w:t>
            </w:r>
            <w:r w:rsidRPr="000E56B6">
              <w:rPr>
                <w:color w:val="000000"/>
                <w:sz w:val="20"/>
                <w:szCs w:val="20"/>
                <w:lang w:val="en-GB"/>
              </w:rPr>
              <w:br/>
              <w:t>Со-60</w:t>
            </w:r>
          </w:p>
        </w:tc>
        <w:tc>
          <w:tcPr>
            <w:tcW w:w="1352" w:type="dxa"/>
          </w:tcPr>
          <w:p w:rsidR="00093107" w:rsidRPr="000E56B6" w:rsidRDefault="00093107" w:rsidP="00093107">
            <w:pPr>
              <w:jc w:val="center"/>
              <w:rPr>
                <w:color w:val="000000"/>
                <w:sz w:val="20"/>
                <w:szCs w:val="20"/>
              </w:rPr>
            </w:pPr>
            <w:r w:rsidRPr="000E56B6">
              <w:rPr>
                <w:color w:val="000000"/>
                <w:sz w:val="20"/>
                <w:szCs w:val="20"/>
              </w:rPr>
              <w:t>1</w:t>
            </w:r>
          </w:p>
        </w:tc>
        <w:tc>
          <w:tcPr>
            <w:tcW w:w="1352" w:type="dxa"/>
          </w:tcPr>
          <w:p w:rsidR="00093107" w:rsidRPr="000E56B6" w:rsidRDefault="00093107" w:rsidP="00093107">
            <w:pPr>
              <w:jc w:val="center"/>
              <w:rPr>
                <w:color w:val="000000"/>
                <w:sz w:val="20"/>
                <w:szCs w:val="20"/>
              </w:rPr>
            </w:pPr>
            <w:r w:rsidRPr="000E56B6">
              <w:rPr>
                <w:color w:val="000000"/>
                <w:sz w:val="20"/>
                <w:szCs w:val="20"/>
                <w:lang w:val="en-GB"/>
              </w:rPr>
              <w:t>2022</w:t>
            </w:r>
          </w:p>
        </w:tc>
      </w:tr>
      <w:tr w:rsidR="00093107" w:rsidRPr="000E56B6" w:rsidTr="00F507AB">
        <w:trPr>
          <w:trHeight w:val="20"/>
        </w:trPr>
        <w:tc>
          <w:tcPr>
            <w:tcW w:w="2211" w:type="dxa"/>
          </w:tcPr>
          <w:p w:rsidR="00093107" w:rsidRPr="000E56B6" w:rsidRDefault="00093107" w:rsidP="00F507AB">
            <w:pPr>
              <w:jc w:val="both"/>
              <w:rPr>
                <w:sz w:val="20"/>
                <w:szCs w:val="20"/>
              </w:rPr>
            </w:pPr>
          </w:p>
        </w:tc>
        <w:tc>
          <w:tcPr>
            <w:tcW w:w="1842" w:type="dxa"/>
          </w:tcPr>
          <w:p w:rsidR="00093107" w:rsidRPr="000E56B6" w:rsidRDefault="00093107" w:rsidP="00F507AB">
            <w:pPr>
              <w:jc w:val="both"/>
              <w:rPr>
                <w:sz w:val="20"/>
                <w:szCs w:val="20"/>
              </w:rPr>
            </w:pPr>
            <w:r w:rsidRPr="000E56B6">
              <w:rPr>
                <w:sz w:val="20"/>
                <w:szCs w:val="20"/>
              </w:rPr>
              <w:t>ДС 7 (АФ)</w:t>
            </w:r>
            <w:r w:rsidR="00F507AB">
              <w:rPr>
                <w:sz w:val="20"/>
                <w:szCs w:val="20"/>
              </w:rPr>
              <w:t xml:space="preserve"> </w:t>
            </w:r>
            <w:r w:rsidRPr="000E56B6">
              <w:rPr>
                <w:sz w:val="20"/>
                <w:szCs w:val="20"/>
              </w:rPr>
              <w:t>Радиология</w:t>
            </w:r>
          </w:p>
          <w:p w:rsidR="00093107" w:rsidRPr="000E56B6" w:rsidRDefault="00093107" w:rsidP="00F507AB">
            <w:pPr>
              <w:jc w:val="both"/>
              <w:rPr>
                <w:sz w:val="20"/>
                <w:szCs w:val="20"/>
              </w:rPr>
            </w:pPr>
          </w:p>
        </w:tc>
        <w:tc>
          <w:tcPr>
            <w:tcW w:w="2410" w:type="dxa"/>
          </w:tcPr>
          <w:p w:rsidR="00093107" w:rsidRPr="000E56B6" w:rsidRDefault="00093107" w:rsidP="00093107">
            <w:pPr>
              <w:jc w:val="center"/>
              <w:rPr>
                <w:sz w:val="20"/>
                <w:szCs w:val="20"/>
              </w:rPr>
            </w:pPr>
            <w:r w:rsidRPr="000E56B6">
              <w:rPr>
                <w:sz w:val="20"/>
                <w:szCs w:val="20"/>
              </w:rPr>
              <w:t>5,75</w:t>
            </w:r>
          </w:p>
        </w:tc>
        <w:tc>
          <w:tcPr>
            <w:tcW w:w="2410" w:type="dxa"/>
          </w:tcPr>
          <w:p w:rsidR="00093107" w:rsidRPr="000E56B6" w:rsidRDefault="00093107" w:rsidP="00093107">
            <w:pPr>
              <w:jc w:val="center"/>
              <w:rPr>
                <w:sz w:val="20"/>
                <w:szCs w:val="20"/>
              </w:rPr>
            </w:pPr>
            <w:r w:rsidRPr="000E56B6">
              <w:rPr>
                <w:sz w:val="20"/>
                <w:szCs w:val="20"/>
              </w:rPr>
              <w:t>0</w:t>
            </w:r>
          </w:p>
        </w:tc>
        <w:tc>
          <w:tcPr>
            <w:tcW w:w="1701" w:type="dxa"/>
          </w:tcPr>
          <w:p w:rsidR="00093107" w:rsidRPr="000E56B6" w:rsidRDefault="00093107" w:rsidP="00CC5E18">
            <w:pPr>
              <w:jc w:val="both"/>
              <w:rPr>
                <w:color w:val="000000"/>
                <w:sz w:val="20"/>
                <w:szCs w:val="20"/>
              </w:rPr>
            </w:pPr>
            <w:r w:rsidRPr="000E56B6">
              <w:rPr>
                <w:color w:val="000000"/>
                <w:sz w:val="20"/>
                <w:szCs w:val="20"/>
                <w:lang w:val="en-GB"/>
              </w:rPr>
              <w:t>Аппараты для рен</w:t>
            </w:r>
            <w:r w:rsidR="00F35BBA">
              <w:rPr>
                <w:color w:val="000000"/>
                <w:sz w:val="20"/>
                <w:szCs w:val="20"/>
              </w:rPr>
              <w:t>т</w:t>
            </w:r>
            <w:r w:rsidRPr="000E56B6">
              <w:rPr>
                <w:color w:val="000000"/>
                <w:sz w:val="20"/>
                <w:szCs w:val="20"/>
                <w:lang w:val="en-GB"/>
              </w:rPr>
              <w:t>генотерапии</w:t>
            </w:r>
          </w:p>
        </w:tc>
        <w:tc>
          <w:tcPr>
            <w:tcW w:w="1843" w:type="dxa"/>
          </w:tcPr>
          <w:p w:rsidR="00093107" w:rsidRPr="000E56B6" w:rsidRDefault="00093107" w:rsidP="00093107">
            <w:pPr>
              <w:jc w:val="center"/>
              <w:rPr>
                <w:color w:val="000000"/>
                <w:sz w:val="20"/>
                <w:szCs w:val="20"/>
              </w:rPr>
            </w:pPr>
            <w:r w:rsidRPr="000E56B6">
              <w:rPr>
                <w:color w:val="000000"/>
                <w:sz w:val="20"/>
                <w:szCs w:val="20"/>
                <w:lang w:val="en-GB"/>
              </w:rPr>
              <w:t>Терад-200</w:t>
            </w:r>
          </w:p>
        </w:tc>
        <w:tc>
          <w:tcPr>
            <w:tcW w:w="1352" w:type="dxa"/>
          </w:tcPr>
          <w:p w:rsidR="00093107" w:rsidRPr="000E56B6" w:rsidRDefault="00093107" w:rsidP="00093107">
            <w:pPr>
              <w:jc w:val="center"/>
              <w:rPr>
                <w:color w:val="000000"/>
                <w:sz w:val="20"/>
                <w:szCs w:val="20"/>
              </w:rPr>
            </w:pPr>
            <w:r w:rsidRPr="000E56B6">
              <w:rPr>
                <w:color w:val="000000"/>
                <w:sz w:val="20"/>
                <w:szCs w:val="20"/>
              </w:rPr>
              <w:t>2</w:t>
            </w:r>
          </w:p>
        </w:tc>
        <w:tc>
          <w:tcPr>
            <w:tcW w:w="1352" w:type="dxa"/>
          </w:tcPr>
          <w:p w:rsidR="00093107" w:rsidRPr="000E56B6" w:rsidRDefault="00093107" w:rsidP="00093107">
            <w:pPr>
              <w:jc w:val="center"/>
              <w:rPr>
                <w:color w:val="000000"/>
                <w:sz w:val="20"/>
                <w:szCs w:val="20"/>
              </w:rPr>
            </w:pPr>
            <w:r w:rsidRPr="000E56B6">
              <w:rPr>
                <w:color w:val="000000"/>
                <w:sz w:val="20"/>
                <w:szCs w:val="20"/>
                <w:lang w:val="en-GB"/>
              </w:rPr>
              <w:t>2022</w:t>
            </w:r>
          </w:p>
        </w:tc>
      </w:tr>
      <w:tr w:rsidR="00093107" w:rsidRPr="000E56B6" w:rsidTr="00F507AB">
        <w:trPr>
          <w:trHeight w:val="20"/>
        </w:trPr>
        <w:tc>
          <w:tcPr>
            <w:tcW w:w="2211" w:type="dxa"/>
          </w:tcPr>
          <w:p w:rsidR="00093107" w:rsidRPr="000E56B6" w:rsidRDefault="00093107" w:rsidP="00F507AB">
            <w:pPr>
              <w:jc w:val="both"/>
              <w:rPr>
                <w:sz w:val="20"/>
                <w:szCs w:val="20"/>
              </w:rPr>
            </w:pPr>
          </w:p>
        </w:tc>
        <w:tc>
          <w:tcPr>
            <w:tcW w:w="1842" w:type="dxa"/>
          </w:tcPr>
          <w:p w:rsidR="00093107" w:rsidRPr="000E56B6" w:rsidRDefault="00093107" w:rsidP="00F507AB">
            <w:pPr>
              <w:jc w:val="both"/>
              <w:rPr>
                <w:sz w:val="20"/>
                <w:szCs w:val="20"/>
              </w:rPr>
            </w:pPr>
            <w:r w:rsidRPr="000E56B6">
              <w:rPr>
                <w:sz w:val="20"/>
                <w:szCs w:val="20"/>
              </w:rPr>
              <w:t>ДС 8 (НЧФ) Радиология</w:t>
            </w:r>
          </w:p>
        </w:tc>
        <w:tc>
          <w:tcPr>
            <w:tcW w:w="2410" w:type="dxa"/>
          </w:tcPr>
          <w:p w:rsidR="00093107" w:rsidRPr="000E56B6" w:rsidRDefault="00093107" w:rsidP="00093107">
            <w:pPr>
              <w:jc w:val="center"/>
              <w:rPr>
                <w:sz w:val="20"/>
                <w:szCs w:val="20"/>
              </w:rPr>
            </w:pPr>
            <w:r w:rsidRPr="000E56B6">
              <w:rPr>
                <w:sz w:val="20"/>
                <w:szCs w:val="20"/>
              </w:rPr>
              <w:t>2</w:t>
            </w:r>
          </w:p>
        </w:tc>
        <w:tc>
          <w:tcPr>
            <w:tcW w:w="2410" w:type="dxa"/>
          </w:tcPr>
          <w:p w:rsidR="00093107" w:rsidRPr="000E56B6" w:rsidRDefault="00093107" w:rsidP="00093107">
            <w:pPr>
              <w:jc w:val="center"/>
              <w:rPr>
                <w:sz w:val="20"/>
                <w:szCs w:val="20"/>
              </w:rPr>
            </w:pPr>
            <w:r w:rsidRPr="000E56B6">
              <w:rPr>
                <w:sz w:val="20"/>
                <w:szCs w:val="20"/>
              </w:rPr>
              <w:t>2</w:t>
            </w:r>
          </w:p>
        </w:tc>
        <w:tc>
          <w:tcPr>
            <w:tcW w:w="1701" w:type="dxa"/>
          </w:tcPr>
          <w:p w:rsidR="00093107" w:rsidRPr="000E56B6" w:rsidRDefault="00093107" w:rsidP="007F1C81">
            <w:pPr>
              <w:jc w:val="both"/>
              <w:rPr>
                <w:color w:val="000000"/>
                <w:sz w:val="20"/>
                <w:szCs w:val="20"/>
              </w:rPr>
            </w:pPr>
            <w:r w:rsidRPr="000E56B6">
              <w:rPr>
                <w:color w:val="000000"/>
                <w:sz w:val="20"/>
                <w:szCs w:val="20"/>
              </w:rPr>
              <w:t xml:space="preserve">Комплект оборудования для брахитерапии </w:t>
            </w:r>
            <w:r w:rsidR="005B2129">
              <w:rPr>
                <w:color w:val="000000"/>
                <w:sz w:val="20"/>
                <w:szCs w:val="20"/>
              </w:rPr>
              <w:t>рак</w:t>
            </w:r>
            <w:r w:rsidR="007F1C81">
              <w:rPr>
                <w:color w:val="000000"/>
                <w:sz w:val="20"/>
                <w:szCs w:val="20"/>
              </w:rPr>
              <w:t xml:space="preserve">а </w:t>
            </w:r>
            <w:r w:rsidR="005B2129">
              <w:rPr>
                <w:color w:val="000000"/>
                <w:sz w:val="20"/>
                <w:szCs w:val="20"/>
              </w:rPr>
              <w:t xml:space="preserve">предстательной железы </w:t>
            </w:r>
            <w:r w:rsidRPr="000E56B6">
              <w:rPr>
                <w:color w:val="000000"/>
                <w:sz w:val="20"/>
                <w:szCs w:val="20"/>
              </w:rPr>
              <w:t>(перманентная имплантация)</w:t>
            </w:r>
          </w:p>
        </w:tc>
        <w:tc>
          <w:tcPr>
            <w:tcW w:w="1843" w:type="dxa"/>
          </w:tcPr>
          <w:p w:rsidR="00093107" w:rsidRPr="000E56B6" w:rsidRDefault="00093107" w:rsidP="00093107">
            <w:pPr>
              <w:jc w:val="center"/>
              <w:rPr>
                <w:color w:val="000000"/>
                <w:sz w:val="20"/>
                <w:szCs w:val="20"/>
              </w:rPr>
            </w:pPr>
            <w:r w:rsidRPr="000E56B6">
              <w:rPr>
                <w:color w:val="000000"/>
                <w:sz w:val="20"/>
                <w:szCs w:val="20"/>
                <w:lang w:val="en-GB"/>
              </w:rPr>
              <w:t>Bebig</w:t>
            </w:r>
          </w:p>
        </w:tc>
        <w:tc>
          <w:tcPr>
            <w:tcW w:w="1352" w:type="dxa"/>
          </w:tcPr>
          <w:p w:rsidR="00093107" w:rsidRPr="000E56B6" w:rsidRDefault="00093107" w:rsidP="00093107">
            <w:pPr>
              <w:jc w:val="center"/>
              <w:rPr>
                <w:color w:val="000000"/>
                <w:sz w:val="20"/>
                <w:szCs w:val="20"/>
              </w:rPr>
            </w:pPr>
            <w:r w:rsidRPr="000E56B6">
              <w:rPr>
                <w:color w:val="000000"/>
                <w:sz w:val="20"/>
                <w:szCs w:val="20"/>
              </w:rPr>
              <w:t>1</w:t>
            </w:r>
          </w:p>
        </w:tc>
        <w:tc>
          <w:tcPr>
            <w:tcW w:w="1352" w:type="dxa"/>
          </w:tcPr>
          <w:p w:rsidR="00093107" w:rsidRPr="000E56B6" w:rsidRDefault="00093107" w:rsidP="00093107">
            <w:pPr>
              <w:jc w:val="center"/>
              <w:rPr>
                <w:color w:val="000000"/>
                <w:sz w:val="20"/>
                <w:szCs w:val="20"/>
              </w:rPr>
            </w:pPr>
            <w:r w:rsidRPr="000E56B6">
              <w:rPr>
                <w:color w:val="000000"/>
                <w:sz w:val="20"/>
                <w:szCs w:val="20"/>
                <w:lang w:val="en-GB"/>
              </w:rPr>
              <w:t>2008</w:t>
            </w:r>
          </w:p>
        </w:tc>
      </w:tr>
      <w:tr w:rsidR="00093107" w:rsidRPr="000E56B6" w:rsidTr="00F507AB">
        <w:trPr>
          <w:trHeight w:val="20"/>
        </w:trPr>
        <w:tc>
          <w:tcPr>
            <w:tcW w:w="2211" w:type="dxa"/>
          </w:tcPr>
          <w:p w:rsidR="00093107" w:rsidRPr="000E56B6" w:rsidRDefault="00093107" w:rsidP="00093107">
            <w:pPr>
              <w:rPr>
                <w:sz w:val="20"/>
                <w:szCs w:val="20"/>
              </w:rPr>
            </w:pPr>
          </w:p>
        </w:tc>
        <w:tc>
          <w:tcPr>
            <w:tcW w:w="1842" w:type="dxa"/>
          </w:tcPr>
          <w:p w:rsidR="00093107" w:rsidRPr="000E56B6" w:rsidRDefault="00093107" w:rsidP="00093107">
            <w:pPr>
              <w:rPr>
                <w:sz w:val="20"/>
                <w:szCs w:val="20"/>
              </w:rPr>
            </w:pPr>
          </w:p>
        </w:tc>
        <w:tc>
          <w:tcPr>
            <w:tcW w:w="2410" w:type="dxa"/>
          </w:tcPr>
          <w:p w:rsidR="00093107" w:rsidRPr="000E56B6" w:rsidRDefault="00093107" w:rsidP="00093107">
            <w:pPr>
              <w:jc w:val="center"/>
              <w:rPr>
                <w:sz w:val="20"/>
                <w:szCs w:val="20"/>
              </w:rPr>
            </w:pPr>
          </w:p>
        </w:tc>
        <w:tc>
          <w:tcPr>
            <w:tcW w:w="2410" w:type="dxa"/>
          </w:tcPr>
          <w:p w:rsidR="00093107" w:rsidRPr="000E56B6" w:rsidRDefault="00093107" w:rsidP="00093107">
            <w:pPr>
              <w:jc w:val="center"/>
              <w:rPr>
                <w:sz w:val="20"/>
                <w:szCs w:val="20"/>
              </w:rPr>
            </w:pPr>
          </w:p>
        </w:tc>
        <w:tc>
          <w:tcPr>
            <w:tcW w:w="1701" w:type="dxa"/>
          </w:tcPr>
          <w:p w:rsidR="00093107" w:rsidRPr="000E56B6" w:rsidRDefault="005B2129" w:rsidP="005B2129">
            <w:pPr>
              <w:jc w:val="both"/>
              <w:rPr>
                <w:color w:val="000000"/>
                <w:sz w:val="20"/>
                <w:szCs w:val="20"/>
              </w:rPr>
            </w:pPr>
            <w:r>
              <w:rPr>
                <w:color w:val="000000"/>
                <w:sz w:val="20"/>
                <w:szCs w:val="20"/>
              </w:rPr>
              <w:t xml:space="preserve">Рентгеновская компьютерная томография </w:t>
            </w:r>
            <w:r w:rsidR="00093107" w:rsidRPr="005B2129">
              <w:rPr>
                <w:color w:val="000000"/>
                <w:sz w:val="20"/>
                <w:szCs w:val="20"/>
              </w:rPr>
              <w:t>для топометрии</w:t>
            </w:r>
          </w:p>
        </w:tc>
        <w:tc>
          <w:tcPr>
            <w:tcW w:w="1843" w:type="dxa"/>
          </w:tcPr>
          <w:p w:rsidR="00093107" w:rsidRPr="000E56B6" w:rsidRDefault="00093107" w:rsidP="00093107">
            <w:pPr>
              <w:jc w:val="center"/>
              <w:rPr>
                <w:color w:val="000000"/>
                <w:sz w:val="20"/>
                <w:szCs w:val="20"/>
              </w:rPr>
            </w:pPr>
            <w:r w:rsidRPr="000E56B6">
              <w:rPr>
                <w:color w:val="000000"/>
                <w:sz w:val="20"/>
                <w:szCs w:val="20"/>
                <w:lang w:val="en-GB"/>
              </w:rPr>
              <w:t>Toshiba Aquilion</w:t>
            </w:r>
          </w:p>
        </w:tc>
        <w:tc>
          <w:tcPr>
            <w:tcW w:w="1352" w:type="dxa"/>
          </w:tcPr>
          <w:p w:rsidR="00093107" w:rsidRPr="000E56B6" w:rsidRDefault="00093107" w:rsidP="00093107">
            <w:pPr>
              <w:jc w:val="center"/>
              <w:rPr>
                <w:color w:val="000000"/>
                <w:sz w:val="20"/>
                <w:szCs w:val="20"/>
              </w:rPr>
            </w:pPr>
            <w:r w:rsidRPr="000E56B6">
              <w:rPr>
                <w:color w:val="000000"/>
                <w:sz w:val="20"/>
                <w:szCs w:val="20"/>
              </w:rPr>
              <w:t>2</w:t>
            </w:r>
          </w:p>
        </w:tc>
        <w:tc>
          <w:tcPr>
            <w:tcW w:w="1352" w:type="dxa"/>
          </w:tcPr>
          <w:p w:rsidR="00093107" w:rsidRPr="000E56B6" w:rsidRDefault="00093107" w:rsidP="00093107">
            <w:pPr>
              <w:jc w:val="center"/>
              <w:rPr>
                <w:color w:val="000000"/>
                <w:sz w:val="20"/>
                <w:szCs w:val="20"/>
              </w:rPr>
            </w:pPr>
            <w:r w:rsidRPr="000E56B6">
              <w:rPr>
                <w:color w:val="000000"/>
                <w:sz w:val="20"/>
                <w:szCs w:val="20"/>
                <w:lang w:val="en-GB"/>
              </w:rPr>
              <w:t>2011</w:t>
            </w:r>
          </w:p>
        </w:tc>
      </w:tr>
      <w:tr w:rsidR="00093107" w:rsidRPr="000E56B6" w:rsidTr="00F507AB">
        <w:trPr>
          <w:trHeight w:val="20"/>
        </w:trPr>
        <w:tc>
          <w:tcPr>
            <w:tcW w:w="2211" w:type="dxa"/>
          </w:tcPr>
          <w:p w:rsidR="00093107" w:rsidRPr="000E56B6" w:rsidRDefault="00093107" w:rsidP="00093107">
            <w:pPr>
              <w:rPr>
                <w:sz w:val="20"/>
                <w:szCs w:val="20"/>
              </w:rPr>
            </w:pPr>
          </w:p>
        </w:tc>
        <w:tc>
          <w:tcPr>
            <w:tcW w:w="1842" w:type="dxa"/>
          </w:tcPr>
          <w:p w:rsidR="00093107" w:rsidRPr="000E56B6" w:rsidRDefault="00093107" w:rsidP="00093107">
            <w:pPr>
              <w:rPr>
                <w:sz w:val="20"/>
                <w:szCs w:val="20"/>
              </w:rPr>
            </w:pPr>
          </w:p>
        </w:tc>
        <w:tc>
          <w:tcPr>
            <w:tcW w:w="2410" w:type="dxa"/>
          </w:tcPr>
          <w:p w:rsidR="00093107" w:rsidRPr="000E56B6" w:rsidRDefault="00093107" w:rsidP="00093107">
            <w:pPr>
              <w:jc w:val="center"/>
              <w:rPr>
                <w:sz w:val="20"/>
                <w:szCs w:val="20"/>
              </w:rPr>
            </w:pPr>
          </w:p>
        </w:tc>
        <w:tc>
          <w:tcPr>
            <w:tcW w:w="2410" w:type="dxa"/>
          </w:tcPr>
          <w:p w:rsidR="00093107" w:rsidRPr="000E56B6" w:rsidRDefault="00093107" w:rsidP="00093107">
            <w:pPr>
              <w:jc w:val="center"/>
              <w:rPr>
                <w:sz w:val="20"/>
                <w:szCs w:val="20"/>
              </w:rPr>
            </w:pPr>
          </w:p>
        </w:tc>
        <w:tc>
          <w:tcPr>
            <w:tcW w:w="1701" w:type="dxa"/>
          </w:tcPr>
          <w:p w:rsidR="00093107" w:rsidRPr="000E56B6" w:rsidRDefault="00093107" w:rsidP="00F507AB">
            <w:pPr>
              <w:jc w:val="both"/>
              <w:rPr>
                <w:color w:val="000000"/>
                <w:sz w:val="20"/>
                <w:szCs w:val="20"/>
              </w:rPr>
            </w:pPr>
          </w:p>
        </w:tc>
        <w:tc>
          <w:tcPr>
            <w:tcW w:w="1843" w:type="dxa"/>
          </w:tcPr>
          <w:p w:rsidR="00093107" w:rsidRPr="000E56B6" w:rsidRDefault="00093107" w:rsidP="00093107">
            <w:pPr>
              <w:jc w:val="center"/>
              <w:rPr>
                <w:color w:val="000000"/>
                <w:sz w:val="20"/>
                <w:szCs w:val="20"/>
              </w:rPr>
            </w:pPr>
            <w:r w:rsidRPr="000E56B6">
              <w:rPr>
                <w:color w:val="000000"/>
                <w:sz w:val="20"/>
                <w:szCs w:val="20"/>
                <w:lang w:val="en-GB"/>
              </w:rPr>
              <w:t>Discovery RT, GE</w:t>
            </w:r>
          </w:p>
        </w:tc>
        <w:tc>
          <w:tcPr>
            <w:tcW w:w="1352" w:type="dxa"/>
          </w:tcPr>
          <w:p w:rsidR="00093107" w:rsidRPr="000E56B6" w:rsidRDefault="00093107" w:rsidP="00093107">
            <w:pPr>
              <w:jc w:val="center"/>
              <w:rPr>
                <w:color w:val="000000"/>
                <w:sz w:val="20"/>
                <w:szCs w:val="20"/>
              </w:rPr>
            </w:pPr>
            <w:r w:rsidRPr="000E56B6">
              <w:rPr>
                <w:color w:val="000000"/>
                <w:sz w:val="20"/>
                <w:szCs w:val="20"/>
              </w:rPr>
              <w:t>1</w:t>
            </w:r>
          </w:p>
        </w:tc>
        <w:tc>
          <w:tcPr>
            <w:tcW w:w="1352" w:type="dxa"/>
          </w:tcPr>
          <w:p w:rsidR="00093107" w:rsidRPr="000E56B6" w:rsidRDefault="00093107" w:rsidP="00093107">
            <w:pPr>
              <w:jc w:val="center"/>
              <w:rPr>
                <w:color w:val="000000"/>
                <w:sz w:val="20"/>
                <w:szCs w:val="20"/>
              </w:rPr>
            </w:pPr>
            <w:r w:rsidRPr="000E56B6">
              <w:rPr>
                <w:color w:val="000000"/>
                <w:sz w:val="20"/>
                <w:szCs w:val="20"/>
                <w:lang w:val="en-GB"/>
              </w:rPr>
              <w:t>2022</w:t>
            </w:r>
          </w:p>
        </w:tc>
      </w:tr>
      <w:tr w:rsidR="00093107" w:rsidRPr="000E56B6" w:rsidTr="00F507AB">
        <w:trPr>
          <w:trHeight w:val="20"/>
        </w:trPr>
        <w:tc>
          <w:tcPr>
            <w:tcW w:w="2211" w:type="dxa"/>
          </w:tcPr>
          <w:p w:rsidR="00093107" w:rsidRPr="000E56B6" w:rsidRDefault="00093107" w:rsidP="00093107">
            <w:pPr>
              <w:rPr>
                <w:sz w:val="20"/>
                <w:szCs w:val="20"/>
              </w:rPr>
            </w:pPr>
          </w:p>
        </w:tc>
        <w:tc>
          <w:tcPr>
            <w:tcW w:w="1842" w:type="dxa"/>
          </w:tcPr>
          <w:p w:rsidR="00093107" w:rsidRPr="000E56B6" w:rsidRDefault="00093107" w:rsidP="00093107">
            <w:pPr>
              <w:rPr>
                <w:sz w:val="20"/>
                <w:szCs w:val="20"/>
              </w:rPr>
            </w:pPr>
          </w:p>
        </w:tc>
        <w:tc>
          <w:tcPr>
            <w:tcW w:w="2410" w:type="dxa"/>
          </w:tcPr>
          <w:p w:rsidR="00093107" w:rsidRPr="000E56B6" w:rsidRDefault="00093107" w:rsidP="00093107">
            <w:pPr>
              <w:jc w:val="center"/>
              <w:rPr>
                <w:sz w:val="20"/>
                <w:szCs w:val="20"/>
              </w:rPr>
            </w:pPr>
          </w:p>
        </w:tc>
        <w:tc>
          <w:tcPr>
            <w:tcW w:w="2410" w:type="dxa"/>
          </w:tcPr>
          <w:p w:rsidR="00093107" w:rsidRPr="000E56B6" w:rsidRDefault="00093107" w:rsidP="00093107">
            <w:pPr>
              <w:jc w:val="center"/>
              <w:rPr>
                <w:sz w:val="20"/>
                <w:szCs w:val="20"/>
              </w:rPr>
            </w:pPr>
          </w:p>
        </w:tc>
        <w:tc>
          <w:tcPr>
            <w:tcW w:w="1701" w:type="dxa"/>
          </w:tcPr>
          <w:p w:rsidR="00093107" w:rsidRPr="000E56B6" w:rsidRDefault="00093107" w:rsidP="00F507AB">
            <w:pPr>
              <w:jc w:val="both"/>
              <w:rPr>
                <w:color w:val="000000"/>
                <w:sz w:val="20"/>
                <w:szCs w:val="20"/>
              </w:rPr>
            </w:pPr>
            <w:r w:rsidRPr="00F507AB">
              <w:rPr>
                <w:color w:val="000000"/>
                <w:sz w:val="20"/>
                <w:szCs w:val="20"/>
              </w:rPr>
              <w:t>Аппарат для СВЧ-гипертер</w:t>
            </w:r>
            <w:r w:rsidR="00F507AB">
              <w:rPr>
                <w:color w:val="000000"/>
                <w:sz w:val="20"/>
                <w:szCs w:val="20"/>
              </w:rPr>
              <w:t>-</w:t>
            </w:r>
            <w:r w:rsidRPr="00F507AB">
              <w:rPr>
                <w:color w:val="000000"/>
                <w:sz w:val="20"/>
                <w:szCs w:val="20"/>
              </w:rPr>
              <w:t>мии</w:t>
            </w:r>
          </w:p>
        </w:tc>
        <w:tc>
          <w:tcPr>
            <w:tcW w:w="1843" w:type="dxa"/>
          </w:tcPr>
          <w:p w:rsidR="00093107" w:rsidRPr="000E56B6" w:rsidRDefault="00093107" w:rsidP="00093107">
            <w:pPr>
              <w:jc w:val="center"/>
              <w:rPr>
                <w:color w:val="000000"/>
                <w:sz w:val="20"/>
                <w:szCs w:val="20"/>
              </w:rPr>
            </w:pPr>
            <w:r w:rsidRPr="000E56B6">
              <w:rPr>
                <w:color w:val="000000"/>
                <w:sz w:val="20"/>
                <w:szCs w:val="20"/>
                <w:lang w:val="en-GB"/>
              </w:rPr>
              <w:t>Celsius</w:t>
            </w:r>
          </w:p>
        </w:tc>
        <w:tc>
          <w:tcPr>
            <w:tcW w:w="1352" w:type="dxa"/>
          </w:tcPr>
          <w:p w:rsidR="00093107" w:rsidRPr="000E56B6" w:rsidRDefault="00093107" w:rsidP="00093107">
            <w:pPr>
              <w:jc w:val="center"/>
              <w:rPr>
                <w:color w:val="000000"/>
                <w:sz w:val="20"/>
                <w:szCs w:val="20"/>
              </w:rPr>
            </w:pPr>
            <w:r w:rsidRPr="000E56B6">
              <w:rPr>
                <w:color w:val="000000"/>
                <w:sz w:val="20"/>
                <w:szCs w:val="20"/>
              </w:rPr>
              <w:t>1</w:t>
            </w:r>
          </w:p>
        </w:tc>
        <w:tc>
          <w:tcPr>
            <w:tcW w:w="1352" w:type="dxa"/>
          </w:tcPr>
          <w:p w:rsidR="00093107" w:rsidRPr="000E56B6" w:rsidRDefault="00093107" w:rsidP="00093107">
            <w:pPr>
              <w:jc w:val="center"/>
              <w:rPr>
                <w:color w:val="000000"/>
                <w:sz w:val="20"/>
                <w:szCs w:val="20"/>
              </w:rPr>
            </w:pPr>
            <w:r w:rsidRPr="000E56B6">
              <w:rPr>
                <w:color w:val="000000"/>
                <w:sz w:val="20"/>
                <w:szCs w:val="20"/>
                <w:lang w:val="en-GB"/>
              </w:rPr>
              <w:t>2020</w:t>
            </w:r>
          </w:p>
        </w:tc>
      </w:tr>
      <w:tr w:rsidR="00093107" w:rsidRPr="000E56B6" w:rsidTr="00F507AB">
        <w:trPr>
          <w:trHeight w:val="20"/>
        </w:trPr>
        <w:tc>
          <w:tcPr>
            <w:tcW w:w="2211" w:type="dxa"/>
          </w:tcPr>
          <w:p w:rsidR="00093107" w:rsidRPr="000E56B6" w:rsidRDefault="00093107" w:rsidP="00093107">
            <w:pPr>
              <w:rPr>
                <w:sz w:val="20"/>
                <w:szCs w:val="20"/>
              </w:rPr>
            </w:pPr>
          </w:p>
        </w:tc>
        <w:tc>
          <w:tcPr>
            <w:tcW w:w="1842" w:type="dxa"/>
          </w:tcPr>
          <w:p w:rsidR="00093107" w:rsidRPr="000E56B6" w:rsidRDefault="00093107" w:rsidP="00093107">
            <w:pPr>
              <w:rPr>
                <w:sz w:val="20"/>
                <w:szCs w:val="20"/>
              </w:rPr>
            </w:pPr>
          </w:p>
        </w:tc>
        <w:tc>
          <w:tcPr>
            <w:tcW w:w="2410" w:type="dxa"/>
          </w:tcPr>
          <w:p w:rsidR="00093107" w:rsidRPr="000E56B6" w:rsidRDefault="00093107" w:rsidP="00093107">
            <w:pPr>
              <w:jc w:val="center"/>
              <w:rPr>
                <w:sz w:val="20"/>
                <w:szCs w:val="20"/>
              </w:rPr>
            </w:pPr>
          </w:p>
        </w:tc>
        <w:tc>
          <w:tcPr>
            <w:tcW w:w="2410" w:type="dxa"/>
          </w:tcPr>
          <w:p w:rsidR="00093107" w:rsidRPr="000E56B6" w:rsidRDefault="00093107" w:rsidP="00093107">
            <w:pPr>
              <w:jc w:val="center"/>
              <w:rPr>
                <w:sz w:val="20"/>
                <w:szCs w:val="20"/>
              </w:rPr>
            </w:pPr>
          </w:p>
        </w:tc>
        <w:tc>
          <w:tcPr>
            <w:tcW w:w="1701" w:type="dxa"/>
          </w:tcPr>
          <w:p w:rsidR="00093107" w:rsidRPr="000E56B6" w:rsidRDefault="00093107" w:rsidP="00E245B9">
            <w:pPr>
              <w:jc w:val="both"/>
              <w:rPr>
                <w:color w:val="000000"/>
                <w:sz w:val="20"/>
                <w:szCs w:val="20"/>
              </w:rPr>
            </w:pPr>
            <w:r w:rsidRPr="000E56B6">
              <w:rPr>
                <w:color w:val="000000"/>
                <w:sz w:val="20"/>
                <w:szCs w:val="20"/>
              </w:rPr>
              <w:t xml:space="preserve">Станции оконтуривания мишени для </w:t>
            </w:r>
            <w:r w:rsidR="00E245B9">
              <w:rPr>
                <w:color w:val="000000"/>
                <w:sz w:val="20"/>
                <w:szCs w:val="20"/>
              </w:rPr>
              <w:t xml:space="preserve">дистанционной лучевой терапии </w:t>
            </w:r>
          </w:p>
        </w:tc>
        <w:tc>
          <w:tcPr>
            <w:tcW w:w="1843" w:type="dxa"/>
          </w:tcPr>
          <w:p w:rsidR="00093107" w:rsidRPr="000E56B6" w:rsidRDefault="00093107" w:rsidP="00093107">
            <w:pPr>
              <w:jc w:val="center"/>
              <w:rPr>
                <w:color w:val="000000"/>
                <w:sz w:val="20"/>
                <w:szCs w:val="20"/>
              </w:rPr>
            </w:pPr>
            <w:r w:rsidRPr="000E56B6">
              <w:rPr>
                <w:color w:val="000000"/>
                <w:sz w:val="20"/>
                <w:szCs w:val="20"/>
                <w:lang w:val="en-GB"/>
              </w:rPr>
              <w:t>Eclips</w:t>
            </w:r>
          </w:p>
        </w:tc>
        <w:tc>
          <w:tcPr>
            <w:tcW w:w="1352" w:type="dxa"/>
          </w:tcPr>
          <w:p w:rsidR="00093107" w:rsidRPr="000E56B6" w:rsidRDefault="00093107" w:rsidP="00093107">
            <w:pPr>
              <w:jc w:val="center"/>
              <w:rPr>
                <w:color w:val="000000"/>
                <w:sz w:val="20"/>
                <w:szCs w:val="20"/>
              </w:rPr>
            </w:pPr>
            <w:r w:rsidRPr="000E56B6">
              <w:rPr>
                <w:color w:val="000000"/>
                <w:sz w:val="20"/>
                <w:szCs w:val="20"/>
              </w:rPr>
              <w:t>11</w:t>
            </w:r>
          </w:p>
        </w:tc>
        <w:tc>
          <w:tcPr>
            <w:tcW w:w="1352" w:type="dxa"/>
          </w:tcPr>
          <w:p w:rsidR="00093107" w:rsidRPr="000E56B6" w:rsidRDefault="00093107" w:rsidP="00093107">
            <w:pPr>
              <w:jc w:val="center"/>
              <w:rPr>
                <w:color w:val="000000"/>
                <w:sz w:val="20"/>
                <w:szCs w:val="20"/>
              </w:rPr>
            </w:pPr>
            <w:r w:rsidRPr="000E56B6">
              <w:rPr>
                <w:color w:val="000000"/>
                <w:sz w:val="20"/>
                <w:szCs w:val="20"/>
                <w:lang w:val="en-GB"/>
              </w:rPr>
              <w:t>2021</w:t>
            </w:r>
          </w:p>
        </w:tc>
      </w:tr>
      <w:tr w:rsidR="00093107" w:rsidRPr="00091230" w:rsidTr="00F507AB">
        <w:trPr>
          <w:trHeight w:val="20"/>
        </w:trPr>
        <w:tc>
          <w:tcPr>
            <w:tcW w:w="2211" w:type="dxa"/>
          </w:tcPr>
          <w:p w:rsidR="00093107" w:rsidRPr="000E56B6" w:rsidRDefault="00093107" w:rsidP="00093107">
            <w:pPr>
              <w:rPr>
                <w:sz w:val="20"/>
                <w:szCs w:val="20"/>
              </w:rPr>
            </w:pPr>
          </w:p>
        </w:tc>
        <w:tc>
          <w:tcPr>
            <w:tcW w:w="1842" w:type="dxa"/>
          </w:tcPr>
          <w:p w:rsidR="00093107" w:rsidRPr="000E56B6" w:rsidRDefault="00093107" w:rsidP="00093107">
            <w:pPr>
              <w:rPr>
                <w:sz w:val="20"/>
                <w:szCs w:val="20"/>
              </w:rPr>
            </w:pPr>
          </w:p>
        </w:tc>
        <w:tc>
          <w:tcPr>
            <w:tcW w:w="2410" w:type="dxa"/>
          </w:tcPr>
          <w:p w:rsidR="00093107" w:rsidRPr="000E56B6" w:rsidRDefault="00093107" w:rsidP="00093107">
            <w:pPr>
              <w:jc w:val="center"/>
              <w:rPr>
                <w:sz w:val="20"/>
                <w:szCs w:val="20"/>
              </w:rPr>
            </w:pPr>
          </w:p>
        </w:tc>
        <w:tc>
          <w:tcPr>
            <w:tcW w:w="2410" w:type="dxa"/>
          </w:tcPr>
          <w:p w:rsidR="00093107" w:rsidRPr="000E56B6" w:rsidRDefault="00093107" w:rsidP="00093107">
            <w:pPr>
              <w:jc w:val="center"/>
              <w:rPr>
                <w:sz w:val="20"/>
                <w:szCs w:val="20"/>
              </w:rPr>
            </w:pPr>
          </w:p>
        </w:tc>
        <w:tc>
          <w:tcPr>
            <w:tcW w:w="1701" w:type="dxa"/>
          </w:tcPr>
          <w:p w:rsidR="00093107" w:rsidRPr="000E56B6" w:rsidRDefault="00093107" w:rsidP="00E245B9">
            <w:pPr>
              <w:jc w:val="both"/>
              <w:rPr>
                <w:color w:val="000000"/>
                <w:sz w:val="20"/>
                <w:szCs w:val="20"/>
              </w:rPr>
            </w:pPr>
            <w:r w:rsidRPr="00F507AB">
              <w:rPr>
                <w:color w:val="000000"/>
                <w:sz w:val="20"/>
                <w:szCs w:val="20"/>
              </w:rPr>
              <w:t>Станции дози</w:t>
            </w:r>
            <w:r w:rsidR="00F507AB">
              <w:rPr>
                <w:color w:val="000000"/>
                <w:sz w:val="20"/>
                <w:szCs w:val="20"/>
              </w:rPr>
              <w:t>-</w:t>
            </w:r>
            <w:r w:rsidRPr="00F507AB">
              <w:rPr>
                <w:color w:val="000000"/>
                <w:sz w:val="20"/>
                <w:szCs w:val="20"/>
              </w:rPr>
              <w:t xml:space="preserve">метрического планирования </w:t>
            </w:r>
            <w:r w:rsidR="00E245B9">
              <w:rPr>
                <w:color w:val="000000"/>
                <w:sz w:val="20"/>
                <w:szCs w:val="20"/>
              </w:rPr>
              <w:t xml:space="preserve">дистанционной лучевой терапии </w:t>
            </w:r>
            <w:r w:rsidRPr="00F507AB">
              <w:rPr>
                <w:color w:val="000000"/>
                <w:sz w:val="20"/>
                <w:szCs w:val="20"/>
              </w:rPr>
              <w:t>Т</w:t>
            </w:r>
          </w:p>
        </w:tc>
        <w:tc>
          <w:tcPr>
            <w:tcW w:w="1843" w:type="dxa"/>
          </w:tcPr>
          <w:p w:rsidR="00093107" w:rsidRPr="000E56B6" w:rsidRDefault="00093107" w:rsidP="00093107">
            <w:pPr>
              <w:jc w:val="center"/>
              <w:rPr>
                <w:color w:val="000000"/>
                <w:sz w:val="20"/>
                <w:szCs w:val="20"/>
              </w:rPr>
            </w:pPr>
            <w:r w:rsidRPr="000E56B6">
              <w:rPr>
                <w:color w:val="000000"/>
                <w:sz w:val="20"/>
                <w:szCs w:val="20"/>
                <w:lang w:val="en-GB"/>
              </w:rPr>
              <w:t>Eclips</w:t>
            </w:r>
          </w:p>
        </w:tc>
        <w:tc>
          <w:tcPr>
            <w:tcW w:w="1352" w:type="dxa"/>
          </w:tcPr>
          <w:p w:rsidR="00093107" w:rsidRPr="000E56B6" w:rsidRDefault="00093107" w:rsidP="00093107">
            <w:pPr>
              <w:jc w:val="center"/>
              <w:rPr>
                <w:color w:val="000000"/>
                <w:sz w:val="20"/>
                <w:szCs w:val="20"/>
              </w:rPr>
            </w:pPr>
            <w:r w:rsidRPr="000E56B6">
              <w:rPr>
                <w:color w:val="000000"/>
                <w:sz w:val="20"/>
                <w:szCs w:val="20"/>
              </w:rPr>
              <w:t>8</w:t>
            </w:r>
          </w:p>
        </w:tc>
        <w:tc>
          <w:tcPr>
            <w:tcW w:w="1352" w:type="dxa"/>
          </w:tcPr>
          <w:p w:rsidR="00093107" w:rsidRPr="00093107" w:rsidRDefault="00093107" w:rsidP="00093107">
            <w:pPr>
              <w:jc w:val="center"/>
              <w:rPr>
                <w:color w:val="000000"/>
                <w:sz w:val="20"/>
                <w:szCs w:val="20"/>
              </w:rPr>
            </w:pPr>
            <w:r w:rsidRPr="000E56B6">
              <w:rPr>
                <w:color w:val="000000"/>
                <w:sz w:val="20"/>
                <w:szCs w:val="20"/>
                <w:lang w:val="en-GB"/>
              </w:rPr>
              <w:t>2021</w:t>
            </w:r>
          </w:p>
        </w:tc>
      </w:tr>
    </w:tbl>
    <w:p w:rsidR="006E51B5" w:rsidRDefault="006E51B5" w:rsidP="006D3B28">
      <w:pPr>
        <w:ind w:firstLine="709"/>
        <w:jc w:val="both"/>
        <w:rPr>
          <w:rFonts w:eastAsia="Arial"/>
          <w:sz w:val="28"/>
          <w:szCs w:val="28"/>
        </w:rPr>
        <w:sectPr w:rsidR="006E51B5" w:rsidSect="00DE30DE">
          <w:pgSz w:w="16838" w:h="11906" w:orient="landscape"/>
          <w:pgMar w:top="1134" w:right="1134" w:bottom="567" w:left="1134" w:header="709" w:footer="709" w:gutter="0"/>
          <w:cols w:space="708"/>
          <w:docGrid w:linePitch="360"/>
        </w:sectPr>
      </w:pPr>
    </w:p>
    <w:p w:rsidR="006D3B28" w:rsidRPr="009F3349" w:rsidRDefault="006D3B28" w:rsidP="006D3B28">
      <w:pPr>
        <w:ind w:firstLine="709"/>
        <w:jc w:val="both"/>
        <w:rPr>
          <w:rFonts w:eastAsia="Arial"/>
          <w:sz w:val="28"/>
          <w:szCs w:val="28"/>
        </w:rPr>
      </w:pPr>
      <w:r w:rsidRPr="009F3349">
        <w:rPr>
          <w:rFonts w:eastAsia="Arial"/>
          <w:sz w:val="28"/>
          <w:szCs w:val="28"/>
        </w:rPr>
        <w:t xml:space="preserve">Развитие радиотерапевтической службы. </w:t>
      </w:r>
    </w:p>
    <w:p w:rsidR="006D3B28" w:rsidRPr="00091230" w:rsidRDefault="006D3B28" w:rsidP="009F3349">
      <w:pPr>
        <w:spacing w:line="233" w:lineRule="auto"/>
        <w:ind w:firstLine="709"/>
        <w:jc w:val="both"/>
        <w:rPr>
          <w:sz w:val="28"/>
          <w:szCs w:val="28"/>
        </w:rPr>
      </w:pPr>
      <w:r w:rsidRPr="00091230">
        <w:rPr>
          <w:sz w:val="28"/>
          <w:szCs w:val="28"/>
        </w:rPr>
        <w:t xml:space="preserve">Клиника радиотерапии в ГАУЗ </w:t>
      </w:r>
      <w:r w:rsidR="002F7358">
        <w:rPr>
          <w:sz w:val="28"/>
          <w:szCs w:val="28"/>
        </w:rPr>
        <w:t>«</w:t>
      </w:r>
      <w:r w:rsidR="00CC5E18">
        <w:rPr>
          <w:sz w:val="28"/>
          <w:szCs w:val="28"/>
        </w:rPr>
        <w:t>РКОД МЗ РТ им.</w:t>
      </w:r>
      <w:r w:rsidRPr="00091230">
        <w:rPr>
          <w:sz w:val="28"/>
          <w:szCs w:val="28"/>
        </w:rPr>
        <w:t>проф</w:t>
      </w:r>
      <w:r w:rsidR="00CC5E18">
        <w:rPr>
          <w:sz w:val="28"/>
          <w:szCs w:val="28"/>
        </w:rPr>
        <w:t>.</w:t>
      </w:r>
      <w:r w:rsidRPr="00091230">
        <w:rPr>
          <w:sz w:val="28"/>
          <w:szCs w:val="28"/>
        </w:rPr>
        <w:t>М.З.Сигала</w:t>
      </w:r>
      <w:r w:rsidR="002F7358">
        <w:rPr>
          <w:sz w:val="28"/>
          <w:szCs w:val="28"/>
        </w:rPr>
        <w:t>»</w:t>
      </w:r>
      <w:r w:rsidRPr="00091230">
        <w:rPr>
          <w:sz w:val="28"/>
          <w:szCs w:val="28"/>
        </w:rPr>
        <w:t xml:space="preserve"> представлена специализированными профильными радиотерапевтическими отделениями, территориально расположенны</w:t>
      </w:r>
      <w:r w:rsidR="00CC5E18">
        <w:rPr>
          <w:sz w:val="28"/>
          <w:szCs w:val="28"/>
        </w:rPr>
        <w:t>ми</w:t>
      </w:r>
      <w:r w:rsidRPr="00091230">
        <w:rPr>
          <w:sz w:val="28"/>
          <w:szCs w:val="28"/>
        </w:rPr>
        <w:t xml:space="preserve"> в трех городах Республики Татарстан – Казан</w:t>
      </w:r>
      <w:r w:rsidR="00DE5A91">
        <w:rPr>
          <w:sz w:val="28"/>
          <w:szCs w:val="28"/>
        </w:rPr>
        <w:t>и</w:t>
      </w:r>
      <w:r w:rsidRPr="00091230">
        <w:rPr>
          <w:sz w:val="28"/>
          <w:szCs w:val="28"/>
        </w:rPr>
        <w:t>, Набережны</w:t>
      </w:r>
      <w:r w:rsidR="00CC5E18">
        <w:rPr>
          <w:sz w:val="28"/>
          <w:szCs w:val="28"/>
        </w:rPr>
        <w:t>е</w:t>
      </w:r>
      <w:r w:rsidRPr="00091230">
        <w:rPr>
          <w:sz w:val="28"/>
          <w:szCs w:val="28"/>
        </w:rPr>
        <w:t xml:space="preserve"> Челн</w:t>
      </w:r>
      <w:r w:rsidR="00CC5E18">
        <w:rPr>
          <w:sz w:val="28"/>
          <w:szCs w:val="28"/>
        </w:rPr>
        <w:t>ы</w:t>
      </w:r>
      <w:r w:rsidRPr="00091230">
        <w:rPr>
          <w:sz w:val="28"/>
          <w:szCs w:val="28"/>
        </w:rPr>
        <w:t xml:space="preserve"> и Альметьевск</w:t>
      </w:r>
      <w:r w:rsidR="00DE5A91">
        <w:rPr>
          <w:sz w:val="28"/>
          <w:szCs w:val="28"/>
        </w:rPr>
        <w:t>е</w:t>
      </w:r>
      <w:r w:rsidRPr="00091230">
        <w:rPr>
          <w:sz w:val="28"/>
          <w:szCs w:val="28"/>
        </w:rPr>
        <w:t xml:space="preserve">. Структура отделений </w:t>
      </w:r>
      <w:r w:rsidR="00A42A1D">
        <w:rPr>
          <w:sz w:val="28"/>
          <w:szCs w:val="28"/>
        </w:rPr>
        <w:t xml:space="preserve">и </w:t>
      </w:r>
      <w:r w:rsidR="00A42A1D" w:rsidRPr="00091230">
        <w:rPr>
          <w:sz w:val="28"/>
          <w:szCs w:val="28"/>
        </w:rPr>
        <w:t xml:space="preserve">радиотерапевтического оборудования </w:t>
      </w:r>
      <w:r w:rsidRPr="00091230">
        <w:rPr>
          <w:sz w:val="28"/>
          <w:szCs w:val="28"/>
        </w:rPr>
        <w:t xml:space="preserve">представлена в </w:t>
      </w:r>
      <w:r w:rsidRPr="00DA6979">
        <w:rPr>
          <w:sz w:val="28"/>
          <w:szCs w:val="28"/>
        </w:rPr>
        <w:t>таблиц</w:t>
      </w:r>
      <w:r w:rsidR="00A42A1D" w:rsidRPr="00DA6979">
        <w:rPr>
          <w:sz w:val="28"/>
          <w:szCs w:val="28"/>
        </w:rPr>
        <w:t>ах</w:t>
      </w:r>
      <w:r w:rsidR="007741B0" w:rsidRPr="00DA6979">
        <w:rPr>
          <w:sz w:val="28"/>
          <w:szCs w:val="28"/>
        </w:rPr>
        <w:t xml:space="preserve"> 4</w:t>
      </w:r>
      <w:r w:rsidR="00DA6979" w:rsidRPr="00DA6979">
        <w:rPr>
          <w:sz w:val="28"/>
          <w:szCs w:val="28"/>
        </w:rPr>
        <w:t>5</w:t>
      </w:r>
      <w:r w:rsidR="00CC5E18">
        <w:rPr>
          <w:sz w:val="28"/>
          <w:szCs w:val="28"/>
        </w:rPr>
        <w:t>,</w:t>
      </w:r>
      <w:r w:rsidR="00A42A1D" w:rsidRPr="00DA6979">
        <w:rPr>
          <w:sz w:val="28"/>
          <w:szCs w:val="28"/>
        </w:rPr>
        <w:t xml:space="preserve"> </w:t>
      </w:r>
      <w:r w:rsidR="00DB578E" w:rsidRPr="00DA6979">
        <w:rPr>
          <w:sz w:val="28"/>
          <w:szCs w:val="28"/>
        </w:rPr>
        <w:t>4</w:t>
      </w:r>
      <w:r w:rsidR="00DA6979" w:rsidRPr="00DA6979">
        <w:rPr>
          <w:sz w:val="28"/>
          <w:szCs w:val="28"/>
        </w:rPr>
        <w:t>6</w:t>
      </w:r>
      <w:r w:rsidR="00DB578E" w:rsidRPr="00DA6979">
        <w:rPr>
          <w:sz w:val="28"/>
          <w:szCs w:val="28"/>
        </w:rPr>
        <w:t>.</w:t>
      </w:r>
      <w:r w:rsidRPr="00091230">
        <w:rPr>
          <w:sz w:val="28"/>
          <w:szCs w:val="28"/>
        </w:rPr>
        <w:t xml:space="preserve"> </w:t>
      </w:r>
    </w:p>
    <w:p w:rsidR="006D3B28" w:rsidRPr="00091230" w:rsidRDefault="006D3B28" w:rsidP="009F3349">
      <w:pPr>
        <w:spacing w:line="233" w:lineRule="auto"/>
        <w:ind w:firstLine="709"/>
        <w:jc w:val="both"/>
        <w:rPr>
          <w:sz w:val="28"/>
          <w:szCs w:val="28"/>
        </w:rPr>
      </w:pPr>
      <w:r w:rsidRPr="00091230">
        <w:rPr>
          <w:sz w:val="28"/>
          <w:szCs w:val="28"/>
        </w:rPr>
        <w:t>Применяемые технологии радиотерапии:</w:t>
      </w:r>
    </w:p>
    <w:p w:rsidR="006D3B28" w:rsidRPr="00091230" w:rsidRDefault="00CC5E18" w:rsidP="009F3349">
      <w:pPr>
        <w:spacing w:line="233" w:lineRule="auto"/>
        <w:ind w:firstLine="709"/>
        <w:jc w:val="both"/>
        <w:rPr>
          <w:sz w:val="28"/>
          <w:szCs w:val="28"/>
        </w:rPr>
      </w:pPr>
      <w:r>
        <w:rPr>
          <w:sz w:val="28"/>
          <w:szCs w:val="28"/>
        </w:rPr>
        <w:t>к</w:t>
      </w:r>
      <w:r w:rsidR="006D3B28" w:rsidRPr="00091230">
        <w:rPr>
          <w:sz w:val="28"/>
          <w:szCs w:val="28"/>
        </w:rPr>
        <w:t>онвенциальная лучевая терапия</w:t>
      </w:r>
      <w:r w:rsidR="00C65737">
        <w:rPr>
          <w:sz w:val="28"/>
          <w:szCs w:val="28"/>
        </w:rPr>
        <w:t>;</w:t>
      </w:r>
      <w:r w:rsidR="006D3B28" w:rsidRPr="00091230">
        <w:rPr>
          <w:sz w:val="28"/>
          <w:szCs w:val="28"/>
        </w:rPr>
        <w:t xml:space="preserve"> </w:t>
      </w:r>
      <w:r w:rsidR="00C65737">
        <w:rPr>
          <w:sz w:val="28"/>
          <w:szCs w:val="28"/>
        </w:rPr>
        <w:t>п</w:t>
      </w:r>
      <w:r w:rsidR="006D3B28" w:rsidRPr="00091230">
        <w:rPr>
          <w:sz w:val="28"/>
          <w:szCs w:val="28"/>
        </w:rPr>
        <w:t>олучает около 2</w:t>
      </w:r>
      <w:r w:rsidR="007741B0">
        <w:rPr>
          <w:sz w:val="28"/>
          <w:szCs w:val="28"/>
        </w:rPr>
        <w:t xml:space="preserve"> процентов</w:t>
      </w:r>
      <w:r w:rsidR="006D3B28" w:rsidRPr="00091230">
        <w:rPr>
          <w:sz w:val="28"/>
          <w:szCs w:val="28"/>
        </w:rPr>
        <w:t xml:space="preserve"> пациентов, реализуется на гамма-тер</w:t>
      </w:r>
      <w:r w:rsidR="001E071C">
        <w:rPr>
          <w:sz w:val="28"/>
          <w:szCs w:val="28"/>
        </w:rPr>
        <w:t>апевтическом аппарате Theratron;</w:t>
      </w:r>
    </w:p>
    <w:p w:rsidR="006D3B28" w:rsidRPr="00091230" w:rsidRDefault="001E071C" w:rsidP="009F3349">
      <w:pPr>
        <w:spacing w:line="233" w:lineRule="auto"/>
        <w:ind w:firstLine="709"/>
        <w:jc w:val="both"/>
        <w:rPr>
          <w:sz w:val="28"/>
          <w:szCs w:val="28"/>
        </w:rPr>
      </w:pPr>
      <w:r>
        <w:rPr>
          <w:sz w:val="28"/>
          <w:szCs w:val="28"/>
        </w:rPr>
        <w:t>3D-конформная радиотерапия;</w:t>
      </w:r>
    </w:p>
    <w:p w:rsidR="006D3B28" w:rsidRPr="00091230" w:rsidRDefault="00CC5E18" w:rsidP="009F3349">
      <w:pPr>
        <w:spacing w:line="233" w:lineRule="auto"/>
        <w:ind w:firstLine="709"/>
        <w:jc w:val="both"/>
        <w:rPr>
          <w:sz w:val="28"/>
          <w:szCs w:val="28"/>
        </w:rPr>
      </w:pPr>
      <w:r>
        <w:rPr>
          <w:sz w:val="28"/>
          <w:szCs w:val="28"/>
        </w:rPr>
        <w:t>л</w:t>
      </w:r>
      <w:r w:rsidR="006D3B28" w:rsidRPr="00091230">
        <w:rPr>
          <w:sz w:val="28"/>
          <w:szCs w:val="28"/>
        </w:rPr>
        <w:t xml:space="preserve">учевая терапия с </w:t>
      </w:r>
      <w:r w:rsidR="001E071C">
        <w:rPr>
          <w:sz w:val="28"/>
          <w:szCs w:val="28"/>
        </w:rPr>
        <w:t>модуляцией интенсивности (IMRT);</w:t>
      </w:r>
    </w:p>
    <w:p w:rsidR="006D3B28" w:rsidRPr="00091230" w:rsidRDefault="00CC5E18" w:rsidP="009F3349">
      <w:pPr>
        <w:spacing w:line="233" w:lineRule="auto"/>
        <w:ind w:firstLine="709"/>
        <w:jc w:val="both"/>
        <w:rPr>
          <w:sz w:val="28"/>
          <w:szCs w:val="28"/>
        </w:rPr>
      </w:pPr>
      <w:r>
        <w:rPr>
          <w:sz w:val="28"/>
          <w:szCs w:val="28"/>
        </w:rPr>
        <w:t>о</w:t>
      </w:r>
      <w:r w:rsidR="006D3B28" w:rsidRPr="00091230">
        <w:rPr>
          <w:sz w:val="28"/>
          <w:szCs w:val="28"/>
        </w:rPr>
        <w:t>бъемно-модулированная лучевая терапия (VMAT) – наиболее часто применя</w:t>
      </w:r>
      <w:r w:rsidR="001E071C">
        <w:rPr>
          <w:sz w:val="28"/>
          <w:szCs w:val="28"/>
        </w:rPr>
        <w:t>емая технология лучевой терапии;</w:t>
      </w:r>
    </w:p>
    <w:p w:rsidR="006D3B28" w:rsidRPr="00091230" w:rsidRDefault="00CC5E18" w:rsidP="009F3349">
      <w:pPr>
        <w:spacing w:line="233" w:lineRule="auto"/>
        <w:ind w:firstLine="709"/>
        <w:jc w:val="both"/>
        <w:rPr>
          <w:sz w:val="28"/>
          <w:szCs w:val="28"/>
        </w:rPr>
      </w:pPr>
      <w:r>
        <w:rPr>
          <w:sz w:val="28"/>
          <w:szCs w:val="28"/>
        </w:rPr>
        <w:t xml:space="preserve"> т</w:t>
      </w:r>
      <w:r w:rsidR="006D3B28" w:rsidRPr="00091230">
        <w:rPr>
          <w:sz w:val="28"/>
          <w:szCs w:val="28"/>
        </w:rPr>
        <w:t>омотерапия</w:t>
      </w:r>
      <w:r w:rsidR="00C65737">
        <w:rPr>
          <w:sz w:val="28"/>
          <w:szCs w:val="28"/>
        </w:rPr>
        <w:t>;</w:t>
      </w:r>
      <w:r w:rsidR="006D3B28" w:rsidRPr="00091230">
        <w:rPr>
          <w:sz w:val="28"/>
          <w:szCs w:val="28"/>
        </w:rPr>
        <w:t xml:space="preserve"> </w:t>
      </w:r>
      <w:r w:rsidR="00C65737">
        <w:rPr>
          <w:sz w:val="28"/>
          <w:szCs w:val="28"/>
        </w:rPr>
        <w:t>л</w:t>
      </w:r>
      <w:r w:rsidR="006D3B28" w:rsidRPr="00091230">
        <w:rPr>
          <w:sz w:val="28"/>
          <w:szCs w:val="28"/>
        </w:rPr>
        <w:t xml:space="preserve">инейный ускоритель для томотерапии TomoHD установлен и введен в эксплуатацию в 2017 году на основании создания частно-государственного партнерства. В основе концессионного соглашения ежегодно в рамках </w:t>
      </w:r>
      <w:r w:rsidR="001E071C">
        <w:rPr>
          <w:bCs/>
          <w:color w:val="000000"/>
          <w:sz w:val="28"/>
          <w:szCs w:val="28"/>
        </w:rPr>
        <w:t xml:space="preserve">Программы государственных гарантий бесплатного оказания гражданам медицинской помощи на территории Республики Татарстан </w:t>
      </w:r>
      <w:r w:rsidR="006D3B28" w:rsidRPr="00091230">
        <w:rPr>
          <w:sz w:val="28"/>
          <w:szCs w:val="28"/>
        </w:rPr>
        <w:t>лечение на данном аппарате получают 725 пациенто</w:t>
      </w:r>
      <w:r w:rsidR="001E071C">
        <w:rPr>
          <w:sz w:val="28"/>
          <w:szCs w:val="28"/>
        </w:rPr>
        <w:t>в (жители Республики Татарстан);</w:t>
      </w:r>
    </w:p>
    <w:p w:rsidR="006D3B28" w:rsidRPr="00091230" w:rsidRDefault="00CC5E18" w:rsidP="009F3349">
      <w:pPr>
        <w:spacing w:line="233" w:lineRule="auto"/>
        <w:ind w:firstLine="709"/>
        <w:jc w:val="both"/>
        <w:rPr>
          <w:sz w:val="28"/>
          <w:szCs w:val="28"/>
        </w:rPr>
      </w:pPr>
      <w:r>
        <w:rPr>
          <w:sz w:val="28"/>
          <w:szCs w:val="28"/>
        </w:rPr>
        <w:t>л</w:t>
      </w:r>
      <w:r w:rsidR="006D3B28" w:rsidRPr="00091230">
        <w:rPr>
          <w:sz w:val="28"/>
          <w:szCs w:val="28"/>
        </w:rPr>
        <w:t>учевая терапия с синхронизацией с дыханием (</w:t>
      </w:r>
      <w:r w:rsidR="00A42A1D">
        <w:rPr>
          <w:sz w:val="28"/>
          <w:szCs w:val="28"/>
        </w:rPr>
        <w:t xml:space="preserve">применяется с начала </w:t>
      </w:r>
      <w:r w:rsidR="009F3349">
        <w:rPr>
          <w:sz w:val="28"/>
          <w:szCs w:val="28"/>
        </w:rPr>
        <w:br/>
      </w:r>
      <w:r w:rsidR="00A42A1D">
        <w:rPr>
          <w:sz w:val="28"/>
          <w:szCs w:val="28"/>
        </w:rPr>
        <w:t xml:space="preserve">2023 года) </w:t>
      </w:r>
      <w:r w:rsidR="006D3B28" w:rsidRPr="00091230">
        <w:rPr>
          <w:sz w:val="28"/>
          <w:szCs w:val="28"/>
        </w:rPr>
        <w:t>с использованием в</w:t>
      </w:r>
      <w:r w:rsidR="00A42A1D">
        <w:rPr>
          <w:sz w:val="28"/>
          <w:szCs w:val="28"/>
        </w:rPr>
        <w:t xml:space="preserve">ыбранных фаз дыхательного цикла, </w:t>
      </w:r>
      <w:r w:rsidR="006D3B28" w:rsidRPr="00091230">
        <w:rPr>
          <w:sz w:val="28"/>
          <w:szCs w:val="28"/>
        </w:rPr>
        <w:t>на глубоком вдохе</w:t>
      </w:r>
      <w:r w:rsidR="001E071C">
        <w:rPr>
          <w:sz w:val="28"/>
          <w:szCs w:val="28"/>
        </w:rPr>
        <w:t>;</w:t>
      </w:r>
    </w:p>
    <w:p w:rsidR="006D3B28" w:rsidRPr="00091230" w:rsidRDefault="00CC5E18" w:rsidP="009F3349">
      <w:pPr>
        <w:spacing w:line="233" w:lineRule="auto"/>
        <w:ind w:firstLine="709"/>
        <w:jc w:val="both"/>
        <w:rPr>
          <w:sz w:val="28"/>
          <w:szCs w:val="28"/>
        </w:rPr>
      </w:pPr>
      <w:r>
        <w:rPr>
          <w:sz w:val="28"/>
          <w:szCs w:val="28"/>
        </w:rPr>
        <w:t>с</w:t>
      </w:r>
      <w:r w:rsidR="006D3B28" w:rsidRPr="00091230">
        <w:rPr>
          <w:sz w:val="28"/>
          <w:szCs w:val="28"/>
        </w:rPr>
        <w:t>тереотаксическая радиотерап</w:t>
      </w:r>
      <w:r w:rsidR="001E071C">
        <w:rPr>
          <w:sz w:val="28"/>
          <w:szCs w:val="28"/>
        </w:rPr>
        <w:t>ия (ультрагипофракционирование);</w:t>
      </w:r>
    </w:p>
    <w:p w:rsidR="006D3B28" w:rsidRPr="00091230" w:rsidRDefault="00CC5E18" w:rsidP="009F3349">
      <w:pPr>
        <w:spacing w:line="233" w:lineRule="auto"/>
        <w:ind w:firstLine="709"/>
        <w:jc w:val="both"/>
        <w:rPr>
          <w:sz w:val="28"/>
          <w:szCs w:val="28"/>
        </w:rPr>
      </w:pPr>
      <w:r>
        <w:rPr>
          <w:sz w:val="28"/>
          <w:szCs w:val="28"/>
        </w:rPr>
        <w:t>р</w:t>
      </w:r>
      <w:r w:rsidR="006D3B28" w:rsidRPr="00091230">
        <w:rPr>
          <w:sz w:val="28"/>
          <w:szCs w:val="28"/>
        </w:rPr>
        <w:t>ентгенотера</w:t>
      </w:r>
      <w:r w:rsidR="001E071C">
        <w:rPr>
          <w:sz w:val="28"/>
          <w:szCs w:val="28"/>
        </w:rPr>
        <w:t>пия ЗНО кожи;</w:t>
      </w:r>
    </w:p>
    <w:p w:rsidR="006D3B28" w:rsidRPr="00091230" w:rsidRDefault="006D3B28" w:rsidP="009F3349">
      <w:pPr>
        <w:spacing w:line="233" w:lineRule="auto"/>
        <w:ind w:firstLine="709"/>
        <w:jc w:val="both"/>
        <w:rPr>
          <w:sz w:val="28"/>
          <w:szCs w:val="28"/>
        </w:rPr>
      </w:pPr>
      <w:r w:rsidRPr="00091230">
        <w:rPr>
          <w:sz w:val="28"/>
          <w:szCs w:val="28"/>
        </w:rPr>
        <w:t>HDR-брахитерапия</w:t>
      </w:r>
      <w:r w:rsidR="00C65737">
        <w:rPr>
          <w:sz w:val="28"/>
          <w:szCs w:val="28"/>
        </w:rPr>
        <w:t>;</w:t>
      </w:r>
      <w:r w:rsidRPr="00091230">
        <w:rPr>
          <w:sz w:val="28"/>
          <w:szCs w:val="28"/>
        </w:rPr>
        <w:t xml:space="preserve"> </w:t>
      </w:r>
      <w:r w:rsidR="00C65737">
        <w:rPr>
          <w:sz w:val="28"/>
          <w:szCs w:val="28"/>
        </w:rPr>
        <w:t>с</w:t>
      </w:r>
      <w:r w:rsidRPr="00091230">
        <w:rPr>
          <w:sz w:val="28"/>
          <w:szCs w:val="28"/>
        </w:rPr>
        <w:t xml:space="preserve"> 2022 года внедрена технолог</w:t>
      </w:r>
      <w:r w:rsidR="001E071C">
        <w:rPr>
          <w:sz w:val="28"/>
          <w:szCs w:val="28"/>
        </w:rPr>
        <w:t>ия 3D-планирования брахитерапии;</w:t>
      </w:r>
    </w:p>
    <w:p w:rsidR="006D3B28" w:rsidRPr="00091230" w:rsidRDefault="00CC5E18" w:rsidP="009F3349">
      <w:pPr>
        <w:spacing w:line="233" w:lineRule="auto"/>
        <w:ind w:firstLine="709"/>
        <w:jc w:val="both"/>
        <w:rPr>
          <w:sz w:val="28"/>
          <w:szCs w:val="28"/>
        </w:rPr>
      </w:pPr>
      <w:r>
        <w:rPr>
          <w:sz w:val="28"/>
          <w:szCs w:val="28"/>
        </w:rPr>
        <w:t>б</w:t>
      </w:r>
      <w:r w:rsidR="006D3B28" w:rsidRPr="00091230">
        <w:rPr>
          <w:sz w:val="28"/>
          <w:szCs w:val="28"/>
        </w:rPr>
        <w:t>рахитерапия низкой мощности дозы рака предстательной железы методом перманентной имплантации микроисточников на основе I-</w:t>
      </w:r>
      <w:r w:rsidR="00887958" w:rsidRPr="00091230">
        <w:rPr>
          <w:sz w:val="28"/>
          <w:szCs w:val="28"/>
        </w:rPr>
        <w:t>125</w:t>
      </w:r>
      <w:r w:rsidR="001E071C">
        <w:rPr>
          <w:sz w:val="28"/>
          <w:szCs w:val="28"/>
        </w:rPr>
        <w:t>;</w:t>
      </w:r>
    </w:p>
    <w:p w:rsidR="006D3B28" w:rsidRPr="00091230" w:rsidRDefault="006D3B28" w:rsidP="009F3349">
      <w:pPr>
        <w:spacing w:line="233" w:lineRule="auto"/>
        <w:ind w:firstLine="709"/>
        <w:jc w:val="both"/>
        <w:rPr>
          <w:sz w:val="28"/>
          <w:szCs w:val="28"/>
        </w:rPr>
      </w:pPr>
      <w:r w:rsidRPr="00091230">
        <w:rPr>
          <w:sz w:val="28"/>
          <w:szCs w:val="28"/>
        </w:rPr>
        <w:t>СВЧ-гипертермия</w:t>
      </w:r>
      <w:r w:rsidR="001E071C">
        <w:rPr>
          <w:sz w:val="28"/>
          <w:szCs w:val="28"/>
        </w:rPr>
        <w:t>;</w:t>
      </w:r>
    </w:p>
    <w:p w:rsidR="006D3B28" w:rsidRDefault="00CC5E18" w:rsidP="009F3349">
      <w:pPr>
        <w:spacing w:line="233" w:lineRule="auto"/>
        <w:ind w:firstLine="709"/>
        <w:jc w:val="both"/>
        <w:rPr>
          <w:sz w:val="28"/>
          <w:szCs w:val="28"/>
        </w:rPr>
      </w:pPr>
      <w:r>
        <w:rPr>
          <w:sz w:val="28"/>
          <w:szCs w:val="28"/>
        </w:rPr>
        <w:t>р</w:t>
      </w:r>
      <w:r w:rsidR="006D3B28" w:rsidRPr="00091230">
        <w:rPr>
          <w:sz w:val="28"/>
          <w:szCs w:val="28"/>
        </w:rPr>
        <w:t xml:space="preserve">адионуклидная терапия изотопами йода-131, стронция-89, самария-153, </w:t>
      </w:r>
      <w:r w:rsidR="00C65737">
        <w:rPr>
          <w:sz w:val="28"/>
          <w:szCs w:val="28"/>
        </w:rPr>
        <w:br/>
      </w:r>
      <w:r w:rsidR="006D3B28" w:rsidRPr="00091230">
        <w:rPr>
          <w:sz w:val="28"/>
          <w:szCs w:val="28"/>
        </w:rPr>
        <w:t>радия-</w:t>
      </w:r>
      <w:r w:rsidR="00887958" w:rsidRPr="00091230">
        <w:rPr>
          <w:sz w:val="28"/>
          <w:szCs w:val="28"/>
        </w:rPr>
        <w:t>223</w:t>
      </w:r>
      <w:r w:rsidR="00ED3563">
        <w:rPr>
          <w:sz w:val="28"/>
          <w:szCs w:val="28"/>
        </w:rPr>
        <w:t>;</w:t>
      </w:r>
    </w:p>
    <w:p w:rsidR="00ED3563" w:rsidRPr="00EA7769" w:rsidRDefault="00216849" w:rsidP="009F3349">
      <w:pPr>
        <w:spacing w:line="233" w:lineRule="auto"/>
        <w:ind w:firstLine="709"/>
        <w:jc w:val="both"/>
        <w:rPr>
          <w:sz w:val="28"/>
          <w:szCs w:val="28"/>
        </w:rPr>
      </w:pPr>
      <w:r w:rsidRPr="00EA7769">
        <w:rPr>
          <w:sz w:val="28"/>
          <w:szCs w:val="28"/>
        </w:rPr>
        <w:t xml:space="preserve">на 2026 год </w:t>
      </w:r>
      <w:r w:rsidR="007C25E5" w:rsidRPr="00EA7769">
        <w:rPr>
          <w:sz w:val="28"/>
          <w:szCs w:val="28"/>
        </w:rPr>
        <w:t>з</w:t>
      </w:r>
      <w:r w:rsidR="00ED3563" w:rsidRPr="00EA7769">
        <w:rPr>
          <w:sz w:val="28"/>
          <w:szCs w:val="28"/>
        </w:rPr>
        <w:t xml:space="preserve">апланировано оснащение </w:t>
      </w:r>
      <w:r w:rsidR="007C25E5" w:rsidRPr="00EA7769">
        <w:rPr>
          <w:sz w:val="28"/>
          <w:szCs w:val="28"/>
        </w:rPr>
        <w:t xml:space="preserve">системой стереотаксической радиохирургии </w:t>
      </w:r>
      <w:r w:rsidR="007C25E5" w:rsidRPr="00EA7769">
        <w:rPr>
          <w:sz w:val="28"/>
          <w:szCs w:val="28"/>
          <w:lang w:val="en-US"/>
        </w:rPr>
        <w:t>ZAP</w:t>
      </w:r>
      <w:r w:rsidR="007C25E5" w:rsidRPr="00EA7769">
        <w:rPr>
          <w:sz w:val="28"/>
          <w:szCs w:val="28"/>
        </w:rPr>
        <w:t>-</w:t>
      </w:r>
      <w:r w:rsidR="007C25E5" w:rsidRPr="00EA7769">
        <w:rPr>
          <w:sz w:val="28"/>
          <w:szCs w:val="28"/>
          <w:lang w:val="en-US"/>
        </w:rPr>
        <w:t>X</w:t>
      </w:r>
      <w:r w:rsidR="007C25E5" w:rsidRPr="00EA7769">
        <w:rPr>
          <w:sz w:val="28"/>
          <w:szCs w:val="28"/>
        </w:rPr>
        <w:t xml:space="preserve"> ГАУЗ </w:t>
      </w:r>
      <w:r w:rsidR="007C25E5" w:rsidRPr="00EA7769">
        <w:rPr>
          <w:rFonts w:eastAsia="Arial"/>
          <w:sz w:val="28"/>
          <w:szCs w:val="28"/>
        </w:rPr>
        <w:t>«РКОД МЗ РТ им.проф.М.З.Сигала»</w:t>
      </w:r>
      <w:r w:rsidRPr="00EA7769">
        <w:rPr>
          <w:rFonts w:eastAsia="Arial"/>
          <w:sz w:val="28"/>
          <w:szCs w:val="28"/>
        </w:rPr>
        <w:t xml:space="preserve"> (вне мерпориятий </w:t>
      </w:r>
      <w:r w:rsidR="00EA7769" w:rsidRPr="00EA7769">
        <w:rPr>
          <w:sz w:val="28"/>
          <w:szCs w:val="28"/>
        </w:rPr>
        <w:t>региональной программы «</w:t>
      </w:r>
      <w:r w:rsidR="00EA7769" w:rsidRPr="00EA7769">
        <w:rPr>
          <w:rFonts w:eastAsia="Calibri"/>
          <w:color w:val="000000"/>
          <w:sz w:val="28"/>
          <w:szCs w:val="28"/>
        </w:rPr>
        <w:t xml:space="preserve">Борьба </w:t>
      </w:r>
      <w:r w:rsidR="00EA7769" w:rsidRPr="00EA7769">
        <w:rPr>
          <w:rFonts w:eastAsia="Calibri"/>
          <w:sz w:val="28"/>
          <w:szCs w:val="28"/>
          <w:lang w:eastAsia="en-US"/>
        </w:rPr>
        <w:t>с онкологическими заболеваниями</w:t>
      </w:r>
      <w:r w:rsidR="00EA7769" w:rsidRPr="00EA7769">
        <w:rPr>
          <w:sz w:val="28"/>
          <w:szCs w:val="28"/>
        </w:rPr>
        <w:t xml:space="preserve"> в Республике Татарстан»</w:t>
      </w:r>
      <w:r w:rsidRPr="00EA7769">
        <w:rPr>
          <w:rFonts w:eastAsia="Arial"/>
          <w:sz w:val="28"/>
          <w:szCs w:val="28"/>
        </w:rPr>
        <w:t>);</w:t>
      </w:r>
    </w:p>
    <w:p w:rsidR="00ED3563" w:rsidRPr="00ED3563" w:rsidRDefault="00216849" w:rsidP="009F3349">
      <w:pPr>
        <w:spacing w:line="233" w:lineRule="auto"/>
        <w:ind w:firstLine="709"/>
        <w:jc w:val="both"/>
        <w:rPr>
          <w:sz w:val="28"/>
          <w:szCs w:val="28"/>
        </w:rPr>
      </w:pPr>
      <w:r w:rsidRPr="00EA7769">
        <w:rPr>
          <w:sz w:val="28"/>
          <w:szCs w:val="28"/>
        </w:rPr>
        <w:t xml:space="preserve">на 2026 год запланировано </w:t>
      </w:r>
      <w:r w:rsidR="00ED3563" w:rsidRPr="00EA7769">
        <w:rPr>
          <w:sz w:val="28"/>
          <w:szCs w:val="28"/>
        </w:rPr>
        <w:t>оснащение 2 линейными ускорител</w:t>
      </w:r>
      <w:r w:rsidR="00E755D7" w:rsidRPr="00EA7769">
        <w:rPr>
          <w:sz w:val="28"/>
          <w:szCs w:val="28"/>
        </w:rPr>
        <w:t>ями</w:t>
      </w:r>
      <w:r w:rsidR="00ED3563" w:rsidRPr="00EA7769">
        <w:rPr>
          <w:sz w:val="28"/>
          <w:szCs w:val="28"/>
        </w:rPr>
        <w:t xml:space="preserve"> Альметьевского филиала ГАУЗ </w:t>
      </w:r>
      <w:r w:rsidR="00ED3563" w:rsidRPr="00EA7769">
        <w:rPr>
          <w:rFonts w:eastAsia="Arial"/>
          <w:sz w:val="28"/>
          <w:szCs w:val="28"/>
        </w:rPr>
        <w:t xml:space="preserve">«РКОД МЗ РТ им.проф.М.З.Сигала», внедрение и тиражирование </w:t>
      </w:r>
      <w:r w:rsidR="00ED3563" w:rsidRPr="00EA7769">
        <w:rPr>
          <w:sz w:val="28"/>
          <w:szCs w:val="28"/>
        </w:rPr>
        <w:t>дистанционной лучевой терапии</w:t>
      </w:r>
      <w:r w:rsidRPr="00EA7769">
        <w:rPr>
          <w:sz w:val="28"/>
          <w:szCs w:val="28"/>
        </w:rPr>
        <w:t xml:space="preserve"> </w:t>
      </w:r>
      <w:r w:rsidR="00A33BF8" w:rsidRPr="00EA7769">
        <w:rPr>
          <w:sz w:val="28"/>
          <w:szCs w:val="28"/>
        </w:rPr>
        <w:t xml:space="preserve">(вне мероприятий </w:t>
      </w:r>
      <w:r w:rsidR="00EA7769" w:rsidRPr="00EA7769">
        <w:rPr>
          <w:sz w:val="28"/>
          <w:szCs w:val="28"/>
        </w:rPr>
        <w:t>региональной программы «</w:t>
      </w:r>
      <w:r w:rsidR="00EA7769" w:rsidRPr="00EA7769">
        <w:rPr>
          <w:rFonts w:eastAsia="Calibri"/>
          <w:color w:val="000000"/>
          <w:sz w:val="28"/>
          <w:szCs w:val="28"/>
        </w:rPr>
        <w:t xml:space="preserve">Борьба </w:t>
      </w:r>
      <w:r w:rsidR="00EA7769" w:rsidRPr="00EA7769">
        <w:rPr>
          <w:rFonts w:eastAsia="Calibri"/>
          <w:sz w:val="28"/>
          <w:szCs w:val="28"/>
          <w:lang w:eastAsia="en-US"/>
        </w:rPr>
        <w:t>с онкологическими заболеваниями</w:t>
      </w:r>
      <w:r w:rsidR="00EA7769" w:rsidRPr="00EA7769">
        <w:rPr>
          <w:sz w:val="28"/>
          <w:szCs w:val="28"/>
        </w:rPr>
        <w:t xml:space="preserve"> в Республике Татарстан»</w:t>
      </w:r>
      <w:r w:rsidRPr="00EA7769">
        <w:rPr>
          <w:sz w:val="28"/>
          <w:szCs w:val="28"/>
        </w:rPr>
        <w:t>)</w:t>
      </w:r>
      <w:r w:rsidR="007C25E5" w:rsidRPr="00EA7769">
        <w:rPr>
          <w:sz w:val="28"/>
          <w:szCs w:val="28"/>
        </w:rPr>
        <w:t>.</w:t>
      </w:r>
    </w:p>
    <w:p w:rsidR="006D3B28" w:rsidRPr="009F3349" w:rsidRDefault="006D3B28" w:rsidP="009F3349">
      <w:pPr>
        <w:spacing w:line="233" w:lineRule="auto"/>
        <w:ind w:firstLine="709"/>
        <w:jc w:val="both"/>
        <w:rPr>
          <w:szCs w:val="28"/>
        </w:rPr>
      </w:pPr>
    </w:p>
    <w:p w:rsidR="006D3B28" w:rsidRPr="007E0BCC" w:rsidRDefault="006D3B28" w:rsidP="009F3349">
      <w:pPr>
        <w:spacing w:line="233" w:lineRule="auto"/>
        <w:ind w:firstLine="709"/>
        <w:jc w:val="both"/>
        <w:rPr>
          <w:sz w:val="28"/>
          <w:szCs w:val="28"/>
        </w:rPr>
      </w:pPr>
      <w:r w:rsidRPr="007E0BCC">
        <w:rPr>
          <w:sz w:val="28"/>
          <w:szCs w:val="28"/>
        </w:rPr>
        <w:t xml:space="preserve">По показаниям конкурентную химиолучевую терапию и лучевую терапию </w:t>
      </w:r>
      <w:r w:rsidR="009F3349" w:rsidRPr="007E0BCC">
        <w:rPr>
          <w:sz w:val="28"/>
          <w:szCs w:val="28"/>
        </w:rPr>
        <w:br/>
      </w:r>
      <w:r w:rsidRPr="007E0BCC">
        <w:rPr>
          <w:sz w:val="28"/>
          <w:szCs w:val="28"/>
        </w:rPr>
        <w:t>с таргетной терапией в 202</w:t>
      </w:r>
      <w:r w:rsidR="001A02F8" w:rsidRPr="007E0BCC">
        <w:rPr>
          <w:sz w:val="28"/>
          <w:szCs w:val="28"/>
        </w:rPr>
        <w:t>3</w:t>
      </w:r>
      <w:r w:rsidRPr="007E0BCC">
        <w:rPr>
          <w:sz w:val="28"/>
          <w:szCs w:val="28"/>
        </w:rPr>
        <w:t xml:space="preserve"> </w:t>
      </w:r>
      <w:r w:rsidR="00943649" w:rsidRPr="007E0BCC">
        <w:rPr>
          <w:rFonts w:eastAsia="Arial"/>
        </w:rPr>
        <w:t>–</w:t>
      </w:r>
      <w:r w:rsidR="00943649" w:rsidRPr="007E0BCC">
        <w:rPr>
          <w:sz w:val="28"/>
          <w:szCs w:val="28"/>
        </w:rPr>
        <w:t xml:space="preserve"> </w:t>
      </w:r>
      <w:r w:rsidRPr="007E0BCC">
        <w:rPr>
          <w:sz w:val="28"/>
          <w:szCs w:val="28"/>
        </w:rPr>
        <w:t>202</w:t>
      </w:r>
      <w:r w:rsidR="001A02F8" w:rsidRPr="007E0BCC">
        <w:rPr>
          <w:sz w:val="28"/>
          <w:szCs w:val="28"/>
        </w:rPr>
        <w:t>5</w:t>
      </w:r>
      <w:r w:rsidRPr="007E0BCC">
        <w:rPr>
          <w:sz w:val="28"/>
          <w:szCs w:val="28"/>
        </w:rPr>
        <w:t xml:space="preserve"> годах получили 22,4</w:t>
      </w:r>
      <w:r w:rsidR="00A42A1D" w:rsidRPr="007E0BCC">
        <w:rPr>
          <w:sz w:val="28"/>
          <w:szCs w:val="28"/>
        </w:rPr>
        <w:t xml:space="preserve"> процента </w:t>
      </w:r>
      <w:r w:rsidRPr="007E0BCC">
        <w:rPr>
          <w:sz w:val="28"/>
          <w:szCs w:val="28"/>
        </w:rPr>
        <w:t xml:space="preserve">пациентов (ЗНО головы и шеи, рак пищевода, рак легкого, рак прямой кишки, рак молочной железы, ЗНО женской репродуктивной системы, ЗНО </w:t>
      </w:r>
      <w:r w:rsidR="003A303D" w:rsidRPr="007E0BCC">
        <w:rPr>
          <w:sz w:val="28"/>
          <w:szCs w:val="28"/>
        </w:rPr>
        <w:t>центральной нервной системы</w:t>
      </w:r>
      <w:r w:rsidRPr="007E0BCC">
        <w:rPr>
          <w:sz w:val="28"/>
          <w:szCs w:val="28"/>
        </w:rPr>
        <w:t xml:space="preserve">). </w:t>
      </w:r>
    </w:p>
    <w:p w:rsidR="006D3B28" w:rsidRPr="007E0BCC" w:rsidRDefault="006D3B28" w:rsidP="009F3349">
      <w:pPr>
        <w:spacing w:line="233" w:lineRule="auto"/>
        <w:ind w:firstLine="709"/>
        <w:jc w:val="both"/>
        <w:rPr>
          <w:sz w:val="28"/>
          <w:szCs w:val="28"/>
        </w:rPr>
      </w:pPr>
      <w:r w:rsidRPr="007E0BCC">
        <w:rPr>
          <w:sz w:val="28"/>
          <w:szCs w:val="28"/>
        </w:rPr>
        <w:t>Количество пациентов, получающих радиотерапию в 202</w:t>
      </w:r>
      <w:r w:rsidR="001A02F8" w:rsidRPr="007E0BCC">
        <w:rPr>
          <w:sz w:val="28"/>
          <w:szCs w:val="28"/>
        </w:rPr>
        <w:t>5</w:t>
      </w:r>
      <w:r w:rsidRPr="007E0BCC">
        <w:rPr>
          <w:sz w:val="28"/>
          <w:szCs w:val="28"/>
        </w:rPr>
        <w:t xml:space="preserve"> году, в динамике от 202</w:t>
      </w:r>
      <w:r w:rsidR="001A02F8" w:rsidRPr="007E0BCC">
        <w:rPr>
          <w:sz w:val="28"/>
          <w:szCs w:val="28"/>
        </w:rPr>
        <w:t>3</w:t>
      </w:r>
      <w:r w:rsidRPr="007E0BCC">
        <w:rPr>
          <w:sz w:val="28"/>
          <w:szCs w:val="28"/>
        </w:rPr>
        <w:t xml:space="preserve"> года увеличилось на 36,7</w:t>
      </w:r>
      <w:r w:rsidR="00A42A1D" w:rsidRPr="007E0BCC">
        <w:rPr>
          <w:sz w:val="28"/>
          <w:szCs w:val="28"/>
        </w:rPr>
        <w:t xml:space="preserve"> процента</w:t>
      </w:r>
      <w:r w:rsidRPr="007E0BCC">
        <w:rPr>
          <w:sz w:val="28"/>
          <w:szCs w:val="28"/>
        </w:rPr>
        <w:t>.</w:t>
      </w:r>
      <w:r w:rsidR="0005428A" w:rsidRPr="007E0BCC">
        <w:rPr>
          <w:sz w:val="28"/>
          <w:szCs w:val="28"/>
        </w:rPr>
        <w:t xml:space="preserve"> </w:t>
      </w:r>
      <w:r w:rsidRPr="007E0BCC">
        <w:rPr>
          <w:sz w:val="28"/>
          <w:szCs w:val="28"/>
        </w:rPr>
        <w:t xml:space="preserve">Две трети радиотерапевтических пациентов получают лечение в условиях дневных стационаров (таблица </w:t>
      </w:r>
      <w:r w:rsidR="00701027" w:rsidRPr="007E0BCC">
        <w:rPr>
          <w:sz w:val="28"/>
          <w:szCs w:val="28"/>
        </w:rPr>
        <w:t>24.1</w:t>
      </w:r>
      <w:r w:rsidRPr="007E0BCC">
        <w:rPr>
          <w:sz w:val="28"/>
          <w:szCs w:val="28"/>
        </w:rPr>
        <w:t>).</w:t>
      </w:r>
    </w:p>
    <w:p w:rsidR="002A78AB" w:rsidRPr="007E0BCC" w:rsidRDefault="002A78AB" w:rsidP="009F3349">
      <w:pPr>
        <w:spacing w:line="233" w:lineRule="auto"/>
        <w:jc w:val="right"/>
        <w:rPr>
          <w:sz w:val="28"/>
          <w:szCs w:val="28"/>
        </w:rPr>
      </w:pPr>
      <w:r w:rsidRPr="007E0BCC">
        <w:rPr>
          <w:sz w:val="28"/>
          <w:szCs w:val="28"/>
        </w:rPr>
        <w:t xml:space="preserve">Таблица </w:t>
      </w:r>
      <w:r w:rsidR="00343A8C" w:rsidRPr="007E0BCC">
        <w:rPr>
          <w:sz w:val="28"/>
          <w:szCs w:val="28"/>
        </w:rPr>
        <w:t>24.1</w:t>
      </w:r>
    </w:p>
    <w:p w:rsidR="009F3349" w:rsidRPr="007E0BCC" w:rsidRDefault="009F3349" w:rsidP="009F3349">
      <w:pPr>
        <w:spacing w:line="233" w:lineRule="auto"/>
        <w:jc w:val="center"/>
        <w:rPr>
          <w:szCs w:val="28"/>
        </w:rPr>
      </w:pPr>
    </w:p>
    <w:p w:rsidR="006D3B28" w:rsidRPr="007E0BCC" w:rsidRDefault="006D3B28" w:rsidP="009F3349">
      <w:pPr>
        <w:spacing w:line="233" w:lineRule="auto"/>
        <w:jc w:val="center"/>
        <w:rPr>
          <w:sz w:val="28"/>
          <w:szCs w:val="28"/>
        </w:rPr>
      </w:pPr>
      <w:r w:rsidRPr="007E0BCC">
        <w:rPr>
          <w:sz w:val="28"/>
          <w:szCs w:val="28"/>
        </w:rPr>
        <w:t>Структура пациентов в зависимости о</w:t>
      </w:r>
      <w:r w:rsidR="009F3349" w:rsidRPr="007E0BCC">
        <w:rPr>
          <w:sz w:val="28"/>
          <w:szCs w:val="28"/>
        </w:rPr>
        <w:t>т организационной формы лечения</w:t>
      </w:r>
    </w:p>
    <w:p w:rsidR="00093107" w:rsidRPr="007E0BCC" w:rsidRDefault="00093107" w:rsidP="002A78AB">
      <w:pPr>
        <w:ind w:left="7799" w:firstLine="709"/>
        <w:jc w:val="both"/>
      </w:pPr>
    </w:p>
    <w:tbl>
      <w:tblPr>
        <w:tblStyle w:val="213"/>
        <w:tblW w:w="0" w:type="auto"/>
        <w:tblLayout w:type="fixed"/>
        <w:tblLook w:val="04A0" w:firstRow="1" w:lastRow="0" w:firstColumn="1" w:lastColumn="0" w:noHBand="0" w:noVBand="1"/>
      </w:tblPr>
      <w:tblGrid>
        <w:gridCol w:w="4106"/>
        <w:gridCol w:w="1701"/>
        <w:gridCol w:w="1843"/>
        <w:gridCol w:w="2512"/>
      </w:tblGrid>
      <w:tr w:rsidR="006D3B28" w:rsidRPr="007E0BCC" w:rsidTr="009F3349">
        <w:trPr>
          <w:trHeight w:val="20"/>
        </w:trPr>
        <w:tc>
          <w:tcPr>
            <w:tcW w:w="4106" w:type="dxa"/>
            <w:vMerge w:val="restart"/>
            <w:noWrap/>
            <w:hideMark/>
          </w:tcPr>
          <w:p w:rsidR="006D3B28" w:rsidRPr="007E0BCC" w:rsidRDefault="006D3B28" w:rsidP="009F3349">
            <w:pPr>
              <w:spacing w:line="233" w:lineRule="auto"/>
              <w:jc w:val="center"/>
              <w:rPr>
                <w:color w:val="000000"/>
              </w:rPr>
            </w:pPr>
            <w:r w:rsidRPr="007E0BCC">
              <w:rPr>
                <w:color w:val="000000"/>
              </w:rPr>
              <w:t>Организационная форма лечения</w:t>
            </w:r>
          </w:p>
        </w:tc>
        <w:tc>
          <w:tcPr>
            <w:tcW w:w="6056" w:type="dxa"/>
            <w:gridSpan w:val="3"/>
            <w:hideMark/>
          </w:tcPr>
          <w:p w:rsidR="006D3B28" w:rsidRPr="007E0BCC" w:rsidRDefault="006D3B28" w:rsidP="009F3349">
            <w:pPr>
              <w:spacing w:line="233" w:lineRule="auto"/>
              <w:jc w:val="center"/>
              <w:rPr>
                <w:color w:val="000000"/>
              </w:rPr>
            </w:pPr>
            <w:r w:rsidRPr="007E0BCC">
              <w:rPr>
                <w:color w:val="000000"/>
              </w:rPr>
              <w:t xml:space="preserve">Соотношение (доля в </w:t>
            </w:r>
            <w:r w:rsidR="00943649" w:rsidRPr="007E0BCC">
              <w:rPr>
                <w:color w:val="000000"/>
              </w:rPr>
              <w:t>процентах</w:t>
            </w:r>
            <w:r w:rsidRPr="007E0BCC">
              <w:rPr>
                <w:color w:val="000000"/>
              </w:rPr>
              <w:t>)</w:t>
            </w:r>
          </w:p>
        </w:tc>
      </w:tr>
      <w:tr w:rsidR="006D3B28" w:rsidRPr="007E0BCC" w:rsidTr="009F3349">
        <w:trPr>
          <w:trHeight w:val="20"/>
        </w:trPr>
        <w:tc>
          <w:tcPr>
            <w:tcW w:w="4106" w:type="dxa"/>
            <w:vMerge/>
            <w:hideMark/>
          </w:tcPr>
          <w:p w:rsidR="006D3B28" w:rsidRPr="007E0BCC" w:rsidRDefault="006D3B28" w:rsidP="009F3349">
            <w:pPr>
              <w:spacing w:line="233" w:lineRule="auto"/>
              <w:rPr>
                <w:color w:val="000000"/>
              </w:rPr>
            </w:pPr>
          </w:p>
        </w:tc>
        <w:tc>
          <w:tcPr>
            <w:tcW w:w="1701" w:type="dxa"/>
            <w:hideMark/>
          </w:tcPr>
          <w:p w:rsidR="006D3B28" w:rsidRPr="007E0BCC" w:rsidRDefault="006D3B28" w:rsidP="001A02F8">
            <w:pPr>
              <w:spacing w:line="233" w:lineRule="auto"/>
              <w:jc w:val="center"/>
            </w:pPr>
            <w:r w:rsidRPr="007E0BCC">
              <w:t>202</w:t>
            </w:r>
            <w:r w:rsidR="001A02F8" w:rsidRPr="007E0BCC">
              <w:t>3</w:t>
            </w:r>
            <w:r w:rsidRPr="007E0BCC">
              <w:t xml:space="preserve"> г.</w:t>
            </w:r>
          </w:p>
        </w:tc>
        <w:tc>
          <w:tcPr>
            <w:tcW w:w="1843" w:type="dxa"/>
            <w:hideMark/>
          </w:tcPr>
          <w:p w:rsidR="006D3B28" w:rsidRPr="007E0BCC" w:rsidRDefault="006D3B28" w:rsidP="001A02F8">
            <w:pPr>
              <w:spacing w:line="233" w:lineRule="auto"/>
              <w:jc w:val="center"/>
            </w:pPr>
            <w:r w:rsidRPr="007E0BCC">
              <w:t>202</w:t>
            </w:r>
            <w:r w:rsidR="001A02F8" w:rsidRPr="007E0BCC">
              <w:t>4</w:t>
            </w:r>
            <w:r w:rsidRPr="007E0BCC">
              <w:t xml:space="preserve"> г.</w:t>
            </w:r>
          </w:p>
        </w:tc>
        <w:tc>
          <w:tcPr>
            <w:tcW w:w="2512" w:type="dxa"/>
            <w:hideMark/>
          </w:tcPr>
          <w:p w:rsidR="006D3B28" w:rsidRPr="007E0BCC" w:rsidRDefault="006D3B28" w:rsidP="001A02F8">
            <w:pPr>
              <w:spacing w:line="233" w:lineRule="auto"/>
              <w:jc w:val="center"/>
            </w:pPr>
            <w:r w:rsidRPr="007E0BCC">
              <w:t>202</w:t>
            </w:r>
            <w:r w:rsidR="001A02F8" w:rsidRPr="007E0BCC">
              <w:t>5</w:t>
            </w:r>
            <w:r w:rsidRPr="007E0BCC">
              <w:t xml:space="preserve"> г.</w:t>
            </w:r>
          </w:p>
        </w:tc>
      </w:tr>
      <w:tr w:rsidR="006D3B28" w:rsidRPr="007E0BCC" w:rsidTr="009F3349">
        <w:trPr>
          <w:trHeight w:val="20"/>
        </w:trPr>
        <w:tc>
          <w:tcPr>
            <w:tcW w:w="4106" w:type="dxa"/>
            <w:noWrap/>
            <w:hideMark/>
          </w:tcPr>
          <w:p w:rsidR="006D3B28" w:rsidRPr="007E0BCC" w:rsidRDefault="006D3B28" w:rsidP="009F3349">
            <w:pPr>
              <w:spacing w:line="233" w:lineRule="auto"/>
              <w:rPr>
                <w:color w:val="000000"/>
              </w:rPr>
            </w:pPr>
            <w:r w:rsidRPr="007E0BCC">
              <w:rPr>
                <w:color w:val="000000"/>
              </w:rPr>
              <w:t>Круглосуточный стационар</w:t>
            </w:r>
          </w:p>
        </w:tc>
        <w:tc>
          <w:tcPr>
            <w:tcW w:w="1701" w:type="dxa"/>
            <w:noWrap/>
            <w:hideMark/>
          </w:tcPr>
          <w:p w:rsidR="006D3B28" w:rsidRPr="007E0BCC" w:rsidRDefault="006D3B28" w:rsidP="009F3349">
            <w:pPr>
              <w:spacing w:line="233" w:lineRule="auto"/>
              <w:jc w:val="center"/>
              <w:rPr>
                <w:color w:val="000000"/>
              </w:rPr>
            </w:pPr>
            <w:r w:rsidRPr="007E0BCC">
              <w:rPr>
                <w:color w:val="000000"/>
              </w:rPr>
              <w:t>32,6</w:t>
            </w:r>
          </w:p>
        </w:tc>
        <w:tc>
          <w:tcPr>
            <w:tcW w:w="1843" w:type="dxa"/>
            <w:noWrap/>
            <w:hideMark/>
          </w:tcPr>
          <w:p w:rsidR="006D3B28" w:rsidRPr="007E0BCC" w:rsidRDefault="006D3B28" w:rsidP="009F3349">
            <w:pPr>
              <w:spacing w:line="233" w:lineRule="auto"/>
              <w:jc w:val="center"/>
              <w:rPr>
                <w:color w:val="000000"/>
              </w:rPr>
            </w:pPr>
            <w:r w:rsidRPr="007E0BCC">
              <w:rPr>
                <w:color w:val="000000"/>
              </w:rPr>
              <w:t>34,4</w:t>
            </w:r>
          </w:p>
        </w:tc>
        <w:tc>
          <w:tcPr>
            <w:tcW w:w="2512" w:type="dxa"/>
            <w:noWrap/>
            <w:hideMark/>
          </w:tcPr>
          <w:p w:rsidR="006D3B28" w:rsidRPr="007E0BCC" w:rsidRDefault="006D3B28" w:rsidP="009F3349">
            <w:pPr>
              <w:spacing w:line="233" w:lineRule="auto"/>
              <w:jc w:val="center"/>
              <w:rPr>
                <w:color w:val="000000"/>
              </w:rPr>
            </w:pPr>
            <w:r w:rsidRPr="007E0BCC">
              <w:rPr>
                <w:color w:val="000000"/>
              </w:rPr>
              <w:t>31,3</w:t>
            </w:r>
          </w:p>
        </w:tc>
      </w:tr>
      <w:tr w:rsidR="006D3B28" w:rsidRPr="00091230" w:rsidTr="009F3349">
        <w:trPr>
          <w:trHeight w:val="20"/>
        </w:trPr>
        <w:tc>
          <w:tcPr>
            <w:tcW w:w="4106" w:type="dxa"/>
            <w:noWrap/>
            <w:hideMark/>
          </w:tcPr>
          <w:p w:rsidR="006D3B28" w:rsidRPr="007E0BCC" w:rsidRDefault="006D3B28" w:rsidP="009F3349">
            <w:pPr>
              <w:spacing w:line="233" w:lineRule="auto"/>
              <w:rPr>
                <w:color w:val="000000"/>
              </w:rPr>
            </w:pPr>
            <w:r w:rsidRPr="007E0BCC">
              <w:rPr>
                <w:color w:val="000000"/>
              </w:rPr>
              <w:t>Дневной стационар</w:t>
            </w:r>
          </w:p>
        </w:tc>
        <w:tc>
          <w:tcPr>
            <w:tcW w:w="1701" w:type="dxa"/>
            <w:noWrap/>
            <w:hideMark/>
          </w:tcPr>
          <w:p w:rsidR="006D3B28" w:rsidRPr="007E0BCC" w:rsidRDefault="006D3B28" w:rsidP="009F3349">
            <w:pPr>
              <w:spacing w:line="233" w:lineRule="auto"/>
              <w:jc w:val="center"/>
              <w:rPr>
                <w:color w:val="000000"/>
              </w:rPr>
            </w:pPr>
            <w:r w:rsidRPr="007E0BCC">
              <w:rPr>
                <w:color w:val="000000"/>
              </w:rPr>
              <w:t>67,4</w:t>
            </w:r>
          </w:p>
        </w:tc>
        <w:tc>
          <w:tcPr>
            <w:tcW w:w="1843" w:type="dxa"/>
            <w:noWrap/>
            <w:hideMark/>
          </w:tcPr>
          <w:p w:rsidR="006D3B28" w:rsidRPr="007E0BCC" w:rsidRDefault="006D3B28" w:rsidP="009F3349">
            <w:pPr>
              <w:spacing w:line="233" w:lineRule="auto"/>
              <w:jc w:val="center"/>
              <w:rPr>
                <w:color w:val="000000"/>
              </w:rPr>
            </w:pPr>
            <w:r w:rsidRPr="007E0BCC">
              <w:rPr>
                <w:color w:val="000000"/>
              </w:rPr>
              <w:t>65,6</w:t>
            </w:r>
          </w:p>
        </w:tc>
        <w:tc>
          <w:tcPr>
            <w:tcW w:w="2512" w:type="dxa"/>
            <w:noWrap/>
            <w:hideMark/>
          </w:tcPr>
          <w:p w:rsidR="006D3B28" w:rsidRPr="00091230" w:rsidRDefault="006D3B28" w:rsidP="009F3349">
            <w:pPr>
              <w:spacing w:line="233" w:lineRule="auto"/>
              <w:jc w:val="center"/>
              <w:rPr>
                <w:color w:val="000000"/>
              </w:rPr>
            </w:pPr>
            <w:r w:rsidRPr="007E0BCC">
              <w:rPr>
                <w:color w:val="000000"/>
              </w:rPr>
              <w:t>68,7</w:t>
            </w:r>
          </w:p>
        </w:tc>
      </w:tr>
    </w:tbl>
    <w:p w:rsidR="00D30689" w:rsidRPr="009308D8" w:rsidRDefault="00A42A1D" w:rsidP="007741B0">
      <w:pPr>
        <w:ind w:firstLine="709"/>
        <w:jc w:val="both"/>
        <w:rPr>
          <w:sz w:val="28"/>
          <w:szCs w:val="28"/>
        </w:rPr>
      </w:pPr>
      <w:r w:rsidRPr="001109A9">
        <w:rPr>
          <w:sz w:val="28"/>
          <w:szCs w:val="28"/>
        </w:rPr>
        <w:t xml:space="preserve">Отделение радионуклидной терапии открылось </w:t>
      </w:r>
      <w:r w:rsidR="00D30689" w:rsidRPr="001109A9">
        <w:rPr>
          <w:sz w:val="28"/>
          <w:szCs w:val="28"/>
        </w:rPr>
        <w:t xml:space="preserve">в </w:t>
      </w:r>
      <w:r w:rsidR="003E5B28" w:rsidRPr="001109A9">
        <w:rPr>
          <w:sz w:val="28"/>
          <w:szCs w:val="28"/>
        </w:rPr>
        <w:t>Центре я</w:t>
      </w:r>
      <w:r w:rsidR="00D30689" w:rsidRPr="001109A9">
        <w:rPr>
          <w:sz w:val="28"/>
          <w:szCs w:val="28"/>
        </w:rPr>
        <w:t xml:space="preserve">дерной медицины на базе </w:t>
      </w:r>
      <w:r w:rsidR="007741B0" w:rsidRPr="001109A9">
        <w:rPr>
          <w:sz w:val="28"/>
          <w:szCs w:val="28"/>
        </w:rPr>
        <w:t xml:space="preserve">ГАУЗ </w:t>
      </w:r>
      <w:r w:rsidR="002F7358" w:rsidRPr="001109A9">
        <w:rPr>
          <w:sz w:val="28"/>
          <w:szCs w:val="28"/>
        </w:rPr>
        <w:t>«</w:t>
      </w:r>
      <w:r w:rsidR="007741B0" w:rsidRPr="001109A9">
        <w:rPr>
          <w:sz w:val="28"/>
          <w:szCs w:val="28"/>
        </w:rPr>
        <w:t xml:space="preserve">РКОД </w:t>
      </w:r>
      <w:r w:rsidR="009308D8" w:rsidRPr="001109A9">
        <w:rPr>
          <w:sz w:val="28"/>
          <w:szCs w:val="28"/>
        </w:rPr>
        <w:t>МЗ РТ им.</w:t>
      </w:r>
      <w:r w:rsidR="007741B0" w:rsidRPr="001109A9">
        <w:rPr>
          <w:sz w:val="28"/>
          <w:szCs w:val="28"/>
        </w:rPr>
        <w:t>проф.М.З.Сигала</w:t>
      </w:r>
      <w:r w:rsidR="002F7358" w:rsidRPr="001109A9">
        <w:rPr>
          <w:sz w:val="28"/>
          <w:szCs w:val="28"/>
        </w:rPr>
        <w:t>»</w:t>
      </w:r>
      <w:r w:rsidRPr="001109A9">
        <w:rPr>
          <w:sz w:val="28"/>
          <w:szCs w:val="28"/>
        </w:rPr>
        <w:t xml:space="preserve"> </w:t>
      </w:r>
      <w:r w:rsidR="00887958" w:rsidRPr="001109A9">
        <w:rPr>
          <w:sz w:val="28"/>
          <w:szCs w:val="28"/>
        </w:rPr>
        <w:t>31</w:t>
      </w:r>
      <w:r w:rsidR="00EA7769" w:rsidRPr="001109A9">
        <w:rPr>
          <w:sz w:val="28"/>
          <w:szCs w:val="28"/>
        </w:rPr>
        <w:t>.03.</w:t>
      </w:r>
      <w:r w:rsidR="00887958" w:rsidRPr="001109A9">
        <w:rPr>
          <w:sz w:val="28"/>
          <w:szCs w:val="28"/>
        </w:rPr>
        <w:t>2014</w:t>
      </w:r>
      <w:r w:rsidR="00DA6979" w:rsidRPr="001109A9">
        <w:rPr>
          <w:sz w:val="28"/>
          <w:szCs w:val="28"/>
        </w:rPr>
        <w:t>.</w:t>
      </w:r>
    </w:p>
    <w:p w:rsidR="00D30689" w:rsidRPr="009308D8" w:rsidRDefault="00D30689" w:rsidP="007741B0">
      <w:pPr>
        <w:ind w:firstLine="709"/>
        <w:jc w:val="both"/>
        <w:rPr>
          <w:sz w:val="28"/>
          <w:szCs w:val="28"/>
        </w:rPr>
      </w:pPr>
      <w:r w:rsidRPr="009308D8">
        <w:rPr>
          <w:sz w:val="28"/>
          <w:szCs w:val="28"/>
        </w:rPr>
        <w:t>Это высокотехнологичное, специализированное подразделение ядерной меди</w:t>
      </w:r>
      <w:r w:rsidR="007741B0" w:rsidRPr="009308D8">
        <w:rPr>
          <w:sz w:val="28"/>
          <w:szCs w:val="28"/>
        </w:rPr>
        <w:t xml:space="preserve">цины для </w:t>
      </w:r>
      <w:r w:rsidRPr="009308D8">
        <w:rPr>
          <w:sz w:val="28"/>
          <w:szCs w:val="28"/>
        </w:rPr>
        <w:t xml:space="preserve">лечения пациентов с заболеваниями щитовидной железы и пациентов </w:t>
      </w:r>
      <w:r w:rsidR="009308D8">
        <w:rPr>
          <w:sz w:val="28"/>
          <w:szCs w:val="28"/>
        </w:rPr>
        <w:br/>
      </w:r>
      <w:r w:rsidRPr="009308D8">
        <w:rPr>
          <w:sz w:val="28"/>
          <w:szCs w:val="28"/>
        </w:rPr>
        <w:t>с костными метастазами опухолей различных локализаций.</w:t>
      </w:r>
    </w:p>
    <w:p w:rsidR="00D30689" w:rsidRPr="009308D8" w:rsidRDefault="00CC5E18" w:rsidP="007741B0">
      <w:pPr>
        <w:ind w:firstLine="709"/>
        <w:jc w:val="both"/>
        <w:rPr>
          <w:sz w:val="28"/>
          <w:szCs w:val="28"/>
        </w:rPr>
      </w:pPr>
      <w:r>
        <w:rPr>
          <w:sz w:val="28"/>
          <w:szCs w:val="28"/>
        </w:rPr>
        <w:t>Отделение создано в рамках ф</w:t>
      </w:r>
      <w:r w:rsidR="00D30689" w:rsidRPr="009308D8">
        <w:rPr>
          <w:sz w:val="28"/>
          <w:szCs w:val="28"/>
        </w:rPr>
        <w:t>едеральной программы по усовершенствованию оказания онкологической помощи населени</w:t>
      </w:r>
      <w:r w:rsidR="007741B0" w:rsidRPr="009308D8">
        <w:rPr>
          <w:sz w:val="28"/>
          <w:szCs w:val="28"/>
        </w:rPr>
        <w:t>ю</w:t>
      </w:r>
      <w:r w:rsidR="00D30689" w:rsidRPr="009308D8">
        <w:rPr>
          <w:sz w:val="28"/>
          <w:szCs w:val="28"/>
        </w:rPr>
        <w:t xml:space="preserve"> Российской Федерации и Республики Татарстан, развернуто на 8 </w:t>
      </w:r>
      <w:r w:rsidR="002F7358" w:rsidRPr="009308D8">
        <w:rPr>
          <w:sz w:val="28"/>
          <w:szCs w:val="28"/>
        </w:rPr>
        <w:t>«</w:t>
      </w:r>
      <w:r w:rsidR="00D30689" w:rsidRPr="009308D8">
        <w:rPr>
          <w:sz w:val="28"/>
          <w:szCs w:val="28"/>
        </w:rPr>
        <w:t>активных</w:t>
      </w:r>
      <w:r w:rsidR="002F7358" w:rsidRPr="009308D8">
        <w:rPr>
          <w:sz w:val="28"/>
          <w:szCs w:val="28"/>
        </w:rPr>
        <w:t>»</w:t>
      </w:r>
      <w:r w:rsidR="00D30689" w:rsidRPr="009308D8">
        <w:rPr>
          <w:sz w:val="28"/>
          <w:szCs w:val="28"/>
        </w:rPr>
        <w:t xml:space="preserve"> коек.</w:t>
      </w:r>
      <w:r>
        <w:rPr>
          <w:sz w:val="28"/>
          <w:szCs w:val="28"/>
        </w:rPr>
        <w:t xml:space="preserve"> </w:t>
      </w:r>
      <w:r w:rsidR="00D30689" w:rsidRPr="009308D8">
        <w:rPr>
          <w:sz w:val="28"/>
          <w:szCs w:val="28"/>
        </w:rPr>
        <w:t>Построено в соответствии с современными требованиями радиационной безопасности, оборудовано системой спец</w:t>
      </w:r>
      <w:r w:rsidR="003E5B28" w:rsidRPr="009308D8">
        <w:rPr>
          <w:sz w:val="28"/>
          <w:szCs w:val="28"/>
        </w:rPr>
        <w:t>иальной</w:t>
      </w:r>
      <w:r w:rsidR="00D30689" w:rsidRPr="009308D8">
        <w:rPr>
          <w:sz w:val="28"/>
          <w:szCs w:val="28"/>
        </w:rPr>
        <w:t xml:space="preserve"> канализации и спец</w:t>
      </w:r>
      <w:r w:rsidR="003E5B28" w:rsidRPr="009308D8">
        <w:rPr>
          <w:sz w:val="28"/>
          <w:szCs w:val="28"/>
        </w:rPr>
        <w:t>иальной</w:t>
      </w:r>
      <w:r w:rsidR="00D30689" w:rsidRPr="009308D8">
        <w:rPr>
          <w:sz w:val="28"/>
          <w:szCs w:val="28"/>
        </w:rPr>
        <w:t xml:space="preserve"> вентиляции.   </w:t>
      </w:r>
    </w:p>
    <w:p w:rsidR="00D30689" w:rsidRPr="009308D8" w:rsidRDefault="00D30689" w:rsidP="007741B0">
      <w:pPr>
        <w:ind w:firstLine="709"/>
        <w:jc w:val="both"/>
        <w:rPr>
          <w:sz w:val="28"/>
          <w:szCs w:val="28"/>
        </w:rPr>
      </w:pPr>
      <w:r w:rsidRPr="009308D8">
        <w:rPr>
          <w:sz w:val="28"/>
          <w:szCs w:val="28"/>
        </w:rPr>
        <w:t xml:space="preserve">Лечение реализуется путем введения в организм больного терапевтических доз радиоизотопа.  </w:t>
      </w:r>
    </w:p>
    <w:p w:rsidR="00D30689" w:rsidRPr="009308D8" w:rsidRDefault="00D30689" w:rsidP="007741B0">
      <w:pPr>
        <w:ind w:firstLine="709"/>
        <w:jc w:val="both"/>
        <w:rPr>
          <w:sz w:val="28"/>
          <w:szCs w:val="28"/>
        </w:rPr>
      </w:pPr>
      <w:r w:rsidRPr="009308D8">
        <w:rPr>
          <w:sz w:val="28"/>
          <w:szCs w:val="28"/>
        </w:rPr>
        <w:t>Приоритетным направлением для радионуклидной т</w:t>
      </w:r>
      <w:r w:rsidR="003E5B28" w:rsidRPr="009308D8">
        <w:rPr>
          <w:sz w:val="28"/>
          <w:szCs w:val="28"/>
        </w:rPr>
        <w:t>ерапии является лечение радиоизо</w:t>
      </w:r>
      <w:r w:rsidRPr="009308D8">
        <w:rPr>
          <w:sz w:val="28"/>
          <w:szCs w:val="28"/>
        </w:rPr>
        <w:t xml:space="preserve">топом </w:t>
      </w:r>
      <w:r w:rsidR="00CC5E18">
        <w:rPr>
          <w:sz w:val="28"/>
          <w:szCs w:val="28"/>
        </w:rPr>
        <w:t>й</w:t>
      </w:r>
      <w:r w:rsidRPr="009308D8">
        <w:rPr>
          <w:sz w:val="28"/>
          <w:szCs w:val="28"/>
        </w:rPr>
        <w:t xml:space="preserve">ода-131 больных дифференцированным раком щитовидной железы и заболеваний, сопровождаемых тиреотоксикозом. Методика особенно эффективна и не имеет альтернативы. </w:t>
      </w:r>
    </w:p>
    <w:p w:rsidR="00D30689" w:rsidRPr="009308D8" w:rsidRDefault="00D30689" w:rsidP="007741B0">
      <w:pPr>
        <w:ind w:firstLine="709"/>
        <w:jc w:val="both"/>
        <w:rPr>
          <w:sz w:val="28"/>
          <w:szCs w:val="28"/>
        </w:rPr>
      </w:pPr>
      <w:r w:rsidRPr="009308D8">
        <w:rPr>
          <w:sz w:val="28"/>
          <w:szCs w:val="28"/>
        </w:rPr>
        <w:t>Второе направление</w:t>
      </w:r>
      <w:r w:rsidR="003E5B28" w:rsidRPr="009308D8">
        <w:rPr>
          <w:sz w:val="28"/>
          <w:szCs w:val="28"/>
        </w:rPr>
        <w:t xml:space="preserve"> </w:t>
      </w:r>
      <w:r w:rsidR="003E5B28" w:rsidRPr="009308D8">
        <w:rPr>
          <w:rFonts w:eastAsia="Arial"/>
        </w:rPr>
        <w:t>–</w:t>
      </w:r>
      <w:r w:rsidR="003E5B28" w:rsidRPr="009308D8">
        <w:rPr>
          <w:sz w:val="28"/>
          <w:szCs w:val="28"/>
        </w:rPr>
        <w:t xml:space="preserve"> </w:t>
      </w:r>
      <w:r w:rsidRPr="009308D8">
        <w:rPr>
          <w:sz w:val="28"/>
          <w:szCs w:val="28"/>
        </w:rPr>
        <w:t>лечение костных метастаз остеотропными радиофармпрепаратами</w:t>
      </w:r>
      <w:r w:rsidR="00CC5E18">
        <w:rPr>
          <w:sz w:val="28"/>
          <w:szCs w:val="28"/>
        </w:rPr>
        <w:t>,</w:t>
      </w:r>
      <w:r w:rsidRPr="009308D8">
        <w:rPr>
          <w:sz w:val="28"/>
          <w:szCs w:val="28"/>
        </w:rPr>
        <w:t xml:space="preserve"> такими как  Sm-153-оксабифор, Ra-223-хлорид.</w:t>
      </w:r>
    </w:p>
    <w:p w:rsidR="00D30689" w:rsidRPr="009308D8" w:rsidRDefault="00D30689" w:rsidP="007741B0">
      <w:pPr>
        <w:ind w:firstLine="709"/>
        <w:jc w:val="both"/>
        <w:rPr>
          <w:sz w:val="28"/>
          <w:szCs w:val="28"/>
        </w:rPr>
      </w:pPr>
      <w:r w:rsidRPr="009308D8">
        <w:rPr>
          <w:sz w:val="28"/>
          <w:szCs w:val="28"/>
        </w:rPr>
        <w:t xml:space="preserve">На сегодняшний день это единственное специализированное отделение радионуклидной терапии в Республике Татарстан.   </w:t>
      </w:r>
    </w:p>
    <w:p w:rsidR="00D30689" w:rsidRPr="009308D8" w:rsidRDefault="00D30689" w:rsidP="007741B0">
      <w:pPr>
        <w:ind w:firstLine="709"/>
        <w:jc w:val="both"/>
        <w:rPr>
          <w:sz w:val="28"/>
          <w:szCs w:val="28"/>
        </w:rPr>
      </w:pPr>
      <w:r w:rsidRPr="009308D8">
        <w:rPr>
          <w:sz w:val="28"/>
          <w:szCs w:val="28"/>
        </w:rPr>
        <w:t>Лечение проводится в условиях круглосуточного стационара под постоянным наблюдением медицинского персонала.</w:t>
      </w:r>
    </w:p>
    <w:p w:rsidR="00D30689" w:rsidRPr="009308D8" w:rsidRDefault="00D30689" w:rsidP="00BD0436">
      <w:pPr>
        <w:ind w:firstLine="709"/>
        <w:jc w:val="both"/>
        <w:rPr>
          <w:sz w:val="28"/>
          <w:szCs w:val="28"/>
        </w:rPr>
      </w:pPr>
      <w:r w:rsidRPr="009308D8">
        <w:rPr>
          <w:sz w:val="28"/>
          <w:szCs w:val="28"/>
        </w:rPr>
        <w:t>Учитывая высокую потребность в данном виде лечения, отделение принимает пациентов из регионов Р</w:t>
      </w:r>
      <w:r w:rsidR="002101E9" w:rsidRPr="009308D8">
        <w:rPr>
          <w:sz w:val="28"/>
          <w:szCs w:val="28"/>
        </w:rPr>
        <w:t xml:space="preserve">оссийской </w:t>
      </w:r>
      <w:r w:rsidRPr="009308D8">
        <w:rPr>
          <w:sz w:val="28"/>
          <w:szCs w:val="28"/>
        </w:rPr>
        <w:t>Ф</w:t>
      </w:r>
      <w:r w:rsidR="002101E9" w:rsidRPr="009308D8">
        <w:rPr>
          <w:sz w:val="28"/>
          <w:szCs w:val="28"/>
        </w:rPr>
        <w:t>едерации</w:t>
      </w:r>
      <w:r w:rsidRPr="009308D8">
        <w:rPr>
          <w:sz w:val="28"/>
          <w:szCs w:val="28"/>
        </w:rPr>
        <w:t>.</w:t>
      </w:r>
    </w:p>
    <w:p w:rsidR="00D30689" w:rsidRPr="009308D8" w:rsidRDefault="00D30689" w:rsidP="00BD0436">
      <w:pPr>
        <w:ind w:firstLine="709"/>
        <w:jc w:val="both"/>
        <w:rPr>
          <w:sz w:val="28"/>
          <w:szCs w:val="28"/>
        </w:rPr>
      </w:pPr>
    </w:p>
    <w:p w:rsidR="00D30689" w:rsidRPr="009308D8" w:rsidRDefault="00D30689" w:rsidP="00BD0436">
      <w:pPr>
        <w:ind w:firstLine="709"/>
        <w:jc w:val="both"/>
        <w:rPr>
          <w:sz w:val="28"/>
          <w:szCs w:val="28"/>
        </w:rPr>
      </w:pPr>
      <w:r w:rsidRPr="009308D8">
        <w:rPr>
          <w:sz w:val="28"/>
          <w:szCs w:val="28"/>
        </w:rPr>
        <w:t>Лечение дифференцированного рака щитовидной железы – йод-131;</w:t>
      </w:r>
    </w:p>
    <w:p w:rsidR="00D30689" w:rsidRPr="009308D8" w:rsidRDefault="00CC5E18" w:rsidP="00BD0436">
      <w:pPr>
        <w:ind w:firstLine="709"/>
        <w:jc w:val="both"/>
        <w:rPr>
          <w:sz w:val="28"/>
          <w:szCs w:val="28"/>
        </w:rPr>
      </w:pPr>
      <w:r>
        <w:rPr>
          <w:sz w:val="28"/>
          <w:szCs w:val="28"/>
        </w:rPr>
        <w:t>л</w:t>
      </w:r>
      <w:r w:rsidR="00D30689" w:rsidRPr="009308D8">
        <w:rPr>
          <w:sz w:val="28"/>
          <w:szCs w:val="28"/>
        </w:rPr>
        <w:t>ечение заболеваний, сопровождающихся тиреотоксикозом (диффузный токсический зоб, узловой токсический зоб, токсическая аденома)</w:t>
      </w:r>
      <w:r>
        <w:rPr>
          <w:sz w:val="28"/>
          <w:szCs w:val="28"/>
        </w:rPr>
        <w:t>,</w:t>
      </w:r>
      <w:r w:rsidR="00D30689" w:rsidRPr="009308D8">
        <w:rPr>
          <w:sz w:val="28"/>
          <w:szCs w:val="28"/>
        </w:rPr>
        <w:t xml:space="preserve"> – йод-131;</w:t>
      </w:r>
    </w:p>
    <w:p w:rsidR="00D30689" w:rsidRPr="009308D8" w:rsidRDefault="00CC5E18" w:rsidP="00BD0436">
      <w:pPr>
        <w:ind w:firstLine="709"/>
        <w:jc w:val="both"/>
        <w:rPr>
          <w:sz w:val="28"/>
          <w:szCs w:val="28"/>
        </w:rPr>
      </w:pPr>
      <w:r>
        <w:rPr>
          <w:sz w:val="28"/>
          <w:szCs w:val="28"/>
        </w:rPr>
        <w:t>л</w:t>
      </w:r>
      <w:r w:rsidR="00D30689" w:rsidRPr="009308D8">
        <w:rPr>
          <w:sz w:val="28"/>
          <w:szCs w:val="28"/>
        </w:rPr>
        <w:t>ечение костных метастаз</w:t>
      </w:r>
      <w:r w:rsidR="00BD0436" w:rsidRPr="009308D8">
        <w:rPr>
          <w:sz w:val="28"/>
          <w:szCs w:val="28"/>
        </w:rPr>
        <w:t>ов</w:t>
      </w:r>
      <w:r w:rsidR="00D30689" w:rsidRPr="009308D8">
        <w:rPr>
          <w:sz w:val="28"/>
          <w:szCs w:val="28"/>
        </w:rPr>
        <w:t xml:space="preserve"> опухолей различной локализации – Sm</w:t>
      </w:r>
      <w:r>
        <w:rPr>
          <w:sz w:val="28"/>
          <w:szCs w:val="28"/>
        </w:rPr>
        <w:t>-153-</w:t>
      </w:r>
      <w:r w:rsidR="003E5B28" w:rsidRPr="009308D8">
        <w:rPr>
          <w:sz w:val="28"/>
          <w:szCs w:val="28"/>
        </w:rPr>
        <w:t>оксабифор;</w:t>
      </w:r>
    </w:p>
    <w:p w:rsidR="00D30689" w:rsidRPr="009308D8" w:rsidRDefault="00CC5E18" w:rsidP="00BD0436">
      <w:pPr>
        <w:ind w:firstLine="709"/>
        <w:jc w:val="both"/>
        <w:rPr>
          <w:sz w:val="28"/>
          <w:szCs w:val="28"/>
        </w:rPr>
      </w:pPr>
      <w:r>
        <w:rPr>
          <w:sz w:val="28"/>
          <w:szCs w:val="28"/>
        </w:rPr>
        <w:t>л</w:t>
      </w:r>
      <w:r w:rsidR="00D30689" w:rsidRPr="009308D8">
        <w:rPr>
          <w:sz w:val="28"/>
          <w:szCs w:val="28"/>
        </w:rPr>
        <w:t>ечение костных метастаз при кастрат</w:t>
      </w:r>
      <w:r w:rsidR="00BD0436" w:rsidRPr="009308D8">
        <w:rPr>
          <w:sz w:val="28"/>
          <w:szCs w:val="28"/>
        </w:rPr>
        <w:t>-</w:t>
      </w:r>
      <w:r w:rsidR="00D30689" w:rsidRPr="009308D8">
        <w:rPr>
          <w:sz w:val="28"/>
          <w:szCs w:val="28"/>
        </w:rPr>
        <w:t>резистентном раке предстатель</w:t>
      </w:r>
      <w:r w:rsidR="00C65737">
        <w:rPr>
          <w:sz w:val="28"/>
          <w:szCs w:val="28"/>
        </w:rPr>
        <w:t xml:space="preserve">ной железы – </w:t>
      </w:r>
      <w:r w:rsidR="00974B80">
        <w:rPr>
          <w:rFonts w:eastAsia="Arial"/>
          <w:color w:val="000000"/>
          <w:sz w:val="28"/>
          <w:szCs w:val="28"/>
        </w:rPr>
        <w:t>радиофармпрепарат</w:t>
      </w:r>
      <w:r w:rsidR="00A42A1D" w:rsidRPr="009308D8">
        <w:rPr>
          <w:sz w:val="28"/>
          <w:szCs w:val="28"/>
        </w:rPr>
        <w:t xml:space="preserve"> </w:t>
      </w:r>
      <w:r w:rsidR="00D30689" w:rsidRPr="009308D8">
        <w:rPr>
          <w:sz w:val="28"/>
          <w:szCs w:val="28"/>
        </w:rPr>
        <w:t>Ra-223-хлорид.</w:t>
      </w:r>
    </w:p>
    <w:p w:rsidR="00D30689" w:rsidRPr="009308D8" w:rsidRDefault="00D30689" w:rsidP="00BD0436">
      <w:pPr>
        <w:ind w:firstLine="709"/>
        <w:jc w:val="both"/>
        <w:rPr>
          <w:sz w:val="28"/>
          <w:szCs w:val="28"/>
        </w:rPr>
      </w:pPr>
    </w:p>
    <w:p w:rsidR="00D30689" w:rsidRPr="009308D8" w:rsidRDefault="00DE5A91" w:rsidP="00BD0436">
      <w:pPr>
        <w:ind w:firstLine="709"/>
        <w:jc w:val="both"/>
        <w:rPr>
          <w:sz w:val="28"/>
          <w:szCs w:val="28"/>
        </w:rPr>
      </w:pPr>
      <w:r w:rsidRPr="009308D8">
        <w:rPr>
          <w:sz w:val="28"/>
          <w:szCs w:val="28"/>
        </w:rPr>
        <w:t xml:space="preserve">За 2023год </w:t>
      </w:r>
      <w:r w:rsidR="00D30689" w:rsidRPr="009308D8">
        <w:rPr>
          <w:sz w:val="28"/>
          <w:szCs w:val="28"/>
        </w:rPr>
        <w:t>пролечено 512 п</w:t>
      </w:r>
      <w:r w:rsidR="00CC5E18">
        <w:rPr>
          <w:sz w:val="28"/>
          <w:szCs w:val="28"/>
        </w:rPr>
        <w:t xml:space="preserve">ациентов при помощи </w:t>
      </w:r>
      <w:r w:rsidR="00974B80">
        <w:rPr>
          <w:rFonts w:eastAsia="Arial"/>
          <w:color w:val="000000"/>
          <w:sz w:val="28"/>
          <w:szCs w:val="28"/>
        </w:rPr>
        <w:t>радиофармпрепарата</w:t>
      </w:r>
      <w:r w:rsidR="00CC5E18">
        <w:rPr>
          <w:sz w:val="28"/>
          <w:szCs w:val="28"/>
        </w:rPr>
        <w:t xml:space="preserve"> йод-131, </w:t>
      </w:r>
      <w:r w:rsidR="00D30689" w:rsidRPr="009308D8">
        <w:rPr>
          <w:sz w:val="28"/>
          <w:szCs w:val="28"/>
        </w:rPr>
        <w:t xml:space="preserve">142 пациента </w:t>
      </w:r>
      <w:r w:rsidR="00CC5E18" w:rsidRPr="009308D8">
        <w:rPr>
          <w:sz w:val="28"/>
          <w:szCs w:val="28"/>
        </w:rPr>
        <w:t xml:space="preserve">пролечено </w:t>
      </w:r>
      <w:r w:rsidR="00D30689" w:rsidRPr="009308D8">
        <w:rPr>
          <w:sz w:val="28"/>
          <w:szCs w:val="28"/>
        </w:rPr>
        <w:t xml:space="preserve">при помощи остеотропных </w:t>
      </w:r>
      <w:r w:rsidR="004579A7">
        <w:rPr>
          <w:rFonts w:eastAsia="Arial"/>
          <w:color w:val="000000"/>
          <w:sz w:val="28"/>
          <w:szCs w:val="28"/>
        </w:rPr>
        <w:t>радиофармпрепаратов</w:t>
      </w:r>
      <w:r w:rsidR="00D30689" w:rsidRPr="009308D8">
        <w:rPr>
          <w:sz w:val="28"/>
          <w:szCs w:val="28"/>
        </w:rPr>
        <w:t>.</w:t>
      </w:r>
    </w:p>
    <w:p w:rsidR="00D30689" w:rsidRDefault="00DE5A91" w:rsidP="00BD0436">
      <w:pPr>
        <w:ind w:firstLine="709"/>
        <w:jc w:val="both"/>
        <w:rPr>
          <w:sz w:val="28"/>
          <w:szCs w:val="28"/>
        </w:rPr>
      </w:pPr>
      <w:r w:rsidRPr="009308D8">
        <w:rPr>
          <w:sz w:val="28"/>
          <w:szCs w:val="28"/>
        </w:rPr>
        <w:t xml:space="preserve">За 2024 год </w:t>
      </w:r>
      <w:r w:rsidR="00D30689" w:rsidRPr="009308D8">
        <w:rPr>
          <w:sz w:val="28"/>
          <w:szCs w:val="28"/>
        </w:rPr>
        <w:t>пролечено 576 п</w:t>
      </w:r>
      <w:r w:rsidR="00CC5E18">
        <w:rPr>
          <w:sz w:val="28"/>
          <w:szCs w:val="28"/>
        </w:rPr>
        <w:t xml:space="preserve">ациентов при помощи </w:t>
      </w:r>
      <w:r w:rsidR="004579A7">
        <w:rPr>
          <w:rFonts w:eastAsia="Arial"/>
          <w:color w:val="000000"/>
          <w:sz w:val="28"/>
          <w:szCs w:val="28"/>
        </w:rPr>
        <w:t>радиофармпрепарата</w:t>
      </w:r>
      <w:r w:rsidR="004579A7">
        <w:rPr>
          <w:sz w:val="28"/>
          <w:szCs w:val="28"/>
        </w:rPr>
        <w:t xml:space="preserve"> </w:t>
      </w:r>
      <w:r w:rsidR="00CC5E18">
        <w:rPr>
          <w:sz w:val="28"/>
          <w:szCs w:val="28"/>
        </w:rPr>
        <w:t xml:space="preserve">йод-131, </w:t>
      </w:r>
      <w:r w:rsidR="00D30689" w:rsidRPr="009308D8">
        <w:rPr>
          <w:sz w:val="28"/>
          <w:szCs w:val="28"/>
        </w:rPr>
        <w:t xml:space="preserve">142 пациента </w:t>
      </w:r>
      <w:r w:rsidR="00CC5E18" w:rsidRPr="009308D8">
        <w:rPr>
          <w:sz w:val="28"/>
          <w:szCs w:val="28"/>
        </w:rPr>
        <w:t xml:space="preserve">пролечено </w:t>
      </w:r>
      <w:r w:rsidR="00D30689" w:rsidRPr="009308D8">
        <w:rPr>
          <w:sz w:val="28"/>
          <w:szCs w:val="28"/>
        </w:rPr>
        <w:t xml:space="preserve">при помощи остеотропных </w:t>
      </w:r>
      <w:r w:rsidR="004579A7">
        <w:rPr>
          <w:rFonts w:eastAsia="Arial"/>
          <w:color w:val="000000"/>
          <w:sz w:val="28"/>
          <w:szCs w:val="28"/>
        </w:rPr>
        <w:t>радиофармпрепаратов</w:t>
      </w:r>
      <w:r w:rsidR="00D30689" w:rsidRPr="009308D8">
        <w:rPr>
          <w:sz w:val="28"/>
          <w:szCs w:val="28"/>
        </w:rPr>
        <w:t xml:space="preserve">. </w:t>
      </w:r>
    </w:p>
    <w:p w:rsidR="009669CA" w:rsidRPr="00E915D3" w:rsidRDefault="009669CA" w:rsidP="00BD0436">
      <w:pPr>
        <w:ind w:firstLine="709"/>
        <w:jc w:val="both"/>
        <w:rPr>
          <w:sz w:val="28"/>
          <w:szCs w:val="28"/>
        </w:rPr>
      </w:pPr>
      <w:r w:rsidRPr="00E915D3">
        <w:rPr>
          <w:sz w:val="28"/>
          <w:szCs w:val="28"/>
        </w:rPr>
        <w:t xml:space="preserve">За 2025 год пролечено 550 пациентов при помощи </w:t>
      </w:r>
      <w:r w:rsidR="004579A7">
        <w:rPr>
          <w:rFonts w:eastAsia="Arial"/>
          <w:color w:val="000000"/>
          <w:sz w:val="28"/>
          <w:szCs w:val="28"/>
        </w:rPr>
        <w:t>радиофармпрепарата</w:t>
      </w:r>
      <w:r w:rsidR="004579A7" w:rsidRPr="00E915D3">
        <w:rPr>
          <w:sz w:val="28"/>
          <w:szCs w:val="28"/>
        </w:rPr>
        <w:t xml:space="preserve"> </w:t>
      </w:r>
      <w:r w:rsidRPr="00E915D3">
        <w:rPr>
          <w:sz w:val="28"/>
          <w:szCs w:val="28"/>
        </w:rPr>
        <w:t xml:space="preserve">йод-131, 183 пациента  при помощи остеотропных </w:t>
      </w:r>
      <w:r w:rsidR="004579A7">
        <w:rPr>
          <w:rFonts w:eastAsia="Arial"/>
          <w:color w:val="000000"/>
          <w:sz w:val="28"/>
          <w:szCs w:val="28"/>
        </w:rPr>
        <w:t>радиофармпрепаратов</w:t>
      </w:r>
      <w:r w:rsidRPr="00E915D3">
        <w:rPr>
          <w:sz w:val="28"/>
          <w:szCs w:val="28"/>
        </w:rPr>
        <w:t>.</w:t>
      </w:r>
    </w:p>
    <w:p w:rsidR="00D30689" w:rsidRPr="00E915D3" w:rsidRDefault="00D30689" w:rsidP="00BD0436">
      <w:pPr>
        <w:ind w:firstLine="709"/>
        <w:jc w:val="both"/>
        <w:rPr>
          <w:sz w:val="28"/>
          <w:szCs w:val="28"/>
        </w:rPr>
      </w:pPr>
      <w:r w:rsidRPr="00E915D3">
        <w:rPr>
          <w:sz w:val="28"/>
          <w:szCs w:val="28"/>
        </w:rPr>
        <w:t>Общее количество за 2023 год – 654 пациента</w:t>
      </w:r>
      <w:r w:rsidR="009669CA" w:rsidRPr="00E915D3">
        <w:rPr>
          <w:sz w:val="28"/>
          <w:szCs w:val="28"/>
        </w:rPr>
        <w:t xml:space="preserve"> </w:t>
      </w:r>
    </w:p>
    <w:p w:rsidR="00D30689" w:rsidRPr="00E915D3" w:rsidRDefault="00D30689" w:rsidP="00BD0436">
      <w:pPr>
        <w:ind w:firstLine="709"/>
        <w:jc w:val="both"/>
        <w:rPr>
          <w:sz w:val="28"/>
          <w:szCs w:val="28"/>
        </w:rPr>
      </w:pPr>
      <w:r w:rsidRPr="00E915D3">
        <w:rPr>
          <w:sz w:val="28"/>
          <w:szCs w:val="28"/>
        </w:rPr>
        <w:t>Общее количество за 2024 год – 718 пациентов</w:t>
      </w:r>
      <w:r w:rsidR="00BD0436" w:rsidRPr="00E915D3">
        <w:rPr>
          <w:sz w:val="28"/>
          <w:szCs w:val="28"/>
        </w:rPr>
        <w:t>.</w:t>
      </w:r>
    </w:p>
    <w:p w:rsidR="00D30689" w:rsidRDefault="009669CA" w:rsidP="00D30689">
      <w:pPr>
        <w:ind w:firstLine="709"/>
        <w:jc w:val="both"/>
        <w:rPr>
          <w:rFonts w:eastAsia="Arial"/>
          <w:sz w:val="28"/>
          <w:szCs w:val="28"/>
        </w:rPr>
      </w:pPr>
      <w:r w:rsidRPr="00E915D3">
        <w:rPr>
          <w:rFonts w:eastAsia="Arial"/>
          <w:sz w:val="28"/>
          <w:szCs w:val="28"/>
        </w:rPr>
        <w:t>Общее количество за 2025 год – 733 пациента.</w:t>
      </w:r>
    </w:p>
    <w:p w:rsidR="009669CA" w:rsidRPr="009308D8" w:rsidRDefault="009669CA" w:rsidP="00D30689">
      <w:pPr>
        <w:ind w:firstLine="709"/>
        <w:jc w:val="both"/>
        <w:rPr>
          <w:rFonts w:eastAsia="Arial"/>
          <w:sz w:val="28"/>
          <w:szCs w:val="28"/>
        </w:rPr>
      </w:pPr>
    </w:p>
    <w:p w:rsidR="00D30689" w:rsidRPr="009308D8" w:rsidRDefault="00D30689" w:rsidP="00A42A1D">
      <w:pPr>
        <w:ind w:firstLine="709"/>
        <w:jc w:val="both"/>
        <w:rPr>
          <w:sz w:val="28"/>
          <w:szCs w:val="28"/>
        </w:rPr>
      </w:pPr>
      <w:r w:rsidRPr="009308D8">
        <w:rPr>
          <w:sz w:val="28"/>
          <w:szCs w:val="28"/>
        </w:rPr>
        <w:t>Используемые радиофармацевтические лекарственные препараты</w:t>
      </w:r>
      <w:r w:rsidR="00A63E47" w:rsidRPr="009308D8">
        <w:rPr>
          <w:sz w:val="28"/>
          <w:szCs w:val="28"/>
        </w:rPr>
        <w:t>:</w:t>
      </w:r>
    </w:p>
    <w:p w:rsidR="00D30689" w:rsidRPr="009308D8" w:rsidRDefault="004579A7" w:rsidP="00A42A1D">
      <w:pPr>
        <w:ind w:firstLine="709"/>
        <w:jc w:val="both"/>
        <w:rPr>
          <w:sz w:val="28"/>
          <w:szCs w:val="28"/>
        </w:rPr>
      </w:pPr>
      <w:r>
        <w:rPr>
          <w:rFonts w:eastAsia="Arial"/>
          <w:color w:val="000000"/>
          <w:sz w:val="28"/>
          <w:szCs w:val="28"/>
        </w:rPr>
        <w:t>радиофармпрепарат</w:t>
      </w:r>
      <w:r w:rsidR="00D30689" w:rsidRPr="00CC5E18">
        <w:rPr>
          <w:sz w:val="28"/>
          <w:szCs w:val="28"/>
        </w:rPr>
        <w:t xml:space="preserve"> </w:t>
      </w:r>
      <w:r w:rsidR="00E2565A" w:rsidRPr="00CC5E18">
        <w:rPr>
          <w:sz w:val="28"/>
          <w:szCs w:val="28"/>
        </w:rPr>
        <w:t>Натрия йодид, 131I</w:t>
      </w:r>
      <w:r w:rsidR="00E2565A" w:rsidRPr="009308D8">
        <w:rPr>
          <w:sz w:val="28"/>
          <w:szCs w:val="28"/>
        </w:rPr>
        <w:t xml:space="preserve"> – С73, Е</w:t>
      </w:r>
      <w:r w:rsidR="00887958" w:rsidRPr="009308D8">
        <w:rPr>
          <w:sz w:val="28"/>
          <w:szCs w:val="28"/>
        </w:rPr>
        <w:t>05,</w:t>
      </w:r>
      <w:r w:rsidR="00CC5E18">
        <w:rPr>
          <w:sz w:val="28"/>
          <w:szCs w:val="28"/>
        </w:rPr>
        <w:t xml:space="preserve"> изготовитель:</w:t>
      </w:r>
      <w:r w:rsidR="00A42A1D" w:rsidRPr="009308D8">
        <w:rPr>
          <w:color w:val="0D0D0D" w:themeColor="text1" w:themeTint="F2"/>
          <w:sz w:val="28"/>
          <w:szCs w:val="28"/>
        </w:rPr>
        <w:t xml:space="preserve"> АО </w:t>
      </w:r>
      <w:r w:rsidR="002F7358" w:rsidRPr="009308D8">
        <w:rPr>
          <w:color w:val="0D0D0D" w:themeColor="text1" w:themeTint="F2"/>
          <w:sz w:val="28"/>
          <w:szCs w:val="28"/>
        </w:rPr>
        <w:t>«</w:t>
      </w:r>
      <w:r w:rsidR="00A42A1D" w:rsidRPr="009308D8">
        <w:rPr>
          <w:color w:val="0D0D0D" w:themeColor="text1" w:themeTint="F2"/>
          <w:sz w:val="28"/>
          <w:szCs w:val="28"/>
          <w:shd w:val="clear" w:color="auto" w:fill="FFFFFF"/>
        </w:rPr>
        <w:t xml:space="preserve">Научно-исследовательский физико-химический институт </w:t>
      </w:r>
      <w:r w:rsidR="009308D8">
        <w:rPr>
          <w:color w:val="0D0D0D" w:themeColor="text1" w:themeTint="F2"/>
          <w:sz w:val="28"/>
          <w:szCs w:val="28"/>
        </w:rPr>
        <w:t>им.</w:t>
      </w:r>
      <w:r w:rsidR="00D30689" w:rsidRPr="009308D8">
        <w:rPr>
          <w:color w:val="0D0D0D" w:themeColor="text1" w:themeTint="F2"/>
          <w:sz w:val="28"/>
          <w:szCs w:val="28"/>
        </w:rPr>
        <w:t>Л.Я.Карпова</w:t>
      </w:r>
      <w:r w:rsidR="002F7358" w:rsidRPr="009308D8">
        <w:rPr>
          <w:color w:val="0D0D0D" w:themeColor="text1" w:themeTint="F2"/>
          <w:sz w:val="28"/>
          <w:szCs w:val="28"/>
        </w:rPr>
        <w:t>»</w:t>
      </w:r>
      <w:r w:rsidR="00CC5E18">
        <w:rPr>
          <w:color w:val="0D0D0D" w:themeColor="text1" w:themeTint="F2"/>
          <w:sz w:val="28"/>
          <w:szCs w:val="28"/>
        </w:rPr>
        <w:t>,</w:t>
      </w:r>
      <w:r w:rsidR="00D30689" w:rsidRPr="009308D8">
        <w:rPr>
          <w:sz w:val="28"/>
          <w:szCs w:val="28"/>
        </w:rPr>
        <w:t xml:space="preserve"> Калужская область</w:t>
      </w:r>
      <w:r w:rsidR="00C65737">
        <w:rPr>
          <w:sz w:val="28"/>
          <w:szCs w:val="28"/>
        </w:rPr>
        <w:t>;</w:t>
      </w:r>
    </w:p>
    <w:p w:rsidR="00D30689" w:rsidRPr="009308D8" w:rsidRDefault="004579A7" w:rsidP="00C65737">
      <w:pPr>
        <w:spacing w:line="233" w:lineRule="auto"/>
        <w:ind w:firstLine="709"/>
        <w:jc w:val="both"/>
        <w:rPr>
          <w:sz w:val="28"/>
          <w:szCs w:val="28"/>
        </w:rPr>
      </w:pPr>
      <w:r>
        <w:rPr>
          <w:rFonts w:eastAsia="Arial"/>
          <w:color w:val="000000"/>
          <w:sz w:val="28"/>
          <w:szCs w:val="28"/>
        </w:rPr>
        <w:t>радиофармпрепарат</w:t>
      </w:r>
      <w:r w:rsidR="00D30689" w:rsidRPr="00CC5E18">
        <w:rPr>
          <w:sz w:val="28"/>
          <w:szCs w:val="28"/>
        </w:rPr>
        <w:t xml:space="preserve"> Самарий, 153Sm</w:t>
      </w:r>
      <w:r w:rsidR="00C65737">
        <w:rPr>
          <w:sz w:val="28"/>
          <w:szCs w:val="28"/>
        </w:rPr>
        <w:t>-</w:t>
      </w:r>
      <w:r w:rsidR="00D30689" w:rsidRPr="00CC5E18">
        <w:rPr>
          <w:sz w:val="28"/>
          <w:szCs w:val="28"/>
        </w:rPr>
        <w:t xml:space="preserve">оксабифор </w:t>
      </w:r>
      <w:r w:rsidR="00E2565A" w:rsidRPr="009308D8">
        <w:rPr>
          <w:sz w:val="28"/>
          <w:szCs w:val="28"/>
        </w:rPr>
        <w:t>– костные метастазы</w:t>
      </w:r>
      <w:r w:rsidR="005C6719">
        <w:rPr>
          <w:sz w:val="28"/>
          <w:szCs w:val="28"/>
        </w:rPr>
        <w:t xml:space="preserve"> опухолей различных локализаций, изготовитель:</w:t>
      </w:r>
      <w:r w:rsidR="00A42A1D" w:rsidRPr="009308D8">
        <w:rPr>
          <w:sz w:val="28"/>
          <w:szCs w:val="28"/>
        </w:rPr>
        <w:t xml:space="preserve"> АО </w:t>
      </w:r>
      <w:r w:rsidR="002F7358" w:rsidRPr="009308D8">
        <w:rPr>
          <w:color w:val="0D0D0D" w:themeColor="text1" w:themeTint="F2"/>
          <w:sz w:val="28"/>
          <w:szCs w:val="28"/>
        </w:rPr>
        <w:t>«</w:t>
      </w:r>
      <w:r w:rsidR="00A42A1D" w:rsidRPr="009308D8">
        <w:rPr>
          <w:color w:val="0D0D0D" w:themeColor="text1" w:themeTint="F2"/>
          <w:sz w:val="28"/>
          <w:szCs w:val="28"/>
          <w:shd w:val="clear" w:color="auto" w:fill="FFFFFF"/>
        </w:rPr>
        <w:t xml:space="preserve">Научно-исследовательский физико-химический институт </w:t>
      </w:r>
      <w:r w:rsidR="005C6719">
        <w:rPr>
          <w:color w:val="0D0D0D" w:themeColor="text1" w:themeTint="F2"/>
          <w:sz w:val="28"/>
          <w:szCs w:val="28"/>
        </w:rPr>
        <w:t>им.</w:t>
      </w:r>
      <w:r w:rsidR="00A42A1D" w:rsidRPr="009308D8">
        <w:rPr>
          <w:color w:val="0D0D0D" w:themeColor="text1" w:themeTint="F2"/>
          <w:sz w:val="28"/>
          <w:szCs w:val="28"/>
        </w:rPr>
        <w:t>Л.Я.Карпова</w:t>
      </w:r>
      <w:r w:rsidR="002F7358" w:rsidRPr="009308D8">
        <w:rPr>
          <w:color w:val="0D0D0D" w:themeColor="text1" w:themeTint="F2"/>
          <w:sz w:val="28"/>
          <w:szCs w:val="28"/>
        </w:rPr>
        <w:t>»</w:t>
      </w:r>
      <w:r w:rsidR="005C6719">
        <w:rPr>
          <w:color w:val="0D0D0D" w:themeColor="text1" w:themeTint="F2"/>
          <w:sz w:val="28"/>
          <w:szCs w:val="28"/>
        </w:rPr>
        <w:t>,</w:t>
      </w:r>
      <w:r w:rsidR="00A42A1D" w:rsidRPr="009308D8">
        <w:rPr>
          <w:sz w:val="28"/>
          <w:szCs w:val="28"/>
        </w:rPr>
        <w:t xml:space="preserve"> </w:t>
      </w:r>
      <w:r w:rsidR="00D30689" w:rsidRPr="009308D8">
        <w:rPr>
          <w:sz w:val="28"/>
          <w:szCs w:val="28"/>
        </w:rPr>
        <w:t>Калужская область</w:t>
      </w:r>
      <w:r w:rsidR="00C65737">
        <w:rPr>
          <w:sz w:val="28"/>
          <w:szCs w:val="28"/>
        </w:rPr>
        <w:t>;</w:t>
      </w:r>
    </w:p>
    <w:p w:rsidR="00D30689" w:rsidRPr="009308D8" w:rsidRDefault="004579A7" w:rsidP="00C65737">
      <w:pPr>
        <w:spacing w:line="233" w:lineRule="auto"/>
        <w:ind w:firstLine="709"/>
        <w:jc w:val="both"/>
        <w:rPr>
          <w:color w:val="0D0D0D" w:themeColor="text1" w:themeTint="F2"/>
          <w:sz w:val="28"/>
          <w:szCs w:val="28"/>
        </w:rPr>
      </w:pPr>
      <w:r>
        <w:rPr>
          <w:rFonts w:eastAsia="Arial"/>
          <w:color w:val="000000"/>
          <w:sz w:val="28"/>
          <w:szCs w:val="28"/>
        </w:rPr>
        <w:t>радиофармпрепарат</w:t>
      </w:r>
      <w:r w:rsidR="00D30689" w:rsidRPr="005C6719">
        <w:rPr>
          <w:sz w:val="28"/>
          <w:szCs w:val="28"/>
        </w:rPr>
        <w:t xml:space="preserve"> Радия хлорид, 223Ra</w:t>
      </w:r>
      <w:r w:rsidR="00E2565A" w:rsidRPr="009308D8">
        <w:rPr>
          <w:b/>
          <w:sz w:val="28"/>
          <w:szCs w:val="28"/>
        </w:rPr>
        <w:t xml:space="preserve"> </w:t>
      </w:r>
      <w:r w:rsidR="00E2565A" w:rsidRPr="009308D8">
        <w:rPr>
          <w:sz w:val="28"/>
          <w:szCs w:val="28"/>
        </w:rPr>
        <w:t>– С</w:t>
      </w:r>
      <w:r w:rsidR="00887958" w:rsidRPr="009308D8">
        <w:rPr>
          <w:sz w:val="28"/>
          <w:szCs w:val="28"/>
        </w:rPr>
        <w:t>61,</w:t>
      </w:r>
      <w:r w:rsidR="005C6719">
        <w:rPr>
          <w:sz w:val="28"/>
          <w:szCs w:val="28"/>
        </w:rPr>
        <w:t xml:space="preserve"> изготовитель: ф</w:t>
      </w:r>
      <w:r w:rsidR="00E2565A" w:rsidRPr="009308D8">
        <w:rPr>
          <w:color w:val="0D0D0D" w:themeColor="text1" w:themeTint="F2"/>
          <w:sz w:val="28"/>
          <w:szCs w:val="28"/>
        </w:rPr>
        <w:t xml:space="preserve">едеральное государственное автономное образовательное учреждение высшего образования </w:t>
      </w:r>
      <w:r w:rsidR="002F7358" w:rsidRPr="009308D8">
        <w:rPr>
          <w:color w:val="0D0D0D" w:themeColor="text1" w:themeTint="F2"/>
          <w:sz w:val="28"/>
          <w:szCs w:val="28"/>
        </w:rPr>
        <w:t>«</w:t>
      </w:r>
      <w:r w:rsidR="00D30689" w:rsidRPr="009308D8">
        <w:rPr>
          <w:color w:val="0D0D0D" w:themeColor="text1" w:themeTint="F2"/>
          <w:sz w:val="28"/>
          <w:szCs w:val="28"/>
        </w:rPr>
        <w:t>Уральский федеральный университет имени</w:t>
      </w:r>
      <w:r w:rsidR="003E5B28" w:rsidRPr="009308D8">
        <w:rPr>
          <w:color w:val="0D0D0D" w:themeColor="text1" w:themeTint="F2"/>
          <w:sz w:val="28"/>
          <w:szCs w:val="28"/>
        </w:rPr>
        <w:t xml:space="preserve"> первого Президента России Б.Н.</w:t>
      </w:r>
      <w:r w:rsidR="00D30689" w:rsidRPr="009308D8">
        <w:rPr>
          <w:color w:val="0D0D0D" w:themeColor="text1" w:themeTint="F2"/>
          <w:sz w:val="28"/>
          <w:szCs w:val="28"/>
        </w:rPr>
        <w:t>Ельцина</w:t>
      </w:r>
      <w:r w:rsidR="002F7358" w:rsidRPr="009308D8">
        <w:rPr>
          <w:color w:val="0D0D0D" w:themeColor="text1" w:themeTint="F2"/>
          <w:sz w:val="28"/>
          <w:szCs w:val="28"/>
        </w:rPr>
        <w:t>»</w:t>
      </w:r>
      <w:r w:rsidR="005C6719">
        <w:rPr>
          <w:color w:val="0D0D0D" w:themeColor="text1" w:themeTint="F2"/>
          <w:sz w:val="28"/>
          <w:szCs w:val="28"/>
        </w:rPr>
        <w:t>,</w:t>
      </w:r>
      <w:r w:rsidR="00D30689" w:rsidRPr="009308D8">
        <w:rPr>
          <w:color w:val="0D0D0D" w:themeColor="text1" w:themeTint="F2"/>
          <w:sz w:val="28"/>
          <w:szCs w:val="28"/>
        </w:rPr>
        <w:t xml:space="preserve"> Свердловская область.</w:t>
      </w:r>
    </w:p>
    <w:p w:rsidR="005C6719" w:rsidRDefault="005C6719" w:rsidP="00C65737">
      <w:pPr>
        <w:spacing w:line="233" w:lineRule="auto"/>
        <w:ind w:firstLine="709"/>
        <w:jc w:val="both"/>
        <w:rPr>
          <w:sz w:val="28"/>
          <w:szCs w:val="28"/>
        </w:rPr>
      </w:pPr>
    </w:p>
    <w:p w:rsidR="00D30689" w:rsidRDefault="00D30689" w:rsidP="007E5C22">
      <w:pPr>
        <w:jc w:val="both"/>
        <w:rPr>
          <w:sz w:val="28"/>
          <w:szCs w:val="28"/>
        </w:rPr>
      </w:pPr>
    </w:p>
    <w:p w:rsidR="00C41815" w:rsidRPr="009308D8" w:rsidRDefault="00C41815" w:rsidP="00C41815">
      <w:pPr>
        <w:ind w:firstLine="709"/>
        <w:jc w:val="both"/>
        <w:rPr>
          <w:rFonts w:eastAsia="Arial"/>
          <w:sz w:val="28"/>
          <w:szCs w:val="28"/>
        </w:rPr>
      </w:pPr>
      <w:r w:rsidRPr="009308D8">
        <w:rPr>
          <w:rFonts w:eastAsia="Arial"/>
          <w:sz w:val="28"/>
          <w:szCs w:val="28"/>
        </w:rPr>
        <w:t xml:space="preserve">Развитие </w:t>
      </w:r>
      <w:r w:rsidRPr="009308D8">
        <w:rPr>
          <w:sz w:val="28"/>
          <w:szCs w:val="28"/>
        </w:rPr>
        <w:t>патолого</w:t>
      </w:r>
      <w:r w:rsidR="00E868BB">
        <w:rPr>
          <w:sz w:val="28"/>
          <w:szCs w:val="28"/>
        </w:rPr>
        <w:t>-</w:t>
      </w:r>
      <w:r w:rsidRPr="009308D8">
        <w:rPr>
          <w:sz w:val="28"/>
          <w:szCs w:val="28"/>
        </w:rPr>
        <w:t>анатомической</w:t>
      </w:r>
      <w:r w:rsidRPr="009308D8">
        <w:rPr>
          <w:rFonts w:eastAsia="Arial"/>
          <w:sz w:val="28"/>
          <w:szCs w:val="28"/>
        </w:rPr>
        <w:t xml:space="preserve"> службы</w:t>
      </w:r>
      <w:r w:rsidR="00D85F33">
        <w:rPr>
          <w:rFonts w:eastAsia="Arial"/>
          <w:sz w:val="28"/>
          <w:szCs w:val="28"/>
        </w:rPr>
        <w:t xml:space="preserve"> (таблица 25)</w:t>
      </w:r>
      <w:r w:rsidRPr="009308D8">
        <w:rPr>
          <w:rFonts w:eastAsia="Arial"/>
          <w:sz w:val="28"/>
          <w:szCs w:val="28"/>
        </w:rPr>
        <w:t xml:space="preserve">. </w:t>
      </w:r>
    </w:p>
    <w:p w:rsidR="00C41815" w:rsidRPr="009308D8" w:rsidRDefault="00C41815" w:rsidP="00C41815">
      <w:pPr>
        <w:ind w:firstLine="709"/>
        <w:jc w:val="both"/>
        <w:rPr>
          <w:bCs/>
          <w:sz w:val="22"/>
          <w:szCs w:val="28"/>
        </w:rPr>
      </w:pPr>
    </w:p>
    <w:p w:rsidR="00A36FE8" w:rsidRPr="009308D8" w:rsidRDefault="002E2E4D" w:rsidP="00C41815">
      <w:pPr>
        <w:ind w:left="8222" w:firstLine="567"/>
        <w:jc w:val="both"/>
        <w:rPr>
          <w:sz w:val="28"/>
          <w:szCs w:val="28"/>
        </w:rPr>
      </w:pPr>
      <w:r w:rsidRPr="009308D8">
        <w:rPr>
          <w:sz w:val="28"/>
          <w:szCs w:val="28"/>
        </w:rPr>
        <w:t xml:space="preserve">Таблица </w:t>
      </w:r>
      <w:r w:rsidR="004E7D5F" w:rsidRPr="009308D8">
        <w:rPr>
          <w:sz w:val="28"/>
          <w:szCs w:val="28"/>
        </w:rPr>
        <w:t>2</w:t>
      </w:r>
      <w:r w:rsidR="00CB2704" w:rsidRPr="009308D8">
        <w:rPr>
          <w:sz w:val="28"/>
          <w:szCs w:val="28"/>
        </w:rPr>
        <w:t>5</w:t>
      </w:r>
    </w:p>
    <w:p w:rsidR="006268D4" w:rsidRPr="009308D8" w:rsidRDefault="006268D4" w:rsidP="002E2E4D">
      <w:pPr>
        <w:ind w:left="8508"/>
        <w:jc w:val="both"/>
        <w:rPr>
          <w:sz w:val="28"/>
          <w:szCs w:val="28"/>
        </w:rPr>
      </w:pPr>
    </w:p>
    <w:p w:rsidR="006872BA" w:rsidRPr="009308D8" w:rsidRDefault="006872BA" w:rsidP="002E2E4D">
      <w:pPr>
        <w:jc w:val="center"/>
        <w:rPr>
          <w:sz w:val="28"/>
          <w:szCs w:val="28"/>
        </w:rPr>
      </w:pPr>
      <w:r w:rsidRPr="009308D8">
        <w:rPr>
          <w:sz w:val="28"/>
          <w:szCs w:val="28"/>
        </w:rPr>
        <w:t>Организация патолого</w:t>
      </w:r>
      <w:r w:rsidR="00E868BB">
        <w:rPr>
          <w:sz w:val="28"/>
          <w:szCs w:val="28"/>
        </w:rPr>
        <w:t>-</w:t>
      </w:r>
      <w:r w:rsidRPr="009308D8">
        <w:rPr>
          <w:sz w:val="28"/>
          <w:szCs w:val="28"/>
        </w:rPr>
        <w:t>анатомической службы</w:t>
      </w:r>
      <w:r w:rsidR="00E84D08" w:rsidRPr="009308D8">
        <w:rPr>
          <w:sz w:val="28"/>
          <w:szCs w:val="28"/>
        </w:rPr>
        <w:t xml:space="preserve"> </w:t>
      </w:r>
      <w:r w:rsidR="00C41815" w:rsidRPr="00E915D3">
        <w:rPr>
          <w:sz w:val="28"/>
          <w:szCs w:val="28"/>
        </w:rPr>
        <w:t>в</w:t>
      </w:r>
      <w:r w:rsidR="00E84D08" w:rsidRPr="00E915D3">
        <w:rPr>
          <w:sz w:val="28"/>
          <w:szCs w:val="28"/>
        </w:rPr>
        <w:t xml:space="preserve"> 202</w:t>
      </w:r>
      <w:r w:rsidR="0000154E" w:rsidRPr="00E915D3">
        <w:rPr>
          <w:sz w:val="28"/>
          <w:szCs w:val="28"/>
        </w:rPr>
        <w:t>5</w:t>
      </w:r>
      <w:r w:rsidR="00E84D08" w:rsidRPr="00E915D3">
        <w:rPr>
          <w:sz w:val="28"/>
          <w:szCs w:val="28"/>
        </w:rPr>
        <w:t xml:space="preserve"> год</w:t>
      </w:r>
      <w:r w:rsidR="00C41815" w:rsidRPr="00E915D3">
        <w:rPr>
          <w:sz w:val="28"/>
          <w:szCs w:val="28"/>
        </w:rPr>
        <w:t>у</w:t>
      </w:r>
    </w:p>
    <w:p w:rsidR="002E2E4D" w:rsidRPr="009308D8" w:rsidRDefault="002E2E4D" w:rsidP="002E2E4D">
      <w:pPr>
        <w:jc w:val="center"/>
        <w:rPr>
          <w:sz w:val="28"/>
          <w:szCs w:val="28"/>
        </w:rPr>
      </w:pPr>
    </w:p>
    <w:tbl>
      <w:tblPr>
        <w:tblStyle w:val="af1"/>
        <w:tblW w:w="0" w:type="auto"/>
        <w:tblLayout w:type="fixed"/>
        <w:tblLook w:val="04A0" w:firstRow="1" w:lastRow="0" w:firstColumn="1" w:lastColumn="0" w:noHBand="0" w:noVBand="1"/>
      </w:tblPr>
      <w:tblGrid>
        <w:gridCol w:w="1764"/>
        <w:gridCol w:w="1711"/>
        <w:gridCol w:w="1700"/>
        <w:gridCol w:w="1733"/>
        <w:gridCol w:w="1685"/>
        <w:gridCol w:w="1602"/>
      </w:tblGrid>
      <w:tr w:rsidR="008F0D48" w:rsidRPr="00091230" w:rsidTr="009308D8">
        <w:trPr>
          <w:trHeight w:val="20"/>
        </w:trPr>
        <w:tc>
          <w:tcPr>
            <w:tcW w:w="1764" w:type="dxa"/>
            <w:vMerge w:val="restart"/>
            <w:tcBorders>
              <w:bottom w:val="nil"/>
            </w:tcBorders>
          </w:tcPr>
          <w:p w:rsidR="00E868BB" w:rsidRDefault="008F0D48" w:rsidP="009308D8">
            <w:pPr>
              <w:jc w:val="center"/>
              <w:rPr>
                <w:sz w:val="20"/>
                <w:szCs w:val="20"/>
              </w:rPr>
            </w:pPr>
            <w:r w:rsidRPr="00FE7AB3">
              <w:rPr>
                <w:sz w:val="20"/>
                <w:szCs w:val="20"/>
              </w:rPr>
              <w:t>Наименование медицинской</w:t>
            </w:r>
          </w:p>
          <w:p w:rsidR="008F0D48" w:rsidRPr="00FE7AB3" w:rsidRDefault="008F0D48" w:rsidP="009308D8">
            <w:pPr>
              <w:jc w:val="center"/>
              <w:rPr>
                <w:sz w:val="20"/>
                <w:szCs w:val="20"/>
              </w:rPr>
            </w:pPr>
            <w:r w:rsidRPr="00FE7AB3">
              <w:rPr>
                <w:sz w:val="20"/>
                <w:szCs w:val="20"/>
              </w:rPr>
              <w:t>организации</w:t>
            </w:r>
          </w:p>
        </w:tc>
        <w:tc>
          <w:tcPr>
            <w:tcW w:w="3411" w:type="dxa"/>
            <w:gridSpan w:val="2"/>
            <w:tcBorders>
              <w:bottom w:val="single" w:sz="4" w:space="0" w:color="auto"/>
            </w:tcBorders>
          </w:tcPr>
          <w:p w:rsidR="008F0D48" w:rsidRPr="00FE7AB3" w:rsidRDefault="008F0D48" w:rsidP="009308D8">
            <w:pPr>
              <w:jc w:val="center"/>
              <w:rPr>
                <w:sz w:val="20"/>
                <w:szCs w:val="20"/>
              </w:rPr>
            </w:pPr>
            <w:r w:rsidRPr="00FE7AB3">
              <w:rPr>
                <w:sz w:val="20"/>
                <w:szCs w:val="20"/>
              </w:rPr>
              <w:t>Кадровая обеспеченность</w:t>
            </w:r>
          </w:p>
        </w:tc>
        <w:tc>
          <w:tcPr>
            <w:tcW w:w="5020" w:type="dxa"/>
            <w:gridSpan w:val="3"/>
            <w:tcBorders>
              <w:bottom w:val="single" w:sz="4" w:space="0" w:color="auto"/>
            </w:tcBorders>
          </w:tcPr>
          <w:p w:rsidR="008F0D48" w:rsidRPr="00FE7AB3" w:rsidRDefault="008F0D48" w:rsidP="009308D8">
            <w:pPr>
              <w:jc w:val="center"/>
              <w:rPr>
                <w:sz w:val="20"/>
                <w:szCs w:val="20"/>
              </w:rPr>
            </w:pPr>
            <w:r w:rsidRPr="00FE7AB3">
              <w:rPr>
                <w:sz w:val="20"/>
                <w:szCs w:val="20"/>
              </w:rPr>
              <w:t>Оборудование</w:t>
            </w:r>
          </w:p>
          <w:p w:rsidR="008F0D48" w:rsidRPr="00FE7AB3" w:rsidRDefault="008F0D48" w:rsidP="009308D8">
            <w:pPr>
              <w:jc w:val="center"/>
              <w:rPr>
                <w:sz w:val="20"/>
                <w:szCs w:val="20"/>
              </w:rPr>
            </w:pPr>
            <w:r w:rsidRPr="00FE7AB3">
              <w:rPr>
                <w:sz w:val="20"/>
                <w:szCs w:val="20"/>
              </w:rPr>
              <w:t xml:space="preserve">(в целом по ГАУЗ </w:t>
            </w:r>
            <w:r w:rsidR="002F7358" w:rsidRPr="00FE7AB3">
              <w:rPr>
                <w:sz w:val="20"/>
                <w:szCs w:val="20"/>
              </w:rPr>
              <w:t>«</w:t>
            </w:r>
            <w:r w:rsidR="009308D8">
              <w:rPr>
                <w:sz w:val="20"/>
                <w:szCs w:val="20"/>
              </w:rPr>
              <w:t>РКОД МЗ РТ им.</w:t>
            </w:r>
            <w:r w:rsidRPr="00FE7AB3">
              <w:rPr>
                <w:sz w:val="20"/>
                <w:szCs w:val="20"/>
              </w:rPr>
              <w:t>проф.М.З.Сигала</w:t>
            </w:r>
            <w:r w:rsidR="002F7358" w:rsidRPr="00FE7AB3">
              <w:rPr>
                <w:sz w:val="20"/>
                <w:szCs w:val="20"/>
              </w:rPr>
              <w:t>»</w:t>
            </w:r>
            <w:r w:rsidRPr="00FE7AB3">
              <w:rPr>
                <w:sz w:val="20"/>
                <w:szCs w:val="20"/>
              </w:rPr>
              <w:t>)</w:t>
            </w:r>
          </w:p>
        </w:tc>
      </w:tr>
      <w:tr w:rsidR="00295590" w:rsidRPr="00091230" w:rsidTr="009308D8">
        <w:trPr>
          <w:trHeight w:val="20"/>
        </w:trPr>
        <w:tc>
          <w:tcPr>
            <w:tcW w:w="1764" w:type="dxa"/>
            <w:vMerge/>
            <w:tcBorders>
              <w:bottom w:val="nil"/>
            </w:tcBorders>
          </w:tcPr>
          <w:p w:rsidR="00295590" w:rsidRPr="00FE7AB3" w:rsidRDefault="00295590" w:rsidP="009308D8">
            <w:pPr>
              <w:jc w:val="center"/>
              <w:rPr>
                <w:sz w:val="20"/>
                <w:szCs w:val="20"/>
              </w:rPr>
            </w:pPr>
          </w:p>
        </w:tc>
        <w:tc>
          <w:tcPr>
            <w:tcW w:w="1711" w:type="dxa"/>
            <w:tcBorders>
              <w:bottom w:val="nil"/>
            </w:tcBorders>
          </w:tcPr>
          <w:p w:rsidR="00295590" w:rsidRPr="00FE7AB3" w:rsidRDefault="009308D8" w:rsidP="00FF0BC2">
            <w:pPr>
              <w:jc w:val="center"/>
              <w:rPr>
                <w:sz w:val="20"/>
                <w:szCs w:val="20"/>
              </w:rPr>
            </w:pPr>
            <w:r>
              <w:rPr>
                <w:sz w:val="20"/>
                <w:szCs w:val="20"/>
              </w:rPr>
              <w:t>к</w:t>
            </w:r>
            <w:r w:rsidR="00295590" w:rsidRPr="00FE7AB3">
              <w:rPr>
                <w:sz w:val="20"/>
                <w:szCs w:val="20"/>
              </w:rPr>
              <w:t>оличество ставок врачей-специалистов согласно штатному расписанию</w:t>
            </w:r>
          </w:p>
        </w:tc>
        <w:tc>
          <w:tcPr>
            <w:tcW w:w="1700" w:type="dxa"/>
            <w:tcBorders>
              <w:bottom w:val="nil"/>
            </w:tcBorders>
          </w:tcPr>
          <w:p w:rsidR="00295590" w:rsidRPr="00FE7AB3" w:rsidRDefault="009308D8" w:rsidP="009308D8">
            <w:pPr>
              <w:jc w:val="center"/>
              <w:rPr>
                <w:sz w:val="20"/>
                <w:szCs w:val="20"/>
              </w:rPr>
            </w:pPr>
            <w:r>
              <w:rPr>
                <w:sz w:val="20"/>
                <w:szCs w:val="20"/>
              </w:rPr>
              <w:t>к</w:t>
            </w:r>
            <w:r w:rsidR="00295590" w:rsidRPr="00FE7AB3">
              <w:rPr>
                <w:sz w:val="20"/>
                <w:szCs w:val="20"/>
              </w:rPr>
              <w:t>оличество физических лиц, фактически занимающих штатные должности врачей-специалистов</w:t>
            </w:r>
          </w:p>
        </w:tc>
        <w:tc>
          <w:tcPr>
            <w:tcW w:w="1733" w:type="dxa"/>
            <w:tcBorders>
              <w:bottom w:val="nil"/>
            </w:tcBorders>
          </w:tcPr>
          <w:p w:rsidR="00295590" w:rsidRPr="00FE7AB3" w:rsidRDefault="009308D8" w:rsidP="009308D8">
            <w:pPr>
              <w:jc w:val="center"/>
              <w:rPr>
                <w:sz w:val="20"/>
                <w:szCs w:val="20"/>
              </w:rPr>
            </w:pPr>
            <w:r>
              <w:rPr>
                <w:sz w:val="20"/>
                <w:szCs w:val="20"/>
              </w:rPr>
              <w:t>н</w:t>
            </w:r>
            <w:r w:rsidR="00295590" w:rsidRPr="00FE7AB3">
              <w:rPr>
                <w:sz w:val="20"/>
                <w:szCs w:val="20"/>
              </w:rPr>
              <w:t>аименование</w:t>
            </w:r>
          </w:p>
        </w:tc>
        <w:tc>
          <w:tcPr>
            <w:tcW w:w="1685" w:type="dxa"/>
            <w:tcBorders>
              <w:bottom w:val="nil"/>
            </w:tcBorders>
          </w:tcPr>
          <w:p w:rsidR="00295590" w:rsidRPr="00FE7AB3" w:rsidRDefault="009308D8" w:rsidP="009308D8">
            <w:pPr>
              <w:jc w:val="center"/>
              <w:rPr>
                <w:sz w:val="20"/>
                <w:szCs w:val="20"/>
              </w:rPr>
            </w:pPr>
            <w:r>
              <w:rPr>
                <w:sz w:val="20"/>
                <w:szCs w:val="20"/>
              </w:rPr>
              <w:t>к</w:t>
            </w:r>
            <w:r w:rsidR="00295590" w:rsidRPr="00FE7AB3">
              <w:rPr>
                <w:sz w:val="20"/>
                <w:szCs w:val="20"/>
              </w:rPr>
              <w:t>оличество</w:t>
            </w:r>
          </w:p>
        </w:tc>
        <w:tc>
          <w:tcPr>
            <w:tcW w:w="1602" w:type="dxa"/>
            <w:tcBorders>
              <w:bottom w:val="nil"/>
            </w:tcBorders>
          </w:tcPr>
          <w:p w:rsidR="00295590" w:rsidRPr="00FE7AB3" w:rsidRDefault="009308D8" w:rsidP="009308D8">
            <w:pPr>
              <w:jc w:val="center"/>
              <w:rPr>
                <w:sz w:val="20"/>
                <w:szCs w:val="20"/>
              </w:rPr>
            </w:pPr>
            <w:r>
              <w:rPr>
                <w:sz w:val="20"/>
                <w:szCs w:val="20"/>
              </w:rPr>
              <w:t>г</w:t>
            </w:r>
            <w:r w:rsidR="00295590" w:rsidRPr="00FE7AB3">
              <w:rPr>
                <w:sz w:val="20"/>
                <w:szCs w:val="20"/>
              </w:rPr>
              <w:t>од ввода в эксплуатацию</w:t>
            </w:r>
          </w:p>
        </w:tc>
      </w:tr>
    </w:tbl>
    <w:p w:rsidR="009308D8" w:rsidRPr="009308D8" w:rsidRDefault="009308D8">
      <w:pPr>
        <w:rPr>
          <w:sz w:val="2"/>
          <w:szCs w:val="2"/>
        </w:rPr>
      </w:pPr>
    </w:p>
    <w:tbl>
      <w:tblPr>
        <w:tblStyle w:val="af1"/>
        <w:tblW w:w="0" w:type="auto"/>
        <w:tblLayout w:type="fixed"/>
        <w:tblCellMar>
          <w:top w:w="11" w:type="dxa"/>
          <w:bottom w:w="11" w:type="dxa"/>
        </w:tblCellMar>
        <w:tblLook w:val="04A0" w:firstRow="1" w:lastRow="0" w:firstColumn="1" w:lastColumn="0" w:noHBand="0" w:noVBand="1"/>
      </w:tblPr>
      <w:tblGrid>
        <w:gridCol w:w="1764"/>
        <w:gridCol w:w="1711"/>
        <w:gridCol w:w="1700"/>
        <w:gridCol w:w="1733"/>
        <w:gridCol w:w="1685"/>
        <w:gridCol w:w="1602"/>
      </w:tblGrid>
      <w:tr w:rsidR="002E1F36" w:rsidRPr="00091230" w:rsidTr="007D29A9">
        <w:trPr>
          <w:trHeight w:val="20"/>
          <w:tblHeader/>
        </w:trPr>
        <w:tc>
          <w:tcPr>
            <w:tcW w:w="1764" w:type="dxa"/>
          </w:tcPr>
          <w:p w:rsidR="002E1F36" w:rsidRPr="002E1F36" w:rsidRDefault="002E1F36" w:rsidP="007D29A9">
            <w:pPr>
              <w:jc w:val="center"/>
              <w:rPr>
                <w:sz w:val="20"/>
                <w:szCs w:val="20"/>
              </w:rPr>
            </w:pPr>
            <w:r w:rsidRPr="002E1F36">
              <w:rPr>
                <w:sz w:val="20"/>
                <w:szCs w:val="20"/>
              </w:rPr>
              <w:t>1</w:t>
            </w:r>
          </w:p>
        </w:tc>
        <w:tc>
          <w:tcPr>
            <w:tcW w:w="1711" w:type="dxa"/>
          </w:tcPr>
          <w:p w:rsidR="002E1F36" w:rsidRPr="002E1F36" w:rsidRDefault="002E1F36" w:rsidP="007D29A9">
            <w:pPr>
              <w:jc w:val="center"/>
              <w:rPr>
                <w:sz w:val="20"/>
                <w:szCs w:val="20"/>
              </w:rPr>
            </w:pPr>
            <w:r w:rsidRPr="002E1F36">
              <w:rPr>
                <w:sz w:val="20"/>
                <w:szCs w:val="20"/>
              </w:rPr>
              <w:t>2</w:t>
            </w:r>
          </w:p>
        </w:tc>
        <w:tc>
          <w:tcPr>
            <w:tcW w:w="1700" w:type="dxa"/>
          </w:tcPr>
          <w:p w:rsidR="002E1F36" w:rsidRPr="002E1F36" w:rsidRDefault="002E1F36" w:rsidP="007D29A9">
            <w:pPr>
              <w:jc w:val="center"/>
              <w:rPr>
                <w:sz w:val="20"/>
                <w:szCs w:val="20"/>
              </w:rPr>
            </w:pPr>
            <w:r w:rsidRPr="002E1F36">
              <w:rPr>
                <w:sz w:val="20"/>
                <w:szCs w:val="20"/>
              </w:rPr>
              <w:t>3</w:t>
            </w:r>
          </w:p>
        </w:tc>
        <w:tc>
          <w:tcPr>
            <w:tcW w:w="1733" w:type="dxa"/>
          </w:tcPr>
          <w:p w:rsidR="002E1F36" w:rsidRPr="002E1F36" w:rsidRDefault="002E1F36" w:rsidP="007D29A9">
            <w:pPr>
              <w:jc w:val="center"/>
              <w:rPr>
                <w:sz w:val="20"/>
                <w:szCs w:val="20"/>
              </w:rPr>
            </w:pPr>
            <w:r w:rsidRPr="002E1F36">
              <w:rPr>
                <w:sz w:val="20"/>
                <w:szCs w:val="20"/>
              </w:rPr>
              <w:t>4</w:t>
            </w:r>
          </w:p>
        </w:tc>
        <w:tc>
          <w:tcPr>
            <w:tcW w:w="1685" w:type="dxa"/>
          </w:tcPr>
          <w:p w:rsidR="002E1F36" w:rsidRPr="002E1F36" w:rsidRDefault="002E1F36" w:rsidP="007D29A9">
            <w:pPr>
              <w:jc w:val="center"/>
              <w:rPr>
                <w:sz w:val="20"/>
                <w:szCs w:val="20"/>
              </w:rPr>
            </w:pPr>
            <w:r w:rsidRPr="002E1F36">
              <w:rPr>
                <w:sz w:val="20"/>
                <w:szCs w:val="20"/>
              </w:rPr>
              <w:t>5</w:t>
            </w:r>
          </w:p>
        </w:tc>
        <w:tc>
          <w:tcPr>
            <w:tcW w:w="1602" w:type="dxa"/>
          </w:tcPr>
          <w:p w:rsidR="002E1F36" w:rsidRPr="002E1F36" w:rsidRDefault="002E1F36" w:rsidP="007D29A9">
            <w:pPr>
              <w:jc w:val="center"/>
              <w:rPr>
                <w:sz w:val="20"/>
                <w:szCs w:val="20"/>
              </w:rPr>
            </w:pPr>
            <w:r w:rsidRPr="002E1F36">
              <w:rPr>
                <w:sz w:val="20"/>
                <w:szCs w:val="20"/>
              </w:rPr>
              <w:t>6</w:t>
            </w:r>
          </w:p>
        </w:tc>
      </w:tr>
      <w:tr w:rsidR="00AF2D2B" w:rsidRPr="00091230" w:rsidTr="007D29A9">
        <w:trPr>
          <w:trHeight w:val="20"/>
        </w:trPr>
        <w:tc>
          <w:tcPr>
            <w:tcW w:w="1764" w:type="dxa"/>
          </w:tcPr>
          <w:p w:rsidR="00AF2D2B" w:rsidRPr="00FE7AB3" w:rsidRDefault="00AF2D2B" w:rsidP="007D29A9">
            <w:pPr>
              <w:jc w:val="both"/>
              <w:rPr>
                <w:sz w:val="20"/>
                <w:szCs w:val="20"/>
              </w:rPr>
            </w:pPr>
            <w:r w:rsidRPr="00FE7AB3">
              <w:rPr>
                <w:sz w:val="20"/>
                <w:szCs w:val="20"/>
              </w:rPr>
              <w:t xml:space="preserve">ГАУЗ </w:t>
            </w:r>
            <w:r w:rsidR="002F7358" w:rsidRPr="00FE7AB3">
              <w:rPr>
                <w:sz w:val="20"/>
                <w:szCs w:val="20"/>
              </w:rPr>
              <w:t>«</w:t>
            </w:r>
            <w:r w:rsidRPr="00FE7AB3">
              <w:rPr>
                <w:sz w:val="20"/>
                <w:szCs w:val="20"/>
              </w:rPr>
              <w:t xml:space="preserve">РКОД </w:t>
            </w:r>
            <w:r w:rsidR="009308D8">
              <w:rPr>
                <w:sz w:val="20"/>
                <w:szCs w:val="20"/>
              </w:rPr>
              <w:br/>
            </w:r>
            <w:r w:rsidRPr="00FE7AB3">
              <w:rPr>
                <w:sz w:val="20"/>
                <w:szCs w:val="20"/>
              </w:rPr>
              <w:t>МЗ РТ им.проф. М.З.Сигала</w:t>
            </w:r>
            <w:r w:rsidR="002F7358" w:rsidRPr="00FE7AB3">
              <w:rPr>
                <w:sz w:val="20"/>
                <w:szCs w:val="20"/>
              </w:rPr>
              <w:t>»</w:t>
            </w:r>
            <w:r w:rsidR="008F0D48" w:rsidRPr="00FE7AB3">
              <w:rPr>
                <w:sz w:val="20"/>
                <w:szCs w:val="20"/>
              </w:rPr>
              <w:t xml:space="preserve">, </w:t>
            </w:r>
            <w:r w:rsidR="00FF0BC2">
              <w:rPr>
                <w:sz w:val="20"/>
                <w:szCs w:val="20"/>
              </w:rPr>
              <w:br/>
            </w:r>
            <w:r w:rsidR="008F0D48" w:rsidRPr="00FE7AB3">
              <w:rPr>
                <w:sz w:val="20"/>
                <w:szCs w:val="20"/>
              </w:rPr>
              <w:t>в том числе:</w:t>
            </w:r>
          </w:p>
        </w:tc>
        <w:tc>
          <w:tcPr>
            <w:tcW w:w="1711" w:type="dxa"/>
          </w:tcPr>
          <w:p w:rsidR="00AF2D2B" w:rsidRPr="00FE7AB3" w:rsidRDefault="00AF2D2B" w:rsidP="007D29A9">
            <w:pPr>
              <w:jc w:val="center"/>
              <w:rPr>
                <w:sz w:val="20"/>
                <w:szCs w:val="20"/>
              </w:rPr>
            </w:pPr>
            <w:r w:rsidRPr="00FE7AB3">
              <w:rPr>
                <w:sz w:val="20"/>
                <w:szCs w:val="20"/>
              </w:rPr>
              <w:t>44,75</w:t>
            </w:r>
          </w:p>
        </w:tc>
        <w:tc>
          <w:tcPr>
            <w:tcW w:w="1700" w:type="dxa"/>
          </w:tcPr>
          <w:p w:rsidR="00AF2D2B" w:rsidRPr="00FE7AB3" w:rsidRDefault="00AF2D2B" w:rsidP="007D29A9">
            <w:pPr>
              <w:jc w:val="center"/>
              <w:rPr>
                <w:sz w:val="20"/>
                <w:szCs w:val="20"/>
              </w:rPr>
            </w:pPr>
            <w:r w:rsidRPr="00FE7AB3">
              <w:rPr>
                <w:sz w:val="20"/>
                <w:szCs w:val="20"/>
              </w:rPr>
              <w:t>18</w:t>
            </w:r>
          </w:p>
        </w:tc>
        <w:tc>
          <w:tcPr>
            <w:tcW w:w="1733" w:type="dxa"/>
            <w:shd w:val="clear" w:color="auto" w:fill="auto"/>
          </w:tcPr>
          <w:p w:rsidR="00AF2D2B" w:rsidRPr="00FE7AB3" w:rsidRDefault="00AF2D2B" w:rsidP="007D29A9">
            <w:pPr>
              <w:jc w:val="both"/>
              <w:rPr>
                <w:sz w:val="20"/>
                <w:szCs w:val="20"/>
              </w:rPr>
            </w:pPr>
            <w:r w:rsidRPr="00FE7AB3">
              <w:rPr>
                <w:sz w:val="20"/>
                <w:szCs w:val="20"/>
              </w:rPr>
              <w:t>Станции для макроскопического исследования и вырезки</w:t>
            </w:r>
          </w:p>
        </w:tc>
        <w:tc>
          <w:tcPr>
            <w:tcW w:w="1685" w:type="dxa"/>
          </w:tcPr>
          <w:p w:rsidR="00AF2D2B" w:rsidRPr="00FE7AB3" w:rsidRDefault="00AF2D2B" w:rsidP="007D29A9">
            <w:pPr>
              <w:jc w:val="center"/>
              <w:rPr>
                <w:sz w:val="20"/>
                <w:szCs w:val="20"/>
              </w:rPr>
            </w:pPr>
            <w:r w:rsidRPr="00FE7AB3">
              <w:rPr>
                <w:sz w:val="20"/>
                <w:szCs w:val="20"/>
              </w:rPr>
              <w:t>3</w:t>
            </w:r>
          </w:p>
        </w:tc>
        <w:tc>
          <w:tcPr>
            <w:tcW w:w="1602" w:type="dxa"/>
          </w:tcPr>
          <w:p w:rsidR="00AF2D2B" w:rsidRPr="00FE7AB3" w:rsidRDefault="00644B61" w:rsidP="007D29A9">
            <w:pPr>
              <w:jc w:val="center"/>
              <w:rPr>
                <w:sz w:val="20"/>
                <w:szCs w:val="20"/>
              </w:rPr>
            </w:pPr>
            <w:r w:rsidRPr="00FE7AB3">
              <w:rPr>
                <w:sz w:val="20"/>
                <w:szCs w:val="20"/>
              </w:rPr>
              <w:t xml:space="preserve"> </w:t>
            </w:r>
            <w:r w:rsidR="00AF2D2B" w:rsidRPr="00FE7AB3">
              <w:rPr>
                <w:sz w:val="20"/>
                <w:szCs w:val="20"/>
              </w:rPr>
              <w:t>2015</w:t>
            </w:r>
            <w:r w:rsidR="00FF0BC2">
              <w:rPr>
                <w:sz w:val="20"/>
                <w:szCs w:val="20"/>
              </w:rPr>
              <w:t xml:space="preserve"> </w:t>
            </w:r>
            <w:r w:rsidR="00E868BB">
              <w:rPr>
                <w:sz w:val="20"/>
                <w:szCs w:val="20"/>
              </w:rPr>
              <w:t>(1)</w:t>
            </w:r>
          </w:p>
          <w:p w:rsidR="00AF2D2B" w:rsidRPr="00FE7AB3" w:rsidRDefault="00644B61" w:rsidP="007D29A9">
            <w:pPr>
              <w:jc w:val="center"/>
              <w:rPr>
                <w:sz w:val="20"/>
                <w:szCs w:val="20"/>
              </w:rPr>
            </w:pPr>
            <w:r w:rsidRPr="00FE7AB3">
              <w:rPr>
                <w:sz w:val="20"/>
                <w:szCs w:val="20"/>
              </w:rPr>
              <w:t xml:space="preserve"> </w:t>
            </w:r>
            <w:r w:rsidR="00AF2D2B" w:rsidRPr="00FE7AB3">
              <w:rPr>
                <w:sz w:val="20"/>
                <w:szCs w:val="20"/>
              </w:rPr>
              <w:t>2020</w:t>
            </w:r>
            <w:r w:rsidR="00FF0BC2">
              <w:rPr>
                <w:sz w:val="20"/>
                <w:szCs w:val="20"/>
              </w:rPr>
              <w:t xml:space="preserve"> </w:t>
            </w:r>
            <w:r w:rsidR="00E868BB">
              <w:rPr>
                <w:sz w:val="20"/>
                <w:szCs w:val="20"/>
              </w:rPr>
              <w:t>(1)</w:t>
            </w:r>
          </w:p>
          <w:p w:rsidR="00AF2D2B" w:rsidRPr="00FE7AB3" w:rsidRDefault="00AF2D2B" w:rsidP="007D29A9">
            <w:pPr>
              <w:jc w:val="center"/>
              <w:rPr>
                <w:sz w:val="20"/>
                <w:szCs w:val="20"/>
              </w:rPr>
            </w:pPr>
            <w:r w:rsidRPr="00FE7AB3">
              <w:rPr>
                <w:sz w:val="20"/>
                <w:szCs w:val="20"/>
              </w:rPr>
              <w:t xml:space="preserve"> 2010</w:t>
            </w:r>
            <w:r w:rsidR="00FF0BC2">
              <w:rPr>
                <w:sz w:val="20"/>
                <w:szCs w:val="20"/>
              </w:rPr>
              <w:t xml:space="preserve"> </w:t>
            </w:r>
            <w:r w:rsidR="00E868BB">
              <w:rPr>
                <w:sz w:val="20"/>
                <w:szCs w:val="20"/>
              </w:rPr>
              <w:t>(1)</w:t>
            </w:r>
          </w:p>
        </w:tc>
      </w:tr>
      <w:tr w:rsidR="00F94D40" w:rsidRPr="00091230" w:rsidTr="007D29A9">
        <w:trPr>
          <w:trHeight w:val="20"/>
        </w:trPr>
        <w:tc>
          <w:tcPr>
            <w:tcW w:w="1764" w:type="dxa"/>
          </w:tcPr>
          <w:p w:rsidR="00F94D40" w:rsidRPr="00FE7AB3" w:rsidRDefault="009308D8" w:rsidP="007D29A9">
            <w:pPr>
              <w:jc w:val="both"/>
              <w:rPr>
                <w:sz w:val="20"/>
                <w:szCs w:val="20"/>
              </w:rPr>
            </w:pPr>
            <w:r>
              <w:rPr>
                <w:sz w:val="20"/>
                <w:szCs w:val="20"/>
              </w:rPr>
              <w:t xml:space="preserve">ГАУЗ «РКОД </w:t>
            </w:r>
            <w:r>
              <w:rPr>
                <w:sz w:val="20"/>
                <w:szCs w:val="20"/>
              </w:rPr>
              <w:br/>
              <w:t>МЗ РТ им.</w:t>
            </w:r>
            <w:r w:rsidR="00F94D40" w:rsidRPr="00FE7AB3">
              <w:rPr>
                <w:sz w:val="20"/>
                <w:szCs w:val="20"/>
              </w:rPr>
              <w:t>проф. М.З.Сигала» (</w:t>
            </w:r>
            <w:r w:rsidR="00E868BB">
              <w:rPr>
                <w:sz w:val="20"/>
                <w:szCs w:val="20"/>
              </w:rPr>
              <w:t>г.</w:t>
            </w:r>
            <w:r w:rsidR="00F94D40" w:rsidRPr="00FE7AB3">
              <w:rPr>
                <w:sz w:val="20"/>
                <w:szCs w:val="20"/>
              </w:rPr>
              <w:t>Казань, патологоанатомическая служба)</w:t>
            </w:r>
          </w:p>
        </w:tc>
        <w:tc>
          <w:tcPr>
            <w:tcW w:w="1711" w:type="dxa"/>
          </w:tcPr>
          <w:p w:rsidR="00F94D40" w:rsidRPr="00FE7AB3" w:rsidRDefault="00F94D40" w:rsidP="007D29A9">
            <w:pPr>
              <w:jc w:val="center"/>
              <w:rPr>
                <w:sz w:val="20"/>
                <w:szCs w:val="20"/>
              </w:rPr>
            </w:pPr>
            <w:r w:rsidRPr="00FE7AB3">
              <w:rPr>
                <w:sz w:val="20"/>
                <w:szCs w:val="20"/>
              </w:rPr>
              <w:t>37,75</w:t>
            </w:r>
          </w:p>
        </w:tc>
        <w:tc>
          <w:tcPr>
            <w:tcW w:w="1700" w:type="dxa"/>
          </w:tcPr>
          <w:p w:rsidR="00F94D40" w:rsidRPr="00FE7AB3" w:rsidRDefault="00F94D40" w:rsidP="007D29A9">
            <w:pPr>
              <w:jc w:val="center"/>
              <w:rPr>
                <w:sz w:val="20"/>
                <w:szCs w:val="20"/>
              </w:rPr>
            </w:pPr>
            <w:r w:rsidRPr="00FE7AB3">
              <w:rPr>
                <w:sz w:val="20"/>
                <w:szCs w:val="20"/>
              </w:rPr>
              <w:t>12</w:t>
            </w:r>
          </w:p>
        </w:tc>
        <w:tc>
          <w:tcPr>
            <w:tcW w:w="1733" w:type="dxa"/>
            <w:shd w:val="clear" w:color="auto" w:fill="auto"/>
          </w:tcPr>
          <w:p w:rsidR="00F94D40" w:rsidRPr="00FE7AB3" w:rsidRDefault="00F94D40" w:rsidP="007D29A9">
            <w:pPr>
              <w:jc w:val="both"/>
              <w:rPr>
                <w:sz w:val="20"/>
                <w:szCs w:val="20"/>
              </w:rPr>
            </w:pPr>
            <w:r w:rsidRPr="00FE7AB3">
              <w:rPr>
                <w:sz w:val="20"/>
                <w:szCs w:val="20"/>
              </w:rPr>
              <w:t>Автоматы для проводки карусельного типа</w:t>
            </w:r>
          </w:p>
        </w:tc>
        <w:tc>
          <w:tcPr>
            <w:tcW w:w="1685" w:type="dxa"/>
          </w:tcPr>
          <w:p w:rsidR="00F94D40" w:rsidRPr="00FE7AB3" w:rsidRDefault="00F94D40" w:rsidP="007D29A9">
            <w:pPr>
              <w:jc w:val="center"/>
              <w:rPr>
                <w:sz w:val="20"/>
                <w:szCs w:val="20"/>
              </w:rPr>
            </w:pPr>
            <w:r w:rsidRPr="00FE7AB3">
              <w:rPr>
                <w:sz w:val="20"/>
                <w:szCs w:val="20"/>
              </w:rPr>
              <w:t>0</w:t>
            </w:r>
          </w:p>
        </w:tc>
        <w:tc>
          <w:tcPr>
            <w:tcW w:w="1602" w:type="dxa"/>
          </w:tcPr>
          <w:p w:rsidR="00F94D40" w:rsidRPr="00FE7AB3" w:rsidRDefault="00FF0BC2" w:rsidP="007D29A9">
            <w:pPr>
              <w:jc w:val="center"/>
              <w:rPr>
                <w:sz w:val="20"/>
                <w:szCs w:val="20"/>
              </w:rPr>
            </w:pPr>
            <w:r>
              <w:rPr>
                <w:sz w:val="20"/>
                <w:szCs w:val="20"/>
              </w:rPr>
              <w:t>-</w:t>
            </w:r>
          </w:p>
        </w:tc>
      </w:tr>
      <w:tr w:rsidR="00F94D40" w:rsidRPr="00091230" w:rsidTr="007D29A9">
        <w:trPr>
          <w:trHeight w:val="20"/>
        </w:trPr>
        <w:tc>
          <w:tcPr>
            <w:tcW w:w="1764" w:type="dxa"/>
          </w:tcPr>
          <w:p w:rsidR="00F94D40" w:rsidRPr="00FE7AB3" w:rsidRDefault="00F94D40" w:rsidP="007D29A9">
            <w:pPr>
              <w:jc w:val="both"/>
              <w:rPr>
                <w:sz w:val="20"/>
                <w:szCs w:val="20"/>
              </w:rPr>
            </w:pPr>
            <w:r w:rsidRPr="00FE7AB3">
              <w:rPr>
                <w:sz w:val="20"/>
                <w:szCs w:val="20"/>
              </w:rPr>
              <w:t xml:space="preserve">Набережночелнинский филиал ГАУЗ «РКОД </w:t>
            </w:r>
            <w:r w:rsidR="009308D8">
              <w:rPr>
                <w:sz w:val="20"/>
                <w:szCs w:val="20"/>
              </w:rPr>
              <w:br/>
            </w:r>
            <w:r w:rsidRPr="00FE7AB3">
              <w:rPr>
                <w:sz w:val="20"/>
                <w:szCs w:val="20"/>
              </w:rPr>
              <w:t>МЗ РТ им.проф. М.З.Сигала» (гистологическая лаборатория)</w:t>
            </w:r>
          </w:p>
        </w:tc>
        <w:tc>
          <w:tcPr>
            <w:tcW w:w="1711" w:type="dxa"/>
          </w:tcPr>
          <w:p w:rsidR="00F94D40" w:rsidRPr="00FE7AB3" w:rsidRDefault="00F94D40" w:rsidP="007D29A9">
            <w:pPr>
              <w:jc w:val="center"/>
              <w:rPr>
                <w:sz w:val="20"/>
                <w:szCs w:val="20"/>
              </w:rPr>
            </w:pPr>
            <w:r w:rsidRPr="00FE7AB3">
              <w:rPr>
                <w:sz w:val="20"/>
                <w:szCs w:val="20"/>
              </w:rPr>
              <w:t>6</w:t>
            </w:r>
          </w:p>
        </w:tc>
        <w:tc>
          <w:tcPr>
            <w:tcW w:w="1700" w:type="dxa"/>
          </w:tcPr>
          <w:p w:rsidR="00F94D40" w:rsidRPr="00FE7AB3" w:rsidRDefault="00F94D40" w:rsidP="007D29A9">
            <w:pPr>
              <w:jc w:val="center"/>
              <w:rPr>
                <w:sz w:val="20"/>
                <w:szCs w:val="20"/>
              </w:rPr>
            </w:pPr>
            <w:r w:rsidRPr="00FE7AB3">
              <w:rPr>
                <w:sz w:val="20"/>
                <w:szCs w:val="20"/>
              </w:rPr>
              <w:t>5</w:t>
            </w:r>
          </w:p>
        </w:tc>
        <w:tc>
          <w:tcPr>
            <w:tcW w:w="1733" w:type="dxa"/>
            <w:shd w:val="clear" w:color="auto" w:fill="auto"/>
          </w:tcPr>
          <w:p w:rsidR="00F94D40" w:rsidRPr="00FE7AB3" w:rsidRDefault="00F94D40" w:rsidP="007D29A9">
            <w:pPr>
              <w:jc w:val="both"/>
              <w:rPr>
                <w:sz w:val="20"/>
                <w:szCs w:val="20"/>
              </w:rPr>
            </w:pPr>
            <w:r w:rsidRPr="00FE7AB3">
              <w:rPr>
                <w:sz w:val="20"/>
                <w:szCs w:val="20"/>
              </w:rPr>
              <w:t>Автоматы для проводки процессорного типа</w:t>
            </w:r>
          </w:p>
        </w:tc>
        <w:tc>
          <w:tcPr>
            <w:tcW w:w="1685" w:type="dxa"/>
          </w:tcPr>
          <w:p w:rsidR="00F94D40" w:rsidRPr="00FE7AB3" w:rsidRDefault="00F94D40" w:rsidP="007D29A9">
            <w:pPr>
              <w:jc w:val="center"/>
              <w:rPr>
                <w:sz w:val="20"/>
                <w:szCs w:val="20"/>
              </w:rPr>
            </w:pPr>
            <w:r w:rsidRPr="00FE7AB3">
              <w:rPr>
                <w:sz w:val="20"/>
                <w:szCs w:val="20"/>
              </w:rPr>
              <w:t>8</w:t>
            </w:r>
          </w:p>
        </w:tc>
        <w:tc>
          <w:tcPr>
            <w:tcW w:w="1602" w:type="dxa"/>
          </w:tcPr>
          <w:p w:rsidR="00F94D40" w:rsidRPr="00FE7AB3" w:rsidRDefault="00F94D40" w:rsidP="007D29A9">
            <w:pPr>
              <w:jc w:val="center"/>
              <w:rPr>
                <w:sz w:val="20"/>
                <w:szCs w:val="20"/>
              </w:rPr>
            </w:pPr>
            <w:r w:rsidRPr="00FE7AB3">
              <w:rPr>
                <w:sz w:val="20"/>
                <w:szCs w:val="20"/>
              </w:rPr>
              <w:t>2017</w:t>
            </w:r>
            <w:r w:rsidR="00FF0BC2">
              <w:rPr>
                <w:sz w:val="20"/>
                <w:szCs w:val="20"/>
              </w:rPr>
              <w:t xml:space="preserve"> </w:t>
            </w:r>
            <w:r w:rsidR="00E868BB">
              <w:rPr>
                <w:sz w:val="20"/>
                <w:szCs w:val="20"/>
              </w:rPr>
              <w:t>(4)</w:t>
            </w:r>
          </w:p>
          <w:p w:rsidR="00F94D40" w:rsidRPr="00FE7AB3" w:rsidRDefault="00F94D40" w:rsidP="007D29A9">
            <w:pPr>
              <w:jc w:val="center"/>
              <w:rPr>
                <w:sz w:val="20"/>
                <w:szCs w:val="20"/>
              </w:rPr>
            </w:pPr>
            <w:r w:rsidRPr="00FE7AB3">
              <w:rPr>
                <w:sz w:val="20"/>
                <w:szCs w:val="20"/>
              </w:rPr>
              <w:t xml:space="preserve"> 2020</w:t>
            </w:r>
            <w:r w:rsidR="00FF0BC2">
              <w:rPr>
                <w:sz w:val="20"/>
                <w:szCs w:val="20"/>
              </w:rPr>
              <w:t xml:space="preserve"> </w:t>
            </w:r>
            <w:r w:rsidR="00E868BB">
              <w:rPr>
                <w:sz w:val="20"/>
                <w:szCs w:val="20"/>
              </w:rPr>
              <w:t>(4)</w:t>
            </w:r>
          </w:p>
        </w:tc>
      </w:tr>
      <w:tr w:rsidR="00FF0BC2" w:rsidRPr="00091230" w:rsidTr="007D29A9">
        <w:trPr>
          <w:trHeight w:val="20"/>
        </w:trPr>
        <w:tc>
          <w:tcPr>
            <w:tcW w:w="1764" w:type="dxa"/>
            <w:vMerge w:val="restart"/>
          </w:tcPr>
          <w:p w:rsidR="00FF0BC2" w:rsidRPr="00FE7AB3" w:rsidRDefault="00FF0BC2" w:rsidP="007D29A9">
            <w:pPr>
              <w:jc w:val="both"/>
              <w:rPr>
                <w:sz w:val="20"/>
                <w:szCs w:val="20"/>
              </w:rPr>
            </w:pPr>
            <w:r w:rsidRPr="00FE7AB3">
              <w:rPr>
                <w:sz w:val="20"/>
                <w:szCs w:val="20"/>
              </w:rPr>
              <w:t>Альметьевский филиал ГАУЗ «РКОД МЗ РТ им.проф.М.З.Сигала» (гистологическая лаборатория)</w:t>
            </w:r>
          </w:p>
        </w:tc>
        <w:tc>
          <w:tcPr>
            <w:tcW w:w="1711" w:type="dxa"/>
            <w:vMerge w:val="restart"/>
          </w:tcPr>
          <w:p w:rsidR="00FF0BC2" w:rsidRPr="00FE7AB3" w:rsidRDefault="00FF0BC2" w:rsidP="007D29A9">
            <w:pPr>
              <w:jc w:val="center"/>
              <w:rPr>
                <w:sz w:val="20"/>
                <w:szCs w:val="20"/>
              </w:rPr>
            </w:pPr>
            <w:r w:rsidRPr="00FE7AB3">
              <w:rPr>
                <w:sz w:val="20"/>
                <w:szCs w:val="20"/>
              </w:rPr>
              <w:t>1</w:t>
            </w:r>
          </w:p>
        </w:tc>
        <w:tc>
          <w:tcPr>
            <w:tcW w:w="1700" w:type="dxa"/>
            <w:vMerge w:val="restart"/>
          </w:tcPr>
          <w:p w:rsidR="00FF0BC2" w:rsidRPr="00FE7AB3" w:rsidRDefault="00FF0BC2" w:rsidP="007D29A9">
            <w:pPr>
              <w:jc w:val="center"/>
              <w:rPr>
                <w:sz w:val="20"/>
                <w:szCs w:val="20"/>
              </w:rPr>
            </w:pPr>
            <w:r w:rsidRPr="00FE7AB3">
              <w:rPr>
                <w:sz w:val="20"/>
                <w:szCs w:val="20"/>
              </w:rPr>
              <w:t>1</w:t>
            </w:r>
          </w:p>
        </w:tc>
        <w:tc>
          <w:tcPr>
            <w:tcW w:w="1733" w:type="dxa"/>
            <w:shd w:val="clear" w:color="auto" w:fill="auto"/>
          </w:tcPr>
          <w:p w:rsidR="00FF0BC2" w:rsidRPr="00FE7AB3" w:rsidRDefault="00FF0BC2" w:rsidP="007D29A9">
            <w:pPr>
              <w:jc w:val="both"/>
              <w:rPr>
                <w:sz w:val="20"/>
                <w:szCs w:val="20"/>
              </w:rPr>
            </w:pPr>
            <w:r w:rsidRPr="00FE7AB3">
              <w:rPr>
                <w:sz w:val="20"/>
                <w:szCs w:val="20"/>
              </w:rPr>
              <w:t>Станции для заливки парафиновых блоков</w:t>
            </w:r>
          </w:p>
        </w:tc>
        <w:tc>
          <w:tcPr>
            <w:tcW w:w="1685" w:type="dxa"/>
          </w:tcPr>
          <w:p w:rsidR="00FF0BC2" w:rsidRPr="00FE7AB3" w:rsidRDefault="00FF0BC2" w:rsidP="007D29A9">
            <w:pPr>
              <w:jc w:val="center"/>
              <w:rPr>
                <w:sz w:val="20"/>
                <w:szCs w:val="20"/>
              </w:rPr>
            </w:pPr>
            <w:r w:rsidRPr="00FE7AB3">
              <w:rPr>
                <w:sz w:val="20"/>
                <w:szCs w:val="20"/>
              </w:rPr>
              <w:t>8</w:t>
            </w:r>
          </w:p>
        </w:tc>
        <w:tc>
          <w:tcPr>
            <w:tcW w:w="1602" w:type="dxa"/>
          </w:tcPr>
          <w:p w:rsidR="00FF0BC2" w:rsidRPr="00FE7AB3" w:rsidRDefault="00FF0BC2" w:rsidP="007D29A9">
            <w:pPr>
              <w:jc w:val="center"/>
              <w:rPr>
                <w:sz w:val="20"/>
                <w:szCs w:val="20"/>
              </w:rPr>
            </w:pPr>
            <w:r w:rsidRPr="00FE7AB3">
              <w:rPr>
                <w:sz w:val="20"/>
                <w:szCs w:val="20"/>
              </w:rPr>
              <w:t>2017</w:t>
            </w:r>
            <w:r>
              <w:rPr>
                <w:sz w:val="20"/>
                <w:szCs w:val="20"/>
              </w:rPr>
              <w:t xml:space="preserve"> (4)</w:t>
            </w:r>
          </w:p>
          <w:p w:rsidR="00FF0BC2" w:rsidRPr="00FE7AB3" w:rsidRDefault="00FF0BC2" w:rsidP="007D29A9">
            <w:pPr>
              <w:jc w:val="center"/>
              <w:rPr>
                <w:sz w:val="20"/>
                <w:szCs w:val="20"/>
              </w:rPr>
            </w:pPr>
            <w:r w:rsidRPr="00FE7AB3">
              <w:rPr>
                <w:sz w:val="20"/>
                <w:szCs w:val="20"/>
              </w:rPr>
              <w:t>2020</w:t>
            </w:r>
            <w:r>
              <w:rPr>
                <w:sz w:val="20"/>
                <w:szCs w:val="20"/>
              </w:rPr>
              <w:t xml:space="preserve"> (4)</w:t>
            </w:r>
          </w:p>
        </w:tc>
      </w:tr>
      <w:tr w:rsidR="00FF0BC2" w:rsidRPr="00091230" w:rsidTr="007D29A9">
        <w:trPr>
          <w:trHeight w:val="20"/>
        </w:trPr>
        <w:tc>
          <w:tcPr>
            <w:tcW w:w="1764" w:type="dxa"/>
            <w:vMerge/>
          </w:tcPr>
          <w:p w:rsidR="00FF0BC2" w:rsidRPr="00FE7AB3" w:rsidRDefault="00FF0BC2" w:rsidP="007D29A9">
            <w:pPr>
              <w:rPr>
                <w:sz w:val="20"/>
                <w:szCs w:val="20"/>
              </w:rPr>
            </w:pPr>
          </w:p>
        </w:tc>
        <w:tc>
          <w:tcPr>
            <w:tcW w:w="1711" w:type="dxa"/>
            <w:vMerge/>
          </w:tcPr>
          <w:p w:rsidR="00FF0BC2" w:rsidRPr="00FE7AB3" w:rsidRDefault="00FF0BC2" w:rsidP="007D29A9">
            <w:pPr>
              <w:jc w:val="center"/>
              <w:rPr>
                <w:sz w:val="20"/>
                <w:szCs w:val="20"/>
              </w:rPr>
            </w:pPr>
          </w:p>
        </w:tc>
        <w:tc>
          <w:tcPr>
            <w:tcW w:w="1700" w:type="dxa"/>
            <w:vMerge/>
          </w:tcPr>
          <w:p w:rsidR="00FF0BC2" w:rsidRPr="00FE7AB3" w:rsidRDefault="00FF0BC2" w:rsidP="007D29A9">
            <w:pPr>
              <w:jc w:val="center"/>
              <w:rPr>
                <w:sz w:val="20"/>
                <w:szCs w:val="20"/>
              </w:rPr>
            </w:pPr>
          </w:p>
        </w:tc>
        <w:tc>
          <w:tcPr>
            <w:tcW w:w="1733" w:type="dxa"/>
            <w:shd w:val="clear" w:color="auto" w:fill="auto"/>
          </w:tcPr>
          <w:p w:rsidR="00FF0BC2" w:rsidRPr="00FE7AB3" w:rsidRDefault="00FF0BC2" w:rsidP="007D29A9">
            <w:pPr>
              <w:jc w:val="both"/>
              <w:rPr>
                <w:sz w:val="20"/>
                <w:szCs w:val="20"/>
              </w:rPr>
            </w:pPr>
            <w:r w:rsidRPr="00FE7AB3">
              <w:rPr>
                <w:sz w:val="20"/>
                <w:szCs w:val="20"/>
              </w:rPr>
              <w:t>Микротомы санные</w:t>
            </w:r>
          </w:p>
        </w:tc>
        <w:tc>
          <w:tcPr>
            <w:tcW w:w="1685" w:type="dxa"/>
          </w:tcPr>
          <w:p w:rsidR="00FF0BC2" w:rsidRPr="00FE7AB3" w:rsidRDefault="00FF0BC2" w:rsidP="007D29A9">
            <w:pPr>
              <w:jc w:val="center"/>
              <w:rPr>
                <w:sz w:val="20"/>
                <w:szCs w:val="20"/>
              </w:rPr>
            </w:pPr>
            <w:r w:rsidRPr="00FE7AB3">
              <w:rPr>
                <w:sz w:val="20"/>
                <w:szCs w:val="20"/>
              </w:rPr>
              <w:t>2</w:t>
            </w:r>
          </w:p>
        </w:tc>
        <w:tc>
          <w:tcPr>
            <w:tcW w:w="1602" w:type="dxa"/>
          </w:tcPr>
          <w:p w:rsidR="00FF0BC2" w:rsidRPr="00FE7AB3" w:rsidRDefault="00FF0BC2" w:rsidP="007D29A9">
            <w:pPr>
              <w:jc w:val="center"/>
              <w:rPr>
                <w:sz w:val="20"/>
                <w:szCs w:val="20"/>
              </w:rPr>
            </w:pPr>
            <w:r w:rsidRPr="00FE7AB3">
              <w:rPr>
                <w:sz w:val="20"/>
                <w:szCs w:val="20"/>
              </w:rPr>
              <w:t>2015</w:t>
            </w:r>
            <w:r>
              <w:rPr>
                <w:sz w:val="20"/>
                <w:szCs w:val="20"/>
              </w:rPr>
              <w:t xml:space="preserve"> (2)</w:t>
            </w:r>
          </w:p>
        </w:tc>
      </w:tr>
      <w:tr w:rsidR="00FF0BC2" w:rsidRPr="00091230" w:rsidTr="007D29A9">
        <w:trPr>
          <w:trHeight w:val="20"/>
        </w:trPr>
        <w:tc>
          <w:tcPr>
            <w:tcW w:w="1764" w:type="dxa"/>
            <w:vMerge/>
          </w:tcPr>
          <w:p w:rsidR="00FF0BC2" w:rsidRPr="00FE7AB3" w:rsidRDefault="00FF0BC2" w:rsidP="007D29A9">
            <w:pPr>
              <w:rPr>
                <w:sz w:val="20"/>
                <w:szCs w:val="20"/>
              </w:rPr>
            </w:pPr>
          </w:p>
        </w:tc>
        <w:tc>
          <w:tcPr>
            <w:tcW w:w="1711" w:type="dxa"/>
            <w:vMerge/>
          </w:tcPr>
          <w:p w:rsidR="00FF0BC2" w:rsidRPr="00FE7AB3" w:rsidRDefault="00FF0BC2" w:rsidP="007D29A9">
            <w:pPr>
              <w:jc w:val="center"/>
              <w:rPr>
                <w:sz w:val="20"/>
                <w:szCs w:val="20"/>
              </w:rPr>
            </w:pPr>
          </w:p>
        </w:tc>
        <w:tc>
          <w:tcPr>
            <w:tcW w:w="1700" w:type="dxa"/>
            <w:vMerge/>
          </w:tcPr>
          <w:p w:rsidR="00FF0BC2" w:rsidRPr="00FE7AB3" w:rsidRDefault="00FF0BC2" w:rsidP="007D29A9">
            <w:pPr>
              <w:jc w:val="center"/>
              <w:rPr>
                <w:sz w:val="20"/>
                <w:szCs w:val="20"/>
              </w:rPr>
            </w:pPr>
          </w:p>
        </w:tc>
        <w:tc>
          <w:tcPr>
            <w:tcW w:w="1733" w:type="dxa"/>
            <w:shd w:val="clear" w:color="auto" w:fill="auto"/>
          </w:tcPr>
          <w:p w:rsidR="00FF0BC2" w:rsidRPr="00FE7AB3" w:rsidRDefault="00FF0BC2" w:rsidP="007D29A9">
            <w:pPr>
              <w:jc w:val="both"/>
              <w:rPr>
                <w:sz w:val="20"/>
                <w:szCs w:val="20"/>
              </w:rPr>
            </w:pPr>
            <w:r w:rsidRPr="00FE7AB3">
              <w:rPr>
                <w:sz w:val="20"/>
                <w:szCs w:val="20"/>
              </w:rPr>
              <w:t>Микротомы ротационные механические</w:t>
            </w:r>
          </w:p>
        </w:tc>
        <w:tc>
          <w:tcPr>
            <w:tcW w:w="1685" w:type="dxa"/>
          </w:tcPr>
          <w:p w:rsidR="00FF0BC2" w:rsidRPr="00FE7AB3" w:rsidRDefault="00FF0BC2" w:rsidP="007D29A9">
            <w:pPr>
              <w:jc w:val="center"/>
              <w:rPr>
                <w:sz w:val="20"/>
                <w:szCs w:val="20"/>
              </w:rPr>
            </w:pPr>
            <w:r w:rsidRPr="00FE7AB3">
              <w:rPr>
                <w:sz w:val="20"/>
                <w:szCs w:val="20"/>
              </w:rPr>
              <w:t>21</w:t>
            </w:r>
          </w:p>
        </w:tc>
        <w:tc>
          <w:tcPr>
            <w:tcW w:w="1602" w:type="dxa"/>
          </w:tcPr>
          <w:p w:rsidR="00FF0BC2" w:rsidRPr="00FE7AB3" w:rsidRDefault="00FF0BC2" w:rsidP="007D29A9">
            <w:pPr>
              <w:jc w:val="center"/>
              <w:rPr>
                <w:sz w:val="20"/>
                <w:szCs w:val="20"/>
              </w:rPr>
            </w:pPr>
            <w:r w:rsidRPr="00FE7AB3">
              <w:rPr>
                <w:sz w:val="20"/>
                <w:szCs w:val="20"/>
              </w:rPr>
              <w:t>2020</w:t>
            </w:r>
            <w:r>
              <w:rPr>
                <w:sz w:val="20"/>
                <w:szCs w:val="20"/>
              </w:rPr>
              <w:t xml:space="preserve"> (9)</w:t>
            </w:r>
          </w:p>
          <w:p w:rsidR="00FF0BC2" w:rsidRPr="00FE7AB3" w:rsidRDefault="00FF0BC2" w:rsidP="007D29A9">
            <w:pPr>
              <w:jc w:val="center"/>
              <w:rPr>
                <w:sz w:val="20"/>
                <w:szCs w:val="20"/>
              </w:rPr>
            </w:pPr>
            <w:r w:rsidRPr="00FE7AB3">
              <w:rPr>
                <w:sz w:val="20"/>
                <w:szCs w:val="20"/>
              </w:rPr>
              <w:t>2018</w:t>
            </w:r>
            <w:r>
              <w:rPr>
                <w:sz w:val="20"/>
                <w:szCs w:val="20"/>
              </w:rPr>
              <w:t xml:space="preserve"> (11)</w:t>
            </w:r>
          </w:p>
          <w:p w:rsidR="00FF0BC2" w:rsidRPr="00FE7AB3" w:rsidRDefault="00FF0BC2" w:rsidP="007D29A9">
            <w:pPr>
              <w:jc w:val="center"/>
              <w:rPr>
                <w:sz w:val="20"/>
                <w:szCs w:val="20"/>
              </w:rPr>
            </w:pPr>
            <w:r w:rsidRPr="00FE7AB3">
              <w:rPr>
                <w:sz w:val="20"/>
                <w:szCs w:val="20"/>
              </w:rPr>
              <w:t>2015</w:t>
            </w:r>
            <w:r>
              <w:rPr>
                <w:sz w:val="20"/>
                <w:szCs w:val="20"/>
              </w:rPr>
              <w:t xml:space="preserve"> (1)</w:t>
            </w:r>
          </w:p>
        </w:tc>
      </w:tr>
      <w:tr w:rsidR="00FF0BC2" w:rsidRPr="00091230" w:rsidTr="007D29A9">
        <w:trPr>
          <w:trHeight w:val="20"/>
        </w:trPr>
        <w:tc>
          <w:tcPr>
            <w:tcW w:w="1764" w:type="dxa"/>
            <w:vMerge/>
          </w:tcPr>
          <w:p w:rsidR="00FF0BC2" w:rsidRPr="00FE7AB3" w:rsidRDefault="00FF0BC2" w:rsidP="007D29A9">
            <w:pPr>
              <w:rPr>
                <w:sz w:val="20"/>
                <w:szCs w:val="20"/>
              </w:rPr>
            </w:pPr>
          </w:p>
        </w:tc>
        <w:tc>
          <w:tcPr>
            <w:tcW w:w="1711" w:type="dxa"/>
            <w:vMerge/>
          </w:tcPr>
          <w:p w:rsidR="00FF0BC2" w:rsidRPr="00FE7AB3" w:rsidRDefault="00FF0BC2" w:rsidP="007D29A9">
            <w:pPr>
              <w:jc w:val="center"/>
              <w:rPr>
                <w:sz w:val="20"/>
                <w:szCs w:val="20"/>
              </w:rPr>
            </w:pPr>
          </w:p>
        </w:tc>
        <w:tc>
          <w:tcPr>
            <w:tcW w:w="1700" w:type="dxa"/>
            <w:vMerge/>
          </w:tcPr>
          <w:p w:rsidR="00FF0BC2" w:rsidRPr="00FE7AB3" w:rsidRDefault="00FF0BC2" w:rsidP="007D29A9">
            <w:pPr>
              <w:jc w:val="center"/>
              <w:rPr>
                <w:sz w:val="20"/>
                <w:szCs w:val="20"/>
              </w:rPr>
            </w:pPr>
          </w:p>
        </w:tc>
        <w:tc>
          <w:tcPr>
            <w:tcW w:w="1733" w:type="dxa"/>
            <w:shd w:val="clear" w:color="auto" w:fill="auto"/>
          </w:tcPr>
          <w:p w:rsidR="00FF0BC2" w:rsidRPr="00FE7AB3" w:rsidRDefault="00FF0BC2" w:rsidP="007D29A9">
            <w:pPr>
              <w:jc w:val="both"/>
              <w:rPr>
                <w:sz w:val="20"/>
                <w:szCs w:val="20"/>
              </w:rPr>
            </w:pPr>
            <w:r w:rsidRPr="00FE7AB3">
              <w:rPr>
                <w:sz w:val="20"/>
                <w:szCs w:val="20"/>
              </w:rPr>
              <w:t>Микротомы ротационные моторизованные</w:t>
            </w:r>
          </w:p>
        </w:tc>
        <w:tc>
          <w:tcPr>
            <w:tcW w:w="1685" w:type="dxa"/>
          </w:tcPr>
          <w:p w:rsidR="00FF0BC2" w:rsidRPr="00FE7AB3" w:rsidRDefault="00FF0BC2" w:rsidP="007D29A9">
            <w:pPr>
              <w:jc w:val="center"/>
              <w:rPr>
                <w:sz w:val="20"/>
                <w:szCs w:val="20"/>
              </w:rPr>
            </w:pPr>
            <w:r w:rsidRPr="00FE7AB3">
              <w:rPr>
                <w:sz w:val="20"/>
                <w:szCs w:val="20"/>
              </w:rPr>
              <w:t>3</w:t>
            </w:r>
          </w:p>
        </w:tc>
        <w:tc>
          <w:tcPr>
            <w:tcW w:w="1602" w:type="dxa"/>
          </w:tcPr>
          <w:p w:rsidR="00FF0BC2" w:rsidRPr="00FE7AB3" w:rsidRDefault="00FF0BC2" w:rsidP="007D29A9">
            <w:pPr>
              <w:jc w:val="center"/>
              <w:rPr>
                <w:sz w:val="20"/>
                <w:szCs w:val="20"/>
              </w:rPr>
            </w:pPr>
            <w:r w:rsidRPr="00FE7AB3">
              <w:rPr>
                <w:sz w:val="20"/>
                <w:szCs w:val="20"/>
              </w:rPr>
              <w:t>2018</w:t>
            </w:r>
            <w:r>
              <w:rPr>
                <w:sz w:val="20"/>
                <w:szCs w:val="20"/>
              </w:rPr>
              <w:t xml:space="preserve"> (1)</w:t>
            </w:r>
          </w:p>
          <w:p w:rsidR="00FF0BC2" w:rsidRPr="00FE7AB3" w:rsidRDefault="00FF0BC2" w:rsidP="007D29A9">
            <w:pPr>
              <w:jc w:val="center"/>
              <w:rPr>
                <w:sz w:val="20"/>
                <w:szCs w:val="20"/>
              </w:rPr>
            </w:pPr>
            <w:r w:rsidRPr="00FE7AB3">
              <w:rPr>
                <w:sz w:val="20"/>
                <w:szCs w:val="20"/>
              </w:rPr>
              <w:t>2010</w:t>
            </w:r>
            <w:r>
              <w:rPr>
                <w:sz w:val="20"/>
                <w:szCs w:val="20"/>
              </w:rPr>
              <w:t xml:space="preserve"> (1)</w:t>
            </w:r>
          </w:p>
        </w:tc>
      </w:tr>
      <w:tr w:rsidR="00FF0BC2" w:rsidRPr="00091230" w:rsidTr="007D29A9">
        <w:trPr>
          <w:trHeight w:val="20"/>
        </w:trPr>
        <w:tc>
          <w:tcPr>
            <w:tcW w:w="1764" w:type="dxa"/>
            <w:vMerge/>
          </w:tcPr>
          <w:p w:rsidR="00FF0BC2" w:rsidRPr="00FE7AB3" w:rsidRDefault="00FF0BC2" w:rsidP="007D29A9">
            <w:pPr>
              <w:rPr>
                <w:sz w:val="20"/>
                <w:szCs w:val="20"/>
              </w:rPr>
            </w:pPr>
          </w:p>
        </w:tc>
        <w:tc>
          <w:tcPr>
            <w:tcW w:w="1711" w:type="dxa"/>
            <w:vMerge/>
          </w:tcPr>
          <w:p w:rsidR="00FF0BC2" w:rsidRPr="00FE7AB3" w:rsidRDefault="00FF0BC2" w:rsidP="007D29A9">
            <w:pPr>
              <w:jc w:val="center"/>
              <w:rPr>
                <w:sz w:val="20"/>
                <w:szCs w:val="20"/>
              </w:rPr>
            </w:pPr>
          </w:p>
        </w:tc>
        <w:tc>
          <w:tcPr>
            <w:tcW w:w="1700" w:type="dxa"/>
            <w:vMerge/>
          </w:tcPr>
          <w:p w:rsidR="00FF0BC2" w:rsidRPr="00FE7AB3" w:rsidRDefault="00FF0BC2" w:rsidP="007D29A9">
            <w:pPr>
              <w:jc w:val="center"/>
              <w:rPr>
                <w:sz w:val="20"/>
                <w:szCs w:val="20"/>
              </w:rPr>
            </w:pPr>
          </w:p>
        </w:tc>
        <w:tc>
          <w:tcPr>
            <w:tcW w:w="1733" w:type="dxa"/>
            <w:shd w:val="clear" w:color="auto" w:fill="auto"/>
          </w:tcPr>
          <w:p w:rsidR="00FF0BC2" w:rsidRPr="00FE7AB3" w:rsidRDefault="00FF0BC2" w:rsidP="007D29A9">
            <w:pPr>
              <w:jc w:val="both"/>
              <w:rPr>
                <w:sz w:val="20"/>
                <w:szCs w:val="20"/>
              </w:rPr>
            </w:pPr>
            <w:r w:rsidRPr="00FE7AB3">
              <w:rPr>
                <w:sz w:val="20"/>
                <w:szCs w:val="20"/>
              </w:rPr>
              <w:t>Ультрамикротомы</w:t>
            </w:r>
          </w:p>
        </w:tc>
        <w:tc>
          <w:tcPr>
            <w:tcW w:w="1685" w:type="dxa"/>
          </w:tcPr>
          <w:p w:rsidR="00FF0BC2" w:rsidRPr="00FE7AB3" w:rsidRDefault="00FF0BC2" w:rsidP="007D29A9">
            <w:pPr>
              <w:jc w:val="center"/>
              <w:rPr>
                <w:sz w:val="20"/>
                <w:szCs w:val="20"/>
              </w:rPr>
            </w:pPr>
            <w:r w:rsidRPr="00FE7AB3">
              <w:rPr>
                <w:sz w:val="20"/>
                <w:szCs w:val="20"/>
              </w:rPr>
              <w:t>0</w:t>
            </w:r>
          </w:p>
        </w:tc>
        <w:tc>
          <w:tcPr>
            <w:tcW w:w="1602" w:type="dxa"/>
          </w:tcPr>
          <w:p w:rsidR="00FF0BC2" w:rsidRPr="00FE7AB3" w:rsidRDefault="00FF0BC2" w:rsidP="007D29A9">
            <w:pPr>
              <w:jc w:val="center"/>
              <w:rPr>
                <w:sz w:val="20"/>
                <w:szCs w:val="20"/>
              </w:rPr>
            </w:pPr>
            <w:r>
              <w:rPr>
                <w:sz w:val="20"/>
                <w:szCs w:val="20"/>
              </w:rPr>
              <w:t>-</w:t>
            </w:r>
          </w:p>
        </w:tc>
      </w:tr>
      <w:tr w:rsidR="00FF0BC2" w:rsidRPr="00091230" w:rsidTr="007D29A9">
        <w:trPr>
          <w:trHeight w:val="20"/>
        </w:trPr>
        <w:tc>
          <w:tcPr>
            <w:tcW w:w="1764" w:type="dxa"/>
            <w:vMerge/>
          </w:tcPr>
          <w:p w:rsidR="00FF0BC2" w:rsidRPr="00FE7AB3" w:rsidRDefault="00FF0BC2" w:rsidP="007D29A9">
            <w:pPr>
              <w:rPr>
                <w:sz w:val="20"/>
                <w:szCs w:val="20"/>
              </w:rPr>
            </w:pPr>
          </w:p>
        </w:tc>
        <w:tc>
          <w:tcPr>
            <w:tcW w:w="1711" w:type="dxa"/>
            <w:vMerge/>
          </w:tcPr>
          <w:p w:rsidR="00FF0BC2" w:rsidRPr="00FE7AB3" w:rsidRDefault="00FF0BC2" w:rsidP="007D29A9">
            <w:pPr>
              <w:jc w:val="center"/>
              <w:rPr>
                <w:sz w:val="20"/>
                <w:szCs w:val="20"/>
              </w:rPr>
            </w:pPr>
          </w:p>
        </w:tc>
        <w:tc>
          <w:tcPr>
            <w:tcW w:w="1700" w:type="dxa"/>
            <w:vMerge/>
          </w:tcPr>
          <w:p w:rsidR="00FF0BC2" w:rsidRPr="00FE7AB3" w:rsidRDefault="00FF0BC2" w:rsidP="007D29A9">
            <w:pPr>
              <w:jc w:val="center"/>
              <w:rPr>
                <w:sz w:val="20"/>
                <w:szCs w:val="20"/>
              </w:rPr>
            </w:pPr>
          </w:p>
        </w:tc>
        <w:tc>
          <w:tcPr>
            <w:tcW w:w="1733" w:type="dxa"/>
            <w:shd w:val="clear" w:color="auto" w:fill="auto"/>
          </w:tcPr>
          <w:p w:rsidR="00FF0BC2" w:rsidRPr="00FE7AB3" w:rsidRDefault="00FF0BC2" w:rsidP="007D29A9">
            <w:pPr>
              <w:jc w:val="both"/>
              <w:rPr>
                <w:sz w:val="20"/>
                <w:szCs w:val="20"/>
              </w:rPr>
            </w:pPr>
            <w:r w:rsidRPr="00FE7AB3">
              <w:rPr>
                <w:sz w:val="20"/>
                <w:szCs w:val="20"/>
              </w:rPr>
              <w:t>Автоматы для окраски микропрепаратов</w:t>
            </w:r>
          </w:p>
        </w:tc>
        <w:tc>
          <w:tcPr>
            <w:tcW w:w="1685" w:type="dxa"/>
          </w:tcPr>
          <w:p w:rsidR="00FF0BC2" w:rsidRPr="00FE7AB3" w:rsidRDefault="00FF0BC2" w:rsidP="007D29A9">
            <w:pPr>
              <w:jc w:val="center"/>
              <w:rPr>
                <w:sz w:val="20"/>
                <w:szCs w:val="20"/>
              </w:rPr>
            </w:pPr>
            <w:r w:rsidRPr="00FE7AB3">
              <w:rPr>
                <w:sz w:val="20"/>
                <w:szCs w:val="20"/>
              </w:rPr>
              <w:t>6</w:t>
            </w:r>
          </w:p>
        </w:tc>
        <w:tc>
          <w:tcPr>
            <w:tcW w:w="1602" w:type="dxa"/>
          </w:tcPr>
          <w:p w:rsidR="00FF0BC2" w:rsidRPr="00FE7AB3" w:rsidRDefault="00FF0BC2" w:rsidP="007D29A9">
            <w:pPr>
              <w:jc w:val="center"/>
              <w:rPr>
                <w:sz w:val="20"/>
                <w:szCs w:val="20"/>
              </w:rPr>
            </w:pPr>
            <w:r w:rsidRPr="00FE7AB3">
              <w:rPr>
                <w:sz w:val="20"/>
                <w:szCs w:val="20"/>
              </w:rPr>
              <w:t>2022</w:t>
            </w:r>
            <w:r>
              <w:rPr>
                <w:sz w:val="20"/>
                <w:szCs w:val="20"/>
              </w:rPr>
              <w:t xml:space="preserve"> (4)</w:t>
            </w:r>
          </w:p>
          <w:p w:rsidR="00FF0BC2" w:rsidRPr="00FE7AB3" w:rsidRDefault="00FF0BC2" w:rsidP="007D29A9">
            <w:pPr>
              <w:jc w:val="center"/>
              <w:rPr>
                <w:sz w:val="20"/>
                <w:szCs w:val="20"/>
              </w:rPr>
            </w:pPr>
            <w:r w:rsidRPr="00FE7AB3">
              <w:rPr>
                <w:sz w:val="20"/>
                <w:szCs w:val="20"/>
              </w:rPr>
              <w:t>2018</w:t>
            </w:r>
            <w:r>
              <w:rPr>
                <w:sz w:val="20"/>
                <w:szCs w:val="20"/>
              </w:rPr>
              <w:t xml:space="preserve"> (2)</w:t>
            </w:r>
          </w:p>
        </w:tc>
      </w:tr>
      <w:tr w:rsidR="00FF0BC2" w:rsidRPr="00091230" w:rsidTr="007D29A9">
        <w:trPr>
          <w:trHeight w:val="20"/>
        </w:trPr>
        <w:tc>
          <w:tcPr>
            <w:tcW w:w="1764" w:type="dxa"/>
            <w:vMerge/>
          </w:tcPr>
          <w:p w:rsidR="00FF0BC2" w:rsidRPr="00FE7AB3" w:rsidRDefault="00FF0BC2" w:rsidP="007D29A9">
            <w:pPr>
              <w:rPr>
                <w:sz w:val="20"/>
                <w:szCs w:val="20"/>
              </w:rPr>
            </w:pPr>
          </w:p>
        </w:tc>
        <w:tc>
          <w:tcPr>
            <w:tcW w:w="1711" w:type="dxa"/>
            <w:vMerge/>
          </w:tcPr>
          <w:p w:rsidR="00FF0BC2" w:rsidRPr="00FE7AB3" w:rsidRDefault="00FF0BC2" w:rsidP="007D29A9">
            <w:pPr>
              <w:jc w:val="center"/>
              <w:rPr>
                <w:sz w:val="20"/>
                <w:szCs w:val="20"/>
              </w:rPr>
            </w:pPr>
          </w:p>
        </w:tc>
        <w:tc>
          <w:tcPr>
            <w:tcW w:w="1700" w:type="dxa"/>
            <w:vMerge/>
          </w:tcPr>
          <w:p w:rsidR="00FF0BC2" w:rsidRPr="00FE7AB3" w:rsidRDefault="00FF0BC2" w:rsidP="007D29A9">
            <w:pPr>
              <w:jc w:val="center"/>
              <w:rPr>
                <w:sz w:val="20"/>
                <w:szCs w:val="20"/>
              </w:rPr>
            </w:pPr>
          </w:p>
        </w:tc>
        <w:tc>
          <w:tcPr>
            <w:tcW w:w="1733" w:type="dxa"/>
            <w:shd w:val="clear" w:color="auto" w:fill="auto"/>
          </w:tcPr>
          <w:p w:rsidR="00FF0BC2" w:rsidRPr="00FE7AB3" w:rsidRDefault="00FF0BC2" w:rsidP="007D29A9">
            <w:pPr>
              <w:jc w:val="both"/>
              <w:rPr>
                <w:sz w:val="20"/>
                <w:szCs w:val="20"/>
              </w:rPr>
            </w:pPr>
            <w:r w:rsidRPr="00FE7AB3">
              <w:rPr>
                <w:sz w:val="20"/>
                <w:szCs w:val="20"/>
              </w:rPr>
              <w:t>Иммуногистостейнеры</w:t>
            </w:r>
          </w:p>
        </w:tc>
        <w:tc>
          <w:tcPr>
            <w:tcW w:w="1685" w:type="dxa"/>
          </w:tcPr>
          <w:p w:rsidR="00FF0BC2" w:rsidRPr="00FE7AB3" w:rsidRDefault="00FF0BC2" w:rsidP="007D29A9">
            <w:pPr>
              <w:jc w:val="center"/>
              <w:rPr>
                <w:sz w:val="20"/>
                <w:szCs w:val="20"/>
              </w:rPr>
            </w:pPr>
            <w:r w:rsidRPr="00FE7AB3">
              <w:rPr>
                <w:sz w:val="20"/>
                <w:szCs w:val="20"/>
              </w:rPr>
              <w:t>5</w:t>
            </w:r>
          </w:p>
        </w:tc>
        <w:tc>
          <w:tcPr>
            <w:tcW w:w="1602" w:type="dxa"/>
          </w:tcPr>
          <w:p w:rsidR="00FF0BC2" w:rsidRPr="00FE7AB3" w:rsidRDefault="00FF0BC2" w:rsidP="007D29A9">
            <w:pPr>
              <w:jc w:val="center"/>
              <w:rPr>
                <w:sz w:val="20"/>
                <w:szCs w:val="20"/>
              </w:rPr>
            </w:pPr>
            <w:r w:rsidRPr="00FE7AB3">
              <w:rPr>
                <w:sz w:val="20"/>
                <w:szCs w:val="20"/>
              </w:rPr>
              <w:t>2020</w:t>
            </w:r>
            <w:r>
              <w:rPr>
                <w:sz w:val="20"/>
                <w:szCs w:val="20"/>
              </w:rPr>
              <w:t xml:space="preserve"> (5)</w:t>
            </w:r>
          </w:p>
        </w:tc>
      </w:tr>
      <w:tr w:rsidR="00FF0BC2" w:rsidRPr="00091230" w:rsidTr="007D29A9">
        <w:trPr>
          <w:trHeight w:val="20"/>
        </w:trPr>
        <w:tc>
          <w:tcPr>
            <w:tcW w:w="1764" w:type="dxa"/>
            <w:vMerge/>
          </w:tcPr>
          <w:p w:rsidR="00FF0BC2" w:rsidRPr="00FE7AB3" w:rsidRDefault="00FF0BC2" w:rsidP="007D29A9">
            <w:pPr>
              <w:rPr>
                <w:sz w:val="20"/>
                <w:szCs w:val="20"/>
              </w:rPr>
            </w:pPr>
          </w:p>
        </w:tc>
        <w:tc>
          <w:tcPr>
            <w:tcW w:w="1711" w:type="dxa"/>
            <w:vMerge/>
          </w:tcPr>
          <w:p w:rsidR="00FF0BC2" w:rsidRPr="00FE7AB3" w:rsidRDefault="00FF0BC2" w:rsidP="007D29A9">
            <w:pPr>
              <w:jc w:val="center"/>
              <w:rPr>
                <w:sz w:val="20"/>
                <w:szCs w:val="20"/>
              </w:rPr>
            </w:pPr>
          </w:p>
        </w:tc>
        <w:tc>
          <w:tcPr>
            <w:tcW w:w="1700" w:type="dxa"/>
            <w:vMerge/>
          </w:tcPr>
          <w:p w:rsidR="00FF0BC2" w:rsidRPr="00FE7AB3" w:rsidRDefault="00FF0BC2" w:rsidP="007D29A9">
            <w:pPr>
              <w:jc w:val="center"/>
              <w:rPr>
                <w:sz w:val="20"/>
                <w:szCs w:val="20"/>
              </w:rPr>
            </w:pPr>
          </w:p>
        </w:tc>
        <w:tc>
          <w:tcPr>
            <w:tcW w:w="1733" w:type="dxa"/>
            <w:shd w:val="clear" w:color="auto" w:fill="auto"/>
          </w:tcPr>
          <w:p w:rsidR="00FF0BC2" w:rsidRPr="00FE7AB3" w:rsidRDefault="00FF0BC2" w:rsidP="007D29A9">
            <w:pPr>
              <w:jc w:val="both"/>
              <w:rPr>
                <w:sz w:val="20"/>
                <w:szCs w:val="20"/>
              </w:rPr>
            </w:pPr>
            <w:r w:rsidRPr="00FE7AB3">
              <w:rPr>
                <w:sz w:val="20"/>
                <w:szCs w:val="20"/>
              </w:rPr>
              <w:t>Автоматы для заключения микропрепаратов</w:t>
            </w:r>
          </w:p>
        </w:tc>
        <w:tc>
          <w:tcPr>
            <w:tcW w:w="1685" w:type="dxa"/>
          </w:tcPr>
          <w:p w:rsidR="00FF0BC2" w:rsidRPr="00FE7AB3" w:rsidRDefault="00FF0BC2" w:rsidP="007D29A9">
            <w:pPr>
              <w:jc w:val="center"/>
              <w:rPr>
                <w:sz w:val="20"/>
                <w:szCs w:val="20"/>
              </w:rPr>
            </w:pPr>
            <w:r w:rsidRPr="00FE7AB3">
              <w:rPr>
                <w:sz w:val="20"/>
                <w:szCs w:val="20"/>
              </w:rPr>
              <w:t>7</w:t>
            </w:r>
          </w:p>
        </w:tc>
        <w:tc>
          <w:tcPr>
            <w:tcW w:w="1602" w:type="dxa"/>
          </w:tcPr>
          <w:p w:rsidR="00FF0BC2" w:rsidRPr="00FE7AB3" w:rsidRDefault="00FF0BC2" w:rsidP="007D29A9">
            <w:pPr>
              <w:jc w:val="center"/>
              <w:rPr>
                <w:sz w:val="20"/>
                <w:szCs w:val="20"/>
              </w:rPr>
            </w:pPr>
            <w:r w:rsidRPr="00FE7AB3">
              <w:rPr>
                <w:sz w:val="20"/>
                <w:szCs w:val="20"/>
              </w:rPr>
              <w:t xml:space="preserve"> 2017</w:t>
            </w:r>
            <w:r>
              <w:rPr>
                <w:sz w:val="20"/>
                <w:szCs w:val="20"/>
              </w:rPr>
              <w:t xml:space="preserve"> (5)</w:t>
            </w:r>
          </w:p>
          <w:p w:rsidR="00FF0BC2" w:rsidRPr="00FE7AB3" w:rsidRDefault="00FF0BC2" w:rsidP="007D29A9">
            <w:pPr>
              <w:jc w:val="center"/>
              <w:rPr>
                <w:sz w:val="20"/>
                <w:szCs w:val="20"/>
              </w:rPr>
            </w:pPr>
            <w:r w:rsidRPr="00FE7AB3">
              <w:rPr>
                <w:sz w:val="20"/>
                <w:szCs w:val="20"/>
              </w:rPr>
              <w:t>2015</w:t>
            </w:r>
            <w:r>
              <w:rPr>
                <w:sz w:val="20"/>
                <w:szCs w:val="20"/>
              </w:rPr>
              <w:t xml:space="preserve"> (1)</w:t>
            </w:r>
          </w:p>
          <w:p w:rsidR="00FF0BC2" w:rsidRPr="00FE7AB3" w:rsidRDefault="00FF0BC2" w:rsidP="00FF0BC2">
            <w:pPr>
              <w:jc w:val="center"/>
              <w:rPr>
                <w:sz w:val="20"/>
                <w:szCs w:val="20"/>
              </w:rPr>
            </w:pPr>
            <w:r w:rsidRPr="00FE7AB3">
              <w:rPr>
                <w:sz w:val="20"/>
                <w:szCs w:val="20"/>
              </w:rPr>
              <w:t>2010</w:t>
            </w:r>
            <w:r>
              <w:rPr>
                <w:sz w:val="20"/>
                <w:szCs w:val="20"/>
              </w:rPr>
              <w:t xml:space="preserve"> (1)</w:t>
            </w:r>
          </w:p>
        </w:tc>
      </w:tr>
      <w:tr w:rsidR="00FF0BC2" w:rsidRPr="00091230" w:rsidTr="007D29A9">
        <w:trPr>
          <w:trHeight w:val="20"/>
        </w:trPr>
        <w:tc>
          <w:tcPr>
            <w:tcW w:w="1764" w:type="dxa"/>
            <w:vMerge/>
          </w:tcPr>
          <w:p w:rsidR="00FF0BC2" w:rsidRPr="00FE7AB3" w:rsidRDefault="00FF0BC2" w:rsidP="007D29A9">
            <w:pPr>
              <w:rPr>
                <w:sz w:val="20"/>
                <w:szCs w:val="20"/>
              </w:rPr>
            </w:pPr>
          </w:p>
        </w:tc>
        <w:tc>
          <w:tcPr>
            <w:tcW w:w="1711" w:type="dxa"/>
            <w:vMerge/>
          </w:tcPr>
          <w:p w:rsidR="00FF0BC2" w:rsidRPr="00FE7AB3" w:rsidRDefault="00FF0BC2" w:rsidP="007D29A9">
            <w:pPr>
              <w:jc w:val="center"/>
              <w:rPr>
                <w:sz w:val="20"/>
                <w:szCs w:val="20"/>
              </w:rPr>
            </w:pPr>
          </w:p>
        </w:tc>
        <w:tc>
          <w:tcPr>
            <w:tcW w:w="1700" w:type="dxa"/>
            <w:vMerge/>
          </w:tcPr>
          <w:p w:rsidR="00FF0BC2" w:rsidRPr="00FE7AB3" w:rsidRDefault="00FF0BC2" w:rsidP="007D29A9">
            <w:pPr>
              <w:jc w:val="center"/>
              <w:rPr>
                <w:sz w:val="20"/>
                <w:szCs w:val="20"/>
              </w:rPr>
            </w:pPr>
          </w:p>
        </w:tc>
        <w:tc>
          <w:tcPr>
            <w:tcW w:w="1733" w:type="dxa"/>
            <w:shd w:val="clear" w:color="auto" w:fill="auto"/>
          </w:tcPr>
          <w:p w:rsidR="00FF0BC2" w:rsidRPr="00FE7AB3" w:rsidRDefault="00FF0BC2" w:rsidP="007D29A9">
            <w:pPr>
              <w:jc w:val="both"/>
              <w:rPr>
                <w:sz w:val="20"/>
                <w:szCs w:val="20"/>
              </w:rPr>
            </w:pPr>
            <w:r w:rsidRPr="00FE7AB3">
              <w:rPr>
                <w:sz w:val="20"/>
                <w:szCs w:val="20"/>
              </w:rPr>
              <w:t>Микроскопы световые бинокулярные рабочие</w:t>
            </w:r>
          </w:p>
        </w:tc>
        <w:tc>
          <w:tcPr>
            <w:tcW w:w="1685" w:type="dxa"/>
          </w:tcPr>
          <w:p w:rsidR="00FF0BC2" w:rsidRPr="00FE7AB3" w:rsidRDefault="00FF0BC2" w:rsidP="007D29A9">
            <w:pPr>
              <w:jc w:val="center"/>
              <w:rPr>
                <w:sz w:val="20"/>
                <w:szCs w:val="20"/>
              </w:rPr>
            </w:pPr>
            <w:r w:rsidRPr="00FE7AB3">
              <w:rPr>
                <w:sz w:val="20"/>
                <w:szCs w:val="20"/>
              </w:rPr>
              <w:t>5</w:t>
            </w:r>
          </w:p>
        </w:tc>
        <w:tc>
          <w:tcPr>
            <w:tcW w:w="1602" w:type="dxa"/>
          </w:tcPr>
          <w:p w:rsidR="00FF0BC2" w:rsidRPr="00FE7AB3" w:rsidRDefault="00FF0BC2" w:rsidP="007D29A9">
            <w:pPr>
              <w:jc w:val="center"/>
              <w:rPr>
                <w:sz w:val="20"/>
                <w:szCs w:val="20"/>
              </w:rPr>
            </w:pPr>
            <w:r w:rsidRPr="00FE7AB3">
              <w:rPr>
                <w:sz w:val="20"/>
                <w:szCs w:val="20"/>
              </w:rPr>
              <w:t>2020</w:t>
            </w:r>
            <w:r>
              <w:rPr>
                <w:sz w:val="20"/>
                <w:szCs w:val="20"/>
              </w:rPr>
              <w:t xml:space="preserve"> (1)</w:t>
            </w:r>
          </w:p>
          <w:p w:rsidR="00FF0BC2" w:rsidRPr="00FE7AB3" w:rsidRDefault="00FF0BC2" w:rsidP="007D29A9">
            <w:pPr>
              <w:jc w:val="center"/>
              <w:rPr>
                <w:sz w:val="20"/>
                <w:szCs w:val="20"/>
              </w:rPr>
            </w:pPr>
            <w:r w:rsidRPr="00FE7AB3">
              <w:rPr>
                <w:sz w:val="20"/>
                <w:szCs w:val="20"/>
              </w:rPr>
              <w:t>2015</w:t>
            </w:r>
            <w:r>
              <w:rPr>
                <w:sz w:val="20"/>
                <w:szCs w:val="20"/>
              </w:rPr>
              <w:t xml:space="preserve"> (1)</w:t>
            </w:r>
          </w:p>
        </w:tc>
      </w:tr>
      <w:tr w:rsidR="00FF0BC2" w:rsidRPr="00091230" w:rsidTr="007D29A9">
        <w:trPr>
          <w:trHeight w:val="20"/>
        </w:trPr>
        <w:tc>
          <w:tcPr>
            <w:tcW w:w="1764" w:type="dxa"/>
            <w:vMerge/>
          </w:tcPr>
          <w:p w:rsidR="00FF0BC2" w:rsidRPr="00FE7AB3" w:rsidRDefault="00FF0BC2" w:rsidP="007D29A9">
            <w:pPr>
              <w:rPr>
                <w:sz w:val="20"/>
                <w:szCs w:val="20"/>
              </w:rPr>
            </w:pPr>
          </w:p>
        </w:tc>
        <w:tc>
          <w:tcPr>
            <w:tcW w:w="1711" w:type="dxa"/>
            <w:vMerge/>
          </w:tcPr>
          <w:p w:rsidR="00FF0BC2" w:rsidRPr="00FE7AB3" w:rsidRDefault="00FF0BC2" w:rsidP="007D29A9">
            <w:pPr>
              <w:jc w:val="center"/>
              <w:rPr>
                <w:sz w:val="20"/>
                <w:szCs w:val="20"/>
              </w:rPr>
            </w:pPr>
          </w:p>
        </w:tc>
        <w:tc>
          <w:tcPr>
            <w:tcW w:w="1700" w:type="dxa"/>
            <w:vMerge/>
          </w:tcPr>
          <w:p w:rsidR="00FF0BC2" w:rsidRPr="00FE7AB3" w:rsidRDefault="00FF0BC2" w:rsidP="007D29A9">
            <w:pPr>
              <w:jc w:val="center"/>
              <w:rPr>
                <w:sz w:val="20"/>
                <w:szCs w:val="20"/>
              </w:rPr>
            </w:pPr>
          </w:p>
        </w:tc>
        <w:tc>
          <w:tcPr>
            <w:tcW w:w="1733" w:type="dxa"/>
            <w:shd w:val="clear" w:color="auto" w:fill="auto"/>
          </w:tcPr>
          <w:p w:rsidR="00FF0BC2" w:rsidRPr="00FE7AB3" w:rsidRDefault="00FF0BC2" w:rsidP="007D29A9">
            <w:pPr>
              <w:jc w:val="both"/>
              <w:rPr>
                <w:sz w:val="20"/>
                <w:szCs w:val="20"/>
              </w:rPr>
            </w:pPr>
            <w:r w:rsidRPr="00FE7AB3">
              <w:rPr>
                <w:sz w:val="20"/>
                <w:szCs w:val="20"/>
              </w:rPr>
              <w:t>Микроскопы световые бинокулярные универсальные</w:t>
            </w:r>
          </w:p>
        </w:tc>
        <w:tc>
          <w:tcPr>
            <w:tcW w:w="1685" w:type="dxa"/>
          </w:tcPr>
          <w:p w:rsidR="00FF0BC2" w:rsidRPr="00FE7AB3" w:rsidRDefault="00FF0BC2" w:rsidP="007D29A9">
            <w:pPr>
              <w:jc w:val="center"/>
              <w:rPr>
                <w:sz w:val="20"/>
                <w:szCs w:val="20"/>
              </w:rPr>
            </w:pPr>
            <w:r w:rsidRPr="00FE7AB3">
              <w:rPr>
                <w:sz w:val="20"/>
                <w:szCs w:val="20"/>
              </w:rPr>
              <w:t>29</w:t>
            </w:r>
          </w:p>
        </w:tc>
        <w:tc>
          <w:tcPr>
            <w:tcW w:w="1602" w:type="dxa"/>
          </w:tcPr>
          <w:p w:rsidR="00FF0BC2" w:rsidRPr="00FE7AB3" w:rsidRDefault="00FF0BC2" w:rsidP="007D29A9">
            <w:pPr>
              <w:jc w:val="center"/>
              <w:rPr>
                <w:sz w:val="20"/>
                <w:szCs w:val="20"/>
              </w:rPr>
            </w:pPr>
            <w:r w:rsidRPr="00FE7AB3">
              <w:rPr>
                <w:sz w:val="20"/>
                <w:szCs w:val="20"/>
              </w:rPr>
              <w:t>2019</w:t>
            </w:r>
            <w:r>
              <w:rPr>
                <w:sz w:val="20"/>
                <w:szCs w:val="20"/>
              </w:rPr>
              <w:t xml:space="preserve"> (4)</w:t>
            </w:r>
          </w:p>
          <w:p w:rsidR="00FF0BC2" w:rsidRPr="00FE7AB3" w:rsidRDefault="00FF0BC2" w:rsidP="007D29A9">
            <w:pPr>
              <w:jc w:val="center"/>
              <w:rPr>
                <w:sz w:val="20"/>
                <w:szCs w:val="20"/>
              </w:rPr>
            </w:pPr>
            <w:r w:rsidRPr="00FE7AB3">
              <w:rPr>
                <w:sz w:val="20"/>
                <w:szCs w:val="20"/>
              </w:rPr>
              <w:t xml:space="preserve"> 2018</w:t>
            </w:r>
            <w:r>
              <w:rPr>
                <w:sz w:val="20"/>
                <w:szCs w:val="20"/>
              </w:rPr>
              <w:t xml:space="preserve"> (13)</w:t>
            </w:r>
          </w:p>
          <w:p w:rsidR="00FF0BC2" w:rsidRPr="00FE7AB3" w:rsidRDefault="00FF0BC2" w:rsidP="007D29A9">
            <w:pPr>
              <w:jc w:val="center"/>
              <w:rPr>
                <w:sz w:val="20"/>
                <w:szCs w:val="20"/>
              </w:rPr>
            </w:pPr>
            <w:r w:rsidRPr="00FE7AB3">
              <w:rPr>
                <w:sz w:val="20"/>
                <w:szCs w:val="20"/>
              </w:rPr>
              <w:t>2014</w:t>
            </w:r>
            <w:r>
              <w:rPr>
                <w:sz w:val="20"/>
                <w:szCs w:val="20"/>
              </w:rPr>
              <w:t xml:space="preserve"> (12)</w:t>
            </w:r>
          </w:p>
        </w:tc>
      </w:tr>
      <w:tr w:rsidR="00FF0BC2" w:rsidRPr="00091230" w:rsidTr="007D29A9">
        <w:trPr>
          <w:trHeight w:val="20"/>
        </w:trPr>
        <w:tc>
          <w:tcPr>
            <w:tcW w:w="1764" w:type="dxa"/>
            <w:vMerge/>
          </w:tcPr>
          <w:p w:rsidR="00FF0BC2" w:rsidRPr="00FE7AB3" w:rsidRDefault="00FF0BC2" w:rsidP="007D29A9">
            <w:pPr>
              <w:rPr>
                <w:sz w:val="20"/>
                <w:szCs w:val="20"/>
              </w:rPr>
            </w:pPr>
          </w:p>
        </w:tc>
        <w:tc>
          <w:tcPr>
            <w:tcW w:w="1711" w:type="dxa"/>
            <w:vMerge/>
          </w:tcPr>
          <w:p w:rsidR="00FF0BC2" w:rsidRPr="00FE7AB3" w:rsidRDefault="00FF0BC2" w:rsidP="007D29A9">
            <w:pPr>
              <w:jc w:val="center"/>
              <w:rPr>
                <w:sz w:val="20"/>
                <w:szCs w:val="20"/>
              </w:rPr>
            </w:pPr>
          </w:p>
        </w:tc>
        <w:tc>
          <w:tcPr>
            <w:tcW w:w="1700" w:type="dxa"/>
            <w:vMerge/>
          </w:tcPr>
          <w:p w:rsidR="00FF0BC2" w:rsidRPr="00FE7AB3" w:rsidRDefault="00FF0BC2" w:rsidP="007D29A9">
            <w:pPr>
              <w:jc w:val="center"/>
              <w:rPr>
                <w:sz w:val="20"/>
                <w:szCs w:val="20"/>
              </w:rPr>
            </w:pPr>
          </w:p>
        </w:tc>
        <w:tc>
          <w:tcPr>
            <w:tcW w:w="1733" w:type="dxa"/>
            <w:shd w:val="clear" w:color="auto" w:fill="auto"/>
          </w:tcPr>
          <w:p w:rsidR="00FF0BC2" w:rsidRPr="00FE7AB3" w:rsidRDefault="00FF0BC2" w:rsidP="007D29A9">
            <w:pPr>
              <w:jc w:val="both"/>
              <w:rPr>
                <w:sz w:val="20"/>
                <w:szCs w:val="20"/>
              </w:rPr>
            </w:pPr>
            <w:r w:rsidRPr="00FE7AB3">
              <w:rPr>
                <w:sz w:val="20"/>
                <w:szCs w:val="20"/>
              </w:rPr>
              <w:t>Микроскопы электронные</w:t>
            </w:r>
          </w:p>
        </w:tc>
        <w:tc>
          <w:tcPr>
            <w:tcW w:w="1685" w:type="dxa"/>
          </w:tcPr>
          <w:p w:rsidR="00FF0BC2" w:rsidRPr="00FE7AB3" w:rsidRDefault="00FF0BC2" w:rsidP="007D29A9">
            <w:pPr>
              <w:jc w:val="center"/>
              <w:rPr>
                <w:sz w:val="20"/>
                <w:szCs w:val="20"/>
              </w:rPr>
            </w:pPr>
            <w:r w:rsidRPr="00FE7AB3">
              <w:rPr>
                <w:sz w:val="20"/>
                <w:szCs w:val="20"/>
              </w:rPr>
              <w:t>0</w:t>
            </w:r>
          </w:p>
        </w:tc>
        <w:tc>
          <w:tcPr>
            <w:tcW w:w="1602" w:type="dxa"/>
          </w:tcPr>
          <w:p w:rsidR="00FF0BC2" w:rsidRPr="00FE7AB3" w:rsidRDefault="00FF0BC2" w:rsidP="007D29A9">
            <w:pPr>
              <w:jc w:val="center"/>
              <w:rPr>
                <w:sz w:val="20"/>
                <w:szCs w:val="20"/>
              </w:rPr>
            </w:pPr>
          </w:p>
        </w:tc>
      </w:tr>
      <w:tr w:rsidR="00FF0BC2" w:rsidRPr="00091230" w:rsidTr="007D29A9">
        <w:trPr>
          <w:trHeight w:val="20"/>
        </w:trPr>
        <w:tc>
          <w:tcPr>
            <w:tcW w:w="1764" w:type="dxa"/>
            <w:vMerge/>
          </w:tcPr>
          <w:p w:rsidR="00FF0BC2" w:rsidRPr="00FE7AB3" w:rsidRDefault="00FF0BC2" w:rsidP="007D29A9">
            <w:pPr>
              <w:rPr>
                <w:sz w:val="20"/>
                <w:szCs w:val="20"/>
              </w:rPr>
            </w:pPr>
          </w:p>
        </w:tc>
        <w:tc>
          <w:tcPr>
            <w:tcW w:w="1711" w:type="dxa"/>
            <w:vMerge/>
          </w:tcPr>
          <w:p w:rsidR="00FF0BC2" w:rsidRPr="00FE7AB3" w:rsidRDefault="00FF0BC2" w:rsidP="007D29A9">
            <w:pPr>
              <w:jc w:val="center"/>
              <w:rPr>
                <w:sz w:val="20"/>
                <w:szCs w:val="20"/>
              </w:rPr>
            </w:pPr>
          </w:p>
        </w:tc>
        <w:tc>
          <w:tcPr>
            <w:tcW w:w="1700" w:type="dxa"/>
            <w:vMerge/>
          </w:tcPr>
          <w:p w:rsidR="00FF0BC2" w:rsidRPr="00FE7AB3" w:rsidRDefault="00FF0BC2" w:rsidP="007D29A9">
            <w:pPr>
              <w:jc w:val="center"/>
              <w:rPr>
                <w:sz w:val="20"/>
                <w:szCs w:val="20"/>
              </w:rPr>
            </w:pPr>
          </w:p>
        </w:tc>
        <w:tc>
          <w:tcPr>
            <w:tcW w:w="1733" w:type="dxa"/>
            <w:shd w:val="clear" w:color="auto" w:fill="auto"/>
          </w:tcPr>
          <w:p w:rsidR="00FF0BC2" w:rsidRPr="00FE7AB3" w:rsidRDefault="00FF0BC2" w:rsidP="007D29A9">
            <w:pPr>
              <w:jc w:val="both"/>
              <w:rPr>
                <w:sz w:val="20"/>
                <w:szCs w:val="20"/>
              </w:rPr>
            </w:pPr>
            <w:r w:rsidRPr="00FE7AB3">
              <w:rPr>
                <w:sz w:val="20"/>
                <w:szCs w:val="20"/>
              </w:rPr>
              <w:t>Оборудование для поляризационной микроскопии</w:t>
            </w:r>
          </w:p>
        </w:tc>
        <w:tc>
          <w:tcPr>
            <w:tcW w:w="1685" w:type="dxa"/>
          </w:tcPr>
          <w:p w:rsidR="00FF0BC2" w:rsidRPr="00FE7AB3" w:rsidRDefault="00FF0BC2" w:rsidP="007D29A9">
            <w:pPr>
              <w:jc w:val="center"/>
              <w:rPr>
                <w:sz w:val="20"/>
                <w:szCs w:val="20"/>
              </w:rPr>
            </w:pPr>
            <w:r w:rsidRPr="00FE7AB3">
              <w:rPr>
                <w:sz w:val="20"/>
                <w:szCs w:val="20"/>
              </w:rPr>
              <w:t>0</w:t>
            </w:r>
          </w:p>
        </w:tc>
        <w:tc>
          <w:tcPr>
            <w:tcW w:w="1602" w:type="dxa"/>
          </w:tcPr>
          <w:p w:rsidR="00FF0BC2" w:rsidRPr="00FE7AB3" w:rsidRDefault="00FF0BC2" w:rsidP="007D29A9">
            <w:pPr>
              <w:jc w:val="center"/>
              <w:rPr>
                <w:sz w:val="20"/>
                <w:szCs w:val="20"/>
              </w:rPr>
            </w:pPr>
          </w:p>
        </w:tc>
      </w:tr>
      <w:tr w:rsidR="00FF0BC2" w:rsidRPr="00091230" w:rsidTr="007D29A9">
        <w:trPr>
          <w:trHeight w:val="20"/>
        </w:trPr>
        <w:tc>
          <w:tcPr>
            <w:tcW w:w="1764" w:type="dxa"/>
            <w:vMerge/>
          </w:tcPr>
          <w:p w:rsidR="00FF0BC2" w:rsidRPr="00FE7AB3" w:rsidRDefault="00FF0BC2" w:rsidP="007D29A9">
            <w:pPr>
              <w:rPr>
                <w:sz w:val="20"/>
                <w:szCs w:val="20"/>
              </w:rPr>
            </w:pPr>
          </w:p>
        </w:tc>
        <w:tc>
          <w:tcPr>
            <w:tcW w:w="1711" w:type="dxa"/>
            <w:vMerge/>
          </w:tcPr>
          <w:p w:rsidR="00FF0BC2" w:rsidRPr="00FE7AB3" w:rsidRDefault="00FF0BC2" w:rsidP="007D29A9">
            <w:pPr>
              <w:jc w:val="center"/>
              <w:rPr>
                <w:sz w:val="20"/>
                <w:szCs w:val="20"/>
              </w:rPr>
            </w:pPr>
          </w:p>
        </w:tc>
        <w:tc>
          <w:tcPr>
            <w:tcW w:w="1700" w:type="dxa"/>
            <w:vMerge/>
          </w:tcPr>
          <w:p w:rsidR="00FF0BC2" w:rsidRPr="00FE7AB3" w:rsidRDefault="00FF0BC2" w:rsidP="007D29A9">
            <w:pPr>
              <w:jc w:val="center"/>
              <w:rPr>
                <w:sz w:val="20"/>
                <w:szCs w:val="20"/>
              </w:rPr>
            </w:pPr>
          </w:p>
        </w:tc>
        <w:tc>
          <w:tcPr>
            <w:tcW w:w="1733" w:type="dxa"/>
            <w:shd w:val="clear" w:color="auto" w:fill="auto"/>
          </w:tcPr>
          <w:p w:rsidR="00FF0BC2" w:rsidRPr="00FE7AB3" w:rsidRDefault="00FF0BC2" w:rsidP="007D29A9">
            <w:pPr>
              <w:jc w:val="both"/>
              <w:rPr>
                <w:sz w:val="20"/>
                <w:szCs w:val="20"/>
              </w:rPr>
            </w:pPr>
            <w:r w:rsidRPr="00FE7AB3">
              <w:rPr>
                <w:sz w:val="20"/>
                <w:szCs w:val="20"/>
              </w:rPr>
              <w:t>Оборудование для цифровой микроскопии</w:t>
            </w:r>
          </w:p>
        </w:tc>
        <w:tc>
          <w:tcPr>
            <w:tcW w:w="1685" w:type="dxa"/>
          </w:tcPr>
          <w:p w:rsidR="00FF0BC2" w:rsidRPr="00FE7AB3" w:rsidRDefault="00FF0BC2" w:rsidP="007D29A9">
            <w:pPr>
              <w:jc w:val="center"/>
              <w:rPr>
                <w:sz w:val="20"/>
                <w:szCs w:val="20"/>
              </w:rPr>
            </w:pPr>
            <w:r w:rsidRPr="00FE7AB3">
              <w:rPr>
                <w:sz w:val="20"/>
                <w:szCs w:val="20"/>
              </w:rPr>
              <w:t>3</w:t>
            </w:r>
          </w:p>
        </w:tc>
        <w:tc>
          <w:tcPr>
            <w:tcW w:w="1602" w:type="dxa"/>
          </w:tcPr>
          <w:p w:rsidR="00FF0BC2" w:rsidRPr="00FE7AB3" w:rsidRDefault="00FF0BC2" w:rsidP="007D29A9">
            <w:pPr>
              <w:jc w:val="center"/>
              <w:rPr>
                <w:sz w:val="20"/>
                <w:szCs w:val="20"/>
              </w:rPr>
            </w:pPr>
            <w:r w:rsidRPr="00FE7AB3">
              <w:rPr>
                <w:sz w:val="20"/>
                <w:szCs w:val="20"/>
              </w:rPr>
              <w:t>2019</w:t>
            </w:r>
            <w:r>
              <w:rPr>
                <w:sz w:val="20"/>
                <w:szCs w:val="20"/>
              </w:rPr>
              <w:t xml:space="preserve"> (2)</w:t>
            </w:r>
          </w:p>
          <w:p w:rsidR="00FF0BC2" w:rsidRPr="00FE7AB3" w:rsidRDefault="00FF0BC2" w:rsidP="007D29A9">
            <w:pPr>
              <w:jc w:val="center"/>
              <w:rPr>
                <w:sz w:val="20"/>
                <w:szCs w:val="20"/>
              </w:rPr>
            </w:pPr>
            <w:r w:rsidRPr="00FE7AB3">
              <w:rPr>
                <w:sz w:val="20"/>
                <w:szCs w:val="20"/>
              </w:rPr>
              <w:t>2014</w:t>
            </w:r>
            <w:r>
              <w:rPr>
                <w:sz w:val="20"/>
                <w:szCs w:val="20"/>
              </w:rPr>
              <w:t xml:space="preserve"> (1)</w:t>
            </w:r>
          </w:p>
          <w:p w:rsidR="00FF0BC2" w:rsidRPr="00FE7AB3" w:rsidRDefault="00FF0BC2" w:rsidP="007D29A9">
            <w:pPr>
              <w:jc w:val="center"/>
              <w:rPr>
                <w:sz w:val="20"/>
                <w:szCs w:val="20"/>
              </w:rPr>
            </w:pPr>
          </w:p>
        </w:tc>
      </w:tr>
      <w:tr w:rsidR="00FF0BC2" w:rsidRPr="00091230" w:rsidTr="007D29A9">
        <w:trPr>
          <w:trHeight w:val="20"/>
        </w:trPr>
        <w:tc>
          <w:tcPr>
            <w:tcW w:w="1764" w:type="dxa"/>
            <w:vMerge/>
          </w:tcPr>
          <w:p w:rsidR="00FF0BC2" w:rsidRPr="00FE7AB3" w:rsidRDefault="00FF0BC2" w:rsidP="007D29A9">
            <w:pPr>
              <w:rPr>
                <w:sz w:val="20"/>
                <w:szCs w:val="20"/>
              </w:rPr>
            </w:pPr>
          </w:p>
        </w:tc>
        <w:tc>
          <w:tcPr>
            <w:tcW w:w="1711" w:type="dxa"/>
            <w:vMerge/>
          </w:tcPr>
          <w:p w:rsidR="00FF0BC2" w:rsidRPr="00FE7AB3" w:rsidRDefault="00FF0BC2" w:rsidP="007D29A9">
            <w:pPr>
              <w:jc w:val="center"/>
              <w:rPr>
                <w:sz w:val="20"/>
                <w:szCs w:val="20"/>
              </w:rPr>
            </w:pPr>
          </w:p>
        </w:tc>
        <w:tc>
          <w:tcPr>
            <w:tcW w:w="1700" w:type="dxa"/>
            <w:vMerge/>
          </w:tcPr>
          <w:p w:rsidR="00FF0BC2" w:rsidRPr="00FE7AB3" w:rsidRDefault="00FF0BC2" w:rsidP="007D29A9">
            <w:pPr>
              <w:jc w:val="center"/>
              <w:rPr>
                <w:sz w:val="20"/>
                <w:szCs w:val="20"/>
              </w:rPr>
            </w:pPr>
          </w:p>
        </w:tc>
        <w:tc>
          <w:tcPr>
            <w:tcW w:w="1733" w:type="dxa"/>
            <w:shd w:val="clear" w:color="auto" w:fill="auto"/>
            <w:vAlign w:val="center"/>
          </w:tcPr>
          <w:p w:rsidR="00FF0BC2" w:rsidRPr="00FE7AB3" w:rsidRDefault="00FF0BC2" w:rsidP="007D29A9">
            <w:pPr>
              <w:jc w:val="both"/>
              <w:rPr>
                <w:rFonts w:eastAsia="Arial"/>
                <w:sz w:val="20"/>
                <w:szCs w:val="20"/>
              </w:rPr>
            </w:pPr>
            <w:r w:rsidRPr="00FE7AB3">
              <w:rPr>
                <w:color w:val="000000"/>
                <w:sz w:val="20"/>
                <w:szCs w:val="20"/>
              </w:rPr>
              <w:t>Микроскоп сканирующий (сканер микропрепаратов)</w:t>
            </w:r>
          </w:p>
        </w:tc>
        <w:tc>
          <w:tcPr>
            <w:tcW w:w="1685" w:type="dxa"/>
          </w:tcPr>
          <w:p w:rsidR="00FF0BC2" w:rsidRPr="00FE7AB3" w:rsidRDefault="00FF0BC2" w:rsidP="007D29A9">
            <w:pPr>
              <w:jc w:val="center"/>
              <w:rPr>
                <w:sz w:val="20"/>
                <w:szCs w:val="20"/>
              </w:rPr>
            </w:pPr>
            <w:r w:rsidRPr="00FE7AB3">
              <w:rPr>
                <w:sz w:val="20"/>
                <w:szCs w:val="20"/>
              </w:rPr>
              <w:t>1</w:t>
            </w:r>
          </w:p>
        </w:tc>
        <w:tc>
          <w:tcPr>
            <w:tcW w:w="1602" w:type="dxa"/>
          </w:tcPr>
          <w:p w:rsidR="00FF0BC2" w:rsidRPr="00FE7AB3" w:rsidRDefault="00FF0BC2" w:rsidP="007D29A9">
            <w:pPr>
              <w:jc w:val="center"/>
              <w:rPr>
                <w:sz w:val="20"/>
                <w:szCs w:val="20"/>
              </w:rPr>
            </w:pPr>
            <w:r w:rsidRPr="00FE7AB3">
              <w:rPr>
                <w:sz w:val="20"/>
                <w:szCs w:val="20"/>
              </w:rPr>
              <w:t>2023</w:t>
            </w:r>
            <w:r>
              <w:rPr>
                <w:sz w:val="20"/>
                <w:szCs w:val="20"/>
              </w:rPr>
              <w:t xml:space="preserve"> (1)</w:t>
            </w:r>
          </w:p>
        </w:tc>
      </w:tr>
      <w:tr w:rsidR="00FF0BC2" w:rsidRPr="00091230" w:rsidTr="007D29A9">
        <w:trPr>
          <w:trHeight w:val="20"/>
        </w:trPr>
        <w:tc>
          <w:tcPr>
            <w:tcW w:w="1764" w:type="dxa"/>
            <w:vMerge/>
          </w:tcPr>
          <w:p w:rsidR="00FF0BC2" w:rsidRPr="00FE7AB3" w:rsidRDefault="00FF0BC2" w:rsidP="007D29A9">
            <w:pPr>
              <w:rPr>
                <w:sz w:val="20"/>
                <w:szCs w:val="20"/>
              </w:rPr>
            </w:pPr>
          </w:p>
        </w:tc>
        <w:tc>
          <w:tcPr>
            <w:tcW w:w="1711" w:type="dxa"/>
            <w:vMerge/>
          </w:tcPr>
          <w:p w:rsidR="00FF0BC2" w:rsidRPr="00FE7AB3" w:rsidRDefault="00FF0BC2" w:rsidP="007D29A9">
            <w:pPr>
              <w:jc w:val="center"/>
              <w:rPr>
                <w:sz w:val="20"/>
                <w:szCs w:val="20"/>
              </w:rPr>
            </w:pPr>
          </w:p>
        </w:tc>
        <w:tc>
          <w:tcPr>
            <w:tcW w:w="1700" w:type="dxa"/>
            <w:vMerge/>
          </w:tcPr>
          <w:p w:rsidR="00FF0BC2" w:rsidRPr="00FE7AB3" w:rsidRDefault="00FF0BC2" w:rsidP="007D29A9">
            <w:pPr>
              <w:jc w:val="center"/>
              <w:rPr>
                <w:sz w:val="20"/>
                <w:szCs w:val="20"/>
              </w:rPr>
            </w:pPr>
          </w:p>
        </w:tc>
        <w:tc>
          <w:tcPr>
            <w:tcW w:w="1733" w:type="dxa"/>
            <w:shd w:val="clear" w:color="auto" w:fill="auto"/>
            <w:vAlign w:val="center"/>
          </w:tcPr>
          <w:p w:rsidR="00FF0BC2" w:rsidRPr="00FE7AB3" w:rsidRDefault="00FF0BC2" w:rsidP="007D29A9">
            <w:pPr>
              <w:jc w:val="both"/>
              <w:rPr>
                <w:rFonts w:eastAsia="Arial"/>
                <w:sz w:val="20"/>
                <w:szCs w:val="20"/>
              </w:rPr>
            </w:pPr>
            <w:r w:rsidRPr="00FE7AB3">
              <w:rPr>
                <w:rFonts w:eastAsia="Arial"/>
                <w:sz w:val="20"/>
                <w:szCs w:val="20"/>
              </w:rPr>
              <w:t xml:space="preserve">Роботизированная система гистологической и </w:t>
            </w:r>
            <w:r>
              <w:rPr>
                <w:rFonts w:eastAsia="Arial"/>
                <w:sz w:val="20"/>
                <w:szCs w:val="20"/>
              </w:rPr>
              <w:t>и</w:t>
            </w:r>
            <w:r w:rsidRPr="00FE7AB3">
              <w:rPr>
                <w:rFonts w:eastAsia="Arial"/>
                <w:sz w:val="20"/>
                <w:szCs w:val="20"/>
              </w:rPr>
              <w:t>ммуногистохимической диагностики с архивированием</w:t>
            </w:r>
          </w:p>
        </w:tc>
        <w:tc>
          <w:tcPr>
            <w:tcW w:w="1685" w:type="dxa"/>
          </w:tcPr>
          <w:p w:rsidR="00FF0BC2" w:rsidRPr="00FE7AB3" w:rsidRDefault="00FF0BC2" w:rsidP="007D29A9">
            <w:pPr>
              <w:jc w:val="center"/>
              <w:rPr>
                <w:sz w:val="20"/>
                <w:szCs w:val="20"/>
              </w:rPr>
            </w:pPr>
            <w:r w:rsidRPr="00FE7AB3">
              <w:rPr>
                <w:sz w:val="20"/>
                <w:szCs w:val="20"/>
              </w:rPr>
              <w:t>2</w:t>
            </w:r>
          </w:p>
        </w:tc>
        <w:tc>
          <w:tcPr>
            <w:tcW w:w="1602" w:type="dxa"/>
          </w:tcPr>
          <w:p w:rsidR="00FF0BC2" w:rsidRPr="00FE7AB3" w:rsidRDefault="00FF0BC2" w:rsidP="007D29A9">
            <w:pPr>
              <w:jc w:val="center"/>
              <w:rPr>
                <w:sz w:val="20"/>
                <w:szCs w:val="20"/>
              </w:rPr>
            </w:pPr>
            <w:r w:rsidRPr="00FE7AB3">
              <w:rPr>
                <w:sz w:val="20"/>
                <w:szCs w:val="20"/>
              </w:rPr>
              <w:t>2021</w:t>
            </w:r>
            <w:r>
              <w:rPr>
                <w:sz w:val="20"/>
                <w:szCs w:val="20"/>
              </w:rPr>
              <w:t xml:space="preserve"> (2)</w:t>
            </w:r>
          </w:p>
        </w:tc>
      </w:tr>
    </w:tbl>
    <w:p w:rsidR="00644B61" w:rsidRDefault="00644B61" w:rsidP="009308D8">
      <w:pPr>
        <w:ind w:firstLine="709"/>
        <w:jc w:val="both"/>
        <w:rPr>
          <w:sz w:val="28"/>
          <w:szCs w:val="28"/>
        </w:rPr>
      </w:pPr>
    </w:p>
    <w:p w:rsidR="00CC0237" w:rsidRPr="00091230" w:rsidRDefault="00CC0237" w:rsidP="007D29A9">
      <w:pPr>
        <w:spacing w:line="242" w:lineRule="auto"/>
        <w:ind w:firstLine="709"/>
        <w:jc w:val="both"/>
        <w:rPr>
          <w:sz w:val="28"/>
          <w:szCs w:val="28"/>
        </w:rPr>
      </w:pPr>
      <w:r w:rsidRPr="00091230">
        <w:rPr>
          <w:sz w:val="28"/>
          <w:szCs w:val="28"/>
        </w:rPr>
        <w:t>Патолого</w:t>
      </w:r>
      <w:r w:rsidR="007D29A9">
        <w:rPr>
          <w:sz w:val="28"/>
          <w:szCs w:val="28"/>
        </w:rPr>
        <w:t>-</w:t>
      </w:r>
      <w:r w:rsidRPr="00091230">
        <w:rPr>
          <w:sz w:val="28"/>
          <w:szCs w:val="28"/>
        </w:rPr>
        <w:t xml:space="preserve">анатомическое отделение ГАУЗ </w:t>
      </w:r>
      <w:r w:rsidR="002F7358">
        <w:rPr>
          <w:rFonts w:eastAsia="Arial"/>
          <w:sz w:val="28"/>
          <w:szCs w:val="28"/>
        </w:rPr>
        <w:t>«</w:t>
      </w:r>
      <w:r w:rsidR="009308D8">
        <w:rPr>
          <w:rFonts w:eastAsia="Arial"/>
          <w:sz w:val="28"/>
          <w:szCs w:val="28"/>
        </w:rPr>
        <w:t>РКОД МЗ РТ им.проф.</w:t>
      </w:r>
      <w:r w:rsidR="00AC5011" w:rsidRPr="002B3817">
        <w:rPr>
          <w:rFonts w:eastAsia="Arial"/>
          <w:sz w:val="28"/>
          <w:szCs w:val="28"/>
        </w:rPr>
        <w:t>М.З.Сигала</w:t>
      </w:r>
      <w:r w:rsidR="002F7358">
        <w:rPr>
          <w:rFonts w:eastAsia="Arial"/>
          <w:sz w:val="28"/>
          <w:szCs w:val="28"/>
        </w:rPr>
        <w:t>»</w:t>
      </w:r>
      <w:r w:rsidRPr="00091230">
        <w:rPr>
          <w:sz w:val="28"/>
          <w:szCs w:val="28"/>
        </w:rPr>
        <w:t xml:space="preserve"> осуществляет медицинское обслуживание населения Республики Татарстан и других регионов Российской Федерации (прижизненное патолого</w:t>
      </w:r>
      <w:r w:rsidR="007D29A9">
        <w:rPr>
          <w:sz w:val="28"/>
          <w:szCs w:val="28"/>
        </w:rPr>
        <w:t>-</w:t>
      </w:r>
      <w:r w:rsidRPr="00091230">
        <w:rPr>
          <w:sz w:val="28"/>
          <w:szCs w:val="28"/>
        </w:rPr>
        <w:t>анатомическое исследование биопсийного, операционного и аутопсийного материала, пересмотры (консультирование гистологических микропрепаратов), проведение патолого</w:t>
      </w:r>
      <w:r w:rsidR="007D29A9">
        <w:rPr>
          <w:sz w:val="28"/>
          <w:szCs w:val="28"/>
        </w:rPr>
        <w:t>-</w:t>
      </w:r>
      <w:r w:rsidRPr="00091230">
        <w:rPr>
          <w:sz w:val="28"/>
          <w:szCs w:val="28"/>
        </w:rPr>
        <w:t>анатомических вскрытий), выполнение срочных гистологических исследований, имеет в своем составе централизованную лабораторию иммуногистохимической диагностики опухолей.</w:t>
      </w:r>
    </w:p>
    <w:p w:rsidR="00CC0237" w:rsidRPr="00091230" w:rsidRDefault="00CC0237" w:rsidP="007D29A9">
      <w:pPr>
        <w:spacing w:line="242" w:lineRule="auto"/>
        <w:ind w:firstLine="709"/>
        <w:jc w:val="both"/>
        <w:rPr>
          <w:rFonts w:eastAsia="Calibri"/>
          <w:sz w:val="28"/>
          <w:szCs w:val="28"/>
        </w:rPr>
      </w:pPr>
      <w:r w:rsidRPr="00091230">
        <w:rPr>
          <w:rFonts w:eastAsia="Calibri"/>
          <w:sz w:val="28"/>
          <w:szCs w:val="28"/>
        </w:rPr>
        <w:t xml:space="preserve">По состоянию на </w:t>
      </w:r>
      <w:r w:rsidR="00F95B4A">
        <w:rPr>
          <w:rFonts w:eastAsia="Calibri"/>
          <w:sz w:val="28"/>
          <w:szCs w:val="28"/>
        </w:rPr>
        <w:t>0</w:t>
      </w:r>
      <w:r w:rsidR="00887958" w:rsidRPr="00DA5F87">
        <w:rPr>
          <w:rFonts w:eastAsia="Calibri"/>
          <w:sz w:val="28"/>
          <w:szCs w:val="28"/>
        </w:rPr>
        <w:t>1</w:t>
      </w:r>
      <w:r w:rsidR="00F95B4A">
        <w:rPr>
          <w:rFonts w:eastAsia="Calibri"/>
          <w:sz w:val="28"/>
          <w:szCs w:val="28"/>
        </w:rPr>
        <w:t>.01.</w:t>
      </w:r>
      <w:r w:rsidRPr="00DA5F87">
        <w:rPr>
          <w:rFonts w:eastAsia="Calibri"/>
          <w:sz w:val="28"/>
          <w:szCs w:val="28"/>
        </w:rPr>
        <w:t>202</w:t>
      </w:r>
      <w:r w:rsidR="009C1786" w:rsidRPr="00DA5F87">
        <w:rPr>
          <w:rFonts w:eastAsia="Calibri"/>
          <w:sz w:val="28"/>
          <w:szCs w:val="28"/>
        </w:rPr>
        <w:t>6</w:t>
      </w:r>
      <w:r w:rsidR="007D29A9">
        <w:rPr>
          <w:rFonts w:eastAsia="Calibri"/>
          <w:sz w:val="28"/>
          <w:szCs w:val="28"/>
        </w:rPr>
        <w:t xml:space="preserve"> </w:t>
      </w:r>
      <w:r w:rsidRPr="00091230">
        <w:rPr>
          <w:rFonts w:eastAsia="Calibri"/>
          <w:sz w:val="28"/>
          <w:szCs w:val="28"/>
        </w:rPr>
        <w:t xml:space="preserve">в отделении (на трех базах) работают </w:t>
      </w:r>
      <w:r w:rsidR="00FF0BC2">
        <w:rPr>
          <w:rFonts w:eastAsia="Calibri"/>
          <w:sz w:val="28"/>
          <w:szCs w:val="28"/>
        </w:rPr>
        <w:br/>
      </w:r>
      <w:r w:rsidR="001109A9">
        <w:rPr>
          <w:rFonts w:eastAsia="Calibri"/>
          <w:sz w:val="28"/>
          <w:szCs w:val="28"/>
        </w:rPr>
        <w:t xml:space="preserve">10 основных врачей </w:t>
      </w:r>
      <w:r w:rsidR="00F95B4A">
        <w:rPr>
          <w:rFonts w:eastAsia="Calibri"/>
          <w:sz w:val="28"/>
          <w:szCs w:val="28"/>
        </w:rPr>
        <w:t xml:space="preserve">и </w:t>
      </w:r>
      <w:r w:rsidRPr="00091230">
        <w:rPr>
          <w:rFonts w:eastAsia="Calibri"/>
          <w:sz w:val="28"/>
          <w:szCs w:val="28"/>
        </w:rPr>
        <w:t xml:space="preserve">4 совместителя, 33 лаборанта, 1 биолог, 8 санитаров, 1 кастелянша. Из врачей: 1 доктор медицинских наук, 3 кандидата медицинских наук, </w:t>
      </w:r>
      <w:r w:rsidR="00FF0BC2">
        <w:rPr>
          <w:rFonts w:eastAsia="Calibri"/>
          <w:sz w:val="28"/>
          <w:szCs w:val="28"/>
        </w:rPr>
        <w:br/>
      </w:r>
      <w:r w:rsidRPr="00091230">
        <w:rPr>
          <w:rFonts w:eastAsia="Calibri"/>
          <w:sz w:val="28"/>
          <w:szCs w:val="28"/>
        </w:rPr>
        <w:t xml:space="preserve">4 врача высшей категории, 1 врач-ординатор; средний возраст – 45 лет. Лаборанты имеют категории: высшую – 15 человек, 1 категорию – 2 человека, 2 категорию – </w:t>
      </w:r>
      <w:r w:rsidR="00FF0BC2">
        <w:rPr>
          <w:rFonts w:eastAsia="Calibri"/>
          <w:sz w:val="28"/>
          <w:szCs w:val="28"/>
        </w:rPr>
        <w:br/>
      </w:r>
      <w:r w:rsidRPr="00091230">
        <w:rPr>
          <w:rFonts w:eastAsia="Calibri"/>
          <w:sz w:val="28"/>
          <w:szCs w:val="28"/>
        </w:rPr>
        <w:t xml:space="preserve">5 человек, без категории – 3 человека (1 – врач со стажем работы менее трех лет, </w:t>
      </w:r>
      <w:r w:rsidR="00FF0BC2">
        <w:rPr>
          <w:rFonts w:eastAsia="Calibri"/>
          <w:sz w:val="28"/>
          <w:szCs w:val="28"/>
        </w:rPr>
        <w:br/>
      </w:r>
      <w:r w:rsidRPr="00091230">
        <w:rPr>
          <w:rFonts w:eastAsia="Calibri"/>
          <w:sz w:val="28"/>
          <w:szCs w:val="28"/>
        </w:rPr>
        <w:t xml:space="preserve">1 – врач-совместитель, сотрудник кафедры). Уделяется большое внимание профессиональному росту специалистов: врачи ежегодно проходят обучение на тематических циклах в рамках программ непрерывного медицинского образования. </w:t>
      </w:r>
    </w:p>
    <w:p w:rsidR="00CC0237" w:rsidRPr="00091230" w:rsidRDefault="00CC0237" w:rsidP="007D29A9">
      <w:pPr>
        <w:spacing w:line="242" w:lineRule="auto"/>
        <w:ind w:firstLine="709"/>
        <w:jc w:val="both"/>
        <w:rPr>
          <w:rFonts w:eastAsia="Arial"/>
          <w:sz w:val="28"/>
          <w:szCs w:val="28"/>
        </w:rPr>
      </w:pPr>
      <w:r w:rsidRPr="00091230">
        <w:rPr>
          <w:rFonts w:eastAsia="Arial"/>
          <w:sz w:val="28"/>
          <w:szCs w:val="28"/>
        </w:rPr>
        <w:t>Операционный и биопсийный материал поступает в патолого</w:t>
      </w:r>
      <w:r w:rsidR="007D29A9">
        <w:rPr>
          <w:rFonts w:eastAsia="Arial"/>
          <w:sz w:val="28"/>
          <w:szCs w:val="28"/>
        </w:rPr>
        <w:t>-</w:t>
      </w:r>
      <w:r w:rsidRPr="00091230">
        <w:rPr>
          <w:rFonts w:eastAsia="Arial"/>
          <w:sz w:val="28"/>
          <w:szCs w:val="28"/>
        </w:rPr>
        <w:t xml:space="preserve">анатомическое отделение </w:t>
      </w:r>
      <w:r w:rsidRPr="00091230">
        <w:rPr>
          <w:sz w:val="28"/>
          <w:szCs w:val="28"/>
        </w:rPr>
        <w:t xml:space="preserve">ГАУЗ </w:t>
      </w:r>
      <w:r w:rsidR="002F7358">
        <w:rPr>
          <w:rFonts w:eastAsia="Arial"/>
          <w:sz w:val="28"/>
          <w:szCs w:val="28"/>
        </w:rPr>
        <w:t>«</w:t>
      </w:r>
      <w:r w:rsidR="007D29A9">
        <w:rPr>
          <w:rFonts w:eastAsia="Arial"/>
          <w:sz w:val="28"/>
          <w:szCs w:val="28"/>
        </w:rPr>
        <w:t>РКОД МЗ РТ им.проф.</w:t>
      </w:r>
      <w:r w:rsidR="00AC5011" w:rsidRPr="002B3817">
        <w:rPr>
          <w:rFonts w:eastAsia="Arial"/>
          <w:sz w:val="28"/>
          <w:szCs w:val="28"/>
        </w:rPr>
        <w:t>М.З.Сигала</w:t>
      </w:r>
      <w:r w:rsidR="002F7358">
        <w:rPr>
          <w:rFonts w:eastAsia="Arial"/>
          <w:sz w:val="28"/>
          <w:szCs w:val="28"/>
        </w:rPr>
        <w:t>»</w:t>
      </w:r>
      <w:r w:rsidRPr="00091230">
        <w:rPr>
          <w:rFonts w:eastAsia="Arial"/>
          <w:sz w:val="28"/>
          <w:szCs w:val="28"/>
        </w:rPr>
        <w:t xml:space="preserve"> из операционных, эндоскопических кабинетов и отделения микроинвазивной хирургии, вырезка материала проводится врачом в течение всего рабочего дня, до окончания последней операции </w:t>
      </w:r>
      <w:r w:rsidR="009308D8">
        <w:rPr>
          <w:rFonts w:eastAsia="Arial"/>
          <w:sz w:val="28"/>
          <w:szCs w:val="28"/>
        </w:rPr>
        <w:br/>
      </w:r>
      <w:r w:rsidRPr="00091230">
        <w:rPr>
          <w:rFonts w:eastAsia="Arial"/>
          <w:sz w:val="28"/>
          <w:szCs w:val="28"/>
        </w:rPr>
        <w:t xml:space="preserve">(с </w:t>
      </w:r>
      <w:r w:rsidR="00887958" w:rsidRPr="00091230">
        <w:rPr>
          <w:rFonts w:eastAsia="Arial"/>
          <w:sz w:val="28"/>
          <w:szCs w:val="28"/>
        </w:rPr>
        <w:t>9</w:t>
      </w:r>
      <w:r w:rsidR="003A303D">
        <w:rPr>
          <w:rFonts w:eastAsia="Arial"/>
          <w:sz w:val="28"/>
          <w:szCs w:val="28"/>
        </w:rPr>
        <w:t>.</w:t>
      </w:r>
      <w:r w:rsidRPr="00091230">
        <w:rPr>
          <w:rFonts w:eastAsia="Arial"/>
          <w:sz w:val="28"/>
          <w:szCs w:val="28"/>
        </w:rPr>
        <w:t xml:space="preserve">00 до </w:t>
      </w:r>
      <w:r w:rsidR="00887958" w:rsidRPr="00091230">
        <w:rPr>
          <w:rFonts w:eastAsia="Arial"/>
          <w:sz w:val="28"/>
          <w:szCs w:val="28"/>
        </w:rPr>
        <w:t>18</w:t>
      </w:r>
      <w:r w:rsidR="003A303D">
        <w:rPr>
          <w:rFonts w:eastAsia="Arial"/>
          <w:sz w:val="28"/>
          <w:szCs w:val="28"/>
        </w:rPr>
        <w:t>.</w:t>
      </w:r>
      <w:r w:rsidRPr="00091230">
        <w:rPr>
          <w:rFonts w:eastAsia="Arial"/>
          <w:sz w:val="28"/>
          <w:szCs w:val="28"/>
        </w:rPr>
        <w:t xml:space="preserve">00 часов), посменно, большая часть – в нефиксированном состоянии (особенно материал, требующий дальнейшего иммуногистохимического исследования), при необходимости проводятся срочные гистологические исследования замороженных срезов на криостате (до 30 срочных гистологических исследований в день </w:t>
      </w:r>
      <w:r w:rsidR="007D29A9">
        <w:rPr>
          <w:rFonts w:eastAsia="Arial"/>
          <w:sz w:val="28"/>
          <w:szCs w:val="28"/>
        </w:rPr>
        <w:br/>
      </w:r>
      <w:r w:rsidRPr="00091230">
        <w:rPr>
          <w:rFonts w:eastAsia="Arial"/>
          <w:sz w:val="28"/>
          <w:szCs w:val="28"/>
        </w:rPr>
        <w:t xml:space="preserve">на обеих базах). </w:t>
      </w:r>
    </w:p>
    <w:p w:rsidR="00CC0237" w:rsidRPr="00091230" w:rsidRDefault="00CC0237" w:rsidP="009308D8">
      <w:pPr>
        <w:spacing w:line="235" w:lineRule="auto"/>
        <w:ind w:firstLine="709"/>
        <w:jc w:val="both"/>
        <w:rPr>
          <w:rFonts w:eastAsia="Arial"/>
          <w:sz w:val="28"/>
          <w:szCs w:val="28"/>
        </w:rPr>
      </w:pPr>
      <w:r w:rsidRPr="00091230">
        <w:rPr>
          <w:rFonts w:eastAsia="Arial"/>
          <w:sz w:val="28"/>
          <w:szCs w:val="28"/>
        </w:rPr>
        <w:t xml:space="preserve">Из медицинских организаций Республики Татарстан биопсийный материал доставляется фиксированным в 10-процентном забуференном нейтральном формалине курьерами в рамках заключенных договоров. </w:t>
      </w:r>
    </w:p>
    <w:p w:rsidR="00CC0237" w:rsidRPr="00091230" w:rsidRDefault="00CC0237" w:rsidP="009308D8">
      <w:pPr>
        <w:spacing w:line="235" w:lineRule="auto"/>
        <w:ind w:firstLine="709"/>
        <w:jc w:val="both"/>
        <w:rPr>
          <w:rFonts w:eastAsia="Arial"/>
          <w:sz w:val="28"/>
          <w:szCs w:val="28"/>
        </w:rPr>
      </w:pPr>
      <w:r w:rsidRPr="00091230">
        <w:rPr>
          <w:rFonts w:eastAsia="Arial"/>
          <w:sz w:val="28"/>
          <w:szCs w:val="28"/>
        </w:rPr>
        <w:t>Описание и вырезка макропрепарата отвеча</w:t>
      </w:r>
      <w:r w:rsidR="007D29A9">
        <w:rPr>
          <w:rFonts w:eastAsia="Arial"/>
          <w:sz w:val="28"/>
          <w:szCs w:val="28"/>
        </w:rPr>
        <w:t>ю</w:t>
      </w:r>
      <w:r w:rsidRPr="00091230">
        <w:rPr>
          <w:rFonts w:eastAsia="Arial"/>
          <w:sz w:val="28"/>
          <w:szCs w:val="28"/>
        </w:rPr>
        <w:t xml:space="preserve">т всем требованиям и особенностям классификации Всемирной организации здравоохранения и системы TNM, что имеет определяющее значение для диагностики, прогноза и дальнейшего лечения. При необходимости материал исследуется с применением метода иммуногистохимии. </w:t>
      </w:r>
    </w:p>
    <w:p w:rsidR="00CC0237" w:rsidRPr="00091230" w:rsidRDefault="00CC0237" w:rsidP="009308D8">
      <w:pPr>
        <w:spacing w:line="235" w:lineRule="auto"/>
        <w:ind w:firstLine="709"/>
        <w:jc w:val="both"/>
        <w:rPr>
          <w:rFonts w:eastAsia="Arial"/>
          <w:sz w:val="28"/>
          <w:szCs w:val="28"/>
        </w:rPr>
      </w:pPr>
      <w:r w:rsidRPr="00091230">
        <w:rPr>
          <w:rFonts w:eastAsia="Arial"/>
          <w:sz w:val="28"/>
          <w:szCs w:val="28"/>
        </w:rPr>
        <w:t xml:space="preserve">Все препараты молочных желез исследуются на гормональный статус с определением наличия эстрогеновых и прогестероновых рецепторов и определением сверхэкспрессии онкогена HER2/neu, а при неопределенной амплификации HER2/neu (++) выполняется гибридизация in situ (FISH-исследование). </w:t>
      </w:r>
    </w:p>
    <w:p w:rsidR="00CC0237" w:rsidRPr="00091230" w:rsidRDefault="00CC0237" w:rsidP="009308D8">
      <w:pPr>
        <w:spacing w:line="235" w:lineRule="auto"/>
        <w:ind w:firstLine="709"/>
        <w:jc w:val="both"/>
        <w:rPr>
          <w:rFonts w:eastAsia="Arial"/>
          <w:sz w:val="28"/>
          <w:szCs w:val="28"/>
        </w:rPr>
      </w:pPr>
      <w:r w:rsidRPr="002B0885">
        <w:rPr>
          <w:rFonts w:eastAsia="Arial"/>
          <w:sz w:val="28"/>
          <w:szCs w:val="28"/>
        </w:rPr>
        <w:t>За 2018 – 202</w:t>
      </w:r>
      <w:r w:rsidR="00FE7110" w:rsidRPr="002B0885">
        <w:rPr>
          <w:rFonts w:eastAsia="Arial"/>
          <w:sz w:val="28"/>
          <w:szCs w:val="28"/>
        </w:rPr>
        <w:t>4</w:t>
      </w:r>
      <w:r w:rsidRPr="002B0885">
        <w:rPr>
          <w:rFonts w:eastAsia="Arial"/>
          <w:sz w:val="28"/>
          <w:szCs w:val="28"/>
        </w:rPr>
        <w:t xml:space="preserve"> годы были освоены и внедрены методики по определению ALK и ROS1 статуса опухоли (немелкоклеточного рака легкого) методом иммуногистохимии для назначения дальнейшей таргетной терапии.</w:t>
      </w:r>
      <w:r w:rsidRPr="00091230">
        <w:rPr>
          <w:rFonts w:eastAsia="Arial"/>
          <w:sz w:val="28"/>
          <w:szCs w:val="28"/>
        </w:rPr>
        <w:t xml:space="preserve"> </w:t>
      </w:r>
    </w:p>
    <w:p w:rsidR="00051038" w:rsidRPr="00091230" w:rsidRDefault="00051038" w:rsidP="009308D8">
      <w:pPr>
        <w:spacing w:line="235" w:lineRule="auto"/>
        <w:ind w:firstLine="709"/>
        <w:jc w:val="both"/>
        <w:rPr>
          <w:b/>
        </w:rPr>
      </w:pPr>
    </w:p>
    <w:p w:rsidR="00051038" w:rsidRPr="002B0885" w:rsidRDefault="00051038" w:rsidP="009308D8">
      <w:pPr>
        <w:spacing w:line="235" w:lineRule="auto"/>
        <w:ind w:firstLine="709"/>
        <w:jc w:val="both"/>
        <w:rPr>
          <w:rFonts w:ascii="Calibri" w:hAnsi="Calibri"/>
          <w:color w:val="0D0D0D" w:themeColor="text1" w:themeTint="F2"/>
          <w:sz w:val="28"/>
          <w:szCs w:val="28"/>
        </w:rPr>
      </w:pPr>
      <w:r w:rsidRPr="002B0885">
        <w:rPr>
          <w:color w:val="0D0D0D" w:themeColor="text1" w:themeTint="F2"/>
          <w:sz w:val="28"/>
          <w:szCs w:val="28"/>
        </w:rPr>
        <w:t>Телемедицинские консультации осуществляются согласно приказ</w:t>
      </w:r>
      <w:r w:rsidR="007D29A9">
        <w:rPr>
          <w:color w:val="0D0D0D" w:themeColor="text1" w:themeTint="F2"/>
          <w:sz w:val="28"/>
          <w:szCs w:val="28"/>
        </w:rPr>
        <w:t>а</w:t>
      </w:r>
      <w:r w:rsidR="00FF0BC2">
        <w:rPr>
          <w:color w:val="0D0D0D" w:themeColor="text1" w:themeTint="F2"/>
          <w:sz w:val="28"/>
          <w:szCs w:val="28"/>
        </w:rPr>
        <w:t>м</w:t>
      </w:r>
      <w:r w:rsidRPr="002B0885">
        <w:rPr>
          <w:color w:val="0D0D0D" w:themeColor="text1" w:themeTint="F2"/>
          <w:sz w:val="28"/>
          <w:szCs w:val="28"/>
        </w:rPr>
        <w:t xml:space="preserve"> Министерства здравоохранения Республики Татарстан </w:t>
      </w:r>
      <w:r w:rsidR="00FD0EC0" w:rsidRPr="002B0885">
        <w:rPr>
          <w:color w:val="0D0D0D" w:themeColor="text1" w:themeTint="F2"/>
          <w:sz w:val="28"/>
          <w:szCs w:val="28"/>
        </w:rPr>
        <w:t xml:space="preserve">от 15.03.2022 № 681 </w:t>
      </w:r>
      <w:r w:rsidR="00FF0BC2">
        <w:rPr>
          <w:color w:val="0D0D0D" w:themeColor="text1" w:themeTint="F2"/>
          <w:sz w:val="28"/>
          <w:szCs w:val="28"/>
        </w:rPr>
        <w:br/>
      </w:r>
      <w:r w:rsidR="002F7358" w:rsidRPr="002B0885">
        <w:rPr>
          <w:color w:val="0D0D0D" w:themeColor="text1" w:themeTint="F2"/>
          <w:sz w:val="28"/>
          <w:szCs w:val="28"/>
        </w:rPr>
        <w:t>«</w:t>
      </w:r>
      <w:r w:rsidR="00FD0EC0" w:rsidRPr="002B0885">
        <w:rPr>
          <w:color w:val="0D0D0D" w:themeColor="text1" w:themeTint="F2"/>
          <w:sz w:val="28"/>
          <w:szCs w:val="28"/>
        </w:rPr>
        <w:t>Об организации проведения консилиумов и консультаций врачей с применением телемедицинских технологий пациентам с онкологическими заболеваниями (взрослое население) в Республике Татарстан</w:t>
      </w:r>
      <w:r w:rsidR="002F7358" w:rsidRPr="002B0885">
        <w:rPr>
          <w:color w:val="0D0D0D" w:themeColor="text1" w:themeTint="F2"/>
          <w:sz w:val="28"/>
          <w:szCs w:val="28"/>
        </w:rPr>
        <w:t>»</w:t>
      </w:r>
      <w:r w:rsidR="00FD0EC0" w:rsidRPr="002B0885">
        <w:rPr>
          <w:color w:val="0D0D0D" w:themeColor="text1" w:themeTint="F2"/>
          <w:sz w:val="28"/>
          <w:szCs w:val="28"/>
        </w:rPr>
        <w:t xml:space="preserve"> и </w:t>
      </w:r>
      <w:r w:rsidR="00FD0EC0" w:rsidRPr="002B0885">
        <w:rPr>
          <w:color w:val="0D0D0D" w:themeColor="text1" w:themeTint="F2"/>
          <w:sz w:val="28"/>
          <w:szCs w:val="28"/>
          <w:shd w:val="clear" w:color="auto" w:fill="FFFFFF"/>
        </w:rPr>
        <w:t xml:space="preserve">от 07.03.2025 № 477 </w:t>
      </w:r>
      <w:r w:rsidR="002F7358" w:rsidRPr="002B0885">
        <w:rPr>
          <w:color w:val="0D0D0D" w:themeColor="text1" w:themeTint="F2"/>
          <w:sz w:val="28"/>
          <w:szCs w:val="28"/>
          <w:shd w:val="clear" w:color="auto" w:fill="FFFFFF"/>
        </w:rPr>
        <w:t>«</w:t>
      </w:r>
      <w:r w:rsidR="00FD0EC0" w:rsidRPr="002B0885">
        <w:rPr>
          <w:color w:val="0D0D0D" w:themeColor="text1" w:themeTint="F2"/>
          <w:sz w:val="28"/>
          <w:szCs w:val="28"/>
          <w:shd w:val="clear" w:color="auto" w:fill="FFFFFF"/>
        </w:rPr>
        <w:t xml:space="preserve">Об организации проведения первичных консультаций врачей-онкологов ГАУЗ </w:t>
      </w:r>
      <w:r w:rsidR="002F7358" w:rsidRPr="002B0885">
        <w:rPr>
          <w:color w:val="0D0D0D" w:themeColor="text1" w:themeTint="F2"/>
          <w:sz w:val="28"/>
          <w:szCs w:val="28"/>
          <w:shd w:val="clear" w:color="auto" w:fill="FFFFFF"/>
        </w:rPr>
        <w:t>«</w:t>
      </w:r>
      <w:r w:rsidR="00FD0EC0" w:rsidRPr="002B0885">
        <w:rPr>
          <w:color w:val="0D0D0D" w:themeColor="text1" w:themeTint="F2"/>
          <w:sz w:val="28"/>
          <w:szCs w:val="28"/>
          <w:shd w:val="clear" w:color="auto" w:fill="FFFFFF"/>
        </w:rPr>
        <w:t>РКОД МЗ РТ им.проф.М.З.Сигала</w:t>
      </w:r>
      <w:r w:rsidR="002F7358" w:rsidRPr="002B0885">
        <w:rPr>
          <w:color w:val="0D0D0D" w:themeColor="text1" w:themeTint="F2"/>
          <w:sz w:val="28"/>
          <w:szCs w:val="28"/>
          <w:shd w:val="clear" w:color="auto" w:fill="FFFFFF"/>
        </w:rPr>
        <w:t>»</w:t>
      </w:r>
      <w:r w:rsidR="00FD0EC0" w:rsidRPr="002B0885">
        <w:rPr>
          <w:color w:val="0D0D0D" w:themeColor="text1" w:themeTint="F2"/>
          <w:sz w:val="28"/>
          <w:szCs w:val="28"/>
          <w:shd w:val="clear" w:color="auto" w:fill="FFFFFF"/>
        </w:rPr>
        <w:t xml:space="preserve"> с применением телемедицинских технологий пациентам с подозрением на онкологическое заболевание (взрослое население) в Республике Татарстан</w:t>
      </w:r>
      <w:r w:rsidR="002F7358" w:rsidRPr="002B0885">
        <w:rPr>
          <w:color w:val="0D0D0D" w:themeColor="text1" w:themeTint="F2"/>
          <w:sz w:val="28"/>
          <w:szCs w:val="28"/>
          <w:shd w:val="clear" w:color="auto" w:fill="FFFFFF"/>
        </w:rPr>
        <w:t>»</w:t>
      </w:r>
      <w:r w:rsidRPr="002B0885">
        <w:rPr>
          <w:color w:val="0D0D0D" w:themeColor="text1" w:themeTint="F2"/>
          <w:sz w:val="28"/>
          <w:szCs w:val="28"/>
        </w:rPr>
        <w:t xml:space="preserve">. </w:t>
      </w:r>
    </w:p>
    <w:p w:rsidR="00B33BBD" w:rsidRPr="00091230" w:rsidRDefault="00B33BBD" w:rsidP="009308D8">
      <w:pPr>
        <w:spacing w:line="235" w:lineRule="auto"/>
        <w:ind w:firstLine="709"/>
        <w:jc w:val="both"/>
        <w:rPr>
          <w:sz w:val="28"/>
          <w:szCs w:val="28"/>
        </w:rPr>
      </w:pPr>
      <w:r w:rsidRPr="002B0885">
        <w:rPr>
          <w:color w:val="0D0D0D" w:themeColor="text1" w:themeTint="F2"/>
          <w:sz w:val="28"/>
          <w:szCs w:val="28"/>
        </w:rPr>
        <w:t xml:space="preserve">Регламент организации проведения </w:t>
      </w:r>
      <w:r w:rsidR="00951942">
        <w:rPr>
          <w:color w:val="0D0D0D" w:themeColor="text1" w:themeTint="F2"/>
          <w:sz w:val="28"/>
          <w:szCs w:val="28"/>
        </w:rPr>
        <w:t xml:space="preserve">телемедицинских консультаций </w:t>
      </w:r>
      <w:r w:rsidRPr="0065175A">
        <w:rPr>
          <w:sz w:val="28"/>
          <w:szCs w:val="28"/>
        </w:rPr>
        <w:t>в федеральных медицинских организациях, подведомственных Министерству</w:t>
      </w:r>
      <w:r w:rsidRPr="00091230">
        <w:rPr>
          <w:sz w:val="28"/>
          <w:szCs w:val="28"/>
        </w:rPr>
        <w:t xml:space="preserve"> здравоохранения Российской Федерации, оказывающих медицинскую помощь взрослому населению</w:t>
      </w:r>
      <w:r w:rsidR="00E2565A">
        <w:rPr>
          <w:sz w:val="28"/>
          <w:szCs w:val="28"/>
        </w:rPr>
        <w:t xml:space="preserve"> </w:t>
      </w:r>
      <w:r w:rsidRPr="00091230">
        <w:rPr>
          <w:sz w:val="28"/>
          <w:szCs w:val="28"/>
        </w:rPr>
        <w:t xml:space="preserve">по профилю </w:t>
      </w:r>
      <w:r w:rsidR="002F7358">
        <w:rPr>
          <w:sz w:val="28"/>
          <w:szCs w:val="28"/>
        </w:rPr>
        <w:t>«</w:t>
      </w:r>
      <w:r w:rsidRPr="00091230">
        <w:rPr>
          <w:sz w:val="28"/>
          <w:szCs w:val="28"/>
        </w:rPr>
        <w:t>онкология</w:t>
      </w:r>
      <w:r w:rsidR="002F7358">
        <w:rPr>
          <w:sz w:val="28"/>
          <w:szCs w:val="28"/>
        </w:rPr>
        <w:t>»</w:t>
      </w:r>
      <w:r w:rsidR="007D29A9">
        <w:rPr>
          <w:sz w:val="28"/>
          <w:szCs w:val="28"/>
        </w:rPr>
        <w:t>:</w:t>
      </w:r>
    </w:p>
    <w:p w:rsidR="00B33BBD" w:rsidRPr="00091230" w:rsidRDefault="00887958" w:rsidP="009308D8">
      <w:pPr>
        <w:spacing w:line="235" w:lineRule="auto"/>
        <w:ind w:firstLine="709"/>
        <w:jc w:val="both"/>
        <w:rPr>
          <w:sz w:val="28"/>
          <w:szCs w:val="28"/>
        </w:rPr>
      </w:pPr>
      <w:r w:rsidRPr="00091230">
        <w:rPr>
          <w:sz w:val="28"/>
          <w:szCs w:val="28"/>
        </w:rPr>
        <w:t>1</w:t>
      </w:r>
      <w:r w:rsidR="003A303D">
        <w:rPr>
          <w:sz w:val="28"/>
          <w:szCs w:val="28"/>
        </w:rPr>
        <w:t>.</w:t>
      </w:r>
      <w:r w:rsidR="00B33BBD" w:rsidRPr="00091230">
        <w:rPr>
          <w:sz w:val="28"/>
          <w:szCs w:val="28"/>
        </w:rPr>
        <w:t xml:space="preserve"> Направление заявки на проведение </w:t>
      </w:r>
      <w:r w:rsidR="00951942">
        <w:rPr>
          <w:color w:val="0D0D0D" w:themeColor="text1" w:themeTint="F2"/>
          <w:sz w:val="28"/>
          <w:szCs w:val="28"/>
        </w:rPr>
        <w:t>телемедицинской консультации</w:t>
      </w:r>
      <w:r w:rsidR="00B33BBD" w:rsidRPr="00091230">
        <w:rPr>
          <w:sz w:val="28"/>
          <w:szCs w:val="28"/>
        </w:rPr>
        <w:t xml:space="preserve"> в федеральную медицинскую организацию, подведомственную Министерству здравоохранения Российской Федерации, оказывающую медицинскую помощь взрослому населению по профилю </w:t>
      </w:r>
      <w:r w:rsidR="002F7358">
        <w:rPr>
          <w:sz w:val="28"/>
          <w:szCs w:val="28"/>
        </w:rPr>
        <w:t>«</w:t>
      </w:r>
      <w:r w:rsidR="00B33BBD" w:rsidRPr="00091230">
        <w:rPr>
          <w:sz w:val="28"/>
          <w:szCs w:val="28"/>
        </w:rPr>
        <w:t>онкология</w:t>
      </w:r>
      <w:r w:rsidR="002F7358">
        <w:rPr>
          <w:sz w:val="28"/>
          <w:szCs w:val="28"/>
        </w:rPr>
        <w:t>»</w:t>
      </w:r>
      <w:r w:rsidR="00B33BBD" w:rsidRPr="00091230">
        <w:rPr>
          <w:sz w:val="28"/>
          <w:szCs w:val="28"/>
        </w:rPr>
        <w:t xml:space="preserve"> (национальный медиц</w:t>
      </w:r>
      <w:r w:rsidR="003A303D">
        <w:rPr>
          <w:sz w:val="28"/>
          <w:szCs w:val="28"/>
        </w:rPr>
        <w:t>инский исследовательский центр (</w:t>
      </w:r>
      <w:r w:rsidR="00B33BBD" w:rsidRPr="00091230">
        <w:rPr>
          <w:sz w:val="28"/>
          <w:szCs w:val="28"/>
        </w:rPr>
        <w:t>далее – НМИЦ</w:t>
      </w:r>
      <w:r w:rsidR="003A303D">
        <w:rPr>
          <w:sz w:val="28"/>
          <w:szCs w:val="28"/>
        </w:rPr>
        <w:t>)</w:t>
      </w:r>
      <w:r w:rsidR="00B33BBD" w:rsidRPr="00091230">
        <w:rPr>
          <w:sz w:val="28"/>
          <w:szCs w:val="28"/>
        </w:rPr>
        <w:t>)</w:t>
      </w:r>
      <w:r w:rsidR="00FF0BC2">
        <w:rPr>
          <w:sz w:val="28"/>
          <w:szCs w:val="28"/>
        </w:rPr>
        <w:t>,</w:t>
      </w:r>
      <w:r w:rsidR="00B33BBD" w:rsidRPr="00091230">
        <w:rPr>
          <w:sz w:val="28"/>
          <w:szCs w:val="28"/>
        </w:rPr>
        <w:t xml:space="preserve"> осуществляется отделом научного развития и телемедицинских технологий ГАУЗ </w:t>
      </w:r>
      <w:r w:rsidR="002F7358">
        <w:rPr>
          <w:sz w:val="28"/>
          <w:szCs w:val="28"/>
        </w:rPr>
        <w:t>«</w:t>
      </w:r>
      <w:r w:rsidR="009308D8">
        <w:rPr>
          <w:sz w:val="28"/>
          <w:szCs w:val="28"/>
        </w:rPr>
        <w:t>РКОД МЗ РТ им.проф.</w:t>
      </w:r>
      <w:r w:rsidR="00B33BBD" w:rsidRPr="00091230">
        <w:rPr>
          <w:sz w:val="28"/>
          <w:szCs w:val="28"/>
        </w:rPr>
        <w:t>М.З.Сигала</w:t>
      </w:r>
      <w:r w:rsidR="002F7358">
        <w:rPr>
          <w:sz w:val="28"/>
          <w:szCs w:val="28"/>
        </w:rPr>
        <w:t>»</w:t>
      </w:r>
      <w:r w:rsidR="00B33BBD" w:rsidRPr="00091230">
        <w:rPr>
          <w:sz w:val="28"/>
          <w:szCs w:val="28"/>
        </w:rPr>
        <w:t xml:space="preserve"> в Телемедицинской системе дистанционных консультаций федерального и регионального уровней Всероссийского центра медицины катастроф </w:t>
      </w:r>
      <w:r w:rsidR="002F7358">
        <w:rPr>
          <w:sz w:val="28"/>
          <w:szCs w:val="28"/>
        </w:rPr>
        <w:t>«</w:t>
      </w:r>
      <w:r w:rsidR="00B33BBD" w:rsidRPr="00091230">
        <w:rPr>
          <w:sz w:val="28"/>
          <w:szCs w:val="28"/>
        </w:rPr>
        <w:t>Защита</w:t>
      </w:r>
      <w:r w:rsidR="002F7358">
        <w:rPr>
          <w:sz w:val="28"/>
          <w:szCs w:val="28"/>
        </w:rPr>
        <w:t>»</w:t>
      </w:r>
      <w:r w:rsidR="00B33BBD" w:rsidRPr="00091230">
        <w:rPr>
          <w:sz w:val="28"/>
          <w:szCs w:val="28"/>
        </w:rPr>
        <w:t xml:space="preserve">. </w:t>
      </w:r>
    </w:p>
    <w:p w:rsidR="00B33BBD" w:rsidRPr="00091230" w:rsidRDefault="00887958" w:rsidP="009308D8">
      <w:pPr>
        <w:spacing w:line="235" w:lineRule="auto"/>
        <w:ind w:firstLine="709"/>
        <w:jc w:val="both"/>
        <w:rPr>
          <w:sz w:val="28"/>
          <w:szCs w:val="28"/>
        </w:rPr>
      </w:pPr>
      <w:r w:rsidRPr="00091230">
        <w:rPr>
          <w:sz w:val="28"/>
          <w:szCs w:val="28"/>
        </w:rPr>
        <w:t>2</w:t>
      </w:r>
      <w:r w:rsidR="003A303D">
        <w:rPr>
          <w:sz w:val="28"/>
          <w:szCs w:val="28"/>
        </w:rPr>
        <w:t>.</w:t>
      </w:r>
      <w:r w:rsidR="00B33BBD" w:rsidRPr="00091230">
        <w:rPr>
          <w:sz w:val="28"/>
          <w:szCs w:val="28"/>
        </w:rPr>
        <w:t xml:space="preserve"> </w:t>
      </w:r>
      <w:r w:rsidR="00951942">
        <w:rPr>
          <w:color w:val="0D0D0D" w:themeColor="text1" w:themeTint="F2"/>
          <w:sz w:val="28"/>
          <w:szCs w:val="28"/>
        </w:rPr>
        <w:t xml:space="preserve">Телемедицинская консультация </w:t>
      </w:r>
      <w:r w:rsidR="00B33BBD" w:rsidRPr="00091230">
        <w:rPr>
          <w:sz w:val="28"/>
          <w:szCs w:val="28"/>
        </w:rPr>
        <w:t xml:space="preserve">в НМИЦ организуется при онкологических заболеваниях, входящих в </w:t>
      </w:r>
      <w:r w:rsidR="00B33BBD" w:rsidRPr="00290F7A">
        <w:rPr>
          <w:sz w:val="28"/>
          <w:szCs w:val="28"/>
        </w:rPr>
        <w:t xml:space="preserve">рубрики </w:t>
      </w:r>
      <w:hyperlink r:id="rId50" w:history="1">
        <w:r w:rsidR="00B33BBD" w:rsidRPr="00290F7A">
          <w:rPr>
            <w:rStyle w:val="afb"/>
            <w:b w:val="0"/>
            <w:color w:val="auto"/>
            <w:sz w:val="28"/>
            <w:szCs w:val="28"/>
          </w:rPr>
          <w:t>С37</w:t>
        </w:r>
      </w:hyperlink>
      <w:r w:rsidR="00B33BBD" w:rsidRPr="007D29A9">
        <w:rPr>
          <w:sz w:val="28"/>
          <w:szCs w:val="28"/>
        </w:rPr>
        <w:t>,</w:t>
      </w:r>
      <w:r w:rsidR="00B33BBD" w:rsidRPr="007D29A9">
        <w:rPr>
          <w:b/>
          <w:sz w:val="28"/>
          <w:szCs w:val="28"/>
        </w:rPr>
        <w:t xml:space="preserve"> </w:t>
      </w:r>
      <w:hyperlink r:id="rId51" w:history="1">
        <w:r w:rsidR="00B33BBD" w:rsidRPr="007D29A9">
          <w:rPr>
            <w:rStyle w:val="afb"/>
            <w:b w:val="0"/>
            <w:color w:val="auto"/>
            <w:sz w:val="28"/>
            <w:szCs w:val="28"/>
          </w:rPr>
          <w:t>С38</w:t>
        </w:r>
      </w:hyperlink>
      <w:r w:rsidR="00B33BBD" w:rsidRPr="007D29A9">
        <w:rPr>
          <w:sz w:val="28"/>
          <w:szCs w:val="28"/>
        </w:rPr>
        <w:t>,</w:t>
      </w:r>
      <w:r w:rsidR="00B33BBD" w:rsidRPr="007D29A9">
        <w:rPr>
          <w:b/>
          <w:sz w:val="28"/>
          <w:szCs w:val="28"/>
        </w:rPr>
        <w:t xml:space="preserve"> </w:t>
      </w:r>
      <w:hyperlink r:id="rId52" w:history="1">
        <w:r w:rsidR="00B33BBD" w:rsidRPr="007D29A9">
          <w:rPr>
            <w:rStyle w:val="afb"/>
            <w:b w:val="0"/>
            <w:color w:val="auto"/>
            <w:sz w:val="28"/>
            <w:szCs w:val="28"/>
          </w:rPr>
          <w:t>С40-С41</w:t>
        </w:r>
      </w:hyperlink>
      <w:r w:rsidR="00B33BBD" w:rsidRPr="007D29A9">
        <w:rPr>
          <w:sz w:val="28"/>
          <w:szCs w:val="28"/>
        </w:rPr>
        <w:t xml:space="preserve">, </w:t>
      </w:r>
      <w:hyperlink r:id="rId53" w:history="1">
        <w:r w:rsidR="00B33BBD" w:rsidRPr="007D29A9">
          <w:rPr>
            <w:rStyle w:val="afb"/>
            <w:b w:val="0"/>
            <w:color w:val="auto"/>
            <w:sz w:val="28"/>
            <w:szCs w:val="28"/>
          </w:rPr>
          <w:t>С45-С49</w:t>
        </w:r>
      </w:hyperlink>
      <w:r w:rsidR="00B33BBD" w:rsidRPr="007D29A9">
        <w:rPr>
          <w:sz w:val="28"/>
          <w:szCs w:val="28"/>
        </w:rPr>
        <w:t xml:space="preserve">, </w:t>
      </w:r>
      <w:hyperlink r:id="rId54" w:history="1">
        <w:r w:rsidR="00B33BBD" w:rsidRPr="007D29A9">
          <w:rPr>
            <w:rStyle w:val="afb"/>
            <w:b w:val="0"/>
            <w:color w:val="auto"/>
            <w:sz w:val="28"/>
            <w:szCs w:val="28"/>
          </w:rPr>
          <w:t>С58</w:t>
        </w:r>
      </w:hyperlink>
      <w:r w:rsidR="00B33BBD" w:rsidRPr="007D29A9">
        <w:rPr>
          <w:sz w:val="28"/>
          <w:szCs w:val="28"/>
        </w:rPr>
        <w:t>,</w:t>
      </w:r>
      <w:r w:rsidR="00B33BBD" w:rsidRPr="007D29A9">
        <w:rPr>
          <w:b/>
          <w:sz w:val="28"/>
          <w:szCs w:val="28"/>
        </w:rPr>
        <w:t xml:space="preserve"> </w:t>
      </w:r>
      <w:hyperlink r:id="rId55" w:history="1">
        <w:r w:rsidR="00B33BBD" w:rsidRPr="007D29A9">
          <w:rPr>
            <w:rStyle w:val="afb"/>
            <w:b w:val="0"/>
            <w:color w:val="auto"/>
            <w:sz w:val="28"/>
            <w:szCs w:val="28"/>
          </w:rPr>
          <w:t>D39</w:t>
        </w:r>
      </w:hyperlink>
      <w:r w:rsidR="00B33BBD" w:rsidRPr="007D29A9">
        <w:rPr>
          <w:sz w:val="28"/>
          <w:szCs w:val="28"/>
        </w:rPr>
        <w:t>,</w:t>
      </w:r>
      <w:r w:rsidR="00B33BBD" w:rsidRPr="007D29A9">
        <w:rPr>
          <w:b/>
          <w:sz w:val="28"/>
          <w:szCs w:val="28"/>
        </w:rPr>
        <w:t xml:space="preserve"> </w:t>
      </w:r>
      <w:hyperlink r:id="rId56" w:history="1">
        <w:r w:rsidR="00B33BBD" w:rsidRPr="007D29A9">
          <w:rPr>
            <w:rStyle w:val="afb"/>
            <w:b w:val="0"/>
            <w:color w:val="auto"/>
            <w:sz w:val="28"/>
            <w:szCs w:val="28"/>
          </w:rPr>
          <w:t>С62</w:t>
        </w:r>
      </w:hyperlink>
      <w:r w:rsidR="00B33BBD" w:rsidRPr="007D29A9">
        <w:rPr>
          <w:sz w:val="28"/>
          <w:szCs w:val="28"/>
        </w:rPr>
        <w:t xml:space="preserve">, </w:t>
      </w:r>
      <w:hyperlink r:id="rId57" w:history="1">
        <w:r w:rsidR="00B33BBD" w:rsidRPr="00290F7A">
          <w:rPr>
            <w:rStyle w:val="afb"/>
            <w:b w:val="0"/>
            <w:color w:val="auto"/>
            <w:sz w:val="28"/>
            <w:szCs w:val="28"/>
          </w:rPr>
          <w:t>С74</w:t>
        </w:r>
      </w:hyperlink>
      <w:r w:rsidR="00B33BBD" w:rsidRPr="00290F7A">
        <w:rPr>
          <w:sz w:val="28"/>
          <w:szCs w:val="28"/>
        </w:rPr>
        <w:t xml:space="preserve"> МКБ-10, а также соответ</w:t>
      </w:r>
      <w:r w:rsidR="00B33BBD" w:rsidRPr="00091230">
        <w:rPr>
          <w:sz w:val="28"/>
          <w:szCs w:val="28"/>
        </w:rPr>
        <w:t>ствующих кодам междун</w:t>
      </w:r>
      <w:r w:rsidR="009308D8">
        <w:rPr>
          <w:sz w:val="28"/>
          <w:szCs w:val="28"/>
        </w:rPr>
        <w:t>ародной классификации болезней –</w:t>
      </w:r>
      <w:r w:rsidR="00B33BBD" w:rsidRPr="00091230">
        <w:rPr>
          <w:sz w:val="28"/>
          <w:szCs w:val="28"/>
        </w:rPr>
        <w:t xml:space="preserve"> онкология (МКБ-О), по медицинским показаниям, установленным лечащим врачом ГАУЗ </w:t>
      </w:r>
      <w:r w:rsidR="002F7358">
        <w:rPr>
          <w:sz w:val="28"/>
          <w:szCs w:val="28"/>
        </w:rPr>
        <w:t>«</w:t>
      </w:r>
      <w:r w:rsidR="009308D8">
        <w:rPr>
          <w:sz w:val="28"/>
          <w:szCs w:val="28"/>
        </w:rPr>
        <w:t>РКОД МЗ РТ им.</w:t>
      </w:r>
      <w:r w:rsidR="00B33BBD" w:rsidRPr="00091230">
        <w:rPr>
          <w:sz w:val="28"/>
          <w:szCs w:val="28"/>
        </w:rPr>
        <w:t>проф.М.З.Сигала</w:t>
      </w:r>
      <w:r w:rsidR="002F7358">
        <w:rPr>
          <w:sz w:val="28"/>
          <w:szCs w:val="28"/>
        </w:rPr>
        <w:t>»</w:t>
      </w:r>
      <w:r w:rsidR="00B33BBD" w:rsidRPr="00091230">
        <w:rPr>
          <w:sz w:val="28"/>
          <w:szCs w:val="28"/>
        </w:rPr>
        <w:t xml:space="preserve"> и согласованным</w:t>
      </w:r>
      <w:r w:rsidR="007D29A9">
        <w:rPr>
          <w:sz w:val="28"/>
          <w:szCs w:val="28"/>
        </w:rPr>
        <w:t xml:space="preserve"> </w:t>
      </w:r>
      <w:r w:rsidR="00B33BBD" w:rsidRPr="00091230">
        <w:rPr>
          <w:sz w:val="28"/>
          <w:szCs w:val="28"/>
        </w:rPr>
        <w:t xml:space="preserve">с заведующим отделением либо врачебной комиссией ГАУЗ </w:t>
      </w:r>
      <w:r w:rsidR="002F7358">
        <w:rPr>
          <w:sz w:val="28"/>
          <w:szCs w:val="28"/>
        </w:rPr>
        <w:t>«</w:t>
      </w:r>
      <w:r w:rsidR="009308D8">
        <w:rPr>
          <w:sz w:val="28"/>
          <w:szCs w:val="28"/>
        </w:rPr>
        <w:t>РКОД МЗ РТ им.проф.</w:t>
      </w:r>
      <w:r w:rsidR="00B33BBD" w:rsidRPr="00091230">
        <w:rPr>
          <w:sz w:val="28"/>
          <w:szCs w:val="28"/>
        </w:rPr>
        <w:t>М.З.Сигала</w:t>
      </w:r>
      <w:r w:rsidR="002F7358">
        <w:rPr>
          <w:sz w:val="28"/>
          <w:szCs w:val="28"/>
        </w:rPr>
        <w:t>»</w:t>
      </w:r>
      <w:r w:rsidR="00B33BBD" w:rsidRPr="00091230">
        <w:rPr>
          <w:sz w:val="28"/>
          <w:szCs w:val="28"/>
        </w:rPr>
        <w:t xml:space="preserve">. </w:t>
      </w:r>
    </w:p>
    <w:p w:rsidR="00B33BBD" w:rsidRPr="00091230" w:rsidRDefault="00887958" w:rsidP="009308D8">
      <w:pPr>
        <w:spacing w:line="245" w:lineRule="auto"/>
        <w:ind w:firstLine="709"/>
        <w:jc w:val="both"/>
        <w:rPr>
          <w:sz w:val="28"/>
          <w:szCs w:val="28"/>
        </w:rPr>
      </w:pPr>
      <w:r w:rsidRPr="00091230">
        <w:rPr>
          <w:sz w:val="28"/>
          <w:szCs w:val="28"/>
        </w:rPr>
        <w:t>3</w:t>
      </w:r>
      <w:r w:rsidR="003A303D">
        <w:rPr>
          <w:sz w:val="28"/>
          <w:szCs w:val="28"/>
        </w:rPr>
        <w:t>.</w:t>
      </w:r>
      <w:r w:rsidR="00B33BBD" w:rsidRPr="00091230">
        <w:rPr>
          <w:sz w:val="28"/>
          <w:szCs w:val="28"/>
        </w:rPr>
        <w:t xml:space="preserve"> Лечащий врач ГАУЗ </w:t>
      </w:r>
      <w:r w:rsidR="002F7358">
        <w:rPr>
          <w:sz w:val="28"/>
          <w:szCs w:val="28"/>
        </w:rPr>
        <w:t>«</w:t>
      </w:r>
      <w:r w:rsidR="00B33BBD" w:rsidRPr="00091230">
        <w:rPr>
          <w:sz w:val="28"/>
          <w:szCs w:val="28"/>
        </w:rPr>
        <w:t>РКОД МЗ РТ им.проф.М.З.Сигала</w:t>
      </w:r>
      <w:r w:rsidR="002F7358">
        <w:rPr>
          <w:sz w:val="28"/>
          <w:szCs w:val="28"/>
        </w:rPr>
        <w:t>»</w:t>
      </w:r>
      <w:r w:rsidR="00B33BBD" w:rsidRPr="00091230">
        <w:rPr>
          <w:sz w:val="28"/>
          <w:szCs w:val="28"/>
        </w:rPr>
        <w:t xml:space="preserve"> организует обследование пациента согласно соответствующим его заболеванию клиническим рекомендациям, получает у пациента информированное добровольное согласие на проведение </w:t>
      </w:r>
      <w:r w:rsidR="00C44E65">
        <w:rPr>
          <w:color w:val="0D0D0D" w:themeColor="text1" w:themeTint="F2"/>
          <w:sz w:val="28"/>
          <w:szCs w:val="28"/>
        </w:rPr>
        <w:t>телемедицинской консультации</w:t>
      </w:r>
      <w:r w:rsidR="00B33BBD" w:rsidRPr="00091230">
        <w:rPr>
          <w:sz w:val="28"/>
          <w:szCs w:val="28"/>
        </w:rPr>
        <w:t xml:space="preserve">, оформляет заявку на проведение </w:t>
      </w:r>
      <w:r w:rsidR="002645D0">
        <w:rPr>
          <w:color w:val="0D0D0D" w:themeColor="text1" w:themeTint="F2"/>
          <w:sz w:val="28"/>
          <w:szCs w:val="28"/>
        </w:rPr>
        <w:t>телемедицинской консультации</w:t>
      </w:r>
      <w:r w:rsidR="00B33BBD" w:rsidRPr="00091230">
        <w:rPr>
          <w:sz w:val="28"/>
          <w:szCs w:val="28"/>
        </w:rPr>
        <w:t xml:space="preserve"> и направляет ее в отдел научного развития и телемедицинских технологий ГАУЗ </w:t>
      </w:r>
      <w:r w:rsidR="002F7358">
        <w:rPr>
          <w:sz w:val="28"/>
          <w:szCs w:val="28"/>
        </w:rPr>
        <w:t>«</w:t>
      </w:r>
      <w:r w:rsidR="009308D8">
        <w:rPr>
          <w:sz w:val="28"/>
          <w:szCs w:val="28"/>
        </w:rPr>
        <w:t>РКОД МЗ РТ им.проф.</w:t>
      </w:r>
      <w:r w:rsidR="00B33BBD" w:rsidRPr="00091230">
        <w:rPr>
          <w:sz w:val="28"/>
          <w:szCs w:val="28"/>
        </w:rPr>
        <w:t>М.З.Сигала</w:t>
      </w:r>
      <w:r w:rsidR="002F7358">
        <w:rPr>
          <w:sz w:val="28"/>
          <w:szCs w:val="28"/>
        </w:rPr>
        <w:t>»</w:t>
      </w:r>
      <w:r w:rsidR="00B33BBD" w:rsidRPr="00091230">
        <w:rPr>
          <w:sz w:val="28"/>
          <w:szCs w:val="28"/>
        </w:rPr>
        <w:t xml:space="preserve">. В заявке на проведение </w:t>
      </w:r>
      <w:r w:rsidR="002645D0">
        <w:rPr>
          <w:color w:val="0D0D0D" w:themeColor="text1" w:themeTint="F2"/>
          <w:sz w:val="28"/>
          <w:szCs w:val="28"/>
        </w:rPr>
        <w:t>телемедицинской консультации</w:t>
      </w:r>
      <w:r w:rsidR="002645D0">
        <w:rPr>
          <w:sz w:val="28"/>
          <w:szCs w:val="28"/>
        </w:rPr>
        <w:t xml:space="preserve"> </w:t>
      </w:r>
      <w:r w:rsidR="00B33BBD" w:rsidRPr="00091230">
        <w:rPr>
          <w:sz w:val="28"/>
          <w:szCs w:val="28"/>
        </w:rPr>
        <w:t xml:space="preserve">отражается информация о пациенте, в том числе анамнез, объективный статус, данные инструментальных, лучевых, лабораторных исследований, проведенное лечение. </w:t>
      </w:r>
    </w:p>
    <w:p w:rsidR="00B33BBD" w:rsidRPr="00091230" w:rsidRDefault="00887958" w:rsidP="009308D8">
      <w:pPr>
        <w:spacing w:line="245" w:lineRule="auto"/>
        <w:ind w:firstLine="709"/>
        <w:jc w:val="both"/>
        <w:rPr>
          <w:sz w:val="28"/>
          <w:szCs w:val="28"/>
        </w:rPr>
      </w:pPr>
      <w:r w:rsidRPr="00091230">
        <w:rPr>
          <w:sz w:val="28"/>
          <w:szCs w:val="28"/>
        </w:rPr>
        <w:t>4</w:t>
      </w:r>
      <w:r w:rsidR="003A303D">
        <w:rPr>
          <w:sz w:val="28"/>
          <w:szCs w:val="28"/>
        </w:rPr>
        <w:t>.</w:t>
      </w:r>
      <w:r w:rsidR="00B33BBD" w:rsidRPr="00091230">
        <w:rPr>
          <w:sz w:val="28"/>
          <w:szCs w:val="28"/>
        </w:rPr>
        <w:t xml:space="preserve"> Заведующий отделом научного развития и телемедицинских технологий ГАУЗ </w:t>
      </w:r>
      <w:r w:rsidR="002F7358">
        <w:rPr>
          <w:sz w:val="28"/>
          <w:szCs w:val="28"/>
        </w:rPr>
        <w:t>«</w:t>
      </w:r>
      <w:r w:rsidR="009308D8">
        <w:rPr>
          <w:sz w:val="28"/>
          <w:szCs w:val="28"/>
        </w:rPr>
        <w:t>РКОД МЗ РТ им.проф.</w:t>
      </w:r>
      <w:r w:rsidR="00B33BBD" w:rsidRPr="00091230">
        <w:rPr>
          <w:sz w:val="28"/>
          <w:szCs w:val="28"/>
        </w:rPr>
        <w:t>М.З.Сигала</w:t>
      </w:r>
      <w:r w:rsidR="002F7358">
        <w:rPr>
          <w:sz w:val="28"/>
          <w:szCs w:val="28"/>
        </w:rPr>
        <w:t>»</w:t>
      </w:r>
      <w:r w:rsidR="00B33BBD" w:rsidRPr="00091230">
        <w:rPr>
          <w:sz w:val="28"/>
          <w:szCs w:val="28"/>
        </w:rPr>
        <w:t xml:space="preserve">: </w:t>
      </w:r>
    </w:p>
    <w:p w:rsidR="00B33BBD" w:rsidRPr="00091230" w:rsidRDefault="00B33BBD" w:rsidP="009308D8">
      <w:pPr>
        <w:spacing w:line="245" w:lineRule="auto"/>
        <w:ind w:firstLine="709"/>
        <w:jc w:val="both"/>
        <w:rPr>
          <w:sz w:val="28"/>
          <w:szCs w:val="28"/>
        </w:rPr>
      </w:pPr>
      <w:r w:rsidRPr="00091230">
        <w:rPr>
          <w:sz w:val="28"/>
          <w:szCs w:val="28"/>
        </w:rPr>
        <w:t xml:space="preserve">проводит проверку правильности оформления заявки на проведение </w:t>
      </w:r>
      <w:r w:rsidR="002645D0">
        <w:rPr>
          <w:color w:val="0D0D0D" w:themeColor="text1" w:themeTint="F2"/>
          <w:sz w:val="28"/>
          <w:szCs w:val="28"/>
        </w:rPr>
        <w:t>телемедицинской консультации</w:t>
      </w:r>
      <w:r w:rsidR="002645D0">
        <w:rPr>
          <w:sz w:val="28"/>
          <w:szCs w:val="28"/>
        </w:rPr>
        <w:t xml:space="preserve"> </w:t>
      </w:r>
      <w:r w:rsidRPr="00091230">
        <w:rPr>
          <w:sz w:val="28"/>
          <w:szCs w:val="28"/>
        </w:rPr>
        <w:t xml:space="preserve">в НМИЦ и полноты медицинских данных, отраженных в сопроводительной медицинской документации; </w:t>
      </w:r>
    </w:p>
    <w:p w:rsidR="00B33BBD" w:rsidRPr="00091230" w:rsidRDefault="00B33BBD" w:rsidP="009308D8">
      <w:pPr>
        <w:spacing w:line="245" w:lineRule="auto"/>
        <w:ind w:firstLine="709"/>
        <w:jc w:val="both"/>
        <w:rPr>
          <w:sz w:val="28"/>
          <w:szCs w:val="28"/>
        </w:rPr>
      </w:pPr>
      <w:r w:rsidRPr="00091230">
        <w:rPr>
          <w:sz w:val="28"/>
          <w:szCs w:val="28"/>
        </w:rPr>
        <w:t xml:space="preserve">организует оформление и отправку запроса на проведение </w:t>
      </w:r>
      <w:r w:rsidR="002645D0">
        <w:rPr>
          <w:color w:val="0D0D0D" w:themeColor="text1" w:themeTint="F2"/>
          <w:sz w:val="28"/>
          <w:szCs w:val="28"/>
        </w:rPr>
        <w:t>телемедицинской консультации</w:t>
      </w:r>
      <w:r w:rsidR="002645D0">
        <w:rPr>
          <w:sz w:val="28"/>
          <w:szCs w:val="28"/>
        </w:rPr>
        <w:t xml:space="preserve"> </w:t>
      </w:r>
      <w:r w:rsidRPr="00091230">
        <w:rPr>
          <w:sz w:val="28"/>
          <w:szCs w:val="28"/>
        </w:rPr>
        <w:t xml:space="preserve">в НМИЦ в срок не более </w:t>
      </w:r>
      <w:r w:rsidR="007D29A9">
        <w:rPr>
          <w:sz w:val="28"/>
          <w:szCs w:val="28"/>
        </w:rPr>
        <w:t>дву</w:t>
      </w:r>
      <w:r w:rsidRPr="00091230">
        <w:rPr>
          <w:sz w:val="28"/>
          <w:szCs w:val="28"/>
        </w:rPr>
        <w:t xml:space="preserve">х часов с момента поступления заявки на проведение </w:t>
      </w:r>
      <w:r w:rsidR="002645D0">
        <w:rPr>
          <w:color w:val="0D0D0D" w:themeColor="text1" w:themeTint="F2"/>
          <w:sz w:val="28"/>
          <w:szCs w:val="28"/>
        </w:rPr>
        <w:t>телемедицинской консультации</w:t>
      </w:r>
      <w:r w:rsidR="002645D0">
        <w:rPr>
          <w:sz w:val="28"/>
          <w:szCs w:val="28"/>
        </w:rPr>
        <w:t xml:space="preserve"> </w:t>
      </w:r>
      <w:r w:rsidRPr="00091230">
        <w:rPr>
          <w:sz w:val="28"/>
          <w:szCs w:val="28"/>
        </w:rPr>
        <w:t xml:space="preserve">(при необходимости проведения </w:t>
      </w:r>
      <w:r w:rsidR="002645D0">
        <w:rPr>
          <w:color w:val="0D0D0D" w:themeColor="text1" w:themeTint="F2"/>
          <w:sz w:val="28"/>
          <w:szCs w:val="28"/>
        </w:rPr>
        <w:t>телемедицинской консультации</w:t>
      </w:r>
      <w:r w:rsidR="002645D0">
        <w:rPr>
          <w:sz w:val="28"/>
          <w:szCs w:val="28"/>
        </w:rPr>
        <w:t xml:space="preserve"> </w:t>
      </w:r>
      <w:r w:rsidRPr="00091230">
        <w:rPr>
          <w:sz w:val="28"/>
          <w:szCs w:val="28"/>
        </w:rPr>
        <w:t>в э</w:t>
      </w:r>
      <w:r w:rsidR="009308D8">
        <w:rPr>
          <w:sz w:val="28"/>
          <w:szCs w:val="28"/>
        </w:rPr>
        <w:t>кстренной или неотложной форме –</w:t>
      </w:r>
      <w:r w:rsidRPr="00091230">
        <w:rPr>
          <w:sz w:val="28"/>
          <w:szCs w:val="28"/>
        </w:rPr>
        <w:t xml:space="preserve"> незамедлительно); </w:t>
      </w:r>
    </w:p>
    <w:p w:rsidR="00B33BBD" w:rsidRPr="00091230" w:rsidRDefault="00B33BBD" w:rsidP="009308D8">
      <w:pPr>
        <w:spacing w:line="245" w:lineRule="auto"/>
        <w:ind w:firstLine="709"/>
        <w:jc w:val="both"/>
        <w:rPr>
          <w:sz w:val="28"/>
          <w:szCs w:val="28"/>
        </w:rPr>
      </w:pPr>
      <w:r w:rsidRPr="00091230">
        <w:rPr>
          <w:sz w:val="28"/>
          <w:szCs w:val="28"/>
        </w:rPr>
        <w:t xml:space="preserve">осуществляет контроль проведения </w:t>
      </w:r>
      <w:r w:rsidR="002645D0">
        <w:rPr>
          <w:color w:val="0D0D0D" w:themeColor="text1" w:themeTint="F2"/>
          <w:sz w:val="28"/>
          <w:szCs w:val="28"/>
        </w:rPr>
        <w:t>телемедицинской консультации</w:t>
      </w:r>
      <w:r w:rsidR="002645D0">
        <w:rPr>
          <w:sz w:val="28"/>
          <w:szCs w:val="28"/>
        </w:rPr>
        <w:t xml:space="preserve"> </w:t>
      </w:r>
      <w:r w:rsidRPr="00091230">
        <w:rPr>
          <w:sz w:val="28"/>
          <w:szCs w:val="28"/>
        </w:rPr>
        <w:t xml:space="preserve">в НМИЦ; получения медицинского заключения врачей-специалистов НМИЦ по результатам </w:t>
      </w:r>
      <w:r w:rsidR="002645D0">
        <w:rPr>
          <w:color w:val="0D0D0D" w:themeColor="text1" w:themeTint="F2"/>
          <w:sz w:val="28"/>
          <w:szCs w:val="28"/>
        </w:rPr>
        <w:t>телемедицинской консультации</w:t>
      </w:r>
      <w:r w:rsidRPr="00091230">
        <w:rPr>
          <w:sz w:val="28"/>
          <w:szCs w:val="28"/>
        </w:rPr>
        <w:t xml:space="preserve">; направления медицинского заключения врачей-специалистов НМИЦ в адрес лечащего врача ГАУЗ </w:t>
      </w:r>
      <w:r w:rsidR="002F7358">
        <w:rPr>
          <w:sz w:val="28"/>
          <w:szCs w:val="28"/>
        </w:rPr>
        <w:t>«</w:t>
      </w:r>
      <w:r w:rsidR="009308D8">
        <w:rPr>
          <w:sz w:val="28"/>
          <w:szCs w:val="28"/>
        </w:rPr>
        <w:t>РКОД МЗ РТ им.проф.</w:t>
      </w:r>
      <w:r w:rsidRPr="00091230">
        <w:rPr>
          <w:sz w:val="28"/>
          <w:szCs w:val="28"/>
        </w:rPr>
        <w:t>М.З.Сигала</w:t>
      </w:r>
      <w:r w:rsidR="002F7358">
        <w:rPr>
          <w:sz w:val="28"/>
          <w:szCs w:val="28"/>
        </w:rPr>
        <w:t>»</w:t>
      </w:r>
      <w:r w:rsidRPr="00091230">
        <w:rPr>
          <w:sz w:val="28"/>
          <w:szCs w:val="28"/>
        </w:rPr>
        <w:t xml:space="preserve">, направившего заявку на проведение </w:t>
      </w:r>
      <w:r w:rsidR="002645D0">
        <w:rPr>
          <w:color w:val="0D0D0D" w:themeColor="text1" w:themeTint="F2"/>
          <w:sz w:val="28"/>
          <w:szCs w:val="28"/>
        </w:rPr>
        <w:t>телемедицинской консультации</w:t>
      </w:r>
      <w:r w:rsidRPr="00091230">
        <w:rPr>
          <w:sz w:val="28"/>
          <w:szCs w:val="28"/>
        </w:rPr>
        <w:t xml:space="preserve">, либо предоставления доступа лечащему врачу к медицинскому заключению врачей-специалистов НМИЦ с одновременным направлением соответствующего уведомления в его адрес. </w:t>
      </w:r>
    </w:p>
    <w:p w:rsidR="00B33BBD" w:rsidRPr="007D29A9" w:rsidRDefault="00B33BBD" w:rsidP="009308D8">
      <w:pPr>
        <w:spacing w:line="245" w:lineRule="auto"/>
        <w:ind w:firstLine="709"/>
        <w:jc w:val="both"/>
        <w:rPr>
          <w:sz w:val="28"/>
          <w:szCs w:val="28"/>
        </w:rPr>
      </w:pPr>
      <w:r w:rsidRPr="007D29A9">
        <w:rPr>
          <w:sz w:val="28"/>
          <w:szCs w:val="28"/>
        </w:rPr>
        <w:t xml:space="preserve">Примечания: </w:t>
      </w:r>
    </w:p>
    <w:p w:rsidR="00B33BBD" w:rsidRPr="007D29A9" w:rsidRDefault="002645D0" w:rsidP="009308D8">
      <w:pPr>
        <w:spacing w:line="245" w:lineRule="auto"/>
        <w:ind w:firstLine="709"/>
        <w:jc w:val="both"/>
        <w:rPr>
          <w:sz w:val="28"/>
          <w:szCs w:val="28"/>
        </w:rPr>
      </w:pPr>
      <w:r>
        <w:rPr>
          <w:color w:val="0D0D0D" w:themeColor="text1" w:themeTint="F2"/>
          <w:sz w:val="28"/>
          <w:szCs w:val="28"/>
        </w:rPr>
        <w:t xml:space="preserve">Телемедицинские консультации </w:t>
      </w:r>
      <w:r w:rsidR="00B33BBD" w:rsidRPr="007D29A9">
        <w:rPr>
          <w:sz w:val="28"/>
          <w:szCs w:val="28"/>
        </w:rPr>
        <w:t>в НМИЦ при нейрохирургических заболеваниях онкологического генеза, входящих в рубрики С70 (С</w:t>
      </w:r>
      <w:r w:rsidR="00887958" w:rsidRPr="007D29A9">
        <w:rPr>
          <w:sz w:val="28"/>
          <w:szCs w:val="28"/>
        </w:rPr>
        <w:t>70,</w:t>
      </w:r>
      <w:r w:rsidR="00B33BBD" w:rsidRPr="007D29A9">
        <w:rPr>
          <w:sz w:val="28"/>
          <w:szCs w:val="28"/>
        </w:rPr>
        <w:t>0, С</w:t>
      </w:r>
      <w:r w:rsidR="00887958" w:rsidRPr="007D29A9">
        <w:rPr>
          <w:sz w:val="28"/>
          <w:szCs w:val="28"/>
        </w:rPr>
        <w:t>70,</w:t>
      </w:r>
      <w:r w:rsidR="00B33BBD" w:rsidRPr="007D29A9">
        <w:rPr>
          <w:sz w:val="28"/>
          <w:szCs w:val="28"/>
        </w:rPr>
        <w:t>1, С</w:t>
      </w:r>
      <w:r w:rsidR="00887958" w:rsidRPr="007D29A9">
        <w:rPr>
          <w:sz w:val="28"/>
          <w:szCs w:val="28"/>
        </w:rPr>
        <w:t>70,</w:t>
      </w:r>
      <w:r w:rsidR="00B33BBD" w:rsidRPr="007D29A9">
        <w:rPr>
          <w:sz w:val="28"/>
          <w:szCs w:val="28"/>
        </w:rPr>
        <w:t>9), С72 (С</w:t>
      </w:r>
      <w:r w:rsidR="00887958" w:rsidRPr="007D29A9">
        <w:rPr>
          <w:sz w:val="28"/>
          <w:szCs w:val="28"/>
        </w:rPr>
        <w:t>72,</w:t>
      </w:r>
      <w:r w:rsidR="00B33BBD" w:rsidRPr="007D29A9">
        <w:rPr>
          <w:sz w:val="28"/>
          <w:szCs w:val="28"/>
        </w:rPr>
        <w:t>0, С</w:t>
      </w:r>
      <w:r w:rsidR="00887958" w:rsidRPr="007D29A9">
        <w:rPr>
          <w:sz w:val="28"/>
          <w:szCs w:val="28"/>
        </w:rPr>
        <w:t>72,</w:t>
      </w:r>
      <w:r w:rsidR="00B33BBD" w:rsidRPr="007D29A9">
        <w:rPr>
          <w:sz w:val="28"/>
          <w:szCs w:val="28"/>
        </w:rPr>
        <w:t>1, С</w:t>
      </w:r>
      <w:r w:rsidR="00887958" w:rsidRPr="007D29A9">
        <w:rPr>
          <w:sz w:val="28"/>
          <w:szCs w:val="28"/>
        </w:rPr>
        <w:t>72,</w:t>
      </w:r>
      <w:r w:rsidR="00B33BBD" w:rsidRPr="007D29A9">
        <w:rPr>
          <w:sz w:val="28"/>
          <w:szCs w:val="28"/>
        </w:rPr>
        <w:t>2, С</w:t>
      </w:r>
      <w:r w:rsidR="00887958" w:rsidRPr="007D29A9">
        <w:rPr>
          <w:sz w:val="28"/>
          <w:szCs w:val="28"/>
        </w:rPr>
        <w:t>72,</w:t>
      </w:r>
      <w:r w:rsidR="00B33BBD" w:rsidRPr="007D29A9">
        <w:rPr>
          <w:sz w:val="28"/>
          <w:szCs w:val="28"/>
        </w:rPr>
        <w:t>3, С</w:t>
      </w:r>
      <w:r w:rsidR="00887958" w:rsidRPr="007D29A9">
        <w:rPr>
          <w:sz w:val="28"/>
          <w:szCs w:val="28"/>
        </w:rPr>
        <w:t>72,</w:t>
      </w:r>
      <w:r w:rsidR="00B33BBD" w:rsidRPr="007D29A9">
        <w:rPr>
          <w:sz w:val="28"/>
          <w:szCs w:val="28"/>
        </w:rPr>
        <w:t>4, С</w:t>
      </w:r>
      <w:r w:rsidR="00887958" w:rsidRPr="007D29A9">
        <w:rPr>
          <w:sz w:val="28"/>
          <w:szCs w:val="28"/>
        </w:rPr>
        <w:t>72,</w:t>
      </w:r>
      <w:r w:rsidR="00B33BBD" w:rsidRPr="007D29A9">
        <w:rPr>
          <w:sz w:val="28"/>
          <w:szCs w:val="28"/>
        </w:rPr>
        <w:t>5, С</w:t>
      </w:r>
      <w:r w:rsidR="00887958" w:rsidRPr="007D29A9">
        <w:rPr>
          <w:sz w:val="28"/>
          <w:szCs w:val="28"/>
        </w:rPr>
        <w:t>72,</w:t>
      </w:r>
      <w:r w:rsidR="00B33BBD" w:rsidRPr="007D29A9">
        <w:rPr>
          <w:sz w:val="28"/>
          <w:szCs w:val="28"/>
        </w:rPr>
        <w:t>8, С</w:t>
      </w:r>
      <w:r w:rsidR="00887958" w:rsidRPr="007D29A9">
        <w:rPr>
          <w:sz w:val="28"/>
          <w:szCs w:val="28"/>
        </w:rPr>
        <w:t>72,</w:t>
      </w:r>
      <w:r w:rsidR="00B33BBD" w:rsidRPr="007D29A9">
        <w:rPr>
          <w:sz w:val="28"/>
          <w:szCs w:val="28"/>
        </w:rPr>
        <w:t xml:space="preserve">9) МКБ-10, организуются в соответствии </w:t>
      </w:r>
      <w:r w:rsidR="00B33BBD" w:rsidRPr="009C6B73">
        <w:rPr>
          <w:sz w:val="28"/>
          <w:szCs w:val="28"/>
        </w:rPr>
        <w:t xml:space="preserve">с приказом Министерства здравоохранения Республики Татарстан от </w:t>
      </w:r>
      <w:r w:rsidR="00887958" w:rsidRPr="009C6B73">
        <w:rPr>
          <w:sz w:val="28"/>
          <w:szCs w:val="28"/>
        </w:rPr>
        <w:t>28</w:t>
      </w:r>
      <w:r w:rsidR="005933BA" w:rsidRPr="009C6B73">
        <w:rPr>
          <w:sz w:val="28"/>
          <w:szCs w:val="28"/>
        </w:rPr>
        <w:t>.</w:t>
      </w:r>
      <w:r w:rsidR="00887958" w:rsidRPr="009C6B73">
        <w:rPr>
          <w:sz w:val="28"/>
          <w:szCs w:val="28"/>
        </w:rPr>
        <w:t>12</w:t>
      </w:r>
      <w:r w:rsidR="005933BA" w:rsidRPr="009C6B73">
        <w:rPr>
          <w:sz w:val="28"/>
          <w:szCs w:val="28"/>
        </w:rPr>
        <w:t>.</w:t>
      </w:r>
      <w:r w:rsidR="00B33BBD" w:rsidRPr="009C6B73">
        <w:rPr>
          <w:sz w:val="28"/>
          <w:szCs w:val="28"/>
        </w:rPr>
        <w:t xml:space="preserve">2021 № 2970 </w:t>
      </w:r>
      <w:r w:rsidR="002F7358" w:rsidRPr="009C6B73">
        <w:rPr>
          <w:sz w:val="28"/>
          <w:szCs w:val="28"/>
        </w:rPr>
        <w:t>«</w:t>
      </w:r>
      <w:r w:rsidR="005933BA" w:rsidRPr="009C6B73">
        <w:rPr>
          <w:color w:val="22272F"/>
          <w:sz w:val="28"/>
          <w:szCs w:val="28"/>
          <w:shd w:val="clear" w:color="auto" w:fill="FFFFFF"/>
        </w:rPr>
        <w:t>Об организации специализированной, в том числе высокотехнологичной, медицинской помощи в плановой форме взрослому населению при нейрохирургических заболеваниях онкологического генеза в Республике Татарстан</w:t>
      </w:r>
      <w:r w:rsidR="002F7358" w:rsidRPr="009C6B73">
        <w:rPr>
          <w:color w:val="22272F"/>
          <w:sz w:val="28"/>
          <w:szCs w:val="28"/>
          <w:shd w:val="clear" w:color="auto" w:fill="FFFFFF"/>
        </w:rPr>
        <w:t>»</w:t>
      </w:r>
      <w:r w:rsidR="00B33BBD" w:rsidRPr="009C6B73">
        <w:rPr>
          <w:sz w:val="28"/>
          <w:szCs w:val="28"/>
        </w:rPr>
        <w:t>;</w:t>
      </w:r>
      <w:r w:rsidR="00B33BBD" w:rsidRPr="007D29A9">
        <w:rPr>
          <w:sz w:val="28"/>
          <w:szCs w:val="28"/>
        </w:rPr>
        <w:t xml:space="preserve"> </w:t>
      </w:r>
    </w:p>
    <w:p w:rsidR="00051038" w:rsidRPr="007D29A9" w:rsidRDefault="00F95B4A" w:rsidP="009308D8">
      <w:pPr>
        <w:spacing w:line="245" w:lineRule="auto"/>
        <w:ind w:firstLine="709"/>
        <w:jc w:val="both"/>
        <w:rPr>
          <w:sz w:val="28"/>
          <w:szCs w:val="28"/>
        </w:rPr>
      </w:pPr>
      <w:r>
        <w:rPr>
          <w:color w:val="0D0D0D" w:themeColor="text1" w:themeTint="F2"/>
          <w:sz w:val="28"/>
          <w:szCs w:val="28"/>
        </w:rPr>
        <w:t xml:space="preserve">Телемедицинские консультации </w:t>
      </w:r>
      <w:r w:rsidR="00B33BBD" w:rsidRPr="007D29A9">
        <w:rPr>
          <w:sz w:val="28"/>
          <w:szCs w:val="28"/>
        </w:rPr>
        <w:t>в НМИЦ при онкологических заболеваниях глаза, его придаточного аппарата и орбиты, входящих в рубрику С69 (С</w:t>
      </w:r>
      <w:r w:rsidR="00887958" w:rsidRPr="007D29A9">
        <w:rPr>
          <w:sz w:val="28"/>
          <w:szCs w:val="28"/>
        </w:rPr>
        <w:t>69,</w:t>
      </w:r>
      <w:r w:rsidR="00B33BBD" w:rsidRPr="007D29A9">
        <w:rPr>
          <w:sz w:val="28"/>
          <w:szCs w:val="28"/>
        </w:rPr>
        <w:t>1; С</w:t>
      </w:r>
      <w:r w:rsidR="00887958" w:rsidRPr="007D29A9">
        <w:rPr>
          <w:sz w:val="28"/>
          <w:szCs w:val="28"/>
        </w:rPr>
        <w:t>69,</w:t>
      </w:r>
      <w:r w:rsidR="00B33BBD" w:rsidRPr="007D29A9">
        <w:rPr>
          <w:sz w:val="28"/>
          <w:szCs w:val="28"/>
        </w:rPr>
        <w:t>2, С</w:t>
      </w:r>
      <w:r w:rsidR="00887958" w:rsidRPr="007D29A9">
        <w:rPr>
          <w:sz w:val="28"/>
          <w:szCs w:val="28"/>
        </w:rPr>
        <w:t>69,</w:t>
      </w:r>
      <w:r w:rsidR="00B33BBD" w:rsidRPr="007D29A9">
        <w:rPr>
          <w:sz w:val="28"/>
          <w:szCs w:val="28"/>
        </w:rPr>
        <w:t>3, С</w:t>
      </w:r>
      <w:r w:rsidR="00887958" w:rsidRPr="007D29A9">
        <w:rPr>
          <w:sz w:val="28"/>
          <w:szCs w:val="28"/>
        </w:rPr>
        <w:t>69,</w:t>
      </w:r>
      <w:r w:rsidR="00B33BBD" w:rsidRPr="007D29A9">
        <w:rPr>
          <w:sz w:val="28"/>
          <w:szCs w:val="28"/>
        </w:rPr>
        <w:t>4, С</w:t>
      </w:r>
      <w:r w:rsidR="00887958" w:rsidRPr="007D29A9">
        <w:rPr>
          <w:sz w:val="28"/>
          <w:szCs w:val="28"/>
        </w:rPr>
        <w:t>69,</w:t>
      </w:r>
      <w:r w:rsidR="00B33BBD" w:rsidRPr="007D29A9">
        <w:rPr>
          <w:sz w:val="28"/>
          <w:szCs w:val="28"/>
        </w:rPr>
        <w:t>5, С</w:t>
      </w:r>
      <w:r w:rsidR="00887958" w:rsidRPr="007D29A9">
        <w:rPr>
          <w:sz w:val="28"/>
          <w:szCs w:val="28"/>
        </w:rPr>
        <w:t>69,</w:t>
      </w:r>
      <w:r w:rsidR="00B33BBD" w:rsidRPr="007D29A9">
        <w:rPr>
          <w:sz w:val="28"/>
          <w:szCs w:val="28"/>
        </w:rPr>
        <w:t>6, С</w:t>
      </w:r>
      <w:r w:rsidR="00887958" w:rsidRPr="007D29A9">
        <w:rPr>
          <w:sz w:val="28"/>
          <w:szCs w:val="28"/>
        </w:rPr>
        <w:t>69,</w:t>
      </w:r>
      <w:r w:rsidR="00B33BBD" w:rsidRPr="007D29A9">
        <w:rPr>
          <w:sz w:val="28"/>
          <w:szCs w:val="28"/>
        </w:rPr>
        <w:t>7, С</w:t>
      </w:r>
      <w:r w:rsidR="00887958" w:rsidRPr="007D29A9">
        <w:rPr>
          <w:sz w:val="28"/>
          <w:szCs w:val="28"/>
        </w:rPr>
        <w:t>69,</w:t>
      </w:r>
      <w:r w:rsidR="00B33BBD" w:rsidRPr="007D29A9">
        <w:rPr>
          <w:sz w:val="28"/>
          <w:szCs w:val="28"/>
        </w:rPr>
        <w:t>8, С</w:t>
      </w:r>
      <w:r w:rsidR="00887958" w:rsidRPr="007D29A9">
        <w:rPr>
          <w:sz w:val="28"/>
          <w:szCs w:val="28"/>
        </w:rPr>
        <w:t>69,</w:t>
      </w:r>
      <w:r w:rsidR="00B33BBD" w:rsidRPr="007D29A9">
        <w:rPr>
          <w:sz w:val="28"/>
          <w:szCs w:val="28"/>
        </w:rPr>
        <w:t>9), и кодом заболевания С</w:t>
      </w:r>
      <w:r w:rsidR="00887958" w:rsidRPr="007D29A9">
        <w:rPr>
          <w:sz w:val="28"/>
          <w:szCs w:val="28"/>
        </w:rPr>
        <w:t>72,</w:t>
      </w:r>
      <w:r w:rsidR="00B33BBD" w:rsidRPr="007D29A9">
        <w:rPr>
          <w:sz w:val="28"/>
          <w:szCs w:val="28"/>
        </w:rPr>
        <w:t xml:space="preserve">3 МКБ-10 организуются в соответствии с приказом Министерства здравоохранения Республики Татарстан от </w:t>
      </w:r>
      <w:r w:rsidR="00887958" w:rsidRPr="007D29A9">
        <w:rPr>
          <w:sz w:val="28"/>
          <w:szCs w:val="28"/>
        </w:rPr>
        <w:t>28</w:t>
      </w:r>
      <w:r w:rsidR="005933BA" w:rsidRPr="007D29A9">
        <w:rPr>
          <w:sz w:val="28"/>
          <w:szCs w:val="28"/>
        </w:rPr>
        <w:t>.</w:t>
      </w:r>
      <w:r w:rsidR="00887958" w:rsidRPr="007D29A9">
        <w:rPr>
          <w:sz w:val="28"/>
          <w:szCs w:val="28"/>
        </w:rPr>
        <w:t>12</w:t>
      </w:r>
      <w:r w:rsidR="005933BA" w:rsidRPr="007D29A9">
        <w:rPr>
          <w:sz w:val="28"/>
          <w:szCs w:val="28"/>
        </w:rPr>
        <w:t>.</w:t>
      </w:r>
      <w:r w:rsidR="00B33BBD" w:rsidRPr="007D29A9">
        <w:rPr>
          <w:sz w:val="28"/>
          <w:szCs w:val="28"/>
        </w:rPr>
        <w:t xml:space="preserve">2021 № 2971 </w:t>
      </w:r>
      <w:r w:rsidR="002F7358" w:rsidRPr="007D29A9">
        <w:rPr>
          <w:sz w:val="28"/>
          <w:szCs w:val="28"/>
        </w:rPr>
        <w:t>«</w:t>
      </w:r>
      <w:r w:rsidR="00B33BBD" w:rsidRPr="007D29A9">
        <w:rPr>
          <w:sz w:val="28"/>
          <w:szCs w:val="28"/>
        </w:rPr>
        <w:t>Об организации медицинской помощи взрослому населению при онкологических заболеваниях глаза, его придаточного аппарата и</w:t>
      </w:r>
      <w:r w:rsidR="00C2035B" w:rsidRPr="007D29A9">
        <w:rPr>
          <w:sz w:val="28"/>
          <w:szCs w:val="28"/>
        </w:rPr>
        <w:t xml:space="preserve"> орбиты в Республике Татарстан</w:t>
      </w:r>
      <w:r w:rsidR="002F7358" w:rsidRPr="007D29A9">
        <w:rPr>
          <w:sz w:val="28"/>
          <w:szCs w:val="28"/>
        </w:rPr>
        <w:t>»</w:t>
      </w:r>
      <w:r w:rsidR="00C2035B" w:rsidRPr="007D29A9">
        <w:rPr>
          <w:sz w:val="28"/>
          <w:szCs w:val="28"/>
        </w:rPr>
        <w:t>.</w:t>
      </w:r>
    </w:p>
    <w:p w:rsidR="00C2035B" w:rsidRPr="00AE37B1" w:rsidRDefault="00C2035B" w:rsidP="009308D8">
      <w:pPr>
        <w:ind w:firstLine="709"/>
        <w:jc w:val="both"/>
        <w:rPr>
          <w:sz w:val="28"/>
          <w:szCs w:val="28"/>
        </w:rPr>
      </w:pPr>
      <w:r w:rsidRPr="002B0885">
        <w:rPr>
          <w:sz w:val="28"/>
          <w:szCs w:val="28"/>
        </w:rPr>
        <w:t xml:space="preserve">Информация о </w:t>
      </w:r>
      <w:r w:rsidR="00C44E65">
        <w:rPr>
          <w:color w:val="0D0D0D" w:themeColor="text1" w:themeTint="F2"/>
          <w:sz w:val="28"/>
          <w:szCs w:val="28"/>
        </w:rPr>
        <w:t>телемедицинских консультациях</w:t>
      </w:r>
      <w:r w:rsidRPr="002B0885">
        <w:rPr>
          <w:sz w:val="28"/>
          <w:szCs w:val="28"/>
        </w:rPr>
        <w:t xml:space="preserve"> представл</w:t>
      </w:r>
      <w:r w:rsidR="005933BA" w:rsidRPr="002B0885">
        <w:rPr>
          <w:sz w:val="28"/>
          <w:szCs w:val="28"/>
        </w:rPr>
        <w:t>е</w:t>
      </w:r>
      <w:r w:rsidRPr="002B0885">
        <w:rPr>
          <w:sz w:val="28"/>
          <w:szCs w:val="28"/>
        </w:rPr>
        <w:t xml:space="preserve">на в таблицах </w:t>
      </w:r>
      <w:r w:rsidR="00DB723C" w:rsidRPr="002B0885">
        <w:rPr>
          <w:sz w:val="28"/>
          <w:szCs w:val="28"/>
        </w:rPr>
        <w:t>26</w:t>
      </w:r>
      <w:r w:rsidR="00DA6979" w:rsidRPr="002B0885">
        <w:rPr>
          <w:sz w:val="28"/>
          <w:szCs w:val="28"/>
        </w:rPr>
        <w:t xml:space="preserve"> </w:t>
      </w:r>
      <w:r w:rsidR="00DA6979" w:rsidRPr="002B0885">
        <w:rPr>
          <w:rFonts w:eastAsia="Arial"/>
          <w:sz w:val="28"/>
          <w:szCs w:val="28"/>
        </w:rPr>
        <w:t>–</w:t>
      </w:r>
      <w:r w:rsidR="00947DC4" w:rsidRPr="002B0885">
        <w:rPr>
          <w:rFonts w:eastAsia="Arial"/>
          <w:sz w:val="28"/>
          <w:szCs w:val="28"/>
        </w:rPr>
        <w:t xml:space="preserve"> </w:t>
      </w:r>
      <w:r w:rsidR="009870B9" w:rsidRPr="002B0885">
        <w:rPr>
          <w:rFonts w:eastAsia="Arial"/>
          <w:sz w:val="28"/>
          <w:szCs w:val="28"/>
        </w:rPr>
        <w:t>27.1</w:t>
      </w:r>
      <w:r w:rsidR="003A303D" w:rsidRPr="002B0885">
        <w:rPr>
          <w:sz w:val="28"/>
          <w:szCs w:val="28"/>
        </w:rPr>
        <w:t>.</w:t>
      </w:r>
    </w:p>
    <w:p w:rsidR="009308D8" w:rsidRPr="00F90DF3" w:rsidRDefault="009308D8" w:rsidP="009308D8">
      <w:pPr>
        <w:ind w:left="8508"/>
        <w:jc w:val="both"/>
        <w:rPr>
          <w:b/>
          <w:sz w:val="22"/>
        </w:rPr>
      </w:pPr>
    </w:p>
    <w:p w:rsidR="00051038" w:rsidRDefault="00051038" w:rsidP="009308D8">
      <w:pPr>
        <w:ind w:left="8508"/>
        <w:jc w:val="right"/>
        <w:rPr>
          <w:sz w:val="28"/>
          <w:szCs w:val="28"/>
        </w:rPr>
      </w:pPr>
      <w:r w:rsidRPr="002B0885">
        <w:rPr>
          <w:sz w:val="28"/>
          <w:szCs w:val="28"/>
        </w:rPr>
        <w:t xml:space="preserve">Таблица </w:t>
      </w:r>
      <w:r w:rsidR="00DB723C" w:rsidRPr="002B0885">
        <w:rPr>
          <w:sz w:val="28"/>
          <w:szCs w:val="28"/>
        </w:rPr>
        <w:t>26</w:t>
      </w:r>
    </w:p>
    <w:p w:rsidR="00644B61" w:rsidRPr="00091230" w:rsidRDefault="00644B61" w:rsidP="009308D8">
      <w:pPr>
        <w:ind w:left="8508"/>
        <w:jc w:val="both"/>
        <w:rPr>
          <w:sz w:val="28"/>
          <w:szCs w:val="28"/>
        </w:rPr>
      </w:pPr>
    </w:p>
    <w:p w:rsidR="004E324A" w:rsidRDefault="00C44E65" w:rsidP="009308D8">
      <w:pPr>
        <w:jc w:val="center"/>
        <w:rPr>
          <w:sz w:val="28"/>
          <w:szCs w:val="28"/>
        </w:rPr>
      </w:pPr>
      <w:r>
        <w:rPr>
          <w:color w:val="0D0D0D" w:themeColor="text1" w:themeTint="F2"/>
          <w:sz w:val="28"/>
          <w:szCs w:val="28"/>
        </w:rPr>
        <w:t xml:space="preserve">Телемедицинские консультации </w:t>
      </w:r>
      <w:r w:rsidR="00051038" w:rsidRPr="00091230">
        <w:rPr>
          <w:sz w:val="28"/>
          <w:szCs w:val="28"/>
        </w:rPr>
        <w:t xml:space="preserve">между </w:t>
      </w:r>
      <w:r w:rsidR="00CD1A3F" w:rsidRPr="00091230">
        <w:rPr>
          <w:sz w:val="28"/>
          <w:szCs w:val="28"/>
        </w:rPr>
        <w:t xml:space="preserve">ГАУЗ </w:t>
      </w:r>
      <w:r w:rsidR="002F7358">
        <w:rPr>
          <w:sz w:val="28"/>
          <w:szCs w:val="28"/>
        </w:rPr>
        <w:t>«</w:t>
      </w:r>
      <w:r w:rsidR="00CD1A3F" w:rsidRPr="00091230">
        <w:rPr>
          <w:sz w:val="28"/>
          <w:szCs w:val="28"/>
        </w:rPr>
        <w:t xml:space="preserve">РКОД МЗ РТ </w:t>
      </w:r>
      <w:r w:rsidR="004E324A">
        <w:rPr>
          <w:sz w:val="28"/>
          <w:szCs w:val="28"/>
        </w:rPr>
        <w:t>им.</w:t>
      </w:r>
      <w:r w:rsidR="00CD1A3F" w:rsidRPr="00091230">
        <w:rPr>
          <w:sz w:val="28"/>
          <w:szCs w:val="28"/>
        </w:rPr>
        <w:t>проф.М.З.Сигала</w:t>
      </w:r>
      <w:r w:rsidR="002F7358">
        <w:rPr>
          <w:sz w:val="28"/>
          <w:szCs w:val="28"/>
        </w:rPr>
        <w:t>»</w:t>
      </w:r>
      <w:r w:rsidR="00051038" w:rsidRPr="00091230">
        <w:rPr>
          <w:sz w:val="28"/>
          <w:szCs w:val="28"/>
        </w:rPr>
        <w:t xml:space="preserve"> </w:t>
      </w:r>
    </w:p>
    <w:p w:rsidR="00051038" w:rsidRDefault="00A71758" w:rsidP="009308D8">
      <w:pPr>
        <w:jc w:val="center"/>
        <w:rPr>
          <w:sz w:val="28"/>
          <w:szCs w:val="28"/>
        </w:rPr>
      </w:pPr>
      <w:r w:rsidRPr="00091230">
        <w:rPr>
          <w:sz w:val="28"/>
          <w:szCs w:val="28"/>
        </w:rPr>
        <w:t xml:space="preserve">и </w:t>
      </w:r>
      <w:r w:rsidR="00051038" w:rsidRPr="00091230">
        <w:rPr>
          <w:sz w:val="28"/>
          <w:szCs w:val="28"/>
        </w:rPr>
        <w:t>федеральными медицинскими организациями</w:t>
      </w:r>
    </w:p>
    <w:p w:rsidR="00E2565A" w:rsidRPr="00091230" w:rsidRDefault="00E2565A" w:rsidP="009308D8">
      <w:pPr>
        <w:jc w:val="center"/>
        <w:rPr>
          <w:sz w:val="28"/>
          <w:szCs w:val="28"/>
        </w:rPr>
      </w:pPr>
    </w:p>
    <w:tbl>
      <w:tblPr>
        <w:tblStyle w:val="af1"/>
        <w:tblW w:w="10196" w:type="dxa"/>
        <w:tblLayout w:type="fixed"/>
        <w:tblLook w:val="04A0" w:firstRow="1" w:lastRow="0" w:firstColumn="1" w:lastColumn="0" w:noHBand="0" w:noVBand="1"/>
      </w:tblPr>
      <w:tblGrid>
        <w:gridCol w:w="562"/>
        <w:gridCol w:w="4253"/>
        <w:gridCol w:w="1659"/>
        <w:gridCol w:w="1861"/>
        <w:gridCol w:w="1861"/>
      </w:tblGrid>
      <w:tr w:rsidR="008D0414" w:rsidRPr="00B91183" w:rsidTr="00DF1A6A">
        <w:trPr>
          <w:trHeight w:val="20"/>
        </w:trPr>
        <w:tc>
          <w:tcPr>
            <w:tcW w:w="562" w:type="dxa"/>
            <w:vMerge w:val="restart"/>
            <w:tcBorders>
              <w:bottom w:val="nil"/>
            </w:tcBorders>
          </w:tcPr>
          <w:p w:rsidR="008D0414" w:rsidRPr="00B91183" w:rsidRDefault="008D0414" w:rsidP="004E324A">
            <w:pPr>
              <w:jc w:val="center"/>
              <w:rPr>
                <w:sz w:val="22"/>
                <w:szCs w:val="22"/>
              </w:rPr>
            </w:pPr>
            <w:r w:rsidRPr="00B91183">
              <w:rPr>
                <w:sz w:val="22"/>
                <w:szCs w:val="22"/>
              </w:rPr>
              <w:t>№ п/п</w:t>
            </w:r>
          </w:p>
        </w:tc>
        <w:tc>
          <w:tcPr>
            <w:tcW w:w="4253" w:type="dxa"/>
            <w:vMerge w:val="restart"/>
            <w:tcBorders>
              <w:bottom w:val="nil"/>
            </w:tcBorders>
          </w:tcPr>
          <w:p w:rsidR="008D0414" w:rsidRPr="00B91183" w:rsidRDefault="008D0414" w:rsidP="004E324A">
            <w:pPr>
              <w:jc w:val="center"/>
              <w:rPr>
                <w:sz w:val="22"/>
                <w:szCs w:val="22"/>
              </w:rPr>
            </w:pPr>
            <w:r w:rsidRPr="00B91183">
              <w:rPr>
                <w:sz w:val="22"/>
                <w:szCs w:val="22"/>
              </w:rPr>
              <w:t>Наименование федеральной медицинской организации</w:t>
            </w:r>
          </w:p>
        </w:tc>
        <w:tc>
          <w:tcPr>
            <w:tcW w:w="5381" w:type="dxa"/>
            <w:gridSpan w:val="3"/>
            <w:tcBorders>
              <w:bottom w:val="single" w:sz="4" w:space="0" w:color="auto"/>
            </w:tcBorders>
          </w:tcPr>
          <w:p w:rsidR="008D0414" w:rsidRPr="00C44E65" w:rsidRDefault="008D0414" w:rsidP="00C44E65">
            <w:pPr>
              <w:jc w:val="center"/>
              <w:rPr>
                <w:sz w:val="22"/>
                <w:szCs w:val="22"/>
              </w:rPr>
            </w:pPr>
            <w:r w:rsidRPr="00C44E65">
              <w:rPr>
                <w:sz w:val="22"/>
                <w:szCs w:val="22"/>
              </w:rPr>
              <w:t xml:space="preserve">Количество </w:t>
            </w:r>
            <w:r w:rsidR="00C44E65" w:rsidRPr="00C44E65">
              <w:rPr>
                <w:color w:val="0D0D0D" w:themeColor="text1" w:themeTint="F2"/>
                <w:sz w:val="22"/>
                <w:szCs w:val="22"/>
              </w:rPr>
              <w:t xml:space="preserve">телемедицинских консультаций </w:t>
            </w:r>
          </w:p>
        </w:tc>
      </w:tr>
      <w:tr w:rsidR="001A5A4D" w:rsidRPr="00E67B5B" w:rsidTr="00DF1A6A">
        <w:trPr>
          <w:trHeight w:val="20"/>
        </w:trPr>
        <w:tc>
          <w:tcPr>
            <w:tcW w:w="562" w:type="dxa"/>
            <w:vMerge/>
            <w:tcBorders>
              <w:bottom w:val="nil"/>
            </w:tcBorders>
          </w:tcPr>
          <w:p w:rsidR="001A5A4D" w:rsidRPr="00B91183" w:rsidRDefault="001A5A4D" w:rsidP="001A5A4D">
            <w:pPr>
              <w:jc w:val="center"/>
              <w:rPr>
                <w:sz w:val="22"/>
                <w:szCs w:val="22"/>
              </w:rPr>
            </w:pPr>
          </w:p>
        </w:tc>
        <w:tc>
          <w:tcPr>
            <w:tcW w:w="4253" w:type="dxa"/>
            <w:vMerge/>
            <w:tcBorders>
              <w:bottom w:val="nil"/>
            </w:tcBorders>
          </w:tcPr>
          <w:p w:rsidR="001A5A4D" w:rsidRPr="00B91183" w:rsidRDefault="001A5A4D" w:rsidP="001A5A4D">
            <w:pPr>
              <w:jc w:val="center"/>
              <w:rPr>
                <w:sz w:val="22"/>
                <w:szCs w:val="22"/>
              </w:rPr>
            </w:pPr>
          </w:p>
        </w:tc>
        <w:tc>
          <w:tcPr>
            <w:tcW w:w="1659" w:type="dxa"/>
            <w:tcBorders>
              <w:bottom w:val="nil"/>
            </w:tcBorders>
          </w:tcPr>
          <w:p w:rsidR="001A5A4D" w:rsidRPr="00E67B5B" w:rsidRDefault="001A5A4D" w:rsidP="001A5A4D">
            <w:pPr>
              <w:jc w:val="center"/>
              <w:rPr>
                <w:sz w:val="22"/>
                <w:szCs w:val="22"/>
              </w:rPr>
            </w:pPr>
            <w:r w:rsidRPr="00E67B5B">
              <w:rPr>
                <w:sz w:val="22"/>
                <w:szCs w:val="22"/>
              </w:rPr>
              <w:t>2023 г.</w:t>
            </w:r>
          </w:p>
        </w:tc>
        <w:tc>
          <w:tcPr>
            <w:tcW w:w="1861" w:type="dxa"/>
            <w:tcBorders>
              <w:bottom w:val="nil"/>
            </w:tcBorders>
          </w:tcPr>
          <w:p w:rsidR="001A5A4D" w:rsidRPr="00E67B5B" w:rsidRDefault="001A5A4D" w:rsidP="001A5A4D">
            <w:pPr>
              <w:jc w:val="center"/>
              <w:rPr>
                <w:sz w:val="22"/>
                <w:szCs w:val="22"/>
              </w:rPr>
            </w:pPr>
            <w:r w:rsidRPr="00E67B5B">
              <w:rPr>
                <w:sz w:val="22"/>
                <w:szCs w:val="22"/>
              </w:rPr>
              <w:t>2024 г.</w:t>
            </w:r>
          </w:p>
        </w:tc>
        <w:tc>
          <w:tcPr>
            <w:tcW w:w="1861" w:type="dxa"/>
            <w:tcBorders>
              <w:bottom w:val="nil"/>
            </w:tcBorders>
          </w:tcPr>
          <w:p w:rsidR="001A5A4D" w:rsidRPr="00E67B5B" w:rsidRDefault="001A5A4D" w:rsidP="001A5A4D">
            <w:pPr>
              <w:jc w:val="center"/>
              <w:rPr>
                <w:sz w:val="22"/>
                <w:szCs w:val="22"/>
              </w:rPr>
            </w:pPr>
            <w:r w:rsidRPr="00E67B5B">
              <w:rPr>
                <w:sz w:val="22"/>
                <w:szCs w:val="22"/>
              </w:rPr>
              <w:t>2025</w:t>
            </w:r>
          </w:p>
        </w:tc>
      </w:tr>
    </w:tbl>
    <w:p w:rsidR="00DF1A6A" w:rsidRPr="00E67B5B" w:rsidRDefault="00DF1A6A">
      <w:pPr>
        <w:rPr>
          <w:sz w:val="2"/>
          <w:szCs w:val="2"/>
        </w:rPr>
      </w:pPr>
    </w:p>
    <w:tbl>
      <w:tblPr>
        <w:tblStyle w:val="af1"/>
        <w:tblW w:w="10196" w:type="dxa"/>
        <w:tblLayout w:type="fixed"/>
        <w:tblLook w:val="04A0" w:firstRow="1" w:lastRow="0" w:firstColumn="1" w:lastColumn="0" w:noHBand="0" w:noVBand="1"/>
      </w:tblPr>
      <w:tblGrid>
        <w:gridCol w:w="562"/>
        <w:gridCol w:w="4253"/>
        <w:gridCol w:w="1659"/>
        <w:gridCol w:w="1861"/>
        <w:gridCol w:w="1861"/>
      </w:tblGrid>
      <w:tr w:rsidR="00DF1A6A" w:rsidRPr="00E67B5B" w:rsidTr="00DF1A6A">
        <w:trPr>
          <w:trHeight w:val="20"/>
          <w:tblHeader/>
        </w:trPr>
        <w:tc>
          <w:tcPr>
            <w:tcW w:w="562" w:type="dxa"/>
          </w:tcPr>
          <w:p w:rsidR="00DF1A6A" w:rsidRPr="00E67B5B" w:rsidRDefault="00DF1A6A" w:rsidP="004E324A">
            <w:pPr>
              <w:jc w:val="center"/>
              <w:rPr>
                <w:sz w:val="22"/>
                <w:szCs w:val="22"/>
              </w:rPr>
            </w:pPr>
            <w:r w:rsidRPr="00E67B5B">
              <w:rPr>
                <w:sz w:val="22"/>
                <w:szCs w:val="22"/>
              </w:rPr>
              <w:t>1</w:t>
            </w:r>
          </w:p>
        </w:tc>
        <w:tc>
          <w:tcPr>
            <w:tcW w:w="4253" w:type="dxa"/>
          </w:tcPr>
          <w:p w:rsidR="00DF1A6A" w:rsidRPr="00E67B5B" w:rsidRDefault="00DF1A6A" w:rsidP="004E324A">
            <w:pPr>
              <w:jc w:val="center"/>
              <w:rPr>
                <w:sz w:val="22"/>
                <w:szCs w:val="22"/>
              </w:rPr>
            </w:pPr>
            <w:r w:rsidRPr="00E67B5B">
              <w:rPr>
                <w:sz w:val="22"/>
                <w:szCs w:val="22"/>
              </w:rPr>
              <w:t>2</w:t>
            </w:r>
          </w:p>
        </w:tc>
        <w:tc>
          <w:tcPr>
            <w:tcW w:w="1659" w:type="dxa"/>
          </w:tcPr>
          <w:p w:rsidR="00DF1A6A" w:rsidRPr="00E67B5B" w:rsidRDefault="00DF1A6A" w:rsidP="004E324A">
            <w:pPr>
              <w:jc w:val="center"/>
              <w:rPr>
                <w:sz w:val="22"/>
                <w:szCs w:val="22"/>
              </w:rPr>
            </w:pPr>
            <w:r w:rsidRPr="00E67B5B">
              <w:rPr>
                <w:sz w:val="22"/>
                <w:szCs w:val="22"/>
              </w:rPr>
              <w:t>3</w:t>
            </w:r>
          </w:p>
        </w:tc>
        <w:tc>
          <w:tcPr>
            <w:tcW w:w="1861" w:type="dxa"/>
          </w:tcPr>
          <w:p w:rsidR="00DF1A6A" w:rsidRPr="00E67B5B" w:rsidRDefault="00DF1A6A" w:rsidP="004E324A">
            <w:pPr>
              <w:jc w:val="center"/>
              <w:rPr>
                <w:sz w:val="22"/>
                <w:szCs w:val="22"/>
              </w:rPr>
            </w:pPr>
            <w:r w:rsidRPr="00E67B5B">
              <w:rPr>
                <w:sz w:val="22"/>
                <w:szCs w:val="22"/>
              </w:rPr>
              <w:t>4</w:t>
            </w:r>
          </w:p>
        </w:tc>
        <w:tc>
          <w:tcPr>
            <w:tcW w:w="1861" w:type="dxa"/>
          </w:tcPr>
          <w:p w:rsidR="00DF1A6A" w:rsidRPr="00E67B5B" w:rsidRDefault="00DF1A6A" w:rsidP="004E324A">
            <w:pPr>
              <w:jc w:val="center"/>
              <w:rPr>
                <w:sz w:val="22"/>
                <w:szCs w:val="22"/>
              </w:rPr>
            </w:pPr>
            <w:r w:rsidRPr="00E67B5B">
              <w:rPr>
                <w:sz w:val="22"/>
                <w:szCs w:val="22"/>
              </w:rPr>
              <w:t>5</w:t>
            </w:r>
          </w:p>
        </w:tc>
      </w:tr>
      <w:tr w:rsidR="00051038" w:rsidRPr="00E67B5B" w:rsidTr="00DF1A6A">
        <w:trPr>
          <w:trHeight w:val="20"/>
        </w:trPr>
        <w:tc>
          <w:tcPr>
            <w:tcW w:w="562" w:type="dxa"/>
          </w:tcPr>
          <w:p w:rsidR="00051038" w:rsidRPr="00E67B5B" w:rsidRDefault="00887958" w:rsidP="00F90DF3">
            <w:pPr>
              <w:spacing w:line="233" w:lineRule="auto"/>
              <w:jc w:val="center"/>
              <w:rPr>
                <w:sz w:val="22"/>
                <w:szCs w:val="22"/>
              </w:rPr>
            </w:pPr>
            <w:r w:rsidRPr="00E67B5B">
              <w:rPr>
                <w:sz w:val="22"/>
                <w:szCs w:val="22"/>
              </w:rPr>
              <w:t>1</w:t>
            </w:r>
            <w:r w:rsidR="00A33AEC" w:rsidRPr="00E67B5B">
              <w:rPr>
                <w:sz w:val="22"/>
                <w:szCs w:val="22"/>
              </w:rPr>
              <w:t>.</w:t>
            </w:r>
          </w:p>
        </w:tc>
        <w:tc>
          <w:tcPr>
            <w:tcW w:w="4253" w:type="dxa"/>
          </w:tcPr>
          <w:p w:rsidR="00051038" w:rsidRPr="00E67B5B" w:rsidRDefault="00B91183" w:rsidP="00F90DF3">
            <w:pPr>
              <w:spacing w:line="233" w:lineRule="auto"/>
              <w:jc w:val="both"/>
              <w:rPr>
                <w:sz w:val="22"/>
                <w:szCs w:val="22"/>
              </w:rPr>
            </w:pPr>
            <w:r w:rsidRPr="00E67B5B">
              <w:rPr>
                <w:sz w:val="22"/>
                <w:szCs w:val="22"/>
              </w:rPr>
              <w:t xml:space="preserve">Федеральное государственное бюджетное учреждение (далее – </w:t>
            </w:r>
            <w:r w:rsidR="00051038" w:rsidRPr="00E67B5B">
              <w:rPr>
                <w:sz w:val="22"/>
                <w:szCs w:val="22"/>
              </w:rPr>
              <w:t>ФГ</w:t>
            </w:r>
            <w:r w:rsidR="00E2565A" w:rsidRPr="00E67B5B">
              <w:rPr>
                <w:sz w:val="22"/>
                <w:szCs w:val="22"/>
              </w:rPr>
              <w:t>БУ</w:t>
            </w:r>
            <w:r w:rsidRPr="00E67B5B">
              <w:rPr>
                <w:sz w:val="22"/>
                <w:szCs w:val="22"/>
              </w:rPr>
              <w:t>)</w:t>
            </w:r>
            <w:r w:rsidR="00E2565A" w:rsidRPr="00E67B5B">
              <w:rPr>
                <w:sz w:val="22"/>
                <w:szCs w:val="22"/>
              </w:rPr>
              <w:t xml:space="preserve"> </w:t>
            </w:r>
            <w:r w:rsidR="002F7358" w:rsidRPr="00E67B5B">
              <w:rPr>
                <w:sz w:val="22"/>
                <w:szCs w:val="22"/>
              </w:rPr>
              <w:t>«</w:t>
            </w:r>
            <w:r w:rsidRPr="00E67B5B">
              <w:rPr>
                <w:sz w:val="22"/>
                <w:szCs w:val="22"/>
              </w:rPr>
              <w:t xml:space="preserve">Национальный медицинский исследовательский центр </w:t>
            </w:r>
            <w:r w:rsidR="00E2565A" w:rsidRPr="00E67B5B">
              <w:rPr>
                <w:sz w:val="22"/>
                <w:szCs w:val="22"/>
              </w:rPr>
              <w:t>радиологии</w:t>
            </w:r>
            <w:r w:rsidR="002F7358" w:rsidRPr="00E67B5B">
              <w:rPr>
                <w:sz w:val="22"/>
                <w:szCs w:val="22"/>
              </w:rPr>
              <w:t>»</w:t>
            </w:r>
            <w:r w:rsidR="00D04789">
              <w:rPr>
                <w:sz w:val="22"/>
                <w:szCs w:val="22"/>
              </w:rPr>
              <w:t xml:space="preserve"> </w:t>
            </w:r>
            <w:r w:rsidR="00D04789">
              <w:rPr>
                <w:color w:val="0D0D0D" w:themeColor="text1" w:themeTint="F2"/>
                <w:sz w:val="22"/>
                <w:szCs w:val="22"/>
              </w:rPr>
              <w:t>Министерства здравоохранения Российской Федерации</w:t>
            </w:r>
          </w:p>
        </w:tc>
        <w:tc>
          <w:tcPr>
            <w:tcW w:w="1659" w:type="dxa"/>
          </w:tcPr>
          <w:p w:rsidR="00051038" w:rsidRPr="00E67B5B" w:rsidRDefault="00051038" w:rsidP="00F90DF3">
            <w:pPr>
              <w:spacing w:line="233" w:lineRule="auto"/>
              <w:jc w:val="center"/>
              <w:rPr>
                <w:sz w:val="22"/>
                <w:szCs w:val="22"/>
              </w:rPr>
            </w:pPr>
            <w:r w:rsidRPr="00E67B5B">
              <w:rPr>
                <w:sz w:val="22"/>
                <w:szCs w:val="22"/>
              </w:rPr>
              <w:t>264</w:t>
            </w:r>
          </w:p>
        </w:tc>
        <w:tc>
          <w:tcPr>
            <w:tcW w:w="1861" w:type="dxa"/>
          </w:tcPr>
          <w:p w:rsidR="00051038" w:rsidRPr="00E67B5B" w:rsidRDefault="00051038" w:rsidP="00F90DF3">
            <w:pPr>
              <w:spacing w:line="233" w:lineRule="auto"/>
              <w:jc w:val="center"/>
              <w:rPr>
                <w:sz w:val="22"/>
                <w:szCs w:val="22"/>
              </w:rPr>
            </w:pPr>
            <w:r w:rsidRPr="00E67B5B">
              <w:rPr>
                <w:sz w:val="22"/>
                <w:szCs w:val="22"/>
              </w:rPr>
              <w:t>331</w:t>
            </w:r>
          </w:p>
        </w:tc>
        <w:tc>
          <w:tcPr>
            <w:tcW w:w="1861" w:type="dxa"/>
          </w:tcPr>
          <w:p w:rsidR="00051038" w:rsidRPr="00E67B5B" w:rsidRDefault="00051038" w:rsidP="00F90DF3">
            <w:pPr>
              <w:spacing w:line="233" w:lineRule="auto"/>
              <w:jc w:val="center"/>
              <w:rPr>
                <w:sz w:val="22"/>
                <w:szCs w:val="22"/>
              </w:rPr>
            </w:pPr>
            <w:r w:rsidRPr="00E67B5B">
              <w:rPr>
                <w:sz w:val="22"/>
                <w:szCs w:val="22"/>
              </w:rPr>
              <w:t>459</w:t>
            </w:r>
          </w:p>
        </w:tc>
      </w:tr>
      <w:tr w:rsidR="00051038" w:rsidRPr="00E67B5B" w:rsidTr="00DF1A6A">
        <w:trPr>
          <w:trHeight w:val="20"/>
        </w:trPr>
        <w:tc>
          <w:tcPr>
            <w:tcW w:w="562" w:type="dxa"/>
          </w:tcPr>
          <w:p w:rsidR="00051038" w:rsidRPr="00E67B5B" w:rsidRDefault="00887958" w:rsidP="00F90DF3">
            <w:pPr>
              <w:spacing w:line="233" w:lineRule="auto"/>
              <w:jc w:val="center"/>
              <w:rPr>
                <w:sz w:val="22"/>
                <w:szCs w:val="22"/>
              </w:rPr>
            </w:pPr>
            <w:r w:rsidRPr="00E67B5B">
              <w:rPr>
                <w:sz w:val="22"/>
                <w:szCs w:val="22"/>
              </w:rPr>
              <w:t>2</w:t>
            </w:r>
            <w:r w:rsidR="00A33AEC" w:rsidRPr="00E67B5B">
              <w:rPr>
                <w:sz w:val="22"/>
                <w:szCs w:val="22"/>
              </w:rPr>
              <w:t>.</w:t>
            </w:r>
          </w:p>
        </w:tc>
        <w:tc>
          <w:tcPr>
            <w:tcW w:w="4253" w:type="dxa"/>
          </w:tcPr>
          <w:p w:rsidR="00051038" w:rsidRPr="00E67B5B" w:rsidRDefault="00E2565A" w:rsidP="00F90DF3">
            <w:pPr>
              <w:spacing w:line="233" w:lineRule="auto"/>
              <w:jc w:val="both"/>
              <w:rPr>
                <w:sz w:val="22"/>
                <w:szCs w:val="22"/>
              </w:rPr>
            </w:pPr>
            <w:r w:rsidRPr="00E67B5B">
              <w:rPr>
                <w:sz w:val="22"/>
                <w:szCs w:val="22"/>
              </w:rPr>
              <w:t xml:space="preserve">ФГБУ </w:t>
            </w:r>
            <w:r w:rsidR="002F7358" w:rsidRPr="00E67B5B">
              <w:rPr>
                <w:sz w:val="22"/>
                <w:szCs w:val="22"/>
              </w:rPr>
              <w:t>«</w:t>
            </w:r>
            <w:r w:rsidR="00B91183" w:rsidRPr="00E67B5B">
              <w:rPr>
                <w:sz w:val="22"/>
                <w:szCs w:val="22"/>
              </w:rPr>
              <w:t xml:space="preserve">Национальный медицинский исследовательский центр </w:t>
            </w:r>
            <w:r w:rsidR="004E324A" w:rsidRPr="00E67B5B">
              <w:rPr>
                <w:sz w:val="22"/>
                <w:szCs w:val="22"/>
              </w:rPr>
              <w:t>онкологии им.</w:t>
            </w:r>
            <w:r w:rsidRPr="00E67B5B">
              <w:rPr>
                <w:sz w:val="22"/>
                <w:szCs w:val="22"/>
              </w:rPr>
              <w:t>Н.Н.Блохина</w:t>
            </w:r>
            <w:r w:rsidR="002F7358" w:rsidRPr="00E67B5B">
              <w:rPr>
                <w:sz w:val="22"/>
                <w:szCs w:val="22"/>
              </w:rPr>
              <w:t>»</w:t>
            </w:r>
            <w:r w:rsidR="00D04789">
              <w:rPr>
                <w:sz w:val="22"/>
                <w:szCs w:val="22"/>
              </w:rPr>
              <w:t xml:space="preserve"> </w:t>
            </w:r>
            <w:r w:rsidR="00D04789">
              <w:rPr>
                <w:color w:val="0D0D0D" w:themeColor="text1" w:themeTint="F2"/>
                <w:sz w:val="22"/>
                <w:szCs w:val="22"/>
              </w:rPr>
              <w:t>Министерства здравоохранения Российской Федерации</w:t>
            </w:r>
          </w:p>
        </w:tc>
        <w:tc>
          <w:tcPr>
            <w:tcW w:w="1659" w:type="dxa"/>
          </w:tcPr>
          <w:p w:rsidR="00051038" w:rsidRPr="00E67B5B" w:rsidRDefault="00051038" w:rsidP="00F90DF3">
            <w:pPr>
              <w:spacing w:line="233" w:lineRule="auto"/>
              <w:jc w:val="center"/>
              <w:rPr>
                <w:sz w:val="22"/>
                <w:szCs w:val="22"/>
              </w:rPr>
            </w:pPr>
            <w:r w:rsidRPr="00E67B5B">
              <w:rPr>
                <w:sz w:val="22"/>
                <w:szCs w:val="22"/>
              </w:rPr>
              <w:t>75</w:t>
            </w:r>
          </w:p>
        </w:tc>
        <w:tc>
          <w:tcPr>
            <w:tcW w:w="1861" w:type="dxa"/>
          </w:tcPr>
          <w:p w:rsidR="00051038" w:rsidRPr="00E67B5B" w:rsidRDefault="00051038" w:rsidP="00F90DF3">
            <w:pPr>
              <w:spacing w:line="233" w:lineRule="auto"/>
              <w:jc w:val="center"/>
              <w:rPr>
                <w:sz w:val="22"/>
                <w:szCs w:val="22"/>
              </w:rPr>
            </w:pPr>
            <w:r w:rsidRPr="00E67B5B">
              <w:rPr>
                <w:sz w:val="22"/>
                <w:szCs w:val="22"/>
              </w:rPr>
              <w:t>91</w:t>
            </w:r>
          </w:p>
        </w:tc>
        <w:tc>
          <w:tcPr>
            <w:tcW w:w="1861" w:type="dxa"/>
          </w:tcPr>
          <w:p w:rsidR="00051038" w:rsidRPr="00E67B5B" w:rsidRDefault="00051038" w:rsidP="00F90DF3">
            <w:pPr>
              <w:spacing w:line="233" w:lineRule="auto"/>
              <w:jc w:val="center"/>
              <w:rPr>
                <w:sz w:val="22"/>
                <w:szCs w:val="22"/>
              </w:rPr>
            </w:pPr>
            <w:r w:rsidRPr="00E67B5B">
              <w:rPr>
                <w:sz w:val="22"/>
                <w:szCs w:val="22"/>
              </w:rPr>
              <w:t>217</w:t>
            </w:r>
          </w:p>
        </w:tc>
      </w:tr>
      <w:tr w:rsidR="00051038" w:rsidRPr="00E67B5B" w:rsidTr="00DF1A6A">
        <w:trPr>
          <w:trHeight w:val="20"/>
        </w:trPr>
        <w:tc>
          <w:tcPr>
            <w:tcW w:w="562" w:type="dxa"/>
          </w:tcPr>
          <w:p w:rsidR="00051038" w:rsidRPr="00E67B5B" w:rsidRDefault="00887958" w:rsidP="00F90DF3">
            <w:pPr>
              <w:spacing w:line="233" w:lineRule="auto"/>
              <w:jc w:val="center"/>
              <w:rPr>
                <w:sz w:val="22"/>
                <w:szCs w:val="22"/>
              </w:rPr>
            </w:pPr>
            <w:r w:rsidRPr="00E67B5B">
              <w:rPr>
                <w:sz w:val="22"/>
                <w:szCs w:val="22"/>
              </w:rPr>
              <w:t>3</w:t>
            </w:r>
            <w:r w:rsidR="00A33AEC" w:rsidRPr="00E67B5B">
              <w:rPr>
                <w:sz w:val="22"/>
                <w:szCs w:val="22"/>
              </w:rPr>
              <w:t>.</w:t>
            </w:r>
          </w:p>
        </w:tc>
        <w:tc>
          <w:tcPr>
            <w:tcW w:w="4253" w:type="dxa"/>
          </w:tcPr>
          <w:p w:rsidR="00051038" w:rsidRPr="00E67B5B" w:rsidRDefault="00E2565A" w:rsidP="00F90DF3">
            <w:pPr>
              <w:spacing w:line="233" w:lineRule="auto"/>
              <w:jc w:val="both"/>
              <w:rPr>
                <w:sz w:val="22"/>
                <w:szCs w:val="22"/>
              </w:rPr>
            </w:pPr>
            <w:r w:rsidRPr="00E67B5B">
              <w:rPr>
                <w:color w:val="000000"/>
                <w:sz w:val="22"/>
                <w:szCs w:val="22"/>
              </w:rPr>
              <w:t xml:space="preserve">ФГБУ </w:t>
            </w:r>
            <w:r w:rsidR="002F7358" w:rsidRPr="00E67B5B">
              <w:rPr>
                <w:color w:val="000000"/>
                <w:sz w:val="22"/>
                <w:szCs w:val="22"/>
              </w:rPr>
              <w:t>«</w:t>
            </w:r>
            <w:r w:rsidR="00B91183" w:rsidRPr="00E67B5B">
              <w:rPr>
                <w:sz w:val="22"/>
                <w:szCs w:val="22"/>
              </w:rPr>
              <w:t>Национальный медицинский исследовательский центр</w:t>
            </w:r>
            <w:r w:rsidR="00B91183" w:rsidRPr="00E67B5B">
              <w:rPr>
                <w:color w:val="000000"/>
                <w:sz w:val="22"/>
                <w:szCs w:val="22"/>
              </w:rPr>
              <w:t xml:space="preserve"> </w:t>
            </w:r>
            <w:r w:rsidR="004E324A" w:rsidRPr="00E67B5B">
              <w:rPr>
                <w:color w:val="000000"/>
                <w:sz w:val="22"/>
                <w:szCs w:val="22"/>
              </w:rPr>
              <w:t>онкологии им.</w:t>
            </w:r>
            <w:r w:rsidR="00051038" w:rsidRPr="00E67B5B">
              <w:rPr>
                <w:color w:val="000000"/>
                <w:sz w:val="22"/>
                <w:szCs w:val="22"/>
              </w:rPr>
              <w:t>Н.Н.Петрова</w:t>
            </w:r>
            <w:r w:rsidR="002F7358" w:rsidRPr="00E67B5B">
              <w:rPr>
                <w:color w:val="000000"/>
                <w:sz w:val="22"/>
                <w:szCs w:val="22"/>
              </w:rPr>
              <w:t>»</w:t>
            </w:r>
            <w:r w:rsidR="00D04789">
              <w:rPr>
                <w:color w:val="000000"/>
                <w:sz w:val="22"/>
                <w:szCs w:val="22"/>
              </w:rPr>
              <w:t xml:space="preserve"> </w:t>
            </w:r>
            <w:r w:rsidR="00D04789" w:rsidRPr="00D04789">
              <w:rPr>
                <w:color w:val="000000"/>
                <w:sz w:val="22"/>
                <w:szCs w:val="22"/>
              </w:rPr>
              <w:t>Мини</w:t>
            </w:r>
            <w:r w:rsidR="00D04789">
              <w:rPr>
                <w:color w:val="000000"/>
                <w:sz w:val="22"/>
                <w:szCs w:val="22"/>
              </w:rPr>
              <w:t>стерства здравоохранения Россий</w:t>
            </w:r>
            <w:r w:rsidR="00D04789" w:rsidRPr="00D04789">
              <w:rPr>
                <w:color w:val="000000"/>
                <w:sz w:val="22"/>
                <w:szCs w:val="22"/>
              </w:rPr>
              <w:t>ской Федерации</w:t>
            </w:r>
          </w:p>
        </w:tc>
        <w:tc>
          <w:tcPr>
            <w:tcW w:w="1659" w:type="dxa"/>
          </w:tcPr>
          <w:p w:rsidR="00051038" w:rsidRPr="00E67B5B" w:rsidRDefault="00051038" w:rsidP="00F90DF3">
            <w:pPr>
              <w:spacing w:line="233" w:lineRule="auto"/>
              <w:jc w:val="center"/>
              <w:rPr>
                <w:sz w:val="22"/>
                <w:szCs w:val="22"/>
              </w:rPr>
            </w:pPr>
            <w:r w:rsidRPr="00E67B5B">
              <w:rPr>
                <w:sz w:val="22"/>
                <w:szCs w:val="22"/>
              </w:rPr>
              <w:t>4</w:t>
            </w:r>
          </w:p>
        </w:tc>
        <w:tc>
          <w:tcPr>
            <w:tcW w:w="1861" w:type="dxa"/>
          </w:tcPr>
          <w:p w:rsidR="00051038" w:rsidRPr="00E67B5B" w:rsidRDefault="00051038" w:rsidP="00F90DF3">
            <w:pPr>
              <w:spacing w:line="233" w:lineRule="auto"/>
              <w:jc w:val="center"/>
              <w:rPr>
                <w:sz w:val="22"/>
                <w:szCs w:val="22"/>
              </w:rPr>
            </w:pPr>
            <w:r w:rsidRPr="00E67B5B">
              <w:rPr>
                <w:sz w:val="22"/>
                <w:szCs w:val="22"/>
              </w:rPr>
              <w:t>10</w:t>
            </w:r>
          </w:p>
        </w:tc>
        <w:tc>
          <w:tcPr>
            <w:tcW w:w="1861" w:type="dxa"/>
          </w:tcPr>
          <w:p w:rsidR="00051038" w:rsidRPr="00E67B5B" w:rsidRDefault="00051038" w:rsidP="00F90DF3">
            <w:pPr>
              <w:spacing w:line="233" w:lineRule="auto"/>
              <w:jc w:val="center"/>
              <w:rPr>
                <w:sz w:val="22"/>
                <w:szCs w:val="22"/>
              </w:rPr>
            </w:pPr>
            <w:r w:rsidRPr="00E67B5B">
              <w:rPr>
                <w:sz w:val="22"/>
                <w:szCs w:val="22"/>
              </w:rPr>
              <w:t>32</w:t>
            </w:r>
          </w:p>
        </w:tc>
      </w:tr>
      <w:tr w:rsidR="00051038" w:rsidRPr="00E67B5B" w:rsidTr="00DF1A6A">
        <w:trPr>
          <w:trHeight w:val="20"/>
        </w:trPr>
        <w:tc>
          <w:tcPr>
            <w:tcW w:w="562" w:type="dxa"/>
          </w:tcPr>
          <w:p w:rsidR="00051038" w:rsidRPr="00E67B5B" w:rsidRDefault="00887958" w:rsidP="00F90DF3">
            <w:pPr>
              <w:spacing w:line="233" w:lineRule="auto"/>
              <w:jc w:val="center"/>
              <w:rPr>
                <w:sz w:val="22"/>
                <w:szCs w:val="22"/>
              </w:rPr>
            </w:pPr>
            <w:r w:rsidRPr="00E67B5B">
              <w:rPr>
                <w:sz w:val="22"/>
                <w:szCs w:val="22"/>
              </w:rPr>
              <w:t>4</w:t>
            </w:r>
            <w:r w:rsidR="00A33AEC" w:rsidRPr="00E67B5B">
              <w:rPr>
                <w:sz w:val="22"/>
                <w:szCs w:val="22"/>
              </w:rPr>
              <w:t>.</w:t>
            </w:r>
          </w:p>
        </w:tc>
        <w:tc>
          <w:tcPr>
            <w:tcW w:w="4253" w:type="dxa"/>
          </w:tcPr>
          <w:p w:rsidR="00051038" w:rsidRPr="00E67B5B" w:rsidRDefault="00051038" w:rsidP="00F90DF3">
            <w:pPr>
              <w:spacing w:line="233" w:lineRule="auto"/>
              <w:jc w:val="both"/>
              <w:rPr>
                <w:color w:val="000000"/>
                <w:sz w:val="22"/>
                <w:szCs w:val="22"/>
              </w:rPr>
            </w:pPr>
            <w:r w:rsidRPr="00E67B5B">
              <w:rPr>
                <w:color w:val="000000"/>
                <w:sz w:val="22"/>
                <w:szCs w:val="22"/>
              </w:rPr>
              <w:t xml:space="preserve">ФГБУ </w:t>
            </w:r>
            <w:r w:rsidR="00E6023B" w:rsidRPr="00E67B5B">
              <w:rPr>
                <w:rFonts w:ascii="Arial" w:hAnsi="Arial" w:cs="Arial"/>
                <w:color w:val="474747"/>
                <w:sz w:val="21"/>
                <w:szCs w:val="21"/>
                <w:shd w:val="clear" w:color="auto" w:fill="FFFFFF"/>
              </w:rPr>
              <w:t>«</w:t>
            </w:r>
            <w:r w:rsidR="00E6023B" w:rsidRPr="00E67B5B">
              <w:rPr>
                <w:sz w:val="22"/>
                <w:szCs w:val="22"/>
              </w:rPr>
              <w:t xml:space="preserve">Федеральный научно-клинический центр медицинской радиологии и онкологии» Федерального медико-биологического агентства </w:t>
            </w:r>
            <w:r w:rsidRPr="00E67B5B">
              <w:rPr>
                <w:sz w:val="22"/>
                <w:szCs w:val="22"/>
              </w:rPr>
              <w:t>(Ульяновская обл</w:t>
            </w:r>
            <w:r w:rsidR="00FF0BC2" w:rsidRPr="00E67B5B">
              <w:rPr>
                <w:sz w:val="22"/>
                <w:szCs w:val="22"/>
              </w:rPr>
              <w:t>асть</w:t>
            </w:r>
            <w:r w:rsidRPr="00E67B5B">
              <w:rPr>
                <w:sz w:val="22"/>
                <w:szCs w:val="22"/>
              </w:rPr>
              <w:t>)</w:t>
            </w:r>
          </w:p>
        </w:tc>
        <w:tc>
          <w:tcPr>
            <w:tcW w:w="1659" w:type="dxa"/>
          </w:tcPr>
          <w:p w:rsidR="00051038" w:rsidRPr="00E67B5B" w:rsidRDefault="00051038" w:rsidP="00F90DF3">
            <w:pPr>
              <w:spacing w:line="233" w:lineRule="auto"/>
              <w:jc w:val="center"/>
              <w:rPr>
                <w:sz w:val="22"/>
                <w:szCs w:val="22"/>
              </w:rPr>
            </w:pPr>
            <w:r w:rsidRPr="00E67B5B">
              <w:rPr>
                <w:sz w:val="22"/>
                <w:szCs w:val="22"/>
              </w:rPr>
              <w:t>0</w:t>
            </w:r>
          </w:p>
        </w:tc>
        <w:tc>
          <w:tcPr>
            <w:tcW w:w="1861" w:type="dxa"/>
          </w:tcPr>
          <w:p w:rsidR="00051038" w:rsidRPr="00E67B5B" w:rsidRDefault="00051038" w:rsidP="00F90DF3">
            <w:pPr>
              <w:spacing w:line="233" w:lineRule="auto"/>
              <w:jc w:val="center"/>
              <w:rPr>
                <w:sz w:val="22"/>
                <w:szCs w:val="22"/>
              </w:rPr>
            </w:pPr>
            <w:r w:rsidRPr="00E67B5B">
              <w:rPr>
                <w:sz w:val="22"/>
                <w:szCs w:val="22"/>
              </w:rPr>
              <w:t>8</w:t>
            </w:r>
          </w:p>
        </w:tc>
        <w:tc>
          <w:tcPr>
            <w:tcW w:w="1861" w:type="dxa"/>
          </w:tcPr>
          <w:p w:rsidR="00051038" w:rsidRPr="00E67B5B" w:rsidRDefault="00051038" w:rsidP="00F90DF3">
            <w:pPr>
              <w:spacing w:line="233" w:lineRule="auto"/>
              <w:jc w:val="center"/>
              <w:rPr>
                <w:sz w:val="22"/>
                <w:szCs w:val="22"/>
              </w:rPr>
            </w:pPr>
            <w:r w:rsidRPr="00E67B5B">
              <w:rPr>
                <w:sz w:val="22"/>
                <w:szCs w:val="22"/>
              </w:rPr>
              <w:t>24</w:t>
            </w:r>
          </w:p>
        </w:tc>
      </w:tr>
      <w:tr w:rsidR="00E2565A" w:rsidRPr="00E67B5B" w:rsidTr="00DF1A6A">
        <w:trPr>
          <w:trHeight w:val="20"/>
        </w:trPr>
        <w:tc>
          <w:tcPr>
            <w:tcW w:w="562" w:type="dxa"/>
          </w:tcPr>
          <w:p w:rsidR="00E2565A" w:rsidRPr="00E67B5B" w:rsidRDefault="00887958" w:rsidP="00F90DF3">
            <w:pPr>
              <w:spacing w:line="233" w:lineRule="auto"/>
              <w:jc w:val="center"/>
              <w:rPr>
                <w:sz w:val="22"/>
                <w:szCs w:val="22"/>
              </w:rPr>
            </w:pPr>
            <w:r w:rsidRPr="00E67B5B">
              <w:rPr>
                <w:sz w:val="22"/>
                <w:szCs w:val="22"/>
              </w:rPr>
              <w:t>5</w:t>
            </w:r>
            <w:r w:rsidR="00A33AEC" w:rsidRPr="00E67B5B">
              <w:rPr>
                <w:sz w:val="22"/>
                <w:szCs w:val="22"/>
              </w:rPr>
              <w:t>.</w:t>
            </w:r>
          </w:p>
        </w:tc>
        <w:tc>
          <w:tcPr>
            <w:tcW w:w="4253" w:type="dxa"/>
          </w:tcPr>
          <w:p w:rsidR="00E2565A" w:rsidRPr="00E67B5B" w:rsidRDefault="00E6023B" w:rsidP="00F90DF3">
            <w:pPr>
              <w:spacing w:line="233" w:lineRule="auto"/>
              <w:jc w:val="both"/>
              <w:rPr>
                <w:color w:val="000000"/>
                <w:sz w:val="22"/>
                <w:szCs w:val="22"/>
              </w:rPr>
            </w:pPr>
            <w:r w:rsidRPr="00E67B5B">
              <w:rPr>
                <w:color w:val="000000"/>
                <w:sz w:val="22"/>
                <w:szCs w:val="22"/>
              </w:rPr>
              <w:t>Федеральное государственное бюджетное образовательное учреждение высшего образования</w:t>
            </w:r>
            <w:r w:rsidR="00E2565A" w:rsidRPr="00E67B5B">
              <w:rPr>
                <w:color w:val="000000"/>
                <w:sz w:val="22"/>
                <w:szCs w:val="22"/>
              </w:rPr>
              <w:t xml:space="preserve"> </w:t>
            </w:r>
            <w:r w:rsidR="002F7358" w:rsidRPr="00E67B5B">
              <w:rPr>
                <w:color w:val="000000"/>
                <w:sz w:val="22"/>
                <w:szCs w:val="22"/>
              </w:rPr>
              <w:t>«</w:t>
            </w:r>
            <w:r w:rsidR="00E2565A" w:rsidRPr="00E67B5B">
              <w:rPr>
                <w:color w:val="000000"/>
                <w:sz w:val="22"/>
                <w:szCs w:val="22"/>
              </w:rPr>
              <w:t xml:space="preserve">Первый Санкт-Петербургский </w:t>
            </w:r>
            <w:r w:rsidRPr="00E67B5B">
              <w:rPr>
                <w:color w:val="000000"/>
                <w:sz w:val="22"/>
                <w:szCs w:val="22"/>
              </w:rPr>
              <w:t>государственный медицинский университет им.</w:t>
            </w:r>
            <w:r w:rsidR="00D04789">
              <w:rPr>
                <w:color w:val="000000"/>
                <w:sz w:val="22"/>
                <w:szCs w:val="22"/>
              </w:rPr>
              <w:t xml:space="preserve"> акад</w:t>
            </w:r>
            <w:r w:rsidR="0001746E">
              <w:rPr>
                <w:color w:val="000000"/>
                <w:sz w:val="22"/>
                <w:szCs w:val="22"/>
              </w:rPr>
              <w:t>емика</w:t>
            </w:r>
            <w:r w:rsidR="00D04789">
              <w:rPr>
                <w:color w:val="000000"/>
                <w:sz w:val="22"/>
                <w:szCs w:val="22"/>
              </w:rPr>
              <w:t xml:space="preserve"> </w:t>
            </w:r>
            <w:r w:rsidRPr="00E67B5B">
              <w:rPr>
                <w:color w:val="000000"/>
                <w:sz w:val="22"/>
                <w:szCs w:val="22"/>
              </w:rPr>
              <w:t>И.П.</w:t>
            </w:r>
            <w:r w:rsidR="00E2565A" w:rsidRPr="00E67B5B">
              <w:rPr>
                <w:color w:val="000000"/>
                <w:sz w:val="22"/>
                <w:szCs w:val="22"/>
              </w:rPr>
              <w:t>Павлова</w:t>
            </w:r>
            <w:r w:rsidR="002F7358" w:rsidRPr="00E67B5B">
              <w:rPr>
                <w:color w:val="000000"/>
                <w:sz w:val="22"/>
                <w:szCs w:val="22"/>
              </w:rPr>
              <w:t>»</w:t>
            </w:r>
            <w:r w:rsidR="00D04789">
              <w:rPr>
                <w:color w:val="000000"/>
                <w:sz w:val="22"/>
                <w:szCs w:val="22"/>
              </w:rPr>
              <w:t xml:space="preserve"> </w:t>
            </w:r>
            <w:r w:rsidR="00D04789">
              <w:rPr>
                <w:color w:val="0D0D0D" w:themeColor="text1" w:themeTint="F2"/>
                <w:sz w:val="22"/>
                <w:szCs w:val="22"/>
              </w:rPr>
              <w:t>Министерства здравоохранения Российской Федерации</w:t>
            </w:r>
          </w:p>
        </w:tc>
        <w:tc>
          <w:tcPr>
            <w:tcW w:w="1659" w:type="dxa"/>
          </w:tcPr>
          <w:p w:rsidR="00E2565A" w:rsidRPr="00E67B5B" w:rsidRDefault="00E2565A" w:rsidP="00F90DF3">
            <w:pPr>
              <w:spacing w:line="233" w:lineRule="auto"/>
              <w:jc w:val="center"/>
              <w:rPr>
                <w:sz w:val="22"/>
                <w:szCs w:val="22"/>
              </w:rPr>
            </w:pPr>
            <w:r w:rsidRPr="00E67B5B">
              <w:rPr>
                <w:sz w:val="22"/>
                <w:szCs w:val="22"/>
              </w:rPr>
              <w:t>0</w:t>
            </w:r>
          </w:p>
        </w:tc>
        <w:tc>
          <w:tcPr>
            <w:tcW w:w="1861" w:type="dxa"/>
          </w:tcPr>
          <w:p w:rsidR="00E2565A" w:rsidRPr="00E67B5B" w:rsidRDefault="00E2565A" w:rsidP="00F90DF3">
            <w:pPr>
              <w:spacing w:line="233" w:lineRule="auto"/>
              <w:jc w:val="center"/>
              <w:rPr>
                <w:sz w:val="22"/>
                <w:szCs w:val="22"/>
              </w:rPr>
            </w:pPr>
            <w:r w:rsidRPr="00E67B5B">
              <w:rPr>
                <w:sz w:val="22"/>
                <w:szCs w:val="22"/>
              </w:rPr>
              <w:t>0</w:t>
            </w:r>
          </w:p>
        </w:tc>
        <w:tc>
          <w:tcPr>
            <w:tcW w:w="1861" w:type="dxa"/>
          </w:tcPr>
          <w:p w:rsidR="00E2565A" w:rsidRPr="00E67B5B" w:rsidRDefault="00E2565A" w:rsidP="00F90DF3">
            <w:pPr>
              <w:spacing w:line="233" w:lineRule="auto"/>
              <w:jc w:val="center"/>
              <w:rPr>
                <w:sz w:val="22"/>
                <w:szCs w:val="22"/>
              </w:rPr>
            </w:pPr>
            <w:r w:rsidRPr="00E67B5B">
              <w:rPr>
                <w:sz w:val="22"/>
                <w:szCs w:val="22"/>
              </w:rPr>
              <w:t>5</w:t>
            </w:r>
          </w:p>
        </w:tc>
      </w:tr>
      <w:tr w:rsidR="00E2565A" w:rsidRPr="00E67B5B" w:rsidTr="00DF1A6A">
        <w:trPr>
          <w:trHeight w:val="20"/>
        </w:trPr>
        <w:tc>
          <w:tcPr>
            <w:tcW w:w="562" w:type="dxa"/>
          </w:tcPr>
          <w:p w:rsidR="00E2565A" w:rsidRPr="00E67B5B" w:rsidRDefault="00887958" w:rsidP="00F90DF3">
            <w:pPr>
              <w:spacing w:line="233" w:lineRule="auto"/>
              <w:jc w:val="center"/>
              <w:rPr>
                <w:sz w:val="22"/>
                <w:szCs w:val="22"/>
              </w:rPr>
            </w:pPr>
            <w:r w:rsidRPr="00E67B5B">
              <w:rPr>
                <w:sz w:val="22"/>
                <w:szCs w:val="22"/>
              </w:rPr>
              <w:t>6</w:t>
            </w:r>
            <w:r w:rsidR="00A33AEC" w:rsidRPr="00E67B5B">
              <w:rPr>
                <w:sz w:val="22"/>
                <w:szCs w:val="22"/>
              </w:rPr>
              <w:t>.</w:t>
            </w:r>
          </w:p>
        </w:tc>
        <w:tc>
          <w:tcPr>
            <w:tcW w:w="4253" w:type="dxa"/>
          </w:tcPr>
          <w:p w:rsidR="00E2565A" w:rsidRPr="00E67B5B" w:rsidRDefault="00E2565A" w:rsidP="0001746E">
            <w:pPr>
              <w:spacing w:line="233" w:lineRule="auto"/>
              <w:jc w:val="both"/>
              <w:rPr>
                <w:color w:val="000000"/>
                <w:sz w:val="22"/>
                <w:szCs w:val="22"/>
              </w:rPr>
            </w:pPr>
            <w:r w:rsidRPr="00E67B5B">
              <w:rPr>
                <w:color w:val="000000"/>
                <w:sz w:val="22"/>
                <w:szCs w:val="22"/>
              </w:rPr>
              <w:t>Ф</w:t>
            </w:r>
            <w:r w:rsidR="00E6023B" w:rsidRPr="00E67B5B">
              <w:rPr>
                <w:color w:val="000000"/>
                <w:sz w:val="22"/>
                <w:szCs w:val="22"/>
              </w:rPr>
              <w:t xml:space="preserve">едеральное государственное бюджетное научное учреждение </w:t>
            </w:r>
            <w:r w:rsidR="002F7358" w:rsidRPr="00E67B5B">
              <w:rPr>
                <w:color w:val="000000"/>
                <w:sz w:val="22"/>
                <w:szCs w:val="22"/>
              </w:rPr>
              <w:t>«</w:t>
            </w:r>
            <w:r w:rsidR="00E6023B" w:rsidRPr="00E67B5B">
              <w:rPr>
                <w:color w:val="000000"/>
                <w:sz w:val="22"/>
                <w:szCs w:val="22"/>
              </w:rPr>
              <w:t xml:space="preserve">Российской научный центр хирургии </w:t>
            </w:r>
            <w:r w:rsidR="004E324A" w:rsidRPr="00E67B5B">
              <w:rPr>
                <w:color w:val="000000"/>
                <w:sz w:val="22"/>
                <w:szCs w:val="22"/>
              </w:rPr>
              <w:t>им.</w:t>
            </w:r>
            <w:r w:rsidR="0001746E">
              <w:rPr>
                <w:color w:val="000000"/>
                <w:sz w:val="22"/>
                <w:szCs w:val="22"/>
              </w:rPr>
              <w:t xml:space="preserve"> академика </w:t>
            </w:r>
            <w:r w:rsidRPr="00E67B5B">
              <w:rPr>
                <w:color w:val="000000"/>
                <w:sz w:val="22"/>
                <w:szCs w:val="22"/>
              </w:rPr>
              <w:t>Б.В.Петровского</w:t>
            </w:r>
            <w:r w:rsidR="002F7358" w:rsidRPr="00E67B5B">
              <w:rPr>
                <w:color w:val="000000"/>
                <w:sz w:val="22"/>
                <w:szCs w:val="22"/>
              </w:rPr>
              <w:t>»</w:t>
            </w:r>
            <w:r w:rsidR="0001746E">
              <w:rPr>
                <w:color w:val="000000"/>
                <w:sz w:val="22"/>
                <w:szCs w:val="22"/>
              </w:rPr>
              <w:t xml:space="preserve"> </w:t>
            </w:r>
          </w:p>
        </w:tc>
        <w:tc>
          <w:tcPr>
            <w:tcW w:w="1659" w:type="dxa"/>
          </w:tcPr>
          <w:p w:rsidR="00E2565A" w:rsidRPr="00E67B5B" w:rsidRDefault="00E2565A" w:rsidP="00F90DF3">
            <w:pPr>
              <w:spacing w:line="233" w:lineRule="auto"/>
              <w:jc w:val="center"/>
              <w:rPr>
                <w:sz w:val="22"/>
                <w:szCs w:val="22"/>
              </w:rPr>
            </w:pPr>
            <w:r w:rsidRPr="00E67B5B">
              <w:rPr>
                <w:sz w:val="22"/>
                <w:szCs w:val="22"/>
              </w:rPr>
              <w:t>0</w:t>
            </w:r>
          </w:p>
        </w:tc>
        <w:tc>
          <w:tcPr>
            <w:tcW w:w="1861" w:type="dxa"/>
          </w:tcPr>
          <w:p w:rsidR="00E2565A" w:rsidRPr="00E67B5B" w:rsidRDefault="00E2565A" w:rsidP="00F90DF3">
            <w:pPr>
              <w:spacing w:line="233" w:lineRule="auto"/>
              <w:jc w:val="center"/>
              <w:rPr>
                <w:sz w:val="22"/>
                <w:szCs w:val="22"/>
              </w:rPr>
            </w:pPr>
            <w:r w:rsidRPr="00E67B5B">
              <w:rPr>
                <w:sz w:val="22"/>
                <w:szCs w:val="22"/>
              </w:rPr>
              <w:t>0</w:t>
            </w:r>
          </w:p>
        </w:tc>
        <w:tc>
          <w:tcPr>
            <w:tcW w:w="1861" w:type="dxa"/>
          </w:tcPr>
          <w:p w:rsidR="00E2565A" w:rsidRPr="00E67B5B" w:rsidRDefault="00C057A5" w:rsidP="00F90DF3">
            <w:pPr>
              <w:spacing w:line="233" w:lineRule="auto"/>
              <w:jc w:val="center"/>
              <w:rPr>
                <w:sz w:val="22"/>
                <w:szCs w:val="22"/>
              </w:rPr>
            </w:pPr>
            <w:r w:rsidRPr="00E67B5B">
              <w:rPr>
                <w:sz w:val="22"/>
                <w:szCs w:val="22"/>
              </w:rPr>
              <w:t>0</w:t>
            </w:r>
          </w:p>
        </w:tc>
      </w:tr>
      <w:tr w:rsidR="00E2565A" w:rsidRPr="00E67B5B" w:rsidTr="00DF1A6A">
        <w:trPr>
          <w:trHeight w:val="20"/>
        </w:trPr>
        <w:tc>
          <w:tcPr>
            <w:tcW w:w="562" w:type="dxa"/>
          </w:tcPr>
          <w:p w:rsidR="00E2565A" w:rsidRPr="00E67B5B" w:rsidRDefault="00887958" w:rsidP="004E324A">
            <w:pPr>
              <w:jc w:val="center"/>
              <w:rPr>
                <w:sz w:val="22"/>
                <w:szCs w:val="22"/>
              </w:rPr>
            </w:pPr>
            <w:r w:rsidRPr="00E67B5B">
              <w:rPr>
                <w:sz w:val="22"/>
                <w:szCs w:val="22"/>
              </w:rPr>
              <w:t>7</w:t>
            </w:r>
            <w:r w:rsidR="00A33AEC" w:rsidRPr="00E67B5B">
              <w:rPr>
                <w:sz w:val="22"/>
                <w:szCs w:val="22"/>
              </w:rPr>
              <w:t>.</w:t>
            </w:r>
          </w:p>
        </w:tc>
        <w:tc>
          <w:tcPr>
            <w:tcW w:w="4253" w:type="dxa"/>
          </w:tcPr>
          <w:p w:rsidR="00E2565A" w:rsidRPr="00D04789" w:rsidRDefault="001109A9" w:rsidP="00892863">
            <w:pPr>
              <w:jc w:val="both"/>
              <w:rPr>
                <w:color w:val="0D0D0D" w:themeColor="text1" w:themeTint="F2"/>
                <w:sz w:val="22"/>
                <w:szCs w:val="22"/>
              </w:rPr>
            </w:pPr>
            <w:r w:rsidRPr="00D04789">
              <w:rPr>
                <w:color w:val="0D0D0D" w:themeColor="text1" w:themeTint="F2"/>
                <w:sz w:val="22"/>
                <w:szCs w:val="22"/>
                <w:shd w:val="clear" w:color="auto" w:fill="FFFFFF"/>
              </w:rPr>
              <w:t>Федеральное государственное автономное учреждение</w:t>
            </w:r>
            <w:r w:rsidRPr="00D04789">
              <w:rPr>
                <w:color w:val="0D0D0D" w:themeColor="text1" w:themeTint="F2"/>
                <w:sz w:val="22"/>
                <w:szCs w:val="22"/>
              </w:rPr>
              <w:t xml:space="preserve"> «</w:t>
            </w:r>
            <w:r w:rsidR="00892863" w:rsidRPr="00D04789">
              <w:rPr>
                <w:color w:val="0D0D0D" w:themeColor="text1" w:themeTint="F2"/>
                <w:sz w:val="22"/>
                <w:szCs w:val="22"/>
              </w:rPr>
              <w:t xml:space="preserve">Национальный медицинский исследовательский центр </w:t>
            </w:r>
            <w:r w:rsidR="007D29A9" w:rsidRPr="00D04789">
              <w:rPr>
                <w:color w:val="0D0D0D" w:themeColor="text1" w:themeTint="F2"/>
                <w:sz w:val="22"/>
                <w:szCs w:val="22"/>
              </w:rPr>
              <w:t>н</w:t>
            </w:r>
            <w:r w:rsidR="00E2565A" w:rsidRPr="00D04789">
              <w:rPr>
                <w:color w:val="0D0D0D" w:themeColor="text1" w:themeTint="F2"/>
                <w:sz w:val="22"/>
                <w:szCs w:val="22"/>
              </w:rPr>
              <w:t>ейрохирургии им.академика Н.Н.Бурденко</w:t>
            </w:r>
            <w:r w:rsidR="00D04789" w:rsidRPr="00D04789">
              <w:rPr>
                <w:color w:val="0D0D0D" w:themeColor="text1" w:themeTint="F2"/>
                <w:sz w:val="22"/>
                <w:szCs w:val="22"/>
              </w:rPr>
              <w:t>» Министерства здравоохранения Российской Федерации</w:t>
            </w:r>
          </w:p>
        </w:tc>
        <w:tc>
          <w:tcPr>
            <w:tcW w:w="1659" w:type="dxa"/>
          </w:tcPr>
          <w:p w:rsidR="00E2565A" w:rsidRPr="00E67B5B" w:rsidRDefault="00E2565A" w:rsidP="004E324A">
            <w:pPr>
              <w:jc w:val="center"/>
              <w:rPr>
                <w:sz w:val="22"/>
                <w:szCs w:val="22"/>
              </w:rPr>
            </w:pPr>
            <w:r w:rsidRPr="00E67B5B">
              <w:rPr>
                <w:sz w:val="22"/>
                <w:szCs w:val="22"/>
              </w:rPr>
              <w:t>3</w:t>
            </w:r>
          </w:p>
        </w:tc>
        <w:tc>
          <w:tcPr>
            <w:tcW w:w="1861" w:type="dxa"/>
          </w:tcPr>
          <w:p w:rsidR="00E2565A" w:rsidRPr="00E67B5B" w:rsidRDefault="00E2565A" w:rsidP="004E324A">
            <w:pPr>
              <w:jc w:val="center"/>
              <w:rPr>
                <w:sz w:val="22"/>
                <w:szCs w:val="22"/>
              </w:rPr>
            </w:pPr>
            <w:r w:rsidRPr="00E67B5B">
              <w:rPr>
                <w:sz w:val="22"/>
                <w:szCs w:val="22"/>
              </w:rPr>
              <w:t>0</w:t>
            </w:r>
          </w:p>
        </w:tc>
        <w:tc>
          <w:tcPr>
            <w:tcW w:w="1861" w:type="dxa"/>
          </w:tcPr>
          <w:p w:rsidR="00E2565A" w:rsidRPr="00E67B5B" w:rsidRDefault="00E2565A" w:rsidP="004E324A">
            <w:pPr>
              <w:jc w:val="center"/>
              <w:rPr>
                <w:sz w:val="22"/>
                <w:szCs w:val="22"/>
              </w:rPr>
            </w:pPr>
            <w:r w:rsidRPr="00E67B5B">
              <w:rPr>
                <w:sz w:val="22"/>
                <w:szCs w:val="22"/>
              </w:rPr>
              <w:t>10</w:t>
            </w:r>
          </w:p>
        </w:tc>
      </w:tr>
      <w:tr w:rsidR="00E2565A" w:rsidRPr="00E67B5B" w:rsidTr="00DF1A6A">
        <w:trPr>
          <w:trHeight w:val="20"/>
        </w:trPr>
        <w:tc>
          <w:tcPr>
            <w:tcW w:w="562" w:type="dxa"/>
          </w:tcPr>
          <w:p w:rsidR="00E2565A" w:rsidRPr="00E67B5B" w:rsidRDefault="00887958" w:rsidP="004E324A">
            <w:pPr>
              <w:jc w:val="center"/>
              <w:rPr>
                <w:sz w:val="22"/>
                <w:szCs w:val="22"/>
              </w:rPr>
            </w:pPr>
            <w:r w:rsidRPr="00E67B5B">
              <w:rPr>
                <w:sz w:val="22"/>
                <w:szCs w:val="22"/>
              </w:rPr>
              <w:t>8</w:t>
            </w:r>
            <w:r w:rsidR="00A33AEC" w:rsidRPr="00E67B5B">
              <w:rPr>
                <w:sz w:val="22"/>
                <w:szCs w:val="22"/>
              </w:rPr>
              <w:t>.</w:t>
            </w:r>
          </w:p>
        </w:tc>
        <w:tc>
          <w:tcPr>
            <w:tcW w:w="4253" w:type="dxa"/>
          </w:tcPr>
          <w:p w:rsidR="00E2565A" w:rsidRPr="00E67B5B" w:rsidRDefault="0001746E" w:rsidP="004E324A">
            <w:pPr>
              <w:jc w:val="both"/>
              <w:rPr>
                <w:color w:val="000000"/>
                <w:sz w:val="22"/>
                <w:szCs w:val="22"/>
              </w:rPr>
            </w:pPr>
            <w:r>
              <w:rPr>
                <w:color w:val="000000"/>
                <w:sz w:val="22"/>
                <w:szCs w:val="22"/>
              </w:rPr>
              <w:t>ФГБУ</w:t>
            </w:r>
            <w:r w:rsidRPr="00E67B5B">
              <w:rPr>
                <w:color w:val="000000" w:themeColor="text1"/>
                <w:sz w:val="22"/>
                <w:szCs w:val="22"/>
                <w:shd w:val="clear" w:color="auto" w:fill="FFFFFF"/>
              </w:rPr>
              <w:t xml:space="preserve"> </w:t>
            </w:r>
            <w:r>
              <w:rPr>
                <w:color w:val="000000" w:themeColor="text1"/>
                <w:sz w:val="22"/>
                <w:szCs w:val="22"/>
                <w:shd w:val="clear" w:color="auto" w:fill="FFFFFF"/>
              </w:rPr>
              <w:t>«</w:t>
            </w:r>
            <w:r w:rsidR="00E2565A" w:rsidRPr="00E67B5B">
              <w:rPr>
                <w:color w:val="000000" w:themeColor="text1"/>
                <w:sz w:val="22"/>
                <w:szCs w:val="22"/>
                <w:shd w:val="clear" w:color="auto" w:fill="FFFFFF"/>
              </w:rPr>
              <w:t xml:space="preserve">Российский научный центр радиологии и хирургических </w:t>
            </w:r>
            <w:r w:rsidR="004E324A" w:rsidRPr="00E67B5B">
              <w:rPr>
                <w:color w:val="000000" w:themeColor="text1"/>
                <w:sz w:val="22"/>
                <w:szCs w:val="22"/>
                <w:shd w:val="clear" w:color="auto" w:fill="FFFFFF"/>
              </w:rPr>
              <w:t>технологий имени академика А.М.</w:t>
            </w:r>
            <w:r w:rsidR="00E2565A" w:rsidRPr="00E67B5B">
              <w:rPr>
                <w:color w:val="000000" w:themeColor="text1"/>
                <w:sz w:val="22"/>
                <w:szCs w:val="22"/>
                <w:shd w:val="clear" w:color="auto" w:fill="FFFFFF"/>
              </w:rPr>
              <w:t>Гранова</w:t>
            </w:r>
            <w:r>
              <w:rPr>
                <w:color w:val="000000" w:themeColor="text1"/>
                <w:sz w:val="22"/>
                <w:szCs w:val="22"/>
                <w:shd w:val="clear" w:color="auto" w:fill="FFFFFF"/>
              </w:rPr>
              <w:t>»</w:t>
            </w:r>
            <w:r>
              <w:rPr>
                <w:color w:val="0D0D0D" w:themeColor="text1" w:themeTint="F2"/>
                <w:sz w:val="22"/>
                <w:szCs w:val="22"/>
              </w:rPr>
              <w:t xml:space="preserve"> Министерства здравоохранения Российской Федерации</w:t>
            </w:r>
          </w:p>
        </w:tc>
        <w:tc>
          <w:tcPr>
            <w:tcW w:w="1659" w:type="dxa"/>
          </w:tcPr>
          <w:p w:rsidR="00E2565A" w:rsidRPr="00E67B5B" w:rsidRDefault="00E2565A" w:rsidP="004E324A">
            <w:pPr>
              <w:jc w:val="center"/>
              <w:rPr>
                <w:sz w:val="22"/>
                <w:szCs w:val="22"/>
              </w:rPr>
            </w:pPr>
            <w:r w:rsidRPr="00E67B5B">
              <w:rPr>
                <w:sz w:val="22"/>
                <w:szCs w:val="22"/>
              </w:rPr>
              <w:t>0</w:t>
            </w:r>
          </w:p>
        </w:tc>
        <w:tc>
          <w:tcPr>
            <w:tcW w:w="1861" w:type="dxa"/>
          </w:tcPr>
          <w:p w:rsidR="00E2565A" w:rsidRPr="00E67B5B" w:rsidRDefault="00E2565A" w:rsidP="004E324A">
            <w:pPr>
              <w:jc w:val="center"/>
              <w:rPr>
                <w:sz w:val="22"/>
                <w:szCs w:val="22"/>
              </w:rPr>
            </w:pPr>
            <w:r w:rsidRPr="00E67B5B">
              <w:rPr>
                <w:sz w:val="22"/>
                <w:szCs w:val="22"/>
              </w:rPr>
              <w:t>0</w:t>
            </w:r>
          </w:p>
        </w:tc>
        <w:tc>
          <w:tcPr>
            <w:tcW w:w="1861" w:type="dxa"/>
          </w:tcPr>
          <w:p w:rsidR="00E2565A" w:rsidRPr="00E67B5B" w:rsidRDefault="00E2565A" w:rsidP="004E324A">
            <w:pPr>
              <w:jc w:val="center"/>
              <w:rPr>
                <w:sz w:val="22"/>
                <w:szCs w:val="22"/>
              </w:rPr>
            </w:pPr>
            <w:r w:rsidRPr="00E67B5B">
              <w:rPr>
                <w:sz w:val="22"/>
                <w:szCs w:val="22"/>
              </w:rPr>
              <w:t>1</w:t>
            </w:r>
          </w:p>
        </w:tc>
      </w:tr>
      <w:tr w:rsidR="00E2565A" w:rsidRPr="00E67B5B" w:rsidTr="00DF1A6A">
        <w:trPr>
          <w:trHeight w:val="20"/>
        </w:trPr>
        <w:tc>
          <w:tcPr>
            <w:tcW w:w="562" w:type="dxa"/>
          </w:tcPr>
          <w:p w:rsidR="00E2565A" w:rsidRPr="00E67B5B" w:rsidRDefault="00887958" w:rsidP="004E324A">
            <w:pPr>
              <w:jc w:val="center"/>
              <w:rPr>
                <w:sz w:val="22"/>
                <w:szCs w:val="22"/>
              </w:rPr>
            </w:pPr>
            <w:r w:rsidRPr="00E67B5B">
              <w:rPr>
                <w:sz w:val="22"/>
                <w:szCs w:val="22"/>
              </w:rPr>
              <w:t>9</w:t>
            </w:r>
            <w:r w:rsidR="00A33AEC" w:rsidRPr="00E67B5B">
              <w:rPr>
                <w:sz w:val="22"/>
                <w:szCs w:val="22"/>
              </w:rPr>
              <w:t>.</w:t>
            </w:r>
          </w:p>
        </w:tc>
        <w:tc>
          <w:tcPr>
            <w:tcW w:w="4253" w:type="dxa"/>
          </w:tcPr>
          <w:p w:rsidR="00E2565A" w:rsidRPr="00E67B5B" w:rsidRDefault="00B83980" w:rsidP="00892863">
            <w:pPr>
              <w:jc w:val="both"/>
              <w:rPr>
                <w:color w:val="000000" w:themeColor="text1"/>
                <w:sz w:val="22"/>
                <w:szCs w:val="22"/>
                <w:shd w:val="clear" w:color="auto" w:fill="FFFFFF"/>
              </w:rPr>
            </w:pPr>
            <w:r w:rsidRPr="00E67B5B">
              <w:rPr>
                <w:color w:val="000000"/>
                <w:sz w:val="22"/>
                <w:szCs w:val="22"/>
              </w:rPr>
              <w:t>ФГБУ</w:t>
            </w:r>
            <w:r w:rsidRPr="00E67B5B">
              <w:rPr>
                <w:color w:val="000000" w:themeColor="text1"/>
                <w:sz w:val="22"/>
                <w:szCs w:val="22"/>
              </w:rPr>
              <w:t xml:space="preserve"> </w:t>
            </w:r>
            <w:r w:rsidR="002F7358" w:rsidRPr="00E67B5B">
              <w:rPr>
                <w:color w:val="000000" w:themeColor="text1"/>
                <w:sz w:val="22"/>
                <w:szCs w:val="22"/>
              </w:rPr>
              <w:t>«</w:t>
            </w:r>
            <w:r w:rsidR="00892863">
              <w:rPr>
                <w:sz w:val="22"/>
                <w:szCs w:val="22"/>
              </w:rPr>
              <w:t>Национальный медицинский исследовательский центр</w:t>
            </w:r>
            <w:r w:rsidR="00892863">
              <w:rPr>
                <w:color w:val="000000"/>
                <w:sz w:val="22"/>
                <w:szCs w:val="22"/>
              </w:rPr>
              <w:t xml:space="preserve"> </w:t>
            </w:r>
            <w:r w:rsidR="00E2565A" w:rsidRPr="00E67B5B">
              <w:rPr>
                <w:color w:val="000000" w:themeColor="text1"/>
                <w:sz w:val="22"/>
                <w:szCs w:val="22"/>
              </w:rPr>
              <w:t>гематологии</w:t>
            </w:r>
            <w:r w:rsidR="002F7358" w:rsidRPr="00E67B5B">
              <w:rPr>
                <w:color w:val="000000" w:themeColor="text1"/>
                <w:sz w:val="22"/>
                <w:szCs w:val="22"/>
              </w:rPr>
              <w:t>»</w:t>
            </w:r>
            <w:r w:rsidR="00E2565A" w:rsidRPr="00E67B5B">
              <w:rPr>
                <w:color w:val="000000" w:themeColor="text1"/>
                <w:sz w:val="22"/>
                <w:szCs w:val="22"/>
              </w:rPr>
              <w:t xml:space="preserve"> Мин</w:t>
            </w:r>
            <w:r w:rsidR="007D29A9" w:rsidRPr="00E67B5B">
              <w:rPr>
                <w:color w:val="000000" w:themeColor="text1"/>
                <w:sz w:val="22"/>
                <w:szCs w:val="22"/>
              </w:rPr>
              <w:t xml:space="preserve">истерства </w:t>
            </w:r>
            <w:r w:rsidR="00E2565A" w:rsidRPr="00E67B5B">
              <w:rPr>
                <w:color w:val="000000" w:themeColor="text1"/>
                <w:sz w:val="22"/>
                <w:szCs w:val="22"/>
              </w:rPr>
              <w:t>здрав</w:t>
            </w:r>
            <w:r w:rsidR="007D29A9" w:rsidRPr="00E67B5B">
              <w:rPr>
                <w:color w:val="000000" w:themeColor="text1"/>
                <w:sz w:val="22"/>
                <w:szCs w:val="22"/>
              </w:rPr>
              <w:t xml:space="preserve">оохранения Российской Федерации </w:t>
            </w:r>
          </w:p>
        </w:tc>
        <w:tc>
          <w:tcPr>
            <w:tcW w:w="1659" w:type="dxa"/>
          </w:tcPr>
          <w:p w:rsidR="00E2565A" w:rsidRPr="00E67B5B" w:rsidRDefault="00E2565A" w:rsidP="004E324A">
            <w:pPr>
              <w:jc w:val="center"/>
              <w:rPr>
                <w:sz w:val="22"/>
                <w:szCs w:val="22"/>
              </w:rPr>
            </w:pPr>
            <w:r w:rsidRPr="00E67B5B">
              <w:rPr>
                <w:sz w:val="22"/>
                <w:szCs w:val="22"/>
              </w:rPr>
              <w:t>3</w:t>
            </w:r>
          </w:p>
        </w:tc>
        <w:tc>
          <w:tcPr>
            <w:tcW w:w="1861" w:type="dxa"/>
          </w:tcPr>
          <w:p w:rsidR="00E2565A" w:rsidRPr="00E67B5B" w:rsidRDefault="00E2565A" w:rsidP="004E324A">
            <w:pPr>
              <w:jc w:val="center"/>
              <w:rPr>
                <w:sz w:val="22"/>
                <w:szCs w:val="22"/>
              </w:rPr>
            </w:pPr>
            <w:r w:rsidRPr="00E67B5B">
              <w:rPr>
                <w:sz w:val="22"/>
                <w:szCs w:val="22"/>
              </w:rPr>
              <w:t>0</w:t>
            </w:r>
          </w:p>
        </w:tc>
        <w:tc>
          <w:tcPr>
            <w:tcW w:w="1861" w:type="dxa"/>
          </w:tcPr>
          <w:p w:rsidR="00E2565A" w:rsidRPr="00E67B5B" w:rsidRDefault="00E2565A" w:rsidP="004E324A">
            <w:pPr>
              <w:jc w:val="center"/>
              <w:rPr>
                <w:sz w:val="22"/>
                <w:szCs w:val="22"/>
              </w:rPr>
            </w:pPr>
            <w:r w:rsidRPr="00E67B5B">
              <w:rPr>
                <w:sz w:val="22"/>
                <w:szCs w:val="22"/>
              </w:rPr>
              <w:t>13</w:t>
            </w:r>
          </w:p>
        </w:tc>
      </w:tr>
      <w:tr w:rsidR="00E2565A" w:rsidRPr="00E67B5B" w:rsidTr="00DF1A6A">
        <w:trPr>
          <w:trHeight w:val="20"/>
        </w:trPr>
        <w:tc>
          <w:tcPr>
            <w:tcW w:w="562" w:type="dxa"/>
          </w:tcPr>
          <w:p w:rsidR="00E2565A" w:rsidRPr="00E67B5B" w:rsidRDefault="00887958" w:rsidP="004E324A">
            <w:pPr>
              <w:jc w:val="center"/>
              <w:rPr>
                <w:sz w:val="22"/>
                <w:szCs w:val="22"/>
              </w:rPr>
            </w:pPr>
            <w:r w:rsidRPr="00E67B5B">
              <w:rPr>
                <w:color w:val="000000"/>
                <w:sz w:val="22"/>
                <w:szCs w:val="22"/>
              </w:rPr>
              <w:t>10</w:t>
            </w:r>
            <w:r w:rsidR="00A33AEC" w:rsidRPr="00E67B5B">
              <w:rPr>
                <w:color w:val="000000"/>
                <w:sz w:val="22"/>
                <w:szCs w:val="22"/>
              </w:rPr>
              <w:t>.</w:t>
            </w:r>
          </w:p>
        </w:tc>
        <w:tc>
          <w:tcPr>
            <w:tcW w:w="4253" w:type="dxa"/>
          </w:tcPr>
          <w:p w:rsidR="00E2565A" w:rsidRPr="00E67B5B" w:rsidRDefault="00E6023B" w:rsidP="00892863">
            <w:pPr>
              <w:jc w:val="both"/>
              <w:rPr>
                <w:color w:val="000000" w:themeColor="text1"/>
                <w:sz w:val="22"/>
                <w:szCs w:val="22"/>
              </w:rPr>
            </w:pPr>
            <w:r w:rsidRPr="008F139A">
              <w:rPr>
                <w:color w:val="0D0D0D" w:themeColor="text1" w:themeTint="F2"/>
                <w:sz w:val="22"/>
                <w:szCs w:val="22"/>
              </w:rPr>
              <w:t>ФГБУ «</w:t>
            </w:r>
            <w:r w:rsidR="00892863" w:rsidRPr="008F139A">
              <w:rPr>
                <w:color w:val="0D0D0D" w:themeColor="text1" w:themeTint="F2"/>
                <w:sz w:val="22"/>
                <w:szCs w:val="22"/>
              </w:rPr>
              <w:t xml:space="preserve">Национальный медицинский исследовательский центр </w:t>
            </w:r>
            <w:r w:rsidRPr="008F139A">
              <w:rPr>
                <w:color w:val="0D0D0D" w:themeColor="text1" w:themeTint="F2"/>
                <w:sz w:val="22"/>
                <w:szCs w:val="22"/>
              </w:rPr>
              <w:t>детской гемоталогии, онкологии и иммунологии имени Д.</w:t>
            </w:r>
            <w:r w:rsidR="00E2565A" w:rsidRPr="008F139A">
              <w:rPr>
                <w:bCs/>
                <w:color w:val="0D0D0D" w:themeColor="text1" w:themeTint="F2"/>
                <w:sz w:val="22"/>
                <w:szCs w:val="22"/>
              </w:rPr>
              <w:t>Рогачева</w:t>
            </w:r>
            <w:r w:rsidRPr="008F139A">
              <w:rPr>
                <w:bCs/>
                <w:color w:val="0D0D0D" w:themeColor="text1" w:themeTint="F2"/>
                <w:sz w:val="22"/>
                <w:szCs w:val="22"/>
              </w:rPr>
              <w:t>»</w:t>
            </w:r>
            <w:r w:rsidR="008F139A" w:rsidRPr="008F139A">
              <w:rPr>
                <w:bCs/>
                <w:color w:val="0D0D0D" w:themeColor="text1" w:themeTint="F2"/>
                <w:sz w:val="22"/>
                <w:szCs w:val="22"/>
              </w:rPr>
              <w:t xml:space="preserve"> Министерства здравоохранения Российской Федерации</w:t>
            </w:r>
          </w:p>
        </w:tc>
        <w:tc>
          <w:tcPr>
            <w:tcW w:w="1659" w:type="dxa"/>
          </w:tcPr>
          <w:p w:rsidR="00E2565A" w:rsidRPr="00E67B5B" w:rsidRDefault="00E2565A" w:rsidP="004E324A">
            <w:pPr>
              <w:jc w:val="center"/>
              <w:rPr>
                <w:sz w:val="22"/>
                <w:szCs w:val="22"/>
              </w:rPr>
            </w:pPr>
            <w:r w:rsidRPr="00E67B5B">
              <w:rPr>
                <w:sz w:val="22"/>
                <w:szCs w:val="22"/>
              </w:rPr>
              <w:t>0</w:t>
            </w:r>
          </w:p>
        </w:tc>
        <w:tc>
          <w:tcPr>
            <w:tcW w:w="1861" w:type="dxa"/>
          </w:tcPr>
          <w:p w:rsidR="00E2565A" w:rsidRPr="00E67B5B" w:rsidRDefault="00E2565A" w:rsidP="004E324A">
            <w:pPr>
              <w:jc w:val="center"/>
              <w:rPr>
                <w:sz w:val="22"/>
                <w:szCs w:val="22"/>
              </w:rPr>
            </w:pPr>
            <w:r w:rsidRPr="00E67B5B">
              <w:rPr>
                <w:sz w:val="22"/>
                <w:szCs w:val="22"/>
              </w:rPr>
              <w:t>0</w:t>
            </w:r>
          </w:p>
        </w:tc>
        <w:tc>
          <w:tcPr>
            <w:tcW w:w="1861" w:type="dxa"/>
          </w:tcPr>
          <w:p w:rsidR="00E2565A" w:rsidRPr="00E67B5B" w:rsidRDefault="00E2565A" w:rsidP="004E324A">
            <w:pPr>
              <w:jc w:val="center"/>
              <w:rPr>
                <w:sz w:val="22"/>
                <w:szCs w:val="22"/>
              </w:rPr>
            </w:pPr>
            <w:r w:rsidRPr="00E67B5B">
              <w:rPr>
                <w:sz w:val="22"/>
                <w:szCs w:val="22"/>
              </w:rPr>
              <w:t>4</w:t>
            </w:r>
          </w:p>
        </w:tc>
      </w:tr>
      <w:tr w:rsidR="00E2565A" w:rsidRPr="00E67B5B" w:rsidTr="00DF1A6A">
        <w:trPr>
          <w:trHeight w:val="20"/>
        </w:trPr>
        <w:tc>
          <w:tcPr>
            <w:tcW w:w="562" w:type="dxa"/>
          </w:tcPr>
          <w:p w:rsidR="00E2565A" w:rsidRPr="00E67B5B" w:rsidRDefault="00887958" w:rsidP="004E324A">
            <w:pPr>
              <w:jc w:val="center"/>
              <w:rPr>
                <w:color w:val="000000"/>
                <w:sz w:val="22"/>
                <w:szCs w:val="22"/>
              </w:rPr>
            </w:pPr>
            <w:r w:rsidRPr="00E67B5B">
              <w:rPr>
                <w:color w:val="000000"/>
                <w:sz w:val="22"/>
                <w:szCs w:val="22"/>
              </w:rPr>
              <w:t>11</w:t>
            </w:r>
            <w:r w:rsidR="00A33AEC" w:rsidRPr="00E67B5B">
              <w:rPr>
                <w:color w:val="000000"/>
                <w:sz w:val="22"/>
                <w:szCs w:val="22"/>
              </w:rPr>
              <w:t>.</w:t>
            </w:r>
          </w:p>
        </w:tc>
        <w:tc>
          <w:tcPr>
            <w:tcW w:w="4253" w:type="dxa"/>
          </w:tcPr>
          <w:p w:rsidR="00E2565A" w:rsidRPr="00E67B5B" w:rsidRDefault="00B83980" w:rsidP="00892863">
            <w:pPr>
              <w:jc w:val="both"/>
              <w:rPr>
                <w:color w:val="000000"/>
                <w:sz w:val="22"/>
                <w:szCs w:val="22"/>
              </w:rPr>
            </w:pPr>
            <w:r w:rsidRPr="00E67B5B">
              <w:rPr>
                <w:color w:val="000000"/>
                <w:sz w:val="22"/>
                <w:szCs w:val="22"/>
              </w:rPr>
              <w:t xml:space="preserve">ФГБУ </w:t>
            </w:r>
            <w:r w:rsidR="002F7358" w:rsidRPr="00E67B5B">
              <w:rPr>
                <w:color w:val="000000"/>
                <w:sz w:val="22"/>
                <w:szCs w:val="22"/>
              </w:rPr>
              <w:t>«</w:t>
            </w:r>
            <w:r w:rsidR="00892863">
              <w:rPr>
                <w:sz w:val="22"/>
                <w:szCs w:val="22"/>
              </w:rPr>
              <w:t>Национальный медицинский исследовательский центр</w:t>
            </w:r>
            <w:r w:rsidR="00892863">
              <w:rPr>
                <w:color w:val="000000"/>
                <w:sz w:val="22"/>
                <w:szCs w:val="22"/>
              </w:rPr>
              <w:t xml:space="preserve"> </w:t>
            </w:r>
            <w:r w:rsidR="00E2565A" w:rsidRPr="00E67B5B">
              <w:rPr>
                <w:color w:val="000000"/>
                <w:sz w:val="22"/>
                <w:szCs w:val="22"/>
              </w:rPr>
              <w:t>г</w:t>
            </w:r>
            <w:r w:rsidR="004E324A" w:rsidRPr="00E67B5B">
              <w:rPr>
                <w:color w:val="000000"/>
                <w:sz w:val="22"/>
                <w:szCs w:val="22"/>
              </w:rPr>
              <w:t xml:space="preserve">лазных болезней </w:t>
            </w:r>
            <w:r w:rsidR="00E6023B" w:rsidRPr="00E67B5B">
              <w:rPr>
                <w:color w:val="000000"/>
                <w:sz w:val="22"/>
                <w:szCs w:val="22"/>
              </w:rPr>
              <w:br/>
            </w:r>
            <w:r w:rsidR="004E324A" w:rsidRPr="00E67B5B">
              <w:rPr>
                <w:color w:val="000000"/>
                <w:sz w:val="22"/>
                <w:szCs w:val="22"/>
              </w:rPr>
              <w:t>им.</w:t>
            </w:r>
            <w:r w:rsidRPr="00E67B5B">
              <w:rPr>
                <w:color w:val="000000"/>
                <w:sz w:val="22"/>
                <w:szCs w:val="22"/>
              </w:rPr>
              <w:t>Гельмгольца</w:t>
            </w:r>
            <w:r w:rsidR="002F7358" w:rsidRPr="00E67B5B">
              <w:rPr>
                <w:color w:val="000000"/>
                <w:sz w:val="22"/>
                <w:szCs w:val="22"/>
              </w:rPr>
              <w:t>»</w:t>
            </w:r>
            <w:r w:rsidR="008F139A">
              <w:rPr>
                <w:color w:val="000000"/>
                <w:sz w:val="22"/>
                <w:szCs w:val="22"/>
              </w:rPr>
              <w:t xml:space="preserve"> </w:t>
            </w:r>
            <w:r w:rsidR="008F139A">
              <w:rPr>
                <w:color w:val="0D0D0D" w:themeColor="text1" w:themeTint="F2"/>
                <w:sz w:val="22"/>
                <w:szCs w:val="22"/>
              </w:rPr>
              <w:t>Министерства здравоохранения Российской Федерации</w:t>
            </w:r>
          </w:p>
        </w:tc>
        <w:tc>
          <w:tcPr>
            <w:tcW w:w="1659" w:type="dxa"/>
          </w:tcPr>
          <w:p w:rsidR="00E2565A" w:rsidRPr="00E67B5B" w:rsidRDefault="00E2565A" w:rsidP="004E324A">
            <w:pPr>
              <w:jc w:val="center"/>
              <w:rPr>
                <w:sz w:val="22"/>
                <w:szCs w:val="22"/>
              </w:rPr>
            </w:pPr>
            <w:r w:rsidRPr="00E67B5B">
              <w:rPr>
                <w:sz w:val="22"/>
                <w:szCs w:val="22"/>
              </w:rPr>
              <w:t>0</w:t>
            </w:r>
          </w:p>
        </w:tc>
        <w:tc>
          <w:tcPr>
            <w:tcW w:w="1861" w:type="dxa"/>
          </w:tcPr>
          <w:p w:rsidR="00E2565A" w:rsidRPr="00E67B5B" w:rsidRDefault="00E2565A" w:rsidP="004E324A">
            <w:pPr>
              <w:jc w:val="center"/>
              <w:rPr>
                <w:sz w:val="22"/>
                <w:szCs w:val="22"/>
              </w:rPr>
            </w:pPr>
            <w:r w:rsidRPr="00E67B5B">
              <w:rPr>
                <w:sz w:val="22"/>
                <w:szCs w:val="22"/>
              </w:rPr>
              <w:t>1</w:t>
            </w:r>
          </w:p>
        </w:tc>
        <w:tc>
          <w:tcPr>
            <w:tcW w:w="1861" w:type="dxa"/>
          </w:tcPr>
          <w:p w:rsidR="00E2565A" w:rsidRPr="00E67B5B" w:rsidRDefault="00E2565A" w:rsidP="004E324A">
            <w:pPr>
              <w:jc w:val="center"/>
              <w:rPr>
                <w:sz w:val="22"/>
                <w:szCs w:val="22"/>
              </w:rPr>
            </w:pPr>
          </w:p>
        </w:tc>
      </w:tr>
      <w:tr w:rsidR="00E2565A" w:rsidRPr="00E67B5B" w:rsidTr="00DF1A6A">
        <w:trPr>
          <w:trHeight w:val="20"/>
        </w:trPr>
        <w:tc>
          <w:tcPr>
            <w:tcW w:w="562" w:type="dxa"/>
          </w:tcPr>
          <w:p w:rsidR="00E2565A" w:rsidRPr="00E67B5B" w:rsidRDefault="00887958" w:rsidP="004E324A">
            <w:pPr>
              <w:jc w:val="center"/>
              <w:rPr>
                <w:color w:val="000000"/>
                <w:sz w:val="22"/>
                <w:szCs w:val="22"/>
              </w:rPr>
            </w:pPr>
            <w:r w:rsidRPr="00E67B5B">
              <w:rPr>
                <w:color w:val="000000"/>
                <w:sz w:val="22"/>
                <w:szCs w:val="22"/>
              </w:rPr>
              <w:t>12</w:t>
            </w:r>
            <w:r w:rsidR="00A33AEC" w:rsidRPr="00E67B5B">
              <w:rPr>
                <w:color w:val="000000"/>
                <w:sz w:val="22"/>
                <w:szCs w:val="22"/>
              </w:rPr>
              <w:t>.</w:t>
            </w:r>
          </w:p>
        </w:tc>
        <w:tc>
          <w:tcPr>
            <w:tcW w:w="4253" w:type="dxa"/>
          </w:tcPr>
          <w:p w:rsidR="00E2565A" w:rsidRPr="00E67B5B" w:rsidRDefault="00892863" w:rsidP="004D70AB">
            <w:pPr>
              <w:jc w:val="both"/>
              <w:rPr>
                <w:color w:val="000000"/>
                <w:sz w:val="22"/>
                <w:szCs w:val="22"/>
              </w:rPr>
            </w:pPr>
            <w:r>
              <w:rPr>
                <w:sz w:val="22"/>
                <w:szCs w:val="22"/>
              </w:rPr>
              <w:t>Национальный медицинский исследовательский центр</w:t>
            </w:r>
            <w:r>
              <w:rPr>
                <w:color w:val="000000"/>
                <w:sz w:val="22"/>
                <w:szCs w:val="22"/>
              </w:rPr>
              <w:t xml:space="preserve"> </w:t>
            </w:r>
            <w:r w:rsidR="00E2565A" w:rsidRPr="00E67B5B">
              <w:rPr>
                <w:color w:val="000000"/>
                <w:sz w:val="22"/>
                <w:szCs w:val="22"/>
              </w:rPr>
              <w:t>неврологи</w:t>
            </w:r>
            <w:r w:rsidR="004D70AB">
              <w:rPr>
                <w:color w:val="000000"/>
                <w:sz w:val="22"/>
                <w:szCs w:val="22"/>
              </w:rPr>
              <w:t xml:space="preserve">и </w:t>
            </w:r>
            <w:r w:rsidR="00E6023B" w:rsidRPr="00E67B5B">
              <w:rPr>
                <w:color w:val="000000"/>
                <w:sz w:val="22"/>
                <w:szCs w:val="22"/>
              </w:rPr>
              <w:t>федерально</w:t>
            </w:r>
            <w:r w:rsidR="004D70AB">
              <w:rPr>
                <w:color w:val="000000"/>
                <w:sz w:val="22"/>
                <w:szCs w:val="22"/>
              </w:rPr>
              <w:t>го</w:t>
            </w:r>
            <w:r w:rsidR="00E6023B" w:rsidRPr="00E67B5B">
              <w:rPr>
                <w:color w:val="000000"/>
                <w:sz w:val="22"/>
                <w:szCs w:val="22"/>
              </w:rPr>
              <w:t xml:space="preserve"> государственно</w:t>
            </w:r>
            <w:r w:rsidR="004D70AB">
              <w:rPr>
                <w:color w:val="000000"/>
                <w:sz w:val="22"/>
                <w:szCs w:val="22"/>
              </w:rPr>
              <w:t>го</w:t>
            </w:r>
            <w:r w:rsidR="00E6023B" w:rsidRPr="00E67B5B">
              <w:rPr>
                <w:color w:val="000000"/>
                <w:sz w:val="22"/>
                <w:szCs w:val="22"/>
              </w:rPr>
              <w:t xml:space="preserve"> автономно</w:t>
            </w:r>
            <w:r w:rsidR="004D70AB">
              <w:rPr>
                <w:color w:val="000000"/>
                <w:sz w:val="22"/>
                <w:szCs w:val="22"/>
              </w:rPr>
              <w:t>го</w:t>
            </w:r>
            <w:r w:rsidR="00E6023B" w:rsidRPr="00E67B5B">
              <w:rPr>
                <w:color w:val="000000"/>
                <w:sz w:val="22"/>
                <w:szCs w:val="22"/>
              </w:rPr>
              <w:t xml:space="preserve"> образовательно</w:t>
            </w:r>
            <w:r w:rsidR="004D70AB">
              <w:rPr>
                <w:color w:val="000000"/>
                <w:sz w:val="22"/>
                <w:szCs w:val="22"/>
              </w:rPr>
              <w:t>го</w:t>
            </w:r>
            <w:r w:rsidR="00E6023B" w:rsidRPr="00E67B5B">
              <w:rPr>
                <w:color w:val="000000"/>
                <w:sz w:val="22"/>
                <w:szCs w:val="22"/>
              </w:rPr>
              <w:t xml:space="preserve"> учреждени</w:t>
            </w:r>
            <w:r w:rsidR="004D70AB">
              <w:rPr>
                <w:color w:val="000000"/>
                <w:sz w:val="22"/>
                <w:szCs w:val="22"/>
              </w:rPr>
              <w:t>я</w:t>
            </w:r>
            <w:r w:rsidR="00E6023B" w:rsidRPr="00E67B5B">
              <w:rPr>
                <w:color w:val="000000"/>
                <w:sz w:val="22"/>
                <w:szCs w:val="22"/>
              </w:rPr>
              <w:t xml:space="preserve"> высшего образования </w:t>
            </w:r>
            <w:r w:rsidR="00FF0BC2" w:rsidRPr="00E67B5B">
              <w:rPr>
                <w:color w:val="000000"/>
                <w:sz w:val="22"/>
                <w:szCs w:val="22"/>
              </w:rPr>
              <w:t>«</w:t>
            </w:r>
            <w:r w:rsidR="00E6023B" w:rsidRPr="00E67B5B">
              <w:rPr>
                <w:color w:val="000000"/>
                <w:sz w:val="22"/>
                <w:szCs w:val="22"/>
              </w:rPr>
              <w:t>Российск</w:t>
            </w:r>
            <w:r w:rsidR="00FF0BC2" w:rsidRPr="00E67B5B">
              <w:rPr>
                <w:color w:val="000000"/>
                <w:sz w:val="22"/>
                <w:szCs w:val="22"/>
              </w:rPr>
              <w:t>ий</w:t>
            </w:r>
            <w:r w:rsidR="00E6023B" w:rsidRPr="00E67B5B">
              <w:rPr>
                <w:color w:val="000000"/>
                <w:sz w:val="22"/>
                <w:szCs w:val="22"/>
              </w:rPr>
              <w:t xml:space="preserve"> национальн</w:t>
            </w:r>
            <w:r w:rsidR="00FF0BC2" w:rsidRPr="00E67B5B">
              <w:rPr>
                <w:color w:val="000000"/>
                <w:sz w:val="22"/>
                <w:szCs w:val="22"/>
              </w:rPr>
              <w:t>ый</w:t>
            </w:r>
            <w:r w:rsidR="00E6023B" w:rsidRPr="00E67B5B">
              <w:rPr>
                <w:color w:val="000000"/>
                <w:sz w:val="22"/>
                <w:szCs w:val="22"/>
              </w:rPr>
              <w:t xml:space="preserve"> исследовательск</w:t>
            </w:r>
            <w:r w:rsidR="00FF0BC2" w:rsidRPr="00E67B5B">
              <w:rPr>
                <w:color w:val="000000"/>
                <w:sz w:val="22"/>
                <w:szCs w:val="22"/>
              </w:rPr>
              <w:t>ий</w:t>
            </w:r>
            <w:r w:rsidR="00E6023B" w:rsidRPr="00E67B5B">
              <w:rPr>
                <w:color w:val="000000"/>
                <w:sz w:val="22"/>
                <w:szCs w:val="22"/>
              </w:rPr>
              <w:t xml:space="preserve"> медицинск</w:t>
            </w:r>
            <w:r w:rsidR="00FF0BC2" w:rsidRPr="00E67B5B">
              <w:rPr>
                <w:color w:val="000000"/>
                <w:sz w:val="22"/>
                <w:szCs w:val="22"/>
              </w:rPr>
              <w:t>ий</w:t>
            </w:r>
            <w:r w:rsidR="00E6023B" w:rsidRPr="00E67B5B">
              <w:rPr>
                <w:color w:val="000000"/>
                <w:sz w:val="22"/>
                <w:szCs w:val="22"/>
              </w:rPr>
              <w:t xml:space="preserve"> универститет </w:t>
            </w:r>
            <w:r w:rsidR="004E324A" w:rsidRPr="00E67B5B">
              <w:rPr>
                <w:color w:val="000000"/>
                <w:sz w:val="22"/>
                <w:szCs w:val="22"/>
              </w:rPr>
              <w:t>им.</w:t>
            </w:r>
            <w:r w:rsidR="00E6023B" w:rsidRPr="00E67B5B">
              <w:rPr>
                <w:color w:val="000000"/>
                <w:sz w:val="22"/>
                <w:szCs w:val="22"/>
              </w:rPr>
              <w:t>Н.И.</w:t>
            </w:r>
            <w:r w:rsidR="00B83980" w:rsidRPr="00E67B5B">
              <w:rPr>
                <w:color w:val="000000"/>
                <w:sz w:val="22"/>
                <w:szCs w:val="22"/>
              </w:rPr>
              <w:t>Пирогова</w:t>
            </w:r>
            <w:r w:rsidR="00FF0BC2" w:rsidRPr="00E67B5B">
              <w:rPr>
                <w:color w:val="000000"/>
                <w:sz w:val="22"/>
                <w:szCs w:val="22"/>
              </w:rPr>
              <w:t>»</w:t>
            </w:r>
            <w:r w:rsidR="004D70AB">
              <w:rPr>
                <w:color w:val="000000"/>
                <w:sz w:val="22"/>
                <w:szCs w:val="22"/>
              </w:rPr>
              <w:t xml:space="preserve"> </w:t>
            </w:r>
            <w:r w:rsidR="004D70AB">
              <w:rPr>
                <w:color w:val="0D0D0D" w:themeColor="text1" w:themeTint="F2"/>
                <w:sz w:val="22"/>
                <w:szCs w:val="22"/>
              </w:rPr>
              <w:t>Министерства здравоохранения Российской Федерации</w:t>
            </w:r>
          </w:p>
        </w:tc>
        <w:tc>
          <w:tcPr>
            <w:tcW w:w="1659" w:type="dxa"/>
          </w:tcPr>
          <w:p w:rsidR="00E2565A" w:rsidRPr="00E67B5B" w:rsidRDefault="00E2565A" w:rsidP="004E324A">
            <w:pPr>
              <w:jc w:val="center"/>
              <w:rPr>
                <w:sz w:val="22"/>
                <w:szCs w:val="22"/>
              </w:rPr>
            </w:pPr>
            <w:r w:rsidRPr="00E67B5B">
              <w:rPr>
                <w:sz w:val="22"/>
                <w:szCs w:val="22"/>
              </w:rPr>
              <w:t>0</w:t>
            </w:r>
          </w:p>
        </w:tc>
        <w:tc>
          <w:tcPr>
            <w:tcW w:w="1861" w:type="dxa"/>
          </w:tcPr>
          <w:p w:rsidR="00E2565A" w:rsidRPr="00E67B5B" w:rsidRDefault="00E2565A" w:rsidP="004E324A">
            <w:pPr>
              <w:jc w:val="center"/>
              <w:rPr>
                <w:sz w:val="22"/>
                <w:szCs w:val="22"/>
              </w:rPr>
            </w:pPr>
            <w:r w:rsidRPr="00E67B5B">
              <w:rPr>
                <w:sz w:val="22"/>
                <w:szCs w:val="22"/>
              </w:rPr>
              <w:t>1</w:t>
            </w:r>
          </w:p>
        </w:tc>
        <w:tc>
          <w:tcPr>
            <w:tcW w:w="1861" w:type="dxa"/>
          </w:tcPr>
          <w:p w:rsidR="00E2565A" w:rsidRPr="00E67B5B" w:rsidRDefault="00E2565A" w:rsidP="004E324A">
            <w:pPr>
              <w:jc w:val="center"/>
              <w:rPr>
                <w:sz w:val="22"/>
                <w:szCs w:val="22"/>
              </w:rPr>
            </w:pPr>
            <w:r w:rsidRPr="00E67B5B">
              <w:rPr>
                <w:sz w:val="22"/>
                <w:szCs w:val="22"/>
              </w:rPr>
              <w:t>0</w:t>
            </w:r>
          </w:p>
        </w:tc>
      </w:tr>
      <w:tr w:rsidR="00E2565A" w:rsidRPr="00E67B5B" w:rsidTr="00DF1A6A">
        <w:trPr>
          <w:trHeight w:val="20"/>
        </w:trPr>
        <w:tc>
          <w:tcPr>
            <w:tcW w:w="562" w:type="dxa"/>
          </w:tcPr>
          <w:p w:rsidR="00E2565A" w:rsidRPr="00E67B5B" w:rsidRDefault="00887958" w:rsidP="004E324A">
            <w:pPr>
              <w:jc w:val="center"/>
              <w:rPr>
                <w:color w:val="000000"/>
                <w:sz w:val="22"/>
                <w:szCs w:val="22"/>
              </w:rPr>
            </w:pPr>
            <w:r w:rsidRPr="00E67B5B">
              <w:rPr>
                <w:color w:val="000000"/>
                <w:sz w:val="22"/>
                <w:szCs w:val="22"/>
              </w:rPr>
              <w:t>13</w:t>
            </w:r>
            <w:r w:rsidR="00A33AEC" w:rsidRPr="00E67B5B">
              <w:rPr>
                <w:color w:val="000000"/>
                <w:sz w:val="22"/>
                <w:szCs w:val="22"/>
              </w:rPr>
              <w:t>.</w:t>
            </w:r>
          </w:p>
        </w:tc>
        <w:tc>
          <w:tcPr>
            <w:tcW w:w="4253" w:type="dxa"/>
          </w:tcPr>
          <w:p w:rsidR="00E2565A" w:rsidRPr="00E67B5B" w:rsidRDefault="00E2565A" w:rsidP="00892863">
            <w:pPr>
              <w:jc w:val="both"/>
              <w:rPr>
                <w:color w:val="000000"/>
                <w:sz w:val="22"/>
                <w:szCs w:val="22"/>
              </w:rPr>
            </w:pPr>
            <w:r w:rsidRPr="00E67B5B">
              <w:rPr>
                <w:color w:val="000000"/>
                <w:sz w:val="22"/>
                <w:szCs w:val="22"/>
              </w:rPr>
              <w:t xml:space="preserve">ФГБУ </w:t>
            </w:r>
            <w:r w:rsidR="002F7358" w:rsidRPr="00E67B5B">
              <w:rPr>
                <w:color w:val="000000"/>
                <w:sz w:val="22"/>
                <w:szCs w:val="22"/>
              </w:rPr>
              <w:t>«</w:t>
            </w:r>
            <w:r w:rsidR="00892863">
              <w:rPr>
                <w:sz w:val="22"/>
                <w:szCs w:val="22"/>
              </w:rPr>
              <w:t>Национальный медицинский исследовательский центр</w:t>
            </w:r>
            <w:r w:rsidR="00892863">
              <w:rPr>
                <w:color w:val="000000"/>
                <w:sz w:val="22"/>
                <w:szCs w:val="22"/>
              </w:rPr>
              <w:t xml:space="preserve"> </w:t>
            </w:r>
            <w:r w:rsidR="00DF1A6A" w:rsidRPr="00E67B5B">
              <w:rPr>
                <w:color w:val="000000"/>
                <w:sz w:val="22"/>
                <w:szCs w:val="22"/>
              </w:rPr>
              <w:t>акушерств</w:t>
            </w:r>
            <w:r w:rsidR="00FF0BC2" w:rsidRPr="00E67B5B">
              <w:rPr>
                <w:color w:val="000000"/>
                <w:sz w:val="22"/>
                <w:szCs w:val="22"/>
              </w:rPr>
              <w:t>а</w:t>
            </w:r>
            <w:r w:rsidR="00DF1A6A" w:rsidRPr="00E67B5B">
              <w:rPr>
                <w:color w:val="000000"/>
                <w:sz w:val="22"/>
                <w:szCs w:val="22"/>
              </w:rPr>
              <w:t>, гинекологии и перинатологии</w:t>
            </w:r>
            <w:r w:rsidR="004E324A" w:rsidRPr="00E67B5B">
              <w:rPr>
                <w:color w:val="000000"/>
                <w:sz w:val="22"/>
                <w:szCs w:val="22"/>
              </w:rPr>
              <w:t xml:space="preserve"> им.</w:t>
            </w:r>
            <w:r w:rsidR="007251B1">
              <w:rPr>
                <w:color w:val="000000"/>
                <w:sz w:val="22"/>
                <w:szCs w:val="22"/>
              </w:rPr>
              <w:t xml:space="preserve"> академика </w:t>
            </w:r>
            <w:r w:rsidR="004E324A" w:rsidRPr="00E67B5B">
              <w:rPr>
                <w:color w:val="000000"/>
                <w:sz w:val="22"/>
                <w:szCs w:val="22"/>
              </w:rPr>
              <w:t>В.И.</w:t>
            </w:r>
            <w:r w:rsidRPr="00E67B5B">
              <w:rPr>
                <w:color w:val="000000"/>
                <w:sz w:val="22"/>
                <w:szCs w:val="22"/>
              </w:rPr>
              <w:t>Кулакова</w:t>
            </w:r>
            <w:r w:rsidR="002F7358" w:rsidRPr="00E67B5B">
              <w:rPr>
                <w:color w:val="000000"/>
                <w:sz w:val="22"/>
                <w:szCs w:val="22"/>
              </w:rPr>
              <w:t>»</w:t>
            </w:r>
            <w:r w:rsidR="007251B1">
              <w:rPr>
                <w:color w:val="000000"/>
                <w:sz w:val="22"/>
                <w:szCs w:val="22"/>
              </w:rPr>
              <w:t xml:space="preserve"> </w:t>
            </w:r>
            <w:r w:rsidR="007251B1">
              <w:rPr>
                <w:color w:val="0D0D0D" w:themeColor="text1" w:themeTint="F2"/>
                <w:sz w:val="22"/>
                <w:szCs w:val="22"/>
              </w:rPr>
              <w:t>Министерства здравоохранения Российской Федерации</w:t>
            </w:r>
          </w:p>
        </w:tc>
        <w:tc>
          <w:tcPr>
            <w:tcW w:w="1659" w:type="dxa"/>
          </w:tcPr>
          <w:p w:rsidR="00E2565A" w:rsidRPr="00E67B5B" w:rsidRDefault="00E2565A" w:rsidP="004E324A">
            <w:pPr>
              <w:jc w:val="center"/>
              <w:rPr>
                <w:sz w:val="22"/>
                <w:szCs w:val="22"/>
              </w:rPr>
            </w:pPr>
            <w:r w:rsidRPr="00E67B5B">
              <w:rPr>
                <w:sz w:val="22"/>
                <w:szCs w:val="22"/>
              </w:rPr>
              <w:t>0</w:t>
            </w:r>
          </w:p>
        </w:tc>
        <w:tc>
          <w:tcPr>
            <w:tcW w:w="1861" w:type="dxa"/>
          </w:tcPr>
          <w:p w:rsidR="00E2565A" w:rsidRPr="00E67B5B" w:rsidRDefault="00E2565A" w:rsidP="004E324A">
            <w:pPr>
              <w:jc w:val="center"/>
              <w:rPr>
                <w:sz w:val="22"/>
                <w:szCs w:val="22"/>
              </w:rPr>
            </w:pPr>
            <w:r w:rsidRPr="00E67B5B">
              <w:rPr>
                <w:sz w:val="22"/>
                <w:szCs w:val="22"/>
              </w:rPr>
              <w:t>2</w:t>
            </w:r>
          </w:p>
        </w:tc>
        <w:tc>
          <w:tcPr>
            <w:tcW w:w="1861" w:type="dxa"/>
          </w:tcPr>
          <w:p w:rsidR="00E2565A" w:rsidRPr="00E67B5B" w:rsidRDefault="00E2565A" w:rsidP="004E324A">
            <w:pPr>
              <w:jc w:val="center"/>
              <w:rPr>
                <w:sz w:val="22"/>
                <w:szCs w:val="22"/>
              </w:rPr>
            </w:pPr>
            <w:r w:rsidRPr="00E67B5B">
              <w:rPr>
                <w:sz w:val="22"/>
                <w:szCs w:val="22"/>
              </w:rPr>
              <w:t>0</w:t>
            </w:r>
          </w:p>
        </w:tc>
      </w:tr>
      <w:tr w:rsidR="00E2565A" w:rsidRPr="00E67B5B" w:rsidTr="00DF1A6A">
        <w:trPr>
          <w:trHeight w:val="20"/>
        </w:trPr>
        <w:tc>
          <w:tcPr>
            <w:tcW w:w="562" w:type="dxa"/>
          </w:tcPr>
          <w:p w:rsidR="00E2565A" w:rsidRPr="00E67B5B" w:rsidRDefault="00887958" w:rsidP="004E324A">
            <w:pPr>
              <w:jc w:val="center"/>
              <w:rPr>
                <w:color w:val="000000"/>
                <w:sz w:val="22"/>
                <w:szCs w:val="22"/>
              </w:rPr>
            </w:pPr>
            <w:r w:rsidRPr="00E67B5B">
              <w:rPr>
                <w:color w:val="000000"/>
                <w:sz w:val="22"/>
                <w:szCs w:val="22"/>
              </w:rPr>
              <w:t>14</w:t>
            </w:r>
            <w:r w:rsidR="00A33AEC" w:rsidRPr="00E67B5B">
              <w:rPr>
                <w:color w:val="000000"/>
                <w:sz w:val="22"/>
                <w:szCs w:val="22"/>
              </w:rPr>
              <w:t>.</w:t>
            </w:r>
          </w:p>
        </w:tc>
        <w:tc>
          <w:tcPr>
            <w:tcW w:w="4253" w:type="dxa"/>
          </w:tcPr>
          <w:p w:rsidR="00E2565A" w:rsidRPr="00E67B5B" w:rsidRDefault="00E2565A" w:rsidP="00892863">
            <w:pPr>
              <w:jc w:val="both"/>
              <w:rPr>
                <w:color w:val="000000"/>
                <w:sz w:val="22"/>
                <w:szCs w:val="22"/>
              </w:rPr>
            </w:pPr>
            <w:r w:rsidRPr="00E67B5B">
              <w:rPr>
                <w:color w:val="000000"/>
                <w:sz w:val="22"/>
                <w:szCs w:val="22"/>
              </w:rPr>
              <w:t xml:space="preserve">ФГБУ </w:t>
            </w:r>
            <w:r w:rsidR="002F7358" w:rsidRPr="00E67B5B">
              <w:rPr>
                <w:color w:val="000000"/>
                <w:sz w:val="22"/>
                <w:szCs w:val="22"/>
              </w:rPr>
              <w:t>«</w:t>
            </w:r>
            <w:r w:rsidR="00892863">
              <w:rPr>
                <w:sz w:val="22"/>
                <w:szCs w:val="22"/>
              </w:rPr>
              <w:t>Национальный медицинский исследовательский центр</w:t>
            </w:r>
            <w:r w:rsidR="00892863">
              <w:rPr>
                <w:color w:val="000000"/>
                <w:sz w:val="22"/>
                <w:szCs w:val="22"/>
              </w:rPr>
              <w:t xml:space="preserve"> </w:t>
            </w:r>
            <w:r w:rsidR="004E324A" w:rsidRPr="00E67B5B">
              <w:rPr>
                <w:color w:val="000000"/>
                <w:sz w:val="22"/>
                <w:szCs w:val="22"/>
              </w:rPr>
              <w:t>им.В.А.</w:t>
            </w:r>
            <w:r w:rsidRPr="00E67B5B">
              <w:rPr>
                <w:color w:val="000000"/>
                <w:sz w:val="22"/>
                <w:szCs w:val="22"/>
              </w:rPr>
              <w:t>Алмазова</w:t>
            </w:r>
            <w:r w:rsidR="002F7358" w:rsidRPr="00E67B5B">
              <w:rPr>
                <w:color w:val="000000"/>
                <w:sz w:val="22"/>
                <w:szCs w:val="22"/>
              </w:rPr>
              <w:t>»</w:t>
            </w:r>
            <w:r w:rsidR="007251B1">
              <w:rPr>
                <w:color w:val="000000"/>
                <w:sz w:val="22"/>
                <w:szCs w:val="22"/>
              </w:rPr>
              <w:t xml:space="preserve"> </w:t>
            </w:r>
            <w:r w:rsidR="007251B1">
              <w:rPr>
                <w:color w:val="0D0D0D" w:themeColor="text1" w:themeTint="F2"/>
                <w:sz w:val="22"/>
                <w:szCs w:val="22"/>
              </w:rPr>
              <w:t>Министерства здравоохранения Российской Федерации</w:t>
            </w:r>
          </w:p>
        </w:tc>
        <w:tc>
          <w:tcPr>
            <w:tcW w:w="1659" w:type="dxa"/>
          </w:tcPr>
          <w:p w:rsidR="00E2565A" w:rsidRPr="00E67B5B" w:rsidRDefault="00E2565A" w:rsidP="004E324A">
            <w:pPr>
              <w:jc w:val="center"/>
              <w:rPr>
                <w:sz w:val="22"/>
                <w:szCs w:val="22"/>
              </w:rPr>
            </w:pPr>
            <w:r w:rsidRPr="00E67B5B">
              <w:rPr>
                <w:sz w:val="22"/>
                <w:szCs w:val="22"/>
              </w:rPr>
              <w:t>0</w:t>
            </w:r>
          </w:p>
        </w:tc>
        <w:tc>
          <w:tcPr>
            <w:tcW w:w="1861" w:type="dxa"/>
          </w:tcPr>
          <w:p w:rsidR="00E2565A" w:rsidRPr="00E67B5B" w:rsidRDefault="00E2565A" w:rsidP="004E324A">
            <w:pPr>
              <w:jc w:val="center"/>
              <w:rPr>
                <w:sz w:val="22"/>
                <w:szCs w:val="22"/>
              </w:rPr>
            </w:pPr>
            <w:r w:rsidRPr="00E67B5B">
              <w:rPr>
                <w:sz w:val="22"/>
                <w:szCs w:val="22"/>
              </w:rPr>
              <w:t>1</w:t>
            </w:r>
          </w:p>
        </w:tc>
        <w:tc>
          <w:tcPr>
            <w:tcW w:w="1861" w:type="dxa"/>
          </w:tcPr>
          <w:p w:rsidR="00E2565A" w:rsidRPr="00E67B5B" w:rsidRDefault="00E2565A" w:rsidP="004E324A">
            <w:pPr>
              <w:jc w:val="center"/>
              <w:rPr>
                <w:sz w:val="22"/>
                <w:szCs w:val="22"/>
              </w:rPr>
            </w:pPr>
            <w:r w:rsidRPr="00E67B5B">
              <w:rPr>
                <w:sz w:val="22"/>
                <w:szCs w:val="22"/>
              </w:rPr>
              <w:t>5</w:t>
            </w:r>
          </w:p>
        </w:tc>
      </w:tr>
      <w:tr w:rsidR="00E2565A" w:rsidRPr="00E67B5B" w:rsidTr="00DF1A6A">
        <w:trPr>
          <w:trHeight w:val="20"/>
        </w:trPr>
        <w:tc>
          <w:tcPr>
            <w:tcW w:w="562" w:type="dxa"/>
          </w:tcPr>
          <w:p w:rsidR="00E2565A" w:rsidRPr="00E67B5B" w:rsidRDefault="00887958" w:rsidP="004E324A">
            <w:pPr>
              <w:jc w:val="center"/>
              <w:rPr>
                <w:color w:val="000000"/>
                <w:sz w:val="22"/>
                <w:szCs w:val="22"/>
              </w:rPr>
            </w:pPr>
            <w:r w:rsidRPr="00E67B5B">
              <w:rPr>
                <w:color w:val="000000"/>
                <w:sz w:val="22"/>
                <w:szCs w:val="22"/>
              </w:rPr>
              <w:t>15</w:t>
            </w:r>
            <w:r w:rsidR="00A33AEC" w:rsidRPr="00E67B5B">
              <w:rPr>
                <w:color w:val="000000"/>
                <w:sz w:val="22"/>
                <w:szCs w:val="22"/>
              </w:rPr>
              <w:t>.</w:t>
            </w:r>
          </w:p>
        </w:tc>
        <w:tc>
          <w:tcPr>
            <w:tcW w:w="4253" w:type="dxa"/>
          </w:tcPr>
          <w:p w:rsidR="00E2565A" w:rsidRPr="00E67B5B" w:rsidRDefault="00B83980" w:rsidP="00892863">
            <w:pPr>
              <w:jc w:val="both"/>
              <w:rPr>
                <w:color w:val="000000"/>
                <w:sz w:val="22"/>
                <w:szCs w:val="22"/>
              </w:rPr>
            </w:pPr>
            <w:r w:rsidRPr="00E67B5B">
              <w:rPr>
                <w:color w:val="000000"/>
                <w:sz w:val="22"/>
                <w:szCs w:val="22"/>
              </w:rPr>
              <w:t xml:space="preserve">ФГБУ </w:t>
            </w:r>
            <w:r w:rsidR="002F7358" w:rsidRPr="00E67B5B">
              <w:rPr>
                <w:color w:val="000000"/>
                <w:sz w:val="22"/>
                <w:szCs w:val="22"/>
              </w:rPr>
              <w:t>«</w:t>
            </w:r>
            <w:r w:rsidR="00892863">
              <w:rPr>
                <w:sz w:val="22"/>
                <w:szCs w:val="22"/>
              </w:rPr>
              <w:t>Национальный медицинский исследовательский центр</w:t>
            </w:r>
            <w:r w:rsidR="00892863">
              <w:rPr>
                <w:color w:val="000000"/>
                <w:sz w:val="22"/>
                <w:szCs w:val="22"/>
              </w:rPr>
              <w:t xml:space="preserve"> </w:t>
            </w:r>
            <w:r w:rsidR="00E2565A" w:rsidRPr="00E67B5B">
              <w:rPr>
                <w:color w:val="000000"/>
                <w:sz w:val="22"/>
                <w:szCs w:val="22"/>
              </w:rPr>
              <w:t>колопроктологии им.А.Н.Рыжих</w:t>
            </w:r>
            <w:r w:rsidR="002F7358" w:rsidRPr="00E67B5B">
              <w:rPr>
                <w:color w:val="000000"/>
                <w:sz w:val="22"/>
                <w:szCs w:val="22"/>
              </w:rPr>
              <w:t>»</w:t>
            </w:r>
            <w:r w:rsidR="007251B1">
              <w:rPr>
                <w:color w:val="000000"/>
                <w:sz w:val="22"/>
                <w:szCs w:val="22"/>
              </w:rPr>
              <w:t xml:space="preserve"> </w:t>
            </w:r>
            <w:r w:rsidR="007251B1">
              <w:rPr>
                <w:color w:val="0D0D0D" w:themeColor="text1" w:themeTint="F2"/>
                <w:sz w:val="22"/>
                <w:szCs w:val="22"/>
              </w:rPr>
              <w:t>Министерства здравоохранения Российской Федерации</w:t>
            </w:r>
          </w:p>
        </w:tc>
        <w:tc>
          <w:tcPr>
            <w:tcW w:w="1659" w:type="dxa"/>
          </w:tcPr>
          <w:p w:rsidR="00E2565A" w:rsidRPr="00E67B5B" w:rsidRDefault="00E2565A" w:rsidP="004E324A">
            <w:pPr>
              <w:jc w:val="center"/>
              <w:rPr>
                <w:sz w:val="22"/>
                <w:szCs w:val="22"/>
              </w:rPr>
            </w:pPr>
            <w:r w:rsidRPr="00E67B5B">
              <w:rPr>
                <w:sz w:val="22"/>
                <w:szCs w:val="22"/>
              </w:rPr>
              <w:t>2</w:t>
            </w:r>
          </w:p>
        </w:tc>
        <w:tc>
          <w:tcPr>
            <w:tcW w:w="1861" w:type="dxa"/>
          </w:tcPr>
          <w:p w:rsidR="00E2565A" w:rsidRPr="00E67B5B" w:rsidRDefault="00E2565A" w:rsidP="004E324A">
            <w:pPr>
              <w:jc w:val="center"/>
              <w:rPr>
                <w:sz w:val="22"/>
                <w:szCs w:val="22"/>
              </w:rPr>
            </w:pPr>
            <w:r w:rsidRPr="00E67B5B">
              <w:rPr>
                <w:sz w:val="22"/>
                <w:szCs w:val="22"/>
              </w:rPr>
              <w:t>0</w:t>
            </w:r>
          </w:p>
        </w:tc>
        <w:tc>
          <w:tcPr>
            <w:tcW w:w="1861" w:type="dxa"/>
          </w:tcPr>
          <w:p w:rsidR="00E2565A" w:rsidRPr="00E67B5B" w:rsidRDefault="00E2565A" w:rsidP="004E324A">
            <w:pPr>
              <w:jc w:val="center"/>
              <w:rPr>
                <w:sz w:val="22"/>
                <w:szCs w:val="22"/>
              </w:rPr>
            </w:pPr>
            <w:r w:rsidRPr="00E67B5B">
              <w:rPr>
                <w:sz w:val="22"/>
                <w:szCs w:val="22"/>
              </w:rPr>
              <w:t>0</w:t>
            </w:r>
          </w:p>
        </w:tc>
      </w:tr>
      <w:tr w:rsidR="00E2565A" w:rsidRPr="00E67B5B" w:rsidTr="00DF1A6A">
        <w:trPr>
          <w:trHeight w:val="20"/>
        </w:trPr>
        <w:tc>
          <w:tcPr>
            <w:tcW w:w="562" w:type="dxa"/>
          </w:tcPr>
          <w:p w:rsidR="00E2565A" w:rsidRPr="00E67B5B" w:rsidRDefault="00887958" w:rsidP="004E324A">
            <w:pPr>
              <w:jc w:val="center"/>
              <w:rPr>
                <w:color w:val="000000"/>
                <w:sz w:val="22"/>
                <w:szCs w:val="22"/>
              </w:rPr>
            </w:pPr>
            <w:r w:rsidRPr="00E67B5B">
              <w:rPr>
                <w:color w:val="000000"/>
                <w:sz w:val="22"/>
                <w:szCs w:val="22"/>
              </w:rPr>
              <w:t>16</w:t>
            </w:r>
            <w:r w:rsidR="00A33AEC" w:rsidRPr="00E67B5B">
              <w:rPr>
                <w:color w:val="000000"/>
                <w:sz w:val="22"/>
                <w:szCs w:val="22"/>
              </w:rPr>
              <w:t>.</w:t>
            </w:r>
          </w:p>
        </w:tc>
        <w:tc>
          <w:tcPr>
            <w:tcW w:w="4253" w:type="dxa"/>
          </w:tcPr>
          <w:p w:rsidR="00E2565A" w:rsidRPr="00E67B5B" w:rsidRDefault="00E2565A" w:rsidP="00892863">
            <w:pPr>
              <w:jc w:val="both"/>
              <w:rPr>
                <w:color w:val="000000"/>
                <w:sz w:val="22"/>
                <w:szCs w:val="22"/>
              </w:rPr>
            </w:pPr>
            <w:r w:rsidRPr="00E67B5B">
              <w:rPr>
                <w:color w:val="000000"/>
                <w:sz w:val="22"/>
                <w:szCs w:val="22"/>
              </w:rPr>
              <w:t xml:space="preserve">ФГБУ </w:t>
            </w:r>
            <w:r w:rsidR="00DF1A6A" w:rsidRPr="00E67B5B">
              <w:rPr>
                <w:color w:val="000000"/>
                <w:sz w:val="22"/>
                <w:szCs w:val="22"/>
              </w:rPr>
              <w:t>«</w:t>
            </w:r>
            <w:r w:rsidR="00892863">
              <w:rPr>
                <w:sz w:val="22"/>
                <w:szCs w:val="22"/>
              </w:rPr>
              <w:t>Национальный медицинский исследовательский центр</w:t>
            </w:r>
            <w:r w:rsidR="00892863">
              <w:rPr>
                <w:color w:val="000000"/>
                <w:sz w:val="22"/>
                <w:szCs w:val="22"/>
              </w:rPr>
              <w:t xml:space="preserve"> </w:t>
            </w:r>
            <w:r w:rsidR="007251B1">
              <w:rPr>
                <w:color w:val="000000"/>
                <w:sz w:val="22"/>
                <w:szCs w:val="22"/>
              </w:rPr>
              <w:t>оториноларингологии</w:t>
            </w:r>
            <w:r w:rsidRPr="00E67B5B">
              <w:rPr>
                <w:color w:val="000000"/>
                <w:sz w:val="22"/>
                <w:szCs w:val="22"/>
              </w:rPr>
              <w:t xml:space="preserve"> </w:t>
            </w:r>
            <w:r w:rsidR="00FF0BC2" w:rsidRPr="00E67B5B">
              <w:rPr>
                <w:color w:val="000000"/>
                <w:sz w:val="22"/>
                <w:szCs w:val="22"/>
              </w:rPr>
              <w:t>Ф</w:t>
            </w:r>
            <w:r w:rsidR="00DF1A6A" w:rsidRPr="00E67B5B">
              <w:rPr>
                <w:color w:val="000000"/>
                <w:sz w:val="22"/>
                <w:szCs w:val="22"/>
              </w:rPr>
              <w:t>едерального медико-биологического агентства</w:t>
            </w:r>
            <w:r w:rsidR="007251B1">
              <w:rPr>
                <w:color w:val="000000"/>
                <w:sz w:val="22"/>
                <w:szCs w:val="22"/>
              </w:rPr>
              <w:t>»</w:t>
            </w:r>
            <w:r w:rsidR="00DF1A6A" w:rsidRPr="00E67B5B">
              <w:rPr>
                <w:color w:val="000000"/>
                <w:sz w:val="22"/>
                <w:szCs w:val="22"/>
              </w:rPr>
              <w:t xml:space="preserve"> </w:t>
            </w:r>
            <w:r w:rsidRPr="00E67B5B">
              <w:rPr>
                <w:color w:val="000000"/>
                <w:sz w:val="22"/>
                <w:szCs w:val="22"/>
              </w:rPr>
              <w:t xml:space="preserve"> </w:t>
            </w:r>
          </w:p>
        </w:tc>
        <w:tc>
          <w:tcPr>
            <w:tcW w:w="1659" w:type="dxa"/>
          </w:tcPr>
          <w:p w:rsidR="00E2565A" w:rsidRPr="00E67B5B" w:rsidRDefault="00E2565A" w:rsidP="004E324A">
            <w:pPr>
              <w:jc w:val="center"/>
              <w:rPr>
                <w:sz w:val="22"/>
                <w:szCs w:val="22"/>
              </w:rPr>
            </w:pPr>
            <w:r w:rsidRPr="00E67B5B">
              <w:rPr>
                <w:sz w:val="22"/>
                <w:szCs w:val="22"/>
              </w:rPr>
              <w:t>1</w:t>
            </w:r>
          </w:p>
        </w:tc>
        <w:tc>
          <w:tcPr>
            <w:tcW w:w="1861" w:type="dxa"/>
          </w:tcPr>
          <w:p w:rsidR="00E2565A" w:rsidRPr="00E67B5B" w:rsidRDefault="00E2565A" w:rsidP="004E324A">
            <w:pPr>
              <w:jc w:val="center"/>
              <w:rPr>
                <w:sz w:val="22"/>
                <w:szCs w:val="22"/>
              </w:rPr>
            </w:pPr>
            <w:r w:rsidRPr="00E67B5B">
              <w:rPr>
                <w:sz w:val="22"/>
                <w:szCs w:val="22"/>
              </w:rPr>
              <w:t>0</w:t>
            </w:r>
          </w:p>
        </w:tc>
        <w:tc>
          <w:tcPr>
            <w:tcW w:w="1861" w:type="dxa"/>
          </w:tcPr>
          <w:p w:rsidR="00E2565A" w:rsidRPr="00E67B5B" w:rsidRDefault="00E2565A" w:rsidP="004E324A">
            <w:pPr>
              <w:jc w:val="center"/>
              <w:rPr>
                <w:sz w:val="22"/>
                <w:szCs w:val="22"/>
              </w:rPr>
            </w:pPr>
            <w:r w:rsidRPr="00E67B5B">
              <w:rPr>
                <w:sz w:val="22"/>
                <w:szCs w:val="22"/>
              </w:rPr>
              <w:t>0</w:t>
            </w:r>
          </w:p>
        </w:tc>
      </w:tr>
    </w:tbl>
    <w:p w:rsidR="004E324A" w:rsidRPr="00E67B5B" w:rsidRDefault="004E324A" w:rsidP="00CB2704">
      <w:pPr>
        <w:ind w:left="8508"/>
        <w:jc w:val="right"/>
        <w:rPr>
          <w:sz w:val="28"/>
          <w:szCs w:val="28"/>
        </w:rPr>
      </w:pPr>
    </w:p>
    <w:p w:rsidR="00B33BBD" w:rsidRPr="00E67B5B" w:rsidRDefault="00051038" w:rsidP="00CB2704">
      <w:pPr>
        <w:ind w:left="8508"/>
        <w:jc w:val="right"/>
        <w:rPr>
          <w:sz w:val="28"/>
          <w:szCs w:val="28"/>
        </w:rPr>
      </w:pPr>
      <w:r w:rsidRPr="00E67B5B">
        <w:rPr>
          <w:sz w:val="28"/>
          <w:szCs w:val="28"/>
        </w:rPr>
        <w:t xml:space="preserve">Таблица </w:t>
      </w:r>
      <w:r w:rsidR="00DB723C" w:rsidRPr="00E67B5B">
        <w:rPr>
          <w:sz w:val="28"/>
          <w:szCs w:val="28"/>
        </w:rPr>
        <w:t>27</w:t>
      </w:r>
      <w:r w:rsidRPr="00E67B5B">
        <w:rPr>
          <w:sz w:val="28"/>
          <w:szCs w:val="28"/>
        </w:rPr>
        <w:t xml:space="preserve"> </w:t>
      </w:r>
    </w:p>
    <w:p w:rsidR="00051038" w:rsidRPr="00E67B5B" w:rsidRDefault="00C44E65" w:rsidP="00C2035B">
      <w:pPr>
        <w:jc w:val="center"/>
        <w:rPr>
          <w:sz w:val="28"/>
          <w:szCs w:val="28"/>
        </w:rPr>
      </w:pPr>
      <w:r>
        <w:rPr>
          <w:color w:val="0D0D0D" w:themeColor="text1" w:themeTint="F2"/>
          <w:sz w:val="28"/>
          <w:szCs w:val="28"/>
        </w:rPr>
        <w:t xml:space="preserve">Телемедицинские консультации </w:t>
      </w:r>
      <w:r w:rsidR="00051038" w:rsidRPr="00E67B5B">
        <w:rPr>
          <w:sz w:val="28"/>
          <w:szCs w:val="28"/>
        </w:rPr>
        <w:t xml:space="preserve">между </w:t>
      </w:r>
      <w:r w:rsidR="007D29A9" w:rsidRPr="00E67B5B">
        <w:rPr>
          <w:sz w:val="28"/>
          <w:szCs w:val="28"/>
        </w:rPr>
        <w:t>ГАУЗ «РКОД МЗ РТ им.</w:t>
      </w:r>
      <w:r w:rsidR="00947DC4" w:rsidRPr="00E67B5B">
        <w:rPr>
          <w:sz w:val="28"/>
          <w:szCs w:val="28"/>
        </w:rPr>
        <w:t>проф.М.З.Сигала»</w:t>
      </w:r>
      <w:r w:rsidR="00051038" w:rsidRPr="00E67B5B">
        <w:rPr>
          <w:sz w:val="28"/>
          <w:szCs w:val="28"/>
        </w:rPr>
        <w:t xml:space="preserve"> и медицинскими организациями </w:t>
      </w:r>
      <w:r w:rsidR="00947DC4" w:rsidRPr="00E67B5B">
        <w:rPr>
          <w:sz w:val="28"/>
          <w:szCs w:val="28"/>
        </w:rPr>
        <w:t>Республики Татарстан</w:t>
      </w:r>
    </w:p>
    <w:p w:rsidR="00051038" w:rsidRDefault="00051038" w:rsidP="00C2035B">
      <w:pPr>
        <w:jc w:val="center"/>
        <w:rPr>
          <w:b/>
        </w:rPr>
      </w:pPr>
    </w:p>
    <w:tbl>
      <w:tblPr>
        <w:tblStyle w:val="af1"/>
        <w:tblW w:w="10201" w:type="dxa"/>
        <w:tblLook w:val="04A0" w:firstRow="1" w:lastRow="0" w:firstColumn="1" w:lastColumn="0" w:noHBand="0" w:noVBand="1"/>
      </w:tblPr>
      <w:tblGrid>
        <w:gridCol w:w="562"/>
        <w:gridCol w:w="5954"/>
        <w:gridCol w:w="1276"/>
        <w:gridCol w:w="992"/>
        <w:gridCol w:w="1417"/>
      </w:tblGrid>
      <w:tr w:rsidR="00021F5C" w:rsidRPr="00E67B5B" w:rsidTr="009549EE">
        <w:trPr>
          <w:trHeight w:val="20"/>
        </w:trPr>
        <w:tc>
          <w:tcPr>
            <w:tcW w:w="562" w:type="dxa"/>
            <w:vMerge w:val="restart"/>
            <w:tcBorders>
              <w:bottom w:val="nil"/>
            </w:tcBorders>
          </w:tcPr>
          <w:p w:rsidR="00021F5C" w:rsidRPr="00E67B5B" w:rsidRDefault="00021F5C" w:rsidP="009549EE">
            <w:pPr>
              <w:jc w:val="center"/>
            </w:pPr>
            <w:r w:rsidRPr="00E67B5B">
              <w:t>№ п/п</w:t>
            </w:r>
          </w:p>
        </w:tc>
        <w:tc>
          <w:tcPr>
            <w:tcW w:w="5954" w:type="dxa"/>
            <w:vMerge w:val="restart"/>
            <w:tcBorders>
              <w:bottom w:val="nil"/>
            </w:tcBorders>
          </w:tcPr>
          <w:p w:rsidR="00021F5C" w:rsidRPr="00E67B5B" w:rsidRDefault="00021F5C" w:rsidP="009549EE">
            <w:pPr>
              <w:jc w:val="center"/>
            </w:pPr>
            <w:r w:rsidRPr="00E67B5B">
              <w:t>Наименование медицинской организации Республики Татарстан</w:t>
            </w:r>
          </w:p>
        </w:tc>
        <w:tc>
          <w:tcPr>
            <w:tcW w:w="3685" w:type="dxa"/>
            <w:gridSpan w:val="3"/>
            <w:tcBorders>
              <w:bottom w:val="single" w:sz="4" w:space="0" w:color="auto"/>
            </w:tcBorders>
          </w:tcPr>
          <w:p w:rsidR="00021F5C" w:rsidRPr="00E67B5B" w:rsidRDefault="00021F5C" w:rsidP="009549EE">
            <w:pPr>
              <w:jc w:val="center"/>
            </w:pPr>
            <w:r w:rsidRPr="00E67B5B">
              <w:t xml:space="preserve">Количество </w:t>
            </w:r>
            <w:r>
              <w:rPr>
                <w:color w:val="0D0D0D" w:themeColor="text1" w:themeTint="F2"/>
                <w:sz w:val="22"/>
                <w:szCs w:val="22"/>
              </w:rPr>
              <w:t xml:space="preserve">телемедицинских консультаций </w:t>
            </w:r>
          </w:p>
        </w:tc>
      </w:tr>
      <w:tr w:rsidR="00021F5C" w:rsidRPr="00E67B5B" w:rsidTr="00021F5C">
        <w:trPr>
          <w:trHeight w:val="20"/>
        </w:trPr>
        <w:tc>
          <w:tcPr>
            <w:tcW w:w="562" w:type="dxa"/>
            <w:vMerge/>
            <w:tcBorders>
              <w:bottom w:val="single" w:sz="4" w:space="0" w:color="auto"/>
            </w:tcBorders>
          </w:tcPr>
          <w:p w:rsidR="00021F5C" w:rsidRPr="00E67B5B" w:rsidRDefault="00021F5C" w:rsidP="009549EE">
            <w:pPr>
              <w:jc w:val="center"/>
            </w:pPr>
          </w:p>
        </w:tc>
        <w:tc>
          <w:tcPr>
            <w:tcW w:w="5954" w:type="dxa"/>
            <w:vMerge/>
            <w:tcBorders>
              <w:bottom w:val="single" w:sz="4" w:space="0" w:color="auto"/>
            </w:tcBorders>
          </w:tcPr>
          <w:p w:rsidR="00021F5C" w:rsidRPr="00E67B5B" w:rsidRDefault="00021F5C" w:rsidP="009549EE">
            <w:pPr>
              <w:jc w:val="center"/>
            </w:pPr>
          </w:p>
        </w:tc>
        <w:tc>
          <w:tcPr>
            <w:tcW w:w="1276" w:type="dxa"/>
            <w:tcBorders>
              <w:bottom w:val="single" w:sz="4" w:space="0" w:color="auto"/>
            </w:tcBorders>
          </w:tcPr>
          <w:p w:rsidR="00021F5C" w:rsidRPr="00E67B5B" w:rsidRDefault="00021F5C" w:rsidP="009549EE">
            <w:pPr>
              <w:jc w:val="center"/>
            </w:pPr>
            <w:r w:rsidRPr="00E67B5B">
              <w:t>2023 г.</w:t>
            </w:r>
          </w:p>
        </w:tc>
        <w:tc>
          <w:tcPr>
            <w:tcW w:w="992" w:type="dxa"/>
            <w:tcBorders>
              <w:bottom w:val="single" w:sz="4" w:space="0" w:color="auto"/>
            </w:tcBorders>
          </w:tcPr>
          <w:p w:rsidR="00021F5C" w:rsidRPr="00E67B5B" w:rsidRDefault="00021F5C" w:rsidP="009549EE">
            <w:pPr>
              <w:jc w:val="center"/>
            </w:pPr>
            <w:r w:rsidRPr="00E67B5B">
              <w:t>2024 г.</w:t>
            </w:r>
          </w:p>
        </w:tc>
        <w:tc>
          <w:tcPr>
            <w:tcW w:w="1417" w:type="dxa"/>
            <w:tcBorders>
              <w:bottom w:val="single" w:sz="4" w:space="0" w:color="auto"/>
            </w:tcBorders>
          </w:tcPr>
          <w:p w:rsidR="00021F5C" w:rsidRPr="00E67B5B" w:rsidRDefault="00021F5C" w:rsidP="009549EE">
            <w:pPr>
              <w:jc w:val="center"/>
            </w:pPr>
            <w:r w:rsidRPr="00E67B5B">
              <w:t>2025 г.</w:t>
            </w:r>
          </w:p>
        </w:tc>
      </w:tr>
      <w:tr w:rsidR="003028B5" w:rsidRPr="00091230" w:rsidTr="004E324A">
        <w:trPr>
          <w:trHeight w:val="20"/>
        </w:trPr>
        <w:tc>
          <w:tcPr>
            <w:tcW w:w="562" w:type="dxa"/>
          </w:tcPr>
          <w:p w:rsidR="003028B5" w:rsidRPr="00091230" w:rsidRDefault="003028B5" w:rsidP="003028B5">
            <w:pPr>
              <w:jc w:val="center"/>
            </w:pPr>
            <w:r w:rsidRPr="00091230">
              <w:t>1</w:t>
            </w:r>
            <w:r>
              <w:t>.</w:t>
            </w:r>
          </w:p>
        </w:tc>
        <w:tc>
          <w:tcPr>
            <w:tcW w:w="5954" w:type="dxa"/>
          </w:tcPr>
          <w:p w:rsidR="003028B5" w:rsidRPr="00091230" w:rsidRDefault="003028B5" w:rsidP="003028B5">
            <w:pPr>
              <w:jc w:val="both"/>
            </w:pPr>
            <w:r>
              <w:rPr>
                <w:color w:val="0D0D0D" w:themeColor="text1" w:themeTint="F2"/>
              </w:rPr>
              <w:t>ГАУЗ «Республиканская клиническая офтальмологическая больница Министерства здравоохранения Республики Татарстан имени профессора Е.В.Адамюка»</w:t>
            </w:r>
          </w:p>
        </w:tc>
        <w:tc>
          <w:tcPr>
            <w:tcW w:w="1276" w:type="dxa"/>
          </w:tcPr>
          <w:p w:rsidR="003028B5" w:rsidRPr="00091230" w:rsidRDefault="003028B5" w:rsidP="003028B5">
            <w:pPr>
              <w:jc w:val="center"/>
            </w:pPr>
            <w:r w:rsidRPr="00091230">
              <w:t>2</w:t>
            </w:r>
          </w:p>
        </w:tc>
        <w:tc>
          <w:tcPr>
            <w:tcW w:w="992" w:type="dxa"/>
          </w:tcPr>
          <w:p w:rsidR="003028B5" w:rsidRPr="00091230" w:rsidRDefault="003028B5" w:rsidP="003028B5">
            <w:pPr>
              <w:jc w:val="center"/>
            </w:pPr>
            <w:r w:rsidRPr="00091230">
              <w:t>2</w:t>
            </w:r>
          </w:p>
        </w:tc>
        <w:tc>
          <w:tcPr>
            <w:tcW w:w="1417" w:type="dxa"/>
          </w:tcPr>
          <w:p w:rsidR="003028B5" w:rsidRPr="00091230" w:rsidRDefault="003028B5" w:rsidP="003028B5">
            <w:pPr>
              <w:jc w:val="center"/>
            </w:pPr>
            <w:r>
              <w:t>2</w:t>
            </w:r>
          </w:p>
        </w:tc>
      </w:tr>
      <w:tr w:rsidR="003028B5" w:rsidRPr="00091230" w:rsidTr="004E324A">
        <w:trPr>
          <w:trHeight w:val="20"/>
        </w:trPr>
        <w:tc>
          <w:tcPr>
            <w:tcW w:w="562" w:type="dxa"/>
          </w:tcPr>
          <w:p w:rsidR="003028B5" w:rsidRPr="00091230" w:rsidRDefault="003028B5" w:rsidP="003028B5">
            <w:pPr>
              <w:jc w:val="center"/>
            </w:pPr>
            <w:r w:rsidRPr="00091230">
              <w:t>2</w:t>
            </w:r>
            <w:r>
              <w:t>.</w:t>
            </w:r>
          </w:p>
        </w:tc>
        <w:tc>
          <w:tcPr>
            <w:tcW w:w="5954" w:type="dxa"/>
          </w:tcPr>
          <w:p w:rsidR="003028B5" w:rsidRPr="00091230" w:rsidRDefault="003028B5" w:rsidP="003028B5">
            <w:pPr>
              <w:jc w:val="both"/>
            </w:pPr>
            <w:r>
              <w:t>ГАУЗ «Республиканская клиническая инфекционная больница им.проф.А.Ф.Агафонова»</w:t>
            </w:r>
          </w:p>
        </w:tc>
        <w:tc>
          <w:tcPr>
            <w:tcW w:w="1276" w:type="dxa"/>
          </w:tcPr>
          <w:p w:rsidR="003028B5" w:rsidRPr="00091230" w:rsidRDefault="003028B5" w:rsidP="003028B5">
            <w:pPr>
              <w:jc w:val="center"/>
            </w:pPr>
            <w:r w:rsidRPr="00091230">
              <w:t>2</w:t>
            </w:r>
          </w:p>
        </w:tc>
        <w:tc>
          <w:tcPr>
            <w:tcW w:w="992" w:type="dxa"/>
          </w:tcPr>
          <w:p w:rsidR="003028B5" w:rsidRPr="00091230" w:rsidRDefault="003028B5" w:rsidP="003028B5">
            <w:pPr>
              <w:jc w:val="center"/>
            </w:pPr>
            <w:r w:rsidRPr="00091230">
              <w:t>5</w:t>
            </w:r>
          </w:p>
        </w:tc>
        <w:tc>
          <w:tcPr>
            <w:tcW w:w="1417" w:type="dxa"/>
          </w:tcPr>
          <w:p w:rsidR="003028B5" w:rsidRPr="00091230" w:rsidRDefault="003028B5" w:rsidP="003028B5">
            <w:pPr>
              <w:jc w:val="center"/>
            </w:pPr>
            <w:r>
              <w:t>4</w:t>
            </w:r>
          </w:p>
        </w:tc>
      </w:tr>
      <w:tr w:rsidR="003028B5" w:rsidRPr="00091230" w:rsidTr="004E324A">
        <w:trPr>
          <w:trHeight w:val="20"/>
        </w:trPr>
        <w:tc>
          <w:tcPr>
            <w:tcW w:w="562" w:type="dxa"/>
          </w:tcPr>
          <w:p w:rsidR="003028B5" w:rsidRPr="00091230" w:rsidRDefault="003028B5" w:rsidP="003028B5">
            <w:pPr>
              <w:jc w:val="center"/>
            </w:pPr>
            <w:r w:rsidRPr="00091230">
              <w:t>3</w:t>
            </w:r>
            <w:r>
              <w:t>.</w:t>
            </w:r>
          </w:p>
        </w:tc>
        <w:tc>
          <w:tcPr>
            <w:tcW w:w="5954" w:type="dxa"/>
          </w:tcPr>
          <w:p w:rsidR="003028B5" w:rsidRPr="005C348C" w:rsidRDefault="005C348C" w:rsidP="005C348C">
            <w:pPr>
              <w:jc w:val="both"/>
            </w:pPr>
            <w:r w:rsidRPr="005C348C">
              <w:t>Центр амбулаторной онкологической помощи</w:t>
            </w:r>
            <w:r w:rsidRPr="005C348C">
              <w:rPr>
                <w:color w:val="000000"/>
              </w:rPr>
              <w:t xml:space="preserve"> </w:t>
            </w:r>
            <w:r w:rsidR="003028B5" w:rsidRPr="005C348C">
              <w:rPr>
                <w:color w:val="000000"/>
              </w:rPr>
              <w:t xml:space="preserve">ГАУЗ «Нижнекамская центральная районная многопрофильная больница» </w:t>
            </w:r>
          </w:p>
        </w:tc>
        <w:tc>
          <w:tcPr>
            <w:tcW w:w="1276" w:type="dxa"/>
          </w:tcPr>
          <w:p w:rsidR="003028B5" w:rsidRPr="00091230" w:rsidRDefault="003028B5" w:rsidP="003028B5">
            <w:pPr>
              <w:jc w:val="center"/>
            </w:pPr>
            <w:r w:rsidRPr="00091230">
              <w:t>3</w:t>
            </w:r>
          </w:p>
        </w:tc>
        <w:tc>
          <w:tcPr>
            <w:tcW w:w="992" w:type="dxa"/>
          </w:tcPr>
          <w:p w:rsidR="003028B5" w:rsidRPr="00091230" w:rsidRDefault="003028B5" w:rsidP="003028B5">
            <w:pPr>
              <w:jc w:val="center"/>
            </w:pPr>
            <w:r w:rsidRPr="00091230">
              <w:t>10</w:t>
            </w:r>
          </w:p>
        </w:tc>
        <w:tc>
          <w:tcPr>
            <w:tcW w:w="1417" w:type="dxa"/>
          </w:tcPr>
          <w:p w:rsidR="003028B5" w:rsidRPr="00091230" w:rsidRDefault="003028B5" w:rsidP="003028B5">
            <w:pPr>
              <w:jc w:val="center"/>
            </w:pPr>
            <w:r>
              <w:t>15</w:t>
            </w:r>
          </w:p>
        </w:tc>
      </w:tr>
      <w:tr w:rsidR="003028B5" w:rsidRPr="00091230" w:rsidTr="004E324A">
        <w:trPr>
          <w:trHeight w:val="20"/>
        </w:trPr>
        <w:tc>
          <w:tcPr>
            <w:tcW w:w="562" w:type="dxa"/>
          </w:tcPr>
          <w:p w:rsidR="003028B5" w:rsidRPr="00091230" w:rsidRDefault="003028B5" w:rsidP="003028B5">
            <w:pPr>
              <w:jc w:val="center"/>
            </w:pPr>
            <w:r w:rsidRPr="00091230">
              <w:t>4</w:t>
            </w:r>
            <w:r>
              <w:t>.</w:t>
            </w:r>
          </w:p>
        </w:tc>
        <w:tc>
          <w:tcPr>
            <w:tcW w:w="5954" w:type="dxa"/>
          </w:tcPr>
          <w:p w:rsidR="003028B5" w:rsidRPr="00091230" w:rsidRDefault="005C348C" w:rsidP="005C348C">
            <w:pPr>
              <w:jc w:val="both"/>
            </w:pPr>
            <w:r>
              <w:t>Центр амбулаторной онкологической помощи</w:t>
            </w:r>
            <w:r>
              <w:rPr>
                <w:color w:val="000000"/>
              </w:rPr>
              <w:t xml:space="preserve"> </w:t>
            </w:r>
            <w:r w:rsidR="003028B5">
              <w:t>ГАУЗ «</w:t>
            </w:r>
            <w:r w:rsidR="003028B5" w:rsidRPr="00091230">
              <w:t>Зеленодольская ЦРБ</w:t>
            </w:r>
            <w:r w:rsidR="003028B5">
              <w:t>»</w:t>
            </w:r>
          </w:p>
        </w:tc>
        <w:tc>
          <w:tcPr>
            <w:tcW w:w="1276" w:type="dxa"/>
          </w:tcPr>
          <w:p w:rsidR="003028B5" w:rsidRPr="00091230" w:rsidRDefault="003028B5" w:rsidP="003028B5">
            <w:pPr>
              <w:jc w:val="center"/>
            </w:pPr>
            <w:r w:rsidRPr="00091230">
              <w:t>4</w:t>
            </w:r>
          </w:p>
        </w:tc>
        <w:tc>
          <w:tcPr>
            <w:tcW w:w="992" w:type="dxa"/>
          </w:tcPr>
          <w:p w:rsidR="003028B5" w:rsidRPr="00091230" w:rsidRDefault="003028B5" w:rsidP="003028B5">
            <w:pPr>
              <w:jc w:val="center"/>
            </w:pPr>
            <w:r w:rsidRPr="00091230">
              <w:t>12</w:t>
            </w:r>
          </w:p>
        </w:tc>
        <w:tc>
          <w:tcPr>
            <w:tcW w:w="1417" w:type="dxa"/>
          </w:tcPr>
          <w:p w:rsidR="003028B5" w:rsidRPr="00091230" w:rsidRDefault="003028B5" w:rsidP="003028B5">
            <w:pPr>
              <w:jc w:val="center"/>
            </w:pPr>
            <w:r>
              <w:t>13</w:t>
            </w:r>
          </w:p>
        </w:tc>
      </w:tr>
      <w:tr w:rsidR="003028B5" w:rsidRPr="00091230" w:rsidTr="004E324A">
        <w:trPr>
          <w:trHeight w:val="20"/>
        </w:trPr>
        <w:tc>
          <w:tcPr>
            <w:tcW w:w="562" w:type="dxa"/>
          </w:tcPr>
          <w:p w:rsidR="003028B5" w:rsidRPr="00091230" w:rsidRDefault="003028B5" w:rsidP="003028B5">
            <w:pPr>
              <w:jc w:val="center"/>
            </w:pPr>
            <w:r w:rsidRPr="00091230">
              <w:t>5</w:t>
            </w:r>
            <w:r>
              <w:t>.</w:t>
            </w:r>
          </w:p>
        </w:tc>
        <w:tc>
          <w:tcPr>
            <w:tcW w:w="5954" w:type="dxa"/>
          </w:tcPr>
          <w:p w:rsidR="003028B5" w:rsidRPr="00091230" w:rsidRDefault="003028B5" w:rsidP="003028B5">
            <w:pPr>
              <w:jc w:val="both"/>
            </w:pPr>
            <w:r>
              <w:t>ГАУЗ «</w:t>
            </w:r>
            <w:r w:rsidRPr="00091230">
              <w:t>Новошешминская ЦРБ</w:t>
            </w:r>
            <w:r>
              <w:t>»</w:t>
            </w:r>
          </w:p>
        </w:tc>
        <w:tc>
          <w:tcPr>
            <w:tcW w:w="1276" w:type="dxa"/>
          </w:tcPr>
          <w:p w:rsidR="003028B5" w:rsidRPr="00091230" w:rsidRDefault="003028B5" w:rsidP="003028B5">
            <w:pPr>
              <w:jc w:val="center"/>
            </w:pPr>
            <w:r w:rsidRPr="00091230">
              <w:t>2</w:t>
            </w:r>
          </w:p>
        </w:tc>
        <w:tc>
          <w:tcPr>
            <w:tcW w:w="992" w:type="dxa"/>
          </w:tcPr>
          <w:p w:rsidR="003028B5" w:rsidRPr="00091230" w:rsidRDefault="003028B5" w:rsidP="003028B5">
            <w:pPr>
              <w:jc w:val="center"/>
            </w:pPr>
            <w:r w:rsidRPr="00091230">
              <w:t>7</w:t>
            </w:r>
          </w:p>
        </w:tc>
        <w:tc>
          <w:tcPr>
            <w:tcW w:w="1417" w:type="dxa"/>
          </w:tcPr>
          <w:p w:rsidR="003028B5" w:rsidRPr="00091230" w:rsidRDefault="003028B5" w:rsidP="003028B5">
            <w:pPr>
              <w:jc w:val="center"/>
            </w:pPr>
            <w:r>
              <w:t>8</w:t>
            </w:r>
          </w:p>
        </w:tc>
      </w:tr>
      <w:tr w:rsidR="003028B5" w:rsidRPr="00091230" w:rsidTr="004E324A">
        <w:trPr>
          <w:trHeight w:val="20"/>
        </w:trPr>
        <w:tc>
          <w:tcPr>
            <w:tcW w:w="562" w:type="dxa"/>
          </w:tcPr>
          <w:p w:rsidR="003028B5" w:rsidRPr="00091230" w:rsidRDefault="003028B5" w:rsidP="003028B5">
            <w:pPr>
              <w:jc w:val="center"/>
            </w:pPr>
            <w:r w:rsidRPr="00091230">
              <w:t>6</w:t>
            </w:r>
            <w:r>
              <w:t>.</w:t>
            </w:r>
          </w:p>
        </w:tc>
        <w:tc>
          <w:tcPr>
            <w:tcW w:w="5954" w:type="dxa"/>
          </w:tcPr>
          <w:p w:rsidR="003028B5" w:rsidRPr="00091230" w:rsidRDefault="005C348C" w:rsidP="005C348C">
            <w:pPr>
              <w:jc w:val="both"/>
            </w:pPr>
            <w:r>
              <w:t>Центр амбулаторной онкологической помощи</w:t>
            </w:r>
            <w:r>
              <w:rPr>
                <w:color w:val="000000"/>
              </w:rPr>
              <w:t xml:space="preserve"> </w:t>
            </w:r>
            <w:r w:rsidR="003028B5">
              <w:t>ГАУЗ «</w:t>
            </w:r>
            <w:r w:rsidR="003028B5" w:rsidRPr="00091230">
              <w:t>Чистопольская ЦРБ</w:t>
            </w:r>
            <w:r w:rsidR="003028B5">
              <w:t>»</w:t>
            </w:r>
          </w:p>
        </w:tc>
        <w:tc>
          <w:tcPr>
            <w:tcW w:w="1276" w:type="dxa"/>
          </w:tcPr>
          <w:p w:rsidR="003028B5" w:rsidRPr="00091230" w:rsidRDefault="003028B5" w:rsidP="003028B5">
            <w:pPr>
              <w:jc w:val="center"/>
            </w:pPr>
            <w:r w:rsidRPr="00091230">
              <w:t>3</w:t>
            </w:r>
          </w:p>
        </w:tc>
        <w:tc>
          <w:tcPr>
            <w:tcW w:w="992" w:type="dxa"/>
          </w:tcPr>
          <w:p w:rsidR="003028B5" w:rsidRPr="00091230" w:rsidRDefault="003028B5" w:rsidP="003028B5">
            <w:pPr>
              <w:jc w:val="center"/>
            </w:pPr>
            <w:r w:rsidRPr="00091230">
              <w:t>6</w:t>
            </w:r>
          </w:p>
        </w:tc>
        <w:tc>
          <w:tcPr>
            <w:tcW w:w="1417" w:type="dxa"/>
          </w:tcPr>
          <w:p w:rsidR="003028B5" w:rsidRPr="00091230" w:rsidRDefault="003028B5" w:rsidP="003028B5">
            <w:pPr>
              <w:jc w:val="center"/>
            </w:pPr>
            <w:r>
              <w:t>7</w:t>
            </w:r>
          </w:p>
        </w:tc>
      </w:tr>
      <w:tr w:rsidR="003028B5" w:rsidRPr="00091230" w:rsidTr="004E324A">
        <w:trPr>
          <w:trHeight w:val="20"/>
        </w:trPr>
        <w:tc>
          <w:tcPr>
            <w:tcW w:w="562" w:type="dxa"/>
          </w:tcPr>
          <w:p w:rsidR="003028B5" w:rsidRPr="00091230" w:rsidRDefault="003028B5" w:rsidP="003028B5">
            <w:pPr>
              <w:jc w:val="center"/>
            </w:pPr>
            <w:r w:rsidRPr="00091230">
              <w:t>7</w:t>
            </w:r>
            <w:r>
              <w:t>.</w:t>
            </w:r>
          </w:p>
        </w:tc>
        <w:tc>
          <w:tcPr>
            <w:tcW w:w="5954" w:type="dxa"/>
          </w:tcPr>
          <w:p w:rsidR="003028B5" w:rsidRPr="00091230" w:rsidRDefault="003028B5" w:rsidP="003028B5">
            <w:pPr>
              <w:jc w:val="both"/>
            </w:pPr>
            <w:r>
              <w:t>ГАУЗ «</w:t>
            </w:r>
            <w:r w:rsidRPr="00091230">
              <w:t>Сабинская ЦРБ</w:t>
            </w:r>
            <w:r>
              <w:t>»</w:t>
            </w:r>
          </w:p>
        </w:tc>
        <w:tc>
          <w:tcPr>
            <w:tcW w:w="1276" w:type="dxa"/>
          </w:tcPr>
          <w:p w:rsidR="003028B5" w:rsidRPr="00091230" w:rsidRDefault="003028B5" w:rsidP="003028B5">
            <w:pPr>
              <w:jc w:val="center"/>
            </w:pPr>
            <w:r w:rsidRPr="00091230">
              <w:t>1</w:t>
            </w:r>
          </w:p>
        </w:tc>
        <w:tc>
          <w:tcPr>
            <w:tcW w:w="992" w:type="dxa"/>
          </w:tcPr>
          <w:p w:rsidR="003028B5" w:rsidRPr="00091230" w:rsidRDefault="003028B5" w:rsidP="003028B5">
            <w:pPr>
              <w:jc w:val="center"/>
            </w:pPr>
            <w:r w:rsidRPr="00091230">
              <w:t>3</w:t>
            </w:r>
          </w:p>
        </w:tc>
        <w:tc>
          <w:tcPr>
            <w:tcW w:w="1417" w:type="dxa"/>
          </w:tcPr>
          <w:p w:rsidR="003028B5" w:rsidRPr="00091230" w:rsidRDefault="003028B5" w:rsidP="003028B5">
            <w:pPr>
              <w:jc w:val="center"/>
            </w:pPr>
            <w:r>
              <w:t>5</w:t>
            </w:r>
          </w:p>
        </w:tc>
      </w:tr>
      <w:tr w:rsidR="003028B5" w:rsidRPr="00091230" w:rsidTr="004E324A">
        <w:trPr>
          <w:trHeight w:val="20"/>
        </w:trPr>
        <w:tc>
          <w:tcPr>
            <w:tcW w:w="562" w:type="dxa"/>
          </w:tcPr>
          <w:p w:rsidR="003028B5" w:rsidRPr="00091230" w:rsidRDefault="003028B5" w:rsidP="003028B5">
            <w:pPr>
              <w:jc w:val="center"/>
            </w:pPr>
            <w:r w:rsidRPr="00091230">
              <w:t>8</w:t>
            </w:r>
            <w:r>
              <w:t>.</w:t>
            </w:r>
          </w:p>
        </w:tc>
        <w:tc>
          <w:tcPr>
            <w:tcW w:w="5954" w:type="dxa"/>
          </w:tcPr>
          <w:p w:rsidR="003028B5" w:rsidRPr="00091230" w:rsidRDefault="003028B5" w:rsidP="003028B5">
            <w:pPr>
              <w:jc w:val="both"/>
            </w:pPr>
            <w:r>
              <w:t>ГАУЗ «</w:t>
            </w:r>
            <w:r w:rsidRPr="00091230">
              <w:t>Бугульминская ЦРБ</w:t>
            </w:r>
            <w:r>
              <w:t>»</w:t>
            </w:r>
          </w:p>
        </w:tc>
        <w:tc>
          <w:tcPr>
            <w:tcW w:w="1276" w:type="dxa"/>
          </w:tcPr>
          <w:p w:rsidR="003028B5" w:rsidRPr="00091230" w:rsidRDefault="003028B5" w:rsidP="003028B5">
            <w:pPr>
              <w:jc w:val="center"/>
            </w:pPr>
            <w:r w:rsidRPr="00091230">
              <w:t>2</w:t>
            </w:r>
          </w:p>
        </w:tc>
        <w:tc>
          <w:tcPr>
            <w:tcW w:w="992" w:type="dxa"/>
          </w:tcPr>
          <w:p w:rsidR="003028B5" w:rsidRPr="00091230" w:rsidRDefault="003028B5" w:rsidP="003028B5">
            <w:pPr>
              <w:jc w:val="center"/>
            </w:pPr>
            <w:r w:rsidRPr="00091230">
              <w:t>4</w:t>
            </w:r>
          </w:p>
        </w:tc>
        <w:tc>
          <w:tcPr>
            <w:tcW w:w="1417" w:type="dxa"/>
          </w:tcPr>
          <w:p w:rsidR="003028B5" w:rsidRPr="00091230" w:rsidRDefault="003028B5" w:rsidP="003028B5">
            <w:pPr>
              <w:jc w:val="center"/>
            </w:pPr>
            <w:r>
              <w:t>5</w:t>
            </w:r>
          </w:p>
        </w:tc>
      </w:tr>
      <w:tr w:rsidR="003028B5" w:rsidRPr="00091230" w:rsidTr="004E324A">
        <w:trPr>
          <w:trHeight w:val="20"/>
        </w:trPr>
        <w:tc>
          <w:tcPr>
            <w:tcW w:w="562" w:type="dxa"/>
          </w:tcPr>
          <w:p w:rsidR="003028B5" w:rsidRPr="00091230" w:rsidRDefault="003028B5" w:rsidP="003028B5">
            <w:pPr>
              <w:jc w:val="center"/>
            </w:pPr>
            <w:r w:rsidRPr="00091230">
              <w:t>9</w:t>
            </w:r>
            <w:r>
              <w:t>.</w:t>
            </w:r>
          </w:p>
        </w:tc>
        <w:tc>
          <w:tcPr>
            <w:tcW w:w="5954" w:type="dxa"/>
          </w:tcPr>
          <w:p w:rsidR="003028B5" w:rsidRPr="00091230" w:rsidRDefault="003028B5" w:rsidP="003028B5">
            <w:pPr>
              <w:jc w:val="both"/>
            </w:pPr>
            <w:r>
              <w:t>ГАУЗ «</w:t>
            </w:r>
            <w:r w:rsidRPr="00091230">
              <w:t>Апастовская ЦРБ</w:t>
            </w:r>
            <w:r>
              <w:t>»</w:t>
            </w:r>
          </w:p>
        </w:tc>
        <w:tc>
          <w:tcPr>
            <w:tcW w:w="1276" w:type="dxa"/>
          </w:tcPr>
          <w:p w:rsidR="003028B5" w:rsidRPr="00091230" w:rsidRDefault="003028B5" w:rsidP="003028B5">
            <w:pPr>
              <w:jc w:val="center"/>
            </w:pPr>
            <w:r w:rsidRPr="00091230">
              <w:t>2</w:t>
            </w:r>
          </w:p>
        </w:tc>
        <w:tc>
          <w:tcPr>
            <w:tcW w:w="992" w:type="dxa"/>
          </w:tcPr>
          <w:p w:rsidR="003028B5" w:rsidRPr="00091230" w:rsidRDefault="003028B5" w:rsidP="003028B5">
            <w:pPr>
              <w:jc w:val="center"/>
            </w:pPr>
            <w:r w:rsidRPr="00091230">
              <w:t>3</w:t>
            </w:r>
          </w:p>
        </w:tc>
        <w:tc>
          <w:tcPr>
            <w:tcW w:w="1417" w:type="dxa"/>
          </w:tcPr>
          <w:p w:rsidR="003028B5" w:rsidRPr="00091230" w:rsidRDefault="003028B5" w:rsidP="003028B5">
            <w:pPr>
              <w:jc w:val="center"/>
            </w:pPr>
            <w:r>
              <w:t>4</w:t>
            </w:r>
          </w:p>
        </w:tc>
      </w:tr>
    </w:tbl>
    <w:p w:rsidR="004E324A" w:rsidRPr="00472B03" w:rsidRDefault="004E324A" w:rsidP="00472B03">
      <w:pPr>
        <w:ind w:firstLine="708"/>
        <w:jc w:val="both"/>
        <w:rPr>
          <w:sz w:val="28"/>
          <w:szCs w:val="28"/>
        </w:rPr>
      </w:pPr>
    </w:p>
    <w:p w:rsidR="00C51C28" w:rsidRPr="00892863" w:rsidRDefault="00051038" w:rsidP="00892863">
      <w:pPr>
        <w:ind w:firstLine="709"/>
        <w:jc w:val="both"/>
        <w:rPr>
          <w:sz w:val="28"/>
          <w:szCs w:val="28"/>
        </w:rPr>
      </w:pPr>
      <w:r w:rsidRPr="00892863">
        <w:rPr>
          <w:sz w:val="28"/>
          <w:szCs w:val="28"/>
        </w:rPr>
        <w:t>Организация работы с референс-центрами иммуногистохимических, патоморфологических и лучевых методов.</w:t>
      </w:r>
    </w:p>
    <w:p w:rsidR="00051038" w:rsidRPr="00892863" w:rsidRDefault="00051038" w:rsidP="00892863">
      <w:pPr>
        <w:autoSpaceDE/>
        <w:autoSpaceDN/>
        <w:adjustRightInd/>
        <w:ind w:firstLine="709"/>
        <w:jc w:val="both"/>
        <w:rPr>
          <w:sz w:val="28"/>
          <w:szCs w:val="28"/>
        </w:rPr>
      </w:pPr>
      <w:r w:rsidRPr="00892863">
        <w:rPr>
          <w:sz w:val="28"/>
          <w:szCs w:val="28"/>
        </w:rPr>
        <w:t>Цифровизация гистосканов</w:t>
      </w:r>
      <w:r w:rsidR="007D29A9" w:rsidRPr="00892863">
        <w:rPr>
          <w:sz w:val="28"/>
          <w:szCs w:val="28"/>
        </w:rPr>
        <w:t xml:space="preserve"> и проведение дистанционной </w:t>
      </w:r>
      <w:r w:rsidR="00892863" w:rsidRPr="00892863">
        <w:rPr>
          <w:color w:val="0D0D0D" w:themeColor="text1" w:themeTint="F2"/>
          <w:sz w:val="28"/>
          <w:szCs w:val="28"/>
        </w:rPr>
        <w:t>телемедицинской консультации</w:t>
      </w:r>
      <w:r w:rsidR="00F90DF3" w:rsidRPr="00892863">
        <w:rPr>
          <w:sz w:val="28"/>
          <w:szCs w:val="28"/>
        </w:rPr>
        <w:t>.</w:t>
      </w:r>
    </w:p>
    <w:p w:rsidR="00051038" w:rsidRPr="00472B03" w:rsidRDefault="00C2035B" w:rsidP="00472B03">
      <w:pPr>
        <w:ind w:left="7799" w:firstLine="709"/>
        <w:jc w:val="right"/>
        <w:rPr>
          <w:sz w:val="28"/>
          <w:szCs w:val="28"/>
        </w:rPr>
      </w:pPr>
      <w:r w:rsidRPr="00472B03">
        <w:rPr>
          <w:sz w:val="28"/>
          <w:szCs w:val="28"/>
        </w:rPr>
        <w:t xml:space="preserve">Таблица </w:t>
      </w:r>
      <w:r w:rsidR="00C35DEB" w:rsidRPr="00472B03">
        <w:rPr>
          <w:sz w:val="28"/>
          <w:szCs w:val="28"/>
        </w:rPr>
        <w:t>27.1</w:t>
      </w:r>
    </w:p>
    <w:p w:rsidR="00C2035B" w:rsidRPr="00472B03" w:rsidRDefault="00C2035B" w:rsidP="00472B03">
      <w:pPr>
        <w:ind w:firstLine="708"/>
        <w:jc w:val="both"/>
        <w:rPr>
          <w:sz w:val="28"/>
          <w:szCs w:val="28"/>
        </w:rPr>
      </w:pPr>
    </w:p>
    <w:p w:rsidR="00051038" w:rsidRPr="00D04789" w:rsidRDefault="00051038" w:rsidP="00472B03">
      <w:pPr>
        <w:ind w:firstLine="142"/>
        <w:jc w:val="center"/>
        <w:rPr>
          <w:sz w:val="28"/>
          <w:szCs w:val="28"/>
        </w:rPr>
      </w:pPr>
      <w:r w:rsidRPr="00D04789">
        <w:rPr>
          <w:sz w:val="28"/>
          <w:szCs w:val="28"/>
        </w:rPr>
        <w:t xml:space="preserve">Пересмотр гистопрепаратов цифровых в ФГБУ </w:t>
      </w:r>
      <w:r w:rsidR="002F7358" w:rsidRPr="00D04789">
        <w:rPr>
          <w:sz w:val="28"/>
          <w:szCs w:val="28"/>
        </w:rPr>
        <w:t>«</w:t>
      </w:r>
      <w:r w:rsidR="006265EA" w:rsidRPr="00D04789">
        <w:rPr>
          <w:sz w:val="28"/>
          <w:szCs w:val="28"/>
        </w:rPr>
        <w:t>Национальный медицинский исследовательский центр</w:t>
      </w:r>
      <w:r w:rsidR="006265EA" w:rsidRPr="00D04789">
        <w:rPr>
          <w:color w:val="000000"/>
          <w:sz w:val="28"/>
          <w:szCs w:val="28"/>
        </w:rPr>
        <w:t xml:space="preserve"> </w:t>
      </w:r>
      <w:r w:rsidRPr="00D04789">
        <w:rPr>
          <w:sz w:val="28"/>
          <w:szCs w:val="28"/>
        </w:rPr>
        <w:t>радиологии</w:t>
      </w:r>
      <w:r w:rsidR="002F7358" w:rsidRPr="00D04789">
        <w:rPr>
          <w:sz w:val="28"/>
          <w:szCs w:val="28"/>
        </w:rPr>
        <w:t>»</w:t>
      </w:r>
      <w:r w:rsidR="00D04789" w:rsidRPr="00D04789">
        <w:rPr>
          <w:sz w:val="28"/>
          <w:szCs w:val="28"/>
        </w:rPr>
        <w:t xml:space="preserve"> </w:t>
      </w:r>
      <w:r w:rsidR="00D04789" w:rsidRPr="00D04789">
        <w:rPr>
          <w:color w:val="0D0D0D" w:themeColor="text1" w:themeTint="F2"/>
          <w:sz w:val="28"/>
          <w:szCs w:val="28"/>
        </w:rPr>
        <w:t>Министерства здравоохранения Российской Федерации</w:t>
      </w:r>
      <w:r w:rsidRPr="00D04789">
        <w:rPr>
          <w:sz w:val="28"/>
          <w:szCs w:val="28"/>
        </w:rPr>
        <w:t xml:space="preserve">, ФГБУ </w:t>
      </w:r>
      <w:r w:rsidR="002F7358" w:rsidRPr="00D04789">
        <w:rPr>
          <w:sz w:val="28"/>
          <w:szCs w:val="28"/>
        </w:rPr>
        <w:t>«</w:t>
      </w:r>
      <w:r w:rsidR="006265EA" w:rsidRPr="00D04789">
        <w:rPr>
          <w:sz w:val="28"/>
          <w:szCs w:val="28"/>
        </w:rPr>
        <w:t>Национальный медицинский исследовательский центр</w:t>
      </w:r>
      <w:r w:rsidR="006265EA" w:rsidRPr="00D04789">
        <w:rPr>
          <w:color w:val="000000"/>
          <w:sz w:val="28"/>
          <w:szCs w:val="28"/>
        </w:rPr>
        <w:t xml:space="preserve"> </w:t>
      </w:r>
      <w:r w:rsidRPr="00D04789">
        <w:rPr>
          <w:sz w:val="28"/>
          <w:szCs w:val="28"/>
        </w:rPr>
        <w:t>онкологии им.</w:t>
      </w:r>
      <w:r w:rsidR="001B222D" w:rsidRPr="00D04789">
        <w:rPr>
          <w:sz w:val="28"/>
          <w:szCs w:val="28"/>
        </w:rPr>
        <w:t>Н.Н.</w:t>
      </w:r>
      <w:r w:rsidRPr="00D04789">
        <w:rPr>
          <w:sz w:val="28"/>
          <w:szCs w:val="28"/>
        </w:rPr>
        <w:t>Блохина</w:t>
      </w:r>
      <w:r w:rsidR="002F7358" w:rsidRPr="00D04789">
        <w:rPr>
          <w:sz w:val="28"/>
          <w:szCs w:val="28"/>
        </w:rPr>
        <w:t>»</w:t>
      </w:r>
      <w:r w:rsidR="00D04789" w:rsidRPr="00D04789">
        <w:rPr>
          <w:sz w:val="28"/>
          <w:szCs w:val="28"/>
        </w:rPr>
        <w:t xml:space="preserve"> </w:t>
      </w:r>
      <w:r w:rsidR="00D04789" w:rsidRPr="00D04789">
        <w:rPr>
          <w:color w:val="0D0D0D" w:themeColor="text1" w:themeTint="F2"/>
          <w:sz w:val="28"/>
          <w:szCs w:val="28"/>
        </w:rPr>
        <w:t>Министерства здравоохранения Российской Федерации</w:t>
      </w:r>
    </w:p>
    <w:p w:rsidR="002C7092" w:rsidRPr="00D04789" w:rsidRDefault="002C7092" w:rsidP="00472B03">
      <w:pPr>
        <w:ind w:firstLine="708"/>
        <w:jc w:val="both"/>
        <w:rPr>
          <w:sz w:val="28"/>
          <w:szCs w:val="28"/>
        </w:rPr>
      </w:pPr>
    </w:p>
    <w:tbl>
      <w:tblPr>
        <w:tblStyle w:val="af1"/>
        <w:tblW w:w="10060" w:type="dxa"/>
        <w:tblCellMar>
          <w:top w:w="28" w:type="dxa"/>
          <w:bottom w:w="28" w:type="dxa"/>
        </w:tblCellMar>
        <w:tblLook w:val="04A0" w:firstRow="1" w:lastRow="0" w:firstColumn="1" w:lastColumn="0" w:noHBand="0" w:noVBand="1"/>
      </w:tblPr>
      <w:tblGrid>
        <w:gridCol w:w="4390"/>
        <w:gridCol w:w="1417"/>
        <w:gridCol w:w="1276"/>
        <w:gridCol w:w="1403"/>
        <w:gridCol w:w="1574"/>
      </w:tblGrid>
      <w:tr w:rsidR="007D29A9" w:rsidRPr="002B0885" w:rsidTr="00FF0BC2">
        <w:trPr>
          <w:trHeight w:val="509"/>
        </w:trPr>
        <w:tc>
          <w:tcPr>
            <w:tcW w:w="4390" w:type="dxa"/>
            <w:vMerge w:val="restart"/>
          </w:tcPr>
          <w:p w:rsidR="007D29A9" w:rsidRDefault="007D29A9" w:rsidP="007D29A9">
            <w:pPr>
              <w:jc w:val="center"/>
            </w:pPr>
            <w:r w:rsidRPr="002B0885">
              <w:t xml:space="preserve">Наименование </w:t>
            </w:r>
            <w:r>
              <w:t xml:space="preserve">медицинской </w:t>
            </w:r>
          </w:p>
          <w:p w:rsidR="007D29A9" w:rsidRPr="002B0885" w:rsidRDefault="007D29A9" w:rsidP="007D29A9">
            <w:pPr>
              <w:jc w:val="center"/>
            </w:pPr>
            <w:r>
              <w:t>организации</w:t>
            </w:r>
          </w:p>
        </w:tc>
        <w:tc>
          <w:tcPr>
            <w:tcW w:w="2693" w:type="dxa"/>
            <w:gridSpan w:val="2"/>
          </w:tcPr>
          <w:p w:rsidR="007D29A9" w:rsidRPr="008917B6" w:rsidRDefault="007D29A9" w:rsidP="001B222D">
            <w:pPr>
              <w:jc w:val="center"/>
            </w:pPr>
            <w:r w:rsidRPr="008917B6">
              <w:t>ФГБУ «</w:t>
            </w:r>
            <w:r w:rsidR="008917B6" w:rsidRPr="008917B6">
              <w:t xml:space="preserve">Национальный медицинский исследовательский центр </w:t>
            </w:r>
            <w:r w:rsidRPr="008917B6">
              <w:t>НМИЦ радиологии»</w:t>
            </w:r>
            <w:r w:rsidR="00D04789" w:rsidRPr="008917B6">
              <w:t xml:space="preserve"> </w:t>
            </w:r>
            <w:r w:rsidR="00D04789" w:rsidRPr="008917B6">
              <w:rPr>
                <w:color w:val="0D0D0D" w:themeColor="text1" w:themeTint="F2"/>
              </w:rPr>
              <w:t>Министерства здравоохранения Российской Федерации</w:t>
            </w:r>
          </w:p>
        </w:tc>
        <w:tc>
          <w:tcPr>
            <w:tcW w:w="2977" w:type="dxa"/>
            <w:gridSpan w:val="2"/>
          </w:tcPr>
          <w:p w:rsidR="007D29A9" w:rsidRPr="008917B6" w:rsidRDefault="007D29A9" w:rsidP="008917B6">
            <w:pPr>
              <w:jc w:val="center"/>
            </w:pPr>
            <w:r w:rsidRPr="008917B6">
              <w:t>ФГБУ «</w:t>
            </w:r>
            <w:r w:rsidR="008917B6" w:rsidRPr="008917B6">
              <w:t xml:space="preserve">Национальный медицинский исследовательский центр </w:t>
            </w:r>
            <w:r w:rsidRPr="008917B6">
              <w:t>онкологии им.Н.Н.Блохина»</w:t>
            </w:r>
            <w:r w:rsidR="00D04789" w:rsidRPr="008917B6">
              <w:t xml:space="preserve"> </w:t>
            </w:r>
            <w:r w:rsidR="00D04789" w:rsidRPr="008917B6">
              <w:rPr>
                <w:color w:val="0D0D0D" w:themeColor="text1" w:themeTint="F2"/>
              </w:rPr>
              <w:t>Министерства здравоохранения Российской Федерации</w:t>
            </w:r>
          </w:p>
        </w:tc>
      </w:tr>
      <w:tr w:rsidR="007D29A9" w:rsidRPr="00E67B5B" w:rsidTr="00FF0BC2">
        <w:trPr>
          <w:trHeight w:val="20"/>
        </w:trPr>
        <w:tc>
          <w:tcPr>
            <w:tcW w:w="4390" w:type="dxa"/>
            <w:vMerge/>
          </w:tcPr>
          <w:p w:rsidR="007D29A9" w:rsidRPr="002B0885" w:rsidRDefault="007D29A9" w:rsidP="001B24A2">
            <w:pPr>
              <w:jc w:val="center"/>
            </w:pPr>
          </w:p>
        </w:tc>
        <w:tc>
          <w:tcPr>
            <w:tcW w:w="1417" w:type="dxa"/>
          </w:tcPr>
          <w:p w:rsidR="007D29A9" w:rsidRPr="00E67B5B" w:rsidRDefault="007D29A9" w:rsidP="00846430">
            <w:pPr>
              <w:jc w:val="center"/>
            </w:pPr>
            <w:r w:rsidRPr="00E67B5B">
              <w:t>202</w:t>
            </w:r>
            <w:r w:rsidR="00846430" w:rsidRPr="00E67B5B">
              <w:t>4</w:t>
            </w:r>
            <w:r w:rsidRPr="00E67B5B">
              <w:t xml:space="preserve"> г.</w:t>
            </w:r>
          </w:p>
        </w:tc>
        <w:tc>
          <w:tcPr>
            <w:tcW w:w="1276" w:type="dxa"/>
          </w:tcPr>
          <w:p w:rsidR="007D29A9" w:rsidRPr="00E67B5B" w:rsidRDefault="007D29A9" w:rsidP="00846430">
            <w:pPr>
              <w:jc w:val="center"/>
            </w:pPr>
            <w:r w:rsidRPr="00E67B5B">
              <w:t>202</w:t>
            </w:r>
            <w:r w:rsidR="00846430" w:rsidRPr="00E67B5B">
              <w:t>5</w:t>
            </w:r>
            <w:r w:rsidRPr="00E67B5B">
              <w:t xml:space="preserve"> г.</w:t>
            </w:r>
          </w:p>
        </w:tc>
        <w:tc>
          <w:tcPr>
            <w:tcW w:w="1403" w:type="dxa"/>
          </w:tcPr>
          <w:p w:rsidR="007D29A9" w:rsidRPr="00E67B5B" w:rsidRDefault="007D29A9" w:rsidP="00846430">
            <w:pPr>
              <w:jc w:val="center"/>
            </w:pPr>
            <w:r w:rsidRPr="00E67B5B">
              <w:t>202</w:t>
            </w:r>
            <w:r w:rsidR="00846430" w:rsidRPr="00E67B5B">
              <w:t>4</w:t>
            </w:r>
            <w:r w:rsidRPr="00E67B5B">
              <w:t xml:space="preserve"> г.</w:t>
            </w:r>
          </w:p>
        </w:tc>
        <w:tc>
          <w:tcPr>
            <w:tcW w:w="1574" w:type="dxa"/>
          </w:tcPr>
          <w:p w:rsidR="007D29A9" w:rsidRPr="00E67B5B" w:rsidRDefault="007D29A9" w:rsidP="00846430">
            <w:pPr>
              <w:jc w:val="center"/>
            </w:pPr>
            <w:r w:rsidRPr="00E67B5B">
              <w:t>202</w:t>
            </w:r>
            <w:r w:rsidR="00846430" w:rsidRPr="00E67B5B">
              <w:t>5</w:t>
            </w:r>
            <w:r w:rsidRPr="00E67B5B">
              <w:t xml:space="preserve"> г.</w:t>
            </w:r>
          </w:p>
        </w:tc>
      </w:tr>
      <w:tr w:rsidR="00344AEA" w:rsidRPr="00E67B5B" w:rsidTr="00FF0BC2">
        <w:trPr>
          <w:trHeight w:val="20"/>
        </w:trPr>
        <w:tc>
          <w:tcPr>
            <w:tcW w:w="4390" w:type="dxa"/>
          </w:tcPr>
          <w:p w:rsidR="00344AEA" w:rsidRPr="00E67B5B" w:rsidRDefault="00344AEA" w:rsidP="00344AEA">
            <w:pPr>
              <w:jc w:val="both"/>
            </w:pPr>
            <w:r w:rsidRPr="00E67B5B">
              <w:t>ГАУЗ «РКОД МЗ РТ им.проф.М.З.Си-гала»</w:t>
            </w:r>
          </w:p>
        </w:tc>
        <w:tc>
          <w:tcPr>
            <w:tcW w:w="1417" w:type="dxa"/>
          </w:tcPr>
          <w:p w:rsidR="00344AEA" w:rsidRPr="00E67B5B" w:rsidRDefault="00344AEA" w:rsidP="00344AEA">
            <w:pPr>
              <w:jc w:val="center"/>
            </w:pPr>
            <w:r w:rsidRPr="00E67B5B">
              <w:t>74</w:t>
            </w:r>
          </w:p>
        </w:tc>
        <w:tc>
          <w:tcPr>
            <w:tcW w:w="1276" w:type="dxa"/>
          </w:tcPr>
          <w:p w:rsidR="00344AEA" w:rsidRPr="00E67B5B" w:rsidRDefault="00036BA3" w:rsidP="00344AEA">
            <w:pPr>
              <w:jc w:val="center"/>
            </w:pPr>
            <w:r w:rsidRPr="00E67B5B">
              <w:t>75</w:t>
            </w:r>
          </w:p>
        </w:tc>
        <w:tc>
          <w:tcPr>
            <w:tcW w:w="1403" w:type="dxa"/>
          </w:tcPr>
          <w:p w:rsidR="00344AEA" w:rsidRPr="00E67B5B" w:rsidRDefault="00344AEA" w:rsidP="00344AEA">
            <w:pPr>
              <w:jc w:val="center"/>
            </w:pPr>
            <w:r w:rsidRPr="00E67B5B">
              <w:t>8</w:t>
            </w:r>
          </w:p>
        </w:tc>
        <w:tc>
          <w:tcPr>
            <w:tcW w:w="1574" w:type="dxa"/>
          </w:tcPr>
          <w:p w:rsidR="00344AEA" w:rsidRPr="00E67B5B" w:rsidRDefault="00036BA3" w:rsidP="00344AEA">
            <w:pPr>
              <w:jc w:val="center"/>
            </w:pPr>
            <w:r w:rsidRPr="00E67B5B">
              <w:t>10</w:t>
            </w:r>
          </w:p>
        </w:tc>
      </w:tr>
      <w:tr w:rsidR="00344AEA" w:rsidRPr="00E67B5B" w:rsidTr="00FF0BC2">
        <w:trPr>
          <w:trHeight w:val="20"/>
        </w:trPr>
        <w:tc>
          <w:tcPr>
            <w:tcW w:w="4390" w:type="dxa"/>
          </w:tcPr>
          <w:p w:rsidR="00344AEA" w:rsidRPr="00E67B5B" w:rsidRDefault="00344AEA" w:rsidP="00344AEA">
            <w:pPr>
              <w:jc w:val="both"/>
            </w:pPr>
            <w:r w:rsidRPr="00E67B5B">
              <w:rPr>
                <w:bCs/>
              </w:rPr>
              <w:t xml:space="preserve">Набережночелнинский филиал </w:t>
            </w:r>
            <w:r w:rsidRPr="00E67B5B">
              <w:t>ГАУЗ «РКОД МЗ РТ им.проф.М.З.Сигала»</w:t>
            </w:r>
          </w:p>
        </w:tc>
        <w:tc>
          <w:tcPr>
            <w:tcW w:w="1417" w:type="dxa"/>
          </w:tcPr>
          <w:p w:rsidR="00344AEA" w:rsidRPr="00E67B5B" w:rsidRDefault="00344AEA" w:rsidP="00344AEA">
            <w:pPr>
              <w:jc w:val="center"/>
            </w:pPr>
            <w:r w:rsidRPr="00E67B5B">
              <w:t>8</w:t>
            </w:r>
          </w:p>
        </w:tc>
        <w:tc>
          <w:tcPr>
            <w:tcW w:w="1276" w:type="dxa"/>
          </w:tcPr>
          <w:p w:rsidR="00344AEA" w:rsidRPr="00E67B5B" w:rsidRDefault="00036BA3" w:rsidP="00344AEA">
            <w:pPr>
              <w:jc w:val="center"/>
            </w:pPr>
            <w:r w:rsidRPr="00E67B5B">
              <w:t>10</w:t>
            </w:r>
          </w:p>
        </w:tc>
        <w:tc>
          <w:tcPr>
            <w:tcW w:w="1403" w:type="dxa"/>
          </w:tcPr>
          <w:p w:rsidR="00344AEA" w:rsidRPr="00E67B5B" w:rsidRDefault="00344AEA" w:rsidP="00344AEA">
            <w:pPr>
              <w:jc w:val="center"/>
            </w:pPr>
            <w:r w:rsidRPr="00E67B5B">
              <w:t>7</w:t>
            </w:r>
          </w:p>
        </w:tc>
        <w:tc>
          <w:tcPr>
            <w:tcW w:w="1574" w:type="dxa"/>
          </w:tcPr>
          <w:p w:rsidR="00344AEA" w:rsidRPr="00E67B5B" w:rsidRDefault="00036BA3" w:rsidP="00344AEA">
            <w:pPr>
              <w:jc w:val="center"/>
            </w:pPr>
            <w:r w:rsidRPr="00E67B5B">
              <w:t>8</w:t>
            </w:r>
          </w:p>
        </w:tc>
      </w:tr>
      <w:tr w:rsidR="00344AEA" w:rsidRPr="00E67B5B" w:rsidTr="00FF0BC2">
        <w:trPr>
          <w:trHeight w:val="20"/>
        </w:trPr>
        <w:tc>
          <w:tcPr>
            <w:tcW w:w="4390" w:type="dxa"/>
          </w:tcPr>
          <w:p w:rsidR="00344AEA" w:rsidRPr="00E67B5B" w:rsidRDefault="00344AEA" w:rsidP="00344AEA">
            <w:pPr>
              <w:jc w:val="both"/>
              <w:rPr>
                <w:bCs/>
              </w:rPr>
            </w:pPr>
            <w:r w:rsidRPr="00E67B5B">
              <w:rPr>
                <w:bCs/>
              </w:rPr>
              <w:t>Итого</w:t>
            </w:r>
          </w:p>
        </w:tc>
        <w:tc>
          <w:tcPr>
            <w:tcW w:w="1417" w:type="dxa"/>
          </w:tcPr>
          <w:p w:rsidR="00344AEA" w:rsidRPr="00E67B5B" w:rsidRDefault="00344AEA" w:rsidP="00344AEA">
            <w:pPr>
              <w:jc w:val="center"/>
            </w:pPr>
            <w:r w:rsidRPr="00E67B5B">
              <w:t>82</w:t>
            </w:r>
          </w:p>
        </w:tc>
        <w:tc>
          <w:tcPr>
            <w:tcW w:w="1276" w:type="dxa"/>
          </w:tcPr>
          <w:p w:rsidR="00344AEA" w:rsidRPr="00E67B5B" w:rsidRDefault="00036BA3" w:rsidP="00344AEA">
            <w:pPr>
              <w:jc w:val="center"/>
            </w:pPr>
            <w:r w:rsidRPr="00E67B5B">
              <w:t>85</w:t>
            </w:r>
          </w:p>
        </w:tc>
        <w:tc>
          <w:tcPr>
            <w:tcW w:w="1403" w:type="dxa"/>
          </w:tcPr>
          <w:p w:rsidR="00344AEA" w:rsidRPr="00E67B5B" w:rsidRDefault="00344AEA" w:rsidP="00344AEA">
            <w:pPr>
              <w:jc w:val="center"/>
            </w:pPr>
            <w:r w:rsidRPr="00E67B5B">
              <w:t>15</w:t>
            </w:r>
          </w:p>
        </w:tc>
        <w:tc>
          <w:tcPr>
            <w:tcW w:w="1574" w:type="dxa"/>
          </w:tcPr>
          <w:p w:rsidR="00344AEA" w:rsidRPr="00E67B5B" w:rsidRDefault="00036BA3" w:rsidP="00344AEA">
            <w:pPr>
              <w:jc w:val="center"/>
            </w:pPr>
            <w:r w:rsidRPr="00E67B5B">
              <w:t>18</w:t>
            </w:r>
          </w:p>
        </w:tc>
      </w:tr>
    </w:tbl>
    <w:p w:rsidR="002C7092" w:rsidRPr="00E67B5B" w:rsidRDefault="002C7092" w:rsidP="00FB45DF">
      <w:pPr>
        <w:ind w:firstLine="708"/>
        <w:jc w:val="both"/>
      </w:pPr>
    </w:p>
    <w:p w:rsidR="00576FBB" w:rsidRPr="00E67B5B" w:rsidRDefault="00576FBB" w:rsidP="00FF0BC2">
      <w:pPr>
        <w:spacing w:line="245" w:lineRule="auto"/>
        <w:ind w:firstLine="709"/>
        <w:jc w:val="both"/>
        <w:rPr>
          <w:rFonts w:eastAsia="Calibri"/>
          <w:sz w:val="28"/>
          <w:szCs w:val="28"/>
        </w:rPr>
      </w:pPr>
      <w:r w:rsidRPr="00E67B5B">
        <w:rPr>
          <w:rFonts w:eastAsia="Calibri"/>
          <w:sz w:val="28"/>
          <w:szCs w:val="28"/>
        </w:rPr>
        <w:t>Формирование и развитие цифрового контура онкологической службы региона.</w:t>
      </w:r>
    </w:p>
    <w:p w:rsidR="00C034D3" w:rsidRPr="00E67B5B" w:rsidRDefault="00576FBB" w:rsidP="00F90DF3">
      <w:pPr>
        <w:spacing w:line="235" w:lineRule="auto"/>
        <w:ind w:firstLine="709"/>
        <w:jc w:val="both"/>
        <w:rPr>
          <w:rFonts w:eastAsia="Arial"/>
          <w:sz w:val="28"/>
          <w:szCs w:val="28"/>
        </w:rPr>
      </w:pPr>
      <w:r w:rsidRPr="00E67B5B">
        <w:rPr>
          <w:rFonts w:eastAsia="Arial"/>
          <w:sz w:val="28"/>
          <w:szCs w:val="28"/>
        </w:rPr>
        <w:t xml:space="preserve">Все рабочие места врачей, участвующих в оказании онкологической помощи населению, функционируют в едином информационном пространстве. Его платформой является система </w:t>
      </w:r>
      <w:r w:rsidR="002F7358" w:rsidRPr="00E67B5B">
        <w:rPr>
          <w:rFonts w:eastAsia="Arial"/>
          <w:sz w:val="28"/>
          <w:szCs w:val="28"/>
        </w:rPr>
        <w:t>«</w:t>
      </w:r>
      <w:r w:rsidR="00C034D3" w:rsidRPr="00E67B5B">
        <w:rPr>
          <w:rFonts w:eastAsia="Arial"/>
          <w:sz w:val="28"/>
          <w:szCs w:val="28"/>
        </w:rPr>
        <w:t>Государственная инфомрационная система электронное здравоох</w:t>
      </w:r>
      <w:r w:rsidR="0013169A">
        <w:rPr>
          <w:rFonts w:eastAsia="Arial"/>
          <w:sz w:val="28"/>
          <w:szCs w:val="28"/>
        </w:rPr>
        <w:t xml:space="preserve">ранение Республики Татарстан» (далее </w:t>
      </w:r>
      <w:r w:rsidR="0013169A" w:rsidRPr="0013169A">
        <w:rPr>
          <w:color w:val="0D0D0D" w:themeColor="text1" w:themeTint="F2"/>
          <w:szCs w:val="28"/>
        </w:rPr>
        <w:t xml:space="preserve">– </w:t>
      </w:r>
      <w:r w:rsidR="00C034D3" w:rsidRPr="00E67B5B">
        <w:rPr>
          <w:rFonts w:eastAsia="Arial"/>
          <w:sz w:val="28"/>
          <w:szCs w:val="28"/>
        </w:rPr>
        <w:t>«ГИС ЭЗ РТ»</w:t>
      </w:r>
      <w:r w:rsidR="0013169A">
        <w:rPr>
          <w:rFonts w:eastAsia="Arial"/>
          <w:sz w:val="28"/>
          <w:szCs w:val="28"/>
        </w:rPr>
        <w:t>)</w:t>
      </w:r>
      <w:r w:rsidR="00C034D3" w:rsidRPr="00E67B5B">
        <w:rPr>
          <w:rFonts w:eastAsia="Arial"/>
          <w:sz w:val="28"/>
          <w:szCs w:val="28"/>
        </w:rPr>
        <w:t>.</w:t>
      </w:r>
    </w:p>
    <w:p w:rsidR="00576FBB" w:rsidRPr="00091230" w:rsidRDefault="00576FBB" w:rsidP="00F90DF3">
      <w:pPr>
        <w:spacing w:line="235" w:lineRule="auto"/>
        <w:ind w:firstLine="709"/>
        <w:jc w:val="both"/>
        <w:rPr>
          <w:rFonts w:eastAsia="Arial"/>
          <w:sz w:val="28"/>
          <w:szCs w:val="28"/>
        </w:rPr>
      </w:pPr>
      <w:r w:rsidRPr="00E67B5B">
        <w:rPr>
          <w:rFonts w:eastAsia="Arial"/>
          <w:sz w:val="28"/>
          <w:szCs w:val="28"/>
        </w:rPr>
        <w:t>Наличие в республике Государственной интегрированной системы телекоммуникаций позволяет широко использовать возможности телемедицины в процессе уточняющей диагностики новообразований, через программный комплекс Центрального архива медицинских изображений.</w:t>
      </w:r>
      <w:r w:rsidRPr="00091230">
        <w:rPr>
          <w:rFonts w:eastAsia="Arial"/>
          <w:sz w:val="28"/>
          <w:szCs w:val="28"/>
        </w:rPr>
        <w:t xml:space="preserve"> </w:t>
      </w:r>
    </w:p>
    <w:p w:rsidR="00576FBB" w:rsidRPr="00091230" w:rsidRDefault="00576FBB" w:rsidP="00F90DF3">
      <w:pPr>
        <w:spacing w:line="235" w:lineRule="auto"/>
        <w:ind w:firstLine="709"/>
        <w:jc w:val="both"/>
        <w:rPr>
          <w:sz w:val="28"/>
          <w:szCs w:val="28"/>
        </w:rPr>
      </w:pPr>
      <w:r w:rsidRPr="00091230">
        <w:rPr>
          <w:sz w:val="28"/>
          <w:szCs w:val="28"/>
        </w:rPr>
        <w:t xml:space="preserve">Информационной базой, на основе анализа которой принимаются управленческие решения для планирования профилактических мероприятий, подготовки кадров, выделения технологических, диагностических ресурсов и объемов оказания онкологической помощи населению, являются базы данных популяционного и госпитального раковых регистров. Популяционный раковый регистр функционирует </w:t>
      </w:r>
      <w:r w:rsidR="007D29A9">
        <w:rPr>
          <w:sz w:val="28"/>
          <w:szCs w:val="28"/>
        </w:rPr>
        <w:br/>
      </w:r>
      <w:r w:rsidRPr="00091230">
        <w:rPr>
          <w:sz w:val="28"/>
          <w:szCs w:val="28"/>
        </w:rPr>
        <w:t xml:space="preserve">с 1992 года, содержит данные о 370 тысячах онкологических больных, состоящих на диспансерном учете, и больных, умерших от онкологических заболеваний за 30 лет. Госпитальный регистр ГАУЗ </w:t>
      </w:r>
      <w:r w:rsidR="002F7358">
        <w:rPr>
          <w:rFonts w:eastAsia="Arial"/>
          <w:sz w:val="28"/>
          <w:szCs w:val="28"/>
        </w:rPr>
        <w:t>«</w:t>
      </w:r>
      <w:r w:rsidR="00FB45DF">
        <w:rPr>
          <w:rFonts w:eastAsia="Arial"/>
          <w:sz w:val="28"/>
          <w:szCs w:val="28"/>
        </w:rPr>
        <w:t>РКОД МЗ РТ им.</w:t>
      </w:r>
      <w:r w:rsidR="00AC5011" w:rsidRPr="002B3817">
        <w:rPr>
          <w:rFonts w:eastAsia="Arial"/>
          <w:sz w:val="28"/>
          <w:szCs w:val="28"/>
        </w:rPr>
        <w:t>проф.М.З.Сигала</w:t>
      </w:r>
      <w:r w:rsidR="002F7358">
        <w:rPr>
          <w:rFonts w:eastAsia="Arial"/>
          <w:sz w:val="28"/>
          <w:szCs w:val="28"/>
        </w:rPr>
        <w:t>»</w:t>
      </w:r>
      <w:r w:rsidRPr="00091230">
        <w:rPr>
          <w:sz w:val="28"/>
          <w:szCs w:val="28"/>
        </w:rPr>
        <w:t xml:space="preserve"> ведется </w:t>
      </w:r>
      <w:r w:rsidR="007D29A9">
        <w:rPr>
          <w:sz w:val="28"/>
          <w:szCs w:val="28"/>
        </w:rPr>
        <w:br/>
      </w:r>
      <w:r w:rsidRPr="00091230">
        <w:rPr>
          <w:sz w:val="28"/>
          <w:szCs w:val="28"/>
        </w:rPr>
        <w:t xml:space="preserve">с 1995 года. В нем содержится информация о посещениях врачей поликлиники, проведенных диагностических манипуляциях, амбулаторных операциях и случаях госпитализации пациентов, получивших лечение в дневных и круглосуточных стационарных отделениях ГАУЗ </w:t>
      </w:r>
      <w:r w:rsidR="002F7358">
        <w:rPr>
          <w:rFonts w:eastAsia="Arial"/>
          <w:sz w:val="28"/>
          <w:szCs w:val="28"/>
        </w:rPr>
        <w:t>«</w:t>
      </w:r>
      <w:r w:rsidR="00FB45DF">
        <w:rPr>
          <w:rFonts w:eastAsia="Arial"/>
          <w:sz w:val="28"/>
          <w:szCs w:val="28"/>
        </w:rPr>
        <w:t>РКОД МЗ РТ им.проф.</w:t>
      </w:r>
      <w:r w:rsidR="00AC5011" w:rsidRPr="002B3817">
        <w:rPr>
          <w:rFonts w:eastAsia="Arial"/>
          <w:sz w:val="28"/>
          <w:szCs w:val="28"/>
        </w:rPr>
        <w:t>М.З.Сигала</w:t>
      </w:r>
      <w:r w:rsidR="002F7358">
        <w:rPr>
          <w:rFonts w:eastAsia="Arial"/>
          <w:sz w:val="28"/>
          <w:szCs w:val="28"/>
        </w:rPr>
        <w:t>»</w:t>
      </w:r>
      <w:r w:rsidRPr="00091230">
        <w:rPr>
          <w:sz w:val="28"/>
          <w:szCs w:val="28"/>
        </w:rPr>
        <w:t xml:space="preserve">. </w:t>
      </w:r>
    </w:p>
    <w:p w:rsidR="00576FBB" w:rsidRPr="00091230" w:rsidRDefault="00576FBB" w:rsidP="00F90DF3">
      <w:pPr>
        <w:spacing w:line="235" w:lineRule="auto"/>
        <w:ind w:firstLine="709"/>
        <w:jc w:val="both"/>
        <w:rPr>
          <w:sz w:val="28"/>
          <w:szCs w:val="28"/>
        </w:rPr>
      </w:pPr>
      <w:r w:rsidRPr="00091230">
        <w:rPr>
          <w:sz w:val="28"/>
          <w:szCs w:val="28"/>
        </w:rPr>
        <w:t xml:space="preserve">Инструментом для автоматизации основных бизнес-процессов клиники: ведения регистров больных со ЗНО, формализованных электронных медицинских учетных форм, формирования отчетных форм государственного статистического наблюдения, персонифицированного учета списания лекарственных средств, реестров </w:t>
      </w:r>
      <w:r w:rsidR="00EA702C">
        <w:rPr>
          <w:sz w:val="28"/>
          <w:szCs w:val="28"/>
        </w:rPr>
        <w:br/>
      </w:r>
      <w:r w:rsidRPr="00091230">
        <w:rPr>
          <w:sz w:val="28"/>
          <w:szCs w:val="28"/>
        </w:rPr>
        <w:t xml:space="preserve">счетов для представления в Территориальный фонд обязательного медицинского страхования Республики Татарстан, выступает комплекс медицинских </w:t>
      </w:r>
      <w:r w:rsidRPr="001F6E3F">
        <w:rPr>
          <w:sz w:val="28"/>
          <w:szCs w:val="28"/>
        </w:rPr>
        <w:t xml:space="preserve">информационных систем </w:t>
      </w:r>
      <w:r w:rsidR="005C50D7" w:rsidRPr="001F6E3F">
        <w:rPr>
          <w:sz w:val="28"/>
          <w:szCs w:val="28"/>
        </w:rPr>
        <w:t>ГИС ЭЗ РТ</w:t>
      </w:r>
      <w:r w:rsidRPr="001F6E3F">
        <w:rPr>
          <w:sz w:val="28"/>
          <w:szCs w:val="28"/>
        </w:rPr>
        <w:t>,</w:t>
      </w:r>
      <w:r w:rsidR="005C50D7">
        <w:rPr>
          <w:sz w:val="28"/>
          <w:szCs w:val="28"/>
        </w:rPr>
        <w:t xml:space="preserve"> внедреная</w:t>
      </w:r>
      <w:r w:rsidRPr="00091230">
        <w:rPr>
          <w:sz w:val="28"/>
          <w:szCs w:val="28"/>
        </w:rPr>
        <w:t xml:space="preserve"> в ГАУЗ </w:t>
      </w:r>
      <w:r w:rsidR="002F7358">
        <w:rPr>
          <w:rFonts w:eastAsia="Arial"/>
          <w:sz w:val="28"/>
          <w:szCs w:val="28"/>
        </w:rPr>
        <w:t>«</w:t>
      </w:r>
      <w:r w:rsidR="00EA702C">
        <w:rPr>
          <w:rFonts w:eastAsia="Arial"/>
          <w:sz w:val="28"/>
          <w:szCs w:val="28"/>
        </w:rPr>
        <w:t>РКОД МЗ РТ им.</w:t>
      </w:r>
      <w:r w:rsidR="00AC5011" w:rsidRPr="002B3817">
        <w:rPr>
          <w:rFonts w:eastAsia="Arial"/>
          <w:sz w:val="28"/>
          <w:szCs w:val="28"/>
        </w:rPr>
        <w:t>проф.М.З.Сигала</w:t>
      </w:r>
      <w:r w:rsidR="002F7358">
        <w:rPr>
          <w:rFonts w:eastAsia="Arial"/>
          <w:sz w:val="28"/>
          <w:szCs w:val="28"/>
        </w:rPr>
        <w:t>»</w:t>
      </w:r>
      <w:r w:rsidRPr="00091230">
        <w:rPr>
          <w:sz w:val="28"/>
          <w:szCs w:val="28"/>
        </w:rPr>
        <w:t xml:space="preserve"> в 20</w:t>
      </w:r>
      <w:r w:rsidR="00B55691">
        <w:rPr>
          <w:sz w:val="28"/>
          <w:szCs w:val="28"/>
        </w:rPr>
        <w:t>25</w:t>
      </w:r>
      <w:r w:rsidRPr="00091230">
        <w:rPr>
          <w:sz w:val="28"/>
          <w:szCs w:val="28"/>
        </w:rPr>
        <w:t xml:space="preserve"> году. Кроме того, онкологический кластер, включая первичные онкологические кабинеты, функционирует в едином цифровом контуре с возможностью записи из первичного онкологического кабинета пациентов на прием к врачу-онкологу поликлиники ГАУЗ </w:t>
      </w:r>
      <w:r w:rsidR="002F7358">
        <w:rPr>
          <w:rFonts w:eastAsia="Arial"/>
          <w:sz w:val="28"/>
          <w:szCs w:val="28"/>
        </w:rPr>
        <w:t>«</w:t>
      </w:r>
      <w:r w:rsidR="00EA702C">
        <w:rPr>
          <w:rFonts w:eastAsia="Arial"/>
          <w:sz w:val="28"/>
          <w:szCs w:val="28"/>
        </w:rPr>
        <w:t>РКОД МЗ РТ им</w:t>
      </w:r>
      <w:r w:rsidR="00AC5011" w:rsidRPr="002B3817">
        <w:rPr>
          <w:rFonts w:eastAsia="Arial"/>
          <w:sz w:val="28"/>
          <w:szCs w:val="28"/>
        </w:rPr>
        <w:t xml:space="preserve"> проф.М.З.Сигала</w:t>
      </w:r>
      <w:r w:rsidR="002F7358">
        <w:rPr>
          <w:rFonts w:eastAsia="Arial"/>
          <w:sz w:val="28"/>
          <w:szCs w:val="28"/>
        </w:rPr>
        <w:t>»</w:t>
      </w:r>
      <w:r w:rsidR="00AC5011">
        <w:rPr>
          <w:rFonts w:eastAsia="Arial"/>
          <w:sz w:val="28"/>
          <w:szCs w:val="28"/>
        </w:rPr>
        <w:t>.</w:t>
      </w:r>
    </w:p>
    <w:p w:rsidR="00576FBB" w:rsidRPr="00091230" w:rsidRDefault="00576FBB" w:rsidP="00FF0BC2">
      <w:pPr>
        <w:pStyle w:val="Textbody"/>
        <w:suppressAutoHyphens w:val="0"/>
        <w:spacing w:after="0" w:line="245" w:lineRule="auto"/>
        <w:ind w:firstLine="709"/>
        <w:jc w:val="both"/>
        <w:rPr>
          <w:sz w:val="28"/>
          <w:szCs w:val="28"/>
        </w:rPr>
      </w:pPr>
      <w:r w:rsidRPr="00091230">
        <w:rPr>
          <w:sz w:val="28"/>
          <w:szCs w:val="28"/>
        </w:rPr>
        <w:t xml:space="preserve">Служба информационных технологий в ГАУЗ </w:t>
      </w:r>
      <w:r w:rsidR="002F7358">
        <w:rPr>
          <w:rFonts w:eastAsia="Arial" w:cs="Times New Roman"/>
          <w:sz w:val="28"/>
          <w:szCs w:val="28"/>
        </w:rPr>
        <w:t>«</w:t>
      </w:r>
      <w:r w:rsidR="00AC5011" w:rsidRPr="002B3817">
        <w:rPr>
          <w:rFonts w:eastAsia="Arial" w:cs="Times New Roman"/>
          <w:sz w:val="28"/>
          <w:szCs w:val="28"/>
        </w:rPr>
        <w:t>РКОД МЗ РТ им.</w:t>
      </w:r>
      <w:r w:rsidR="00EA702C">
        <w:rPr>
          <w:rFonts w:eastAsia="Arial" w:cs="Times New Roman"/>
          <w:sz w:val="28"/>
          <w:szCs w:val="28"/>
        </w:rPr>
        <w:t>проф.</w:t>
      </w:r>
      <w:r w:rsidR="00AC5011" w:rsidRPr="002B3817">
        <w:rPr>
          <w:rFonts w:eastAsia="Arial" w:cs="Times New Roman"/>
          <w:sz w:val="28"/>
          <w:szCs w:val="28"/>
        </w:rPr>
        <w:t>М.З.Сигала</w:t>
      </w:r>
      <w:r w:rsidR="002F7358">
        <w:rPr>
          <w:rFonts w:eastAsia="Arial" w:cs="Times New Roman"/>
          <w:sz w:val="28"/>
          <w:szCs w:val="28"/>
        </w:rPr>
        <w:t>»</w:t>
      </w:r>
      <w:r w:rsidRPr="00091230">
        <w:rPr>
          <w:sz w:val="28"/>
          <w:szCs w:val="28"/>
        </w:rPr>
        <w:t xml:space="preserve"> создана </w:t>
      </w:r>
      <w:r w:rsidR="00F950C8">
        <w:rPr>
          <w:sz w:val="28"/>
          <w:szCs w:val="28"/>
        </w:rPr>
        <w:t>0</w:t>
      </w:r>
      <w:r w:rsidR="00887958" w:rsidRPr="00091230">
        <w:rPr>
          <w:sz w:val="28"/>
          <w:szCs w:val="28"/>
        </w:rPr>
        <w:t>1</w:t>
      </w:r>
      <w:r w:rsidR="00F950C8">
        <w:rPr>
          <w:sz w:val="28"/>
          <w:szCs w:val="28"/>
        </w:rPr>
        <w:t>.04.</w:t>
      </w:r>
      <w:r w:rsidR="00887958" w:rsidRPr="00091230">
        <w:rPr>
          <w:sz w:val="28"/>
          <w:szCs w:val="28"/>
        </w:rPr>
        <w:t>1992</w:t>
      </w:r>
      <w:r w:rsidR="00947DC4">
        <w:rPr>
          <w:sz w:val="28"/>
          <w:szCs w:val="28"/>
        </w:rPr>
        <w:t xml:space="preserve">. </w:t>
      </w:r>
      <w:r w:rsidRPr="00091230">
        <w:rPr>
          <w:sz w:val="28"/>
          <w:szCs w:val="28"/>
        </w:rPr>
        <w:t>В настоящее время служб</w:t>
      </w:r>
      <w:r w:rsidR="00172B71">
        <w:rPr>
          <w:sz w:val="28"/>
          <w:szCs w:val="28"/>
        </w:rPr>
        <w:t>а представлена двумя отделами: отдел программирования и о</w:t>
      </w:r>
      <w:r w:rsidRPr="00091230">
        <w:rPr>
          <w:sz w:val="28"/>
          <w:szCs w:val="28"/>
        </w:rPr>
        <w:t xml:space="preserve">тдел сетевой поддержки. В штате отделов </w:t>
      </w:r>
      <w:r w:rsidR="007D29A9">
        <w:rPr>
          <w:sz w:val="28"/>
          <w:szCs w:val="28"/>
        </w:rPr>
        <w:t xml:space="preserve">2 </w:t>
      </w:r>
      <w:r w:rsidRPr="00091230">
        <w:rPr>
          <w:sz w:val="28"/>
          <w:szCs w:val="28"/>
        </w:rPr>
        <w:t xml:space="preserve">заведующих, </w:t>
      </w:r>
      <w:r w:rsidR="007D29A9">
        <w:rPr>
          <w:sz w:val="28"/>
          <w:szCs w:val="28"/>
        </w:rPr>
        <w:t>6</w:t>
      </w:r>
      <w:r w:rsidRPr="00091230">
        <w:rPr>
          <w:sz w:val="28"/>
          <w:szCs w:val="28"/>
        </w:rPr>
        <w:t xml:space="preserve"> программистов, </w:t>
      </w:r>
      <w:r w:rsidR="007D29A9">
        <w:rPr>
          <w:sz w:val="28"/>
          <w:szCs w:val="28"/>
        </w:rPr>
        <w:t>3</w:t>
      </w:r>
      <w:r w:rsidRPr="00091230">
        <w:rPr>
          <w:sz w:val="28"/>
          <w:szCs w:val="28"/>
        </w:rPr>
        <w:t xml:space="preserve"> системных администратора и </w:t>
      </w:r>
      <w:r w:rsidR="007D29A9">
        <w:rPr>
          <w:sz w:val="28"/>
          <w:szCs w:val="28"/>
        </w:rPr>
        <w:t>2</w:t>
      </w:r>
      <w:r w:rsidRPr="00091230">
        <w:rPr>
          <w:sz w:val="28"/>
          <w:szCs w:val="28"/>
        </w:rPr>
        <w:t xml:space="preserve"> техника.</w:t>
      </w:r>
    </w:p>
    <w:p w:rsidR="00576FBB" w:rsidRPr="00091230" w:rsidRDefault="00576FBB" w:rsidP="00FF0BC2">
      <w:pPr>
        <w:pStyle w:val="Textbody"/>
        <w:suppressAutoHyphens w:val="0"/>
        <w:spacing w:after="0" w:line="245" w:lineRule="auto"/>
        <w:ind w:firstLine="709"/>
        <w:jc w:val="both"/>
        <w:rPr>
          <w:sz w:val="28"/>
          <w:szCs w:val="28"/>
        </w:rPr>
      </w:pPr>
      <w:r w:rsidRPr="00091230">
        <w:rPr>
          <w:sz w:val="28"/>
          <w:szCs w:val="28"/>
        </w:rPr>
        <w:t xml:space="preserve">На территории ГАУЗ </w:t>
      </w:r>
      <w:r w:rsidR="002F7358">
        <w:rPr>
          <w:rFonts w:eastAsia="Arial" w:cs="Times New Roman"/>
          <w:sz w:val="28"/>
          <w:szCs w:val="28"/>
        </w:rPr>
        <w:t>«</w:t>
      </w:r>
      <w:r w:rsidR="00EA702C">
        <w:rPr>
          <w:rFonts w:eastAsia="Arial" w:cs="Times New Roman"/>
          <w:sz w:val="28"/>
          <w:szCs w:val="28"/>
        </w:rPr>
        <w:t>РКОД МЗ РТ им.проф.</w:t>
      </w:r>
      <w:r w:rsidR="00AC5011" w:rsidRPr="002B3817">
        <w:rPr>
          <w:rFonts w:eastAsia="Arial" w:cs="Times New Roman"/>
          <w:sz w:val="28"/>
          <w:szCs w:val="28"/>
        </w:rPr>
        <w:t>М.З.Сигала</w:t>
      </w:r>
      <w:r w:rsidR="002F7358">
        <w:rPr>
          <w:rFonts w:eastAsia="Arial" w:cs="Times New Roman"/>
          <w:sz w:val="28"/>
          <w:szCs w:val="28"/>
        </w:rPr>
        <w:t>»</w:t>
      </w:r>
      <w:r w:rsidRPr="00091230">
        <w:rPr>
          <w:sz w:val="28"/>
          <w:szCs w:val="28"/>
        </w:rPr>
        <w:t xml:space="preserve"> внедрены с 2008 года лабораторные информационные системы, интегрированные в </w:t>
      </w:r>
      <w:r w:rsidR="00472B03">
        <w:rPr>
          <w:sz w:val="28"/>
          <w:szCs w:val="28"/>
        </w:rPr>
        <w:t xml:space="preserve">медицинскую информационную систему </w:t>
      </w:r>
      <w:r w:rsidR="00472B03" w:rsidRPr="00091230">
        <w:rPr>
          <w:sz w:val="28"/>
          <w:szCs w:val="28"/>
        </w:rPr>
        <w:t xml:space="preserve">ГАУЗ </w:t>
      </w:r>
      <w:r w:rsidR="00472B03">
        <w:rPr>
          <w:rFonts w:eastAsia="Arial" w:cs="Times New Roman"/>
          <w:sz w:val="28"/>
          <w:szCs w:val="28"/>
        </w:rPr>
        <w:t>«РКОД МЗ РТ им.проф.</w:t>
      </w:r>
      <w:r w:rsidR="00472B03" w:rsidRPr="002B3817">
        <w:rPr>
          <w:rFonts w:eastAsia="Arial" w:cs="Times New Roman"/>
          <w:sz w:val="28"/>
          <w:szCs w:val="28"/>
        </w:rPr>
        <w:t>М.З.Сигала</w:t>
      </w:r>
      <w:r w:rsidR="00472B03">
        <w:rPr>
          <w:rFonts w:eastAsia="Arial" w:cs="Times New Roman"/>
          <w:sz w:val="28"/>
          <w:szCs w:val="28"/>
        </w:rPr>
        <w:t>»</w:t>
      </w:r>
      <w:r w:rsidR="00E331E2">
        <w:rPr>
          <w:sz w:val="28"/>
          <w:szCs w:val="28"/>
        </w:rPr>
        <w:t>:</w:t>
      </w:r>
      <w:r w:rsidR="00472B03">
        <w:rPr>
          <w:rFonts w:eastAsia="Arial"/>
          <w:sz w:val="28"/>
          <w:szCs w:val="28"/>
        </w:rPr>
        <w:t xml:space="preserve"> лабораторная информационная система </w:t>
      </w:r>
      <w:r w:rsidR="002F7358">
        <w:rPr>
          <w:sz w:val="28"/>
          <w:szCs w:val="28"/>
        </w:rPr>
        <w:t>«</w:t>
      </w:r>
      <w:r w:rsidRPr="00091230">
        <w:rPr>
          <w:sz w:val="28"/>
          <w:szCs w:val="28"/>
        </w:rPr>
        <w:t>Алиса</w:t>
      </w:r>
      <w:r w:rsidR="002F7358">
        <w:rPr>
          <w:sz w:val="28"/>
          <w:szCs w:val="28"/>
        </w:rPr>
        <w:t>»</w:t>
      </w:r>
      <w:r w:rsidRPr="00091230">
        <w:rPr>
          <w:sz w:val="28"/>
          <w:szCs w:val="28"/>
        </w:rPr>
        <w:t xml:space="preserve"> (медицинские анализы) и </w:t>
      </w:r>
      <w:r w:rsidR="00E331E2">
        <w:rPr>
          <w:rFonts w:eastAsia="Arial"/>
          <w:sz w:val="28"/>
          <w:szCs w:val="28"/>
        </w:rPr>
        <w:t>лабораторная информационная система</w:t>
      </w:r>
      <w:r w:rsidR="00E331E2" w:rsidRPr="00091230">
        <w:rPr>
          <w:sz w:val="28"/>
          <w:szCs w:val="28"/>
        </w:rPr>
        <w:t xml:space="preserve"> </w:t>
      </w:r>
      <w:r w:rsidR="002F7358">
        <w:rPr>
          <w:sz w:val="28"/>
          <w:szCs w:val="28"/>
        </w:rPr>
        <w:t>«</w:t>
      </w:r>
      <w:r w:rsidRPr="00091230">
        <w:rPr>
          <w:sz w:val="28"/>
          <w:szCs w:val="28"/>
        </w:rPr>
        <w:t>Лабфлоу</w:t>
      </w:r>
      <w:r w:rsidR="002F7358">
        <w:rPr>
          <w:sz w:val="28"/>
          <w:szCs w:val="28"/>
        </w:rPr>
        <w:t>»</w:t>
      </w:r>
      <w:r w:rsidRPr="00091230">
        <w:rPr>
          <w:sz w:val="28"/>
          <w:szCs w:val="28"/>
        </w:rPr>
        <w:t xml:space="preserve"> (гистологические заключения).</w:t>
      </w:r>
      <w:r w:rsidR="00AC5011">
        <w:rPr>
          <w:sz w:val="28"/>
          <w:szCs w:val="28"/>
        </w:rPr>
        <w:t xml:space="preserve"> </w:t>
      </w:r>
    </w:p>
    <w:p w:rsidR="00576FBB" w:rsidRPr="00091230" w:rsidRDefault="00576FBB" w:rsidP="00FF0BC2">
      <w:pPr>
        <w:pStyle w:val="Textbody"/>
        <w:suppressAutoHyphens w:val="0"/>
        <w:spacing w:after="0" w:line="245" w:lineRule="auto"/>
        <w:ind w:firstLine="709"/>
        <w:jc w:val="both"/>
        <w:rPr>
          <w:sz w:val="28"/>
          <w:szCs w:val="28"/>
        </w:rPr>
      </w:pPr>
      <w:r w:rsidRPr="00091230">
        <w:rPr>
          <w:sz w:val="28"/>
          <w:szCs w:val="28"/>
        </w:rPr>
        <w:t xml:space="preserve">Программно-аппаратный комплекс ГАУЗ </w:t>
      </w:r>
      <w:r w:rsidR="002F7358">
        <w:rPr>
          <w:rFonts w:eastAsia="Arial" w:cs="Times New Roman"/>
          <w:sz w:val="28"/>
          <w:szCs w:val="28"/>
        </w:rPr>
        <w:t>«</w:t>
      </w:r>
      <w:r w:rsidR="00EA702C">
        <w:rPr>
          <w:rFonts w:eastAsia="Arial" w:cs="Times New Roman"/>
          <w:sz w:val="28"/>
          <w:szCs w:val="28"/>
        </w:rPr>
        <w:t>РКОД МЗ РТ им.проф.</w:t>
      </w:r>
      <w:r w:rsidR="00AC5011" w:rsidRPr="002B3817">
        <w:rPr>
          <w:rFonts w:eastAsia="Arial" w:cs="Times New Roman"/>
          <w:sz w:val="28"/>
          <w:szCs w:val="28"/>
        </w:rPr>
        <w:t>М.З.Сигала</w:t>
      </w:r>
      <w:r w:rsidR="002F7358">
        <w:rPr>
          <w:rFonts w:eastAsia="Arial" w:cs="Times New Roman"/>
          <w:sz w:val="28"/>
          <w:szCs w:val="28"/>
        </w:rPr>
        <w:t>»</w:t>
      </w:r>
      <w:r w:rsidRPr="00091230">
        <w:rPr>
          <w:sz w:val="28"/>
          <w:szCs w:val="28"/>
        </w:rPr>
        <w:t xml:space="preserve"> включает 12</w:t>
      </w:r>
      <w:r w:rsidR="00172B71">
        <w:rPr>
          <w:sz w:val="28"/>
          <w:szCs w:val="28"/>
        </w:rPr>
        <w:t xml:space="preserve"> </w:t>
      </w:r>
      <w:r w:rsidRPr="00091230">
        <w:rPr>
          <w:sz w:val="28"/>
          <w:szCs w:val="28"/>
        </w:rPr>
        <w:t>серверов, 839 персональных компьютеров. Компьютеры всех подразделений и</w:t>
      </w:r>
      <w:r w:rsidR="00931D0F">
        <w:rPr>
          <w:sz w:val="28"/>
          <w:szCs w:val="28"/>
        </w:rPr>
        <w:t xml:space="preserve"> </w:t>
      </w:r>
      <w:r w:rsidRPr="00091230">
        <w:rPr>
          <w:sz w:val="28"/>
          <w:szCs w:val="28"/>
        </w:rPr>
        <w:t xml:space="preserve">филиалов объединены в единую </w:t>
      </w:r>
      <w:r w:rsidR="00B20E9B">
        <w:rPr>
          <w:sz w:val="28"/>
          <w:szCs w:val="28"/>
        </w:rPr>
        <w:t>информ</w:t>
      </w:r>
      <w:r w:rsidR="00FF0BC2">
        <w:rPr>
          <w:sz w:val="28"/>
          <w:szCs w:val="28"/>
        </w:rPr>
        <w:t>а</w:t>
      </w:r>
      <w:r w:rsidR="00B20E9B">
        <w:rPr>
          <w:sz w:val="28"/>
          <w:szCs w:val="28"/>
        </w:rPr>
        <w:t>ционную систему</w:t>
      </w:r>
      <w:r w:rsidRPr="00091230">
        <w:rPr>
          <w:sz w:val="28"/>
          <w:szCs w:val="28"/>
        </w:rPr>
        <w:t>. В диспансере ведутся работы, направленные на модернизацию программного обеспечения и аппаратной части: приобретаются новые серверы для хранения данных, прокладываются дополнительные участки локальной сети, включая оптические линии связи.</w:t>
      </w:r>
    </w:p>
    <w:p w:rsidR="00576FBB" w:rsidRPr="00091230" w:rsidRDefault="00576FBB" w:rsidP="00FF0BC2">
      <w:pPr>
        <w:pStyle w:val="Textbody"/>
        <w:suppressAutoHyphens w:val="0"/>
        <w:spacing w:after="0" w:line="245" w:lineRule="auto"/>
        <w:ind w:firstLine="709"/>
        <w:jc w:val="both"/>
        <w:rPr>
          <w:sz w:val="28"/>
          <w:szCs w:val="28"/>
        </w:rPr>
      </w:pPr>
      <w:r w:rsidRPr="00091230">
        <w:rPr>
          <w:sz w:val="28"/>
          <w:szCs w:val="28"/>
        </w:rPr>
        <w:t>Сервер</w:t>
      </w:r>
      <w:r w:rsidR="001F0F47">
        <w:rPr>
          <w:sz w:val="28"/>
          <w:szCs w:val="28"/>
        </w:rPr>
        <w:t>ы</w:t>
      </w:r>
      <w:r w:rsidR="000959B9">
        <w:rPr>
          <w:sz w:val="28"/>
          <w:szCs w:val="28"/>
        </w:rPr>
        <w:t xml:space="preserve"> ГИС ЭЗ РТ</w:t>
      </w:r>
      <w:r w:rsidR="001F0F47">
        <w:rPr>
          <w:sz w:val="28"/>
          <w:szCs w:val="28"/>
        </w:rPr>
        <w:t xml:space="preserve"> </w:t>
      </w:r>
      <w:r w:rsidR="000959B9">
        <w:rPr>
          <w:sz w:val="28"/>
          <w:szCs w:val="28"/>
        </w:rPr>
        <w:t>р</w:t>
      </w:r>
      <w:r w:rsidRPr="00091230">
        <w:rPr>
          <w:sz w:val="28"/>
          <w:szCs w:val="28"/>
        </w:rPr>
        <w:t>азмещены в Центре информационных технологий Республики Татарстан, доступ к ним осуществляется через закрытую Государственную интегрированную систему телекоммуникаций Республики Татарстан. Сервер</w:t>
      </w:r>
      <w:r w:rsidR="001D51DF">
        <w:rPr>
          <w:sz w:val="28"/>
          <w:szCs w:val="28"/>
        </w:rPr>
        <w:t>ы</w:t>
      </w:r>
      <w:r w:rsidRPr="00091230">
        <w:rPr>
          <w:sz w:val="28"/>
          <w:szCs w:val="28"/>
        </w:rPr>
        <w:t xml:space="preserve"> лабораторных информационных систем расположены на территории ГАУЗ </w:t>
      </w:r>
      <w:r w:rsidR="002F7358">
        <w:rPr>
          <w:rFonts w:eastAsia="Arial" w:cs="Times New Roman"/>
          <w:sz w:val="28"/>
          <w:szCs w:val="28"/>
        </w:rPr>
        <w:t>«</w:t>
      </w:r>
      <w:r w:rsidR="00EA702C">
        <w:rPr>
          <w:rFonts w:eastAsia="Arial" w:cs="Times New Roman"/>
          <w:sz w:val="28"/>
          <w:szCs w:val="28"/>
        </w:rPr>
        <w:t>РКОД МЗ РТ им.проф.</w:t>
      </w:r>
      <w:r w:rsidR="00AC5011" w:rsidRPr="002B3817">
        <w:rPr>
          <w:rFonts w:eastAsia="Arial" w:cs="Times New Roman"/>
          <w:sz w:val="28"/>
          <w:szCs w:val="28"/>
        </w:rPr>
        <w:t>М.З.Сигала</w:t>
      </w:r>
      <w:r w:rsidR="002F7358">
        <w:rPr>
          <w:rFonts w:eastAsia="Arial" w:cs="Times New Roman"/>
          <w:sz w:val="28"/>
          <w:szCs w:val="28"/>
        </w:rPr>
        <w:t>»</w:t>
      </w:r>
      <w:r w:rsidRPr="00091230">
        <w:rPr>
          <w:sz w:val="28"/>
          <w:szCs w:val="28"/>
        </w:rPr>
        <w:t xml:space="preserve">. На территории ГАУЗ </w:t>
      </w:r>
      <w:r w:rsidR="002F7358">
        <w:rPr>
          <w:rFonts w:eastAsia="Arial" w:cs="Times New Roman"/>
          <w:sz w:val="28"/>
          <w:szCs w:val="28"/>
        </w:rPr>
        <w:t>«</w:t>
      </w:r>
      <w:r w:rsidR="00EA702C">
        <w:rPr>
          <w:rFonts w:eastAsia="Arial" w:cs="Times New Roman"/>
          <w:sz w:val="28"/>
          <w:szCs w:val="28"/>
        </w:rPr>
        <w:t>РКОД МЗ РТ им.проф.</w:t>
      </w:r>
      <w:r w:rsidR="00AC5011" w:rsidRPr="002B3817">
        <w:rPr>
          <w:rFonts w:eastAsia="Arial" w:cs="Times New Roman"/>
          <w:sz w:val="28"/>
          <w:szCs w:val="28"/>
        </w:rPr>
        <w:t>М.З.Сигала</w:t>
      </w:r>
      <w:r w:rsidR="002F7358">
        <w:rPr>
          <w:rFonts w:eastAsia="Arial" w:cs="Times New Roman"/>
          <w:sz w:val="28"/>
          <w:szCs w:val="28"/>
        </w:rPr>
        <w:t>»</w:t>
      </w:r>
      <w:r w:rsidRPr="00091230">
        <w:rPr>
          <w:sz w:val="28"/>
          <w:szCs w:val="28"/>
        </w:rPr>
        <w:t xml:space="preserve"> развернут сервер PACS (DCM4) </w:t>
      </w:r>
      <w:r w:rsidR="00931D0F">
        <w:rPr>
          <w:rFonts w:eastAsia="Arial"/>
          <w:sz w:val="28"/>
          <w:szCs w:val="28"/>
        </w:rPr>
        <w:t>–</w:t>
      </w:r>
      <w:r w:rsidRPr="00091230">
        <w:rPr>
          <w:sz w:val="28"/>
          <w:szCs w:val="28"/>
        </w:rPr>
        <w:t xml:space="preserve"> система обработки и хранения диагностических медицинских изображений, в частности используемых в процессах выявления ЗНО у пациентов </w:t>
      </w:r>
      <w:r w:rsidR="00FF0BC2">
        <w:rPr>
          <w:sz w:val="28"/>
          <w:szCs w:val="28"/>
        </w:rPr>
        <w:t>р</w:t>
      </w:r>
      <w:r w:rsidRPr="00091230">
        <w:rPr>
          <w:sz w:val="28"/>
          <w:szCs w:val="28"/>
        </w:rPr>
        <w:t xml:space="preserve">еспублики на ранних стадиях в рамках </w:t>
      </w:r>
      <w:r w:rsidR="00185811">
        <w:rPr>
          <w:sz w:val="28"/>
          <w:szCs w:val="28"/>
        </w:rPr>
        <w:t>диспансеризации определенных групп взрослого населения</w:t>
      </w:r>
      <w:r w:rsidRPr="00091230">
        <w:rPr>
          <w:sz w:val="28"/>
          <w:szCs w:val="28"/>
        </w:rPr>
        <w:t>.</w:t>
      </w:r>
    </w:p>
    <w:p w:rsidR="00576FBB" w:rsidRPr="00B14E93" w:rsidRDefault="00576FBB" w:rsidP="00FF0BC2">
      <w:pPr>
        <w:pStyle w:val="Textbody"/>
        <w:suppressAutoHyphens w:val="0"/>
        <w:spacing w:after="0" w:line="245" w:lineRule="auto"/>
        <w:ind w:firstLine="709"/>
        <w:jc w:val="both"/>
        <w:rPr>
          <w:sz w:val="28"/>
          <w:szCs w:val="28"/>
        </w:rPr>
      </w:pPr>
      <w:r w:rsidRPr="00B14E93">
        <w:rPr>
          <w:sz w:val="28"/>
          <w:szCs w:val="28"/>
        </w:rPr>
        <w:t xml:space="preserve">Имеется и поддерживается в актуальном состоянии официальный сайт </w:t>
      </w:r>
      <w:r w:rsidR="00EA702C">
        <w:rPr>
          <w:rFonts w:eastAsia="Arial"/>
          <w:sz w:val="28"/>
          <w:szCs w:val="28"/>
        </w:rPr>
        <w:t>ГАУЗ «РКОД МЗ РТ им.проф.</w:t>
      </w:r>
      <w:r w:rsidR="00B14E93" w:rsidRPr="00B14E93">
        <w:rPr>
          <w:rFonts w:eastAsia="Arial"/>
          <w:sz w:val="28"/>
          <w:szCs w:val="28"/>
        </w:rPr>
        <w:t>М.З.Сигала»</w:t>
      </w:r>
      <w:r w:rsidRPr="00B14E93">
        <w:rPr>
          <w:sz w:val="28"/>
          <w:szCs w:val="28"/>
        </w:rPr>
        <w:t>.</w:t>
      </w:r>
    </w:p>
    <w:p w:rsidR="00576FBB" w:rsidRPr="00091230" w:rsidRDefault="00576FBB" w:rsidP="00FF0BC2">
      <w:pPr>
        <w:pStyle w:val="Textbody"/>
        <w:suppressAutoHyphens w:val="0"/>
        <w:spacing w:after="0" w:line="245" w:lineRule="auto"/>
        <w:ind w:firstLine="709"/>
        <w:jc w:val="both"/>
        <w:rPr>
          <w:sz w:val="28"/>
          <w:szCs w:val="28"/>
        </w:rPr>
      </w:pPr>
      <w:r w:rsidRPr="00091230">
        <w:rPr>
          <w:sz w:val="28"/>
          <w:szCs w:val="28"/>
        </w:rPr>
        <w:t xml:space="preserve">Все системы соответствуют требованиям Федерального закона </w:t>
      </w:r>
      <w:r w:rsidR="00172B71">
        <w:rPr>
          <w:sz w:val="28"/>
          <w:szCs w:val="28"/>
        </w:rPr>
        <w:t xml:space="preserve">от 27 июля </w:t>
      </w:r>
      <w:r w:rsidR="00172B71">
        <w:rPr>
          <w:sz w:val="28"/>
          <w:szCs w:val="28"/>
        </w:rPr>
        <w:br/>
        <w:t>2006 года</w:t>
      </w:r>
      <w:r w:rsidRPr="00091230">
        <w:rPr>
          <w:sz w:val="28"/>
          <w:szCs w:val="28"/>
        </w:rPr>
        <w:t xml:space="preserve"> №152-ФЗ </w:t>
      </w:r>
      <w:r w:rsidR="002F7358">
        <w:rPr>
          <w:sz w:val="28"/>
          <w:szCs w:val="28"/>
        </w:rPr>
        <w:t>«</w:t>
      </w:r>
      <w:r w:rsidRPr="00091230">
        <w:rPr>
          <w:sz w:val="28"/>
          <w:szCs w:val="28"/>
        </w:rPr>
        <w:t>О персональных данных</w:t>
      </w:r>
      <w:r w:rsidR="002F7358">
        <w:rPr>
          <w:sz w:val="28"/>
          <w:szCs w:val="28"/>
        </w:rPr>
        <w:t>»</w:t>
      </w:r>
      <w:r w:rsidRPr="00091230">
        <w:rPr>
          <w:sz w:val="28"/>
          <w:szCs w:val="28"/>
        </w:rPr>
        <w:t>.</w:t>
      </w:r>
      <w:r w:rsidR="00172B71">
        <w:rPr>
          <w:sz w:val="28"/>
          <w:szCs w:val="28"/>
        </w:rPr>
        <w:t xml:space="preserve"> </w:t>
      </w:r>
      <w:r w:rsidR="009D0D01" w:rsidRPr="00091230">
        <w:rPr>
          <w:sz w:val="28"/>
          <w:szCs w:val="28"/>
        </w:rPr>
        <w:t>Д</w:t>
      </w:r>
      <w:r w:rsidRPr="00091230">
        <w:rPr>
          <w:sz w:val="28"/>
          <w:szCs w:val="28"/>
        </w:rPr>
        <w:t>ля обеспечения решени</w:t>
      </w:r>
      <w:r w:rsidR="00172B71">
        <w:rPr>
          <w:sz w:val="28"/>
          <w:szCs w:val="28"/>
        </w:rPr>
        <w:t>я</w:t>
      </w:r>
      <w:r w:rsidRPr="00091230">
        <w:rPr>
          <w:sz w:val="28"/>
          <w:szCs w:val="28"/>
        </w:rPr>
        <w:t xml:space="preserve"> экономических и других задач производственной и управленческой деятельности в ГАУЗ </w:t>
      </w:r>
      <w:r w:rsidR="002F7358">
        <w:rPr>
          <w:rFonts w:eastAsia="Arial" w:cs="Times New Roman"/>
          <w:sz w:val="28"/>
          <w:szCs w:val="28"/>
        </w:rPr>
        <w:t>«</w:t>
      </w:r>
      <w:r w:rsidR="00EA702C">
        <w:rPr>
          <w:rFonts w:eastAsia="Arial" w:cs="Times New Roman"/>
          <w:sz w:val="28"/>
          <w:szCs w:val="28"/>
        </w:rPr>
        <w:t>РКОД МЗ РТ им.проф.</w:t>
      </w:r>
      <w:r w:rsidR="00AC5011" w:rsidRPr="002B3817">
        <w:rPr>
          <w:rFonts w:eastAsia="Arial" w:cs="Times New Roman"/>
          <w:sz w:val="28"/>
          <w:szCs w:val="28"/>
        </w:rPr>
        <w:t>М.З.Сигала</w:t>
      </w:r>
      <w:r w:rsidR="002F7358">
        <w:rPr>
          <w:rFonts w:eastAsia="Arial" w:cs="Times New Roman"/>
          <w:sz w:val="28"/>
          <w:szCs w:val="28"/>
        </w:rPr>
        <w:t>»</w:t>
      </w:r>
      <w:r w:rsidR="00987B25">
        <w:rPr>
          <w:rFonts w:eastAsia="Arial" w:cs="Times New Roman"/>
          <w:sz w:val="28"/>
          <w:szCs w:val="28"/>
        </w:rPr>
        <w:t>,</w:t>
      </w:r>
      <w:r w:rsidRPr="00091230">
        <w:rPr>
          <w:sz w:val="28"/>
          <w:szCs w:val="28"/>
        </w:rPr>
        <w:t xml:space="preserve"> кроме </w:t>
      </w:r>
      <w:r w:rsidR="00987B25">
        <w:rPr>
          <w:sz w:val="28"/>
          <w:szCs w:val="28"/>
        </w:rPr>
        <w:t xml:space="preserve">медицинской информационной системы ГАУЗ </w:t>
      </w:r>
      <w:r w:rsidR="00987B25">
        <w:rPr>
          <w:rFonts w:eastAsia="Arial"/>
          <w:sz w:val="28"/>
          <w:szCs w:val="28"/>
        </w:rPr>
        <w:t>«РКОД МЗ РТ им.проф.М.З.Сигала»</w:t>
      </w:r>
      <w:r w:rsidRPr="00091230">
        <w:rPr>
          <w:sz w:val="28"/>
          <w:szCs w:val="28"/>
        </w:rPr>
        <w:t>, ДЦ­</w:t>
      </w:r>
      <w:r w:rsidR="001D51DF">
        <w:rPr>
          <w:sz w:val="28"/>
          <w:szCs w:val="28"/>
        </w:rPr>
        <w:t>О</w:t>
      </w:r>
      <w:r w:rsidRPr="00091230">
        <w:rPr>
          <w:sz w:val="28"/>
          <w:szCs w:val="28"/>
        </w:rPr>
        <w:t>нко и лабораторных систем</w:t>
      </w:r>
      <w:r w:rsidR="00987B25">
        <w:rPr>
          <w:sz w:val="28"/>
          <w:szCs w:val="28"/>
        </w:rPr>
        <w:t>,</w:t>
      </w:r>
      <w:r w:rsidRPr="00091230">
        <w:rPr>
          <w:sz w:val="28"/>
          <w:szCs w:val="28"/>
        </w:rPr>
        <w:t xml:space="preserve"> использ</w:t>
      </w:r>
      <w:r w:rsidR="001758BA" w:rsidRPr="00091230">
        <w:rPr>
          <w:sz w:val="28"/>
          <w:szCs w:val="28"/>
        </w:rPr>
        <w:t>уется ряд информационных систем</w:t>
      </w:r>
      <w:r w:rsidR="009721B9" w:rsidRPr="00091230">
        <w:rPr>
          <w:sz w:val="28"/>
          <w:szCs w:val="28"/>
        </w:rPr>
        <w:t xml:space="preserve"> (таб</w:t>
      </w:r>
      <w:r w:rsidR="009721B9" w:rsidRPr="00675B52">
        <w:rPr>
          <w:sz w:val="28"/>
          <w:szCs w:val="28"/>
        </w:rPr>
        <w:t xml:space="preserve">лица </w:t>
      </w:r>
      <w:r w:rsidR="009870B9" w:rsidRPr="00B14E93">
        <w:rPr>
          <w:sz w:val="28"/>
          <w:szCs w:val="28"/>
        </w:rPr>
        <w:t>2</w:t>
      </w:r>
      <w:r w:rsidR="00DA6979" w:rsidRPr="00B14E93">
        <w:rPr>
          <w:sz w:val="28"/>
          <w:szCs w:val="28"/>
        </w:rPr>
        <w:t>7</w:t>
      </w:r>
      <w:r w:rsidR="009870B9" w:rsidRPr="00B14E93">
        <w:rPr>
          <w:sz w:val="28"/>
          <w:szCs w:val="28"/>
        </w:rPr>
        <w:t>.2</w:t>
      </w:r>
      <w:r w:rsidR="009721B9" w:rsidRPr="00B14E93">
        <w:rPr>
          <w:sz w:val="28"/>
          <w:szCs w:val="28"/>
        </w:rPr>
        <w:t>).</w:t>
      </w:r>
    </w:p>
    <w:p w:rsidR="009721B9" w:rsidRDefault="009721B9" w:rsidP="00FB45DF">
      <w:pPr>
        <w:pStyle w:val="Textbody"/>
        <w:suppressAutoHyphens w:val="0"/>
        <w:spacing w:after="0"/>
        <w:ind w:left="-567" w:firstLine="709"/>
        <w:jc w:val="both"/>
      </w:pPr>
    </w:p>
    <w:p w:rsidR="009721B9" w:rsidRDefault="009721B9" w:rsidP="00FB45DF">
      <w:pPr>
        <w:pStyle w:val="Textbody"/>
        <w:suppressAutoHyphens w:val="0"/>
        <w:spacing w:after="0"/>
        <w:ind w:left="7941"/>
        <w:jc w:val="right"/>
        <w:rPr>
          <w:sz w:val="28"/>
          <w:szCs w:val="28"/>
        </w:rPr>
      </w:pPr>
      <w:r w:rsidRPr="00B14E93">
        <w:rPr>
          <w:sz w:val="28"/>
          <w:szCs w:val="28"/>
        </w:rPr>
        <w:t xml:space="preserve">Таблица </w:t>
      </w:r>
      <w:r w:rsidR="009870B9" w:rsidRPr="00B14E93">
        <w:rPr>
          <w:sz w:val="28"/>
          <w:szCs w:val="28"/>
        </w:rPr>
        <w:t>2</w:t>
      </w:r>
      <w:r w:rsidR="00DA6979" w:rsidRPr="00B14E93">
        <w:rPr>
          <w:sz w:val="28"/>
          <w:szCs w:val="28"/>
        </w:rPr>
        <w:t>7</w:t>
      </w:r>
      <w:r w:rsidR="009870B9" w:rsidRPr="00B14E93">
        <w:rPr>
          <w:sz w:val="28"/>
          <w:szCs w:val="28"/>
        </w:rPr>
        <w:t>.2</w:t>
      </w:r>
    </w:p>
    <w:p w:rsidR="00DE5FCC" w:rsidRPr="00DE5FCC" w:rsidRDefault="00DE5FCC" w:rsidP="00FB45DF">
      <w:pPr>
        <w:pStyle w:val="Textbody"/>
        <w:suppressAutoHyphens w:val="0"/>
        <w:spacing w:after="0"/>
        <w:ind w:left="7941"/>
        <w:jc w:val="right"/>
      </w:pPr>
    </w:p>
    <w:p w:rsidR="00576FBB" w:rsidRDefault="009721B9" w:rsidP="00EA702C">
      <w:pPr>
        <w:pStyle w:val="Textbody"/>
        <w:suppressAutoHyphens w:val="0"/>
        <w:spacing w:after="0"/>
        <w:jc w:val="center"/>
        <w:rPr>
          <w:rFonts w:eastAsia="Arial" w:cs="Times New Roman"/>
          <w:sz w:val="28"/>
          <w:szCs w:val="28"/>
        </w:rPr>
      </w:pPr>
      <w:r w:rsidRPr="00091230">
        <w:rPr>
          <w:sz w:val="28"/>
          <w:szCs w:val="28"/>
        </w:rPr>
        <w:t xml:space="preserve">Информационные системы ГАУЗ </w:t>
      </w:r>
      <w:r w:rsidR="002F7358">
        <w:rPr>
          <w:rFonts w:eastAsia="Arial" w:cs="Times New Roman"/>
          <w:sz w:val="28"/>
          <w:szCs w:val="28"/>
        </w:rPr>
        <w:t>«</w:t>
      </w:r>
      <w:r w:rsidR="00EA702C">
        <w:rPr>
          <w:rFonts w:eastAsia="Arial" w:cs="Times New Roman"/>
          <w:sz w:val="28"/>
          <w:szCs w:val="28"/>
        </w:rPr>
        <w:t>РКОД МЗ РТ им.проф.</w:t>
      </w:r>
      <w:r w:rsidR="00AC5011" w:rsidRPr="002B3817">
        <w:rPr>
          <w:rFonts w:eastAsia="Arial" w:cs="Times New Roman"/>
          <w:sz w:val="28"/>
          <w:szCs w:val="28"/>
        </w:rPr>
        <w:t>М.З.Сигала</w:t>
      </w:r>
      <w:r w:rsidR="002F7358">
        <w:rPr>
          <w:rFonts w:eastAsia="Arial" w:cs="Times New Roman"/>
          <w:sz w:val="28"/>
          <w:szCs w:val="28"/>
        </w:rPr>
        <w:t>»</w:t>
      </w:r>
    </w:p>
    <w:p w:rsidR="00DE5FCC" w:rsidRPr="00091230" w:rsidRDefault="00DE5FCC" w:rsidP="00FB45DF">
      <w:pPr>
        <w:pStyle w:val="Textbody"/>
        <w:suppressAutoHyphens w:val="0"/>
        <w:spacing w:after="0"/>
        <w:ind w:left="-567" w:firstLine="709"/>
        <w:jc w:val="center"/>
        <w:rPr>
          <w:sz w:val="28"/>
          <w:szCs w:val="28"/>
        </w:rPr>
      </w:pPr>
    </w:p>
    <w:tbl>
      <w:tblPr>
        <w:tblStyle w:val="TableNormal"/>
        <w:tblW w:w="10198" w:type="dxa"/>
        <w:tblInd w:w="0" w:type="dxa"/>
        <w:tblBorders>
          <w:top w:val="single" w:sz="6" w:space="0" w:color="000000"/>
          <w:left w:val="single" w:sz="6" w:space="0" w:color="000000"/>
          <w:right w:val="single" w:sz="6" w:space="0" w:color="000000"/>
          <w:insideH w:val="single" w:sz="6" w:space="0" w:color="000000"/>
          <w:insideV w:val="single" w:sz="6" w:space="0" w:color="000000"/>
        </w:tblBorders>
        <w:tblLayout w:type="fixed"/>
        <w:tblCellMar>
          <w:top w:w="17" w:type="dxa"/>
          <w:bottom w:w="17" w:type="dxa"/>
        </w:tblCellMar>
        <w:tblLook w:val="01E0" w:firstRow="1" w:lastRow="1" w:firstColumn="1" w:lastColumn="1" w:noHBand="0" w:noVBand="0"/>
      </w:tblPr>
      <w:tblGrid>
        <w:gridCol w:w="6080"/>
        <w:gridCol w:w="4118"/>
      </w:tblGrid>
      <w:tr w:rsidR="00576FBB" w:rsidRPr="0001323F" w:rsidTr="00B94902">
        <w:trPr>
          <w:trHeight w:val="20"/>
        </w:trPr>
        <w:tc>
          <w:tcPr>
            <w:tcW w:w="6080" w:type="dxa"/>
            <w:hideMark/>
          </w:tcPr>
          <w:p w:rsidR="00576FBB" w:rsidRPr="0001323F" w:rsidRDefault="00576FBB" w:rsidP="00F90DF3">
            <w:pPr>
              <w:pStyle w:val="TableParagraph"/>
              <w:jc w:val="center"/>
              <w:rPr>
                <w:sz w:val="24"/>
                <w:szCs w:val="24"/>
                <w:lang w:val="ru-RU"/>
              </w:rPr>
            </w:pPr>
            <w:r w:rsidRPr="0001323F">
              <w:rPr>
                <w:w w:val="105"/>
                <w:sz w:val="24"/>
                <w:szCs w:val="24"/>
                <w:lang w:val="ru-RU"/>
              </w:rPr>
              <w:t>Программный продукт</w:t>
            </w:r>
          </w:p>
        </w:tc>
        <w:tc>
          <w:tcPr>
            <w:tcW w:w="4118" w:type="dxa"/>
            <w:hideMark/>
          </w:tcPr>
          <w:p w:rsidR="00576FBB" w:rsidRPr="0001323F" w:rsidRDefault="00576FBB" w:rsidP="00CB1163">
            <w:pPr>
              <w:pStyle w:val="TableParagraph"/>
              <w:ind w:left="57" w:right="57"/>
              <w:jc w:val="center"/>
              <w:rPr>
                <w:sz w:val="24"/>
                <w:szCs w:val="24"/>
                <w:lang w:val="ru-RU"/>
              </w:rPr>
            </w:pPr>
            <w:r w:rsidRPr="0001323F">
              <w:rPr>
                <w:w w:val="105"/>
                <w:sz w:val="24"/>
                <w:szCs w:val="24"/>
                <w:lang w:val="ru-RU"/>
              </w:rPr>
              <w:t>Подразделение</w:t>
            </w:r>
            <w:r w:rsidR="000868C3" w:rsidRPr="0001323F">
              <w:rPr>
                <w:sz w:val="24"/>
                <w:szCs w:val="24"/>
                <w:lang w:val="ru-RU"/>
              </w:rPr>
              <w:t xml:space="preserve"> ГАУЗ «РКОД МЗ РТ им.проф.</w:t>
            </w:r>
            <w:r w:rsidR="00C857F2" w:rsidRPr="0001323F">
              <w:rPr>
                <w:sz w:val="24"/>
                <w:szCs w:val="24"/>
                <w:lang w:val="ru-RU"/>
              </w:rPr>
              <w:t>М.З.Сигала»</w:t>
            </w:r>
            <w:r w:rsidRPr="0001323F">
              <w:rPr>
                <w:w w:val="105"/>
                <w:sz w:val="24"/>
                <w:szCs w:val="24"/>
                <w:lang w:val="ru-RU"/>
              </w:rPr>
              <w:t xml:space="preserve">, </w:t>
            </w:r>
            <w:r w:rsidR="00C857F2" w:rsidRPr="0001323F">
              <w:rPr>
                <w:sz w:val="24"/>
                <w:szCs w:val="24"/>
                <w:lang w:val="ru-RU"/>
              </w:rPr>
              <w:t>где используе</w:t>
            </w:r>
            <w:r w:rsidRPr="0001323F">
              <w:rPr>
                <w:sz w:val="24"/>
                <w:szCs w:val="24"/>
                <w:lang w:val="ru-RU"/>
              </w:rPr>
              <w:t>тся</w:t>
            </w:r>
            <w:r w:rsidR="00C857F2" w:rsidRPr="0001323F">
              <w:rPr>
                <w:sz w:val="24"/>
                <w:szCs w:val="24"/>
                <w:lang w:val="ru-RU"/>
              </w:rPr>
              <w:t xml:space="preserve"> </w:t>
            </w:r>
            <w:r w:rsidR="00C857F2" w:rsidRPr="0001323F">
              <w:rPr>
                <w:w w:val="105"/>
                <w:sz w:val="24"/>
                <w:szCs w:val="24"/>
                <w:lang w:val="ru-RU"/>
              </w:rPr>
              <w:t>программный продукт</w:t>
            </w:r>
          </w:p>
        </w:tc>
      </w:tr>
    </w:tbl>
    <w:p w:rsidR="00B94902" w:rsidRPr="00B94902" w:rsidRDefault="00B94902">
      <w:pPr>
        <w:rPr>
          <w:sz w:val="2"/>
          <w:szCs w:val="2"/>
        </w:rPr>
      </w:pPr>
    </w:p>
    <w:tbl>
      <w:tblPr>
        <w:tblStyle w:val="TableNormal"/>
        <w:tblW w:w="10198" w:type="dxa"/>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17" w:type="dxa"/>
          <w:bottom w:w="17" w:type="dxa"/>
        </w:tblCellMar>
        <w:tblLook w:val="01E0" w:firstRow="1" w:lastRow="1" w:firstColumn="1" w:lastColumn="1" w:noHBand="0" w:noVBand="0"/>
      </w:tblPr>
      <w:tblGrid>
        <w:gridCol w:w="6080"/>
        <w:gridCol w:w="4118"/>
      </w:tblGrid>
      <w:tr w:rsidR="00B94902" w:rsidRPr="0001323F" w:rsidTr="00B94902">
        <w:trPr>
          <w:trHeight w:val="20"/>
          <w:tblHeader/>
        </w:trPr>
        <w:tc>
          <w:tcPr>
            <w:tcW w:w="6080" w:type="dxa"/>
            <w:tcBorders>
              <w:top w:val="single" w:sz="6" w:space="0" w:color="000000"/>
              <w:left w:val="single" w:sz="6" w:space="0" w:color="000000"/>
              <w:bottom w:val="single" w:sz="6" w:space="0" w:color="000000"/>
              <w:right w:val="single" w:sz="6" w:space="0" w:color="000000"/>
            </w:tcBorders>
          </w:tcPr>
          <w:p w:rsidR="00B94902" w:rsidRPr="0001323F" w:rsidRDefault="00B94902" w:rsidP="00F90DF3">
            <w:pPr>
              <w:pStyle w:val="TableParagraph"/>
              <w:jc w:val="center"/>
              <w:rPr>
                <w:w w:val="105"/>
                <w:sz w:val="24"/>
                <w:szCs w:val="24"/>
                <w:lang w:val="ru-RU"/>
              </w:rPr>
            </w:pPr>
            <w:r>
              <w:rPr>
                <w:w w:val="105"/>
                <w:sz w:val="24"/>
                <w:szCs w:val="24"/>
                <w:lang w:val="ru-RU"/>
              </w:rPr>
              <w:t>1</w:t>
            </w:r>
          </w:p>
        </w:tc>
        <w:tc>
          <w:tcPr>
            <w:tcW w:w="4118" w:type="dxa"/>
            <w:tcBorders>
              <w:top w:val="single" w:sz="6" w:space="0" w:color="000000"/>
              <w:left w:val="single" w:sz="6" w:space="0" w:color="000000"/>
              <w:bottom w:val="single" w:sz="6" w:space="0" w:color="000000"/>
              <w:right w:val="single" w:sz="6" w:space="0" w:color="000000"/>
            </w:tcBorders>
          </w:tcPr>
          <w:p w:rsidR="00B94902" w:rsidRPr="0001323F" w:rsidRDefault="00B94902" w:rsidP="00CB1163">
            <w:pPr>
              <w:pStyle w:val="TableParagraph"/>
              <w:ind w:left="57" w:right="57"/>
              <w:jc w:val="center"/>
              <w:rPr>
                <w:w w:val="105"/>
                <w:sz w:val="24"/>
                <w:szCs w:val="24"/>
                <w:lang w:val="ru-RU"/>
              </w:rPr>
            </w:pPr>
            <w:r>
              <w:rPr>
                <w:w w:val="105"/>
                <w:sz w:val="24"/>
                <w:szCs w:val="24"/>
                <w:lang w:val="ru-RU"/>
              </w:rPr>
              <w:t>2</w:t>
            </w:r>
          </w:p>
        </w:tc>
      </w:tr>
      <w:tr w:rsidR="00172B71" w:rsidRPr="0001323F" w:rsidTr="0048260C">
        <w:trPr>
          <w:trHeight w:val="20"/>
        </w:trPr>
        <w:tc>
          <w:tcPr>
            <w:tcW w:w="6080" w:type="dxa"/>
            <w:tcBorders>
              <w:top w:val="single" w:sz="6" w:space="0" w:color="000000"/>
              <w:left w:val="single" w:sz="6" w:space="0" w:color="000000"/>
              <w:bottom w:val="single" w:sz="6" w:space="0" w:color="000000"/>
              <w:right w:val="single" w:sz="6" w:space="0" w:color="000000"/>
            </w:tcBorders>
            <w:hideMark/>
          </w:tcPr>
          <w:p w:rsidR="00172B71" w:rsidRPr="0001323F" w:rsidRDefault="00172B71" w:rsidP="0001323F">
            <w:pPr>
              <w:pStyle w:val="Textbody"/>
              <w:suppressAutoHyphens w:val="0"/>
              <w:spacing w:after="0"/>
              <w:ind w:left="57" w:right="57"/>
              <w:jc w:val="both"/>
            </w:pPr>
            <w:r w:rsidRPr="0001323F">
              <w:t xml:space="preserve">Программное обеспечение для бухгалтерского учета </w:t>
            </w:r>
            <w:r w:rsidR="002F7358" w:rsidRPr="0001323F">
              <w:t>«</w:t>
            </w:r>
            <w:r w:rsidRPr="0001323F">
              <w:t>Барс.Единая бухгалтерия и заработная плата</w:t>
            </w:r>
            <w:r w:rsidR="002F7358" w:rsidRPr="0001323F">
              <w:t>»</w:t>
            </w:r>
          </w:p>
        </w:tc>
        <w:tc>
          <w:tcPr>
            <w:tcW w:w="4118" w:type="dxa"/>
            <w:tcBorders>
              <w:top w:val="single" w:sz="6" w:space="0" w:color="000000"/>
              <w:left w:val="single" w:sz="6" w:space="0" w:color="000000"/>
              <w:bottom w:val="single" w:sz="6" w:space="0" w:color="000000"/>
              <w:right w:val="single" w:sz="6" w:space="0" w:color="000000"/>
            </w:tcBorders>
          </w:tcPr>
          <w:p w:rsidR="00172B71" w:rsidRPr="0001323F" w:rsidRDefault="00B94902" w:rsidP="00B94902">
            <w:pPr>
              <w:pStyle w:val="Textbody"/>
              <w:suppressAutoHyphens w:val="0"/>
              <w:spacing w:after="0"/>
              <w:ind w:left="57" w:right="57"/>
              <w:jc w:val="both"/>
            </w:pPr>
            <w:r>
              <w:t>Планово-эконом</w:t>
            </w:r>
            <w:r w:rsidR="00FF0BC2">
              <w:t>и</w:t>
            </w:r>
            <w:r>
              <w:t>ческий отдел, б</w:t>
            </w:r>
            <w:r w:rsidR="00172B71" w:rsidRPr="0001323F">
              <w:t>ухгалтерия</w:t>
            </w:r>
          </w:p>
        </w:tc>
      </w:tr>
      <w:tr w:rsidR="00172B71" w:rsidRPr="0001323F" w:rsidTr="0048260C">
        <w:trPr>
          <w:trHeight w:val="20"/>
        </w:trPr>
        <w:tc>
          <w:tcPr>
            <w:tcW w:w="6080" w:type="dxa"/>
            <w:tcBorders>
              <w:top w:val="single" w:sz="6" w:space="0" w:color="000000"/>
              <w:left w:val="single" w:sz="6" w:space="0" w:color="000000"/>
              <w:bottom w:val="single" w:sz="6" w:space="0" w:color="000000"/>
              <w:right w:val="single" w:sz="6" w:space="0" w:color="000000"/>
            </w:tcBorders>
            <w:hideMark/>
          </w:tcPr>
          <w:p w:rsidR="00172B71" w:rsidRPr="0001323F" w:rsidRDefault="00172B71" w:rsidP="0001323F">
            <w:pPr>
              <w:pStyle w:val="Textbody"/>
              <w:suppressAutoHyphens w:val="0"/>
              <w:spacing w:after="0"/>
              <w:ind w:left="57" w:right="57"/>
              <w:jc w:val="both"/>
            </w:pPr>
            <w:r w:rsidRPr="0001323F">
              <w:t>Программное обеспечение для бухгалтерского</w:t>
            </w:r>
            <w:r w:rsidR="000868C3" w:rsidRPr="0001323F">
              <w:t xml:space="preserve"> </w:t>
            </w:r>
            <w:r w:rsidRPr="0001323F">
              <w:t>учета IC</w:t>
            </w:r>
          </w:p>
        </w:tc>
        <w:tc>
          <w:tcPr>
            <w:tcW w:w="4118" w:type="dxa"/>
            <w:tcBorders>
              <w:top w:val="single" w:sz="6" w:space="0" w:color="000000"/>
              <w:left w:val="single" w:sz="6" w:space="0" w:color="000000"/>
              <w:bottom w:val="single" w:sz="6" w:space="0" w:color="000000"/>
              <w:right w:val="single" w:sz="6" w:space="0" w:color="000000"/>
            </w:tcBorders>
            <w:hideMark/>
          </w:tcPr>
          <w:p w:rsidR="00172B71" w:rsidRPr="0001323F" w:rsidRDefault="00B94902" w:rsidP="0001323F">
            <w:pPr>
              <w:pStyle w:val="Textbody"/>
              <w:suppressAutoHyphens w:val="0"/>
              <w:spacing w:after="0"/>
              <w:ind w:left="57" w:right="57"/>
              <w:jc w:val="both"/>
            </w:pPr>
            <w:r>
              <w:t>Планово-эконом</w:t>
            </w:r>
            <w:r w:rsidR="00FF0BC2">
              <w:t>и</w:t>
            </w:r>
            <w:r>
              <w:t>ческий отдел, б</w:t>
            </w:r>
            <w:r w:rsidRPr="0001323F">
              <w:t>ухгалтерия</w:t>
            </w:r>
          </w:p>
        </w:tc>
      </w:tr>
      <w:tr w:rsidR="00172B71" w:rsidRPr="0001323F" w:rsidTr="0048260C">
        <w:trPr>
          <w:trHeight w:val="20"/>
        </w:trPr>
        <w:tc>
          <w:tcPr>
            <w:tcW w:w="6080" w:type="dxa"/>
            <w:tcBorders>
              <w:top w:val="single" w:sz="6" w:space="0" w:color="000000"/>
              <w:left w:val="single" w:sz="6" w:space="0" w:color="000000"/>
              <w:bottom w:val="single" w:sz="6" w:space="0" w:color="000000"/>
              <w:right w:val="single" w:sz="6" w:space="0" w:color="000000"/>
            </w:tcBorders>
            <w:hideMark/>
          </w:tcPr>
          <w:p w:rsidR="00172B71" w:rsidRPr="0001323F" w:rsidRDefault="00172B71" w:rsidP="0001323F">
            <w:pPr>
              <w:pStyle w:val="Textbody"/>
              <w:suppressAutoHyphens w:val="0"/>
              <w:spacing w:after="0"/>
              <w:ind w:left="57" w:right="57"/>
              <w:jc w:val="both"/>
            </w:pPr>
            <w:r w:rsidRPr="0001323F">
              <w:t xml:space="preserve">Правовая система </w:t>
            </w:r>
            <w:r w:rsidR="002F7358" w:rsidRPr="0001323F">
              <w:t>«</w:t>
            </w:r>
            <w:r w:rsidRPr="0001323F">
              <w:t>Гарант</w:t>
            </w:r>
            <w:r w:rsidR="002F7358" w:rsidRPr="0001323F">
              <w:t>»</w:t>
            </w:r>
          </w:p>
        </w:tc>
        <w:tc>
          <w:tcPr>
            <w:tcW w:w="4118" w:type="dxa"/>
            <w:tcBorders>
              <w:top w:val="single" w:sz="6" w:space="0" w:color="000000"/>
              <w:left w:val="single" w:sz="6" w:space="0" w:color="000000"/>
              <w:bottom w:val="single" w:sz="6" w:space="0" w:color="000000"/>
              <w:right w:val="single" w:sz="6" w:space="0" w:color="000000"/>
            </w:tcBorders>
            <w:hideMark/>
          </w:tcPr>
          <w:p w:rsidR="00172B71" w:rsidRPr="0001323F" w:rsidRDefault="00F90DF3" w:rsidP="0001323F">
            <w:pPr>
              <w:pStyle w:val="Textbody"/>
              <w:suppressAutoHyphens w:val="0"/>
              <w:spacing w:after="0"/>
              <w:ind w:left="57" w:right="57"/>
              <w:jc w:val="both"/>
            </w:pPr>
            <w:r>
              <w:t>Сотрудники</w:t>
            </w:r>
            <w:r w:rsidR="00172B71" w:rsidRPr="0001323F">
              <w:t xml:space="preserve"> </w:t>
            </w:r>
            <w:r w:rsidR="00C857F2" w:rsidRPr="0001323F">
              <w:t>ГАУЗ «РКОД МЗ РТ им.проф.М.З.Сигала»</w:t>
            </w:r>
          </w:p>
        </w:tc>
      </w:tr>
      <w:tr w:rsidR="00172B71" w:rsidRPr="0001323F" w:rsidTr="0048260C">
        <w:trPr>
          <w:trHeight w:val="20"/>
        </w:trPr>
        <w:tc>
          <w:tcPr>
            <w:tcW w:w="6080" w:type="dxa"/>
            <w:tcBorders>
              <w:top w:val="single" w:sz="6" w:space="0" w:color="000000"/>
              <w:left w:val="single" w:sz="6" w:space="0" w:color="000000"/>
              <w:bottom w:val="single" w:sz="6" w:space="0" w:color="000000"/>
              <w:right w:val="single" w:sz="6" w:space="0" w:color="000000"/>
            </w:tcBorders>
            <w:hideMark/>
          </w:tcPr>
          <w:p w:rsidR="00172B71" w:rsidRPr="0001323F" w:rsidRDefault="00172B71" w:rsidP="0001323F">
            <w:pPr>
              <w:pStyle w:val="Textbody"/>
              <w:suppressAutoHyphens w:val="0"/>
              <w:spacing w:after="0"/>
              <w:ind w:left="57" w:right="57"/>
              <w:jc w:val="both"/>
            </w:pPr>
            <w:r w:rsidRPr="0001323F">
              <w:t xml:space="preserve">Правовая система </w:t>
            </w:r>
            <w:r w:rsidR="002F7358" w:rsidRPr="0001323F">
              <w:t>«</w:t>
            </w:r>
            <w:r w:rsidRPr="0001323F">
              <w:t>Кодекс</w:t>
            </w:r>
            <w:r w:rsidR="002F7358" w:rsidRPr="0001323F">
              <w:t>»</w:t>
            </w:r>
          </w:p>
        </w:tc>
        <w:tc>
          <w:tcPr>
            <w:tcW w:w="4118" w:type="dxa"/>
            <w:tcBorders>
              <w:top w:val="single" w:sz="6" w:space="0" w:color="000000"/>
              <w:left w:val="single" w:sz="6" w:space="0" w:color="000000"/>
              <w:bottom w:val="single" w:sz="6" w:space="0" w:color="000000"/>
              <w:right w:val="single" w:sz="6" w:space="0" w:color="000000"/>
            </w:tcBorders>
            <w:hideMark/>
          </w:tcPr>
          <w:p w:rsidR="00172B71" w:rsidRPr="0001323F" w:rsidRDefault="00F90DF3" w:rsidP="0001323F">
            <w:pPr>
              <w:pStyle w:val="Textbody"/>
              <w:suppressAutoHyphens w:val="0"/>
              <w:spacing w:after="0"/>
              <w:ind w:left="57" w:right="57"/>
              <w:jc w:val="both"/>
            </w:pPr>
            <w:r>
              <w:t>Сотрудники</w:t>
            </w:r>
            <w:r w:rsidR="00172B71" w:rsidRPr="0001323F">
              <w:t xml:space="preserve"> </w:t>
            </w:r>
            <w:r w:rsidR="000868C3" w:rsidRPr="0001323F">
              <w:t>ГАУЗ «РКОД МЗ РТ им.проф.</w:t>
            </w:r>
            <w:r w:rsidR="00C857F2" w:rsidRPr="0001323F">
              <w:t>М.З.Сигала»</w:t>
            </w:r>
          </w:p>
        </w:tc>
      </w:tr>
      <w:tr w:rsidR="00172B71" w:rsidRPr="0001323F" w:rsidTr="0048260C">
        <w:trPr>
          <w:trHeight w:val="20"/>
        </w:trPr>
        <w:tc>
          <w:tcPr>
            <w:tcW w:w="6080" w:type="dxa"/>
            <w:tcBorders>
              <w:top w:val="single" w:sz="6" w:space="0" w:color="000000"/>
              <w:left w:val="single" w:sz="6" w:space="0" w:color="000000"/>
              <w:bottom w:val="single" w:sz="6" w:space="0" w:color="000000"/>
              <w:right w:val="single" w:sz="6" w:space="0" w:color="000000"/>
            </w:tcBorders>
            <w:hideMark/>
          </w:tcPr>
          <w:p w:rsidR="00172B71" w:rsidRPr="0001323F" w:rsidRDefault="00172B71" w:rsidP="0001323F">
            <w:pPr>
              <w:pStyle w:val="Textbody"/>
              <w:suppressAutoHyphens w:val="0"/>
              <w:spacing w:after="0"/>
              <w:ind w:left="57" w:right="57"/>
              <w:jc w:val="both"/>
            </w:pPr>
            <w:r w:rsidRPr="0001323F">
              <w:t xml:space="preserve">Планирующая система </w:t>
            </w:r>
            <w:r w:rsidR="002F7358" w:rsidRPr="0001323F">
              <w:t>«</w:t>
            </w:r>
            <w:r w:rsidRPr="0001323F">
              <w:t>Гранд Смета</w:t>
            </w:r>
            <w:r w:rsidR="002F7358" w:rsidRPr="0001323F">
              <w:t>»</w:t>
            </w:r>
          </w:p>
        </w:tc>
        <w:tc>
          <w:tcPr>
            <w:tcW w:w="4118" w:type="dxa"/>
            <w:tcBorders>
              <w:top w:val="single" w:sz="6" w:space="0" w:color="000000"/>
              <w:left w:val="single" w:sz="6" w:space="0" w:color="000000"/>
              <w:bottom w:val="single" w:sz="6" w:space="0" w:color="000000"/>
              <w:right w:val="single" w:sz="6" w:space="0" w:color="000000"/>
            </w:tcBorders>
            <w:hideMark/>
          </w:tcPr>
          <w:p w:rsidR="00172B71" w:rsidRPr="0001323F" w:rsidRDefault="00172B71" w:rsidP="0001323F">
            <w:pPr>
              <w:pStyle w:val="Textbody"/>
              <w:suppressAutoHyphens w:val="0"/>
              <w:spacing w:after="0"/>
              <w:ind w:left="57" w:right="57"/>
              <w:jc w:val="both"/>
            </w:pPr>
            <w:r w:rsidRPr="0001323F">
              <w:t>Отдел капитального строительства</w:t>
            </w:r>
          </w:p>
        </w:tc>
      </w:tr>
      <w:tr w:rsidR="00172B71" w:rsidRPr="0001323F" w:rsidTr="0048260C">
        <w:trPr>
          <w:trHeight w:val="20"/>
        </w:trPr>
        <w:tc>
          <w:tcPr>
            <w:tcW w:w="6080" w:type="dxa"/>
            <w:tcBorders>
              <w:top w:val="single" w:sz="6" w:space="0" w:color="000000"/>
              <w:left w:val="single" w:sz="6" w:space="0" w:color="000000"/>
              <w:bottom w:val="single" w:sz="6" w:space="0" w:color="000000"/>
              <w:right w:val="single" w:sz="6" w:space="0" w:color="000000"/>
            </w:tcBorders>
            <w:hideMark/>
          </w:tcPr>
          <w:p w:rsidR="00172B71" w:rsidRPr="0001323F" w:rsidRDefault="00172B71" w:rsidP="0001323F">
            <w:pPr>
              <w:pStyle w:val="Textbody"/>
              <w:suppressAutoHyphens w:val="0"/>
              <w:spacing w:after="0"/>
              <w:ind w:left="57" w:right="57"/>
              <w:jc w:val="both"/>
            </w:pPr>
            <w:r w:rsidRPr="0001323F">
              <w:t>WеЬ-бюджет</w:t>
            </w:r>
          </w:p>
        </w:tc>
        <w:tc>
          <w:tcPr>
            <w:tcW w:w="4118" w:type="dxa"/>
            <w:tcBorders>
              <w:top w:val="single" w:sz="6" w:space="0" w:color="000000"/>
              <w:left w:val="single" w:sz="6" w:space="0" w:color="000000"/>
              <w:bottom w:val="single" w:sz="6" w:space="0" w:color="000000"/>
              <w:right w:val="single" w:sz="6" w:space="0" w:color="000000"/>
            </w:tcBorders>
            <w:hideMark/>
          </w:tcPr>
          <w:p w:rsidR="00172B71" w:rsidRPr="0001323F" w:rsidRDefault="00B94902" w:rsidP="0001323F">
            <w:pPr>
              <w:pStyle w:val="Textbody"/>
              <w:suppressAutoHyphens w:val="0"/>
              <w:spacing w:after="0"/>
              <w:ind w:left="57" w:right="57"/>
              <w:jc w:val="both"/>
            </w:pPr>
            <w:r>
              <w:t>Планово-эконом</w:t>
            </w:r>
            <w:r w:rsidR="00F90DF3">
              <w:t>и</w:t>
            </w:r>
            <w:r>
              <w:t>ческий отдел, б</w:t>
            </w:r>
            <w:r w:rsidRPr="0001323F">
              <w:t>ухгалтерия</w:t>
            </w:r>
          </w:p>
        </w:tc>
      </w:tr>
      <w:tr w:rsidR="00172B71" w:rsidRPr="0001323F" w:rsidTr="0048260C">
        <w:trPr>
          <w:trHeight w:val="20"/>
        </w:trPr>
        <w:tc>
          <w:tcPr>
            <w:tcW w:w="6080" w:type="dxa"/>
            <w:tcBorders>
              <w:top w:val="single" w:sz="6" w:space="0" w:color="000000"/>
              <w:left w:val="single" w:sz="6" w:space="0" w:color="000000"/>
              <w:bottom w:val="single" w:sz="6" w:space="0" w:color="000000"/>
              <w:right w:val="single" w:sz="6" w:space="0" w:color="000000"/>
            </w:tcBorders>
            <w:hideMark/>
          </w:tcPr>
          <w:p w:rsidR="00172B71" w:rsidRPr="0001323F" w:rsidRDefault="000868C3" w:rsidP="0001323F">
            <w:pPr>
              <w:pStyle w:val="Textbody"/>
              <w:suppressAutoHyphens w:val="0"/>
              <w:spacing w:after="0"/>
              <w:ind w:left="57" w:right="57"/>
              <w:jc w:val="both"/>
            </w:pPr>
            <w:r w:rsidRPr="0001323F">
              <w:t>АЦК –</w:t>
            </w:r>
            <w:r w:rsidR="00172B71" w:rsidRPr="0001323F">
              <w:t xml:space="preserve"> Госзаказ</w:t>
            </w:r>
          </w:p>
        </w:tc>
        <w:tc>
          <w:tcPr>
            <w:tcW w:w="4118" w:type="dxa"/>
            <w:tcBorders>
              <w:top w:val="single" w:sz="6" w:space="0" w:color="000000"/>
              <w:left w:val="single" w:sz="6" w:space="0" w:color="000000"/>
              <w:bottom w:val="single" w:sz="6" w:space="0" w:color="000000"/>
              <w:right w:val="single" w:sz="6" w:space="0" w:color="000000"/>
            </w:tcBorders>
            <w:hideMark/>
          </w:tcPr>
          <w:p w:rsidR="00172B71" w:rsidRPr="0001323F" w:rsidRDefault="00172B71" w:rsidP="0001323F">
            <w:pPr>
              <w:pStyle w:val="Textbody"/>
              <w:suppressAutoHyphens w:val="0"/>
              <w:spacing w:after="0"/>
              <w:ind w:left="57" w:right="57"/>
              <w:jc w:val="both"/>
            </w:pPr>
            <w:r w:rsidRPr="0001323F">
              <w:t>Отдел закупок</w:t>
            </w:r>
          </w:p>
        </w:tc>
      </w:tr>
      <w:tr w:rsidR="00172B71" w:rsidRPr="0001323F" w:rsidTr="0048260C">
        <w:trPr>
          <w:trHeight w:val="20"/>
        </w:trPr>
        <w:tc>
          <w:tcPr>
            <w:tcW w:w="6080" w:type="dxa"/>
            <w:tcBorders>
              <w:top w:val="single" w:sz="6" w:space="0" w:color="000000"/>
              <w:left w:val="single" w:sz="6" w:space="0" w:color="000000"/>
              <w:bottom w:val="single" w:sz="6" w:space="0" w:color="000000"/>
              <w:right w:val="single" w:sz="6" w:space="0" w:color="000000"/>
            </w:tcBorders>
            <w:hideMark/>
          </w:tcPr>
          <w:p w:rsidR="00172B71" w:rsidRPr="0001323F" w:rsidRDefault="00172B71" w:rsidP="0001323F">
            <w:pPr>
              <w:pStyle w:val="Textbody"/>
              <w:suppressAutoHyphens w:val="0"/>
              <w:spacing w:after="0"/>
              <w:ind w:left="57" w:right="57"/>
              <w:jc w:val="both"/>
            </w:pPr>
            <w:r w:rsidRPr="0001323F">
              <w:t xml:space="preserve">1С. </w:t>
            </w:r>
            <w:r w:rsidR="002F7358" w:rsidRPr="0001323F">
              <w:t>«</w:t>
            </w:r>
            <w:r w:rsidRPr="0001323F">
              <w:t>Кадры</w:t>
            </w:r>
            <w:r w:rsidR="002F7358" w:rsidRPr="0001323F">
              <w:t>»</w:t>
            </w:r>
          </w:p>
        </w:tc>
        <w:tc>
          <w:tcPr>
            <w:tcW w:w="4118" w:type="dxa"/>
            <w:tcBorders>
              <w:top w:val="single" w:sz="6" w:space="0" w:color="000000"/>
              <w:left w:val="single" w:sz="6" w:space="0" w:color="000000"/>
              <w:bottom w:val="single" w:sz="6" w:space="0" w:color="000000"/>
              <w:right w:val="single" w:sz="6" w:space="0" w:color="000000"/>
            </w:tcBorders>
            <w:hideMark/>
          </w:tcPr>
          <w:p w:rsidR="00172B71" w:rsidRPr="0001323F" w:rsidRDefault="00172B71" w:rsidP="0001323F">
            <w:pPr>
              <w:pStyle w:val="Textbody"/>
              <w:suppressAutoHyphens w:val="0"/>
              <w:spacing w:after="0"/>
              <w:ind w:left="57" w:right="57"/>
              <w:jc w:val="both"/>
            </w:pPr>
            <w:r w:rsidRPr="0001323F">
              <w:t>Отдел кадров</w:t>
            </w:r>
          </w:p>
        </w:tc>
      </w:tr>
      <w:tr w:rsidR="00172B71" w:rsidRPr="0001323F" w:rsidTr="0048260C">
        <w:trPr>
          <w:trHeight w:val="20"/>
        </w:trPr>
        <w:tc>
          <w:tcPr>
            <w:tcW w:w="6080" w:type="dxa"/>
            <w:tcBorders>
              <w:top w:val="single" w:sz="6" w:space="0" w:color="000000"/>
              <w:left w:val="single" w:sz="6" w:space="0" w:color="000000"/>
              <w:bottom w:val="single" w:sz="6" w:space="0" w:color="000000"/>
              <w:right w:val="single" w:sz="6" w:space="0" w:color="000000"/>
            </w:tcBorders>
            <w:hideMark/>
          </w:tcPr>
          <w:p w:rsidR="00172B71" w:rsidRPr="0001323F" w:rsidRDefault="00172B71" w:rsidP="0001323F">
            <w:pPr>
              <w:pStyle w:val="Textbody"/>
              <w:suppressAutoHyphens w:val="0"/>
              <w:spacing w:after="0"/>
              <w:ind w:left="57" w:right="57"/>
              <w:jc w:val="both"/>
            </w:pPr>
            <w:r w:rsidRPr="0001323F">
              <w:t>Система обмена данными формата DICOM (DСМЗ)</w:t>
            </w:r>
          </w:p>
        </w:tc>
        <w:tc>
          <w:tcPr>
            <w:tcW w:w="4118" w:type="dxa"/>
            <w:tcBorders>
              <w:top w:val="single" w:sz="6" w:space="0" w:color="000000"/>
              <w:left w:val="single" w:sz="6" w:space="0" w:color="000000"/>
              <w:bottom w:val="single" w:sz="6" w:space="0" w:color="000000"/>
              <w:right w:val="single" w:sz="6" w:space="0" w:color="000000"/>
            </w:tcBorders>
            <w:hideMark/>
          </w:tcPr>
          <w:p w:rsidR="00172B71" w:rsidRPr="0001323F" w:rsidRDefault="00172B71" w:rsidP="0001323F">
            <w:pPr>
              <w:pStyle w:val="Textbody"/>
              <w:suppressAutoHyphens w:val="0"/>
              <w:spacing w:after="0"/>
              <w:ind w:left="57" w:right="57"/>
              <w:jc w:val="both"/>
            </w:pPr>
            <w:r w:rsidRPr="0001323F">
              <w:t>Отделение лучевой</w:t>
            </w:r>
            <w:r w:rsidR="001D51DF" w:rsidRPr="0001323F">
              <w:t xml:space="preserve"> д</w:t>
            </w:r>
            <w:r w:rsidRPr="0001323F">
              <w:t xml:space="preserve">иагностики, </w:t>
            </w:r>
            <w:r w:rsidR="001D51DF" w:rsidRPr="0001323F">
              <w:t>д</w:t>
            </w:r>
            <w:r w:rsidRPr="0001323F">
              <w:t>испансерно-профилактическое отделение</w:t>
            </w:r>
          </w:p>
        </w:tc>
      </w:tr>
      <w:tr w:rsidR="00172B71" w:rsidRPr="0001323F" w:rsidTr="0048260C">
        <w:trPr>
          <w:trHeight w:val="20"/>
        </w:trPr>
        <w:tc>
          <w:tcPr>
            <w:tcW w:w="6080" w:type="dxa"/>
            <w:tcBorders>
              <w:top w:val="single" w:sz="6" w:space="0" w:color="000000"/>
              <w:left w:val="single" w:sz="6" w:space="0" w:color="000000"/>
              <w:bottom w:val="single" w:sz="6" w:space="0" w:color="000000"/>
              <w:right w:val="single" w:sz="6" w:space="0" w:color="000000"/>
            </w:tcBorders>
            <w:hideMark/>
          </w:tcPr>
          <w:p w:rsidR="00172B71" w:rsidRPr="0001323F" w:rsidRDefault="00172B71" w:rsidP="0001323F">
            <w:pPr>
              <w:pStyle w:val="Textbody"/>
              <w:suppressAutoHyphens w:val="0"/>
              <w:spacing w:after="0"/>
              <w:ind w:left="57" w:right="57"/>
              <w:jc w:val="both"/>
            </w:pPr>
            <w:r w:rsidRPr="0001323F">
              <w:t>Федеральный регистр медицинских</w:t>
            </w:r>
            <w:r w:rsidR="000868C3" w:rsidRPr="0001323F">
              <w:t xml:space="preserve"> </w:t>
            </w:r>
            <w:r w:rsidRPr="0001323F">
              <w:t>и фармацевтических работников</w:t>
            </w:r>
          </w:p>
        </w:tc>
        <w:tc>
          <w:tcPr>
            <w:tcW w:w="4118" w:type="dxa"/>
            <w:tcBorders>
              <w:top w:val="single" w:sz="6" w:space="0" w:color="000000"/>
              <w:left w:val="single" w:sz="6" w:space="0" w:color="000000"/>
              <w:bottom w:val="single" w:sz="6" w:space="0" w:color="000000"/>
              <w:right w:val="single" w:sz="6" w:space="0" w:color="000000"/>
            </w:tcBorders>
            <w:hideMark/>
          </w:tcPr>
          <w:p w:rsidR="00172B71" w:rsidRPr="0001323F" w:rsidRDefault="00172B71" w:rsidP="0001323F">
            <w:pPr>
              <w:pStyle w:val="Textbody"/>
              <w:suppressAutoHyphens w:val="0"/>
              <w:spacing w:after="0"/>
              <w:ind w:left="57" w:right="57"/>
              <w:jc w:val="both"/>
            </w:pPr>
            <w:r w:rsidRPr="0001323F">
              <w:t>Отдел кадров</w:t>
            </w:r>
          </w:p>
        </w:tc>
      </w:tr>
      <w:tr w:rsidR="00172B71" w:rsidRPr="0001323F" w:rsidTr="0048260C">
        <w:trPr>
          <w:trHeight w:val="20"/>
        </w:trPr>
        <w:tc>
          <w:tcPr>
            <w:tcW w:w="6080" w:type="dxa"/>
            <w:tcBorders>
              <w:top w:val="single" w:sz="6" w:space="0" w:color="000000"/>
              <w:left w:val="single" w:sz="6" w:space="0" w:color="000000"/>
              <w:bottom w:val="single" w:sz="6" w:space="0" w:color="000000"/>
              <w:right w:val="single" w:sz="6" w:space="0" w:color="000000"/>
            </w:tcBorders>
            <w:hideMark/>
          </w:tcPr>
          <w:p w:rsidR="00172B71" w:rsidRPr="0001323F" w:rsidRDefault="00172B71" w:rsidP="0001323F">
            <w:pPr>
              <w:pStyle w:val="Textbody"/>
              <w:suppressAutoHyphens w:val="0"/>
              <w:spacing w:after="0"/>
              <w:ind w:left="57" w:right="57"/>
              <w:jc w:val="both"/>
            </w:pPr>
            <w:r w:rsidRPr="0001323F">
              <w:t>Барс.своды. Отчетные формы</w:t>
            </w:r>
          </w:p>
        </w:tc>
        <w:tc>
          <w:tcPr>
            <w:tcW w:w="4118" w:type="dxa"/>
            <w:tcBorders>
              <w:top w:val="single" w:sz="6" w:space="0" w:color="000000"/>
              <w:left w:val="single" w:sz="6" w:space="0" w:color="000000"/>
              <w:bottom w:val="single" w:sz="6" w:space="0" w:color="000000"/>
              <w:right w:val="single" w:sz="6" w:space="0" w:color="000000"/>
            </w:tcBorders>
            <w:hideMark/>
          </w:tcPr>
          <w:p w:rsidR="00172B71" w:rsidRPr="0001323F" w:rsidRDefault="00172B71" w:rsidP="0001323F">
            <w:pPr>
              <w:pStyle w:val="Textbody"/>
              <w:suppressAutoHyphens w:val="0"/>
              <w:spacing w:after="0"/>
              <w:ind w:left="57" w:right="57"/>
              <w:jc w:val="both"/>
            </w:pPr>
            <w:r w:rsidRPr="0001323F">
              <w:t>Орг</w:t>
            </w:r>
            <w:r w:rsidR="00B94902">
              <w:t xml:space="preserve">анизационный </w:t>
            </w:r>
            <w:r w:rsidRPr="0001323F">
              <w:t>метод</w:t>
            </w:r>
            <w:r w:rsidR="00B94902">
              <w:t>ический</w:t>
            </w:r>
            <w:r w:rsidRPr="0001323F">
              <w:t xml:space="preserve"> отдел</w:t>
            </w:r>
          </w:p>
        </w:tc>
      </w:tr>
      <w:tr w:rsidR="00172B71" w:rsidRPr="0001323F" w:rsidTr="0048260C">
        <w:trPr>
          <w:trHeight w:val="20"/>
        </w:trPr>
        <w:tc>
          <w:tcPr>
            <w:tcW w:w="6080" w:type="dxa"/>
            <w:tcBorders>
              <w:top w:val="single" w:sz="6" w:space="0" w:color="000000"/>
              <w:left w:val="single" w:sz="6" w:space="0" w:color="000000"/>
              <w:bottom w:val="single" w:sz="6" w:space="0" w:color="000000"/>
              <w:right w:val="single" w:sz="6" w:space="0" w:color="000000"/>
            </w:tcBorders>
            <w:hideMark/>
          </w:tcPr>
          <w:p w:rsidR="00172B71" w:rsidRPr="0001323F" w:rsidRDefault="00B94902" w:rsidP="00B94902">
            <w:pPr>
              <w:pStyle w:val="Textbody"/>
              <w:suppressAutoHyphens w:val="0"/>
              <w:spacing w:after="0"/>
              <w:ind w:left="57" w:right="57"/>
              <w:jc w:val="both"/>
            </w:pPr>
            <w:r>
              <w:t>Автоматизированная система «Республиканский медицинский информационно-аналитический центр»</w:t>
            </w:r>
          </w:p>
        </w:tc>
        <w:tc>
          <w:tcPr>
            <w:tcW w:w="4118" w:type="dxa"/>
            <w:tcBorders>
              <w:top w:val="single" w:sz="6" w:space="0" w:color="000000"/>
              <w:left w:val="single" w:sz="6" w:space="0" w:color="000000"/>
              <w:bottom w:val="single" w:sz="6" w:space="0" w:color="000000"/>
              <w:right w:val="single" w:sz="6" w:space="0" w:color="000000"/>
            </w:tcBorders>
            <w:hideMark/>
          </w:tcPr>
          <w:p w:rsidR="00172B71" w:rsidRPr="0001323F" w:rsidRDefault="00172B71" w:rsidP="0001323F">
            <w:pPr>
              <w:pStyle w:val="Textbody"/>
              <w:suppressAutoHyphens w:val="0"/>
              <w:spacing w:after="0"/>
              <w:ind w:left="57" w:right="57"/>
              <w:jc w:val="both"/>
            </w:pPr>
            <w:r w:rsidRPr="0001323F">
              <w:t>Патолого-анатомическое отделение</w:t>
            </w:r>
          </w:p>
        </w:tc>
      </w:tr>
      <w:tr w:rsidR="00172B71" w:rsidRPr="0001323F" w:rsidTr="0048260C">
        <w:trPr>
          <w:trHeight w:val="20"/>
        </w:trPr>
        <w:tc>
          <w:tcPr>
            <w:tcW w:w="6080" w:type="dxa"/>
            <w:tcBorders>
              <w:top w:val="single" w:sz="6" w:space="0" w:color="000000"/>
              <w:left w:val="single" w:sz="6" w:space="0" w:color="000000"/>
              <w:bottom w:val="single" w:sz="6" w:space="0" w:color="000000"/>
              <w:right w:val="single" w:sz="6" w:space="0" w:color="000000"/>
            </w:tcBorders>
            <w:hideMark/>
          </w:tcPr>
          <w:p w:rsidR="00172B71" w:rsidRPr="0001323F" w:rsidRDefault="00B94902" w:rsidP="00F90DF3">
            <w:pPr>
              <w:pStyle w:val="Textbody"/>
              <w:suppressAutoHyphens w:val="0"/>
              <w:spacing w:after="0"/>
              <w:ind w:left="57" w:right="57"/>
              <w:jc w:val="both"/>
            </w:pPr>
            <w:r>
              <w:t>Един</w:t>
            </w:r>
            <w:r w:rsidR="00F90DF3">
              <w:t>ая</w:t>
            </w:r>
            <w:r>
              <w:t xml:space="preserve"> государственн</w:t>
            </w:r>
            <w:r w:rsidR="00F90DF3">
              <w:t>ая</w:t>
            </w:r>
            <w:r>
              <w:t xml:space="preserve"> информационная система </w:t>
            </w:r>
            <w:r w:rsidR="002F7358" w:rsidRPr="0001323F">
              <w:t>«</w:t>
            </w:r>
            <w:r>
              <w:t>Электронное здравоохранение Республики Татарстан</w:t>
            </w:r>
            <w:r w:rsidR="002F7358" w:rsidRPr="0001323F">
              <w:t>»</w:t>
            </w:r>
          </w:p>
        </w:tc>
        <w:tc>
          <w:tcPr>
            <w:tcW w:w="4118" w:type="dxa"/>
            <w:tcBorders>
              <w:top w:val="single" w:sz="6" w:space="0" w:color="000000"/>
              <w:left w:val="single" w:sz="6" w:space="0" w:color="000000"/>
              <w:bottom w:val="single" w:sz="6" w:space="0" w:color="000000"/>
              <w:right w:val="single" w:sz="6" w:space="0" w:color="000000"/>
            </w:tcBorders>
            <w:hideMark/>
          </w:tcPr>
          <w:p w:rsidR="00172B71" w:rsidRPr="0001323F" w:rsidRDefault="00172B71" w:rsidP="0001323F">
            <w:pPr>
              <w:pStyle w:val="Textbody"/>
              <w:suppressAutoHyphens w:val="0"/>
              <w:spacing w:after="0"/>
              <w:ind w:left="57" w:right="57"/>
              <w:jc w:val="both"/>
            </w:pPr>
            <w:r w:rsidRPr="0001323F">
              <w:t>Отдел информационных систем</w:t>
            </w:r>
          </w:p>
        </w:tc>
      </w:tr>
    </w:tbl>
    <w:p w:rsidR="00441EC8" w:rsidRDefault="00441EC8" w:rsidP="00BC69DD">
      <w:pPr>
        <w:ind w:firstLine="709"/>
        <w:jc w:val="both"/>
        <w:rPr>
          <w:sz w:val="28"/>
          <w:szCs w:val="28"/>
        </w:rPr>
      </w:pPr>
    </w:p>
    <w:p w:rsidR="00CF625C" w:rsidRPr="0052319E" w:rsidRDefault="00887958" w:rsidP="00BC69DD">
      <w:pPr>
        <w:ind w:firstLine="709"/>
        <w:jc w:val="both"/>
        <w:rPr>
          <w:sz w:val="28"/>
          <w:szCs w:val="28"/>
        </w:rPr>
      </w:pPr>
      <w:r w:rsidRPr="0052319E">
        <w:rPr>
          <w:sz w:val="28"/>
          <w:szCs w:val="28"/>
        </w:rPr>
        <w:t>1</w:t>
      </w:r>
      <w:r w:rsidR="00A33AEC" w:rsidRPr="0052319E">
        <w:rPr>
          <w:sz w:val="28"/>
          <w:szCs w:val="28"/>
        </w:rPr>
        <w:t>.</w:t>
      </w:r>
      <w:r w:rsidRPr="0052319E">
        <w:rPr>
          <w:sz w:val="28"/>
          <w:szCs w:val="28"/>
        </w:rPr>
        <w:t>6</w:t>
      </w:r>
      <w:r w:rsidR="00A33AEC" w:rsidRPr="0052319E">
        <w:rPr>
          <w:sz w:val="28"/>
          <w:szCs w:val="28"/>
        </w:rPr>
        <w:t>.</w:t>
      </w:r>
      <w:r w:rsidR="00CF625C" w:rsidRPr="0052319E">
        <w:rPr>
          <w:sz w:val="28"/>
          <w:szCs w:val="28"/>
        </w:rPr>
        <w:t xml:space="preserve"> Организация маршрутизации пациентов с подозрением </w:t>
      </w:r>
      <w:r w:rsidR="00F90DF3" w:rsidRPr="0052319E">
        <w:rPr>
          <w:sz w:val="28"/>
          <w:szCs w:val="28"/>
        </w:rPr>
        <w:t xml:space="preserve">на онкологическое заболевание </w:t>
      </w:r>
      <w:r w:rsidR="00CF625C" w:rsidRPr="0052319E">
        <w:rPr>
          <w:sz w:val="28"/>
          <w:szCs w:val="28"/>
        </w:rPr>
        <w:t>или подтвержденным диагнозом онкологического заболевания</w:t>
      </w:r>
      <w:r w:rsidR="00A85D8C" w:rsidRPr="0052319E">
        <w:rPr>
          <w:sz w:val="28"/>
          <w:szCs w:val="28"/>
        </w:rPr>
        <w:t xml:space="preserve">. </w:t>
      </w:r>
    </w:p>
    <w:p w:rsidR="001F7C04" w:rsidRPr="0052319E" w:rsidRDefault="001F7C04" w:rsidP="00BC69DD">
      <w:pPr>
        <w:ind w:firstLine="709"/>
        <w:jc w:val="both"/>
        <w:rPr>
          <w:sz w:val="28"/>
          <w:szCs w:val="28"/>
        </w:rPr>
      </w:pPr>
      <w:r w:rsidRPr="0052319E">
        <w:rPr>
          <w:rFonts w:eastAsia="Arial"/>
          <w:sz w:val="28"/>
          <w:szCs w:val="28"/>
        </w:rPr>
        <w:t xml:space="preserve">Маршрутизация пациентов с подозрением (наличием) на онкологическое заболевание осуществляется в соответствии с приказом Министерства здравоохранения Республики Татарстан от </w:t>
      </w:r>
      <w:r w:rsidR="00887958" w:rsidRPr="0052319E">
        <w:rPr>
          <w:rFonts w:eastAsia="Arial"/>
          <w:sz w:val="28"/>
          <w:szCs w:val="28"/>
        </w:rPr>
        <w:t>2</w:t>
      </w:r>
      <w:r w:rsidR="00EF16BC" w:rsidRPr="0052319E">
        <w:rPr>
          <w:rFonts w:eastAsia="Arial"/>
          <w:sz w:val="28"/>
          <w:szCs w:val="28"/>
        </w:rPr>
        <w:t>9</w:t>
      </w:r>
      <w:r w:rsidR="00B14E93" w:rsidRPr="0052319E">
        <w:rPr>
          <w:rFonts w:eastAsia="Arial"/>
          <w:sz w:val="28"/>
          <w:szCs w:val="28"/>
        </w:rPr>
        <w:t>.</w:t>
      </w:r>
      <w:r w:rsidR="00887958" w:rsidRPr="0052319E">
        <w:rPr>
          <w:rFonts w:eastAsia="Arial"/>
          <w:sz w:val="28"/>
          <w:szCs w:val="28"/>
        </w:rPr>
        <w:t>1</w:t>
      </w:r>
      <w:r w:rsidR="00EF16BC" w:rsidRPr="0052319E">
        <w:rPr>
          <w:rFonts w:eastAsia="Arial"/>
          <w:sz w:val="28"/>
          <w:szCs w:val="28"/>
        </w:rPr>
        <w:t>0</w:t>
      </w:r>
      <w:r w:rsidR="00B14E93" w:rsidRPr="0052319E">
        <w:rPr>
          <w:rFonts w:eastAsia="Arial"/>
          <w:sz w:val="28"/>
          <w:szCs w:val="28"/>
        </w:rPr>
        <w:t>.</w:t>
      </w:r>
      <w:r w:rsidRPr="0052319E">
        <w:rPr>
          <w:rFonts w:eastAsia="Arial"/>
          <w:sz w:val="28"/>
          <w:szCs w:val="28"/>
        </w:rPr>
        <w:t>202</w:t>
      </w:r>
      <w:r w:rsidR="00EF16BC" w:rsidRPr="0052319E">
        <w:rPr>
          <w:rFonts w:eastAsia="Arial"/>
          <w:sz w:val="28"/>
          <w:szCs w:val="28"/>
        </w:rPr>
        <w:t>5</w:t>
      </w:r>
      <w:r w:rsidRPr="0052319E">
        <w:rPr>
          <w:rFonts w:eastAsia="Arial"/>
          <w:sz w:val="28"/>
          <w:szCs w:val="28"/>
        </w:rPr>
        <w:t xml:space="preserve"> № 2</w:t>
      </w:r>
      <w:r w:rsidR="00EF16BC" w:rsidRPr="0052319E">
        <w:rPr>
          <w:rFonts w:eastAsia="Arial"/>
          <w:sz w:val="28"/>
          <w:szCs w:val="28"/>
        </w:rPr>
        <w:t>510</w:t>
      </w:r>
      <w:r w:rsidRPr="0052319E">
        <w:rPr>
          <w:rFonts w:eastAsia="Arial"/>
          <w:sz w:val="28"/>
          <w:szCs w:val="28"/>
        </w:rPr>
        <w:t xml:space="preserve"> </w:t>
      </w:r>
      <w:r w:rsidR="002F7358" w:rsidRPr="0052319E">
        <w:rPr>
          <w:rFonts w:eastAsia="Arial"/>
          <w:sz w:val="28"/>
          <w:szCs w:val="28"/>
        </w:rPr>
        <w:t>«</w:t>
      </w:r>
      <w:r w:rsidRPr="0052319E">
        <w:rPr>
          <w:sz w:val="28"/>
          <w:szCs w:val="28"/>
        </w:rPr>
        <w:t>О</w:t>
      </w:r>
      <w:r w:rsidR="00EF16BC" w:rsidRPr="0052319E">
        <w:rPr>
          <w:sz w:val="28"/>
          <w:szCs w:val="28"/>
        </w:rPr>
        <w:t xml:space="preserve"> порядке маршрутизации пациентов с подозрением на онкологические заболевания и пациентов с онкологическими заболеваниями</w:t>
      </w:r>
      <w:r w:rsidRPr="0052319E">
        <w:rPr>
          <w:sz w:val="28"/>
          <w:szCs w:val="28"/>
        </w:rPr>
        <w:t xml:space="preserve"> </w:t>
      </w:r>
      <w:r w:rsidR="00EF16BC" w:rsidRPr="0052319E">
        <w:rPr>
          <w:sz w:val="28"/>
          <w:szCs w:val="28"/>
        </w:rPr>
        <w:t>(</w:t>
      </w:r>
      <w:r w:rsidRPr="0052319E">
        <w:rPr>
          <w:sz w:val="28"/>
          <w:szCs w:val="28"/>
        </w:rPr>
        <w:t>взросло</w:t>
      </w:r>
      <w:r w:rsidR="00EF16BC" w:rsidRPr="0052319E">
        <w:rPr>
          <w:sz w:val="28"/>
          <w:szCs w:val="28"/>
        </w:rPr>
        <w:t>е</w:t>
      </w:r>
      <w:r w:rsidRPr="0052319E">
        <w:rPr>
          <w:sz w:val="28"/>
          <w:szCs w:val="28"/>
        </w:rPr>
        <w:t xml:space="preserve"> населени</w:t>
      </w:r>
      <w:r w:rsidR="00EF16BC" w:rsidRPr="0052319E">
        <w:rPr>
          <w:sz w:val="28"/>
          <w:szCs w:val="28"/>
        </w:rPr>
        <w:t>е)</w:t>
      </w:r>
      <w:r w:rsidRPr="0052319E">
        <w:rPr>
          <w:sz w:val="28"/>
          <w:szCs w:val="28"/>
        </w:rPr>
        <w:t xml:space="preserve"> в Республике Татарстан</w:t>
      </w:r>
      <w:r w:rsidR="002F7358" w:rsidRPr="0052319E">
        <w:rPr>
          <w:sz w:val="28"/>
          <w:szCs w:val="28"/>
        </w:rPr>
        <w:t>»</w:t>
      </w:r>
      <w:r w:rsidRPr="0052319E">
        <w:rPr>
          <w:sz w:val="28"/>
          <w:szCs w:val="28"/>
        </w:rPr>
        <w:t xml:space="preserve">. </w:t>
      </w:r>
    </w:p>
    <w:p w:rsidR="001F7C04" w:rsidRPr="0052319E" w:rsidRDefault="001F7C04" w:rsidP="00BC69DD">
      <w:pPr>
        <w:ind w:firstLine="709"/>
        <w:jc w:val="both"/>
        <w:rPr>
          <w:sz w:val="28"/>
          <w:szCs w:val="28"/>
        </w:rPr>
      </w:pPr>
      <w:r w:rsidRPr="0052319E">
        <w:rPr>
          <w:rFonts w:eastAsia="Arial"/>
          <w:sz w:val="28"/>
          <w:szCs w:val="28"/>
        </w:rPr>
        <w:t xml:space="preserve">Все пациенты, </w:t>
      </w:r>
      <w:r w:rsidRPr="0052319E">
        <w:rPr>
          <w:sz w:val="28"/>
          <w:szCs w:val="28"/>
        </w:rPr>
        <w:t>впервые в течение года обратившиеся за медицинской помощью в медицинские организации Республики Татарстан, оказывающие медицинскую помощь в амбулаторных условиях, подлежат онкологическому осмотру в смотровом кабинете с целью раннего выявления опухолей визуальных локализаций (кожи, полости рта, молочных желез, периферических лимфатических узлов, щитовидной железы, прямой кишки, наружных половых органов, шейки матки, предстательной железы).</w:t>
      </w:r>
    </w:p>
    <w:p w:rsidR="001F7C04" w:rsidRPr="0052319E" w:rsidRDefault="001F7C04" w:rsidP="00BC69DD">
      <w:pPr>
        <w:ind w:firstLine="708"/>
        <w:jc w:val="both"/>
        <w:rPr>
          <w:sz w:val="28"/>
          <w:szCs w:val="28"/>
        </w:rPr>
      </w:pPr>
      <w:r w:rsidRPr="0052319E">
        <w:rPr>
          <w:sz w:val="28"/>
          <w:szCs w:val="28"/>
        </w:rPr>
        <w:t xml:space="preserve">В случае выявления врачом-специалистом (врачом-терапевтом участковым, врачом общей практики (семейным врачом), врачом-хирургом, врачом – акушером-гинекологом и др.) медицинской организации области симптомов (признаков) </w:t>
      </w:r>
      <w:r w:rsidRPr="0052319E">
        <w:rPr>
          <w:rFonts w:eastAsia="Arial"/>
          <w:sz w:val="28"/>
          <w:szCs w:val="28"/>
        </w:rPr>
        <w:t>ЗНО</w:t>
      </w:r>
      <w:r w:rsidRPr="0052319E">
        <w:rPr>
          <w:sz w:val="28"/>
          <w:szCs w:val="28"/>
        </w:rPr>
        <w:t xml:space="preserve"> пациенту проводится лабораторно-диагностическое обследование. При подозрении или выявлении </w:t>
      </w:r>
      <w:r w:rsidR="0048260C" w:rsidRPr="0052319E">
        <w:rPr>
          <w:rFonts w:eastAsia="Arial"/>
          <w:sz w:val="28"/>
          <w:szCs w:val="28"/>
        </w:rPr>
        <w:t>ЗНО</w:t>
      </w:r>
      <w:r w:rsidRPr="0052319E">
        <w:rPr>
          <w:sz w:val="28"/>
          <w:szCs w:val="28"/>
        </w:rPr>
        <w:t xml:space="preserve"> пациент направляется на консультацию к врачу-онкологу первичного онкологического кабинета медицинской организации. Врач-специалист медицинской организации, установивший у пациента впервые в жизни диагноз </w:t>
      </w:r>
      <w:r w:rsidRPr="0052319E">
        <w:rPr>
          <w:rFonts w:eastAsia="Arial"/>
          <w:sz w:val="28"/>
          <w:szCs w:val="28"/>
        </w:rPr>
        <w:t>ЗНО</w:t>
      </w:r>
      <w:r w:rsidRPr="0052319E">
        <w:rPr>
          <w:sz w:val="28"/>
          <w:szCs w:val="28"/>
        </w:rPr>
        <w:t xml:space="preserve">, составляет первичную сигнальную медицинскую документацию (извещение по </w:t>
      </w:r>
      <w:r w:rsidR="00F90DF3" w:rsidRPr="0052319E">
        <w:rPr>
          <w:sz w:val="28"/>
          <w:szCs w:val="28"/>
        </w:rPr>
        <w:t xml:space="preserve">форме, </w:t>
      </w:r>
      <w:r w:rsidRPr="0052319E">
        <w:rPr>
          <w:sz w:val="28"/>
          <w:szCs w:val="28"/>
        </w:rPr>
        <w:t xml:space="preserve">утвержденной приказом Министерства здравоохранения Российской Федерации от 19 апреля 1999 г. № 135 </w:t>
      </w:r>
      <w:r w:rsidR="002F7358" w:rsidRPr="0052319E">
        <w:rPr>
          <w:sz w:val="28"/>
          <w:szCs w:val="28"/>
        </w:rPr>
        <w:t>«</w:t>
      </w:r>
      <w:r w:rsidR="00172B71" w:rsidRPr="0052319E">
        <w:rPr>
          <w:sz w:val="28"/>
          <w:szCs w:val="28"/>
        </w:rPr>
        <w:t>О совершенствовании системы Го</w:t>
      </w:r>
      <w:r w:rsidRPr="0052319E">
        <w:rPr>
          <w:sz w:val="28"/>
          <w:szCs w:val="28"/>
        </w:rPr>
        <w:t>сударственного ракового регистра</w:t>
      </w:r>
      <w:r w:rsidR="002F7358" w:rsidRPr="0052319E">
        <w:rPr>
          <w:sz w:val="28"/>
          <w:szCs w:val="28"/>
        </w:rPr>
        <w:t>»</w:t>
      </w:r>
      <w:r w:rsidR="00B14E93" w:rsidRPr="0052319E">
        <w:rPr>
          <w:sz w:val="28"/>
          <w:szCs w:val="28"/>
        </w:rPr>
        <w:t>)</w:t>
      </w:r>
      <w:r w:rsidRPr="0052319E">
        <w:rPr>
          <w:sz w:val="28"/>
          <w:szCs w:val="28"/>
        </w:rPr>
        <w:t xml:space="preserve"> и при наличии добровольного информированного согласия пациента направляет ее в трехдневный срок в организационно-методический отдел ГАУЗ </w:t>
      </w:r>
      <w:r w:rsidR="002F7358" w:rsidRPr="0052319E">
        <w:rPr>
          <w:rFonts w:eastAsia="Arial"/>
          <w:sz w:val="28"/>
          <w:szCs w:val="28"/>
        </w:rPr>
        <w:t>«</w:t>
      </w:r>
      <w:r w:rsidR="00BC69DD" w:rsidRPr="0052319E">
        <w:rPr>
          <w:rFonts w:eastAsia="Arial"/>
          <w:sz w:val="28"/>
          <w:szCs w:val="28"/>
        </w:rPr>
        <w:t>РКОД МЗ РТ им.проф.</w:t>
      </w:r>
      <w:r w:rsidR="00AC5011" w:rsidRPr="0052319E">
        <w:rPr>
          <w:rFonts w:eastAsia="Arial"/>
          <w:sz w:val="28"/>
          <w:szCs w:val="28"/>
        </w:rPr>
        <w:t>М.З.Сигала</w:t>
      </w:r>
      <w:r w:rsidR="002F7358" w:rsidRPr="0052319E">
        <w:rPr>
          <w:rFonts w:eastAsia="Arial"/>
          <w:sz w:val="28"/>
          <w:szCs w:val="28"/>
        </w:rPr>
        <w:t>»</w:t>
      </w:r>
      <w:r w:rsidRPr="0052319E">
        <w:rPr>
          <w:sz w:val="28"/>
          <w:szCs w:val="28"/>
        </w:rPr>
        <w:t xml:space="preserve">. На основании вышеуказанных документов больной учитывается в базе данных </w:t>
      </w:r>
      <w:r w:rsidR="00F90DF3" w:rsidRPr="0052319E">
        <w:rPr>
          <w:sz w:val="28"/>
          <w:szCs w:val="28"/>
        </w:rPr>
        <w:t>к</w:t>
      </w:r>
      <w:r w:rsidRPr="0052319E">
        <w:rPr>
          <w:sz w:val="28"/>
          <w:szCs w:val="28"/>
        </w:rPr>
        <w:t xml:space="preserve">анцер-регистра ГАУЗ </w:t>
      </w:r>
      <w:r w:rsidR="002F7358" w:rsidRPr="0052319E">
        <w:rPr>
          <w:rFonts w:eastAsia="Arial"/>
          <w:sz w:val="28"/>
          <w:szCs w:val="28"/>
        </w:rPr>
        <w:t>«</w:t>
      </w:r>
      <w:r w:rsidR="00BC69DD" w:rsidRPr="0052319E">
        <w:rPr>
          <w:rFonts w:eastAsia="Arial"/>
          <w:sz w:val="28"/>
          <w:szCs w:val="28"/>
        </w:rPr>
        <w:t>РКОД МЗ РТ им.проф.</w:t>
      </w:r>
      <w:r w:rsidR="00AC5011" w:rsidRPr="0052319E">
        <w:rPr>
          <w:rFonts w:eastAsia="Arial"/>
          <w:sz w:val="28"/>
          <w:szCs w:val="28"/>
        </w:rPr>
        <w:t>М.З.Сигала</w:t>
      </w:r>
      <w:r w:rsidR="002F7358" w:rsidRPr="0052319E">
        <w:rPr>
          <w:rFonts w:eastAsia="Arial"/>
          <w:sz w:val="28"/>
          <w:szCs w:val="28"/>
        </w:rPr>
        <w:t>»</w:t>
      </w:r>
      <w:r w:rsidRPr="0052319E">
        <w:rPr>
          <w:sz w:val="28"/>
          <w:szCs w:val="28"/>
        </w:rPr>
        <w:t>.</w:t>
      </w:r>
    </w:p>
    <w:p w:rsidR="001F7C04" w:rsidRPr="0052319E" w:rsidRDefault="001F7C04" w:rsidP="00BC69DD">
      <w:pPr>
        <w:jc w:val="both"/>
        <w:rPr>
          <w:rFonts w:eastAsia="Arial"/>
          <w:sz w:val="28"/>
          <w:szCs w:val="28"/>
        </w:rPr>
      </w:pPr>
    </w:p>
    <w:p w:rsidR="001F7C04" w:rsidRPr="0052319E" w:rsidRDefault="001F7C04" w:rsidP="00F90DF3">
      <w:pPr>
        <w:spacing w:line="245" w:lineRule="auto"/>
        <w:ind w:firstLine="709"/>
        <w:jc w:val="both"/>
        <w:rPr>
          <w:rFonts w:eastAsia="Arial"/>
          <w:sz w:val="28"/>
          <w:szCs w:val="28"/>
        </w:rPr>
      </w:pPr>
      <w:r w:rsidRPr="0052319E">
        <w:rPr>
          <w:rFonts w:eastAsia="Arial"/>
          <w:sz w:val="28"/>
          <w:szCs w:val="28"/>
        </w:rPr>
        <w:t>Взрослое население (18 лет и старше).</w:t>
      </w:r>
    </w:p>
    <w:p w:rsidR="001F7C04" w:rsidRPr="0052319E" w:rsidRDefault="00887958" w:rsidP="00F90DF3">
      <w:pPr>
        <w:spacing w:line="245" w:lineRule="auto"/>
        <w:ind w:firstLine="709"/>
        <w:jc w:val="both"/>
        <w:rPr>
          <w:rFonts w:eastAsia="Arial"/>
          <w:sz w:val="28"/>
          <w:szCs w:val="28"/>
        </w:rPr>
      </w:pPr>
      <w:r w:rsidRPr="0052319E">
        <w:rPr>
          <w:rFonts w:eastAsia="Arial"/>
          <w:sz w:val="28"/>
          <w:szCs w:val="28"/>
        </w:rPr>
        <w:t>1</w:t>
      </w:r>
      <w:r w:rsidR="00377D26" w:rsidRPr="0052319E">
        <w:rPr>
          <w:rFonts w:eastAsia="Arial"/>
          <w:sz w:val="28"/>
          <w:szCs w:val="28"/>
        </w:rPr>
        <w:t>.</w:t>
      </w:r>
      <w:r w:rsidR="001F7C04" w:rsidRPr="0052319E">
        <w:rPr>
          <w:rFonts w:eastAsia="Arial"/>
          <w:sz w:val="28"/>
          <w:szCs w:val="28"/>
        </w:rPr>
        <w:t xml:space="preserve"> Фельдшерско-акушерский пункт.</w:t>
      </w:r>
    </w:p>
    <w:p w:rsidR="001F7C04" w:rsidRPr="0052319E" w:rsidRDefault="00887958" w:rsidP="00F90DF3">
      <w:pPr>
        <w:spacing w:line="245" w:lineRule="auto"/>
        <w:ind w:firstLine="709"/>
        <w:jc w:val="both"/>
        <w:rPr>
          <w:rFonts w:eastAsia="Arial"/>
          <w:sz w:val="28"/>
          <w:szCs w:val="28"/>
        </w:rPr>
      </w:pPr>
      <w:r w:rsidRPr="0052319E">
        <w:rPr>
          <w:rFonts w:eastAsia="Arial"/>
          <w:sz w:val="28"/>
          <w:szCs w:val="28"/>
        </w:rPr>
        <w:t>1</w:t>
      </w:r>
      <w:r w:rsidR="00377D26" w:rsidRPr="0052319E">
        <w:rPr>
          <w:rFonts w:eastAsia="Arial"/>
          <w:sz w:val="28"/>
          <w:szCs w:val="28"/>
        </w:rPr>
        <w:t>.</w:t>
      </w:r>
      <w:r w:rsidRPr="0052319E">
        <w:rPr>
          <w:rFonts w:eastAsia="Arial"/>
          <w:sz w:val="28"/>
          <w:szCs w:val="28"/>
        </w:rPr>
        <w:t>1</w:t>
      </w:r>
      <w:r w:rsidR="00377D26" w:rsidRPr="0052319E">
        <w:rPr>
          <w:rFonts w:eastAsia="Arial"/>
          <w:sz w:val="28"/>
          <w:szCs w:val="28"/>
        </w:rPr>
        <w:t>.</w:t>
      </w:r>
      <w:r w:rsidR="001F7C04" w:rsidRPr="0052319E">
        <w:rPr>
          <w:rFonts w:eastAsia="Arial"/>
          <w:sz w:val="28"/>
          <w:szCs w:val="28"/>
        </w:rPr>
        <w:t xml:space="preserve"> При подозрении или выявлении опухолевого заболевания пациент направляется в центральную районную больницу к врачу-терапевту участковому, врачу общей практики, врачу-хирургу или иному узкому специалисту.</w:t>
      </w:r>
    </w:p>
    <w:p w:rsidR="001F7C04" w:rsidRPr="0052319E" w:rsidRDefault="00887958" w:rsidP="00F90DF3">
      <w:pPr>
        <w:spacing w:line="245" w:lineRule="auto"/>
        <w:ind w:firstLine="709"/>
        <w:jc w:val="both"/>
        <w:rPr>
          <w:rFonts w:eastAsia="Arial"/>
          <w:sz w:val="28"/>
          <w:szCs w:val="28"/>
        </w:rPr>
      </w:pPr>
      <w:r w:rsidRPr="0052319E">
        <w:rPr>
          <w:rFonts w:eastAsia="Arial"/>
          <w:sz w:val="28"/>
          <w:szCs w:val="28"/>
        </w:rPr>
        <w:t>2</w:t>
      </w:r>
      <w:r w:rsidR="00377D26" w:rsidRPr="0052319E">
        <w:rPr>
          <w:rFonts w:eastAsia="Arial"/>
          <w:sz w:val="28"/>
          <w:szCs w:val="28"/>
        </w:rPr>
        <w:t>.</w:t>
      </w:r>
      <w:r w:rsidR="001F7C04" w:rsidRPr="0052319E">
        <w:rPr>
          <w:rFonts w:eastAsia="Arial"/>
          <w:sz w:val="28"/>
          <w:szCs w:val="28"/>
        </w:rPr>
        <w:t xml:space="preserve"> Амбулаторно-поликлинические подразделения медицинских организаций или самостоятельные поликлинические медицинские организации. </w:t>
      </w:r>
    </w:p>
    <w:p w:rsidR="001F7C04" w:rsidRPr="0052319E" w:rsidRDefault="00887958" w:rsidP="00F90DF3">
      <w:pPr>
        <w:spacing w:line="245" w:lineRule="auto"/>
        <w:ind w:firstLine="709"/>
        <w:jc w:val="both"/>
        <w:rPr>
          <w:rFonts w:eastAsia="Arial"/>
          <w:sz w:val="28"/>
          <w:szCs w:val="28"/>
        </w:rPr>
      </w:pPr>
      <w:r w:rsidRPr="0052319E">
        <w:rPr>
          <w:rFonts w:eastAsia="Arial"/>
          <w:sz w:val="28"/>
          <w:szCs w:val="28"/>
        </w:rPr>
        <w:t>2</w:t>
      </w:r>
      <w:r w:rsidR="00377D26" w:rsidRPr="0052319E">
        <w:rPr>
          <w:rFonts w:eastAsia="Arial"/>
          <w:sz w:val="28"/>
          <w:szCs w:val="28"/>
        </w:rPr>
        <w:t>.</w:t>
      </w:r>
      <w:r w:rsidRPr="0052319E">
        <w:rPr>
          <w:rFonts w:eastAsia="Arial"/>
          <w:sz w:val="28"/>
          <w:szCs w:val="28"/>
        </w:rPr>
        <w:t>1</w:t>
      </w:r>
      <w:r w:rsidR="00377D26" w:rsidRPr="0052319E">
        <w:rPr>
          <w:rFonts w:eastAsia="Arial"/>
          <w:sz w:val="28"/>
          <w:szCs w:val="28"/>
        </w:rPr>
        <w:t>.</w:t>
      </w:r>
      <w:r w:rsidR="001F7C04" w:rsidRPr="0052319E">
        <w:rPr>
          <w:rFonts w:eastAsia="Arial"/>
          <w:sz w:val="28"/>
          <w:szCs w:val="28"/>
        </w:rPr>
        <w:t xml:space="preserve"> При подозрении или выявлении онкологического заболевания пациент направляется в течение одного рабочего дня в первичный онкологический кабинет (первичное онкологическое отделение) для подтверждения или исключения подозрения на опухолевое заболевание.</w:t>
      </w:r>
    </w:p>
    <w:p w:rsidR="001F7C04" w:rsidRPr="0052319E" w:rsidRDefault="00887958" w:rsidP="00F90DF3">
      <w:pPr>
        <w:spacing w:line="245" w:lineRule="auto"/>
        <w:ind w:firstLine="709"/>
        <w:jc w:val="both"/>
        <w:rPr>
          <w:rFonts w:eastAsia="Arial"/>
          <w:sz w:val="28"/>
          <w:szCs w:val="28"/>
        </w:rPr>
      </w:pPr>
      <w:r w:rsidRPr="0052319E">
        <w:rPr>
          <w:rFonts w:eastAsia="Arial"/>
          <w:sz w:val="28"/>
          <w:szCs w:val="28"/>
        </w:rPr>
        <w:t>2</w:t>
      </w:r>
      <w:r w:rsidR="00377D26" w:rsidRPr="0052319E">
        <w:rPr>
          <w:rFonts w:eastAsia="Arial"/>
          <w:sz w:val="28"/>
          <w:szCs w:val="28"/>
        </w:rPr>
        <w:t>.</w:t>
      </w:r>
      <w:r w:rsidRPr="0052319E">
        <w:rPr>
          <w:rFonts w:eastAsia="Arial"/>
          <w:sz w:val="28"/>
          <w:szCs w:val="28"/>
        </w:rPr>
        <w:t>2</w:t>
      </w:r>
      <w:r w:rsidR="00377D26" w:rsidRPr="0052319E">
        <w:rPr>
          <w:rFonts w:eastAsia="Arial"/>
          <w:sz w:val="28"/>
          <w:szCs w:val="28"/>
        </w:rPr>
        <w:t>.</w:t>
      </w:r>
      <w:r w:rsidR="001F7C04" w:rsidRPr="0052319E">
        <w:rPr>
          <w:rFonts w:eastAsia="Arial"/>
          <w:sz w:val="28"/>
          <w:szCs w:val="28"/>
        </w:rPr>
        <w:t xml:space="preserve"> В случае выявления (подозрения) опухолевого заболевания у пациентов, наблюдающихся в филиалах амбулаторно-поликлинических подразделений (поликлиниках, женских консультациях), пациент направляется в первичный онкологический кабинет головной медицинской организации.</w:t>
      </w:r>
    </w:p>
    <w:p w:rsidR="001F7C04" w:rsidRPr="0052319E" w:rsidRDefault="00887958" w:rsidP="00F90DF3">
      <w:pPr>
        <w:spacing w:line="245" w:lineRule="auto"/>
        <w:ind w:firstLine="709"/>
        <w:jc w:val="both"/>
        <w:rPr>
          <w:rFonts w:eastAsia="Arial"/>
          <w:sz w:val="28"/>
          <w:szCs w:val="28"/>
        </w:rPr>
      </w:pPr>
      <w:r w:rsidRPr="0052319E">
        <w:rPr>
          <w:rFonts w:eastAsia="Arial"/>
          <w:sz w:val="28"/>
          <w:szCs w:val="28"/>
        </w:rPr>
        <w:t>2</w:t>
      </w:r>
      <w:r w:rsidR="00377D26" w:rsidRPr="0052319E">
        <w:rPr>
          <w:rFonts w:eastAsia="Arial"/>
          <w:sz w:val="28"/>
          <w:szCs w:val="28"/>
        </w:rPr>
        <w:t>.</w:t>
      </w:r>
      <w:r w:rsidRPr="0052319E">
        <w:rPr>
          <w:rFonts w:eastAsia="Arial"/>
          <w:sz w:val="28"/>
          <w:szCs w:val="28"/>
        </w:rPr>
        <w:t>3</w:t>
      </w:r>
      <w:r w:rsidR="00377D26" w:rsidRPr="0052319E">
        <w:rPr>
          <w:rFonts w:eastAsia="Arial"/>
          <w:sz w:val="28"/>
          <w:szCs w:val="28"/>
        </w:rPr>
        <w:t>.</w:t>
      </w:r>
      <w:r w:rsidR="001F7C04" w:rsidRPr="0052319E">
        <w:rPr>
          <w:rFonts w:eastAsia="Arial"/>
          <w:sz w:val="28"/>
          <w:szCs w:val="28"/>
        </w:rPr>
        <w:t xml:space="preserve"> При обнаружении подозрения на онкологическое заболевание в консультативных поликлиниках республиканских медицинских организаций пациенты направляются в первичные онкологические кабинеты амбулаторно-поликлинических подразделений медицинских организаций по месту жительства. </w:t>
      </w:r>
    </w:p>
    <w:p w:rsidR="001F7C04" w:rsidRPr="0052319E" w:rsidRDefault="00887958" w:rsidP="00F90DF3">
      <w:pPr>
        <w:spacing w:line="245" w:lineRule="auto"/>
        <w:ind w:firstLine="709"/>
        <w:jc w:val="both"/>
        <w:rPr>
          <w:rFonts w:eastAsia="Arial"/>
          <w:sz w:val="28"/>
          <w:szCs w:val="28"/>
        </w:rPr>
      </w:pPr>
      <w:r w:rsidRPr="0052319E">
        <w:rPr>
          <w:rFonts w:eastAsia="Arial"/>
          <w:sz w:val="28"/>
          <w:szCs w:val="28"/>
        </w:rPr>
        <w:t>2</w:t>
      </w:r>
      <w:r w:rsidR="00377D26" w:rsidRPr="0052319E">
        <w:rPr>
          <w:rFonts w:eastAsia="Arial"/>
          <w:sz w:val="28"/>
          <w:szCs w:val="28"/>
        </w:rPr>
        <w:t>.</w:t>
      </w:r>
      <w:r w:rsidRPr="0052319E">
        <w:rPr>
          <w:rFonts w:eastAsia="Arial"/>
          <w:sz w:val="28"/>
          <w:szCs w:val="28"/>
        </w:rPr>
        <w:t>4</w:t>
      </w:r>
      <w:r w:rsidR="00377D26" w:rsidRPr="0052319E">
        <w:rPr>
          <w:rFonts w:eastAsia="Arial"/>
          <w:sz w:val="28"/>
          <w:szCs w:val="28"/>
        </w:rPr>
        <w:t>.</w:t>
      </w:r>
      <w:r w:rsidR="001F7C04" w:rsidRPr="0052319E">
        <w:rPr>
          <w:rFonts w:eastAsia="Arial"/>
          <w:sz w:val="28"/>
          <w:szCs w:val="28"/>
        </w:rPr>
        <w:t xml:space="preserve"> При выявлении онкологического заболевания в консультативных поликлиниках республиканских медицинских организаций, в том числе при консультациях </w:t>
      </w:r>
      <w:r w:rsidR="00BC69DD" w:rsidRPr="0052319E">
        <w:rPr>
          <w:rFonts w:eastAsia="Arial"/>
          <w:sz w:val="28"/>
          <w:szCs w:val="28"/>
        </w:rPr>
        <w:br/>
      </w:r>
      <w:r w:rsidR="001F7C04" w:rsidRPr="0052319E">
        <w:rPr>
          <w:rFonts w:eastAsia="Arial"/>
          <w:sz w:val="28"/>
          <w:szCs w:val="28"/>
        </w:rPr>
        <w:t xml:space="preserve">в приемно-диагностических отделениях, на основании результатов выполненных обследований врачи-специалисты правомочны осуществить (через имеющийся компьютерный терминал) запись пациента и оформление бланка направления в поликлинику </w:t>
      </w:r>
      <w:r w:rsidR="001F7C04" w:rsidRPr="0052319E">
        <w:rPr>
          <w:sz w:val="28"/>
          <w:szCs w:val="28"/>
        </w:rPr>
        <w:t xml:space="preserve">ГАУЗ </w:t>
      </w:r>
      <w:r w:rsidR="002F7358" w:rsidRPr="0052319E">
        <w:rPr>
          <w:rFonts w:eastAsia="Arial"/>
          <w:sz w:val="28"/>
          <w:szCs w:val="28"/>
        </w:rPr>
        <w:t>«</w:t>
      </w:r>
      <w:r w:rsidR="00BC69DD" w:rsidRPr="0052319E">
        <w:rPr>
          <w:rFonts w:eastAsia="Arial"/>
          <w:sz w:val="28"/>
          <w:szCs w:val="28"/>
        </w:rPr>
        <w:t>РКОД МЗ РТ им.проф.</w:t>
      </w:r>
      <w:r w:rsidR="00AC5011" w:rsidRPr="0052319E">
        <w:rPr>
          <w:rFonts w:eastAsia="Arial"/>
          <w:sz w:val="28"/>
          <w:szCs w:val="28"/>
        </w:rPr>
        <w:t>М.З.Сигала</w:t>
      </w:r>
      <w:r w:rsidR="002F7358" w:rsidRPr="0052319E">
        <w:rPr>
          <w:rFonts w:eastAsia="Arial"/>
          <w:sz w:val="28"/>
          <w:szCs w:val="28"/>
        </w:rPr>
        <w:t>»</w:t>
      </w:r>
      <w:r w:rsidR="001F7C04" w:rsidRPr="0052319E">
        <w:rPr>
          <w:rFonts w:eastAsia="Arial"/>
          <w:sz w:val="28"/>
          <w:szCs w:val="28"/>
        </w:rPr>
        <w:t xml:space="preserve"> (г.Казань, ул.Сибирский тракт, д.29) с указанием конкретной даты, времени приема и кабинета врача-онколога, с приложением выписки, содержащей данные объективного обследования.</w:t>
      </w:r>
    </w:p>
    <w:p w:rsidR="001F7C04" w:rsidRPr="0052319E" w:rsidRDefault="00887958" w:rsidP="00F90DF3">
      <w:pPr>
        <w:spacing w:line="245" w:lineRule="auto"/>
        <w:ind w:firstLine="709"/>
        <w:jc w:val="both"/>
        <w:rPr>
          <w:rFonts w:eastAsia="Arial"/>
          <w:sz w:val="28"/>
          <w:szCs w:val="28"/>
        </w:rPr>
      </w:pPr>
      <w:r w:rsidRPr="0052319E">
        <w:rPr>
          <w:rFonts w:eastAsia="Arial"/>
          <w:sz w:val="28"/>
          <w:szCs w:val="28"/>
        </w:rPr>
        <w:t>3</w:t>
      </w:r>
      <w:r w:rsidR="00377D26" w:rsidRPr="0052319E">
        <w:rPr>
          <w:rFonts w:eastAsia="Arial"/>
          <w:sz w:val="28"/>
          <w:szCs w:val="28"/>
        </w:rPr>
        <w:t>.</w:t>
      </w:r>
      <w:r w:rsidR="001F7C04" w:rsidRPr="0052319E">
        <w:rPr>
          <w:rFonts w:eastAsia="Arial"/>
          <w:sz w:val="28"/>
          <w:szCs w:val="28"/>
        </w:rPr>
        <w:t xml:space="preserve"> Первичные онкологические кабинеты.</w:t>
      </w:r>
    </w:p>
    <w:p w:rsidR="001F7C04" w:rsidRPr="0052319E" w:rsidRDefault="00887958" w:rsidP="00F90DF3">
      <w:pPr>
        <w:spacing w:line="245" w:lineRule="auto"/>
        <w:ind w:firstLine="709"/>
        <w:jc w:val="both"/>
        <w:rPr>
          <w:rFonts w:eastAsia="Arial"/>
          <w:sz w:val="28"/>
          <w:szCs w:val="28"/>
        </w:rPr>
      </w:pPr>
      <w:r w:rsidRPr="0052319E">
        <w:rPr>
          <w:rFonts w:eastAsia="Arial"/>
          <w:sz w:val="28"/>
          <w:szCs w:val="28"/>
        </w:rPr>
        <w:t>3</w:t>
      </w:r>
      <w:r w:rsidR="00377D26" w:rsidRPr="0052319E">
        <w:rPr>
          <w:rFonts w:eastAsia="Arial"/>
          <w:sz w:val="28"/>
          <w:szCs w:val="28"/>
        </w:rPr>
        <w:t>.</w:t>
      </w:r>
      <w:r w:rsidRPr="0052319E">
        <w:rPr>
          <w:rFonts w:eastAsia="Arial"/>
          <w:sz w:val="28"/>
          <w:szCs w:val="28"/>
        </w:rPr>
        <w:t>1</w:t>
      </w:r>
      <w:r w:rsidR="00377D26" w:rsidRPr="0052319E">
        <w:rPr>
          <w:rFonts w:eastAsia="Arial"/>
          <w:sz w:val="28"/>
          <w:szCs w:val="28"/>
        </w:rPr>
        <w:t>.</w:t>
      </w:r>
      <w:r w:rsidR="001F7C04" w:rsidRPr="0052319E">
        <w:rPr>
          <w:rFonts w:eastAsia="Arial"/>
          <w:sz w:val="28"/>
          <w:szCs w:val="28"/>
        </w:rPr>
        <w:t xml:space="preserve"> Для уточнения диагноза пациент направляется в </w:t>
      </w:r>
      <w:r w:rsidR="001F7C04" w:rsidRPr="0052319E">
        <w:rPr>
          <w:sz w:val="28"/>
          <w:szCs w:val="28"/>
        </w:rPr>
        <w:t xml:space="preserve">ГАУЗ </w:t>
      </w:r>
      <w:r w:rsidR="002F7358" w:rsidRPr="0052319E">
        <w:rPr>
          <w:rFonts w:eastAsia="Arial"/>
          <w:sz w:val="28"/>
          <w:szCs w:val="28"/>
        </w:rPr>
        <w:t>«</w:t>
      </w:r>
      <w:r w:rsidR="00AC5011" w:rsidRPr="0052319E">
        <w:rPr>
          <w:rFonts w:eastAsia="Arial"/>
          <w:sz w:val="28"/>
          <w:szCs w:val="28"/>
        </w:rPr>
        <w:t>РКОД МЗ РТ им.</w:t>
      </w:r>
      <w:r w:rsidR="00BC69DD" w:rsidRPr="0052319E">
        <w:rPr>
          <w:rFonts w:eastAsia="Arial"/>
          <w:sz w:val="28"/>
          <w:szCs w:val="28"/>
        </w:rPr>
        <w:t>проф.</w:t>
      </w:r>
      <w:r w:rsidR="00AC5011" w:rsidRPr="0052319E">
        <w:rPr>
          <w:rFonts w:eastAsia="Arial"/>
          <w:sz w:val="28"/>
          <w:szCs w:val="28"/>
        </w:rPr>
        <w:t>М.З.Сигала</w:t>
      </w:r>
      <w:r w:rsidR="002F7358" w:rsidRPr="0052319E">
        <w:rPr>
          <w:rFonts w:eastAsia="Arial"/>
          <w:sz w:val="28"/>
          <w:szCs w:val="28"/>
        </w:rPr>
        <w:t>»</w:t>
      </w:r>
      <w:r w:rsidR="001F7C04" w:rsidRPr="0052319E">
        <w:rPr>
          <w:rFonts w:eastAsia="Arial"/>
          <w:sz w:val="28"/>
          <w:szCs w:val="28"/>
        </w:rPr>
        <w:t xml:space="preserve">, филиалы </w:t>
      </w:r>
      <w:r w:rsidR="001F7C04" w:rsidRPr="0052319E">
        <w:rPr>
          <w:sz w:val="28"/>
          <w:szCs w:val="28"/>
        </w:rPr>
        <w:t xml:space="preserve">ГАУЗ </w:t>
      </w:r>
      <w:r w:rsidR="002F7358" w:rsidRPr="0052319E">
        <w:rPr>
          <w:rFonts w:eastAsia="Arial"/>
          <w:sz w:val="28"/>
          <w:szCs w:val="28"/>
        </w:rPr>
        <w:t>«</w:t>
      </w:r>
      <w:r w:rsidR="00BC69DD" w:rsidRPr="0052319E">
        <w:rPr>
          <w:rFonts w:eastAsia="Arial"/>
          <w:sz w:val="28"/>
          <w:szCs w:val="28"/>
        </w:rPr>
        <w:t>РКОД МЗ РТ им.проф.</w:t>
      </w:r>
      <w:r w:rsidR="00AC5011" w:rsidRPr="0052319E">
        <w:rPr>
          <w:rFonts w:eastAsia="Arial"/>
          <w:sz w:val="28"/>
          <w:szCs w:val="28"/>
        </w:rPr>
        <w:t>М.З.Сигала</w:t>
      </w:r>
      <w:r w:rsidR="002F7358" w:rsidRPr="0052319E">
        <w:rPr>
          <w:rFonts w:eastAsia="Arial"/>
          <w:sz w:val="28"/>
          <w:szCs w:val="28"/>
        </w:rPr>
        <w:t>»</w:t>
      </w:r>
      <w:r w:rsidR="001F7C04" w:rsidRPr="0052319E">
        <w:rPr>
          <w:rFonts w:eastAsia="Arial"/>
          <w:sz w:val="28"/>
          <w:szCs w:val="28"/>
        </w:rPr>
        <w:t xml:space="preserve"> согласно рекомендуемому прикреплению муниципальных образований Республики Татарстан к учреждениям здравоохранения онкологического профиля. Перед направлением пациентов им необходимо провести лабораторно-инструментальные исследования согласно рекомендуемому перечню.</w:t>
      </w:r>
    </w:p>
    <w:p w:rsidR="001F7C04" w:rsidRPr="0052319E" w:rsidRDefault="00887958" w:rsidP="00F90DF3">
      <w:pPr>
        <w:spacing w:line="245" w:lineRule="auto"/>
        <w:ind w:firstLine="709"/>
        <w:jc w:val="both"/>
        <w:rPr>
          <w:rFonts w:eastAsia="Arial"/>
          <w:sz w:val="28"/>
          <w:szCs w:val="28"/>
        </w:rPr>
      </w:pPr>
      <w:r w:rsidRPr="0052319E">
        <w:rPr>
          <w:rFonts w:eastAsia="Arial"/>
          <w:sz w:val="28"/>
          <w:szCs w:val="28"/>
        </w:rPr>
        <w:t>4</w:t>
      </w:r>
      <w:r w:rsidR="00377D26" w:rsidRPr="0052319E">
        <w:rPr>
          <w:rFonts w:eastAsia="Arial"/>
          <w:sz w:val="28"/>
          <w:szCs w:val="28"/>
        </w:rPr>
        <w:t>.</w:t>
      </w:r>
      <w:r w:rsidR="001F7C04" w:rsidRPr="0052319E">
        <w:rPr>
          <w:rFonts w:eastAsia="Arial"/>
          <w:sz w:val="28"/>
          <w:szCs w:val="28"/>
        </w:rPr>
        <w:t xml:space="preserve"> Филиалы </w:t>
      </w:r>
      <w:r w:rsidR="001F7C04" w:rsidRPr="0052319E">
        <w:rPr>
          <w:sz w:val="28"/>
          <w:szCs w:val="28"/>
        </w:rPr>
        <w:t xml:space="preserve">ГАУЗ </w:t>
      </w:r>
      <w:r w:rsidR="002F7358" w:rsidRPr="0052319E">
        <w:rPr>
          <w:rFonts w:eastAsia="Arial"/>
          <w:sz w:val="28"/>
          <w:szCs w:val="28"/>
        </w:rPr>
        <w:t>«</w:t>
      </w:r>
      <w:r w:rsidR="00BC69DD" w:rsidRPr="0052319E">
        <w:rPr>
          <w:rFonts w:eastAsia="Arial"/>
          <w:sz w:val="28"/>
          <w:szCs w:val="28"/>
        </w:rPr>
        <w:t>РКОД МЗ РТ им.проф.</w:t>
      </w:r>
      <w:r w:rsidR="00AC5011" w:rsidRPr="0052319E">
        <w:rPr>
          <w:rFonts w:eastAsia="Arial"/>
          <w:sz w:val="28"/>
          <w:szCs w:val="28"/>
        </w:rPr>
        <w:t>М.З.Сигала</w:t>
      </w:r>
      <w:r w:rsidR="002F7358" w:rsidRPr="0052319E">
        <w:rPr>
          <w:rFonts w:eastAsia="Arial"/>
          <w:sz w:val="28"/>
          <w:szCs w:val="28"/>
        </w:rPr>
        <w:t>»</w:t>
      </w:r>
      <w:r w:rsidR="001F7C04" w:rsidRPr="0052319E">
        <w:rPr>
          <w:rFonts w:eastAsia="Arial"/>
          <w:sz w:val="28"/>
          <w:szCs w:val="28"/>
        </w:rPr>
        <w:t xml:space="preserve">, центры амбулаторной онкологической помощи (кроме центров амбулаторной онкологической помощи ГАУЗ </w:t>
      </w:r>
      <w:r w:rsidR="002F7358" w:rsidRPr="0052319E">
        <w:rPr>
          <w:rFonts w:eastAsia="Arial"/>
          <w:sz w:val="28"/>
          <w:szCs w:val="28"/>
        </w:rPr>
        <w:t>«</w:t>
      </w:r>
      <w:r w:rsidR="001F7C04" w:rsidRPr="0052319E">
        <w:rPr>
          <w:rFonts w:eastAsia="Arial"/>
          <w:sz w:val="28"/>
          <w:szCs w:val="28"/>
        </w:rPr>
        <w:t>Зеленодольская ЦРБ</w:t>
      </w:r>
      <w:r w:rsidR="002F7358" w:rsidRPr="0052319E">
        <w:rPr>
          <w:rFonts w:eastAsia="Arial"/>
          <w:sz w:val="28"/>
          <w:szCs w:val="28"/>
        </w:rPr>
        <w:t>»</w:t>
      </w:r>
      <w:r w:rsidR="001F7C04" w:rsidRPr="0052319E">
        <w:rPr>
          <w:rFonts w:eastAsia="Arial"/>
          <w:sz w:val="28"/>
          <w:szCs w:val="28"/>
        </w:rPr>
        <w:t xml:space="preserve"> и ГАУЗ </w:t>
      </w:r>
      <w:r w:rsidR="002F7358" w:rsidRPr="0052319E">
        <w:rPr>
          <w:rFonts w:eastAsia="Arial"/>
          <w:sz w:val="28"/>
          <w:szCs w:val="28"/>
        </w:rPr>
        <w:t>«</w:t>
      </w:r>
      <w:r w:rsidR="001F7C04" w:rsidRPr="0052319E">
        <w:rPr>
          <w:rFonts w:eastAsia="Arial"/>
          <w:sz w:val="28"/>
          <w:szCs w:val="28"/>
        </w:rPr>
        <w:t>Нижнекамская центральная районная многопрофильная больница</w:t>
      </w:r>
      <w:r w:rsidR="002F7358" w:rsidRPr="0052319E">
        <w:rPr>
          <w:rFonts w:eastAsia="Arial"/>
          <w:sz w:val="28"/>
          <w:szCs w:val="28"/>
        </w:rPr>
        <w:t>»</w:t>
      </w:r>
      <w:r w:rsidR="001F7C04" w:rsidRPr="0052319E">
        <w:rPr>
          <w:rFonts w:eastAsia="Arial"/>
          <w:sz w:val="28"/>
          <w:szCs w:val="28"/>
        </w:rPr>
        <w:t xml:space="preserve">) в целях уточнения диагноза и (или) лечения направляют </w:t>
      </w:r>
      <w:r w:rsidR="00BC69DD" w:rsidRPr="0052319E">
        <w:rPr>
          <w:rFonts w:eastAsia="Arial"/>
          <w:sz w:val="28"/>
          <w:szCs w:val="28"/>
        </w:rPr>
        <w:br/>
      </w:r>
      <w:r w:rsidR="001F7C04" w:rsidRPr="0052319E">
        <w:rPr>
          <w:rFonts w:eastAsia="Arial"/>
          <w:sz w:val="28"/>
          <w:szCs w:val="28"/>
        </w:rPr>
        <w:t xml:space="preserve">пациентов: </w:t>
      </w:r>
    </w:p>
    <w:p w:rsidR="001F7C04" w:rsidRPr="0052319E" w:rsidRDefault="001F7C04" w:rsidP="00F90DF3">
      <w:pPr>
        <w:spacing w:line="245" w:lineRule="auto"/>
        <w:ind w:firstLine="709"/>
        <w:jc w:val="both"/>
        <w:rPr>
          <w:rFonts w:eastAsia="Arial"/>
          <w:sz w:val="28"/>
          <w:szCs w:val="28"/>
        </w:rPr>
      </w:pPr>
      <w:r w:rsidRPr="0052319E">
        <w:rPr>
          <w:rFonts w:eastAsia="Arial"/>
          <w:sz w:val="28"/>
          <w:szCs w:val="28"/>
        </w:rPr>
        <w:t>при выявлении опухолевой патологии (кроме опухолевой патологии головного мозга и других отделов центральной нервной системы, а также лимфоидной и кроветворной тканей</w:t>
      </w:r>
      <w:r w:rsidR="009F502F" w:rsidRPr="0052319E">
        <w:rPr>
          <w:rFonts w:eastAsia="Arial"/>
          <w:sz w:val="28"/>
          <w:szCs w:val="28"/>
        </w:rPr>
        <w:t>, и онкологических заболеваниях глаза, его придаточного аппарата и орбиты</w:t>
      </w:r>
      <w:r w:rsidRPr="0052319E">
        <w:rPr>
          <w:rFonts w:eastAsia="Arial"/>
          <w:sz w:val="28"/>
          <w:szCs w:val="28"/>
        </w:rPr>
        <w:t xml:space="preserve">) </w:t>
      </w:r>
      <w:r w:rsidR="00553643" w:rsidRPr="0052319E">
        <w:rPr>
          <w:rFonts w:eastAsia="Arial"/>
          <w:sz w:val="28"/>
          <w:szCs w:val="28"/>
        </w:rPr>
        <w:t xml:space="preserve">- </w:t>
      </w:r>
      <w:r w:rsidRPr="0052319E">
        <w:rPr>
          <w:rFonts w:eastAsia="Arial"/>
          <w:sz w:val="28"/>
          <w:szCs w:val="28"/>
        </w:rPr>
        <w:t xml:space="preserve">в </w:t>
      </w:r>
      <w:r w:rsidRPr="0052319E">
        <w:rPr>
          <w:sz w:val="28"/>
          <w:szCs w:val="28"/>
        </w:rPr>
        <w:t xml:space="preserve">ГАУЗ </w:t>
      </w:r>
      <w:r w:rsidR="002F7358" w:rsidRPr="0052319E">
        <w:rPr>
          <w:rFonts w:eastAsia="Arial"/>
          <w:sz w:val="28"/>
          <w:szCs w:val="28"/>
        </w:rPr>
        <w:t>«</w:t>
      </w:r>
      <w:r w:rsidR="00BC69DD" w:rsidRPr="0052319E">
        <w:rPr>
          <w:rFonts w:eastAsia="Arial"/>
          <w:sz w:val="28"/>
          <w:szCs w:val="28"/>
        </w:rPr>
        <w:t>РКОД МЗ РТ им.проф.</w:t>
      </w:r>
      <w:r w:rsidR="00AC5011" w:rsidRPr="0052319E">
        <w:rPr>
          <w:rFonts w:eastAsia="Arial"/>
          <w:sz w:val="28"/>
          <w:szCs w:val="28"/>
        </w:rPr>
        <w:t>М.З.Сигала</w:t>
      </w:r>
      <w:r w:rsidR="002F7358" w:rsidRPr="0052319E">
        <w:rPr>
          <w:rFonts w:eastAsia="Arial"/>
          <w:sz w:val="28"/>
          <w:szCs w:val="28"/>
        </w:rPr>
        <w:t>»</w:t>
      </w:r>
      <w:r w:rsidRPr="0052319E">
        <w:rPr>
          <w:rFonts w:eastAsia="Arial"/>
          <w:sz w:val="28"/>
          <w:szCs w:val="28"/>
        </w:rPr>
        <w:t>;</w:t>
      </w:r>
    </w:p>
    <w:p w:rsidR="001F7C04" w:rsidRPr="00AA5E87" w:rsidRDefault="001F7C04" w:rsidP="0048260C">
      <w:pPr>
        <w:spacing w:line="233" w:lineRule="auto"/>
        <w:ind w:firstLine="709"/>
        <w:jc w:val="both"/>
        <w:rPr>
          <w:rFonts w:eastAsia="Arial"/>
          <w:sz w:val="28"/>
          <w:szCs w:val="28"/>
        </w:rPr>
      </w:pPr>
      <w:r w:rsidRPr="00AA5E87">
        <w:rPr>
          <w:rFonts w:eastAsia="Arial"/>
          <w:sz w:val="28"/>
          <w:szCs w:val="28"/>
        </w:rPr>
        <w:t xml:space="preserve">при подозрении на опухолевую патологию головного мозга и других отделов центральной нервной системы </w:t>
      </w:r>
      <w:r w:rsidR="00553643" w:rsidRPr="00AA5E87">
        <w:rPr>
          <w:rFonts w:eastAsia="Arial"/>
          <w:sz w:val="28"/>
          <w:szCs w:val="28"/>
        </w:rPr>
        <w:t xml:space="preserve">- </w:t>
      </w:r>
      <w:r w:rsidRPr="00AA5E87">
        <w:rPr>
          <w:rFonts w:eastAsia="Arial"/>
          <w:sz w:val="28"/>
          <w:szCs w:val="28"/>
        </w:rPr>
        <w:t xml:space="preserve">в медицинские организации, определенные приказом Министерства здравоохранения Республики Татарстан от </w:t>
      </w:r>
      <w:r w:rsidR="00887958" w:rsidRPr="00AA5E87">
        <w:rPr>
          <w:rFonts w:eastAsia="Arial"/>
          <w:sz w:val="28"/>
          <w:szCs w:val="28"/>
        </w:rPr>
        <w:t>28</w:t>
      </w:r>
      <w:r w:rsidR="00951766" w:rsidRPr="00AA5E87">
        <w:rPr>
          <w:rFonts w:eastAsia="Arial"/>
          <w:sz w:val="28"/>
          <w:szCs w:val="28"/>
        </w:rPr>
        <w:t>.</w:t>
      </w:r>
      <w:r w:rsidR="00887958" w:rsidRPr="00AA5E87">
        <w:rPr>
          <w:rFonts w:eastAsia="Arial"/>
          <w:sz w:val="28"/>
          <w:szCs w:val="28"/>
        </w:rPr>
        <w:t>12</w:t>
      </w:r>
      <w:r w:rsidR="00951766" w:rsidRPr="00AA5E87">
        <w:rPr>
          <w:rFonts w:eastAsia="Arial"/>
          <w:sz w:val="28"/>
          <w:szCs w:val="28"/>
        </w:rPr>
        <w:t>.</w:t>
      </w:r>
      <w:r w:rsidRPr="00AA5E87">
        <w:rPr>
          <w:rFonts w:eastAsia="Arial"/>
          <w:sz w:val="28"/>
          <w:szCs w:val="28"/>
        </w:rPr>
        <w:t xml:space="preserve">2021 № 2970 </w:t>
      </w:r>
      <w:r w:rsidR="002F7358" w:rsidRPr="00AA5E87">
        <w:rPr>
          <w:rFonts w:eastAsia="Arial"/>
          <w:sz w:val="28"/>
          <w:szCs w:val="28"/>
        </w:rPr>
        <w:t>«</w:t>
      </w:r>
      <w:r w:rsidRPr="00AA5E87">
        <w:rPr>
          <w:rFonts w:eastAsia="Arial"/>
          <w:sz w:val="28"/>
          <w:szCs w:val="28"/>
        </w:rPr>
        <w:t xml:space="preserve">Об организации специализированной, в том числе высокотехнологичной, медицинской </w:t>
      </w:r>
      <w:r w:rsidR="00BC69DD" w:rsidRPr="00AA5E87">
        <w:rPr>
          <w:rFonts w:eastAsia="Arial"/>
          <w:sz w:val="28"/>
          <w:szCs w:val="28"/>
        </w:rPr>
        <w:br/>
      </w:r>
      <w:r w:rsidRPr="00AA5E87">
        <w:rPr>
          <w:rFonts w:eastAsia="Arial"/>
          <w:sz w:val="28"/>
          <w:szCs w:val="28"/>
        </w:rPr>
        <w:t>помощи в плановой форме взрослому населению при нейрохирургических заболеваниях онкологического генеза в Республике Татарстан</w:t>
      </w:r>
      <w:r w:rsidR="002F7358" w:rsidRPr="00AA5E87">
        <w:rPr>
          <w:rFonts w:eastAsia="Arial"/>
          <w:sz w:val="28"/>
          <w:szCs w:val="28"/>
        </w:rPr>
        <w:t>»</w:t>
      </w:r>
      <w:r w:rsidRPr="00AA5E87">
        <w:rPr>
          <w:rFonts w:eastAsia="Arial"/>
          <w:sz w:val="28"/>
          <w:szCs w:val="28"/>
        </w:rPr>
        <w:t>;</w:t>
      </w:r>
    </w:p>
    <w:p w:rsidR="009F502F" w:rsidRPr="00AA5E87" w:rsidRDefault="001F7C04" w:rsidP="0048260C">
      <w:pPr>
        <w:spacing w:line="233" w:lineRule="auto"/>
        <w:ind w:firstLine="709"/>
        <w:jc w:val="both"/>
        <w:rPr>
          <w:rFonts w:eastAsia="Arial"/>
          <w:color w:val="000000" w:themeColor="text1"/>
          <w:sz w:val="28"/>
          <w:szCs w:val="28"/>
        </w:rPr>
      </w:pPr>
      <w:r w:rsidRPr="00AA5E87">
        <w:rPr>
          <w:rFonts w:eastAsia="Arial"/>
          <w:color w:val="000000" w:themeColor="text1"/>
          <w:sz w:val="28"/>
          <w:szCs w:val="28"/>
        </w:rPr>
        <w:t xml:space="preserve">при подозрении на опухолевую патологию лимфоидной и кроветворной тканей в медицинские организации, определенные приказом Министерства здравоохранения Республики Татарстан от </w:t>
      </w:r>
      <w:r w:rsidR="00AA5E87" w:rsidRPr="00AA5E87">
        <w:rPr>
          <w:rFonts w:eastAsia="Arial"/>
          <w:color w:val="000000" w:themeColor="text1"/>
          <w:sz w:val="28"/>
          <w:szCs w:val="28"/>
        </w:rPr>
        <w:t>04</w:t>
      </w:r>
      <w:r w:rsidR="00840CA8" w:rsidRPr="00AA5E87">
        <w:rPr>
          <w:rFonts w:eastAsia="Arial"/>
          <w:color w:val="000000" w:themeColor="text1"/>
          <w:sz w:val="28"/>
          <w:szCs w:val="28"/>
        </w:rPr>
        <w:t>.</w:t>
      </w:r>
      <w:r w:rsidR="00AA5E87" w:rsidRPr="00AA5E87">
        <w:rPr>
          <w:rFonts w:eastAsia="Arial"/>
          <w:color w:val="000000" w:themeColor="text1"/>
          <w:sz w:val="28"/>
          <w:szCs w:val="28"/>
        </w:rPr>
        <w:t>12</w:t>
      </w:r>
      <w:r w:rsidR="00840CA8" w:rsidRPr="00AA5E87">
        <w:rPr>
          <w:rFonts w:eastAsia="Arial"/>
          <w:color w:val="000000" w:themeColor="text1"/>
          <w:sz w:val="28"/>
          <w:szCs w:val="28"/>
        </w:rPr>
        <w:t>.</w:t>
      </w:r>
      <w:r w:rsidRPr="00AA5E87">
        <w:rPr>
          <w:rFonts w:eastAsia="Arial"/>
          <w:color w:val="000000" w:themeColor="text1"/>
          <w:sz w:val="28"/>
          <w:szCs w:val="28"/>
        </w:rPr>
        <w:t>20</w:t>
      </w:r>
      <w:r w:rsidR="00AA5E87" w:rsidRPr="00AA5E87">
        <w:rPr>
          <w:rFonts w:eastAsia="Arial"/>
          <w:color w:val="000000" w:themeColor="text1"/>
          <w:sz w:val="28"/>
          <w:szCs w:val="28"/>
        </w:rPr>
        <w:t>1</w:t>
      </w:r>
      <w:r w:rsidR="009F502F" w:rsidRPr="00AA5E87">
        <w:rPr>
          <w:rFonts w:eastAsia="Arial"/>
          <w:color w:val="000000" w:themeColor="text1"/>
          <w:sz w:val="28"/>
          <w:szCs w:val="28"/>
        </w:rPr>
        <w:t>5</w:t>
      </w:r>
      <w:r w:rsidRPr="00AA5E87">
        <w:rPr>
          <w:rFonts w:eastAsia="Arial"/>
          <w:color w:val="000000" w:themeColor="text1"/>
          <w:sz w:val="28"/>
          <w:szCs w:val="28"/>
        </w:rPr>
        <w:t xml:space="preserve"> № </w:t>
      </w:r>
      <w:r w:rsidR="00AA5E87" w:rsidRPr="00AA5E87">
        <w:rPr>
          <w:rFonts w:eastAsia="Arial"/>
          <w:color w:val="000000" w:themeColor="text1"/>
          <w:sz w:val="28"/>
          <w:szCs w:val="28"/>
        </w:rPr>
        <w:t xml:space="preserve">2601 </w:t>
      </w:r>
      <w:r w:rsidR="002F7358" w:rsidRPr="00AA5E87">
        <w:rPr>
          <w:rFonts w:eastAsia="Arial"/>
          <w:color w:val="000000" w:themeColor="text1"/>
          <w:sz w:val="28"/>
          <w:szCs w:val="28"/>
        </w:rPr>
        <w:t>«</w:t>
      </w:r>
      <w:r w:rsidR="00AA5E87" w:rsidRPr="00AA5E87">
        <w:rPr>
          <w:color w:val="000000" w:themeColor="text1"/>
          <w:sz w:val="28"/>
          <w:szCs w:val="28"/>
          <w:shd w:val="clear" w:color="auto" w:fill="FFFFFF"/>
        </w:rPr>
        <w:t>О порядке оказания специализированной медицинской помощи по профилю «гематология» взрослому населению в Республике Татарстан</w:t>
      </w:r>
      <w:r w:rsidR="002F7358" w:rsidRPr="00AA5E87">
        <w:rPr>
          <w:rFonts w:eastAsia="Arial"/>
          <w:color w:val="000000" w:themeColor="text1"/>
          <w:sz w:val="28"/>
          <w:szCs w:val="28"/>
        </w:rPr>
        <w:t>»</w:t>
      </w:r>
      <w:r w:rsidR="009F502F" w:rsidRPr="00AA5E87">
        <w:rPr>
          <w:rFonts w:eastAsia="Arial"/>
          <w:color w:val="000000" w:themeColor="text1"/>
          <w:sz w:val="28"/>
          <w:szCs w:val="28"/>
        </w:rPr>
        <w:t xml:space="preserve">; </w:t>
      </w:r>
    </w:p>
    <w:p w:rsidR="001F7C04" w:rsidRPr="0052319E" w:rsidRDefault="00553643" w:rsidP="0048260C">
      <w:pPr>
        <w:spacing w:line="233" w:lineRule="auto"/>
        <w:ind w:firstLine="709"/>
        <w:jc w:val="both"/>
        <w:rPr>
          <w:rFonts w:eastAsia="Arial"/>
          <w:sz w:val="28"/>
          <w:szCs w:val="28"/>
        </w:rPr>
      </w:pPr>
      <w:r w:rsidRPr="0052319E">
        <w:rPr>
          <w:rFonts w:eastAsia="Arial"/>
          <w:sz w:val="28"/>
          <w:szCs w:val="28"/>
        </w:rPr>
        <w:t xml:space="preserve">при подозрении на опухолевую патологию глаза, его придаточного аппарата и орбиты </w:t>
      </w:r>
      <w:r w:rsidR="0045221D" w:rsidRPr="0052319E">
        <w:rPr>
          <w:rFonts w:eastAsia="Arial"/>
          <w:sz w:val="28"/>
          <w:szCs w:val="28"/>
        </w:rPr>
        <w:t>- в медицинские организации, определенные приказом Министерства здравоохранения Республики Татарстан от 28.12.2021 № 2971 «Об организации медицинской помощи взрослому населению при онкологических заболеваниях глаза, его придаточного аппарата и орбиты в Республике Татарстан»</w:t>
      </w:r>
      <w:r w:rsidR="001F7C04" w:rsidRPr="0052319E">
        <w:rPr>
          <w:rFonts w:eastAsia="Arial"/>
          <w:sz w:val="28"/>
          <w:szCs w:val="28"/>
        </w:rPr>
        <w:t>.</w:t>
      </w:r>
    </w:p>
    <w:p w:rsidR="001F7C04" w:rsidRPr="0052319E" w:rsidRDefault="00887958" w:rsidP="0048260C">
      <w:pPr>
        <w:spacing w:line="233" w:lineRule="auto"/>
        <w:ind w:firstLine="709"/>
        <w:jc w:val="both"/>
        <w:rPr>
          <w:rFonts w:eastAsia="Arial"/>
          <w:sz w:val="28"/>
          <w:szCs w:val="28"/>
        </w:rPr>
      </w:pPr>
      <w:r w:rsidRPr="0052319E">
        <w:rPr>
          <w:rFonts w:eastAsia="Arial"/>
          <w:sz w:val="28"/>
          <w:szCs w:val="28"/>
        </w:rPr>
        <w:t>5</w:t>
      </w:r>
      <w:r w:rsidR="00377D26" w:rsidRPr="0052319E">
        <w:rPr>
          <w:rFonts w:eastAsia="Arial"/>
          <w:sz w:val="28"/>
          <w:szCs w:val="28"/>
        </w:rPr>
        <w:t>.</w:t>
      </w:r>
      <w:r w:rsidR="001F7C04" w:rsidRPr="0052319E">
        <w:rPr>
          <w:rFonts w:eastAsia="Arial"/>
          <w:sz w:val="28"/>
          <w:szCs w:val="28"/>
        </w:rPr>
        <w:t xml:space="preserve"> Центры амбулаторной онкологической помощи ГАУЗ </w:t>
      </w:r>
      <w:r w:rsidR="002F7358" w:rsidRPr="0052319E">
        <w:rPr>
          <w:rFonts w:eastAsia="Arial"/>
          <w:sz w:val="28"/>
          <w:szCs w:val="28"/>
        </w:rPr>
        <w:t>«</w:t>
      </w:r>
      <w:r w:rsidR="001F7C04" w:rsidRPr="0052319E">
        <w:rPr>
          <w:rFonts w:eastAsia="Arial"/>
          <w:sz w:val="28"/>
          <w:szCs w:val="28"/>
        </w:rPr>
        <w:t>Зеленодольская ЦРБ</w:t>
      </w:r>
      <w:r w:rsidR="002F7358" w:rsidRPr="0052319E">
        <w:rPr>
          <w:rFonts w:eastAsia="Arial"/>
          <w:sz w:val="28"/>
          <w:szCs w:val="28"/>
        </w:rPr>
        <w:t>»</w:t>
      </w:r>
      <w:r w:rsidR="001F7C04" w:rsidRPr="0052319E">
        <w:rPr>
          <w:rFonts w:eastAsia="Arial"/>
          <w:sz w:val="28"/>
          <w:szCs w:val="28"/>
        </w:rPr>
        <w:t xml:space="preserve"> и ГАУЗ </w:t>
      </w:r>
      <w:r w:rsidR="002F7358" w:rsidRPr="0052319E">
        <w:rPr>
          <w:rFonts w:eastAsia="Arial"/>
          <w:sz w:val="28"/>
          <w:szCs w:val="28"/>
        </w:rPr>
        <w:t>«</w:t>
      </w:r>
      <w:r w:rsidR="001F7C04" w:rsidRPr="0052319E">
        <w:rPr>
          <w:rFonts w:eastAsia="Arial"/>
          <w:sz w:val="28"/>
          <w:szCs w:val="28"/>
        </w:rPr>
        <w:t>Нижнекамская центральная районная многопрофильная больница</w:t>
      </w:r>
      <w:r w:rsidR="002F7358" w:rsidRPr="0052319E">
        <w:rPr>
          <w:rFonts w:eastAsia="Arial"/>
          <w:sz w:val="28"/>
          <w:szCs w:val="28"/>
        </w:rPr>
        <w:t>»</w:t>
      </w:r>
      <w:r w:rsidR="001F7C04" w:rsidRPr="0052319E">
        <w:rPr>
          <w:rFonts w:eastAsia="Arial"/>
          <w:sz w:val="28"/>
          <w:szCs w:val="28"/>
        </w:rPr>
        <w:t>:</w:t>
      </w:r>
    </w:p>
    <w:p w:rsidR="001F7C04" w:rsidRPr="0052319E" w:rsidRDefault="001F7C04" w:rsidP="0048260C">
      <w:pPr>
        <w:spacing w:line="233" w:lineRule="auto"/>
        <w:ind w:firstLine="709"/>
        <w:jc w:val="both"/>
        <w:rPr>
          <w:rFonts w:eastAsia="Arial"/>
          <w:sz w:val="28"/>
          <w:szCs w:val="28"/>
        </w:rPr>
      </w:pPr>
      <w:r w:rsidRPr="0052319E">
        <w:rPr>
          <w:rFonts w:eastAsia="Arial"/>
          <w:sz w:val="28"/>
          <w:szCs w:val="28"/>
        </w:rPr>
        <w:t>направляют пациентов при подозрении на опухолевую патологию (кроме опухолевой патологии головного мозга и других отделов центральной нервной системы, а также лимфоидной и кроветворной тканей</w:t>
      </w:r>
      <w:r w:rsidR="0045221D" w:rsidRPr="0052319E">
        <w:rPr>
          <w:rFonts w:eastAsia="Arial"/>
          <w:sz w:val="28"/>
          <w:szCs w:val="28"/>
        </w:rPr>
        <w:t>, и онкологических заболеваниях глаза, его придаточного аппарата и орбиты</w:t>
      </w:r>
      <w:r w:rsidRPr="0052319E">
        <w:rPr>
          <w:rFonts w:eastAsia="Arial"/>
          <w:sz w:val="28"/>
          <w:szCs w:val="28"/>
        </w:rPr>
        <w:t xml:space="preserve">) на специализированное лечение в онкологическое отделение ГАУЗ </w:t>
      </w:r>
      <w:r w:rsidR="002F7358" w:rsidRPr="0052319E">
        <w:rPr>
          <w:rFonts w:eastAsia="Arial"/>
          <w:sz w:val="28"/>
          <w:szCs w:val="28"/>
        </w:rPr>
        <w:t>«</w:t>
      </w:r>
      <w:r w:rsidRPr="0052319E">
        <w:rPr>
          <w:rFonts w:eastAsia="Arial"/>
          <w:sz w:val="28"/>
          <w:szCs w:val="28"/>
        </w:rPr>
        <w:t>Зеленодольская ЦРБ</w:t>
      </w:r>
      <w:r w:rsidR="002F7358" w:rsidRPr="0052319E">
        <w:rPr>
          <w:rFonts w:eastAsia="Arial"/>
          <w:sz w:val="28"/>
          <w:szCs w:val="28"/>
        </w:rPr>
        <w:t>»</w:t>
      </w:r>
      <w:r w:rsidRPr="0052319E">
        <w:rPr>
          <w:rFonts w:eastAsia="Arial"/>
          <w:sz w:val="28"/>
          <w:szCs w:val="28"/>
        </w:rPr>
        <w:t xml:space="preserve"> или ГАУЗ </w:t>
      </w:r>
      <w:r w:rsidR="002F7358" w:rsidRPr="0052319E">
        <w:rPr>
          <w:rFonts w:eastAsia="Arial"/>
          <w:sz w:val="28"/>
          <w:szCs w:val="28"/>
        </w:rPr>
        <w:t>«</w:t>
      </w:r>
      <w:r w:rsidRPr="0052319E">
        <w:rPr>
          <w:rFonts w:eastAsia="Arial"/>
          <w:sz w:val="28"/>
          <w:szCs w:val="28"/>
        </w:rPr>
        <w:t>Нижнекамская центральная районная многопрофильная больница</w:t>
      </w:r>
      <w:r w:rsidR="002F7358" w:rsidRPr="0052319E">
        <w:rPr>
          <w:rFonts w:eastAsia="Arial"/>
          <w:sz w:val="28"/>
          <w:szCs w:val="28"/>
        </w:rPr>
        <w:t>»</w:t>
      </w:r>
      <w:r w:rsidRPr="0052319E">
        <w:rPr>
          <w:rFonts w:eastAsia="Arial"/>
          <w:sz w:val="28"/>
          <w:szCs w:val="28"/>
        </w:rPr>
        <w:t xml:space="preserve"> соответственно, исходя из локализации опухоли, состояния пациента, предполагаемого объема медицинской помощи, квалификации персонала и материально-технической оснащенности онкологического отделения;</w:t>
      </w:r>
    </w:p>
    <w:p w:rsidR="001F7C04" w:rsidRPr="0052319E" w:rsidRDefault="001F7C04" w:rsidP="0048260C">
      <w:pPr>
        <w:spacing w:line="233" w:lineRule="auto"/>
        <w:ind w:firstLine="709"/>
        <w:jc w:val="both"/>
        <w:rPr>
          <w:rFonts w:eastAsia="Arial"/>
          <w:sz w:val="28"/>
          <w:szCs w:val="28"/>
        </w:rPr>
      </w:pPr>
      <w:r w:rsidRPr="0052319E">
        <w:rPr>
          <w:rFonts w:eastAsia="Arial"/>
          <w:sz w:val="28"/>
          <w:szCs w:val="28"/>
        </w:rPr>
        <w:t xml:space="preserve">при необходимости обследования и (или) лечения в объемах, превышающих возможности онкологических отделений ГАУЗ </w:t>
      </w:r>
      <w:r w:rsidR="002F7358" w:rsidRPr="0052319E">
        <w:rPr>
          <w:rFonts w:eastAsia="Arial"/>
          <w:sz w:val="28"/>
          <w:szCs w:val="28"/>
        </w:rPr>
        <w:t>«</w:t>
      </w:r>
      <w:r w:rsidRPr="0052319E">
        <w:rPr>
          <w:rFonts w:eastAsia="Arial"/>
          <w:sz w:val="28"/>
          <w:szCs w:val="28"/>
        </w:rPr>
        <w:t>Зеленодольская ЦРБ</w:t>
      </w:r>
      <w:r w:rsidR="002F7358" w:rsidRPr="0052319E">
        <w:rPr>
          <w:rFonts w:eastAsia="Arial"/>
          <w:sz w:val="28"/>
          <w:szCs w:val="28"/>
        </w:rPr>
        <w:t>»</w:t>
      </w:r>
      <w:r w:rsidRPr="0052319E">
        <w:rPr>
          <w:rFonts w:eastAsia="Arial"/>
          <w:sz w:val="28"/>
          <w:szCs w:val="28"/>
        </w:rPr>
        <w:t xml:space="preserve"> или ГАУЗ </w:t>
      </w:r>
      <w:r w:rsidR="002F7358" w:rsidRPr="0052319E">
        <w:rPr>
          <w:rFonts w:eastAsia="Arial"/>
          <w:sz w:val="28"/>
          <w:szCs w:val="28"/>
        </w:rPr>
        <w:t>«</w:t>
      </w:r>
      <w:r w:rsidRPr="0052319E">
        <w:rPr>
          <w:rFonts w:eastAsia="Arial"/>
          <w:sz w:val="28"/>
          <w:szCs w:val="28"/>
        </w:rPr>
        <w:t>Нижнекамская центральная районная многопрофильная больница</w:t>
      </w:r>
      <w:r w:rsidR="002F7358" w:rsidRPr="0052319E">
        <w:rPr>
          <w:rFonts w:eastAsia="Arial"/>
          <w:sz w:val="28"/>
          <w:szCs w:val="28"/>
        </w:rPr>
        <w:t>»</w:t>
      </w:r>
      <w:r w:rsidRPr="0052319E">
        <w:rPr>
          <w:rFonts w:eastAsia="Arial"/>
          <w:sz w:val="28"/>
          <w:szCs w:val="28"/>
        </w:rPr>
        <w:t xml:space="preserve">, пациенты направляются в </w:t>
      </w:r>
      <w:r w:rsidRPr="0052319E">
        <w:rPr>
          <w:sz w:val="28"/>
          <w:szCs w:val="28"/>
        </w:rPr>
        <w:t xml:space="preserve">ГАУЗ </w:t>
      </w:r>
      <w:r w:rsidR="002F7358" w:rsidRPr="0052319E">
        <w:rPr>
          <w:rFonts w:eastAsia="Arial"/>
          <w:sz w:val="28"/>
          <w:szCs w:val="28"/>
        </w:rPr>
        <w:t>«</w:t>
      </w:r>
      <w:r w:rsidR="00BC69DD" w:rsidRPr="0052319E">
        <w:rPr>
          <w:rFonts w:eastAsia="Arial"/>
          <w:sz w:val="28"/>
          <w:szCs w:val="28"/>
        </w:rPr>
        <w:t>РКОД МЗ РТ им.проф.</w:t>
      </w:r>
      <w:r w:rsidR="00AC5011" w:rsidRPr="0052319E">
        <w:rPr>
          <w:rFonts w:eastAsia="Arial"/>
          <w:sz w:val="28"/>
          <w:szCs w:val="28"/>
        </w:rPr>
        <w:t>М.З.Сигала</w:t>
      </w:r>
      <w:r w:rsidR="002F7358" w:rsidRPr="0052319E">
        <w:rPr>
          <w:rFonts w:eastAsia="Arial"/>
          <w:sz w:val="28"/>
          <w:szCs w:val="28"/>
        </w:rPr>
        <w:t>»</w:t>
      </w:r>
      <w:r w:rsidRPr="0052319E">
        <w:rPr>
          <w:sz w:val="28"/>
          <w:szCs w:val="28"/>
        </w:rPr>
        <w:t xml:space="preserve"> и Набережночелнинский филиал </w:t>
      </w:r>
      <w:r w:rsidR="002F7358" w:rsidRPr="0052319E">
        <w:rPr>
          <w:rFonts w:eastAsia="Arial"/>
          <w:sz w:val="28"/>
          <w:szCs w:val="28"/>
        </w:rPr>
        <w:t>«</w:t>
      </w:r>
      <w:r w:rsidR="00AC5011" w:rsidRPr="0052319E">
        <w:rPr>
          <w:rFonts w:eastAsia="Arial"/>
          <w:sz w:val="28"/>
          <w:szCs w:val="28"/>
        </w:rPr>
        <w:t>РКОД</w:t>
      </w:r>
      <w:r w:rsidR="00BC69DD" w:rsidRPr="0052319E">
        <w:rPr>
          <w:rFonts w:eastAsia="Arial"/>
          <w:sz w:val="28"/>
          <w:szCs w:val="28"/>
        </w:rPr>
        <w:t xml:space="preserve"> МЗ РТ им.проф.</w:t>
      </w:r>
      <w:r w:rsidR="00AC5011" w:rsidRPr="0052319E">
        <w:rPr>
          <w:rFonts w:eastAsia="Arial"/>
          <w:sz w:val="28"/>
          <w:szCs w:val="28"/>
        </w:rPr>
        <w:t>М.З.Сигала</w:t>
      </w:r>
      <w:r w:rsidR="002F7358" w:rsidRPr="0052319E">
        <w:rPr>
          <w:rFonts w:eastAsia="Arial"/>
          <w:sz w:val="28"/>
          <w:szCs w:val="28"/>
        </w:rPr>
        <w:t>»</w:t>
      </w:r>
      <w:r w:rsidRPr="0052319E">
        <w:rPr>
          <w:sz w:val="28"/>
          <w:szCs w:val="28"/>
        </w:rPr>
        <w:t xml:space="preserve"> соответственно</w:t>
      </w:r>
      <w:r w:rsidRPr="0052319E">
        <w:rPr>
          <w:rFonts w:eastAsia="Arial"/>
          <w:sz w:val="28"/>
          <w:szCs w:val="28"/>
        </w:rPr>
        <w:t>.</w:t>
      </w:r>
    </w:p>
    <w:p w:rsidR="001F7C04" w:rsidRPr="0052319E" w:rsidRDefault="001F7C04" w:rsidP="0048260C">
      <w:pPr>
        <w:spacing w:line="233" w:lineRule="auto"/>
        <w:ind w:firstLine="709"/>
        <w:jc w:val="both"/>
        <w:rPr>
          <w:rFonts w:eastAsia="Arial"/>
          <w:szCs w:val="28"/>
        </w:rPr>
      </w:pPr>
    </w:p>
    <w:p w:rsidR="001F7C04" w:rsidRPr="0052319E" w:rsidRDefault="001F7C04" w:rsidP="00BC69DD">
      <w:pPr>
        <w:ind w:firstLine="709"/>
        <w:jc w:val="both"/>
        <w:rPr>
          <w:rFonts w:eastAsia="Arial"/>
          <w:sz w:val="28"/>
          <w:szCs w:val="28"/>
        </w:rPr>
      </w:pPr>
      <w:r w:rsidRPr="0052319E">
        <w:rPr>
          <w:rFonts w:eastAsia="Arial"/>
          <w:sz w:val="28"/>
          <w:szCs w:val="28"/>
        </w:rPr>
        <w:t>Детское население (0 – 17 лет включительно).</w:t>
      </w:r>
    </w:p>
    <w:p w:rsidR="001F7C04" w:rsidRPr="0052319E" w:rsidRDefault="001F7C04" w:rsidP="00BC69DD">
      <w:pPr>
        <w:ind w:firstLine="709"/>
        <w:jc w:val="both"/>
        <w:rPr>
          <w:rFonts w:eastAsia="Arial"/>
          <w:sz w:val="28"/>
          <w:szCs w:val="28"/>
        </w:rPr>
      </w:pPr>
      <w:r w:rsidRPr="0052319E">
        <w:rPr>
          <w:rFonts w:eastAsia="Arial"/>
          <w:sz w:val="28"/>
          <w:szCs w:val="28"/>
        </w:rPr>
        <w:t xml:space="preserve">Жители всех муниципальных образований Республики Татарстан вне зависимости от локализации опухоли направляются в поликлинику ГАУЗ </w:t>
      </w:r>
      <w:r w:rsidR="002F7358" w:rsidRPr="0052319E">
        <w:rPr>
          <w:rFonts w:eastAsia="Arial"/>
          <w:sz w:val="28"/>
          <w:szCs w:val="28"/>
        </w:rPr>
        <w:t>«</w:t>
      </w:r>
      <w:r w:rsidRPr="0052319E">
        <w:rPr>
          <w:rFonts w:eastAsia="Arial"/>
          <w:sz w:val="28"/>
          <w:szCs w:val="28"/>
        </w:rPr>
        <w:t>Детская республиканская клиническая больница Министерства здравоохранения Республики Татарстан</w:t>
      </w:r>
      <w:r w:rsidR="002F7358" w:rsidRPr="0052319E">
        <w:rPr>
          <w:rFonts w:eastAsia="Arial"/>
          <w:sz w:val="28"/>
          <w:szCs w:val="28"/>
        </w:rPr>
        <w:t>»</w:t>
      </w:r>
      <w:r w:rsidRPr="0052319E">
        <w:rPr>
          <w:rFonts w:eastAsia="Arial"/>
          <w:sz w:val="28"/>
          <w:szCs w:val="28"/>
        </w:rPr>
        <w:t xml:space="preserve"> (кроме жителей г.Казани при подозрении или выявлении онкологической патологии лимфоидной и кроветворной тканей).</w:t>
      </w:r>
    </w:p>
    <w:p w:rsidR="001F7C04" w:rsidRPr="0052319E" w:rsidRDefault="001F7C04" w:rsidP="00A61EE1">
      <w:pPr>
        <w:spacing w:line="245" w:lineRule="auto"/>
        <w:ind w:firstLine="709"/>
        <w:jc w:val="both"/>
        <w:rPr>
          <w:rFonts w:eastAsia="Arial"/>
          <w:sz w:val="28"/>
          <w:szCs w:val="28"/>
        </w:rPr>
      </w:pPr>
      <w:r w:rsidRPr="0052319E">
        <w:rPr>
          <w:rFonts w:eastAsia="Arial"/>
          <w:sz w:val="28"/>
          <w:szCs w:val="28"/>
        </w:rPr>
        <w:t xml:space="preserve">Жители г.Казани при подозрении на онкологическую патологию лимфоидной и кроветворной тканей направляются в поликлинику ГАУЗ </w:t>
      </w:r>
      <w:r w:rsidR="002F7358" w:rsidRPr="0052319E">
        <w:rPr>
          <w:rFonts w:eastAsia="Arial"/>
          <w:sz w:val="28"/>
          <w:szCs w:val="28"/>
        </w:rPr>
        <w:t>«</w:t>
      </w:r>
      <w:r w:rsidRPr="0052319E">
        <w:rPr>
          <w:rFonts w:eastAsia="Arial"/>
          <w:sz w:val="28"/>
          <w:szCs w:val="28"/>
        </w:rPr>
        <w:t>Городская детская больница № 1</w:t>
      </w:r>
      <w:r w:rsidR="002F7358" w:rsidRPr="0052319E">
        <w:rPr>
          <w:rFonts w:eastAsia="Arial"/>
          <w:sz w:val="28"/>
          <w:szCs w:val="28"/>
        </w:rPr>
        <w:t>»</w:t>
      </w:r>
      <w:r w:rsidR="00172B71" w:rsidRPr="0052319E">
        <w:rPr>
          <w:rFonts w:eastAsia="Arial"/>
          <w:sz w:val="28"/>
          <w:szCs w:val="28"/>
        </w:rPr>
        <w:t xml:space="preserve"> г.Казани</w:t>
      </w:r>
      <w:r w:rsidRPr="0052319E">
        <w:rPr>
          <w:rFonts w:eastAsia="Arial"/>
          <w:sz w:val="28"/>
          <w:szCs w:val="28"/>
        </w:rPr>
        <w:t xml:space="preserve">. </w:t>
      </w:r>
    </w:p>
    <w:p w:rsidR="001F7C04" w:rsidRPr="0052319E" w:rsidRDefault="001F7C04" w:rsidP="00A61EE1">
      <w:pPr>
        <w:spacing w:line="245" w:lineRule="auto"/>
        <w:ind w:firstLine="709"/>
        <w:jc w:val="both"/>
        <w:rPr>
          <w:rFonts w:eastAsia="Arial"/>
          <w:sz w:val="28"/>
          <w:szCs w:val="28"/>
        </w:rPr>
      </w:pPr>
      <w:r w:rsidRPr="0052319E">
        <w:rPr>
          <w:rFonts w:eastAsia="Arial"/>
          <w:sz w:val="28"/>
          <w:szCs w:val="28"/>
        </w:rPr>
        <w:t>По завершении этапа лечения в специализированном онкологическом учреждении (отделении) пациент направляется в пер</w:t>
      </w:r>
      <w:r w:rsidR="00EB4C85">
        <w:rPr>
          <w:rFonts w:eastAsia="Arial"/>
          <w:sz w:val="28"/>
          <w:szCs w:val="28"/>
        </w:rPr>
        <w:t xml:space="preserve">вичный онкологический кабинет или в </w:t>
      </w:r>
      <w:r w:rsidRPr="0052319E">
        <w:rPr>
          <w:rFonts w:eastAsia="Arial"/>
          <w:sz w:val="28"/>
          <w:szCs w:val="28"/>
        </w:rPr>
        <w:t xml:space="preserve">центр амбулаторной онкологической помощи по месту жительства. </w:t>
      </w:r>
    </w:p>
    <w:p w:rsidR="001F7C04" w:rsidRPr="0052319E" w:rsidRDefault="001F7C04" w:rsidP="00A61EE1">
      <w:pPr>
        <w:spacing w:line="245" w:lineRule="auto"/>
        <w:ind w:firstLine="709"/>
        <w:jc w:val="both"/>
        <w:rPr>
          <w:rFonts w:eastAsia="Arial"/>
          <w:sz w:val="28"/>
          <w:szCs w:val="28"/>
        </w:rPr>
      </w:pPr>
      <w:r w:rsidRPr="0052319E">
        <w:rPr>
          <w:rFonts w:eastAsia="Arial"/>
          <w:sz w:val="28"/>
          <w:szCs w:val="28"/>
        </w:rPr>
        <w:t>В первичный онкологический кабинет</w:t>
      </w:r>
      <w:r w:rsidR="00EB4C85">
        <w:rPr>
          <w:rFonts w:eastAsia="Arial"/>
          <w:sz w:val="28"/>
          <w:szCs w:val="28"/>
        </w:rPr>
        <w:t xml:space="preserve"> или в </w:t>
      </w:r>
      <w:r w:rsidRPr="0052319E">
        <w:rPr>
          <w:rFonts w:eastAsia="Arial"/>
          <w:sz w:val="28"/>
          <w:szCs w:val="28"/>
        </w:rPr>
        <w:t xml:space="preserve">центр амбулаторной онкологической помощи направляется выписка из медицинской карты амбулаторного и (или) стационарного больного с перечнем рекомендаций по дальнейшей курации пациента. </w:t>
      </w:r>
    </w:p>
    <w:p w:rsidR="001F7C04" w:rsidRPr="0052319E" w:rsidRDefault="001F7C04" w:rsidP="00F90DF3">
      <w:pPr>
        <w:spacing w:line="235" w:lineRule="auto"/>
        <w:ind w:firstLine="709"/>
        <w:jc w:val="both"/>
        <w:rPr>
          <w:rFonts w:eastAsia="Arial"/>
          <w:sz w:val="28"/>
          <w:szCs w:val="28"/>
        </w:rPr>
      </w:pPr>
      <w:r w:rsidRPr="0052319E">
        <w:rPr>
          <w:rFonts w:eastAsia="Arial"/>
          <w:sz w:val="28"/>
          <w:szCs w:val="28"/>
        </w:rPr>
        <w:t xml:space="preserve">В ГАУЗ </w:t>
      </w:r>
      <w:r w:rsidR="002F7358" w:rsidRPr="0052319E">
        <w:rPr>
          <w:rFonts w:eastAsia="Arial"/>
          <w:sz w:val="28"/>
          <w:szCs w:val="28"/>
        </w:rPr>
        <w:t>«</w:t>
      </w:r>
      <w:r w:rsidR="00BC69DD" w:rsidRPr="0052319E">
        <w:rPr>
          <w:rFonts w:eastAsia="Arial"/>
          <w:sz w:val="28"/>
          <w:szCs w:val="28"/>
        </w:rPr>
        <w:t>РКОД МЗ РТ им.проф.</w:t>
      </w:r>
      <w:r w:rsidR="00AC5011" w:rsidRPr="0052319E">
        <w:rPr>
          <w:rFonts w:eastAsia="Arial"/>
          <w:sz w:val="28"/>
          <w:szCs w:val="28"/>
        </w:rPr>
        <w:t>М.З.Сигала</w:t>
      </w:r>
      <w:r w:rsidR="002F7358" w:rsidRPr="0052319E">
        <w:rPr>
          <w:rFonts w:eastAsia="Arial"/>
          <w:sz w:val="28"/>
          <w:szCs w:val="28"/>
        </w:rPr>
        <w:t>»</w:t>
      </w:r>
      <w:r w:rsidRPr="0052319E">
        <w:rPr>
          <w:rFonts w:eastAsia="Arial"/>
          <w:sz w:val="28"/>
          <w:szCs w:val="28"/>
        </w:rPr>
        <w:t xml:space="preserve"> для обеспечения </w:t>
      </w:r>
      <w:r w:rsidR="002F7358" w:rsidRPr="0052319E">
        <w:rPr>
          <w:rFonts w:eastAsia="Arial"/>
          <w:sz w:val="28"/>
          <w:szCs w:val="28"/>
        </w:rPr>
        <w:t>«</w:t>
      </w:r>
      <w:r w:rsidRPr="0052319E">
        <w:rPr>
          <w:rFonts w:eastAsia="Arial"/>
          <w:sz w:val="28"/>
          <w:szCs w:val="28"/>
        </w:rPr>
        <w:t>зеленого коридора</w:t>
      </w:r>
      <w:r w:rsidR="002F7358" w:rsidRPr="0052319E">
        <w:rPr>
          <w:rFonts w:eastAsia="Arial"/>
          <w:sz w:val="28"/>
          <w:szCs w:val="28"/>
        </w:rPr>
        <w:t>»</w:t>
      </w:r>
      <w:r w:rsidRPr="0052319E">
        <w:rPr>
          <w:rFonts w:eastAsia="Arial"/>
          <w:sz w:val="28"/>
          <w:szCs w:val="28"/>
        </w:rPr>
        <w:t xml:space="preserve"> выделены кабинеты для приема первичных пациентов с подозрением (выявлением) на онкологическое заболевание по основным нозологиям ЗНО. Приказом </w:t>
      </w:r>
      <w:r w:rsidR="009C6B73" w:rsidRPr="0052319E">
        <w:rPr>
          <w:rFonts w:eastAsia="Arial"/>
          <w:sz w:val="28"/>
          <w:szCs w:val="28"/>
        </w:rPr>
        <w:t>Министерства здравоохранения Республики Татарстан от 29.10.2025 № 2510 «</w:t>
      </w:r>
      <w:r w:rsidR="009C6B73" w:rsidRPr="0052319E">
        <w:rPr>
          <w:sz w:val="28"/>
          <w:szCs w:val="28"/>
        </w:rPr>
        <w:t>О порядке маршрутизации пациентов с подозрением на онкологические заболевания и пациентов с онкологическими заболеваниями (взрослое население) в Республике Татарстан»</w:t>
      </w:r>
      <w:r w:rsidRPr="0052319E">
        <w:rPr>
          <w:rFonts w:eastAsia="Arial"/>
          <w:sz w:val="28"/>
          <w:szCs w:val="28"/>
        </w:rPr>
        <w:t xml:space="preserve"> внедрены чек-листы маршрутизации пациентов с подозрением на онкологическое заболевание (с впервые выявленным онкологическим заболеванием). Для анализа полноты и качества обследования пациентов в </w:t>
      </w:r>
      <w:r w:rsidRPr="0052319E">
        <w:rPr>
          <w:sz w:val="28"/>
          <w:szCs w:val="28"/>
        </w:rPr>
        <w:t xml:space="preserve">ГАУЗ </w:t>
      </w:r>
      <w:r w:rsidR="002F7358" w:rsidRPr="0052319E">
        <w:rPr>
          <w:rFonts w:eastAsia="Arial"/>
          <w:sz w:val="28"/>
          <w:szCs w:val="28"/>
        </w:rPr>
        <w:t>«</w:t>
      </w:r>
      <w:r w:rsidR="00BC69DD" w:rsidRPr="0052319E">
        <w:rPr>
          <w:rFonts w:eastAsia="Arial"/>
          <w:sz w:val="28"/>
          <w:szCs w:val="28"/>
        </w:rPr>
        <w:t>РКОД МЗ РТ им.проф.</w:t>
      </w:r>
      <w:r w:rsidR="00AC5011" w:rsidRPr="0052319E">
        <w:rPr>
          <w:rFonts w:eastAsia="Arial"/>
          <w:sz w:val="28"/>
          <w:szCs w:val="28"/>
        </w:rPr>
        <w:t>М.З.Сигала</w:t>
      </w:r>
      <w:r w:rsidR="002F7358" w:rsidRPr="0052319E">
        <w:rPr>
          <w:rFonts w:eastAsia="Arial"/>
          <w:sz w:val="28"/>
          <w:szCs w:val="28"/>
        </w:rPr>
        <w:t>»</w:t>
      </w:r>
      <w:r w:rsidRPr="0052319E">
        <w:rPr>
          <w:rFonts w:eastAsia="Arial"/>
          <w:sz w:val="28"/>
          <w:szCs w:val="28"/>
        </w:rPr>
        <w:t xml:space="preserve"> на госпитальном этапе организована работа в ежедневном режиме по изучению чек-листов пациентов. Срок ожидания онкологической помощи в </w:t>
      </w:r>
      <w:r w:rsidR="002F7358" w:rsidRPr="0052319E">
        <w:rPr>
          <w:rFonts w:eastAsia="Arial"/>
          <w:sz w:val="28"/>
          <w:szCs w:val="28"/>
        </w:rPr>
        <w:t>«</w:t>
      </w:r>
      <w:r w:rsidR="00BC69DD" w:rsidRPr="0052319E">
        <w:rPr>
          <w:rFonts w:eastAsia="Arial"/>
          <w:sz w:val="28"/>
          <w:szCs w:val="28"/>
        </w:rPr>
        <w:t>РКОД МЗ РТ им.проф.</w:t>
      </w:r>
      <w:r w:rsidR="00AC5011" w:rsidRPr="0052319E">
        <w:rPr>
          <w:rFonts w:eastAsia="Arial"/>
          <w:sz w:val="28"/>
          <w:szCs w:val="28"/>
        </w:rPr>
        <w:t>М.З.Сигала</w:t>
      </w:r>
      <w:r w:rsidR="002F7358" w:rsidRPr="0052319E">
        <w:rPr>
          <w:rFonts w:eastAsia="Arial"/>
          <w:sz w:val="28"/>
          <w:szCs w:val="28"/>
        </w:rPr>
        <w:t>»</w:t>
      </w:r>
      <w:r w:rsidRPr="0052319E">
        <w:rPr>
          <w:rFonts w:eastAsia="Arial"/>
          <w:sz w:val="28"/>
          <w:szCs w:val="28"/>
        </w:rPr>
        <w:t xml:space="preserve"> на прием к врачу поликлиники составля</w:t>
      </w:r>
      <w:r w:rsidR="00F90DF3" w:rsidRPr="0052319E">
        <w:rPr>
          <w:rFonts w:eastAsia="Arial"/>
          <w:sz w:val="28"/>
          <w:szCs w:val="28"/>
        </w:rPr>
        <w:t>е</w:t>
      </w:r>
      <w:r w:rsidRPr="0052319E">
        <w:rPr>
          <w:rFonts w:eastAsia="Arial"/>
          <w:sz w:val="28"/>
          <w:szCs w:val="28"/>
        </w:rPr>
        <w:t>т не более трех рабочих дней.</w:t>
      </w:r>
    </w:p>
    <w:p w:rsidR="001F7C04" w:rsidRPr="0052319E" w:rsidRDefault="001F7C04" w:rsidP="00F90DF3">
      <w:pPr>
        <w:spacing w:line="235" w:lineRule="auto"/>
        <w:ind w:firstLine="709"/>
        <w:jc w:val="both"/>
        <w:rPr>
          <w:rFonts w:eastAsia="Arial"/>
          <w:sz w:val="28"/>
          <w:szCs w:val="28"/>
        </w:rPr>
      </w:pPr>
      <w:r w:rsidRPr="0052319E">
        <w:rPr>
          <w:rFonts w:eastAsia="Arial"/>
          <w:sz w:val="28"/>
          <w:szCs w:val="28"/>
        </w:rPr>
        <w:t xml:space="preserve">В </w:t>
      </w:r>
      <w:r w:rsidRPr="0052319E">
        <w:rPr>
          <w:sz w:val="28"/>
          <w:szCs w:val="28"/>
        </w:rPr>
        <w:t xml:space="preserve">ГАУЗ </w:t>
      </w:r>
      <w:r w:rsidR="002F7358" w:rsidRPr="0052319E">
        <w:rPr>
          <w:rFonts w:eastAsia="Arial"/>
          <w:sz w:val="28"/>
          <w:szCs w:val="28"/>
        </w:rPr>
        <w:t>«</w:t>
      </w:r>
      <w:r w:rsidR="00BC69DD" w:rsidRPr="0052319E">
        <w:rPr>
          <w:rFonts w:eastAsia="Arial"/>
          <w:sz w:val="28"/>
          <w:szCs w:val="28"/>
        </w:rPr>
        <w:t>РКОД МЗ РТ им.проф.</w:t>
      </w:r>
      <w:r w:rsidR="00AC5011" w:rsidRPr="0052319E">
        <w:rPr>
          <w:rFonts w:eastAsia="Arial"/>
          <w:sz w:val="28"/>
          <w:szCs w:val="28"/>
        </w:rPr>
        <w:t>М.З.Сигала</w:t>
      </w:r>
      <w:r w:rsidR="002F7358" w:rsidRPr="0052319E">
        <w:rPr>
          <w:rFonts w:eastAsia="Arial"/>
          <w:sz w:val="28"/>
          <w:szCs w:val="28"/>
        </w:rPr>
        <w:t>»</w:t>
      </w:r>
      <w:r w:rsidRPr="0052319E">
        <w:rPr>
          <w:rFonts w:eastAsia="Arial"/>
          <w:sz w:val="28"/>
          <w:szCs w:val="28"/>
        </w:rPr>
        <w:t xml:space="preserve"> издан приказ от </w:t>
      </w:r>
      <w:r w:rsidR="00887958" w:rsidRPr="0052319E">
        <w:rPr>
          <w:rFonts w:eastAsia="Arial"/>
          <w:sz w:val="28"/>
          <w:szCs w:val="28"/>
        </w:rPr>
        <w:t>11</w:t>
      </w:r>
      <w:r w:rsidR="00A93B3C" w:rsidRPr="0052319E">
        <w:rPr>
          <w:rFonts w:eastAsia="Arial"/>
          <w:sz w:val="28"/>
          <w:szCs w:val="28"/>
        </w:rPr>
        <w:t>.</w:t>
      </w:r>
      <w:r w:rsidR="00887958" w:rsidRPr="0052319E">
        <w:rPr>
          <w:rFonts w:eastAsia="Arial"/>
          <w:sz w:val="28"/>
          <w:szCs w:val="28"/>
        </w:rPr>
        <w:t>01</w:t>
      </w:r>
      <w:r w:rsidR="00A93B3C" w:rsidRPr="0052319E">
        <w:rPr>
          <w:rFonts w:eastAsia="Arial"/>
          <w:sz w:val="28"/>
          <w:szCs w:val="28"/>
        </w:rPr>
        <w:t>.</w:t>
      </w:r>
      <w:r w:rsidRPr="0052319E">
        <w:rPr>
          <w:rFonts w:eastAsia="Arial"/>
          <w:sz w:val="28"/>
          <w:szCs w:val="28"/>
        </w:rPr>
        <w:t xml:space="preserve">2021 № 4/п </w:t>
      </w:r>
      <w:r w:rsidR="002F7358" w:rsidRPr="0052319E">
        <w:rPr>
          <w:rFonts w:eastAsia="Arial"/>
          <w:sz w:val="28"/>
          <w:szCs w:val="28"/>
        </w:rPr>
        <w:t>«</w:t>
      </w:r>
      <w:r w:rsidRPr="0052319E">
        <w:rPr>
          <w:rFonts w:eastAsia="Arial"/>
          <w:sz w:val="28"/>
          <w:szCs w:val="28"/>
        </w:rPr>
        <w:t xml:space="preserve">Об утверждении положения об организации внутреннего контроля качества и безопасности медицинской деятельности в </w:t>
      </w:r>
      <w:r w:rsidRPr="0052319E">
        <w:rPr>
          <w:sz w:val="28"/>
          <w:szCs w:val="28"/>
        </w:rPr>
        <w:t xml:space="preserve">ГАУЗ </w:t>
      </w:r>
      <w:r w:rsidR="002F7358" w:rsidRPr="0052319E">
        <w:rPr>
          <w:rFonts w:eastAsia="Arial"/>
          <w:sz w:val="28"/>
          <w:szCs w:val="28"/>
        </w:rPr>
        <w:t>«</w:t>
      </w:r>
      <w:r w:rsidR="00BC69DD" w:rsidRPr="0052319E">
        <w:rPr>
          <w:rFonts w:eastAsia="Arial"/>
          <w:sz w:val="28"/>
          <w:szCs w:val="28"/>
        </w:rPr>
        <w:t>Р</w:t>
      </w:r>
      <w:r w:rsidR="00B04040" w:rsidRPr="0052319E">
        <w:rPr>
          <w:rFonts w:eastAsia="Arial"/>
          <w:sz w:val="28"/>
          <w:szCs w:val="28"/>
        </w:rPr>
        <w:t>еспубликанский клинический онкологически</w:t>
      </w:r>
      <w:r w:rsidR="00F90DF3" w:rsidRPr="0052319E">
        <w:rPr>
          <w:rFonts w:eastAsia="Arial"/>
          <w:sz w:val="28"/>
          <w:szCs w:val="28"/>
        </w:rPr>
        <w:t>й</w:t>
      </w:r>
      <w:r w:rsidR="00B04040" w:rsidRPr="0052319E">
        <w:rPr>
          <w:rFonts w:eastAsia="Arial"/>
          <w:sz w:val="28"/>
          <w:szCs w:val="28"/>
        </w:rPr>
        <w:t xml:space="preserve"> диспансер Министерства здравоохранения Республики Татарстан  </w:t>
      </w:r>
      <w:r w:rsidR="00BC69DD" w:rsidRPr="0052319E">
        <w:rPr>
          <w:rFonts w:eastAsia="Arial"/>
          <w:sz w:val="28"/>
          <w:szCs w:val="28"/>
        </w:rPr>
        <w:t xml:space="preserve"> им.проф.</w:t>
      </w:r>
      <w:r w:rsidR="00AC5011" w:rsidRPr="0052319E">
        <w:rPr>
          <w:rFonts w:eastAsia="Arial"/>
          <w:sz w:val="28"/>
          <w:szCs w:val="28"/>
        </w:rPr>
        <w:t>М.З.Сигала</w:t>
      </w:r>
      <w:r w:rsidR="002F7358" w:rsidRPr="0052319E">
        <w:rPr>
          <w:rFonts w:eastAsia="Arial"/>
          <w:sz w:val="28"/>
          <w:szCs w:val="28"/>
        </w:rPr>
        <w:t>»</w:t>
      </w:r>
      <w:r w:rsidRPr="0052319E">
        <w:rPr>
          <w:rFonts w:eastAsia="Arial"/>
          <w:sz w:val="28"/>
          <w:szCs w:val="28"/>
        </w:rPr>
        <w:t xml:space="preserve">. Сформирована комиссия </w:t>
      </w:r>
      <w:r w:rsidRPr="0052319E">
        <w:rPr>
          <w:sz w:val="28"/>
          <w:szCs w:val="28"/>
        </w:rPr>
        <w:t xml:space="preserve">ГАУЗ </w:t>
      </w:r>
      <w:r w:rsidR="002F7358" w:rsidRPr="0052319E">
        <w:rPr>
          <w:rFonts w:eastAsia="Arial"/>
          <w:sz w:val="28"/>
          <w:szCs w:val="28"/>
        </w:rPr>
        <w:t>«</w:t>
      </w:r>
      <w:r w:rsidR="00BC69DD" w:rsidRPr="0052319E">
        <w:rPr>
          <w:rFonts w:eastAsia="Arial"/>
          <w:sz w:val="28"/>
          <w:szCs w:val="28"/>
        </w:rPr>
        <w:t xml:space="preserve">РКОД МЗ </w:t>
      </w:r>
      <w:r w:rsidR="00B04040" w:rsidRPr="0052319E">
        <w:rPr>
          <w:rFonts w:eastAsia="Arial"/>
          <w:sz w:val="28"/>
          <w:szCs w:val="28"/>
        </w:rPr>
        <w:t xml:space="preserve">РТ  </w:t>
      </w:r>
      <w:r w:rsidR="00BC69DD" w:rsidRPr="0052319E">
        <w:rPr>
          <w:rFonts w:eastAsia="Arial"/>
          <w:sz w:val="28"/>
          <w:szCs w:val="28"/>
        </w:rPr>
        <w:t>им.проф.</w:t>
      </w:r>
      <w:r w:rsidR="00AC5011" w:rsidRPr="0052319E">
        <w:rPr>
          <w:rFonts w:eastAsia="Arial"/>
          <w:sz w:val="28"/>
          <w:szCs w:val="28"/>
        </w:rPr>
        <w:t>М.З.Сигала</w:t>
      </w:r>
      <w:r w:rsidR="002F7358" w:rsidRPr="0052319E">
        <w:rPr>
          <w:rFonts w:eastAsia="Arial"/>
          <w:sz w:val="28"/>
          <w:szCs w:val="28"/>
        </w:rPr>
        <w:t>»</w:t>
      </w:r>
      <w:r w:rsidRPr="0052319E">
        <w:rPr>
          <w:rFonts w:eastAsia="Arial"/>
          <w:sz w:val="28"/>
          <w:szCs w:val="28"/>
        </w:rPr>
        <w:t xml:space="preserve"> по внутреннему контролю качества и безопасности медицинской деятельности, в том числе по контролю сроков проведения консультаций врачей-специалистов, диагностических</w:t>
      </w:r>
      <w:r w:rsidR="00B04040" w:rsidRPr="0052319E">
        <w:rPr>
          <w:rFonts w:eastAsia="Arial"/>
          <w:sz w:val="28"/>
          <w:szCs w:val="28"/>
        </w:rPr>
        <w:t xml:space="preserve"> </w:t>
      </w:r>
      <w:r w:rsidRPr="0052319E">
        <w:rPr>
          <w:rFonts w:eastAsia="Arial"/>
          <w:sz w:val="28"/>
          <w:szCs w:val="28"/>
        </w:rPr>
        <w:t>исследований и ожидания начала специализированного лечения пациентов. Организована двухсменная работа оборудования.</w:t>
      </w:r>
    </w:p>
    <w:p w:rsidR="001F7C04" w:rsidRPr="0052319E" w:rsidRDefault="001F7C04" w:rsidP="00F90DF3">
      <w:pPr>
        <w:spacing w:line="235" w:lineRule="auto"/>
        <w:ind w:firstLine="709"/>
        <w:jc w:val="both"/>
        <w:rPr>
          <w:rFonts w:eastAsia="Arial"/>
          <w:sz w:val="28"/>
          <w:szCs w:val="28"/>
        </w:rPr>
      </w:pPr>
      <w:r w:rsidRPr="0052319E">
        <w:rPr>
          <w:rFonts w:eastAsia="Arial"/>
          <w:sz w:val="28"/>
          <w:szCs w:val="28"/>
        </w:rPr>
        <w:t xml:space="preserve">Сроки ожидания исследований составляют: ультразвуковое исследование – </w:t>
      </w:r>
      <w:r w:rsidRPr="0052319E">
        <w:rPr>
          <w:rFonts w:eastAsia="Arial"/>
          <w:sz w:val="28"/>
          <w:szCs w:val="28"/>
        </w:rPr>
        <w:br/>
        <w:t xml:space="preserve">1 рабочий день; рентгеновские исследования – 1 рабочий день; фиброгастродуоденоскопия – до 7 рабочих дней; колоноскопия – до 14 рабочих дней; компьютерная </w:t>
      </w:r>
      <w:r w:rsidR="00BC69DD" w:rsidRPr="0052319E">
        <w:rPr>
          <w:rFonts w:eastAsia="Arial"/>
          <w:sz w:val="28"/>
          <w:szCs w:val="28"/>
        </w:rPr>
        <w:br/>
      </w:r>
      <w:r w:rsidRPr="0052319E">
        <w:rPr>
          <w:rFonts w:eastAsia="Arial"/>
          <w:sz w:val="28"/>
          <w:szCs w:val="28"/>
        </w:rPr>
        <w:t>и магнитно-резонансная томография – до 21 рабочего дня; гистологические исследования – 7 – 10 рабочих дней.</w:t>
      </w:r>
    </w:p>
    <w:p w:rsidR="001F7C04" w:rsidRPr="0052319E" w:rsidRDefault="001F7C04" w:rsidP="00F90DF3">
      <w:pPr>
        <w:spacing w:line="235" w:lineRule="auto"/>
        <w:ind w:firstLine="709"/>
        <w:jc w:val="both"/>
        <w:rPr>
          <w:rFonts w:eastAsia="Arial"/>
          <w:sz w:val="28"/>
          <w:szCs w:val="28"/>
        </w:rPr>
      </w:pPr>
      <w:r w:rsidRPr="0052319E">
        <w:rPr>
          <w:rFonts w:eastAsia="Arial"/>
          <w:sz w:val="28"/>
          <w:szCs w:val="28"/>
        </w:rPr>
        <w:t xml:space="preserve">Развитие и совершенствование медицинской помощи пациентам онкологического профиля, оказываемой в условиях круглосуточного и дневного стационаров, требует преемственности противоопухолевой терапии, проводимой в стационарных и амбулаторных условиях. Необходимым условием для этого является также повышение эффективности использования </w:t>
      </w:r>
      <w:r w:rsidR="002F7358" w:rsidRPr="0052319E">
        <w:rPr>
          <w:rFonts w:eastAsia="Arial"/>
          <w:sz w:val="28"/>
          <w:szCs w:val="28"/>
        </w:rPr>
        <w:t>«</w:t>
      </w:r>
      <w:r w:rsidRPr="0052319E">
        <w:rPr>
          <w:rFonts w:eastAsia="Arial"/>
          <w:sz w:val="28"/>
          <w:szCs w:val="28"/>
        </w:rPr>
        <w:t>тяжелого</w:t>
      </w:r>
      <w:r w:rsidR="002F7358" w:rsidRPr="0052319E">
        <w:rPr>
          <w:rFonts w:eastAsia="Arial"/>
          <w:sz w:val="28"/>
          <w:szCs w:val="28"/>
        </w:rPr>
        <w:t>»</w:t>
      </w:r>
      <w:r w:rsidRPr="0052319E">
        <w:rPr>
          <w:rFonts w:eastAsia="Arial"/>
          <w:sz w:val="28"/>
          <w:szCs w:val="28"/>
        </w:rPr>
        <w:t xml:space="preserve"> диагностического и терапевтического оборудования: компьютерных и магнитно-резонансных томографов, позитронно-эмиссионного компьютерного томографа, однофотонного эмиссионного компьютерного томографа и радиотерапевтического оборудования. </w:t>
      </w:r>
    </w:p>
    <w:p w:rsidR="001F7C04" w:rsidRPr="0052319E" w:rsidRDefault="001F7C04" w:rsidP="00F90DF3">
      <w:pPr>
        <w:spacing w:line="235" w:lineRule="auto"/>
        <w:ind w:firstLine="709"/>
        <w:jc w:val="both"/>
        <w:rPr>
          <w:rFonts w:eastAsia="Arial"/>
          <w:sz w:val="28"/>
          <w:szCs w:val="28"/>
        </w:rPr>
      </w:pPr>
      <w:r w:rsidRPr="0052319E">
        <w:rPr>
          <w:rFonts w:eastAsia="Arial"/>
          <w:sz w:val="28"/>
          <w:szCs w:val="28"/>
        </w:rPr>
        <w:t>Основные мероприятия, направленные на эффективное использование диагностического оборудования, включают в себя:</w:t>
      </w:r>
    </w:p>
    <w:p w:rsidR="001F7C04" w:rsidRPr="0052319E" w:rsidRDefault="001F7C04" w:rsidP="00F90DF3">
      <w:pPr>
        <w:spacing w:line="235" w:lineRule="auto"/>
        <w:ind w:firstLine="709"/>
        <w:jc w:val="both"/>
        <w:rPr>
          <w:rFonts w:eastAsia="Arial"/>
          <w:sz w:val="28"/>
          <w:szCs w:val="28"/>
        </w:rPr>
      </w:pPr>
      <w:r w:rsidRPr="0052319E">
        <w:rPr>
          <w:rFonts w:eastAsia="Arial"/>
          <w:sz w:val="28"/>
          <w:szCs w:val="28"/>
        </w:rPr>
        <w:t>организацию двухсменной работы компьютерных и магнитно-резонансных томографов, позитронно-эмиссионного компьютерного томографа, однофотонного эмиссионного компьютерного томографа;</w:t>
      </w:r>
    </w:p>
    <w:p w:rsidR="001F7C04" w:rsidRPr="0052319E" w:rsidRDefault="001F7C04" w:rsidP="00F90DF3">
      <w:pPr>
        <w:spacing w:line="235" w:lineRule="auto"/>
        <w:ind w:firstLine="709"/>
        <w:jc w:val="both"/>
        <w:rPr>
          <w:rFonts w:eastAsia="Arial"/>
          <w:sz w:val="28"/>
          <w:szCs w:val="28"/>
        </w:rPr>
      </w:pPr>
      <w:r w:rsidRPr="0052319E">
        <w:rPr>
          <w:rFonts w:eastAsia="Arial"/>
          <w:sz w:val="28"/>
          <w:szCs w:val="28"/>
        </w:rPr>
        <w:t xml:space="preserve">мультидисциплинарный подход к выбору рентгеновских исследований; </w:t>
      </w:r>
    </w:p>
    <w:p w:rsidR="001F7C04" w:rsidRPr="0052319E" w:rsidRDefault="001F7C04" w:rsidP="00F90DF3">
      <w:pPr>
        <w:spacing w:line="235" w:lineRule="auto"/>
        <w:ind w:firstLine="709"/>
        <w:jc w:val="both"/>
        <w:rPr>
          <w:rFonts w:eastAsia="Arial"/>
          <w:sz w:val="28"/>
          <w:szCs w:val="28"/>
        </w:rPr>
      </w:pPr>
      <w:r w:rsidRPr="0052319E">
        <w:rPr>
          <w:rFonts w:eastAsia="Arial"/>
          <w:sz w:val="28"/>
          <w:szCs w:val="28"/>
        </w:rPr>
        <w:t>формирование единой базы цифровых медицинских изображений и интеграцию ее с республиканским центральным архивом медицинских изображений</w:t>
      </w:r>
      <w:r w:rsidR="00F90DF3" w:rsidRPr="0052319E">
        <w:rPr>
          <w:rFonts w:eastAsia="Arial"/>
          <w:sz w:val="28"/>
          <w:szCs w:val="28"/>
        </w:rPr>
        <w:t xml:space="preserve">  </w:t>
      </w:r>
      <w:r w:rsidRPr="0052319E">
        <w:rPr>
          <w:rFonts w:eastAsia="Arial"/>
          <w:sz w:val="28"/>
          <w:szCs w:val="28"/>
        </w:rPr>
        <w:t xml:space="preserve">с целью обеспечения обмена цифровыми медицинскими изображениями, исключения дублирования исследований, получения </w:t>
      </w:r>
      <w:r w:rsidR="002F7358" w:rsidRPr="0052319E">
        <w:rPr>
          <w:rFonts w:eastAsia="Arial"/>
          <w:sz w:val="28"/>
          <w:szCs w:val="28"/>
        </w:rPr>
        <w:t>«</w:t>
      </w:r>
      <w:r w:rsidRPr="0052319E">
        <w:rPr>
          <w:rFonts w:eastAsia="Arial"/>
          <w:sz w:val="28"/>
          <w:szCs w:val="28"/>
        </w:rPr>
        <w:t>второго мнения</w:t>
      </w:r>
      <w:r w:rsidR="002F7358" w:rsidRPr="0052319E">
        <w:rPr>
          <w:rFonts w:eastAsia="Arial"/>
          <w:sz w:val="28"/>
          <w:szCs w:val="28"/>
        </w:rPr>
        <w:t>»</w:t>
      </w:r>
      <w:r w:rsidRPr="0052319E">
        <w:rPr>
          <w:rFonts w:eastAsia="Arial"/>
          <w:sz w:val="28"/>
          <w:szCs w:val="28"/>
        </w:rPr>
        <w:t xml:space="preserve"> при описании изображений;</w:t>
      </w:r>
    </w:p>
    <w:p w:rsidR="001F7C04" w:rsidRPr="0052319E" w:rsidRDefault="001F7C04" w:rsidP="00F90DF3">
      <w:pPr>
        <w:ind w:firstLine="709"/>
        <w:jc w:val="both"/>
        <w:rPr>
          <w:rFonts w:eastAsia="Arial"/>
          <w:sz w:val="28"/>
          <w:szCs w:val="28"/>
        </w:rPr>
      </w:pPr>
      <w:r w:rsidRPr="0052319E">
        <w:rPr>
          <w:rFonts w:eastAsia="Arial"/>
          <w:sz w:val="28"/>
          <w:szCs w:val="28"/>
        </w:rPr>
        <w:t>увеличение количества исследований;</w:t>
      </w:r>
    </w:p>
    <w:p w:rsidR="00DE30DE" w:rsidRPr="0052319E" w:rsidRDefault="001F7C04" w:rsidP="00F90DF3">
      <w:pPr>
        <w:ind w:firstLine="709"/>
        <w:jc w:val="both"/>
        <w:rPr>
          <w:rFonts w:eastAsia="Arial"/>
          <w:sz w:val="28"/>
          <w:szCs w:val="28"/>
        </w:rPr>
        <w:sectPr w:rsidR="00DE30DE" w:rsidRPr="0052319E" w:rsidSect="00ED2E1E">
          <w:type w:val="continuous"/>
          <w:pgSz w:w="11906" w:h="16838"/>
          <w:pgMar w:top="1134" w:right="567" w:bottom="1134" w:left="1134" w:header="709" w:footer="709" w:gutter="0"/>
          <w:cols w:space="708"/>
          <w:docGrid w:linePitch="360"/>
        </w:sectPr>
      </w:pPr>
      <w:r w:rsidRPr="0052319E">
        <w:rPr>
          <w:rFonts w:eastAsia="Arial"/>
          <w:sz w:val="28"/>
          <w:szCs w:val="28"/>
        </w:rPr>
        <w:t xml:space="preserve">мониторинг эффективности использования </w:t>
      </w:r>
      <w:r w:rsidR="002F7358" w:rsidRPr="0052319E">
        <w:rPr>
          <w:rFonts w:eastAsia="Arial"/>
          <w:sz w:val="28"/>
          <w:szCs w:val="28"/>
        </w:rPr>
        <w:t>«</w:t>
      </w:r>
      <w:r w:rsidRPr="0052319E">
        <w:rPr>
          <w:rFonts w:eastAsia="Arial"/>
          <w:sz w:val="28"/>
          <w:szCs w:val="28"/>
        </w:rPr>
        <w:t>тяжелого</w:t>
      </w:r>
      <w:r w:rsidR="002F7358" w:rsidRPr="0052319E">
        <w:rPr>
          <w:rFonts w:eastAsia="Arial"/>
          <w:sz w:val="28"/>
          <w:szCs w:val="28"/>
        </w:rPr>
        <w:t>»</w:t>
      </w:r>
      <w:r w:rsidRPr="0052319E">
        <w:rPr>
          <w:rFonts w:eastAsia="Arial"/>
          <w:sz w:val="28"/>
          <w:szCs w:val="28"/>
        </w:rPr>
        <w:t xml:space="preserve"> диагностического оборудования;</w:t>
      </w:r>
    </w:p>
    <w:p w:rsidR="001F7C04" w:rsidRPr="0052319E" w:rsidRDefault="001F7C04" w:rsidP="00F90DF3">
      <w:pPr>
        <w:ind w:firstLine="709"/>
        <w:jc w:val="both"/>
        <w:rPr>
          <w:rFonts w:eastAsia="Arial"/>
          <w:sz w:val="28"/>
          <w:szCs w:val="28"/>
        </w:rPr>
      </w:pPr>
      <w:r w:rsidRPr="0052319E">
        <w:rPr>
          <w:rFonts w:eastAsia="Arial"/>
          <w:sz w:val="28"/>
          <w:szCs w:val="28"/>
        </w:rPr>
        <w:t>обеспечение своевременного технического обслуживания и ремонта оборудования в целях бесперебойной работы.</w:t>
      </w:r>
    </w:p>
    <w:p w:rsidR="000812A1" w:rsidRPr="0052319E" w:rsidRDefault="000812A1" w:rsidP="00EE4896">
      <w:pPr>
        <w:spacing w:line="233" w:lineRule="auto"/>
        <w:ind w:firstLine="709"/>
        <w:jc w:val="both"/>
        <w:rPr>
          <w:rFonts w:eastAsia="Calibri"/>
          <w:sz w:val="28"/>
          <w:szCs w:val="28"/>
        </w:rPr>
      </w:pPr>
      <w:r w:rsidRPr="0052319E">
        <w:rPr>
          <w:rFonts w:eastAsia="Calibri"/>
          <w:sz w:val="28"/>
          <w:szCs w:val="28"/>
        </w:rPr>
        <w:t xml:space="preserve">Организационно-методическое сопровождение деятельности онкологической службы региона. </w:t>
      </w:r>
    </w:p>
    <w:p w:rsidR="000812A1" w:rsidRPr="0052319E" w:rsidRDefault="000812A1" w:rsidP="00EE4896">
      <w:pPr>
        <w:spacing w:line="233" w:lineRule="auto"/>
        <w:ind w:firstLine="709"/>
        <w:jc w:val="both"/>
        <w:rPr>
          <w:rFonts w:eastAsia="Arial"/>
          <w:sz w:val="28"/>
          <w:szCs w:val="28"/>
        </w:rPr>
      </w:pPr>
      <w:r w:rsidRPr="0052319E">
        <w:rPr>
          <w:rFonts w:eastAsia="Arial"/>
          <w:sz w:val="28"/>
          <w:szCs w:val="28"/>
        </w:rPr>
        <w:t>В Республике Татарста</w:t>
      </w:r>
      <w:r w:rsidR="00A61EE1" w:rsidRPr="0052319E">
        <w:rPr>
          <w:rFonts w:eastAsia="Arial"/>
          <w:sz w:val="28"/>
          <w:szCs w:val="28"/>
        </w:rPr>
        <w:t>н</w:t>
      </w:r>
      <w:r w:rsidRPr="0052319E">
        <w:rPr>
          <w:rFonts w:eastAsia="Arial"/>
          <w:sz w:val="28"/>
          <w:szCs w:val="28"/>
        </w:rPr>
        <w:t xml:space="preserve"> за каждой медицинской организацией, оказывающей первичную медико-санитарную помощь, закреплен врач-куратор </w:t>
      </w:r>
      <w:r w:rsidRPr="0052319E">
        <w:rPr>
          <w:sz w:val="28"/>
          <w:szCs w:val="28"/>
        </w:rPr>
        <w:t xml:space="preserve">ГАУЗ </w:t>
      </w:r>
      <w:r w:rsidR="002F7358" w:rsidRPr="0052319E">
        <w:rPr>
          <w:rFonts w:eastAsia="Arial"/>
          <w:sz w:val="28"/>
          <w:szCs w:val="28"/>
        </w:rPr>
        <w:t>«</w:t>
      </w:r>
      <w:r w:rsidR="001F35C4" w:rsidRPr="0052319E">
        <w:rPr>
          <w:rFonts w:eastAsia="Arial"/>
          <w:sz w:val="28"/>
          <w:szCs w:val="28"/>
        </w:rPr>
        <w:t>РКОД МЗ РТ им.</w:t>
      </w:r>
      <w:r w:rsidR="004C090A" w:rsidRPr="0052319E">
        <w:rPr>
          <w:rFonts w:eastAsia="Arial"/>
          <w:sz w:val="28"/>
          <w:szCs w:val="28"/>
        </w:rPr>
        <w:t>проф.М.З.Сигала</w:t>
      </w:r>
      <w:r w:rsidR="002F7358" w:rsidRPr="0052319E">
        <w:rPr>
          <w:rFonts w:eastAsia="Arial"/>
          <w:sz w:val="28"/>
          <w:szCs w:val="28"/>
        </w:rPr>
        <w:t>»</w:t>
      </w:r>
      <w:r w:rsidRPr="0052319E">
        <w:rPr>
          <w:rFonts w:eastAsia="Arial"/>
          <w:sz w:val="28"/>
          <w:szCs w:val="28"/>
        </w:rPr>
        <w:t xml:space="preserve">. Ежегодно не менее двух раз в год врачи-кураторы выезжают в закрепленные за ними медицинские организации для проведения анализа качества медицинской помощи пациентам с онкологическими заболеваниями. </w:t>
      </w:r>
    </w:p>
    <w:p w:rsidR="00A61EE1" w:rsidRPr="0052319E" w:rsidRDefault="00A61EE1" w:rsidP="00EE4896">
      <w:pPr>
        <w:spacing w:line="233" w:lineRule="auto"/>
        <w:ind w:firstLine="709"/>
        <w:rPr>
          <w:sz w:val="28"/>
          <w:szCs w:val="28"/>
        </w:rPr>
      </w:pPr>
    </w:p>
    <w:p w:rsidR="00A47AA3" w:rsidRPr="0052319E" w:rsidRDefault="00887958" w:rsidP="00EE4896">
      <w:pPr>
        <w:spacing w:line="233" w:lineRule="auto"/>
        <w:ind w:firstLine="709"/>
        <w:rPr>
          <w:sz w:val="28"/>
          <w:szCs w:val="28"/>
        </w:rPr>
      </w:pPr>
      <w:r w:rsidRPr="0052319E">
        <w:rPr>
          <w:sz w:val="28"/>
          <w:szCs w:val="28"/>
        </w:rPr>
        <w:t>1</w:t>
      </w:r>
      <w:r w:rsidR="00377D26" w:rsidRPr="0052319E">
        <w:rPr>
          <w:sz w:val="28"/>
          <w:szCs w:val="28"/>
        </w:rPr>
        <w:t>.</w:t>
      </w:r>
      <w:r w:rsidRPr="0052319E">
        <w:rPr>
          <w:sz w:val="28"/>
          <w:szCs w:val="28"/>
        </w:rPr>
        <w:t>7</w:t>
      </w:r>
      <w:r w:rsidR="00377D26" w:rsidRPr="0052319E">
        <w:rPr>
          <w:sz w:val="28"/>
          <w:szCs w:val="28"/>
        </w:rPr>
        <w:t>.</w:t>
      </w:r>
      <w:r w:rsidR="00A47AA3" w:rsidRPr="0052319E">
        <w:rPr>
          <w:sz w:val="28"/>
          <w:szCs w:val="28"/>
        </w:rPr>
        <w:t> Выводы.</w:t>
      </w:r>
    </w:p>
    <w:p w:rsidR="00B75119" w:rsidRPr="0052319E" w:rsidRDefault="007F3A29" w:rsidP="00EE4896">
      <w:pPr>
        <w:spacing w:line="233" w:lineRule="auto"/>
        <w:ind w:firstLine="720"/>
        <w:jc w:val="both"/>
        <w:rPr>
          <w:sz w:val="28"/>
          <w:szCs w:val="28"/>
          <w:shd w:val="clear" w:color="auto" w:fill="FFFFFF" w:themeFill="background1"/>
        </w:rPr>
      </w:pPr>
      <w:r w:rsidRPr="0052319E">
        <w:rPr>
          <w:sz w:val="28"/>
          <w:szCs w:val="28"/>
          <w:shd w:val="clear" w:color="auto" w:fill="FFFFFF" w:themeFill="background1"/>
        </w:rPr>
        <w:t xml:space="preserve">В Республике Татарстан регистрируется рост заболеваемости ЗНО. </w:t>
      </w:r>
    </w:p>
    <w:p w:rsidR="007F3A29" w:rsidRPr="0052319E" w:rsidRDefault="007F3A29" w:rsidP="00EE4896">
      <w:pPr>
        <w:spacing w:line="233" w:lineRule="auto"/>
        <w:ind w:firstLine="720"/>
        <w:jc w:val="both"/>
        <w:rPr>
          <w:sz w:val="28"/>
          <w:szCs w:val="28"/>
        </w:rPr>
      </w:pPr>
      <w:r w:rsidRPr="0052319E">
        <w:rPr>
          <w:sz w:val="28"/>
          <w:szCs w:val="28"/>
          <w:shd w:val="clear" w:color="auto" w:fill="FFFFFF" w:themeFill="background1"/>
        </w:rPr>
        <w:t xml:space="preserve">Наибольший удельный вес в структуре заболеваемости населения имеют </w:t>
      </w:r>
      <w:r w:rsidR="0058406D" w:rsidRPr="0052319E">
        <w:rPr>
          <w:rFonts w:eastAsia="Arial"/>
          <w:spacing w:val="4"/>
          <w:sz w:val="28"/>
          <w:szCs w:val="28"/>
        </w:rPr>
        <w:t>ЗНО молочной железы, рак кожи, ЗНО трахеи, бронхов, легких, предстательной железы, ободочной кишки, прямой кишки, ректосигмоидного соединения, ануса, желудка, лимфатической и кроветворной ткани, почки, тела матки</w:t>
      </w:r>
      <w:r w:rsidR="00EE4896" w:rsidRPr="0052319E">
        <w:rPr>
          <w:rFonts w:eastAsia="Arial"/>
          <w:spacing w:val="4"/>
          <w:sz w:val="28"/>
          <w:szCs w:val="28"/>
        </w:rPr>
        <w:t>.</w:t>
      </w:r>
    </w:p>
    <w:p w:rsidR="0058406D" w:rsidRPr="0052319E" w:rsidRDefault="0058406D" w:rsidP="00EE4896">
      <w:pPr>
        <w:autoSpaceDE/>
        <w:autoSpaceDN/>
        <w:adjustRightInd/>
        <w:spacing w:line="233" w:lineRule="auto"/>
        <w:ind w:firstLine="709"/>
        <w:jc w:val="both"/>
        <w:rPr>
          <w:rFonts w:eastAsia="Arial"/>
          <w:spacing w:val="4"/>
          <w:sz w:val="28"/>
          <w:szCs w:val="28"/>
        </w:rPr>
      </w:pPr>
      <w:r w:rsidRPr="0052319E">
        <w:rPr>
          <w:rFonts w:eastAsia="Arial"/>
          <w:sz w:val="28"/>
          <w:szCs w:val="28"/>
        </w:rPr>
        <w:t xml:space="preserve">За </w:t>
      </w:r>
      <w:r w:rsidR="00A61EE1" w:rsidRPr="0052319E">
        <w:rPr>
          <w:rFonts w:eastAsia="Arial"/>
          <w:sz w:val="28"/>
          <w:szCs w:val="28"/>
        </w:rPr>
        <w:t>10-</w:t>
      </w:r>
      <w:r w:rsidRPr="0052319E">
        <w:rPr>
          <w:rFonts w:eastAsia="Arial"/>
          <w:sz w:val="28"/>
          <w:szCs w:val="28"/>
        </w:rPr>
        <w:t>летний период (201</w:t>
      </w:r>
      <w:r w:rsidR="007C423D" w:rsidRPr="0052319E">
        <w:rPr>
          <w:rFonts w:eastAsia="Arial"/>
          <w:sz w:val="28"/>
          <w:szCs w:val="28"/>
        </w:rPr>
        <w:t>6</w:t>
      </w:r>
      <w:r w:rsidRPr="0052319E">
        <w:rPr>
          <w:rFonts w:eastAsia="Arial"/>
          <w:sz w:val="28"/>
          <w:szCs w:val="28"/>
        </w:rPr>
        <w:t xml:space="preserve"> – 202</w:t>
      </w:r>
      <w:r w:rsidR="007C423D" w:rsidRPr="0052319E">
        <w:rPr>
          <w:rFonts w:eastAsia="Arial"/>
          <w:sz w:val="28"/>
          <w:szCs w:val="28"/>
        </w:rPr>
        <w:t>5</w:t>
      </w:r>
      <w:r w:rsidRPr="0052319E">
        <w:rPr>
          <w:rFonts w:eastAsia="Arial"/>
          <w:sz w:val="28"/>
          <w:szCs w:val="28"/>
        </w:rPr>
        <w:t xml:space="preserve"> годы) среди всех впервые выявленных случаев ЗНО темп прироста показателя доли </w:t>
      </w:r>
      <w:r w:rsidRPr="0052319E">
        <w:rPr>
          <w:rFonts w:eastAsia="Arial"/>
          <w:sz w:val="28"/>
          <w:szCs w:val="28"/>
          <w:lang w:val="en-US"/>
        </w:rPr>
        <w:t>I</w:t>
      </w:r>
      <w:r w:rsidRPr="0052319E">
        <w:rPr>
          <w:rFonts w:eastAsia="Arial"/>
          <w:sz w:val="28"/>
          <w:szCs w:val="28"/>
        </w:rPr>
        <w:t xml:space="preserve"> стадии ЗНО составил </w:t>
      </w:r>
      <w:r w:rsidR="007C423D" w:rsidRPr="0052319E">
        <w:rPr>
          <w:rFonts w:eastAsia="Arial"/>
          <w:sz w:val="28"/>
          <w:szCs w:val="28"/>
        </w:rPr>
        <w:t>31</w:t>
      </w:r>
      <w:r w:rsidRPr="0052319E">
        <w:rPr>
          <w:rFonts w:eastAsia="Arial"/>
          <w:sz w:val="28"/>
          <w:szCs w:val="28"/>
        </w:rPr>
        <w:t xml:space="preserve">,5 процента, темп прироста показателя доли </w:t>
      </w:r>
      <w:r w:rsidRPr="0052319E">
        <w:rPr>
          <w:rFonts w:eastAsia="Arial"/>
          <w:sz w:val="28"/>
          <w:szCs w:val="28"/>
          <w:lang w:val="en-US"/>
        </w:rPr>
        <w:t>I</w:t>
      </w:r>
      <w:r w:rsidRPr="0052319E">
        <w:rPr>
          <w:rFonts w:eastAsia="Arial"/>
          <w:sz w:val="28"/>
          <w:szCs w:val="28"/>
        </w:rPr>
        <w:t xml:space="preserve"> стадии без учета случаев рака кожи – </w:t>
      </w:r>
      <w:r w:rsidR="007C423D" w:rsidRPr="0052319E">
        <w:rPr>
          <w:rFonts w:eastAsia="Arial"/>
          <w:sz w:val="28"/>
          <w:szCs w:val="28"/>
        </w:rPr>
        <w:t>22,4</w:t>
      </w:r>
      <w:r w:rsidRPr="0052319E">
        <w:rPr>
          <w:rFonts w:eastAsia="Arial"/>
          <w:sz w:val="28"/>
          <w:szCs w:val="28"/>
        </w:rPr>
        <w:t xml:space="preserve"> процента. </w:t>
      </w:r>
    </w:p>
    <w:p w:rsidR="0058406D" w:rsidRPr="0052319E" w:rsidRDefault="00C4049B" w:rsidP="00EE4896">
      <w:pPr>
        <w:autoSpaceDE/>
        <w:autoSpaceDN/>
        <w:adjustRightInd/>
        <w:spacing w:line="233" w:lineRule="auto"/>
        <w:ind w:firstLine="709"/>
        <w:jc w:val="both"/>
        <w:rPr>
          <w:rFonts w:eastAsia="Arial"/>
          <w:sz w:val="28"/>
          <w:szCs w:val="28"/>
        </w:rPr>
      </w:pPr>
      <w:r w:rsidRPr="0052319E">
        <w:rPr>
          <w:rFonts w:eastAsia="Arial"/>
          <w:sz w:val="28"/>
          <w:szCs w:val="28"/>
        </w:rPr>
        <w:t xml:space="preserve">Одновременно среди всех впервые выявленных случаев ЗНО регистрируется снижение показателя доли </w:t>
      </w:r>
      <w:r w:rsidRPr="0052319E">
        <w:rPr>
          <w:rFonts w:eastAsia="Arial"/>
          <w:sz w:val="28"/>
          <w:szCs w:val="28"/>
          <w:lang w:val="en-US"/>
        </w:rPr>
        <w:t>II</w:t>
      </w:r>
      <w:r w:rsidRPr="0052319E">
        <w:rPr>
          <w:rFonts w:eastAsia="Arial"/>
          <w:sz w:val="28"/>
          <w:szCs w:val="28"/>
        </w:rPr>
        <w:t xml:space="preserve"> стадии ЗНО на </w:t>
      </w:r>
      <w:r w:rsidR="00830A44" w:rsidRPr="0052319E">
        <w:rPr>
          <w:rFonts w:eastAsia="Arial"/>
          <w:sz w:val="28"/>
          <w:szCs w:val="28"/>
        </w:rPr>
        <w:t>0,9</w:t>
      </w:r>
      <w:r w:rsidRPr="0052319E">
        <w:rPr>
          <w:rFonts w:eastAsia="Arial"/>
          <w:sz w:val="28"/>
          <w:szCs w:val="28"/>
        </w:rPr>
        <w:t xml:space="preserve"> процента, в том числе доли </w:t>
      </w:r>
      <w:r w:rsidRPr="0052319E">
        <w:rPr>
          <w:rFonts w:eastAsia="Arial"/>
          <w:sz w:val="28"/>
          <w:szCs w:val="28"/>
          <w:lang w:val="en-US"/>
        </w:rPr>
        <w:t>II</w:t>
      </w:r>
      <w:r w:rsidRPr="0052319E">
        <w:rPr>
          <w:rFonts w:eastAsia="Arial"/>
          <w:sz w:val="28"/>
          <w:szCs w:val="28"/>
        </w:rPr>
        <w:t xml:space="preserve"> стадии без учета случаев рака кожи</w:t>
      </w:r>
      <w:r w:rsidR="00830A44" w:rsidRPr="0052319E">
        <w:rPr>
          <w:rFonts w:eastAsia="Arial"/>
          <w:sz w:val="28"/>
          <w:szCs w:val="28"/>
        </w:rPr>
        <w:t xml:space="preserve"> –</w:t>
      </w:r>
      <w:r w:rsidRPr="0052319E">
        <w:rPr>
          <w:rFonts w:eastAsia="Arial"/>
          <w:sz w:val="28"/>
          <w:szCs w:val="28"/>
        </w:rPr>
        <w:t xml:space="preserve"> </w:t>
      </w:r>
      <w:r w:rsidR="00830A44" w:rsidRPr="0052319E">
        <w:rPr>
          <w:rFonts w:eastAsia="Arial"/>
          <w:sz w:val="28"/>
          <w:szCs w:val="28"/>
        </w:rPr>
        <w:t>на 3,8</w:t>
      </w:r>
      <w:r w:rsidRPr="0052319E">
        <w:rPr>
          <w:rFonts w:eastAsia="Arial"/>
          <w:sz w:val="28"/>
          <w:szCs w:val="28"/>
        </w:rPr>
        <w:t xml:space="preserve">, а также </w:t>
      </w:r>
      <w:r w:rsidRPr="0052319E">
        <w:rPr>
          <w:rFonts w:eastAsia="Arial"/>
          <w:sz w:val="28"/>
          <w:szCs w:val="28"/>
          <w:lang w:val="en-US"/>
        </w:rPr>
        <w:t>III</w:t>
      </w:r>
      <w:r w:rsidRPr="0052319E">
        <w:rPr>
          <w:rFonts w:eastAsia="Arial"/>
          <w:sz w:val="28"/>
          <w:szCs w:val="28"/>
        </w:rPr>
        <w:t xml:space="preserve"> стадии ЗНО </w:t>
      </w:r>
      <w:r w:rsidR="00830A44" w:rsidRPr="0052319E">
        <w:rPr>
          <w:rFonts w:eastAsia="Arial"/>
          <w:sz w:val="28"/>
          <w:szCs w:val="28"/>
        </w:rPr>
        <w:t>– на 4,1</w:t>
      </w:r>
      <w:r w:rsidRPr="0052319E">
        <w:rPr>
          <w:rFonts w:eastAsia="Arial"/>
          <w:sz w:val="28"/>
          <w:szCs w:val="28"/>
        </w:rPr>
        <w:t xml:space="preserve"> процента и </w:t>
      </w:r>
      <w:r w:rsidRPr="0052319E">
        <w:rPr>
          <w:rFonts w:eastAsia="Arial"/>
          <w:sz w:val="28"/>
          <w:szCs w:val="28"/>
          <w:lang w:val="en-US"/>
        </w:rPr>
        <w:t>IV</w:t>
      </w:r>
      <w:r w:rsidRPr="0052319E">
        <w:rPr>
          <w:rFonts w:eastAsia="Arial"/>
          <w:sz w:val="28"/>
          <w:szCs w:val="28"/>
        </w:rPr>
        <w:t xml:space="preserve"> стадии ЗНО </w:t>
      </w:r>
      <w:r w:rsidR="00830A44" w:rsidRPr="0052319E">
        <w:rPr>
          <w:rFonts w:eastAsia="Arial"/>
          <w:sz w:val="28"/>
          <w:szCs w:val="28"/>
        </w:rPr>
        <w:t>– на 4,5</w:t>
      </w:r>
      <w:r w:rsidRPr="0052319E">
        <w:rPr>
          <w:rFonts w:eastAsia="Arial"/>
          <w:sz w:val="28"/>
          <w:szCs w:val="28"/>
        </w:rPr>
        <w:t xml:space="preserve"> процента</w:t>
      </w:r>
      <w:r w:rsidR="00830A44" w:rsidRPr="0052319E">
        <w:rPr>
          <w:rFonts w:eastAsia="Arial"/>
          <w:sz w:val="28"/>
          <w:szCs w:val="28"/>
        </w:rPr>
        <w:t>.</w:t>
      </w:r>
      <w:r w:rsidRPr="0052319E">
        <w:rPr>
          <w:rFonts w:eastAsia="Arial"/>
          <w:sz w:val="28"/>
          <w:szCs w:val="28"/>
        </w:rPr>
        <w:t xml:space="preserve"> </w:t>
      </w:r>
    </w:p>
    <w:p w:rsidR="006D0619" w:rsidRPr="0052319E" w:rsidRDefault="006D0619" w:rsidP="00EE4896">
      <w:pPr>
        <w:autoSpaceDE/>
        <w:autoSpaceDN/>
        <w:adjustRightInd/>
        <w:spacing w:line="233" w:lineRule="auto"/>
        <w:ind w:firstLine="709"/>
        <w:jc w:val="both"/>
        <w:rPr>
          <w:rFonts w:eastAsia="Arial"/>
          <w:sz w:val="28"/>
          <w:szCs w:val="28"/>
        </w:rPr>
      </w:pPr>
      <w:r w:rsidRPr="0052319E">
        <w:rPr>
          <w:rFonts w:eastAsia="Arial"/>
          <w:sz w:val="28"/>
          <w:szCs w:val="28"/>
        </w:rPr>
        <w:t xml:space="preserve">Также регистрируется </w:t>
      </w:r>
      <w:r w:rsidRPr="0052319E">
        <w:rPr>
          <w:rFonts w:eastAsia="Arial"/>
          <w:spacing w:val="4"/>
          <w:sz w:val="28"/>
          <w:szCs w:val="28"/>
        </w:rPr>
        <w:t xml:space="preserve">положительная динамика роста </w:t>
      </w:r>
      <w:r w:rsidRPr="0052319E">
        <w:rPr>
          <w:rFonts w:eastAsia="Arial"/>
          <w:sz w:val="28"/>
          <w:szCs w:val="28"/>
        </w:rPr>
        <w:t xml:space="preserve">доли I стадии и снижение доли </w:t>
      </w:r>
      <w:r w:rsidRPr="0052319E">
        <w:rPr>
          <w:rFonts w:eastAsia="Arial"/>
          <w:sz w:val="28"/>
          <w:szCs w:val="28"/>
          <w:lang w:val="en-US"/>
        </w:rPr>
        <w:t>IV</w:t>
      </w:r>
      <w:r w:rsidRPr="0052319E">
        <w:rPr>
          <w:rFonts w:eastAsia="Arial"/>
          <w:sz w:val="28"/>
          <w:szCs w:val="28"/>
        </w:rPr>
        <w:t xml:space="preserve"> стадии при основных визуальных локализациях: ЗНО </w:t>
      </w:r>
      <w:r w:rsidR="00830A44" w:rsidRPr="0052319E">
        <w:rPr>
          <w:rFonts w:eastAsia="Arial"/>
          <w:sz w:val="28"/>
          <w:szCs w:val="28"/>
        </w:rPr>
        <w:t>молочной железы, раке кожи, прямой кишки, щитовидной железы, меланоме кожи</w:t>
      </w:r>
      <w:r w:rsidRPr="0052319E">
        <w:rPr>
          <w:rFonts w:eastAsia="Arial"/>
          <w:sz w:val="28"/>
          <w:szCs w:val="28"/>
        </w:rPr>
        <w:t>.</w:t>
      </w:r>
    </w:p>
    <w:p w:rsidR="006D0619" w:rsidRPr="0052319E" w:rsidRDefault="00535054" w:rsidP="00EE4896">
      <w:pPr>
        <w:autoSpaceDE/>
        <w:autoSpaceDN/>
        <w:adjustRightInd/>
        <w:spacing w:line="233" w:lineRule="auto"/>
        <w:ind w:firstLine="709"/>
        <w:jc w:val="both"/>
        <w:rPr>
          <w:rFonts w:eastAsia="Arial"/>
          <w:spacing w:val="-4"/>
          <w:sz w:val="28"/>
          <w:szCs w:val="28"/>
        </w:rPr>
      </w:pPr>
      <w:r w:rsidRPr="0052319E">
        <w:rPr>
          <w:rFonts w:eastAsia="Arial"/>
          <w:spacing w:val="4"/>
          <w:sz w:val="28"/>
          <w:szCs w:val="28"/>
        </w:rPr>
        <w:t xml:space="preserve">За </w:t>
      </w:r>
      <w:r w:rsidR="00A61EE1" w:rsidRPr="0052319E">
        <w:rPr>
          <w:rFonts w:eastAsia="Arial"/>
          <w:spacing w:val="4"/>
          <w:sz w:val="28"/>
          <w:szCs w:val="28"/>
        </w:rPr>
        <w:t>10-</w:t>
      </w:r>
      <w:r w:rsidRPr="0052319E">
        <w:rPr>
          <w:rFonts w:eastAsia="Arial"/>
          <w:spacing w:val="4"/>
          <w:sz w:val="28"/>
          <w:szCs w:val="28"/>
        </w:rPr>
        <w:t>летний период (201</w:t>
      </w:r>
      <w:r w:rsidR="00830A44" w:rsidRPr="0052319E">
        <w:rPr>
          <w:rFonts w:eastAsia="Arial"/>
          <w:spacing w:val="4"/>
          <w:sz w:val="28"/>
          <w:szCs w:val="28"/>
        </w:rPr>
        <w:t>6</w:t>
      </w:r>
      <w:r w:rsidRPr="0052319E">
        <w:rPr>
          <w:rFonts w:eastAsia="Arial"/>
          <w:spacing w:val="4"/>
          <w:sz w:val="28"/>
          <w:szCs w:val="28"/>
        </w:rPr>
        <w:t xml:space="preserve"> – 202</w:t>
      </w:r>
      <w:r w:rsidR="00830A44" w:rsidRPr="0052319E">
        <w:rPr>
          <w:rFonts w:eastAsia="Arial"/>
          <w:spacing w:val="4"/>
          <w:sz w:val="28"/>
          <w:szCs w:val="28"/>
        </w:rPr>
        <w:t>5</w:t>
      </w:r>
      <w:r w:rsidRPr="0052319E">
        <w:rPr>
          <w:rFonts w:eastAsia="Arial"/>
          <w:spacing w:val="4"/>
          <w:sz w:val="28"/>
          <w:szCs w:val="28"/>
        </w:rPr>
        <w:t xml:space="preserve"> годы) </w:t>
      </w:r>
      <w:r w:rsidRPr="0052319E">
        <w:rPr>
          <w:rFonts w:eastAsia="Arial"/>
          <w:spacing w:val="-4"/>
          <w:sz w:val="28"/>
          <w:szCs w:val="28"/>
        </w:rPr>
        <w:t xml:space="preserve">число пациентов, находящихся на диспансерном учете, увеличилось на </w:t>
      </w:r>
      <w:r w:rsidR="007E52FD" w:rsidRPr="0052319E">
        <w:rPr>
          <w:rFonts w:eastAsia="Arial"/>
          <w:spacing w:val="-4"/>
          <w:sz w:val="28"/>
          <w:szCs w:val="28"/>
        </w:rPr>
        <w:t>30</w:t>
      </w:r>
      <w:r w:rsidRPr="0052319E">
        <w:rPr>
          <w:rFonts w:eastAsia="Arial"/>
          <w:spacing w:val="-4"/>
          <w:sz w:val="28"/>
          <w:szCs w:val="28"/>
        </w:rPr>
        <w:t> </w:t>
      </w:r>
      <w:r w:rsidR="007E52FD" w:rsidRPr="0052319E">
        <w:rPr>
          <w:rFonts w:eastAsia="Arial"/>
          <w:spacing w:val="-4"/>
          <w:sz w:val="28"/>
          <w:szCs w:val="28"/>
        </w:rPr>
        <w:t>467</w:t>
      </w:r>
      <w:r w:rsidRPr="0052319E">
        <w:rPr>
          <w:rFonts w:eastAsia="Arial"/>
          <w:spacing w:val="-4"/>
          <w:sz w:val="28"/>
          <w:szCs w:val="28"/>
        </w:rPr>
        <w:t xml:space="preserve"> человек, рост числа пациентов зарегистрирован во всех муниципальных образованиях. </w:t>
      </w:r>
    </w:p>
    <w:p w:rsidR="00535054" w:rsidRPr="0052319E" w:rsidRDefault="00535054" w:rsidP="00EE4896">
      <w:pPr>
        <w:autoSpaceDE/>
        <w:autoSpaceDN/>
        <w:adjustRightInd/>
        <w:spacing w:line="233" w:lineRule="auto"/>
        <w:ind w:firstLine="709"/>
        <w:jc w:val="both"/>
        <w:rPr>
          <w:rFonts w:eastAsia="Arial"/>
          <w:spacing w:val="4"/>
          <w:sz w:val="28"/>
          <w:szCs w:val="28"/>
        </w:rPr>
      </w:pPr>
      <w:r w:rsidRPr="0052319E">
        <w:rPr>
          <w:rFonts w:eastAsia="Arial"/>
          <w:spacing w:val="4"/>
          <w:sz w:val="28"/>
          <w:szCs w:val="28"/>
        </w:rPr>
        <w:t xml:space="preserve">Из числа заболеваний, имеющих наибольший удельный вес в структуре заболеваемости ЗНО, регистрируется рост </w:t>
      </w:r>
      <w:r w:rsidRPr="0052319E">
        <w:rPr>
          <w:rFonts w:eastAsia="Arial"/>
          <w:spacing w:val="-4"/>
          <w:sz w:val="28"/>
          <w:szCs w:val="28"/>
        </w:rPr>
        <w:t>доли больных, состоящих на учете в онкологических учреждениях пять лет и более с момента установления диагноза ЗНО, при</w:t>
      </w:r>
      <w:r w:rsidRPr="0052319E">
        <w:rPr>
          <w:rFonts w:eastAsia="Arial"/>
          <w:spacing w:val="4"/>
          <w:sz w:val="28"/>
          <w:szCs w:val="28"/>
        </w:rPr>
        <w:t xml:space="preserve"> ЗНО </w:t>
      </w:r>
      <w:r w:rsidR="007E52FD" w:rsidRPr="0052319E">
        <w:rPr>
          <w:rFonts w:eastAsia="Arial"/>
          <w:spacing w:val="4"/>
          <w:sz w:val="28"/>
          <w:szCs w:val="28"/>
        </w:rPr>
        <w:t xml:space="preserve">предстательной железы, почки, тела матки, молочной железы, злокачественных лимфомах, прямой кишки, ректосигмоидного соединения, ануса. При ЗНО трахеи, бронхов, легких, ободочной кишки и раке кожи </w:t>
      </w:r>
      <w:r w:rsidR="007E52FD" w:rsidRPr="0052319E">
        <w:rPr>
          <w:rFonts w:eastAsia="Arial"/>
          <w:sz w:val="28"/>
          <w:szCs w:val="28"/>
        </w:rPr>
        <w:t>зарегистрирована тенденция к стабилизации данного показателя</w:t>
      </w:r>
      <w:r w:rsidRPr="0052319E">
        <w:rPr>
          <w:rFonts w:eastAsia="Arial"/>
          <w:spacing w:val="4"/>
          <w:sz w:val="28"/>
          <w:szCs w:val="28"/>
        </w:rPr>
        <w:t xml:space="preserve">. </w:t>
      </w:r>
    </w:p>
    <w:p w:rsidR="00535054" w:rsidRPr="0052319E" w:rsidRDefault="00535054" w:rsidP="00EE4896">
      <w:pPr>
        <w:autoSpaceDE/>
        <w:autoSpaceDN/>
        <w:adjustRightInd/>
        <w:spacing w:line="233" w:lineRule="auto"/>
        <w:ind w:firstLine="709"/>
        <w:jc w:val="both"/>
        <w:rPr>
          <w:rFonts w:eastAsia="Arial"/>
          <w:spacing w:val="4"/>
          <w:sz w:val="28"/>
          <w:szCs w:val="28"/>
        </w:rPr>
      </w:pPr>
      <w:r w:rsidRPr="0052319E">
        <w:rPr>
          <w:rFonts w:eastAsia="Arial"/>
          <w:sz w:val="28"/>
          <w:szCs w:val="28"/>
        </w:rPr>
        <w:t xml:space="preserve">Темп прироста показателя распространенности ЗНО составил </w:t>
      </w:r>
      <w:r w:rsidR="00C41563" w:rsidRPr="0052319E">
        <w:rPr>
          <w:rFonts w:eastAsia="Arial"/>
          <w:sz w:val="28"/>
          <w:szCs w:val="28"/>
        </w:rPr>
        <w:t>15</w:t>
      </w:r>
      <w:r w:rsidRPr="0052319E">
        <w:rPr>
          <w:rFonts w:eastAsia="Arial"/>
          <w:sz w:val="28"/>
          <w:szCs w:val="28"/>
        </w:rPr>
        <w:t>,</w:t>
      </w:r>
      <w:r w:rsidR="00C41563" w:rsidRPr="0052319E">
        <w:rPr>
          <w:rFonts w:eastAsia="Arial"/>
          <w:sz w:val="28"/>
          <w:szCs w:val="28"/>
        </w:rPr>
        <w:t>5</w:t>
      </w:r>
      <w:r w:rsidRPr="0052319E">
        <w:rPr>
          <w:rFonts w:eastAsia="Arial"/>
          <w:sz w:val="28"/>
          <w:szCs w:val="28"/>
        </w:rPr>
        <w:t xml:space="preserve"> процента. </w:t>
      </w:r>
    </w:p>
    <w:p w:rsidR="00535054" w:rsidRPr="0052319E" w:rsidRDefault="00535054" w:rsidP="00EE4896">
      <w:pPr>
        <w:autoSpaceDE/>
        <w:autoSpaceDN/>
        <w:adjustRightInd/>
        <w:spacing w:line="233" w:lineRule="auto"/>
        <w:ind w:firstLine="709"/>
        <w:jc w:val="both"/>
        <w:rPr>
          <w:rFonts w:eastAsia="Arial"/>
          <w:spacing w:val="4"/>
          <w:sz w:val="28"/>
          <w:szCs w:val="28"/>
        </w:rPr>
      </w:pPr>
      <w:r w:rsidRPr="0052319E">
        <w:rPr>
          <w:rFonts w:eastAsia="Arial"/>
          <w:sz w:val="28"/>
          <w:szCs w:val="28"/>
        </w:rPr>
        <w:t>Число пациентов, состоящих под диспансерным наблюдением с ЗНО в стадии in situ</w:t>
      </w:r>
      <w:r w:rsidR="00A61EE1" w:rsidRPr="0052319E">
        <w:rPr>
          <w:rFonts w:eastAsia="Arial"/>
          <w:sz w:val="28"/>
          <w:szCs w:val="28"/>
        </w:rPr>
        <w:t>,</w:t>
      </w:r>
      <w:r w:rsidRPr="0052319E">
        <w:rPr>
          <w:rFonts w:eastAsia="Arial"/>
          <w:sz w:val="28"/>
          <w:szCs w:val="28"/>
        </w:rPr>
        <w:t xml:space="preserve"> в 202</w:t>
      </w:r>
      <w:r w:rsidR="00C41563" w:rsidRPr="0052319E">
        <w:rPr>
          <w:rFonts w:eastAsia="Arial"/>
          <w:sz w:val="28"/>
          <w:szCs w:val="28"/>
        </w:rPr>
        <w:t>5</w:t>
      </w:r>
      <w:r w:rsidRPr="0052319E">
        <w:rPr>
          <w:rFonts w:eastAsia="Arial"/>
          <w:sz w:val="28"/>
          <w:szCs w:val="28"/>
        </w:rPr>
        <w:t xml:space="preserve"> году по сравнению с 201</w:t>
      </w:r>
      <w:r w:rsidR="00C41563" w:rsidRPr="0052319E">
        <w:rPr>
          <w:rFonts w:eastAsia="Arial"/>
          <w:sz w:val="28"/>
          <w:szCs w:val="28"/>
        </w:rPr>
        <w:t>6</w:t>
      </w:r>
      <w:r w:rsidRPr="0052319E">
        <w:rPr>
          <w:rFonts w:eastAsia="Arial"/>
          <w:sz w:val="28"/>
          <w:szCs w:val="28"/>
        </w:rPr>
        <w:t xml:space="preserve"> годом возросло в </w:t>
      </w:r>
      <w:r w:rsidR="00C41563" w:rsidRPr="0052319E">
        <w:rPr>
          <w:rFonts w:eastAsia="Arial"/>
          <w:sz w:val="28"/>
          <w:szCs w:val="28"/>
        </w:rPr>
        <w:t>1,9</w:t>
      </w:r>
      <w:r w:rsidRPr="0052319E">
        <w:rPr>
          <w:rFonts w:eastAsia="Arial"/>
          <w:sz w:val="28"/>
          <w:szCs w:val="28"/>
        </w:rPr>
        <w:t xml:space="preserve"> раза. </w:t>
      </w:r>
    </w:p>
    <w:p w:rsidR="00535054" w:rsidRPr="0052319E" w:rsidRDefault="00C96C3A" w:rsidP="00B04040">
      <w:pPr>
        <w:autoSpaceDE/>
        <w:autoSpaceDN/>
        <w:adjustRightInd/>
        <w:spacing w:line="245" w:lineRule="auto"/>
        <w:ind w:firstLine="709"/>
        <w:jc w:val="both"/>
        <w:rPr>
          <w:rFonts w:eastAsia="Arial"/>
          <w:spacing w:val="-4"/>
          <w:sz w:val="28"/>
          <w:szCs w:val="28"/>
        </w:rPr>
      </w:pPr>
      <w:r w:rsidRPr="0052319E">
        <w:rPr>
          <w:rFonts w:eastAsia="Arial"/>
          <w:spacing w:val="4"/>
          <w:sz w:val="28"/>
          <w:szCs w:val="28"/>
        </w:rPr>
        <w:t xml:space="preserve">Темп убыли показателя </w:t>
      </w:r>
      <w:r w:rsidRPr="0052319E">
        <w:rPr>
          <w:rFonts w:eastAsia="Arial"/>
          <w:spacing w:val="-4"/>
          <w:sz w:val="28"/>
          <w:szCs w:val="28"/>
        </w:rPr>
        <w:t xml:space="preserve">запущенности ЗНО </w:t>
      </w:r>
      <w:r w:rsidR="00A61EE1" w:rsidRPr="0052319E">
        <w:rPr>
          <w:rFonts w:eastAsia="Arial"/>
          <w:spacing w:val="-4"/>
          <w:sz w:val="28"/>
          <w:szCs w:val="28"/>
        </w:rPr>
        <w:t xml:space="preserve">– </w:t>
      </w:r>
      <w:r w:rsidRPr="0052319E">
        <w:rPr>
          <w:rFonts w:eastAsia="Arial"/>
          <w:spacing w:val="-4"/>
          <w:sz w:val="28"/>
          <w:szCs w:val="28"/>
        </w:rPr>
        <w:t>1</w:t>
      </w:r>
      <w:r w:rsidR="00C41563" w:rsidRPr="0052319E">
        <w:rPr>
          <w:rFonts w:eastAsia="Arial"/>
          <w:spacing w:val="-4"/>
          <w:sz w:val="28"/>
          <w:szCs w:val="28"/>
        </w:rPr>
        <w:t>9</w:t>
      </w:r>
      <w:r w:rsidRPr="0052319E">
        <w:rPr>
          <w:rFonts w:eastAsia="Arial"/>
          <w:spacing w:val="-4"/>
          <w:sz w:val="28"/>
          <w:szCs w:val="28"/>
        </w:rPr>
        <w:t>,</w:t>
      </w:r>
      <w:r w:rsidR="00C41563" w:rsidRPr="0052319E">
        <w:rPr>
          <w:rFonts w:eastAsia="Arial"/>
          <w:spacing w:val="-4"/>
          <w:sz w:val="28"/>
          <w:szCs w:val="28"/>
        </w:rPr>
        <w:t>4</w:t>
      </w:r>
      <w:r w:rsidRPr="0052319E">
        <w:rPr>
          <w:rFonts w:eastAsia="Arial"/>
          <w:spacing w:val="-4"/>
          <w:sz w:val="28"/>
          <w:szCs w:val="28"/>
        </w:rPr>
        <w:t xml:space="preserve"> процента. </w:t>
      </w:r>
    </w:p>
    <w:p w:rsidR="00C96C3A" w:rsidRPr="0052319E" w:rsidRDefault="00E15E3F" w:rsidP="00EE4896">
      <w:pPr>
        <w:autoSpaceDE/>
        <w:autoSpaceDN/>
        <w:adjustRightInd/>
        <w:spacing w:line="245" w:lineRule="auto"/>
        <w:ind w:firstLine="709"/>
        <w:jc w:val="both"/>
        <w:rPr>
          <w:rFonts w:eastAsia="Arial"/>
          <w:sz w:val="28"/>
          <w:szCs w:val="28"/>
        </w:rPr>
      </w:pPr>
      <w:r w:rsidRPr="0052319E">
        <w:rPr>
          <w:rFonts w:eastAsia="Arial"/>
          <w:spacing w:val="4"/>
          <w:sz w:val="28"/>
          <w:szCs w:val="28"/>
        </w:rPr>
        <w:t>За период с 2016 года по 2024 год т</w:t>
      </w:r>
      <w:r w:rsidR="00C96C3A" w:rsidRPr="0052319E">
        <w:rPr>
          <w:rFonts w:eastAsia="Arial"/>
          <w:spacing w:val="4"/>
          <w:sz w:val="28"/>
          <w:szCs w:val="28"/>
        </w:rPr>
        <w:t xml:space="preserve">емп убыли </w:t>
      </w:r>
      <w:r w:rsidR="002F7358" w:rsidRPr="0052319E">
        <w:rPr>
          <w:rFonts w:eastAsia="Arial"/>
          <w:sz w:val="28"/>
          <w:szCs w:val="28"/>
        </w:rPr>
        <w:t>«</w:t>
      </w:r>
      <w:r w:rsidR="00C96C3A" w:rsidRPr="0052319E">
        <w:rPr>
          <w:rFonts w:eastAsia="Arial"/>
          <w:sz w:val="28"/>
          <w:szCs w:val="28"/>
        </w:rPr>
        <w:t>грубого</w:t>
      </w:r>
      <w:r w:rsidR="002F7358" w:rsidRPr="0052319E">
        <w:rPr>
          <w:rFonts w:eastAsia="Arial"/>
          <w:sz w:val="28"/>
          <w:szCs w:val="28"/>
        </w:rPr>
        <w:t>»</w:t>
      </w:r>
      <w:r w:rsidR="00C96C3A" w:rsidRPr="0052319E">
        <w:rPr>
          <w:rFonts w:eastAsia="Arial"/>
          <w:sz w:val="28"/>
          <w:szCs w:val="28"/>
        </w:rPr>
        <w:t xml:space="preserve"> показателя смертности всего населения от ЗНО составил 9,</w:t>
      </w:r>
      <w:r w:rsidRPr="0052319E">
        <w:rPr>
          <w:rFonts w:eastAsia="Arial"/>
          <w:sz w:val="28"/>
          <w:szCs w:val="28"/>
        </w:rPr>
        <w:t>2</w:t>
      </w:r>
      <w:r w:rsidR="00C96C3A" w:rsidRPr="0052319E">
        <w:rPr>
          <w:rFonts w:eastAsia="Arial"/>
          <w:sz w:val="28"/>
          <w:szCs w:val="28"/>
        </w:rPr>
        <w:t xml:space="preserve"> процента, убыль </w:t>
      </w:r>
      <w:r w:rsidR="002F7358" w:rsidRPr="0052319E">
        <w:rPr>
          <w:rFonts w:eastAsia="Arial"/>
          <w:sz w:val="28"/>
          <w:szCs w:val="28"/>
        </w:rPr>
        <w:t>«</w:t>
      </w:r>
      <w:r w:rsidR="00C96C3A" w:rsidRPr="0052319E">
        <w:rPr>
          <w:rFonts w:eastAsia="Arial"/>
          <w:sz w:val="28"/>
          <w:szCs w:val="28"/>
        </w:rPr>
        <w:t>грубого</w:t>
      </w:r>
      <w:r w:rsidR="002F7358" w:rsidRPr="0052319E">
        <w:rPr>
          <w:rFonts w:eastAsia="Arial"/>
          <w:sz w:val="28"/>
          <w:szCs w:val="28"/>
        </w:rPr>
        <w:t>»</w:t>
      </w:r>
      <w:r w:rsidR="00C96C3A" w:rsidRPr="0052319E">
        <w:rPr>
          <w:rFonts w:eastAsia="Arial"/>
          <w:sz w:val="28"/>
          <w:szCs w:val="28"/>
        </w:rPr>
        <w:t xml:space="preserve"> и стандартизованного показателей смертности от ЗНО регистрируется среди мужского и женского населения. </w:t>
      </w:r>
    </w:p>
    <w:p w:rsidR="00D4755B" w:rsidRPr="0052319E" w:rsidRDefault="004C27A5" w:rsidP="00EE4896">
      <w:pPr>
        <w:autoSpaceDE/>
        <w:autoSpaceDN/>
        <w:adjustRightInd/>
        <w:spacing w:line="245" w:lineRule="auto"/>
        <w:ind w:firstLine="709"/>
        <w:jc w:val="both"/>
        <w:rPr>
          <w:rFonts w:eastAsia="Arial"/>
          <w:sz w:val="28"/>
          <w:szCs w:val="28"/>
        </w:rPr>
      </w:pPr>
      <w:r w:rsidRPr="0052319E">
        <w:rPr>
          <w:rFonts w:eastAsia="Arial"/>
          <w:sz w:val="28"/>
          <w:szCs w:val="28"/>
        </w:rPr>
        <w:t xml:space="preserve">Зарегистрирована убыль </w:t>
      </w:r>
      <w:r w:rsidR="002F7358" w:rsidRPr="0052319E">
        <w:rPr>
          <w:rFonts w:eastAsia="Arial"/>
          <w:sz w:val="28"/>
          <w:szCs w:val="28"/>
        </w:rPr>
        <w:t>«</w:t>
      </w:r>
      <w:r w:rsidRPr="0052319E">
        <w:rPr>
          <w:rFonts w:eastAsia="Arial"/>
          <w:sz w:val="28"/>
          <w:szCs w:val="28"/>
        </w:rPr>
        <w:t>грубого</w:t>
      </w:r>
      <w:r w:rsidR="002F7358" w:rsidRPr="0052319E">
        <w:rPr>
          <w:rFonts w:eastAsia="Arial"/>
          <w:sz w:val="28"/>
          <w:szCs w:val="28"/>
        </w:rPr>
        <w:t>»</w:t>
      </w:r>
      <w:r w:rsidRPr="0052319E">
        <w:rPr>
          <w:rFonts w:eastAsia="Arial"/>
          <w:sz w:val="28"/>
          <w:szCs w:val="28"/>
        </w:rPr>
        <w:t xml:space="preserve"> показателя смертности населения республики при локализациях, имеющих наибольший удельный вес в структуре смертности от ЗНО: </w:t>
      </w:r>
      <w:r w:rsidR="00E15E3F" w:rsidRPr="0052319E">
        <w:rPr>
          <w:rFonts w:eastAsia="Arial"/>
          <w:sz w:val="28"/>
          <w:szCs w:val="28"/>
        </w:rPr>
        <w:t>при лейкемии, ЗНО желудка, губы, полости рта и глотки, прямой кишки, ректосигмоидного соединения, ануса, предстательной железы, молочной железы, трахеи, бронхов, легкого, ободочной кишки, почки</w:t>
      </w:r>
      <w:r w:rsidRPr="0052319E">
        <w:rPr>
          <w:rFonts w:eastAsia="Arial"/>
          <w:sz w:val="28"/>
          <w:szCs w:val="28"/>
        </w:rPr>
        <w:t>.</w:t>
      </w:r>
      <w:r w:rsidR="002540C5" w:rsidRPr="0052319E">
        <w:rPr>
          <w:rFonts w:eastAsia="Arial"/>
          <w:sz w:val="28"/>
          <w:szCs w:val="28"/>
        </w:rPr>
        <w:t xml:space="preserve"> </w:t>
      </w:r>
    </w:p>
    <w:p w:rsidR="004C27A5" w:rsidRPr="0052319E" w:rsidRDefault="00D4755B" w:rsidP="00EE4896">
      <w:pPr>
        <w:autoSpaceDE/>
        <w:autoSpaceDN/>
        <w:adjustRightInd/>
        <w:spacing w:line="245" w:lineRule="auto"/>
        <w:ind w:firstLine="709"/>
        <w:jc w:val="both"/>
        <w:rPr>
          <w:rFonts w:eastAsia="Arial"/>
          <w:sz w:val="28"/>
          <w:szCs w:val="28"/>
        </w:rPr>
      </w:pPr>
      <w:r w:rsidRPr="0052319E">
        <w:rPr>
          <w:rFonts w:eastAsia="Arial"/>
          <w:sz w:val="28"/>
          <w:szCs w:val="28"/>
        </w:rPr>
        <w:t>Р</w:t>
      </w:r>
      <w:r w:rsidR="002540C5" w:rsidRPr="0052319E">
        <w:rPr>
          <w:rFonts w:eastAsia="Arial"/>
          <w:sz w:val="28"/>
          <w:szCs w:val="28"/>
        </w:rPr>
        <w:t xml:space="preserve">ост </w:t>
      </w:r>
      <w:r w:rsidR="002F7358" w:rsidRPr="0052319E">
        <w:rPr>
          <w:rFonts w:eastAsia="Arial"/>
          <w:sz w:val="28"/>
          <w:szCs w:val="28"/>
        </w:rPr>
        <w:t>«</w:t>
      </w:r>
      <w:r w:rsidR="002540C5" w:rsidRPr="0052319E">
        <w:rPr>
          <w:rFonts w:eastAsia="Arial"/>
          <w:sz w:val="28"/>
          <w:szCs w:val="28"/>
        </w:rPr>
        <w:t>грубого</w:t>
      </w:r>
      <w:r w:rsidR="002F7358" w:rsidRPr="0052319E">
        <w:rPr>
          <w:rFonts w:eastAsia="Arial"/>
          <w:sz w:val="28"/>
          <w:szCs w:val="28"/>
        </w:rPr>
        <w:t>»</w:t>
      </w:r>
      <w:r w:rsidR="002540C5" w:rsidRPr="0052319E">
        <w:rPr>
          <w:rFonts w:eastAsia="Arial"/>
          <w:sz w:val="28"/>
          <w:szCs w:val="28"/>
        </w:rPr>
        <w:t xml:space="preserve"> показателя смертности населения зарегистрирован при ЗНО поджелудочной железы. </w:t>
      </w:r>
    </w:p>
    <w:p w:rsidR="00D4755B" w:rsidRPr="0052319E" w:rsidRDefault="00D4755B" w:rsidP="00EE4896">
      <w:pPr>
        <w:autoSpaceDE/>
        <w:autoSpaceDN/>
        <w:adjustRightInd/>
        <w:spacing w:line="245" w:lineRule="auto"/>
        <w:ind w:firstLine="709"/>
        <w:jc w:val="both"/>
        <w:rPr>
          <w:rFonts w:eastAsia="Arial"/>
          <w:sz w:val="28"/>
          <w:szCs w:val="28"/>
        </w:rPr>
      </w:pPr>
      <w:r w:rsidRPr="0052319E">
        <w:rPr>
          <w:rFonts w:eastAsia="Arial"/>
          <w:sz w:val="28"/>
          <w:szCs w:val="28"/>
        </w:rPr>
        <w:t xml:space="preserve">В 2024 году наиболее неблагоприятные </w:t>
      </w:r>
      <w:r w:rsidR="002F7358" w:rsidRPr="0052319E">
        <w:rPr>
          <w:rFonts w:eastAsia="Arial"/>
          <w:sz w:val="28"/>
          <w:szCs w:val="28"/>
        </w:rPr>
        <w:t>«</w:t>
      </w:r>
      <w:r w:rsidRPr="0052319E">
        <w:rPr>
          <w:rFonts w:eastAsia="Arial"/>
          <w:sz w:val="28"/>
          <w:szCs w:val="28"/>
        </w:rPr>
        <w:t>грубые</w:t>
      </w:r>
      <w:r w:rsidR="002F7358" w:rsidRPr="0052319E">
        <w:rPr>
          <w:rFonts w:eastAsia="Arial"/>
          <w:sz w:val="28"/>
          <w:szCs w:val="28"/>
        </w:rPr>
        <w:t>»</w:t>
      </w:r>
      <w:r w:rsidRPr="0052319E">
        <w:rPr>
          <w:rFonts w:eastAsia="Arial"/>
          <w:sz w:val="28"/>
          <w:szCs w:val="28"/>
        </w:rPr>
        <w:t xml:space="preserve"> показатели смертности населения от ЗНО зарегистрированы в Рыбно-Слободском, Тетюшском, Аксубаевском, Апастовском, Азнакаевском муниципальных районах. </w:t>
      </w:r>
    </w:p>
    <w:p w:rsidR="00C96C3A" w:rsidRPr="0052319E" w:rsidRDefault="00FD3500" w:rsidP="00EE4896">
      <w:pPr>
        <w:autoSpaceDE/>
        <w:autoSpaceDN/>
        <w:adjustRightInd/>
        <w:spacing w:line="245" w:lineRule="auto"/>
        <w:ind w:firstLine="709"/>
        <w:jc w:val="both"/>
        <w:rPr>
          <w:rFonts w:eastAsia="Arial"/>
          <w:sz w:val="28"/>
          <w:szCs w:val="28"/>
        </w:rPr>
      </w:pPr>
      <w:r w:rsidRPr="0052319E">
        <w:rPr>
          <w:rFonts w:eastAsia="Arial"/>
          <w:sz w:val="28"/>
          <w:szCs w:val="28"/>
        </w:rPr>
        <w:t xml:space="preserve">В 2024 году зарегистрирован рост показателей </w:t>
      </w:r>
      <w:r w:rsidR="002F7358" w:rsidRPr="0052319E">
        <w:rPr>
          <w:rFonts w:eastAsia="Arial"/>
          <w:sz w:val="28"/>
          <w:szCs w:val="28"/>
        </w:rPr>
        <w:t>«</w:t>
      </w:r>
      <w:r w:rsidR="00A61EE1" w:rsidRPr="0052319E">
        <w:rPr>
          <w:rFonts w:eastAsia="Arial"/>
          <w:sz w:val="28"/>
          <w:szCs w:val="28"/>
        </w:rPr>
        <w:t>С</w:t>
      </w:r>
      <w:r w:rsidRPr="0052319E">
        <w:rPr>
          <w:rFonts w:eastAsia="Arial"/>
          <w:sz w:val="28"/>
          <w:szCs w:val="28"/>
        </w:rPr>
        <w:t xml:space="preserve">оотношение числа пациентов, умерших от </w:t>
      </w:r>
      <w:r w:rsidR="00A61EE1" w:rsidRPr="0052319E">
        <w:rPr>
          <w:rFonts w:eastAsia="Arial"/>
          <w:sz w:val="28"/>
          <w:szCs w:val="28"/>
        </w:rPr>
        <w:t>ЗНО</w:t>
      </w:r>
      <w:r w:rsidRPr="0052319E">
        <w:rPr>
          <w:rFonts w:eastAsia="Arial"/>
          <w:sz w:val="28"/>
          <w:szCs w:val="28"/>
        </w:rPr>
        <w:t xml:space="preserve"> и не состоявших на учете в онкологических учреждениях на </w:t>
      </w:r>
      <w:r w:rsidR="00A61EE1" w:rsidRPr="0052319E">
        <w:rPr>
          <w:rFonts w:eastAsia="Arial"/>
          <w:sz w:val="28"/>
          <w:szCs w:val="28"/>
        </w:rPr>
        <w:br/>
      </w:r>
      <w:r w:rsidRPr="0052319E">
        <w:rPr>
          <w:rFonts w:eastAsia="Arial"/>
          <w:sz w:val="28"/>
          <w:szCs w:val="28"/>
        </w:rPr>
        <w:t>1</w:t>
      </w:r>
      <w:r w:rsidR="00A61EE1" w:rsidRPr="0052319E">
        <w:rPr>
          <w:rFonts w:eastAsia="Arial"/>
          <w:sz w:val="28"/>
          <w:szCs w:val="28"/>
        </w:rPr>
        <w:t> </w:t>
      </w:r>
      <w:r w:rsidRPr="0052319E">
        <w:rPr>
          <w:rFonts w:eastAsia="Arial"/>
          <w:sz w:val="28"/>
          <w:szCs w:val="28"/>
        </w:rPr>
        <w:t>000 умерших от ЗНО</w:t>
      </w:r>
      <w:r w:rsidR="002F7358" w:rsidRPr="0052319E">
        <w:rPr>
          <w:rFonts w:eastAsia="Arial"/>
          <w:sz w:val="28"/>
          <w:szCs w:val="28"/>
        </w:rPr>
        <w:t>»</w:t>
      </w:r>
      <w:r w:rsidRPr="0052319E">
        <w:rPr>
          <w:rFonts w:eastAsia="Arial"/>
          <w:sz w:val="28"/>
          <w:szCs w:val="28"/>
        </w:rPr>
        <w:t xml:space="preserve"> и </w:t>
      </w:r>
      <w:r w:rsidR="002F7358" w:rsidRPr="0052319E">
        <w:rPr>
          <w:rFonts w:eastAsia="Arial"/>
          <w:sz w:val="28"/>
          <w:szCs w:val="28"/>
        </w:rPr>
        <w:t>«</w:t>
      </w:r>
      <w:r w:rsidR="00A61EE1" w:rsidRPr="0052319E">
        <w:rPr>
          <w:rFonts w:eastAsia="Arial"/>
          <w:sz w:val="28"/>
          <w:szCs w:val="28"/>
        </w:rPr>
        <w:t>Д</w:t>
      </w:r>
      <w:r w:rsidRPr="0052319E">
        <w:rPr>
          <w:rFonts w:eastAsia="Arial"/>
          <w:sz w:val="28"/>
          <w:szCs w:val="28"/>
        </w:rPr>
        <w:t>оля пациентов, умерших от ЗНО и не состоявших на учете в онкологических учреждениях, от общего числа пациентов, умерших от ЗНО</w:t>
      </w:r>
      <w:r w:rsidR="002F7358" w:rsidRPr="0052319E">
        <w:rPr>
          <w:rFonts w:eastAsia="Arial"/>
          <w:sz w:val="28"/>
          <w:szCs w:val="28"/>
        </w:rPr>
        <w:t>»</w:t>
      </w:r>
      <w:r w:rsidRPr="0052319E">
        <w:rPr>
          <w:rFonts w:eastAsia="Arial"/>
          <w:sz w:val="28"/>
          <w:szCs w:val="28"/>
        </w:rPr>
        <w:t xml:space="preserve">. </w:t>
      </w:r>
    </w:p>
    <w:p w:rsidR="00D50F2D" w:rsidRPr="0052319E" w:rsidRDefault="00D50F2D" w:rsidP="00EE4896">
      <w:pPr>
        <w:autoSpaceDE/>
        <w:autoSpaceDN/>
        <w:adjustRightInd/>
        <w:spacing w:line="245" w:lineRule="auto"/>
        <w:ind w:firstLine="709"/>
        <w:jc w:val="both"/>
        <w:rPr>
          <w:rFonts w:eastAsia="Arial"/>
          <w:sz w:val="28"/>
          <w:szCs w:val="28"/>
        </w:rPr>
      </w:pPr>
      <w:r w:rsidRPr="0052319E">
        <w:rPr>
          <w:rFonts w:eastAsia="Arial"/>
          <w:sz w:val="28"/>
          <w:szCs w:val="28"/>
        </w:rPr>
        <w:t xml:space="preserve">За </w:t>
      </w:r>
      <w:r w:rsidR="00A61EE1" w:rsidRPr="0052319E">
        <w:rPr>
          <w:rFonts w:eastAsia="Arial"/>
          <w:sz w:val="28"/>
          <w:szCs w:val="28"/>
        </w:rPr>
        <w:t>10-</w:t>
      </w:r>
      <w:r w:rsidRPr="0052319E">
        <w:rPr>
          <w:rFonts w:eastAsia="Arial"/>
          <w:sz w:val="28"/>
          <w:szCs w:val="28"/>
        </w:rPr>
        <w:t>летний период (201</w:t>
      </w:r>
      <w:r w:rsidR="00E91AB0" w:rsidRPr="0052319E">
        <w:rPr>
          <w:rFonts w:eastAsia="Arial"/>
          <w:sz w:val="28"/>
          <w:szCs w:val="28"/>
        </w:rPr>
        <w:t>6</w:t>
      </w:r>
      <w:r w:rsidRPr="0052319E">
        <w:rPr>
          <w:rFonts w:eastAsia="Arial"/>
          <w:sz w:val="28"/>
          <w:szCs w:val="28"/>
        </w:rPr>
        <w:t xml:space="preserve"> – 202</w:t>
      </w:r>
      <w:r w:rsidR="00E91AB0" w:rsidRPr="0052319E">
        <w:rPr>
          <w:rFonts w:eastAsia="Arial"/>
          <w:sz w:val="28"/>
          <w:szCs w:val="28"/>
        </w:rPr>
        <w:t>5</w:t>
      </w:r>
      <w:r w:rsidRPr="0052319E">
        <w:rPr>
          <w:rFonts w:eastAsia="Arial"/>
          <w:sz w:val="28"/>
          <w:szCs w:val="28"/>
        </w:rPr>
        <w:t xml:space="preserve"> годы) т</w:t>
      </w:r>
      <w:r w:rsidR="00FD3500" w:rsidRPr="0052319E">
        <w:rPr>
          <w:rFonts w:eastAsia="Arial"/>
          <w:spacing w:val="4"/>
          <w:sz w:val="28"/>
          <w:szCs w:val="28"/>
        </w:rPr>
        <w:t xml:space="preserve">емп убыли показателя </w:t>
      </w:r>
      <w:r w:rsidR="002F7358" w:rsidRPr="0052319E">
        <w:rPr>
          <w:rFonts w:eastAsia="Arial"/>
          <w:spacing w:val="4"/>
          <w:sz w:val="28"/>
          <w:szCs w:val="28"/>
        </w:rPr>
        <w:t>«</w:t>
      </w:r>
      <w:r w:rsidR="00A61EE1" w:rsidRPr="0052319E">
        <w:rPr>
          <w:rFonts w:eastAsia="Arial"/>
          <w:spacing w:val="4"/>
          <w:sz w:val="28"/>
          <w:szCs w:val="28"/>
        </w:rPr>
        <w:t>Д</w:t>
      </w:r>
      <w:r w:rsidR="00FD3500" w:rsidRPr="0052319E">
        <w:rPr>
          <w:rFonts w:eastAsia="Arial"/>
          <w:sz w:val="28"/>
          <w:szCs w:val="28"/>
        </w:rPr>
        <w:t>оля больных, умерших в течение первого года после установления диагноза, из числа взятых на учет в предыдущем году</w:t>
      </w:r>
      <w:r w:rsidR="002F7358" w:rsidRPr="0052319E">
        <w:rPr>
          <w:rFonts w:eastAsia="Arial"/>
          <w:sz w:val="28"/>
          <w:szCs w:val="28"/>
        </w:rPr>
        <w:t>»</w:t>
      </w:r>
      <w:r w:rsidR="00FD3500" w:rsidRPr="0052319E">
        <w:rPr>
          <w:rFonts w:eastAsia="Arial"/>
          <w:sz w:val="28"/>
          <w:szCs w:val="28"/>
        </w:rPr>
        <w:t xml:space="preserve"> составил 3</w:t>
      </w:r>
      <w:r w:rsidR="00E91AB0" w:rsidRPr="0052319E">
        <w:rPr>
          <w:rFonts w:eastAsia="Arial"/>
          <w:sz w:val="28"/>
          <w:szCs w:val="28"/>
        </w:rPr>
        <w:t>3</w:t>
      </w:r>
      <w:r w:rsidR="00FD3500" w:rsidRPr="0052319E">
        <w:rPr>
          <w:rFonts w:eastAsia="Arial"/>
          <w:sz w:val="28"/>
          <w:szCs w:val="28"/>
        </w:rPr>
        <w:t>,</w:t>
      </w:r>
      <w:r w:rsidR="00E91AB0" w:rsidRPr="0052319E">
        <w:rPr>
          <w:rFonts w:eastAsia="Arial"/>
          <w:sz w:val="28"/>
          <w:szCs w:val="28"/>
        </w:rPr>
        <w:t>5</w:t>
      </w:r>
      <w:r w:rsidR="00FD3500" w:rsidRPr="0052319E">
        <w:rPr>
          <w:rFonts w:eastAsia="Arial"/>
          <w:sz w:val="28"/>
          <w:szCs w:val="28"/>
        </w:rPr>
        <w:t xml:space="preserve"> процента. </w:t>
      </w:r>
    </w:p>
    <w:p w:rsidR="00D50F2D" w:rsidRPr="0052319E" w:rsidRDefault="002540C5" w:rsidP="00EE4896">
      <w:pPr>
        <w:autoSpaceDE/>
        <w:autoSpaceDN/>
        <w:adjustRightInd/>
        <w:spacing w:line="245" w:lineRule="auto"/>
        <w:ind w:firstLine="709"/>
        <w:jc w:val="both"/>
        <w:rPr>
          <w:rFonts w:eastAsia="Arial"/>
          <w:sz w:val="28"/>
          <w:szCs w:val="28"/>
        </w:rPr>
      </w:pPr>
      <w:r w:rsidRPr="0052319E">
        <w:rPr>
          <w:rFonts w:eastAsia="Arial"/>
          <w:sz w:val="28"/>
          <w:szCs w:val="28"/>
        </w:rPr>
        <w:t xml:space="preserve">Снижение показателей летальности пациентов на первом году жизни с момента установления диагноза зарегистрировано при ЗНО </w:t>
      </w:r>
      <w:r w:rsidR="00D90F56" w:rsidRPr="0052319E">
        <w:rPr>
          <w:rFonts w:eastAsia="Arial"/>
          <w:sz w:val="28"/>
          <w:szCs w:val="28"/>
        </w:rPr>
        <w:t>печени и внутрипеченочных желчных протоков, желудка, трахеи, бронхов, легких, полости рта, поджелудочной железы, лейкемии, пищевода, глотки, злокачественных лимфомах</w:t>
      </w:r>
      <w:r w:rsidRPr="0052319E">
        <w:rPr>
          <w:rFonts w:eastAsia="Arial"/>
          <w:sz w:val="28"/>
          <w:szCs w:val="28"/>
        </w:rPr>
        <w:t xml:space="preserve">. </w:t>
      </w:r>
    </w:p>
    <w:p w:rsidR="00FD3500" w:rsidRPr="0052319E" w:rsidRDefault="00D50F2D" w:rsidP="00EE4896">
      <w:pPr>
        <w:autoSpaceDE/>
        <w:autoSpaceDN/>
        <w:adjustRightInd/>
        <w:spacing w:line="245" w:lineRule="auto"/>
        <w:ind w:firstLine="709"/>
        <w:jc w:val="both"/>
        <w:rPr>
          <w:rFonts w:eastAsia="Arial"/>
          <w:sz w:val="28"/>
          <w:szCs w:val="28"/>
        </w:rPr>
      </w:pPr>
      <w:r w:rsidRPr="0052319E">
        <w:rPr>
          <w:rFonts w:eastAsia="Arial"/>
          <w:sz w:val="28"/>
          <w:szCs w:val="28"/>
        </w:rPr>
        <w:t>З</w:t>
      </w:r>
      <w:r w:rsidR="00D4755B" w:rsidRPr="0052319E">
        <w:rPr>
          <w:rFonts w:eastAsia="Arial"/>
          <w:sz w:val="28"/>
          <w:szCs w:val="28"/>
        </w:rPr>
        <w:t xml:space="preserve">арегистрирован рост показателя летальности пациентов на первом году жизни с момента установления диагноза </w:t>
      </w:r>
      <w:r w:rsidR="00D90F56" w:rsidRPr="0052319E">
        <w:rPr>
          <w:rFonts w:eastAsia="Arial"/>
          <w:sz w:val="28"/>
          <w:szCs w:val="28"/>
        </w:rPr>
        <w:t>ЗНО гортани</w:t>
      </w:r>
      <w:r w:rsidR="00D4755B" w:rsidRPr="0052319E">
        <w:rPr>
          <w:rFonts w:eastAsia="Arial"/>
          <w:sz w:val="28"/>
          <w:szCs w:val="28"/>
        </w:rPr>
        <w:t xml:space="preserve"> (на </w:t>
      </w:r>
      <w:r w:rsidR="00D90F56" w:rsidRPr="0052319E">
        <w:rPr>
          <w:rFonts w:eastAsia="Arial"/>
          <w:sz w:val="28"/>
          <w:szCs w:val="28"/>
        </w:rPr>
        <w:t>2</w:t>
      </w:r>
      <w:r w:rsidR="00D4755B" w:rsidRPr="0052319E">
        <w:rPr>
          <w:rFonts w:eastAsia="Arial"/>
          <w:sz w:val="28"/>
          <w:szCs w:val="28"/>
        </w:rPr>
        <w:t>,</w:t>
      </w:r>
      <w:r w:rsidR="00D90F56" w:rsidRPr="0052319E">
        <w:rPr>
          <w:rFonts w:eastAsia="Arial"/>
          <w:sz w:val="28"/>
          <w:szCs w:val="28"/>
        </w:rPr>
        <w:t>9</w:t>
      </w:r>
      <w:r w:rsidR="00D4755B" w:rsidRPr="0052319E">
        <w:rPr>
          <w:rFonts w:eastAsia="Arial"/>
          <w:sz w:val="28"/>
          <w:szCs w:val="28"/>
        </w:rPr>
        <w:t xml:space="preserve"> процента). </w:t>
      </w:r>
    </w:p>
    <w:p w:rsidR="00302035" w:rsidRPr="0052319E" w:rsidRDefault="007F3A29" w:rsidP="00EE4896">
      <w:pPr>
        <w:spacing w:line="245" w:lineRule="auto"/>
        <w:ind w:firstLine="709"/>
        <w:jc w:val="both"/>
        <w:rPr>
          <w:sz w:val="28"/>
          <w:szCs w:val="28"/>
        </w:rPr>
      </w:pPr>
      <w:r w:rsidRPr="0052319E">
        <w:rPr>
          <w:sz w:val="28"/>
          <w:szCs w:val="28"/>
        </w:rPr>
        <w:t xml:space="preserve">В Республике Татарстан </w:t>
      </w:r>
      <w:r w:rsidR="00302035" w:rsidRPr="0052319E">
        <w:rPr>
          <w:sz w:val="28"/>
          <w:szCs w:val="28"/>
        </w:rPr>
        <w:t>проведена этапная реорганизация онкологической службы Республики Татарстан в целях обеспечения требований приказа Мин</w:t>
      </w:r>
      <w:r w:rsidR="0040697B" w:rsidRPr="0052319E">
        <w:rPr>
          <w:sz w:val="28"/>
          <w:szCs w:val="28"/>
        </w:rPr>
        <w:t xml:space="preserve">истерства </w:t>
      </w:r>
      <w:r w:rsidR="00302035" w:rsidRPr="0052319E">
        <w:rPr>
          <w:sz w:val="28"/>
          <w:szCs w:val="28"/>
        </w:rPr>
        <w:t>здрав</w:t>
      </w:r>
      <w:r w:rsidR="0040697B" w:rsidRPr="0052319E">
        <w:rPr>
          <w:sz w:val="28"/>
          <w:szCs w:val="28"/>
        </w:rPr>
        <w:t>оохранения</w:t>
      </w:r>
      <w:r w:rsidR="00302035" w:rsidRPr="0052319E">
        <w:rPr>
          <w:sz w:val="28"/>
          <w:szCs w:val="28"/>
        </w:rPr>
        <w:t xml:space="preserve"> Росси</w:t>
      </w:r>
      <w:r w:rsidR="004B026E" w:rsidRPr="0052319E">
        <w:rPr>
          <w:sz w:val="28"/>
          <w:szCs w:val="28"/>
        </w:rPr>
        <w:t>йской Фед</w:t>
      </w:r>
      <w:r w:rsidR="0040697B" w:rsidRPr="0052319E">
        <w:rPr>
          <w:sz w:val="28"/>
          <w:szCs w:val="28"/>
        </w:rPr>
        <w:t>ерации</w:t>
      </w:r>
      <w:r w:rsidR="00302035" w:rsidRPr="0052319E">
        <w:rPr>
          <w:sz w:val="28"/>
          <w:szCs w:val="28"/>
        </w:rPr>
        <w:t xml:space="preserve"> от 19</w:t>
      </w:r>
      <w:r w:rsidR="0040697B" w:rsidRPr="0052319E">
        <w:rPr>
          <w:sz w:val="28"/>
          <w:szCs w:val="28"/>
        </w:rPr>
        <w:t xml:space="preserve"> февраля </w:t>
      </w:r>
      <w:r w:rsidR="00302035" w:rsidRPr="0052319E">
        <w:rPr>
          <w:sz w:val="28"/>
          <w:szCs w:val="28"/>
        </w:rPr>
        <w:t>2021</w:t>
      </w:r>
      <w:r w:rsidR="0040697B" w:rsidRPr="0052319E">
        <w:rPr>
          <w:sz w:val="28"/>
          <w:szCs w:val="28"/>
        </w:rPr>
        <w:t xml:space="preserve"> г.</w:t>
      </w:r>
      <w:r w:rsidR="00302035" w:rsidRPr="0052319E">
        <w:rPr>
          <w:sz w:val="28"/>
          <w:szCs w:val="28"/>
        </w:rPr>
        <w:t xml:space="preserve"> № 116н </w:t>
      </w:r>
      <w:r w:rsidR="002F7358" w:rsidRPr="0052319E">
        <w:rPr>
          <w:sz w:val="28"/>
          <w:szCs w:val="28"/>
        </w:rPr>
        <w:t>«</w:t>
      </w:r>
      <w:r w:rsidR="00302035" w:rsidRPr="0052319E">
        <w:rPr>
          <w:sz w:val="28"/>
          <w:szCs w:val="28"/>
        </w:rPr>
        <w:t>Об утверждении Порядка оказания медицинской помощи взрослому населению при онкологических заболеваниях</w:t>
      </w:r>
      <w:r w:rsidR="002F7358" w:rsidRPr="0052319E">
        <w:rPr>
          <w:sz w:val="28"/>
          <w:szCs w:val="28"/>
        </w:rPr>
        <w:t>»</w:t>
      </w:r>
      <w:r w:rsidR="00302035" w:rsidRPr="0052319E">
        <w:rPr>
          <w:sz w:val="28"/>
          <w:szCs w:val="28"/>
        </w:rPr>
        <w:t xml:space="preserve">: </w:t>
      </w:r>
    </w:p>
    <w:p w:rsidR="00302035" w:rsidRPr="005126B4" w:rsidRDefault="00302035" w:rsidP="00EE4896">
      <w:pPr>
        <w:pStyle w:val="af9"/>
        <w:spacing w:line="245" w:lineRule="auto"/>
        <w:ind w:left="0" w:firstLine="709"/>
        <w:contextualSpacing w:val="0"/>
        <w:jc w:val="both"/>
        <w:rPr>
          <w:sz w:val="28"/>
          <w:szCs w:val="28"/>
        </w:rPr>
      </w:pPr>
      <w:r w:rsidRPr="005126B4">
        <w:rPr>
          <w:sz w:val="28"/>
          <w:szCs w:val="28"/>
        </w:rPr>
        <w:t>в 2022 – 2023 г</w:t>
      </w:r>
      <w:r w:rsidR="00D91D9B" w:rsidRPr="005126B4">
        <w:rPr>
          <w:sz w:val="28"/>
          <w:szCs w:val="28"/>
          <w:lang w:val="ru-RU"/>
        </w:rPr>
        <w:t>одах</w:t>
      </w:r>
      <w:r w:rsidRPr="005126B4">
        <w:rPr>
          <w:sz w:val="28"/>
          <w:szCs w:val="28"/>
        </w:rPr>
        <w:t xml:space="preserve"> онкологические отделения на базе </w:t>
      </w:r>
      <w:r w:rsidR="00D91D9B" w:rsidRPr="005126B4">
        <w:rPr>
          <w:color w:val="0D0D0D" w:themeColor="text1" w:themeTint="F2"/>
          <w:sz w:val="28"/>
          <w:szCs w:val="28"/>
        </w:rPr>
        <w:t xml:space="preserve">ГАУЗ </w:t>
      </w:r>
      <w:r w:rsidR="002F7358" w:rsidRPr="005126B4">
        <w:rPr>
          <w:color w:val="0D0D0D" w:themeColor="text1" w:themeTint="F2"/>
          <w:sz w:val="28"/>
          <w:szCs w:val="28"/>
        </w:rPr>
        <w:t>«</w:t>
      </w:r>
      <w:r w:rsidR="00D91D9B" w:rsidRPr="005126B4">
        <w:rPr>
          <w:color w:val="0D0D0D" w:themeColor="text1" w:themeTint="F2"/>
          <w:sz w:val="28"/>
          <w:szCs w:val="28"/>
        </w:rPr>
        <w:t>Городская клиническая больница №</w:t>
      </w:r>
      <w:r w:rsidR="001F35C4" w:rsidRPr="005126B4">
        <w:rPr>
          <w:color w:val="0D0D0D" w:themeColor="text1" w:themeTint="F2"/>
          <w:sz w:val="28"/>
          <w:szCs w:val="28"/>
          <w:lang w:val="ru-RU"/>
        </w:rPr>
        <w:t xml:space="preserve"> </w:t>
      </w:r>
      <w:r w:rsidR="00D91D9B" w:rsidRPr="005126B4">
        <w:rPr>
          <w:color w:val="0D0D0D" w:themeColor="text1" w:themeTint="F2"/>
          <w:sz w:val="28"/>
          <w:szCs w:val="28"/>
        </w:rPr>
        <w:t>7 им.М.Н.Садыкова</w:t>
      </w:r>
      <w:r w:rsidR="002F7358" w:rsidRPr="005126B4">
        <w:rPr>
          <w:color w:val="0D0D0D" w:themeColor="text1" w:themeTint="F2"/>
          <w:sz w:val="28"/>
          <w:szCs w:val="28"/>
        </w:rPr>
        <w:t>»</w:t>
      </w:r>
      <w:r w:rsidR="001F35C4" w:rsidRPr="005126B4">
        <w:rPr>
          <w:color w:val="0D0D0D" w:themeColor="text1" w:themeTint="F2"/>
          <w:sz w:val="28"/>
          <w:szCs w:val="28"/>
        </w:rPr>
        <w:t xml:space="preserve"> г.</w:t>
      </w:r>
      <w:r w:rsidR="00D91D9B" w:rsidRPr="005126B4">
        <w:rPr>
          <w:color w:val="0D0D0D" w:themeColor="text1" w:themeTint="F2"/>
          <w:sz w:val="28"/>
          <w:szCs w:val="28"/>
        </w:rPr>
        <w:t>Казани</w:t>
      </w:r>
      <w:r w:rsidRPr="005126B4">
        <w:rPr>
          <w:sz w:val="28"/>
          <w:szCs w:val="28"/>
        </w:rPr>
        <w:t xml:space="preserve">, </w:t>
      </w:r>
      <w:r w:rsidR="004B026E" w:rsidRPr="005126B4">
        <w:rPr>
          <w:sz w:val="28"/>
          <w:szCs w:val="28"/>
          <w:lang w:val="ru-RU"/>
        </w:rPr>
        <w:t xml:space="preserve">ГАУЗ </w:t>
      </w:r>
      <w:r w:rsidR="002F7358" w:rsidRPr="005126B4">
        <w:rPr>
          <w:sz w:val="28"/>
          <w:szCs w:val="28"/>
        </w:rPr>
        <w:t>«</w:t>
      </w:r>
      <w:r w:rsidRPr="005126B4">
        <w:rPr>
          <w:sz w:val="28"/>
          <w:szCs w:val="28"/>
        </w:rPr>
        <w:t>Городская боль</w:t>
      </w:r>
      <w:r w:rsidR="00A61EE1" w:rsidRPr="005126B4">
        <w:rPr>
          <w:sz w:val="28"/>
          <w:szCs w:val="28"/>
          <w:lang w:val="ru-RU"/>
        </w:rPr>
        <w:t>-</w:t>
      </w:r>
      <w:r w:rsidR="00A61EE1" w:rsidRPr="005126B4">
        <w:rPr>
          <w:sz w:val="28"/>
          <w:szCs w:val="28"/>
          <w:lang w:val="ru-RU"/>
        </w:rPr>
        <w:br/>
      </w:r>
      <w:r w:rsidRPr="005126B4">
        <w:rPr>
          <w:sz w:val="28"/>
          <w:szCs w:val="28"/>
        </w:rPr>
        <w:t>ница №</w:t>
      </w:r>
      <w:r w:rsidR="001F35C4" w:rsidRPr="005126B4">
        <w:rPr>
          <w:sz w:val="28"/>
          <w:szCs w:val="28"/>
          <w:lang w:val="ru-RU"/>
        </w:rPr>
        <w:t xml:space="preserve"> </w:t>
      </w:r>
      <w:r w:rsidRPr="005126B4">
        <w:rPr>
          <w:sz w:val="28"/>
          <w:szCs w:val="28"/>
        </w:rPr>
        <w:t>2</w:t>
      </w:r>
      <w:r w:rsidR="002F7358" w:rsidRPr="005126B4">
        <w:rPr>
          <w:sz w:val="28"/>
          <w:szCs w:val="28"/>
        </w:rPr>
        <w:t>»</w:t>
      </w:r>
      <w:r w:rsidR="001F35C4" w:rsidRPr="005126B4">
        <w:rPr>
          <w:sz w:val="28"/>
          <w:szCs w:val="28"/>
        </w:rPr>
        <w:t xml:space="preserve"> г.</w:t>
      </w:r>
      <w:r w:rsidRPr="005126B4">
        <w:rPr>
          <w:sz w:val="28"/>
          <w:szCs w:val="28"/>
        </w:rPr>
        <w:t xml:space="preserve">Набережные Челны, </w:t>
      </w:r>
      <w:r w:rsidR="004B026E" w:rsidRPr="005126B4">
        <w:rPr>
          <w:sz w:val="28"/>
          <w:szCs w:val="28"/>
          <w:lang w:val="ru-RU"/>
        </w:rPr>
        <w:t xml:space="preserve">ГАУЗ Республики Татарстан </w:t>
      </w:r>
      <w:r w:rsidR="002F7358" w:rsidRPr="005126B4">
        <w:rPr>
          <w:sz w:val="28"/>
          <w:szCs w:val="28"/>
        </w:rPr>
        <w:t>«</w:t>
      </w:r>
      <w:r w:rsidRPr="005126B4">
        <w:rPr>
          <w:sz w:val="28"/>
          <w:szCs w:val="28"/>
        </w:rPr>
        <w:t>Больница скорой медицинской помощи</w:t>
      </w:r>
      <w:r w:rsidR="005126B4" w:rsidRPr="005126B4">
        <w:rPr>
          <w:sz w:val="28"/>
          <w:szCs w:val="28"/>
          <w:lang w:val="ru-RU"/>
        </w:rPr>
        <w:t xml:space="preserve"> </w:t>
      </w:r>
      <w:r w:rsidR="005126B4" w:rsidRPr="005126B4">
        <w:rPr>
          <w:rFonts w:eastAsia="Calibri"/>
          <w:sz w:val="28"/>
          <w:szCs w:val="28"/>
        </w:rPr>
        <w:t>им. Р.С.Акчурина»</w:t>
      </w:r>
      <w:r w:rsidR="001F35C4" w:rsidRPr="005126B4">
        <w:rPr>
          <w:sz w:val="28"/>
          <w:szCs w:val="28"/>
        </w:rPr>
        <w:t xml:space="preserve"> г.</w:t>
      </w:r>
      <w:r w:rsidRPr="005126B4">
        <w:rPr>
          <w:sz w:val="28"/>
          <w:szCs w:val="28"/>
        </w:rPr>
        <w:t xml:space="preserve">Набережные Челны перепрофилированы в отделения иных профилей медицинской помощи; </w:t>
      </w:r>
    </w:p>
    <w:p w:rsidR="00302035" w:rsidRPr="0052319E" w:rsidRDefault="00302035" w:rsidP="00EE4896">
      <w:pPr>
        <w:pStyle w:val="af9"/>
        <w:spacing w:line="245" w:lineRule="auto"/>
        <w:ind w:left="0" w:firstLine="709"/>
        <w:contextualSpacing w:val="0"/>
        <w:jc w:val="both"/>
        <w:rPr>
          <w:sz w:val="28"/>
          <w:szCs w:val="28"/>
        </w:rPr>
      </w:pPr>
      <w:r w:rsidRPr="0052319E">
        <w:rPr>
          <w:sz w:val="28"/>
          <w:szCs w:val="28"/>
        </w:rPr>
        <w:t xml:space="preserve">в 2022 – 2024 </w:t>
      </w:r>
      <w:r w:rsidR="00D91D9B" w:rsidRPr="0052319E">
        <w:rPr>
          <w:sz w:val="28"/>
          <w:szCs w:val="28"/>
          <w:lang w:val="ru-RU"/>
        </w:rPr>
        <w:t>годах</w:t>
      </w:r>
      <w:r w:rsidRPr="0052319E">
        <w:rPr>
          <w:sz w:val="28"/>
          <w:szCs w:val="28"/>
        </w:rPr>
        <w:t xml:space="preserve"> приведены в соответствие требованиям Порядка оказания медицинской помощи взрослому населению при онкологических заболеваниях: </w:t>
      </w:r>
    </w:p>
    <w:p w:rsidR="00302035" w:rsidRPr="0052319E" w:rsidRDefault="00302035" w:rsidP="00EE4896">
      <w:pPr>
        <w:pStyle w:val="af9"/>
        <w:spacing w:line="245" w:lineRule="auto"/>
        <w:ind w:left="0" w:firstLine="709"/>
        <w:contextualSpacing w:val="0"/>
        <w:jc w:val="both"/>
        <w:rPr>
          <w:sz w:val="28"/>
          <w:szCs w:val="28"/>
        </w:rPr>
      </w:pPr>
      <w:r w:rsidRPr="0052319E">
        <w:rPr>
          <w:sz w:val="28"/>
          <w:szCs w:val="28"/>
        </w:rPr>
        <w:t xml:space="preserve">наименование и коечная мощность действующих отделений онкологического профиля; </w:t>
      </w:r>
    </w:p>
    <w:p w:rsidR="00302035" w:rsidRPr="0052319E" w:rsidRDefault="00302035" w:rsidP="00EE4896">
      <w:pPr>
        <w:pStyle w:val="af9"/>
        <w:spacing w:line="245" w:lineRule="auto"/>
        <w:ind w:left="0" w:firstLine="709"/>
        <w:contextualSpacing w:val="0"/>
        <w:jc w:val="both"/>
        <w:rPr>
          <w:sz w:val="28"/>
          <w:szCs w:val="28"/>
        </w:rPr>
      </w:pPr>
      <w:r w:rsidRPr="0052319E">
        <w:rPr>
          <w:rFonts w:eastAsia="Calibri"/>
          <w:sz w:val="28"/>
          <w:szCs w:val="28"/>
        </w:rPr>
        <w:t xml:space="preserve">штатные расписания медицинских организаций, оказывающих первичную специализированную медико-санитарную помощь по профилю </w:t>
      </w:r>
      <w:r w:rsidR="002F7358" w:rsidRPr="0052319E">
        <w:rPr>
          <w:rFonts w:eastAsia="Calibri"/>
          <w:sz w:val="28"/>
          <w:szCs w:val="28"/>
        </w:rPr>
        <w:t>«</w:t>
      </w:r>
      <w:r w:rsidRPr="0052319E">
        <w:rPr>
          <w:rFonts w:eastAsia="Calibri"/>
          <w:sz w:val="28"/>
          <w:szCs w:val="28"/>
        </w:rPr>
        <w:t>онкология</w:t>
      </w:r>
      <w:r w:rsidR="002F7358" w:rsidRPr="0052319E">
        <w:rPr>
          <w:rFonts w:eastAsia="Calibri"/>
          <w:sz w:val="28"/>
          <w:szCs w:val="28"/>
        </w:rPr>
        <w:t>»</w:t>
      </w:r>
      <w:r w:rsidRPr="0052319E">
        <w:rPr>
          <w:sz w:val="28"/>
          <w:szCs w:val="28"/>
        </w:rPr>
        <w:t xml:space="preserve">; </w:t>
      </w:r>
    </w:p>
    <w:p w:rsidR="00302035" w:rsidRPr="0052319E" w:rsidRDefault="00302035" w:rsidP="00EE4896">
      <w:pPr>
        <w:pStyle w:val="af9"/>
        <w:spacing w:line="245" w:lineRule="auto"/>
        <w:ind w:left="0" w:firstLine="709"/>
        <w:contextualSpacing w:val="0"/>
        <w:jc w:val="both"/>
        <w:rPr>
          <w:sz w:val="28"/>
          <w:szCs w:val="28"/>
        </w:rPr>
      </w:pPr>
      <w:r w:rsidRPr="0052319E">
        <w:rPr>
          <w:sz w:val="28"/>
          <w:szCs w:val="28"/>
        </w:rPr>
        <w:t>в 2024 г</w:t>
      </w:r>
      <w:r w:rsidR="00A61EE1" w:rsidRPr="0052319E">
        <w:rPr>
          <w:sz w:val="28"/>
          <w:szCs w:val="28"/>
          <w:lang w:val="ru-RU"/>
        </w:rPr>
        <w:t>оду</w:t>
      </w:r>
      <w:r w:rsidRPr="0052319E">
        <w:rPr>
          <w:sz w:val="28"/>
          <w:szCs w:val="28"/>
        </w:rPr>
        <w:t xml:space="preserve"> на базе ГАУЗ </w:t>
      </w:r>
      <w:r w:rsidR="002F7358" w:rsidRPr="0052319E">
        <w:rPr>
          <w:sz w:val="28"/>
          <w:szCs w:val="28"/>
        </w:rPr>
        <w:t>«</w:t>
      </w:r>
      <w:r w:rsidRPr="0052319E">
        <w:rPr>
          <w:sz w:val="28"/>
          <w:szCs w:val="28"/>
        </w:rPr>
        <w:t>Нижнекамская центральная районная многопрофильная больница</w:t>
      </w:r>
      <w:r w:rsidR="002F7358" w:rsidRPr="0052319E">
        <w:rPr>
          <w:sz w:val="28"/>
          <w:szCs w:val="28"/>
        </w:rPr>
        <w:t>»</w:t>
      </w:r>
      <w:r w:rsidRPr="0052319E">
        <w:rPr>
          <w:sz w:val="28"/>
          <w:szCs w:val="28"/>
        </w:rPr>
        <w:t xml:space="preserve"> и ГАУЗ </w:t>
      </w:r>
      <w:r w:rsidR="002F7358" w:rsidRPr="0052319E">
        <w:rPr>
          <w:sz w:val="28"/>
          <w:szCs w:val="28"/>
        </w:rPr>
        <w:t>«</w:t>
      </w:r>
      <w:r w:rsidRPr="0052319E">
        <w:rPr>
          <w:sz w:val="28"/>
          <w:szCs w:val="28"/>
        </w:rPr>
        <w:t xml:space="preserve">Зеленодольская </w:t>
      </w:r>
      <w:r w:rsidR="00D91D9B" w:rsidRPr="0052319E">
        <w:rPr>
          <w:sz w:val="28"/>
          <w:szCs w:val="28"/>
          <w:lang w:val="ru-RU"/>
        </w:rPr>
        <w:t>ЦРБ</w:t>
      </w:r>
      <w:r w:rsidR="002F7358" w:rsidRPr="0052319E">
        <w:rPr>
          <w:sz w:val="28"/>
          <w:szCs w:val="28"/>
        </w:rPr>
        <w:t>»</w:t>
      </w:r>
      <w:r w:rsidRPr="0052319E">
        <w:rPr>
          <w:sz w:val="28"/>
          <w:szCs w:val="28"/>
        </w:rPr>
        <w:t xml:space="preserve"> открыты отделения противоопухолевой лекарственной терапии</w:t>
      </w:r>
      <w:r w:rsidR="00D048A4" w:rsidRPr="0052319E">
        <w:rPr>
          <w:sz w:val="28"/>
          <w:szCs w:val="28"/>
          <w:lang w:val="ru-RU"/>
        </w:rPr>
        <w:t>;</w:t>
      </w:r>
      <w:r w:rsidRPr="0052319E">
        <w:rPr>
          <w:sz w:val="28"/>
          <w:szCs w:val="28"/>
        </w:rPr>
        <w:t xml:space="preserve"> </w:t>
      </w:r>
    </w:p>
    <w:p w:rsidR="00D048A4" w:rsidRPr="0052319E" w:rsidRDefault="00D048A4" w:rsidP="00D048A4">
      <w:pPr>
        <w:pStyle w:val="af9"/>
        <w:spacing w:line="245" w:lineRule="auto"/>
        <w:ind w:left="0" w:firstLine="709"/>
        <w:contextualSpacing w:val="0"/>
        <w:jc w:val="both"/>
        <w:rPr>
          <w:sz w:val="28"/>
          <w:szCs w:val="28"/>
          <w:lang w:val="ru-RU"/>
        </w:rPr>
      </w:pPr>
      <w:r w:rsidRPr="0052319E">
        <w:rPr>
          <w:sz w:val="28"/>
          <w:szCs w:val="28"/>
          <w:lang w:val="ru-RU"/>
        </w:rPr>
        <w:t xml:space="preserve">в 2026 году начата реорганизации онкологической службы Нижнекамского муниципального района – открыт Нижнекамский филиал </w:t>
      </w:r>
      <w:r w:rsidRPr="0052319E">
        <w:rPr>
          <w:sz w:val="28"/>
          <w:szCs w:val="28"/>
        </w:rPr>
        <w:t xml:space="preserve">ГАУЗ </w:t>
      </w:r>
      <w:r w:rsidRPr="0052319E">
        <w:rPr>
          <w:rFonts w:eastAsia="Arial"/>
          <w:sz w:val="28"/>
          <w:szCs w:val="28"/>
        </w:rPr>
        <w:t>«РКОД МЗ РТ им.проф.М.З.Сигала»</w:t>
      </w:r>
      <w:r w:rsidRPr="0052319E">
        <w:rPr>
          <w:rFonts w:eastAsia="Arial"/>
          <w:sz w:val="28"/>
          <w:szCs w:val="28"/>
          <w:lang w:val="ru-RU"/>
        </w:rPr>
        <w:t xml:space="preserve">, на первом этапе его формирования организовано функционирование отделения противоопухолевой лекарственной терапии на 20 коек и дневного стационара противоопухолевой лекарственной терапии на 25 коек. </w:t>
      </w:r>
    </w:p>
    <w:p w:rsidR="007F3A29" w:rsidRPr="0052319E" w:rsidRDefault="00302035" w:rsidP="00B04040">
      <w:pPr>
        <w:spacing w:line="235" w:lineRule="auto"/>
        <w:ind w:firstLine="709"/>
        <w:jc w:val="both"/>
        <w:rPr>
          <w:sz w:val="28"/>
          <w:szCs w:val="28"/>
        </w:rPr>
      </w:pPr>
      <w:r w:rsidRPr="0052319E">
        <w:rPr>
          <w:sz w:val="28"/>
          <w:szCs w:val="28"/>
        </w:rPr>
        <w:t>В</w:t>
      </w:r>
      <w:r w:rsidR="007F3A29" w:rsidRPr="0052319E">
        <w:rPr>
          <w:sz w:val="28"/>
          <w:szCs w:val="28"/>
        </w:rPr>
        <w:t xml:space="preserve"> целом </w:t>
      </w:r>
      <w:r w:rsidRPr="0052319E">
        <w:rPr>
          <w:sz w:val="28"/>
          <w:szCs w:val="28"/>
        </w:rPr>
        <w:t xml:space="preserve">в республике </w:t>
      </w:r>
      <w:r w:rsidR="007F3A29" w:rsidRPr="0052319E">
        <w:rPr>
          <w:sz w:val="28"/>
          <w:szCs w:val="28"/>
        </w:rPr>
        <w:t xml:space="preserve">сформирована трехуровневая система оказания медицинской помощи по профилю </w:t>
      </w:r>
      <w:r w:rsidR="002F7358" w:rsidRPr="0052319E">
        <w:rPr>
          <w:sz w:val="28"/>
          <w:szCs w:val="28"/>
        </w:rPr>
        <w:t>«</w:t>
      </w:r>
      <w:r w:rsidR="007F3A29" w:rsidRPr="0052319E">
        <w:rPr>
          <w:sz w:val="28"/>
          <w:szCs w:val="28"/>
        </w:rPr>
        <w:t>онкология</w:t>
      </w:r>
      <w:r w:rsidR="002F7358" w:rsidRPr="0052319E">
        <w:rPr>
          <w:sz w:val="28"/>
          <w:szCs w:val="28"/>
        </w:rPr>
        <w:t>»</w:t>
      </w:r>
      <w:r w:rsidR="007F3A29" w:rsidRPr="0052319E">
        <w:rPr>
          <w:sz w:val="28"/>
          <w:szCs w:val="28"/>
        </w:rPr>
        <w:t xml:space="preserve">; функционируют </w:t>
      </w:r>
      <w:r w:rsidR="004B026E" w:rsidRPr="0052319E">
        <w:rPr>
          <w:sz w:val="28"/>
          <w:szCs w:val="28"/>
        </w:rPr>
        <w:t xml:space="preserve">ГАУЗ </w:t>
      </w:r>
      <w:r w:rsidR="004B026E" w:rsidRPr="0052319E">
        <w:rPr>
          <w:rFonts w:eastAsia="Arial"/>
          <w:sz w:val="28"/>
          <w:szCs w:val="28"/>
        </w:rPr>
        <w:t>«РКОД МЗ РТ им.</w:t>
      </w:r>
      <w:r w:rsidR="001F35C4" w:rsidRPr="0052319E">
        <w:rPr>
          <w:rFonts w:eastAsia="Arial"/>
          <w:sz w:val="28"/>
          <w:szCs w:val="28"/>
        </w:rPr>
        <w:t>проф.</w:t>
      </w:r>
      <w:r w:rsidR="004B026E" w:rsidRPr="0052319E">
        <w:rPr>
          <w:rFonts w:eastAsia="Arial"/>
          <w:sz w:val="28"/>
          <w:szCs w:val="28"/>
        </w:rPr>
        <w:t>М.З.Сигала»</w:t>
      </w:r>
      <w:r w:rsidR="007F3A29" w:rsidRPr="0052319E">
        <w:rPr>
          <w:sz w:val="28"/>
          <w:szCs w:val="28"/>
        </w:rPr>
        <w:t xml:space="preserve"> и </w:t>
      </w:r>
      <w:r w:rsidR="00D048A4" w:rsidRPr="0052319E">
        <w:rPr>
          <w:sz w:val="28"/>
          <w:szCs w:val="28"/>
        </w:rPr>
        <w:t>три</w:t>
      </w:r>
      <w:r w:rsidR="007F3A29" w:rsidRPr="0052319E">
        <w:rPr>
          <w:sz w:val="28"/>
          <w:szCs w:val="28"/>
        </w:rPr>
        <w:t xml:space="preserve"> филиала в городах Набережные Челны</w:t>
      </w:r>
      <w:r w:rsidR="008E7B5E" w:rsidRPr="0052319E">
        <w:rPr>
          <w:sz w:val="28"/>
          <w:szCs w:val="28"/>
        </w:rPr>
        <w:t>,</w:t>
      </w:r>
      <w:r w:rsidR="007F3A29" w:rsidRPr="0052319E">
        <w:rPr>
          <w:sz w:val="28"/>
          <w:szCs w:val="28"/>
        </w:rPr>
        <w:t xml:space="preserve"> Альметьевске</w:t>
      </w:r>
      <w:r w:rsidR="008E7B5E" w:rsidRPr="0052319E">
        <w:rPr>
          <w:sz w:val="28"/>
          <w:szCs w:val="28"/>
        </w:rPr>
        <w:t xml:space="preserve"> и Нижнекамске</w:t>
      </w:r>
      <w:r w:rsidR="007F3A29" w:rsidRPr="0052319E">
        <w:rPr>
          <w:sz w:val="28"/>
          <w:szCs w:val="28"/>
        </w:rPr>
        <w:t xml:space="preserve">, </w:t>
      </w:r>
      <w:r w:rsidR="00BA61F2" w:rsidRPr="0052319E">
        <w:rPr>
          <w:sz w:val="28"/>
          <w:szCs w:val="28"/>
        </w:rPr>
        <w:t>о</w:t>
      </w:r>
      <w:r w:rsidR="00BA61F2" w:rsidRPr="0052319E">
        <w:rPr>
          <w:color w:val="000000"/>
          <w:sz w:val="28"/>
          <w:szCs w:val="28"/>
        </w:rPr>
        <w:t>тделени</w:t>
      </w:r>
      <w:r w:rsidR="008E7B5E" w:rsidRPr="0052319E">
        <w:rPr>
          <w:color w:val="000000"/>
          <w:sz w:val="28"/>
          <w:szCs w:val="28"/>
        </w:rPr>
        <w:t>е</w:t>
      </w:r>
      <w:r w:rsidR="00BA61F2" w:rsidRPr="0052319E">
        <w:rPr>
          <w:color w:val="000000"/>
          <w:sz w:val="28"/>
          <w:szCs w:val="28"/>
        </w:rPr>
        <w:t xml:space="preserve"> абдоминальной онкологии </w:t>
      </w:r>
      <w:r w:rsidR="00BA61F2" w:rsidRPr="0052319E">
        <w:rPr>
          <w:sz w:val="28"/>
          <w:szCs w:val="28"/>
        </w:rPr>
        <w:t xml:space="preserve">на базе ГАУЗ </w:t>
      </w:r>
      <w:r w:rsidR="002F7358" w:rsidRPr="0052319E">
        <w:rPr>
          <w:sz w:val="28"/>
          <w:szCs w:val="28"/>
        </w:rPr>
        <w:t>«</w:t>
      </w:r>
      <w:r w:rsidR="00BA61F2" w:rsidRPr="0052319E">
        <w:rPr>
          <w:sz w:val="28"/>
          <w:szCs w:val="28"/>
        </w:rPr>
        <w:t>Нижнекамская центральная районная многопрофильная больница</w:t>
      </w:r>
      <w:r w:rsidR="002F7358" w:rsidRPr="0052319E">
        <w:rPr>
          <w:sz w:val="28"/>
          <w:szCs w:val="28"/>
        </w:rPr>
        <w:t>»</w:t>
      </w:r>
      <w:r w:rsidR="008E7B5E" w:rsidRPr="0052319E">
        <w:rPr>
          <w:sz w:val="28"/>
          <w:szCs w:val="28"/>
        </w:rPr>
        <w:t>,</w:t>
      </w:r>
      <w:r w:rsidR="00BA61F2" w:rsidRPr="0052319E">
        <w:rPr>
          <w:sz w:val="28"/>
          <w:szCs w:val="28"/>
        </w:rPr>
        <w:t xml:space="preserve"> </w:t>
      </w:r>
      <w:r w:rsidR="008E7B5E" w:rsidRPr="0052319E">
        <w:rPr>
          <w:sz w:val="28"/>
          <w:szCs w:val="28"/>
        </w:rPr>
        <w:t>о</w:t>
      </w:r>
      <w:r w:rsidR="008E7B5E" w:rsidRPr="0052319E">
        <w:rPr>
          <w:color w:val="000000"/>
          <w:sz w:val="28"/>
          <w:szCs w:val="28"/>
        </w:rPr>
        <w:t xml:space="preserve">тделения абдоминальной онкологии и противоопухолевой лекарственной терапии </w:t>
      </w:r>
      <w:r w:rsidR="008E7B5E" w:rsidRPr="0052319E">
        <w:rPr>
          <w:sz w:val="28"/>
          <w:szCs w:val="28"/>
        </w:rPr>
        <w:t xml:space="preserve">на базе </w:t>
      </w:r>
      <w:r w:rsidR="00BA61F2" w:rsidRPr="0052319E">
        <w:rPr>
          <w:sz w:val="28"/>
          <w:szCs w:val="28"/>
        </w:rPr>
        <w:t xml:space="preserve">ГАУЗ </w:t>
      </w:r>
      <w:r w:rsidR="002F7358" w:rsidRPr="0052319E">
        <w:rPr>
          <w:sz w:val="28"/>
          <w:szCs w:val="28"/>
        </w:rPr>
        <w:t>«</w:t>
      </w:r>
      <w:r w:rsidR="00BA61F2" w:rsidRPr="0052319E">
        <w:rPr>
          <w:sz w:val="28"/>
          <w:szCs w:val="28"/>
        </w:rPr>
        <w:t xml:space="preserve">Зеленодольская </w:t>
      </w:r>
      <w:r w:rsidR="00D91D9B" w:rsidRPr="0052319E">
        <w:rPr>
          <w:sz w:val="28"/>
          <w:szCs w:val="28"/>
        </w:rPr>
        <w:t>ЦРБ</w:t>
      </w:r>
      <w:r w:rsidR="002F7358" w:rsidRPr="0052319E">
        <w:rPr>
          <w:sz w:val="28"/>
          <w:szCs w:val="28"/>
        </w:rPr>
        <w:t>»</w:t>
      </w:r>
      <w:r w:rsidR="00D91D9B" w:rsidRPr="0052319E">
        <w:rPr>
          <w:sz w:val="28"/>
          <w:szCs w:val="28"/>
        </w:rPr>
        <w:t xml:space="preserve">, </w:t>
      </w:r>
      <w:r w:rsidRPr="005C36EC">
        <w:rPr>
          <w:sz w:val="28"/>
          <w:szCs w:val="28"/>
        </w:rPr>
        <w:t>девять</w:t>
      </w:r>
      <w:r w:rsidR="007F3A29" w:rsidRPr="005C36EC">
        <w:rPr>
          <w:sz w:val="28"/>
          <w:szCs w:val="28"/>
        </w:rPr>
        <w:t xml:space="preserve"> </w:t>
      </w:r>
      <w:r w:rsidR="005C36EC" w:rsidRPr="005C36EC">
        <w:rPr>
          <w:sz w:val="28"/>
          <w:szCs w:val="28"/>
        </w:rPr>
        <w:t>центров амбулаторной онкологической помощи</w:t>
      </w:r>
      <w:r w:rsidR="007F3A29" w:rsidRPr="0052319E">
        <w:rPr>
          <w:sz w:val="28"/>
          <w:szCs w:val="28"/>
        </w:rPr>
        <w:t>, 6</w:t>
      </w:r>
      <w:r w:rsidR="00A04033" w:rsidRPr="0052319E">
        <w:rPr>
          <w:sz w:val="28"/>
          <w:szCs w:val="28"/>
        </w:rPr>
        <w:t>2</w:t>
      </w:r>
      <w:r w:rsidR="007F3A29" w:rsidRPr="0052319E">
        <w:rPr>
          <w:sz w:val="28"/>
          <w:szCs w:val="28"/>
        </w:rPr>
        <w:t xml:space="preserve"> первичных онкологических кабинет</w:t>
      </w:r>
      <w:r w:rsidR="00004A1A" w:rsidRPr="0052319E">
        <w:rPr>
          <w:sz w:val="28"/>
          <w:szCs w:val="28"/>
        </w:rPr>
        <w:t>а</w:t>
      </w:r>
      <w:r w:rsidR="007F3A29" w:rsidRPr="0052319E">
        <w:rPr>
          <w:sz w:val="28"/>
          <w:szCs w:val="28"/>
        </w:rPr>
        <w:t xml:space="preserve">; регистрируется положительная динамика основных показателей онкологической службы региона. </w:t>
      </w:r>
    </w:p>
    <w:p w:rsidR="007C0385" w:rsidRPr="0052319E" w:rsidRDefault="007F3A29" w:rsidP="00A61EE1">
      <w:pPr>
        <w:ind w:firstLine="709"/>
        <w:jc w:val="both"/>
        <w:rPr>
          <w:sz w:val="28"/>
          <w:szCs w:val="28"/>
        </w:rPr>
      </w:pPr>
      <w:r w:rsidRPr="0052319E">
        <w:rPr>
          <w:sz w:val="28"/>
          <w:szCs w:val="28"/>
        </w:rPr>
        <w:t>Сформированная региональная система здравоохранения позволяет обеспечить оказание медицинской помощи пациентам с онкологическими заболеваниями в соответствии с действующими клиническими рекомендациями</w:t>
      </w:r>
      <w:r w:rsidR="007C0385" w:rsidRPr="0052319E">
        <w:rPr>
          <w:sz w:val="28"/>
          <w:szCs w:val="28"/>
        </w:rPr>
        <w:t>.</w:t>
      </w:r>
      <w:r w:rsidRPr="0052319E">
        <w:rPr>
          <w:sz w:val="28"/>
          <w:szCs w:val="28"/>
        </w:rPr>
        <w:t xml:space="preserve"> </w:t>
      </w:r>
    </w:p>
    <w:p w:rsidR="007F3A29" w:rsidRPr="0052319E" w:rsidRDefault="007F3A29" w:rsidP="00A61EE1">
      <w:pPr>
        <w:ind w:firstLine="709"/>
        <w:jc w:val="both"/>
        <w:rPr>
          <w:sz w:val="28"/>
          <w:szCs w:val="28"/>
        </w:rPr>
      </w:pPr>
      <w:r w:rsidRPr="0052319E">
        <w:rPr>
          <w:sz w:val="28"/>
          <w:szCs w:val="28"/>
        </w:rPr>
        <w:t xml:space="preserve">Основными проблемами онкологической службы Республики Татарстан являются: </w:t>
      </w:r>
    </w:p>
    <w:p w:rsidR="007F3A29" w:rsidRPr="0052319E" w:rsidRDefault="007F3A29" w:rsidP="00A61EE1">
      <w:pPr>
        <w:ind w:firstLine="709"/>
        <w:jc w:val="both"/>
        <w:rPr>
          <w:sz w:val="28"/>
          <w:szCs w:val="28"/>
        </w:rPr>
      </w:pPr>
      <w:r w:rsidRPr="0052319E">
        <w:rPr>
          <w:sz w:val="28"/>
          <w:szCs w:val="28"/>
        </w:rPr>
        <w:t xml:space="preserve">недостаточная приверженность граждан к здоровому образу жизни и проведению профилактики ЗНО; </w:t>
      </w:r>
    </w:p>
    <w:p w:rsidR="007C0385" w:rsidRPr="0052319E" w:rsidRDefault="007F3A29" w:rsidP="00A61EE1">
      <w:pPr>
        <w:autoSpaceDE/>
        <w:autoSpaceDN/>
        <w:adjustRightInd/>
        <w:ind w:firstLine="709"/>
        <w:jc w:val="both"/>
        <w:rPr>
          <w:rFonts w:eastAsia="Arial"/>
          <w:sz w:val="28"/>
          <w:szCs w:val="28"/>
        </w:rPr>
      </w:pPr>
      <w:r w:rsidRPr="0052319E">
        <w:rPr>
          <w:sz w:val="28"/>
          <w:szCs w:val="28"/>
        </w:rPr>
        <w:t>недостаточная своевременность выявления ЗНО (показатель запущенности ЗНО составляет 2</w:t>
      </w:r>
      <w:r w:rsidR="008B5C1F" w:rsidRPr="0052319E">
        <w:rPr>
          <w:sz w:val="28"/>
          <w:szCs w:val="28"/>
        </w:rPr>
        <w:t>8</w:t>
      </w:r>
      <w:r w:rsidRPr="0052319E">
        <w:rPr>
          <w:sz w:val="28"/>
          <w:szCs w:val="28"/>
        </w:rPr>
        <w:t>,</w:t>
      </w:r>
      <w:r w:rsidR="008B5C1F" w:rsidRPr="0052319E">
        <w:rPr>
          <w:sz w:val="28"/>
          <w:szCs w:val="28"/>
        </w:rPr>
        <w:t>6</w:t>
      </w:r>
      <w:r w:rsidR="00A04033" w:rsidRPr="0052319E">
        <w:rPr>
          <w:sz w:val="28"/>
          <w:szCs w:val="28"/>
        </w:rPr>
        <w:t>8</w:t>
      </w:r>
      <w:r w:rsidRPr="0052319E">
        <w:rPr>
          <w:sz w:val="28"/>
          <w:szCs w:val="28"/>
        </w:rPr>
        <w:t xml:space="preserve"> процента</w:t>
      </w:r>
      <w:r w:rsidR="007C0385" w:rsidRPr="0052319E">
        <w:rPr>
          <w:sz w:val="28"/>
          <w:szCs w:val="28"/>
        </w:rPr>
        <w:t>)</w:t>
      </w:r>
      <w:r w:rsidR="00371C90" w:rsidRPr="0052319E">
        <w:rPr>
          <w:rFonts w:eastAsia="Arial"/>
          <w:sz w:val="28"/>
          <w:szCs w:val="28"/>
        </w:rPr>
        <w:t>;</w:t>
      </w:r>
      <w:r w:rsidR="007C0385" w:rsidRPr="0052319E">
        <w:rPr>
          <w:rFonts w:eastAsia="Arial"/>
          <w:sz w:val="28"/>
          <w:szCs w:val="28"/>
        </w:rPr>
        <w:t xml:space="preserve"> </w:t>
      </w:r>
    </w:p>
    <w:p w:rsidR="007F3A29" w:rsidRPr="0052319E" w:rsidRDefault="007F3A29" w:rsidP="00A61EE1">
      <w:pPr>
        <w:ind w:firstLine="709"/>
        <w:jc w:val="both"/>
        <w:rPr>
          <w:sz w:val="28"/>
          <w:szCs w:val="28"/>
        </w:rPr>
      </w:pPr>
      <w:r w:rsidRPr="0052319E">
        <w:rPr>
          <w:sz w:val="28"/>
          <w:szCs w:val="28"/>
        </w:rPr>
        <w:t xml:space="preserve">недостаточный уровень онкологической настороженности врачей-терапевтов, участковых врачей-терапевтов, врачей общей практики </w:t>
      </w:r>
      <w:r w:rsidR="007C0385" w:rsidRPr="0052319E">
        <w:rPr>
          <w:sz w:val="28"/>
          <w:szCs w:val="28"/>
        </w:rPr>
        <w:t>и врачей</w:t>
      </w:r>
      <w:r w:rsidR="00004A1A" w:rsidRPr="0052319E">
        <w:rPr>
          <w:sz w:val="28"/>
          <w:szCs w:val="28"/>
        </w:rPr>
        <w:t>-</w:t>
      </w:r>
      <w:r w:rsidR="007C0385" w:rsidRPr="0052319E">
        <w:rPr>
          <w:sz w:val="28"/>
          <w:szCs w:val="28"/>
        </w:rPr>
        <w:t xml:space="preserve">специалистов </w:t>
      </w:r>
      <w:r w:rsidRPr="0052319E">
        <w:rPr>
          <w:sz w:val="28"/>
          <w:szCs w:val="28"/>
        </w:rPr>
        <w:t xml:space="preserve">медицинских организаций, оказывающих первичную медико-санитарную помощь; </w:t>
      </w:r>
    </w:p>
    <w:p w:rsidR="006703E1" w:rsidRPr="0052319E" w:rsidRDefault="006703E1" w:rsidP="00A61EE1">
      <w:pPr>
        <w:ind w:firstLine="709"/>
        <w:jc w:val="both"/>
        <w:rPr>
          <w:sz w:val="28"/>
          <w:szCs w:val="28"/>
        </w:rPr>
      </w:pPr>
      <w:r w:rsidRPr="0052319E">
        <w:rPr>
          <w:sz w:val="28"/>
          <w:szCs w:val="28"/>
        </w:rPr>
        <w:t>недостаточная эффективность деятельности медицинских организаци</w:t>
      </w:r>
      <w:r w:rsidR="00A61EE1" w:rsidRPr="0052319E">
        <w:rPr>
          <w:sz w:val="28"/>
          <w:szCs w:val="28"/>
        </w:rPr>
        <w:t>й</w:t>
      </w:r>
      <w:r w:rsidRPr="0052319E">
        <w:rPr>
          <w:sz w:val="28"/>
          <w:szCs w:val="28"/>
        </w:rPr>
        <w:t xml:space="preserve"> первичного звена здравоохранения по ранней диагностике </w:t>
      </w:r>
      <w:r w:rsidR="00A61EE1" w:rsidRPr="0052319E">
        <w:rPr>
          <w:sz w:val="28"/>
          <w:szCs w:val="28"/>
        </w:rPr>
        <w:t>ЗНО</w:t>
      </w:r>
      <w:r w:rsidRPr="0052319E">
        <w:rPr>
          <w:sz w:val="28"/>
          <w:szCs w:val="28"/>
        </w:rPr>
        <w:t xml:space="preserve"> и диспансерному наблюдению пациентов с онкологическими заболеваниями; </w:t>
      </w:r>
    </w:p>
    <w:p w:rsidR="007F3A29" w:rsidRPr="0052319E" w:rsidRDefault="007F3A29" w:rsidP="00A61EE1">
      <w:pPr>
        <w:spacing w:line="245" w:lineRule="auto"/>
        <w:ind w:firstLine="709"/>
        <w:jc w:val="both"/>
        <w:rPr>
          <w:sz w:val="28"/>
          <w:szCs w:val="28"/>
        </w:rPr>
      </w:pPr>
      <w:r w:rsidRPr="0052319E">
        <w:rPr>
          <w:sz w:val="28"/>
          <w:szCs w:val="28"/>
        </w:rPr>
        <w:t>ряд медицинских организаций в Республике Татарстан, оказывающих первичную медико-санитарную помощь населению, нуждается в дооснащении и (или) замене медицинского оборудования в связи с его износом (</w:t>
      </w:r>
      <w:r w:rsidR="00CF325A" w:rsidRPr="0052319E">
        <w:rPr>
          <w:sz w:val="28"/>
          <w:szCs w:val="28"/>
        </w:rPr>
        <w:t xml:space="preserve">эндоскопы, </w:t>
      </w:r>
      <w:r w:rsidRPr="0052319E">
        <w:rPr>
          <w:sz w:val="28"/>
          <w:szCs w:val="28"/>
        </w:rPr>
        <w:t>аппараты ультразвуковой диагностики, компьютерные томографы рентгеновские, магнитно-резонансные томографы);</w:t>
      </w:r>
    </w:p>
    <w:p w:rsidR="007F3A29" w:rsidRPr="0052319E" w:rsidRDefault="007F3A29" w:rsidP="00A61EE1">
      <w:pPr>
        <w:spacing w:line="245" w:lineRule="auto"/>
        <w:ind w:firstLine="709"/>
        <w:jc w:val="both"/>
        <w:rPr>
          <w:sz w:val="28"/>
          <w:szCs w:val="28"/>
        </w:rPr>
      </w:pPr>
      <w:r w:rsidRPr="0052319E">
        <w:rPr>
          <w:sz w:val="28"/>
          <w:szCs w:val="28"/>
        </w:rPr>
        <w:t xml:space="preserve">недостаточная оснащенность ГАУЗ </w:t>
      </w:r>
      <w:r w:rsidR="002F7358" w:rsidRPr="0052319E">
        <w:rPr>
          <w:rFonts w:eastAsia="Arial"/>
          <w:sz w:val="28"/>
          <w:szCs w:val="28"/>
        </w:rPr>
        <w:t>«</w:t>
      </w:r>
      <w:r w:rsidR="001F35C4" w:rsidRPr="0052319E">
        <w:rPr>
          <w:rFonts w:eastAsia="Arial"/>
          <w:sz w:val="28"/>
          <w:szCs w:val="28"/>
        </w:rPr>
        <w:t>РКОД МЗ РТ им.проф.</w:t>
      </w:r>
      <w:r w:rsidR="004C090A" w:rsidRPr="0052319E">
        <w:rPr>
          <w:rFonts w:eastAsia="Arial"/>
          <w:sz w:val="28"/>
          <w:szCs w:val="28"/>
        </w:rPr>
        <w:t>М.З.Сигала</w:t>
      </w:r>
      <w:r w:rsidR="002F7358" w:rsidRPr="0052319E">
        <w:rPr>
          <w:rFonts w:eastAsia="Arial"/>
          <w:sz w:val="28"/>
          <w:szCs w:val="28"/>
        </w:rPr>
        <w:t>»</w:t>
      </w:r>
      <w:r w:rsidRPr="0052319E">
        <w:rPr>
          <w:sz w:val="28"/>
          <w:szCs w:val="28"/>
        </w:rPr>
        <w:t xml:space="preserve"> </w:t>
      </w:r>
      <w:r w:rsidR="00CF325A" w:rsidRPr="0052319E">
        <w:rPr>
          <w:sz w:val="28"/>
          <w:szCs w:val="28"/>
        </w:rPr>
        <w:t xml:space="preserve">отдельными видами </w:t>
      </w:r>
      <w:r w:rsidRPr="0052319E">
        <w:rPr>
          <w:sz w:val="28"/>
          <w:szCs w:val="28"/>
        </w:rPr>
        <w:t>медицинск</w:t>
      </w:r>
      <w:r w:rsidR="00CF325A" w:rsidRPr="0052319E">
        <w:rPr>
          <w:sz w:val="28"/>
          <w:szCs w:val="28"/>
        </w:rPr>
        <w:t>ого</w:t>
      </w:r>
      <w:r w:rsidRPr="0052319E">
        <w:rPr>
          <w:sz w:val="28"/>
          <w:szCs w:val="28"/>
        </w:rPr>
        <w:t xml:space="preserve"> оборудовани</w:t>
      </w:r>
      <w:r w:rsidR="00CF325A" w:rsidRPr="0052319E">
        <w:rPr>
          <w:sz w:val="28"/>
          <w:szCs w:val="28"/>
        </w:rPr>
        <w:t>я</w:t>
      </w:r>
      <w:r w:rsidRPr="0052319E">
        <w:rPr>
          <w:sz w:val="28"/>
          <w:szCs w:val="28"/>
        </w:rPr>
        <w:t>;</w:t>
      </w:r>
      <w:r w:rsidR="006703E1" w:rsidRPr="0052319E">
        <w:rPr>
          <w:sz w:val="28"/>
          <w:szCs w:val="28"/>
        </w:rPr>
        <w:t xml:space="preserve"> </w:t>
      </w:r>
    </w:p>
    <w:p w:rsidR="001942E0" w:rsidRPr="0052319E" w:rsidRDefault="001942E0" w:rsidP="00A61EE1">
      <w:pPr>
        <w:spacing w:line="245" w:lineRule="auto"/>
        <w:ind w:firstLine="709"/>
        <w:jc w:val="both"/>
        <w:rPr>
          <w:sz w:val="28"/>
          <w:szCs w:val="28"/>
        </w:rPr>
      </w:pPr>
      <w:r w:rsidRPr="0052319E">
        <w:rPr>
          <w:sz w:val="28"/>
          <w:szCs w:val="28"/>
        </w:rPr>
        <w:t xml:space="preserve">недостаточная эффективность работы медицинских организаций, оказывающих первичную специализированную медицинскую помощь и специализированную медицинскую помощь по профилю </w:t>
      </w:r>
      <w:r w:rsidR="002F7358" w:rsidRPr="0052319E">
        <w:rPr>
          <w:sz w:val="28"/>
          <w:szCs w:val="28"/>
        </w:rPr>
        <w:t>«</w:t>
      </w:r>
      <w:r w:rsidRPr="0052319E">
        <w:rPr>
          <w:sz w:val="28"/>
          <w:szCs w:val="28"/>
        </w:rPr>
        <w:t>онкология</w:t>
      </w:r>
      <w:r w:rsidR="002F7358" w:rsidRPr="0052319E">
        <w:rPr>
          <w:sz w:val="28"/>
          <w:szCs w:val="28"/>
        </w:rPr>
        <w:t>»</w:t>
      </w:r>
      <w:r w:rsidR="00D8787E" w:rsidRPr="0052319E">
        <w:rPr>
          <w:sz w:val="28"/>
          <w:szCs w:val="28"/>
        </w:rPr>
        <w:t>,</w:t>
      </w:r>
      <w:r w:rsidRPr="0052319E">
        <w:rPr>
          <w:sz w:val="28"/>
          <w:szCs w:val="28"/>
        </w:rPr>
        <w:t xml:space="preserve"> в части </w:t>
      </w:r>
      <w:r w:rsidR="00D8787E" w:rsidRPr="0052319E">
        <w:rPr>
          <w:sz w:val="28"/>
          <w:szCs w:val="28"/>
        </w:rPr>
        <w:t xml:space="preserve">организации </w:t>
      </w:r>
      <w:r w:rsidR="002F7358" w:rsidRPr="0052319E">
        <w:rPr>
          <w:sz w:val="28"/>
          <w:szCs w:val="28"/>
        </w:rPr>
        <w:t>«</w:t>
      </w:r>
      <w:r w:rsidR="00D8787E" w:rsidRPr="0052319E">
        <w:rPr>
          <w:sz w:val="28"/>
          <w:szCs w:val="28"/>
        </w:rPr>
        <w:t>зеленого коридора</w:t>
      </w:r>
      <w:r w:rsidR="002F7358" w:rsidRPr="0052319E">
        <w:rPr>
          <w:sz w:val="28"/>
          <w:szCs w:val="28"/>
        </w:rPr>
        <w:t>»</w:t>
      </w:r>
      <w:r w:rsidR="00D8787E" w:rsidRPr="0052319E">
        <w:rPr>
          <w:sz w:val="28"/>
          <w:szCs w:val="28"/>
        </w:rPr>
        <w:t xml:space="preserve"> при обследовании пациентов с подозрением на онкологические заболевания;</w:t>
      </w:r>
    </w:p>
    <w:p w:rsidR="006703E1" w:rsidRPr="0052319E" w:rsidRDefault="001942E0" w:rsidP="00A61EE1">
      <w:pPr>
        <w:spacing w:line="245" w:lineRule="auto"/>
        <w:ind w:firstLine="709"/>
        <w:jc w:val="both"/>
        <w:rPr>
          <w:b/>
          <w:bCs/>
        </w:rPr>
      </w:pPr>
      <w:r w:rsidRPr="0052319E">
        <w:rPr>
          <w:sz w:val="28"/>
          <w:szCs w:val="28"/>
        </w:rPr>
        <w:t xml:space="preserve">недостаточная эффективность планирования и координации проведения противоопухолевой лекарственной терапии в условиях медицинских организаций, оказывающих специализированную медицинскую помощь по профилю </w:t>
      </w:r>
      <w:r w:rsidR="002F7358" w:rsidRPr="0052319E">
        <w:rPr>
          <w:sz w:val="28"/>
          <w:szCs w:val="28"/>
        </w:rPr>
        <w:t>«</w:t>
      </w:r>
      <w:r w:rsidRPr="0052319E">
        <w:rPr>
          <w:sz w:val="28"/>
          <w:szCs w:val="28"/>
        </w:rPr>
        <w:t>онкология</w:t>
      </w:r>
      <w:r w:rsidR="002F7358" w:rsidRPr="0052319E">
        <w:rPr>
          <w:sz w:val="28"/>
          <w:szCs w:val="28"/>
        </w:rPr>
        <w:t>»</w:t>
      </w:r>
      <w:r w:rsidRPr="0052319E">
        <w:rPr>
          <w:sz w:val="28"/>
          <w:szCs w:val="28"/>
        </w:rPr>
        <w:t>;</w:t>
      </w:r>
    </w:p>
    <w:p w:rsidR="007F3A29" w:rsidRPr="0052319E" w:rsidRDefault="007F3A29" w:rsidP="00A61EE1">
      <w:pPr>
        <w:spacing w:line="245" w:lineRule="auto"/>
        <w:ind w:firstLine="709"/>
        <w:jc w:val="both"/>
        <w:rPr>
          <w:sz w:val="28"/>
          <w:szCs w:val="28"/>
        </w:rPr>
      </w:pPr>
      <w:r w:rsidRPr="0052319E">
        <w:rPr>
          <w:sz w:val="28"/>
          <w:szCs w:val="28"/>
        </w:rPr>
        <w:t>недостаточная информатизация онкологической службы</w:t>
      </w:r>
      <w:r w:rsidR="00CF325A" w:rsidRPr="0052319E">
        <w:rPr>
          <w:sz w:val="28"/>
          <w:szCs w:val="28"/>
        </w:rPr>
        <w:t>;</w:t>
      </w:r>
      <w:r w:rsidRPr="0052319E">
        <w:rPr>
          <w:sz w:val="28"/>
          <w:szCs w:val="28"/>
        </w:rPr>
        <w:t xml:space="preserve"> </w:t>
      </w:r>
    </w:p>
    <w:p w:rsidR="007F3A29" w:rsidRPr="0052319E" w:rsidRDefault="007F3A29" w:rsidP="00A61EE1">
      <w:pPr>
        <w:spacing w:line="245" w:lineRule="auto"/>
        <w:ind w:firstLine="709"/>
        <w:jc w:val="both"/>
        <w:rPr>
          <w:sz w:val="28"/>
          <w:szCs w:val="28"/>
        </w:rPr>
      </w:pPr>
      <w:r w:rsidRPr="0052319E">
        <w:rPr>
          <w:sz w:val="28"/>
          <w:szCs w:val="28"/>
        </w:rPr>
        <w:t>недостаточная обеспеченность медицинских организаций кадрами врачей-</w:t>
      </w:r>
      <w:r w:rsidR="00004A1A" w:rsidRPr="0052319E">
        <w:rPr>
          <w:sz w:val="28"/>
          <w:szCs w:val="28"/>
        </w:rPr>
        <w:br/>
      </w:r>
      <w:r w:rsidRPr="0052319E">
        <w:rPr>
          <w:sz w:val="28"/>
          <w:szCs w:val="28"/>
        </w:rPr>
        <w:t xml:space="preserve">онкологов. </w:t>
      </w:r>
    </w:p>
    <w:p w:rsidR="00C53228" w:rsidRPr="0052319E" w:rsidRDefault="00C53228" w:rsidP="00A61EE1">
      <w:pPr>
        <w:spacing w:line="245" w:lineRule="auto"/>
        <w:ind w:firstLine="709"/>
        <w:rPr>
          <w:sz w:val="28"/>
          <w:szCs w:val="28"/>
        </w:rPr>
      </w:pPr>
    </w:p>
    <w:p w:rsidR="00A61EE1" w:rsidRPr="0052319E" w:rsidRDefault="00A22535" w:rsidP="00A61EE1">
      <w:pPr>
        <w:pStyle w:val="af9"/>
        <w:spacing w:line="245" w:lineRule="auto"/>
        <w:ind w:left="0"/>
        <w:contextualSpacing w:val="0"/>
        <w:jc w:val="center"/>
        <w:rPr>
          <w:sz w:val="28"/>
          <w:szCs w:val="28"/>
          <w:lang w:val="ru-RU"/>
        </w:rPr>
      </w:pPr>
      <w:r w:rsidRPr="0052319E">
        <w:rPr>
          <w:sz w:val="28"/>
          <w:szCs w:val="28"/>
          <w:lang w:val="ru-RU"/>
        </w:rPr>
        <w:t>II</w:t>
      </w:r>
      <w:r w:rsidR="00A47AA3" w:rsidRPr="0052319E">
        <w:rPr>
          <w:sz w:val="28"/>
          <w:szCs w:val="28"/>
          <w:lang w:val="ru-RU"/>
        </w:rPr>
        <w:t>.</w:t>
      </w:r>
      <w:r w:rsidR="00391FC0" w:rsidRPr="0052319E">
        <w:rPr>
          <w:sz w:val="28"/>
          <w:szCs w:val="28"/>
          <w:lang w:val="ru-RU"/>
        </w:rPr>
        <w:t xml:space="preserve"> </w:t>
      </w:r>
      <w:r w:rsidR="00A47AA3" w:rsidRPr="0052319E">
        <w:rPr>
          <w:sz w:val="28"/>
          <w:szCs w:val="28"/>
          <w:lang w:val="ru-RU"/>
        </w:rPr>
        <w:t>Цель, показатели и сроки реали</w:t>
      </w:r>
      <w:r w:rsidRPr="0052319E">
        <w:rPr>
          <w:sz w:val="28"/>
          <w:szCs w:val="28"/>
          <w:lang w:val="ru-RU"/>
        </w:rPr>
        <w:t xml:space="preserve">зации региональной программы </w:t>
      </w:r>
    </w:p>
    <w:p w:rsidR="00A61EE1" w:rsidRPr="0052319E" w:rsidRDefault="002F7358" w:rsidP="00A61EE1">
      <w:pPr>
        <w:pStyle w:val="af9"/>
        <w:spacing w:line="245" w:lineRule="auto"/>
        <w:ind w:left="0"/>
        <w:contextualSpacing w:val="0"/>
        <w:jc w:val="center"/>
        <w:rPr>
          <w:sz w:val="28"/>
          <w:szCs w:val="28"/>
          <w:lang w:val="ru-RU"/>
        </w:rPr>
      </w:pPr>
      <w:r w:rsidRPr="0052319E">
        <w:rPr>
          <w:sz w:val="28"/>
          <w:szCs w:val="28"/>
          <w:lang w:val="ru-RU"/>
        </w:rPr>
        <w:t>«</w:t>
      </w:r>
      <w:r w:rsidR="00A22535" w:rsidRPr="0052319E">
        <w:rPr>
          <w:sz w:val="28"/>
          <w:szCs w:val="28"/>
          <w:lang w:val="ru-RU"/>
        </w:rPr>
        <w:t>Б</w:t>
      </w:r>
      <w:r w:rsidR="00A47AA3" w:rsidRPr="0052319E">
        <w:rPr>
          <w:sz w:val="28"/>
          <w:szCs w:val="28"/>
          <w:lang w:val="ru-RU"/>
        </w:rPr>
        <w:t>орьб</w:t>
      </w:r>
      <w:r w:rsidR="00A22535" w:rsidRPr="0052319E">
        <w:rPr>
          <w:sz w:val="28"/>
          <w:szCs w:val="28"/>
          <w:lang w:val="ru-RU"/>
        </w:rPr>
        <w:t>а</w:t>
      </w:r>
      <w:r w:rsidR="00A47AA3" w:rsidRPr="0052319E">
        <w:rPr>
          <w:sz w:val="28"/>
          <w:szCs w:val="28"/>
          <w:lang w:val="ru-RU"/>
        </w:rPr>
        <w:t xml:space="preserve"> с</w:t>
      </w:r>
      <w:r w:rsidR="00391FC0" w:rsidRPr="0052319E">
        <w:rPr>
          <w:sz w:val="28"/>
          <w:szCs w:val="28"/>
          <w:lang w:val="ru-RU"/>
        </w:rPr>
        <w:t xml:space="preserve"> </w:t>
      </w:r>
      <w:r w:rsidR="00A47AA3" w:rsidRPr="0052319E">
        <w:rPr>
          <w:sz w:val="28"/>
          <w:szCs w:val="28"/>
          <w:lang w:val="ru-RU"/>
        </w:rPr>
        <w:t>онкологическими заболеваниями</w:t>
      </w:r>
      <w:r w:rsidR="00A22535" w:rsidRPr="0052319E">
        <w:rPr>
          <w:sz w:val="28"/>
          <w:szCs w:val="28"/>
          <w:lang w:val="ru-RU"/>
        </w:rPr>
        <w:t xml:space="preserve"> в Республике Татарстан</w:t>
      </w:r>
      <w:r w:rsidRPr="0052319E">
        <w:rPr>
          <w:sz w:val="28"/>
          <w:szCs w:val="28"/>
          <w:lang w:val="ru-RU"/>
        </w:rPr>
        <w:t>»</w:t>
      </w:r>
      <w:r w:rsidR="00A47AA3" w:rsidRPr="0052319E">
        <w:rPr>
          <w:sz w:val="28"/>
          <w:szCs w:val="28"/>
          <w:lang w:val="ru-RU"/>
        </w:rPr>
        <w:t xml:space="preserve">. </w:t>
      </w:r>
    </w:p>
    <w:p w:rsidR="00A61EE1" w:rsidRPr="0052319E" w:rsidRDefault="00A47AA3" w:rsidP="00A61EE1">
      <w:pPr>
        <w:pStyle w:val="af9"/>
        <w:spacing w:line="245" w:lineRule="auto"/>
        <w:ind w:left="0"/>
        <w:contextualSpacing w:val="0"/>
        <w:jc w:val="center"/>
        <w:rPr>
          <w:sz w:val="28"/>
          <w:szCs w:val="28"/>
          <w:lang w:val="ru-RU"/>
        </w:rPr>
      </w:pPr>
      <w:r w:rsidRPr="0052319E">
        <w:rPr>
          <w:sz w:val="28"/>
          <w:szCs w:val="28"/>
          <w:lang w:val="ru-RU"/>
        </w:rPr>
        <w:t>Участники региональной программы</w:t>
      </w:r>
    </w:p>
    <w:p w:rsidR="00A47AA3" w:rsidRPr="0052319E" w:rsidRDefault="00A47AA3" w:rsidP="00A61EE1">
      <w:pPr>
        <w:pStyle w:val="af9"/>
        <w:spacing w:line="245" w:lineRule="auto"/>
        <w:ind w:left="0" w:firstLine="709"/>
        <w:contextualSpacing w:val="0"/>
        <w:jc w:val="both"/>
        <w:rPr>
          <w:sz w:val="28"/>
          <w:szCs w:val="28"/>
          <w:lang w:val="ru-RU"/>
        </w:rPr>
      </w:pPr>
      <w:r w:rsidRPr="0052319E">
        <w:rPr>
          <w:sz w:val="28"/>
          <w:szCs w:val="28"/>
          <w:lang w:val="ru-RU"/>
        </w:rPr>
        <w:t xml:space="preserve"> </w:t>
      </w:r>
    </w:p>
    <w:p w:rsidR="00125CE8" w:rsidRPr="0052319E" w:rsidRDefault="006A5FB5" w:rsidP="00C01EF3">
      <w:pPr>
        <w:autoSpaceDE/>
        <w:autoSpaceDN/>
        <w:adjustRightInd/>
        <w:spacing w:line="233" w:lineRule="auto"/>
        <w:ind w:firstLine="709"/>
        <w:jc w:val="both"/>
        <w:rPr>
          <w:rFonts w:eastAsia="Calibri"/>
          <w:sz w:val="28"/>
          <w:szCs w:val="28"/>
          <w:lang w:eastAsia="en-US"/>
        </w:rPr>
      </w:pPr>
      <w:r w:rsidRPr="0052319E">
        <w:rPr>
          <w:sz w:val="28"/>
          <w:szCs w:val="28"/>
        </w:rPr>
        <w:t>Региональн</w:t>
      </w:r>
      <w:r w:rsidR="00411BF3" w:rsidRPr="0052319E">
        <w:rPr>
          <w:sz w:val="28"/>
          <w:szCs w:val="28"/>
        </w:rPr>
        <w:t xml:space="preserve">ая </w:t>
      </w:r>
      <w:r w:rsidRPr="0052319E">
        <w:rPr>
          <w:sz w:val="28"/>
          <w:szCs w:val="28"/>
        </w:rPr>
        <w:t>про</w:t>
      </w:r>
      <w:r w:rsidR="00411BF3" w:rsidRPr="0052319E">
        <w:rPr>
          <w:sz w:val="28"/>
          <w:szCs w:val="28"/>
        </w:rPr>
        <w:t>грамма</w:t>
      </w:r>
      <w:r w:rsidRPr="0052319E">
        <w:rPr>
          <w:sz w:val="28"/>
          <w:szCs w:val="28"/>
        </w:rPr>
        <w:t xml:space="preserve"> </w:t>
      </w:r>
      <w:r w:rsidR="002F7358" w:rsidRPr="0052319E">
        <w:rPr>
          <w:sz w:val="28"/>
          <w:szCs w:val="28"/>
        </w:rPr>
        <w:t>«</w:t>
      </w:r>
      <w:r w:rsidRPr="0052319E">
        <w:rPr>
          <w:sz w:val="28"/>
          <w:szCs w:val="28"/>
        </w:rPr>
        <w:t>Борьба с онкологическими заболеваниями</w:t>
      </w:r>
      <w:r w:rsidR="00A22535" w:rsidRPr="0052319E">
        <w:rPr>
          <w:sz w:val="28"/>
          <w:szCs w:val="28"/>
        </w:rPr>
        <w:t xml:space="preserve"> в Республике Татарстан</w:t>
      </w:r>
      <w:r w:rsidR="002F7358" w:rsidRPr="0052319E">
        <w:rPr>
          <w:sz w:val="28"/>
          <w:szCs w:val="28"/>
        </w:rPr>
        <w:t>»</w:t>
      </w:r>
      <w:r w:rsidRPr="0052319E">
        <w:rPr>
          <w:sz w:val="28"/>
          <w:szCs w:val="28"/>
        </w:rPr>
        <w:t xml:space="preserve"> направлен</w:t>
      </w:r>
      <w:r w:rsidR="00411BF3" w:rsidRPr="0052319E">
        <w:rPr>
          <w:sz w:val="28"/>
          <w:szCs w:val="28"/>
        </w:rPr>
        <w:t>а</w:t>
      </w:r>
      <w:r w:rsidRPr="0052319E">
        <w:rPr>
          <w:sz w:val="28"/>
          <w:szCs w:val="28"/>
        </w:rPr>
        <w:t xml:space="preserve"> на</w:t>
      </w:r>
      <w:r w:rsidR="00391FC0" w:rsidRPr="0052319E">
        <w:rPr>
          <w:sz w:val="28"/>
          <w:szCs w:val="28"/>
        </w:rPr>
        <w:t xml:space="preserve"> </w:t>
      </w:r>
      <w:r w:rsidR="00125CE8" w:rsidRPr="0052319E">
        <w:rPr>
          <w:sz w:val="28"/>
          <w:szCs w:val="28"/>
        </w:rPr>
        <w:t xml:space="preserve">обеспечение доступности диагностики и лечения онкологических заболеваний, позволяющей увеличить на 7 процентов количество пациентов </w:t>
      </w:r>
      <w:r w:rsidR="00125CE8" w:rsidRPr="0052319E">
        <w:rPr>
          <w:color w:val="000000"/>
          <w:spacing w:val="-2"/>
          <w:sz w:val="28"/>
          <w:szCs w:val="28"/>
        </w:rPr>
        <w:t xml:space="preserve">с </w:t>
      </w:r>
      <w:r w:rsidR="00A61EE1" w:rsidRPr="0052319E">
        <w:rPr>
          <w:color w:val="000000"/>
          <w:spacing w:val="-2"/>
          <w:sz w:val="28"/>
          <w:szCs w:val="28"/>
        </w:rPr>
        <w:t>ЗНО</w:t>
      </w:r>
      <w:r w:rsidR="00125CE8" w:rsidRPr="0052319E">
        <w:rPr>
          <w:color w:val="000000"/>
          <w:spacing w:val="-2"/>
          <w:sz w:val="28"/>
          <w:szCs w:val="28"/>
        </w:rPr>
        <w:t>, живущих более 5 лет</w:t>
      </w:r>
      <w:r w:rsidR="00125CE8" w:rsidRPr="0052319E">
        <w:rPr>
          <w:rFonts w:eastAsia="Calibri"/>
          <w:sz w:val="28"/>
          <w:szCs w:val="28"/>
          <w:lang w:eastAsia="en-US"/>
        </w:rPr>
        <w:t xml:space="preserve">. </w:t>
      </w:r>
    </w:p>
    <w:p w:rsidR="00125CE8" w:rsidRPr="0052319E" w:rsidRDefault="00887958" w:rsidP="00C01EF3">
      <w:pPr>
        <w:autoSpaceDE/>
        <w:autoSpaceDN/>
        <w:adjustRightInd/>
        <w:spacing w:line="233" w:lineRule="auto"/>
        <w:ind w:firstLine="709"/>
        <w:jc w:val="both"/>
        <w:rPr>
          <w:rFonts w:eastAsia="Calibri"/>
          <w:sz w:val="28"/>
          <w:szCs w:val="28"/>
          <w:lang w:eastAsia="en-US"/>
        </w:rPr>
      </w:pPr>
      <w:r w:rsidRPr="0052319E">
        <w:rPr>
          <w:rFonts w:eastAsia="Calibri"/>
          <w:sz w:val="28"/>
          <w:szCs w:val="28"/>
          <w:lang w:eastAsia="en-US"/>
        </w:rPr>
        <w:t>1</w:t>
      </w:r>
      <w:r w:rsidR="00377D26" w:rsidRPr="0052319E">
        <w:rPr>
          <w:rFonts w:eastAsia="Calibri"/>
          <w:sz w:val="28"/>
          <w:szCs w:val="28"/>
          <w:lang w:eastAsia="en-US"/>
        </w:rPr>
        <w:t>.</w:t>
      </w:r>
      <w:r w:rsidR="00E75EE2" w:rsidRPr="0052319E">
        <w:rPr>
          <w:rFonts w:eastAsia="Calibri"/>
          <w:sz w:val="28"/>
          <w:szCs w:val="28"/>
          <w:lang w:eastAsia="en-US"/>
        </w:rPr>
        <w:t xml:space="preserve"> </w:t>
      </w:r>
      <w:r w:rsidR="00FF10CD" w:rsidRPr="0052319E">
        <w:rPr>
          <w:rFonts w:eastAsia="Calibri"/>
          <w:sz w:val="28"/>
          <w:szCs w:val="28"/>
          <w:lang w:eastAsia="en-US"/>
        </w:rPr>
        <w:t>Цель р</w:t>
      </w:r>
      <w:r w:rsidR="00FF10CD" w:rsidRPr="0052319E">
        <w:rPr>
          <w:sz w:val="28"/>
          <w:szCs w:val="28"/>
        </w:rPr>
        <w:t xml:space="preserve">егиональной программы </w:t>
      </w:r>
      <w:r w:rsidR="002F7358" w:rsidRPr="0052319E">
        <w:rPr>
          <w:sz w:val="28"/>
          <w:szCs w:val="28"/>
        </w:rPr>
        <w:t>«</w:t>
      </w:r>
      <w:r w:rsidR="00FF10CD" w:rsidRPr="0052319E">
        <w:rPr>
          <w:sz w:val="28"/>
          <w:szCs w:val="28"/>
        </w:rPr>
        <w:t>Борьба с онкологическими заболеваниями</w:t>
      </w:r>
      <w:r w:rsidR="00A22535" w:rsidRPr="0052319E">
        <w:rPr>
          <w:sz w:val="28"/>
          <w:szCs w:val="28"/>
        </w:rPr>
        <w:t xml:space="preserve"> </w:t>
      </w:r>
      <w:r w:rsidR="001F35C4" w:rsidRPr="0052319E">
        <w:rPr>
          <w:sz w:val="28"/>
          <w:szCs w:val="28"/>
        </w:rPr>
        <w:br/>
      </w:r>
      <w:r w:rsidR="00A22535" w:rsidRPr="0052319E">
        <w:rPr>
          <w:sz w:val="28"/>
          <w:szCs w:val="28"/>
        </w:rPr>
        <w:t>в Республике Татарстан</w:t>
      </w:r>
      <w:r w:rsidR="002F7358" w:rsidRPr="0052319E">
        <w:rPr>
          <w:sz w:val="28"/>
          <w:szCs w:val="28"/>
        </w:rPr>
        <w:t>»</w:t>
      </w:r>
      <w:r w:rsidR="00FF10CD" w:rsidRPr="0052319E">
        <w:rPr>
          <w:sz w:val="28"/>
          <w:szCs w:val="28"/>
        </w:rPr>
        <w:t xml:space="preserve"> </w:t>
      </w:r>
      <w:r w:rsidR="00FF10CD" w:rsidRPr="0052319E">
        <w:rPr>
          <w:rFonts w:eastAsia="Calibri"/>
          <w:sz w:val="28"/>
          <w:szCs w:val="28"/>
          <w:lang w:eastAsia="en-US"/>
        </w:rPr>
        <w:t xml:space="preserve">достигается путем </w:t>
      </w:r>
      <w:r w:rsidR="00357B30" w:rsidRPr="0052319E">
        <w:rPr>
          <w:rFonts w:eastAsia="Calibri"/>
          <w:sz w:val="28"/>
          <w:szCs w:val="28"/>
          <w:lang w:eastAsia="en-US"/>
        </w:rPr>
        <w:t xml:space="preserve">реализации комплекса мероприятий, направленных на </w:t>
      </w:r>
      <w:r w:rsidR="00FF10CD" w:rsidRPr="0052319E">
        <w:rPr>
          <w:rFonts w:eastAsia="Calibri"/>
          <w:sz w:val="28"/>
          <w:szCs w:val="28"/>
          <w:lang w:eastAsia="en-US"/>
        </w:rPr>
        <w:t>увеличени</w:t>
      </w:r>
      <w:r w:rsidR="00357B30" w:rsidRPr="0052319E">
        <w:rPr>
          <w:rFonts w:eastAsia="Calibri"/>
          <w:sz w:val="28"/>
          <w:szCs w:val="28"/>
          <w:lang w:eastAsia="en-US"/>
        </w:rPr>
        <w:t>е</w:t>
      </w:r>
      <w:r w:rsidR="00FF10CD" w:rsidRPr="0052319E">
        <w:rPr>
          <w:rFonts w:eastAsia="Calibri"/>
          <w:sz w:val="28"/>
          <w:szCs w:val="28"/>
          <w:lang w:eastAsia="en-US"/>
        </w:rPr>
        <w:t xml:space="preserve"> д</w:t>
      </w:r>
      <w:r w:rsidR="00FF10CD" w:rsidRPr="0052319E">
        <w:rPr>
          <w:color w:val="000000"/>
          <w:spacing w:val="-2"/>
          <w:sz w:val="28"/>
          <w:szCs w:val="28"/>
        </w:rPr>
        <w:t xml:space="preserve">оли </w:t>
      </w:r>
      <w:r w:rsidR="00A61EE1" w:rsidRPr="0052319E">
        <w:rPr>
          <w:color w:val="000000"/>
          <w:spacing w:val="-2"/>
          <w:sz w:val="28"/>
          <w:szCs w:val="28"/>
        </w:rPr>
        <w:t>ЗНО</w:t>
      </w:r>
      <w:r w:rsidR="00FF10CD" w:rsidRPr="0052319E">
        <w:rPr>
          <w:color w:val="000000"/>
          <w:spacing w:val="-2"/>
          <w:sz w:val="28"/>
          <w:szCs w:val="28"/>
        </w:rPr>
        <w:t>, выявленных</w:t>
      </w:r>
      <w:r w:rsidR="00A61EE1" w:rsidRPr="0052319E">
        <w:rPr>
          <w:color w:val="000000"/>
          <w:spacing w:val="-2"/>
          <w:sz w:val="28"/>
          <w:szCs w:val="28"/>
        </w:rPr>
        <w:t xml:space="preserve"> </w:t>
      </w:r>
      <w:r w:rsidR="00FF10CD" w:rsidRPr="0052319E">
        <w:rPr>
          <w:color w:val="000000"/>
          <w:spacing w:val="-2"/>
          <w:sz w:val="28"/>
          <w:szCs w:val="28"/>
        </w:rPr>
        <w:t xml:space="preserve">на I стадии, от общего числа случаев </w:t>
      </w:r>
      <w:r w:rsidR="00A61EE1" w:rsidRPr="0052319E">
        <w:rPr>
          <w:color w:val="000000"/>
          <w:spacing w:val="-2"/>
          <w:sz w:val="28"/>
          <w:szCs w:val="28"/>
        </w:rPr>
        <w:t>ЗНО</w:t>
      </w:r>
      <w:r w:rsidR="00FF10CD" w:rsidRPr="0052319E">
        <w:rPr>
          <w:color w:val="000000"/>
          <w:spacing w:val="-2"/>
          <w:sz w:val="28"/>
          <w:szCs w:val="28"/>
        </w:rPr>
        <w:t xml:space="preserve"> визуальных локализаций </w:t>
      </w:r>
      <w:r w:rsidR="00FF10CD" w:rsidRPr="0052319E">
        <w:rPr>
          <w:rFonts w:eastAsia="Calibri"/>
          <w:sz w:val="28"/>
          <w:szCs w:val="28"/>
          <w:lang w:eastAsia="en-US"/>
        </w:rPr>
        <w:t>(с 5</w:t>
      </w:r>
      <w:r w:rsidR="00252A1F" w:rsidRPr="0052319E">
        <w:rPr>
          <w:rFonts w:eastAsia="Calibri"/>
          <w:sz w:val="28"/>
          <w:szCs w:val="28"/>
          <w:lang w:eastAsia="en-US"/>
        </w:rPr>
        <w:t>4</w:t>
      </w:r>
      <w:r w:rsidR="00FF10CD" w:rsidRPr="0052319E">
        <w:rPr>
          <w:rFonts w:eastAsia="Calibri"/>
          <w:sz w:val="28"/>
          <w:szCs w:val="28"/>
          <w:lang w:eastAsia="en-US"/>
        </w:rPr>
        <w:t>,</w:t>
      </w:r>
      <w:r w:rsidR="00252A1F" w:rsidRPr="0052319E">
        <w:rPr>
          <w:rFonts w:eastAsia="Calibri"/>
          <w:sz w:val="28"/>
          <w:szCs w:val="28"/>
          <w:lang w:eastAsia="en-US"/>
        </w:rPr>
        <w:t>4</w:t>
      </w:r>
      <w:r w:rsidR="00FF10CD" w:rsidRPr="0052319E">
        <w:rPr>
          <w:rFonts w:eastAsia="Calibri"/>
          <w:sz w:val="28"/>
          <w:szCs w:val="28"/>
          <w:lang w:eastAsia="en-US"/>
        </w:rPr>
        <w:t xml:space="preserve"> процента в 20</w:t>
      </w:r>
      <w:r w:rsidR="00252A1F" w:rsidRPr="0052319E">
        <w:rPr>
          <w:rFonts w:eastAsia="Calibri"/>
          <w:sz w:val="28"/>
          <w:szCs w:val="28"/>
          <w:lang w:eastAsia="en-US"/>
        </w:rPr>
        <w:t>23</w:t>
      </w:r>
      <w:r w:rsidR="00FF10CD" w:rsidRPr="0052319E">
        <w:rPr>
          <w:rFonts w:eastAsia="Calibri"/>
          <w:sz w:val="28"/>
          <w:szCs w:val="28"/>
          <w:lang w:eastAsia="en-US"/>
        </w:rPr>
        <w:t xml:space="preserve"> году до </w:t>
      </w:r>
      <w:r w:rsidR="00252A1F" w:rsidRPr="0052319E">
        <w:rPr>
          <w:rFonts w:eastAsia="Calibri"/>
          <w:sz w:val="28"/>
          <w:szCs w:val="28"/>
          <w:lang w:eastAsia="en-US"/>
        </w:rPr>
        <w:t>58,7</w:t>
      </w:r>
      <w:r w:rsidR="00FF10CD" w:rsidRPr="0052319E">
        <w:rPr>
          <w:rFonts w:eastAsia="Calibri"/>
          <w:sz w:val="28"/>
          <w:szCs w:val="28"/>
          <w:lang w:eastAsia="en-US"/>
        </w:rPr>
        <w:t xml:space="preserve"> процента </w:t>
      </w:r>
      <w:r w:rsidR="00A61EE1" w:rsidRPr="0052319E">
        <w:rPr>
          <w:rFonts w:eastAsia="Calibri"/>
          <w:sz w:val="28"/>
          <w:szCs w:val="28"/>
          <w:lang w:eastAsia="en-US"/>
        </w:rPr>
        <w:br/>
      </w:r>
      <w:r w:rsidR="00FF10CD" w:rsidRPr="0052319E">
        <w:rPr>
          <w:rFonts w:eastAsia="Calibri"/>
          <w:sz w:val="28"/>
          <w:szCs w:val="28"/>
          <w:lang w:eastAsia="en-US"/>
        </w:rPr>
        <w:t>в 20</w:t>
      </w:r>
      <w:r w:rsidR="00252A1F" w:rsidRPr="0052319E">
        <w:rPr>
          <w:rFonts w:eastAsia="Calibri"/>
          <w:sz w:val="28"/>
          <w:szCs w:val="28"/>
          <w:lang w:eastAsia="en-US"/>
        </w:rPr>
        <w:t>30</w:t>
      </w:r>
      <w:r w:rsidR="00FF10CD" w:rsidRPr="0052319E">
        <w:rPr>
          <w:rFonts w:eastAsia="Calibri"/>
          <w:sz w:val="28"/>
          <w:szCs w:val="28"/>
          <w:lang w:eastAsia="en-US"/>
        </w:rPr>
        <w:t xml:space="preserve"> году),</w:t>
      </w:r>
      <w:r w:rsidR="00252A1F" w:rsidRPr="0052319E">
        <w:rPr>
          <w:rFonts w:eastAsia="Calibri"/>
          <w:sz w:val="28"/>
          <w:szCs w:val="28"/>
          <w:lang w:eastAsia="en-US"/>
        </w:rPr>
        <w:t xml:space="preserve"> повышени</w:t>
      </w:r>
      <w:r w:rsidR="00357B30" w:rsidRPr="0052319E">
        <w:rPr>
          <w:rFonts w:eastAsia="Calibri"/>
          <w:sz w:val="28"/>
          <w:szCs w:val="28"/>
          <w:lang w:eastAsia="en-US"/>
        </w:rPr>
        <w:t>е</w:t>
      </w:r>
      <w:r w:rsidR="00252A1F" w:rsidRPr="0052319E">
        <w:rPr>
          <w:rFonts w:eastAsia="Calibri"/>
          <w:sz w:val="28"/>
          <w:szCs w:val="28"/>
          <w:lang w:eastAsia="en-US"/>
        </w:rPr>
        <w:t xml:space="preserve"> д</w:t>
      </w:r>
      <w:r w:rsidR="00252A1F" w:rsidRPr="0052319E">
        <w:rPr>
          <w:color w:val="000000"/>
          <w:spacing w:val="-2"/>
          <w:sz w:val="28"/>
          <w:szCs w:val="28"/>
        </w:rPr>
        <w:t xml:space="preserve">оли лиц, живущих 5 </w:t>
      </w:r>
      <w:r w:rsidR="00A61EE1" w:rsidRPr="0052319E">
        <w:rPr>
          <w:color w:val="000000"/>
          <w:spacing w:val="-2"/>
          <w:sz w:val="28"/>
          <w:szCs w:val="28"/>
        </w:rPr>
        <w:t xml:space="preserve">лет </w:t>
      </w:r>
      <w:r w:rsidR="00252A1F" w:rsidRPr="0052319E">
        <w:rPr>
          <w:color w:val="000000"/>
          <w:spacing w:val="-2"/>
          <w:sz w:val="28"/>
          <w:szCs w:val="28"/>
        </w:rPr>
        <w:t xml:space="preserve">и более с момента установления диагноза </w:t>
      </w:r>
      <w:r w:rsidR="00A61EE1" w:rsidRPr="0052319E">
        <w:rPr>
          <w:color w:val="000000"/>
          <w:spacing w:val="-2"/>
          <w:sz w:val="28"/>
          <w:szCs w:val="28"/>
        </w:rPr>
        <w:t>ЗНО</w:t>
      </w:r>
      <w:r w:rsidR="00252A1F" w:rsidRPr="0052319E">
        <w:rPr>
          <w:color w:val="000000"/>
          <w:spacing w:val="-2"/>
          <w:sz w:val="28"/>
          <w:szCs w:val="28"/>
        </w:rPr>
        <w:t xml:space="preserve"> </w:t>
      </w:r>
      <w:r w:rsidR="00252A1F" w:rsidRPr="0052319E">
        <w:rPr>
          <w:rFonts w:eastAsia="Calibri"/>
          <w:sz w:val="28"/>
          <w:szCs w:val="28"/>
          <w:lang w:eastAsia="en-US"/>
        </w:rPr>
        <w:t>(с 62,6 процента в 2023 году до 71,8 процента в 2030 году), увеличени</w:t>
      </w:r>
      <w:r w:rsidR="00357B30" w:rsidRPr="0052319E">
        <w:rPr>
          <w:rFonts w:eastAsia="Calibri"/>
          <w:sz w:val="28"/>
          <w:szCs w:val="28"/>
          <w:lang w:eastAsia="en-US"/>
        </w:rPr>
        <w:t>е</w:t>
      </w:r>
      <w:r w:rsidR="00252A1F" w:rsidRPr="0052319E">
        <w:rPr>
          <w:rFonts w:eastAsia="Calibri"/>
          <w:sz w:val="28"/>
          <w:szCs w:val="28"/>
          <w:lang w:eastAsia="en-US"/>
        </w:rPr>
        <w:t xml:space="preserve"> доли </w:t>
      </w:r>
      <w:r w:rsidR="00252A1F" w:rsidRPr="0052319E">
        <w:rPr>
          <w:color w:val="000000"/>
          <w:spacing w:val="-2"/>
          <w:sz w:val="28"/>
          <w:szCs w:val="28"/>
        </w:rPr>
        <w:t>лиц, прошедших обследование в соответствии</w:t>
      </w:r>
      <w:r w:rsidR="00A61EE1" w:rsidRPr="0052319E">
        <w:rPr>
          <w:color w:val="000000"/>
          <w:spacing w:val="-2"/>
          <w:sz w:val="28"/>
          <w:szCs w:val="28"/>
        </w:rPr>
        <w:t xml:space="preserve"> </w:t>
      </w:r>
      <w:r w:rsidR="00252A1F" w:rsidRPr="0052319E">
        <w:rPr>
          <w:color w:val="000000"/>
          <w:spacing w:val="-2"/>
          <w:sz w:val="28"/>
          <w:szCs w:val="28"/>
        </w:rPr>
        <w:t xml:space="preserve">с индивидуальным планом ведения в рамках диспансерного наблюдения, из числа онкологических больных, завершивших лечение (до 90,0 процента в 2030 году), </w:t>
      </w:r>
      <w:r w:rsidR="00252A1F" w:rsidRPr="0052319E">
        <w:rPr>
          <w:rFonts w:eastAsia="Calibri"/>
          <w:sz w:val="28"/>
          <w:szCs w:val="28"/>
          <w:lang w:eastAsia="en-US"/>
        </w:rPr>
        <w:t>снижени</w:t>
      </w:r>
      <w:r w:rsidR="00357B30" w:rsidRPr="0052319E">
        <w:rPr>
          <w:rFonts w:eastAsia="Calibri"/>
          <w:sz w:val="28"/>
          <w:szCs w:val="28"/>
          <w:lang w:eastAsia="en-US"/>
        </w:rPr>
        <w:t>е</w:t>
      </w:r>
      <w:r w:rsidR="00252A1F" w:rsidRPr="0052319E">
        <w:rPr>
          <w:color w:val="000000"/>
          <w:spacing w:val="-2"/>
          <w:sz w:val="28"/>
          <w:szCs w:val="28"/>
        </w:rPr>
        <w:t xml:space="preserve"> одногодичной летальности больных с </w:t>
      </w:r>
      <w:r w:rsidR="00A61EE1" w:rsidRPr="0052319E">
        <w:rPr>
          <w:color w:val="000000"/>
          <w:spacing w:val="-2"/>
          <w:sz w:val="28"/>
          <w:szCs w:val="28"/>
        </w:rPr>
        <w:t>ЗНО (умерли в течение</w:t>
      </w:r>
      <w:r w:rsidR="00252A1F" w:rsidRPr="0052319E">
        <w:rPr>
          <w:color w:val="000000"/>
          <w:spacing w:val="-2"/>
          <w:sz w:val="28"/>
          <w:szCs w:val="28"/>
        </w:rPr>
        <w:t xml:space="preserve"> первого года</w:t>
      </w:r>
      <w:r w:rsidR="00A61EE1" w:rsidRPr="0052319E">
        <w:rPr>
          <w:color w:val="000000"/>
          <w:spacing w:val="-2"/>
          <w:sz w:val="28"/>
          <w:szCs w:val="28"/>
        </w:rPr>
        <w:t xml:space="preserve"> </w:t>
      </w:r>
      <w:r w:rsidR="00252A1F" w:rsidRPr="0052319E">
        <w:rPr>
          <w:color w:val="000000"/>
          <w:spacing w:val="-2"/>
          <w:sz w:val="28"/>
          <w:szCs w:val="28"/>
        </w:rPr>
        <w:t xml:space="preserve">с момента установления диагноза из числа больных, впервые взятых под диспансерное наблюдение в предыдущем году) </w:t>
      </w:r>
      <w:r w:rsidR="00A61EE1" w:rsidRPr="0052319E">
        <w:rPr>
          <w:color w:val="000000"/>
          <w:spacing w:val="-2"/>
          <w:sz w:val="28"/>
          <w:szCs w:val="28"/>
        </w:rPr>
        <w:br/>
      </w:r>
      <w:r w:rsidR="00252A1F" w:rsidRPr="0052319E">
        <w:rPr>
          <w:rFonts w:eastAsia="Calibri"/>
          <w:sz w:val="28"/>
          <w:szCs w:val="28"/>
          <w:lang w:eastAsia="en-US"/>
        </w:rPr>
        <w:t>(с 19,2 процента в 2023 году до 16,4 процента</w:t>
      </w:r>
      <w:r w:rsidR="00A61EE1" w:rsidRPr="0052319E">
        <w:rPr>
          <w:rFonts w:eastAsia="Calibri"/>
          <w:sz w:val="28"/>
          <w:szCs w:val="28"/>
          <w:lang w:eastAsia="en-US"/>
        </w:rPr>
        <w:t xml:space="preserve"> </w:t>
      </w:r>
      <w:r w:rsidR="00252A1F" w:rsidRPr="0052319E">
        <w:rPr>
          <w:rFonts w:eastAsia="Calibri"/>
          <w:sz w:val="28"/>
          <w:szCs w:val="28"/>
          <w:lang w:eastAsia="en-US"/>
        </w:rPr>
        <w:t xml:space="preserve">в 2030 году). </w:t>
      </w:r>
    </w:p>
    <w:p w:rsidR="00391FC0" w:rsidRPr="0052319E" w:rsidRDefault="00887958" w:rsidP="00C01EF3">
      <w:pPr>
        <w:autoSpaceDE/>
        <w:autoSpaceDN/>
        <w:adjustRightInd/>
        <w:spacing w:line="233" w:lineRule="auto"/>
        <w:ind w:firstLine="709"/>
        <w:jc w:val="both"/>
        <w:rPr>
          <w:rFonts w:eastAsia="Calibri"/>
          <w:sz w:val="28"/>
          <w:szCs w:val="28"/>
          <w:lang w:eastAsia="en-US"/>
        </w:rPr>
      </w:pPr>
      <w:r w:rsidRPr="0052319E">
        <w:rPr>
          <w:rFonts w:eastAsia="Calibri"/>
          <w:sz w:val="28"/>
          <w:szCs w:val="28"/>
          <w:lang w:eastAsia="en-US"/>
        </w:rPr>
        <w:t>2</w:t>
      </w:r>
      <w:r w:rsidR="00377D26" w:rsidRPr="0052319E">
        <w:rPr>
          <w:rFonts w:eastAsia="Calibri"/>
          <w:sz w:val="28"/>
          <w:szCs w:val="28"/>
          <w:lang w:eastAsia="en-US"/>
        </w:rPr>
        <w:t>.</w:t>
      </w:r>
      <w:r w:rsidR="00E75EE2" w:rsidRPr="0052319E">
        <w:rPr>
          <w:rFonts w:eastAsia="Calibri"/>
          <w:sz w:val="28"/>
          <w:szCs w:val="28"/>
          <w:lang w:eastAsia="en-US"/>
        </w:rPr>
        <w:t xml:space="preserve"> </w:t>
      </w:r>
      <w:r w:rsidR="00391FC0" w:rsidRPr="0052319E">
        <w:rPr>
          <w:rFonts w:eastAsia="Calibri"/>
          <w:sz w:val="28"/>
          <w:szCs w:val="28"/>
          <w:lang w:eastAsia="en-US"/>
        </w:rPr>
        <w:t xml:space="preserve">Показатели региональной программы представлены в таблице </w:t>
      </w:r>
      <w:r w:rsidR="00DC212A" w:rsidRPr="0052319E">
        <w:rPr>
          <w:rFonts w:eastAsia="Calibri"/>
          <w:sz w:val="28"/>
          <w:szCs w:val="28"/>
          <w:lang w:eastAsia="en-US"/>
        </w:rPr>
        <w:t>28</w:t>
      </w:r>
      <w:r w:rsidR="00377D26" w:rsidRPr="0052319E">
        <w:rPr>
          <w:rFonts w:eastAsia="Calibri"/>
          <w:sz w:val="28"/>
          <w:szCs w:val="28"/>
          <w:lang w:eastAsia="en-US"/>
        </w:rPr>
        <w:t>.</w:t>
      </w:r>
    </w:p>
    <w:p w:rsidR="00A61EE1" w:rsidRPr="0052319E" w:rsidRDefault="00A61EE1" w:rsidP="001F35C4">
      <w:pPr>
        <w:autoSpaceDE/>
        <w:autoSpaceDN/>
        <w:adjustRightInd/>
        <w:ind w:firstLine="709"/>
        <w:jc w:val="both"/>
        <w:rPr>
          <w:rFonts w:eastAsia="Calibri"/>
          <w:sz w:val="28"/>
          <w:szCs w:val="28"/>
          <w:lang w:eastAsia="en-US"/>
        </w:rPr>
      </w:pPr>
    </w:p>
    <w:p w:rsidR="00391FC0" w:rsidRPr="0052319E" w:rsidRDefault="00391FC0" w:rsidP="001F35C4">
      <w:pPr>
        <w:autoSpaceDE/>
        <w:autoSpaceDN/>
        <w:adjustRightInd/>
        <w:ind w:firstLine="697"/>
        <w:jc w:val="right"/>
        <w:rPr>
          <w:rFonts w:eastAsia="Arial"/>
          <w:sz w:val="28"/>
          <w:szCs w:val="28"/>
        </w:rPr>
      </w:pPr>
      <w:r w:rsidRPr="0052319E">
        <w:rPr>
          <w:rFonts w:eastAsia="Calibri"/>
          <w:sz w:val="28"/>
          <w:szCs w:val="28"/>
          <w:lang w:eastAsia="en-US"/>
        </w:rPr>
        <w:t>Т</w:t>
      </w:r>
      <w:r w:rsidRPr="0052319E">
        <w:rPr>
          <w:rFonts w:eastAsia="Arial"/>
          <w:sz w:val="28"/>
          <w:szCs w:val="28"/>
        </w:rPr>
        <w:t xml:space="preserve">аблица </w:t>
      </w:r>
      <w:r w:rsidR="00DC212A" w:rsidRPr="0052319E">
        <w:rPr>
          <w:rFonts w:eastAsia="Arial"/>
          <w:sz w:val="28"/>
          <w:szCs w:val="28"/>
        </w:rPr>
        <w:t>28</w:t>
      </w:r>
    </w:p>
    <w:p w:rsidR="00B34EDE" w:rsidRPr="0052319E" w:rsidRDefault="00391FC0" w:rsidP="00ED1E48">
      <w:pPr>
        <w:autoSpaceDE/>
        <w:autoSpaceDN/>
        <w:adjustRightInd/>
        <w:jc w:val="center"/>
        <w:rPr>
          <w:rFonts w:eastAsia="Calibri"/>
          <w:sz w:val="28"/>
          <w:szCs w:val="28"/>
          <w:lang w:eastAsia="en-US"/>
        </w:rPr>
      </w:pPr>
      <w:r w:rsidRPr="0052319E">
        <w:rPr>
          <w:rFonts w:eastAsia="Calibri"/>
          <w:sz w:val="28"/>
          <w:szCs w:val="28"/>
          <w:lang w:eastAsia="en-US"/>
        </w:rPr>
        <w:t>Показатели региональной программы</w:t>
      </w:r>
    </w:p>
    <w:p w:rsidR="00ED1E48" w:rsidRPr="0052319E" w:rsidRDefault="00ED1E48" w:rsidP="00ED1E48">
      <w:pPr>
        <w:autoSpaceDE/>
        <w:autoSpaceDN/>
        <w:adjustRightInd/>
        <w:jc w:val="center"/>
        <w:rPr>
          <w:rFonts w:eastAsia="Calibri"/>
          <w:sz w:val="28"/>
          <w:szCs w:val="28"/>
          <w:lang w:eastAsia="en-US"/>
        </w:rPr>
      </w:pPr>
    </w:p>
    <w:tbl>
      <w:tblPr>
        <w:tblStyle w:val="213"/>
        <w:tblW w:w="10201" w:type="dxa"/>
        <w:tblLayout w:type="fixed"/>
        <w:tblLook w:val="0600" w:firstRow="0" w:lastRow="0" w:firstColumn="0" w:lastColumn="0" w:noHBand="1" w:noVBand="1"/>
      </w:tblPr>
      <w:tblGrid>
        <w:gridCol w:w="548"/>
        <w:gridCol w:w="3699"/>
        <w:gridCol w:w="1277"/>
        <w:gridCol w:w="850"/>
        <w:gridCol w:w="851"/>
        <w:gridCol w:w="850"/>
        <w:gridCol w:w="709"/>
        <w:gridCol w:w="709"/>
        <w:gridCol w:w="708"/>
      </w:tblGrid>
      <w:tr w:rsidR="00BE2871" w:rsidRPr="0052319E" w:rsidTr="009A3727">
        <w:trPr>
          <w:trHeight w:val="20"/>
        </w:trPr>
        <w:tc>
          <w:tcPr>
            <w:tcW w:w="548" w:type="dxa"/>
            <w:vMerge w:val="restart"/>
            <w:tcBorders>
              <w:bottom w:val="nil"/>
            </w:tcBorders>
          </w:tcPr>
          <w:p w:rsidR="00BE2871" w:rsidRPr="0052319E" w:rsidRDefault="00BE2871" w:rsidP="00B04040">
            <w:pPr>
              <w:spacing w:line="233" w:lineRule="auto"/>
              <w:ind w:right="-25"/>
              <w:jc w:val="center"/>
              <w:rPr>
                <w:sz w:val="22"/>
                <w:szCs w:val="22"/>
              </w:rPr>
            </w:pPr>
            <w:r w:rsidRPr="0052319E">
              <w:rPr>
                <w:sz w:val="22"/>
                <w:szCs w:val="22"/>
              </w:rPr>
              <w:t>№ п/п</w:t>
            </w:r>
          </w:p>
        </w:tc>
        <w:tc>
          <w:tcPr>
            <w:tcW w:w="3699" w:type="dxa"/>
            <w:vMerge w:val="restart"/>
            <w:tcBorders>
              <w:bottom w:val="nil"/>
            </w:tcBorders>
          </w:tcPr>
          <w:p w:rsidR="00BE2871" w:rsidRPr="0052319E" w:rsidRDefault="00BE2871" w:rsidP="00B04040">
            <w:pPr>
              <w:spacing w:line="233" w:lineRule="auto"/>
              <w:ind w:right="39"/>
              <w:jc w:val="center"/>
              <w:rPr>
                <w:sz w:val="22"/>
                <w:szCs w:val="22"/>
              </w:rPr>
            </w:pPr>
            <w:r w:rsidRPr="0052319E">
              <w:rPr>
                <w:sz w:val="22"/>
                <w:szCs w:val="22"/>
              </w:rPr>
              <w:t>Наименование показателя</w:t>
            </w:r>
          </w:p>
        </w:tc>
        <w:tc>
          <w:tcPr>
            <w:tcW w:w="1277" w:type="dxa"/>
            <w:vMerge w:val="restart"/>
            <w:tcBorders>
              <w:bottom w:val="nil"/>
            </w:tcBorders>
          </w:tcPr>
          <w:p w:rsidR="00BE2871" w:rsidRPr="0052319E" w:rsidRDefault="00BE2871" w:rsidP="00B04040">
            <w:pPr>
              <w:spacing w:line="233" w:lineRule="auto"/>
              <w:ind w:left="-57" w:right="-57"/>
              <w:jc w:val="center"/>
              <w:rPr>
                <w:sz w:val="22"/>
                <w:szCs w:val="22"/>
              </w:rPr>
            </w:pPr>
            <w:r w:rsidRPr="0052319E">
              <w:rPr>
                <w:sz w:val="22"/>
                <w:szCs w:val="22"/>
              </w:rPr>
              <w:t>Базовые</w:t>
            </w:r>
          </w:p>
          <w:p w:rsidR="00BE2871" w:rsidRPr="0052319E" w:rsidRDefault="00BE2871" w:rsidP="00B04040">
            <w:pPr>
              <w:spacing w:line="233" w:lineRule="auto"/>
              <w:ind w:left="-57" w:right="-57"/>
              <w:jc w:val="center"/>
              <w:rPr>
                <w:sz w:val="22"/>
                <w:szCs w:val="22"/>
              </w:rPr>
            </w:pPr>
            <w:r w:rsidRPr="0052319E">
              <w:rPr>
                <w:sz w:val="22"/>
                <w:szCs w:val="22"/>
              </w:rPr>
              <w:t>значения</w:t>
            </w:r>
          </w:p>
          <w:p w:rsidR="00BE2871" w:rsidRPr="0052319E" w:rsidRDefault="00BE2871" w:rsidP="00B04040">
            <w:pPr>
              <w:spacing w:line="233" w:lineRule="auto"/>
              <w:ind w:left="-57" w:right="-57"/>
              <w:jc w:val="center"/>
              <w:rPr>
                <w:sz w:val="22"/>
                <w:szCs w:val="22"/>
              </w:rPr>
            </w:pPr>
            <w:r w:rsidRPr="0052319E">
              <w:rPr>
                <w:sz w:val="22"/>
                <w:szCs w:val="22"/>
              </w:rPr>
              <w:t xml:space="preserve">(на </w:t>
            </w:r>
            <w:r w:rsidR="00887958" w:rsidRPr="0052319E">
              <w:rPr>
                <w:sz w:val="22"/>
                <w:szCs w:val="22"/>
              </w:rPr>
              <w:t>31</w:t>
            </w:r>
            <w:r w:rsidR="00377D26" w:rsidRPr="0052319E">
              <w:rPr>
                <w:sz w:val="22"/>
                <w:szCs w:val="22"/>
              </w:rPr>
              <w:t>.</w:t>
            </w:r>
            <w:r w:rsidR="00887958" w:rsidRPr="0052319E">
              <w:rPr>
                <w:sz w:val="22"/>
                <w:szCs w:val="22"/>
              </w:rPr>
              <w:t>12</w:t>
            </w:r>
            <w:r w:rsidR="00377D26" w:rsidRPr="0052319E">
              <w:rPr>
                <w:sz w:val="22"/>
                <w:szCs w:val="22"/>
              </w:rPr>
              <w:t>.</w:t>
            </w:r>
            <w:r w:rsidRPr="0052319E">
              <w:rPr>
                <w:sz w:val="22"/>
                <w:szCs w:val="22"/>
              </w:rPr>
              <w:t>2023)</w:t>
            </w:r>
          </w:p>
        </w:tc>
        <w:tc>
          <w:tcPr>
            <w:tcW w:w="4677" w:type="dxa"/>
            <w:gridSpan w:val="6"/>
            <w:tcBorders>
              <w:bottom w:val="single" w:sz="4" w:space="0" w:color="000000"/>
              <w:right w:val="single" w:sz="4" w:space="0" w:color="auto"/>
            </w:tcBorders>
          </w:tcPr>
          <w:p w:rsidR="00BE2871" w:rsidRPr="0052319E" w:rsidRDefault="00BE2871" w:rsidP="00B04040">
            <w:pPr>
              <w:spacing w:line="233" w:lineRule="auto"/>
              <w:ind w:left="-460"/>
              <w:jc w:val="center"/>
              <w:rPr>
                <w:sz w:val="22"/>
                <w:szCs w:val="22"/>
              </w:rPr>
            </w:pPr>
            <w:r w:rsidRPr="0052319E">
              <w:rPr>
                <w:sz w:val="22"/>
                <w:szCs w:val="22"/>
              </w:rPr>
              <w:t>Период, год</w:t>
            </w:r>
          </w:p>
        </w:tc>
      </w:tr>
      <w:tr w:rsidR="00BE2871" w:rsidRPr="0052319E" w:rsidTr="009A3727">
        <w:trPr>
          <w:trHeight w:val="20"/>
        </w:trPr>
        <w:tc>
          <w:tcPr>
            <w:tcW w:w="548" w:type="dxa"/>
            <w:vMerge/>
          </w:tcPr>
          <w:p w:rsidR="00BE2871" w:rsidRPr="0052319E" w:rsidRDefault="00BE2871" w:rsidP="00B04040">
            <w:pPr>
              <w:spacing w:line="233" w:lineRule="auto"/>
              <w:ind w:left="-460"/>
              <w:rPr>
                <w:sz w:val="22"/>
                <w:szCs w:val="22"/>
              </w:rPr>
            </w:pPr>
          </w:p>
        </w:tc>
        <w:tc>
          <w:tcPr>
            <w:tcW w:w="3699" w:type="dxa"/>
            <w:vMerge/>
          </w:tcPr>
          <w:p w:rsidR="00BE2871" w:rsidRPr="0052319E" w:rsidRDefault="00BE2871" w:rsidP="00B04040">
            <w:pPr>
              <w:spacing w:line="233" w:lineRule="auto"/>
              <w:ind w:left="-460"/>
              <w:rPr>
                <w:sz w:val="22"/>
                <w:szCs w:val="22"/>
              </w:rPr>
            </w:pPr>
          </w:p>
        </w:tc>
        <w:tc>
          <w:tcPr>
            <w:tcW w:w="1277" w:type="dxa"/>
            <w:vMerge/>
          </w:tcPr>
          <w:p w:rsidR="00BE2871" w:rsidRPr="0052319E" w:rsidRDefault="00BE2871" w:rsidP="00B04040">
            <w:pPr>
              <w:spacing w:line="233" w:lineRule="auto"/>
              <w:rPr>
                <w:sz w:val="22"/>
                <w:szCs w:val="22"/>
              </w:rPr>
            </w:pPr>
          </w:p>
        </w:tc>
        <w:tc>
          <w:tcPr>
            <w:tcW w:w="850" w:type="dxa"/>
          </w:tcPr>
          <w:p w:rsidR="00BE2871" w:rsidRPr="0052319E" w:rsidRDefault="00BE2871" w:rsidP="00B04040">
            <w:pPr>
              <w:spacing w:line="233" w:lineRule="auto"/>
              <w:ind w:left="-465" w:right="-243" w:firstLine="210"/>
              <w:jc w:val="center"/>
              <w:rPr>
                <w:sz w:val="22"/>
                <w:szCs w:val="22"/>
              </w:rPr>
            </w:pPr>
            <w:r w:rsidRPr="0052319E">
              <w:rPr>
                <w:sz w:val="22"/>
                <w:szCs w:val="22"/>
              </w:rPr>
              <w:t>2025</w:t>
            </w:r>
          </w:p>
        </w:tc>
        <w:tc>
          <w:tcPr>
            <w:tcW w:w="851" w:type="dxa"/>
          </w:tcPr>
          <w:p w:rsidR="00BE2871" w:rsidRPr="0052319E" w:rsidRDefault="00BE2871" w:rsidP="00B04040">
            <w:pPr>
              <w:spacing w:line="233" w:lineRule="auto"/>
              <w:ind w:left="-465" w:right="-243" w:firstLine="210"/>
              <w:jc w:val="center"/>
              <w:rPr>
                <w:sz w:val="22"/>
                <w:szCs w:val="22"/>
              </w:rPr>
            </w:pPr>
            <w:r w:rsidRPr="0052319E">
              <w:rPr>
                <w:sz w:val="22"/>
                <w:szCs w:val="22"/>
              </w:rPr>
              <w:t>2026</w:t>
            </w:r>
          </w:p>
        </w:tc>
        <w:tc>
          <w:tcPr>
            <w:tcW w:w="850" w:type="dxa"/>
          </w:tcPr>
          <w:p w:rsidR="00BE2871" w:rsidRPr="0052319E" w:rsidRDefault="00BE2871" w:rsidP="00B04040">
            <w:pPr>
              <w:spacing w:line="233" w:lineRule="auto"/>
              <w:ind w:left="-465" w:right="-243" w:firstLine="210"/>
              <w:jc w:val="center"/>
              <w:rPr>
                <w:sz w:val="22"/>
                <w:szCs w:val="22"/>
              </w:rPr>
            </w:pPr>
            <w:r w:rsidRPr="0052319E">
              <w:rPr>
                <w:sz w:val="22"/>
                <w:szCs w:val="22"/>
              </w:rPr>
              <w:t>2027</w:t>
            </w:r>
          </w:p>
        </w:tc>
        <w:tc>
          <w:tcPr>
            <w:tcW w:w="709" w:type="dxa"/>
          </w:tcPr>
          <w:p w:rsidR="00BE2871" w:rsidRPr="0052319E" w:rsidRDefault="00BE2871" w:rsidP="00B04040">
            <w:pPr>
              <w:spacing w:line="233" w:lineRule="auto"/>
              <w:ind w:left="-465" w:right="-243" w:firstLine="210"/>
              <w:jc w:val="center"/>
              <w:rPr>
                <w:sz w:val="22"/>
                <w:szCs w:val="22"/>
              </w:rPr>
            </w:pPr>
            <w:r w:rsidRPr="0052319E">
              <w:rPr>
                <w:sz w:val="22"/>
                <w:szCs w:val="22"/>
              </w:rPr>
              <w:t>2028</w:t>
            </w:r>
          </w:p>
        </w:tc>
        <w:tc>
          <w:tcPr>
            <w:tcW w:w="709" w:type="dxa"/>
          </w:tcPr>
          <w:p w:rsidR="00BE2871" w:rsidRPr="0052319E" w:rsidRDefault="00BE2871" w:rsidP="00B04040">
            <w:pPr>
              <w:spacing w:line="233" w:lineRule="auto"/>
              <w:ind w:left="-465" w:right="-243" w:firstLine="210"/>
              <w:jc w:val="center"/>
              <w:rPr>
                <w:sz w:val="22"/>
                <w:szCs w:val="22"/>
              </w:rPr>
            </w:pPr>
            <w:r w:rsidRPr="0052319E">
              <w:rPr>
                <w:sz w:val="22"/>
                <w:szCs w:val="22"/>
              </w:rPr>
              <w:t>2029</w:t>
            </w:r>
          </w:p>
        </w:tc>
        <w:tc>
          <w:tcPr>
            <w:tcW w:w="708" w:type="dxa"/>
            <w:tcBorders>
              <w:right w:val="single" w:sz="4" w:space="0" w:color="auto"/>
            </w:tcBorders>
          </w:tcPr>
          <w:p w:rsidR="00BE2871" w:rsidRPr="0052319E" w:rsidRDefault="00BE2871" w:rsidP="00B04040">
            <w:pPr>
              <w:spacing w:line="233" w:lineRule="auto"/>
              <w:ind w:left="-465" w:right="-243" w:firstLine="210"/>
              <w:jc w:val="center"/>
              <w:rPr>
                <w:sz w:val="22"/>
                <w:szCs w:val="22"/>
              </w:rPr>
            </w:pPr>
            <w:r w:rsidRPr="0052319E">
              <w:rPr>
                <w:sz w:val="22"/>
                <w:szCs w:val="22"/>
              </w:rPr>
              <w:t>2030</w:t>
            </w:r>
          </w:p>
        </w:tc>
      </w:tr>
      <w:tr w:rsidR="00C01EF3" w:rsidRPr="0052319E" w:rsidTr="009A3727">
        <w:trPr>
          <w:trHeight w:val="20"/>
        </w:trPr>
        <w:tc>
          <w:tcPr>
            <w:tcW w:w="548" w:type="dxa"/>
          </w:tcPr>
          <w:p w:rsidR="00C01EF3" w:rsidRPr="0052319E" w:rsidRDefault="00C01EF3" w:rsidP="00C01EF3">
            <w:pPr>
              <w:spacing w:line="233" w:lineRule="auto"/>
              <w:jc w:val="center"/>
              <w:rPr>
                <w:sz w:val="22"/>
                <w:szCs w:val="22"/>
              </w:rPr>
            </w:pPr>
            <w:r w:rsidRPr="0052319E">
              <w:rPr>
                <w:sz w:val="22"/>
                <w:szCs w:val="22"/>
              </w:rPr>
              <w:t>1.</w:t>
            </w:r>
          </w:p>
        </w:tc>
        <w:tc>
          <w:tcPr>
            <w:tcW w:w="3699" w:type="dxa"/>
          </w:tcPr>
          <w:p w:rsidR="00C01EF3" w:rsidRPr="0052319E" w:rsidRDefault="00C01EF3" w:rsidP="00C01EF3">
            <w:pPr>
              <w:spacing w:line="233" w:lineRule="auto"/>
              <w:jc w:val="both"/>
              <w:rPr>
                <w:sz w:val="22"/>
                <w:szCs w:val="22"/>
              </w:rPr>
            </w:pPr>
            <w:r w:rsidRPr="0052319E">
              <w:rPr>
                <w:color w:val="000000"/>
                <w:spacing w:val="-2"/>
                <w:sz w:val="22"/>
                <w:szCs w:val="22"/>
              </w:rPr>
              <w:t>Доля ЗНО, выявленных на I стадии, от общего числа случаев ЗНО визуальных локализаций, процентов</w:t>
            </w:r>
          </w:p>
        </w:tc>
        <w:tc>
          <w:tcPr>
            <w:tcW w:w="1277" w:type="dxa"/>
          </w:tcPr>
          <w:p w:rsidR="00C01EF3" w:rsidRPr="0052319E" w:rsidRDefault="00C01EF3" w:rsidP="00C01EF3">
            <w:pPr>
              <w:spacing w:line="233" w:lineRule="auto"/>
              <w:jc w:val="center"/>
              <w:rPr>
                <w:sz w:val="22"/>
                <w:szCs w:val="22"/>
              </w:rPr>
            </w:pPr>
            <w:r w:rsidRPr="0052319E">
              <w:rPr>
                <w:sz w:val="22"/>
                <w:szCs w:val="22"/>
              </w:rPr>
              <w:t>54,4</w:t>
            </w:r>
          </w:p>
        </w:tc>
        <w:tc>
          <w:tcPr>
            <w:tcW w:w="850" w:type="dxa"/>
          </w:tcPr>
          <w:p w:rsidR="00C01EF3" w:rsidRPr="0052319E" w:rsidRDefault="00C01EF3" w:rsidP="00C01EF3">
            <w:pPr>
              <w:spacing w:line="233" w:lineRule="auto"/>
              <w:jc w:val="center"/>
              <w:rPr>
                <w:sz w:val="22"/>
                <w:szCs w:val="22"/>
              </w:rPr>
            </w:pPr>
            <w:r w:rsidRPr="0052319E">
              <w:rPr>
                <w:sz w:val="22"/>
                <w:szCs w:val="22"/>
              </w:rPr>
              <w:t>55,9</w:t>
            </w:r>
          </w:p>
        </w:tc>
        <w:tc>
          <w:tcPr>
            <w:tcW w:w="851" w:type="dxa"/>
          </w:tcPr>
          <w:p w:rsidR="00C01EF3" w:rsidRPr="0052319E" w:rsidRDefault="00C01EF3" w:rsidP="00C01EF3">
            <w:pPr>
              <w:spacing w:line="233" w:lineRule="auto"/>
              <w:jc w:val="center"/>
              <w:rPr>
                <w:sz w:val="22"/>
                <w:szCs w:val="22"/>
              </w:rPr>
            </w:pPr>
            <w:r w:rsidRPr="0052319E">
              <w:rPr>
                <w:sz w:val="22"/>
                <w:szCs w:val="22"/>
              </w:rPr>
              <w:t>56,6</w:t>
            </w:r>
          </w:p>
        </w:tc>
        <w:tc>
          <w:tcPr>
            <w:tcW w:w="850" w:type="dxa"/>
          </w:tcPr>
          <w:p w:rsidR="00C01EF3" w:rsidRPr="0052319E" w:rsidRDefault="00C01EF3" w:rsidP="00C01EF3">
            <w:pPr>
              <w:spacing w:line="233" w:lineRule="auto"/>
              <w:jc w:val="center"/>
              <w:rPr>
                <w:sz w:val="22"/>
                <w:szCs w:val="22"/>
              </w:rPr>
            </w:pPr>
            <w:r w:rsidRPr="0052319E">
              <w:rPr>
                <w:sz w:val="22"/>
                <w:szCs w:val="22"/>
              </w:rPr>
              <w:t>57,1</w:t>
            </w:r>
          </w:p>
        </w:tc>
        <w:tc>
          <w:tcPr>
            <w:tcW w:w="709" w:type="dxa"/>
          </w:tcPr>
          <w:p w:rsidR="00C01EF3" w:rsidRPr="0052319E" w:rsidRDefault="00C01EF3" w:rsidP="00C01EF3">
            <w:pPr>
              <w:spacing w:line="233" w:lineRule="auto"/>
              <w:jc w:val="center"/>
              <w:rPr>
                <w:sz w:val="22"/>
                <w:szCs w:val="22"/>
              </w:rPr>
            </w:pPr>
            <w:r w:rsidRPr="0052319E">
              <w:rPr>
                <w:sz w:val="22"/>
                <w:szCs w:val="22"/>
              </w:rPr>
              <w:t>57,6</w:t>
            </w:r>
          </w:p>
        </w:tc>
        <w:tc>
          <w:tcPr>
            <w:tcW w:w="709" w:type="dxa"/>
          </w:tcPr>
          <w:p w:rsidR="00C01EF3" w:rsidRPr="0052319E" w:rsidRDefault="00C01EF3" w:rsidP="00C01EF3">
            <w:pPr>
              <w:spacing w:line="233" w:lineRule="auto"/>
              <w:jc w:val="center"/>
              <w:rPr>
                <w:sz w:val="22"/>
                <w:szCs w:val="22"/>
              </w:rPr>
            </w:pPr>
            <w:r w:rsidRPr="0052319E">
              <w:rPr>
                <w:sz w:val="22"/>
                <w:szCs w:val="22"/>
              </w:rPr>
              <w:t>58,0</w:t>
            </w:r>
          </w:p>
        </w:tc>
        <w:tc>
          <w:tcPr>
            <w:tcW w:w="708" w:type="dxa"/>
          </w:tcPr>
          <w:p w:rsidR="00C01EF3" w:rsidRPr="0052319E" w:rsidRDefault="00C01EF3" w:rsidP="00C01EF3">
            <w:pPr>
              <w:spacing w:line="233" w:lineRule="auto"/>
              <w:jc w:val="center"/>
              <w:rPr>
                <w:sz w:val="22"/>
                <w:szCs w:val="22"/>
              </w:rPr>
            </w:pPr>
            <w:r w:rsidRPr="0052319E">
              <w:rPr>
                <w:sz w:val="22"/>
                <w:szCs w:val="22"/>
              </w:rPr>
              <w:t>58,7</w:t>
            </w:r>
          </w:p>
        </w:tc>
      </w:tr>
      <w:tr w:rsidR="00C01EF3" w:rsidRPr="0052319E" w:rsidTr="009A3727">
        <w:trPr>
          <w:trHeight w:val="20"/>
        </w:trPr>
        <w:tc>
          <w:tcPr>
            <w:tcW w:w="548" w:type="dxa"/>
          </w:tcPr>
          <w:p w:rsidR="00C01EF3" w:rsidRPr="0052319E" w:rsidRDefault="00C01EF3" w:rsidP="00C01EF3">
            <w:pPr>
              <w:spacing w:line="233" w:lineRule="auto"/>
              <w:jc w:val="center"/>
              <w:rPr>
                <w:sz w:val="22"/>
                <w:szCs w:val="22"/>
              </w:rPr>
            </w:pPr>
            <w:r w:rsidRPr="0052319E">
              <w:rPr>
                <w:sz w:val="22"/>
                <w:szCs w:val="22"/>
              </w:rPr>
              <w:t>2.</w:t>
            </w:r>
          </w:p>
        </w:tc>
        <w:tc>
          <w:tcPr>
            <w:tcW w:w="3699" w:type="dxa"/>
          </w:tcPr>
          <w:p w:rsidR="00C01EF3" w:rsidRPr="0052319E" w:rsidRDefault="00C01EF3" w:rsidP="00C01EF3">
            <w:pPr>
              <w:spacing w:line="233" w:lineRule="auto"/>
              <w:jc w:val="both"/>
              <w:rPr>
                <w:sz w:val="22"/>
                <w:szCs w:val="22"/>
              </w:rPr>
            </w:pPr>
            <w:r w:rsidRPr="0052319E">
              <w:rPr>
                <w:color w:val="000000"/>
                <w:spacing w:val="-2"/>
                <w:sz w:val="22"/>
                <w:szCs w:val="22"/>
              </w:rPr>
              <w:t xml:space="preserve">Доля лиц, живущих 5 лет и более </w:t>
            </w:r>
            <w:r w:rsidRPr="0052319E">
              <w:rPr>
                <w:color w:val="000000"/>
                <w:spacing w:val="-2"/>
                <w:sz w:val="22"/>
                <w:szCs w:val="22"/>
              </w:rPr>
              <w:br/>
              <w:t>с момента установления диагноза ЗНО, процентов</w:t>
            </w:r>
          </w:p>
        </w:tc>
        <w:tc>
          <w:tcPr>
            <w:tcW w:w="1277" w:type="dxa"/>
          </w:tcPr>
          <w:p w:rsidR="00C01EF3" w:rsidRPr="0052319E" w:rsidRDefault="00C01EF3" w:rsidP="00C01EF3">
            <w:pPr>
              <w:spacing w:line="233" w:lineRule="auto"/>
              <w:jc w:val="center"/>
              <w:rPr>
                <w:sz w:val="22"/>
                <w:szCs w:val="22"/>
              </w:rPr>
            </w:pPr>
            <w:r w:rsidRPr="0052319E">
              <w:rPr>
                <w:sz w:val="22"/>
                <w:szCs w:val="22"/>
              </w:rPr>
              <w:t>62,6</w:t>
            </w:r>
          </w:p>
        </w:tc>
        <w:tc>
          <w:tcPr>
            <w:tcW w:w="850" w:type="dxa"/>
          </w:tcPr>
          <w:p w:rsidR="00C01EF3" w:rsidRPr="0052319E" w:rsidRDefault="00C01EF3" w:rsidP="00C01EF3">
            <w:pPr>
              <w:spacing w:line="233" w:lineRule="auto"/>
              <w:ind w:left="-57" w:right="-57"/>
              <w:jc w:val="center"/>
              <w:rPr>
                <w:sz w:val="22"/>
                <w:szCs w:val="22"/>
              </w:rPr>
            </w:pPr>
            <w:r w:rsidRPr="0052319E">
              <w:rPr>
                <w:sz w:val="22"/>
                <w:szCs w:val="22"/>
              </w:rPr>
              <w:t>64,1</w:t>
            </w:r>
          </w:p>
        </w:tc>
        <w:tc>
          <w:tcPr>
            <w:tcW w:w="851" w:type="dxa"/>
          </w:tcPr>
          <w:p w:rsidR="00C01EF3" w:rsidRPr="0052319E" w:rsidRDefault="00C01EF3" w:rsidP="00C01EF3">
            <w:pPr>
              <w:spacing w:line="233" w:lineRule="auto"/>
              <w:ind w:left="-57" w:right="-57"/>
              <w:jc w:val="center"/>
              <w:rPr>
                <w:sz w:val="22"/>
                <w:szCs w:val="22"/>
              </w:rPr>
            </w:pPr>
            <w:r w:rsidRPr="0052319E">
              <w:rPr>
                <w:sz w:val="22"/>
                <w:szCs w:val="22"/>
              </w:rPr>
              <w:t>65,7</w:t>
            </w:r>
          </w:p>
        </w:tc>
        <w:tc>
          <w:tcPr>
            <w:tcW w:w="850" w:type="dxa"/>
          </w:tcPr>
          <w:p w:rsidR="00C01EF3" w:rsidRPr="0052319E" w:rsidRDefault="00C01EF3" w:rsidP="00C01EF3">
            <w:pPr>
              <w:spacing w:line="233" w:lineRule="auto"/>
              <w:ind w:left="-57" w:right="-57"/>
              <w:jc w:val="center"/>
              <w:rPr>
                <w:sz w:val="22"/>
                <w:szCs w:val="22"/>
              </w:rPr>
            </w:pPr>
            <w:r w:rsidRPr="0052319E">
              <w:rPr>
                <w:sz w:val="22"/>
                <w:szCs w:val="22"/>
              </w:rPr>
              <w:t>67,2</w:t>
            </w:r>
          </w:p>
        </w:tc>
        <w:tc>
          <w:tcPr>
            <w:tcW w:w="709" w:type="dxa"/>
          </w:tcPr>
          <w:p w:rsidR="00C01EF3" w:rsidRPr="0052319E" w:rsidRDefault="00C01EF3" w:rsidP="00C01EF3">
            <w:pPr>
              <w:spacing w:line="233" w:lineRule="auto"/>
              <w:ind w:left="-57" w:right="-57"/>
              <w:jc w:val="center"/>
              <w:rPr>
                <w:sz w:val="22"/>
                <w:szCs w:val="22"/>
              </w:rPr>
            </w:pPr>
            <w:r w:rsidRPr="0052319E">
              <w:rPr>
                <w:sz w:val="22"/>
                <w:szCs w:val="22"/>
              </w:rPr>
              <w:t>68,8</w:t>
            </w:r>
          </w:p>
        </w:tc>
        <w:tc>
          <w:tcPr>
            <w:tcW w:w="709" w:type="dxa"/>
          </w:tcPr>
          <w:p w:rsidR="00C01EF3" w:rsidRPr="0052319E" w:rsidRDefault="00C01EF3" w:rsidP="00C01EF3">
            <w:pPr>
              <w:spacing w:line="233" w:lineRule="auto"/>
              <w:ind w:left="-57" w:right="-57"/>
              <w:jc w:val="center"/>
              <w:rPr>
                <w:sz w:val="22"/>
                <w:szCs w:val="22"/>
              </w:rPr>
            </w:pPr>
            <w:r w:rsidRPr="0052319E">
              <w:rPr>
                <w:sz w:val="22"/>
                <w:szCs w:val="22"/>
              </w:rPr>
              <w:t>70,3</w:t>
            </w:r>
          </w:p>
        </w:tc>
        <w:tc>
          <w:tcPr>
            <w:tcW w:w="708" w:type="dxa"/>
          </w:tcPr>
          <w:p w:rsidR="00C01EF3" w:rsidRPr="0052319E" w:rsidRDefault="00C01EF3" w:rsidP="00C01EF3">
            <w:pPr>
              <w:spacing w:line="233" w:lineRule="auto"/>
              <w:ind w:left="-57" w:right="-57"/>
              <w:jc w:val="center"/>
              <w:rPr>
                <w:sz w:val="22"/>
                <w:szCs w:val="22"/>
              </w:rPr>
            </w:pPr>
            <w:r w:rsidRPr="0052319E">
              <w:rPr>
                <w:sz w:val="22"/>
                <w:szCs w:val="22"/>
              </w:rPr>
              <w:t>71,8</w:t>
            </w:r>
          </w:p>
        </w:tc>
      </w:tr>
      <w:tr w:rsidR="00C01EF3" w:rsidRPr="0052319E" w:rsidTr="009A3727">
        <w:trPr>
          <w:trHeight w:val="20"/>
        </w:trPr>
        <w:tc>
          <w:tcPr>
            <w:tcW w:w="548" w:type="dxa"/>
          </w:tcPr>
          <w:p w:rsidR="00C01EF3" w:rsidRPr="0052319E" w:rsidRDefault="00C01EF3" w:rsidP="00C01EF3">
            <w:pPr>
              <w:spacing w:line="233" w:lineRule="auto"/>
              <w:jc w:val="center"/>
              <w:rPr>
                <w:sz w:val="22"/>
                <w:szCs w:val="22"/>
              </w:rPr>
            </w:pPr>
            <w:r w:rsidRPr="0052319E">
              <w:rPr>
                <w:sz w:val="22"/>
                <w:szCs w:val="22"/>
              </w:rPr>
              <w:t>3.</w:t>
            </w:r>
          </w:p>
        </w:tc>
        <w:tc>
          <w:tcPr>
            <w:tcW w:w="3699" w:type="dxa"/>
          </w:tcPr>
          <w:p w:rsidR="00C01EF3" w:rsidRPr="0052319E" w:rsidRDefault="00C01EF3" w:rsidP="00C01EF3">
            <w:pPr>
              <w:spacing w:line="233" w:lineRule="auto"/>
              <w:jc w:val="both"/>
              <w:rPr>
                <w:sz w:val="22"/>
                <w:szCs w:val="22"/>
              </w:rPr>
            </w:pPr>
            <w:r w:rsidRPr="0052319E">
              <w:rPr>
                <w:color w:val="000000"/>
                <w:spacing w:val="-2"/>
                <w:sz w:val="22"/>
                <w:szCs w:val="22"/>
              </w:rPr>
              <w:t>Доля лиц, прошедших обследование в соответствии с индивидуальным планом ведения в рамках диспансерного наблюдения, из числа онкологических больных, завершивших лечение, процентов</w:t>
            </w:r>
          </w:p>
        </w:tc>
        <w:tc>
          <w:tcPr>
            <w:tcW w:w="1277" w:type="dxa"/>
          </w:tcPr>
          <w:p w:rsidR="00C01EF3" w:rsidRPr="0052319E" w:rsidRDefault="00C01EF3" w:rsidP="00C01EF3">
            <w:pPr>
              <w:spacing w:line="233" w:lineRule="auto"/>
              <w:jc w:val="center"/>
              <w:rPr>
                <w:sz w:val="22"/>
                <w:szCs w:val="22"/>
              </w:rPr>
            </w:pPr>
            <w:r w:rsidRPr="0052319E">
              <w:rPr>
                <w:sz w:val="22"/>
                <w:szCs w:val="22"/>
              </w:rPr>
              <w:t>-</w:t>
            </w:r>
          </w:p>
        </w:tc>
        <w:tc>
          <w:tcPr>
            <w:tcW w:w="850" w:type="dxa"/>
          </w:tcPr>
          <w:p w:rsidR="00C01EF3" w:rsidRPr="0052319E" w:rsidRDefault="00C01EF3" w:rsidP="00C01EF3">
            <w:pPr>
              <w:spacing w:line="233" w:lineRule="auto"/>
              <w:jc w:val="center"/>
              <w:rPr>
                <w:sz w:val="22"/>
                <w:szCs w:val="22"/>
              </w:rPr>
            </w:pPr>
            <w:r w:rsidRPr="0052319E">
              <w:rPr>
                <w:sz w:val="22"/>
                <w:szCs w:val="22"/>
              </w:rPr>
              <w:t>70,0</w:t>
            </w:r>
          </w:p>
        </w:tc>
        <w:tc>
          <w:tcPr>
            <w:tcW w:w="851" w:type="dxa"/>
          </w:tcPr>
          <w:p w:rsidR="00C01EF3" w:rsidRPr="0052319E" w:rsidRDefault="00C01EF3" w:rsidP="00C01EF3">
            <w:pPr>
              <w:spacing w:line="233" w:lineRule="auto"/>
              <w:jc w:val="center"/>
              <w:rPr>
                <w:sz w:val="22"/>
                <w:szCs w:val="22"/>
              </w:rPr>
            </w:pPr>
            <w:r w:rsidRPr="0052319E">
              <w:rPr>
                <w:sz w:val="22"/>
                <w:szCs w:val="22"/>
              </w:rPr>
              <w:t>73,0</w:t>
            </w:r>
          </w:p>
        </w:tc>
        <w:tc>
          <w:tcPr>
            <w:tcW w:w="850" w:type="dxa"/>
          </w:tcPr>
          <w:p w:rsidR="00C01EF3" w:rsidRPr="0052319E" w:rsidRDefault="00C01EF3" w:rsidP="00C01EF3">
            <w:pPr>
              <w:spacing w:line="233" w:lineRule="auto"/>
              <w:jc w:val="center"/>
              <w:rPr>
                <w:sz w:val="22"/>
                <w:szCs w:val="22"/>
              </w:rPr>
            </w:pPr>
            <w:r w:rsidRPr="0052319E">
              <w:rPr>
                <w:sz w:val="22"/>
                <w:szCs w:val="22"/>
              </w:rPr>
              <w:t>78,0</w:t>
            </w:r>
          </w:p>
        </w:tc>
        <w:tc>
          <w:tcPr>
            <w:tcW w:w="709" w:type="dxa"/>
          </w:tcPr>
          <w:p w:rsidR="00C01EF3" w:rsidRPr="0052319E" w:rsidRDefault="00C01EF3" w:rsidP="00C01EF3">
            <w:pPr>
              <w:spacing w:line="233" w:lineRule="auto"/>
              <w:jc w:val="center"/>
              <w:rPr>
                <w:sz w:val="22"/>
                <w:szCs w:val="22"/>
              </w:rPr>
            </w:pPr>
            <w:r w:rsidRPr="0052319E">
              <w:rPr>
                <w:sz w:val="22"/>
                <w:szCs w:val="22"/>
              </w:rPr>
              <w:t>82,0</w:t>
            </w:r>
          </w:p>
        </w:tc>
        <w:tc>
          <w:tcPr>
            <w:tcW w:w="709" w:type="dxa"/>
          </w:tcPr>
          <w:p w:rsidR="00C01EF3" w:rsidRPr="0052319E" w:rsidRDefault="00C01EF3" w:rsidP="00C01EF3">
            <w:pPr>
              <w:spacing w:line="233" w:lineRule="auto"/>
              <w:jc w:val="center"/>
              <w:rPr>
                <w:sz w:val="22"/>
                <w:szCs w:val="22"/>
              </w:rPr>
            </w:pPr>
            <w:r w:rsidRPr="0052319E">
              <w:rPr>
                <w:sz w:val="22"/>
                <w:szCs w:val="22"/>
              </w:rPr>
              <w:t>86,0</w:t>
            </w:r>
          </w:p>
        </w:tc>
        <w:tc>
          <w:tcPr>
            <w:tcW w:w="708" w:type="dxa"/>
          </w:tcPr>
          <w:p w:rsidR="00C01EF3" w:rsidRPr="0052319E" w:rsidRDefault="00C01EF3" w:rsidP="00C01EF3">
            <w:pPr>
              <w:spacing w:line="233" w:lineRule="auto"/>
              <w:jc w:val="center"/>
              <w:rPr>
                <w:sz w:val="22"/>
                <w:szCs w:val="22"/>
              </w:rPr>
            </w:pPr>
            <w:r w:rsidRPr="0052319E">
              <w:rPr>
                <w:sz w:val="22"/>
                <w:szCs w:val="22"/>
              </w:rPr>
              <w:t>90,0</w:t>
            </w:r>
          </w:p>
        </w:tc>
      </w:tr>
      <w:tr w:rsidR="00C01EF3" w:rsidRPr="0052319E" w:rsidTr="009A3727">
        <w:trPr>
          <w:trHeight w:val="20"/>
        </w:trPr>
        <w:tc>
          <w:tcPr>
            <w:tcW w:w="548" w:type="dxa"/>
          </w:tcPr>
          <w:p w:rsidR="00C01EF3" w:rsidRPr="0052319E" w:rsidRDefault="00C01EF3" w:rsidP="00C01EF3">
            <w:pPr>
              <w:spacing w:line="233" w:lineRule="auto"/>
              <w:jc w:val="center"/>
              <w:rPr>
                <w:sz w:val="22"/>
                <w:szCs w:val="22"/>
              </w:rPr>
            </w:pPr>
            <w:r w:rsidRPr="0052319E">
              <w:rPr>
                <w:sz w:val="22"/>
                <w:szCs w:val="22"/>
              </w:rPr>
              <w:t>4.</w:t>
            </w:r>
          </w:p>
        </w:tc>
        <w:tc>
          <w:tcPr>
            <w:tcW w:w="3699" w:type="dxa"/>
          </w:tcPr>
          <w:p w:rsidR="00C01EF3" w:rsidRPr="0052319E" w:rsidRDefault="00C01EF3" w:rsidP="00C01EF3">
            <w:pPr>
              <w:spacing w:line="233" w:lineRule="auto"/>
              <w:jc w:val="both"/>
              <w:rPr>
                <w:sz w:val="22"/>
                <w:szCs w:val="22"/>
              </w:rPr>
            </w:pPr>
            <w:r w:rsidRPr="0052319E">
              <w:rPr>
                <w:color w:val="000000"/>
                <w:spacing w:val="-2"/>
                <w:sz w:val="22"/>
                <w:szCs w:val="22"/>
              </w:rPr>
              <w:t xml:space="preserve">Одногодичная летальность больных </w:t>
            </w:r>
            <w:r w:rsidRPr="0052319E">
              <w:rPr>
                <w:color w:val="000000"/>
                <w:spacing w:val="-2"/>
                <w:sz w:val="22"/>
                <w:szCs w:val="22"/>
              </w:rPr>
              <w:br/>
              <w:t>с ЗНО (умерли в течение первого года с момента установления диагноза из числа больных, впервые взятых под диспансерное наблюдение в предыдущем году), процентов</w:t>
            </w:r>
          </w:p>
        </w:tc>
        <w:tc>
          <w:tcPr>
            <w:tcW w:w="1277" w:type="dxa"/>
          </w:tcPr>
          <w:p w:rsidR="00C01EF3" w:rsidRPr="0052319E" w:rsidRDefault="00C01EF3" w:rsidP="00C01EF3">
            <w:pPr>
              <w:spacing w:line="233" w:lineRule="auto"/>
              <w:jc w:val="center"/>
              <w:rPr>
                <w:sz w:val="22"/>
                <w:szCs w:val="22"/>
              </w:rPr>
            </w:pPr>
            <w:r w:rsidRPr="0052319E">
              <w:rPr>
                <w:sz w:val="22"/>
                <w:szCs w:val="22"/>
              </w:rPr>
              <w:t>19,2</w:t>
            </w:r>
          </w:p>
        </w:tc>
        <w:tc>
          <w:tcPr>
            <w:tcW w:w="850" w:type="dxa"/>
          </w:tcPr>
          <w:p w:rsidR="00C01EF3" w:rsidRPr="0052319E" w:rsidRDefault="00C01EF3" w:rsidP="00C01EF3">
            <w:pPr>
              <w:spacing w:line="233" w:lineRule="auto"/>
              <w:jc w:val="center"/>
              <w:rPr>
                <w:sz w:val="22"/>
                <w:szCs w:val="22"/>
              </w:rPr>
            </w:pPr>
            <w:r w:rsidRPr="0052319E">
              <w:rPr>
                <w:sz w:val="22"/>
                <w:szCs w:val="22"/>
              </w:rPr>
              <w:t>18,3</w:t>
            </w:r>
          </w:p>
        </w:tc>
        <w:tc>
          <w:tcPr>
            <w:tcW w:w="851" w:type="dxa"/>
          </w:tcPr>
          <w:p w:rsidR="00C01EF3" w:rsidRPr="0052319E" w:rsidRDefault="00C01EF3" w:rsidP="00C01EF3">
            <w:pPr>
              <w:spacing w:line="233" w:lineRule="auto"/>
              <w:jc w:val="center"/>
              <w:rPr>
                <w:sz w:val="22"/>
                <w:szCs w:val="22"/>
              </w:rPr>
            </w:pPr>
            <w:r w:rsidRPr="0052319E">
              <w:rPr>
                <w:sz w:val="22"/>
                <w:szCs w:val="22"/>
              </w:rPr>
              <w:t>17,8</w:t>
            </w:r>
          </w:p>
        </w:tc>
        <w:tc>
          <w:tcPr>
            <w:tcW w:w="850" w:type="dxa"/>
          </w:tcPr>
          <w:p w:rsidR="00C01EF3" w:rsidRPr="0052319E" w:rsidRDefault="00C01EF3" w:rsidP="00C01EF3">
            <w:pPr>
              <w:spacing w:line="233" w:lineRule="auto"/>
              <w:jc w:val="center"/>
              <w:rPr>
                <w:sz w:val="22"/>
                <w:szCs w:val="22"/>
              </w:rPr>
            </w:pPr>
            <w:r w:rsidRPr="0052319E">
              <w:rPr>
                <w:sz w:val="22"/>
                <w:szCs w:val="22"/>
              </w:rPr>
              <w:t>17,4</w:t>
            </w:r>
          </w:p>
        </w:tc>
        <w:tc>
          <w:tcPr>
            <w:tcW w:w="709" w:type="dxa"/>
          </w:tcPr>
          <w:p w:rsidR="00C01EF3" w:rsidRPr="0052319E" w:rsidRDefault="00C01EF3" w:rsidP="00C01EF3">
            <w:pPr>
              <w:spacing w:line="233" w:lineRule="auto"/>
              <w:jc w:val="center"/>
              <w:rPr>
                <w:sz w:val="22"/>
                <w:szCs w:val="22"/>
              </w:rPr>
            </w:pPr>
            <w:r w:rsidRPr="0052319E">
              <w:rPr>
                <w:sz w:val="22"/>
                <w:szCs w:val="22"/>
              </w:rPr>
              <w:t>17,1</w:t>
            </w:r>
          </w:p>
        </w:tc>
        <w:tc>
          <w:tcPr>
            <w:tcW w:w="709" w:type="dxa"/>
          </w:tcPr>
          <w:p w:rsidR="00C01EF3" w:rsidRPr="0052319E" w:rsidRDefault="00C01EF3" w:rsidP="00C01EF3">
            <w:pPr>
              <w:spacing w:line="233" w:lineRule="auto"/>
              <w:jc w:val="center"/>
              <w:rPr>
                <w:sz w:val="22"/>
                <w:szCs w:val="22"/>
              </w:rPr>
            </w:pPr>
            <w:r w:rsidRPr="0052319E">
              <w:rPr>
                <w:sz w:val="22"/>
                <w:szCs w:val="22"/>
              </w:rPr>
              <w:t>16,8</w:t>
            </w:r>
          </w:p>
        </w:tc>
        <w:tc>
          <w:tcPr>
            <w:tcW w:w="708" w:type="dxa"/>
          </w:tcPr>
          <w:p w:rsidR="00C01EF3" w:rsidRPr="0052319E" w:rsidRDefault="00C01EF3" w:rsidP="00C01EF3">
            <w:pPr>
              <w:spacing w:line="233" w:lineRule="auto"/>
              <w:jc w:val="center"/>
              <w:rPr>
                <w:sz w:val="22"/>
                <w:szCs w:val="22"/>
              </w:rPr>
            </w:pPr>
            <w:r w:rsidRPr="0052319E">
              <w:rPr>
                <w:sz w:val="22"/>
                <w:szCs w:val="22"/>
              </w:rPr>
              <w:t>16,4</w:t>
            </w:r>
          </w:p>
        </w:tc>
      </w:tr>
    </w:tbl>
    <w:p w:rsidR="00A47AA3" w:rsidRPr="0052319E" w:rsidRDefault="00A47AA3" w:rsidP="002C433C">
      <w:pPr>
        <w:rPr>
          <w:sz w:val="28"/>
          <w:szCs w:val="28"/>
        </w:rPr>
      </w:pPr>
    </w:p>
    <w:p w:rsidR="007130ED" w:rsidRPr="0052319E" w:rsidRDefault="00D309F8" w:rsidP="00B04040">
      <w:pPr>
        <w:spacing w:line="235" w:lineRule="auto"/>
        <w:ind w:firstLine="709"/>
        <w:jc w:val="both"/>
        <w:rPr>
          <w:sz w:val="28"/>
          <w:szCs w:val="28"/>
        </w:rPr>
      </w:pPr>
      <w:r w:rsidRPr="0052319E">
        <w:rPr>
          <w:color w:val="000000" w:themeColor="text1"/>
          <w:sz w:val="28"/>
          <w:szCs w:val="28"/>
        </w:rPr>
        <w:t>Региональная п</w:t>
      </w:r>
      <w:r w:rsidR="007130ED" w:rsidRPr="0052319E">
        <w:rPr>
          <w:sz w:val="28"/>
          <w:szCs w:val="28"/>
        </w:rPr>
        <w:t>рограмма реализуется в два этапа:</w:t>
      </w:r>
    </w:p>
    <w:p w:rsidR="007130ED" w:rsidRPr="0052319E" w:rsidRDefault="007130ED" w:rsidP="00B04040">
      <w:pPr>
        <w:spacing w:line="235" w:lineRule="auto"/>
        <w:ind w:firstLine="709"/>
        <w:rPr>
          <w:rFonts w:eastAsia="Calibri"/>
          <w:sz w:val="28"/>
          <w:szCs w:val="28"/>
          <w:lang w:eastAsia="en-US"/>
        </w:rPr>
      </w:pPr>
      <w:r w:rsidRPr="0052319E">
        <w:rPr>
          <w:rFonts w:eastAsia="Calibri"/>
          <w:sz w:val="28"/>
          <w:szCs w:val="28"/>
        </w:rPr>
        <w:t xml:space="preserve">1 этап: 2019 </w:t>
      </w:r>
      <w:r w:rsidRPr="0052319E">
        <w:rPr>
          <w:spacing w:val="-4"/>
          <w:sz w:val="28"/>
          <w:szCs w:val="28"/>
        </w:rPr>
        <w:t>–</w:t>
      </w:r>
      <w:r w:rsidRPr="0052319E">
        <w:rPr>
          <w:rFonts w:eastAsia="Calibri"/>
          <w:sz w:val="28"/>
          <w:szCs w:val="28"/>
        </w:rPr>
        <w:t xml:space="preserve"> 2024 годы;</w:t>
      </w:r>
    </w:p>
    <w:p w:rsidR="00391FC0" w:rsidRPr="0052319E" w:rsidRDefault="007130ED" w:rsidP="00B04040">
      <w:pPr>
        <w:spacing w:line="235" w:lineRule="auto"/>
        <w:ind w:firstLine="709"/>
        <w:jc w:val="both"/>
        <w:rPr>
          <w:sz w:val="28"/>
          <w:szCs w:val="28"/>
        </w:rPr>
      </w:pPr>
      <w:r w:rsidRPr="0052319E">
        <w:rPr>
          <w:rFonts w:eastAsia="Calibri"/>
          <w:sz w:val="28"/>
          <w:szCs w:val="28"/>
        </w:rPr>
        <w:t xml:space="preserve">2 этап: 2025 </w:t>
      </w:r>
      <w:r w:rsidRPr="0052319E">
        <w:rPr>
          <w:spacing w:val="-4"/>
          <w:sz w:val="28"/>
          <w:szCs w:val="28"/>
        </w:rPr>
        <w:t>–</w:t>
      </w:r>
      <w:r w:rsidRPr="0052319E">
        <w:rPr>
          <w:rFonts w:eastAsia="Calibri"/>
          <w:sz w:val="28"/>
          <w:szCs w:val="28"/>
        </w:rPr>
        <w:t xml:space="preserve"> 2030 годы.</w:t>
      </w:r>
      <w:r w:rsidRPr="0052319E">
        <w:rPr>
          <w:sz w:val="28"/>
          <w:szCs w:val="28"/>
        </w:rPr>
        <w:t xml:space="preserve"> </w:t>
      </w:r>
    </w:p>
    <w:p w:rsidR="00391FC0" w:rsidRPr="0052319E" w:rsidRDefault="00391FC0" w:rsidP="00B04040">
      <w:pPr>
        <w:spacing w:line="235" w:lineRule="auto"/>
        <w:ind w:firstLine="709"/>
        <w:jc w:val="both"/>
        <w:rPr>
          <w:bCs/>
          <w:sz w:val="28"/>
          <w:szCs w:val="28"/>
        </w:rPr>
      </w:pPr>
      <w:r w:rsidRPr="0052319E">
        <w:rPr>
          <w:bCs/>
          <w:sz w:val="28"/>
          <w:szCs w:val="28"/>
        </w:rPr>
        <w:t xml:space="preserve">Участники реализации региональной программы: </w:t>
      </w:r>
    </w:p>
    <w:p w:rsidR="00391FC0" w:rsidRPr="0052319E" w:rsidRDefault="00391FC0" w:rsidP="00B04040">
      <w:pPr>
        <w:pStyle w:val="af8"/>
        <w:spacing w:line="235" w:lineRule="auto"/>
        <w:ind w:firstLine="709"/>
        <w:jc w:val="both"/>
        <w:rPr>
          <w:rFonts w:ascii="Times New Roman" w:hAnsi="Times New Roman" w:cs="Times New Roman"/>
          <w:sz w:val="28"/>
          <w:szCs w:val="28"/>
        </w:rPr>
      </w:pPr>
      <w:r w:rsidRPr="0052319E">
        <w:rPr>
          <w:rFonts w:ascii="Times New Roman" w:hAnsi="Times New Roman" w:cs="Times New Roman"/>
          <w:sz w:val="28"/>
          <w:szCs w:val="28"/>
        </w:rPr>
        <w:t xml:space="preserve">Министерство здравоохранения Республики Татарстан; </w:t>
      </w:r>
    </w:p>
    <w:p w:rsidR="00075222" w:rsidRPr="0052319E" w:rsidRDefault="00075222" w:rsidP="00B04040">
      <w:pPr>
        <w:spacing w:line="235" w:lineRule="auto"/>
        <w:ind w:firstLine="709"/>
        <w:jc w:val="both"/>
        <w:rPr>
          <w:sz w:val="28"/>
          <w:szCs w:val="28"/>
        </w:rPr>
      </w:pPr>
      <w:r w:rsidRPr="0052319E">
        <w:rPr>
          <w:sz w:val="28"/>
          <w:szCs w:val="28"/>
        </w:rPr>
        <w:t>главные внештатные специалисты Министерства здравоохранения Республики Татарстан</w:t>
      </w:r>
      <w:r w:rsidR="00406361" w:rsidRPr="0052319E">
        <w:rPr>
          <w:sz w:val="28"/>
          <w:szCs w:val="28"/>
        </w:rPr>
        <w:t>:</w:t>
      </w:r>
      <w:r w:rsidRPr="0052319E">
        <w:rPr>
          <w:sz w:val="28"/>
          <w:szCs w:val="28"/>
        </w:rPr>
        <w:t xml:space="preserve"> </w:t>
      </w:r>
      <w:r w:rsidR="00406361" w:rsidRPr="0052319E">
        <w:rPr>
          <w:sz w:val="28"/>
          <w:szCs w:val="28"/>
          <w:shd w:val="clear" w:color="auto" w:fill="FFFFFF"/>
        </w:rPr>
        <w:t xml:space="preserve">онколог, радиолог, стоматолог, по медицинской профилактике, по медицинской реабилитации, по паллиативной помощи, по патологической анатомии, </w:t>
      </w:r>
      <w:r w:rsidRPr="0052319E">
        <w:rPr>
          <w:sz w:val="28"/>
          <w:szCs w:val="28"/>
          <w:shd w:val="clear" w:color="auto" w:fill="FFFFFF"/>
        </w:rPr>
        <w:t>по информационным системам в здравоохранении</w:t>
      </w:r>
      <w:r w:rsidR="00004A1A" w:rsidRPr="0052319E">
        <w:rPr>
          <w:sz w:val="28"/>
          <w:szCs w:val="28"/>
          <w:shd w:val="clear" w:color="auto" w:fill="FFFFFF"/>
        </w:rPr>
        <w:t>;</w:t>
      </w:r>
      <w:r w:rsidR="00406361" w:rsidRPr="0052319E">
        <w:rPr>
          <w:sz w:val="28"/>
          <w:szCs w:val="28"/>
          <w:shd w:val="clear" w:color="auto" w:fill="FFFFFF"/>
        </w:rPr>
        <w:t xml:space="preserve"> </w:t>
      </w:r>
    </w:p>
    <w:p w:rsidR="00391FC0" w:rsidRPr="0052319E" w:rsidRDefault="00391FC0" w:rsidP="002C433C">
      <w:pPr>
        <w:ind w:firstLine="709"/>
        <w:jc w:val="both"/>
        <w:rPr>
          <w:sz w:val="28"/>
          <w:szCs w:val="28"/>
        </w:rPr>
      </w:pPr>
      <w:r w:rsidRPr="0052319E">
        <w:rPr>
          <w:sz w:val="28"/>
          <w:szCs w:val="28"/>
        </w:rPr>
        <w:t xml:space="preserve">медицинские организации, участвующие в реализации Программы государственных гарантий </w:t>
      </w:r>
      <w:r w:rsidRPr="0052319E">
        <w:rPr>
          <w:bCs/>
          <w:sz w:val="28"/>
          <w:szCs w:val="28"/>
        </w:rPr>
        <w:t>бесплатного оказания гражданам медицинской помощи на территории Республики Татарстан;</w:t>
      </w:r>
    </w:p>
    <w:p w:rsidR="00391FC0" w:rsidRPr="0052319E" w:rsidRDefault="00004A1A" w:rsidP="002C433C">
      <w:pPr>
        <w:pStyle w:val="af8"/>
        <w:ind w:firstLine="709"/>
        <w:jc w:val="both"/>
        <w:rPr>
          <w:rFonts w:ascii="Times New Roman" w:hAnsi="Times New Roman" w:cs="Times New Roman"/>
          <w:sz w:val="28"/>
          <w:szCs w:val="28"/>
        </w:rPr>
      </w:pPr>
      <w:r w:rsidRPr="0052319E">
        <w:rPr>
          <w:rFonts w:ascii="Times New Roman" w:hAnsi="Times New Roman" w:cs="Times New Roman"/>
          <w:sz w:val="28"/>
          <w:szCs w:val="28"/>
        </w:rPr>
        <w:t>г</w:t>
      </w:r>
      <w:r w:rsidR="00391FC0" w:rsidRPr="0052319E">
        <w:rPr>
          <w:rFonts w:ascii="Times New Roman" w:hAnsi="Times New Roman" w:cs="Times New Roman"/>
          <w:sz w:val="28"/>
          <w:szCs w:val="28"/>
        </w:rPr>
        <w:t xml:space="preserve">осударственное учреждение </w:t>
      </w:r>
      <w:r w:rsidR="002F7358" w:rsidRPr="0052319E">
        <w:rPr>
          <w:rFonts w:ascii="Times New Roman" w:hAnsi="Times New Roman" w:cs="Times New Roman"/>
          <w:sz w:val="28"/>
          <w:szCs w:val="28"/>
        </w:rPr>
        <w:t>«</w:t>
      </w:r>
      <w:r w:rsidR="00391FC0" w:rsidRPr="0052319E">
        <w:rPr>
          <w:rFonts w:ascii="Times New Roman" w:hAnsi="Times New Roman" w:cs="Times New Roman"/>
          <w:sz w:val="28"/>
          <w:szCs w:val="28"/>
        </w:rPr>
        <w:t>Территориальный фонд обязательного медицинского страхования Республики Татарстан</w:t>
      </w:r>
      <w:r w:rsidR="002F7358" w:rsidRPr="0052319E">
        <w:rPr>
          <w:rFonts w:ascii="Times New Roman" w:hAnsi="Times New Roman" w:cs="Times New Roman"/>
          <w:sz w:val="28"/>
          <w:szCs w:val="28"/>
        </w:rPr>
        <w:t>»</w:t>
      </w:r>
      <w:r w:rsidR="0040697B" w:rsidRPr="0052319E">
        <w:rPr>
          <w:rFonts w:ascii="Times New Roman" w:hAnsi="Times New Roman" w:cs="Times New Roman"/>
          <w:sz w:val="28"/>
          <w:szCs w:val="28"/>
        </w:rPr>
        <w:t xml:space="preserve"> (по согласованию)</w:t>
      </w:r>
      <w:r w:rsidR="00391FC0" w:rsidRPr="0052319E">
        <w:rPr>
          <w:rFonts w:ascii="Times New Roman" w:hAnsi="Times New Roman" w:cs="Times New Roman"/>
          <w:sz w:val="28"/>
          <w:szCs w:val="28"/>
        </w:rPr>
        <w:t>;</w:t>
      </w:r>
    </w:p>
    <w:p w:rsidR="00391FC0" w:rsidRPr="0052319E" w:rsidRDefault="00391FC0" w:rsidP="002C433C">
      <w:pPr>
        <w:pStyle w:val="af8"/>
        <w:ind w:firstLine="709"/>
        <w:jc w:val="both"/>
        <w:rPr>
          <w:rFonts w:ascii="Times New Roman" w:hAnsi="Times New Roman" w:cs="Times New Roman"/>
          <w:sz w:val="28"/>
          <w:szCs w:val="28"/>
        </w:rPr>
      </w:pPr>
      <w:r w:rsidRPr="0052319E">
        <w:rPr>
          <w:rFonts w:ascii="Times New Roman" w:hAnsi="Times New Roman" w:cs="Times New Roman"/>
          <w:sz w:val="28"/>
          <w:szCs w:val="28"/>
        </w:rPr>
        <w:t xml:space="preserve">Республиканское агентство по печати и массовым коммуникациям </w:t>
      </w:r>
      <w:r w:rsidR="002F7358" w:rsidRPr="0052319E">
        <w:rPr>
          <w:rFonts w:ascii="Times New Roman" w:hAnsi="Times New Roman" w:cs="Times New Roman"/>
          <w:sz w:val="28"/>
          <w:szCs w:val="28"/>
        </w:rPr>
        <w:t>«</w:t>
      </w:r>
      <w:r w:rsidR="0074150C" w:rsidRPr="0052319E">
        <w:rPr>
          <w:rFonts w:ascii="Times New Roman" w:hAnsi="Times New Roman" w:cs="Times New Roman"/>
          <w:sz w:val="28"/>
          <w:szCs w:val="28"/>
        </w:rPr>
        <w:t>Тат</w:t>
      </w:r>
      <w:r w:rsidRPr="0052319E">
        <w:rPr>
          <w:rFonts w:ascii="Times New Roman" w:hAnsi="Times New Roman" w:cs="Times New Roman"/>
          <w:sz w:val="28"/>
          <w:szCs w:val="28"/>
        </w:rPr>
        <w:t>медиа</w:t>
      </w:r>
      <w:r w:rsidR="002F7358" w:rsidRPr="0052319E">
        <w:rPr>
          <w:rFonts w:ascii="Times New Roman" w:hAnsi="Times New Roman" w:cs="Times New Roman"/>
          <w:sz w:val="28"/>
          <w:szCs w:val="28"/>
        </w:rPr>
        <w:t>»</w:t>
      </w:r>
      <w:r w:rsidR="0040697B" w:rsidRPr="0052319E">
        <w:rPr>
          <w:rFonts w:ascii="Times New Roman" w:hAnsi="Times New Roman" w:cs="Times New Roman"/>
          <w:sz w:val="28"/>
          <w:szCs w:val="28"/>
        </w:rPr>
        <w:t xml:space="preserve"> </w:t>
      </w:r>
      <w:r w:rsidR="0040697B" w:rsidRPr="0052319E">
        <w:rPr>
          <w:sz w:val="28"/>
          <w:szCs w:val="28"/>
        </w:rPr>
        <w:t>(по согласованию)</w:t>
      </w:r>
      <w:r w:rsidRPr="0052319E">
        <w:rPr>
          <w:rFonts w:ascii="Times New Roman" w:hAnsi="Times New Roman" w:cs="Times New Roman"/>
          <w:sz w:val="28"/>
          <w:szCs w:val="28"/>
        </w:rPr>
        <w:t>;</w:t>
      </w:r>
    </w:p>
    <w:p w:rsidR="00391FC0" w:rsidRPr="0052319E" w:rsidRDefault="00391FC0" w:rsidP="002C433C">
      <w:pPr>
        <w:pStyle w:val="af8"/>
        <w:ind w:firstLine="709"/>
        <w:jc w:val="both"/>
        <w:rPr>
          <w:rFonts w:ascii="Times New Roman" w:hAnsi="Times New Roman" w:cs="Times New Roman"/>
          <w:sz w:val="28"/>
          <w:szCs w:val="28"/>
        </w:rPr>
      </w:pPr>
      <w:r w:rsidRPr="0052319E">
        <w:rPr>
          <w:rFonts w:ascii="Times New Roman" w:hAnsi="Times New Roman" w:cs="Times New Roman"/>
          <w:sz w:val="28"/>
          <w:szCs w:val="28"/>
        </w:rPr>
        <w:t>Государственная инспекция Республики Татарстан по обеспечению государственного контроля за производством, оборотом и качеством этилового спирта, алкогольной продукции и защите прав потребителей</w:t>
      </w:r>
      <w:r w:rsidR="0040697B" w:rsidRPr="0052319E">
        <w:rPr>
          <w:rFonts w:ascii="Times New Roman" w:hAnsi="Times New Roman" w:cs="Times New Roman"/>
          <w:sz w:val="28"/>
          <w:szCs w:val="28"/>
        </w:rPr>
        <w:t xml:space="preserve"> </w:t>
      </w:r>
      <w:r w:rsidR="0040697B" w:rsidRPr="0052319E">
        <w:rPr>
          <w:sz w:val="28"/>
          <w:szCs w:val="28"/>
        </w:rPr>
        <w:t>(по согласованию)</w:t>
      </w:r>
      <w:r w:rsidRPr="0052319E">
        <w:rPr>
          <w:rFonts w:ascii="Times New Roman" w:hAnsi="Times New Roman" w:cs="Times New Roman"/>
          <w:sz w:val="28"/>
          <w:szCs w:val="28"/>
        </w:rPr>
        <w:t>;</w:t>
      </w:r>
    </w:p>
    <w:p w:rsidR="00391FC0" w:rsidRPr="0052319E" w:rsidRDefault="00391FC0" w:rsidP="002C433C">
      <w:pPr>
        <w:spacing w:line="235" w:lineRule="auto"/>
        <w:ind w:firstLine="709"/>
        <w:jc w:val="both"/>
        <w:rPr>
          <w:sz w:val="28"/>
          <w:szCs w:val="28"/>
        </w:rPr>
      </w:pPr>
      <w:r w:rsidRPr="0052319E">
        <w:rPr>
          <w:sz w:val="28"/>
          <w:szCs w:val="28"/>
        </w:rPr>
        <w:t>исполнительные комитеты муниципальных образований Республики Татарстан</w:t>
      </w:r>
      <w:r w:rsidR="0040697B" w:rsidRPr="0052319E">
        <w:rPr>
          <w:sz w:val="28"/>
          <w:szCs w:val="28"/>
        </w:rPr>
        <w:t xml:space="preserve"> (по согласованию)</w:t>
      </w:r>
      <w:r w:rsidRPr="0052319E">
        <w:rPr>
          <w:sz w:val="28"/>
          <w:szCs w:val="28"/>
        </w:rPr>
        <w:t>;</w:t>
      </w:r>
    </w:p>
    <w:p w:rsidR="00391FC0" w:rsidRPr="0052319E" w:rsidRDefault="00391FC0" w:rsidP="002C433C">
      <w:pPr>
        <w:pStyle w:val="af8"/>
        <w:spacing w:line="235" w:lineRule="auto"/>
        <w:ind w:firstLine="709"/>
        <w:jc w:val="both"/>
        <w:rPr>
          <w:rFonts w:ascii="Times New Roman" w:hAnsi="Times New Roman" w:cs="Times New Roman"/>
          <w:sz w:val="28"/>
          <w:szCs w:val="28"/>
        </w:rPr>
      </w:pPr>
      <w:r w:rsidRPr="0052319E">
        <w:rPr>
          <w:rFonts w:ascii="Times New Roman" w:hAnsi="Times New Roman" w:cs="Times New Roman"/>
          <w:sz w:val="28"/>
          <w:szCs w:val="28"/>
        </w:rPr>
        <w:t>Казанская государственная медицинская академия – филиал федерального го</w:t>
      </w:r>
      <w:r w:rsidR="00004A1A" w:rsidRPr="0052319E">
        <w:rPr>
          <w:rFonts w:ascii="Times New Roman" w:hAnsi="Times New Roman" w:cs="Times New Roman"/>
          <w:sz w:val="28"/>
          <w:szCs w:val="28"/>
        </w:rPr>
        <w:t>-</w:t>
      </w:r>
      <w:r w:rsidRPr="0052319E">
        <w:rPr>
          <w:rFonts w:ascii="Times New Roman" w:hAnsi="Times New Roman" w:cs="Times New Roman"/>
          <w:sz w:val="28"/>
          <w:szCs w:val="28"/>
        </w:rPr>
        <w:t xml:space="preserve">сударственного бюджетного образовательного учреждения дополнительного профессионального образования </w:t>
      </w:r>
      <w:r w:rsidR="002F7358" w:rsidRPr="0052319E">
        <w:rPr>
          <w:rFonts w:ascii="Times New Roman" w:hAnsi="Times New Roman" w:cs="Times New Roman"/>
          <w:sz w:val="28"/>
          <w:szCs w:val="28"/>
        </w:rPr>
        <w:t>«</w:t>
      </w:r>
      <w:r w:rsidRPr="0052319E">
        <w:rPr>
          <w:rFonts w:ascii="Times New Roman" w:hAnsi="Times New Roman" w:cs="Times New Roman"/>
          <w:sz w:val="28"/>
          <w:szCs w:val="28"/>
        </w:rPr>
        <w:t>Российская медицинская академия непрерывного профессионального образования</w:t>
      </w:r>
      <w:r w:rsidR="002F7358" w:rsidRPr="0052319E">
        <w:rPr>
          <w:rFonts w:ascii="Times New Roman" w:hAnsi="Times New Roman" w:cs="Times New Roman"/>
          <w:sz w:val="28"/>
          <w:szCs w:val="28"/>
        </w:rPr>
        <w:t>»</w:t>
      </w:r>
      <w:r w:rsidRPr="0052319E">
        <w:rPr>
          <w:rFonts w:ascii="Times New Roman" w:hAnsi="Times New Roman" w:cs="Times New Roman"/>
          <w:sz w:val="28"/>
          <w:szCs w:val="28"/>
        </w:rPr>
        <w:t xml:space="preserve"> Министерства здравоохранения Российской Федерации (по согласованию);</w:t>
      </w:r>
    </w:p>
    <w:p w:rsidR="00391FC0" w:rsidRPr="0052319E" w:rsidRDefault="00391FC0" w:rsidP="002C433C">
      <w:pPr>
        <w:pStyle w:val="af8"/>
        <w:spacing w:line="235" w:lineRule="auto"/>
        <w:ind w:firstLine="709"/>
        <w:jc w:val="both"/>
        <w:rPr>
          <w:rFonts w:ascii="Times New Roman" w:hAnsi="Times New Roman" w:cs="Times New Roman"/>
          <w:sz w:val="28"/>
          <w:szCs w:val="28"/>
        </w:rPr>
      </w:pPr>
      <w:r w:rsidRPr="0052319E">
        <w:rPr>
          <w:rFonts w:ascii="Times New Roman" w:hAnsi="Times New Roman" w:cs="Times New Roman"/>
          <w:sz w:val="28"/>
          <w:szCs w:val="28"/>
        </w:rPr>
        <w:t>Управление Федеральной службы по надзору в сфере защиты прав потребителей и благополучия человека по Республике Татарстан</w:t>
      </w:r>
      <w:r w:rsidR="00004A1A" w:rsidRPr="0052319E">
        <w:rPr>
          <w:rFonts w:ascii="Times New Roman" w:hAnsi="Times New Roman" w:cs="Times New Roman"/>
          <w:sz w:val="28"/>
          <w:szCs w:val="28"/>
        </w:rPr>
        <w:t xml:space="preserve"> (Татарстан)</w:t>
      </w:r>
      <w:r w:rsidR="0040697B" w:rsidRPr="0052319E">
        <w:rPr>
          <w:rFonts w:ascii="Times New Roman" w:hAnsi="Times New Roman" w:cs="Times New Roman"/>
          <w:sz w:val="28"/>
          <w:szCs w:val="28"/>
        </w:rPr>
        <w:t xml:space="preserve"> (по согласованию)</w:t>
      </w:r>
      <w:r w:rsidRPr="0052319E">
        <w:rPr>
          <w:sz w:val="28"/>
          <w:szCs w:val="28"/>
        </w:rPr>
        <w:t>.</w:t>
      </w:r>
    </w:p>
    <w:p w:rsidR="00E135A2" w:rsidRPr="0052319E" w:rsidRDefault="00887958" w:rsidP="002C433C">
      <w:pPr>
        <w:autoSpaceDE/>
        <w:autoSpaceDN/>
        <w:adjustRightInd/>
        <w:spacing w:line="235" w:lineRule="auto"/>
        <w:ind w:firstLine="709"/>
        <w:jc w:val="both"/>
        <w:rPr>
          <w:sz w:val="28"/>
          <w:szCs w:val="28"/>
        </w:rPr>
      </w:pPr>
      <w:r w:rsidRPr="0052319E">
        <w:rPr>
          <w:sz w:val="28"/>
          <w:szCs w:val="28"/>
        </w:rPr>
        <w:t>3</w:t>
      </w:r>
      <w:r w:rsidR="00377D26" w:rsidRPr="0052319E">
        <w:rPr>
          <w:sz w:val="28"/>
          <w:szCs w:val="28"/>
        </w:rPr>
        <w:t>.</w:t>
      </w:r>
      <w:r w:rsidR="00A61EE1" w:rsidRPr="0052319E">
        <w:rPr>
          <w:sz w:val="28"/>
          <w:szCs w:val="28"/>
        </w:rPr>
        <w:t xml:space="preserve"> Задачи региональной программы:</w:t>
      </w:r>
      <w:r w:rsidR="00E135A2" w:rsidRPr="0052319E">
        <w:rPr>
          <w:sz w:val="28"/>
          <w:szCs w:val="28"/>
        </w:rPr>
        <w:t xml:space="preserve"> </w:t>
      </w:r>
    </w:p>
    <w:p w:rsidR="005F1512" w:rsidRPr="0052319E" w:rsidRDefault="00887958" w:rsidP="002C433C">
      <w:pPr>
        <w:autoSpaceDE/>
        <w:autoSpaceDN/>
        <w:adjustRightInd/>
        <w:spacing w:line="235" w:lineRule="auto"/>
        <w:ind w:firstLine="709"/>
        <w:jc w:val="both"/>
        <w:rPr>
          <w:sz w:val="28"/>
          <w:szCs w:val="28"/>
        </w:rPr>
      </w:pPr>
      <w:r w:rsidRPr="0052319E">
        <w:rPr>
          <w:sz w:val="28"/>
          <w:szCs w:val="28"/>
        </w:rPr>
        <w:t>3</w:t>
      </w:r>
      <w:r w:rsidR="00377D26" w:rsidRPr="0052319E">
        <w:rPr>
          <w:sz w:val="28"/>
          <w:szCs w:val="28"/>
        </w:rPr>
        <w:t>.</w:t>
      </w:r>
      <w:r w:rsidRPr="0052319E">
        <w:rPr>
          <w:sz w:val="28"/>
          <w:szCs w:val="28"/>
        </w:rPr>
        <w:t>1</w:t>
      </w:r>
      <w:r w:rsidR="00377D26" w:rsidRPr="0052319E">
        <w:rPr>
          <w:sz w:val="28"/>
          <w:szCs w:val="28"/>
        </w:rPr>
        <w:t>.</w:t>
      </w:r>
      <w:r w:rsidR="00E135A2" w:rsidRPr="0052319E">
        <w:rPr>
          <w:sz w:val="28"/>
          <w:szCs w:val="28"/>
        </w:rPr>
        <w:t xml:space="preserve"> </w:t>
      </w:r>
      <w:r w:rsidR="00A57EF8" w:rsidRPr="0052319E">
        <w:rPr>
          <w:sz w:val="28"/>
          <w:szCs w:val="28"/>
        </w:rPr>
        <w:t xml:space="preserve">Совершенствование комплекса мер первичной профилактики онкологических заболеваний. </w:t>
      </w:r>
    </w:p>
    <w:p w:rsidR="008868D7" w:rsidRPr="0052319E" w:rsidRDefault="00E135A2" w:rsidP="002C433C">
      <w:pPr>
        <w:autoSpaceDE/>
        <w:autoSpaceDN/>
        <w:adjustRightInd/>
        <w:spacing w:line="235" w:lineRule="auto"/>
        <w:ind w:firstLine="709"/>
        <w:jc w:val="both"/>
        <w:rPr>
          <w:sz w:val="28"/>
          <w:szCs w:val="28"/>
        </w:rPr>
      </w:pPr>
      <w:r w:rsidRPr="0052319E">
        <w:rPr>
          <w:sz w:val="28"/>
          <w:szCs w:val="28"/>
        </w:rPr>
        <w:t xml:space="preserve">Формирование системы мотивации населения к здоровому образу жизни, </w:t>
      </w:r>
      <w:r w:rsidR="008868D7" w:rsidRPr="0052319E">
        <w:rPr>
          <w:sz w:val="28"/>
          <w:szCs w:val="28"/>
        </w:rPr>
        <w:t xml:space="preserve">в том числе приверженности к физической активности и здоровому питанию, отказу от курения, снижению потребления алкогольных напитков в рамках реализации программ по укреплению здоровья в муниципальных образованиях Республики Татарстан. </w:t>
      </w:r>
    </w:p>
    <w:p w:rsidR="008868D7" w:rsidRPr="0052319E" w:rsidRDefault="008868D7" w:rsidP="002C433C">
      <w:pPr>
        <w:autoSpaceDE/>
        <w:autoSpaceDN/>
        <w:adjustRightInd/>
        <w:spacing w:line="235" w:lineRule="auto"/>
        <w:ind w:firstLine="709"/>
        <w:jc w:val="both"/>
        <w:rPr>
          <w:sz w:val="28"/>
          <w:szCs w:val="28"/>
        </w:rPr>
      </w:pPr>
      <w:r w:rsidRPr="0052319E">
        <w:rPr>
          <w:sz w:val="28"/>
          <w:szCs w:val="28"/>
        </w:rPr>
        <w:t>Формирование группы риска колоректального рака с последующим мониторингом проведения колоноскопии.</w:t>
      </w:r>
    </w:p>
    <w:p w:rsidR="001923A0" w:rsidRPr="0052319E" w:rsidRDefault="001923A0" w:rsidP="002C433C">
      <w:pPr>
        <w:autoSpaceDE/>
        <w:autoSpaceDN/>
        <w:adjustRightInd/>
        <w:spacing w:line="235" w:lineRule="auto"/>
        <w:ind w:firstLine="709"/>
        <w:jc w:val="both"/>
        <w:rPr>
          <w:sz w:val="28"/>
          <w:szCs w:val="28"/>
        </w:rPr>
      </w:pPr>
      <w:r w:rsidRPr="0052319E">
        <w:rPr>
          <w:sz w:val="28"/>
          <w:szCs w:val="28"/>
        </w:rPr>
        <w:t xml:space="preserve">Проведение иммунизации населения от вирусного гепатита </w:t>
      </w:r>
      <w:r w:rsidR="0040697B" w:rsidRPr="0052319E">
        <w:rPr>
          <w:sz w:val="28"/>
          <w:szCs w:val="28"/>
        </w:rPr>
        <w:t xml:space="preserve">в </w:t>
      </w:r>
      <w:r w:rsidRPr="0052319E">
        <w:rPr>
          <w:sz w:val="28"/>
          <w:szCs w:val="28"/>
        </w:rPr>
        <w:t xml:space="preserve">соответствии </w:t>
      </w:r>
      <w:r w:rsidR="002C433C" w:rsidRPr="0052319E">
        <w:rPr>
          <w:sz w:val="28"/>
          <w:szCs w:val="28"/>
        </w:rPr>
        <w:br/>
      </w:r>
      <w:r w:rsidRPr="0052319E">
        <w:rPr>
          <w:sz w:val="28"/>
          <w:szCs w:val="28"/>
        </w:rPr>
        <w:t xml:space="preserve">с национальным календарем профилактических прививок. </w:t>
      </w:r>
    </w:p>
    <w:p w:rsidR="001923A0" w:rsidRPr="0052319E" w:rsidRDefault="001923A0" w:rsidP="002C433C">
      <w:pPr>
        <w:autoSpaceDE/>
        <w:autoSpaceDN/>
        <w:adjustRightInd/>
        <w:spacing w:line="235" w:lineRule="auto"/>
        <w:ind w:firstLine="709"/>
        <w:jc w:val="both"/>
        <w:rPr>
          <w:sz w:val="28"/>
          <w:szCs w:val="28"/>
        </w:rPr>
      </w:pPr>
      <w:r w:rsidRPr="0052319E">
        <w:rPr>
          <w:sz w:val="28"/>
          <w:szCs w:val="28"/>
        </w:rPr>
        <w:t xml:space="preserve">Распространение наглядных информационных материалов (буклеты, листовки и пр.), посвященных факторам риска и профилактике онкологических заболеваний. </w:t>
      </w:r>
    </w:p>
    <w:p w:rsidR="001923A0" w:rsidRPr="0052319E" w:rsidRDefault="00AF397D" w:rsidP="002C433C">
      <w:pPr>
        <w:autoSpaceDE/>
        <w:autoSpaceDN/>
        <w:adjustRightInd/>
        <w:spacing w:line="235" w:lineRule="auto"/>
        <w:ind w:firstLine="709"/>
        <w:jc w:val="both"/>
        <w:rPr>
          <w:sz w:val="28"/>
          <w:szCs w:val="28"/>
        </w:rPr>
      </w:pPr>
      <w:r w:rsidRPr="0052319E">
        <w:rPr>
          <w:sz w:val="28"/>
          <w:szCs w:val="28"/>
        </w:rPr>
        <w:t xml:space="preserve">Проведение информационно-коммуникационной кампании в средствах массовой информации, направленной на пропаганду здорового образа жизни, профилактику и раннее выявление ЗНО. </w:t>
      </w:r>
    </w:p>
    <w:p w:rsidR="00134D34" w:rsidRPr="0052319E" w:rsidRDefault="00887958" w:rsidP="002C433C">
      <w:pPr>
        <w:autoSpaceDE/>
        <w:autoSpaceDN/>
        <w:adjustRightInd/>
        <w:spacing w:line="235" w:lineRule="auto"/>
        <w:ind w:firstLine="709"/>
        <w:jc w:val="both"/>
        <w:rPr>
          <w:sz w:val="28"/>
          <w:szCs w:val="28"/>
        </w:rPr>
      </w:pPr>
      <w:r w:rsidRPr="0052319E">
        <w:rPr>
          <w:sz w:val="28"/>
          <w:szCs w:val="28"/>
        </w:rPr>
        <w:t>3</w:t>
      </w:r>
      <w:r w:rsidR="00377D26" w:rsidRPr="0052319E">
        <w:rPr>
          <w:sz w:val="28"/>
          <w:szCs w:val="28"/>
        </w:rPr>
        <w:t>.</w:t>
      </w:r>
      <w:r w:rsidRPr="0052319E">
        <w:rPr>
          <w:sz w:val="28"/>
          <w:szCs w:val="28"/>
        </w:rPr>
        <w:t>2</w:t>
      </w:r>
      <w:r w:rsidR="00377D26" w:rsidRPr="0052319E">
        <w:rPr>
          <w:sz w:val="28"/>
          <w:szCs w:val="28"/>
        </w:rPr>
        <w:t>.</w:t>
      </w:r>
      <w:r w:rsidR="00E135A2" w:rsidRPr="0052319E">
        <w:rPr>
          <w:sz w:val="28"/>
          <w:szCs w:val="28"/>
        </w:rPr>
        <w:t xml:space="preserve"> </w:t>
      </w:r>
      <w:r w:rsidR="00134D34" w:rsidRPr="0052319E">
        <w:rPr>
          <w:sz w:val="28"/>
          <w:szCs w:val="28"/>
        </w:rPr>
        <w:t xml:space="preserve">Совершенствование комплекса мер </w:t>
      </w:r>
      <w:r w:rsidR="00180273" w:rsidRPr="0052319E">
        <w:rPr>
          <w:sz w:val="28"/>
          <w:szCs w:val="28"/>
        </w:rPr>
        <w:t>втор</w:t>
      </w:r>
      <w:r w:rsidR="00134D34" w:rsidRPr="0052319E">
        <w:rPr>
          <w:sz w:val="28"/>
          <w:szCs w:val="28"/>
        </w:rPr>
        <w:t xml:space="preserve">ичной профилактики онкологических заболеваний. </w:t>
      </w:r>
    </w:p>
    <w:p w:rsidR="00235B33" w:rsidRPr="0052319E" w:rsidRDefault="00E135A2" w:rsidP="002C433C">
      <w:pPr>
        <w:autoSpaceDE/>
        <w:autoSpaceDN/>
        <w:adjustRightInd/>
        <w:spacing w:line="235" w:lineRule="auto"/>
        <w:ind w:firstLine="709"/>
        <w:jc w:val="both"/>
        <w:rPr>
          <w:sz w:val="28"/>
          <w:szCs w:val="28"/>
        </w:rPr>
      </w:pPr>
      <w:r w:rsidRPr="0052319E">
        <w:rPr>
          <w:sz w:val="28"/>
          <w:szCs w:val="28"/>
        </w:rPr>
        <w:t>Реализация мероприятий, направленных на раннее выявление ЗНО, в том числе</w:t>
      </w:r>
      <w:r w:rsidR="00235B33" w:rsidRPr="0052319E">
        <w:rPr>
          <w:sz w:val="28"/>
          <w:szCs w:val="28"/>
        </w:rPr>
        <w:t>:</w:t>
      </w:r>
      <w:r w:rsidRPr="0052319E">
        <w:rPr>
          <w:sz w:val="28"/>
          <w:szCs w:val="28"/>
        </w:rPr>
        <w:t xml:space="preserve"> </w:t>
      </w:r>
    </w:p>
    <w:p w:rsidR="00235B33" w:rsidRPr="0052319E" w:rsidRDefault="00E135A2" w:rsidP="002C433C">
      <w:pPr>
        <w:autoSpaceDE/>
        <w:autoSpaceDN/>
        <w:adjustRightInd/>
        <w:spacing w:line="235" w:lineRule="auto"/>
        <w:ind w:firstLine="709"/>
        <w:jc w:val="both"/>
        <w:rPr>
          <w:sz w:val="28"/>
          <w:szCs w:val="28"/>
        </w:rPr>
      </w:pPr>
      <w:r w:rsidRPr="0052319E">
        <w:rPr>
          <w:sz w:val="28"/>
          <w:szCs w:val="28"/>
        </w:rPr>
        <w:t>повышение мотивации населения к прохождению профилактических медицинских осмотров и диспансеризации</w:t>
      </w:r>
      <w:r w:rsidR="00371C90" w:rsidRPr="0052319E">
        <w:rPr>
          <w:sz w:val="28"/>
          <w:szCs w:val="28"/>
        </w:rPr>
        <w:t>;</w:t>
      </w:r>
      <w:r w:rsidRPr="0052319E">
        <w:rPr>
          <w:sz w:val="28"/>
          <w:szCs w:val="28"/>
        </w:rPr>
        <w:t xml:space="preserve"> </w:t>
      </w:r>
    </w:p>
    <w:p w:rsidR="00043048" w:rsidRPr="0052319E" w:rsidRDefault="00E135A2" w:rsidP="002C433C">
      <w:pPr>
        <w:autoSpaceDE/>
        <w:autoSpaceDN/>
        <w:adjustRightInd/>
        <w:spacing w:line="235" w:lineRule="auto"/>
        <w:ind w:firstLine="709"/>
        <w:jc w:val="both"/>
        <w:rPr>
          <w:sz w:val="28"/>
          <w:szCs w:val="28"/>
        </w:rPr>
      </w:pPr>
      <w:r w:rsidRPr="0052319E">
        <w:rPr>
          <w:sz w:val="28"/>
          <w:szCs w:val="28"/>
        </w:rPr>
        <w:t>проведение скрининговых исследований методом жидкостной цитологии</w:t>
      </w:r>
      <w:r w:rsidR="00004A1A" w:rsidRPr="0052319E">
        <w:rPr>
          <w:sz w:val="28"/>
          <w:szCs w:val="28"/>
        </w:rPr>
        <w:t xml:space="preserve"> при скрининге рака шейки матки;</w:t>
      </w:r>
      <w:r w:rsidRPr="0052319E">
        <w:rPr>
          <w:sz w:val="28"/>
          <w:szCs w:val="28"/>
        </w:rPr>
        <w:t xml:space="preserve"> </w:t>
      </w:r>
    </w:p>
    <w:p w:rsidR="00043048" w:rsidRPr="0052319E" w:rsidRDefault="00043048" w:rsidP="002C433C">
      <w:pPr>
        <w:autoSpaceDE/>
        <w:autoSpaceDN/>
        <w:adjustRightInd/>
        <w:spacing w:line="235" w:lineRule="auto"/>
        <w:ind w:firstLine="709"/>
        <w:jc w:val="both"/>
        <w:rPr>
          <w:sz w:val="28"/>
          <w:szCs w:val="28"/>
        </w:rPr>
      </w:pPr>
      <w:r w:rsidRPr="0052319E">
        <w:rPr>
          <w:sz w:val="28"/>
          <w:szCs w:val="28"/>
        </w:rPr>
        <w:t xml:space="preserve">проведение скрининговых исследований </w:t>
      </w:r>
      <w:r w:rsidR="00E135A2" w:rsidRPr="0052319E">
        <w:rPr>
          <w:sz w:val="28"/>
          <w:szCs w:val="28"/>
        </w:rPr>
        <w:t>количественным иммунотурбидиметрическим методом кала на скрытую кровь при скрининге колоректального рака</w:t>
      </w:r>
      <w:r w:rsidR="00004A1A" w:rsidRPr="0052319E">
        <w:rPr>
          <w:sz w:val="28"/>
          <w:szCs w:val="28"/>
        </w:rPr>
        <w:t>;</w:t>
      </w:r>
    </w:p>
    <w:p w:rsidR="00043048" w:rsidRPr="0052319E" w:rsidRDefault="00043048" w:rsidP="002C433C">
      <w:pPr>
        <w:autoSpaceDE/>
        <w:autoSpaceDN/>
        <w:adjustRightInd/>
        <w:spacing w:line="235" w:lineRule="auto"/>
        <w:ind w:firstLine="709"/>
        <w:jc w:val="both"/>
        <w:rPr>
          <w:sz w:val="28"/>
          <w:szCs w:val="28"/>
        </w:rPr>
      </w:pPr>
      <w:r w:rsidRPr="0052319E">
        <w:rPr>
          <w:sz w:val="28"/>
          <w:szCs w:val="28"/>
        </w:rPr>
        <w:t xml:space="preserve">проведение скрининговых </w:t>
      </w:r>
      <w:r w:rsidR="00E135A2" w:rsidRPr="0052319E">
        <w:rPr>
          <w:sz w:val="28"/>
          <w:szCs w:val="28"/>
        </w:rPr>
        <w:t>профилактически</w:t>
      </w:r>
      <w:r w:rsidRPr="0052319E">
        <w:rPr>
          <w:sz w:val="28"/>
          <w:szCs w:val="28"/>
        </w:rPr>
        <w:t>х</w:t>
      </w:r>
      <w:r w:rsidR="00E135A2" w:rsidRPr="0052319E">
        <w:rPr>
          <w:sz w:val="28"/>
          <w:szCs w:val="28"/>
        </w:rPr>
        <w:t xml:space="preserve"> маммографически</w:t>
      </w:r>
      <w:r w:rsidRPr="0052319E">
        <w:rPr>
          <w:sz w:val="28"/>
          <w:szCs w:val="28"/>
        </w:rPr>
        <w:t>х</w:t>
      </w:r>
      <w:r w:rsidR="00E135A2" w:rsidRPr="0052319E">
        <w:rPr>
          <w:sz w:val="28"/>
          <w:szCs w:val="28"/>
        </w:rPr>
        <w:t xml:space="preserve"> исследовани</w:t>
      </w:r>
      <w:r w:rsidRPr="0052319E">
        <w:rPr>
          <w:sz w:val="28"/>
          <w:szCs w:val="28"/>
        </w:rPr>
        <w:t>й</w:t>
      </w:r>
      <w:r w:rsidR="00E135A2" w:rsidRPr="0052319E">
        <w:rPr>
          <w:sz w:val="28"/>
          <w:szCs w:val="28"/>
        </w:rPr>
        <w:t xml:space="preserve"> молочных желез</w:t>
      </w:r>
      <w:r w:rsidR="00371C90" w:rsidRPr="0052319E">
        <w:rPr>
          <w:sz w:val="28"/>
          <w:szCs w:val="28"/>
        </w:rPr>
        <w:t>;</w:t>
      </w:r>
      <w:r w:rsidR="00E135A2" w:rsidRPr="0052319E">
        <w:rPr>
          <w:sz w:val="28"/>
          <w:szCs w:val="28"/>
        </w:rPr>
        <w:t xml:space="preserve"> </w:t>
      </w:r>
    </w:p>
    <w:p w:rsidR="00385FCB" w:rsidRPr="0052319E" w:rsidRDefault="00385FCB" w:rsidP="002C433C">
      <w:pPr>
        <w:autoSpaceDE/>
        <w:autoSpaceDN/>
        <w:adjustRightInd/>
        <w:spacing w:line="235" w:lineRule="auto"/>
        <w:ind w:firstLine="709"/>
        <w:jc w:val="both"/>
        <w:rPr>
          <w:sz w:val="28"/>
          <w:szCs w:val="28"/>
        </w:rPr>
      </w:pPr>
      <w:r w:rsidRPr="0052319E">
        <w:rPr>
          <w:sz w:val="28"/>
          <w:szCs w:val="28"/>
        </w:rPr>
        <w:t>проведение скрининговых исследований простатспецифического антигена иммунохемилюминисцентным методом при скрининге рака предстательной железы;</w:t>
      </w:r>
      <w:r w:rsidR="0081632B" w:rsidRPr="0052319E">
        <w:rPr>
          <w:sz w:val="28"/>
          <w:szCs w:val="28"/>
        </w:rPr>
        <w:t xml:space="preserve"> </w:t>
      </w:r>
    </w:p>
    <w:p w:rsidR="0081632B" w:rsidRPr="0052319E" w:rsidRDefault="0081632B" w:rsidP="002C433C">
      <w:pPr>
        <w:autoSpaceDE/>
        <w:autoSpaceDN/>
        <w:adjustRightInd/>
        <w:spacing w:line="235" w:lineRule="auto"/>
        <w:ind w:firstLine="709"/>
        <w:jc w:val="both"/>
        <w:rPr>
          <w:sz w:val="28"/>
          <w:szCs w:val="28"/>
        </w:rPr>
      </w:pPr>
      <w:r w:rsidRPr="0052319E">
        <w:rPr>
          <w:sz w:val="28"/>
          <w:szCs w:val="28"/>
        </w:rPr>
        <w:t>проведение скрининга на выявление рака легких среди взрослого населения группы риска (проведение профилактического обследования органов грудной клетки с применением низкодозной компьютерной томографии);</w:t>
      </w:r>
      <w:r w:rsidR="00905255" w:rsidRPr="0052319E">
        <w:rPr>
          <w:sz w:val="28"/>
          <w:szCs w:val="28"/>
        </w:rPr>
        <w:t xml:space="preserve"> </w:t>
      </w:r>
    </w:p>
    <w:p w:rsidR="00905255" w:rsidRPr="0052319E" w:rsidRDefault="00905255" w:rsidP="002C433C">
      <w:pPr>
        <w:autoSpaceDE/>
        <w:autoSpaceDN/>
        <w:adjustRightInd/>
        <w:ind w:firstLine="709"/>
        <w:jc w:val="both"/>
        <w:rPr>
          <w:sz w:val="28"/>
          <w:szCs w:val="28"/>
        </w:rPr>
      </w:pPr>
      <w:r w:rsidRPr="0052319E">
        <w:rPr>
          <w:sz w:val="28"/>
          <w:szCs w:val="28"/>
        </w:rPr>
        <w:t xml:space="preserve">функционирование выездных мобильных медицинских бригад для оказания гражданам, проживающим в населенных пунктах, расположенных на значительном удалении от медицинской организации, медицинской помощи, в том числе проведения мероприятий вторичной профилактики онкологических заболеваний; </w:t>
      </w:r>
    </w:p>
    <w:p w:rsidR="00905255" w:rsidRPr="0052319E" w:rsidRDefault="00905255" w:rsidP="00423A71">
      <w:pPr>
        <w:autoSpaceDE/>
        <w:autoSpaceDN/>
        <w:adjustRightInd/>
        <w:spacing w:line="245" w:lineRule="auto"/>
        <w:ind w:firstLine="709"/>
        <w:jc w:val="both"/>
        <w:rPr>
          <w:sz w:val="28"/>
          <w:szCs w:val="28"/>
        </w:rPr>
      </w:pPr>
      <w:r w:rsidRPr="0052319E">
        <w:rPr>
          <w:sz w:val="28"/>
          <w:szCs w:val="28"/>
        </w:rPr>
        <w:t xml:space="preserve">совершенствование деятельности смотровых кабинетов медицинских организаций, оказывающих первичную медико-санитарную помощь; </w:t>
      </w:r>
    </w:p>
    <w:p w:rsidR="00840910" w:rsidRPr="0052319E" w:rsidRDefault="00840910" w:rsidP="00423A71">
      <w:pPr>
        <w:autoSpaceDE/>
        <w:autoSpaceDN/>
        <w:adjustRightInd/>
        <w:spacing w:line="245" w:lineRule="auto"/>
        <w:ind w:firstLine="709"/>
        <w:jc w:val="both"/>
        <w:rPr>
          <w:sz w:val="28"/>
          <w:szCs w:val="28"/>
        </w:rPr>
      </w:pPr>
      <w:r w:rsidRPr="0052319E">
        <w:rPr>
          <w:color w:val="000000"/>
          <w:sz w:val="28"/>
          <w:szCs w:val="28"/>
        </w:rPr>
        <w:t xml:space="preserve">проведение контроля работы по раннему выявлению ЗНО и организации медицинской помощи больным с онкологическими заболеваниями </w:t>
      </w:r>
      <w:r w:rsidR="00012424" w:rsidRPr="0052319E">
        <w:rPr>
          <w:color w:val="000000"/>
          <w:sz w:val="28"/>
          <w:szCs w:val="28"/>
        </w:rPr>
        <w:t xml:space="preserve">в центральных районных больницах муниципальных образований </w:t>
      </w:r>
      <w:r w:rsidRPr="0052319E">
        <w:rPr>
          <w:color w:val="000000"/>
          <w:sz w:val="28"/>
          <w:szCs w:val="28"/>
        </w:rPr>
        <w:t>с оказанием организационно-методической помощи руководителям и медицинскому персоналу.</w:t>
      </w:r>
    </w:p>
    <w:p w:rsidR="008F01EF" w:rsidRPr="0052319E" w:rsidRDefault="00887958" w:rsidP="00423A71">
      <w:pPr>
        <w:autoSpaceDE/>
        <w:autoSpaceDN/>
        <w:adjustRightInd/>
        <w:spacing w:line="245" w:lineRule="auto"/>
        <w:ind w:firstLine="709"/>
        <w:jc w:val="both"/>
        <w:rPr>
          <w:sz w:val="28"/>
          <w:szCs w:val="28"/>
        </w:rPr>
      </w:pPr>
      <w:r w:rsidRPr="0052319E">
        <w:rPr>
          <w:sz w:val="28"/>
          <w:szCs w:val="28"/>
        </w:rPr>
        <w:t>3</w:t>
      </w:r>
      <w:r w:rsidR="00377D26" w:rsidRPr="0052319E">
        <w:rPr>
          <w:sz w:val="28"/>
          <w:szCs w:val="28"/>
        </w:rPr>
        <w:t>.</w:t>
      </w:r>
      <w:r w:rsidRPr="0052319E">
        <w:rPr>
          <w:sz w:val="28"/>
          <w:szCs w:val="28"/>
        </w:rPr>
        <w:t>3</w:t>
      </w:r>
      <w:r w:rsidR="00377D26" w:rsidRPr="0052319E">
        <w:rPr>
          <w:sz w:val="28"/>
          <w:szCs w:val="28"/>
        </w:rPr>
        <w:t>.</w:t>
      </w:r>
      <w:r w:rsidR="00E135A2" w:rsidRPr="0052319E">
        <w:rPr>
          <w:sz w:val="28"/>
          <w:szCs w:val="28"/>
        </w:rPr>
        <w:t xml:space="preserve"> </w:t>
      </w:r>
      <w:r w:rsidR="008F01EF" w:rsidRPr="0052319E">
        <w:rPr>
          <w:sz w:val="28"/>
          <w:szCs w:val="28"/>
        </w:rPr>
        <w:t xml:space="preserve">Совершенствование порядка маршрутизации пациентов с подозрением на онкологические заболевания и с установленным диагнозом онкологического заболевания на всех этапах оказания медицинской помощи. </w:t>
      </w:r>
    </w:p>
    <w:p w:rsidR="00F75DAC" w:rsidRPr="0052319E" w:rsidRDefault="00F75DAC" w:rsidP="00423A71">
      <w:pPr>
        <w:spacing w:line="245" w:lineRule="auto"/>
        <w:ind w:right="-1" w:firstLine="709"/>
        <w:jc w:val="both"/>
        <w:rPr>
          <w:sz w:val="28"/>
          <w:szCs w:val="28"/>
        </w:rPr>
      </w:pPr>
      <w:r w:rsidRPr="0052319E">
        <w:rPr>
          <w:sz w:val="28"/>
          <w:szCs w:val="28"/>
        </w:rPr>
        <w:t>Ежегодн</w:t>
      </w:r>
      <w:r w:rsidR="00714A21" w:rsidRPr="0052319E">
        <w:rPr>
          <w:sz w:val="28"/>
          <w:szCs w:val="28"/>
        </w:rPr>
        <w:t>ая</w:t>
      </w:r>
      <w:r w:rsidRPr="0052319E">
        <w:rPr>
          <w:sz w:val="28"/>
          <w:szCs w:val="28"/>
        </w:rPr>
        <w:t xml:space="preserve"> </w:t>
      </w:r>
      <w:r w:rsidRPr="0052319E">
        <w:rPr>
          <w:color w:val="000000"/>
          <w:sz w:val="28"/>
          <w:szCs w:val="28"/>
        </w:rPr>
        <w:t>актуализация</w:t>
      </w:r>
      <w:r w:rsidRPr="0052319E">
        <w:rPr>
          <w:sz w:val="28"/>
          <w:szCs w:val="28"/>
        </w:rPr>
        <w:t xml:space="preserve"> маршрутизации пациентов с онкологическими заболеваниями. </w:t>
      </w:r>
    </w:p>
    <w:p w:rsidR="008F01EF" w:rsidRPr="0052319E" w:rsidRDefault="00F75DAC" w:rsidP="00423A71">
      <w:pPr>
        <w:spacing w:line="245" w:lineRule="auto"/>
        <w:ind w:right="-1" w:firstLine="709"/>
        <w:jc w:val="both"/>
        <w:rPr>
          <w:sz w:val="28"/>
          <w:szCs w:val="28"/>
        </w:rPr>
      </w:pPr>
      <w:r w:rsidRPr="0052319E">
        <w:rPr>
          <w:sz w:val="28"/>
          <w:szCs w:val="28"/>
        </w:rPr>
        <w:t xml:space="preserve">Совершенствование алгоритма движения пациентов с </w:t>
      </w:r>
      <w:r w:rsidRPr="0052319E">
        <w:rPr>
          <w:color w:val="000000"/>
          <w:sz w:val="28"/>
          <w:szCs w:val="28"/>
        </w:rPr>
        <w:t xml:space="preserve">подозрением на онкологическое заболевание, в том </w:t>
      </w:r>
      <w:r w:rsidR="00F72128" w:rsidRPr="0052319E">
        <w:rPr>
          <w:color w:val="000000"/>
          <w:sz w:val="28"/>
          <w:szCs w:val="28"/>
        </w:rPr>
        <w:t xml:space="preserve">числе визуальных локализаций, </w:t>
      </w:r>
      <w:r w:rsidR="00385FCB" w:rsidRPr="0052319E">
        <w:rPr>
          <w:sz w:val="28"/>
          <w:szCs w:val="28"/>
        </w:rPr>
        <w:t xml:space="preserve">внедрение и </w:t>
      </w:r>
      <w:r w:rsidR="008F01EF" w:rsidRPr="0052319E">
        <w:rPr>
          <w:sz w:val="28"/>
          <w:szCs w:val="28"/>
        </w:rPr>
        <w:t xml:space="preserve">тиражирование </w:t>
      </w:r>
      <w:r w:rsidR="003A0977" w:rsidRPr="0052319E">
        <w:rPr>
          <w:sz w:val="28"/>
          <w:szCs w:val="28"/>
        </w:rPr>
        <w:t xml:space="preserve">первичных </w:t>
      </w:r>
      <w:r w:rsidRPr="0052319E">
        <w:rPr>
          <w:color w:val="000000"/>
          <w:sz w:val="28"/>
          <w:szCs w:val="28"/>
        </w:rPr>
        <w:t xml:space="preserve">телемедицинских </w:t>
      </w:r>
      <w:r w:rsidR="008F01EF" w:rsidRPr="0052319E">
        <w:rPr>
          <w:sz w:val="28"/>
          <w:szCs w:val="28"/>
        </w:rPr>
        <w:t xml:space="preserve">консультаций </w:t>
      </w:r>
      <w:r w:rsidR="008F01EF" w:rsidRPr="0052319E">
        <w:rPr>
          <w:color w:val="000000"/>
          <w:sz w:val="28"/>
          <w:szCs w:val="28"/>
        </w:rPr>
        <w:t xml:space="preserve">врачей-онкологов </w:t>
      </w:r>
      <w:r w:rsidR="008F01EF" w:rsidRPr="0052319E">
        <w:rPr>
          <w:sz w:val="28"/>
          <w:szCs w:val="28"/>
        </w:rPr>
        <w:t xml:space="preserve">ГАУЗ </w:t>
      </w:r>
      <w:r w:rsidR="002F7358" w:rsidRPr="0052319E">
        <w:rPr>
          <w:rFonts w:eastAsia="Arial"/>
          <w:sz w:val="28"/>
          <w:szCs w:val="28"/>
        </w:rPr>
        <w:t>«</w:t>
      </w:r>
      <w:r w:rsidR="002C433C" w:rsidRPr="0052319E">
        <w:rPr>
          <w:rFonts w:eastAsia="Arial"/>
          <w:sz w:val="28"/>
          <w:szCs w:val="28"/>
        </w:rPr>
        <w:t>РКОД МЗ РТ им.</w:t>
      </w:r>
      <w:r w:rsidR="00A15E62" w:rsidRPr="0052319E">
        <w:rPr>
          <w:rFonts w:eastAsia="Arial"/>
          <w:sz w:val="28"/>
          <w:szCs w:val="28"/>
        </w:rPr>
        <w:t>проф.М.З.Сигала</w:t>
      </w:r>
      <w:r w:rsidR="002F7358" w:rsidRPr="0052319E">
        <w:rPr>
          <w:rFonts w:eastAsia="Arial"/>
          <w:sz w:val="28"/>
          <w:szCs w:val="28"/>
        </w:rPr>
        <w:t>»</w:t>
      </w:r>
      <w:r w:rsidR="008F01EF" w:rsidRPr="0052319E">
        <w:rPr>
          <w:sz w:val="28"/>
          <w:szCs w:val="28"/>
        </w:rPr>
        <w:t xml:space="preserve"> </w:t>
      </w:r>
      <w:r w:rsidR="008F01EF" w:rsidRPr="0052319E">
        <w:rPr>
          <w:color w:val="000000"/>
          <w:sz w:val="28"/>
          <w:szCs w:val="28"/>
        </w:rPr>
        <w:t>пациентам с подозрением на онкологическое заболевание</w:t>
      </w:r>
      <w:r w:rsidRPr="0052319E">
        <w:rPr>
          <w:color w:val="000000"/>
          <w:sz w:val="28"/>
          <w:szCs w:val="28"/>
        </w:rPr>
        <w:t xml:space="preserve"> в формате </w:t>
      </w:r>
      <w:r w:rsidR="002F7358" w:rsidRPr="0052319E">
        <w:rPr>
          <w:color w:val="000000"/>
          <w:sz w:val="28"/>
          <w:szCs w:val="28"/>
        </w:rPr>
        <w:t>«</w:t>
      </w:r>
      <w:r w:rsidRPr="0052319E">
        <w:rPr>
          <w:color w:val="000000"/>
          <w:sz w:val="28"/>
          <w:szCs w:val="28"/>
        </w:rPr>
        <w:t>врач</w:t>
      </w:r>
      <w:r w:rsidR="00423A71" w:rsidRPr="0052319E">
        <w:rPr>
          <w:color w:val="000000"/>
          <w:sz w:val="28"/>
          <w:szCs w:val="28"/>
        </w:rPr>
        <w:t xml:space="preserve"> – </w:t>
      </w:r>
      <w:r w:rsidRPr="0052319E">
        <w:rPr>
          <w:color w:val="000000"/>
          <w:sz w:val="28"/>
          <w:szCs w:val="28"/>
        </w:rPr>
        <w:t>врач</w:t>
      </w:r>
      <w:r w:rsidR="002F7358" w:rsidRPr="0052319E">
        <w:rPr>
          <w:color w:val="000000"/>
          <w:sz w:val="28"/>
          <w:szCs w:val="28"/>
        </w:rPr>
        <w:t>»</w:t>
      </w:r>
      <w:r w:rsidR="003A0977" w:rsidRPr="0052319E">
        <w:rPr>
          <w:sz w:val="28"/>
          <w:szCs w:val="28"/>
        </w:rPr>
        <w:t xml:space="preserve">. </w:t>
      </w:r>
    </w:p>
    <w:p w:rsidR="00714A21" w:rsidRPr="0052319E" w:rsidRDefault="00714A21" w:rsidP="00423A71">
      <w:pPr>
        <w:spacing w:line="245" w:lineRule="auto"/>
        <w:ind w:right="-1" w:firstLine="709"/>
        <w:jc w:val="both"/>
        <w:rPr>
          <w:sz w:val="28"/>
          <w:szCs w:val="28"/>
        </w:rPr>
      </w:pPr>
      <w:r w:rsidRPr="0052319E">
        <w:rPr>
          <w:sz w:val="28"/>
          <w:szCs w:val="28"/>
        </w:rPr>
        <w:t xml:space="preserve">Организация </w:t>
      </w:r>
      <w:r w:rsidR="002F7358" w:rsidRPr="0052319E">
        <w:rPr>
          <w:sz w:val="28"/>
          <w:szCs w:val="28"/>
        </w:rPr>
        <w:t>«</w:t>
      </w:r>
      <w:r w:rsidRPr="0052319E">
        <w:rPr>
          <w:sz w:val="28"/>
          <w:szCs w:val="28"/>
        </w:rPr>
        <w:t>зеленого коридора</w:t>
      </w:r>
      <w:r w:rsidR="002F7358" w:rsidRPr="0052319E">
        <w:rPr>
          <w:sz w:val="28"/>
          <w:szCs w:val="28"/>
        </w:rPr>
        <w:t>»</w:t>
      </w:r>
      <w:r w:rsidRPr="0052319E">
        <w:rPr>
          <w:sz w:val="28"/>
          <w:szCs w:val="28"/>
        </w:rPr>
        <w:t xml:space="preserve"> по проведению инструментального и лабораторного</w:t>
      </w:r>
      <w:r w:rsidR="00423A71" w:rsidRPr="0052319E">
        <w:rPr>
          <w:sz w:val="28"/>
          <w:szCs w:val="28"/>
        </w:rPr>
        <w:t xml:space="preserve"> </w:t>
      </w:r>
      <w:r w:rsidRPr="0052319E">
        <w:rPr>
          <w:sz w:val="28"/>
          <w:szCs w:val="28"/>
        </w:rPr>
        <w:t>обследования пациентов с подозрением на онкологическое заболевание либо с впервые выявленным онкологическим заболеванием в целях соблюде</w:t>
      </w:r>
      <w:r w:rsidR="00C0394A" w:rsidRPr="0052319E">
        <w:rPr>
          <w:sz w:val="28"/>
          <w:szCs w:val="28"/>
        </w:rPr>
        <w:t>ния срока, регламентированного П</w:t>
      </w:r>
      <w:r w:rsidRPr="0052319E">
        <w:rPr>
          <w:sz w:val="28"/>
          <w:szCs w:val="28"/>
        </w:rPr>
        <w:t xml:space="preserve">рограммой государственных гарантий бесплатного оказания гражданам медицинской помощи. </w:t>
      </w:r>
    </w:p>
    <w:p w:rsidR="003F7C3E" w:rsidRPr="0052319E" w:rsidRDefault="003F7C3E" w:rsidP="00423A71">
      <w:pPr>
        <w:spacing w:line="245" w:lineRule="auto"/>
        <w:ind w:right="-1" w:firstLine="709"/>
        <w:jc w:val="both"/>
        <w:rPr>
          <w:sz w:val="28"/>
          <w:szCs w:val="28"/>
        </w:rPr>
      </w:pPr>
      <w:r w:rsidRPr="0052319E">
        <w:rPr>
          <w:sz w:val="28"/>
          <w:szCs w:val="28"/>
        </w:rPr>
        <w:t>Обеспечение транспортной доступности пациентам пожилого возраста с онкологическими заболеваниями, проживающим в сельской местности, для своевременного получения первичной специализированной медико-санитарной помощи.</w:t>
      </w:r>
      <w:r w:rsidR="00085B74" w:rsidRPr="0052319E">
        <w:rPr>
          <w:sz w:val="28"/>
          <w:szCs w:val="28"/>
        </w:rPr>
        <w:t xml:space="preserve"> </w:t>
      </w:r>
    </w:p>
    <w:p w:rsidR="00573E9B" w:rsidRPr="0052319E" w:rsidRDefault="00573E9B" w:rsidP="00423A71">
      <w:pPr>
        <w:spacing w:line="245" w:lineRule="auto"/>
        <w:ind w:right="-1" w:firstLine="709"/>
        <w:jc w:val="both"/>
        <w:rPr>
          <w:sz w:val="28"/>
          <w:szCs w:val="28"/>
        </w:rPr>
      </w:pPr>
      <w:r w:rsidRPr="0052319E">
        <w:rPr>
          <w:sz w:val="28"/>
          <w:szCs w:val="28"/>
        </w:rPr>
        <w:t xml:space="preserve">Совершенствование маршрутизации пациентов </w:t>
      </w:r>
      <w:r w:rsidR="00E61801" w:rsidRPr="0052319E">
        <w:rPr>
          <w:sz w:val="28"/>
          <w:szCs w:val="28"/>
        </w:rPr>
        <w:t>для проведения диагностических исследований с применением радиологических методов исследования</w:t>
      </w:r>
      <w:r w:rsidRPr="0052319E">
        <w:rPr>
          <w:sz w:val="28"/>
          <w:szCs w:val="28"/>
        </w:rPr>
        <w:t xml:space="preserve">. </w:t>
      </w:r>
    </w:p>
    <w:p w:rsidR="00E61801" w:rsidRPr="0052319E" w:rsidRDefault="00E61801" w:rsidP="00423A71">
      <w:pPr>
        <w:spacing w:line="245" w:lineRule="auto"/>
        <w:ind w:right="-1" w:firstLine="709"/>
        <w:jc w:val="both"/>
        <w:rPr>
          <w:sz w:val="28"/>
          <w:szCs w:val="28"/>
        </w:rPr>
      </w:pPr>
      <w:r w:rsidRPr="0052319E">
        <w:rPr>
          <w:sz w:val="28"/>
          <w:szCs w:val="28"/>
        </w:rPr>
        <w:t>Информационное сопровождени</w:t>
      </w:r>
      <w:r w:rsidR="00423A71" w:rsidRPr="0052319E">
        <w:rPr>
          <w:sz w:val="28"/>
          <w:szCs w:val="28"/>
        </w:rPr>
        <w:t>е</w:t>
      </w:r>
      <w:r w:rsidRPr="0052319E">
        <w:rPr>
          <w:sz w:val="28"/>
          <w:szCs w:val="28"/>
        </w:rPr>
        <w:t xml:space="preserve"> пациентов на всех этапах оказания медицинской помощи </w:t>
      </w:r>
      <w:r w:rsidR="00464071" w:rsidRPr="0052319E">
        <w:rPr>
          <w:sz w:val="28"/>
          <w:szCs w:val="28"/>
        </w:rPr>
        <w:t xml:space="preserve">с привлечением </w:t>
      </w:r>
      <w:r w:rsidRPr="0052319E">
        <w:rPr>
          <w:sz w:val="28"/>
          <w:szCs w:val="28"/>
        </w:rPr>
        <w:t>страховы</w:t>
      </w:r>
      <w:r w:rsidR="00464071" w:rsidRPr="0052319E">
        <w:rPr>
          <w:sz w:val="28"/>
          <w:szCs w:val="28"/>
        </w:rPr>
        <w:t>х</w:t>
      </w:r>
      <w:r w:rsidRPr="0052319E">
        <w:rPr>
          <w:sz w:val="28"/>
          <w:szCs w:val="28"/>
        </w:rPr>
        <w:t xml:space="preserve"> представител</w:t>
      </w:r>
      <w:r w:rsidR="00464071" w:rsidRPr="0052319E">
        <w:rPr>
          <w:sz w:val="28"/>
          <w:szCs w:val="28"/>
        </w:rPr>
        <w:t>ей</w:t>
      </w:r>
      <w:r w:rsidRPr="0052319E">
        <w:rPr>
          <w:sz w:val="28"/>
          <w:szCs w:val="28"/>
        </w:rPr>
        <w:t xml:space="preserve"> страховых медицинских организаций. </w:t>
      </w:r>
    </w:p>
    <w:p w:rsidR="00E135A2" w:rsidRPr="0052319E" w:rsidRDefault="00887958" w:rsidP="00423A71">
      <w:pPr>
        <w:autoSpaceDE/>
        <w:autoSpaceDN/>
        <w:adjustRightInd/>
        <w:spacing w:line="245" w:lineRule="auto"/>
        <w:ind w:firstLine="709"/>
        <w:jc w:val="both"/>
        <w:rPr>
          <w:sz w:val="28"/>
          <w:szCs w:val="28"/>
        </w:rPr>
      </w:pPr>
      <w:r w:rsidRPr="0052319E">
        <w:rPr>
          <w:sz w:val="28"/>
          <w:szCs w:val="28"/>
        </w:rPr>
        <w:t>3</w:t>
      </w:r>
      <w:r w:rsidR="00377D26" w:rsidRPr="0052319E">
        <w:rPr>
          <w:sz w:val="28"/>
          <w:szCs w:val="28"/>
        </w:rPr>
        <w:t>.</w:t>
      </w:r>
      <w:r w:rsidRPr="0052319E">
        <w:rPr>
          <w:sz w:val="28"/>
          <w:szCs w:val="28"/>
        </w:rPr>
        <w:t>4</w:t>
      </w:r>
      <w:r w:rsidR="00377D26" w:rsidRPr="0052319E">
        <w:rPr>
          <w:sz w:val="28"/>
          <w:szCs w:val="28"/>
        </w:rPr>
        <w:t>.</w:t>
      </w:r>
      <w:r w:rsidR="008F01EF" w:rsidRPr="0052319E">
        <w:rPr>
          <w:sz w:val="28"/>
          <w:szCs w:val="28"/>
        </w:rPr>
        <w:t xml:space="preserve"> </w:t>
      </w:r>
      <w:r w:rsidR="00E135A2" w:rsidRPr="0052319E">
        <w:rPr>
          <w:sz w:val="28"/>
          <w:szCs w:val="28"/>
        </w:rPr>
        <w:t xml:space="preserve">Совершенствование </w:t>
      </w:r>
      <w:r w:rsidR="00134D34" w:rsidRPr="0052319E">
        <w:rPr>
          <w:sz w:val="28"/>
          <w:szCs w:val="28"/>
        </w:rPr>
        <w:t>комплекса мер, направленных на развитие</w:t>
      </w:r>
      <w:r w:rsidR="00E135A2" w:rsidRPr="0052319E">
        <w:rPr>
          <w:sz w:val="28"/>
          <w:szCs w:val="28"/>
        </w:rPr>
        <w:t xml:space="preserve"> первичной специализированной медико-санитарной помощи </w:t>
      </w:r>
      <w:r w:rsidR="00134D34" w:rsidRPr="0052319E">
        <w:rPr>
          <w:sz w:val="28"/>
          <w:szCs w:val="28"/>
        </w:rPr>
        <w:t>пациентам с онкологическими заболеваниями</w:t>
      </w:r>
      <w:r w:rsidR="00E135A2" w:rsidRPr="0052319E">
        <w:rPr>
          <w:sz w:val="28"/>
          <w:szCs w:val="28"/>
        </w:rPr>
        <w:t xml:space="preserve">, в том числе: </w:t>
      </w:r>
    </w:p>
    <w:p w:rsidR="00E135A2" w:rsidRPr="0052319E" w:rsidRDefault="00E135A2" w:rsidP="00423A71">
      <w:pPr>
        <w:autoSpaceDE/>
        <w:autoSpaceDN/>
        <w:adjustRightInd/>
        <w:spacing w:line="245" w:lineRule="auto"/>
        <w:ind w:firstLine="709"/>
        <w:jc w:val="both"/>
        <w:rPr>
          <w:rFonts w:eastAsia="Calibri"/>
          <w:sz w:val="28"/>
          <w:szCs w:val="28"/>
          <w:lang w:eastAsia="en-US"/>
        </w:rPr>
      </w:pPr>
      <w:r w:rsidRPr="0052319E">
        <w:rPr>
          <w:rFonts w:eastAsia="Calibri"/>
          <w:sz w:val="28"/>
          <w:szCs w:val="28"/>
          <w:lang w:eastAsia="en-US"/>
        </w:rPr>
        <w:t xml:space="preserve">оснащение медицинских организаций, оказывающих первичную медико-санитарную помощь, </w:t>
      </w:r>
      <w:r w:rsidR="007870DE" w:rsidRPr="0052319E">
        <w:rPr>
          <w:rFonts w:eastAsia="Calibri"/>
          <w:sz w:val="28"/>
          <w:szCs w:val="28"/>
          <w:lang w:eastAsia="en-US"/>
        </w:rPr>
        <w:t xml:space="preserve">медицинским оборудованием </w:t>
      </w:r>
      <w:r w:rsidRPr="0052319E">
        <w:rPr>
          <w:rFonts w:eastAsia="Calibri"/>
          <w:sz w:val="28"/>
          <w:szCs w:val="28"/>
          <w:lang w:eastAsia="en-US"/>
        </w:rPr>
        <w:t xml:space="preserve">в рамках региональной </w:t>
      </w:r>
      <w:r w:rsidRPr="0052319E">
        <w:rPr>
          <w:sz w:val="28"/>
          <w:szCs w:val="28"/>
          <w:lang w:eastAsia="en-US"/>
        </w:rPr>
        <w:t xml:space="preserve">программы </w:t>
      </w:r>
      <w:r w:rsidR="002F7358" w:rsidRPr="0052319E">
        <w:rPr>
          <w:sz w:val="28"/>
          <w:szCs w:val="28"/>
          <w:lang w:eastAsia="en-US"/>
        </w:rPr>
        <w:t>«</w:t>
      </w:r>
      <w:r w:rsidR="00C0394A" w:rsidRPr="0052319E">
        <w:rPr>
          <w:sz w:val="28"/>
          <w:szCs w:val="28"/>
          <w:lang w:eastAsia="en-US"/>
        </w:rPr>
        <w:t>М</w:t>
      </w:r>
      <w:r w:rsidRPr="0052319E">
        <w:rPr>
          <w:sz w:val="28"/>
          <w:szCs w:val="28"/>
          <w:lang w:eastAsia="en-US"/>
        </w:rPr>
        <w:t>одернизаци</w:t>
      </w:r>
      <w:r w:rsidR="00C0394A" w:rsidRPr="0052319E">
        <w:rPr>
          <w:sz w:val="28"/>
          <w:szCs w:val="28"/>
          <w:lang w:eastAsia="en-US"/>
        </w:rPr>
        <w:t>я</w:t>
      </w:r>
      <w:r w:rsidRPr="0052319E">
        <w:rPr>
          <w:sz w:val="28"/>
          <w:szCs w:val="28"/>
          <w:lang w:eastAsia="en-US"/>
        </w:rPr>
        <w:t xml:space="preserve"> первичного звена здравоохранения </w:t>
      </w:r>
      <w:r w:rsidR="00C0394A" w:rsidRPr="0052319E">
        <w:rPr>
          <w:sz w:val="28"/>
          <w:szCs w:val="28"/>
          <w:lang w:eastAsia="en-US"/>
        </w:rPr>
        <w:t>Республики Татарстан</w:t>
      </w:r>
      <w:r w:rsidR="002F7358" w:rsidRPr="0052319E">
        <w:rPr>
          <w:sz w:val="28"/>
          <w:szCs w:val="28"/>
          <w:lang w:eastAsia="en-US"/>
        </w:rPr>
        <w:t>»</w:t>
      </w:r>
      <w:r w:rsidR="00C0394A" w:rsidRPr="0052319E">
        <w:rPr>
          <w:sz w:val="28"/>
          <w:szCs w:val="28"/>
          <w:lang w:eastAsia="en-US"/>
        </w:rPr>
        <w:t xml:space="preserve"> </w:t>
      </w:r>
      <w:r w:rsidRPr="0052319E">
        <w:rPr>
          <w:rFonts w:eastAsia="Calibri"/>
          <w:sz w:val="28"/>
          <w:szCs w:val="28"/>
          <w:lang w:eastAsia="en-US"/>
        </w:rPr>
        <w:t>в 202</w:t>
      </w:r>
      <w:r w:rsidR="00B1285B">
        <w:rPr>
          <w:rFonts w:eastAsia="Calibri"/>
          <w:sz w:val="28"/>
          <w:szCs w:val="28"/>
          <w:lang w:eastAsia="en-US"/>
        </w:rPr>
        <w:t>6</w:t>
      </w:r>
      <w:r w:rsidRPr="0052319E">
        <w:rPr>
          <w:rFonts w:eastAsia="Calibri"/>
          <w:sz w:val="28"/>
          <w:szCs w:val="28"/>
          <w:lang w:eastAsia="en-US"/>
        </w:rPr>
        <w:t xml:space="preserve"> – 20</w:t>
      </w:r>
      <w:r w:rsidR="00806E2E" w:rsidRPr="0052319E">
        <w:rPr>
          <w:rFonts w:eastAsia="Calibri"/>
          <w:sz w:val="28"/>
          <w:szCs w:val="28"/>
          <w:lang w:eastAsia="en-US"/>
        </w:rPr>
        <w:t>30</w:t>
      </w:r>
      <w:r w:rsidRPr="0052319E">
        <w:rPr>
          <w:rFonts w:eastAsia="Calibri"/>
          <w:sz w:val="28"/>
          <w:szCs w:val="28"/>
          <w:lang w:eastAsia="en-US"/>
        </w:rPr>
        <w:t xml:space="preserve"> годах </w:t>
      </w:r>
      <w:r w:rsidR="00806E2E" w:rsidRPr="0052319E">
        <w:rPr>
          <w:rFonts w:eastAsia="Calibri"/>
          <w:sz w:val="28"/>
          <w:szCs w:val="28"/>
          <w:lang w:eastAsia="en-US"/>
        </w:rPr>
        <w:t>(</w:t>
      </w:r>
      <w:r w:rsidRPr="0052319E">
        <w:rPr>
          <w:rFonts w:eastAsia="Calibri"/>
          <w:sz w:val="28"/>
          <w:szCs w:val="28"/>
          <w:lang w:eastAsia="en-US"/>
        </w:rPr>
        <w:t>планируется оснащение, в том числе с целью замены</w:t>
      </w:r>
      <w:r w:rsidR="007870DE" w:rsidRPr="0052319E">
        <w:rPr>
          <w:rFonts w:eastAsia="Calibri"/>
          <w:sz w:val="28"/>
          <w:szCs w:val="28"/>
          <w:lang w:eastAsia="en-US"/>
        </w:rPr>
        <w:t xml:space="preserve"> оборудования</w:t>
      </w:r>
      <w:r w:rsidR="00F72128" w:rsidRPr="0052319E">
        <w:rPr>
          <w:rFonts w:eastAsia="Calibri"/>
          <w:sz w:val="28"/>
          <w:szCs w:val="28"/>
          <w:lang w:eastAsia="en-US"/>
        </w:rPr>
        <w:t>)</w:t>
      </w:r>
      <w:r w:rsidRPr="0052319E">
        <w:rPr>
          <w:rFonts w:eastAsia="Calibri"/>
          <w:sz w:val="28"/>
          <w:szCs w:val="28"/>
          <w:lang w:eastAsia="en-US"/>
        </w:rPr>
        <w:t>;</w:t>
      </w:r>
    </w:p>
    <w:p w:rsidR="00D92487" w:rsidRPr="0052319E" w:rsidRDefault="00D92487" w:rsidP="00423A71">
      <w:pPr>
        <w:autoSpaceDE/>
        <w:autoSpaceDN/>
        <w:adjustRightInd/>
        <w:spacing w:line="245" w:lineRule="auto"/>
        <w:ind w:firstLine="709"/>
        <w:jc w:val="both"/>
        <w:rPr>
          <w:sz w:val="28"/>
          <w:szCs w:val="28"/>
        </w:rPr>
      </w:pPr>
      <w:r w:rsidRPr="0052319E">
        <w:rPr>
          <w:sz w:val="28"/>
          <w:szCs w:val="28"/>
        </w:rPr>
        <w:t>тиражирование эндоскопических исследований в медицинских организациях;</w:t>
      </w:r>
    </w:p>
    <w:p w:rsidR="00D92487" w:rsidRPr="0052319E" w:rsidRDefault="00172F92" w:rsidP="00423A71">
      <w:pPr>
        <w:autoSpaceDE/>
        <w:autoSpaceDN/>
        <w:adjustRightInd/>
        <w:spacing w:line="245" w:lineRule="auto"/>
        <w:ind w:firstLine="709"/>
        <w:jc w:val="both"/>
        <w:rPr>
          <w:sz w:val="28"/>
          <w:szCs w:val="28"/>
        </w:rPr>
      </w:pPr>
      <w:r w:rsidRPr="0052319E">
        <w:rPr>
          <w:sz w:val="28"/>
          <w:szCs w:val="28"/>
        </w:rPr>
        <w:t>совершенствование гистологической диагностики онкологических заболеваний;</w:t>
      </w:r>
    </w:p>
    <w:p w:rsidR="00D92487" w:rsidRPr="0052319E" w:rsidRDefault="00172F92" w:rsidP="00423A71">
      <w:pPr>
        <w:autoSpaceDE/>
        <w:autoSpaceDN/>
        <w:adjustRightInd/>
        <w:spacing w:line="245" w:lineRule="auto"/>
        <w:ind w:firstLine="709"/>
        <w:jc w:val="both"/>
        <w:rPr>
          <w:rFonts w:eastAsia="Calibri"/>
          <w:sz w:val="28"/>
          <w:szCs w:val="28"/>
          <w:lang w:eastAsia="en-US"/>
        </w:rPr>
      </w:pPr>
      <w:r w:rsidRPr="0052319E">
        <w:rPr>
          <w:rFonts w:eastAsia="Calibri"/>
          <w:sz w:val="28"/>
          <w:szCs w:val="28"/>
          <w:lang w:eastAsia="en-US"/>
        </w:rPr>
        <w:t xml:space="preserve">обеспечение эффективного использования </w:t>
      </w:r>
      <w:r w:rsidR="002F7358" w:rsidRPr="0052319E">
        <w:rPr>
          <w:sz w:val="28"/>
          <w:szCs w:val="28"/>
        </w:rPr>
        <w:t>«</w:t>
      </w:r>
      <w:r w:rsidRPr="0052319E">
        <w:rPr>
          <w:sz w:val="28"/>
          <w:szCs w:val="28"/>
        </w:rPr>
        <w:t>тяжелого</w:t>
      </w:r>
      <w:r w:rsidR="002F7358" w:rsidRPr="0052319E">
        <w:rPr>
          <w:sz w:val="28"/>
          <w:szCs w:val="28"/>
        </w:rPr>
        <w:t>»</w:t>
      </w:r>
      <w:r w:rsidRPr="0052319E">
        <w:rPr>
          <w:sz w:val="28"/>
          <w:szCs w:val="28"/>
        </w:rPr>
        <w:t xml:space="preserve"> диагностического оборудования медицинских организаций (рентгеновские компьютерные томографы, магнитно-резонансные томографы, позитронно-эмиссионные томографы, однофотонные эмиссионные компьютерные томографы); </w:t>
      </w:r>
    </w:p>
    <w:p w:rsidR="00F45DEA" w:rsidRPr="0052319E" w:rsidRDefault="00F45DEA" w:rsidP="00423A71">
      <w:pPr>
        <w:autoSpaceDE/>
        <w:autoSpaceDN/>
        <w:adjustRightInd/>
        <w:spacing w:line="235" w:lineRule="auto"/>
        <w:ind w:firstLine="709"/>
        <w:jc w:val="both"/>
        <w:rPr>
          <w:sz w:val="28"/>
          <w:szCs w:val="28"/>
        </w:rPr>
      </w:pPr>
      <w:r w:rsidRPr="0052319E">
        <w:rPr>
          <w:sz w:val="28"/>
          <w:szCs w:val="28"/>
        </w:rPr>
        <w:t xml:space="preserve">осуществление контроля обеспечения </w:t>
      </w:r>
      <w:r w:rsidR="002F7358" w:rsidRPr="0052319E">
        <w:rPr>
          <w:sz w:val="28"/>
          <w:szCs w:val="28"/>
        </w:rPr>
        <w:t>«</w:t>
      </w:r>
      <w:r w:rsidRPr="0052319E">
        <w:rPr>
          <w:sz w:val="28"/>
          <w:szCs w:val="28"/>
        </w:rPr>
        <w:t>зеленого коридора</w:t>
      </w:r>
      <w:r w:rsidR="002F7358" w:rsidRPr="0052319E">
        <w:rPr>
          <w:sz w:val="28"/>
          <w:szCs w:val="28"/>
        </w:rPr>
        <w:t>»</w:t>
      </w:r>
      <w:r w:rsidRPr="0052319E">
        <w:rPr>
          <w:sz w:val="28"/>
          <w:szCs w:val="28"/>
        </w:rPr>
        <w:t xml:space="preserve"> при обследовании п</w:t>
      </w:r>
      <w:r w:rsidR="00B1285B">
        <w:rPr>
          <w:sz w:val="28"/>
          <w:szCs w:val="28"/>
        </w:rPr>
        <w:t xml:space="preserve">ациентов с подозрением на ЗНО или </w:t>
      </w:r>
      <w:r w:rsidRPr="0052319E">
        <w:rPr>
          <w:sz w:val="28"/>
          <w:szCs w:val="28"/>
        </w:rPr>
        <w:t xml:space="preserve">впервые выявленным ЗНО (соблюдения сроков и объема обследования в медицинских организациях, оказывающих первичную медико-санитарную помощь); </w:t>
      </w:r>
    </w:p>
    <w:p w:rsidR="00ED2D8F" w:rsidRPr="0052319E" w:rsidRDefault="00B3513D" w:rsidP="00423A71">
      <w:pPr>
        <w:autoSpaceDE/>
        <w:autoSpaceDN/>
        <w:adjustRightInd/>
        <w:spacing w:line="235" w:lineRule="auto"/>
        <w:ind w:firstLine="709"/>
        <w:jc w:val="both"/>
        <w:rPr>
          <w:sz w:val="28"/>
          <w:szCs w:val="28"/>
        </w:rPr>
      </w:pPr>
      <w:r w:rsidRPr="0052319E">
        <w:rPr>
          <w:color w:val="000000"/>
          <w:sz w:val="28"/>
          <w:szCs w:val="28"/>
        </w:rPr>
        <w:t xml:space="preserve">обеспечение расширения спектра режимов противоопухолевой лекарственной терапии в дневных стационарах противоопухолевой лекарственной терапии действующих центров </w:t>
      </w:r>
      <w:r w:rsidRPr="0052319E">
        <w:rPr>
          <w:sz w:val="28"/>
          <w:szCs w:val="28"/>
        </w:rPr>
        <w:t>амбулаторной онкологической помощи;</w:t>
      </w:r>
      <w:r w:rsidR="003849DF" w:rsidRPr="0052319E">
        <w:rPr>
          <w:sz w:val="28"/>
          <w:szCs w:val="28"/>
        </w:rPr>
        <w:t xml:space="preserve"> </w:t>
      </w:r>
    </w:p>
    <w:p w:rsidR="00670BA8" w:rsidRPr="0052319E" w:rsidRDefault="00670BA8" w:rsidP="00423A71">
      <w:pPr>
        <w:autoSpaceDE/>
        <w:autoSpaceDN/>
        <w:adjustRightInd/>
        <w:spacing w:line="235" w:lineRule="auto"/>
        <w:ind w:firstLine="709"/>
        <w:jc w:val="both"/>
        <w:rPr>
          <w:sz w:val="28"/>
          <w:szCs w:val="28"/>
        </w:rPr>
      </w:pPr>
      <w:r w:rsidRPr="0052319E">
        <w:rPr>
          <w:color w:val="000000"/>
          <w:sz w:val="28"/>
          <w:szCs w:val="28"/>
        </w:rPr>
        <w:t xml:space="preserve">обеспечение взаимодействия </w:t>
      </w:r>
      <w:r w:rsidRPr="0052319E">
        <w:rPr>
          <w:sz w:val="28"/>
          <w:szCs w:val="28"/>
        </w:rPr>
        <w:t xml:space="preserve">ГАУЗ </w:t>
      </w:r>
      <w:r w:rsidR="002F7358" w:rsidRPr="0052319E">
        <w:rPr>
          <w:rFonts w:eastAsia="Arial"/>
          <w:sz w:val="28"/>
          <w:szCs w:val="28"/>
        </w:rPr>
        <w:t>«</w:t>
      </w:r>
      <w:r w:rsidR="002C433C" w:rsidRPr="0052319E">
        <w:rPr>
          <w:rFonts w:eastAsia="Arial"/>
          <w:sz w:val="28"/>
          <w:szCs w:val="28"/>
        </w:rPr>
        <w:t>РКОД МЗ РТ им.проф.</w:t>
      </w:r>
      <w:r w:rsidRPr="0052319E">
        <w:rPr>
          <w:rFonts w:eastAsia="Arial"/>
          <w:sz w:val="28"/>
          <w:szCs w:val="28"/>
        </w:rPr>
        <w:t>М.З.Сигала</w:t>
      </w:r>
      <w:r w:rsidR="002F7358" w:rsidRPr="0052319E">
        <w:rPr>
          <w:rFonts w:eastAsia="Arial"/>
          <w:sz w:val="28"/>
          <w:szCs w:val="28"/>
        </w:rPr>
        <w:t>»</w:t>
      </w:r>
      <w:r w:rsidRPr="0052319E">
        <w:rPr>
          <w:sz w:val="28"/>
          <w:szCs w:val="28"/>
        </w:rPr>
        <w:t xml:space="preserve"> с </w:t>
      </w:r>
      <w:r w:rsidRPr="0052319E">
        <w:rPr>
          <w:color w:val="000000"/>
          <w:sz w:val="28"/>
          <w:szCs w:val="28"/>
        </w:rPr>
        <w:t xml:space="preserve">центрами </w:t>
      </w:r>
      <w:r w:rsidRPr="0052319E">
        <w:rPr>
          <w:sz w:val="28"/>
          <w:szCs w:val="28"/>
        </w:rPr>
        <w:t xml:space="preserve">амбулаторной онкологической помощи по планированию лекарственного обеспечения; </w:t>
      </w:r>
    </w:p>
    <w:p w:rsidR="00ED2D8F" w:rsidRPr="0052319E" w:rsidRDefault="00ED2D8F" w:rsidP="00423A71">
      <w:pPr>
        <w:autoSpaceDE/>
        <w:autoSpaceDN/>
        <w:adjustRightInd/>
        <w:spacing w:line="235" w:lineRule="auto"/>
        <w:ind w:firstLine="709"/>
        <w:jc w:val="both"/>
        <w:rPr>
          <w:sz w:val="28"/>
          <w:szCs w:val="28"/>
        </w:rPr>
      </w:pPr>
      <w:r w:rsidRPr="0052319E">
        <w:rPr>
          <w:sz w:val="28"/>
          <w:szCs w:val="28"/>
        </w:rPr>
        <w:t xml:space="preserve">организация координации деятельности центров амбулаторной онкологической помощи по обеспечению противоопухолевыми лекарственными препаратами пациентов с онкологическими заболеваниями; </w:t>
      </w:r>
    </w:p>
    <w:p w:rsidR="00E51F97" w:rsidRPr="0052319E" w:rsidRDefault="00E51F97" w:rsidP="00423A71">
      <w:pPr>
        <w:autoSpaceDE/>
        <w:autoSpaceDN/>
        <w:adjustRightInd/>
        <w:spacing w:line="235" w:lineRule="auto"/>
        <w:ind w:firstLine="709"/>
        <w:jc w:val="both"/>
        <w:rPr>
          <w:sz w:val="28"/>
          <w:szCs w:val="28"/>
        </w:rPr>
      </w:pPr>
      <w:r w:rsidRPr="0052319E">
        <w:rPr>
          <w:rFonts w:eastAsia="Calibri"/>
          <w:sz w:val="28"/>
          <w:szCs w:val="28"/>
          <w:lang w:eastAsia="en-US"/>
        </w:rPr>
        <w:t xml:space="preserve">обеспечение проведения </w:t>
      </w:r>
      <w:r w:rsidRPr="0052319E">
        <w:rPr>
          <w:sz w:val="28"/>
          <w:szCs w:val="28"/>
        </w:rPr>
        <w:t xml:space="preserve">диагностических исследований методом компьютерной томографии с контрастированием в медицинских организациях, на базе которых функционирует центр амбулаторной онкологической помощи; </w:t>
      </w:r>
    </w:p>
    <w:p w:rsidR="00172F92" w:rsidRPr="0052319E" w:rsidRDefault="00172F92" w:rsidP="00423A71">
      <w:pPr>
        <w:autoSpaceDE/>
        <w:autoSpaceDN/>
        <w:adjustRightInd/>
        <w:spacing w:line="235" w:lineRule="auto"/>
        <w:ind w:firstLine="709"/>
        <w:jc w:val="both"/>
        <w:rPr>
          <w:sz w:val="28"/>
          <w:szCs w:val="28"/>
        </w:rPr>
      </w:pPr>
      <w:r w:rsidRPr="0052319E">
        <w:rPr>
          <w:sz w:val="28"/>
          <w:szCs w:val="28"/>
        </w:rPr>
        <w:t xml:space="preserve">обеспечение проведения забора биопсийного материала в медицинских организациях, на базе которых функционируют </w:t>
      </w:r>
      <w:r w:rsidR="00E51F97" w:rsidRPr="0052319E">
        <w:rPr>
          <w:color w:val="000000"/>
          <w:sz w:val="28"/>
          <w:szCs w:val="28"/>
        </w:rPr>
        <w:t xml:space="preserve">центры </w:t>
      </w:r>
      <w:r w:rsidR="00E51F97" w:rsidRPr="0052319E">
        <w:rPr>
          <w:sz w:val="28"/>
          <w:szCs w:val="28"/>
        </w:rPr>
        <w:t>амбулаторной онкологической помощи.</w:t>
      </w:r>
    </w:p>
    <w:p w:rsidR="00E135A2" w:rsidRPr="0052319E" w:rsidRDefault="00887958" w:rsidP="00423A71">
      <w:pPr>
        <w:autoSpaceDE/>
        <w:autoSpaceDN/>
        <w:adjustRightInd/>
        <w:spacing w:line="235" w:lineRule="auto"/>
        <w:ind w:firstLine="709"/>
        <w:jc w:val="both"/>
        <w:rPr>
          <w:sz w:val="28"/>
          <w:szCs w:val="28"/>
        </w:rPr>
      </w:pPr>
      <w:r w:rsidRPr="0052319E">
        <w:rPr>
          <w:sz w:val="28"/>
          <w:szCs w:val="28"/>
        </w:rPr>
        <w:t>3</w:t>
      </w:r>
      <w:r w:rsidR="00377D26" w:rsidRPr="0052319E">
        <w:rPr>
          <w:sz w:val="28"/>
          <w:szCs w:val="28"/>
        </w:rPr>
        <w:t>.</w:t>
      </w:r>
      <w:r w:rsidRPr="0052319E">
        <w:rPr>
          <w:sz w:val="28"/>
          <w:szCs w:val="28"/>
        </w:rPr>
        <w:t>5</w:t>
      </w:r>
      <w:r w:rsidR="00377D26" w:rsidRPr="0052319E">
        <w:rPr>
          <w:sz w:val="28"/>
          <w:szCs w:val="28"/>
        </w:rPr>
        <w:t>.</w:t>
      </w:r>
      <w:r w:rsidR="00E135A2" w:rsidRPr="0052319E">
        <w:rPr>
          <w:sz w:val="28"/>
          <w:szCs w:val="28"/>
        </w:rPr>
        <w:t xml:space="preserve"> Совершенствование специализированной медицинской помощи пациентам с онкологическими заболеваниями, в том числе: </w:t>
      </w:r>
    </w:p>
    <w:p w:rsidR="00161DB9" w:rsidRPr="0052319E" w:rsidRDefault="00161DB9" w:rsidP="00423A71">
      <w:pPr>
        <w:autoSpaceDE/>
        <w:autoSpaceDN/>
        <w:adjustRightInd/>
        <w:spacing w:line="235" w:lineRule="auto"/>
        <w:ind w:firstLine="709"/>
        <w:jc w:val="both"/>
        <w:rPr>
          <w:sz w:val="28"/>
          <w:szCs w:val="28"/>
        </w:rPr>
      </w:pPr>
      <w:r w:rsidRPr="0052319E">
        <w:rPr>
          <w:sz w:val="28"/>
          <w:szCs w:val="28"/>
        </w:rPr>
        <w:t xml:space="preserve">контроль соблюдения соответствия структуры и оснащения медицинских организаций, оказывающих специализированную медицинскую помощь по профилю </w:t>
      </w:r>
      <w:r w:rsidR="002F7358" w:rsidRPr="0052319E">
        <w:rPr>
          <w:sz w:val="28"/>
          <w:szCs w:val="28"/>
        </w:rPr>
        <w:t>«</w:t>
      </w:r>
      <w:r w:rsidRPr="0052319E">
        <w:rPr>
          <w:sz w:val="28"/>
          <w:szCs w:val="28"/>
        </w:rPr>
        <w:t>онкология</w:t>
      </w:r>
      <w:r w:rsidR="002F7358" w:rsidRPr="0052319E">
        <w:rPr>
          <w:sz w:val="28"/>
          <w:szCs w:val="28"/>
        </w:rPr>
        <w:t>»</w:t>
      </w:r>
      <w:r w:rsidRPr="0052319E">
        <w:rPr>
          <w:sz w:val="28"/>
          <w:szCs w:val="28"/>
        </w:rPr>
        <w:t>, порядку оказания медицинской помощи взрослому населению при онкологическ</w:t>
      </w:r>
      <w:r w:rsidR="00423A71" w:rsidRPr="0052319E">
        <w:rPr>
          <w:sz w:val="28"/>
          <w:szCs w:val="28"/>
        </w:rPr>
        <w:t>и</w:t>
      </w:r>
      <w:r w:rsidRPr="0052319E">
        <w:rPr>
          <w:sz w:val="28"/>
          <w:szCs w:val="28"/>
        </w:rPr>
        <w:t xml:space="preserve">х заболеваниях; </w:t>
      </w:r>
    </w:p>
    <w:p w:rsidR="00F45DEA" w:rsidRPr="005126B4" w:rsidRDefault="00F45DEA" w:rsidP="00EE4896">
      <w:pPr>
        <w:autoSpaceDE/>
        <w:autoSpaceDN/>
        <w:adjustRightInd/>
        <w:ind w:firstLine="709"/>
        <w:jc w:val="both"/>
        <w:rPr>
          <w:sz w:val="28"/>
          <w:szCs w:val="28"/>
        </w:rPr>
      </w:pPr>
      <w:r w:rsidRPr="0052319E">
        <w:rPr>
          <w:sz w:val="28"/>
          <w:szCs w:val="28"/>
        </w:rPr>
        <w:t xml:space="preserve">переоснащение ГАУЗ </w:t>
      </w:r>
      <w:r w:rsidR="002F7358" w:rsidRPr="0052319E">
        <w:rPr>
          <w:rFonts w:eastAsia="Arial"/>
          <w:sz w:val="28"/>
          <w:szCs w:val="28"/>
        </w:rPr>
        <w:t>«</w:t>
      </w:r>
      <w:r w:rsidR="002C433C" w:rsidRPr="0052319E">
        <w:rPr>
          <w:rFonts w:eastAsia="Arial"/>
          <w:sz w:val="28"/>
          <w:szCs w:val="28"/>
        </w:rPr>
        <w:t>РКОД МЗ РТ им.проф.</w:t>
      </w:r>
      <w:r w:rsidR="004C090A" w:rsidRPr="0052319E">
        <w:rPr>
          <w:rFonts w:eastAsia="Arial"/>
          <w:sz w:val="28"/>
          <w:szCs w:val="28"/>
        </w:rPr>
        <w:t>М.З.Сигала</w:t>
      </w:r>
      <w:r w:rsidR="002F7358" w:rsidRPr="0052319E">
        <w:rPr>
          <w:rFonts w:eastAsia="Arial"/>
          <w:sz w:val="28"/>
          <w:szCs w:val="28"/>
        </w:rPr>
        <w:t>»</w:t>
      </w:r>
      <w:r w:rsidRPr="0052319E">
        <w:rPr>
          <w:sz w:val="28"/>
          <w:szCs w:val="28"/>
        </w:rPr>
        <w:t xml:space="preserve"> в 202</w:t>
      </w:r>
      <w:r w:rsidR="001448A8" w:rsidRPr="0052319E">
        <w:rPr>
          <w:sz w:val="28"/>
          <w:szCs w:val="28"/>
        </w:rPr>
        <w:t>6</w:t>
      </w:r>
      <w:r w:rsidRPr="0052319E">
        <w:rPr>
          <w:sz w:val="28"/>
          <w:szCs w:val="28"/>
        </w:rPr>
        <w:t xml:space="preserve"> – 2030 годах медицинским оборудованием (планируется оснащение </w:t>
      </w:r>
      <w:r w:rsidR="00102B79" w:rsidRPr="0052319E">
        <w:rPr>
          <w:sz w:val="28"/>
          <w:szCs w:val="28"/>
        </w:rPr>
        <w:t>4</w:t>
      </w:r>
      <w:r w:rsidRPr="0052319E">
        <w:rPr>
          <w:sz w:val="28"/>
          <w:szCs w:val="28"/>
        </w:rPr>
        <w:t xml:space="preserve"> единицами медицинского оборудования</w:t>
      </w:r>
      <w:r w:rsidR="004703E0" w:rsidRPr="0052319E">
        <w:rPr>
          <w:sz w:val="28"/>
          <w:szCs w:val="28"/>
        </w:rPr>
        <w:t xml:space="preserve">), ГАУЗ </w:t>
      </w:r>
      <w:r w:rsidR="002F7358" w:rsidRPr="0052319E">
        <w:rPr>
          <w:sz w:val="28"/>
          <w:szCs w:val="28"/>
        </w:rPr>
        <w:t>«</w:t>
      </w:r>
      <w:r w:rsidR="004703E0" w:rsidRPr="0052319E">
        <w:rPr>
          <w:sz w:val="28"/>
          <w:szCs w:val="28"/>
        </w:rPr>
        <w:t>Республиканская клиническая больница Министерства здравоохранения Республики Татарстан</w:t>
      </w:r>
      <w:r w:rsidR="002F7358" w:rsidRPr="0052319E">
        <w:rPr>
          <w:sz w:val="28"/>
          <w:szCs w:val="28"/>
        </w:rPr>
        <w:t>»</w:t>
      </w:r>
      <w:r w:rsidR="004703E0" w:rsidRPr="0052319E">
        <w:rPr>
          <w:sz w:val="28"/>
          <w:szCs w:val="28"/>
        </w:rPr>
        <w:t xml:space="preserve"> (планируется оснащение 1 единицей медицинского оборудования), ГАУЗ </w:t>
      </w:r>
      <w:r w:rsidR="002F7358" w:rsidRPr="0052319E">
        <w:rPr>
          <w:sz w:val="28"/>
          <w:szCs w:val="28"/>
        </w:rPr>
        <w:t>«</w:t>
      </w:r>
      <w:r w:rsidR="004703E0" w:rsidRPr="0052319E">
        <w:rPr>
          <w:sz w:val="28"/>
          <w:szCs w:val="28"/>
        </w:rPr>
        <w:t>Межрегиональный клинико-диагностический центр</w:t>
      </w:r>
      <w:r w:rsidR="002F7358" w:rsidRPr="0052319E">
        <w:rPr>
          <w:sz w:val="28"/>
          <w:szCs w:val="28"/>
        </w:rPr>
        <w:t>»</w:t>
      </w:r>
      <w:r w:rsidR="004703E0" w:rsidRPr="0052319E">
        <w:rPr>
          <w:sz w:val="28"/>
          <w:szCs w:val="28"/>
        </w:rPr>
        <w:t xml:space="preserve"> (планируется оснащение 1 единицей медицинского оборудования), ГАУЗ Р</w:t>
      </w:r>
      <w:r w:rsidR="00F72128" w:rsidRPr="0052319E">
        <w:rPr>
          <w:sz w:val="28"/>
          <w:szCs w:val="28"/>
        </w:rPr>
        <w:t xml:space="preserve">еспублики </w:t>
      </w:r>
      <w:r w:rsidR="00F72128" w:rsidRPr="005126B4">
        <w:rPr>
          <w:sz w:val="28"/>
          <w:szCs w:val="28"/>
        </w:rPr>
        <w:t>Татарстан</w:t>
      </w:r>
      <w:r w:rsidR="004703E0" w:rsidRPr="005126B4">
        <w:rPr>
          <w:sz w:val="28"/>
          <w:szCs w:val="28"/>
        </w:rPr>
        <w:t xml:space="preserve"> </w:t>
      </w:r>
      <w:r w:rsidR="002F7358" w:rsidRPr="005126B4">
        <w:rPr>
          <w:sz w:val="28"/>
          <w:szCs w:val="28"/>
        </w:rPr>
        <w:t>«</w:t>
      </w:r>
      <w:r w:rsidR="004703E0" w:rsidRPr="005126B4">
        <w:rPr>
          <w:sz w:val="28"/>
          <w:szCs w:val="28"/>
        </w:rPr>
        <w:t>Больница скорой медицинской помощи</w:t>
      </w:r>
      <w:r w:rsidR="005126B4" w:rsidRPr="005126B4">
        <w:rPr>
          <w:rFonts w:eastAsia="Calibri"/>
          <w:sz w:val="28"/>
          <w:szCs w:val="28"/>
        </w:rPr>
        <w:t xml:space="preserve"> им. Р.С.Акчурина»</w:t>
      </w:r>
      <w:r w:rsidR="00423A71" w:rsidRPr="005126B4">
        <w:rPr>
          <w:sz w:val="28"/>
          <w:szCs w:val="28"/>
        </w:rPr>
        <w:t xml:space="preserve"> г.</w:t>
      </w:r>
      <w:r w:rsidR="004703E0" w:rsidRPr="005126B4">
        <w:rPr>
          <w:sz w:val="28"/>
          <w:szCs w:val="28"/>
        </w:rPr>
        <w:t>Набережные Челны (планируется оснащение 1 единицей медицинского оборудования)</w:t>
      </w:r>
      <w:r w:rsidRPr="005126B4">
        <w:rPr>
          <w:sz w:val="28"/>
          <w:szCs w:val="28"/>
        </w:rPr>
        <w:t xml:space="preserve">; </w:t>
      </w:r>
    </w:p>
    <w:p w:rsidR="004703E0" w:rsidRPr="0052319E" w:rsidRDefault="004703E0" w:rsidP="00EE4896">
      <w:pPr>
        <w:autoSpaceDE/>
        <w:autoSpaceDN/>
        <w:adjustRightInd/>
        <w:ind w:firstLine="709"/>
        <w:jc w:val="both"/>
        <w:rPr>
          <w:sz w:val="28"/>
          <w:szCs w:val="28"/>
        </w:rPr>
      </w:pPr>
      <w:r w:rsidRPr="0052319E">
        <w:rPr>
          <w:sz w:val="28"/>
          <w:szCs w:val="28"/>
        </w:rPr>
        <w:t>тиражирование методов малоинвазивного хирургического лечения</w:t>
      </w:r>
      <w:r w:rsidR="00F600CE" w:rsidRPr="0052319E">
        <w:rPr>
          <w:sz w:val="28"/>
          <w:szCs w:val="28"/>
        </w:rPr>
        <w:t xml:space="preserve"> </w:t>
      </w:r>
      <w:r w:rsidR="00F600CE" w:rsidRPr="0052319E">
        <w:rPr>
          <w:color w:val="000000"/>
          <w:sz w:val="28"/>
          <w:szCs w:val="28"/>
        </w:rPr>
        <w:t>(эндоскопически ассистированных хирургических операций)</w:t>
      </w:r>
      <w:r w:rsidR="009172D5" w:rsidRPr="0052319E">
        <w:rPr>
          <w:sz w:val="28"/>
          <w:szCs w:val="28"/>
        </w:rPr>
        <w:t>,</w:t>
      </w:r>
      <w:r w:rsidRPr="0052319E">
        <w:rPr>
          <w:sz w:val="28"/>
          <w:szCs w:val="28"/>
        </w:rPr>
        <w:t xml:space="preserve"> </w:t>
      </w:r>
      <w:r w:rsidR="009172D5" w:rsidRPr="0052319E">
        <w:rPr>
          <w:sz w:val="28"/>
          <w:szCs w:val="28"/>
        </w:rPr>
        <w:t xml:space="preserve">реконструктивно-восстановительных операций, других методов хирургических вмешательств; </w:t>
      </w:r>
    </w:p>
    <w:p w:rsidR="004703E0" w:rsidRPr="0052319E" w:rsidRDefault="009172D5" w:rsidP="00EE4896">
      <w:pPr>
        <w:autoSpaceDE/>
        <w:autoSpaceDN/>
        <w:adjustRightInd/>
        <w:ind w:firstLine="709"/>
        <w:jc w:val="both"/>
        <w:rPr>
          <w:sz w:val="28"/>
          <w:szCs w:val="28"/>
        </w:rPr>
      </w:pPr>
      <w:r w:rsidRPr="0052319E">
        <w:rPr>
          <w:sz w:val="28"/>
          <w:szCs w:val="28"/>
        </w:rPr>
        <w:t xml:space="preserve">внедрение </w:t>
      </w:r>
      <w:r w:rsidR="00EE4896" w:rsidRPr="0052319E">
        <w:rPr>
          <w:sz w:val="28"/>
          <w:szCs w:val="28"/>
        </w:rPr>
        <w:t xml:space="preserve">роботизированных </w:t>
      </w:r>
      <w:r w:rsidRPr="0052319E">
        <w:rPr>
          <w:sz w:val="28"/>
          <w:szCs w:val="28"/>
        </w:rPr>
        <w:t xml:space="preserve">операций и расширение практики использования роботизированной хирургии при </w:t>
      </w:r>
      <w:r w:rsidR="00EE4896" w:rsidRPr="0052319E">
        <w:rPr>
          <w:sz w:val="28"/>
          <w:szCs w:val="28"/>
        </w:rPr>
        <w:t>ЗНО</w:t>
      </w:r>
      <w:r w:rsidRPr="0052319E">
        <w:rPr>
          <w:sz w:val="28"/>
          <w:szCs w:val="28"/>
        </w:rPr>
        <w:t xml:space="preserve">; </w:t>
      </w:r>
    </w:p>
    <w:p w:rsidR="00E135A2" w:rsidRPr="0052319E" w:rsidRDefault="00E135A2" w:rsidP="00EE4896">
      <w:pPr>
        <w:autoSpaceDE/>
        <w:autoSpaceDN/>
        <w:adjustRightInd/>
        <w:ind w:firstLine="709"/>
        <w:jc w:val="both"/>
        <w:rPr>
          <w:sz w:val="28"/>
          <w:szCs w:val="28"/>
        </w:rPr>
      </w:pPr>
      <w:r w:rsidRPr="0052319E">
        <w:rPr>
          <w:sz w:val="28"/>
          <w:szCs w:val="28"/>
        </w:rPr>
        <w:t xml:space="preserve">тиражирование молекулярно-генетических исследований и иммуноцитохимического исследования для диагностики ЗНО; </w:t>
      </w:r>
    </w:p>
    <w:p w:rsidR="00E135A2" w:rsidRPr="0052319E" w:rsidRDefault="00E135A2" w:rsidP="00EE4896">
      <w:pPr>
        <w:autoSpaceDE/>
        <w:autoSpaceDN/>
        <w:adjustRightInd/>
        <w:ind w:firstLine="709"/>
        <w:jc w:val="both"/>
        <w:rPr>
          <w:sz w:val="28"/>
          <w:szCs w:val="28"/>
        </w:rPr>
      </w:pPr>
      <w:r w:rsidRPr="0052319E">
        <w:rPr>
          <w:sz w:val="28"/>
          <w:szCs w:val="28"/>
        </w:rPr>
        <w:t>использование исследований на позитронно-эмиссионном томограф</w:t>
      </w:r>
      <w:r w:rsidR="0074150C" w:rsidRPr="0052319E">
        <w:rPr>
          <w:sz w:val="28"/>
          <w:szCs w:val="28"/>
        </w:rPr>
        <w:t>е, со</w:t>
      </w:r>
      <w:r w:rsidRPr="0052319E">
        <w:rPr>
          <w:sz w:val="28"/>
          <w:szCs w:val="28"/>
        </w:rPr>
        <w:t>вмещенном с компьютерным томографом, и широкое применение современных методик стереотаксического и радиотаксического облучения, технологий ядерной медицины,</w:t>
      </w:r>
      <w:r w:rsidRPr="0052319E">
        <w:rPr>
          <w:sz w:val="22"/>
          <w:szCs w:val="22"/>
        </w:rPr>
        <w:t xml:space="preserve"> </w:t>
      </w:r>
      <w:r w:rsidRPr="0052319E">
        <w:rPr>
          <w:sz w:val="28"/>
          <w:szCs w:val="28"/>
        </w:rPr>
        <w:t xml:space="preserve">эндоваскулярных вмешательств и ангиографических технологий на базе ГАУЗ </w:t>
      </w:r>
      <w:r w:rsidR="002F7358" w:rsidRPr="0052319E">
        <w:rPr>
          <w:rFonts w:eastAsia="Arial"/>
          <w:sz w:val="28"/>
          <w:szCs w:val="28"/>
        </w:rPr>
        <w:t>«</w:t>
      </w:r>
      <w:r w:rsidR="002C433C" w:rsidRPr="0052319E">
        <w:rPr>
          <w:rFonts w:eastAsia="Arial"/>
          <w:sz w:val="28"/>
          <w:szCs w:val="28"/>
        </w:rPr>
        <w:t>РКОД МЗ РТ им.</w:t>
      </w:r>
      <w:r w:rsidR="004C090A" w:rsidRPr="0052319E">
        <w:rPr>
          <w:rFonts w:eastAsia="Arial"/>
          <w:sz w:val="28"/>
          <w:szCs w:val="28"/>
        </w:rPr>
        <w:t>проф.М.З.Сигала</w:t>
      </w:r>
      <w:r w:rsidR="002F7358" w:rsidRPr="0052319E">
        <w:rPr>
          <w:rFonts w:eastAsia="Arial"/>
          <w:sz w:val="28"/>
          <w:szCs w:val="28"/>
        </w:rPr>
        <w:t>»</w:t>
      </w:r>
      <w:r w:rsidRPr="0052319E">
        <w:rPr>
          <w:sz w:val="28"/>
          <w:szCs w:val="28"/>
        </w:rPr>
        <w:t xml:space="preserve">; </w:t>
      </w:r>
    </w:p>
    <w:p w:rsidR="00E95449" w:rsidRPr="0052319E" w:rsidRDefault="00E95449" w:rsidP="00EE4896">
      <w:pPr>
        <w:autoSpaceDE/>
        <w:autoSpaceDN/>
        <w:adjustRightInd/>
        <w:ind w:firstLine="709"/>
        <w:jc w:val="both"/>
        <w:rPr>
          <w:sz w:val="28"/>
          <w:szCs w:val="28"/>
        </w:rPr>
      </w:pPr>
      <w:r w:rsidRPr="0052319E">
        <w:rPr>
          <w:sz w:val="28"/>
          <w:szCs w:val="28"/>
        </w:rPr>
        <w:t>обеспечение доступности противоопухолевой лекарственной терапии для пациентов с онкологическими заболеваниями;</w:t>
      </w:r>
      <w:r w:rsidR="00573E9B" w:rsidRPr="0052319E">
        <w:rPr>
          <w:sz w:val="28"/>
          <w:szCs w:val="28"/>
        </w:rPr>
        <w:t xml:space="preserve"> </w:t>
      </w:r>
    </w:p>
    <w:p w:rsidR="00284C87" w:rsidRPr="0052319E" w:rsidRDefault="00284C87" w:rsidP="00EE4896">
      <w:pPr>
        <w:autoSpaceDE/>
        <w:autoSpaceDN/>
        <w:adjustRightInd/>
        <w:ind w:firstLine="709"/>
        <w:jc w:val="both"/>
        <w:rPr>
          <w:sz w:val="28"/>
          <w:szCs w:val="28"/>
        </w:rPr>
      </w:pPr>
      <w:r w:rsidRPr="0052319E">
        <w:rPr>
          <w:sz w:val="28"/>
          <w:szCs w:val="28"/>
        </w:rPr>
        <w:t>тиражирование исследований на о</w:t>
      </w:r>
      <w:r w:rsidRPr="0052319E">
        <w:rPr>
          <w:bCs/>
          <w:color w:val="202122"/>
          <w:sz w:val="28"/>
          <w:szCs w:val="28"/>
          <w:shd w:val="clear" w:color="auto" w:fill="FFFFFF"/>
        </w:rPr>
        <w:t xml:space="preserve">днофотонных эмиссионных компьютерных томографах, </w:t>
      </w:r>
      <w:r w:rsidRPr="0052319E">
        <w:rPr>
          <w:sz w:val="28"/>
          <w:szCs w:val="28"/>
        </w:rPr>
        <w:t>позитронно-эмиссионном томографе</w:t>
      </w:r>
      <w:r w:rsidR="001E071C" w:rsidRPr="0052319E">
        <w:rPr>
          <w:sz w:val="28"/>
          <w:szCs w:val="28"/>
        </w:rPr>
        <w:t>,</w:t>
      </w:r>
      <w:r w:rsidRPr="0052319E">
        <w:rPr>
          <w:sz w:val="28"/>
          <w:szCs w:val="28"/>
        </w:rPr>
        <w:t xml:space="preserve"> совмещенном с </w:t>
      </w:r>
      <w:r w:rsidRPr="0052319E">
        <w:rPr>
          <w:bCs/>
          <w:color w:val="202122"/>
          <w:sz w:val="28"/>
          <w:szCs w:val="28"/>
          <w:shd w:val="clear" w:color="auto" w:fill="FFFFFF"/>
        </w:rPr>
        <w:t xml:space="preserve">компьютерным томографом; </w:t>
      </w:r>
    </w:p>
    <w:p w:rsidR="00284C87" w:rsidRPr="0052319E" w:rsidRDefault="00284C87" w:rsidP="00EE4896">
      <w:pPr>
        <w:autoSpaceDE/>
        <w:autoSpaceDN/>
        <w:adjustRightInd/>
        <w:ind w:firstLine="709"/>
        <w:jc w:val="both"/>
        <w:rPr>
          <w:sz w:val="28"/>
          <w:szCs w:val="28"/>
        </w:rPr>
      </w:pPr>
      <w:r w:rsidRPr="0052319E">
        <w:rPr>
          <w:sz w:val="28"/>
          <w:szCs w:val="28"/>
        </w:rPr>
        <w:t>обеспечение проведения лечения пациентов с онкологическими заболеваниями с применением ради</w:t>
      </w:r>
      <w:r w:rsidR="00935EBF" w:rsidRPr="0052319E">
        <w:rPr>
          <w:sz w:val="28"/>
          <w:szCs w:val="28"/>
        </w:rPr>
        <w:t>о</w:t>
      </w:r>
      <w:r w:rsidRPr="0052319E">
        <w:rPr>
          <w:sz w:val="28"/>
          <w:szCs w:val="28"/>
        </w:rPr>
        <w:t>фармпрепаратов (натрия йодид-131, самарий-153, радия</w:t>
      </w:r>
      <w:r w:rsidR="00EE4896" w:rsidRPr="0052319E">
        <w:rPr>
          <w:sz w:val="28"/>
          <w:szCs w:val="28"/>
        </w:rPr>
        <w:br/>
      </w:r>
      <w:r w:rsidRPr="0052319E">
        <w:rPr>
          <w:sz w:val="28"/>
          <w:szCs w:val="28"/>
        </w:rPr>
        <w:t xml:space="preserve">хлорид-223); </w:t>
      </w:r>
    </w:p>
    <w:p w:rsidR="00A30DC5" w:rsidRPr="00B1285B" w:rsidRDefault="002700AE" w:rsidP="00EE4896">
      <w:pPr>
        <w:autoSpaceDE/>
        <w:autoSpaceDN/>
        <w:adjustRightInd/>
        <w:ind w:firstLine="709"/>
        <w:jc w:val="both"/>
        <w:rPr>
          <w:sz w:val="28"/>
          <w:szCs w:val="28"/>
        </w:rPr>
      </w:pPr>
      <w:r w:rsidRPr="00B1285B">
        <w:rPr>
          <w:sz w:val="28"/>
          <w:szCs w:val="28"/>
        </w:rPr>
        <w:t>м</w:t>
      </w:r>
      <w:r w:rsidR="00A30DC5" w:rsidRPr="00B1285B">
        <w:rPr>
          <w:sz w:val="28"/>
          <w:szCs w:val="28"/>
        </w:rPr>
        <w:t xml:space="preserve">онтаж и ввод в эксплуатацию системы стереотаксической радиохирургии </w:t>
      </w:r>
      <w:r w:rsidR="00A30DC5" w:rsidRPr="00B1285B">
        <w:rPr>
          <w:sz w:val="28"/>
          <w:szCs w:val="28"/>
          <w:lang w:val="en-US"/>
        </w:rPr>
        <w:t>ZAP</w:t>
      </w:r>
      <w:r w:rsidR="00A30DC5" w:rsidRPr="00B1285B">
        <w:rPr>
          <w:sz w:val="28"/>
          <w:szCs w:val="28"/>
        </w:rPr>
        <w:t>-</w:t>
      </w:r>
      <w:r w:rsidR="00A30DC5" w:rsidRPr="00B1285B">
        <w:rPr>
          <w:sz w:val="28"/>
          <w:szCs w:val="28"/>
          <w:lang w:val="en-US"/>
        </w:rPr>
        <w:t>X</w:t>
      </w:r>
      <w:r w:rsidR="00A30DC5" w:rsidRPr="00B1285B">
        <w:rPr>
          <w:sz w:val="28"/>
          <w:szCs w:val="28"/>
        </w:rPr>
        <w:t xml:space="preserve"> на базе ГАУЗ </w:t>
      </w:r>
      <w:r w:rsidR="00A30DC5" w:rsidRPr="00B1285B">
        <w:rPr>
          <w:rFonts w:eastAsia="Arial"/>
          <w:sz w:val="28"/>
          <w:szCs w:val="28"/>
        </w:rPr>
        <w:t>«РКОД МЗ РТ им.проф.М.З.Сигала»;</w:t>
      </w:r>
    </w:p>
    <w:p w:rsidR="00A30DC5" w:rsidRPr="00B1285B" w:rsidRDefault="002700AE" w:rsidP="00EE4896">
      <w:pPr>
        <w:autoSpaceDE/>
        <w:autoSpaceDN/>
        <w:adjustRightInd/>
        <w:ind w:firstLine="709"/>
        <w:jc w:val="both"/>
        <w:rPr>
          <w:sz w:val="28"/>
          <w:szCs w:val="28"/>
        </w:rPr>
      </w:pPr>
      <w:r w:rsidRPr="00B1285B">
        <w:rPr>
          <w:sz w:val="28"/>
          <w:szCs w:val="28"/>
        </w:rPr>
        <w:t xml:space="preserve">монтаж и ввод в эксплуатацию 2 </w:t>
      </w:r>
      <w:r w:rsidR="00A30DC5" w:rsidRPr="00B1285B">
        <w:rPr>
          <w:sz w:val="28"/>
          <w:szCs w:val="28"/>
        </w:rPr>
        <w:t xml:space="preserve">линейных ускорителей на базе Альметьевского филиала ГАУЗ </w:t>
      </w:r>
      <w:r w:rsidR="00A30DC5" w:rsidRPr="00B1285B">
        <w:rPr>
          <w:rFonts w:eastAsia="Arial"/>
          <w:sz w:val="28"/>
          <w:szCs w:val="28"/>
        </w:rPr>
        <w:t xml:space="preserve">«РКОД МЗ РТ им.проф.М.З.Сигала», внедрение и тиражирование </w:t>
      </w:r>
      <w:r w:rsidR="00A30DC5" w:rsidRPr="00B1285B">
        <w:rPr>
          <w:sz w:val="28"/>
          <w:szCs w:val="28"/>
        </w:rPr>
        <w:t>дистанционной лучевой терапии;</w:t>
      </w:r>
    </w:p>
    <w:p w:rsidR="00DF2C48" w:rsidRPr="0052319E" w:rsidRDefault="00E135A2" w:rsidP="00EE4896">
      <w:pPr>
        <w:autoSpaceDE/>
        <w:autoSpaceDN/>
        <w:adjustRightInd/>
        <w:ind w:firstLine="709"/>
        <w:jc w:val="both"/>
        <w:rPr>
          <w:sz w:val="28"/>
          <w:szCs w:val="28"/>
        </w:rPr>
      </w:pPr>
      <w:r w:rsidRPr="0052319E">
        <w:rPr>
          <w:sz w:val="28"/>
          <w:szCs w:val="28"/>
        </w:rPr>
        <w:t xml:space="preserve">тиражирование лучевых методов лечения на базе ГАУЗ </w:t>
      </w:r>
      <w:r w:rsidR="002F7358" w:rsidRPr="0052319E">
        <w:rPr>
          <w:rFonts w:eastAsia="Arial"/>
          <w:sz w:val="28"/>
          <w:szCs w:val="28"/>
        </w:rPr>
        <w:t>«</w:t>
      </w:r>
      <w:r w:rsidR="004C090A" w:rsidRPr="0052319E">
        <w:rPr>
          <w:rFonts w:eastAsia="Arial"/>
          <w:sz w:val="28"/>
          <w:szCs w:val="28"/>
        </w:rPr>
        <w:t>РКОД МЗ РТ им.проф.М.З.Сигала</w:t>
      </w:r>
      <w:r w:rsidR="002F7358" w:rsidRPr="0052319E">
        <w:rPr>
          <w:rFonts w:eastAsia="Arial"/>
          <w:sz w:val="28"/>
          <w:szCs w:val="28"/>
        </w:rPr>
        <w:t>»</w:t>
      </w:r>
      <w:r w:rsidR="00DF2C48" w:rsidRPr="0052319E">
        <w:rPr>
          <w:sz w:val="28"/>
          <w:szCs w:val="28"/>
        </w:rPr>
        <w:t xml:space="preserve">; </w:t>
      </w:r>
    </w:p>
    <w:p w:rsidR="00F600CE" w:rsidRPr="0052319E" w:rsidRDefault="00F600CE" w:rsidP="00EE4896">
      <w:pPr>
        <w:autoSpaceDE/>
        <w:autoSpaceDN/>
        <w:adjustRightInd/>
        <w:ind w:firstLine="709"/>
        <w:jc w:val="both"/>
        <w:rPr>
          <w:sz w:val="28"/>
          <w:szCs w:val="28"/>
        </w:rPr>
      </w:pPr>
      <w:r w:rsidRPr="0052319E">
        <w:rPr>
          <w:sz w:val="28"/>
          <w:szCs w:val="28"/>
        </w:rPr>
        <w:t xml:space="preserve">проведение телемедицинских консультаций с федеральными телемедицинскими консультативными центрами при онкологических заболеваниях, входящих </w:t>
      </w:r>
      <w:r w:rsidR="002C433C" w:rsidRPr="0052319E">
        <w:rPr>
          <w:sz w:val="28"/>
          <w:szCs w:val="28"/>
        </w:rPr>
        <w:br/>
      </w:r>
      <w:r w:rsidRPr="0052319E">
        <w:rPr>
          <w:sz w:val="28"/>
          <w:szCs w:val="28"/>
        </w:rPr>
        <w:t xml:space="preserve">в рубрики С37, С38, С40 – С41, С45 – С49, С58, D39, С62, С69 – С72, С74 МКБ-10, </w:t>
      </w:r>
      <w:r w:rsidR="002C433C" w:rsidRPr="0052319E">
        <w:rPr>
          <w:sz w:val="28"/>
          <w:szCs w:val="28"/>
        </w:rPr>
        <w:br/>
      </w:r>
      <w:r w:rsidRPr="0052319E">
        <w:rPr>
          <w:sz w:val="28"/>
          <w:szCs w:val="28"/>
        </w:rPr>
        <w:t xml:space="preserve">а также соответствующих кодам международной классификации болезней – онкология, для определения лечебной тактики; </w:t>
      </w:r>
    </w:p>
    <w:p w:rsidR="00F600CE" w:rsidRPr="0052319E" w:rsidRDefault="00F600CE" w:rsidP="00EE4896">
      <w:pPr>
        <w:autoSpaceDE/>
        <w:autoSpaceDN/>
        <w:adjustRightInd/>
        <w:ind w:firstLine="709"/>
        <w:jc w:val="both"/>
        <w:rPr>
          <w:sz w:val="28"/>
          <w:szCs w:val="28"/>
        </w:rPr>
      </w:pPr>
      <w:r w:rsidRPr="0052319E">
        <w:rPr>
          <w:sz w:val="28"/>
          <w:szCs w:val="28"/>
        </w:rPr>
        <w:t>проведение дистанционного консультирования в сложных клинических случаях с патолого</w:t>
      </w:r>
      <w:r w:rsidR="00935EBF" w:rsidRPr="0052319E">
        <w:rPr>
          <w:sz w:val="28"/>
          <w:szCs w:val="28"/>
        </w:rPr>
        <w:t>-</w:t>
      </w:r>
      <w:r w:rsidRPr="0052319E">
        <w:rPr>
          <w:sz w:val="28"/>
          <w:szCs w:val="28"/>
        </w:rPr>
        <w:t xml:space="preserve">анатомическими бюро (отделениями) четвертой группы (референс-центрами); </w:t>
      </w:r>
    </w:p>
    <w:p w:rsidR="00E135A2" w:rsidRPr="0052319E" w:rsidRDefault="003A54E8" w:rsidP="00EE4896">
      <w:pPr>
        <w:autoSpaceDE/>
        <w:autoSpaceDN/>
        <w:adjustRightInd/>
        <w:ind w:firstLine="709"/>
        <w:jc w:val="both"/>
        <w:rPr>
          <w:sz w:val="28"/>
          <w:szCs w:val="28"/>
        </w:rPr>
      </w:pPr>
      <w:r w:rsidRPr="0052319E">
        <w:rPr>
          <w:sz w:val="28"/>
          <w:szCs w:val="28"/>
        </w:rPr>
        <w:t>обеспечение пациентов с онкологическими заболеваниями медицинской реабилитацией на этапах оказания медицинской помощи</w:t>
      </w:r>
      <w:r w:rsidR="0064356A" w:rsidRPr="0052319E">
        <w:rPr>
          <w:sz w:val="28"/>
          <w:szCs w:val="28"/>
        </w:rPr>
        <w:t xml:space="preserve">; </w:t>
      </w:r>
    </w:p>
    <w:p w:rsidR="0064356A" w:rsidRPr="0052319E" w:rsidRDefault="008631E2" w:rsidP="00EE4896">
      <w:pPr>
        <w:autoSpaceDE/>
        <w:autoSpaceDN/>
        <w:adjustRightInd/>
        <w:ind w:firstLine="709"/>
        <w:jc w:val="both"/>
        <w:rPr>
          <w:sz w:val="28"/>
          <w:szCs w:val="28"/>
        </w:rPr>
      </w:pPr>
      <w:r w:rsidRPr="0052319E">
        <w:rPr>
          <w:sz w:val="28"/>
          <w:szCs w:val="28"/>
        </w:rPr>
        <w:t>обеспечение</w:t>
      </w:r>
      <w:r w:rsidR="0064356A" w:rsidRPr="0052319E">
        <w:rPr>
          <w:sz w:val="28"/>
          <w:szCs w:val="28"/>
        </w:rPr>
        <w:t xml:space="preserve"> паллиативной медицинской помощи пациентам с онкологическими заболеваниями</w:t>
      </w:r>
      <w:r w:rsidRPr="0052319E">
        <w:rPr>
          <w:sz w:val="28"/>
          <w:szCs w:val="28"/>
        </w:rPr>
        <w:t xml:space="preserve"> на дому</w:t>
      </w:r>
      <w:r w:rsidR="001127B5" w:rsidRPr="0052319E">
        <w:rPr>
          <w:sz w:val="28"/>
          <w:szCs w:val="28"/>
        </w:rPr>
        <w:t xml:space="preserve"> и</w:t>
      </w:r>
      <w:r w:rsidRPr="0052319E">
        <w:rPr>
          <w:sz w:val="28"/>
          <w:szCs w:val="28"/>
        </w:rPr>
        <w:t xml:space="preserve"> в условиях отделений паллиативной медицинской помощи медицинских организаций</w:t>
      </w:r>
      <w:r w:rsidR="0064356A" w:rsidRPr="0052319E">
        <w:rPr>
          <w:sz w:val="28"/>
          <w:szCs w:val="28"/>
        </w:rPr>
        <w:t xml:space="preserve">. </w:t>
      </w:r>
    </w:p>
    <w:p w:rsidR="008E7C21" w:rsidRPr="0052319E" w:rsidRDefault="00887958" w:rsidP="00EE4896">
      <w:pPr>
        <w:autoSpaceDE/>
        <w:autoSpaceDN/>
        <w:adjustRightInd/>
        <w:ind w:firstLine="709"/>
        <w:jc w:val="both"/>
        <w:rPr>
          <w:sz w:val="28"/>
          <w:szCs w:val="28"/>
        </w:rPr>
      </w:pPr>
      <w:r w:rsidRPr="0052319E">
        <w:rPr>
          <w:sz w:val="28"/>
          <w:szCs w:val="28"/>
        </w:rPr>
        <w:t>3</w:t>
      </w:r>
      <w:r w:rsidR="00377D26" w:rsidRPr="0052319E">
        <w:rPr>
          <w:sz w:val="28"/>
          <w:szCs w:val="28"/>
        </w:rPr>
        <w:t>.</w:t>
      </w:r>
      <w:r w:rsidRPr="0052319E">
        <w:rPr>
          <w:sz w:val="28"/>
          <w:szCs w:val="28"/>
        </w:rPr>
        <w:t>6</w:t>
      </w:r>
      <w:r w:rsidR="00377D26" w:rsidRPr="0052319E">
        <w:rPr>
          <w:sz w:val="28"/>
          <w:szCs w:val="28"/>
        </w:rPr>
        <w:t>.</w:t>
      </w:r>
      <w:r w:rsidR="00E135A2" w:rsidRPr="0052319E">
        <w:rPr>
          <w:sz w:val="28"/>
          <w:szCs w:val="28"/>
        </w:rPr>
        <w:t xml:space="preserve"> Совершенствование </w:t>
      </w:r>
      <w:r w:rsidR="003B7300" w:rsidRPr="0052319E">
        <w:rPr>
          <w:sz w:val="28"/>
          <w:szCs w:val="28"/>
        </w:rPr>
        <w:t>мероприятий третичной профилактики</w:t>
      </w:r>
      <w:r w:rsidR="008E7C21" w:rsidRPr="0052319E">
        <w:rPr>
          <w:sz w:val="28"/>
          <w:szCs w:val="28"/>
        </w:rPr>
        <w:t xml:space="preserve"> ЗНО.</w:t>
      </w:r>
    </w:p>
    <w:p w:rsidR="008E7C21" w:rsidRPr="0052319E" w:rsidRDefault="008E7C21" w:rsidP="00EE4896">
      <w:pPr>
        <w:autoSpaceDE/>
        <w:autoSpaceDN/>
        <w:adjustRightInd/>
        <w:ind w:firstLine="709"/>
        <w:jc w:val="both"/>
        <w:rPr>
          <w:sz w:val="28"/>
          <w:szCs w:val="28"/>
        </w:rPr>
      </w:pPr>
      <w:r w:rsidRPr="0052319E">
        <w:rPr>
          <w:sz w:val="28"/>
          <w:szCs w:val="28"/>
        </w:rPr>
        <w:t>Реализация мероприятий по совершенствованию</w:t>
      </w:r>
      <w:r w:rsidR="00E135A2" w:rsidRPr="0052319E">
        <w:rPr>
          <w:sz w:val="28"/>
          <w:szCs w:val="28"/>
        </w:rPr>
        <w:t xml:space="preserve"> проведения диспансерного наблюдения больных с онкологическими </w:t>
      </w:r>
      <w:r w:rsidR="003A54E8" w:rsidRPr="0052319E">
        <w:rPr>
          <w:sz w:val="28"/>
          <w:szCs w:val="28"/>
        </w:rPr>
        <w:t xml:space="preserve">и предраковыми </w:t>
      </w:r>
      <w:r w:rsidR="00E135A2" w:rsidRPr="0052319E">
        <w:rPr>
          <w:sz w:val="28"/>
          <w:szCs w:val="28"/>
        </w:rPr>
        <w:t>заболеваниями</w:t>
      </w:r>
      <w:r w:rsidRPr="0052319E">
        <w:rPr>
          <w:sz w:val="28"/>
          <w:szCs w:val="28"/>
        </w:rPr>
        <w:t>:</w:t>
      </w:r>
      <w:r w:rsidR="00E135A2" w:rsidRPr="0052319E">
        <w:rPr>
          <w:sz w:val="28"/>
          <w:szCs w:val="28"/>
        </w:rPr>
        <w:t xml:space="preserve"> </w:t>
      </w:r>
    </w:p>
    <w:p w:rsidR="009F3CC7" w:rsidRPr="0052319E" w:rsidRDefault="009F3CC7" w:rsidP="00EE4896">
      <w:pPr>
        <w:autoSpaceDE/>
        <w:autoSpaceDN/>
        <w:adjustRightInd/>
        <w:ind w:firstLine="709"/>
        <w:jc w:val="both"/>
        <w:rPr>
          <w:sz w:val="28"/>
          <w:szCs w:val="28"/>
        </w:rPr>
      </w:pPr>
      <w:r w:rsidRPr="0052319E">
        <w:rPr>
          <w:sz w:val="28"/>
          <w:szCs w:val="28"/>
        </w:rPr>
        <w:t xml:space="preserve">информирование пациентов с установленным диагнозом ЗНО о необходимости проведения лечения и диспансерного наблюдения, порядке диспансерного наблюдения; </w:t>
      </w:r>
    </w:p>
    <w:p w:rsidR="009F3CC7" w:rsidRPr="0052319E" w:rsidRDefault="009F3CC7" w:rsidP="00EE4896">
      <w:pPr>
        <w:autoSpaceDE/>
        <w:autoSpaceDN/>
        <w:adjustRightInd/>
        <w:ind w:firstLine="709"/>
        <w:jc w:val="both"/>
      </w:pPr>
      <w:r w:rsidRPr="0052319E">
        <w:rPr>
          <w:sz w:val="28"/>
          <w:szCs w:val="28"/>
        </w:rPr>
        <w:t xml:space="preserve">контроль за охватом диспансерным наблюдением </w:t>
      </w:r>
      <w:r w:rsidR="008B27DD" w:rsidRPr="0052319E">
        <w:rPr>
          <w:sz w:val="28"/>
          <w:szCs w:val="28"/>
        </w:rPr>
        <w:t>пациентов с онкологическими и предраковыми заболеваниями</w:t>
      </w:r>
      <w:r w:rsidRPr="0052319E">
        <w:rPr>
          <w:sz w:val="28"/>
          <w:szCs w:val="28"/>
        </w:rPr>
        <w:t xml:space="preserve">; </w:t>
      </w:r>
    </w:p>
    <w:p w:rsidR="00E135A2" w:rsidRPr="0052319E" w:rsidRDefault="00E135A2" w:rsidP="00EE4896">
      <w:pPr>
        <w:autoSpaceDE/>
        <w:autoSpaceDN/>
        <w:adjustRightInd/>
        <w:ind w:firstLine="709"/>
        <w:jc w:val="both"/>
        <w:rPr>
          <w:sz w:val="28"/>
          <w:szCs w:val="28"/>
        </w:rPr>
      </w:pPr>
      <w:r w:rsidRPr="0052319E">
        <w:rPr>
          <w:sz w:val="28"/>
          <w:szCs w:val="28"/>
        </w:rPr>
        <w:t>контрол</w:t>
      </w:r>
      <w:r w:rsidR="008B27DD" w:rsidRPr="0052319E">
        <w:rPr>
          <w:sz w:val="28"/>
          <w:szCs w:val="28"/>
        </w:rPr>
        <w:t>ь качества</w:t>
      </w:r>
      <w:r w:rsidRPr="0052319E">
        <w:rPr>
          <w:sz w:val="28"/>
          <w:szCs w:val="28"/>
        </w:rPr>
        <w:t xml:space="preserve"> </w:t>
      </w:r>
      <w:r w:rsidR="008B27DD" w:rsidRPr="0052319E">
        <w:rPr>
          <w:sz w:val="28"/>
          <w:szCs w:val="28"/>
        </w:rPr>
        <w:t>диспансерного</w:t>
      </w:r>
      <w:r w:rsidRPr="0052319E">
        <w:rPr>
          <w:sz w:val="28"/>
          <w:szCs w:val="28"/>
        </w:rPr>
        <w:t xml:space="preserve"> наблюдения за пациентами с установленным диагнозом ЗНО </w:t>
      </w:r>
      <w:r w:rsidR="0064356A" w:rsidRPr="0052319E">
        <w:rPr>
          <w:sz w:val="28"/>
          <w:szCs w:val="28"/>
        </w:rPr>
        <w:t xml:space="preserve">в части кратности наблюдения и объема проводимых исследований </w:t>
      </w:r>
      <w:r w:rsidR="002C433C" w:rsidRPr="0052319E">
        <w:rPr>
          <w:sz w:val="28"/>
          <w:szCs w:val="28"/>
        </w:rPr>
        <w:br/>
        <w:t>в</w:t>
      </w:r>
      <w:r w:rsidRPr="0052319E">
        <w:rPr>
          <w:sz w:val="28"/>
          <w:szCs w:val="28"/>
        </w:rPr>
        <w:t xml:space="preserve"> условиях первичных онкологических кабинетов /</w:t>
      </w:r>
      <w:r w:rsidR="00B243FC" w:rsidRPr="0052319E">
        <w:rPr>
          <w:sz w:val="28"/>
          <w:szCs w:val="28"/>
        </w:rPr>
        <w:t> </w:t>
      </w:r>
      <w:r w:rsidRPr="0052319E">
        <w:rPr>
          <w:sz w:val="28"/>
          <w:szCs w:val="28"/>
        </w:rPr>
        <w:t xml:space="preserve">центров амбулаторной онкологической помощи. </w:t>
      </w:r>
    </w:p>
    <w:p w:rsidR="009F6E33" w:rsidRPr="0052319E" w:rsidRDefault="00887958" w:rsidP="00EE4896">
      <w:pPr>
        <w:autoSpaceDE/>
        <w:autoSpaceDN/>
        <w:adjustRightInd/>
        <w:ind w:firstLine="709"/>
        <w:jc w:val="both"/>
        <w:rPr>
          <w:sz w:val="28"/>
          <w:szCs w:val="28"/>
        </w:rPr>
      </w:pPr>
      <w:r w:rsidRPr="0052319E">
        <w:rPr>
          <w:sz w:val="28"/>
          <w:szCs w:val="28"/>
        </w:rPr>
        <w:t>3</w:t>
      </w:r>
      <w:r w:rsidR="00377D26" w:rsidRPr="0052319E">
        <w:rPr>
          <w:sz w:val="28"/>
          <w:szCs w:val="28"/>
        </w:rPr>
        <w:t>.</w:t>
      </w:r>
      <w:r w:rsidRPr="0052319E">
        <w:rPr>
          <w:sz w:val="28"/>
          <w:szCs w:val="28"/>
        </w:rPr>
        <w:t>7</w:t>
      </w:r>
      <w:r w:rsidR="00377D26" w:rsidRPr="0052319E">
        <w:rPr>
          <w:sz w:val="28"/>
          <w:szCs w:val="28"/>
        </w:rPr>
        <w:t>.</w:t>
      </w:r>
      <w:r w:rsidR="00B243FC" w:rsidRPr="0052319E">
        <w:rPr>
          <w:sz w:val="28"/>
          <w:szCs w:val="28"/>
        </w:rPr>
        <w:t> </w:t>
      </w:r>
      <w:r w:rsidR="009F6E33" w:rsidRPr="0052319E">
        <w:rPr>
          <w:sz w:val="28"/>
          <w:szCs w:val="28"/>
        </w:rPr>
        <w:t xml:space="preserve">Организационно-методическое сопровождение деятельности онкологической службы </w:t>
      </w:r>
      <w:r w:rsidR="00B731AF" w:rsidRPr="0052319E">
        <w:rPr>
          <w:sz w:val="28"/>
          <w:szCs w:val="28"/>
        </w:rPr>
        <w:t>региона</w:t>
      </w:r>
      <w:r w:rsidR="009F6E33" w:rsidRPr="0052319E">
        <w:rPr>
          <w:sz w:val="28"/>
          <w:szCs w:val="28"/>
        </w:rPr>
        <w:t>.</w:t>
      </w:r>
    </w:p>
    <w:p w:rsidR="00F570E6" w:rsidRPr="0052319E" w:rsidRDefault="00F570E6" w:rsidP="00EE4896">
      <w:pPr>
        <w:autoSpaceDE/>
        <w:autoSpaceDN/>
        <w:adjustRightInd/>
        <w:ind w:firstLine="709"/>
        <w:jc w:val="both"/>
        <w:rPr>
          <w:sz w:val="28"/>
          <w:szCs w:val="28"/>
        </w:rPr>
      </w:pPr>
      <w:r w:rsidRPr="0052319E">
        <w:rPr>
          <w:sz w:val="28"/>
          <w:szCs w:val="28"/>
        </w:rPr>
        <w:t>Мониторинг показателей заболеваемости и распространенности ЗНО, смертности от ЗНО, доли ЗНО, выявленных на I стадии</w:t>
      </w:r>
      <w:r w:rsidR="00EE4896" w:rsidRPr="0052319E">
        <w:rPr>
          <w:sz w:val="28"/>
          <w:szCs w:val="28"/>
        </w:rPr>
        <w:t>,</w:t>
      </w:r>
      <w:r w:rsidRPr="0052319E">
        <w:rPr>
          <w:sz w:val="28"/>
          <w:szCs w:val="28"/>
        </w:rPr>
        <w:t xml:space="preserve"> от общего числа случаев </w:t>
      </w:r>
      <w:r w:rsidR="00935EBF" w:rsidRPr="0052319E">
        <w:rPr>
          <w:sz w:val="28"/>
          <w:szCs w:val="28"/>
        </w:rPr>
        <w:t xml:space="preserve">ЗНО </w:t>
      </w:r>
      <w:r w:rsidRPr="0052319E">
        <w:rPr>
          <w:sz w:val="28"/>
          <w:szCs w:val="28"/>
        </w:rPr>
        <w:t xml:space="preserve">визуальных локализаций, доли больных с ЗНО, живущих 5 </w:t>
      </w:r>
      <w:r w:rsidR="00935EBF" w:rsidRPr="0052319E">
        <w:rPr>
          <w:sz w:val="28"/>
          <w:szCs w:val="28"/>
        </w:rPr>
        <w:t xml:space="preserve">лет </w:t>
      </w:r>
      <w:r w:rsidRPr="0052319E">
        <w:rPr>
          <w:sz w:val="28"/>
          <w:szCs w:val="28"/>
        </w:rPr>
        <w:t>и более с момента установления диагноза, одногодичной летальности больных ЗНО, доли лиц с ЗНО, прошедших обследование в соответствии с индивидуальным планом ведения в рамках диспансерного наблюдения, из числа онкологических больных, завершивших лечение.</w:t>
      </w:r>
    </w:p>
    <w:p w:rsidR="00475D6E" w:rsidRPr="0052319E" w:rsidRDefault="00C97555" w:rsidP="00EE4896">
      <w:pPr>
        <w:autoSpaceDE/>
        <w:autoSpaceDN/>
        <w:adjustRightInd/>
        <w:ind w:firstLine="709"/>
        <w:jc w:val="both"/>
        <w:rPr>
          <w:sz w:val="28"/>
          <w:szCs w:val="28"/>
        </w:rPr>
      </w:pPr>
      <w:r w:rsidRPr="0052319E">
        <w:rPr>
          <w:sz w:val="28"/>
          <w:szCs w:val="28"/>
        </w:rPr>
        <w:t xml:space="preserve">Разработка и реализация </w:t>
      </w:r>
      <w:r w:rsidR="00475D6E" w:rsidRPr="0052319E">
        <w:rPr>
          <w:sz w:val="28"/>
          <w:szCs w:val="28"/>
        </w:rPr>
        <w:t xml:space="preserve">организационной модели решения по </w:t>
      </w:r>
      <w:r w:rsidR="00B04040" w:rsidRPr="0052319E">
        <w:rPr>
          <w:sz w:val="28"/>
          <w:szCs w:val="28"/>
        </w:rPr>
        <w:t xml:space="preserve">оказанию </w:t>
      </w:r>
      <w:r w:rsidR="00475D6E" w:rsidRPr="0052319E">
        <w:rPr>
          <w:sz w:val="28"/>
          <w:szCs w:val="28"/>
        </w:rPr>
        <w:t xml:space="preserve">специализированной медицинской помощи в неотложной форме пациентам с онкологическими заболеваниями. </w:t>
      </w:r>
    </w:p>
    <w:p w:rsidR="00475D6E" w:rsidRPr="0052319E" w:rsidRDefault="00475D6E" w:rsidP="00EE4896">
      <w:pPr>
        <w:autoSpaceDE/>
        <w:autoSpaceDN/>
        <w:adjustRightInd/>
        <w:ind w:firstLine="709"/>
        <w:jc w:val="both"/>
        <w:rPr>
          <w:sz w:val="28"/>
          <w:szCs w:val="28"/>
        </w:rPr>
      </w:pPr>
      <w:r w:rsidRPr="0052319E">
        <w:rPr>
          <w:sz w:val="28"/>
          <w:szCs w:val="28"/>
        </w:rPr>
        <w:t xml:space="preserve">Разработка и реализация организационной модели решения по сокращению сроков </w:t>
      </w:r>
      <w:r w:rsidRPr="0052319E">
        <w:rPr>
          <w:color w:val="000000"/>
          <w:sz w:val="28"/>
          <w:szCs w:val="28"/>
        </w:rPr>
        <w:t>обследования пациентов</w:t>
      </w:r>
      <w:r w:rsidRPr="0052319E">
        <w:rPr>
          <w:sz w:val="28"/>
          <w:szCs w:val="28"/>
        </w:rPr>
        <w:t xml:space="preserve"> </w:t>
      </w:r>
      <w:r w:rsidRPr="0052319E">
        <w:rPr>
          <w:color w:val="000000"/>
          <w:sz w:val="28"/>
          <w:szCs w:val="28"/>
        </w:rPr>
        <w:t xml:space="preserve">с подозрением на онкологическое заболевание. </w:t>
      </w:r>
    </w:p>
    <w:p w:rsidR="00C97555" w:rsidRPr="0052319E" w:rsidRDefault="00C97555" w:rsidP="00EE4896">
      <w:pPr>
        <w:autoSpaceDE/>
        <w:autoSpaceDN/>
        <w:adjustRightInd/>
        <w:ind w:firstLine="709"/>
        <w:jc w:val="both"/>
        <w:rPr>
          <w:sz w:val="28"/>
          <w:szCs w:val="28"/>
        </w:rPr>
      </w:pPr>
      <w:r w:rsidRPr="0052319E">
        <w:rPr>
          <w:sz w:val="28"/>
          <w:szCs w:val="28"/>
        </w:rPr>
        <w:t xml:space="preserve">Совершенствование учета вновь выявленных случаев онкологических заболеваний. </w:t>
      </w:r>
    </w:p>
    <w:p w:rsidR="008260E5" w:rsidRPr="0052319E" w:rsidRDefault="008260E5" w:rsidP="00EE4896">
      <w:pPr>
        <w:autoSpaceDE/>
        <w:autoSpaceDN/>
        <w:adjustRightInd/>
        <w:ind w:firstLine="709"/>
        <w:jc w:val="both"/>
        <w:rPr>
          <w:sz w:val="28"/>
          <w:szCs w:val="28"/>
        </w:rPr>
      </w:pPr>
      <w:r w:rsidRPr="0052319E">
        <w:rPr>
          <w:sz w:val="28"/>
          <w:szCs w:val="28"/>
        </w:rPr>
        <w:t>Мультидисциплинарный контроль и анализ проводимой диспансеризации взрослого населения, в том числе скрини</w:t>
      </w:r>
      <w:r w:rsidR="00935EBF" w:rsidRPr="0052319E">
        <w:rPr>
          <w:sz w:val="28"/>
          <w:szCs w:val="28"/>
        </w:rPr>
        <w:t>н</w:t>
      </w:r>
      <w:r w:rsidRPr="0052319E">
        <w:rPr>
          <w:sz w:val="28"/>
          <w:szCs w:val="28"/>
        </w:rPr>
        <w:t xml:space="preserve">гового обследования. </w:t>
      </w:r>
    </w:p>
    <w:p w:rsidR="008260E5" w:rsidRPr="0052319E" w:rsidRDefault="008260E5" w:rsidP="00EE4896">
      <w:pPr>
        <w:autoSpaceDE/>
        <w:autoSpaceDN/>
        <w:adjustRightInd/>
        <w:ind w:firstLine="709"/>
        <w:jc w:val="both"/>
        <w:rPr>
          <w:sz w:val="28"/>
          <w:szCs w:val="28"/>
        </w:rPr>
      </w:pPr>
      <w:r w:rsidRPr="0052319E">
        <w:rPr>
          <w:sz w:val="28"/>
          <w:szCs w:val="28"/>
        </w:rPr>
        <w:t xml:space="preserve">Персонифицированный контроль правильности кодирования первоначальной причины смерти пациентов с онкологическими заболеваниями. </w:t>
      </w:r>
    </w:p>
    <w:p w:rsidR="008260E5" w:rsidRPr="0052319E" w:rsidRDefault="008260E5" w:rsidP="00EE4896">
      <w:pPr>
        <w:autoSpaceDE/>
        <w:autoSpaceDN/>
        <w:adjustRightInd/>
        <w:ind w:firstLine="709"/>
        <w:jc w:val="both"/>
        <w:rPr>
          <w:sz w:val="28"/>
          <w:szCs w:val="28"/>
        </w:rPr>
      </w:pPr>
      <w:r w:rsidRPr="0052319E">
        <w:rPr>
          <w:sz w:val="28"/>
          <w:szCs w:val="28"/>
        </w:rPr>
        <w:t xml:space="preserve">Межведомственное взаимодействие по оказанию помощи, в том числе паллиативной медицинской помощи, пациентам с онкологическими заболеваниями. </w:t>
      </w:r>
    </w:p>
    <w:p w:rsidR="008260E5" w:rsidRPr="0052319E" w:rsidRDefault="008260E5" w:rsidP="00EE4896">
      <w:pPr>
        <w:autoSpaceDE/>
        <w:autoSpaceDN/>
        <w:adjustRightInd/>
        <w:ind w:firstLine="709"/>
        <w:jc w:val="both"/>
        <w:rPr>
          <w:sz w:val="28"/>
          <w:szCs w:val="28"/>
        </w:rPr>
      </w:pPr>
      <w:r w:rsidRPr="0052319E">
        <w:rPr>
          <w:sz w:val="28"/>
          <w:szCs w:val="28"/>
        </w:rPr>
        <w:t xml:space="preserve">Обеспечение </w:t>
      </w:r>
      <w:r w:rsidR="008F3BD5" w:rsidRPr="0052319E">
        <w:rPr>
          <w:sz w:val="28"/>
          <w:szCs w:val="28"/>
        </w:rPr>
        <w:t xml:space="preserve">организации оказания медицинской помощи пациентам с онкологическими заболеваниями на основе клинических рекомендаций. </w:t>
      </w:r>
    </w:p>
    <w:p w:rsidR="008F3BD5" w:rsidRPr="0052319E" w:rsidRDefault="008F3BD5" w:rsidP="00EE4896">
      <w:pPr>
        <w:autoSpaceDE/>
        <w:autoSpaceDN/>
        <w:adjustRightInd/>
        <w:ind w:firstLine="709"/>
        <w:jc w:val="both"/>
        <w:rPr>
          <w:sz w:val="28"/>
          <w:szCs w:val="28"/>
        </w:rPr>
      </w:pPr>
      <w:r w:rsidRPr="0052319E">
        <w:rPr>
          <w:sz w:val="28"/>
          <w:szCs w:val="28"/>
        </w:rPr>
        <w:t xml:space="preserve">Обеспечение функционирования системы внутреннего и ведомственного контроля качества оказания медицинской помощи пациентам с онкологическими заболеваниями. </w:t>
      </w:r>
    </w:p>
    <w:p w:rsidR="00803BD2" w:rsidRPr="0052319E" w:rsidRDefault="00803BD2" w:rsidP="00EE4896">
      <w:pPr>
        <w:autoSpaceDE/>
        <w:autoSpaceDN/>
        <w:adjustRightInd/>
        <w:ind w:firstLine="709"/>
        <w:jc w:val="both"/>
        <w:rPr>
          <w:sz w:val="28"/>
          <w:szCs w:val="28"/>
        </w:rPr>
      </w:pPr>
      <w:r w:rsidRPr="0052319E">
        <w:rPr>
          <w:sz w:val="28"/>
          <w:szCs w:val="28"/>
        </w:rPr>
        <w:t xml:space="preserve">Взаимодействие с </w:t>
      </w:r>
      <w:r w:rsidR="00B1285B">
        <w:rPr>
          <w:sz w:val="28"/>
          <w:szCs w:val="28"/>
        </w:rPr>
        <w:t>ФГБУ</w:t>
      </w:r>
      <w:r w:rsidRPr="0052319E">
        <w:rPr>
          <w:sz w:val="28"/>
          <w:szCs w:val="28"/>
        </w:rPr>
        <w:t xml:space="preserve"> </w:t>
      </w:r>
      <w:r w:rsidR="002F7358" w:rsidRPr="0052319E">
        <w:rPr>
          <w:sz w:val="28"/>
          <w:szCs w:val="28"/>
        </w:rPr>
        <w:t>«</w:t>
      </w:r>
      <w:r w:rsidRPr="0052319E">
        <w:rPr>
          <w:sz w:val="28"/>
          <w:szCs w:val="28"/>
        </w:rPr>
        <w:t>Национальный медицинский исследовательский центр радиологии</w:t>
      </w:r>
      <w:r w:rsidR="002F7358" w:rsidRPr="0052319E">
        <w:rPr>
          <w:sz w:val="28"/>
          <w:szCs w:val="28"/>
        </w:rPr>
        <w:t>»</w:t>
      </w:r>
      <w:r w:rsidRPr="0052319E">
        <w:rPr>
          <w:sz w:val="28"/>
          <w:szCs w:val="28"/>
        </w:rPr>
        <w:t xml:space="preserve"> Министерства здравоохранения Российской Федерации в рамках оказываемой организационно-методической помощи по совершенствованию оказания медицинской помощи по профилю </w:t>
      </w:r>
      <w:r w:rsidR="002F7358" w:rsidRPr="0052319E">
        <w:rPr>
          <w:sz w:val="28"/>
          <w:szCs w:val="28"/>
        </w:rPr>
        <w:t>«</w:t>
      </w:r>
      <w:r w:rsidRPr="0052319E">
        <w:rPr>
          <w:sz w:val="28"/>
          <w:szCs w:val="28"/>
        </w:rPr>
        <w:t>онкология</w:t>
      </w:r>
      <w:r w:rsidR="002F7358" w:rsidRPr="0052319E">
        <w:rPr>
          <w:sz w:val="28"/>
          <w:szCs w:val="28"/>
        </w:rPr>
        <w:t>»</w:t>
      </w:r>
      <w:r w:rsidRPr="0052319E">
        <w:rPr>
          <w:sz w:val="28"/>
          <w:szCs w:val="28"/>
        </w:rPr>
        <w:t xml:space="preserve"> в Республике Татарстан. </w:t>
      </w:r>
    </w:p>
    <w:p w:rsidR="008F3BD5" w:rsidRPr="0052319E" w:rsidRDefault="008F3BD5" w:rsidP="00EE4896">
      <w:pPr>
        <w:autoSpaceDE/>
        <w:autoSpaceDN/>
        <w:adjustRightInd/>
        <w:ind w:firstLine="709"/>
        <w:jc w:val="both"/>
        <w:rPr>
          <w:sz w:val="28"/>
          <w:szCs w:val="28"/>
        </w:rPr>
      </w:pPr>
      <w:r w:rsidRPr="0052319E">
        <w:rPr>
          <w:sz w:val="28"/>
          <w:szCs w:val="28"/>
        </w:rPr>
        <w:t xml:space="preserve">Взаимодействие с федеральными телемедицинскими консультативными центрами по проведению телемедицинских консультаций. </w:t>
      </w:r>
    </w:p>
    <w:p w:rsidR="008F3BD5" w:rsidRPr="0052319E" w:rsidRDefault="008F3BD5" w:rsidP="00EE4896">
      <w:pPr>
        <w:autoSpaceDE/>
        <w:autoSpaceDN/>
        <w:adjustRightInd/>
        <w:ind w:firstLine="709"/>
        <w:jc w:val="both"/>
        <w:rPr>
          <w:sz w:val="28"/>
          <w:szCs w:val="28"/>
        </w:rPr>
      </w:pPr>
      <w:r w:rsidRPr="0052319E">
        <w:rPr>
          <w:sz w:val="28"/>
          <w:szCs w:val="28"/>
        </w:rPr>
        <w:t xml:space="preserve">Организация проведения врачами-онкологами ГАУЗ </w:t>
      </w:r>
      <w:r w:rsidR="002F7358" w:rsidRPr="0052319E">
        <w:rPr>
          <w:rFonts w:eastAsia="Arial"/>
          <w:sz w:val="28"/>
          <w:szCs w:val="28"/>
        </w:rPr>
        <w:t>«</w:t>
      </w:r>
      <w:r w:rsidR="002C433C" w:rsidRPr="0052319E">
        <w:rPr>
          <w:rFonts w:eastAsia="Arial"/>
          <w:sz w:val="28"/>
          <w:szCs w:val="28"/>
        </w:rPr>
        <w:t>РКОД МЗ РТ им.</w:t>
      </w:r>
      <w:r w:rsidR="004C090A" w:rsidRPr="0052319E">
        <w:rPr>
          <w:rFonts w:eastAsia="Arial"/>
          <w:sz w:val="28"/>
          <w:szCs w:val="28"/>
        </w:rPr>
        <w:t>проф.М.З.Сигала</w:t>
      </w:r>
      <w:r w:rsidR="002F7358" w:rsidRPr="0052319E">
        <w:rPr>
          <w:rFonts w:eastAsia="Arial"/>
          <w:sz w:val="28"/>
          <w:szCs w:val="28"/>
        </w:rPr>
        <w:t>»</w:t>
      </w:r>
      <w:r w:rsidRPr="0052319E">
        <w:rPr>
          <w:sz w:val="28"/>
          <w:szCs w:val="28"/>
        </w:rPr>
        <w:t xml:space="preserve"> первичных телемедицинских консультаций </w:t>
      </w:r>
      <w:r w:rsidRPr="0052319E">
        <w:rPr>
          <w:color w:val="000000"/>
          <w:sz w:val="28"/>
          <w:szCs w:val="28"/>
        </w:rPr>
        <w:t xml:space="preserve">пациентам с подозрением на онкологическое заболевание в формате </w:t>
      </w:r>
      <w:r w:rsidR="002F7358" w:rsidRPr="0052319E">
        <w:rPr>
          <w:color w:val="000000"/>
          <w:sz w:val="28"/>
          <w:szCs w:val="28"/>
        </w:rPr>
        <w:t>«</w:t>
      </w:r>
      <w:r w:rsidRPr="0052319E">
        <w:rPr>
          <w:color w:val="000000"/>
          <w:sz w:val="28"/>
          <w:szCs w:val="28"/>
        </w:rPr>
        <w:t>врач</w:t>
      </w:r>
      <w:r w:rsidR="00935EBF" w:rsidRPr="0052319E">
        <w:rPr>
          <w:color w:val="000000"/>
          <w:sz w:val="28"/>
          <w:szCs w:val="28"/>
        </w:rPr>
        <w:t xml:space="preserve"> – </w:t>
      </w:r>
      <w:r w:rsidRPr="0052319E">
        <w:rPr>
          <w:color w:val="000000"/>
          <w:sz w:val="28"/>
          <w:szCs w:val="28"/>
        </w:rPr>
        <w:t>врач</w:t>
      </w:r>
      <w:r w:rsidR="002F7358" w:rsidRPr="0052319E">
        <w:rPr>
          <w:color w:val="000000"/>
          <w:sz w:val="28"/>
          <w:szCs w:val="28"/>
        </w:rPr>
        <w:t>»</w:t>
      </w:r>
      <w:r w:rsidRPr="0052319E">
        <w:rPr>
          <w:color w:val="000000"/>
          <w:sz w:val="28"/>
          <w:szCs w:val="28"/>
        </w:rPr>
        <w:t xml:space="preserve"> (с </w:t>
      </w:r>
      <w:r w:rsidRPr="0052319E">
        <w:rPr>
          <w:sz w:val="28"/>
          <w:szCs w:val="28"/>
        </w:rPr>
        <w:t xml:space="preserve">врачами-онкологами первичных онкологических кабинетов и центров амбулаторной онкологической помощи). </w:t>
      </w:r>
    </w:p>
    <w:p w:rsidR="009F6E33" w:rsidRPr="0052319E" w:rsidRDefault="00887958" w:rsidP="00B04040">
      <w:pPr>
        <w:autoSpaceDE/>
        <w:autoSpaceDN/>
        <w:adjustRightInd/>
        <w:spacing w:line="235" w:lineRule="auto"/>
        <w:ind w:firstLine="709"/>
        <w:jc w:val="both"/>
        <w:rPr>
          <w:sz w:val="28"/>
          <w:szCs w:val="28"/>
        </w:rPr>
      </w:pPr>
      <w:r w:rsidRPr="0052319E">
        <w:rPr>
          <w:sz w:val="28"/>
          <w:szCs w:val="28"/>
        </w:rPr>
        <w:t>3</w:t>
      </w:r>
      <w:r w:rsidR="00377D26" w:rsidRPr="0052319E">
        <w:rPr>
          <w:sz w:val="28"/>
          <w:szCs w:val="28"/>
        </w:rPr>
        <w:t>.</w:t>
      </w:r>
      <w:r w:rsidRPr="0052319E">
        <w:rPr>
          <w:sz w:val="28"/>
          <w:szCs w:val="28"/>
        </w:rPr>
        <w:t>8</w:t>
      </w:r>
      <w:r w:rsidR="00377D26" w:rsidRPr="0052319E">
        <w:rPr>
          <w:sz w:val="28"/>
          <w:szCs w:val="28"/>
        </w:rPr>
        <w:t>.</w:t>
      </w:r>
      <w:r w:rsidR="00E135A2" w:rsidRPr="0052319E">
        <w:rPr>
          <w:sz w:val="28"/>
          <w:szCs w:val="28"/>
        </w:rPr>
        <w:t xml:space="preserve"> </w:t>
      </w:r>
      <w:r w:rsidR="009F6E33" w:rsidRPr="0052319E">
        <w:rPr>
          <w:sz w:val="28"/>
          <w:szCs w:val="28"/>
        </w:rPr>
        <w:t xml:space="preserve">Внедрение информационных технологий в работу онкологической службы и их интеграция с медицинскими информационными системами медицинских организаций </w:t>
      </w:r>
      <w:r w:rsidR="00B731AF" w:rsidRPr="0052319E">
        <w:rPr>
          <w:sz w:val="28"/>
          <w:szCs w:val="28"/>
        </w:rPr>
        <w:t>региона</w:t>
      </w:r>
      <w:r w:rsidR="00D80B68" w:rsidRPr="0052319E">
        <w:rPr>
          <w:sz w:val="28"/>
          <w:szCs w:val="28"/>
        </w:rPr>
        <w:t xml:space="preserve"> и информационно-аналитической системой популяционного ракового регистра региона</w:t>
      </w:r>
      <w:r w:rsidR="009F6E33" w:rsidRPr="0052319E">
        <w:rPr>
          <w:sz w:val="28"/>
          <w:szCs w:val="28"/>
        </w:rPr>
        <w:t xml:space="preserve">. </w:t>
      </w:r>
    </w:p>
    <w:p w:rsidR="00C9416E" w:rsidRPr="0052319E" w:rsidRDefault="00C9416E" w:rsidP="002C433C">
      <w:pPr>
        <w:autoSpaceDE/>
        <w:autoSpaceDN/>
        <w:adjustRightInd/>
        <w:ind w:firstLine="709"/>
        <w:jc w:val="both"/>
        <w:rPr>
          <w:sz w:val="28"/>
          <w:szCs w:val="28"/>
        </w:rPr>
      </w:pPr>
      <w:r w:rsidRPr="0052319E">
        <w:rPr>
          <w:sz w:val="28"/>
          <w:szCs w:val="28"/>
        </w:rPr>
        <w:t xml:space="preserve">Модернизация, развитие, техническая поддержка государственной информационной системы в сфере здравоохранения Республики Татарстан в части внедрения региональной централизованной системы </w:t>
      </w:r>
      <w:r w:rsidR="002F7358" w:rsidRPr="0052319E">
        <w:rPr>
          <w:sz w:val="28"/>
          <w:szCs w:val="28"/>
        </w:rPr>
        <w:t>«</w:t>
      </w:r>
      <w:r w:rsidRPr="0052319E">
        <w:rPr>
          <w:sz w:val="28"/>
          <w:szCs w:val="28"/>
        </w:rPr>
        <w:t>Организация оказания медицинской помощи больным онкологическими заболеваниями</w:t>
      </w:r>
      <w:r w:rsidR="002F7358" w:rsidRPr="0052319E">
        <w:rPr>
          <w:sz w:val="28"/>
          <w:szCs w:val="28"/>
        </w:rPr>
        <w:t>»</w:t>
      </w:r>
      <w:r w:rsidRPr="0052319E">
        <w:rPr>
          <w:sz w:val="28"/>
          <w:szCs w:val="28"/>
        </w:rPr>
        <w:t xml:space="preserve">. </w:t>
      </w:r>
    </w:p>
    <w:p w:rsidR="00C9416E" w:rsidRPr="0052319E" w:rsidRDefault="00C9416E" w:rsidP="00E92564">
      <w:pPr>
        <w:autoSpaceDE/>
        <w:autoSpaceDN/>
        <w:adjustRightInd/>
        <w:ind w:firstLine="709"/>
        <w:jc w:val="both"/>
        <w:rPr>
          <w:sz w:val="28"/>
          <w:szCs w:val="28"/>
        </w:rPr>
      </w:pPr>
      <w:r w:rsidRPr="0052319E">
        <w:rPr>
          <w:sz w:val="28"/>
          <w:szCs w:val="28"/>
        </w:rPr>
        <w:t xml:space="preserve">Миграция данных </w:t>
      </w:r>
      <w:r w:rsidR="00935EBF" w:rsidRPr="0052319E">
        <w:rPr>
          <w:sz w:val="28"/>
          <w:szCs w:val="28"/>
        </w:rPr>
        <w:t>к</w:t>
      </w:r>
      <w:r w:rsidRPr="0052319E">
        <w:rPr>
          <w:sz w:val="28"/>
          <w:szCs w:val="28"/>
        </w:rPr>
        <w:t xml:space="preserve">анцер-регистра Республики Татарстан в государственную информационную систему в сфере здравоохранения Республики Татарстан. </w:t>
      </w:r>
    </w:p>
    <w:p w:rsidR="00C9416E" w:rsidRPr="0052319E" w:rsidRDefault="00C9416E" w:rsidP="00E92564">
      <w:pPr>
        <w:ind w:firstLine="709"/>
        <w:jc w:val="both"/>
        <w:rPr>
          <w:sz w:val="28"/>
          <w:szCs w:val="28"/>
        </w:rPr>
      </w:pPr>
      <w:r w:rsidRPr="0052319E">
        <w:rPr>
          <w:sz w:val="28"/>
          <w:szCs w:val="28"/>
        </w:rPr>
        <w:t xml:space="preserve">Модернизация </w:t>
      </w:r>
      <w:r w:rsidR="005A1061" w:rsidRPr="0052319E">
        <w:rPr>
          <w:bCs/>
          <w:color w:val="333333"/>
          <w:sz w:val="28"/>
          <w:szCs w:val="28"/>
          <w:shd w:val="clear" w:color="auto" w:fill="FFFFFF"/>
        </w:rPr>
        <w:t>а</w:t>
      </w:r>
      <w:r w:rsidR="002504C0" w:rsidRPr="0052319E">
        <w:rPr>
          <w:bCs/>
          <w:color w:val="333333"/>
          <w:sz w:val="28"/>
          <w:szCs w:val="28"/>
          <w:shd w:val="clear" w:color="auto" w:fill="FFFFFF"/>
        </w:rPr>
        <w:t>втоматизированно</w:t>
      </w:r>
      <w:r w:rsidR="005A1061" w:rsidRPr="0052319E">
        <w:rPr>
          <w:bCs/>
          <w:color w:val="333333"/>
          <w:sz w:val="28"/>
          <w:szCs w:val="28"/>
          <w:shd w:val="clear" w:color="auto" w:fill="FFFFFF"/>
        </w:rPr>
        <w:t>го</w:t>
      </w:r>
      <w:r w:rsidR="002504C0" w:rsidRPr="0052319E">
        <w:rPr>
          <w:bCs/>
          <w:color w:val="333333"/>
          <w:sz w:val="28"/>
          <w:szCs w:val="28"/>
          <w:shd w:val="clear" w:color="auto" w:fill="FFFFFF"/>
        </w:rPr>
        <w:t xml:space="preserve"> рабоче</w:t>
      </w:r>
      <w:r w:rsidR="005A1061" w:rsidRPr="0052319E">
        <w:rPr>
          <w:bCs/>
          <w:color w:val="333333"/>
          <w:sz w:val="28"/>
          <w:szCs w:val="28"/>
          <w:shd w:val="clear" w:color="auto" w:fill="FFFFFF"/>
        </w:rPr>
        <w:t>го</w:t>
      </w:r>
      <w:r w:rsidR="002504C0" w:rsidRPr="0052319E">
        <w:rPr>
          <w:bCs/>
          <w:color w:val="333333"/>
          <w:sz w:val="28"/>
          <w:szCs w:val="28"/>
          <w:shd w:val="clear" w:color="auto" w:fill="FFFFFF"/>
        </w:rPr>
        <w:t xml:space="preserve"> мест</w:t>
      </w:r>
      <w:r w:rsidR="005A1061" w:rsidRPr="0052319E">
        <w:rPr>
          <w:bCs/>
          <w:color w:val="333333"/>
          <w:sz w:val="28"/>
          <w:szCs w:val="28"/>
          <w:shd w:val="clear" w:color="auto" w:fill="FFFFFF"/>
        </w:rPr>
        <w:t>а</w:t>
      </w:r>
      <w:r w:rsidR="002504C0" w:rsidRPr="0052319E">
        <w:rPr>
          <w:sz w:val="28"/>
          <w:szCs w:val="28"/>
        </w:rPr>
        <w:t xml:space="preserve"> </w:t>
      </w:r>
      <w:r w:rsidRPr="0052319E">
        <w:rPr>
          <w:sz w:val="28"/>
          <w:szCs w:val="28"/>
        </w:rPr>
        <w:t>врача первичного онкологического кабинета / центра амбулаторной онкологической помощи</w:t>
      </w:r>
      <w:r w:rsidR="004C090A" w:rsidRPr="0052319E">
        <w:rPr>
          <w:sz w:val="28"/>
          <w:szCs w:val="28"/>
        </w:rPr>
        <w:t>.</w:t>
      </w:r>
    </w:p>
    <w:p w:rsidR="00C9416E" w:rsidRPr="0052319E" w:rsidRDefault="00C9416E" w:rsidP="00E92564">
      <w:pPr>
        <w:autoSpaceDE/>
        <w:autoSpaceDN/>
        <w:adjustRightInd/>
        <w:ind w:firstLine="709"/>
        <w:jc w:val="both"/>
        <w:rPr>
          <w:sz w:val="28"/>
          <w:szCs w:val="28"/>
        </w:rPr>
      </w:pPr>
      <w:r w:rsidRPr="0052319E">
        <w:rPr>
          <w:sz w:val="28"/>
          <w:szCs w:val="28"/>
        </w:rPr>
        <w:t xml:space="preserve">Техническая поддержка функционирующей системы электронной записи пациентов на прием врача-онколога ГАУЗ </w:t>
      </w:r>
      <w:r w:rsidR="002F7358" w:rsidRPr="0052319E">
        <w:rPr>
          <w:rFonts w:eastAsia="Arial"/>
          <w:sz w:val="28"/>
          <w:szCs w:val="28"/>
        </w:rPr>
        <w:t>«</w:t>
      </w:r>
      <w:r w:rsidR="002C433C" w:rsidRPr="0052319E">
        <w:rPr>
          <w:rFonts w:eastAsia="Arial"/>
          <w:sz w:val="28"/>
          <w:szCs w:val="28"/>
        </w:rPr>
        <w:t>РКОД МЗ РТ им.проф.</w:t>
      </w:r>
      <w:r w:rsidR="004C090A" w:rsidRPr="0052319E">
        <w:rPr>
          <w:rFonts w:eastAsia="Arial"/>
          <w:sz w:val="28"/>
          <w:szCs w:val="28"/>
        </w:rPr>
        <w:t>М.З.Сигала</w:t>
      </w:r>
      <w:r w:rsidR="002F7358" w:rsidRPr="0052319E">
        <w:rPr>
          <w:rFonts w:eastAsia="Arial"/>
          <w:sz w:val="28"/>
          <w:szCs w:val="28"/>
        </w:rPr>
        <w:t>»</w:t>
      </w:r>
      <w:r w:rsidRPr="0052319E">
        <w:rPr>
          <w:sz w:val="28"/>
          <w:szCs w:val="28"/>
        </w:rPr>
        <w:t>, Набережноче</w:t>
      </w:r>
      <w:r w:rsidR="00935EBF" w:rsidRPr="0052319E">
        <w:rPr>
          <w:sz w:val="28"/>
          <w:szCs w:val="28"/>
        </w:rPr>
        <w:t>л</w:t>
      </w:r>
      <w:r w:rsidRPr="0052319E">
        <w:rPr>
          <w:sz w:val="28"/>
          <w:szCs w:val="28"/>
        </w:rPr>
        <w:t xml:space="preserve">нинского и Альметьевского филиалов ГАУЗ </w:t>
      </w:r>
      <w:r w:rsidR="002F7358" w:rsidRPr="0052319E">
        <w:rPr>
          <w:rFonts w:eastAsia="Arial"/>
          <w:sz w:val="28"/>
          <w:szCs w:val="28"/>
        </w:rPr>
        <w:t>«</w:t>
      </w:r>
      <w:r w:rsidR="002C433C" w:rsidRPr="0052319E">
        <w:rPr>
          <w:rFonts w:eastAsia="Arial"/>
          <w:sz w:val="28"/>
          <w:szCs w:val="28"/>
        </w:rPr>
        <w:t>РКОД МЗ РТ им.проф.</w:t>
      </w:r>
      <w:r w:rsidR="004C090A" w:rsidRPr="0052319E">
        <w:rPr>
          <w:rFonts w:eastAsia="Arial"/>
          <w:sz w:val="28"/>
          <w:szCs w:val="28"/>
        </w:rPr>
        <w:t>М.З.Сигала</w:t>
      </w:r>
      <w:r w:rsidR="002F7358" w:rsidRPr="0052319E">
        <w:rPr>
          <w:rFonts w:eastAsia="Arial"/>
          <w:sz w:val="28"/>
          <w:szCs w:val="28"/>
        </w:rPr>
        <w:t>»</w:t>
      </w:r>
      <w:r w:rsidRPr="0052319E">
        <w:rPr>
          <w:sz w:val="28"/>
          <w:szCs w:val="28"/>
        </w:rPr>
        <w:t xml:space="preserve"> в рамках интеграции с </w:t>
      </w:r>
      <w:r w:rsidRPr="0052319E">
        <w:rPr>
          <w:rStyle w:val="aa"/>
          <w:b w:val="0"/>
          <w:sz w:val="28"/>
          <w:szCs w:val="28"/>
          <w:shd w:val="clear" w:color="auto" w:fill="FFFFFF"/>
        </w:rPr>
        <w:t>автоматизированным рабочим местом</w:t>
      </w:r>
      <w:r w:rsidRPr="0052319E">
        <w:rPr>
          <w:sz w:val="28"/>
          <w:szCs w:val="28"/>
        </w:rPr>
        <w:t xml:space="preserve"> врача первичного онкологического кабинета / центра амбулаторной онкологической</w:t>
      </w:r>
      <w:r w:rsidR="00935EBF" w:rsidRPr="0052319E">
        <w:rPr>
          <w:sz w:val="28"/>
          <w:szCs w:val="28"/>
        </w:rPr>
        <w:t xml:space="preserve"> помощи</w:t>
      </w:r>
      <w:r w:rsidRPr="0052319E">
        <w:rPr>
          <w:sz w:val="28"/>
          <w:szCs w:val="28"/>
        </w:rPr>
        <w:t xml:space="preserve">. </w:t>
      </w:r>
    </w:p>
    <w:p w:rsidR="00C9416E" w:rsidRPr="0052319E" w:rsidRDefault="00C9416E" w:rsidP="00E92564">
      <w:pPr>
        <w:ind w:firstLine="709"/>
        <w:jc w:val="both"/>
        <w:rPr>
          <w:sz w:val="28"/>
          <w:szCs w:val="28"/>
        </w:rPr>
      </w:pPr>
      <w:r w:rsidRPr="0052319E">
        <w:rPr>
          <w:sz w:val="28"/>
          <w:szCs w:val="28"/>
        </w:rPr>
        <w:t xml:space="preserve">Техническая поддержка и развитие внедренной централизованной системы </w:t>
      </w:r>
      <w:r w:rsidR="002F7358" w:rsidRPr="0052319E">
        <w:rPr>
          <w:sz w:val="28"/>
          <w:szCs w:val="28"/>
        </w:rPr>
        <w:t>«</w:t>
      </w:r>
      <w:r w:rsidRPr="0052319E">
        <w:rPr>
          <w:sz w:val="28"/>
          <w:szCs w:val="28"/>
        </w:rPr>
        <w:t>Лабораторные исследования</w:t>
      </w:r>
      <w:r w:rsidR="002F7358" w:rsidRPr="0052319E">
        <w:rPr>
          <w:sz w:val="28"/>
          <w:szCs w:val="28"/>
        </w:rPr>
        <w:t>»</w:t>
      </w:r>
      <w:r w:rsidRPr="0052319E">
        <w:rPr>
          <w:sz w:val="28"/>
          <w:szCs w:val="28"/>
        </w:rPr>
        <w:t xml:space="preserve">, интегрированной с медицинской информационной системой ГАУЗ </w:t>
      </w:r>
      <w:r w:rsidR="002F7358" w:rsidRPr="0052319E">
        <w:rPr>
          <w:rFonts w:eastAsia="Arial"/>
          <w:sz w:val="28"/>
          <w:szCs w:val="28"/>
        </w:rPr>
        <w:t>«</w:t>
      </w:r>
      <w:r w:rsidR="00891E01" w:rsidRPr="0052319E">
        <w:rPr>
          <w:rFonts w:eastAsia="Arial"/>
          <w:sz w:val="28"/>
          <w:szCs w:val="28"/>
        </w:rPr>
        <w:t>РКОД МЗ РТ им.</w:t>
      </w:r>
      <w:r w:rsidR="002C433C" w:rsidRPr="0052319E">
        <w:rPr>
          <w:rFonts w:eastAsia="Arial"/>
          <w:sz w:val="28"/>
          <w:szCs w:val="28"/>
        </w:rPr>
        <w:t>проф.</w:t>
      </w:r>
      <w:r w:rsidR="00891E01" w:rsidRPr="0052319E">
        <w:rPr>
          <w:rFonts w:eastAsia="Arial"/>
          <w:sz w:val="28"/>
          <w:szCs w:val="28"/>
        </w:rPr>
        <w:t>М.З.Сигала</w:t>
      </w:r>
      <w:r w:rsidR="002F7358" w:rsidRPr="0052319E">
        <w:rPr>
          <w:rFonts w:eastAsia="Arial"/>
          <w:sz w:val="28"/>
          <w:szCs w:val="28"/>
        </w:rPr>
        <w:t>»</w:t>
      </w:r>
      <w:r w:rsidRPr="0052319E">
        <w:rPr>
          <w:sz w:val="28"/>
          <w:szCs w:val="28"/>
        </w:rPr>
        <w:t xml:space="preserve">. </w:t>
      </w:r>
    </w:p>
    <w:p w:rsidR="00C9416E" w:rsidRPr="0052319E" w:rsidRDefault="00C9416E" w:rsidP="00E92564">
      <w:pPr>
        <w:autoSpaceDE/>
        <w:autoSpaceDN/>
        <w:adjustRightInd/>
        <w:ind w:firstLine="709"/>
        <w:jc w:val="both"/>
        <w:rPr>
          <w:sz w:val="28"/>
          <w:szCs w:val="28"/>
        </w:rPr>
      </w:pPr>
      <w:r w:rsidRPr="0052319E">
        <w:rPr>
          <w:sz w:val="28"/>
          <w:szCs w:val="28"/>
        </w:rPr>
        <w:t xml:space="preserve">Модернизация медицинской </w:t>
      </w:r>
      <w:r w:rsidR="00660B1F" w:rsidRPr="0052319E">
        <w:rPr>
          <w:sz w:val="28"/>
          <w:szCs w:val="28"/>
        </w:rPr>
        <w:t>государственной информационной системы в сфере здравоохранения Республики Татарстан</w:t>
      </w:r>
      <w:r w:rsidRPr="0052319E">
        <w:rPr>
          <w:sz w:val="28"/>
          <w:szCs w:val="28"/>
        </w:rPr>
        <w:t xml:space="preserve"> в части оказания специализиров</w:t>
      </w:r>
      <w:r w:rsidR="00935EBF" w:rsidRPr="0052319E">
        <w:rPr>
          <w:sz w:val="28"/>
          <w:szCs w:val="28"/>
        </w:rPr>
        <w:t>а</w:t>
      </w:r>
      <w:r w:rsidRPr="0052319E">
        <w:rPr>
          <w:sz w:val="28"/>
          <w:szCs w:val="28"/>
        </w:rPr>
        <w:t>нной онкологической помощи.</w:t>
      </w:r>
    </w:p>
    <w:p w:rsidR="00C9416E" w:rsidRPr="0052319E" w:rsidRDefault="00660B1F" w:rsidP="00E92564">
      <w:pPr>
        <w:autoSpaceDE/>
        <w:autoSpaceDN/>
        <w:adjustRightInd/>
        <w:ind w:firstLine="709"/>
        <w:jc w:val="both"/>
        <w:rPr>
          <w:sz w:val="28"/>
          <w:szCs w:val="28"/>
        </w:rPr>
      </w:pPr>
      <w:r w:rsidRPr="0052319E">
        <w:rPr>
          <w:sz w:val="28"/>
          <w:szCs w:val="28"/>
        </w:rPr>
        <w:t xml:space="preserve">Модернизация и сопровождение модуля диспансеризации определенных групп взрослого населения в государственной информационной системе в сфере здравоохранения Республики Татарстан. </w:t>
      </w:r>
    </w:p>
    <w:p w:rsidR="00660B1F" w:rsidRPr="0052319E" w:rsidRDefault="00660B1F" w:rsidP="00E92564">
      <w:pPr>
        <w:autoSpaceDE/>
        <w:autoSpaceDN/>
        <w:adjustRightInd/>
        <w:ind w:firstLine="709"/>
        <w:jc w:val="both"/>
        <w:rPr>
          <w:sz w:val="28"/>
          <w:szCs w:val="28"/>
        </w:rPr>
      </w:pPr>
      <w:r w:rsidRPr="0052319E">
        <w:rPr>
          <w:sz w:val="28"/>
          <w:szCs w:val="28"/>
        </w:rPr>
        <w:t xml:space="preserve">Создание модуля Системы поддержки принятия врачебных решений. </w:t>
      </w:r>
    </w:p>
    <w:p w:rsidR="00660B1F" w:rsidRPr="0052319E" w:rsidRDefault="00660B1F" w:rsidP="00E92564">
      <w:pPr>
        <w:autoSpaceDE/>
        <w:autoSpaceDN/>
        <w:adjustRightInd/>
        <w:ind w:firstLine="709"/>
        <w:jc w:val="both"/>
        <w:rPr>
          <w:sz w:val="28"/>
          <w:szCs w:val="28"/>
        </w:rPr>
      </w:pPr>
      <w:r w:rsidRPr="0052319E">
        <w:rPr>
          <w:sz w:val="28"/>
          <w:szCs w:val="28"/>
        </w:rPr>
        <w:t xml:space="preserve">Развитие и доработка системы цифровой микроскопии, организация хранилища цифровых снимков (гистосканы, цитосканы) с интеграцией с медицинской информационной системой ГАУЗ </w:t>
      </w:r>
      <w:r w:rsidR="002F7358" w:rsidRPr="0052319E">
        <w:rPr>
          <w:rFonts w:eastAsia="Arial"/>
          <w:sz w:val="28"/>
          <w:szCs w:val="28"/>
        </w:rPr>
        <w:t>«</w:t>
      </w:r>
      <w:r w:rsidR="00891E01" w:rsidRPr="0052319E">
        <w:rPr>
          <w:rFonts w:eastAsia="Arial"/>
          <w:sz w:val="28"/>
          <w:szCs w:val="28"/>
        </w:rPr>
        <w:t xml:space="preserve">РКОД МЗ </w:t>
      </w:r>
      <w:r w:rsidR="002C433C" w:rsidRPr="0052319E">
        <w:rPr>
          <w:rFonts w:eastAsia="Arial"/>
          <w:sz w:val="28"/>
          <w:szCs w:val="28"/>
        </w:rPr>
        <w:t>РТ им.проф.</w:t>
      </w:r>
      <w:r w:rsidR="00891E01" w:rsidRPr="0052319E">
        <w:rPr>
          <w:rFonts w:eastAsia="Arial"/>
          <w:sz w:val="28"/>
          <w:szCs w:val="28"/>
        </w:rPr>
        <w:t>М.З.Сигала</w:t>
      </w:r>
      <w:r w:rsidR="002F7358" w:rsidRPr="0052319E">
        <w:rPr>
          <w:rFonts w:eastAsia="Arial"/>
          <w:sz w:val="28"/>
          <w:szCs w:val="28"/>
        </w:rPr>
        <w:t>»</w:t>
      </w:r>
      <w:r w:rsidRPr="0052319E">
        <w:rPr>
          <w:sz w:val="28"/>
          <w:szCs w:val="28"/>
        </w:rPr>
        <w:t xml:space="preserve">. </w:t>
      </w:r>
    </w:p>
    <w:p w:rsidR="00660B1F" w:rsidRPr="0052319E" w:rsidRDefault="00660B1F" w:rsidP="00E92564">
      <w:pPr>
        <w:autoSpaceDE/>
        <w:autoSpaceDN/>
        <w:adjustRightInd/>
        <w:ind w:firstLine="709"/>
        <w:jc w:val="both"/>
        <w:rPr>
          <w:sz w:val="28"/>
          <w:szCs w:val="28"/>
        </w:rPr>
      </w:pPr>
      <w:r w:rsidRPr="0052319E">
        <w:rPr>
          <w:sz w:val="28"/>
          <w:szCs w:val="28"/>
        </w:rPr>
        <w:t xml:space="preserve">Техническая поддержка Центром цифровой трансформации Республики Татарстан защищенной государственной интегрированной системы телекоммуникаций, функционирующей во всех медицинских организациях системы Министерства здравоохранения Республики Татарстан. </w:t>
      </w:r>
    </w:p>
    <w:p w:rsidR="00660B1F" w:rsidRPr="0052319E" w:rsidRDefault="00660B1F" w:rsidP="00E92564">
      <w:pPr>
        <w:autoSpaceDE/>
        <w:autoSpaceDN/>
        <w:adjustRightInd/>
        <w:ind w:firstLine="709"/>
        <w:jc w:val="both"/>
        <w:rPr>
          <w:sz w:val="28"/>
          <w:szCs w:val="28"/>
        </w:rPr>
      </w:pPr>
      <w:r w:rsidRPr="0052319E">
        <w:rPr>
          <w:sz w:val="28"/>
          <w:szCs w:val="28"/>
        </w:rPr>
        <w:t xml:space="preserve">Подключение к Центральному архиву медицинских изображений Республики Татарстан и интеграция с государственной информационной системой в сфере здравоохранения Республики Татарстан. </w:t>
      </w:r>
    </w:p>
    <w:p w:rsidR="00660B1F" w:rsidRPr="0052319E" w:rsidRDefault="00EE4896" w:rsidP="00E92564">
      <w:pPr>
        <w:ind w:firstLine="709"/>
        <w:jc w:val="both"/>
        <w:rPr>
          <w:sz w:val="28"/>
          <w:szCs w:val="28"/>
        </w:rPr>
      </w:pPr>
      <w:r w:rsidRPr="0052319E">
        <w:rPr>
          <w:sz w:val="28"/>
          <w:szCs w:val="28"/>
        </w:rPr>
        <w:t>П</w:t>
      </w:r>
      <w:r w:rsidR="00660B1F" w:rsidRPr="0052319E">
        <w:rPr>
          <w:sz w:val="28"/>
          <w:szCs w:val="28"/>
        </w:rPr>
        <w:t xml:space="preserve">оддержка модуля искусственного интеллекта при проведении расшифровки маммографических снимков. </w:t>
      </w:r>
    </w:p>
    <w:p w:rsidR="00660B1F" w:rsidRPr="0052319E" w:rsidRDefault="00660B1F" w:rsidP="00EE4896">
      <w:pPr>
        <w:ind w:firstLine="709"/>
        <w:jc w:val="both"/>
        <w:rPr>
          <w:sz w:val="28"/>
          <w:szCs w:val="28"/>
        </w:rPr>
      </w:pPr>
      <w:r w:rsidRPr="0052319E">
        <w:rPr>
          <w:sz w:val="28"/>
          <w:szCs w:val="28"/>
        </w:rPr>
        <w:t xml:space="preserve">Разработка и внедрение в государственную информационную систему в сфере здравоохранения Республики Татарстан модуля проведения первичных консультаций врачей-онкологов ГАУЗ </w:t>
      </w:r>
      <w:r w:rsidR="002F7358" w:rsidRPr="0052319E">
        <w:rPr>
          <w:rFonts w:eastAsia="Arial"/>
          <w:sz w:val="28"/>
          <w:szCs w:val="28"/>
        </w:rPr>
        <w:t>«</w:t>
      </w:r>
      <w:r w:rsidR="002C433C" w:rsidRPr="0052319E">
        <w:rPr>
          <w:rFonts w:eastAsia="Arial"/>
          <w:sz w:val="28"/>
          <w:szCs w:val="28"/>
        </w:rPr>
        <w:t>РКОД МЗ РТ им.проф.</w:t>
      </w:r>
      <w:r w:rsidR="00891E01" w:rsidRPr="0052319E">
        <w:rPr>
          <w:rFonts w:eastAsia="Arial"/>
          <w:sz w:val="28"/>
          <w:szCs w:val="28"/>
        </w:rPr>
        <w:t>М.З.Сигала</w:t>
      </w:r>
      <w:r w:rsidR="002F7358" w:rsidRPr="0052319E">
        <w:rPr>
          <w:rFonts w:eastAsia="Arial"/>
          <w:sz w:val="28"/>
          <w:szCs w:val="28"/>
        </w:rPr>
        <w:t>»</w:t>
      </w:r>
      <w:r w:rsidRPr="0052319E">
        <w:rPr>
          <w:sz w:val="28"/>
          <w:szCs w:val="28"/>
        </w:rPr>
        <w:t xml:space="preserve"> с применением телемедицинских технологий пациентам с подозрением на онкологическое заболевание. </w:t>
      </w:r>
    </w:p>
    <w:p w:rsidR="00660B1F" w:rsidRPr="0052319E" w:rsidRDefault="00660B1F" w:rsidP="00EE4896">
      <w:pPr>
        <w:autoSpaceDE/>
        <w:autoSpaceDN/>
        <w:adjustRightInd/>
        <w:ind w:firstLine="709"/>
        <w:jc w:val="both"/>
        <w:rPr>
          <w:sz w:val="28"/>
          <w:szCs w:val="28"/>
        </w:rPr>
      </w:pPr>
      <w:r w:rsidRPr="0052319E">
        <w:rPr>
          <w:sz w:val="28"/>
          <w:szCs w:val="28"/>
        </w:rPr>
        <w:t xml:space="preserve">Обеспечение функционирования раздела </w:t>
      </w:r>
      <w:r w:rsidR="002F7358" w:rsidRPr="0052319E">
        <w:rPr>
          <w:sz w:val="28"/>
          <w:szCs w:val="28"/>
        </w:rPr>
        <w:t>«</w:t>
      </w:r>
      <w:r w:rsidRPr="0052319E">
        <w:rPr>
          <w:sz w:val="28"/>
          <w:szCs w:val="28"/>
        </w:rPr>
        <w:t>Обратная связь</w:t>
      </w:r>
      <w:r w:rsidR="002F7358" w:rsidRPr="0052319E">
        <w:rPr>
          <w:sz w:val="28"/>
          <w:szCs w:val="28"/>
        </w:rPr>
        <w:t>»</w:t>
      </w:r>
      <w:r w:rsidRPr="0052319E">
        <w:rPr>
          <w:sz w:val="28"/>
          <w:szCs w:val="28"/>
        </w:rPr>
        <w:t xml:space="preserve"> на официальном сайте ГАУЗ </w:t>
      </w:r>
      <w:r w:rsidR="002F7358" w:rsidRPr="0052319E">
        <w:rPr>
          <w:rFonts w:eastAsia="Arial"/>
          <w:sz w:val="28"/>
          <w:szCs w:val="28"/>
        </w:rPr>
        <w:t>«</w:t>
      </w:r>
      <w:r w:rsidR="002C433C" w:rsidRPr="0052319E">
        <w:rPr>
          <w:rFonts w:eastAsia="Arial"/>
          <w:sz w:val="28"/>
          <w:szCs w:val="28"/>
        </w:rPr>
        <w:t>РКОД МЗ РТ им.проф.</w:t>
      </w:r>
      <w:r w:rsidR="00891E01" w:rsidRPr="0052319E">
        <w:rPr>
          <w:rFonts w:eastAsia="Arial"/>
          <w:sz w:val="28"/>
          <w:szCs w:val="28"/>
        </w:rPr>
        <w:t>М.З.Сигала</w:t>
      </w:r>
      <w:r w:rsidR="002F7358" w:rsidRPr="0052319E">
        <w:rPr>
          <w:rFonts w:eastAsia="Arial"/>
          <w:sz w:val="28"/>
          <w:szCs w:val="28"/>
        </w:rPr>
        <w:t>»</w:t>
      </w:r>
      <w:r w:rsidRPr="0052319E">
        <w:rPr>
          <w:sz w:val="28"/>
          <w:szCs w:val="28"/>
        </w:rPr>
        <w:t xml:space="preserve">. </w:t>
      </w:r>
    </w:p>
    <w:p w:rsidR="005E237F" w:rsidRPr="0052319E" w:rsidRDefault="00887958" w:rsidP="00EE4896">
      <w:pPr>
        <w:autoSpaceDE/>
        <w:autoSpaceDN/>
        <w:adjustRightInd/>
        <w:ind w:firstLine="709"/>
        <w:jc w:val="both"/>
        <w:rPr>
          <w:sz w:val="28"/>
          <w:szCs w:val="28"/>
        </w:rPr>
      </w:pPr>
      <w:r w:rsidRPr="0052319E">
        <w:rPr>
          <w:sz w:val="28"/>
          <w:szCs w:val="28"/>
        </w:rPr>
        <w:t>3</w:t>
      </w:r>
      <w:r w:rsidR="00377D26" w:rsidRPr="0052319E">
        <w:rPr>
          <w:sz w:val="28"/>
          <w:szCs w:val="28"/>
        </w:rPr>
        <w:t>.</w:t>
      </w:r>
      <w:r w:rsidRPr="0052319E">
        <w:rPr>
          <w:sz w:val="28"/>
          <w:szCs w:val="28"/>
        </w:rPr>
        <w:t>9</w:t>
      </w:r>
      <w:r w:rsidR="00377D26" w:rsidRPr="0052319E">
        <w:rPr>
          <w:sz w:val="28"/>
          <w:szCs w:val="28"/>
        </w:rPr>
        <w:t>.</w:t>
      </w:r>
      <w:r w:rsidR="00E135A2" w:rsidRPr="0052319E">
        <w:rPr>
          <w:sz w:val="28"/>
          <w:szCs w:val="28"/>
        </w:rPr>
        <w:t xml:space="preserve"> Р</w:t>
      </w:r>
      <w:r w:rsidR="00D80B68" w:rsidRPr="0052319E">
        <w:rPr>
          <w:sz w:val="28"/>
          <w:szCs w:val="28"/>
        </w:rPr>
        <w:t xml:space="preserve">азработка комплекса мер по улучшению укомплектованности </w:t>
      </w:r>
      <w:r w:rsidR="00E135A2" w:rsidRPr="0052319E">
        <w:rPr>
          <w:sz w:val="28"/>
          <w:szCs w:val="28"/>
        </w:rPr>
        <w:t xml:space="preserve">кадрами </w:t>
      </w:r>
      <w:r w:rsidR="00D80B68" w:rsidRPr="0052319E">
        <w:rPr>
          <w:sz w:val="28"/>
          <w:szCs w:val="28"/>
        </w:rPr>
        <w:t xml:space="preserve">медицинских организаций, оказывающих медицинскую помощь пациентам с онкологическими заболеваниями. </w:t>
      </w:r>
    </w:p>
    <w:p w:rsidR="00475D6E" w:rsidRPr="0052319E" w:rsidRDefault="00660B1F" w:rsidP="00EE4896">
      <w:pPr>
        <w:autoSpaceDE/>
        <w:autoSpaceDN/>
        <w:adjustRightInd/>
        <w:ind w:firstLine="709"/>
        <w:jc w:val="both"/>
        <w:rPr>
          <w:sz w:val="28"/>
          <w:szCs w:val="28"/>
        </w:rPr>
      </w:pPr>
      <w:r w:rsidRPr="0052319E">
        <w:rPr>
          <w:sz w:val="28"/>
          <w:szCs w:val="28"/>
        </w:rPr>
        <w:t>Определение потребности медицинских организаций в кадрах врачей, в том числе врачей-онкологов, врачей</w:t>
      </w:r>
      <w:r w:rsidR="00935EBF" w:rsidRPr="0052319E">
        <w:rPr>
          <w:sz w:val="28"/>
          <w:szCs w:val="28"/>
        </w:rPr>
        <w:t xml:space="preserve"> – </w:t>
      </w:r>
      <w:r w:rsidRPr="0052319E">
        <w:rPr>
          <w:sz w:val="28"/>
          <w:szCs w:val="28"/>
        </w:rPr>
        <w:t>детских онкологов, врачей-гематологов, врачей-рентгенологов, врачей-эндоскопистов, врачей ультразвуковой диагностики, врачей клинической лаб</w:t>
      </w:r>
      <w:r w:rsidR="00EE4896" w:rsidRPr="0052319E">
        <w:rPr>
          <w:sz w:val="28"/>
          <w:szCs w:val="28"/>
        </w:rPr>
        <w:t>о</w:t>
      </w:r>
      <w:r w:rsidRPr="0052319E">
        <w:rPr>
          <w:sz w:val="28"/>
          <w:szCs w:val="28"/>
        </w:rPr>
        <w:t xml:space="preserve">раторной диагностики, врачей-радиологов, врачей-радиотерапевтов, врачей по паллиативной медицинской помощи, врачей-патологоанатомов, и среднего медицинского персонала в рамках регионального проекта </w:t>
      </w:r>
      <w:r w:rsidR="002F7358" w:rsidRPr="0052319E">
        <w:rPr>
          <w:sz w:val="28"/>
          <w:szCs w:val="28"/>
        </w:rPr>
        <w:t>«</w:t>
      </w:r>
      <w:r w:rsidRPr="0052319E">
        <w:rPr>
          <w:sz w:val="28"/>
          <w:szCs w:val="28"/>
        </w:rPr>
        <w:t>Медицинские кадры</w:t>
      </w:r>
      <w:r w:rsidR="002F7358" w:rsidRPr="0052319E">
        <w:rPr>
          <w:sz w:val="28"/>
          <w:szCs w:val="28"/>
        </w:rPr>
        <w:t>»</w:t>
      </w:r>
      <w:r w:rsidRPr="0052319E">
        <w:rPr>
          <w:sz w:val="28"/>
          <w:szCs w:val="28"/>
        </w:rPr>
        <w:t xml:space="preserve"> (Республика Татарстан) на 2025 – 2030 годы. </w:t>
      </w:r>
    </w:p>
    <w:p w:rsidR="00475D6E" w:rsidRPr="0052319E" w:rsidRDefault="00660B1F" w:rsidP="00EE4896">
      <w:pPr>
        <w:ind w:firstLine="709"/>
        <w:jc w:val="both"/>
        <w:rPr>
          <w:sz w:val="28"/>
          <w:szCs w:val="28"/>
        </w:rPr>
      </w:pPr>
      <w:r w:rsidRPr="0052319E">
        <w:rPr>
          <w:sz w:val="28"/>
          <w:szCs w:val="28"/>
        </w:rPr>
        <w:t xml:space="preserve">Определение источников привлечения необходимой численности врачебных кадров и среднего медицинского персонала (скорректированы контрольные цифры приема для специалистов с высшим образованием и объемов подготовки для специалистов со средним профессиональным образованием, переподготовки граждан по востребованным направлениям, задание на переподготовку граждан). </w:t>
      </w:r>
    </w:p>
    <w:p w:rsidR="00660B1F" w:rsidRPr="0052319E" w:rsidRDefault="00660B1F" w:rsidP="00EE4896">
      <w:pPr>
        <w:autoSpaceDE/>
        <w:autoSpaceDN/>
        <w:adjustRightInd/>
        <w:ind w:firstLine="709"/>
        <w:jc w:val="both"/>
        <w:rPr>
          <w:sz w:val="28"/>
          <w:szCs w:val="28"/>
        </w:rPr>
      </w:pPr>
      <w:r w:rsidRPr="0052319E">
        <w:rPr>
          <w:sz w:val="28"/>
          <w:szCs w:val="28"/>
        </w:rPr>
        <w:t xml:space="preserve">Создание регионального кадрового центра для организации управления персоналом Министерства здравоохранения Республики Татарстан. </w:t>
      </w:r>
    </w:p>
    <w:p w:rsidR="00660B1F" w:rsidRPr="0052319E" w:rsidRDefault="00660B1F" w:rsidP="00EE4896">
      <w:pPr>
        <w:autoSpaceDE/>
        <w:autoSpaceDN/>
        <w:adjustRightInd/>
        <w:ind w:firstLine="709"/>
        <w:jc w:val="both"/>
        <w:rPr>
          <w:sz w:val="28"/>
          <w:szCs w:val="28"/>
        </w:rPr>
      </w:pPr>
      <w:r w:rsidRPr="0052319E">
        <w:rPr>
          <w:sz w:val="28"/>
          <w:szCs w:val="28"/>
        </w:rPr>
        <w:t xml:space="preserve">Трудоустройство работников на вакантные рабочие места в рамках регионального проекта </w:t>
      </w:r>
      <w:r w:rsidR="002F7358" w:rsidRPr="0052319E">
        <w:rPr>
          <w:sz w:val="28"/>
          <w:szCs w:val="28"/>
        </w:rPr>
        <w:t>«</w:t>
      </w:r>
      <w:r w:rsidRPr="0052319E">
        <w:rPr>
          <w:sz w:val="28"/>
          <w:szCs w:val="28"/>
        </w:rPr>
        <w:t>Медицинские кадры</w:t>
      </w:r>
      <w:r w:rsidR="002F7358" w:rsidRPr="0052319E">
        <w:rPr>
          <w:sz w:val="28"/>
          <w:szCs w:val="28"/>
        </w:rPr>
        <w:t>»</w:t>
      </w:r>
      <w:r w:rsidRPr="0052319E">
        <w:rPr>
          <w:sz w:val="28"/>
          <w:szCs w:val="28"/>
        </w:rPr>
        <w:t xml:space="preserve"> (Республика Татарстан) на 2025 – 2030 годы. </w:t>
      </w:r>
    </w:p>
    <w:p w:rsidR="00660B1F" w:rsidRPr="0052319E" w:rsidRDefault="00660B1F" w:rsidP="00EE4896">
      <w:pPr>
        <w:autoSpaceDE/>
        <w:autoSpaceDN/>
        <w:adjustRightInd/>
        <w:ind w:firstLine="709"/>
        <w:jc w:val="both"/>
        <w:rPr>
          <w:sz w:val="28"/>
          <w:szCs w:val="28"/>
        </w:rPr>
      </w:pPr>
      <w:r w:rsidRPr="0052319E">
        <w:rPr>
          <w:sz w:val="28"/>
          <w:szCs w:val="28"/>
        </w:rPr>
        <w:t xml:space="preserve">Подготовка и утверждение региональной кадровой программы (ежегодно) </w:t>
      </w:r>
      <w:r w:rsidR="002C433C" w:rsidRPr="0052319E">
        <w:rPr>
          <w:sz w:val="28"/>
          <w:szCs w:val="28"/>
        </w:rPr>
        <w:br/>
      </w:r>
      <w:r w:rsidRPr="0052319E">
        <w:rPr>
          <w:sz w:val="28"/>
          <w:szCs w:val="28"/>
        </w:rPr>
        <w:t xml:space="preserve">в рамках регионального проекта </w:t>
      </w:r>
      <w:r w:rsidR="002F7358" w:rsidRPr="0052319E">
        <w:rPr>
          <w:sz w:val="28"/>
          <w:szCs w:val="28"/>
        </w:rPr>
        <w:t>«</w:t>
      </w:r>
      <w:r w:rsidRPr="0052319E">
        <w:rPr>
          <w:sz w:val="28"/>
          <w:szCs w:val="28"/>
        </w:rPr>
        <w:t>Медицинские кадры</w:t>
      </w:r>
      <w:r w:rsidR="002F7358" w:rsidRPr="0052319E">
        <w:rPr>
          <w:sz w:val="28"/>
          <w:szCs w:val="28"/>
        </w:rPr>
        <w:t>»</w:t>
      </w:r>
      <w:r w:rsidRPr="0052319E">
        <w:rPr>
          <w:sz w:val="28"/>
          <w:szCs w:val="28"/>
        </w:rPr>
        <w:t xml:space="preserve"> (Республика Татарстан) </w:t>
      </w:r>
      <w:r w:rsidR="002C433C" w:rsidRPr="0052319E">
        <w:rPr>
          <w:sz w:val="28"/>
          <w:szCs w:val="28"/>
        </w:rPr>
        <w:br/>
      </w:r>
      <w:r w:rsidRPr="0052319E">
        <w:rPr>
          <w:sz w:val="28"/>
          <w:szCs w:val="28"/>
        </w:rPr>
        <w:t xml:space="preserve">на 2025 – 2030 годы. </w:t>
      </w:r>
    </w:p>
    <w:p w:rsidR="00475D6E" w:rsidRPr="0052319E" w:rsidRDefault="00660B1F" w:rsidP="00EE4896">
      <w:pPr>
        <w:autoSpaceDE/>
        <w:autoSpaceDN/>
        <w:adjustRightInd/>
        <w:ind w:firstLine="709"/>
        <w:jc w:val="both"/>
        <w:rPr>
          <w:sz w:val="28"/>
          <w:szCs w:val="28"/>
        </w:rPr>
      </w:pPr>
      <w:r w:rsidRPr="0052319E">
        <w:rPr>
          <w:sz w:val="28"/>
          <w:szCs w:val="28"/>
        </w:rPr>
        <w:t xml:space="preserve">Реализация региональной кадровой программы в рамках регионального проекта </w:t>
      </w:r>
      <w:r w:rsidR="002F7358" w:rsidRPr="0052319E">
        <w:rPr>
          <w:sz w:val="28"/>
          <w:szCs w:val="28"/>
        </w:rPr>
        <w:t>«</w:t>
      </w:r>
      <w:r w:rsidRPr="0052319E">
        <w:rPr>
          <w:sz w:val="28"/>
          <w:szCs w:val="28"/>
        </w:rPr>
        <w:t>Медицинские кадры</w:t>
      </w:r>
      <w:r w:rsidR="002F7358" w:rsidRPr="0052319E">
        <w:rPr>
          <w:sz w:val="28"/>
          <w:szCs w:val="28"/>
        </w:rPr>
        <w:t>»</w:t>
      </w:r>
      <w:r w:rsidRPr="0052319E">
        <w:rPr>
          <w:sz w:val="28"/>
          <w:szCs w:val="28"/>
        </w:rPr>
        <w:t xml:space="preserve"> (Республика Татарстан) на 2025 – 2030 годы. </w:t>
      </w:r>
    </w:p>
    <w:p w:rsidR="00660B1F" w:rsidRPr="0052319E" w:rsidRDefault="007963CB" w:rsidP="00EE4896">
      <w:pPr>
        <w:autoSpaceDE/>
        <w:autoSpaceDN/>
        <w:adjustRightInd/>
        <w:ind w:firstLine="709"/>
        <w:jc w:val="both"/>
        <w:rPr>
          <w:sz w:val="28"/>
          <w:szCs w:val="28"/>
        </w:rPr>
      </w:pPr>
      <w:r w:rsidRPr="0052319E">
        <w:rPr>
          <w:sz w:val="28"/>
          <w:szCs w:val="28"/>
        </w:rPr>
        <w:t xml:space="preserve">Формирование и реализация плана ГАУЗ </w:t>
      </w:r>
      <w:r w:rsidR="002F7358" w:rsidRPr="0052319E">
        <w:rPr>
          <w:rFonts w:eastAsia="Arial"/>
          <w:sz w:val="28"/>
          <w:szCs w:val="28"/>
        </w:rPr>
        <w:t>«</w:t>
      </w:r>
      <w:r w:rsidR="002C433C" w:rsidRPr="0052319E">
        <w:rPr>
          <w:rFonts w:eastAsia="Arial"/>
          <w:sz w:val="28"/>
          <w:szCs w:val="28"/>
        </w:rPr>
        <w:t>РКОД МЗ РТ им.проф.</w:t>
      </w:r>
      <w:r w:rsidR="00891E01" w:rsidRPr="0052319E">
        <w:rPr>
          <w:rFonts w:eastAsia="Arial"/>
          <w:sz w:val="28"/>
          <w:szCs w:val="28"/>
        </w:rPr>
        <w:t>М.З.Сигала</w:t>
      </w:r>
      <w:r w:rsidR="002F7358" w:rsidRPr="0052319E">
        <w:rPr>
          <w:rFonts w:eastAsia="Arial"/>
          <w:sz w:val="28"/>
          <w:szCs w:val="28"/>
        </w:rPr>
        <w:t>»</w:t>
      </w:r>
      <w:r w:rsidRPr="0052319E">
        <w:rPr>
          <w:sz w:val="28"/>
          <w:szCs w:val="28"/>
        </w:rPr>
        <w:t xml:space="preserve"> по целевому обучению врачей, участвующих в оказании онкологической помощи. </w:t>
      </w:r>
    </w:p>
    <w:p w:rsidR="00660B1F" w:rsidRPr="0052319E" w:rsidRDefault="007963CB" w:rsidP="00EE4896">
      <w:pPr>
        <w:autoSpaceDE/>
        <w:autoSpaceDN/>
        <w:adjustRightInd/>
        <w:ind w:firstLine="709"/>
        <w:jc w:val="both"/>
        <w:rPr>
          <w:sz w:val="28"/>
          <w:szCs w:val="28"/>
        </w:rPr>
      </w:pPr>
      <w:r w:rsidRPr="0052319E">
        <w:rPr>
          <w:sz w:val="28"/>
          <w:szCs w:val="28"/>
        </w:rPr>
        <w:t xml:space="preserve">Формирование и реализация плана ГАУЗ </w:t>
      </w:r>
      <w:r w:rsidR="002F7358" w:rsidRPr="0052319E">
        <w:rPr>
          <w:rFonts w:eastAsia="Arial"/>
          <w:sz w:val="28"/>
          <w:szCs w:val="28"/>
        </w:rPr>
        <w:t>«</w:t>
      </w:r>
      <w:r w:rsidR="002C433C" w:rsidRPr="0052319E">
        <w:rPr>
          <w:rFonts w:eastAsia="Arial"/>
          <w:sz w:val="28"/>
          <w:szCs w:val="28"/>
        </w:rPr>
        <w:t>РКОД МЗ РТ им.проф.</w:t>
      </w:r>
      <w:r w:rsidR="00891E01" w:rsidRPr="0052319E">
        <w:rPr>
          <w:rFonts w:eastAsia="Arial"/>
          <w:sz w:val="28"/>
          <w:szCs w:val="28"/>
        </w:rPr>
        <w:t>М.З.Сигала</w:t>
      </w:r>
      <w:r w:rsidR="002F7358" w:rsidRPr="0052319E">
        <w:rPr>
          <w:rFonts w:eastAsia="Arial"/>
          <w:sz w:val="28"/>
          <w:szCs w:val="28"/>
        </w:rPr>
        <w:t>»</w:t>
      </w:r>
      <w:r w:rsidRPr="0052319E">
        <w:rPr>
          <w:sz w:val="28"/>
          <w:szCs w:val="28"/>
        </w:rPr>
        <w:t xml:space="preserve"> по профессиональной переподготовке и повышению квалификации (в том числе </w:t>
      </w:r>
      <w:r w:rsidR="002C433C" w:rsidRPr="0052319E">
        <w:rPr>
          <w:sz w:val="28"/>
          <w:szCs w:val="28"/>
        </w:rPr>
        <w:br/>
      </w:r>
      <w:r w:rsidRPr="0052319E">
        <w:rPr>
          <w:sz w:val="28"/>
          <w:szCs w:val="28"/>
        </w:rPr>
        <w:t xml:space="preserve">за счет средств нормированного страхового запаса фонда обязательного медицинского страхования) врачей и среднего медицинского персонала на базе образовательных учреждений высшего и среднего образования. </w:t>
      </w:r>
    </w:p>
    <w:p w:rsidR="007963CB" w:rsidRPr="0052319E" w:rsidRDefault="007963CB" w:rsidP="00EE4896">
      <w:pPr>
        <w:autoSpaceDE/>
        <w:autoSpaceDN/>
        <w:adjustRightInd/>
        <w:ind w:firstLine="709"/>
        <w:jc w:val="both"/>
        <w:rPr>
          <w:sz w:val="28"/>
          <w:szCs w:val="28"/>
        </w:rPr>
      </w:pPr>
      <w:r w:rsidRPr="0052319E">
        <w:rPr>
          <w:sz w:val="28"/>
          <w:szCs w:val="28"/>
        </w:rPr>
        <w:t xml:space="preserve">Разработка и реализация плана по проведению обучения врачей медицинских организаций, оказывающих первичную медико-санитарную помощь, основам клинической онкологии с использованием видео-конференц-связи и в очном режиме (вебинары, лекции, мастер-классы, стажировки на рабочем месте). </w:t>
      </w:r>
    </w:p>
    <w:p w:rsidR="00475D6E" w:rsidRPr="0052319E" w:rsidRDefault="007963CB" w:rsidP="00EE4896">
      <w:pPr>
        <w:autoSpaceDE/>
        <w:autoSpaceDN/>
        <w:adjustRightInd/>
        <w:ind w:firstLine="709"/>
        <w:jc w:val="both"/>
        <w:rPr>
          <w:sz w:val="28"/>
          <w:szCs w:val="28"/>
        </w:rPr>
      </w:pPr>
      <w:r w:rsidRPr="0052319E">
        <w:rPr>
          <w:sz w:val="28"/>
          <w:szCs w:val="28"/>
        </w:rPr>
        <w:t xml:space="preserve">Разработка и реализация плана по проведению научно-практических мероприятий по профилю </w:t>
      </w:r>
      <w:r w:rsidR="002F7358" w:rsidRPr="0052319E">
        <w:rPr>
          <w:sz w:val="28"/>
          <w:szCs w:val="28"/>
        </w:rPr>
        <w:t>«</w:t>
      </w:r>
      <w:r w:rsidRPr="0052319E">
        <w:rPr>
          <w:sz w:val="28"/>
          <w:szCs w:val="28"/>
        </w:rPr>
        <w:t>онкология</w:t>
      </w:r>
      <w:r w:rsidR="002F7358" w:rsidRPr="0052319E">
        <w:rPr>
          <w:sz w:val="28"/>
          <w:szCs w:val="28"/>
        </w:rPr>
        <w:t>»</w:t>
      </w:r>
      <w:r w:rsidRPr="0052319E">
        <w:rPr>
          <w:sz w:val="28"/>
          <w:szCs w:val="28"/>
        </w:rPr>
        <w:t xml:space="preserve"> (конференции, форумы, семинары, круглые столы, съезды). </w:t>
      </w:r>
    </w:p>
    <w:p w:rsidR="007963CB" w:rsidRPr="0052319E" w:rsidRDefault="007963CB" w:rsidP="00EE4896">
      <w:pPr>
        <w:autoSpaceDE/>
        <w:autoSpaceDN/>
        <w:adjustRightInd/>
        <w:ind w:firstLine="709"/>
        <w:jc w:val="both"/>
        <w:rPr>
          <w:sz w:val="28"/>
          <w:szCs w:val="28"/>
        </w:rPr>
      </w:pPr>
      <w:r w:rsidRPr="0052319E">
        <w:rPr>
          <w:sz w:val="28"/>
          <w:szCs w:val="28"/>
        </w:rPr>
        <w:t xml:space="preserve">Применение модели компетенций при приеме на работу сотрудников ГАУЗ </w:t>
      </w:r>
      <w:r w:rsidR="002F7358" w:rsidRPr="0052319E">
        <w:rPr>
          <w:rFonts w:eastAsia="Arial"/>
          <w:sz w:val="28"/>
          <w:szCs w:val="28"/>
        </w:rPr>
        <w:t>«</w:t>
      </w:r>
      <w:r w:rsidR="002C433C" w:rsidRPr="0052319E">
        <w:rPr>
          <w:rFonts w:eastAsia="Arial"/>
          <w:sz w:val="28"/>
          <w:szCs w:val="28"/>
        </w:rPr>
        <w:t>РКОД МЗ РТ им.проф.</w:t>
      </w:r>
      <w:r w:rsidR="00891E01" w:rsidRPr="0052319E">
        <w:rPr>
          <w:rFonts w:eastAsia="Arial"/>
          <w:sz w:val="28"/>
          <w:szCs w:val="28"/>
        </w:rPr>
        <w:t>М.З.Сигала</w:t>
      </w:r>
      <w:r w:rsidR="002F7358" w:rsidRPr="0052319E">
        <w:rPr>
          <w:rFonts w:eastAsia="Arial"/>
          <w:sz w:val="28"/>
          <w:szCs w:val="28"/>
        </w:rPr>
        <w:t>»</w:t>
      </w:r>
      <w:r w:rsidRPr="0052319E">
        <w:rPr>
          <w:sz w:val="28"/>
          <w:szCs w:val="28"/>
        </w:rPr>
        <w:t xml:space="preserve">, оценка работающих по модели компетенций </w:t>
      </w:r>
      <w:r w:rsidR="002C433C" w:rsidRPr="0052319E">
        <w:rPr>
          <w:sz w:val="28"/>
          <w:szCs w:val="28"/>
        </w:rPr>
        <w:br/>
      </w:r>
      <w:r w:rsidRPr="0052319E">
        <w:rPr>
          <w:sz w:val="28"/>
          <w:szCs w:val="28"/>
        </w:rPr>
        <w:t xml:space="preserve">с целью отслеживания динамики развития. </w:t>
      </w:r>
    </w:p>
    <w:p w:rsidR="00891E01" w:rsidRPr="0052319E" w:rsidRDefault="007963CB" w:rsidP="00EE4896">
      <w:pPr>
        <w:autoSpaceDE/>
        <w:autoSpaceDN/>
        <w:adjustRightInd/>
        <w:ind w:firstLine="709"/>
        <w:jc w:val="both"/>
        <w:rPr>
          <w:rFonts w:eastAsia="Arial"/>
          <w:sz w:val="28"/>
          <w:szCs w:val="28"/>
        </w:rPr>
      </w:pPr>
      <w:r w:rsidRPr="0052319E">
        <w:rPr>
          <w:sz w:val="28"/>
          <w:szCs w:val="28"/>
        </w:rPr>
        <w:t xml:space="preserve">Совершенствование системы наставничества в ГАУЗ </w:t>
      </w:r>
      <w:r w:rsidR="002F7358" w:rsidRPr="0052319E">
        <w:rPr>
          <w:rFonts w:eastAsia="Arial"/>
          <w:sz w:val="28"/>
          <w:szCs w:val="28"/>
        </w:rPr>
        <w:t>«</w:t>
      </w:r>
      <w:r w:rsidR="002C433C" w:rsidRPr="0052319E">
        <w:rPr>
          <w:rFonts w:eastAsia="Arial"/>
          <w:sz w:val="28"/>
          <w:szCs w:val="28"/>
        </w:rPr>
        <w:t>РКОД МЗ РТ им.</w:t>
      </w:r>
      <w:r w:rsidR="00891E01" w:rsidRPr="0052319E">
        <w:rPr>
          <w:rFonts w:eastAsia="Arial"/>
          <w:sz w:val="28"/>
          <w:szCs w:val="28"/>
        </w:rPr>
        <w:t>проф.М.З.Сигала</w:t>
      </w:r>
      <w:r w:rsidR="002F7358" w:rsidRPr="0052319E">
        <w:rPr>
          <w:rFonts w:eastAsia="Arial"/>
          <w:sz w:val="28"/>
          <w:szCs w:val="28"/>
        </w:rPr>
        <w:t>»</w:t>
      </w:r>
      <w:r w:rsidR="00891E01" w:rsidRPr="0052319E">
        <w:rPr>
          <w:rFonts w:eastAsia="Arial"/>
          <w:sz w:val="28"/>
          <w:szCs w:val="28"/>
        </w:rPr>
        <w:t xml:space="preserve">. </w:t>
      </w:r>
    </w:p>
    <w:p w:rsidR="007963CB" w:rsidRPr="0052319E" w:rsidRDefault="007963CB" w:rsidP="00EE4896">
      <w:pPr>
        <w:autoSpaceDE/>
        <w:autoSpaceDN/>
        <w:adjustRightInd/>
        <w:ind w:firstLine="709"/>
        <w:jc w:val="both"/>
        <w:rPr>
          <w:sz w:val="28"/>
          <w:szCs w:val="28"/>
        </w:rPr>
      </w:pPr>
      <w:r w:rsidRPr="0052319E">
        <w:rPr>
          <w:sz w:val="28"/>
          <w:szCs w:val="28"/>
        </w:rPr>
        <w:t xml:space="preserve">Функционирование системы моральных стимулов медицинских работников, повышение авторитета медицинского работника в обществе. </w:t>
      </w:r>
    </w:p>
    <w:p w:rsidR="007963CB" w:rsidRPr="0052319E" w:rsidRDefault="007963CB" w:rsidP="00EE4896">
      <w:pPr>
        <w:autoSpaceDE/>
        <w:autoSpaceDN/>
        <w:adjustRightInd/>
        <w:ind w:firstLine="709"/>
        <w:jc w:val="both"/>
        <w:rPr>
          <w:sz w:val="28"/>
          <w:szCs w:val="28"/>
        </w:rPr>
      </w:pPr>
      <w:r w:rsidRPr="0052319E">
        <w:rPr>
          <w:sz w:val="28"/>
          <w:szCs w:val="28"/>
        </w:rPr>
        <w:t xml:space="preserve">Обеспечение ведения регионального сегмента Федерального регистра медицинских и фармацевтических работников. </w:t>
      </w:r>
    </w:p>
    <w:p w:rsidR="0045641C" w:rsidRPr="0052319E" w:rsidRDefault="00935EBF" w:rsidP="00EE4896">
      <w:pPr>
        <w:autoSpaceDE/>
        <w:autoSpaceDN/>
        <w:adjustRightInd/>
        <w:ind w:firstLine="709"/>
        <w:jc w:val="both"/>
        <w:rPr>
          <w:sz w:val="28"/>
          <w:szCs w:val="28"/>
        </w:rPr>
      </w:pPr>
      <w:r w:rsidRPr="0052319E">
        <w:rPr>
          <w:sz w:val="28"/>
          <w:szCs w:val="28"/>
        </w:rPr>
        <w:t>3</w:t>
      </w:r>
      <w:r w:rsidR="0045641C" w:rsidRPr="0052319E">
        <w:rPr>
          <w:sz w:val="28"/>
          <w:szCs w:val="28"/>
        </w:rPr>
        <w:t>.</w:t>
      </w:r>
      <w:r w:rsidRPr="0052319E">
        <w:rPr>
          <w:sz w:val="28"/>
          <w:szCs w:val="28"/>
        </w:rPr>
        <w:t>10.</w:t>
      </w:r>
      <w:r w:rsidR="0045641C" w:rsidRPr="0052319E">
        <w:rPr>
          <w:sz w:val="28"/>
          <w:szCs w:val="28"/>
        </w:rPr>
        <w:t xml:space="preserve"> Совершенствование организации радиологической службы региона в части проведения диагностических исследований с использованием радиофармацевтических лекарственных препаратов.</w:t>
      </w:r>
    </w:p>
    <w:p w:rsidR="0045641C" w:rsidRPr="0052319E" w:rsidRDefault="00935EBF" w:rsidP="00EE4896">
      <w:pPr>
        <w:autoSpaceDE/>
        <w:autoSpaceDN/>
        <w:adjustRightInd/>
        <w:ind w:firstLine="709"/>
        <w:jc w:val="both"/>
        <w:rPr>
          <w:sz w:val="28"/>
          <w:szCs w:val="28"/>
        </w:rPr>
      </w:pPr>
      <w:r w:rsidRPr="0052319E">
        <w:rPr>
          <w:sz w:val="28"/>
          <w:szCs w:val="28"/>
        </w:rPr>
        <w:t>3</w:t>
      </w:r>
      <w:r w:rsidR="0045641C" w:rsidRPr="0052319E">
        <w:rPr>
          <w:sz w:val="28"/>
          <w:szCs w:val="28"/>
        </w:rPr>
        <w:t>.</w:t>
      </w:r>
      <w:r w:rsidRPr="0052319E">
        <w:rPr>
          <w:sz w:val="28"/>
          <w:szCs w:val="28"/>
        </w:rPr>
        <w:t>11.</w:t>
      </w:r>
      <w:r w:rsidR="0045641C" w:rsidRPr="0052319E">
        <w:rPr>
          <w:sz w:val="28"/>
          <w:szCs w:val="28"/>
        </w:rPr>
        <w:t xml:space="preserve"> Внедрение в практическое здравоохранение региона методов лечения с использованием радиофармацевтических лекарственных препаратов. Переоснащение медицинским оборудованием медицинских организаций, участвующих в оказании медицинской помощи пациентам с онкологическими заболеваниями с применением радиол</w:t>
      </w:r>
      <w:r w:rsidRPr="0052319E">
        <w:rPr>
          <w:sz w:val="28"/>
          <w:szCs w:val="28"/>
        </w:rPr>
        <w:t>огических методов диагностики и (</w:t>
      </w:r>
      <w:r w:rsidR="0045641C" w:rsidRPr="0052319E">
        <w:rPr>
          <w:sz w:val="28"/>
          <w:szCs w:val="28"/>
        </w:rPr>
        <w:t>или</w:t>
      </w:r>
      <w:r w:rsidRPr="0052319E">
        <w:rPr>
          <w:sz w:val="28"/>
          <w:szCs w:val="28"/>
        </w:rPr>
        <w:t>)</w:t>
      </w:r>
      <w:r w:rsidR="0045641C" w:rsidRPr="0052319E">
        <w:rPr>
          <w:sz w:val="28"/>
          <w:szCs w:val="28"/>
        </w:rPr>
        <w:t xml:space="preserve"> лечения</w:t>
      </w:r>
      <w:r w:rsidR="00B94811" w:rsidRPr="0052319E">
        <w:rPr>
          <w:sz w:val="28"/>
          <w:szCs w:val="28"/>
        </w:rPr>
        <w:t xml:space="preserve">: </w:t>
      </w:r>
      <w:r w:rsidR="00493445" w:rsidRPr="0052319E">
        <w:rPr>
          <w:sz w:val="28"/>
          <w:szCs w:val="28"/>
        </w:rPr>
        <w:t xml:space="preserve">ГАУЗ </w:t>
      </w:r>
      <w:r w:rsidR="002C433C" w:rsidRPr="0052319E">
        <w:rPr>
          <w:rFonts w:eastAsia="Arial"/>
          <w:sz w:val="28"/>
          <w:szCs w:val="28"/>
        </w:rPr>
        <w:t>«РКОД МЗ РТ им.</w:t>
      </w:r>
      <w:r w:rsidR="00493445" w:rsidRPr="0052319E">
        <w:rPr>
          <w:rFonts w:eastAsia="Arial"/>
          <w:sz w:val="28"/>
          <w:szCs w:val="28"/>
        </w:rPr>
        <w:t>проф.М.З.Сигала»</w:t>
      </w:r>
      <w:r w:rsidR="0045641C" w:rsidRPr="0052319E">
        <w:rPr>
          <w:sz w:val="28"/>
          <w:szCs w:val="28"/>
        </w:rPr>
        <w:t xml:space="preserve"> (планируется оснащение </w:t>
      </w:r>
      <w:r w:rsidR="00965D25" w:rsidRPr="0052319E">
        <w:rPr>
          <w:sz w:val="28"/>
          <w:szCs w:val="28"/>
        </w:rPr>
        <w:t>4</w:t>
      </w:r>
      <w:r w:rsidR="0045641C" w:rsidRPr="0052319E">
        <w:rPr>
          <w:sz w:val="28"/>
          <w:szCs w:val="28"/>
        </w:rPr>
        <w:t xml:space="preserve"> ед</w:t>
      </w:r>
      <w:r w:rsidR="00493445" w:rsidRPr="0052319E">
        <w:rPr>
          <w:sz w:val="28"/>
          <w:szCs w:val="28"/>
        </w:rPr>
        <w:t>и</w:t>
      </w:r>
      <w:r w:rsidR="0045641C" w:rsidRPr="0052319E">
        <w:rPr>
          <w:sz w:val="28"/>
          <w:szCs w:val="28"/>
        </w:rPr>
        <w:t>ниц</w:t>
      </w:r>
      <w:r w:rsidR="00965D25" w:rsidRPr="0052319E">
        <w:rPr>
          <w:sz w:val="28"/>
          <w:szCs w:val="28"/>
        </w:rPr>
        <w:t>ами</w:t>
      </w:r>
      <w:r w:rsidR="0045641C" w:rsidRPr="0052319E">
        <w:rPr>
          <w:sz w:val="28"/>
          <w:szCs w:val="28"/>
        </w:rPr>
        <w:t xml:space="preserve"> о</w:t>
      </w:r>
      <w:r w:rsidR="00493445" w:rsidRPr="0052319E">
        <w:rPr>
          <w:sz w:val="28"/>
          <w:szCs w:val="28"/>
        </w:rPr>
        <w:t>б</w:t>
      </w:r>
      <w:r w:rsidR="0045641C" w:rsidRPr="0052319E">
        <w:rPr>
          <w:sz w:val="28"/>
          <w:szCs w:val="28"/>
        </w:rPr>
        <w:t xml:space="preserve">орудования), ГАУЗ «Республиканская клиническая больница Министерства здравоохранения Республики Татарстан» (планируется оснащение 1 единицей медицинского оборудования), ГАУЗ «Межрегиональный клинико-диагностический центр» (планируется оснащение 1 единицей медицинского оборудования), </w:t>
      </w:r>
      <w:r w:rsidR="0045641C" w:rsidRPr="005126B4">
        <w:rPr>
          <w:sz w:val="28"/>
          <w:szCs w:val="28"/>
        </w:rPr>
        <w:t>ГАУЗ Р</w:t>
      </w:r>
      <w:r w:rsidR="00493445" w:rsidRPr="005126B4">
        <w:rPr>
          <w:sz w:val="28"/>
          <w:szCs w:val="28"/>
        </w:rPr>
        <w:t xml:space="preserve">еспублики </w:t>
      </w:r>
      <w:r w:rsidR="0045641C" w:rsidRPr="005126B4">
        <w:rPr>
          <w:sz w:val="28"/>
          <w:szCs w:val="28"/>
        </w:rPr>
        <w:t>Т</w:t>
      </w:r>
      <w:r w:rsidR="00493445" w:rsidRPr="005126B4">
        <w:rPr>
          <w:sz w:val="28"/>
          <w:szCs w:val="28"/>
        </w:rPr>
        <w:t>атарстан</w:t>
      </w:r>
      <w:r w:rsidR="0045641C" w:rsidRPr="005126B4">
        <w:rPr>
          <w:sz w:val="28"/>
          <w:szCs w:val="28"/>
        </w:rPr>
        <w:t xml:space="preserve"> «Больниц</w:t>
      </w:r>
      <w:r w:rsidRPr="005126B4">
        <w:rPr>
          <w:sz w:val="28"/>
          <w:szCs w:val="28"/>
        </w:rPr>
        <w:t>а скорой медицинской помощи</w:t>
      </w:r>
      <w:r w:rsidR="005126B4" w:rsidRPr="005126B4">
        <w:rPr>
          <w:sz w:val="28"/>
          <w:szCs w:val="28"/>
        </w:rPr>
        <w:t xml:space="preserve"> </w:t>
      </w:r>
      <w:r w:rsidR="005126B4" w:rsidRPr="005126B4">
        <w:rPr>
          <w:rFonts w:eastAsia="Calibri"/>
          <w:sz w:val="28"/>
          <w:szCs w:val="28"/>
        </w:rPr>
        <w:t>им. Р.С.Акчурина»</w:t>
      </w:r>
      <w:r w:rsidRPr="005126B4">
        <w:rPr>
          <w:sz w:val="28"/>
          <w:szCs w:val="28"/>
        </w:rPr>
        <w:t xml:space="preserve"> г.</w:t>
      </w:r>
      <w:r w:rsidR="0045641C" w:rsidRPr="005126B4">
        <w:rPr>
          <w:sz w:val="28"/>
          <w:szCs w:val="28"/>
        </w:rPr>
        <w:t>Набережные Челны</w:t>
      </w:r>
      <w:r w:rsidR="0045641C" w:rsidRPr="0052319E">
        <w:rPr>
          <w:sz w:val="28"/>
          <w:szCs w:val="28"/>
        </w:rPr>
        <w:t xml:space="preserve"> (планируется оснащение 1 единицей медицинского оборудования).</w:t>
      </w:r>
    </w:p>
    <w:p w:rsidR="00BA046D" w:rsidRPr="002C433C" w:rsidRDefault="00935EBF" w:rsidP="002C433C">
      <w:pPr>
        <w:autoSpaceDE/>
        <w:autoSpaceDN/>
        <w:adjustRightInd/>
        <w:ind w:firstLine="709"/>
        <w:jc w:val="both"/>
        <w:rPr>
          <w:sz w:val="28"/>
          <w:szCs w:val="28"/>
        </w:rPr>
      </w:pPr>
      <w:r w:rsidRPr="0052319E">
        <w:rPr>
          <w:sz w:val="28"/>
          <w:szCs w:val="28"/>
        </w:rPr>
        <w:t xml:space="preserve">4. </w:t>
      </w:r>
      <w:r w:rsidR="00071C90" w:rsidRPr="0052319E">
        <w:rPr>
          <w:sz w:val="28"/>
          <w:szCs w:val="28"/>
        </w:rPr>
        <w:t xml:space="preserve">План мероприятий региональной программы </w:t>
      </w:r>
      <w:r w:rsidR="002F7358" w:rsidRPr="0052319E">
        <w:rPr>
          <w:sz w:val="28"/>
          <w:szCs w:val="28"/>
        </w:rPr>
        <w:t>«</w:t>
      </w:r>
      <w:r w:rsidR="00071C90" w:rsidRPr="0052319E">
        <w:rPr>
          <w:sz w:val="28"/>
          <w:szCs w:val="28"/>
        </w:rPr>
        <w:t>Борьба с онкологическими заболеваниями в Республике Татарстан</w:t>
      </w:r>
      <w:r w:rsidR="002F7358" w:rsidRPr="0052319E">
        <w:rPr>
          <w:sz w:val="28"/>
          <w:szCs w:val="28"/>
        </w:rPr>
        <w:t>»</w:t>
      </w:r>
      <w:r w:rsidR="00071C90" w:rsidRPr="0052319E">
        <w:rPr>
          <w:sz w:val="28"/>
          <w:szCs w:val="28"/>
        </w:rPr>
        <w:t xml:space="preserve"> представлен в таблице </w:t>
      </w:r>
      <w:r w:rsidR="0056369F" w:rsidRPr="0052319E">
        <w:rPr>
          <w:sz w:val="28"/>
          <w:szCs w:val="28"/>
        </w:rPr>
        <w:t>29</w:t>
      </w:r>
      <w:r w:rsidR="00071C90" w:rsidRPr="0052319E">
        <w:rPr>
          <w:sz w:val="28"/>
          <w:szCs w:val="28"/>
        </w:rPr>
        <w:t>.</w:t>
      </w:r>
    </w:p>
    <w:p w:rsidR="00345805" w:rsidRPr="002C433C" w:rsidRDefault="00345805" w:rsidP="002C433C">
      <w:pPr>
        <w:autoSpaceDE/>
        <w:autoSpaceDN/>
        <w:adjustRightInd/>
        <w:ind w:firstLine="709"/>
        <w:jc w:val="both"/>
        <w:rPr>
          <w:sz w:val="28"/>
          <w:szCs w:val="28"/>
        </w:rPr>
      </w:pPr>
    </w:p>
    <w:p w:rsidR="003B435F" w:rsidRPr="00071C90" w:rsidRDefault="003B435F" w:rsidP="00092515">
      <w:pPr>
        <w:widowControl/>
        <w:autoSpaceDE/>
        <w:autoSpaceDN/>
        <w:adjustRightInd/>
        <w:spacing w:after="120" w:line="276" w:lineRule="auto"/>
        <w:ind w:firstLine="709"/>
        <w:jc w:val="both"/>
        <w:rPr>
          <w:sz w:val="28"/>
          <w:szCs w:val="28"/>
        </w:rPr>
        <w:sectPr w:rsidR="003B435F" w:rsidRPr="00071C90" w:rsidSect="00517EBB">
          <w:pgSz w:w="11906" w:h="16838"/>
          <w:pgMar w:top="1134" w:right="567" w:bottom="1134" w:left="1134" w:header="709" w:footer="709" w:gutter="0"/>
          <w:cols w:space="708"/>
          <w:docGrid w:linePitch="360"/>
        </w:sectPr>
      </w:pPr>
    </w:p>
    <w:p w:rsidR="00750B69" w:rsidRPr="00091230" w:rsidRDefault="00750B69" w:rsidP="00750B69">
      <w:pPr>
        <w:autoSpaceDE/>
        <w:autoSpaceDN/>
        <w:adjustRightInd/>
        <w:ind w:left="1134" w:hanging="425"/>
        <w:jc w:val="right"/>
        <w:rPr>
          <w:sz w:val="28"/>
          <w:szCs w:val="28"/>
        </w:rPr>
      </w:pPr>
      <w:bookmarkStart w:id="4" w:name="sub_7000"/>
      <w:r w:rsidRPr="001C2369">
        <w:rPr>
          <w:sz w:val="28"/>
          <w:szCs w:val="28"/>
        </w:rPr>
        <w:t>Таблица 29</w:t>
      </w:r>
    </w:p>
    <w:p w:rsidR="00750B69" w:rsidRDefault="00750B69" w:rsidP="00B90F1F">
      <w:pPr>
        <w:autoSpaceDE/>
        <w:autoSpaceDN/>
        <w:adjustRightInd/>
        <w:jc w:val="center"/>
        <w:rPr>
          <w:sz w:val="28"/>
          <w:szCs w:val="28"/>
        </w:rPr>
      </w:pPr>
    </w:p>
    <w:p w:rsidR="00B90F1F" w:rsidRPr="000F252A" w:rsidRDefault="00B90F1F" w:rsidP="00B90F1F">
      <w:pPr>
        <w:autoSpaceDE/>
        <w:autoSpaceDN/>
        <w:adjustRightInd/>
        <w:jc w:val="center"/>
        <w:rPr>
          <w:sz w:val="28"/>
          <w:szCs w:val="28"/>
        </w:rPr>
      </w:pPr>
      <w:r w:rsidRPr="000F252A">
        <w:rPr>
          <w:sz w:val="28"/>
          <w:szCs w:val="28"/>
        </w:rPr>
        <w:t xml:space="preserve">План мероприятий региональной программы «Борьба с онкологическими заболеваниями в Республике Татарстан» </w:t>
      </w:r>
    </w:p>
    <w:p w:rsidR="00B90F1F" w:rsidRPr="000F252A" w:rsidRDefault="00B90F1F" w:rsidP="00B90F1F">
      <w:pPr>
        <w:autoSpaceDE/>
        <w:autoSpaceDN/>
        <w:adjustRightInd/>
        <w:ind w:left="1134" w:hanging="709"/>
        <w:jc w:val="center"/>
        <w:rPr>
          <w:sz w:val="28"/>
          <w:szCs w:val="28"/>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62" w:type="dxa"/>
          <w:bottom w:w="28" w:type="dxa"/>
          <w:right w:w="62" w:type="dxa"/>
        </w:tblCellMar>
        <w:tblLook w:val="04A0" w:firstRow="1" w:lastRow="0" w:firstColumn="1" w:lastColumn="0" w:noHBand="0" w:noVBand="1"/>
      </w:tblPr>
      <w:tblGrid>
        <w:gridCol w:w="709"/>
        <w:gridCol w:w="3681"/>
        <w:gridCol w:w="1474"/>
        <w:gridCol w:w="1418"/>
        <w:gridCol w:w="3912"/>
        <w:gridCol w:w="3969"/>
      </w:tblGrid>
      <w:tr w:rsidR="00B90F1F" w:rsidRPr="000F252A" w:rsidTr="00B1285B">
        <w:trPr>
          <w:trHeight w:val="276"/>
        </w:trPr>
        <w:tc>
          <w:tcPr>
            <w:tcW w:w="709" w:type="dxa"/>
            <w:vMerge w:val="restart"/>
            <w:tcBorders>
              <w:bottom w:val="nil"/>
            </w:tcBorders>
            <w:shd w:val="clear" w:color="auto" w:fill="auto"/>
            <w:hideMark/>
          </w:tcPr>
          <w:p w:rsidR="00B90F1F" w:rsidRPr="000F252A" w:rsidRDefault="00B90F1F" w:rsidP="005735AD">
            <w:pPr>
              <w:autoSpaceDE/>
              <w:autoSpaceDN/>
              <w:adjustRightInd/>
              <w:jc w:val="center"/>
              <w:rPr>
                <w:bCs/>
                <w:color w:val="000000"/>
              </w:rPr>
            </w:pPr>
            <w:r w:rsidRPr="000F252A">
              <w:rPr>
                <w:bCs/>
                <w:color w:val="000000"/>
              </w:rPr>
              <w:t xml:space="preserve">№ </w:t>
            </w:r>
          </w:p>
          <w:p w:rsidR="00B90F1F" w:rsidRPr="000F252A" w:rsidRDefault="00B90F1F" w:rsidP="005735AD">
            <w:pPr>
              <w:autoSpaceDE/>
              <w:autoSpaceDN/>
              <w:adjustRightInd/>
              <w:jc w:val="center"/>
              <w:rPr>
                <w:bCs/>
                <w:color w:val="000000"/>
              </w:rPr>
            </w:pPr>
            <w:r w:rsidRPr="000F252A">
              <w:rPr>
                <w:bCs/>
                <w:color w:val="000000"/>
              </w:rPr>
              <w:t>п/п</w:t>
            </w:r>
          </w:p>
        </w:tc>
        <w:tc>
          <w:tcPr>
            <w:tcW w:w="3681" w:type="dxa"/>
            <w:vMerge w:val="restart"/>
            <w:tcBorders>
              <w:bottom w:val="nil"/>
            </w:tcBorders>
            <w:shd w:val="clear" w:color="auto" w:fill="auto"/>
            <w:hideMark/>
          </w:tcPr>
          <w:p w:rsidR="00B90F1F" w:rsidRPr="000F252A" w:rsidRDefault="00B90F1F" w:rsidP="005735AD">
            <w:pPr>
              <w:autoSpaceDE/>
              <w:autoSpaceDN/>
              <w:adjustRightInd/>
              <w:jc w:val="center"/>
              <w:rPr>
                <w:bCs/>
                <w:color w:val="000000"/>
              </w:rPr>
            </w:pPr>
            <w:r w:rsidRPr="000F252A">
              <w:rPr>
                <w:bCs/>
                <w:color w:val="000000"/>
              </w:rPr>
              <w:t>Наименование мероприятия</w:t>
            </w:r>
          </w:p>
        </w:tc>
        <w:tc>
          <w:tcPr>
            <w:tcW w:w="1474" w:type="dxa"/>
            <w:vMerge w:val="restart"/>
            <w:tcBorders>
              <w:bottom w:val="nil"/>
            </w:tcBorders>
            <w:shd w:val="clear" w:color="auto" w:fill="auto"/>
            <w:hideMark/>
          </w:tcPr>
          <w:p w:rsidR="00B90F1F" w:rsidRPr="000F252A" w:rsidRDefault="00B90F1F" w:rsidP="005735AD">
            <w:pPr>
              <w:autoSpaceDE/>
              <w:autoSpaceDN/>
              <w:adjustRightInd/>
              <w:jc w:val="center"/>
              <w:rPr>
                <w:bCs/>
                <w:color w:val="000000"/>
              </w:rPr>
            </w:pPr>
            <w:r w:rsidRPr="000F252A">
              <w:rPr>
                <w:bCs/>
                <w:color w:val="000000"/>
              </w:rPr>
              <w:t xml:space="preserve">Дата начала </w:t>
            </w:r>
          </w:p>
          <w:p w:rsidR="00B90F1F" w:rsidRPr="000F252A" w:rsidRDefault="00B90F1F" w:rsidP="005735AD">
            <w:pPr>
              <w:autoSpaceDE/>
              <w:autoSpaceDN/>
              <w:adjustRightInd/>
              <w:jc w:val="center"/>
              <w:rPr>
                <w:bCs/>
                <w:color w:val="000000"/>
              </w:rPr>
            </w:pPr>
            <w:r w:rsidRPr="000F252A">
              <w:rPr>
                <w:bCs/>
                <w:color w:val="000000"/>
              </w:rPr>
              <w:t>реализации</w:t>
            </w:r>
          </w:p>
        </w:tc>
        <w:tc>
          <w:tcPr>
            <w:tcW w:w="1418" w:type="dxa"/>
            <w:vMerge w:val="restart"/>
            <w:tcBorders>
              <w:bottom w:val="nil"/>
            </w:tcBorders>
            <w:shd w:val="clear" w:color="auto" w:fill="auto"/>
            <w:hideMark/>
          </w:tcPr>
          <w:p w:rsidR="00B90F1F" w:rsidRPr="000F252A" w:rsidRDefault="00B90F1F" w:rsidP="005735AD">
            <w:pPr>
              <w:autoSpaceDE/>
              <w:autoSpaceDN/>
              <w:adjustRightInd/>
              <w:jc w:val="center"/>
              <w:rPr>
                <w:bCs/>
                <w:color w:val="000000"/>
              </w:rPr>
            </w:pPr>
            <w:r w:rsidRPr="000F252A">
              <w:rPr>
                <w:bCs/>
                <w:color w:val="000000"/>
              </w:rPr>
              <w:t>Дата окончания реализации</w:t>
            </w:r>
          </w:p>
        </w:tc>
        <w:tc>
          <w:tcPr>
            <w:tcW w:w="3912" w:type="dxa"/>
            <w:vMerge w:val="restart"/>
            <w:tcBorders>
              <w:bottom w:val="nil"/>
            </w:tcBorders>
            <w:shd w:val="clear" w:color="auto" w:fill="auto"/>
            <w:hideMark/>
          </w:tcPr>
          <w:p w:rsidR="00B90F1F" w:rsidRPr="000F252A" w:rsidRDefault="00B90F1F" w:rsidP="005735AD">
            <w:pPr>
              <w:autoSpaceDE/>
              <w:autoSpaceDN/>
              <w:adjustRightInd/>
              <w:jc w:val="center"/>
              <w:rPr>
                <w:bCs/>
                <w:color w:val="000000"/>
              </w:rPr>
            </w:pPr>
            <w:r w:rsidRPr="000F252A">
              <w:rPr>
                <w:bCs/>
                <w:color w:val="000000"/>
              </w:rPr>
              <w:t>Ответственный исполнитель</w:t>
            </w:r>
          </w:p>
        </w:tc>
        <w:tc>
          <w:tcPr>
            <w:tcW w:w="3969" w:type="dxa"/>
            <w:vMerge w:val="restart"/>
            <w:tcBorders>
              <w:bottom w:val="nil"/>
            </w:tcBorders>
            <w:shd w:val="clear" w:color="auto" w:fill="auto"/>
            <w:hideMark/>
          </w:tcPr>
          <w:p w:rsidR="00B90F1F" w:rsidRPr="000F252A" w:rsidRDefault="00B90F1F" w:rsidP="005735AD">
            <w:pPr>
              <w:autoSpaceDE/>
              <w:autoSpaceDN/>
              <w:adjustRightInd/>
              <w:jc w:val="center"/>
              <w:rPr>
                <w:bCs/>
                <w:color w:val="000000"/>
              </w:rPr>
            </w:pPr>
            <w:r w:rsidRPr="000F252A">
              <w:rPr>
                <w:bCs/>
                <w:color w:val="000000"/>
              </w:rPr>
              <w:t xml:space="preserve">Характеристика результата, критерий </w:t>
            </w:r>
          </w:p>
          <w:p w:rsidR="00B90F1F" w:rsidRPr="000F252A" w:rsidRDefault="00B90F1F" w:rsidP="005735AD">
            <w:pPr>
              <w:autoSpaceDE/>
              <w:autoSpaceDN/>
              <w:adjustRightInd/>
              <w:jc w:val="center"/>
              <w:rPr>
                <w:bCs/>
                <w:color w:val="000000"/>
              </w:rPr>
            </w:pPr>
            <w:r w:rsidRPr="000F252A">
              <w:rPr>
                <w:bCs/>
                <w:color w:val="000000"/>
              </w:rPr>
              <w:t>исполнения мероприятий</w:t>
            </w:r>
          </w:p>
        </w:tc>
      </w:tr>
      <w:tr w:rsidR="00B90F1F" w:rsidRPr="000F252A" w:rsidTr="00B1285B">
        <w:trPr>
          <w:trHeight w:val="458"/>
        </w:trPr>
        <w:tc>
          <w:tcPr>
            <w:tcW w:w="709" w:type="dxa"/>
            <w:vMerge/>
            <w:tcBorders>
              <w:bottom w:val="nil"/>
            </w:tcBorders>
            <w:hideMark/>
          </w:tcPr>
          <w:p w:rsidR="00B90F1F" w:rsidRPr="000F252A" w:rsidRDefault="00B90F1F" w:rsidP="005735AD">
            <w:pPr>
              <w:autoSpaceDE/>
              <w:autoSpaceDN/>
              <w:adjustRightInd/>
              <w:jc w:val="center"/>
              <w:rPr>
                <w:bCs/>
                <w:color w:val="000000"/>
              </w:rPr>
            </w:pPr>
          </w:p>
        </w:tc>
        <w:tc>
          <w:tcPr>
            <w:tcW w:w="3681" w:type="dxa"/>
            <w:vMerge/>
            <w:tcBorders>
              <w:bottom w:val="nil"/>
            </w:tcBorders>
            <w:hideMark/>
          </w:tcPr>
          <w:p w:rsidR="00B90F1F" w:rsidRPr="000F252A" w:rsidRDefault="00B90F1F" w:rsidP="005735AD">
            <w:pPr>
              <w:autoSpaceDE/>
              <w:autoSpaceDN/>
              <w:adjustRightInd/>
              <w:jc w:val="both"/>
              <w:rPr>
                <w:bCs/>
                <w:color w:val="000000"/>
              </w:rPr>
            </w:pPr>
          </w:p>
        </w:tc>
        <w:tc>
          <w:tcPr>
            <w:tcW w:w="1474" w:type="dxa"/>
            <w:vMerge/>
            <w:tcBorders>
              <w:bottom w:val="nil"/>
            </w:tcBorders>
            <w:hideMark/>
          </w:tcPr>
          <w:p w:rsidR="00B90F1F" w:rsidRPr="000F252A" w:rsidRDefault="00B90F1F" w:rsidP="005735AD">
            <w:pPr>
              <w:autoSpaceDE/>
              <w:autoSpaceDN/>
              <w:adjustRightInd/>
              <w:jc w:val="center"/>
              <w:rPr>
                <w:bCs/>
                <w:color w:val="000000"/>
              </w:rPr>
            </w:pPr>
          </w:p>
        </w:tc>
        <w:tc>
          <w:tcPr>
            <w:tcW w:w="1418" w:type="dxa"/>
            <w:vMerge/>
            <w:tcBorders>
              <w:bottom w:val="nil"/>
            </w:tcBorders>
            <w:hideMark/>
          </w:tcPr>
          <w:p w:rsidR="00B90F1F" w:rsidRPr="000F252A" w:rsidRDefault="00B90F1F" w:rsidP="005735AD">
            <w:pPr>
              <w:autoSpaceDE/>
              <w:autoSpaceDN/>
              <w:adjustRightInd/>
              <w:jc w:val="center"/>
              <w:rPr>
                <w:bCs/>
                <w:color w:val="000000"/>
              </w:rPr>
            </w:pPr>
          </w:p>
        </w:tc>
        <w:tc>
          <w:tcPr>
            <w:tcW w:w="3912" w:type="dxa"/>
            <w:vMerge/>
            <w:tcBorders>
              <w:bottom w:val="nil"/>
            </w:tcBorders>
            <w:hideMark/>
          </w:tcPr>
          <w:p w:rsidR="00B90F1F" w:rsidRPr="000F252A" w:rsidRDefault="00B90F1F" w:rsidP="005735AD">
            <w:pPr>
              <w:autoSpaceDE/>
              <w:autoSpaceDN/>
              <w:adjustRightInd/>
              <w:jc w:val="both"/>
              <w:rPr>
                <w:bCs/>
                <w:color w:val="000000"/>
              </w:rPr>
            </w:pPr>
          </w:p>
        </w:tc>
        <w:tc>
          <w:tcPr>
            <w:tcW w:w="3969" w:type="dxa"/>
            <w:vMerge/>
            <w:tcBorders>
              <w:bottom w:val="nil"/>
            </w:tcBorders>
            <w:hideMark/>
          </w:tcPr>
          <w:p w:rsidR="00B90F1F" w:rsidRPr="000F252A" w:rsidRDefault="00B90F1F" w:rsidP="005735AD">
            <w:pPr>
              <w:autoSpaceDE/>
              <w:autoSpaceDN/>
              <w:adjustRightInd/>
              <w:rPr>
                <w:bCs/>
                <w:color w:val="000000"/>
              </w:rPr>
            </w:pPr>
          </w:p>
        </w:tc>
      </w:tr>
    </w:tbl>
    <w:p w:rsidR="00B90F1F" w:rsidRPr="000F252A" w:rsidRDefault="00B90F1F" w:rsidP="00B90F1F">
      <w:pPr>
        <w:rPr>
          <w:sz w:val="2"/>
          <w:szCs w:val="2"/>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704"/>
        <w:gridCol w:w="3686"/>
        <w:gridCol w:w="1474"/>
        <w:gridCol w:w="1418"/>
        <w:gridCol w:w="3912"/>
        <w:gridCol w:w="3969"/>
      </w:tblGrid>
      <w:tr w:rsidR="00B90F1F" w:rsidRPr="000F252A" w:rsidTr="00AC795F">
        <w:trPr>
          <w:trHeight w:val="20"/>
          <w:tblHeader/>
        </w:trPr>
        <w:tc>
          <w:tcPr>
            <w:tcW w:w="704" w:type="dxa"/>
            <w:shd w:val="clear" w:color="auto" w:fill="auto"/>
            <w:hideMark/>
          </w:tcPr>
          <w:p w:rsidR="00B90F1F" w:rsidRPr="000F252A" w:rsidRDefault="00B90F1F" w:rsidP="005735AD">
            <w:pPr>
              <w:jc w:val="center"/>
            </w:pPr>
            <w:r w:rsidRPr="000F252A">
              <w:t>1</w:t>
            </w:r>
          </w:p>
        </w:tc>
        <w:tc>
          <w:tcPr>
            <w:tcW w:w="3686" w:type="dxa"/>
            <w:shd w:val="clear" w:color="auto" w:fill="auto"/>
            <w:hideMark/>
          </w:tcPr>
          <w:p w:rsidR="00B90F1F" w:rsidRPr="000F252A" w:rsidRDefault="00B90F1F" w:rsidP="005735AD">
            <w:pPr>
              <w:jc w:val="center"/>
            </w:pPr>
            <w:r w:rsidRPr="000F252A">
              <w:t>2</w:t>
            </w:r>
          </w:p>
        </w:tc>
        <w:tc>
          <w:tcPr>
            <w:tcW w:w="1474" w:type="dxa"/>
            <w:shd w:val="clear" w:color="auto" w:fill="auto"/>
            <w:hideMark/>
          </w:tcPr>
          <w:p w:rsidR="00B90F1F" w:rsidRPr="000F252A" w:rsidRDefault="00B90F1F" w:rsidP="005735AD">
            <w:pPr>
              <w:jc w:val="center"/>
            </w:pPr>
            <w:r w:rsidRPr="000F252A">
              <w:t>3</w:t>
            </w:r>
          </w:p>
        </w:tc>
        <w:tc>
          <w:tcPr>
            <w:tcW w:w="1418" w:type="dxa"/>
            <w:shd w:val="clear" w:color="auto" w:fill="auto"/>
            <w:hideMark/>
          </w:tcPr>
          <w:p w:rsidR="00B90F1F" w:rsidRPr="000F252A" w:rsidRDefault="00B90F1F" w:rsidP="005735AD">
            <w:pPr>
              <w:jc w:val="center"/>
            </w:pPr>
            <w:r w:rsidRPr="000F252A">
              <w:t>4</w:t>
            </w:r>
          </w:p>
        </w:tc>
        <w:tc>
          <w:tcPr>
            <w:tcW w:w="3912" w:type="dxa"/>
            <w:shd w:val="clear" w:color="auto" w:fill="auto"/>
            <w:hideMark/>
          </w:tcPr>
          <w:p w:rsidR="00B90F1F" w:rsidRPr="000F252A" w:rsidRDefault="00B90F1F" w:rsidP="005735AD">
            <w:pPr>
              <w:jc w:val="center"/>
            </w:pPr>
            <w:r w:rsidRPr="000F252A">
              <w:t>5</w:t>
            </w:r>
          </w:p>
        </w:tc>
        <w:tc>
          <w:tcPr>
            <w:tcW w:w="3969" w:type="dxa"/>
            <w:shd w:val="clear" w:color="auto" w:fill="auto"/>
            <w:hideMark/>
          </w:tcPr>
          <w:p w:rsidR="00B90F1F" w:rsidRPr="000F252A" w:rsidRDefault="00B90F1F" w:rsidP="005735AD">
            <w:pPr>
              <w:jc w:val="center"/>
            </w:pPr>
            <w:r w:rsidRPr="000F252A">
              <w:t>6</w:t>
            </w:r>
          </w:p>
        </w:tc>
      </w:tr>
      <w:tr w:rsidR="00B90F1F" w:rsidRPr="000F252A" w:rsidTr="005735AD">
        <w:trPr>
          <w:trHeight w:val="20"/>
        </w:trPr>
        <w:tc>
          <w:tcPr>
            <w:tcW w:w="15163" w:type="dxa"/>
            <w:gridSpan w:val="6"/>
            <w:shd w:val="clear" w:color="auto" w:fill="auto"/>
            <w:hideMark/>
          </w:tcPr>
          <w:p w:rsidR="00B90F1F" w:rsidRPr="000F252A" w:rsidRDefault="00B90F1F" w:rsidP="00EE4896">
            <w:pPr>
              <w:spacing w:before="40" w:after="40"/>
              <w:jc w:val="center"/>
            </w:pPr>
            <w:r w:rsidRPr="000F252A">
              <w:t>1. Комплекс мер первичной профилактики онкологических заболеваний</w:t>
            </w:r>
          </w:p>
        </w:tc>
      </w:tr>
      <w:tr w:rsidR="00B90F1F" w:rsidRPr="000F252A" w:rsidTr="00AC795F">
        <w:trPr>
          <w:trHeight w:val="20"/>
        </w:trPr>
        <w:tc>
          <w:tcPr>
            <w:tcW w:w="704" w:type="dxa"/>
            <w:shd w:val="clear" w:color="auto" w:fill="auto"/>
            <w:hideMark/>
          </w:tcPr>
          <w:p w:rsidR="00B90F1F" w:rsidRPr="000F252A" w:rsidRDefault="00B90F1F" w:rsidP="005735AD">
            <w:pPr>
              <w:jc w:val="center"/>
            </w:pPr>
            <w:r w:rsidRPr="000F252A">
              <w:t>1.1.</w:t>
            </w:r>
          </w:p>
        </w:tc>
        <w:tc>
          <w:tcPr>
            <w:tcW w:w="3686" w:type="dxa"/>
            <w:shd w:val="clear" w:color="auto" w:fill="auto"/>
            <w:hideMark/>
          </w:tcPr>
          <w:p w:rsidR="00B90F1F" w:rsidRPr="000F252A" w:rsidRDefault="00B90F1F" w:rsidP="005735AD">
            <w:pPr>
              <w:jc w:val="both"/>
            </w:pPr>
            <w:r w:rsidRPr="000F252A">
              <w:t>Разработка и внедрение в муниципальных образованиях Республики Татарстан программ по укреплению здоровья, направленных на формирование мотивации к ведению здорового образа жизни, отказу от курения, снижению потребления алкоголя, рациональному питанию, повышению физической активности, сохранению психич</w:t>
            </w:r>
            <w:r w:rsidR="002B09DE" w:rsidRPr="000F252A">
              <w:t>еского здоровья и благополучия</w:t>
            </w:r>
          </w:p>
          <w:p w:rsidR="00B90F1F" w:rsidRPr="000F252A" w:rsidRDefault="00B90F1F" w:rsidP="005735AD">
            <w:pPr>
              <w:jc w:val="both"/>
            </w:pPr>
          </w:p>
        </w:tc>
        <w:tc>
          <w:tcPr>
            <w:tcW w:w="1474" w:type="dxa"/>
            <w:shd w:val="clear" w:color="auto" w:fill="auto"/>
            <w:hideMark/>
          </w:tcPr>
          <w:p w:rsidR="00B90F1F" w:rsidRPr="000F252A" w:rsidRDefault="00B90F1F" w:rsidP="008A683D">
            <w:pPr>
              <w:jc w:val="center"/>
            </w:pPr>
            <w:r w:rsidRPr="000F252A">
              <w:t>01.03.202</w:t>
            </w:r>
            <w:r w:rsidR="008A683D" w:rsidRPr="000F252A">
              <w:t>6</w:t>
            </w:r>
          </w:p>
        </w:tc>
        <w:tc>
          <w:tcPr>
            <w:tcW w:w="1418" w:type="dxa"/>
            <w:shd w:val="clear" w:color="auto" w:fill="auto"/>
            <w:hideMark/>
          </w:tcPr>
          <w:p w:rsidR="00B90F1F" w:rsidRPr="000F252A" w:rsidRDefault="00B90F1F" w:rsidP="005735AD">
            <w:pPr>
              <w:jc w:val="center"/>
            </w:pPr>
            <w:r w:rsidRPr="000F252A">
              <w:t>31.12.2030</w:t>
            </w:r>
          </w:p>
        </w:tc>
        <w:tc>
          <w:tcPr>
            <w:tcW w:w="3912" w:type="dxa"/>
            <w:shd w:val="clear" w:color="auto" w:fill="auto"/>
            <w:hideMark/>
          </w:tcPr>
          <w:p w:rsidR="00B90F1F" w:rsidRPr="000F252A" w:rsidRDefault="00C85832" w:rsidP="005735AD">
            <w:pPr>
              <w:jc w:val="both"/>
            </w:pPr>
            <w:r w:rsidRPr="000F252A">
              <w:t xml:space="preserve">министр </w:t>
            </w:r>
            <w:r w:rsidR="00B90F1F" w:rsidRPr="000F252A">
              <w:t>здравоохранения Республики Татарстан</w:t>
            </w:r>
            <w:r w:rsidR="007D2046" w:rsidRPr="000F252A">
              <w:t xml:space="preserve"> А.Р.Абашев</w:t>
            </w:r>
            <w:r w:rsidR="00B90F1F" w:rsidRPr="000F252A">
              <w:t>, руководители исполнительных комитетов муниципальных образований Республики Татарстан (по согласованию)</w:t>
            </w:r>
          </w:p>
        </w:tc>
        <w:tc>
          <w:tcPr>
            <w:tcW w:w="3969" w:type="dxa"/>
            <w:shd w:val="clear" w:color="auto" w:fill="auto"/>
            <w:hideMark/>
          </w:tcPr>
          <w:p w:rsidR="00B90F1F" w:rsidRPr="000F252A" w:rsidRDefault="00B90F1F" w:rsidP="005735AD">
            <w:pPr>
              <w:jc w:val="both"/>
            </w:pPr>
            <w:r w:rsidRPr="000F252A">
              <w:t xml:space="preserve">в 2026 г. – </w:t>
            </w:r>
            <w:r w:rsidR="00BE6527" w:rsidRPr="000F252A">
              <w:t>в 12 муниципальных образованиях;</w:t>
            </w:r>
            <w:r w:rsidRPr="000F252A">
              <w:t xml:space="preserve"> </w:t>
            </w:r>
          </w:p>
          <w:p w:rsidR="00B90F1F" w:rsidRPr="000F252A" w:rsidRDefault="00B90F1F" w:rsidP="005735AD">
            <w:pPr>
              <w:jc w:val="both"/>
            </w:pPr>
            <w:r w:rsidRPr="000F252A">
              <w:t xml:space="preserve">в 2027 г. – </w:t>
            </w:r>
            <w:r w:rsidR="00BE6527" w:rsidRPr="000F252A">
              <w:t>в 18 муниципальных образованиях;</w:t>
            </w:r>
            <w:r w:rsidRPr="000F252A">
              <w:t xml:space="preserve"> </w:t>
            </w:r>
          </w:p>
          <w:p w:rsidR="00B90F1F" w:rsidRPr="000F252A" w:rsidRDefault="00B90F1F" w:rsidP="005735AD">
            <w:pPr>
              <w:jc w:val="both"/>
            </w:pPr>
            <w:r w:rsidRPr="000F252A">
              <w:t xml:space="preserve">в 2028 г. – </w:t>
            </w:r>
            <w:r w:rsidR="00BE6527" w:rsidRPr="000F252A">
              <w:t>в 25 муниципальных образованиях;</w:t>
            </w:r>
            <w:r w:rsidRPr="000F252A">
              <w:t xml:space="preserve"> </w:t>
            </w:r>
          </w:p>
          <w:p w:rsidR="00B90F1F" w:rsidRPr="000F252A" w:rsidRDefault="00B90F1F" w:rsidP="005735AD">
            <w:pPr>
              <w:jc w:val="both"/>
            </w:pPr>
            <w:r w:rsidRPr="000F252A">
              <w:t xml:space="preserve">в 2029 г. – </w:t>
            </w:r>
            <w:r w:rsidR="00BE6527" w:rsidRPr="000F252A">
              <w:t>в 40 муниципальных образованиях;</w:t>
            </w:r>
            <w:r w:rsidRPr="000F252A">
              <w:t xml:space="preserve"> </w:t>
            </w:r>
          </w:p>
          <w:p w:rsidR="00B90F1F" w:rsidRPr="000F252A" w:rsidRDefault="00B90F1F" w:rsidP="005735AD">
            <w:pPr>
              <w:jc w:val="both"/>
            </w:pPr>
            <w:r w:rsidRPr="000F252A">
              <w:t>в 2030 г. – в 45 (100 процентах) муниципальных образований;</w:t>
            </w:r>
          </w:p>
          <w:p w:rsidR="00B90F1F" w:rsidRPr="000F252A" w:rsidRDefault="00B90F1F" w:rsidP="005735AD">
            <w:pPr>
              <w:jc w:val="both"/>
            </w:pPr>
          </w:p>
          <w:p w:rsidR="00B90F1F" w:rsidRPr="000F252A" w:rsidRDefault="00B90F1F" w:rsidP="005735AD">
            <w:pPr>
              <w:jc w:val="both"/>
            </w:pPr>
            <w:r w:rsidRPr="000F252A">
              <w:t xml:space="preserve">потребление алкогольной продукции на душу населения (в литрах этанола): </w:t>
            </w:r>
          </w:p>
          <w:p w:rsidR="00B90F1F" w:rsidRPr="000F252A" w:rsidRDefault="00BE6527" w:rsidP="005735AD">
            <w:pPr>
              <w:jc w:val="both"/>
            </w:pPr>
            <w:r w:rsidRPr="000F252A">
              <w:t>в 2026 г. – 8,20;</w:t>
            </w:r>
            <w:r w:rsidR="00B90F1F" w:rsidRPr="000F252A">
              <w:t xml:space="preserve"> </w:t>
            </w:r>
          </w:p>
          <w:p w:rsidR="00B90F1F" w:rsidRPr="000F252A" w:rsidRDefault="00BE6527" w:rsidP="005735AD">
            <w:pPr>
              <w:jc w:val="both"/>
            </w:pPr>
            <w:r w:rsidRPr="000F252A">
              <w:t>в 2027 г. – 8,12;</w:t>
            </w:r>
            <w:r w:rsidR="00B90F1F" w:rsidRPr="000F252A">
              <w:t xml:space="preserve"> </w:t>
            </w:r>
          </w:p>
          <w:p w:rsidR="00B90F1F" w:rsidRPr="000F252A" w:rsidRDefault="00BE6527" w:rsidP="005735AD">
            <w:pPr>
              <w:jc w:val="both"/>
            </w:pPr>
            <w:r w:rsidRPr="000F252A">
              <w:t>в 2028 г. – 8,03;</w:t>
            </w:r>
            <w:r w:rsidR="00B90F1F" w:rsidRPr="000F252A">
              <w:t xml:space="preserve"> </w:t>
            </w:r>
          </w:p>
          <w:p w:rsidR="00B90F1F" w:rsidRPr="000F252A" w:rsidRDefault="00BE6527" w:rsidP="005735AD">
            <w:pPr>
              <w:jc w:val="both"/>
            </w:pPr>
            <w:r w:rsidRPr="000F252A">
              <w:t>в 2029 г. – 7,94;</w:t>
            </w:r>
            <w:r w:rsidR="00B90F1F" w:rsidRPr="000F252A">
              <w:t xml:space="preserve"> </w:t>
            </w:r>
          </w:p>
          <w:p w:rsidR="00B90F1F" w:rsidRPr="000F252A" w:rsidRDefault="00B90F1F" w:rsidP="005735AD">
            <w:pPr>
              <w:jc w:val="both"/>
            </w:pPr>
            <w:r w:rsidRPr="000F252A">
              <w:t xml:space="preserve">в 2030 г. – 7,85; </w:t>
            </w:r>
          </w:p>
          <w:p w:rsidR="00B90F1F" w:rsidRPr="000F252A" w:rsidRDefault="00B90F1F" w:rsidP="005735AD">
            <w:pPr>
              <w:jc w:val="both"/>
            </w:pPr>
            <w:r w:rsidRPr="000F252A">
              <w:t xml:space="preserve">распространенность курения табака: </w:t>
            </w:r>
          </w:p>
          <w:p w:rsidR="00B90F1F" w:rsidRPr="000F252A" w:rsidRDefault="00B90F1F" w:rsidP="005735AD">
            <w:pPr>
              <w:jc w:val="both"/>
            </w:pPr>
            <w:r w:rsidRPr="000F252A">
              <w:t>в 2026 г. – 15,86 процент</w:t>
            </w:r>
            <w:r w:rsidR="001C2369" w:rsidRPr="000F252A">
              <w:t>а</w:t>
            </w:r>
            <w:r w:rsidR="00BE6527" w:rsidRPr="000F252A">
              <w:t>;</w:t>
            </w:r>
          </w:p>
          <w:p w:rsidR="00B90F1F" w:rsidRPr="000F252A" w:rsidRDefault="00B90F1F" w:rsidP="005735AD">
            <w:pPr>
              <w:jc w:val="both"/>
            </w:pPr>
            <w:r w:rsidRPr="000F252A">
              <w:t>в 2027 г. – 15,53 процент</w:t>
            </w:r>
            <w:r w:rsidR="001C2369" w:rsidRPr="000F252A">
              <w:t>а</w:t>
            </w:r>
            <w:r w:rsidR="00BE6527" w:rsidRPr="000F252A">
              <w:t>;</w:t>
            </w:r>
          </w:p>
          <w:p w:rsidR="00B90F1F" w:rsidRPr="000F252A" w:rsidRDefault="00B90F1F" w:rsidP="005735AD">
            <w:pPr>
              <w:jc w:val="both"/>
            </w:pPr>
            <w:r w:rsidRPr="000F252A">
              <w:t>в 2028 г. – 15,20 процент</w:t>
            </w:r>
            <w:r w:rsidR="001C2369" w:rsidRPr="000F252A">
              <w:t>а</w:t>
            </w:r>
            <w:r w:rsidR="00BE6527" w:rsidRPr="000F252A">
              <w:t>;</w:t>
            </w:r>
          </w:p>
          <w:p w:rsidR="00B90F1F" w:rsidRPr="000F252A" w:rsidRDefault="00B90F1F" w:rsidP="005735AD">
            <w:pPr>
              <w:jc w:val="both"/>
            </w:pPr>
            <w:r w:rsidRPr="000F252A">
              <w:t>в 2029 г. – 14,86 процент</w:t>
            </w:r>
            <w:r w:rsidR="001C2369" w:rsidRPr="000F252A">
              <w:t>а</w:t>
            </w:r>
            <w:r w:rsidR="00BE6527" w:rsidRPr="000F252A">
              <w:t>;</w:t>
            </w:r>
          </w:p>
          <w:p w:rsidR="00B90F1F" w:rsidRPr="000F252A" w:rsidRDefault="00B90F1F" w:rsidP="005735AD">
            <w:pPr>
              <w:jc w:val="both"/>
            </w:pPr>
            <w:r w:rsidRPr="000F252A">
              <w:t>в 2030 г. – 14,53 процент</w:t>
            </w:r>
            <w:r w:rsidR="001C2369" w:rsidRPr="000F252A">
              <w:t>а</w:t>
            </w:r>
            <w:r w:rsidRPr="000F252A">
              <w:t>;</w:t>
            </w:r>
          </w:p>
          <w:p w:rsidR="00B90F1F" w:rsidRPr="000F252A" w:rsidRDefault="00B90F1F" w:rsidP="005735AD">
            <w:pPr>
              <w:jc w:val="both"/>
            </w:pPr>
          </w:p>
          <w:p w:rsidR="00B90F1F" w:rsidRPr="000F252A" w:rsidRDefault="00B90F1F" w:rsidP="005735AD">
            <w:pPr>
              <w:jc w:val="both"/>
            </w:pPr>
            <w:r w:rsidRPr="000F252A">
              <w:t xml:space="preserve">доля граждан, ведущих здоровый образ жизни: </w:t>
            </w:r>
          </w:p>
          <w:p w:rsidR="00B90F1F" w:rsidRPr="000F252A" w:rsidRDefault="00B90F1F" w:rsidP="005735AD">
            <w:pPr>
              <w:jc w:val="both"/>
            </w:pPr>
            <w:r w:rsidRPr="000F252A">
              <w:t>в 2026 г. – 16,6 процент</w:t>
            </w:r>
            <w:r w:rsidR="001C2369" w:rsidRPr="000F252A">
              <w:t>а</w:t>
            </w:r>
            <w:r w:rsidR="00BE6527" w:rsidRPr="000F252A">
              <w:t>;</w:t>
            </w:r>
          </w:p>
          <w:p w:rsidR="00B90F1F" w:rsidRPr="000F252A" w:rsidRDefault="00B90F1F" w:rsidP="005735AD">
            <w:pPr>
              <w:jc w:val="both"/>
            </w:pPr>
            <w:r w:rsidRPr="000F252A">
              <w:t>в 2027 г. – 17,4 процент</w:t>
            </w:r>
            <w:r w:rsidR="001C2369" w:rsidRPr="000F252A">
              <w:t>а</w:t>
            </w:r>
            <w:r w:rsidR="00BE6527" w:rsidRPr="000F252A">
              <w:t>;</w:t>
            </w:r>
          </w:p>
          <w:p w:rsidR="00B90F1F" w:rsidRPr="000F252A" w:rsidRDefault="00B90F1F" w:rsidP="005735AD">
            <w:pPr>
              <w:jc w:val="both"/>
            </w:pPr>
            <w:r w:rsidRPr="000F252A">
              <w:t>в 2028 г. – 18,1 процент</w:t>
            </w:r>
            <w:r w:rsidR="001C2369" w:rsidRPr="000F252A">
              <w:t>а</w:t>
            </w:r>
            <w:r w:rsidR="00BE6527" w:rsidRPr="000F252A">
              <w:t>;</w:t>
            </w:r>
          </w:p>
          <w:p w:rsidR="00B90F1F" w:rsidRPr="000F252A" w:rsidRDefault="00B90F1F" w:rsidP="005735AD">
            <w:pPr>
              <w:jc w:val="both"/>
            </w:pPr>
            <w:r w:rsidRPr="000F252A">
              <w:t>в 2029 г. – 19,2 процент</w:t>
            </w:r>
            <w:r w:rsidR="001C2369" w:rsidRPr="000F252A">
              <w:t>а</w:t>
            </w:r>
            <w:r w:rsidR="00BE6527" w:rsidRPr="000F252A">
              <w:t>;</w:t>
            </w:r>
          </w:p>
          <w:p w:rsidR="00B90F1F" w:rsidRPr="000F252A" w:rsidRDefault="00B90F1F" w:rsidP="005735AD">
            <w:pPr>
              <w:jc w:val="both"/>
            </w:pPr>
            <w:r w:rsidRPr="000F252A">
              <w:t>в 2030 г. – 20,5 процент</w:t>
            </w:r>
            <w:r w:rsidR="001C2369" w:rsidRPr="000F252A">
              <w:t>а</w:t>
            </w:r>
          </w:p>
        </w:tc>
      </w:tr>
      <w:tr w:rsidR="00B90F1F" w:rsidRPr="000F252A" w:rsidTr="00AC795F">
        <w:trPr>
          <w:trHeight w:val="20"/>
        </w:trPr>
        <w:tc>
          <w:tcPr>
            <w:tcW w:w="704" w:type="dxa"/>
            <w:shd w:val="clear" w:color="auto" w:fill="auto"/>
          </w:tcPr>
          <w:p w:rsidR="00B90F1F" w:rsidRPr="000F252A" w:rsidRDefault="00B90F1F" w:rsidP="005735AD">
            <w:pPr>
              <w:jc w:val="center"/>
            </w:pPr>
            <w:r w:rsidRPr="000F252A">
              <w:t>1.2.</w:t>
            </w:r>
          </w:p>
        </w:tc>
        <w:tc>
          <w:tcPr>
            <w:tcW w:w="3686" w:type="dxa"/>
            <w:shd w:val="clear" w:color="auto" w:fill="auto"/>
          </w:tcPr>
          <w:p w:rsidR="00B90F1F" w:rsidRPr="000F252A" w:rsidRDefault="00B90F1F" w:rsidP="00BE6527">
            <w:pPr>
              <w:jc w:val="both"/>
            </w:pPr>
            <w:r w:rsidRPr="000F252A">
              <w:t>Формирование группы риска колоректального рака с отклонениями в результатах иммунохимического исследования кала на скрытую кровь при проведении диспансеризации определенных групп взрослого населения с последующим монит</w:t>
            </w:r>
            <w:r w:rsidR="00BE6527" w:rsidRPr="000F252A">
              <w:t xml:space="preserve">орингом проведения колоноскопии </w:t>
            </w:r>
            <w:r w:rsidRPr="000F252A">
              <w:t>(выбор группы риска по колоректальному раку обусловлен лидирующей позицией колор</w:t>
            </w:r>
            <w:r w:rsidR="00BE6527" w:rsidRPr="000F252A">
              <w:t>ектального рака в</w:t>
            </w:r>
            <w:r w:rsidRPr="000F252A">
              <w:t xml:space="preserve"> структуре заболеваемости </w:t>
            </w:r>
            <w:r w:rsidR="00BE6527" w:rsidRPr="000F252A">
              <w:t>ЗНО</w:t>
            </w:r>
            <w:r w:rsidR="002B09DE" w:rsidRPr="000F252A">
              <w:t xml:space="preserve"> (в 2024 г. – 13,1 процента)</w:t>
            </w:r>
          </w:p>
        </w:tc>
        <w:tc>
          <w:tcPr>
            <w:tcW w:w="1474" w:type="dxa"/>
            <w:shd w:val="clear" w:color="auto" w:fill="auto"/>
          </w:tcPr>
          <w:p w:rsidR="00B90F1F" w:rsidRPr="000F252A" w:rsidRDefault="00B90F1F" w:rsidP="008A683D">
            <w:pPr>
              <w:jc w:val="center"/>
            </w:pPr>
            <w:r w:rsidRPr="000F252A">
              <w:t>01.01.202</w:t>
            </w:r>
            <w:r w:rsidR="008A683D" w:rsidRPr="000F252A">
              <w:t>6</w:t>
            </w:r>
          </w:p>
        </w:tc>
        <w:tc>
          <w:tcPr>
            <w:tcW w:w="1418" w:type="dxa"/>
            <w:shd w:val="clear" w:color="auto" w:fill="auto"/>
          </w:tcPr>
          <w:p w:rsidR="00B90F1F" w:rsidRPr="000F252A" w:rsidRDefault="00B90F1F" w:rsidP="005735AD">
            <w:pPr>
              <w:jc w:val="center"/>
            </w:pPr>
            <w:r w:rsidRPr="000F252A">
              <w:t>31.12.2030</w:t>
            </w:r>
          </w:p>
        </w:tc>
        <w:tc>
          <w:tcPr>
            <w:tcW w:w="3912" w:type="dxa"/>
            <w:shd w:val="clear" w:color="auto" w:fill="auto"/>
          </w:tcPr>
          <w:p w:rsidR="00B90F1F" w:rsidRPr="000F252A" w:rsidRDefault="00783F2D" w:rsidP="00F94EC2">
            <w:pPr>
              <w:jc w:val="both"/>
            </w:pPr>
            <w:r w:rsidRPr="000F252A">
              <w:t>г</w:t>
            </w:r>
            <w:r w:rsidR="00B90F1F" w:rsidRPr="000F252A">
              <w:t xml:space="preserve">лавный врач ГАУЗ </w:t>
            </w:r>
            <w:r w:rsidR="002B09DE" w:rsidRPr="000F252A">
              <w:rPr>
                <w:rFonts w:eastAsia="Arial"/>
              </w:rPr>
              <w:t>«РКОД МЗ РТ им.проф.</w:t>
            </w:r>
            <w:r w:rsidR="00B90F1F" w:rsidRPr="000F252A">
              <w:rPr>
                <w:rFonts w:eastAsia="Arial"/>
              </w:rPr>
              <w:t>М.З.Сигала»</w:t>
            </w:r>
            <w:r w:rsidR="00B90F1F" w:rsidRPr="000F252A">
              <w:t xml:space="preserve">  </w:t>
            </w:r>
            <w:r w:rsidR="00F94EC2" w:rsidRPr="000F252A">
              <w:t>М.Ф.Мухамадеев</w:t>
            </w:r>
            <w:r w:rsidR="00B90F1F" w:rsidRPr="000F252A">
              <w:t xml:space="preserve">, главный внештатный специалист-онколог Министерства здравоохранения Республики Татарстан Э.В.Нагуманов, руководители медицинских организаций </w:t>
            </w:r>
            <w:r w:rsidR="00097063" w:rsidRPr="000F252A">
              <w:t>Республики Татарстан</w:t>
            </w:r>
          </w:p>
        </w:tc>
        <w:tc>
          <w:tcPr>
            <w:tcW w:w="3969" w:type="dxa"/>
            <w:shd w:val="clear" w:color="auto" w:fill="auto"/>
          </w:tcPr>
          <w:p w:rsidR="00B90F1F" w:rsidRPr="000F252A" w:rsidRDefault="00B90F1F" w:rsidP="005735AD">
            <w:pPr>
              <w:jc w:val="both"/>
            </w:pPr>
            <w:r w:rsidRPr="000F252A">
              <w:t>информирование пациентов из группы риска по телефонной связи о необходимости проведения колоноскопии – не менее 17 </w:t>
            </w:r>
            <w:r w:rsidR="00BE6527" w:rsidRPr="000F252A">
              <w:t>тыс.</w:t>
            </w:r>
            <w:r w:rsidRPr="000F252A">
              <w:t>человек ежегодно;</w:t>
            </w:r>
          </w:p>
          <w:p w:rsidR="00B90F1F" w:rsidRPr="000F252A" w:rsidRDefault="00B90F1F" w:rsidP="005735AD">
            <w:pPr>
              <w:jc w:val="both"/>
            </w:pPr>
          </w:p>
          <w:p w:rsidR="00B90F1F" w:rsidRPr="000F252A" w:rsidRDefault="00B90F1F" w:rsidP="005735AD">
            <w:pPr>
              <w:jc w:val="both"/>
            </w:pPr>
            <w:r w:rsidRPr="000F252A">
              <w:t>проведение не менее 11 тыс.колоноскопий ежегодно;</w:t>
            </w:r>
          </w:p>
          <w:p w:rsidR="00B90F1F" w:rsidRPr="000F252A" w:rsidRDefault="00B90F1F" w:rsidP="005735AD">
            <w:pPr>
              <w:jc w:val="both"/>
            </w:pPr>
          </w:p>
          <w:p w:rsidR="00B90F1F" w:rsidRPr="000F252A" w:rsidRDefault="00B90F1F" w:rsidP="005735AD">
            <w:pPr>
              <w:jc w:val="both"/>
            </w:pPr>
            <w:r w:rsidRPr="000F252A">
              <w:t xml:space="preserve">доля случаев рака ободочной кишки, выявленных </w:t>
            </w:r>
            <w:r w:rsidR="00BE6527" w:rsidRPr="000F252A">
              <w:t xml:space="preserve">на </w:t>
            </w:r>
            <w:r w:rsidRPr="000F252A">
              <w:t xml:space="preserve">I стадии: </w:t>
            </w:r>
          </w:p>
          <w:p w:rsidR="00B90F1F" w:rsidRPr="000F252A" w:rsidRDefault="00BE6527" w:rsidP="005735AD">
            <w:pPr>
              <w:jc w:val="both"/>
            </w:pPr>
            <w:r w:rsidRPr="000F252A">
              <w:t xml:space="preserve">2026 г. – </w:t>
            </w:r>
            <w:r w:rsidR="00C22ECD" w:rsidRPr="000F252A">
              <w:t>31,6</w:t>
            </w:r>
            <w:r w:rsidRPr="000F252A">
              <w:t xml:space="preserve"> процента;</w:t>
            </w:r>
            <w:r w:rsidR="00B90F1F" w:rsidRPr="000F252A">
              <w:t xml:space="preserve"> </w:t>
            </w:r>
          </w:p>
          <w:p w:rsidR="00B90F1F" w:rsidRPr="000F252A" w:rsidRDefault="00BE6527" w:rsidP="005735AD">
            <w:pPr>
              <w:jc w:val="both"/>
            </w:pPr>
            <w:r w:rsidRPr="000F252A">
              <w:t xml:space="preserve">2027 г. – </w:t>
            </w:r>
            <w:r w:rsidR="00C22ECD" w:rsidRPr="000F252A">
              <w:t>31</w:t>
            </w:r>
            <w:r w:rsidRPr="000F252A">
              <w:t>,</w:t>
            </w:r>
            <w:r w:rsidR="00C22ECD" w:rsidRPr="000F252A">
              <w:t>7</w:t>
            </w:r>
            <w:r w:rsidRPr="000F252A">
              <w:t xml:space="preserve"> процента;</w:t>
            </w:r>
            <w:r w:rsidR="00B90F1F" w:rsidRPr="000F252A">
              <w:t xml:space="preserve"> </w:t>
            </w:r>
          </w:p>
          <w:p w:rsidR="00B90F1F" w:rsidRPr="000F252A" w:rsidRDefault="00BE6527" w:rsidP="005735AD">
            <w:pPr>
              <w:jc w:val="both"/>
            </w:pPr>
            <w:r w:rsidRPr="000F252A">
              <w:t xml:space="preserve">2028 г. – </w:t>
            </w:r>
            <w:r w:rsidR="00C22ECD" w:rsidRPr="000F252A">
              <w:t>31,7</w:t>
            </w:r>
            <w:r w:rsidRPr="000F252A">
              <w:t xml:space="preserve"> процента;</w:t>
            </w:r>
            <w:r w:rsidR="00B90F1F" w:rsidRPr="000F252A">
              <w:t xml:space="preserve"> </w:t>
            </w:r>
          </w:p>
          <w:p w:rsidR="00B90F1F" w:rsidRPr="000F252A" w:rsidRDefault="00BE6527" w:rsidP="005735AD">
            <w:pPr>
              <w:jc w:val="both"/>
            </w:pPr>
            <w:r w:rsidRPr="000F252A">
              <w:t xml:space="preserve">2029 г. – </w:t>
            </w:r>
            <w:r w:rsidR="00C22ECD" w:rsidRPr="000F252A">
              <w:t>31,8</w:t>
            </w:r>
            <w:r w:rsidRPr="000F252A">
              <w:t xml:space="preserve"> процента;</w:t>
            </w:r>
            <w:r w:rsidR="00B90F1F" w:rsidRPr="000F252A">
              <w:t xml:space="preserve"> </w:t>
            </w:r>
          </w:p>
          <w:p w:rsidR="00B90F1F" w:rsidRPr="000F252A" w:rsidRDefault="00BE6527" w:rsidP="005735AD">
            <w:pPr>
              <w:jc w:val="both"/>
            </w:pPr>
            <w:r w:rsidRPr="000F252A">
              <w:t>2030</w:t>
            </w:r>
            <w:r w:rsidR="00EE4896" w:rsidRPr="000F252A">
              <w:t xml:space="preserve"> г. – </w:t>
            </w:r>
            <w:r w:rsidR="00C22ECD" w:rsidRPr="000F252A">
              <w:t>31,8</w:t>
            </w:r>
            <w:r w:rsidR="00EE4896" w:rsidRPr="000F252A">
              <w:t xml:space="preserve"> процента</w:t>
            </w:r>
            <w:r w:rsidR="00B90F1F" w:rsidRPr="000F252A">
              <w:t xml:space="preserve"> </w:t>
            </w:r>
          </w:p>
          <w:p w:rsidR="00B90F1F" w:rsidRPr="000F252A" w:rsidRDefault="00B90F1F" w:rsidP="005735AD">
            <w:pPr>
              <w:jc w:val="both"/>
            </w:pPr>
            <w:r w:rsidRPr="000F252A">
              <w:t>(</w:t>
            </w:r>
            <w:r w:rsidR="00097063" w:rsidRPr="000F252A">
              <w:t xml:space="preserve">факт </w:t>
            </w:r>
            <w:r w:rsidRPr="000F252A">
              <w:t>202</w:t>
            </w:r>
            <w:r w:rsidR="00C22ECD" w:rsidRPr="000F252A">
              <w:t>5</w:t>
            </w:r>
            <w:r w:rsidRPr="000F252A">
              <w:t xml:space="preserve"> г. – </w:t>
            </w:r>
            <w:r w:rsidR="00C22ECD" w:rsidRPr="000F252A">
              <w:t>31,6</w:t>
            </w:r>
            <w:r w:rsidRPr="000F252A">
              <w:t xml:space="preserve"> процента); </w:t>
            </w:r>
          </w:p>
          <w:p w:rsidR="00B90F1F" w:rsidRPr="000F252A" w:rsidRDefault="00B90F1F" w:rsidP="005735AD">
            <w:pPr>
              <w:jc w:val="both"/>
            </w:pPr>
            <w:r w:rsidRPr="000F252A">
              <w:t xml:space="preserve">доля случаев рака прямой кишки, </w:t>
            </w:r>
            <w:r w:rsidRPr="000F252A">
              <w:rPr>
                <w:rFonts w:eastAsia="Arial"/>
              </w:rPr>
              <w:t>ректосигмоидного соединения, ануса</w:t>
            </w:r>
            <w:r w:rsidR="0096683B" w:rsidRPr="000F252A">
              <w:rPr>
                <w:rFonts w:eastAsia="Arial"/>
              </w:rPr>
              <w:t xml:space="preserve">, </w:t>
            </w:r>
            <w:r w:rsidRPr="000F252A">
              <w:t>выявленных</w:t>
            </w:r>
            <w:r w:rsidR="0096683B" w:rsidRPr="000F252A">
              <w:t xml:space="preserve"> на</w:t>
            </w:r>
            <w:r w:rsidRPr="000F252A">
              <w:t xml:space="preserve"> I стадии: </w:t>
            </w:r>
          </w:p>
          <w:p w:rsidR="00B90F1F" w:rsidRPr="000F252A" w:rsidRDefault="0096683B" w:rsidP="005735AD">
            <w:pPr>
              <w:jc w:val="both"/>
            </w:pPr>
            <w:r w:rsidRPr="000F252A">
              <w:t>2026 г. – 2</w:t>
            </w:r>
            <w:r w:rsidR="006D7AE5" w:rsidRPr="000F252A">
              <w:t>8</w:t>
            </w:r>
            <w:r w:rsidRPr="000F252A">
              <w:t>,</w:t>
            </w:r>
            <w:r w:rsidR="006D7AE5" w:rsidRPr="000F252A">
              <w:t>4</w:t>
            </w:r>
            <w:r w:rsidRPr="000F252A">
              <w:t xml:space="preserve"> процента;</w:t>
            </w:r>
            <w:r w:rsidR="00B90F1F" w:rsidRPr="000F252A">
              <w:t xml:space="preserve"> </w:t>
            </w:r>
          </w:p>
          <w:p w:rsidR="00B90F1F" w:rsidRPr="000F252A" w:rsidRDefault="0096683B" w:rsidP="005735AD">
            <w:pPr>
              <w:jc w:val="both"/>
            </w:pPr>
            <w:r w:rsidRPr="000F252A">
              <w:t>2027 г. – 2</w:t>
            </w:r>
            <w:r w:rsidR="006D7AE5" w:rsidRPr="000F252A">
              <w:t>8</w:t>
            </w:r>
            <w:r w:rsidRPr="000F252A">
              <w:t>,</w:t>
            </w:r>
            <w:r w:rsidR="006D7AE5" w:rsidRPr="000F252A">
              <w:t>5</w:t>
            </w:r>
            <w:r w:rsidRPr="000F252A">
              <w:t xml:space="preserve"> процента;</w:t>
            </w:r>
            <w:r w:rsidR="00B90F1F" w:rsidRPr="000F252A">
              <w:t xml:space="preserve"> </w:t>
            </w:r>
          </w:p>
          <w:p w:rsidR="00B90F1F" w:rsidRPr="000F252A" w:rsidRDefault="0096683B" w:rsidP="005735AD">
            <w:pPr>
              <w:jc w:val="both"/>
            </w:pPr>
            <w:r w:rsidRPr="000F252A">
              <w:t>2028 г. – 2</w:t>
            </w:r>
            <w:r w:rsidR="006D7AE5" w:rsidRPr="000F252A">
              <w:t>8</w:t>
            </w:r>
            <w:r w:rsidRPr="000F252A">
              <w:t>,</w:t>
            </w:r>
            <w:r w:rsidR="006D7AE5" w:rsidRPr="000F252A">
              <w:t>5</w:t>
            </w:r>
            <w:r w:rsidRPr="000F252A">
              <w:t xml:space="preserve"> процента;</w:t>
            </w:r>
            <w:r w:rsidR="00B90F1F" w:rsidRPr="000F252A">
              <w:t xml:space="preserve"> </w:t>
            </w:r>
          </w:p>
          <w:p w:rsidR="00B90F1F" w:rsidRPr="000F252A" w:rsidRDefault="0096683B" w:rsidP="005735AD">
            <w:pPr>
              <w:jc w:val="both"/>
            </w:pPr>
            <w:r w:rsidRPr="000F252A">
              <w:t>2029 г. – 2</w:t>
            </w:r>
            <w:r w:rsidR="006D7AE5" w:rsidRPr="000F252A">
              <w:t>8</w:t>
            </w:r>
            <w:r w:rsidRPr="000F252A">
              <w:t>,</w:t>
            </w:r>
            <w:r w:rsidR="006D7AE5" w:rsidRPr="000F252A">
              <w:t>6</w:t>
            </w:r>
            <w:r w:rsidRPr="000F252A">
              <w:t xml:space="preserve"> процента;</w:t>
            </w:r>
            <w:r w:rsidR="00B90F1F" w:rsidRPr="000F252A">
              <w:t xml:space="preserve"> </w:t>
            </w:r>
          </w:p>
          <w:p w:rsidR="00B90F1F" w:rsidRPr="000F252A" w:rsidRDefault="00B90F1F" w:rsidP="005735AD">
            <w:pPr>
              <w:jc w:val="both"/>
            </w:pPr>
            <w:r w:rsidRPr="000F252A">
              <w:t>20</w:t>
            </w:r>
            <w:r w:rsidR="00097063" w:rsidRPr="000F252A">
              <w:t>30</w:t>
            </w:r>
            <w:r w:rsidR="0096683B" w:rsidRPr="000F252A">
              <w:t xml:space="preserve"> г. – 2</w:t>
            </w:r>
            <w:r w:rsidR="006D7AE5" w:rsidRPr="000F252A">
              <w:t>8</w:t>
            </w:r>
            <w:r w:rsidR="0096683B" w:rsidRPr="000F252A">
              <w:t>,</w:t>
            </w:r>
            <w:r w:rsidR="006D7AE5" w:rsidRPr="000F252A">
              <w:t>6</w:t>
            </w:r>
            <w:r w:rsidR="0096683B" w:rsidRPr="000F252A">
              <w:t xml:space="preserve"> процента</w:t>
            </w:r>
            <w:r w:rsidRPr="000F252A">
              <w:t xml:space="preserve"> </w:t>
            </w:r>
          </w:p>
          <w:p w:rsidR="00B90F1F" w:rsidRPr="000F252A" w:rsidRDefault="00B90F1F" w:rsidP="006D7AE5">
            <w:pPr>
              <w:jc w:val="both"/>
            </w:pPr>
            <w:r w:rsidRPr="000F252A">
              <w:t>(</w:t>
            </w:r>
            <w:r w:rsidR="000B31E8" w:rsidRPr="000F252A">
              <w:t xml:space="preserve">факт </w:t>
            </w:r>
            <w:r w:rsidRPr="000F252A">
              <w:t>202</w:t>
            </w:r>
            <w:r w:rsidR="006D7AE5" w:rsidRPr="000F252A">
              <w:t>5</w:t>
            </w:r>
            <w:r w:rsidRPr="000F252A">
              <w:t xml:space="preserve"> г. – 2</w:t>
            </w:r>
            <w:r w:rsidR="006D7AE5" w:rsidRPr="000F252A">
              <w:t>8</w:t>
            </w:r>
            <w:r w:rsidRPr="000F252A">
              <w:t>,</w:t>
            </w:r>
            <w:r w:rsidR="006D7AE5" w:rsidRPr="000F252A">
              <w:t>4</w:t>
            </w:r>
            <w:r w:rsidRPr="000F252A">
              <w:t xml:space="preserve"> процента)</w:t>
            </w:r>
          </w:p>
        </w:tc>
      </w:tr>
      <w:tr w:rsidR="00B90F1F" w:rsidRPr="000F252A" w:rsidTr="00AC795F">
        <w:trPr>
          <w:trHeight w:val="20"/>
        </w:trPr>
        <w:tc>
          <w:tcPr>
            <w:tcW w:w="704" w:type="dxa"/>
            <w:shd w:val="clear" w:color="auto" w:fill="auto"/>
          </w:tcPr>
          <w:p w:rsidR="00B90F1F" w:rsidRPr="000F252A" w:rsidRDefault="00B90F1F" w:rsidP="005735AD">
            <w:pPr>
              <w:jc w:val="center"/>
            </w:pPr>
            <w:r w:rsidRPr="000F252A">
              <w:t>1.3.</w:t>
            </w:r>
          </w:p>
        </w:tc>
        <w:tc>
          <w:tcPr>
            <w:tcW w:w="3686" w:type="dxa"/>
            <w:shd w:val="clear" w:color="auto" w:fill="auto"/>
          </w:tcPr>
          <w:p w:rsidR="00B90F1F" w:rsidRPr="000F252A" w:rsidRDefault="00B90F1F" w:rsidP="0096683B">
            <w:pPr>
              <w:jc w:val="both"/>
            </w:pPr>
            <w:r w:rsidRPr="000F252A">
              <w:t xml:space="preserve">Проведение иммунизации населения от вирусного гепатита </w:t>
            </w:r>
            <w:r w:rsidR="0096683B" w:rsidRPr="000F252A">
              <w:t>в</w:t>
            </w:r>
            <w:r w:rsidRPr="000F252A">
              <w:t xml:space="preserve"> соответствии с национальным календарем профилактических прививок и сохранение на низком уровне заболеваемости вирусным гепатитом В </w:t>
            </w:r>
          </w:p>
        </w:tc>
        <w:tc>
          <w:tcPr>
            <w:tcW w:w="1474" w:type="dxa"/>
            <w:shd w:val="clear" w:color="auto" w:fill="auto"/>
          </w:tcPr>
          <w:p w:rsidR="00B90F1F" w:rsidRPr="000F252A" w:rsidRDefault="00B90F1F" w:rsidP="00C22ECD">
            <w:pPr>
              <w:jc w:val="center"/>
            </w:pPr>
            <w:r w:rsidRPr="000F252A">
              <w:t>01.02.202</w:t>
            </w:r>
            <w:r w:rsidR="00C22ECD" w:rsidRPr="000F252A">
              <w:t>6</w:t>
            </w:r>
          </w:p>
        </w:tc>
        <w:tc>
          <w:tcPr>
            <w:tcW w:w="1418" w:type="dxa"/>
            <w:shd w:val="clear" w:color="auto" w:fill="auto"/>
          </w:tcPr>
          <w:p w:rsidR="00B90F1F" w:rsidRPr="000F252A" w:rsidRDefault="00B90F1F" w:rsidP="005735AD">
            <w:pPr>
              <w:jc w:val="center"/>
            </w:pPr>
            <w:r w:rsidRPr="000F252A">
              <w:t>31.12.2030</w:t>
            </w:r>
          </w:p>
        </w:tc>
        <w:tc>
          <w:tcPr>
            <w:tcW w:w="3912" w:type="dxa"/>
            <w:shd w:val="clear" w:color="auto" w:fill="auto"/>
          </w:tcPr>
          <w:p w:rsidR="00B90F1F" w:rsidRPr="000F252A" w:rsidRDefault="00783F2D" w:rsidP="005735AD">
            <w:pPr>
              <w:jc w:val="both"/>
            </w:pPr>
            <w:r w:rsidRPr="000F252A">
              <w:t>г</w:t>
            </w:r>
            <w:r w:rsidR="00B90F1F" w:rsidRPr="000F252A">
              <w:t xml:space="preserve">лавный внештатный специалист по иммунопрофилактике Министерства здравоохранения Республики Татарстан Д.В.Лопушов </w:t>
            </w:r>
          </w:p>
        </w:tc>
        <w:tc>
          <w:tcPr>
            <w:tcW w:w="3969" w:type="dxa"/>
            <w:shd w:val="clear" w:color="auto" w:fill="auto"/>
          </w:tcPr>
          <w:p w:rsidR="00B90F1F" w:rsidRPr="000F252A" w:rsidRDefault="00B90F1F" w:rsidP="005735AD">
            <w:pPr>
              <w:jc w:val="both"/>
            </w:pPr>
            <w:r w:rsidRPr="000F252A">
              <w:t>заболеваемость острым вирусным гепатитом В не выше 0,5 на 100 ты</w:t>
            </w:r>
            <w:r w:rsidR="00EE4896" w:rsidRPr="000F252A">
              <w:t>с.населения в период с 2025 по</w:t>
            </w:r>
            <w:r w:rsidR="0096683B" w:rsidRPr="000F252A">
              <w:t xml:space="preserve"> </w:t>
            </w:r>
            <w:r w:rsidRPr="000F252A">
              <w:t xml:space="preserve">2030 г. </w:t>
            </w:r>
          </w:p>
          <w:p w:rsidR="00B90F1F" w:rsidRPr="000F252A" w:rsidRDefault="00B90F1F" w:rsidP="005735AD">
            <w:pPr>
              <w:jc w:val="both"/>
            </w:pPr>
            <w:r w:rsidRPr="000F252A">
              <w:t>(</w:t>
            </w:r>
            <w:r w:rsidR="00A6649E" w:rsidRPr="000F252A">
              <w:t xml:space="preserve">факт </w:t>
            </w:r>
            <w:r w:rsidRPr="000F252A">
              <w:t>202</w:t>
            </w:r>
            <w:r w:rsidR="005C7F20" w:rsidRPr="000F252A">
              <w:t>5</w:t>
            </w:r>
            <w:r w:rsidRPr="000F252A">
              <w:t xml:space="preserve"> г. – 0,5</w:t>
            </w:r>
            <w:r w:rsidR="006F6B78">
              <w:t xml:space="preserve"> на 100 тыс.населения)</w:t>
            </w:r>
          </w:p>
        </w:tc>
      </w:tr>
      <w:tr w:rsidR="00B90F1F" w:rsidRPr="000F252A" w:rsidTr="00AC795F">
        <w:trPr>
          <w:trHeight w:val="20"/>
        </w:trPr>
        <w:tc>
          <w:tcPr>
            <w:tcW w:w="704" w:type="dxa"/>
            <w:shd w:val="clear" w:color="auto" w:fill="auto"/>
            <w:hideMark/>
          </w:tcPr>
          <w:p w:rsidR="00B90F1F" w:rsidRPr="000F252A" w:rsidRDefault="00B90F1F" w:rsidP="005735AD">
            <w:pPr>
              <w:jc w:val="center"/>
            </w:pPr>
            <w:r w:rsidRPr="000F252A">
              <w:t>1.4.</w:t>
            </w:r>
          </w:p>
        </w:tc>
        <w:tc>
          <w:tcPr>
            <w:tcW w:w="3686" w:type="dxa"/>
            <w:shd w:val="clear" w:color="auto" w:fill="auto"/>
            <w:hideMark/>
          </w:tcPr>
          <w:p w:rsidR="00B90F1F" w:rsidRPr="000F252A" w:rsidRDefault="00B90F1F" w:rsidP="005735AD">
            <w:pPr>
              <w:jc w:val="both"/>
            </w:pPr>
            <w:r w:rsidRPr="000F252A">
              <w:t xml:space="preserve">Издание, тиражирование и распространение среди населения наглядных информационных материалов (буклеты, листовки и пр.), посвященных профилактике факторов риска онкологических заболеваний и здоровому образу жизни </w:t>
            </w:r>
          </w:p>
        </w:tc>
        <w:tc>
          <w:tcPr>
            <w:tcW w:w="1474" w:type="dxa"/>
            <w:shd w:val="clear" w:color="auto" w:fill="auto"/>
            <w:hideMark/>
          </w:tcPr>
          <w:p w:rsidR="00B90F1F" w:rsidRPr="000F252A" w:rsidRDefault="00B90F1F" w:rsidP="005C7F20">
            <w:pPr>
              <w:jc w:val="center"/>
            </w:pPr>
            <w:r w:rsidRPr="000F252A">
              <w:t>09.01.202</w:t>
            </w:r>
            <w:r w:rsidR="005C7F20" w:rsidRPr="000F252A">
              <w:t>6</w:t>
            </w:r>
          </w:p>
        </w:tc>
        <w:tc>
          <w:tcPr>
            <w:tcW w:w="1418" w:type="dxa"/>
            <w:shd w:val="clear" w:color="auto" w:fill="auto"/>
            <w:hideMark/>
          </w:tcPr>
          <w:p w:rsidR="00B90F1F" w:rsidRPr="000F252A" w:rsidRDefault="00B90F1F" w:rsidP="005735AD">
            <w:pPr>
              <w:jc w:val="center"/>
            </w:pPr>
            <w:r w:rsidRPr="000F252A">
              <w:t>31.12.2030</w:t>
            </w:r>
          </w:p>
        </w:tc>
        <w:tc>
          <w:tcPr>
            <w:tcW w:w="3912" w:type="dxa"/>
            <w:shd w:val="clear" w:color="auto" w:fill="auto"/>
            <w:hideMark/>
          </w:tcPr>
          <w:p w:rsidR="00B90F1F" w:rsidRPr="000F252A" w:rsidRDefault="00783F2D" w:rsidP="005735AD">
            <w:pPr>
              <w:jc w:val="both"/>
            </w:pPr>
            <w:r w:rsidRPr="000F252A">
              <w:t>г</w:t>
            </w:r>
            <w:r w:rsidR="00B90F1F" w:rsidRPr="000F252A">
              <w:t xml:space="preserve">лавный врач ГАУЗ «Республиканский центр общественного здоровья и медицинской профилактики» И.Х.Шарафутдинов </w:t>
            </w:r>
          </w:p>
        </w:tc>
        <w:tc>
          <w:tcPr>
            <w:tcW w:w="3969" w:type="dxa"/>
            <w:shd w:val="clear" w:color="auto" w:fill="auto"/>
            <w:hideMark/>
          </w:tcPr>
          <w:p w:rsidR="00B90F1F" w:rsidRPr="000F252A" w:rsidRDefault="00B90F1F" w:rsidP="0096683B">
            <w:pPr>
              <w:jc w:val="both"/>
            </w:pPr>
            <w:r w:rsidRPr="000F252A">
              <w:t xml:space="preserve">распространено не менее 50 </w:t>
            </w:r>
            <w:r w:rsidR="0096683B" w:rsidRPr="000F252A">
              <w:t>тыс.</w:t>
            </w:r>
            <w:r w:rsidRPr="000F252A">
              <w:t>экземпляров в год</w:t>
            </w:r>
          </w:p>
        </w:tc>
      </w:tr>
      <w:tr w:rsidR="00B90F1F" w:rsidRPr="000F252A" w:rsidTr="00AC795F">
        <w:trPr>
          <w:trHeight w:val="20"/>
        </w:trPr>
        <w:tc>
          <w:tcPr>
            <w:tcW w:w="704" w:type="dxa"/>
            <w:shd w:val="clear" w:color="auto" w:fill="auto"/>
          </w:tcPr>
          <w:p w:rsidR="00B90F1F" w:rsidRPr="000F252A" w:rsidRDefault="00B90F1F" w:rsidP="005735AD">
            <w:pPr>
              <w:jc w:val="center"/>
            </w:pPr>
            <w:r w:rsidRPr="000F252A">
              <w:t>1.5.</w:t>
            </w:r>
          </w:p>
        </w:tc>
        <w:tc>
          <w:tcPr>
            <w:tcW w:w="3686" w:type="dxa"/>
            <w:shd w:val="clear" w:color="auto" w:fill="auto"/>
          </w:tcPr>
          <w:p w:rsidR="00B90F1F" w:rsidRPr="000F252A" w:rsidRDefault="00B90F1F" w:rsidP="0096683B">
            <w:pPr>
              <w:jc w:val="both"/>
            </w:pPr>
            <w:r w:rsidRPr="000F252A">
              <w:t>Организация и проведение тематических семинаров-совещаний для работников учреждений здравоохранения, образования, культуры, молодежных организаций, учреждений социальной защиты и правоохранительных органов по вопросам формирования здорового образа жизни, профилактики алкоголизации и табакокурения</w:t>
            </w:r>
          </w:p>
        </w:tc>
        <w:tc>
          <w:tcPr>
            <w:tcW w:w="1474" w:type="dxa"/>
            <w:shd w:val="clear" w:color="auto" w:fill="auto"/>
          </w:tcPr>
          <w:p w:rsidR="00B90F1F" w:rsidRPr="000F252A" w:rsidRDefault="00B90F1F" w:rsidP="005C7F20">
            <w:pPr>
              <w:jc w:val="center"/>
            </w:pPr>
            <w:r w:rsidRPr="000F252A">
              <w:t>09.01.202</w:t>
            </w:r>
            <w:r w:rsidR="005C7F20" w:rsidRPr="000F252A">
              <w:t>6</w:t>
            </w:r>
          </w:p>
        </w:tc>
        <w:tc>
          <w:tcPr>
            <w:tcW w:w="1418" w:type="dxa"/>
            <w:shd w:val="clear" w:color="auto" w:fill="auto"/>
          </w:tcPr>
          <w:p w:rsidR="00B90F1F" w:rsidRPr="000F252A" w:rsidRDefault="00B90F1F" w:rsidP="005735AD">
            <w:pPr>
              <w:jc w:val="center"/>
            </w:pPr>
            <w:r w:rsidRPr="000F252A">
              <w:t>31.12.2030</w:t>
            </w:r>
          </w:p>
        </w:tc>
        <w:tc>
          <w:tcPr>
            <w:tcW w:w="3912" w:type="dxa"/>
            <w:shd w:val="clear" w:color="auto" w:fill="auto"/>
          </w:tcPr>
          <w:p w:rsidR="00B90F1F" w:rsidRPr="000F252A" w:rsidRDefault="0096683B" w:rsidP="002B09DE">
            <w:pPr>
              <w:jc w:val="both"/>
            </w:pPr>
            <w:r w:rsidRPr="000F252A">
              <w:t>н</w:t>
            </w:r>
            <w:r w:rsidR="00B90F1F" w:rsidRPr="000F252A">
              <w:t>ачальник Управления лечебной и профилактической помощью Министерства здравоохранения Республики Татарстан Е.В.Демьянова</w:t>
            </w:r>
            <w:r w:rsidR="002B09DE" w:rsidRPr="000F252A">
              <w:t>,</w:t>
            </w:r>
            <w:r w:rsidR="00B90F1F" w:rsidRPr="000F252A">
              <w:t xml:space="preserve"> главный врач ГАУЗ «Республиканский центр общественного здоровья и медицинской профилактики» И.Х.Шарафутдинов</w:t>
            </w:r>
            <w:r w:rsidR="002B09DE" w:rsidRPr="000F252A">
              <w:t>,</w:t>
            </w:r>
            <w:r w:rsidR="00B90F1F" w:rsidRPr="000F252A">
              <w:t xml:space="preserve"> главный внештатный специалист по медицинской профилактике Министерства здравоохранения Республики Татарстан Л.И.Фейс</w:t>
            </w:r>
            <w:r w:rsidR="002B09DE" w:rsidRPr="000F252A">
              <w:t xml:space="preserve">-ханова, </w:t>
            </w:r>
            <w:r w:rsidR="00B90F1F" w:rsidRPr="000F252A">
              <w:t xml:space="preserve">главный врач ГАУЗ «Республиканский клинический наркологический диспансер Министерства здравоохранения Республики Татарстан» Р.И.Уткельбаев </w:t>
            </w:r>
          </w:p>
        </w:tc>
        <w:tc>
          <w:tcPr>
            <w:tcW w:w="3969" w:type="dxa"/>
            <w:shd w:val="clear" w:color="auto" w:fill="auto"/>
          </w:tcPr>
          <w:p w:rsidR="00B90F1F" w:rsidRPr="000F252A" w:rsidRDefault="00B90F1F" w:rsidP="005735AD">
            <w:pPr>
              <w:jc w:val="both"/>
            </w:pPr>
            <w:r w:rsidRPr="000F252A">
              <w:t xml:space="preserve">проведение не менее </w:t>
            </w:r>
            <w:r w:rsidRPr="000F252A">
              <w:rPr>
                <w:shd w:val="clear" w:color="auto" w:fill="FFFFFF" w:themeFill="background1"/>
              </w:rPr>
              <w:t>4 тематических семинаров-совещаний в год</w:t>
            </w:r>
          </w:p>
        </w:tc>
      </w:tr>
      <w:tr w:rsidR="00B90F1F" w:rsidRPr="000F252A" w:rsidTr="00AC795F">
        <w:trPr>
          <w:trHeight w:val="20"/>
        </w:trPr>
        <w:tc>
          <w:tcPr>
            <w:tcW w:w="704" w:type="dxa"/>
            <w:shd w:val="clear" w:color="auto" w:fill="auto"/>
          </w:tcPr>
          <w:p w:rsidR="00B90F1F" w:rsidRPr="000F252A" w:rsidRDefault="00B90F1F" w:rsidP="0096683B">
            <w:pPr>
              <w:spacing w:line="245" w:lineRule="auto"/>
              <w:jc w:val="center"/>
            </w:pPr>
            <w:r w:rsidRPr="000F252A">
              <w:t>1.6.</w:t>
            </w:r>
          </w:p>
        </w:tc>
        <w:tc>
          <w:tcPr>
            <w:tcW w:w="3686" w:type="dxa"/>
            <w:shd w:val="clear" w:color="auto" w:fill="auto"/>
          </w:tcPr>
          <w:p w:rsidR="00B90F1F" w:rsidRPr="000F252A" w:rsidRDefault="00B90F1F" w:rsidP="0096683B">
            <w:pPr>
              <w:spacing w:line="245" w:lineRule="auto"/>
              <w:jc w:val="both"/>
            </w:pPr>
            <w:r w:rsidRPr="000F252A">
              <w:t>Проведение информационно-коммуникационной кампании, на</w:t>
            </w:r>
            <w:r w:rsidR="002B09DE" w:rsidRPr="000F252A">
              <w:t>-</w:t>
            </w:r>
            <w:r w:rsidRPr="000F252A">
              <w:t>правленной на раннее выявление онкологических заболеваний, повышение приверженности к обследованию и лечению, формирование положительного образа врача-онколога</w:t>
            </w:r>
          </w:p>
        </w:tc>
        <w:tc>
          <w:tcPr>
            <w:tcW w:w="1474" w:type="dxa"/>
            <w:shd w:val="clear" w:color="auto" w:fill="auto"/>
          </w:tcPr>
          <w:p w:rsidR="00B90F1F" w:rsidRPr="000F252A" w:rsidRDefault="00B90F1F" w:rsidP="005C7F20">
            <w:pPr>
              <w:spacing w:line="245" w:lineRule="auto"/>
              <w:jc w:val="center"/>
            </w:pPr>
            <w:r w:rsidRPr="000F252A">
              <w:t>09.01.202</w:t>
            </w:r>
            <w:r w:rsidR="005C7F20" w:rsidRPr="000F252A">
              <w:t>6</w:t>
            </w:r>
          </w:p>
        </w:tc>
        <w:tc>
          <w:tcPr>
            <w:tcW w:w="1418" w:type="dxa"/>
            <w:shd w:val="clear" w:color="auto" w:fill="auto"/>
          </w:tcPr>
          <w:p w:rsidR="00B90F1F" w:rsidRPr="000F252A" w:rsidRDefault="00B90F1F" w:rsidP="0096683B">
            <w:pPr>
              <w:spacing w:line="245" w:lineRule="auto"/>
              <w:jc w:val="center"/>
            </w:pPr>
            <w:r w:rsidRPr="000F252A">
              <w:t>31.12.2030</w:t>
            </w:r>
          </w:p>
        </w:tc>
        <w:tc>
          <w:tcPr>
            <w:tcW w:w="3912" w:type="dxa"/>
            <w:shd w:val="clear" w:color="auto" w:fill="auto"/>
          </w:tcPr>
          <w:p w:rsidR="00B90F1F" w:rsidRPr="000F252A" w:rsidRDefault="00783F2D" w:rsidP="0096683B">
            <w:pPr>
              <w:spacing w:line="245" w:lineRule="auto"/>
              <w:jc w:val="both"/>
            </w:pPr>
            <w:r w:rsidRPr="000F252A">
              <w:t>г</w:t>
            </w:r>
            <w:r w:rsidR="00B90F1F" w:rsidRPr="000F252A">
              <w:t xml:space="preserve">лавный врач ГАУЗ </w:t>
            </w:r>
            <w:r w:rsidR="002B09DE" w:rsidRPr="000F252A">
              <w:rPr>
                <w:rFonts w:eastAsia="Arial"/>
              </w:rPr>
              <w:t>«РКОД МЗ РТ им.проф.</w:t>
            </w:r>
            <w:r w:rsidR="00B90F1F" w:rsidRPr="000F252A">
              <w:rPr>
                <w:rFonts w:eastAsia="Arial"/>
              </w:rPr>
              <w:t>М.З.Сигала»</w:t>
            </w:r>
            <w:r w:rsidR="00B90F1F" w:rsidRPr="000F252A">
              <w:t xml:space="preserve">  </w:t>
            </w:r>
            <w:r w:rsidR="00F94EC2" w:rsidRPr="000F252A">
              <w:t>М.Ф.Мухамадеев</w:t>
            </w:r>
            <w:r w:rsidR="00B90F1F" w:rsidRPr="000F252A">
              <w:t xml:space="preserve">, главный внештатный специалист-онколог Министерства здравоохранения Республики Татарстан Э.В.Нагуманов </w:t>
            </w:r>
          </w:p>
        </w:tc>
        <w:tc>
          <w:tcPr>
            <w:tcW w:w="3969" w:type="dxa"/>
            <w:shd w:val="clear" w:color="auto" w:fill="auto"/>
          </w:tcPr>
          <w:p w:rsidR="00B90F1F" w:rsidRPr="000F252A" w:rsidRDefault="00B90F1F" w:rsidP="0096683B">
            <w:pPr>
              <w:spacing w:line="245" w:lineRule="auto"/>
              <w:jc w:val="both"/>
            </w:pPr>
            <w:r w:rsidRPr="000F252A">
              <w:t>не менее 5 новостей в неделю в социальных сетях «Вконтакте», «Телеграм» в целях изменения отношения общества к онкологическим заболеваниям, снижени</w:t>
            </w:r>
            <w:r w:rsidR="0096683B" w:rsidRPr="000F252A">
              <w:t>я</w:t>
            </w:r>
            <w:r w:rsidRPr="000F252A">
              <w:t xml:space="preserve"> уровня тревожности перед обследованием и недоверия к медицинским учреждениям онкологического профиля, повышени</w:t>
            </w:r>
            <w:r w:rsidR="0096683B" w:rsidRPr="000F252A">
              <w:t>я</w:t>
            </w:r>
            <w:r w:rsidRPr="000F252A">
              <w:t xml:space="preserve"> уверенности в положительном результате лечения; </w:t>
            </w:r>
          </w:p>
          <w:p w:rsidR="00B90F1F" w:rsidRPr="000F252A" w:rsidRDefault="00B90F1F" w:rsidP="0096683B">
            <w:pPr>
              <w:spacing w:line="245" w:lineRule="auto"/>
              <w:jc w:val="both"/>
            </w:pPr>
            <w:r w:rsidRPr="000F252A">
              <w:t xml:space="preserve">не менее 12 информационных постов в неделю в социальных сетях по вопросам профилактики, лечения, необходимого обследования для ранней диагностики ЗНО, необходимости прохождения диспансеризации. </w:t>
            </w:r>
          </w:p>
          <w:p w:rsidR="00B90F1F" w:rsidRPr="000F252A" w:rsidRDefault="00B90F1F" w:rsidP="0096683B">
            <w:pPr>
              <w:spacing w:line="245" w:lineRule="auto"/>
              <w:jc w:val="both"/>
            </w:pPr>
            <w:r w:rsidRPr="000F252A">
              <w:t xml:space="preserve">Охват аудитории в социальных сетях – не менее 120 тыс.человек в год (по </w:t>
            </w:r>
            <w:r w:rsidR="002B09DE" w:rsidRPr="000F252A">
              <w:br/>
              <w:t>30 тыс.</w:t>
            </w:r>
            <w:r w:rsidRPr="000F252A">
              <w:t>человек ежеквартально)</w:t>
            </w:r>
          </w:p>
        </w:tc>
      </w:tr>
      <w:tr w:rsidR="00B90F1F" w:rsidRPr="000F252A" w:rsidTr="00AC795F">
        <w:trPr>
          <w:trHeight w:val="20"/>
        </w:trPr>
        <w:tc>
          <w:tcPr>
            <w:tcW w:w="704" w:type="dxa"/>
            <w:shd w:val="clear" w:color="auto" w:fill="auto"/>
            <w:hideMark/>
          </w:tcPr>
          <w:p w:rsidR="00B90F1F" w:rsidRPr="000F252A" w:rsidRDefault="00B90F1F" w:rsidP="0096683B">
            <w:pPr>
              <w:spacing w:line="245" w:lineRule="auto"/>
              <w:jc w:val="center"/>
            </w:pPr>
            <w:r w:rsidRPr="000F252A">
              <w:t>1.7.</w:t>
            </w:r>
          </w:p>
        </w:tc>
        <w:tc>
          <w:tcPr>
            <w:tcW w:w="3686" w:type="dxa"/>
            <w:shd w:val="clear" w:color="auto" w:fill="auto"/>
            <w:hideMark/>
          </w:tcPr>
          <w:p w:rsidR="00B90F1F" w:rsidRPr="000F252A" w:rsidRDefault="00B90F1F" w:rsidP="0096683B">
            <w:pPr>
              <w:spacing w:line="245" w:lineRule="auto"/>
              <w:jc w:val="both"/>
            </w:pPr>
            <w:r w:rsidRPr="000F252A">
              <w:t xml:space="preserve">Подготовка и размещение на официальном сайте ГАУЗ </w:t>
            </w:r>
            <w:r w:rsidR="002B09DE" w:rsidRPr="000F252A">
              <w:rPr>
                <w:rFonts w:eastAsia="Arial"/>
              </w:rPr>
              <w:t>«РКОД МЗ РТ им.проф.</w:t>
            </w:r>
            <w:r w:rsidRPr="000F252A">
              <w:rPr>
                <w:rFonts w:eastAsia="Arial"/>
              </w:rPr>
              <w:t>М.З.Сигала»</w:t>
            </w:r>
            <w:r w:rsidRPr="000F252A">
              <w:t xml:space="preserve">  видеороликов по вопросам ведения здорового образа жизни и первичной профилактики ЗНО</w:t>
            </w:r>
          </w:p>
        </w:tc>
        <w:tc>
          <w:tcPr>
            <w:tcW w:w="1474" w:type="dxa"/>
            <w:shd w:val="clear" w:color="auto" w:fill="auto"/>
            <w:hideMark/>
          </w:tcPr>
          <w:p w:rsidR="00B90F1F" w:rsidRPr="000F252A" w:rsidRDefault="00B90F1F" w:rsidP="005C7F20">
            <w:pPr>
              <w:spacing w:line="245" w:lineRule="auto"/>
              <w:jc w:val="center"/>
            </w:pPr>
            <w:r w:rsidRPr="000F252A">
              <w:t>09.01.202</w:t>
            </w:r>
            <w:r w:rsidR="005C7F20" w:rsidRPr="000F252A">
              <w:t>6</w:t>
            </w:r>
          </w:p>
        </w:tc>
        <w:tc>
          <w:tcPr>
            <w:tcW w:w="1418" w:type="dxa"/>
            <w:shd w:val="clear" w:color="auto" w:fill="auto"/>
            <w:hideMark/>
          </w:tcPr>
          <w:p w:rsidR="00B90F1F" w:rsidRPr="000F252A" w:rsidRDefault="00B90F1F" w:rsidP="0096683B">
            <w:pPr>
              <w:spacing w:line="245" w:lineRule="auto"/>
              <w:jc w:val="center"/>
            </w:pPr>
            <w:r w:rsidRPr="000F252A">
              <w:t>31.12.2030</w:t>
            </w:r>
          </w:p>
        </w:tc>
        <w:tc>
          <w:tcPr>
            <w:tcW w:w="3912" w:type="dxa"/>
            <w:shd w:val="clear" w:color="auto" w:fill="auto"/>
            <w:hideMark/>
          </w:tcPr>
          <w:p w:rsidR="00B90F1F" w:rsidRPr="000F252A" w:rsidRDefault="00783F2D" w:rsidP="0096683B">
            <w:pPr>
              <w:spacing w:line="245" w:lineRule="auto"/>
              <w:jc w:val="both"/>
            </w:pPr>
            <w:r w:rsidRPr="000F252A">
              <w:t>г</w:t>
            </w:r>
            <w:r w:rsidR="00B90F1F" w:rsidRPr="000F252A">
              <w:t xml:space="preserve">лавный врач ГАУЗ </w:t>
            </w:r>
            <w:r w:rsidR="002B09DE" w:rsidRPr="000F252A">
              <w:rPr>
                <w:rFonts w:eastAsia="Arial"/>
              </w:rPr>
              <w:t>«РКОД МЗ</w:t>
            </w:r>
            <w:r w:rsidR="002B09DE" w:rsidRPr="000F252A">
              <w:rPr>
                <w:rFonts w:eastAsia="Arial"/>
              </w:rPr>
              <w:br/>
              <w:t>РТ им.проф.</w:t>
            </w:r>
            <w:r w:rsidR="00B90F1F" w:rsidRPr="000F252A">
              <w:rPr>
                <w:rFonts w:eastAsia="Arial"/>
              </w:rPr>
              <w:t>М.З.Сигала»</w:t>
            </w:r>
            <w:r w:rsidR="00B90F1F" w:rsidRPr="000F252A">
              <w:t xml:space="preserve"> </w:t>
            </w:r>
            <w:r w:rsidR="00F94EC2" w:rsidRPr="000F252A">
              <w:t>М.Ф.Мухамадеев</w:t>
            </w:r>
            <w:r w:rsidR="00B90F1F" w:rsidRPr="000F252A">
              <w:t xml:space="preserve"> </w:t>
            </w:r>
          </w:p>
        </w:tc>
        <w:tc>
          <w:tcPr>
            <w:tcW w:w="3969" w:type="dxa"/>
            <w:shd w:val="clear" w:color="auto" w:fill="auto"/>
            <w:hideMark/>
          </w:tcPr>
          <w:p w:rsidR="00B90F1F" w:rsidRPr="000F252A" w:rsidRDefault="00B90F1F" w:rsidP="0096683B">
            <w:pPr>
              <w:spacing w:line="245" w:lineRule="auto"/>
              <w:jc w:val="both"/>
            </w:pPr>
            <w:r w:rsidRPr="000F252A">
              <w:t xml:space="preserve">не менее 10 видеороликов доступны для ознакомления на сайте www.oncort.ru. </w:t>
            </w:r>
          </w:p>
          <w:p w:rsidR="00B90F1F" w:rsidRPr="000F252A" w:rsidRDefault="00B90F1F" w:rsidP="0096683B">
            <w:pPr>
              <w:spacing w:line="245" w:lineRule="auto"/>
              <w:jc w:val="both"/>
            </w:pPr>
            <w:r w:rsidRPr="000F252A">
              <w:t>Посещение сайта – не менее 60 </w:t>
            </w:r>
            <w:r w:rsidR="0096683B" w:rsidRPr="000F252A">
              <w:t>тыс.</w:t>
            </w:r>
            <w:r w:rsidRPr="000F252A">
              <w:t xml:space="preserve">посещений в год: </w:t>
            </w:r>
          </w:p>
          <w:p w:rsidR="00B90F1F" w:rsidRPr="000F252A" w:rsidRDefault="00B90F1F" w:rsidP="0096683B">
            <w:pPr>
              <w:spacing w:line="245" w:lineRule="auto"/>
              <w:jc w:val="both"/>
            </w:pPr>
            <w:r w:rsidRPr="000F252A">
              <w:t>I квартал – не менее 15 </w:t>
            </w:r>
            <w:r w:rsidR="0096683B" w:rsidRPr="000F252A">
              <w:t>тыс.</w:t>
            </w:r>
            <w:r w:rsidRPr="000F252A">
              <w:t xml:space="preserve">человек; </w:t>
            </w:r>
          </w:p>
          <w:p w:rsidR="00B90F1F" w:rsidRPr="000F252A" w:rsidRDefault="0096683B" w:rsidP="0096683B">
            <w:pPr>
              <w:spacing w:line="245" w:lineRule="auto"/>
              <w:jc w:val="both"/>
            </w:pPr>
            <w:r w:rsidRPr="000F252A">
              <w:t>II квартал – не менее 15 тыс.</w:t>
            </w:r>
            <w:r w:rsidR="00B90F1F" w:rsidRPr="000F252A">
              <w:t xml:space="preserve">человек; </w:t>
            </w:r>
          </w:p>
          <w:p w:rsidR="00B90F1F" w:rsidRPr="000F252A" w:rsidRDefault="0096683B" w:rsidP="0096683B">
            <w:pPr>
              <w:spacing w:line="245" w:lineRule="auto"/>
              <w:jc w:val="both"/>
            </w:pPr>
            <w:r w:rsidRPr="000F252A">
              <w:t>III квартал – не менее 15 тыс.</w:t>
            </w:r>
            <w:r w:rsidR="00B90F1F" w:rsidRPr="000F252A">
              <w:t xml:space="preserve">человек; </w:t>
            </w:r>
          </w:p>
          <w:p w:rsidR="00B90F1F" w:rsidRPr="000F252A" w:rsidRDefault="00B90F1F" w:rsidP="0096683B">
            <w:pPr>
              <w:spacing w:line="245" w:lineRule="auto"/>
              <w:jc w:val="both"/>
            </w:pPr>
            <w:r w:rsidRPr="000F252A">
              <w:t xml:space="preserve">IV квартал – не менее 15 </w:t>
            </w:r>
            <w:r w:rsidR="0096683B" w:rsidRPr="000F252A">
              <w:t>тыс.</w:t>
            </w:r>
            <w:r w:rsidRPr="000F252A">
              <w:t>человек</w:t>
            </w:r>
          </w:p>
        </w:tc>
      </w:tr>
      <w:tr w:rsidR="00B90F1F" w:rsidRPr="000F252A" w:rsidTr="00AC795F">
        <w:trPr>
          <w:trHeight w:val="20"/>
        </w:trPr>
        <w:tc>
          <w:tcPr>
            <w:tcW w:w="704" w:type="dxa"/>
            <w:shd w:val="clear" w:color="auto" w:fill="auto"/>
            <w:hideMark/>
          </w:tcPr>
          <w:p w:rsidR="00B90F1F" w:rsidRPr="000F252A" w:rsidRDefault="00B90F1F" w:rsidP="005735AD">
            <w:pPr>
              <w:jc w:val="center"/>
            </w:pPr>
            <w:r w:rsidRPr="000F252A">
              <w:t>1.8.</w:t>
            </w:r>
          </w:p>
        </w:tc>
        <w:tc>
          <w:tcPr>
            <w:tcW w:w="3686" w:type="dxa"/>
            <w:shd w:val="clear" w:color="auto" w:fill="auto"/>
            <w:hideMark/>
          </w:tcPr>
          <w:p w:rsidR="00B90F1F" w:rsidRPr="000F252A" w:rsidRDefault="00B90F1F" w:rsidP="005735AD">
            <w:pPr>
              <w:jc w:val="both"/>
            </w:pPr>
            <w:r w:rsidRPr="000F252A">
              <w:t xml:space="preserve">Организация трансляции видеороликов о здоровом образе жизни и первичной профилактике онкологических заболеваний в холле поликлиники ГАУЗ </w:t>
            </w:r>
            <w:r w:rsidR="002B09DE" w:rsidRPr="000F252A">
              <w:rPr>
                <w:rFonts w:eastAsia="Arial"/>
              </w:rPr>
              <w:t>«РКОД МЗ РТ им.проф.</w:t>
            </w:r>
            <w:r w:rsidRPr="000F252A">
              <w:rPr>
                <w:rFonts w:eastAsia="Arial"/>
              </w:rPr>
              <w:t>М.З.Сигала»</w:t>
            </w:r>
          </w:p>
        </w:tc>
        <w:tc>
          <w:tcPr>
            <w:tcW w:w="1474" w:type="dxa"/>
            <w:shd w:val="clear" w:color="auto" w:fill="auto"/>
            <w:hideMark/>
          </w:tcPr>
          <w:p w:rsidR="00B90F1F" w:rsidRPr="000F252A" w:rsidRDefault="00B90F1F" w:rsidP="005C7F20">
            <w:pPr>
              <w:jc w:val="center"/>
            </w:pPr>
            <w:r w:rsidRPr="000F252A">
              <w:t>09.01.202</w:t>
            </w:r>
            <w:r w:rsidR="005C7F20" w:rsidRPr="000F252A">
              <w:t>6</w:t>
            </w:r>
          </w:p>
        </w:tc>
        <w:tc>
          <w:tcPr>
            <w:tcW w:w="1418" w:type="dxa"/>
            <w:shd w:val="clear" w:color="auto" w:fill="auto"/>
            <w:hideMark/>
          </w:tcPr>
          <w:p w:rsidR="00B90F1F" w:rsidRPr="000F252A" w:rsidRDefault="00B90F1F" w:rsidP="005735AD">
            <w:pPr>
              <w:jc w:val="center"/>
            </w:pPr>
            <w:r w:rsidRPr="000F252A">
              <w:t>31.12.2030</w:t>
            </w:r>
          </w:p>
        </w:tc>
        <w:tc>
          <w:tcPr>
            <w:tcW w:w="3912" w:type="dxa"/>
            <w:shd w:val="clear" w:color="auto" w:fill="auto"/>
            <w:hideMark/>
          </w:tcPr>
          <w:p w:rsidR="00B90F1F" w:rsidRPr="000F252A" w:rsidRDefault="00783F2D" w:rsidP="002B09DE">
            <w:pPr>
              <w:jc w:val="both"/>
            </w:pPr>
            <w:r w:rsidRPr="000F252A">
              <w:t>г</w:t>
            </w:r>
            <w:r w:rsidR="00B90F1F" w:rsidRPr="000F252A">
              <w:t xml:space="preserve">лавный врач ГАУЗ </w:t>
            </w:r>
            <w:r w:rsidR="002B09DE" w:rsidRPr="000F252A">
              <w:rPr>
                <w:rFonts w:eastAsia="Arial"/>
              </w:rPr>
              <w:t>«РКОД МЗ РТ им.</w:t>
            </w:r>
            <w:r w:rsidR="00B90F1F" w:rsidRPr="000F252A">
              <w:rPr>
                <w:rFonts w:eastAsia="Arial"/>
              </w:rPr>
              <w:t>проф.М.З.Сигала»</w:t>
            </w:r>
            <w:r w:rsidR="00B90F1F" w:rsidRPr="000F252A">
              <w:t xml:space="preserve">  </w:t>
            </w:r>
            <w:r w:rsidR="00F94EC2" w:rsidRPr="000F252A">
              <w:t>М.Ф.Мухамадеев</w:t>
            </w:r>
          </w:p>
        </w:tc>
        <w:tc>
          <w:tcPr>
            <w:tcW w:w="3969" w:type="dxa"/>
            <w:shd w:val="clear" w:color="auto" w:fill="auto"/>
            <w:hideMark/>
          </w:tcPr>
          <w:p w:rsidR="0096683B" w:rsidRPr="000F252A" w:rsidRDefault="00B90F1F" w:rsidP="005735AD">
            <w:pPr>
              <w:jc w:val="both"/>
            </w:pPr>
            <w:r w:rsidRPr="000F252A">
              <w:t xml:space="preserve">охват не менее 20 </w:t>
            </w:r>
            <w:r w:rsidR="0096683B" w:rsidRPr="000F252A">
              <w:t>тыс.</w:t>
            </w:r>
            <w:r w:rsidRPr="000F252A">
              <w:t xml:space="preserve">посетителей </w:t>
            </w:r>
            <w:r w:rsidR="002B09DE" w:rsidRPr="000F252A">
              <w:br/>
            </w:r>
            <w:r w:rsidRPr="000F252A">
              <w:t>в год:</w:t>
            </w:r>
          </w:p>
          <w:p w:rsidR="00B90F1F" w:rsidRPr="000F252A" w:rsidRDefault="00B90F1F" w:rsidP="005735AD">
            <w:pPr>
              <w:jc w:val="both"/>
            </w:pPr>
            <w:r w:rsidRPr="000F252A">
              <w:t>I квартал – не менее 4 000 человек;</w:t>
            </w:r>
          </w:p>
          <w:p w:rsidR="00B90F1F" w:rsidRPr="000F252A" w:rsidRDefault="00B90F1F" w:rsidP="005735AD">
            <w:pPr>
              <w:jc w:val="both"/>
            </w:pPr>
            <w:r w:rsidRPr="000F252A">
              <w:t xml:space="preserve">II квартал – не менее 5 330 человек; </w:t>
            </w:r>
          </w:p>
          <w:p w:rsidR="00B90F1F" w:rsidRPr="000F252A" w:rsidRDefault="00B90F1F" w:rsidP="005735AD">
            <w:pPr>
              <w:jc w:val="both"/>
            </w:pPr>
            <w:r w:rsidRPr="000F252A">
              <w:t xml:space="preserve">III квартал – не менее 5 320 человек; </w:t>
            </w:r>
          </w:p>
          <w:p w:rsidR="00B90F1F" w:rsidRPr="000F252A" w:rsidRDefault="00B90F1F" w:rsidP="005735AD">
            <w:pPr>
              <w:jc w:val="both"/>
            </w:pPr>
            <w:r w:rsidRPr="000F252A">
              <w:t>IV квартал – не менее 5 350 человек</w:t>
            </w:r>
          </w:p>
        </w:tc>
      </w:tr>
      <w:tr w:rsidR="00B90F1F" w:rsidRPr="000F252A" w:rsidTr="00AC795F">
        <w:trPr>
          <w:trHeight w:val="20"/>
        </w:trPr>
        <w:tc>
          <w:tcPr>
            <w:tcW w:w="704" w:type="dxa"/>
            <w:shd w:val="clear" w:color="auto" w:fill="auto"/>
          </w:tcPr>
          <w:p w:rsidR="00B90F1F" w:rsidRPr="000F252A" w:rsidRDefault="00B90F1F" w:rsidP="005735AD">
            <w:pPr>
              <w:jc w:val="center"/>
            </w:pPr>
            <w:r w:rsidRPr="000F252A">
              <w:t>1.9.</w:t>
            </w:r>
          </w:p>
        </w:tc>
        <w:tc>
          <w:tcPr>
            <w:tcW w:w="3686" w:type="dxa"/>
            <w:shd w:val="clear" w:color="auto" w:fill="auto"/>
          </w:tcPr>
          <w:p w:rsidR="00B90F1F" w:rsidRPr="000F252A" w:rsidRDefault="00B90F1F" w:rsidP="0096683B">
            <w:pPr>
              <w:jc w:val="both"/>
            </w:pPr>
            <w:r w:rsidRPr="000F252A">
              <w:t xml:space="preserve">Размещение на официальном сайте ГАУЗ «Республиканский центр общественного здоровья </w:t>
            </w:r>
            <w:r w:rsidR="002B09DE" w:rsidRPr="000F252A">
              <w:br/>
            </w:r>
            <w:r w:rsidR="0096683B" w:rsidRPr="000F252A">
              <w:t>и медицинской профилактики» rcmp.rt@tatar.ru</w:t>
            </w:r>
            <w:r w:rsidRPr="000F252A">
              <w:t xml:space="preserve"> в разделе «Здоровый образ жизни – Профилактика рака» видеопродукции по основным локализациям ЗНО</w:t>
            </w:r>
          </w:p>
        </w:tc>
        <w:tc>
          <w:tcPr>
            <w:tcW w:w="1474" w:type="dxa"/>
            <w:shd w:val="clear" w:color="auto" w:fill="auto"/>
          </w:tcPr>
          <w:p w:rsidR="00B90F1F" w:rsidRPr="000F252A" w:rsidRDefault="00B90F1F" w:rsidP="005C7F20">
            <w:pPr>
              <w:jc w:val="center"/>
            </w:pPr>
            <w:r w:rsidRPr="000F252A">
              <w:t>09.01.202</w:t>
            </w:r>
            <w:r w:rsidR="005C7F20" w:rsidRPr="000F252A">
              <w:t>6</w:t>
            </w:r>
          </w:p>
        </w:tc>
        <w:tc>
          <w:tcPr>
            <w:tcW w:w="1418" w:type="dxa"/>
            <w:shd w:val="clear" w:color="auto" w:fill="auto"/>
          </w:tcPr>
          <w:p w:rsidR="00B90F1F" w:rsidRPr="000F252A" w:rsidRDefault="00B90F1F" w:rsidP="005735AD">
            <w:pPr>
              <w:jc w:val="center"/>
            </w:pPr>
            <w:r w:rsidRPr="000F252A">
              <w:t>31.12.2030</w:t>
            </w:r>
          </w:p>
        </w:tc>
        <w:tc>
          <w:tcPr>
            <w:tcW w:w="3912" w:type="dxa"/>
            <w:shd w:val="clear" w:color="auto" w:fill="auto"/>
          </w:tcPr>
          <w:p w:rsidR="00B90F1F" w:rsidRPr="000F252A" w:rsidRDefault="00783F2D" w:rsidP="005735AD">
            <w:pPr>
              <w:jc w:val="both"/>
            </w:pPr>
            <w:r w:rsidRPr="000F252A">
              <w:t>г</w:t>
            </w:r>
            <w:r w:rsidR="00B90F1F" w:rsidRPr="000F252A">
              <w:t xml:space="preserve">лавный врач ГАУЗ «Республиканский центр общественного здоровья и медицинской профилактики» И.Х.Шарафутдинов </w:t>
            </w:r>
          </w:p>
        </w:tc>
        <w:tc>
          <w:tcPr>
            <w:tcW w:w="3969" w:type="dxa"/>
            <w:shd w:val="clear" w:color="auto" w:fill="auto"/>
          </w:tcPr>
          <w:p w:rsidR="00B90F1F" w:rsidRPr="000F252A" w:rsidRDefault="00B90F1F" w:rsidP="005735AD">
            <w:pPr>
              <w:jc w:val="both"/>
            </w:pPr>
            <w:r w:rsidRPr="000F252A">
              <w:t>охват не менее 20 </w:t>
            </w:r>
            <w:r w:rsidR="0096683B" w:rsidRPr="000F252A">
              <w:t>тыс.</w:t>
            </w:r>
            <w:r w:rsidRPr="000F252A">
              <w:t xml:space="preserve">человек в год: </w:t>
            </w:r>
            <w:r w:rsidRPr="000F252A">
              <w:br/>
              <w:t xml:space="preserve">I квартал – не менее 4 000 человек; </w:t>
            </w:r>
          </w:p>
          <w:p w:rsidR="00B90F1F" w:rsidRPr="000F252A" w:rsidRDefault="00B90F1F" w:rsidP="005735AD">
            <w:pPr>
              <w:jc w:val="both"/>
            </w:pPr>
            <w:r w:rsidRPr="000F252A">
              <w:t xml:space="preserve">II квартал – не менее 5 300 человек; </w:t>
            </w:r>
          </w:p>
          <w:p w:rsidR="00B90F1F" w:rsidRPr="000F252A" w:rsidRDefault="00B90F1F" w:rsidP="005735AD">
            <w:pPr>
              <w:jc w:val="both"/>
            </w:pPr>
            <w:r w:rsidRPr="000F252A">
              <w:t xml:space="preserve">III квартал – не менее 5 300 человек; </w:t>
            </w:r>
          </w:p>
          <w:p w:rsidR="00B90F1F" w:rsidRPr="000F252A" w:rsidRDefault="00B90F1F" w:rsidP="005735AD">
            <w:pPr>
              <w:jc w:val="both"/>
            </w:pPr>
            <w:r w:rsidRPr="000F252A">
              <w:t>IV квартал – не менее 5 400 человек</w:t>
            </w:r>
          </w:p>
        </w:tc>
      </w:tr>
      <w:tr w:rsidR="00B90F1F" w:rsidRPr="000F252A" w:rsidTr="00AC795F">
        <w:trPr>
          <w:trHeight w:val="20"/>
        </w:trPr>
        <w:tc>
          <w:tcPr>
            <w:tcW w:w="704" w:type="dxa"/>
            <w:shd w:val="clear" w:color="auto" w:fill="auto"/>
          </w:tcPr>
          <w:p w:rsidR="00B90F1F" w:rsidRPr="000F252A" w:rsidRDefault="00B90F1F" w:rsidP="005735AD">
            <w:pPr>
              <w:jc w:val="center"/>
            </w:pPr>
            <w:r w:rsidRPr="000F252A">
              <w:t>1.10.</w:t>
            </w:r>
          </w:p>
        </w:tc>
        <w:tc>
          <w:tcPr>
            <w:tcW w:w="3686" w:type="dxa"/>
            <w:shd w:val="clear" w:color="auto" w:fill="auto"/>
          </w:tcPr>
          <w:p w:rsidR="00B90F1F" w:rsidRPr="000F252A" w:rsidRDefault="00B90F1F" w:rsidP="005735AD">
            <w:pPr>
              <w:jc w:val="both"/>
            </w:pPr>
            <w:r w:rsidRPr="000F252A">
              <w:t>Размещение на официальных сайтах медицинских организаций, оказывающих первичную медико-санитарную помощь, видеопродукции по профилактике рака</w:t>
            </w:r>
          </w:p>
        </w:tc>
        <w:tc>
          <w:tcPr>
            <w:tcW w:w="1474" w:type="dxa"/>
            <w:shd w:val="clear" w:color="auto" w:fill="auto"/>
          </w:tcPr>
          <w:p w:rsidR="00B90F1F" w:rsidRPr="000F252A" w:rsidRDefault="00B90F1F" w:rsidP="005C7F20">
            <w:pPr>
              <w:jc w:val="center"/>
            </w:pPr>
            <w:r w:rsidRPr="000F252A">
              <w:t>09.01.202</w:t>
            </w:r>
            <w:r w:rsidR="005C7F20" w:rsidRPr="000F252A">
              <w:t>6</w:t>
            </w:r>
          </w:p>
        </w:tc>
        <w:tc>
          <w:tcPr>
            <w:tcW w:w="1418" w:type="dxa"/>
            <w:shd w:val="clear" w:color="auto" w:fill="auto"/>
          </w:tcPr>
          <w:p w:rsidR="00B90F1F" w:rsidRPr="000F252A" w:rsidRDefault="00B90F1F" w:rsidP="005735AD">
            <w:pPr>
              <w:jc w:val="center"/>
            </w:pPr>
            <w:r w:rsidRPr="000F252A">
              <w:t>31.12.2030</w:t>
            </w:r>
          </w:p>
        </w:tc>
        <w:tc>
          <w:tcPr>
            <w:tcW w:w="3912" w:type="dxa"/>
            <w:shd w:val="clear" w:color="auto" w:fill="auto"/>
          </w:tcPr>
          <w:p w:rsidR="00B90F1F" w:rsidRPr="000F252A" w:rsidRDefault="00783F2D" w:rsidP="005735AD">
            <w:pPr>
              <w:jc w:val="both"/>
            </w:pPr>
            <w:r w:rsidRPr="000F252A">
              <w:t>р</w:t>
            </w:r>
            <w:r w:rsidR="00B90F1F" w:rsidRPr="000F252A">
              <w:t>уководители медицинских организаций</w:t>
            </w:r>
            <w:r w:rsidR="006E23FC" w:rsidRPr="000F252A">
              <w:t xml:space="preserve"> </w:t>
            </w:r>
            <w:r w:rsidR="006E23FC" w:rsidRPr="000F252A">
              <w:rPr>
                <w:rFonts w:eastAsia="Arial"/>
              </w:rPr>
              <w:t>Республики Татарстан</w:t>
            </w:r>
          </w:p>
        </w:tc>
        <w:tc>
          <w:tcPr>
            <w:tcW w:w="3969" w:type="dxa"/>
            <w:shd w:val="clear" w:color="auto" w:fill="auto"/>
          </w:tcPr>
          <w:p w:rsidR="00B90F1F" w:rsidRPr="000F252A" w:rsidRDefault="00B90F1F" w:rsidP="005735AD">
            <w:pPr>
              <w:jc w:val="both"/>
            </w:pPr>
            <w:r w:rsidRPr="000F252A">
              <w:t xml:space="preserve">охват не менее 200 тыс.человек в год: </w:t>
            </w:r>
          </w:p>
          <w:p w:rsidR="00B90F1F" w:rsidRPr="000F252A" w:rsidRDefault="00B90F1F" w:rsidP="005735AD">
            <w:pPr>
              <w:jc w:val="both"/>
            </w:pPr>
            <w:r w:rsidRPr="000F252A">
              <w:t xml:space="preserve">I квартал – не менее 40 </w:t>
            </w:r>
            <w:r w:rsidR="0096683B" w:rsidRPr="000F252A">
              <w:t>тыс.</w:t>
            </w:r>
            <w:r w:rsidRPr="000F252A">
              <w:t xml:space="preserve">человек; </w:t>
            </w:r>
          </w:p>
          <w:p w:rsidR="00B90F1F" w:rsidRPr="000F252A" w:rsidRDefault="0096683B" w:rsidP="005735AD">
            <w:pPr>
              <w:jc w:val="both"/>
            </w:pPr>
            <w:r w:rsidRPr="000F252A">
              <w:t>II квартал – не менее 53 тыс.</w:t>
            </w:r>
            <w:r w:rsidR="00B90F1F" w:rsidRPr="000F252A">
              <w:t xml:space="preserve">человек; </w:t>
            </w:r>
          </w:p>
          <w:p w:rsidR="00B90F1F" w:rsidRPr="000F252A" w:rsidRDefault="0096683B" w:rsidP="005735AD">
            <w:pPr>
              <w:jc w:val="both"/>
            </w:pPr>
            <w:r w:rsidRPr="000F252A">
              <w:t>III квартал – не менее 53 тыс.</w:t>
            </w:r>
            <w:r w:rsidR="00B90F1F" w:rsidRPr="000F252A">
              <w:t xml:space="preserve">человек; </w:t>
            </w:r>
          </w:p>
          <w:p w:rsidR="00B90F1F" w:rsidRPr="000F252A" w:rsidRDefault="0096683B" w:rsidP="005735AD">
            <w:pPr>
              <w:jc w:val="both"/>
            </w:pPr>
            <w:r w:rsidRPr="000F252A">
              <w:t>IV квартал – не менее 54 тыс.</w:t>
            </w:r>
            <w:r w:rsidR="00B90F1F" w:rsidRPr="000F252A">
              <w:t>человек</w:t>
            </w:r>
          </w:p>
        </w:tc>
      </w:tr>
      <w:tr w:rsidR="00B90F1F" w:rsidRPr="000F252A" w:rsidTr="00AC795F">
        <w:trPr>
          <w:trHeight w:val="20"/>
        </w:trPr>
        <w:tc>
          <w:tcPr>
            <w:tcW w:w="704" w:type="dxa"/>
            <w:shd w:val="clear" w:color="auto" w:fill="auto"/>
          </w:tcPr>
          <w:p w:rsidR="00B90F1F" w:rsidRPr="000F252A" w:rsidRDefault="00B90F1F" w:rsidP="005735AD">
            <w:pPr>
              <w:jc w:val="center"/>
            </w:pPr>
            <w:r w:rsidRPr="000F252A">
              <w:t>1.11.</w:t>
            </w:r>
          </w:p>
        </w:tc>
        <w:tc>
          <w:tcPr>
            <w:tcW w:w="3686" w:type="dxa"/>
            <w:shd w:val="clear" w:color="auto" w:fill="auto"/>
          </w:tcPr>
          <w:p w:rsidR="00B90F1F" w:rsidRPr="000F252A" w:rsidRDefault="00B90F1F" w:rsidP="005735AD">
            <w:pPr>
              <w:jc w:val="both"/>
            </w:pPr>
            <w:r w:rsidRPr="000F252A">
              <w:t xml:space="preserve">Проведение телепередач по вопросам профилактики рака, а также </w:t>
            </w:r>
            <w:r w:rsidR="002B09DE" w:rsidRPr="000F252A">
              <w:br/>
            </w:r>
            <w:r w:rsidRPr="000F252A">
              <w:t>с целью формирования положительного образа врача-онколога на республиканских каналах телевидения</w:t>
            </w:r>
          </w:p>
        </w:tc>
        <w:tc>
          <w:tcPr>
            <w:tcW w:w="1474" w:type="dxa"/>
            <w:shd w:val="clear" w:color="auto" w:fill="auto"/>
          </w:tcPr>
          <w:p w:rsidR="00B90F1F" w:rsidRPr="000F252A" w:rsidRDefault="00B90F1F" w:rsidP="005C7F20">
            <w:pPr>
              <w:jc w:val="center"/>
            </w:pPr>
            <w:r w:rsidRPr="000F252A">
              <w:t>09.01.202</w:t>
            </w:r>
            <w:r w:rsidR="005C7F20" w:rsidRPr="000F252A">
              <w:t>6</w:t>
            </w:r>
          </w:p>
        </w:tc>
        <w:tc>
          <w:tcPr>
            <w:tcW w:w="1418" w:type="dxa"/>
            <w:shd w:val="clear" w:color="auto" w:fill="auto"/>
          </w:tcPr>
          <w:p w:rsidR="00B90F1F" w:rsidRPr="000F252A" w:rsidRDefault="00B90F1F" w:rsidP="005735AD">
            <w:pPr>
              <w:jc w:val="center"/>
            </w:pPr>
            <w:r w:rsidRPr="000F252A">
              <w:t>31.12.2030</w:t>
            </w:r>
          </w:p>
        </w:tc>
        <w:tc>
          <w:tcPr>
            <w:tcW w:w="3912" w:type="dxa"/>
            <w:shd w:val="clear" w:color="auto" w:fill="auto"/>
          </w:tcPr>
          <w:p w:rsidR="00B90F1F" w:rsidRPr="000F252A" w:rsidRDefault="00783F2D" w:rsidP="005735AD">
            <w:pPr>
              <w:jc w:val="both"/>
            </w:pPr>
            <w:r w:rsidRPr="000F252A">
              <w:t>г</w:t>
            </w:r>
            <w:r w:rsidR="00B90F1F" w:rsidRPr="000F252A">
              <w:t xml:space="preserve">лавный внештатный специалист-онколог Министерства здравоохранения Республики Татарстан Э.В.Нагуманов, главный врач ГАУЗ «Республиканский центр общественного здоровья и медицинской профилактики» И.Х.Шарафутдинов, главный врач ГАУЗ </w:t>
            </w:r>
            <w:r w:rsidR="002B09DE" w:rsidRPr="000F252A">
              <w:rPr>
                <w:rFonts w:eastAsia="Arial"/>
              </w:rPr>
              <w:t>«РКОД МЗ РТ им.проф.</w:t>
            </w:r>
            <w:r w:rsidR="00B90F1F" w:rsidRPr="000F252A">
              <w:rPr>
                <w:rFonts w:eastAsia="Arial"/>
              </w:rPr>
              <w:t>М.З.Сигала»</w:t>
            </w:r>
            <w:r w:rsidR="00B90F1F" w:rsidRPr="000F252A">
              <w:t xml:space="preserve">  </w:t>
            </w:r>
            <w:r w:rsidR="00F94EC2" w:rsidRPr="000F252A">
              <w:t>М.Ф.Мухамадеев</w:t>
            </w:r>
          </w:p>
        </w:tc>
        <w:tc>
          <w:tcPr>
            <w:tcW w:w="3969" w:type="dxa"/>
            <w:shd w:val="clear" w:color="auto" w:fill="auto"/>
          </w:tcPr>
          <w:p w:rsidR="00B90F1F" w:rsidRPr="000F252A" w:rsidRDefault="00B90F1F" w:rsidP="005735AD">
            <w:pPr>
              <w:jc w:val="both"/>
            </w:pPr>
            <w:r w:rsidRPr="000F252A">
              <w:t xml:space="preserve">не менее 4 эфиров в год: </w:t>
            </w:r>
          </w:p>
          <w:p w:rsidR="00B90F1F" w:rsidRPr="000F252A" w:rsidRDefault="00B90F1F" w:rsidP="005735AD">
            <w:pPr>
              <w:jc w:val="both"/>
            </w:pPr>
            <w:r w:rsidRPr="000F252A">
              <w:t xml:space="preserve">I квартал – не менее 1 эфира; </w:t>
            </w:r>
          </w:p>
          <w:p w:rsidR="00B90F1F" w:rsidRPr="000F252A" w:rsidRDefault="00B90F1F" w:rsidP="005735AD">
            <w:pPr>
              <w:jc w:val="both"/>
            </w:pPr>
            <w:r w:rsidRPr="000F252A">
              <w:t xml:space="preserve">II квартал – не менее 1 эфира; </w:t>
            </w:r>
          </w:p>
          <w:p w:rsidR="00B90F1F" w:rsidRPr="000F252A" w:rsidRDefault="00B90F1F" w:rsidP="005735AD">
            <w:pPr>
              <w:jc w:val="both"/>
            </w:pPr>
            <w:r w:rsidRPr="000F252A">
              <w:t xml:space="preserve">III квартал – не менее 1 эфира; </w:t>
            </w:r>
          </w:p>
          <w:p w:rsidR="00B90F1F" w:rsidRPr="000F252A" w:rsidRDefault="00B90F1F" w:rsidP="005735AD">
            <w:pPr>
              <w:jc w:val="both"/>
            </w:pPr>
            <w:r w:rsidRPr="000F252A">
              <w:t>IV квартал – не менее 1 эфира</w:t>
            </w:r>
          </w:p>
        </w:tc>
      </w:tr>
      <w:tr w:rsidR="00B90F1F" w:rsidRPr="000F252A" w:rsidTr="00AC795F">
        <w:trPr>
          <w:trHeight w:val="20"/>
        </w:trPr>
        <w:tc>
          <w:tcPr>
            <w:tcW w:w="704" w:type="dxa"/>
            <w:shd w:val="clear" w:color="auto" w:fill="auto"/>
          </w:tcPr>
          <w:p w:rsidR="00B90F1F" w:rsidRPr="000F252A" w:rsidRDefault="00B90F1F" w:rsidP="005735AD">
            <w:pPr>
              <w:jc w:val="center"/>
            </w:pPr>
            <w:r w:rsidRPr="000F252A">
              <w:t>1.12.</w:t>
            </w:r>
          </w:p>
        </w:tc>
        <w:tc>
          <w:tcPr>
            <w:tcW w:w="3686" w:type="dxa"/>
            <w:shd w:val="clear" w:color="auto" w:fill="auto"/>
          </w:tcPr>
          <w:p w:rsidR="00B90F1F" w:rsidRPr="000F252A" w:rsidRDefault="00B90F1F" w:rsidP="005735AD">
            <w:pPr>
              <w:jc w:val="both"/>
            </w:pPr>
            <w:r w:rsidRPr="000F252A">
              <w:t>Размещение информационных материалов и видеороликов по темам «Профилактика онкологических заболеваний», «Здоровый образ жизни», «Здоровое питание» на сайте ГАУЗ «Республиканский центр общественного здоровья и медицинской профилактики»</w:t>
            </w:r>
          </w:p>
        </w:tc>
        <w:tc>
          <w:tcPr>
            <w:tcW w:w="1474" w:type="dxa"/>
            <w:shd w:val="clear" w:color="auto" w:fill="auto"/>
          </w:tcPr>
          <w:p w:rsidR="00B90F1F" w:rsidRPr="000F252A" w:rsidRDefault="00B90F1F" w:rsidP="005C7F20">
            <w:pPr>
              <w:jc w:val="center"/>
            </w:pPr>
            <w:r w:rsidRPr="000F252A">
              <w:t>09.01.202</w:t>
            </w:r>
            <w:r w:rsidR="005C7F20" w:rsidRPr="000F252A">
              <w:t>6</w:t>
            </w:r>
          </w:p>
        </w:tc>
        <w:tc>
          <w:tcPr>
            <w:tcW w:w="1418" w:type="dxa"/>
            <w:shd w:val="clear" w:color="auto" w:fill="auto"/>
          </w:tcPr>
          <w:p w:rsidR="00B90F1F" w:rsidRPr="000F252A" w:rsidRDefault="00B90F1F" w:rsidP="005735AD">
            <w:pPr>
              <w:jc w:val="center"/>
            </w:pPr>
            <w:r w:rsidRPr="000F252A">
              <w:t>31.12.2030</w:t>
            </w:r>
          </w:p>
        </w:tc>
        <w:tc>
          <w:tcPr>
            <w:tcW w:w="3912" w:type="dxa"/>
            <w:shd w:val="clear" w:color="auto" w:fill="auto"/>
          </w:tcPr>
          <w:p w:rsidR="00B90F1F" w:rsidRPr="000F252A" w:rsidRDefault="00783F2D" w:rsidP="005735AD">
            <w:pPr>
              <w:jc w:val="both"/>
            </w:pPr>
            <w:r w:rsidRPr="000F252A">
              <w:t>г</w:t>
            </w:r>
            <w:r w:rsidR="00B90F1F" w:rsidRPr="000F252A">
              <w:t>лавный врач ГАУЗ «Республиканский центр общественного здоровья и медицинской профилактики» И.Х.Шарафутдинов</w:t>
            </w:r>
          </w:p>
        </w:tc>
        <w:tc>
          <w:tcPr>
            <w:tcW w:w="3969" w:type="dxa"/>
            <w:shd w:val="clear" w:color="auto" w:fill="auto"/>
          </w:tcPr>
          <w:p w:rsidR="00B90F1F" w:rsidRPr="000F252A" w:rsidRDefault="00B90F1F" w:rsidP="005735AD">
            <w:pPr>
              <w:jc w:val="both"/>
            </w:pPr>
            <w:r w:rsidRPr="000F252A">
              <w:t xml:space="preserve">размещено на сайте не менее 35 информационных материалов и 25 видеороликов ежегодно </w:t>
            </w:r>
          </w:p>
          <w:p w:rsidR="00B90F1F" w:rsidRPr="000F252A" w:rsidRDefault="00B90F1F" w:rsidP="005735AD">
            <w:pPr>
              <w:jc w:val="both"/>
            </w:pPr>
          </w:p>
          <w:p w:rsidR="00B90F1F" w:rsidRPr="000F252A" w:rsidRDefault="00B90F1F" w:rsidP="005735AD">
            <w:pPr>
              <w:jc w:val="both"/>
            </w:pPr>
            <w:r w:rsidRPr="000F252A">
              <w:t>Посещение сайта – не менее 25 </w:t>
            </w:r>
            <w:r w:rsidR="0096683B" w:rsidRPr="000F252A">
              <w:t>тыс.</w:t>
            </w:r>
            <w:r w:rsidRPr="000F252A">
              <w:t xml:space="preserve">посещений в год: </w:t>
            </w:r>
          </w:p>
          <w:p w:rsidR="00B90F1F" w:rsidRPr="000F252A" w:rsidRDefault="00B90F1F" w:rsidP="005735AD">
            <w:pPr>
              <w:jc w:val="both"/>
            </w:pPr>
            <w:r w:rsidRPr="000F252A">
              <w:t xml:space="preserve">I квартал – не менее 6 000 человек; </w:t>
            </w:r>
          </w:p>
          <w:p w:rsidR="00B90F1F" w:rsidRPr="000F252A" w:rsidRDefault="00B90F1F" w:rsidP="005735AD">
            <w:pPr>
              <w:jc w:val="both"/>
            </w:pPr>
            <w:r w:rsidRPr="000F252A">
              <w:t xml:space="preserve">II квартал – не менее 7 000 человек; </w:t>
            </w:r>
          </w:p>
          <w:p w:rsidR="00B90F1F" w:rsidRPr="000F252A" w:rsidRDefault="00B90F1F" w:rsidP="005735AD">
            <w:pPr>
              <w:jc w:val="both"/>
            </w:pPr>
            <w:r w:rsidRPr="000F252A">
              <w:t xml:space="preserve">III квартал – не менее 6 000 человек; </w:t>
            </w:r>
          </w:p>
          <w:p w:rsidR="00B90F1F" w:rsidRPr="000F252A" w:rsidRDefault="00B90F1F" w:rsidP="005735AD">
            <w:pPr>
              <w:jc w:val="both"/>
            </w:pPr>
            <w:r w:rsidRPr="000F252A">
              <w:t xml:space="preserve">IV квартал – не менее 6 000 человек </w:t>
            </w:r>
          </w:p>
        </w:tc>
      </w:tr>
      <w:tr w:rsidR="00B90F1F" w:rsidRPr="000F252A" w:rsidTr="00AC795F">
        <w:trPr>
          <w:trHeight w:val="20"/>
        </w:trPr>
        <w:tc>
          <w:tcPr>
            <w:tcW w:w="704" w:type="dxa"/>
            <w:shd w:val="clear" w:color="auto" w:fill="auto"/>
            <w:hideMark/>
          </w:tcPr>
          <w:p w:rsidR="00B90F1F" w:rsidRPr="000F252A" w:rsidRDefault="00B90F1F" w:rsidP="005735AD">
            <w:pPr>
              <w:jc w:val="center"/>
            </w:pPr>
            <w:r w:rsidRPr="000F252A">
              <w:t>1.13.</w:t>
            </w:r>
          </w:p>
        </w:tc>
        <w:tc>
          <w:tcPr>
            <w:tcW w:w="3686" w:type="dxa"/>
            <w:shd w:val="clear" w:color="auto" w:fill="auto"/>
            <w:hideMark/>
          </w:tcPr>
          <w:p w:rsidR="00B90F1F" w:rsidRPr="000F252A" w:rsidRDefault="00B90F1F" w:rsidP="005735AD">
            <w:pPr>
              <w:jc w:val="both"/>
            </w:pPr>
            <w:r w:rsidRPr="000F252A">
              <w:t>Публикация статей в средствах массовой информации Республики Татарстан о профилактике онкозаболеваний и диагностике новообразований</w:t>
            </w:r>
          </w:p>
        </w:tc>
        <w:tc>
          <w:tcPr>
            <w:tcW w:w="1474" w:type="dxa"/>
            <w:shd w:val="clear" w:color="auto" w:fill="auto"/>
            <w:hideMark/>
          </w:tcPr>
          <w:p w:rsidR="00B90F1F" w:rsidRPr="000F252A" w:rsidRDefault="00B90F1F" w:rsidP="005C7F20">
            <w:pPr>
              <w:jc w:val="center"/>
            </w:pPr>
            <w:r w:rsidRPr="000F252A">
              <w:t>09.01.202</w:t>
            </w:r>
            <w:r w:rsidR="005C7F20" w:rsidRPr="000F252A">
              <w:t>6</w:t>
            </w:r>
          </w:p>
        </w:tc>
        <w:tc>
          <w:tcPr>
            <w:tcW w:w="1418" w:type="dxa"/>
            <w:shd w:val="clear" w:color="auto" w:fill="auto"/>
            <w:hideMark/>
          </w:tcPr>
          <w:p w:rsidR="00B90F1F" w:rsidRPr="000F252A" w:rsidRDefault="00B90F1F" w:rsidP="005735AD">
            <w:pPr>
              <w:jc w:val="center"/>
            </w:pPr>
            <w:r w:rsidRPr="000F252A">
              <w:t>31.12.2030</w:t>
            </w:r>
          </w:p>
        </w:tc>
        <w:tc>
          <w:tcPr>
            <w:tcW w:w="3912" w:type="dxa"/>
            <w:shd w:val="clear" w:color="auto" w:fill="auto"/>
            <w:hideMark/>
          </w:tcPr>
          <w:p w:rsidR="00B90F1F" w:rsidRPr="000F252A" w:rsidRDefault="00783F2D" w:rsidP="005735AD">
            <w:pPr>
              <w:jc w:val="both"/>
            </w:pPr>
            <w:r w:rsidRPr="000F252A">
              <w:t>г</w:t>
            </w:r>
            <w:r w:rsidR="00B90F1F" w:rsidRPr="000F252A">
              <w:t xml:space="preserve">лавный внештатный специалист-онколог Министерства здравоохранения Республики Татарстан Э.В.Нагуманов, главный врач ГАУЗ «Республиканский центр общественного здоровья и медицинской профилактики» И.Х.Шарафутдинов </w:t>
            </w:r>
          </w:p>
        </w:tc>
        <w:tc>
          <w:tcPr>
            <w:tcW w:w="3969" w:type="dxa"/>
            <w:shd w:val="clear" w:color="auto" w:fill="auto"/>
            <w:hideMark/>
          </w:tcPr>
          <w:p w:rsidR="00B90F1F" w:rsidRPr="000F252A" w:rsidRDefault="00B90F1F" w:rsidP="005735AD">
            <w:pPr>
              <w:jc w:val="both"/>
            </w:pPr>
            <w:r w:rsidRPr="000F252A">
              <w:t xml:space="preserve">публикация не менее 20 статей в год: </w:t>
            </w:r>
          </w:p>
          <w:p w:rsidR="00B90F1F" w:rsidRPr="000F252A" w:rsidRDefault="00B90F1F" w:rsidP="005735AD">
            <w:pPr>
              <w:jc w:val="both"/>
            </w:pPr>
            <w:r w:rsidRPr="000F252A">
              <w:t xml:space="preserve">I квартал – не менее 5 статей; </w:t>
            </w:r>
          </w:p>
          <w:p w:rsidR="00B90F1F" w:rsidRPr="000F252A" w:rsidRDefault="00B90F1F" w:rsidP="005735AD">
            <w:pPr>
              <w:jc w:val="both"/>
            </w:pPr>
            <w:r w:rsidRPr="000F252A">
              <w:t xml:space="preserve">II квартал – не менее 5 статей; </w:t>
            </w:r>
          </w:p>
          <w:p w:rsidR="00B90F1F" w:rsidRPr="000F252A" w:rsidRDefault="00B90F1F" w:rsidP="005735AD">
            <w:pPr>
              <w:jc w:val="both"/>
            </w:pPr>
            <w:r w:rsidRPr="000F252A">
              <w:t xml:space="preserve">III квартал – не менее 5 статей; </w:t>
            </w:r>
          </w:p>
          <w:p w:rsidR="00B90F1F" w:rsidRPr="000F252A" w:rsidRDefault="00B90F1F" w:rsidP="005735AD">
            <w:pPr>
              <w:jc w:val="both"/>
            </w:pPr>
            <w:r w:rsidRPr="000F252A">
              <w:t>IV квартал – не менее 5 статей</w:t>
            </w:r>
          </w:p>
        </w:tc>
      </w:tr>
      <w:tr w:rsidR="00B90F1F" w:rsidRPr="000F252A" w:rsidTr="00AC795F">
        <w:trPr>
          <w:trHeight w:val="20"/>
        </w:trPr>
        <w:tc>
          <w:tcPr>
            <w:tcW w:w="704" w:type="dxa"/>
            <w:shd w:val="clear" w:color="auto" w:fill="auto"/>
          </w:tcPr>
          <w:p w:rsidR="00B90F1F" w:rsidRPr="000F252A" w:rsidRDefault="00B90F1F" w:rsidP="005735AD">
            <w:pPr>
              <w:jc w:val="center"/>
            </w:pPr>
            <w:r w:rsidRPr="000F252A">
              <w:t>1.14.</w:t>
            </w:r>
          </w:p>
        </w:tc>
        <w:tc>
          <w:tcPr>
            <w:tcW w:w="3686" w:type="dxa"/>
            <w:shd w:val="clear" w:color="auto" w:fill="auto"/>
          </w:tcPr>
          <w:p w:rsidR="00B90F1F" w:rsidRPr="000F252A" w:rsidRDefault="00B90F1F" w:rsidP="005735AD">
            <w:pPr>
              <w:jc w:val="both"/>
            </w:pPr>
            <w:r w:rsidRPr="000F252A">
              <w:t>Проведение акции, приуроченной к Международному дню борьбы с раком</w:t>
            </w:r>
          </w:p>
        </w:tc>
        <w:tc>
          <w:tcPr>
            <w:tcW w:w="1474" w:type="dxa"/>
            <w:shd w:val="clear" w:color="auto" w:fill="auto"/>
          </w:tcPr>
          <w:p w:rsidR="00B90F1F" w:rsidRPr="000F252A" w:rsidRDefault="00B90F1F" w:rsidP="005C7F20">
            <w:pPr>
              <w:jc w:val="center"/>
            </w:pPr>
            <w:r w:rsidRPr="000F252A">
              <w:t>04.02.202</w:t>
            </w:r>
            <w:r w:rsidR="005C7F20" w:rsidRPr="000F252A">
              <w:t>6</w:t>
            </w:r>
          </w:p>
        </w:tc>
        <w:tc>
          <w:tcPr>
            <w:tcW w:w="1418" w:type="dxa"/>
            <w:shd w:val="clear" w:color="auto" w:fill="auto"/>
          </w:tcPr>
          <w:p w:rsidR="00B90F1F" w:rsidRPr="000F252A" w:rsidRDefault="00B90F1F" w:rsidP="005735AD">
            <w:pPr>
              <w:jc w:val="center"/>
            </w:pPr>
            <w:r w:rsidRPr="000F252A">
              <w:t>04.02.2030</w:t>
            </w:r>
          </w:p>
        </w:tc>
        <w:tc>
          <w:tcPr>
            <w:tcW w:w="3912" w:type="dxa"/>
            <w:shd w:val="clear" w:color="auto" w:fill="auto"/>
          </w:tcPr>
          <w:p w:rsidR="00B90F1F" w:rsidRPr="000F252A" w:rsidRDefault="00783F2D" w:rsidP="002B09DE">
            <w:pPr>
              <w:jc w:val="both"/>
            </w:pPr>
            <w:r w:rsidRPr="000F252A">
              <w:t>г</w:t>
            </w:r>
            <w:r w:rsidR="00B90F1F" w:rsidRPr="000F252A">
              <w:t>лавный внештатный специалист-онколог Министерства здравоохранения Республики Татарстан Э.В.Нагумано</w:t>
            </w:r>
            <w:r w:rsidR="00F128D1" w:rsidRPr="000F252A">
              <w:t xml:space="preserve">в, </w:t>
            </w:r>
            <w:r w:rsidR="00B90F1F" w:rsidRPr="000F252A">
              <w:t xml:space="preserve">главный врач ГАУЗ «Республиканский центр общественного здоровья и медицинской профилактики» И.Х.Шарафутдинов, главный врач ГАУЗ </w:t>
            </w:r>
            <w:r w:rsidR="002B09DE" w:rsidRPr="000F252A">
              <w:rPr>
                <w:rFonts w:eastAsia="Arial"/>
              </w:rPr>
              <w:t>«РКОД МЗ РТ им.</w:t>
            </w:r>
            <w:r w:rsidR="00B90F1F" w:rsidRPr="000F252A">
              <w:rPr>
                <w:rFonts w:eastAsia="Arial"/>
              </w:rPr>
              <w:t>проф.М.З.Сигала»</w:t>
            </w:r>
            <w:r w:rsidR="00F128D1" w:rsidRPr="000F252A">
              <w:t xml:space="preserve"> </w:t>
            </w:r>
            <w:r w:rsidR="00F94EC2" w:rsidRPr="000F252A">
              <w:t>М.Ф.Мухамадеев</w:t>
            </w:r>
            <w:r w:rsidR="00B90F1F" w:rsidRPr="000F252A">
              <w:t xml:space="preserve">, руководители медицинских организаций </w:t>
            </w:r>
            <w:r w:rsidR="0096683B" w:rsidRPr="000F252A">
              <w:t xml:space="preserve">Республики Татарстан  </w:t>
            </w:r>
          </w:p>
        </w:tc>
        <w:tc>
          <w:tcPr>
            <w:tcW w:w="3969" w:type="dxa"/>
            <w:shd w:val="clear" w:color="auto" w:fill="auto"/>
          </w:tcPr>
          <w:p w:rsidR="00B90F1F" w:rsidRPr="000F252A" w:rsidRDefault="00B90F1F" w:rsidP="005735AD">
            <w:pPr>
              <w:jc w:val="both"/>
            </w:pPr>
            <w:r w:rsidRPr="000F252A">
              <w:t xml:space="preserve">охват во время проведения акции не менее 700 человек ежегодно </w:t>
            </w:r>
          </w:p>
        </w:tc>
      </w:tr>
      <w:tr w:rsidR="00B90F1F" w:rsidRPr="000F252A" w:rsidTr="00AC795F">
        <w:trPr>
          <w:trHeight w:val="20"/>
        </w:trPr>
        <w:tc>
          <w:tcPr>
            <w:tcW w:w="704" w:type="dxa"/>
            <w:shd w:val="clear" w:color="auto" w:fill="auto"/>
          </w:tcPr>
          <w:p w:rsidR="00B90F1F" w:rsidRPr="000F252A" w:rsidRDefault="00B90F1F" w:rsidP="005735AD">
            <w:pPr>
              <w:jc w:val="center"/>
            </w:pPr>
            <w:r w:rsidRPr="000F252A">
              <w:t>1.15.</w:t>
            </w:r>
          </w:p>
        </w:tc>
        <w:tc>
          <w:tcPr>
            <w:tcW w:w="3686" w:type="dxa"/>
            <w:shd w:val="clear" w:color="auto" w:fill="auto"/>
          </w:tcPr>
          <w:p w:rsidR="00B90F1F" w:rsidRPr="000F252A" w:rsidRDefault="00B90F1F" w:rsidP="005735AD">
            <w:pPr>
              <w:jc w:val="both"/>
            </w:pPr>
            <w:r w:rsidRPr="000F252A">
              <w:t>Проведение акции, приуроченной к Всемирному дню здоровья</w:t>
            </w:r>
          </w:p>
        </w:tc>
        <w:tc>
          <w:tcPr>
            <w:tcW w:w="1474" w:type="dxa"/>
            <w:shd w:val="clear" w:color="auto" w:fill="auto"/>
          </w:tcPr>
          <w:p w:rsidR="00B90F1F" w:rsidRPr="000F252A" w:rsidRDefault="00B90F1F" w:rsidP="005C7F20">
            <w:pPr>
              <w:jc w:val="center"/>
            </w:pPr>
            <w:r w:rsidRPr="000F252A">
              <w:t>07.04.202</w:t>
            </w:r>
            <w:r w:rsidR="005C7F20" w:rsidRPr="000F252A">
              <w:t>6</w:t>
            </w:r>
          </w:p>
        </w:tc>
        <w:tc>
          <w:tcPr>
            <w:tcW w:w="1418" w:type="dxa"/>
            <w:shd w:val="clear" w:color="auto" w:fill="auto"/>
          </w:tcPr>
          <w:p w:rsidR="00B90F1F" w:rsidRPr="000F252A" w:rsidRDefault="00B90F1F" w:rsidP="005735AD">
            <w:pPr>
              <w:jc w:val="center"/>
            </w:pPr>
            <w:r w:rsidRPr="000F252A">
              <w:t>07.04.2030</w:t>
            </w:r>
          </w:p>
        </w:tc>
        <w:tc>
          <w:tcPr>
            <w:tcW w:w="3912" w:type="dxa"/>
            <w:shd w:val="clear" w:color="auto" w:fill="auto"/>
          </w:tcPr>
          <w:p w:rsidR="00B90F1F" w:rsidRPr="000F252A" w:rsidRDefault="00783F2D" w:rsidP="005735AD">
            <w:pPr>
              <w:jc w:val="both"/>
            </w:pPr>
            <w:r w:rsidRPr="000F252A">
              <w:t>г</w:t>
            </w:r>
            <w:r w:rsidR="00B90F1F" w:rsidRPr="000F252A">
              <w:t xml:space="preserve">лавный внештатный специалист по медицинской профилактике Министерства здравоохранения Республики Татарстан Л.И.Фейсханова, главный врач ГАУЗ «Республиканский центр общественного здоровья и медицинской профилактики» И.Х.Шарафутдинов, главный врач ГАУЗ </w:t>
            </w:r>
            <w:r w:rsidR="002B09DE" w:rsidRPr="000F252A">
              <w:rPr>
                <w:rFonts w:eastAsia="Arial"/>
              </w:rPr>
              <w:t>«РКОД МЗ РТ им.проф.</w:t>
            </w:r>
            <w:r w:rsidR="00B90F1F" w:rsidRPr="000F252A">
              <w:rPr>
                <w:rFonts w:eastAsia="Arial"/>
              </w:rPr>
              <w:t>М.З.Сигала»</w:t>
            </w:r>
            <w:r w:rsidR="00F128D1" w:rsidRPr="000F252A">
              <w:t xml:space="preserve"> </w:t>
            </w:r>
            <w:r w:rsidR="00F94EC2" w:rsidRPr="000F252A">
              <w:t>М.Ф.Мухамадеев</w:t>
            </w:r>
            <w:r w:rsidR="00B90F1F" w:rsidRPr="000F252A">
              <w:t>, руководители медицинских организаций</w:t>
            </w:r>
            <w:r w:rsidR="0096683B" w:rsidRPr="000F252A">
              <w:t xml:space="preserve"> Республики Татарстан  </w:t>
            </w:r>
          </w:p>
        </w:tc>
        <w:tc>
          <w:tcPr>
            <w:tcW w:w="3969" w:type="dxa"/>
            <w:shd w:val="clear" w:color="auto" w:fill="auto"/>
          </w:tcPr>
          <w:p w:rsidR="00B90F1F" w:rsidRPr="000F252A" w:rsidRDefault="00B90F1F" w:rsidP="005735AD">
            <w:pPr>
              <w:jc w:val="both"/>
            </w:pPr>
            <w:r w:rsidRPr="000F252A">
              <w:t>охват во время проведения акции не менее 1 000 человек ежегодно</w:t>
            </w:r>
          </w:p>
        </w:tc>
      </w:tr>
      <w:tr w:rsidR="00B90F1F" w:rsidRPr="000F252A" w:rsidTr="00AC795F">
        <w:trPr>
          <w:trHeight w:val="20"/>
        </w:trPr>
        <w:tc>
          <w:tcPr>
            <w:tcW w:w="704" w:type="dxa"/>
            <w:tcBorders>
              <w:top w:val="single" w:sz="4" w:space="0" w:color="auto"/>
              <w:left w:val="single" w:sz="4" w:space="0" w:color="auto"/>
              <w:bottom w:val="single" w:sz="4" w:space="0" w:color="auto"/>
              <w:right w:val="single" w:sz="4" w:space="0" w:color="auto"/>
            </w:tcBorders>
            <w:shd w:val="clear" w:color="auto" w:fill="auto"/>
          </w:tcPr>
          <w:p w:rsidR="00B90F1F" w:rsidRPr="000F252A" w:rsidRDefault="00B90F1F" w:rsidP="005735AD">
            <w:pPr>
              <w:jc w:val="center"/>
            </w:pPr>
            <w:r w:rsidRPr="000F252A">
              <w:t>1.16.</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B90F1F" w:rsidRPr="000F252A" w:rsidRDefault="00B90F1F" w:rsidP="005735AD">
            <w:pPr>
              <w:jc w:val="both"/>
            </w:pPr>
            <w:r w:rsidRPr="000F252A">
              <w:t>Проведение акции, приуроченной к Всемирному дню борьбы с курением</w:t>
            </w:r>
          </w:p>
        </w:tc>
        <w:tc>
          <w:tcPr>
            <w:tcW w:w="1474" w:type="dxa"/>
            <w:tcBorders>
              <w:top w:val="single" w:sz="4" w:space="0" w:color="auto"/>
              <w:left w:val="single" w:sz="4" w:space="0" w:color="auto"/>
              <w:bottom w:val="single" w:sz="4" w:space="0" w:color="auto"/>
              <w:right w:val="single" w:sz="4" w:space="0" w:color="auto"/>
            </w:tcBorders>
            <w:shd w:val="clear" w:color="auto" w:fill="auto"/>
          </w:tcPr>
          <w:p w:rsidR="00B90F1F" w:rsidRPr="000F252A" w:rsidRDefault="00B90F1F" w:rsidP="005C7F20">
            <w:pPr>
              <w:jc w:val="center"/>
            </w:pPr>
            <w:r w:rsidRPr="000F252A">
              <w:t>31.05.202</w:t>
            </w:r>
            <w:r w:rsidR="005C7F20" w:rsidRPr="000F252A">
              <w:t>6</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B90F1F" w:rsidRPr="000F252A" w:rsidRDefault="00B90F1F" w:rsidP="005735AD">
            <w:pPr>
              <w:jc w:val="center"/>
            </w:pPr>
            <w:r w:rsidRPr="000F252A">
              <w:t>31.05.2030</w:t>
            </w:r>
          </w:p>
        </w:tc>
        <w:tc>
          <w:tcPr>
            <w:tcW w:w="3912" w:type="dxa"/>
            <w:tcBorders>
              <w:top w:val="single" w:sz="4" w:space="0" w:color="auto"/>
              <w:left w:val="single" w:sz="4" w:space="0" w:color="auto"/>
              <w:bottom w:val="single" w:sz="4" w:space="0" w:color="auto"/>
              <w:right w:val="single" w:sz="4" w:space="0" w:color="auto"/>
            </w:tcBorders>
            <w:shd w:val="clear" w:color="auto" w:fill="auto"/>
          </w:tcPr>
          <w:p w:rsidR="00B90F1F" w:rsidRPr="000F252A" w:rsidRDefault="00783F2D" w:rsidP="005735AD">
            <w:pPr>
              <w:jc w:val="both"/>
            </w:pPr>
            <w:r w:rsidRPr="000F252A">
              <w:t>г</w:t>
            </w:r>
            <w:r w:rsidR="00B90F1F" w:rsidRPr="000F252A">
              <w:t xml:space="preserve">лавный внештатный специалист-нарколог Министерства здравоохранения Республики Татарстан Р.Ф.Хаева, главный врач ГАУЗ «Республиканский центр общественного здоровья и медицинской профилактики» И.Х.Шарафутдинов, главный врач ГАУЗ </w:t>
            </w:r>
            <w:r w:rsidR="002B09DE" w:rsidRPr="000F252A">
              <w:rPr>
                <w:rFonts w:eastAsia="Arial"/>
              </w:rPr>
              <w:t>«РКОД МЗ РТ им.проф.</w:t>
            </w:r>
            <w:r w:rsidR="00B90F1F" w:rsidRPr="000F252A">
              <w:rPr>
                <w:rFonts w:eastAsia="Arial"/>
              </w:rPr>
              <w:t>М.З.Сигала»</w:t>
            </w:r>
            <w:r w:rsidR="00F128D1" w:rsidRPr="000F252A">
              <w:t xml:space="preserve"> </w:t>
            </w:r>
            <w:r w:rsidR="00F94EC2" w:rsidRPr="000F252A">
              <w:t>М.Ф.Мухамадеев</w:t>
            </w:r>
            <w:r w:rsidR="00B90F1F" w:rsidRPr="000F252A">
              <w:t xml:space="preserve">, руководители медицинских организаций </w:t>
            </w:r>
            <w:r w:rsidR="0096683B" w:rsidRPr="000F252A">
              <w:t xml:space="preserve">Республики Татарстан  </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B90F1F" w:rsidRPr="000F252A" w:rsidRDefault="00B90F1F" w:rsidP="005735AD">
            <w:pPr>
              <w:jc w:val="both"/>
            </w:pPr>
            <w:r w:rsidRPr="000F252A">
              <w:t>охват во время проведения акции не менее 1 000 человек ежегодно</w:t>
            </w:r>
          </w:p>
        </w:tc>
      </w:tr>
      <w:tr w:rsidR="00B90F1F" w:rsidRPr="000F252A" w:rsidTr="00AC795F">
        <w:trPr>
          <w:trHeight w:val="2069"/>
        </w:trPr>
        <w:tc>
          <w:tcPr>
            <w:tcW w:w="704" w:type="dxa"/>
            <w:shd w:val="clear" w:color="auto" w:fill="auto"/>
          </w:tcPr>
          <w:p w:rsidR="00B90F1F" w:rsidRPr="000F252A" w:rsidRDefault="00B90F1F" w:rsidP="005735AD">
            <w:pPr>
              <w:jc w:val="center"/>
            </w:pPr>
            <w:r w:rsidRPr="000F252A">
              <w:t>1.17.</w:t>
            </w:r>
          </w:p>
        </w:tc>
        <w:tc>
          <w:tcPr>
            <w:tcW w:w="3686" w:type="dxa"/>
            <w:shd w:val="clear" w:color="auto" w:fill="auto"/>
          </w:tcPr>
          <w:p w:rsidR="00B90F1F" w:rsidRPr="000F252A" w:rsidRDefault="00B90F1F" w:rsidP="005735AD">
            <w:pPr>
              <w:jc w:val="both"/>
            </w:pPr>
            <w:r w:rsidRPr="000F252A">
              <w:t>Реализация плана проведения телепередач по профилактике рака на телеканале «Татарстан – Новый Век»</w:t>
            </w:r>
          </w:p>
        </w:tc>
        <w:tc>
          <w:tcPr>
            <w:tcW w:w="1474" w:type="dxa"/>
            <w:shd w:val="clear" w:color="auto" w:fill="auto"/>
          </w:tcPr>
          <w:p w:rsidR="00B90F1F" w:rsidRPr="000F252A" w:rsidRDefault="00B90F1F" w:rsidP="005C7F20">
            <w:pPr>
              <w:jc w:val="center"/>
            </w:pPr>
            <w:r w:rsidRPr="000F252A">
              <w:t>01.02.202</w:t>
            </w:r>
            <w:r w:rsidR="005C7F20" w:rsidRPr="000F252A">
              <w:t>6</w:t>
            </w:r>
          </w:p>
        </w:tc>
        <w:tc>
          <w:tcPr>
            <w:tcW w:w="1418" w:type="dxa"/>
            <w:shd w:val="clear" w:color="auto" w:fill="auto"/>
          </w:tcPr>
          <w:p w:rsidR="00B90F1F" w:rsidRPr="000F252A" w:rsidRDefault="00B90F1F" w:rsidP="005735AD">
            <w:pPr>
              <w:jc w:val="center"/>
            </w:pPr>
            <w:r w:rsidRPr="000F252A">
              <w:t>31.12.2025</w:t>
            </w:r>
          </w:p>
        </w:tc>
        <w:tc>
          <w:tcPr>
            <w:tcW w:w="3912" w:type="dxa"/>
            <w:shd w:val="clear" w:color="auto" w:fill="auto"/>
          </w:tcPr>
          <w:p w:rsidR="00B90F1F" w:rsidRPr="000F252A" w:rsidRDefault="00783F2D" w:rsidP="005735AD">
            <w:pPr>
              <w:jc w:val="both"/>
            </w:pPr>
            <w:r w:rsidRPr="000F252A">
              <w:t>г</w:t>
            </w:r>
            <w:r w:rsidR="00B90F1F" w:rsidRPr="000F252A">
              <w:t>лавный внештатный специалист-онколог Министерства здравоохранения Республики Татарстан Э.В.Нагуманов, генеральный директор телеканала «Татарстан – Новый Век» И.Ю.Аминов (по согласованию)</w:t>
            </w:r>
          </w:p>
        </w:tc>
        <w:tc>
          <w:tcPr>
            <w:tcW w:w="3969" w:type="dxa"/>
            <w:shd w:val="clear" w:color="auto" w:fill="auto"/>
          </w:tcPr>
          <w:p w:rsidR="00B90F1F" w:rsidRPr="000F252A" w:rsidRDefault="00B90F1F" w:rsidP="005735AD">
            <w:pPr>
              <w:jc w:val="both"/>
            </w:pPr>
            <w:r w:rsidRPr="000F252A">
              <w:t>проведено 12 телепередач по профилактике онкологических заболеваний ежегодно</w:t>
            </w:r>
          </w:p>
        </w:tc>
      </w:tr>
      <w:tr w:rsidR="00B90F1F" w:rsidRPr="000F252A" w:rsidTr="00AC795F">
        <w:trPr>
          <w:trHeight w:val="20"/>
        </w:trPr>
        <w:tc>
          <w:tcPr>
            <w:tcW w:w="704" w:type="dxa"/>
            <w:shd w:val="clear" w:color="auto" w:fill="auto"/>
          </w:tcPr>
          <w:p w:rsidR="00B90F1F" w:rsidRPr="000F252A" w:rsidRDefault="00B90F1F" w:rsidP="005735AD">
            <w:pPr>
              <w:jc w:val="center"/>
            </w:pPr>
            <w:r w:rsidRPr="000F252A">
              <w:t>1.18.</w:t>
            </w:r>
          </w:p>
        </w:tc>
        <w:tc>
          <w:tcPr>
            <w:tcW w:w="3686" w:type="dxa"/>
            <w:shd w:val="clear" w:color="auto" w:fill="auto"/>
          </w:tcPr>
          <w:p w:rsidR="00B90F1F" w:rsidRPr="000F252A" w:rsidRDefault="00B90F1F" w:rsidP="0096683B">
            <w:pPr>
              <w:jc w:val="both"/>
            </w:pPr>
            <w:r w:rsidRPr="000F252A">
              <w:t>Организация и проведение в медицинских организациях не менее</w:t>
            </w:r>
            <w:r w:rsidR="0096683B" w:rsidRPr="000F252A">
              <w:t xml:space="preserve"> 40 «школ здоровья» по профилак-</w:t>
            </w:r>
            <w:r w:rsidR="0096683B" w:rsidRPr="000F252A">
              <w:br/>
            </w:r>
            <w:r w:rsidRPr="000F252A">
              <w:t>тике онкологических заболеваний</w:t>
            </w:r>
          </w:p>
        </w:tc>
        <w:tc>
          <w:tcPr>
            <w:tcW w:w="1474" w:type="dxa"/>
            <w:shd w:val="clear" w:color="auto" w:fill="auto"/>
          </w:tcPr>
          <w:p w:rsidR="00B90F1F" w:rsidRPr="000F252A" w:rsidRDefault="00B90F1F" w:rsidP="005C7F20">
            <w:pPr>
              <w:jc w:val="center"/>
            </w:pPr>
            <w:r w:rsidRPr="000F252A">
              <w:t>09.01.202</w:t>
            </w:r>
            <w:r w:rsidR="005C7F20" w:rsidRPr="000F252A">
              <w:t>6</w:t>
            </w:r>
          </w:p>
        </w:tc>
        <w:tc>
          <w:tcPr>
            <w:tcW w:w="1418" w:type="dxa"/>
            <w:shd w:val="clear" w:color="auto" w:fill="auto"/>
          </w:tcPr>
          <w:p w:rsidR="00B90F1F" w:rsidRPr="000F252A" w:rsidRDefault="00B90F1F" w:rsidP="005735AD">
            <w:pPr>
              <w:jc w:val="center"/>
            </w:pPr>
            <w:r w:rsidRPr="000F252A">
              <w:t>31.12.2030</w:t>
            </w:r>
          </w:p>
        </w:tc>
        <w:tc>
          <w:tcPr>
            <w:tcW w:w="3912" w:type="dxa"/>
            <w:shd w:val="clear" w:color="auto" w:fill="auto"/>
          </w:tcPr>
          <w:p w:rsidR="00B90F1F" w:rsidRPr="000F252A" w:rsidRDefault="00783F2D" w:rsidP="005735AD">
            <w:pPr>
              <w:jc w:val="both"/>
            </w:pPr>
            <w:r w:rsidRPr="000F252A">
              <w:t>г</w:t>
            </w:r>
            <w:r w:rsidR="00B90F1F" w:rsidRPr="000F252A">
              <w:t xml:space="preserve">лавный врач ГАУЗ </w:t>
            </w:r>
            <w:r w:rsidR="002B09DE" w:rsidRPr="000F252A">
              <w:rPr>
                <w:rFonts w:eastAsia="Arial"/>
              </w:rPr>
              <w:t>«РКОД МЗ РТ им.проф.</w:t>
            </w:r>
            <w:r w:rsidR="00B90F1F" w:rsidRPr="000F252A">
              <w:rPr>
                <w:rFonts w:eastAsia="Arial"/>
              </w:rPr>
              <w:t>М.З.Сигала»</w:t>
            </w:r>
            <w:r w:rsidR="006F6B78">
              <w:t xml:space="preserve"> </w:t>
            </w:r>
            <w:r w:rsidR="00F94EC2" w:rsidRPr="000F252A">
              <w:t>М.Ф.Мухамадеев</w:t>
            </w:r>
          </w:p>
        </w:tc>
        <w:tc>
          <w:tcPr>
            <w:tcW w:w="3969" w:type="dxa"/>
            <w:shd w:val="clear" w:color="auto" w:fill="auto"/>
          </w:tcPr>
          <w:p w:rsidR="00B90F1F" w:rsidRPr="000F252A" w:rsidRDefault="00B90F1F" w:rsidP="005735AD">
            <w:pPr>
              <w:jc w:val="both"/>
            </w:pPr>
            <w:r w:rsidRPr="000F252A">
              <w:t>охват не менее 1 500 человек в год:</w:t>
            </w:r>
          </w:p>
          <w:p w:rsidR="00B90F1F" w:rsidRPr="000F252A" w:rsidRDefault="00B90F1F" w:rsidP="005735AD">
            <w:pPr>
              <w:jc w:val="both"/>
            </w:pPr>
            <w:r w:rsidRPr="000F252A">
              <w:t xml:space="preserve">I квартал – не менее 300 человек; </w:t>
            </w:r>
          </w:p>
          <w:p w:rsidR="00B90F1F" w:rsidRPr="000F252A" w:rsidRDefault="00B90F1F" w:rsidP="005735AD">
            <w:pPr>
              <w:jc w:val="both"/>
            </w:pPr>
            <w:r w:rsidRPr="000F252A">
              <w:t xml:space="preserve">II квартал – не менее 400 человек; </w:t>
            </w:r>
          </w:p>
          <w:p w:rsidR="00B90F1F" w:rsidRPr="000F252A" w:rsidRDefault="00B90F1F" w:rsidP="005735AD">
            <w:pPr>
              <w:jc w:val="both"/>
            </w:pPr>
            <w:r w:rsidRPr="000F252A">
              <w:t xml:space="preserve">III квартал – не менее 400 человек; </w:t>
            </w:r>
          </w:p>
          <w:p w:rsidR="002B09DE" w:rsidRPr="000F252A" w:rsidRDefault="00B90F1F" w:rsidP="0096683B">
            <w:pPr>
              <w:jc w:val="both"/>
            </w:pPr>
            <w:r w:rsidRPr="000F252A">
              <w:t>IV квартал – не менее 400 человек</w:t>
            </w:r>
          </w:p>
        </w:tc>
      </w:tr>
      <w:tr w:rsidR="00B90F1F" w:rsidRPr="000F252A" w:rsidTr="005735AD">
        <w:trPr>
          <w:trHeight w:val="20"/>
        </w:trPr>
        <w:tc>
          <w:tcPr>
            <w:tcW w:w="15163" w:type="dxa"/>
            <w:gridSpan w:val="6"/>
            <w:shd w:val="clear" w:color="auto" w:fill="auto"/>
            <w:vAlign w:val="center"/>
          </w:tcPr>
          <w:p w:rsidR="00B90F1F" w:rsidRPr="000F252A" w:rsidRDefault="00B90F1F" w:rsidP="0096683B">
            <w:pPr>
              <w:jc w:val="center"/>
            </w:pPr>
            <w:r w:rsidRPr="000F252A">
              <w:t>2. Комплекс мер вторичной профилактики онкологических заболеваний</w:t>
            </w:r>
          </w:p>
        </w:tc>
      </w:tr>
      <w:tr w:rsidR="00B90F1F" w:rsidRPr="000F252A" w:rsidTr="00AC795F">
        <w:trPr>
          <w:trHeight w:val="20"/>
        </w:trPr>
        <w:tc>
          <w:tcPr>
            <w:tcW w:w="704" w:type="dxa"/>
            <w:shd w:val="clear" w:color="auto" w:fill="auto"/>
            <w:hideMark/>
          </w:tcPr>
          <w:p w:rsidR="00B90F1F" w:rsidRPr="000F252A" w:rsidRDefault="00B90F1F" w:rsidP="0096683B">
            <w:pPr>
              <w:jc w:val="center"/>
            </w:pPr>
            <w:r w:rsidRPr="000F252A">
              <w:t>2.1.</w:t>
            </w:r>
          </w:p>
        </w:tc>
        <w:tc>
          <w:tcPr>
            <w:tcW w:w="3686" w:type="dxa"/>
            <w:shd w:val="clear" w:color="auto" w:fill="auto"/>
            <w:hideMark/>
          </w:tcPr>
          <w:p w:rsidR="00B90F1F" w:rsidRPr="000F252A" w:rsidRDefault="00B90F1F" w:rsidP="0096683B">
            <w:pPr>
              <w:jc w:val="both"/>
            </w:pPr>
            <w:r w:rsidRPr="000F252A">
              <w:t>Разработка и размещение информации о необходимости, порядке прохождения диспансеризации и профилактических медицинских осмотров в медицинских организациях и перечне медицинских исследований при прохождении диспансеризации</w:t>
            </w:r>
          </w:p>
        </w:tc>
        <w:tc>
          <w:tcPr>
            <w:tcW w:w="1474" w:type="dxa"/>
          </w:tcPr>
          <w:p w:rsidR="00B90F1F" w:rsidRPr="000F252A" w:rsidRDefault="00B90F1F" w:rsidP="005C7F20">
            <w:pPr>
              <w:jc w:val="center"/>
            </w:pPr>
            <w:r w:rsidRPr="000F252A">
              <w:t>01.02.202</w:t>
            </w:r>
            <w:r w:rsidR="005C7F20" w:rsidRPr="000F252A">
              <w:t>6</w:t>
            </w:r>
          </w:p>
        </w:tc>
        <w:tc>
          <w:tcPr>
            <w:tcW w:w="1418" w:type="dxa"/>
            <w:shd w:val="clear" w:color="auto" w:fill="auto"/>
          </w:tcPr>
          <w:p w:rsidR="00B90F1F" w:rsidRPr="000F252A" w:rsidRDefault="00B90F1F" w:rsidP="0096683B">
            <w:pPr>
              <w:jc w:val="center"/>
            </w:pPr>
            <w:r w:rsidRPr="000F252A">
              <w:t>31.12.2030</w:t>
            </w:r>
          </w:p>
        </w:tc>
        <w:tc>
          <w:tcPr>
            <w:tcW w:w="3912" w:type="dxa"/>
            <w:shd w:val="clear" w:color="auto" w:fill="auto"/>
          </w:tcPr>
          <w:p w:rsidR="00B90F1F" w:rsidRPr="000F252A" w:rsidRDefault="00783F2D" w:rsidP="0096683B">
            <w:pPr>
              <w:jc w:val="both"/>
            </w:pPr>
            <w:r w:rsidRPr="000F252A">
              <w:t>г</w:t>
            </w:r>
            <w:r w:rsidR="00B90F1F" w:rsidRPr="000F252A">
              <w:t xml:space="preserve">лавный врач ГАУЗ «Республиканский центр общественного здоровья и медицинской профилактики» И.Х.Шарафутдинов, руководители медицинских организаций </w:t>
            </w:r>
            <w:r w:rsidR="00EF7F5F" w:rsidRPr="000F252A">
              <w:t>Республики Татарстан</w:t>
            </w:r>
          </w:p>
        </w:tc>
        <w:tc>
          <w:tcPr>
            <w:tcW w:w="3969" w:type="dxa"/>
            <w:shd w:val="clear" w:color="auto" w:fill="auto"/>
          </w:tcPr>
          <w:p w:rsidR="00B90F1F" w:rsidRPr="000F252A" w:rsidRDefault="00B90F1F" w:rsidP="0096683B">
            <w:pPr>
              <w:jc w:val="both"/>
            </w:pPr>
            <w:r w:rsidRPr="000F252A">
              <w:t>информация размещена:</w:t>
            </w:r>
          </w:p>
          <w:p w:rsidR="00B90F1F" w:rsidRPr="000F252A" w:rsidRDefault="00B90F1F" w:rsidP="0096683B">
            <w:pPr>
              <w:jc w:val="both"/>
            </w:pPr>
            <w:r w:rsidRPr="000F252A">
              <w:t xml:space="preserve">на информационных стендах 76 </w:t>
            </w:r>
            <w:r w:rsidR="002B09DE" w:rsidRPr="000F252A">
              <w:br/>
            </w:r>
            <w:r w:rsidRPr="000F252A">
              <w:t xml:space="preserve">(100 процентов) медицинских организаций, на официальных сайтах 76 </w:t>
            </w:r>
            <w:r w:rsidR="002B09DE" w:rsidRPr="000F252A">
              <w:br/>
            </w:r>
            <w:r w:rsidRPr="000F252A">
              <w:t>(100 процентов) медицинских организаций</w:t>
            </w:r>
          </w:p>
        </w:tc>
      </w:tr>
      <w:tr w:rsidR="00B90F1F" w:rsidRPr="000F252A" w:rsidTr="00AC795F">
        <w:trPr>
          <w:trHeight w:val="20"/>
        </w:trPr>
        <w:tc>
          <w:tcPr>
            <w:tcW w:w="704" w:type="dxa"/>
            <w:shd w:val="clear" w:color="auto" w:fill="auto"/>
          </w:tcPr>
          <w:p w:rsidR="00B90F1F" w:rsidRPr="000F252A" w:rsidRDefault="00B90F1F" w:rsidP="0096683B">
            <w:pPr>
              <w:jc w:val="center"/>
            </w:pPr>
            <w:r w:rsidRPr="000F252A">
              <w:t>2.2.</w:t>
            </w:r>
          </w:p>
        </w:tc>
        <w:tc>
          <w:tcPr>
            <w:tcW w:w="3686" w:type="dxa"/>
            <w:shd w:val="clear" w:color="auto" w:fill="auto"/>
          </w:tcPr>
          <w:p w:rsidR="00B90F1F" w:rsidRPr="000F252A" w:rsidRDefault="00B90F1F" w:rsidP="0096683B">
            <w:pPr>
              <w:jc w:val="both"/>
            </w:pPr>
            <w:r w:rsidRPr="000F252A">
              <w:rPr>
                <w:color w:val="000000"/>
              </w:rPr>
              <w:t>Осуществление контроля за качеством проведения и интерпретации анкетирования при диспансеризации и первичных медицинских осмотрах в части выявления наследственности по группам ЗНО, ранних симптомов и факторов риска</w:t>
            </w:r>
          </w:p>
        </w:tc>
        <w:tc>
          <w:tcPr>
            <w:tcW w:w="1474" w:type="dxa"/>
            <w:shd w:val="clear" w:color="auto" w:fill="auto"/>
          </w:tcPr>
          <w:p w:rsidR="00B90F1F" w:rsidRPr="000F252A" w:rsidRDefault="00B90F1F" w:rsidP="005C7F20">
            <w:pPr>
              <w:jc w:val="center"/>
            </w:pPr>
            <w:r w:rsidRPr="000F252A">
              <w:t>09.01.202</w:t>
            </w:r>
            <w:r w:rsidR="005C7F20" w:rsidRPr="000F252A">
              <w:t>6</w:t>
            </w:r>
          </w:p>
        </w:tc>
        <w:tc>
          <w:tcPr>
            <w:tcW w:w="1418" w:type="dxa"/>
            <w:shd w:val="clear" w:color="auto" w:fill="auto"/>
          </w:tcPr>
          <w:p w:rsidR="00B90F1F" w:rsidRPr="000F252A" w:rsidRDefault="00B90F1F" w:rsidP="0096683B">
            <w:pPr>
              <w:jc w:val="center"/>
            </w:pPr>
            <w:r w:rsidRPr="000F252A">
              <w:t>31.12.2030</w:t>
            </w:r>
          </w:p>
        </w:tc>
        <w:tc>
          <w:tcPr>
            <w:tcW w:w="3912" w:type="dxa"/>
            <w:shd w:val="clear" w:color="auto" w:fill="auto"/>
          </w:tcPr>
          <w:p w:rsidR="00B90F1F" w:rsidRPr="000F252A" w:rsidRDefault="00C85832" w:rsidP="0096683B">
            <w:pPr>
              <w:jc w:val="both"/>
            </w:pPr>
            <w:r w:rsidRPr="000F252A">
              <w:t xml:space="preserve">министр </w:t>
            </w:r>
            <w:r w:rsidR="00B90F1F" w:rsidRPr="000F252A">
              <w:t xml:space="preserve">здравоохранения Республики Татарстан А.Р.Абашев, руководители медицинских организаций </w:t>
            </w:r>
            <w:r w:rsidR="0096683B" w:rsidRPr="000F252A">
              <w:t xml:space="preserve">Республики Татарстан  </w:t>
            </w:r>
          </w:p>
        </w:tc>
        <w:tc>
          <w:tcPr>
            <w:tcW w:w="3969" w:type="dxa"/>
            <w:shd w:val="clear" w:color="auto" w:fill="auto"/>
          </w:tcPr>
          <w:p w:rsidR="00B90F1F" w:rsidRPr="000F252A" w:rsidRDefault="00B90F1F" w:rsidP="0096683B">
            <w:pPr>
              <w:jc w:val="both"/>
            </w:pPr>
            <w:r w:rsidRPr="000F252A">
              <w:t>ежемесячно проанализировано не менее 1 000 анкет</w:t>
            </w:r>
            <w:r w:rsidR="0096683B" w:rsidRPr="000F252A">
              <w:t>;</w:t>
            </w:r>
          </w:p>
          <w:p w:rsidR="00B90F1F" w:rsidRPr="000F252A" w:rsidRDefault="00B90F1F" w:rsidP="0096683B">
            <w:pPr>
              <w:jc w:val="both"/>
            </w:pPr>
            <w:r w:rsidRPr="000F252A">
              <w:t xml:space="preserve">выявлено дефектов </w:t>
            </w:r>
            <w:r w:rsidR="006E23FC" w:rsidRPr="000F252A">
              <w:t>–</w:t>
            </w:r>
            <w:r w:rsidRPr="000F252A">
              <w:t xml:space="preserve"> не более 7 процентов</w:t>
            </w:r>
          </w:p>
        </w:tc>
      </w:tr>
      <w:tr w:rsidR="00B90F1F" w:rsidRPr="000F252A" w:rsidTr="00AC795F">
        <w:trPr>
          <w:trHeight w:val="20"/>
        </w:trPr>
        <w:tc>
          <w:tcPr>
            <w:tcW w:w="704" w:type="dxa"/>
            <w:shd w:val="clear" w:color="auto" w:fill="auto"/>
          </w:tcPr>
          <w:p w:rsidR="00B90F1F" w:rsidRPr="000F252A" w:rsidRDefault="00B90F1F" w:rsidP="0096683B">
            <w:pPr>
              <w:jc w:val="center"/>
            </w:pPr>
            <w:r w:rsidRPr="000F252A">
              <w:t>2.3.</w:t>
            </w:r>
          </w:p>
        </w:tc>
        <w:tc>
          <w:tcPr>
            <w:tcW w:w="3686" w:type="dxa"/>
            <w:shd w:val="clear" w:color="auto" w:fill="auto"/>
          </w:tcPr>
          <w:p w:rsidR="00B90F1F" w:rsidRPr="000F252A" w:rsidRDefault="00B90F1F" w:rsidP="00AA5E87">
            <w:pPr>
              <w:jc w:val="both"/>
            </w:pPr>
            <w:r w:rsidRPr="000F252A">
              <w:t xml:space="preserve">Осуществление диспансерного наблюдения за больными из групп риска по развитию ЗНО в соответствии с требованиями приказа </w:t>
            </w:r>
            <w:r w:rsidR="002B09DE" w:rsidRPr="000F252A">
              <w:br/>
            </w:r>
            <w:r w:rsidRPr="000F252A">
              <w:t>Министерства здравоохранения Российской Федерации 15</w:t>
            </w:r>
            <w:r w:rsidR="00E11752" w:rsidRPr="000F252A">
              <w:t xml:space="preserve"> марта </w:t>
            </w:r>
            <w:r w:rsidR="002B09DE" w:rsidRPr="000F252A">
              <w:br/>
            </w:r>
            <w:r w:rsidRPr="000F252A">
              <w:t>2022</w:t>
            </w:r>
            <w:r w:rsidR="00E11752" w:rsidRPr="000F252A">
              <w:t xml:space="preserve"> г.</w:t>
            </w:r>
            <w:r w:rsidRPr="000F252A">
              <w:t xml:space="preserve"> №</w:t>
            </w:r>
            <w:r w:rsidR="00AA5E87">
              <w:t xml:space="preserve"> </w:t>
            </w:r>
            <w:r w:rsidRPr="000F252A">
              <w:t>168н «Об утверждении порядка проведения диспансерного наблюдения за взрослыми»</w:t>
            </w:r>
          </w:p>
        </w:tc>
        <w:tc>
          <w:tcPr>
            <w:tcW w:w="1474" w:type="dxa"/>
            <w:shd w:val="clear" w:color="auto" w:fill="auto"/>
          </w:tcPr>
          <w:p w:rsidR="00B90F1F" w:rsidRPr="000F252A" w:rsidRDefault="00B90F1F" w:rsidP="005C7F20">
            <w:pPr>
              <w:jc w:val="center"/>
            </w:pPr>
            <w:r w:rsidRPr="000F252A">
              <w:t>09.01.202</w:t>
            </w:r>
            <w:r w:rsidR="005C7F20" w:rsidRPr="000F252A">
              <w:t>6</w:t>
            </w:r>
          </w:p>
        </w:tc>
        <w:tc>
          <w:tcPr>
            <w:tcW w:w="1418" w:type="dxa"/>
            <w:shd w:val="clear" w:color="auto" w:fill="auto"/>
          </w:tcPr>
          <w:p w:rsidR="00B90F1F" w:rsidRPr="000F252A" w:rsidRDefault="00B90F1F" w:rsidP="0096683B">
            <w:pPr>
              <w:jc w:val="center"/>
            </w:pPr>
            <w:r w:rsidRPr="000F252A">
              <w:t>31.12.2030</w:t>
            </w:r>
          </w:p>
        </w:tc>
        <w:tc>
          <w:tcPr>
            <w:tcW w:w="3912" w:type="dxa"/>
            <w:shd w:val="clear" w:color="auto" w:fill="auto"/>
          </w:tcPr>
          <w:p w:rsidR="00B90F1F" w:rsidRPr="000F252A" w:rsidRDefault="00C85832" w:rsidP="0096683B">
            <w:pPr>
              <w:jc w:val="both"/>
            </w:pPr>
            <w:r w:rsidRPr="000F252A">
              <w:t xml:space="preserve">министр </w:t>
            </w:r>
            <w:r w:rsidR="00B90F1F" w:rsidRPr="000F252A">
              <w:t>здравоохранения Республики Татарстан А.Р.Абашев, руководители медицинских организаций</w:t>
            </w:r>
            <w:r w:rsidR="00EF7F5F" w:rsidRPr="000F252A">
              <w:t xml:space="preserve"> Республики Татарстан</w:t>
            </w:r>
          </w:p>
        </w:tc>
        <w:tc>
          <w:tcPr>
            <w:tcW w:w="3969" w:type="dxa"/>
            <w:shd w:val="clear" w:color="auto" w:fill="auto"/>
          </w:tcPr>
          <w:p w:rsidR="00B90F1F" w:rsidRPr="000F252A" w:rsidRDefault="0096683B" w:rsidP="0096683B">
            <w:pPr>
              <w:jc w:val="both"/>
            </w:pPr>
            <w:r w:rsidRPr="000F252A">
              <w:t>о</w:t>
            </w:r>
            <w:r w:rsidR="00B90F1F" w:rsidRPr="000F252A">
              <w:t xml:space="preserve">хват от числа подлежащих </w:t>
            </w:r>
            <w:r w:rsidR="00187AB7" w:rsidRPr="000F252A">
              <w:t xml:space="preserve">– </w:t>
            </w:r>
            <w:r w:rsidR="00B90F1F" w:rsidRPr="000F252A">
              <w:t>не менее 80 процентов ежегодно</w:t>
            </w:r>
          </w:p>
        </w:tc>
      </w:tr>
      <w:tr w:rsidR="00B90F1F" w:rsidRPr="000F252A" w:rsidTr="00AC795F">
        <w:trPr>
          <w:trHeight w:val="20"/>
        </w:trPr>
        <w:tc>
          <w:tcPr>
            <w:tcW w:w="704" w:type="dxa"/>
            <w:shd w:val="clear" w:color="auto" w:fill="auto"/>
          </w:tcPr>
          <w:p w:rsidR="00B90F1F" w:rsidRPr="000F252A" w:rsidRDefault="00B90F1F" w:rsidP="0096683B">
            <w:pPr>
              <w:jc w:val="center"/>
            </w:pPr>
            <w:r w:rsidRPr="000F252A">
              <w:t>2.4.</w:t>
            </w:r>
          </w:p>
        </w:tc>
        <w:tc>
          <w:tcPr>
            <w:tcW w:w="3686" w:type="dxa"/>
            <w:shd w:val="clear" w:color="auto" w:fill="auto"/>
          </w:tcPr>
          <w:p w:rsidR="00B90F1F" w:rsidRPr="000F252A" w:rsidRDefault="00B90F1F" w:rsidP="0096683B">
            <w:pPr>
              <w:jc w:val="both"/>
            </w:pPr>
            <w:r w:rsidRPr="000F252A">
              <w:t>Проведение цитологического скринингового обследования женщин от 18 лет и старше с целью раннего выявления рака шейки</w:t>
            </w:r>
            <w:r w:rsidR="0096683B" w:rsidRPr="000F252A">
              <w:t xml:space="preserve"> матки в рамках Программы госу-</w:t>
            </w:r>
            <w:r w:rsidR="0096683B" w:rsidRPr="000F252A">
              <w:br/>
            </w:r>
            <w:r w:rsidRPr="000F252A">
              <w:t>дарственных гарантий бесплатного оказания гражданам медицинской помощи</w:t>
            </w:r>
          </w:p>
        </w:tc>
        <w:tc>
          <w:tcPr>
            <w:tcW w:w="1474" w:type="dxa"/>
            <w:shd w:val="clear" w:color="auto" w:fill="auto"/>
          </w:tcPr>
          <w:p w:rsidR="00B90F1F" w:rsidRPr="000F252A" w:rsidRDefault="00B90F1F" w:rsidP="00B80FC2">
            <w:pPr>
              <w:jc w:val="center"/>
            </w:pPr>
            <w:r w:rsidRPr="000F252A">
              <w:t>10.01.202</w:t>
            </w:r>
            <w:r w:rsidR="00B80FC2" w:rsidRPr="000F252A">
              <w:t>6</w:t>
            </w:r>
          </w:p>
        </w:tc>
        <w:tc>
          <w:tcPr>
            <w:tcW w:w="1418" w:type="dxa"/>
            <w:shd w:val="clear" w:color="auto" w:fill="auto"/>
          </w:tcPr>
          <w:p w:rsidR="00B90F1F" w:rsidRPr="000F252A" w:rsidRDefault="00B90F1F" w:rsidP="0096683B">
            <w:pPr>
              <w:jc w:val="center"/>
            </w:pPr>
            <w:r w:rsidRPr="000F252A">
              <w:t>31.12.2030</w:t>
            </w:r>
          </w:p>
        </w:tc>
        <w:tc>
          <w:tcPr>
            <w:tcW w:w="3912" w:type="dxa"/>
            <w:shd w:val="clear" w:color="auto" w:fill="auto"/>
          </w:tcPr>
          <w:p w:rsidR="00B90F1F" w:rsidRPr="000F252A" w:rsidRDefault="00783F2D" w:rsidP="0096683B">
            <w:pPr>
              <w:jc w:val="both"/>
            </w:pPr>
            <w:r w:rsidRPr="000F252A">
              <w:t>г</w:t>
            </w:r>
            <w:r w:rsidR="00B90F1F" w:rsidRPr="000F252A">
              <w:t xml:space="preserve">лавный врач ГАУЗ </w:t>
            </w:r>
            <w:r w:rsidR="002B09DE" w:rsidRPr="000F252A">
              <w:rPr>
                <w:rFonts w:eastAsia="Arial"/>
              </w:rPr>
              <w:t>«РКОД МЗ РТ им.проф.</w:t>
            </w:r>
            <w:r w:rsidR="00B90F1F" w:rsidRPr="000F252A">
              <w:rPr>
                <w:rFonts w:eastAsia="Arial"/>
              </w:rPr>
              <w:t>М.З.Сигала»</w:t>
            </w:r>
            <w:r w:rsidR="00F128D1" w:rsidRPr="000F252A">
              <w:t xml:space="preserve"> </w:t>
            </w:r>
            <w:r w:rsidR="00F94EC2" w:rsidRPr="000F252A">
              <w:t>М.Ф.Мухамадеев</w:t>
            </w:r>
            <w:r w:rsidR="00B90F1F" w:rsidRPr="000F252A">
              <w:t xml:space="preserve">, руководители медицинских организаций </w:t>
            </w:r>
            <w:r w:rsidR="00EF7F5F" w:rsidRPr="000F252A">
              <w:t>Республики Татарстан</w:t>
            </w:r>
          </w:p>
        </w:tc>
        <w:tc>
          <w:tcPr>
            <w:tcW w:w="3969" w:type="dxa"/>
            <w:shd w:val="clear" w:color="auto" w:fill="auto"/>
          </w:tcPr>
          <w:p w:rsidR="00B90F1F" w:rsidRPr="000F252A" w:rsidRDefault="00B90F1F" w:rsidP="0096683B">
            <w:pPr>
              <w:jc w:val="both"/>
            </w:pPr>
            <w:r w:rsidRPr="000F252A">
              <w:t xml:space="preserve">охват не менее 500 тыс.женщин ежегодно; </w:t>
            </w:r>
          </w:p>
          <w:p w:rsidR="00B90F1F" w:rsidRPr="000F252A" w:rsidRDefault="00B90F1F" w:rsidP="0096683B">
            <w:pPr>
              <w:jc w:val="both"/>
            </w:pPr>
            <w:r w:rsidRPr="000F252A">
              <w:t xml:space="preserve">доля случаев рака шейки матки, выявленных на I стадии: </w:t>
            </w:r>
          </w:p>
          <w:p w:rsidR="00B90F1F" w:rsidRPr="000F252A" w:rsidRDefault="00B90F1F" w:rsidP="0096683B">
            <w:pPr>
              <w:jc w:val="both"/>
            </w:pPr>
            <w:r w:rsidRPr="000F252A">
              <w:t>2026 г. – 5</w:t>
            </w:r>
            <w:r w:rsidR="00B80FC2" w:rsidRPr="000F252A">
              <w:t>7,1</w:t>
            </w:r>
            <w:r w:rsidRPr="000F252A">
              <w:t xml:space="preserve"> процента</w:t>
            </w:r>
            <w:r w:rsidR="006E23FC" w:rsidRPr="000F252A">
              <w:t>;</w:t>
            </w:r>
          </w:p>
          <w:p w:rsidR="00B90F1F" w:rsidRPr="000F252A" w:rsidRDefault="00B90F1F" w:rsidP="0096683B">
            <w:pPr>
              <w:jc w:val="both"/>
            </w:pPr>
            <w:r w:rsidRPr="000F252A">
              <w:t>2027 г. – 5</w:t>
            </w:r>
            <w:r w:rsidR="00B80FC2" w:rsidRPr="000F252A">
              <w:t>7</w:t>
            </w:r>
            <w:r w:rsidRPr="000F252A">
              <w:t>,</w:t>
            </w:r>
            <w:r w:rsidR="00B80FC2" w:rsidRPr="000F252A">
              <w:t>1</w:t>
            </w:r>
            <w:r w:rsidRPr="000F252A">
              <w:t xml:space="preserve"> процента</w:t>
            </w:r>
            <w:r w:rsidR="006E23FC" w:rsidRPr="000F252A">
              <w:t>;</w:t>
            </w:r>
          </w:p>
          <w:p w:rsidR="00B90F1F" w:rsidRPr="000F252A" w:rsidRDefault="00B90F1F" w:rsidP="0096683B">
            <w:pPr>
              <w:jc w:val="both"/>
            </w:pPr>
            <w:r w:rsidRPr="000F252A">
              <w:t xml:space="preserve">2028 г. – </w:t>
            </w:r>
            <w:r w:rsidR="00B80FC2" w:rsidRPr="000F252A">
              <w:t>57</w:t>
            </w:r>
            <w:r w:rsidRPr="000F252A">
              <w:t>,</w:t>
            </w:r>
            <w:r w:rsidR="00B80FC2" w:rsidRPr="000F252A">
              <w:t>2</w:t>
            </w:r>
            <w:r w:rsidRPr="000F252A">
              <w:t xml:space="preserve"> процента</w:t>
            </w:r>
            <w:r w:rsidR="006E23FC" w:rsidRPr="000F252A">
              <w:t>;</w:t>
            </w:r>
          </w:p>
          <w:p w:rsidR="00B90F1F" w:rsidRPr="000F252A" w:rsidRDefault="00B90F1F" w:rsidP="0096683B">
            <w:pPr>
              <w:jc w:val="both"/>
            </w:pPr>
            <w:r w:rsidRPr="000F252A">
              <w:t xml:space="preserve">2029 г. – </w:t>
            </w:r>
            <w:r w:rsidR="00B80FC2" w:rsidRPr="000F252A">
              <w:t>57,2</w:t>
            </w:r>
            <w:r w:rsidRPr="000F252A">
              <w:t xml:space="preserve"> процента</w:t>
            </w:r>
            <w:r w:rsidR="006E23FC" w:rsidRPr="000F252A">
              <w:t>;</w:t>
            </w:r>
          </w:p>
          <w:p w:rsidR="00B90F1F" w:rsidRPr="000F252A" w:rsidRDefault="00B90F1F" w:rsidP="0096683B">
            <w:pPr>
              <w:jc w:val="both"/>
            </w:pPr>
            <w:r w:rsidRPr="000F252A">
              <w:t>20</w:t>
            </w:r>
            <w:r w:rsidR="004A7F06" w:rsidRPr="000F252A">
              <w:t>30</w:t>
            </w:r>
            <w:r w:rsidRPr="000F252A">
              <w:t xml:space="preserve"> г. – </w:t>
            </w:r>
            <w:r w:rsidR="00B80FC2" w:rsidRPr="000F252A">
              <w:t>57,3</w:t>
            </w:r>
            <w:r w:rsidRPr="000F252A">
              <w:t xml:space="preserve"> процента</w:t>
            </w:r>
          </w:p>
          <w:p w:rsidR="00B90F1F" w:rsidRPr="000F252A" w:rsidRDefault="00B90F1F" w:rsidP="00B80FC2">
            <w:pPr>
              <w:jc w:val="both"/>
            </w:pPr>
            <w:r w:rsidRPr="000F252A">
              <w:t>(</w:t>
            </w:r>
            <w:r w:rsidR="004A7F06" w:rsidRPr="000F252A">
              <w:t xml:space="preserve">факт </w:t>
            </w:r>
            <w:r w:rsidRPr="000F252A">
              <w:t>202</w:t>
            </w:r>
            <w:r w:rsidR="00B80FC2" w:rsidRPr="000F252A">
              <w:t>5</w:t>
            </w:r>
            <w:r w:rsidRPr="000F252A">
              <w:t xml:space="preserve"> г. – 5</w:t>
            </w:r>
            <w:r w:rsidR="00B80FC2" w:rsidRPr="000F252A">
              <w:t>7</w:t>
            </w:r>
            <w:r w:rsidRPr="000F252A">
              <w:t>,</w:t>
            </w:r>
            <w:r w:rsidR="00B80FC2" w:rsidRPr="000F252A">
              <w:t>1</w:t>
            </w:r>
            <w:r w:rsidRPr="000F252A">
              <w:t xml:space="preserve"> процента)</w:t>
            </w:r>
          </w:p>
        </w:tc>
      </w:tr>
      <w:tr w:rsidR="00B90F1F" w:rsidRPr="000F252A" w:rsidTr="00AC795F">
        <w:trPr>
          <w:trHeight w:val="20"/>
        </w:trPr>
        <w:tc>
          <w:tcPr>
            <w:tcW w:w="704" w:type="dxa"/>
            <w:shd w:val="clear" w:color="auto" w:fill="auto"/>
          </w:tcPr>
          <w:p w:rsidR="00B90F1F" w:rsidRPr="000F252A" w:rsidRDefault="00B90F1F" w:rsidP="002B09DE">
            <w:pPr>
              <w:jc w:val="center"/>
            </w:pPr>
            <w:r w:rsidRPr="000F252A">
              <w:t>2.5.</w:t>
            </w:r>
          </w:p>
        </w:tc>
        <w:tc>
          <w:tcPr>
            <w:tcW w:w="3686" w:type="dxa"/>
            <w:shd w:val="clear" w:color="auto" w:fill="auto"/>
          </w:tcPr>
          <w:p w:rsidR="00B90F1F" w:rsidRPr="000F252A" w:rsidRDefault="00B90F1F" w:rsidP="002B09DE">
            <w:pPr>
              <w:jc w:val="both"/>
            </w:pPr>
            <w:r w:rsidRPr="000F252A">
              <w:t>Проведение исследований методом жидкостной цитологии при скрининге рака шейки матки в рамках диспансеризации определенных групп взрослого населения (в рамках приказа Министерства здравоохранения Российской Федерации от 27</w:t>
            </w:r>
            <w:r w:rsidR="006E23FC" w:rsidRPr="000F252A">
              <w:t xml:space="preserve"> апреля </w:t>
            </w:r>
            <w:r w:rsidRPr="000F252A">
              <w:t>2021</w:t>
            </w:r>
            <w:r w:rsidR="006E23FC" w:rsidRPr="000F252A">
              <w:t xml:space="preserve"> г.</w:t>
            </w:r>
            <w:r w:rsidRPr="000F252A">
              <w:t xml:space="preserve"> </w:t>
            </w:r>
            <w:r w:rsidR="002B09DE" w:rsidRPr="000F252A">
              <w:br/>
            </w:r>
            <w:r w:rsidR="00AA5E87">
              <w:t>№ 404н «Об утверждении П</w:t>
            </w:r>
            <w:r w:rsidRPr="000F252A">
              <w:t>орядка проведения профилактического медицинского осмотра и диспансеризации определенных групп взрослого населения»)</w:t>
            </w:r>
          </w:p>
        </w:tc>
        <w:tc>
          <w:tcPr>
            <w:tcW w:w="1474" w:type="dxa"/>
            <w:shd w:val="clear" w:color="auto" w:fill="auto"/>
          </w:tcPr>
          <w:p w:rsidR="00B90F1F" w:rsidRPr="000F252A" w:rsidRDefault="00B90F1F" w:rsidP="00E202F2">
            <w:pPr>
              <w:jc w:val="center"/>
            </w:pPr>
            <w:r w:rsidRPr="000F252A">
              <w:t>01.01.202</w:t>
            </w:r>
            <w:r w:rsidR="00E202F2" w:rsidRPr="000F252A">
              <w:t>6</w:t>
            </w:r>
          </w:p>
        </w:tc>
        <w:tc>
          <w:tcPr>
            <w:tcW w:w="1418" w:type="dxa"/>
            <w:shd w:val="clear" w:color="auto" w:fill="auto"/>
          </w:tcPr>
          <w:p w:rsidR="00B90F1F" w:rsidRPr="000F252A" w:rsidRDefault="00B90F1F" w:rsidP="002B09DE">
            <w:pPr>
              <w:jc w:val="center"/>
            </w:pPr>
            <w:r w:rsidRPr="000F252A">
              <w:t>31.12.2030</w:t>
            </w:r>
          </w:p>
        </w:tc>
        <w:tc>
          <w:tcPr>
            <w:tcW w:w="3912" w:type="dxa"/>
            <w:shd w:val="clear" w:color="auto" w:fill="auto"/>
          </w:tcPr>
          <w:p w:rsidR="00B90F1F" w:rsidRPr="000F252A" w:rsidRDefault="00783F2D" w:rsidP="002B09DE">
            <w:pPr>
              <w:jc w:val="both"/>
            </w:pPr>
            <w:r w:rsidRPr="000F252A">
              <w:t>г</w:t>
            </w:r>
            <w:r w:rsidR="00B90F1F" w:rsidRPr="000F252A">
              <w:t xml:space="preserve">лавный врач ГАУЗ </w:t>
            </w:r>
            <w:r w:rsidR="002B09DE" w:rsidRPr="000F252A">
              <w:rPr>
                <w:rFonts w:eastAsia="Arial"/>
              </w:rPr>
              <w:t>«РКОД МЗ РТ им.проф.</w:t>
            </w:r>
            <w:r w:rsidR="00B90F1F" w:rsidRPr="000F252A">
              <w:rPr>
                <w:rFonts w:eastAsia="Arial"/>
              </w:rPr>
              <w:t>М.З.Сигала»</w:t>
            </w:r>
            <w:r w:rsidR="00F128D1" w:rsidRPr="000F252A">
              <w:t xml:space="preserve"> </w:t>
            </w:r>
            <w:r w:rsidR="00F94EC2" w:rsidRPr="000F252A">
              <w:t>М.Ф.Мухамадеев</w:t>
            </w:r>
            <w:r w:rsidR="00B90F1F" w:rsidRPr="000F252A">
              <w:t xml:space="preserve">, руководители медицинских организаций </w:t>
            </w:r>
            <w:r w:rsidR="00EF7F5F" w:rsidRPr="000F252A">
              <w:t>Республики Татарстан</w:t>
            </w:r>
          </w:p>
        </w:tc>
        <w:tc>
          <w:tcPr>
            <w:tcW w:w="3969" w:type="dxa"/>
            <w:shd w:val="clear" w:color="auto" w:fill="auto"/>
          </w:tcPr>
          <w:p w:rsidR="00B90F1F" w:rsidRPr="000F252A" w:rsidRDefault="00B90F1F" w:rsidP="002B09DE">
            <w:pPr>
              <w:jc w:val="both"/>
            </w:pPr>
            <w:r w:rsidRPr="000F252A">
              <w:t>ежегодное проведение исследовани</w:t>
            </w:r>
            <w:r w:rsidR="0096683B" w:rsidRPr="000F252A">
              <w:t>й методом жидкостной цитологии –</w:t>
            </w:r>
            <w:r w:rsidRPr="000F252A">
              <w:t xml:space="preserve"> не менее 40,2 тыс.исследований</w:t>
            </w:r>
          </w:p>
          <w:p w:rsidR="00B90F1F" w:rsidRPr="000F252A" w:rsidRDefault="00B90F1F" w:rsidP="002B09DE">
            <w:pPr>
              <w:jc w:val="both"/>
            </w:pPr>
            <w:r w:rsidRPr="000F252A">
              <w:t>(</w:t>
            </w:r>
            <w:r w:rsidR="00187AB7" w:rsidRPr="000F252A">
              <w:t xml:space="preserve">факт </w:t>
            </w:r>
            <w:r w:rsidRPr="000F252A">
              <w:t>202</w:t>
            </w:r>
            <w:r w:rsidR="00E202F2" w:rsidRPr="000F252A">
              <w:t>5</w:t>
            </w:r>
            <w:r w:rsidRPr="000F252A">
              <w:t xml:space="preserve"> г. – 40,2 тыс.исследований)</w:t>
            </w:r>
          </w:p>
          <w:p w:rsidR="00B90F1F" w:rsidRPr="000F252A" w:rsidRDefault="00B90F1F" w:rsidP="002B09DE">
            <w:pPr>
              <w:jc w:val="both"/>
            </w:pPr>
          </w:p>
        </w:tc>
      </w:tr>
      <w:tr w:rsidR="00B90F1F" w:rsidRPr="000F252A" w:rsidTr="00AC795F">
        <w:trPr>
          <w:trHeight w:val="20"/>
        </w:trPr>
        <w:tc>
          <w:tcPr>
            <w:tcW w:w="704" w:type="dxa"/>
            <w:shd w:val="clear" w:color="auto" w:fill="auto"/>
            <w:hideMark/>
          </w:tcPr>
          <w:p w:rsidR="00B90F1F" w:rsidRPr="000F252A" w:rsidRDefault="00B90F1F" w:rsidP="002B09DE">
            <w:pPr>
              <w:jc w:val="center"/>
            </w:pPr>
            <w:r w:rsidRPr="000F252A">
              <w:t>2.6.</w:t>
            </w:r>
          </w:p>
        </w:tc>
        <w:tc>
          <w:tcPr>
            <w:tcW w:w="3686" w:type="dxa"/>
            <w:shd w:val="clear" w:color="auto" w:fill="auto"/>
            <w:hideMark/>
          </w:tcPr>
          <w:p w:rsidR="00B90F1F" w:rsidRPr="000F252A" w:rsidRDefault="00B90F1F" w:rsidP="002B09DE">
            <w:pPr>
              <w:jc w:val="both"/>
            </w:pPr>
            <w:r w:rsidRPr="000F252A">
              <w:t>Проведение профилактических маммографических исследований молочных желез, в том числе в ходе диспансеризации отдельных групп взрослого населения (в рамках приказа Министерства здравоохранения Российской Федерации от 27</w:t>
            </w:r>
            <w:r w:rsidR="00FD0C60" w:rsidRPr="000F252A">
              <w:t xml:space="preserve"> апреля </w:t>
            </w:r>
            <w:r w:rsidRPr="000F252A">
              <w:t>2021</w:t>
            </w:r>
            <w:r w:rsidR="00FD0C60" w:rsidRPr="000F252A">
              <w:t xml:space="preserve"> г. </w:t>
            </w:r>
            <w:r w:rsidR="00E11752" w:rsidRPr="000F252A">
              <w:t xml:space="preserve">№ 404н </w:t>
            </w:r>
            <w:r w:rsidR="002B09DE" w:rsidRPr="000F252A">
              <w:br/>
            </w:r>
            <w:r w:rsidR="00AA5E87">
              <w:t>«Об утверждении П</w:t>
            </w:r>
            <w:r w:rsidRPr="000F252A">
              <w:t>орядка проведения профилактического медицинского осмотра и диспансеризации определенных групп взрослого населения»)</w:t>
            </w:r>
          </w:p>
        </w:tc>
        <w:tc>
          <w:tcPr>
            <w:tcW w:w="1474" w:type="dxa"/>
            <w:shd w:val="clear" w:color="auto" w:fill="auto"/>
            <w:hideMark/>
          </w:tcPr>
          <w:p w:rsidR="00B90F1F" w:rsidRPr="000F252A" w:rsidRDefault="00B90F1F" w:rsidP="00E202F2">
            <w:pPr>
              <w:jc w:val="center"/>
            </w:pPr>
            <w:r w:rsidRPr="000F252A">
              <w:t>01.01.202</w:t>
            </w:r>
            <w:r w:rsidR="00E202F2" w:rsidRPr="000F252A">
              <w:t>6</w:t>
            </w:r>
          </w:p>
        </w:tc>
        <w:tc>
          <w:tcPr>
            <w:tcW w:w="1418" w:type="dxa"/>
            <w:shd w:val="clear" w:color="auto" w:fill="auto"/>
            <w:hideMark/>
          </w:tcPr>
          <w:p w:rsidR="00B90F1F" w:rsidRPr="000F252A" w:rsidRDefault="00B90F1F" w:rsidP="002B09DE">
            <w:pPr>
              <w:jc w:val="center"/>
            </w:pPr>
            <w:r w:rsidRPr="000F252A">
              <w:t>31.12.2030</w:t>
            </w:r>
          </w:p>
        </w:tc>
        <w:tc>
          <w:tcPr>
            <w:tcW w:w="3912" w:type="dxa"/>
            <w:shd w:val="clear" w:color="auto" w:fill="auto"/>
            <w:hideMark/>
          </w:tcPr>
          <w:p w:rsidR="00B90F1F" w:rsidRPr="000F252A" w:rsidRDefault="00783F2D" w:rsidP="002B09DE">
            <w:pPr>
              <w:jc w:val="both"/>
            </w:pPr>
            <w:r w:rsidRPr="000F252A">
              <w:t>г</w:t>
            </w:r>
            <w:r w:rsidR="00B90F1F" w:rsidRPr="000F252A">
              <w:t xml:space="preserve">лавный врач ГАУЗ </w:t>
            </w:r>
            <w:r w:rsidR="002B09DE" w:rsidRPr="000F252A">
              <w:rPr>
                <w:rFonts w:eastAsia="Arial"/>
              </w:rPr>
              <w:t>«РКОД МЗ РТ им.проф.</w:t>
            </w:r>
            <w:r w:rsidR="00B90F1F" w:rsidRPr="000F252A">
              <w:rPr>
                <w:rFonts w:eastAsia="Arial"/>
              </w:rPr>
              <w:t>М.З.Сигала»</w:t>
            </w:r>
            <w:r w:rsidR="00F128D1" w:rsidRPr="000F252A">
              <w:t xml:space="preserve"> </w:t>
            </w:r>
            <w:r w:rsidR="00F94EC2" w:rsidRPr="000F252A">
              <w:t>М.Ф.Мухамадеев</w:t>
            </w:r>
            <w:r w:rsidR="00B90F1F" w:rsidRPr="000F252A">
              <w:t>, руководители медицинских организаций</w:t>
            </w:r>
            <w:r w:rsidR="00EF7F5F" w:rsidRPr="000F252A">
              <w:t xml:space="preserve"> Республики Татарстан</w:t>
            </w:r>
          </w:p>
        </w:tc>
        <w:tc>
          <w:tcPr>
            <w:tcW w:w="3969" w:type="dxa"/>
            <w:shd w:val="clear" w:color="auto" w:fill="auto"/>
            <w:hideMark/>
          </w:tcPr>
          <w:p w:rsidR="00B90F1F" w:rsidRPr="000F252A" w:rsidRDefault="00B90F1F" w:rsidP="002B09DE">
            <w:pPr>
              <w:jc w:val="both"/>
            </w:pPr>
            <w:r w:rsidRPr="000F252A">
              <w:t xml:space="preserve">охват не менее </w:t>
            </w:r>
            <w:r w:rsidR="00756257" w:rsidRPr="000F252A">
              <w:t>5</w:t>
            </w:r>
            <w:r w:rsidRPr="000F252A">
              <w:t>00 тыс.женщин ежегодно;</w:t>
            </w:r>
          </w:p>
          <w:p w:rsidR="00B90F1F" w:rsidRPr="000F252A" w:rsidRDefault="00B90F1F" w:rsidP="002B09DE">
            <w:pPr>
              <w:jc w:val="both"/>
            </w:pPr>
            <w:r w:rsidRPr="000F252A">
              <w:t xml:space="preserve">доля случаев рака молочной железы, выявленных на I стадии: </w:t>
            </w:r>
          </w:p>
          <w:p w:rsidR="00B90F1F" w:rsidRPr="000F252A" w:rsidRDefault="0096683B" w:rsidP="002B09DE">
            <w:pPr>
              <w:jc w:val="both"/>
            </w:pPr>
            <w:r w:rsidRPr="000F252A">
              <w:t>2026 г. – 40,</w:t>
            </w:r>
            <w:r w:rsidR="00E202F2" w:rsidRPr="000F252A">
              <w:t>6</w:t>
            </w:r>
            <w:r w:rsidRPr="000F252A">
              <w:t xml:space="preserve"> процента;</w:t>
            </w:r>
          </w:p>
          <w:p w:rsidR="00B90F1F" w:rsidRPr="000F252A" w:rsidRDefault="0096683B" w:rsidP="002B09DE">
            <w:pPr>
              <w:jc w:val="both"/>
            </w:pPr>
            <w:r w:rsidRPr="000F252A">
              <w:t>2027 г. – 40,</w:t>
            </w:r>
            <w:r w:rsidR="00E202F2" w:rsidRPr="000F252A">
              <w:t>6</w:t>
            </w:r>
            <w:r w:rsidRPr="000F252A">
              <w:t xml:space="preserve"> процента;</w:t>
            </w:r>
          </w:p>
          <w:p w:rsidR="00B90F1F" w:rsidRPr="000F252A" w:rsidRDefault="0096683B" w:rsidP="002B09DE">
            <w:pPr>
              <w:jc w:val="both"/>
            </w:pPr>
            <w:r w:rsidRPr="000F252A">
              <w:t>2028 г. – 40,7 процента;</w:t>
            </w:r>
          </w:p>
          <w:p w:rsidR="00B90F1F" w:rsidRPr="000F252A" w:rsidRDefault="0096683B" w:rsidP="002B09DE">
            <w:pPr>
              <w:jc w:val="both"/>
            </w:pPr>
            <w:r w:rsidRPr="000F252A">
              <w:t>2029 г. – 40,</w:t>
            </w:r>
            <w:r w:rsidR="00E202F2" w:rsidRPr="000F252A">
              <w:t>7</w:t>
            </w:r>
            <w:r w:rsidRPr="000F252A">
              <w:t xml:space="preserve"> процента;</w:t>
            </w:r>
          </w:p>
          <w:p w:rsidR="00B90F1F" w:rsidRPr="000F252A" w:rsidRDefault="00B90F1F" w:rsidP="002B09DE">
            <w:pPr>
              <w:jc w:val="both"/>
            </w:pPr>
            <w:r w:rsidRPr="000F252A">
              <w:t>2030 г. – 40,</w:t>
            </w:r>
            <w:r w:rsidR="00E202F2" w:rsidRPr="000F252A">
              <w:t>7</w:t>
            </w:r>
            <w:r w:rsidRPr="000F252A">
              <w:t xml:space="preserve"> процента</w:t>
            </w:r>
          </w:p>
          <w:p w:rsidR="00B90F1F" w:rsidRPr="000F252A" w:rsidRDefault="00B90F1F" w:rsidP="002B09DE">
            <w:pPr>
              <w:jc w:val="both"/>
            </w:pPr>
            <w:r w:rsidRPr="000F252A">
              <w:t>(</w:t>
            </w:r>
            <w:r w:rsidR="000E1D14" w:rsidRPr="000F252A">
              <w:t xml:space="preserve">факт </w:t>
            </w:r>
            <w:r w:rsidRPr="000F252A">
              <w:t>202</w:t>
            </w:r>
            <w:r w:rsidR="00E202F2" w:rsidRPr="000F252A">
              <w:t>5</w:t>
            </w:r>
            <w:r w:rsidRPr="000F252A">
              <w:t xml:space="preserve"> г. – 40,</w:t>
            </w:r>
            <w:r w:rsidR="00E202F2" w:rsidRPr="000F252A">
              <w:t>6</w:t>
            </w:r>
            <w:r w:rsidRPr="000F252A">
              <w:t xml:space="preserve"> процента)</w:t>
            </w:r>
          </w:p>
          <w:p w:rsidR="00B90F1F" w:rsidRPr="000F252A" w:rsidRDefault="00B90F1F" w:rsidP="002B09DE">
            <w:pPr>
              <w:jc w:val="both"/>
            </w:pPr>
          </w:p>
        </w:tc>
      </w:tr>
      <w:tr w:rsidR="00B90F1F" w:rsidRPr="000F252A" w:rsidTr="00AC795F">
        <w:trPr>
          <w:trHeight w:val="20"/>
        </w:trPr>
        <w:tc>
          <w:tcPr>
            <w:tcW w:w="704" w:type="dxa"/>
            <w:shd w:val="clear" w:color="auto" w:fill="auto"/>
          </w:tcPr>
          <w:p w:rsidR="00B90F1F" w:rsidRPr="000F252A" w:rsidRDefault="00B90F1F" w:rsidP="0096683B">
            <w:pPr>
              <w:jc w:val="center"/>
            </w:pPr>
            <w:r w:rsidRPr="000F252A">
              <w:t>2.7.</w:t>
            </w:r>
          </w:p>
        </w:tc>
        <w:tc>
          <w:tcPr>
            <w:tcW w:w="3686" w:type="dxa"/>
            <w:shd w:val="clear" w:color="auto" w:fill="auto"/>
          </w:tcPr>
          <w:p w:rsidR="00B90F1F" w:rsidRPr="000F252A" w:rsidRDefault="00B90F1F" w:rsidP="0096683B">
            <w:pPr>
              <w:jc w:val="both"/>
            </w:pPr>
            <w:r w:rsidRPr="000F252A">
              <w:t>Проведение исследования кала на скрытую кровь количественным иммунотурбидиметрическим ме</w:t>
            </w:r>
            <w:r w:rsidR="002B09DE" w:rsidRPr="000F252A">
              <w:t>-тодом при диспансеризации опре-</w:t>
            </w:r>
            <w:r w:rsidR="002B09DE" w:rsidRPr="000F252A">
              <w:br/>
            </w:r>
            <w:r w:rsidRPr="000F252A">
              <w:t xml:space="preserve">деленных групп взрослого населения (в рамках приказа Министерства здравоохранения Российской Федерации </w:t>
            </w:r>
            <w:r w:rsidR="00FD0C60" w:rsidRPr="000F252A">
              <w:t xml:space="preserve">от 27 апреля 2021 г. </w:t>
            </w:r>
            <w:r w:rsidR="002B09DE" w:rsidRPr="000F252A">
              <w:br/>
            </w:r>
            <w:r w:rsidR="00FD0C60" w:rsidRPr="000F252A">
              <w:t>№</w:t>
            </w:r>
            <w:r w:rsidR="002B09DE" w:rsidRPr="000F252A">
              <w:t xml:space="preserve"> </w:t>
            </w:r>
            <w:r w:rsidRPr="000F252A">
              <w:t>404н  «Об утверждении порядка проведения профилактического медицинского осмотра и диспансеризации определенных групп взрослого населения»)</w:t>
            </w:r>
          </w:p>
        </w:tc>
        <w:tc>
          <w:tcPr>
            <w:tcW w:w="1474" w:type="dxa"/>
            <w:shd w:val="clear" w:color="auto" w:fill="auto"/>
          </w:tcPr>
          <w:p w:rsidR="00B90F1F" w:rsidRPr="000F252A" w:rsidRDefault="00B90F1F" w:rsidP="006255D1">
            <w:pPr>
              <w:jc w:val="center"/>
            </w:pPr>
            <w:r w:rsidRPr="000F252A">
              <w:t>01.01.202</w:t>
            </w:r>
            <w:r w:rsidR="006255D1" w:rsidRPr="000F252A">
              <w:t>6</w:t>
            </w:r>
          </w:p>
        </w:tc>
        <w:tc>
          <w:tcPr>
            <w:tcW w:w="1418" w:type="dxa"/>
            <w:shd w:val="clear" w:color="auto" w:fill="auto"/>
          </w:tcPr>
          <w:p w:rsidR="00B90F1F" w:rsidRPr="000F252A" w:rsidRDefault="00B90F1F" w:rsidP="0096683B">
            <w:pPr>
              <w:jc w:val="center"/>
            </w:pPr>
            <w:r w:rsidRPr="000F252A">
              <w:t>31.12.2030</w:t>
            </w:r>
          </w:p>
        </w:tc>
        <w:tc>
          <w:tcPr>
            <w:tcW w:w="3912" w:type="dxa"/>
            <w:shd w:val="clear" w:color="auto" w:fill="auto"/>
          </w:tcPr>
          <w:p w:rsidR="00B90F1F" w:rsidRPr="000F252A" w:rsidRDefault="00783F2D" w:rsidP="0096683B">
            <w:pPr>
              <w:jc w:val="both"/>
            </w:pPr>
            <w:r w:rsidRPr="000F252A">
              <w:t>г</w:t>
            </w:r>
            <w:r w:rsidR="00B90F1F" w:rsidRPr="000F252A">
              <w:t xml:space="preserve">лавный врач ГАУЗ </w:t>
            </w:r>
            <w:r w:rsidR="002B09DE" w:rsidRPr="000F252A">
              <w:rPr>
                <w:rFonts w:eastAsia="Arial"/>
              </w:rPr>
              <w:t>«РКОД МЗ РТ им.проф.</w:t>
            </w:r>
            <w:r w:rsidR="00B90F1F" w:rsidRPr="000F252A">
              <w:rPr>
                <w:rFonts w:eastAsia="Arial"/>
              </w:rPr>
              <w:t>М.З.Сигала»</w:t>
            </w:r>
            <w:r w:rsidR="00F128D1" w:rsidRPr="000F252A">
              <w:t xml:space="preserve"> </w:t>
            </w:r>
            <w:r w:rsidR="00F94EC2" w:rsidRPr="000F252A">
              <w:t>М.Ф.Мухамадеев</w:t>
            </w:r>
          </w:p>
        </w:tc>
        <w:tc>
          <w:tcPr>
            <w:tcW w:w="3969" w:type="dxa"/>
            <w:shd w:val="clear" w:color="auto" w:fill="auto"/>
          </w:tcPr>
          <w:p w:rsidR="00B90F1F" w:rsidRPr="000F252A" w:rsidRDefault="00B90F1F" w:rsidP="0096683B">
            <w:pPr>
              <w:jc w:val="both"/>
            </w:pPr>
            <w:r w:rsidRPr="000F252A">
              <w:t xml:space="preserve">проведение не менее </w:t>
            </w:r>
            <w:r w:rsidR="00F0664E" w:rsidRPr="000F252A">
              <w:t>500</w:t>
            </w:r>
            <w:r w:rsidRPr="000F252A">
              <w:t xml:space="preserve"> тыс.исследований ежегодно:</w:t>
            </w:r>
          </w:p>
          <w:p w:rsidR="00B90F1F" w:rsidRPr="000F252A" w:rsidRDefault="00B90F1F" w:rsidP="0096683B">
            <w:pPr>
              <w:jc w:val="both"/>
            </w:pPr>
            <w:r w:rsidRPr="000F252A">
              <w:t xml:space="preserve">доля случаев рака ободочной кишки, выявленных </w:t>
            </w:r>
            <w:r w:rsidR="0096683B" w:rsidRPr="000F252A">
              <w:t xml:space="preserve">на </w:t>
            </w:r>
            <w:r w:rsidRPr="000F252A">
              <w:t xml:space="preserve">I стадии: </w:t>
            </w:r>
          </w:p>
          <w:p w:rsidR="00504510" w:rsidRPr="000F252A" w:rsidRDefault="00504510" w:rsidP="00504510">
            <w:pPr>
              <w:jc w:val="both"/>
            </w:pPr>
            <w:r w:rsidRPr="000F252A">
              <w:t xml:space="preserve">2026 г. – 31,6 процента; </w:t>
            </w:r>
          </w:p>
          <w:p w:rsidR="00504510" w:rsidRPr="000F252A" w:rsidRDefault="00504510" w:rsidP="00504510">
            <w:pPr>
              <w:jc w:val="both"/>
            </w:pPr>
            <w:r w:rsidRPr="000F252A">
              <w:t xml:space="preserve">2027 г. – 31,7 процента; </w:t>
            </w:r>
          </w:p>
          <w:p w:rsidR="00504510" w:rsidRPr="000F252A" w:rsidRDefault="00504510" w:rsidP="00504510">
            <w:pPr>
              <w:jc w:val="both"/>
            </w:pPr>
            <w:r w:rsidRPr="000F252A">
              <w:t xml:space="preserve">2028 г. – 31,7 процента; </w:t>
            </w:r>
          </w:p>
          <w:p w:rsidR="00504510" w:rsidRPr="000F252A" w:rsidRDefault="00504510" w:rsidP="00504510">
            <w:pPr>
              <w:jc w:val="both"/>
            </w:pPr>
            <w:r w:rsidRPr="000F252A">
              <w:t xml:space="preserve">2029 г. – 31,8 процента; </w:t>
            </w:r>
          </w:p>
          <w:p w:rsidR="00504510" w:rsidRPr="000F252A" w:rsidRDefault="00504510" w:rsidP="00504510">
            <w:pPr>
              <w:jc w:val="both"/>
            </w:pPr>
            <w:r w:rsidRPr="000F252A">
              <w:t xml:space="preserve">2030 г. – 31,8 процента </w:t>
            </w:r>
          </w:p>
          <w:p w:rsidR="00B90F1F" w:rsidRPr="000F252A" w:rsidRDefault="00504510" w:rsidP="0096683B">
            <w:pPr>
              <w:jc w:val="both"/>
            </w:pPr>
            <w:r w:rsidRPr="000F252A">
              <w:t xml:space="preserve"> </w:t>
            </w:r>
            <w:r w:rsidR="00B90F1F" w:rsidRPr="000F252A">
              <w:t>(</w:t>
            </w:r>
            <w:r w:rsidR="000E1D14" w:rsidRPr="000F252A">
              <w:t xml:space="preserve">факт </w:t>
            </w:r>
            <w:r w:rsidR="00B90F1F" w:rsidRPr="000F252A">
              <w:t>202</w:t>
            </w:r>
            <w:r w:rsidRPr="000F252A">
              <w:t>5</w:t>
            </w:r>
            <w:r w:rsidR="00B90F1F" w:rsidRPr="000F252A">
              <w:t xml:space="preserve"> г. – </w:t>
            </w:r>
            <w:r w:rsidRPr="000F252A">
              <w:t>31,6</w:t>
            </w:r>
            <w:r w:rsidR="00B90F1F" w:rsidRPr="000F252A">
              <w:t xml:space="preserve"> процента); </w:t>
            </w:r>
          </w:p>
          <w:p w:rsidR="00B90F1F" w:rsidRPr="000F252A" w:rsidRDefault="00B90F1F" w:rsidP="0096683B">
            <w:pPr>
              <w:jc w:val="both"/>
            </w:pPr>
            <w:r w:rsidRPr="000F252A">
              <w:t xml:space="preserve">доля случаев рака прямой кишки, </w:t>
            </w:r>
            <w:r w:rsidRPr="000F252A">
              <w:rPr>
                <w:rFonts w:eastAsia="Arial"/>
              </w:rPr>
              <w:t>ректосигмоидного соединения, ануса</w:t>
            </w:r>
            <w:r w:rsidR="0096683B" w:rsidRPr="000F252A">
              <w:rPr>
                <w:rFonts w:eastAsia="Arial"/>
              </w:rPr>
              <w:t xml:space="preserve">, </w:t>
            </w:r>
            <w:r w:rsidRPr="000F252A">
              <w:t xml:space="preserve">выявленных </w:t>
            </w:r>
            <w:r w:rsidR="0096683B" w:rsidRPr="000F252A">
              <w:t xml:space="preserve">на </w:t>
            </w:r>
            <w:r w:rsidRPr="000F252A">
              <w:t xml:space="preserve">I стадии: </w:t>
            </w:r>
          </w:p>
          <w:p w:rsidR="00753144" w:rsidRPr="000F252A" w:rsidRDefault="00753144" w:rsidP="00753144">
            <w:pPr>
              <w:jc w:val="both"/>
            </w:pPr>
            <w:r w:rsidRPr="000F252A">
              <w:t xml:space="preserve">2026 г. – 28,4 процента; </w:t>
            </w:r>
          </w:p>
          <w:p w:rsidR="00753144" w:rsidRPr="000F252A" w:rsidRDefault="00753144" w:rsidP="00753144">
            <w:pPr>
              <w:jc w:val="both"/>
            </w:pPr>
            <w:r w:rsidRPr="000F252A">
              <w:t xml:space="preserve">2027 г. – 28,5 процента; </w:t>
            </w:r>
          </w:p>
          <w:p w:rsidR="00753144" w:rsidRPr="000F252A" w:rsidRDefault="00753144" w:rsidP="00753144">
            <w:pPr>
              <w:jc w:val="both"/>
            </w:pPr>
            <w:r w:rsidRPr="000F252A">
              <w:t xml:space="preserve">2028 г. – 28,5 процента; </w:t>
            </w:r>
          </w:p>
          <w:p w:rsidR="00753144" w:rsidRPr="000F252A" w:rsidRDefault="00753144" w:rsidP="00753144">
            <w:pPr>
              <w:jc w:val="both"/>
            </w:pPr>
            <w:r w:rsidRPr="000F252A">
              <w:t xml:space="preserve">2029 г. – 28,6 процента; </w:t>
            </w:r>
          </w:p>
          <w:p w:rsidR="00753144" w:rsidRPr="000F252A" w:rsidRDefault="00753144" w:rsidP="00753144">
            <w:pPr>
              <w:jc w:val="both"/>
            </w:pPr>
            <w:r w:rsidRPr="000F252A">
              <w:t xml:space="preserve">2030 г. – 28,6 процента </w:t>
            </w:r>
          </w:p>
          <w:p w:rsidR="00B90F1F" w:rsidRPr="000F252A" w:rsidRDefault="00753144" w:rsidP="00753144">
            <w:pPr>
              <w:jc w:val="both"/>
            </w:pPr>
            <w:r w:rsidRPr="000F252A">
              <w:t>(факт 2025 г. – 28,4 процента)</w:t>
            </w:r>
          </w:p>
        </w:tc>
      </w:tr>
      <w:tr w:rsidR="00B90F1F" w:rsidRPr="000F252A" w:rsidTr="00AC795F">
        <w:trPr>
          <w:trHeight w:val="20"/>
        </w:trPr>
        <w:tc>
          <w:tcPr>
            <w:tcW w:w="704" w:type="dxa"/>
            <w:shd w:val="clear" w:color="auto" w:fill="auto"/>
            <w:hideMark/>
          </w:tcPr>
          <w:p w:rsidR="00B90F1F" w:rsidRPr="000F252A" w:rsidRDefault="00B90F1F" w:rsidP="0096683B">
            <w:pPr>
              <w:jc w:val="center"/>
            </w:pPr>
            <w:r w:rsidRPr="000F252A">
              <w:t>2.8.</w:t>
            </w:r>
          </w:p>
          <w:p w:rsidR="00B90F1F" w:rsidRPr="000F252A" w:rsidRDefault="00B90F1F" w:rsidP="0096683B">
            <w:pPr>
              <w:jc w:val="center"/>
            </w:pPr>
          </w:p>
        </w:tc>
        <w:tc>
          <w:tcPr>
            <w:tcW w:w="3686" w:type="dxa"/>
            <w:shd w:val="clear" w:color="auto" w:fill="auto"/>
            <w:hideMark/>
          </w:tcPr>
          <w:p w:rsidR="00B90F1F" w:rsidRPr="000F252A" w:rsidRDefault="00B90F1F" w:rsidP="0096683B">
            <w:pPr>
              <w:jc w:val="both"/>
            </w:pPr>
            <w:r w:rsidRPr="000F252A">
              <w:t>Проведение исследования ПСА иммунохемилюминисцентным методом (в рамках приказа Министерства здравоохранения Российской Федерации от</w:t>
            </w:r>
            <w:r w:rsidR="002B09DE" w:rsidRPr="000F252A">
              <w:t xml:space="preserve"> </w:t>
            </w:r>
            <w:r w:rsidR="00CA1300" w:rsidRPr="000F252A">
              <w:t xml:space="preserve">27 апреля </w:t>
            </w:r>
            <w:r w:rsidR="002B09DE" w:rsidRPr="000F252A">
              <w:br/>
            </w:r>
            <w:r w:rsidR="00CA1300" w:rsidRPr="000F252A">
              <w:t>2021 г.</w:t>
            </w:r>
            <w:r w:rsidR="00AA5E87">
              <w:t xml:space="preserve"> № 404н  «Об утверждении П</w:t>
            </w:r>
            <w:r w:rsidRPr="000F252A">
              <w:t>орядка проведения профилактического медицинского осмотра и диспансеризации определенных групп взрослого населения»)</w:t>
            </w:r>
          </w:p>
        </w:tc>
        <w:tc>
          <w:tcPr>
            <w:tcW w:w="1474" w:type="dxa"/>
            <w:shd w:val="clear" w:color="auto" w:fill="auto"/>
            <w:hideMark/>
          </w:tcPr>
          <w:p w:rsidR="00B90F1F" w:rsidRPr="000F252A" w:rsidRDefault="00B90F1F" w:rsidP="00600D9C">
            <w:pPr>
              <w:jc w:val="center"/>
            </w:pPr>
            <w:r w:rsidRPr="000F252A">
              <w:t>01.01.202</w:t>
            </w:r>
            <w:r w:rsidR="00600D9C" w:rsidRPr="000F252A">
              <w:t>6</w:t>
            </w:r>
          </w:p>
        </w:tc>
        <w:tc>
          <w:tcPr>
            <w:tcW w:w="1418" w:type="dxa"/>
            <w:shd w:val="clear" w:color="auto" w:fill="auto"/>
            <w:hideMark/>
          </w:tcPr>
          <w:p w:rsidR="00B90F1F" w:rsidRPr="000F252A" w:rsidRDefault="00B90F1F" w:rsidP="0096683B">
            <w:pPr>
              <w:jc w:val="center"/>
            </w:pPr>
            <w:r w:rsidRPr="000F252A">
              <w:t>31.12.2030</w:t>
            </w:r>
          </w:p>
        </w:tc>
        <w:tc>
          <w:tcPr>
            <w:tcW w:w="3912" w:type="dxa"/>
            <w:shd w:val="clear" w:color="auto" w:fill="auto"/>
            <w:hideMark/>
          </w:tcPr>
          <w:p w:rsidR="00B90F1F" w:rsidRPr="000F252A" w:rsidRDefault="00783F2D" w:rsidP="0096683B">
            <w:pPr>
              <w:jc w:val="both"/>
            </w:pPr>
            <w:r w:rsidRPr="000F252A">
              <w:t>г</w:t>
            </w:r>
            <w:r w:rsidR="00B90F1F" w:rsidRPr="000F252A">
              <w:t xml:space="preserve">лавный врач ГАУЗ </w:t>
            </w:r>
            <w:r w:rsidR="002B09DE" w:rsidRPr="000F252A">
              <w:rPr>
                <w:rFonts w:eastAsia="Arial"/>
              </w:rPr>
              <w:t>«РКОД МЗ РТ им.проф.</w:t>
            </w:r>
            <w:r w:rsidR="00B90F1F" w:rsidRPr="000F252A">
              <w:rPr>
                <w:rFonts w:eastAsia="Arial"/>
              </w:rPr>
              <w:t>М.З.Сигала»</w:t>
            </w:r>
            <w:r w:rsidR="00F128D1" w:rsidRPr="000F252A">
              <w:t xml:space="preserve"> </w:t>
            </w:r>
            <w:r w:rsidR="00F94EC2" w:rsidRPr="000F252A">
              <w:t>М.Ф.Мухамадеев</w:t>
            </w:r>
          </w:p>
        </w:tc>
        <w:tc>
          <w:tcPr>
            <w:tcW w:w="3969" w:type="dxa"/>
            <w:shd w:val="clear" w:color="auto" w:fill="auto"/>
            <w:hideMark/>
          </w:tcPr>
          <w:p w:rsidR="00B90F1F" w:rsidRPr="000F252A" w:rsidRDefault="00B90F1F" w:rsidP="0096683B">
            <w:pPr>
              <w:jc w:val="both"/>
            </w:pPr>
            <w:r w:rsidRPr="000F252A">
              <w:t>проведение не менее 15 тыс.исследований ежегодно;</w:t>
            </w:r>
          </w:p>
          <w:p w:rsidR="00B90F1F" w:rsidRPr="000F252A" w:rsidRDefault="00B90F1F" w:rsidP="0096683B">
            <w:pPr>
              <w:jc w:val="both"/>
            </w:pPr>
            <w:r w:rsidRPr="000F252A">
              <w:t>доля случаев рака простаты, выявленных на I стади</w:t>
            </w:r>
            <w:r w:rsidR="00600D9C" w:rsidRPr="000F252A">
              <w:t>и</w:t>
            </w:r>
            <w:r w:rsidRPr="000F252A">
              <w:t xml:space="preserve">: </w:t>
            </w:r>
          </w:p>
          <w:p w:rsidR="00B90F1F" w:rsidRPr="000F252A" w:rsidRDefault="00B90F1F" w:rsidP="0096683B">
            <w:pPr>
              <w:jc w:val="both"/>
            </w:pPr>
            <w:r w:rsidRPr="000F252A">
              <w:t xml:space="preserve">2026 г. – </w:t>
            </w:r>
            <w:r w:rsidR="00600D9C" w:rsidRPr="000F252A">
              <w:t>6,1</w:t>
            </w:r>
            <w:r w:rsidRPr="000F252A">
              <w:t xml:space="preserve"> процента</w:t>
            </w:r>
            <w:r w:rsidR="0096683B" w:rsidRPr="000F252A">
              <w:t>;</w:t>
            </w:r>
          </w:p>
          <w:p w:rsidR="00B90F1F" w:rsidRPr="000F252A" w:rsidRDefault="00B90F1F" w:rsidP="0096683B">
            <w:pPr>
              <w:jc w:val="both"/>
            </w:pPr>
            <w:r w:rsidRPr="000F252A">
              <w:t xml:space="preserve">2027 г. – </w:t>
            </w:r>
            <w:r w:rsidR="00600D9C" w:rsidRPr="000F252A">
              <w:t>6,1</w:t>
            </w:r>
            <w:r w:rsidRPr="000F252A">
              <w:t xml:space="preserve"> процента</w:t>
            </w:r>
            <w:r w:rsidR="0096683B" w:rsidRPr="000F252A">
              <w:t>;</w:t>
            </w:r>
          </w:p>
          <w:p w:rsidR="00B90F1F" w:rsidRPr="000F252A" w:rsidRDefault="00B90F1F" w:rsidP="0096683B">
            <w:pPr>
              <w:jc w:val="both"/>
            </w:pPr>
            <w:r w:rsidRPr="000F252A">
              <w:t>2028 г. – 6,2 процента</w:t>
            </w:r>
            <w:r w:rsidR="0096683B" w:rsidRPr="000F252A">
              <w:t>;</w:t>
            </w:r>
          </w:p>
          <w:p w:rsidR="00B90F1F" w:rsidRPr="000F252A" w:rsidRDefault="00B90F1F" w:rsidP="0096683B">
            <w:pPr>
              <w:jc w:val="both"/>
            </w:pPr>
            <w:r w:rsidRPr="000F252A">
              <w:t>2029 г. – 6,</w:t>
            </w:r>
            <w:r w:rsidR="00600D9C" w:rsidRPr="000F252A">
              <w:t>2</w:t>
            </w:r>
            <w:r w:rsidRPr="000F252A">
              <w:t xml:space="preserve"> процента</w:t>
            </w:r>
            <w:r w:rsidR="0096683B" w:rsidRPr="000F252A">
              <w:t>;</w:t>
            </w:r>
          </w:p>
          <w:p w:rsidR="00B90F1F" w:rsidRPr="000F252A" w:rsidRDefault="00B90F1F" w:rsidP="0096683B">
            <w:pPr>
              <w:jc w:val="both"/>
            </w:pPr>
            <w:r w:rsidRPr="000F252A">
              <w:t>2030 г. – 6,</w:t>
            </w:r>
            <w:r w:rsidR="00600D9C" w:rsidRPr="000F252A">
              <w:t>3</w:t>
            </w:r>
            <w:r w:rsidRPr="000F252A">
              <w:t xml:space="preserve"> процента</w:t>
            </w:r>
          </w:p>
          <w:p w:rsidR="00B90F1F" w:rsidRPr="000F252A" w:rsidRDefault="00E11752" w:rsidP="00600D9C">
            <w:pPr>
              <w:jc w:val="both"/>
            </w:pPr>
            <w:r w:rsidRPr="000F252A">
              <w:t>(</w:t>
            </w:r>
            <w:r w:rsidR="00AA2503" w:rsidRPr="000F252A">
              <w:t xml:space="preserve">факт </w:t>
            </w:r>
            <w:r w:rsidRPr="000F252A">
              <w:t>202</w:t>
            </w:r>
            <w:r w:rsidR="00600D9C" w:rsidRPr="000F252A">
              <w:t>5</w:t>
            </w:r>
            <w:r w:rsidRPr="000F252A">
              <w:t xml:space="preserve">г. – </w:t>
            </w:r>
            <w:r w:rsidR="00600D9C" w:rsidRPr="000F252A">
              <w:t>6,1</w:t>
            </w:r>
            <w:r w:rsidRPr="000F252A">
              <w:t xml:space="preserve"> процента)</w:t>
            </w:r>
          </w:p>
        </w:tc>
      </w:tr>
      <w:tr w:rsidR="00B90F1F" w:rsidRPr="000F252A" w:rsidTr="00AC795F">
        <w:trPr>
          <w:trHeight w:val="20"/>
        </w:trPr>
        <w:tc>
          <w:tcPr>
            <w:tcW w:w="704" w:type="dxa"/>
            <w:shd w:val="clear" w:color="auto" w:fill="auto"/>
            <w:hideMark/>
          </w:tcPr>
          <w:p w:rsidR="00B90F1F" w:rsidRPr="000F252A" w:rsidRDefault="00B90F1F" w:rsidP="00E6713B">
            <w:pPr>
              <w:spacing w:line="233" w:lineRule="auto"/>
              <w:jc w:val="center"/>
            </w:pPr>
            <w:r w:rsidRPr="000F252A">
              <w:t>2.9.</w:t>
            </w:r>
          </w:p>
        </w:tc>
        <w:tc>
          <w:tcPr>
            <w:tcW w:w="3686" w:type="dxa"/>
            <w:shd w:val="clear" w:color="auto" w:fill="auto"/>
            <w:hideMark/>
          </w:tcPr>
          <w:p w:rsidR="00B90F1F" w:rsidRPr="000F252A" w:rsidRDefault="00B90F1F" w:rsidP="00E6713B">
            <w:pPr>
              <w:spacing w:line="233" w:lineRule="auto"/>
              <w:jc w:val="both"/>
            </w:pPr>
            <w:r w:rsidRPr="000F252A">
              <w:t>Контроль методологии проведения онкоскринингов в рамках профилактических медицинских</w:t>
            </w:r>
            <w:r w:rsidR="002B09DE" w:rsidRPr="000F252A">
              <w:br/>
              <w:t>осмотров и диспансеризации опре-</w:t>
            </w:r>
            <w:r w:rsidR="002B09DE" w:rsidRPr="000F252A">
              <w:br/>
            </w:r>
            <w:r w:rsidRPr="000F252A">
              <w:t>деленных групп взрослого населения</w:t>
            </w:r>
          </w:p>
        </w:tc>
        <w:tc>
          <w:tcPr>
            <w:tcW w:w="1474" w:type="dxa"/>
            <w:shd w:val="clear" w:color="auto" w:fill="auto"/>
            <w:hideMark/>
          </w:tcPr>
          <w:p w:rsidR="00B90F1F" w:rsidRPr="000F252A" w:rsidRDefault="00B90F1F" w:rsidP="00833415">
            <w:pPr>
              <w:spacing w:line="233" w:lineRule="auto"/>
              <w:jc w:val="center"/>
            </w:pPr>
            <w:r w:rsidRPr="000F252A">
              <w:t>01.01.202</w:t>
            </w:r>
            <w:r w:rsidR="00833415" w:rsidRPr="000F252A">
              <w:t>6</w:t>
            </w:r>
          </w:p>
        </w:tc>
        <w:tc>
          <w:tcPr>
            <w:tcW w:w="1418" w:type="dxa"/>
            <w:shd w:val="clear" w:color="auto" w:fill="auto"/>
            <w:hideMark/>
          </w:tcPr>
          <w:p w:rsidR="00B90F1F" w:rsidRPr="000F252A" w:rsidRDefault="00B90F1F" w:rsidP="00E6713B">
            <w:pPr>
              <w:spacing w:line="233" w:lineRule="auto"/>
              <w:jc w:val="center"/>
            </w:pPr>
            <w:r w:rsidRPr="000F252A">
              <w:t>31.12.2030</w:t>
            </w:r>
          </w:p>
        </w:tc>
        <w:tc>
          <w:tcPr>
            <w:tcW w:w="3912" w:type="dxa"/>
            <w:shd w:val="clear" w:color="auto" w:fill="auto"/>
            <w:hideMark/>
          </w:tcPr>
          <w:p w:rsidR="00B90F1F" w:rsidRPr="000F252A" w:rsidRDefault="00783F2D" w:rsidP="00E6713B">
            <w:pPr>
              <w:spacing w:line="233" w:lineRule="auto"/>
              <w:jc w:val="both"/>
            </w:pPr>
            <w:r w:rsidRPr="000F252A">
              <w:t>г</w:t>
            </w:r>
            <w:r w:rsidR="00B90F1F" w:rsidRPr="000F252A">
              <w:t xml:space="preserve">лавный врач ГАУЗ </w:t>
            </w:r>
            <w:r w:rsidRPr="000F252A">
              <w:rPr>
                <w:rFonts w:eastAsia="Arial"/>
              </w:rPr>
              <w:t>«РКОД МЗ РТ им.проф.</w:t>
            </w:r>
            <w:r w:rsidR="00B90F1F" w:rsidRPr="000F252A">
              <w:rPr>
                <w:rFonts w:eastAsia="Arial"/>
              </w:rPr>
              <w:t>М.З.Сигала»</w:t>
            </w:r>
            <w:r w:rsidR="00F128D1" w:rsidRPr="000F252A">
              <w:t xml:space="preserve"> </w:t>
            </w:r>
            <w:r w:rsidR="00F94EC2" w:rsidRPr="000F252A">
              <w:t>М.Ф.Мухамадеев</w:t>
            </w:r>
            <w:r w:rsidR="00B90F1F" w:rsidRPr="000F252A">
              <w:t xml:space="preserve">, руководители медицинских организаций </w:t>
            </w:r>
            <w:r w:rsidR="001C02C5" w:rsidRPr="000F252A">
              <w:t>Республики Татарстан</w:t>
            </w:r>
          </w:p>
        </w:tc>
        <w:tc>
          <w:tcPr>
            <w:tcW w:w="3969" w:type="dxa"/>
            <w:shd w:val="clear" w:color="auto" w:fill="auto"/>
            <w:hideMark/>
          </w:tcPr>
          <w:p w:rsidR="00B90F1F" w:rsidRPr="000F252A" w:rsidRDefault="00B90F1F" w:rsidP="00E6713B">
            <w:pPr>
              <w:spacing w:line="233" w:lineRule="auto"/>
              <w:jc w:val="both"/>
            </w:pPr>
            <w:r w:rsidRPr="000F252A">
              <w:t>проведение ежегодно в рамках диспансеризации определенных групп взрослого населения:</w:t>
            </w:r>
          </w:p>
          <w:p w:rsidR="00B90F1F" w:rsidRPr="000F252A" w:rsidRDefault="00B90F1F" w:rsidP="00E6713B">
            <w:pPr>
              <w:spacing w:line="233" w:lineRule="auto"/>
              <w:jc w:val="both"/>
            </w:pPr>
            <w:r w:rsidRPr="000F252A">
              <w:t xml:space="preserve">цифровой маммографии – не менее </w:t>
            </w:r>
            <w:r w:rsidR="002B09DE" w:rsidRPr="000F252A">
              <w:br/>
            </w:r>
            <w:r w:rsidRPr="000F252A">
              <w:t>60,0 процента случаев от</w:t>
            </w:r>
            <w:r w:rsidR="005D4504" w:rsidRPr="000F252A">
              <w:t xml:space="preserve"> числа проведенных исследований;</w:t>
            </w:r>
          </w:p>
          <w:p w:rsidR="00B90F1F" w:rsidRPr="000F252A" w:rsidRDefault="00B90F1F" w:rsidP="00E6713B">
            <w:pPr>
              <w:spacing w:line="233" w:lineRule="auto"/>
              <w:jc w:val="both"/>
            </w:pPr>
            <w:r w:rsidRPr="000F252A">
              <w:t xml:space="preserve">жидкостной цитологии – не менее </w:t>
            </w:r>
            <w:r w:rsidR="002B09DE" w:rsidRPr="000F252A">
              <w:br/>
            </w:r>
            <w:r w:rsidRPr="000F252A">
              <w:t>20,0 процента случаев от</w:t>
            </w:r>
            <w:r w:rsidR="005D4504" w:rsidRPr="000F252A">
              <w:t xml:space="preserve"> числа проведенных исследований;</w:t>
            </w:r>
          </w:p>
          <w:p w:rsidR="00B90F1F" w:rsidRPr="000F252A" w:rsidRDefault="00B90F1F" w:rsidP="00E6713B">
            <w:pPr>
              <w:spacing w:line="233" w:lineRule="auto"/>
              <w:jc w:val="both"/>
            </w:pPr>
            <w:r w:rsidRPr="000F252A">
              <w:t>анализа кала на скрытую кровь иммунотурбидиметрическим методом – не менее 90,0 процента случаев от числа проведенных исследований</w:t>
            </w:r>
            <w:r w:rsidR="005D4504" w:rsidRPr="000F252A">
              <w:t>;</w:t>
            </w:r>
            <w:r w:rsidRPr="000F252A">
              <w:t xml:space="preserve"> </w:t>
            </w:r>
          </w:p>
          <w:p w:rsidR="00B90F1F" w:rsidRPr="000F252A" w:rsidRDefault="00B90F1F" w:rsidP="00E6713B">
            <w:pPr>
              <w:spacing w:line="233" w:lineRule="auto"/>
              <w:jc w:val="both"/>
            </w:pPr>
            <w:r w:rsidRPr="000F252A">
              <w:t xml:space="preserve">определения </w:t>
            </w:r>
            <w:r w:rsidR="002912E8" w:rsidRPr="000F252A">
              <w:t xml:space="preserve">простатического специфического антигена </w:t>
            </w:r>
            <w:r w:rsidRPr="000F252A">
              <w:t xml:space="preserve">иммунохемилюминисцентным методом – не менее </w:t>
            </w:r>
            <w:r w:rsidR="005D4504" w:rsidRPr="000F252A">
              <w:br/>
            </w:r>
            <w:r w:rsidRPr="000F252A">
              <w:t>90</w:t>
            </w:r>
            <w:r w:rsidR="005D4504" w:rsidRPr="000F252A">
              <w:t>,0</w:t>
            </w:r>
            <w:r w:rsidRPr="000F252A">
              <w:t xml:space="preserve"> процент</w:t>
            </w:r>
            <w:r w:rsidR="005D4504" w:rsidRPr="000F252A">
              <w:t>а</w:t>
            </w:r>
            <w:r w:rsidRPr="000F252A">
              <w:t xml:space="preserve"> случаев от числа проведенных исследований</w:t>
            </w:r>
          </w:p>
        </w:tc>
      </w:tr>
      <w:tr w:rsidR="00B90F1F" w:rsidRPr="000F252A" w:rsidTr="00AC795F">
        <w:trPr>
          <w:trHeight w:val="20"/>
        </w:trPr>
        <w:tc>
          <w:tcPr>
            <w:tcW w:w="704" w:type="dxa"/>
            <w:shd w:val="clear" w:color="auto" w:fill="auto"/>
          </w:tcPr>
          <w:p w:rsidR="00B90F1F" w:rsidRPr="000F252A" w:rsidRDefault="00B90F1F" w:rsidP="00E6713B">
            <w:pPr>
              <w:spacing w:line="233" w:lineRule="auto"/>
              <w:jc w:val="center"/>
            </w:pPr>
            <w:r w:rsidRPr="000F252A">
              <w:t>2.10.</w:t>
            </w:r>
          </w:p>
        </w:tc>
        <w:tc>
          <w:tcPr>
            <w:tcW w:w="3686" w:type="dxa"/>
            <w:shd w:val="clear" w:color="auto" w:fill="auto"/>
          </w:tcPr>
          <w:p w:rsidR="00B90F1F" w:rsidRPr="000F252A" w:rsidRDefault="00B90F1F" w:rsidP="00E6713B">
            <w:pPr>
              <w:spacing w:line="233" w:lineRule="auto"/>
              <w:jc w:val="both"/>
            </w:pPr>
            <w:r w:rsidRPr="000F252A">
              <w:t>Мониторинг исполнения онкологического компонента диспансеризации определенных групп взрослого населения Республики Татарстан.</w:t>
            </w:r>
          </w:p>
          <w:p w:rsidR="00B90F1F" w:rsidRPr="000F252A" w:rsidRDefault="00B90F1F" w:rsidP="00E6713B">
            <w:pPr>
              <w:spacing w:line="233" w:lineRule="auto"/>
              <w:jc w:val="both"/>
            </w:pPr>
            <w:r w:rsidRPr="000F252A">
              <w:t xml:space="preserve">Мониторинг отклонений после </w:t>
            </w:r>
            <w:r w:rsidR="005D4504" w:rsidRPr="000F252A">
              <w:br/>
              <w:t>1</w:t>
            </w:r>
            <w:r w:rsidRPr="000F252A">
              <w:t xml:space="preserve"> этапа </w:t>
            </w:r>
            <w:r w:rsidR="002912E8" w:rsidRPr="000F252A">
              <w:t>диспансеризации определенных групп взрослого населения</w:t>
            </w:r>
            <w:r w:rsidRPr="000F252A">
              <w:t xml:space="preserve">, исполнение 2 этапа </w:t>
            </w:r>
            <w:r w:rsidR="002912E8" w:rsidRPr="000F252A">
              <w:t xml:space="preserve">диспансеризации определенных групп взрослого населения </w:t>
            </w:r>
          </w:p>
        </w:tc>
        <w:tc>
          <w:tcPr>
            <w:tcW w:w="1474" w:type="dxa"/>
            <w:shd w:val="clear" w:color="auto" w:fill="auto"/>
          </w:tcPr>
          <w:p w:rsidR="00B90F1F" w:rsidRPr="000F252A" w:rsidRDefault="00B90F1F" w:rsidP="00833415">
            <w:pPr>
              <w:spacing w:line="233" w:lineRule="auto"/>
              <w:jc w:val="center"/>
            </w:pPr>
            <w:r w:rsidRPr="000F252A">
              <w:t>01.01.202</w:t>
            </w:r>
            <w:r w:rsidR="00833415" w:rsidRPr="000F252A">
              <w:t>6</w:t>
            </w:r>
          </w:p>
        </w:tc>
        <w:tc>
          <w:tcPr>
            <w:tcW w:w="1418" w:type="dxa"/>
            <w:shd w:val="clear" w:color="auto" w:fill="auto"/>
          </w:tcPr>
          <w:p w:rsidR="00B90F1F" w:rsidRPr="000F252A" w:rsidRDefault="00B90F1F" w:rsidP="00E6713B">
            <w:pPr>
              <w:spacing w:line="233" w:lineRule="auto"/>
              <w:jc w:val="center"/>
            </w:pPr>
            <w:r w:rsidRPr="000F252A">
              <w:t>31.12.2030</w:t>
            </w:r>
          </w:p>
        </w:tc>
        <w:tc>
          <w:tcPr>
            <w:tcW w:w="3912" w:type="dxa"/>
            <w:shd w:val="clear" w:color="auto" w:fill="auto"/>
          </w:tcPr>
          <w:p w:rsidR="00B90F1F" w:rsidRPr="000F252A" w:rsidRDefault="00C15E85" w:rsidP="00E6713B">
            <w:pPr>
              <w:spacing w:line="233" w:lineRule="auto"/>
              <w:jc w:val="both"/>
            </w:pPr>
            <w:r w:rsidRPr="000F252A">
              <w:t xml:space="preserve">министр здравоохранения </w:t>
            </w:r>
            <w:r w:rsidR="00B90F1F" w:rsidRPr="000F252A">
              <w:t>Республики Татарстан А.Р.Абашев, главный внештатный специалист-онколог Министерства здравоохранения Республики Татарстан Э.В.Нагуманов, руково</w:t>
            </w:r>
            <w:r w:rsidR="001C02C5" w:rsidRPr="000F252A">
              <w:t>дители медицинских организаций Республики Татарстан</w:t>
            </w:r>
            <w:r w:rsidR="00B90F1F" w:rsidRPr="000F252A">
              <w:t xml:space="preserve"> </w:t>
            </w:r>
          </w:p>
        </w:tc>
        <w:tc>
          <w:tcPr>
            <w:tcW w:w="3969" w:type="dxa"/>
            <w:shd w:val="clear" w:color="auto" w:fill="auto"/>
          </w:tcPr>
          <w:p w:rsidR="00B90F1F" w:rsidRPr="000F252A" w:rsidRDefault="00B90F1F" w:rsidP="00E6713B">
            <w:pPr>
              <w:spacing w:line="233" w:lineRule="auto"/>
              <w:jc w:val="both"/>
            </w:pPr>
            <w:r w:rsidRPr="000F252A">
              <w:t xml:space="preserve">выполнение плана онкологического компонента </w:t>
            </w:r>
            <w:r w:rsidR="002912E8" w:rsidRPr="000F252A">
              <w:t xml:space="preserve">диспансеризации определенных групп взрослого населения </w:t>
            </w:r>
            <w:r w:rsidRPr="000F252A">
              <w:t>ежегодно</w:t>
            </w:r>
          </w:p>
          <w:p w:rsidR="00B90F1F" w:rsidRPr="000F252A" w:rsidRDefault="00B90F1F" w:rsidP="00E6713B">
            <w:pPr>
              <w:spacing w:line="233" w:lineRule="auto"/>
              <w:jc w:val="both"/>
            </w:pPr>
          </w:p>
        </w:tc>
      </w:tr>
      <w:tr w:rsidR="00B90F1F" w:rsidRPr="000F252A" w:rsidTr="00AC795F">
        <w:trPr>
          <w:trHeight w:val="20"/>
        </w:trPr>
        <w:tc>
          <w:tcPr>
            <w:tcW w:w="704" w:type="dxa"/>
            <w:shd w:val="clear" w:color="auto" w:fill="auto"/>
          </w:tcPr>
          <w:p w:rsidR="00B90F1F" w:rsidRPr="000F252A" w:rsidRDefault="00B90F1F" w:rsidP="00E6713B">
            <w:pPr>
              <w:spacing w:line="233" w:lineRule="auto"/>
              <w:jc w:val="center"/>
            </w:pPr>
            <w:r w:rsidRPr="000F252A">
              <w:t>2.11.</w:t>
            </w:r>
          </w:p>
        </w:tc>
        <w:tc>
          <w:tcPr>
            <w:tcW w:w="3686" w:type="dxa"/>
            <w:shd w:val="clear" w:color="auto" w:fill="auto"/>
          </w:tcPr>
          <w:p w:rsidR="00E6713B" w:rsidRPr="000F252A" w:rsidRDefault="00B90F1F" w:rsidP="00E6713B">
            <w:pPr>
              <w:spacing w:line="233" w:lineRule="auto"/>
              <w:jc w:val="both"/>
            </w:pPr>
            <w:r w:rsidRPr="000F252A">
              <w:t>Обеспечение функционирования выездов мобильных медицинских бригад для оказания гражданам, проживающим в населенных пунк</w:t>
            </w:r>
            <w:r w:rsidR="00E6713B" w:rsidRPr="000F252A">
              <w:t>-</w:t>
            </w:r>
          </w:p>
          <w:p w:rsidR="00B90F1F" w:rsidRPr="000F252A" w:rsidRDefault="00E6713B" w:rsidP="00E6713B">
            <w:pPr>
              <w:spacing w:line="233" w:lineRule="auto"/>
              <w:jc w:val="both"/>
            </w:pPr>
            <w:r w:rsidRPr="000F252A">
              <w:t>тах, расположенных на значитель-</w:t>
            </w:r>
            <w:r w:rsidRPr="000F252A">
              <w:br/>
            </w:r>
            <w:r w:rsidR="00B90F1F" w:rsidRPr="000F252A">
              <w:t>ном удалении от медицинской организации, медицинской помощи, в том числе проведения мероприятий вторичной профилактики онкологических заболеваний</w:t>
            </w:r>
          </w:p>
        </w:tc>
        <w:tc>
          <w:tcPr>
            <w:tcW w:w="1474" w:type="dxa"/>
            <w:shd w:val="clear" w:color="auto" w:fill="auto"/>
          </w:tcPr>
          <w:p w:rsidR="00B90F1F" w:rsidRPr="000F252A" w:rsidRDefault="00B90F1F" w:rsidP="00833415">
            <w:pPr>
              <w:spacing w:line="233" w:lineRule="auto"/>
              <w:jc w:val="center"/>
            </w:pPr>
            <w:r w:rsidRPr="000F252A">
              <w:t>01.01.202</w:t>
            </w:r>
            <w:r w:rsidR="00833415" w:rsidRPr="000F252A">
              <w:t>6</w:t>
            </w:r>
          </w:p>
        </w:tc>
        <w:tc>
          <w:tcPr>
            <w:tcW w:w="1418" w:type="dxa"/>
            <w:shd w:val="clear" w:color="auto" w:fill="auto"/>
          </w:tcPr>
          <w:p w:rsidR="00B90F1F" w:rsidRPr="000F252A" w:rsidRDefault="00B90F1F" w:rsidP="00E6713B">
            <w:pPr>
              <w:spacing w:line="233" w:lineRule="auto"/>
              <w:jc w:val="center"/>
            </w:pPr>
            <w:r w:rsidRPr="000F252A">
              <w:t>31.12.2030</w:t>
            </w:r>
          </w:p>
        </w:tc>
        <w:tc>
          <w:tcPr>
            <w:tcW w:w="3912" w:type="dxa"/>
            <w:shd w:val="clear" w:color="auto" w:fill="auto"/>
          </w:tcPr>
          <w:p w:rsidR="00B90F1F" w:rsidRPr="000F252A" w:rsidRDefault="00C15E85" w:rsidP="00E6713B">
            <w:pPr>
              <w:spacing w:line="233" w:lineRule="auto"/>
              <w:jc w:val="both"/>
            </w:pPr>
            <w:r w:rsidRPr="000F252A">
              <w:t xml:space="preserve">министр здравоохранения </w:t>
            </w:r>
            <w:r w:rsidR="00B90F1F" w:rsidRPr="000F252A">
              <w:t>Республики Татарстан А.Р.Абашев, руководители медицинских организаций</w:t>
            </w:r>
            <w:r w:rsidR="005D4504" w:rsidRPr="000F252A">
              <w:t xml:space="preserve"> Республики Татарстан  </w:t>
            </w:r>
            <w:r w:rsidR="00B90F1F" w:rsidRPr="000F252A">
              <w:t xml:space="preserve"> </w:t>
            </w:r>
          </w:p>
        </w:tc>
        <w:tc>
          <w:tcPr>
            <w:tcW w:w="3969" w:type="dxa"/>
            <w:shd w:val="clear" w:color="auto" w:fill="auto"/>
          </w:tcPr>
          <w:p w:rsidR="00071FBB" w:rsidRPr="000F252A" w:rsidRDefault="00B90F1F" w:rsidP="00071FBB">
            <w:pPr>
              <w:spacing w:line="233" w:lineRule="auto"/>
              <w:jc w:val="both"/>
            </w:pPr>
            <w:r w:rsidRPr="000F252A">
              <w:t xml:space="preserve">ежегодное количество </w:t>
            </w:r>
            <w:r w:rsidR="00071FBB" w:rsidRPr="000F252A">
              <w:t xml:space="preserve">лиц, профилактический медицинский осмотр или первый этап диспансеризация которых были проведены мобильными медицинскими бригадами не менее </w:t>
            </w:r>
            <w:r w:rsidR="006F6B78">
              <w:br/>
            </w:r>
            <w:r w:rsidR="00071FBB" w:rsidRPr="000F252A">
              <w:t xml:space="preserve">9 275 </w:t>
            </w:r>
            <w:r w:rsidR="006F6B78">
              <w:t>человек</w:t>
            </w:r>
          </w:p>
          <w:p w:rsidR="00B90F1F" w:rsidRPr="000F252A" w:rsidRDefault="00B90F1F" w:rsidP="00E6713B">
            <w:pPr>
              <w:spacing w:line="233" w:lineRule="auto"/>
              <w:jc w:val="both"/>
            </w:pPr>
            <w:r w:rsidRPr="000F252A">
              <w:t>(</w:t>
            </w:r>
            <w:r w:rsidR="00556B19" w:rsidRPr="000F252A">
              <w:t xml:space="preserve">факт </w:t>
            </w:r>
            <w:r w:rsidRPr="000F252A">
              <w:t>202</w:t>
            </w:r>
            <w:r w:rsidR="00071FBB" w:rsidRPr="000F252A">
              <w:t>5</w:t>
            </w:r>
            <w:r w:rsidRPr="000F252A">
              <w:t xml:space="preserve"> г. – </w:t>
            </w:r>
            <w:r w:rsidR="00071FBB" w:rsidRPr="000F252A">
              <w:t>9 275 чел.</w:t>
            </w:r>
            <w:r w:rsidRPr="000F252A">
              <w:t>)</w:t>
            </w:r>
          </w:p>
          <w:p w:rsidR="00B90F1F" w:rsidRPr="000F252A" w:rsidRDefault="00B90F1F" w:rsidP="00E6713B">
            <w:pPr>
              <w:spacing w:line="233" w:lineRule="auto"/>
              <w:jc w:val="both"/>
            </w:pPr>
          </w:p>
        </w:tc>
      </w:tr>
      <w:tr w:rsidR="00B90F1F" w:rsidRPr="000F252A" w:rsidTr="00AC795F">
        <w:trPr>
          <w:trHeight w:val="20"/>
        </w:trPr>
        <w:tc>
          <w:tcPr>
            <w:tcW w:w="704" w:type="dxa"/>
            <w:shd w:val="clear" w:color="auto" w:fill="auto"/>
          </w:tcPr>
          <w:p w:rsidR="00B90F1F" w:rsidRPr="000F252A" w:rsidRDefault="00B90F1F" w:rsidP="001B24A2">
            <w:pPr>
              <w:spacing w:line="233" w:lineRule="auto"/>
              <w:jc w:val="center"/>
            </w:pPr>
            <w:r w:rsidRPr="000F252A">
              <w:t>2.12.</w:t>
            </w:r>
          </w:p>
        </w:tc>
        <w:tc>
          <w:tcPr>
            <w:tcW w:w="3686" w:type="dxa"/>
            <w:shd w:val="clear" w:color="auto" w:fill="auto"/>
          </w:tcPr>
          <w:p w:rsidR="00B90F1F" w:rsidRPr="000F252A" w:rsidRDefault="00B90F1F" w:rsidP="001B24A2">
            <w:pPr>
              <w:spacing w:line="233" w:lineRule="auto"/>
              <w:jc w:val="both"/>
            </w:pPr>
            <w:r w:rsidRPr="000F252A">
              <w:t>Проведение скрининга на выявление рака легких среди взрослого населения группы риска</w:t>
            </w:r>
          </w:p>
        </w:tc>
        <w:tc>
          <w:tcPr>
            <w:tcW w:w="1474" w:type="dxa"/>
          </w:tcPr>
          <w:p w:rsidR="00B90F1F" w:rsidRPr="000F252A" w:rsidRDefault="00B90F1F" w:rsidP="00071FBB">
            <w:pPr>
              <w:spacing w:line="233" w:lineRule="auto"/>
              <w:jc w:val="center"/>
            </w:pPr>
            <w:r w:rsidRPr="000F252A">
              <w:t>09.01.202</w:t>
            </w:r>
            <w:r w:rsidR="00071FBB" w:rsidRPr="000F252A">
              <w:t>6</w:t>
            </w:r>
          </w:p>
        </w:tc>
        <w:tc>
          <w:tcPr>
            <w:tcW w:w="1418" w:type="dxa"/>
            <w:shd w:val="clear" w:color="auto" w:fill="auto"/>
          </w:tcPr>
          <w:p w:rsidR="00B90F1F" w:rsidRPr="000F252A" w:rsidRDefault="00B90F1F" w:rsidP="001B24A2">
            <w:pPr>
              <w:spacing w:line="233" w:lineRule="auto"/>
              <w:jc w:val="center"/>
            </w:pPr>
            <w:r w:rsidRPr="000F252A">
              <w:t>31.12.2030</w:t>
            </w:r>
          </w:p>
        </w:tc>
        <w:tc>
          <w:tcPr>
            <w:tcW w:w="3912" w:type="dxa"/>
            <w:shd w:val="clear" w:color="auto" w:fill="auto"/>
          </w:tcPr>
          <w:p w:rsidR="00B90F1F" w:rsidRPr="000F252A" w:rsidRDefault="00783F2D" w:rsidP="001B24A2">
            <w:pPr>
              <w:spacing w:line="233" w:lineRule="auto"/>
              <w:jc w:val="both"/>
            </w:pPr>
            <w:r w:rsidRPr="000F252A">
              <w:t>г</w:t>
            </w:r>
            <w:r w:rsidR="00B90F1F" w:rsidRPr="000F252A">
              <w:t xml:space="preserve">лавный врач ГАУЗ </w:t>
            </w:r>
            <w:r w:rsidR="00BC096D" w:rsidRPr="000F252A">
              <w:rPr>
                <w:rFonts w:eastAsia="Arial"/>
              </w:rPr>
              <w:t>«РКОД МЗ РТ им.проф.</w:t>
            </w:r>
            <w:r w:rsidR="00B90F1F" w:rsidRPr="000F252A">
              <w:rPr>
                <w:rFonts w:eastAsia="Arial"/>
              </w:rPr>
              <w:t>М.З.Сигала»</w:t>
            </w:r>
            <w:r w:rsidR="00F128D1" w:rsidRPr="000F252A">
              <w:t xml:space="preserve"> </w:t>
            </w:r>
            <w:r w:rsidR="00F94EC2" w:rsidRPr="000F252A">
              <w:t>М.Ф.Мухамадеев</w:t>
            </w:r>
          </w:p>
        </w:tc>
        <w:tc>
          <w:tcPr>
            <w:tcW w:w="3969" w:type="dxa"/>
            <w:shd w:val="clear" w:color="auto" w:fill="auto"/>
          </w:tcPr>
          <w:p w:rsidR="00B90F1F" w:rsidRPr="000F252A" w:rsidRDefault="00B90F1F" w:rsidP="001B24A2">
            <w:pPr>
              <w:spacing w:line="233" w:lineRule="auto"/>
              <w:jc w:val="both"/>
            </w:pPr>
            <w:r w:rsidRPr="000F252A">
              <w:t xml:space="preserve">ежегодное проведение профилактического обследования органов грудной клетки с применением низкодозной компьютерной томографии в целях ранней выявляемости онкологических заболеваний органов дыхания у контингента, входящего в группу риска, не менее 1 000 пациентов </w:t>
            </w:r>
          </w:p>
        </w:tc>
      </w:tr>
      <w:tr w:rsidR="00B90F1F" w:rsidRPr="000F252A" w:rsidTr="00AC795F">
        <w:trPr>
          <w:trHeight w:val="20"/>
        </w:trPr>
        <w:tc>
          <w:tcPr>
            <w:tcW w:w="704" w:type="dxa"/>
            <w:shd w:val="clear" w:color="auto" w:fill="auto"/>
          </w:tcPr>
          <w:p w:rsidR="00B90F1F" w:rsidRPr="000F252A" w:rsidRDefault="00B90F1F" w:rsidP="001B24A2">
            <w:pPr>
              <w:spacing w:line="233" w:lineRule="auto"/>
              <w:jc w:val="center"/>
            </w:pPr>
            <w:r w:rsidRPr="000F252A">
              <w:t>2.13.</w:t>
            </w:r>
          </w:p>
        </w:tc>
        <w:tc>
          <w:tcPr>
            <w:tcW w:w="3686" w:type="dxa"/>
            <w:shd w:val="clear" w:color="auto" w:fill="auto"/>
          </w:tcPr>
          <w:p w:rsidR="00B90F1F" w:rsidRPr="000F252A" w:rsidRDefault="00B90F1F" w:rsidP="001B24A2">
            <w:pPr>
              <w:spacing w:line="233" w:lineRule="auto"/>
              <w:jc w:val="both"/>
            </w:pPr>
            <w:r w:rsidRPr="000F252A">
              <w:t>Обеспечение функционирования смотровых кабинетов медицинских организаций, оказывающих первичную медико-санитарную помощь, в соответствии с Положением о смотровом кабинете медицинской организации, оказывающей амбулаторно-поликлиническую помощь (утверждено приказом Министерства здравоохранения Республики Татарстан от 07</w:t>
            </w:r>
            <w:r w:rsidR="00E11752" w:rsidRPr="000F252A">
              <w:t>.</w:t>
            </w:r>
            <w:r w:rsidRPr="000F252A">
              <w:t>08</w:t>
            </w:r>
            <w:r w:rsidR="00E11752" w:rsidRPr="000F252A">
              <w:t>.</w:t>
            </w:r>
            <w:r w:rsidRPr="000F252A">
              <w:t>2023 № 1759 «О совершенствовании работы по раннему выявлению онкологических заболеваний»)</w:t>
            </w:r>
          </w:p>
        </w:tc>
        <w:tc>
          <w:tcPr>
            <w:tcW w:w="1474" w:type="dxa"/>
            <w:shd w:val="clear" w:color="auto" w:fill="auto"/>
          </w:tcPr>
          <w:p w:rsidR="00B90F1F" w:rsidRPr="000F252A" w:rsidRDefault="00B90F1F" w:rsidP="003304D1">
            <w:pPr>
              <w:spacing w:line="233" w:lineRule="auto"/>
              <w:jc w:val="center"/>
            </w:pPr>
            <w:r w:rsidRPr="000F252A">
              <w:t>01.01.202</w:t>
            </w:r>
            <w:r w:rsidR="003304D1" w:rsidRPr="000F252A">
              <w:t>6</w:t>
            </w:r>
          </w:p>
        </w:tc>
        <w:tc>
          <w:tcPr>
            <w:tcW w:w="1418" w:type="dxa"/>
            <w:shd w:val="clear" w:color="auto" w:fill="auto"/>
          </w:tcPr>
          <w:p w:rsidR="00B90F1F" w:rsidRPr="000F252A" w:rsidRDefault="00B90F1F" w:rsidP="001B24A2">
            <w:pPr>
              <w:spacing w:line="233" w:lineRule="auto"/>
              <w:jc w:val="center"/>
            </w:pPr>
            <w:r w:rsidRPr="000F252A">
              <w:t>31.12.2030</w:t>
            </w:r>
          </w:p>
        </w:tc>
        <w:tc>
          <w:tcPr>
            <w:tcW w:w="3912" w:type="dxa"/>
            <w:shd w:val="clear" w:color="auto" w:fill="auto"/>
          </w:tcPr>
          <w:p w:rsidR="00B90F1F" w:rsidRPr="000F252A" w:rsidRDefault="00C15E85" w:rsidP="001B24A2">
            <w:pPr>
              <w:spacing w:line="233" w:lineRule="auto"/>
              <w:jc w:val="both"/>
            </w:pPr>
            <w:r w:rsidRPr="000F252A">
              <w:t xml:space="preserve">министр здравоохранения </w:t>
            </w:r>
            <w:r w:rsidR="00B90F1F" w:rsidRPr="000F252A">
              <w:t>Республики Татарстан А.Р.Абашев, руководители медицинских организаций</w:t>
            </w:r>
            <w:r w:rsidR="001C02C5" w:rsidRPr="000F252A">
              <w:t xml:space="preserve"> Республики Татарстан</w:t>
            </w:r>
          </w:p>
        </w:tc>
        <w:tc>
          <w:tcPr>
            <w:tcW w:w="3969" w:type="dxa"/>
            <w:shd w:val="clear" w:color="auto" w:fill="auto"/>
          </w:tcPr>
          <w:p w:rsidR="00B90F1F" w:rsidRPr="000F252A" w:rsidRDefault="00B90F1F" w:rsidP="009A37BD">
            <w:pPr>
              <w:spacing w:line="233" w:lineRule="auto"/>
              <w:jc w:val="both"/>
            </w:pPr>
            <w:r w:rsidRPr="000F252A">
              <w:t>функционирует не менее 12</w:t>
            </w:r>
            <w:r w:rsidR="007909B5" w:rsidRPr="000F252A">
              <w:t>4</w:t>
            </w:r>
            <w:r w:rsidRPr="000F252A">
              <w:t xml:space="preserve"> смотров</w:t>
            </w:r>
            <w:r w:rsidR="009A37BD">
              <w:t>ых</w:t>
            </w:r>
            <w:r w:rsidR="001C02C5" w:rsidRPr="000F252A">
              <w:t xml:space="preserve"> кабинет</w:t>
            </w:r>
            <w:r w:rsidR="009A37BD">
              <w:t>ов</w:t>
            </w:r>
            <w:r w:rsidRPr="000F252A">
              <w:t xml:space="preserve"> ежегодно</w:t>
            </w:r>
          </w:p>
        </w:tc>
      </w:tr>
      <w:tr w:rsidR="00B90F1F" w:rsidRPr="000F252A" w:rsidTr="00AC795F">
        <w:trPr>
          <w:trHeight w:val="20"/>
        </w:trPr>
        <w:tc>
          <w:tcPr>
            <w:tcW w:w="704" w:type="dxa"/>
            <w:shd w:val="clear" w:color="auto" w:fill="auto"/>
            <w:hideMark/>
          </w:tcPr>
          <w:p w:rsidR="00B90F1F" w:rsidRPr="000F252A" w:rsidRDefault="00B90F1F" w:rsidP="001B24A2">
            <w:pPr>
              <w:spacing w:line="233" w:lineRule="auto"/>
              <w:jc w:val="center"/>
            </w:pPr>
            <w:r w:rsidRPr="000F252A">
              <w:t>2.14.</w:t>
            </w:r>
          </w:p>
        </w:tc>
        <w:tc>
          <w:tcPr>
            <w:tcW w:w="3686" w:type="dxa"/>
            <w:shd w:val="clear" w:color="auto" w:fill="auto"/>
            <w:hideMark/>
          </w:tcPr>
          <w:p w:rsidR="00B90F1F" w:rsidRPr="000F252A" w:rsidRDefault="00B90F1F" w:rsidP="001B24A2">
            <w:pPr>
              <w:spacing w:line="233" w:lineRule="auto"/>
              <w:jc w:val="both"/>
            </w:pPr>
            <w:r w:rsidRPr="000F252A">
              <w:t xml:space="preserve">Проведение на базе </w:t>
            </w:r>
            <w:r w:rsidR="001F0D34" w:rsidRPr="000F252A">
              <w:t xml:space="preserve">ГАУЗ </w:t>
            </w:r>
            <w:r w:rsidR="001F0D34" w:rsidRPr="000F252A">
              <w:rPr>
                <w:rFonts w:eastAsia="Arial"/>
              </w:rPr>
              <w:t>«РКОД МЗ РТ</w:t>
            </w:r>
            <w:r w:rsidR="00BC096D" w:rsidRPr="000F252A">
              <w:rPr>
                <w:rFonts w:eastAsia="Arial"/>
              </w:rPr>
              <w:t xml:space="preserve"> им.проф.</w:t>
            </w:r>
            <w:r w:rsidR="001F0D34" w:rsidRPr="000F252A">
              <w:rPr>
                <w:rFonts w:eastAsia="Arial"/>
              </w:rPr>
              <w:t>М.З.Сигала»</w:t>
            </w:r>
            <w:r w:rsidR="001F0D34" w:rsidRPr="000F252A">
              <w:t xml:space="preserve"> </w:t>
            </w:r>
            <w:r w:rsidRPr="000F252A">
              <w:t>республиканского обучающего семинара для среднего медицинского персонала смотровых кабинетов и врачей медицинских организаций, оказывающих первичную медико-санитарную помощь, по вопросам онконастороженности, правилам проведения обследований и качества проведения обследований на выявление визуальных локализаций рака</w:t>
            </w:r>
          </w:p>
        </w:tc>
        <w:tc>
          <w:tcPr>
            <w:tcW w:w="1474" w:type="dxa"/>
            <w:shd w:val="clear" w:color="auto" w:fill="auto"/>
            <w:hideMark/>
          </w:tcPr>
          <w:p w:rsidR="00B90F1F" w:rsidRPr="000F252A" w:rsidRDefault="00B90F1F" w:rsidP="003304D1">
            <w:pPr>
              <w:spacing w:line="233" w:lineRule="auto"/>
              <w:jc w:val="center"/>
            </w:pPr>
            <w:r w:rsidRPr="000F252A">
              <w:t>01.01.202</w:t>
            </w:r>
            <w:r w:rsidR="003304D1" w:rsidRPr="000F252A">
              <w:t>6</w:t>
            </w:r>
          </w:p>
        </w:tc>
        <w:tc>
          <w:tcPr>
            <w:tcW w:w="1418" w:type="dxa"/>
            <w:shd w:val="clear" w:color="auto" w:fill="auto"/>
            <w:hideMark/>
          </w:tcPr>
          <w:p w:rsidR="00B90F1F" w:rsidRPr="000F252A" w:rsidRDefault="00B90F1F" w:rsidP="001B24A2">
            <w:pPr>
              <w:spacing w:line="233" w:lineRule="auto"/>
              <w:jc w:val="center"/>
            </w:pPr>
            <w:r w:rsidRPr="000F252A">
              <w:t>31.12.2030</w:t>
            </w:r>
          </w:p>
        </w:tc>
        <w:tc>
          <w:tcPr>
            <w:tcW w:w="3912" w:type="dxa"/>
            <w:shd w:val="clear" w:color="auto" w:fill="auto"/>
            <w:hideMark/>
          </w:tcPr>
          <w:p w:rsidR="00B90F1F" w:rsidRPr="000F252A" w:rsidRDefault="00783F2D" w:rsidP="001B24A2">
            <w:pPr>
              <w:spacing w:line="233" w:lineRule="auto"/>
              <w:jc w:val="both"/>
            </w:pPr>
            <w:r w:rsidRPr="000F252A">
              <w:t>г</w:t>
            </w:r>
            <w:r w:rsidR="00B90F1F" w:rsidRPr="000F252A">
              <w:t xml:space="preserve">лавный врач ГАУЗ </w:t>
            </w:r>
            <w:r w:rsidR="00BC096D" w:rsidRPr="000F252A">
              <w:rPr>
                <w:rFonts w:eastAsia="Arial"/>
              </w:rPr>
              <w:t>«РКОД МЗ РТ им.проф.</w:t>
            </w:r>
            <w:r w:rsidR="00B90F1F" w:rsidRPr="000F252A">
              <w:rPr>
                <w:rFonts w:eastAsia="Arial"/>
              </w:rPr>
              <w:t>М.З.Сигала»</w:t>
            </w:r>
            <w:r w:rsidR="00F128D1" w:rsidRPr="000F252A">
              <w:t xml:space="preserve"> </w:t>
            </w:r>
            <w:r w:rsidR="00F94EC2" w:rsidRPr="000F252A">
              <w:t>М.Ф.Мухамадеев</w:t>
            </w:r>
            <w:r w:rsidR="00B90F1F" w:rsidRPr="000F252A">
              <w:t xml:space="preserve">, руководители медицинских организаций </w:t>
            </w:r>
            <w:r w:rsidR="00A07F99" w:rsidRPr="000F252A">
              <w:t>Республики Татарстан</w:t>
            </w:r>
          </w:p>
        </w:tc>
        <w:tc>
          <w:tcPr>
            <w:tcW w:w="3969" w:type="dxa"/>
            <w:shd w:val="clear" w:color="auto" w:fill="auto"/>
            <w:hideMark/>
          </w:tcPr>
          <w:p w:rsidR="00B90F1F" w:rsidRPr="000F252A" w:rsidRDefault="00B90F1F" w:rsidP="001B24A2">
            <w:pPr>
              <w:spacing w:line="233" w:lineRule="auto"/>
              <w:jc w:val="both"/>
            </w:pPr>
            <w:r w:rsidRPr="000F252A">
              <w:t xml:space="preserve">ежегодное проведение 1 республиканского обучающего семинара; </w:t>
            </w:r>
          </w:p>
          <w:p w:rsidR="00B90F1F" w:rsidRPr="000F252A" w:rsidRDefault="00B90F1F" w:rsidP="001B24A2">
            <w:pPr>
              <w:spacing w:line="233" w:lineRule="auto"/>
              <w:jc w:val="both"/>
            </w:pPr>
            <w:r w:rsidRPr="000F252A">
              <w:t>число специалистов, прошедших обучение</w:t>
            </w:r>
            <w:r w:rsidR="005D4504" w:rsidRPr="000F252A">
              <w:t>,</w:t>
            </w:r>
            <w:r w:rsidRPr="000F252A">
              <w:t xml:space="preserve"> – не менее 75 человек</w:t>
            </w:r>
          </w:p>
        </w:tc>
      </w:tr>
      <w:tr w:rsidR="00913B4D" w:rsidRPr="000F252A" w:rsidTr="00AC795F">
        <w:trPr>
          <w:trHeight w:val="20"/>
        </w:trPr>
        <w:tc>
          <w:tcPr>
            <w:tcW w:w="704" w:type="dxa"/>
            <w:shd w:val="clear" w:color="auto" w:fill="auto"/>
          </w:tcPr>
          <w:p w:rsidR="00913B4D" w:rsidRPr="000F252A" w:rsidRDefault="00913B4D" w:rsidP="001B24A2">
            <w:pPr>
              <w:spacing w:line="233" w:lineRule="auto"/>
              <w:jc w:val="center"/>
            </w:pPr>
            <w:r w:rsidRPr="000F252A">
              <w:t>2.15.</w:t>
            </w:r>
          </w:p>
        </w:tc>
        <w:tc>
          <w:tcPr>
            <w:tcW w:w="3686" w:type="dxa"/>
            <w:shd w:val="clear" w:color="auto" w:fill="auto"/>
          </w:tcPr>
          <w:p w:rsidR="00913B4D" w:rsidRPr="000F252A" w:rsidRDefault="00913B4D" w:rsidP="00913B4D">
            <w:pPr>
              <w:spacing w:line="233" w:lineRule="auto"/>
              <w:jc w:val="both"/>
            </w:pPr>
            <w:r w:rsidRPr="000F252A">
              <w:t xml:space="preserve">Проведение республиканских обучающих семинаров для врачей специалистов, в том числе в режиме видеоконференцсвязи, по вопросам диагностики, дифференциальной диагностике объемных образований </w:t>
            </w:r>
          </w:p>
        </w:tc>
        <w:tc>
          <w:tcPr>
            <w:tcW w:w="1474" w:type="dxa"/>
            <w:shd w:val="clear" w:color="auto" w:fill="auto"/>
          </w:tcPr>
          <w:p w:rsidR="00913B4D" w:rsidRPr="000F252A" w:rsidRDefault="00913B4D" w:rsidP="001B24A2">
            <w:pPr>
              <w:spacing w:line="233" w:lineRule="auto"/>
              <w:jc w:val="center"/>
            </w:pPr>
            <w:r w:rsidRPr="000F252A">
              <w:t>01.01.2026</w:t>
            </w:r>
          </w:p>
        </w:tc>
        <w:tc>
          <w:tcPr>
            <w:tcW w:w="1418" w:type="dxa"/>
            <w:shd w:val="clear" w:color="auto" w:fill="auto"/>
          </w:tcPr>
          <w:p w:rsidR="00913B4D" w:rsidRPr="000F252A" w:rsidRDefault="00913B4D" w:rsidP="001B24A2">
            <w:pPr>
              <w:spacing w:line="233" w:lineRule="auto"/>
              <w:jc w:val="center"/>
            </w:pPr>
            <w:r w:rsidRPr="000F252A">
              <w:t>31.12.2030</w:t>
            </w:r>
          </w:p>
        </w:tc>
        <w:tc>
          <w:tcPr>
            <w:tcW w:w="3912" w:type="dxa"/>
            <w:shd w:val="clear" w:color="auto" w:fill="auto"/>
          </w:tcPr>
          <w:p w:rsidR="00913B4D" w:rsidRPr="000F252A" w:rsidRDefault="00913B4D" w:rsidP="001B24A2">
            <w:pPr>
              <w:spacing w:line="233" w:lineRule="auto"/>
              <w:jc w:val="both"/>
            </w:pPr>
            <w:r w:rsidRPr="000F252A">
              <w:t xml:space="preserve">главный врач ГАУЗ </w:t>
            </w:r>
            <w:r w:rsidRPr="000F252A">
              <w:rPr>
                <w:rFonts w:eastAsia="Arial"/>
              </w:rPr>
              <w:t>«РКОД МЗ РТ им.проф.М.З.Сигала»</w:t>
            </w:r>
            <w:r w:rsidRPr="000F252A">
              <w:t xml:space="preserve"> М.Ф.Мухамадеев, руководители медицинских организаций Республики Татарстан</w:t>
            </w:r>
          </w:p>
        </w:tc>
        <w:tc>
          <w:tcPr>
            <w:tcW w:w="3969" w:type="dxa"/>
            <w:shd w:val="clear" w:color="auto" w:fill="auto"/>
          </w:tcPr>
          <w:p w:rsidR="00913B4D" w:rsidRPr="000F252A" w:rsidRDefault="00913B4D" w:rsidP="00913B4D">
            <w:pPr>
              <w:spacing w:line="233" w:lineRule="auto"/>
              <w:jc w:val="both"/>
            </w:pPr>
            <w:r w:rsidRPr="000F252A">
              <w:t xml:space="preserve">ежегодное проведение не менее 2 республиканских обучающих семинаров; </w:t>
            </w:r>
          </w:p>
          <w:p w:rsidR="00913B4D" w:rsidRPr="000F252A" w:rsidRDefault="00913B4D" w:rsidP="00913B4D">
            <w:pPr>
              <w:spacing w:line="233" w:lineRule="auto"/>
              <w:jc w:val="both"/>
            </w:pPr>
            <w:r w:rsidRPr="000F252A">
              <w:t>число врачей специалистов, прошедших обучение, – не менее 200 человек</w:t>
            </w:r>
          </w:p>
        </w:tc>
      </w:tr>
      <w:tr w:rsidR="00B90F1F" w:rsidRPr="000F252A" w:rsidTr="00AC795F">
        <w:trPr>
          <w:trHeight w:val="20"/>
        </w:trPr>
        <w:tc>
          <w:tcPr>
            <w:tcW w:w="704" w:type="dxa"/>
            <w:shd w:val="clear" w:color="auto" w:fill="auto"/>
          </w:tcPr>
          <w:p w:rsidR="00B90F1F" w:rsidRPr="000F252A" w:rsidRDefault="00B90F1F" w:rsidP="00913B4D">
            <w:pPr>
              <w:jc w:val="center"/>
            </w:pPr>
            <w:r w:rsidRPr="000F252A">
              <w:t>2.1</w:t>
            </w:r>
            <w:r w:rsidR="00913B4D" w:rsidRPr="000F252A">
              <w:t>6</w:t>
            </w:r>
            <w:r w:rsidRPr="000F252A">
              <w:t>.</w:t>
            </w:r>
          </w:p>
        </w:tc>
        <w:tc>
          <w:tcPr>
            <w:tcW w:w="3686" w:type="dxa"/>
            <w:shd w:val="clear" w:color="auto" w:fill="auto"/>
          </w:tcPr>
          <w:p w:rsidR="00B90F1F" w:rsidRPr="000F252A" w:rsidRDefault="00B90F1F" w:rsidP="002B09DE">
            <w:pPr>
              <w:jc w:val="both"/>
            </w:pPr>
            <w:r w:rsidRPr="000F252A">
              <w:t xml:space="preserve">Проведение аудита работы смотровых кабинетов медицинских организаций первичного звена в рамках осуществления выездной курации первичных онкологических кабинетов, центров амбулаторной онкологической помощи, женских консультаций с оформлением стандартизованных аналитических справок по итогам курации </w:t>
            </w:r>
            <w:r w:rsidR="00E6713B" w:rsidRPr="000F252A">
              <w:br/>
            </w:r>
            <w:r w:rsidRPr="000F252A">
              <w:t>(в соответствии с приказом Министерства здравоохранения Республики Татарстан от 17</w:t>
            </w:r>
            <w:r w:rsidR="001F0D34" w:rsidRPr="000F252A">
              <w:t>.</w:t>
            </w:r>
            <w:r w:rsidRPr="000F252A">
              <w:t>10</w:t>
            </w:r>
            <w:r w:rsidR="001F0D34" w:rsidRPr="000F252A">
              <w:t>.</w:t>
            </w:r>
            <w:r w:rsidRPr="000F252A">
              <w:t xml:space="preserve">2023 </w:t>
            </w:r>
            <w:r w:rsidR="00BC096D" w:rsidRPr="000F252A">
              <w:br/>
            </w:r>
            <w:r w:rsidRPr="000F252A">
              <w:t>№ 2435 «О проведении курации первичных онкологических кабинетов, центров амбулаторной онкологической помощи и женских консультаций медицинских ор</w:t>
            </w:r>
            <w:r w:rsidR="00BC096D" w:rsidRPr="000F252A">
              <w:t>ганизаций Республики Татарстан)</w:t>
            </w:r>
          </w:p>
        </w:tc>
        <w:tc>
          <w:tcPr>
            <w:tcW w:w="1474" w:type="dxa"/>
            <w:shd w:val="clear" w:color="auto" w:fill="auto"/>
          </w:tcPr>
          <w:p w:rsidR="00B90F1F" w:rsidRPr="000F252A" w:rsidRDefault="00B90F1F" w:rsidP="003304D1">
            <w:pPr>
              <w:jc w:val="center"/>
            </w:pPr>
            <w:r w:rsidRPr="000F252A">
              <w:t>01.09.202</w:t>
            </w:r>
            <w:r w:rsidR="003304D1" w:rsidRPr="000F252A">
              <w:t>6</w:t>
            </w:r>
          </w:p>
        </w:tc>
        <w:tc>
          <w:tcPr>
            <w:tcW w:w="1418" w:type="dxa"/>
            <w:shd w:val="clear" w:color="auto" w:fill="auto"/>
          </w:tcPr>
          <w:p w:rsidR="00B90F1F" w:rsidRPr="000F252A" w:rsidRDefault="00B90F1F" w:rsidP="002B09DE">
            <w:pPr>
              <w:jc w:val="center"/>
            </w:pPr>
            <w:r w:rsidRPr="000F252A">
              <w:t>31.12.2030</w:t>
            </w:r>
          </w:p>
        </w:tc>
        <w:tc>
          <w:tcPr>
            <w:tcW w:w="3912" w:type="dxa"/>
            <w:shd w:val="clear" w:color="auto" w:fill="auto"/>
          </w:tcPr>
          <w:p w:rsidR="00B90F1F" w:rsidRPr="000F252A" w:rsidRDefault="00783F2D" w:rsidP="002B09DE">
            <w:pPr>
              <w:jc w:val="both"/>
            </w:pPr>
            <w:r w:rsidRPr="000F252A">
              <w:t>г</w:t>
            </w:r>
            <w:r w:rsidR="00B90F1F" w:rsidRPr="000F252A">
              <w:t xml:space="preserve">лавный врач ГАУЗ </w:t>
            </w:r>
            <w:r w:rsidR="00BC096D" w:rsidRPr="000F252A">
              <w:rPr>
                <w:rFonts w:eastAsia="Arial"/>
              </w:rPr>
              <w:t>«РКОД МЗ РТ им.проф.</w:t>
            </w:r>
            <w:r w:rsidR="00B90F1F" w:rsidRPr="000F252A">
              <w:rPr>
                <w:rFonts w:eastAsia="Arial"/>
              </w:rPr>
              <w:t>М.З.Сигала»</w:t>
            </w:r>
            <w:r w:rsidR="00F128D1" w:rsidRPr="000F252A">
              <w:t xml:space="preserve"> </w:t>
            </w:r>
            <w:r w:rsidR="00F94EC2" w:rsidRPr="000F252A">
              <w:t>М.Ф.Мухамадеев</w:t>
            </w:r>
          </w:p>
        </w:tc>
        <w:tc>
          <w:tcPr>
            <w:tcW w:w="3969" w:type="dxa"/>
            <w:shd w:val="clear" w:color="auto" w:fill="auto"/>
          </w:tcPr>
          <w:p w:rsidR="00B90F1F" w:rsidRPr="000F252A" w:rsidRDefault="0083322C" w:rsidP="00A1258F">
            <w:pPr>
              <w:jc w:val="both"/>
            </w:pPr>
            <w:r w:rsidRPr="000F252A">
              <w:t xml:space="preserve">ежегодно </w:t>
            </w:r>
            <w:r w:rsidR="00B90F1F" w:rsidRPr="000F252A">
              <w:t>в рамках аудита проверена работа 12</w:t>
            </w:r>
            <w:r w:rsidR="00A1258F" w:rsidRPr="000F252A">
              <w:t>4</w:t>
            </w:r>
            <w:r w:rsidR="00B90F1F" w:rsidRPr="000F252A">
              <w:t xml:space="preserve"> смотров</w:t>
            </w:r>
            <w:r w:rsidRPr="000F252A">
              <w:t>ого</w:t>
            </w:r>
            <w:r w:rsidR="00B90F1F" w:rsidRPr="000F252A">
              <w:t xml:space="preserve"> кабинет</w:t>
            </w:r>
            <w:r w:rsidRPr="000F252A">
              <w:t>а</w:t>
            </w:r>
            <w:r w:rsidR="00B90F1F" w:rsidRPr="000F252A">
              <w:t xml:space="preserve"> </w:t>
            </w:r>
          </w:p>
        </w:tc>
      </w:tr>
      <w:tr w:rsidR="00B90F1F" w:rsidRPr="000F252A" w:rsidTr="00AC795F">
        <w:trPr>
          <w:trHeight w:val="20"/>
        </w:trPr>
        <w:tc>
          <w:tcPr>
            <w:tcW w:w="704" w:type="dxa"/>
            <w:shd w:val="clear" w:color="auto" w:fill="auto"/>
          </w:tcPr>
          <w:p w:rsidR="00B90F1F" w:rsidRPr="000F252A" w:rsidRDefault="00B90F1F" w:rsidP="00913B4D">
            <w:pPr>
              <w:jc w:val="center"/>
            </w:pPr>
            <w:r w:rsidRPr="000F252A">
              <w:t>2.1</w:t>
            </w:r>
            <w:r w:rsidR="00913B4D" w:rsidRPr="000F252A">
              <w:t>7</w:t>
            </w:r>
            <w:r w:rsidRPr="000F252A">
              <w:t>.</w:t>
            </w:r>
          </w:p>
        </w:tc>
        <w:tc>
          <w:tcPr>
            <w:tcW w:w="3686" w:type="dxa"/>
            <w:shd w:val="clear" w:color="auto" w:fill="auto"/>
          </w:tcPr>
          <w:p w:rsidR="00B90F1F" w:rsidRPr="000F252A" w:rsidRDefault="00B90F1F" w:rsidP="002B09DE">
            <w:pPr>
              <w:jc w:val="both"/>
            </w:pPr>
            <w:r w:rsidRPr="000F252A">
              <w:t xml:space="preserve">Контроль работы по раннему выявлению ЗНО и организации медицинской помощи больным с онкологическими заболеваниями в </w:t>
            </w:r>
            <w:r w:rsidR="00BC096D" w:rsidRPr="000F252A">
              <w:br/>
            </w:r>
            <w:r w:rsidRPr="000F252A">
              <w:t xml:space="preserve">5 центральных районных больницах муниципальных образований, являющихся аутсайдерами по показателям запущенности ЗНО и смертности от ЗНО, оказание организационно-методической помощи руководителям и врачам первичного звена  при выездах группы специалистов ГАУЗ </w:t>
            </w:r>
            <w:r w:rsidR="00BC096D" w:rsidRPr="000F252A">
              <w:rPr>
                <w:rFonts w:eastAsia="Arial"/>
              </w:rPr>
              <w:t>«РКОД МЗ РТ им.проф.</w:t>
            </w:r>
            <w:r w:rsidRPr="000F252A">
              <w:rPr>
                <w:rFonts w:eastAsia="Arial"/>
              </w:rPr>
              <w:t>М.З.Сигала»</w:t>
            </w:r>
            <w:r w:rsidRPr="000F252A">
              <w:t xml:space="preserve">  </w:t>
            </w:r>
          </w:p>
        </w:tc>
        <w:tc>
          <w:tcPr>
            <w:tcW w:w="1474" w:type="dxa"/>
            <w:shd w:val="clear" w:color="auto" w:fill="auto"/>
          </w:tcPr>
          <w:p w:rsidR="00B90F1F" w:rsidRPr="000F252A" w:rsidRDefault="00B90F1F" w:rsidP="00842482">
            <w:pPr>
              <w:jc w:val="center"/>
            </w:pPr>
            <w:r w:rsidRPr="000F252A">
              <w:t>01.04.202</w:t>
            </w:r>
            <w:r w:rsidR="00842482" w:rsidRPr="000F252A">
              <w:t>6</w:t>
            </w:r>
          </w:p>
        </w:tc>
        <w:tc>
          <w:tcPr>
            <w:tcW w:w="1418" w:type="dxa"/>
            <w:shd w:val="clear" w:color="auto" w:fill="auto"/>
          </w:tcPr>
          <w:p w:rsidR="00B90F1F" w:rsidRPr="000F252A" w:rsidRDefault="00B90F1F" w:rsidP="002B09DE">
            <w:pPr>
              <w:jc w:val="center"/>
            </w:pPr>
            <w:r w:rsidRPr="000F252A">
              <w:t>31.12.2030</w:t>
            </w:r>
          </w:p>
        </w:tc>
        <w:tc>
          <w:tcPr>
            <w:tcW w:w="3912" w:type="dxa"/>
            <w:shd w:val="clear" w:color="auto" w:fill="auto"/>
          </w:tcPr>
          <w:p w:rsidR="00B90F1F" w:rsidRPr="000F252A" w:rsidRDefault="00783F2D" w:rsidP="00BC096D">
            <w:pPr>
              <w:jc w:val="both"/>
            </w:pPr>
            <w:r w:rsidRPr="000F252A">
              <w:t>г</w:t>
            </w:r>
            <w:r w:rsidR="00B90F1F" w:rsidRPr="000F252A">
              <w:t xml:space="preserve">лавный врач ГАУЗ </w:t>
            </w:r>
            <w:r w:rsidR="00BC096D" w:rsidRPr="000F252A">
              <w:rPr>
                <w:rFonts w:eastAsia="Arial"/>
              </w:rPr>
              <w:t>«РКОД МЗ</w:t>
            </w:r>
            <w:r w:rsidR="00BC096D" w:rsidRPr="000F252A">
              <w:rPr>
                <w:rFonts w:eastAsia="Arial"/>
              </w:rPr>
              <w:br/>
              <w:t>РТ им.проф.</w:t>
            </w:r>
            <w:r w:rsidR="00B90F1F" w:rsidRPr="000F252A">
              <w:rPr>
                <w:rFonts w:eastAsia="Arial"/>
              </w:rPr>
              <w:t>М.З.Сигала»</w:t>
            </w:r>
            <w:r w:rsidR="00B90F1F" w:rsidRPr="000F252A">
              <w:t xml:space="preserve"> </w:t>
            </w:r>
            <w:r w:rsidR="00F94EC2" w:rsidRPr="000F252A">
              <w:t>М.Ф.Мухамадеев</w:t>
            </w:r>
          </w:p>
        </w:tc>
        <w:tc>
          <w:tcPr>
            <w:tcW w:w="3969" w:type="dxa"/>
            <w:shd w:val="clear" w:color="auto" w:fill="auto"/>
          </w:tcPr>
          <w:p w:rsidR="00B90F1F" w:rsidRPr="000F252A" w:rsidRDefault="00B90F1F" w:rsidP="002B09DE">
            <w:pPr>
              <w:jc w:val="both"/>
            </w:pPr>
            <w:r w:rsidRPr="000F252A">
              <w:t>проведены ежегодно выезды в 5 медицинских организаций, осуществлен контроль работы по раннему выявлению ЗНО и организации медицинской помощи, оказана организационно-методическая помощь, внесены предложения руководителям медицинских организаций по устранению выявленных недостатков</w:t>
            </w:r>
          </w:p>
        </w:tc>
      </w:tr>
      <w:tr w:rsidR="00B90F1F" w:rsidRPr="000F252A" w:rsidTr="00AC795F">
        <w:trPr>
          <w:trHeight w:val="20"/>
        </w:trPr>
        <w:tc>
          <w:tcPr>
            <w:tcW w:w="704" w:type="dxa"/>
            <w:shd w:val="clear" w:color="auto" w:fill="auto"/>
          </w:tcPr>
          <w:p w:rsidR="00B90F1F" w:rsidRPr="000F252A" w:rsidRDefault="00B90F1F" w:rsidP="00913B4D">
            <w:pPr>
              <w:jc w:val="center"/>
            </w:pPr>
            <w:r w:rsidRPr="000F252A">
              <w:t>2.1</w:t>
            </w:r>
            <w:r w:rsidR="00913B4D" w:rsidRPr="000F252A">
              <w:t>8</w:t>
            </w:r>
            <w:r w:rsidRPr="000F252A">
              <w:t>.</w:t>
            </w:r>
          </w:p>
        </w:tc>
        <w:tc>
          <w:tcPr>
            <w:tcW w:w="3686" w:type="dxa"/>
            <w:shd w:val="clear" w:color="auto" w:fill="auto"/>
          </w:tcPr>
          <w:p w:rsidR="00B90F1F" w:rsidRPr="000F252A" w:rsidRDefault="00B90F1F" w:rsidP="00C7649F">
            <w:pPr>
              <w:jc w:val="both"/>
            </w:pPr>
            <w:r w:rsidRPr="000F252A">
              <w:t>Обучение рентгенологов, специалистов ультразвуковой диагностики выявлению ранних признаков объемных образований на базе профильных кафедр Казанской государственной медицинской академии – филиала</w:t>
            </w:r>
            <w:r w:rsidR="00E87981" w:rsidRPr="000F252A">
              <w:t xml:space="preserve"> федерально</w:t>
            </w:r>
            <w:r w:rsidR="00C7649F" w:rsidRPr="000F252A">
              <w:t>го</w:t>
            </w:r>
            <w:r w:rsidR="00E87981" w:rsidRPr="000F252A">
              <w:t xml:space="preserve"> государственно</w:t>
            </w:r>
            <w:r w:rsidR="00C7649F" w:rsidRPr="000F252A">
              <w:t>го</w:t>
            </w:r>
            <w:r w:rsidR="00E87981" w:rsidRPr="000F252A">
              <w:t xml:space="preserve"> бюджетно</w:t>
            </w:r>
            <w:r w:rsidR="00C7649F" w:rsidRPr="000F252A">
              <w:t>го</w:t>
            </w:r>
            <w:r w:rsidR="00E87981" w:rsidRPr="000F252A">
              <w:t xml:space="preserve"> об</w:t>
            </w:r>
            <w:r w:rsidR="00C7649F" w:rsidRPr="000F252A">
              <w:t>разовательного учреждения до-</w:t>
            </w:r>
            <w:r w:rsidR="00C7649F" w:rsidRPr="000F252A">
              <w:br/>
            </w:r>
            <w:r w:rsidR="006B4937" w:rsidRPr="000F252A">
              <w:t>полни</w:t>
            </w:r>
            <w:r w:rsidR="00E87981" w:rsidRPr="000F252A">
              <w:t>тельного профессионального образования</w:t>
            </w:r>
            <w:r w:rsidRPr="000F252A">
              <w:t xml:space="preserve"> «Российская медицинская акаде</w:t>
            </w:r>
            <w:r w:rsidR="00E6713B" w:rsidRPr="000F252A">
              <w:t>мия непрерывного профессио</w:t>
            </w:r>
            <w:r w:rsidRPr="000F252A">
              <w:t>нального образования» Мин</w:t>
            </w:r>
            <w:r w:rsidR="00E6713B" w:rsidRPr="000F252A">
              <w:t xml:space="preserve">истерства здравоохранения Российской Федерации </w:t>
            </w:r>
          </w:p>
        </w:tc>
        <w:tc>
          <w:tcPr>
            <w:tcW w:w="1474" w:type="dxa"/>
            <w:shd w:val="clear" w:color="auto" w:fill="auto"/>
          </w:tcPr>
          <w:p w:rsidR="00B90F1F" w:rsidRPr="000F252A" w:rsidRDefault="00B90F1F" w:rsidP="00842482">
            <w:pPr>
              <w:jc w:val="center"/>
            </w:pPr>
            <w:r w:rsidRPr="000F252A">
              <w:t>01.02.202</w:t>
            </w:r>
            <w:r w:rsidR="00842482" w:rsidRPr="000F252A">
              <w:t>6</w:t>
            </w:r>
          </w:p>
        </w:tc>
        <w:tc>
          <w:tcPr>
            <w:tcW w:w="1418" w:type="dxa"/>
            <w:shd w:val="clear" w:color="auto" w:fill="auto"/>
          </w:tcPr>
          <w:p w:rsidR="00B90F1F" w:rsidRPr="000F252A" w:rsidRDefault="00B90F1F" w:rsidP="002B09DE">
            <w:pPr>
              <w:jc w:val="center"/>
            </w:pPr>
            <w:r w:rsidRPr="000F252A">
              <w:t>31.12.2030</w:t>
            </w:r>
          </w:p>
        </w:tc>
        <w:tc>
          <w:tcPr>
            <w:tcW w:w="3912" w:type="dxa"/>
            <w:shd w:val="clear" w:color="auto" w:fill="auto"/>
          </w:tcPr>
          <w:p w:rsidR="00B90F1F" w:rsidRPr="000F252A" w:rsidRDefault="00783F2D" w:rsidP="009A37BD">
            <w:pPr>
              <w:jc w:val="both"/>
            </w:pPr>
            <w:r w:rsidRPr="000F252A">
              <w:t>д</w:t>
            </w:r>
            <w:r w:rsidR="00B90F1F" w:rsidRPr="000F252A">
              <w:t xml:space="preserve">иректор Казанской государственной медицинской академии – филиала </w:t>
            </w:r>
            <w:r w:rsidR="00C7649F" w:rsidRPr="000F252A">
              <w:t xml:space="preserve">федерального государственного бюджетного образовательного учреждения </w:t>
            </w:r>
            <w:r w:rsidR="00E87981" w:rsidRPr="000F252A">
              <w:t xml:space="preserve">дополнительного профессионального образования </w:t>
            </w:r>
            <w:r w:rsidR="00B90F1F" w:rsidRPr="000F252A">
              <w:t>«Российская медицинская академия непрерывного профессио</w:t>
            </w:r>
            <w:r w:rsidR="006B4937" w:rsidRPr="000F252A">
              <w:t>нального образования» Министер</w:t>
            </w:r>
            <w:r w:rsidR="00E6713B" w:rsidRPr="000F252A">
              <w:t xml:space="preserve">ства здравоохранения Российской Федерации </w:t>
            </w:r>
            <w:r w:rsidR="00B90F1F" w:rsidRPr="000F252A">
              <w:t>Р.Ш.Хасанов (по согласованию)</w:t>
            </w:r>
          </w:p>
        </w:tc>
        <w:tc>
          <w:tcPr>
            <w:tcW w:w="3969" w:type="dxa"/>
            <w:shd w:val="clear" w:color="auto" w:fill="auto"/>
          </w:tcPr>
          <w:p w:rsidR="00B90F1F" w:rsidRPr="000F252A" w:rsidRDefault="00B90F1F" w:rsidP="002B09DE">
            <w:pPr>
              <w:jc w:val="both"/>
            </w:pPr>
            <w:r w:rsidRPr="000F252A">
              <w:t xml:space="preserve">число обученных специалистов по специальности </w:t>
            </w:r>
            <w:r w:rsidR="00E6713B" w:rsidRPr="000F252A">
              <w:t>«</w:t>
            </w:r>
            <w:r w:rsidRPr="000F252A">
              <w:t>ультразвуковая диагностика</w:t>
            </w:r>
            <w:r w:rsidR="00E6713B" w:rsidRPr="000F252A">
              <w:t>»</w:t>
            </w:r>
            <w:r w:rsidRPr="000F252A">
              <w:t xml:space="preserve">, в том числе профессиональная переподготовка и повышение квалификации: </w:t>
            </w:r>
          </w:p>
          <w:p w:rsidR="00B90F1F" w:rsidRPr="000F252A" w:rsidRDefault="00E6713B" w:rsidP="002B09DE">
            <w:pPr>
              <w:jc w:val="both"/>
            </w:pPr>
            <w:r w:rsidRPr="000F252A">
              <w:t>2026 год –</w:t>
            </w:r>
            <w:r w:rsidR="00B90F1F" w:rsidRPr="000F252A">
              <w:t xml:space="preserve"> 11 чело</w:t>
            </w:r>
            <w:r w:rsidRPr="000F252A">
              <w:t>век / 118 человек;</w:t>
            </w:r>
            <w:r w:rsidR="00B90F1F" w:rsidRPr="000F252A">
              <w:t xml:space="preserve"> </w:t>
            </w:r>
          </w:p>
          <w:p w:rsidR="00B90F1F" w:rsidRPr="000F252A" w:rsidRDefault="00B90F1F" w:rsidP="002B09DE">
            <w:pPr>
              <w:jc w:val="both"/>
            </w:pPr>
            <w:r w:rsidRPr="000F252A">
              <w:t>2027</w:t>
            </w:r>
            <w:r w:rsidR="00E6713B" w:rsidRPr="000F252A">
              <w:t xml:space="preserve"> год – 10 человек / 115 человек;</w:t>
            </w:r>
            <w:r w:rsidRPr="000F252A">
              <w:t xml:space="preserve"> </w:t>
            </w:r>
          </w:p>
          <w:p w:rsidR="00B90F1F" w:rsidRPr="000F252A" w:rsidRDefault="00B90F1F" w:rsidP="002B09DE">
            <w:pPr>
              <w:jc w:val="both"/>
            </w:pPr>
            <w:r w:rsidRPr="000F252A">
              <w:t>2028</w:t>
            </w:r>
            <w:r w:rsidR="00E6713B" w:rsidRPr="000F252A">
              <w:t xml:space="preserve"> год – 10 человек / 115 человек;</w:t>
            </w:r>
            <w:r w:rsidRPr="000F252A">
              <w:t xml:space="preserve"> </w:t>
            </w:r>
          </w:p>
          <w:p w:rsidR="00B90F1F" w:rsidRPr="000F252A" w:rsidRDefault="00B90F1F" w:rsidP="002B09DE">
            <w:pPr>
              <w:jc w:val="both"/>
            </w:pPr>
            <w:r w:rsidRPr="000F252A">
              <w:t>2029</w:t>
            </w:r>
            <w:r w:rsidR="00E6713B" w:rsidRPr="000F252A">
              <w:t xml:space="preserve"> год – 10 человек / 110 человек;</w:t>
            </w:r>
            <w:r w:rsidRPr="000F252A">
              <w:t xml:space="preserve"> </w:t>
            </w:r>
          </w:p>
          <w:p w:rsidR="00B90F1F" w:rsidRPr="000F252A" w:rsidRDefault="00B90F1F" w:rsidP="002B09DE">
            <w:pPr>
              <w:jc w:val="both"/>
            </w:pPr>
            <w:r w:rsidRPr="000F252A">
              <w:t>2030</w:t>
            </w:r>
            <w:r w:rsidR="00E6713B" w:rsidRPr="000F252A">
              <w:t xml:space="preserve"> год – 10 человек / 105 человек;</w:t>
            </w:r>
            <w:r w:rsidRPr="000F252A">
              <w:t xml:space="preserve"> </w:t>
            </w:r>
          </w:p>
          <w:p w:rsidR="00B90F1F" w:rsidRPr="000F252A" w:rsidRDefault="00B90F1F" w:rsidP="002B09DE">
            <w:pPr>
              <w:jc w:val="both"/>
            </w:pPr>
          </w:p>
          <w:p w:rsidR="00B90F1F" w:rsidRPr="000F252A" w:rsidRDefault="00B90F1F" w:rsidP="002B09DE">
            <w:pPr>
              <w:jc w:val="both"/>
            </w:pPr>
            <w:r w:rsidRPr="000F252A">
              <w:t xml:space="preserve">число обученных специалистов по специальности </w:t>
            </w:r>
            <w:r w:rsidR="00E6713B" w:rsidRPr="000F252A">
              <w:t>«</w:t>
            </w:r>
            <w:r w:rsidRPr="000F252A">
              <w:t>рентгенология</w:t>
            </w:r>
            <w:r w:rsidR="00E6713B" w:rsidRPr="000F252A">
              <w:t>»</w:t>
            </w:r>
            <w:r w:rsidRPr="000F252A">
              <w:t xml:space="preserve">, в том числе профессиональная переподготовка и повышение квалификации: </w:t>
            </w:r>
          </w:p>
          <w:p w:rsidR="00B90F1F" w:rsidRPr="000F252A" w:rsidRDefault="00E6713B" w:rsidP="002B09DE">
            <w:pPr>
              <w:jc w:val="both"/>
            </w:pPr>
            <w:r w:rsidRPr="000F252A">
              <w:t>2026 год – 4 человека / 157 человек;</w:t>
            </w:r>
            <w:r w:rsidR="00B90F1F" w:rsidRPr="000F252A">
              <w:t xml:space="preserve"> </w:t>
            </w:r>
          </w:p>
          <w:p w:rsidR="00B90F1F" w:rsidRPr="000F252A" w:rsidRDefault="00E6713B" w:rsidP="002B09DE">
            <w:pPr>
              <w:jc w:val="both"/>
            </w:pPr>
            <w:r w:rsidRPr="000F252A">
              <w:t>2027 год – 4 человека / 150 человек;</w:t>
            </w:r>
            <w:r w:rsidR="00B90F1F" w:rsidRPr="000F252A">
              <w:t xml:space="preserve"> </w:t>
            </w:r>
          </w:p>
          <w:p w:rsidR="00B90F1F" w:rsidRPr="000F252A" w:rsidRDefault="00E6713B" w:rsidP="002B09DE">
            <w:pPr>
              <w:jc w:val="both"/>
            </w:pPr>
            <w:r w:rsidRPr="000F252A">
              <w:t>2028 год – 4 человека / 145 человек;</w:t>
            </w:r>
            <w:r w:rsidR="00B90F1F" w:rsidRPr="000F252A">
              <w:t xml:space="preserve"> </w:t>
            </w:r>
          </w:p>
          <w:p w:rsidR="00B90F1F" w:rsidRPr="000F252A" w:rsidRDefault="00E6713B" w:rsidP="002B09DE">
            <w:pPr>
              <w:jc w:val="both"/>
            </w:pPr>
            <w:r w:rsidRPr="000F252A">
              <w:t>2029 год –</w:t>
            </w:r>
            <w:r w:rsidR="00B90F1F" w:rsidRPr="000F252A">
              <w:t xml:space="preserve"> 4 человека / 142 человека</w:t>
            </w:r>
            <w:r w:rsidRPr="000F252A">
              <w:t>;</w:t>
            </w:r>
            <w:r w:rsidR="00B90F1F" w:rsidRPr="000F252A">
              <w:t xml:space="preserve"> </w:t>
            </w:r>
          </w:p>
          <w:p w:rsidR="00B90F1F" w:rsidRPr="000F252A" w:rsidRDefault="00E6713B" w:rsidP="002B09DE">
            <w:pPr>
              <w:jc w:val="both"/>
            </w:pPr>
            <w:r w:rsidRPr="000F252A">
              <w:t>2030 год –</w:t>
            </w:r>
            <w:r w:rsidR="00B90F1F" w:rsidRPr="000F252A">
              <w:t xml:space="preserve"> 4 человека / 140 человек</w:t>
            </w:r>
          </w:p>
        </w:tc>
      </w:tr>
      <w:tr w:rsidR="00B90F1F" w:rsidRPr="000F252A" w:rsidTr="00AC795F">
        <w:trPr>
          <w:trHeight w:val="20"/>
        </w:trPr>
        <w:tc>
          <w:tcPr>
            <w:tcW w:w="704" w:type="dxa"/>
            <w:shd w:val="clear" w:color="auto" w:fill="auto"/>
          </w:tcPr>
          <w:p w:rsidR="00B90F1F" w:rsidRPr="000F252A" w:rsidRDefault="00B90F1F" w:rsidP="00913B4D">
            <w:pPr>
              <w:spacing w:line="245" w:lineRule="auto"/>
              <w:jc w:val="center"/>
            </w:pPr>
            <w:r w:rsidRPr="000F252A">
              <w:t>2.1</w:t>
            </w:r>
            <w:r w:rsidR="00913B4D" w:rsidRPr="000F252A">
              <w:t>9</w:t>
            </w:r>
            <w:r w:rsidRPr="000F252A">
              <w:t>.</w:t>
            </w:r>
          </w:p>
        </w:tc>
        <w:tc>
          <w:tcPr>
            <w:tcW w:w="3686" w:type="dxa"/>
            <w:shd w:val="clear" w:color="auto" w:fill="auto"/>
          </w:tcPr>
          <w:p w:rsidR="00B90F1F" w:rsidRPr="000F252A" w:rsidRDefault="00B90F1F" w:rsidP="00E6713B">
            <w:pPr>
              <w:spacing w:line="245" w:lineRule="auto"/>
              <w:jc w:val="both"/>
            </w:pPr>
            <w:r w:rsidRPr="000F252A">
              <w:t>Проведение анализа полноты заполнения протоколов исследований и анализа дефектов при проведении исследований в рамках диспансеризации и профилактических медицинских осмотров</w:t>
            </w:r>
          </w:p>
        </w:tc>
        <w:tc>
          <w:tcPr>
            <w:tcW w:w="1474" w:type="dxa"/>
            <w:shd w:val="clear" w:color="auto" w:fill="auto"/>
          </w:tcPr>
          <w:p w:rsidR="00B90F1F" w:rsidRPr="000F252A" w:rsidRDefault="00B90F1F" w:rsidP="00967DD9">
            <w:pPr>
              <w:spacing w:line="245" w:lineRule="auto"/>
              <w:jc w:val="center"/>
            </w:pPr>
            <w:r w:rsidRPr="000F252A">
              <w:t>01.02.202</w:t>
            </w:r>
            <w:r w:rsidR="00967DD9" w:rsidRPr="000F252A">
              <w:t>6</w:t>
            </w:r>
          </w:p>
        </w:tc>
        <w:tc>
          <w:tcPr>
            <w:tcW w:w="1418" w:type="dxa"/>
            <w:shd w:val="clear" w:color="auto" w:fill="auto"/>
          </w:tcPr>
          <w:p w:rsidR="00B90F1F" w:rsidRPr="000F252A" w:rsidRDefault="00B90F1F" w:rsidP="00E6713B">
            <w:pPr>
              <w:spacing w:line="245" w:lineRule="auto"/>
              <w:jc w:val="center"/>
            </w:pPr>
            <w:r w:rsidRPr="000F252A">
              <w:t>31.12.2030</w:t>
            </w:r>
          </w:p>
        </w:tc>
        <w:tc>
          <w:tcPr>
            <w:tcW w:w="3912" w:type="dxa"/>
            <w:shd w:val="clear" w:color="auto" w:fill="auto"/>
          </w:tcPr>
          <w:p w:rsidR="00B90F1F" w:rsidRPr="000F252A" w:rsidRDefault="00C15E85" w:rsidP="00E6713B">
            <w:pPr>
              <w:spacing w:line="245" w:lineRule="auto"/>
              <w:jc w:val="both"/>
            </w:pPr>
            <w:r w:rsidRPr="000F252A">
              <w:t xml:space="preserve">министр здравоохранения </w:t>
            </w:r>
            <w:r w:rsidR="00B90F1F" w:rsidRPr="000F252A">
              <w:t xml:space="preserve">Республики Татарстан А.Р.Абашев, руководители медицинских организаций </w:t>
            </w:r>
            <w:r w:rsidR="00C613B4" w:rsidRPr="000F252A">
              <w:t>Республики Татарстан</w:t>
            </w:r>
          </w:p>
        </w:tc>
        <w:tc>
          <w:tcPr>
            <w:tcW w:w="3969" w:type="dxa"/>
            <w:shd w:val="clear" w:color="auto" w:fill="auto"/>
          </w:tcPr>
          <w:p w:rsidR="00B90F1F" w:rsidRPr="000F252A" w:rsidRDefault="00B90F1F" w:rsidP="009A37BD">
            <w:pPr>
              <w:spacing w:line="245" w:lineRule="auto"/>
              <w:jc w:val="both"/>
            </w:pPr>
            <w:r w:rsidRPr="000F252A">
              <w:t xml:space="preserve">число проанализированных протоколов исследований ежемесячно </w:t>
            </w:r>
            <w:r w:rsidR="001F0D34" w:rsidRPr="000F252A">
              <w:t xml:space="preserve">– </w:t>
            </w:r>
            <w:r w:rsidRPr="000F252A">
              <w:t xml:space="preserve">не менее 5 процентов </w:t>
            </w:r>
          </w:p>
        </w:tc>
      </w:tr>
      <w:tr w:rsidR="00B90F1F" w:rsidRPr="000F252A" w:rsidTr="00AC795F">
        <w:trPr>
          <w:trHeight w:val="20"/>
        </w:trPr>
        <w:tc>
          <w:tcPr>
            <w:tcW w:w="704" w:type="dxa"/>
            <w:shd w:val="clear" w:color="auto" w:fill="auto"/>
          </w:tcPr>
          <w:p w:rsidR="00B90F1F" w:rsidRPr="000F252A" w:rsidRDefault="00B90F1F" w:rsidP="00913B4D">
            <w:pPr>
              <w:spacing w:line="245" w:lineRule="auto"/>
              <w:jc w:val="center"/>
            </w:pPr>
            <w:r w:rsidRPr="000F252A">
              <w:t>2.</w:t>
            </w:r>
            <w:r w:rsidR="00913B4D" w:rsidRPr="000F252A">
              <w:t>20</w:t>
            </w:r>
            <w:r w:rsidRPr="000F252A">
              <w:t>.</w:t>
            </w:r>
          </w:p>
        </w:tc>
        <w:tc>
          <w:tcPr>
            <w:tcW w:w="3686" w:type="dxa"/>
            <w:shd w:val="clear" w:color="auto" w:fill="auto"/>
          </w:tcPr>
          <w:p w:rsidR="00B90F1F" w:rsidRPr="000F252A" w:rsidRDefault="00B90F1F" w:rsidP="00E6713B">
            <w:pPr>
              <w:spacing w:line="245" w:lineRule="auto"/>
              <w:jc w:val="both"/>
            </w:pPr>
            <w:r w:rsidRPr="000F252A">
              <w:t>Проведение анализа качества забора материала для проведения цитологического скрининга предрака и рака шейки матки</w:t>
            </w:r>
          </w:p>
        </w:tc>
        <w:tc>
          <w:tcPr>
            <w:tcW w:w="1474" w:type="dxa"/>
            <w:shd w:val="clear" w:color="auto" w:fill="auto"/>
          </w:tcPr>
          <w:p w:rsidR="00B90F1F" w:rsidRPr="000F252A" w:rsidRDefault="00B90F1F" w:rsidP="00E3781A">
            <w:pPr>
              <w:spacing w:line="245" w:lineRule="auto"/>
              <w:jc w:val="center"/>
            </w:pPr>
            <w:r w:rsidRPr="000F252A">
              <w:t>01.02.202</w:t>
            </w:r>
            <w:r w:rsidR="00E3781A" w:rsidRPr="000F252A">
              <w:t>6</w:t>
            </w:r>
          </w:p>
        </w:tc>
        <w:tc>
          <w:tcPr>
            <w:tcW w:w="1418" w:type="dxa"/>
            <w:shd w:val="clear" w:color="auto" w:fill="auto"/>
          </w:tcPr>
          <w:p w:rsidR="00B90F1F" w:rsidRPr="000F252A" w:rsidRDefault="00B90F1F" w:rsidP="00E6713B">
            <w:pPr>
              <w:spacing w:line="245" w:lineRule="auto"/>
              <w:jc w:val="center"/>
            </w:pPr>
            <w:r w:rsidRPr="000F252A">
              <w:t>31.12.2030</w:t>
            </w:r>
          </w:p>
        </w:tc>
        <w:tc>
          <w:tcPr>
            <w:tcW w:w="3912" w:type="dxa"/>
            <w:shd w:val="clear" w:color="auto" w:fill="auto"/>
          </w:tcPr>
          <w:p w:rsidR="00B90F1F" w:rsidRPr="000F252A" w:rsidRDefault="00C15E85" w:rsidP="00E6713B">
            <w:pPr>
              <w:spacing w:line="245" w:lineRule="auto"/>
              <w:jc w:val="both"/>
            </w:pPr>
            <w:r w:rsidRPr="000F252A">
              <w:t xml:space="preserve">министр здравоохранения </w:t>
            </w:r>
            <w:r w:rsidR="00B90F1F" w:rsidRPr="000F252A">
              <w:t>Республики Татарстан А.Р.Абашев, руководители медицинских организаций</w:t>
            </w:r>
            <w:r w:rsidR="00C613B4" w:rsidRPr="000F252A">
              <w:t xml:space="preserve"> Республики Татарстан</w:t>
            </w:r>
          </w:p>
        </w:tc>
        <w:tc>
          <w:tcPr>
            <w:tcW w:w="3969" w:type="dxa"/>
            <w:shd w:val="clear" w:color="auto" w:fill="auto"/>
          </w:tcPr>
          <w:p w:rsidR="00B90F1F" w:rsidRPr="000F252A" w:rsidRDefault="00B90F1F" w:rsidP="00E6713B">
            <w:pPr>
              <w:spacing w:line="245" w:lineRule="auto"/>
              <w:jc w:val="both"/>
            </w:pPr>
            <w:r w:rsidRPr="000F252A">
              <w:t>ежегодно пересмотр произвольно отобранных «отрицательных» маз</w:t>
            </w:r>
            <w:r w:rsidR="009A37BD">
              <w:t>-</w:t>
            </w:r>
            <w:r w:rsidRPr="000F252A">
              <w:t xml:space="preserve">ков </w:t>
            </w:r>
            <w:r w:rsidR="001F0D34" w:rsidRPr="000F252A">
              <w:t xml:space="preserve">– </w:t>
            </w:r>
            <w:r w:rsidRPr="000F252A">
              <w:t>не менее 0,5 процент</w:t>
            </w:r>
            <w:r w:rsidR="001F0D34" w:rsidRPr="000F252A">
              <w:t>а</w:t>
            </w:r>
            <w:r w:rsidRPr="000F252A">
              <w:t>;</w:t>
            </w:r>
          </w:p>
          <w:p w:rsidR="00B90F1F" w:rsidRPr="000F252A" w:rsidRDefault="00B90F1F" w:rsidP="00E6713B">
            <w:pPr>
              <w:spacing w:line="245" w:lineRule="auto"/>
              <w:jc w:val="both"/>
            </w:pPr>
            <w:r w:rsidRPr="000F252A">
              <w:t xml:space="preserve">неполноценный (неадекватный) материал </w:t>
            </w:r>
            <w:r w:rsidR="001F0D34" w:rsidRPr="000F252A">
              <w:t xml:space="preserve">– </w:t>
            </w:r>
            <w:r w:rsidRPr="000F252A">
              <w:t>не более 0,5 процент</w:t>
            </w:r>
            <w:r w:rsidR="001F0D34" w:rsidRPr="000F252A">
              <w:t>а</w:t>
            </w:r>
          </w:p>
        </w:tc>
      </w:tr>
      <w:tr w:rsidR="00B90F1F" w:rsidRPr="000F252A" w:rsidTr="00AC795F">
        <w:trPr>
          <w:trHeight w:val="20"/>
        </w:trPr>
        <w:tc>
          <w:tcPr>
            <w:tcW w:w="704" w:type="dxa"/>
            <w:shd w:val="clear" w:color="auto" w:fill="auto"/>
          </w:tcPr>
          <w:p w:rsidR="00B90F1F" w:rsidRPr="000F252A" w:rsidRDefault="00B90F1F" w:rsidP="00913B4D">
            <w:pPr>
              <w:spacing w:line="245" w:lineRule="auto"/>
              <w:jc w:val="center"/>
            </w:pPr>
            <w:r w:rsidRPr="000F252A">
              <w:t>2.2</w:t>
            </w:r>
            <w:r w:rsidR="00913B4D" w:rsidRPr="000F252A">
              <w:t>1</w:t>
            </w:r>
            <w:r w:rsidRPr="000F252A">
              <w:t>.</w:t>
            </w:r>
          </w:p>
        </w:tc>
        <w:tc>
          <w:tcPr>
            <w:tcW w:w="3686" w:type="dxa"/>
            <w:shd w:val="clear" w:color="auto" w:fill="auto"/>
          </w:tcPr>
          <w:p w:rsidR="00B90F1F" w:rsidRPr="000F252A" w:rsidRDefault="00B90F1F" w:rsidP="00E6713B">
            <w:pPr>
              <w:spacing w:line="245" w:lineRule="auto"/>
              <w:jc w:val="both"/>
            </w:pPr>
            <w:r w:rsidRPr="000F252A">
              <w:t>Доля пациентов, направленных на кольпоскопию в случае выявления отклонений при взятии мазков шейки матки</w:t>
            </w:r>
          </w:p>
        </w:tc>
        <w:tc>
          <w:tcPr>
            <w:tcW w:w="1474" w:type="dxa"/>
            <w:shd w:val="clear" w:color="auto" w:fill="auto"/>
          </w:tcPr>
          <w:p w:rsidR="00B90F1F" w:rsidRPr="000F252A" w:rsidRDefault="00B90F1F" w:rsidP="00E3781A">
            <w:pPr>
              <w:spacing w:line="245" w:lineRule="auto"/>
              <w:jc w:val="center"/>
            </w:pPr>
            <w:r w:rsidRPr="000F252A">
              <w:t>01.02.202</w:t>
            </w:r>
            <w:r w:rsidR="00E3781A" w:rsidRPr="000F252A">
              <w:t>6</w:t>
            </w:r>
          </w:p>
        </w:tc>
        <w:tc>
          <w:tcPr>
            <w:tcW w:w="1418" w:type="dxa"/>
            <w:shd w:val="clear" w:color="auto" w:fill="auto"/>
          </w:tcPr>
          <w:p w:rsidR="00B90F1F" w:rsidRPr="000F252A" w:rsidRDefault="00B90F1F" w:rsidP="00E6713B">
            <w:pPr>
              <w:spacing w:line="245" w:lineRule="auto"/>
              <w:jc w:val="center"/>
            </w:pPr>
            <w:r w:rsidRPr="000F252A">
              <w:t>31.12.2030</w:t>
            </w:r>
          </w:p>
        </w:tc>
        <w:tc>
          <w:tcPr>
            <w:tcW w:w="3912" w:type="dxa"/>
            <w:shd w:val="clear" w:color="auto" w:fill="auto"/>
          </w:tcPr>
          <w:p w:rsidR="00B90F1F" w:rsidRPr="000F252A" w:rsidRDefault="00C15E85" w:rsidP="00E6713B">
            <w:pPr>
              <w:spacing w:line="245" w:lineRule="auto"/>
              <w:jc w:val="both"/>
            </w:pPr>
            <w:r w:rsidRPr="000F252A">
              <w:t xml:space="preserve">министр здравоохранения </w:t>
            </w:r>
            <w:r w:rsidR="00B90F1F" w:rsidRPr="000F252A">
              <w:t>Республики Татарстан А.Р.Абашев, руководители медицинских организаций</w:t>
            </w:r>
            <w:r w:rsidR="00C613B4" w:rsidRPr="000F252A">
              <w:t xml:space="preserve"> Республики Татарстан</w:t>
            </w:r>
          </w:p>
        </w:tc>
        <w:tc>
          <w:tcPr>
            <w:tcW w:w="3969" w:type="dxa"/>
            <w:shd w:val="clear" w:color="auto" w:fill="auto"/>
          </w:tcPr>
          <w:p w:rsidR="00B90F1F" w:rsidRPr="000F252A" w:rsidRDefault="00B90F1F" w:rsidP="00E6713B">
            <w:pPr>
              <w:spacing w:line="245" w:lineRule="auto"/>
              <w:jc w:val="both"/>
            </w:pPr>
            <w:r w:rsidRPr="000F252A">
              <w:t xml:space="preserve">ежегодно направлены на кольпоскопию в случае выявления отклонений при взятии мазков шейки матки </w:t>
            </w:r>
            <w:r w:rsidR="00BC096D" w:rsidRPr="000F252A">
              <w:t>–</w:t>
            </w:r>
            <w:r w:rsidRPr="000F252A">
              <w:t xml:space="preserve"> </w:t>
            </w:r>
            <w:r w:rsidR="009A37BD">
              <w:br/>
            </w:r>
            <w:r w:rsidRPr="000F252A">
              <w:t>не менее 95 процентов</w:t>
            </w:r>
          </w:p>
        </w:tc>
      </w:tr>
      <w:tr w:rsidR="00B90F1F" w:rsidRPr="000F252A" w:rsidTr="00AC795F">
        <w:trPr>
          <w:trHeight w:val="20"/>
        </w:trPr>
        <w:tc>
          <w:tcPr>
            <w:tcW w:w="704" w:type="dxa"/>
            <w:shd w:val="clear" w:color="auto" w:fill="auto"/>
          </w:tcPr>
          <w:p w:rsidR="00B90F1F" w:rsidRPr="000F252A" w:rsidRDefault="00B90F1F" w:rsidP="00913B4D">
            <w:pPr>
              <w:spacing w:line="245" w:lineRule="auto"/>
              <w:jc w:val="center"/>
            </w:pPr>
            <w:r w:rsidRPr="000F252A">
              <w:t>2.2</w:t>
            </w:r>
            <w:r w:rsidR="00913B4D" w:rsidRPr="000F252A">
              <w:t>2</w:t>
            </w:r>
            <w:r w:rsidRPr="000F252A">
              <w:t>.</w:t>
            </w:r>
          </w:p>
        </w:tc>
        <w:tc>
          <w:tcPr>
            <w:tcW w:w="3686" w:type="dxa"/>
            <w:shd w:val="clear" w:color="auto" w:fill="auto"/>
          </w:tcPr>
          <w:p w:rsidR="00B90F1F" w:rsidRPr="000F252A" w:rsidRDefault="00B90F1F" w:rsidP="00E6713B">
            <w:pPr>
              <w:spacing w:line="245" w:lineRule="auto"/>
              <w:jc w:val="both"/>
            </w:pPr>
            <w:r w:rsidRPr="000F252A">
              <w:t>Доля лиц с положительным тестом кала на скрытую кровь, прошедших на II этапе диспансеризации ректороманоскопию/колоноскопию</w:t>
            </w:r>
          </w:p>
        </w:tc>
        <w:tc>
          <w:tcPr>
            <w:tcW w:w="1474" w:type="dxa"/>
            <w:shd w:val="clear" w:color="auto" w:fill="auto"/>
          </w:tcPr>
          <w:p w:rsidR="00B90F1F" w:rsidRPr="000F252A" w:rsidRDefault="00B90F1F" w:rsidP="00E3781A">
            <w:pPr>
              <w:spacing w:line="245" w:lineRule="auto"/>
              <w:jc w:val="center"/>
            </w:pPr>
            <w:r w:rsidRPr="000F252A">
              <w:t>01.02.202</w:t>
            </w:r>
            <w:r w:rsidR="00E3781A" w:rsidRPr="000F252A">
              <w:t>6</w:t>
            </w:r>
          </w:p>
        </w:tc>
        <w:tc>
          <w:tcPr>
            <w:tcW w:w="1418" w:type="dxa"/>
            <w:shd w:val="clear" w:color="auto" w:fill="auto"/>
          </w:tcPr>
          <w:p w:rsidR="00B90F1F" w:rsidRPr="000F252A" w:rsidRDefault="00B90F1F" w:rsidP="00E6713B">
            <w:pPr>
              <w:spacing w:line="245" w:lineRule="auto"/>
              <w:jc w:val="center"/>
            </w:pPr>
            <w:r w:rsidRPr="000F252A">
              <w:t>31.12.2030</w:t>
            </w:r>
          </w:p>
        </w:tc>
        <w:tc>
          <w:tcPr>
            <w:tcW w:w="3912" w:type="dxa"/>
            <w:shd w:val="clear" w:color="auto" w:fill="auto"/>
          </w:tcPr>
          <w:p w:rsidR="00B90F1F" w:rsidRPr="000F252A" w:rsidRDefault="00C15E85" w:rsidP="00F128D1">
            <w:pPr>
              <w:spacing w:line="245" w:lineRule="auto"/>
              <w:jc w:val="both"/>
            </w:pPr>
            <w:r w:rsidRPr="000F252A">
              <w:t xml:space="preserve">министр здравоохранения </w:t>
            </w:r>
            <w:r w:rsidR="00B90F1F" w:rsidRPr="000F252A">
              <w:t>Республики Та</w:t>
            </w:r>
            <w:r w:rsidR="00E6713B" w:rsidRPr="000F252A">
              <w:t>-тарстан А.Р.Абашев, руководи</w:t>
            </w:r>
            <w:r w:rsidR="00B90F1F" w:rsidRPr="000F252A">
              <w:t>тели медицинских организаций</w:t>
            </w:r>
            <w:r w:rsidR="00C613B4" w:rsidRPr="000F252A">
              <w:t xml:space="preserve"> Республики Татарстан</w:t>
            </w:r>
          </w:p>
        </w:tc>
        <w:tc>
          <w:tcPr>
            <w:tcW w:w="3969" w:type="dxa"/>
            <w:shd w:val="clear" w:color="auto" w:fill="auto"/>
          </w:tcPr>
          <w:p w:rsidR="00B90F1F" w:rsidRPr="000F252A" w:rsidRDefault="00B90F1F" w:rsidP="00E6713B">
            <w:pPr>
              <w:spacing w:line="245" w:lineRule="auto"/>
              <w:jc w:val="both"/>
            </w:pPr>
            <w:r w:rsidRPr="000F252A">
              <w:t>ежегодно проведена ректороманос</w:t>
            </w:r>
            <w:r w:rsidR="00B50819">
              <w:t>копия (</w:t>
            </w:r>
            <w:r w:rsidRPr="000F252A">
              <w:t>колоноскопия</w:t>
            </w:r>
            <w:r w:rsidR="00B50819">
              <w:t>)</w:t>
            </w:r>
            <w:r w:rsidRPr="000F252A">
              <w:t xml:space="preserve"> – не менее </w:t>
            </w:r>
            <w:r w:rsidR="00B50819">
              <w:br/>
            </w:r>
            <w:r w:rsidRPr="000F252A">
              <w:t>70 процентов</w:t>
            </w:r>
          </w:p>
        </w:tc>
      </w:tr>
      <w:tr w:rsidR="00B90F1F" w:rsidRPr="000F252A" w:rsidTr="00AC795F">
        <w:trPr>
          <w:trHeight w:val="20"/>
        </w:trPr>
        <w:tc>
          <w:tcPr>
            <w:tcW w:w="704" w:type="dxa"/>
            <w:shd w:val="clear" w:color="auto" w:fill="auto"/>
          </w:tcPr>
          <w:p w:rsidR="00B90F1F" w:rsidRPr="000F252A" w:rsidRDefault="00B90F1F" w:rsidP="00913B4D">
            <w:pPr>
              <w:jc w:val="center"/>
            </w:pPr>
            <w:r w:rsidRPr="000F252A">
              <w:t>2.2</w:t>
            </w:r>
            <w:r w:rsidR="00913B4D" w:rsidRPr="000F252A">
              <w:t>3</w:t>
            </w:r>
            <w:r w:rsidRPr="000F252A">
              <w:t>.</w:t>
            </w:r>
          </w:p>
        </w:tc>
        <w:tc>
          <w:tcPr>
            <w:tcW w:w="3686" w:type="dxa"/>
            <w:shd w:val="clear" w:color="auto" w:fill="auto"/>
          </w:tcPr>
          <w:p w:rsidR="00B90F1F" w:rsidRPr="000F252A" w:rsidRDefault="00B90F1F" w:rsidP="002B09DE">
            <w:pPr>
              <w:jc w:val="both"/>
            </w:pPr>
            <w:r w:rsidRPr="000F252A">
              <w:t>Доля лиц, направленных на консультацию к врачу-онкологу при выявлении на маммографии отклонений по классификации BI-RADS III и IV</w:t>
            </w:r>
          </w:p>
        </w:tc>
        <w:tc>
          <w:tcPr>
            <w:tcW w:w="1474" w:type="dxa"/>
            <w:shd w:val="clear" w:color="auto" w:fill="auto"/>
          </w:tcPr>
          <w:p w:rsidR="00B90F1F" w:rsidRPr="000F252A" w:rsidRDefault="00B90F1F" w:rsidP="00E3781A">
            <w:pPr>
              <w:jc w:val="center"/>
            </w:pPr>
            <w:r w:rsidRPr="000F252A">
              <w:t>01.02.202</w:t>
            </w:r>
            <w:r w:rsidR="00E3781A" w:rsidRPr="000F252A">
              <w:t>6</w:t>
            </w:r>
          </w:p>
        </w:tc>
        <w:tc>
          <w:tcPr>
            <w:tcW w:w="1418" w:type="dxa"/>
            <w:shd w:val="clear" w:color="auto" w:fill="auto"/>
          </w:tcPr>
          <w:p w:rsidR="00B90F1F" w:rsidRPr="000F252A" w:rsidRDefault="00B90F1F" w:rsidP="002B09DE">
            <w:pPr>
              <w:jc w:val="center"/>
            </w:pPr>
            <w:r w:rsidRPr="000F252A">
              <w:t>31.12.2030</w:t>
            </w:r>
          </w:p>
        </w:tc>
        <w:tc>
          <w:tcPr>
            <w:tcW w:w="3912" w:type="dxa"/>
            <w:shd w:val="clear" w:color="auto" w:fill="auto"/>
          </w:tcPr>
          <w:p w:rsidR="00B90F1F" w:rsidRPr="000F252A" w:rsidRDefault="00C15E85" w:rsidP="002B09DE">
            <w:pPr>
              <w:jc w:val="both"/>
            </w:pPr>
            <w:r w:rsidRPr="000F252A">
              <w:t xml:space="preserve">министр здравоохранения </w:t>
            </w:r>
            <w:r w:rsidR="00B90F1F" w:rsidRPr="000F252A">
              <w:t>Республики Татарстан А.Р.Абашев, руководители медицинских организаций</w:t>
            </w:r>
            <w:r w:rsidR="00C613B4" w:rsidRPr="000F252A">
              <w:t xml:space="preserve"> Республики Татарстан</w:t>
            </w:r>
          </w:p>
        </w:tc>
        <w:tc>
          <w:tcPr>
            <w:tcW w:w="3969" w:type="dxa"/>
            <w:shd w:val="clear" w:color="auto" w:fill="auto"/>
          </w:tcPr>
          <w:p w:rsidR="00B90F1F" w:rsidRPr="000F252A" w:rsidRDefault="00B90F1F" w:rsidP="002B09DE">
            <w:pPr>
              <w:jc w:val="both"/>
            </w:pPr>
            <w:r w:rsidRPr="000F252A">
              <w:t xml:space="preserve">ежегодно направлены на консультацию к врачу-онкологу – не менее </w:t>
            </w:r>
            <w:r w:rsidR="00B50819">
              <w:br/>
            </w:r>
            <w:r w:rsidRPr="000F252A">
              <w:t>95 процентов</w:t>
            </w:r>
          </w:p>
        </w:tc>
      </w:tr>
      <w:tr w:rsidR="00B90F1F" w:rsidRPr="000F252A" w:rsidTr="00AC795F">
        <w:trPr>
          <w:trHeight w:val="20"/>
        </w:trPr>
        <w:tc>
          <w:tcPr>
            <w:tcW w:w="704" w:type="dxa"/>
            <w:shd w:val="clear" w:color="auto" w:fill="auto"/>
          </w:tcPr>
          <w:p w:rsidR="00B90F1F" w:rsidRPr="000F252A" w:rsidRDefault="00B90F1F" w:rsidP="00913B4D">
            <w:pPr>
              <w:jc w:val="center"/>
            </w:pPr>
            <w:r w:rsidRPr="000F252A">
              <w:t>2.2</w:t>
            </w:r>
            <w:r w:rsidR="00913B4D" w:rsidRPr="000F252A">
              <w:t>4</w:t>
            </w:r>
            <w:r w:rsidRPr="000F252A">
              <w:t>.</w:t>
            </w:r>
          </w:p>
        </w:tc>
        <w:tc>
          <w:tcPr>
            <w:tcW w:w="3686" w:type="dxa"/>
            <w:shd w:val="clear" w:color="auto" w:fill="auto"/>
          </w:tcPr>
          <w:p w:rsidR="00B90F1F" w:rsidRPr="000F252A" w:rsidRDefault="00B90F1F" w:rsidP="00E6713B">
            <w:pPr>
              <w:jc w:val="both"/>
            </w:pPr>
            <w:r w:rsidRPr="000F252A">
              <w:t>Обеспечение выполнения исследования эзофагогастродуоденоскопии в соответствии с п</w:t>
            </w:r>
            <w:r w:rsidR="00E6713B" w:rsidRPr="000F252A">
              <w:t xml:space="preserve">унктом </w:t>
            </w:r>
            <w:r w:rsidRPr="000F252A">
              <w:t xml:space="preserve">17 Порядка проведения профилактического медицинского осмотра и диспансеризации определенных групп взрослого населения, утвержденного </w:t>
            </w:r>
            <w:r w:rsidR="001F0D34" w:rsidRPr="000F252A">
              <w:t xml:space="preserve">приказом Министерства здравоохранения Российской Федерации от 27 апреля 2021 г. </w:t>
            </w:r>
            <w:r w:rsidR="00C7649F" w:rsidRPr="000F252A">
              <w:br/>
            </w:r>
            <w:r w:rsidR="001F0D34" w:rsidRPr="000F252A">
              <w:t>№</w:t>
            </w:r>
            <w:r w:rsidR="00A52A3B" w:rsidRPr="000F252A">
              <w:t xml:space="preserve"> </w:t>
            </w:r>
            <w:r w:rsidR="001F0D34" w:rsidRPr="000F252A">
              <w:t xml:space="preserve">404н «Об утверждении Порядка проведения профилактического медицинского осмотра и диспансеризации определенных групп взрослого населения» </w:t>
            </w:r>
          </w:p>
        </w:tc>
        <w:tc>
          <w:tcPr>
            <w:tcW w:w="1474" w:type="dxa"/>
            <w:shd w:val="clear" w:color="auto" w:fill="auto"/>
          </w:tcPr>
          <w:p w:rsidR="00B90F1F" w:rsidRPr="000F252A" w:rsidRDefault="00B262AF" w:rsidP="002B09DE">
            <w:pPr>
              <w:jc w:val="center"/>
            </w:pPr>
            <w:r w:rsidRPr="000F252A">
              <w:t>01.02.2026</w:t>
            </w:r>
          </w:p>
        </w:tc>
        <w:tc>
          <w:tcPr>
            <w:tcW w:w="1418" w:type="dxa"/>
            <w:shd w:val="clear" w:color="auto" w:fill="auto"/>
          </w:tcPr>
          <w:p w:rsidR="00B90F1F" w:rsidRPr="000F252A" w:rsidRDefault="00B90F1F" w:rsidP="002B09DE">
            <w:pPr>
              <w:jc w:val="center"/>
            </w:pPr>
            <w:r w:rsidRPr="000F252A">
              <w:t>31.12.2030</w:t>
            </w:r>
          </w:p>
        </w:tc>
        <w:tc>
          <w:tcPr>
            <w:tcW w:w="3912" w:type="dxa"/>
            <w:shd w:val="clear" w:color="auto" w:fill="auto"/>
          </w:tcPr>
          <w:p w:rsidR="00B90F1F" w:rsidRPr="000F252A" w:rsidRDefault="00C15E85" w:rsidP="002B09DE">
            <w:pPr>
              <w:jc w:val="both"/>
            </w:pPr>
            <w:r w:rsidRPr="000F252A">
              <w:t xml:space="preserve">министр здравоохранения </w:t>
            </w:r>
            <w:r w:rsidR="00B90F1F" w:rsidRPr="000F252A">
              <w:t xml:space="preserve">Республики Татарстан А.Р.Абашев, руководители медицинских организаций </w:t>
            </w:r>
            <w:r w:rsidR="00C613B4" w:rsidRPr="000F252A">
              <w:t>Республики Татарстан</w:t>
            </w:r>
          </w:p>
        </w:tc>
        <w:tc>
          <w:tcPr>
            <w:tcW w:w="3969" w:type="dxa"/>
            <w:shd w:val="clear" w:color="auto" w:fill="auto"/>
          </w:tcPr>
          <w:p w:rsidR="00B90F1F" w:rsidRPr="000F252A" w:rsidRDefault="00B90F1F" w:rsidP="002B09DE">
            <w:pPr>
              <w:jc w:val="both"/>
            </w:pPr>
            <w:r w:rsidRPr="000F252A">
              <w:t xml:space="preserve">ежегодно проведена эзофагогастродуоденоскопия – не менее </w:t>
            </w:r>
            <w:r w:rsidR="00B50819">
              <w:br/>
            </w:r>
            <w:r w:rsidRPr="000F252A">
              <w:t>80 процентов от планового значения</w:t>
            </w:r>
          </w:p>
        </w:tc>
      </w:tr>
      <w:tr w:rsidR="00B90F1F" w:rsidRPr="009D3B11" w:rsidTr="00AC795F">
        <w:trPr>
          <w:trHeight w:val="20"/>
        </w:trPr>
        <w:tc>
          <w:tcPr>
            <w:tcW w:w="704" w:type="dxa"/>
            <w:shd w:val="clear" w:color="auto" w:fill="auto"/>
          </w:tcPr>
          <w:p w:rsidR="00B90F1F" w:rsidRPr="000F252A" w:rsidRDefault="00B90F1F" w:rsidP="00913B4D">
            <w:pPr>
              <w:jc w:val="center"/>
            </w:pPr>
            <w:r w:rsidRPr="000F252A">
              <w:t>2.2</w:t>
            </w:r>
            <w:r w:rsidR="00913B4D" w:rsidRPr="000F252A">
              <w:t>5</w:t>
            </w:r>
            <w:r w:rsidRPr="000F252A">
              <w:t>.</w:t>
            </w:r>
          </w:p>
        </w:tc>
        <w:tc>
          <w:tcPr>
            <w:tcW w:w="3686" w:type="dxa"/>
            <w:shd w:val="clear" w:color="auto" w:fill="auto"/>
          </w:tcPr>
          <w:p w:rsidR="00B90F1F" w:rsidRPr="000F252A" w:rsidRDefault="00B90F1F" w:rsidP="00AA5E87">
            <w:pPr>
              <w:jc w:val="both"/>
            </w:pPr>
            <w:r w:rsidRPr="000F252A">
              <w:rPr>
                <w:color w:val="0D0D0D" w:themeColor="text1" w:themeTint="F2"/>
              </w:rPr>
              <w:t>Проведение стоматологического скрининга (а</w:t>
            </w:r>
            <w:r w:rsidRPr="000F252A">
              <w:rPr>
                <w:color w:val="0D0D0D" w:themeColor="text1" w:themeTint="F2"/>
                <w:shd w:val="clear" w:color="auto" w:fill="FFFFFF"/>
              </w:rPr>
              <w:t xml:space="preserve">утофлуоресцентная стоматоскопия) </w:t>
            </w:r>
            <w:r w:rsidRPr="000F252A">
              <w:rPr>
                <w:color w:val="0D0D0D" w:themeColor="text1" w:themeTint="F2"/>
              </w:rPr>
              <w:t>на территории Республики Татарстан в рамках приказов Министерства здравоохранения Республики Татарстан от 05</w:t>
            </w:r>
            <w:r w:rsidR="008F21D3" w:rsidRPr="000F252A">
              <w:rPr>
                <w:color w:val="0D0D0D" w:themeColor="text1" w:themeTint="F2"/>
              </w:rPr>
              <w:t>.</w:t>
            </w:r>
            <w:r w:rsidRPr="000F252A">
              <w:rPr>
                <w:color w:val="0D0D0D" w:themeColor="text1" w:themeTint="F2"/>
              </w:rPr>
              <w:t>08</w:t>
            </w:r>
            <w:r w:rsidR="008F21D3" w:rsidRPr="000F252A">
              <w:rPr>
                <w:color w:val="0D0D0D" w:themeColor="text1" w:themeTint="F2"/>
              </w:rPr>
              <w:t>.</w:t>
            </w:r>
            <w:r w:rsidRPr="000F252A">
              <w:rPr>
                <w:color w:val="0D0D0D" w:themeColor="text1" w:themeTint="F2"/>
              </w:rPr>
              <w:t>2021 № 1583 «Об организации работы врачей стоматологическ</w:t>
            </w:r>
            <w:r w:rsidR="00773CD5" w:rsidRPr="000F252A">
              <w:rPr>
                <w:color w:val="0D0D0D" w:themeColor="text1" w:themeTint="F2"/>
              </w:rPr>
              <w:t>ого профиля по раннему выявлени</w:t>
            </w:r>
            <w:r w:rsidRPr="000F252A">
              <w:rPr>
                <w:color w:val="0D0D0D" w:themeColor="text1" w:themeTint="F2"/>
              </w:rPr>
              <w:t>ю онкологических забол</w:t>
            </w:r>
            <w:r w:rsidR="00AA5E87">
              <w:rPr>
                <w:color w:val="0D0D0D" w:themeColor="text1" w:themeTint="F2"/>
              </w:rPr>
              <w:t>еваний визуальных локализаций»</w:t>
            </w:r>
          </w:p>
        </w:tc>
        <w:tc>
          <w:tcPr>
            <w:tcW w:w="1474" w:type="dxa"/>
            <w:shd w:val="clear" w:color="auto" w:fill="auto"/>
          </w:tcPr>
          <w:p w:rsidR="00B90F1F" w:rsidRPr="000F252A" w:rsidRDefault="00B262AF" w:rsidP="002B09DE">
            <w:pPr>
              <w:jc w:val="center"/>
            </w:pPr>
            <w:r w:rsidRPr="000F252A">
              <w:t>09.01.2026</w:t>
            </w:r>
          </w:p>
        </w:tc>
        <w:tc>
          <w:tcPr>
            <w:tcW w:w="1418" w:type="dxa"/>
            <w:shd w:val="clear" w:color="auto" w:fill="auto"/>
          </w:tcPr>
          <w:p w:rsidR="00B90F1F" w:rsidRPr="000F252A" w:rsidRDefault="00B90F1F" w:rsidP="002B09DE">
            <w:pPr>
              <w:jc w:val="center"/>
            </w:pPr>
            <w:r w:rsidRPr="000F252A">
              <w:t>31.12.2030</w:t>
            </w:r>
          </w:p>
        </w:tc>
        <w:tc>
          <w:tcPr>
            <w:tcW w:w="3912" w:type="dxa"/>
            <w:shd w:val="clear" w:color="auto" w:fill="auto"/>
          </w:tcPr>
          <w:p w:rsidR="00B90F1F" w:rsidRPr="000F252A" w:rsidRDefault="00783F2D" w:rsidP="002B09DE">
            <w:pPr>
              <w:jc w:val="both"/>
            </w:pPr>
            <w:r w:rsidRPr="000F252A">
              <w:t>г</w:t>
            </w:r>
            <w:r w:rsidR="00B90F1F" w:rsidRPr="000F252A">
              <w:t>лавный врач ГАУЗ «Республиканская стоматологическая поликлиника Министерства здравоохранения Республики Татарстан» Л.Д.Муратова, руководители медицинских организаций</w:t>
            </w:r>
            <w:r w:rsidR="00D2799E" w:rsidRPr="000F252A">
              <w:t xml:space="preserve"> Республики Татарстан</w:t>
            </w:r>
          </w:p>
        </w:tc>
        <w:tc>
          <w:tcPr>
            <w:tcW w:w="3969" w:type="dxa"/>
            <w:shd w:val="clear" w:color="auto" w:fill="auto"/>
          </w:tcPr>
          <w:p w:rsidR="00B90F1F" w:rsidRPr="000F252A" w:rsidRDefault="00B90F1F" w:rsidP="002B09DE">
            <w:pPr>
              <w:jc w:val="both"/>
            </w:pPr>
            <w:r w:rsidRPr="000F252A">
              <w:t xml:space="preserve">ежегодно охват стоматологическим скринингом контингента пациентов из группы риска </w:t>
            </w:r>
            <w:r w:rsidR="008F21D3" w:rsidRPr="000F252A">
              <w:t xml:space="preserve">– </w:t>
            </w:r>
            <w:r w:rsidRPr="000F252A">
              <w:t>не менее 80 процентов</w:t>
            </w:r>
          </w:p>
        </w:tc>
      </w:tr>
      <w:tr w:rsidR="00727D29" w:rsidRPr="009D3B11" w:rsidTr="00AC795F">
        <w:trPr>
          <w:trHeight w:val="20"/>
        </w:trPr>
        <w:tc>
          <w:tcPr>
            <w:tcW w:w="704" w:type="dxa"/>
            <w:shd w:val="clear" w:color="auto" w:fill="auto"/>
          </w:tcPr>
          <w:p w:rsidR="00727D29" w:rsidRPr="00B50819" w:rsidRDefault="00727D29" w:rsidP="00913B4D">
            <w:pPr>
              <w:jc w:val="center"/>
            </w:pPr>
            <w:r w:rsidRPr="00B50819">
              <w:t>2.26</w:t>
            </w:r>
          </w:p>
        </w:tc>
        <w:tc>
          <w:tcPr>
            <w:tcW w:w="3686" w:type="dxa"/>
            <w:shd w:val="clear" w:color="auto" w:fill="auto"/>
          </w:tcPr>
          <w:p w:rsidR="00727D29" w:rsidRPr="00B50819" w:rsidRDefault="00727D29" w:rsidP="00AA5E87">
            <w:pPr>
              <w:jc w:val="both"/>
              <w:rPr>
                <w:color w:val="0D0D0D" w:themeColor="text1" w:themeTint="F2"/>
              </w:rPr>
            </w:pPr>
            <w:r w:rsidRPr="00B50819">
              <w:rPr>
                <w:color w:val="0D0D0D" w:themeColor="text1" w:themeTint="F2"/>
              </w:rPr>
              <w:t>Контроль деятельност</w:t>
            </w:r>
            <w:r w:rsidR="00AA5E87" w:rsidRPr="00B50819">
              <w:rPr>
                <w:color w:val="0D0D0D" w:themeColor="text1" w:themeTint="F2"/>
              </w:rPr>
              <w:t xml:space="preserve">и центров амбулаторной онкологической помощи </w:t>
            </w:r>
            <w:r w:rsidRPr="00B50819">
              <w:rPr>
                <w:color w:val="0D0D0D" w:themeColor="text1" w:themeTint="F2"/>
              </w:rPr>
              <w:t>в части повышения эффективности их деятельности</w:t>
            </w:r>
          </w:p>
        </w:tc>
        <w:tc>
          <w:tcPr>
            <w:tcW w:w="1474" w:type="dxa"/>
            <w:shd w:val="clear" w:color="auto" w:fill="auto"/>
          </w:tcPr>
          <w:p w:rsidR="00727D29" w:rsidRPr="00B50819" w:rsidRDefault="00727D29" w:rsidP="002B09DE">
            <w:pPr>
              <w:jc w:val="center"/>
            </w:pPr>
            <w:r w:rsidRPr="00B50819">
              <w:t>09.01.2026</w:t>
            </w:r>
          </w:p>
        </w:tc>
        <w:tc>
          <w:tcPr>
            <w:tcW w:w="1418" w:type="dxa"/>
            <w:shd w:val="clear" w:color="auto" w:fill="auto"/>
          </w:tcPr>
          <w:p w:rsidR="00727D29" w:rsidRPr="00B50819" w:rsidRDefault="00727D29" w:rsidP="002B09DE">
            <w:pPr>
              <w:jc w:val="center"/>
            </w:pPr>
            <w:r w:rsidRPr="00B50819">
              <w:t>31.12.2030</w:t>
            </w:r>
          </w:p>
        </w:tc>
        <w:tc>
          <w:tcPr>
            <w:tcW w:w="3912" w:type="dxa"/>
            <w:shd w:val="clear" w:color="auto" w:fill="auto"/>
          </w:tcPr>
          <w:p w:rsidR="00727D29" w:rsidRPr="00B50819" w:rsidRDefault="00382710" w:rsidP="00382710">
            <w:pPr>
              <w:jc w:val="both"/>
            </w:pPr>
            <w:r w:rsidRPr="00B50819">
              <w:t>г</w:t>
            </w:r>
            <w:r w:rsidR="005C79CA" w:rsidRPr="00B50819">
              <w:t xml:space="preserve">лавный врач ГАУЗ </w:t>
            </w:r>
            <w:r w:rsidR="005C79CA" w:rsidRPr="00B50819">
              <w:rPr>
                <w:rFonts w:eastAsia="Arial"/>
              </w:rPr>
              <w:t>«РКОД МЗ РТ им.проф.М.З.Сигала»</w:t>
            </w:r>
            <w:r w:rsidR="005C79CA" w:rsidRPr="00B50819">
              <w:t xml:space="preserve"> М.Ф.Мухамадеев, руководители медицинских организаций Республики Татарстан</w:t>
            </w:r>
          </w:p>
        </w:tc>
        <w:tc>
          <w:tcPr>
            <w:tcW w:w="3969" w:type="dxa"/>
            <w:shd w:val="clear" w:color="auto" w:fill="auto"/>
          </w:tcPr>
          <w:p w:rsidR="00727D29" w:rsidRPr="00B50819" w:rsidRDefault="004477BD" w:rsidP="004477BD">
            <w:pPr>
              <w:jc w:val="both"/>
            </w:pPr>
            <w:r w:rsidRPr="00B50819">
              <w:t xml:space="preserve">отделом онкологических консилиумов и координации лекарственного обеспечения ГАУЗ «РКОД МЗ РТ им.проф.М.З.Сигала» еженедельно проводятся телемедицинские консультации с </w:t>
            </w:r>
            <w:r w:rsidR="00AA5E87" w:rsidRPr="00B50819">
              <w:t>9</w:t>
            </w:r>
            <w:r w:rsidR="002A189B" w:rsidRPr="00B50819">
              <w:t xml:space="preserve"> </w:t>
            </w:r>
            <w:r w:rsidRPr="00B50819">
              <w:t>центрами амбулаторной онкологической помощи в целях совешенствования маршрутизации пациентов</w:t>
            </w:r>
          </w:p>
        </w:tc>
      </w:tr>
      <w:tr w:rsidR="00B90F1F" w:rsidRPr="009D3B11" w:rsidTr="005735AD">
        <w:trPr>
          <w:trHeight w:val="20"/>
        </w:trPr>
        <w:tc>
          <w:tcPr>
            <w:tcW w:w="15163" w:type="dxa"/>
            <w:gridSpan w:val="6"/>
            <w:shd w:val="clear" w:color="auto" w:fill="auto"/>
          </w:tcPr>
          <w:p w:rsidR="00B90F1F" w:rsidRPr="000F252A" w:rsidRDefault="00B90F1F" w:rsidP="00E6713B">
            <w:pPr>
              <w:jc w:val="center"/>
            </w:pPr>
            <w:r w:rsidRPr="000F252A">
              <w:t>3. Совершенствование порядка маршрутизации пациентов с онкологическими заболеваниями</w:t>
            </w:r>
          </w:p>
        </w:tc>
      </w:tr>
      <w:tr w:rsidR="00B90F1F" w:rsidRPr="009D3B11" w:rsidTr="00AC795F">
        <w:trPr>
          <w:trHeight w:val="20"/>
        </w:trPr>
        <w:tc>
          <w:tcPr>
            <w:tcW w:w="704" w:type="dxa"/>
            <w:shd w:val="clear" w:color="auto" w:fill="auto"/>
          </w:tcPr>
          <w:p w:rsidR="00B90F1F" w:rsidRPr="009D3B11" w:rsidRDefault="00B90F1F" w:rsidP="00A52A3B">
            <w:pPr>
              <w:jc w:val="center"/>
              <w:rPr>
                <w:highlight w:val="green"/>
              </w:rPr>
            </w:pPr>
            <w:r w:rsidRPr="000F252A">
              <w:t>3.1.</w:t>
            </w:r>
          </w:p>
        </w:tc>
        <w:tc>
          <w:tcPr>
            <w:tcW w:w="3686" w:type="dxa"/>
            <w:shd w:val="clear" w:color="auto" w:fill="auto"/>
          </w:tcPr>
          <w:p w:rsidR="00B90F1F" w:rsidRPr="00B411FA" w:rsidRDefault="00B90F1F" w:rsidP="00B411FA">
            <w:pPr>
              <w:jc w:val="both"/>
            </w:pPr>
            <w:r w:rsidRPr="00B411FA">
              <w:t>Ежегодное уточнение маршрутизации пациентов с онкологическими заболеваниями</w:t>
            </w:r>
            <w:r w:rsidR="00B411FA" w:rsidRPr="00B411FA">
              <w:t xml:space="preserve"> </w:t>
            </w:r>
          </w:p>
        </w:tc>
        <w:tc>
          <w:tcPr>
            <w:tcW w:w="1474" w:type="dxa"/>
            <w:shd w:val="clear" w:color="auto" w:fill="auto"/>
          </w:tcPr>
          <w:p w:rsidR="00B90F1F" w:rsidRPr="00B411FA" w:rsidRDefault="00B262AF" w:rsidP="00A52A3B">
            <w:pPr>
              <w:jc w:val="center"/>
            </w:pPr>
            <w:r w:rsidRPr="00B411FA">
              <w:t>01.08.2026</w:t>
            </w:r>
          </w:p>
        </w:tc>
        <w:tc>
          <w:tcPr>
            <w:tcW w:w="1418" w:type="dxa"/>
            <w:shd w:val="clear" w:color="auto" w:fill="auto"/>
          </w:tcPr>
          <w:p w:rsidR="00B90F1F" w:rsidRPr="00B411FA" w:rsidRDefault="00B90F1F" w:rsidP="00A52A3B">
            <w:pPr>
              <w:jc w:val="center"/>
            </w:pPr>
            <w:r w:rsidRPr="00B411FA">
              <w:t>01.08.2030</w:t>
            </w:r>
          </w:p>
        </w:tc>
        <w:tc>
          <w:tcPr>
            <w:tcW w:w="3912" w:type="dxa"/>
            <w:shd w:val="clear" w:color="auto" w:fill="auto"/>
          </w:tcPr>
          <w:p w:rsidR="00B90F1F" w:rsidRPr="00B411FA" w:rsidRDefault="00C15E85" w:rsidP="00F128D1">
            <w:pPr>
              <w:jc w:val="both"/>
            </w:pPr>
            <w:r w:rsidRPr="00B411FA">
              <w:t xml:space="preserve">министр здравоохранения </w:t>
            </w:r>
            <w:r w:rsidR="00B90F1F" w:rsidRPr="00B411FA">
              <w:t>Республики Татарстан А.Р.Абашев, главный</w:t>
            </w:r>
            <w:r w:rsidR="005C79CA" w:rsidRPr="00B411FA">
              <w:t xml:space="preserve"> </w:t>
            </w:r>
            <w:r w:rsidR="00B90F1F" w:rsidRPr="00B411FA">
              <w:t xml:space="preserve">врач ГАУЗ </w:t>
            </w:r>
            <w:r w:rsidR="00A52A3B" w:rsidRPr="00B411FA">
              <w:rPr>
                <w:rFonts w:eastAsia="Arial"/>
              </w:rPr>
              <w:t>«РКОД МЗ РТ им.проф.</w:t>
            </w:r>
            <w:r w:rsidR="00B90F1F" w:rsidRPr="00B411FA">
              <w:rPr>
                <w:rFonts w:eastAsia="Arial"/>
              </w:rPr>
              <w:t>М.З.Сигала»</w:t>
            </w:r>
            <w:r w:rsidR="00F128D1" w:rsidRPr="00B411FA">
              <w:t xml:space="preserve"> </w:t>
            </w:r>
            <w:r w:rsidR="00611CD9" w:rsidRPr="00B411FA">
              <w:t>М.Ф.Мухамадеев</w:t>
            </w:r>
          </w:p>
        </w:tc>
        <w:tc>
          <w:tcPr>
            <w:tcW w:w="3969" w:type="dxa"/>
            <w:shd w:val="clear" w:color="auto" w:fill="auto"/>
          </w:tcPr>
          <w:p w:rsidR="00B90F1F" w:rsidRPr="00B411FA" w:rsidRDefault="00B411FA" w:rsidP="00A52A3B">
            <w:pPr>
              <w:jc w:val="both"/>
            </w:pPr>
            <w:r w:rsidRPr="00B50819">
              <w:rPr>
                <w:color w:val="000000" w:themeColor="text1"/>
              </w:rPr>
              <w:t xml:space="preserve">Внесены изменения в </w:t>
            </w:r>
            <w:r w:rsidR="00B90F1F" w:rsidRPr="00B50819">
              <w:rPr>
                <w:color w:val="000000" w:themeColor="text1"/>
              </w:rPr>
              <w:t>приказ Министерства здравоохранения Республики Татарстан</w:t>
            </w:r>
            <w:r w:rsidR="00EB5481" w:rsidRPr="00B50819">
              <w:rPr>
                <w:color w:val="000000" w:themeColor="text1"/>
              </w:rPr>
              <w:t xml:space="preserve"> </w:t>
            </w:r>
            <w:r w:rsidRPr="00B50819">
              <w:rPr>
                <w:color w:val="000000" w:themeColor="text1"/>
              </w:rPr>
              <w:t>от 29.10.2025 № 2510  «</w:t>
            </w:r>
            <w:r w:rsidRPr="00B50819">
              <w:rPr>
                <w:color w:val="000000" w:themeColor="text1"/>
                <w:shd w:val="clear" w:color="auto" w:fill="FFFFFF"/>
              </w:rPr>
              <w:t>О порядке маршрутизации пациентов с подозрением на онкологические заболевания и пациентов с онкологическими заболеваниями (взрослое население) в Республике Татарстан</w:t>
            </w:r>
            <w:r w:rsidRPr="00B50819">
              <w:rPr>
                <w:color w:val="000000" w:themeColor="text1"/>
              </w:rPr>
              <w:t xml:space="preserve">» </w:t>
            </w:r>
            <w:r w:rsidR="00EB5481" w:rsidRPr="00B50819">
              <w:rPr>
                <w:color w:val="000000" w:themeColor="text1"/>
              </w:rPr>
              <w:t>(ежегодно)</w:t>
            </w:r>
          </w:p>
        </w:tc>
      </w:tr>
      <w:tr w:rsidR="00B90F1F" w:rsidRPr="009D3B11" w:rsidTr="00AC795F">
        <w:trPr>
          <w:trHeight w:val="20"/>
        </w:trPr>
        <w:tc>
          <w:tcPr>
            <w:tcW w:w="704" w:type="dxa"/>
            <w:shd w:val="clear" w:color="auto" w:fill="auto"/>
          </w:tcPr>
          <w:p w:rsidR="00B90F1F" w:rsidRPr="000F252A" w:rsidRDefault="00B90F1F" w:rsidP="00D37BB0">
            <w:pPr>
              <w:spacing w:line="230" w:lineRule="auto"/>
              <w:jc w:val="center"/>
            </w:pPr>
            <w:r w:rsidRPr="000F252A">
              <w:t>3.</w:t>
            </w:r>
            <w:r w:rsidR="00D37BB0" w:rsidRPr="000F252A">
              <w:t>2</w:t>
            </w:r>
            <w:r w:rsidRPr="000F252A">
              <w:t>.</w:t>
            </w:r>
          </w:p>
        </w:tc>
        <w:tc>
          <w:tcPr>
            <w:tcW w:w="3686" w:type="dxa"/>
            <w:shd w:val="clear" w:color="auto" w:fill="auto"/>
          </w:tcPr>
          <w:p w:rsidR="00B90F1F" w:rsidRPr="000F252A" w:rsidRDefault="00B90F1F" w:rsidP="00E6713B">
            <w:pPr>
              <w:spacing w:line="230" w:lineRule="auto"/>
              <w:jc w:val="both"/>
            </w:pPr>
            <w:r w:rsidRPr="000F252A">
              <w:t xml:space="preserve">Разделение потоков «первичных» и «повторных» пациентов в поликлинике ГАУЗ </w:t>
            </w:r>
            <w:r w:rsidRPr="000F252A">
              <w:rPr>
                <w:rFonts w:eastAsia="Arial"/>
              </w:rPr>
              <w:t>«РКОД МЗ РТ им.</w:t>
            </w:r>
            <w:r w:rsidR="00A52A3B" w:rsidRPr="000F252A">
              <w:rPr>
                <w:rFonts w:eastAsia="Arial"/>
              </w:rPr>
              <w:t>проф.</w:t>
            </w:r>
            <w:r w:rsidRPr="000F252A">
              <w:rPr>
                <w:rFonts w:eastAsia="Arial"/>
              </w:rPr>
              <w:t>М.З.Сигала»</w:t>
            </w:r>
            <w:r w:rsidR="00B411FA">
              <w:t xml:space="preserve"> </w:t>
            </w:r>
            <w:r w:rsidRPr="000F252A">
              <w:t xml:space="preserve">с выделением отдельных кабинетов врача-онколога для «первичных» пациентов в целях </w:t>
            </w:r>
            <w:r w:rsidRPr="000F252A">
              <w:rPr>
                <w:color w:val="000000"/>
              </w:rPr>
              <w:t>сокращения сроков ожидания консультативного приема и сроков обследования пациентов</w:t>
            </w:r>
          </w:p>
        </w:tc>
        <w:tc>
          <w:tcPr>
            <w:tcW w:w="1474" w:type="dxa"/>
            <w:shd w:val="clear" w:color="auto" w:fill="auto"/>
          </w:tcPr>
          <w:p w:rsidR="00B90F1F" w:rsidRPr="000F252A" w:rsidRDefault="00B262AF" w:rsidP="00E6713B">
            <w:pPr>
              <w:spacing w:line="230" w:lineRule="auto"/>
              <w:jc w:val="center"/>
            </w:pPr>
            <w:r w:rsidRPr="000F252A">
              <w:t>09.01.2026</w:t>
            </w:r>
          </w:p>
        </w:tc>
        <w:tc>
          <w:tcPr>
            <w:tcW w:w="1418" w:type="dxa"/>
            <w:shd w:val="clear" w:color="auto" w:fill="auto"/>
          </w:tcPr>
          <w:p w:rsidR="00B90F1F" w:rsidRPr="000F252A" w:rsidRDefault="00B90F1F" w:rsidP="00E6713B">
            <w:pPr>
              <w:spacing w:line="230" w:lineRule="auto"/>
              <w:jc w:val="center"/>
            </w:pPr>
            <w:r w:rsidRPr="000F252A">
              <w:t>31.12.2030</w:t>
            </w:r>
          </w:p>
        </w:tc>
        <w:tc>
          <w:tcPr>
            <w:tcW w:w="3912" w:type="dxa"/>
            <w:shd w:val="clear" w:color="auto" w:fill="auto"/>
          </w:tcPr>
          <w:p w:rsidR="00B90F1F" w:rsidRPr="000F252A" w:rsidRDefault="00783F2D" w:rsidP="00E6713B">
            <w:pPr>
              <w:spacing w:line="230" w:lineRule="auto"/>
              <w:jc w:val="both"/>
            </w:pPr>
            <w:r w:rsidRPr="000F252A">
              <w:t>г</w:t>
            </w:r>
            <w:r w:rsidR="00B90F1F" w:rsidRPr="000F252A">
              <w:t xml:space="preserve">лавный врач ГАУЗ </w:t>
            </w:r>
            <w:r w:rsidR="00A52A3B" w:rsidRPr="000F252A">
              <w:rPr>
                <w:rFonts w:eastAsia="Arial"/>
              </w:rPr>
              <w:t>«РКОД МЗ РТ им.проф.</w:t>
            </w:r>
            <w:r w:rsidR="00B90F1F" w:rsidRPr="000F252A">
              <w:rPr>
                <w:rFonts w:eastAsia="Arial"/>
              </w:rPr>
              <w:t>М.З.Сигала»</w:t>
            </w:r>
            <w:r w:rsidR="00A52A3B" w:rsidRPr="000F252A">
              <w:rPr>
                <w:rFonts w:eastAsia="Arial"/>
              </w:rPr>
              <w:t xml:space="preserve"> </w:t>
            </w:r>
            <w:r w:rsidR="00611CD9" w:rsidRPr="000F252A">
              <w:t>М.Ф.Мухамадеев</w:t>
            </w:r>
          </w:p>
        </w:tc>
        <w:tc>
          <w:tcPr>
            <w:tcW w:w="3969" w:type="dxa"/>
            <w:shd w:val="clear" w:color="auto" w:fill="auto"/>
          </w:tcPr>
          <w:p w:rsidR="00B90F1F" w:rsidRPr="000F252A" w:rsidRDefault="00B90F1F" w:rsidP="00E6713B">
            <w:pPr>
              <w:spacing w:line="230" w:lineRule="auto"/>
              <w:jc w:val="both"/>
            </w:pPr>
            <w:r w:rsidRPr="000F252A">
              <w:t xml:space="preserve">сроки ожидания приема у врача-онколога поликлиники ГАУЗ </w:t>
            </w:r>
            <w:r w:rsidR="00A52A3B" w:rsidRPr="000F252A">
              <w:rPr>
                <w:rFonts w:eastAsia="Arial"/>
              </w:rPr>
              <w:t>«РКОД МЗ РТ им.проф.</w:t>
            </w:r>
            <w:r w:rsidRPr="000F252A">
              <w:rPr>
                <w:rFonts w:eastAsia="Arial"/>
              </w:rPr>
              <w:t>М.З.Сигала»</w:t>
            </w:r>
            <w:r w:rsidR="00B411FA">
              <w:t xml:space="preserve"> </w:t>
            </w:r>
            <w:r w:rsidRPr="000F252A">
              <w:t>со дня записи на прием – не более 5 рабочих дней</w:t>
            </w:r>
          </w:p>
        </w:tc>
      </w:tr>
      <w:tr w:rsidR="00B90F1F" w:rsidRPr="009D3B11" w:rsidTr="00AC795F">
        <w:trPr>
          <w:trHeight w:val="20"/>
        </w:trPr>
        <w:tc>
          <w:tcPr>
            <w:tcW w:w="704" w:type="dxa"/>
            <w:shd w:val="clear" w:color="auto" w:fill="auto"/>
          </w:tcPr>
          <w:p w:rsidR="00B90F1F" w:rsidRPr="000F252A" w:rsidRDefault="00B90F1F" w:rsidP="00D37BB0">
            <w:pPr>
              <w:spacing w:line="230" w:lineRule="auto"/>
              <w:jc w:val="center"/>
            </w:pPr>
            <w:r w:rsidRPr="000F252A">
              <w:t>3.</w:t>
            </w:r>
            <w:r w:rsidR="00D37BB0" w:rsidRPr="000F252A">
              <w:t>3</w:t>
            </w:r>
            <w:r w:rsidRPr="000F252A">
              <w:t>.</w:t>
            </w:r>
          </w:p>
        </w:tc>
        <w:tc>
          <w:tcPr>
            <w:tcW w:w="3686" w:type="dxa"/>
            <w:shd w:val="clear" w:color="auto" w:fill="auto"/>
          </w:tcPr>
          <w:p w:rsidR="00B90F1F" w:rsidRPr="000F252A" w:rsidRDefault="00B90F1F" w:rsidP="00E6713B">
            <w:pPr>
              <w:spacing w:line="230" w:lineRule="auto"/>
              <w:jc w:val="both"/>
            </w:pPr>
            <w:r w:rsidRPr="000F252A">
              <w:t>Реализация совместно с Министерством труда, занятости и социальной защиты Республики Татарстан проекта по доставке лиц старше 65 лет, проживающих в</w:t>
            </w:r>
            <w:r w:rsidR="0057760E" w:rsidRPr="000F252A">
              <w:t xml:space="preserve"> сельской местности, автотран-</w:t>
            </w:r>
            <w:r w:rsidR="0057760E" w:rsidRPr="000F252A">
              <w:br/>
              <w:t>с</w:t>
            </w:r>
            <w:r w:rsidRPr="000F252A">
              <w:t xml:space="preserve">портом комплексных центров социального обслуживания населения в медицинские организации для оказания медицинской помощи </w:t>
            </w:r>
          </w:p>
        </w:tc>
        <w:tc>
          <w:tcPr>
            <w:tcW w:w="1474" w:type="dxa"/>
            <w:shd w:val="clear" w:color="auto" w:fill="auto"/>
          </w:tcPr>
          <w:p w:rsidR="00B90F1F" w:rsidRPr="000F252A" w:rsidRDefault="00B90F1F" w:rsidP="00B262AF">
            <w:pPr>
              <w:spacing w:line="230" w:lineRule="auto"/>
              <w:jc w:val="center"/>
            </w:pPr>
            <w:r w:rsidRPr="000F252A">
              <w:t>09.01.202</w:t>
            </w:r>
            <w:r w:rsidR="00B262AF" w:rsidRPr="000F252A">
              <w:t>6</w:t>
            </w:r>
          </w:p>
        </w:tc>
        <w:tc>
          <w:tcPr>
            <w:tcW w:w="1418" w:type="dxa"/>
            <w:shd w:val="clear" w:color="auto" w:fill="auto"/>
          </w:tcPr>
          <w:p w:rsidR="00B90F1F" w:rsidRPr="000F252A" w:rsidRDefault="00B90F1F" w:rsidP="00E6713B">
            <w:pPr>
              <w:spacing w:line="230" w:lineRule="auto"/>
              <w:jc w:val="center"/>
            </w:pPr>
            <w:r w:rsidRPr="000F252A">
              <w:t>31.12.2030</w:t>
            </w:r>
          </w:p>
        </w:tc>
        <w:tc>
          <w:tcPr>
            <w:tcW w:w="3912" w:type="dxa"/>
            <w:shd w:val="clear" w:color="auto" w:fill="auto"/>
          </w:tcPr>
          <w:p w:rsidR="00B90F1F" w:rsidRPr="000F252A" w:rsidRDefault="00C15E85" w:rsidP="00E6713B">
            <w:pPr>
              <w:spacing w:line="230" w:lineRule="auto"/>
              <w:jc w:val="both"/>
            </w:pPr>
            <w:r w:rsidRPr="000F252A">
              <w:t xml:space="preserve">министр здравоохранения </w:t>
            </w:r>
            <w:r w:rsidR="00707993" w:rsidRPr="000F252A">
              <w:t>Республики Татарстан А.Р.Абашев</w:t>
            </w:r>
            <w:r w:rsidR="00B90F1F" w:rsidRPr="000F252A">
              <w:t xml:space="preserve">, министр труда, занятости и социальной защиты Республики Татарстан Э.А.Зарипова </w:t>
            </w:r>
          </w:p>
        </w:tc>
        <w:tc>
          <w:tcPr>
            <w:tcW w:w="3969" w:type="dxa"/>
            <w:shd w:val="clear" w:color="auto" w:fill="auto"/>
          </w:tcPr>
          <w:p w:rsidR="00B90F1F" w:rsidRPr="000F252A" w:rsidRDefault="00B90F1F" w:rsidP="00E6713B">
            <w:pPr>
              <w:spacing w:line="230" w:lineRule="auto"/>
              <w:jc w:val="both"/>
            </w:pPr>
            <w:r w:rsidRPr="000F252A">
              <w:t>доставка автотранспортом комплексных центров социального обслуживания населения в медицинские организации не менее 10 процентов от числа лиц старше 65 лет, проживающих в сельской местности</w:t>
            </w:r>
          </w:p>
        </w:tc>
      </w:tr>
      <w:tr w:rsidR="00B90F1F" w:rsidRPr="009D3B11" w:rsidTr="00AC795F">
        <w:trPr>
          <w:trHeight w:val="20"/>
        </w:trPr>
        <w:tc>
          <w:tcPr>
            <w:tcW w:w="704" w:type="dxa"/>
            <w:shd w:val="clear" w:color="auto" w:fill="auto"/>
          </w:tcPr>
          <w:p w:rsidR="00B90F1F" w:rsidRPr="000F252A" w:rsidRDefault="00B90F1F" w:rsidP="00D37BB0">
            <w:pPr>
              <w:jc w:val="center"/>
            </w:pPr>
            <w:r w:rsidRPr="000F252A">
              <w:t>3.</w:t>
            </w:r>
            <w:r w:rsidR="00D37BB0" w:rsidRPr="000F252A">
              <w:t>4</w:t>
            </w:r>
            <w:r w:rsidRPr="000F252A">
              <w:t>.</w:t>
            </w:r>
          </w:p>
        </w:tc>
        <w:tc>
          <w:tcPr>
            <w:tcW w:w="3686" w:type="dxa"/>
            <w:shd w:val="clear" w:color="auto" w:fill="auto"/>
          </w:tcPr>
          <w:p w:rsidR="00B90F1F" w:rsidRPr="000F252A" w:rsidRDefault="00B90F1F" w:rsidP="00E6713B">
            <w:pPr>
              <w:jc w:val="both"/>
            </w:pPr>
            <w:r w:rsidRPr="000F252A">
              <w:t>Разработка и издание приказа Министерства здравоохранения Респ</w:t>
            </w:r>
            <w:r w:rsidR="00E6713B" w:rsidRPr="000F252A">
              <w:t>ублики Татарстан о маршрутизации</w:t>
            </w:r>
            <w:r w:rsidRPr="000F252A">
              <w:t xml:space="preserve"> обследования граждан </w:t>
            </w:r>
            <w:r w:rsidRPr="000F252A">
              <w:rPr>
                <w:shd w:val="clear" w:color="auto" w:fill="FFFFFF"/>
              </w:rPr>
              <w:t xml:space="preserve">на рентгеновском компьютерном и </w:t>
            </w:r>
            <w:r w:rsidRPr="000F252A">
              <w:rPr>
                <w:rStyle w:val="afff4"/>
                <w:i w:val="0"/>
                <w:iCs/>
                <w:shd w:val="clear" w:color="auto" w:fill="FFFFFF"/>
              </w:rPr>
              <w:t>магнитно</w:t>
            </w:r>
            <w:r w:rsidRPr="000F252A">
              <w:rPr>
                <w:shd w:val="clear" w:color="auto" w:fill="FFFFFF"/>
              </w:rPr>
              <w:t>-</w:t>
            </w:r>
            <w:r w:rsidRPr="000F252A">
              <w:rPr>
                <w:rStyle w:val="afff4"/>
                <w:i w:val="0"/>
                <w:iCs/>
                <w:shd w:val="clear" w:color="auto" w:fill="FFFFFF"/>
              </w:rPr>
              <w:t>резонансном</w:t>
            </w:r>
            <w:r w:rsidR="00E6713B" w:rsidRPr="000F252A">
              <w:rPr>
                <w:rStyle w:val="afff4"/>
                <w:i w:val="0"/>
                <w:iCs/>
                <w:shd w:val="clear" w:color="auto" w:fill="FFFFFF"/>
              </w:rPr>
              <w:t xml:space="preserve"> </w:t>
            </w:r>
            <w:r w:rsidRPr="000F252A">
              <w:rPr>
                <w:rStyle w:val="afff4"/>
                <w:i w:val="0"/>
                <w:iCs/>
                <w:shd w:val="clear" w:color="auto" w:fill="FFFFFF"/>
              </w:rPr>
              <w:t>томогра</w:t>
            </w:r>
            <w:r w:rsidR="00E6713B" w:rsidRPr="000F252A">
              <w:rPr>
                <w:rStyle w:val="afff4"/>
                <w:i w:val="0"/>
                <w:iCs/>
                <w:shd w:val="clear" w:color="auto" w:fill="FFFFFF"/>
              </w:rPr>
              <w:t>ф</w:t>
            </w:r>
            <w:r w:rsidRPr="000F252A">
              <w:rPr>
                <w:rStyle w:val="afff4"/>
                <w:i w:val="0"/>
                <w:iCs/>
                <w:shd w:val="clear" w:color="auto" w:fill="FFFFFF"/>
              </w:rPr>
              <w:t>ах</w:t>
            </w:r>
            <w:r w:rsidRPr="000F252A">
              <w:t xml:space="preserve"> (ежегодно)</w:t>
            </w:r>
          </w:p>
        </w:tc>
        <w:tc>
          <w:tcPr>
            <w:tcW w:w="1474" w:type="dxa"/>
            <w:shd w:val="clear" w:color="auto" w:fill="auto"/>
          </w:tcPr>
          <w:p w:rsidR="00B90F1F" w:rsidRPr="000F252A" w:rsidRDefault="00B90F1F" w:rsidP="00B262AF">
            <w:pPr>
              <w:jc w:val="center"/>
            </w:pPr>
            <w:r w:rsidRPr="000F252A">
              <w:t>01.03.202</w:t>
            </w:r>
            <w:r w:rsidR="00B262AF" w:rsidRPr="000F252A">
              <w:t>6</w:t>
            </w:r>
          </w:p>
        </w:tc>
        <w:tc>
          <w:tcPr>
            <w:tcW w:w="1418" w:type="dxa"/>
            <w:shd w:val="clear" w:color="auto" w:fill="auto"/>
          </w:tcPr>
          <w:p w:rsidR="00B90F1F" w:rsidRPr="000F252A" w:rsidRDefault="00B90F1F" w:rsidP="00A52A3B">
            <w:pPr>
              <w:jc w:val="center"/>
            </w:pPr>
            <w:r w:rsidRPr="000F252A">
              <w:t>31.12.2030</w:t>
            </w:r>
          </w:p>
        </w:tc>
        <w:tc>
          <w:tcPr>
            <w:tcW w:w="3912" w:type="dxa"/>
            <w:shd w:val="clear" w:color="auto" w:fill="auto"/>
          </w:tcPr>
          <w:p w:rsidR="00B90F1F" w:rsidRPr="000F252A" w:rsidRDefault="00C15E85" w:rsidP="00A52A3B">
            <w:pPr>
              <w:jc w:val="both"/>
            </w:pPr>
            <w:r w:rsidRPr="000F252A">
              <w:t xml:space="preserve">министр здравоохранения </w:t>
            </w:r>
            <w:r w:rsidR="00707993" w:rsidRPr="000F252A">
              <w:t>Республики Татарстан А.Р.Абашев</w:t>
            </w:r>
          </w:p>
        </w:tc>
        <w:tc>
          <w:tcPr>
            <w:tcW w:w="3969" w:type="dxa"/>
            <w:shd w:val="clear" w:color="auto" w:fill="auto"/>
          </w:tcPr>
          <w:p w:rsidR="00B90F1F" w:rsidRPr="000F252A" w:rsidRDefault="00B90F1F" w:rsidP="00A52A3B">
            <w:pPr>
              <w:jc w:val="both"/>
            </w:pPr>
            <w:r w:rsidRPr="000F252A">
              <w:t xml:space="preserve">издан приказ Министерства здравоохранения Республики Татарстан </w:t>
            </w:r>
            <w:r w:rsidR="00EB5481" w:rsidRPr="000F252A">
              <w:t>(ежегодно)</w:t>
            </w:r>
          </w:p>
        </w:tc>
      </w:tr>
      <w:tr w:rsidR="00B90F1F" w:rsidRPr="009D3B11" w:rsidTr="00AC795F">
        <w:trPr>
          <w:trHeight w:val="20"/>
        </w:trPr>
        <w:tc>
          <w:tcPr>
            <w:tcW w:w="704" w:type="dxa"/>
            <w:shd w:val="clear" w:color="auto" w:fill="auto"/>
          </w:tcPr>
          <w:p w:rsidR="00B90F1F" w:rsidRPr="000F252A" w:rsidRDefault="00B90F1F" w:rsidP="00D37BB0">
            <w:pPr>
              <w:jc w:val="center"/>
            </w:pPr>
            <w:r w:rsidRPr="000F252A">
              <w:t>3.</w:t>
            </w:r>
            <w:r w:rsidR="00D37BB0" w:rsidRPr="000F252A">
              <w:t>5</w:t>
            </w:r>
            <w:r w:rsidRPr="000F252A">
              <w:t>.</w:t>
            </w:r>
          </w:p>
        </w:tc>
        <w:tc>
          <w:tcPr>
            <w:tcW w:w="3686" w:type="dxa"/>
            <w:shd w:val="clear" w:color="auto" w:fill="auto"/>
          </w:tcPr>
          <w:p w:rsidR="00B90F1F" w:rsidRPr="000F252A" w:rsidRDefault="00B90F1F" w:rsidP="00A52A3B">
            <w:pPr>
              <w:jc w:val="both"/>
            </w:pPr>
            <w:r w:rsidRPr="000F252A">
              <w:t xml:space="preserve">Размещение информации об информационном сопровождении пациентов на всех этапах оказания медицинской помощи страховыми представителями страховых медицинских организаций, контактных телефонах страховых представителей и графике их работы в медицинских организациях на официальных сайтах страховых медицинских организаций и информационных </w:t>
            </w:r>
            <w:r w:rsidR="00A52A3B" w:rsidRPr="000F252A">
              <w:t>стендах медицинских организаций</w:t>
            </w:r>
          </w:p>
        </w:tc>
        <w:tc>
          <w:tcPr>
            <w:tcW w:w="1474" w:type="dxa"/>
            <w:shd w:val="clear" w:color="auto" w:fill="auto"/>
          </w:tcPr>
          <w:p w:rsidR="00B90F1F" w:rsidRPr="000F252A" w:rsidRDefault="00B90F1F" w:rsidP="00B262AF">
            <w:pPr>
              <w:jc w:val="center"/>
            </w:pPr>
            <w:r w:rsidRPr="000F252A">
              <w:t>15.01.202</w:t>
            </w:r>
            <w:r w:rsidR="00B262AF" w:rsidRPr="000F252A">
              <w:t>6</w:t>
            </w:r>
          </w:p>
        </w:tc>
        <w:tc>
          <w:tcPr>
            <w:tcW w:w="1418" w:type="dxa"/>
            <w:shd w:val="clear" w:color="auto" w:fill="auto"/>
          </w:tcPr>
          <w:p w:rsidR="00B90F1F" w:rsidRPr="000F252A" w:rsidRDefault="00B90F1F" w:rsidP="00A52A3B">
            <w:pPr>
              <w:jc w:val="center"/>
            </w:pPr>
            <w:r w:rsidRPr="000F252A">
              <w:t>31.12.2030</w:t>
            </w:r>
          </w:p>
        </w:tc>
        <w:tc>
          <w:tcPr>
            <w:tcW w:w="3912" w:type="dxa"/>
            <w:shd w:val="clear" w:color="auto" w:fill="auto"/>
          </w:tcPr>
          <w:p w:rsidR="00B90F1F" w:rsidRPr="000F252A" w:rsidRDefault="00783F2D" w:rsidP="00A52A3B">
            <w:pPr>
              <w:jc w:val="both"/>
            </w:pPr>
            <w:r w:rsidRPr="000F252A">
              <w:t>р</w:t>
            </w:r>
            <w:r w:rsidR="00B90F1F" w:rsidRPr="000F252A">
              <w:t>уководители страховых медицинских организаций (по согласованию), руководители медицинских организаций</w:t>
            </w:r>
            <w:r w:rsidR="00D2799E" w:rsidRPr="000F252A">
              <w:t xml:space="preserve"> Республики Татарстан</w:t>
            </w:r>
          </w:p>
        </w:tc>
        <w:tc>
          <w:tcPr>
            <w:tcW w:w="3969" w:type="dxa"/>
            <w:shd w:val="clear" w:color="auto" w:fill="auto"/>
          </w:tcPr>
          <w:p w:rsidR="00B90F1F" w:rsidRPr="000F252A" w:rsidRDefault="00B90F1F" w:rsidP="00A52A3B">
            <w:pPr>
              <w:jc w:val="both"/>
            </w:pPr>
            <w:r w:rsidRPr="000F252A">
              <w:t xml:space="preserve">ежегодно информация о страховых представителях страховых медицинских организаций, их контактных телефонах, графике их работы в медицинских организациях размещена на официальных сайтах страховых медицинских организаций ООО «СК «АК БАРС-Мед», ООО «СМО «СПАСЕНИЕ», ООО СМО «ЧУЛПАН-МЕД» и информационных </w:t>
            </w:r>
            <w:r w:rsidR="0057760E" w:rsidRPr="000F252A">
              <w:t>стендах медицинских организаций</w:t>
            </w:r>
          </w:p>
        </w:tc>
      </w:tr>
      <w:tr w:rsidR="00913B4D" w:rsidRPr="009D3B11" w:rsidTr="00AC795F">
        <w:trPr>
          <w:trHeight w:val="20"/>
        </w:trPr>
        <w:tc>
          <w:tcPr>
            <w:tcW w:w="704" w:type="dxa"/>
            <w:shd w:val="clear" w:color="auto" w:fill="auto"/>
          </w:tcPr>
          <w:p w:rsidR="00913B4D" w:rsidRPr="000F252A" w:rsidRDefault="00D70A5E" w:rsidP="00D37BB0">
            <w:pPr>
              <w:jc w:val="center"/>
            </w:pPr>
            <w:r w:rsidRPr="000F252A">
              <w:t>3.6.</w:t>
            </w:r>
          </w:p>
        </w:tc>
        <w:tc>
          <w:tcPr>
            <w:tcW w:w="3686" w:type="dxa"/>
            <w:shd w:val="clear" w:color="auto" w:fill="auto"/>
          </w:tcPr>
          <w:p w:rsidR="00913B4D" w:rsidRPr="000F252A" w:rsidRDefault="00D70A5E" w:rsidP="00871E81">
            <w:pPr>
              <w:jc w:val="both"/>
              <w:rPr>
                <w:lang w:val="x-none"/>
              </w:rPr>
            </w:pPr>
            <w:r w:rsidRPr="000F252A">
              <w:t xml:space="preserve">Проведение республиканского семинара-совещания для руководителей и врачей первичного звена здравоохранения в режиме видеоконференцсвязи по вопросам маршрутизации пациентов с подозрением на </w:t>
            </w:r>
            <w:r w:rsidR="00871E81" w:rsidRPr="000F252A">
              <w:t>онкологические заболевания и пациентов с онкологическими заболеваниями</w:t>
            </w:r>
          </w:p>
        </w:tc>
        <w:tc>
          <w:tcPr>
            <w:tcW w:w="1474" w:type="dxa"/>
            <w:shd w:val="clear" w:color="auto" w:fill="auto"/>
          </w:tcPr>
          <w:p w:rsidR="00913B4D" w:rsidRPr="000F252A" w:rsidRDefault="00871E81" w:rsidP="00A52A3B">
            <w:pPr>
              <w:jc w:val="center"/>
            </w:pPr>
            <w:r w:rsidRPr="000F252A">
              <w:t>12.01.2026</w:t>
            </w:r>
          </w:p>
        </w:tc>
        <w:tc>
          <w:tcPr>
            <w:tcW w:w="1418" w:type="dxa"/>
            <w:shd w:val="clear" w:color="auto" w:fill="auto"/>
          </w:tcPr>
          <w:p w:rsidR="00913B4D" w:rsidRPr="000F252A" w:rsidRDefault="00871E81" w:rsidP="00A52A3B">
            <w:pPr>
              <w:jc w:val="center"/>
            </w:pPr>
            <w:r w:rsidRPr="000F252A">
              <w:t>31.12.2030</w:t>
            </w:r>
          </w:p>
        </w:tc>
        <w:tc>
          <w:tcPr>
            <w:tcW w:w="3912" w:type="dxa"/>
            <w:shd w:val="clear" w:color="auto" w:fill="auto"/>
          </w:tcPr>
          <w:p w:rsidR="00913B4D" w:rsidRPr="000F252A" w:rsidRDefault="00871E81" w:rsidP="00A52A3B">
            <w:pPr>
              <w:jc w:val="both"/>
            </w:pPr>
            <w:r w:rsidRPr="000F252A">
              <w:t xml:space="preserve">главный врач ГАУЗ </w:t>
            </w:r>
            <w:r w:rsidRPr="000F252A">
              <w:rPr>
                <w:rFonts w:eastAsia="Arial"/>
              </w:rPr>
              <w:t>«РКОД МЗ</w:t>
            </w:r>
            <w:r w:rsidRPr="000F252A">
              <w:rPr>
                <w:rFonts w:eastAsia="Arial"/>
              </w:rPr>
              <w:br/>
              <w:t>РТ им.проф.М.З.Сигала»</w:t>
            </w:r>
            <w:r w:rsidRPr="000F252A">
              <w:t xml:space="preserve"> М.Ф.Мухамадеев, руководители медицинских организаций Республики Татарстан</w:t>
            </w:r>
          </w:p>
        </w:tc>
        <w:tc>
          <w:tcPr>
            <w:tcW w:w="3969" w:type="dxa"/>
            <w:shd w:val="clear" w:color="auto" w:fill="auto"/>
          </w:tcPr>
          <w:p w:rsidR="00913B4D" w:rsidRPr="000F252A" w:rsidRDefault="00913B4D" w:rsidP="00913B4D">
            <w:pPr>
              <w:jc w:val="both"/>
            </w:pPr>
            <w:r w:rsidRPr="000F252A">
              <w:t xml:space="preserve">ежегодное проведение не менее 1 семинара-совещания по вопросам </w:t>
            </w:r>
            <w:r w:rsidR="00D70A5E" w:rsidRPr="000F252A">
              <w:t xml:space="preserve">маршрутизации пациентов </w:t>
            </w:r>
          </w:p>
        </w:tc>
      </w:tr>
      <w:tr w:rsidR="00B90F1F" w:rsidRPr="009D3B11" w:rsidTr="004135F8">
        <w:trPr>
          <w:trHeight w:val="20"/>
        </w:trPr>
        <w:tc>
          <w:tcPr>
            <w:tcW w:w="15163" w:type="dxa"/>
            <w:gridSpan w:val="6"/>
            <w:vAlign w:val="center"/>
          </w:tcPr>
          <w:p w:rsidR="00B90F1F" w:rsidRPr="000F252A" w:rsidRDefault="00B90F1F" w:rsidP="00B50819">
            <w:pPr>
              <w:jc w:val="center"/>
            </w:pPr>
            <w:r w:rsidRPr="000F252A">
              <w:t>4. Совершенствование оказания первичной специализированной медико-санитарной помощи пациентам с</w:t>
            </w:r>
            <w:r w:rsidR="00B50819">
              <w:t xml:space="preserve"> </w:t>
            </w:r>
            <w:r w:rsidRPr="000F252A">
              <w:t>онкологическими заболеваниями</w:t>
            </w:r>
          </w:p>
        </w:tc>
      </w:tr>
      <w:tr w:rsidR="004135F8" w:rsidRPr="009D3B11" w:rsidTr="00AC795F">
        <w:trPr>
          <w:trHeight w:val="20"/>
        </w:trPr>
        <w:tc>
          <w:tcPr>
            <w:tcW w:w="704" w:type="dxa"/>
            <w:shd w:val="clear" w:color="auto" w:fill="auto"/>
          </w:tcPr>
          <w:p w:rsidR="004135F8" w:rsidRPr="000F252A" w:rsidRDefault="004135F8" w:rsidP="00D37BB0">
            <w:pPr>
              <w:jc w:val="center"/>
            </w:pPr>
            <w:r w:rsidRPr="000F252A">
              <w:t>4.</w:t>
            </w:r>
            <w:r w:rsidR="00D37BB0" w:rsidRPr="000F252A">
              <w:t>1</w:t>
            </w:r>
            <w:r w:rsidRPr="000F252A">
              <w:t>.</w:t>
            </w:r>
          </w:p>
        </w:tc>
        <w:tc>
          <w:tcPr>
            <w:tcW w:w="3686" w:type="dxa"/>
            <w:shd w:val="clear" w:color="auto" w:fill="auto"/>
          </w:tcPr>
          <w:p w:rsidR="004135F8" w:rsidRPr="000F252A" w:rsidRDefault="004135F8" w:rsidP="004135F8">
            <w:pPr>
              <w:jc w:val="both"/>
            </w:pPr>
            <w:r w:rsidRPr="000F252A">
              <w:t>Тиражирование эндоскопических исследований в медицинских организациях Республики Татарстан</w:t>
            </w:r>
          </w:p>
        </w:tc>
        <w:tc>
          <w:tcPr>
            <w:tcW w:w="1474" w:type="dxa"/>
          </w:tcPr>
          <w:p w:rsidR="004135F8" w:rsidRPr="000F252A" w:rsidRDefault="00B262AF" w:rsidP="004135F8">
            <w:pPr>
              <w:jc w:val="center"/>
            </w:pPr>
            <w:r w:rsidRPr="000F252A">
              <w:t>09.01.2026</w:t>
            </w:r>
          </w:p>
        </w:tc>
        <w:tc>
          <w:tcPr>
            <w:tcW w:w="1418" w:type="dxa"/>
            <w:shd w:val="clear" w:color="auto" w:fill="auto"/>
          </w:tcPr>
          <w:p w:rsidR="004135F8" w:rsidRPr="000F252A" w:rsidRDefault="004135F8" w:rsidP="004135F8">
            <w:pPr>
              <w:jc w:val="center"/>
            </w:pPr>
            <w:r w:rsidRPr="000F252A">
              <w:t>31.12.2030</w:t>
            </w:r>
          </w:p>
        </w:tc>
        <w:tc>
          <w:tcPr>
            <w:tcW w:w="3912" w:type="dxa"/>
            <w:shd w:val="clear" w:color="auto" w:fill="auto"/>
          </w:tcPr>
          <w:p w:rsidR="004135F8" w:rsidRPr="000F252A" w:rsidRDefault="00C15E85" w:rsidP="004135F8">
            <w:pPr>
              <w:jc w:val="both"/>
            </w:pPr>
            <w:r w:rsidRPr="000F252A">
              <w:t xml:space="preserve">министр здравоохранения </w:t>
            </w:r>
            <w:r w:rsidR="004135F8" w:rsidRPr="000F252A">
              <w:t>Республики Татарстан А.Р.Абашев, главный внештатный специалист-эндоскопист Министерства здравоохранения Республики Татарстан А.И.Иванов, руководители медицинских организаций Республики Татарстан</w:t>
            </w:r>
          </w:p>
        </w:tc>
        <w:tc>
          <w:tcPr>
            <w:tcW w:w="3969" w:type="dxa"/>
            <w:shd w:val="clear" w:color="auto" w:fill="auto"/>
          </w:tcPr>
          <w:p w:rsidR="004135F8" w:rsidRPr="000F252A" w:rsidRDefault="004135F8" w:rsidP="004135F8">
            <w:pPr>
              <w:jc w:val="both"/>
            </w:pPr>
            <w:r w:rsidRPr="000F252A">
              <w:t xml:space="preserve">ежегодное выполнение: </w:t>
            </w:r>
          </w:p>
          <w:p w:rsidR="004135F8" w:rsidRPr="000F252A" w:rsidRDefault="004135F8" w:rsidP="004135F8">
            <w:pPr>
              <w:jc w:val="both"/>
            </w:pPr>
            <w:r w:rsidRPr="000F252A">
              <w:t>фиброгастродуоденоскопии – не менее 240 тыс.исследований;</w:t>
            </w:r>
          </w:p>
          <w:p w:rsidR="004135F8" w:rsidRPr="000F252A" w:rsidRDefault="004135F8" w:rsidP="004135F8">
            <w:pPr>
              <w:jc w:val="both"/>
            </w:pPr>
            <w:r w:rsidRPr="000F252A">
              <w:t>колоноскопии – не менее 69 тыс.исследований</w:t>
            </w:r>
          </w:p>
        </w:tc>
      </w:tr>
      <w:tr w:rsidR="004135F8" w:rsidRPr="009D3B11" w:rsidTr="00AC795F">
        <w:trPr>
          <w:trHeight w:val="20"/>
        </w:trPr>
        <w:tc>
          <w:tcPr>
            <w:tcW w:w="704" w:type="dxa"/>
            <w:shd w:val="clear" w:color="auto" w:fill="auto"/>
          </w:tcPr>
          <w:p w:rsidR="004135F8" w:rsidRPr="000F252A" w:rsidRDefault="004135F8" w:rsidP="00D37BB0">
            <w:pPr>
              <w:jc w:val="center"/>
            </w:pPr>
            <w:r w:rsidRPr="000F252A">
              <w:t>4.</w:t>
            </w:r>
            <w:r w:rsidR="00D37BB0" w:rsidRPr="000F252A">
              <w:t>2</w:t>
            </w:r>
            <w:r w:rsidRPr="000F252A">
              <w:t>.</w:t>
            </w:r>
          </w:p>
        </w:tc>
        <w:tc>
          <w:tcPr>
            <w:tcW w:w="3686" w:type="dxa"/>
            <w:shd w:val="clear" w:color="auto" w:fill="auto"/>
          </w:tcPr>
          <w:p w:rsidR="004135F8" w:rsidRPr="000F252A" w:rsidRDefault="004135F8" w:rsidP="004135F8">
            <w:pPr>
              <w:jc w:val="both"/>
            </w:pPr>
            <w:r w:rsidRPr="000F252A">
              <w:t>Повышение доли прижизненных патоморфологических и гистологических исследований у пациентов с онкологическими заболеваниями</w:t>
            </w:r>
          </w:p>
        </w:tc>
        <w:tc>
          <w:tcPr>
            <w:tcW w:w="1474" w:type="dxa"/>
          </w:tcPr>
          <w:p w:rsidR="004135F8" w:rsidRPr="000F252A" w:rsidRDefault="004135F8" w:rsidP="00B262AF">
            <w:pPr>
              <w:jc w:val="center"/>
            </w:pPr>
            <w:r w:rsidRPr="000F252A">
              <w:t>09.01.202</w:t>
            </w:r>
            <w:r w:rsidR="00B262AF" w:rsidRPr="000F252A">
              <w:t>6</w:t>
            </w:r>
          </w:p>
        </w:tc>
        <w:tc>
          <w:tcPr>
            <w:tcW w:w="1418" w:type="dxa"/>
            <w:shd w:val="clear" w:color="auto" w:fill="auto"/>
          </w:tcPr>
          <w:p w:rsidR="004135F8" w:rsidRPr="000F252A" w:rsidRDefault="004135F8" w:rsidP="004135F8">
            <w:pPr>
              <w:jc w:val="center"/>
            </w:pPr>
            <w:r w:rsidRPr="000F252A">
              <w:t>31.12.2030</w:t>
            </w:r>
          </w:p>
        </w:tc>
        <w:tc>
          <w:tcPr>
            <w:tcW w:w="3912" w:type="dxa"/>
            <w:shd w:val="clear" w:color="auto" w:fill="auto"/>
          </w:tcPr>
          <w:p w:rsidR="004135F8" w:rsidRPr="000F252A" w:rsidRDefault="00C15E85" w:rsidP="004135F8">
            <w:pPr>
              <w:jc w:val="both"/>
            </w:pPr>
            <w:r w:rsidRPr="000F252A">
              <w:t xml:space="preserve">министр здравоохранения </w:t>
            </w:r>
            <w:r w:rsidR="004135F8" w:rsidRPr="000F252A">
              <w:t xml:space="preserve"> Республики Татарстан А.Р.Абашев, главный внештатный специалист-онколог Министерства здравоохранения Республики Татарстан Э.В.Нагуманов, руководители медицинских организаций Республики Татарстан</w:t>
            </w:r>
          </w:p>
        </w:tc>
        <w:tc>
          <w:tcPr>
            <w:tcW w:w="3969" w:type="dxa"/>
            <w:shd w:val="clear" w:color="auto" w:fill="auto"/>
          </w:tcPr>
          <w:p w:rsidR="004135F8" w:rsidRPr="000F252A" w:rsidRDefault="004135F8" w:rsidP="004135F8">
            <w:pPr>
              <w:jc w:val="both"/>
            </w:pPr>
            <w:r w:rsidRPr="000F252A">
              <w:t xml:space="preserve">повышение доли прижизненных патоморфологических и гистологических исследований у пациентов с онкологическими заболеваниями: </w:t>
            </w:r>
          </w:p>
          <w:p w:rsidR="004135F8" w:rsidRPr="000F252A" w:rsidRDefault="004135F8" w:rsidP="004135F8">
            <w:pPr>
              <w:jc w:val="both"/>
            </w:pPr>
            <w:r w:rsidRPr="000F252A">
              <w:t>не менее 96,5 процента ежегодно</w:t>
            </w:r>
          </w:p>
          <w:p w:rsidR="004135F8" w:rsidRPr="000F252A" w:rsidRDefault="004135F8" w:rsidP="004135F8">
            <w:pPr>
              <w:jc w:val="both"/>
            </w:pPr>
          </w:p>
        </w:tc>
      </w:tr>
      <w:tr w:rsidR="004135F8" w:rsidRPr="009D3B11" w:rsidTr="00AC795F">
        <w:trPr>
          <w:trHeight w:val="20"/>
        </w:trPr>
        <w:tc>
          <w:tcPr>
            <w:tcW w:w="704" w:type="dxa"/>
            <w:shd w:val="clear" w:color="auto" w:fill="auto"/>
          </w:tcPr>
          <w:p w:rsidR="004135F8" w:rsidRPr="000F252A" w:rsidRDefault="004135F8" w:rsidP="00D37BB0">
            <w:pPr>
              <w:jc w:val="center"/>
            </w:pPr>
            <w:r w:rsidRPr="000F252A">
              <w:t>4.</w:t>
            </w:r>
            <w:r w:rsidR="00D37BB0" w:rsidRPr="000F252A">
              <w:t>3</w:t>
            </w:r>
            <w:r w:rsidRPr="000F252A">
              <w:t>.</w:t>
            </w:r>
          </w:p>
        </w:tc>
        <w:tc>
          <w:tcPr>
            <w:tcW w:w="3686" w:type="dxa"/>
            <w:shd w:val="clear" w:color="auto" w:fill="auto"/>
          </w:tcPr>
          <w:p w:rsidR="004135F8" w:rsidRPr="000F252A" w:rsidRDefault="004135F8" w:rsidP="004135F8">
            <w:pPr>
              <w:jc w:val="both"/>
            </w:pPr>
            <w:r w:rsidRPr="000F252A">
              <w:t xml:space="preserve">Проведение в референсном гистологическом центре ГАУЗ </w:t>
            </w:r>
            <w:r w:rsidRPr="000F252A">
              <w:rPr>
                <w:rFonts w:eastAsia="Arial"/>
              </w:rPr>
              <w:t>«РКОД МЗ РТ им.проф.М.З.Сигала»</w:t>
            </w:r>
            <w:r w:rsidR="00B50819">
              <w:t xml:space="preserve"> </w:t>
            </w:r>
            <w:r w:rsidRPr="000F252A">
              <w:t>контроля гистологических препаратов с выявленной онкопатологией</w:t>
            </w:r>
          </w:p>
        </w:tc>
        <w:tc>
          <w:tcPr>
            <w:tcW w:w="1474" w:type="dxa"/>
          </w:tcPr>
          <w:p w:rsidR="004135F8" w:rsidRPr="000F252A" w:rsidRDefault="004135F8" w:rsidP="00B262AF">
            <w:pPr>
              <w:jc w:val="center"/>
            </w:pPr>
            <w:r w:rsidRPr="000F252A">
              <w:t>09.01.202</w:t>
            </w:r>
            <w:r w:rsidR="00B262AF" w:rsidRPr="000F252A">
              <w:t>6</w:t>
            </w:r>
          </w:p>
        </w:tc>
        <w:tc>
          <w:tcPr>
            <w:tcW w:w="1418" w:type="dxa"/>
            <w:shd w:val="clear" w:color="auto" w:fill="auto"/>
          </w:tcPr>
          <w:p w:rsidR="004135F8" w:rsidRPr="000F252A" w:rsidRDefault="004135F8" w:rsidP="004135F8">
            <w:pPr>
              <w:jc w:val="center"/>
            </w:pPr>
            <w:r w:rsidRPr="000F252A">
              <w:t>31.12.2030</w:t>
            </w:r>
          </w:p>
        </w:tc>
        <w:tc>
          <w:tcPr>
            <w:tcW w:w="3912" w:type="dxa"/>
            <w:shd w:val="clear" w:color="auto" w:fill="auto"/>
          </w:tcPr>
          <w:p w:rsidR="004135F8" w:rsidRPr="000F252A" w:rsidRDefault="004135F8" w:rsidP="004135F8">
            <w:pPr>
              <w:jc w:val="both"/>
            </w:pPr>
            <w:r w:rsidRPr="000F252A">
              <w:t xml:space="preserve">главный врач ГАУЗ </w:t>
            </w:r>
            <w:r w:rsidRPr="000F252A">
              <w:rPr>
                <w:rFonts w:eastAsia="Arial"/>
              </w:rPr>
              <w:t xml:space="preserve">«РКОД МЗ РТ им.проф.М.З.Сигала» </w:t>
            </w:r>
            <w:r w:rsidR="00611CD9" w:rsidRPr="000F252A">
              <w:t>М.Ф.Мухамадеев</w:t>
            </w:r>
          </w:p>
        </w:tc>
        <w:tc>
          <w:tcPr>
            <w:tcW w:w="3969" w:type="dxa"/>
            <w:shd w:val="clear" w:color="auto" w:fill="auto"/>
          </w:tcPr>
          <w:p w:rsidR="004135F8" w:rsidRPr="000F252A" w:rsidRDefault="004135F8" w:rsidP="004135F8">
            <w:pPr>
              <w:jc w:val="both"/>
            </w:pPr>
            <w:r w:rsidRPr="000F252A">
              <w:t xml:space="preserve">ежегодный контрольный пересмотр не менее 2 500 препаратов </w:t>
            </w:r>
          </w:p>
          <w:p w:rsidR="004135F8" w:rsidRPr="000F252A" w:rsidRDefault="004135F8" w:rsidP="004135F8">
            <w:pPr>
              <w:jc w:val="both"/>
            </w:pPr>
          </w:p>
        </w:tc>
      </w:tr>
      <w:tr w:rsidR="004135F8" w:rsidRPr="009D3B11" w:rsidTr="00AC795F">
        <w:trPr>
          <w:trHeight w:val="20"/>
        </w:trPr>
        <w:tc>
          <w:tcPr>
            <w:tcW w:w="704" w:type="dxa"/>
            <w:shd w:val="clear" w:color="auto" w:fill="auto"/>
          </w:tcPr>
          <w:p w:rsidR="004135F8" w:rsidRPr="000F252A" w:rsidRDefault="004135F8" w:rsidP="00D37BB0">
            <w:pPr>
              <w:jc w:val="center"/>
            </w:pPr>
            <w:r w:rsidRPr="000F252A">
              <w:t>4.</w:t>
            </w:r>
            <w:r w:rsidR="00D37BB0" w:rsidRPr="000F252A">
              <w:t>4</w:t>
            </w:r>
            <w:r w:rsidRPr="000F252A">
              <w:t>.</w:t>
            </w:r>
          </w:p>
        </w:tc>
        <w:tc>
          <w:tcPr>
            <w:tcW w:w="3686" w:type="dxa"/>
            <w:shd w:val="clear" w:color="auto" w:fill="auto"/>
          </w:tcPr>
          <w:p w:rsidR="004135F8" w:rsidRPr="000F252A" w:rsidRDefault="004135F8" w:rsidP="003B5DCB">
            <w:pPr>
              <w:jc w:val="both"/>
            </w:pPr>
            <w:r w:rsidRPr="000F252A">
              <w:t>Обеспечение работы «тяжелого» диагностического оборудования (рентгеновские компьютерные томографы, магнитно-резонансные томографы, позитронно-эмиссионные томографы, однофотонные эмиссионные компьютерные томографы) медицинских организаций Республики Татарстан не менее чем в 2 смены</w:t>
            </w:r>
          </w:p>
        </w:tc>
        <w:tc>
          <w:tcPr>
            <w:tcW w:w="1474" w:type="dxa"/>
          </w:tcPr>
          <w:p w:rsidR="004135F8" w:rsidRPr="000F252A" w:rsidRDefault="00B262AF" w:rsidP="004135F8">
            <w:pPr>
              <w:jc w:val="center"/>
            </w:pPr>
            <w:r w:rsidRPr="000F252A">
              <w:t>01.01.2026</w:t>
            </w:r>
          </w:p>
        </w:tc>
        <w:tc>
          <w:tcPr>
            <w:tcW w:w="1418" w:type="dxa"/>
            <w:shd w:val="clear" w:color="auto" w:fill="auto"/>
          </w:tcPr>
          <w:p w:rsidR="004135F8" w:rsidRPr="000F252A" w:rsidRDefault="004135F8" w:rsidP="004135F8">
            <w:pPr>
              <w:jc w:val="center"/>
            </w:pPr>
            <w:r w:rsidRPr="000F252A">
              <w:t>31.12.2030</w:t>
            </w:r>
          </w:p>
        </w:tc>
        <w:tc>
          <w:tcPr>
            <w:tcW w:w="3912" w:type="dxa"/>
            <w:shd w:val="clear" w:color="auto" w:fill="auto"/>
          </w:tcPr>
          <w:p w:rsidR="004135F8" w:rsidRPr="000F252A" w:rsidRDefault="00C15E85" w:rsidP="004135F8">
            <w:pPr>
              <w:jc w:val="both"/>
            </w:pPr>
            <w:r w:rsidRPr="000F252A">
              <w:t xml:space="preserve">министр здравоохранения </w:t>
            </w:r>
            <w:r w:rsidR="004135F8" w:rsidRPr="000F252A">
              <w:t>Республики Татарстан А.Р.Абашев, руководители медицинских организаций Республики Татарстан</w:t>
            </w:r>
          </w:p>
        </w:tc>
        <w:tc>
          <w:tcPr>
            <w:tcW w:w="3969" w:type="dxa"/>
            <w:shd w:val="clear" w:color="auto" w:fill="auto"/>
          </w:tcPr>
          <w:p w:rsidR="004135F8" w:rsidRPr="000F252A" w:rsidRDefault="004135F8" w:rsidP="004135F8">
            <w:pPr>
              <w:jc w:val="both"/>
            </w:pPr>
            <w:r w:rsidRPr="000F252A">
              <w:t>100 процентов аппаратов «тяжелого» диагностического оборудования функционируют не менее чем в 2 смены</w:t>
            </w:r>
          </w:p>
          <w:p w:rsidR="004135F8" w:rsidRPr="000F252A" w:rsidRDefault="004135F8" w:rsidP="004135F8">
            <w:pPr>
              <w:jc w:val="both"/>
            </w:pPr>
            <w:r w:rsidRPr="000F252A">
              <w:t>(</w:t>
            </w:r>
            <w:r w:rsidR="00354FCB">
              <w:t xml:space="preserve">факт </w:t>
            </w:r>
            <w:r w:rsidRPr="000F252A">
              <w:t>202</w:t>
            </w:r>
            <w:r w:rsidR="00002DF2" w:rsidRPr="000F252A">
              <w:t>5</w:t>
            </w:r>
            <w:r w:rsidRPr="000F252A">
              <w:t xml:space="preserve"> г. – 100 процентов) </w:t>
            </w:r>
          </w:p>
          <w:p w:rsidR="004135F8" w:rsidRPr="000F252A" w:rsidRDefault="004135F8" w:rsidP="004135F8">
            <w:pPr>
              <w:jc w:val="both"/>
            </w:pPr>
          </w:p>
          <w:p w:rsidR="004135F8" w:rsidRPr="000F252A" w:rsidRDefault="004135F8" w:rsidP="004135F8">
            <w:pPr>
              <w:jc w:val="both"/>
            </w:pPr>
            <w:r w:rsidRPr="000F252A">
              <w:t xml:space="preserve">ежегодное выполнение: </w:t>
            </w:r>
          </w:p>
          <w:p w:rsidR="004135F8" w:rsidRPr="000F252A" w:rsidRDefault="004135F8" w:rsidP="004135F8">
            <w:pPr>
              <w:jc w:val="both"/>
            </w:pPr>
            <w:r w:rsidRPr="000F252A">
              <w:t xml:space="preserve">рентгеновских компьютерных томографий – не менее 567 тыс.исследований; </w:t>
            </w:r>
          </w:p>
          <w:p w:rsidR="004135F8" w:rsidRPr="000F252A" w:rsidRDefault="004135F8" w:rsidP="004135F8">
            <w:pPr>
              <w:jc w:val="both"/>
            </w:pPr>
            <w:r w:rsidRPr="000F252A">
              <w:t xml:space="preserve">магнитно-резонансных томографий – не менее 108 тыс.исследований; </w:t>
            </w:r>
          </w:p>
          <w:p w:rsidR="004135F8" w:rsidRPr="000F252A" w:rsidRDefault="004135F8" w:rsidP="004135F8">
            <w:pPr>
              <w:jc w:val="both"/>
            </w:pPr>
            <w:r w:rsidRPr="000F252A">
              <w:t>позитронно-эмиссионных томогра-</w:t>
            </w:r>
            <w:r w:rsidRPr="000F252A">
              <w:br/>
              <w:t xml:space="preserve">фий – не менее 8,2 тыс.исследований; </w:t>
            </w:r>
          </w:p>
          <w:p w:rsidR="004135F8" w:rsidRPr="000F252A" w:rsidRDefault="004135F8" w:rsidP="004135F8">
            <w:pPr>
              <w:jc w:val="both"/>
            </w:pPr>
            <w:r w:rsidRPr="000F252A">
              <w:t xml:space="preserve">однофотонных эмиссионных компьютерных томографий – не менее </w:t>
            </w:r>
            <w:r w:rsidRPr="000F252A">
              <w:br/>
              <w:t>7,0 тыс.исследований</w:t>
            </w:r>
          </w:p>
        </w:tc>
      </w:tr>
      <w:tr w:rsidR="004135F8" w:rsidRPr="009D3B11" w:rsidTr="00AC795F">
        <w:trPr>
          <w:trHeight w:val="20"/>
        </w:trPr>
        <w:tc>
          <w:tcPr>
            <w:tcW w:w="704" w:type="dxa"/>
            <w:shd w:val="clear" w:color="auto" w:fill="auto"/>
          </w:tcPr>
          <w:p w:rsidR="004135F8" w:rsidRPr="000F252A" w:rsidRDefault="004135F8" w:rsidP="00D37BB0">
            <w:pPr>
              <w:jc w:val="center"/>
            </w:pPr>
            <w:r w:rsidRPr="000F252A">
              <w:t>4.</w:t>
            </w:r>
            <w:r w:rsidR="00D37BB0" w:rsidRPr="000F252A">
              <w:t>5</w:t>
            </w:r>
            <w:r w:rsidRPr="000F252A">
              <w:t>.</w:t>
            </w:r>
          </w:p>
        </w:tc>
        <w:tc>
          <w:tcPr>
            <w:tcW w:w="3686" w:type="dxa"/>
            <w:shd w:val="clear" w:color="auto" w:fill="auto"/>
          </w:tcPr>
          <w:p w:rsidR="004135F8" w:rsidRPr="000F252A" w:rsidRDefault="004135F8" w:rsidP="00B411FA">
            <w:pPr>
              <w:jc w:val="both"/>
            </w:pPr>
            <w:r w:rsidRPr="000F252A">
              <w:t>Осуществление контроля обеспечения «зеленого коридора», соблюдения сроков и объема обследования при обследовании пациентов с подозрением на ЗНО</w:t>
            </w:r>
            <w:r w:rsidR="00B411FA">
              <w:t xml:space="preserve"> (</w:t>
            </w:r>
            <w:r w:rsidRPr="000F252A">
              <w:t>с впервые выявленным ЗНО</w:t>
            </w:r>
            <w:r w:rsidR="00B411FA">
              <w:t>)</w:t>
            </w:r>
            <w:r w:rsidRPr="000F252A">
              <w:t xml:space="preserve"> согласно клиническим рекомендациям в медицинских организациях, оказывающих первичную медико-санитарную помощь, путем анализа показателей чек-листов маршрутизации пациента с подозрением </w:t>
            </w:r>
            <w:r w:rsidR="00B411FA">
              <w:t>на онкологическое заболевание (</w:t>
            </w:r>
            <w:r w:rsidRPr="000F252A">
              <w:t>с впервые выявленным заболеванием</w:t>
            </w:r>
            <w:r w:rsidR="00B411FA">
              <w:t>)</w:t>
            </w:r>
            <w:r w:rsidRPr="000F252A">
              <w:t xml:space="preserve"> (в рамках исполнения приказа </w:t>
            </w:r>
            <w:r w:rsidR="009C6B73" w:rsidRPr="000F252A">
              <w:rPr>
                <w:rFonts w:eastAsia="Arial"/>
              </w:rPr>
              <w:t>Министерства здравоохранения Республики Татарстан от 29.10.2025 № 2510 «</w:t>
            </w:r>
            <w:r w:rsidR="009C6B73" w:rsidRPr="000F252A">
              <w:t>О порядке маршрутизации пациентов с подозрением на онкологические заболевания и пациентов с онкологическими заболеваниями (взрослое население) в Республике Татарстан»</w:t>
            </w:r>
            <w:r w:rsidRPr="000F252A">
              <w:t>)</w:t>
            </w:r>
          </w:p>
        </w:tc>
        <w:tc>
          <w:tcPr>
            <w:tcW w:w="1474" w:type="dxa"/>
          </w:tcPr>
          <w:p w:rsidR="004135F8" w:rsidRPr="000F252A" w:rsidRDefault="004135F8" w:rsidP="001F7909">
            <w:pPr>
              <w:jc w:val="center"/>
            </w:pPr>
            <w:r w:rsidRPr="000F252A">
              <w:t>09.01.202</w:t>
            </w:r>
            <w:r w:rsidR="001F7909" w:rsidRPr="000F252A">
              <w:t>6</w:t>
            </w:r>
          </w:p>
        </w:tc>
        <w:tc>
          <w:tcPr>
            <w:tcW w:w="1418" w:type="dxa"/>
            <w:shd w:val="clear" w:color="auto" w:fill="auto"/>
          </w:tcPr>
          <w:p w:rsidR="004135F8" w:rsidRPr="000F252A" w:rsidRDefault="004135F8" w:rsidP="004135F8">
            <w:pPr>
              <w:jc w:val="center"/>
            </w:pPr>
            <w:r w:rsidRPr="000F252A">
              <w:t>31.12.2030</w:t>
            </w:r>
          </w:p>
        </w:tc>
        <w:tc>
          <w:tcPr>
            <w:tcW w:w="3912" w:type="dxa"/>
            <w:shd w:val="clear" w:color="auto" w:fill="auto"/>
          </w:tcPr>
          <w:p w:rsidR="004135F8" w:rsidRPr="000F252A" w:rsidRDefault="004135F8" w:rsidP="004135F8">
            <w:pPr>
              <w:jc w:val="both"/>
            </w:pPr>
            <w:r w:rsidRPr="000F252A">
              <w:t xml:space="preserve">главный врач </w:t>
            </w:r>
            <w:r w:rsidRPr="000F252A">
              <w:rPr>
                <w:rFonts w:eastAsia="Arial"/>
              </w:rPr>
              <w:t>«РКОД МЗ РТ им.проф.М.З.Сигала»</w:t>
            </w:r>
            <w:r w:rsidR="00F128D1" w:rsidRPr="000F252A">
              <w:t xml:space="preserve"> </w:t>
            </w:r>
            <w:r w:rsidR="00611CD9" w:rsidRPr="000F252A">
              <w:t>М.Ф.Мухамадеев</w:t>
            </w:r>
          </w:p>
        </w:tc>
        <w:tc>
          <w:tcPr>
            <w:tcW w:w="3969" w:type="dxa"/>
            <w:shd w:val="clear" w:color="auto" w:fill="auto"/>
          </w:tcPr>
          <w:p w:rsidR="004135F8" w:rsidRPr="000F252A" w:rsidRDefault="004135F8" w:rsidP="004135F8">
            <w:pPr>
              <w:jc w:val="both"/>
            </w:pPr>
            <w:r w:rsidRPr="000F252A">
              <w:t xml:space="preserve">проведен анализ чек-листов маршрутизации и обследования пациента с подозрением </w:t>
            </w:r>
            <w:r w:rsidR="00300445">
              <w:t>на онкологическое заболевание (</w:t>
            </w:r>
            <w:r w:rsidRPr="000F252A">
              <w:t>с впервые выявленным заболеванием</w:t>
            </w:r>
            <w:r w:rsidR="00300445">
              <w:t>)</w:t>
            </w:r>
            <w:r w:rsidRPr="000F252A">
              <w:t xml:space="preserve">: </w:t>
            </w:r>
          </w:p>
          <w:p w:rsidR="004135F8" w:rsidRPr="000F252A" w:rsidRDefault="004135F8" w:rsidP="004135F8">
            <w:pPr>
              <w:jc w:val="both"/>
            </w:pPr>
            <w:r w:rsidRPr="000F252A">
              <w:t xml:space="preserve">2026 г. – не менее 6 200 чек-листов; </w:t>
            </w:r>
          </w:p>
          <w:p w:rsidR="004135F8" w:rsidRPr="000F252A" w:rsidRDefault="004135F8" w:rsidP="004135F8">
            <w:pPr>
              <w:jc w:val="both"/>
            </w:pPr>
            <w:r w:rsidRPr="000F252A">
              <w:t xml:space="preserve">2027 г. – не менее 6 400 чек-листов; </w:t>
            </w:r>
          </w:p>
          <w:p w:rsidR="004135F8" w:rsidRPr="000F252A" w:rsidRDefault="004135F8" w:rsidP="004135F8">
            <w:pPr>
              <w:jc w:val="both"/>
            </w:pPr>
            <w:r w:rsidRPr="000F252A">
              <w:t xml:space="preserve">2028 г. – не менее 6 500 чек-листов; </w:t>
            </w:r>
          </w:p>
          <w:p w:rsidR="004135F8" w:rsidRPr="000F252A" w:rsidRDefault="004135F8" w:rsidP="004135F8">
            <w:pPr>
              <w:jc w:val="both"/>
            </w:pPr>
            <w:r w:rsidRPr="000F252A">
              <w:t xml:space="preserve">2029 г. – не менее 6 500 чек-листов; </w:t>
            </w:r>
          </w:p>
          <w:p w:rsidR="004135F8" w:rsidRPr="000F252A" w:rsidRDefault="004135F8" w:rsidP="004135F8">
            <w:pPr>
              <w:jc w:val="both"/>
            </w:pPr>
            <w:r w:rsidRPr="000F252A">
              <w:t xml:space="preserve">2030 г. – не менее 6 500 чек-листов </w:t>
            </w:r>
          </w:p>
          <w:p w:rsidR="004135F8" w:rsidRPr="000F252A" w:rsidRDefault="004135F8" w:rsidP="004135F8">
            <w:pPr>
              <w:jc w:val="both"/>
            </w:pPr>
            <w:r w:rsidRPr="000F252A">
              <w:t>(</w:t>
            </w:r>
            <w:r w:rsidR="00300445">
              <w:t xml:space="preserve">факт </w:t>
            </w:r>
            <w:r w:rsidRPr="000F252A">
              <w:t>202</w:t>
            </w:r>
            <w:r w:rsidR="00002DF2" w:rsidRPr="000F252A">
              <w:t>5</w:t>
            </w:r>
            <w:r w:rsidRPr="000F252A">
              <w:t xml:space="preserve"> г. –  6 </w:t>
            </w:r>
            <w:r w:rsidR="00002DF2" w:rsidRPr="000F252A">
              <w:t>1</w:t>
            </w:r>
            <w:r w:rsidRPr="000F252A">
              <w:t xml:space="preserve">00 чек-листов) </w:t>
            </w:r>
          </w:p>
          <w:p w:rsidR="004135F8" w:rsidRPr="000F252A" w:rsidRDefault="004135F8" w:rsidP="004135F8">
            <w:pPr>
              <w:jc w:val="both"/>
            </w:pPr>
          </w:p>
        </w:tc>
      </w:tr>
      <w:tr w:rsidR="004135F8" w:rsidRPr="009D3B11" w:rsidTr="00AC795F">
        <w:trPr>
          <w:trHeight w:val="20"/>
        </w:trPr>
        <w:tc>
          <w:tcPr>
            <w:tcW w:w="704" w:type="dxa"/>
            <w:shd w:val="clear" w:color="auto" w:fill="auto"/>
          </w:tcPr>
          <w:p w:rsidR="004135F8" w:rsidRPr="000F252A" w:rsidRDefault="004135F8" w:rsidP="00D37BB0">
            <w:pPr>
              <w:jc w:val="center"/>
            </w:pPr>
            <w:r w:rsidRPr="000F252A">
              <w:t>4.</w:t>
            </w:r>
            <w:r w:rsidR="00D37BB0" w:rsidRPr="000F252A">
              <w:t>6</w:t>
            </w:r>
            <w:r w:rsidRPr="000F252A">
              <w:t>.</w:t>
            </w:r>
          </w:p>
        </w:tc>
        <w:tc>
          <w:tcPr>
            <w:tcW w:w="3686" w:type="dxa"/>
            <w:shd w:val="clear" w:color="auto" w:fill="auto"/>
          </w:tcPr>
          <w:p w:rsidR="004135F8" w:rsidRPr="000F252A" w:rsidRDefault="004135F8" w:rsidP="004135F8">
            <w:pPr>
              <w:jc w:val="both"/>
            </w:pPr>
            <w:r w:rsidRPr="000F252A">
              <w:t>Анализ полноты и качества проведения диагностических исследований для пациентов с подозрением на ЗНО</w:t>
            </w:r>
          </w:p>
        </w:tc>
        <w:tc>
          <w:tcPr>
            <w:tcW w:w="1474" w:type="dxa"/>
          </w:tcPr>
          <w:p w:rsidR="004135F8" w:rsidRPr="000F252A" w:rsidRDefault="004135F8" w:rsidP="001F7909">
            <w:pPr>
              <w:jc w:val="center"/>
            </w:pPr>
            <w:r w:rsidRPr="000F252A">
              <w:t>09.01.202</w:t>
            </w:r>
            <w:r w:rsidR="001F7909" w:rsidRPr="000F252A">
              <w:t>6</w:t>
            </w:r>
          </w:p>
        </w:tc>
        <w:tc>
          <w:tcPr>
            <w:tcW w:w="1418" w:type="dxa"/>
            <w:shd w:val="clear" w:color="auto" w:fill="auto"/>
          </w:tcPr>
          <w:p w:rsidR="004135F8" w:rsidRPr="000F252A" w:rsidRDefault="004135F8" w:rsidP="004135F8">
            <w:pPr>
              <w:jc w:val="center"/>
            </w:pPr>
            <w:r w:rsidRPr="000F252A">
              <w:t>31.12.2030</w:t>
            </w:r>
          </w:p>
        </w:tc>
        <w:tc>
          <w:tcPr>
            <w:tcW w:w="3912" w:type="dxa"/>
            <w:shd w:val="clear" w:color="auto" w:fill="auto"/>
          </w:tcPr>
          <w:p w:rsidR="004135F8" w:rsidRPr="000F252A" w:rsidRDefault="004135F8" w:rsidP="004135F8">
            <w:pPr>
              <w:jc w:val="both"/>
            </w:pPr>
            <w:r w:rsidRPr="000F252A">
              <w:t xml:space="preserve">главный врач ГАУЗ </w:t>
            </w:r>
            <w:r w:rsidRPr="000F252A">
              <w:rPr>
                <w:rFonts w:eastAsia="Arial"/>
              </w:rPr>
              <w:t>«РКОД МЗ РТ им.проф.М.З.Сигала»</w:t>
            </w:r>
            <w:r w:rsidRPr="000F252A">
              <w:t xml:space="preserve"> </w:t>
            </w:r>
            <w:r w:rsidR="00611CD9" w:rsidRPr="000F252A">
              <w:t>М.Ф.Мухамадеев</w:t>
            </w:r>
          </w:p>
        </w:tc>
        <w:tc>
          <w:tcPr>
            <w:tcW w:w="3969" w:type="dxa"/>
            <w:shd w:val="clear" w:color="auto" w:fill="auto"/>
          </w:tcPr>
          <w:p w:rsidR="004135F8" w:rsidRPr="000F252A" w:rsidRDefault="004135F8" w:rsidP="004135F8">
            <w:pPr>
              <w:jc w:val="both"/>
            </w:pPr>
            <w:r w:rsidRPr="000F252A">
              <w:t xml:space="preserve">ежемесячно, </w:t>
            </w:r>
          </w:p>
          <w:p w:rsidR="004135F8" w:rsidRPr="000F252A" w:rsidRDefault="004135F8" w:rsidP="004135F8">
            <w:pPr>
              <w:jc w:val="both"/>
            </w:pPr>
            <w:r w:rsidRPr="000F252A">
              <w:t xml:space="preserve">количество дефектов – не более </w:t>
            </w:r>
            <w:r w:rsidR="00300445">
              <w:br/>
            </w:r>
            <w:r w:rsidRPr="000F252A">
              <w:t>7 процентов</w:t>
            </w:r>
          </w:p>
        </w:tc>
      </w:tr>
      <w:tr w:rsidR="004135F8" w:rsidRPr="009D3B11" w:rsidTr="00AC795F">
        <w:trPr>
          <w:trHeight w:val="20"/>
        </w:trPr>
        <w:tc>
          <w:tcPr>
            <w:tcW w:w="704" w:type="dxa"/>
            <w:shd w:val="clear" w:color="auto" w:fill="auto"/>
          </w:tcPr>
          <w:p w:rsidR="004135F8" w:rsidRPr="000F252A" w:rsidRDefault="004135F8" w:rsidP="00D37BB0">
            <w:pPr>
              <w:jc w:val="center"/>
            </w:pPr>
            <w:r w:rsidRPr="000F252A">
              <w:t>4.</w:t>
            </w:r>
            <w:r w:rsidR="00D37BB0" w:rsidRPr="000F252A">
              <w:t>7</w:t>
            </w:r>
            <w:r w:rsidRPr="000F252A">
              <w:t>.</w:t>
            </w:r>
          </w:p>
        </w:tc>
        <w:tc>
          <w:tcPr>
            <w:tcW w:w="3686" w:type="dxa"/>
            <w:shd w:val="clear" w:color="auto" w:fill="auto"/>
          </w:tcPr>
          <w:p w:rsidR="004135F8" w:rsidRPr="000F252A" w:rsidRDefault="004135F8" w:rsidP="004135F8">
            <w:pPr>
              <w:jc w:val="both"/>
            </w:pPr>
            <w:r w:rsidRPr="000F252A">
              <w:t xml:space="preserve">Мониторинг сроков проведения диагностических исследований. </w:t>
            </w:r>
          </w:p>
          <w:p w:rsidR="004135F8" w:rsidRPr="000F252A" w:rsidRDefault="004135F8" w:rsidP="004135F8">
            <w:pPr>
              <w:jc w:val="both"/>
            </w:pPr>
            <w:r w:rsidRPr="000F252A">
              <w:t xml:space="preserve">Соответствие нормативу, установленному Программой государственных гарантий бесплатного оказания гражданам медицинской помощи </w:t>
            </w:r>
          </w:p>
        </w:tc>
        <w:tc>
          <w:tcPr>
            <w:tcW w:w="1474" w:type="dxa"/>
          </w:tcPr>
          <w:p w:rsidR="004135F8" w:rsidRPr="000F252A" w:rsidRDefault="004135F8" w:rsidP="001F7909">
            <w:pPr>
              <w:jc w:val="center"/>
            </w:pPr>
            <w:r w:rsidRPr="000F252A">
              <w:t>09.01.202</w:t>
            </w:r>
            <w:r w:rsidR="001F7909" w:rsidRPr="000F252A">
              <w:t>6</w:t>
            </w:r>
          </w:p>
        </w:tc>
        <w:tc>
          <w:tcPr>
            <w:tcW w:w="1418" w:type="dxa"/>
            <w:shd w:val="clear" w:color="auto" w:fill="auto"/>
          </w:tcPr>
          <w:p w:rsidR="004135F8" w:rsidRPr="000F252A" w:rsidRDefault="004135F8" w:rsidP="004135F8">
            <w:pPr>
              <w:jc w:val="center"/>
            </w:pPr>
            <w:r w:rsidRPr="000F252A">
              <w:t>31.12.2030</w:t>
            </w:r>
          </w:p>
        </w:tc>
        <w:tc>
          <w:tcPr>
            <w:tcW w:w="3912" w:type="dxa"/>
            <w:shd w:val="clear" w:color="auto" w:fill="auto"/>
          </w:tcPr>
          <w:p w:rsidR="004135F8" w:rsidRPr="000F252A" w:rsidRDefault="004135F8" w:rsidP="004135F8">
            <w:pPr>
              <w:jc w:val="both"/>
            </w:pPr>
            <w:r w:rsidRPr="000F252A">
              <w:t xml:space="preserve">главный врач ГАУЗ </w:t>
            </w:r>
            <w:r w:rsidRPr="000F252A">
              <w:rPr>
                <w:rFonts w:eastAsia="Arial"/>
              </w:rPr>
              <w:t>«РКОД МЗ РТ им.проф.М.З.Сигала»</w:t>
            </w:r>
            <w:r w:rsidRPr="000F252A">
              <w:t xml:space="preserve"> </w:t>
            </w:r>
            <w:r w:rsidR="00611CD9" w:rsidRPr="000F252A">
              <w:t>М.Ф.Мухамадеев</w:t>
            </w:r>
          </w:p>
        </w:tc>
        <w:tc>
          <w:tcPr>
            <w:tcW w:w="3969" w:type="dxa"/>
            <w:shd w:val="clear" w:color="auto" w:fill="auto"/>
          </w:tcPr>
          <w:p w:rsidR="004135F8" w:rsidRPr="000F252A" w:rsidRDefault="004135F8" w:rsidP="004135F8">
            <w:pPr>
              <w:jc w:val="both"/>
            </w:pPr>
            <w:r w:rsidRPr="000F252A">
              <w:t xml:space="preserve">ежемесячно, </w:t>
            </w:r>
          </w:p>
          <w:p w:rsidR="004135F8" w:rsidRPr="000F252A" w:rsidRDefault="004135F8" w:rsidP="004135F8">
            <w:pPr>
              <w:jc w:val="both"/>
            </w:pPr>
            <w:r w:rsidRPr="000F252A">
              <w:t>число случаев превышения норматива – не более 5 процентов</w:t>
            </w:r>
          </w:p>
          <w:p w:rsidR="004135F8" w:rsidRPr="000F252A" w:rsidRDefault="004135F8" w:rsidP="004135F8">
            <w:pPr>
              <w:jc w:val="both"/>
            </w:pPr>
          </w:p>
        </w:tc>
      </w:tr>
      <w:tr w:rsidR="004135F8" w:rsidRPr="009D3B11" w:rsidTr="00AC795F">
        <w:trPr>
          <w:trHeight w:val="20"/>
        </w:trPr>
        <w:tc>
          <w:tcPr>
            <w:tcW w:w="704" w:type="dxa"/>
            <w:shd w:val="clear" w:color="auto" w:fill="auto"/>
          </w:tcPr>
          <w:p w:rsidR="004135F8" w:rsidRPr="000F252A" w:rsidRDefault="004135F8" w:rsidP="00D37BB0">
            <w:pPr>
              <w:jc w:val="center"/>
            </w:pPr>
            <w:r w:rsidRPr="000F252A">
              <w:t>4.</w:t>
            </w:r>
            <w:r w:rsidR="00D37BB0" w:rsidRPr="000F252A">
              <w:t>8</w:t>
            </w:r>
            <w:r w:rsidRPr="000F252A">
              <w:t>.</w:t>
            </w:r>
          </w:p>
        </w:tc>
        <w:tc>
          <w:tcPr>
            <w:tcW w:w="3686" w:type="dxa"/>
            <w:shd w:val="clear" w:color="auto" w:fill="auto"/>
          </w:tcPr>
          <w:p w:rsidR="004135F8" w:rsidRPr="005C348C" w:rsidRDefault="004135F8" w:rsidP="005C348C">
            <w:pPr>
              <w:jc w:val="both"/>
            </w:pPr>
            <w:r w:rsidRPr="005C348C">
              <w:t xml:space="preserve">Обеспечение мультидисциплинарного подхода в диагностике, лечении и динамическом наблюдении пациентов в работе </w:t>
            </w:r>
            <w:r w:rsidR="005C348C" w:rsidRPr="005C348C">
              <w:t xml:space="preserve">центров амбулаторной онкологической помощи </w:t>
            </w:r>
          </w:p>
        </w:tc>
        <w:tc>
          <w:tcPr>
            <w:tcW w:w="1474" w:type="dxa"/>
          </w:tcPr>
          <w:p w:rsidR="004135F8" w:rsidRPr="000F252A" w:rsidRDefault="004135F8" w:rsidP="001F7909">
            <w:pPr>
              <w:jc w:val="center"/>
            </w:pPr>
            <w:r w:rsidRPr="000F252A">
              <w:t>09.01.202</w:t>
            </w:r>
            <w:r w:rsidR="001F7909" w:rsidRPr="000F252A">
              <w:t>6</w:t>
            </w:r>
          </w:p>
        </w:tc>
        <w:tc>
          <w:tcPr>
            <w:tcW w:w="1418" w:type="dxa"/>
            <w:shd w:val="clear" w:color="auto" w:fill="auto"/>
          </w:tcPr>
          <w:p w:rsidR="004135F8" w:rsidRPr="000F252A" w:rsidRDefault="004135F8" w:rsidP="004135F8">
            <w:pPr>
              <w:jc w:val="center"/>
            </w:pPr>
            <w:r w:rsidRPr="000F252A">
              <w:t>31.12.2030</w:t>
            </w:r>
          </w:p>
        </w:tc>
        <w:tc>
          <w:tcPr>
            <w:tcW w:w="3912" w:type="dxa"/>
            <w:shd w:val="clear" w:color="auto" w:fill="auto"/>
          </w:tcPr>
          <w:p w:rsidR="004135F8" w:rsidRPr="000F252A" w:rsidRDefault="00C15E85" w:rsidP="004135F8">
            <w:pPr>
              <w:jc w:val="both"/>
            </w:pPr>
            <w:r w:rsidRPr="000F252A">
              <w:t xml:space="preserve">министр здравоохранения </w:t>
            </w:r>
            <w:r w:rsidR="004135F8" w:rsidRPr="000F252A">
              <w:t>Республики Татарстан А.Р.Абашев, главный внештатный специалист-онколог Министерства здравоохранения Республики Татарстан Э.В.Нагуманов, руководители медицинских организаций Республики Татарстан</w:t>
            </w:r>
          </w:p>
        </w:tc>
        <w:tc>
          <w:tcPr>
            <w:tcW w:w="3969" w:type="dxa"/>
            <w:shd w:val="clear" w:color="auto" w:fill="auto"/>
          </w:tcPr>
          <w:p w:rsidR="004135F8" w:rsidRPr="000F252A" w:rsidRDefault="004135F8" w:rsidP="004135F8">
            <w:pPr>
              <w:jc w:val="both"/>
            </w:pPr>
            <w:r w:rsidRPr="000F252A">
              <w:t xml:space="preserve">реализуется мультидисциплинарный подход в диагностике, лечении и динамическом наблюдении пациентов в работе 9 </w:t>
            </w:r>
            <w:r w:rsidR="005C348C">
              <w:t xml:space="preserve">центров амбулаторной онкологической помощи </w:t>
            </w:r>
          </w:p>
          <w:p w:rsidR="004135F8" w:rsidRPr="000F252A" w:rsidRDefault="004135F8" w:rsidP="004135F8">
            <w:pPr>
              <w:jc w:val="both"/>
            </w:pPr>
          </w:p>
        </w:tc>
      </w:tr>
      <w:tr w:rsidR="00E160B2" w:rsidRPr="009D3B11" w:rsidTr="00AC795F">
        <w:trPr>
          <w:trHeight w:val="20"/>
        </w:trPr>
        <w:tc>
          <w:tcPr>
            <w:tcW w:w="704" w:type="dxa"/>
            <w:shd w:val="clear" w:color="auto" w:fill="auto"/>
          </w:tcPr>
          <w:p w:rsidR="00E160B2" w:rsidRPr="000F252A" w:rsidRDefault="00D37BB0" w:rsidP="004135F8">
            <w:pPr>
              <w:jc w:val="center"/>
            </w:pPr>
            <w:r w:rsidRPr="000F252A">
              <w:t>4.9.</w:t>
            </w:r>
          </w:p>
        </w:tc>
        <w:tc>
          <w:tcPr>
            <w:tcW w:w="3686" w:type="dxa"/>
            <w:shd w:val="clear" w:color="auto" w:fill="auto"/>
          </w:tcPr>
          <w:p w:rsidR="00E160B2" w:rsidRPr="000F252A" w:rsidRDefault="00E160B2" w:rsidP="004135F8">
            <w:pPr>
              <w:jc w:val="both"/>
            </w:pPr>
            <w:r w:rsidRPr="000F252A">
              <w:t>Разработка и внедрение чек-листов обследования пациентов в рамках диспансерного наблюдения при различных локализациях солидных ЗНО</w:t>
            </w:r>
            <w:r w:rsidR="00224AD4" w:rsidRPr="000F252A">
              <w:t>, основанных на действующих клинических рекомендациях</w:t>
            </w:r>
          </w:p>
        </w:tc>
        <w:tc>
          <w:tcPr>
            <w:tcW w:w="1474" w:type="dxa"/>
          </w:tcPr>
          <w:p w:rsidR="00E160B2" w:rsidRPr="000F252A" w:rsidRDefault="00224AD4" w:rsidP="004135F8">
            <w:pPr>
              <w:jc w:val="center"/>
            </w:pPr>
            <w:r w:rsidRPr="000F252A">
              <w:t>12.01.2026</w:t>
            </w:r>
          </w:p>
        </w:tc>
        <w:tc>
          <w:tcPr>
            <w:tcW w:w="1418" w:type="dxa"/>
            <w:shd w:val="clear" w:color="auto" w:fill="auto"/>
          </w:tcPr>
          <w:p w:rsidR="00E160B2" w:rsidRPr="000F252A" w:rsidRDefault="00224AD4" w:rsidP="00224AD4">
            <w:pPr>
              <w:jc w:val="center"/>
            </w:pPr>
            <w:r w:rsidRPr="000F252A">
              <w:t>31.12.2026</w:t>
            </w:r>
          </w:p>
        </w:tc>
        <w:tc>
          <w:tcPr>
            <w:tcW w:w="3912" w:type="dxa"/>
            <w:shd w:val="clear" w:color="auto" w:fill="auto"/>
          </w:tcPr>
          <w:p w:rsidR="00E160B2" w:rsidRPr="000F252A" w:rsidRDefault="00300445" w:rsidP="004C1B67">
            <w:pPr>
              <w:jc w:val="both"/>
            </w:pPr>
            <w:r>
              <w:t xml:space="preserve">министр здравоохранения </w:t>
            </w:r>
            <w:r w:rsidR="00224AD4" w:rsidRPr="000F252A">
              <w:t xml:space="preserve">Республики Татарстан А.Р.Абашев, главный врач ГАУЗ </w:t>
            </w:r>
            <w:r w:rsidR="00224AD4" w:rsidRPr="000F252A">
              <w:rPr>
                <w:rFonts w:eastAsia="Arial"/>
              </w:rPr>
              <w:t>«РКОД МЗ РТ им.проф.М.З.Сигала»</w:t>
            </w:r>
            <w:r w:rsidR="00224AD4" w:rsidRPr="000F252A">
              <w:t xml:space="preserve"> М.Ф.Мухамадеев, руководители медицинских организаций Республики Татарстан</w:t>
            </w:r>
          </w:p>
        </w:tc>
        <w:tc>
          <w:tcPr>
            <w:tcW w:w="3969" w:type="dxa"/>
            <w:shd w:val="clear" w:color="auto" w:fill="auto"/>
          </w:tcPr>
          <w:p w:rsidR="00E160B2" w:rsidRPr="000F252A" w:rsidRDefault="00224AD4" w:rsidP="005C348C">
            <w:pPr>
              <w:jc w:val="both"/>
            </w:pPr>
            <w:r w:rsidRPr="000F252A">
              <w:t xml:space="preserve">издан приказ Министерства здравоохранения Республики Татарстан, внедрены не менее 50 чек-листов в работу врачей-онкологов ГАУЗ </w:t>
            </w:r>
            <w:r w:rsidRPr="000F252A">
              <w:rPr>
                <w:rFonts w:eastAsia="Arial"/>
              </w:rPr>
              <w:t xml:space="preserve">«РКОД МЗ РТ им.проф.М.З.Сигала», </w:t>
            </w:r>
            <w:r w:rsidR="005C348C">
              <w:t>центров амбулаторной онкологической помощи</w:t>
            </w:r>
            <w:r w:rsidRPr="000F252A">
              <w:rPr>
                <w:rFonts w:eastAsia="Arial"/>
              </w:rPr>
              <w:t xml:space="preserve">, </w:t>
            </w:r>
            <w:r w:rsidR="005C348C">
              <w:rPr>
                <w:rFonts w:eastAsia="Arial"/>
              </w:rPr>
              <w:t>первичных онкологических кабинетов</w:t>
            </w:r>
          </w:p>
        </w:tc>
      </w:tr>
      <w:tr w:rsidR="004135F8" w:rsidRPr="009D3B11" w:rsidTr="00AC795F">
        <w:trPr>
          <w:trHeight w:val="20"/>
        </w:trPr>
        <w:tc>
          <w:tcPr>
            <w:tcW w:w="704" w:type="dxa"/>
            <w:shd w:val="clear" w:color="auto" w:fill="auto"/>
          </w:tcPr>
          <w:p w:rsidR="004135F8" w:rsidRPr="000F252A" w:rsidRDefault="004135F8" w:rsidP="004135F8">
            <w:pPr>
              <w:jc w:val="center"/>
            </w:pPr>
            <w:r w:rsidRPr="000F252A">
              <w:t>4.10.</w:t>
            </w:r>
          </w:p>
        </w:tc>
        <w:tc>
          <w:tcPr>
            <w:tcW w:w="3686" w:type="dxa"/>
            <w:shd w:val="clear" w:color="auto" w:fill="auto"/>
          </w:tcPr>
          <w:p w:rsidR="004135F8" w:rsidRPr="000F252A" w:rsidRDefault="004135F8" w:rsidP="005C348C">
            <w:pPr>
              <w:jc w:val="both"/>
            </w:pPr>
            <w:r w:rsidRPr="000F252A">
              <w:t xml:space="preserve">Расширение спектра режимов противоопухолевой лекарственной терапии в дневном стационаре </w:t>
            </w:r>
            <w:r w:rsidR="005C348C">
              <w:t xml:space="preserve">центров амбулаторной онкологической помощи </w:t>
            </w:r>
          </w:p>
        </w:tc>
        <w:tc>
          <w:tcPr>
            <w:tcW w:w="1474" w:type="dxa"/>
          </w:tcPr>
          <w:p w:rsidR="004135F8" w:rsidRPr="000F252A" w:rsidRDefault="001F7909" w:rsidP="004135F8">
            <w:pPr>
              <w:jc w:val="center"/>
            </w:pPr>
            <w:r w:rsidRPr="000F252A">
              <w:t>01.01.2026</w:t>
            </w:r>
          </w:p>
        </w:tc>
        <w:tc>
          <w:tcPr>
            <w:tcW w:w="1418" w:type="dxa"/>
            <w:shd w:val="clear" w:color="auto" w:fill="auto"/>
          </w:tcPr>
          <w:p w:rsidR="004135F8" w:rsidRPr="000F252A" w:rsidRDefault="004135F8" w:rsidP="004135F8">
            <w:pPr>
              <w:jc w:val="center"/>
            </w:pPr>
            <w:r w:rsidRPr="000F252A">
              <w:t>31.12.2030</w:t>
            </w:r>
          </w:p>
        </w:tc>
        <w:tc>
          <w:tcPr>
            <w:tcW w:w="3912" w:type="dxa"/>
            <w:shd w:val="clear" w:color="auto" w:fill="auto"/>
          </w:tcPr>
          <w:p w:rsidR="004135F8" w:rsidRPr="000F252A" w:rsidRDefault="00C85832" w:rsidP="004C1B67">
            <w:pPr>
              <w:jc w:val="both"/>
            </w:pPr>
            <w:r w:rsidRPr="000F252A">
              <w:t>министр</w:t>
            </w:r>
            <w:r w:rsidR="004135F8" w:rsidRPr="000F252A">
              <w:t xml:space="preserve"> здравоохранения Республики Татарстан А.Р.Абашев, главный внештатный специалист-онколог Министерства здравоохранения Республики Татарстан Э.В.Нагуманов, руководители медицинских организаций Республики Татарстан</w:t>
            </w:r>
          </w:p>
        </w:tc>
        <w:tc>
          <w:tcPr>
            <w:tcW w:w="3969" w:type="dxa"/>
            <w:shd w:val="clear" w:color="auto" w:fill="auto"/>
          </w:tcPr>
          <w:p w:rsidR="004135F8" w:rsidRPr="000F252A" w:rsidRDefault="004135F8" w:rsidP="004135F8">
            <w:pPr>
              <w:jc w:val="both"/>
            </w:pPr>
            <w:r w:rsidRPr="000F252A">
              <w:t xml:space="preserve">проведено лекарственное противоопухолевое лечение в </w:t>
            </w:r>
            <w:r w:rsidR="005C348C">
              <w:t>центрах амбулаторной онкологической помощи</w:t>
            </w:r>
            <w:r w:rsidRPr="000F252A">
              <w:t>:</w:t>
            </w:r>
          </w:p>
          <w:p w:rsidR="004135F8" w:rsidRPr="000F252A" w:rsidRDefault="004135F8" w:rsidP="004135F8">
            <w:pPr>
              <w:jc w:val="both"/>
            </w:pPr>
            <w:r w:rsidRPr="000F252A">
              <w:t xml:space="preserve">не менее 6 000 пациентов ежегодно; </w:t>
            </w:r>
            <w:r w:rsidRPr="000F252A">
              <w:br/>
              <w:t xml:space="preserve">не менее 230 схем ежегодно </w:t>
            </w:r>
          </w:p>
          <w:p w:rsidR="004135F8" w:rsidRPr="000F252A" w:rsidRDefault="004135F8" w:rsidP="004135F8">
            <w:pPr>
              <w:jc w:val="both"/>
            </w:pPr>
          </w:p>
        </w:tc>
      </w:tr>
      <w:tr w:rsidR="004135F8" w:rsidRPr="009D3B11" w:rsidTr="00AC795F">
        <w:trPr>
          <w:trHeight w:val="20"/>
        </w:trPr>
        <w:tc>
          <w:tcPr>
            <w:tcW w:w="704" w:type="dxa"/>
            <w:shd w:val="clear" w:color="auto" w:fill="auto"/>
          </w:tcPr>
          <w:p w:rsidR="004135F8" w:rsidRPr="000F252A" w:rsidRDefault="004135F8" w:rsidP="004135F8">
            <w:pPr>
              <w:jc w:val="center"/>
            </w:pPr>
            <w:r w:rsidRPr="000F252A">
              <w:t>4.11.</w:t>
            </w:r>
          </w:p>
        </w:tc>
        <w:tc>
          <w:tcPr>
            <w:tcW w:w="3686" w:type="dxa"/>
            <w:shd w:val="clear" w:color="auto" w:fill="auto"/>
          </w:tcPr>
          <w:p w:rsidR="004135F8" w:rsidRPr="000F252A" w:rsidRDefault="004374A4" w:rsidP="00C7649F">
            <w:pPr>
              <w:tabs>
                <w:tab w:val="left" w:pos="1061"/>
              </w:tabs>
              <w:jc w:val="both"/>
            </w:pPr>
            <w:r w:rsidRPr="000F252A">
              <w:t>Обеспечение выписки врачами-онкологами центров амбулаторной онкологической помощи льготных рецептов на противоопухолевые лекарственные препараты 9 наименований: тамоксифен, анастрозол, бикалутамид, флутамид, золедроновая кислота, гозерелин, бусерелин, трипторелин, интерферон-L2 на бланках установленной формы и в установленном порядке по федеральной и региональной льготам пациентам с диагнозом ЗНО</w:t>
            </w:r>
          </w:p>
        </w:tc>
        <w:tc>
          <w:tcPr>
            <w:tcW w:w="1474" w:type="dxa"/>
          </w:tcPr>
          <w:p w:rsidR="004135F8" w:rsidRPr="000F252A" w:rsidRDefault="004135F8" w:rsidP="001F7909">
            <w:pPr>
              <w:jc w:val="center"/>
            </w:pPr>
            <w:r w:rsidRPr="000F252A">
              <w:t>01.01.202</w:t>
            </w:r>
            <w:r w:rsidR="001F7909" w:rsidRPr="000F252A">
              <w:t>6</w:t>
            </w:r>
          </w:p>
        </w:tc>
        <w:tc>
          <w:tcPr>
            <w:tcW w:w="1418" w:type="dxa"/>
            <w:shd w:val="clear" w:color="auto" w:fill="auto"/>
          </w:tcPr>
          <w:p w:rsidR="004135F8" w:rsidRPr="000F252A" w:rsidRDefault="004135F8" w:rsidP="004135F8">
            <w:pPr>
              <w:jc w:val="center"/>
            </w:pPr>
            <w:r w:rsidRPr="000F252A">
              <w:t>31.12.2030</w:t>
            </w:r>
          </w:p>
        </w:tc>
        <w:tc>
          <w:tcPr>
            <w:tcW w:w="3912" w:type="dxa"/>
            <w:shd w:val="clear" w:color="auto" w:fill="auto"/>
          </w:tcPr>
          <w:p w:rsidR="004135F8" w:rsidRPr="000F252A" w:rsidRDefault="00C85832" w:rsidP="004135F8">
            <w:pPr>
              <w:jc w:val="both"/>
            </w:pPr>
            <w:r w:rsidRPr="000F252A">
              <w:t>министр</w:t>
            </w:r>
            <w:r w:rsidR="004135F8" w:rsidRPr="000F252A">
              <w:t xml:space="preserve"> здравоохранения Республики Татарстан А.Р.Абашев, главный внештатный специалист-онколог Министерства здравоохранения Республики Татарстан Э.В.Нагуманов, руководители медицинских организаций Республики Татарстан</w:t>
            </w:r>
          </w:p>
        </w:tc>
        <w:tc>
          <w:tcPr>
            <w:tcW w:w="3969" w:type="dxa"/>
            <w:shd w:val="clear" w:color="auto" w:fill="auto"/>
          </w:tcPr>
          <w:p w:rsidR="004135F8" w:rsidRPr="000F252A" w:rsidRDefault="004135F8" w:rsidP="004135F8">
            <w:pPr>
              <w:autoSpaceDE/>
              <w:autoSpaceDN/>
              <w:adjustRightInd/>
              <w:jc w:val="both"/>
              <w:rPr>
                <w:color w:val="000000"/>
              </w:rPr>
            </w:pPr>
            <w:r w:rsidRPr="000F252A">
              <w:rPr>
                <w:color w:val="000000"/>
              </w:rPr>
              <w:t xml:space="preserve">из общего числа пациентов с ЗНО молочной и предстательной желез, нуждающихся в противоопухолевой лекарственной терапи, получают лекарственное лечение в </w:t>
            </w:r>
            <w:r w:rsidR="005C348C">
              <w:t>центрах  амбулаторной онкологической помощи</w:t>
            </w:r>
            <w:r w:rsidRPr="000F252A">
              <w:rPr>
                <w:color w:val="000000"/>
              </w:rPr>
              <w:t>:</w:t>
            </w:r>
          </w:p>
          <w:p w:rsidR="004135F8" w:rsidRPr="000F252A" w:rsidRDefault="004135F8" w:rsidP="004135F8">
            <w:pPr>
              <w:autoSpaceDE/>
              <w:autoSpaceDN/>
              <w:adjustRightInd/>
              <w:jc w:val="both"/>
              <w:rPr>
                <w:color w:val="000000"/>
              </w:rPr>
            </w:pPr>
            <w:r w:rsidRPr="000F252A">
              <w:rPr>
                <w:color w:val="000000"/>
              </w:rPr>
              <w:t>не менее 10 процентов ежегодно</w:t>
            </w:r>
          </w:p>
          <w:p w:rsidR="004135F8" w:rsidRPr="000F252A" w:rsidRDefault="004135F8" w:rsidP="004135F8">
            <w:pPr>
              <w:jc w:val="both"/>
            </w:pPr>
          </w:p>
        </w:tc>
      </w:tr>
      <w:tr w:rsidR="004135F8" w:rsidRPr="009D3B11" w:rsidTr="00AC795F">
        <w:trPr>
          <w:trHeight w:val="20"/>
        </w:trPr>
        <w:tc>
          <w:tcPr>
            <w:tcW w:w="704" w:type="dxa"/>
            <w:tcBorders>
              <w:bottom w:val="single" w:sz="4" w:space="0" w:color="auto"/>
            </w:tcBorders>
            <w:shd w:val="clear" w:color="auto" w:fill="auto"/>
          </w:tcPr>
          <w:p w:rsidR="004135F8" w:rsidRPr="000F252A" w:rsidRDefault="004135F8" w:rsidP="004135F8">
            <w:pPr>
              <w:jc w:val="center"/>
            </w:pPr>
            <w:r w:rsidRPr="000F252A">
              <w:t>4.12.</w:t>
            </w:r>
          </w:p>
        </w:tc>
        <w:tc>
          <w:tcPr>
            <w:tcW w:w="3686" w:type="dxa"/>
            <w:tcBorders>
              <w:bottom w:val="single" w:sz="4" w:space="0" w:color="auto"/>
            </w:tcBorders>
            <w:shd w:val="clear" w:color="auto" w:fill="auto"/>
          </w:tcPr>
          <w:p w:rsidR="004135F8" w:rsidRPr="000F252A" w:rsidRDefault="00D37BB0" w:rsidP="004135F8">
            <w:pPr>
              <w:jc w:val="both"/>
            </w:pPr>
            <w:r w:rsidRPr="000F252A">
              <w:t>Обеспечение функционирования отдела онкологических консилиумов и координации лекарственного обеспечения на базе поликлиники ГАУЗ «РКОД МЗ РТ им.проф.М.З.Сигала» для взаимодействия с центрами амбулаторной онкологической помощи в целях планирования и координации противоопухолевого лекарственного обеспечения</w:t>
            </w:r>
          </w:p>
        </w:tc>
        <w:tc>
          <w:tcPr>
            <w:tcW w:w="1474" w:type="dxa"/>
            <w:tcBorders>
              <w:bottom w:val="single" w:sz="4" w:space="0" w:color="auto"/>
            </w:tcBorders>
          </w:tcPr>
          <w:p w:rsidR="004135F8" w:rsidRPr="000F252A" w:rsidRDefault="00513ABF" w:rsidP="00513ABF">
            <w:pPr>
              <w:jc w:val="center"/>
            </w:pPr>
            <w:r w:rsidRPr="000F252A">
              <w:t>01.01.2026</w:t>
            </w:r>
          </w:p>
        </w:tc>
        <w:tc>
          <w:tcPr>
            <w:tcW w:w="1418" w:type="dxa"/>
            <w:tcBorders>
              <w:bottom w:val="single" w:sz="4" w:space="0" w:color="auto"/>
            </w:tcBorders>
            <w:shd w:val="clear" w:color="auto" w:fill="auto"/>
          </w:tcPr>
          <w:p w:rsidR="004135F8" w:rsidRPr="000F252A" w:rsidRDefault="004135F8" w:rsidP="004135F8">
            <w:pPr>
              <w:jc w:val="center"/>
            </w:pPr>
            <w:r w:rsidRPr="000F252A">
              <w:t>01.04.2025</w:t>
            </w:r>
          </w:p>
        </w:tc>
        <w:tc>
          <w:tcPr>
            <w:tcW w:w="3912" w:type="dxa"/>
            <w:tcBorders>
              <w:bottom w:val="single" w:sz="4" w:space="0" w:color="auto"/>
            </w:tcBorders>
            <w:shd w:val="clear" w:color="auto" w:fill="auto"/>
          </w:tcPr>
          <w:p w:rsidR="004135F8" w:rsidRPr="000F252A" w:rsidRDefault="004135F8" w:rsidP="004135F8">
            <w:pPr>
              <w:jc w:val="both"/>
            </w:pPr>
            <w:r w:rsidRPr="000F252A">
              <w:t xml:space="preserve">главный врач ГАУЗ </w:t>
            </w:r>
            <w:r w:rsidRPr="000F252A">
              <w:rPr>
                <w:rFonts w:eastAsia="Arial"/>
              </w:rPr>
              <w:t>«РКОД МЗ РТ им.проф.М.З.Сигала»</w:t>
            </w:r>
            <w:r w:rsidRPr="000F252A">
              <w:t xml:space="preserve">  </w:t>
            </w:r>
            <w:r w:rsidR="00611CD9" w:rsidRPr="000F252A">
              <w:t>М.Ф.Мухамадеев</w:t>
            </w:r>
          </w:p>
        </w:tc>
        <w:tc>
          <w:tcPr>
            <w:tcW w:w="3969" w:type="dxa"/>
            <w:tcBorders>
              <w:bottom w:val="single" w:sz="4" w:space="0" w:color="auto"/>
            </w:tcBorders>
            <w:shd w:val="clear" w:color="auto" w:fill="auto"/>
          </w:tcPr>
          <w:p w:rsidR="004135F8" w:rsidRPr="000F252A" w:rsidRDefault="004135F8" w:rsidP="004135F8">
            <w:pPr>
              <w:jc w:val="both"/>
            </w:pPr>
            <w:r w:rsidRPr="000F252A">
              <w:t>обеспечивается планирование и координация лекарственного обеспечения пациентов с онкологическими заболеваниями в соответствии с потребностью и клиническими рекомендациями в 100 процентах случаев</w:t>
            </w:r>
          </w:p>
        </w:tc>
      </w:tr>
      <w:tr w:rsidR="004135F8" w:rsidRPr="009D3B11" w:rsidTr="00AC795F">
        <w:trPr>
          <w:trHeight w:val="20"/>
        </w:trPr>
        <w:tc>
          <w:tcPr>
            <w:tcW w:w="704" w:type="dxa"/>
            <w:tcBorders>
              <w:bottom w:val="single" w:sz="4" w:space="0" w:color="auto"/>
            </w:tcBorders>
            <w:shd w:val="clear" w:color="auto" w:fill="auto"/>
          </w:tcPr>
          <w:p w:rsidR="004135F8" w:rsidRPr="000F252A" w:rsidRDefault="004135F8" w:rsidP="004135F8">
            <w:pPr>
              <w:jc w:val="center"/>
            </w:pPr>
            <w:r w:rsidRPr="000F252A">
              <w:t>4.13.</w:t>
            </w:r>
          </w:p>
        </w:tc>
        <w:tc>
          <w:tcPr>
            <w:tcW w:w="3686" w:type="dxa"/>
            <w:tcBorders>
              <w:bottom w:val="single" w:sz="4" w:space="0" w:color="auto"/>
            </w:tcBorders>
            <w:shd w:val="clear" w:color="auto" w:fill="auto"/>
          </w:tcPr>
          <w:p w:rsidR="004135F8" w:rsidRPr="000F252A" w:rsidRDefault="004135F8" w:rsidP="005C348C">
            <w:pPr>
              <w:jc w:val="both"/>
            </w:pPr>
            <w:r w:rsidRPr="000F252A">
              <w:t xml:space="preserve">Обеспечение проведения забора биопсийного материала в медицинских организациях, на базе которых функционируют </w:t>
            </w:r>
            <w:r w:rsidR="005C348C">
              <w:t xml:space="preserve">центры амбулаторной онкологической помощи </w:t>
            </w:r>
          </w:p>
        </w:tc>
        <w:tc>
          <w:tcPr>
            <w:tcW w:w="1474" w:type="dxa"/>
            <w:tcBorders>
              <w:bottom w:val="single" w:sz="4" w:space="0" w:color="auto"/>
            </w:tcBorders>
          </w:tcPr>
          <w:p w:rsidR="004135F8" w:rsidRPr="000F252A" w:rsidRDefault="004135F8" w:rsidP="00513ABF">
            <w:pPr>
              <w:jc w:val="center"/>
            </w:pPr>
            <w:r w:rsidRPr="000F252A">
              <w:t>09.01.202</w:t>
            </w:r>
            <w:r w:rsidR="00513ABF" w:rsidRPr="000F252A">
              <w:t>6</w:t>
            </w:r>
          </w:p>
        </w:tc>
        <w:tc>
          <w:tcPr>
            <w:tcW w:w="1418" w:type="dxa"/>
            <w:tcBorders>
              <w:bottom w:val="single" w:sz="4" w:space="0" w:color="auto"/>
            </w:tcBorders>
            <w:shd w:val="clear" w:color="auto" w:fill="auto"/>
          </w:tcPr>
          <w:p w:rsidR="004135F8" w:rsidRPr="000F252A" w:rsidRDefault="004135F8" w:rsidP="004135F8">
            <w:pPr>
              <w:jc w:val="center"/>
            </w:pPr>
            <w:r w:rsidRPr="000F252A">
              <w:t>31.12.2030</w:t>
            </w:r>
          </w:p>
        </w:tc>
        <w:tc>
          <w:tcPr>
            <w:tcW w:w="3912" w:type="dxa"/>
            <w:tcBorders>
              <w:bottom w:val="single" w:sz="4" w:space="0" w:color="auto"/>
            </w:tcBorders>
            <w:shd w:val="clear" w:color="auto" w:fill="auto"/>
          </w:tcPr>
          <w:p w:rsidR="004135F8" w:rsidRPr="000F252A" w:rsidRDefault="004135F8" w:rsidP="004135F8">
            <w:pPr>
              <w:jc w:val="both"/>
            </w:pPr>
            <w:r w:rsidRPr="000F252A">
              <w:t>главный внештатный специалист-онколог Министерства здравоохранения Республики Татарстан Э.В.Нагуманов, руководители ме-</w:t>
            </w:r>
            <w:r w:rsidRPr="000F252A">
              <w:br/>
              <w:t>дицинских организаций Республики Татарстан</w:t>
            </w:r>
          </w:p>
        </w:tc>
        <w:tc>
          <w:tcPr>
            <w:tcW w:w="3969" w:type="dxa"/>
            <w:tcBorders>
              <w:bottom w:val="single" w:sz="4" w:space="0" w:color="auto"/>
            </w:tcBorders>
            <w:shd w:val="clear" w:color="auto" w:fill="auto"/>
          </w:tcPr>
          <w:p w:rsidR="004135F8" w:rsidRPr="000F252A" w:rsidRDefault="004135F8" w:rsidP="005C348C">
            <w:pPr>
              <w:jc w:val="both"/>
            </w:pPr>
            <w:r w:rsidRPr="000F252A">
              <w:t xml:space="preserve">забор биопсийного материала проводится в 9 медицинских организациях, на базе которых функционируют </w:t>
            </w:r>
            <w:r w:rsidR="005C348C">
              <w:t xml:space="preserve">центры амбулаторной онкологической помощи </w:t>
            </w:r>
          </w:p>
        </w:tc>
      </w:tr>
      <w:tr w:rsidR="000F252A" w:rsidRPr="009D3B11" w:rsidTr="00AC795F">
        <w:trPr>
          <w:trHeight w:val="20"/>
        </w:trPr>
        <w:tc>
          <w:tcPr>
            <w:tcW w:w="704" w:type="dxa"/>
            <w:tcBorders>
              <w:bottom w:val="single" w:sz="4" w:space="0" w:color="auto"/>
            </w:tcBorders>
            <w:shd w:val="clear" w:color="auto" w:fill="auto"/>
          </w:tcPr>
          <w:p w:rsidR="000F252A" w:rsidRPr="000F252A" w:rsidRDefault="000F252A" w:rsidP="000F252A">
            <w:pPr>
              <w:jc w:val="center"/>
            </w:pPr>
            <w:r w:rsidRPr="000F252A">
              <w:t>4.14.</w:t>
            </w:r>
          </w:p>
        </w:tc>
        <w:tc>
          <w:tcPr>
            <w:tcW w:w="3686" w:type="dxa"/>
            <w:tcBorders>
              <w:bottom w:val="single" w:sz="4" w:space="0" w:color="auto"/>
            </w:tcBorders>
            <w:shd w:val="clear" w:color="auto" w:fill="auto"/>
          </w:tcPr>
          <w:p w:rsidR="000F252A" w:rsidRPr="00944BB9" w:rsidRDefault="000F252A" w:rsidP="005C348C">
            <w:pPr>
              <w:jc w:val="both"/>
            </w:pPr>
            <w:r w:rsidRPr="00944BB9">
              <w:t xml:space="preserve">Организация трепанобиопсии предстательной железы </w:t>
            </w:r>
            <w:r w:rsidR="00282EF5" w:rsidRPr="00944BB9">
              <w:t xml:space="preserve">в </w:t>
            </w:r>
            <w:r w:rsidR="005C348C" w:rsidRPr="00944BB9">
              <w:t xml:space="preserve">центрах амбулаторной онкологической помощи </w:t>
            </w:r>
            <w:r w:rsidR="00282EF5" w:rsidRPr="00944BB9">
              <w:t>на базах ГАУЗ</w:t>
            </w:r>
            <w:r w:rsidRPr="00944BB9">
              <w:t xml:space="preserve"> «Нижнекамская </w:t>
            </w:r>
            <w:r w:rsidR="00282EF5" w:rsidRPr="00944BB9">
              <w:t>центральная районная многопрофильная больница</w:t>
            </w:r>
            <w:r w:rsidRPr="00944BB9">
              <w:t xml:space="preserve">», «Бугульминская ЦРБ», </w:t>
            </w:r>
            <w:r w:rsidR="00944BB9" w:rsidRPr="00944BB9">
              <w:t>«</w:t>
            </w:r>
            <w:r w:rsidRPr="00944BB9">
              <w:t>Сабинская ЦРБ</w:t>
            </w:r>
            <w:r w:rsidR="00944BB9" w:rsidRPr="00944BB9">
              <w:t>»</w:t>
            </w:r>
            <w:r w:rsidRPr="00944BB9">
              <w:t>, «Чистопольская ЦРБ», «Г</w:t>
            </w:r>
            <w:r w:rsidR="00282EF5" w:rsidRPr="00944BB9">
              <w:t xml:space="preserve">ородская поликлиника </w:t>
            </w:r>
            <w:r w:rsidRPr="00944BB9">
              <w:t>№20</w:t>
            </w:r>
            <w:r w:rsidR="005C348C" w:rsidRPr="00944BB9">
              <w:t>» г. Казани</w:t>
            </w:r>
            <w:r w:rsidRPr="00944BB9">
              <w:t xml:space="preserve"> </w:t>
            </w:r>
          </w:p>
        </w:tc>
        <w:tc>
          <w:tcPr>
            <w:tcW w:w="1474" w:type="dxa"/>
            <w:tcBorders>
              <w:bottom w:val="single" w:sz="4" w:space="0" w:color="auto"/>
            </w:tcBorders>
          </w:tcPr>
          <w:p w:rsidR="000F252A" w:rsidRPr="00944BB9" w:rsidRDefault="000F252A" w:rsidP="000F252A">
            <w:pPr>
              <w:jc w:val="center"/>
            </w:pPr>
            <w:r w:rsidRPr="00944BB9">
              <w:t>01.10.2026</w:t>
            </w:r>
          </w:p>
        </w:tc>
        <w:tc>
          <w:tcPr>
            <w:tcW w:w="1418" w:type="dxa"/>
            <w:tcBorders>
              <w:bottom w:val="single" w:sz="4" w:space="0" w:color="auto"/>
            </w:tcBorders>
            <w:shd w:val="clear" w:color="auto" w:fill="auto"/>
          </w:tcPr>
          <w:p w:rsidR="000F252A" w:rsidRPr="00944BB9" w:rsidRDefault="000F252A" w:rsidP="000F252A">
            <w:pPr>
              <w:jc w:val="center"/>
            </w:pPr>
            <w:r w:rsidRPr="00944BB9">
              <w:t>31.12.2030</w:t>
            </w:r>
          </w:p>
        </w:tc>
        <w:tc>
          <w:tcPr>
            <w:tcW w:w="3912" w:type="dxa"/>
            <w:tcBorders>
              <w:bottom w:val="single" w:sz="4" w:space="0" w:color="auto"/>
            </w:tcBorders>
            <w:shd w:val="clear" w:color="auto" w:fill="auto"/>
          </w:tcPr>
          <w:p w:rsidR="000F252A" w:rsidRPr="00944BB9" w:rsidRDefault="000F252A" w:rsidP="00282EF5">
            <w:pPr>
              <w:jc w:val="both"/>
            </w:pPr>
            <w:r w:rsidRPr="00944BB9">
              <w:t>главный внештатный специалист-онколог Министерства здравоохранения Республики Татарстан Э.В.Нагуманов, руководители медицинских организаций Республики Татарстан</w:t>
            </w:r>
          </w:p>
        </w:tc>
        <w:tc>
          <w:tcPr>
            <w:tcW w:w="3969" w:type="dxa"/>
            <w:tcBorders>
              <w:bottom w:val="single" w:sz="4" w:space="0" w:color="auto"/>
            </w:tcBorders>
            <w:shd w:val="clear" w:color="auto" w:fill="auto"/>
          </w:tcPr>
          <w:p w:rsidR="000F252A" w:rsidRPr="00944BB9" w:rsidRDefault="000F252A" w:rsidP="005C348C">
            <w:pPr>
              <w:jc w:val="both"/>
            </w:pPr>
            <w:r w:rsidRPr="00944BB9">
              <w:t xml:space="preserve">организован забор биопсийного материла предстательной железы в пяти </w:t>
            </w:r>
            <w:r w:rsidR="005C348C" w:rsidRPr="00944BB9">
              <w:t xml:space="preserve">центрах амбулаторной онкологической помощи </w:t>
            </w:r>
          </w:p>
        </w:tc>
      </w:tr>
      <w:tr w:rsidR="000F252A" w:rsidRPr="009D3B11" w:rsidTr="00AC795F">
        <w:trPr>
          <w:trHeight w:val="20"/>
        </w:trPr>
        <w:tc>
          <w:tcPr>
            <w:tcW w:w="704" w:type="dxa"/>
            <w:tcBorders>
              <w:top w:val="single" w:sz="4" w:space="0" w:color="auto"/>
            </w:tcBorders>
            <w:shd w:val="clear" w:color="auto" w:fill="auto"/>
          </w:tcPr>
          <w:p w:rsidR="000F252A" w:rsidRPr="000F252A" w:rsidRDefault="000F252A" w:rsidP="000F252A">
            <w:pPr>
              <w:jc w:val="center"/>
            </w:pPr>
            <w:r w:rsidRPr="000F252A">
              <w:t>4.15.</w:t>
            </w:r>
          </w:p>
        </w:tc>
        <w:tc>
          <w:tcPr>
            <w:tcW w:w="3686" w:type="dxa"/>
            <w:tcBorders>
              <w:top w:val="single" w:sz="4" w:space="0" w:color="auto"/>
            </w:tcBorders>
            <w:shd w:val="clear" w:color="auto" w:fill="auto"/>
          </w:tcPr>
          <w:p w:rsidR="000F252A" w:rsidRPr="000F252A" w:rsidRDefault="000F252A" w:rsidP="005C348C">
            <w:pPr>
              <w:jc w:val="both"/>
            </w:pPr>
            <w:r w:rsidRPr="000F252A">
              <w:t xml:space="preserve">Проведение диагностических исследований методом компьютерной томографии с контрастированием в соответствии с приказом Министерства здравоохранения Республики Татарстан от 18.04.2014 № 685 «О типовых протоколах исследований и мониторинге использования ангиографов, МР-томографов, рентгеновских компьютерных томографов» в медицинской организации, на базе которой организован </w:t>
            </w:r>
            <w:r w:rsidR="005C348C">
              <w:t>центр амбулаторной онкологической помощи</w:t>
            </w:r>
            <w:r w:rsidR="005C348C" w:rsidRPr="000F252A">
              <w:t xml:space="preserve"> </w:t>
            </w:r>
          </w:p>
        </w:tc>
        <w:tc>
          <w:tcPr>
            <w:tcW w:w="1474" w:type="dxa"/>
            <w:tcBorders>
              <w:top w:val="single" w:sz="4" w:space="0" w:color="auto"/>
            </w:tcBorders>
          </w:tcPr>
          <w:p w:rsidR="000F252A" w:rsidRPr="000F252A" w:rsidRDefault="000F252A" w:rsidP="000F252A">
            <w:pPr>
              <w:jc w:val="center"/>
            </w:pPr>
            <w:r w:rsidRPr="000F252A">
              <w:t>01.01.2026</w:t>
            </w:r>
          </w:p>
        </w:tc>
        <w:tc>
          <w:tcPr>
            <w:tcW w:w="1418" w:type="dxa"/>
            <w:tcBorders>
              <w:top w:val="single" w:sz="4" w:space="0" w:color="auto"/>
            </w:tcBorders>
            <w:shd w:val="clear" w:color="auto" w:fill="auto"/>
          </w:tcPr>
          <w:p w:rsidR="000F252A" w:rsidRPr="000F252A" w:rsidRDefault="000F252A" w:rsidP="000F252A">
            <w:pPr>
              <w:jc w:val="center"/>
            </w:pPr>
            <w:r w:rsidRPr="000F252A">
              <w:t>31.12.2030</w:t>
            </w:r>
          </w:p>
        </w:tc>
        <w:tc>
          <w:tcPr>
            <w:tcW w:w="3912" w:type="dxa"/>
            <w:tcBorders>
              <w:top w:val="single" w:sz="4" w:space="0" w:color="auto"/>
            </w:tcBorders>
            <w:shd w:val="clear" w:color="auto" w:fill="auto"/>
          </w:tcPr>
          <w:p w:rsidR="000F252A" w:rsidRPr="000F252A" w:rsidRDefault="000F252A" w:rsidP="000F252A">
            <w:pPr>
              <w:jc w:val="both"/>
            </w:pPr>
            <w:r w:rsidRPr="000F252A">
              <w:t>министр здравоохранения Республики Татарстан А.Р.Абашев, главный внештатный специалист по лучевой и инструментальной диагностике Министерства здравоохранения Республики Татарстан Д.А.Галимьянов, главный внештатный специалист-онколог Министерства здравоохранения Республики Татарстан Э.В.Нагуманов, руководители медицинских организаций Республики Татарстан</w:t>
            </w:r>
          </w:p>
        </w:tc>
        <w:tc>
          <w:tcPr>
            <w:tcW w:w="3969" w:type="dxa"/>
            <w:tcBorders>
              <w:top w:val="single" w:sz="4" w:space="0" w:color="auto"/>
            </w:tcBorders>
            <w:shd w:val="clear" w:color="auto" w:fill="auto"/>
          </w:tcPr>
          <w:p w:rsidR="000F252A" w:rsidRPr="008C2AFA" w:rsidRDefault="000F252A" w:rsidP="005C348C">
            <w:pPr>
              <w:jc w:val="both"/>
            </w:pPr>
            <w:r w:rsidRPr="008C2AFA">
              <w:t>проведение диагностических исследований методом компьютерной томографии с контрастированием во всех 9 медицинских организациях, на базе которых организован</w:t>
            </w:r>
            <w:r w:rsidR="005C348C">
              <w:t>ы центры амбулаторной онкологической помощи</w:t>
            </w:r>
            <w:r w:rsidRPr="008C2AFA">
              <w:t xml:space="preserve"> </w:t>
            </w:r>
          </w:p>
        </w:tc>
      </w:tr>
      <w:tr w:rsidR="000F252A" w:rsidRPr="009D3B11" w:rsidTr="00AC795F">
        <w:trPr>
          <w:trHeight w:val="20"/>
        </w:trPr>
        <w:tc>
          <w:tcPr>
            <w:tcW w:w="704" w:type="dxa"/>
            <w:shd w:val="clear" w:color="auto" w:fill="auto"/>
          </w:tcPr>
          <w:p w:rsidR="000F252A" w:rsidRPr="000F252A" w:rsidRDefault="000F252A" w:rsidP="000F252A">
            <w:pPr>
              <w:jc w:val="center"/>
            </w:pPr>
            <w:r>
              <w:t>4.16</w:t>
            </w:r>
          </w:p>
        </w:tc>
        <w:tc>
          <w:tcPr>
            <w:tcW w:w="3686" w:type="dxa"/>
            <w:shd w:val="clear" w:color="auto" w:fill="auto"/>
          </w:tcPr>
          <w:p w:rsidR="000F252A" w:rsidRPr="000F252A" w:rsidRDefault="000F252A" w:rsidP="000F252A">
            <w:pPr>
              <w:jc w:val="both"/>
            </w:pPr>
            <w:r w:rsidRPr="000F252A">
              <w:t xml:space="preserve">Проведение в референсном маммографическом центре ГАУЗ </w:t>
            </w:r>
            <w:r w:rsidRPr="000F252A">
              <w:rPr>
                <w:rFonts w:eastAsia="Arial"/>
              </w:rPr>
              <w:t>«РКОД МЗ РТ им.проф.М.З.Сигала»</w:t>
            </w:r>
            <w:r w:rsidR="00944BB9">
              <w:t xml:space="preserve"> </w:t>
            </w:r>
            <w:r w:rsidRPr="000F252A">
              <w:t>второго прочтения маммографических снимков</w:t>
            </w:r>
          </w:p>
        </w:tc>
        <w:tc>
          <w:tcPr>
            <w:tcW w:w="1474" w:type="dxa"/>
          </w:tcPr>
          <w:p w:rsidR="000F252A" w:rsidRPr="000F252A" w:rsidRDefault="000F252A" w:rsidP="000F252A">
            <w:pPr>
              <w:jc w:val="center"/>
            </w:pPr>
            <w:r w:rsidRPr="000F252A">
              <w:t>09.01.2026</w:t>
            </w:r>
          </w:p>
        </w:tc>
        <w:tc>
          <w:tcPr>
            <w:tcW w:w="1418" w:type="dxa"/>
            <w:shd w:val="clear" w:color="auto" w:fill="auto"/>
          </w:tcPr>
          <w:p w:rsidR="000F252A" w:rsidRPr="000F252A" w:rsidRDefault="000F252A" w:rsidP="000F252A">
            <w:pPr>
              <w:jc w:val="center"/>
            </w:pPr>
            <w:r w:rsidRPr="000F252A">
              <w:t>31.12.2030</w:t>
            </w:r>
          </w:p>
        </w:tc>
        <w:tc>
          <w:tcPr>
            <w:tcW w:w="3912" w:type="dxa"/>
            <w:shd w:val="clear" w:color="auto" w:fill="auto"/>
          </w:tcPr>
          <w:p w:rsidR="000F252A" w:rsidRPr="000F252A" w:rsidRDefault="000F252A" w:rsidP="000F252A">
            <w:pPr>
              <w:jc w:val="both"/>
            </w:pPr>
            <w:r w:rsidRPr="000F252A">
              <w:t xml:space="preserve">министр здравоохранения Республики Татарстан А.Р.Абашев, главный врач ГАУЗ </w:t>
            </w:r>
            <w:r w:rsidRPr="000F252A">
              <w:rPr>
                <w:rFonts w:eastAsia="Arial"/>
              </w:rPr>
              <w:t>«РКОД МЗ РТ им.проф.М.З.Сигала»</w:t>
            </w:r>
            <w:r w:rsidRPr="000F252A">
              <w:t xml:space="preserve"> М.Ф.Мухамадеев, главный внештатный специалист-онколог Министерства здравоохранения Республики Татарстан Э.В.Нагуманов, руководители медицинских организаций Республики Татарстан</w:t>
            </w:r>
          </w:p>
        </w:tc>
        <w:tc>
          <w:tcPr>
            <w:tcW w:w="3969" w:type="dxa"/>
            <w:shd w:val="clear" w:color="auto" w:fill="auto"/>
          </w:tcPr>
          <w:p w:rsidR="000F252A" w:rsidRPr="00AC795F" w:rsidRDefault="000F252A" w:rsidP="000F252A">
            <w:pPr>
              <w:jc w:val="both"/>
            </w:pPr>
            <w:r w:rsidRPr="00AC795F">
              <w:t>обеспечение второго прочтения маммографических снимков – не менее 50 тыс.описаний ежегодно</w:t>
            </w:r>
          </w:p>
          <w:p w:rsidR="000F252A" w:rsidRPr="00AC795F" w:rsidRDefault="000F252A" w:rsidP="000F252A">
            <w:pPr>
              <w:jc w:val="both"/>
            </w:pPr>
          </w:p>
        </w:tc>
      </w:tr>
      <w:tr w:rsidR="000F252A" w:rsidRPr="009D3B11" w:rsidTr="005735AD">
        <w:trPr>
          <w:trHeight w:val="20"/>
        </w:trPr>
        <w:tc>
          <w:tcPr>
            <w:tcW w:w="15163" w:type="dxa"/>
            <w:gridSpan w:val="6"/>
            <w:shd w:val="clear" w:color="auto" w:fill="auto"/>
            <w:hideMark/>
          </w:tcPr>
          <w:p w:rsidR="000F252A" w:rsidRPr="00AC795F" w:rsidRDefault="000F252A" w:rsidP="009549EE">
            <w:pPr>
              <w:jc w:val="center"/>
            </w:pPr>
            <w:r w:rsidRPr="00AC795F">
              <w:t>5. Совершенствование оказания специализированной медицинской помощи пациентам с</w:t>
            </w:r>
            <w:r w:rsidR="009549EE">
              <w:t xml:space="preserve"> </w:t>
            </w:r>
            <w:r w:rsidRPr="00AC795F">
              <w:t>онкологическими заболеваниями</w:t>
            </w:r>
          </w:p>
        </w:tc>
      </w:tr>
      <w:tr w:rsidR="000F252A" w:rsidRPr="009D3B11" w:rsidTr="00AC795F">
        <w:trPr>
          <w:trHeight w:val="20"/>
        </w:trPr>
        <w:tc>
          <w:tcPr>
            <w:tcW w:w="704" w:type="dxa"/>
            <w:shd w:val="clear" w:color="auto" w:fill="auto"/>
          </w:tcPr>
          <w:p w:rsidR="000F252A" w:rsidRPr="000F252A" w:rsidRDefault="000F252A" w:rsidP="000F252A">
            <w:pPr>
              <w:jc w:val="center"/>
            </w:pPr>
            <w:r w:rsidRPr="000F252A">
              <w:t>5.1.</w:t>
            </w:r>
          </w:p>
        </w:tc>
        <w:tc>
          <w:tcPr>
            <w:tcW w:w="3686" w:type="dxa"/>
            <w:shd w:val="clear" w:color="auto" w:fill="auto"/>
          </w:tcPr>
          <w:p w:rsidR="000F252A" w:rsidRPr="000F252A" w:rsidRDefault="000F252A" w:rsidP="000F252A">
            <w:pPr>
              <w:jc w:val="both"/>
            </w:pPr>
            <w:r w:rsidRPr="000F252A">
              <w:t xml:space="preserve">Организация Нижнекамского филиала ГАУЗ </w:t>
            </w:r>
            <w:r w:rsidRPr="000F252A">
              <w:rPr>
                <w:rFonts w:eastAsia="Arial"/>
              </w:rPr>
              <w:t>«РКОД МЗ РТ им.проф.М.З.Сигала»</w:t>
            </w:r>
          </w:p>
        </w:tc>
        <w:tc>
          <w:tcPr>
            <w:tcW w:w="1474" w:type="dxa"/>
            <w:shd w:val="clear" w:color="auto" w:fill="auto"/>
          </w:tcPr>
          <w:p w:rsidR="000F252A" w:rsidRPr="000F252A" w:rsidRDefault="000F252A" w:rsidP="000F252A">
            <w:pPr>
              <w:jc w:val="center"/>
            </w:pPr>
            <w:r w:rsidRPr="000F252A">
              <w:t>01.02.2026</w:t>
            </w:r>
          </w:p>
        </w:tc>
        <w:tc>
          <w:tcPr>
            <w:tcW w:w="1418" w:type="dxa"/>
            <w:shd w:val="clear" w:color="auto" w:fill="auto"/>
          </w:tcPr>
          <w:p w:rsidR="000F252A" w:rsidRPr="000F252A" w:rsidRDefault="000F252A" w:rsidP="009549EE">
            <w:pPr>
              <w:jc w:val="center"/>
            </w:pPr>
            <w:r w:rsidRPr="000F252A">
              <w:t>01.0</w:t>
            </w:r>
            <w:r w:rsidR="009549EE">
              <w:t>6</w:t>
            </w:r>
            <w:r w:rsidRPr="000F252A">
              <w:t>.2026</w:t>
            </w:r>
          </w:p>
        </w:tc>
        <w:tc>
          <w:tcPr>
            <w:tcW w:w="3912" w:type="dxa"/>
            <w:shd w:val="clear" w:color="auto" w:fill="auto"/>
          </w:tcPr>
          <w:p w:rsidR="000F252A" w:rsidRPr="000F252A" w:rsidRDefault="000F252A" w:rsidP="000F252A">
            <w:pPr>
              <w:jc w:val="both"/>
            </w:pPr>
            <w:r w:rsidRPr="000F252A">
              <w:t xml:space="preserve">министр здравоохранения Республики Татарстан А.Р.Абашев, главный врач ГАУЗ </w:t>
            </w:r>
            <w:r w:rsidRPr="000F252A">
              <w:rPr>
                <w:rFonts w:eastAsia="Arial"/>
              </w:rPr>
              <w:t>«РКОД МЗ РТ им.проф.М.З.Сигала»</w:t>
            </w:r>
            <w:r w:rsidRPr="000F252A">
              <w:t xml:space="preserve">  М.Ф.Мухамадеев</w:t>
            </w:r>
          </w:p>
        </w:tc>
        <w:tc>
          <w:tcPr>
            <w:tcW w:w="3969" w:type="dxa"/>
            <w:shd w:val="clear" w:color="auto" w:fill="auto"/>
          </w:tcPr>
          <w:p w:rsidR="000F252A" w:rsidRPr="00AC795F" w:rsidRDefault="006C14C7" w:rsidP="000F252A">
            <w:pPr>
              <w:jc w:val="both"/>
            </w:pPr>
            <w:r>
              <w:t>издан приказ М</w:t>
            </w:r>
            <w:r w:rsidR="000F252A" w:rsidRPr="00AC795F">
              <w:t>инистерства здравоохранения</w:t>
            </w:r>
            <w:r>
              <w:t xml:space="preserve"> Республики Татарстан</w:t>
            </w:r>
            <w:r w:rsidR="000F252A" w:rsidRPr="00AC795F">
              <w:t>, реализован</w:t>
            </w:r>
            <w:r w:rsidR="000F252A" w:rsidRPr="00AC795F">
              <w:rPr>
                <w:rFonts w:eastAsia="Arial"/>
                <w:sz w:val="28"/>
                <w:szCs w:val="28"/>
              </w:rPr>
              <w:t xml:space="preserve"> </w:t>
            </w:r>
            <w:r w:rsidR="000F252A" w:rsidRPr="00AC795F">
              <w:rPr>
                <w:rFonts w:eastAsia="Arial"/>
              </w:rPr>
              <w:t xml:space="preserve">первый этап формирования </w:t>
            </w:r>
            <w:r w:rsidR="000F252A" w:rsidRPr="00AC795F">
              <w:t xml:space="preserve">Нижнекамского филиала ГАУЗ </w:t>
            </w:r>
            <w:r w:rsidR="000F252A" w:rsidRPr="00AC795F">
              <w:rPr>
                <w:rFonts w:eastAsia="Arial"/>
              </w:rPr>
              <w:t>«РКОД МЗ РТ им.проф.М.З.Сигала» - функционируют отделение противоопухолевой лекарственной терапии и дневной стационар противоопухолевой лекарственной терапии</w:t>
            </w:r>
          </w:p>
        </w:tc>
      </w:tr>
      <w:tr w:rsidR="000F252A" w:rsidRPr="009D3B11" w:rsidTr="00AC795F">
        <w:trPr>
          <w:trHeight w:val="20"/>
        </w:trPr>
        <w:tc>
          <w:tcPr>
            <w:tcW w:w="704" w:type="dxa"/>
            <w:shd w:val="clear" w:color="auto" w:fill="auto"/>
          </w:tcPr>
          <w:p w:rsidR="000F252A" w:rsidRPr="000F252A" w:rsidRDefault="000F252A" w:rsidP="000F252A">
            <w:pPr>
              <w:jc w:val="center"/>
            </w:pPr>
            <w:r w:rsidRPr="000F252A">
              <w:t>5.2.</w:t>
            </w:r>
          </w:p>
        </w:tc>
        <w:tc>
          <w:tcPr>
            <w:tcW w:w="3686" w:type="dxa"/>
            <w:shd w:val="clear" w:color="auto" w:fill="auto"/>
          </w:tcPr>
          <w:p w:rsidR="000F252A" w:rsidRPr="000F252A" w:rsidRDefault="000F252A" w:rsidP="000F252A">
            <w:pPr>
              <w:jc w:val="both"/>
            </w:pPr>
            <w:r w:rsidRPr="000F252A">
              <w:t>Контроль соблюдения соответствия структуры и оснащения медицинских организаций, оказывающих специализированную медицинскую помощь по профилю «он-</w:t>
            </w:r>
          </w:p>
          <w:p w:rsidR="000F252A" w:rsidRPr="000F252A" w:rsidRDefault="000F252A" w:rsidP="000F252A">
            <w:pPr>
              <w:jc w:val="both"/>
            </w:pPr>
            <w:r w:rsidRPr="000F252A">
              <w:t>кология», порядку оказания меди-</w:t>
            </w:r>
            <w:r w:rsidRPr="000F252A">
              <w:br/>
              <w:t xml:space="preserve">цинской помощи взрослому населению при онкологическх заболеваниях (проведение контроля в рамках плановых проверок и в рамках приказа Министерства здравоохранения Республики Татарстан от 17.10.2023 № 2435 </w:t>
            </w:r>
            <w:r w:rsidRPr="000F252A">
              <w:br/>
              <w:t>«О проведении курации первичных онкологических кабинетов, центров амбулаторной онкологической помощи и женских консультаций медицинских организаций Республики Татарстан»)</w:t>
            </w:r>
          </w:p>
        </w:tc>
        <w:tc>
          <w:tcPr>
            <w:tcW w:w="1474" w:type="dxa"/>
            <w:shd w:val="clear" w:color="auto" w:fill="auto"/>
          </w:tcPr>
          <w:p w:rsidR="000F252A" w:rsidRPr="000F252A" w:rsidRDefault="000F252A" w:rsidP="000F252A">
            <w:pPr>
              <w:jc w:val="center"/>
            </w:pPr>
            <w:r w:rsidRPr="000F252A">
              <w:t>09.01.2026</w:t>
            </w:r>
          </w:p>
        </w:tc>
        <w:tc>
          <w:tcPr>
            <w:tcW w:w="1418" w:type="dxa"/>
            <w:shd w:val="clear" w:color="auto" w:fill="auto"/>
          </w:tcPr>
          <w:p w:rsidR="000F252A" w:rsidRPr="000F252A" w:rsidRDefault="000F252A" w:rsidP="000F252A">
            <w:pPr>
              <w:jc w:val="center"/>
            </w:pPr>
            <w:r w:rsidRPr="000F252A">
              <w:t>31.12.2030</w:t>
            </w:r>
          </w:p>
        </w:tc>
        <w:tc>
          <w:tcPr>
            <w:tcW w:w="3912" w:type="dxa"/>
            <w:shd w:val="clear" w:color="auto" w:fill="auto"/>
          </w:tcPr>
          <w:p w:rsidR="000F252A" w:rsidRPr="000F252A" w:rsidRDefault="000F252A" w:rsidP="000F252A">
            <w:pPr>
              <w:jc w:val="both"/>
            </w:pPr>
            <w:r w:rsidRPr="000F252A">
              <w:t xml:space="preserve">министр здравоохранения Республики Татарстан А.Р.Абашев, главный врач ГАУЗ </w:t>
            </w:r>
            <w:r w:rsidRPr="000F252A">
              <w:rPr>
                <w:rFonts w:eastAsia="Arial"/>
              </w:rPr>
              <w:t>«РКОД МЗ РТ им.проф.М.З.Сигала»</w:t>
            </w:r>
            <w:r w:rsidRPr="000F252A">
              <w:t xml:space="preserve">  М.Ф.Мухамадеев, главный внештатный специалист-онколог Министерства здравоохранения Республики Татарстан Э.В.Нагуманов</w:t>
            </w:r>
          </w:p>
        </w:tc>
        <w:tc>
          <w:tcPr>
            <w:tcW w:w="3969" w:type="dxa"/>
            <w:shd w:val="clear" w:color="auto" w:fill="auto"/>
          </w:tcPr>
          <w:p w:rsidR="000F252A" w:rsidRPr="00AC795F" w:rsidRDefault="000F252A" w:rsidP="000F252A">
            <w:pPr>
              <w:jc w:val="both"/>
            </w:pPr>
            <w:r w:rsidRPr="00AC795F">
              <w:t xml:space="preserve">ежегодный охват контролем 100 процентов медицинских организаций: </w:t>
            </w:r>
          </w:p>
          <w:p w:rsidR="000F252A" w:rsidRPr="00AC795F" w:rsidRDefault="000F252A" w:rsidP="000F252A">
            <w:pPr>
              <w:jc w:val="both"/>
            </w:pPr>
            <w:r w:rsidRPr="00AC795F">
              <w:t xml:space="preserve">ГАУЗ </w:t>
            </w:r>
            <w:r w:rsidRPr="00AC795F">
              <w:rPr>
                <w:rFonts w:eastAsia="Arial"/>
              </w:rPr>
              <w:t>«РКОД МЗ РТ им.проф.М.З.Сигала»</w:t>
            </w:r>
            <w:r w:rsidRPr="00AC795F">
              <w:t xml:space="preserve">; </w:t>
            </w:r>
          </w:p>
          <w:p w:rsidR="000F252A" w:rsidRPr="00AC795F" w:rsidRDefault="000F252A" w:rsidP="000F252A">
            <w:pPr>
              <w:jc w:val="both"/>
            </w:pPr>
            <w:r w:rsidRPr="00AC795F">
              <w:t xml:space="preserve">Набережночелнинский филиал ГАУЗ </w:t>
            </w:r>
            <w:r w:rsidRPr="00AC795F">
              <w:rPr>
                <w:rFonts w:eastAsia="Arial"/>
              </w:rPr>
              <w:t>«РКОД МЗ РТ им.проф.М.З.Сигала»</w:t>
            </w:r>
            <w:r w:rsidRPr="00AC795F">
              <w:t xml:space="preserve">; </w:t>
            </w:r>
          </w:p>
          <w:p w:rsidR="000F252A" w:rsidRPr="00AC795F" w:rsidRDefault="000F252A" w:rsidP="000F252A">
            <w:pPr>
              <w:jc w:val="both"/>
            </w:pPr>
            <w:r w:rsidRPr="00AC795F">
              <w:t xml:space="preserve">Альметьевский филиал ГАУЗ </w:t>
            </w:r>
            <w:r w:rsidRPr="00AC795F">
              <w:rPr>
                <w:rFonts w:eastAsia="Arial"/>
              </w:rPr>
              <w:t>«РКОД МЗ РТ им.проф.М.З.Сигала»</w:t>
            </w:r>
            <w:r w:rsidRPr="00AC795F">
              <w:t>;</w:t>
            </w:r>
          </w:p>
          <w:p w:rsidR="000F252A" w:rsidRPr="00AC795F" w:rsidRDefault="000F252A" w:rsidP="000F252A">
            <w:pPr>
              <w:jc w:val="both"/>
            </w:pPr>
            <w:r w:rsidRPr="00AC795F">
              <w:t xml:space="preserve">ГАУЗ «Нижнекамская центральная районная многопрофильная больница»; </w:t>
            </w:r>
          </w:p>
          <w:p w:rsidR="000F252A" w:rsidRPr="00AC795F" w:rsidRDefault="000F252A" w:rsidP="000F252A">
            <w:pPr>
              <w:jc w:val="both"/>
            </w:pPr>
            <w:r w:rsidRPr="00AC795F">
              <w:t xml:space="preserve">ГАУЗ «Зеленодольская ЦРБ»; </w:t>
            </w:r>
          </w:p>
          <w:p w:rsidR="000F252A" w:rsidRPr="00AC795F" w:rsidRDefault="000F252A" w:rsidP="000F252A">
            <w:pPr>
              <w:jc w:val="both"/>
              <w:rPr>
                <w:color w:val="000000"/>
              </w:rPr>
            </w:pPr>
            <w:r w:rsidRPr="00AC795F">
              <w:rPr>
                <w:color w:val="000000"/>
              </w:rPr>
              <w:t xml:space="preserve">ГАУЗ «Городская поликлиника № 20» г.Казани; </w:t>
            </w:r>
          </w:p>
          <w:p w:rsidR="000F252A" w:rsidRPr="00AC795F" w:rsidRDefault="000F252A" w:rsidP="000F252A">
            <w:pPr>
              <w:jc w:val="both"/>
              <w:rPr>
                <w:color w:val="000000"/>
              </w:rPr>
            </w:pPr>
            <w:r w:rsidRPr="00AC795F">
              <w:rPr>
                <w:color w:val="000000"/>
              </w:rPr>
              <w:t xml:space="preserve">ГАУЗ «Городская поликлиника № 21» г.Казани; </w:t>
            </w:r>
          </w:p>
          <w:p w:rsidR="000F252A" w:rsidRPr="00AC795F" w:rsidRDefault="000F252A" w:rsidP="000F252A">
            <w:pPr>
              <w:jc w:val="both"/>
              <w:rPr>
                <w:color w:val="000000"/>
              </w:rPr>
            </w:pPr>
            <w:r w:rsidRPr="00AC795F">
              <w:rPr>
                <w:color w:val="000000"/>
              </w:rPr>
              <w:t xml:space="preserve">ГАУЗ «Сабинская </w:t>
            </w:r>
            <w:r w:rsidRPr="00AC795F">
              <w:t>ЦРБ</w:t>
            </w:r>
            <w:r w:rsidRPr="00AC795F">
              <w:rPr>
                <w:color w:val="000000"/>
              </w:rPr>
              <w:t xml:space="preserve">»; </w:t>
            </w:r>
          </w:p>
          <w:p w:rsidR="000F252A" w:rsidRPr="00AC795F" w:rsidRDefault="000F252A" w:rsidP="000F252A">
            <w:pPr>
              <w:jc w:val="both"/>
              <w:rPr>
                <w:color w:val="000000"/>
              </w:rPr>
            </w:pPr>
            <w:r w:rsidRPr="00AC795F">
              <w:rPr>
                <w:color w:val="000000"/>
              </w:rPr>
              <w:t xml:space="preserve">ГАУЗ «Бугульминская </w:t>
            </w:r>
            <w:r w:rsidRPr="00AC795F">
              <w:t>ЦРБ</w:t>
            </w:r>
            <w:r w:rsidRPr="00AC795F">
              <w:rPr>
                <w:color w:val="000000"/>
              </w:rPr>
              <w:t xml:space="preserve">»; </w:t>
            </w:r>
          </w:p>
          <w:p w:rsidR="000F252A" w:rsidRPr="00AC795F" w:rsidRDefault="000F252A" w:rsidP="000F252A">
            <w:pPr>
              <w:jc w:val="both"/>
              <w:rPr>
                <w:color w:val="000000"/>
              </w:rPr>
            </w:pPr>
            <w:r w:rsidRPr="00AC795F">
              <w:rPr>
                <w:color w:val="000000"/>
              </w:rPr>
              <w:t xml:space="preserve">ГАУЗ «Чистопольская </w:t>
            </w:r>
            <w:r w:rsidRPr="00AC795F">
              <w:t>ЦРБ</w:t>
            </w:r>
            <w:r w:rsidRPr="00AC795F">
              <w:rPr>
                <w:color w:val="000000"/>
              </w:rPr>
              <w:t>»;</w:t>
            </w:r>
          </w:p>
          <w:p w:rsidR="000F252A" w:rsidRPr="00AC795F" w:rsidRDefault="000F252A" w:rsidP="000F252A">
            <w:pPr>
              <w:jc w:val="both"/>
              <w:rPr>
                <w:color w:val="000000"/>
              </w:rPr>
            </w:pPr>
            <w:r w:rsidRPr="00AC795F">
              <w:rPr>
                <w:color w:val="000000"/>
              </w:rPr>
              <w:t xml:space="preserve">ГАУЗ «Буинская </w:t>
            </w:r>
            <w:r w:rsidRPr="00AC795F">
              <w:t>ЦРБ</w:t>
            </w:r>
            <w:r w:rsidRPr="00AC795F">
              <w:rPr>
                <w:color w:val="000000"/>
              </w:rPr>
              <w:t xml:space="preserve">»; </w:t>
            </w:r>
          </w:p>
          <w:p w:rsidR="000F252A" w:rsidRPr="00AC795F" w:rsidRDefault="000F252A" w:rsidP="000F252A">
            <w:pPr>
              <w:jc w:val="both"/>
            </w:pPr>
            <w:r w:rsidRPr="00AC795F">
              <w:rPr>
                <w:color w:val="000000"/>
              </w:rPr>
              <w:t xml:space="preserve">ГАУЗ «Арская </w:t>
            </w:r>
            <w:r w:rsidRPr="00AC795F">
              <w:t>ЦРБ</w:t>
            </w:r>
            <w:r w:rsidRPr="00AC795F">
              <w:rPr>
                <w:color w:val="000000"/>
              </w:rPr>
              <w:t>»</w:t>
            </w:r>
          </w:p>
        </w:tc>
      </w:tr>
      <w:tr w:rsidR="000F252A" w:rsidRPr="009D3B11" w:rsidTr="00AC795F">
        <w:trPr>
          <w:trHeight w:val="20"/>
        </w:trPr>
        <w:tc>
          <w:tcPr>
            <w:tcW w:w="704" w:type="dxa"/>
            <w:shd w:val="clear" w:color="auto" w:fill="auto"/>
          </w:tcPr>
          <w:p w:rsidR="000F252A" w:rsidRPr="000F252A" w:rsidRDefault="000F252A" w:rsidP="000F252A">
            <w:pPr>
              <w:jc w:val="center"/>
            </w:pPr>
            <w:r w:rsidRPr="000F252A">
              <w:t>5.3.</w:t>
            </w:r>
          </w:p>
        </w:tc>
        <w:tc>
          <w:tcPr>
            <w:tcW w:w="3686" w:type="dxa"/>
            <w:shd w:val="clear" w:color="auto" w:fill="auto"/>
          </w:tcPr>
          <w:p w:rsidR="000F252A" w:rsidRPr="000F252A" w:rsidRDefault="000F252A" w:rsidP="000F252A">
            <w:pPr>
              <w:jc w:val="both"/>
            </w:pPr>
            <w:r w:rsidRPr="000F252A">
              <w:t>Тиражирование методов малоинвазивного хирургического лечения (эндоскопически ассистированных хирургических операций)</w:t>
            </w:r>
          </w:p>
        </w:tc>
        <w:tc>
          <w:tcPr>
            <w:tcW w:w="1474" w:type="dxa"/>
            <w:shd w:val="clear" w:color="auto" w:fill="auto"/>
          </w:tcPr>
          <w:p w:rsidR="000F252A" w:rsidRPr="000F252A" w:rsidRDefault="000F252A" w:rsidP="000F252A">
            <w:pPr>
              <w:jc w:val="center"/>
            </w:pPr>
            <w:r w:rsidRPr="000F252A">
              <w:t>09.01.2026</w:t>
            </w:r>
          </w:p>
        </w:tc>
        <w:tc>
          <w:tcPr>
            <w:tcW w:w="1418" w:type="dxa"/>
            <w:shd w:val="clear" w:color="auto" w:fill="auto"/>
          </w:tcPr>
          <w:p w:rsidR="000F252A" w:rsidRPr="000F252A" w:rsidRDefault="000F252A" w:rsidP="000F252A">
            <w:pPr>
              <w:jc w:val="center"/>
            </w:pPr>
            <w:r w:rsidRPr="000F252A">
              <w:t>31.12.2030</w:t>
            </w:r>
          </w:p>
        </w:tc>
        <w:tc>
          <w:tcPr>
            <w:tcW w:w="3912" w:type="dxa"/>
            <w:shd w:val="clear" w:color="auto" w:fill="auto"/>
          </w:tcPr>
          <w:p w:rsidR="000F252A" w:rsidRPr="000F252A" w:rsidRDefault="000F252A" w:rsidP="000F252A">
            <w:pPr>
              <w:jc w:val="both"/>
            </w:pPr>
            <w:r w:rsidRPr="000F252A">
              <w:t xml:space="preserve">главный врач ГАУЗ </w:t>
            </w:r>
            <w:r w:rsidRPr="000F252A">
              <w:rPr>
                <w:rFonts w:eastAsia="Arial"/>
              </w:rPr>
              <w:t>«РКОД МЗ РТ им.проф.М.З.Сигала»</w:t>
            </w:r>
            <w:r w:rsidRPr="000F252A">
              <w:t xml:space="preserve"> М.Ф.Мухамадеев</w:t>
            </w:r>
          </w:p>
        </w:tc>
        <w:tc>
          <w:tcPr>
            <w:tcW w:w="3969" w:type="dxa"/>
            <w:shd w:val="clear" w:color="auto" w:fill="auto"/>
          </w:tcPr>
          <w:p w:rsidR="000F252A" w:rsidRPr="00AC795F" w:rsidRDefault="000F252A" w:rsidP="000F252A">
            <w:pPr>
              <w:jc w:val="both"/>
            </w:pPr>
            <w:r w:rsidRPr="00AC795F">
              <w:t xml:space="preserve">выполнение эндоскопически ассистированных хирургических операций: </w:t>
            </w:r>
          </w:p>
          <w:p w:rsidR="000F252A" w:rsidRPr="00AC795F" w:rsidRDefault="000F252A" w:rsidP="000F252A">
            <w:pPr>
              <w:jc w:val="both"/>
            </w:pPr>
            <w:r w:rsidRPr="00AC795F">
              <w:t>2026 г. – 2 144 операций;</w:t>
            </w:r>
          </w:p>
          <w:p w:rsidR="000F252A" w:rsidRPr="00AC795F" w:rsidRDefault="000F252A" w:rsidP="000F252A">
            <w:pPr>
              <w:jc w:val="both"/>
            </w:pPr>
            <w:r w:rsidRPr="00AC795F">
              <w:t>2027 г. – 2 157 операций;</w:t>
            </w:r>
          </w:p>
          <w:p w:rsidR="000F252A" w:rsidRPr="00AC795F" w:rsidRDefault="000F252A" w:rsidP="000F252A">
            <w:pPr>
              <w:jc w:val="both"/>
            </w:pPr>
            <w:r w:rsidRPr="00AC795F">
              <w:t>2028 г. – 2 170 операций;</w:t>
            </w:r>
          </w:p>
          <w:p w:rsidR="000F252A" w:rsidRPr="00AC795F" w:rsidRDefault="000F252A" w:rsidP="000F252A">
            <w:pPr>
              <w:jc w:val="both"/>
            </w:pPr>
            <w:r w:rsidRPr="00AC795F">
              <w:t>2029 г. – 2 183 операций;</w:t>
            </w:r>
          </w:p>
          <w:p w:rsidR="000F252A" w:rsidRPr="00AC795F" w:rsidRDefault="000F252A" w:rsidP="000F252A">
            <w:pPr>
              <w:jc w:val="both"/>
            </w:pPr>
            <w:r w:rsidRPr="00AC795F">
              <w:t>2030 г. – 2 196 операций</w:t>
            </w:r>
          </w:p>
          <w:p w:rsidR="000F252A" w:rsidRPr="00AC795F" w:rsidRDefault="000F252A" w:rsidP="000F252A">
            <w:pPr>
              <w:jc w:val="both"/>
            </w:pPr>
            <w:r w:rsidRPr="00AC795F">
              <w:t>(факт 2025 г. – 2 131 операций)</w:t>
            </w:r>
          </w:p>
        </w:tc>
      </w:tr>
      <w:tr w:rsidR="000F252A" w:rsidRPr="009D3B11" w:rsidTr="00AC795F">
        <w:trPr>
          <w:trHeight w:val="20"/>
        </w:trPr>
        <w:tc>
          <w:tcPr>
            <w:tcW w:w="704" w:type="dxa"/>
            <w:shd w:val="clear" w:color="auto" w:fill="auto"/>
          </w:tcPr>
          <w:p w:rsidR="000F252A" w:rsidRPr="000F252A" w:rsidRDefault="000F252A" w:rsidP="000F252A">
            <w:pPr>
              <w:jc w:val="center"/>
            </w:pPr>
            <w:r w:rsidRPr="000F252A">
              <w:t>5.4.</w:t>
            </w:r>
          </w:p>
        </w:tc>
        <w:tc>
          <w:tcPr>
            <w:tcW w:w="3686" w:type="dxa"/>
            <w:shd w:val="clear" w:color="auto" w:fill="auto"/>
          </w:tcPr>
          <w:p w:rsidR="000F252A" w:rsidRPr="000F252A" w:rsidRDefault="000F252A" w:rsidP="000F252A">
            <w:pPr>
              <w:jc w:val="both"/>
            </w:pPr>
            <w:r w:rsidRPr="000F252A">
              <w:t>Увеличение числа реконструктивно-восстановительных операций после радикального хирургического лечения пациентов с онкологическими заболеваниями</w:t>
            </w:r>
          </w:p>
        </w:tc>
        <w:tc>
          <w:tcPr>
            <w:tcW w:w="1474" w:type="dxa"/>
            <w:shd w:val="clear" w:color="auto" w:fill="auto"/>
          </w:tcPr>
          <w:p w:rsidR="000F252A" w:rsidRPr="000F252A" w:rsidRDefault="000F252A" w:rsidP="000F252A">
            <w:pPr>
              <w:jc w:val="center"/>
            </w:pPr>
            <w:r w:rsidRPr="000F252A">
              <w:t>09.01.2026</w:t>
            </w:r>
          </w:p>
        </w:tc>
        <w:tc>
          <w:tcPr>
            <w:tcW w:w="1418" w:type="dxa"/>
            <w:shd w:val="clear" w:color="auto" w:fill="auto"/>
          </w:tcPr>
          <w:p w:rsidR="000F252A" w:rsidRPr="000F252A" w:rsidRDefault="000F252A" w:rsidP="000F252A">
            <w:pPr>
              <w:jc w:val="center"/>
            </w:pPr>
            <w:r w:rsidRPr="000F252A">
              <w:t>31.12.2030</w:t>
            </w:r>
          </w:p>
        </w:tc>
        <w:tc>
          <w:tcPr>
            <w:tcW w:w="3912" w:type="dxa"/>
            <w:shd w:val="clear" w:color="auto" w:fill="auto"/>
          </w:tcPr>
          <w:p w:rsidR="000F252A" w:rsidRPr="000F252A" w:rsidRDefault="009549EE" w:rsidP="000F252A">
            <w:pPr>
              <w:jc w:val="both"/>
            </w:pPr>
            <w:r>
              <w:t xml:space="preserve">министр здравоохранения </w:t>
            </w:r>
            <w:r w:rsidR="000F252A" w:rsidRPr="000F252A">
              <w:t xml:space="preserve">Республики Татарстан А.Р.Абашев, главный врач ГАУЗ </w:t>
            </w:r>
            <w:r w:rsidR="000F252A" w:rsidRPr="000F252A">
              <w:rPr>
                <w:rFonts w:eastAsia="Arial"/>
              </w:rPr>
              <w:t>«РКОД МЗ РТ им.проф.М.З.Сигала»</w:t>
            </w:r>
            <w:r w:rsidR="000F252A" w:rsidRPr="000F252A">
              <w:t xml:space="preserve"> М.Ф.Мухамадеев, главный внештатный специалист-онколог Министерства здравоохранения Республики Татарстан Э.В.Нагуманов</w:t>
            </w:r>
          </w:p>
        </w:tc>
        <w:tc>
          <w:tcPr>
            <w:tcW w:w="3969" w:type="dxa"/>
            <w:shd w:val="clear" w:color="auto" w:fill="auto"/>
          </w:tcPr>
          <w:p w:rsidR="000F252A" w:rsidRPr="00AC795F" w:rsidRDefault="000F252A" w:rsidP="000F252A">
            <w:pPr>
              <w:jc w:val="both"/>
            </w:pPr>
            <w:r w:rsidRPr="00AC795F">
              <w:t xml:space="preserve">число реконструктивно-восстановительных операций: </w:t>
            </w:r>
          </w:p>
          <w:p w:rsidR="000F252A" w:rsidRPr="00AC795F" w:rsidRDefault="000F252A" w:rsidP="000F252A">
            <w:pPr>
              <w:jc w:val="both"/>
            </w:pPr>
            <w:r w:rsidRPr="00AC795F">
              <w:t>2026 г. – 350 операций;</w:t>
            </w:r>
          </w:p>
          <w:p w:rsidR="000F252A" w:rsidRPr="00AC795F" w:rsidRDefault="000F252A" w:rsidP="000F252A">
            <w:pPr>
              <w:jc w:val="both"/>
            </w:pPr>
            <w:r w:rsidRPr="00AC795F">
              <w:t>2027 г. – 355 операций;</w:t>
            </w:r>
          </w:p>
          <w:p w:rsidR="000F252A" w:rsidRPr="00AC795F" w:rsidRDefault="000F252A" w:rsidP="000F252A">
            <w:pPr>
              <w:jc w:val="both"/>
            </w:pPr>
            <w:r w:rsidRPr="00AC795F">
              <w:t>2028 г. – 360 операций;</w:t>
            </w:r>
          </w:p>
          <w:p w:rsidR="000F252A" w:rsidRPr="00AC795F" w:rsidRDefault="000F252A" w:rsidP="000F252A">
            <w:pPr>
              <w:jc w:val="both"/>
            </w:pPr>
            <w:r w:rsidRPr="00AC795F">
              <w:t>2029 г. – 365 операций;</w:t>
            </w:r>
          </w:p>
          <w:p w:rsidR="000F252A" w:rsidRPr="00AC795F" w:rsidRDefault="000F252A" w:rsidP="000F252A">
            <w:pPr>
              <w:jc w:val="both"/>
            </w:pPr>
            <w:r w:rsidRPr="00AC795F">
              <w:t>2030 г. – 370 операций</w:t>
            </w:r>
          </w:p>
          <w:p w:rsidR="000F252A" w:rsidRPr="00AC795F" w:rsidRDefault="000F252A" w:rsidP="000F252A">
            <w:pPr>
              <w:jc w:val="both"/>
            </w:pPr>
            <w:r w:rsidRPr="00AC795F">
              <w:t>(факт 2025 г. – 345)</w:t>
            </w:r>
          </w:p>
        </w:tc>
      </w:tr>
      <w:tr w:rsidR="000F252A" w:rsidRPr="009D3B11" w:rsidTr="00AC795F">
        <w:trPr>
          <w:trHeight w:val="20"/>
        </w:trPr>
        <w:tc>
          <w:tcPr>
            <w:tcW w:w="704" w:type="dxa"/>
            <w:shd w:val="clear" w:color="auto" w:fill="auto"/>
          </w:tcPr>
          <w:p w:rsidR="000F252A" w:rsidRPr="000F252A" w:rsidRDefault="000F252A" w:rsidP="000F252A">
            <w:pPr>
              <w:jc w:val="center"/>
            </w:pPr>
            <w:r w:rsidRPr="000F252A">
              <w:t>5.5.</w:t>
            </w:r>
          </w:p>
        </w:tc>
        <w:tc>
          <w:tcPr>
            <w:tcW w:w="3686" w:type="dxa"/>
            <w:shd w:val="clear" w:color="auto" w:fill="auto"/>
          </w:tcPr>
          <w:p w:rsidR="000F252A" w:rsidRPr="000F252A" w:rsidRDefault="000F252A" w:rsidP="000F252A">
            <w:pPr>
              <w:jc w:val="both"/>
            </w:pPr>
            <w:r w:rsidRPr="000F252A">
              <w:t>Внедрение роботизированных операций и расширение практики использования роботизированной хирургии при ЗНО</w:t>
            </w:r>
          </w:p>
        </w:tc>
        <w:tc>
          <w:tcPr>
            <w:tcW w:w="1474" w:type="dxa"/>
            <w:shd w:val="clear" w:color="auto" w:fill="auto"/>
          </w:tcPr>
          <w:p w:rsidR="000F252A" w:rsidRPr="000F252A" w:rsidRDefault="000F252A" w:rsidP="000F252A">
            <w:pPr>
              <w:jc w:val="center"/>
            </w:pPr>
            <w:r w:rsidRPr="000F252A">
              <w:t>09.01.2025</w:t>
            </w:r>
          </w:p>
        </w:tc>
        <w:tc>
          <w:tcPr>
            <w:tcW w:w="1418" w:type="dxa"/>
            <w:shd w:val="clear" w:color="auto" w:fill="auto"/>
          </w:tcPr>
          <w:p w:rsidR="000F252A" w:rsidRPr="000F252A" w:rsidRDefault="000F252A" w:rsidP="000F252A">
            <w:pPr>
              <w:jc w:val="center"/>
            </w:pPr>
            <w:r w:rsidRPr="000F252A">
              <w:t>31.12.2030</w:t>
            </w:r>
          </w:p>
        </w:tc>
        <w:tc>
          <w:tcPr>
            <w:tcW w:w="3912" w:type="dxa"/>
            <w:shd w:val="clear" w:color="auto" w:fill="auto"/>
          </w:tcPr>
          <w:p w:rsidR="000F252A" w:rsidRPr="000F252A" w:rsidRDefault="000F252A" w:rsidP="000F252A">
            <w:pPr>
              <w:jc w:val="both"/>
            </w:pPr>
            <w:r w:rsidRPr="000F252A">
              <w:t xml:space="preserve">главный врач ГАУЗ </w:t>
            </w:r>
            <w:r w:rsidRPr="000F252A">
              <w:rPr>
                <w:rFonts w:eastAsia="Arial"/>
              </w:rPr>
              <w:t xml:space="preserve">«РКОД МЗ РТ им.проф.М.З.Сигала» </w:t>
            </w:r>
            <w:r w:rsidRPr="000F252A">
              <w:t>М.Ф.Мухамадеев</w:t>
            </w:r>
          </w:p>
        </w:tc>
        <w:tc>
          <w:tcPr>
            <w:tcW w:w="3969" w:type="dxa"/>
            <w:shd w:val="clear" w:color="auto" w:fill="auto"/>
          </w:tcPr>
          <w:p w:rsidR="000F252A" w:rsidRPr="00AC795F" w:rsidRDefault="000F252A" w:rsidP="000F252A">
            <w:pPr>
              <w:jc w:val="both"/>
            </w:pPr>
            <w:r w:rsidRPr="00AC795F">
              <w:t xml:space="preserve">число роботизированных операций: </w:t>
            </w:r>
          </w:p>
          <w:p w:rsidR="000F252A" w:rsidRPr="00AC795F" w:rsidRDefault="000F252A" w:rsidP="000F252A">
            <w:pPr>
              <w:jc w:val="both"/>
            </w:pPr>
            <w:r w:rsidRPr="00AC795F">
              <w:t>2026 г. – 100 операций;</w:t>
            </w:r>
          </w:p>
          <w:p w:rsidR="000F252A" w:rsidRPr="00AC795F" w:rsidRDefault="000F252A" w:rsidP="000F252A">
            <w:pPr>
              <w:jc w:val="both"/>
            </w:pPr>
            <w:r w:rsidRPr="00AC795F">
              <w:t>2027 г. – 110 операций;</w:t>
            </w:r>
          </w:p>
          <w:p w:rsidR="000F252A" w:rsidRPr="00AC795F" w:rsidRDefault="000F252A" w:rsidP="000F252A">
            <w:pPr>
              <w:jc w:val="both"/>
            </w:pPr>
            <w:r w:rsidRPr="00AC795F">
              <w:t>2028 г. – 120 операций;</w:t>
            </w:r>
          </w:p>
          <w:p w:rsidR="000F252A" w:rsidRPr="00AC795F" w:rsidRDefault="000F252A" w:rsidP="000F252A">
            <w:pPr>
              <w:jc w:val="both"/>
            </w:pPr>
            <w:r w:rsidRPr="00AC795F">
              <w:t>2029 г. – 130 операций;</w:t>
            </w:r>
          </w:p>
          <w:p w:rsidR="000F252A" w:rsidRPr="00AC795F" w:rsidRDefault="000F252A" w:rsidP="000F252A">
            <w:pPr>
              <w:jc w:val="both"/>
            </w:pPr>
            <w:r w:rsidRPr="00AC795F">
              <w:t>2030 г. – 140 операций</w:t>
            </w:r>
          </w:p>
          <w:p w:rsidR="000F252A" w:rsidRPr="00AC795F" w:rsidRDefault="000F252A" w:rsidP="000F252A">
            <w:pPr>
              <w:jc w:val="both"/>
            </w:pPr>
            <w:r w:rsidRPr="00AC795F">
              <w:t>(факт 2025 г. – 90 операций)</w:t>
            </w:r>
          </w:p>
        </w:tc>
      </w:tr>
      <w:tr w:rsidR="000F252A" w:rsidRPr="009D3B11" w:rsidTr="00AC795F">
        <w:trPr>
          <w:trHeight w:val="20"/>
        </w:trPr>
        <w:tc>
          <w:tcPr>
            <w:tcW w:w="704" w:type="dxa"/>
            <w:shd w:val="clear" w:color="auto" w:fill="auto"/>
          </w:tcPr>
          <w:p w:rsidR="000F252A" w:rsidRPr="000F252A" w:rsidRDefault="000F252A" w:rsidP="000F252A">
            <w:pPr>
              <w:jc w:val="center"/>
            </w:pPr>
            <w:r w:rsidRPr="000F252A">
              <w:t>5.6.</w:t>
            </w:r>
          </w:p>
        </w:tc>
        <w:tc>
          <w:tcPr>
            <w:tcW w:w="3686" w:type="dxa"/>
            <w:shd w:val="clear" w:color="auto" w:fill="auto"/>
          </w:tcPr>
          <w:p w:rsidR="000F252A" w:rsidRPr="000F252A" w:rsidRDefault="000F252A" w:rsidP="000F252A">
            <w:pPr>
              <w:jc w:val="both"/>
            </w:pPr>
            <w:r w:rsidRPr="000F252A">
              <w:t xml:space="preserve">Проведение эндоваскулярных </w:t>
            </w:r>
            <w:r w:rsidRPr="000F252A">
              <w:br/>
              <w:t xml:space="preserve">операций на базе отделения рентгенохирургических методов лечения ГАУЗ </w:t>
            </w:r>
            <w:r w:rsidRPr="000F252A">
              <w:rPr>
                <w:rFonts w:eastAsia="Arial"/>
              </w:rPr>
              <w:t>«РКОД МЗ РТ им.проф.М.З.Сигала»</w:t>
            </w:r>
            <w:r w:rsidRPr="000F252A">
              <w:t xml:space="preserve">  </w:t>
            </w:r>
          </w:p>
        </w:tc>
        <w:tc>
          <w:tcPr>
            <w:tcW w:w="1474" w:type="dxa"/>
            <w:shd w:val="clear" w:color="auto" w:fill="auto"/>
          </w:tcPr>
          <w:p w:rsidR="000F252A" w:rsidRPr="000F252A" w:rsidRDefault="000F252A" w:rsidP="000F252A">
            <w:pPr>
              <w:jc w:val="center"/>
            </w:pPr>
            <w:r w:rsidRPr="000F252A">
              <w:t>09.01.2026</w:t>
            </w:r>
          </w:p>
        </w:tc>
        <w:tc>
          <w:tcPr>
            <w:tcW w:w="1418" w:type="dxa"/>
            <w:shd w:val="clear" w:color="auto" w:fill="auto"/>
          </w:tcPr>
          <w:p w:rsidR="000F252A" w:rsidRPr="000F252A" w:rsidRDefault="000F252A" w:rsidP="000F252A">
            <w:pPr>
              <w:jc w:val="center"/>
            </w:pPr>
            <w:r w:rsidRPr="000F252A">
              <w:t>31.12.2030</w:t>
            </w:r>
          </w:p>
        </w:tc>
        <w:tc>
          <w:tcPr>
            <w:tcW w:w="3912" w:type="dxa"/>
            <w:shd w:val="clear" w:color="auto" w:fill="auto"/>
          </w:tcPr>
          <w:p w:rsidR="000F252A" w:rsidRPr="000F252A" w:rsidRDefault="000F252A" w:rsidP="000F252A">
            <w:pPr>
              <w:jc w:val="both"/>
            </w:pPr>
            <w:r w:rsidRPr="000F252A">
              <w:t xml:space="preserve">главный врач ГАУЗ </w:t>
            </w:r>
            <w:r w:rsidRPr="000F252A">
              <w:rPr>
                <w:rFonts w:eastAsia="Arial"/>
              </w:rPr>
              <w:t>«РКОД МЗ РТ им.проф.М.З.Сигала»</w:t>
            </w:r>
            <w:r w:rsidRPr="000F252A">
              <w:t xml:space="preserve"> М.Ф.Мухамадеев</w:t>
            </w:r>
          </w:p>
        </w:tc>
        <w:tc>
          <w:tcPr>
            <w:tcW w:w="3969" w:type="dxa"/>
            <w:shd w:val="clear" w:color="auto" w:fill="auto"/>
          </w:tcPr>
          <w:p w:rsidR="000F252A" w:rsidRPr="00AC795F" w:rsidRDefault="000F252A" w:rsidP="000F252A">
            <w:pPr>
              <w:jc w:val="both"/>
            </w:pPr>
            <w:r w:rsidRPr="00AC795F">
              <w:t xml:space="preserve">проведение лечения с применением </w:t>
            </w:r>
            <w:r w:rsidRPr="00AC795F">
              <w:br/>
              <w:t xml:space="preserve">эндоваскулярных методов – не менее </w:t>
            </w:r>
            <w:r w:rsidRPr="00AC795F">
              <w:br/>
              <w:t>3 000 случаев ежегодно</w:t>
            </w:r>
          </w:p>
        </w:tc>
      </w:tr>
      <w:tr w:rsidR="000F252A" w:rsidRPr="009D3B11" w:rsidTr="00AC795F">
        <w:trPr>
          <w:trHeight w:val="20"/>
        </w:trPr>
        <w:tc>
          <w:tcPr>
            <w:tcW w:w="704" w:type="dxa"/>
            <w:shd w:val="clear" w:color="auto" w:fill="auto"/>
          </w:tcPr>
          <w:p w:rsidR="000F252A" w:rsidRPr="000F252A" w:rsidRDefault="000F252A" w:rsidP="000F252A">
            <w:pPr>
              <w:spacing w:line="233" w:lineRule="auto"/>
              <w:jc w:val="center"/>
            </w:pPr>
            <w:r w:rsidRPr="000F252A">
              <w:t>5.7.</w:t>
            </w:r>
          </w:p>
        </w:tc>
        <w:tc>
          <w:tcPr>
            <w:tcW w:w="3686" w:type="dxa"/>
            <w:shd w:val="clear" w:color="auto" w:fill="auto"/>
          </w:tcPr>
          <w:p w:rsidR="000F252A" w:rsidRPr="000F252A" w:rsidRDefault="000F252A" w:rsidP="000F252A">
            <w:pPr>
              <w:spacing w:line="233" w:lineRule="auto"/>
              <w:jc w:val="both"/>
            </w:pPr>
            <w:r w:rsidRPr="000F252A">
              <w:t xml:space="preserve">Проведение в рентгенохирургическом отделении ГАУЗ </w:t>
            </w:r>
            <w:r w:rsidRPr="000F252A">
              <w:rPr>
                <w:rFonts w:eastAsia="Arial"/>
              </w:rPr>
              <w:t>«РКОД МЗ РТ им.проф.М.З.Сигала»</w:t>
            </w:r>
            <w:r w:rsidRPr="000F252A">
              <w:t xml:space="preserve"> современных методик лечения ЗНО </w:t>
            </w:r>
            <w:r w:rsidRPr="000F252A">
              <w:br/>
              <w:t>с использованием ангиографического аппарата</w:t>
            </w:r>
          </w:p>
        </w:tc>
        <w:tc>
          <w:tcPr>
            <w:tcW w:w="1474" w:type="dxa"/>
            <w:shd w:val="clear" w:color="auto" w:fill="auto"/>
          </w:tcPr>
          <w:p w:rsidR="000F252A" w:rsidRPr="000F252A" w:rsidRDefault="000F252A" w:rsidP="000F252A">
            <w:pPr>
              <w:spacing w:line="233" w:lineRule="auto"/>
              <w:jc w:val="center"/>
            </w:pPr>
            <w:r w:rsidRPr="000F252A">
              <w:t>09.01.2026</w:t>
            </w:r>
          </w:p>
        </w:tc>
        <w:tc>
          <w:tcPr>
            <w:tcW w:w="1418" w:type="dxa"/>
            <w:shd w:val="clear" w:color="auto" w:fill="auto"/>
          </w:tcPr>
          <w:p w:rsidR="000F252A" w:rsidRPr="000F252A" w:rsidRDefault="000F252A" w:rsidP="000F252A">
            <w:pPr>
              <w:spacing w:line="233" w:lineRule="auto"/>
              <w:jc w:val="center"/>
            </w:pPr>
            <w:r w:rsidRPr="000F252A">
              <w:t>31.12.2030</w:t>
            </w:r>
          </w:p>
        </w:tc>
        <w:tc>
          <w:tcPr>
            <w:tcW w:w="3912" w:type="dxa"/>
            <w:shd w:val="clear" w:color="auto" w:fill="auto"/>
          </w:tcPr>
          <w:p w:rsidR="000F252A" w:rsidRPr="000F252A" w:rsidRDefault="000F252A" w:rsidP="000F252A">
            <w:pPr>
              <w:spacing w:line="233" w:lineRule="auto"/>
              <w:jc w:val="both"/>
            </w:pPr>
            <w:r w:rsidRPr="000F252A">
              <w:t xml:space="preserve">главный врач ГАУЗ </w:t>
            </w:r>
            <w:r w:rsidRPr="000F252A">
              <w:rPr>
                <w:rFonts w:eastAsia="Arial"/>
              </w:rPr>
              <w:t>«РКОД МЗ РТ им.проф.М.З.Сигала»</w:t>
            </w:r>
            <w:r w:rsidRPr="000F252A">
              <w:t xml:space="preserve"> М.Ф.Мухамадеев</w:t>
            </w:r>
          </w:p>
        </w:tc>
        <w:tc>
          <w:tcPr>
            <w:tcW w:w="3969" w:type="dxa"/>
            <w:shd w:val="clear" w:color="auto" w:fill="auto"/>
          </w:tcPr>
          <w:p w:rsidR="000F252A" w:rsidRPr="00AC795F" w:rsidRDefault="000F252A" w:rsidP="000F252A">
            <w:pPr>
              <w:spacing w:line="233" w:lineRule="auto"/>
              <w:jc w:val="both"/>
            </w:pPr>
            <w:r w:rsidRPr="00AC795F">
              <w:t xml:space="preserve">проведение лечения с применением ангиографических технологий – </w:t>
            </w:r>
            <w:r w:rsidR="009549EE">
              <w:br/>
            </w:r>
            <w:r w:rsidRPr="00AC795F">
              <w:t>не менее 170 случаев ежегодно</w:t>
            </w:r>
          </w:p>
        </w:tc>
      </w:tr>
      <w:tr w:rsidR="000F252A" w:rsidRPr="009D3B11" w:rsidTr="00AC795F">
        <w:trPr>
          <w:trHeight w:val="20"/>
        </w:trPr>
        <w:tc>
          <w:tcPr>
            <w:tcW w:w="704" w:type="dxa"/>
            <w:shd w:val="clear" w:color="auto" w:fill="auto"/>
          </w:tcPr>
          <w:p w:rsidR="000F252A" w:rsidRPr="000F252A" w:rsidRDefault="000F252A" w:rsidP="000F252A">
            <w:pPr>
              <w:spacing w:line="233" w:lineRule="auto"/>
              <w:jc w:val="center"/>
            </w:pPr>
            <w:r w:rsidRPr="000F252A">
              <w:t>5.8.</w:t>
            </w:r>
          </w:p>
        </w:tc>
        <w:tc>
          <w:tcPr>
            <w:tcW w:w="3686" w:type="dxa"/>
            <w:shd w:val="clear" w:color="auto" w:fill="auto"/>
          </w:tcPr>
          <w:p w:rsidR="000F252A" w:rsidRPr="000F252A" w:rsidRDefault="000F252A" w:rsidP="000F252A">
            <w:pPr>
              <w:spacing w:line="233" w:lineRule="auto"/>
              <w:jc w:val="both"/>
            </w:pPr>
            <w:r w:rsidRPr="000F252A">
              <w:t>Применение современных методик стереотаксического и радиотаксического облучения</w:t>
            </w:r>
          </w:p>
        </w:tc>
        <w:tc>
          <w:tcPr>
            <w:tcW w:w="1474" w:type="dxa"/>
            <w:shd w:val="clear" w:color="auto" w:fill="auto"/>
          </w:tcPr>
          <w:p w:rsidR="000F252A" w:rsidRPr="000F252A" w:rsidRDefault="000F252A" w:rsidP="000F252A">
            <w:pPr>
              <w:spacing w:line="233" w:lineRule="auto"/>
              <w:jc w:val="center"/>
            </w:pPr>
            <w:r w:rsidRPr="000F252A">
              <w:t>09.01.2026</w:t>
            </w:r>
          </w:p>
        </w:tc>
        <w:tc>
          <w:tcPr>
            <w:tcW w:w="1418" w:type="dxa"/>
            <w:shd w:val="clear" w:color="auto" w:fill="auto"/>
          </w:tcPr>
          <w:p w:rsidR="000F252A" w:rsidRPr="000F252A" w:rsidRDefault="000F252A" w:rsidP="000F252A">
            <w:pPr>
              <w:spacing w:line="233" w:lineRule="auto"/>
              <w:jc w:val="center"/>
            </w:pPr>
            <w:r w:rsidRPr="000F252A">
              <w:t>31.12.2030</w:t>
            </w:r>
          </w:p>
        </w:tc>
        <w:tc>
          <w:tcPr>
            <w:tcW w:w="3912" w:type="dxa"/>
            <w:shd w:val="clear" w:color="auto" w:fill="auto"/>
          </w:tcPr>
          <w:p w:rsidR="000F252A" w:rsidRPr="000F252A" w:rsidRDefault="000F252A" w:rsidP="000F252A">
            <w:pPr>
              <w:spacing w:line="233" w:lineRule="auto"/>
              <w:jc w:val="both"/>
            </w:pPr>
            <w:r w:rsidRPr="000F252A">
              <w:t xml:space="preserve">главный врач ГАУЗ </w:t>
            </w:r>
            <w:r w:rsidRPr="000F252A">
              <w:rPr>
                <w:rFonts w:eastAsia="Arial"/>
              </w:rPr>
              <w:t>«РКОД МЗ РТ им.проф.М.З.Сигала»</w:t>
            </w:r>
            <w:r w:rsidRPr="000F252A">
              <w:t xml:space="preserve"> М.Ф.Мухамадеев</w:t>
            </w:r>
          </w:p>
        </w:tc>
        <w:tc>
          <w:tcPr>
            <w:tcW w:w="3969" w:type="dxa"/>
            <w:shd w:val="clear" w:color="auto" w:fill="auto"/>
          </w:tcPr>
          <w:p w:rsidR="000F252A" w:rsidRPr="00AC795F" w:rsidRDefault="000F252A" w:rsidP="000F252A">
            <w:pPr>
              <w:spacing w:line="233" w:lineRule="auto"/>
              <w:jc w:val="both"/>
            </w:pPr>
            <w:r w:rsidRPr="00AC795F">
              <w:t>проведение облучения с применением современных методик стереотаксического и радиотаксического облучения не менее чем у 720 пациентов ежегодно</w:t>
            </w:r>
          </w:p>
        </w:tc>
      </w:tr>
      <w:tr w:rsidR="000F252A" w:rsidRPr="009D3B11" w:rsidTr="00AC795F">
        <w:trPr>
          <w:trHeight w:val="20"/>
        </w:trPr>
        <w:tc>
          <w:tcPr>
            <w:tcW w:w="704" w:type="dxa"/>
            <w:shd w:val="clear" w:color="auto" w:fill="auto"/>
          </w:tcPr>
          <w:p w:rsidR="000F252A" w:rsidRPr="000F252A" w:rsidRDefault="000F252A" w:rsidP="000F252A">
            <w:pPr>
              <w:spacing w:line="233" w:lineRule="auto"/>
              <w:jc w:val="center"/>
            </w:pPr>
            <w:r w:rsidRPr="000F252A">
              <w:t>5.9.</w:t>
            </w:r>
          </w:p>
        </w:tc>
        <w:tc>
          <w:tcPr>
            <w:tcW w:w="3686" w:type="dxa"/>
            <w:shd w:val="clear" w:color="auto" w:fill="auto"/>
          </w:tcPr>
          <w:p w:rsidR="000F252A" w:rsidRPr="004579A7" w:rsidRDefault="000F252A" w:rsidP="004579A7">
            <w:pPr>
              <w:spacing w:line="233" w:lineRule="auto"/>
              <w:jc w:val="both"/>
            </w:pPr>
            <w:r w:rsidRPr="004579A7">
              <w:t>Обеспечение изготовления изотопа фтор-18 (</w:t>
            </w:r>
            <w:r w:rsidR="004579A7" w:rsidRPr="004579A7">
              <w:rPr>
                <w:rFonts w:eastAsia="Arial"/>
                <w:color w:val="000000"/>
              </w:rPr>
              <w:t>радиофармпрепарат</w:t>
            </w:r>
            <w:r w:rsidRPr="004579A7">
              <w:t xml:space="preserve"> </w:t>
            </w:r>
            <w:r w:rsidRPr="004579A7">
              <w:rPr>
                <w:lang w:val="en-US"/>
              </w:rPr>
              <w:t>F</w:t>
            </w:r>
            <w:r w:rsidRPr="004579A7">
              <w:t xml:space="preserve">18-натрия фторид, </w:t>
            </w:r>
            <w:r w:rsidRPr="004579A7">
              <w:rPr>
                <w:lang w:val="en-US"/>
              </w:rPr>
              <w:t>F</w:t>
            </w:r>
            <w:r w:rsidRPr="004579A7">
              <w:t xml:space="preserve">18-ФДГ, </w:t>
            </w:r>
            <w:r w:rsidRPr="004579A7">
              <w:rPr>
                <w:lang w:val="en-US"/>
              </w:rPr>
              <w:t>F</w:t>
            </w:r>
            <w:r w:rsidRPr="004579A7">
              <w:t xml:space="preserve">18-ПСМА, </w:t>
            </w:r>
            <w:r w:rsidRPr="004579A7">
              <w:rPr>
                <w:lang w:val="en-US"/>
              </w:rPr>
              <w:t>F</w:t>
            </w:r>
            <w:r w:rsidRPr="004579A7">
              <w:t xml:space="preserve">18-ФЭС) на циклотроне ГАУЗ </w:t>
            </w:r>
            <w:r w:rsidRPr="004579A7">
              <w:rPr>
                <w:rFonts w:eastAsia="Arial"/>
              </w:rPr>
              <w:t>«РКОД МЗ РТ им.проф.М.З.Сигала»</w:t>
            </w:r>
          </w:p>
        </w:tc>
        <w:tc>
          <w:tcPr>
            <w:tcW w:w="1474" w:type="dxa"/>
            <w:shd w:val="clear" w:color="auto" w:fill="auto"/>
          </w:tcPr>
          <w:p w:rsidR="000F252A" w:rsidRPr="000F252A" w:rsidRDefault="000F252A" w:rsidP="000F252A">
            <w:pPr>
              <w:spacing w:line="233" w:lineRule="auto"/>
              <w:jc w:val="center"/>
            </w:pPr>
            <w:r w:rsidRPr="000F252A">
              <w:t>09.01.2026</w:t>
            </w:r>
          </w:p>
        </w:tc>
        <w:tc>
          <w:tcPr>
            <w:tcW w:w="1418" w:type="dxa"/>
            <w:shd w:val="clear" w:color="auto" w:fill="auto"/>
          </w:tcPr>
          <w:p w:rsidR="000F252A" w:rsidRPr="000F252A" w:rsidRDefault="000F252A" w:rsidP="000F252A">
            <w:pPr>
              <w:spacing w:line="233" w:lineRule="auto"/>
              <w:jc w:val="center"/>
            </w:pPr>
            <w:r w:rsidRPr="000F252A">
              <w:t>31.12.2030</w:t>
            </w:r>
          </w:p>
        </w:tc>
        <w:tc>
          <w:tcPr>
            <w:tcW w:w="3912" w:type="dxa"/>
            <w:shd w:val="clear" w:color="auto" w:fill="auto"/>
          </w:tcPr>
          <w:p w:rsidR="000F252A" w:rsidRPr="000F252A" w:rsidRDefault="000F252A" w:rsidP="000F252A">
            <w:pPr>
              <w:spacing w:line="233" w:lineRule="auto"/>
              <w:jc w:val="both"/>
            </w:pPr>
            <w:r w:rsidRPr="000F252A">
              <w:t xml:space="preserve">главный врач ГАУЗ </w:t>
            </w:r>
            <w:r w:rsidRPr="000F252A">
              <w:rPr>
                <w:rFonts w:eastAsia="Arial"/>
              </w:rPr>
              <w:t>«РКОД МЗ РТ им.проф.М.З.Сигала»</w:t>
            </w:r>
            <w:r w:rsidRPr="000F252A">
              <w:t xml:space="preserve"> М.Ф.Мухамадеев</w:t>
            </w:r>
          </w:p>
        </w:tc>
        <w:tc>
          <w:tcPr>
            <w:tcW w:w="3969" w:type="dxa"/>
            <w:shd w:val="clear" w:color="auto" w:fill="auto"/>
          </w:tcPr>
          <w:p w:rsidR="000F252A" w:rsidRPr="00AC795F" w:rsidRDefault="000F252A" w:rsidP="000F252A">
            <w:pPr>
              <w:spacing w:line="233" w:lineRule="auto"/>
              <w:jc w:val="both"/>
            </w:pPr>
            <w:r w:rsidRPr="00AC795F">
              <w:t xml:space="preserve">изготовление изотопа фтор-18 в соответствии с потребностью </w:t>
            </w:r>
          </w:p>
        </w:tc>
      </w:tr>
      <w:tr w:rsidR="000F252A" w:rsidRPr="009D3B11" w:rsidTr="00AC795F">
        <w:trPr>
          <w:trHeight w:val="20"/>
        </w:trPr>
        <w:tc>
          <w:tcPr>
            <w:tcW w:w="704" w:type="dxa"/>
            <w:shd w:val="clear" w:color="auto" w:fill="auto"/>
          </w:tcPr>
          <w:p w:rsidR="000F252A" w:rsidRPr="000F252A" w:rsidRDefault="000F252A" w:rsidP="000F252A">
            <w:pPr>
              <w:spacing w:line="233" w:lineRule="auto"/>
              <w:jc w:val="center"/>
            </w:pPr>
            <w:r w:rsidRPr="000F252A">
              <w:t>5.10.</w:t>
            </w:r>
          </w:p>
        </w:tc>
        <w:tc>
          <w:tcPr>
            <w:tcW w:w="3686" w:type="dxa"/>
            <w:shd w:val="clear" w:color="auto" w:fill="auto"/>
          </w:tcPr>
          <w:p w:rsidR="000F252A" w:rsidRPr="000F252A" w:rsidRDefault="000F252A" w:rsidP="000F252A">
            <w:pPr>
              <w:spacing w:line="233" w:lineRule="auto"/>
              <w:jc w:val="both"/>
            </w:pPr>
            <w:r w:rsidRPr="000F252A">
              <w:t>Обеспечение взаимодействия и логистики с поставщиками изотопа технеций-99 (АО «В/О «Изотоп», Московская область, г.Старая Купавна) и радиофармпрепаратов натрия йодид-131, самарий-153 (АО «НИФХИ им.Л.Я.Карпова», Калужская область), радия хлорид-223 (федеральное государственное автономное образовательное учреждение высшего образования «Уральский федеральный университет имени первого Президента России Б.Н.Ельцина», Свердловская область)</w:t>
            </w:r>
          </w:p>
        </w:tc>
        <w:tc>
          <w:tcPr>
            <w:tcW w:w="1474" w:type="dxa"/>
            <w:shd w:val="clear" w:color="auto" w:fill="auto"/>
          </w:tcPr>
          <w:p w:rsidR="000F252A" w:rsidRPr="000F252A" w:rsidRDefault="000F252A" w:rsidP="000F252A">
            <w:pPr>
              <w:spacing w:line="233" w:lineRule="auto"/>
              <w:jc w:val="center"/>
            </w:pPr>
            <w:r w:rsidRPr="000F252A">
              <w:t>09.01.2026</w:t>
            </w:r>
          </w:p>
        </w:tc>
        <w:tc>
          <w:tcPr>
            <w:tcW w:w="1418" w:type="dxa"/>
            <w:shd w:val="clear" w:color="auto" w:fill="auto"/>
          </w:tcPr>
          <w:p w:rsidR="000F252A" w:rsidRPr="000F252A" w:rsidRDefault="000F252A" w:rsidP="000F252A">
            <w:pPr>
              <w:spacing w:line="233" w:lineRule="auto"/>
              <w:jc w:val="center"/>
            </w:pPr>
            <w:r w:rsidRPr="000F252A">
              <w:t>31.12.2030</w:t>
            </w:r>
          </w:p>
        </w:tc>
        <w:tc>
          <w:tcPr>
            <w:tcW w:w="3912" w:type="dxa"/>
            <w:shd w:val="clear" w:color="auto" w:fill="auto"/>
          </w:tcPr>
          <w:p w:rsidR="000F252A" w:rsidRPr="000F252A" w:rsidRDefault="000F252A" w:rsidP="000F252A">
            <w:pPr>
              <w:spacing w:line="233" w:lineRule="auto"/>
              <w:jc w:val="both"/>
            </w:pPr>
            <w:r w:rsidRPr="000F252A">
              <w:t xml:space="preserve">главный врач ГАУЗ </w:t>
            </w:r>
            <w:r w:rsidRPr="000F252A">
              <w:rPr>
                <w:rFonts w:eastAsia="Arial"/>
              </w:rPr>
              <w:t>«РКОД МЗ РТ им.проф.М.З.Сигала»</w:t>
            </w:r>
            <w:r w:rsidRPr="000F252A">
              <w:t xml:space="preserve"> М.Ф.Мухамадеев</w:t>
            </w:r>
          </w:p>
        </w:tc>
        <w:tc>
          <w:tcPr>
            <w:tcW w:w="3969" w:type="dxa"/>
            <w:shd w:val="clear" w:color="auto" w:fill="auto"/>
          </w:tcPr>
          <w:p w:rsidR="000F252A" w:rsidRPr="00AC795F" w:rsidRDefault="000F252A" w:rsidP="000F252A">
            <w:pPr>
              <w:spacing w:line="233" w:lineRule="auto"/>
              <w:jc w:val="both"/>
            </w:pPr>
            <w:r w:rsidRPr="00AC795F">
              <w:t>обеспечение изотопом технеций-99 и радиофармпрепаратами натрия йодид-131, самарий-153, радия хлорид-223 в соответствии с потребностью</w:t>
            </w:r>
          </w:p>
        </w:tc>
      </w:tr>
      <w:tr w:rsidR="000F252A" w:rsidRPr="009D3B11" w:rsidTr="00AC795F">
        <w:trPr>
          <w:trHeight w:val="20"/>
        </w:trPr>
        <w:tc>
          <w:tcPr>
            <w:tcW w:w="704" w:type="dxa"/>
            <w:shd w:val="clear" w:color="auto" w:fill="auto"/>
          </w:tcPr>
          <w:p w:rsidR="000F252A" w:rsidRPr="000F252A" w:rsidRDefault="000F252A" w:rsidP="000F252A">
            <w:pPr>
              <w:spacing w:line="233" w:lineRule="auto"/>
              <w:jc w:val="center"/>
            </w:pPr>
            <w:r w:rsidRPr="000F252A">
              <w:t>5.11.</w:t>
            </w:r>
          </w:p>
        </w:tc>
        <w:tc>
          <w:tcPr>
            <w:tcW w:w="3686" w:type="dxa"/>
            <w:shd w:val="clear" w:color="auto" w:fill="auto"/>
          </w:tcPr>
          <w:p w:rsidR="000F252A" w:rsidRPr="000F252A" w:rsidRDefault="000F252A" w:rsidP="000F252A">
            <w:pPr>
              <w:spacing w:line="233" w:lineRule="auto"/>
              <w:jc w:val="both"/>
              <w:rPr>
                <w:color w:val="000000" w:themeColor="text1"/>
              </w:rPr>
            </w:pPr>
            <w:r w:rsidRPr="000F252A">
              <w:rPr>
                <w:color w:val="000000" w:themeColor="text1"/>
              </w:rPr>
              <w:t>Оснащение медицинских организаций системами однофотонной эмиссионной компьютерной томо-</w:t>
            </w:r>
            <w:r w:rsidRPr="000F252A">
              <w:rPr>
                <w:color w:val="000000" w:themeColor="text1"/>
              </w:rPr>
              <w:br/>
              <w:t>графии, совмещенной с компьютерной томографией</w:t>
            </w:r>
          </w:p>
        </w:tc>
        <w:tc>
          <w:tcPr>
            <w:tcW w:w="1474" w:type="dxa"/>
            <w:shd w:val="clear" w:color="auto" w:fill="auto"/>
          </w:tcPr>
          <w:p w:rsidR="000F252A" w:rsidRPr="000F252A" w:rsidRDefault="000F252A" w:rsidP="000F252A">
            <w:pPr>
              <w:spacing w:line="233" w:lineRule="auto"/>
              <w:jc w:val="center"/>
              <w:rPr>
                <w:color w:val="000000" w:themeColor="text1"/>
              </w:rPr>
            </w:pPr>
            <w:r w:rsidRPr="000F252A">
              <w:rPr>
                <w:color w:val="000000" w:themeColor="text1"/>
              </w:rPr>
              <w:t>09.01.2026</w:t>
            </w:r>
          </w:p>
        </w:tc>
        <w:tc>
          <w:tcPr>
            <w:tcW w:w="1418" w:type="dxa"/>
            <w:shd w:val="clear" w:color="auto" w:fill="auto"/>
          </w:tcPr>
          <w:p w:rsidR="000F252A" w:rsidRPr="000F252A" w:rsidRDefault="000F252A" w:rsidP="000F252A">
            <w:pPr>
              <w:spacing w:line="233" w:lineRule="auto"/>
              <w:jc w:val="center"/>
              <w:rPr>
                <w:color w:val="000000" w:themeColor="text1"/>
              </w:rPr>
            </w:pPr>
            <w:r w:rsidRPr="000F252A">
              <w:rPr>
                <w:color w:val="000000" w:themeColor="text1"/>
              </w:rPr>
              <w:t>31.12.2030</w:t>
            </w:r>
          </w:p>
        </w:tc>
        <w:tc>
          <w:tcPr>
            <w:tcW w:w="3912" w:type="dxa"/>
            <w:shd w:val="clear" w:color="auto" w:fill="auto"/>
          </w:tcPr>
          <w:p w:rsidR="000F252A" w:rsidRPr="000F252A" w:rsidRDefault="000F252A" w:rsidP="000F252A">
            <w:pPr>
              <w:spacing w:line="233" w:lineRule="auto"/>
              <w:jc w:val="both"/>
              <w:rPr>
                <w:color w:val="000000" w:themeColor="text1"/>
              </w:rPr>
            </w:pPr>
            <w:r w:rsidRPr="000F252A">
              <w:rPr>
                <w:color w:val="000000" w:themeColor="text1"/>
              </w:rPr>
              <w:t>министр здравоохранения Республики Татарстан А.Р.Абашев, главные врачи медицинских организаций Республики Татарстан</w:t>
            </w:r>
          </w:p>
        </w:tc>
        <w:tc>
          <w:tcPr>
            <w:tcW w:w="3969" w:type="dxa"/>
            <w:shd w:val="clear" w:color="auto" w:fill="auto"/>
          </w:tcPr>
          <w:p w:rsidR="000F252A" w:rsidRPr="00AC795F" w:rsidRDefault="000F252A" w:rsidP="000F252A">
            <w:pPr>
              <w:jc w:val="both"/>
              <w:rPr>
                <w:color w:val="000000" w:themeColor="text1"/>
              </w:rPr>
            </w:pPr>
            <w:r w:rsidRPr="00AC795F">
              <w:rPr>
                <w:color w:val="000000" w:themeColor="text1"/>
              </w:rPr>
              <w:t>модернизированы, дооснащены или переоснащены медицинским оборудованием существующие и (или) новые (организуемые) структурные подразделения медицинских организаций Республики Татарстан, оказывающих медицинскую помощь с применением радиологических методов (диагностики и (или) терапии):</w:t>
            </w:r>
          </w:p>
          <w:p w:rsidR="000F252A" w:rsidRPr="00AC795F" w:rsidRDefault="000F252A" w:rsidP="000F252A">
            <w:pPr>
              <w:spacing w:line="233" w:lineRule="auto"/>
              <w:jc w:val="both"/>
              <w:rPr>
                <w:color w:val="000000" w:themeColor="text1"/>
              </w:rPr>
            </w:pPr>
            <w:r w:rsidRPr="00AC795F">
              <w:rPr>
                <w:color w:val="000000" w:themeColor="text1"/>
              </w:rPr>
              <w:t>2026 г. – 4 единицы;</w:t>
            </w:r>
          </w:p>
          <w:p w:rsidR="000F252A" w:rsidRPr="00AC795F" w:rsidRDefault="000F252A" w:rsidP="000F252A">
            <w:pPr>
              <w:spacing w:line="233" w:lineRule="auto"/>
              <w:jc w:val="both"/>
              <w:rPr>
                <w:color w:val="000000" w:themeColor="text1"/>
              </w:rPr>
            </w:pPr>
            <w:r w:rsidRPr="00AC795F">
              <w:rPr>
                <w:color w:val="000000" w:themeColor="text1"/>
              </w:rPr>
              <w:t>2029 г. – 1 единица</w:t>
            </w:r>
          </w:p>
        </w:tc>
      </w:tr>
      <w:tr w:rsidR="000F252A" w:rsidRPr="009D3B11" w:rsidTr="00AC795F">
        <w:trPr>
          <w:trHeight w:val="20"/>
        </w:trPr>
        <w:tc>
          <w:tcPr>
            <w:tcW w:w="704" w:type="dxa"/>
            <w:shd w:val="clear" w:color="auto" w:fill="auto"/>
          </w:tcPr>
          <w:p w:rsidR="000F252A" w:rsidRPr="000F252A" w:rsidRDefault="000F252A" w:rsidP="009549EE">
            <w:pPr>
              <w:jc w:val="center"/>
            </w:pPr>
            <w:r w:rsidRPr="000F252A">
              <w:t>5.1</w:t>
            </w:r>
            <w:r w:rsidR="009549EE">
              <w:t>2</w:t>
            </w:r>
            <w:r w:rsidRPr="000F252A">
              <w:t>.</w:t>
            </w:r>
          </w:p>
        </w:tc>
        <w:tc>
          <w:tcPr>
            <w:tcW w:w="3686" w:type="dxa"/>
            <w:shd w:val="clear" w:color="auto" w:fill="auto"/>
          </w:tcPr>
          <w:p w:rsidR="000F252A" w:rsidRPr="000F252A" w:rsidRDefault="000F252A" w:rsidP="000F252A">
            <w:pPr>
              <w:jc w:val="both"/>
            </w:pPr>
            <w:r w:rsidRPr="000F252A">
              <w:t>Оснащение медицинских организаций системами позитронно-эмиссионной томографии, совмещенной с компьютерной томографией</w:t>
            </w:r>
          </w:p>
        </w:tc>
        <w:tc>
          <w:tcPr>
            <w:tcW w:w="1474" w:type="dxa"/>
            <w:shd w:val="clear" w:color="auto" w:fill="auto"/>
          </w:tcPr>
          <w:p w:rsidR="000F252A" w:rsidRPr="000F252A" w:rsidRDefault="000F252A" w:rsidP="000F252A">
            <w:pPr>
              <w:jc w:val="center"/>
            </w:pPr>
            <w:r w:rsidRPr="000F252A">
              <w:t>09.01.2027</w:t>
            </w:r>
          </w:p>
        </w:tc>
        <w:tc>
          <w:tcPr>
            <w:tcW w:w="1418" w:type="dxa"/>
            <w:shd w:val="clear" w:color="auto" w:fill="auto"/>
          </w:tcPr>
          <w:p w:rsidR="000F252A" w:rsidRPr="000F252A" w:rsidRDefault="000F252A" w:rsidP="000F252A">
            <w:pPr>
              <w:jc w:val="center"/>
            </w:pPr>
            <w:r w:rsidRPr="000F252A">
              <w:t>31.12.2030</w:t>
            </w:r>
          </w:p>
        </w:tc>
        <w:tc>
          <w:tcPr>
            <w:tcW w:w="3912" w:type="dxa"/>
            <w:shd w:val="clear" w:color="auto" w:fill="auto"/>
          </w:tcPr>
          <w:p w:rsidR="000F252A" w:rsidRPr="000F252A" w:rsidRDefault="000F252A" w:rsidP="000F252A">
            <w:pPr>
              <w:jc w:val="both"/>
            </w:pPr>
            <w:r w:rsidRPr="000F252A">
              <w:t>министр здравоохранения Республики Татарстан А.Р.Абашев, главные врачи медицинских организаций Республики Татарстан</w:t>
            </w:r>
          </w:p>
        </w:tc>
        <w:tc>
          <w:tcPr>
            <w:tcW w:w="3969" w:type="dxa"/>
            <w:shd w:val="clear" w:color="auto" w:fill="auto"/>
          </w:tcPr>
          <w:p w:rsidR="000F252A" w:rsidRPr="00AC795F" w:rsidRDefault="000F252A" w:rsidP="000F252A">
            <w:pPr>
              <w:jc w:val="both"/>
            </w:pPr>
            <w:r w:rsidRPr="00AC795F">
              <w:t>модернизированы, дооснащены или переоснащены медицинским оборудованием существующие и</w:t>
            </w:r>
            <w:r w:rsidR="00576B04">
              <w:t xml:space="preserve"> </w:t>
            </w:r>
            <w:r w:rsidRPr="00AC795F">
              <w:t xml:space="preserve">(или) новые (организуемые) структурные подразделения медицинских организаций </w:t>
            </w:r>
            <w:r w:rsidRPr="00AC795F">
              <w:rPr>
                <w:color w:val="000000" w:themeColor="text1"/>
              </w:rPr>
              <w:t>Республики Татарстан</w:t>
            </w:r>
            <w:r w:rsidRPr="00AC795F">
              <w:t>, оказывающих медицинскую помощь с применением радиологических методов (диагностики и</w:t>
            </w:r>
            <w:r w:rsidR="00576B04">
              <w:t xml:space="preserve"> </w:t>
            </w:r>
            <w:r w:rsidRPr="00AC795F">
              <w:t>(или) терапии):</w:t>
            </w:r>
          </w:p>
          <w:p w:rsidR="000F252A" w:rsidRPr="00AC795F" w:rsidRDefault="000F252A" w:rsidP="000F252A">
            <w:pPr>
              <w:jc w:val="both"/>
            </w:pPr>
            <w:r w:rsidRPr="00AC795F">
              <w:t>2027 г. – 1 единица;</w:t>
            </w:r>
          </w:p>
          <w:p w:rsidR="000F252A" w:rsidRPr="00AC795F" w:rsidRDefault="000F252A" w:rsidP="000F252A">
            <w:pPr>
              <w:jc w:val="both"/>
            </w:pPr>
            <w:r w:rsidRPr="00AC795F">
              <w:t>2030 г. – 1 единица</w:t>
            </w:r>
          </w:p>
        </w:tc>
      </w:tr>
      <w:tr w:rsidR="000F252A" w:rsidRPr="009D3B11" w:rsidTr="00AC795F">
        <w:trPr>
          <w:trHeight w:val="20"/>
        </w:trPr>
        <w:tc>
          <w:tcPr>
            <w:tcW w:w="704" w:type="dxa"/>
            <w:shd w:val="clear" w:color="auto" w:fill="auto"/>
          </w:tcPr>
          <w:p w:rsidR="000F252A" w:rsidRPr="000F252A" w:rsidRDefault="000F252A" w:rsidP="00461C2C">
            <w:pPr>
              <w:jc w:val="center"/>
            </w:pPr>
            <w:r w:rsidRPr="000F252A">
              <w:t>5.1</w:t>
            </w:r>
            <w:r w:rsidR="00461C2C">
              <w:t>3</w:t>
            </w:r>
            <w:r w:rsidRPr="000F252A">
              <w:t>.</w:t>
            </w:r>
          </w:p>
        </w:tc>
        <w:tc>
          <w:tcPr>
            <w:tcW w:w="3686" w:type="dxa"/>
            <w:shd w:val="clear" w:color="auto" w:fill="auto"/>
          </w:tcPr>
          <w:p w:rsidR="000F252A" w:rsidRPr="000F252A" w:rsidRDefault="000F252A" w:rsidP="000F252A">
            <w:pPr>
              <w:jc w:val="both"/>
            </w:pPr>
            <w:r w:rsidRPr="000F252A">
              <w:t>Мониторинг количества радионуклидных исследований методом однофотонной эмиссионн</w:t>
            </w:r>
            <w:r w:rsidR="00461C2C">
              <w:t xml:space="preserve">ой компьютерной томографии, в том </w:t>
            </w:r>
            <w:r w:rsidRPr="000F252A">
              <w:t>ч</w:t>
            </w:r>
            <w:r w:rsidR="00461C2C">
              <w:t>исле</w:t>
            </w:r>
            <w:r w:rsidRPr="000F252A">
              <w:t xml:space="preserve"> с рентгеновской компьютерной томографией и другими сцинтиграфическими исследованиями (единиц исследований в год) по профилям «онкология», «кардиология», «неврология», «эндокринология» и иным профилям</w:t>
            </w:r>
          </w:p>
          <w:p w:rsidR="000F252A" w:rsidRPr="000F252A" w:rsidRDefault="000F252A" w:rsidP="000F252A">
            <w:pPr>
              <w:jc w:val="both"/>
            </w:pPr>
          </w:p>
        </w:tc>
        <w:tc>
          <w:tcPr>
            <w:tcW w:w="1474" w:type="dxa"/>
            <w:shd w:val="clear" w:color="auto" w:fill="auto"/>
          </w:tcPr>
          <w:p w:rsidR="000F252A" w:rsidRPr="000F252A" w:rsidRDefault="000F252A" w:rsidP="000F252A">
            <w:pPr>
              <w:jc w:val="center"/>
            </w:pPr>
            <w:r w:rsidRPr="000F252A">
              <w:t>09.01.2026</w:t>
            </w:r>
          </w:p>
        </w:tc>
        <w:tc>
          <w:tcPr>
            <w:tcW w:w="1418" w:type="dxa"/>
            <w:shd w:val="clear" w:color="auto" w:fill="auto"/>
          </w:tcPr>
          <w:p w:rsidR="000F252A" w:rsidRPr="000F252A" w:rsidRDefault="000F252A" w:rsidP="000F252A">
            <w:pPr>
              <w:jc w:val="center"/>
            </w:pPr>
            <w:r w:rsidRPr="000F252A">
              <w:t>31.12.2030</w:t>
            </w:r>
          </w:p>
        </w:tc>
        <w:tc>
          <w:tcPr>
            <w:tcW w:w="3912" w:type="dxa"/>
            <w:shd w:val="clear" w:color="auto" w:fill="auto"/>
          </w:tcPr>
          <w:p w:rsidR="000F252A" w:rsidRPr="000F252A" w:rsidRDefault="000F252A" w:rsidP="000F252A">
            <w:pPr>
              <w:jc w:val="both"/>
            </w:pPr>
            <w:r w:rsidRPr="000F252A">
              <w:t xml:space="preserve">главный врач ГАУЗ </w:t>
            </w:r>
            <w:r w:rsidRPr="000F252A">
              <w:rPr>
                <w:rFonts w:eastAsia="Arial"/>
              </w:rPr>
              <w:t>«РКОД МЗ РТ им.проф.М.З.Сигала»</w:t>
            </w:r>
            <w:r w:rsidRPr="000F252A">
              <w:t xml:space="preserve"> М.Ф.Мухамадеев, главный внештатный специалист-радиолог Министерства здравоохранения Республики Татарстан Л.Ф.Зиганшина</w:t>
            </w:r>
          </w:p>
        </w:tc>
        <w:tc>
          <w:tcPr>
            <w:tcW w:w="3969" w:type="dxa"/>
            <w:shd w:val="clear" w:color="auto" w:fill="auto"/>
          </w:tcPr>
          <w:p w:rsidR="000F252A" w:rsidRPr="00AC795F" w:rsidRDefault="000F252A" w:rsidP="000F252A">
            <w:pPr>
              <w:jc w:val="both"/>
            </w:pPr>
            <w:r w:rsidRPr="00AC795F">
              <w:t>количество радионуклидных исследований методом однофотонной эмиссионной компьютерной томографии, в том числе с рентгеновской компьютерной томографией и другими сцинтиграфическими исследованиями (единиц исследований в год):</w:t>
            </w:r>
          </w:p>
          <w:p w:rsidR="000F252A" w:rsidRPr="00AC795F" w:rsidRDefault="000F252A" w:rsidP="000F252A">
            <w:pPr>
              <w:jc w:val="both"/>
            </w:pPr>
            <w:r w:rsidRPr="00AC795F">
              <w:t>по профилю «онкология»:</w:t>
            </w:r>
          </w:p>
          <w:p w:rsidR="000F252A" w:rsidRPr="00AC795F" w:rsidRDefault="000F252A" w:rsidP="000F252A">
            <w:pPr>
              <w:jc w:val="both"/>
            </w:pPr>
            <w:r w:rsidRPr="00AC795F">
              <w:t>2026 г. – 8</w:t>
            </w:r>
            <w:r w:rsidR="00576B04">
              <w:t> </w:t>
            </w:r>
            <w:r w:rsidRPr="00AC795F">
              <w:t>746</w:t>
            </w:r>
            <w:r w:rsidR="00576B04">
              <w:t xml:space="preserve"> единиц</w:t>
            </w:r>
            <w:r w:rsidRPr="00AC795F">
              <w:t>;</w:t>
            </w:r>
          </w:p>
          <w:p w:rsidR="000F252A" w:rsidRPr="00AC795F" w:rsidRDefault="000F252A" w:rsidP="000F252A">
            <w:pPr>
              <w:jc w:val="both"/>
            </w:pPr>
            <w:r w:rsidRPr="00AC795F">
              <w:t>2027 г. – 9</w:t>
            </w:r>
            <w:r w:rsidR="00576B04">
              <w:t> </w:t>
            </w:r>
            <w:r w:rsidRPr="00AC795F">
              <w:t>020</w:t>
            </w:r>
            <w:r w:rsidR="00576B04">
              <w:t xml:space="preserve"> единиц</w:t>
            </w:r>
            <w:r w:rsidRPr="00AC795F">
              <w:t>;</w:t>
            </w:r>
          </w:p>
          <w:p w:rsidR="000F252A" w:rsidRPr="00AC795F" w:rsidRDefault="000F252A" w:rsidP="000F252A">
            <w:pPr>
              <w:jc w:val="both"/>
            </w:pPr>
            <w:r w:rsidRPr="00AC795F">
              <w:t>2028 г. – 9</w:t>
            </w:r>
            <w:r w:rsidR="00576B04">
              <w:t> </w:t>
            </w:r>
            <w:r w:rsidRPr="00AC795F">
              <w:t>293</w:t>
            </w:r>
            <w:r w:rsidR="00576B04">
              <w:t xml:space="preserve"> единицы</w:t>
            </w:r>
            <w:r w:rsidRPr="00AC795F">
              <w:t>;</w:t>
            </w:r>
          </w:p>
          <w:p w:rsidR="000F252A" w:rsidRPr="00AC795F" w:rsidRDefault="000F252A" w:rsidP="000F252A">
            <w:pPr>
              <w:jc w:val="both"/>
            </w:pPr>
            <w:r w:rsidRPr="00AC795F">
              <w:t>2029 г. – 9</w:t>
            </w:r>
            <w:r w:rsidR="00576B04">
              <w:t> </w:t>
            </w:r>
            <w:r w:rsidRPr="00AC795F">
              <w:t>566</w:t>
            </w:r>
            <w:r w:rsidR="00576B04">
              <w:t xml:space="preserve"> единиц</w:t>
            </w:r>
            <w:r w:rsidRPr="00AC795F">
              <w:t>;</w:t>
            </w:r>
          </w:p>
          <w:p w:rsidR="000F252A" w:rsidRPr="00AC795F" w:rsidRDefault="000F252A" w:rsidP="000F252A">
            <w:pPr>
              <w:jc w:val="both"/>
            </w:pPr>
            <w:r w:rsidRPr="00AC795F">
              <w:t>2030 г. – 9</w:t>
            </w:r>
            <w:r w:rsidR="00576B04">
              <w:t> </w:t>
            </w:r>
            <w:r w:rsidRPr="00AC795F">
              <w:t>566</w:t>
            </w:r>
            <w:r w:rsidR="00576B04">
              <w:t xml:space="preserve"> единиц</w:t>
            </w:r>
            <w:r w:rsidRPr="00AC795F">
              <w:t>;</w:t>
            </w:r>
          </w:p>
          <w:p w:rsidR="000F252A" w:rsidRPr="00AC795F" w:rsidRDefault="000F252A" w:rsidP="000F252A">
            <w:pPr>
              <w:jc w:val="both"/>
            </w:pPr>
            <w:r w:rsidRPr="00AC795F">
              <w:t>по профилю «кардиология»:</w:t>
            </w:r>
          </w:p>
          <w:p w:rsidR="000F252A" w:rsidRPr="00AC795F" w:rsidRDefault="000F252A" w:rsidP="000F252A">
            <w:pPr>
              <w:jc w:val="both"/>
            </w:pPr>
            <w:r w:rsidRPr="00AC795F">
              <w:t>2026 г. – 2</w:t>
            </w:r>
            <w:r w:rsidR="00576B04">
              <w:t> </w:t>
            </w:r>
            <w:r w:rsidRPr="00AC795F">
              <w:t>323</w:t>
            </w:r>
            <w:r w:rsidR="00576B04">
              <w:t xml:space="preserve"> единицы</w:t>
            </w:r>
            <w:r w:rsidRPr="00AC795F">
              <w:t>;</w:t>
            </w:r>
          </w:p>
          <w:p w:rsidR="000F252A" w:rsidRPr="00AC795F" w:rsidRDefault="000F252A" w:rsidP="000F252A">
            <w:pPr>
              <w:jc w:val="both"/>
            </w:pPr>
            <w:r w:rsidRPr="00AC795F">
              <w:t>2027 г. – 2</w:t>
            </w:r>
            <w:r w:rsidR="00576B04">
              <w:t> </w:t>
            </w:r>
            <w:r w:rsidRPr="00AC795F">
              <w:t>502</w:t>
            </w:r>
            <w:r w:rsidR="00576B04">
              <w:t xml:space="preserve"> единица</w:t>
            </w:r>
            <w:r w:rsidRPr="00AC795F">
              <w:t>;</w:t>
            </w:r>
          </w:p>
          <w:p w:rsidR="000F252A" w:rsidRPr="00AC795F" w:rsidRDefault="000F252A" w:rsidP="000F252A">
            <w:pPr>
              <w:jc w:val="both"/>
            </w:pPr>
            <w:r w:rsidRPr="00AC795F">
              <w:t>2028 г. – 2</w:t>
            </w:r>
            <w:r w:rsidR="00576B04">
              <w:t> </w:t>
            </w:r>
            <w:r w:rsidRPr="00AC795F">
              <w:t>681</w:t>
            </w:r>
            <w:r w:rsidR="00576B04">
              <w:t xml:space="preserve"> единица</w:t>
            </w:r>
            <w:r w:rsidRPr="00AC795F">
              <w:t>;</w:t>
            </w:r>
          </w:p>
          <w:p w:rsidR="000F252A" w:rsidRPr="00AC795F" w:rsidRDefault="000F252A" w:rsidP="000F252A">
            <w:pPr>
              <w:jc w:val="both"/>
            </w:pPr>
            <w:r w:rsidRPr="00AC795F">
              <w:t>2029 г. – 2</w:t>
            </w:r>
            <w:r w:rsidR="00576B04">
              <w:t> </w:t>
            </w:r>
            <w:r w:rsidRPr="00AC795F">
              <w:t>861</w:t>
            </w:r>
            <w:r w:rsidR="00576B04">
              <w:t xml:space="preserve"> единица</w:t>
            </w:r>
            <w:r w:rsidRPr="00AC795F">
              <w:t>;</w:t>
            </w:r>
          </w:p>
          <w:p w:rsidR="000F252A" w:rsidRPr="00AC795F" w:rsidRDefault="000F252A" w:rsidP="000F252A">
            <w:pPr>
              <w:jc w:val="both"/>
            </w:pPr>
            <w:r w:rsidRPr="00AC795F">
              <w:t>2030 г. – 3</w:t>
            </w:r>
            <w:r w:rsidR="00576B04">
              <w:t> </w:t>
            </w:r>
            <w:r w:rsidRPr="00AC795F">
              <w:t>040</w:t>
            </w:r>
            <w:r w:rsidR="00576B04">
              <w:t xml:space="preserve"> единиц</w:t>
            </w:r>
            <w:r w:rsidRPr="00AC795F">
              <w:t>;</w:t>
            </w:r>
          </w:p>
          <w:p w:rsidR="000F252A" w:rsidRPr="00AC795F" w:rsidRDefault="000F252A" w:rsidP="000F252A">
            <w:pPr>
              <w:jc w:val="both"/>
            </w:pPr>
            <w:r w:rsidRPr="00AC795F">
              <w:t>по профилю «неврология»:</w:t>
            </w:r>
          </w:p>
          <w:p w:rsidR="000F252A" w:rsidRPr="00AC795F" w:rsidRDefault="000F252A" w:rsidP="000F252A">
            <w:pPr>
              <w:jc w:val="both"/>
            </w:pPr>
            <w:r w:rsidRPr="00AC795F">
              <w:t>2026 г. – 3</w:t>
            </w:r>
            <w:r w:rsidR="00576B04">
              <w:t xml:space="preserve"> единицы</w:t>
            </w:r>
            <w:r w:rsidRPr="00AC795F">
              <w:t>;</w:t>
            </w:r>
          </w:p>
          <w:p w:rsidR="000F252A" w:rsidRPr="00AC795F" w:rsidRDefault="000F252A" w:rsidP="000F252A">
            <w:pPr>
              <w:jc w:val="both"/>
            </w:pPr>
            <w:r w:rsidRPr="00AC795F">
              <w:t>2027 г. – 4</w:t>
            </w:r>
            <w:r w:rsidR="00576B04">
              <w:t xml:space="preserve"> единицы</w:t>
            </w:r>
            <w:r w:rsidRPr="00AC795F">
              <w:t>;</w:t>
            </w:r>
          </w:p>
          <w:p w:rsidR="000F252A" w:rsidRPr="00AC795F" w:rsidRDefault="000F252A" w:rsidP="000F252A">
            <w:pPr>
              <w:jc w:val="both"/>
            </w:pPr>
            <w:r w:rsidRPr="00AC795F">
              <w:t>2028 г. – 5</w:t>
            </w:r>
            <w:r w:rsidR="00576B04">
              <w:t xml:space="preserve"> единиц</w:t>
            </w:r>
            <w:r w:rsidRPr="00AC795F">
              <w:t>;</w:t>
            </w:r>
          </w:p>
          <w:p w:rsidR="000F252A" w:rsidRPr="00AC795F" w:rsidRDefault="000F252A" w:rsidP="000F252A">
            <w:pPr>
              <w:jc w:val="both"/>
            </w:pPr>
            <w:r w:rsidRPr="00AC795F">
              <w:t>2029 г. – 6</w:t>
            </w:r>
            <w:r w:rsidR="00576B04">
              <w:t xml:space="preserve"> единиц</w:t>
            </w:r>
            <w:r w:rsidRPr="00AC795F">
              <w:t>;</w:t>
            </w:r>
          </w:p>
          <w:p w:rsidR="000F252A" w:rsidRPr="00AC795F" w:rsidRDefault="000F252A" w:rsidP="000F252A">
            <w:pPr>
              <w:jc w:val="both"/>
            </w:pPr>
            <w:r w:rsidRPr="00AC795F">
              <w:t>2030 г. – 8</w:t>
            </w:r>
            <w:r w:rsidR="00576B04">
              <w:t xml:space="preserve"> единиц</w:t>
            </w:r>
            <w:r w:rsidRPr="00AC795F">
              <w:t>;</w:t>
            </w:r>
          </w:p>
          <w:p w:rsidR="000F252A" w:rsidRPr="00AC795F" w:rsidRDefault="000F252A" w:rsidP="000F252A">
            <w:pPr>
              <w:jc w:val="both"/>
            </w:pPr>
            <w:r w:rsidRPr="00AC795F">
              <w:t>по профилю «эдокринология»:</w:t>
            </w:r>
          </w:p>
          <w:p w:rsidR="000F252A" w:rsidRPr="00AC795F" w:rsidRDefault="000F252A" w:rsidP="000F252A">
            <w:pPr>
              <w:jc w:val="both"/>
            </w:pPr>
            <w:r w:rsidRPr="00AC795F">
              <w:t>2026 г. – 1</w:t>
            </w:r>
            <w:r w:rsidR="00576B04">
              <w:t> </w:t>
            </w:r>
            <w:r w:rsidRPr="00AC795F">
              <w:t>202</w:t>
            </w:r>
            <w:r w:rsidR="00576B04">
              <w:t xml:space="preserve"> единицы</w:t>
            </w:r>
            <w:r w:rsidRPr="00AC795F">
              <w:t>;</w:t>
            </w:r>
          </w:p>
          <w:p w:rsidR="000F252A" w:rsidRPr="00AC795F" w:rsidRDefault="000F252A" w:rsidP="000F252A">
            <w:pPr>
              <w:jc w:val="both"/>
            </w:pPr>
            <w:r w:rsidRPr="00AC795F">
              <w:t>2027 г. – 1</w:t>
            </w:r>
            <w:r w:rsidR="00576B04">
              <w:t> </w:t>
            </w:r>
            <w:r w:rsidRPr="00AC795F">
              <w:t>230</w:t>
            </w:r>
            <w:r w:rsidR="00576B04">
              <w:t xml:space="preserve"> единиц</w:t>
            </w:r>
            <w:r w:rsidRPr="00AC795F">
              <w:t>;</w:t>
            </w:r>
          </w:p>
          <w:p w:rsidR="000F252A" w:rsidRPr="00AC795F" w:rsidRDefault="000F252A" w:rsidP="000F252A">
            <w:pPr>
              <w:jc w:val="both"/>
            </w:pPr>
            <w:r w:rsidRPr="00AC795F">
              <w:t>2028 г. – 1</w:t>
            </w:r>
            <w:r w:rsidR="00576B04">
              <w:t> </w:t>
            </w:r>
            <w:r w:rsidRPr="00AC795F">
              <w:t>257</w:t>
            </w:r>
            <w:r w:rsidR="00576B04">
              <w:t xml:space="preserve"> единиц</w:t>
            </w:r>
            <w:r w:rsidRPr="00AC795F">
              <w:t>;</w:t>
            </w:r>
          </w:p>
          <w:p w:rsidR="000F252A" w:rsidRPr="00AC795F" w:rsidRDefault="000F252A" w:rsidP="000F252A">
            <w:pPr>
              <w:jc w:val="both"/>
            </w:pPr>
            <w:r w:rsidRPr="00AC795F">
              <w:t>2029 г. – 1</w:t>
            </w:r>
            <w:r w:rsidR="00576B04">
              <w:t> </w:t>
            </w:r>
            <w:r w:rsidRPr="00AC795F">
              <w:t>284</w:t>
            </w:r>
            <w:r w:rsidR="00576B04">
              <w:t xml:space="preserve"> единицы</w:t>
            </w:r>
            <w:r w:rsidRPr="00AC795F">
              <w:t>;</w:t>
            </w:r>
          </w:p>
          <w:p w:rsidR="000F252A" w:rsidRPr="00AC795F" w:rsidRDefault="000F252A" w:rsidP="000F252A">
            <w:pPr>
              <w:jc w:val="both"/>
            </w:pPr>
            <w:r w:rsidRPr="00AC795F">
              <w:t>2030 г. – 1</w:t>
            </w:r>
            <w:r w:rsidR="00576B04">
              <w:t> </w:t>
            </w:r>
            <w:r w:rsidRPr="00AC795F">
              <w:t>312</w:t>
            </w:r>
            <w:r w:rsidR="00576B04">
              <w:t xml:space="preserve"> единиц</w:t>
            </w:r>
            <w:r w:rsidRPr="00AC795F">
              <w:t>;</w:t>
            </w:r>
          </w:p>
          <w:p w:rsidR="000F252A" w:rsidRPr="00AC795F" w:rsidRDefault="000F252A" w:rsidP="000F252A">
            <w:pPr>
              <w:jc w:val="both"/>
            </w:pPr>
            <w:r w:rsidRPr="00AC795F">
              <w:t>по иным профилям:</w:t>
            </w:r>
          </w:p>
          <w:p w:rsidR="000F252A" w:rsidRPr="00AC795F" w:rsidRDefault="000F252A" w:rsidP="000F252A">
            <w:pPr>
              <w:jc w:val="both"/>
            </w:pPr>
            <w:r w:rsidRPr="00AC795F">
              <w:t>2026 г. – 2</w:t>
            </w:r>
            <w:r w:rsidR="00576B04">
              <w:t> </w:t>
            </w:r>
            <w:r w:rsidRPr="00AC795F">
              <w:t>648</w:t>
            </w:r>
            <w:r w:rsidR="00576B04">
              <w:t xml:space="preserve"> единиц</w:t>
            </w:r>
            <w:r w:rsidRPr="00AC795F">
              <w:t>;</w:t>
            </w:r>
          </w:p>
          <w:p w:rsidR="000F252A" w:rsidRPr="00AC795F" w:rsidRDefault="000F252A" w:rsidP="000F252A">
            <w:pPr>
              <w:jc w:val="both"/>
            </w:pPr>
            <w:r w:rsidRPr="00AC795F">
              <w:t>2027 г. – 2</w:t>
            </w:r>
            <w:r w:rsidR="00576B04">
              <w:t> </w:t>
            </w:r>
            <w:r w:rsidRPr="00AC795F">
              <w:t>715</w:t>
            </w:r>
            <w:r w:rsidR="00576B04">
              <w:t xml:space="preserve"> единиц</w:t>
            </w:r>
            <w:r w:rsidRPr="00AC795F">
              <w:t>;</w:t>
            </w:r>
          </w:p>
          <w:p w:rsidR="000F252A" w:rsidRPr="00AC795F" w:rsidRDefault="000F252A" w:rsidP="000F252A">
            <w:pPr>
              <w:jc w:val="both"/>
            </w:pPr>
            <w:r w:rsidRPr="00AC795F">
              <w:t>2028 г. – 2</w:t>
            </w:r>
            <w:r w:rsidR="00576B04">
              <w:t> </w:t>
            </w:r>
            <w:r w:rsidRPr="00AC795F">
              <w:t>782</w:t>
            </w:r>
            <w:r w:rsidR="00576B04">
              <w:t xml:space="preserve"> единицы</w:t>
            </w:r>
            <w:r w:rsidRPr="00AC795F">
              <w:t>;</w:t>
            </w:r>
          </w:p>
          <w:p w:rsidR="000F252A" w:rsidRPr="00AC795F" w:rsidRDefault="000F252A" w:rsidP="000F252A">
            <w:pPr>
              <w:jc w:val="both"/>
            </w:pPr>
            <w:r w:rsidRPr="00AC795F">
              <w:t>2029 г. – 2</w:t>
            </w:r>
            <w:r w:rsidR="00576B04">
              <w:t> </w:t>
            </w:r>
            <w:r w:rsidRPr="00AC795F">
              <w:t>852</w:t>
            </w:r>
            <w:r w:rsidR="00576B04">
              <w:t xml:space="preserve"> единицы</w:t>
            </w:r>
            <w:r w:rsidRPr="00AC795F">
              <w:t>;</w:t>
            </w:r>
          </w:p>
          <w:p w:rsidR="000F252A" w:rsidRPr="00AC795F" w:rsidRDefault="000F252A" w:rsidP="000F252A">
            <w:pPr>
              <w:jc w:val="both"/>
            </w:pPr>
            <w:r w:rsidRPr="00AC795F">
              <w:t>2030 г. – 2</w:t>
            </w:r>
            <w:r w:rsidR="00576B04">
              <w:t> </w:t>
            </w:r>
            <w:r w:rsidRPr="00AC795F">
              <w:t>923</w:t>
            </w:r>
            <w:r w:rsidR="00576B04">
              <w:t xml:space="preserve"> единицы</w:t>
            </w:r>
          </w:p>
        </w:tc>
      </w:tr>
      <w:tr w:rsidR="000F252A" w:rsidRPr="009D3B11" w:rsidTr="00AC795F">
        <w:trPr>
          <w:trHeight w:val="20"/>
        </w:trPr>
        <w:tc>
          <w:tcPr>
            <w:tcW w:w="704" w:type="dxa"/>
            <w:shd w:val="clear" w:color="auto" w:fill="auto"/>
          </w:tcPr>
          <w:p w:rsidR="000F252A" w:rsidRPr="000F252A" w:rsidRDefault="000F252A" w:rsidP="00461C2C">
            <w:pPr>
              <w:jc w:val="center"/>
            </w:pPr>
            <w:r w:rsidRPr="000F252A">
              <w:t>5.1</w:t>
            </w:r>
            <w:r w:rsidR="00461C2C">
              <w:t>4</w:t>
            </w:r>
            <w:r w:rsidRPr="000F252A">
              <w:t>.</w:t>
            </w:r>
          </w:p>
        </w:tc>
        <w:tc>
          <w:tcPr>
            <w:tcW w:w="3686" w:type="dxa"/>
            <w:shd w:val="clear" w:color="auto" w:fill="auto"/>
          </w:tcPr>
          <w:p w:rsidR="000F252A" w:rsidRPr="000F252A" w:rsidRDefault="000F252A" w:rsidP="00461C2C">
            <w:pPr>
              <w:jc w:val="both"/>
            </w:pPr>
            <w:r w:rsidRPr="000F252A">
              <w:t>Мониторинг количества радионуклидных исследований методом позитро</w:t>
            </w:r>
            <w:r w:rsidR="00461C2C">
              <w:t xml:space="preserve">нно-эмиссионной томографии, в том </w:t>
            </w:r>
            <w:r w:rsidRPr="000F252A">
              <w:t>ч</w:t>
            </w:r>
            <w:r w:rsidR="00461C2C">
              <w:t>исле</w:t>
            </w:r>
            <w:r w:rsidRPr="000F252A">
              <w:t xml:space="preserve"> с рентгеновской компьютерной томографией (единиц исследований в год) по профилям «онкология», «кардиология», «неврология», «эндокринология» и иным профилям</w:t>
            </w:r>
          </w:p>
        </w:tc>
        <w:tc>
          <w:tcPr>
            <w:tcW w:w="1474" w:type="dxa"/>
            <w:shd w:val="clear" w:color="auto" w:fill="auto"/>
          </w:tcPr>
          <w:p w:rsidR="000F252A" w:rsidRPr="000F252A" w:rsidRDefault="000F252A" w:rsidP="000F252A">
            <w:pPr>
              <w:jc w:val="center"/>
            </w:pPr>
            <w:r w:rsidRPr="000F252A">
              <w:t>09.01.2026</w:t>
            </w:r>
          </w:p>
        </w:tc>
        <w:tc>
          <w:tcPr>
            <w:tcW w:w="1418" w:type="dxa"/>
            <w:shd w:val="clear" w:color="auto" w:fill="auto"/>
          </w:tcPr>
          <w:p w:rsidR="000F252A" w:rsidRPr="000F252A" w:rsidRDefault="000F252A" w:rsidP="000F252A">
            <w:pPr>
              <w:jc w:val="center"/>
            </w:pPr>
            <w:r w:rsidRPr="000F252A">
              <w:t>31.12.2030</w:t>
            </w:r>
          </w:p>
        </w:tc>
        <w:tc>
          <w:tcPr>
            <w:tcW w:w="3912" w:type="dxa"/>
            <w:shd w:val="clear" w:color="auto" w:fill="auto"/>
          </w:tcPr>
          <w:p w:rsidR="000F252A" w:rsidRPr="000F252A" w:rsidRDefault="000F252A" w:rsidP="000F252A">
            <w:pPr>
              <w:jc w:val="both"/>
            </w:pPr>
            <w:r w:rsidRPr="000F252A">
              <w:t xml:space="preserve">главный врач ГАУЗ </w:t>
            </w:r>
            <w:r w:rsidRPr="000F252A">
              <w:rPr>
                <w:rFonts w:eastAsia="Arial"/>
              </w:rPr>
              <w:t>«РКОД МЗ РТ им.проф.М.З.Сигала»</w:t>
            </w:r>
            <w:r w:rsidRPr="000F252A">
              <w:t xml:space="preserve"> М.Ф.Мухамадеев, главный внештатный специалист-радиолог Министерства здравоохранения Республики Татарстан Л.Ф.Зиганшина</w:t>
            </w:r>
          </w:p>
        </w:tc>
        <w:tc>
          <w:tcPr>
            <w:tcW w:w="3969" w:type="dxa"/>
            <w:shd w:val="clear" w:color="auto" w:fill="auto"/>
          </w:tcPr>
          <w:p w:rsidR="000F252A" w:rsidRPr="00AC795F" w:rsidRDefault="000F252A" w:rsidP="000F252A">
            <w:pPr>
              <w:jc w:val="both"/>
            </w:pPr>
            <w:r w:rsidRPr="00AC795F">
              <w:t xml:space="preserve">количество радионуклидных исследований методом позитронно-эмиссионной томографии, в том числе с рентгеновской компьютерной томографией (единиц исследований в год): </w:t>
            </w:r>
          </w:p>
          <w:p w:rsidR="000F252A" w:rsidRPr="00AC795F" w:rsidRDefault="000F252A" w:rsidP="000F252A">
            <w:pPr>
              <w:jc w:val="both"/>
            </w:pPr>
            <w:r w:rsidRPr="00AC795F">
              <w:t>по профилю «онкология»:</w:t>
            </w:r>
          </w:p>
          <w:p w:rsidR="000F252A" w:rsidRPr="00AC795F" w:rsidRDefault="000F252A" w:rsidP="000F252A">
            <w:pPr>
              <w:jc w:val="both"/>
            </w:pPr>
            <w:r w:rsidRPr="00AC795F">
              <w:t>2026 г. – 7</w:t>
            </w:r>
            <w:r w:rsidR="00461C2C">
              <w:t> </w:t>
            </w:r>
            <w:r w:rsidRPr="00AC795F">
              <w:t>719</w:t>
            </w:r>
            <w:r w:rsidR="00461C2C">
              <w:t xml:space="preserve"> единиц</w:t>
            </w:r>
            <w:r w:rsidRPr="00AC795F">
              <w:t xml:space="preserve">; </w:t>
            </w:r>
          </w:p>
          <w:p w:rsidR="000F252A" w:rsidRPr="00AC795F" w:rsidRDefault="000F252A" w:rsidP="000F252A">
            <w:pPr>
              <w:jc w:val="both"/>
            </w:pPr>
            <w:r w:rsidRPr="00AC795F">
              <w:t>2027 г. – 7</w:t>
            </w:r>
            <w:r w:rsidR="00461C2C">
              <w:t> </w:t>
            </w:r>
            <w:r w:rsidRPr="00AC795F">
              <w:t>912</w:t>
            </w:r>
            <w:r w:rsidR="00461C2C">
              <w:t xml:space="preserve"> единиц</w:t>
            </w:r>
            <w:r w:rsidRPr="00AC795F">
              <w:t xml:space="preserve">; </w:t>
            </w:r>
          </w:p>
          <w:p w:rsidR="000F252A" w:rsidRPr="00AC795F" w:rsidRDefault="000F252A" w:rsidP="000F252A">
            <w:pPr>
              <w:jc w:val="both"/>
            </w:pPr>
            <w:r w:rsidRPr="00AC795F">
              <w:t>2028 г. – 8</w:t>
            </w:r>
            <w:r w:rsidR="00461C2C">
              <w:t> </w:t>
            </w:r>
            <w:r w:rsidRPr="00AC795F">
              <w:t>110</w:t>
            </w:r>
            <w:r w:rsidR="00461C2C">
              <w:t xml:space="preserve"> единиц</w:t>
            </w:r>
            <w:r w:rsidRPr="00AC795F">
              <w:t xml:space="preserve">; </w:t>
            </w:r>
          </w:p>
          <w:p w:rsidR="000F252A" w:rsidRPr="00AC795F" w:rsidRDefault="000F252A" w:rsidP="000F252A">
            <w:pPr>
              <w:jc w:val="both"/>
            </w:pPr>
            <w:r w:rsidRPr="00AC795F">
              <w:t>2029 г. – 8</w:t>
            </w:r>
            <w:r w:rsidR="00461C2C">
              <w:t> </w:t>
            </w:r>
            <w:r w:rsidRPr="00AC795F">
              <w:t>313</w:t>
            </w:r>
            <w:r w:rsidR="00461C2C">
              <w:t xml:space="preserve"> единиц</w:t>
            </w:r>
            <w:r w:rsidRPr="00AC795F">
              <w:t>;</w:t>
            </w:r>
          </w:p>
          <w:p w:rsidR="000F252A" w:rsidRPr="00AC795F" w:rsidRDefault="000F252A" w:rsidP="000F252A">
            <w:pPr>
              <w:jc w:val="both"/>
            </w:pPr>
            <w:r w:rsidRPr="00AC795F">
              <w:t>2030 г. – 8</w:t>
            </w:r>
            <w:r w:rsidR="00461C2C">
              <w:t> </w:t>
            </w:r>
            <w:r w:rsidRPr="00AC795F">
              <w:t>521</w:t>
            </w:r>
            <w:r w:rsidR="00461C2C">
              <w:t xml:space="preserve"> единица</w:t>
            </w:r>
            <w:r w:rsidRPr="00AC795F">
              <w:t>;</w:t>
            </w:r>
          </w:p>
          <w:p w:rsidR="000F252A" w:rsidRPr="00AC795F" w:rsidRDefault="000F252A" w:rsidP="000F252A">
            <w:pPr>
              <w:jc w:val="both"/>
            </w:pPr>
            <w:r w:rsidRPr="00AC795F">
              <w:t xml:space="preserve">по профилю «кардиология»: </w:t>
            </w:r>
          </w:p>
          <w:p w:rsidR="000F252A" w:rsidRPr="00AC795F" w:rsidRDefault="000F252A" w:rsidP="000F252A">
            <w:pPr>
              <w:jc w:val="both"/>
            </w:pPr>
            <w:r w:rsidRPr="00AC795F">
              <w:t>2026 г. – 32</w:t>
            </w:r>
            <w:r w:rsidR="00461C2C">
              <w:t xml:space="preserve"> единицы</w:t>
            </w:r>
            <w:r w:rsidRPr="00AC795F">
              <w:t>;</w:t>
            </w:r>
          </w:p>
          <w:p w:rsidR="000F252A" w:rsidRPr="00AC795F" w:rsidRDefault="000F252A" w:rsidP="000F252A">
            <w:pPr>
              <w:jc w:val="both"/>
            </w:pPr>
            <w:r w:rsidRPr="00AC795F">
              <w:t>2027 г. – 50</w:t>
            </w:r>
            <w:r w:rsidR="00461C2C">
              <w:t xml:space="preserve"> единиц</w:t>
            </w:r>
            <w:r w:rsidRPr="00AC795F">
              <w:t>;</w:t>
            </w:r>
          </w:p>
          <w:p w:rsidR="000F252A" w:rsidRPr="00AC795F" w:rsidRDefault="000F252A" w:rsidP="000F252A">
            <w:pPr>
              <w:jc w:val="both"/>
            </w:pPr>
            <w:r w:rsidRPr="00AC795F">
              <w:t>2028 г. – 68</w:t>
            </w:r>
            <w:r w:rsidR="00461C2C">
              <w:t xml:space="preserve"> единиц</w:t>
            </w:r>
            <w:r w:rsidRPr="00AC795F">
              <w:t>;</w:t>
            </w:r>
          </w:p>
          <w:p w:rsidR="000F252A" w:rsidRPr="00AC795F" w:rsidRDefault="000F252A" w:rsidP="000F252A">
            <w:pPr>
              <w:jc w:val="both"/>
            </w:pPr>
            <w:r w:rsidRPr="00AC795F">
              <w:t>2029 г. – 86</w:t>
            </w:r>
            <w:r w:rsidR="00461C2C">
              <w:t xml:space="preserve"> единиц</w:t>
            </w:r>
            <w:r w:rsidRPr="00AC795F">
              <w:t>;</w:t>
            </w:r>
          </w:p>
          <w:p w:rsidR="000F252A" w:rsidRPr="00AC795F" w:rsidRDefault="000F252A" w:rsidP="000F252A">
            <w:pPr>
              <w:jc w:val="both"/>
            </w:pPr>
            <w:r w:rsidRPr="00AC795F">
              <w:t>2030 г. – 104</w:t>
            </w:r>
            <w:r w:rsidR="00461C2C">
              <w:t xml:space="preserve"> единицы</w:t>
            </w:r>
            <w:r w:rsidRPr="00AC795F">
              <w:t>;</w:t>
            </w:r>
          </w:p>
          <w:p w:rsidR="000F252A" w:rsidRPr="00AC795F" w:rsidRDefault="000F252A" w:rsidP="000F252A">
            <w:pPr>
              <w:jc w:val="both"/>
            </w:pPr>
            <w:r w:rsidRPr="00AC795F">
              <w:t>по профилю «неврология»:</w:t>
            </w:r>
          </w:p>
          <w:p w:rsidR="000F252A" w:rsidRPr="00AC795F" w:rsidRDefault="000F252A" w:rsidP="000F252A">
            <w:pPr>
              <w:jc w:val="both"/>
            </w:pPr>
            <w:r w:rsidRPr="00AC795F">
              <w:t>2026 г.– 69</w:t>
            </w:r>
            <w:r w:rsidR="00461C2C">
              <w:t xml:space="preserve"> единиц</w:t>
            </w:r>
            <w:r w:rsidRPr="00AC795F">
              <w:t>;</w:t>
            </w:r>
          </w:p>
          <w:p w:rsidR="000F252A" w:rsidRPr="00AC795F" w:rsidRDefault="000F252A" w:rsidP="000F252A">
            <w:pPr>
              <w:jc w:val="both"/>
            </w:pPr>
            <w:r w:rsidRPr="00AC795F">
              <w:t>2027 г.– 79</w:t>
            </w:r>
            <w:r w:rsidR="00461C2C">
              <w:t xml:space="preserve"> единиц</w:t>
            </w:r>
            <w:r w:rsidRPr="00AC795F">
              <w:t>;</w:t>
            </w:r>
          </w:p>
          <w:p w:rsidR="000F252A" w:rsidRPr="00AC795F" w:rsidRDefault="000F252A" w:rsidP="000F252A">
            <w:pPr>
              <w:jc w:val="both"/>
            </w:pPr>
            <w:r w:rsidRPr="00AC795F">
              <w:t>2028 г.– 95</w:t>
            </w:r>
            <w:r w:rsidR="00461C2C">
              <w:t xml:space="preserve"> единиц</w:t>
            </w:r>
            <w:r w:rsidRPr="00AC795F">
              <w:t>;</w:t>
            </w:r>
          </w:p>
          <w:p w:rsidR="000F252A" w:rsidRPr="00AC795F" w:rsidRDefault="000F252A" w:rsidP="000F252A">
            <w:pPr>
              <w:jc w:val="both"/>
            </w:pPr>
            <w:r w:rsidRPr="00AC795F">
              <w:t>2029 г.– 118</w:t>
            </w:r>
            <w:r w:rsidR="00461C2C">
              <w:t xml:space="preserve"> единиц</w:t>
            </w:r>
            <w:r w:rsidRPr="00AC795F">
              <w:t>;</w:t>
            </w:r>
          </w:p>
          <w:p w:rsidR="000F252A" w:rsidRPr="00AC795F" w:rsidRDefault="000F252A" w:rsidP="000F252A">
            <w:pPr>
              <w:jc w:val="both"/>
            </w:pPr>
            <w:r w:rsidRPr="00AC795F">
              <w:t>2030 г.– 154</w:t>
            </w:r>
            <w:r w:rsidR="00461C2C">
              <w:t xml:space="preserve"> единицы</w:t>
            </w:r>
            <w:r w:rsidRPr="00AC795F">
              <w:t>;</w:t>
            </w:r>
          </w:p>
          <w:p w:rsidR="000F252A" w:rsidRPr="00AC795F" w:rsidRDefault="000F252A" w:rsidP="000F252A">
            <w:pPr>
              <w:jc w:val="both"/>
            </w:pPr>
            <w:r w:rsidRPr="00AC795F">
              <w:t>по профилю «эндокринология»:</w:t>
            </w:r>
          </w:p>
          <w:p w:rsidR="000F252A" w:rsidRPr="00AC795F" w:rsidRDefault="000F252A" w:rsidP="000F252A">
            <w:pPr>
              <w:jc w:val="both"/>
            </w:pPr>
            <w:r w:rsidRPr="00AC795F">
              <w:t>2026 г.– 33</w:t>
            </w:r>
            <w:r w:rsidR="00461C2C">
              <w:t xml:space="preserve"> единицы</w:t>
            </w:r>
            <w:r w:rsidRPr="00AC795F">
              <w:t>;</w:t>
            </w:r>
          </w:p>
          <w:p w:rsidR="000F252A" w:rsidRPr="00AC795F" w:rsidRDefault="000F252A" w:rsidP="000F252A">
            <w:pPr>
              <w:jc w:val="both"/>
            </w:pPr>
            <w:r w:rsidRPr="00AC795F">
              <w:t>2027 г.– 37</w:t>
            </w:r>
            <w:r w:rsidR="00461C2C">
              <w:t xml:space="preserve"> единиц</w:t>
            </w:r>
            <w:r w:rsidRPr="00AC795F">
              <w:t>;</w:t>
            </w:r>
          </w:p>
          <w:p w:rsidR="000F252A" w:rsidRPr="00AC795F" w:rsidRDefault="000F252A" w:rsidP="000F252A">
            <w:pPr>
              <w:jc w:val="both"/>
            </w:pPr>
            <w:r w:rsidRPr="00AC795F">
              <w:t>2028 г.– 41</w:t>
            </w:r>
            <w:r w:rsidR="00461C2C">
              <w:t xml:space="preserve"> единица</w:t>
            </w:r>
            <w:r w:rsidRPr="00AC795F">
              <w:t>;</w:t>
            </w:r>
          </w:p>
          <w:p w:rsidR="000F252A" w:rsidRPr="00AC795F" w:rsidRDefault="000F252A" w:rsidP="000F252A">
            <w:pPr>
              <w:jc w:val="both"/>
            </w:pPr>
            <w:r w:rsidRPr="00AC795F">
              <w:t>2029 г.– 48</w:t>
            </w:r>
            <w:r w:rsidR="00461C2C">
              <w:t xml:space="preserve"> единиц</w:t>
            </w:r>
            <w:r w:rsidRPr="00AC795F">
              <w:t>;</w:t>
            </w:r>
          </w:p>
          <w:p w:rsidR="000F252A" w:rsidRPr="00AC795F" w:rsidRDefault="000F252A" w:rsidP="000F252A">
            <w:pPr>
              <w:jc w:val="both"/>
            </w:pPr>
            <w:r w:rsidRPr="00AC795F">
              <w:t>2030 г.год – 55</w:t>
            </w:r>
            <w:r w:rsidR="00461C2C">
              <w:t xml:space="preserve"> единиц</w:t>
            </w:r>
            <w:r w:rsidRPr="00AC795F">
              <w:t>;</w:t>
            </w:r>
          </w:p>
          <w:p w:rsidR="000F252A" w:rsidRPr="00AC795F" w:rsidRDefault="000F252A" w:rsidP="000F252A">
            <w:pPr>
              <w:jc w:val="both"/>
            </w:pPr>
            <w:r w:rsidRPr="00AC795F">
              <w:t>по иным профилям:</w:t>
            </w:r>
          </w:p>
          <w:p w:rsidR="000F252A" w:rsidRPr="00AC795F" w:rsidRDefault="000F252A" w:rsidP="000F252A">
            <w:pPr>
              <w:jc w:val="both"/>
            </w:pPr>
            <w:r w:rsidRPr="00AC795F">
              <w:t>2026 г.– 266</w:t>
            </w:r>
            <w:r w:rsidR="00461C2C">
              <w:t xml:space="preserve"> единиц</w:t>
            </w:r>
            <w:r w:rsidRPr="00AC795F">
              <w:t>;</w:t>
            </w:r>
          </w:p>
          <w:p w:rsidR="000F252A" w:rsidRPr="00AC795F" w:rsidRDefault="000F252A" w:rsidP="000F252A">
            <w:pPr>
              <w:jc w:val="both"/>
            </w:pPr>
            <w:r w:rsidRPr="00AC795F">
              <w:t>2027 г.– 273</w:t>
            </w:r>
            <w:r w:rsidR="00461C2C">
              <w:t xml:space="preserve"> единицы</w:t>
            </w:r>
            <w:r w:rsidRPr="00AC795F">
              <w:t>;</w:t>
            </w:r>
          </w:p>
          <w:p w:rsidR="000F252A" w:rsidRPr="00AC795F" w:rsidRDefault="000F252A" w:rsidP="000F252A">
            <w:pPr>
              <w:jc w:val="both"/>
            </w:pPr>
            <w:r w:rsidRPr="00AC795F">
              <w:t>2028 г.– 280</w:t>
            </w:r>
            <w:r w:rsidR="00461C2C">
              <w:t xml:space="preserve"> единиц</w:t>
            </w:r>
            <w:r w:rsidRPr="00AC795F">
              <w:t>;</w:t>
            </w:r>
          </w:p>
          <w:p w:rsidR="000F252A" w:rsidRPr="00AC795F" w:rsidRDefault="000F252A" w:rsidP="000F252A">
            <w:pPr>
              <w:jc w:val="both"/>
            </w:pPr>
            <w:r w:rsidRPr="00AC795F">
              <w:t>2029 г.– 287</w:t>
            </w:r>
            <w:r w:rsidR="00461C2C">
              <w:t xml:space="preserve"> единиц</w:t>
            </w:r>
            <w:r w:rsidRPr="00AC795F">
              <w:t>;</w:t>
            </w:r>
          </w:p>
          <w:p w:rsidR="000F252A" w:rsidRPr="00AC795F" w:rsidRDefault="000F252A" w:rsidP="000F252A">
            <w:pPr>
              <w:jc w:val="both"/>
            </w:pPr>
            <w:r w:rsidRPr="00AC795F">
              <w:t>2030 г.– 294</w:t>
            </w:r>
            <w:r w:rsidR="00461C2C">
              <w:t xml:space="preserve"> единицы</w:t>
            </w:r>
          </w:p>
        </w:tc>
      </w:tr>
      <w:tr w:rsidR="000F252A" w:rsidRPr="009D3B11" w:rsidTr="00AC795F">
        <w:trPr>
          <w:trHeight w:val="20"/>
        </w:trPr>
        <w:tc>
          <w:tcPr>
            <w:tcW w:w="704" w:type="dxa"/>
            <w:shd w:val="clear" w:color="auto" w:fill="auto"/>
          </w:tcPr>
          <w:p w:rsidR="000F252A" w:rsidRPr="000F252A" w:rsidRDefault="000F252A" w:rsidP="00461C2C">
            <w:pPr>
              <w:jc w:val="center"/>
            </w:pPr>
            <w:r w:rsidRPr="000F252A">
              <w:t>5.1</w:t>
            </w:r>
            <w:r w:rsidR="00461C2C">
              <w:t>5</w:t>
            </w:r>
            <w:r w:rsidRPr="000F252A">
              <w:t>.</w:t>
            </w:r>
          </w:p>
        </w:tc>
        <w:tc>
          <w:tcPr>
            <w:tcW w:w="3686" w:type="dxa"/>
            <w:shd w:val="clear" w:color="auto" w:fill="auto"/>
          </w:tcPr>
          <w:p w:rsidR="000F252A" w:rsidRPr="000F252A" w:rsidRDefault="000F252A" w:rsidP="000F252A">
            <w:pPr>
              <w:jc w:val="both"/>
            </w:pPr>
            <w:r w:rsidRPr="000F252A">
              <w:t xml:space="preserve">Проведение лечения пациентов с применением технологий ядерной медицины в условиях ГАУЗ </w:t>
            </w:r>
            <w:r w:rsidRPr="000F252A">
              <w:rPr>
                <w:rFonts w:eastAsia="Arial"/>
              </w:rPr>
              <w:t>«РКОД МЗ РТ им.проф.М.З.Сигала»</w:t>
            </w:r>
          </w:p>
        </w:tc>
        <w:tc>
          <w:tcPr>
            <w:tcW w:w="1474" w:type="dxa"/>
            <w:shd w:val="clear" w:color="auto" w:fill="auto"/>
          </w:tcPr>
          <w:p w:rsidR="000F252A" w:rsidRPr="000F252A" w:rsidRDefault="000F252A" w:rsidP="000F252A">
            <w:pPr>
              <w:jc w:val="center"/>
            </w:pPr>
            <w:r w:rsidRPr="000F252A">
              <w:t>09.01.2026</w:t>
            </w:r>
          </w:p>
        </w:tc>
        <w:tc>
          <w:tcPr>
            <w:tcW w:w="1418" w:type="dxa"/>
            <w:shd w:val="clear" w:color="auto" w:fill="auto"/>
          </w:tcPr>
          <w:p w:rsidR="000F252A" w:rsidRPr="000F252A" w:rsidRDefault="000F252A" w:rsidP="000F252A">
            <w:pPr>
              <w:jc w:val="center"/>
            </w:pPr>
            <w:r w:rsidRPr="000F252A">
              <w:t>31.12.2030</w:t>
            </w:r>
          </w:p>
        </w:tc>
        <w:tc>
          <w:tcPr>
            <w:tcW w:w="3912" w:type="dxa"/>
            <w:shd w:val="clear" w:color="auto" w:fill="auto"/>
          </w:tcPr>
          <w:p w:rsidR="000F252A" w:rsidRPr="000F252A" w:rsidRDefault="000F252A" w:rsidP="000F252A">
            <w:pPr>
              <w:jc w:val="both"/>
            </w:pPr>
            <w:r w:rsidRPr="000F252A">
              <w:t xml:space="preserve">главный врач ГАУЗ </w:t>
            </w:r>
            <w:r w:rsidRPr="000F252A">
              <w:rPr>
                <w:rFonts w:eastAsia="Arial"/>
              </w:rPr>
              <w:t>«РКОД МЗ РТ им.проф.М.З.Сигала»</w:t>
            </w:r>
            <w:r w:rsidRPr="000F252A">
              <w:t xml:space="preserve"> М.Ф.Мухамадеев</w:t>
            </w:r>
          </w:p>
        </w:tc>
        <w:tc>
          <w:tcPr>
            <w:tcW w:w="3969" w:type="dxa"/>
            <w:shd w:val="clear" w:color="auto" w:fill="auto"/>
          </w:tcPr>
          <w:p w:rsidR="000F252A" w:rsidRPr="00AC795F" w:rsidRDefault="000F252A" w:rsidP="000F252A">
            <w:pPr>
              <w:jc w:val="both"/>
            </w:pPr>
            <w:r w:rsidRPr="00AC795F">
              <w:t>проведение лечения с применением радиофармпрепаратов (натрия йодид-131, самарий-153, радия хлорид-223) – не менее 600 случаев ежегодно</w:t>
            </w:r>
          </w:p>
        </w:tc>
      </w:tr>
      <w:tr w:rsidR="000F252A" w:rsidRPr="009D3B11" w:rsidTr="00AC795F">
        <w:trPr>
          <w:trHeight w:val="20"/>
        </w:trPr>
        <w:tc>
          <w:tcPr>
            <w:tcW w:w="704" w:type="dxa"/>
            <w:shd w:val="clear" w:color="auto" w:fill="auto"/>
          </w:tcPr>
          <w:p w:rsidR="000F252A" w:rsidRPr="0069531D" w:rsidRDefault="000F252A" w:rsidP="00461C2C">
            <w:pPr>
              <w:jc w:val="center"/>
            </w:pPr>
            <w:r w:rsidRPr="0069531D">
              <w:t>5.1</w:t>
            </w:r>
            <w:r w:rsidR="00461C2C" w:rsidRPr="0069531D">
              <w:t>6</w:t>
            </w:r>
            <w:r w:rsidRPr="0069531D">
              <w:t>.</w:t>
            </w:r>
          </w:p>
        </w:tc>
        <w:tc>
          <w:tcPr>
            <w:tcW w:w="3686" w:type="dxa"/>
            <w:shd w:val="clear" w:color="auto" w:fill="auto"/>
          </w:tcPr>
          <w:p w:rsidR="000F252A" w:rsidRPr="0069531D" w:rsidRDefault="000F252A" w:rsidP="000F252A">
            <w:pPr>
              <w:spacing w:line="233" w:lineRule="auto"/>
              <w:jc w:val="both"/>
              <w:rPr>
                <w:color w:val="000000" w:themeColor="text1"/>
              </w:rPr>
            </w:pPr>
            <w:r w:rsidRPr="0069531D">
              <w:t xml:space="preserve">Монтаж и ввод в эксплуатацию системы стереотаксической радиохирургии </w:t>
            </w:r>
            <w:r w:rsidRPr="0069531D">
              <w:rPr>
                <w:lang w:val="en-US"/>
              </w:rPr>
              <w:t>ZAP</w:t>
            </w:r>
            <w:r w:rsidRPr="0069531D">
              <w:t>-</w:t>
            </w:r>
            <w:r w:rsidRPr="0069531D">
              <w:rPr>
                <w:lang w:val="en-US"/>
              </w:rPr>
              <w:t>X</w:t>
            </w:r>
            <w:r w:rsidRPr="0069531D">
              <w:t xml:space="preserve"> на базе ГАУЗ </w:t>
            </w:r>
            <w:r w:rsidRPr="0069531D">
              <w:rPr>
                <w:rFonts w:eastAsia="Arial"/>
              </w:rPr>
              <w:t>«РКОД МЗ РТ им.проф.М.З.Сигала»</w:t>
            </w:r>
          </w:p>
        </w:tc>
        <w:tc>
          <w:tcPr>
            <w:tcW w:w="1474" w:type="dxa"/>
            <w:shd w:val="clear" w:color="auto" w:fill="auto"/>
          </w:tcPr>
          <w:p w:rsidR="000F252A" w:rsidRPr="0069531D" w:rsidRDefault="000F252A" w:rsidP="000F252A">
            <w:pPr>
              <w:jc w:val="center"/>
            </w:pPr>
            <w:r w:rsidRPr="0069531D">
              <w:t>01.06.2026</w:t>
            </w:r>
          </w:p>
        </w:tc>
        <w:tc>
          <w:tcPr>
            <w:tcW w:w="1418" w:type="dxa"/>
            <w:shd w:val="clear" w:color="auto" w:fill="auto"/>
          </w:tcPr>
          <w:p w:rsidR="000F252A" w:rsidRPr="0069531D" w:rsidRDefault="000F252A" w:rsidP="000F252A">
            <w:pPr>
              <w:jc w:val="center"/>
            </w:pPr>
            <w:r w:rsidRPr="0069531D">
              <w:t>31.12.2026</w:t>
            </w:r>
          </w:p>
        </w:tc>
        <w:tc>
          <w:tcPr>
            <w:tcW w:w="3912" w:type="dxa"/>
            <w:shd w:val="clear" w:color="auto" w:fill="auto"/>
          </w:tcPr>
          <w:p w:rsidR="000F252A" w:rsidRPr="0069531D" w:rsidRDefault="000F252A" w:rsidP="000F252A">
            <w:pPr>
              <w:spacing w:line="233" w:lineRule="auto"/>
              <w:jc w:val="both"/>
              <w:rPr>
                <w:color w:val="000000" w:themeColor="text1"/>
              </w:rPr>
            </w:pPr>
            <w:r w:rsidRPr="0069531D">
              <w:t xml:space="preserve">главный врач ГАУЗ </w:t>
            </w:r>
            <w:r w:rsidRPr="0069531D">
              <w:rPr>
                <w:rFonts w:eastAsia="Arial"/>
              </w:rPr>
              <w:t>«РКОД МЗ РТ им.проф.М.З.Сигала»</w:t>
            </w:r>
            <w:r w:rsidRPr="0069531D">
              <w:t xml:space="preserve"> М.Ф.Мухамадеев</w:t>
            </w:r>
          </w:p>
        </w:tc>
        <w:tc>
          <w:tcPr>
            <w:tcW w:w="3969" w:type="dxa"/>
            <w:shd w:val="clear" w:color="auto" w:fill="auto"/>
          </w:tcPr>
          <w:p w:rsidR="000F252A" w:rsidRPr="0069531D" w:rsidRDefault="000F252A" w:rsidP="000F252A">
            <w:pPr>
              <w:jc w:val="both"/>
              <w:rPr>
                <w:color w:val="000000" w:themeColor="text1"/>
              </w:rPr>
            </w:pPr>
            <w:r w:rsidRPr="0069531D">
              <w:t xml:space="preserve">введена в эксплуатацию система стереотаксической радиохирургии </w:t>
            </w:r>
            <w:r w:rsidRPr="0069531D">
              <w:rPr>
                <w:lang w:val="en-US"/>
              </w:rPr>
              <w:t>ZAP</w:t>
            </w:r>
            <w:r w:rsidRPr="0069531D">
              <w:t>-</w:t>
            </w:r>
            <w:r w:rsidRPr="0069531D">
              <w:rPr>
                <w:lang w:val="en-US"/>
              </w:rPr>
              <w:t>X</w:t>
            </w:r>
          </w:p>
        </w:tc>
      </w:tr>
      <w:tr w:rsidR="000F252A" w:rsidRPr="009D3B11" w:rsidTr="00AC795F">
        <w:trPr>
          <w:trHeight w:val="20"/>
        </w:trPr>
        <w:tc>
          <w:tcPr>
            <w:tcW w:w="704" w:type="dxa"/>
            <w:shd w:val="clear" w:color="auto" w:fill="auto"/>
          </w:tcPr>
          <w:p w:rsidR="000F252A" w:rsidRPr="0069531D" w:rsidRDefault="000F252A" w:rsidP="00461C2C">
            <w:pPr>
              <w:jc w:val="center"/>
            </w:pPr>
            <w:r w:rsidRPr="0069531D">
              <w:t>5.1</w:t>
            </w:r>
            <w:r w:rsidR="00461C2C" w:rsidRPr="0069531D">
              <w:t>7</w:t>
            </w:r>
            <w:r w:rsidRPr="0069531D">
              <w:t>.</w:t>
            </w:r>
          </w:p>
        </w:tc>
        <w:tc>
          <w:tcPr>
            <w:tcW w:w="3686" w:type="dxa"/>
            <w:shd w:val="clear" w:color="auto" w:fill="auto"/>
          </w:tcPr>
          <w:p w:rsidR="000F252A" w:rsidRPr="0069531D" w:rsidRDefault="000F252A" w:rsidP="002700AE">
            <w:pPr>
              <w:jc w:val="both"/>
            </w:pPr>
            <w:r w:rsidRPr="0069531D">
              <w:t xml:space="preserve">Монтаж и ввод в эксплуатацию </w:t>
            </w:r>
            <w:r w:rsidR="002700AE" w:rsidRPr="0069531D">
              <w:t xml:space="preserve">двух </w:t>
            </w:r>
            <w:r w:rsidRPr="0069531D">
              <w:t xml:space="preserve">линейных ускорителей на базе Альметьевского филиала ГАУЗ </w:t>
            </w:r>
            <w:r w:rsidRPr="0069531D">
              <w:rPr>
                <w:rFonts w:eastAsia="Arial"/>
              </w:rPr>
              <w:t xml:space="preserve">«РКОД МЗ РТ им.проф.М.З.Сигала», внедрение и тиражирование </w:t>
            </w:r>
            <w:r w:rsidRPr="0069531D">
              <w:t xml:space="preserve">дистанционной лучевой терапии </w:t>
            </w:r>
          </w:p>
        </w:tc>
        <w:tc>
          <w:tcPr>
            <w:tcW w:w="1474" w:type="dxa"/>
            <w:shd w:val="clear" w:color="auto" w:fill="auto"/>
          </w:tcPr>
          <w:p w:rsidR="000F252A" w:rsidRPr="0069531D" w:rsidRDefault="000F252A" w:rsidP="000F252A">
            <w:pPr>
              <w:jc w:val="center"/>
            </w:pPr>
            <w:r w:rsidRPr="0069531D">
              <w:t>01.06.2026</w:t>
            </w:r>
          </w:p>
        </w:tc>
        <w:tc>
          <w:tcPr>
            <w:tcW w:w="1418" w:type="dxa"/>
            <w:shd w:val="clear" w:color="auto" w:fill="auto"/>
          </w:tcPr>
          <w:p w:rsidR="000F252A" w:rsidRPr="0069531D" w:rsidRDefault="000F252A" w:rsidP="000F252A">
            <w:pPr>
              <w:jc w:val="center"/>
            </w:pPr>
            <w:r w:rsidRPr="0069531D">
              <w:t>31.12.2030</w:t>
            </w:r>
          </w:p>
        </w:tc>
        <w:tc>
          <w:tcPr>
            <w:tcW w:w="3912" w:type="dxa"/>
            <w:shd w:val="clear" w:color="auto" w:fill="auto"/>
          </w:tcPr>
          <w:p w:rsidR="000F252A" w:rsidRPr="0069531D" w:rsidRDefault="000F252A" w:rsidP="000F252A">
            <w:pPr>
              <w:jc w:val="both"/>
            </w:pPr>
            <w:r w:rsidRPr="0069531D">
              <w:t xml:space="preserve">главный врач ГАУЗ </w:t>
            </w:r>
            <w:r w:rsidRPr="0069531D">
              <w:rPr>
                <w:rFonts w:eastAsia="Arial"/>
              </w:rPr>
              <w:t>«РКОД МЗ РТ им.проф.М.З.Сигала»</w:t>
            </w:r>
            <w:r w:rsidRPr="0069531D">
              <w:t xml:space="preserve"> М.Ф.Мухамадеев</w:t>
            </w:r>
          </w:p>
        </w:tc>
        <w:tc>
          <w:tcPr>
            <w:tcW w:w="3969" w:type="dxa"/>
            <w:shd w:val="clear" w:color="auto" w:fill="auto"/>
          </w:tcPr>
          <w:p w:rsidR="000F252A" w:rsidRPr="0069531D" w:rsidRDefault="000F252A" w:rsidP="000F252A">
            <w:pPr>
              <w:jc w:val="both"/>
            </w:pPr>
            <w:r w:rsidRPr="0069531D">
              <w:t xml:space="preserve">введены в эксплуатацию </w:t>
            </w:r>
            <w:r w:rsidR="002700AE" w:rsidRPr="0069531D">
              <w:t>двух</w:t>
            </w:r>
            <w:r w:rsidRPr="0069531D">
              <w:t xml:space="preserve"> линейных ускорителя</w:t>
            </w:r>
          </w:p>
          <w:p w:rsidR="000F252A" w:rsidRPr="0069531D" w:rsidRDefault="000F252A" w:rsidP="000F252A">
            <w:pPr>
              <w:jc w:val="both"/>
              <w:rPr>
                <w:rFonts w:eastAsia="Arial"/>
              </w:rPr>
            </w:pPr>
          </w:p>
        </w:tc>
      </w:tr>
      <w:tr w:rsidR="000F252A" w:rsidRPr="009D3B11" w:rsidTr="00AC795F">
        <w:trPr>
          <w:trHeight w:val="20"/>
        </w:trPr>
        <w:tc>
          <w:tcPr>
            <w:tcW w:w="704" w:type="dxa"/>
            <w:shd w:val="clear" w:color="auto" w:fill="auto"/>
          </w:tcPr>
          <w:p w:rsidR="000F252A" w:rsidRPr="000F252A" w:rsidRDefault="000F252A" w:rsidP="00461C2C">
            <w:pPr>
              <w:jc w:val="center"/>
            </w:pPr>
            <w:r w:rsidRPr="000F252A">
              <w:t>5.</w:t>
            </w:r>
            <w:r w:rsidR="00461C2C">
              <w:t>18</w:t>
            </w:r>
            <w:r w:rsidRPr="000F252A">
              <w:t>.</w:t>
            </w:r>
          </w:p>
        </w:tc>
        <w:tc>
          <w:tcPr>
            <w:tcW w:w="3686" w:type="dxa"/>
            <w:shd w:val="clear" w:color="auto" w:fill="auto"/>
          </w:tcPr>
          <w:p w:rsidR="000F252A" w:rsidRPr="000F252A" w:rsidRDefault="000F252A" w:rsidP="000F252A">
            <w:pPr>
              <w:jc w:val="both"/>
            </w:pPr>
            <w:r w:rsidRPr="000F252A">
              <w:t>Мониторинг доли случаев химиолучевого лечения от всех случаев проведения лучевой терапии в условиях круглосуточного и дневного стационаров</w:t>
            </w:r>
          </w:p>
        </w:tc>
        <w:tc>
          <w:tcPr>
            <w:tcW w:w="1474" w:type="dxa"/>
            <w:shd w:val="clear" w:color="auto" w:fill="auto"/>
          </w:tcPr>
          <w:p w:rsidR="000F252A" w:rsidRPr="000F252A" w:rsidRDefault="000F252A" w:rsidP="000F252A">
            <w:pPr>
              <w:jc w:val="center"/>
            </w:pPr>
            <w:r w:rsidRPr="000F252A">
              <w:t>09.01.2026</w:t>
            </w:r>
          </w:p>
        </w:tc>
        <w:tc>
          <w:tcPr>
            <w:tcW w:w="1418" w:type="dxa"/>
            <w:shd w:val="clear" w:color="auto" w:fill="auto"/>
          </w:tcPr>
          <w:p w:rsidR="000F252A" w:rsidRPr="000F252A" w:rsidRDefault="000F252A" w:rsidP="000F252A">
            <w:pPr>
              <w:jc w:val="center"/>
            </w:pPr>
            <w:r w:rsidRPr="000F252A">
              <w:t>31.12.2030</w:t>
            </w:r>
          </w:p>
        </w:tc>
        <w:tc>
          <w:tcPr>
            <w:tcW w:w="3912" w:type="dxa"/>
            <w:shd w:val="clear" w:color="auto" w:fill="auto"/>
          </w:tcPr>
          <w:p w:rsidR="000F252A" w:rsidRPr="000F252A" w:rsidRDefault="000F252A" w:rsidP="000F252A">
            <w:pPr>
              <w:jc w:val="both"/>
            </w:pPr>
            <w:r w:rsidRPr="000F252A">
              <w:t xml:space="preserve">главный врач ГАУЗ </w:t>
            </w:r>
            <w:r w:rsidRPr="000F252A">
              <w:rPr>
                <w:rFonts w:eastAsia="Arial"/>
              </w:rPr>
              <w:t>«РКОД МЗ РТ им.проф.М.З.Сигала»</w:t>
            </w:r>
            <w:r w:rsidRPr="000F252A">
              <w:t xml:space="preserve"> М.Ф.Мухамадеев</w:t>
            </w:r>
          </w:p>
        </w:tc>
        <w:tc>
          <w:tcPr>
            <w:tcW w:w="3969" w:type="dxa"/>
            <w:shd w:val="clear" w:color="auto" w:fill="auto"/>
          </w:tcPr>
          <w:p w:rsidR="000F252A" w:rsidRPr="000F252A" w:rsidRDefault="000F252A" w:rsidP="000F252A">
            <w:pPr>
              <w:jc w:val="both"/>
            </w:pPr>
            <w:r w:rsidRPr="000F252A">
              <w:t>ежеквартально пров</w:t>
            </w:r>
            <w:r w:rsidR="0069531D">
              <w:t>одится</w:t>
            </w:r>
            <w:r w:rsidRPr="000F252A">
              <w:t xml:space="preserve"> мониторинг доли случаев химиолучевого лечения ЗНО от всех случаев проведения лучевой терапии в условиях круглосуточного и дневного стационаров; </w:t>
            </w:r>
          </w:p>
          <w:p w:rsidR="000F252A" w:rsidRPr="000F252A" w:rsidRDefault="000F252A" w:rsidP="000F252A">
            <w:pPr>
              <w:jc w:val="both"/>
            </w:pPr>
            <w:r w:rsidRPr="000F252A">
              <w:t xml:space="preserve">целевой показатель – не менее </w:t>
            </w:r>
            <w:r w:rsidR="0069531D">
              <w:br/>
            </w:r>
            <w:r w:rsidRPr="000F252A">
              <w:t>25 процентов (ежегодно)</w:t>
            </w:r>
          </w:p>
        </w:tc>
      </w:tr>
      <w:tr w:rsidR="000F252A" w:rsidRPr="009D3B11" w:rsidTr="00AC795F">
        <w:trPr>
          <w:trHeight w:val="20"/>
        </w:trPr>
        <w:tc>
          <w:tcPr>
            <w:tcW w:w="704" w:type="dxa"/>
            <w:shd w:val="clear" w:color="auto" w:fill="auto"/>
          </w:tcPr>
          <w:p w:rsidR="000F252A" w:rsidRPr="000F252A" w:rsidRDefault="00461C2C" w:rsidP="000F252A">
            <w:pPr>
              <w:jc w:val="center"/>
            </w:pPr>
            <w:r>
              <w:t>5.</w:t>
            </w:r>
            <w:r w:rsidR="000F252A" w:rsidRPr="000F252A">
              <w:t>1</w:t>
            </w:r>
            <w:r>
              <w:t>9</w:t>
            </w:r>
            <w:r w:rsidR="000F252A" w:rsidRPr="000F252A">
              <w:t>.</w:t>
            </w:r>
          </w:p>
        </w:tc>
        <w:tc>
          <w:tcPr>
            <w:tcW w:w="3686" w:type="dxa"/>
            <w:shd w:val="clear" w:color="auto" w:fill="auto"/>
          </w:tcPr>
          <w:p w:rsidR="000F252A" w:rsidRPr="000F252A" w:rsidRDefault="000F252A" w:rsidP="000F252A">
            <w:pPr>
              <w:jc w:val="both"/>
            </w:pPr>
            <w:r w:rsidRPr="000F252A">
              <w:t>Мониторинг доли случаев проведения дистанционной лучевой терапии в условиях дневного и круглосуточного стационаров от общего числа впервые установленных диагнозов ЗНО</w:t>
            </w:r>
          </w:p>
        </w:tc>
        <w:tc>
          <w:tcPr>
            <w:tcW w:w="1474" w:type="dxa"/>
            <w:shd w:val="clear" w:color="auto" w:fill="auto"/>
          </w:tcPr>
          <w:p w:rsidR="000F252A" w:rsidRPr="000F252A" w:rsidRDefault="000F252A" w:rsidP="000F252A">
            <w:pPr>
              <w:jc w:val="center"/>
            </w:pPr>
            <w:r w:rsidRPr="000F252A">
              <w:t>09.01.2026</w:t>
            </w:r>
          </w:p>
        </w:tc>
        <w:tc>
          <w:tcPr>
            <w:tcW w:w="1418" w:type="dxa"/>
            <w:shd w:val="clear" w:color="auto" w:fill="auto"/>
          </w:tcPr>
          <w:p w:rsidR="000F252A" w:rsidRPr="000F252A" w:rsidRDefault="000F252A" w:rsidP="000F252A">
            <w:pPr>
              <w:jc w:val="center"/>
            </w:pPr>
            <w:r w:rsidRPr="000F252A">
              <w:t>31.12.2030</w:t>
            </w:r>
          </w:p>
        </w:tc>
        <w:tc>
          <w:tcPr>
            <w:tcW w:w="3912" w:type="dxa"/>
            <w:shd w:val="clear" w:color="auto" w:fill="auto"/>
          </w:tcPr>
          <w:p w:rsidR="000F252A" w:rsidRPr="000F252A" w:rsidRDefault="000F252A" w:rsidP="000F252A">
            <w:pPr>
              <w:jc w:val="both"/>
            </w:pPr>
            <w:r w:rsidRPr="000F252A">
              <w:t xml:space="preserve">главный врач ГАУЗ </w:t>
            </w:r>
            <w:r w:rsidRPr="000F252A">
              <w:rPr>
                <w:rFonts w:eastAsia="Arial"/>
              </w:rPr>
              <w:t>«РКОД МЗ РТ им.проф.М.З.Сигала»</w:t>
            </w:r>
            <w:r w:rsidRPr="000F252A">
              <w:t xml:space="preserve"> М.Ф.Мухамадеев</w:t>
            </w:r>
          </w:p>
        </w:tc>
        <w:tc>
          <w:tcPr>
            <w:tcW w:w="3969" w:type="dxa"/>
            <w:shd w:val="clear" w:color="auto" w:fill="auto"/>
          </w:tcPr>
          <w:p w:rsidR="000F252A" w:rsidRPr="000F252A" w:rsidRDefault="000F252A" w:rsidP="000F252A">
            <w:pPr>
              <w:jc w:val="both"/>
            </w:pPr>
            <w:r w:rsidRPr="000F252A">
              <w:t>ежеквартально пров</w:t>
            </w:r>
            <w:r w:rsidR="0069531D">
              <w:t>одится</w:t>
            </w:r>
            <w:r w:rsidRPr="000F252A">
              <w:t xml:space="preserve"> мониторинг доли случаев проведения дистанционной лучевой терапии в условиях дневного и круглосуточного стационаров от общего числа впервые установленных диагнозов ЗНО; </w:t>
            </w:r>
          </w:p>
          <w:p w:rsidR="000F252A" w:rsidRPr="000F252A" w:rsidRDefault="000F252A" w:rsidP="000F252A">
            <w:pPr>
              <w:jc w:val="both"/>
            </w:pPr>
            <w:r w:rsidRPr="000F252A">
              <w:t xml:space="preserve">целевой показатель – не менее </w:t>
            </w:r>
            <w:r w:rsidR="0069531D">
              <w:br/>
            </w:r>
            <w:r w:rsidRPr="000F252A">
              <w:t>30 процентов (ежегодно)</w:t>
            </w:r>
          </w:p>
        </w:tc>
      </w:tr>
      <w:tr w:rsidR="000F252A" w:rsidRPr="009D3B11" w:rsidTr="00AC795F">
        <w:trPr>
          <w:trHeight w:val="20"/>
        </w:trPr>
        <w:tc>
          <w:tcPr>
            <w:tcW w:w="704" w:type="dxa"/>
            <w:shd w:val="clear" w:color="auto" w:fill="auto"/>
          </w:tcPr>
          <w:p w:rsidR="000F252A" w:rsidRPr="000F252A" w:rsidRDefault="000F252A" w:rsidP="00461C2C">
            <w:pPr>
              <w:spacing w:line="245" w:lineRule="auto"/>
              <w:jc w:val="center"/>
            </w:pPr>
            <w:r w:rsidRPr="000F252A">
              <w:t>5.2</w:t>
            </w:r>
            <w:r w:rsidR="00461C2C">
              <w:t>0</w:t>
            </w:r>
            <w:r w:rsidRPr="000F252A">
              <w:t>.</w:t>
            </w:r>
          </w:p>
        </w:tc>
        <w:tc>
          <w:tcPr>
            <w:tcW w:w="3686" w:type="dxa"/>
            <w:shd w:val="clear" w:color="auto" w:fill="auto"/>
          </w:tcPr>
          <w:p w:rsidR="000F252A" w:rsidRPr="000F252A" w:rsidRDefault="000F252A" w:rsidP="000F252A">
            <w:pPr>
              <w:jc w:val="both"/>
            </w:pPr>
            <w:r w:rsidRPr="000F252A">
              <w:t>Мониторинг доли случаев конформной лучевой терапии от общего числа случаев дистанционной лучевой терапии в условиях круглосуточного и дневного стационаров</w:t>
            </w:r>
          </w:p>
        </w:tc>
        <w:tc>
          <w:tcPr>
            <w:tcW w:w="1474" w:type="dxa"/>
            <w:shd w:val="clear" w:color="auto" w:fill="auto"/>
          </w:tcPr>
          <w:p w:rsidR="000F252A" w:rsidRPr="000F252A" w:rsidRDefault="000F252A" w:rsidP="000F252A">
            <w:pPr>
              <w:jc w:val="center"/>
            </w:pPr>
            <w:r w:rsidRPr="000F252A">
              <w:t>09.01.2026</w:t>
            </w:r>
          </w:p>
        </w:tc>
        <w:tc>
          <w:tcPr>
            <w:tcW w:w="1418" w:type="dxa"/>
            <w:shd w:val="clear" w:color="auto" w:fill="auto"/>
          </w:tcPr>
          <w:p w:rsidR="000F252A" w:rsidRPr="000F252A" w:rsidRDefault="000F252A" w:rsidP="000F252A">
            <w:pPr>
              <w:jc w:val="center"/>
            </w:pPr>
            <w:r w:rsidRPr="000F252A">
              <w:t>31.12.2030</w:t>
            </w:r>
          </w:p>
        </w:tc>
        <w:tc>
          <w:tcPr>
            <w:tcW w:w="3912" w:type="dxa"/>
            <w:shd w:val="clear" w:color="auto" w:fill="auto"/>
          </w:tcPr>
          <w:p w:rsidR="000F252A" w:rsidRPr="000F252A" w:rsidRDefault="000F252A" w:rsidP="000F252A">
            <w:pPr>
              <w:jc w:val="both"/>
            </w:pPr>
            <w:r w:rsidRPr="000F252A">
              <w:t xml:space="preserve">главный врач ГАУЗ </w:t>
            </w:r>
            <w:r w:rsidRPr="000F252A">
              <w:rPr>
                <w:rFonts w:eastAsia="Arial"/>
              </w:rPr>
              <w:t>«РКОД МЗ РТ им.проф.М.З.Сигала»</w:t>
            </w:r>
            <w:r w:rsidRPr="000F252A">
              <w:t xml:space="preserve"> М.Ф.Мухамадеев</w:t>
            </w:r>
          </w:p>
        </w:tc>
        <w:tc>
          <w:tcPr>
            <w:tcW w:w="3969" w:type="dxa"/>
            <w:shd w:val="clear" w:color="auto" w:fill="auto"/>
          </w:tcPr>
          <w:p w:rsidR="000F252A" w:rsidRPr="000F252A" w:rsidRDefault="000F252A" w:rsidP="000F252A">
            <w:pPr>
              <w:jc w:val="both"/>
            </w:pPr>
            <w:r w:rsidRPr="000F252A">
              <w:t>ежеквартально пров</w:t>
            </w:r>
            <w:r w:rsidR="0069531D">
              <w:t>одится</w:t>
            </w:r>
            <w:r w:rsidRPr="000F252A">
              <w:t xml:space="preserve"> мониторинг доли случаев конформной лучевой терапии от общего числа случаев дистанционной лучевой терапии в условиях круглосуточного и дневного стационаров; </w:t>
            </w:r>
          </w:p>
          <w:p w:rsidR="000F252A" w:rsidRPr="000F252A" w:rsidRDefault="000F252A" w:rsidP="000F252A">
            <w:pPr>
              <w:jc w:val="both"/>
            </w:pPr>
            <w:r w:rsidRPr="000F252A">
              <w:t xml:space="preserve">целевой показатель – не менее </w:t>
            </w:r>
            <w:r w:rsidR="0069531D">
              <w:br/>
            </w:r>
            <w:r w:rsidRPr="000F252A">
              <w:t>90 процентов (ежегодно)</w:t>
            </w:r>
          </w:p>
        </w:tc>
      </w:tr>
      <w:tr w:rsidR="000F252A" w:rsidRPr="009D3B11" w:rsidTr="00AC795F">
        <w:trPr>
          <w:trHeight w:val="20"/>
        </w:trPr>
        <w:tc>
          <w:tcPr>
            <w:tcW w:w="704" w:type="dxa"/>
            <w:shd w:val="clear" w:color="auto" w:fill="auto"/>
          </w:tcPr>
          <w:p w:rsidR="000F252A" w:rsidRPr="000F252A" w:rsidRDefault="000F252A" w:rsidP="00461C2C">
            <w:pPr>
              <w:spacing w:line="245" w:lineRule="auto"/>
              <w:jc w:val="center"/>
            </w:pPr>
            <w:r w:rsidRPr="000F252A">
              <w:t>5.2</w:t>
            </w:r>
            <w:r w:rsidR="00461C2C">
              <w:t>1</w:t>
            </w:r>
            <w:r w:rsidRPr="000F252A">
              <w:t>.</w:t>
            </w:r>
          </w:p>
        </w:tc>
        <w:tc>
          <w:tcPr>
            <w:tcW w:w="3686" w:type="dxa"/>
            <w:shd w:val="clear" w:color="auto" w:fill="auto"/>
          </w:tcPr>
          <w:p w:rsidR="000F252A" w:rsidRPr="000F252A" w:rsidRDefault="000F252A" w:rsidP="000F252A">
            <w:pPr>
              <w:jc w:val="both"/>
            </w:pPr>
            <w:r w:rsidRPr="000F252A">
              <w:t>Мониторинг доли случаев стереотаксической лучевой терапии от общего числа случаев дистанционной лучевой терапии в условиях круглосуточного и дневного стационаров</w:t>
            </w:r>
          </w:p>
        </w:tc>
        <w:tc>
          <w:tcPr>
            <w:tcW w:w="1474" w:type="dxa"/>
            <w:shd w:val="clear" w:color="auto" w:fill="auto"/>
          </w:tcPr>
          <w:p w:rsidR="000F252A" w:rsidRPr="000F252A" w:rsidRDefault="000F252A" w:rsidP="000F252A">
            <w:pPr>
              <w:jc w:val="center"/>
            </w:pPr>
            <w:r w:rsidRPr="000F252A">
              <w:t>09.01.2026</w:t>
            </w:r>
          </w:p>
        </w:tc>
        <w:tc>
          <w:tcPr>
            <w:tcW w:w="1418" w:type="dxa"/>
            <w:shd w:val="clear" w:color="auto" w:fill="auto"/>
          </w:tcPr>
          <w:p w:rsidR="000F252A" w:rsidRPr="000F252A" w:rsidRDefault="000F252A" w:rsidP="000F252A">
            <w:pPr>
              <w:jc w:val="center"/>
            </w:pPr>
            <w:r w:rsidRPr="000F252A">
              <w:t>31.12.2030</w:t>
            </w:r>
          </w:p>
        </w:tc>
        <w:tc>
          <w:tcPr>
            <w:tcW w:w="3912" w:type="dxa"/>
            <w:shd w:val="clear" w:color="auto" w:fill="auto"/>
          </w:tcPr>
          <w:p w:rsidR="000F252A" w:rsidRPr="000F252A" w:rsidRDefault="000F252A" w:rsidP="000F252A">
            <w:pPr>
              <w:jc w:val="both"/>
            </w:pPr>
            <w:r w:rsidRPr="000F252A">
              <w:t xml:space="preserve">главный врач ГАУЗ </w:t>
            </w:r>
            <w:r w:rsidRPr="000F252A">
              <w:rPr>
                <w:rFonts w:eastAsia="Arial"/>
              </w:rPr>
              <w:t>«РКОД МЗ РТ им.проф.М.З.Сигала»</w:t>
            </w:r>
            <w:r w:rsidRPr="000F252A">
              <w:t xml:space="preserve"> М.Ф.Мухамадеев</w:t>
            </w:r>
          </w:p>
        </w:tc>
        <w:tc>
          <w:tcPr>
            <w:tcW w:w="3969" w:type="dxa"/>
            <w:shd w:val="clear" w:color="auto" w:fill="auto"/>
          </w:tcPr>
          <w:p w:rsidR="000F252A" w:rsidRPr="000F252A" w:rsidRDefault="000F252A" w:rsidP="000F252A">
            <w:pPr>
              <w:jc w:val="both"/>
            </w:pPr>
            <w:r w:rsidRPr="000F252A">
              <w:t>ежеквартально пров</w:t>
            </w:r>
            <w:r w:rsidR="0069531D">
              <w:t>одится</w:t>
            </w:r>
            <w:r w:rsidRPr="000F252A">
              <w:t xml:space="preserve"> мониторинг доли случаев стереотаксической лучевой терапии от общего числа случаев дистанционной лучевой терапии в условиях круглосуточного и дневного стационаров; </w:t>
            </w:r>
          </w:p>
          <w:p w:rsidR="000F252A" w:rsidRPr="000F252A" w:rsidRDefault="000F252A" w:rsidP="000F252A">
            <w:pPr>
              <w:jc w:val="both"/>
            </w:pPr>
            <w:r w:rsidRPr="000F252A">
              <w:t>целевой показатель – не менее 3 процентов (ежегодно)</w:t>
            </w:r>
          </w:p>
        </w:tc>
      </w:tr>
      <w:tr w:rsidR="000F252A" w:rsidRPr="009D3B11" w:rsidTr="00AC795F">
        <w:trPr>
          <w:trHeight w:val="20"/>
        </w:trPr>
        <w:tc>
          <w:tcPr>
            <w:tcW w:w="704" w:type="dxa"/>
            <w:shd w:val="clear" w:color="auto" w:fill="auto"/>
          </w:tcPr>
          <w:p w:rsidR="000F252A" w:rsidRPr="000F252A" w:rsidRDefault="000F252A" w:rsidP="00461C2C">
            <w:pPr>
              <w:spacing w:line="245" w:lineRule="auto"/>
              <w:jc w:val="center"/>
            </w:pPr>
            <w:r w:rsidRPr="000F252A">
              <w:t>5.2</w:t>
            </w:r>
            <w:r w:rsidR="00461C2C">
              <w:t>2</w:t>
            </w:r>
            <w:r w:rsidRPr="000F252A">
              <w:t>.</w:t>
            </w:r>
          </w:p>
        </w:tc>
        <w:tc>
          <w:tcPr>
            <w:tcW w:w="3686" w:type="dxa"/>
            <w:shd w:val="clear" w:color="auto" w:fill="auto"/>
          </w:tcPr>
          <w:p w:rsidR="000F252A" w:rsidRPr="000F252A" w:rsidRDefault="000F252A" w:rsidP="000F252A">
            <w:pPr>
              <w:spacing w:line="245" w:lineRule="auto"/>
              <w:jc w:val="both"/>
            </w:pPr>
            <w:r w:rsidRPr="000F252A">
              <w:t>Мониторинг доли случаев проведения лучевых и химиолучевых методов лечения в условиях дневного стационара от общего числа случаев проведения лучевых и химиолучевых методов лечения в условиях круглосуточного и дневного стационаров</w:t>
            </w:r>
          </w:p>
        </w:tc>
        <w:tc>
          <w:tcPr>
            <w:tcW w:w="1474" w:type="dxa"/>
            <w:shd w:val="clear" w:color="auto" w:fill="auto"/>
          </w:tcPr>
          <w:p w:rsidR="000F252A" w:rsidRPr="000F252A" w:rsidRDefault="000F252A" w:rsidP="000F252A">
            <w:pPr>
              <w:spacing w:line="245" w:lineRule="auto"/>
              <w:jc w:val="center"/>
            </w:pPr>
            <w:r w:rsidRPr="000F252A">
              <w:t>09.01.2026</w:t>
            </w:r>
          </w:p>
        </w:tc>
        <w:tc>
          <w:tcPr>
            <w:tcW w:w="1418" w:type="dxa"/>
            <w:shd w:val="clear" w:color="auto" w:fill="auto"/>
          </w:tcPr>
          <w:p w:rsidR="000F252A" w:rsidRPr="000F252A" w:rsidRDefault="000F252A" w:rsidP="000F252A">
            <w:pPr>
              <w:spacing w:line="245" w:lineRule="auto"/>
              <w:jc w:val="center"/>
            </w:pPr>
            <w:r w:rsidRPr="000F252A">
              <w:t>31.12.2030</w:t>
            </w:r>
          </w:p>
        </w:tc>
        <w:tc>
          <w:tcPr>
            <w:tcW w:w="3912" w:type="dxa"/>
            <w:shd w:val="clear" w:color="auto" w:fill="auto"/>
          </w:tcPr>
          <w:p w:rsidR="000F252A" w:rsidRPr="000F252A" w:rsidRDefault="000F252A" w:rsidP="000F252A">
            <w:pPr>
              <w:spacing w:line="245" w:lineRule="auto"/>
              <w:jc w:val="both"/>
            </w:pPr>
            <w:r w:rsidRPr="000F252A">
              <w:t xml:space="preserve">главный врач ГАУЗ </w:t>
            </w:r>
            <w:r w:rsidRPr="000F252A">
              <w:rPr>
                <w:rFonts w:eastAsia="Arial"/>
              </w:rPr>
              <w:t>«РКОД МЗ РТ им.проф.М.З.Сигала»</w:t>
            </w:r>
            <w:r w:rsidRPr="000F252A">
              <w:t xml:space="preserve"> М.Ф.Мухамадеев</w:t>
            </w:r>
          </w:p>
        </w:tc>
        <w:tc>
          <w:tcPr>
            <w:tcW w:w="3969" w:type="dxa"/>
            <w:shd w:val="clear" w:color="auto" w:fill="auto"/>
          </w:tcPr>
          <w:p w:rsidR="000F252A" w:rsidRPr="000F252A" w:rsidRDefault="000F252A" w:rsidP="000F252A">
            <w:pPr>
              <w:spacing w:line="245" w:lineRule="auto"/>
              <w:jc w:val="both"/>
            </w:pPr>
            <w:r w:rsidRPr="000F252A">
              <w:t xml:space="preserve">ежеквартально </w:t>
            </w:r>
            <w:r w:rsidR="0069531D">
              <w:t>проводится</w:t>
            </w:r>
            <w:r w:rsidR="0069531D" w:rsidRPr="000F252A">
              <w:t xml:space="preserve"> </w:t>
            </w:r>
            <w:r w:rsidRPr="000F252A">
              <w:t xml:space="preserve">мониторинг доли случаев проведения лучевых и химиолучевых методов лечения в условиях дневного стационара от общего числа случаев проведения лучевых и химиолучевых методов лечения в условиях круглосуточного и дневного стационаров; </w:t>
            </w:r>
          </w:p>
          <w:p w:rsidR="000F252A" w:rsidRPr="000F252A" w:rsidRDefault="000F252A" w:rsidP="000F252A">
            <w:pPr>
              <w:spacing w:line="245" w:lineRule="auto"/>
              <w:jc w:val="both"/>
            </w:pPr>
            <w:r w:rsidRPr="000F252A">
              <w:t xml:space="preserve">целевой показатель – не менее </w:t>
            </w:r>
            <w:r w:rsidR="0069531D">
              <w:br/>
            </w:r>
            <w:r w:rsidRPr="000F252A">
              <w:t>60 процентов (ежегодно)</w:t>
            </w:r>
          </w:p>
        </w:tc>
      </w:tr>
      <w:tr w:rsidR="000F252A" w:rsidRPr="009D3B11" w:rsidTr="00AC795F">
        <w:trPr>
          <w:trHeight w:val="2673"/>
        </w:trPr>
        <w:tc>
          <w:tcPr>
            <w:tcW w:w="704" w:type="dxa"/>
            <w:shd w:val="clear" w:color="auto" w:fill="auto"/>
          </w:tcPr>
          <w:p w:rsidR="000F252A" w:rsidRPr="000F252A" w:rsidRDefault="000F252A" w:rsidP="00461C2C">
            <w:pPr>
              <w:jc w:val="center"/>
            </w:pPr>
            <w:r w:rsidRPr="000F252A">
              <w:t>5.2</w:t>
            </w:r>
            <w:r w:rsidR="00461C2C">
              <w:t>3</w:t>
            </w:r>
            <w:r w:rsidRPr="000F252A">
              <w:t>.</w:t>
            </w:r>
          </w:p>
        </w:tc>
        <w:tc>
          <w:tcPr>
            <w:tcW w:w="3686" w:type="dxa"/>
            <w:shd w:val="clear" w:color="auto" w:fill="auto"/>
          </w:tcPr>
          <w:p w:rsidR="000F252A" w:rsidRPr="000F252A" w:rsidRDefault="000F252A" w:rsidP="000F252A">
            <w:pPr>
              <w:spacing w:line="245" w:lineRule="auto"/>
              <w:jc w:val="both"/>
            </w:pPr>
            <w:r w:rsidRPr="000F252A">
              <w:t>Мониторинг длительности госпитализации при оказании специализированной, в том числе высокотехнологичной, медицинской помощи в условиях круглосуточного стационара на койках радиологического профиля</w:t>
            </w:r>
          </w:p>
        </w:tc>
        <w:tc>
          <w:tcPr>
            <w:tcW w:w="1474" w:type="dxa"/>
            <w:shd w:val="clear" w:color="auto" w:fill="auto"/>
          </w:tcPr>
          <w:p w:rsidR="000F252A" w:rsidRPr="000F252A" w:rsidRDefault="000F252A" w:rsidP="000F252A">
            <w:pPr>
              <w:spacing w:line="245" w:lineRule="auto"/>
              <w:jc w:val="center"/>
            </w:pPr>
            <w:r w:rsidRPr="000F252A">
              <w:t>09.01.2026</w:t>
            </w:r>
          </w:p>
        </w:tc>
        <w:tc>
          <w:tcPr>
            <w:tcW w:w="1418" w:type="dxa"/>
            <w:shd w:val="clear" w:color="auto" w:fill="auto"/>
          </w:tcPr>
          <w:p w:rsidR="000F252A" w:rsidRPr="000F252A" w:rsidRDefault="000F252A" w:rsidP="000F252A">
            <w:pPr>
              <w:spacing w:line="245" w:lineRule="auto"/>
              <w:jc w:val="center"/>
            </w:pPr>
            <w:r w:rsidRPr="000F252A">
              <w:t>31.12.2030</w:t>
            </w:r>
          </w:p>
        </w:tc>
        <w:tc>
          <w:tcPr>
            <w:tcW w:w="3912" w:type="dxa"/>
            <w:shd w:val="clear" w:color="auto" w:fill="auto"/>
          </w:tcPr>
          <w:p w:rsidR="000F252A" w:rsidRPr="000F252A" w:rsidRDefault="000F252A" w:rsidP="000F252A">
            <w:pPr>
              <w:spacing w:line="245" w:lineRule="auto"/>
              <w:jc w:val="both"/>
            </w:pPr>
            <w:r w:rsidRPr="000F252A">
              <w:t xml:space="preserve">главный врач ГАУЗ </w:t>
            </w:r>
            <w:r w:rsidRPr="000F252A">
              <w:rPr>
                <w:rFonts w:eastAsia="Arial"/>
              </w:rPr>
              <w:t>«РКОД МЗ РТ им.проф.М.З.Сигала»</w:t>
            </w:r>
            <w:r w:rsidRPr="000F252A">
              <w:t xml:space="preserve"> М.Ф.Мухамадеев</w:t>
            </w:r>
          </w:p>
        </w:tc>
        <w:tc>
          <w:tcPr>
            <w:tcW w:w="3969" w:type="dxa"/>
            <w:shd w:val="clear" w:color="auto" w:fill="auto"/>
          </w:tcPr>
          <w:p w:rsidR="000F252A" w:rsidRPr="000F252A" w:rsidRDefault="000F252A" w:rsidP="000F252A">
            <w:pPr>
              <w:spacing w:line="245" w:lineRule="auto"/>
              <w:jc w:val="both"/>
            </w:pPr>
            <w:r w:rsidRPr="000F252A">
              <w:t xml:space="preserve">ежеквартально </w:t>
            </w:r>
            <w:r w:rsidR="0069531D">
              <w:t>проводится</w:t>
            </w:r>
            <w:r w:rsidR="0069531D" w:rsidRPr="000F252A">
              <w:t xml:space="preserve"> </w:t>
            </w:r>
            <w:r w:rsidRPr="000F252A">
              <w:t xml:space="preserve">мониторинг длительности госпитализации при оказании специализированной, в том числе высокотехнологичной, медицинской помощи в условиях круглосуточного стационара на койках радиологического профиля; </w:t>
            </w:r>
          </w:p>
          <w:p w:rsidR="000F252A" w:rsidRPr="000F252A" w:rsidRDefault="000F252A" w:rsidP="000F252A">
            <w:pPr>
              <w:spacing w:line="245" w:lineRule="auto"/>
              <w:jc w:val="both"/>
            </w:pPr>
            <w:r w:rsidRPr="000F252A">
              <w:t xml:space="preserve">целевой показатель – не более </w:t>
            </w:r>
            <w:r w:rsidR="0069531D">
              <w:br/>
            </w:r>
            <w:r w:rsidRPr="000F252A">
              <w:t>30 койко-дней (ежегодно)</w:t>
            </w:r>
          </w:p>
        </w:tc>
      </w:tr>
      <w:tr w:rsidR="000F252A" w:rsidRPr="009D3B11" w:rsidTr="00AC795F">
        <w:trPr>
          <w:trHeight w:val="20"/>
        </w:trPr>
        <w:tc>
          <w:tcPr>
            <w:tcW w:w="704" w:type="dxa"/>
            <w:shd w:val="clear" w:color="auto" w:fill="auto"/>
          </w:tcPr>
          <w:p w:rsidR="000F252A" w:rsidRPr="000F252A" w:rsidRDefault="000F252A" w:rsidP="00461C2C">
            <w:pPr>
              <w:jc w:val="center"/>
            </w:pPr>
            <w:r w:rsidRPr="000F252A">
              <w:t>5.2</w:t>
            </w:r>
            <w:r w:rsidR="00461C2C">
              <w:t>4</w:t>
            </w:r>
            <w:r w:rsidRPr="000F252A">
              <w:t>.</w:t>
            </w:r>
          </w:p>
        </w:tc>
        <w:tc>
          <w:tcPr>
            <w:tcW w:w="3686" w:type="dxa"/>
            <w:shd w:val="clear" w:color="auto" w:fill="auto"/>
          </w:tcPr>
          <w:p w:rsidR="000F252A" w:rsidRPr="000F252A" w:rsidRDefault="000F252A" w:rsidP="000F252A">
            <w:pPr>
              <w:spacing w:line="245" w:lineRule="auto"/>
              <w:jc w:val="both"/>
            </w:pPr>
            <w:r w:rsidRPr="000F252A">
              <w:t>Мониторинг доли пациентов с онкологическими заболеваниями, которым была проведена паллиативная (симптоматическая) дистанционная лучевая терапия, от общего количества случаев лучевой терапии</w:t>
            </w:r>
          </w:p>
        </w:tc>
        <w:tc>
          <w:tcPr>
            <w:tcW w:w="1474" w:type="dxa"/>
            <w:shd w:val="clear" w:color="auto" w:fill="auto"/>
          </w:tcPr>
          <w:p w:rsidR="000F252A" w:rsidRPr="000F252A" w:rsidRDefault="000F252A" w:rsidP="000F252A">
            <w:pPr>
              <w:spacing w:line="245" w:lineRule="auto"/>
              <w:jc w:val="center"/>
            </w:pPr>
            <w:r w:rsidRPr="000F252A">
              <w:t>09.01.2026</w:t>
            </w:r>
          </w:p>
        </w:tc>
        <w:tc>
          <w:tcPr>
            <w:tcW w:w="1418" w:type="dxa"/>
            <w:shd w:val="clear" w:color="auto" w:fill="auto"/>
          </w:tcPr>
          <w:p w:rsidR="000F252A" w:rsidRPr="000F252A" w:rsidRDefault="000F252A" w:rsidP="000F252A">
            <w:pPr>
              <w:spacing w:line="245" w:lineRule="auto"/>
              <w:jc w:val="center"/>
            </w:pPr>
            <w:r w:rsidRPr="000F252A">
              <w:t>31.12.2030</w:t>
            </w:r>
          </w:p>
        </w:tc>
        <w:tc>
          <w:tcPr>
            <w:tcW w:w="3912" w:type="dxa"/>
            <w:shd w:val="clear" w:color="auto" w:fill="auto"/>
          </w:tcPr>
          <w:p w:rsidR="000F252A" w:rsidRPr="000F252A" w:rsidRDefault="000F252A" w:rsidP="000F252A">
            <w:pPr>
              <w:spacing w:line="245" w:lineRule="auto"/>
              <w:jc w:val="both"/>
            </w:pPr>
            <w:r w:rsidRPr="000F252A">
              <w:t xml:space="preserve">главный врач ГАУЗ </w:t>
            </w:r>
            <w:r w:rsidRPr="000F252A">
              <w:rPr>
                <w:rFonts w:eastAsia="Arial"/>
              </w:rPr>
              <w:t>«РКОД МЗ РТ им.проф.М.З.Сигала»</w:t>
            </w:r>
            <w:r w:rsidRPr="000F252A">
              <w:t xml:space="preserve"> М.Ф.Мухамадеев</w:t>
            </w:r>
          </w:p>
        </w:tc>
        <w:tc>
          <w:tcPr>
            <w:tcW w:w="3969" w:type="dxa"/>
            <w:shd w:val="clear" w:color="auto" w:fill="auto"/>
          </w:tcPr>
          <w:p w:rsidR="000F252A" w:rsidRPr="000F252A" w:rsidRDefault="000F252A" w:rsidP="000F252A">
            <w:pPr>
              <w:spacing w:line="245" w:lineRule="auto"/>
              <w:jc w:val="both"/>
            </w:pPr>
            <w:r w:rsidRPr="000F252A">
              <w:t xml:space="preserve">ежеквартально </w:t>
            </w:r>
            <w:r w:rsidR="0069531D">
              <w:t>проводится</w:t>
            </w:r>
            <w:r w:rsidR="0069531D" w:rsidRPr="000F252A">
              <w:t xml:space="preserve"> </w:t>
            </w:r>
            <w:r w:rsidRPr="000F252A">
              <w:t xml:space="preserve">мониторинг доли пациентов с онкологическими заболеваниями, которым была проведена паллиативная (симптоматическая) дистанционная лучевая терапия, от общего количества случаев лучевой терапии; </w:t>
            </w:r>
          </w:p>
          <w:p w:rsidR="000F252A" w:rsidRPr="000F252A" w:rsidRDefault="000F252A" w:rsidP="000F252A">
            <w:pPr>
              <w:spacing w:line="245" w:lineRule="auto"/>
              <w:jc w:val="both"/>
            </w:pPr>
            <w:r w:rsidRPr="000F252A">
              <w:t xml:space="preserve">целевой показатель – не менее </w:t>
            </w:r>
            <w:r w:rsidR="0069531D">
              <w:br/>
            </w:r>
            <w:r w:rsidRPr="000F252A">
              <w:t>15 процентов (ежегодно)</w:t>
            </w:r>
          </w:p>
        </w:tc>
      </w:tr>
      <w:tr w:rsidR="000F252A" w:rsidRPr="009D3B11" w:rsidTr="00AC795F">
        <w:trPr>
          <w:trHeight w:val="20"/>
        </w:trPr>
        <w:tc>
          <w:tcPr>
            <w:tcW w:w="704" w:type="dxa"/>
            <w:shd w:val="clear" w:color="auto" w:fill="auto"/>
          </w:tcPr>
          <w:p w:rsidR="000F252A" w:rsidRPr="000F252A" w:rsidRDefault="000F252A" w:rsidP="00461C2C">
            <w:pPr>
              <w:jc w:val="center"/>
            </w:pPr>
            <w:r w:rsidRPr="000F252A">
              <w:t>5.2</w:t>
            </w:r>
            <w:r w:rsidR="00461C2C">
              <w:t>5</w:t>
            </w:r>
            <w:r w:rsidRPr="000F252A">
              <w:t>.</w:t>
            </w:r>
          </w:p>
        </w:tc>
        <w:tc>
          <w:tcPr>
            <w:tcW w:w="3686" w:type="dxa"/>
            <w:shd w:val="clear" w:color="auto" w:fill="auto"/>
          </w:tcPr>
          <w:p w:rsidR="000F252A" w:rsidRPr="000F252A" w:rsidRDefault="000F252A" w:rsidP="000F252A">
            <w:pPr>
              <w:jc w:val="both"/>
            </w:pPr>
            <w:r w:rsidRPr="000F252A">
              <w:t>Мониторинг доли пациентов с плоскоклеточным раком головы и шеи, которым проводилась химиолучевая терапия, от общего количества больных с впервые установленным диагнозом плоскоклеточного рака головы и шеи</w:t>
            </w:r>
          </w:p>
        </w:tc>
        <w:tc>
          <w:tcPr>
            <w:tcW w:w="1474" w:type="dxa"/>
            <w:shd w:val="clear" w:color="auto" w:fill="auto"/>
          </w:tcPr>
          <w:p w:rsidR="000F252A" w:rsidRPr="000F252A" w:rsidRDefault="000F252A" w:rsidP="000F252A">
            <w:pPr>
              <w:jc w:val="center"/>
            </w:pPr>
            <w:r w:rsidRPr="000F252A">
              <w:t>09.01.2026</w:t>
            </w:r>
          </w:p>
        </w:tc>
        <w:tc>
          <w:tcPr>
            <w:tcW w:w="1418" w:type="dxa"/>
            <w:shd w:val="clear" w:color="auto" w:fill="auto"/>
          </w:tcPr>
          <w:p w:rsidR="000F252A" w:rsidRPr="000F252A" w:rsidRDefault="000F252A" w:rsidP="000F252A">
            <w:pPr>
              <w:jc w:val="center"/>
            </w:pPr>
            <w:r w:rsidRPr="000F252A">
              <w:t>31.12.2030</w:t>
            </w:r>
          </w:p>
        </w:tc>
        <w:tc>
          <w:tcPr>
            <w:tcW w:w="3912" w:type="dxa"/>
            <w:shd w:val="clear" w:color="auto" w:fill="auto"/>
          </w:tcPr>
          <w:p w:rsidR="000F252A" w:rsidRPr="000F252A" w:rsidRDefault="000F252A" w:rsidP="000F252A">
            <w:pPr>
              <w:jc w:val="both"/>
            </w:pPr>
            <w:r w:rsidRPr="000F252A">
              <w:t xml:space="preserve">главный врач ГАУЗ </w:t>
            </w:r>
            <w:r w:rsidRPr="000F252A">
              <w:rPr>
                <w:rFonts w:eastAsia="Arial"/>
              </w:rPr>
              <w:t>«РКОД МЗ РТ им.проф.М.З.Сигала»</w:t>
            </w:r>
            <w:r w:rsidR="0069531D">
              <w:t xml:space="preserve"> </w:t>
            </w:r>
            <w:r w:rsidRPr="000F252A">
              <w:t>М.Ф.Мухамадеев</w:t>
            </w:r>
          </w:p>
        </w:tc>
        <w:tc>
          <w:tcPr>
            <w:tcW w:w="3969" w:type="dxa"/>
            <w:shd w:val="clear" w:color="auto" w:fill="auto"/>
          </w:tcPr>
          <w:p w:rsidR="000F252A" w:rsidRPr="000F252A" w:rsidRDefault="000F252A" w:rsidP="000F252A">
            <w:pPr>
              <w:jc w:val="both"/>
            </w:pPr>
            <w:r w:rsidRPr="000F252A">
              <w:t xml:space="preserve">ежеквартально </w:t>
            </w:r>
            <w:r w:rsidR="0069531D">
              <w:t>проводится</w:t>
            </w:r>
            <w:r w:rsidR="0069531D" w:rsidRPr="000F252A">
              <w:t xml:space="preserve"> </w:t>
            </w:r>
            <w:r w:rsidRPr="000F252A">
              <w:t xml:space="preserve">мониторинг доли пациентов с плоскоклеточным раком головы и шеи, которым проводилась химиолучевая терапия, от общего количества больных с впервые установленным диагнозом плоскоклеточного рака головы и шеи; </w:t>
            </w:r>
          </w:p>
          <w:p w:rsidR="000F252A" w:rsidRPr="000F252A" w:rsidRDefault="000F252A" w:rsidP="000F252A">
            <w:pPr>
              <w:jc w:val="both"/>
            </w:pPr>
            <w:r w:rsidRPr="000F252A">
              <w:t xml:space="preserve">целевой показатель – не менее </w:t>
            </w:r>
            <w:r w:rsidR="0069531D">
              <w:br/>
            </w:r>
            <w:r w:rsidRPr="000F252A">
              <w:t>40 процентов (ежегодно)</w:t>
            </w:r>
          </w:p>
        </w:tc>
      </w:tr>
      <w:tr w:rsidR="000F252A" w:rsidRPr="009D3B11" w:rsidTr="00AC795F">
        <w:trPr>
          <w:trHeight w:val="20"/>
        </w:trPr>
        <w:tc>
          <w:tcPr>
            <w:tcW w:w="704" w:type="dxa"/>
            <w:shd w:val="clear" w:color="auto" w:fill="auto"/>
          </w:tcPr>
          <w:p w:rsidR="000F252A" w:rsidRPr="000F252A" w:rsidRDefault="000F252A" w:rsidP="00461C2C">
            <w:pPr>
              <w:jc w:val="center"/>
            </w:pPr>
            <w:r w:rsidRPr="000F252A">
              <w:t>5.2</w:t>
            </w:r>
            <w:r w:rsidR="00461C2C">
              <w:t>6</w:t>
            </w:r>
            <w:r w:rsidRPr="000F252A">
              <w:t>.</w:t>
            </w:r>
          </w:p>
        </w:tc>
        <w:tc>
          <w:tcPr>
            <w:tcW w:w="3686" w:type="dxa"/>
            <w:shd w:val="clear" w:color="auto" w:fill="auto"/>
          </w:tcPr>
          <w:p w:rsidR="000F252A" w:rsidRPr="000F252A" w:rsidRDefault="000F252A" w:rsidP="000F252A">
            <w:pPr>
              <w:jc w:val="both"/>
            </w:pPr>
            <w:r w:rsidRPr="000F252A">
              <w:t>Мониторинг доли пациентов с онкологическими заболеваниями, которым была проведена дистан-</w:t>
            </w:r>
            <w:r w:rsidRPr="000F252A">
              <w:br/>
              <w:t>ционная лучевая терапия с использованием технологий регистрации фаз дыхания, от общего количества случаев лучевой терапии</w:t>
            </w:r>
          </w:p>
        </w:tc>
        <w:tc>
          <w:tcPr>
            <w:tcW w:w="1474" w:type="dxa"/>
            <w:shd w:val="clear" w:color="auto" w:fill="auto"/>
          </w:tcPr>
          <w:p w:rsidR="000F252A" w:rsidRPr="000F252A" w:rsidRDefault="000F252A" w:rsidP="000F252A">
            <w:pPr>
              <w:jc w:val="center"/>
            </w:pPr>
            <w:r w:rsidRPr="000F252A">
              <w:t>09.01.2026</w:t>
            </w:r>
          </w:p>
        </w:tc>
        <w:tc>
          <w:tcPr>
            <w:tcW w:w="1418" w:type="dxa"/>
            <w:shd w:val="clear" w:color="auto" w:fill="auto"/>
          </w:tcPr>
          <w:p w:rsidR="000F252A" w:rsidRPr="000F252A" w:rsidRDefault="000F252A" w:rsidP="000F252A">
            <w:pPr>
              <w:jc w:val="center"/>
            </w:pPr>
            <w:r w:rsidRPr="000F252A">
              <w:t>31.12.2030</w:t>
            </w:r>
          </w:p>
        </w:tc>
        <w:tc>
          <w:tcPr>
            <w:tcW w:w="3912" w:type="dxa"/>
            <w:shd w:val="clear" w:color="auto" w:fill="auto"/>
          </w:tcPr>
          <w:p w:rsidR="000F252A" w:rsidRPr="000F252A" w:rsidRDefault="000F252A" w:rsidP="000F252A">
            <w:pPr>
              <w:jc w:val="both"/>
            </w:pPr>
            <w:r w:rsidRPr="000F252A">
              <w:t xml:space="preserve">главный врач ГАУЗ </w:t>
            </w:r>
            <w:r w:rsidRPr="000F252A">
              <w:rPr>
                <w:rFonts w:eastAsia="Arial"/>
              </w:rPr>
              <w:t xml:space="preserve">«РКОД МЗ РТ им.проф.М.З.Сигала» </w:t>
            </w:r>
            <w:r w:rsidRPr="000F252A">
              <w:t>М.Ф.Мухамадеев</w:t>
            </w:r>
          </w:p>
        </w:tc>
        <w:tc>
          <w:tcPr>
            <w:tcW w:w="3969" w:type="dxa"/>
            <w:shd w:val="clear" w:color="auto" w:fill="auto"/>
          </w:tcPr>
          <w:p w:rsidR="000F252A" w:rsidRPr="000F252A" w:rsidRDefault="000F252A" w:rsidP="000F252A">
            <w:pPr>
              <w:jc w:val="both"/>
            </w:pPr>
            <w:r w:rsidRPr="000F252A">
              <w:t xml:space="preserve">ежеквартально </w:t>
            </w:r>
            <w:r w:rsidR="0069531D">
              <w:t>проводится</w:t>
            </w:r>
            <w:r w:rsidR="0069531D" w:rsidRPr="000F252A">
              <w:t xml:space="preserve"> </w:t>
            </w:r>
            <w:r w:rsidRPr="000F252A">
              <w:t xml:space="preserve">мониторинг доли пациентов с онкологическими заболеваниями, которым была проведена дистанционная лучевая терапия с использованием технологий регистрации фаз дыхания, от общего количества случаев лучевой терапии; </w:t>
            </w:r>
          </w:p>
          <w:p w:rsidR="000F252A" w:rsidRPr="000F252A" w:rsidRDefault="000F252A" w:rsidP="000F252A">
            <w:pPr>
              <w:jc w:val="both"/>
            </w:pPr>
            <w:r w:rsidRPr="000F252A">
              <w:t xml:space="preserve">целевой показатель – не менее </w:t>
            </w:r>
            <w:r w:rsidR="0069531D">
              <w:br/>
            </w:r>
            <w:r w:rsidRPr="000F252A">
              <w:t>10 процентов (ежегодно)</w:t>
            </w:r>
          </w:p>
        </w:tc>
      </w:tr>
      <w:tr w:rsidR="000F252A" w:rsidRPr="009D3B11" w:rsidTr="00AC795F">
        <w:trPr>
          <w:trHeight w:val="20"/>
        </w:trPr>
        <w:tc>
          <w:tcPr>
            <w:tcW w:w="704" w:type="dxa"/>
            <w:shd w:val="clear" w:color="auto" w:fill="auto"/>
          </w:tcPr>
          <w:p w:rsidR="000F252A" w:rsidRPr="000F252A" w:rsidRDefault="000F252A" w:rsidP="00461C2C">
            <w:pPr>
              <w:jc w:val="center"/>
            </w:pPr>
            <w:r w:rsidRPr="000F252A">
              <w:t>5.2</w:t>
            </w:r>
            <w:r w:rsidR="00461C2C">
              <w:t>7</w:t>
            </w:r>
            <w:r w:rsidRPr="000F252A">
              <w:t>.</w:t>
            </w:r>
          </w:p>
        </w:tc>
        <w:tc>
          <w:tcPr>
            <w:tcW w:w="3686" w:type="dxa"/>
            <w:shd w:val="clear" w:color="auto" w:fill="auto"/>
          </w:tcPr>
          <w:p w:rsidR="000F252A" w:rsidRPr="000F252A" w:rsidRDefault="000F252A" w:rsidP="000F252A">
            <w:pPr>
              <w:jc w:val="both"/>
            </w:pPr>
            <w:r w:rsidRPr="000F252A">
              <w:t>Мониторинг доли пациентов с онкогинекологическими заболеваниями, которым проведено 3D-планирование при контактной лучевой терапии, от общего количества планирований (2D и 3D-планирование) при  контактной лучевой терапии онкогинекологической патологии</w:t>
            </w:r>
          </w:p>
        </w:tc>
        <w:tc>
          <w:tcPr>
            <w:tcW w:w="1474" w:type="dxa"/>
            <w:shd w:val="clear" w:color="auto" w:fill="auto"/>
          </w:tcPr>
          <w:p w:rsidR="000F252A" w:rsidRPr="000F252A" w:rsidRDefault="000F252A" w:rsidP="000F252A">
            <w:pPr>
              <w:jc w:val="center"/>
            </w:pPr>
            <w:r w:rsidRPr="000F252A">
              <w:t>09.01.2026</w:t>
            </w:r>
          </w:p>
        </w:tc>
        <w:tc>
          <w:tcPr>
            <w:tcW w:w="1418" w:type="dxa"/>
            <w:shd w:val="clear" w:color="auto" w:fill="auto"/>
          </w:tcPr>
          <w:p w:rsidR="000F252A" w:rsidRPr="000F252A" w:rsidRDefault="000F252A" w:rsidP="000F252A">
            <w:pPr>
              <w:jc w:val="center"/>
            </w:pPr>
            <w:r w:rsidRPr="000F252A">
              <w:t>31.12.2030</w:t>
            </w:r>
          </w:p>
        </w:tc>
        <w:tc>
          <w:tcPr>
            <w:tcW w:w="3912" w:type="dxa"/>
            <w:shd w:val="clear" w:color="auto" w:fill="auto"/>
          </w:tcPr>
          <w:p w:rsidR="000F252A" w:rsidRPr="000F252A" w:rsidRDefault="000F252A" w:rsidP="000F252A">
            <w:pPr>
              <w:jc w:val="both"/>
            </w:pPr>
            <w:r w:rsidRPr="000F252A">
              <w:t xml:space="preserve">главный врач ГАУЗ </w:t>
            </w:r>
            <w:r w:rsidRPr="000F252A">
              <w:rPr>
                <w:rFonts w:eastAsia="Arial"/>
              </w:rPr>
              <w:t>«РКОД МЗ РТ им.проф.М.З.Сигала»</w:t>
            </w:r>
            <w:r w:rsidRPr="000F252A">
              <w:t xml:space="preserve"> М.Ф.Мухамадеев</w:t>
            </w:r>
          </w:p>
        </w:tc>
        <w:tc>
          <w:tcPr>
            <w:tcW w:w="3969" w:type="dxa"/>
            <w:shd w:val="clear" w:color="auto" w:fill="auto"/>
          </w:tcPr>
          <w:p w:rsidR="000F252A" w:rsidRPr="000F252A" w:rsidRDefault="000F252A" w:rsidP="000F252A">
            <w:pPr>
              <w:jc w:val="both"/>
            </w:pPr>
            <w:r w:rsidRPr="000F252A">
              <w:t xml:space="preserve">ежеквартально </w:t>
            </w:r>
            <w:r w:rsidR="006A784B">
              <w:t>проводится</w:t>
            </w:r>
            <w:r w:rsidR="006A784B" w:rsidRPr="000F252A">
              <w:t xml:space="preserve"> </w:t>
            </w:r>
            <w:r w:rsidRPr="000F252A">
              <w:t xml:space="preserve">мониторинг доли пациентов с онкогинекологическими заболеваниями, которым проведено 3D-планирование при контактной лучевой терапии, от общего количества планирований (2D и 3D-планирование) при контактной лучевой терапии онкогинекологической патологии; </w:t>
            </w:r>
          </w:p>
          <w:p w:rsidR="000F252A" w:rsidRPr="000F252A" w:rsidRDefault="006A784B" w:rsidP="000F252A">
            <w:pPr>
              <w:jc w:val="both"/>
            </w:pPr>
            <w:r>
              <w:t xml:space="preserve">целевой показатель – </w:t>
            </w:r>
            <w:r w:rsidR="000F252A" w:rsidRPr="000F252A">
              <w:t xml:space="preserve">не менее </w:t>
            </w:r>
            <w:r>
              <w:br/>
            </w:r>
            <w:r w:rsidR="000F252A" w:rsidRPr="000F252A">
              <w:t>80 процентов (ежегодно)</w:t>
            </w:r>
          </w:p>
        </w:tc>
      </w:tr>
      <w:tr w:rsidR="000F252A" w:rsidRPr="009D3B11" w:rsidTr="00AC795F">
        <w:trPr>
          <w:trHeight w:val="20"/>
        </w:trPr>
        <w:tc>
          <w:tcPr>
            <w:tcW w:w="704" w:type="dxa"/>
            <w:shd w:val="clear" w:color="auto" w:fill="auto"/>
          </w:tcPr>
          <w:p w:rsidR="000F252A" w:rsidRPr="000F252A" w:rsidRDefault="000F252A" w:rsidP="00162B9C">
            <w:pPr>
              <w:jc w:val="center"/>
            </w:pPr>
            <w:r w:rsidRPr="000F252A">
              <w:t>5.</w:t>
            </w:r>
            <w:r w:rsidR="00162B9C">
              <w:t>28</w:t>
            </w:r>
            <w:r w:rsidRPr="000F252A">
              <w:t>.</w:t>
            </w:r>
          </w:p>
        </w:tc>
        <w:tc>
          <w:tcPr>
            <w:tcW w:w="3686" w:type="dxa"/>
            <w:shd w:val="clear" w:color="auto" w:fill="auto"/>
          </w:tcPr>
          <w:p w:rsidR="000F252A" w:rsidRPr="000F252A" w:rsidRDefault="000F252A" w:rsidP="000F252A">
            <w:pPr>
              <w:jc w:val="both"/>
            </w:pPr>
            <w:r w:rsidRPr="000F252A">
              <w:t>Мониторинг доли пациентов с раком легкого III стадии, которым проводилась химиолучевая терапия, от общего количества больных с впервые установленным диагнозом рака легкого III стадии</w:t>
            </w:r>
          </w:p>
        </w:tc>
        <w:tc>
          <w:tcPr>
            <w:tcW w:w="1474" w:type="dxa"/>
            <w:shd w:val="clear" w:color="auto" w:fill="auto"/>
          </w:tcPr>
          <w:p w:rsidR="000F252A" w:rsidRPr="000F252A" w:rsidRDefault="000F252A" w:rsidP="000F252A">
            <w:pPr>
              <w:jc w:val="center"/>
            </w:pPr>
            <w:r w:rsidRPr="000F252A">
              <w:t>09.01.2026</w:t>
            </w:r>
          </w:p>
        </w:tc>
        <w:tc>
          <w:tcPr>
            <w:tcW w:w="1418" w:type="dxa"/>
            <w:shd w:val="clear" w:color="auto" w:fill="auto"/>
          </w:tcPr>
          <w:p w:rsidR="000F252A" w:rsidRPr="000F252A" w:rsidRDefault="000F252A" w:rsidP="000F252A">
            <w:pPr>
              <w:jc w:val="center"/>
            </w:pPr>
            <w:r w:rsidRPr="000F252A">
              <w:t>31.12.2030</w:t>
            </w:r>
          </w:p>
        </w:tc>
        <w:tc>
          <w:tcPr>
            <w:tcW w:w="3912" w:type="dxa"/>
            <w:shd w:val="clear" w:color="auto" w:fill="auto"/>
          </w:tcPr>
          <w:p w:rsidR="000F252A" w:rsidRPr="000F252A" w:rsidRDefault="000F252A" w:rsidP="000F252A">
            <w:pPr>
              <w:jc w:val="both"/>
            </w:pPr>
            <w:r w:rsidRPr="000F252A">
              <w:t xml:space="preserve">главный врач ГАУЗ </w:t>
            </w:r>
            <w:r w:rsidRPr="000F252A">
              <w:rPr>
                <w:rFonts w:eastAsia="Arial"/>
              </w:rPr>
              <w:t>«РКОД МЗ РТ им.проф.М.З.Сигала»</w:t>
            </w:r>
            <w:r w:rsidRPr="000F252A">
              <w:t xml:space="preserve"> М.Ф.Мухамадеев</w:t>
            </w:r>
          </w:p>
        </w:tc>
        <w:tc>
          <w:tcPr>
            <w:tcW w:w="3969" w:type="dxa"/>
            <w:shd w:val="clear" w:color="auto" w:fill="auto"/>
          </w:tcPr>
          <w:p w:rsidR="000F252A" w:rsidRPr="000F252A" w:rsidRDefault="000F252A" w:rsidP="000F252A">
            <w:pPr>
              <w:jc w:val="both"/>
            </w:pPr>
            <w:r w:rsidRPr="000F252A">
              <w:t xml:space="preserve">ежеквартально </w:t>
            </w:r>
            <w:r w:rsidR="006A784B">
              <w:t>проводится</w:t>
            </w:r>
            <w:r w:rsidR="006A784B" w:rsidRPr="000F252A">
              <w:t xml:space="preserve"> </w:t>
            </w:r>
            <w:r w:rsidRPr="000F252A">
              <w:t xml:space="preserve">мониторинг доли пациентов с раком легкого III стадии, которым проводилась химиолучевая терапия, от общего количества больных с впервые установленным диагнозом рака легкого III стадии; </w:t>
            </w:r>
          </w:p>
          <w:p w:rsidR="000F252A" w:rsidRPr="000F252A" w:rsidRDefault="000F252A" w:rsidP="000F252A">
            <w:pPr>
              <w:jc w:val="both"/>
            </w:pPr>
            <w:r w:rsidRPr="000F252A">
              <w:t xml:space="preserve">целевой показатель – не менее </w:t>
            </w:r>
            <w:r w:rsidR="006A784B">
              <w:br/>
            </w:r>
            <w:r w:rsidRPr="000F252A">
              <w:t>70 процентов (ежегодно)</w:t>
            </w:r>
          </w:p>
        </w:tc>
      </w:tr>
      <w:tr w:rsidR="000F252A" w:rsidRPr="009D3B11" w:rsidTr="00AC795F">
        <w:trPr>
          <w:trHeight w:val="20"/>
        </w:trPr>
        <w:tc>
          <w:tcPr>
            <w:tcW w:w="704" w:type="dxa"/>
            <w:shd w:val="clear" w:color="auto" w:fill="auto"/>
          </w:tcPr>
          <w:p w:rsidR="000F252A" w:rsidRPr="000F252A" w:rsidRDefault="000F252A" w:rsidP="00162B9C">
            <w:pPr>
              <w:jc w:val="center"/>
            </w:pPr>
            <w:r w:rsidRPr="000F252A">
              <w:t>5.</w:t>
            </w:r>
            <w:r w:rsidR="00162B9C">
              <w:t>29</w:t>
            </w:r>
            <w:r w:rsidRPr="000F252A">
              <w:t>.</w:t>
            </w:r>
          </w:p>
        </w:tc>
        <w:tc>
          <w:tcPr>
            <w:tcW w:w="3686" w:type="dxa"/>
            <w:shd w:val="clear" w:color="auto" w:fill="auto"/>
          </w:tcPr>
          <w:p w:rsidR="000F252A" w:rsidRPr="000F252A" w:rsidRDefault="000F252A" w:rsidP="000F252A">
            <w:pPr>
              <w:jc w:val="both"/>
            </w:pPr>
            <w:r w:rsidRPr="000F252A">
              <w:t>Организация своевременного назначения панели иммуногистохимических исследований в случае необходимости выбора тактики лечения для конкретного па-циента. Тиражирование иммуно-</w:t>
            </w:r>
            <w:r w:rsidRPr="000F252A">
              <w:br/>
              <w:t xml:space="preserve">гистохимических исследований опухолей для персонализации лечения пациентов </w:t>
            </w:r>
          </w:p>
        </w:tc>
        <w:tc>
          <w:tcPr>
            <w:tcW w:w="1474" w:type="dxa"/>
            <w:shd w:val="clear" w:color="auto" w:fill="auto"/>
          </w:tcPr>
          <w:p w:rsidR="000F252A" w:rsidRPr="000F252A" w:rsidRDefault="000F252A" w:rsidP="000F252A">
            <w:pPr>
              <w:jc w:val="center"/>
            </w:pPr>
            <w:r w:rsidRPr="000F252A">
              <w:t>09.01.2026</w:t>
            </w:r>
          </w:p>
        </w:tc>
        <w:tc>
          <w:tcPr>
            <w:tcW w:w="1418" w:type="dxa"/>
            <w:shd w:val="clear" w:color="auto" w:fill="auto"/>
          </w:tcPr>
          <w:p w:rsidR="000F252A" w:rsidRPr="000F252A" w:rsidRDefault="000F252A" w:rsidP="000F252A">
            <w:pPr>
              <w:jc w:val="center"/>
            </w:pPr>
            <w:r w:rsidRPr="000F252A">
              <w:t>31.12.2030</w:t>
            </w:r>
          </w:p>
        </w:tc>
        <w:tc>
          <w:tcPr>
            <w:tcW w:w="3912" w:type="dxa"/>
            <w:shd w:val="clear" w:color="auto" w:fill="auto"/>
          </w:tcPr>
          <w:p w:rsidR="000F252A" w:rsidRPr="000F252A" w:rsidRDefault="000F252A" w:rsidP="000F252A">
            <w:pPr>
              <w:jc w:val="both"/>
            </w:pPr>
            <w:r w:rsidRPr="000F252A">
              <w:t xml:space="preserve">министр здравоохранения Республики Татарстан А.Р.Абашев, главный врач ГАУЗ </w:t>
            </w:r>
            <w:r w:rsidRPr="000F252A">
              <w:rPr>
                <w:rFonts w:eastAsia="Arial"/>
              </w:rPr>
              <w:t>«РКОД МЗ РТ им.проф.М.З.Сигала»</w:t>
            </w:r>
            <w:r w:rsidRPr="000F252A">
              <w:t xml:space="preserve"> М.Ф.Мухамадеев, главный внештатный специалист-онколог Министерства здравоохранения Республики Татарстан Э.В.Нагуманов, руководители медицинских организаций Республики Татарстан</w:t>
            </w:r>
          </w:p>
        </w:tc>
        <w:tc>
          <w:tcPr>
            <w:tcW w:w="3969" w:type="dxa"/>
            <w:shd w:val="clear" w:color="auto" w:fill="auto"/>
          </w:tcPr>
          <w:p w:rsidR="000F252A" w:rsidRPr="000F252A" w:rsidRDefault="000F252A" w:rsidP="000F252A">
            <w:pPr>
              <w:jc w:val="both"/>
            </w:pPr>
            <w:r w:rsidRPr="000F252A">
              <w:t>тиражирование иммуногистохимических исследований опухолей для персонализации лечения пациентов:</w:t>
            </w:r>
          </w:p>
          <w:p w:rsidR="000F252A" w:rsidRPr="000F252A" w:rsidRDefault="000F252A" w:rsidP="000F252A">
            <w:pPr>
              <w:jc w:val="both"/>
            </w:pPr>
            <w:r w:rsidRPr="000F252A">
              <w:t xml:space="preserve">2026 г. – 6 100 исследований; </w:t>
            </w:r>
          </w:p>
          <w:p w:rsidR="000F252A" w:rsidRPr="000F252A" w:rsidRDefault="000F252A" w:rsidP="000F252A">
            <w:pPr>
              <w:jc w:val="both"/>
            </w:pPr>
            <w:r w:rsidRPr="000F252A">
              <w:t xml:space="preserve">2027 г. – 6 150 исследований; </w:t>
            </w:r>
          </w:p>
          <w:p w:rsidR="000F252A" w:rsidRPr="000F252A" w:rsidRDefault="000F252A" w:rsidP="000F252A">
            <w:pPr>
              <w:jc w:val="both"/>
            </w:pPr>
            <w:r w:rsidRPr="000F252A">
              <w:t xml:space="preserve">2028 г. – 6 200 исследований; </w:t>
            </w:r>
          </w:p>
          <w:p w:rsidR="000F252A" w:rsidRPr="000F252A" w:rsidRDefault="000F252A" w:rsidP="000F252A">
            <w:pPr>
              <w:jc w:val="both"/>
            </w:pPr>
            <w:r w:rsidRPr="000F252A">
              <w:t xml:space="preserve">2029 г. – 6 220 исследований; </w:t>
            </w:r>
          </w:p>
          <w:p w:rsidR="000F252A" w:rsidRPr="000F252A" w:rsidRDefault="000F252A" w:rsidP="000F252A">
            <w:pPr>
              <w:jc w:val="both"/>
            </w:pPr>
            <w:r w:rsidRPr="000F252A">
              <w:t>2030 г. – 6 240 исследований</w:t>
            </w:r>
          </w:p>
          <w:p w:rsidR="000F252A" w:rsidRPr="000F252A" w:rsidRDefault="000F252A" w:rsidP="000F252A">
            <w:pPr>
              <w:jc w:val="both"/>
            </w:pPr>
            <w:r w:rsidRPr="000F252A">
              <w:t xml:space="preserve">(факт 2025 г. – 6 050 исследований) </w:t>
            </w:r>
          </w:p>
        </w:tc>
      </w:tr>
      <w:tr w:rsidR="000F252A" w:rsidRPr="009D3B11" w:rsidTr="00AC795F">
        <w:trPr>
          <w:trHeight w:val="20"/>
        </w:trPr>
        <w:tc>
          <w:tcPr>
            <w:tcW w:w="704" w:type="dxa"/>
            <w:shd w:val="clear" w:color="auto" w:fill="auto"/>
          </w:tcPr>
          <w:p w:rsidR="000F252A" w:rsidRPr="000F252A" w:rsidRDefault="000F252A" w:rsidP="00162B9C">
            <w:pPr>
              <w:jc w:val="center"/>
            </w:pPr>
            <w:r w:rsidRPr="000F252A">
              <w:t>5.3</w:t>
            </w:r>
            <w:r w:rsidR="00162B9C">
              <w:t>0</w:t>
            </w:r>
            <w:r w:rsidRPr="000F252A">
              <w:t>.</w:t>
            </w:r>
          </w:p>
        </w:tc>
        <w:tc>
          <w:tcPr>
            <w:tcW w:w="3686" w:type="dxa"/>
            <w:shd w:val="clear" w:color="auto" w:fill="auto"/>
          </w:tcPr>
          <w:p w:rsidR="000F252A" w:rsidRPr="000F252A" w:rsidRDefault="000F252A" w:rsidP="000F252A">
            <w:pPr>
              <w:jc w:val="both"/>
            </w:pPr>
            <w:r w:rsidRPr="000F252A">
              <w:t>Организация своевременного назначения панели молекулярно-генетических исследований в случае необходимости выбора тактики лечения для конкретного пациента. Тиражирование молекулярно-генетических исследований для диагностики злокачественных новообразований</w:t>
            </w:r>
          </w:p>
          <w:p w:rsidR="000F252A" w:rsidRPr="000F252A" w:rsidRDefault="000F252A" w:rsidP="000F252A">
            <w:pPr>
              <w:jc w:val="both"/>
            </w:pPr>
          </w:p>
        </w:tc>
        <w:tc>
          <w:tcPr>
            <w:tcW w:w="1474" w:type="dxa"/>
            <w:shd w:val="clear" w:color="auto" w:fill="auto"/>
          </w:tcPr>
          <w:p w:rsidR="000F252A" w:rsidRPr="000F252A" w:rsidRDefault="000F252A" w:rsidP="000F252A">
            <w:pPr>
              <w:jc w:val="center"/>
            </w:pPr>
            <w:r w:rsidRPr="000F252A">
              <w:t>09.01.2026</w:t>
            </w:r>
          </w:p>
        </w:tc>
        <w:tc>
          <w:tcPr>
            <w:tcW w:w="1418" w:type="dxa"/>
            <w:shd w:val="clear" w:color="auto" w:fill="auto"/>
          </w:tcPr>
          <w:p w:rsidR="000F252A" w:rsidRPr="000F252A" w:rsidRDefault="000F252A" w:rsidP="000F252A">
            <w:pPr>
              <w:jc w:val="center"/>
            </w:pPr>
            <w:r w:rsidRPr="000F252A">
              <w:t>31.12.2030</w:t>
            </w:r>
          </w:p>
        </w:tc>
        <w:tc>
          <w:tcPr>
            <w:tcW w:w="3912" w:type="dxa"/>
            <w:shd w:val="clear" w:color="auto" w:fill="auto"/>
          </w:tcPr>
          <w:p w:rsidR="000F252A" w:rsidRPr="000F252A" w:rsidRDefault="000F252A" w:rsidP="000F252A">
            <w:pPr>
              <w:jc w:val="both"/>
            </w:pPr>
            <w:r w:rsidRPr="000F252A">
              <w:t xml:space="preserve">министр здравоохранения Республики Татарстан А.Р.Абашев, главный врач ГАУЗ </w:t>
            </w:r>
            <w:r w:rsidRPr="000F252A">
              <w:rPr>
                <w:rFonts w:eastAsia="Arial"/>
              </w:rPr>
              <w:t>«РКОД МЗ РТ им.проф.М.З.Сигала»</w:t>
            </w:r>
            <w:r w:rsidRPr="000F252A">
              <w:t xml:space="preserve"> М.Ф.Мухамадеев, главный внештатный специалист-онколог Министерства здравоохранения Республики Татарстан Э.В.Нагуманов, руководители медицинских организаций Республики Татарстан</w:t>
            </w:r>
          </w:p>
        </w:tc>
        <w:tc>
          <w:tcPr>
            <w:tcW w:w="3969" w:type="dxa"/>
            <w:shd w:val="clear" w:color="auto" w:fill="auto"/>
          </w:tcPr>
          <w:p w:rsidR="000F252A" w:rsidRPr="000F252A" w:rsidRDefault="000F252A" w:rsidP="000F252A">
            <w:pPr>
              <w:jc w:val="both"/>
            </w:pPr>
            <w:r w:rsidRPr="000F252A">
              <w:t xml:space="preserve">тиражирование молекулярно-генетических исследований для диагностики злокачественных новообразований: </w:t>
            </w:r>
          </w:p>
          <w:p w:rsidR="000F252A" w:rsidRPr="000F252A" w:rsidRDefault="000F252A" w:rsidP="000F252A">
            <w:pPr>
              <w:jc w:val="both"/>
            </w:pPr>
            <w:r w:rsidRPr="000F252A">
              <w:t xml:space="preserve">2026 г. – 3 620 исследований; </w:t>
            </w:r>
          </w:p>
          <w:p w:rsidR="000F252A" w:rsidRPr="000F252A" w:rsidRDefault="000F252A" w:rsidP="000F252A">
            <w:pPr>
              <w:jc w:val="both"/>
            </w:pPr>
            <w:r w:rsidRPr="000F252A">
              <w:t xml:space="preserve">2027 г. – 3 630 исследований; </w:t>
            </w:r>
          </w:p>
          <w:p w:rsidR="000F252A" w:rsidRPr="000F252A" w:rsidRDefault="000F252A" w:rsidP="000F252A">
            <w:pPr>
              <w:jc w:val="both"/>
            </w:pPr>
            <w:r w:rsidRPr="000F252A">
              <w:t xml:space="preserve">2028 г. – 3 650 исследований; </w:t>
            </w:r>
          </w:p>
          <w:p w:rsidR="000F252A" w:rsidRPr="000F252A" w:rsidRDefault="000F252A" w:rsidP="000F252A">
            <w:pPr>
              <w:jc w:val="both"/>
            </w:pPr>
            <w:r w:rsidRPr="000F252A">
              <w:t xml:space="preserve">2029 г. – 3 670 исследований; </w:t>
            </w:r>
          </w:p>
          <w:p w:rsidR="000F252A" w:rsidRPr="000F252A" w:rsidRDefault="000F252A" w:rsidP="000F252A">
            <w:pPr>
              <w:jc w:val="both"/>
            </w:pPr>
            <w:r w:rsidRPr="000F252A">
              <w:t xml:space="preserve">2030 г. – 3 680 исследований </w:t>
            </w:r>
          </w:p>
          <w:p w:rsidR="000F252A" w:rsidRPr="000F252A" w:rsidRDefault="000F252A" w:rsidP="000F252A">
            <w:pPr>
              <w:jc w:val="both"/>
            </w:pPr>
            <w:r w:rsidRPr="000F252A">
              <w:t>(факт 2025 г. – 3 610 исследований)</w:t>
            </w:r>
          </w:p>
        </w:tc>
      </w:tr>
      <w:tr w:rsidR="000F252A" w:rsidRPr="009D3B11" w:rsidTr="00AC795F">
        <w:trPr>
          <w:trHeight w:val="20"/>
        </w:trPr>
        <w:tc>
          <w:tcPr>
            <w:tcW w:w="704" w:type="dxa"/>
            <w:shd w:val="clear" w:color="auto" w:fill="auto"/>
          </w:tcPr>
          <w:p w:rsidR="000F252A" w:rsidRPr="000F252A" w:rsidRDefault="000F252A" w:rsidP="00162B9C">
            <w:pPr>
              <w:spacing w:line="230" w:lineRule="auto"/>
              <w:jc w:val="center"/>
            </w:pPr>
            <w:r w:rsidRPr="000F252A">
              <w:t>5.3</w:t>
            </w:r>
            <w:r w:rsidR="00162B9C">
              <w:t>1</w:t>
            </w:r>
            <w:r w:rsidRPr="000F252A">
              <w:t>.</w:t>
            </w:r>
          </w:p>
        </w:tc>
        <w:tc>
          <w:tcPr>
            <w:tcW w:w="3686" w:type="dxa"/>
            <w:shd w:val="clear" w:color="auto" w:fill="auto"/>
          </w:tcPr>
          <w:p w:rsidR="000F252A" w:rsidRPr="000F252A" w:rsidRDefault="000F252A" w:rsidP="000F252A">
            <w:pPr>
              <w:jc w:val="both"/>
            </w:pPr>
            <w:r w:rsidRPr="000F252A">
              <w:t xml:space="preserve">Тиражирование иммуноцитохимического исследования для ранней диагностики рака шейки матки </w:t>
            </w:r>
            <w:r w:rsidRPr="000F252A">
              <w:br/>
              <w:t xml:space="preserve">на базе ГАУЗ </w:t>
            </w:r>
            <w:r w:rsidRPr="000F252A">
              <w:rPr>
                <w:rFonts w:eastAsia="Arial"/>
              </w:rPr>
              <w:t>«РКОД МЗ РТ им.проф.М.З.Сигала»</w:t>
            </w:r>
          </w:p>
        </w:tc>
        <w:tc>
          <w:tcPr>
            <w:tcW w:w="1474" w:type="dxa"/>
            <w:shd w:val="clear" w:color="auto" w:fill="auto"/>
          </w:tcPr>
          <w:p w:rsidR="000F252A" w:rsidRPr="000F252A" w:rsidRDefault="000F252A" w:rsidP="000F252A">
            <w:pPr>
              <w:jc w:val="center"/>
            </w:pPr>
            <w:r w:rsidRPr="000F252A">
              <w:t>09.01.2026</w:t>
            </w:r>
          </w:p>
        </w:tc>
        <w:tc>
          <w:tcPr>
            <w:tcW w:w="1418" w:type="dxa"/>
            <w:shd w:val="clear" w:color="auto" w:fill="auto"/>
          </w:tcPr>
          <w:p w:rsidR="000F252A" w:rsidRPr="000F252A" w:rsidRDefault="000F252A" w:rsidP="000F252A">
            <w:pPr>
              <w:jc w:val="center"/>
            </w:pPr>
            <w:r w:rsidRPr="000F252A">
              <w:t>31.12.2030</w:t>
            </w:r>
          </w:p>
        </w:tc>
        <w:tc>
          <w:tcPr>
            <w:tcW w:w="3912" w:type="dxa"/>
            <w:shd w:val="clear" w:color="auto" w:fill="auto"/>
          </w:tcPr>
          <w:p w:rsidR="000F252A" w:rsidRPr="000F252A" w:rsidRDefault="000F252A" w:rsidP="000F252A">
            <w:pPr>
              <w:jc w:val="both"/>
            </w:pPr>
            <w:r w:rsidRPr="000F252A">
              <w:t xml:space="preserve">министр здравоохранения Республики Татарстан А.Р.Абашев, главный врач ГАУЗ </w:t>
            </w:r>
            <w:r w:rsidRPr="000F252A">
              <w:rPr>
                <w:rFonts w:eastAsia="Arial"/>
              </w:rPr>
              <w:t>«РКОД МЗ РТ им.проф.М.З.Сигала»</w:t>
            </w:r>
            <w:r w:rsidRPr="000F252A">
              <w:t xml:space="preserve"> М.Ф.Мухамадеев, главный внештатный специа-лист-онколог Министерства здра-</w:t>
            </w:r>
            <w:r w:rsidRPr="000F252A">
              <w:br/>
              <w:t>воохранения Республики Татарстан Э.В.Нагуманов, руководители медицинских организаций Республики Татарстан</w:t>
            </w:r>
          </w:p>
        </w:tc>
        <w:tc>
          <w:tcPr>
            <w:tcW w:w="3969" w:type="dxa"/>
            <w:shd w:val="clear" w:color="auto" w:fill="auto"/>
          </w:tcPr>
          <w:p w:rsidR="000F252A" w:rsidRPr="000F252A" w:rsidRDefault="000F252A" w:rsidP="000F252A">
            <w:pPr>
              <w:jc w:val="both"/>
            </w:pPr>
            <w:r w:rsidRPr="000F252A">
              <w:t xml:space="preserve">проведено иммуноцитохимических исследований: </w:t>
            </w:r>
          </w:p>
          <w:p w:rsidR="000F252A" w:rsidRPr="000F252A" w:rsidRDefault="000F252A" w:rsidP="000F252A">
            <w:pPr>
              <w:jc w:val="both"/>
            </w:pPr>
            <w:r w:rsidRPr="000F252A">
              <w:t xml:space="preserve">2026 г. – 4 350 исследований; </w:t>
            </w:r>
          </w:p>
          <w:p w:rsidR="000F252A" w:rsidRPr="000F252A" w:rsidRDefault="000F252A" w:rsidP="000F252A">
            <w:pPr>
              <w:jc w:val="both"/>
            </w:pPr>
            <w:r w:rsidRPr="000F252A">
              <w:t xml:space="preserve">2027 г. – 4 400 исследований; </w:t>
            </w:r>
          </w:p>
          <w:p w:rsidR="000F252A" w:rsidRPr="000F252A" w:rsidRDefault="000F252A" w:rsidP="000F252A">
            <w:pPr>
              <w:jc w:val="both"/>
            </w:pPr>
            <w:r w:rsidRPr="000F252A">
              <w:t xml:space="preserve">2028 г. – 4 450 исследований; </w:t>
            </w:r>
          </w:p>
          <w:p w:rsidR="000F252A" w:rsidRPr="000F252A" w:rsidRDefault="000F252A" w:rsidP="000F252A">
            <w:pPr>
              <w:jc w:val="both"/>
            </w:pPr>
            <w:r w:rsidRPr="000F252A">
              <w:t xml:space="preserve">2029 г. – 4 500 исследований; </w:t>
            </w:r>
          </w:p>
          <w:p w:rsidR="000F252A" w:rsidRPr="000F252A" w:rsidRDefault="000F252A" w:rsidP="000F252A">
            <w:pPr>
              <w:jc w:val="both"/>
            </w:pPr>
            <w:r w:rsidRPr="000F252A">
              <w:t xml:space="preserve">2030 г. – 4 520 исследований </w:t>
            </w:r>
          </w:p>
          <w:p w:rsidR="000F252A" w:rsidRPr="000F252A" w:rsidRDefault="000F252A" w:rsidP="000F252A">
            <w:pPr>
              <w:jc w:val="both"/>
            </w:pPr>
            <w:r w:rsidRPr="000F252A">
              <w:t>(факт 2025 г. – 4 300 исследований)</w:t>
            </w:r>
          </w:p>
        </w:tc>
      </w:tr>
      <w:tr w:rsidR="000F252A" w:rsidRPr="009D3B11" w:rsidTr="00AC795F">
        <w:trPr>
          <w:trHeight w:val="20"/>
        </w:trPr>
        <w:tc>
          <w:tcPr>
            <w:tcW w:w="704" w:type="dxa"/>
            <w:shd w:val="clear" w:color="auto" w:fill="auto"/>
          </w:tcPr>
          <w:p w:rsidR="000F252A" w:rsidRPr="000F252A" w:rsidRDefault="000F252A" w:rsidP="00162B9C">
            <w:pPr>
              <w:spacing w:line="230" w:lineRule="auto"/>
              <w:jc w:val="center"/>
            </w:pPr>
            <w:r w:rsidRPr="000F252A">
              <w:t>5.3</w:t>
            </w:r>
            <w:r w:rsidR="00162B9C">
              <w:t>2</w:t>
            </w:r>
            <w:r w:rsidRPr="000F252A">
              <w:t>.</w:t>
            </w:r>
          </w:p>
        </w:tc>
        <w:tc>
          <w:tcPr>
            <w:tcW w:w="3686" w:type="dxa"/>
            <w:shd w:val="clear" w:color="auto" w:fill="auto"/>
          </w:tcPr>
          <w:p w:rsidR="000F252A" w:rsidRPr="000F252A" w:rsidRDefault="000F252A" w:rsidP="000F252A">
            <w:pPr>
              <w:jc w:val="both"/>
            </w:pPr>
            <w:r w:rsidRPr="000F252A">
              <w:t>Тиражирование схем противоопухолевого лечения ЗНО согласно клиническим рекомендациям</w:t>
            </w:r>
          </w:p>
        </w:tc>
        <w:tc>
          <w:tcPr>
            <w:tcW w:w="1474" w:type="dxa"/>
            <w:shd w:val="clear" w:color="auto" w:fill="auto"/>
          </w:tcPr>
          <w:p w:rsidR="000F252A" w:rsidRPr="000F252A" w:rsidRDefault="000F252A" w:rsidP="000F252A">
            <w:pPr>
              <w:jc w:val="center"/>
            </w:pPr>
            <w:r w:rsidRPr="000F252A">
              <w:t>01.01.2026</w:t>
            </w:r>
          </w:p>
        </w:tc>
        <w:tc>
          <w:tcPr>
            <w:tcW w:w="1418" w:type="dxa"/>
            <w:shd w:val="clear" w:color="auto" w:fill="auto"/>
          </w:tcPr>
          <w:p w:rsidR="000F252A" w:rsidRPr="000F252A" w:rsidRDefault="000F252A" w:rsidP="000F252A">
            <w:pPr>
              <w:jc w:val="center"/>
            </w:pPr>
            <w:r w:rsidRPr="000F252A">
              <w:t>31.12.2030</w:t>
            </w:r>
          </w:p>
        </w:tc>
        <w:tc>
          <w:tcPr>
            <w:tcW w:w="3912" w:type="dxa"/>
            <w:shd w:val="clear" w:color="auto" w:fill="auto"/>
          </w:tcPr>
          <w:p w:rsidR="000F252A" w:rsidRPr="000F252A" w:rsidRDefault="000F252A" w:rsidP="000F252A">
            <w:pPr>
              <w:jc w:val="both"/>
            </w:pPr>
            <w:r w:rsidRPr="000F252A">
              <w:t xml:space="preserve">главный врач ГАУЗ </w:t>
            </w:r>
            <w:r w:rsidRPr="000F252A">
              <w:rPr>
                <w:rFonts w:eastAsia="Arial"/>
              </w:rPr>
              <w:t>«РКОД МЗ РТ им.проф.М.З.Сигала»</w:t>
            </w:r>
            <w:r w:rsidRPr="000F252A">
              <w:t xml:space="preserve"> М.Ф.Мухамадеев, руководители медицинских организаций Республики Татарстан</w:t>
            </w:r>
          </w:p>
        </w:tc>
        <w:tc>
          <w:tcPr>
            <w:tcW w:w="3969" w:type="dxa"/>
            <w:shd w:val="clear" w:color="auto" w:fill="auto"/>
          </w:tcPr>
          <w:p w:rsidR="000F252A" w:rsidRPr="000F252A" w:rsidRDefault="000F252A" w:rsidP="000F252A">
            <w:pPr>
              <w:jc w:val="both"/>
            </w:pPr>
            <w:r w:rsidRPr="000F252A">
              <w:t>проведено лекарственное противоопухолевое лечение ЗНО по схемам не ниже 14 уровня:</w:t>
            </w:r>
          </w:p>
          <w:p w:rsidR="000F252A" w:rsidRPr="000F252A" w:rsidRDefault="000F252A" w:rsidP="000F252A">
            <w:pPr>
              <w:jc w:val="both"/>
            </w:pPr>
            <w:r w:rsidRPr="000F252A">
              <w:t xml:space="preserve">2025 г. – 6 520 случаев; </w:t>
            </w:r>
          </w:p>
          <w:p w:rsidR="000F252A" w:rsidRPr="000F252A" w:rsidRDefault="000F252A" w:rsidP="000F252A">
            <w:pPr>
              <w:jc w:val="both"/>
            </w:pPr>
            <w:r w:rsidRPr="000F252A">
              <w:t>2026 г. – 6 540 случаев;</w:t>
            </w:r>
          </w:p>
          <w:p w:rsidR="000F252A" w:rsidRPr="000F252A" w:rsidRDefault="000F252A" w:rsidP="000F252A">
            <w:pPr>
              <w:jc w:val="both"/>
            </w:pPr>
            <w:r w:rsidRPr="000F252A">
              <w:t>2027 г. – 6 550 случаев;</w:t>
            </w:r>
          </w:p>
          <w:p w:rsidR="000F252A" w:rsidRPr="000F252A" w:rsidRDefault="000F252A" w:rsidP="000F252A">
            <w:pPr>
              <w:jc w:val="both"/>
            </w:pPr>
            <w:r w:rsidRPr="000F252A">
              <w:t>2028 г. – 6 560 случаев;</w:t>
            </w:r>
          </w:p>
          <w:p w:rsidR="000F252A" w:rsidRPr="000F252A" w:rsidRDefault="000F252A" w:rsidP="000F252A">
            <w:pPr>
              <w:jc w:val="both"/>
            </w:pPr>
            <w:r w:rsidRPr="000F252A">
              <w:t>2029 г. – 6 570 случаев;</w:t>
            </w:r>
          </w:p>
          <w:p w:rsidR="000F252A" w:rsidRPr="000F252A" w:rsidRDefault="000F252A" w:rsidP="000F252A">
            <w:pPr>
              <w:jc w:val="both"/>
            </w:pPr>
            <w:r w:rsidRPr="000F252A">
              <w:t>2030 г. – 6 580 случаев</w:t>
            </w:r>
          </w:p>
          <w:p w:rsidR="000F252A" w:rsidRPr="000F252A" w:rsidRDefault="000F252A" w:rsidP="000F252A">
            <w:pPr>
              <w:jc w:val="both"/>
            </w:pPr>
            <w:r w:rsidRPr="000F252A">
              <w:t>(факт 2025 г. – 6 520 случаев)</w:t>
            </w:r>
          </w:p>
        </w:tc>
      </w:tr>
      <w:tr w:rsidR="000F252A" w:rsidRPr="009D3B11" w:rsidTr="00AC795F">
        <w:trPr>
          <w:trHeight w:val="20"/>
        </w:trPr>
        <w:tc>
          <w:tcPr>
            <w:tcW w:w="704" w:type="dxa"/>
            <w:shd w:val="clear" w:color="auto" w:fill="auto"/>
          </w:tcPr>
          <w:p w:rsidR="000F252A" w:rsidRPr="000F252A" w:rsidRDefault="000F252A" w:rsidP="00162B9C">
            <w:pPr>
              <w:spacing w:line="230" w:lineRule="auto"/>
              <w:jc w:val="center"/>
            </w:pPr>
            <w:r w:rsidRPr="000F252A">
              <w:t>5.3</w:t>
            </w:r>
            <w:r w:rsidR="00162B9C">
              <w:t>3</w:t>
            </w:r>
            <w:r w:rsidRPr="000F252A">
              <w:t>.</w:t>
            </w:r>
          </w:p>
        </w:tc>
        <w:tc>
          <w:tcPr>
            <w:tcW w:w="3686" w:type="dxa"/>
            <w:shd w:val="clear" w:color="auto" w:fill="auto"/>
          </w:tcPr>
          <w:p w:rsidR="000F252A" w:rsidRPr="000F252A" w:rsidRDefault="000F252A" w:rsidP="000F252A">
            <w:pPr>
              <w:spacing w:line="230" w:lineRule="auto"/>
              <w:jc w:val="both"/>
            </w:pPr>
            <w:r w:rsidRPr="000F252A">
              <w:t>Рациональное использование спектра схем противоопухолевой лекарственной терапии, иммуноонкологических препаратов и дорогостоящих препаратов для противоопухолевой лекарственной терапии</w:t>
            </w:r>
          </w:p>
        </w:tc>
        <w:tc>
          <w:tcPr>
            <w:tcW w:w="1474" w:type="dxa"/>
            <w:shd w:val="clear" w:color="auto" w:fill="auto"/>
          </w:tcPr>
          <w:p w:rsidR="000F252A" w:rsidRPr="000F252A" w:rsidRDefault="000F252A" w:rsidP="000F252A">
            <w:pPr>
              <w:spacing w:line="230" w:lineRule="auto"/>
              <w:jc w:val="center"/>
            </w:pPr>
            <w:r w:rsidRPr="000F252A">
              <w:t>01.01.2026</w:t>
            </w:r>
          </w:p>
        </w:tc>
        <w:tc>
          <w:tcPr>
            <w:tcW w:w="1418" w:type="dxa"/>
            <w:shd w:val="clear" w:color="auto" w:fill="auto"/>
          </w:tcPr>
          <w:p w:rsidR="000F252A" w:rsidRPr="000F252A" w:rsidRDefault="000F252A" w:rsidP="000F252A">
            <w:pPr>
              <w:spacing w:line="230" w:lineRule="auto"/>
              <w:jc w:val="center"/>
            </w:pPr>
            <w:r w:rsidRPr="000F252A">
              <w:t>31.12.2030</w:t>
            </w:r>
          </w:p>
        </w:tc>
        <w:tc>
          <w:tcPr>
            <w:tcW w:w="3912" w:type="dxa"/>
            <w:shd w:val="clear" w:color="auto" w:fill="auto"/>
          </w:tcPr>
          <w:p w:rsidR="000F252A" w:rsidRPr="000F252A" w:rsidRDefault="006A784B" w:rsidP="000F252A">
            <w:pPr>
              <w:spacing w:line="230" w:lineRule="auto"/>
              <w:jc w:val="both"/>
            </w:pPr>
            <w:r>
              <w:t xml:space="preserve">министр здравоохранения </w:t>
            </w:r>
            <w:r w:rsidR="000F252A" w:rsidRPr="000F252A">
              <w:t xml:space="preserve">Республики Татарстан А.Р.Абашев, главный внештатный специалист-онколог Министерства здравоохранения Республики Татарстан Э.В.Нагуманов, руководители медицинских организаций Республики Татарстан </w:t>
            </w:r>
          </w:p>
        </w:tc>
        <w:tc>
          <w:tcPr>
            <w:tcW w:w="3969" w:type="dxa"/>
            <w:shd w:val="clear" w:color="auto" w:fill="auto"/>
          </w:tcPr>
          <w:p w:rsidR="000F252A" w:rsidRPr="000F252A" w:rsidRDefault="000F252A" w:rsidP="000F252A">
            <w:pPr>
              <w:spacing w:line="230" w:lineRule="auto"/>
              <w:jc w:val="both"/>
            </w:pPr>
            <w:r w:rsidRPr="000F252A">
              <w:t>ежегодно использование иммуноонкологических препаратов и препаратов для противоопухолевой лекарственной терапии согласно клиническим рекомендациям в 100 процентах случаев</w:t>
            </w:r>
          </w:p>
        </w:tc>
      </w:tr>
      <w:tr w:rsidR="000F252A" w:rsidRPr="009D3B11" w:rsidTr="00AC795F">
        <w:trPr>
          <w:trHeight w:val="20"/>
        </w:trPr>
        <w:tc>
          <w:tcPr>
            <w:tcW w:w="704" w:type="dxa"/>
            <w:shd w:val="clear" w:color="auto" w:fill="auto"/>
          </w:tcPr>
          <w:p w:rsidR="000F252A" w:rsidRPr="000F252A" w:rsidRDefault="000F252A" w:rsidP="00162B9C">
            <w:pPr>
              <w:spacing w:line="230" w:lineRule="auto"/>
              <w:jc w:val="center"/>
            </w:pPr>
            <w:r w:rsidRPr="000F252A">
              <w:t>5.3</w:t>
            </w:r>
            <w:r w:rsidR="00162B9C">
              <w:t>4</w:t>
            </w:r>
            <w:r w:rsidRPr="000F252A">
              <w:t>.</w:t>
            </w:r>
          </w:p>
        </w:tc>
        <w:tc>
          <w:tcPr>
            <w:tcW w:w="3686" w:type="dxa"/>
            <w:shd w:val="clear" w:color="auto" w:fill="auto"/>
          </w:tcPr>
          <w:p w:rsidR="000F252A" w:rsidRPr="000F252A" w:rsidRDefault="000F252A" w:rsidP="000F252A">
            <w:pPr>
              <w:spacing w:line="230" w:lineRule="auto"/>
              <w:jc w:val="both"/>
            </w:pPr>
            <w:r w:rsidRPr="000F252A">
              <w:t>Проведение телемедицинских консультаций с федеральными телемедицинскими консультативными центрами при онкологических заболеваниях, входящих в рубрики С37, С38, С40 – С41,</w:t>
            </w:r>
            <w:r w:rsidRPr="000F252A">
              <w:br/>
              <w:t xml:space="preserve"> С45 – С49, С58, D39, С62, С69 – С72, С74 МКБ-10, а также соответствующих кодам международной</w:t>
            </w:r>
            <w:r w:rsidRPr="000F252A">
              <w:br/>
              <w:t>классификации болезней – онко-логия, для определения лечебной тактики</w:t>
            </w:r>
          </w:p>
        </w:tc>
        <w:tc>
          <w:tcPr>
            <w:tcW w:w="1474" w:type="dxa"/>
            <w:shd w:val="clear" w:color="auto" w:fill="auto"/>
          </w:tcPr>
          <w:p w:rsidR="000F252A" w:rsidRPr="000F252A" w:rsidRDefault="000F252A" w:rsidP="000F252A">
            <w:pPr>
              <w:spacing w:line="230" w:lineRule="auto"/>
              <w:jc w:val="center"/>
            </w:pPr>
            <w:r w:rsidRPr="000F252A">
              <w:t>09.01.2026</w:t>
            </w:r>
          </w:p>
        </w:tc>
        <w:tc>
          <w:tcPr>
            <w:tcW w:w="1418" w:type="dxa"/>
            <w:shd w:val="clear" w:color="auto" w:fill="auto"/>
          </w:tcPr>
          <w:p w:rsidR="000F252A" w:rsidRPr="000F252A" w:rsidRDefault="000F252A" w:rsidP="000F252A">
            <w:pPr>
              <w:spacing w:line="230" w:lineRule="auto"/>
              <w:jc w:val="center"/>
            </w:pPr>
            <w:r w:rsidRPr="000F252A">
              <w:t>31.12.2030</w:t>
            </w:r>
          </w:p>
        </w:tc>
        <w:tc>
          <w:tcPr>
            <w:tcW w:w="3912" w:type="dxa"/>
            <w:shd w:val="clear" w:color="auto" w:fill="auto"/>
          </w:tcPr>
          <w:p w:rsidR="000F252A" w:rsidRPr="000F252A" w:rsidRDefault="000F252A" w:rsidP="000F252A">
            <w:pPr>
              <w:spacing w:line="230" w:lineRule="auto"/>
              <w:jc w:val="both"/>
            </w:pPr>
            <w:r w:rsidRPr="000F252A">
              <w:t>министр здравоохранения  Республики Татарстан А.Р.Абашев, главный внештатный специалист-онколог Министерства здравоохранения Республики Татарстан Э.В.Нагуманов</w:t>
            </w:r>
          </w:p>
        </w:tc>
        <w:tc>
          <w:tcPr>
            <w:tcW w:w="3969" w:type="dxa"/>
            <w:shd w:val="clear" w:color="auto" w:fill="auto"/>
          </w:tcPr>
          <w:p w:rsidR="000F252A" w:rsidRPr="000F252A" w:rsidRDefault="000F252A" w:rsidP="006A784B">
            <w:pPr>
              <w:spacing w:line="230" w:lineRule="auto"/>
              <w:jc w:val="both"/>
            </w:pPr>
            <w:r w:rsidRPr="000F252A">
              <w:t xml:space="preserve">ежегодно </w:t>
            </w:r>
            <w:r w:rsidR="006A784B">
              <w:t>проводятся</w:t>
            </w:r>
            <w:r w:rsidR="006A784B" w:rsidRPr="000F252A">
              <w:t xml:space="preserve"> </w:t>
            </w:r>
            <w:r w:rsidRPr="000F252A">
              <w:t>телемедицински</w:t>
            </w:r>
            <w:r w:rsidR="006A784B">
              <w:t>е</w:t>
            </w:r>
            <w:r w:rsidRPr="000F252A">
              <w:t xml:space="preserve"> консультаци</w:t>
            </w:r>
            <w:r w:rsidR="006A784B">
              <w:t>и</w:t>
            </w:r>
            <w:r w:rsidRPr="000F252A">
              <w:t xml:space="preserve"> с федеральными телемедицинскими консультативными центрами при онкологических заболеваниях, входящих в рубрики С37, С38, С40 – С41, С45 – С49, С58, D39, С62, С69 – С72, С74 МКБ-10, а также соответствующих кодам международной классификации болез</w:t>
            </w:r>
            <w:r w:rsidR="006A784B">
              <w:t xml:space="preserve">-ней – онкология, </w:t>
            </w:r>
            <w:r w:rsidRPr="000F252A">
              <w:t>в 100 процентах случаев</w:t>
            </w:r>
          </w:p>
        </w:tc>
      </w:tr>
      <w:tr w:rsidR="000F252A" w:rsidRPr="009D3B11" w:rsidTr="00AC795F">
        <w:trPr>
          <w:trHeight w:val="20"/>
        </w:trPr>
        <w:tc>
          <w:tcPr>
            <w:tcW w:w="704" w:type="dxa"/>
            <w:shd w:val="clear" w:color="auto" w:fill="auto"/>
          </w:tcPr>
          <w:p w:rsidR="000F252A" w:rsidRPr="000F252A" w:rsidRDefault="000F252A" w:rsidP="00162B9C">
            <w:pPr>
              <w:jc w:val="center"/>
            </w:pPr>
            <w:r w:rsidRPr="000F252A">
              <w:t>5.3</w:t>
            </w:r>
            <w:r w:rsidR="00162B9C">
              <w:t>5</w:t>
            </w:r>
            <w:r w:rsidRPr="000F252A">
              <w:t>.</w:t>
            </w:r>
          </w:p>
        </w:tc>
        <w:tc>
          <w:tcPr>
            <w:tcW w:w="3686" w:type="dxa"/>
            <w:shd w:val="clear" w:color="auto" w:fill="auto"/>
          </w:tcPr>
          <w:p w:rsidR="000F252A" w:rsidRPr="000F252A" w:rsidRDefault="000F252A" w:rsidP="000F252A">
            <w:pPr>
              <w:spacing w:line="230" w:lineRule="auto"/>
              <w:jc w:val="both"/>
            </w:pPr>
            <w:r w:rsidRPr="000F252A">
              <w:t>Обеспечение дистанционного консультирования в сложных клинических случаях с дистанционными консультативными центрами лучевой диагностики федеральных медицинских организаций</w:t>
            </w:r>
          </w:p>
        </w:tc>
        <w:tc>
          <w:tcPr>
            <w:tcW w:w="1474" w:type="dxa"/>
            <w:shd w:val="clear" w:color="auto" w:fill="auto"/>
          </w:tcPr>
          <w:p w:rsidR="000F252A" w:rsidRPr="000F252A" w:rsidRDefault="000F252A" w:rsidP="000F252A">
            <w:pPr>
              <w:spacing w:line="230" w:lineRule="auto"/>
              <w:jc w:val="center"/>
            </w:pPr>
            <w:r w:rsidRPr="000F252A">
              <w:t>09.01.2026</w:t>
            </w:r>
          </w:p>
        </w:tc>
        <w:tc>
          <w:tcPr>
            <w:tcW w:w="1418" w:type="dxa"/>
            <w:shd w:val="clear" w:color="auto" w:fill="auto"/>
          </w:tcPr>
          <w:p w:rsidR="000F252A" w:rsidRPr="000F252A" w:rsidRDefault="000F252A" w:rsidP="000F252A">
            <w:pPr>
              <w:spacing w:line="230" w:lineRule="auto"/>
              <w:jc w:val="center"/>
            </w:pPr>
            <w:r w:rsidRPr="000F252A">
              <w:t>31.12.2030</w:t>
            </w:r>
          </w:p>
        </w:tc>
        <w:tc>
          <w:tcPr>
            <w:tcW w:w="3912" w:type="dxa"/>
            <w:shd w:val="clear" w:color="auto" w:fill="auto"/>
          </w:tcPr>
          <w:p w:rsidR="000F252A" w:rsidRPr="000F252A" w:rsidRDefault="000F252A" w:rsidP="000F252A">
            <w:pPr>
              <w:spacing w:line="230" w:lineRule="auto"/>
              <w:jc w:val="both"/>
            </w:pPr>
            <w:r w:rsidRPr="000F252A">
              <w:t xml:space="preserve">главный врач ГАУЗ </w:t>
            </w:r>
            <w:r w:rsidRPr="000F252A">
              <w:rPr>
                <w:rFonts w:eastAsia="Arial"/>
              </w:rPr>
              <w:t>«РКОД МЗ РТ им.проф.М.З.Сигала»</w:t>
            </w:r>
            <w:r w:rsidRPr="000F252A">
              <w:t xml:space="preserve"> М.Ф.Мухамадеев </w:t>
            </w:r>
          </w:p>
        </w:tc>
        <w:tc>
          <w:tcPr>
            <w:tcW w:w="3969" w:type="dxa"/>
            <w:shd w:val="clear" w:color="auto" w:fill="auto"/>
          </w:tcPr>
          <w:p w:rsidR="000F252A" w:rsidRPr="000F252A" w:rsidRDefault="000F252A" w:rsidP="000F252A">
            <w:pPr>
              <w:spacing w:line="230" w:lineRule="auto"/>
              <w:jc w:val="both"/>
            </w:pPr>
            <w:r w:rsidRPr="000F252A">
              <w:t>ежегодно проведение дистанционных консультаций в дистанционных консультативных центрах лучевой диагностики федеральных медицинских организаций – не менее 10 консультаций</w:t>
            </w:r>
          </w:p>
          <w:p w:rsidR="000F252A" w:rsidRPr="000F252A" w:rsidRDefault="000F252A" w:rsidP="000F252A">
            <w:pPr>
              <w:spacing w:line="230" w:lineRule="auto"/>
              <w:jc w:val="both"/>
            </w:pPr>
          </w:p>
        </w:tc>
      </w:tr>
      <w:tr w:rsidR="000F252A" w:rsidRPr="009D3B11" w:rsidTr="00AC795F">
        <w:trPr>
          <w:trHeight w:val="20"/>
        </w:trPr>
        <w:tc>
          <w:tcPr>
            <w:tcW w:w="704" w:type="dxa"/>
            <w:shd w:val="clear" w:color="auto" w:fill="auto"/>
          </w:tcPr>
          <w:p w:rsidR="000F252A" w:rsidRPr="000F252A" w:rsidRDefault="000F252A" w:rsidP="00162B9C">
            <w:pPr>
              <w:jc w:val="center"/>
            </w:pPr>
            <w:r w:rsidRPr="000F252A">
              <w:t>5.3</w:t>
            </w:r>
            <w:r w:rsidR="00162B9C">
              <w:t>6</w:t>
            </w:r>
            <w:r w:rsidRPr="000F252A">
              <w:t>.</w:t>
            </w:r>
          </w:p>
        </w:tc>
        <w:tc>
          <w:tcPr>
            <w:tcW w:w="3686" w:type="dxa"/>
            <w:shd w:val="clear" w:color="auto" w:fill="auto"/>
          </w:tcPr>
          <w:p w:rsidR="000F252A" w:rsidRPr="000F252A" w:rsidRDefault="000F252A" w:rsidP="000F252A">
            <w:pPr>
              <w:spacing w:line="230" w:lineRule="auto"/>
              <w:jc w:val="both"/>
            </w:pPr>
            <w:r w:rsidRPr="000F252A">
              <w:t>Обеспечение дистанционного консультирования в сложных клини-ческих случаях с патолого-анато-</w:t>
            </w:r>
            <w:r w:rsidRPr="000F252A">
              <w:br/>
              <w:t>мическими бюро (отделениями) четвертой группы (референс-центрами)</w:t>
            </w:r>
          </w:p>
        </w:tc>
        <w:tc>
          <w:tcPr>
            <w:tcW w:w="1474" w:type="dxa"/>
            <w:shd w:val="clear" w:color="auto" w:fill="auto"/>
          </w:tcPr>
          <w:p w:rsidR="000F252A" w:rsidRPr="000F252A" w:rsidRDefault="000F252A" w:rsidP="000F252A">
            <w:pPr>
              <w:spacing w:line="230" w:lineRule="auto"/>
              <w:jc w:val="center"/>
            </w:pPr>
            <w:r w:rsidRPr="000F252A">
              <w:t>09.01.2026</w:t>
            </w:r>
          </w:p>
        </w:tc>
        <w:tc>
          <w:tcPr>
            <w:tcW w:w="1418" w:type="dxa"/>
            <w:shd w:val="clear" w:color="auto" w:fill="auto"/>
          </w:tcPr>
          <w:p w:rsidR="000F252A" w:rsidRPr="000F252A" w:rsidRDefault="000F252A" w:rsidP="000F252A">
            <w:pPr>
              <w:spacing w:line="230" w:lineRule="auto"/>
              <w:jc w:val="center"/>
            </w:pPr>
            <w:r w:rsidRPr="000F252A">
              <w:t>31.12.2030</w:t>
            </w:r>
          </w:p>
        </w:tc>
        <w:tc>
          <w:tcPr>
            <w:tcW w:w="3912" w:type="dxa"/>
            <w:shd w:val="clear" w:color="auto" w:fill="auto"/>
          </w:tcPr>
          <w:p w:rsidR="000F252A" w:rsidRPr="000F252A" w:rsidRDefault="000F252A" w:rsidP="000F252A">
            <w:pPr>
              <w:spacing w:line="230" w:lineRule="auto"/>
              <w:jc w:val="both"/>
            </w:pPr>
            <w:r w:rsidRPr="000F252A">
              <w:t xml:space="preserve">главный врач ГАУЗ </w:t>
            </w:r>
            <w:r w:rsidRPr="000F252A">
              <w:rPr>
                <w:rFonts w:eastAsia="Arial"/>
              </w:rPr>
              <w:t>«РКОД МЗ РТ им.проф.М.З.Сигала»</w:t>
            </w:r>
            <w:r w:rsidRPr="000F252A">
              <w:t xml:space="preserve"> М.Ф.Мухамадеев</w:t>
            </w:r>
          </w:p>
          <w:p w:rsidR="000F252A" w:rsidRPr="000F252A" w:rsidRDefault="000F252A" w:rsidP="000F252A">
            <w:pPr>
              <w:spacing w:line="230" w:lineRule="auto"/>
              <w:jc w:val="both"/>
            </w:pPr>
          </w:p>
        </w:tc>
        <w:tc>
          <w:tcPr>
            <w:tcW w:w="3969" w:type="dxa"/>
            <w:shd w:val="clear" w:color="auto" w:fill="auto"/>
          </w:tcPr>
          <w:p w:rsidR="000F252A" w:rsidRPr="000F252A" w:rsidRDefault="000F252A" w:rsidP="000F252A">
            <w:pPr>
              <w:spacing w:line="230" w:lineRule="auto"/>
              <w:jc w:val="both"/>
            </w:pPr>
            <w:r w:rsidRPr="000F252A">
              <w:t xml:space="preserve">ежегодно проведение дистанционных консультаций в референс-центрах – не менее 50 консультаций </w:t>
            </w:r>
          </w:p>
          <w:p w:rsidR="000F252A" w:rsidRPr="000F252A" w:rsidRDefault="000F252A" w:rsidP="000F252A">
            <w:pPr>
              <w:spacing w:line="230" w:lineRule="auto"/>
              <w:jc w:val="both"/>
            </w:pPr>
          </w:p>
        </w:tc>
      </w:tr>
      <w:tr w:rsidR="000F252A" w:rsidRPr="009D3B11" w:rsidTr="00AC795F">
        <w:trPr>
          <w:trHeight w:val="20"/>
        </w:trPr>
        <w:tc>
          <w:tcPr>
            <w:tcW w:w="704" w:type="dxa"/>
            <w:shd w:val="clear" w:color="auto" w:fill="auto"/>
          </w:tcPr>
          <w:p w:rsidR="000F252A" w:rsidRPr="000F252A" w:rsidRDefault="000F252A" w:rsidP="00162B9C">
            <w:pPr>
              <w:jc w:val="center"/>
            </w:pPr>
            <w:r w:rsidRPr="000F252A">
              <w:t>5.3</w:t>
            </w:r>
            <w:r w:rsidR="00162B9C">
              <w:t>7</w:t>
            </w:r>
            <w:r w:rsidRPr="000F252A">
              <w:t>.</w:t>
            </w:r>
          </w:p>
        </w:tc>
        <w:tc>
          <w:tcPr>
            <w:tcW w:w="3686" w:type="dxa"/>
            <w:shd w:val="clear" w:color="auto" w:fill="auto"/>
          </w:tcPr>
          <w:p w:rsidR="000F252A" w:rsidRPr="000F252A" w:rsidRDefault="000F252A" w:rsidP="000F252A">
            <w:pPr>
              <w:jc w:val="both"/>
            </w:pPr>
            <w:r w:rsidRPr="000F252A">
              <w:t xml:space="preserve">Осуществление первого этапа медицинской реабилитации в ГАУЗ </w:t>
            </w:r>
            <w:r w:rsidRPr="000F252A">
              <w:rPr>
                <w:rFonts w:eastAsia="Arial"/>
              </w:rPr>
              <w:t>«РКОД МЗ РТ им.проф.М.З.Сигала»</w:t>
            </w:r>
          </w:p>
        </w:tc>
        <w:tc>
          <w:tcPr>
            <w:tcW w:w="1474" w:type="dxa"/>
            <w:shd w:val="clear" w:color="auto" w:fill="auto"/>
          </w:tcPr>
          <w:p w:rsidR="000F252A" w:rsidRPr="000F252A" w:rsidRDefault="000F252A" w:rsidP="000F252A">
            <w:pPr>
              <w:jc w:val="center"/>
            </w:pPr>
            <w:r w:rsidRPr="000F252A">
              <w:t>09.01.2026</w:t>
            </w:r>
          </w:p>
        </w:tc>
        <w:tc>
          <w:tcPr>
            <w:tcW w:w="1418" w:type="dxa"/>
            <w:shd w:val="clear" w:color="auto" w:fill="auto"/>
          </w:tcPr>
          <w:p w:rsidR="000F252A" w:rsidRPr="000F252A" w:rsidRDefault="000F252A" w:rsidP="000F252A">
            <w:pPr>
              <w:jc w:val="center"/>
            </w:pPr>
            <w:r w:rsidRPr="000F252A">
              <w:t>31.12.2030</w:t>
            </w:r>
          </w:p>
        </w:tc>
        <w:tc>
          <w:tcPr>
            <w:tcW w:w="3912" w:type="dxa"/>
            <w:shd w:val="clear" w:color="auto" w:fill="auto"/>
          </w:tcPr>
          <w:p w:rsidR="000F252A" w:rsidRPr="000F252A" w:rsidRDefault="000F252A" w:rsidP="000F252A">
            <w:pPr>
              <w:jc w:val="both"/>
            </w:pPr>
            <w:r w:rsidRPr="000F252A">
              <w:t xml:space="preserve">главный врач ГАУЗ </w:t>
            </w:r>
            <w:r w:rsidRPr="000F252A">
              <w:rPr>
                <w:rFonts w:eastAsia="Arial"/>
              </w:rPr>
              <w:t>«РКОД МЗ РТ им.проф.М.З.Сигала»</w:t>
            </w:r>
            <w:r w:rsidRPr="000F252A">
              <w:t xml:space="preserve"> М.Ф.Мухамадеев, главный внештатный специалист по медицинской реабилитации Министерства здравоохранения Республики Татарстан Р.А.Бодрова</w:t>
            </w:r>
          </w:p>
        </w:tc>
        <w:tc>
          <w:tcPr>
            <w:tcW w:w="3969" w:type="dxa"/>
            <w:shd w:val="clear" w:color="auto" w:fill="auto"/>
          </w:tcPr>
          <w:p w:rsidR="000F252A" w:rsidRPr="000F252A" w:rsidRDefault="000F252A" w:rsidP="000F252A">
            <w:pPr>
              <w:jc w:val="both"/>
            </w:pPr>
            <w:r w:rsidRPr="000F252A">
              <w:t>ежегодно медицинской реабилитацией на первом этапе охвачено 100 процентов пациентов, нуждающихся в медицинской реабилитации в раннем послеоперационном периоде</w:t>
            </w:r>
          </w:p>
        </w:tc>
      </w:tr>
      <w:tr w:rsidR="000F252A" w:rsidRPr="009D3B11" w:rsidTr="00AC795F">
        <w:trPr>
          <w:trHeight w:val="20"/>
        </w:trPr>
        <w:tc>
          <w:tcPr>
            <w:tcW w:w="704" w:type="dxa"/>
            <w:shd w:val="clear" w:color="auto" w:fill="auto"/>
          </w:tcPr>
          <w:p w:rsidR="000F252A" w:rsidRPr="000F252A" w:rsidRDefault="000F252A" w:rsidP="00162B9C">
            <w:pPr>
              <w:jc w:val="center"/>
            </w:pPr>
            <w:r w:rsidRPr="000F252A">
              <w:t>5.</w:t>
            </w:r>
            <w:r w:rsidR="00162B9C">
              <w:t>38</w:t>
            </w:r>
            <w:r w:rsidRPr="000F252A">
              <w:t>.</w:t>
            </w:r>
          </w:p>
        </w:tc>
        <w:tc>
          <w:tcPr>
            <w:tcW w:w="3686" w:type="dxa"/>
            <w:shd w:val="clear" w:color="auto" w:fill="auto"/>
          </w:tcPr>
          <w:p w:rsidR="000F252A" w:rsidRPr="000F252A" w:rsidRDefault="000F252A" w:rsidP="000F252A">
            <w:pPr>
              <w:jc w:val="both"/>
            </w:pPr>
            <w:r w:rsidRPr="000F252A">
              <w:t xml:space="preserve">Обеспечение проведения третьего этапа медицинской реабилитации в условиях дневного стационара отделения медицинской реабилитации ГАУЗ </w:t>
            </w:r>
            <w:r w:rsidRPr="000F252A">
              <w:rPr>
                <w:rFonts w:eastAsia="Arial"/>
              </w:rPr>
              <w:t>«РКОД МЗ РТ им.проф.М.З.Сигала»</w:t>
            </w:r>
          </w:p>
        </w:tc>
        <w:tc>
          <w:tcPr>
            <w:tcW w:w="1474" w:type="dxa"/>
            <w:shd w:val="clear" w:color="auto" w:fill="auto"/>
          </w:tcPr>
          <w:p w:rsidR="000F252A" w:rsidRPr="000F252A" w:rsidRDefault="000F252A" w:rsidP="000F252A">
            <w:pPr>
              <w:jc w:val="center"/>
            </w:pPr>
            <w:r w:rsidRPr="000F252A">
              <w:t>09.01.2026</w:t>
            </w:r>
          </w:p>
        </w:tc>
        <w:tc>
          <w:tcPr>
            <w:tcW w:w="1418" w:type="dxa"/>
            <w:shd w:val="clear" w:color="auto" w:fill="auto"/>
          </w:tcPr>
          <w:p w:rsidR="000F252A" w:rsidRPr="000F252A" w:rsidRDefault="000F252A" w:rsidP="000F252A">
            <w:pPr>
              <w:jc w:val="center"/>
            </w:pPr>
            <w:r w:rsidRPr="000F252A">
              <w:t>31.12.2030</w:t>
            </w:r>
          </w:p>
        </w:tc>
        <w:tc>
          <w:tcPr>
            <w:tcW w:w="3912" w:type="dxa"/>
            <w:shd w:val="clear" w:color="auto" w:fill="auto"/>
          </w:tcPr>
          <w:p w:rsidR="000F252A" w:rsidRPr="000F252A" w:rsidRDefault="000F252A" w:rsidP="000F252A">
            <w:pPr>
              <w:jc w:val="both"/>
            </w:pPr>
            <w:r w:rsidRPr="000F252A">
              <w:t xml:space="preserve">главный врач ГАУЗ </w:t>
            </w:r>
            <w:r w:rsidRPr="000F252A">
              <w:rPr>
                <w:rFonts w:eastAsia="Arial"/>
              </w:rPr>
              <w:t>«РКОД МЗ РТ им.проф.М.З.Сигала»</w:t>
            </w:r>
            <w:r w:rsidRPr="000F252A">
              <w:t xml:space="preserve"> М.Ф.Мухамадеев, главный внештатный специалист по медицинской реабилитации Министерства здравоохранения Республики Татарстан Р.А.Бодрова</w:t>
            </w:r>
          </w:p>
        </w:tc>
        <w:tc>
          <w:tcPr>
            <w:tcW w:w="3969" w:type="dxa"/>
            <w:shd w:val="clear" w:color="auto" w:fill="auto"/>
          </w:tcPr>
          <w:p w:rsidR="000F252A" w:rsidRPr="000F252A" w:rsidRDefault="000F252A" w:rsidP="000F252A">
            <w:pPr>
              <w:jc w:val="both"/>
            </w:pPr>
            <w:r w:rsidRPr="000F252A">
              <w:t>ежегодно охват медицинской реабилитацией не менее 500 пациентов</w:t>
            </w:r>
          </w:p>
        </w:tc>
      </w:tr>
      <w:tr w:rsidR="000F252A" w:rsidRPr="009D3B11" w:rsidTr="00AC795F">
        <w:trPr>
          <w:trHeight w:val="20"/>
        </w:trPr>
        <w:tc>
          <w:tcPr>
            <w:tcW w:w="704" w:type="dxa"/>
            <w:shd w:val="clear" w:color="auto" w:fill="auto"/>
          </w:tcPr>
          <w:p w:rsidR="000F252A" w:rsidRPr="000F252A" w:rsidRDefault="000F252A" w:rsidP="00162B9C">
            <w:pPr>
              <w:jc w:val="center"/>
            </w:pPr>
            <w:r w:rsidRPr="000F252A">
              <w:t>5.</w:t>
            </w:r>
            <w:r w:rsidR="00162B9C">
              <w:t>39</w:t>
            </w:r>
            <w:r w:rsidRPr="000F252A">
              <w:t>.</w:t>
            </w:r>
          </w:p>
        </w:tc>
        <w:tc>
          <w:tcPr>
            <w:tcW w:w="3686" w:type="dxa"/>
            <w:shd w:val="clear" w:color="auto" w:fill="auto"/>
          </w:tcPr>
          <w:p w:rsidR="000F252A" w:rsidRPr="000F252A" w:rsidRDefault="000F252A" w:rsidP="000F252A">
            <w:pPr>
              <w:jc w:val="both"/>
            </w:pPr>
            <w:r w:rsidRPr="000F252A">
              <w:t>Обеспечение проведения третьего этапа медицинской реабилитации в условиях дневного стационара отделения медицинской реабилитации ГАУЗ «Госпиталь для ветеранов войн» г.Казани</w:t>
            </w:r>
          </w:p>
          <w:p w:rsidR="000F252A" w:rsidRPr="000F252A" w:rsidRDefault="000F252A" w:rsidP="000F252A">
            <w:pPr>
              <w:jc w:val="both"/>
            </w:pPr>
          </w:p>
        </w:tc>
        <w:tc>
          <w:tcPr>
            <w:tcW w:w="1474" w:type="dxa"/>
            <w:shd w:val="clear" w:color="auto" w:fill="auto"/>
          </w:tcPr>
          <w:p w:rsidR="000F252A" w:rsidRPr="000F252A" w:rsidRDefault="000F252A" w:rsidP="000F252A">
            <w:pPr>
              <w:jc w:val="center"/>
            </w:pPr>
            <w:r w:rsidRPr="000F252A">
              <w:t>09.01.2026</w:t>
            </w:r>
          </w:p>
        </w:tc>
        <w:tc>
          <w:tcPr>
            <w:tcW w:w="1418" w:type="dxa"/>
            <w:shd w:val="clear" w:color="auto" w:fill="auto"/>
          </w:tcPr>
          <w:p w:rsidR="000F252A" w:rsidRPr="000F252A" w:rsidRDefault="000F252A" w:rsidP="000F252A">
            <w:pPr>
              <w:jc w:val="center"/>
            </w:pPr>
            <w:r w:rsidRPr="000F252A">
              <w:t>31.12.2030</w:t>
            </w:r>
          </w:p>
        </w:tc>
        <w:tc>
          <w:tcPr>
            <w:tcW w:w="3912" w:type="dxa"/>
            <w:shd w:val="clear" w:color="auto" w:fill="auto"/>
          </w:tcPr>
          <w:p w:rsidR="000F252A" w:rsidRPr="000F252A" w:rsidRDefault="000F252A" w:rsidP="000F252A">
            <w:pPr>
              <w:jc w:val="both"/>
            </w:pPr>
            <w:r w:rsidRPr="000F252A">
              <w:t>главный врач ГАУЗ «Госпиталь для ветеранов войн» г.Казани И.А.Фахрутдинов, главный вне-</w:t>
            </w:r>
            <w:r w:rsidRPr="000F252A">
              <w:br/>
              <w:t>штатный специалист по медицинской реабилитации Министерства здравоохранения Республики Татарстан Р.А.Бодрова</w:t>
            </w:r>
          </w:p>
        </w:tc>
        <w:tc>
          <w:tcPr>
            <w:tcW w:w="3969" w:type="dxa"/>
            <w:shd w:val="clear" w:color="auto" w:fill="auto"/>
          </w:tcPr>
          <w:p w:rsidR="000F252A" w:rsidRPr="000F252A" w:rsidRDefault="000F252A" w:rsidP="000F252A">
            <w:pPr>
              <w:jc w:val="both"/>
            </w:pPr>
            <w:r w:rsidRPr="000F252A">
              <w:t>ежегодно охват медицинской реабилитацией не менее 50 пациентов</w:t>
            </w:r>
          </w:p>
        </w:tc>
      </w:tr>
      <w:tr w:rsidR="000F252A" w:rsidRPr="009D3B11" w:rsidTr="00AC795F">
        <w:trPr>
          <w:trHeight w:val="20"/>
        </w:trPr>
        <w:tc>
          <w:tcPr>
            <w:tcW w:w="704" w:type="dxa"/>
            <w:shd w:val="clear" w:color="auto" w:fill="auto"/>
          </w:tcPr>
          <w:p w:rsidR="000F252A" w:rsidRPr="000F252A" w:rsidRDefault="000F252A" w:rsidP="00162B9C">
            <w:pPr>
              <w:jc w:val="center"/>
            </w:pPr>
            <w:r w:rsidRPr="000F252A">
              <w:t>5.4</w:t>
            </w:r>
            <w:r w:rsidR="00162B9C">
              <w:t>0</w:t>
            </w:r>
            <w:r w:rsidRPr="000F252A">
              <w:t>.</w:t>
            </w:r>
          </w:p>
        </w:tc>
        <w:tc>
          <w:tcPr>
            <w:tcW w:w="3686" w:type="dxa"/>
            <w:shd w:val="clear" w:color="auto" w:fill="auto"/>
          </w:tcPr>
          <w:p w:rsidR="000F252A" w:rsidRPr="000F252A" w:rsidRDefault="000F252A" w:rsidP="000F252A">
            <w:pPr>
              <w:jc w:val="both"/>
            </w:pPr>
            <w:r w:rsidRPr="000F252A">
              <w:t>Обеспечение оказания паллиативной медицинской помощи пациентам с онкологическими заболеваниями на дому и в условиях отделений паллиативной медицинской помощи медицинских организаций</w:t>
            </w:r>
          </w:p>
        </w:tc>
        <w:tc>
          <w:tcPr>
            <w:tcW w:w="1474" w:type="dxa"/>
            <w:shd w:val="clear" w:color="auto" w:fill="auto"/>
          </w:tcPr>
          <w:p w:rsidR="000F252A" w:rsidRPr="000F252A" w:rsidRDefault="000F252A" w:rsidP="000F252A">
            <w:pPr>
              <w:jc w:val="center"/>
            </w:pPr>
            <w:r w:rsidRPr="000F252A">
              <w:t>09.01.2026</w:t>
            </w:r>
          </w:p>
        </w:tc>
        <w:tc>
          <w:tcPr>
            <w:tcW w:w="1418" w:type="dxa"/>
            <w:shd w:val="clear" w:color="auto" w:fill="auto"/>
          </w:tcPr>
          <w:p w:rsidR="000F252A" w:rsidRPr="000F252A" w:rsidRDefault="000F252A" w:rsidP="000F252A">
            <w:pPr>
              <w:jc w:val="center"/>
            </w:pPr>
            <w:r w:rsidRPr="000F252A">
              <w:t>31.12.2030</w:t>
            </w:r>
          </w:p>
        </w:tc>
        <w:tc>
          <w:tcPr>
            <w:tcW w:w="3912" w:type="dxa"/>
            <w:shd w:val="clear" w:color="auto" w:fill="auto"/>
          </w:tcPr>
          <w:p w:rsidR="000F252A" w:rsidRPr="000F252A" w:rsidRDefault="006A784B" w:rsidP="000F252A">
            <w:pPr>
              <w:jc w:val="both"/>
            </w:pPr>
            <w:r>
              <w:t xml:space="preserve">министр здравоохранения </w:t>
            </w:r>
            <w:r w:rsidR="000F252A" w:rsidRPr="000F252A">
              <w:t>Республики Татарстан А.Р.Абашев, главный внештатный специалист по паллиативной помощи Министерства здравоохранения Республики Татарстан Р.Н.Ахундов</w:t>
            </w:r>
          </w:p>
        </w:tc>
        <w:tc>
          <w:tcPr>
            <w:tcW w:w="3969" w:type="dxa"/>
            <w:shd w:val="clear" w:color="auto" w:fill="auto"/>
          </w:tcPr>
          <w:p w:rsidR="000F252A" w:rsidRPr="000F252A" w:rsidRDefault="000F252A" w:rsidP="000F252A">
            <w:pPr>
              <w:jc w:val="both"/>
            </w:pPr>
            <w:r w:rsidRPr="000F252A">
              <w:t>ежегодное число посещений на до</w:t>
            </w:r>
            <w:r w:rsidR="006A784B">
              <w:t>-</w:t>
            </w:r>
            <w:r w:rsidR="006A784B">
              <w:br/>
            </w:r>
            <w:r w:rsidRPr="000F252A">
              <w:t>му – не менее 32 тыс.посещений;</w:t>
            </w:r>
          </w:p>
          <w:p w:rsidR="000F252A" w:rsidRPr="000F252A" w:rsidRDefault="000F252A" w:rsidP="000F252A">
            <w:pPr>
              <w:jc w:val="both"/>
            </w:pPr>
            <w:r w:rsidRPr="000F252A">
              <w:t xml:space="preserve">число случаев оказания медицинской помощи в условиях отделений паллиативной медицинской помощи – </w:t>
            </w:r>
            <w:r w:rsidR="006A784B">
              <w:br/>
            </w:r>
            <w:r w:rsidRPr="000F252A">
              <w:t>не менее 540 случаев</w:t>
            </w:r>
          </w:p>
        </w:tc>
      </w:tr>
      <w:tr w:rsidR="000F252A" w:rsidRPr="009D3B11" w:rsidTr="00AC795F">
        <w:trPr>
          <w:trHeight w:val="20"/>
        </w:trPr>
        <w:tc>
          <w:tcPr>
            <w:tcW w:w="704" w:type="dxa"/>
            <w:shd w:val="clear" w:color="auto" w:fill="auto"/>
          </w:tcPr>
          <w:p w:rsidR="000F252A" w:rsidRPr="000F252A" w:rsidRDefault="000F252A" w:rsidP="00162B9C">
            <w:pPr>
              <w:jc w:val="center"/>
            </w:pPr>
            <w:r w:rsidRPr="000F252A">
              <w:t>5.4</w:t>
            </w:r>
            <w:r w:rsidR="00162B9C">
              <w:t>1</w:t>
            </w:r>
            <w:r w:rsidRPr="000F252A">
              <w:t>.</w:t>
            </w:r>
          </w:p>
        </w:tc>
        <w:tc>
          <w:tcPr>
            <w:tcW w:w="3686" w:type="dxa"/>
            <w:shd w:val="clear" w:color="auto" w:fill="auto"/>
          </w:tcPr>
          <w:p w:rsidR="000F252A" w:rsidRPr="000F252A" w:rsidRDefault="000F252A" w:rsidP="000F252A">
            <w:pPr>
              <w:jc w:val="both"/>
            </w:pPr>
            <w:r w:rsidRPr="000F252A">
              <w:t xml:space="preserve">Проведение мониторинга реализации лекарственных препаратов, необходимых для обезболивания, и их запасов в целях бесперебойного обеспечения пациентов с онкологическими заболеваниями в рамках приказа Министерства здравоохранения Республики Татарстан от 29.12.2018 № 2909 </w:t>
            </w:r>
            <w:r w:rsidRPr="000F252A">
              <w:br/>
              <w:t>«О мониторинге системы оказания паллиативной медицинской помощи в Республике Татарстан»</w:t>
            </w:r>
          </w:p>
        </w:tc>
        <w:tc>
          <w:tcPr>
            <w:tcW w:w="1474" w:type="dxa"/>
            <w:shd w:val="clear" w:color="auto" w:fill="auto"/>
          </w:tcPr>
          <w:p w:rsidR="000F252A" w:rsidRPr="000F252A" w:rsidRDefault="000F252A" w:rsidP="000F252A">
            <w:pPr>
              <w:jc w:val="center"/>
            </w:pPr>
            <w:r w:rsidRPr="000F252A">
              <w:t>09.01.2026</w:t>
            </w:r>
          </w:p>
        </w:tc>
        <w:tc>
          <w:tcPr>
            <w:tcW w:w="1418" w:type="dxa"/>
            <w:shd w:val="clear" w:color="auto" w:fill="auto"/>
          </w:tcPr>
          <w:p w:rsidR="000F252A" w:rsidRPr="000F252A" w:rsidRDefault="000F252A" w:rsidP="000F252A">
            <w:pPr>
              <w:jc w:val="center"/>
            </w:pPr>
            <w:r w:rsidRPr="000F252A">
              <w:t>31.12.2030</w:t>
            </w:r>
          </w:p>
        </w:tc>
        <w:tc>
          <w:tcPr>
            <w:tcW w:w="3912" w:type="dxa"/>
            <w:shd w:val="clear" w:color="auto" w:fill="auto"/>
          </w:tcPr>
          <w:p w:rsidR="000F252A" w:rsidRPr="000F252A" w:rsidRDefault="002700AE" w:rsidP="000F252A">
            <w:pPr>
              <w:jc w:val="both"/>
            </w:pPr>
            <w:r>
              <w:t xml:space="preserve">министр здравоохранения </w:t>
            </w:r>
            <w:r w:rsidR="000F252A" w:rsidRPr="000F252A">
              <w:t>Республики Татарстан А.Р.Абашев, главный внештатный специалист по паллиативной помощи Министерства здравоохранения Республики Татарстан Р.Н.Ахундов</w:t>
            </w:r>
          </w:p>
        </w:tc>
        <w:tc>
          <w:tcPr>
            <w:tcW w:w="3969" w:type="dxa"/>
            <w:shd w:val="clear" w:color="auto" w:fill="auto"/>
          </w:tcPr>
          <w:p w:rsidR="000F252A" w:rsidRPr="000F252A" w:rsidRDefault="000F252A" w:rsidP="000F252A">
            <w:pPr>
              <w:jc w:val="both"/>
            </w:pPr>
            <w:r w:rsidRPr="000F252A">
              <w:t>мониторинг реализации лекарственных препаратов осуществляется ежегодно</w:t>
            </w:r>
          </w:p>
        </w:tc>
      </w:tr>
      <w:tr w:rsidR="000F252A" w:rsidRPr="009D3B11" w:rsidTr="00AC795F">
        <w:trPr>
          <w:trHeight w:val="20"/>
        </w:trPr>
        <w:tc>
          <w:tcPr>
            <w:tcW w:w="704" w:type="dxa"/>
            <w:shd w:val="clear" w:color="auto" w:fill="auto"/>
          </w:tcPr>
          <w:p w:rsidR="000F252A" w:rsidRPr="000F252A" w:rsidRDefault="000F252A" w:rsidP="000F252A">
            <w:pPr>
              <w:jc w:val="center"/>
            </w:pPr>
            <w:r w:rsidRPr="000F252A">
              <w:rPr>
                <w:lang w:val="en-US"/>
              </w:rPr>
              <w:t>5</w:t>
            </w:r>
            <w:r w:rsidRPr="000F252A">
              <w:t>.4</w:t>
            </w:r>
            <w:r w:rsidR="00162B9C">
              <w:t>2.</w:t>
            </w:r>
          </w:p>
          <w:p w:rsidR="000F252A" w:rsidRPr="000F252A" w:rsidRDefault="000F252A" w:rsidP="000F252A">
            <w:pPr>
              <w:jc w:val="center"/>
            </w:pPr>
          </w:p>
        </w:tc>
        <w:tc>
          <w:tcPr>
            <w:tcW w:w="3686" w:type="dxa"/>
            <w:shd w:val="clear" w:color="auto" w:fill="auto"/>
          </w:tcPr>
          <w:p w:rsidR="000F252A" w:rsidRPr="000F252A" w:rsidRDefault="000F252A" w:rsidP="000F252A">
            <w:pPr>
              <w:jc w:val="both"/>
            </w:pPr>
            <w:r w:rsidRPr="000F252A">
              <w:t xml:space="preserve">Проведение первичных консультаций врачей-онкологов ГАУЗ </w:t>
            </w:r>
            <w:r w:rsidRPr="000F252A">
              <w:rPr>
                <w:rFonts w:eastAsia="Arial"/>
              </w:rPr>
              <w:t>«РКОД МЗ РТ им.проф.М.З.Сигала»</w:t>
            </w:r>
            <w:r w:rsidRPr="000F252A">
              <w:t xml:space="preserve">  с применением телемедицинских технологий </w:t>
            </w:r>
            <w:r w:rsidRPr="000F252A">
              <w:rPr>
                <w:color w:val="000000"/>
              </w:rPr>
              <w:t xml:space="preserve">пациентам с подозрением на онкологическое заболевание (взрослое население) </w:t>
            </w:r>
            <w:r w:rsidRPr="000F252A">
              <w:t>в Республике Татарстан</w:t>
            </w:r>
          </w:p>
        </w:tc>
        <w:tc>
          <w:tcPr>
            <w:tcW w:w="1474" w:type="dxa"/>
            <w:shd w:val="clear" w:color="auto" w:fill="auto"/>
          </w:tcPr>
          <w:p w:rsidR="000F252A" w:rsidRPr="000F252A" w:rsidRDefault="000F252A" w:rsidP="000F252A">
            <w:pPr>
              <w:jc w:val="center"/>
            </w:pPr>
            <w:r w:rsidRPr="000F252A">
              <w:t>01.03.2026</w:t>
            </w:r>
          </w:p>
        </w:tc>
        <w:tc>
          <w:tcPr>
            <w:tcW w:w="1418" w:type="dxa"/>
            <w:shd w:val="clear" w:color="auto" w:fill="auto"/>
          </w:tcPr>
          <w:p w:rsidR="000F252A" w:rsidRPr="000F252A" w:rsidRDefault="000F252A" w:rsidP="000F252A">
            <w:pPr>
              <w:jc w:val="center"/>
            </w:pPr>
            <w:r w:rsidRPr="000F252A">
              <w:t>31.12.2030</w:t>
            </w:r>
          </w:p>
        </w:tc>
        <w:tc>
          <w:tcPr>
            <w:tcW w:w="3912" w:type="dxa"/>
            <w:shd w:val="clear" w:color="auto" w:fill="auto"/>
          </w:tcPr>
          <w:p w:rsidR="000F252A" w:rsidRPr="000F252A" w:rsidRDefault="006A784B" w:rsidP="000F252A">
            <w:pPr>
              <w:jc w:val="both"/>
            </w:pPr>
            <w:r>
              <w:t xml:space="preserve">министр здравоохранения </w:t>
            </w:r>
            <w:r w:rsidR="000F252A" w:rsidRPr="000F252A">
              <w:t>Республики Татарстан А.Р.Абашев, главный внештатный специалист-онколог Министерства здравоохранения Республики Татарстан Э.В.Нагуманов</w:t>
            </w:r>
          </w:p>
        </w:tc>
        <w:tc>
          <w:tcPr>
            <w:tcW w:w="3969" w:type="dxa"/>
            <w:shd w:val="clear" w:color="auto" w:fill="auto"/>
          </w:tcPr>
          <w:p w:rsidR="000F252A" w:rsidRPr="000F252A" w:rsidRDefault="000F252A" w:rsidP="000F252A">
            <w:pPr>
              <w:jc w:val="both"/>
            </w:pPr>
            <w:r w:rsidRPr="000F252A">
              <w:t xml:space="preserve">первичные консультации с применением телемедицинских технологий проведены: </w:t>
            </w:r>
          </w:p>
          <w:p w:rsidR="000F252A" w:rsidRPr="000F252A" w:rsidRDefault="000F252A" w:rsidP="000F252A">
            <w:pPr>
              <w:jc w:val="both"/>
            </w:pPr>
            <w:r w:rsidRPr="000F252A">
              <w:t xml:space="preserve">в 2026 г. – в 70 процентах случаев; </w:t>
            </w:r>
          </w:p>
          <w:p w:rsidR="000F252A" w:rsidRPr="000F252A" w:rsidRDefault="000F252A" w:rsidP="000F252A">
            <w:pPr>
              <w:jc w:val="both"/>
            </w:pPr>
            <w:r w:rsidRPr="000F252A">
              <w:t xml:space="preserve">в 2027 г. – в 75 процентах случаев; </w:t>
            </w:r>
          </w:p>
          <w:p w:rsidR="000F252A" w:rsidRPr="000F252A" w:rsidRDefault="000F252A" w:rsidP="000F252A">
            <w:pPr>
              <w:jc w:val="both"/>
            </w:pPr>
            <w:r w:rsidRPr="000F252A">
              <w:t xml:space="preserve">в 2028 г. – в 80 процентах случаев; </w:t>
            </w:r>
          </w:p>
          <w:p w:rsidR="000F252A" w:rsidRPr="000F252A" w:rsidRDefault="000F252A" w:rsidP="000F252A">
            <w:pPr>
              <w:jc w:val="both"/>
            </w:pPr>
            <w:r w:rsidRPr="000F252A">
              <w:t xml:space="preserve">в 2029 г. – в 85 процентах случаев; </w:t>
            </w:r>
          </w:p>
          <w:p w:rsidR="000F252A" w:rsidRPr="000F252A" w:rsidRDefault="000F252A" w:rsidP="000F252A">
            <w:pPr>
              <w:jc w:val="both"/>
            </w:pPr>
            <w:r w:rsidRPr="000F252A">
              <w:t>в 2030 г. – в 90 процентах случаев</w:t>
            </w:r>
          </w:p>
        </w:tc>
      </w:tr>
      <w:tr w:rsidR="000F252A" w:rsidRPr="009D3B11" w:rsidTr="00AC795F">
        <w:trPr>
          <w:trHeight w:val="20"/>
        </w:trPr>
        <w:tc>
          <w:tcPr>
            <w:tcW w:w="704" w:type="dxa"/>
            <w:shd w:val="clear" w:color="auto" w:fill="auto"/>
          </w:tcPr>
          <w:p w:rsidR="000F252A" w:rsidRPr="000F252A" w:rsidRDefault="000F252A" w:rsidP="00162B9C">
            <w:pPr>
              <w:jc w:val="center"/>
            </w:pPr>
            <w:r w:rsidRPr="000F252A">
              <w:t>5.4</w:t>
            </w:r>
            <w:r w:rsidR="00162B9C">
              <w:t>3.</w:t>
            </w:r>
          </w:p>
        </w:tc>
        <w:tc>
          <w:tcPr>
            <w:tcW w:w="3686" w:type="dxa"/>
            <w:shd w:val="clear" w:color="auto" w:fill="auto"/>
          </w:tcPr>
          <w:p w:rsidR="000F252A" w:rsidRPr="000F252A" w:rsidRDefault="000F252A" w:rsidP="000F252A">
            <w:pPr>
              <w:jc w:val="both"/>
            </w:pPr>
            <w:r w:rsidRPr="000F252A">
              <w:t>Мониторинг сроков начала оказания специализированной медицинской помощи больным с подозрением на онкологические заболевания на соответствие нормативу, установленному Программой государственных гарантий бесплатного оказания гражданам медицинской помощи по региону</w:t>
            </w:r>
          </w:p>
        </w:tc>
        <w:tc>
          <w:tcPr>
            <w:tcW w:w="1474" w:type="dxa"/>
            <w:shd w:val="clear" w:color="auto" w:fill="auto"/>
          </w:tcPr>
          <w:p w:rsidR="000F252A" w:rsidRPr="000F252A" w:rsidRDefault="000F252A" w:rsidP="000F252A">
            <w:pPr>
              <w:jc w:val="center"/>
            </w:pPr>
            <w:r w:rsidRPr="000F252A">
              <w:t>09.01.2026</w:t>
            </w:r>
          </w:p>
        </w:tc>
        <w:tc>
          <w:tcPr>
            <w:tcW w:w="1418" w:type="dxa"/>
            <w:shd w:val="clear" w:color="auto" w:fill="auto"/>
          </w:tcPr>
          <w:p w:rsidR="000F252A" w:rsidRPr="000F252A" w:rsidRDefault="000F252A" w:rsidP="000F252A">
            <w:pPr>
              <w:jc w:val="center"/>
            </w:pPr>
            <w:r w:rsidRPr="000F252A">
              <w:t>31.12.2030</w:t>
            </w:r>
          </w:p>
        </w:tc>
        <w:tc>
          <w:tcPr>
            <w:tcW w:w="3912" w:type="dxa"/>
            <w:shd w:val="clear" w:color="auto" w:fill="auto"/>
          </w:tcPr>
          <w:p w:rsidR="000F252A" w:rsidRPr="000F252A" w:rsidRDefault="006A784B" w:rsidP="000F252A">
            <w:pPr>
              <w:jc w:val="both"/>
            </w:pPr>
            <w:r>
              <w:t xml:space="preserve">министр здравоохранения </w:t>
            </w:r>
            <w:r w:rsidR="000F252A" w:rsidRPr="000F252A">
              <w:t xml:space="preserve">Республики Татарстан А.Р.Абашев, главный врач ГАУЗ </w:t>
            </w:r>
            <w:r w:rsidR="000F252A" w:rsidRPr="000F252A">
              <w:rPr>
                <w:rFonts w:eastAsia="Arial"/>
              </w:rPr>
              <w:t>«РКОД МЗ РТ им.проф.М.З.Сигала»</w:t>
            </w:r>
            <w:r w:rsidR="000F252A" w:rsidRPr="000F252A">
              <w:t xml:space="preserve"> М.Ф.Мухамадеев, руководители медицинских организаций Республики Татарстан</w:t>
            </w:r>
          </w:p>
        </w:tc>
        <w:tc>
          <w:tcPr>
            <w:tcW w:w="3969" w:type="dxa"/>
            <w:shd w:val="clear" w:color="auto" w:fill="auto"/>
          </w:tcPr>
          <w:p w:rsidR="000F252A" w:rsidRPr="000F252A" w:rsidRDefault="000F252A" w:rsidP="000F252A">
            <w:pPr>
              <w:jc w:val="both"/>
            </w:pPr>
            <w:r w:rsidRPr="000F252A">
              <w:t>ежемесячно число случаев превышения норматива – не более 5 процентов</w:t>
            </w:r>
          </w:p>
        </w:tc>
      </w:tr>
      <w:tr w:rsidR="000F252A" w:rsidRPr="009D3B11" w:rsidTr="005735AD">
        <w:trPr>
          <w:trHeight w:val="20"/>
        </w:trPr>
        <w:tc>
          <w:tcPr>
            <w:tcW w:w="15163" w:type="dxa"/>
            <w:gridSpan w:val="6"/>
            <w:shd w:val="clear" w:color="auto" w:fill="auto"/>
            <w:hideMark/>
          </w:tcPr>
          <w:p w:rsidR="000F252A" w:rsidRPr="000F252A" w:rsidRDefault="000F252A" w:rsidP="000F252A">
            <w:pPr>
              <w:jc w:val="center"/>
            </w:pPr>
            <w:r w:rsidRPr="000F252A">
              <w:t>6. Третичная профилактика злокачественных новообразований, включая организацию диспансерного наблюдения пациентов</w:t>
            </w:r>
          </w:p>
          <w:p w:rsidR="000F252A" w:rsidRPr="000F252A" w:rsidRDefault="000F252A" w:rsidP="000F252A">
            <w:pPr>
              <w:jc w:val="center"/>
            </w:pPr>
            <w:r w:rsidRPr="000F252A">
              <w:t>с онкологическими заболеваниями</w:t>
            </w:r>
          </w:p>
        </w:tc>
      </w:tr>
      <w:tr w:rsidR="000F252A" w:rsidRPr="009D3B11" w:rsidTr="00AC795F">
        <w:trPr>
          <w:trHeight w:val="20"/>
        </w:trPr>
        <w:tc>
          <w:tcPr>
            <w:tcW w:w="704" w:type="dxa"/>
            <w:shd w:val="clear" w:color="auto" w:fill="auto"/>
            <w:noWrap/>
          </w:tcPr>
          <w:p w:rsidR="000F252A" w:rsidRPr="000F252A" w:rsidRDefault="000F252A" w:rsidP="000F252A">
            <w:pPr>
              <w:jc w:val="center"/>
            </w:pPr>
            <w:r w:rsidRPr="000F252A">
              <w:t>6.1.</w:t>
            </w:r>
          </w:p>
        </w:tc>
        <w:tc>
          <w:tcPr>
            <w:tcW w:w="3686" w:type="dxa"/>
            <w:shd w:val="clear" w:color="auto" w:fill="auto"/>
          </w:tcPr>
          <w:p w:rsidR="000F252A" w:rsidRPr="000F252A" w:rsidRDefault="000F252A" w:rsidP="000F252A">
            <w:pPr>
              <w:jc w:val="both"/>
            </w:pPr>
            <w:r w:rsidRPr="000F252A">
              <w:t xml:space="preserve">Информирование пациентов с установленным диагнозом ЗНО о необходимости проведения лечения и диспансерного наблюдения, порядке диспансерного наблюдения </w:t>
            </w:r>
          </w:p>
        </w:tc>
        <w:tc>
          <w:tcPr>
            <w:tcW w:w="1474" w:type="dxa"/>
            <w:shd w:val="clear" w:color="auto" w:fill="auto"/>
          </w:tcPr>
          <w:p w:rsidR="000F252A" w:rsidRPr="000F252A" w:rsidRDefault="000F252A" w:rsidP="000F252A">
            <w:pPr>
              <w:jc w:val="center"/>
            </w:pPr>
            <w:r w:rsidRPr="000F252A">
              <w:t>09.01.2026</w:t>
            </w:r>
          </w:p>
        </w:tc>
        <w:tc>
          <w:tcPr>
            <w:tcW w:w="1418" w:type="dxa"/>
            <w:shd w:val="clear" w:color="auto" w:fill="auto"/>
          </w:tcPr>
          <w:p w:rsidR="000F252A" w:rsidRPr="000F252A" w:rsidRDefault="000F252A" w:rsidP="000F252A">
            <w:pPr>
              <w:jc w:val="center"/>
            </w:pPr>
            <w:r w:rsidRPr="000F252A">
              <w:t>01.05.2030</w:t>
            </w:r>
          </w:p>
        </w:tc>
        <w:tc>
          <w:tcPr>
            <w:tcW w:w="3912" w:type="dxa"/>
            <w:shd w:val="clear" w:color="auto" w:fill="auto"/>
          </w:tcPr>
          <w:p w:rsidR="000F252A" w:rsidRPr="000F252A" w:rsidRDefault="000F252A" w:rsidP="000F252A">
            <w:pPr>
              <w:jc w:val="both"/>
            </w:pPr>
            <w:r w:rsidRPr="000F252A">
              <w:t>главный внештатный специалист-онколог Министерства здравоохранения Республики Татарстан Э.В.Нагуманов, руководители медицинских организаций Республики Татарстан</w:t>
            </w:r>
          </w:p>
        </w:tc>
        <w:tc>
          <w:tcPr>
            <w:tcW w:w="3969" w:type="dxa"/>
            <w:shd w:val="clear" w:color="auto" w:fill="auto"/>
          </w:tcPr>
          <w:p w:rsidR="000F252A" w:rsidRPr="000F252A" w:rsidRDefault="000F252A" w:rsidP="000F252A">
            <w:pPr>
              <w:jc w:val="both"/>
            </w:pPr>
            <w:r w:rsidRPr="000F252A">
              <w:t xml:space="preserve">ежегодно размещение информации на информационных стендах ГАУЗ </w:t>
            </w:r>
            <w:r w:rsidRPr="000F252A">
              <w:rPr>
                <w:rFonts w:eastAsia="Arial"/>
              </w:rPr>
              <w:t>«РКОД МЗ РТ им.проф.М.З.Сигала»</w:t>
            </w:r>
            <w:r w:rsidRPr="000F252A">
              <w:t xml:space="preserve"> и 71 медицинской организации</w:t>
            </w:r>
          </w:p>
        </w:tc>
      </w:tr>
      <w:tr w:rsidR="000F252A" w:rsidRPr="009D3B11" w:rsidTr="00AC795F">
        <w:trPr>
          <w:trHeight w:val="20"/>
        </w:trPr>
        <w:tc>
          <w:tcPr>
            <w:tcW w:w="704" w:type="dxa"/>
            <w:shd w:val="clear" w:color="auto" w:fill="auto"/>
          </w:tcPr>
          <w:p w:rsidR="000F252A" w:rsidRPr="000F252A" w:rsidRDefault="000F252A" w:rsidP="000F252A">
            <w:pPr>
              <w:jc w:val="center"/>
            </w:pPr>
            <w:r w:rsidRPr="000F252A">
              <w:t>6.2.</w:t>
            </w:r>
          </w:p>
        </w:tc>
        <w:tc>
          <w:tcPr>
            <w:tcW w:w="3686" w:type="dxa"/>
            <w:shd w:val="clear" w:color="auto" w:fill="auto"/>
          </w:tcPr>
          <w:p w:rsidR="000F252A" w:rsidRPr="000F252A" w:rsidRDefault="000F252A" w:rsidP="000F252A">
            <w:pPr>
              <w:jc w:val="both"/>
            </w:pPr>
            <w:r w:rsidRPr="000F252A">
              <w:t>Проведение информационно-коммуникационной кампании по повышению приверженности пациентов с онкологическими заболеваниями к лечению, диспансерному наблюдению, выполнению рекомендаций врача-онколога</w:t>
            </w:r>
          </w:p>
        </w:tc>
        <w:tc>
          <w:tcPr>
            <w:tcW w:w="1474" w:type="dxa"/>
            <w:shd w:val="clear" w:color="auto" w:fill="auto"/>
          </w:tcPr>
          <w:p w:rsidR="000F252A" w:rsidRPr="000F252A" w:rsidRDefault="000F252A" w:rsidP="000F252A">
            <w:pPr>
              <w:jc w:val="center"/>
            </w:pPr>
            <w:r w:rsidRPr="000F252A">
              <w:t>09.01.2026</w:t>
            </w:r>
          </w:p>
        </w:tc>
        <w:tc>
          <w:tcPr>
            <w:tcW w:w="1418" w:type="dxa"/>
            <w:shd w:val="clear" w:color="auto" w:fill="auto"/>
          </w:tcPr>
          <w:p w:rsidR="000F252A" w:rsidRPr="000F252A" w:rsidRDefault="000F252A" w:rsidP="000F252A">
            <w:pPr>
              <w:jc w:val="center"/>
            </w:pPr>
            <w:r w:rsidRPr="000F252A">
              <w:t>31.12.2030</w:t>
            </w:r>
          </w:p>
        </w:tc>
        <w:tc>
          <w:tcPr>
            <w:tcW w:w="3912" w:type="dxa"/>
            <w:shd w:val="clear" w:color="auto" w:fill="auto"/>
          </w:tcPr>
          <w:p w:rsidR="000F252A" w:rsidRPr="000F252A" w:rsidRDefault="000F252A" w:rsidP="000F252A">
            <w:pPr>
              <w:jc w:val="both"/>
            </w:pPr>
            <w:r w:rsidRPr="000F252A">
              <w:t xml:space="preserve">главный врач ГАУЗ </w:t>
            </w:r>
            <w:r w:rsidRPr="000F252A">
              <w:rPr>
                <w:rFonts w:eastAsia="Arial"/>
              </w:rPr>
              <w:t>«РКОД МЗ РТ им.проф.М.З.Сигала»</w:t>
            </w:r>
            <w:r w:rsidRPr="000F252A">
              <w:t xml:space="preserve">  М.Ф.Мухамадеев</w:t>
            </w:r>
          </w:p>
        </w:tc>
        <w:tc>
          <w:tcPr>
            <w:tcW w:w="3969" w:type="dxa"/>
            <w:shd w:val="clear" w:color="auto" w:fill="auto"/>
          </w:tcPr>
          <w:p w:rsidR="000F252A" w:rsidRPr="000F252A" w:rsidRDefault="000F252A" w:rsidP="000F252A">
            <w:pPr>
              <w:jc w:val="both"/>
            </w:pPr>
            <w:r w:rsidRPr="000F252A">
              <w:t>размещение в социальных сетях «Вконтакте», «Телеграм» информационных сообщений в целях повышения приверженности пациентов с онкологическими заболеваниями к лечению, диспансерному наблюдению, выполнению рекомендаций врача-онколога – не менее 5 сообщений в неделю</w:t>
            </w:r>
          </w:p>
        </w:tc>
      </w:tr>
      <w:tr w:rsidR="000F252A" w:rsidRPr="009D3B11" w:rsidTr="00AC795F">
        <w:trPr>
          <w:trHeight w:val="20"/>
        </w:trPr>
        <w:tc>
          <w:tcPr>
            <w:tcW w:w="704" w:type="dxa"/>
            <w:shd w:val="clear" w:color="auto" w:fill="auto"/>
            <w:noWrap/>
          </w:tcPr>
          <w:p w:rsidR="000F252A" w:rsidRPr="000F252A" w:rsidRDefault="000F252A" w:rsidP="000F252A">
            <w:pPr>
              <w:jc w:val="center"/>
            </w:pPr>
            <w:r w:rsidRPr="000F252A">
              <w:t>6.3.</w:t>
            </w:r>
          </w:p>
        </w:tc>
        <w:tc>
          <w:tcPr>
            <w:tcW w:w="3686" w:type="dxa"/>
            <w:shd w:val="clear" w:color="auto" w:fill="auto"/>
          </w:tcPr>
          <w:p w:rsidR="000F252A" w:rsidRPr="000F252A" w:rsidRDefault="000F252A" w:rsidP="000F252A">
            <w:pPr>
              <w:jc w:val="both"/>
            </w:pPr>
            <w:r w:rsidRPr="000F252A">
              <w:t>Проведение сверки баз данных регионального ракового регистра и государственного учреждения «Территориальный фонд обязательного медицинского страхования Республики Татарстан»</w:t>
            </w:r>
          </w:p>
        </w:tc>
        <w:tc>
          <w:tcPr>
            <w:tcW w:w="1474" w:type="dxa"/>
            <w:shd w:val="clear" w:color="auto" w:fill="auto"/>
          </w:tcPr>
          <w:p w:rsidR="000F252A" w:rsidRPr="000F252A" w:rsidRDefault="000F252A" w:rsidP="000F252A">
            <w:pPr>
              <w:jc w:val="center"/>
            </w:pPr>
            <w:r w:rsidRPr="000F252A">
              <w:t>09.01.2026</w:t>
            </w:r>
          </w:p>
        </w:tc>
        <w:tc>
          <w:tcPr>
            <w:tcW w:w="1418" w:type="dxa"/>
            <w:shd w:val="clear" w:color="auto" w:fill="auto"/>
          </w:tcPr>
          <w:p w:rsidR="000F252A" w:rsidRPr="000F252A" w:rsidRDefault="000F252A" w:rsidP="000F252A">
            <w:pPr>
              <w:jc w:val="center"/>
            </w:pPr>
            <w:r w:rsidRPr="000F252A">
              <w:t>31.12.2030</w:t>
            </w:r>
          </w:p>
        </w:tc>
        <w:tc>
          <w:tcPr>
            <w:tcW w:w="3912" w:type="dxa"/>
            <w:shd w:val="clear" w:color="auto" w:fill="auto"/>
          </w:tcPr>
          <w:p w:rsidR="000F252A" w:rsidRPr="000F252A" w:rsidRDefault="000F252A" w:rsidP="000F252A">
            <w:pPr>
              <w:jc w:val="both"/>
            </w:pPr>
            <w:r w:rsidRPr="000F252A">
              <w:t xml:space="preserve">директор государственного учреждения «Территориальный фонд обязательного медицинского страхования Республики Татарстан» А.М.Мифтахова (по согласованию), главный врач ГАУЗ </w:t>
            </w:r>
            <w:r w:rsidRPr="000F252A">
              <w:rPr>
                <w:rFonts w:eastAsia="Arial"/>
              </w:rPr>
              <w:t>«РКОД МЗ РТ им.проф.М.З.Сигала»</w:t>
            </w:r>
            <w:r w:rsidRPr="000F252A">
              <w:t xml:space="preserve">  М.Ф.Мухамадеев</w:t>
            </w:r>
          </w:p>
        </w:tc>
        <w:tc>
          <w:tcPr>
            <w:tcW w:w="3969" w:type="dxa"/>
            <w:shd w:val="clear" w:color="auto" w:fill="auto"/>
          </w:tcPr>
          <w:p w:rsidR="000F252A" w:rsidRPr="000F252A" w:rsidRDefault="000F252A" w:rsidP="000F252A">
            <w:pPr>
              <w:jc w:val="both"/>
            </w:pPr>
            <w:r w:rsidRPr="000F252A">
              <w:t>ежемесячная сверка баз данных ракового регистра и сведений о застрахованных пациентах с онкологическими заболеваниями и государственного учреждения «Территориальный фонд обязательного медицинского страхования Республики Татарстан»</w:t>
            </w:r>
          </w:p>
        </w:tc>
      </w:tr>
      <w:tr w:rsidR="000F252A" w:rsidRPr="009D3B11" w:rsidTr="00AC795F">
        <w:trPr>
          <w:trHeight w:val="20"/>
        </w:trPr>
        <w:tc>
          <w:tcPr>
            <w:tcW w:w="704" w:type="dxa"/>
            <w:shd w:val="clear" w:color="auto" w:fill="auto"/>
            <w:noWrap/>
          </w:tcPr>
          <w:p w:rsidR="000F252A" w:rsidRPr="000F252A" w:rsidRDefault="000F252A" w:rsidP="000F252A">
            <w:pPr>
              <w:jc w:val="center"/>
            </w:pPr>
            <w:r w:rsidRPr="000F252A">
              <w:t>6.4.</w:t>
            </w:r>
          </w:p>
        </w:tc>
        <w:tc>
          <w:tcPr>
            <w:tcW w:w="3686" w:type="dxa"/>
            <w:shd w:val="clear" w:color="auto" w:fill="auto"/>
          </w:tcPr>
          <w:p w:rsidR="000F252A" w:rsidRPr="000F252A" w:rsidRDefault="000F252A" w:rsidP="000F252A">
            <w:pPr>
              <w:jc w:val="both"/>
            </w:pPr>
            <w:r w:rsidRPr="000F252A">
              <w:t>Разработка и утверждение планов диспансерного наблюдения для каждой медицинской организации, осуществляющей диспансерное наблюдение за взрослыми с онкологическими заболеваниями</w:t>
            </w:r>
          </w:p>
        </w:tc>
        <w:tc>
          <w:tcPr>
            <w:tcW w:w="1474" w:type="dxa"/>
            <w:shd w:val="clear" w:color="auto" w:fill="auto"/>
          </w:tcPr>
          <w:p w:rsidR="000F252A" w:rsidRPr="000F252A" w:rsidRDefault="000F252A" w:rsidP="000F252A">
            <w:pPr>
              <w:jc w:val="center"/>
            </w:pPr>
            <w:r w:rsidRPr="000F252A">
              <w:t>20.01.2026</w:t>
            </w:r>
          </w:p>
        </w:tc>
        <w:tc>
          <w:tcPr>
            <w:tcW w:w="1418" w:type="dxa"/>
            <w:shd w:val="clear" w:color="auto" w:fill="auto"/>
          </w:tcPr>
          <w:p w:rsidR="000F252A" w:rsidRPr="000F252A" w:rsidRDefault="000F252A" w:rsidP="000F252A">
            <w:pPr>
              <w:jc w:val="center"/>
            </w:pPr>
            <w:r w:rsidRPr="000F252A">
              <w:t>01.02.2030</w:t>
            </w:r>
          </w:p>
        </w:tc>
        <w:tc>
          <w:tcPr>
            <w:tcW w:w="3912" w:type="dxa"/>
            <w:shd w:val="clear" w:color="auto" w:fill="auto"/>
          </w:tcPr>
          <w:p w:rsidR="000F252A" w:rsidRPr="000F252A" w:rsidRDefault="000F252A" w:rsidP="000F252A">
            <w:pPr>
              <w:jc w:val="both"/>
            </w:pPr>
            <w:r w:rsidRPr="000F252A">
              <w:t xml:space="preserve">министр здравоохранения Республики Татарстан А.Р.Абашев, директор государственного учреждения «Территориальный фонд обязательного медицинского страхования Республики Татарстан» А.М.Мифтахова (по согласованию), главный врач ГАУЗ </w:t>
            </w:r>
            <w:r w:rsidRPr="000F252A">
              <w:rPr>
                <w:rFonts w:eastAsia="Arial"/>
              </w:rPr>
              <w:t>«РКОД МЗ РТ им.проф.М.З.Сигала»</w:t>
            </w:r>
            <w:r w:rsidRPr="000F252A">
              <w:t xml:space="preserve">  М.Ф.Мухамадеев</w:t>
            </w:r>
          </w:p>
        </w:tc>
        <w:tc>
          <w:tcPr>
            <w:tcW w:w="3969" w:type="dxa"/>
            <w:shd w:val="clear" w:color="auto" w:fill="auto"/>
          </w:tcPr>
          <w:p w:rsidR="000F252A" w:rsidRPr="000F252A" w:rsidRDefault="000F252A" w:rsidP="000F252A">
            <w:pPr>
              <w:jc w:val="both"/>
            </w:pPr>
            <w:r w:rsidRPr="000F252A">
              <w:t>ежегодно план диспансерного наблюдения за взрослыми с онкологическими заболеваниями утвержден</w:t>
            </w:r>
          </w:p>
        </w:tc>
      </w:tr>
      <w:tr w:rsidR="000F252A" w:rsidRPr="009D3B11" w:rsidTr="00AC795F">
        <w:trPr>
          <w:trHeight w:val="20"/>
        </w:trPr>
        <w:tc>
          <w:tcPr>
            <w:tcW w:w="704" w:type="dxa"/>
            <w:shd w:val="clear" w:color="auto" w:fill="auto"/>
            <w:noWrap/>
          </w:tcPr>
          <w:p w:rsidR="000F252A" w:rsidRPr="000F252A" w:rsidRDefault="000F252A" w:rsidP="000F252A">
            <w:pPr>
              <w:jc w:val="center"/>
            </w:pPr>
            <w:r w:rsidRPr="000F252A">
              <w:t>6.5.</w:t>
            </w:r>
          </w:p>
        </w:tc>
        <w:tc>
          <w:tcPr>
            <w:tcW w:w="3686" w:type="dxa"/>
            <w:shd w:val="clear" w:color="auto" w:fill="auto"/>
          </w:tcPr>
          <w:p w:rsidR="000F252A" w:rsidRPr="000F252A" w:rsidRDefault="000F252A" w:rsidP="000F252A">
            <w:pPr>
              <w:jc w:val="both"/>
            </w:pPr>
            <w:r w:rsidRPr="000F252A">
              <w:t>Обеспечение проведения диспансерного наблюдения пациентов с онкологическими заболеваниями в соответствии с приказами Министерства здравоохранения Российской Федерации от 4 июня 2020 г. № 548н «Об утверждении порядка диспансерного наблюдения за взрослыми с онкологическими заболеваниями», от 5 февраля</w:t>
            </w:r>
            <w:r w:rsidR="006C14C7">
              <w:t xml:space="preserve"> 2021 г. № 55н «Об утверждении П</w:t>
            </w:r>
            <w:r w:rsidRPr="000F252A">
              <w:t xml:space="preserve">орядка оказания медицинской помощи по профилю «детская онкология и гематология», приказом Министерства здравоохранения Республики Татарстан от 13.05.2024 № 1038 «Об организации диспансерного наблюдения за пациентами (взрослое население) с онкологическими заболеваниями и заболеваниями, которые предшествуют развитию злокачественных новообразований молочной железы, в Республике Татарстан» и планом проведения диспансерного наблюдения в разрезе медицинских организаций </w:t>
            </w:r>
          </w:p>
        </w:tc>
        <w:tc>
          <w:tcPr>
            <w:tcW w:w="1474" w:type="dxa"/>
            <w:shd w:val="clear" w:color="auto" w:fill="auto"/>
          </w:tcPr>
          <w:p w:rsidR="000F252A" w:rsidRPr="000F252A" w:rsidRDefault="000F252A" w:rsidP="000F252A">
            <w:pPr>
              <w:jc w:val="center"/>
              <w:rPr>
                <w:color w:val="000000"/>
              </w:rPr>
            </w:pPr>
            <w:r w:rsidRPr="000F252A">
              <w:rPr>
                <w:color w:val="000000"/>
              </w:rPr>
              <w:t>09.01.2026</w:t>
            </w:r>
          </w:p>
        </w:tc>
        <w:tc>
          <w:tcPr>
            <w:tcW w:w="1418" w:type="dxa"/>
            <w:shd w:val="clear" w:color="auto" w:fill="auto"/>
          </w:tcPr>
          <w:p w:rsidR="000F252A" w:rsidRPr="000F252A" w:rsidRDefault="000F252A" w:rsidP="000F252A">
            <w:pPr>
              <w:jc w:val="center"/>
              <w:rPr>
                <w:color w:val="000000"/>
              </w:rPr>
            </w:pPr>
            <w:r w:rsidRPr="000F252A">
              <w:rPr>
                <w:color w:val="000000"/>
              </w:rPr>
              <w:t>31.12.2030</w:t>
            </w:r>
          </w:p>
        </w:tc>
        <w:tc>
          <w:tcPr>
            <w:tcW w:w="3912" w:type="dxa"/>
            <w:shd w:val="clear" w:color="auto" w:fill="auto"/>
          </w:tcPr>
          <w:p w:rsidR="000F252A" w:rsidRPr="000F252A" w:rsidRDefault="000F252A" w:rsidP="000F252A">
            <w:pPr>
              <w:jc w:val="both"/>
            </w:pPr>
            <w:r w:rsidRPr="000F252A">
              <w:t xml:space="preserve">министр здравоохранения Республики Татарстан А.Р.Абашев, главный врач ГАУЗ </w:t>
            </w:r>
            <w:r w:rsidRPr="000F252A">
              <w:rPr>
                <w:rFonts w:eastAsia="Arial"/>
              </w:rPr>
              <w:t>«РКОД МЗ РТ им.проф.М.З.Сигала»</w:t>
            </w:r>
            <w:r w:rsidRPr="000F252A">
              <w:t xml:space="preserve"> М.Ф.Мухамадеев, руководители медицинских организаций Республики Татарстан</w:t>
            </w:r>
          </w:p>
        </w:tc>
        <w:tc>
          <w:tcPr>
            <w:tcW w:w="3969" w:type="dxa"/>
            <w:shd w:val="clear" w:color="auto" w:fill="auto"/>
          </w:tcPr>
          <w:p w:rsidR="000F252A" w:rsidRPr="000F252A" w:rsidRDefault="000F252A" w:rsidP="000F252A">
            <w:pPr>
              <w:jc w:val="both"/>
            </w:pPr>
            <w:r w:rsidRPr="000F252A">
              <w:t xml:space="preserve">выполнение плана диспансерного наблюдения; </w:t>
            </w:r>
          </w:p>
          <w:p w:rsidR="000F252A" w:rsidRPr="000F252A" w:rsidRDefault="000F252A" w:rsidP="000F252A">
            <w:pPr>
              <w:jc w:val="both"/>
              <w:rPr>
                <w:color w:val="000000"/>
                <w:spacing w:val="-2"/>
              </w:rPr>
            </w:pPr>
            <w:r w:rsidRPr="000F252A">
              <w:t>мониторинг индикаторного показателя «</w:t>
            </w:r>
            <w:r w:rsidRPr="000F252A">
              <w:rPr>
                <w:color w:val="000000"/>
                <w:spacing w:val="-2"/>
              </w:rPr>
              <w:t xml:space="preserve">Доля лиц, прошедших обследование в соответствии с индивидуальным планом ведения в рамках диспансерного наблюдения, из числа онкологических больных, завершивших лечение»: </w:t>
            </w:r>
          </w:p>
          <w:p w:rsidR="000F252A" w:rsidRPr="000F252A" w:rsidRDefault="000F252A" w:rsidP="000F252A">
            <w:pPr>
              <w:jc w:val="both"/>
              <w:rPr>
                <w:color w:val="000000"/>
                <w:spacing w:val="-2"/>
              </w:rPr>
            </w:pPr>
            <w:r w:rsidRPr="000F252A">
              <w:rPr>
                <w:color w:val="000000"/>
                <w:spacing w:val="-2"/>
              </w:rPr>
              <w:t>2026 г. – 73,0 процента;</w:t>
            </w:r>
          </w:p>
          <w:p w:rsidR="000F252A" w:rsidRPr="000F252A" w:rsidRDefault="000F252A" w:rsidP="000F252A">
            <w:pPr>
              <w:jc w:val="both"/>
              <w:rPr>
                <w:color w:val="000000"/>
                <w:spacing w:val="-2"/>
              </w:rPr>
            </w:pPr>
            <w:r w:rsidRPr="000F252A">
              <w:rPr>
                <w:color w:val="000000"/>
                <w:spacing w:val="-2"/>
              </w:rPr>
              <w:t xml:space="preserve">2027 г. – 78,0 процента; </w:t>
            </w:r>
          </w:p>
          <w:p w:rsidR="000F252A" w:rsidRPr="000F252A" w:rsidRDefault="000F252A" w:rsidP="000F252A">
            <w:pPr>
              <w:jc w:val="both"/>
              <w:rPr>
                <w:color w:val="000000"/>
                <w:spacing w:val="-2"/>
              </w:rPr>
            </w:pPr>
            <w:r w:rsidRPr="000F252A">
              <w:rPr>
                <w:color w:val="000000"/>
                <w:spacing w:val="-2"/>
              </w:rPr>
              <w:t>2028 г. – 82,0 процента;</w:t>
            </w:r>
          </w:p>
          <w:p w:rsidR="000F252A" w:rsidRPr="000F252A" w:rsidRDefault="000F252A" w:rsidP="000F252A">
            <w:pPr>
              <w:jc w:val="both"/>
              <w:rPr>
                <w:color w:val="000000"/>
                <w:spacing w:val="-2"/>
              </w:rPr>
            </w:pPr>
            <w:r w:rsidRPr="000F252A">
              <w:rPr>
                <w:color w:val="000000"/>
                <w:spacing w:val="-2"/>
              </w:rPr>
              <w:t xml:space="preserve">2029 г. – 86,0 процента; </w:t>
            </w:r>
          </w:p>
          <w:p w:rsidR="000F252A" w:rsidRPr="000F252A" w:rsidRDefault="000F252A" w:rsidP="000F252A">
            <w:pPr>
              <w:jc w:val="both"/>
            </w:pPr>
            <w:r w:rsidRPr="000F252A">
              <w:rPr>
                <w:color w:val="000000"/>
                <w:spacing w:val="-2"/>
              </w:rPr>
              <w:t>2030 г. – 90,0 процента</w:t>
            </w:r>
          </w:p>
        </w:tc>
      </w:tr>
      <w:tr w:rsidR="000F252A" w:rsidRPr="009D3B11" w:rsidTr="00AC795F">
        <w:trPr>
          <w:trHeight w:val="20"/>
        </w:trPr>
        <w:tc>
          <w:tcPr>
            <w:tcW w:w="704" w:type="dxa"/>
            <w:shd w:val="clear" w:color="auto" w:fill="auto"/>
            <w:noWrap/>
          </w:tcPr>
          <w:p w:rsidR="000F252A" w:rsidRPr="000F252A" w:rsidRDefault="000F252A" w:rsidP="000F252A">
            <w:pPr>
              <w:jc w:val="center"/>
            </w:pPr>
            <w:r w:rsidRPr="000F252A">
              <w:t>6.6.</w:t>
            </w:r>
          </w:p>
        </w:tc>
        <w:tc>
          <w:tcPr>
            <w:tcW w:w="3686" w:type="dxa"/>
            <w:shd w:val="clear" w:color="auto" w:fill="auto"/>
          </w:tcPr>
          <w:p w:rsidR="000F252A" w:rsidRPr="000F252A" w:rsidRDefault="000F252A" w:rsidP="000F252A">
            <w:pPr>
              <w:jc w:val="both"/>
            </w:pPr>
            <w:r w:rsidRPr="000F252A">
              <w:t xml:space="preserve">Организация диспансерного на-блюдения пациентов с хроническими заболеваниями, которые предшествут развитию злокачественных заболеваний, в соответствии с приказом Министерства здравоохранения Российской Федерации от 15 марта 2022 г. </w:t>
            </w:r>
            <w:r w:rsidRPr="000F252A">
              <w:br/>
              <w:t xml:space="preserve">№ 168н «Об утверждении порядка проведения диспансерного наблюдения за взрослыми», приказом Министерства здравоохранения Республики Татарстан от 13.05.2024 № 1038 «Об организации диспансерного наблюдения за пациентами (взрослое население) </w:t>
            </w:r>
            <w:r w:rsidRPr="000F252A">
              <w:br/>
              <w:t xml:space="preserve">с онкологическими заболеваниями и заболеваниями, которые предшествуют развитию злокачественных новообразований молочной железы, в Республике Татарстан» и планом проведения диспансерного наблюдения в разрезе медицинских организаций </w:t>
            </w:r>
          </w:p>
        </w:tc>
        <w:tc>
          <w:tcPr>
            <w:tcW w:w="1474" w:type="dxa"/>
            <w:shd w:val="clear" w:color="auto" w:fill="auto"/>
          </w:tcPr>
          <w:p w:rsidR="000F252A" w:rsidRPr="000F252A" w:rsidRDefault="000F252A" w:rsidP="000F252A">
            <w:pPr>
              <w:jc w:val="center"/>
              <w:rPr>
                <w:color w:val="000000"/>
              </w:rPr>
            </w:pPr>
            <w:r w:rsidRPr="000F252A">
              <w:rPr>
                <w:color w:val="000000"/>
              </w:rPr>
              <w:t>09.01.2026</w:t>
            </w:r>
          </w:p>
        </w:tc>
        <w:tc>
          <w:tcPr>
            <w:tcW w:w="1418" w:type="dxa"/>
            <w:shd w:val="clear" w:color="auto" w:fill="auto"/>
          </w:tcPr>
          <w:p w:rsidR="000F252A" w:rsidRPr="000F252A" w:rsidRDefault="000F252A" w:rsidP="000F252A">
            <w:pPr>
              <w:jc w:val="center"/>
              <w:rPr>
                <w:color w:val="000000"/>
              </w:rPr>
            </w:pPr>
            <w:r w:rsidRPr="000F252A">
              <w:rPr>
                <w:color w:val="000000"/>
              </w:rPr>
              <w:t>31.12.2030</w:t>
            </w:r>
          </w:p>
        </w:tc>
        <w:tc>
          <w:tcPr>
            <w:tcW w:w="3912" w:type="dxa"/>
            <w:shd w:val="clear" w:color="auto" w:fill="auto"/>
          </w:tcPr>
          <w:p w:rsidR="000F252A" w:rsidRPr="000F252A" w:rsidRDefault="000F252A" w:rsidP="000F252A">
            <w:pPr>
              <w:jc w:val="both"/>
            </w:pPr>
            <w:r w:rsidRPr="000F252A">
              <w:t xml:space="preserve">министр здравоохранения Республики Татарстан А.Р.Абашев, главный врач ГАУЗ </w:t>
            </w:r>
            <w:r w:rsidRPr="000F252A">
              <w:rPr>
                <w:rFonts w:eastAsia="Arial"/>
              </w:rPr>
              <w:t>«РКОД МЗ РТ им.проф.М.З.Сигала»</w:t>
            </w:r>
            <w:r w:rsidRPr="000F252A">
              <w:t xml:space="preserve"> М.Ф.Мухамадеев, руководители медицинских организаций Республики Татарстан</w:t>
            </w:r>
          </w:p>
        </w:tc>
        <w:tc>
          <w:tcPr>
            <w:tcW w:w="3969" w:type="dxa"/>
            <w:shd w:val="clear" w:color="auto" w:fill="auto"/>
          </w:tcPr>
          <w:p w:rsidR="000F252A" w:rsidRPr="000F252A" w:rsidRDefault="000F252A" w:rsidP="000F252A">
            <w:pPr>
              <w:jc w:val="both"/>
            </w:pPr>
            <w:r w:rsidRPr="000F252A">
              <w:t>выполнение плана диспансерного наблюдения ежегодно</w:t>
            </w:r>
          </w:p>
        </w:tc>
      </w:tr>
      <w:tr w:rsidR="000F252A" w:rsidRPr="009D3B11" w:rsidTr="00AC795F">
        <w:trPr>
          <w:trHeight w:val="20"/>
        </w:trPr>
        <w:tc>
          <w:tcPr>
            <w:tcW w:w="704" w:type="dxa"/>
            <w:shd w:val="clear" w:color="auto" w:fill="auto"/>
          </w:tcPr>
          <w:p w:rsidR="000F252A" w:rsidRPr="000F252A" w:rsidRDefault="000F252A" w:rsidP="000F252A">
            <w:pPr>
              <w:jc w:val="center"/>
            </w:pPr>
            <w:r w:rsidRPr="000F252A">
              <w:t>6.7.</w:t>
            </w:r>
          </w:p>
        </w:tc>
        <w:tc>
          <w:tcPr>
            <w:tcW w:w="3686" w:type="dxa"/>
            <w:shd w:val="clear" w:color="auto" w:fill="auto"/>
          </w:tcPr>
          <w:p w:rsidR="000F252A" w:rsidRPr="000F252A" w:rsidRDefault="000F252A" w:rsidP="000F252A">
            <w:pPr>
              <w:jc w:val="both"/>
            </w:pPr>
            <w:r w:rsidRPr="000F252A">
              <w:t>Мониторинг проведения диспансерного наблюдения пациентов с онкологическими заболеваниями во взаимодействии с государственным учреждением «Территориальный фонд обязательного медицинского страхования Республики Татарстан» (контроль за охватом диспансерным наблюдением пациентов с онкологическими заболеваниями)</w:t>
            </w:r>
          </w:p>
        </w:tc>
        <w:tc>
          <w:tcPr>
            <w:tcW w:w="1474" w:type="dxa"/>
            <w:shd w:val="clear" w:color="auto" w:fill="auto"/>
          </w:tcPr>
          <w:p w:rsidR="000F252A" w:rsidRPr="000F252A" w:rsidRDefault="000F252A" w:rsidP="000F252A">
            <w:pPr>
              <w:jc w:val="center"/>
            </w:pPr>
            <w:r w:rsidRPr="000F252A">
              <w:t>09.01.2026</w:t>
            </w:r>
          </w:p>
        </w:tc>
        <w:tc>
          <w:tcPr>
            <w:tcW w:w="1418" w:type="dxa"/>
            <w:shd w:val="clear" w:color="auto" w:fill="auto"/>
          </w:tcPr>
          <w:p w:rsidR="000F252A" w:rsidRPr="000F252A" w:rsidRDefault="000F252A" w:rsidP="000F252A">
            <w:pPr>
              <w:jc w:val="center"/>
            </w:pPr>
            <w:r w:rsidRPr="000F252A">
              <w:t>31.12.2030</w:t>
            </w:r>
          </w:p>
        </w:tc>
        <w:tc>
          <w:tcPr>
            <w:tcW w:w="3912" w:type="dxa"/>
            <w:shd w:val="clear" w:color="auto" w:fill="auto"/>
          </w:tcPr>
          <w:p w:rsidR="000F252A" w:rsidRPr="000F252A" w:rsidRDefault="006A784B" w:rsidP="000F252A">
            <w:pPr>
              <w:jc w:val="both"/>
            </w:pPr>
            <w:r>
              <w:t xml:space="preserve">министр здравоохранения </w:t>
            </w:r>
            <w:r w:rsidR="000F252A" w:rsidRPr="000F252A">
              <w:t>Республики Та</w:t>
            </w:r>
            <w:r>
              <w:t>тарстан А.Р.Абашев, директор го</w:t>
            </w:r>
            <w:r w:rsidR="000F252A" w:rsidRPr="000F252A">
              <w:t xml:space="preserve">сударственного учреждения «Территориальный фонд обязательного медицинского страхования Республики Татарстан» А.М.Мифтахова (по согласованию), главный врач ГАУЗ </w:t>
            </w:r>
            <w:r w:rsidR="000F252A" w:rsidRPr="000F252A">
              <w:rPr>
                <w:rFonts w:eastAsia="Arial"/>
              </w:rPr>
              <w:t>«РКОД МЗ РТ им.проф.М.З.Сигала»</w:t>
            </w:r>
            <w:r w:rsidR="000F252A" w:rsidRPr="000F252A">
              <w:t xml:space="preserve">  М.Ф.Мухамадеев, главный внештатный специалист-онколог Министерства здравоохранения Республики Татарстан Э.В.Нагуманов, руководители медицинских организаций Республики Татарстан</w:t>
            </w:r>
          </w:p>
        </w:tc>
        <w:tc>
          <w:tcPr>
            <w:tcW w:w="3969" w:type="dxa"/>
            <w:shd w:val="clear" w:color="auto" w:fill="auto"/>
          </w:tcPr>
          <w:p w:rsidR="000F252A" w:rsidRPr="000F252A" w:rsidRDefault="000F252A" w:rsidP="000F252A">
            <w:pPr>
              <w:jc w:val="both"/>
            </w:pPr>
            <w:r w:rsidRPr="000F252A">
              <w:t xml:space="preserve">ежемесячный мониторинг и анализ охвата пациентов диспансерным наблюдением, разбор случаев низкого охвата диспансерным наблюдением при проведении рабочих совещаний с руководителями и врачами-онкологами медицинских организаций, принятие управленческих решений </w:t>
            </w:r>
          </w:p>
          <w:p w:rsidR="000F252A" w:rsidRPr="000F252A" w:rsidRDefault="000F252A" w:rsidP="000F252A">
            <w:pPr>
              <w:jc w:val="both"/>
            </w:pPr>
          </w:p>
        </w:tc>
      </w:tr>
      <w:tr w:rsidR="000F252A" w:rsidRPr="009D3B11" w:rsidTr="00AC795F">
        <w:trPr>
          <w:trHeight w:val="20"/>
        </w:trPr>
        <w:tc>
          <w:tcPr>
            <w:tcW w:w="704" w:type="dxa"/>
            <w:shd w:val="clear" w:color="auto" w:fill="auto"/>
          </w:tcPr>
          <w:p w:rsidR="000F252A" w:rsidRPr="000F252A" w:rsidRDefault="000F252A" w:rsidP="000F252A">
            <w:pPr>
              <w:jc w:val="center"/>
            </w:pPr>
            <w:r w:rsidRPr="000F252A">
              <w:t>6.8.</w:t>
            </w:r>
          </w:p>
        </w:tc>
        <w:tc>
          <w:tcPr>
            <w:tcW w:w="3686" w:type="dxa"/>
            <w:shd w:val="clear" w:color="auto" w:fill="auto"/>
          </w:tcPr>
          <w:p w:rsidR="000F252A" w:rsidRPr="000F252A" w:rsidRDefault="000F252A" w:rsidP="000F252A">
            <w:pPr>
              <w:jc w:val="both"/>
            </w:pPr>
            <w:r w:rsidRPr="000F252A">
              <w:t xml:space="preserve">Дистанционный мониторинг состояния здоровья пациентов с онкологическими заболеваниями с формированием чек-листа, отражающего состояние пациента, в рамках исполнения приказа ГАУЗ </w:t>
            </w:r>
            <w:r w:rsidRPr="000F252A">
              <w:rPr>
                <w:rFonts w:eastAsia="Arial"/>
              </w:rPr>
              <w:t>«РКОД МЗ РТ им.проф.М.З.Сигала»</w:t>
            </w:r>
            <w:r w:rsidRPr="000F252A">
              <w:t xml:space="preserve"> от 09.10.2023 № 243/п</w:t>
            </w:r>
          </w:p>
        </w:tc>
        <w:tc>
          <w:tcPr>
            <w:tcW w:w="1474" w:type="dxa"/>
            <w:shd w:val="clear" w:color="auto" w:fill="auto"/>
          </w:tcPr>
          <w:p w:rsidR="000F252A" w:rsidRPr="000F252A" w:rsidRDefault="000F252A" w:rsidP="000F252A">
            <w:pPr>
              <w:jc w:val="center"/>
            </w:pPr>
            <w:r w:rsidRPr="000F252A">
              <w:t>09.01.2026</w:t>
            </w:r>
          </w:p>
        </w:tc>
        <w:tc>
          <w:tcPr>
            <w:tcW w:w="1418" w:type="dxa"/>
            <w:shd w:val="clear" w:color="auto" w:fill="auto"/>
          </w:tcPr>
          <w:p w:rsidR="000F252A" w:rsidRPr="000F252A" w:rsidRDefault="000F252A" w:rsidP="000F252A">
            <w:pPr>
              <w:jc w:val="center"/>
            </w:pPr>
            <w:r w:rsidRPr="000F252A">
              <w:t>31.12.2030</w:t>
            </w:r>
          </w:p>
        </w:tc>
        <w:tc>
          <w:tcPr>
            <w:tcW w:w="3912" w:type="dxa"/>
            <w:shd w:val="clear" w:color="auto" w:fill="auto"/>
          </w:tcPr>
          <w:p w:rsidR="000F252A" w:rsidRPr="000F252A" w:rsidRDefault="000F252A" w:rsidP="000F252A">
            <w:pPr>
              <w:jc w:val="both"/>
            </w:pPr>
            <w:r w:rsidRPr="000F252A">
              <w:t xml:space="preserve">главный врач ГАУЗ </w:t>
            </w:r>
            <w:r w:rsidRPr="000F252A">
              <w:rPr>
                <w:rFonts w:eastAsia="Arial"/>
              </w:rPr>
              <w:t>«РКОД МЗ РТ им.проф.М.З.Сигала»</w:t>
            </w:r>
            <w:r w:rsidRPr="000F252A">
              <w:t xml:space="preserve"> М.Ф.Мухамадеев</w:t>
            </w:r>
          </w:p>
        </w:tc>
        <w:tc>
          <w:tcPr>
            <w:tcW w:w="3969" w:type="dxa"/>
            <w:shd w:val="clear" w:color="auto" w:fill="auto"/>
          </w:tcPr>
          <w:p w:rsidR="000F252A" w:rsidRPr="000F252A" w:rsidRDefault="000F252A" w:rsidP="000F252A">
            <w:pPr>
              <w:jc w:val="both"/>
            </w:pPr>
            <w:r w:rsidRPr="000F252A">
              <w:t xml:space="preserve">функционирует дистанционный мониторинг состояния здоровья пациентов с онкологическими заболеваниями </w:t>
            </w:r>
          </w:p>
        </w:tc>
      </w:tr>
      <w:tr w:rsidR="000F252A" w:rsidRPr="009D3B11" w:rsidTr="00AC795F">
        <w:trPr>
          <w:trHeight w:val="20"/>
        </w:trPr>
        <w:tc>
          <w:tcPr>
            <w:tcW w:w="704" w:type="dxa"/>
            <w:shd w:val="clear" w:color="auto" w:fill="auto"/>
            <w:hideMark/>
          </w:tcPr>
          <w:p w:rsidR="000F252A" w:rsidRPr="000F252A" w:rsidRDefault="000F252A" w:rsidP="000F252A">
            <w:pPr>
              <w:jc w:val="center"/>
            </w:pPr>
            <w:r w:rsidRPr="000F252A">
              <w:t>6.9.</w:t>
            </w:r>
          </w:p>
        </w:tc>
        <w:tc>
          <w:tcPr>
            <w:tcW w:w="3686" w:type="dxa"/>
            <w:shd w:val="clear" w:color="auto" w:fill="auto"/>
            <w:hideMark/>
          </w:tcPr>
          <w:p w:rsidR="000F252A" w:rsidRPr="000F252A" w:rsidRDefault="000F252A" w:rsidP="006C14C7">
            <w:pPr>
              <w:jc w:val="both"/>
            </w:pPr>
            <w:r w:rsidRPr="000F252A">
              <w:t xml:space="preserve">Контроль полноты и качества диспансерного наблюдения пациентов, находящихся на диспансерном учете в </w:t>
            </w:r>
            <w:r w:rsidR="006C14C7">
              <w:t xml:space="preserve">центрах амбулаторной онкологической помощи </w:t>
            </w:r>
            <w:r w:rsidRPr="000F252A">
              <w:t>и первичных онкологических кабинетах медицинских организаций, в рамках приказа Министерства здраво-</w:t>
            </w:r>
            <w:r w:rsidRPr="000F252A">
              <w:br/>
              <w:t xml:space="preserve">охранения Республики Татарстан от 17.10.2023 № 2435 «О проведении курации первичных онкологических кабинетов, центров амбулаторной онкологической помощи и женских консультаций медицинских организаций Республики Татарстан» </w:t>
            </w:r>
          </w:p>
        </w:tc>
        <w:tc>
          <w:tcPr>
            <w:tcW w:w="1474" w:type="dxa"/>
            <w:shd w:val="clear" w:color="auto" w:fill="auto"/>
            <w:hideMark/>
          </w:tcPr>
          <w:p w:rsidR="000F252A" w:rsidRPr="000F252A" w:rsidRDefault="000F252A" w:rsidP="000F252A">
            <w:pPr>
              <w:jc w:val="center"/>
            </w:pPr>
            <w:r w:rsidRPr="000F252A">
              <w:t>09.01.2026</w:t>
            </w:r>
          </w:p>
        </w:tc>
        <w:tc>
          <w:tcPr>
            <w:tcW w:w="1418" w:type="dxa"/>
            <w:shd w:val="clear" w:color="auto" w:fill="auto"/>
            <w:hideMark/>
          </w:tcPr>
          <w:p w:rsidR="000F252A" w:rsidRPr="000F252A" w:rsidRDefault="000F252A" w:rsidP="000F252A">
            <w:pPr>
              <w:jc w:val="center"/>
            </w:pPr>
            <w:r w:rsidRPr="000F252A">
              <w:t>31.12.2030</w:t>
            </w:r>
          </w:p>
        </w:tc>
        <w:tc>
          <w:tcPr>
            <w:tcW w:w="3912" w:type="dxa"/>
            <w:shd w:val="clear" w:color="auto" w:fill="auto"/>
            <w:hideMark/>
          </w:tcPr>
          <w:p w:rsidR="000F252A" w:rsidRPr="000F252A" w:rsidRDefault="000F252A" w:rsidP="000F252A">
            <w:pPr>
              <w:jc w:val="both"/>
            </w:pPr>
            <w:r w:rsidRPr="000F252A">
              <w:t xml:space="preserve">главный врач ГАУЗ </w:t>
            </w:r>
            <w:r w:rsidRPr="000F252A">
              <w:rPr>
                <w:rFonts w:eastAsia="Arial"/>
              </w:rPr>
              <w:t>«РКОД МЗ РТ им.проф.М.З.Сигала»</w:t>
            </w:r>
            <w:r w:rsidRPr="000F252A">
              <w:t xml:space="preserve"> М.Ф.Мухамадеев</w:t>
            </w:r>
          </w:p>
        </w:tc>
        <w:tc>
          <w:tcPr>
            <w:tcW w:w="3969" w:type="dxa"/>
            <w:shd w:val="clear" w:color="auto" w:fill="auto"/>
            <w:hideMark/>
          </w:tcPr>
          <w:p w:rsidR="000F252A" w:rsidRPr="000F252A" w:rsidRDefault="000F252A" w:rsidP="000F252A">
            <w:pPr>
              <w:jc w:val="both"/>
            </w:pPr>
            <w:r w:rsidRPr="000F252A">
              <w:t xml:space="preserve">ежегодно охват курацией 100 процентов первичных онкологических кабинетов, </w:t>
            </w:r>
            <w:r w:rsidR="005C348C">
              <w:t xml:space="preserve">центров амбулаторной онкологической помощи </w:t>
            </w:r>
            <w:r w:rsidRPr="000F252A">
              <w:t xml:space="preserve">и женских консультаций; </w:t>
            </w:r>
          </w:p>
          <w:p w:rsidR="000F252A" w:rsidRPr="000F252A" w:rsidRDefault="000F252A" w:rsidP="000F252A">
            <w:pPr>
              <w:jc w:val="both"/>
            </w:pPr>
            <w:r w:rsidRPr="000F252A">
              <w:t xml:space="preserve">контроль качества проведения диспансерного наблюдения за пациентами с установленным диагнозом ЗНО врачами-кураторами ГАУЗ </w:t>
            </w:r>
            <w:r w:rsidRPr="000F252A">
              <w:rPr>
                <w:rFonts w:eastAsia="Arial"/>
              </w:rPr>
              <w:t>«РКОД МЗ РТ им.проф.М.З.Сигала»</w:t>
            </w:r>
            <w:r w:rsidRPr="000F252A">
              <w:t xml:space="preserve"> в 71 медицинской организации</w:t>
            </w:r>
          </w:p>
        </w:tc>
      </w:tr>
      <w:tr w:rsidR="000F252A" w:rsidRPr="009D3B11" w:rsidTr="00AC795F">
        <w:trPr>
          <w:trHeight w:val="20"/>
        </w:trPr>
        <w:tc>
          <w:tcPr>
            <w:tcW w:w="704" w:type="dxa"/>
            <w:shd w:val="clear" w:color="auto" w:fill="auto"/>
          </w:tcPr>
          <w:p w:rsidR="000F252A" w:rsidRPr="000F252A" w:rsidRDefault="000F252A" w:rsidP="000F252A">
            <w:pPr>
              <w:jc w:val="center"/>
            </w:pPr>
            <w:r w:rsidRPr="000F252A">
              <w:t>6.10.</w:t>
            </w:r>
          </w:p>
        </w:tc>
        <w:tc>
          <w:tcPr>
            <w:tcW w:w="3686" w:type="dxa"/>
            <w:shd w:val="clear" w:color="auto" w:fill="auto"/>
          </w:tcPr>
          <w:p w:rsidR="000F252A" w:rsidRPr="000F252A" w:rsidRDefault="000F252A" w:rsidP="000F252A">
            <w:pPr>
              <w:jc w:val="both"/>
            </w:pPr>
            <w:r w:rsidRPr="000F252A">
              <w:t>Организация использования чек-листов обследования пациентов при проведении диспансерного наблюдения</w:t>
            </w:r>
          </w:p>
        </w:tc>
        <w:tc>
          <w:tcPr>
            <w:tcW w:w="1474" w:type="dxa"/>
            <w:shd w:val="clear" w:color="auto" w:fill="auto"/>
          </w:tcPr>
          <w:p w:rsidR="000F252A" w:rsidRPr="000F252A" w:rsidRDefault="000F252A" w:rsidP="000F252A">
            <w:pPr>
              <w:jc w:val="center"/>
            </w:pPr>
            <w:r w:rsidRPr="000F252A">
              <w:t>01.06.2026</w:t>
            </w:r>
          </w:p>
        </w:tc>
        <w:tc>
          <w:tcPr>
            <w:tcW w:w="1418" w:type="dxa"/>
            <w:shd w:val="clear" w:color="auto" w:fill="auto"/>
          </w:tcPr>
          <w:p w:rsidR="000F252A" w:rsidRPr="000F252A" w:rsidRDefault="000F252A" w:rsidP="000F252A">
            <w:pPr>
              <w:jc w:val="center"/>
            </w:pPr>
            <w:r w:rsidRPr="000F252A">
              <w:t>31.12.2030</w:t>
            </w:r>
          </w:p>
        </w:tc>
        <w:tc>
          <w:tcPr>
            <w:tcW w:w="3912" w:type="dxa"/>
            <w:shd w:val="clear" w:color="auto" w:fill="auto"/>
          </w:tcPr>
          <w:p w:rsidR="000F252A" w:rsidRPr="000F252A" w:rsidRDefault="000F252A" w:rsidP="000F252A">
            <w:pPr>
              <w:jc w:val="both"/>
            </w:pPr>
            <w:r w:rsidRPr="000F252A">
              <w:t xml:space="preserve">главный врач ГАУЗ </w:t>
            </w:r>
            <w:r w:rsidRPr="000F252A">
              <w:rPr>
                <w:rFonts w:eastAsia="Arial"/>
              </w:rPr>
              <w:t>«РКОД МЗ РТ им.проф.М.З.Сигала»</w:t>
            </w:r>
            <w:r w:rsidRPr="000F252A">
              <w:t xml:space="preserve"> М.Ф.Мухамадеев, руководители медицинских организаций Республики Татарстан</w:t>
            </w:r>
          </w:p>
        </w:tc>
        <w:tc>
          <w:tcPr>
            <w:tcW w:w="3969" w:type="dxa"/>
            <w:shd w:val="clear" w:color="auto" w:fill="auto"/>
          </w:tcPr>
          <w:p w:rsidR="000F252A" w:rsidRPr="000F252A" w:rsidRDefault="000F252A" w:rsidP="000F252A">
            <w:pPr>
              <w:jc w:val="both"/>
            </w:pPr>
            <w:r w:rsidRPr="000F252A">
              <w:t>чек-листы обследования пациентов с солидными ЗНО при проведении диспансерного наблюдения применяются в 100 процентах случаев диспансерного наблюдения</w:t>
            </w:r>
          </w:p>
        </w:tc>
      </w:tr>
      <w:tr w:rsidR="000F252A" w:rsidRPr="009D3B11" w:rsidTr="00AC795F">
        <w:trPr>
          <w:trHeight w:val="20"/>
        </w:trPr>
        <w:tc>
          <w:tcPr>
            <w:tcW w:w="704" w:type="dxa"/>
            <w:shd w:val="clear" w:color="auto" w:fill="auto"/>
          </w:tcPr>
          <w:p w:rsidR="000F252A" w:rsidRPr="000F252A" w:rsidRDefault="000F252A" w:rsidP="000F252A">
            <w:pPr>
              <w:jc w:val="center"/>
            </w:pPr>
            <w:r w:rsidRPr="000F252A">
              <w:t>6.11.</w:t>
            </w:r>
          </w:p>
        </w:tc>
        <w:tc>
          <w:tcPr>
            <w:tcW w:w="3686" w:type="dxa"/>
            <w:shd w:val="clear" w:color="auto" w:fill="auto"/>
          </w:tcPr>
          <w:p w:rsidR="000F252A" w:rsidRPr="000F252A" w:rsidRDefault="000F252A" w:rsidP="000F252A">
            <w:pPr>
              <w:jc w:val="both"/>
            </w:pPr>
            <w:r w:rsidRPr="000F252A">
              <w:t>Организация активного приглашения пациентов, находящихся под диспансерным наблюдением, из числа не посещавших врача-онколога в рамках диспансерного наблюдения в регламентированные сроки (обзвон, подворовые обходы и т.д.)</w:t>
            </w:r>
          </w:p>
        </w:tc>
        <w:tc>
          <w:tcPr>
            <w:tcW w:w="1474" w:type="dxa"/>
            <w:shd w:val="clear" w:color="auto" w:fill="auto"/>
          </w:tcPr>
          <w:p w:rsidR="000F252A" w:rsidRPr="000F252A" w:rsidRDefault="000F252A" w:rsidP="000F252A">
            <w:pPr>
              <w:jc w:val="center"/>
            </w:pPr>
            <w:r w:rsidRPr="000F252A">
              <w:t>09.01.2026</w:t>
            </w:r>
          </w:p>
        </w:tc>
        <w:tc>
          <w:tcPr>
            <w:tcW w:w="1418" w:type="dxa"/>
            <w:shd w:val="clear" w:color="auto" w:fill="auto"/>
          </w:tcPr>
          <w:p w:rsidR="000F252A" w:rsidRPr="000F252A" w:rsidRDefault="000F252A" w:rsidP="000F252A">
            <w:pPr>
              <w:jc w:val="center"/>
            </w:pPr>
            <w:r w:rsidRPr="000F252A">
              <w:t>31.12.2030</w:t>
            </w:r>
          </w:p>
        </w:tc>
        <w:tc>
          <w:tcPr>
            <w:tcW w:w="3912" w:type="dxa"/>
            <w:shd w:val="clear" w:color="auto" w:fill="auto"/>
          </w:tcPr>
          <w:p w:rsidR="000F252A" w:rsidRPr="000F252A" w:rsidRDefault="000F252A" w:rsidP="000F252A">
            <w:pPr>
              <w:jc w:val="both"/>
            </w:pPr>
            <w:r w:rsidRPr="000F252A">
              <w:t>руководители медицинских организаций Республики Татарстан</w:t>
            </w:r>
          </w:p>
        </w:tc>
        <w:tc>
          <w:tcPr>
            <w:tcW w:w="3969" w:type="dxa"/>
            <w:shd w:val="clear" w:color="auto" w:fill="auto"/>
          </w:tcPr>
          <w:p w:rsidR="000F252A" w:rsidRPr="000F252A" w:rsidRDefault="000F252A" w:rsidP="000F252A">
            <w:pPr>
              <w:jc w:val="both"/>
            </w:pPr>
            <w:r w:rsidRPr="000F252A">
              <w:t>ежемесячно проведение мониторинга пациентов, не прошедших обследование в регламентированные сроки; приглашение для прохождения диспансерного наблюдения</w:t>
            </w:r>
          </w:p>
        </w:tc>
      </w:tr>
      <w:tr w:rsidR="000F252A" w:rsidRPr="009D3B11" w:rsidTr="00AC795F">
        <w:trPr>
          <w:trHeight w:val="20"/>
        </w:trPr>
        <w:tc>
          <w:tcPr>
            <w:tcW w:w="704" w:type="dxa"/>
            <w:shd w:val="clear" w:color="auto" w:fill="auto"/>
            <w:noWrap/>
            <w:hideMark/>
          </w:tcPr>
          <w:p w:rsidR="000F252A" w:rsidRPr="000F252A" w:rsidRDefault="000F252A" w:rsidP="000F252A">
            <w:pPr>
              <w:jc w:val="center"/>
            </w:pPr>
            <w:r w:rsidRPr="000F252A">
              <w:t>6.12.</w:t>
            </w:r>
          </w:p>
        </w:tc>
        <w:tc>
          <w:tcPr>
            <w:tcW w:w="3686" w:type="dxa"/>
            <w:shd w:val="clear" w:color="auto" w:fill="auto"/>
            <w:hideMark/>
          </w:tcPr>
          <w:p w:rsidR="000F252A" w:rsidRPr="000F252A" w:rsidRDefault="000F252A" w:rsidP="000F252A">
            <w:pPr>
              <w:jc w:val="both"/>
            </w:pPr>
            <w:r w:rsidRPr="000F252A">
              <w:t xml:space="preserve">Проведение консультаций врача-онколога поликлиники ГАУЗ </w:t>
            </w:r>
            <w:r w:rsidRPr="000F252A">
              <w:rPr>
                <w:rFonts w:eastAsia="Arial"/>
              </w:rPr>
              <w:t>«РКОД МЗ РТ им.проф.М.З.Сигала»</w:t>
            </w:r>
            <w:r w:rsidRPr="000F252A">
              <w:t xml:space="preserve"> в рамках осуществления дис-</w:t>
            </w:r>
          </w:p>
          <w:p w:rsidR="000F252A" w:rsidRPr="000F252A" w:rsidRDefault="000F252A" w:rsidP="000F252A">
            <w:pPr>
              <w:jc w:val="both"/>
            </w:pPr>
            <w:r w:rsidRPr="000F252A">
              <w:t>пансерного наблюдения за пациен-</w:t>
            </w:r>
            <w:r w:rsidRPr="000F252A">
              <w:br/>
              <w:t>тами с установленным диагнозом ЗНО</w:t>
            </w:r>
          </w:p>
        </w:tc>
        <w:tc>
          <w:tcPr>
            <w:tcW w:w="1474" w:type="dxa"/>
            <w:shd w:val="clear" w:color="auto" w:fill="auto"/>
            <w:hideMark/>
          </w:tcPr>
          <w:p w:rsidR="000F252A" w:rsidRPr="000F252A" w:rsidRDefault="000F252A" w:rsidP="000F252A">
            <w:pPr>
              <w:jc w:val="center"/>
            </w:pPr>
            <w:r w:rsidRPr="000F252A">
              <w:t>01.01.2026</w:t>
            </w:r>
          </w:p>
        </w:tc>
        <w:tc>
          <w:tcPr>
            <w:tcW w:w="1418" w:type="dxa"/>
            <w:shd w:val="clear" w:color="auto" w:fill="auto"/>
            <w:hideMark/>
          </w:tcPr>
          <w:p w:rsidR="000F252A" w:rsidRPr="000F252A" w:rsidRDefault="000F252A" w:rsidP="000F252A">
            <w:pPr>
              <w:jc w:val="center"/>
            </w:pPr>
            <w:r w:rsidRPr="000F252A">
              <w:t>31.12.2030</w:t>
            </w:r>
          </w:p>
        </w:tc>
        <w:tc>
          <w:tcPr>
            <w:tcW w:w="3912" w:type="dxa"/>
            <w:shd w:val="clear" w:color="auto" w:fill="auto"/>
            <w:hideMark/>
          </w:tcPr>
          <w:p w:rsidR="000F252A" w:rsidRPr="000F252A" w:rsidRDefault="000F252A" w:rsidP="000F252A">
            <w:pPr>
              <w:jc w:val="both"/>
            </w:pPr>
            <w:r w:rsidRPr="000F252A">
              <w:t xml:space="preserve">главный врач ГАУЗ </w:t>
            </w:r>
            <w:r w:rsidRPr="000F252A">
              <w:rPr>
                <w:rFonts w:eastAsia="Arial"/>
              </w:rPr>
              <w:t>«РКОД МЗ РТ им.проф.М.З.Сигала»</w:t>
            </w:r>
            <w:r w:rsidRPr="000F252A">
              <w:t xml:space="preserve"> М.Ф.Мухамадеев, главный внештатный специалист-онколог Министерства здра-воохранения Республики Татарстан Э.В.Нагуманов, руководители медицинских организаций Республики Татарстан</w:t>
            </w:r>
          </w:p>
        </w:tc>
        <w:tc>
          <w:tcPr>
            <w:tcW w:w="3969" w:type="dxa"/>
            <w:shd w:val="clear" w:color="auto" w:fill="auto"/>
            <w:hideMark/>
          </w:tcPr>
          <w:p w:rsidR="000F252A" w:rsidRPr="000F252A" w:rsidRDefault="000F252A" w:rsidP="000F252A">
            <w:pPr>
              <w:jc w:val="both"/>
            </w:pPr>
            <w:r w:rsidRPr="000F252A">
              <w:t xml:space="preserve">ежегодно проведено консультаций врача-онколога поликлиники ГАУЗ </w:t>
            </w:r>
            <w:r w:rsidRPr="000F252A">
              <w:rPr>
                <w:rFonts w:eastAsia="Arial"/>
              </w:rPr>
              <w:t>«РКОД МЗ РТ им.проф.М.З.Сигала»</w:t>
            </w:r>
            <w:r w:rsidRPr="000F252A">
              <w:t xml:space="preserve">  </w:t>
            </w:r>
            <w:r w:rsidRPr="000F252A">
              <w:br/>
              <w:t>в рамках диспансерного наблюдения не менее 85 000 пациентам</w:t>
            </w:r>
          </w:p>
        </w:tc>
      </w:tr>
      <w:tr w:rsidR="000F252A" w:rsidRPr="009D3B11" w:rsidTr="005735AD">
        <w:trPr>
          <w:trHeight w:val="20"/>
        </w:trPr>
        <w:tc>
          <w:tcPr>
            <w:tcW w:w="15163" w:type="dxa"/>
            <w:gridSpan w:val="6"/>
            <w:shd w:val="clear" w:color="auto" w:fill="auto"/>
            <w:hideMark/>
          </w:tcPr>
          <w:p w:rsidR="000F252A" w:rsidRPr="000F252A" w:rsidRDefault="000F252A" w:rsidP="000F252A">
            <w:pPr>
              <w:jc w:val="center"/>
            </w:pPr>
            <w:r w:rsidRPr="000F252A">
              <w:t>7. Организационно-методическое сопровождение деятельности онкологической службы региона</w:t>
            </w:r>
          </w:p>
        </w:tc>
      </w:tr>
      <w:tr w:rsidR="000F252A" w:rsidRPr="009D3B11" w:rsidTr="00AC795F">
        <w:trPr>
          <w:trHeight w:val="20"/>
        </w:trPr>
        <w:tc>
          <w:tcPr>
            <w:tcW w:w="704" w:type="dxa"/>
            <w:shd w:val="clear" w:color="auto" w:fill="auto"/>
            <w:hideMark/>
          </w:tcPr>
          <w:p w:rsidR="000F252A" w:rsidRPr="000F252A" w:rsidRDefault="000F252A" w:rsidP="000F252A">
            <w:pPr>
              <w:jc w:val="center"/>
            </w:pPr>
            <w:r w:rsidRPr="000F252A">
              <w:t>7.1.</w:t>
            </w:r>
          </w:p>
        </w:tc>
        <w:tc>
          <w:tcPr>
            <w:tcW w:w="3686" w:type="dxa"/>
            <w:shd w:val="clear" w:color="auto" w:fill="auto"/>
            <w:hideMark/>
          </w:tcPr>
          <w:p w:rsidR="000F252A" w:rsidRPr="000F252A" w:rsidRDefault="000F252A" w:rsidP="000F252A">
            <w:pPr>
              <w:jc w:val="both"/>
            </w:pPr>
            <w:r w:rsidRPr="000F252A">
              <w:t>Мониторинг показателей заболеваемости ЗНО; распространенности ЗНО; смертности от ЗНО; доли ЗНО, выявленных на I стадии, от общего числа случаев ЗНО визуальных локализаций; доли больных с ЗНО, живущих 5 лет и более с момента установления диагноза; одногодичной летальности больных ЗНО; доли лиц с ЗНО, прошедших обследование в соответствии с индивидуальным планом ведения в рамках диспансерного наблюдения, из числа онкологических больных, завершивших лечение</w:t>
            </w:r>
          </w:p>
        </w:tc>
        <w:tc>
          <w:tcPr>
            <w:tcW w:w="1474" w:type="dxa"/>
            <w:shd w:val="clear" w:color="auto" w:fill="auto"/>
            <w:hideMark/>
          </w:tcPr>
          <w:p w:rsidR="000F252A" w:rsidRPr="000F252A" w:rsidRDefault="000F252A" w:rsidP="000F252A">
            <w:pPr>
              <w:jc w:val="center"/>
            </w:pPr>
            <w:r w:rsidRPr="000F252A">
              <w:t>09.01.2026</w:t>
            </w:r>
          </w:p>
        </w:tc>
        <w:tc>
          <w:tcPr>
            <w:tcW w:w="1418" w:type="dxa"/>
            <w:shd w:val="clear" w:color="auto" w:fill="auto"/>
            <w:hideMark/>
          </w:tcPr>
          <w:p w:rsidR="000F252A" w:rsidRPr="000F252A" w:rsidRDefault="000F252A" w:rsidP="000F252A">
            <w:pPr>
              <w:jc w:val="center"/>
            </w:pPr>
            <w:r w:rsidRPr="000F252A">
              <w:t>31.12.2030</w:t>
            </w:r>
          </w:p>
        </w:tc>
        <w:tc>
          <w:tcPr>
            <w:tcW w:w="3912" w:type="dxa"/>
            <w:shd w:val="clear" w:color="auto" w:fill="auto"/>
            <w:hideMark/>
          </w:tcPr>
          <w:p w:rsidR="000F252A" w:rsidRPr="000F252A" w:rsidRDefault="000F252A" w:rsidP="000F252A">
            <w:pPr>
              <w:jc w:val="both"/>
            </w:pPr>
            <w:r w:rsidRPr="000F252A">
              <w:t xml:space="preserve">главный врач ГАУЗ </w:t>
            </w:r>
            <w:r w:rsidRPr="000F252A">
              <w:rPr>
                <w:rFonts w:eastAsia="Arial"/>
              </w:rPr>
              <w:t>«РКОД МЗ РТ им.проф.М.З.Сигала»</w:t>
            </w:r>
            <w:r w:rsidRPr="000F252A">
              <w:t xml:space="preserve"> М.Ф.Мухамадеев, глвный внештатный специалист-онколог Министерства здравоохранения Республики Татарстан Э.В.Нагуманов, руководители медицинских организаций Республики Татарстан</w:t>
            </w:r>
          </w:p>
        </w:tc>
        <w:tc>
          <w:tcPr>
            <w:tcW w:w="3969" w:type="dxa"/>
            <w:shd w:val="clear" w:color="auto" w:fill="auto"/>
            <w:hideMark/>
          </w:tcPr>
          <w:p w:rsidR="000F252A" w:rsidRPr="000F252A" w:rsidRDefault="000F252A" w:rsidP="000F252A">
            <w:pPr>
              <w:jc w:val="both"/>
            </w:pPr>
            <w:r w:rsidRPr="000F252A">
              <w:t>ежемесячный мониторинг показателей, принятие управленческих решений по результатам мониторинга</w:t>
            </w:r>
          </w:p>
        </w:tc>
      </w:tr>
      <w:tr w:rsidR="000F252A" w:rsidRPr="009D3B11" w:rsidTr="00AC795F">
        <w:trPr>
          <w:trHeight w:val="20"/>
        </w:trPr>
        <w:tc>
          <w:tcPr>
            <w:tcW w:w="704" w:type="dxa"/>
            <w:shd w:val="clear" w:color="auto" w:fill="auto"/>
            <w:hideMark/>
          </w:tcPr>
          <w:p w:rsidR="000F252A" w:rsidRPr="000F252A" w:rsidRDefault="000F252A" w:rsidP="000F252A">
            <w:pPr>
              <w:jc w:val="center"/>
            </w:pPr>
            <w:r w:rsidRPr="000F252A">
              <w:t>7.2.</w:t>
            </w:r>
          </w:p>
        </w:tc>
        <w:tc>
          <w:tcPr>
            <w:tcW w:w="3686" w:type="dxa"/>
            <w:shd w:val="clear" w:color="auto" w:fill="auto"/>
            <w:hideMark/>
          </w:tcPr>
          <w:p w:rsidR="000F252A" w:rsidRPr="000F252A" w:rsidRDefault="000F252A" w:rsidP="000F252A">
            <w:pPr>
              <w:jc w:val="both"/>
            </w:pPr>
            <w:r w:rsidRPr="000F252A">
              <w:t xml:space="preserve">Организация рассмотрения результатов анализа смертности населения от новообразований, в том числе злокачественных, комиссией Министерства здравоохранения Республики Татарстан по анализу причин смертности населения </w:t>
            </w:r>
          </w:p>
        </w:tc>
        <w:tc>
          <w:tcPr>
            <w:tcW w:w="1474" w:type="dxa"/>
            <w:shd w:val="clear" w:color="auto" w:fill="auto"/>
            <w:hideMark/>
          </w:tcPr>
          <w:p w:rsidR="000F252A" w:rsidRPr="000F252A" w:rsidRDefault="000F252A" w:rsidP="000F252A">
            <w:pPr>
              <w:jc w:val="center"/>
            </w:pPr>
            <w:r w:rsidRPr="000F252A">
              <w:t>09.01.2026</w:t>
            </w:r>
          </w:p>
        </w:tc>
        <w:tc>
          <w:tcPr>
            <w:tcW w:w="1418" w:type="dxa"/>
            <w:shd w:val="clear" w:color="auto" w:fill="auto"/>
            <w:hideMark/>
          </w:tcPr>
          <w:p w:rsidR="000F252A" w:rsidRPr="000F252A" w:rsidRDefault="000F252A" w:rsidP="000F252A">
            <w:pPr>
              <w:jc w:val="center"/>
            </w:pPr>
            <w:r w:rsidRPr="000F252A">
              <w:t>31.12.2030</w:t>
            </w:r>
          </w:p>
        </w:tc>
        <w:tc>
          <w:tcPr>
            <w:tcW w:w="3912" w:type="dxa"/>
            <w:shd w:val="clear" w:color="auto" w:fill="auto"/>
            <w:hideMark/>
          </w:tcPr>
          <w:p w:rsidR="000F252A" w:rsidRPr="000F252A" w:rsidRDefault="006A784B" w:rsidP="000F252A">
            <w:pPr>
              <w:jc w:val="both"/>
            </w:pPr>
            <w:r>
              <w:t xml:space="preserve">министр здравоохранения </w:t>
            </w:r>
            <w:r w:rsidR="000F252A" w:rsidRPr="000F252A">
              <w:t>Республики Татарстан А.Р.Абашев, главный внештатный специалист-онколог Министерства здравоохранения Республики Татарстан Э.В.Нагуманов</w:t>
            </w:r>
          </w:p>
        </w:tc>
        <w:tc>
          <w:tcPr>
            <w:tcW w:w="3969" w:type="dxa"/>
            <w:shd w:val="clear" w:color="auto" w:fill="auto"/>
            <w:hideMark/>
          </w:tcPr>
          <w:p w:rsidR="000F252A" w:rsidRPr="000F252A" w:rsidRDefault="000F252A" w:rsidP="000F252A">
            <w:pPr>
              <w:jc w:val="both"/>
            </w:pPr>
            <w:r w:rsidRPr="000F252A">
              <w:t>ежемесячное рассмотрение результатов анализа смертности населения от ЗНО с принятием необходимых организационных решений</w:t>
            </w:r>
          </w:p>
        </w:tc>
      </w:tr>
      <w:tr w:rsidR="000F252A" w:rsidRPr="009D3B11" w:rsidTr="00AC795F">
        <w:trPr>
          <w:trHeight w:val="20"/>
        </w:trPr>
        <w:tc>
          <w:tcPr>
            <w:tcW w:w="704" w:type="dxa"/>
            <w:shd w:val="clear" w:color="auto" w:fill="auto"/>
            <w:hideMark/>
          </w:tcPr>
          <w:p w:rsidR="000F252A" w:rsidRPr="000F252A" w:rsidRDefault="000F252A" w:rsidP="000F252A">
            <w:pPr>
              <w:jc w:val="center"/>
            </w:pPr>
            <w:r w:rsidRPr="000F252A">
              <w:t>7.3.</w:t>
            </w:r>
          </w:p>
        </w:tc>
        <w:tc>
          <w:tcPr>
            <w:tcW w:w="3686" w:type="dxa"/>
            <w:shd w:val="clear" w:color="auto" w:fill="auto"/>
            <w:hideMark/>
          </w:tcPr>
          <w:p w:rsidR="000F252A" w:rsidRPr="000F252A" w:rsidRDefault="000F252A" w:rsidP="00185811">
            <w:pPr>
              <w:jc w:val="both"/>
            </w:pPr>
            <w:r w:rsidRPr="000F252A">
              <w:t>Организация ежеквартального внутриучрежденческого, а также в целом по Республике Татарстан мониторинга проведения диспансерного наблюдения за больными с онкологическими заболеваниями (взрослое население) в условиях первич</w:t>
            </w:r>
            <w:r w:rsidR="00185811">
              <w:t>ного онкологического кабинета (</w:t>
            </w:r>
            <w:r w:rsidRPr="000F252A">
              <w:t>центра амбулаторной онкологической помощи</w:t>
            </w:r>
            <w:r w:rsidR="00185811">
              <w:t>)</w:t>
            </w:r>
            <w:r w:rsidRPr="000F252A">
              <w:t xml:space="preserve"> в рамках приказа </w:t>
            </w:r>
            <w:r w:rsidR="00185811">
              <w:t xml:space="preserve">Министерства здравоохранения Республики Татарстан от 13.05.2024 № 1038 «Об организации диспансерного наблюдения за пациентами (взрослое население) с онкологическими заболеваниями и заболеваниями, которые предшествуют развитию злокачественных новообразований молочной железы, в Республике Татарстан» </w:t>
            </w:r>
          </w:p>
        </w:tc>
        <w:tc>
          <w:tcPr>
            <w:tcW w:w="1474" w:type="dxa"/>
            <w:shd w:val="clear" w:color="auto" w:fill="auto"/>
            <w:hideMark/>
          </w:tcPr>
          <w:p w:rsidR="000F252A" w:rsidRPr="000F252A" w:rsidRDefault="000F252A" w:rsidP="000F252A">
            <w:pPr>
              <w:jc w:val="center"/>
            </w:pPr>
            <w:r w:rsidRPr="000F252A">
              <w:t>09.01.2026</w:t>
            </w:r>
          </w:p>
        </w:tc>
        <w:tc>
          <w:tcPr>
            <w:tcW w:w="1418" w:type="dxa"/>
            <w:shd w:val="clear" w:color="auto" w:fill="auto"/>
            <w:hideMark/>
          </w:tcPr>
          <w:p w:rsidR="000F252A" w:rsidRPr="000F252A" w:rsidRDefault="000F252A" w:rsidP="000F252A">
            <w:pPr>
              <w:jc w:val="center"/>
            </w:pPr>
            <w:r w:rsidRPr="000F252A">
              <w:t>31.12.2030</w:t>
            </w:r>
          </w:p>
        </w:tc>
        <w:tc>
          <w:tcPr>
            <w:tcW w:w="3912" w:type="dxa"/>
            <w:shd w:val="clear" w:color="auto" w:fill="auto"/>
            <w:hideMark/>
          </w:tcPr>
          <w:p w:rsidR="000F252A" w:rsidRPr="000F252A" w:rsidRDefault="000F252A" w:rsidP="000F252A">
            <w:pPr>
              <w:jc w:val="both"/>
            </w:pPr>
            <w:r w:rsidRPr="000F252A">
              <w:t xml:space="preserve">главный врач ГАУЗ </w:t>
            </w:r>
            <w:r w:rsidRPr="000F252A">
              <w:rPr>
                <w:rFonts w:eastAsia="Arial"/>
              </w:rPr>
              <w:t>«РКОД МЗ РТ им.проф.М.З.Сигала»</w:t>
            </w:r>
            <w:r w:rsidRPr="000F252A">
              <w:t xml:space="preserve"> М.Ф.Мухамадеев, главный внештатный специалист-онколог Министерства здравоохранения Республики Татарстан Э.В.Нагуманов, руководители медицинских организаций Республики Татарстан</w:t>
            </w:r>
          </w:p>
        </w:tc>
        <w:tc>
          <w:tcPr>
            <w:tcW w:w="3969" w:type="dxa"/>
            <w:shd w:val="clear" w:color="auto" w:fill="auto"/>
            <w:hideMark/>
          </w:tcPr>
          <w:p w:rsidR="000F252A" w:rsidRPr="000F252A" w:rsidRDefault="000F252A" w:rsidP="000F252A">
            <w:pPr>
              <w:jc w:val="both"/>
            </w:pPr>
            <w:r w:rsidRPr="000F252A">
              <w:t>ежеквартальное проведение мониторинга</w:t>
            </w:r>
          </w:p>
        </w:tc>
      </w:tr>
      <w:tr w:rsidR="006A784B" w:rsidRPr="009D3B11" w:rsidTr="00AC795F">
        <w:trPr>
          <w:trHeight w:val="20"/>
        </w:trPr>
        <w:tc>
          <w:tcPr>
            <w:tcW w:w="704" w:type="dxa"/>
            <w:shd w:val="clear" w:color="auto" w:fill="auto"/>
          </w:tcPr>
          <w:p w:rsidR="006A784B" w:rsidRPr="000F252A" w:rsidRDefault="006A784B" w:rsidP="006A784B">
            <w:pPr>
              <w:jc w:val="center"/>
            </w:pPr>
            <w:r w:rsidRPr="000F252A">
              <w:t>7.4.</w:t>
            </w:r>
          </w:p>
        </w:tc>
        <w:tc>
          <w:tcPr>
            <w:tcW w:w="3686" w:type="dxa"/>
            <w:shd w:val="clear" w:color="auto" w:fill="auto"/>
          </w:tcPr>
          <w:p w:rsidR="006A784B" w:rsidRPr="000F252A" w:rsidRDefault="006A784B" w:rsidP="006A784B">
            <w:pPr>
              <w:jc w:val="both"/>
            </w:pPr>
            <w:r w:rsidRPr="000F252A">
              <w:t xml:space="preserve">Проведение анализа медицинской документации при оказании медицинской помощи пациентам с онкологическими заболеваниями на всех этапах оказания медицинской помощи на соответствие положениям приказа Министерства здравоохранения Российской Федерации от 19 февраля 2021 г. </w:t>
            </w:r>
            <w:r w:rsidRPr="000F252A">
              <w:br/>
              <w:t xml:space="preserve">№ 116н «Об утверждении Порядка оказания медицинской помощи взрослому населению при онкологических заболеваниях» и при- каза </w:t>
            </w:r>
            <w:r w:rsidRPr="000F252A">
              <w:rPr>
                <w:rFonts w:eastAsia="Arial"/>
              </w:rPr>
              <w:t xml:space="preserve">Министерства здравоохранения Республики Татарстан </w:t>
            </w:r>
            <w:r w:rsidR="00C25F91">
              <w:rPr>
                <w:rFonts w:eastAsia="Arial"/>
              </w:rPr>
              <w:br/>
            </w:r>
            <w:r w:rsidRPr="000F252A">
              <w:rPr>
                <w:rFonts w:eastAsia="Arial"/>
              </w:rPr>
              <w:t>от</w:t>
            </w:r>
            <w:r w:rsidR="00C25F91">
              <w:rPr>
                <w:rFonts w:eastAsia="Arial"/>
              </w:rPr>
              <w:t xml:space="preserve"> </w:t>
            </w:r>
            <w:r w:rsidR="00C25F91" w:rsidRPr="000F252A">
              <w:rPr>
                <w:rFonts w:eastAsia="Arial"/>
              </w:rPr>
              <w:t>29.10.2025 № 2510 «</w:t>
            </w:r>
            <w:r w:rsidR="00C25F91" w:rsidRPr="000F252A">
              <w:t>О порядке</w:t>
            </w:r>
          </w:p>
        </w:tc>
        <w:tc>
          <w:tcPr>
            <w:tcW w:w="1474" w:type="dxa"/>
            <w:shd w:val="clear" w:color="auto" w:fill="auto"/>
          </w:tcPr>
          <w:p w:rsidR="006A784B" w:rsidRPr="000F252A" w:rsidRDefault="006A784B" w:rsidP="006A784B">
            <w:pPr>
              <w:jc w:val="center"/>
            </w:pPr>
            <w:r w:rsidRPr="000F252A">
              <w:t>09.01.2026</w:t>
            </w:r>
          </w:p>
        </w:tc>
        <w:tc>
          <w:tcPr>
            <w:tcW w:w="1418" w:type="dxa"/>
            <w:shd w:val="clear" w:color="auto" w:fill="auto"/>
          </w:tcPr>
          <w:p w:rsidR="006A784B" w:rsidRPr="000F252A" w:rsidRDefault="006A784B" w:rsidP="006A784B">
            <w:pPr>
              <w:jc w:val="center"/>
            </w:pPr>
            <w:r w:rsidRPr="000F252A">
              <w:t>31.12.2030</w:t>
            </w:r>
          </w:p>
        </w:tc>
        <w:tc>
          <w:tcPr>
            <w:tcW w:w="3912" w:type="dxa"/>
            <w:shd w:val="clear" w:color="auto" w:fill="auto"/>
          </w:tcPr>
          <w:p w:rsidR="006A784B" w:rsidRPr="000F252A" w:rsidRDefault="006A784B" w:rsidP="006A784B">
            <w:pPr>
              <w:jc w:val="both"/>
            </w:pPr>
            <w:r w:rsidRPr="000F252A">
              <w:t xml:space="preserve">министр здравоохранения Республики Татарстан А.Р.Абашев, директор государственного учреждения «Территориальный фонд обязательного медицинского страхования Республики Татарстан» А.М.Мифтахова (по согласованию), главный врач ГАУЗ </w:t>
            </w:r>
            <w:r w:rsidRPr="000F252A">
              <w:rPr>
                <w:rFonts w:eastAsia="Arial"/>
              </w:rPr>
              <w:t>«РКОД МЗ РТ им.проф.М.З.Сигала»</w:t>
            </w:r>
            <w:r w:rsidRPr="000F252A">
              <w:t xml:space="preserve"> М.Ф.Мухамадеев</w:t>
            </w:r>
          </w:p>
        </w:tc>
        <w:tc>
          <w:tcPr>
            <w:tcW w:w="3969" w:type="dxa"/>
            <w:shd w:val="clear" w:color="auto" w:fill="auto"/>
          </w:tcPr>
          <w:p w:rsidR="006A784B" w:rsidRPr="000F252A" w:rsidRDefault="006A784B" w:rsidP="006A784B">
            <w:pPr>
              <w:jc w:val="both"/>
            </w:pPr>
            <w:r w:rsidRPr="000F252A">
              <w:t xml:space="preserve">ежемесячно, </w:t>
            </w:r>
          </w:p>
          <w:p w:rsidR="006A784B" w:rsidRPr="000F252A" w:rsidRDefault="006A784B" w:rsidP="006A784B">
            <w:pPr>
              <w:jc w:val="both"/>
            </w:pPr>
            <w:r w:rsidRPr="000F252A">
              <w:t>число дефектов от числа проанализированных случаев – не более 5 процентов</w:t>
            </w:r>
          </w:p>
        </w:tc>
      </w:tr>
      <w:tr w:rsidR="006A784B" w:rsidRPr="009D3B11" w:rsidTr="00C25F91">
        <w:trPr>
          <w:trHeight w:val="1654"/>
        </w:trPr>
        <w:tc>
          <w:tcPr>
            <w:tcW w:w="704" w:type="dxa"/>
            <w:shd w:val="clear" w:color="auto" w:fill="auto"/>
          </w:tcPr>
          <w:p w:rsidR="006A784B" w:rsidRPr="000F252A" w:rsidRDefault="006A784B" w:rsidP="006A784B">
            <w:pPr>
              <w:jc w:val="center"/>
            </w:pPr>
          </w:p>
        </w:tc>
        <w:tc>
          <w:tcPr>
            <w:tcW w:w="3686" w:type="dxa"/>
            <w:shd w:val="clear" w:color="auto" w:fill="auto"/>
          </w:tcPr>
          <w:p w:rsidR="006A784B" w:rsidRPr="000F252A" w:rsidRDefault="006A784B" w:rsidP="006A784B">
            <w:pPr>
              <w:jc w:val="both"/>
            </w:pPr>
            <w:r w:rsidRPr="000F252A">
              <w:t>маршрутизации пациентов с подозрением на онкологические заболевания и пациентов с онкологическими заболеваниями (взрослое население) в Республике Татарстан»</w:t>
            </w:r>
          </w:p>
        </w:tc>
        <w:tc>
          <w:tcPr>
            <w:tcW w:w="1474" w:type="dxa"/>
            <w:shd w:val="clear" w:color="auto" w:fill="auto"/>
          </w:tcPr>
          <w:p w:rsidR="006A784B" w:rsidRPr="000F252A" w:rsidRDefault="006A784B" w:rsidP="006A784B">
            <w:pPr>
              <w:jc w:val="center"/>
            </w:pPr>
          </w:p>
        </w:tc>
        <w:tc>
          <w:tcPr>
            <w:tcW w:w="1418" w:type="dxa"/>
            <w:shd w:val="clear" w:color="auto" w:fill="auto"/>
          </w:tcPr>
          <w:p w:rsidR="006A784B" w:rsidRPr="000F252A" w:rsidRDefault="006A784B" w:rsidP="006A784B">
            <w:pPr>
              <w:jc w:val="center"/>
            </w:pPr>
          </w:p>
        </w:tc>
        <w:tc>
          <w:tcPr>
            <w:tcW w:w="3912" w:type="dxa"/>
            <w:shd w:val="clear" w:color="auto" w:fill="auto"/>
          </w:tcPr>
          <w:p w:rsidR="006A784B" w:rsidRPr="000F252A" w:rsidRDefault="006A784B" w:rsidP="006A784B">
            <w:pPr>
              <w:jc w:val="both"/>
            </w:pPr>
          </w:p>
        </w:tc>
        <w:tc>
          <w:tcPr>
            <w:tcW w:w="3969" w:type="dxa"/>
            <w:shd w:val="clear" w:color="auto" w:fill="auto"/>
          </w:tcPr>
          <w:p w:rsidR="006A784B" w:rsidRPr="000F252A" w:rsidRDefault="006A784B" w:rsidP="006A784B">
            <w:pPr>
              <w:jc w:val="both"/>
            </w:pPr>
          </w:p>
        </w:tc>
      </w:tr>
      <w:tr w:rsidR="006A784B" w:rsidRPr="009D3B11" w:rsidTr="00AC795F">
        <w:trPr>
          <w:trHeight w:val="20"/>
        </w:trPr>
        <w:tc>
          <w:tcPr>
            <w:tcW w:w="704" w:type="dxa"/>
            <w:shd w:val="clear" w:color="auto" w:fill="auto"/>
            <w:hideMark/>
          </w:tcPr>
          <w:p w:rsidR="006A784B" w:rsidRPr="000F252A" w:rsidRDefault="006A784B" w:rsidP="006A784B">
            <w:pPr>
              <w:jc w:val="center"/>
            </w:pPr>
            <w:r w:rsidRPr="000F252A">
              <w:t>7.5.</w:t>
            </w:r>
          </w:p>
        </w:tc>
        <w:tc>
          <w:tcPr>
            <w:tcW w:w="3686" w:type="dxa"/>
            <w:shd w:val="clear" w:color="auto" w:fill="auto"/>
            <w:hideMark/>
          </w:tcPr>
          <w:p w:rsidR="006A784B" w:rsidRPr="000F252A" w:rsidRDefault="006A784B" w:rsidP="006A784B">
            <w:pPr>
              <w:jc w:val="both"/>
            </w:pPr>
            <w:r w:rsidRPr="000F252A">
              <w:t>Проведение совещаний с руководителями и врачами медицинских организаций, оказывающих первичную медико-санитарную помощь населению, в том числе в очном режиме и в режиме видео-конференц-связи, по вопросам организации медицинской помощи больным с онкологическими заболеваниями, соблюдения маршрутизации, сроков оказания медицинской помощи, объема обследования и основных показателей онкологической службы в разрезе муниципальных образований</w:t>
            </w:r>
          </w:p>
        </w:tc>
        <w:tc>
          <w:tcPr>
            <w:tcW w:w="1474" w:type="dxa"/>
            <w:shd w:val="clear" w:color="auto" w:fill="auto"/>
            <w:hideMark/>
          </w:tcPr>
          <w:p w:rsidR="006A784B" w:rsidRPr="000F252A" w:rsidRDefault="006A784B" w:rsidP="006A784B">
            <w:pPr>
              <w:jc w:val="center"/>
            </w:pPr>
            <w:r w:rsidRPr="000F252A">
              <w:t>09.01.2026</w:t>
            </w:r>
          </w:p>
        </w:tc>
        <w:tc>
          <w:tcPr>
            <w:tcW w:w="1418" w:type="dxa"/>
            <w:shd w:val="clear" w:color="auto" w:fill="auto"/>
            <w:hideMark/>
          </w:tcPr>
          <w:p w:rsidR="006A784B" w:rsidRPr="000F252A" w:rsidRDefault="006A784B" w:rsidP="006A784B">
            <w:pPr>
              <w:jc w:val="center"/>
            </w:pPr>
            <w:r w:rsidRPr="000F252A">
              <w:t>31.12.2030</w:t>
            </w:r>
          </w:p>
        </w:tc>
        <w:tc>
          <w:tcPr>
            <w:tcW w:w="3912" w:type="dxa"/>
            <w:shd w:val="clear" w:color="auto" w:fill="auto"/>
            <w:hideMark/>
          </w:tcPr>
          <w:p w:rsidR="006A784B" w:rsidRPr="000F252A" w:rsidRDefault="006A784B" w:rsidP="006A784B">
            <w:pPr>
              <w:jc w:val="both"/>
              <w:rPr>
                <w:rFonts w:eastAsia="Arial"/>
              </w:rPr>
            </w:pPr>
            <w:r w:rsidRPr="000F252A">
              <w:t xml:space="preserve">главный врач ГАУЗ </w:t>
            </w:r>
            <w:r w:rsidRPr="000F252A">
              <w:rPr>
                <w:rFonts w:eastAsia="Arial"/>
              </w:rPr>
              <w:t xml:space="preserve">«РКОД МЗ РТ </w:t>
            </w:r>
          </w:p>
          <w:p w:rsidR="006A784B" w:rsidRPr="000F252A" w:rsidRDefault="006A784B" w:rsidP="006A784B">
            <w:pPr>
              <w:jc w:val="both"/>
            </w:pPr>
            <w:r w:rsidRPr="000F252A">
              <w:rPr>
                <w:rFonts w:eastAsia="Arial"/>
              </w:rPr>
              <w:t xml:space="preserve"> им.проф.М.З.Сигала»</w:t>
            </w:r>
            <w:r w:rsidRPr="000F252A">
              <w:t xml:space="preserve">  М.Ф.Мухамадеев, главный внештатный специалист-онколог Министерства здравоохранения Республики Татарстан Э.В.Нагуманов, руководители медицинских организаций Республики Татарстан</w:t>
            </w:r>
          </w:p>
        </w:tc>
        <w:tc>
          <w:tcPr>
            <w:tcW w:w="3969" w:type="dxa"/>
            <w:shd w:val="clear" w:color="auto" w:fill="auto"/>
            <w:hideMark/>
          </w:tcPr>
          <w:p w:rsidR="006A784B" w:rsidRPr="000F252A" w:rsidRDefault="006A784B" w:rsidP="006A784B">
            <w:pPr>
              <w:jc w:val="both"/>
            </w:pPr>
            <w:r w:rsidRPr="000F252A">
              <w:t>проведение не менее 3 совещаний ежегодно</w:t>
            </w:r>
          </w:p>
        </w:tc>
      </w:tr>
      <w:tr w:rsidR="006A784B" w:rsidRPr="009D3B11" w:rsidTr="00AC795F">
        <w:trPr>
          <w:trHeight w:val="20"/>
        </w:trPr>
        <w:tc>
          <w:tcPr>
            <w:tcW w:w="704" w:type="dxa"/>
            <w:shd w:val="clear" w:color="auto" w:fill="auto"/>
            <w:hideMark/>
          </w:tcPr>
          <w:p w:rsidR="006A784B" w:rsidRPr="000F252A" w:rsidRDefault="006A784B" w:rsidP="006A784B">
            <w:pPr>
              <w:jc w:val="center"/>
            </w:pPr>
            <w:r w:rsidRPr="000F252A">
              <w:t>7.6.</w:t>
            </w:r>
          </w:p>
        </w:tc>
        <w:tc>
          <w:tcPr>
            <w:tcW w:w="3686" w:type="dxa"/>
            <w:shd w:val="clear" w:color="auto" w:fill="auto"/>
            <w:hideMark/>
          </w:tcPr>
          <w:p w:rsidR="006A784B" w:rsidRPr="000F252A" w:rsidRDefault="006A784B" w:rsidP="006A784B">
            <w:pPr>
              <w:jc w:val="both"/>
            </w:pPr>
            <w:r w:rsidRPr="000F252A">
              <w:t xml:space="preserve">Совершенствование учета вновь выявленных случаев онкологических заболеваний в рамках модернизации и развития государственной информационной системы </w:t>
            </w:r>
            <w:r w:rsidRPr="000F252A">
              <w:br/>
              <w:t xml:space="preserve">в сфере здравоохранения Республики Татарстан </w:t>
            </w:r>
          </w:p>
        </w:tc>
        <w:tc>
          <w:tcPr>
            <w:tcW w:w="1474" w:type="dxa"/>
            <w:shd w:val="clear" w:color="auto" w:fill="auto"/>
            <w:hideMark/>
          </w:tcPr>
          <w:p w:rsidR="006A784B" w:rsidRPr="000F252A" w:rsidRDefault="006A784B" w:rsidP="006A784B">
            <w:pPr>
              <w:jc w:val="center"/>
            </w:pPr>
            <w:r w:rsidRPr="000F252A">
              <w:t>09.01.2026</w:t>
            </w:r>
          </w:p>
        </w:tc>
        <w:tc>
          <w:tcPr>
            <w:tcW w:w="1418" w:type="dxa"/>
            <w:shd w:val="clear" w:color="auto" w:fill="auto"/>
            <w:hideMark/>
          </w:tcPr>
          <w:p w:rsidR="006A784B" w:rsidRPr="000F252A" w:rsidRDefault="006A784B" w:rsidP="006A784B">
            <w:pPr>
              <w:jc w:val="center"/>
            </w:pPr>
            <w:r w:rsidRPr="000F252A">
              <w:t>01.03.2026</w:t>
            </w:r>
          </w:p>
        </w:tc>
        <w:tc>
          <w:tcPr>
            <w:tcW w:w="3912" w:type="dxa"/>
            <w:shd w:val="clear" w:color="auto" w:fill="auto"/>
            <w:hideMark/>
          </w:tcPr>
          <w:p w:rsidR="006A784B" w:rsidRPr="000F252A" w:rsidRDefault="006A784B" w:rsidP="006A784B">
            <w:pPr>
              <w:jc w:val="both"/>
            </w:pPr>
            <w:r w:rsidRPr="000F252A">
              <w:t xml:space="preserve">заместитель министра здравоохранения Республики Татарстан А.А.Ефремов, директор ГАУЗ «Республиканский медицинский информационно-аналитический центр» Д.А.Шафета, главный </w:t>
            </w:r>
            <w:r w:rsidRPr="000F252A">
              <w:br/>
              <w:t xml:space="preserve">врач ГАУЗ </w:t>
            </w:r>
            <w:r w:rsidRPr="000F252A">
              <w:rPr>
                <w:rFonts w:eastAsia="Arial"/>
              </w:rPr>
              <w:t>«РКОД МЗ РТ им.проф.М.З.Сигала»</w:t>
            </w:r>
            <w:r w:rsidRPr="000F252A">
              <w:t xml:space="preserve"> М.Ф.Мухамадеев</w:t>
            </w:r>
          </w:p>
        </w:tc>
        <w:tc>
          <w:tcPr>
            <w:tcW w:w="3969" w:type="dxa"/>
            <w:shd w:val="clear" w:color="auto" w:fill="auto"/>
            <w:hideMark/>
          </w:tcPr>
          <w:p w:rsidR="006A784B" w:rsidRPr="000F252A" w:rsidRDefault="006A784B" w:rsidP="006A784B">
            <w:pPr>
              <w:jc w:val="both"/>
            </w:pPr>
            <w:r w:rsidRPr="000F252A">
              <w:t>централизованная система «Организация оказания медицинской помощи больным онкологическими заболеваниями» функционирует в 100 процентах территориально выделенных структурных подразделений медицинских организаций Республики Татарстан</w:t>
            </w:r>
          </w:p>
        </w:tc>
      </w:tr>
      <w:tr w:rsidR="006A784B" w:rsidRPr="009D3B11" w:rsidTr="00AC795F">
        <w:trPr>
          <w:trHeight w:val="20"/>
        </w:trPr>
        <w:tc>
          <w:tcPr>
            <w:tcW w:w="704" w:type="dxa"/>
            <w:shd w:val="clear" w:color="auto" w:fill="auto"/>
          </w:tcPr>
          <w:p w:rsidR="006A784B" w:rsidRPr="000F252A" w:rsidRDefault="006A784B" w:rsidP="006A784B">
            <w:pPr>
              <w:jc w:val="center"/>
            </w:pPr>
            <w:r w:rsidRPr="000F252A">
              <w:t>7.7.</w:t>
            </w:r>
          </w:p>
        </w:tc>
        <w:tc>
          <w:tcPr>
            <w:tcW w:w="3686" w:type="dxa"/>
            <w:shd w:val="clear" w:color="auto" w:fill="auto"/>
          </w:tcPr>
          <w:p w:rsidR="006A784B" w:rsidRPr="000F252A" w:rsidRDefault="006A784B" w:rsidP="006A784B">
            <w:pPr>
              <w:jc w:val="both"/>
            </w:pPr>
            <w:r w:rsidRPr="000F252A">
              <w:t>Мультидисциплинарный контроль</w:t>
            </w:r>
          </w:p>
          <w:p w:rsidR="006A784B" w:rsidRPr="000F252A" w:rsidRDefault="006A784B" w:rsidP="006A784B">
            <w:pPr>
              <w:jc w:val="both"/>
            </w:pPr>
            <w:r w:rsidRPr="000F252A">
              <w:t>и анализ проводимой диспансери-</w:t>
            </w:r>
            <w:r w:rsidRPr="000F252A">
              <w:br/>
              <w:t>зации взрослого населения, в том числе скринингового обследования, проведение совещаний с руководителями и врачами медицинских организаций, в том числе в режиме видео-конференц-связи, по результатам проведенного анализа</w:t>
            </w:r>
          </w:p>
        </w:tc>
        <w:tc>
          <w:tcPr>
            <w:tcW w:w="1474" w:type="dxa"/>
            <w:shd w:val="clear" w:color="auto" w:fill="auto"/>
          </w:tcPr>
          <w:p w:rsidR="006A784B" w:rsidRPr="000F252A" w:rsidRDefault="006A784B" w:rsidP="006A784B">
            <w:pPr>
              <w:jc w:val="center"/>
            </w:pPr>
            <w:r w:rsidRPr="000F252A">
              <w:t>09.01.2026</w:t>
            </w:r>
          </w:p>
        </w:tc>
        <w:tc>
          <w:tcPr>
            <w:tcW w:w="1418" w:type="dxa"/>
            <w:shd w:val="clear" w:color="auto" w:fill="auto"/>
          </w:tcPr>
          <w:p w:rsidR="006A784B" w:rsidRPr="000F252A" w:rsidRDefault="006A784B" w:rsidP="006A784B">
            <w:pPr>
              <w:jc w:val="center"/>
            </w:pPr>
            <w:r w:rsidRPr="000F252A">
              <w:t>31.12.2030</w:t>
            </w:r>
          </w:p>
        </w:tc>
        <w:tc>
          <w:tcPr>
            <w:tcW w:w="3912" w:type="dxa"/>
            <w:shd w:val="clear" w:color="auto" w:fill="auto"/>
          </w:tcPr>
          <w:p w:rsidR="006A784B" w:rsidRPr="000F252A" w:rsidRDefault="006A784B" w:rsidP="006A784B">
            <w:pPr>
              <w:jc w:val="both"/>
            </w:pPr>
            <w:r w:rsidRPr="000F252A">
              <w:t>министр здравоохранения Республики Татарстан А.Р.Абашев, главный внештатный специалист-онколог Министерства здравоохранения Республики Татарстан Э.В.Нагуманов, главный внештатный специалист-терапевт Министерства здравоохранения Республики Татарстан Д.И.Абдулганиева, главный внештатный специалист по медицинской профилактике Министерства здравоохранения Республики Татарстан Л.И.Фейсханова</w:t>
            </w:r>
          </w:p>
        </w:tc>
        <w:tc>
          <w:tcPr>
            <w:tcW w:w="3969" w:type="dxa"/>
            <w:shd w:val="clear" w:color="auto" w:fill="auto"/>
          </w:tcPr>
          <w:p w:rsidR="006A784B" w:rsidRPr="000F252A" w:rsidRDefault="006A784B" w:rsidP="006A784B">
            <w:pPr>
              <w:jc w:val="both"/>
            </w:pPr>
            <w:r w:rsidRPr="000F252A">
              <w:t>проведение не менее 4 совещаний ежегодно</w:t>
            </w:r>
          </w:p>
        </w:tc>
      </w:tr>
      <w:tr w:rsidR="006A784B" w:rsidRPr="009D3B11" w:rsidTr="00AC795F">
        <w:trPr>
          <w:trHeight w:val="20"/>
        </w:trPr>
        <w:tc>
          <w:tcPr>
            <w:tcW w:w="704" w:type="dxa"/>
            <w:shd w:val="clear" w:color="auto" w:fill="auto"/>
          </w:tcPr>
          <w:p w:rsidR="006A784B" w:rsidRPr="000F252A" w:rsidRDefault="006A784B" w:rsidP="006A784B">
            <w:pPr>
              <w:jc w:val="center"/>
            </w:pPr>
            <w:r w:rsidRPr="000F252A">
              <w:t>7.8.</w:t>
            </w:r>
          </w:p>
        </w:tc>
        <w:tc>
          <w:tcPr>
            <w:tcW w:w="3686" w:type="dxa"/>
            <w:shd w:val="clear" w:color="auto" w:fill="auto"/>
          </w:tcPr>
          <w:p w:rsidR="006A784B" w:rsidRPr="000F252A" w:rsidRDefault="006A784B" w:rsidP="006A784B">
            <w:pPr>
              <w:jc w:val="both"/>
            </w:pPr>
            <w:r w:rsidRPr="000F252A">
              <w:t xml:space="preserve">Проведение персонифицированного контроля качества кодирования первоначальной причины смерти пациентов, находящихся на диспансерном учете у врачей-онкологов (за исключением случаев </w:t>
            </w:r>
            <w:r w:rsidRPr="000F252A">
              <w:rPr>
                <w:lang w:val="en-US"/>
              </w:rPr>
              <w:t>IV</w:t>
            </w:r>
            <w:r w:rsidRPr="000F252A">
              <w:t xml:space="preserve"> клинической группы)</w:t>
            </w:r>
          </w:p>
        </w:tc>
        <w:tc>
          <w:tcPr>
            <w:tcW w:w="1474" w:type="dxa"/>
            <w:shd w:val="clear" w:color="auto" w:fill="auto"/>
          </w:tcPr>
          <w:p w:rsidR="006A784B" w:rsidRPr="000F252A" w:rsidRDefault="006A784B" w:rsidP="006A784B">
            <w:pPr>
              <w:jc w:val="center"/>
            </w:pPr>
            <w:r w:rsidRPr="000F252A">
              <w:t>09.01.2026</w:t>
            </w:r>
          </w:p>
        </w:tc>
        <w:tc>
          <w:tcPr>
            <w:tcW w:w="1418" w:type="dxa"/>
            <w:shd w:val="clear" w:color="auto" w:fill="auto"/>
          </w:tcPr>
          <w:p w:rsidR="006A784B" w:rsidRPr="000F252A" w:rsidRDefault="006A784B" w:rsidP="006A784B">
            <w:pPr>
              <w:jc w:val="center"/>
            </w:pPr>
            <w:r w:rsidRPr="000F252A">
              <w:t>31.12.2030</w:t>
            </w:r>
          </w:p>
        </w:tc>
        <w:tc>
          <w:tcPr>
            <w:tcW w:w="3912" w:type="dxa"/>
            <w:shd w:val="clear" w:color="auto" w:fill="auto"/>
          </w:tcPr>
          <w:p w:rsidR="006A784B" w:rsidRPr="000F252A" w:rsidRDefault="006A784B" w:rsidP="006A784B">
            <w:pPr>
              <w:jc w:val="both"/>
            </w:pPr>
            <w:r w:rsidRPr="000F252A">
              <w:t xml:space="preserve">главный врач ГАУЗ </w:t>
            </w:r>
            <w:r w:rsidRPr="000F252A">
              <w:rPr>
                <w:rFonts w:eastAsia="Arial"/>
              </w:rPr>
              <w:t>«РКОД МЗ РТ им.проф.М.З.Сигала»</w:t>
            </w:r>
            <w:r w:rsidRPr="000F252A">
              <w:t xml:space="preserve"> М.Ф.Мухамадеев</w:t>
            </w:r>
          </w:p>
        </w:tc>
        <w:tc>
          <w:tcPr>
            <w:tcW w:w="3969" w:type="dxa"/>
            <w:shd w:val="clear" w:color="auto" w:fill="auto"/>
          </w:tcPr>
          <w:p w:rsidR="006A784B" w:rsidRPr="000F252A" w:rsidRDefault="006A784B" w:rsidP="006A784B">
            <w:pPr>
              <w:jc w:val="both"/>
            </w:pPr>
            <w:r w:rsidRPr="000F252A">
              <w:t xml:space="preserve">ежемесячный контроль качества кодирования первоначальной причины смерти пациентов, находящихся на диспансерном учете у врачей-онкологов, проведен не менее чем в 3 тысячах случаев; </w:t>
            </w:r>
          </w:p>
          <w:p w:rsidR="006A784B" w:rsidRPr="000F252A" w:rsidRDefault="006A784B" w:rsidP="006A784B">
            <w:pPr>
              <w:jc w:val="both"/>
            </w:pPr>
            <w:r w:rsidRPr="000F252A">
              <w:t>проведение анализа правильности выбора и кодирования причины смерти пац</w:t>
            </w:r>
            <w:r w:rsidR="00C25F91">
              <w:t>иентов не реже 1 раза в квартал</w:t>
            </w:r>
          </w:p>
        </w:tc>
      </w:tr>
      <w:tr w:rsidR="006A784B" w:rsidRPr="009D3B11" w:rsidTr="00AC795F">
        <w:trPr>
          <w:trHeight w:val="20"/>
        </w:trPr>
        <w:tc>
          <w:tcPr>
            <w:tcW w:w="704" w:type="dxa"/>
            <w:shd w:val="clear" w:color="auto" w:fill="auto"/>
          </w:tcPr>
          <w:p w:rsidR="006A784B" w:rsidRPr="000F252A" w:rsidRDefault="006A784B" w:rsidP="006A784B">
            <w:pPr>
              <w:jc w:val="center"/>
            </w:pPr>
            <w:r w:rsidRPr="000F252A">
              <w:t>7.9.</w:t>
            </w:r>
          </w:p>
        </w:tc>
        <w:tc>
          <w:tcPr>
            <w:tcW w:w="3686" w:type="dxa"/>
            <w:shd w:val="clear" w:color="auto" w:fill="auto"/>
          </w:tcPr>
          <w:p w:rsidR="006A784B" w:rsidRPr="000F252A" w:rsidRDefault="006A784B" w:rsidP="006A784B">
            <w:pPr>
              <w:jc w:val="both"/>
            </w:pPr>
            <w:r w:rsidRPr="000F252A">
              <w:t>Взаимодействие с Региональным общественным благотворительным фондом помощи детям, больным лейкемией, имени Анжелы Вавиловой в части организации оказания паллиативной медицинской помощи в условиях некоммерческого медицинского частного учреждения «Детский хоспис» и медицинской автономной некоммерческой организации «</w:t>
            </w:r>
            <w:r w:rsidRPr="000F252A">
              <w:rPr>
                <w:color w:val="000000"/>
              </w:rPr>
              <w:t xml:space="preserve">Казанский хоспис «Наташа» </w:t>
            </w:r>
            <w:r w:rsidRPr="000F252A">
              <w:t>в рамках государственно-частного партнерства</w:t>
            </w:r>
          </w:p>
        </w:tc>
        <w:tc>
          <w:tcPr>
            <w:tcW w:w="1474" w:type="dxa"/>
            <w:shd w:val="clear" w:color="auto" w:fill="auto"/>
          </w:tcPr>
          <w:p w:rsidR="006A784B" w:rsidRPr="000F252A" w:rsidRDefault="006A784B" w:rsidP="006A784B">
            <w:pPr>
              <w:jc w:val="center"/>
            </w:pPr>
            <w:r w:rsidRPr="000F252A">
              <w:t>09.01.2026</w:t>
            </w:r>
          </w:p>
        </w:tc>
        <w:tc>
          <w:tcPr>
            <w:tcW w:w="1418" w:type="dxa"/>
            <w:shd w:val="clear" w:color="auto" w:fill="auto"/>
          </w:tcPr>
          <w:p w:rsidR="006A784B" w:rsidRPr="000F252A" w:rsidRDefault="006A784B" w:rsidP="006A784B">
            <w:pPr>
              <w:jc w:val="center"/>
            </w:pPr>
            <w:r w:rsidRPr="000F252A">
              <w:t>31.12.2030</w:t>
            </w:r>
          </w:p>
        </w:tc>
        <w:tc>
          <w:tcPr>
            <w:tcW w:w="3912" w:type="dxa"/>
            <w:shd w:val="clear" w:color="auto" w:fill="auto"/>
          </w:tcPr>
          <w:p w:rsidR="006A784B" w:rsidRPr="000F252A" w:rsidRDefault="006A784B" w:rsidP="006A784B">
            <w:pPr>
              <w:jc w:val="both"/>
            </w:pPr>
            <w:r w:rsidRPr="000F252A">
              <w:t xml:space="preserve">главный врач ГАУЗ </w:t>
            </w:r>
            <w:r w:rsidRPr="000F252A">
              <w:rPr>
                <w:rFonts w:eastAsia="Arial"/>
              </w:rPr>
              <w:t>«РКОД МЗ РТ им.проф.М.З.Сигала»</w:t>
            </w:r>
            <w:r w:rsidRPr="000F252A">
              <w:t xml:space="preserve"> М.Ф.Мухамадеев, главный внештатный специалист-онколог Министерства здравоохранения Республики Татарстан Э.В.Нагуманов, руководители медицинских организаций Республики Татарстан</w:t>
            </w:r>
          </w:p>
        </w:tc>
        <w:tc>
          <w:tcPr>
            <w:tcW w:w="3969" w:type="dxa"/>
            <w:shd w:val="clear" w:color="auto" w:fill="auto"/>
          </w:tcPr>
          <w:p w:rsidR="006A784B" w:rsidRPr="000F252A" w:rsidRDefault="006A784B" w:rsidP="006A784B">
            <w:pPr>
              <w:jc w:val="both"/>
            </w:pPr>
            <w:r w:rsidRPr="000F252A">
              <w:t>паллиативной медицинской помощью в условиях стационара круглосуточного пребывания и на дому ежегодно охвачено не менее 1 тысячи пациентов</w:t>
            </w:r>
          </w:p>
        </w:tc>
      </w:tr>
      <w:tr w:rsidR="006A784B" w:rsidRPr="009D3B11" w:rsidTr="00AC795F">
        <w:trPr>
          <w:trHeight w:val="20"/>
        </w:trPr>
        <w:tc>
          <w:tcPr>
            <w:tcW w:w="704" w:type="dxa"/>
            <w:shd w:val="clear" w:color="auto" w:fill="auto"/>
          </w:tcPr>
          <w:p w:rsidR="006A784B" w:rsidRPr="000F252A" w:rsidRDefault="006A784B" w:rsidP="006A784B">
            <w:pPr>
              <w:jc w:val="center"/>
            </w:pPr>
            <w:r w:rsidRPr="000F252A">
              <w:t>7.10.</w:t>
            </w:r>
          </w:p>
        </w:tc>
        <w:tc>
          <w:tcPr>
            <w:tcW w:w="3686" w:type="dxa"/>
            <w:shd w:val="clear" w:color="auto" w:fill="auto"/>
          </w:tcPr>
          <w:p w:rsidR="006A784B" w:rsidRPr="000F252A" w:rsidRDefault="006A784B" w:rsidP="006A784B">
            <w:pPr>
              <w:jc w:val="both"/>
            </w:pPr>
            <w:r w:rsidRPr="000F252A">
              <w:t>Взаимодействие с представителями традиционных религиозных конфессий в части поддержки пациентов с онкологическими заболеваниями</w:t>
            </w:r>
          </w:p>
        </w:tc>
        <w:tc>
          <w:tcPr>
            <w:tcW w:w="1474" w:type="dxa"/>
            <w:shd w:val="clear" w:color="auto" w:fill="auto"/>
          </w:tcPr>
          <w:p w:rsidR="006A784B" w:rsidRPr="000F252A" w:rsidRDefault="006A784B" w:rsidP="006A784B">
            <w:pPr>
              <w:jc w:val="center"/>
            </w:pPr>
            <w:r w:rsidRPr="000F252A">
              <w:t>09.01.2026</w:t>
            </w:r>
          </w:p>
        </w:tc>
        <w:tc>
          <w:tcPr>
            <w:tcW w:w="1418" w:type="dxa"/>
            <w:shd w:val="clear" w:color="auto" w:fill="auto"/>
          </w:tcPr>
          <w:p w:rsidR="006A784B" w:rsidRPr="000F252A" w:rsidRDefault="006A784B" w:rsidP="006A784B">
            <w:pPr>
              <w:jc w:val="center"/>
            </w:pPr>
            <w:r w:rsidRPr="000F252A">
              <w:t>31.12.2030</w:t>
            </w:r>
          </w:p>
        </w:tc>
        <w:tc>
          <w:tcPr>
            <w:tcW w:w="3912" w:type="dxa"/>
            <w:shd w:val="clear" w:color="auto" w:fill="auto"/>
          </w:tcPr>
          <w:p w:rsidR="006A784B" w:rsidRPr="000F252A" w:rsidRDefault="006A784B" w:rsidP="006A784B">
            <w:pPr>
              <w:jc w:val="both"/>
            </w:pPr>
            <w:r w:rsidRPr="000F252A">
              <w:t xml:space="preserve">главный врач ГАУЗ </w:t>
            </w:r>
            <w:r w:rsidRPr="000F252A">
              <w:rPr>
                <w:rFonts w:eastAsia="Arial"/>
              </w:rPr>
              <w:t>«РКОД МЗ РТ им.проф.М.З.Сигала»</w:t>
            </w:r>
            <w:r w:rsidRPr="000F252A">
              <w:t xml:space="preserve"> М.Ф.Мухамадеев, главный внештатный специалист-онколог Министерства здравоохранения Республики Татарстан Э.В.Нагуманов, руководители медицинских организаций Республики Татарстан</w:t>
            </w:r>
          </w:p>
        </w:tc>
        <w:tc>
          <w:tcPr>
            <w:tcW w:w="3969" w:type="dxa"/>
            <w:shd w:val="clear" w:color="auto" w:fill="auto"/>
          </w:tcPr>
          <w:p w:rsidR="006A784B" w:rsidRPr="000F252A" w:rsidRDefault="006A784B" w:rsidP="006A784B">
            <w:pPr>
              <w:jc w:val="both"/>
            </w:pPr>
            <w:r w:rsidRPr="000F252A">
              <w:t>функционирование молельных комнат традиционных религиозных конфессий в стационарах медицинских организаций</w:t>
            </w:r>
          </w:p>
        </w:tc>
      </w:tr>
      <w:tr w:rsidR="006A784B" w:rsidRPr="009D3B11" w:rsidTr="00AC795F">
        <w:trPr>
          <w:trHeight w:val="20"/>
        </w:trPr>
        <w:tc>
          <w:tcPr>
            <w:tcW w:w="704" w:type="dxa"/>
            <w:shd w:val="clear" w:color="auto" w:fill="auto"/>
          </w:tcPr>
          <w:p w:rsidR="006A784B" w:rsidRPr="000F252A" w:rsidRDefault="006A784B" w:rsidP="006A784B">
            <w:pPr>
              <w:jc w:val="center"/>
            </w:pPr>
            <w:r w:rsidRPr="000F252A">
              <w:t>7.11.</w:t>
            </w:r>
          </w:p>
        </w:tc>
        <w:tc>
          <w:tcPr>
            <w:tcW w:w="3686" w:type="dxa"/>
            <w:shd w:val="clear" w:color="auto" w:fill="auto"/>
          </w:tcPr>
          <w:p w:rsidR="006A784B" w:rsidRPr="000F252A" w:rsidRDefault="006A784B" w:rsidP="006A784B">
            <w:pPr>
              <w:jc w:val="both"/>
            </w:pPr>
            <w:r w:rsidRPr="000F252A">
              <w:rPr>
                <w:color w:val="0D0D0D" w:themeColor="text1" w:themeTint="F2"/>
              </w:rPr>
              <w:t xml:space="preserve">Взаимодействие с </w:t>
            </w:r>
            <w:r w:rsidRPr="000F252A">
              <w:rPr>
                <w:color w:val="0D0D0D" w:themeColor="text1" w:themeTint="F2"/>
                <w:shd w:val="clear" w:color="auto" w:fill="FFFFFF"/>
              </w:rPr>
              <w:t>Министерством труда, занятости и социальной защиты Республики Татарстан в части компенсации расходов пациентам с онкологическими заболеваниями по проезду на транспорте к месту лечения в медицинские организации государственной системы здравоохранения, оказывающие специализированную онкологическую помощь, и обратно к месту жительства в рамках реализации постановления Кабинета Министров Республики Татарстан от 09.10.2013 № 743 «Об утверждении Порядка компенсации лицам, страдающим хронической почечной недостаточностью, получающим лечение методом амбулаторного гемодиализа, расходов по проезду на транспорте к месту прохождения амбулаторного гемодиализа и обратно к месту жительства, и лицам, страдающим онкологическими заболеваниями, расходов по проезду на транспорте к месту лечения в медицинские организации государственной системы здравоохранения Республики Татарстан, оказывающие специализированную онкологическую помощь, и обратно к месту жительства»</w:t>
            </w:r>
          </w:p>
        </w:tc>
        <w:tc>
          <w:tcPr>
            <w:tcW w:w="1474" w:type="dxa"/>
            <w:shd w:val="clear" w:color="auto" w:fill="auto"/>
          </w:tcPr>
          <w:p w:rsidR="006A784B" w:rsidRPr="000F252A" w:rsidRDefault="006A784B" w:rsidP="006A784B">
            <w:pPr>
              <w:jc w:val="center"/>
            </w:pPr>
            <w:r w:rsidRPr="000F252A">
              <w:t>09.01.2026</w:t>
            </w:r>
          </w:p>
        </w:tc>
        <w:tc>
          <w:tcPr>
            <w:tcW w:w="1418" w:type="dxa"/>
            <w:shd w:val="clear" w:color="auto" w:fill="auto"/>
          </w:tcPr>
          <w:p w:rsidR="006A784B" w:rsidRPr="000F252A" w:rsidRDefault="006A784B" w:rsidP="006A784B">
            <w:pPr>
              <w:jc w:val="center"/>
            </w:pPr>
            <w:r w:rsidRPr="000F252A">
              <w:t>31.12.2030</w:t>
            </w:r>
          </w:p>
        </w:tc>
        <w:tc>
          <w:tcPr>
            <w:tcW w:w="3912" w:type="dxa"/>
            <w:shd w:val="clear" w:color="auto" w:fill="auto"/>
          </w:tcPr>
          <w:p w:rsidR="006A784B" w:rsidRPr="000F252A" w:rsidRDefault="006A784B" w:rsidP="006A784B">
            <w:pPr>
              <w:jc w:val="both"/>
            </w:pPr>
            <w:r w:rsidRPr="000F252A">
              <w:t>министр здравоохранения Республики Татарстан А.Р.Абашев</w:t>
            </w:r>
            <w:r w:rsidRPr="000F252A">
              <w:rPr>
                <w:color w:val="0D0D0D" w:themeColor="text1" w:themeTint="F2"/>
              </w:rPr>
              <w:t xml:space="preserve">, министр </w:t>
            </w:r>
            <w:r w:rsidRPr="000F252A">
              <w:rPr>
                <w:color w:val="0D0D0D" w:themeColor="text1" w:themeTint="F2"/>
                <w:shd w:val="clear" w:color="auto" w:fill="FFFFFF"/>
              </w:rPr>
              <w:t xml:space="preserve">труда, занятости и социальной защиты Республики Татарстан Э.А.Зарипова, </w:t>
            </w:r>
            <w:r w:rsidRPr="000F252A">
              <w:rPr>
                <w:color w:val="0D0D0D" w:themeColor="text1" w:themeTint="F2"/>
              </w:rPr>
              <w:t xml:space="preserve">руководители медицинских организаций </w:t>
            </w:r>
            <w:r w:rsidRPr="000F252A">
              <w:t>Республики Татарстан</w:t>
            </w:r>
          </w:p>
        </w:tc>
        <w:tc>
          <w:tcPr>
            <w:tcW w:w="3969" w:type="dxa"/>
            <w:shd w:val="clear" w:color="auto" w:fill="auto"/>
          </w:tcPr>
          <w:p w:rsidR="006A784B" w:rsidRPr="000F252A" w:rsidRDefault="006A784B" w:rsidP="006A784B">
            <w:pPr>
              <w:jc w:val="both"/>
            </w:pPr>
            <w:r w:rsidRPr="000F252A">
              <w:t xml:space="preserve">ежегодно </w:t>
            </w:r>
            <w:r w:rsidRPr="000F252A">
              <w:rPr>
                <w:color w:val="22272F"/>
                <w:shd w:val="clear" w:color="auto" w:fill="FFFFFF"/>
              </w:rPr>
              <w:t>компенсации расходов пациентам с онкологическими заболеваниями по проезду на транспорте к месту лечения и обратно</w:t>
            </w:r>
          </w:p>
        </w:tc>
      </w:tr>
      <w:tr w:rsidR="006A784B" w:rsidRPr="009D3B11" w:rsidTr="00AC795F">
        <w:trPr>
          <w:trHeight w:val="20"/>
        </w:trPr>
        <w:tc>
          <w:tcPr>
            <w:tcW w:w="704" w:type="dxa"/>
            <w:shd w:val="clear" w:color="auto" w:fill="auto"/>
          </w:tcPr>
          <w:p w:rsidR="006A784B" w:rsidRPr="000F252A" w:rsidRDefault="006A784B" w:rsidP="006A784B">
            <w:pPr>
              <w:jc w:val="center"/>
            </w:pPr>
            <w:r w:rsidRPr="000F252A">
              <w:t>7.12.</w:t>
            </w:r>
          </w:p>
        </w:tc>
        <w:tc>
          <w:tcPr>
            <w:tcW w:w="3686" w:type="dxa"/>
            <w:shd w:val="clear" w:color="auto" w:fill="auto"/>
          </w:tcPr>
          <w:p w:rsidR="006A784B" w:rsidRPr="000F252A" w:rsidRDefault="006A784B" w:rsidP="006A784B">
            <w:pPr>
              <w:jc w:val="both"/>
            </w:pPr>
            <w:r w:rsidRPr="000F252A">
              <w:t xml:space="preserve">Оказание практической помощи врачам-онкологам центров амбулаторной онкологической помощи по соблюдению клинических рекомендаций в сложных клинических случаях при проведении лекарственной противоопухолевой терапии в рамках приказа ГАУЗ </w:t>
            </w:r>
            <w:r w:rsidRPr="000F252A">
              <w:rPr>
                <w:rFonts w:eastAsia="Arial"/>
              </w:rPr>
              <w:t>«РКОД МЗ РТ им.проф.М.З.Сигала»</w:t>
            </w:r>
            <w:r>
              <w:t xml:space="preserve"> </w:t>
            </w:r>
            <w:r w:rsidRPr="000F252A">
              <w:t xml:space="preserve">от 24.09.2020 № 236/п </w:t>
            </w:r>
            <w:r w:rsidRPr="000F252A">
              <w:br/>
              <w:t>«О назначении ответственных лиц по курации работы отделений лекарственной противоопухолевой терапии»</w:t>
            </w:r>
          </w:p>
        </w:tc>
        <w:tc>
          <w:tcPr>
            <w:tcW w:w="1474" w:type="dxa"/>
            <w:shd w:val="clear" w:color="auto" w:fill="auto"/>
          </w:tcPr>
          <w:p w:rsidR="006A784B" w:rsidRPr="000F252A" w:rsidRDefault="006A784B" w:rsidP="006A784B">
            <w:pPr>
              <w:jc w:val="center"/>
            </w:pPr>
            <w:r w:rsidRPr="000F252A">
              <w:t>09.01.2026</w:t>
            </w:r>
          </w:p>
        </w:tc>
        <w:tc>
          <w:tcPr>
            <w:tcW w:w="1418" w:type="dxa"/>
            <w:shd w:val="clear" w:color="auto" w:fill="auto"/>
          </w:tcPr>
          <w:p w:rsidR="006A784B" w:rsidRPr="000F252A" w:rsidRDefault="006A784B" w:rsidP="006A784B">
            <w:pPr>
              <w:jc w:val="center"/>
            </w:pPr>
            <w:r w:rsidRPr="000F252A">
              <w:t>31.12.2030</w:t>
            </w:r>
          </w:p>
        </w:tc>
        <w:tc>
          <w:tcPr>
            <w:tcW w:w="3912" w:type="dxa"/>
            <w:shd w:val="clear" w:color="auto" w:fill="auto"/>
          </w:tcPr>
          <w:p w:rsidR="006A784B" w:rsidRPr="000F252A" w:rsidRDefault="006A784B" w:rsidP="006A784B">
            <w:pPr>
              <w:jc w:val="both"/>
            </w:pPr>
            <w:r w:rsidRPr="000F252A">
              <w:t xml:space="preserve">главный врач ГАУЗ </w:t>
            </w:r>
            <w:r w:rsidRPr="000F252A">
              <w:rPr>
                <w:rFonts w:eastAsia="Arial"/>
              </w:rPr>
              <w:t>«РКОД МЗ РТ им.проф.М.З.Сигала»</w:t>
            </w:r>
            <w:r w:rsidRPr="000F252A">
              <w:t xml:space="preserve"> М.Ф.Мухамадеев, главный внештатный специалист-онколог Министерства здравоохранения Республики Татарстан Э.В.Нагуманов, руководители медицинских организаций Республики Татарстан</w:t>
            </w:r>
          </w:p>
        </w:tc>
        <w:tc>
          <w:tcPr>
            <w:tcW w:w="3969" w:type="dxa"/>
            <w:shd w:val="clear" w:color="auto" w:fill="auto"/>
          </w:tcPr>
          <w:p w:rsidR="006A784B" w:rsidRPr="000F252A" w:rsidRDefault="006A784B" w:rsidP="006A784B">
            <w:pPr>
              <w:jc w:val="both"/>
            </w:pPr>
            <w:r w:rsidRPr="000F252A">
              <w:t>проведение консультаций во всех сложных клинических случаях – не менее 300 консультаций ежегодно</w:t>
            </w:r>
          </w:p>
        </w:tc>
      </w:tr>
      <w:tr w:rsidR="006A784B" w:rsidRPr="009D3B11" w:rsidTr="00AC795F">
        <w:trPr>
          <w:trHeight w:val="20"/>
        </w:trPr>
        <w:tc>
          <w:tcPr>
            <w:tcW w:w="704" w:type="dxa"/>
            <w:shd w:val="clear" w:color="auto" w:fill="auto"/>
          </w:tcPr>
          <w:p w:rsidR="006A784B" w:rsidRPr="000F252A" w:rsidRDefault="006A784B" w:rsidP="006A784B">
            <w:pPr>
              <w:jc w:val="center"/>
            </w:pPr>
            <w:r w:rsidRPr="000F252A">
              <w:t>7.13.</w:t>
            </w:r>
          </w:p>
        </w:tc>
        <w:tc>
          <w:tcPr>
            <w:tcW w:w="3686" w:type="dxa"/>
            <w:shd w:val="clear" w:color="auto" w:fill="auto"/>
          </w:tcPr>
          <w:p w:rsidR="006A784B" w:rsidRPr="000F252A" w:rsidRDefault="006A784B" w:rsidP="006A784B">
            <w:pPr>
              <w:jc w:val="both"/>
            </w:pPr>
            <w:r w:rsidRPr="000F252A">
              <w:t>Проведение совещаний и вебинаров с руководителями и врачами медицинских организаций, оказывающих первичную медико-санитарную помощь населению, в том числе в очном режиме и в режиме видео-конференц-связи, по вопро-сам организации медицинской по-</w:t>
            </w:r>
            <w:r w:rsidRPr="000F252A">
              <w:br/>
              <w:t>мощи больным с онкологическими заболеваниями, соблюдения маршрутизации, сроков оказания медицинской помощи, объема обследования, соблюдения клинических рекомендаций, основных показателей онкологической службы в разрезе муниципальных образований</w:t>
            </w:r>
          </w:p>
        </w:tc>
        <w:tc>
          <w:tcPr>
            <w:tcW w:w="1474" w:type="dxa"/>
            <w:shd w:val="clear" w:color="auto" w:fill="auto"/>
          </w:tcPr>
          <w:p w:rsidR="006A784B" w:rsidRPr="000F252A" w:rsidRDefault="006A784B" w:rsidP="006A784B">
            <w:pPr>
              <w:jc w:val="center"/>
            </w:pPr>
            <w:r w:rsidRPr="000F252A">
              <w:t>09.01.2026</w:t>
            </w:r>
          </w:p>
        </w:tc>
        <w:tc>
          <w:tcPr>
            <w:tcW w:w="1418" w:type="dxa"/>
            <w:shd w:val="clear" w:color="auto" w:fill="auto"/>
          </w:tcPr>
          <w:p w:rsidR="006A784B" w:rsidRPr="000F252A" w:rsidRDefault="006A784B" w:rsidP="006A784B">
            <w:pPr>
              <w:jc w:val="center"/>
            </w:pPr>
            <w:r w:rsidRPr="000F252A">
              <w:t>31.12.2030</w:t>
            </w:r>
          </w:p>
        </w:tc>
        <w:tc>
          <w:tcPr>
            <w:tcW w:w="3912" w:type="dxa"/>
            <w:shd w:val="clear" w:color="auto" w:fill="auto"/>
          </w:tcPr>
          <w:p w:rsidR="006A784B" w:rsidRPr="000F252A" w:rsidRDefault="006A784B" w:rsidP="006A784B">
            <w:pPr>
              <w:jc w:val="both"/>
            </w:pPr>
            <w:r w:rsidRPr="000F252A">
              <w:t xml:space="preserve">главный врач ГАУЗ </w:t>
            </w:r>
            <w:r w:rsidRPr="000F252A">
              <w:rPr>
                <w:rFonts w:eastAsia="Arial"/>
              </w:rPr>
              <w:t>«РКОД МЗ РТ им.проф.М.З.Сигала»</w:t>
            </w:r>
            <w:r w:rsidRPr="000F252A">
              <w:t xml:space="preserve"> М.Ф.Мухамадеев, главный внештатный специалист-онколог Министерства здравоохранения Республики Татарстан Э.В.Нагуманов, руководители медицинских организаций Республики Татарстан</w:t>
            </w:r>
          </w:p>
        </w:tc>
        <w:tc>
          <w:tcPr>
            <w:tcW w:w="3969" w:type="dxa"/>
            <w:shd w:val="clear" w:color="auto" w:fill="auto"/>
          </w:tcPr>
          <w:p w:rsidR="006A784B" w:rsidRPr="000F252A" w:rsidRDefault="006A784B" w:rsidP="006A784B">
            <w:pPr>
              <w:jc w:val="both"/>
            </w:pPr>
            <w:r w:rsidRPr="000F252A">
              <w:t>проведение не менее 5 совещаний и вебинаров ежегодно</w:t>
            </w:r>
          </w:p>
        </w:tc>
      </w:tr>
      <w:tr w:rsidR="006A784B" w:rsidRPr="009D3B11" w:rsidTr="00AC795F">
        <w:trPr>
          <w:trHeight w:val="20"/>
        </w:trPr>
        <w:tc>
          <w:tcPr>
            <w:tcW w:w="704" w:type="dxa"/>
            <w:shd w:val="clear" w:color="auto" w:fill="auto"/>
          </w:tcPr>
          <w:p w:rsidR="006A784B" w:rsidRPr="000F252A" w:rsidRDefault="006A784B" w:rsidP="006A784B">
            <w:pPr>
              <w:jc w:val="center"/>
            </w:pPr>
            <w:r w:rsidRPr="000F252A">
              <w:t>7.14.</w:t>
            </w:r>
          </w:p>
        </w:tc>
        <w:tc>
          <w:tcPr>
            <w:tcW w:w="3686" w:type="dxa"/>
            <w:shd w:val="clear" w:color="auto" w:fill="auto"/>
          </w:tcPr>
          <w:p w:rsidR="006A784B" w:rsidRPr="000F252A" w:rsidRDefault="006A784B" w:rsidP="006A784B">
            <w:pPr>
              <w:jc w:val="both"/>
            </w:pPr>
            <w:r w:rsidRPr="000F252A">
              <w:t xml:space="preserve">Функционирование системы внутреннего контроля качества оказания медицинскими организациями медицинской помощи пациентам с онкологическими заболеваниями в соответствии с приказом Министерства здравоохранения </w:t>
            </w:r>
            <w:r w:rsidRPr="000F252A">
              <w:rPr>
                <w:shd w:val="clear" w:color="auto" w:fill="FFFFFF"/>
              </w:rPr>
              <w:t xml:space="preserve">Российской Федерации </w:t>
            </w:r>
            <w:r w:rsidRPr="000F252A">
              <w:t xml:space="preserve">от 31 июля 2020 г. № 787н «Об утверждении Порядка организации и проведения ведомственного контроля качества и безопасности медицинской деятельности», локальными </w:t>
            </w:r>
            <w:r w:rsidRPr="000F252A">
              <w:rPr>
                <w:shd w:val="clear" w:color="auto" w:fill="FFFFFF"/>
              </w:rPr>
              <w:t>нормативными правовыми актами</w:t>
            </w:r>
          </w:p>
        </w:tc>
        <w:tc>
          <w:tcPr>
            <w:tcW w:w="1474" w:type="dxa"/>
            <w:shd w:val="clear" w:color="auto" w:fill="auto"/>
          </w:tcPr>
          <w:p w:rsidR="006A784B" w:rsidRPr="000F252A" w:rsidRDefault="006A784B" w:rsidP="006A784B">
            <w:pPr>
              <w:jc w:val="center"/>
            </w:pPr>
            <w:r w:rsidRPr="000F252A">
              <w:t>09.01.2026</w:t>
            </w:r>
          </w:p>
        </w:tc>
        <w:tc>
          <w:tcPr>
            <w:tcW w:w="1418" w:type="dxa"/>
            <w:shd w:val="clear" w:color="auto" w:fill="auto"/>
          </w:tcPr>
          <w:p w:rsidR="006A784B" w:rsidRPr="000F252A" w:rsidRDefault="006A784B" w:rsidP="006A784B">
            <w:pPr>
              <w:jc w:val="center"/>
            </w:pPr>
            <w:r w:rsidRPr="000F252A">
              <w:t>31.12.2030</w:t>
            </w:r>
          </w:p>
        </w:tc>
        <w:tc>
          <w:tcPr>
            <w:tcW w:w="3912" w:type="dxa"/>
            <w:shd w:val="clear" w:color="auto" w:fill="auto"/>
          </w:tcPr>
          <w:p w:rsidR="006A784B" w:rsidRPr="000F252A" w:rsidRDefault="006A784B" w:rsidP="006A784B">
            <w:pPr>
              <w:jc w:val="both"/>
            </w:pPr>
            <w:r w:rsidRPr="000F252A">
              <w:t>заместитель министра здравоохранения Республики Татарстан И.Р.Фатихов, руководители медицинских организаций Республики Татарстан</w:t>
            </w:r>
          </w:p>
        </w:tc>
        <w:tc>
          <w:tcPr>
            <w:tcW w:w="3969" w:type="dxa"/>
            <w:shd w:val="clear" w:color="auto" w:fill="auto"/>
          </w:tcPr>
          <w:p w:rsidR="006A784B" w:rsidRPr="000F252A" w:rsidRDefault="006A784B" w:rsidP="006A784B">
            <w:pPr>
              <w:jc w:val="both"/>
              <w:rPr>
                <w:color w:val="22272F"/>
                <w:sz w:val="23"/>
                <w:szCs w:val="23"/>
                <w:shd w:val="clear" w:color="auto" w:fill="FFFFFF"/>
              </w:rPr>
            </w:pPr>
            <w:r w:rsidRPr="000F252A">
              <w:t>ежемесячный контроль медицинской документации пациентов, мониторинг сроков догоспитального обследования и ожидания начала специализированного лечения пациентов, проведение по результатам работы рабочих совещаний, принятие управленческих решений комиссией по внутреннему контролю качества и безопасности медицинской деятельности</w:t>
            </w:r>
          </w:p>
        </w:tc>
      </w:tr>
      <w:tr w:rsidR="006A784B" w:rsidRPr="009D3B11" w:rsidTr="00AC795F">
        <w:trPr>
          <w:trHeight w:val="20"/>
        </w:trPr>
        <w:tc>
          <w:tcPr>
            <w:tcW w:w="704" w:type="dxa"/>
            <w:shd w:val="clear" w:color="auto" w:fill="auto"/>
          </w:tcPr>
          <w:p w:rsidR="006A784B" w:rsidRPr="000F252A" w:rsidRDefault="006A784B" w:rsidP="006A784B">
            <w:pPr>
              <w:jc w:val="center"/>
            </w:pPr>
            <w:r w:rsidRPr="000F252A">
              <w:t>7.15.</w:t>
            </w:r>
          </w:p>
        </w:tc>
        <w:tc>
          <w:tcPr>
            <w:tcW w:w="3686" w:type="dxa"/>
            <w:shd w:val="clear" w:color="auto" w:fill="auto"/>
          </w:tcPr>
          <w:p w:rsidR="006A784B" w:rsidRPr="000F252A" w:rsidRDefault="006A784B" w:rsidP="006A784B">
            <w:pPr>
              <w:jc w:val="both"/>
            </w:pPr>
            <w:r w:rsidRPr="000F252A">
              <w:t xml:space="preserve">Функционирование системы внутреннего контроля качества при проведении медицинскими организациями диспансеризации определенных групп взрослого населения в рамках приказа Министерства здравоохранения Республики Татарстан от 29.03.2024 № 736 </w:t>
            </w:r>
            <w:r w:rsidRPr="000F252A">
              <w:br/>
              <w:t>«О внутреннем контроле качества проведения диспансеризации определенных групп взрослого населения»</w:t>
            </w:r>
          </w:p>
        </w:tc>
        <w:tc>
          <w:tcPr>
            <w:tcW w:w="1474" w:type="dxa"/>
            <w:shd w:val="clear" w:color="auto" w:fill="auto"/>
          </w:tcPr>
          <w:p w:rsidR="006A784B" w:rsidRPr="000F252A" w:rsidRDefault="006A784B" w:rsidP="006A784B">
            <w:pPr>
              <w:jc w:val="center"/>
            </w:pPr>
            <w:r w:rsidRPr="000F252A">
              <w:t>09.01.2026</w:t>
            </w:r>
          </w:p>
        </w:tc>
        <w:tc>
          <w:tcPr>
            <w:tcW w:w="1418" w:type="dxa"/>
            <w:shd w:val="clear" w:color="auto" w:fill="auto"/>
          </w:tcPr>
          <w:p w:rsidR="006A784B" w:rsidRPr="000F252A" w:rsidRDefault="006A784B" w:rsidP="006A784B">
            <w:pPr>
              <w:jc w:val="center"/>
            </w:pPr>
            <w:r w:rsidRPr="000F252A">
              <w:t>31.12.2030</w:t>
            </w:r>
          </w:p>
        </w:tc>
        <w:tc>
          <w:tcPr>
            <w:tcW w:w="3912" w:type="dxa"/>
            <w:shd w:val="clear" w:color="auto" w:fill="auto"/>
          </w:tcPr>
          <w:p w:rsidR="006A784B" w:rsidRPr="000F252A" w:rsidRDefault="006A784B" w:rsidP="006A784B">
            <w:pPr>
              <w:jc w:val="both"/>
            </w:pPr>
            <w:r w:rsidRPr="000F252A">
              <w:t>заместитель министра здравоохранения Республики Татарстан И.Р.Фатихов</w:t>
            </w:r>
          </w:p>
        </w:tc>
        <w:tc>
          <w:tcPr>
            <w:tcW w:w="3969" w:type="dxa"/>
            <w:shd w:val="clear" w:color="auto" w:fill="auto"/>
          </w:tcPr>
          <w:p w:rsidR="006A784B" w:rsidRPr="000F252A" w:rsidRDefault="006A784B" w:rsidP="006A784B">
            <w:pPr>
              <w:jc w:val="both"/>
            </w:pPr>
            <w:r w:rsidRPr="000F252A">
              <w:rPr>
                <w:color w:val="0D0D0D" w:themeColor="text1" w:themeTint="F2"/>
                <w:sz w:val="23"/>
                <w:szCs w:val="23"/>
                <w:shd w:val="clear" w:color="auto" w:fill="FFFFFF"/>
              </w:rPr>
              <w:t xml:space="preserve">еженедельный анализ сводной информации о результатах оценки организации и соблюдения порядков проведения </w:t>
            </w:r>
            <w:r w:rsidRPr="000F252A">
              <w:rPr>
                <w:color w:val="0D0D0D" w:themeColor="text1" w:themeTint="F2"/>
              </w:rPr>
              <w:t>диспансеризации определенных групп взрослого населения, принятие управленческих решений</w:t>
            </w:r>
          </w:p>
        </w:tc>
      </w:tr>
      <w:tr w:rsidR="006A784B" w:rsidRPr="009D3B11" w:rsidTr="00AC795F">
        <w:trPr>
          <w:trHeight w:val="20"/>
        </w:trPr>
        <w:tc>
          <w:tcPr>
            <w:tcW w:w="704" w:type="dxa"/>
            <w:shd w:val="clear" w:color="auto" w:fill="auto"/>
          </w:tcPr>
          <w:p w:rsidR="006A784B" w:rsidRPr="000F252A" w:rsidRDefault="006A784B" w:rsidP="006A784B">
            <w:pPr>
              <w:spacing w:line="230" w:lineRule="auto"/>
              <w:jc w:val="center"/>
            </w:pPr>
            <w:r w:rsidRPr="000F252A">
              <w:t>7.16.</w:t>
            </w:r>
          </w:p>
        </w:tc>
        <w:tc>
          <w:tcPr>
            <w:tcW w:w="3686" w:type="dxa"/>
            <w:shd w:val="clear" w:color="auto" w:fill="auto"/>
          </w:tcPr>
          <w:p w:rsidR="006A784B" w:rsidRPr="000F252A" w:rsidRDefault="006A784B" w:rsidP="006A784B">
            <w:pPr>
              <w:spacing w:line="230" w:lineRule="auto"/>
              <w:jc w:val="both"/>
            </w:pPr>
            <w:r w:rsidRPr="000F252A">
              <w:t xml:space="preserve">Функционирование системы ведомственного контроля качества оказания медицинскими организациями медицинской помощи пациентам с онкологическими заболеваниями в рамках приказа Министерства здравоохранения Республики Татарстан от 30.12.2020 </w:t>
            </w:r>
            <w:r w:rsidRPr="000F252A">
              <w:br/>
              <w:t>№ 2436 «Об организации и проведении ведомственного контроля качества и безопасности медицинской деятельности»</w:t>
            </w:r>
          </w:p>
        </w:tc>
        <w:tc>
          <w:tcPr>
            <w:tcW w:w="1474" w:type="dxa"/>
            <w:shd w:val="clear" w:color="auto" w:fill="auto"/>
          </w:tcPr>
          <w:p w:rsidR="006A784B" w:rsidRPr="000F252A" w:rsidRDefault="006A784B" w:rsidP="006A784B">
            <w:pPr>
              <w:spacing w:line="230" w:lineRule="auto"/>
              <w:jc w:val="center"/>
            </w:pPr>
            <w:r w:rsidRPr="000F252A">
              <w:t>09.01.2026</w:t>
            </w:r>
          </w:p>
        </w:tc>
        <w:tc>
          <w:tcPr>
            <w:tcW w:w="1418" w:type="dxa"/>
            <w:shd w:val="clear" w:color="auto" w:fill="auto"/>
          </w:tcPr>
          <w:p w:rsidR="006A784B" w:rsidRPr="000F252A" w:rsidRDefault="006A784B" w:rsidP="006A784B">
            <w:pPr>
              <w:spacing w:line="230" w:lineRule="auto"/>
              <w:jc w:val="center"/>
            </w:pPr>
            <w:r w:rsidRPr="000F252A">
              <w:t>31.12.2030</w:t>
            </w:r>
          </w:p>
        </w:tc>
        <w:tc>
          <w:tcPr>
            <w:tcW w:w="3912" w:type="dxa"/>
            <w:shd w:val="clear" w:color="auto" w:fill="auto"/>
          </w:tcPr>
          <w:p w:rsidR="006A784B" w:rsidRPr="000F252A" w:rsidRDefault="006A784B" w:rsidP="006A784B">
            <w:pPr>
              <w:spacing w:line="230" w:lineRule="auto"/>
              <w:jc w:val="both"/>
            </w:pPr>
            <w:r w:rsidRPr="000F252A">
              <w:t>заместитель министра здравоохранения Республики Татарстан И.Р.Фатихов</w:t>
            </w:r>
          </w:p>
        </w:tc>
        <w:tc>
          <w:tcPr>
            <w:tcW w:w="3969" w:type="dxa"/>
            <w:shd w:val="clear" w:color="auto" w:fill="auto"/>
          </w:tcPr>
          <w:p w:rsidR="006A784B" w:rsidRPr="000F252A" w:rsidRDefault="006A784B" w:rsidP="006A784B">
            <w:pPr>
              <w:spacing w:line="230" w:lineRule="auto"/>
              <w:jc w:val="both"/>
            </w:pPr>
            <w:r w:rsidRPr="000F252A">
              <w:rPr>
                <w:color w:val="0D0D0D" w:themeColor="text1" w:themeTint="F2"/>
              </w:rPr>
              <w:t xml:space="preserve">ежегодно </w:t>
            </w:r>
            <w:r w:rsidRPr="000F252A">
              <w:rPr>
                <w:color w:val="0D0D0D" w:themeColor="text1" w:themeTint="F2"/>
                <w:sz w:val="23"/>
                <w:szCs w:val="23"/>
                <w:shd w:val="clear" w:color="auto" w:fill="FFFFFF"/>
              </w:rPr>
              <w:t>проведение плановых и внеплановых документарных и (или) выездных проверок, а также сбора и анализа показателей деятельности подведомственных организаций и предоставляемой ими статистической отчетности, в том числе характеризующей качество и безопасность медицинской деятельности, в установленном порядке</w:t>
            </w:r>
          </w:p>
        </w:tc>
      </w:tr>
      <w:tr w:rsidR="006A784B" w:rsidRPr="009D3B11" w:rsidTr="00AC795F">
        <w:trPr>
          <w:trHeight w:val="20"/>
        </w:trPr>
        <w:tc>
          <w:tcPr>
            <w:tcW w:w="704" w:type="dxa"/>
            <w:shd w:val="clear" w:color="auto" w:fill="auto"/>
          </w:tcPr>
          <w:p w:rsidR="006A784B" w:rsidRPr="000F252A" w:rsidRDefault="006A784B" w:rsidP="006A784B">
            <w:pPr>
              <w:spacing w:line="230" w:lineRule="auto"/>
              <w:jc w:val="center"/>
            </w:pPr>
            <w:r w:rsidRPr="000F252A">
              <w:t>7.17.</w:t>
            </w:r>
          </w:p>
        </w:tc>
        <w:tc>
          <w:tcPr>
            <w:tcW w:w="3686" w:type="dxa"/>
            <w:shd w:val="clear" w:color="auto" w:fill="auto"/>
          </w:tcPr>
          <w:p w:rsidR="006A784B" w:rsidRPr="000F252A" w:rsidRDefault="006A784B" w:rsidP="006A784B">
            <w:pPr>
              <w:spacing w:line="230" w:lineRule="auto"/>
              <w:jc w:val="both"/>
            </w:pPr>
            <w:r w:rsidRPr="000F252A">
              <w:t xml:space="preserve">Проведение на базе ГАУЗ </w:t>
            </w:r>
            <w:r w:rsidRPr="000F252A">
              <w:rPr>
                <w:rFonts w:eastAsia="Arial"/>
              </w:rPr>
              <w:t>«РКОД МЗ РТ им.проф.М.З.Сигала»</w:t>
            </w:r>
            <w:r w:rsidR="00224BCD">
              <w:t xml:space="preserve"> </w:t>
            </w:r>
            <w:r w:rsidRPr="000F252A">
              <w:t>республиканского обучающего семинара для среднего медицинского персонала смотровых кабинетов и врачей медицинских организаций, оказывающих первичную медико-санитарную помощь, по вопросам качества проведения обследований на выявление визуальных локализаций рака</w:t>
            </w:r>
          </w:p>
        </w:tc>
        <w:tc>
          <w:tcPr>
            <w:tcW w:w="1474" w:type="dxa"/>
            <w:shd w:val="clear" w:color="auto" w:fill="auto"/>
          </w:tcPr>
          <w:p w:rsidR="006A784B" w:rsidRPr="000F252A" w:rsidRDefault="006A784B" w:rsidP="006A784B">
            <w:pPr>
              <w:spacing w:line="230" w:lineRule="auto"/>
              <w:jc w:val="center"/>
            </w:pPr>
            <w:r w:rsidRPr="000F252A">
              <w:t>09.01.2026</w:t>
            </w:r>
          </w:p>
        </w:tc>
        <w:tc>
          <w:tcPr>
            <w:tcW w:w="1418" w:type="dxa"/>
            <w:shd w:val="clear" w:color="auto" w:fill="auto"/>
          </w:tcPr>
          <w:p w:rsidR="006A784B" w:rsidRPr="000F252A" w:rsidRDefault="006A784B" w:rsidP="006A784B">
            <w:pPr>
              <w:spacing w:line="230" w:lineRule="auto"/>
              <w:jc w:val="center"/>
            </w:pPr>
            <w:r w:rsidRPr="000F252A">
              <w:t>31.12.2030</w:t>
            </w:r>
          </w:p>
        </w:tc>
        <w:tc>
          <w:tcPr>
            <w:tcW w:w="3912" w:type="dxa"/>
            <w:shd w:val="clear" w:color="auto" w:fill="auto"/>
          </w:tcPr>
          <w:p w:rsidR="006A784B" w:rsidRPr="000F252A" w:rsidRDefault="006A784B" w:rsidP="006A784B">
            <w:pPr>
              <w:spacing w:line="230" w:lineRule="auto"/>
              <w:jc w:val="both"/>
            </w:pPr>
            <w:r w:rsidRPr="000F252A">
              <w:t xml:space="preserve">главный врач ГАУЗ </w:t>
            </w:r>
            <w:r w:rsidRPr="000F252A">
              <w:rPr>
                <w:rFonts w:eastAsia="Arial"/>
              </w:rPr>
              <w:t>«РКОД МЗ РТ им.проф.М.З.Сигала»</w:t>
            </w:r>
            <w:r w:rsidRPr="000F252A">
              <w:t xml:space="preserve"> М.Ф.Мухамадеев, руководители медицинских организаций Республики Татарстан</w:t>
            </w:r>
          </w:p>
        </w:tc>
        <w:tc>
          <w:tcPr>
            <w:tcW w:w="3969" w:type="dxa"/>
            <w:shd w:val="clear" w:color="auto" w:fill="auto"/>
          </w:tcPr>
          <w:p w:rsidR="006A784B" w:rsidRPr="000F252A" w:rsidRDefault="006A784B" w:rsidP="006A784B">
            <w:pPr>
              <w:spacing w:line="230" w:lineRule="auto"/>
              <w:jc w:val="both"/>
            </w:pPr>
            <w:r w:rsidRPr="000F252A">
              <w:t xml:space="preserve">ежегодное проведение 1 республиканского обучающего семинара </w:t>
            </w:r>
          </w:p>
          <w:p w:rsidR="006A784B" w:rsidRPr="000F252A" w:rsidRDefault="006A784B" w:rsidP="006A784B">
            <w:pPr>
              <w:spacing w:line="230" w:lineRule="auto"/>
              <w:jc w:val="both"/>
            </w:pPr>
          </w:p>
        </w:tc>
      </w:tr>
      <w:tr w:rsidR="006A784B" w:rsidRPr="009D3B11" w:rsidTr="00AC795F">
        <w:trPr>
          <w:trHeight w:val="20"/>
        </w:trPr>
        <w:tc>
          <w:tcPr>
            <w:tcW w:w="704" w:type="dxa"/>
            <w:shd w:val="clear" w:color="auto" w:fill="auto"/>
            <w:noWrap/>
          </w:tcPr>
          <w:p w:rsidR="006A784B" w:rsidRPr="000F252A" w:rsidRDefault="006A784B" w:rsidP="006A784B">
            <w:pPr>
              <w:spacing w:line="230" w:lineRule="auto"/>
              <w:jc w:val="center"/>
            </w:pPr>
            <w:r w:rsidRPr="000F252A">
              <w:t>7.18.</w:t>
            </w:r>
          </w:p>
        </w:tc>
        <w:tc>
          <w:tcPr>
            <w:tcW w:w="3686" w:type="dxa"/>
            <w:shd w:val="clear" w:color="auto" w:fill="auto"/>
          </w:tcPr>
          <w:p w:rsidR="006A784B" w:rsidRPr="000F252A" w:rsidRDefault="006A784B" w:rsidP="006A784B">
            <w:pPr>
              <w:autoSpaceDE/>
              <w:autoSpaceDN/>
              <w:adjustRightInd/>
              <w:spacing w:line="230" w:lineRule="auto"/>
              <w:jc w:val="both"/>
            </w:pPr>
            <w:r w:rsidRPr="000F252A">
              <w:t>Взаимодействие с федеральным государственным бюджетным учреждением «Национальный ме-</w:t>
            </w:r>
            <w:r w:rsidRPr="000F252A">
              <w:br/>
              <w:t xml:space="preserve">дицинский исследовательский центр радиологии» Министерства здравоохранения Российской Федерации – реализация мероприятий по совершенствованию оказания медицинской помощи по профилю «онкология» в соответствии с рекомендациями по итогам ежегодного выезда группы экспертов в Республику Татарстан </w:t>
            </w:r>
          </w:p>
        </w:tc>
        <w:tc>
          <w:tcPr>
            <w:tcW w:w="1474" w:type="dxa"/>
            <w:shd w:val="clear" w:color="auto" w:fill="auto"/>
          </w:tcPr>
          <w:p w:rsidR="006A784B" w:rsidRPr="000F252A" w:rsidRDefault="006A784B" w:rsidP="006A784B">
            <w:pPr>
              <w:spacing w:line="230" w:lineRule="auto"/>
              <w:jc w:val="center"/>
            </w:pPr>
            <w:r w:rsidRPr="000F252A">
              <w:t>01.08.2026</w:t>
            </w:r>
          </w:p>
        </w:tc>
        <w:tc>
          <w:tcPr>
            <w:tcW w:w="1418" w:type="dxa"/>
            <w:shd w:val="clear" w:color="auto" w:fill="auto"/>
          </w:tcPr>
          <w:p w:rsidR="006A784B" w:rsidRPr="000F252A" w:rsidRDefault="006A784B" w:rsidP="006A784B">
            <w:pPr>
              <w:spacing w:line="230" w:lineRule="auto"/>
              <w:jc w:val="center"/>
            </w:pPr>
            <w:r w:rsidRPr="000F252A">
              <w:t>31.12.2030</w:t>
            </w:r>
          </w:p>
        </w:tc>
        <w:tc>
          <w:tcPr>
            <w:tcW w:w="3912" w:type="dxa"/>
            <w:shd w:val="clear" w:color="auto" w:fill="auto"/>
          </w:tcPr>
          <w:p w:rsidR="006A784B" w:rsidRPr="000F252A" w:rsidRDefault="000E772A" w:rsidP="006A784B">
            <w:pPr>
              <w:spacing w:line="230" w:lineRule="auto"/>
              <w:jc w:val="both"/>
            </w:pPr>
            <w:r>
              <w:t xml:space="preserve">министр здравоохранения </w:t>
            </w:r>
            <w:r w:rsidR="006A784B" w:rsidRPr="000F252A">
              <w:t xml:space="preserve">Республики Татарстан А.Р.Абашев, главный внештатный специалист-онколог Министерства здравоохранения Республики Татарстан Э.В.Нагуманов, руководители медицинских организаций Республики Татарстан </w:t>
            </w:r>
          </w:p>
        </w:tc>
        <w:tc>
          <w:tcPr>
            <w:tcW w:w="3969" w:type="dxa"/>
            <w:shd w:val="clear" w:color="auto" w:fill="auto"/>
          </w:tcPr>
          <w:p w:rsidR="006A784B" w:rsidRPr="000F252A" w:rsidRDefault="006A784B" w:rsidP="006A784B">
            <w:pPr>
              <w:spacing w:line="230" w:lineRule="auto"/>
              <w:jc w:val="both"/>
            </w:pPr>
            <w:r w:rsidRPr="000F252A">
              <w:t>ежегодно реализованы мероприятия по совершенствованию оказания медицинской помощи</w:t>
            </w:r>
          </w:p>
        </w:tc>
      </w:tr>
      <w:tr w:rsidR="006A784B" w:rsidRPr="009D3B11" w:rsidTr="00AC795F">
        <w:trPr>
          <w:trHeight w:val="20"/>
        </w:trPr>
        <w:tc>
          <w:tcPr>
            <w:tcW w:w="704" w:type="dxa"/>
            <w:shd w:val="clear" w:color="auto" w:fill="auto"/>
            <w:noWrap/>
            <w:hideMark/>
          </w:tcPr>
          <w:p w:rsidR="006A784B" w:rsidRPr="000F252A" w:rsidRDefault="006A784B" w:rsidP="006A784B">
            <w:pPr>
              <w:jc w:val="center"/>
            </w:pPr>
            <w:r w:rsidRPr="000F252A">
              <w:t>7.19.</w:t>
            </w:r>
          </w:p>
        </w:tc>
        <w:tc>
          <w:tcPr>
            <w:tcW w:w="3686" w:type="dxa"/>
            <w:shd w:val="clear" w:color="auto" w:fill="auto"/>
            <w:hideMark/>
          </w:tcPr>
          <w:p w:rsidR="006A784B" w:rsidRPr="000F252A" w:rsidRDefault="006A784B" w:rsidP="006A784B">
            <w:pPr>
              <w:jc w:val="both"/>
            </w:pPr>
            <w:r w:rsidRPr="000F252A">
              <w:t>Проведение телемедицинских консультаций с федеральными телемедицинскими консультативными центрами в формате «врач – врач»</w:t>
            </w:r>
          </w:p>
          <w:p w:rsidR="006A784B" w:rsidRPr="000F252A" w:rsidRDefault="006A784B" w:rsidP="006A784B">
            <w:pPr>
              <w:jc w:val="both"/>
            </w:pPr>
          </w:p>
        </w:tc>
        <w:tc>
          <w:tcPr>
            <w:tcW w:w="1474" w:type="dxa"/>
            <w:shd w:val="clear" w:color="auto" w:fill="auto"/>
            <w:hideMark/>
          </w:tcPr>
          <w:p w:rsidR="006A784B" w:rsidRPr="000F252A" w:rsidRDefault="006A784B" w:rsidP="006A784B">
            <w:pPr>
              <w:jc w:val="center"/>
            </w:pPr>
            <w:r w:rsidRPr="000F252A">
              <w:t>09.01.2026</w:t>
            </w:r>
          </w:p>
        </w:tc>
        <w:tc>
          <w:tcPr>
            <w:tcW w:w="1418" w:type="dxa"/>
            <w:shd w:val="clear" w:color="auto" w:fill="auto"/>
            <w:hideMark/>
          </w:tcPr>
          <w:p w:rsidR="006A784B" w:rsidRPr="000F252A" w:rsidRDefault="006A784B" w:rsidP="006A784B">
            <w:pPr>
              <w:jc w:val="center"/>
            </w:pPr>
            <w:r w:rsidRPr="000F252A">
              <w:t>31.12.2030</w:t>
            </w:r>
          </w:p>
        </w:tc>
        <w:tc>
          <w:tcPr>
            <w:tcW w:w="3912" w:type="dxa"/>
            <w:shd w:val="clear" w:color="auto" w:fill="auto"/>
            <w:hideMark/>
          </w:tcPr>
          <w:p w:rsidR="006A784B" w:rsidRPr="000F252A" w:rsidRDefault="006A784B" w:rsidP="006A784B">
            <w:pPr>
              <w:jc w:val="both"/>
            </w:pPr>
            <w:r w:rsidRPr="000F252A">
              <w:t xml:space="preserve">главный врач ГАУЗ </w:t>
            </w:r>
            <w:r w:rsidRPr="000F252A">
              <w:rPr>
                <w:rFonts w:eastAsia="Arial"/>
              </w:rPr>
              <w:t>«РКОД МЗ РТ им.проф.М.З.Сигала»</w:t>
            </w:r>
            <w:r w:rsidRPr="000F252A">
              <w:t xml:space="preserve"> М.Ф.Мухамадеев, главный внештатный специалист-онколог Министерства здравоохранения Республики Татарстан Э.В.Нагуманов, руководители медицинских организаций Республики Татарстан</w:t>
            </w:r>
          </w:p>
        </w:tc>
        <w:tc>
          <w:tcPr>
            <w:tcW w:w="3969" w:type="dxa"/>
            <w:shd w:val="clear" w:color="auto" w:fill="auto"/>
            <w:hideMark/>
          </w:tcPr>
          <w:p w:rsidR="006A784B" w:rsidRPr="000F252A" w:rsidRDefault="006A784B" w:rsidP="006A784B">
            <w:pPr>
              <w:jc w:val="both"/>
            </w:pPr>
            <w:r w:rsidRPr="000F252A">
              <w:t>проведение не менее 550 консультаций ежегодно</w:t>
            </w:r>
          </w:p>
        </w:tc>
      </w:tr>
      <w:tr w:rsidR="006A784B" w:rsidRPr="009D3B11" w:rsidTr="00AC795F">
        <w:trPr>
          <w:trHeight w:val="20"/>
        </w:trPr>
        <w:tc>
          <w:tcPr>
            <w:tcW w:w="704" w:type="dxa"/>
            <w:shd w:val="clear" w:color="auto" w:fill="auto"/>
            <w:noWrap/>
            <w:hideMark/>
          </w:tcPr>
          <w:p w:rsidR="006A784B" w:rsidRPr="000F252A" w:rsidRDefault="006A784B" w:rsidP="006A784B">
            <w:pPr>
              <w:jc w:val="center"/>
            </w:pPr>
            <w:r w:rsidRPr="000F252A">
              <w:t>7.20.</w:t>
            </w:r>
          </w:p>
        </w:tc>
        <w:tc>
          <w:tcPr>
            <w:tcW w:w="3686" w:type="dxa"/>
            <w:shd w:val="clear" w:color="auto" w:fill="auto"/>
            <w:hideMark/>
          </w:tcPr>
          <w:p w:rsidR="006A784B" w:rsidRPr="000F252A" w:rsidRDefault="006A784B" w:rsidP="006A784B">
            <w:pPr>
              <w:jc w:val="both"/>
            </w:pPr>
            <w:r w:rsidRPr="000F252A">
              <w:t>Проведение врачами-онколога-</w:t>
            </w:r>
            <w:r w:rsidRPr="000F252A">
              <w:br/>
              <w:t xml:space="preserve">ми ГАУЗ </w:t>
            </w:r>
            <w:r w:rsidRPr="000F252A">
              <w:rPr>
                <w:rFonts w:eastAsia="Arial"/>
              </w:rPr>
              <w:t>«РКОД МЗ РТ им.проф.М.З.Сигала»</w:t>
            </w:r>
            <w:r w:rsidR="000E772A">
              <w:t xml:space="preserve"> </w:t>
            </w:r>
            <w:r w:rsidRPr="000F252A">
              <w:t xml:space="preserve">первичных телемедицинских консультаций </w:t>
            </w:r>
            <w:r w:rsidRPr="000F252A">
              <w:rPr>
                <w:color w:val="000000"/>
              </w:rPr>
              <w:t xml:space="preserve">пациентам с подозрением на онкологическое заболевание в формате «врач – врач» (с </w:t>
            </w:r>
            <w:r w:rsidRPr="000F252A">
              <w:t xml:space="preserve">врачами-онкологами первичных онкологических кабинетов / центров амбулаторной онкологической помощи) с целью сокращения сроков дообследования в условиях ГАУЗ </w:t>
            </w:r>
            <w:r w:rsidRPr="000F252A">
              <w:rPr>
                <w:rFonts w:eastAsia="Arial"/>
              </w:rPr>
              <w:t>«РКОД МЗ РТ им.проф.М.З.Сигала»</w:t>
            </w:r>
          </w:p>
        </w:tc>
        <w:tc>
          <w:tcPr>
            <w:tcW w:w="1474" w:type="dxa"/>
            <w:shd w:val="clear" w:color="auto" w:fill="auto"/>
            <w:hideMark/>
          </w:tcPr>
          <w:p w:rsidR="006A784B" w:rsidRPr="000F252A" w:rsidRDefault="006A784B" w:rsidP="006A784B">
            <w:pPr>
              <w:jc w:val="center"/>
            </w:pPr>
            <w:r w:rsidRPr="000F252A">
              <w:t>01.04.2026</w:t>
            </w:r>
          </w:p>
        </w:tc>
        <w:tc>
          <w:tcPr>
            <w:tcW w:w="1418" w:type="dxa"/>
            <w:shd w:val="clear" w:color="auto" w:fill="auto"/>
            <w:hideMark/>
          </w:tcPr>
          <w:p w:rsidR="006A784B" w:rsidRPr="000F252A" w:rsidRDefault="006A784B" w:rsidP="006A784B">
            <w:pPr>
              <w:jc w:val="center"/>
            </w:pPr>
            <w:r w:rsidRPr="000F252A">
              <w:t>31.12.2030</w:t>
            </w:r>
          </w:p>
        </w:tc>
        <w:tc>
          <w:tcPr>
            <w:tcW w:w="3912" w:type="dxa"/>
            <w:shd w:val="clear" w:color="auto" w:fill="auto"/>
            <w:hideMark/>
          </w:tcPr>
          <w:p w:rsidR="006A784B" w:rsidRPr="000F252A" w:rsidRDefault="006A784B" w:rsidP="006A784B">
            <w:pPr>
              <w:jc w:val="both"/>
            </w:pPr>
            <w:r w:rsidRPr="000F252A">
              <w:t xml:space="preserve">главный врач ГАУЗ </w:t>
            </w:r>
            <w:r w:rsidRPr="000F252A">
              <w:rPr>
                <w:rFonts w:eastAsia="Arial"/>
              </w:rPr>
              <w:t>«РКОД МЗ</w:t>
            </w:r>
            <w:r w:rsidRPr="000F252A">
              <w:rPr>
                <w:rFonts w:eastAsia="Arial"/>
              </w:rPr>
              <w:br/>
              <w:t xml:space="preserve"> РТ им.проф.М.З.Сигала»</w:t>
            </w:r>
            <w:r w:rsidRPr="000F252A">
              <w:t xml:space="preserve"> М.Ф.Мухамадеев, главный внештатный специалист-онколог Министерства здравоохранения Республики Татарстан Э.В.Нагуманов, руководители медицинских организаций Республики Татарстан</w:t>
            </w:r>
          </w:p>
        </w:tc>
        <w:tc>
          <w:tcPr>
            <w:tcW w:w="3969" w:type="dxa"/>
            <w:shd w:val="clear" w:color="auto" w:fill="auto"/>
            <w:hideMark/>
          </w:tcPr>
          <w:p w:rsidR="006A784B" w:rsidRPr="000F252A" w:rsidRDefault="006A784B" w:rsidP="006A784B">
            <w:pPr>
              <w:jc w:val="both"/>
            </w:pPr>
            <w:r w:rsidRPr="000F252A">
              <w:t>проведение не менее 8 000 консультаций ежегодно</w:t>
            </w:r>
          </w:p>
        </w:tc>
      </w:tr>
      <w:tr w:rsidR="006A784B" w:rsidRPr="009D3B11" w:rsidTr="00AC795F">
        <w:trPr>
          <w:trHeight w:val="20"/>
        </w:trPr>
        <w:tc>
          <w:tcPr>
            <w:tcW w:w="704" w:type="dxa"/>
            <w:shd w:val="clear" w:color="auto" w:fill="auto"/>
          </w:tcPr>
          <w:p w:rsidR="006A784B" w:rsidRPr="000F252A" w:rsidRDefault="006A784B" w:rsidP="006A784B">
            <w:pPr>
              <w:jc w:val="center"/>
            </w:pPr>
            <w:r w:rsidRPr="000F252A">
              <w:t>7.21.</w:t>
            </w:r>
          </w:p>
        </w:tc>
        <w:tc>
          <w:tcPr>
            <w:tcW w:w="3686" w:type="dxa"/>
            <w:shd w:val="clear" w:color="auto" w:fill="auto"/>
          </w:tcPr>
          <w:p w:rsidR="006A784B" w:rsidRPr="000F252A" w:rsidRDefault="006A784B" w:rsidP="006A784B">
            <w:pPr>
              <w:jc w:val="both"/>
            </w:pPr>
            <w:r w:rsidRPr="000F252A">
              <w:t>Проведение анализа причин всех случаев смерти пациентов с запущенными формами ЗНО, граждан с посмертно установленным диагнозом ЗНО при участии главных внештатных специалистов с последующим принятием организационных и управленческих решений</w:t>
            </w:r>
          </w:p>
        </w:tc>
        <w:tc>
          <w:tcPr>
            <w:tcW w:w="1474" w:type="dxa"/>
            <w:shd w:val="clear" w:color="auto" w:fill="auto"/>
          </w:tcPr>
          <w:p w:rsidR="006A784B" w:rsidRPr="000F252A" w:rsidRDefault="006A784B" w:rsidP="006A784B">
            <w:pPr>
              <w:jc w:val="center"/>
            </w:pPr>
            <w:r w:rsidRPr="000F252A">
              <w:t>09.01.2026</w:t>
            </w:r>
          </w:p>
        </w:tc>
        <w:tc>
          <w:tcPr>
            <w:tcW w:w="1418" w:type="dxa"/>
            <w:shd w:val="clear" w:color="auto" w:fill="auto"/>
          </w:tcPr>
          <w:p w:rsidR="006A784B" w:rsidRPr="000F252A" w:rsidRDefault="006A784B" w:rsidP="006A784B">
            <w:pPr>
              <w:jc w:val="center"/>
            </w:pPr>
            <w:r w:rsidRPr="000F252A">
              <w:t>31.12.2030</w:t>
            </w:r>
          </w:p>
        </w:tc>
        <w:tc>
          <w:tcPr>
            <w:tcW w:w="3912" w:type="dxa"/>
            <w:shd w:val="clear" w:color="auto" w:fill="auto"/>
          </w:tcPr>
          <w:p w:rsidR="006A784B" w:rsidRPr="000F252A" w:rsidRDefault="000E772A" w:rsidP="006A784B">
            <w:pPr>
              <w:jc w:val="both"/>
            </w:pPr>
            <w:r>
              <w:t xml:space="preserve">министр здравоохранения </w:t>
            </w:r>
            <w:r w:rsidR="006A784B" w:rsidRPr="000F252A">
              <w:t xml:space="preserve">Республики Татарстан А.Р.Абашев, главный внештатный специалист-онколог Министерства здравоохранения Республики Татарстан Э.В.Нагуманов, руководители медицинских организаций Республики Татарстан </w:t>
            </w:r>
          </w:p>
        </w:tc>
        <w:tc>
          <w:tcPr>
            <w:tcW w:w="3969" w:type="dxa"/>
            <w:shd w:val="clear" w:color="auto" w:fill="auto"/>
          </w:tcPr>
          <w:p w:rsidR="006A784B" w:rsidRPr="000F252A" w:rsidRDefault="006A784B" w:rsidP="006A784B">
            <w:pPr>
              <w:jc w:val="both"/>
            </w:pPr>
            <w:r w:rsidRPr="000F252A">
              <w:t>аналитическая справка ежегодно</w:t>
            </w:r>
          </w:p>
        </w:tc>
      </w:tr>
      <w:tr w:rsidR="006A784B" w:rsidRPr="009D3B11" w:rsidTr="00AC795F">
        <w:trPr>
          <w:trHeight w:val="20"/>
        </w:trPr>
        <w:tc>
          <w:tcPr>
            <w:tcW w:w="704" w:type="dxa"/>
            <w:shd w:val="clear" w:color="auto" w:fill="auto"/>
          </w:tcPr>
          <w:p w:rsidR="006A784B" w:rsidRPr="000F252A" w:rsidRDefault="006A784B" w:rsidP="006A784B">
            <w:pPr>
              <w:jc w:val="center"/>
            </w:pPr>
            <w:r w:rsidRPr="000F252A">
              <w:t>7.22.</w:t>
            </w:r>
          </w:p>
        </w:tc>
        <w:tc>
          <w:tcPr>
            <w:tcW w:w="3686" w:type="dxa"/>
            <w:shd w:val="clear" w:color="auto" w:fill="auto"/>
          </w:tcPr>
          <w:p w:rsidR="006A784B" w:rsidRPr="000F252A" w:rsidRDefault="006A784B" w:rsidP="006A784B">
            <w:pPr>
              <w:jc w:val="both"/>
            </w:pPr>
            <w:r w:rsidRPr="000F252A">
              <w:t>Проведение патолого-анатомических конференций по изучению летальных исходов по поводу запущенности случаев выявленных злокачественных образований</w:t>
            </w:r>
          </w:p>
        </w:tc>
        <w:tc>
          <w:tcPr>
            <w:tcW w:w="1474" w:type="dxa"/>
            <w:shd w:val="clear" w:color="auto" w:fill="auto"/>
          </w:tcPr>
          <w:p w:rsidR="006A784B" w:rsidRPr="000F252A" w:rsidRDefault="006A784B" w:rsidP="006A784B">
            <w:pPr>
              <w:jc w:val="center"/>
            </w:pPr>
            <w:r w:rsidRPr="000F252A">
              <w:t>09.01.2026</w:t>
            </w:r>
          </w:p>
        </w:tc>
        <w:tc>
          <w:tcPr>
            <w:tcW w:w="1418" w:type="dxa"/>
            <w:shd w:val="clear" w:color="auto" w:fill="auto"/>
          </w:tcPr>
          <w:p w:rsidR="006A784B" w:rsidRPr="000F252A" w:rsidRDefault="006A784B" w:rsidP="006A784B">
            <w:pPr>
              <w:jc w:val="center"/>
            </w:pPr>
            <w:r w:rsidRPr="000F252A">
              <w:t>31.12.2030</w:t>
            </w:r>
          </w:p>
        </w:tc>
        <w:tc>
          <w:tcPr>
            <w:tcW w:w="3912" w:type="dxa"/>
            <w:shd w:val="clear" w:color="auto" w:fill="auto"/>
          </w:tcPr>
          <w:p w:rsidR="006A784B" w:rsidRPr="000F252A" w:rsidRDefault="000E772A" w:rsidP="006A784B">
            <w:pPr>
              <w:jc w:val="both"/>
            </w:pPr>
            <w:r>
              <w:t xml:space="preserve">министр здравоохранения </w:t>
            </w:r>
            <w:r w:rsidR="006A784B" w:rsidRPr="000F252A">
              <w:t>Республики Татарстан А.Р.Абашев, главный внештатный специалист-онколог Министерства здравоохранения Республики Татарстан Э.В.Нагуманов, руководители медицинских организаций Республики Татарстан</w:t>
            </w:r>
          </w:p>
        </w:tc>
        <w:tc>
          <w:tcPr>
            <w:tcW w:w="3969" w:type="dxa"/>
            <w:shd w:val="clear" w:color="auto" w:fill="auto"/>
          </w:tcPr>
          <w:p w:rsidR="006A784B" w:rsidRPr="000F252A" w:rsidRDefault="006A784B" w:rsidP="006A784B">
            <w:pPr>
              <w:jc w:val="both"/>
            </w:pPr>
            <w:r w:rsidRPr="000F252A">
              <w:t>не реже 1 раза в квартал</w:t>
            </w:r>
          </w:p>
        </w:tc>
      </w:tr>
      <w:tr w:rsidR="006A784B" w:rsidRPr="009D3B11" w:rsidTr="005735AD">
        <w:trPr>
          <w:trHeight w:val="20"/>
        </w:trPr>
        <w:tc>
          <w:tcPr>
            <w:tcW w:w="15163" w:type="dxa"/>
            <w:gridSpan w:val="6"/>
            <w:shd w:val="clear" w:color="auto" w:fill="auto"/>
          </w:tcPr>
          <w:p w:rsidR="006A784B" w:rsidRPr="000F252A" w:rsidRDefault="006A784B" w:rsidP="006A784B">
            <w:pPr>
              <w:jc w:val="center"/>
            </w:pPr>
            <w:r w:rsidRPr="000F252A">
              <w:t>8. Формирование и развитие цифрового контура онкологической службы региона</w:t>
            </w:r>
          </w:p>
        </w:tc>
      </w:tr>
      <w:tr w:rsidR="006A784B" w:rsidRPr="009D3B11" w:rsidTr="00AC795F">
        <w:trPr>
          <w:trHeight w:val="20"/>
        </w:trPr>
        <w:tc>
          <w:tcPr>
            <w:tcW w:w="704" w:type="dxa"/>
            <w:shd w:val="clear" w:color="auto" w:fill="auto"/>
            <w:hideMark/>
          </w:tcPr>
          <w:p w:rsidR="006A784B" w:rsidRPr="000F252A" w:rsidRDefault="006A784B" w:rsidP="006A784B">
            <w:pPr>
              <w:jc w:val="center"/>
            </w:pPr>
            <w:r w:rsidRPr="000F252A">
              <w:t>8.1.</w:t>
            </w:r>
          </w:p>
        </w:tc>
        <w:tc>
          <w:tcPr>
            <w:tcW w:w="3686" w:type="dxa"/>
            <w:shd w:val="clear" w:color="auto" w:fill="auto"/>
            <w:hideMark/>
          </w:tcPr>
          <w:p w:rsidR="006A784B" w:rsidRPr="000F252A" w:rsidRDefault="006A784B" w:rsidP="000E772A">
            <w:pPr>
              <w:jc w:val="both"/>
            </w:pPr>
            <w:r w:rsidRPr="000F252A">
              <w:t xml:space="preserve">Проведение работ по модернизации и развитию, а также технической поддержке государственной информационной системы в сфере здравоохранения Республики Татарстан в части внедрения региональной централизованной системы «Организация оказания медицинской помощи больным онкологическими заболеваниями» </w:t>
            </w:r>
          </w:p>
        </w:tc>
        <w:tc>
          <w:tcPr>
            <w:tcW w:w="1474" w:type="dxa"/>
            <w:shd w:val="clear" w:color="auto" w:fill="auto"/>
            <w:hideMark/>
          </w:tcPr>
          <w:p w:rsidR="006A784B" w:rsidRPr="000F252A" w:rsidRDefault="006A784B" w:rsidP="006A784B">
            <w:pPr>
              <w:jc w:val="center"/>
            </w:pPr>
            <w:r w:rsidRPr="000F252A">
              <w:t>01.01.2026</w:t>
            </w:r>
          </w:p>
        </w:tc>
        <w:tc>
          <w:tcPr>
            <w:tcW w:w="1418" w:type="dxa"/>
            <w:shd w:val="clear" w:color="auto" w:fill="auto"/>
            <w:hideMark/>
          </w:tcPr>
          <w:p w:rsidR="006A784B" w:rsidRPr="000F252A" w:rsidRDefault="006A784B" w:rsidP="006A784B">
            <w:pPr>
              <w:jc w:val="center"/>
            </w:pPr>
            <w:r w:rsidRPr="000F252A">
              <w:t>31.12.2030</w:t>
            </w:r>
          </w:p>
        </w:tc>
        <w:tc>
          <w:tcPr>
            <w:tcW w:w="3912" w:type="dxa"/>
            <w:shd w:val="clear" w:color="auto" w:fill="auto"/>
          </w:tcPr>
          <w:p w:rsidR="006A784B" w:rsidRPr="000F252A" w:rsidRDefault="006A784B" w:rsidP="006A784B">
            <w:pPr>
              <w:jc w:val="both"/>
            </w:pPr>
            <w:r w:rsidRPr="000F252A">
              <w:t xml:space="preserve">заместитель министра здравоохранения Республики Татарстан А.А.Ефремов, директор ГАУЗ «Республиканский медицинский информационно-аналитический центр» Д.А.Шафета, главный </w:t>
            </w:r>
            <w:r w:rsidRPr="000F252A">
              <w:br/>
              <w:t xml:space="preserve">врач ГАУЗ </w:t>
            </w:r>
            <w:r w:rsidRPr="000F252A">
              <w:rPr>
                <w:rFonts w:eastAsia="Arial"/>
              </w:rPr>
              <w:t>«РКОД МЗ РТ им.проф.М.З.Сигала»</w:t>
            </w:r>
            <w:r w:rsidRPr="000F252A">
              <w:t xml:space="preserve"> М.Ф.Мухамадеев</w:t>
            </w:r>
          </w:p>
        </w:tc>
        <w:tc>
          <w:tcPr>
            <w:tcW w:w="3969" w:type="dxa"/>
            <w:shd w:val="clear" w:color="auto" w:fill="auto"/>
            <w:hideMark/>
          </w:tcPr>
          <w:p w:rsidR="006A784B" w:rsidRPr="000F252A" w:rsidRDefault="006A784B" w:rsidP="006A784B">
            <w:pPr>
              <w:jc w:val="both"/>
            </w:pPr>
            <w:r w:rsidRPr="000F252A">
              <w:t>централизованная подсистема «Организация оказания медицинской помощи больным онкологическими заболеваниями» функционирует в 100 процентах территориально выделенных структурных подразделений медицинских организаций Республики Татарстан</w:t>
            </w:r>
          </w:p>
        </w:tc>
      </w:tr>
      <w:tr w:rsidR="006A784B" w:rsidRPr="009D3B11" w:rsidTr="00AC795F">
        <w:trPr>
          <w:trHeight w:val="20"/>
        </w:trPr>
        <w:tc>
          <w:tcPr>
            <w:tcW w:w="704" w:type="dxa"/>
            <w:tcBorders>
              <w:top w:val="single" w:sz="4" w:space="0" w:color="auto"/>
              <w:left w:val="single" w:sz="4" w:space="0" w:color="auto"/>
              <w:bottom w:val="single" w:sz="4" w:space="0" w:color="auto"/>
              <w:right w:val="single" w:sz="4" w:space="0" w:color="auto"/>
            </w:tcBorders>
            <w:shd w:val="clear" w:color="auto" w:fill="auto"/>
            <w:noWrap/>
            <w:hideMark/>
          </w:tcPr>
          <w:p w:rsidR="006A784B" w:rsidRPr="000F252A" w:rsidRDefault="006A784B" w:rsidP="006A784B">
            <w:pPr>
              <w:spacing w:line="230" w:lineRule="auto"/>
              <w:jc w:val="center"/>
            </w:pPr>
            <w:r w:rsidRPr="000F252A">
              <w:t>8.2.</w:t>
            </w:r>
          </w:p>
        </w:tc>
        <w:tc>
          <w:tcPr>
            <w:tcW w:w="3686" w:type="dxa"/>
            <w:tcBorders>
              <w:top w:val="single" w:sz="4" w:space="0" w:color="auto"/>
              <w:left w:val="single" w:sz="4" w:space="0" w:color="auto"/>
              <w:bottom w:val="single" w:sz="4" w:space="0" w:color="auto"/>
              <w:right w:val="single" w:sz="4" w:space="0" w:color="auto"/>
            </w:tcBorders>
            <w:shd w:val="clear" w:color="auto" w:fill="auto"/>
            <w:hideMark/>
          </w:tcPr>
          <w:p w:rsidR="006A784B" w:rsidRPr="000F252A" w:rsidRDefault="006A784B" w:rsidP="006A784B">
            <w:pPr>
              <w:spacing w:line="230" w:lineRule="auto"/>
              <w:jc w:val="both"/>
            </w:pPr>
            <w:r w:rsidRPr="000F252A">
              <w:t>Модернизация автоматизированного рабочего места врача первичного онкологического кабинета</w:t>
            </w:r>
            <w:r>
              <w:t>,</w:t>
            </w:r>
            <w:r w:rsidRPr="000F252A">
              <w:t xml:space="preserve"> первичного онкологического отделения</w:t>
            </w:r>
            <w:r>
              <w:t>,</w:t>
            </w:r>
            <w:r w:rsidRPr="000F252A">
              <w:t xml:space="preserve"> </w:t>
            </w:r>
            <w:r>
              <w:t>центра амбулаторной онкологической помощи</w:t>
            </w:r>
            <w:r w:rsidRPr="000F252A">
              <w:t xml:space="preserve"> </w:t>
            </w:r>
          </w:p>
        </w:tc>
        <w:tc>
          <w:tcPr>
            <w:tcW w:w="1474" w:type="dxa"/>
            <w:tcBorders>
              <w:top w:val="single" w:sz="4" w:space="0" w:color="auto"/>
              <w:left w:val="single" w:sz="4" w:space="0" w:color="auto"/>
              <w:bottom w:val="single" w:sz="4" w:space="0" w:color="auto"/>
              <w:right w:val="single" w:sz="4" w:space="0" w:color="auto"/>
            </w:tcBorders>
            <w:shd w:val="clear" w:color="auto" w:fill="auto"/>
            <w:hideMark/>
          </w:tcPr>
          <w:p w:rsidR="006A784B" w:rsidRPr="000F252A" w:rsidRDefault="006A784B" w:rsidP="006A784B">
            <w:pPr>
              <w:spacing w:line="230" w:lineRule="auto"/>
              <w:jc w:val="center"/>
            </w:pPr>
            <w:r w:rsidRPr="000F252A">
              <w:t>01.01.2026</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6A784B" w:rsidRPr="000F252A" w:rsidRDefault="006A784B" w:rsidP="006A784B">
            <w:pPr>
              <w:spacing w:line="230" w:lineRule="auto"/>
              <w:jc w:val="center"/>
            </w:pPr>
            <w:r w:rsidRPr="000F252A">
              <w:t>31.12.2030</w:t>
            </w:r>
          </w:p>
        </w:tc>
        <w:tc>
          <w:tcPr>
            <w:tcW w:w="3912" w:type="dxa"/>
            <w:tcBorders>
              <w:top w:val="single" w:sz="4" w:space="0" w:color="auto"/>
              <w:left w:val="single" w:sz="4" w:space="0" w:color="auto"/>
              <w:bottom w:val="single" w:sz="4" w:space="0" w:color="auto"/>
              <w:right w:val="single" w:sz="4" w:space="0" w:color="auto"/>
            </w:tcBorders>
            <w:shd w:val="clear" w:color="auto" w:fill="auto"/>
          </w:tcPr>
          <w:p w:rsidR="006A784B" w:rsidRPr="000F252A" w:rsidRDefault="006A784B" w:rsidP="006A784B">
            <w:pPr>
              <w:spacing w:line="230" w:lineRule="auto"/>
              <w:jc w:val="both"/>
            </w:pPr>
            <w:r w:rsidRPr="000F252A">
              <w:t xml:space="preserve">заместитель министра здравоохранения Республики Татарстан А.А.Ефремов, директор ГАУЗ «Республиканский медицинский информационно-аналитический центр» Д.А.Шафета, главный </w:t>
            </w:r>
            <w:r w:rsidRPr="000F252A">
              <w:br/>
              <w:t xml:space="preserve">врач ГАУЗ </w:t>
            </w:r>
            <w:r w:rsidRPr="000F252A">
              <w:rPr>
                <w:rFonts w:eastAsia="Arial"/>
              </w:rPr>
              <w:t>«РКОД МЗ РТ им.проф.М.З.Сигала»</w:t>
            </w:r>
            <w:r w:rsidRPr="000F252A">
              <w:t xml:space="preserve"> М.Ф.Мухамадеев</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rsidR="006A784B" w:rsidRPr="000F252A" w:rsidRDefault="006A784B" w:rsidP="006A784B">
            <w:pPr>
              <w:spacing w:line="230" w:lineRule="auto"/>
              <w:jc w:val="both"/>
            </w:pPr>
            <w:r w:rsidRPr="000F252A">
              <w:t xml:space="preserve">к 30.06.2030 – в созданном графике обучения 90 процентов персонала обучены новому информационному продукту; </w:t>
            </w:r>
          </w:p>
          <w:p w:rsidR="006A784B" w:rsidRPr="000F252A" w:rsidRDefault="006A784B" w:rsidP="006A784B">
            <w:pPr>
              <w:spacing w:line="230" w:lineRule="auto"/>
              <w:jc w:val="both"/>
            </w:pPr>
            <w:r w:rsidRPr="000F252A">
              <w:t>к 25.12.2030 – подписаны акты приемки на проведенную модернизацию после тестирования и доработки продукта, издан приказ Министерства здравоохранения Республики Татарстан о внедрении автоматизированного рабочего места врача во всех перви</w:t>
            </w:r>
            <w:r>
              <w:t xml:space="preserve">чных онкологических кабинетах, </w:t>
            </w:r>
            <w:r w:rsidRPr="000F252A">
              <w:t>первич</w:t>
            </w:r>
            <w:r>
              <w:t xml:space="preserve">ных онкологических отделениях, </w:t>
            </w:r>
            <w:r w:rsidRPr="000F252A">
              <w:t>центрах амбулаторной онкологической помощи</w:t>
            </w:r>
          </w:p>
        </w:tc>
      </w:tr>
      <w:tr w:rsidR="006A784B" w:rsidRPr="009D3B11" w:rsidTr="00AC795F">
        <w:trPr>
          <w:trHeight w:val="20"/>
        </w:trPr>
        <w:tc>
          <w:tcPr>
            <w:tcW w:w="704" w:type="dxa"/>
            <w:shd w:val="clear" w:color="auto" w:fill="auto"/>
            <w:noWrap/>
            <w:hideMark/>
          </w:tcPr>
          <w:p w:rsidR="006A784B" w:rsidRPr="000F252A" w:rsidRDefault="006A784B" w:rsidP="006A784B">
            <w:pPr>
              <w:spacing w:line="230" w:lineRule="auto"/>
              <w:jc w:val="center"/>
            </w:pPr>
            <w:r w:rsidRPr="000F252A">
              <w:t>8.3.</w:t>
            </w:r>
          </w:p>
        </w:tc>
        <w:tc>
          <w:tcPr>
            <w:tcW w:w="3686" w:type="dxa"/>
            <w:shd w:val="clear" w:color="auto" w:fill="auto"/>
            <w:hideMark/>
          </w:tcPr>
          <w:p w:rsidR="006A784B" w:rsidRPr="000F252A" w:rsidRDefault="006A784B" w:rsidP="006A784B">
            <w:pPr>
              <w:spacing w:line="230" w:lineRule="auto"/>
              <w:jc w:val="both"/>
            </w:pPr>
            <w:r w:rsidRPr="000F252A">
              <w:t xml:space="preserve">Техническая поддержка функционирующей системы электронной записи пациентов на прием врача-онколога ГАУЗ </w:t>
            </w:r>
            <w:r w:rsidRPr="000F252A">
              <w:rPr>
                <w:rFonts w:eastAsia="Arial"/>
              </w:rPr>
              <w:t>«РКОД МЗ РТ им.проф.М.З.Сигала»</w:t>
            </w:r>
            <w:r w:rsidRPr="000F252A">
              <w:t xml:space="preserve">, Набережноченинского и Альметьевского филиалов ГАУЗ </w:t>
            </w:r>
            <w:r w:rsidRPr="000F252A">
              <w:rPr>
                <w:rFonts w:eastAsia="Arial"/>
              </w:rPr>
              <w:t>«РКОД МЗ РТ им. проф. М.З.Сигала»</w:t>
            </w:r>
            <w:r w:rsidRPr="000F252A">
              <w:t xml:space="preserve">  в рамках интеграции с автоматизированым рабочим местом врача первичного </w:t>
            </w:r>
            <w:r w:rsidRPr="000F252A">
              <w:br/>
              <w:t>онкологического кабинета</w:t>
            </w:r>
            <w:r>
              <w:t>, центра амбулаторной онкологической помощи,</w:t>
            </w:r>
            <w:r w:rsidRPr="000F252A">
              <w:t xml:space="preserve"> первичного онкологичного отделения</w:t>
            </w:r>
          </w:p>
        </w:tc>
        <w:tc>
          <w:tcPr>
            <w:tcW w:w="1474" w:type="dxa"/>
            <w:shd w:val="clear" w:color="auto" w:fill="auto"/>
            <w:hideMark/>
          </w:tcPr>
          <w:p w:rsidR="006A784B" w:rsidRPr="000F252A" w:rsidRDefault="006A784B" w:rsidP="006A784B">
            <w:pPr>
              <w:spacing w:line="230" w:lineRule="auto"/>
              <w:jc w:val="center"/>
            </w:pPr>
            <w:r w:rsidRPr="000F252A">
              <w:t>01.01.2026</w:t>
            </w:r>
          </w:p>
        </w:tc>
        <w:tc>
          <w:tcPr>
            <w:tcW w:w="1418" w:type="dxa"/>
            <w:shd w:val="clear" w:color="auto" w:fill="auto"/>
            <w:hideMark/>
          </w:tcPr>
          <w:p w:rsidR="006A784B" w:rsidRPr="000F252A" w:rsidRDefault="006A784B" w:rsidP="006A784B">
            <w:pPr>
              <w:spacing w:line="230" w:lineRule="auto"/>
              <w:jc w:val="center"/>
            </w:pPr>
            <w:r w:rsidRPr="000F252A">
              <w:t>31.12.2030</w:t>
            </w:r>
          </w:p>
        </w:tc>
        <w:tc>
          <w:tcPr>
            <w:tcW w:w="3912" w:type="dxa"/>
            <w:shd w:val="clear" w:color="auto" w:fill="auto"/>
          </w:tcPr>
          <w:p w:rsidR="006A784B" w:rsidRPr="000F252A" w:rsidRDefault="006A784B" w:rsidP="006A784B">
            <w:pPr>
              <w:spacing w:line="230" w:lineRule="auto"/>
              <w:jc w:val="both"/>
            </w:pPr>
            <w:r w:rsidRPr="000F252A">
              <w:t xml:space="preserve">заместитель министра здравоохранения Республики Татарстан А.А.Ефремов, директор ГАУЗ «Республиканский медицинский информационно-аналитический центр» Д.А.Шафета, главный </w:t>
            </w:r>
            <w:r w:rsidRPr="000F252A">
              <w:br/>
              <w:t xml:space="preserve">врач ГАУЗ </w:t>
            </w:r>
            <w:r w:rsidRPr="000F252A">
              <w:rPr>
                <w:rFonts w:eastAsia="Arial"/>
              </w:rPr>
              <w:t>«РКОД МЗ РТ им.проф.М.З.Сигала»</w:t>
            </w:r>
            <w:r w:rsidRPr="000F252A">
              <w:t xml:space="preserve"> М.Ф.Мухамадеев</w:t>
            </w:r>
          </w:p>
        </w:tc>
        <w:tc>
          <w:tcPr>
            <w:tcW w:w="3969" w:type="dxa"/>
            <w:shd w:val="clear" w:color="auto" w:fill="auto"/>
            <w:hideMark/>
          </w:tcPr>
          <w:p w:rsidR="006A784B" w:rsidRPr="000F252A" w:rsidRDefault="006A784B" w:rsidP="006A784B">
            <w:pPr>
              <w:spacing w:line="230" w:lineRule="auto"/>
              <w:jc w:val="both"/>
            </w:pPr>
            <w:r w:rsidRPr="000F252A">
              <w:t xml:space="preserve">функционирование системы электронной записи пациентов на прием врача-онколога ГАУЗ </w:t>
            </w:r>
            <w:r w:rsidRPr="000F252A">
              <w:rPr>
                <w:rFonts w:eastAsia="Arial"/>
              </w:rPr>
              <w:t>«РКОД МЗ РТ им.проф.М.З.Сигала»</w:t>
            </w:r>
            <w:r w:rsidRPr="000F252A">
              <w:t xml:space="preserve">, Набережночелнинского и Альметьевского филиалов ГАУЗ </w:t>
            </w:r>
            <w:r w:rsidRPr="000F252A">
              <w:rPr>
                <w:rFonts w:eastAsia="Arial"/>
              </w:rPr>
              <w:t>«РКОД МЗ РТ им.проф.М.З.Сигала»</w:t>
            </w:r>
          </w:p>
        </w:tc>
      </w:tr>
      <w:tr w:rsidR="006A784B" w:rsidRPr="009D3B11" w:rsidTr="00AC795F">
        <w:trPr>
          <w:trHeight w:val="20"/>
        </w:trPr>
        <w:tc>
          <w:tcPr>
            <w:tcW w:w="704" w:type="dxa"/>
            <w:shd w:val="clear" w:color="auto" w:fill="auto"/>
            <w:noWrap/>
            <w:hideMark/>
          </w:tcPr>
          <w:p w:rsidR="006A784B" w:rsidRPr="000F252A" w:rsidRDefault="006A784B" w:rsidP="006A784B">
            <w:pPr>
              <w:jc w:val="center"/>
            </w:pPr>
            <w:r w:rsidRPr="000F252A">
              <w:t>8.4.</w:t>
            </w:r>
          </w:p>
        </w:tc>
        <w:tc>
          <w:tcPr>
            <w:tcW w:w="3686" w:type="dxa"/>
            <w:shd w:val="clear" w:color="auto" w:fill="auto"/>
            <w:hideMark/>
          </w:tcPr>
          <w:p w:rsidR="006A784B" w:rsidRPr="000F252A" w:rsidRDefault="006A784B" w:rsidP="006A784B">
            <w:pPr>
              <w:jc w:val="both"/>
            </w:pPr>
            <w:r w:rsidRPr="000F252A">
              <w:t xml:space="preserve">Техническая поддержка и развитие внедренной централизованной системы «Лабораторные исследования», интегрированной с медицинской информационной системой ГАУЗ </w:t>
            </w:r>
            <w:r w:rsidRPr="000F252A">
              <w:rPr>
                <w:rFonts w:eastAsia="Arial"/>
              </w:rPr>
              <w:t>«РКОД МЗ РТ им.проф.М.З.Сигала»</w:t>
            </w:r>
          </w:p>
          <w:p w:rsidR="006A784B" w:rsidRPr="000F252A" w:rsidRDefault="006A784B" w:rsidP="006A784B">
            <w:pPr>
              <w:jc w:val="both"/>
            </w:pPr>
          </w:p>
        </w:tc>
        <w:tc>
          <w:tcPr>
            <w:tcW w:w="1474" w:type="dxa"/>
            <w:shd w:val="clear" w:color="auto" w:fill="auto"/>
            <w:hideMark/>
          </w:tcPr>
          <w:p w:rsidR="006A784B" w:rsidRPr="000F252A" w:rsidRDefault="006A784B" w:rsidP="006A784B">
            <w:pPr>
              <w:jc w:val="center"/>
            </w:pPr>
            <w:r w:rsidRPr="000F252A">
              <w:t>01.01.2026</w:t>
            </w:r>
          </w:p>
        </w:tc>
        <w:tc>
          <w:tcPr>
            <w:tcW w:w="1418" w:type="dxa"/>
            <w:shd w:val="clear" w:color="auto" w:fill="auto"/>
            <w:hideMark/>
          </w:tcPr>
          <w:p w:rsidR="006A784B" w:rsidRPr="000F252A" w:rsidRDefault="006A784B" w:rsidP="006A784B">
            <w:pPr>
              <w:jc w:val="center"/>
            </w:pPr>
            <w:r w:rsidRPr="000F252A">
              <w:t>31.12.2030</w:t>
            </w:r>
          </w:p>
        </w:tc>
        <w:tc>
          <w:tcPr>
            <w:tcW w:w="3912" w:type="dxa"/>
            <w:shd w:val="clear" w:color="auto" w:fill="auto"/>
          </w:tcPr>
          <w:p w:rsidR="006A784B" w:rsidRPr="000F252A" w:rsidRDefault="006A784B" w:rsidP="006A784B">
            <w:pPr>
              <w:jc w:val="both"/>
            </w:pPr>
            <w:r w:rsidRPr="000F252A">
              <w:t xml:space="preserve">заместитель министра здравоохранения Республики Татарстан А.А.Ефремов, директор ГАУЗ «Республиканский медицинский информационно-аналитический центр» Д.А.Шафета, главный </w:t>
            </w:r>
            <w:r w:rsidRPr="000F252A">
              <w:br/>
              <w:t xml:space="preserve">врач ГАУЗ </w:t>
            </w:r>
            <w:r w:rsidRPr="000F252A">
              <w:rPr>
                <w:rFonts w:eastAsia="Arial"/>
              </w:rPr>
              <w:t>«РКОД МЗ РТ им.проф.М.З.Сигала»</w:t>
            </w:r>
            <w:r w:rsidRPr="000F252A">
              <w:t xml:space="preserve"> М.Ф.Мухамадеев</w:t>
            </w:r>
          </w:p>
        </w:tc>
        <w:tc>
          <w:tcPr>
            <w:tcW w:w="3969" w:type="dxa"/>
            <w:shd w:val="clear" w:color="auto" w:fill="auto"/>
            <w:hideMark/>
          </w:tcPr>
          <w:p w:rsidR="006A784B" w:rsidRPr="000F252A" w:rsidRDefault="006A784B" w:rsidP="006A784B">
            <w:pPr>
              <w:jc w:val="both"/>
            </w:pPr>
            <w:r w:rsidRPr="000F252A">
              <w:t>фу</w:t>
            </w:r>
            <w:r w:rsidR="000E772A">
              <w:t>нкционирующая система, заключен</w:t>
            </w:r>
            <w:r w:rsidRPr="000F252A">
              <w:t>ный договор на техническую под-</w:t>
            </w:r>
            <w:r w:rsidRPr="000F252A">
              <w:br/>
              <w:t xml:space="preserve">держку, технические задания на развитие; </w:t>
            </w:r>
          </w:p>
          <w:p w:rsidR="006A784B" w:rsidRPr="000F252A" w:rsidRDefault="006A784B" w:rsidP="006A784B">
            <w:pPr>
              <w:jc w:val="both"/>
            </w:pPr>
            <w:r w:rsidRPr="000F252A">
              <w:t xml:space="preserve">90 процентов персонала обучены информационному продукту; </w:t>
            </w:r>
          </w:p>
          <w:p w:rsidR="006A784B" w:rsidRPr="000F252A" w:rsidRDefault="006A784B" w:rsidP="006A784B">
            <w:pPr>
              <w:jc w:val="both"/>
            </w:pPr>
            <w:r w:rsidRPr="000F252A">
              <w:t>к 25.12.2030 – подписаны акты приемки на информационный продукт после тестирования и доработки продукта</w:t>
            </w:r>
          </w:p>
        </w:tc>
      </w:tr>
      <w:tr w:rsidR="006A784B" w:rsidRPr="009D3B11" w:rsidTr="00AC795F">
        <w:trPr>
          <w:trHeight w:val="20"/>
        </w:trPr>
        <w:tc>
          <w:tcPr>
            <w:tcW w:w="704" w:type="dxa"/>
            <w:shd w:val="clear" w:color="auto" w:fill="auto"/>
            <w:noWrap/>
            <w:hideMark/>
          </w:tcPr>
          <w:p w:rsidR="006A784B" w:rsidRPr="000F252A" w:rsidRDefault="006A784B" w:rsidP="006A784B">
            <w:pPr>
              <w:jc w:val="center"/>
            </w:pPr>
            <w:r w:rsidRPr="000F252A">
              <w:t>8.5.</w:t>
            </w:r>
          </w:p>
        </w:tc>
        <w:tc>
          <w:tcPr>
            <w:tcW w:w="3686" w:type="dxa"/>
            <w:shd w:val="clear" w:color="auto" w:fill="auto"/>
            <w:hideMark/>
          </w:tcPr>
          <w:p w:rsidR="006A784B" w:rsidRPr="000F252A" w:rsidRDefault="006A784B" w:rsidP="006A784B">
            <w:pPr>
              <w:jc w:val="both"/>
            </w:pPr>
            <w:r w:rsidRPr="000F252A">
              <w:t xml:space="preserve">Модернизация государственной информационной системы «Электронное здравоохранение Республики Татарстан» в части оказания специализированной онкологической помощи населению Республики Татарстан  </w:t>
            </w:r>
          </w:p>
        </w:tc>
        <w:tc>
          <w:tcPr>
            <w:tcW w:w="1474" w:type="dxa"/>
            <w:shd w:val="clear" w:color="auto" w:fill="auto"/>
            <w:hideMark/>
          </w:tcPr>
          <w:p w:rsidR="006A784B" w:rsidRPr="000F252A" w:rsidRDefault="006A784B" w:rsidP="006A784B">
            <w:pPr>
              <w:jc w:val="center"/>
            </w:pPr>
            <w:r w:rsidRPr="000F252A">
              <w:t>01.01.2026</w:t>
            </w:r>
          </w:p>
        </w:tc>
        <w:tc>
          <w:tcPr>
            <w:tcW w:w="1418" w:type="dxa"/>
            <w:shd w:val="clear" w:color="auto" w:fill="auto"/>
            <w:hideMark/>
          </w:tcPr>
          <w:p w:rsidR="006A784B" w:rsidRPr="000F252A" w:rsidRDefault="006A784B" w:rsidP="006A784B">
            <w:pPr>
              <w:jc w:val="center"/>
            </w:pPr>
            <w:r w:rsidRPr="000F252A">
              <w:t>31.12.2030</w:t>
            </w:r>
          </w:p>
        </w:tc>
        <w:tc>
          <w:tcPr>
            <w:tcW w:w="3912" w:type="dxa"/>
            <w:shd w:val="clear" w:color="auto" w:fill="auto"/>
          </w:tcPr>
          <w:p w:rsidR="006A784B" w:rsidRPr="000F252A" w:rsidRDefault="006A784B" w:rsidP="006A784B">
            <w:pPr>
              <w:jc w:val="both"/>
            </w:pPr>
            <w:r w:rsidRPr="000F252A">
              <w:t xml:space="preserve">заместитель министра здравоохранения Республики Татарстан А.А.Ефремов, директор ГАУЗ «Республиканский медицинский информационно-аналитический центр» Д.А.Шафета, главный </w:t>
            </w:r>
            <w:r w:rsidRPr="000F252A">
              <w:br/>
              <w:t xml:space="preserve">врач ГАУЗ </w:t>
            </w:r>
            <w:r w:rsidRPr="000F252A">
              <w:rPr>
                <w:rFonts w:eastAsia="Arial"/>
              </w:rPr>
              <w:t>«РКОД МЗ РТ им.проф.М.З.Сигала»</w:t>
            </w:r>
            <w:r w:rsidRPr="000F252A">
              <w:t xml:space="preserve"> М.Ф.Мухамадеев</w:t>
            </w:r>
          </w:p>
        </w:tc>
        <w:tc>
          <w:tcPr>
            <w:tcW w:w="3969" w:type="dxa"/>
            <w:shd w:val="clear" w:color="auto" w:fill="auto"/>
            <w:hideMark/>
          </w:tcPr>
          <w:p w:rsidR="006A784B" w:rsidRPr="000F252A" w:rsidRDefault="006A784B" w:rsidP="006A784B">
            <w:pPr>
              <w:jc w:val="both"/>
            </w:pPr>
            <w:r w:rsidRPr="000F252A">
              <w:t>согласно срокам, определенным в Программе модернизации медицинской информационной государственной информационной системы «Электронное здравоохранение Республики Татарстан», получено письмо разработчика на готовность ввода доработанных модулей в промышленную эксплуатацию, подписан акт приемки на проведенную модернизацию после тестирования и доработки продукта, информационный продукт внедрен</w:t>
            </w:r>
          </w:p>
        </w:tc>
      </w:tr>
      <w:tr w:rsidR="006A784B" w:rsidRPr="009D3B11" w:rsidTr="00AC795F">
        <w:trPr>
          <w:trHeight w:val="20"/>
        </w:trPr>
        <w:tc>
          <w:tcPr>
            <w:tcW w:w="704" w:type="dxa"/>
            <w:shd w:val="clear" w:color="auto" w:fill="auto"/>
            <w:noWrap/>
          </w:tcPr>
          <w:p w:rsidR="006A784B" w:rsidRPr="000F252A" w:rsidRDefault="006A784B" w:rsidP="006A784B">
            <w:pPr>
              <w:jc w:val="center"/>
            </w:pPr>
            <w:r w:rsidRPr="000F252A">
              <w:t>8.6.</w:t>
            </w:r>
          </w:p>
        </w:tc>
        <w:tc>
          <w:tcPr>
            <w:tcW w:w="3686" w:type="dxa"/>
            <w:shd w:val="clear" w:color="auto" w:fill="auto"/>
          </w:tcPr>
          <w:p w:rsidR="006A784B" w:rsidRPr="000F252A" w:rsidRDefault="006A784B" w:rsidP="006A784B">
            <w:pPr>
              <w:jc w:val="both"/>
            </w:pPr>
            <w:r w:rsidRPr="000F252A">
              <w:t>Модернизация и сопровождение модуля диспансеризации опреде-</w:t>
            </w:r>
            <w:r w:rsidRPr="000F252A">
              <w:br/>
              <w:t>ленных групп взрослого населения в государственной информационной системе «Электронное здравоохранение Республики Татарстан»</w:t>
            </w:r>
          </w:p>
        </w:tc>
        <w:tc>
          <w:tcPr>
            <w:tcW w:w="1474" w:type="dxa"/>
            <w:shd w:val="clear" w:color="auto" w:fill="auto"/>
          </w:tcPr>
          <w:p w:rsidR="006A784B" w:rsidRPr="000F252A" w:rsidRDefault="006A784B" w:rsidP="006A784B">
            <w:pPr>
              <w:jc w:val="center"/>
            </w:pPr>
            <w:r w:rsidRPr="000F252A">
              <w:t>01.07.2026</w:t>
            </w:r>
          </w:p>
        </w:tc>
        <w:tc>
          <w:tcPr>
            <w:tcW w:w="1418" w:type="dxa"/>
            <w:shd w:val="clear" w:color="auto" w:fill="auto"/>
          </w:tcPr>
          <w:p w:rsidR="006A784B" w:rsidRPr="000F252A" w:rsidRDefault="006A784B" w:rsidP="006A784B">
            <w:pPr>
              <w:jc w:val="center"/>
            </w:pPr>
            <w:r w:rsidRPr="000F252A">
              <w:t>31.12.2030</w:t>
            </w:r>
          </w:p>
        </w:tc>
        <w:tc>
          <w:tcPr>
            <w:tcW w:w="3912" w:type="dxa"/>
            <w:shd w:val="clear" w:color="auto" w:fill="auto"/>
          </w:tcPr>
          <w:p w:rsidR="006A784B" w:rsidRPr="000F252A" w:rsidRDefault="006A784B" w:rsidP="006A784B">
            <w:pPr>
              <w:jc w:val="both"/>
            </w:pPr>
            <w:r w:rsidRPr="000F252A">
              <w:t xml:space="preserve">заместитель министра здравоохранения Республики Татарстан А.А.Ефремов, директор ГАУЗ «Республиканский медицинский информационно-аналитический центр» Д.А.Шафета, главный </w:t>
            </w:r>
            <w:r w:rsidRPr="000F252A">
              <w:br/>
              <w:t xml:space="preserve">врач ГАУЗ </w:t>
            </w:r>
            <w:r w:rsidRPr="000F252A">
              <w:rPr>
                <w:rFonts w:eastAsia="Arial"/>
              </w:rPr>
              <w:t>«РКОД МЗ РТ им.проф.М.З.Сигала»</w:t>
            </w:r>
            <w:r w:rsidRPr="000F252A">
              <w:t xml:space="preserve"> М.Ф.Мухамадеев</w:t>
            </w:r>
          </w:p>
        </w:tc>
        <w:tc>
          <w:tcPr>
            <w:tcW w:w="3969" w:type="dxa"/>
            <w:shd w:val="clear" w:color="auto" w:fill="auto"/>
          </w:tcPr>
          <w:p w:rsidR="006A784B" w:rsidRPr="000F252A" w:rsidRDefault="006A784B" w:rsidP="006A784B">
            <w:pPr>
              <w:jc w:val="both"/>
            </w:pPr>
            <w:r w:rsidRPr="000F252A">
              <w:t xml:space="preserve">01.08.2025 – письмо разработчика на готовность ввода информационного продукта в промышленную эксплуатацию; </w:t>
            </w:r>
          </w:p>
          <w:p w:rsidR="006A784B" w:rsidRPr="000F252A" w:rsidRDefault="006A784B" w:rsidP="006A784B">
            <w:pPr>
              <w:jc w:val="both"/>
            </w:pPr>
            <w:r w:rsidRPr="000F252A">
              <w:t>01.11.2025 – подписан акт приемки на информационный продукт после тестирования и доработки продукта</w:t>
            </w:r>
          </w:p>
        </w:tc>
      </w:tr>
      <w:tr w:rsidR="006A784B" w:rsidRPr="009D3B11" w:rsidTr="00AC795F">
        <w:trPr>
          <w:trHeight w:val="20"/>
        </w:trPr>
        <w:tc>
          <w:tcPr>
            <w:tcW w:w="704" w:type="dxa"/>
            <w:shd w:val="clear" w:color="auto" w:fill="auto"/>
            <w:noWrap/>
            <w:hideMark/>
          </w:tcPr>
          <w:p w:rsidR="006A784B" w:rsidRPr="000F252A" w:rsidRDefault="006A784B" w:rsidP="006A784B">
            <w:pPr>
              <w:jc w:val="center"/>
            </w:pPr>
            <w:r w:rsidRPr="000F252A">
              <w:t>8.7.</w:t>
            </w:r>
          </w:p>
        </w:tc>
        <w:tc>
          <w:tcPr>
            <w:tcW w:w="3686" w:type="dxa"/>
            <w:shd w:val="clear" w:color="auto" w:fill="auto"/>
            <w:hideMark/>
          </w:tcPr>
          <w:p w:rsidR="006A784B" w:rsidRPr="000F252A" w:rsidRDefault="006A784B" w:rsidP="006A784B">
            <w:pPr>
              <w:jc w:val="both"/>
            </w:pPr>
            <w:r w:rsidRPr="000F252A">
              <w:t>Создание модуля Системы поддержки принятия врачебных решений</w:t>
            </w:r>
          </w:p>
        </w:tc>
        <w:tc>
          <w:tcPr>
            <w:tcW w:w="1474" w:type="dxa"/>
            <w:shd w:val="clear" w:color="auto" w:fill="auto"/>
            <w:noWrap/>
            <w:hideMark/>
          </w:tcPr>
          <w:p w:rsidR="006A784B" w:rsidRPr="000F252A" w:rsidRDefault="006A784B" w:rsidP="006A784B">
            <w:pPr>
              <w:jc w:val="center"/>
            </w:pPr>
            <w:r w:rsidRPr="000F252A">
              <w:t>01.07.2026</w:t>
            </w:r>
          </w:p>
        </w:tc>
        <w:tc>
          <w:tcPr>
            <w:tcW w:w="1418" w:type="dxa"/>
            <w:shd w:val="clear" w:color="auto" w:fill="auto"/>
            <w:hideMark/>
          </w:tcPr>
          <w:p w:rsidR="006A784B" w:rsidRPr="000F252A" w:rsidRDefault="006A784B" w:rsidP="006A784B">
            <w:pPr>
              <w:jc w:val="center"/>
            </w:pPr>
            <w:r w:rsidRPr="000F252A">
              <w:t>31.12.2030</w:t>
            </w:r>
          </w:p>
        </w:tc>
        <w:tc>
          <w:tcPr>
            <w:tcW w:w="3912" w:type="dxa"/>
            <w:shd w:val="clear" w:color="auto" w:fill="auto"/>
          </w:tcPr>
          <w:p w:rsidR="006A784B" w:rsidRPr="000F252A" w:rsidRDefault="006A784B" w:rsidP="006A784B">
            <w:pPr>
              <w:jc w:val="both"/>
            </w:pPr>
            <w:r w:rsidRPr="000F252A">
              <w:t xml:space="preserve">заместитель министра здравоохранения Республики Татарстан А.А.Ефремов, директор ГАУЗ «Республиканский медицинский информационно-аналитический центр» Д.А.Шафета, главный </w:t>
            </w:r>
            <w:r w:rsidRPr="000F252A">
              <w:br/>
              <w:t xml:space="preserve">врач ГАУЗ </w:t>
            </w:r>
            <w:r w:rsidRPr="000F252A">
              <w:rPr>
                <w:rFonts w:eastAsia="Arial"/>
              </w:rPr>
              <w:t>«РКОД МЗ РТ им.проф.М.З.Сигала»</w:t>
            </w:r>
            <w:r w:rsidRPr="000F252A">
              <w:t xml:space="preserve"> М.Ф.Мухамадеев</w:t>
            </w:r>
          </w:p>
        </w:tc>
        <w:tc>
          <w:tcPr>
            <w:tcW w:w="3969" w:type="dxa"/>
            <w:shd w:val="clear" w:color="auto" w:fill="auto"/>
            <w:hideMark/>
          </w:tcPr>
          <w:p w:rsidR="006A784B" w:rsidRPr="000F252A" w:rsidRDefault="006A784B" w:rsidP="006A784B">
            <w:pPr>
              <w:jc w:val="both"/>
            </w:pPr>
            <w:r w:rsidRPr="000F252A">
              <w:t>01.07.2030 – согласовано и подписано техническое задание на создание Системы поддержки принятия врачебных решений;</w:t>
            </w:r>
          </w:p>
          <w:p w:rsidR="006A784B" w:rsidRPr="000F252A" w:rsidRDefault="006A784B" w:rsidP="006A784B">
            <w:pPr>
              <w:jc w:val="both"/>
            </w:pPr>
            <w:r w:rsidRPr="000F252A">
              <w:t xml:space="preserve">01.09.2030 – письмо разработчика на готовность ввода информационного продукта в промышленную эксплуатацию; </w:t>
            </w:r>
          </w:p>
          <w:p w:rsidR="006A784B" w:rsidRPr="000F252A" w:rsidRDefault="006A784B" w:rsidP="006A784B">
            <w:pPr>
              <w:jc w:val="both"/>
            </w:pPr>
            <w:r w:rsidRPr="000F252A">
              <w:t>25.12.2030 – подписан акт приемки на внедрение модуля Системы поддержки принятия врачебных решений</w:t>
            </w:r>
          </w:p>
        </w:tc>
      </w:tr>
      <w:tr w:rsidR="006A784B" w:rsidRPr="009D3B11" w:rsidTr="00AC795F">
        <w:trPr>
          <w:trHeight w:val="20"/>
        </w:trPr>
        <w:tc>
          <w:tcPr>
            <w:tcW w:w="704" w:type="dxa"/>
            <w:shd w:val="clear" w:color="auto" w:fill="auto"/>
            <w:noWrap/>
            <w:hideMark/>
          </w:tcPr>
          <w:p w:rsidR="006A784B" w:rsidRPr="000F252A" w:rsidRDefault="006A784B" w:rsidP="006A784B">
            <w:pPr>
              <w:jc w:val="center"/>
            </w:pPr>
            <w:r w:rsidRPr="000F252A">
              <w:t>8.8.</w:t>
            </w:r>
          </w:p>
        </w:tc>
        <w:tc>
          <w:tcPr>
            <w:tcW w:w="3686" w:type="dxa"/>
            <w:shd w:val="clear" w:color="auto" w:fill="auto"/>
            <w:hideMark/>
          </w:tcPr>
          <w:p w:rsidR="006A784B" w:rsidRPr="000F252A" w:rsidRDefault="006A784B" w:rsidP="006A784B">
            <w:pPr>
              <w:jc w:val="both"/>
            </w:pPr>
            <w:r w:rsidRPr="000F252A">
              <w:t xml:space="preserve">Регулярное обновление материально-технических ресурсов автоматизированной системы управления онкокластера Республики Татарстан </w:t>
            </w:r>
          </w:p>
        </w:tc>
        <w:tc>
          <w:tcPr>
            <w:tcW w:w="1474" w:type="dxa"/>
            <w:shd w:val="clear" w:color="auto" w:fill="auto"/>
            <w:hideMark/>
          </w:tcPr>
          <w:p w:rsidR="006A784B" w:rsidRPr="000F252A" w:rsidRDefault="006A784B" w:rsidP="006A784B">
            <w:pPr>
              <w:jc w:val="center"/>
            </w:pPr>
            <w:r w:rsidRPr="000F252A">
              <w:t>01.01.2026</w:t>
            </w:r>
          </w:p>
        </w:tc>
        <w:tc>
          <w:tcPr>
            <w:tcW w:w="1418" w:type="dxa"/>
            <w:shd w:val="clear" w:color="auto" w:fill="auto"/>
            <w:hideMark/>
          </w:tcPr>
          <w:p w:rsidR="006A784B" w:rsidRPr="000F252A" w:rsidRDefault="006A784B" w:rsidP="006A784B">
            <w:pPr>
              <w:jc w:val="center"/>
            </w:pPr>
            <w:r w:rsidRPr="000F252A">
              <w:t>31.12.2030</w:t>
            </w:r>
          </w:p>
        </w:tc>
        <w:tc>
          <w:tcPr>
            <w:tcW w:w="3912" w:type="dxa"/>
            <w:shd w:val="clear" w:color="auto" w:fill="auto"/>
          </w:tcPr>
          <w:p w:rsidR="006A784B" w:rsidRPr="000F252A" w:rsidRDefault="006A784B" w:rsidP="006A784B">
            <w:pPr>
              <w:jc w:val="both"/>
            </w:pPr>
            <w:r w:rsidRPr="000F252A">
              <w:t xml:space="preserve">заместитель министра здравоохранения Республики Татарстан А.А.Ефремов, директор ГАУЗ «Республиканский медицинский информационно-аналитический центр» Д.А.Шафета, главный </w:t>
            </w:r>
            <w:r w:rsidRPr="000F252A">
              <w:br/>
              <w:t xml:space="preserve">врач ГАУЗ </w:t>
            </w:r>
            <w:r w:rsidRPr="000F252A">
              <w:rPr>
                <w:rFonts w:eastAsia="Arial"/>
              </w:rPr>
              <w:t>«РКОД МЗ РТ им.проф.М.З.Сигала»</w:t>
            </w:r>
            <w:r w:rsidRPr="000F252A">
              <w:t xml:space="preserve"> М.Ф.Мухамадеев</w:t>
            </w:r>
          </w:p>
        </w:tc>
        <w:tc>
          <w:tcPr>
            <w:tcW w:w="3969" w:type="dxa"/>
            <w:shd w:val="clear" w:color="auto" w:fill="auto"/>
            <w:hideMark/>
          </w:tcPr>
          <w:p w:rsidR="006A784B" w:rsidRPr="000F252A" w:rsidRDefault="006A784B" w:rsidP="006A784B">
            <w:pPr>
              <w:jc w:val="both"/>
            </w:pPr>
            <w:r w:rsidRPr="000F252A">
              <w:t xml:space="preserve">материально-техническое обновление онкослужбы Республики Татарстан; </w:t>
            </w:r>
          </w:p>
          <w:p w:rsidR="006A784B" w:rsidRPr="000F252A" w:rsidRDefault="006A784B" w:rsidP="006A784B">
            <w:pPr>
              <w:jc w:val="both"/>
            </w:pPr>
            <w:r w:rsidRPr="000F252A">
              <w:t xml:space="preserve">25.12.2030 – завершение обновления, подписаны акты поставок техники </w:t>
            </w:r>
          </w:p>
          <w:p w:rsidR="006A784B" w:rsidRPr="000F252A" w:rsidRDefault="006A784B" w:rsidP="006A784B">
            <w:pPr>
              <w:jc w:val="both"/>
            </w:pPr>
          </w:p>
        </w:tc>
      </w:tr>
      <w:tr w:rsidR="006A784B" w:rsidRPr="009D3B11" w:rsidTr="00AC795F">
        <w:trPr>
          <w:trHeight w:val="20"/>
        </w:trPr>
        <w:tc>
          <w:tcPr>
            <w:tcW w:w="704" w:type="dxa"/>
            <w:shd w:val="clear" w:color="auto" w:fill="auto"/>
            <w:noWrap/>
            <w:hideMark/>
          </w:tcPr>
          <w:p w:rsidR="006A784B" w:rsidRPr="000F252A" w:rsidRDefault="006A784B" w:rsidP="006A784B">
            <w:pPr>
              <w:jc w:val="center"/>
            </w:pPr>
            <w:r w:rsidRPr="000F252A">
              <w:t>8.9.</w:t>
            </w:r>
          </w:p>
        </w:tc>
        <w:tc>
          <w:tcPr>
            <w:tcW w:w="3686" w:type="dxa"/>
            <w:shd w:val="clear" w:color="auto" w:fill="auto"/>
            <w:hideMark/>
          </w:tcPr>
          <w:p w:rsidR="006A784B" w:rsidRPr="000F252A" w:rsidRDefault="006A784B" w:rsidP="006A784B">
            <w:pPr>
              <w:jc w:val="both"/>
            </w:pPr>
            <w:r w:rsidRPr="000F252A">
              <w:t xml:space="preserve">Развитие и доработка системы цифровой микроскопии, организация хранилища цифровых снимков (гистосканы, цитосканы) с интеграцией с медицинской информационной системой ГАУЗ </w:t>
            </w:r>
            <w:r w:rsidRPr="000F252A">
              <w:rPr>
                <w:rFonts w:eastAsia="Arial"/>
              </w:rPr>
              <w:t>«РКОД МЗ РТ им.проф.М.З.Сигала»</w:t>
            </w:r>
          </w:p>
        </w:tc>
        <w:tc>
          <w:tcPr>
            <w:tcW w:w="1474" w:type="dxa"/>
            <w:shd w:val="clear" w:color="auto" w:fill="auto"/>
            <w:hideMark/>
          </w:tcPr>
          <w:p w:rsidR="006A784B" w:rsidRPr="000F252A" w:rsidRDefault="006A784B" w:rsidP="006A784B">
            <w:pPr>
              <w:jc w:val="center"/>
            </w:pPr>
            <w:r w:rsidRPr="000F252A">
              <w:t>01.07.2026</w:t>
            </w:r>
          </w:p>
        </w:tc>
        <w:tc>
          <w:tcPr>
            <w:tcW w:w="1418" w:type="dxa"/>
            <w:shd w:val="clear" w:color="auto" w:fill="auto"/>
            <w:hideMark/>
          </w:tcPr>
          <w:p w:rsidR="006A784B" w:rsidRPr="000F252A" w:rsidRDefault="006A784B" w:rsidP="006A784B">
            <w:pPr>
              <w:jc w:val="center"/>
            </w:pPr>
            <w:r w:rsidRPr="000F252A">
              <w:t>31.12.2030</w:t>
            </w:r>
          </w:p>
        </w:tc>
        <w:tc>
          <w:tcPr>
            <w:tcW w:w="3912" w:type="dxa"/>
            <w:shd w:val="clear" w:color="auto" w:fill="auto"/>
          </w:tcPr>
          <w:p w:rsidR="006A784B" w:rsidRPr="000F252A" w:rsidRDefault="006A784B" w:rsidP="006A784B">
            <w:pPr>
              <w:jc w:val="both"/>
            </w:pPr>
            <w:r w:rsidRPr="000F252A">
              <w:t xml:space="preserve">заместитель министра здравоохранения Республики Татарстан А.А.Ефремов, директор ГАУЗ «Республиканский медицинский информационно-аналитический центр» Д.А.Шафета, главный </w:t>
            </w:r>
            <w:r w:rsidRPr="000F252A">
              <w:br/>
              <w:t xml:space="preserve">врач ГАУЗ </w:t>
            </w:r>
            <w:r w:rsidRPr="000F252A">
              <w:rPr>
                <w:rFonts w:eastAsia="Arial"/>
              </w:rPr>
              <w:t>«РКОД МЗ РТ им.проф.М.З.Сигала»</w:t>
            </w:r>
            <w:r w:rsidRPr="000F252A">
              <w:t xml:space="preserve"> М.Ф.Мухамадеев</w:t>
            </w:r>
          </w:p>
        </w:tc>
        <w:tc>
          <w:tcPr>
            <w:tcW w:w="3969" w:type="dxa"/>
            <w:shd w:val="clear" w:color="auto" w:fill="auto"/>
            <w:hideMark/>
          </w:tcPr>
          <w:p w:rsidR="006A784B" w:rsidRPr="000F252A" w:rsidRDefault="006A784B" w:rsidP="006A784B">
            <w:pPr>
              <w:jc w:val="both"/>
            </w:pPr>
            <w:r w:rsidRPr="000F252A">
              <w:t>01.07.2030 – утверждение технического задания на создание хранилища цифровых снимков;</w:t>
            </w:r>
          </w:p>
          <w:p w:rsidR="006A784B" w:rsidRPr="000F252A" w:rsidRDefault="006A784B" w:rsidP="006A784B">
            <w:pPr>
              <w:jc w:val="both"/>
            </w:pPr>
            <w:r w:rsidRPr="000F252A">
              <w:t>01.12.2030 – письмо разработчиков на готовность ввода информационного продукта в промышленную эксплуатацию;</w:t>
            </w:r>
          </w:p>
          <w:p w:rsidR="006A784B" w:rsidRPr="000F252A" w:rsidRDefault="006A784B" w:rsidP="006A784B">
            <w:pPr>
              <w:jc w:val="both"/>
            </w:pPr>
            <w:r w:rsidRPr="000F252A">
              <w:t xml:space="preserve">15.12.2030 – отчет разработчиков о готовности продукта после тестирования; </w:t>
            </w:r>
          </w:p>
          <w:p w:rsidR="006A784B" w:rsidRPr="000F252A" w:rsidRDefault="006A784B" w:rsidP="006A784B">
            <w:pPr>
              <w:jc w:val="both"/>
            </w:pPr>
            <w:r w:rsidRPr="000F252A">
              <w:t>25.12.2030 – подписан акт приемки информационного продукта, информационный продукт введен в промышленную эксплуатацию</w:t>
            </w:r>
          </w:p>
        </w:tc>
      </w:tr>
      <w:tr w:rsidR="006A784B" w:rsidRPr="009D3B11" w:rsidTr="00AC795F">
        <w:trPr>
          <w:trHeight w:val="20"/>
        </w:trPr>
        <w:tc>
          <w:tcPr>
            <w:tcW w:w="704" w:type="dxa"/>
            <w:shd w:val="clear" w:color="auto" w:fill="auto"/>
            <w:noWrap/>
            <w:hideMark/>
          </w:tcPr>
          <w:p w:rsidR="006A784B" w:rsidRPr="000F252A" w:rsidRDefault="006A784B" w:rsidP="006A784B">
            <w:pPr>
              <w:jc w:val="center"/>
            </w:pPr>
            <w:r w:rsidRPr="000F252A">
              <w:t>8.10.</w:t>
            </w:r>
          </w:p>
        </w:tc>
        <w:tc>
          <w:tcPr>
            <w:tcW w:w="3686" w:type="dxa"/>
            <w:shd w:val="clear" w:color="auto" w:fill="auto"/>
            <w:hideMark/>
          </w:tcPr>
          <w:p w:rsidR="006A784B" w:rsidRPr="000F252A" w:rsidRDefault="006A784B" w:rsidP="006A784B">
            <w:pPr>
              <w:jc w:val="both"/>
            </w:pPr>
            <w:r w:rsidRPr="000F252A">
              <w:t>Техническая поддержка Центром цифровой трансформации Республики Татарстан защищенной государственной интегрированной системы телекоммуникаций, функционирующей во всех медицинских организациях системы Министерства здравоохранения Республики Татарстан</w:t>
            </w:r>
          </w:p>
        </w:tc>
        <w:tc>
          <w:tcPr>
            <w:tcW w:w="1474" w:type="dxa"/>
            <w:shd w:val="clear" w:color="auto" w:fill="auto"/>
            <w:hideMark/>
          </w:tcPr>
          <w:p w:rsidR="006A784B" w:rsidRPr="000F252A" w:rsidRDefault="006A784B" w:rsidP="006A784B">
            <w:pPr>
              <w:jc w:val="center"/>
            </w:pPr>
            <w:r w:rsidRPr="000F252A">
              <w:t>01.01.2026</w:t>
            </w:r>
          </w:p>
        </w:tc>
        <w:tc>
          <w:tcPr>
            <w:tcW w:w="1418" w:type="dxa"/>
            <w:shd w:val="clear" w:color="auto" w:fill="auto"/>
            <w:hideMark/>
          </w:tcPr>
          <w:p w:rsidR="006A784B" w:rsidRPr="000F252A" w:rsidRDefault="006A784B" w:rsidP="006A784B">
            <w:pPr>
              <w:jc w:val="center"/>
            </w:pPr>
            <w:r w:rsidRPr="000F252A">
              <w:t>31.12.2030</w:t>
            </w:r>
          </w:p>
        </w:tc>
        <w:tc>
          <w:tcPr>
            <w:tcW w:w="3912" w:type="dxa"/>
            <w:shd w:val="clear" w:color="auto" w:fill="auto"/>
          </w:tcPr>
          <w:p w:rsidR="006A784B" w:rsidRPr="000F252A" w:rsidRDefault="006A784B" w:rsidP="006A784B">
            <w:pPr>
              <w:jc w:val="both"/>
            </w:pPr>
            <w:r w:rsidRPr="000F252A">
              <w:t>заместитель министра здравоохранения Республики Татарстан А.А.Ефремов</w:t>
            </w:r>
          </w:p>
        </w:tc>
        <w:tc>
          <w:tcPr>
            <w:tcW w:w="3969" w:type="dxa"/>
            <w:shd w:val="clear" w:color="auto" w:fill="auto"/>
            <w:hideMark/>
          </w:tcPr>
          <w:p w:rsidR="006A784B" w:rsidRPr="000F252A" w:rsidRDefault="006A784B" w:rsidP="006A784B">
            <w:pPr>
              <w:jc w:val="both"/>
            </w:pPr>
            <w:r w:rsidRPr="000F252A">
              <w:t>обеспечение широкополосного доступа в сеть «Интернет» с возможностью безопасной передачи данных</w:t>
            </w:r>
          </w:p>
        </w:tc>
      </w:tr>
      <w:tr w:rsidR="006A784B" w:rsidRPr="009D3B11" w:rsidTr="00AC795F">
        <w:trPr>
          <w:trHeight w:val="20"/>
        </w:trPr>
        <w:tc>
          <w:tcPr>
            <w:tcW w:w="704" w:type="dxa"/>
            <w:shd w:val="clear" w:color="auto" w:fill="auto"/>
            <w:hideMark/>
          </w:tcPr>
          <w:p w:rsidR="006A784B" w:rsidRPr="000F252A" w:rsidRDefault="006A784B" w:rsidP="006A784B">
            <w:pPr>
              <w:jc w:val="center"/>
            </w:pPr>
            <w:r w:rsidRPr="000F252A">
              <w:t>8.11.</w:t>
            </w:r>
          </w:p>
        </w:tc>
        <w:tc>
          <w:tcPr>
            <w:tcW w:w="3686" w:type="dxa"/>
            <w:shd w:val="clear" w:color="auto" w:fill="auto"/>
            <w:hideMark/>
          </w:tcPr>
          <w:p w:rsidR="006A784B" w:rsidRPr="000F252A" w:rsidRDefault="006A784B" w:rsidP="006A784B">
            <w:pPr>
              <w:jc w:val="both"/>
            </w:pPr>
            <w:r w:rsidRPr="000F252A">
              <w:t xml:space="preserve">Разработка и внедрение в государственной информационной системе «Электронное здравоохранение Республики Татарстан» </w:t>
            </w:r>
            <w:r w:rsidRPr="000F252A">
              <w:br/>
              <w:t xml:space="preserve">модуля проведения первичных консультаций врачей-онкологов ГАУЗ </w:t>
            </w:r>
            <w:r w:rsidRPr="000F252A">
              <w:rPr>
                <w:rFonts w:eastAsia="Arial"/>
              </w:rPr>
              <w:t>«РКОД МЗ РТ им.проф.М.З.Сигала»</w:t>
            </w:r>
            <w:r w:rsidRPr="000F252A">
              <w:t xml:space="preserve"> с применением телемедицинских технологий пациентам с подозрением на онкологическое заболевание (взрослое население) в Республике Татарстан</w:t>
            </w:r>
          </w:p>
        </w:tc>
        <w:tc>
          <w:tcPr>
            <w:tcW w:w="1474" w:type="dxa"/>
            <w:shd w:val="clear" w:color="auto" w:fill="auto"/>
            <w:hideMark/>
          </w:tcPr>
          <w:p w:rsidR="006A784B" w:rsidRPr="000F252A" w:rsidRDefault="006A784B" w:rsidP="006A784B">
            <w:pPr>
              <w:jc w:val="center"/>
            </w:pPr>
            <w:r w:rsidRPr="000F252A">
              <w:t>01.02.2026</w:t>
            </w:r>
          </w:p>
        </w:tc>
        <w:tc>
          <w:tcPr>
            <w:tcW w:w="1418" w:type="dxa"/>
            <w:shd w:val="clear" w:color="auto" w:fill="auto"/>
            <w:hideMark/>
          </w:tcPr>
          <w:p w:rsidR="006A784B" w:rsidRPr="000F252A" w:rsidRDefault="006A784B" w:rsidP="006A784B">
            <w:pPr>
              <w:jc w:val="center"/>
            </w:pPr>
            <w:r w:rsidRPr="000F252A">
              <w:t>31.12.2026</w:t>
            </w:r>
          </w:p>
        </w:tc>
        <w:tc>
          <w:tcPr>
            <w:tcW w:w="3912" w:type="dxa"/>
            <w:shd w:val="clear" w:color="auto" w:fill="auto"/>
            <w:hideMark/>
          </w:tcPr>
          <w:p w:rsidR="006A784B" w:rsidRPr="000F252A" w:rsidRDefault="006A784B" w:rsidP="006A784B">
            <w:pPr>
              <w:jc w:val="both"/>
            </w:pPr>
            <w:r w:rsidRPr="000F252A">
              <w:t xml:space="preserve">заместитель министра здравоохранения Республики Татарстан А.А.Ефремов, директор ГАУЗ «Республиканский медицинский информационно-аналитический центр» Д.А.Шафета, главный </w:t>
            </w:r>
            <w:r w:rsidRPr="000F252A">
              <w:br/>
              <w:t xml:space="preserve">врач ГАУЗ </w:t>
            </w:r>
            <w:r w:rsidRPr="000F252A">
              <w:rPr>
                <w:rFonts w:eastAsia="Arial"/>
              </w:rPr>
              <w:t>«РКОД МЗ РТ им.проф.М.З.Сигала»</w:t>
            </w:r>
            <w:r w:rsidRPr="000F252A">
              <w:t xml:space="preserve"> М.Ф.Мухамадеев</w:t>
            </w:r>
          </w:p>
        </w:tc>
        <w:tc>
          <w:tcPr>
            <w:tcW w:w="3969" w:type="dxa"/>
            <w:shd w:val="clear" w:color="auto" w:fill="auto"/>
            <w:hideMark/>
          </w:tcPr>
          <w:p w:rsidR="006A784B" w:rsidRPr="000F252A" w:rsidRDefault="006A784B" w:rsidP="006A784B">
            <w:pPr>
              <w:jc w:val="both"/>
            </w:pPr>
            <w:r w:rsidRPr="000F252A">
              <w:t xml:space="preserve">01.04.2026 – письмо разработчиков на готовность ввода информационного продукта в промышленную эксплуатацию; </w:t>
            </w:r>
          </w:p>
          <w:p w:rsidR="006A784B" w:rsidRPr="000F252A" w:rsidRDefault="006A784B" w:rsidP="006A784B">
            <w:pPr>
              <w:jc w:val="both"/>
            </w:pPr>
            <w:r w:rsidRPr="000F252A">
              <w:t xml:space="preserve">01.05.2026 – отчет разработчика(-ов) о готовности продукта после тестирования информационного продукта; </w:t>
            </w:r>
          </w:p>
          <w:p w:rsidR="006A784B" w:rsidRPr="000F252A" w:rsidRDefault="006A784B" w:rsidP="006A784B">
            <w:pPr>
              <w:jc w:val="both"/>
            </w:pPr>
            <w:r w:rsidRPr="000F252A">
              <w:t xml:space="preserve">01.06.2026 – подписан акт приемки информационного продукта. </w:t>
            </w:r>
          </w:p>
          <w:p w:rsidR="006A784B" w:rsidRPr="000F252A" w:rsidRDefault="006A784B" w:rsidP="006A784B">
            <w:pPr>
              <w:jc w:val="both"/>
            </w:pPr>
            <w:r w:rsidRPr="000F252A">
              <w:t xml:space="preserve">Результаты: сокращение сроков ожидания начала специализированной помощи, сокращение очередей в полик-линиках ГАУЗ </w:t>
            </w:r>
            <w:r w:rsidRPr="000F252A">
              <w:rPr>
                <w:rFonts w:eastAsia="Arial"/>
              </w:rPr>
              <w:t>«РКОД МЗ РТ им.проф.М.З.Сигала»</w:t>
            </w:r>
            <w:r w:rsidRPr="000F252A">
              <w:t>, отсутвие необходимости приезжать пациентам на очную консультацию</w:t>
            </w:r>
          </w:p>
        </w:tc>
      </w:tr>
      <w:tr w:rsidR="006A784B" w:rsidRPr="009D3B11" w:rsidTr="00AC795F">
        <w:trPr>
          <w:trHeight w:val="20"/>
        </w:trPr>
        <w:tc>
          <w:tcPr>
            <w:tcW w:w="704" w:type="dxa"/>
            <w:shd w:val="clear" w:color="auto" w:fill="auto"/>
          </w:tcPr>
          <w:p w:rsidR="006A784B" w:rsidRPr="000F252A" w:rsidRDefault="006A784B" w:rsidP="006A784B">
            <w:pPr>
              <w:jc w:val="center"/>
            </w:pPr>
            <w:r w:rsidRPr="000F252A">
              <w:t>8.12.</w:t>
            </w:r>
          </w:p>
        </w:tc>
        <w:tc>
          <w:tcPr>
            <w:tcW w:w="3686" w:type="dxa"/>
            <w:shd w:val="clear" w:color="auto" w:fill="auto"/>
          </w:tcPr>
          <w:p w:rsidR="006A784B" w:rsidRPr="000F252A" w:rsidRDefault="006A784B" w:rsidP="006A784B">
            <w:pPr>
              <w:jc w:val="both"/>
            </w:pPr>
            <w:r w:rsidRPr="000F252A">
              <w:t xml:space="preserve">Обеспечение функционирования раздела «Обратная связь» на официальном сайте ГАУЗ </w:t>
            </w:r>
            <w:r w:rsidRPr="000F252A">
              <w:rPr>
                <w:rFonts w:eastAsia="Arial"/>
              </w:rPr>
              <w:t>«РКОД МЗ РТ им.проф.М.З.Сигала»</w:t>
            </w:r>
          </w:p>
        </w:tc>
        <w:tc>
          <w:tcPr>
            <w:tcW w:w="1474" w:type="dxa"/>
            <w:shd w:val="clear" w:color="auto" w:fill="auto"/>
          </w:tcPr>
          <w:p w:rsidR="006A784B" w:rsidRPr="000F252A" w:rsidRDefault="006A784B" w:rsidP="006A784B">
            <w:pPr>
              <w:jc w:val="center"/>
            </w:pPr>
            <w:r w:rsidRPr="000F252A">
              <w:t>01.01.2026</w:t>
            </w:r>
          </w:p>
        </w:tc>
        <w:tc>
          <w:tcPr>
            <w:tcW w:w="1418" w:type="dxa"/>
            <w:shd w:val="clear" w:color="auto" w:fill="auto"/>
          </w:tcPr>
          <w:p w:rsidR="006A784B" w:rsidRPr="000F252A" w:rsidRDefault="006A784B" w:rsidP="006A784B">
            <w:pPr>
              <w:jc w:val="center"/>
            </w:pPr>
            <w:r w:rsidRPr="000F252A">
              <w:t>31.12.2030</w:t>
            </w:r>
          </w:p>
        </w:tc>
        <w:tc>
          <w:tcPr>
            <w:tcW w:w="3912" w:type="dxa"/>
            <w:shd w:val="clear" w:color="auto" w:fill="auto"/>
          </w:tcPr>
          <w:p w:rsidR="006A784B" w:rsidRPr="000F252A" w:rsidRDefault="006A784B" w:rsidP="006A784B">
            <w:pPr>
              <w:jc w:val="both"/>
            </w:pPr>
            <w:r w:rsidRPr="000F252A">
              <w:t xml:space="preserve">главный врач ГАУЗ </w:t>
            </w:r>
            <w:r w:rsidRPr="000F252A">
              <w:rPr>
                <w:rFonts w:eastAsia="Arial"/>
              </w:rPr>
              <w:t>«РКОД МЗ РТ им.проф.М.З.Сигала»</w:t>
            </w:r>
            <w:r w:rsidRPr="000F252A">
              <w:t xml:space="preserve">  М.Ф.Мухамадеев</w:t>
            </w:r>
          </w:p>
        </w:tc>
        <w:tc>
          <w:tcPr>
            <w:tcW w:w="3969" w:type="dxa"/>
            <w:shd w:val="clear" w:color="auto" w:fill="auto"/>
          </w:tcPr>
          <w:p w:rsidR="006A784B" w:rsidRPr="000F252A" w:rsidRDefault="006A784B" w:rsidP="006A784B">
            <w:pPr>
              <w:jc w:val="both"/>
            </w:pPr>
            <w:r w:rsidRPr="000F252A">
              <w:t xml:space="preserve">ежегодное рассмотрение 100 процентов обращений, поступивших на официальный сайт ГАУЗ </w:t>
            </w:r>
            <w:r w:rsidRPr="000F252A">
              <w:rPr>
                <w:rFonts w:eastAsia="Arial"/>
              </w:rPr>
              <w:t>«РКОД МЗ РТ им.проф.М.З.Сигала»</w:t>
            </w:r>
          </w:p>
        </w:tc>
      </w:tr>
      <w:tr w:rsidR="006A784B" w:rsidRPr="009D3B11" w:rsidTr="005735AD">
        <w:trPr>
          <w:trHeight w:val="20"/>
        </w:trPr>
        <w:tc>
          <w:tcPr>
            <w:tcW w:w="15163" w:type="dxa"/>
            <w:gridSpan w:val="6"/>
            <w:shd w:val="clear" w:color="auto" w:fill="auto"/>
            <w:hideMark/>
          </w:tcPr>
          <w:p w:rsidR="006A784B" w:rsidRPr="000F252A" w:rsidRDefault="006A784B" w:rsidP="006A784B">
            <w:pPr>
              <w:jc w:val="center"/>
            </w:pPr>
            <w:r w:rsidRPr="000F252A">
              <w:t xml:space="preserve">9. Обеспечение укомплектованности кадрами медицинских организаций, оказывающих медицинскую помощь пациентам </w:t>
            </w:r>
          </w:p>
          <w:p w:rsidR="006A784B" w:rsidRPr="000F252A" w:rsidRDefault="006A784B" w:rsidP="006A784B">
            <w:pPr>
              <w:jc w:val="center"/>
            </w:pPr>
            <w:r w:rsidRPr="000F252A">
              <w:t>с онкологическими заболеваниями</w:t>
            </w:r>
          </w:p>
        </w:tc>
      </w:tr>
      <w:tr w:rsidR="006A784B" w:rsidRPr="009D3B11" w:rsidTr="00AC795F">
        <w:trPr>
          <w:trHeight w:val="20"/>
        </w:trPr>
        <w:tc>
          <w:tcPr>
            <w:tcW w:w="704" w:type="dxa"/>
            <w:shd w:val="clear" w:color="auto" w:fill="auto"/>
          </w:tcPr>
          <w:p w:rsidR="006A784B" w:rsidRPr="000F252A" w:rsidRDefault="006A784B" w:rsidP="006A784B">
            <w:pPr>
              <w:jc w:val="center"/>
            </w:pPr>
            <w:r w:rsidRPr="000F252A">
              <w:t>9.1.</w:t>
            </w:r>
          </w:p>
        </w:tc>
        <w:tc>
          <w:tcPr>
            <w:tcW w:w="3686" w:type="dxa"/>
            <w:shd w:val="clear" w:color="auto" w:fill="auto"/>
          </w:tcPr>
          <w:p w:rsidR="006A784B" w:rsidRPr="000F252A" w:rsidRDefault="006A784B" w:rsidP="006A784B">
            <w:pPr>
              <w:jc w:val="both"/>
            </w:pPr>
            <w:r w:rsidRPr="000F252A">
              <w:t>Определение потребности меди-цинских организаций в кадрах вра-</w:t>
            </w:r>
            <w:r w:rsidRPr="000F252A">
              <w:br/>
              <w:t>чей, в том числе врачей-онкологов, врачей – детских онкологов, врачей-гематологов, врачей-рентгенологов, врачей-эндоскопистов, врачей ультразвуковой диагностики, врачей клинической лабораторной диагностики, врачей-радиологов, врачей-радиотерапевтов, врачей по паллиативной медицинской помощи, врачей-патологоанатомов, и среднего медицинского персонала (в рамках регионального проекта «Медицинские кадры» (Республика Татарстан) на 2025 – 2030 годы)</w:t>
            </w:r>
          </w:p>
        </w:tc>
        <w:tc>
          <w:tcPr>
            <w:tcW w:w="1474" w:type="dxa"/>
            <w:shd w:val="clear" w:color="auto" w:fill="auto"/>
          </w:tcPr>
          <w:p w:rsidR="006A784B" w:rsidRPr="000F252A" w:rsidRDefault="006A784B" w:rsidP="006A784B">
            <w:pPr>
              <w:jc w:val="center"/>
            </w:pPr>
            <w:r w:rsidRPr="000F252A">
              <w:t>31.03.2026</w:t>
            </w:r>
          </w:p>
        </w:tc>
        <w:tc>
          <w:tcPr>
            <w:tcW w:w="1418" w:type="dxa"/>
            <w:shd w:val="clear" w:color="auto" w:fill="auto"/>
          </w:tcPr>
          <w:p w:rsidR="006A784B" w:rsidRPr="000F252A" w:rsidRDefault="006A784B" w:rsidP="006A784B">
            <w:pPr>
              <w:jc w:val="center"/>
            </w:pPr>
            <w:r w:rsidRPr="000F252A">
              <w:t>31.03.2030</w:t>
            </w:r>
          </w:p>
        </w:tc>
        <w:tc>
          <w:tcPr>
            <w:tcW w:w="3912" w:type="dxa"/>
            <w:shd w:val="clear" w:color="auto" w:fill="auto"/>
          </w:tcPr>
          <w:p w:rsidR="006A784B" w:rsidRPr="000F252A" w:rsidRDefault="006A784B" w:rsidP="006A784B">
            <w:pPr>
              <w:jc w:val="both"/>
            </w:pPr>
            <w:r w:rsidRPr="000F252A">
              <w:t>заместитель министра здравоохранения Республики Татарстан И.З.Сибгатов, руководители медицинских организаций Республики Татарстан</w:t>
            </w:r>
          </w:p>
        </w:tc>
        <w:tc>
          <w:tcPr>
            <w:tcW w:w="3969" w:type="dxa"/>
            <w:shd w:val="clear" w:color="auto" w:fill="auto"/>
          </w:tcPr>
          <w:p w:rsidR="006A784B" w:rsidRPr="000F252A" w:rsidRDefault="006A784B" w:rsidP="006A784B">
            <w:pPr>
              <w:jc w:val="both"/>
            </w:pPr>
            <w:r w:rsidRPr="000F252A">
              <w:t>определена потребность медицинских организаций в кадрах врачей и среднего медицинского персонала</w:t>
            </w:r>
          </w:p>
        </w:tc>
      </w:tr>
      <w:tr w:rsidR="006A784B" w:rsidRPr="009D3B11" w:rsidTr="00AC795F">
        <w:trPr>
          <w:trHeight w:val="20"/>
        </w:trPr>
        <w:tc>
          <w:tcPr>
            <w:tcW w:w="704" w:type="dxa"/>
            <w:shd w:val="clear" w:color="auto" w:fill="auto"/>
          </w:tcPr>
          <w:p w:rsidR="006A784B" w:rsidRPr="000F252A" w:rsidRDefault="006A784B" w:rsidP="006A784B">
            <w:pPr>
              <w:jc w:val="center"/>
            </w:pPr>
            <w:r w:rsidRPr="000F252A">
              <w:t>9.2.</w:t>
            </w:r>
          </w:p>
        </w:tc>
        <w:tc>
          <w:tcPr>
            <w:tcW w:w="3686" w:type="dxa"/>
            <w:shd w:val="clear" w:color="auto" w:fill="auto"/>
          </w:tcPr>
          <w:p w:rsidR="006A784B" w:rsidRPr="000F252A" w:rsidRDefault="006A784B" w:rsidP="006A784B">
            <w:pPr>
              <w:jc w:val="both"/>
            </w:pPr>
            <w:r w:rsidRPr="000F252A">
              <w:t xml:space="preserve">Определение источников привлечения необходимой численности врачебных кадров и среднего медицинского персонала (скорректированы контрольные цифры приема для специалистов с высшим образованием и объемов подготовки для специалистов со средним профессиональным образованием, переподготовки граждан по востребованным направлениям, задание на переподготовку граждан) (в рамках регионального проекта «Медицинские кадры» (Республика Татарстан) на 2025 – </w:t>
            </w:r>
            <w:r w:rsidRPr="000F252A">
              <w:br/>
              <w:t>2030 годы)</w:t>
            </w:r>
          </w:p>
        </w:tc>
        <w:tc>
          <w:tcPr>
            <w:tcW w:w="1474" w:type="dxa"/>
            <w:shd w:val="clear" w:color="auto" w:fill="auto"/>
          </w:tcPr>
          <w:p w:rsidR="006A784B" w:rsidRPr="000F252A" w:rsidRDefault="006A784B" w:rsidP="006A784B">
            <w:pPr>
              <w:jc w:val="center"/>
            </w:pPr>
            <w:r w:rsidRPr="000F252A">
              <w:t>01.04.2026</w:t>
            </w:r>
          </w:p>
        </w:tc>
        <w:tc>
          <w:tcPr>
            <w:tcW w:w="1418" w:type="dxa"/>
            <w:shd w:val="clear" w:color="auto" w:fill="auto"/>
          </w:tcPr>
          <w:p w:rsidR="006A784B" w:rsidRPr="000F252A" w:rsidRDefault="006A784B" w:rsidP="006A784B">
            <w:pPr>
              <w:jc w:val="center"/>
            </w:pPr>
            <w:r w:rsidRPr="000F252A">
              <w:t>30.06.2030</w:t>
            </w:r>
          </w:p>
        </w:tc>
        <w:tc>
          <w:tcPr>
            <w:tcW w:w="3912" w:type="dxa"/>
            <w:shd w:val="clear" w:color="auto" w:fill="auto"/>
          </w:tcPr>
          <w:p w:rsidR="006A784B" w:rsidRPr="000F252A" w:rsidRDefault="006A784B" w:rsidP="006A784B">
            <w:pPr>
              <w:jc w:val="both"/>
            </w:pPr>
            <w:r w:rsidRPr="000F252A">
              <w:t>заместитель министра здравоохранения Республики Татарстан И.З.Сибгатов</w:t>
            </w:r>
          </w:p>
        </w:tc>
        <w:tc>
          <w:tcPr>
            <w:tcW w:w="3969" w:type="dxa"/>
            <w:shd w:val="clear" w:color="auto" w:fill="auto"/>
          </w:tcPr>
          <w:p w:rsidR="006A784B" w:rsidRPr="000F252A" w:rsidRDefault="006A784B" w:rsidP="006A784B">
            <w:pPr>
              <w:jc w:val="both"/>
            </w:pPr>
            <w:r w:rsidRPr="000F252A">
              <w:t>определены источники привлечения необходимой численности врачебных кадров и среднего медицинского персонала</w:t>
            </w:r>
          </w:p>
        </w:tc>
      </w:tr>
      <w:tr w:rsidR="006A784B" w:rsidRPr="009D3B11" w:rsidTr="00AC795F">
        <w:trPr>
          <w:trHeight w:val="20"/>
        </w:trPr>
        <w:tc>
          <w:tcPr>
            <w:tcW w:w="704" w:type="dxa"/>
            <w:shd w:val="clear" w:color="auto" w:fill="auto"/>
          </w:tcPr>
          <w:p w:rsidR="006A784B" w:rsidRPr="000F252A" w:rsidRDefault="006A784B" w:rsidP="006A784B">
            <w:pPr>
              <w:jc w:val="center"/>
            </w:pPr>
            <w:r w:rsidRPr="000F252A">
              <w:t>9.3.</w:t>
            </w:r>
          </w:p>
        </w:tc>
        <w:tc>
          <w:tcPr>
            <w:tcW w:w="3686" w:type="dxa"/>
            <w:shd w:val="clear" w:color="auto" w:fill="auto"/>
          </w:tcPr>
          <w:p w:rsidR="006A784B" w:rsidRPr="000F252A" w:rsidRDefault="006A784B" w:rsidP="006A784B">
            <w:pPr>
              <w:jc w:val="both"/>
            </w:pPr>
            <w:r w:rsidRPr="000F252A">
              <w:t>Приняты меры по трудоустрой-ству работников на вакантные ра-</w:t>
            </w:r>
            <w:r w:rsidRPr="000F252A">
              <w:br/>
              <w:t>бочие места (в рамках регионального проекта «Медицинские кадры» (Республика Татарстан) на 2025 – 2030 годы)</w:t>
            </w:r>
          </w:p>
        </w:tc>
        <w:tc>
          <w:tcPr>
            <w:tcW w:w="1474" w:type="dxa"/>
            <w:shd w:val="clear" w:color="auto" w:fill="auto"/>
          </w:tcPr>
          <w:p w:rsidR="006A784B" w:rsidRPr="000F252A" w:rsidRDefault="006A784B" w:rsidP="006A784B">
            <w:pPr>
              <w:jc w:val="center"/>
            </w:pPr>
            <w:r w:rsidRPr="000F252A">
              <w:t>01.07.2026</w:t>
            </w:r>
          </w:p>
        </w:tc>
        <w:tc>
          <w:tcPr>
            <w:tcW w:w="1418" w:type="dxa"/>
            <w:shd w:val="clear" w:color="auto" w:fill="auto"/>
          </w:tcPr>
          <w:p w:rsidR="006A784B" w:rsidRPr="000F252A" w:rsidRDefault="006A784B" w:rsidP="006A784B">
            <w:pPr>
              <w:jc w:val="center"/>
            </w:pPr>
            <w:r w:rsidRPr="000F252A">
              <w:t>31.12.2030</w:t>
            </w:r>
          </w:p>
        </w:tc>
        <w:tc>
          <w:tcPr>
            <w:tcW w:w="3912" w:type="dxa"/>
            <w:shd w:val="clear" w:color="auto" w:fill="auto"/>
          </w:tcPr>
          <w:p w:rsidR="006A784B" w:rsidRPr="000F252A" w:rsidRDefault="006A784B" w:rsidP="006A784B">
            <w:pPr>
              <w:jc w:val="both"/>
            </w:pPr>
            <w:r w:rsidRPr="000F252A">
              <w:t>заместитель министра здравоохранения Республики Татарстан И.З.Сибгатов, руководители медицинских организаций Республики Татарстан</w:t>
            </w:r>
          </w:p>
        </w:tc>
        <w:tc>
          <w:tcPr>
            <w:tcW w:w="3969" w:type="dxa"/>
            <w:shd w:val="clear" w:color="auto" w:fill="auto"/>
          </w:tcPr>
          <w:p w:rsidR="006A784B" w:rsidRPr="000F252A" w:rsidRDefault="006A784B" w:rsidP="006A784B">
            <w:pPr>
              <w:jc w:val="both"/>
            </w:pPr>
            <w:r w:rsidRPr="000F252A">
              <w:t>трудоустройство работников на вакантные рабочие места ежегодно</w:t>
            </w:r>
          </w:p>
        </w:tc>
      </w:tr>
      <w:tr w:rsidR="006A784B" w:rsidRPr="009D3B11" w:rsidTr="00AC795F">
        <w:trPr>
          <w:trHeight w:val="20"/>
        </w:trPr>
        <w:tc>
          <w:tcPr>
            <w:tcW w:w="704" w:type="dxa"/>
            <w:shd w:val="clear" w:color="auto" w:fill="auto"/>
          </w:tcPr>
          <w:p w:rsidR="006A784B" w:rsidRPr="000F252A" w:rsidRDefault="006A784B" w:rsidP="006A784B">
            <w:pPr>
              <w:jc w:val="center"/>
            </w:pPr>
            <w:r w:rsidRPr="000F252A">
              <w:t>9.4.</w:t>
            </w:r>
          </w:p>
        </w:tc>
        <w:tc>
          <w:tcPr>
            <w:tcW w:w="3686" w:type="dxa"/>
            <w:shd w:val="clear" w:color="auto" w:fill="auto"/>
          </w:tcPr>
          <w:p w:rsidR="006A784B" w:rsidRPr="000F252A" w:rsidRDefault="006A784B" w:rsidP="006A784B">
            <w:pPr>
              <w:jc w:val="both"/>
            </w:pPr>
            <w:r w:rsidRPr="000F252A">
              <w:t>Подготовлен отчет об итогах направления врачей в медицинские организации Республики Татарстан (в рамках регионального проекта «Медицинские кадры» (Республика Татарстан) на 2025 – 2030 годы)</w:t>
            </w:r>
          </w:p>
        </w:tc>
        <w:tc>
          <w:tcPr>
            <w:tcW w:w="1474" w:type="dxa"/>
            <w:shd w:val="clear" w:color="auto" w:fill="auto"/>
          </w:tcPr>
          <w:p w:rsidR="006A784B" w:rsidRPr="000F252A" w:rsidRDefault="006A784B" w:rsidP="006A784B">
            <w:pPr>
              <w:jc w:val="center"/>
            </w:pPr>
            <w:r w:rsidRPr="000F252A">
              <w:t>31.12.2026</w:t>
            </w:r>
          </w:p>
        </w:tc>
        <w:tc>
          <w:tcPr>
            <w:tcW w:w="1418" w:type="dxa"/>
            <w:shd w:val="clear" w:color="auto" w:fill="auto"/>
          </w:tcPr>
          <w:p w:rsidR="006A784B" w:rsidRPr="000F252A" w:rsidRDefault="006A784B" w:rsidP="006A784B">
            <w:pPr>
              <w:jc w:val="center"/>
            </w:pPr>
            <w:r w:rsidRPr="000F252A">
              <w:t>31.12.2030</w:t>
            </w:r>
          </w:p>
        </w:tc>
        <w:tc>
          <w:tcPr>
            <w:tcW w:w="3912" w:type="dxa"/>
            <w:shd w:val="clear" w:color="auto" w:fill="auto"/>
          </w:tcPr>
          <w:p w:rsidR="006A784B" w:rsidRPr="000F252A" w:rsidRDefault="006A784B" w:rsidP="006A784B">
            <w:pPr>
              <w:jc w:val="both"/>
            </w:pPr>
            <w:r w:rsidRPr="000F252A">
              <w:t>заместитель министра здравоохранения Республики Татарстан И.З.Сибгатов</w:t>
            </w:r>
          </w:p>
        </w:tc>
        <w:tc>
          <w:tcPr>
            <w:tcW w:w="3969" w:type="dxa"/>
            <w:shd w:val="clear" w:color="auto" w:fill="auto"/>
          </w:tcPr>
          <w:p w:rsidR="006A784B" w:rsidRPr="000F252A" w:rsidRDefault="006A784B" w:rsidP="006A784B">
            <w:pPr>
              <w:jc w:val="both"/>
            </w:pPr>
            <w:r w:rsidRPr="000F252A">
              <w:t>отчет Министерства здравоохранения Республики Татарстан ежегодно</w:t>
            </w:r>
          </w:p>
        </w:tc>
      </w:tr>
      <w:tr w:rsidR="006A784B" w:rsidRPr="009D3B11" w:rsidTr="00AC795F">
        <w:trPr>
          <w:trHeight w:val="20"/>
        </w:trPr>
        <w:tc>
          <w:tcPr>
            <w:tcW w:w="704" w:type="dxa"/>
            <w:shd w:val="clear" w:color="auto" w:fill="auto"/>
          </w:tcPr>
          <w:p w:rsidR="006A784B" w:rsidRPr="000F252A" w:rsidRDefault="006A784B" w:rsidP="006A784B">
            <w:pPr>
              <w:jc w:val="center"/>
            </w:pPr>
            <w:r w:rsidRPr="000F252A">
              <w:t>9.5.</w:t>
            </w:r>
          </w:p>
        </w:tc>
        <w:tc>
          <w:tcPr>
            <w:tcW w:w="3686" w:type="dxa"/>
            <w:shd w:val="clear" w:color="auto" w:fill="auto"/>
          </w:tcPr>
          <w:p w:rsidR="006A784B" w:rsidRPr="000F252A" w:rsidRDefault="006A784B" w:rsidP="006A784B">
            <w:pPr>
              <w:jc w:val="both"/>
            </w:pPr>
            <w:r w:rsidRPr="000F252A">
              <w:t>Подготовка и утверждение региональной кадровой программы (ежегодно) (в рамках регионального проекта «Медицинские кадры» (Республика Татарстан) на 2025 – 2030 годы)</w:t>
            </w:r>
          </w:p>
        </w:tc>
        <w:tc>
          <w:tcPr>
            <w:tcW w:w="1474" w:type="dxa"/>
            <w:shd w:val="clear" w:color="auto" w:fill="auto"/>
          </w:tcPr>
          <w:p w:rsidR="006A784B" w:rsidRPr="000F252A" w:rsidRDefault="006A784B" w:rsidP="006A784B">
            <w:pPr>
              <w:jc w:val="center"/>
            </w:pPr>
            <w:r w:rsidRPr="000F252A">
              <w:t>30.04.2026</w:t>
            </w:r>
          </w:p>
        </w:tc>
        <w:tc>
          <w:tcPr>
            <w:tcW w:w="1418" w:type="dxa"/>
            <w:shd w:val="clear" w:color="auto" w:fill="auto"/>
          </w:tcPr>
          <w:p w:rsidR="006A784B" w:rsidRPr="000F252A" w:rsidRDefault="006A784B" w:rsidP="006A784B">
            <w:pPr>
              <w:jc w:val="center"/>
            </w:pPr>
            <w:r w:rsidRPr="000F252A">
              <w:t>31.12.2030</w:t>
            </w:r>
          </w:p>
        </w:tc>
        <w:tc>
          <w:tcPr>
            <w:tcW w:w="3912" w:type="dxa"/>
            <w:shd w:val="clear" w:color="auto" w:fill="auto"/>
          </w:tcPr>
          <w:p w:rsidR="006A784B" w:rsidRPr="000F252A" w:rsidRDefault="006A784B" w:rsidP="006A784B">
            <w:pPr>
              <w:jc w:val="both"/>
            </w:pPr>
            <w:r w:rsidRPr="000F252A">
              <w:t>заместитель министра здравоохранения Республики Татарстан И.З.Сибгатов</w:t>
            </w:r>
          </w:p>
        </w:tc>
        <w:tc>
          <w:tcPr>
            <w:tcW w:w="3969" w:type="dxa"/>
            <w:shd w:val="clear" w:color="auto" w:fill="auto"/>
          </w:tcPr>
          <w:p w:rsidR="006A784B" w:rsidRPr="000F252A" w:rsidRDefault="006A784B" w:rsidP="006A784B">
            <w:pPr>
              <w:jc w:val="both"/>
            </w:pPr>
            <w:r w:rsidRPr="000F252A">
              <w:t>приказ Министерства здравоохранения Республики Татарстан</w:t>
            </w:r>
          </w:p>
        </w:tc>
      </w:tr>
      <w:tr w:rsidR="006A784B" w:rsidRPr="009D3B11" w:rsidTr="00AC795F">
        <w:trPr>
          <w:trHeight w:val="20"/>
        </w:trPr>
        <w:tc>
          <w:tcPr>
            <w:tcW w:w="704" w:type="dxa"/>
            <w:shd w:val="clear" w:color="auto" w:fill="auto"/>
          </w:tcPr>
          <w:p w:rsidR="006A784B" w:rsidRPr="000F252A" w:rsidRDefault="006A784B" w:rsidP="006A784B">
            <w:pPr>
              <w:jc w:val="center"/>
            </w:pPr>
            <w:r w:rsidRPr="000F252A">
              <w:t>9.6.</w:t>
            </w:r>
          </w:p>
        </w:tc>
        <w:tc>
          <w:tcPr>
            <w:tcW w:w="3686" w:type="dxa"/>
            <w:shd w:val="clear" w:color="auto" w:fill="auto"/>
          </w:tcPr>
          <w:p w:rsidR="006A784B" w:rsidRPr="000F252A" w:rsidRDefault="006A784B" w:rsidP="006A784B">
            <w:pPr>
              <w:jc w:val="both"/>
            </w:pPr>
            <w:r w:rsidRPr="000F252A">
              <w:t>Создание регионального кадрового центра для организации управления персоналом Министерства здравоохранения Республики Татарстан</w:t>
            </w:r>
          </w:p>
        </w:tc>
        <w:tc>
          <w:tcPr>
            <w:tcW w:w="1474" w:type="dxa"/>
            <w:shd w:val="clear" w:color="auto" w:fill="auto"/>
          </w:tcPr>
          <w:p w:rsidR="006A784B" w:rsidRPr="000F252A" w:rsidRDefault="006A784B" w:rsidP="006A784B">
            <w:pPr>
              <w:jc w:val="center"/>
            </w:pPr>
            <w:r w:rsidRPr="000F252A">
              <w:t>01.03.2026</w:t>
            </w:r>
          </w:p>
        </w:tc>
        <w:tc>
          <w:tcPr>
            <w:tcW w:w="1418" w:type="dxa"/>
            <w:shd w:val="clear" w:color="auto" w:fill="auto"/>
          </w:tcPr>
          <w:p w:rsidR="006A784B" w:rsidRPr="000F252A" w:rsidRDefault="006A784B" w:rsidP="006A784B">
            <w:pPr>
              <w:jc w:val="center"/>
            </w:pPr>
            <w:r w:rsidRPr="000F252A">
              <w:t>31.12.2030</w:t>
            </w:r>
          </w:p>
        </w:tc>
        <w:tc>
          <w:tcPr>
            <w:tcW w:w="3912" w:type="dxa"/>
            <w:shd w:val="clear" w:color="auto" w:fill="auto"/>
          </w:tcPr>
          <w:p w:rsidR="006A784B" w:rsidRPr="000F252A" w:rsidRDefault="006A784B" w:rsidP="006A784B">
            <w:pPr>
              <w:jc w:val="both"/>
            </w:pPr>
            <w:r w:rsidRPr="000F252A">
              <w:t>заместитель министра здравоохранения Республики Татарстан И.З.Сибгатов</w:t>
            </w:r>
          </w:p>
        </w:tc>
        <w:tc>
          <w:tcPr>
            <w:tcW w:w="3969" w:type="dxa"/>
            <w:shd w:val="clear" w:color="auto" w:fill="auto"/>
          </w:tcPr>
          <w:p w:rsidR="006A784B" w:rsidRPr="000F252A" w:rsidRDefault="006A784B" w:rsidP="006A784B">
            <w:pPr>
              <w:jc w:val="both"/>
            </w:pPr>
            <w:r w:rsidRPr="000F252A">
              <w:t>функционирует региональный кадровый центр организации управления персоналом</w:t>
            </w:r>
          </w:p>
        </w:tc>
      </w:tr>
      <w:tr w:rsidR="006A784B" w:rsidRPr="009D3B11" w:rsidTr="00AC795F">
        <w:trPr>
          <w:trHeight w:val="2041"/>
        </w:trPr>
        <w:tc>
          <w:tcPr>
            <w:tcW w:w="704" w:type="dxa"/>
            <w:shd w:val="clear" w:color="auto" w:fill="auto"/>
          </w:tcPr>
          <w:p w:rsidR="006A784B" w:rsidRPr="000F252A" w:rsidRDefault="006A784B" w:rsidP="006A784B">
            <w:pPr>
              <w:jc w:val="center"/>
            </w:pPr>
            <w:r w:rsidRPr="000F252A">
              <w:t>9.7.</w:t>
            </w:r>
          </w:p>
        </w:tc>
        <w:tc>
          <w:tcPr>
            <w:tcW w:w="3686" w:type="dxa"/>
            <w:shd w:val="clear" w:color="auto" w:fill="auto"/>
          </w:tcPr>
          <w:p w:rsidR="006A784B" w:rsidRPr="000F252A" w:rsidRDefault="006A784B" w:rsidP="006A784B">
            <w:pPr>
              <w:jc w:val="both"/>
            </w:pPr>
            <w:r w:rsidRPr="000F252A">
              <w:t>Реализация региональной кадровой программы (в рамках регионального проекта «Медицинские кадры» (Республика Татарстан) на 2025 – 2030 годы)</w:t>
            </w:r>
          </w:p>
        </w:tc>
        <w:tc>
          <w:tcPr>
            <w:tcW w:w="1474" w:type="dxa"/>
            <w:shd w:val="clear" w:color="auto" w:fill="auto"/>
          </w:tcPr>
          <w:p w:rsidR="006A784B" w:rsidRPr="000F252A" w:rsidRDefault="006A784B" w:rsidP="006A784B">
            <w:pPr>
              <w:jc w:val="center"/>
            </w:pPr>
            <w:r w:rsidRPr="000F252A">
              <w:t>01.01.2026</w:t>
            </w:r>
          </w:p>
        </w:tc>
        <w:tc>
          <w:tcPr>
            <w:tcW w:w="1418" w:type="dxa"/>
            <w:shd w:val="clear" w:color="auto" w:fill="auto"/>
          </w:tcPr>
          <w:p w:rsidR="006A784B" w:rsidRPr="000F252A" w:rsidRDefault="006A784B" w:rsidP="006A784B">
            <w:pPr>
              <w:jc w:val="center"/>
            </w:pPr>
            <w:r w:rsidRPr="000F252A">
              <w:t>31.12.2030</w:t>
            </w:r>
          </w:p>
        </w:tc>
        <w:tc>
          <w:tcPr>
            <w:tcW w:w="3912" w:type="dxa"/>
            <w:shd w:val="clear" w:color="auto" w:fill="auto"/>
          </w:tcPr>
          <w:p w:rsidR="006A784B" w:rsidRPr="000F252A" w:rsidRDefault="006A784B" w:rsidP="006A784B">
            <w:pPr>
              <w:jc w:val="both"/>
            </w:pPr>
            <w:r w:rsidRPr="000F252A">
              <w:t>заместитель министра здравоохранения Республики Татарстан И.З.Сибгатов, руководители медицинских организаций Республики Татарстан</w:t>
            </w:r>
          </w:p>
        </w:tc>
        <w:tc>
          <w:tcPr>
            <w:tcW w:w="3969" w:type="dxa"/>
            <w:shd w:val="clear" w:color="auto" w:fill="auto"/>
          </w:tcPr>
          <w:p w:rsidR="006A784B" w:rsidRPr="000F252A" w:rsidRDefault="006A784B" w:rsidP="006A784B">
            <w:pPr>
              <w:jc w:val="both"/>
            </w:pPr>
            <w:r w:rsidRPr="000F252A">
              <w:t>региональная кадровая программа реализована;</w:t>
            </w:r>
          </w:p>
          <w:p w:rsidR="006A784B" w:rsidRPr="000F252A" w:rsidRDefault="006A784B" w:rsidP="006A784B">
            <w:pPr>
              <w:jc w:val="both"/>
            </w:pPr>
          </w:p>
          <w:p w:rsidR="006A784B" w:rsidRPr="000F252A" w:rsidRDefault="006A784B" w:rsidP="006A784B">
            <w:pPr>
              <w:jc w:val="both"/>
            </w:pPr>
            <w:r w:rsidRPr="000F252A">
              <w:t xml:space="preserve">обеспеченность населения врачами, работающими в медицинских организациях, участвующих в реализации Программы государственных гарантий бесплатного оказания гражданам медицинской помощи, на 10 тыс.населения: </w:t>
            </w:r>
          </w:p>
          <w:p w:rsidR="006A784B" w:rsidRPr="000F252A" w:rsidRDefault="006A784B" w:rsidP="006A784B">
            <w:pPr>
              <w:jc w:val="both"/>
            </w:pPr>
            <w:r w:rsidRPr="000F252A">
              <w:t xml:space="preserve">2026 г. – 35,4; </w:t>
            </w:r>
          </w:p>
          <w:p w:rsidR="006A784B" w:rsidRPr="000F252A" w:rsidRDefault="006A784B" w:rsidP="006A784B">
            <w:pPr>
              <w:jc w:val="both"/>
            </w:pPr>
            <w:r w:rsidRPr="000F252A">
              <w:t>2027 г. – 35,7;</w:t>
            </w:r>
          </w:p>
          <w:p w:rsidR="006A784B" w:rsidRPr="000F252A" w:rsidRDefault="006A784B" w:rsidP="006A784B">
            <w:pPr>
              <w:jc w:val="both"/>
            </w:pPr>
            <w:r w:rsidRPr="000F252A">
              <w:t xml:space="preserve">2028 г. – 36,0; </w:t>
            </w:r>
          </w:p>
          <w:p w:rsidR="006A784B" w:rsidRPr="000F252A" w:rsidRDefault="006A784B" w:rsidP="006A784B">
            <w:pPr>
              <w:jc w:val="both"/>
            </w:pPr>
            <w:r w:rsidRPr="000F252A">
              <w:t xml:space="preserve">2029 г. – 36,4; </w:t>
            </w:r>
          </w:p>
          <w:p w:rsidR="006A784B" w:rsidRPr="000F252A" w:rsidRDefault="006A784B" w:rsidP="006A784B">
            <w:pPr>
              <w:jc w:val="both"/>
            </w:pPr>
            <w:r w:rsidRPr="000F252A">
              <w:t>2030 г. – 36,7</w:t>
            </w:r>
          </w:p>
          <w:p w:rsidR="006A784B" w:rsidRPr="000F252A" w:rsidRDefault="006A784B" w:rsidP="006A784B">
            <w:pPr>
              <w:jc w:val="both"/>
            </w:pPr>
            <w:r w:rsidRPr="000F252A">
              <w:t>(базовый показатель, 2023 г. – 35,2);</w:t>
            </w:r>
          </w:p>
          <w:p w:rsidR="006A784B" w:rsidRPr="000F252A" w:rsidRDefault="006A784B" w:rsidP="006A784B">
            <w:pPr>
              <w:jc w:val="both"/>
            </w:pPr>
          </w:p>
          <w:p w:rsidR="006A784B" w:rsidRPr="000F252A" w:rsidRDefault="006A784B" w:rsidP="006A784B">
            <w:pPr>
              <w:jc w:val="both"/>
            </w:pPr>
            <w:r w:rsidRPr="000F252A">
              <w:t xml:space="preserve">обеспеченность населения средними медицинскими работниками, работающими в медицинских организациях, участвующих в реализации Программы государственных гарантий бесплатного оказания гражданам медицинской помощи, на 10 тыс.населения: </w:t>
            </w:r>
          </w:p>
          <w:p w:rsidR="006A784B" w:rsidRPr="000F252A" w:rsidRDefault="006A784B" w:rsidP="006A784B">
            <w:pPr>
              <w:jc w:val="both"/>
            </w:pPr>
            <w:r w:rsidRPr="000F252A">
              <w:t xml:space="preserve">2026 г. – 91,9; </w:t>
            </w:r>
          </w:p>
          <w:p w:rsidR="006A784B" w:rsidRPr="000F252A" w:rsidRDefault="006A784B" w:rsidP="006A784B">
            <w:pPr>
              <w:jc w:val="both"/>
            </w:pPr>
            <w:r w:rsidRPr="000F252A">
              <w:t xml:space="preserve">2027 г. – 92,2; </w:t>
            </w:r>
          </w:p>
          <w:p w:rsidR="006A784B" w:rsidRPr="000F252A" w:rsidRDefault="006A784B" w:rsidP="006A784B">
            <w:pPr>
              <w:jc w:val="both"/>
            </w:pPr>
            <w:r w:rsidRPr="000F252A">
              <w:t xml:space="preserve">2028 г. – 92,4; </w:t>
            </w:r>
          </w:p>
          <w:p w:rsidR="006A784B" w:rsidRPr="000F252A" w:rsidRDefault="006A784B" w:rsidP="006A784B">
            <w:pPr>
              <w:jc w:val="both"/>
            </w:pPr>
            <w:r w:rsidRPr="000F252A">
              <w:t xml:space="preserve">2029 г. – 92,6; </w:t>
            </w:r>
          </w:p>
          <w:p w:rsidR="006A784B" w:rsidRPr="000F252A" w:rsidRDefault="006A784B" w:rsidP="006A784B">
            <w:pPr>
              <w:jc w:val="both"/>
            </w:pPr>
            <w:r w:rsidRPr="000F252A">
              <w:t>2030 г. – 93,9</w:t>
            </w:r>
          </w:p>
          <w:p w:rsidR="006A784B" w:rsidRPr="000F252A" w:rsidRDefault="006A784B" w:rsidP="006A784B">
            <w:pPr>
              <w:jc w:val="both"/>
            </w:pPr>
            <w:r w:rsidRPr="000F252A">
              <w:t>(базовый показатель, 2023 г. – 91,6);</w:t>
            </w:r>
          </w:p>
          <w:p w:rsidR="006A784B" w:rsidRPr="000F252A" w:rsidRDefault="006A784B" w:rsidP="006A784B">
            <w:pPr>
              <w:jc w:val="both"/>
            </w:pPr>
          </w:p>
          <w:p w:rsidR="006A784B" w:rsidRPr="000F252A" w:rsidRDefault="006A784B" w:rsidP="006A784B">
            <w:pPr>
              <w:jc w:val="both"/>
            </w:pPr>
            <w:r w:rsidRPr="000F252A">
              <w:t xml:space="preserve">снижение дефицита врачей в государственных медицинских организациях, процентов: </w:t>
            </w:r>
          </w:p>
          <w:p w:rsidR="006A784B" w:rsidRPr="000F252A" w:rsidRDefault="006A784B" w:rsidP="006A784B">
            <w:pPr>
              <w:jc w:val="both"/>
            </w:pPr>
            <w:r w:rsidRPr="000F252A">
              <w:t xml:space="preserve">2026 г. – 90,0; </w:t>
            </w:r>
          </w:p>
          <w:p w:rsidR="006A784B" w:rsidRPr="000F252A" w:rsidRDefault="006A784B" w:rsidP="006A784B">
            <w:pPr>
              <w:jc w:val="both"/>
            </w:pPr>
            <w:r w:rsidRPr="000F252A">
              <w:t xml:space="preserve">2027 г. – 70,0; </w:t>
            </w:r>
          </w:p>
          <w:p w:rsidR="006A784B" w:rsidRPr="000F252A" w:rsidRDefault="006A784B" w:rsidP="006A784B">
            <w:pPr>
              <w:jc w:val="both"/>
            </w:pPr>
            <w:r w:rsidRPr="000F252A">
              <w:t xml:space="preserve">2028 г. – 50,0; </w:t>
            </w:r>
          </w:p>
          <w:p w:rsidR="006A784B" w:rsidRPr="000F252A" w:rsidRDefault="006A784B" w:rsidP="006A784B">
            <w:pPr>
              <w:jc w:val="both"/>
            </w:pPr>
            <w:r w:rsidRPr="000F252A">
              <w:t xml:space="preserve">2029 г. – 30,0; </w:t>
            </w:r>
          </w:p>
          <w:p w:rsidR="006A784B" w:rsidRPr="000F252A" w:rsidRDefault="006A784B" w:rsidP="006A784B">
            <w:pPr>
              <w:jc w:val="both"/>
            </w:pPr>
            <w:r w:rsidRPr="000F252A">
              <w:t>2030 г. – 5,0</w:t>
            </w:r>
          </w:p>
          <w:p w:rsidR="006A784B" w:rsidRPr="000F252A" w:rsidRDefault="006A784B" w:rsidP="006A784B">
            <w:pPr>
              <w:jc w:val="both"/>
            </w:pPr>
            <w:r w:rsidRPr="000F252A">
              <w:t>(баз</w:t>
            </w:r>
            <w:r w:rsidR="000E772A">
              <w:t>овый показатель, 2023 г. – 100)</w:t>
            </w:r>
          </w:p>
        </w:tc>
      </w:tr>
      <w:tr w:rsidR="006A784B" w:rsidRPr="009D3B11" w:rsidTr="00AC795F">
        <w:trPr>
          <w:trHeight w:val="20"/>
        </w:trPr>
        <w:tc>
          <w:tcPr>
            <w:tcW w:w="704" w:type="dxa"/>
            <w:shd w:val="clear" w:color="auto" w:fill="auto"/>
          </w:tcPr>
          <w:p w:rsidR="006A784B" w:rsidRPr="000F252A" w:rsidRDefault="006A784B" w:rsidP="006A784B">
            <w:pPr>
              <w:jc w:val="center"/>
            </w:pPr>
            <w:r w:rsidRPr="000F252A">
              <w:t>9.8.</w:t>
            </w:r>
          </w:p>
        </w:tc>
        <w:tc>
          <w:tcPr>
            <w:tcW w:w="3686" w:type="dxa"/>
            <w:shd w:val="clear" w:color="auto" w:fill="auto"/>
          </w:tcPr>
          <w:p w:rsidR="006A784B" w:rsidRPr="000F252A" w:rsidRDefault="006A784B" w:rsidP="006A784B">
            <w:pPr>
              <w:jc w:val="both"/>
            </w:pPr>
            <w:r w:rsidRPr="000F252A">
              <w:t xml:space="preserve">Профессиональная переподготовка и повышение квалификации врачей онкологов, радиотерапевтов, клинической лабораторной диагностики, рентгенологов, специалистов ультразвуковой диагностики, патологоанатомов на базе профильных кафедр Казанской государственной медицинской академии – филиала федерального государственного бюджетного образовательного учреждения дополнительного профессионального образования «Российская медицинская академия непрерывного профессионального образования» Министерства здравоохранения Российской Федерации  </w:t>
            </w:r>
          </w:p>
        </w:tc>
        <w:tc>
          <w:tcPr>
            <w:tcW w:w="1474" w:type="dxa"/>
            <w:shd w:val="clear" w:color="auto" w:fill="auto"/>
          </w:tcPr>
          <w:p w:rsidR="006A784B" w:rsidRPr="000F252A" w:rsidRDefault="006A784B" w:rsidP="006A784B">
            <w:pPr>
              <w:jc w:val="center"/>
            </w:pPr>
            <w:r w:rsidRPr="000F252A">
              <w:t>01.01.2026</w:t>
            </w:r>
          </w:p>
        </w:tc>
        <w:tc>
          <w:tcPr>
            <w:tcW w:w="1418" w:type="dxa"/>
            <w:shd w:val="clear" w:color="auto" w:fill="auto"/>
          </w:tcPr>
          <w:p w:rsidR="006A784B" w:rsidRPr="000F252A" w:rsidRDefault="006A784B" w:rsidP="006A784B">
            <w:pPr>
              <w:jc w:val="center"/>
            </w:pPr>
            <w:r w:rsidRPr="000F252A">
              <w:t>31.12.2030</w:t>
            </w:r>
          </w:p>
        </w:tc>
        <w:tc>
          <w:tcPr>
            <w:tcW w:w="3912" w:type="dxa"/>
            <w:shd w:val="clear" w:color="auto" w:fill="auto"/>
          </w:tcPr>
          <w:p w:rsidR="006A784B" w:rsidRPr="000F252A" w:rsidRDefault="006A784B" w:rsidP="006A784B">
            <w:pPr>
              <w:jc w:val="both"/>
            </w:pPr>
            <w:r w:rsidRPr="000F252A">
              <w:t>директор Казанской государственной медицинской академии – филиала федерального государственного бюджетного образовательного учреждения дополнительного профессионального образования «Российская медицинская академия непрерывного профессионального образования» Министерства здравоохранения Российской Федерации Р.Ш.Хасанов (по согласованию)</w:t>
            </w:r>
          </w:p>
        </w:tc>
        <w:tc>
          <w:tcPr>
            <w:tcW w:w="3969" w:type="dxa"/>
            <w:shd w:val="clear" w:color="auto" w:fill="auto"/>
          </w:tcPr>
          <w:p w:rsidR="006A784B" w:rsidRPr="000F252A" w:rsidRDefault="006A784B" w:rsidP="006A784B">
            <w:pPr>
              <w:jc w:val="both"/>
            </w:pPr>
            <w:r w:rsidRPr="000F252A">
              <w:t xml:space="preserve">число обученных специалистов по специальности «онкология» (профессиональная переподготовка / повышение квалификации): </w:t>
            </w:r>
          </w:p>
          <w:p w:rsidR="006A784B" w:rsidRPr="000F252A" w:rsidRDefault="006A784B" w:rsidP="006A784B">
            <w:pPr>
              <w:jc w:val="both"/>
            </w:pPr>
            <w:r w:rsidRPr="000F252A">
              <w:t xml:space="preserve">2026 г. – 4 человека / 310 человек; </w:t>
            </w:r>
          </w:p>
          <w:p w:rsidR="006A784B" w:rsidRPr="000F252A" w:rsidRDefault="006A784B" w:rsidP="006A784B">
            <w:pPr>
              <w:jc w:val="both"/>
            </w:pPr>
            <w:r w:rsidRPr="000F252A">
              <w:t xml:space="preserve">2027 г. – 4 человека / 300 человек; </w:t>
            </w:r>
          </w:p>
          <w:p w:rsidR="006A784B" w:rsidRPr="000F252A" w:rsidRDefault="006A784B" w:rsidP="006A784B">
            <w:pPr>
              <w:jc w:val="both"/>
            </w:pPr>
            <w:r w:rsidRPr="000F252A">
              <w:t xml:space="preserve">2028 г. – 4 человека / 300 человек; </w:t>
            </w:r>
          </w:p>
          <w:p w:rsidR="006A784B" w:rsidRPr="000F252A" w:rsidRDefault="006A784B" w:rsidP="006A784B">
            <w:pPr>
              <w:jc w:val="both"/>
            </w:pPr>
            <w:r w:rsidRPr="000F252A">
              <w:t xml:space="preserve">2029 г. – 4 человека / 290 человек; </w:t>
            </w:r>
          </w:p>
          <w:p w:rsidR="006A784B" w:rsidRPr="000F252A" w:rsidRDefault="006A784B" w:rsidP="006A784B">
            <w:pPr>
              <w:jc w:val="both"/>
            </w:pPr>
            <w:r w:rsidRPr="000F252A">
              <w:t>2030 г. – 4 человека / 290 человек;</w:t>
            </w:r>
          </w:p>
          <w:p w:rsidR="006A784B" w:rsidRPr="000F252A" w:rsidRDefault="006A784B" w:rsidP="006A784B">
            <w:pPr>
              <w:jc w:val="both"/>
            </w:pPr>
          </w:p>
          <w:p w:rsidR="006A784B" w:rsidRPr="000F252A" w:rsidRDefault="006A784B" w:rsidP="006A784B">
            <w:pPr>
              <w:jc w:val="both"/>
            </w:pPr>
            <w:r w:rsidRPr="000F252A">
              <w:t xml:space="preserve">число обученных специалистов по специальности «радиотерапия» (профессиональная переподготовка / повышение квалификации): </w:t>
            </w:r>
          </w:p>
          <w:p w:rsidR="006A784B" w:rsidRPr="000F252A" w:rsidRDefault="006A784B" w:rsidP="006A784B">
            <w:pPr>
              <w:jc w:val="both"/>
            </w:pPr>
            <w:r w:rsidRPr="000F252A">
              <w:t xml:space="preserve">2026 г. – 0 человек / 20 человек; </w:t>
            </w:r>
          </w:p>
          <w:p w:rsidR="006A784B" w:rsidRPr="000F252A" w:rsidRDefault="006A784B" w:rsidP="006A784B">
            <w:pPr>
              <w:jc w:val="both"/>
            </w:pPr>
            <w:r w:rsidRPr="000F252A">
              <w:t xml:space="preserve">2027 г. – 0 человек / 20 человек; </w:t>
            </w:r>
          </w:p>
          <w:p w:rsidR="006A784B" w:rsidRPr="000F252A" w:rsidRDefault="006A784B" w:rsidP="006A784B">
            <w:pPr>
              <w:jc w:val="both"/>
            </w:pPr>
            <w:r w:rsidRPr="000F252A">
              <w:t xml:space="preserve">2028 г. – 0 человек / 20 человек; </w:t>
            </w:r>
          </w:p>
          <w:p w:rsidR="006A784B" w:rsidRPr="000F252A" w:rsidRDefault="006A784B" w:rsidP="006A784B">
            <w:pPr>
              <w:jc w:val="both"/>
            </w:pPr>
            <w:r w:rsidRPr="000F252A">
              <w:t xml:space="preserve">2029 г. – 0 человек / 20 человек; </w:t>
            </w:r>
          </w:p>
          <w:p w:rsidR="006A784B" w:rsidRPr="000F252A" w:rsidRDefault="006A784B" w:rsidP="006A784B">
            <w:pPr>
              <w:jc w:val="both"/>
            </w:pPr>
            <w:r w:rsidRPr="000F252A">
              <w:t>2030 г. – 0 человек / 20 человек;</w:t>
            </w:r>
          </w:p>
          <w:p w:rsidR="006A784B" w:rsidRPr="000F252A" w:rsidRDefault="006A784B" w:rsidP="006A784B">
            <w:pPr>
              <w:jc w:val="both"/>
            </w:pPr>
          </w:p>
          <w:p w:rsidR="006A784B" w:rsidRPr="000F252A" w:rsidRDefault="006A784B" w:rsidP="006A784B">
            <w:pPr>
              <w:jc w:val="both"/>
            </w:pPr>
            <w:r w:rsidRPr="000F252A">
              <w:t xml:space="preserve">число обученных специалистов по специальности «клиническая лабораторная диагностика» (профессиональная переподготовка / повышение квалификации): </w:t>
            </w:r>
          </w:p>
          <w:p w:rsidR="006A784B" w:rsidRPr="000F252A" w:rsidRDefault="006A784B" w:rsidP="006A784B">
            <w:pPr>
              <w:jc w:val="both"/>
            </w:pPr>
            <w:r w:rsidRPr="000F252A">
              <w:t xml:space="preserve">2026 г. – 0 человек / 149 человек; </w:t>
            </w:r>
          </w:p>
          <w:p w:rsidR="006A784B" w:rsidRPr="000F252A" w:rsidRDefault="006A784B" w:rsidP="006A784B">
            <w:pPr>
              <w:jc w:val="both"/>
            </w:pPr>
            <w:r w:rsidRPr="000F252A">
              <w:t xml:space="preserve">2027 г. – 0 человек / 150 человек; </w:t>
            </w:r>
          </w:p>
          <w:p w:rsidR="006A784B" w:rsidRPr="000F252A" w:rsidRDefault="006A784B" w:rsidP="006A784B">
            <w:pPr>
              <w:jc w:val="both"/>
            </w:pPr>
            <w:r w:rsidRPr="000F252A">
              <w:t xml:space="preserve">2028 г. – 0 человек / 152 человек; </w:t>
            </w:r>
          </w:p>
          <w:p w:rsidR="006A784B" w:rsidRPr="000F252A" w:rsidRDefault="006A784B" w:rsidP="006A784B">
            <w:pPr>
              <w:jc w:val="both"/>
            </w:pPr>
            <w:r w:rsidRPr="000F252A">
              <w:t xml:space="preserve">2029 г. – 0 человек / 150 человек; </w:t>
            </w:r>
          </w:p>
          <w:p w:rsidR="006A784B" w:rsidRPr="000F252A" w:rsidRDefault="006A784B" w:rsidP="006A784B">
            <w:pPr>
              <w:jc w:val="both"/>
            </w:pPr>
            <w:r w:rsidRPr="000F252A">
              <w:t>2030 г. – 0 человек / 150 человек;</w:t>
            </w:r>
          </w:p>
          <w:p w:rsidR="006A784B" w:rsidRPr="000F252A" w:rsidRDefault="006A784B" w:rsidP="006A784B">
            <w:pPr>
              <w:jc w:val="both"/>
            </w:pPr>
          </w:p>
          <w:p w:rsidR="006A784B" w:rsidRPr="000F252A" w:rsidRDefault="006A784B" w:rsidP="006A784B">
            <w:pPr>
              <w:jc w:val="both"/>
            </w:pPr>
            <w:r w:rsidRPr="000F252A">
              <w:t xml:space="preserve">число обученных специалистов по специальности «ультразвуковая диагностика» (профессиональная переподготовка / повышение квалификации): </w:t>
            </w:r>
          </w:p>
          <w:p w:rsidR="006A784B" w:rsidRPr="000F252A" w:rsidRDefault="006A784B" w:rsidP="006A784B">
            <w:pPr>
              <w:jc w:val="both"/>
            </w:pPr>
            <w:r w:rsidRPr="000F252A">
              <w:t xml:space="preserve">2026 г. – 11 человек / 118 человек; </w:t>
            </w:r>
          </w:p>
          <w:p w:rsidR="006A784B" w:rsidRPr="000F252A" w:rsidRDefault="006A784B" w:rsidP="006A784B">
            <w:pPr>
              <w:jc w:val="both"/>
            </w:pPr>
            <w:r w:rsidRPr="000F252A">
              <w:t xml:space="preserve">2027 г. – 10 человек / 115 человек; </w:t>
            </w:r>
          </w:p>
          <w:p w:rsidR="006A784B" w:rsidRPr="000F252A" w:rsidRDefault="006A784B" w:rsidP="006A784B">
            <w:pPr>
              <w:jc w:val="both"/>
            </w:pPr>
            <w:r w:rsidRPr="000F252A">
              <w:t xml:space="preserve">2028 г. – 10 человек / 115 человек; </w:t>
            </w:r>
          </w:p>
          <w:p w:rsidR="006A784B" w:rsidRPr="000F252A" w:rsidRDefault="006A784B" w:rsidP="006A784B">
            <w:pPr>
              <w:jc w:val="both"/>
            </w:pPr>
            <w:r w:rsidRPr="000F252A">
              <w:t xml:space="preserve">2029 г. – 10 человек / 110 человек; </w:t>
            </w:r>
          </w:p>
          <w:p w:rsidR="006A784B" w:rsidRPr="000F252A" w:rsidRDefault="006A784B" w:rsidP="006A784B">
            <w:pPr>
              <w:jc w:val="both"/>
            </w:pPr>
            <w:r w:rsidRPr="000F252A">
              <w:t xml:space="preserve">2030 г. – 10 человек / 105 человек; </w:t>
            </w:r>
          </w:p>
          <w:p w:rsidR="006A784B" w:rsidRPr="000F252A" w:rsidRDefault="006A784B" w:rsidP="006A784B">
            <w:pPr>
              <w:jc w:val="both"/>
            </w:pPr>
          </w:p>
          <w:p w:rsidR="006A784B" w:rsidRPr="000F252A" w:rsidRDefault="006A784B" w:rsidP="006A784B">
            <w:pPr>
              <w:jc w:val="both"/>
            </w:pPr>
            <w:r w:rsidRPr="000F252A">
              <w:t xml:space="preserve">число обученных специалистов по специальности «рентгенология» (профессиональная переподготовка / повышение квалификации): </w:t>
            </w:r>
          </w:p>
          <w:p w:rsidR="006A784B" w:rsidRPr="000F252A" w:rsidRDefault="006A784B" w:rsidP="006A784B">
            <w:pPr>
              <w:jc w:val="both"/>
            </w:pPr>
            <w:r w:rsidRPr="000F252A">
              <w:t xml:space="preserve">2026 г. – 4 человека / 157 человек; </w:t>
            </w:r>
          </w:p>
          <w:p w:rsidR="006A784B" w:rsidRPr="000F252A" w:rsidRDefault="006A784B" w:rsidP="006A784B">
            <w:pPr>
              <w:jc w:val="both"/>
            </w:pPr>
            <w:r w:rsidRPr="000F252A">
              <w:t xml:space="preserve">2027 г. – 4 человека / 150 человек; </w:t>
            </w:r>
          </w:p>
          <w:p w:rsidR="006A784B" w:rsidRPr="000F252A" w:rsidRDefault="006A784B" w:rsidP="006A784B">
            <w:pPr>
              <w:jc w:val="both"/>
            </w:pPr>
            <w:r w:rsidRPr="000F252A">
              <w:t xml:space="preserve">2028 г. – 4 человека / 145 человек; </w:t>
            </w:r>
          </w:p>
          <w:p w:rsidR="006A784B" w:rsidRPr="000F252A" w:rsidRDefault="006A784B" w:rsidP="006A784B">
            <w:pPr>
              <w:jc w:val="both"/>
            </w:pPr>
            <w:r w:rsidRPr="000F252A">
              <w:t xml:space="preserve">2029 г. – 4 человека / 142 человека; </w:t>
            </w:r>
          </w:p>
          <w:p w:rsidR="006A784B" w:rsidRPr="000F252A" w:rsidRDefault="006A784B" w:rsidP="006A784B">
            <w:pPr>
              <w:jc w:val="both"/>
            </w:pPr>
            <w:r w:rsidRPr="000F252A">
              <w:t xml:space="preserve">2030 г. – 4 человека / 140 человек; </w:t>
            </w:r>
          </w:p>
          <w:p w:rsidR="006A784B" w:rsidRPr="000F252A" w:rsidRDefault="006A784B" w:rsidP="006A784B">
            <w:pPr>
              <w:jc w:val="both"/>
            </w:pPr>
          </w:p>
          <w:p w:rsidR="006A784B" w:rsidRPr="000F252A" w:rsidRDefault="006A784B" w:rsidP="006A784B">
            <w:pPr>
              <w:jc w:val="both"/>
            </w:pPr>
            <w:r w:rsidRPr="000F252A">
              <w:t xml:space="preserve">число обученных специалистов по специальности «патологическая анатомия» (профессиональная переподготовка / повышение квалификации): </w:t>
            </w:r>
          </w:p>
          <w:p w:rsidR="006A784B" w:rsidRPr="000F252A" w:rsidRDefault="006A784B" w:rsidP="006A784B">
            <w:pPr>
              <w:jc w:val="both"/>
            </w:pPr>
            <w:r w:rsidRPr="000F252A">
              <w:t xml:space="preserve">2026 г. – 0 человек / 10 человек; </w:t>
            </w:r>
          </w:p>
          <w:p w:rsidR="006A784B" w:rsidRPr="000F252A" w:rsidRDefault="006A784B" w:rsidP="006A784B">
            <w:pPr>
              <w:jc w:val="both"/>
            </w:pPr>
            <w:r w:rsidRPr="000F252A">
              <w:t xml:space="preserve">2027 г. – 0 человек / 12 человек; </w:t>
            </w:r>
          </w:p>
          <w:p w:rsidR="006A784B" w:rsidRPr="000F252A" w:rsidRDefault="006A784B" w:rsidP="006A784B">
            <w:pPr>
              <w:jc w:val="both"/>
            </w:pPr>
            <w:r w:rsidRPr="000F252A">
              <w:t xml:space="preserve">2028 г. – 0 человек / 10 человек; </w:t>
            </w:r>
          </w:p>
          <w:p w:rsidR="006A784B" w:rsidRPr="000F252A" w:rsidRDefault="006A784B" w:rsidP="006A784B">
            <w:pPr>
              <w:jc w:val="both"/>
            </w:pPr>
            <w:r w:rsidRPr="000F252A">
              <w:t xml:space="preserve">2029 г. – 0 человек / 10 человек; </w:t>
            </w:r>
          </w:p>
          <w:p w:rsidR="006A784B" w:rsidRPr="000F252A" w:rsidRDefault="006A784B" w:rsidP="006A784B">
            <w:pPr>
              <w:jc w:val="both"/>
            </w:pPr>
            <w:r w:rsidRPr="000F252A">
              <w:t xml:space="preserve">2030 г. – 0 человек / 10 человек </w:t>
            </w:r>
          </w:p>
        </w:tc>
      </w:tr>
      <w:tr w:rsidR="006A784B" w:rsidRPr="009D3B11" w:rsidTr="00AC795F">
        <w:trPr>
          <w:trHeight w:val="20"/>
        </w:trPr>
        <w:tc>
          <w:tcPr>
            <w:tcW w:w="704" w:type="dxa"/>
            <w:shd w:val="clear" w:color="auto" w:fill="auto"/>
            <w:hideMark/>
          </w:tcPr>
          <w:p w:rsidR="006A784B" w:rsidRPr="000F252A" w:rsidRDefault="006A784B" w:rsidP="006A784B">
            <w:pPr>
              <w:jc w:val="center"/>
            </w:pPr>
            <w:r w:rsidRPr="000F252A">
              <w:t>9.9.</w:t>
            </w:r>
          </w:p>
        </w:tc>
        <w:tc>
          <w:tcPr>
            <w:tcW w:w="3686" w:type="dxa"/>
            <w:shd w:val="clear" w:color="auto" w:fill="auto"/>
            <w:hideMark/>
          </w:tcPr>
          <w:p w:rsidR="006A784B" w:rsidRPr="000F252A" w:rsidRDefault="006A784B" w:rsidP="006A784B">
            <w:pPr>
              <w:jc w:val="both"/>
            </w:pPr>
            <w:r w:rsidRPr="000F252A">
              <w:t xml:space="preserve">Формирование и реализация пла-на ГАУЗ </w:t>
            </w:r>
            <w:r w:rsidRPr="000F252A">
              <w:rPr>
                <w:rFonts w:eastAsia="Arial"/>
              </w:rPr>
              <w:t>«РКОД МЗ РТ им.проф.М.З.Сигала»</w:t>
            </w:r>
            <w:r w:rsidR="000E772A">
              <w:t xml:space="preserve"> </w:t>
            </w:r>
            <w:r w:rsidRPr="000F252A">
              <w:t>по целевому обучению врачей, участвующих в оказании онкологической помощи</w:t>
            </w:r>
          </w:p>
        </w:tc>
        <w:tc>
          <w:tcPr>
            <w:tcW w:w="1474" w:type="dxa"/>
            <w:shd w:val="clear" w:color="auto" w:fill="auto"/>
            <w:hideMark/>
          </w:tcPr>
          <w:p w:rsidR="006A784B" w:rsidRPr="000F252A" w:rsidRDefault="006A784B" w:rsidP="006A784B">
            <w:pPr>
              <w:jc w:val="center"/>
            </w:pPr>
            <w:r w:rsidRPr="000F252A">
              <w:t>09.01.2026</w:t>
            </w:r>
          </w:p>
        </w:tc>
        <w:tc>
          <w:tcPr>
            <w:tcW w:w="1418" w:type="dxa"/>
            <w:shd w:val="clear" w:color="auto" w:fill="auto"/>
            <w:hideMark/>
          </w:tcPr>
          <w:p w:rsidR="006A784B" w:rsidRPr="000F252A" w:rsidRDefault="006A784B" w:rsidP="006A784B">
            <w:pPr>
              <w:jc w:val="center"/>
            </w:pPr>
            <w:r w:rsidRPr="000F252A">
              <w:t>31.12.2030</w:t>
            </w:r>
          </w:p>
        </w:tc>
        <w:tc>
          <w:tcPr>
            <w:tcW w:w="3912" w:type="dxa"/>
            <w:shd w:val="clear" w:color="auto" w:fill="auto"/>
            <w:hideMark/>
          </w:tcPr>
          <w:p w:rsidR="006A784B" w:rsidRPr="000F252A" w:rsidRDefault="006A784B" w:rsidP="006A784B">
            <w:pPr>
              <w:jc w:val="both"/>
            </w:pPr>
            <w:r w:rsidRPr="000F252A">
              <w:t xml:space="preserve">главный врач ГАУЗ </w:t>
            </w:r>
            <w:r w:rsidRPr="000F252A">
              <w:rPr>
                <w:rFonts w:eastAsia="Arial"/>
              </w:rPr>
              <w:t>«РКОД МЗ РТ им.проф.М.З.Сигала»</w:t>
            </w:r>
            <w:r w:rsidRPr="000F252A">
              <w:t xml:space="preserve"> М.Ф.Мухамадеев</w:t>
            </w:r>
          </w:p>
        </w:tc>
        <w:tc>
          <w:tcPr>
            <w:tcW w:w="3969" w:type="dxa"/>
            <w:shd w:val="clear" w:color="auto" w:fill="auto"/>
            <w:hideMark/>
          </w:tcPr>
          <w:p w:rsidR="006A784B" w:rsidRPr="000F252A" w:rsidRDefault="006A784B" w:rsidP="006A784B">
            <w:pPr>
              <w:jc w:val="both"/>
            </w:pPr>
            <w:r w:rsidRPr="000F252A">
              <w:t xml:space="preserve">реализован план целевого обучения специалистов; </w:t>
            </w:r>
          </w:p>
          <w:p w:rsidR="006A784B" w:rsidRPr="000F252A" w:rsidRDefault="006A784B" w:rsidP="006A784B">
            <w:pPr>
              <w:jc w:val="both"/>
            </w:pPr>
          </w:p>
          <w:p w:rsidR="006A784B" w:rsidRPr="000F252A" w:rsidRDefault="006A784B" w:rsidP="006A784B">
            <w:pPr>
              <w:jc w:val="both"/>
            </w:pPr>
            <w:r w:rsidRPr="000F252A">
              <w:t xml:space="preserve">заключены соглашения: </w:t>
            </w:r>
          </w:p>
          <w:p w:rsidR="006A784B" w:rsidRPr="000F252A" w:rsidRDefault="006A784B" w:rsidP="006A784B">
            <w:pPr>
              <w:jc w:val="both"/>
            </w:pPr>
            <w:r w:rsidRPr="000F252A">
              <w:t>2026 г. – 8 человек;</w:t>
            </w:r>
          </w:p>
          <w:p w:rsidR="006A784B" w:rsidRPr="000F252A" w:rsidRDefault="006A784B" w:rsidP="006A784B">
            <w:pPr>
              <w:jc w:val="both"/>
            </w:pPr>
            <w:r w:rsidRPr="000F252A">
              <w:t xml:space="preserve">2027 г. – 8 человек; </w:t>
            </w:r>
          </w:p>
          <w:p w:rsidR="006A784B" w:rsidRPr="000F252A" w:rsidRDefault="006A784B" w:rsidP="006A784B">
            <w:pPr>
              <w:jc w:val="both"/>
            </w:pPr>
            <w:r w:rsidRPr="000F252A">
              <w:t xml:space="preserve">2028 г. – 5 человек; </w:t>
            </w:r>
          </w:p>
          <w:p w:rsidR="006A784B" w:rsidRPr="000F252A" w:rsidRDefault="006A784B" w:rsidP="006A784B">
            <w:pPr>
              <w:jc w:val="both"/>
            </w:pPr>
            <w:r w:rsidRPr="000F252A">
              <w:t xml:space="preserve">2029 г. – 6 человек; </w:t>
            </w:r>
          </w:p>
          <w:p w:rsidR="006A784B" w:rsidRPr="000F252A" w:rsidRDefault="006A784B" w:rsidP="006A784B">
            <w:pPr>
              <w:jc w:val="both"/>
            </w:pPr>
            <w:r w:rsidRPr="000F252A">
              <w:t>2030 г. – 8 человек</w:t>
            </w:r>
          </w:p>
        </w:tc>
      </w:tr>
      <w:tr w:rsidR="006A784B" w:rsidRPr="009D3B11" w:rsidTr="00AC795F">
        <w:trPr>
          <w:trHeight w:val="20"/>
        </w:trPr>
        <w:tc>
          <w:tcPr>
            <w:tcW w:w="704" w:type="dxa"/>
            <w:shd w:val="clear" w:color="auto" w:fill="auto"/>
          </w:tcPr>
          <w:p w:rsidR="006A784B" w:rsidRPr="000F252A" w:rsidRDefault="006A784B" w:rsidP="006A784B">
            <w:pPr>
              <w:jc w:val="center"/>
            </w:pPr>
            <w:r w:rsidRPr="000F252A">
              <w:t>9.10.</w:t>
            </w:r>
          </w:p>
        </w:tc>
        <w:tc>
          <w:tcPr>
            <w:tcW w:w="3686" w:type="dxa"/>
            <w:shd w:val="clear" w:color="auto" w:fill="auto"/>
          </w:tcPr>
          <w:p w:rsidR="006A784B" w:rsidRPr="000F252A" w:rsidRDefault="006A784B" w:rsidP="006A784B">
            <w:pPr>
              <w:jc w:val="both"/>
            </w:pPr>
            <w:r w:rsidRPr="000F252A">
              <w:t xml:space="preserve">Формирование и реализация пла-на ГАУЗ </w:t>
            </w:r>
            <w:r w:rsidRPr="000F252A">
              <w:rPr>
                <w:rFonts w:eastAsia="Arial"/>
              </w:rPr>
              <w:t>«РКОД МЗ РТ им.проф.М.З.Сигала»</w:t>
            </w:r>
            <w:r w:rsidRPr="000F252A">
              <w:t xml:space="preserve"> по профессиональной переподготовке и повышению квалификации (в том числе за счет средств нормированного страхового запаса фонда обязательного медицинского страхования) врачей и среднего медицинского персонала на базе образовательных учреждений высшего и среднего образования</w:t>
            </w:r>
          </w:p>
        </w:tc>
        <w:tc>
          <w:tcPr>
            <w:tcW w:w="1474" w:type="dxa"/>
            <w:shd w:val="clear" w:color="auto" w:fill="auto"/>
          </w:tcPr>
          <w:p w:rsidR="006A784B" w:rsidRPr="000F252A" w:rsidRDefault="006A784B" w:rsidP="006A784B">
            <w:pPr>
              <w:jc w:val="center"/>
            </w:pPr>
            <w:r w:rsidRPr="000F252A">
              <w:t>09.01.2026</w:t>
            </w:r>
          </w:p>
        </w:tc>
        <w:tc>
          <w:tcPr>
            <w:tcW w:w="1418" w:type="dxa"/>
            <w:shd w:val="clear" w:color="auto" w:fill="auto"/>
          </w:tcPr>
          <w:p w:rsidR="006A784B" w:rsidRPr="000F252A" w:rsidRDefault="006A784B" w:rsidP="006A784B">
            <w:pPr>
              <w:jc w:val="center"/>
            </w:pPr>
            <w:r w:rsidRPr="000F252A">
              <w:t>31.12.2030</w:t>
            </w:r>
          </w:p>
        </w:tc>
        <w:tc>
          <w:tcPr>
            <w:tcW w:w="3912" w:type="dxa"/>
            <w:shd w:val="clear" w:color="auto" w:fill="auto"/>
          </w:tcPr>
          <w:p w:rsidR="006A784B" w:rsidRPr="000F252A" w:rsidRDefault="006A784B" w:rsidP="006A784B">
            <w:pPr>
              <w:jc w:val="both"/>
            </w:pPr>
            <w:r w:rsidRPr="000F252A">
              <w:t xml:space="preserve">главный врач ГАУЗ </w:t>
            </w:r>
            <w:r w:rsidRPr="000F252A">
              <w:rPr>
                <w:rFonts w:eastAsia="Arial"/>
              </w:rPr>
              <w:t>«РКОД МЗ РТ им.проф.М.З.Сигала»</w:t>
            </w:r>
            <w:r w:rsidRPr="000F252A">
              <w:t xml:space="preserve"> М.Ф.Мухамадеев</w:t>
            </w:r>
          </w:p>
        </w:tc>
        <w:tc>
          <w:tcPr>
            <w:tcW w:w="3969" w:type="dxa"/>
            <w:shd w:val="clear" w:color="auto" w:fill="auto"/>
          </w:tcPr>
          <w:p w:rsidR="006A784B" w:rsidRPr="000F252A" w:rsidRDefault="006A784B" w:rsidP="006A784B">
            <w:pPr>
              <w:jc w:val="both"/>
            </w:pPr>
            <w:r w:rsidRPr="000F252A">
              <w:t xml:space="preserve">реализован план по профессиональной переподготовке: </w:t>
            </w:r>
          </w:p>
          <w:p w:rsidR="006A784B" w:rsidRPr="000F252A" w:rsidRDefault="006A784B" w:rsidP="006A784B">
            <w:pPr>
              <w:jc w:val="both"/>
            </w:pPr>
            <w:r w:rsidRPr="000F252A">
              <w:t xml:space="preserve">2026 г. – 2 врача-онколога и 2 человека среднего медицинского персонала; </w:t>
            </w:r>
          </w:p>
          <w:p w:rsidR="006A784B" w:rsidRPr="000F252A" w:rsidRDefault="006A784B" w:rsidP="006A784B">
            <w:pPr>
              <w:jc w:val="both"/>
            </w:pPr>
            <w:r w:rsidRPr="000F252A">
              <w:t xml:space="preserve">2027 г. – 2 врача-радиотерапевта; </w:t>
            </w:r>
          </w:p>
          <w:p w:rsidR="006A784B" w:rsidRPr="000F252A" w:rsidRDefault="006A784B" w:rsidP="006A784B">
            <w:pPr>
              <w:jc w:val="both"/>
            </w:pPr>
            <w:r w:rsidRPr="000F252A">
              <w:t xml:space="preserve">2028 г. – 2 врача (в том числе 1 врач-онколог и 1 врач рентгенэндоваскулярной диагностики и лечения) и 4 человека среднего медицинского персонала; </w:t>
            </w:r>
          </w:p>
          <w:p w:rsidR="006A784B" w:rsidRPr="000F252A" w:rsidRDefault="006A784B" w:rsidP="006A784B">
            <w:pPr>
              <w:jc w:val="both"/>
            </w:pPr>
            <w:r w:rsidRPr="000F252A">
              <w:t xml:space="preserve">2029 г. – 3 врача и 3 человека среднего медицинского персонала; </w:t>
            </w:r>
          </w:p>
          <w:p w:rsidR="006A784B" w:rsidRPr="000F252A" w:rsidRDefault="006A784B" w:rsidP="006A784B">
            <w:pPr>
              <w:jc w:val="both"/>
            </w:pPr>
            <w:r w:rsidRPr="000F252A">
              <w:t xml:space="preserve">2030 г. – 3 врача и 3 человека среднего медицинского персонала; </w:t>
            </w:r>
          </w:p>
          <w:p w:rsidR="006A784B" w:rsidRPr="000F252A" w:rsidRDefault="006A784B" w:rsidP="006A784B">
            <w:pPr>
              <w:jc w:val="both"/>
            </w:pPr>
          </w:p>
          <w:p w:rsidR="006A784B" w:rsidRPr="000F252A" w:rsidRDefault="006A784B" w:rsidP="006A784B">
            <w:pPr>
              <w:jc w:val="both"/>
            </w:pPr>
            <w:r w:rsidRPr="000F252A">
              <w:t xml:space="preserve">реализован план по повышению квалификации: </w:t>
            </w:r>
          </w:p>
          <w:p w:rsidR="006A784B" w:rsidRPr="000F252A" w:rsidRDefault="006A784B" w:rsidP="006A784B">
            <w:pPr>
              <w:jc w:val="both"/>
            </w:pPr>
            <w:r w:rsidRPr="000F252A">
              <w:t xml:space="preserve">2026 г. – 168 врачей и 219 человек среднего медицинского персонала; </w:t>
            </w:r>
          </w:p>
          <w:p w:rsidR="006A784B" w:rsidRPr="000F252A" w:rsidRDefault="006A784B" w:rsidP="006A784B">
            <w:pPr>
              <w:jc w:val="both"/>
            </w:pPr>
            <w:r w:rsidRPr="000F252A">
              <w:t xml:space="preserve">2027 г. – 123 врача и 250 человек среднего медицинского персонала; </w:t>
            </w:r>
          </w:p>
          <w:p w:rsidR="006A784B" w:rsidRPr="000F252A" w:rsidRDefault="006A784B" w:rsidP="006A784B">
            <w:pPr>
              <w:jc w:val="both"/>
            </w:pPr>
            <w:r w:rsidRPr="000F252A">
              <w:t xml:space="preserve">2028 г. – 135 врачей и 270 человек среднего медицинского персонала; </w:t>
            </w:r>
          </w:p>
          <w:p w:rsidR="006A784B" w:rsidRPr="000F252A" w:rsidRDefault="006A784B" w:rsidP="006A784B">
            <w:pPr>
              <w:jc w:val="both"/>
            </w:pPr>
            <w:r w:rsidRPr="000F252A">
              <w:t xml:space="preserve">2029 г. – 120 врачей и 250 человек среднего медицинского персонала; </w:t>
            </w:r>
          </w:p>
          <w:p w:rsidR="006A784B" w:rsidRPr="000F252A" w:rsidRDefault="006A784B" w:rsidP="006A784B">
            <w:pPr>
              <w:jc w:val="both"/>
            </w:pPr>
            <w:r w:rsidRPr="000F252A">
              <w:t>2030 г. – 120 врачей и 260 человек среднего медицинского персонала</w:t>
            </w:r>
          </w:p>
        </w:tc>
      </w:tr>
      <w:tr w:rsidR="006A784B" w:rsidRPr="009D3B11" w:rsidTr="00AC795F">
        <w:trPr>
          <w:trHeight w:val="20"/>
        </w:trPr>
        <w:tc>
          <w:tcPr>
            <w:tcW w:w="704" w:type="dxa"/>
            <w:shd w:val="clear" w:color="auto" w:fill="auto"/>
            <w:hideMark/>
          </w:tcPr>
          <w:p w:rsidR="006A784B" w:rsidRPr="000F252A" w:rsidRDefault="006A784B" w:rsidP="006A784B">
            <w:pPr>
              <w:jc w:val="center"/>
            </w:pPr>
            <w:r w:rsidRPr="000F252A">
              <w:t>9.11.</w:t>
            </w:r>
          </w:p>
        </w:tc>
        <w:tc>
          <w:tcPr>
            <w:tcW w:w="3686" w:type="dxa"/>
            <w:shd w:val="clear" w:color="auto" w:fill="auto"/>
            <w:hideMark/>
          </w:tcPr>
          <w:p w:rsidR="006A784B" w:rsidRPr="000F252A" w:rsidRDefault="006A784B" w:rsidP="006A784B">
            <w:pPr>
              <w:jc w:val="both"/>
            </w:pPr>
            <w:r w:rsidRPr="000F252A">
              <w:t>Разработка и реализация плана по проведению обучения врачей медицинских организаций, оказывающих первичную медико-санитарную помощь, основам клинической онкологии с использованием видео-конференц-связи и в очном режиме (вебинары, лекции, мастер-классы, стажировки на рабочем месте)</w:t>
            </w:r>
          </w:p>
        </w:tc>
        <w:tc>
          <w:tcPr>
            <w:tcW w:w="1474" w:type="dxa"/>
            <w:shd w:val="clear" w:color="auto" w:fill="auto"/>
            <w:hideMark/>
          </w:tcPr>
          <w:p w:rsidR="006A784B" w:rsidRPr="000F252A" w:rsidRDefault="006A784B" w:rsidP="006A784B">
            <w:pPr>
              <w:jc w:val="center"/>
            </w:pPr>
            <w:r w:rsidRPr="000F252A">
              <w:t>09.01.2026</w:t>
            </w:r>
          </w:p>
        </w:tc>
        <w:tc>
          <w:tcPr>
            <w:tcW w:w="1418" w:type="dxa"/>
            <w:shd w:val="clear" w:color="auto" w:fill="auto"/>
            <w:hideMark/>
          </w:tcPr>
          <w:p w:rsidR="006A784B" w:rsidRPr="000F252A" w:rsidRDefault="006A784B" w:rsidP="006A784B">
            <w:pPr>
              <w:jc w:val="center"/>
            </w:pPr>
            <w:r w:rsidRPr="000F252A">
              <w:t>31.12.2030</w:t>
            </w:r>
          </w:p>
        </w:tc>
        <w:tc>
          <w:tcPr>
            <w:tcW w:w="3912" w:type="dxa"/>
            <w:shd w:val="clear" w:color="auto" w:fill="auto"/>
          </w:tcPr>
          <w:p w:rsidR="006A784B" w:rsidRPr="000F252A" w:rsidRDefault="006A784B" w:rsidP="006A784B">
            <w:pPr>
              <w:jc w:val="both"/>
            </w:pPr>
            <w:r w:rsidRPr="000F252A">
              <w:t xml:space="preserve">главный врач ГАУЗ </w:t>
            </w:r>
            <w:r w:rsidRPr="000F252A">
              <w:rPr>
                <w:rFonts w:eastAsia="Arial"/>
              </w:rPr>
              <w:t>«РКОД МЗ РТ им.проф.М.З.Сигала»</w:t>
            </w:r>
            <w:r w:rsidRPr="000F252A">
              <w:t xml:space="preserve"> М.Ф.Мухамадеев</w:t>
            </w:r>
          </w:p>
        </w:tc>
        <w:tc>
          <w:tcPr>
            <w:tcW w:w="3969" w:type="dxa"/>
            <w:shd w:val="clear" w:color="auto" w:fill="auto"/>
            <w:hideMark/>
          </w:tcPr>
          <w:p w:rsidR="006A784B" w:rsidRPr="000F252A" w:rsidRDefault="006A784B" w:rsidP="006A784B">
            <w:pPr>
              <w:jc w:val="both"/>
            </w:pPr>
            <w:r w:rsidRPr="000F252A">
              <w:t xml:space="preserve">выполнение мероприятий плана на </w:t>
            </w:r>
            <w:r w:rsidRPr="000F252A">
              <w:br/>
              <w:t>100 процентов ежегодно</w:t>
            </w:r>
          </w:p>
        </w:tc>
      </w:tr>
      <w:tr w:rsidR="006A784B" w:rsidRPr="009D3B11" w:rsidTr="00AC795F">
        <w:trPr>
          <w:trHeight w:val="20"/>
        </w:trPr>
        <w:tc>
          <w:tcPr>
            <w:tcW w:w="704" w:type="dxa"/>
            <w:shd w:val="clear" w:color="auto" w:fill="auto"/>
            <w:hideMark/>
          </w:tcPr>
          <w:p w:rsidR="006A784B" w:rsidRPr="000F252A" w:rsidRDefault="006A784B" w:rsidP="006A784B">
            <w:pPr>
              <w:jc w:val="center"/>
            </w:pPr>
            <w:r w:rsidRPr="000F252A">
              <w:t>9.12.</w:t>
            </w:r>
          </w:p>
        </w:tc>
        <w:tc>
          <w:tcPr>
            <w:tcW w:w="3686" w:type="dxa"/>
            <w:shd w:val="clear" w:color="auto" w:fill="auto"/>
            <w:hideMark/>
          </w:tcPr>
          <w:p w:rsidR="006A784B" w:rsidRPr="000F252A" w:rsidRDefault="006A784B" w:rsidP="006A784B">
            <w:pPr>
              <w:jc w:val="both"/>
            </w:pPr>
            <w:r w:rsidRPr="000F252A">
              <w:t>Разработка и реализация плана по проведению научно-практических мероприятий по профилю «онкология» (конференции, форумы, семинары, круглые столы, съезды)</w:t>
            </w:r>
          </w:p>
        </w:tc>
        <w:tc>
          <w:tcPr>
            <w:tcW w:w="1474" w:type="dxa"/>
            <w:shd w:val="clear" w:color="auto" w:fill="auto"/>
            <w:hideMark/>
          </w:tcPr>
          <w:p w:rsidR="006A784B" w:rsidRPr="000F252A" w:rsidRDefault="006A784B" w:rsidP="006A784B">
            <w:pPr>
              <w:jc w:val="center"/>
            </w:pPr>
            <w:r w:rsidRPr="000F252A">
              <w:t>09.01.2026</w:t>
            </w:r>
          </w:p>
        </w:tc>
        <w:tc>
          <w:tcPr>
            <w:tcW w:w="1418" w:type="dxa"/>
            <w:shd w:val="clear" w:color="auto" w:fill="auto"/>
            <w:hideMark/>
          </w:tcPr>
          <w:p w:rsidR="006A784B" w:rsidRPr="000F252A" w:rsidRDefault="006A784B" w:rsidP="006A784B">
            <w:pPr>
              <w:jc w:val="center"/>
            </w:pPr>
            <w:r w:rsidRPr="000F252A">
              <w:t>31.12.2030</w:t>
            </w:r>
          </w:p>
        </w:tc>
        <w:tc>
          <w:tcPr>
            <w:tcW w:w="3912" w:type="dxa"/>
            <w:shd w:val="clear" w:color="auto" w:fill="auto"/>
            <w:hideMark/>
          </w:tcPr>
          <w:p w:rsidR="006A784B" w:rsidRPr="000F252A" w:rsidRDefault="006A784B" w:rsidP="006A784B">
            <w:pPr>
              <w:jc w:val="both"/>
            </w:pPr>
            <w:r w:rsidRPr="000F252A">
              <w:t xml:space="preserve">главный врач ГАУЗ </w:t>
            </w:r>
            <w:r w:rsidRPr="000F252A">
              <w:rPr>
                <w:rFonts w:eastAsia="Arial"/>
              </w:rPr>
              <w:t>«РКОД МЗ РТ им.проф.М.З.Сигала»</w:t>
            </w:r>
            <w:r w:rsidRPr="000F252A">
              <w:t xml:space="preserve"> М.Ф.Мухамадеев, директор Казанской государственной медицинской академии – филиала федерального государственного бюджетного образовательного учреждения дополнительного профессионального образования «Российская медицинская академия непрерывного профессионального образования»  Министерства здравоохранения Российской Федерации  Р.Ш.Хасанов (по согласованию)</w:t>
            </w:r>
          </w:p>
        </w:tc>
        <w:tc>
          <w:tcPr>
            <w:tcW w:w="3969" w:type="dxa"/>
            <w:shd w:val="clear" w:color="auto" w:fill="auto"/>
            <w:hideMark/>
          </w:tcPr>
          <w:p w:rsidR="006A784B" w:rsidRPr="000F252A" w:rsidRDefault="006A784B" w:rsidP="006A784B">
            <w:pPr>
              <w:jc w:val="both"/>
            </w:pPr>
            <w:r w:rsidRPr="000F252A">
              <w:t>выполнение мероприятий плана на</w:t>
            </w:r>
            <w:r w:rsidRPr="000F252A">
              <w:br/>
              <w:t>100 процентов ежегодно</w:t>
            </w:r>
          </w:p>
        </w:tc>
      </w:tr>
      <w:tr w:rsidR="006A784B" w:rsidRPr="009D3B11" w:rsidTr="00AC795F">
        <w:trPr>
          <w:trHeight w:val="20"/>
        </w:trPr>
        <w:tc>
          <w:tcPr>
            <w:tcW w:w="704" w:type="dxa"/>
            <w:shd w:val="clear" w:color="auto" w:fill="auto"/>
            <w:noWrap/>
            <w:hideMark/>
          </w:tcPr>
          <w:p w:rsidR="006A784B" w:rsidRPr="000F252A" w:rsidRDefault="006A784B" w:rsidP="006A784B">
            <w:pPr>
              <w:jc w:val="center"/>
            </w:pPr>
            <w:r w:rsidRPr="000F252A">
              <w:t>9.13.</w:t>
            </w:r>
          </w:p>
        </w:tc>
        <w:tc>
          <w:tcPr>
            <w:tcW w:w="3686" w:type="dxa"/>
            <w:shd w:val="clear" w:color="auto" w:fill="auto"/>
            <w:hideMark/>
          </w:tcPr>
          <w:p w:rsidR="006A784B" w:rsidRPr="000F252A" w:rsidRDefault="006A784B" w:rsidP="006A784B">
            <w:pPr>
              <w:jc w:val="both"/>
            </w:pPr>
            <w:r w:rsidRPr="000F252A">
              <w:t xml:space="preserve">Применение модели компетенций при приеме на работу сотрудни-ков ГАУЗ </w:t>
            </w:r>
            <w:r w:rsidRPr="000F252A">
              <w:rPr>
                <w:rFonts w:eastAsia="Arial"/>
              </w:rPr>
              <w:t>«РКОД МЗ РТ им.проф.М.З.Сигала»</w:t>
            </w:r>
            <w:r w:rsidRPr="000F252A">
              <w:t>, оценка работающих по модели компетенций с целью отслеживания динамики развития</w:t>
            </w:r>
          </w:p>
        </w:tc>
        <w:tc>
          <w:tcPr>
            <w:tcW w:w="1474" w:type="dxa"/>
            <w:shd w:val="clear" w:color="auto" w:fill="auto"/>
            <w:hideMark/>
          </w:tcPr>
          <w:p w:rsidR="006A784B" w:rsidRPr="000F252A" w:rsidRDefault="006A784B" w:rsidP="006A784B">
            <w:pPr>
              <w:jc w:val="center"/>
            </w:pPr>
            <w:r w:rsidRPr="000F252A">
              <w:t>09.01.2026</w:t>
            </w:r>
          </w:p>
        </w:tc>
        <w:tc>
          <w:tcPr>
            <w:tcW w:w="1418" w:type="dxa"/>
            <w:shd w:val="clear" w:color="auto" w:fill="auto"/>
            <w:hideMark/>
          </w:tcPr>
          <w:p w:rsidR="006A784B" w:rsidRPr="000F252A" w:rsidRDefault="006A784B" w:rsidP="006A784B">
            <w:pPr>
              <w:jc w:val="center"/>
            </w:pPr>
            <w:r w:rsidRPr="000F252A">
              <w:t>31.12.2030</w:t>
            </w:r>
          </w:p>
        </w:tc>
        <w:tc>
          <w:tcPr>
            <w:tcW w:w="3912" w:type="dxa"/>
            <w:shd w:val="clear" w:color="auto" w:fill="auto"/>
          </w:tcPr>
          <w:p w:rsidR="006A784B" w:rsidRPr="000F252A" w:rsidRDefault="006A784B" w:rsidP="006A784B">
            <w:pPr>
              <w:jc w:val="both"/>
            </w:pPr>
            <w:r w:rsidRPr="000F252A">
              <w:t xml:space="preserve">главный врач ГАУЗ </w:t>
            </w:r>
            <w:r w:rsidRPr="000F252A">
              <w:rPr>
                <w:rFonts w:eastAsia="Arial"/>
              </w:rPr>
              <w:t>«РКОД МЗ РТ им.проф.М.З.Сигала»</w:t>
            </w:r>
            <w:r w:rsidRPr="000F252A">
              <w:t xml:space="preserve"> М.Ф.Мухамадеев</w:t>
            </w:r>
          </w:p>
        </w:tc>
        <w:tc>
          <w:tcPr>
            <w:tcW w:w="3969" w:type="dxa"/>
            <w:shd w:val="clear" w:color="auto" w:fill="auto"/>
            <w:hideMark/>
          </w:tcPr>
          <w:p w:rsidR="006A784B" w:rsidRPr="000F252A" w:rsidRDefault="006A784B" w:rsidP="006A784B">
            <w:pPr>
              <w:jc w:val="both"/>
            </w:pPr>
            <w:r w:rsidRPr="000F252A">
              <w:t>прием сотрудников на открытую вакансию на основе требований, предъявляемых компетенцией для данной должности, использование оценки компетенций для формирования кадрового резерва, рейтинга, обучения и развития персонала</w:t>
            </w:r>
          </w:p>
        </w:tc>
      </w:tr>
      <w:tr w:rsidR="006A784B" w:rsidRPr="009D3B11" w:rsidTr="00AC795F">
        <w:trPr>
          <w:trHeight w:val="20"/>
        </w:trPr>
        <w:tc>
          <w:tcPr>
            <w:tcW w:w="704" w:type="dxa"/>
            <w:shd w:val="clear" w:color="auto" w:fill="auto"/>
            <w:noWrap/>
            <w:hideMark/>
          </w:tcPr>
          <w:p w:rsidR="006A784B" w:rsidRPr="000F252A" w:rsidRDefault="006A784B" w:rsidP="006A784B">
            <w:pPr>
              <w:jc w:val="center"/>
            </w:pPr>
            <w:r w:rsidRPr="000F252A">
              <w:t>9.14.</w:t>
            </w:r>
          </w:p>
        </w:tc>
        <w:tc>
          <w:tcPr>
            <w:tcW w:w="3686" w:type="dxa"/>
            <w:shd w:val="clear" w:color="auto" w:fill="auto"/>
            <w:hideMark/>
          </w:tcPr>
          <w:p w:rsidR="006A784B" w:rsidRPr="000F252A" w:rsidRDefault="006A784B" w:rsidP="006A784B">
            <w:pPr>
              <w:jc w:val="both"/>
            </w:pPr>
            <w:r w:rsidRPr="000F252A">
              <w:t>Развитие и совершенствование системы наставничества</w:t>
            </w:r>
          </w:p>
        </w:tc>
        <w:tc>
          <w:tcPr>
            <w:tcW w:w="1474" w:type="dxa"/>
            <w:shd w:val="clear" w:color="auto" w:fill="auto"/>
            <w:hideMark/>
          </w:tcPr>
          <w:p w:rsidR="006A784B" w:rsidRPr="000F252A" w:rsidRDefault="006A784B" w:rsidP="006A784B">
            <w:pPr>
              <w:jc w:val="center"/>
            </w:pPr>
            <w:r w:rsidRPr="000F252A">
              <w:t>09.01.2026</w:t>
            </w:r>
          </w:p>
        </w:tc>
        <w:tc>
          <w:tcPr>
            <w:tcW w:w="1418" w:type="dxa"/>
            <w:shd w:val="clear" w:color="auto" w:fill="auto"/>
            <w:hideMark/>
          </w:tcPr>
          <w:p w:rsidR="006A784B" w:rsidRPr="000F252A" w:rsidRDefault="006A784B" w:rsidP="006A784B">
            <w:pPr>
              <w:jc w:val="center"/>
            </w:pPr>
            <w:r w:rsidRPr="000F252A">
              <w:t>31.12.2030</w:t>
            </w:r>
          </w:p>
        </w:tc>
        <w:tc>
          <w:tcPr>
            <w:tcW w:w="3912" w:type="dxa"/>
            <w:shd w:val="clear" w:color="auto" w:fill="auto"/>
            <w:hideMark/>
          </w:tcPr>
          <w:p w:rsidR="006A784B" w:rsidRPr="000F252A" w:rsidRDefault="006A784B" w:rsidP="006A784B">
            <w:pPr>
              <w:jc w:val="both"/>
            </w:pPr>
            <w:r w:rsidRPr="000F252A">
              <w:t xml:space="preserve">главный врач ГАУЗ </w:t>
            </w:r>
            <w:r w:rsidRPr="000F252A">
              <w:rPr>
                <w:rFonts w:eastAsia="Arial"/>
              </w:rPr>
              <w:t>«РКОД МЗ РТ им.проф.М.З.Сигала»</w:t>
            </w:r>
            <w:r w:rsidRPr="000F252A">
              <w:t xml:space="preserve"> М.Ф.Мухамадеев</w:t>
            </w:r>
          </w:p>
        </w:tc>
        <w:tc>
          <w:tcPr>
            <w:tcW w:w="3969" w:type="dxa"/>
            <w:shd w:val="clear" w:color="auto" w:fill="auto"/>
            <w:hideMark/>
          </w:tcPr>
          <w:p w:rsidR="006A784B" w:rsidRPr="000F252A" w:rsidRDefault="006A784B" w:rsidP="006A784B">
            <w:pPr>
              <w:jc w:val="both"/>
            </w:pPr>
            <w:r w:rsidRPr="000F252A">
              <w:t xml:space="preserve">адаптация молодого специалиста, приобретение профессиональных знаний, умений и навыков, мотивация к установлению длительных трудовых отношений, снижение текучести кадров; </w:t>
            </w:r>
          </w:p>
          <w:p w:rsidR="006A784B" w:rsidRPr="000F252A" w:rsidRDefault="006A784B" w:rsidP="006A784B">
            <w:pPr>
              <w:jc w:val="both"/>
            </w:pPr>
            <w:r w:rsidRPr="000F252A">
              <w:t xml:space="preserve">число молодых специалистов (врачей), охваченных системой наставничества: </w:t>
            </w:r>
          </w:p>
          <w:p w:rsidR="006A784B" w:rsidRPr="000F252A" w:rsidRDefault="006A784B" w:rsidP="006A784B">
            <w:pPr>
              <w:jc w:val="both"/>
            </w:pPr>
            <w:r w:rsidRPr="000F252A">
              <w:t xml:space="preserve">2026 г. – 8 человек; </w:t>
            </w:r>
          </w:p>
          <w:p w:rsidR="006A784B" w:rsidRPr="000F252A" w:rsidRDefault="006A784B" w:rsidP="006A784B">
            <w:pPr>
              <w:jc w:val="both"/>
            </w:pPr>
            <w:r w:rsidRPr="000F252A">
              <w:t xml:space="preserve">2027 г. – 8 человек; </w:t>
            </w:r>
          </w:p>
          <w:p w:rsidR="006A784B" w:rsidRPr="000F252A" w:rsidRDefault="006A784B" w:rsidP="006A784B">
            <w:pPr>
              <w:jc w:val="both"/>
            </w:pPr>
            <w:r w:rsidRPr="000F252A">
              <w:t xml:space="preserve">2028 г. – 5 человек; </w:t>
            </w:r>
          </w:p>
          <w:p w:rsidR="006A784B" w:rsidRPr="000F252A" w:rsidRDefault="006A784B" w:rsidP="006A784B">
            <w:pPr>
              <w:jc w:val="both"/>
            </w:pPr>
            <w:r w:rsidRPr="000F252A">
              <w:t xml:space="preserve">2029 г. – 6 человек; </w:t>
            </w:r>
          </w:p>
          <w:p w:rsidR="006A784B" w:rsidRPr="000F252A" w:rsidRDefault="006A784B" w:rsidP="006A784B">
            <w:pPr>
              <w:jc w:val="both"/>
            </w:pPr>
            <w:r w:rsidRPr="000F252A">
              <w:t xml:space="preserve">2030 г. – 8 человек </w:t>
            </w:r>
          </w:p>
        </w:tc>
      </w:tr>
      <w:tr w:rsidR="006A784B" w:rsidRPr="009D3B11" w:rsidTr="00AC795F">
        <w:trPr>
          <w:trHeight w:val="20"/>
        </w:trPr>
        <w:tc>
          <w:tcPr>
            <w:tcW w:w="704" w:type="dxa"/>
            <w:shd w:val="clear" w:color="auto" w:fill="auto"/>
            <w:noWrap/>
          </w:tcPr>
          <w:p w:rsidR="006A784B" w:rsidRPr="000F252A" w:rsidRDefault="006A784B" w:rsidP="006A784B">
            <w:pPr>
              <w:jc w:val="center"/>
            </w:pPr>
            <w:r w:rsidRPr="000F252A">
              <w:t>9.15.</w:t>
            </w:r>
          </w:p>
        </w:tc>
        <w:tc>
          <w:tcPr>
            <w:tcW w:w="3686" w:type="dxa"/>
            <w:shd w:val="clear" w:color="auto" w:fill="auto"/>
          </w:tcPr>
          <w:p w:rsidR="006A784B" w:rsidRPr="000F252A" w:rsidRDefault="006A784B" w:rsidP="006A784B">
            <w:pPr>
              <w:jc w:val="both"/>
            </w:pPr>
            <w:r w:rsidRPr="000F252A">
              <w:t xml:space="preserve">Функционирование системы моральных стимулов медицинских работников, повышение авторитета медицинского работника в обществе </w:t>
            </w:r>
          </w:p>
        </w:tc>
        <w:tc>
          <w:tcPr>
            <w:tcW w:w="1474" w:type="dxa"/>
            <w:shd w:val="clear" w:color="auto" w:fill="auto"/>
          </w:tcPr>
          <w:p w:rsidR="006A784B" w:rsidRPr="000F252A" w:rsidRDefault="006A784B" w:rsidP="006A784B">
            <w:pPr>
              <w:jc w:val="center"/>
            </w:pPr>
            <w:r w:rsidRPr="000F252A">
              <w:t>09.01.2026</w:t>
            </w:r>
          </w:p>
        </w:tc>
        <w:tc>
          <w:tcPr>
            <w:tcW w:w="1418" w:type="dxa"/>
            <w:shd w:val="clear" w:color="auto" w:fill="auto"/>
          </w:tcPr>
          <w:p w:rsidR="006A784B" w:rsidRPr="000F252A" w:rsidRDefault="006A784B" w:rsidP="006A784B">
            <w:pPr>
              <w:jc w:val="center"/>
            </w:pPr>
            <w:r w:rsidRPr="000F252A">
              <w:t>31.12.2030</w:t>
            </w:r>
          </w:p>
        </w:tc>
        <w:tc>
          <w:tcPr>
            <w:tcW w:w="3912" w:type="dxa"/>
            <w:shd w:val="clear" w:color="auto" w:fill="auto"/>
          </w:tcPr>
          <w:p w:rsidR="006A784B" w:rsidRPr="000F252A" w:rsidRDefault="006A784B" w:rsidP="006A784B">
            <w:pPr>
              <w:jc w:val="both"/>
            </w:pPr>
            <w:r w:rsidRPr="000F252A">
              <w:t xml:space="preserve">главный врач ГАУЗ </w:t>
            </w:r>
            <w:r w:rsidRPr="000F252A">
              <w:rPr>
                <w:rFonts w:eastAsia="Arial"/>
              </w:rPr>
              <w:t>«РКОД МЗ РТ им.проф.М.З.Сигала»</w:t>
            </w:r>
            <w:r w:rsidRPr="000F252A">
              <w:t xml:space="preserve"> М.Ф.Мухамадеев</w:t>
            </w:r>
          </w:p>
        </w:tc>
        <w:tc>
          <w:tcPr>
            <w:tcW w:w="3969" w:type="dxa"/>
            <w:shd w:val="clear" w:color="auto" w:fill="auto"/>
          </w:tcPr>
          <w:p w:rsidR="006A784B" w:rsidRPr="000F252A" w:rsidRDefault="006A784B" w:rsidP="006A784B">
            <w:pPr>
              <w:jc w:val="both"/>
            </w:pPr>
            <w:r w:rsidRPr="000F252A">
              <w:t xml:space="preserve">ежегодно проведение конкурса на лучшего специалиста года ГАУЗ </w:t>
            </w:r>
            <w:r w:rsidRPr="000F252A">
              <w:rPr>
                <w:rFonts w:eastAsia="Arial"/>
              </w:rPr>
              <w:t>«РКОД МЗ РТ им.проф.М.З.Сигала»</w:t>
            </w:r>
            <w:r w:rsidRPr="000F252A">
              <w:t>;</w:t>
            </w:r>
          </w:p>
          <w:p w:rsidR="006A784B" w:rsidRPr="000F252A" w:rsidRDefault="006A784B" w:rsidP="006A784B">
            <w:pPr>
              <w:jc w:val="both"/>
            </w:pPr>
            <w:r w:rsidRPr="000F252A">
              <w:t xml:space="preserve">участие врачей-онкологов ГАУЗ </w:t>
            </w:r>
            <w:r w:rsidRPr="000F252A">
              <w:rPr>
                <w:rFonts w:eastAsia="Arial"/>
              </w:rPr>
              <w:t>«РКОД МЗ РТ им.проф.М.З.Сигала»</w:t>
            </w:r>
            <w:r w:rsidRPr="000F252A">
              <w:t xml:space="preserve"> в конкурсе «Врач года – Ак чәчәкләр»;</w:t>
            </w:r>
          </w:p>
          <w:p w:rsidR="006A784B" w:rsidRPr="000F252A" w:rsidRDefault="006A784B" w:rsidP="006A784B">
            <w:pPr>
              <w:jc w:val="both"/>
            </w:pPr>
            <w:r w:rsidRPr="000F252A">
              <w:t xml:space="preserve">участие ГАУЗ </w:t>
            </w:r>
            <w:r w:rsidRPr="000F252A">
              <w:rPr>
                <w:rFonts w:eastAsia="Arial"/>
              </w:rPr>
              <w:t>«РКОД МЗ РТ им.проф.М.З.Сигала»</w:t>
            </w:r>
            <w:r w:rsidRPr="000F252A">
              <w:t xml:space="preserve"> в конкурсе «Лучший средний медицинский работник»;</w:t>
            </w:r>
          </w:p>
          <w:p w:rsidR="006A784B" w:rsidRPr="000F252A" w:rsidRDefault="006A784B" w:rsidP="006A784B">
            <w:pPr>
              <w:jc w:val="both"/>
            </w:pPr>
            <w:r w:rsidRPr="000F252A">
              <w:t xml:space="preserve">ежеквартальное размещение информации о лучших сотрудниках центров амбулаторной онкологической помощи и первичных онкологических кабинетов медицинских организаций Республики Татарстан на Доске почета ГАУЗ </w:t>
            </w:r>
            <w:r w:rsidRPr="000F252A">
              <w:rPr>
                <w:rFonts w:eastAsia="Arial"/>
              </w:rPr>
              <w:t>«РКОД МЗ РТ им.проф.М.З.Сигала»</w:t>
            </w:r>
          </w:p>
        </w:tc>
      </w:tr>
      <w:tr w:rsidR="006A784B" w:rsidRPr="00091230" w:rsidTr="00AC795F">
        <w:trPr>
          <w:trHeight w:val="20"/>
        </w:trPr>
        <w:tc>
          <w:tcPr>
            <w:tcW w:w="704" w:type="dxa"/>
            <w:shd w:val="clear" w:color="auto" w:fill="auto"/>
            <w:noWrap/>
          </w:tcPr>
          <w:p w:rsidR="006A784B" w:rsidRPr="000F252A" w:rsidRDefault="006A784B" w:rsidP="006A784B">
            <w:pPr>
              <w:jc w:val="center"/>
            </w:pPr>
            <w:r w:rsidRPr="000F252A">
              <w:t>9.16.</w:t>
            </w:r>
          </w:p>
        </w:tc>
        <w:tc>
          <w:tcPr>
            <w:tcW w:w="3686" w:type="dxa"/>
            <w:shd w:val="clear" w:color="auto" w:fill="auto"/>
          </w:tcPr>
          <w:p w:rsidR="006A784B" w:rsidRPr="000F252A" w:rsidRDefault="006A784B" w:rsidP="006A784B">
            <w:pPr>
              <w:jc w:val="both"/>
            </w:pPr>
            <w:r w:rsidRPr="000F252A">
              <w:t>Обеспечение ведения регионального сегмента Федерального регистра медицинских и фармацевтических работников</w:t>
            </w:r>
          </w:p>
        </w:tc>
        <w:tc>
          <w:tcPr>
            <w:tcW w:w="1474" w:type="dxa"/>
            <w:shd w:val="clear" w:color="auto" w:fill="auto"/>
          </w:tcPr>
          <w:p w:rsidR="006A784B" w:rsidRPr="000F252A" w:rsidRDefault="006A784B" w:rsidP="006A784B">
            <w:pPr>
              <w:jc w:val="center"/>
            </w:pPr>
            <w:r w:rsidRPr="000F252A">
              <w:t>09.01.2026</w:t>
            </w:r>
          </w:p>
        </w:tc>
        <w:tc>
          <w:tcPr>
            <w:tcW w:w="1418" w:type="dxa"/>
            <w:shd w:val="clear" w:color="auto" w:fill="auto"/>
          </w:tcPr>
          <w:p w:rsidR="006A784B" w:rsidRPr="000F252A" w:rsidRDefault="006A784B" w:rsidP="006A784B">
            <w:pPr>
              <w:jc w:val="center"/>
            </w:pPr>
            <w:r w:rsidRPr="000F252A">
              <w:t>31.12.2030</w:t>
            </w:r>
          </w:p>
        </w:tc>
        <w:tc>
          <w:tcPr>
            <w:tcW w:w="3912" w:type="dxa"/>
            <w:shd w:val="clear" w:color="auto" w:fill="auto"/>
          </w:tcPr>
          <w:p w:rsidR="006A784B" w:rsidRPr="000F252A" w:rsidRDefault="006A784B" w:rsidP="006A784B">
            <w:pPr>
              <w:jc w:val="both"/>
            </w:pPr>
            <w:r w:rsidRPr="000F252A">
              <w:t xml:space="preserve">главный врач ГАУЗ </w:t>
            </w:r>
            <w:r w:rsidRPr="000F252A">
              <w:rPr>
                <w:rFonts w:eastAsia="Arial"/>
              </w:rPr>
              <w:t>«РКОД МЗ РТ им.проф.М.З.Сигала»</w:t>
            </w:r>
            <w:r w:rsidRPr="000F252A">
              <w:t xml:space="preserve"> М.Ф.Мухамадеев, руководители медицинских организаций Республики Татарстан</w:t>
            </w:r>
          </w:p>
        </w:tc>
        <w:tc>
          <w:tcPr>
            <w:tcW w:w="3969" w:type="dxa"/>
            <w:shd w:val="clear" w:color="auto" w:fill="auto"/>
          </w:tcPr>
          <w:p w:rsidR="006A784B" w:rsidRPr="000F252A" w:rsidRDefault="006A784B" w:rsidP="006A784B">
            <w:pPr>
              <w:jc w:val="both"/>
            </w:pPr>
            <w:r w:rsidRPr="000F252A">
              <w:t>ежемесячная актуализация регионального сегмента Федерального регистра медицинских и фармацевтических работников в 100 процентах случаев</w:t>
            </w:r>
          </w:p>
        </w:tc>
      </w:tr>
      <w:bookmarkEnd w:id="4"/>
    </w:tbl>
    <w:p w:rsidR="003B435F" w:rsidRPr="00091230" w:rsidRDefault="003B435F" w:rsidP="00092515">
      <w:pPr>
        <w:widowControl/>
        <w:autoSpaceDE/>
        <w:autoSpaceDN/>
        <w:adjustRightInd/>
        <w:spacing w:after="120" w:line="276" w:lineRule="auto"/>
        <w:ind w:firstLine="709"/>
        <w:jc w:val="both"/>
        <w:rPr>
          <w:b/>
          <w:sz w:val="28"/>
          <w:szCs w:val="28"/>
        </w:rPr>
      </w:pPr>
    </w:p>
    <w:p w:rsidR="003B435F" w:rsidRPr="00091230" w:rsidRDefault="003B435F" w:rsidP="00092515">
      <w:pPr>
        <w:widowControl/>
        <w:autoSpaceDE/>
        <w:autoSpaceDN/>
        <w:adjustRightInd/>
        <w:spacing w:after="120" w:line="276" w:lineRule="auto"/>
        <w:ind w:firstLine="709"/>
        <w:jc w:val="both"/>
        <w:rPr>
          <w:b/>
          <w:sz w:val="28"/>
          <w:szCs w:val="28"/>
        </w:rPr>
        <w:sectPr w:rsidR="003B435F" w:rsidRPr="00091230" w:rsidSect="00A23998">
          <w:pgSz w:w="16838" w:h="11906" w:orient="landscape"/>
          <w:pgMar w:top="1134" w:right="567" w:bottom="1134" w:left="1134" w:header="709" w:footer="709" w:gutter="0"/>
          <w:cols w:space="708"/>
          <w:docGrid w:linePitch="360"/>
        </w:sectPr>
      </w:pPr>
    </w:p>
    <w:p w:rsidR="005D28FD" w:rsidRPr="000F252A" w:rsidRDefault="00887958" w:rsidP="00A23998">
      <w:pPr>
        <w:pStyle w:val="af9"/>
        <w:ind w:left="0" w:firstLine="709"/>
        <w:contextualSpacing w:val="0"/>
        <w:jc w:val="both"/>
        <w:rPr>
          <w:sz w:val="28"/>
          <w:szCs w:val="28"/>
          <w:lang w:val="ru-RU"/>
        </w:rPr>
      </w:pPr>
      <w:r w:rsidRPr="000F252A">
        <w:rPr>
          <w:sz w:val="28"/>
          <w:szCs w:val="28"/>
          <w:lang w:val="ru-RU"/>
        </w:rPr>
        <w:t>5</w:t>
      </w:r>
      <w:r w:rsidR="001625B0" w:rsidRPr="000F252A">
        <w:rPr>
          <w:sz w:val="28"/>
          <w:szCs w:val="28"/>
          <w:lang w:val="ru-RU"/>
        </w:rPr>
        <w:t>.</w:t>
      </w:r>
      <w:r w:rsidR="00DA4EDE" w:rsidRPr="000F252A">
        <w:rPr>
          <w:sz w:val="28"/>
          <w:szCs w:val="28"/>
          <w:lang w:val="ru-RU"/>
        </w:rPr>
        <w:t xml:space="preserve"> </w:t>
      </w:r>
      <w:r w:rsidR="005D28FD" w:rsidRPr="000F252A">
        <w:rPr>
          <w:sz w:val="28"/>
          <w:szCs w:val="28"/>
          <w:lang w:val="ru-RU"/>
        </w:rPr>
        <w:t>Ожидаемые результаты регионал</w:t>
      </w:r>
      <w:r w:rsidR="005D28FD" w:rsidRPr="000F252A">
        <w:rPr>
          <w:color w:val="000000"/>
          <w:sz w:val="28"/>
          <w:szCs w:val="28"/>
          <w:lang w:val="ru-RU"/>
        </w:rPr>
        <w:t>ь</w:t>
      </w:r>
      <w:r w:rsidR="005D28FD" w:rsidRPr="000F252A">
        <w:rPr>
          <w:sz w:val="28"/>
          <w:szCs w:val="28"/>
          <w:lang w:val="ru-RU"/>
        </w:rPr>
        <w:t>ной программы.</w:t>
      </w:r>
    </w:p>
    <w:p w:rsidR="005D28FD" w:rsidRPr="000F252A" w:rsidRDefault="005D28FD" w:rsidP="00A23998">
      <w:pPr>
        <w:ind w:firstLine="709"/>
        <w:jc w:val="both"/>
        <w:rPr>
          <w:sz w:val="28"/>
          <w:szCs w:val="28"/>
        </w:rPr>
      </w:pPr>
      <w:r w:rsidRPr="000F252A">
        <w:rPr>
          <w:sz w:val="28"/>
          <w:szCs w:val="28"/>
        </w:rPr>
        <w:t>Исполнение мероприятий региональной программы позволит достичь к</w:t>
      </w:r>
      <w:r w:rsidR="005E0918" w:rsidRPr="000F252A">
        <w:rPr>
          <w:sz w:val="28"/>
          <w:szCs w:val="28"/>
        </w:rPr>
        <w:t xml:space="preserve"> </w:t>
      </w:r>
      <w:r w:rsidR="005E0918" w:rsidRPr="000F252A">
        <w:rPr>
          <w:sz w:val="28"/>
          <w:szCs w:val="28"/>
        </w:rPr>
        <w:br/>
      </w:r>
      <w:r w:rsidRPr="000F252A">
        <w:rPr>
          <w:sz w:val="28"/>
          <w:szCs w:val="28"/>
        </w:rPr>
        <w:t>20</w:t>
      </w:r>
      <w:r w:rsidR="00DD40ED" w:rsidRPr="000F252A">
        <w:rPr>
          <w:sz w:val="28"/>
          <w:szCs w:val="28"/>
        </w:rPr>
        <w:t>30</w:t>
      </w:r>
      <w:r w:rsidRPr="000F252A">
        <w:rPr>
          <w:sz w:val="28"/>
          <w:szCs w:val="28"/>
        </w:rPr>
        <w:t xml:space="preserve"> году следующих результатов:</w:t>
      </w:r>
    </w:p>
    <w:p w:rsidR="000E772A" w:rsidRPr="000F252A" w:rsidRDefault="000E772A" w:rsidP="000E772A">
      <w:pPr>
        <w:pStyle w:val="af9"/>
        <w:autoSpaceDE/>
        <w:autoSpaceDN/>
        <w:adjustRightInd/>
        <w:ind w:left="0" w:firstLine="709"/>
        <w:contextualSpacing w:val="0"/>
        <w:jc w:val="both"/>
        <w:rPr>
          <w:sz w:val="28"/>
          <w:szCs w:val="28"/>
          <w:lang w:val="ru-RU"/>
        </w:rPr>
      </w:pPr>
      <w:r w:rsidRPr="000F252A">
        <w:rPr>
          <w:sz w:val="28"/>
          <w:szCs w:val="28"/>
          <w:lang w:val="ru-RU"/>
        </w:rPr>
        <w:t>увеличение доли злокачественных новообразований, выявленных на I стадии, от общего числа случаев злокачественных новообразований визуальных локализаций до 58,7 процента;</w:t>
      </w:r>
    </w:p>
    <w:p w:rsidR="000E772A" w:rsidRPr="000F252A" w:rsidRDefault="000E772A" w:rsidP="000E772A">
      <w:pPr>
        <w:pStyle w:val="af9"/>
        <w:autoSpaceDE/>
        <w:autoSpaceDN/>
        <w:adjustRightInd/>
        <w:ind w:left="0" w:firstLine="709"/>
        <w:contextualSpacing w:val="0"/>
        <w:jc w:val="both"/>
        <w:rPr>
          <w:sz w:val="28"/>
          <w:szCs w:val="28"/>
          <w:lang w:val="ru-RU"/>
        </w:rPr>
      </w:pPr>
      <w:r w:rsidRPr="000F252A">
        <w:rPr>
          <w:sz w:val="28"/>
          <w:szCs w:val="28"/>
          <w:lang w:val="ru-RU"/>
        </w:rPr>
        <w:t>увеличение доли лиц, живущих 5 лет и более с момента установления диагноза злокачественного новообразования, до 71,8 процента;</w:t>
      </w:r>
    </w:p>
    <w:p w:rsidR="000E772A" w:rsidRDefault="000E772A" w:rsidP="00A23998">
      <w:pPr>
        <w:pStyle w:val="af9"/>
        <w:autoSpaceDE/>
        <w:autoSpaceDN/>
        <w:adjustRightInd/>
        <w:ind w:left="0" w:firstLine="709"/>
        <w:contextualSpacing w:val="0"/>
        <w:jc w:val="both"/>
        <w:rPr>
          <w:sz w:val="28"/>
          <w:szCs w:val="28"/>
          <w:lang w:val="ru-RU"/>
        </w:rPr>
      </w:pPr>
      <w:r w:rsidRPr="000F252A">
        <w:rPr>
          <w:sz w:val="28"/>
          <w:szCs w:val="28"/>
          <w:lang w:val="ru-RU"/>
        </w:rPr>
        <w:t>увеличение доли лиц, прошедших обследование в соответствии с индивидуальным планом ведения в рамках диспансерного наблюдения, из числа онкологических больных, завершивших лечение, до уровня 90 процентов</w:t>
      </w:r>
      <w:r>
        <w:rPr>
          <w:sz w:val="28"/>
          <w:szCs w:val="28"/>
          <w:lang w:val="ru-RU"/>
        </w:rPr>
        <w:t>;</w:t>
      </w:r>
    </w:p>
    <w:p w:rsidR="00601F04" w:rsidRPr="000F252A" w:rsidRDefault="00601F04" w:rsidP="00A23998">
      <w:pPr>
        <w:pStyle w:val="af9"/>
        <w:autoSpaceDE/>
        <w:autoSpaceDN/>
        <w:adjustRightInd/>
        <w:ind w:left="0" w:firstLine="709"/>
        <w:contextualSpacing w:val="0"/>
        <w:jc w:val="both"/>
        <w:rPr>
          <w:sz w:val="28"/>
          <w:szCs w:val="28"/>
          <w:lang w:val="ru-RU"/>
        </w:rPr>
      </w:pPr>
      <w:r w:rsidRPr="000F252A">
        <w:rPr>
          <w:sz w:val="28"/>
          <w:szCs w:val="28"/>
          <w:lang w:val="ru-RU"/>
        </w:rPr>
        <w:t xml:space="preserve">снижение одногодичной летальности больных со злокачественными новообразованиями (умерли в течение первого года с </w:t>
      </w:r>
      <w:r w:rsidR="00AC2DCD">
        <w:rPr>
          <w:sz w:val="28"/>
          <w:szCs w:val="28"/>
          <w:lang w:val="ru-RU"/>
        </w:rPr>
        <w:t xml:space="preserve">момента установления диагноза из </w:t>
      </w:r>
      <w:r w:rsidRPr="000F252A">
        <w:rPr>
          <w:sz w:val="28"/>
          <w:szCs w:val="28"/>
          <w:lang w:val="ru-RU"/>
        </w:rPr>
        <w:t>числа больных, впервые взятых под диспансерное наблюдение в предыдущем году) до уровня 16,4 процента</w:t>
      </w:r>
      <w:r w:rsidR="000E772A">
        <w:rPr>
          <w:sz w:val="28"/>
          <w:szCs w:val="28"/>
          <w:lang w:val="ru-RU"/>
        </w:rPr>
        <w:t>.</w:t>
      </w:r>
    </w:p>
    <w:p w:rsidR="00A20085" w:rsidRPr="000F252A" w:rsidRDefault="00A20085" w:rsidP="00A23998">
      <w:pPr>
        <w:pStyle w:val="af9"/>
        <w:autoSpaceDE/>
        <w:autoSpaceDN/>
        <w:adjustRightInd/>
        <w:ind w:left="0" w:firstLine="709"/>
        <w:contextualSpacing w:val="0"/>
        <w:jc w:val="both"/>
        <w:rPr>
          <w:sz w:val="28"/>
          <w:szCs w:val="28"/>
          <w:lang w:val="ru-RU"/>
        </w:rPr>
      </w:pPr>
    </w:p>
    <w:p w:rsidR="00DA2AE0" w:rsidRPr="000F252A" w:rsidRDefault="00DA2AE0" w:rsidP="00A23998">
      <w:pPr>
        <w:autoSpaceDE/>
        <w:adjustRightInd/>
        <w:ind w:firstLine="709"/>
        <w:jc w:val="center"/>
        <w:rPr>
          <w:sz w:val="28"/>
          <w:szCs w:val="28"/>
        </w:rPr>
      </w:pPr>
      <w:r w:rsidRPr="000F252A">
        <w:rPr>
          <w:rFonts w:eastAsia="Calibri"/>
          <w:sz w:val="28"/>
          <w:szCs w:val="28"/>
          <w:lang w:eastAsia="en-US"/>
        </w:rPr>
        <w:t xml:space="preserve">III. Обоснование ресурсного обеспечения </w:t>
      </w:r>
      <w:r w:rsidRPr="000F252A">
        <w:rPr>
          <w:sz w:val="28"/>
          <w:szCs w:val="28"/>
        </w:rPr>
        <w:t>региональной программы</w:t>
      </w:r>
    </w:p>
    <w:p w:rsidR="00C8187E" w:rsidRPr="000F252A" w:rsidRDefault="00C8187E" w:rsidP="00A23998">
      <w:pPr>
        <w:autoSpaceDE/>
        <w:adjustRightInd/>
        <w:ind w:firstLine="709"/>
        <w:jc w:val="center"/>
        <w:rPr>
          <w:rFonts w:eastAsia="Calibri"/>
          <w:color w:val="0D0D0D"/>
          <w:sz w:val="28"/>
          <w:szCs w:val="28"/>
        </w:rPr>
      </w:pPr>
    </w:p>
    <w:p w:rsidR="003177D5" w:rsidRPr="000F252A" w:rsidRDefault="003177D5" w:rsidP="003177D5">
      <w:pPr>
        <w:ind w:firstLine="709"/>
        <w:jc w:val="both"/>
        <w:rPr>
          <w:sz w:val="28"/>
          <w:szCs w:val="28"/>
        </w:rPr>
      </w:pPr>
      <w:r w:rsidRPr="000F252A">
        <w:rPr>
          <w:rFonts w:eastAsia="Calibri"/>
          <w:color w:val="0D0D0D"/>
          <w:sz w:val="28"/>
          <w:szCs w:val="28"/>
        </w:rPr>
        <w:t xml:space="preserve">Денежные средства предусмотрены в рамках реализации регионального проекта </w:t>
      </w:r>
      <w:r w:rsidRPr="000F252A">
        <w:rPr>
          <w:rFonts w:eastAsia="Calibri"/>
          <w:color w:val="000000"/>
          <w:sz w:val="28"/>
          <w:szCs w:val="28"/>
        </w:rPr>
        <w:t>«</w:t>
      </w:r>
      <w:r w:rsidRPr="000F252A">
        <w:rPr>
          <w:rFonts w:eastAsia="Calibri"/>
          <w:sz w:val="28"/>
          <w:szCs w:val="28"/>
        </w:rPr>
        <w:t>Борьба с онкологическими заболеваниями</w:t>
      </w:r>
      <w:r w:rsidRPr="000F252A">
        <w:rPr>
          <w:rFonts w:eastAsia="Calibri"/>
          <w:color w:val="000000"/>
          <w:sz w:val="28"/>
          <w:szCs w:val="28"/>
        </w:rPr>
        <w:t>»</w:t>
      </w:r>
      <w:r w:rsidRPr="000F252A">
        <w:rPr>
          <w:sz w:val="28"/>
          <w:szCs w:val="28"/>
        </w:rPr>
        <w:t xml:space="preserve"> г</w:t>
      </w:r>
      <w:r w:rsidRPr="000F252A">
        <w:rPr>
          <w:rFonts w:eastAsia="Calibri"/>
          <w:color w:val="0D0D0D"/>
          <w:sz w:val="28"/>
          <w:szCs w:val="28"/>
        </w:rPr>
        <w:t xml:space="preserve">осударственной программы Республики Татарстан </w:t>
      </w:r>
      <w:r w:rsidRPr="000F252A">
        <w:rPr>
          <w:rFonts w:eastAsia="Calibri"/>
          <w:sz w:val="28"/>
          <w:szCs w:val="28"/>
        </w:rPr>
        <w:t>«Развитие здравоохранения в Республике Татарстан».</w:t>
      </w:r>
    </w:p>
    <w:p w:rsidR="003177D5" w:rsidRPr="00C62F6A" w:rsidRDefault="003177D5" w:rsidP="003177D5">
      <w:pPr>
        <w:ind w:firstLine="709"/>
        <w:jc w:val="both"/>
        <w:rPr>
          <w:rFonts w:eastAsia="Calibri"/>
          <w:sz w:val="28"/>
          <w:szCs w:val="28"/>
        </w:rPr>
      </w:pPr>
      <w:r w:rsidRPr="00C62F6A">
        <w:rPr>
          <w:rFonts w:eastAsia="Calibri"/>
          <w:sz w:val="28"/>
          <w:szCs w:val="28"/>
        </w:rPr>
        <w:t xml:space="preserve">Всего – 2 724 372,9 тыс.рублей (2019 год – 491 520,2 тыс.рублей, 2020 год – </w:t>
      </w:r>
      <w:r w:rsidRPr="00C62F6A">
        <w:rPr>
          <w:rFonts w:eastAsia="Calibri"/>
          <w:sz w:val="28"/>
          <w:szCs w:val="28"/>
        </w:rPr>
        <w:br/>
        <w:t xml:space="preserve">871 283,1 тыс.рублей, 2021 год – 317 253,5 тыс.рублей, 2022 год – </w:t>
      </w:r>
      <w:r w:rsidRPr="00C62F6A">
        <w:rPr>
          <w:rFonts w:eastAsia="Calibri"/>
          <w:sz w:val="28"/>
          <w:szCs w:val="28"/>
        </w:rPr>
        <w:br/>
        <w:t xml:space="preserve">408 339,8 тыс.рублей, 2023 год – 71 637,0 тыс.рублей, 2024 год – 97 358,8 тыс.рублей, 2025 год – 0,0 тыс.рублей, 2026 год – 288 246,0 тыс.рублей, 2027 год – </w:t>
      </w:r>
      <w:r w:rsidRPr="00C62F6A">
        <w:rPr>
          <w:rFonts w:eastAsia="Calibri"/>
          <w:sz w:val="28"/>
          <w:szCs w:val="28"/>
        </w:rPr>
        <w:br/>
        <w:t xml:space="preserve">178 734,5 тыс.рублей, 2028 год – 0,0 тыс.рублей, 2029 год – 0,0 тыс.рублей, </w:t>
      </w:r>
      <w:r w:rsidRPr="00C62F6A">
        <w:rPr>
          <w:rFonts w:eastAsia="Calibri"/>
          <w:sz w:val="28"/>
          <w:szCs w:val="28"/>
        </w:rPr>
        <w:br/>
        <w:t>2030 год – 0,0 тыс.рублей), из них:</w:t>
      </w:r>
    </w:p>
    <w:p w:rsidR="003177D5" w:rsidRPr="00C62F6A" w:rsidRDefault="003177D5" w:rsidP="003177D5">
      <w:pPr>
        <w:ind w:firstLine="709"/>
        <w:jc w:val="both"/>
        <w:rPr>
          <w:rFonts w:eastAsia="Calibri"/>
          <w:sz w:val="28"/>
          <w:szCs w:val="28"/>
        </w:rPr>
      </w:pPr>
      <w:r w:rsidRPr="00C62F6A">
        <w:rPr>
          <w:rFonts w:eastAsia="Calibri"/>
          <w:sz w:val="28"/>
          <w:szCs w:val="28"/>
        </w:rPr>
        <w:t xml:space="preserve">средства федерального бюджета – 2 569 065,9 тыс.рублей (2019 год – </w:t>
      </w:r>
      <w:r w:rsidRPr="00C62F6A">
        <w:rPr>
          <w:rFonts w:eastAsia="Calibri"/>
          <w:sz w:val="28"/>
          <w:szCs w:val="28"/>
        </w:rPr>
        <w:br/>
        <w:t xml:space="preserve">491 520,2 тыс.рублей, 2020 год – 871 283,1 тыс.рублей, 2021 год – </w:t>
      </w:r>
      <w:r w:rsidRPr="00C62F6A">
        <w:rPr>
          <w:rFonts w:eastAsia="Calibri"/>
          <w:sz w:val="28"/>
          <w:szCs w:val="28"/>
        </w:rPr>
        <w:br/>
        <w:t xml:space="preserve">317 253,5 тыс.рублей, 2022 год – 408 339,8 тыс.рублей, 2023 год – </w:t>
      </w:r>
      <w:r w:rsidRPr="00C62F6A">
        <w:rPr>
          <w:rFonts w:eastAsia="Calibri"/>
          <w:sz w:val="28"/>
          <w:szCs w:val="28"/>
        </w:rPr>
        <w:br/>
        <w:t xml:space="preserve">71 637,0 тыс.рублей, 2024 год – 78 860,6 тыс.рублей, 2025 год – 0,0 тыс.рублей, </w:t>
      </w:r>
      <w:r w:rsidRPr="00C62F6A">
        <w:rPr>
          <w:rFonts w:eastAsia="Calibri"/>
          <w:sz w:val="28"/>
          <w:szCs w:val="28"/>
        </w:rPr>
        <w:br/>
        <w:t xml:space="preserve">2026 год – 210 419,6 тыс.рублей, 2027 год – 119 752,1 тыс.рублей, 2028 год – </w:t>
      </w:r>
      <w:r w:rsidRPr="00C62F6A">
        <w:rPr>
          <w:rFonts w:eastAsia="Calibri"/>
          <w:sz w:val="28"/>
          <w:szCs w:val="28"/>
        </w:rPr>
        <w:br/>
        <w:t>0,0 тыс.рублей, 2029 год – 0,0 тыс.рублей, 2030 год – 0,0 тыс.рублей);</w:t>
      </w:r>
    </w:p>
    <w:p w:rsidR="003177D5" w:rsidRDefault="003177D5" w:rsidP="003177D5">
      <w:pPr>
        <w:autoSpaceDE/>
        <w:adjustRightInd/>
        <w:ind w:firstLine="709"/>
        <w:jc w:val="both"/>
        <w:rPr>
          <w:rFonts w:eastAsia="Calibri"/>
          <w:sz w:val="28"/>
          <w:szCs w:val="28"/>
        </w:rPr>
      </w:pPr>
      <w:r w:rsidRPr="00C62F6A">
        <w:rPr>
          <w:rFonts w:eastAsia="Calibri"/>
          <w:sz w:val="28"/>
          <w:szCs w:val="28"/>
        </w:rPr>
        <w:t xml:space="preserve">средства бюджета Республики Татарстан – 155 307,0 тыс.рублей (2019 год – </w:t>
      </w:r>
      <w:r w:rsidRPr="00C62F6A">
        <w:rPr>
          <w:rFonts w:eastAsia="Calibri"/>
          <w:sz w:val="28"/>
          <w:szCs w:val="28"/>
        </w:rPr>
        <w:br/>
        <w:t xml:space="preserve">0,0 тыс.рублей, 2020 год – 0,0 тыс.рублей, 2021 год – 0,0 тыс.рублей, 2022 год – </w:t>
      </w:r>
      <w:r w:rsidRPr="00C62F6A">
        <w:rPr>
          <w:rFonts w:eastAsia="Calibri"/>
          <w:sz w:val="28"/>
          <w:szCs w:val="28"/>
        </w:rPr>
        <w:br/>
        <w:t xml:space="preserve">0,0 тыс.рублей, 2023 год – 0,0 тыс.рублей, 2024 год – 18 498,2 тыс.рублей, 2025 год – 0,0 тыс.рублей, 2026 год – 77 826,4 тыс.рублей, 2027 год – 58 982,4 тыс.рублей, </w:t>
      </w:r>
      <w:r w:rsidRPr="00C62F6A">
        <w:rPr>
          <w:rFonts w:eastAsia="Calibri"/>
          <w:sz w:val="28"/>
          <w:szCs w:val="28"/>
        </w:rPr>
        <w:br/>
        <w:t>2028 год – 0,0 тыс.рублей, 2029 год – 0,0 тыс.рублей, 2030 год – 0,0 тыс.рублей).</w:t>
      </w:r>
    </w:p>
    <w:p w:rsidR="00A23998" w:rsidRDefault="00A23998" w:rsidP="00A23998">
      <w:pPr>
        <w:autoSpaceDE/>
        <w:adjustRightInd/>
        <w:ind w:firstLine="709"/>
        <w:jc w:val="both"/>
        <w:rPr>
          <w:rFonts w:eastAsia="Calibri"/>
          <w:sz w:val="28"/>
          <w:szCs w:val="28"/>
        </w:rPr>
      </w:pPr>
    </w:p>
    <w:p w:rsidR="00A23998" w:rsidRDefault="00A23998" w:rsidP="00A23998">
      <w:pPr>
        <w:autoSpaceDE/>
        <w:adjustRightInd/>
        <w:jc w:val="center"/>
        <w:rPr>
          <w:rFonts w:eastAsia="Calibri"/>
          <w:sz w:val="28"/>
          <w:szCs w:val="28"/>
        </w:rPr>
      </w:pPr>
      <w:r>
        <w:rPr>
          <w:rFonts w:eastAsia="Calibri"/>
          <w:sz w:val="28"/>
          <w:szCs w:val="28"/>
        </w:rPr>
        <w:t xml:space="preserve">________________________  </w:t>
      </w:r>
    </w:p>
    <w:p w:rsidR="00A20085" w:rsidRPr="00B45832" w:rsidRDefault="00A20085" w:rsidP="00A23998">
      <w:pPr>
        <w:autoSpaceDE/>
        <w:autoSpaceDN/>
        <w:adjustRightInd/>
        <w:jc w:val="center"/>
        <w:outlineLvl w:val="0"/>
        <w:rPr>
          <w:rFonts w:eastAsia="Calibri"/>
          <w:bCs/>
          <w:sz w:val="28"/>
          <w:szCs w:val="28"/>
          <w:lang w:eastAsia="x-none"/>
        </w:rPr>
      </w:pPr>
    </w:p>
    <w:p w:rsidR="00B46751" w:rsidRPr="00B46751" w:rsidRDefault="00B46751" w:rsidP="00A23998">
      <w:pPr>
        <w:rPr>
          <w:sz w:val="2"/>
          <w:szCs w:val="2"/>
        </w:rPr>
      </w:pPr>
    </w:p>
    <w:p w:rsidR="00A20085" w:rsidRPr="00B45832" w:rsidRDefault="00A20085" w:rsidP="00A23998">
      <w:pPr>
        <w:autoSpaceDE/>
        <w:autoSpaceDN/>
        <w:adjustRightInd/>
        <w:rPr>
          <w:rFonts w:eastAsia="Calibri"/>
          <w:sz w:val="2"/>
          <w:szCs w:val="2"/>
          <w:lang w:eastAsia="en-US"/>
        </w:rPr>
      </w:pPr>
    </w:p>
    <w:sectPr w:rsidR="00A20085" w:rsidRPr="00B45832" w:rsidSect="00A23998">
      <w:footnotePr>
        <w:numRestart w:val="eachSect"/>
      </w:footnotePr>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1962" w:rsidRDefault="00B41962" w:rsidP="003778D6">
      <w:r>
        <w:separator/>
      </w:r>
    </w:p>
  </w:endnote>
  <w:endnote w:type="continuationSeparator" w:id="0">
    <w:p w:rsidR="00B41962" w:rsidRDefault="00B41962" w:rsidP="003778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Helios">
    <w:altName w:val="Arial"/>
    <w:panose1 w:val="00000000000000000000"/>
    <w:charset w:val="CC"/>
    <w:family w:val="swiss"/>
    <w:notTrueType/>
    <w:pitch w:val="default"/>
    <w:sig w:usb0="00000203" w:usb1="00000000" w:usb2="00000000" w:usb3="00000000" w:csb0="00000005" w:csb1="00000000"/>
  </w:font>
  <w:font w:name="Franklin Gothic Medium Cond">
    <w:panose1 w:val="020B0606030402020204"/>
    <w:charset w:val="CC"/>
    <w:family w:val="swiss"/>
    <w:pitch w:val="variable"/>
    <w:sig w:usb0="00000287" w:usb1="00000000" w:usb2="00000000" w:usb3="00000000" w:csb0="0000009F" w:csb1="00000000"/>
  </w:font>
  <w:font w:name="Helvetica">
    <w:panose1 w:val="020B0604020202020204"/>
    <w:charset w:val="00"/>
    <w:family w:val="swiss"/>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Times">
    <w:panose1 w:val="02020603050405020304"/>
    <w:charset w:val="00"/>
    <w:family w:val="roman"/>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Montserrat Medium">
    <w:altName w:val="Times New Roman"/>
    <w:charset w:val="CC"/>
    <w:family w:val="auto"/>
    <w:pitch w:val="variable"/>
    <w:sig w:usb0="00000001" w:usb1="00000003" w:usb2="00000000" w:usb3="00000000" w:csb0="00000197" w:csb1="00000000"/>
  </w:font>
  <w:font w:name="Montserrat">
    <w:altName w:val="Times New Roman"/>
    <w:charset w:val="CC"/>
    <w:family w:val="auto"/>
    <w:pitch w:val="variable"/>
    <w:sig w:usb0="2000020F" w:usb1="00000003" w:usb2="00000000" w:usb3="00000000" w:csb0="00000197"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Batang">
    <w:altName w:val="바탕"/>
    <w:panose1 w:val="02030600000101010101"/>
    <w:charset w:val="81"/>
    <w:family w:val="auto"/>
    <w:notTrueType/>
    <w:pitch w:val="fixed"/>
    <w:sig w:usb0="00000001" w:usb1="09060000" w:usb2="00000010" w:usb3="00000000" w:csb0="00080000" w:csb1="00000000"/>
  </w:font>
  <w:font w:name="Franklin Gothic Medium">
    <w:panose1 w:val="020B0603020102020204"/>
    <w:charset w:val="CC"/>
    <w:family w:val="swiss"/>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Andale Sans UI">
    <w:altName w:val="Times New Roman"/>
    <w:charset w:val="00"/>
    <w:family w:val="auto"/>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1962" w:rsidRDefault="00B41962" w:rsidP="003778D6">
      <w:r>
        <w:separator/>
      </w:r>
    </w:p>
  </w:footnote>
  <w:footnote w:type="continuationSeparator" w:id="0">
    <w:p w:rsidR="00B41962" w:rsidRDefault="00B41962" w:rsidP="003778D6">
      <w:r>
        <w:continuationSeparator/>
      </w:r>
    </w:p>
  </w:footnote>
  <w:footnote w:id="1">
    <w:p w:rsidR="009549EE" w:rsidRPr="00E474AD" w:rsidRDefault="009549EE">
      <w:pPr>
        <w:pStyle w:val="afc"/>
        <w:rPr>
          <w:lang w:val="ru-RU"/>
        </w:rPr>
      </w:pPr>
      <w:r>
        <w:rPr>
          <w:rStyle w:val="afe"/>
        </w:rPr>
        <w:footnoteRef/>
      </w:r>
      <w:r>
        <w:t xml:space="preserve"> </w:t>
      </w:r>
      <w:r>
        <w:rPr>
          <w:rFonts w:ascii="Times New Roman" w:hAnsi="Times New Roman"/>
          <w:lang w:val="ru-RU"/>
        </w:rPr>
        <w:t>ГАУЗ – государственное автономное учреждение здравоохранения</w:t>
      </w:r>
    </w:p>
  </w:footnote>
  <w:footnote w:id="2">
    <w:p w:rsidR="009549EE" w:rsidRPr="00E474AD" w:rsidRDefault="009549EE">
      <w:pPr>
        <w:pStyle w:val="afc"/>
      </w:pPr>
      <w:r>
        <w:rPr>
          <w:rStyle w:val="afe"/>
        </w:rPr>
        <w:footnoteRef/>
      </w:r>
      <w:r>
        <w:t xml:space="preserve"> </w:t>
      </w:r>
      <w:r>
        <w:rPr>
          <w:rFonts w:ascii="Times New Roman" w:hAnsi="Times New Roman"/>
          <w:lang w:val="ru-RU"/>
        </w:rPr>
        <w:t>ЦРБ – центральная районная больница.</w:t>
      </w:r>
    </w:p>
  </w:footnote>
  <w:footnote w:id="3">
    <w:p w:rsidR="009549EE" w:rsidRPr="00E474AD" w:rsidRDefault="009549EE">
      <w:pPr>
        <w:pStyle w:val="afc"/>
      </w:pPr>
      <w:r>
        <w:rPr>
          <w:rStyle w:val="afe"/>
        </w:rPr>
        <w:footnoteRef/>
      </w:r>
      <w:r>
        <w:t xml:space="preserve"> </w:t>
      </w:r>
      <w:r>
        <w:rPr>
          <w:rFonts w:ascii="Times New Roman" w:hAnsi="Times New Roman"/>
          <w:color w:val="000000"/>
          <w:lang w:val="ru-RU"/>
        </w:rPr>
        <w:t>Медико-санитарная часть Федерального государственного автономного учреждения высшего образования «Казанский (Приволжский) федеральный университет.</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75415392"/>
      <w:docPartObj>
        <w:docPartGallery w:val="Page Numbers (Top of Page)"/>
        <w:docPartUnique/>
      </w:docPartObj>
    </w:sdtPr>
    <w:sdtEndPr/>
    <w:sdtContent>
      <w:p w:rsidR="009549EE" w:rsidRDefault="009549EE">
        <w:pPr>
          <w:pStyle w:val="a5"/>
          <w:jc w:val="center"/>
        </w:pPr>
        <w:r w:rsidRPr="00726731">
          <w:rPr>
            <w:sz w:val="28"/>
            <w:szCs w:val="28"/>
          </w:rPr>
          <w:fldChar w:fldCharType="begin"/>
        </w:r>
        <w:r w:rsidRPr="00726731">
          <w:rPr>
            <w:sz w:val="28"/>
            <w:szCs w:val="28"/>
          </w:rPr>
          <w:instrText>PAGE   \* MERGEFORMAT</w:instrText>
        </w:r>
        <w:r w:rsidRPr="00726731">
          <w:rPr>
            <w:sz w:val="28"/>
            <w:szCs w:val="28"/>
          </w:rPr>
          <w:fldChar w:fldCharType="separate"/>
        </w:r>
        <w:r w:rsidR="00B3168A">
          <w:rPr>
            <w:noProof/>
            <w:sz w:val="28"/>
            <w:szCs w:val="28"/>
          </w:rPr>
          <w:t>6</w:t>
        </w:r>
        <w:r w:rsidRPr="00726731">
          <w:rPr>
            <w:sz w:val="28"/>
            <w:szCs w:val="28"/>
          </w:rPr>
          <w:fldChar w:fldCharType="end"/>
        </w:r>
      </w:p>
    </w:sdtContent>
  </w:sdt>
  <w:p w:rsidR="009549EE" w:rsidRDefault="009549EE">
    <w:pPr>
      <w:pStyle w:val="a5"/>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3957581"/>
      <w:docPartObj>
        <w:docPartGallery w:val="Page Numbers (Top of Page)"/>
        <w:docPartUnique/>
      </w:docPartObj>
    </w:sdtPr>
    <w:sdtEndPr>
      <w:rPr>
        <w:sz w:val="28"/>
        <w:szCs w:val="28"/>
      </w:rPr>
    </w:sdtEndPr>
    <w:sdtContent>
      <w:p w:rsidR="009549EE" w:rsidRPr="000C3664" w:rsidRDefault="009549EE">
        <w:pPr>
          <w:pStyle w:val="a5"/>
          <w:jc w:val="center"/>
          <w:rPr>
            <w:sz w:val="28"/>
            <w:szCs w:val="28"/>
          </w:rPr>
        </w:pPr>
        <w:r w:rsidRPr="000C3664">
          <w:rPr>
            <w:sz w:val="28"/>
            <w:szCs w:val="28"/>
          </w:rPr>
          <w:fldChar w:fldCharType="begin"/>
        </w:r>
        <w:r w:rsidRPr="000C3664">
          <w:rPr>
            <w:sz w:val="28"/>
            <w:szCs w:val="28"/>
          </w:rPr>
          <w:instrText>PAGE   \* MERGEFORMAT</w:instrText>
        </w:r>
        <w:r w:rsidRPr="000C3664">
          <w:rPr>
            <w:sz w:val="28"/>
            <w:szCs w:val="28"/>
          </w:rPr>
          <w:fldChar w:fldCharType="separate"/>
        </w:r>
        <w:r w:rsidR="008009A6">
          <w:rPr>
            <w:noProof/>
            <w:sz w:val="28"/>
            <w:szCs w:val="28"/>
          </w:rPr>
          <w:t>232</w:t>
        </w:r>
        <w:r w:rsidRPr="000C3664">
          <w:rPr>
            <w:sz w:val="28"/>
            <w:szCs w:val="28"/>
          </w:rPr>
          <w:fldChar w:fldCharType="end"/>
        </w:r>
      </w:p>
    </w:sdtContent>
  </w:sdt>
  <w:p w:rsidR="009549EE" w:rsidRPr="000812A1" w:rsidRDefault="009549EE" w:rsidP="000812A1"/>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49EE" w:rsidRPr="000812A1" w:rsidRDefault="009549EE" w:rsidP="000812A1"/>
  <w:p w:rsidR="009549EE" w:rsidRPr="000812A1" w:rsidRDefault="009549EE" w:rsidP="000812A1"/>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1921911"/>
      <w:docPartObj>
        <w:docPartGallery w:val="Page Numbers (Top of Page)"/>
        <w:docPartUnique/>
      </w:docPartObj>
    </w:sdtPr>
    <w:sdtEndPr/>
    <w:sdtContent>
      <w:p w:rsidR="009549EE" w:rsidRDefault="009549EE">
        <w:pPr>
          <w:pStyle w:val="a5"/>
          <w:jc w:val="center"/>
        </w:pPr>
        <w:r w:rsidRPr="004D4B96">
          <w:rPr>
            <w:sz w:val="28"/>
            <w:szCs w:val="28"/>
          </w:rPr>
          <w:fldChar w:fldCharType="begin"/>
        </w:r>
        <w:r w:rsidRPr="004D4B96">
          <w:rPr>
            <w:sz w:val="28"/>
            <w:szCs w:val="28"/>
          </w:rPr>
          <w:instrText>PAGE   \* MERGEFORMAT</w:instrText>
        </w:r>
        <w:r w:rsidRPr="004D4B96">
          <w:rPr>
            <w:sz w:val="28"/>
            <w:szCs w:val="28"/>
          </w:rPr>
          <w:fldChar w:fldCharType="separate"/>
        </w:r>
        <w:r w:rsidR="00B3168A">
          <w:rPr>
            <w:noProof/>
            <w:sz w:val="28"/>
            <w:szCs w:val="28"/>
          </w:rPr>
          <w:t>7</w:t>
        </w:r>
        <w:r w:rsidRPr="004D4B96">
          <w:rPr>
            <w:sz w:val="28"/>
            <w:szCs w:val="28"/>
          </w:rPr>
          <w:fldChar w:fldCharType="end"/>
        </w:r>
      </w:p>
    </w:sdtContent>
  </w:sdt>
  <w:p w:rsidR="009549EE" w:rsidRPr="003239F0" w:rsidRDefault="009549EE" w:rsidP="003239F0"/>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49EE" w:rsidRPr="003239F0" w:rsidRDefault="009549EE" w:rsidP="003239F0"/>
  <w:p w:rsidR="009549EE" w:rsidRPr="003239F0" w:rsidRDefault="009549EE" w:rsidP="003239F0"/>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49EE" w:rsidRPr="003239F0" w:rsidRDefault="009549EE" w:rsidP="003239F0"/>
  <w:p w:rsidR="009549EE" w:rsidRPr="003239F0" w:rsidRDefault="009549EE" w:rsidP="003239F0"/>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58498844"/>
      <w:docPartObj>
        <w:docPartGallery w:val="Page Numbers (Top of Page)"/>
        <w:docPartUnique/>
      </w:docPartObj>
    </w:sdtPr>
    <w:sdtEndPr>
      <w:rPr>
        <w:sz w:val="28"/>
        <w:szCs w:val="28"/>
      </w:rPr>
    </w:sdtEndPr>
    <w:sdtContent>
      <w:p w:rsidR="009549EE" w:rsidRPr="000C3664" w:rsidRDefault="009549EE">
        <w:pPr>
          <w:pStyle w:val="a5"/>
          <w:jc w:val="center"/>
          <w:rPr>
            <w:sz w:val="28"/>
            <w:szCs w:val="28"/>
          </w:rPr>
        </w:pPr>
        <w:r w:rsidRPr="000C3664">
          <w:rPr>
            <w:sz w:val="28"/>
            <w:szCs w:val="28"/>
          </w:rPr>
          <w:fldChar w:fldCharType="begin"/>
        </w:r>
        <w:r w:rsidRPr="000C3664">
          <w:rPr>
            <w:sz w:val="28"/>
            <w:szCs w:val="28"/>
          </w:rPr>
          <w:instrText>PAGE   \* MERGEFORMAT</w:instrText>
        </w:r>
        <w:r w:rsidRPr="000C3664">
          <w:rPr>
            <w:sz w:val="28"/>
            <w:szCs w:val="28"/>
          </w:rPr>
          <w:fldChar w:fldCharType="separate"/>
        </w:r>
        <w:r w:rsidR="008009A6">
          <w:rPr>
            <w:noProof/>
            <w:sz w:val="28"/>
            <w:szCs w:val="28"/>
          </w:rPr>
          <w:t>107</w:t>
        </w:r>
        <w:r w:rsidRPr="000C3664">
          <w:rPr>
            <w:sz w:val="28"/>
            <w:szCs w:val="28"/>
          </w:rPr>
          <w:fldChar w:fldCharType="end"/>
        </w:r>
      </w:p>
    </w:sdtContent>
  </w:sdt>
  <w:p w:rsidR="009549EE" w:rsidRPr="000812A1" w:rsidRDefault="009549EE" w:rsidP="000812A1"/>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49EE" w:rsidRPr="000812A1" w:rsidRDefault="009549EE" w:rsidP="000812A1"/>
  <w:p w:rsidR="009549EE" w:rsidRPr="000812A1" w:rsidRDefault="009549EE" w:rsidP="000812A1"/>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8604735"/>
      <w:docPartObj>
        <w:docPartGallery w:val="Page Numbers (Top of Page)"/>
        <w:docPartUnique/>
      </w:docPartObj>
    </w:sdtPr>
    <w:sdtEndPr>
      <w:rPr>
        <w:sz w:val="28"/>
        <w:szCs w:val="28"/>
      </w:rPr>
    </w:sdtEndPr>
    <w:sdtContent>
      <w:p w:rsidR="009549EE" w:rsidRPr="00F50BA9" w:rsidRDefault="009549EE">
        <w:pPr>
          <w:pStyle w:val="a5"/>
          <w:jc w:val="center"/>
          <w:rPr>
            <w:sz w:val="28"/>
            <w:szCs w:val="28"/>
          </w:rPr>
        </w:pPr>
        <w:r w:rsidRPr="00F50BA9">
          <w:rPr>
            <w:sz w:val="28"/>
            <w:szCs w:val="28"/>
          </w:rPr>
          <w:fldChar w:fldCharType="begin"/>
        </w:r>
        <w:r w:rsidRPr="00F50BA9">
          <w:rPr>
            <w:sz w:val="28"/>
            <w:szCs w:val="28"/>
          </w:rPr>
          <w:instrText>PAGE   \* MERGEFORMAT</w:instrText>
        </w:r>
        <w:r w:rsidRPr="00F50BA9">
          <w:rPr>
            <w:sz w:val="28"/>
            <w:szCs w:val="28"/>
          </w:rPr>
          <w:fldChar w:fldCharType="separate"/>
        </w:r>
        <w:r w:rsidR="008009A6">
          <w:rPr>
            <w:noProof/>
            <w:sz w:val="28"/>
            <w:szCs w:val="28"/>
          </w:rPr>
          <w:t>108</w:t>
        </w:r>
        <w:r w:rsidRPr="00F50BA9">
          <w:rPr>
            <w:sz w:val="28"/>
            <w:szCs w:val="28"/>
          </w:rPr>
          <w:fldChar w:fldCharType="end"/>
        </w:r>
      </w:p>
    </w:sdtContent>
  </w:sdt>
  <w:p w:rsidR="009549EE" w:rsidRPr="000812A1" w:rsidRDefault="009549EE" w:rsidP="000812A1"/>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13601838"/>
      <w:docPartObj>
        <w:docPartGallery w:val="Page Numbers (Top of Page)"/>
        <w:docPartUnique/>
      </w:docPartObj>
    </w:sdtPr>
    <w:sdtEndPr/>
    <w:sdtContent>
      <w:p w:rsidR="009549EE" w:rsidRDefault="009549EE">
        <w:pPr>
          <w:pStyle w:val="a5"/>
          <w:jc w:val="center"/>
        </w:pPr>
        <w:r>
          <w:fldChar w:fldCharType="begin"/>
        </w:r>
        <w:r>
          <w:instrText>PAGE   \* MERGEFORMAT</w:instrText>
        </w:r>
        <w:r>
          <w:fldChar w:fldCharType="separate"/>
        </w:r>
        <w:r w:rsidR="008009A6">
          <w:rPr>
            <w:noProof/>
          </w:rPr>
          <w:t>109</w:t>
        </w:r>
        <w:r>
          <w:fldChar w:fldCharType="end"/>
        </w:r>
      </w:p>
    </w:sdtContent>
  </w:sdt>
  <w:p w:rsidR="009549EE" w:rsidRPr="000812A1" w:rsidRDefault="009549EE" w:rsidP="000812A1"/>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49EE" w:rsidRPr="000812A1" w:rsidRDefault="009549EE" w:rsidP="00DC3845">
    <w:pPr>
      <w:jc w:val="center"/>
    </w:pPr>
    <w:r w:rsidRPr="000812A1">
      <w:fldChar w:fldCharType="begin"/>
    </w:r>
    <w:r w:rsidRPr="000812A1">
      <w:instrText>PAGE   \* MERGEFORMAT</w:instrText>
    </w:r>
    <w:r w:rsidRPr="000812A1">
      <w:fldChar w:fldCharType="separate"/>
    </w:r>
    <w:r w:rsidR="008009A6">
      <w:rPr>
        <w:noProof/>
      </w:rPr>
      <w:t>114</w:t>
    </w:r>
    <w:r w:rsidRPr="000812A1">
      <w:fldChar w:fldCharType="end"/>
    </w:r>
  </w:p>
  <w:p w:rsidR="009549EE" w:rsidRPr="000812A1" w:rsidRDefault="009549EE" w:rsidP="000812A1"/>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E725FE"/>
    <w:multiLevelType w:val="hybridMultilevel"/>
    <w:tmpl w:val="3F54CC4C"/>
    <w:lvl w:ilvl="0" w:tplc="957AF2D8">
      <w:start w:val="1"/>
      <w:numFmt w:val="decimal"/>
      <w:pStyle w:val="a"/>
      <w:suff w:val="nothing"/>
      <w:lvlText w:val="Таблица %1"/>
      <w:lvlJc w:val="right"/>
      <w:pPr>
        <w:ind w:left="14459"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0673F50"/>
    <w:multiLevelType w:val="hybridMultilevel"/>
    <w:tmpl w:val="24E4B08A"/>
    <w:lvl w:ilvl="0" w:tplc="2C9851FE">
      <w:start w:val="1"/>
      <w:numFmt w:val="bullet"/>
      <w:lvlText w:val=""/>
      <w:lvlJc w:val="left"/>
      <w:pPr>
        <w:tabs>
          <w:tab w:val="num" w:pos="720"/>
        </w:tabs>
        <w:ind w:left="720" w:hanging="360"/>
      </w:pPr>
      <w:rPr>
        <w:rFonts w:ascii="Symbol" w:hAnsi="Symbol" w:hint="default"/>
      </w:rPr>
    </w:lvl>
    <w:lvl w:ilvl="1" w:tplc="E2403E8A" w:tentative="1">
      <w:start w:val="1"/>
      <w:numFmt w:val="bullet"/>
      <w:lvlText w:val=""/>
      <w:lvlJc w:val="left"/>
      <w:pPr>
        <w:tabs>
          <w:tab w:val="num" w:pos="1440"/>
        </w:tabs>
        <w:ind w:left="1440" w:hanging="360"/>
      </w:pPr>
      <w:rPr>
        <w:rFonts w:ascii="Symbol" w:hAnsi="Symbol" w:hint="default"/>
      </w:rPr>
    </w:lvl>
    <w:lvl w:ilvl="2" w:tplc="8B303DE6" w:tentative="1">
      <w:start w:val="1"/>
      <w:numFmt w:val="bullet"/>
      <w:lvlText w:val=""/>
      <w:lvlJc w:val="left"/>
      <w:pPr>
        <w:tabs>
          <w:tab w:val="num" w:pos="2160"/>
        </w:tabs>
        <w:ind w:left="2160" w:hanging="360"/>
      </w:pPr>
      <w:rPr>
        <w:rFonts w:ascii="Symbol" w:hAnsi="Symbol" w:hint="default"/>
      </w:rPr>
    </w:lvl>
    <w:lvl w:ilvl="3" w:tplc="1BA63A44" w:tentative="1">
      <w:start w:val="1"/>
      <w:numFmt w:val="bullet"/>
      <w:lvlText w:val=""/>
      <w:lvlJc w:val="left"/>
      <w:pPr>
        <w:tabs>
          <w:tab w:val="num" w:pos="2880"/>
        </w:tabs>
        <w:ind w:left="2880" w:hanging="360"/>
      </w:pPr>
      <w:rPr>
        <w:rFonts w:ascii="Symbol" w:hAnsi="Symbol" w:hint="default"/>
      </w:rPr>
    </w:lvl>
    <w:lvl w:ilvl="4" w:tplc="ADAC4B86" w:tentative="1">
      <w:start w:val="1"/>
      <w:numFmt w:val="bullet"/>
      <w:lvlText w:val=""/>
      <w:lvlJc w:val="left"/>
      <w:pPr>
        <w:tabs>
          <w:tab w:val="num" w:pos="3600"/>
        </w:tabs>
        <w:ind w:left="3600" w:hanging="360"/>
      </w:pPr>
      <w:rPr>
        <w:rFonts w:ascii="Symbol" w:hAnsi="Symbol" w:hint="default"/>
      </w:rPr>
    </w:lvl>
    <w:lvl w:ilvl="5" w:tplc="E1F400B6" w:tentative="1">
      <w:start w:val="1"/>
      <w:numFmt w:val="bullet"/>
      <w:lvlText w:val=""/>
      <w:lvlJc w:val="left"/>
      <w:pPr>
        <w:tabs>
          <w:tab w:val="num" w:pos="4320"/>
        </w:tabs>
        <w:ind w:left="4320" w:hanging="360"/>
      </w:pPr>
      <w:rPr>
        <w:rFonts w:ascii="Symbol" w:hAnsi="Symbol" w:hint="default"/>
      </w:rPr>
    </w:lvl>
    <w:lvl w:ilvl="6" w:tplc="C68202B8" w:tentative="1">
      <w:start w:val="1"/>
      <w:numFmt w:val="bullet"/>
      <w:lvlText w:val=""/>
      <w:lvlJc w:val="left"/>
      <w:pPr>
        <w:tabs>
          <w:tab w:val="num" w:pos="5040"/>
        </w:tabs>
        <w:ind w:left="5040" w:hanging="360"/>
      </w:pPr>
      <w:rPr>
        <w:rFonts w:ascii="Symbol" w:hAnsi="Symbol" w:hint="default"/>
      </w:rPr>
    </w:lvl>
    <w:lvl w:ilvl="7" w:tplc="A0AC6A4A" w:tentative="1">
      <w:start w:val="1"/>
      <w:numFmt w:val="bullet"/>
      <w:lvlText w:val=""/>
      <w:lvlJc w:val="left"/>
      <w:pPr>
        <w:tabs>
          <w:tab w:val="num" w:pos="5760"/>
        </w:tabs>
        <w:ind w:left="5760" w:hanging="360"/>
      </w:pPr>
      <w:rPr>
        <w:rFonts w:ascii="Symbol" w:hAnsi="Symbol" w:hint="default"/>
      </w:rPr>
    </w:lvl>
    <w:lvl w:ilvl="8" w:tplc="04E400B4"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3CDA261A"/>
    <w:multiLevelType w:val="hybridMultilevel"/>
    <w:tmpl w:val="42203B22"/>
    <w:lvl w:ilvl="0" w:tplc="3EDE4A78">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15:restartNumberingAfterBreak="0">
    <w:nsid w:val="4DD77214"/>
    <w:multiLevelType w:val="hybridMultilevel"/>
    <w:tmpl w:val="532659A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52056335"/>
    <w:multiLevelType w:val="hybridMultilevel"/>
    <w:tmpl w:val="101A0264"/>
    <w:lvl w:ilvl="0" w:tplc="5FF2601E">
      <w:start w:val="1"/>
      <w:numFmt w:val="bullet"/>
      <w:pStyle w:val="a0"/>
      <w:lvlText w:val=""/>
      <w:lvlJc w:val="left"/>
      <w:pPr>
        <w:tabs>
          <w:tab w:val="num" w:pos="937"/>
        </w:tabs>
        <w:ind w:left="937" w:hanging="397"/>
      </w:pPr>
      <w:rPr>
        <w:rFonts w:ascii="Wingdings" w:hAnsi="Wingdings" w:hint="default"/>
        <w:sz w:val="20"/>
        <w:szCs w:val="20"/>
      </w:rPr>
    </w:lvl>
    <w:lvl w:ilvl="1" w:tplc="04190001">
      <w:start w:val="1"/>
      <w:numFmt w:val="bullet"/>
      <w:lvlText w:val=""/>
      <w:lvlJc w:val="left"/>
      <w:pPr>
        <w:tabs>
          <w:tab w:val="num" w:pos="1440"/>
        </w:tabs>
        <w:ind w:left="1440" w:hanging="360"/>
      </w:pPr>
      <w:rPr>
        <w:rFonts w:ascii="Symbol" w:hAnsi="Symbol" w:hint="default"/>
        <w:sz w:val="20"/>
        <w:szCs w:val="20"/>
      </w:rPr>
    </w:lvl>
    <w:lvl w:ilvl="2" w:tplc="0419000F">
      <w:start w:val="1"/>
      <w:numFmt w:val="decimal"/>
      <w:lvlText w:val="%3."/>
      <w:lvlJc w:val="left"/>
      <w:pPr>
        <w:tabs>
          <w:tab w:val="num" w:pos="2160"/>
        </w:tabs>
        <w:ind w:left="2160" w:hanging="360"/>
      </w:pPr>
      <w:rPr>
        <w:sz w:val="20"/>
        <w:szCs w:val="20"/>
      </w:rPr>
    </w:lvl>
    <w:lvl w:ilvl="3" w:tplc="32C4ECF8">
      <w:start w:val="4"/>
      <w:numFmt w:val="decimal"/>
      <w:lvlText w:val="%4"/>
      <w:lvlJc w:val="left"/>
      <w:pPr>
        <w:tabs>
          <w:tab w:val="num" w:pos="2880"/>
        </w:tabs>
        <w:ind w:left="2880" w:hanging="360"/>
      </w:p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num w:numId="1">
    <w:abstractNumId w:val="4"/>
    <w:lvlOverride w:ilvl="0"/>
    <w:lvlOverride w:ilvl="1"/>
    <w:lvlOverride w:ilvl="2">
      <w:startOverride w:val="1"/>
    </w:lvlOverride>
    <w:lvlOverride w:ilvl="3">
      <w:startOverride w:val="4"/>
    </w:lvlOverride>
    <w:lvlOverride w:ilvl="4"/>
    <w:lvlOverride w:ilvl="5"/>
    <w:lvlOverride w:ilvl="6"/>
    <w:lvlOverride w:ilvl="7"/>
    <w:lvlOverride w:ilvl="8"/>
  </w:num>
  <w:num w:numId="2">
    <w:abstractNumId w:val="0"/>
  </w:num>
  <w:num w:numId="3">
    <w:abstractNumId w:val="2"/>
  </w:num>
  <w:num w:numId="4">
    <w:abstractNumId w:val="1"/>
  </w:num>
  <w:num w:numId="5">
    <w:abstractNumId w:val="4"/>
  </w:num>
  <w:num w:numId="6">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hideSpellingErrors/>
  <w:hideGrammaticalErrors/>
  <w:defaultTabStop w:val="709"/>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6D95"/>
    <w:rsid w:val="0000024C"/>
    <w:rsid w:val="0000028D"/>
    <w:rsid w:val="0000049F"/>
    <w:rsid w:val="00000610"/>
    <w:rsid w:val="0000093F"/>
    <w:rsid w:val="0000121A"/>
    <w:rsid w:val="0000154E"/>
    <w:rsid w:val="0000204E"/>
    <w:rsid w:val="00002DF2"/>
    <w:rsid w:val="00002E51"/>
    <w:rsid w:val="000032B5"/>
    <w:rsid w:val="00003415"/>
    <w:rsid w:val="000038E8"/>
    <w:rsid w:val="00003A48"/>
    <w:rsid w:val="00003ED2"/>
    <w:rsid w:val="000046C5"/>
    <w:rsid w:val="00004895"/>
    <w:rsid w:val="00004A1A"/>
    <w:rsid w:val="00005364"/>
    <w:rsid w:val="00005532"/>
    <w:rsid w:val="00005BED"/>
    <w:rsid w:val="00005FA2"/>
    <w:rsid w:val="00006340"/>
    <w:rsid w:val="00006886"/>
    <w:rsid w:val="00006C92"/>
    <w:rsid w:val="00006FBC"/>
    <w:rsid w:val="00007D18"/>
    <w:rsid w:val="00007FB5"/>
    <w:rsid w:val="00010EB9"/>
    <w:rsid w:val="0001179E"/>
    <w:rsid w:val="00011F64"/>
    <w:rsid w:val="000120AF"/>
    <w:rsid w:val="00012424"/>
    <w:rsid w:val="000129A2"/>
    <w:rsid w:val="000129C3"/>
    <w:rsid w:val="00013068"/>
    <w:rsid w:val="0001323F"/>
    <w:rsid w:val="00013576"/>
    <w:rsid w:val="00013A04"/>
    <w:rsid w:val="00013B85"/>
    <w:rsid w:val="00015236"/>
    <w:rsid w:val="00015853"/>
    <w:rsid w:val="00015E49"/>
    <w:rsid w:val="000169D3"/>
    <w:rsid w:val="00016F54"/>
    <w:rsid w:val="0001746E"/>
    <w:rsid w:val="00020E41"/>
    <w:rsid w:val="00021C23"/>
    <w:rsid w:val="00021F5C"/>
    <w:rsid w:val="00021F9B"/>
    <w:rsid w:val="0002208E"/>
    <w:rsid w:val="0002271E"/>
    <w:rsid w:val="0002277E"/>
    <w:rsid w:val="00022B94"/>
    <w:rsid w:val="000236F7"/>
    <w:rsid w:val="00024738"/>
    <w:rsid w:val="0002476F"/>
    <w:rsid w:val="00024BFD"/>
    <w:rsid w:val="0002591A"/>
    <w:rsid w:val="00025A0B"/>
    <w:rsid w:val="00025BE9"/>
    <w:rsid w:val="00025C23"/>
    <w:rsid w:val="00026817"/>
    <w:rsid w:val="00026AFC"/>
    <w:rsid w:val="00026C88"/>
    <w:rsid w:val="00026F33"/>
    <w:rsid w:val="000278BD"/>
    <w:rsid w:val="00027BBB"/>
    <w:rsid w:val="00027D8A"/>
    <w:rsid w:val="00030540"/>
    <w:rsid w:val="00030AE7"/>
    <w:rsid w:val="00030C5A"/>
    <w:rsid w:val="000312D5"/>
    <w:rsid w:val="00031809"/>
    <w:rsid w:val="00031D1E"/>
    <w:rsid w:val="0003200F"/>
    <w:rsid w:val="00032730"/>
    <w:rsid w:val="00032784"/>
    <w:rsid w:val="000328F9"/>
    <w:rsid w:val="00033119"/>
    <w:rsid w:val="000333EB"/>
    <w:rsid w:val="000336A7"/>
    <w:rsid w:val="000350A2"/>
    <w:rsid w:val="000360B6"/>
    <w:rsid w:val="000364A0"/>
    <w:rsid w:val="00036763"/>
    <w:rsid w:val="00036BA3"/>
    <w:rsid w:val="00037645"/>
    <w:rsid w:val="000400A2"/>
    <w:rsid w:val="000406A5"/>
    <w:rsid w:val="00040BF5"/>
    <w:rsid w:val="00041513"/>
    <w:rsid w:val="0004155A"/>
    <w:rsid w:val="00041E3A"/>
    <w:rsid w:val="000420A1"/>
    <w:rsid w:val="0004233F"/>
    <w:rsid w:val="00042EEC"/>
    <w:rsid w:val="00043048"/>
    <w:rsid w:val="00043133"/>
    <w:rsid w:val="00043917"/>
    <w:rsid w:val="000440A6"/>
    <w:rsid w:val="00044650"/>
    <w:rsid w:val="00044A31"/>
    <w:rsid w:val="000456ED"/>
    <w:rsid w:val="0004617F"/>
    <w:rsid w:val="000463A6"/>
    <w:rsid w:val="00046511"/>
    <w:rsid w:val="00046716"/>
    <w:rsid w:val="000467BC"/>
    <w:rsid w:val="00046B3F"/>
    <w:rsid w:val="000474E1"/>
    <w:rsid w:val="00047CCF"/>
    <w:rsid w:val="00050121"/>
    <w:rsid w:val="00050566"/>
    <w:rsid w:val="00050574"/>
    <w:rsid w:val="00051038"/>
    <w:rsid w:val="00051201"/>
    <w:rsid w:val="0005140F"/>
    <w:rsid w:val="00051A42"/>
    <w:rsid w:val="00051DF8"/>
    <w:rsid w:val="00051F3F"/>
    <w:rsid w:val="00052082"/>
    <w:rsid w:val="00053358"/>
    <w:rsid w:val="00053646"/>
    <w:rsid w:val="00053C15"/>
    <w:rsid w:val="00054088"/>
    <w:rsid w:val="0005428A"/>
    <w:rsid w:val="000546C2"/>
    <w:rsid w:val="0005499C"/>
    <w:rsid w:val="00054F07"/>
    <w:rsid w:val="00055078"/>
    <w:rsid w:val="00055121"/>
    <w:rsid w:val="000554F6"/>
    <w:rsid w:val="0005585A"/>
    <w:rsid w:val="00055B8E"/>
    <w:rsid w:val="00055E8A"/>
    <w:rsid w:val="000576E9"/>
    <w:rsid w:val="0005794A"/>
    <w:rsid w:val="00057C4F"/>
    <w:rsid w:val="00057E38"/>
    <w:rsid w:val="00057F52"/>
    <w:rsid w:val="000602FE"/>
    <w:rsid w:val="000605D8"/>
    <w:rsid w:val="00060BBB"/>
    <w:rsid w:val="00061D4F"/>
    <w:rsid w:val="000626B8"/>
    <w:rsid w:val="00063272"/>
    <w:rsid w:val="000639C2"/>
    <w:rsid w:val="00063F1F"/>
    <w:rsid w:val="00063F73"/>
    <w:rsid w:val="00064654"/>
    <w:rsid w:val="00064693"/>
    <w:rsid w:val="00064835"/>
    <w:rsid w:val="000653F1"/>
    <w:rsid w:val="000655F8"/>
    <w:rsid w:val="00066162"/>
    <w:rsid w:val="00066557"/>
    <w:rsid w:val="00066624"/>
    <w:rsid w:val="00066838"/>
    <w:rsid w:val="00067293"/>
    <w:rsid w:val="00067941"/>
    <w:rsid w:val="00067EBF"/>
    <w:rsid w:val="000709BF"/>
    <w:rsid w:val="0007104C"/>
    <w:rsid w:val="000713A4"/>
    <w:rsid w:val="00071493"/>
    <w:rsid w:val="00071C90"/>
    <w:rsid w:val="00071FBB"/>
    <w:rsid w:val="000737A9"/>
    <w:rsid w:val="00073960"/>
    <w:rsid w:val="000747E1"/>
    <w:rsid w:val="00074DE1"/>
    <w:rsid w:val="00075222"/>
    <w:rsid w:val="0007533B"/>
    <w:rsid w:val="000757E2"/>
    <w:rsid w:val="00075C19"/>
    <w:rsid w:val="0007693F"/>
    <w:rsid w:val="00076EB6"/>
    <w:rsid w:val="000777FB"/>
    <w:rsid w:val="00077D1F"/>
    <w:rsid w:val="00080094"/>
    <w:rsid w:val="00080569"/>
    <w:rsid w:val="00080BEF"/>
    <w:rsid w:val="00080DCA"/>
    <w:rsid w:val="00081254"/>
    <w:rsid w:val="000812A1"/>
    <w:rsid w:val="00081D9D"/>
    <w:rsid w:val="00081F39"/>
    <w:rsid w:val="0008245C"/>
    <w:rsid w:val="00082CC2"/>
    <w:rsid w:val="00083345"/>
    <w:rsid w:val="00083448"/>
    <w:rsid w:val="00083EC0"/>
    <w:rsid w:val="00083EF6"/>
    <w:rsid w:val="00084183"/>
    <w:rsid w:val="0008467C"/>
    <w:rsid w:val="00084768"/>
    <w:rsid w:val="00085B74"/>
    <w:rsid w:val="000868C3"/>
    <w:rsid w:val="00086A71"/>
    <w:rsid w:val="0008726B"/>
    <w:rsid w:val="00087703"/>
    <w:rsid w:val="00090194"/>
    <w:rsid w:val="00090E52"/>
    <w:rsid w:val="00091230"/>
    <w:rsid w:val="00091745"/>
    <w:rsid w:val="00091CF6"/>
    <w:rsid w:val="00092316"/>
    <w:rsid w:val="00092505"/>
    <w:rsid w:val="00092515"/>
    <w:rsid w:val="000925E9"/>
    <w:rsid w:val="00092946"/>
    <w:rsid w:val="00092E6D"/>
    <w:rsid w:val="00093107"/>
    <w:rsid w:val="00093277"/>
    <w:rsid w:val="00093C78"/>
    <w:rsid w:val="00093D24"/>
    <w:rsid w:val="00093ED0"/>
    <w:rsid w:val="000945F7"/>
    <w:rsid w:val="00094B02"/>
    <w:rsid w:val="00095505"/>
    <w:rsid w:val="00095727"/>
    <w:rsid w:val="000957C4"/>
    <w:rsid w:val="000959B9"/>
    <w:rsid w:val="00095DAF"/>
    <w:rsid w:val="00096FE7"/>
    <w:rsid w:val="00097063"/>
    <w:rsid w:val="00097D4C"/>
    <w:rsid w:val="00097DBA"/>
    <w:rsid w:val="000A077C"/>
    <w:rsid w:val="000A07AE"/>
    <w:rsid w:val="000A10E2"/>
    <w:rsid w:val="000A17E5"/>
    <w:rsid w:val="000A28A9"/>
    <w:rsid w:val="000A2C46"/>
    <w:rsid w:val="000A31F6"/>
    <w:rsid w:val="000A44CC"/>
    <w:rsid w:val="000A4C9E"/>
    <w:rsid w:val="000A61A8"/>
    <w:rsid w:val="000B0BC5"/>
    <w:rsid w:val="000B1BA9"/>
    <w:rsid w:val="000B1FD4"/>
    <w:rsid w:val="000B28E1"/>
    <w:rsid w:val="000B2C0F"/>
    <w:rsid w:val="000B31E8"/>
    <w:rsid w:val="000B335A"/>
    <w:rsid w:val="000B387A"/>
    <w:rsid w:val="000B3E9B"/>
    <w:rsid w:val="000B47B4"/>
    <w:rsid w:val="000B47BD"/>
    <w:rsid w:val="000B5E3D"/>
    <w:rsid w:val="000B62BE"/>
    <w:rsid w:val="000B6A9B"/>
    <w:rsid w:val="000B6DF5"/>
    <w:rsid w:val="000B6F35"/>
    <w:rsid w:val="000B7730"/>
    <w:rsid w:val="000C0D4E"/>
    <w:rsid w:val="000C0D9A"/>
    <w:rsid w:val="000C0E2C"/>
    <w:rsid w:val="000C1156"/>
    <w:rsid w:val="000C1E96"/>
    <w:rsid w:val="000C1F36"/>
    <w:rsid w:val="000C2FCB"/>
    <w:rsid w:val="000C3412"/>
    <w:rsid w:val="000C3664"/>
    <w:rsid w:val="000C389C"/>
    <w:rsid w:val="000C3BE1"/>
    <w:rsid w:val="000C3F3C"/>
    <w:rsid w:val="000C53BF"/>
    <w:rsid w:val="000C5B4D"/>
    <w:rsid w:val="000C6F4C"/>
    <w:rsid w:val="000C7691"/>
    <w:rsid w:val="000C79D9"/>
    <w:rsid w:val="000C7C0C"/>
    <w:rsid w:val="000C7DC8"/>
    <w:rsid w:val="000D079F"/>
    <w:rsid w:val="000D0C9B"/>
    <w:rsid w:val="000D0DBC"/>
    <w:rsid w:val="000D0DDD"/>
    <w:rsid w:val="000D184E"/>
    <w:rsid w:val="000D19D6"/>
    <w:rsid w:val="000D1EFC"/>
    <w:rsid w:val="000D34C7"/>
    <w:rsid w:val="000D3EB2"/>
    <w:rsid w:val="000D4781"/>
    <w:rsid w:val="000D506E"/>
    <w:rsid w:val="000D57AF"/>
    <w:rsid w:val="000D5BF5"/>
    <w:rsid w:val="000D5D34"/>
    <w:rsid w:val="000D62BD"/>
    <w:rsid w:val="000D72F3"/>
    <w:rsid w:val="000D7AA8"/>
    <w:rsid w:val="000D7FBE"/>
    <w:rsid w:val="000E0263"/>
    <w:rsid w:val="000E05C3"/>
    <w:rsid w:val="000E135A"/>
    <w:rsid w:val="000E1D14"/>
    <w:rsid w:val="000E2EEB"/>
    <w:rsid w:val="000E2FF8"/>
    <w:rsid w:val="000E304C"/>
    <w:rsid w:val="000E34C8"/>
    <w:rsid w:val="000E373D"/>
    <w:rsid w:val="000E3E1B"/>
    <w:rsid w:val="000E4FF5"/>
    <w:rsid w:val="000E50FE"/>
    <w:rsid w:val="000E54C2"/>
    <w:rsid w:val="000E5524"/>
    <w:rsid w:val="000E56B6"/>
    <w:rsid w:val="000E6214"/>
    <w:rsid w:val="000E699C"/>
    <w:rsid w:val="000E69A0"/>
    <w:rsid w:val="000E69F1"/>
    <w:rsid w:val="000E724C"/>
    <w:rsid w:val="000E765F"/>
    <w:rsid w:val="000E76D3"/>
    <w:rsid w:val="000E772A"/>
    <w:rsid w:val="000E79B9"/>
    <w:rsid w:val="000F0A94"/>
    <w:rsid w:val="000F0C8F"/>
    <w:rsid w:val="000F13B7"/>
    <w:rsid w:val="000F13F9"/>
    <w:rsid w:val="000F14B6"/>
    <w:rsid w:val="000F1F26"/>
    <w:rsid w:val="000F252A"/>
    <w:rsid w:val="000F275C"/>
    <w:rsid w:val="000F30FE"/>
    <w:rsid w:val="000F33FE"/>
    <w:rsid w:val="000F35C3"/>
    <w:rsid w:val="000F3B7E"/>
    <w:rsid w:val="000F3C1C"/>
    <w:rsid w:val="000F3C60"/>
    <w:rsid w:val="000F3EE8"/>
    <w:rsid w:val="000F4326"/>
    <w:rsid w:val="000F4461"/>
    <w:rsid w:val="000F4768"/>
    <w:rsid w:val="000F4823"/>
    <w:rsid w:val="000F4AA3"/>
    <w:rsid w:val="000F4CA9"/>
    <w:rsid w:val="000F53ED"/>
    <w:rsid w:val="000F53F3"/>
    <w:rsid w:val="000F5C81"/>
    <w:rsid w:val="000F61C4"/>
    <w:rsid w:val="000F67B5"/>
    <w:rsid w:val="000F71EF"/>
    <w:rsid w:val="000F7796"/>
    <w:rsid w:val="000F7B3E"/>
    <w:rsid w:val="00100382"/>
    <w:rsid w:val="00100EFF"/>
    <w:rsid w:val="0010111C"/>
    <w:rsid w:val="001019E2"/>
    <w:rsid w:val="00101AE0"/>
    <w:rsid w:val="00102004"/>
    <w:rsid w:val="00102234"/>
    <w:rsid w:val="001027F2"/>
    <w:rsid w:val="00102B79"/>
    <w:rsid w:val="00103289"/>
    <w:rsid w:val="00104A70"/>
    <w:rsid w:val="0010505C"/>
    <w:rsid w:val="00105B19"/>
    <w:rsid w:val="001067C5"/>
    <w:rsid w:val="00106D9F"/>
    <w:rsid w:val="001101B6"/>
    <w:rsid w:val="00110896"/>
    <w:rsid w:val="001109A9"/>
    <w:rsid w:val="00110AE5"/>
    <w:rsid w:val="00111F41"/>
    <w:rsid w:val="00112315"/>
    <w:rsid w:val="0011255D"/>
    <w:rsid w:val="001127B5"/>
    <w:rsid w:val="00113A42"/>
    <w:rsid w:val="00114360"/>
    <w:rsid w:val="00114B05"/>
    <w:rsid w:val="00115A3C"/>
    <w:rsid w:val="00115E2D"/>
    <w:rsid w:val="00115E66"/>
    <w:rsid w:val="00116207"/>
    <w:rsid w:val="001164A3"/>
    <w:rsid w:val="001168E0"/>
    <w:rsid w:val="00116B6D"/>
    <w:rsid w:val="00116DE1"/>
    <w:rsid w:val="00117C59"/>
    <w:rsid w:val="0012049F"/>
    <w:rsid w:val="001210E6"/>
    <w:rsid w:val="0012195C"/>
    <w:rsid w:val="00121A18"/>
    <w:rsid w:val="00121E18"/>
    <w:rsid w:val="001222A7"/>
    <w:rsid w:val="00122897"/>
    <w:rsid w:val="00124505"/>
    <w:rsid w:val="0012521C"/>
    <w:rsid w:val="00125CE8"/>
    <w:rsid w:val="00126071"/>
    <w:rsid w:val="00127376"/>
    <w:rsid w:val="001274CE"/>
    <w:rsid w:val="00127A04"/>
    <w:rsid w:val="00127C3B"/>
    <w:rsid w:val="00130B69"/>
    <w:rsid w:val="00130D76"/>
    <w:rsid w:val="001310CA"/>
    <w:rsid w:val="0013130C"/>
    <w:rsid w:val="0013169A"/>
    <w:rsid w:val="001320F7"/>
    <w:rsid w:val="00132DF4"/>
    <w:rsid w:val="001335A0"/>
    <w:rsid w:val="0013387C"/>
    <w:rsid w:val="00133A6A"/>
    <w:rsid w:val="0013453B"/>
    <w:rsid w:val="001346EE"/>
    <w:rsid w:val="00134D34"/>
    <w:rsid w:val="00135B24"/>
    <w:rsid w:val="00135EE6"/>
    <w:rsid w:val="0013652E"/>
    <w:rsid w:val="001368A7"/>
    <w:rsid w:val="00136DF4"/>
    <w:rsid w:val="00137808"/>
    <w:rsid w:val="0014041D"/>
    <w:rsid w:val="00140A41"/>
    <w:rsid w:val="00140FFE"/>
    <w:rsid w:val="00141192"/>
    <w:rsid w:val="001413EF"/>
    <w:rsid w:val="00141626"/>
    <w:rsid w:val="00141BC2"/>
    <w:rsid w:val="001421DF"/>
    <w:rsid w:val="001430D4"/>
    <w:rsid w:val="00143420"/>
    <w:rsid w:val="001439D0"/>
    <w:rsid w:val="00143B56"/>
    <w:rsid w:val="00143DFB"/>
    <w:rsid w:val="0014403A"/>
    <w:rsid w:val="00144403"/>
    <w:rsid w:val="00144466"/>
    <w:rsid w:val="001448A8"/>
    <w:rsid w:val="00145620"/>
    <w:rsid w:val="00145AEB"/>
    <w:rsid w:val="00146BFF"/>
    <w:rsid w:val="0014717D"/>
    <w:rsid w:val="00147ACB"/>
    <w:rsid w:val="00147B29"/>
    <w:rsid w:val="00147E84"/>
    <w:rsid w:val="00151538"/>
    <w:rsid w:val="001518B1"/>
    <w:rsid w:val="00152068"/>
    <w:rsid w:val="00152650"/>
    <w:rsid w:val="001544FB"/>
    <w:rsid w:val="00155605"/>
    <w:rsid w:val="00155847"/>
    <w:rsid w:val="00156360"/>
    <w:rsid w:val="00156D5C"/>
    <w:rsid w:val="00156F49"/>
    <w:rsid w:val="00157082"/>
    <w:rsid w:val="0015755D"/>
    <w:rsid w:val="00160DB2"/>
    <w:rsid w:val="001613C0"/>
    <w:rsid w:val="00161DB9"/>
    <w:rsid w:val="001625B0"/>
    <w:rsid w:val="00162B9C"/>
    <w:rsid w:val="00163BAC"/>
    <w:rsid w:val="00163CA4"/>
    <w:rsid w:val="00163D2D"/>
    <w:rsid w:val="00164B45"/>
    <w:rsid w:val="00164C93"/>
    <w:rsid w:val="00165A9F"/>
    <w:rsid w:val="00165E54"/>
    <w:rsid w:val="00166968"/>
    <w:rsid w:val="00167664"/>
    <w:rsid w:val="00167DC2"/>
    <w:rsid w:val="00170F53"/>
    <w:rsid w:val="00172807"/>
    <w:rsid w:val="001729A9"/>
    <w:rsid w:val="00172B71"/>
    <w:rsid w:val="00172F92"/>
    <w:rsid w:val="0017374F"/>
    <w:rsid w:val="00174921"/>
    <w:rsid w:val="001758BA"/>
    <w:rsid w:val="00175E5C"/>
    <w:rsid w:val="001771B0"/>
    <w:rsid w:val="00177819"/>
    <w:rsid w:val="00177959"/>
    <w:rsid w:val="00177B9D"/>
    <w:rsid w:val="0018010E"/>
    <w:rsid w:val="00180273"/>
    <w:rsid w:val="00180492"/>
    <w:rsid w:val="00180DEA"/>
    <w:rsid w:val="00181549"/>
    <w:rsid w:val="001816C3"/>
    <w:rsid w:val="001819DD"/>
    <w:rsid w:val="00182415"/>
    <w:rsid w:val="00182C84"/>
    <w:rsid w:val="00183228"/>
    <w:rsid w:val="00184249"/>
    <w:rsid w:val="00184AE1"/>
    <w:rsid w:val="00184AEF"/>
    <w:rsid w:val="00184CDF"/>
    <w:rsid w:val="001857F9"/>
    <w:rsid w:val="00185811"/>
    <w:rsid w:val="00185B4D"/>
    <w:rsid w:val="00185EDB"/>
    <w:rsid w:val="001869C3"/>
    <w:rsid w:val="00186FA3"/>
    <w:rsid w:val="00187AB7"/>
    <w:rsid w:val="00190648"/>
    <w:rsid w:val="00190C66"/>
    <w:rsid w:val="00190E04"/>
    <w:rsid w:val="001923A0"/>
    <w:rsid w:val="00193097"/>
    <w:rsid w:val="001934E9"/>
    <w:rsid w:val="00193692"/>
    <w:rsid w:val="00193F3A"/>
    <w:rsid w:val="001942E0"/>
    <w:rsid w:val="0019440A"/>
    <w:rsid w:val="00194AFE"/>
    <w:rsid w:val="001952BF"/>
    <w:rsid w:val="00195696"/>
    <w:rsid w:val="001957C9"/>
    <w:rsid w:val="00195A43"/>
    <w:rsid w:val="0019674B"/>
    <w:rsid w:val="00197702"/>
    <w:rsid w:val="001A02F8"/>
    <w:rsid w:val="001A1096"/>
    <w:rsid w:val="001A1A32"/>
    <w:rsid w:val="001A2721"/>
    <w:rsid w:val="001A3F7E"/>
    <w:rsid w:val="001A47AD"/>
    <w:rsid w:val="001A4D61"/>
    <w:rsid w:val="001A4F19"/>
    <w:rsid w:val="001A58DA"/>
    <w:rsid w:val="001A5A4D"/>
    <w:rsid w:val="001A5CF8"/>
    <w:rsid w:val="001A5E2A"/>
    <w:rsid w:val="001A699F"/>
    <w:rsid w:val="001A722D"/>
    <w:rsid w:val="001A7420"/>
    <w:rsid w:val="001A7698"/>
    <w:rsid w:val="001A7BC2"/>
    <w:rsid w:val="001B021C"/>
    <w:rsid w:val="001B183C"/>
    <w:rsid w:val="001B1953"/>
    <w:rsid w:val="001B222D"/>
    <w:rsid w:val="001B2339"/>
    <w:rsid w:val="001B24A2"/>
    <w:rsid w:val="001B2E32"/>
    <w:rsid w:val="001B3073"/>
    <w:rsid w:val="001B3CA6"/>
    <w:rsid w:val="001B3D7F"/>
    <w:rsid w:val="001B44A1"/>
    <w:rsid w:val="001B4701"/>
    <w:rsid w:val="001B4D53"/>
    <w:rsid w:val="001B4F15"/>
    <w:rsid w:val="001B5724"/>
    <w:rsid w:val="001B5821"/>
    <w:rsid w:val="001B5F99"/>
    <w:rsid w:val="001B6A80"/>
    <w:rsid w:val="001B6BCA"/>
    <w:rsid w:val="001C02C5"/>
    <w:rsid w:val="001C04DF"/>
    <w:rsid w:val="001C0B2D"/>
    <w:rsid w:val="001C120B"/>
    <w:rsid w:val="001C12C9"/>
    <w:rsid w:val="001C216C"/>
    <w:rsid w:val="001C2369"/>
    <w:rsid w:val="001C2708"/>
    <w:rsid w:val="001C285C"/>
    <w:rsid w:val="001C28A0"/>
    <w:rsid w:val="001C2D8B"/>
    <w:rsid w:val="001C3412"/>
    <w:rsid w:val="001C3927"/>
    <w:rsid w:val="001C3BF7"/>
    <w:rsid w:val="001C4194"/>
    <w:rsid w:val="001C4B5C"/>
    <w:rsid w:val="001C523C"/>
    <w:rsid w:val="001C57BE"/>
    <w:rsid w:val="001C5CCF"/>
    <w:rsid w:val="001C5CF6"/>
    <w:rsid w:val="001C6BA0"/>
    <w:rsid w:val="001C6EDD"/>
    <w:rsid w:val="001C73AE"/>
    <w:rsid w:val="001C7A32"/>
    <w:rsid w:val="001C7AC5"/>
    <w:rsid w:val="001C7C0F"/>
    <w:rsid w:val="001D001E"/>
    <w:rsid w:val="001D03BE"/>
    <w:rsid w:val="001D0DD5"/>
    <w:rsid w:val="001D1831"/>
    <w:rsid w:val="001D1965"/>
    <w:rsid w:val="001D23AF"/>
    <w:rsid w:val="001D2EB4"/>
    <w:rsid w:val="001D2F2F"/>
    <w:rsid w:val="001D2F8E"/>
    <w:rsid w:val="001D315D"/>
    <w:rsid w:val="001D37B3"/>
    <w:rsid w:val="001D3F1F"/>
    <w:rsid w:val="001D3F2C"/>
    <w:rsid w:val="001D40C8"/>
    <w:rsid w:val="001D40DD"/>
    <w:rsid w:val="001D4A98"/>
    <w:rsid w:val="001D51DF"/>
    <w:rsid w:val="001D559B"/>
    <w:rsid w:val="001D5980"/>
    <w:rsid w:val="001D654E"/>
    <w:rsid w:val="001D6DED"/>
    <w:rsid w:val="001D71CA"/>
    <w:rsid w:val="001D71CB"/>
    <w:rsid w:val="001D71F6"/>
    <w:rsid w:val="001D7550"/>
    <w:rsid w:val="001D7B44"/>
    <w:rsid w:val="001D7CA7"/>
    <w:rsid w:val="001D7DD5"/>
    <w:rsid w:val="001E071C"/>
    <w:rsid w:val="001E1F70"/>
    <w:rsid w:val="001E21AE"/>
    <w:rsid w:val="001E2540"/>
    <w:rsid w:val="001E3AB4"/>
    <w:rsid w:val="001E3BBC"/>
    <w:rsid w:val="001E3FBE"/>
    <w:rsid w:val="001E3FD9"/>
    <w:rsid w:val="001E413C"/>
    <w:rsid w:val="001E4EED"/>
    <w:rsid w:val="001E4F13"/>
    <w:rsid w:val="001E505A"/>
    <w:rsid w:val="001E5362"/>
    <w:rsid w:val="001E5658"/>
    <w:rsid w:val="001E5928"/>
    <w:rsid w:val="001E5A9B"/>
    <w:rsid w:val="001E5B28"/>
    <w:rsid w:val="001E5E0E"/>
    <w:rsid w:val="001E6E23"/>
    <w:rsid w:val="001E6E35"/>
    <w:rsid w:val="001E796C"/>
    <w:rsid w:val="001F0D34"/>
    <w:rsid w:val="001F0F47"/>
    <w:rsid w:val="001F106B"/>
    <w:rsid w:val="001F1DAA"/>
    <w:rsid w:val="001F20FC"/>
    <w:rsid w:val="001F26FE"/>
    <w:rsid w:val="001F35C4"/>
    <w:rsid w:val="001F3624"/>
    <w:rsid w:val="001F3C01"/>
    <w:rsid w:val="001F3DEB"/>
    <w:rsid w:val="001F41A7"/>
    <w:rsid w:val="001F617E"/>
    <w:rsid w:val="001F63C3"/>
    <w:rsid w:val="001F67CF"/>
    <w:rsid w:val="001F6E3F"/>
    <w:rsid w:val="001F7376"/>
    <w:rsid w:val="001F7909"/>
    <w:rsid w:val="001F7C04"/>
    <w:rsid w:val="00200256"/>
    <w:rsid w:val="00200B56"/>
    <w:rsid w:val="00201176"/>
    <w:rsid w:val="00201218"/>
    <w:rsid w:val="002022A0"/>
    <w:rsid w:val="002024B5"/>
    <w:rsid w:val="00202520"/>
    <w:rsid w:val="002027FA"/>
    <w:rsid w:val="00203201"/>
    <w:rsid w:val="00203669"/>
    <w:rsid w:val="0020398B"/>
    <w:rsid w:val="00203F44"/>
    <w:rsid w:val="002041CB"/>
    <w:rsid w:val="00204A32"/>
    <w:rsid w:val="0020601C"/>
    <w:rsid w:val="00206023"/>
    <w:rsid w:val="0020643C"/>
    <w:rsid w:val="00206E4D"/>
    <w:rsid w:val="00207A24"/>
    <w:rsid w:val="00207A6E"/>
    <w:rsid w:val="00210065"/>
    <w:rsid w:val="002101E9"/>
    <w:rsid w:val="00210FB3"/>
    <w:rsid w:val="0021150B"/>
    <w:rsid w:val="002115DD"/>
    <w:rsid w:val="0021187A"/>
    <w:rsid w:val="00211A86"/>
    <w:rsid w:val="002121A1"/>
    <w:rsid w:val="002121B7"/>
    <w:rsid w:val="00212F03"/>
    <w:rsid w:val="002135B1"/>
    <w:rsid w:val="002135ED"/>
    <w:rsid w:val="00213A60"/>
    <w:rsid w:val="00213F43"/>
    <w:rsid w:val="00215761"/>
    <w:rsid w:val="00215E65"/>
    <w:rsid w:val="00215F17"/>
    <w:rsid w:val="00216295"/>
    <w:rsid w:val="0021634C"/>
    <w:rsid w:val="00216849"/>
    <w:rsid w:val="00216B6D"/>
    <w:rsid w:val="002205E2"/>
    <w:rsid w:val="002216D2"/>
    <w:rsid w:val="0022173F"/>
    <w:rsid w:val="002225FC"/>
    <w:rsid w:val="00222FA2"/>
    <w:rsid w:val="002248BC"/>
    <w:rsid w:val="00224AD4"/>
    <w:rsid w:val="00224BCD"/>
    <w:rsid w:val="00224DF3"/>
    <w:rsid w:val="00225CC0"/>
    <w:rsid w:val="00226870"/>
    <w:rsid w:val="002272FA"/>
    <w:rsid w:val="00227607"/>
    <w:rsid w:val="00227A98"/>
    <w:rsid w:val="00227C4C"/>
    <w:rsid w:val="00230418"/>
    <w:rsid w:val="002305D1"/>
    <w:rsid w:val="0023234F"/>
    <w:rsid w:val="00233ABE"/>
    <w:rsid w:val="00233D7A"/>
    <w:rsid w:val="00233E0B"/>
    <w:rsid w:val="002340FF"/>
    <w:rsid w:val="002341A0"/>
    <w:rsid w:val="00234952"/>
    <w:rsid w:val="00234D8A"/>
    <w:rsid w:val="00235448"/>
    <w:rsid w:val="0023593B"/>
    <w:rsid w:val="00235A76"/>
    <w:rsid w:val="00235AC6"/>
    <w:rsid w:val="00235B33"/>
    <w:rsid w:val="00236179"/>
    <w:rsid w:val="0023696F"/>
    <w:rsid w:val="00236AA4"/>
    <w:rsid w:val="00236B2B"/>
    <w:rsid w:val="00236DF3"/>
    <w:rsid w:val="0023732A"/>
    <w:rsid w:val="0023792A"/>
    <w:rsid w:val="00237AB9"/>
    <w:rsid w:val="002403DF"/>
    <w:rsid w:val="00241610"/>
    <w:rsid w:val="00241809"/>
    <w:rsid w:val="0024181C"/>
    <w:rsid w:val="00242402"/>
    <w:rsid w:val="002425CA"/>
    <w:rsid w:val="00242A94"/>
    <w:rsid w:val="00242C89"/>
    <w:rsid w:val="00242ED7"/>
    <w:rsid w:val="00244365"/>
    <w:rsid w:val="00244C85"/>
    <w:rsid w:val="00245C8A"/>
    <w:rsid w:val="00245D08"/>
    <w:rsid w:val="00246300"/>
    <w:rsid w:val="00246C84"/>
    <w:rsid w:val="00247A7D"/>
    <w:rsid w:val="00250028"/>
    <w:rsid w:val="002502A8"/>
    <w:rsid w:val="002504C0"/>
    <w:rsid w:val="00250ADB"/>
    <w:rsid w:val="002513AD"/>
    <w:rsid w:val="00252463"/>
    <w:rsid w:val="00252713"/>
    <w:rsid w:val="00252A1F"/>
    <w:rsid w:val="002533F0"/>
    <w:rsid w:val="00253531"/>
    <w:rsid w:val="002538E6"/>
    <w:rsid w:val="00253C67"/>
    <w:rsid w:val="002540C5"/>
    <w:rsid w:val="00254D71"/>
    <w:rsid w:val="002553C6"/>
    <w:rsid w:val="0025637E"/>
    <w:rsid w:val="00256456"/>
    <w:rsid w:val="00256531"/>
    <w:rsid w:val="0025682C"/>
    <w:rsid w:val="002570D2"/>
    <w:rsid w:val="0025737E"/>
    <w:rsid w:val="0025772A"/>
    <w:rsid w:val="00257EC1"/>
    <w:rsid w:val="0026062E"/>
    <w:rsid w:val="002608E6"/>
    <w:rsid w:val="002616C2"/>
    <w:rsid w:val="00261AA8"/>
    <w:rsid w:val="00261B2E"/>
    <w:rsid w:val="00261BA6"/>
    <w:rsid w:val="002622A1"/>
    <w:rsid w:val="0026240B"/>
    <w:rsid w:val="00262818"/>
    <w:rsid w:val="00262EB3"/>
    <w:rsid w:val="0026305A"/>
    <w:rsid w:val="002640C9"/>
    <w:rsid w:val="002645D0"/>
    <w:rsid w:val="002646AE"/>
    <w:rsid w:val="00264705"/>
    <w:rsid w:val="00264DAD"/>
    <w:rsid w:val="002651B9"/>
    <w:rsid w:val="00265E81"/>
    <w:rsid w:val="00265FA9"/>
    <w:rsid w:val="00266270"/>
    <w:rsid w:val="00266A85"/>
    <w:rsid w:val="00267755"/>
    <w:rsid w:val="002678A4"/>
    <w:rsid w:val="0026794C"/>
    <w:rsid w:val="00267ACB"/>
    <w:rsid w:val="00267FF8"/>
    <w:rsid w:val="002700AE"/>
    <w:rsid w:val="00271AD9"/>
    <w:rsid w:val="00271D0A"/>
    <w:rsid w:val="002725B1"/>
    <w:rsid w:val="00273399"/>
    <w:rsid w:val="00273F30"/>
    <w:rsid w:val="0027511F"/>
    <w:rsid w:val="00275EFB"/>
    <w:rsid w:val="002761CB"/>
    <w:rsid w:val="002771F6"/>
    <w:rsid w:val="00280188"/>
    <w:rsid w:val="00280C3B"/>
    <w:rsid w:val="00280FBA"/>
    <w:rsid w:val="00281209"/>
    <w:rsid w:val="002813C5"/>
    <w:rsid w:val="00281BF1"/>
    <w:rsid w:val="0028241C"/>
    <w:rsid w:val="002827BA"/>
    <w:rsid w:val="00282B40"/>
    <w:rsid w:val="00282EF5"/>
    <w:rsid w:val="002849F7"/>
    <w:rsid w:val="00284C02"/>
    <w:rsid w:val="00284C87"/>
    <w:rsid w:val="00285454"/>
    <w:rsid w:val="002855B1"/>
    <w:rsid w:val="00285D8A"/>
    <w:rsid w:val="00286071"/>
    <w:rsid w:val="0028645C"/>
    <w:rsid w:val="00286B30"/>
    <w:rsid w:val="0028756B"/>
    <w:rsid w:val="0028776B"/>
    <w:rsid w:val="00287962"/>
    <w:rsid w:val="00290382"/>
    <w:rsid w:val="00290720"/>
    <w:rsid w:val="00290A66"/>
    <w:rsid w:val="00290E33"/>
    <w:rsid w:val="00290F7A"/>
    <w:rsid w:val="002912E8"/>
    <w:rsid w:val="002915EE"/>
    <w:rsid w:val="00291A86"/>
    <w:rsid w:val="00291E12"/>
    <w:rsid w:val="002921F7"/>
    <w:rsid w:val="0029290E"/>
    <w:rsid w:val="002936E5"/>
    <w:rsid w:val="002939A8"/>
    <w:rsid w:val="002947A7"/>
    <w:rsid w:val="00295590"/>
    <w:rsid w:val="00295922"/>
    <w:rsid w:val="002964D5"/>
    <w:rsid w:val="0029771F"/>
    <w:rsid w:val="00297CE7"/>
    <w:rsid w:val="002A0278"/>
    <w:rsid w:val="002A0739"/>
    <w:rsid w:val="002A0BD5"/>
    <w:rsid w:val="002A11C2"/>
    <w:rsid w:val="002A122D"/>
    <w:rsid w:val="002A189B"/>
    <w:rsid w:val="002A1DB9"/>
    <w:rsid w:val="002A296B"/>
    <w:rsid w:val="002A2ECB"/>
    <w:rsid w:val="002A325C"/>
    <w:rsid w:val="002A3F57"/>
    <w:rsid w:val="002A3FDF"/>
    <w:rsid w:val="002A423B"/>
    <w:rsid w:val="002A42D0"/>
    <w:rsid w:val="002A43E8"/>
    <w:rsid w:val="002A4CCA"/>
    <w:rsid w:val="002A4E1C"/>
    <w:rsid w:val="002A4ECF"/>
    <w:rsid w:val="002A6091"/>
    <w:rsid w:val="002A63C2"/>
    <w:rsid w:val="002A72C5"/>
    <w:rsid w:val="002A78AB"/>
    <w:rsid w:val="002B0885"/>
    <w:rsid w:val="002B09DE"/>
    <w:rsid w:val="002B0F5A"/>
    <w:rsid w:val="002B1183"/>
    <w:rsid w:val="002B1291"/>
    <w:rsid w:val="002B1D19"/>
    <w:rsid w:val="002B1D7A"/>
    <w:rsid w:val="002B1DEF"/>
    <w:rsid w:val="002B1E79"/>
    <w:rsid w:val="002B1FCB"/>
    <w:rsid w:val="002B28B4"/>
    <w:rsid w:val="002B28D5"/>
    <w:rsid w:val="002B3241"/>
    <w:rsid w:val="002B3817"/>
    <w:rsid w:val="002B38AD"/>
    <w:rsid w:val="002B396D"/>
    <w:rsid w:val="002B43E1"/>
    <w:rsid w:val="002B461F"/>
    <w:rsid w:val="002B4B03"/>
    <w:rsid w:val="002B5C66"/>
    <w:rsid w:val="002B6C52"/>
    <w:rsid w:val="002B71D6"/>
    <w:rsid w:val="002B76AB"/>
    <w:rsid w:val="002B7784"/>
    <w:rsid w:val="002B77C5"/>
    <w:rsid w:val="002B79BF"/>
    <w:rsid w:val="002B7ADF"/>
    <w:rsid w:val="002B7B0E"/>
    <w:rsid w:val="002B7C9E"/>
    <w:rsid w:val="002C04E6"/>
    <w:rsid w:val="002C07FC"/>
    <w:rsid w:val="002C0F1C"/>
    <w:rsid w:val="002C1253"/>
    <w:rsid w:val="002C1BA3"/>
    <w:rsid w:val="002C235F"/>
    <w:rsid w:val="002C370F"/>
    <w:rsid w:val="002C38F4"/>
    <w:rsid w:val="002C3F98"/>
    <w:rsid w:val="002C3FFA"/>
    <w:rsid w:val="002C433C"/>
    <w:rsid w:val="002C4896"/>
    <w:rsid w:val="002C4996"/>
    <w:rsid w:val="002C4F55"/>
    <w:rsid w:val="002C4FB7"/>
    <w:rsid w:val="002C593B"/>
    <w:rsid w:val="002C6EC9"/>
    <w:rsid w:val="002C7092"/>
    <w:rsid w:val="002C7472"/>
    <w:rsid w:val="002C7DDB"/>
    <w:rsid w:val="002D0065"/>
    <w:rsid w:val="002D091F"/>
    <w:rsid w:val="002D17DD"/>
    <w:rsid w:val="002D1867"/>
    <w:rsid w:val="002D24A6"/>
    <w:rsid w:val="002D2BC1"/>
    <w:rsid w:val="002D2C38"/>
    <w:rsid w:val="002D390C"/>
    <w:rsid w:val="002D397C"/>
    <w:rsid w:val="002D3BEC"/>
    <w:rsid w:val="002D5235"/>
    <w:rsid w:val="002D5470"/>
    <w:rsid w:val="002D6424"/>
    <w:rsid w:val="002E01B5"/>
    <w:rsid w:val="002E045B"/>
    <w:rsid w:val="002E0FAD"/>
    <w:rsid w:val="002E141F"/>
    <w:rsid w:val="002E1D90"/>
    <w:rsid w:val="002E1F36"/>
    <w:rsid w:val="002E2562"/>
    <w:rsid w:val="002E2E4D"/>
    <w:rsid w:val="002E3CBB"/>
    <w:rsid w:val="002E4111"/>
    <w:rsid w:val="002E4205"/>
    <w:rsid w:val="002E4946"/>
    <w:rsid w:val="002E4B4B"/>
    <w:rsid w:val="002E4CB7"/>
    <w:rsid w:val="002E511E"/>
    <w:rsid w:val="002E5ACB"/>
    <w:rsid w:val="002E5EC5"/>
    <w:rsid w:val="002E60FB"/>
    <w:rsid w:val="002E77E8"/>
    <w:rsid w:val="002F011F"/>
    <w:rsid w:val="002F0C85"/>
    <w:rsid w:val="002F0E5B"/>
    <w:rsid w:val="002F0F29"/>
    <w:rsid w:val="002F1383"/>
    <w:rsid w:val="002F1881"/>
    <w:rsid w:val="002F1E3A"/>
    <w:rsid w:val="002F20A6"/>
    <w:rsid w:val="002F2292"/>
    <w:rsid w:val="002F2C9E"/>
    <w:rsid w:val="002F37C2"/>
    <w:rsid w:val="002F5450"/>
    <w:rsid w:val="002F5584"/>
    <w:rsid w:val="002F6085"/>
    <w:rsid w:val="002F6B73"/>
    <w:rsid w:val="002F6CA3"/>
    <w:rsid w:val="002F6E91"/>
    <w:rsid w:val="002F6F5F"/>
    <w:rsid w:val="002F7007"/>
    <w:rsid w:val="002F7358"/>
    <w:rsid w:val="002F7D91"/>
    <w:rsid w:val="002F7EFB"/>
    <w:rsid w:val="00300007"/>
    <w:rsid w:val="00300445"/>
    <w:rsid w:val="00300904"/>
    <w:rsid w:val="00300EE3"/>
    <w:rsid w:val="003014B2"/>
    <w:rsid w:val="00302035"/>
    <w:rsid w:val="00302383"/>
    <w:rsid w:val="003028B5"/>
    <w:rsid w:val="00304797"/>
    <w:rsid w:val="00304930"/>
    <w:rsid w:val="003054CD"/>
    <w:rsid w:val="0030667F"/>
    <w:rsid w:val="00306920"/>
    <w:rsid w:val="003069C1"/>
    <w:rsid w:val="00306B4C"/>
    <w:rsid w:val="003071AB"/>
    <w:rsid w:val="00307802"/>
    <w:rsid w:val="003078E6"/>
    <w:rsid w:val="00307978"/>
    <w:rsid w:val="00307A38"/>
    <w:rsid w:val="00310426"/>
    <w:rsid w:val="003106CD"/>
    <w:rsid w:val="00310BA0"/>
    <w:rsid w:val="00310C37"/>
    <w:rsid w:val="00310C41"/>
    <w:rsid w:val="00311100"/>
    <w:rsid w:val="003131C8"/>
    <w:rsid w:val="00313BE8"/>
    <w:rsid w:val="00313CC1"/>
    <w:rsid w:val="00313CC5"/>
    <w:rsid w:val="0031413C"/>
    <w:rsid w:val="0031434D"/>
    <w:rsid w:val="00314ADB"/>
    <w:rsid w:val="00314F20"/>
    <w:rsid w:val="003152EB"/>
    <w:rsid w:val="00316FCF"/>
    <w:rsid w:val="003177D5"/>
    <w:rsid w:val="003179F7"/>
    <w:rsid w:val="0032041A"/>
    <w:rsid w:val="00320786"/>
    <w:rsid w:val="00320E13"/>
    <w:rsid w:val="0032128F"/>
    <w:rsid w:val="00321A7F"/>
    <w:rsid w:val="00321EDA"/>
    <w:rsid w:val="003235BC"/>
    <w:rsid w:val="003239F0"/>
    <w:rsid w:val="0032420F"/>
    <w:rsid w:val="003249AA"/>
    <w:rsid w:val="00325146"/>
    <w:rsid w:val="00325C10"/>
    <w:rsid w:val="003266DD"/>
    <w:rsid w:val="0032706A"/>
    <w:rsid w:val="00327442"/>
    <w:rsid w:val="003279EF"/>
    <w:rsid w:val="0033035F"/>
    <w:rsid w:val="003304D1"/>
    <w:rsid w:val="00330568"/>
    <w:rsid w:val="003307C9"/>
    <w:rsid w:val="00331B49"/>
    <w:rsid w:val="00331DBE"/>
    <w:rsid w:val="00332302"/>
    <w:rsid w:val="003325B4"/>
    <w:rsid w:val="00332F65"/>
    <w:rsid w:val="0033338B"/>
    <w:rsid w:val="0033353F"/>
    <w:rsid w:val="00333888"/>
    <w:rsid w:val="003340C9"/>
    <w:rsid w:val="0033492D"/>
    <w:rsid w:val="0033529E"/>
    <w:rsid w:val="00335974"/>
    <w:rsid w:val="00336F3D"/>
    <w:rsid w:val="0033703A"/>
    <w:rsid w:val="00337799"/>
    <w:rsid w:val="0034126A"/>
    <w:rsid w:val="00341506"/>
    <w:rsid w:val="003416DA"/>
    <w:rsid w:val="0034177F"/>
    <w:rsid w:val="0034252E"/>
    <w:rsid w:val="00342AA5"/>
    <w:rsid w:val="00342B96"/>
    <w:rsid w:val="0034335B"/>
    <w:rsid w:val="00343A8C"/>
    <w:rsid w:val="003445F7"/>
    <w:rsid w:val="003445F9"/>
    <w:rsid w:val="003446E8"/>
    <w:rsid w:val="00344AEA"/>
    <w:rsid w:val="00345805"/>
    <w:rsid w:val="00345A70"/>
    <w:rsid w:val="00345D5E"/>
    <w:rsid w:val="003462F0"/>
    <w:rsid w:val="003474EA"/>
    <w:rsid w:val="003474F9"/>
    <w:rsid w:val="00347820"/>
    <w:rsid w:val="00350D5C"/>
    <w:rsid w:val="00350DE8"/>
    <w:rsid w:val="003511C0"/>
    <w:rsid w:val="003517E3"/>
    <w:rsid w:val="00351B0B"/>
    <w:rsid w:val="00351E48"/>
    <w:rsid w:val="00352276"/>
    <w:rsid w:val="00352DB5"/>
    <w:rsid w:val="00352DD7"/>
    <w:rsid w:val="00353CFC"/>
    <w:rsid w:val="00353D67"/>
    <w:rsid w:val="0035400C"/>
    <w:rsid w:val="0035401B"/>
    <w:rsid w:val="00354FCB"/>
    <w:rsid w:val="0035598F"/>
    <w:rsid w:val="00355BC7"/>
    <w:rsid w:val="0035639D"/>
    <w:rsid w:val="00356F87"/>
    <w:rsid w:val="00357A3E"/>
    <w:rsid w:val="00357B30"/>
    <w:rsid w:val="00357C10"/>
    <w:rsid w:val="00357C6C"/>
    <w:rsid w:val="00357C91"/>
    <w:rsid w:val="00357CAA"/>
    <w:rsid w:val="00360031"/>
    <w:rsid w:val="00360547"/>
    <w:rsid w:val="003607CF"/>
    <w:rsid w:val="00360921"/>
    <w:rsid w:val="00360A0B"/>
    <w:rsid w:val="00360CEB"/>
    <w:rsid w:val="003617EF"/>
    <w:rsid w:val="00362114"/>
    <w:rsid w:val="00362888"/>
    <w:rsid w:val="00362CCC"/>
    <w:rsid w:val="00363376"/>
    <w:rsid w:val="003633F5"/>
    <w:rsid w:val="0036408B"/>
    <w:rsid w:val="00364094"/>
    <w:rsid w:val="00364187"/>
    <w:rsid w:val="003646F4"/>
    <w:rsid w:val="003647F8"/>
    <w:rsid w:val="00365752"/>
    <w:rsid w:val="00366025"/>
    <w:rsid w:val="00366676"/>
    <w:rsid w:val="00366968"/>
    <w:rsid w:val="00366A43"/>
    <w:rsid w:val="003675F1"/>
    <w:rsid w:val="00370A07"/>
    <w:rsid w:val="00370C36"/>
    <w:rsid w:val="00370E87"/>
    <w:rsid w:val="003711CD"/>
    <w:rsid w:val="0037167D"/>
    <w:rsid w:val="00371A29"/>
    <w:rsid w:val="00371C90"/>
    <w:rsid w:val="003722E0"/>
    <w:rsid w:val="00372514"/>
    <w:rsid w:val="00372539"/>
    <w:rsid w:val="0037276C"/>
    <w:rsid w:val="00372BE2"/>
    <w:rsid w:val="00373DE7"/>
    <w:rsid w:val="0037412C"/>
    <w:rsid w:val="003744A6"/>
    <w:rsid w:val="00374BD8"/>
    <w:rsid w:val="003754F5"/>
    <w:rsid w:val="00375506"/>
    <w:rsid w:val="00376A42"/>
    <w:rsid w:val="00376F63"/>
    <w:rsid w:val="0037708E"/>
    <w:rsid w:val="003775C7"/>
    <w:rsid w:val="003778D6"/>
    <w:rsid w:val="00377D26"/>
    <w:rsid w:val="0038040C"/>
    <w:rsid w:val="00381081"/>
    <w:rsid w:val="0038114E"/>
    <w:rsid w:val="00381A83"/>
    <w:rsid w:val="00381DBB"/>
    <w:rsid w:val="00381F4D"/>
    <w:rsid w:val="003820D0"/>
    <w:rsid w:val="00382710"/>
    <w:rsid w:val="00382CE1"/>
    <w:rsid w:val="003835B1"/>
    <w:rsid w:val="00383658"/>
    <w:rsid w:val="003838A4"/>
    <w:rsid w:val="00383DEA"/>
    <w:rsid w:val="003849D4"/>
    <w:rsid w:val="003849DF"/>
    <w:rsid w:val="00384CFB"/>
    <w:rsid w:val="00384D30"/>
    <w:rsid w:val="00384E24"/>
    <w:rsid w:val="00384E7A"/>
    <w:rsid w:val="00384F74"/>
    <w:rsid w:val="00385FCB"/>
    <w:rsid w:val="003862DB"/>
    <w:rsid w:val="003865B6"/>
    <w:rsid w:val="00386E67"/>
    <w:rsid w:val="003873E9"/>
    <w:rsid w:val="003878BB"/>
    <w:rsid w:val="003878D1"/>
    <w:rsid w:val="00391FC0"/>
    <w:rsid w:val="00392822"/>
    <w:rsid w:val="00393817"/>
    <w:rsid w:val="00394DCD"/>
    <w:rsid w:val="003957A3"/>
    <w:rsid w:val="003975A1"/>
    <w:rsid w:val="003A05E6"/>
    <w:rsid w:val="003A0977"/>
    <w:rsid w:val="003A10E3"/>
    <w:rsid w:val="003A1FAA"/>
    <w:rsid w:val="003A2768"/>
    <w:rsid w:val="003A2976"/>
    <w:rsid w:val="003A303D"/>
    <w:rsid w:val="003A31D8"/>
    <w:rsid w:val="003A3B45"/>
    <w:rsid w:val="003A4696"/>
    <w:rsid w:val="003A4832"/>
    <w:rsid w:val="003A4AA1"/>
    <w:rsid w:val="003A54E5"/>
    <w:rsid w:val="003A54E8"/>
    <w:rsid w:val="003A55D7"/>
    <w:rsid w:val="003A56E4"/>
    <w:rsid w:val="003A593E"/>
    <w:rsid w:val="003A5D17"/>
    <w:rsid w:val="003A5F3D"/>
    <w:rsid w:val="003A6764"/>
    <w:rsid w:val="003A67F4"/>
    <w:rsid w:val="003A6AB0"/>
    <w:rsid w:val="003A7CCC"/>
    <w:rsid w:val="003B04D5"/>
    <w:rsid w:val="003B04EB"/>
    <w:rsid w:val="003B05B5"/>
    <w:rsid w:val="003B0699"/>
    <w:rsid w:val="003B0785"/>
    <w:rsid w:val="003B0D2B"/>
    <w:rsid w:val="003B113F"/>
    <w:rsid w:val="003B1439"/>
    <w:rsid w:val="003B161D"/>
    <w:rsid w:val="003B175E"/>
    <w:rsid w:val="003B1A7B"/>
    <w:rsid w:val="003B1FBE"/>
    <w:rsid w:val="003B29D0"/>
    <w:rsid w:val="003B2FA8"/>
    <w:rsid w:val="003B3020"/>
    <w:rsid w:val="003B3317"/>
    <w:rsid w:val="003B33A2"/>
    <w:rsid w:val="003B34EA"/>
    <w:rsid w:val="003B3767"/>
    <w:rsid w:val="003B39A9"/>
    <w:rsid w:val="003B3A5E"/>
    <w:rsid w:val="003B435F"/>
    <w:rsid w:val="003B45F2"/>
    <w:rsid w:val="003B5BA3"/>
    <w:rsid w:val="003B5DCB"/>
    <w:rsid w:val="003B5EE0"/>
    <w:rsid w:val="003B6223"/>
    <w:rsid w:val="003B64F8"/>
    <w:rsid w:val="003B6941"/>
    <w:rsid w:val="003B6DD7"/>
    <w:rsid w:val="003B6DE4"/>
    <w:rsid w:val="003B7300"/>
    <w:rsid w:val="003B77A3"/>
    <w:rsid w:val="003B7E94"/>
    <w:rsid w:val="003C0122"/>
    <w:rsid w:val="003C22DC"/>
    <w:rsid w:val="003C2471"/>
    <w:rsid w:val="003C2547"/>
    <w:rsid w:val="003C2A12"/>
    <w:rsid w:val="003C3253"/>
    <w:rsid w:val="003C3B0D"/>
    <w:rsid w:val="003C4224"/>
    <w:rsid w:val="003C4390"/>
    <w:rsid w:val="003C4C87"/>
    <w:rsid w:val="003C4D31"/>
    <w:rsid w:val="003C547B"/>
    <w:rsid w:val="003C6064"/>
    <w:rsid w:val="003C6BF9"/>
    <w:rsid w:val="003C718F"/>
    <w:rsid w:val="003C71E1"/>
    <w:rsid w:val="003C737D"/>
    <w:rsid w:val="003C7435"/>
    <w:rsid w:val="003D0069"/>
    <w:rsid w:val="003D00E5"/>
    <w:rsid w:val="003D0655"/>
    <w:rsid w:val="003D06F5"/>
    <w:rsid w:val="003D0AEE"/>
    <w:rsid w:val="003D0E04"/>
    <w:rsid w:val="003D12AE"/>
    <w:rsid w:val="003D1E82"/>
    <w:rsid w:val="003D1EF8"/>
    <w:rsid w:val="003D22BA"/>
    <w:rsid w:val="003D28A5"/>
    <w:rsid w:val="003D2F39"/>
    <w:rsid w:val="003D3291"/>
    <w:rsid w:val="003D3497"/>
    <w:rsid w:val="003D3898"/>
    <w:rsid w:val="003D3EEA"/>
    <w:rsid w:val="003D4696"/>
    <w:rsid w:val="003D4D26"/>
    <w:rsid w:val="003D51D0"/>
    <w:rsid w:val="003D5259"/>
    <w:rsid w:val="003D562A"/>
    <w:rsid w:val="003D62AA"/>
    <w:rsid w:val="003D6531"/>
    <w:rsid w:val="003D677D"/>
    <w:rsid w:val="003D67CA"/>
    <w:rsid w:val="003D69AF"/>
    <w:rsid w:val="003D7715"/>
    <w:rsid w:val="003D79B3"/>
    <w:rsid w:val="003D7C2D"/>
    <w:rsid w:val="003D7ED0"/>
    <w:rsid w:val="003D7F2E"/>
    <w:rsid w:val="003E0A87"/>
    <w:rsid w:val="003E0FB7"/>
    <w:rsid w:val="003E129B"/>
    <w:rsid w:val="003E178A"/>
    <w:rsid w:val="003E1C88"/>
    <w:rsid w:val="003E255B"/>
    <w:rsid w:val="003E262B"/>
    <w:rsid w:val="003E3338"/>
    <w:rsid w:val="003E3A45"/>
    <w:rsid w:val="003E405D"/>
    <w:rsid w:val="003E4542"/>
    <w:rsid w:val="003E4D4A"/>
    <w:rsid w:val="003E4E57"/>
    <w:rsid w:val="003E5B28"/>
    <w:rsid w:val="003E6EAB"/>
    <w:rsid w:val="003E6F67"/>
    <w:rsid w:val="003F049F"/>
    <w:rsid w:val="003F0C5F"/>
    <w:rsid w:val="003F143F"/>
    <w:rsid w:val="003F157B"/>
    <w:rsid w:val="003F1BDB"/>
    <w:rsid w:val="003F1C9E"/>
    <w:rsid w:val="003F1F22"/>
    <w:rsid w:val="003F2811"/>
    <w:rsid w:val="003F288F"/>
    <w:rsid w:val="003F30FF"/>
    <w:rsid w:val="003F3830"/>
    <w:rsid w:val="003F3B1A"/>
    <w:rsid w:val="003F4B85"/>
    <w:rsid w:val="003F4FE7"/>
    <w:rsid w:val="003F5658"/>
    <w:rsid w:val="003F5CB3"/>
    <w:rsid w:val="003F6188"/>
    <w:rsid w:val="003F6A8E"/>
    <w:rsid w:val="003F6AB5"/>
    <w:rsid w:val="003F77CF"/>
    <w:rsid w:val="003F7C3E"/>
    <w:rsid w:val="0040011B"/>
    <w:rsid w:val="00400646"/>
    <w:rsid w:val="00401260"/>
    <w:rsid w:val="0040163F"/>
    <w:rsid w:val="004016A0"/>
    <w:rsid w:val="0040172E"/>
    <w:rsid w:val="00402880"/>
    <w:rsid w:val="00402C0E"/>
    <w:rsid w:val="00402EC0"/>
    <w:rsid w:val="00403227"/>
    <w:rsid w:val="0040347B"/>
    <w:rsid w:val="00403E56"/>
    <w:rsid w:val="004040B4"/>
    <w:rsid w:val="0040499D"/>
    <w:rsid w:val="004051E7"/>
    <w:rsid w:val="00405B19"/>
    <w:rsid w:val="00405EDB"/>
    <w:rsid w:val="00406361"/>
    <w:rsid w:val="0040697B"/>
    <w:rsid w:val="0040715C"/>
    <w:rsid w:val="004073D3"/>
    <w:rsid w:val="004076B1"/>
    <w:rsid w:val="00407B06"/>
    <w:rsid w:val="00407F33"/>
    <w:rsid w:val="00410932"/>
    <w:rsid w:val="00410FF7"/>
    <w:rsid w:val="004116AD"/>
    <w:rsid w:val="00411B38"/>
    <w:rsid w:val="00411BF3"/>
    <w:rsid w:val="00411DE1"/>
    <w:rsid w:val="004120F4"/>
    <w:rsid w:val="004127C3"/>
    <w:rsid w:val="004129D1"/>
    <w:rsid w:val="0041306E"/>
    <w:rsid w:val="004135F8"/>
    <w:rsid w:val="0041427C"/>
    <w:rsid w:val="0041463D"/>
    <w:rsid w:val="004147BA"/>
    <w:rsid w:val="00414A6E"/>
    <w:rsid w:val="00414EA1"/>
    <w:rsid w:val="004159E6"/>
    <w:rsid w:val="00415DEC"/>
    <w:rsid w:val="00415EFB"/>
    <w:rsid w:val="004169FC"/>
    <w:rsid w:val="00416B99"/>
    <w:rsid w:val="00416F56"/>
    <w:rsid w:val="004170CC"/>
    <w:rsid w:val="00417565"/>
    <w:rsid w:val="00417868"/>
    <w:rsid w:val="0041790A"/>
    <w:rsid w:val="00417BDB"/>
    <w:rsid w:val="00417D4A"/>
    <w:rsid w:val="00417E61"/>
    <w:rsid w:val="004206F5"/>
    <w:rsid w:val="00420BFB"/>
    <w:rsid w:val="00421B8D"/>
    <w:rsid w:val="00421E15"/>
    <w:rsid w:val="00422A87"/>
    <w:rsid w:val="00422B25"/>
    <w:rsid w:val="00423195"/>
    <w:rsid w:val="0042375D"/>
    <w:rsid w:val="00423A71"/>
    <w:rsid w:val="0042466F"/>
    <w:rsid w:val="004246D3"/>
    <w:rsid w:val="0042481B"/>
    <w:rsid w:val="004253A1"/>
    <w:rsid w:val="00425487"/>
    <w:rsid w:val="00425576"/>
    <w:rsid w:val="004258A8"/>
    <w:rsid w:val="004261BB"/>
    <w:rsid w:val="004266C7"/>
    <w:rsid w:val="004278BB"/>
    <w:rsid w:val="00427CA4"/>
    <w:rsid w:val="004309E4"/>
    <w:rsid w:val="00431A58"/>
    <w:rsid w:val="004324BF"/>
    <w:rsid w:val="00432965"/>
    <w:rsid w:val="004335CE"/>
    <w:rsid w:val="0043363B"/>
    <w:rsid w:val="004341BC"/>
    <w:rsid w:val="00434257"/>
    <w:rsid w:val="00434567"/>
    <w:rsid w:val="004349D8"/>
    <w:rsid w:val="00434F4D"/>
    <w:rsid w:val="00435463"/>
    <w:rsid w:val="004354B0"/>
    <w:rsid w:val="00435570"/>
    <w:rsid w:val="0043558F"/>
    <w:rsid w:val="004360B4"/>
    <w:rsid w:val="00436168"/>
    <w:rsid w:val="00436A49"/>
    <w:rsid w:val="0043706E"/>
    <w:rsid w:val="00437214"/>
    <w:rsid w:val="004374A4"/>
    <w:rsid w:val="0043783B"/>
    <w:rsid w:val="00437A8B"/>
    <w:rsid w:val="00437B31"/>
    <w:rsid w:val="00437C2F"/>
    <w:rsid w:val="0044093B"/>
    <w:rsid w:val="004413CF"/>
    <w:rsid w:val="00441E79"/>
    <w:rsid w:val="00441EC8"/>
    <w:rsid w:val="0044246E"/>
    <w:rsid w:val="0044481C"/>
    <w:rsid w:val="00444CD8"/>
    <w:rsid w:val="00446D69"/>
    <w:rsid w:val="00446DC2"/>
    <w:rsid w:val="00446F59"/>
    <w:rsid w:val="004472F9"/>
    <w:rsid w:val="004477BD"/>
    <w:rsid w:val="00450104"/>
    <w:rsid w:val="0045080F"/>
    <w:rsid w:val="0045209A"/>
    <w:rsid w:val="0045221D"/>
    <w:rsid w:val="004522E3"/>
    <w:rsid w:val="00452BD5"/>
    <w:rsid w:val="00452C24"/>
    <w:rsid w:val="00452CBE"/>
    <w:rsid w:val="00452E0C"/>
    <w:rsid w:val="004530A0"/>
    <w:rsid w:val="00453331"/>
    <w:rsid w:val="00453677"/>
    <w:rsid w:val="00453763"/>
    <w:rsid w:val="0045393D"/>
    <w:rsid w:val="00453E79"/>
    <w:rsid w:val="00455082"/>
    <w:rsid w:val="004554A9"/>
    <w:rsid w:val="0045556A"/>
    <w:rsid w:val="00455D1F"/>
    <w:rsid w:val="00455EBF"/>
    <w:rsid w:val="00456148"/>
    <w:rsid w:val="004563E4"/>
    <w:rsid w:val="0045641C"/>
    <w:rsid w:val="004564A9"/>
    <w:rsid w:val="00456DFD"/>
    <w:rsid w:val="004571C1"/>
    <w:rsid w:val="00457624"/>
    <w:rsid w:val="00457959"/>
    <w:rsid w:val="004579A7"/>
    <w:rsid w:val="00460076"/>
    <w:rsid w:val="004605FB"/>
    <w:rsid w:val="0046074A"/>
    <w:rsid w:val="00460C12"/>
    <w:rsid w:val="00460F64"/>
    <w:rsid w:val="004612F3"/>
    <w:rsid w:val="00461851"/>
    <w:rsid w:val="00461C2C"/>
    <w:rsid w:val="00462210"/>
    <w:rsid w:val="00464071"/>
    <w:rsid w:val="00464298"/>
    <w:rsid w:val="00464351"/>
    <w:rsid w:val="00464C1E"/>
    <w:rsid w:val="00465EC7"/>
    <w:rsid w:val="004667FC"/>
    <w:rsid w:val="00466FD5"/>
    <w:rsid w:val="00467D44"/>
    <w:rsid w:val="0047014B"/>
    <w:rsid w:val="004703E0"/>
    <w:rsid w:val="00470E3A"/>
    <w:rsid w:val="00470EB8"/>
    <w:rsid w:val="004716E1"/>
    <w:rsid w:val="0047185D"/>
    <w:rsid w:val="00471928"/>
    <w:rsid w:val="00471ED4"/>
    <w:rsid w:val="00472547"/>
    <w:rsid w:val="00472B03"/>
    <w:rsid w:val="00472CBD"/>
    <w:rsid w:val="00472F47"/>
    <w:rsid w:val="0047333C"/>
    <w:rsid w:val="00473E0D"/>
    <w:rsid w:val="00474053"/>
    <w:rsid w:val="0047440B"/>
    <w:rsid w:val="004744E2"/>
    <w:rsid w:val="00474725"/>
    <w:rsid w:val="00474BDA"/>
    <w:rsid w:val="00474CA0"/>
    <w:rsid w:val="00474EDC"/>
    <w:rsid w:val="00475B53"/>
    <w:rsid w:val="00475D6E"/>
    <w:rsid w:val="00475F1A"/>
    <w:rsid w:val="0047697F"/>
    <w:rsid w:val="0047783B"/>
    <w:rsid w:val="004807C0"/>
    <w:rsid w:val="00480B9C"/>
    <w:rsid w:val="00481082"/>
    <w:rsid w:val="00482001"/>
    <w:rsid w:val="004822DD"/>
    <w:rsid w:val="00482333"/>
    <w:rsid w:val="00482518"/>
    <w:rsid w:val="0048260C"/>
    <w:rsid w:val="00482C40"/>
    <w:rsid w:val="00483386"/>
    <w:rsid w:val="00483CEE"/>
    <w:rsid w:val="004840F6"/>
    <w:rsid w:val="00485B02"/>
    <w:rsid w:val="00485C5A"/>
    <w:rsid w:val="00485D2C"/>
    <w:rsid w:val="004863BB"/>
    <w:rsid w:val="004869AC"/>
    <w:rsid w:val="00486ADB"/>
    <w:rsid w:val="00487006"/>
    <w:rsid w:val="00487303"/>
    <w:rsid w:val="00487F81"/>
    <w:rsid w:val="00490507"/>
    <w:rsid w:val="00490536"/>
    <w:rsid w:val="00490649"/>
    <w:rsid w:val="004906B8"/>
    <w:rsid w:val="00490E18"/>
    <w:rsid w:val="0049192D"/>
    <w:rsid w:val="00491DF9"/>
    <w:rsid w:val="0049202B"/>
    <w:rsid w:val="0049204E"/>
    <w:rsid w:val="004930FF"/>
    <w:rsid w:val="00493445"/>
    <w:rsid w:val="004940CA"/>
    <w:rsid w:val="0049540D"/>
    <w:rsid w:val="0049569C"/>
    <w:rsid w:val="00495A69"/>
    <w:rsid w:val="00495EDD"/>
    <w:rsid w:val="004960A9"/>
    <w:rsid w:val="004965F1"/>
    <w:rsid w:val="00497182"/>
    <w:rsid w:val="00497312"/>
    <w:rsid w:val="0049790A"/>
    <w:rsid w:val="00497EEF"/>
    <w:rsid w:val="004A0EC2"/>
    <w:rsid w:val="004A113E"/>
    <w:rsid w:val="004A1270"/>
    <w:rsid w:val="004A16B6"/>
    <w:rsid w:val="004A1CCE"/>
    <w:rsid w:val="004A29A6"/>
    <w:rsid w:val="004A3717"/>
    <w:rsid w:val="004A38EB"/>
    <w:rsid w:val="004A3B22"/>
    <w:rsid w:val="004A4619"/>
    <w:rsid w:val="004A4B53"/>
    <w:rsid w:val="004A5410"/>
    <w:rsid w:val="004A5D76"/>
    <w:rsid w:val="004A6001"/>
    <w:rsid w:val="004A6AE5"/>
    <w:rsid w:val="004A7496"/>
    <w:rsid w:val="004A75B3"/>
    <w:rsid w:val="004A7B97"/>
    <w:rsid w:val="004A7F06"/>
    <w:rsid w:val="004B0081"/>
    <w:rsid w:val="004B026E"/>
    <w:rsid w:val="004B03B9"/>
    <w:rsid w:val="004B06D7"/>
    <w:rsid w:val="004B08EF"/>
    <w:rsid w:val="004B0AFB"/>
    <w:rsid w:val="004B0C59"/>
    <w:rsid w:val="004B12C0"/>
    <w:rsid w:val="004B2249"/>
    <w:rsid w:val="004B3146"/>
    <w:rsid w:val="004B315A"/>
    <w:rsid w:val="004B3FD9"/>
    <w:rsid w:val="004B5F0B"/>
    <w:rsid w:val="004B64BE"/>
    <w:rsid w:val="004B6AFE"/>
    <w:rsid w:val="004B7A07"/>
    <w:rsid w:val="004B7BC1"/>
    <w:rsid w:val="004C0302"/>
    <w:rsid w:val="004C033C"/>
    <w:rsid w:val="004C090A"/>
    <w:rsid w:val="004C0D2F"/>
    <w:rsid w:val="004C0D70"/>
    <w:rsid w:val="004C12E6"/>
    <w:rsid w:val="004C1B67"/>
    <w:rsid w:val="004C1F06"/>
    <w:rsid w:val="004C27A5"/>
    <w:rsid w:val="004C2D21"/>
    <w:rsid w:val="004C2D78"/>
    <w:rsid w:val="004C2E4F"/>
    <w:rsid w:val="004C34A2"/>
    <w:rsid w:val="004C37A1"/>
    <w:rsid w:val="004C4386"/>
    <w:rsid w:val="004C4692"/>
    <w:rsid w:val="004C4D2B"/>
    <w:rsid w:val="004C53C2"/>
    <w:rsid w:val="004C6C26"/>
    <w:rsid w:val="004C6CF7"/>
    <w:rsid w:val="004C763D"/>
    <w:rsid w:val="004C7CEB"/>
    <w:rsid w:val="004C7FBA"/>
    <w:rsid w:val="004D102C"/>
    <w:rsid w:val="004D12BB"/>
    <w:rsid w:val="004D1B66"/>
    <w:rsid w:val="004D2021"/>
    <w:rsid w:val="004D254F"/>
    <w:rsid w:val="004D2571"/>
    <w:rsid w:val="004D2CAB"/>
    <w:rsid w:val="004D2CFF"/>
    <w:rsid w:val="004D46BE"/>
    <w:rsid w:val="004D4B96"/>
    <w:rsid w:val="004D67E9"/>
    <w:rsid w:val="004D6CD7"/>
    <w:rsid w:val="004D6E94"/>
    <w:rsid w:val="004D70AB"/>
    <w:rsid w:val="004D77B2"/>
    <w:rsid w:val="004D7AE5"/>
    <w:rsid w:val="004E05E4"/>
    <w:rsid w:val="004E07BA"/>
    <w:rsid w:val="004E0CEB"/>
    <w:rsid w:val="004E1B1F"/>
    <w:rsid w:val="004E1EA1"/>
    <w:rsid w:val="004E231B"/>
    <w:rsid w:val="004E2E60"/>
    <w:rsid w:val="004E324A"/>
    <w:rsid w:val="004E448B"/>
    <w:rsid w:val="004E44C9"/>
    <w:rsid w:val="004E55EF"/>
    <w:rsid w:val="004E59C1"/>
    <w:rsid w:val="004E6732"/>
    <w:rsid w:val="004E6932"/>
    <w:rsid w:val="004E7151"/>
    <w:rsid w:val="004E72EB"/>
    <w:rsid w:val="004E7747"/>
    <w:rsid w:val="004E7AF0"/>
    <w:rsid w:val="004E7D5F"/>
    <w:rsid w:val="004F0144"/>
    <w:rsid w:val="004F06A9"/>
    <w:rsid w:val="004F1F2C"/>
    <w:rsid w:val="004F2AE0"/>
    <w:rsid w:val="004F2B99"/>
    <w:rsid w:val="004F2E1D"/>
    <w:rsid w:val="004F2EAD"/>
    <w:rsid w:val="004F3D8E"/>
    <w:rsid w:val="004F3E85"/>
    <w:rsid w:val="004F40D4"/>
    <w:rsid w:val="004F44B5"/>
    <w:rsid w:val="004F474D"/>
    <w:rsid w:val="004F5753"/>
    <w:rsid w:val="004F6280"/>
    <w:rsid w:val="004F64E6"/>
    <w:rsid w:val="004F6845"/>
    <w:rsid w:val="004F75AB"/>
    <w:rsid w:val="005001A1"/>
    <w:rsid w:val="00500F8B"/>
    <w:rsid w:val="00501260"/>
    <w:rsid w:val="005017B5"/>
    <w:rsid w:val="00502026"/>
    <w:rsid w:val="005026DC"/>
    <w:rsid w:val="00503008"/>
    <w:rsid w:val="0050308C"/>
    <w:rsid w:val="005031DD"/>
    <w:rsid w:val="00503B44"/>
    <w:rsid w:val="00503FEE"/>
    <w:rsid w:val="00504510"/>
    <w:rsid w:val="00504899"/>
    <w:rsid w:val="00505E79"/>
    <w:rsid w:val="00505FB5"/>
    <w:rsid w:val="00507674"/>
    <w:rsid w:val="005076FD"/>
    <w:rsid w:val="00507AA9"/>
    <w:rsid w:val="00507F86"/>
    <w:rsid w:val="00510AC7"/>
    <w:rsid w:val="00510D98"/>
    <w:rsid w:val="00510E60"/>
    <w:rsid w:val="00511483"/>
    <w:rsid w:val="00511CFA"/>
    <w:rsid w:val="00511D24"/>
    <w:rsid w:val="005126B4"/>
    <w:rsid w:val="00512E03"/>
    <w:rsid w:val="00513338"/>
    <w:rsid w:val="0051362A"/>
    <w:rsid w:val="0051363F"/>
    <w:rsid w:val="00513708"/>
    <w:rsid w:val="00513ABF"/>
    <w:rsid w:val="00513F7C"/>
    <w:rsid w:val="00514707"/>
    <w:rsid w:val="0051502C"/>
    <w:rsid w:val="005151DE"/>
    <w:rsid w:val="005152D8"/>
    <w:rsid w:val="005153ED"/>
    <w:rsid w:val="00515871"/>
    <w:rsid w:val="00516022"/>
    <w:rsid w:val="00516659"/>
    <w:rsid w:val="00516825"/>
    <w:rsid w:val="00516E84"/>
    <w:rsid w:val="0051702C"/>
    <w:rsid w:val="005175B6"/>
    <w:rsid w:val="005177F0"/>
    <w:rsid w:val="005178B2"/>
    <w:rsid w:val="00517EBB"/>
    <w:rsid w:val="00520431"/>
    <w:rsid w:val="005204BD"/>
    <w:rsid w:val="00520529"/>
    <w:rsid w:val="00520C6B"/>
    <w:rsid w:val="00521040"/>
    <w:rsid w:val="00521D7E"/>
    <w:rsid w:val="00522291"/>
    <w:rsid w:val="00522D4A"/>
    <w:rsid w:val="0052319E"/>
    <w:rsid w:val="005232C5"/>
    <w:rsid w:val="00523CF5"/>
    <w:rsid w:val="00524F86"/>
    <w:rsid w:val="005267C6"/>
    <w:rsid w:val="00527285"/>
    <w:rsid w:val="005306AD"/>
    <w:rsid w:val="005317F0"/>
    <w:rsid w:val="005327D8"/>
    <w:rsid w:val="00533015"/>
    <w:rsid w:val="00533296"/>
    <w:rsid w:val="0053368C"/>
    <w:rsid w:val="00533786"/>
    <w:rsid w:val="00533C7A"/>
    <w:rsid w:val="005349DA"/>
    <w:rsid w:val="00534D88"/>
    <w:rsid w:val="00535054"/>
    <w:rsid w:val="00536527"/>
    <w:rsid w:val="005367D7"/>
    <w:rsid w:val="005368B8"/>
    <w:rsid w:val="00537031"/>
    <w:rsid w:val="005371FC"/>
    <w:rsid w:val="00537E5A"/>
    <w:rsid w:val="0054046D"/>
    <w:rsid w:val="00540C47"/>
    <w:rsid w:val="00540DE6"/>
    <w:rsid w:val="00541CA6"/>
    <w:rsid w:val="00541F2C"/>
    <w:rsid w:val="005420EA"/>
    <w:rsid w:val="0054231B"/>
    <w:rsid w:val="00543304"/>
    <w:rsid w:val="00543A43"/>
    <w:rsid w:val="005444E7"/>
    <w:rsid w:val="00544A0F"/>
    <w:rsid w:val="005465BC"/>
    <w:rsid w:val="00547A84"/>
    <w:rsid w:val="00547AEB"/>
    <w:rsid w:val="005506A4"/>
    <w:rsid w:val="00550F84"/>
    <w:rsid w:val="005510FB"/>
    <w:rsid w:val="0055124B"/>
    <w:rsid w:val="005525AD"/>
    <w:rsid w:val="00552C77"/>
    <w:rsid w:val="00552EFD"/>
    <w:rsid w:val="00552F8C"/>
    <w:rsid w:val="005534FF"/>
    <w:rsid w:val="00553643"/>
    <w:rsid w:val="005536F0"/>
    <w:rsid w:val="0055463C"/>
    <w:rsid w:val="0055499F"/>
    <w:rsid w:val="00555473"/>
    <w:rsid w:val="005555FB"/>
    <w:rsid w:val="005556E3"/>
    <w:rsid w:val="00555831"/>
    <w:rsid w:val="00556AF9"/>
    <w:rsid w:val="00556B19"/>
    <w:rsid w:val="00556B2B"/>
    <w:rsid w:val="0055754A"/>
    <w:rsid w:val="00557665"/>
    <w:rsid w:val="005579D0"/>
    <w:rsid w:val="00560F3C"/>
    <w:rsid w:val="00561447"/>
    <w:rsid w:val="00561D85"/>
    <w:rsid w:val="005628F5"/>
    <w:rsid w:val="0056369F"/>
    <w:rsid w:val="00563A36"/>
    <w:rsid w:val="005644EC"/>
    <w:rsid w:val="00564DC0"/>
    <w:rsid w:val="00564DD5"/>
    <w:rsid w:val="005658DC"/>
    <w:rsid w:val="00565ECF"/>
    <w:rsid w:val="00565ED1"/>
    <w:rsid w:val="00566491"/>
    <w:rsid w:val="005665BE"/>
    <w:rsid w:val="00566780"/>
    <w:rsid w:val="00566880"/>
    <w:rsid w:val="0056761C"/>
    <w:rsid w:val="005678FC"/>
    <w:rsid w:val="00570559"/>
    <w:rsid w:val="0057078D"/>
    <w:rsid w:val="0057111A"/>
    <w:rsid w:val="00571167"/>
    <w:rsid w:val="00571D3A"/>
    <w:rsid w:val="00573476"/>
    <w:rsid w:val="005735AD"/>
    <w:rsid w:val="00573889"/>
    <w:rsid w:val="00573E9B"/>
    <w:rsid w:val="00574D46"/>
    <w:rsid w:val="00574F91"/>
    <w:rsid w:val="005752DD"/>
    <w:rsid w:val="00575ADE"/>
    <w:rsid w:val="00576B04"/>
    <w:rsid w:val="00576FBB"/>
    <w:rsid w:val="00577440"/>
    <w:rsid w:val="00577477"/>
    <w:rsid w:val="0057760E"/>
    <w:rsid w:val="00577AAE"/>
    <w:rsid w:val="005801FD"/>
    <w:rsid w:val="005809D3"/>
    <w:rsid w:val="00580CC8"/>
    <w:rsid w:val="005811CF"/>
    <w:rsid w:val="005817B6"/>
    <w:rsid w:val="00581C19"/>
    <w:rsid w:val="00581D77"/>
    <w:rsid w:val="00582646"/>
    <w:rsid w:val="00582732"/>
    <w:rsid w:val="00582A31"/>
    <w:rsid w:val="005830C0"/>
    <w:rsid w:val="00583AF9"/>
    <w:rsid w:val="00583C97"/>
    <w:rsid w:val="0058406D"/>
    <w:rsid w:val="005849A3"/>
    <w:rsid w:val="00584A7E"/>
    <w:rsid w:val="00585B14"/>
    <w:rsid w:val="00585EFD"/>
    <w:rsid w:val="005864A0"/>
    <w:rsid w:val="005877F5"/>
    <w:rsid w:val="00590705"/>
    <w:rsid w:val="00590AB4"/>
    <w:rsid w:val="0059183C"/>
    <w:rsid w:val="00591917"/>
    <w:rsid w:val="00591ED4"/>
    <w:rsid w:val="005920D4"/>
    <w:rsid w:val="005926A2"/>
    <w:rsid w:val="0059272B"/>
    <w:rsid w:val="00592896"/>
    <w:rsid w:val="00592C36"/>
    <w:rsid w:val="005933BA"/>
    <w:rsid w:val="0059345E"/>
    <w:rsid w:val="005938A3"/>
    <w:rsid w:val="005939DB"/>
    <w:rsid w:val="00595165"/>
    <w:rsid w:val="005954C3"/>
    <w:rsid w:val="005955E7"/>
    <w:rsid w:val="0059597F"/>
    <w:rsid w:val="00595D93"/>
    <w:rsid w:val="0059625D"/>
    <w:rsid w:val="00597BD0"/>
    <w:rsid w:val="00597CDE"/>
    <w:rsid w:val="005A0511"/>
    <w:rsid w:val="005A1061"/>
    <w:rsid w:val="005A19FB"/>
    <w:rsid w:val="005A2ACD"/>
    <w:rsid w:val="005A3813"/>
    <w:rsid w:val="005A3999"/>
    <w:rsid w:val="005A3D26"/>
    <w:rsid w:val="005A484F"/>
    <w:rsid w:val="005A48B1"/>
    <w:rsid w:val="005A615B"/>
    <w:rsid w:val="005A6E3E"/>
    <w:rsid w:val="005A6EE5"/>
    <w:rsid w:val="005A705C"/>
    <w:rsid w:val="005A7692"/>
    <w:rsid w:val="005A776F"/>
    <w:rsid w:val="005A79FC"/>
    <w:rsid w:val="005A7BC4"/>
    <w:rsid w:val="005A7FF7"/>
    <w:rsid w:val="005B0E2F"/>
    <w:rsid w:val="005B12B2"/>
    <w:rsid w:val="005B1AC9"/>
    <w:rsid w:val="005B1AD1"/>
    <w:rsid w:val="005B2129"/>
    <w:rsid w:val="005B288A"/>
    <w:rsid w:val="005B3B7F"/>
    <w:rsid w:val="005B4875"/>
    <w:rsid w:val="005B55AB"/>
    <w:rsid w:val="005B5ACE"/>
    <w:rsid w:val="005B6458"/>
    <w:rsid w:val="005B707B"/>
    <w:rsid w:val="005C02E1"/>
    <w:rsid w:val="005C0579"/>
    <w:rsid w:val="005C0645"/>
    <w:rsid w:val="005C0AD1"/>
    <w:rsid w:val="005C0C4A"/>
    <w:rsid w:val="005C0CD5"/>
    <w:rsid w:val="005C1594"/>
    <w:rsid w:val="005C1F37"/>
    <w:rsid w:val="005C20E2"/>
    <w:rsid w:val="005C25EA"/>
    <w:rsid w:val="005C2880"/>
    <w:rsid w:val="005C2A7F"/>
    <w:rsid w:val="005C348C"/>
    <w:rsid w:val="005C36EC"/>
    <w:rsid w:val="005C406E"/>
    <w:rsid w:val="005C4CEA"/>
    <w:rsid w:val="005C50D7"/>
    <w:rsid w:val="005C51C2"/>
    <w:rsid w:val="005C5285"/>
    <w:rsid w:val="005C52C3"/>
    <w:rsid w:val="005C5477"/>
    <w:rsid w:val="005C57DD"/>
    <w:rsid w:val="005C5C1F"/>
    <w:rsid w:val="005C5EBE"/>
    <w:rsid w:val="005C6111"/>
    <w:rsid w:val="005C649E"/>
    <w:rsid w:val="005C6719"/>
    <w:rsid w:val="005C6F90"/>
    <w:rsid w:val="005C716C"/>
    <w:rsid w:val="005C7454"/>
    <w:rsid w:val="005C7479"/>
    <w:rsid w:val="005C79CA"/>
    <w:rsid w:val="005C7E38"/>
    <w:rsid w:val="005C7F20"/>
    <w:rsid w:val="005D0B42"/>
    <w:rsid w:val="005D1632"/>
    <w:rsid w:val="005D2385"/>
    <w:rsid w:val="005D28FD"/>
    <w:rsid w:val="005D2C08"/>
    <w:rsid w:val="005D2D4C"/>
    <w:rsid w:val="005D3147"/>
    <w:rsid w:val="005D331D"/>
    <w:rsid w:val="005D34DC"/>
    <w:rsid w:val="005D3D1A"/>
    <w:rsid w:val="005D3F91"/>
    <w:rsid w:val="005D4504"/>
    <w:rsid w:val="005D58A3"/>
    <w:rsid w:val="005D6392"/>
    <w:rsid w:val="005D64FE"/>
    <w:rsid w:val="005D6D65"/>
    <w:rsid w:val="005D7240"/>
    <w:rsid w:val="005D7881"/>
    <w:rsid w:val="005E041A"/>
    <w:rsid w:val="005E08CE"/>
    <w:rsid w:val="005E0918"/>
    <w:rsid w:val="005E1D42"/>
    <w:rsid w:val="005E237F"/>
    <w:rsid w:val="005E2669"/>
    <w:rsid w:val="005E290C"/>
    <w:rsid w:val="005E2948"/>
    <w:rsid w:val="005E2B31"/>
    <w:rsid w:val="005E362D"/>
    <w:rsid w:val="005E38B3"/>
    <w:rsid w:val="005E4B1E"/>
    <w:rsid w:val="005E58E3"/>
    <w:rsid w:val="005E5900"/>
    <w:rsid w:val="005E6D17"/>
    <w:rsid w:val="005E6DAD"/>
    <w:rsid w:val="005E7D23"/>
    <w:rsid w:val="005F0319"/>
    <w:rsid w:val="005F080A"/>
    <w:rsid w:val="005F0B38"/>
    <w:rsid w:val="005F1512"/>
    <w:rsid w:val="005F2112"/>
    <w:rsid w:val="005F2CDB"/>
    <w:rsid w:val="005F3275"/>
    <w:rsid w:val="005F39AE"/>
    <w:rsid w:val="005F4016"/>
    <w:rsid w:val="005F4026"/>
    <w:rsid w:val="005F431E"/>
    <w:rsid w:val="005F46E0"/>
    <w:rsid w:val="005F4EE2"/>
    <w:rsid w:val="005F578E"/>
    <w:rsid w:val="005F5DB7"/>
    <w:rsid w:val="005F66D9"/>
    <w:rsid w:val="005F691D"/>
    <w:rsid w:val="005F6BAF"/>
    <w:rsid w:val="005F7013"/>
    <w:rsid w:val="005F7132"/>
    <w:rsid w:val="005F717A"/>
    <w:rsid w:val="005F74EB"/>
    <w:rsid w:val="005F7874"/>
    <w:rsid w:val="00600622"/>
    <w:rsid w:val="00600B32"/>
    <w:rsid w:val="00600D9C"/>
    <w:rsid w:val="00601A2C"/>
    <w:rsid w:val="00601F04"/>
    <w:rsid w:val="00601F0E"/>
    <w:rsid w:val="0060233B"/>
    <w:rsid w:val="00602406"/>
    <w:rsid w:val="00602963"/>
    <w:rsid w:val="00602D89"/>
    <w:rsid w:val="00602EDB"/>
    <w:rsid w:val="006032AC"/>
    <w:rsid w:val="006043ED"/>
    <w:rsid w:val="0060463A"/>
    <w:rsid w:val="006046CF"/>
    <w:rsid w:val="00604808"/>
    <w:rsid w:val="00605A55"/>
    <w:rsid w:val="00605A66"/>
    <w:rsid w:val="00605BEE"/>
    <w:rsid w:val="00605D2C"/>
    <w:rsid w:val="00605DDC"/>
    <w:rsid w:val="0060638B"/>
    <w:rsid w:val="006064E6"/>
    <w:rsid w:val="006065B5"/>
    <w:rsid w:val="00606E2A"/>
    <w:rsid w:val="00610117"/>
    <w:rsid w:val="00611925"/>
    <w:rsid w:val="00611CD9"/>
    <w:rsid w:val="00612071"/>
    <w:rsid w:val="0061283C"/>
    <w:rsid w:val="00612C8D"/>
    <w:rsid w:val="00612E06"/>
    <w:rsid w:val="00612F7D"/>
    <w:rsid w:val="0061380E"/>
    <w:rsid w:val="00613F64"/>
    <w:rsid w:val="00614601"/>
    <w:rsid w:val="00615CCD"/>
    <w:rsid w:val="00615E02"/>
    <w:rsid w:val="006160AD"/>
    <w:rsid w:val="006160BD"/>
    <w:rsid w:val="006162C3"/>
    <w:rsid w:val="0061634B"/>
    <w:rsid w:val="00617A2C"/>
    <w:rsid w:val="00617AED"/>
    <w:rsid w:val="00617F95"/>
    <w:rsid w:val="006202F7"/>
    <w:rsid w:val="006203C3"/>
    <w:rsid w:val="00620438"/>
    <w:rsid w:val="00620A46"/>
    <w:rsid w:val="00621AEF"/>
    <w:rsid w:val="00621E35"/>
    <w:rsid w:val="00622528"/>
    <w:rsid w:val="006228F0"/>
    <w:rsid w:val="00622F7E"/>
    <w:rsid w:val="006234DB"/>
    <w:rsid w:val="00624322"/>
    <w:rsid w:val="0062438B"/>
    <w:rsid w:val="00624464"/>
    <w:rsid w:val="00624A49"/>
    <w:rsid w:val="006255D1"/>
    <w:rsid w:val="00626010"/>
    <w:rsid w:val="0062648C"/>
    <w:rsid w:val="006265EA"/>
    <w:rsid w:val="0062670F"/>
    <w:rsid w:val="006268D4"/>
    <w:rsid w:val="006269AB"/>
    <w:rsid w:val="00627C37"/>
    <w:rsid w:val="006305DC"/>
    <w:rsid w:val="00630C9E"/>
    <w:rsid w:val="006311CC"/>
    <w:rsid w:val="006313A9"/>
    <w:rsid w:val="00632040"/>
    <w:rsid w:val="006325CC"/>
    <w:rsid w:val="00632BB7"/>
    <w:rsid w:val="00632C11"/>
    <w:rsid w:val="006333D4"/>
    <w:rsid w:val="00633E24"/>
    <w:rsid w:val="0063440B"/>
    <w:rsid w:val="006347C3"/>
    <w:rsid w:val="00634B4C"/>
    <w:rsid w:val="00634B8B"/>
    <w:rsid w:val="00634C37"/>
    <w:rsid w:val="00635C24"/>
    <w:rsid w:val="00636838"/>
    <w:rsid w:val="006368A5"/>
    <w:rsid w:val="00636B78"/>
    <w:rsid w:val="006372E2"/>
    <w:rsid w:val="006377FF"/>
    <w:rsid w:val="006407D5"/>
    <w:rsid w:val="006416F7"/>
    <w:rsid w:val="00641DAA"/>
    <w:rsid w:val="00642A12"/>
    <w:rsid w:val="00642FFA"/>
    <w:rsid w:val="0064356A"/>
    <w:rsid w:val="00644B61"/>
    <w:rsid w:val="006450AD"/>
    <w:rsid w:val="00645122"/>
    <w:rsid w:val="00645797"/>
    <w:rsid w:val="00645B89"/>
    <w:rsid w:val="0064604E"/>
    <w:rsid w:val="0064738D"/>
    <w:rsid w:val="00647710"/>
    <w:rsid w:val="006505F7"/>
    <w:rsid w:val="00650BD7"/>
    <w:rsid w:val="00651085"/>
    <w:rsid w:val="00651208"/>
    <w:rsid w:val="0065175A"/>
    <w:rsid w:val="00651AAC"/>
    <w:rsid w:val="00651BA0"/>
    <w:rsid w:val="00651FC4"/>
    <w:rsid w:val="0065212C"/>
    <w:rsid w:val="00652514"/>
    <w:rsid w:val="006525F9"/>
    <w:rsid w:val="0065298F"/>
    <w:rsid w:val="00652E85"/>
    <w:rsid w:val="00653A8E"/>
    <w:rsid w:val="006548B0"/>
    <w:rsid w:val="00655C55"/>
    <w:rsid w:val="00655FD3"/>
    <w:rsid w:val="006561ED"/>
    <w:rsid w:val="00656350"/>
    <w:rsid w:val="00656731"/>
    <w:rsid w:val="00656E76"/>
    <w:rsid w:val="0065769D"/>
    <w:rsid w:val="00660058"/>
    <w:rsid w:val="00660B1F"/>
    <w:rsid w:val="00661439"/>
    <w:rsid w:val="006617DF"/>
    <w:rsid w:val="00661DAB"/>
    <w:rsid w:val="00661F3C"/>
    <w:rsid w:val="0066226C"/>
    <w:rsid w:val="006625D4"/>
    <w:rsid w:val="00662F1E"/>
    <w:rsid w:val="00663268"/>
    <w:rsid w:val="00663DFA"/>
    <w:rsid w:val="00664B70"/>
    <w:rsid w:val="00664E52"/>
    <w:rsid w:val="0066525E"/>
    <w:rsid w:val="006654E6"/>
    <w:rsid w:val="00665AD9"/>
    <w:rsid w:val="0066657B"/>
    <w:rsid w:val="006702B1"/>
    <w:rsid w:val="006703E1"/>
    <w:rsid w:val="006706BC"/>
    <w:rsid w:val="006709F1"/>
    <w:rsid w:val="00670BA8"/>
    <w:rsid w:val="00670E3F"/>
    <w:rsid w:val="006712E2"/>
    <w:rsid w:val="0067284E"/>
    <w:rsid w:val="0067402D"/>
    <w:rsid w:val="00674A47"/>
    <w:rsid w:val="0067565F"/>
    <w:rsid w:val="00675B52"/>
    <w:rsid w:val="00675C27"/>
    <w:rsid w:val="006768F7"/>
    <w:rsid w:val="00677C6D"/>
    <w:rsid w:val="00680A04"/>
    <w:rsid w:val="00681474"/>
    <w:rsid w:val="006827DD"/>
    <w:rsid w:val="00682975"/>
    <w:rsid w:val="00682A25"/>
    <w:rsid w:val="00683A8E"/>
    <w:rsid w:val="00684136"/>
    <w:rsid w:val="006841F1"/>
    <w:rsid w:val="00685120"/>
    <w:rsid w:val="00685284"/>
    <w:rsid w:val="00685F9B"/>
    <w:rsid w:val="006861CE"/>
    <w:rsid w:val="00686611"/>
    <w:rsid w:val="00686847"/>
    <w:rsid w:val="00686BF9"/>
    <w:rsid w:val="006872BA"/>
    <w:rsid w:val="006872F4"/>
    <w:rsid w:val="00687754"/>
    <w:rsid w:val="0068785F"/>
    <w:rsid w:val="00687BDE"/>
    <w:rsid w:val="00687D53"/>
    <w:rsid w:val="0069001E"/>
    <w:rsid w:val="00690033"/>
    <w:rsid w:val="00690049"/>
    <w:rsid w:val="0069012C"/>
    <w:rsid w:val="006901EE"/>
    <w:rsid w:val="0069096E"/>
    <w:rsid w:val="00690F3B"/>
    <w:rsid w:val="00691B6E"/>
    <w:rsid w:val="00691E09"/>
    <w:rsid w:val="00691E6A"/>
    <w:rsid w:val="00692150"/>
    <w:rsid w:val="00692656"/>
    <w:rsid w:val="00692969"/>
    <w:rsid w:val="00692A73"/>
    <w:rsid w:val="00692C87"/>
    <w:rsid w:val="006934E2"/>
    <w:rsid w:val="00693529"/>
    <w:rsid w:val="006938AD"/>
    <w:rsid w:val="006941BF"/>
    <w:rsid w:val="00695197"/>
    <w:rsid w:val="0069531D"/>
    <w:rsid w:val="00695D52"/>
    <w:rsid w:val="00697068"/>
    <w:rsid w:val="006971B9"/>
    <w:rsid w:val="00697370"/>
    <w:rsid w:val="00697E68"/>
    <w:rsid w:val="00697EB1"/>
    <w:rsid w:val="006A06C2"/>
    <w:rsid w:val="006A2CC1"/>
    <w:rsid w:val="006A349C"/>
    <w:rsid w:val="006A35AD"/>
    <w:rsid w:val="006A4025"/>
    <w:rsid w:val="006A40DD"/>
    <w:rsid w:val="006A5708"/>
    <w:rsid w:val="006A58A7"/>
    <w:rsid w:val="006A5D61"/>
    <w:rsid w:val="006A5FB5"/>
    <w:rsid w:val="006A62BF"/>
    <w:rsid w:val="006A637D"/>
    <w:rsid w:val="006A64D5"/>
    <w:rsid w:val="006A6F71"/>
    <w:rsid w:val="006A751D"/>
    <w:rsid w:val="006A784B"/>
    <w:rsid w:val="006A7BD9"/>
    <w:rsid w:val="006B0E9A"/>
    <w:rsid w:val="006B1570"/>
    <w:rsid w:val="006B17F8"/>
    <w:rsid w:val="006B1CF6"/>
    <w:rsid w:val="006B1E69"/>
    <w:rsid w:val="006B2AFC"/>
    <w:rsid w:val="006B3B38"/>
    <w:rsid w:val="006B3C42"/>
    <w:rsid w:val="006B3CCE"/>
    <w:rsid w:val="006B4937"/>
    <w:rsid w:val="006B4EA0"/>
    <w:rsid w:val="006B599A"/>
    <w:rsid w:val="006B613B"/>
    <w:rsid w:val="006B7101"/>
    <w:rsid w:val="006C14C7"/>
    <w:rsid w:val="006C2157"/>
    <w:rsid w:val="006C21E9"/>
    <w:rsid w:val="006C2335"/>
    <w:rsid w:val="006C23ED"/>
    <w:rsid w:val="006C25EE"/>
    <w:rsid w:val="006C26DC"/>
    <w:rsid w:val="006C3048"/>
    <w:rsid w:val="006C3162"/>
    <w:rsid w:val="006C324F"/>
    <w:rsid w:val="006C3C62"/>
    <w:rsid w:val="006C3DDE"/>
    <w:rsid w:val="006C4317"/>
    <w:rsid w:val="006C4472"/>
    <w:rsid w:val="006C4717"/>
    <w:rsid w:val="006C4AF7"/>
    <w:rsid w:val="006C6140"/>
    <w:rsid w:val="006C6349"/>
    <w:rsid w:val="006C63BE"/>
    <w:rsid w:val="006C6915"/>
    <w:rsid w:val="006C71B4"/>
    <w:rsid w:val="006C7528"/>
    <w:rsid w:val="006C768E"/>
    <w:rsid w:val="006C7C44"/>
    <w:rsid w:val="006D0063"/>
    <w:rsid w:val="006D0619"/>
    <w:rsid w:val="006D0983"/>
    <w:rsid w:val="006D0A5F"/>
    <w:rsid w:val="006D0C12"/>
    <w:rsid w:val="006D0EB3"/>
    <w:rsid w:val="006D1E68"/>
    <w:rsid w:val="006D21B3"/>
    <w:rsid w:val="006D22D9"/>
    <w:rsid w:val="006D2465"/>
    <w:rsid w:val="006D324F"/>
    <w:rsid w:val="006D3797"/>
    <w:rsid w:val="006D3B28"/>
    <w:rsid w:val="006D4011"/>
    <w:rsid w:val="006D5ECE"/>
    <w:rsid w:val="006D660C"/>
    <w:rsid w:val="006D6A55"/>
    <w:rsid w:val="006D6B7B"/>
    <w:rsid w:val="006D7127"/>
    <w:rsid w:val="006D771B"/>
    <w:rsid w:val="006D7AE5"/>
    <w:rsid w:val="006E23FC"/>
    <w:rsid w:val="006E298C"/>
    <w:rsid w:val="006E2BFF"/>
    <w:rsid w:val="006E3599"/>
    <w:rsid w:val="006E38DA"/>
    <w:rsid w:val="006E419B"/>
    <w:rsid w:val="006E436C"/>
    <w:rsid w:val="006E51B5"/>
    <w:rsid w:val="006E53BF"/>
    <w:rsid w:val="006E65A0"/>
    <w:rsid w:val="006E6733"/>
    <w:rsid w:val="006E6AE2"/>
    <w:rsid w:val="006E7B4E"/>
    <w:rsid w:val="006E7D00"/>
    <w:rsid w:val="006F061F"/>
    <w:rsid w:val="006F13A6"/>
    <w:rsid w:val="006F2049"/>
    <w:rsid w:val="006F2086"/>
    <w:rsid w:val="006F2891"/>
    <w:rsid w:val="006F2E25"/>
    <w:rsid w:val="006F2E41"/>
    <w:rsid w:val="006F338B"/>
    <w:rsid w:val="006F4CD4"/>
    <w:rsid w:val="006F6001"/>
    <w:rsid w:val="006F69D7"/>
    <w:rsid w:val="006F6B28"/>
    <w:rsid w:val="006F6B78"/>
    <w:rsid w:val="006F74A3"/>
    <w:rsid w:val="006F7F58"/>
    <w:rsid w:val="0070012F"/>
    <w:rsid w:val="007003D9"/>
    <w:rsid w:val="00700B75"/>
    <w:rsid w:val="00700D5E"/>
    <w:rsid w:val="00700EE6"/>
    <w:rsid w:val="00701027"/>
    <w:rsid w:val="0070288E"/>
    <w:rsid w:val="007029DF"/>
    <w:rsid w:val="00702D60"/>
    <w:rsid w:val="00702F9B"/>
    <w:rsid w:val="00703511"/>
    <w:rsid w:val="007037CE"/>
    <w:rsid w:val="00703D78"/>
    <w:rsid w:val="00704350"/>
    <w:rsid w:val="00704575"/>
    <w:rsid w:val="0070498A"/>
    <w:rsid w:val="00704DC8"/>
    <w:rsid w:val="00704FA4"/>
    <w:rsid w:val="00706A9A"/>
    <w:rsid w:val="00706CB5"/>
    <w:rsid w:val="00707157"/>
    <w:rsid w:val="007077DA"/>
    <w:rsid w:val="00707993"/>
    <w:rsid w:val="00707E09"/>
    <w:rsid w:val="0071033D"/>
    <w:rsid w:val="007104CE"/>
    <w:rsid w:val="007105B3"/>
    <w:rsid w:val="007105F0"/>
    <w:rsid w:val="00710D96"/>
    <w:rsid w:val="00711350"/>
    <w:rsid w:val="00711734"/>
    <w:rsid w:val="00711F38"/>
    <w:rsid w:val="0071226E"/>
    <w:rsid w:val="0071251B"/>
    <w:rsid w:val="007130ED"/>
    <w:rsid w:val="00714909"/>
    <w:rsid w:val="00714A21"/>
    <w:rsid w:val="00714B20"/>
    <w:rsid w:val="00714C87"/>
    <w:rsid w:val="0071525A"/>
    <w:rsid w:val="00715263"/>
    <w:rsid w:val="00715AC4"/>
    <w:rsid w:val="00715E03"/>
    <w:rsid w:val="00715EBF"/>
    <w:rsid w:val="00715F7C"/>
    <w:rsid w:val="007161F6"/>
    <w:rsid w:val="00716606"/>
    <w:rsid w:val="00717040"/>
    <w:rsid w:val="00717307"/>
    <w:rsid w:val="0071762E"/>
    <w:rsid w:val="007176D9"/>
    <w:rsid w:val="007200F0"/>
    <w:rsid w:val="007202AE"/>
    <w:rsid w:val="00721105"/>
    <w:rsid w:val="00721310"/>
    <w:rsid w:val="00723017"/>
    <w:rsid w:val="007230A1"/>
    <w:rsid w:val="00723349"/>
    <w:rsid w:val="007236D6"/>
    <w:rsid w:val="00723781"/>
    <w:rsid w:val="00723F78"/>
    <w:rsid w:val="00724045"/>
    <w:rsid w:val="00724466"/>
    <w:rsid w:val="00724DB0"/>
    <w:rsid w:val="007251B1"/>
    <w:rsid w:val="007255F2"/>
    <w:rsid w:val="00726590"/>
    <w:rsid w:val="007266EE"/>
    <w:rsid w:val="00726731"/>
    <w:rsid w:val="007276C8"/>
    <w:rsid w:val="00727C0E"/>
    <w:rsid w:val="00727D29"/>
    <w:rsid w:val="00731155"/>
    <w:rsid w:val="007315D0"/>
    <w:rsid w:val="00731685"/>
    <w:rsid w:val="00732089"/>
    <w:rsid w:val="0073443F"/>
    <w:rsid w:val="007349A5"/>
    <w:rsid w:val="007358CC"/>
    <w:rsid w:val="00735A3F"/>
    <w:rsid w:val="007367C3"/>
    <w:rsid w:val="007369A6"/>
    <w:rsid w:val="00736AF9"/>
    <w:rsid w:val="00736C6B"/>
    <w:rsid w:val="00736EF6"/>
    <w:rsid w:val="0073709F"/>
    <w:rsid w:val="00737607"/>
    <w:rsid w:val="00737814"/>
    <w:rsid w:val="007407D0"/>
    <w:rsid w:val="007408BA"/>
    <w:rsid w:val="0074150C"/>
    <w:rsid w:val="00741641"/>
    <w:rsid w:val="00741CD3"/>
    <w:rsid w:val="00742162"/>
    <w:rsid w:val="007425BC"/>
    <w:rsid w:val="00742827"/>
    <w:rsid w:val="007428A2"/>
    <w:rsid w:val="00742D16"/>
    <w:rsid w:val="00742D34"/>
    <w:rsid w:val="00742DE1"/>
    <w:rsid w:val="00744AAB"/>
    <w:rsid w:val="00745236"/>
    <w:rsid w:val="00745C6A"/>
    <w:rsid w:val="007460D2"/>
    <w:rsid w:val="00746A39"/>
    <w:rsid w:val="00747637"/>
    <w:rsid w:val="00747B46"/>
    <w:rsid w:val="00747DE8"/>
    <w:rsid w:val="00747FE8"/>
    <w:rsid w:val="00750559"/>
    <w:rsid w:val="00750B69"/>
    <w:rsid w:val="00752028"/>
    <w:rsid w:val="007527E2"/>
    <w:rsid w:val="00752FC8"/>
    <w:rsid w:val="00753144"/>
    <w:rsid w:val="00753245"/>
    <w:rsid w:val="007536E2"/>
    <w:rsid w:val="00753785"/>
    <w:rsid w:val="007541C1"/>
    <w:rsid w:val="007554C2"/>
    <w:rsid w:val="00755CD0"/>
    <w:rsid w:val="00755EAF"/>
    <w:rsid w:val="00756257"/>
    <w:rsid w:val="00756814"/>
    <w:rsid w:val="007579F5"/>
    <w:rsid w:val="00760247"/>
    <w:rsid w:val="0076078E"/>
    <w:rsid w:val="00760C61"/>
    <w:rsid w:val="00761165"/>
    <w:rsid w:val="00761766"/>
    <w:rsid w:val="00761CB1"/>
    <w:rsid w:val="00761DB1"/>
    <w:rsid w:val="00762055"/>
    <w:rsid w:val="00763B4E"/>
    <w:rsid w:val="00763C20"/>
    <w:rsid w:val="00763CBF"/>
    <w:rsid w:val="007641B7"/>
    <w:rsid w:val="0076436C"/>
    <w:rsid w:val="007645C3"/>
    <w:rsid w:val="0076578D"/>
    <w:rsid w:val="00765FA9"/>
    <w:rsid w:val="00766689"/>
    <w:rsid w:val="0076691B"/>
    <w:rsid w:val="00766ADF"/>
    <w:rsid w:val="007678E7"/>
    <w:rsid w:val="0076793D"/>
    <w:rsid w:val="00767CEB"/>
    <w:rsid w:val="00770307"/>
    <w:rsid w:val="007706FF"/>
    <w:rsid w:val="00770D37"/>
    <w:rsid w:val="00771001"/>
    <w:rsid w:val="00771012"/>
    <w:rsid w:val="007712C7"/>
    <w:rsid w:val="00771762"/>
    <w:rsid w:val="00771B10"/>
    <w:rsid w:val="00771CDC"/>
    <w:rsid w:val="0077204E"/>
    <w:rsid w:val="00772166"/>
    <w:rsid w:val="0077262D"/>
    <w:rsid w:val="0077328A"/>
    <w:rsid w:val="00773B68"/>
    <w:rsid w:val="00773CD5"/>
    <w:rsid w:val="007741B0"/>
    <w:rsid w:val="00774C6F"/>
    <w:rsid w:val="00774ED7"/>
    <w:rsid w:val="0077539A"/>
    <w:rsid w:val="00775670"/>
    <w:rsid w:val="007756E8"/>
    <w:rsid w:val="007757D1"/>
    <w:rsid w:val="00775848"/>
    <w:rsid w:val="00776FC7"/>
    <w:rsid w:val="00776FE9"/>
    <w:rsid w:val="007775F5"/>
    <w:rsid w:val="0077767A"/>
    <w:rsid w:val="00777C02"/>
    <w:rsid w:val="0078089D"/>
    <w:rsid w:val="00780D62"/>
    <w:rsid w:val="00782A63"/>
    <w:rsid w:val="00783899"/>
    <w:rsid w:val="007838D9"/>
    <w:rsid w:val="00783E45"/>
    <w:rsid w:val="00783E48"/>
    <w:rsid w:val="00783F2D"/>
    <w:rsid w:val="00785004"/>
    <w:rsid w:val="00785503"/>
    <w:rsid w:val="007858EC"/>
    <w:rsid w:val="00785CCC"/>
    <w:rsid w:val="007870DE"/>
    <w:rsid w:val="00787DC0"/>
    <w:rsid w:val="00787F07"/>
    <w:rsid w:val="007909B5"/>
    <w:rsid w:val="00791774"/>
    <w:rsid w:val="007920F0"/>
    <w:rsid w:val="007927CE"/>
    <w:rsid w:val="00793658"/>
    <w:rsid w:val="00793DC9"/>
    <w:rsid w:val="00794292"/>
    <w:rsid w:val="00794BDB"/>
    <w:rsid w:val="0079500A"/>
    <w:rsid w:val="007956C4"/>
    <w:rsid w:val="007963CB"/>
    <w:rsid w:val="00796839"/>
    <w:rsid w:val="00797C8E"/>
    <w:rsid w:val="00797D85"/>
    <w:rsid w:val="007A08A2"/>
    <w:rsid w:val="007A0D90"/>
    <w:rsid w:val="007A1256"/>
    <w:rsid w:val="007A2127"/>
    <w:rsid w:val="007A2503"/>
    <w:rsid w:val="007A2882"/>
    <w:rsid w:val="007A357C"/>
    <w:rsid w:val="007A486C"/>
    <w:rsid w:val="007A4AF8"/>
    <w:rsid w:val="007A68C6"/>
    <w:rsid w:val="007A68DA"/>
    <w:rsid w:val="007A6CCF"/>
    <w:rsid w:val="007A7729"/>
    <w:rsid w:val="007A7B15"/>
    <w:rsid w:val="007B01D8"/>
    <w:rsid w:val="007B032C"/>
    <w:rsid w:val="007B13E0"/>
    <w:rsid w:val="007B17D7"/>
    <w:rsid w:val="007B1867"/>
    <w:rsid w:val="007B3099"/>
    <w:rsid w:val="007B3A1F"/>
    <w:rsid w:val="007B3BD0"/>
    <w:rsid w:val="007B3F7B"/>
    <w:rsid w:val="007B4503"/>
    <w:rsid w:val="007B53D8"/>
    <w:rsid w:val="007B5677"/>
    <w:rsid w:val="007B5856"/>
    <w:rsid w:val="007B59C7"/>
    <w:rsid w:val="007B59F8"/>
    <w:rsid w:val="007B671D"/>
    <w:rsid w:val="007C0385"/>
    <w:rsid w:val="007C0520"/>
    <w:rsid w:val="007C06B0"/>
    <w:rsid w:val="007C085A"/>
    <w:rsid w:val="007C0E2D"/>
    <w:rsid w:val="007C2240"/>
    <w:rsid w:val="007C25E5"/>
    <w:rsid w:val="007C2B18"/>
    <w:rsid w:val="007C2C6C"/>
    <w:rsid w:val="007C3CBB"/>
    <w:rsid w:val="007C3DCA"/>
    <w:rsid w:val="007C423D"/>
    <w:rsid w:val="007C43BB"/>
    <w:rsid w:val="007C48D9"/>
    <w:rsid w:val="007C51D6"/>
    <w:rsid w:val="007C5793"/>
    <w:rsid w:val="007C6409"/>
    <w:rsid w:val="007C6BE5"/>
    <w:rsid w:val="007D0A10"/>
    <w:rsid w:val="007D1929"/>
    <w:rsid w:val="007D1950"/>
    <w:rsid w:val="007D1BF0"/>
    <w:rsid w:val="007D2046"/>
    <w:rsid w:val="007D20DC"/>
    <w:rsid w:val="007D22C9"/>
    <w:rsid w:val="007D29A9"/>
    <w:rsid w:val="007D2F6F"/>
    <w:rsid w:val="007D3B5A"/>
    <w:rsid w:val="007D5318"/>
    <w:rsid w:val="007D72EC"/>
    <w:rsid w:val="007D7955"/>
    <w:rsid w:val="007D7AEC"/>
    <w:rsid w:val="007E0BCC"/>
    <w:rsid w:val="007E1944"/>
    <w:rsid w:val="007E19B8"/>
    <w:rsid w:val="007E2306"/>
    <w:rsid w:val="007E3606"/>
    <w:rsid w:val="007E38E6"/>
    <w:rsid w:val="007E4743"/>
    <w:rsid w:val="007E4AF7"/>
    <w:rsid w:val="007E52FD"/>
    <w:rsid w:val="007E55DD"/>
    <w:rsid w:val="007E5C22"/>
    <w:rsid w:val="007E78DF"/>
    <w:rsid w:val="007F00F0"/>
    <w:rsid w:val="007F0B5E"/>
    <w:rsid w:val="007F0D23"/>
    <w:rsid w:val="007F0F07"/>
    <w:rsid w:val="007F0FC9"/>
    <w:rsid w:val="007F110F"/>
    <w:rsid w:val="007F167D"/>
    <w:rsid w:val="007F1C81"/>
    <w:rsid w:val="007F1F55"/>
    <w:rsid w:val="007F1F97"/>
    <w:rsid w:val="007F255C"/>
    <w:rsid w:val="007F2593"/>
    <w:rsid w:val="007F26CF"/>
    <w:rsid w:val="007F359F"/>
    <w:rsid w:val="007F3A29"/>
    <w:rsid w:val="007F3AFB"/>
    <w:rsid w:val="007F3B10"/>
    <w:rsid w:val="007F46A2"/>
    <w:rsid w:val="007F4DAF"/>
    <w:rsid w:val="007F57A5"/>
    <w:rsid w:val="007F5E69"/>
    <w:rsid w:val="007F6FA4"/>
    <w:rsid w:val="007F72E1"/>
    <w:rsid w:val="007F74C9"/>
    <w:rsid w:val="007F7BCC"/>
    <w:rsid w:val="007F7CB9"/>
    <w:rsid w:val="007F7D64"/>
    <w:rsid w:val="0080025B"/>
    <w:rsid w:val="008005FE"/>
    <w:rsid w:val="008009A6"/>
    <w:rsid w:val="0080103D"/>
    <w:rsid w:val="0080109D"/>
    <w:rsid w:val="008019F2"/>
    <w:rsid w:val="00801B20"/>
    <w:rsid w:val="008020BB"/>
    <w:rsid w:val="008021EB"/>
    <w:rsid w:val="00802E95"/>
    <w:rsid w:val="008030F1"/>
    <w:rsid w:val="0080345E"/>
    <w:rsid w:val="0080374C"/>
    <w:rsid w:val="00803BD2"/>
    <w:rsid w:val="00803F18"/>
    <w:rsid w:val="00804078"/>
    <w:rsid w:val="008044E6"/>
    <w:rsid w:val="0080478F"/>
    <w:rsid w:val="00804FA5"/>
    <w:rsid w:val="00804FDD"/>
    <w:rsid w:val="0080542C"/>
    <w:rsid w:val="00805803"/>
    <w:rsid w:val="00805870"/>
    <w:rsid w:val="008059C1"/>
    <w:rsid w:val="008063DD"/>
    <w:rsid w:val="008067C3"/>
    <w:rsid w:val="00806CA8"/>
    <w:rsid w:val="00806E2E"/>
    <w:rsid w:val="0080719C"/>
    <w:rsid w:val="00807620"/>
    <w:rsid w:val="008101A2"/>
    <w:rsid w:val="008103A6"/>
    <w:rsid w:val="008106DD"/>
    <w:rsid w:val="00810BE7"/>
    <w:rsid w:val="00810CA9"/>
    <w:rsid w:val="00811137"/>
    <w:rsid w:val="00811406"/>
    <w:rsid w:val="008114A9"/>
    <w:rsid w:val="00811D67"/>
    <w:rsid w:val="008138D0"/>
    <w:rsid w:val="00813AD2"/>
    <w:rsid w:val="00813DDF"/>
    <w:rsid w:val="00814CC8"/>
    <w:rsid w:val="0081502E"/>
    <w:rsid w:val="00815277"/>
    <w:rsid w:val="008161E5"/>
    <w:rsid w:val="0081632B"/>
    <w:rsid w:val="00816B80"/>
    <w:rsid w:val="00817CD7"/>
    <w:rsid w:val="00817DC8"/>
    <w:rsid w:val="00817DCF"/>
    <w:rsid w:val="00817EEA"/>
    <w:rsid w:val="008203D5"/>
    <w:rsid w:val="0082040A"/>
    <w:rsid w:val="008206C6"/>
    <w:rsid w:val="00821004"/>
    <w:rsid w:val="008214D9"/>
    <w:rsid w:val="00821FAB"/>
    <w:rsid w:val="008230B3"/>
    <w:rsid w:val="00823439"/>
    <w:rsid w:val="008239A1"/>
    <w:rsid w:val="008239BA"/>
    <w:rsid w:val="00824074"/>
    <w:rsid w:val="00824251"/>
    <w:rsid w:val="008245EE"/>
    <w:rsid w:val="00824B8D"/>
    <w:rsid w:val="008250F8"/>
    <w:rsid w:val="00825B13"/>
    <w:rsid w:val="00826010"/>
    <w:rsid w:val="008260E5"/>
    <w:rsid w:val="008268C2"/>
    <w:rsid w:val="00826C02"/>
    <w:rsid w:val="00826CA6"/>
    <w:rsid w:val="00826D56"/>
    <w:rsid w:val="00826D6F"/>
    <w:rsid w:val="00826EF6"/>
    <w:rsid w:val="0082725C"/>
    <w:rsid w:val="00827A9A"/>
    <w:rsid w:val="00827D0E"/>
    <w:rsid w:val="00827D9B"/>
    <w:rsid w:val="00830098"/>
    <w:rsid w:val="0083029F"/>
    <w:rsid w:val="0083034C"/>
    <w:rsid w:val="00830587"/>
    <w:rsid w:val="00830A44"/>
    <w:rsid w:val="00831BFC"/>
    <w:rsid w:val="008321A8"/>
    <w:rsid w:val="0083318A"/>
    <w:rsid w:val="0083322C"/>
    <w:rsid w:val="00833415"/>
    <w:rsid w:val="00833DF2"/>
    <w:rsid w:val="00834023"/>
    <w:rsid w:val="00834497"/>
    <w:rsid w:val="008346A2"/>
    <w:rsid w:val="008359EF"/>
    <w:rsid w:val="00835CCB"/>
    <w:rsid w:val="008360AE"/>
    <w:rsid w:val="008368D0"/>
    <w:rsid w:val="00837C2E"/>
    <w:rsid w:val="008402B5"/>
    <w:rsid w:val="008403BE"/>
    <w:rsid w:val="00840910"/>
    <w:rsid w:val="00840CA8"/>
    <w:rsid w:val="00841299"/>
    <w:rsid w:val="00842088"/>
    <w:rsid w:val="00842482"/>
    <w:rsid w:val="008428B9"/>
    <w:rsid w:val="00842A3E"/>
    <w:rsid w:val="00842AD4"/>
    <w:rsid w:val="00843CC8"/>
    <w:rsid w:val="00844129"/>
    <w:rsid w:val="00844ADF"/>
    <w:rsid w:val="00845018"/>
    <w:rsid w:val="00845135"/>
    <w:rsid w:val="00845C1A"/>
    <w:rsid w:val="00846430"/>
    <w:rsid w:val="008464A6"/>
    <w:rsid w:val="00847592"/>
    <w:rsid w:val="00847813"/>
    <w:rsid w:val="00847B4E"/>
    <w:rsid w:val="00847D33"/>
    <w:rsid w:val="0085074E"/>
    <w:rsid w:val="0085084F"/>
    <w:rsid w:val="00850CFF"/>
    <w:rsid w:val="008521E1"/>
    <w:rsid w:val="00852B4E"/>
    <w:rsid w:val="008534DF"/>
    <w:rsid w:val="00853769"/>
    <w:rsid w:val="00854361"/>
    <w:rsid w:val="008545F4"/>
    <w:rsid w:val="008555F1"/>
    <w:rsid w:val="008559F5"/>
    <w:rsid w:val="0085607A"/>
    <w:rsid w:val="00856426"/>
    <w:rsid w:val="00857555"/>
    <w:rsid w:val="0085786E"/>
    <w:rsid w:val="0086065C"/>
    <w:rsid w:val="00860A75"/>
    <w:rsid w:val="00861391"/>
    <w:rsid w:val="00861BF8"/>
    <w:rsid w:val="008629F5"/>
    <w:rsid w:val="00862A21"/>
    <w:rsid w:val="0086319C"/>
    <w:rsid w:val="008631E2"/>
    <w:rsid w:val="00863605"/>
    <w:rsid w:val="008639AD"/>
    <w:rsid w:val="00864721"/>
    <w:rsid w:val="00864845"/>
    <w:rsid w:val="00864C8F"/>
    <w:rsid w:val="008651D4"/>
    <w:rsid w:val="00865728"/>
    <w:rsid w:val="008662E8"/>
    <w:rsid w:val="00866F82"/>
    <w:rsid w:val="008673C7"/>
    <w:rsid w:val="008703EF"/>
    <w:rsid w:val="008704D0"/>
    <w:rsid w:val="0087085F"/>
    <w:rsid w:val="00870980"/>
    <w:rsid w:val="00871A9E"/>
    <w:rsid w:val="00871D35"/>
    <w:rsid w:val="00871E81"/>
    <w:rsid w:val="00871EE7"/>
    <w:rsid w:val="00872DCC"/>
    <w:rsid w:val="00873429"/>
    <w:rsid w:val="00873736"/>
    <w:rsid w:val="008747DB"/>
    <w:rsid w:val="00874AF2"/>
    <w:rsid w:val="00874E0A"/>
    <w:rsid w:val="008753FC"/>
    <w:rsid w:val="0087586E"/>
    <w:rsid w:val="00876354"/>
    <w:rsid w:val="0087645D"/>
    <w:rsid w:val="00876C47"/>
    <w:rsid w:val="00876FE1"/>
    <w:rsid w:val="00877A4C"/>
    <w:rsid w:val="00877A8D"/>
    <w:rsid w:val="00877BE3"/>
    <w:rsid w:val="00880EEF"/>
    <w:rsid w:val="0088196D"/>
    <w:rsid w:val="008821D5"/>
    <w:rsid w:val="0088232E"/>
    <w:rsid w:val="0088280E"/>
    <w:rsid w:val="00882D70"/>
    <w:rsid w:val="0088416F"/>
    <w:rsid w:val="00884ADB"/>
    <w:rsid w:val="00884F56"/>
    <w:rsid w:val="00885C7B"/>
    <w:rsid w:val="00886753"/>
    <w:rsid w:val="008868D7"/>
    <w:rsid w:val="00887036"/>
    <w:rsid w:val="00887958"/>
    <w:rsid w:val="00887B57"/>
    <w:rsid w:val="00887E13"/>
    <w:rsid w:val="00891394"/>
    <w:rsid w:val="0089159F"/>
    <w:rsid w:val="008917B6"/>
    <w:rsid w:val="00891819"/>
    <w:rsid w:val="00891D47"/>
    <w:rsid w:val="00891E01"/>
    <w:rsid w:val="00892091"/>
    <w:rsid w:val="00892138"/>
    <w:rsid w:val="00892863"/>
    <w:rsid w:val="008928A2"/>
    <w:rsid w:val="00893991"/>
    <w:rsid w:val="008939A8"/>
    <w:rsid w:val="00893F57"/>
    <w:rsid w:val="00894034"/>
    <w:rsid w:val="00894D08"/>
    <w:rsid w:val="00894D09"/>
    <w:rsid w:val="00895075"/>
    <w:rsid w:val="008951A1"/>
    <w:rsid w:val="0089667B"/>
    <w:rsid w:val="0089696D"/>
    <w:rsid w:val="00896B94"/>
    <w:rsid w:val="00896E2F"/>
    <w:rsid w:val="00897087"/>
    <w:rsid w:val="008973C4"/>
    <w:rsid w:val="00897451"/>
    <w:rsid w:val="0089796C"/>
    <w:rsid w:val="008A078D"/>
    <w:rsid w:val="008A0E52"/>
    <w:rsid w:val="008A111E"/>
    <w:rsid w:val="008A12B1"/>
    <w:rsid w:val="008A139C"/>
    <w:rsid w:val="008A183B"/>
    <w:rsid w:val="008A25A3"/>
    <w:rsid w:val="008A2C39"/>
    <w:rsid w:val="008A3812"/>
    <w:rsid w:val="008A3D50"/>
    <w:rsid w:val="008A3ECE"/>
    <w:rsid w:val="008A4F01"/>
    <w:rsid w:val="008A55CE"/>
    <w:rsid w:val="008A5631"/>
    <w:rsid w:val="008A56F0"/>
    <w:rsid w:val="008A5814"/>
    <w:rsid w:val="008A6200"/>
    <w:rsid w:val="008A62B4"/>
    <w:rsid w:val="008A64DE"/>
    <w:rsid w:val="008A65B6"/>
    <w:rsid w:val="008A683D"/>
    <w:rsid w:val="008A74A8"/>
    <w:rsid w:val="008A770D"/>
    <w:rsid w:val="008A79AE"/>
    <w:rsid w:val="008A7BD5"/>
    <w:rsid w:val="008B088D"/>
    <w:rsid w:val="008B145A"/>
    <w:rsid w:val="008B15F4"/>
    <w:rsid w:val="008B1C29"/>
    <w:rsid w:val="008B1FA0"/>
    <w:rsid w:val="008B27DD"/>
    <w:rsid w:val="008B2AB8"/>
    <w:rsid w:val="008B3163"/>
    <w:rsid w:val="008B3CF2"/>
    <w:rsid w:val="008B3E41"/>
    <w:rsid w:val="008B451D"/>
    <w:rsid w:val="008B453F"/>
    <w:rsid w:val="008B5105"/>
    <w:rsid w:val="008B51F2"/>
    <w:rsid w:val="008B55C2"/>
    <w:rsid w:val="008B56D0"/>
    <w:rsid w:val="008B5C1F"/>
    <w:rsid w:val="008B61A9"/>
    <w:rsid w:val="008B6387"/>
    <w:rsid w:val="008B673A"/>
    <w:rsid w:val="008B6A24"/>
    <w:rsid w:val="008B7295"/>
    <w:rsid w:val="008C0770"/>
    <w:rsid w:val="008C0CC3"/>
    <w:rsid w:val="008C15AC"/>
    <w:rsid w:val="008C18CA"/>
    <w:rsid w:val="008C1E61"/>
    <w:rsid w:val="008C23BA"/>
    <w:rsid w:val="008C2737"/>
    <w:rsid w:val="008C2AFA"/>
    <w:rsid w:val="008C3F36"/>
    <w:rsid w:val="008C4283"/>
    <w:rsid w:val="008C458E"/>
    <w:rsid w:val="008C5125"/>
    <w:rsid w:val="008C55E9"/>
    <w:rsid w:val="008C5602"/>
    <w:rsid w:val="008C59CE"/>
    <w:rsid w:val="008C5C92"/>
    <w:rsid w:val="008C6268"/>
    <w:rsid w:val="008C70AD"/>
    <w:rsid w:val="008D002D"/>
    <w:rsid w:val="008D0414"/>
    <w:rsid w:val="008D0888"/>
    <w:rsid w:val="008D0C12"/>
    <w:rsid w:val="008D0FE5"/>
    <w:rsid w:val="008D12AD"/>
    <w:rsid w:val="008D1B57"/>
    <w:rsid w:val="008D1D9C"/>
    <w:rsid w:val="008D2183"/>
    <w:rsid w:val="008D3DD7"/>
    <w:rsid w:val="008D4435"/>
    <w:rsid w:val="008D47C8"/>
    <w:rsid w:val="008D5199"/>
    <w:rsid w:val="008D5586"/>
    <w:rsid w:val="008D5DA6"/>
    <w:rsid w:val="008D6634"/>
    <w:rsid w:val="008D7027"/>
    <w:rsid w:val="008D71D1"/>
    <w:rsid w:val="008D7ED2"/>
    <w:rsid w:val="008E0DB6"/>
    <w:rsid w:val="008E10C7"/>
    <w:rsid w:val="008E1EF2"/>
    <w:rsid w:val="008E27AF"/>
    <w:rsid w:val="008E3357"/>
    <w:rsid w:val="008E39BF"/>
    <w:rsid w:val="008E41B4"/>
    <w:rsid w:val="008E4A02"/>
    <w:rsid w:val="008E4CB5"/>
    <w:rsid w:val="008E4F35"/>
    <w:rsid w:val="008E5259"/>
    <w:rsid w:val="008E581E"/>
    <w:rsid w:val="008E5B70"/>
    <w:rsid w:val="008E60AD"/>
    <w:rsid w:val="008E79E3"/>
    <w:rsid w:val="008E7B5E"/>
    <w:rsid w:val="008E7C21"/>
    <w:rsid w:val="008E7C30"/>
    <w:rsid w:val="008E7C80"/>
    <w:rsid w:val="008F01EF"/>
    <w:rsid w:val="008F062A"/>
    <w:rsid w:val="008F0726"/>
    <w:rsid w:val="008F0843"/>
    <w:rsid w:val="008F0D48"/>
    <w:rsid w:val="008F139A"/>
    <w:rsid w:val="008F1582"/>
    <w:rsid w:val="008F21D3"/>
    <w:rsid w:val="008F223F"/>
    <w:rsid w:val="008F2DBC"/>
    <w:rsid w:val="008F3905"/>
    <w:rsid w:val="008F3BD5"/>
    <w:rsid w:val="008F4399"/>
    <w:rsid w:val="008F48C1"/>
    <w:rsid w:val="008F4F64"/>
    <w:rsid w:val="008F52D8"/>
    <w:rsid w:val="008F563C"/>
    <w:rsid w:val="008F5C71"/>
    <w:rsid w:val="008F64C1"/>
    <w:rsid w:val="008F6792"/>
    <w:rsid w:val="008F68E1"/>
    <w:rsid w:val="008F79BD"/>
    <w:rsid w:val="008F7A6B"/>
    <w:rsid w:val="008F7C0A"/>
    <w:rsid w:val="008F7DC3"/>
    <w:rsid w:val="009001B2"/>
    <w:rsid w:val="009005BB"/>
    <w:rsid w:val="009010D3"/>
    <w:rsid w:val="009013D1"/>
    <w:rsid w:val="0090196F"/>
    <w:rsid w:val="00901BE9"/>
    <w:rsid w:val="00901D6B"/>
    <w:rsid w:val="009036FF"/>
    <w:rsid w:val="00903A0F"/>
    <w:rsid w:val="00903C01"/>
    <w:rsid w:val="00903CE3"/>
    <w:rsid w:val="00903D6F"/>
    <w:rsid w:val="009047BE"/>
    <w:rsid w:val="009048F8"/>
    <w:rsid w:val="00904F80"/>
    <w:rsid w:val="00905255"/>
    <w:rsid w:val="00905A55"/>
    <w:rsid w:val="00906C82"/>
    <w:rsid w:val="00906F0F"/>
    <w:rsid w:val="009072F4"/>
    <w:rsid w:val="009073BB"/>
    <w:rsid w:val="009077BC"/>
    <w:rsid w:val="00907EC6"/>
    <w:rsid w:val="00910BF6"/>
    <w:rsid w:val="00911C03"/>
    <w:rsid w:val="0091227A"/>
    <w:rsid w:val="00912505"/>
    <w:rsid w:val="00913258"/>
    <w:rsid w:val="0091330C"/>
    <w:rsid w:val="00913547"/>
    <w:rsid w:val="00913B4D"/>
    <w:rsid w:val="0091435A"/>
    <w:rsid w:val="009143D7"/>
    <w:rsid w:val="009151E6"/>
    <w:rsid w:val="00915361"/>
    <w:rsid w:val="00915581"/>
    <w:rsid w:val="009156BA"/>
    <w:rsid w:val="009157F1"/>
    <w:rsid w:val="00915B3B"/>
    <w:rsid w:val="00916614"/>
    <w:rsid w:val="0091678D"/>
    <w:rsid w:val="009172D5"/>
    <w:rsid w:val="009178B9"/>
    <w:rsid w:val="00920202"/>
    <w:rsid w:val="009203C9"/>
    <w:rsid w:val="009204FB"/>
    <w:rsid w:val="00920A0D"/>
    <w:rsid w:val="00920B8E"/>
    <w:rsid w:val="00921017"/>
    <w:rsid w:val="00921702"/>
    <w:rsid w:val="00921B9F"/>
    <w:rsid w:val="009227B5"/>
    <w:rsid w:val="0092292A"/>
    <w:rsid w:val="00922A28"/>
    <w:rsid w:val="009232A5"/>
    <w:rsid w:val="00924543"/>
    <w:rsid w:val="00924926"/>
    <w:rsid w:val="00924EA9"/>
    <w:rsid w:val="00924F94"/>
    <w:rsid w:val="00926017"/>
    <w:rsid w:val="009268DA"/>
    <w:rsid w:val="00927439"/>
    <w:rsid w:val="0092755A"/>
    <w:rsid w:val="00927F9C"/>
    <w:rsid w:val="009302C3"/>
    <w:rsid w:val="0093080D"/>
    <w:rsid w:val="009308D8"/>
    <w:rsid w:val="00930915"/>
    <w:rsid w:val="009311B3"/>
    <w:rsid w:val="00931A8D"/>
    <w:rsid w:val="00931AE2"/>
    <w:rsid w:val="00931C43"/>
    <w:rsid w:val="00931D0F"/>
    <w:rsid w:val="00932660"/>
    <w:rsid w:val="00932909"/>
    <w:rsid w:val="00932CCC"/>
    <w:rsid w:val="00932EDD"/>
    <w:rsid w:val="009338A9"/>
    <w:rsid w:val="00934F34"/>
    <w:rsid w:val="009350FF"/>
    <w:rsid w:val="009355D2"/>
    <w:rsid w:val="00935EBF"/>
    <w:rsid w:val="009367C3"/>
    <w:rsid w:val="00936C91"/>
    <w:rsid w:val="00936F70"/>
    <w:rsid w:val="00940290"/>
    <w:rsid w:val="00940955"/>
    <w:rsid w:val="00940965"/>
    <w:rsid w:val="009420CF"/>
    <w:rsid w:val="00942315"/>
    <w:rsid w:val="009424BD"/>
    <w:rsid w:val="00943649"/>
    <w:rsid w:val="00944AC7"/>
    <w:rsid w:val="00944BB9"/>
    <w:rsid w:val="00945A70"/>
    <w:rsid w:val="00945A90"/>
    <w:rsid w:val="00945AC7"/>
    <w:rsid w:val="00945D27"/>
    <w:rsid w:val="00946273"/>
    <w:rsid w:val="00946652"/>
    <w:rsid w:val="00946AC4"/>
    <w:rsid w:val="009477F9"/>
    <w:rsid w:val="00947A44"/>
    <w:rsid w:val="00947DC4"/>
    <w:rsid w:val="00950E9F"/>
    <w:rsid w:val="00951766"/>
    <w:rsid w:val="00951942"/>
    <w:rsid w:val="0095228A"/>
    <w:rsid w:val="009522CF"/>
    <w:rsid w:val="009524E5"/>
    <w:rsid w:val="00952A3C"/>
    <w:rsid w:val="00952F41"/>
    <w:rsid w:val="00953481"/>
    <w:rsid w:val="009549EE"/>
    <w:rsid w:val="00954B00"/>
    <w:rsid w:val="009551C2"/>
    <w:rsid w:val="00957B0B"/>
    <w:rsid w:val="00960607"/>
    <w:rsid w:val="0096185E"/>
    <w:rsid w:val="00961972"/>
    <w:rsid w:val="00961CC9"/>
    <w:rsid w:val="00961D06"/>
    <w:rsid w:val="00961EEB"/>
    <w:rsid w:val="009626DC"/>
    <w:rsid w:val="00962873"/>
    <w:rsid w:val="00962A2F"/>
    <w:rsid w:val="00962F6E"/>
    <w:rsid w:val="00963609"/>
    <w:rsid w:val="00964374"/>
    <w:rsid w:val="00964B0D"/>
    <w:rsid w:val="009650FF"/>
    <w:rsid w:val="00965214"/>
    <w:rsid w:val="00965821"/>
    <w:rsid w:val="00965D25"/>
    <w:rsid w:val="00966098"/>
    <w:rsid w:val="00966151"/>
    <w:rsid w:val="0096635A"/>
    <w:rsid w:val="0096683B"/>
    <w:rsid w:val="009669CA"/>
    <w:rsid w:val="009669D1"/>
    <w:rsid w:val="00967D7E"/>
    <w:rsid w:val="00967DD9"/>
    <w:rsid w:val="00970088"/>
    <w:rsid w:val="00970143"/>
    <w:rsid w:val="00970B63"/>
    <w:rsid w:val="00970F6D"/>
    <w:rsid w:val="0097178A"/>
    <w:rsid w:val="009721B9"/>
    <w:rsid w:val="00972B1C"/>
    <w:rsid w:val="00973810"/>
    <w:rsid w:val="00973E7A"/>
    <w:rsid w:val="00974304"/>
    <w:rsid w:val="00974A49"/>
    <w:rsid w:val="00974B80"/>
    <w:rsid w:val="00974C2D"/>
    <w:rsid w:val="00974D89"/>
    <w:rsid w:val="0097531B"/>
    <w:rsid w:val="009753DD"/>
    <w:rsid w:val="0097556D"/>
    <w:rsid w:val="00975B0E"/>
    <w:rsid w:val="00975BB7"/>
    <w:rsid w:val="0097636A"/>
    <w:rsid w:val="0097697D"/>
    <w:rsid w:val="009778F1"/>
    <w:rsid w:val="00980947"/>
    <w:rsid w:val="00980A6D"/>
    <w:rsid w:val="00981CD7"/>
    <w:rsid w:val="00982223"/>
    <w:rsid w:val="009825C6"/>
    <w:rsid w:val="009832CC"/>
    <w:rsid w:val="00983B18"/>
    <w:rsid w:val="00983CAD"/>
    <w:rsid w:val="00985194"/>
    <w:rsid w:val="0098538B"/>
    <w:rsid w:val="00985986"/>
    <w:rsid w:val="0098599B"/>
    <w:rsid w:val="0098622E"/>
    <w:rsid w:val="009865C5"/>
    <w:rsid w:val="00986962"/>
    <w:rsid w:val="00987021"/>
    <w:rsid w:val="009870AB"/>
    <w:rsid w:val="009870B9"/>
    <w:rsid w:val="00987B25"/>
    <w:rsid w:val="009900EB"/>
    <w:rsid w:val="00990563"/>
    <w:rsid w:val="00990695"/>
    <w:rsid w:val="009920A4"/>
    <w:rsid w:val="0099252A"/>
    <w:rsid w:val="00992E9B"/>
    <w:rsid w:val="00992FFF"/>
    <w:rsid w:val="00993CA2"/>
    <w:rsid w:val="009949F0"/>
    <w:rsid w:val="00994D76"/>
    <w:rsid w:val="00996426"/>
    <w:rsid w:val="009964AC"/>
    <w:rsid w:val="00996A7E"/>
    <w:rsid w:val="00997020"/>
    <w:rsid w:val="009973CE"/>
    <w:rsid w:val="009A1372"/>
    <w:rsid w:val="009A2A2E"/>
    <w:rsid w:val="009A3727"/>
    <w:rsid w:val="009A37BD"/>
    <w:rsid w:val="009A391F"/>
    <w:rsid w:val="009A3AAC"/>
    <w:rsid w:val="009A3B1C"/>
    <w:rsid w:val="009A3B25"/>
    <w:rsid w:val="009A3D90"/>
    <w:rsid w:val="009A4538"/>
    <w:rsid w:val="009A45E6"/>
    <w:rsid w:val="009A519C"/>
    <w:rsid w:val="009A52BB"/>
    <w:rsid w:val="009A5BFD"/>
    <w:rsid w:val="009A5EB3"/>
    <w:rsid w:val="009A6AAC"/>
    <w:rsid w:val="009A6F46"/>
    <w:rsid w:val="009A72DF"/>
    <w:rsid w:val="009A7AC0"/>
    <w:rsid w:val="009A7AE3"/>
    <w:rsid w:val="009A7AF2"/>
    <w:rsid w:val="009A7FEE"/>
    <w:rsid w:val="009B04AA"/>
    <w:rsid w:val="009B13B6"/>
    <w:rsid w:val="009B13EC"/>
    <w:rsid w:val="009B15F1"/>
    <w:rsid w:val="009B16A2"/>
    <w:rsid w:val="009B1B44"/>
    <w:rsid w:val="009B2A18"/>
    <w:rsid w:val="009B2BC5"/>
    <w:rsid w:val="009B322B"/>
    <w:rsid w:val="009B322C"/>
    <w:rsid w:val="009B4B0B"/>
    <w:rsid w:val="009B548C"/>
    <w:rsid w:val="009B6105"/>
    <w:rsid w:val="009B68CD"/>
    <w:rsid w:val="009B68D1"/>
    <w:rsid w:val="009B6C82"/>
    <w:rsid w:val="009B6FE1"/>
    <w:rsid w:val="009B77EB"/>
    <w:rsid w:val="009B7C74"/>
    <w:rsid w:val="009C01DF"/>
    <w:rsid w:val="009C10A8"/>
    <w:rsid w:val="009C16E3"/>
    <w:rsid w:val="009C1786"/>
    <w:rsid w:val="009C2C04"/>
    <w:rsid w:val="009C39C9"/>
    <w:rsid w:val="009C3E73"/>
    <w:rsid w:val="009C4AA2"/>
    <w:rsid w:val="009C4B93"/>
    <w:rsid w:val="009C5812"/>
    <w:rsid w:val="009C5AF9"/>
    <w:rsid w:val="009C5DA0"/>
    <w:rsid w:val="009C6ABA"/>
    <w:rsid w:val="009C6AD7"/>
    <w:rsid w:val="009C6B4A"/>
    <w:rsid w:val="009C6B73"/>
    <w:rsid w:val="009C784C"/>
    <w:rsid w:val="009C7856"/>
    <w:rsid w:val="009C7AAF"/>
    <w:rsid w:val="009C7C9B"/>
    <w:rsid w:val="009C7CCC"/>
    <w:rsid w:val="009C7DB8"/>
    <w:rsid w:val="009D00BF"/>
    <w:rsid w:val="009D03DE"/>
    <w:rsid w:val="009D0503"/>
    <w:rsid w:val="009D0624"/>
    <w:rsid w:val="009D0D01"/>
    <w:rsid w:val="009D0E64"/>
    <w:rsid w:val="009D1269"/>
    <w:rsid w:val="009D164E"/>
    <w:rsid w:val="009D1690"/>
    <w:rsid w:val="009D25D5"/>
    <w:rsid w:val="009D299A"/>
    <w:rsid w:val="009D2BAB"/>
    <w:rsid w:val="009D2E3B"/>
    <w:rsid w:val="009D2EA3"/>
    <w:rsid w:val="009D310C"/>
    <w:rsid w:val="009D383B"/>
    <w:rsid w:val="009D393C"/>
    <w:rsid w:val="009D3B11"/>
    <w:rsid w:val="009D3DA7"/>
    <w:rsid w:val="009D4298"/>
    <w:rsid w:val="009D570B"/>
    <w:rsid w:val="009D5A49"/>
    <w:rsid w:val="009D5C95"/>
    <w:rsid w:val="009D5FFD"/>
    <w:rsid w:val="009D6939"/>
    <w:rsid w:val="009D6EBE"/>
    <w:rsid w:val="009D7F5E"/>
    <w:rsid w:val="009E0287"/>
    <w:rsid w:val="009E069D"/>
    <w:rsid w:val="009E0758"/>
    <w:rsid w:val="009E1888"/>
    <w:rsid w:val="009E1CCC"/>
    <w:rsid w:val="009E230E"/>
    <w:rsid w:val="009E28B2"/>
    <w:rsid w:val="009E29EA"/>
    <w:rsid w:val="009E2F79"/>
    <w:rsid w:val="009E3B0B"/>
    <w:rsid w:val="009E46E7"/>
    <w:rsid w:val="009E47C0"/>
    <w:rsid w:val="009E4BC9"/>
    <w:rsid w:val="009E4CBD"/>
    <w:rsid w:val="009E5C52"/>
    <w:rsid w:val="009E5D9C"/>
    <w:rsid w:val="009E6A0C"/>
    <w:rsid w:val="009E6BCE"/>
    <w:rsid w:val="009E76BA"/>
    <w:rsid w:val="009F0838"/>
    <w:rsid w:val="009F09F8"/>
    <w:rsid w:val="009F0DEF"/>
    <w:rsid w:val="009F1098"/>
    <w:rsid w:val="009F1391"/>
    <w:rsid w:val="009F1DD1"/>
    <w:rsid w:val="009F1F57"/>
    <w:rsid w:val="009F2171"/>
    <w:rsid w:val="009F243B"/>
    <w:rsid w:val="009F2A71"/>
    <w:rsid w:val="009F2AA8"/>
    <w:rsid w:val="009F3349"/>
    <w:rsid w:val="009F3606"/>
    <w:rsid w:val="009F3CC7"/>
    <w:rsid w:val="009F462A"/>
    <w:rsid w:val="009F4C64"/>
    <w:rsid w:val="009F502F"/>
    <w:rsid w:val="009F60DE"/>
    <w:rsid w:val="009F62BB"/>
    <w:rsid w:val="009F6486"/>
    <w:rsid w:val="009F6C08"/>
    <w:rsid w:val="009F6D32"/>
    <w:rsid w:val="009F6DA4"/>
    <w:rsid w:val="009F6E33"/>
    <w:rsid w:val="009F73BD"/>
    <w:rsid w:val="009F7D68"/>
    <w:rsid w:val="00A00E40"/>
    <w:rsid w:val="00A00FB8"/>
    <w:rsid w:val="00A011A6"/>
    <w:rsid w:val="00A0132B"/>
    <w:rsid w:val="00A01B06"/>
    <w:rsid w:val="00A02B7B"/>
    <w:rsid w:val="00A03656"/>
    <w:rsid w:val="00A03ABA"/>
    <w:rsid w:val="00A03EA3"/>
    <w:rsid w:val="00A04033"/>
    <w:rsid w:val="00A05467"/>
    <w:rsid w:val="00A0611C"/>
    <w:rsid w:val="00A06E4C"/>
    <w:rsid w:val="00A06E4F"/>
    <w:rsid w:val="00A072D6"/>
    <w:rsid w:val="00A075FA"/>
    <w:rsid w:val="00A07C67"/>
    <w:rsid w:val="00A07E5D"/>
    <w:rsid w:val="00A07F99"/>
    <w:rsid w:val="00A100FA"/>
    <w:rsid w:val="00A10D83"/>
    <w:rsid w:val="00A12136"/>
    <w:rsid w:val="00A12182"/>
    <w:rsid w:val="00A124CA"/>
    <w:rsid w:val="00A1258F"/>
    <w:rsid w:val="00A1275B"/>
    <w:rsid w:val="00A13F14"/>
    <w:rsid w:val="00A14666"/>
    <w:rsid w:val="00A14DF6"/>
    <w:rsid w:val="00A155CB"/>
    <w:rsid w:val="00A15E62"/>
    <w:rsid w:val="00A1691F"/>
    <w:rsid w:val="00A1749B"/>
    <w:rsid w:val="00A17942"/>
    <w:rsid w:val="00A20085"/>
    <w:rsid w:val="00A201DE"/>
    <w:rsid w:val="00A21866"/>
    <w:rsid w:val="00A2196A"/>
    <w:rsid w:val="00A21CF9"/>
    <w:rsid w:val="00A22535"/>
    <w:rsid w:val="00A23935"/>
    <w:rsid w:val="00A23998"/>
    <w:rsid w:val="00A240E4"/>
    <w:rsid w:val="00A241ED"/>
    <w:rsid w:val="00A24973"/>
    <w:rsid w:val="00A24D32"/>
    <w:rsid w:val="00A24EAF"/>
    <w:rsid w:val="00A256C8"/>
    <w:rsid w:val="00A25D02"/>
    <w:rsid w:val="00A25F62"/>
    <w:rsid w:val="00A261DB"/>
    <w:rsid w:val="00A27CB5"/>
    <w:rsid w:val="00A308FE"/>
    <w:rsid w:val="00A30CDE"/>
    <w:rsid w:val="00A30DC5"/>
    <w:rsid w:val="00A311C3"/>
    <w:rsid w:val="00A31316"/>
    <w:rsid w:val="00A31C4A"/>
    <w:rsid w:val="00A31FA2"/>
    <w:rsid w:val="00A32A65"/>
    <w:rsid w:val="00A32C6A"/>
    <w:rsid w:val="00A338C3"/>
    <w:rsid w:val="00A33AEC"/>
    <w:rsid w:val="00A33BF8"/>
    <w:rsid w:val="00A34062"/>
    <w:rsid w:val="00A34978"/>
    <w:rsid w:val="00A361F4"/>
    <w:rsid w:val="00A36FE8"/>
    <w:rsid w:val="00A374B9"/>
    <w:rsid w:val="00A376FE"/>
    <w:rsid w:val="00A3778B"/>
    <w:rsid w:val="00A3788F"/>
    <w:rsid w:val="00A40397"/>
    <w:rsid w:val="00A40660"/>
    <w:rsid w:val="00A4086F"/>
    <w:rsid w:val="00A41835"/>
    <w:rsid w:val="00A425B1"/>
    <w:rsid w:val="00A425FD"/>
    <w:rsid w:val="00A429ED"/>
    <w:rsid w:val="00A42A1D"/>
    <w:rsid w:val="00A43155"/>
    <w:rsid w:val="00A43D77"/>
    <w:rsid w:val="00A43DB4"/>
    <w:rsid w:val="00A43F4A"/>
    <w:rsid w:val="00A443F1"/>
    <w:rsid w:val="00A4510E"/>
    <w:rsid w:val="00A45E1A"/>
    <w:rsid w:val="00A46016"/>
    <w:rsid w:val="00A4601E"/>
    <w:rsid w:val="00A4645D"/>
    <w:rsid w:val="00A46506"/>
    <w:rsid w:val="00A46B72"/>
    <w:rsid w:val="00A46EC6"/>
    <w:rsid w:val="00A46F70"/>
    <w:rsid w:val="00A4703A"/>
    <w:rsid w:val="00A47AA3"/>
    <w:rsid w:val="00A50080"/>
    <w:rsid w:val="00A50E79"/>
    <w:rsid w:val="00A5196C"/>
    <w:rsid w:val="00A51DEB"/>
    <w:rsid w:val="00A520AF"/>
    <w:rsid w:val="00A52121"/>
    <w:rsid w:val="00A52A3B"/>
    <w:rsid w:val="00A52BCA"/>
    <w:rsid w:val="00A52CB4"/>
    <w:rsid w:val="00A5414F"/>
    <w:rsid w:val="00A546BE"/>
    <w:rsid w:val="00A5475E"/>
    <w:rsid w:val="00A54FEB"/>
    <w:rsid w:val="00A5530D"/>
    <w:rsid w:val="00A55E71"/>
    <w:rsid w:val="00A55F79"/>
    <w:rsid w:val="00A56612"/>
    <w:rsid w:val="00A579C4"/>
    <w:rsid w:val="00A579FA"/>
    <w:rsid w:val="00A57EF8"/>
    <w:rsid w:val="00A6032C"/>
    <w:rsid w:val="00A604D4"/>
    <w:rsid w:val="00A60D3D"/>
    <w:rsid w:val="00A60F5C"/>
    <w:rsid w:val="00A61EE1"/>
    <w:rsid w:val="00A61FA2"/>
    <w:rsid w:val="00A629C0"/>
    <w:rsid w:val="00A62D8A"/>
    <w:rsid w:val="00A62F32"/>
    <w:rsid w:val="00A633DE"/>
    <w:rsid w:val="00A63487"/>
    <w:rsid w:val="00A63965"/>
    <w:rsid w:val="00A639AF"/>
    <w:rsid w:val="00A63A79"/>
    <w:rsid w:val="00A63BA9"/>
    <w:rsid w:val="00A63E47"/>
    <w:rsid w:val="00A643BD"/>
    <w:rsid w:val="00A643DF"/>
    <w:rsid w:val="00A6470C"/>
    <w:rsid w:val="00A64B1E"/>
    <w:rsid w:val="00A64E6F"/>
    <w:rsid w:val="00A64EB5"/>
    <w:rsid w:val="00A653E0"/>
    <w:rsid w:val="00A65FAF"/>
    <w:rsid w:val="00A6649E"/>
    <w:rsid w:val="00A66654"/>
    <w:rsid w:val="00A66B17"/>
    <w:rsid w:val="00A66E91"/>
    <w:rsid w:val="00A67189"/>
    <w:rsid w:val="00A672A0"/>
    <w:rsid w:val="00A67811"/>
    <w:rsid w:val="00A6788A"/>
    <w:rsid w:val="00A6798A"/>
    <w:rsid w:val="00A70130"/>
    <w:rsid w:val="00A70142"/>
    <w:rsid w:val="00A7029A"/>
    <w:rsid w:val="00A7051F"/>
    <w:rsid w:val="00A71476"/>
    <w:rsid w:val="00A71758"/>
    <w:rsid w:val="00A71AD1"/>
    <w:rsid w:val="00A71BF6"/>
    <w:rsid w:val="00A71C84"/>
    <w:rsid w:val="00A720E7"/>
    <w:rsid w:val="00A72621"/>
    <w:rsid w:val="00A726BE"/>
    <w:rsid w:val="00A728D3"/>
    <w:rsid w:val="00A731CF"/>
    <w:rsid w:val="00A732AC"/>
    <w:rsid w:val="00A73526"/>
    <w:rsid w:val="00A73F9B"/>
    <w:rsid w:val="00A7442C"/>
    <w:rsid w:val="00A74804"/>
    <w:rsid w:val="00A765AA"/>
    <w:rsid w:val="00A76681"/>
    <w:rsid w:val="00A77BAC"/>
    <w:rsid w:val="00A77FF6"/>
    <w:rsid w:val="00A802C7"/>
    <w:rsid w:val="00A81A8B"/>
    <w:rsid w:val="00A8362A"/>
    <w:rsid w:val="00A83D52"/>
    <w:rsid w:val="00A848D7"/>
    <w:rsid w:val="00A8508C"/>
    <w:rsid w:val="00A85D8C"/>
    <w:rsid w:val="00A85F2F"/>
    <w:rsid w:val="00A86122"/>
    <w:rsid w:val="00A87701"/>
    <w:rsid w:val="00A87C1A"/>
    <w:rsid w:val="00A90B55"/>
    <w:rsid w:val="00A91502"/>
    <w:rsid w:val="00A92579"/>
    <w:rsid w:val="00A92747"/>
    <w:rsid w:val="00A92DD8"/>
    <w:rsid w:val="00A92F8D"/>
    <w:rsid w:val="00A93122"/>
    <w:rsid w:val="00A93B3C"/>
    <w:rsid w:val="00A94381"/>
    <w:rsid w:val="00A94BB8"/>
    <w:rsid w:val="00A94E2C"/>
    <w:rsid w:val="00A953DB"/>
    <w:rsid w:val="00A95F33"/>
    <w:rsid w:val="00A96264"/>
    <w:rsid w:val="00A96FB5"/>
    <w:rsid w:val="00A972AC"/>
    <w:rsid w:val="00AA0328"/>
    <w:rsid w:val="00AA0DC9"/>
    <w:rsid w:val="00AA0E33"/>
    <w:rsid w:val="00AA11F9"/>
    <w:rsid w:val="00AA19C7"/>
    <w:rsid w:val="00AA2150"/>
    <w:rsid w:val="00AA2252"/>
    <w:rsid w:val="00AA2424"/>
    <w:rsid w:val="00AA2503"/>
    <w:rsid w:val="00AA2CC4"/>
    <w:rsid w:val="00AA2D0B"/>
    <w:rsid w:val="00AA30D4"/>
    <w:rsid w:val="00AA328F"/>
    <w:rsid w:val="00AA36C6"/>
    <w:rsid w:val="00AA3740"/>
    <w:rsid w:val="00AA38F7"/>
    <w:rsid w:val="00AA4697"/>
    <w:rsid w:val="00AA4A52"/>
    <w:rsid w:val="00AA4EF9"/>
    <w:rsid w:val="00AA5770"/>
    <w:rsid w:val="00AA58E7"/>
    <w:rsid w:val="00AA5D16"/>
    <w:rsid w:val="00AA5E87"/>
    <w:rsid w:val="00AA5F70"/>
    <w:rsid w:val="00AA5FB3"/>
    <w:rsid w:val="00AA641F"/>
    <w:rsid w:val="00AA71CB"/>
    <w:rsid w:val="00AA78B2"/>
    <w:rsid w:val="00AA7E1E"/>
    <w:rsid w:val="00AB0202"/>
    <w:rsid w:val="00AB0536"/>
    <w:rsid w:val="00AB0861"/>
    <w:rsid w:val="00AB0BBB"/>
    <w:rsid w:val="00AB2664"/>
    <w:rsid w:val="00AB2697"/>
    <w:rsid w:val="00AB2B25"/>
    <w:rsid w:val="00AB34AF"/>
    <w:rsid w:val="00AB34F8"/>
    <w:rsid w:val="00AB3B25"/>
    <w:rsid w:val="00AB3CE2"/>
    <w:rsid w:val="00AB3D99"/>
    <w:rsid w:val="00AB3F5A"/>
    <w:rsid w:val="00AB4327"/>
    <w:rsid w:val="00AB47B2"/>
    <w:rsid w:val="00AB4C54"/>
    <w:rsid w:val="00AB5283"/>
    <w:rsid w:val="00AB5395"/>
    <w:rsid w:val="00AB5910"/>
    <w:rsid w:val="00AB5B0E"/>
    <w:rsid w:val="00AB5ECD"/>
    <w:rsid w:val="00AB6750"/>
    <w:rsid w:val="00AB7358"/>
    <w:rsid w:val="00AB7726"/>
    <w:rsid w:val="00AB7BAA"/>
    <w:rsid w:val="00AB7DA0"/>
    <w:rsid w:val="00AC0D59"/>
    <w:rsid w:val="00AC100F"/>
    <w:rsid w:val="00AC1341"/>
    <w:rsid w:val="00AC1350"/>
    <w:rsid w:val="00AC1C3E"/>
    <w:rsid w:val="00AC209C"/>
    <w:rsid w:val="00AC21B4"/>
    <w:rsid w:val="00AC25DF"/>
    <w:rsid w:val="00AC2960"/>
    <w:rsid w:val="00AC2C23"/>
    <w:rsid w:val="00AC2DCD"/>
    <w:rsid w:val="00AC3081"/>
    <w:rsid w:val="00AC37DA"/>
    <w:rsid w:val="00AC3930"/>
    <w:rsid w:val="00AC3E4F"/>
    <w:rsid w:val="00AC4176"/>
    <w:rsid w:val="00AC5011"/>
    <w:rsid w:val="00AC54F6"/>
    <w:rsid w:val="00AC5955"/>
    <w:rsid w:val="00AC61F1"/>
    <w:rsid w:val="00AC6EAE"/>
    <w:rsid w:val="00AC6F85"/>
    <w:rsid w:val="00AC7174"/>
    <w:rsid w:val="00AC722A"/>
    <w:rsid w:val="00AC7404"/>
    <w:rsid w:val="00AC757C"/>
    <w:rsid w:val="00AC795F"/>
    <w:rsid w:val="00AD042D"/>
    <w:rsid w:val="00AD0552"/>
    <w:rsid w:val="00AD11B6"/>
    <w:rsid w:val="00AD1F6A"/>
    <w:rsid w:val="00AD2038"/>
    <w:rsid w:val="00AD4EBD"/>
    <w:rsid w:val="00AD5B19"/>
    <w:rsid w:val="00AD64CA"/>
    <w:rsid w:val="00AD677D"/>
    <w:rsid w:val="00AD6ABD"/>
    <w:rsid w:val="00AD6CE3"/>
    <w:rsid w:val="00AD7496"/>
    <w:rsid w:val="00AD7C74"/>
    <w:rsid w:val="00AE0458"/>
    <w:rsid w:val="00AE2103"/>
    <w:rsid w:val="00AE2108"/>
    <w:rsid w:val="00AE291F"/>
    <w:rsid w:val="00AE37B1"/>
    <w:rsid w:val="00AE3AFF"/>
    <w:rsid w:val="00AE3D16"/>
    <w:rsid w:val="00AE42AA"/>
    <w:rsid w:val="00AE4D9A"/>
    <w:rsid w:val="00AE512E"/>
    <w:rsid w:val="00AE5379"/>
    <w:rsid w:val="00AE551E"/>
    <w:rsid w:val="00AE55D7"/>
    <w:rsid w:val="00AE56E7"/>
    <w:rsid w:val="00AE5740"/>
    <w:rsid w:val="00AE7409"/>
    <w:rsid w:val="00AE7FB5"/>
    <w:rsid w:val="00AF1198"/>
    <w:rsid w:val="00AF2769"/>
    <w:rsid w:val="00AF2D2B"/>
    <w:rsid w:val="00AF397D"/>
    <w:rsid w:val="00AF3BC3"/>
    <w:rsid w:val="00AF4411"/>
    <w:rsid w:val="00AF4A23"/>
    <w:rsid w:val="00AF5817"/>
    <w:rsid w:val="00AF5DD2"/>
    <w:rsid w:val="00AF6D75"/>
    <w:rsid w:val="00AF71B8"/>
    <w:rsid w:val="00AF7239"/>
    <w:rsid w:val="00AF7B2D"/>
    <w:rsid w:val="00B00370"/>
    <w:rsid w:val="00B00546"/>
    <w:rsid w:val="00B00C8D"/>
    <w:rsid w:val="00B02094"/>
    <w:rsid w:val="00B02E68"/>
    <w:rsid w:val="00B035CE"/>
    <w:rsid w:val="00B03F11"/>
    <w:rsid w:val="00B04040"/>
    <w:rsid w:val="00B0436C"/>
    <w:rsid w:val="00B04BA1"/>
    <w:rsid w:val="00B05DEE"/>
    <w:rsid w:val="00B06097"/>
    <w:rsid w:val="00B071E7"/>
    <w:rsid w:val="00B0789C"/>
    <w:rsid w:val="00B07A93"/>
    <w:rsid w:val="00B07CAA"/>
    <w:rsid w:val="00B101ED"/>
    <w:rsid w:val="00B105BD"/>
    <w:rsid w:val="00B10899"/>
    <w:rsid w:val="00B1109F"/>
    <w:rsid w:val="00B11AAB"/>
    <w:rsid w:val="00B1285B"/>
    <w:rsid w:val="00B12864"/>
    <w:rsid w:val="00B138FE"/>
    <w:rsid w:val="00B13AB7"/>
    <w:rsid w:val="00B13F61"/>
    <w:rsid w:val="00B14E93"/>
    <w:rsid w:val="00B15E9E"/>
    <w:rsid w:val="00B16014"/>
    <w:rsid w:val="00B16084"/>
    <w:rsid w:val="00B16A0E"/>
    <w:rsid w:val="00B1774B"/>
    <w:rsid w:val="00B17779"/>
    <w:rsid w:val="00B17CAA"/>
    <w:rsid w:val="00B17D74"/>
    <w:rsid w:val="00B20062"/>
    <w:rsid w:val="00B20E9B"/>
    <w:rsid w:val="00B21B24"/>
    <w:rsid w:val="00B21F21"/>
    <w:rsid w:val="00B21F25"/>
    <w:rsid w:val="00B22487"/>
    <w:rsid w:val="00B23292"/>
    <w:rsid w:val="00B2341D"/>
    <w:rsid w:val="00B239A0"/>
    <w:rsid w:val="00B23F4A"/>
    <w:rsid w:val="00B24387"/>
    <w:rsid w:val="00B243FC"/>
    <w:rsid w:val="00B245AC"/>
    <w:rsid w:val="00B24705"/>
    <w:rsid w:val="00B253EB"/>
    <w:rsid w:val="00B25499"/>
    <w:rsid w:val="00B25DE0"/>
    <w:rsid w:val="00B262AF"/>
    <w:rsid w:val="00B2672E"/>
    <w:rsid w:val="00B2699A"/>
    <w:rsid w:val="00B273B2"/>
    <w:rsid w:val="00B30714"/>
    <w:rsid w:val="00B3168A"/>
    <w:rsid w:val="00B31A6D"/>
    <w:rsid w:val="00B31FED"/>
    <w:rsid w:val="00B32671"/>
    <w:rsid w:val="00B32F2D"/>
    <w:rsid w:val="00B33341"/>
    <w:rsid w:val="00B33BBC"/>
    <w:rsid w:val="00B33BBD"/>
    <w:rsid w:val="00B3442D"/>
    <w:rsid w:val="00B34908"/>
    <w:rsid w:val="00B34AC9"/>
    <w:rsid w:val="00B34EDE"/>
    <w:rsid w:val="00B35125"/>
    <w:rsid w:val="00B3513D"/>
    <w:rsid w:val="00B3543A"/>
    <w:rsid w:val="00B356A2"/>
    <w:rsid w:val="00B36260"/>
    <w:rsid w:val="00B37F11"/>
    <w:rsid w:val="00B37F20"/>
    <w:rsid w:val="00B411FA"/>
    <w:rsid w:val="00B412A0"/>
    <w:rsid w:val="00B41962"/>
    <w:rsid w:val="00B41ADE"/>
    <w:rsid w:val="00B41EBC"/>
    <w:rsid w:val="00B41F7A"/>
    <w:rsid w:val="00B42359"/>
    <w:rsid w:val="00B42576"/>
    <w:rsid w:val="00B42DFD"/>
    <w:rsid w:val="00B42EF4"/>
    <w:rsid w:val="00B434FC"/>
    <w:rsid w:val="00B43B21"/>
    <w:rsid w:val="00B43F89"/>
    <w:rsid w:val="00B44C77"/>
    <w:rsid w:val="00B450C5"/>
    <w:rsid w:val="00B45653"/>
    <w:rsid w:val="00B45832"/>
    <w:rsid w:val="00B45AD4"/>
    <w:rsid w:val="00B46059"/>
    <w:rsid w:val="00B466B7"/>
    <w:rsid w:val="00B46751"/>
    <w:rsid w:val="00B46A89"/>
    <w:rsid w:val="00B478CF"/>
    <w:rsid w:val="00B47E61"/>
    <w:rsid w:val="00B50819"/>
    <w:rsid w:val="00B50E29"/>
    <w:rsid w:val="00B50E72"/>
    <w:rsid w:val="00B5180D"/>
    <w:rsid w:val="00B51975"/>
    <w:rsid w:val="00B51D82"/>
    <w:rsid w:val="00B5218F"/>
    <w:rsid w:val="00B524C4"/>
    <w:rsid w:val="00B52BB0"/>
    <w:rsid w:val="00B5362B"/>
    <w:rsid w:val="00B53C92"/>
    <w:rsid w:val="00B53E19"/>
    <w:rsid w:val="00B53FCF"/>
    <w:rsid w:val="00B547C6"/>
    <w:rsid w:val="00B54912"/>
    <w:rsid w:val="00B5518F"/>
    <w:rsid w:val="00B5551D"/>
    <w:rsid w:val="00B55691"/>
    <w:rsid w:val="00B557D7"/>
    <w:rsid w:val="00B55CA6"/>
    <w:rsid w:val="00B55F70"/>
    <w:rsid w:val="00B56304"/>
    <w:rsid w:val="00B602F9"/>
    <w:rsid w:val="00B60A9A"/>
    <w:rsid w:val="00B61012"/>
    <w:rsid w:val="00B61B1F"/>
    <w:rsid w:val="00B61BAC"/>
    <w:rsid w:val="00B62020"/>
    <w:rsid w:val="00B621BF"/>
    <w:rsid w:val="00B624AF"/>
    <w:rsid w:val="00B625DA"/>
    <w:rsid w:val="00B6275E"/>
    <w:rsid w:val="00B63259"/>
    <w:rsid w:val="00B63550"/>
    <w:rsid w:val="00B63C50"/>
    <w:rsid w:val="00B6434B"/>
    <w:rsid w:val="00B648CB"/>
    <w:rsid w:val="00B66333"/>
    <w:rsid w:val="00B66E7B"/>
    <w:rsid w:val="00B70EC6"/>
    <w:rsid w:val="00B71968"/>
    <w:rsid w:val="00B71A1F"/>
    <w:rsid w:val="00B71AA7"/>
    <w:rsid w:val="00B71ED7"/>
    <w:rsid w:val="00B722CB"/>
    <w:rsid w:val="00B731AF"/>
    <w:rsid w:val="00B7341A"/>
    <w:rsid w:val="00B73597"/>
    <w:rsid w:val="00B7368D"/>
    <w:rsid w:val="00B73D74"/>
    <w:rsid w:val="00B73EDD"/>
    <w:rsid w:val="00B73F99"/>
    <w:rsid w:val="00B74011"/>
    <w:rsid w:val="00B74A29"/>
    <w:rsid w:val="00B74ABA"/>
    <w:rsid w:val="00B75119"/>
    <w:rsid w:val="00B75574"/>
    <w:rsid w:val="00B75FA5"/>
    <w:rsid w:val="00B76C05"/>
    <w:rsid w:val="00B76C55"/>
    <w:rsid w:val="00B76DBE"/>
    <w:rsid w:val="00B77141"/>
    <w:rsid w:val="00B77A28"/>
    <w:rsid w:val="00B8099F"/>
    <w:rsid w:val="00B80FC2"/>
    <w:rsid w:val="00B81145"/>
    <w:rsid w:val="00B81DDE"/>
    <w:rsid w:val="00B823FC"/>
    <w:rsid w:val="00B82439"/>
    <w:rsid w:val="00B83980"/>
    <w:rsid w:val="00B85894"/>
    <w:rsid w:val="00B85B3A"/>
    <w:rsid w:val="00B860D9"/>
    <w:rsid w:val="00B863DF"/>
    <w:rsid w:val="00B877A1"/>
    <w:rsid w:val="00B877D8"/>
    <w:rsid w:val="00B9055D"/>
    <w:rsid w:val="00B90C4F"/>
    <w:rsid w:val="00B90F1F"/>
    <w:rsid w:val="00B91183"/>
    <w:rsid w:val="00B91815"/>
    <w:rsid w:val="00B92768"/>
    <w:rsid w:val="00B9365D"/>
    <w:rsid w:val="00B93710"/>
    <w:rsid w:val="00B93C30"/>
    <w:rsid w:val="00B93D5E"/>
    <w:rsid w:val="00B94811"/>
    <w:rsid w:val="00B94902"/>
    <w:rsid w:val="00B94B0F"/>
    <w:rsid w:val="00B94D64"/>
    <w:rsid w:val="00B953D1"/>
    <w:rsid w:val="00B9569E"/>
    <w:rsid w:val="00B9626A"/>
    <w:rsid w:val="00B96806"/>
    <w:rsid w:val="00B97225"/>
    <w:rsid w:val="00BA044C"/>
    <w:rsid w:val="00BA046D"/>
    <w:rsid w:val="00BA05FB"/>
    <w:rsid w:val="00BA1432"/>
    <w:rsid w:val="00BA2618"/>
    <w:rsid w:val="00BA2BB4"/>
    <w:rsid w:val="00BA2CE4"/>
    <w:rsid w:val="00BA2DCC"/>
    <w:rsid w:val="00BA3769"/>
    <w:rsid w:val="00BA3A1F"/>
    <w:rsid w:val="00BA3D91"/>
    <w:rsid w:val="00BA4385"/>
    <w:rsid w:val="00BA52B3"/>
    <w:rsid w:val="00BA5921"/>
    <w:rsid w:val="00BA61F2"/>
    <w:rsid w:val="00BA712D"/>
    <w:rsid w:val="00BA7450"/>
    <w:rsid w:val="00BA7A24"/>
    <w:rsid w:val="00BA7AE7"/>
    <w:rsid w:val="00BB0317"/>
    <w:rsid w:val="00BB05D2"/>
    <w:rsid w:val="00BB0CAD"/>
    <w:rsid w:val="00BB1FCD"/>
    <w:rsid w:val="00BB338C"/>
    <w:rsid w:val="00BB3661"/>
    <w:rsid w:val="00BB369B"/>
    <w:rsid w:val="00BB3A22"/>
    <w:rsid w:val="00BB3D40"/>
    <w:rsid w:val="00BB3D81"/>
    <w:rsid w:val="00BB3F89"/>
    <w:rsid w:val="00BB455B"/>
    <w:rsid w:val="00BB4665"/>
    <w:rsid w:val="00BB481B"/>
    <w:rsid w:val="00BB55AF"/>
    <w:rsid w:val="00BB5A66"/>
    <w:rsid w:val="00BB619F"/>
    <w:rsid w:val="00BB70D7"/>
    <w:rsid w:val="00BB750E"/>
    <w:rsid w:val="00BB7C88"/>
    <w:rsid w:val="00BC096D"/>
    <w:rsid w:val="00BC098D"/>
    <w:rsid w:val="00BC0CA3"/>
    <w:rsid w:val="00BC11E0"/>
    <w:rsid w:val="00BC18B9"/>
    <w:rsid w:val="00BC1F94"/>
    <w:rsid w:val="00BC25B6"/>
    <w:rsid w:val="00BC3BD6"/>
    <w:rsid w:val="00BC3CD3"/>
    <w:rsid w:val="00BC3E9C"/>
    <w:rsid w:val="00BC3EDC"/>
    <w:rsid w:val="00BC448A"/>
    <w:rsid w:val="00BC48C4"/>
    <w:rsid w:val="00BC4BD6"/>
    <w:rsid w:val="00BC5958"/>
    <w:rsid w:val="00BC5C0F"/>
    <w:rsid w:val="00BC62C6"/>
    <w:rsid w:val="00BC6598"/>
    <w:rsid w:val="00BC6836"/>
    <w:rsid w:val="00BC69DD"/>
    <w:rsid w:val="00BC6C33"/>
    <w:rsid w:val="00BC7A6E"/>
    <w:rsid w:val="00BC7DBD"/>
    <w:rsid w:val="00BD0436"/>
    <w:rsid w:val="00BD085C"/>
    <w:rsid w:val="00BD0E95"/>
    <w:rsid w:val="00BD15EC"/>
    <w:rsid w:val="00BD173E"/>
    <w:rsid w:val="00BD2CD6"/>
    <w:rsid w:val="00BD2DA2"/>
    <w:rsid w:val="00BD38BD"/>
    <w:rsid w:val="00BD3B9A"/>
    <w:rsid w:val="00BD406F"/>
    <w:rsid w:val="00BD4266"/>
    <w:rsid w:val="00BD48D0"/>
    <w:rsid w:val="00BD5F02"/>
    <w:rsid w:val="00BD6B0F"/>
    <w:rsid w:val="00BD6C5F"/>
    <w:rsid w:val="00BD74E7"/>
    <w:rsid w:val="00BD7A53"/>
    <w:rsid w:val="00BD7F00"/>
    <w:rsid w:val="00BE01DE"/>
    <w:rsid w:val="00BE0E32"/>
    <w:rsid w:val="00BE108D"/>
    <w:rsid w:val="00BE116B"/>
    <w:rsid w:val="00BE17EA"/>
    <w:rsid w:val="00BE1A5C"/>
    <w:rsid w:val="00BE23E3"/>
    <w:rsid w:val="00BE2871"/>
    <w:rsid w:val="00BE296F"/>
    <w:rsid w:val="00BE2D1C"/>
    <w:rsid w:val="00BE2FC0"/>
    <w:rsid w:val="00BE316B"/>
    <w:rsid w:val="00BE34FD"/>
    <w:rsid w:val="00BE3850"/>
    <w:rsid w:val="00BE3EAB"/>
    <w:rsid w:val="00BE4B3B"/>
    <w:rsid w:val="00BE573D"/>
    <w:rsid w:val="00BE5E22"/>
    <w:rsid w:val="00BE5FDF"/>
    <w:rsid w:val="00BE6527"/>
    <w:rsid w:val="00BE65B6"/>
    <w:rsid w:val="00BE6CD4"/>
    <w:rsid w:val="00BE7BC0"/>
    <w:rsid w:val="00BF0872"/>
    <w:rsid w:val="00BF0936"/>
    <w:rsid w:val="00BF0FE9"/>
    <w:rsid w:val="00BF1152"/>
    <w:rsid w:val="00BF15B8"/>
    <w:rsid w:val="00BF1949"/>
    <w:rsid w:val="00BF1C81"/>
    <w:rsid w:val="00BF2119"/>
    <w:rsid w:val="00BF29FA"/>
    <w:rsid w:val="00BF30C9"/>
    <w:rsid w:val="00BF31D8"/>
    <w:rsid w:val="00BF33EA"/>
    <w:rsid w:val="00BF37CE"/>
    <w:rsid w:val="00BF3FCE"/>
    <w:rsid w:val="00BF4DFA"/>
    <w:rsid w:val="00BF53BD"/>
    <w:rsid w:val="00BF601A"/>
    <w:rsid w:val="00BF66A6"/>
    <w:rsid w:val="00BF72D6"/>
    <w:rsid w:val="00BF74F8"/>
    <w:rsid w:val="00BF75FE"/>
    <w:rsid w:val="00BF79A7"/>
    <w:rsid w:val="00C008E8"/>
    <w:rsid w:val="00C0163E"/>
    <w:rsid w:val="00C01652"/>
    <w:rsid w:val="00C01EF3"/>
    <w:rsid w:val="00C028FD"/>
    <w:rsid w:val="00C03272"/>
    <w:rsid w:val="00C034D3"/>
    <w:rsid w:val="00C038A8"/>
    <w:rsid w:val="00C0394A"/>
    <w:rsid w:val="00C03D8D"/>
    <w:rsid w:val="00C0429B"/>
    <w:rsid w:val="00C046EB"/>
    <w:rsid w:val="00C04A3B"/>
    <w:rsid w:val="00C04C14"/>
    <w:rsid w:val="00C05453"/>
    <w:rsid w:val="00C057A5"/>
    <w:rsid w:val="00C05949"/>
    <w:rsid w:val="00C059E4"/>
    <w:rsid w:val="00C05CCF"/>
    <w:rsid w:val="00C05DB2"/>
    <w:rsid w:val="00C05F2B"/>
    <w:rsid w:val="00C06521"/>
    <w:rsid w:val="00C06640"/>
    <w:rsid w:val="00C06931"/>
    <w:rsid w:val="00C06AE1"/>
    <w:rsid w:val="00C075F3"/>
    <w:rsid w:val="00C07603"/>
    <w:rsid w:val="00C07B98"/>
    <w:rsid w:val="00C100B1"/>
    <w:rsid w:val="00C10AD5"/>
    <w:rsid w:val="00C12AE5"/>
    <w:rsid w:val="00C13509"/>
    <w:rsid w:val="00C13576"/>
    <w:rsid w:val="00C13F56"/>
    <w:rsid w:val="00C15445"/>
    <w:rsid w:val="00C15BBD"/>
    <w:rsid w:val="00C15E21"/>
    <w:rsid w:val="00C15E85"/>
    <w:rsid w:val="00C16577"/>
    <w:rsid w:val="00C16648"/>
    <w:rsid w:val="00C16D9B"/>
    <w:rsid w:val="00C2035B"/>
    <w:rsid w:val="00C207EC"/>
    <w:rsid w:val="00C2096C"/>
    <w:rsid w:val="00C21629"/>
    <w:rsid w:val="00C218F9"/>
    <w:rsid w:val="00C21DB9"/>
    <w:rsid w:val="00C22D03"/>
    <w:rsid w:val="00C22ECD"/>
    <w:rsid w:val="00C2526D"/>
    <w:rsid w:val="00C25389"/>
    <w:rsid w:val="00C25F91"/>
    <w:rsid w:val="00C26432"/>
    <w:rsid w:val="00C27C60"/>
    <w:rsid w:val="00C31063"/>
    <w:rsid w:val="00C31F5F"/>
    <w:rsid w:val="00C32053"/>
    <w:rsid w:val="00C32237"/>
    <w:rsid w:val="00C32361"/>
    <w:rsid w:val="00C325AB"/>
    <w:rsid w:val="00C33927"/>
    <w:rsid w:val="00C34693"/>
    <w:rsid w:val="00C34A00"/>
    <w:rsid w:val="00C34E67"/>
    <w:rsid w:val="00C350A2"/>
    <w:rsid w:val="00C353FB"/>
    <w:rsid w:val="00C35466"/>
    <w:rsid w:val="00C35DEB"/>
    <w:rsid w:val="00C362EE"/>
    <w:rsid w:val="00C362EF"/>
    <w:rsid w:val="00C36491"/>
    <w:rsid w:val="00C36949"/>
    <w:rsid w:val="00C37724"/>
    <w:rsid w:val="00C3789E"/>
    <w:rsid w:val="00C379E1"/>
    <w:rsid w:val="00C401C4"/>
    <w:rsid w:val="00C4049B"/>
    <w:rsid w:val="00C4056F"/>
    <w:rsid w:val="00C405F6"/>
    <w:rsid w:val="00C40820"/>
    <w:rsid w:val="00C41563"/>
    <w:rsid w:val="00C41815"/>
    <w:rsid w:val="00C42190"/>
    <w:rsid w:val="00C4259A"/>
    <w:rsid w:val="00C43735"/>
    <w:rsid w:val="00C43B71"/>
    <w:rsid w:val="00C4498C"/>
    <w:rsid w:val="00C4499D"/>
    <w:rsid w:val="00C44E65"/>
    <w:rsid w:val="00C4500E"/>
    <w:rsid w:val="00C45400"/>
    <w:rsid w:val="00C454B6"/>
    <w:rsid w:val="00C45E4B"/>
    <w:rsid w:val="00C45EDA"/>
    <w:rsid w:val="00C461D4"/>
    <w:rsid w:val="00C46BC5"/>
    <w:rsid w:val="00C47B00"/>
    <w:rsid w:val="00C50E74"/>
    <w:rsid w:val="00C51172"/>
    <w:rsid w:val="00C512FB"/>
    <w:rsid w:val="00C51B07"/>
    <w:rsid w:val="00C51C28"/>
    <w:rsid w:val="00C51FD2"/>
    <w:rsid w:val="00C52042"/>
    <w:rsid w:val="00C522C9"/>
    <w:rsid w:val="00C52A65"/>
    <w:rsid w:val="00C53228"/>
    <w:rsid w:val="00C5347E"/>
    <w:rsid w:val="00C53EB0"/>
    <w:rsid w:val="00C54120"/>
    <w:rsid w:val="00C55518"/>
    <w:rsid w:val="00C55D07"/>
    <w:rsid w:val="00C56263"/>
    <w:rsid w:val="00C5662F"/>
    <w:rsid w:val="00C5673C"/>
    <w:rsid w:val="00C56A4B"/>
    <w:rsid w:val="00C56CFA"/>
    <w:rsid w:val="00C56E28"/>
    <w:rsid w:val="00C56FC0"/>
    <w:rsid w:val="00C57052"/>
    <w:rsid w:val="00C572EE"/>
    <w:rsid w:val="00C57346"/>
    <w:rsid w:val="00C57A2D"/>
    <w:rsid w:val="00C57A82"/>
    <w:rsid w:val="00C601C4"/>
    <w:rsid w:val="00C613B4"/>
    <w:rsid w:val="00C61FDE"/>
    <w:rsid w:val="00C62B98"/>
    <w:rsid w:val="00C62F6A"/>
    <w:rsid w:val="00C6355F"/>
    <w:rsid w:val="00C64125"/>
    <w:rsid w:val="00C6472F"/>
    <w:rsid w:val="00C64F72"/>
    <w:rsid w:val="00C65737"/>
    <w:rsid w:val="00C65EDA"/>
    <w:rsid w:val="00C669CA"/>
    <w:rsid w:val="00C671A4"/>
    <w:rsid w:val="00C70470"/>
    <w:rsid w:val="00C704EC"/>
    <w:rsid w:val="00C7084D"/>
    <w:rsid w:val="00C70C99"/>
    <w:rsid w:val="00C71A53"/>
    <w:rsid w:val="00C71D17"/>
    <w:rsid w:val="00C7202A"/>
    <w:rsid w:val="00C721F7"/>
    <w:rsid w:val="00C72C68"/>
    <w:rsid w:val="00C72CB1"/>
    <w:rsid w:val="00C72D63"/>
    <w:rsid w:val="00C73082"/>
    <w:rsid w:val="00C73095"/>
    <w:rsid w:val="00C731EC"/>
    <w:rsid w:val="00C73E4E"/>
    <w:rsid w:val="00C74306"/>
    <w:rsid w:val="00C75A9C"/>
    <w:rsid w:val="00C75DB6"/>
    <w:rsid w:val="00C75FE9"/>
    <w:rsid w:val="00C7602B"/>
    <w:rsid w:val="00C7649F"/>
    <w:rsid w:val="00C76AFA"/>
    <w:rsid w:val="00C76EE2"/>
    <w:rsid w:val="00C770DE"/>
    <w:rsid w:val="00C77724"/>
    <w:rsid w:val="00C77AEF"/>
    <w:rsid w:val="00C77BCE"/>
    <w:rsid w:val="00C80047"/>
    <w:rsid w:val="00C8091B"/>
    <w:rsid w:val="00C81167"/>
    <w:rsid w:val="00C8187E"/>
    <w:rsid w:val="00C81DAF"/>
    <w:rsid w:val="00C825DE"/>
    <w:rsid w:val="00C82B44"/>
    <w:rsid w:val="00C82FE0"/>
    <w:rsid w:val="00C839E9"/>
    <w:rsid w:val="00C853C4"/>
    <w:rsid w:val="00C8541D"/>
    <w:rsid w:val="00C856B2"/>
    <w:rsid w:val="00C857F2"/>
    <w:rsid w:val="00C85832"/>
    <w:rsid w:val="00C859F4"/>
    <w:rsid w:val="00C86AEE"/>
    <w:rsid w:val="00C86D55"/>
    <w:rsid w:val="00C86F3E"/>
    <w:rsid w:val="00C87105"/>
    <w:rsid w:val="00C875B8"/>
    <w:rsid w:val="00C8764D"/>
    <w:rsid w:val="00C87EFE"/>
    <w:rsid w:val="00C9024B"/>
    <w:rsid w:val="00C907AD"/>
    <w:rsid w:val="00C9107B"/>
    <w:rsid w:val="00C91796"/>
    <w:rsid w:val="00C92926"/>
    <w:rsid w:val="00C92A06"/>
    <w:rsid w:val="00C93DB4"/>
    <w:rsid w:val="00C94079"/>
    <w:rsid w:val="00C940D5"/>
    <w:rsid w:val="00C9416E"/>
    <w:rsid w:val="00C9477E"/>
    <w:rsid w:val="00C947BC"/>
    <w:rsid w:val="00C95EB6"/>
    <w:rsid w:val="00C961FC"/>
    <w:rsid w:val="00C96C3A"/>
    <w:rsid w:val="00C97555"/>
    <w:rsid w:val="00CA058E"/>
    <w:rsid w:val="00CA0706"/>
    <w:rsid w:val="00CA0767"/>
    <w:rsid w:val="00CA08A3"/>
    <w:rsid w:val="00CA1300"/>
    <w:rsid w:val="00CA1318"/>
    <w:rsid w:val="00CA1751"/>
    <w:rsid w:val="00CA1B0D"/>
    <w:rsid w:val="00CA1CDA"/>
    <w:rsid w:val="00CA2CA8"/>
    <w:rsid w:val="00CA322A"/>
    <w:rsid w:val="00CA3D8B"/>
    <w:rsid w:val="00CA461D"/>
    <w:rsid w:val="00CA4B68"/>
    <w:rsid w:val="00CA525F"/>
    <w:rsid w:val="00CA58D6"/>
    <w:rsid w:val="00CA5A98"/>
    <w:rsid w:val="00CA5B2D"/>
    <w:rsid w:val="00CA6497"/>
    <w:rsid w:val="00CA6800"/>
    <w:rsid w:val="00CB03E2"/>
    <w:rsid w:val="00CB0DE5"/>
    <w:rsid w:val="00CB0E1F"/>
    <w:rsid w:val="00CB10A5"/>
    <w:rsid w:val="00CB1163"/>
    <w:rsid w:val="00CB2704"/>
    <w:rsid w:val="00CB2B7E"/>
    <w:rsid w:val="00CB3B1F"/>
    <w:rsid w:val="00CB464E"/>
    <w:rsid w:val="00CB51B0"/>
    <w:rsid w:val="00CB52C9"/>
    <w:rsid w:val="00CB5DF5"/>
    <w:rsid w:val="00CB63ED"/>
    <w:rsid w:val="00CB6E11"/>
    <w:rsid w:val="00CB6FB4"/>
    <w:rsid w:val="00CB731E"/>
    <w:rsid w:val="00CB7C5B"/>
    <w:rsid w:val="00CB7D53"/>
    <w:rsid w:val="00CB7EDB"/>
    <w:rsid w:val="00CC0032"/>
    <w:rsid w:val="00CC009F"/>
    <w:rsid w:val="00CC0237"/>
    <w:rsid w:val="00CC0285"/>
    <w:rsid w:val="00CC04B7"/>
    <w:rsid w:val="00CC059A"/>
    <w:rsid w:val="00CC0DAF"/>
    <w:rsid w:val="00CC1267"/>
    <w:rsid w:val="00CC128D"/>
    <w:rsid w:val="00CC1D1A"/>
    <w:rsid w:val="00CC2018"/>
    <w:rsid w:val="00CC3D83"/>
    <w:rsid w:val="00CC4536"/>
    <w:rsid w:val="00CC513C"/>
    <w:rsid w:val="00CC56AB"/>
    <w:rsid w:val="00CC5747"/>
    <w:rsid w:val="00CC5D84"/>
    <w:rsid w:val="00CC5E18"/>
    <w:rsid w:val="00CC64CF"/>
    <w:rsid w:val="00CC695C"/>
    <w:rsid w:val="00CC6C66"/>
    <w:rsid w:val="00CC748D"/>
    <w:rsid w:val="00CC76F7"/>
    <w:rsid w:val="00CD0185"/>
    <w:rsid w:val="00CD09DC"/>
    <w:rsid w:val="00CD0B8A"/>
    <w:rsid w:val="00CD12E3"/>
    <w:rsid w:val="00CD145D"/>
    <w:rsid w:val="00CD1854"/>
    <w:rsid w:val="00CD1A3F"/>
    <w:rsid w:val="00CD2169"/>
    <w:rsid w:val="00CD38AB"/>
    <w:rsid w:val="00CD3A6F"/>
    <w:rsid w:val="00CD3C05"/>
    <w:rsid w:val="00CD3E1A"/>
    <w:rsid w:val="00CD4158"/>
    <w:rsid w:val="00CD51B4"/>
    <w:rsid w:val="00CD51DD"/>
    <w:rsid w:val="00CD5E32"/>
    <w:rsid w:val="00CD5FA0"/>
    <w:rsid w:val="00CD6221"/>
    <w:rsid w:val="00CD6573"/>
    <w:rsid w:val="00CD6655"/>
    <w:rsid w:val="00CD6C6D"/>
    <w:rsid w:val="00CD73DA"/>
    <w:rsid w:val="00CD7C62"/>
    <w:rsid w:val="00CE04DA"/>
    <w:rsid w:val="00CE0FCB"/>
    <w:rsid w:val="00CE1624"/>
    <w:rsid w:val="00CE2569"/>
    <w:rsid w:val="00CE283D"/>
    <w:rsid w:val="00CE2B1D"/>
    <w:rsid w:val="00CE387C"/>
    <w:rsid w:val="00CE4559"/>
    <w:rsid w:val="00CE4839"/>
    <w:rsid w:val="00CE4D60"/>
    <w:rsid w:val="00CE5B86"/>
    <w:rsid w:val="00CE5C83"/>
    <w:rsid w:val="00CE68BB"/>
    <w:rsid w:val="00CE6C51"/>
    <w:rsid w:val="00CE6DFC"/>
    <w:rsid w:val="00CE6EFC"/>
    <w:rsid w:val="00CE7F01"/>
    <w:rsid w:val="00CF0129"/>
    <w:rsid w:val="00CF03AD"/>
    <w:rsid w:val="00CF05CD"/>
    <w:rsid w:val="00CF0934"/>
    <w:rsid w:val="00CF108E"/>
    <w:rsid w:val="00CF17D8"/>
    <w:rsid w:val="00CF185F"/>
    <w:rsid w:val="00CF27BD"/>
    <w:rsid w:val="00CF2955"/>
    <w:rsid w:val="00CF2AA3"/>
    <w:rsid w:val="00CF325A"/>
    <w:rsid w:val="00CF35F5"/>
    <w:rsid w:val="00CF3612"/>
    <w:rsid w:val="00CF42D5"/>
    <w:rsid w:val="00CF4927"/>
    <w:rsid w:val="00CF57D0"/>
    <w:rsid w:val="00CF5D23"/>
    <w:rsid w:val="00CF625C"/>
    <w:rsid w:val="00CF6422"/>
    <w:rsid w:val="00CF6545"/>
    <w:rsid w:val="00CF7AE0"/>
    <w:rsid w:val="00D000FE"/>
    <w:rsid w:val="00D003C1"/>
    <w:rsid w:val="00D004F2"/>
    <w:rsid w:val="00D008E9"/>
    <w:rsid w:val="00D014DA"/>
    <w:rsid w:val="00D027E7"/>
    <w:rsid w:val="00D02D2E"/>
    <w:rsid w:val="00D030A5"/>
    <w:rsid w:val="00D0334B"/>
    <w:rsid w:val="00D03399"/>
    <w:rsid w:val="00D03F33"/>
    <w:rsid w:val="00D04789"/>
    <w:rsid w:val="00D048A4"/>
    <w:rsid w:val="00D04D16"/>
    <w:rsid w:val="00D0634E"/>
    <w:rsid w:val="00D064EC"/>
    <w:rsid w:val="00D06A2F"/>
    <w:rsid w:val="00D06A5D"/>
    <w:rsid w:val="00D06EBA"/>
    <w:rsid w:val="00D06F12"/>
    <w:rsid w:val="00D07136"/>
    <w:rsid w:val="00D076F5"/>
    <w:rsid w:val="00D1008F"/>
    <w:rsid w:val="00D104F3"/>
    <w:rsid w:val="00D10534"/>
    <w:rsid w:val="00D10715"/>
    <w:rsid w:val="00D10D32"/>
    <w:rsid w:val="00D10EA9"/>
    <w:rsid w:val="00D11264"/>
    <w:rsid w:val="00D114BA"/>
    <w:rsid w:val="00D1151E"/>
    <w:rsid w:val="00D11944"/>
    <w:rsid w:val="00D11AEE"/>
    <w:rsid w:val="00D12714"/>
    <w:rsid w:val="00D1289D"/>
    <w:rsid w:val="00D12B92"/>
    <w:rsid w:val="00D12F48"/>
    <w:rsid w:val="00D13032"/>
    <w:rsid w:val="00D137D6"/>
    <w:rsid w:val="00D13911"/>
    <w:rsid w:val="00D13A14"/>
    <w:rsid w:val="00D13DA8"/>
    <w:rsid w:val="00D13F3C"/>
    <w:rsid w:val="00D14907"/>
    <w:rsid w:val="00D1504B"/>
    <w:rsid w:val="00D1588E"/>
    <w:rsid w:val="00D159DA"/>
    <w:rsid w:val="00D15D03"/>
    <w:rsid w:val="00D17DEC"/>
    <w:rsid w:val="00D20374"/>
    <w:rsid w:val="00D214E7"/>
    <w:rsid w:val="00D219E6"/>
    <w:rsid w:val="00D2234B"/>
    <w:rsid w:val="00D22CF9"/>
    <w:rsid w:val="00D237BB"/>
    <w:rsid w:val="00D23A4F"/>
    <w:rsid w:val="00D2443F"/>
    <w:rsid w:val="00D26673"/>
    <w:rsid w:val="00D26932"/>
    <w:rsid w:val="00D26B35"/>
    <w:rsid w:val="00D26D95"/>
    <w:rsid w:val="00D2799E"/>
    <w:rsid w:val="00D302C3"/>
    <w:rsid w:val="00D30516"/>
    <w:rsid w:val="00D30689"/>
    <w:rsid w:val="00D3076A"/>
    <w:rsid w:val="00D30893"/>
    <w:rsid w:val="00D309BB"/>
    <w:rsid w:val="00D309F8"/>
    <w:rsid w:val="00D30D24"/>
    <w:rsid w:val="00D31DC1"/>
    <w:rsid w:val="00D31F99"/>
    <w:rsid w:val="00D32BE7"/>
    <w:rsid w:val="00D33002"/>
    <w:rsid w:val="00D33769"/>
    <w:rsid w:val="00D339B0"/>
    <w:rsid w:val="00D33AE8"/>
    <w:rsid w:val="00D33EE9"/>
    <w:rsid w:val="00D3428B"/>
    <w:rsid w:val="00D3490B"/>
    <w:rsid w:val="00D34ADD"/>
    <w:rsid w:val="00D34E43"/>
    <w:rsid w:val="00D358B0"/>
    <w:rsid w:val="00D36D5E"/>
    <w:rsid w:val="00D3752C"/>
    <w:rsid w:val="00D37BB0"/>
    <w:rsid w:val="00D4011C"/>
    <w:rsid w:val="00D409C3"/>
    <w:rsid w:val="00D40EC0"/>
    <w:rsid w:val="00D411BA"/>
    <w:rsid w:val="00D412AC"/>
    <w:rsid w:val="00D41D38"/>
    <w:rsid w:val="00D41E26"/>
    <w:rsid w:val="00D42409"/>
    <w:rsid w:val="00D429AE"/>
    <w:rsid w:val="00D42AE8"/>
    <w:rsid w:val="00D432AD"/>
    <w:rsid w:val="00D43B91"/>
    <w:rsid w:val="00D446BC"/>
    <w:rsid w:val="00D44AAF"/>
    <w:rsid w:val="00D44E8F"/>
    <w:rsid w:val="00D44FEA"/>
    <w:rsid w:val="00D45DD6"/>
    <w:rsid w:val="00D465D6"/>
    <w:rsid w:val="00D474E2"/>
    <w:rsid w:val="00D4755B"/>
    <w:rsid w:val="00D50A43"/>
    <w:rsid w:val="00D50E23"/>
    <w:rsid w:val="00D50F2D"/>
    <w:rsid w:val="00D5127A"/>
    <w:rsid w:val="00D52AFB"/>
    <w:rsid w:val="00D52F80"/>
    <w:rsid w:val="00D53280"/>
    <w:rsid w:val="00D534FB"/>
    <w:rsid w:val="00D53573"/>
    <w:rsid w:val="00D53A36"/>
    <w:rsid w:val="00D54C68"/>
    <w:rsid w:val="00D54FD2"/>
    <w:rsid w:val="00D55ADB"/>
    <w:rsid w:val="00D5730E"/>
    <w:rsid w:val="00D579DE"/>
    <w:rsid w:val="00D57F4A"/>
    <w:rsid w:val="00D605AB"/>
    <w:rsid w:val="00D62745"/>
    <w:rsid w:val="00D649F2"/>
    <w:rsid w:val="00D64A9D"/>
    <w:rsid w:val="00D64DEA"/>
    <w:rsid w:val="00D65DA8"/>
    <w:rsid w:val="00D6657D"/>
    <w:rsid w:val="00D66B44"/>
    <w:rsid w:val="00D702AE"/>
    <w:rsid w:val="00D70A5E"/>
    <w:rsid w:val="00D70CA4"/>
    <w:rsid w:val="00D714FD"/>
    <w:rsid w:val="00D72909"/>
    <w:rsid w:val="00D72981"/>
    <w:rsid w:val="00D72A71"/>
    <w:rsid w:val="00D72B7E"/>
    <w:rsid w:val="00D72F02"/>
    <w:rsid w:val="00D731D4"/>
    <w:rsid w:val="00D73B6E"/>
    <w:rsid w:val="00D73FCA"/>
    <w:rsid w:val="00D74476"/>
    <w:rsid w:val="00D7476D"/>
    <w:rsid w:val="00D74905"/>
    <w:rsid w:val="00D7496C"/>
    <w:rsid w:val="00D74DAD"/>
    <w:rsid w:val="00D7542E"/>
    <w:rsid w:val="00D76014"/>
    <w:rsid w:val="00D7655B"/>
    <w:rsid w:val="00D7664E"/>
    <w:rsid w:val="00D76A08"/>
    <w:rsid w:val="00D77E2C"/>
    <w:rsid w:val="00D80291"/>
    <w:rsid w:val="00D80825"/>
    <w:rsid w:val="00D80B68"/>
    <w:rsid w:val="00D811D4"/>
    <w:rsid w:val="00D815D9"/>
    <w:rsid w:val="00D81DCD"/>
    <w:rsid w:val="00D82C80"/>
    <w:rsid w:val="00D82E6A"/>
    <w:rsid w:val="00D8377D"/>
    <w:rsid w:val="00D83A47"/>
    <w:rsid w:val="00D85F33"/>
    <w:rsid w:val="00D8693F"/>
    <w:rsid w:val="00D86DF1"/>
    <w:rsid w:val="00D8787E"/>
    <w:rsid w:val="00D878DB"/>
    <w:rsid w:val="00D901AB"/>
    <w:rsid w:val="00D901D3"/>
    <w:rsid w:val="00D90F56"/>
    <w:rsid w:val="00D918C5"/>
    <w:rsid w:val="00D91D9B"/>
    <w:rsid w:val="00D91EC1"/>
    <w:rsid w:val="00D92024"/>
    <w:rsid w:val="00D9219C"/>
    <w:rsid w:val="00D92487"/>
    <w:rsid w:val="00D928C1"/>
    <w:rsid w:val="00D92A35"/>
    <w:rsid w:val="00D92EC7"/>
    <w:rsid w:val="00D93961"/>
    <w:rsid w:val="00D950F4"/>
    <w:rsid w:val="00D95975"/>
    <w:rsid w:val="00D95DC6"/>
    <w:rsid w:val="00D96147"/>
    <w:rsid w:val="00D9634C"/>
    <w:rsid w:val="00D96425"/>
    <w:rsid w:val="00D96F53"/>
    <w:rsid w:val="00D978ED"/>
    <w:rsid w:val="00D97AA2"/>
    <w:rsid w:val="00DA063A"/>
    <w:rsid w:val="00DA0A27"/>
    <w:rsid w:val="00DA1444"/>
    <w:rsid w:val="00DA1D4D"/>
    <w:rsid w:val="00DA20F5"/>
    <w:rsid w:val="00DA22D9"/>
    <w:rsid w:val="00DA2AE0"/>
    <w:rsid w:val="00DA3078"/>
    <w:rsid w:val="00DA30D5"/>
    <w:rsid w:val="00DA34FD"/>
    <w:rsid w:val="00DA3DE7"/>
    <w:rsid w:val="00DA4316"/>
    <w:rsid w:val="00DA4872"/>
    <w:rsid w:val="00DA4B2B"/>
    <w:rsid w:val="00DA4EDE"/>
    <w:rsid w:val="00DA5207"/>
    <w:rsid w:val="00DA5542"/>
    <w:rsid w:val="00DA58C5"/>
    <w:rsid w:val="00DA5F6F"/>
    <w:rsid w:val="00DA5F87"/>
    <w:rsid w:val="00DA6979"/>
    <w:rsid w:val="00DA6985"/>
    <w:rsid w:val="00DA6C7C"/>
    <w:rsid w:val="00DA6D06"/>
    <w:rsid w:val="00DA71BC"/>
    <w:rsid w:val="00DA7482"/>
    <w:rsid w:val="00DA74FD"/>
    <w:rsid w:val="00DA7E47"/>
    <w:rsid w:val="00DB04EF"/>
    <w:rsid w:val="00DB144D"/>
    <w:rsid w:val="00DB166A"/>
    <w:rsid w:val="00DB1779"/>
    <w:rsid w:val="00DB1812"/>
    <w:rsid w:val="00DB1AB9"/>
    <w:rsid w:val="00DB1B51"/>
    <w:rsid w:val="00DB21A3"/>
    <w:rsid w:val="00DB2217"/>
    <w:rsid w:val="00DB3399"/>
    <w:rsid w:val="00DB3751"/>
    <w:rsid w:val="00DB493B"/>
    <w:rsid w:val="00DB4B75"/>
    <w:rsid w:val="00DB55DC"/>
    <w:rsid w:val="00DB578E"/>
    <w:rsid w:val="00DB58B6"/>
    <w:rsid w:val="00DB610A"/>
    <w:rsid w:val="00DB68CC"/>
    <w:rsid w:val="00DB723C"/>
    <w:rsid w:val="00DB73DA"/>
    <w:rsid w:val="00DB753A"/>
    <w:rsid w:val="00DB7BD1"/>
    <w:rsid w:val="00DB7BDC"/>
    <w:rsid w:val="00DC029A"/>
    <w:rsid w:val="00DC0475"/>
    <w:rsid w:val="00DC0D19"/>
    <w:rsid w:val="00DC1194"/>
    <w:rsid w:val="00DC1C09"/>
    <w:rsid w:val="00DC212A"/>
    <w:rsid w:val="00DC24D3"/>
    <w:rsid w:val="00DC25A5"/>
    <w:rsid w:val="00DC2AC5"/>
    <w:rsid w:val="00DC3095"/>
    <w:rsid w:val="00DC32E3"/>
    <w:rsid w:val="00DC3370"/>
    <w:rsid w:val="00DC3845"/>
    <w:rsid w:val="00DC3B3C"/>
    <w:rsid w:val="00DC3C92"/>
    <w:rsid w:val="00DC4698"/>
    <w:rsid w:val="00DC476B"/>
    <w:rsid w:val="00DC48B7"/>
    <w:rsid w:val="00DC4AC7"/>
    <w:rsid w:val="00DC4DBD"/>
    <w:rsid w:val="00DC5F45"/>
    <w:rsid w:val="00DC60E8"/>
    <w:rsid w:val="00DC660C"/>
    <w:rsid w:val="00DC67CB"/>
    <w:rsid w:val="00DC6BED"/>
    <w:rsid w:val="00DC7B4C"/>
    <w:rsid w:val="00DD05CA"/>
    <w:rsid w:val="00DD067F"/>
    <w:rsid w:val="00DD0B7A"/>
    <w:rsid w:val="00DD0DD7"/>
    <w:rsid w:val="00DD2282"/>
    <w:rsid w:val="00DD297A"/>
    <w:rsid w:val="00DD2B2D"/>
    <w:rsid w:val="00DD2DC4"/>
    <w:rsid w:val="00DD38BF"/>
    <w:rsid w:val="00DD3E0E"/>
    <w:rsid w:val="00DD3EA4"/>
    <w:rsid w:val="00DD407B"/>
    <w:rsid w:val="00DD40ED"/>
    <w:rsid w:val="00DD4467"/>
    <w:rsid w:val="00DD4B95"/>
    <w:rsid w:val="00DD4C77"/>
    <w:rsid w:val="00DD4F8F"/>
    <w:rsid w:val="00DD5E22"/>
    <w:rsid w:val="00DD6508"/>
    <w:rsid w:val="00DD6A5F"/>
    <w:rsid w:val="00DD6B3B"/>
    <w:rsid w:val="00DD7168"/>
    <w:rsid w:val="00DD7744"/>
    <w:rsid w:val="00DE0407"/>
    <w:rsid w:val="00DE06D2"/>
    <w:rsid w:val="00DE097D"/>
    <w:rsid w:val="00DE0CA5"/>
    <w:rsid w:val="00DE0F9B"/>
    <w:rsid w:val="00DE1191"/>
    <w:rsid w:val="00DE1374"/>
    <w:rsid w:val="00DE16F2"/>
    <w:rsid w:val="00DE1D8B"/>
    <w:rsid w:val="00DE1FC1"/>
    <w:rsid w:val="00DE212E"/>
    <w:rsid w:val="00DE2869"/>
    <w:rsid w:val="00DE2D7B"/>
    <w:rsid w:val="00DE30DE"/>
    <w:rsid w:val="00DE30E0"/>
    <w:rsid w:val="00DE3150"/>
    <w:rsid w:val="00DE3429"/>
    <w:rsid w:val="00DE39C3"/>
    <w:rsid w:val="00DE3BFE"/>
    <w:rsid w:val="00DE4122"/>
    <w:rsid w:val="00DE41E3"/>
    <w:rsid w:val="00DE4B51"/>
    <w:rsid w:val="00DE51CE"/>
    <w:rsid w:val="00DE5534"/>
    <w:rsid w:val="00DE5A91"/>
    <w:rsid w:val="00DE5D81"/>
    <w:rsid w:val="00DE5FCC"/>
    <w:rsid w:val="00DE6541"/>
    <w:rsid w:val="00DE66C9"/>
    <w:rsid w:val="00DE68A9"/>
    <w:rsid w:val="00DE6F1E"/>
    <w:rsid w:val="00DE7052"/>
    <w:rsid w:val="00DE7788"/>
    <w:rsid w:val="00DE7CA0"/>
    <w:rsid w:val="00DE7EDF"/>
    <w:rsid w:val="00DF0364"/>
    <w:rsid w:val="00DF048C"/>
    <w:rsid w:val="00DF0D79"/>
    <w:rsid w:val="00DF139B"/>
    <w:rsid w:val="00DF13A4"/>
    <w:rsid w:val="00DF1A6A"/>
    <w:rsid w:val="00DF1DF5"/>
    <w:rsid w:val="00DF204B"/>
    <w:rsid w:val="00DF2C48"/>
    <w:rsid w:val="00DF2CBE"/>
    <w:rsid w:val="00DF2F7C"/>
    <w:rsid w:val="00DF33B4"/>
    <w:rsid w:val="00DF3702"/>
    <w:rsid w:val="00DF3BB0"/>
    <w:rsid w:val="00DF3E5C"/>
    <w:rsid w:val="00DF4021"/>
    <w:rsid w:val="00DF42B1"/>
    <w:rsid w:val="00DF4963"/>
    <w:rsid w:val="00DF5B6B"/>
    <w:rsid w:val="00DF5CF5"/>
    <w:rsid w:val="00DF6367"/>
    <w:rsid w:val="00DF65A6"/>
    <w:rsid w:val="00DF7375"/>
    <w:rsid w:val="00DF76A4"/>
    <w:rsid w:val="00DF7942"/>
    <w:rsid w:val="00DF794F"/>
    <w:rsid w:val="00E00636"/>
    <w:rsid w:val="00E009DA"/>
    <w:rsid w:val="00E00B26"/>
    <w:rsid w:val="00E00D72"/>
    <w:rsid w:val="00E01308"/>
    <w:rsid w:val="00E020A5"/>
    <w:rsid w:val="00E0310E"/>
    <w:rsid w:val="00E031AA"/>
    <w:rsid w:val="00E037D5"/>
    <w:rsid w:val="00E03A93"/>
    <w:rsid w:val="00E043E3"/>
    <w:rsid w:val="00E0461B"/>
    <w:rsid w:val="00E04B6D"/>
    <w:rsid w:val="00E04C53"/>
    <w:rsid w:val="00E04E22"/>
    <w:rsid w:val="00E05633"/>
    <w:rsid w:val="00E061AD"/>
    <w:rsid w:val="00E066CD"/>
    <w:rsid w:val="00E0711B"/>
    <w:rsid w:val="00E10161"/>
    <w:rsid w:val="00E10583"/>
    <w:rsid w:val="00E116D7"/>
    <w:rsid w:val="00E11752"/>
    <w:rsid w:val="00E11AB9"/>
    <w:rsid w:val="00E11AF1"/>
    <w:rsid w:val="00E11C8B"/>
    <w:rsid w:val="00E12304"/>
    <w:rsid w:val="00E12D4F"/>
    <w:rsid w:val="00E12F08"/>
    <w:rsid w:val="00E1356A"/>
    <w:rsid w:val="00E135A2"/>
    <w:rsid w:val="00E1369D"/>
    <w:rsid w:val="00E141BA"/>
    <w:rsid w:val="00E14937"/>
    <w:rsid w:val="00E14A28"/>
    <w:rsid w:val="00E14D70"/>
    <w:rsid w:val="00E1582B"/>
    <w:rsid w:val="00E15E3F"/>
    <w:rsid w:val="00E160B2"/>
    <w:rsid w:val="00E177BC"/>
    <w:rsid w:val="00E17F1C"/>
    <w:rsid w:val="00E202F2"/>
    <w:rsid w:val="00E20353"/>
    <w:rsid w:val="00E21B96"/>
    <w:rsid w:val="00E221A9"/>
    <w:rsid w:val="00E221F4"/>
    <w:rsid w:val="00E22635"/>
    <w:rsid w:val="00E22D07"/>
    <w:rsid w:val="00E2352C"/>
    <w:rsid w:val="00E23998"/>
    <w:rsid w:val="00E23CBB"/>
    <w:rsid w:val="00E245B9"/>
    <w:rsid w:val="00E24884"/>
    <w:rsid w:val="00E25531"/>
    <w:rsid w:val="00E2565A"/>
    <w:rsid w:val="00E26151"/>
    <w:rsid w:val="00E26221"/>
    <w:rsid w:val="00E26ECD"/>
    <w:rsid w:val="00E27362"/>
    <w:rsid w:val="00E3055A"/>
    <w:rsid w:val="00E30D5B"/>
    <w:rsid w:val="00E32581"/>
    <w:rsid w:val="00E3265F"/>
    <w:rsid w:val="00E329EA"/>
    <w:rsid w:val="00E331E2"/>
    <w:rsid w:val="00E334A7"/>
    <w:rsid w:val="00E33576"/>
    <w:rsid w:val="00E33D6D"/>
    <w:rsid w:val="00E34615"/>
    <w:rsid w:val="00E347AB"/>
    <w:rsid w:val="00E34AC3"/>
    <w:rsid w:val="00E34B1D"/>
    <w:rsid w:val="00E34FAD"/>
    <w:rsid w:val="00E35FD0"/>
    <w:rsid w:val="00E36565"/>
    <w:rsid w:val="00E37285"/>
    <w:rsid w:val="00E3737A"/>
    <w:rsid w:val="00E375C2"/>
    <w:rsid w:val="00E376E5"/>
    <w:rsid w:val="00E3781A"/>
    <w:rsid w:val="00E37A6D"/>
    <w:rsid w:val="00E37F6B"/>
    <w:rsid w:val="00E40962"/>
    <w:rsid w:val="00E40976"/>
    <w:rsid w:val="00E4174D"/>
    <w:rsid w:val="00E42231"/>
    <w:rsid w:val="00E42955"/>
    <w:rsid w:val="00E4321B"/>
    <w:rsid w:val="00E434EF"/>
    <w:rsid w:val="00E438F2"/>
    <w:rsid w:val="00E44C36"/>
    <w:rsid w:val="00E45A62"/>
    <w:rsid w:val="00E4632B"/>
    <w:rsid w:val="00E466DD"/>
    <w:rsid w:val="00E474AD"/>
    <w:rsid w:val="00E47671"/>
    <w:rsid w:val="00E4788B"/>
    <w:rsid w:val="00E50C5F"/>
    <w:rsid w:val="00E5116E"/>
    <w:rsid w:val="00E511E7"/>
    <w:rsid w:val="00E5168B"/>
    <w:rsid w:val="00E51D76"/>
    <w:rsid w:val="00E51F47"/>
    <w:rsid w:val="00E51F97"/>
    <w:rsid w:val="00E51FBA"/>
    <w:rsid w:val="00E521B3"/>
    <w:rsid w:val="00E522CD"/>
    <w:rsid w:val="00E52A52"/>
    <w:rsid w:val="00E52B2A"/>
    <w:rsid w:val="00E53939"/>
    <w:rsid w:val="00E543B2"/>
    <w:rsid w:val="00E54942"/>
    <w:rsid w:val="00E54976"/>
    <w:rsid w:val="00E555BF"/>
    <w:rsid w:val="00E55A4B"/>
    <w:rsid w:val="00E55CAB"/>
    <w:rsid w:val="00E57BBE"/>
    <w:rsid w:val="00E6023B"/>
    <w:rsid w:val="00E6031D"/>
    <w:rsid w:val="00E605CD"/>
    <w:rsid w:val="00E6083D"/>
    <w:rsid w:val="00E60EC0"/>
    <w:rsid w:val="00E60FA8"/>
    <w:rsid w:val="00E61243"/>
    <w:rsid w:val="00E61496"/>
    <w:rsid w:val="00E61801"/>
    <w:rsid w:val="00E62748"/>
    <w:rsid w:val="00E63151"/>
    <w:rsid w:val="00E63235"/>
    <w:rsid w:val="00E632DB"/>
    <w:rsid w:val="00E63DCB"/>
    <w:rsid w:val="00E641E2"/>
    <w:rsid w:val="00E64D38"/>
    <w:rsid w:val="00E6525C"/>
    <w:rsid w:val="00E6559C"/>
    <w:rsid w:val="00E65892"/>
    <w:rsid w:val="00E6592E"/>
    <w:rsid w:val="00E65A31"/>
    <w:rsid w:val="00E65A3A"/>
    <w:rsid w:val="00E6626B"/>
    <w:rsid w:val="00E66E2E"/>
    <w:rsid w:val="00E6713B"/>
    <w:rsid w:val="00E673C4"/>
    <w:rsid w:val="00E6759C"/>
    <w:rsid w:val="00E679F7"/>
    <w:rsid w:val="00E67AB9"/>
    <w:rsid w:val="00E67B5B"/>
    <w:rsid w:val="00E70579"/>
    <w:rsid w:val="00E709DB"/>
    <w:rsid w:val="00E718D9"/>
    <w:rsid w:val="00E71B24"/>
    <w:rsid w:val="00E71C04"/>
    <w:rsid w:val="00E72000"/>
    <w:rsid w:val="00E72D1A"/>
    <w:rsid w:val="00E72E03"/>
    <w:rsid w:val="00E73C24"/>
    <w:rsid w:val="00E73CE8"/>
    <w:rsid w:val="00E73EC8"/>
    <w:rsid w:val="00E742C6"/>
    <w:rsid w:val="00E750E3"/>
    <w:rsid w:val="00E755D7"/>
    <w:rsid w:val="00E75DF4"/>
    <w:rsid w:val="00E75EE2"/>
    <w:rsid w:val="00E771D1"/>
    <w:rsid w:val="00E774EA"/>
    <w:rsid w:val="00E7775B"/>
    <w:rsid w:val="00E77C0A"/>
    <w:rsid w:val="00E8007C"/>
    <w:rsid w:val="00E80086"/>
    <w:rsid w:val="00E8065F"/>
    <w:rsid w:val="00E806ED"/>
    <w:rsid w:val="00E80DD2"/>
    <w:rsid w:val="00E8164A"/>
    <w:rsid w:val="00E8185E"/>
    <w:rsid w:val="00E82368"/>
    <w:rsid w:val="00E82AD0"/>
    <w:rsid w:val="00E8345F"/>
    <w:rsid w:val="00E83653"/>
    <w:rsid w:val="00E83DAD"/>
    <w:rsid w:val="00E83E4E"/>
    <w:rsid w:val="00E84A22"/>
    <w:rsid w:val="00E84A3F"/>
    <w:rsid w:val="00E84C0D"/>
    <w:rsid w:val="00E84D08"/>
    <w:rsid w:val="00E85783"/>
    <w:rsid w:val="00E85972"/>
    <w:rsid w:val="00E85BC1"/>
    <w:rsid w:val="00E85E68"/>
    <w:rsid w:val="00E868BB"/>
    <w:rsid w:val="00E86A9F"/>
    <w:rsid w:val="00E86B5E"/>
    <w:rsid w:val="00E86EAD"/>
    <w:rsid w:val="00E87705"/>
    <w:rsid w:val="00E877C3"/>
    <w:rsid w:val="00E87981"/>
    <w:rsid w:val="00E87A6F"/>
    <w:rsid w:val="00E87CE0"/>
    <w:rsid w:val="00E903A5"/>
    <w:rsid w:val="00E915D3"/>
    <w:rsid w:val="00E91AB0"/>
    <w:rsid w:val="00E91E62"/>
    <w:rsid w:val="00E92564"/>
    <w:rsid w:val="00E928EB"/>
    <w:rsid w:val="00E93621"/>
    <w:rsid w:val="00E939FB"/>
    <w:rsid w:val="00E93B37"/>
    <w:rsid w:val="00E93F08"/>
    <w:rsid w:val="00E942BF"/>
    <w:rsid w:val="00E94F85"/>
    <w:rsid w:val="00E95449"/>
    <w:rsid w:val="00E95753"/>
    <w:rsid w:val="00E95F80"/>
    <w:rsid w:val="00E961E6"/>
    <w:rsid w:val="00E962B0"/>
    <w:rsid w:val="00E96656"/>
    <w:rsid w:val="00E96671"/>
    <w:rsid w:val="00E967AD"/>
    <w:rsid w:val="00E97355"/>
    <w:rsid w:val="00E973A3"/>
    <w:rsid w:val="00EA0215"/>
    <w:rsid w:val="00EA1142"/>
    <w:rsid w:val="00EA158F"/>
    <w:rsid w:val="00EA1CD0"/>
    <w:rsid w:val="00EA1CEF"/>
    <w:rsid w:val="00EA1E16"/>
    <w:rsid w:val="00EA21B2"/>
    <w:rsid w:val="00EA2843"/>
    <w:rsid w:val="00EA2905"/>
    <w:rsid w:val="00EA2CA7"/>
    <w:rsid w:val="00EA33F1"/>
    <w:rsid w:val="00EA3585"/>
    <w:rsid w:val="00EA39D7"/>
    <w:rsid w:val="00EA4113"/>
    <w:rsid w:val="00EA436E"/>
    <w:rsid w:val="00EA44DD"/>
    <w:rsid w:val="00EA49F0"/>
    <w:rsid w:val="00EA5455"/>
    <w:rsid w:val="00EA56A5"/>
    <w:rsid w:val="00EA5A30"/>
    <w:rsid w:val="00EA6104"/>
    <w:rsid w:val="00EA63BA"/>
    <w:rsid w:val="00EA702C"/>
    <w:rsid w:val="00EA75A4"/>
    <w:rsid w:val="00EA7769"/>
    <w:rsid w:val="00EA7922"/>
    <w:rsid w:val="00EA7E34"/>
    <w:rsid w:val="00EB059B"/>
    <w:rsid w:val="00EB121F"/>
    <w:rsid w:val="00EB197E"/>
    <w:rsid w:val="00EB19CC"/>
    <w:rsid w:val="00EB1E10"/>
    <w:rsid w:val="00EB1EAA"/>
    <w:rsid w:val="00EB33A0"/>
    <w:rsid w:val="00EB395B"/>
    <w:rsid w:val="00EB3DF0"/>
    <w:rsid w:val="00EB408F"/>
    <w:rsid w:val="00EB4311"/>
    <w:rsid w:val="00EB4994"/>
    <w:rsid w:val="00EB4B2C"/>
    <w:rsid w:val="00EB4C85"/>
    <w:rsid w:val="00EB5481"/>
    <w:rsid w:val="00EB55B3"/>
    <w:rsid w:val="00EB58C5"/>
    <w:rsid w:val="00EB6442"/>
    <w:rsid w:val="00EB6E13"/>
    <w:rsid w:val="00EB7061"/>
    <w:rsid w:val="00EB73B1"/>
    <w:rsid w:val="00EB75BD"/>
    <w:rsid w:val="00EB771A"/>
    <w:rsid w:val="00EB7DEC"/>
    <w:rsid w:val="00EC075F"/>
    <w:rsid w:val="00EC082D"/>
    <w:rsid w:val="00EC0A86"/>
    <w:rsid w:val="00EC0BF5"/>
    <w:rsid w:val="00EC13B3"/>
    <w:rsid w:val="00EC16C2"/>
    <w:rsid w:val="00EC1E62"/>
    <w:rsid w:val="00EC1EBF"/>
    <w:rsid w:val="00EC35EE"/>
    <w:rsid w:val="00EC3653"/>
    <w:rsid w:val="00EC39C5"/>
    <w:rsid w:val="00EC3BCF"/>
    <w:rsid w:val="00EC44DA"/>
    <w:rsid w:val="00EC4C3F"/>
    <w:rsid w:val="00EC5724"/>
    <w:rsid w:val="00EC5B6B"/>
    <w:rsid w:val="00EC5DDA"/>
    <w:rsid w:val="00EC693B"/>
    <w:rsid w:val="00EC6DA1"/>
    <w:rsid w:val="00EC75C7"/>
    <w:rsid w:val="00EC7FFA"/>
    <w:rsid w:val="00ED05F0"/>
    <w:rsid w:val="00ED088D"/>
    <w:rsid w:val="00ED0F43"/>
    <w:rsid w:val="00ED1B04"/>
    <w:rsid w:val="00ED1C55"/>
    <w:rsid w:val="00ED1E48"/>
    <w:rsid w:val="00ED2D8F"/>
    <w:rsid w:val="00ED2E1E"/>
    <w:rsid w:val="00ED3563"/>
    <w:rsid w:val="00ED3A07"/>
    <w:rsid w:val="00ED4920"/>
    <w:rsid w:val="00ED4E37"/>
    <w:rsid w:val="00ED4E9F"/>
    <w:rsid w:val="00ED5C97"/>
    <w:rsid w:val="00ED6142"/>
    <w:rsid w:val="00ED6380"/>
    <w:rsid w:val="00ED7107"/>
    <w:rsid w:val="00ED7495"/>
    <w:rsid w:val="00ED76B8"/>
    <w:rsid w:val="00ED78A0"/>
    <w:rsid w:val="00ED7979"/>
    <w:rsid w:val="00ED7A97"/>
    <w:rsid w:val="00ED7C03"/>
    <w:rsid w:val="00ED7D93"/>
    <w:rsid w:val="00EE00D7"/>
    <w:rsid w:val="00EE06B7"/>
    <w:rsid w:val="00EE0848"/>
    <w:rsid w:val="00EE0CC2"/>
    <w:rsid w:val="00EE0F85"/>
    <w:rsid w:val="00EE1442"/>
    <w:rsid w:val="00EE1C1E"/>
    <w:rsid w:val="00EE21B8"/>
    <w:rsid w:val="00EE24C3"/>
    <w:rsid w:val="00EE32DA"/>
    <w:rsid w:val="00EE3728"/>
    <w:rsid w:val="00EE38A2"/>
    <w:rsid w:val="00EE3918"/>
    <w:rsid w:val="00EE484C"/>
    <w:rsid w:val="00EE4896"/>
    <w:rsid w:val="00EE563D"/>
    <w:rsid w:val="00EE5772"/>
    <w:rsid w:val="00EE621D"/>
    <w:rsid w:val="00EE708C"/>
    <w:rsid w:val="00EE70AA"/>
    <w:rsid w:val="00EE7630"/>
    <w:rsid w:val="00EE78F3"/>
    <w:rsid w:val="00EE79E3"/>
    <w:rsid w:val="00EF05C1"/>
    <w:rsid w:val="00EF0FE6"/>
    <w:rsid w:val="00EF1078"/>
    <w:rsid w:val="00EF16BC"/>
    <w:rsid w:val="00EF1AC5"/>
    <w:rsid w:val="00EF1D9B"/>
    <w:rsid w:val="00EF2230"/>
    <w:rsid w:val="00EF231A"/>
    <w:rsid w:val="00EF2806"/>
    <w:rsid w:val="00EF2A13"/>
    <w:rsid w:val="00EF2A3C"/>
    <w:rsid w:val="00EF2DD5"/>
    <w:rsid w:val="00EF310A"/>
    <w:rsid w:val="00EF3AC9"/>
    <w:rsid w:val="00EF3B30"/>
    <w:rsid w:val="00EF3C54"/>
    <w:rsid w:val="00EF3D78"/>
    <w:rsid w:val="00EF455A"/>
    <w:rsid w:val="00EF4685"/>
    <w:rsid w:val="00EF4AEA"/>
    <w:rsid w:val="00EF5B4B"/>
    <w:rsid w:val="00EF628C"/>
    <w:rsid w:val="00EF7917"/>
    <w:rsid w:val="00EF7F5F"/>
    <w:rsid w:val="00F00DBA"/>
    <w:rsid w:val="00F01222"/>
    <w:rsid w:val="00F017B4"/>
    <w:rsid w:val="00F01AE5"/>
    <w:rsid w:val="00F025EE"/>
    <w:rsid w:val="00F026D4"/>
    <w:rsid w:val="00F02CAC"/>
    <w:rsid w:val="00F02F4B"/>
    <w:rsid w:val="00F03764"/>
    <w:rsid w:val="00F03D58"/>
    <w:rsid w:val="00F03ECC"/>
    <w:rsid w:val="00F0460A"/>
    <w:rsid w:val="00F04AC1"/>
    <w:rsid w:val="00F04B80"/>
    <w:rsid w:val="00F05328"/>
    <w:rsid w:val="00F0591C"/>
    <w:rsid w:val="00F0664E"/>
    <w:rsid w:val="00F07056"/>
    <w:rsid w:val="00F07313"/>
    <w:rsid w:val="00F102E3"/>
    <w:rsid w:val="00F102FE"/>
    <w:rsid w:val="00F10338"/>
    <w:rsid w:val="00F10B2E"/>
    <w:rsid w:val="00F10F4D"/>
    <w:rsid w:val="00F116A8"/>
    <w:rsid w:val="00F118B1"/>
    <w:rsid w:val="00F11907"/>
    <w:rsid w:val="00F1248F"/>
    <w:rsid w:val="00F124D4"/>
    <w:rsid w:val="00F12595"/>
    <w:rsid w:val="00F128D1"/>
    <w:rsid w:val="00F12A06"/>
    <w:rsid w:val="00F13CF8"/>
    <w:rsid w:val="00F14A5F"/>
    <w:rsid w:val="00F14D0A"/>
    <w:rsid w:val="00F14E2B"/>
    <w:rsid w:val="00F1538A"/>
    <w:rsid w:val="00F1546A"/>
    <w:rsid w:val="00F1649F"/>
    <w:rsid w:val="00F169A3"/>
    <w:rsid w:val="00F16A3F"/>
    <w:rsid w:val="00F16B95"/>
    <w:rsid w:val="00F20392"/>
    <w:rsid w:val="00F20D61"/>
    <w:rsid w:val="00F2173C"/>
    <w:rsid w:val="00F21BA5"/>
    <w:rsid w:val="00F224B4"/>
    <w:rsid w:val="00F22BB7"/>
    <w:rsid w:val="00F22C01"/>
    <w:rsid w:val="00F232D5"/>
    <w:rsid w:val="00F23301"/>
    <w:rsid w:val="00F23595"/>
    <w:rsid w:val="00F23B90"/>
    <w:rsid w:val="00F23C6D"/>
    <w:rsid w:val="00F23C87"/>
    <w:rsid w:val="00F23CA8"/>
    <w:rsid w:val="00F24069"/>
    <w:rsid w:val="00F244EF"/>
    <w:rsid w:val="00F24BB3"/>
    <w:rsid w:val="00F25528"/>
    <w:rsid w:val="00F26926"/>
    <w:rsid w:val="00F26B3E"/>
    <w:rsid w:val="00F27227"/>
    <w:rsid w:val="00F27513"/>
    <w:rsid w:val="00F276B1"/>
    <w:rsid w:val="00F3028E"/>
    <w:rsid w:val="00F308E7"/>
    <w:rsid w:val="00F31ADB"/>
    <w:rsid w:val="00F31D67"/>
    <w:rsid w:val="00F31D9E"/>
    <w:rsid w:val="00F3306D"/>
    <w:rsid w:val="00F33239"/>
    <w:rsid w:val="00F33561"/>
    <w:rsid w:val="00F33AD7"/>
    <w:rsid w:val="00F347F6"/>
    <w:rsid w:val="00F351AC"/>
    <w:rsid w:val="00F3565A"/>
    <w:rsid w:val="00F35BBA"/>
    <w:rsid w:val="00F37002"/>
    <w:rsid w:val="00F3778E"/>
    <w:rsid w:val="00F402A0"/>
    <w:rsid w:val="00F402EC"/>
    <w:rsid w:val="00F40878"/>
    <w:rsid w:val="00F408A0"/>
    <w:rsid w:val="00F40A50"/>
    <w:rsid w:val="00F40C4B"/>
    <w:rsid w:val="00F40F20"/>
    <w:rsid w:val="00F4116C"/>
    <w:rsid w:val="00F412E7"/>
    <w:rsid w:val="00F42173"/>
    <w:rsid w:val="00F42223"/>
    <w:rsid w:val="00F42CCC"/>
    <w:rsid w:val="00F42F1C"/>
    <w:rsid w:val="00F43272"/>
    <w:rsid w:val="00F436CE"/>
    <w:rsid w:val="00F43EED"/>
    <w:rsid w:val="00F443F3"/>
    <w:rsid w:val="00F45908"/>
    <w:rsid w:val="00F45D45"/>
    <w:rsid w:val="00F45DEA"/>
    <w:rsid w:val="00F4729B"/>
    <w:rsid w:val="00F477AB"/>
    <w:rsid w:val="00F47813"/>
    <w:rsid w:val="00F47979"/>
    <w:rsid w:val="00F50153"/>
    <w:rsid w:val="00F507AB"/>
    <w:rsid w:val="00F50BA9"/>
    <w:rsid w:val="00F51F15"/>
    <w:rsid w:val="00F52AA8"/>
    <w:rsid w:val="00F53096"/>
    <w:rsid w:val="00F53105"/>
    <w:rsid w:val="00F5388B"/>
    <w:rsid w:val="00F53A12"/>
    <w:rsid w:val="00F546AD"/>
    <w:rsid w:val="00F54828"/>
    <w:rsid w:val="00F54876"/>
    <w:rsid w:val="00F5539F"/>
    <w:rsid w:val="00F55B5E"/>
    <w:rsid w:val="00F56A6F"/>
    <w:rsid w:val="00F56B69"/>
    <w:rsid w:val="00F56C44"/>
    <w:rsid w:val="00F56E46"/>
    <w:rsid w:val="00F56F54"/>
    <w:rsid w:val="00F570E6"/>
    <w:rsid w:val="00F57157"/>
    <w:rsid w:val="00F5742A"/>
    <w:rsid w:val="00F5756F"/>
    <w:rsid w:val="00F579B7"/>
    <w:rsid w:val="00F600CE"/>
    <w:rsid w:val="00F6010D"/>
    <w:rsid w:val="00F602D4"/>
    <w:rsid w:val="00F6052B"/>
    <w:rsid w:val="00F61731"/>
    <w:rsid w:val="00F61914"/>
    <w:rsid w:val="00F61C4F"/>
    <w:rsid w:val="00F6260D"/>
    <w:rsid w:val="00F63327"/>
    <w:rsid w:val="00F635A4"/>
    <w:rsid w:val="00F638DD"/>
    <w:rsid w:val="00F63EA7"/>
    <w:rsid w:val="00F64176"/>
    <w:rsid w:val="00F64AF1"/>
    <w:rsid w:val="00F64EB5"/>
    <w:rsid w:val="00F65C38"/>
    <w:rsid w:val="00F660A0"/>
    <w:rsid w:val="00F66745"/>
    <w:rsid w:val="00F66859"/>
    <w:rsid w:val="00F66DE3"/>
    <w:rsid w:val="00F66DE5"/>
    <w:rsid w:val="00F708F9"/>
    <w:rsid w:val="00F71875"/>
    <w:rsid w:val="00F72128"/>
    <w:rsid w:val="00F734FD"/>
    <w:rsid w:val="00F73858"/>
    <w:rsid w:val="00F73861"/>
    <w:rsid w:val="00F73DEE"/>
    <w:rsid w:val="00F7471F"/>
    <w:rsid w:val="00F749AF"/>
    <w:rsid w:val="00F74A3C"/>
    <w:rsid w:val="00F7505E"/>
    <w:rsid w:val="00F75BA1"/>
    <w:rsid w:val="00F75DAC"/>
    <w:rsid w:val="00F7638F"/>
    <w:rsid w:val="00F76784"/>
    <w:rsid w:val="00F8114F"/>
    <w:rsid w:val="00F8155D"/>
    <w:rsid w:val="00F82C73"/>
    <w:rsid w:val="00F83729"/>
    <w:rsid w:val="00F837DA"/>
    <w:rsid w:val="00F838A0"/>
    <w:rsid w:val="00F84DA7"/>
    <w:rsid w:val="00F8521F"/>
    <w:rsid w:val="00F85980"/>
    <w:rsid w:val="00F85D11"/>
    <w:rsid w:val="00F85E67"/>
    <w:rsid w:val="00F86465"/>
    <w:rsid w:val="00F866A9"/>
    <w:rsid w:val="00F8674D"/>
    <w:rsid w:val="00F86F47"/>
    <w:rsid w:val="00F90DF3"/>
    <w:rsid w:val="00F90EB7"/>
    <w:rsid w:val="00F9143F"/>
    <w:rsid w:val="00F91647"/>
    <w:rsid w:val="00F91654"/>
    <w:rsid w:val="00F91B5B"/>
    <w:rsid w:val="00F923A3"/>
    <w:rsid w:val="00F928FC"/>
    <w:rsid w:val="00F92EDD"/>
    <w:rsid w:val="00F930A7"/>
    <w:rsid w:val="00F93BB8"/>
    <w:rsid w:val="00F94259"/>
    <w:rsid w:val="00F945E4"/>
    <w:rsid w:val="00F94AF3"/>
    <w:rsid w:val="00F94D40"/>
    <w:rsid w:val="00F94EC2"/>
    <w:rsid w:val="00F950C8"/>
    <w:rsid w:val="00F95B4A"/>
    <w:rsid w:val="00F962A6"/>
    <w:rsid w:val="00F96BCF"/>
    <w:rsid w:val="00F97319"/>
    <w:rsid w:val="00F97AF1"/>
    <w:rsid w:val="00FA05BA"/>
    <w:rsid w:val="00FA0991"/>
    <w:rsid w:val="00FA0D4A"/>
    <w:rsid w:val="00FA0F1E"/>
    <w:rsid w:val="00FA1634"/>
    <w:rsid w:val="00FA193A"/>
    <w:rsid w:val="00FA1AB3"/>
    <w:rsid w:val="00FA2076"/>
    <w:rsid w:val="00FA4B46"/>
    <w:rsid w:val="00FA4EE0"/>
    <w:rsid w:val="00FA54BE"/>
    <w:rsid w:val="00FA56F7"/>
    <w:rsid w:val="00FA5851"/>
    <w:rsid w:val="00FA5F26"/>
    <w:rsid w:val="00FA65DD"/>
    <w:rsid w:val="00FA68E0"/>
    <w:rsid w:val="00FA70EC"/>
    <w:rsid w:val="00FA7225"/>
    <w:rsid w:val="00FB1039"/>
    <w:rsid w:val="00FB2590"/>
    <w:rsid w:val="00FB29BC"/>
    <w:rsid w:val="00FB2D8A"/>
    <w:rsid w:val="00FB33C2"/>
    <w:rsid w:val="00FB362E"/>
    <w:rsid w:val="00FB37F4"/>
    <w:rsid w:val="00FB45DF"/>
    <w:rsid w:val="00FB4B54"/>
    <w:rsid w:val="00FB4BFA"/>
    <w:rsid w:val="00FB4D47"/>
    <w:rsid w:val="00FB4FC7"/>
    <w:rsid w:val="00FB5037"/>
    <w:rsid w:val="00FB5CDB"/>
    <w:rsid w:val="00FB6A52"/>
    <w:rsid w:val="00FC0B2D"/>
    <w:rsid w:val="00FC1445"/>
    <w:rsid w:val="00FC1B16"/>
    <w:rsid w:val="00FC1C8E"/>
    <w:rsid w:val="00FC2481"/>
    <w:rsid w:val="00FC4460"/>
    <w:rsid w:val="00FC4613"/>
    <w:rsid w:val="00FC4E16"/>
    <w:rsid w:val="00FC525E"/>
    <w:rsid w:val="00FC575A"/>
    <w:rsid w:val="00FC5DDA"/>
    <w:rsid w:val="00FC63EC"/>
    <w:rsid w:val="00FC76F0"/>
    <w:rsid w:val="00FD0C60"/>
    <w:rsid w:val="00FD0EC0"/>
    <w:rsid w:val="00FD140B"/>
    <w:rsid w:val="00FD1B74"/>
    <w:rsid w:val="00FD3405"/>
    <w:rsid w:val="00FD3500"/>
    <w:rsid w:val="00FD42FC"/>
    <w:rsid w:val="00FD48BD"/>
    <w:rsid w:val="00FD5237"/>
    <w:rsid w:val="00FD53AC"/>
    <w:rsid w:val="00FD54FB"/>
    <w:rsid w:val="00FD5EB7"/>
    <w:rsid w:val="00FD5F20"/>
    <w:rsid w:val="00FD62E7"/>
    <w:rsid w:val="00FD66EC"/>
    <w:rsid w:val="00FD759A"/>
    <w:rsid w:val="00FD7918"/>
    <w:rsid w:val="00FE02C4"/>
    <w:rsid w:val="00FE086D"/>
    <w:rsid w:val="00FE1F1A"/>
    <w:rsid w:val="00FE35D7"/>
    <w:rsid w:val="00FE3812"/>
    <w:rsid w:val="00FE3AEA"/>
    <w:rsid w:val="00FE4561"/>
    <w:rsid w:val="00FE5880"/>
    <w:rsid w:val="00FE6200"/>
    <w:rsid w:val="00FE63D2"/>
    <w:rsid w:val="00FE7110"/>
    <w:rsid w:val="00FE78A0"/>
    <w:rsid w:val="00FE7AB3"/>
    <w:rsid w:val="00FE7CE0"/>
    <w:rsid w:val="00FE7D6A"/>
    <w:rsid w:val="00FF0BC2"/>
    <w:rsid w:val="00FF10CD"/>
    <w:rsid w:val="00FF13F1"/>
    <w:rsid w:val="00FF1486"/>
    <w:rsid w:val="00FF1809"/>
    <w:rsid w:val="00FF185B"/>
    <w:rsid w:val="00FF225A"/>
    <w:rsid w:val="00FF2C84"/>
    <w:rsid w:val="00FF2FFB"/>
    <w:rsid w:val="00FF4212"/>
    <w:rsid w:val="00FF4668"/>
    <w:rsid w:val="00FF6041"/>
    <w:rsid w:val="00FF6656"/>
    <w:rsid w:val="00FF7537"/>
    <w:rsid w:val="00FF75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E45C43"/>
  <w15:chartTrackingRefBased/>
  <w15:docId w15:val="{0A1AC5B9-205E-4A0D-BF62-2C9748221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iPriority="0"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021F5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1">
    <w:name w:val="heading 1"/>
    <w:aliases w:val="H1,H11,H12"/>
    <w:basedOn w:val="a1"/>
    <w:next w:val="a1"/>
    <w:link w:val="10"/>
    <w:qFormat/>
    <w:rsid w:val="008673C7"/>
    <w:pPr>
      <w:keepNext/>
      <w:widowControl/>
      <w:autoSpaceDE/>
      <w:autoSpaceDN/>
      <w:adjustRightInd/>
      <w:ind w:firstLine="4680"/>
      <w:outlineLvl w:val="0"/>
    </w:pPr>
    <w:rPr>
      <w:rFonts w:eastAsia="Arial Unicode MS"/>
      <w:sz w:val="28"/>
      <w:lang w:val="x-none"/>
    </w:rPr>
  </w:style>
  <w:style w:type="paragraph" w:styleId="2">
    <w:name w:val="heading 2"/>
    <w:aliases w:val="H2,H21,H22,heading 2"/>
    <w:basedOn w:val="a1"/>
    <w:next w:val="a1"/>
    <w:link w:val="20"/>
    <w:uiPriority w:val="9"/>
    <w:unhideWhenUsed/>
    <w:qFormat/>
    <w:rsid w:val="008673C7"/>
    <w:pPr>
      <w:keepNext/>
      <w:keepLines/>
      <w:spacing w:before="200"/>
      <w:outlineLvl w:val="1"/>
    </w:pPr>
    <w:rPr>
      <w:rFonts w:ascii="Cambria" w:hAnsi="Cambria"/>
      <w:b/>
      <w:bCs/>
      <w:color w:val="4F81BD"/>
      <w:sz w:val="26"/>
      <w:szCs w:val="26"/>
      <w:lang w:val="x-none"/>
    </w:rPr>
  </w:style>
  <w:style w:type="paragraph" w:styleId="3">
    <w:name w:val="heading 3"/>
    <w:aliases w:val="H3,H31,H32"/>
    <w:basedOn w:val="a1"/>
    <w:next w:val="a1"/>
    <w:link w:val="30"/>
    <w:uiPriority w:val="9"/>
    <w:unhideWhenUsed/>
    <w:qFormat/>
    <w:rsid w:val="008673C7"/>
    <w:pPr>
      <w:keepNext/>
      <w:keepLines/>
      <w:spacing w:before="200"/>
      <w:outlineLvl w:val="2"/>
    </w:pPr>
    <w:rPr>
      <w:rFonts w:ascii="Cambria" w:hAnsi="Cambria"/>
      <w:b/>
      <w:bCs/>
      <w:color w:val="4F81BD"/>
      <w:lang w:val="x-none"/>
    </w:rPr>
  </w:style>
  <w:style w:type="paragraph" w:styleId="4">
    <w:name w:val="heading 4"/>
    <w:aliases w:val="H4,H41,H42,H43,H411,H421"/>
    <w:basedOn w:val="a1"/>
    <w:next w:val="a1"/>
    <w:link w:val="40"/>
    <w:qFormat/>
    <w:rsid w:val="008673C7"/>
    <w:pPr>
      <w:keepNext/>
      <w:keepLines/>
      <w:widowControl/>
      <w:autoSpaceDE/>
      <w:autoSpaceDN/>
      <w:adjustRightInd/>
      <w:spacing w:before="280" w:after="80" w:line="276" w:lineRule="auto"/>
      <w:outlineLvl w:val="3"/>
    </w:pPr>
    <w:rPr>
      <w:rFonts w:ascii="Arial" w:eastAsia="Arial" w:hAnsi="Arial"/>
      <w:color w:val="666666"/>
      <w:lang w:val="x-none" w:eastAsia="x-none"/>
    </w:rPr>
  </w:style>
  <w:style w:type="paragraph" w:styleId="5">
    <w:name w:val="heading 5"/>
    <w:basedOn w:val="a1"/>
    <w:next w:val="a1"/>
    <w:link w:val="50"/>
    <w:unhideWhenUsed/>
    <w:qFormat/>
    <w:rsid w:val="008673C7"/>
    <w:pPr>
      <w:widowControl/>
      <w:autoSpaceDE/>
      <w:autoSpaceDN/>
      <w:adjustRightInd/>
      <w:spacing w:before="240" w:after="60" w:line="276" w:lineRule="auto"/>
      <w:outlineLvl w:val="4"/>
    </w:pPr>
    <w:rPr>
      <w:rFonts w:ascii="Calibri" w:hAnsi="Calibri"/>
      <w:b/>
      <w:bCs/>
      <w:i/>
      <w:iCs/>
      <w:sz w:val="26"/>
      <w:szCs w:val="26"/>
      <w:lang w:val="x-none" w:eastAsia="x-none"/>
    </w:rPr>
  </w:style>
  <w:style w:type="paragraph" w:styleId="6">
    <w:name w:val="heading 6"/>
    <w:basedOn w:val="a1"/>
    <w:next w:val="a1"/>
    <w:link w:val="60"/>
    <w:qFormat/>
    <w:rsid w:val="008673C7"/>
    <w:pPr>
      <w:keepNext/>
      <w:keepLines/>
      <w:widowControl/>
      <w:autoSpaceDE/>
      <w:autoSpaceDN/>
      <w:adjustRightInd/>
      <w:spacing w:before="240" w:after="80" w:line="276" w:lineRule="auto"/>
      <w:outlineLvl w:val="5"/>
    </w:pPr>
    <w:rPr>
      <w:rFonts w:ascii="Arial" w:eastAsia="Arial" w:hAnsi="Arial"/>
      <w:i/>
      <w:color w:val="666666"/>
      <w:sz w:val="20"/>
      <w:szCs w:val="20"/>
      <w:lang w:val="x-none" w:eastAsia="x-none"/>
    </w:rPr>
  </w:style>
  <w:style w:type="paragraph" w:styleId="7">
    <w:name w:val="heading 7"/>
    <w:basedOn w:val="a1"/>
    <w:next w:val="a1"/>
    <w:link w:val="70"/>
    <w:qFormat/>
    <w:rsid w:val="008673C7"/>
    <w:pPr>
      <w:widowControl/>
      <w:autoSpaceDE/>
      <w:autoSpaceDN/>
      <w:adjustRightInd/>
      <w:spacing w:before="240" w:after="60"/>
      <w:outlineLvl w:val="6"/>
    </w:pPr>
    <w:rPr>
      <w:lang w:val="x-none" w:eastAsia="x-none"/>
    </w:rPr>
  </w:style>
  <w:style w:type="paragraph" w:styleId="8">
    <w:name w:val="heading 8"/>
    <w:basedOn w:val="a1"/>
    <w:next w:val="a1"/>
    <w:link w:val="80"/>
    <w:qFormat/>
    <w:rsid w:val="008673C7"/>
    <w:pPr>
      <w:widowControl/>
      <w:autoSpaceDE/>
      <w:autoSpaceDN/>
      <w:adjustRightInd/>
      <w:spacing w:before="240" w:after="60"/>
      <w:outlineLvl w:val="7"/>
    </w:pPr>
    <w:rPr>
      <w:i/>
      <w:iCs/>
      <w:lang w:val="x-none" w:eastAsia="x-none"/>
    </w:rPr>
  </w:style>
  <w:style w:type="paragraph" w:styleId="9">
    <w:name w:val="heading 9"/>
    <w:basedOn w:val="a1"/>
    <w:next w:val="a1"/>
    <w:link w:val="90"/>
    <w:uiPriority w:val="9"/>
    <w:semiHidden/>
    <w:unhideWhenUsed/>
    <w:qFormat/>
    <w:rsid w:val="008673C7"/>
    <w:pPr>
      <w:widowControl/>
      <w:autoSpaceDE/>
      <w:autoSpaceDN/>
      <w:adjustRightInd/>
      <w:spacing w:line="271" w:lineRule="auto"/>
      <w:outlineLvl w:val="8"/>
    </w:pPr>
    <w:rPr>
      <w:rFonts w:ascii="Calibri" w:eastAsia="Calibri" w:hAnsi="Calibri"/>
      <w:b/>
      <w:bCs/>
      <w:i/>
      <w:iCs/>
      <w:color w:val="7F7F7F"/>
      <w:sz w:val="18"/>
      <w:szCs w:val="18"/>
      <w:lang w:val="x-none" w:eastAsia="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3778D6"/>
    <w:pPr>
      <w:tabs>
        <w:tab w:val="center" w:pos="4677"/>
        <w:tab w:val="right" w:pos="9355"/>
      </w:tabs>
    </w:pPr>
  </w:style>
  <w:style w:type="character" w:customStyle="1" w:styleId="a6">
    <w:name w:val="Верхний колонтитул Знак"/>
    <w:basedOn w:val="a2"/>
    <w:link w:val="a5"/>
    <w:uiPriority w:val="99"/>
    <w:rsid w:val="003778D6"/>
    <w:rPr>
      <w:rFonts w:ascii="Times New Roman" w:eastAsia="Times New Roman" w:hAnsi="Times New Roman" w:cs="Times New Roman"/>
      <w:sz w:val="24"/>
      <w:szCs w:val="24"/>
      <w:lang w:eastAsia="ru-RU"/>
    </w:rPr>
  </w:style>
  <w:style w:type="paragraph" w:styleId="a7">
    <w:name w:val="footer"/>
    <w:basedOn w:val="a1"/>
    <w:link w:val="a8"/>
    <w:uiPriority w:val="99"/>
    <w:unhideWhenUsed/>
    <w:rsid w:val="003778D6"/>
    <w:pPr>
      <w:tabs>
        <w:tab w:val="center" w:pos="4677"/>
        <w:tab w:val="right" w:pos="9355"/>
      </w:tabs>
    </w:pPr>
  </w:style>
  <w:style w:type="character" w:customStyle="1" w:styleId="a8">
    <w:name w:val="Нижний колонтитул Знак"/>
    <w:basedOn w:val="a2"/>
    <w:link w:val="a7"/>
    <w:uiPriority w:val="99"/>
    <w:rsid w:val="003778D6"/>
    <w:rPr>
      <w:rFonts w:ascii="Times New Roman" w:eastAsia="Times New Roman" w:hAnsi="Times New Roman" w:cs="Times New Roman"/>
      <w:sz w:val="24"/>
      <w:szCs w:val="24"/>
      <w:lang w:eastAsia="ru-RU"/>
    </w:rPr>
  </w:style>
  <w:style w:type="character" w:customStyle="1" w:styleId="10">
    <w:name w:val="Заголовок 1 Знак"/>
    <w:aliases w:val="H1 Знак,H11 Знак,H12 Знак"/>
    <w:basedOn w:val="a2"/>
    <w:link w:val="1"/>
    <w:rsid w:val="008673C7"/>
    <w:rPr>
      <w:rFonts w:ascii="Times New Roman" w:eastAsia="Arial Unicode MS" w:hAnsi="Times New Roman" w:cs="Times New Roman"/>
      <w:sz w:val="28"/>
      <w:szCs w:val="24"/>
      <w:lang w:val="x-none" w:eastAsia="ru-RU"/>
    </w:rPr>
  </w:style>
  <w:style w:type="character" w:customStyle="1" w:styleId="20">
    <w:name w:val="Заголовок 2 Знак"/>
    <w:aliases w:val="H2 Знак,H21 Знак,H22 Знак,heading 2 Знак"/>
    <w:basedOn w:val="a2"/>
    <w:link w:val="2"/>
    <w:uiPriority w:val="9"/>
    <w:rsid w:val="008673C7"/>
    <w:rPr>
      <w:rFonts w:ascii="Cambria" w:eastAsia="Times New Roman" w:hAnsi="Cambria" w:cs="Times New Roman"/>
      <w:b/>
      <w:bCs/>
      <w:color w:val="4F81BD"/>
      <w:sz w:val="26"/>
      <w:szCs w:val="26"/>
      <w:lang w:val="x-none" w:eastAsia="ru-RU"/>
    </w:rPr>
  </w:style>
  <w:style w:type="character" w:customStyle="1" w:styleId="30">
    <w:name w:val="Заголовок 3 Знак"/>
    <w:aliases w:val="H3 Знак,H31 Знак,H32 Знак"/>
    <w:basedOn w:val="a2"/>
    <w:link w:val="3"/>
    <w:uiPriority w:val="9"/>
    <w:rsid w:val="008673C7"/>
    <w:rPr>
      <w:rFonts w:ascii="Cambria" w:eastAsia="Times New Roman" w:hAnsi="Cambria" w:cs="Times New Roman"/>
      <w:b/>
      <w:bCs/>
      <w:color w:val="4F81BD"/>
      <w:sz w:val="24"/>
      <w:szCs w:val="24"/>
      <w:lang w:val="x-none" w:eastAsia="ru-RU"/>
    </w:rPr>
  </w:style>
  <w:style w:type="character" w:customStyle="1" w:styleId="40">
    <w:name w:val="Заголовок 4 Знак"/>
    <w:aliases w:val="H4 Знак,H41 Знак,H42 Знак,H43 Знак,H411 Знак,H421 Знак"/>
    <w:basedOn w:val="a2"/>
    <w:link w:val="4"/>
    <w:rsid w:val="008673C7"/>
    <w:rPr>
      <w:rFonts w:ascii="Arial" w:eastAsia="Arial" w:hAnsi="Arial" w:cs="Times New Roman"/>
      <w:color w:val="666666"/>
      <w:sz w:val="24"/>
      <w:szCs w:val="24"/>
      <w:lang w:val="x-none" w:eastAsia="x-none"/>
    </w:rPr>
  </w:style>
  <w:style w:type="character" w:customStyle="1" w:styleId="50">
    <w:name w:val="Заголовок 5 Знак"/>
    <w:basedOn w:val="a2"/>
    <w:link w:val="5"/>
    <w:rsid w:val="008673C7"/>
    <w:rPr>
      <w:rFonts w:ascii="Calibri" w:eastAsia="Times New Roman" w:hAnsi="Calibri" w:cs="Times New Roman"/>
      <w:b/>
      <w:bCs/>
      <w:i/>
      <w:iCs/>
      <w:sz w:val="26"/>
      <w:szCs w:val="26"/>
      <w:lang w:val="x-none" w:eastAsia="x-none"/>
    </w:rPr>
  </w:style>
  <w:style w:type="character" w:customStyle="1" w:styleId="60">
    <w:name w:val="Заголовок 6 Знак"/>
    <w:basedOn w:val="a2"/>
    <w:link w:val="6"/>
    <w:rsid w:val="008673C7"/>
    <w:rPr>
      <w:rFonts w:ascii="Arial" w:eastAsia="Arial" w:hAnsi="Arial" w:cs="Times New Roman"/>
      <w:i/>
      <w:color w:val="666666"/>
      <w:sz w:val="20"/>
      <w:szCs w:val="20"/>
      <w:lang w:val="x-none" w:eastAsia="x-none"/>
    </w:rPr>
  </w:style>
  <w:style w:type="character" w:customStyle="1" w:styleId="70">
    <w:name w:val="Заголовок 7 Знак"/>
    <w:basedOn w:val="a2"/>
    <w:link w:val="7"/>
    <w:rsid w:val="008673C7"/>
    <w:rPr>
      <w:rFonts w:ascii="Times New Roman" w:eastAsia="Times New Roman" w:hAnsi="Times New Roman" w:cs="Times New Roman"/>
      <w:sz w:val="24"/>
      <w:szCs w:val="24"/>
      <w:lang w:val="x-none" w:eastAsia="x-none"/>
    </w:rPr>
  </w:style>
  <w:style w:type="character" w:customStyle="1" w:styleId="80">
    <w:name w:val="Заголовок 8 Знак"/>
    <w:basedOn w:val="a2"/>
    <w:link w:val="8"/>
    <w:rsid w:val="008673C7"/>
    <w:rPr>
      <w:rFonts w:ascii="Times New Roman" w:eastAsia="Times New Roman" w:hAnsi="Times New Roman" w:cs="Times New Roman"/>
      <w:i/>
      <w:iCs/>
      <w:sz w:val="24"/>
      <w:szCs w:val="24"/>
      <w:lang w:val="x-none" w:eastAsia="x-none"/>
    </w:rPr>
  </w:style>
  <w:style w:type="character" w:customStyle="1" w:styleId="90">
    <w:name w:val="Заголовок 9 Знак"/>
    <w:basedOn w:val="a2"/>
    <w:link w:val="9"/>
    <w:uiPriority w:val="9"/>
    <w:semiHidden/>
    <w:rsid w:val="008673C7"/>
    <w:rPr>
      <w:rFonts w:ascii="Calibri" w:eastAsia="Calibri" w:hAnsi="Calibri" w:cs="Times New Roman"/>
      <w:b/>
      <w:bCs/>
      <w:i/>
      <w:iCs/>
      <w:color w:val="7F7F7F"/>
      <w:sz w:val="18"/>
      <w:szCs w:val="18"/>
      <w:lang w:val="x-none"/>
    </w:rPr>
  </w:style>
  <w:style w:type="paragraph" w:customStyle="1" w:styleId="Style8">
    <w:name w:val="Style8"/>
    <w:basedOn w:val="a1"/>
    <w:uiPriority w:val="99"/>
    <w:qFormat/>
    <w:rsid w:val="008673C7"/>
  </w:style>
  <w:style w:type="character" w:customStyle="1" w:styleId="FontStyle16">
    <w:name w:val="Font Style16"/>
    <w:rsid w:val="008673C7"/>
    <w:rPr>
      <w:rFonts w:ascii="Times New Roman" w:hAnsi="Times New Roman" w:cs="Times New Roman"/>
      <w:sz w:val="22"/>
      <w:szCs w:val="22"/>
    </w:rPr>
  </w:style>
  <w:style w:type="character" w:styleId="a9">
    <w:name w:val="Hyperlink"/>
    <w:uiPriority w:val="99"/>
    <w:unhideWhenUsed/>
    <w:rsid w:val="008673C7"/>
    <w:rPr>
      <w:rFonts w:ascii="Verdana" w:hAnsi="Verdana" w:hint="default"/>
      <w:color w:val="0033CC"/>
      <w:u w:val="single"/>
    </w:rPr>
  </w:style>
  <w:style w:type="character" w:styleId="aa">
    <w:name w:val="Strong"/>
    <w:uiPriority w:val="22"/>
    <w:qFormat/>
    <w:rsid w:val="008673C7"/>
    <w:rPr>
      <w:b/>
      <w:bCs/>
    </w:rPr>
  </w:style>
  <w:style w:type="character" w:styleId="HTML">
    <w:name w:val="HTML Acronym"/>
    <w:basedOn w:val="a2"/>
    <w:uiPriority w:val="99"/>
    <w:semiHidden/>
    <w:unhideWhenUsed/>
    <w:rsid w:val="008673C7"/>
  </w:style>
  <w:style w:type="paragraph" w:styleId="z-">
    <w:name w:val="HTML Top of Form"/>
    <w:basedOn w:val="a1"/>
    <w:next w:val="a1"/>
    <w:link w:val="z-0"/>
    <w:hidden/>
    <w:uiPriority w:val="99"/>
    <w:semiHidden/>
    <w:unhideWhenUsed/>
    <w:rsid w:val="008673C7"/>
    <w:pPr>
      <w:widowControl/>
      <w:pBdr>
        <w:bottom w:val="single" w:sz="6" w:space="1" w:color="auto"/>
      </w:pBdr>
      <w:autoSpaceDE/>
      <w:autoSpaceDN/>
      <w:adjustRightInd/>
      <w:jc w:val="center"/>
    </w:pPr>
    <w:rPr>
      <w:rFonts w:ascii="Arial" w:hAnsi="Arial"/>
      <w:vanish/>
      <w:sz w:val="16"/>
      <w:szCs w:val="16"/>
      <w:lang w:val="x-none"/>
    </w:rPr>
  </w:style>
  <w:style w:type="character" w:customStyle="1" w:styleId="z-0">
    <w:name w:val="z-Начало формы Знак"/>
    <w:basedOn w:val="a2"/>
    <w:link w:val="z-"/>
    <w:uiPriority w:val="99"/>
    <w:semiHidden/>
    <w:rsid w:val="008673C7"/>
    <w:rPr>
      <w:rFonts w:ascii="Arial" w:eastAsia="Times New Roman" w:hAnsi="Arial" w:cs="Times New Roman"/>
      <w:vanish/>
      <w:sz w:val="16"/>
      <w:szCs w:val="16"/>
      <w:lang w:val="x-none" w:eastAsia="ru-RU"/>
    </w:rPr>
  </w:style>
  <w:style w:type="paragraph" w:styleId="z-1">
    <w:name w:val="HTML Bottom of Form"/>
    <w:basedOn w:val="a1"/>
    <w:next w:val="a1"/>
    <w:link w:val="z-2"/>
    <w:hidden/>
    <w:uiPriority w:val="99"/>
    <w:semiHidden/>
    <w:unhideWhenUsed/>
    <w:rsid w:val="008673C7"/>
    <w:pPr>
      <w:widowControl/>
      <w:pBdr>
        <w:top w:val="single" w:sz="6" w:space="1" w:color="auto"/>
      </w:pBdr>
      <w:autoSpaceDE/>
      <w:autoSpaceDN/>
      <w:adjustRightInd/>
      <w:jc w:val="center"/>
    </w:pPr>
    <w:rPr>
      <w:rFonts w:ascii="Arial" w:hAnsi="Arial"/>
      <w:vanish/>
      <w:sz w:val="16"/>
      <w:szCs w:val="16"/>
      <w:lang w:val="x-none"/>
    </w:rPr>
  </w:style>
  <w:style w:type="character" w:customStyle="1" w:styleId="z-2">
    <w:name w:val="z-Конец формы Знак"/>
    <w:basedOn w:val="a2"/>
    <w:link w:val="z-1"/>
    <w:uiPriority w:val="99"/>
    <w:semiHidden/>
    <w:rsid w:val="008673C7"/>
    <w:rPr>
      <w:rFonts w:ascii="Arial" w:eastAsia="Times New Roman" w:hAnsi="Arial" w:cs="Times New Roman"/>
      <w:vanish/>
      <w:sz w:val="16"/>
      <w:szCs w:val="16"/>
      <w:lang w:val="x-none" w:eastAsia="ru-RU"/>
    </w:rPr>
  </w:style>
  <w:style w:type="paragraph" w:styleId="ab">
    <w:name w:val="Balloon Text"/>
    <w:basedOn w:val="a1"/>
    <w:link w:val="ac"/>
    <w:uiPriority w:val="99"/>
    <w:unhideWhenUsed/>
    <w:rsid w:val="008673C7"/>
    <w:rPr>
      <w:rFonts w:ascii="Tahoma" w:hAnsi="Tahoma"/>
      <w:sz w:val="16"/>
      <w:szCs w:val="16"/>
      <w:lang w:val="x-none"/>
    </w:rPr>
  </w:style>
  <w:style w:type="character" w:customStyle="1" w:styleId="ac">
    <w:name w:val="Текст выноски Знак"/>
    <w:basedOn w:val="a2"/>
    <w:link w:val="ab"/>
    <w:uiPriority w:val="99"/>
    <w:rsid w:val="008673C7"/>
    <w:rPr>
      <w:rFonts w:ascii="Tahoma" w:eastAsia="Times New Roman" w:hAnsi="Tahoma" w:cs="Times New Roman"/>
      <w:sz w:val="16"/>
      <w:szCs w:val="16"/>
      <w:lang w:val="x-none" w:eastAsia="ru-RU"/>
    </w:rPr>
  </w:style>
  <w:style w:type="paragraph" w:styleId="ad">
    <w:name w:val="Title"/>
    <w:aliases w:val="Заголовок2"/>
    <w:basedOn w:val="a1"/>
    <w:link w:val="11"/>
    <w:uiPriority w:val="99"/>
    <w:qFormat/>
    <w:rsid w:val="008673C7"/>
    <w:pPr>
      <w:widowControl/>
      <w:autoSpaceDE/>
      <w:autoSpaceDN/>
      <w:adjustRightInd/>
      <w:jc w:val="center"/>
    </w:pPr>
    <w:rPr>
      <w:b/>
      <w:sz w:val="26"/>
      <w:szCs w:val="20"/>
      <w:lang w:val="x-none"/>
    </w:rPr>
  </w:style>
  <w:style w:type="character" w:customStyle="1" w:styleId="ae">
    <w:name w:val="Заголовок Знак"/>
    <w:basedOn w:val="a2"/>
    <w:link w:val="12"/>
    <w:uiPriority w:val="99"/>
    <w:rsid w:val="008673C7"/>
    <w:rPr>
      <w:rFonts w:asciiTheme="majorHAnsi" w:eastAsiaTheme="majorEastAsia" w:hAnsiTheme="majorHAnsi" w:cstheme="majorBidi"/>
      <w:spacing w:val="-10"/>
      <w:kern w:val="28"/>
      <w:sz w:val="56"/>
      <w:szCs w:val="56"/>
      <w:lang w:eastAsia="ru-RU"/>
    </w:rPr>
  </w:style>
  <w:style w:type="character" w:customStyle="1" w:styleId="11">
    <w:name w:val="Заголовок Знак1"/>
    <w:aliases w:val="Заголовок2 Знак"/>
    <w:link w:val="ad"/>
    <w:uiPriority w:val="99"/>
    <w:rsid w:val="008673C7"/>
    <w:rPr>
      <w:rFonts w:ascii="Times New Roman" w:eastAsia="Times New Roman" w:hAnsi="Times New Roman" w:cs="Times New Roman"/>
      <w:b/>
      <w:sz w:val="26"/>
      <w:szCs w:val="20"/>
      <w:lang w:val="x-none" w:eastAsia="ru-RU"/>
    </w:rPr>
  </w:style>
  <w:style w:type="paragraph" w:styleId="af">
    <w:name w:val="Body Text Indent"/>
    <w:aliases w:val="Основной текст 1,Нумерованный список !!,Надин стиль,Знак Знак, Знак Знак"/>
    <w:basedOn w:val="a1"/>
    <w:link w:val="af0"/>
    <w:uiPriority w:val="99"/>
    <w:unhideWhenUsed/>
    <w:qFormat/>
    <w:rsid w:val="008673C7"/>
    <w:pPr>
      <w:widowControl/>
      <w:autoSpaceDE/>
      <w:autoSpaceDN/>
      <w:adjustRightInd/>
      <w:spacing w:after="120"/>
      <w:ind w:left="283"/>
    </w:pPr>
    <w:rPr>
      <w:lang w:val="x-none"/>
    </w:rPr>
  </w:style>
  <w:style w:type="character" w:customStyle="1" w:styleId="af0">
    <w:name w:val="Основной текст с отступом Знак"/>
    <w:aliases w:val="Основной текст 1 Знак,Нумерованный список !! Знак,Надин стиль Знак,Знак Знак Знак1, Знак Знак Знак"/>
    <w:basedOn w:val="a2"/>
    <w:link w:val="af"/>
    <w:uiPriority w:val="99"/>
    <w:rsid w:val="008673C7"/>
    <w:rPr>
      <w:rFonts w:ascii="Times New Roman" w:eastAsia="Times New Roman" w:hAnsi="Times New Roman" w:cs="Times New Roman"/>
      <w:sz w:val="24"/>
      <w:szCs w:val="24"/>
      <w:lang w:val="x-none" w:eastAsia="ru-RU"/>
    </w:rPr>
  </w:style>
  <w:style w:type="table" w:styleId="af1">
    <w:name w:val="Table Grid"/>
    <w:basedOn w:val="a3"/>
    <w:uiPriority w:val="59"/>
    <w:rsid w:val="008673C7"/>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rmal (Web)"/>
    <w:aliases w:val="Обычный (Web)1,Обычный (веб) Знак1,Обычный (веб) Знак Знак1,Обычный (веб) Знак Знак Знак,Знак Знак1 Знак Знак,Обычный (веб) Знак Знак Знак Знак,Знак Знак Знак Знак Знак,Знак4 Зна,Обычный (веб"/>
    <w:basedOn w:val="a1"/>
    <w:link w:val="af3"/>
    <w:uiPriority w:val="99"/>
    <w:unhideWhenUsed/>
    <w:qFormat/>
    <w:rsid w:val="008673C7"/>
    <w:pPr>
      <w:widowControl/>
      <w:autoSpaceDE/>
      <w:autoSpaceDN/>
      <w:adjustRightInd/>
      <w:spacing w:before="100" w:beforeAutospacing="1" w:after="100" w:afterAutospacing="1"/>
    </w:pPr>
    <w:rPr>
      <w:lang w:val="x-none"/>
    </w:rPr>
  </w:style>
  <w:style w:type="paragraph" w:customStyle="1" w:styleId="linksnew">
    <w:name w:val="links_new"/>
    <w:basedOn w:val="a1"/>
    <w:uiPriority w:val="99"/>
    <w:qFormat/>
    <w:rsid w:val="008673C7"/>
    <w:pPr>
      <w:widowControl/>
      <w:autoSpaceDE/>
      <w:autoSpaceDN/>
      <w:adjustRightInd/>
      <w:spacing w:before="100" w:beforeAutospacing="1" w:after="100" w:afterAutospacing="1"/>
    </w:pPr>
  </w:style>
  <w:style w:type="paragraph" w:customStyle="1" w:styleId="dim1">
    <w:name w:val="dim1"/>
    <w:basedOn w:val="a1"/>
    <w:uiPriority w:val="99"/>
    <w:qFormat/>
    <w:rsid w:val="008673C7"/>
    <w:pPr>
      <w:widowControl/>
      <w:autoSpaceDE/>
      <w:autoSpaceDN/>
      <w:adjustRightInd/>
      <w:spacing w:before="100" w:beforeAutospacing="1" w:after="100" w:afterAutospacing="1"/>
    </w:pPr>
  </w:style>
  <w:style w:type="character" w:customStyle="1" w:styleId="noprint">
    <w:name w:val="noprint"/>
    <w:basedOn w:val="a2"/>
    <w:rsid w:val="008673C7"/>
  </w:style>
  <w:style w:type="paragraph" w:styleId="af4">
    <w:name w:val="No Spacing"/>
    <w:aliases w:val="обычный текст,обычный текст1,1Без интервала1,обычный текст11,1Без интервала11,Без интервала111,1Без интервала,No Spacing11,1Без интервала111,Без интервала21,14 _одинарный,Без интервала Стандарт"/>
    <w:link w:val="af5"/>
    <w:uiPriority w:val="1"/>
    <w:qFormat/>
    <w:rsid w:val="008673C7"/>
    <w:pPr>
      <w:spacing w:after="0" w:line="240" w:lineRule="auto"/>
    </w:pPr>
    <w:rPr>
      <w:rFonts w:ascii="Calibri" w:eastAsia="Calibri" w:hAnsi="Calibri" w:cs="Times New Roman"/>
      <w:sz w:val="20"/>
      <w:szCs w:val="20"/>
      <w:lang w:eastAsia="ru-RU"/>
    </w:rPr>
  </w:style>
  <w:style w:type="paragraph" w:customStyle="1" w:styleId="fio">
    <w:name w:val="fio"/>
    <w:basedOn w:val="a1"/>
    <w:uiPriority w:val="99"/>
    <w:qFormat/>
    <w:rsid w:val="008673C7"/>
    <w:pPr>
      <w:widowControl/>
      <w:autoSpaceDE/>
      <w:autoSpaceDN/>
      <w:adjustRightInd/>
      <w:spacing w:before="100" w:beforeAutospacing="1" w:after="100" w:afterAutospacing="1"/>
    </w:pPr>
  </w:style>
  <w:style w:type="paragraph" w:customStyle="1" w:styleId="highlight">
    <w:name w:val="highlight"/>
    <w:basedOn w:val="a1"/>
    <w:uiPriority w:val="99"/>
    <w:qFormat/>
    <w:rsid w:val="008673C7"/>
    <w:pPr>
      <w:widowControl/>
      <w:autoSpaceDE/>
      <w:autoSpaceDN/>
      <w:adjustRightInd/>
      <w:spacing w:before="100" w:beforeAutospacing="1" w:after="100" w:afterAutospacing="1"/>
    </w:pPr>
  </w:style>
  <w:style w:type="paragraph" w:customStyle="1" w:styleId="formhint">
    <w:name w:val="form_hint"/>
    <w:basedOn w:val="a1"/>
    <w:uiPriority w:val="99"/>
    <w:qFormat/>
    <w:rsid w:val="008673C7"/>
    <w:pPr>
      <w:widowControl/>
      <w:autoSpaceDE/>
      <w:autoSpaceDN/>
      <w:adjustRightInd/>
      <w:spacing w:before="100" w:beforeAutospacing="1" w:after="100" w:afterAutospacing="1"/>
    </w:pPr>
  </w:style>
  <w:style w:type="paragraph" w:styleId="af6">
    <w:name w:val="Body Text"/>
    <w:aliases w:val="body text,body text Char Char,Основной текст абзаца,бпОсновной текст"/>
    <w:basedOn w:val="a1"/>
    <w:link w:val="af7"/>
    <w:uiPriority w:val="99"/>
    <w:unhideWhenUsed/>
    <w:qFormat/>
    <w:rsid w:val="008673C7"/>
    <w:pPr>
      <w:spacing w:after="120"/>
    </w:pPr>
    <w:rPr>
      <w:lang w:val="x-none"/>
    </w:rPr>
  </w:style>
  <w:style w:type="character" w:customStyle="1" w:styleId="af7">
    <w:name w:val="Основной текст Знак"/>
    <w:aliases w:val="body text Знак,body text Char Char Знак,Основной текст абзаца Знак,бпОсновной текст Знак"/>
    <w:basedOn w:val="a2"/>
    <w:link w:val="af6"/>
    <w:uiPriority w:val="99"/>
    <w:rsid w:val="008673C7"/>
    <w:rPr>
      <w:rFonts w:ascii="Times New Roman" w:eastAsia="Times New Roman" w:hAnsi="Times New Roman" w:cs="Times New Roman"/>
      <w:sz w:val="24"/>
      <w:szCs w:val="24"/>
      <w:lang w:val="x-none" w:eastAsia="ru-RU"/>
    </w:rPr>
  </w:style>
  <w:style w:type="paragraph" w:customStyle="1" w:styleId="af8">
    <w:name w:val="Прижатый влево"/>
    <w:basedOn w:val="a1"/>
    <w:next w:val="a1"/>
    <w:uiPriority w:val="99"/>
    <w:qFormat/>
    <w:rsid w:val="008673C7"/>
    <w:rPr>
      <w:rFonts w:ascii="Times New Roman CYR" w:hAnsi="Times New Roman CYR" w:cs="Times New Roman CYR"/>
    </w:rPr>
  </w:style>
  <w:style w:type="paragraph" w:styleId="af9">
    <w:name w:val="List Paragraph"/>
    <w:aliases w:val="ПАРАГРАФ,Абзац списка основной,Bullet List,FooterText,numbered,список 1,ТАБЛИЦА: текст"/>
    <w:basedOn w:val="a1"/>
    <w:link w:val="afa"/>
    <w:uiPriority w:val="1"/>
    <w:qFormat/>
    <w:rsid w:val="008673C7"/>
    <w:pPr>
      <w:ind w:left="720"/>
      <w:contextualSpacing/>
    </w:pPr>
    <w:rPr>
      <w:lang w:val="x-none"/>
    </w:rPr>
  </w:style>
  <w:style w:type="character" w:customStyle="1" w:styleId="afb">
    <w:name w:val="Гипертекстовая ссылка"/>
    <w:uiPriority w:val="99"/>
    <w:rsid w:val="008673C7"/>
    <w:rPr>
      <w:b/>
      <w:bCs/>
      <w:color w:val="106BBE"/>
    </w:rPr>
  </w:style>
  <w:style w:type="numbering" w:customStyle="1" w:styleId="13">
    <w:name w:val="Нет списка1"/>
    <w:next w:val="a4"/>
    <w:uiPriority w:val="99"/>
    <w:semiHidden/>
    <w:unhideWhenUsed/>
    <w:rsid w:val="008673C7"/>
  </w:style>
  <w:style w:type="paragraph" w:customStyle="1" w:styleId="NoSpacing1">
    <w:name w:val="No Spacing1"/>
    <w:link w:val="NoSpacingChar"/>
    <w:uiPriority w:val="99"/>
    <w:qFormat/>
    <w:rsid w:val="008673C7"/>
    <w:pPr>
      <w:spacing w:after="0" w:line="240" w:lineRule="auto"/>
      <w:ind w:firstLine="709"/>
      <w:jc w:val="both"/>
    </w:pPr>
    <w:rPr>
      <w:rFonts w:ascii="Calibri" w:eastAsia="Calibri" w:hAnsi="Calibri" w:cs="Times New Roman"/>
      <w:sz w:val="20"/>
      <w:szCs w:val="20"/>
      <w:lang w:eastAsia="ru-RU"/>
    </w:rPr>
  </w:style>
  <w:style w:type="character" w:customStyle="1" w:styleId="NoSpacingChar">
    <w:name w:val="No Spacing Char"/>
    <w:link w:val="NoSpacing1"/>
    <w:uiPriority w:val="99"/>
    <w:locked/>
    <w:rsid w:val="008673C7"/>
    <w:rPr>
      <w:rFonts w:ascii="Calibri" w:eastAsia="Calibri" w:hAnsi="Calibri" w:cs="Times New Roman"/>
      <w:sz w:val="20"/>
      <w:szCs w:val="20"/>
      <w:lang w:eastAsia="ru-RU"/>
    </w:rPr>
  </w:style>
  <w:style w:type="paragraph" w:customStyle="1" w:styleId="s12">
    <w:name w:val="s_12"/>
    <w:basedOn w:val="a1"/>
    <w:uiPriority w:val="99"/>
    <w:qFormat/>
    <w:rsid w:val="008673C7"/>
    <w:pPr>
      <w:widowControl/>
      <w:autoSpaceDE/>
      <w:autoSpaceDN/>
      <w:adjustRightInd/>
      <w:ind w:firstLine="720"/>
    </w:pPr>
  </w:style>
  <w:style w:type="paragraph" w:styleId="afc">
    <w:name w:val="footnote text"/>
    <w:aliases w:val="Текст сноски-FN,Oaeno niinee-FN,Oaeno niinee Ciae,Table_Footnote_last,Текст сноски Знак1 Знак,Текст сноски Знак Знак Знак,Footnote Text Char Знак Знак,Footnote Text Char Знак,single space"/>
    <w:basedOn w:val="a1"/>
    <w:link w:val="afd"/>
    <w:uiPriority w:val="99"/>
    <w:qFormat/>
    <w:rsid w:val="008673C7"/>
    <w:pPr>
      <w:widowControl/>
      <w:autoSpaceDE/>
      <w:autoSpaceDN/>
      <w:adjustRightInd/>
    </w:pPr>
    <w:rPr>
      <w:rFonts w:ascii="Calibri" w:eastAsia="Calibri" w:hAnsi="Calibri"/>
      <w:sz w:val="20"/>
      <w:szCs w:val="20"/>
      <w:lang w:val="x-none" w:eastAsia="x-none"/>
    </w:rPr>
  </w:style>
  <w:style w:type="character" w:customStyle="1" w:styleId="afd">
    <w:name w:val="Текст сноски Знак"/>
    <w:aliases w:val="Текст сноски-FN Знак,Oaeno niinee-FN Знак,Oaeno niinee Ciae Знак,Table_Footnote_last Знак,Текст сноски Знак1 Знак Знак,Текст сноски Знак Знак Знак Знак,Footnote Text Char Знак Знак Знак,Footnote Text Char Знак Знак1,single space Знак"/>
    <w:basedOn w:val="a2"/>
    <w:link w:val="afc"/>
    <w:uiPriority w:val="99"/>
    <w:rsid w:val="008673C7"/>
    <w:rPr>
      <w:rFonts w:ascii="Calibri" w:eastAsia="Calibri" w:hAnsi="Calibri" w:cs="Times New Roman"/>
      <w:sz w:val="20"/>
      <w:szCs w:val="20"/>
      <w:lang w:val="x-none" w:eastAsia="x-none"/>
    </w:rPr>
  </w:style>
  <w:style w:type="character" w:styleId="afe">
    <w:name w:val="footnote reference"/>
    <w:uiPriority w:val="99"/>
    <w:rsid w:val="008673C7"/>
    <w:rPr>
      <w:rFonts w:cs="Times New Roman"/>
      <w:vertAlign w:val="superscript"/>
    </w:rPr>
  </w:style>
  <w:style w:type="numbering" w:customStyle="1" w:styleId="110">
    <w:name w:val="Нет списка11"/>
    <w:next w:val="a4"/>
    <w:uiPriority w:val="99"/>
    <w:semiHidden/>
    <w:unhideWhenUsed/>
    <w:rsid w:val="008673C7"/>
  </w:style>
  <w:style w:type="character" w:customStyle="1" w:styleId="Heading2Char">
    <w:name w:val="Heading 2 Char"/>
    <w:uiPriority w:val="99"/>
    <w:locked/>
    <w:rsid w:val="008673C7"/>
    <w:rPr>
      <w:rFonts w:ascii="Cambria" w:hAnsi="Cambria" w:cs="Times New Roman"/>
      <w:b/>
      <w:color w:val="4F81BD"/>
      <w:sz w:val="26"/>
      <w:lang w:val="ru-RU" w:eastAsia="en-US"/>
    </w:rPr>
  </w:style>
  <w:style w:type="character" w:customStyle="1" w:styleId="Heading3Char">
    <w:name w:val="Heading 3 Char"/>
    <w:uiPriority w:val="99"/>
    <w:locked/>
    <w:rsid w:val="008673C7"/>
    <w:rPr>
      <w:rFonts w:ascii="Cambria" w:hAnsi="Cambria" w:cs="Times New Roman"/>
      <w:b/>
      <w:color w:val="4F81BD"/>
      <w:sz w:val="22"/>
      <w:lang w:val="ru-RU" w:eastAsia="en-US"/>
    </w:rPr>
  </w:style>
  <w:style w:type="paragraph" w:styleId="14">
    <w:name w:val="toc 1"/>
    <w:basedOn w:val="a1"/>
    <w:next w:val="a1"/>
    <w:autoRedefine/>
    <w:uiPriority w:val="39"/>
    <w:rsid w:val="008673C7"/>
    <w:pPr>
      <w:widowControl/>
      <w:tabs>
        <w:tab w:val="right" w:leader="dot" w:pos="9345"/>
      </w:tabs>
      <w:autoSpaceDE/>
      <w:autoSpaceDN/>
      <w:adjustRightInd/>
      <w:spacing w:before="120" w:after="120" w:line="276" w:lineRule="auto"/>
      <w:ind w:left="180"/>
    </w:pPr>
    <w:rPr>
      <w:rFonts w:ascii="Calibri" w:eastAsia="Calibri" w:hAnsi="Calibri" w:cs="Calibri"/>
      <w:b/>
      <w:bCs/>
      <w:caps/>
      <w:sz w:val="20"/>
      <w:szCs w:val="20"/>
      <w:lang w:eastAsia="en-US"/>
    </w:rPr>
  </w:style>
  <w:style w:type="paragraph" w:styleId="21">
    <w:name w:val="toc 2"/>
    <w:basedOn w:val="a1"/>
    <w:next w:val="a1"/>
    <w:autoRedefine/>
    <w:uiPriority w:val="39"/>
    <w:rsid w:val="008673C7"/>
    <w:pPr>
      <w:widowControl/>
      <w:autoSpaceDE/>
      <w:autoSpaceDN/>
      <w:adjustRightInd/>
      <w:spacing w:line="276" w:lineRule="auto"/>
      <w:ind w:left="220"/>
    </w:pPr>
    <w:rPr>
      <w:rFonts w:ascii="Calibri" w:eastAsia="Calibri" w:hAnsi="Calibri" w:cs="Calibri"/>
      <w:smallCaps/>
      <w:sz w:val="20"/>
      <w:szCs w:val="20"/>
      <w:lang w:eastAsia="en-US"/>
    </w:rPr>
  </w:style>
  <w:style w:type="paragraph" w:styleId="31">
    <w:name w:val="toc 3"/>
    <w:basedOn w:val="a1"/>
    <w:next w:val="a1"/>
    <w:autoRedefine/>
    <w:uiPriority w:val="39"/>
    <w:rsid w:val="008673C7"/>
    <w:pPr>
      <w:widowControl/>
      <w:autoSpaceDE/>
      <w:autoSpaceDN/>
      <w:adjustRightInd/>
      <w:spacing w:line="276" w:lineRule="auto"/>
      <w:ind w:left="440"/>
    </w:pPr>
    <w:rPr>
      <w:rFonts w:ascii="Calibri" w:eastAsia="Calibri" w:hAnsi="Calibri" w:cs="Calibri"/>
      <w:i/>
      <w:iCs/>
      <w:sz w:val="20"/>
      <w:szCs w:val="20"/>
      <w:lang w:eastAsia="en-US"/>
    </w:rPr>
  </w:style>
  <w:style w:type="paragraph" w:styleId="41">
    <w:name w:val="toc 4"/>
    <w:basedOn w:val="a1"/>
    <w:next w:val="a1"/>
    <w:autoRedefine/>
    <w:uiPriority w:val="39"/>
    <w:rsid w:val="008673C7"/>
    <w:pPr>
      <w:widowControl/>
      <w:autoSpaceDE/>
      <w:autoSpaceDN/>
      <w:adjustRightInd/>
      <w:spacing w:line="276" w:lineRule="auto"/>
      <w:ind w:left="660"/>
    </w:pPr>
    <w:rPr>
      <w:rFonts w:ascii="Calibri" w:eastAsia="Calibri" w:hAnsi="Calibri" w:cs="Calibri"/>
      <w:sz w:val="18"/>
      <w:szCs w:val="18"/>
      <w:lang w:eastAsia="en-US"/>
    </w:rPr>
  </w:style>
  <w:style w:type="paragraph" w:styleId="51">
    <w:name w:val="toc 5"/>
    <w:basedOn w:val="a1"/>
    <w:next w:val="a1"/>
    <w:autoRedefine/>
    <w:uiPriority w:val="39"/>
    <w:rsid w:val="008673C7"/>
    <w:pPr>
      <w:widowControl/>
      <w:autoSpaceDE/>
      <w:autoSpaceDN/>
      <w:adjustRightInd/>
      <w:spacing w:line="276" w:lineRule="auto"/>
      <w:ind w:left="880"/>
    </w:pPr>
    <w:rPr>
      <w:rFonts w:ascii="Calibri" w:eastAsia="Calibri" w:hAnsi="Calibri" w:cs="Calibri"/>
      <w:sz w:val="18"/>
      <w:szCs w:val="18"/>
      <w:lang w:eastAsia="en-US"/>
    </w:rPr>
  </w:style>
  <w:style w:type="paragraph" w:styleId="61">
    <w:name w:val="toc 6"/>
    <w:basedOn w:val="a1"/>
    <w:next w:val="a1"/>
    <w:autoRedefine/>
    <w:uiPriority w:val="39"/>
    <w:rsid w:val="008673C7"/>
    <w:pPr>
      <w:widowControl/>
      <w:autoSpaceDE/>
      <w:autoSpaceDN/>
      <w:adjustRightInd/>
      <w:spacing w:line="276" w:lineRule="auto"/>
      <w:ind w:left="1100"/>
    </w:pPr>
    <w:rPr>
      <w:rFonts w:ascii="Calibri" w:eastAsia="Calibri" w:hAnsi="Calibri" w:cs="Calibri"/>
      <w:sz w:val="18"/>
      <w:szCs w:val="18"/>
      <w:lang w:eastAsia="en-US"/>
    </w:rPr>
  </w:style>
  <w:style w:type="paragraph" w:styleId="71">
    <w:name w:val="toc 7"/>
    <w:basedOn w:val="a1"/>
    <w:next w:val="a1"/>
    <w:autoRedefine/>
    <w:uiPriority w:val="39"/>
    <w:rsid w:val="008673C7"/>
    <w:pPr>
      <w:widowControl/>
      <w:autoSpaceDE/>
      <w:autoSpaceDN/>
      <w:adjustRightInd/>
      <w:spacing w:line="276" w:lineRule="auto"/>
      <w:ind w:left="1320"/>
    </w:pPr>
    <w:rPr>
      <w:rFonts w:ascii="Calibri" w:eastAsia="Calibri" w:hAnsi="Calibri" w:cs="Calibri"/>
      <w:sz w:val="18"/>
      <w:szCs w:val="18"/>
      <w:lang w:eastAsia="en-US"/>
    </w:rPr>
  </w:style>
  <w:style w:type="paragraph" w:styleId="81">
    <w:name w:val="toc 8"/>
    <w:basedOn w:val="a1"/>
    <w:next w:val="a1"/>
    <w:autoRedefine/>
    <w:uiPriority w:val="39"/>
    <w:rsid w:val="008673C7"/>
    <w:pPr>
      <w:widowControl/>
      <w:autoSpaceDE/>
      <w:autoSpaceDN/>
      <w:adjustRightInd/>
      <w:spacing w:line="276" w:lineRule="auto"/>
      <w:ind w:left="1540"/>
    </w:pPr>
    <w:rPr>
      <w:rFonts w:ascii="Calibri" w:eastAsia="Calibri" w:hAnsi="Calibri" w:cs="Calibri"/>
      <w:sz w:val="18"/>
      <w:szCs w:val="18"/>
      <w:lang w:eastAsia="en-US"/>
    </w:rPr>
  </w:style>
  <w:style w:type="paragraph" w:styleId="91">
    <w:name w:val="toc 9"/>
    <w:basedOn w:val="a1"/>
    <w:next w:val="a1"/>
    <w:autoRedefine/>
    <w:uiPriority w:val="39"/>
    <w:rsid w:val="008673C7"/>
    <w:pPr>
      <w:widowControl/>
      <w:autoSpaceDE/>
      <w:autoSpaceDN/>
      <w:adjustRightInd/>
      <w:spacing w:line="276" w:lineRule="auto"/>
      <w:ind w:left="1760"/>
    </w:pPr>
    <w:rPr>
      <w:rFonts w:ascii="Calibri" w:eastAsia="Calibri" w:hAnsi="Calibri" w:cs="Calibri"/>
      <w:sz w:val="18"/>
      <w:szCs w:val="18"/>
      <w:lang w:eastAsia="en-US"/>
    </w:rPr>
  </w:style>
  <w:style w:type="paragraph" w:customStyle="1" w:styleId="ListParagraph1">
    <w:name w:val="List Paragraph1"/>
    <w:basedOn w:val="a1"/>
    <w:link w:val="ListParagraph"/>
    <w:uiPriority w:val="99"/>
    <w:qFormat/>
    <w:rsid w:val="008673C7"/>
    <w:pPr>
      <w:widowControl/>
      <w:autoSpaceDE/>
      <w:autoSpaceDN/>
      <w:adjustRightInd/>
      <w:spacing w:after="200" w:line="276" w:lineRule="auto"/>
      <w:ind w:left="720"/>
      <w:contextualSpacing/>
    </w:pPr>
    <w:rPr>
      <w:rFonts w:ascii="Calibri" w:eastAsia="Calibri" w:hAnsi="Calibri"/>
      <w:sz w:val="20"/>
      <w:szCs w:val="20"/>
      <w:lang w:val="x-none" w:eastAsia="x-none"/>
    </w:rPr>
  </w:style>
  <w:style w:type="character" w:customStyle="1" w:styleId="ListParagraph">
    <w:name w:val="List Paragraph Знак"/>
    <w:link w:val="ListParagraph1"/>
    <w:uiPriority w:val="99"/>
    <w:locked/>
    <w:rsid w:val="008673C7"/>
    <w:rPr>
      <w:rFonts w:ascii="Calibri" w:eastAsia="Calibri" w:hAnsi="Calibri" w:cs="Times New Roman"/>
      <w:sz w:val="20"/>
      <w:szCs w:val="20"/>
      <w:lang w:val="x-none" w:eastAsia="x-none"/>
    </w:rPr>
  </w:style>
  <w:style w:type="character" w:customStyle="1" w:styleId="FootnoteTextChar">
    <w:name w:val="Footnote Text Char"/>
    <w:aliases w:val="Текст сноски-FN Char,Oaeno niinee-FN Char,Oaeno niinee Ciae Char,Table_Footnote_last Char,Текст сноски Знак1 Знак Char,Текст сноски Знак Знак Знак Char,Footnote Text Char Знак Знак Char,Footnote Text Char Знак Char,single space Char"/>
    <w:uiPriority w:val="99"/>
    <w:semiHidden/>
    <w:locked/>
    <w:rsid w:val="008673C7"/>
    <w:rPr>
      <w:rFonts w:ascii="Calibri" w:hAnsi="Calibri" w:cs="Times New Roman"/>
      <w:sz w:val="20"/>
    </w:rPr>
  </w:style>
  <w:style w:type="paragraph" w:customStyle="1" w:styleId="ConsPlusNormal">
    <w:name w:val="ConsPlusNormal"/>
    <w:link w:val="ConsPlusNormal0"/>
    <w:qFormat/>
    <w:rsid w:val="008673C7"/>
    <w:pPr>
      <w:widowControl w:val="0"/>
      <w:autoSpaceDE w:val="0"/>
      <w:autoSpaceDN w:val="0"/>
      <w:adjustRightInd w:val="0"/>
      <w:spacing w:after="0" w:line="240" w:lineRule="auto"/>
      <w:ind w:firstLine="720"/>
    </w:pPr>
    <w:rPr>
      <w:rFonts w:ascii="Arial" w:eastAsia="Calibri" w:hAnsi="Arial" w:cs="Times New Roman"/>
      <w:sz w:val="20"/>
      <w:szCs w:val="20"/>
      <w:lang w:eastAsia="ru-RU"/>
    </w:rPr>
  </w:style>
  <w:style w:type="character" w:customStyle="1" w:styleId="ConsPlusNormal0">
    <w:name w:val="ConsPlusNormal Знак"/>
    <w:link w:val="ConsPlusNormal"/>
    <w:locked/>
    <w:rsid w:val="008673C7"/>
    <w:rPr>
      <w:rFonts w:ascii="Arial" w:eastAsia="Calibri" w:hAnsi="Arial" w:cs="Times New Roman"/>
      <w:sz w:val="20"/>
      <w:szCs w:val="20"/>
      <w:lang w:eastAsia="ru-RU"/>
    </w:rPr>
  </w:style>
  <w:style w:type="character" w:customStyle="1" w:styleId="FooterChar">
    <w:name w:val="Footer Char"/>
    <w:uiPriority w:val="99"/>
    <w:semiHidden/>
    <w:locked/>
    <w:rsid w:val="008673C7"/>
    <w:rPr>
      <w:rFonts w:ascii="Calibri" w:hAnsi="Calibri" w:cs="Times New Roman"/>
      <w:sz w:val="20"/>
    </w:rPr>
  </w:style>
  <w:style w:type="paragraph" w:customStyle="1" w:styleId="ConsPlusNonformat">
    <w:name w:val="ConsPlusNonformat"/>
    <w:uiPriority w:val="99"/>
    <w:qFormat/>
    <w:rsid w:val="008673C7"/>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uiPriority w:val="99"/>
    <w:qFormat/>
    <w:rsid w:val="008673C7"/>
    <w:pPr>
      <w:autoSpaceDE w:val="0"/>
      <w:autoSpaceDN w:val="0"/>
      <w:adjustRightInd w:val="0"/>
      <w:spacing w:after="0" w:line="240" w:lineRule="auto"/>
    </w:pPr>
    <w:rPr>
      <w:rFonts w:ascii="Arial" w:eastAsia="Calibri" w:hAnsi="Arial" w:cs="Arial"/>
      <w:sz w:val="20"/>
      <w:szCs w:val="20"/>
      <w:lang w:eastAsia="ru-RU"/>
    </w:rPr>
  </w:style>
  <w:style w:type="paragraph" w:customStyle="1" w:styleId="15">
    <w:name w:val="Без интервала1"/>
    <w:link w:val="NoSpacingChar1"/>
    <w:uiPriority w:val="99"/>
    <w:qFormat/>
    <w:rsid w:val="008673C7"/>
    <w:pPr>
      <w:spacing w:after="0" w:line="240" w:lineRule="auto"/>
    </w:pPr>
    <w:rPr>
      <w:rFonts w:ascii="Calibri" w:eastAsia="Calibri" w:hAnsi="Calibri" w:cs="Times New Roman"/>
      <w:sz w:val="20"/>
      <w:szCs w:val="20"/>
      <w:lang w:eastAsia="ru-RU"/>
    </w:rPr>
  </w:style>
  <w:style w:type="character" w:customStyle="1" w:styleId="NoSpacingChar1">
    <w:name w:val="No Spacing Char1"/>
    <w:link w:val="15"/>
    <w:uiPriority w:val="99"/>
    <w:locked/>
    <w:rsid w:val="008673C7"/>
    <w:rPr>
      <w:rFonts w:ascii="Calibri" w:eastAsia="Calibri" w:hAnsi="Calibri" w:cs="Times New Roman"/>
      <w:sz w:val="20"/>
      <w:szCs w:val="20"/>
      <w:lang w:eastAsia="ru-RU"/>
    </w:rPr>
  </w:style>
  <w:style w:type="character" w:customStyle="1" w:styleId="82">
    <w:name w:val="Знак Знак8"/>
    <w:uiPriority w:val="99"/>
    <w:rsid w:val="008673C7"/>
    <w:rPr>
      <w:rFonts w:ascii="Arial" w:hAnsi="Arial"/>
      <w:b/>
      <w:kern w:val="32"/>
      <w:sz w:val="32"/>
      <w:lang w:eastAsia="ru-RU"/>
    </w:rPr>
  </w:style>
  <w:style w:type="paragraph" w:customStyle="1" w:styleId="16">
    <w:name w:val="Абзац списка1"/>
    <w:basedOn w:val="a1"/>
    <w:link w:val="ListParagraphChar"/>
    <w:qFormat/>
    <w:rsid w:val="008673C7"/>
    <w:pPr>
      <w:widowControl/>
      <w:autoSpaceDE/>
      <w:autoSpaceDN/>
      <w:adjustRightInd/>
      <w:spacing w:after="200" w:line="276" w:lineRule="auto"/>
      <w:ind w:left="720"/>
      <w:contextualSpacing/>
    </w:pPr>
    <w:rPr>
      <w:rFonts w:ascii="Calibri" w:eastAsia="Calibri" w:hAnsi="Calibri"/>
      <w:sz w:val="20"/>
      <w:szCs w:val="20"/>
      <w:lang w:val="x-none" w:eastAsia="x-none"/>
    </w:rPr>
  </w:style>
  <w:style w:type="character" w:customStyle="1" w:styleId="ListParagraphChar">
    <w:name w:val="List Paragraph Char"/>
    <w:link w:val="16"/>
    <w:locked/>
    <w:rsid w:val="008673C7"/>
    <w:rPr>
      <w:rFonts w:ascii="Calibri" w:eastAsia="Calibri" w:hAnsi="Calibri" w:cs="Times New Roman"/>
      <w:sz w:val="20"/>
      <w:szCs w:val="20"/>
      <w:lang w:val="x-none" w:eastAsia="x-none"/>
    </w:rPr>
  </w:style>
  <w:style w:type="paragraph" w:styleId="22">
    <w:name w:val="Body Text Indent 2"/>
    <w:basedOn w:val="a1"/>
    <w:link w:val="23"/>
    <w:uiPriority w:val="99"/>
    <w:rsid w:val="008673C7"/>
    <w:pPr>
      <w:widowControl/>
      <w:autoSpaceDE/>
      <w:autoSpaceDN/>
      <w:adjustRightInd/>
      <w:spacing w:after="120" w:line="480" w:lineRule="auto"/>
      <w:ind w:left="283"/>
    </w:pPr>
    <w:rPr>
      <w:rFonts w:ascii="Calibri" w:eastAsia="Calibri" w:hAnsi="Calibri"/>
      <w:sz w:val="20"/>
      <w:szCs w:val="20"/>
      <w:lang w:val="x-none" w:eastAsia="x-none"/>
    </w:rPr>
  </w:style>
  <w:style w:type="character" w:customStyle="1" w:styleId="23">
    <w:name w:val="Основной текст с отступом 2 Знак"/>
    <w:basedOn w:val="a2"/>
    <w:link w:val="22"/>
    <w:uiPriority w:val="99"/>
    <w:rsid w:val="008673C7"/>
    <w:rPr>
      <w:rFonts w:ascii="Calibri" w:eastAsia="Calibri" w:hAnsi="Calibri" w:cs="Times New Roman"/>
      <w:sz w:val="20"/>
      <w:szCs w:val="20"/>
      <w:lang w:val="x-none" w:eastAsia="x-none"/>
    </w:rPr>
  </w:style>
  <w:style w:type="paragraph" w:customStyle="1" w:styleId="aff">
    <w:name w:val="Заголовок ГП"/>
    <w:basedOn w:val="16"/>
    <w:link w:val="aff0"/>
    <w:uiPriority w:val="99"/>
    <w:qFormat/>
    <w:rsid w:val="008673C7"/>
    <w:pPr>
      <w:tabs>
        <w:tab w:val="left" w:pos="284"/>
      </w:tabs>
      <w:ind w:left="0" w:hanging="360"/>
      <w:jc w:val="center"/>
    </w:pPr>
    <w:rPr>
      <w:b/>
      <w:sz w:val="32"/>
    </w:rPr>
  </w:style>
  <w:style w:type="character" w:customStyle="1" w:styleId="aff0">
    <w:name w:val="Заголовок ГП Знак"/>
    <w:link w:val="aff"/>
    <w:uiPriority w:val="99"/>
    <w:locked/>
    <w:rsid w:val="008673C7"/>
    <w:rPr>
      <w:rFonts w:ascii="Calibri" w:eastAsia="Calibri" w:hAnsi="Calibri" w:cs="Times New Roman"/>
      <w:b/>
      <w:sz w:val="32"/>
      <w:szCs w:val="20"/>
      <w:lang w:val="x-none" w:eastAsia="x-none"/>
    </w:rPr>
  </w:style>
  <w:style w:type="character" w:customStyle="1" w:styleId="62">
    <w:name w:val="Знак Знак6"/>
    <w:uiPriority w:val="99"/>
    <w:rsid w:val="008673C7"/>
    <w:rPr>
      <w:rFonts w:ascii="Calibri" w:hAnsi="Calibri"/>
      <w:sz w:val="22"/>
      <w:lang w:eastAsia="en-US"/>
    </w:rPr>
  </w:style>
  <w:style w:type="character" w:customStyle="1" w:styleId="52">
    <w:name w:val="Знак Знак5"/>
    <w:uiPriority w:val="99"/>
    <w:rsid w:val="008673C7"/>
    <w:rPr>
      <w:rFonts w:ascii="Calibri" w:hAnsi="Calibri"/>
      <w:sz w:val="22"/>
      <w:lang w:eastAsia="en-US"/>
    </w:rPr>
  </w:style>
  <w:style w:type="paragraph" w:styleId="aff1">
    <w:name w:val="Document Map"/>
    <w:basedOn w:val="a1"/>
    <w:link w:val="aff2"/>
    <w:uiPriority w:val="99"/>
    <w:semiHidden/>
    <w:rsid w:val="008673C7"/>
    <w:pPr>
      <w:widowControl/>
      <w:autoSpaceDE/>
      <w:autoSpaceDN/>
      <w:adjustRightInd/>
      <w:spacing w:after="200" w:line="276" w:lineRule="auto"/>
    </w:pPr>
    <w:rPr>
      <w:rFonts w:ascii="Tahoma" w:eastAsia="Calibri" w:hAnsi="Tahoma"/>
      <w:sz w:val="16"/>
      <w:szCs w:val="20"/>
      <w:lang w:val="x-none" w:eastAsia="x-none"/>
    </w:rPr>
  </w:style>
  <w:style w:type="character" w:customStyle="1" w:styleId="aff2">
    <w:name w:val="Схема документа Знак"/>
    <w:basedOn w:val="a2"/>
    <w:link w:val="aff1"/>
    <w:uiPriority w:val="99"/>
    <w:semiHidden/>
    <w:rsid w:val="008673C7"/>
    <w:rPr>
      <w:rFonts w:ascii="Tahoma" w:eastAsia="Calibri" w:hAnsi="Tahoma" w:cs="Times New Roman"/>
      <w:sz w:val="16"/>
      <w:szCs w:val="20"/>
      <w:lang w:val="x-none" w:eastAsia="x-none"/>
    </w:rPr>
  </w:style>
  <w:style w:type="paragraph" w:customStyle="1" w:styleId="17">
    <w:name w:val="Заголовок оглавления1"/>
    <w:basedOn w:val="1"/>
    <w:next w:val="a1"/>
    <w:uiPriority w:val="99"/>
    <w:qFormat/>
    <w:rsid w:val="008673C7"/>
    <w:pPr>
      <w:keepLines/>
      <w:spacing w:before="480" w:line="276" w:lineRule="auto"/>
      <w:ind w:firstLine="0"/>
      <w:outlineLvl w:val="9"/>
    </w:pPr>
    <w:rPr>
      <w:rFonts w:ascii="Cambria" w:eastAsia="Calibri" w:hAnsi="Cambria"/>
      <w:b/>
      <w:color w:val="365F91"/>
      <w:sz w:val="20"/>
      <w:szCs w:val="20"/>
      <w:lang w:eastAsia="x-none"/>
    </w:rPr>
  </w:style>
  <w:style w:type="paragraph" w:styleId="aff3">
    <w:name w:val="Subtitle"/>
    <w:basedOn w:val="a1"/>
    <w:next w:val="a1"/>
    <w:link w:val="aff4"/>
    <w:qFormat/>
    <w:rsid w:val="008673C7"/>
    <w:pPr>
      <w:widowControl/>
      <w:autoSpaceDE/>
      <w:autoSpaceDN/>
      <w:adjustRightInd/>
      <w:spacing w:after="60" w:line="276" w:lineRule="auto"/>
      <w:jc w:val="center"/>
      <w:outlineLvl w:val="1"/>
    </w:pPr>
    <w:rPr>
      <w:rFonts w:ascii="Calibri" w:eastAsia="Calibri" w:hAnsi="Calibri"/>
      <w:b/>
      <w:i/>
      <w:sz w:val="20"/>
      <w:szCs w:val="20"/>
      <w:lang w:val="x-none" w:eastAsia="x-none"/>
    </w:rPr>
  </w:style>
  <w:style w:type="character" w:customStyle="1" w:styleId="aff4">
    <w:name w:val="Подзаголовок Знак"/>
    <w:basedOn w:val="a2"/>
    <w:link w:val="aff3"/>
    <w:rsid w:val="008673C7"/>
    <w:rPr>
      <w:rFonts w:ascii="Calibri" w:eastAsia="Calibri" w:hAnsi="Calibri" w:cs="Times New Roman"/>
      <w:b/>
      <w:i/>
      <w:sz w:val="20"/>
      <w:szCs w:val="20"/>
      <w:lang w:val="x-none" w:eastAsia="x-none"/>
    </w:rPr>
  </w:style>
  <w:style w:type="character" w:customStyle="1" w:styleId="SubtitleChar">
    <w:name w:val="Subtitle Char"/>
    <w:uiPriority w:val="99"/>
    <w:locked/>
    <w:rsid w:val="008673C7"/>
    <w:rPr>
      <w:rFonts w:eastAsia="Times New Roman" w:cs="Times New Roman"/>
      <w:b/>
      <w:i/>
      <w:sz w:val="28"/>
      <w:lang w:val="ru-RU" w:eastAsia="en-US"/>
    </w:rPr>
  </w:style>
  <w:style w:type="paragraph" w:customStyle="1" w:styleId="Web">
    <w:name w:val="Обычный (Web)"/>
    <w:basedOn w:val="a1"/>
    <w:uiPriority w:val="99"/>
    <w:qFormat/>
    <w:rsid w:val="008673C7"/>
    <w:pPr>
      <w:widowControl/>
      <w:autoSpaceDE/>
      <w:autoSpaceDN/>
      <w:adjustRightInd/>
      <w:spacing w:before="100" w:after="100"/>
    </w:pPr>
    <w:rPr>
      <w:szCs w:val="20"/>
    </w:rPr>
  </w:style>
  <w:style w:type="character" w:customStyle="1" w:styleId="af3">
    <w:name w:val="Обычный (веб) Знак"/>
    <w:aliases w:val="Обычный (Web)1 Знак1,Обычный (веб) Знак1 Знак1,Обычный (веб) Знак Знак1 Знак1,Обычный (веб) Знак Знак Знак Знак2,Знак Знак1 Знак Знак Знак1,Обычный (веб) Знак Знак Знак Знак Знак1,Знак Знак Знак Знак Знак Знак1,Знак4 Зна Знак1"/>
    <w:link w:val="af2"/>
    <w:uiPriority w:val="99"/>
    <w:locked/>
    <w:rsid w:val="008673C7"/>
    <w:rPr>
      <w:rFonts w:ascii="Times New Roman" w:eastAsia="Times New Roman" w:hAnsi="Times New Roman" w:cs="Times New Roman"/>
      <w:sz w:val="24"/>
      <w:szCs w:val="24"/>
      <w:lang w:val="x-none" w:eastAsia="ru-RU"/>
    </w:rPr>
  </w:style>
  <w:style w:type="paragraph" w:customStyle="1" w:styleId="rvps1401">
    <w:name w:val="rvps1401"/>
    <w:basedOn w:val="a1"/>
    <w:uiPriority w:val="99"/>
    <w:qFormat/>
    <w:rsid w:val="008673C7"/>
    <w:pPr>
      <w:widowControl/>
      <w:autoSpaceDE/>
      <w:autoSpaceDN/>
      <w:adjustRightInd/>
      <w:spacing w:after="225"/>
    </w:pPr>
    <w:rPr>
      <w:rFonts w:ascii="Arial" w:hAnsi="Arial" w:cs="Arial"/>
      <w:color w:val="000000"/>
      <w:sz w:val="18"/>
      <w:szCs w:val="18"/>
    </w:rPr>
  </w:style>
  <w:style w:type="paragraph" w:styleId="32">
    <w:name w:val="Body Text Indent 3"/>
    <w:basedOn w:val="a1"/>
    <w:link w:val="33"/>
    <w:uiPriority w:val="99"/>
    <w:rsid w:val="008673C7"/>
    <w:pPr>
      <w:widowControl/>
      <w:autoSpaceDE/>
      <w:autoSpaceDN/>
      <w:adjustRightInd/>
      <w:spacing w:after="120" w:line="276" w:lineRule="auto"/>
      <w:ind w:left="283"/>
    </w:pPr>
    <w:rPr>
      <w:rFonts w:ascii="Calibri" w:eastAsia="Calibri" w:hAnsi="Calibri"/>
      <w:sz w:val="16"/>
      <w:szCs w:val="20"/>
      <w:lang w:val="x-none" w:eastAsia="x-none"/>
    </w:rPr>
  </w:style>
  <w:style w:type="character" w:customStyle="1" w:styleId="33">
    <w:name w:val="Основной текст с отступом 3 Знак"/>
    <w:basedOn w:val="a2"/>
    <w:link w:val="32"/>
    <w:uiPriority w:val="99"/>
    <w:rsid w:val="008673C7"/>
    <w:rPr>
      <w:rFonts w:ascii="Calibri" w:eastAsia="Calibri" w:hAnsi="Calibri" w:cs="Times New Roman"/>
      <w:sz w:val="16"/>
      <w:szCs w:val="20"/>
      <w:lang w:val="x-none" w:eastAsia="x-none"/>
    </w:rPr>
  </w:style>
  <w:style w:type="character" w:customStyle="1" w:styleId="TitleChar">
    <w:name w:val="Title Char"/>
    <w:uiPriority w:val="99"/>
    <w:locked/>
    <w:rsid w:val="008673C7"/>
    <w:rPr>
      <w:rFonts w:ascii="Arial" w:hAnsi="Arial" w:cs="Times New Roman"/>
      <w:b/>
      <w:sz w:val="28"/>
      <w:lang w:val="ru-RU" w:eastAsia="ru-RU"/>
    </w:rPr>
  </w:style>
  <w:style w:type="paragraph" w:customStyle="1" w:styleId="aff5">
    <w:name w:val="Основной"/>
    <w:basedOn w:val="a1"/>
    <w:uiPriority w:val="99"/>
    <w:qFormat/>
    <w:rsid w:val="008673C7"/>
    <w:pPr>
      <w:widowControl/>
      <w:autoSpaceDE/>
      <w:autoSpaceDN/>
      <w:adjustRightInd/>
      <w:ind w:firstLine="426"/>
      <w:jc w:val="both"/>
    </w:pPr>
    <w:rPr>
      <w:szCs w:val="20"/>
    </w:rPr>
  </w:style>
  <w:style w:type="paragraph" w:customStyle="1" w:styleId="ufk2">
    <w:name w:val="ufk2"/>
    <w:basedOn w:val="a1"/>
    <w:uiPriority w:val="99"/>
    <w:qFormat/>
    <w:rsid w:val="008673C7"/>
    <w:pPr>
      <w:widowControl/>
      <w:tabs>
        <w:tab w:val="num" w:pos="540"/>
      </w:tabs>
      <w:autoSpaceDE/>
      <w:autoSpaceDN/>
      <w:adjustRightInd/>
      <w:ind w:left="540" w:hanging="360"/>
      <w:jc w:val="both"/>
    </w:pPr>
  </w:style>
  <w:style w:type="paragraph" w:customStyle="1" w:styleId="18">
    <w:name w:val="Стиль1"/>
    <w:basedOn w:val="a1"/>
    <w:link w:val="19"/>
    <w:autoRedefine/>
    <w:uiPriority w:val="99"/>
    <w:qFormat/>
    <w:rsid w:val="008673C7"/>
    <w:pPr>
      <w:widowControl/>
      <w:autoSpaceDE/>
      <w:autoSpaceDN/>
      <w:adjustRightInd/>
      <w:ind w:right="181" w:firstLine="720"/>
      <w:jc w:val="both"/>
    </w:pPr>
    <w:rPr>
      <w:rFonts w:ascii="Calibri" w:eastAsia="Calibri" w:hAnsi="Calibri"/>
      <w:sz w:val="20"/>
      <w:szCs w:val="20"/>
      <w:lang w:val="x-none"/>
    </w:rPr>
  </w:style>
  <w:style w:type="character" w:customStyle="1" w:styleId="19">
    <w:name w:val="Стиль1 Знак"/>
    <w:link w:val="18"/>
    <w:uiPriority w:val="99"/>
    <w:locked/>
    <w:rsid w:val="008673C7"/>
    <w:rPr>
      <w:rFonts w:ascii="Calibri" w:eastAsia="Calibri" w:hAnsi="Calibri" w:cs="Times New Roman"/>
      <w:sz w:val="20"/>
      <w:szCs w:val="20"/>
      <w:lang w:val="x-none" w:eastAsia="ru-RU"/>
    </w:rPr>
  </w:style>
  <w:style w:type="character" w:styleId="aff6">
    <w:name w:val="FollowedHyperlink"/>
    <w:uiPriority w:val="99"/>
    <w:rsid w:val="008673C7"/>
    <w:rPr>
      <w:rFonts w:cs="Times New Roman"/>
      <w:color w:val="800080"/>
      <w:u w:val="single"/>
    </w:rPr>
  </w:style>
  <w:style w:type="character" w:customStyle="1" w:styleId="Bodytext">
    <w:name w:val="Body text_"/>
    <w:link w:val="1a"/>
    <w:uiPriority w:val="99"/>
    <w:locked/>
    <w:rsid w:val="008673C7"/>
    <w:rPr>
      <w:shd w:val="clear" w:color="auto" w:fill="FFFFFF"/>
    </w:rPr>
  </w:style>
  <w:style w:type="paragraph" w:customStyle="1" w:styleId="1a">
    <w:name w:val="Основной текст1"/>
    <w:basedOn w:val="a1"/>
    <w:link w:val="Bodytext"/>
    <w:uiPriority w:val="99"/>
    <w:qFormat/>
    <w:rsid w:val="008673C7"/>
    <w:pPr>
      <w:widowControl/>
      <w:shd w:val="clear" w:color="auto" w:fill="FFFFFF"/>
      <w:autoSpaceDE/>
      <w:autoSpaceDN/>
      <w:adjustRightInd/>
      <w:spacing w:after="300" w:line="322" w:lineRule="exact"/>
      <w:jc w:val="both"/>
    </w:pPr>
    <w:rPr>
      <w:rFonts w:asciiTheme="minorHAnsi" w:eastAsiaTheme="minorHAnsi" w:hAnsiTheme="minorHAnsi" w:cstheme="minorBidi"/>
      <w:sz w:val="22"/>
      <w:szCs w:val="22"/>
      <w:lang w:eastAsia="en-US"/>
    </w:rPr>
  </w:style>
  <w:style w:type="paragraph" w:styleId="aff7">
    <w:name w:val="endnote text"/>
    <w:basedOn w:val="a1"/>
    <w:link w:val="aff8"/>
    <w:uiPriority w:val="99"/>
    <w:semiHidden/>
    <w:rsid w:val="008673C7"/>
    <w:pPr>
      <w:widowControl/>
      <w:autoSpaceDE/>
      <w:autoSpaceDN/>
      <w:adjustRightInd/>
      <w:spacing w:after="200" w:line="276" w:lineRule="auto"/>
    </w:pPr>
    <w:rPr>
      <w:rFonts w:ascii="Calibri" w:eastAsia="Calibri" w:hAnsi="Calibri"/>
      <w:sz w:val="20"/>
      <w:szCs w:val="20"/>
      <w:lang w:val="x-none" w:eastAsia="x-none"/>
    </w:rPr>
  </w:style>
  <w:style w:type="character" w:customStyle="1" w:styleId="aff8">
    <w:name w:val="Текст концевой сноски Знак"/>
    <w:basedOn w:val="a2"/>
    <w:link w:val="aff7"/>
    <w:uiPriority w:val="99"/>
    <w:semiHidden/>
    <w:rsid w:val="008673C7"/>
    <w:rPr>
      <w:rFonts w:ascii="Calibri" w:eastAsia="Calibri" w:hAnsi="Calibri" w:cs="Times New Roman"/>
      <w:sz w:val="20"/>
      <w:szCs w:val="20"/>
      <w:lang w:val="x-none" w:eastAsia="x-none"/>
    </w:rPr>
  </w:style>
  <w:style w:type="paragraph" w:customStyle="1" w:styleId="Default">
    <w:name w:val="Default"/>
    <w:uiPriority w:val="99"/>
    <w:qFormat/>
    <w:rsid w:val="008673C7"/>
    <w:pPr>
      <w:autoSpaceDE w:val="0"/>
      <w:autoSpaceDN w:val="0"/>
      <w:adjustRightInd w:val="0"/>
      <w:spacing w:after="0" w:line="240" w:lineRule="auto"/>
    </w:pPr>
    <w:rPr>
      <w:rFonts w:ascii="Helios" w:eastAsia="Times New Roman" w:hAnsi="Helios" w:cs="Helios"/>
      <w:color w:val="000000"/>
      <w:sz w:val="24"/>
      <w:szCs w:val="24"/>
      <w:lang w:eastAsia="ru-RU"/>
    </w:rPr>
  </w:style>
  <w:style w:type="character" w:customStyle="1" w:styleId="FontStyle11">
    <w:name w:val="Font Style11"/>
    <w:uiPriority w:val="99"/>
    <w:rsid w:val="008673C7"/>
    <w:rPr>
      <w:rFonts w:ascii="Times New Roman" w:hAnsi="Times New Roman"/>
      <w:sz w:val="24"/>
    </w:rPr>
  </w:style>
  <w:style w:type="paragraph" w:customStyle="1" w:styleId="aff9">
    <w:name w:val="Доклад: основной текст"/>
    <w:basedOn w:val="a1"/>
    <w:link w:val="affa"/>
    <w:uiPriority w:val="99"/>
    <w:qFormat/>
    <w:rsid w:val="008673C7"/>
    <w:pPr>
      <w:widowControl/>
      <w:autoSpaceDE/>
      <w:autoSpaceDN/>
      <w:adjustRightInd/>
      <w:spacing w:line="360" w:lineRule="auto"/>
      <w:ind w:firstLine="567"/>
      <w:jc w:val="both"/>
    </w:pPr>
    <w:rPr>
      <w:rFonts w:ascii="Arial" w:eastAsia="Calibri" w:hAnsi="Arial"/>
      <w:sz w:val="20"/>
      <w:szCs w:val="20"/>
      <w:lang w:val="x-none"/>
    </w:rPr>
  </w:style>
  <w:style w:type="character" w:customStyle="1" w:styleId="affa">
    <w:name w:val="Доклад: основной текст Знак"/>
    <w:link w:val="aff9"/>
    <w:uiPriority w:val="99"/>
    <w:locked/>
    <w:rsid w:val="008673C7"/>
    <w:rPr>
      <w:rFonts w:ascii="Arial" w:eastAsia="Calibri" w:hAnsi="Arial" w:cs="Times New Roman"/>
      <w:sz w:val="20"/>
      <w:szCs w:val="20"/>
      <w:lang w:val="x-none" w:eastAsia="ru-RU"/>
    </w:rPr>
  </w:style>
  <w:style w:type="character" w:styleId="affb">
    <w:name w:val="page number"/>
    <w:rsid w:val="008673C7"/>
    <w:rPr>
      <w:rFonts w:cs="Times New Roman"/>
    </w:rPr>
  </w:style>
  <w:style w:type="paragraph" w:customStyle="1" w:styleId="ConsPlusTitle">
    <w:name w:val="ConsPlusTitle"/>
    <w:uiPriority w:val="99"/>
    <w:qFormat/>
    <w:rsid w:val="008673C7"/>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Normal">
    <w:name w:val="ConsNormal"/>
    <w:uiPriority w:val="99"/>
    <w:qFormat/>
    <w:rsid w:val="008673C7"/>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100">
    <w:name w:val="Знак Знак10"/>
    <w:uiPriority w:val="99"/>
    <w:rsid w:val="008673C7"/>
    <w:rPr>
      <w:rFonts w:ascii="Arial" w:hAnsi="Arial"/>
      <w:b/>
      <w:kern w:val="32"/>
      <w:sz w:val="32"/>
      <w:lang w:eastAsia="ru-RU"/>
    </w:rPr>
  </w:style>
  <w:style w:type="character" w:customStyle="1" w:styleId="92">
    <w:name w:val="Знак Знак9"/>
    <w:uiPriority w:val="99"/>
    <w:locked/>
    <w:rsid w:val="008673C7"/>
    <w:rPr>
      <w:rFonts w:ascii="Arial" w:hAnsi="Arial"/>
      <w:b/>
      <w:i/>
      <w:sz w:val="28"/>
      <w:lang w:val="ru-RU" w:eastAsia="en-US"/>
    </w:rPr>
  </w:style>
  <w:style w:type="character" w:customStyle="1" w:styleId="Web1">
    <w:name w:val="Обычный (Web)1 Знак"/>
    <w:aliases w:val="Обычный (веб) Знак1 Знак,Обычный (веб) Знак Знак1 Знак,Обычный (веб) Знак Знак Знак Знак1,Знак Знак1 Знак Знак Знак,Обычный (веб) Знак Знак Знак Знак Знак,Знак Знак Знак Знак Знак Знак,Знак4 Зна Знак"/>
    <w:uiPriority w:val="99"/>
    <w:locked/>
    <w:rsid w:val="008673C7"/>
    <w:rPr>
      <w:color w:val="000000"/>
      <w:sz w:val="24"/>
      <w:lang w:val="ru-RU" w:eastAsia="ru-RU"/>
    </w:rPr>
  </w:style>
  <w:style w:type="character" w:customStyle="1" w:styleId="FontStyle70">
    <w:name w:val="Font Style70"/>
    <w:uiPriority w:val="99"/>
    <w:rsid w:val="008673C7"/>
    <w:rPr>
      <w:rFonts w:ascii="Franklin Gothic Medium Cond" w:hAnsi="Franklin Gothic Medium Cond"/>
      <w:sz w:val="20"/>
    </w:rPr>
  </w:style>
  <w:style w:type="paragraph" w:customStyle="1" w:styleId="Style3">
    <w:name w:val="Style3"/>
    <w:basedOn w:val="a1"/>
    <w:uiPriority w:val="99"/>
    <w:qFormat/>
    <w:rsid w:val="008673C7"/>
    <w:pPr>
      <w:spacing w:line="264" w:lineRule="exact"/>
      <w:ind w:firstLine="283"/>
      <w:jc w:val="both"/>
    </w:pPr>
  </w:style>
  <w:style w:type="character" w:customStyle="1" w:styleId="FontStyle25">
    <w:name w:val="Font Style25"/>
    <w:uiPriority w:val="99"/>
    <w:rsid w:val="008673C7"/>
    <w:rPr>
      <w:rFonts w:ascii="Times New Roman" w:hAnsi="Times New Roman"/>
      <w:sz w:val="20"/>
    </w:rPr>
  </w:style>
  <w:style w:type="paragraph" w:customStyle="1" w:styleId="Style10">
    <w:name w:val="Style10"/>
    <w:basedOn w:val="a1"/>
    <w:uiPriority w:val="99"/>
    <w:qFormat/>
    <w:rsid w:val="008673C7"/>
    <w:pPr>
      <w:spacing w:line="269" w:lineRule="exact"/>
      <w:ind w:hanging="254"/>
    </w:pPr>
  </w:style>
  <w:style w:type="character" w:customStyle="1" w:styleId="FontStyle26">
    <w:name w:val="Font Style26"/>
    <w:uiPriority w:val="99"/>
    <w:rsid w:val="008673C7"/>
    <w:rPr>
      <w:rFonts w:ascii="Times New Roman" w:hAnsi="Times New Roman"/>
      <w:i/>
      <w:sz w:val="20"/>
    </w:rPr>
  </w:style>
  <w:style w:type="paragraph" w:customStyle="1" w:styleId="Pa4">
    <w:name w:val="Pa4"/>
    <w:basedOn w:val="Default"/>
    <w:next w:val="Default"/>
    <w:uiPriority w:val="99"/>
    <w:qFormat/>
    <w:rsid w:val="008673C7"/>
    <w:pPr>
      <w:spacing w:line="181" w:lineRule="atLeast"/>
    </w:pPr>
    <w:rPr>
      <w:rFonts w:cs="Times New Roman"/>
      <w:color w:val="auto"/>
    </w:rPr>
  </w:style>
  <w:style w:type="paragraph" w:customStyle="1" w:styleId="1b">
    <w:name w:val="1"/>
    <w:basedOn w:val="a1"/>
    <w:uiPriority w:val="99"/>
    <w:qFormat/>
    <w:rsid w:val="008673C7"/>
    <w:pPr>
      <w:widowControl/>
      <w:autoSpaceDE/>
      <w:autoSpaceDN/>
      <w:adjustRightInd/>
      <w:jc w:val="center"/>
    </w:pPr>
    <w:rPr>
      <w:color w:val="000000"/>
      <w:sz w:val="28"/>
      <w:szCs w:val="28"/>
    </w:rPr>
  </w:style>
  <w:style w:type="character" w:customStyle="1" w:styleId="24">
    <w:name w:val="Знак Знак2"/>
    <w:uiPriority w:val="99"/>
    <w:rsid w:val="008673C7"/>
    <w:rPr>
      <w:rFonts w:ascii="Calibri" w:hAnsi="Calibri"/>
      <w:sz w:val="16"/>
      <w:lang w:eastAsia="en-US"/>
    </w:rPr>
  </w:style>
  <w:style w:type="paragraph" w:customStyle="1" w:styleId="affc">
    <w:name w:val="МОН"/>
    <w:basedOn w:val="a1"/>
    <w:uiPriority w:val="99"/>
    <w:qFormat/>
    <w:rsid w:val="008673C7"/>
    <w:pPr>
      <w:widowControl/>
      <w:autoSpaceDE/>
      <w:autoSpaceDN/>
      <w:adjustRightInd/>
      <w:spacing w:line="360" w:lineRule="auto"/>
      <w:ind w:firstLine="709"/>
      <w:jc w:val="both"/>
    </w:pPr>
    <w:rPr>
      <w:sz w:val="28"/>
    </w:rPr>
  </w:style>
  <w:style w:type="paragraph" w:customStyle="1" w:styleId="affd">
    <w:name w:val="a"/>
    <w:basedOn w:val="a1"/>
    <w:uiPriority w:val="99"/>
    <w:qFormat/>
    <w:rsid w:val="008673C7"/>
    <w:pPr>
      <w:widowControl/>
      <w:adjustRightInd/>
    </w:pPr>
    <w:rPr>
      <w:color w:val="000000"/>
      <w:sz w:val="22"/>
      <w:szCs w:val="22"/>
    </w:rPr>
  </w:style>
  <w:style w:type="character" w:customStyle="1" w:styleId="division">
    <w:name w:val="division"/>
    <w:uiPriority w:val="99"/>
    <w:rsid w:val="008673C7"/>
  </w:style>
  <w:style w:type="paragraph" w:customStyle="1" w:styleId="affe">
    <w:name w:val="Знак Знак Знак"/>
    <w:basedOn w:val="a1"/>
    <w:uiPriority w:val="99"/>
    <w:qFormat/>
    <w:rsid w:val="008673C7"/>
    <w:pPr>
      <w:widowControl/>
      <w:autoSpaceDE/>
      <w:autoSpaceDN/>
      <w:adjustRightInd/>
      <w:spacing w:after="160" w:line="240" w:lineRule="exact"/>
    </w:pPr>
    <w:rPr>
      <w:rFonts w:ascii="Verdana" w:hAnsi="Verdana"/>
      <w:sz w:val="20"/>
      <w:szCs w:val="20"/>
      <w:lang w:val="en-US" w:eastAsia="en-US"/>
    </w:rPr>
  </w:style>
  <w:style w:type="paragraph" w:styleId="afff">
    <w:name w:val="annotation text"/>
    <w:basedOn w:val="a1"/>
    <w:link w:val="25"/>
    <w:rsid w:val="008673C7"/>
    <w:pPr>
      <w:widowControl/>
      <w:autoSpaceDE/>
      <w:autoSpaceDN/>
      <w:adjustRightInd/>
      <w:spacing w:after="200" w:line="276" w:lineRule="auto"/>
    </w:pPr>
    <w:rPr>
      <w:rFonts w:ascii="Calibri" w:eastAsia="Calibri" w:hAnsi="Calibri"/>
      <w:sz w:val="20"/>
      <w:szCs w:val="20"/>
      <w:lang w:val="x-none" w:eastAsia="x-none"/>
    </w:rPr>
  </w:style>
  <w:style w:type="character" w:customStyle="1" w:styleId="afff0">
    <w:name w:val="Текст примечания Знак"/>
    <w:basedOn w:val="a2"/>
    <w:rsid w:val="008673C7"/>
    <w:rPr>
      <w:rFonts w:ascii="Times New Roman" w:eastAsia="Times New Roman" w:hAnsi="Times New Roman" w:cs="Times New Roman"/>
      <w:sz w:val="20"/>
      <w:szCs w:val="20"/>
      <w:lang w:eastAsia="ru-RU"/>
    </w:rPr>
  </w:style>
  <w:style w:type="character" w:customStyle="1" w:styleId="25">
    <w:name w:val="Текст примечания Знак2"/>
    <w:link w:val="afff"/>
    <w:locked/>
    <w:rsid w:val="008673C7"/>
    <w:rPr>
      <w:rFonts w:ascii="Calibri" w:eastAsia="Calibri" w:hAnsi="Calibri" w:cs="Times New Roman"/>
      <w:sz w:val="20"/>
      <w:szCs w:val="20"/>
      <w:lang w:val="x-none" w:eastAsia="x-none"/>
    </w:rPr>
  </w:style>
  <w:style w:type="paragraph" w:styleId="afff1">
    <w:name w:val="annotation subject"/>
    <w:basedOn w:val="afff"/>
    <w:next w:val="afff"/>
    <w:link w:val="afff2"/>
    <w:rsid w:val="008673C7"/>
    <w:rPr>
      <w:b/>
    </w:rPr>
  </w:style>
  <w:style w:type="character" w:customStyle="1" w:styleId="afff2">
    <w:name w:val="Тема примечания Знак"/>
    <w:basedOn w:val="afff0"/>
    <w:link w:val="afff1"/>
    <w:rsid w:val="008673C7"/>
    <w:rPr>
      <w:rFonts w:ascii="Calibri" w:eastAsia="Calibri" w:hAnsi="Calibri" w:cs="Times New Roman"/>
      <w:b/>
      <w:sz w:val="20"/>
      <w:szCs w:val="20"/>
      <w:lang w:val="x-none" w:eastAsia="x-none"/>
    </w:rPr>
  </w:style>
  <w:style w:type="paragraph" w:customStyle="1" w:styleId="nospacing">
    <w:name w:val="nospacing"/>
    <w:basedOn w:val="a1"/>
    <w:uiPriority w:val="99"/>
    <w:qFormat/>
    <w:rsid w:val="008673C7"/>
    <w:pPr>
      <w:widowControl/>
      <w:autoSpaceDE/>
      <w:autoSpaceDN/>
      <w:adjustRightInd/>
    </w:pPr>
    <w:rPr>
      <w:rFonts w:ascii="Calibri" w:hAnsi="Calibri" w:cs="Calibri"/>
      <w:sz w:val="22"/>
      <w:szCs w:val="22"/>
    </w:rPr>
  </w:style>
  <w:style w:type="paragraph" w:customStyle="1" w:styleId="consplustitle0">
    <w:name w:val="consplustitle"/>
    <w:basedOn w:val="a1"/>
    <w:uiPriority w:val="99"/>
    <w:qFormat/>
    <w:rsid w:val="008673C7"/>
    <w:pPr>
      <w:widowControl/>
      <w:adjustRightInd/>
    </w:pPr>
    <w:rPr>
      <w:b/>
      <w:bCs/>
    </w:rPr>
  </w:style>
  <w:style w:type="character" w:customStyle="1" w:styleId="apple-style-span">
    <w:name w:val="apple-style-span"/>
    <w:uiPriority w:val="99"/>
    <w:rsid w:val="008673C7"/>
  </w:style>
  <w:style w:type="paragraph" w:customStyle="1" w:styleId="style13202222110000000419msonormal">
    <w:name w:val="style_13202222110000000419msonormal"/>
    <w:basedOn w:val="a1"/>
    <w:uiPriority w:val="99"/>
    <w:qFormat/>
    <w:rsid w:val="008673C7"/>
    <w:pPr>
      <w:widowControl/>
      <w:autoSpaceDE/>
      <w:autoSpaceDN/>
      <w:adjustRightInd/>
      <w:spacing w:before="100" w:beforeAutospacing="1" w:after="100" w:afterAutospacing="1"/>
    </w:pPr>
  </w:style>
  <w:style w:type="paragraph" w:styleId="26">
    <w:name w:val="List 2"/>
    <w:basedOn w:val="a1"/>
    <w:uiPriority w:val="99"/>
    <w:rsid w:val="008673C7"/>
    <w:pPr>
      <w:widowControl/>
      <w:autoSpaceDE/>
      <w:autoSpaceDN/>
      <w:adjustRightInd/>
      <w:ind w:left="566" w:hanging="283"/>
    </w:pPr>
  </w:style>
  <w:style w:type="paragraph" w:customStyle="1" w:styleId="111">
    <w:name w:val="Абзац списка11"/>
    <w:basedOn w:val="a1"/>
    <w:uiPriority w:val="99"/>
    <w:qFormat/>
    <w:rsid w:val="008673C7"/>
    <w:pPr>
      <w:widowControl/>
      <w:autoSpaceDE/>
      <w:autoSpaceDN/>
      <w:adjustRightInd/>
      <w:spacing w:after="200"/>
      <w:ind w:left="720" w:firstLine="709"/>
    </w:pPr>
    <w:rPr>
      <w:rFonts w:ascii="Calibri" w:hAnsi="Calibri"/>
      <w:sz w:val="22"/>
      <w:szCs w:val="22"/>
      <w:lang w:val="en-US" w:eastAsia="en-US"/>
    </w:rPr>
  </w:style>
  <w:style w:type="table" w:customStyle="1" w:styleId="1c">
    <w:name w:val="Сетка таблицы1"/>
    <w:basedOn w:val="a3"/>
    <w:next w:val="af1"/>
    <w:uiPriority w:val="59"/>
    <w:rsid w:val="008673C7"/>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0">
    <w:name w:val="Знак Знак15"/>
    <w:uiPriority w:val="99"/>
    <w:locked/>
    <w:rsid w:val="008673C7"/>
    <w:rPr>
      <w:rFonts w:ascii="Cambria" w:hAnsi="Cambria"/>
      <w:b/>
      <w:color w:val="4F81BD"/>
    </w:rPr>
  </w:style>
  <w:style w:type="character" w:styleId="afff3">
    <w:name w:val="annotation reference"/>
    <w:rsid w:val="008673C7"/>
    <w:rPr>
      <w:rFonts w:cs="Times New Roman"/>
      <w:sz w:val="16"/>
    </w:rPr>
  </w:style>
  <w:style w:type="paragraph" w:styleId="HTML0">
    <w:name w:val="HTML Preformatted"/>
    <w:basedOn w:val="a1"/>
    <w:link w:val="HTML1"/>
    <w:uiPriority w:val="99"/>
    <w:rsid w:val="008673C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eastAsia="Calibri" w:hAnsi="Courier New"/>
      <w:sz w:val="20"/>
      <w:szCs w:val="20"/>
      <w:lang w:val="x-none" w:eastAsia="x-none"/>
    </w:rPr>
  </w:style>
  <w:style w:type="character" w:customStyle="1" w:styleId="HTML1">
    <w:name w:val="Стандартный HTML Знак"/>
    <w:basedOn w:val="a2"/>
    <w:link w:val="HTML0"/>
    <w:uiPriority w:val="99"/>
    <w:rsid w:val="008673C7"/>
    <w:rPr>
      <w:rFonts w:ascii="Courier New" w:eastAsia="Calibri" w:hAnsi="Courier New" w:cs="Times New Roman"/>
      <w:sz w:val="20"/>
      <w:szCs w:val="20"/>
      <w:lang w:val="x-none" w:eastAsia="x-none"/>
    </w:rPr>
  </w:style>
  <w:style w:type="paragraph" w:customStyle="1" w:styleId="ListParagraph2">
    <w:name w:val="List Paragraph2"/>
    <w:basedOn w:val="a1"/>
    <w:uiPriority w:val="99"/>
    <w:qFormat/>
    <w:rsid w:val="008673C7"/>
    <w:pPr>
      <w:widowControl/>
      <w:autoSpaceDE/>
      <w:autoSpaceDN/>
      <w:adjustRightInd/>
      <w:spacing w:after="200" w:line="276" w:lineRule="auto"/>
      <w:ind w:left="720"/>
      <w:contextualSpacing/>
    </w:pPr>
    <w:rPr>
      <w:rFonts w:ascii="Calibri" w:hAnsi="Calibri"/>
      <w:sz w:val="22"/>
      <w:szCs w:val="22"/>
      <w:lang w:eastAsia="en-US"/>
    </w:rPr>
  </w:style>
  <w:style w:type="character" w:customStyle="1" w:styleId="210">
    <w:name w:val="Заголовок 2 Знак1"/>
    <w:aliases w:val="H2 Знак1,H21 Знак1,H22 Знак1,heading 2 Знак1"/>
    <w:uiPriority w:val="99"/>
    <w:semiHidden/>
    <w:rsid w:val="008673C7"/>
    <w:rPr>
      <w:rFonts w:ascii="Cambria" w:hAnsi="Cambria"/>
      <w:b/>
      <w:color w:val="4F81BD"/>
      <w:sz w:val="26"/>
    </w:rPr>
  </w:style>
  <w:style w:type="character" w:customStyle="1" w:styleId="1d">
    <w:name w:val="Текст примечания Знак1"/>
    <w:semiHidden/>
    <w:rsid w:val="008673C7"/>
    <w:rPr>
      <w:lang w:eastAsia="en-US"/>
    </w:rPr>
  </w:style>
  <w:style w:type="paragraph" w:customStyle="1" w:styleId="Revision1">
    <w:name w:val="Revision1"/>
    <w:hidden/>
    <w:uiPriority w:val="99"/>
    <w:semiHidden/>
    <w:qFormat/>
    <w:rsid w:val="008673C7"/>
    <w:pPr>
      <w:spacing w:after="0" w:line="240" w:lineRule="auto"/>
    </w:pPr>
    <w:rPr>
      <w:rFonts w:ascii="Calibri" w:eastAsia="Times New Roman" w:hAnsi="Calibri" w:cs="Times New Roman"/>
    </w:rPr>
  </w:style>
  <w:style w:type="paragraph" w:customStyle="1" w:styleId="Body1">
    <w:name w:val="Body 1"/>
    <w:uiPriority w:val="99"/>
    <w:qFormat/>
    <w:rsid w:val="008673C7"/>
    <w:pPr>
      <w:spacing w:after="200" w:line="276" w:lineRule="auto"/>
      <w:outlineLvl w:val="0"/>
    </w:pPr>
    <w:rPr>
      <w:rFonts w:ascii="Helvetica" w:eastAsia="Arial Unicode MS" w:hAnsi="Helvetica" w:cs="Times New Roman"/>
      <w:color w:val="000000"/>
      <w:szCs w:val="20"/>
      <w:u w:color="000000"/>
      <w:lang w:eastAsia="ru-RU"/>
    </w:rPr>
  </w:style>
  <w:style w:type="character" w:customStyle="1" w:styleId="rvts7">
    <w:name w:val="rvts7"/>
    <w:uiPriority w:val="99"/>
    <w:rsid w:val="008673C7"/>
  </w:style>
  <w:style w:type="paragraph" w:customStyle="1" w:styleId="rvps3">
    <w:name w:val="rvps3"/>
    <w:basedOn w:val="a1"/>
    <w:uiPriority w:val="99"/>
    <w:qFormat/>
    <w:rsid w:val="008673C7"/>
    <w:pPr>
      <w:widowControl/>
      <w:autoSpaceDE/>
      <w:autoSpaceDN/>
      <w:adjustRightInd/>
      <w:spacing w:before="100" w:beforeAutospacing="1" w:after="100" w:afterAutospacing="1"/>
    </w:pPr>
    <w:rPr>
      <w:color w:val="000000"/>
    </w:rPr>
  </w:style>
  <w:style w:type="character" w:styleId="afff4">
    <w:name w:val="Emphasis"/>
    <w:uiPriority w:val="20"/>
    <w:qFormat/>
    <w:rsid w:val="008673C7"/>
    <w:rPr>
      <w:rFonts w:cs="Times New Roman"/>
      <w:i/>
    </w:rPr>
  </w:style>
  <w:style w:type="paragraph" w:styleId="27">
    <w:name w:val="Body Text 2"/>
    <w:basedOn w:val="a1"/>
    <w:link w:val="28"/>
    <w:uiPriority w:val="99"/>
    <w:rsid w:val="008673C7"/>
    <w:pPr>
      <w:widowControl/>
      <w:autoSpaceDE/>
      <w:autoSpaceDN/>
      <w:adjustRightInd/>
      <w:spacing w:after="120" w:line="480" w:lineRule="auto"/>
    </w:pPr>
    <w:rPr>
      <w:rFonts w:ascii="Calibri" w:hAnsi="Calibri"/>
      <w:sz w:val="20"/>
      <w:szCs w:val="20"/>
      <w:lang w:val="x-none" w:eastAsia="x-none"/>
    </w:rPr>
  </w:style>
  <w:style w:type="character" w:customStyle="1" w:styleId="28">
    <w:name w:val="Основной текст 2 Знак"/>
    <w:basedOn w:val="a2"/>
    <w:link w:val="27"/>
    <w:uiPriority w:val="99"/>
    <w:rsid w:val="008673C7"/>
    <w:rPr>
      <w:rFonts w:ascii="Calibri" w:eastAsia="Times New Roman" w:hAnsi="Calibri" w:cs="Times New Roman"/>
      <w:sz w:val="20"/>
      <w:szCs w:val="20"/>
      <w:lang w:val="x-none" w:eastAsia="x-none"/>
    </w:rPr>
  </w:style>
  <w:style w:type="paragraph" w:customStyle="1" w:styleId="book">
    <w:name w:val="book"/>
    <w:basedOn w:val="a1"/>
    <w:uiPriority w:val="99"/>
    <w:qFormat/>
    <w:rsid w:val="008673C7"/>
    <w:pPr>
      <w:widowControl/>
      <w:autoSpaceDE/>
      <w:autoSpaceDN/>
      <w:adjustRightInd/>
      <w:ind w:firstLine="450"/>
      <w:jc w:val="both"/>
    </w:pPr>
    <w:rPr>
      <w:rFonts w:eastAsia="Calibri"/>
    </w:rPr>
  </w:style>
  <w:style w:type="character" w:customStyle="1" w:styleId="29">
    <w:name w:val="Основной текст (2)_"/>
    <w:link w:val="2a"/>
    <w:locked/>
    <w:rsid w:val="008673C7"/>
    <w:rPr>
      <w:b/>
      <w:sz w:val="26"/>
      <w:shd w:val="clear" w:color="auto" w:fill="FFFFFF"/>
    </w:rPr>
  </w:style>
  <w:style w:type="paragraph" w:customStyle="1" w:styleId="2a">
    <w:name w:val="Основной текст (2)"/>
    <w:basedOn w:val="a1"/>
    <w:link w:val="29"/>
    <w:qFormat/>
    <w:rsid w:val="008673C7"/>
    <w:pPr>
      <w:shd w:val="clear" w:color="auto" w:fill="FFFFFF"/>
      <w:autoSpaceDE/>
      <w:autoSpaceDN/>
      <w:adjustRightInd/>
      <w:spacing w:after="300" w:line="379" w:lineRule="exact"/>
      <w:ind w:firstLine="700"/>
      <w:jc w:val="both"/>
    </w:pPr>
    <w:rPr>
      <w:rFonts w:asciiTheme="minorHAnsi" w:eastAsiaTheme="minorHAnsi" w:hAnsiTheme="minorHAnsi" w:cstheme="minorBidi"/>
      <w:b/>
      <w:sz w:val="26"/>
      <w:szCs w:val="22"/>
      <w:lang w:eastAsia="en-US"/>
    </w:rPr>
  </w:style>
  <w:style w:type="character" w:customStyle="1" w:styleId="afff5">
    <w:name w:val="Основной текст_"/>
    <w:link w:val="42"/>
    <w:uiPriority w:val="99"/>
    <w:locked/>
    <w:rsid w:val="008673C7"/>
    <w:rPr>
      <w:sz w:val="26"/>
      <w:shd w:val="clear" w:color="auto" w:fill="FFFFFF"/>
    </w:rPr>
  </w:style>
  <w:style w:type="paragraph" w:customStyle="1" w:styleId="42">
    <w:name w:val="Основной текст4"/>
    <w:basedOn w:val="a1"/>
    <w:link w:val="afff5"/>
    <w:uiPriority w:val="99"/>
    <w:qFormat/>
    <w:rsid w:val="008673C7"/>
    <w:pPr>
      <w:shd w:val="clear" w:color="auto" w:fill="FFFFFF"/>
      <w:autoSpaceDE/>
      <w:autoSpaceDN/>
      <w:adjustRightInd/>
      <w:spacing w:before="540" w:after="180" w:line="365" w:lineRule="exact"/>
      <w:jc w:val="both"/>
    </w:pPr>
    <w:rPr>
      <w:rFonts w:asciiTheme="minorHAnsi" w:eastAsiaTheme="minorHAnsi" w:hAnsiTheme="minorHAnsi" w:cstheme="minorBidi"/>
      <w:sz w:val="26"/>
      <w:szCs w:val="22"/>
      <w:lang w:eastAsia="en-US"/>
    </w:rPr>
  </w:style>
  <w:style w:type="character" w:customStyle="1" w:styleId="140">
    <w:name w:val="Знак Знак14"/>
    <w:uiPriority w:val="99"/>
    <w:locked/>
    <w:rsid w:val="008673C7"/>
    <w:rPr>
      <w:rFonts w:ascii="Cambria" w:hAnsi="Cambria"/>
      <w:b/>
      <w:color w:val="4F81BD"/>
      <w:sz w:val="26"/>
    </w:rPr>
  </w:style>
  <w:style w:type="paragraph" w:customStyle="1" w:styleId="112">
    <w:name w:val="Без интервала11"/>
    <w:uiPriority w:val="99"/>
    <w:qFormat/>
    <w:rsid w:val="008673C7"/>
    <w:pPr>
      <w:spacing w:after="0" w:line="240" w:lineRule="auto"/>
    </w:pPr>
    <w:rPr>
      <w:rFonts w:ascii="Calibri" w:eastAsia="Calibri" w:hAnsi="Calibri" w:cs="Times New Roman"/>
    </w:rPr>
  </w:style>
  <w:style w:type="paragraph" w:customStyle="1" w:styleId="NoSpacing2">
    <w:name w:val="No Spacing2"/>
    <w:link w:val="NoSpacingChar2"/>
    <w:uiPriority w:val="99"/>
    <w:qFormat/>
    <w:rsid w:val="008673C7"/>
    <w:pPr>
      <w:suppressAutoHyphens/>
      <w:spacing w:after="0" w:line="240" w:lineRule="auto"/>
    </w:pPr>
    <w:rPr>
      <w:rFonts w:ascii="Calibri" w:eastAsia="Calibri" w:hAnsi="Calibri" w:cs="Times New Roman"/>
      <w:sz w:val="20"/>
      <w:szCs w:val="20"/>
      <w:lang w:eastAsia="ar-SA"/>
    </w:rPr>
  </w:style>
  <w:style w:type="character" w:customStyle="1" w:styleId="NoSpacingChar2">
    <w:name w:val="No Spacing Char2"/>
    <w:link w:val="NoSpacing2"/>
    <w:uiPriority w:val="99"/>
    <w:locked/>
    <w:rsid w:val="008673C7"/>
    <w:rPr>
      <w:rFonts w:ascii="Calibri" w:eastAsia="Calibri" w:hAnsi="Calibri" w:cs="Times New Roman"/>
      <w:sz w:val="20"/>
      <w:szCs w:val="20"/>
      <w:lang w:eastAsia="ar-SA"/>
    </w:rPr>
  </w:style>
  <w:style w:type="paragraph" w:customStyle="1" w:styleId="text1">
    <w:name w:val="text1"/>
    <w:basedOn w:val="a1"/>
    <w:uiPriority w:val="99"/>
    <w:qFormat/>
    <w:rsid w:val="008673C7"/>
    <w:pPr>
      <w:widowControl/>
      <w:autoSpaceDE/>
      <w:autoSpaceDN/>
      <w:adjustRightInd/>
      <w:ind w:firstLine="312"/>
    </w:pPr>
    <w:rPr>
      <w:rFonts w:ascii="Arial" w:eastAsia="Calibri" w:hAnsi="Arial" w:cs="Arial"/>
      <w:color w:val="000000"/>
      <w:sz w:val="18"/>
      <w:szCs w:val="18"/>
    </w:rPr>
  </w:style>
  <w:style w:type="paragraph" w:customStyle="1" w:styleId="Style4">
    <w:name w:val="Style4"/>
    <w:basedOn w:val="a1"/>
    <w:uiPriority w:val="99"/>
    <w:qFormat/>
    <w:rsid w:val="008673C7"/>
    <w:pPr>
      <w:spacing w:line="319" w:lineRule="exact"/>
      <w:ind w:firstLine="713"/>
      <w:jc w:val="both"/>
    </w:pPr>
    <w:rPr>
      <w:rFonts w:eastAsia="Calibri"/>
    </w:rPr>
  </w:style>
  <w:style w:type="character" w:customStyle="1" w:styleId="FontStyle22">
    <w:name w:val="Font Style22"/>
    <w:uiPriority w:val="99"/>
    <w:rsid w:val="008673C7"/>
    <w:rPr>
      <w:rFonts w:ascii="Times New Roman" w:hAnsi="Times New Roman"/>
      <w:sz w:val="26"/>
    </w:rPr>
  </w:style>
  <w:style w:type="paragraph" w:styleId="afff6">
    <w:name w:val="Plain Text"/>
    <w:basedOn w:val="a1"/>
    <w:link w:val="afff7"/>
    <w:uiPriority w:val="99"/>
    <w:rsid w:val="008673C7"/>
    <w:pPr>
      <w:widowControl/>
      <w:autoSpaceDE/>
      <w:autoSpaceDN/>
      <w:adjustRightInd/>
    </w:pPr>
    <w:rPr>
      <w:rFonts w:ascii="Courier New" w:eastAsia="Calibri" w:hAnsi="Courier New"/>
      <w:sz w:val="20"/>
      <w:szCs w:val="20"/>
      <w:lang w:val="x-none" w:eastAsia="x-none"/>
    </w:rPr>
  </w:style>
  <w:style w:type="character" w:customStyle="1" w:styleId="afff7">
    <w:name w:val="Текст Знак"/>
    <w:basedOn w:val="a2"/>
    <w:link w:val="afff6"/>
    <w:uiPriority w:val="99"/>
    <w:rsid w:val="008673C7"/>
    <w:rPr>
      <w:rFonts w:ascii="Courier New" w:eastAsia="Calibri" w:hAnsi="Courier New" w:cs="Times New Roman"/>
      <w:sz w:val="20"/>
      <w:szCs w:val="20"/>
      <w:lang w:val="x-none" w:eastAsia="x-none"/>
    </w:rPr>
  </w:style>
  <w:style w:type="paragraph" w:customStyle="1" w:styleId="TimesNewRoman">
    <w:name w:val="Абзац списка + Times New Roman"/>
    <w:aliases w:val="14 пт,По ширине,Слева:  0 см,Первая строка..."/>
    <w:basedOn w:val="a1"/>
    <w:uiPriority w:val="99"/>
    <w:qFormat/>
    <w:rsid w:val="008673C7"/>
    <w:pPr>
      <w:widowControl/>
      <w:autoSpaceDE/>
      <w:autoSpaceDN/>
      <w:adjustRightInd/>
      <w:ind w:firstLine="360"/>
      <w:contextualSpacing/>
      <w:jc w:val="both"/>
    </w:pPr>
    <w:rPr>
      <w:rFonts w:eastAsia="Calibri"/>
      <w:sz w:val="28"/>
      <w:szCs w:val="28"/>
    </w:rPr>
  </w:style>
  <w:style w:type="paragraph" w:customStyle="1" w:styleId="211">
    <w:name w:val="Основной текст с отступом 21"/>
    <w:basedOn w:val="a1"/>
    <w:uiPriority w:val="99"/>
    <w:qFormat/>
    <w:rsid w:val="008673C7"/>
    <w:pPr>
      <w:widowControl/>
      <w:autoSpaceDE/>
      <w:autoSpaceDN/>
      <w:adjustRightInd/>
      <w:spacing w:after="120" w:line="480" w:lineRule="auto"/>
      <w:ind w:left="283"/>
    </w:pPr>
    <w:rPr>
      <w:rFonts w:eastAsia="Calibri" w:cs="Calibri"/>
      <w:lang w:eastAsia="ar-SA"/>
    </w:rPr>
  </w:style>
  <w:style w:type="paragraph" w:customStyle="1" w:styleId="212">
    <w:name w:val="Основной текст 21"/>
    <w:basedOn w:val="a1"/>
    <w:uiPriority w:val="99"/>
    <w:qFormat/>
    <w:rsid w:val="008673C7"/>
    <w:pPr>
      <w:widowControl/>
      <w:suppressAutoHyphens/>
      <w:autoSpaceDE/>
      <w:autoSpaceDN/>
      <w:adjustRightInd/>
      <w:jc w:val="both"/>
    </w:pPr>
    <w:rPr>
      <w:rFonts w:eastAsia="Calibri"/>
      <w:sz w:val="28"/>
      <w:szCs w:val="28"/>
      <w:lang w:eastAsia="ar-SA"/>
    </w:rPr>
  </w:style>
  <w:style w:type="character" w:customStyle="1" w:styleId="FontStyle21">
    <w:name w:val="Font Style21"/>
    <w:rsid w:val="008673C7"/>
    <w:rPr>
      <w:rFonts w:ascii="Times New Roman" w:hAnsi="Times New Roman"/>
      <w:sz w:val="24"/>
    </w:rPr>
  </w:style>
  <w:style w:type="paragraph" w:styleId="afff8">
    <w:name w:val="Body Text First Indent"/>
    <w:basedOn w:val="af6"/>
    <w:link w:val="afff9"/>
    <w:uiPriority w:val="99"/>
    <w:rsid w:val="008673C7"/>
    <w:pPr>
      <w:widowControl/>
      <w:autoSpaceDE/>
      <w:autoSpaceDN/>
      <w:adjustRightInd/>
      <w:spacing w:line="276" w:lineRule="auto"/>
      <w:ind w:firstLine="210"/>
    </w:pPr>
    <w:rPr>
      <w:rFonts w:ascii="Calibri" w:hAnsi="Calibri"/>
      <w:szCs w:val="20"/>
      <w:lang w:eastAsia="x-none"/>
    </w:rPr>
  </w:style>
  <w:style w:type="character" w:customStyle="1" w:styleId="afff9">
    <w:name w:val="Красная строка Знак"/>
    <w:basedOn w:val="af7"/>
    <w:link w:val="afff8"/>
    <w:uiPriority w:val="99"/>
    <w:rsid w:val="008673C7"/>
    <w:rPr>
      <w:rFonts w:ascii="Calibri" w:eastAsia="Times New Roman" w:hAnsi="Calibri" w:cs="Times New Roman"/>
      <w:sz w:val="24"/>
      <w:szCs w:val="20"/>
      <w:lang w:val="x-none" w:eastAsia="x-none"/>
    </w:rPr>
  </w:style>
  <w:style w:type="paragraph" w:customStyle="1" w:styleId="Style9">
    <w:name w:val="Style9"/>
    <w:basedOn w:val="a1"/>
    <w:uiPriority w:val="99"/>
    <w:qFormat/>
    <w:rsid w:val="008673C7"/>
    <w:pPr>
      <w:spacing w:line="356" w:lineRule="exact"/>
      <w:ind w:firstLine="701"/>
      <w:jc w:val="both"/>
    </w:pPr>
    <w:rPr>
      <w:rFonts w:eastAsia="Calibri"/>
    </w:rPr>
  </w:style>
  <w:style w:type="paragraph" w:customStyle="1" w:styleId="tekstob">
    <w:name w:val="tekstob"/>
    <w:basedOn w:val="a1"/>
    <w:uiPriority w:val="99"/>
    <w:qFormat/>
    <w:rsid w:val="008673C7"/>
    <w:pPr>
      <w:widowControl/>
      <w:suppressAutoHyphens/>
      <w:autoSpaceDE/>
      <w:autoSpaceDN/>
      <w:adjustRightInd/>
      <w:spacing w:before="280" w:after="280"/>
    </w:pPr>
    <w:rPr>
      <w:rFonts w:eastAsia="Calibri"/>
      <w:lang w:eastAsia="zh-CN"/>
    </w:rPr>
  </w:style>
  <w:style w:type="paragraph" w:customStyle="1" w:styleId="34">
    <w:name w:val="Стиль3"/>
    <w:basedOn w:val="a1"/>
    <w:uiPriority w:val="99"/>
    <w:qFormat/>
    <w:rsid w:val="008673C7"/>
    <w:pPr>
      <w:widowControl/>
      <w:suppressAutoHyphens/>
      <w:autoSpaceDE/>
      <w:autoSpaceDN/>
      <w:adjustRightInd/>
      <w:spacing w:after="200" w:line="276" w:lineRule="auto"/>
    </w:pPr>
    <w:rPr>
      <w:rFonts w:ascii="Calibri" w:hAnsi="Calibri"/>
      <w:kern w:val="1"/>
      <w:sz w:val="22"/>
      <w:szCs w:val="22"/>
      <w:lang w:eastAsia="ar-SA"/>
    </w:rPr>
  </w:style>
  <w:style w:type="character" w:customStyle="1" w:styleId="s10">
    <w:name w:val="s_10"/>
    <w:rsid w:val="008673C7"/>
  </w:style>
  <w:style w:type="character" w:customStyle="1" w:styleId="apple-converted-space">
    <w:name w:val="apple-converted-space"/>
    <w:rsid w:val="008673C7"/>
  </w:style>
  <w:style w:type="paragraph" w:customStyle="1" w:styleId="afffa">
    <w:name w:val="Базовый"/>
    <w:uiPriority w:val="99"/>
    <w:qFormat/>
    <w:rsid w:val="008673C7"/>
    <w:pPr>
      <w:tabs>
        <w:tab w:val="left" w:pos="708"/>
      </w:tabs>
      <w:suppressAutoHyphens/>
      <w:spacing w:after="200" w:line="276" w:lineRule="auto"/>
    </w:pPr>
    <w:rPr>
      <w:rFonts w:ascii="Calibri" w:eastAsia="Calibri" w:hAnsi="Calibri" w:cs="Times New Roman"/>
    </w:rPr>
  </w:style>
  <w:style w:type="character" w:customStyle="1" w:styleId="Heading2Char1">
    <w:name w:val="Heading 2 Char1"/>
    <w:uiPriority w:val="99"/>
    <w:locked/>
    <w:rsid w:val="008673C7"/>
    <w:rPr>
      <w:rFonts w:ascii="Cambria" w:hAnsi="Cambria"/>
      <w:b/>
      <w:color w:val="4F81BD"/>
      <w:sz w:val="26"/>
      <w:lang w:val="ru-RU" w:eastAsia="en-US"/>
    </w:rPr>
  </w:style>
  <w:style w:type="character" w:customStyle="1" w:styleId="hl1">
    <w:name w:val="hl1"/>
    <w:uiPriority w:val="99"/>
    <w:rsid w:val="008673C7"/>
    <w:rPr>
      <w:color w:val="4682B4"/>
    </w:rPr>
  </w:style>
  <w:style w:type="character" w:customStyle="1" w:styleId="FontStyle84">
    <w:name w:val="Font Style84"/>
    <w:uiPriority w:val="99"/>
    <w:rsid w:val="008673C7"/>
    <w:rPr>
      <w:rFonts w:ascii="Times New Roman" w:hAnsi="Times New Roman"/>
      <w:sz w:val="22"/>
    </w:rPr>
  </w:style>
  <w:style w:type="paragraph" w:customStyle="1" w:styleId="Style39">
    <w:name w:val="Style39"/>
    <w:basedOn w:val="a1"/>
    <w:uiPriority w:val="99"/>
    <w:qFormat/>
    <w:rsid w:val="008673C7"/>
    <w:pPr>
      <w:spacing w:line="302" w:lineRule="exact"/>
      <w:ind w:hanging="413"/>
    </w:pPr>
  </w:style>
  <w:style w:type="paragraph" w:customStyle="1" w:styleId="125">
    <w:name w:val="Стиль По ширине Первая строка:  125 см"/>
    <w:basedOn w:val="a1"/>
    <w:autoRedefine/>
    <w:uiPriority w:val="99"/>
    <w:qFormat/>
    <w:rsid w:val="008673C7"/>
    <w:pPr>
      <w:widowControl/>
      <w:autoSpaceDE/>
      <w:autoSpaceDN/>
      <w:adjustRightInd/>
      <w:spacing w:line="360" w:lineRule="auto"/>
      <w:ind w:firstLine="709"/>
      <w:jc w:val="both"/>
    </w:pPr>
    <w:rPr>
      <w:rFonts w:eastAsia="Calibri"/>
      <w:szCs w:val="20"/>
    </w:rPr>
  </w:style>
  <w:style w:type="paragraph" w:customStyle="1" w:styleId="Iauiue">
    <w:name w:val="Iau?iue"/>
    <w:uiPriority w:val="99"/>
    <w:qFormat/>
    <w:rsid w:val="008673C7"/>
    <w:pPr>
      <w:widowControl w:val="0"/>
      <w:spacing w:after="0" w:line="240" w:lineRule="auto"/>
    </w:pPr>
    <w:rPr>
      <w:rFonts w:ascii="Times New Roman" w:eastAsia="Calibri" w:hAnsi="Times New Roman" w:cs="Times New Roman"/>
      <w:sz w:val="20"/>
      <w:szCs w:val="20"/>
      <w:lang w:eastAsia="ru-RU"/>
    </w:rPr>
  </w:style>
  <w:style w:type="paragraph" w:customStyle="1" w:styleId="Iniiaiieoaeno21">
    <w:name w:val="Iniiaiie oaeno 21"/>
    <w:basedOn w:val="a1"/>
    <w:uiPriority w:val="99"/>
    <w:qFormat/>
    <w:rsid w:val="008673C7"/>
    <w:pPr>
      <w:tabs>
        <w:tab w:val="left" w:pos="4820"/>
      </w:tabs>
      <w:autoSpaceDE/>
      <w:autoSpaceDN/>
      <w:adjustRightInd/>
      <w:spacing w:line="360" w:lineRule="auto"/>
      <w:ind w:right="-851" w:firstLine="851"/>
      <w:jc w:val="both"/>
    </w:pPr>
    <w:rPr>
      <w:rFonts w:eastAsia="Calibri"/>
      <w:color w:val="0000FF"/>
      <w:sz w:val="28"/>
      <w:szCs w:val="20"/>
    </w:rPr>
  </w:style>
  <w:style w:type="paragraph" w:customStyle="1" w:styleId="2b">
    <w:name w:val="Без интервала2"/>
    <w:uiPriority w:val="99"/>
    <w:qFormat/>
    <w:rsid w:val="008673C7"/>
    <w:pPr>
      <w:spacing w:after="0" w:line="240" w:lineRule="auto"/>
    </w:pPr>
    <w:rPr>
      <w:rFonts w:ascii="Calibri" w:eastAsia="Times New Roman" w:hAnsi="Calibri" w:cs="Times New Roman"/>
    </w:rPr>
  </w:style>
  <w:style w:type="character" w:customStyle="1" w:styleId="content">
    <w:name w:val="content"/>
    <w:uiPriority w:val="99"/>
    <w:rsid w:val="008673C7"/>
  </w:style>
  <w:style w:type="paragraph" w:customStyle="1" w:styleId="tex2st">
    <w:name w:val="tex2st"/>
    <w:basedOn w:val="a1"/>
    <w:uiPriority w:val="99"/>
    <w:qFormat/>
    <w:rsid w:val="008673C7"/>
    <w:pPr>
      <w:widowControl/>
      <w:autoSpaceDE/>
      <w:autoSpaceDN/>
      <w:adjustRightInd/>
      <w:spacing w:before="100" w:beforeAutospacing="1" w:after="100" w:afterAutospacing="1"/>
    </w:pPr>
    <w:rPr>
      <w:rFonts w:eastAsia="Calibri"/>
    </w:rPr>
  </w:style>
  <w:style w:type="character" w:customStyle="1" w:styleId="af5">
    <w:name w:val="Без интервала Знак"/>
    <w:aliases w:val="обычный текст Знак,обычный текст1 Знак,1Без интервала1 Знак,обычный текст11 Знак,1Без интервала11 Знак,Без интервала111 Знак,1Без интервала Знак,No Spacing11 Знак,1Без интервала111 Знак,Без интервала21 Знак,14 _одинарный Знак"/>
    <w:link w:val="af4"/>
    <w:uiPriority w:val="1"/>
    <w:locked/>
    <w:rsid w:val="008673C7"/>
    <w:rPr>
      <w:rFonts w:ascii="Calibri" w:eastAsia="Calibri" w:hAnsi="Calibri" w:cs="Times New Roman"/>
      <w:sz w:val="20"/>
      <w:szCs w:val="20"/>
      <w:lang w:eastAsia="ru-RU"/>
    </w:rPr>
  </w:style>
  <w:style w:type="paragraph" w:customStyle="1" w:styleId="xmsonormal">
    <w:name w:val="x_msonormal"/>
    <w:basedOn w:val="a1"/>
    <w:uiPriority w:val="99"/>
    <w:qFormat/>
    <w:rsid w:val="008673C7"/>
    <w:pPr>
      <w:widowControl/>
      <w:autoSpaceDE/>
      <w:autoSpaceDN/>
      <w:adjustRightInd/>
      <w:spacing w:before="100" w:beforeAutospacing="1" w:after="100" w:afterAutospacing="1"/>
      <w:jc w:val="both"/>
    </w:pPr>
  </w:style>
  <w:style w:type="table" w:customStyle="1" w:styleId="113">
    <w:name w:val="Сетка таблицы11"/>
    <w:basedOn w:val="a3"/>
    <w:next w:val="af1"/>
    <w:uiPriority w:val="59"/>
    <w:rsid w:val="008673C7"/>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b">
    <w:name w:val="Знак"/>
    <w:basedOn w:val="a1"/>
    <w:uiPriority w:val="99"/>
    <w:qFormat/>
    <w:rsid w:val="008673C7"/>
    <w:pPr>
      <w:widowControl/>
      <w:autoSpaceDE/>
      <w:autoSpaceDN/>
      <w:adjustRightInd/>
      <w:spacing w:before="100" w:beforeAutospacing="1" w:after="100" w:afterAutospacing="1"/>
    </w:pPr>
    <w:rPr>
      <w:rFonts w:ascii="Tahoma" w:hAnsi="Tahoma"/>
      <w:sz w:val="20"/>
      <w:szCs w:val="20"/>
      <w:lang w:val="en-US" w:eastAsia="en-US"/>
    </w:rPr>
  </w:style>
  <w:style w:type="paragraph" w:customStyle="1" w:styleId="2c">
    <w:name w:val="Абзац списка2"/>
    <w:basedOn w:val="a1"/>
    <w:uiPriority w:val="99"/>
    <w:qFormat/>
    <w:rsid w:val="008673C7"/>
    <w:pPr>
      <w:widowControl/>
      <w:autoSpaceDE/>
      <w:autoSpaceDN/>
      <w:adjustRightInd/>
      <w:spacing w:after="200" w:line="276" w:lineRule="auto"/>
      <w:ind w:left="720"/>
      <w:contextualSpacing/>
    </w:pPr>
    <w:rPr>
      <w:rFonts w:ascii="Calibri" w:hAnsi="Calibri"/>
      <w:sz w:val="22"/>
      <w:szCs w:val="22"/>
      <w:lang w:eastAsia="en-US"/>
    </w:rPr>
  </w:style>
  <w:style w:type="paragraph" w:customStyle="1" w:styleId="35">
    <w:name w:val="Абзац списка3"/>
    <w:basedOn w:val="a1"/>
    <w:uiPriority w:val="99"/>
    <w:qFormat/>
    <w:rsid w:val="008673C7"/>
    <w:pPr>
      <w:widowControl/>
      <w:autoSpaceDE/>
      <w:autoSpaceDN/>
      <w:adjustRightInd/>
      <w:spacing w:after="200" w:line="276" w:lineRule="auto"/>
      <w:ind w:left="720" w:firstLine="720"/>
      <w:contextualSpacing/>
    </w:pPr>
    <w:rPr>
      <w:rFonts w:ascii="Calibri" w:hAnsi="Calibri"/>
      <w:sz w:val="22"/>
      <w:szCs w:val="22"/>
      <w:lang w:eastAsia="en-US"/>
    </w:rPr>
  </w:style>
  <w:style w:type="paragraph" w:customStyle="1" w:styleId="36">
    <w:name w:val="Без интервала3"/>
    <w:uiPriority w:val="99"/>
    <w:qFormat/>
    <w:rsid w:val="008673C7"/>
    <w:pPr>
      <w:spacing w:after="0" w:line="240" w:lineRule="auto"/>
    </w:pPr>
    <w:rPr>
      <w:rFonts w:ascii="Calibri" w:eastAsia="Times New Roman" w:hAnsi="Calibri" w:cs="Times New Roman"/>
      <w:sz w:val="28"/>
    </w:rPr>
  </w:style>
  <w:style w:type="paragraph" w:customStyle="1" w:styleId="afffc">
    <w:name w:val="Нормальный (таблица)"/>
    <w:basedOn w:val="a1"/>
    <w:next w:val="a1"/>
    <w:uiPriority w:val="99"/>
    <w:qFormat/>
    <w:rsid w:val="008673C7"/>
    <w:pPr>
      <w:jc w:val="both"/>
    </w:pPr>
    <w:rPr>
      <w:rFonts w:ascii="Arial" w:eastAsia="Calibri" w:hAnsi="Arial" w:cs="Arial"/>
    </w:rPr>
  </w:style>
  <w:style w:type="paragraph" w:customStyle="1" w:styleId="afffd">
    <w:name w:val="Основной с отступом"/>
    <w:basedOn w:val="a1"/>
    <w:uiPriority w:val="99"/>
    <w:qFormat/>
    <w:rsid w:val="008673C7"/>
    <w:pPr>
      <w:widowControl/>
      <w:autoSpaceDE/>
      <w:autoSpaceDN/>
      <w:adjustRightInd/>
      <w:spacing w:after="120"/>
      <w:ind w:firstLine="709"/>
      <w:jc w:val="both"/>
    </w:pPr>
    <w:rPr>
      <w:sz w:val="22"/>
      <w:szCs w:val="22"/>
      <w:lang w:eastAsia="en-US"/>
    </w:rPr>
  </w:style>
  <w:style w:type="character" w:customStyle="1" w:styleId="b-switchertext">
    <w:name w:val="b-switcher__text"/>
    <w:rsid w:val="008673C7"/>
    <w:rPr>
      <w:rFonts w:cs="Times New Roman"/>
    </w:rPr>
  </w:style>
  <w:style w:type="character" w:customStyle="1" w:styleId="b-switchercnt">
    <w:name w:val="b-switcher__cnt"/>
    <w:rsid w:val="008673C7"/>
    <w:rPr>
      <w:rFonts w:cs="Times New Roman"/>
    </w:rPr>
  </w:style>
  <w:style w:type="paragraph" w:customStyle="1" w:styleId="b-modelspecnote">
    <w:name w:val="b-modelspec__note"/>
    <w:basedOn w:val="a1"/>
    <w:uiPriority w:val="99"/>
    <w:qFormat/>
    <w:rsid w:val="008673C7"/>
    <w:pPr>
      <w:widowControl/>
      <w:autoSpaceDE/>
      <w:autoSpaceDN/>
      <w:adjustRightInd/>
      <w:spacing w:before="100" w:beforeAutospacing="1" w:after="100" w:afterAutospacing="1"/>
    </w:pPr>
    <w:rPr>
      <w:rFonts w:eastAsia="Calibri"/>
    </w:rPr>
  </w:style>
  <w:style w:type="paragraph" w:customStyle="1" w:styleId="afffe">
    <w:name w:val="Знак Знак Знак Знак"/>
    <w:basedOn w:val="a1"/>
    <w:uiPriority w:val="99"/>
    <w:qFormat/>
    <w:rsid w:val="008673C7"/>
    <w:pPr>
      <w:widowControl/>
      <w:autoSpaceDE/>
      <w:autoSpaceDN/>
      <w:adjustRightInd/>
      <w:spacing w:before="100" w:beforeAutospacing="1" w:after="100" w:afterAutospacing="1"/>
    </w:pPr>
    <w:rPr>
      <w:rFonts w:ascii="Tahoma" w:hAnsi="Tahoma"/>
      <w:sz w:val="20"/>
      <w:szCs w:val="20"/>
      <w:lang w:val="en-US" w:eastAsia="en-US"/>
    </w:rPr>
  </w:style>
  <w:style w:type="character" w:styleId="HTML2">
    <w:name w:val="HTML Keyboard"/>
    <w:semiHidden/>
    <w:unhideWhenUsed/>
    <w:rsid w:val="008673C7"/>
    <w:rPr>
      <w:rFonts w:ascii="Courier New" w:eastAsia="Times New Roman" w:hAnsi="Courier New" w:cs="Courier New" w:hint="default"/>
      <w:sz w:val="20"/>
      <w:szCs w:val="20"/>
    </w:rPr>
  </w:style>
  <w:style w:type="numbering" w:customStyle="1" w:styleId="1110">
    <w:name w:val="Нет списка111"/>
    <w:next w:val="a4"/>
    <w:uiPriority w:val="99"/>
    <w:semiHidden/>
    <w:unhideWhenUsed/>
    <w:rsid w:val="008673C7"/>
  </w:style>
  <w:style w:type="table" w:customStyle="1" w:styleId="2d">
    <w:name w:val="Сетка таблицы2"/>
    <w:basedOn w:val="a3"/>
    <w:next w:val="af1"/>
    <w:uiPriority w:val="59"/>
    <w:rsid w:val="008673C7"/>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1"/>
    <w:next w:val="a4"/>
    <w:semiHidden/>
    <w:rsid w:val="008673C7"/>
  </w:style>
  <w:style w:type="paragraph" w:customStyle="1" w:styleId="43">
    <w:name w:val="Абзац списка4"/>
    <w:basedOn w:val="a1"/>
    <w:uiPriority w:val="99"/>
    <w:qFormat/>
    <w:rsid w:val="008673C7"/>
    <w:pPr>
      <w:widowControl/>
      <w:autoSpaceDE/>
      <w:autoSpaceDN/>
      <w:adjustRightInd/>
      <w:spacing w:after="200" w:line="276" w:lineRule="auto"/>
      <w:ind w:left="720" w:firstLine="720"/>
      <w:contextualSpacing/>
    </w:pPr>
    <w:rPr>
      <w:rFonts w:ascii="Calibri" w:hAnsi="Calibri"/>
      <w:sz w:val="22"/>
      <w:szCs w:val="22"/>
      <w:lang w:eastAsia="en-US"/>
    </w:rPr>
  </w:style>
  <w:style w:type="paragraph" w:customStyle="1" w:styleId="44">
    <w:name w:val="Без интервала4"/>
    <w:uiPriority w:val="99"/>
    <w:qFormat/>
    <w:rsid w:val="008673C7"/>
    <w:pPr>
      <w:spacing w:after="0" w:line="240" w:lineRule="auto"/>
    </w:pPr>
    <w:rPr>
      <w:rFonts w:ascii="Calibri" w:eastAsia="Times New Roman" w:hAnsi="Calibri" w:cs="Times New Roman"/>
      <w:sz w:val="28"/>
    </w:rPr>
  </w:style>
  <w:style w:type="table" w:customStyle="1" w:styleId="213">
    <w:name w:val="Сетка таблицы21"/>
    <w:basedOn w:val="a3"/>
    <w:next w:val="af1"/>
    <w:rsid w:val="008673C7"/>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TML10">
    <w:name w:val="Стандартный HTML Знак1"/>
    <w:uiPriority w:val="99"/>
    <w:semiHidden/>
    <w:rsid w:val="008673C7"/>
    <w:rPr>
      <w:rFonts w:ascii="Consolas" w:hAnsi="Consolas" w:cs="Consolas"/>
      <w:sz w:val="20"/>
    </w:rPr>
  </w:style>
  <w:style w:type="character" w:customStyle="1" w:styleId="1e">
    <w:name w:val="Текст сноски Знак1"/>
    <w:aliases w:val="Текст сноски-FN Знак1,Oaeno niinee-FN Знак1,Oaeno niinee Ciae Знак1,Table_Footnote_last Знак1,Текст сноски Знак1 Знак Знак1,Текст сноски Знак Знак Знак Знак1,Footnote Text Char Знак Знак Знак1,Footnote Text Char Знак Знак2"/>
    <w:uiPriority w:val="99"/>
    <w:rsid w:val="008673C7"/>
    <w:rPr>
      <w:rFonts w:ascii="Calibri" w:hAnsi="Calibri"/>
      <w:sz w:val="20"/>
    </w:rPr>
  </w:style>
  <w:style w:type="character" w:customStyle="1" w:styleId="1f">
    <w:name w:val="Верхний колонтитул Знак1"/>
    <w:uiPriority w:val="99"/>
    <w:rsid w:val="008673C7"/>
    <w:rPr>
      <w:rFonts w:ascii="Calibri" w:hAnsi="Calibri"/>
      <w:sz w:val="22"/>
      <w:szCs w:val="22"/>
    </w:rPr>
  </w:style>
  <w:style w:type="character" w:customStyle="1" w:styleId="1f0">
    <w:name w:val="Нижний колонтитул Знак1"/>
    <w:uiPriority w:val="99"/>
    <w:rsid w:val="008673C7"/>
    <w:rPr>
      <w:rFonts w:ascii="Calibri" w:hAnsi="Calibri"/>
      <w:sz w:val="22"/>
      <w:szCs w:val="22"/>
    </w:rPr>
  </w:style>
  <w:style w:type="character" w:customStyle="1" w:styleId="1f1">
    <w:name w:val="Текст концевой сноски Знак1"/>
    <w:uiPriority w:val="99"/>
    <w:semiHidden/>
    <w:rsid w:val="008673C7"/>
    <w:rPr>
      <w:rFonts w:ascii="Calibri" w:hAnsi="Calibri"/>
      <w:sz w:val="20"/>
    </w:rPr>
  </w:style>
  <w:style w:type="character" w:customStyle="1" w:styleId="1f2">
    <w:name w:val="Название Знак1"/>
    <w:uiPriority w:val="99"/>
    <w:rsid w:val="008673C7"/>
    <w:rPr>
      <w:rFonts w:ascii="Cambria" w:eastAsia="Times New Roman" w:hAnsi="Cambria" w:cs="Times New Roman"/>
      <w:color w:val="17365D"/>
      <w:spacing w:val="5"/>
      <w:kern w:val="28"/>
      <w:sz w:val="52"/>
      <w:szCs w:val="52"/>
    </w:rPr>
  </w:style>
  <w:style w:type="character" w:customStyle="1" w:styleId="1f3">
    <w:name w:val="Основной текст Знак1"/>
    <w:aliases w:val="body text Знак1,body text Char Char Знак1,Основной текст абзаца Знак1,бпОсновной текст Знак1"/>
    <w:uiPriority w:val="99"/>
    <w:rsid w:val="008673C7"/>
    <w:rPr>
      <w:rFonts w:ascii="Calibri" w:hAnsi="Calibri"/>
      <w:sz w:val="22"/>
      <w:szCs w:val="22"/>
    </w:rPr>
  </w:style>
  <w:style w:type="character" w:customStyle="1" w:styleId="1f4">
    <w:name w:val="Основной текст с отступом Знак1"/>
    <w:aliases w:val="Основной текст 1 Знак1,Нумерованный список !! Знак1,Надин стиль Знак1"/>
    <w:uiPriority w:val="99"/>
    <w:rsid w:val="008673C7"/>
    <w:rPr>
      <w:rFonts w:ascii="Calibri" w:hAnsi="Calibri"/>
      <w:sz w:val="22"/>
      <w:szCs w:val="22"/>
    </w:rPr>
  </w:style>
  <w:style w:type="character" w:customStyle="1" w:styleId="1f5">
    <w:name w:val="Подзаголовок Знак1"/>
    <w:uiPriority w:val="99"/>
    <w:rsid w:val="008673C7"/>
    <w:rPr>
      <w:rFonts w:ascii="Cambria" w:eastAsia="Times New Roman" w:hAnsi="Cambria" w:cs="Times New Roman"/>
      <w:i/>
      <w:iCs/>
      <w:color w:val="4F81BD"/>
      <w:spacing w:val="15"/>
      <w:sz w:val="24"/>
      <w:szCs w:val="24"/>
    </w:rPr>
  </w:style>
  <w:style w:type="character" w:customStyle="1" w:styleId="1f6">
    <w:name w:val="Красная строка Знак1"/>
    <w:uiPriority w:val="99"/>
    <w:semiHidden/>
    <w:rsid w:val="008673C7"/>
  </w:style>
  <w:style w:type="character" w:customStyle="1" w:styleId="214">
    <w:name w:val="Основной текст 2 Знак1"/>
    <w:uiPriority w:val="99"/>
    <w:semiHidden/>
    <w:rsid w:val="008673C7"/>
    <w:rPr>
      <w:rFonts w:ascii="Calibri" w:hAnsi="Calibri"/>
      <w:sz w:val="22"/>
      <w:szCs w:val="22"/>
    </w:rPr>
  </w:style>
  <w:style w:type="character" w:customStyle="1" w:styleId="215">
    <w:name w:val="Основной текст с отступом 2 Знак1"/>
    <w:uiPriority w:val="99"/>
    <w:semiHidden/>
    <w:rsid w:val="008673C7"/>
    <w:rPr>
      <w:rFonts w:ascii="Calibri" w:hAnsi="Calibri"/>
      <w:sz w:val="22"/>
      <w:szCs w:val="22"/>
    </w:rPr>
  </w:style>
  <w:style w:type="character" w:customStyle="1" w:styleId="310">
    <w:name w:val="Основной текст с отступом 3 Знак1"/>
    <w:uiPriority w:val="99"/>
    <w:semiHidden/>
    <w:rsid w:val="008673C7"/>
    <w:rPr>
      <w:rFonts w:ascii="Calibri" w:hAnsi="Calibri"/>
      <w:sz w:val="16"/>
      <w:szCs w:val="16"/>
    </w:rPr>
  </w:style>
  <w:style w:type="character" w:customStyle="1" w:styleId="1f7">
    <w:name w:val="Схема документа Знак1"/>
    <w:uiPriority w:val="99"/>
    <w:semiHidden/>
    <w:rsid w:val="008673C7"/>
    <w:rPr>
      <w:rFonts w:ascii="Tahoma" w:hAnsi="Tahoma" w:cs="Tahoma"/>
      <w:sz w:val="16"/>
      <w:szCs w:val="16"/>
    </w:rPr>
  </w:style>
  <w:style w:type="character" w:customStyle="1" w:styleId="1f8">
    <w:name w:val="Текст Знак1"/>
    <w:uiPriority w:val="99"/>
    <w:semiHidden/>
    <w:rsid w:val="008673C7"/>
    <w:rPr>
      <w:rFonts w:ascii="Consolas" w:hAnsi="Consolas" w:cs="Consolas"/>
      <w:sz w:val="21"/>
      <w:szCs w:val="21"/>
    </w:rPr>
  </w:style>
  <w:style w:type="character" w:customStyle="1" w:styleId="1f9">
    <w:name w:val="Тема примечания Знак1"/>
    <w:semiHidden/>
    <w:rsid w:val="008673C7"/>
    <w:rPr>
      <w:rFonts w:ascii="Calibri" w:hAnsi="Calibri"/>
      <w:b/>
      <w:bCs/>
      <w:sz w:val="20"/>
    </w:rPr>
  </w:style>
  <w:style w:type="character" w:customStyle="1" w:styleId="1fa">
    <w:name w:val="Текст выноски Знак1"/>
    <w:uiPriority w:val="99"/>
    <w:rsid w:val="008673C7"/>
    <w:rPr>
      <w:rFonts w:ascii="Tahoma" w:hAnsi="Tahoma" w:cs="Tahoma"/>
      <w:sz w:val="16"/>
      <w:szCs w:val="16"/>
    </w:rPr>
  </w:style>
  <w:style w:type="paragraph" w:customStyle="1" w:styleId="410">
    <w:name w:val="Абзац списка41"/>
    <w:basedOn w:val="a1"/>
    <w:uiPriority w:val="99"/>
    <w:qFormat/>
    <w:rsid w:val="008673C7"/>
    <w:pPr>
      <w:widowControl/>
      <w:autoSpaceDE/>
      <w:autoSpaceDN/>
      <w:adjustRightInd/>
      <w:spacing w:after="200" w:line="276" w:lineRule="auto"/>
      <w:ind w:left="720" w:firstLine="720"/>
      <w:contextualSpacing/>
    </w:pPr>
    <w:rPr>
      <w:rFonts w:ascii="Calibri" w:hAnsi="Calibri"/>
      <w:sz w:val="22"/>
      <w:szCs w:val="22"/>
      <w:lang w:eastAsia="en-US"/>
    </w:rPr>
  </w:style>
  <w:style w:type="paragraph" w:customStyle="1" w:styleId="411">
    <w:name w:val="Без интервала41"/>
    <w:uiPriority w:val="99"/>
    <w:qFormat/>
    <w:rsid w:val="008673C7"/>
    <w:pPr>
      <w:spacing w:after="0" w:line="240" w:lineRule="auto"/>
    </w:pPr>
    <w:rPr>
      <w:rFonts w:ascii="Calibri" w:eastAsia="Times New Roman" w:hAnsi="Calibri" w:cs="Times New Roman"/>
      <w:sz w:val="28"/>
    </w:rPr>
  </w:style>
  <w:style w:type="character" w:customStyle="1" w:styleId="affff">
    <w:name w:val="Цветовое выделение"/>
    <w:uiPriority w:val="99"/>
    <w:rsid w:val="008673C7"/>
    <w:rPr>
      <w:b/>
      <w:bCs/>
      <w:color w:val="26282F"/>
    </w:rPr>
  </w:style>
  <w:style w:type="paragraph" w:customStyle="1" w:styleId="ConsPlusTitlePage">
    <w:name w:val="ConsPlusTitlePage"/>
    <w:uiPriority w:val="99"/>
    <w:qFormat/>
    <w:rsid w:val="008673C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1fb">
    <w:name w:val="Обычный1"/>
    <w:uiPriority w:val="99"/>
    <w:qFormat/>
    <w:rsid w:val="008673C7"/>
    <w:pPr>
      <w:spacing w:after="0" w:line="240" w:lineRule="auto"/>
    </w:pPr>
    <w:rPr>
      <w:rFonts w:ascii="Times" w:eastAsia="Times" w:hAnsi="Times" w:cs="Times"/>
      <w:sz w:val="20"/>
      <w:szCs w:val="20"/>
      <w:lang w:eastAsia="ru-RU"/>
    </w:rPr>
  </w:style>
  <w:style w:type="paragraph" w:styleId="37">
    <w:name w:val="Body Text 3"/>
    <w:basedOn w:val="a1"/>
    <w:link w:val="38"/>
    <w:uiPriority w:val="99"/>
    <w:semiHidden/>
    <w:unhideWhenUsed/>
    <w:rsid w:val="008673C7"/>
    <w:pPr>
      <w:widowControl/>
      <w:autoSpaceDE/>
      <w:autoSpaceDN/>
      <w:adjustRightInd/>
      <w:spacing w:after="120"/>
      <w:ind w:firstLine="709"/>
      <w:jc w:val="both"/>
    </w:pPr>
    <w:rPr>
      <w:rFonts w:eastAsia="Calibri"/>
      <w:sz w:val="16"/>
      <w:szCs w:val="16"/>
      <w:lang w:val="x-none" w:eastAsia="x-none"/>
    </w:rPr>
  </w:style>
  <w:style w:type="character" w:customStyle="1" w:styleId="38">
    <w:name w:val="Основной текст 3 Знак"/>
    <w:basedOn w:val="a2"/>
    <w:link w:val="37"/>
    <w:uiPriority w:val="99"/>
    <w:semiHidden/>
    <w:rsid w:val="008673C7"/>
    <w:rPr>
      <w:rFonts w:ascii="Times New Roman" w:eastAsia="Calibri" w:hAnsi="Times New Roman" w:cs="Times New Roman"/>
      <w:sz w:val="16"/>
      <w:szCs w:val="16"/>
      <w:lang w:val="x-none" w:eastAsia="x-none"/>
    </w:rPr>
  </w:style>
  <w:style w:type="character" w:customStyle="1" w:styleId="times12ptbd">
    <w:name w:val="times_12pt_bd"/>
    <w:rsid w:val="008673C7"/>
    <w:rPr>
      <w:rFonts w:ascii="Times New Roman" w:hAnsi="Times New Roman" w:cs="Times New Roman" w:hint="default"/>
      <w:b/>
      <w:bCs/>
      <w:sz w:val="24"/>
      <w:szCs w:val="24"/>
    </w:rPr>
  </w:style>
  <w:style w:type="paragraph" w:customStyle="1" w:styleId="affff0">
    <w:name w:val="Текст (справка)"/>
    <w:basedOn w:val="a1"/>
    <w:next w:val="a1"/>
    <w:uiPriority w:val="99"/>
    <w:qFormat/>
    <w:rsid w:val="008673C7"/>
    <w:pPr>
      <w:ind w:left="170" w:right="170"/>
    </w:pPr>
    <w:rPr>
      <w:rFonts w:ascii="Arial" w:hAnsi="Arial" w:cs="Arial"/>
    </w:rPr>
  </w:style>
  <w:style w:type="paragraph" w:customStyle="1" w:styleId="affff1">
    <w:name w:val="Комментарий"/>
    <w:basedOn w:val="affff0"/>
    <w:next w:val="a1"/>
    <w:uiPriority w:val="99"/>
    <w:qFormat/>
    <w:rsid w:val="008673C7"/>
    <w:pPr>
      <w:spacing w:before="75"/>
      <w:ind w:right="0"/>
      <w:jc w:val="both"/>
    </w:pPr>
    <w:rPr>
      <w:color w:val="353842"/>
      <w:shd w:val="clear" w:color="auto" w:fill="F0F0F0"/>
    </w:rPr>
  </w:style>
  <w:style w:type="paragraph" w:customStyle="1" w:styleId="affff2">
    <w:name w:val="Информация об изменениях документа"/>
    <w:basedOn w:val="affff1"/>
    <w:next w:val="a1"/>
    <w:uiPriority w:val="99"/>
    <w:qFormat/>
    <w:rsid w:val="008673C7"/>
    <w:rPr>
      <w:i/>
      <w:iCs/>
    </w:rPr>
  </w:style>
  <w:style w:type="character" w:customStyle="1" w:styleId="affff3">
    <w:name w:val="Цветовое выделение для Текст"/>
    <w:uiPriority w:val="99"/>
    <w:rsid w:val="008673C7"/>
  </w:style>
  <w:style w:type="character" w:customStyle="1" w:styleId="1fc">
    <w:name w:val="Заголовок №1_"/>
    <w:link w:val="1fd"/>
    <w:uiPriority w:val="99"/>
    <w:rsid w:val="008673C7"/>
    <w:rPr>
      <w:b/>
      <w:bCs/>
      <w:sz w:val="31"/>
      <w:szCs w:val="31"/>
      <w:shd w:val="clear" w:color="auto" w:fill="FFFFFF"/>
    </w:rPr>
  </w:style>
  <w:style w:type="paragraph" w:customStyle="1" w:styleId="1fd">
    <w:name w:val="Заголовок №1"/>
    <w:basedOn w:val="a1"/>
    <w:link w:val="1fc"/>
    <w:uiPriority w:val="99"/>
    <w:qFormat/>
    <w:rsid w:val="008673C7"/>
    <w:pPr>
      <w:widowControl/>
      <w:shd w:val="clear" w:color="auto" w:fill="FFFFFF"/>
      <w:autoSpaceDE/>
      <w:autoSpaceDN/>
      <w:adjustRightInd/>
      <w:spacing w:after="60" w:line="493" w:lineRule="exact"/>
      <w:jc w:val="center"/>
      <w:outlineLvl w:val="0"/>
    </w:pPr>
    <w:rPr>
      <w:rFonts w:asciiTheme="minorHAnsi" w:eastAsiaTheme="minorHAnsi" w:hAnsiTheme="minorHAnsi" w:cstheme="minorBidi"/>
      <w:b/>
      <w:bCs/>
      <w:sz w:val="31"/>
      <w:szCs w:val="31"/>
      <w:lang w:eastAsia="en-US"/>
    </w:rPr>
  </w:style>
  <w:style w:type="table" w:customStyle="1" w:styleId="TableNormal">
    <w:name w:val="Table Normal"/>
    <w:qFormat/>
    <w:rsid w:val="008673C7"/>
    <w:pPr>
      <w:spacing w:after="0" w:line="276" w:lineRule="auto"/>
    </w:pPr>
    <w:rPr>
      <w:rFonts w:ascii="Arial" w:eastAsia="Arial" w:hAnsi="Arial" w:cs="Arial"/>
      <w:lang w:eastAsia="ru-RU"/>
    </w:rPr>
    <w:tblPr>
      <w:tblCellMar>
        <w:top w:w="0" w:type="dxa"/>
        <w:left w:w="0" w:type="dxa"/>
        <w:bottom w:w="0" w:type="dxa"/>
        <w:right w:w="0" w:type="dxa"/>
      </w:tblCellMar>
    </w:tblPr>
  </w:style>
  <w:style w:type="paragraph" w:styleId="affff4">
    <w:name w:val="TOC Heading"/>
    <w:basedOn w:val="1"/>
    <w:next w:val="a1"/>
    <w:uiPriority w:val="39"/>
    <w:unhideWhenUsed/>
    <w:qFormat/>
    <w:rsid w:val="008673C7"/>
    <w:pPr>
      <w:keepLines/>
      <w:spacing w:before="480" w:line="276" w:lineRule="auto"/>
      <w:ind w:firstLine="0"/>
      <w:outlineLvl w:val="9"/>
    </w:pPr>
    <w:rPr>
      <w:rFonts w:ascii="Calibri" w:eastAsia="Times New Roman" w:hAnsi="Calibri"/>
      <w:b/>
      <w:bCs/>
      <w:color w:val="365F91"/>
      <w:sz w:val="20"/>
      <w:szCs w:val="28"/>
    </w:rPr>
  </w:style>
  <w:style w:type="paragraph" w:styleId="affff5">
    <w:name w:val="Revision"/>
    <w:hidden/>
    <w:uiPriority w:val="99"/>
    <w:semiHidden/>
    <w:rsid w:val="008673C7"/>
    <w:pPr>
      <w:spacing w:after="0" w:line="240" w:lineRule="auto"/>
    </w:pPr>
    <w:rPr>
      <w:rFonts w:ascii="Arial" w:eastAsia="Arial" w:hAnsi="Arial" w:cs="Arial"/>
      <w:lang w:eastAsia="ru-RU"/>
    </w:rPr>
  </w:style>
  <w:style w:type="paragraph" w:customStyle="1" w:styleId="Tabl">
    <w:name w:val="Tabl"/>
    <w:basedOn w:val="a1"/>
    <w:uiPriority w:val="99"/>
    <w:qFormat/>
    <w:rsid w:val="008673C7"/>
    <w:pPr>
      <w:widowControl/>
      <w:autoSpaceDE/>
      <w:autoSpaceDN/>
      <w:adjustRightInd/>
      <w:jc w:val="both"/>
    </w:pPr>
    <w:rPr>
      <w:szCs w:val="28"/>
      <w:lang w:eastAsia="zh-CN"/>
    </w:rPr>
  </w:style>
  <w:style w:type="paragraph" w:customStyle="1" w:styleId="TablCen">
    <w:name w:val="Tabl_Cen"/>
    <w:basedOn w:val="a1"/>
    <w:uiPriority w:val="99"/>
    <w:qFormat/>
    <w:rsid w:val="008673C7"/>
    <w:pPr>
      <w:widowControl/>
      <w:autoSpaceDE/>
      <w:autoSpaceDN/>
      <w:adjustRightInd/>
      <w:jc w:val="center"/>
    </w:pPr>
    <w:rPr>
      <w:szCs w:val="28"/>
      <w:lang w:eastAsia="zh-CN"/>
    </w:rPr>
  </w:style>
  <w:style w:type="character" w:customStyle="1" w:styleId="FontStyle15">
    <w:name w:val="Font Style15"/>
    <w:uiPriority w:val="99"/>
    <w:rsid w:val="008673C7"/>
    <w:rPr>
      <w:rFonts w:ascii="Times New Roman" w:hAnsi="Times New Roman" w:cs="Times New Roman"/>
      <w:sz w:val="26"/>
      <w:szCs w:val="26"/>
    </w:rPr>
  </w:style>
  <w:style w:type="paragraph" w:styleId="affff6">
    <w:name w:val="caption"/>
    <w:basedOn w:val="a1"/>
    <w:next w:val="a1"/>
    <w:unhideWhenUsed/>
    <w:qFormat/>
    <w:rsid w:val="008673C7"/>
    <w:pPr>
      <w:widowControl/>
      <w:autoSpaceDE/>
      <w:autoSpaceDN/>
      <w:adjustRightInd/>
      <w:spacing w:after="200"/>
    </w:pPr>
    <w:rPr>
      <w:b/>
      <w:bCs/>
      <w:color w:val="4F81BD"/>
      <w:sz w:val="18"/>
      <w:szCs w:val="18"/>
    </w:rPr>
  </w:style>
  <w:style w:type="paragraph" w:customStyle="1" w:styleId="formattext">
    <w:name w:val="formattext"/>
    <w:basedOn w:val="a1"/>
    <w:uiPriority w:val="99"/>
    <w:qFormat/>
    <w:rsid w:val="008673C7"/>
    <w:pPr>
      <w:widowControl/>
      <w:autoSpaceDE/>
      <w:autoSpaceDN/>
      <w:adjustRightInd/>
      <w:spacing w:before="100" w:beforeAutospacing="1" w:after="100" w:afterAutospacing="1"/>
    </w:pPr>
  </w:style>
  <w:style w:type="character" w:customStyle="1" w:styleId="212pt">
    <w:name w:val="Основной текст (2) + 12 pt;Курсив"/>
    <w:rsid w:val="008673C7"/>
    <w:rPr>
      <w:rFonts w:ascii="Times New Roman" w:eastAsia="Times New Roman" w:hAnsi="Times New Roman" w:cs="Times New Roman"/>
      <w:b w:val="0"/>
      <w:i/>
      <w:iCs/>
      <w:color w:val="000000"/>
      <w:spacing w:val="0"/>
      <w:w w:val="100"/>
      <w:position w:val="0"/>
      <w:sz w:val="24"/>
      <w:szCs w:val="24"/>
      <w:shd w:val="clear" w:color="auto" w:fill="FFFFFF"/>
      <w:lang w:val="ru-RU" w:eastAsia="ru-RU" w:bidi="ru-RU"/>
    </w:rPr>
  </w:style>
  <w:style w:type="paragraph" w:customStyle="1" w:styleId="a0">
    <w:name w:val="Пример"/>
    <w:basedOn w:val="a1"/>
    <w:uiPriority w:val="99"/>
    <w:qFormat/>
    <w:rsid w:val="008673C7"/>
    <w:pPr>
      <w:widowControl/>
      <w:numPr>
        <w:numId w:val="1"/>
      </w:numPr>
      <w:autoSpaceDE/>
      <w:autoSpaceDN/>
      <w:adjustRightInd/>
      <w:spacing w:after="60"/>
    </w:pPr>
    <w:rPr>
      <w:szCs w:val="20"/>
    </w:rPr>
  </w:style>
  <w:style w:type="paragraph" w:customStyle="1" w:styleId="headertext">
    <w:name w:val="headertext"/>
    <w:basedOn w:val="a1"/>
    <w:uiPriority w:val="99"/>
    <w:qFormat/>
    <w:rsid w:val="008673C7"/>
    <w:pPr>
      <w:widowControl/>
      <w:autoSpaceDE/>
      <w:autoSpaceDN/>
      <w:adjustRightInd/>
      <w:spacing w:before="100" w:beforeAutospacing="1" w:after="100" w:afterAutospacing="1"/>
    </w:pPr>
  </w:style>
  <w:style w:type="character" w:customStyle="1" w:styleId="mw-headline">
    <w:name w:val="mw-headline"/>
    <w:uiPriority w:val="99"/>
    <w:rsid w:val="008673C7"/>
  </w:style>
  <w:style w:type="character" w:customStyle="1" w:styleId="s1mailrucssattributepostfix">
    <w:name w:val="s1_mailru_css_attribute_postfix"/>
    <w:rsid w:val="008673C7"/>
  </w:style>
  <w:style w:type="paragraph" w:customStyle="1" w:styleId="2e">
    <w:name w:val="Основной текст2"/>
    <w:basedOn w:val="a1"/>
    <w:uiPriority w:val="99"/>
    <w:qFormat/>
    <w:rsid w:val="008673C7"/>
    <w:pPr>
      <w:shd w:val="clear" w:color="auto" w:fill="FFFFFF"/>
      <w:autoSpaceDE/>
      <w:autoSpaceDN/>
      <w:adjustRightInd/>
      <w:spacing w:before="480" w:after="240" w:line="0" w:lineRule="atLeast"/>
      <w:ind w:hanging="1040"/>
      <w:jc w:val="both"/>
    </w:pPr>
    <w:rPr>
      <w:rFonts w:ascii="Sylfaen" w:eastAsia="Sylfaen" w:hAnsi="Sylfaen" w:cs="Sylfaen"/>
      <w:color w:val="000000"/>
      <w:sz w:val="25"/>
      <w:szCs w:val="25"/>
    </w:rPr>
  </w:style>
  <w:style w:type="character" w:customStyle="1" w:styleId="affff7">
    <w:name w:val="Основной текст + Курсив"/>
    <w:aliases w:val="Интервал 0 pt,Колонтитул + 13,5 pt,Полужирный"/>
    <w:rsid w:val="008673C7"/>
    <w:rPr>
      <w:rFonts w:ascii="Sylfaen" w:eastAsia="Sylfaen" w:hAnsi="Sylfaen" w:cs="Sylfaen" w:hint="default"/>
      <w:b w:val="0"/>
      <w:bCs w:val="0"/>
      <w:i/>
      <w:iCs/>
      <w:smallCaps w:val="0"/>
      <w:strike w:val="0"/>
      <w:dstrike w:val="0"/>
      <w:color w:val="000000"/>
      <w:spacing w:val="-1"/>
      <w:w w:val="100"/>
      <w:position w:val="0"/>
      <w:sz w:val="25"/>
      <w:szCs w:val="25"/>
      <w:u w:val="none"/>
      <w:effect w:val="none"/>
      <w:shd w:val="clear" w:color="auto" w:fill="FFFFFF"/>
      <w:lang w:val="ru-RU"/>
    </w:rPr>
  </w:style>
  <w:style w:type="paragraph" w:customStyle="1" w:styleId="2f">
    <w:name w:val="Обычный2"/>
    <w:basedOn w:val="a1"/>
    <w:link w:val="Normal"/>
    <w:qFormat/>
    <w:rsid w:val="008673C7"/>
    <w:pPr>
      <w:widowControl/>
      <w:autoSpaceDE/>
      <w:autoSpaceDN/>
      <w:adjustRightInd/>
      <w:spacing w:line="300" w:lineRule="auto"/>
      <w:ind w:firstLine="709"/>
      <w:jc w:val="both"/>
    </w:pPr>
    <w:rPr>
      <w:sz w:val="28"/>
      <w:szCs w:val="20"/>
      <w:lang w:val="x-none" w:eastAsia="x-none"/>
    </w:rPr>
  </w:style>
  <w:style w:type="character" w:customStyle="1" w:styleId="Normal">
    <w:name w:val="Normal Знак"/>
    <w:link w:val="2f"/>
    <w:rsid w:val="008673C7"/>
    <w:rPr>
      <w:rFonts w:ascii="Times New Roman" w:eastAsia="Times New Roman" w:hAnsi="Times New Roman" w:cs="Times New Roman"/>
      <w:sz w:val="28"/>
      <w:szCs w:val="20"/>
      <w:lang w:val="x-none" w:eastAsia="x-none"/>
    </w:rPr>
  </w:style>
  <w:style w:type="paragraph" w:customStyle="1" w:styleId="Norm">
    <w:name w:val="Norm"/>
    <w:basedOn w:val="a1"/>
    <w:uiPriority w:val="99"/>
    <w:qFormat/>
    <w:rsid w:val="008673C7"/>
    <w:pPr>
      <w:widowControl/>
      <w:autoSpaceDE/>
      <w:autoSpaceDN/>
      <w:adjustRightInd/>
      <w:ind w:firstLine="425"/>
      <w:jc w:val="both"/>
    </w:pPr>
    <w:rPr>
      <w:bCs/>
      <w:iCs/>
      <w:sz w:val="22"/>
      <w:lang w:eastAsia="en-US"/>
    </w:rPr>
  </w:style>
  <w:style w:type="paragraph" w:customStyle="1" w:styleId="s16">
    <w:name w:val="s_16"/>
    <w:basedOn w:val="a1"/>
    <w:uiPriority w:val="99"/>
    <w:qFormat/>
    <w:rsid w:val="008673C7"/>
    <w:pPr>
      <w:widowControl/>
      <w:autoSpaceDE/>
      <w:autoSpaceDN/>
      <w:adjustRightInd/>
      <w:spacing w:before="100" w:beforeAutospacing="1" w:after="100" w:afterAutospacing="1"/>
    </w:pPr>
  </w:style>
  <w:style w:type="paragraph" w:customStyle="1" w:styleId="empty">
    <w:name w:val="empty"/>
    <w:basedOn w:val="a1"/>
    <w:uiPriority w:val="99"/>
    <w:qFormat/>
    <w:rsid w:val="008673C7"/>
    <w:pPr>
      <w:widowControl/>
      <w:autoSpaceDE/>
      <w:autoSpaceDN/>
      <w:adjustRightInd/>
      <w:spacing w:before="100" w:beforeAutospacing="1" w:after="100" w:afterAutospacing="1"/>
    </w:pPr>
  </w:style>
  <w:style w:type="paragraph" w:customStyle="1" w:styleId="s3">
    <w:name w:val="s_3"/>
    <w:basedOn w:val="a1"/>
    <w:uiPriority w:val="99"/>
    <w:qFormat/>
    <w:rsid w:val="008673C7"/>
    <w:pPr>
      <w:widowControl/>
      <w:autoSpaceDE/>
      <w:autoSpaceDN/>
      <w:adjustRightInd/>
      <w:spacing w:before="100" w:beforeAutospacing="1" w:after="100" w:afterAutospacing="1"/>
    </w:pPr>
  </w:style>
  <w:style w:type="paragraph" w:customStyle="1" w:styleId="s22">
    <w:name w:val="s_22"/>
    <w:basedOn w:val="a1"/>
    <w:uiPriority w:val="99"/>
    <w:qFormat/>
    <w:rsid w:val="008673C7"/>
    <w:pPr>
      <w:widowControl/>
      <w:autoSpaceDE/>
      <w:autoSpaceDN/>
      <w:adjustRightInd/>
      <w:spacing w:before="100" w:beforeAutospacing="1" w:after="100" w:afterAutospacing="1"/>
    </w:pPr>
  </w:style>
  <w:style w:type="paragraph" w:customStyle="1" w:styleId="s1">
    <w:name w:val="s_1"/>
    <w:basedOn w:val="a1"/>
    <w:qFormat/>
    <w:rsid w:val="008673C7"/>
    <w:pPr>
      <w:widowControl/>
      <w:autoSpaceDE/>
      <w:autoSpaceDN/>
      <w:adjustRightInd/>
      <w:spacing w:before="100" w:beforeAutospacing="1" w:after="100" w:afterAutospacing="1"/>
    </w:pPr>
  </w:style>
  <w:style w:type="character" w:customStyle="1" w:styleId="s104">
    <w:name w:val="s_104"/>
    <w:rsid w:val="008673C7"/>
  </w:style>
  <w:style w:type="paragraph" w:customStyle="1" w:styleId="affff8">
    <w:name w:val="Информация об изменениях"/>
    <w:basedOn w:val="a1"/>
    <w:next w:val="a1"/>
    <w:uiPriority w:val="99"/>
    <w:qFormat/>
    <w:rsid w:val="008673C7"/>
    <w:pPr>
      <w:spacing w:before="180"/>
      <w:ind w:left="360" w:right="360"/>
      <w:jc w:val="both"/>
    </w:pPr>
    <w:rPr>
      <w:rFonts w:ascii="Times New Roman CYR" w:hAnsi="Times New Roman CYR" w:cs="Times New Roman CYR"/>
      <w:color w:val="353842"/>
      <w:sz w:val="20"/>
      <w:szCs w:val="20"/>
      <w:shd w:val="clear" w:color="auto" w:fill="EAEFED"/>
    </w:rPr>
  </w:style>
  <w:style w:type="paragraph" w:customStyle="1" w:styleId="affff9">
    <w:name w:val="Подзаголовок для информации об изменениях"/>
    <w:basedOn w:val="a1"/>
    <w:next w:val="a1"/>
    <w:uiPriority w:val="99"/>
    <w:qFormat/>
    <w:rsid w:val="008673C7"/>
    <w:pPr>
      <w:ind w:firstLine="720"/>
      <w:jc w:val="both"/>
    </w:pPr>
    <w:rPr>
      <w:rFonts w:ascii="Times New Roman CYR" w:hAnsi="Times New Roman CYR" w:cs="Times New Roman CYR"/>
      <w:b/>
      <w:bCs/>
      <w:color w:val="353842"/>
      <w:sz w:val="20"/>
      <w:szCs w:val="20"/>
    </w:rPr>
  </w:style>
  <w:style w:type="paragraph" w:customStyle="1" w:styleId="affffa">
    <w:name w:val="Информация о версии"/>
    <w:basedOn w:val="affff1"/>
    <w:next w:val="a1"/>
    <w:uiPriority w:val="99"/>
    <w:qFormat/>
    <w:rsid w:val="008673C7"/>
    <w:rPr>
      <w:rFonts w:ascii="Times New Roman CYR" w:hAnsi="Times New Roman CYR" w:cs="Times New Roman CYR"/>
      <w:i/>
      <w:iCs/>
    </w:rPr>
  </w:style>
  <w:style w:type="paragraph" w:customStyle="1" w:styleId="affffb">
    <w:name w:val="Текст информации об изменениях"/>
    <w:basedOn w:val="a1"/>
    <w:next w:val="a1"/>
    <w:uiPriority w:val="99"/>
    <w:qFormat/>
    <w:rsid w:val="008673C7"/>
    <w:pPr>
      <w:ind w:firstLine="720"/>
      <w:jc w:val="both"/>
    </w:pPr>
    <w:rPr>
      <w:rFonts w:ascii="Times New Roman CYR" w:hAnsi="Times New Roman CYR" w:cs="Times New Roman CYR"/>
      <w:color w:val="353842"/>
      <w:sz w:val="20"/>
      <w:szCs w:val="20"/>
    </w:rPr>
  </w:style>
  <w:style w:type="paragraph" w:customStyle="1" w:styleId="font0">
    <w:name w:val="font0"/>
    <w:basedOn w:val="a1"/>
    <w:uiPriority w:val="99"/>
    <w:qFormat/>
    <w:rsid w:val="008673C7"/>
    <w:pPr>
      <w:widowControl/>
      <w:autoSpaceDE/>
      <w:autoSpaceDN/>
      <w:adjustRightInd/>
      <w:spacing w:before="100" w:beforeAutospacing="1" w:after="100" w:afterAutospacing="1"/>
    </w:pPr>
    <w:rPr>
      <w:rFonts w:ascii="Calibri" w:hAnsi="Calibri" w:cs="Calibri"/>
      <w:color w:val="000000"/>
      <w:sz w:val="22"/>
      <w:szCs w:val="22"/>
    </w:rPr>
  </w:style>
  <w:style w:type="paragraph" w:customStyle="1" w:styleId="font5">
    <w:name w:val="font5"/>
    <w:basedOn w:val="a1"/>
    <w:uiPriority w:val="99"/>
    <w:qFormat/>
    <w:rsid w:val="008673C7"/>
    <w:pPr>
      <w:widowControl/>
      <w:autoSpaceDE/>
      <w:autoSpaceDN/>
      <w:adjustRightInd/>
      <w:spacing w:before="100" w:beforeAutospacing="1" w:after="100" w:afterAutospacing="1"/>
    </w:pPr>
    <w:rPr>
      <w:rFonts w:ascii="Calibri" w:hAnsi="Calibri" w:cs="Calibri"/>
      <w:b/>
      <w:bCs/>
      <w:color w:val="000000"/>
      <w:sz w:val="22"/>
      <w:szCs w:val="22"/>
      <w:u w:val="single"/>
    </w:rPr>
  </w:style>
  <w:style w:type="paragraph" w:customStyle="1" w:styleId="xl63">
    <w:name w:val="xl63"/>
    <w:basedOn w:val="a1"/>
    <w:uiPriority w:val="99"/>
    <w:qFormat/>
    <w:rsid w:val="008673C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style>
  <w:style w:type="paragraph" w:customStyle="1" w:styleId="xl64">
    <w:name w:val="xl64"/>
    <w:basedOn w:val="a1"/>
    <w:uiPriority w:val="99"/>
    <w:qFormat/>
    <w:rsid w:val="008673C7"/>
    <w:pPr>
      <w:widowControl/>
      <w:pBdr>
        <w:top w:val="single" w:sz="4" w:space="0" w:color="auto"/>
        <w:left w:val="single" w:sz="4" w:space="0" w:color="auto"/>
        <w:bottom w:val="single" w:sz="4" w:space="0" w:color="auto"/>
        <w:right w:val="single" w:sz="4" w:space="0" w:color="auto"/>
      </w:pBdr>
      <w:shd w:val="clear" w:color="000000" w:fill="F2DCDB"/>
      <w:autoSpaceDE/>
      <w:autoSpaceDN/>
      <w:adjustRightInd/>
      <w:spacing w:before="100" w:beforeAutospacing="1" w:after="100" w:afterAutospacing="1"/>
      <w:jc w:val="center"/>
      <w:textAlignment w:val="center"/>
    </w:pPr>
  </w:style>
  <w:style w:type="paragraph" w:customStyle="1" w:styleId="xl65">
    <w:name w:val="xl65"/>
    <w:basedOn w:val="a1"/>
    <w:uiPriority w:val="99"/>
    <w:qFormat/>
    <w:rsid w:val="008673C7"/>
    <w:pPr>
      <w:widowControl/>
      <w:shd w:val="clear" w:color="000000" w:fill="EBF1DE"/>
      <w:autoSpaceDE/>
      <w:autoSpaceDN/>
      <w:adjustRightInd/>
      <w:spacing w:before="100" w:beforeAutospacing="1" w:after="100" w:afterAutospacing="1"/>
    </w:pPr>
    <w:rPr>
      <w:b/>
      <w:bCs/>
    </w:rPr>
  </w:style>
  <w:style w:type="paragraph" w:customStyle="1" w:styleId="xl66">
    <w:name w:val="xl66"/>
    <w:basedOn w:val="a1"/>
    <w:uiPriority w:val="99"/>
    <w:qFormat/>
    <w:rsid w:val="008673C7"/>
    <w:pPr>
      <w:widowControl/>
      <w:pBdr>
        <w:top w:val="single" w:sz="4" w:space="0" w:color="auto"/>
        <w:left w:val="single" w:sz="4" w:space="0" w:color="auto"/>
        <w:bottom w:val="single" w:sz="4" w:space="0" w:color="auto"/>
        <w:right w:val="single" w:sz="4" w:space="0" w:color="auto"/>
      </w:pBdr>
      <w:shd w:val="clear" w:color="000000" w:fill="EBF1DE"/>
      <w:autoSpaceDE/>
      <w:autoSpaceDN/>
      <w:adjustRightInd/>
      <w:spacing w:before="100" w:beforeAutospacing="1" w:after="100" w:afterAutospacing="1"/>
      <w:jc w:val="both"/>
      <w:textAlignment w:val="center"/>
    </w:pPr>
    <w:rPr>
      <w:b/>
      <w:bCs/>
    </w:rPr>
  </w:style>
  <w:style w:type="paragraph" w:customStyle="1" w:styleId="xl67">
    <w:name w:val="xl67"/>
    <w:basedOn w:val="a1"/>
    <w:qFormat/>
    <w:rsid w:val="008673C7"/>
    <w:pPr>
      <w:widowControl/>
      <w:autoSpaceDE/>
      <w:autoSpaceDN/>
      <w:adjustRightInd/>
      <w:spacing w:before="100" w:beforeAutospacing="1" w:after="100" w:afterAutospacing="1"/>
    </w:pPr>
    <w:rPr>
      <w:b/>
      <w:bCs/>
    </w:rPr>
  </w:style>
  <w:style w:type="paragraph" w:customStyle="1" w:styleId="xl68">
    <w:name w:val="xl68"/>
    <w:basedOn w:val="a1"/>
    <w:qFormat/>
    <w:rsid w:val="008673C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both"/>
      <w:textAlignment w:val="center"/>
    </w:pPr>
  </w:style>
  <w:style w:type="paragraph" w:customStyle="1" w:styleId="xl69">
    <w:name w:val="xl69"/>
    <w:basedOn w:val="a1"/>
    <w:qFormat/>
    <w:rsid w:val="008673C7"/>
    <w:pPr>
      <w:widowControl/>
      <w:autoSpaceDE/>
      <w:autoSpaceDN/>
      <w:adjustRightInd/>
      <w:spacing w:before="100" w:beforeAutospacing="1" w:after="100" w:afterAutospacing="1"/>
    </w:pPr>
  </w:style>
  <w:style w:type="paragraph" w:customStyle="1" w:styleId="xl70">
    <w:name w:val="xl70"/>
    <w:basedOn w:val="a1"/>
    <w:qFormat/>
    <w:rsid w:val="008673C7"/>
    <w:pPr>
      <w:widowControl/>
      <w:pBdr>
        <w:top w:val="single" w:sz="4" w:space="0" w:color="auto"/>
        <w:left w:val="single" w:sz="4" w:space="0" w:color="auto"/>
        <w:bottom w:val="single" w:sz="4" w:space="0" w:color="auto"/>
        <w:right w:val="single" w:sz="4" w:space="0" w:color="auto"/>
      </w:pBdr>
      <w:shd w:val="clear" w:color="000000" w:fill="EBF1DE"/>
      <w:autoSpaceDE/>
      <w:autoSpaceDN/>
      <w:adjustRightInd/>
      <w:spacing w:before="100" w:beforeAutospacing="1" w:after="100" w:afterAutospacing="1"/>
      <w:jc w:val="both"/>
      <w:textAlignment w:val="center"/>
    </w:pPr>
    <w:rPr>
      <w:b/>
      <w:bCs/>
    </w:rPr>
  </w:style>
  <w:style w:type="paragraph" w:customStyle="1" w:styleId="xl71">
    <w:name w:val="xl71"/>
    <w:basedOn w:val="a1"/>
    <w:qFormat/>
    <w:rsid w:val="008673C7"/>
    <w:pPr>
      <w:widowControl/>
      <w:pBdr>
        <w:top w:val="single" w:sz="4" w:space="0" w:color="auto"/>
        <w:left w:val="single" w:sz="4" w:space="0" w:color="auto"/>
        <w:bottom w:val="single" w:sz="4" w:space="0" w:color="auto"/>
        <w:right w:val="single" w:sz="4" w:space="0" w:color="auto"/>
      </w:pBdr>
      <w:shd w:val="clear" w:color="000000" w:fill="EBF1DE"/>
      <w:autoSpaceDE/>
      <w:autoSpaceDN/>
      <w:adjustRightInd/>
      <w:spacing w:before="100" w:beforeAutospacing="1" w:after="100" w:afterAutospacing="1"/>
      <w:textAlignment w:val="center"/>
    </w:pPr>
    <w:rPr>
      <w:b/>
      <w:bCs/>
    </w:rPr>
  </w:style>
  <w:style w:type="paragraph" w:customStyle="1" w:styleId="xl72">
    <w:name w:val="xl72"/>
    <w:basedOn w:val="a1"/>
    <w:qFormat/>
    <w:rsid w:val="008673C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style>
  <w:style w:type="paragraph" w:customStyle="1" w:styleId="xl73">
    <w:name w:val="xl73"/>
    <w:basedOn w:val="a1"/>
    <w:qFormat/>
    <w:rsid w:val="008673C7"/>
    <w:pPr>
      <w:widowControl/>
      <w:pBdr>
        <w:left w:val="single" w:sz="4" w:space="0" w:color="auto"/>
        <w:bottom w:val="single" w:sz="4" w:space="0" w:color="auto"/>
        <w:right w:val="single" w:sz="4" w:space="0" w:color="auto"/>
      </w:pBdr>
      <w:shd w:val="clear" w:color="000000" w:fill="EBF1DE"/>
      <w:autoSpaceDE/>
      <w:autoSpaceDN/>
      <w:adjustRightInd/>
      <w:spacing w:before="100" w:beforeAutospacing="1" w:after="100" w:afterAutospacing="1"/>
      <w:jc w:val="both"/>
      <w:textAlignment w:val="center"/>
    </w:pPr>
    <w:rPr>
      <w:b/>
      <w:bCs/>
    </w:rPr>
  </w:style>
  <w:style w:type="paragraph" w:customStyle="1" w:styleId="xl74">
    <w:name w:val="xl74"/>
    <w:basedOn w:val="a1"/>
    <w:qFormat/>
    <w:rsid w:val="008673C7"/>
    <w:pPr>
      <w:widowControl/>
      <w:pBdr>
        <w:top w:val="single" w:sz="4" w:space="0" w:color="auto"/>
        <w:left w:val="single" w:sz="4" w:space="0" w:color="auto"/>
        <w:bottom w:val="single" w:sz="4" w:space="0" w:color="auto"/>
        <w:right w:val="single" w:sz="4" w:space="0" w:color="auto"/>
      </w:pBdr>
      <w:shd w:val="clear" w:color="000000" w:fill="92CDDC"/>
      <w:autoSpaceDE/>
      <w:autoSpaceDN/>
      <w:adjustRightInd/>
      <w:spacing w:before="100" w:beforeAutospacing="1" w:after="100" w:afterAutospacing="1"/>
      <w:jc w:val="both"/>
      <w:textAlignment w:val="center"/>
    </w:pPr>
  </w:style>
  <w:style w:type="paragraph" w:customStyle="1" w:styleId="xl75">
    <w:name w:val="xl75"/>
    <w:basedOn w:val="a1"/>
    <w:qFormat/>
    <w:rsid w:val="008673C7"/>
    <w:pPr>
      <w:widowControl/>
      <w:pBdr>
        <w:top w:val="single" w:sz="4" w:space="0" w:color="auto"/>
        <w:left w:val="single" w:sz="4" w:space="0" w:color="auto"/>
        <w:bottom w:val="single" w:sz="4" w:space="0" w:color="auto"/>
        <w:right w:val="single" w:sz="4" w:space="0" w:color="auto"/>
      </w:pBdr>
      <w:shd w:val="clear" w:color="000000" w:fill="EBF1DE"/>
      <w:autoSpaceDE/>
      <w:autoSpaceDN/>
      <w:adjustRightInd/>
      <w:spacing w:before="100" w:beforeAutospacing="1" w:after="100" w:afterAutospacing="1"/>
      <w:jc w:val="center"/>
      <w:textAlignment w:val="center"/>
    </w:pPr>
    <w:rPr>
      <w:b/>
      <w:bCs/>
    </w:rPr>
  </w:style>
  <w:style w:type="paragraph" w:customStyle="1" w:styleId="xl76">
    <w:name w:val="xl76"/>
    <w:basedOn w:val="a1"/>
    <w:qFormat/>
    <w:rsid w:val="008673C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rPr>
  </w:style>
  <w:style w:type="paragraph" w:customStyle="1" w:styleId="xl77">
    <w:name w:val="xl77"/>
    <w:basedOn w:val="a1"/>
    <w:qFormat/>
    <w:rsid w:val="008673C7"/>
    <w:pPr>
      <w:widowControl/>
      <w:pBdr>
        <w:top w:val="single" w:sz="4" w:space="0" w:color="auto"/>
        <w:left w:val="single" w:sz="4" w:space="0" w:color="auto"/>
        <w:right w:val="single" w:sz="4" w:space="0" w:color="auto"/>
      </w:pBdr>
      <w:shd w:val="clear" w:color="000000" w:fill="EBF1DE"/>
      <w:autoSpaceDE/>
      <w:autoSpaceDN/>
      <w:adjustRightInd/>
      <w:spacing w:before="100" w:beforeAutospacing="1" w:after="100" w:afterAutospacing="1"/>
      <w:jc w:val="center"/>
      <w:textAlignment w:val="center"/>
    </w:pPr>
    <w:rPr>
      <w:b/>
      <w:bCs/>
    </w:rPr>
  </w:style>
  <w:style w:type="paragraph" w:customStyle="1" w:styleId="xl78">
    <w:name w:val="xl78"/>
    <w:basedOn w:val="a1"/>
    <w:qFormat/>
    <w:rsid w:val="008673C7"/>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center"/>
    </w:pPr>
    <w:rPr>
      <w:b/>
      <w:bCs/>
    </w:rPr>
  </w:style>
  <w:style w:type="paragraph" w:customStyle="1" w:styleId="xl79">
    <w:name w:val="xl79"/>
    <w:basedOn w:val="a1"/>
    <w:qFormat/>
    <w:rsid w:val="008673C7"/>
    <w:pPr>
      <w:widowControl/>
      <w:pBdr>
        <w:top w:val="single" w:sz="4" w:space="0" w:color="auto"/>
        <w:left w:val="single" w:sz="4" w:space="0" w:color="auto"/>
        <w:bottom w:val="single" w:sz="4" w:space="0" w:color="auto"/>
        <w:right w:val="single" w:sz="4" w:space="0" w:color="auto"/>
      </w:pBdr>
      <w:shd w:val="clear" w:color="000000" w:fill="00B050"/>
      <w:autoSpaceDE/>
      <w:autoSpaceDN/>
      <w:adjustRightInd/>
      <w:spacing w:before="100" w:beforeAutospacing="1" w:after="100" w:afterAutospacing="1"/>
      <w:jc w:val="both"/>
      <w:textAlignment w:val="center"/>
    </w:pPr>
  </w:style>
  <w:style w:type="paragraph" w:customStyle="1" w:styleId="xl80">
    <w:name w:val="xl80"/>
    <w:basedOn w:val="a1"/>
    <w:qFormat/>
    <w:rsid w:val="008673C7"/>
    <w:pPr>
      <w:widowControl/>
      <w:shd w:val="clear" w:color="000000" w:fill="F2DCDB"/>
      <w:autoSpaceDE/>
      <w:autoSpaceDN/>
      <w:adjustRightInd/>
      <w:spacing w:before="100" w:beforeAutospacing="1" w:after="100" w:afterAutospacing="1"/>
    </w:pPr>
  </w:style>
  <w:style w:type="paragraph" w:customStyle="1" w:styleId="xl81">
    <w:name w:val="xl81"/>
    <w:basedOn w:val="a1"/>
    <w:qFormat/>
    <w:rsid w:val="008673C7"/>
    <w:pPr>
      <w:widowControl/>
      <w:pBdr>
        <w:left w:val="single" w:sz="4" w:space="0" w:color="auto"/>
        <w:right w:val="single" w:sz="4" w:space="0" w:color="auto"/>
      </w:pBdr>
      <w:shd w:val="clear" w:color="000000" w:fill="F2DCDB"/>
      <w:autoSpaceDE/>
      <w:autoSpaceDN/>
      <w:adjustRightInd/>
      <w:spacing w:before="100" w:beforeAutospacing="1" w:after="100" w:afterAutospacing="1"/>
      <w:jc w:val="center"/>
      <w:textAlignment w:val="center"/>
    </w:pPr>
  </w:style>
  <w:style w:type="paragraph" w:customStyle="1" w:styleId="xl82">
    <w:name w:val="xl82"/>
    <w:basedOn w:val="a1"/>
    <w:qFormat/>
    <w:rsid w:val="008673C7"/>
    <w:pPr>
      <w:widowControl/>
      <w:pBdr>
        <w:top w:val="single" w:sz="4" w:space="0" w:color="auto"/>
        <w:left w:val="single" w:sz="4" w:space="0" w:color="auto"/>
        <w:bottom w:val="single" w:sz="4" w:space="0" w:color="auto"/>
        <w:right w:val="single" w:sz="4" w:space="0" w:color="auto"/>
      </w:pBdr>
      <w:shd w:val="clear" w:color="000000" w:fill="F2DCDB"/>
      <w:autoSpaceDE/>
      <w:autoSpaceDN/>
      <w:adjustRightInd/>
      <w:spacing w:before="100" w:beforeAutospacing="1" w:after="100" w:afterAutospacing="1"/>
      <w:jc w:val="center"/>
      <w:textAlignment w:val="center"/>
    </w:pPr>
    <w:rPr>
      <w:b/>
      <w:bCs/>
    </w:rPr>
  </w:style>
  <w:style w:type="paragraph" w:customStyle="1" w:styleId="xl83">
    <w:name w:val="xl83"/>
    <w:basedOn w:val="a1"/>
    <w:qFormat/>
    <w:rsid w:val="008673C7"/>
    <w:pPr>
      <w:widowControl/>
      <w:pBdr>
        <w:top w:val="single" w:sz="4" w:space="0" w:color="auto"/>
        <w:left w:val="single" w:sz="4" w:space="0" w:color="auto"/>
        <w:bottom w:val="single" w:sz="4" w:space="0" w:color="auto"/>
        <w:right w:val="single" w:sz="4" w:space="0" w:color="auto"/>
      </w:pBdr>
      <w:shd w:val="clear" w:color="000000" w:fill="B7DEE8"/>
      <w:autoSpaceDE/>
      <w:autoSpaceDN/>
      <w:adjustRightInd/>
      <w:spacing w:before="100" w:beforeAutospacing="1" w:after="100" w:afterAutospacing="1"/>
      <w:jc w:val="both"/>
      <w:textAlignment w:val="center"/>
    </w:pPr>
  </w:style>
  <w:style w:type="paragraph" w:customStyle="1" w:styleId="xl84">
    <w:name w:val="xl84"/>
    <w:basedOn w:val="a1"/>
    <w:qFormat/>
    <w:rsid w:val="008673C7"/>
    <w:pPr>
      <w:widowControl/>
      <w:shd w:val="clear" w:color="000000" w:fill="EBF1DE"/>
      <w:autoSpaceDE/>
      <w:autoSpaceDN/>
      <w:adjustRightInd/>
      <w:spacing w:before="100" w:beforeAutospacing="1" w:after="100" w:afterAutospacing="1"/>
    </w:pPr>
    <w:rPr>
      <w:b/>
      <w:bCs/>
    </w:rPr>
  </w:style>
  <w:style w:type="paragraph" w:customStyle="1" w:styleId="xl85">
    <w:name w:val="xl85"/>
    <w:basedOn w:val="a1"/>
    <w:qFormat/>
    <w:rsid w:val="008673C7"/>
    <w:pPr>
      <w:widowControl/>
      <w:pBdr>
        <w:top w:val="single" w:sz="4" w:space="0" w:color="auto"/>
        <w:left w:val="single" w:sz="4" w:space="0" w:color="auto"/>
        <w:bottom w:val="single" w:sz="4" w:space="0" w:color="auto"/>
        <w:right w:val="single" w:sz="4" w:space="0" w:color="auto"/>
      </w:pBdr>
      <w:shd w:val="clear" w:color="000000" w:fill="EBF1DE"/>
      <w:autoSpaceDE/>
      <w:autoSpaceDN/>
      <w:adjustRightInd/>
      <w:spacing w:before="100" w:beforeAutospacing="1" w:after="100" w:afterAutospacing="1"/>
      <w:jc w:val="both"/>
      <w:textAlignment w:val="center"/>
    </w:pPr>
    <w:rPr>
      <w:b/>
      <w:bCs/>
    </w:rPr>
  </w:style>
  <w:style w:type="paragraph" w:customStyle="1" w:styleId="xl86">
    <w:name w:val="xl86"/>
    <w:basedOn w:val="a1"/>
    <w:qFormat/>
    <w:rsid w:val="008673C7"/>
    <w:pPr>
      <w:widowControl/>
      <w:pBdr>
        <w:top w:val="single" w:sz="4" w:space="0" w:color="auto"/>
        <w:left w:val="single" w:sz="4" w:space="0" w:color="auto"/>
        <w:bottom w:val="single" w:sz="4" w:space="0" w:color="auto"/>
        <w:right w:val="single" w:sz="4" w:space="0" w:color="auto"/>
      </w:pBdr>
      <w:shd w:val="clear" w:color="000000" w:fill="F2DCDB"/>
      <w:autoSpaceDE/>
      <w:autoSpaceDN/>
      <w:adjustRightInd/>
      <w:spacing w:before="100" w:beforeAutospacing="1" w:after="100" w:afterAutospacing="1"/>
      <w:jc w:val="center"/>
      <w:textAlignment w:val="center"/>
    </w:pPr>
    <w:rPr>
      <w:b/>
      <w:bCs/>
    </w:rPr>
  </w:style>
  <w:style w:type="paragraph" w:customStyle="1" w:styleId="xl87">
    <w:name w:val="xl87"/>
    <w:basedOn w:val="a1"/>
    <w:qFormat/>
    <w:rsid w:val="008673C7"/>
    <w:pPr>
      <w:widowControl/>
      <w:pBdr>
        <w:top w:val="single" w:sz="4" w:space="0" w:color="auto"/>
        <w:left w:val="single" w:sz="4" w:space="0" w:color="auto"/>
        <w:right w:val="single" w:sz="4" w:space="0" w:color="auto"/>
      </w:pBdr>
      <w:shd w:val="clear" w:color="000000" w:fill="F2DCDB"/>
      <w:autoSpaceDE/>
      <w:autoSpaceDN/>
      <w:adjustRightInd/>
      <w:spacing w:before="100" w:beforeAutospacing="1" w:after="100" w:afterAutospacing="1"/>
      <w:jc w:val="center"/>
      <w:textAlignment w:val="center"/>
    </w:pPr>
    <w:rPr>
      <w:b/>
      <w:bCs/>
    </w:rPr>
  </w:style>
  <w:style w:type="paragraph" w:customStyle="1" w:styleId="xl88">
    <w:name w:val="xl88"/>
    <w:basedOn w:val="a1"/>
    <w:qFormat/>
    <w:rsid w:val="008673C7"/>
    <w:pPr>
      <w:widowControl/>
      <w:autoSpaceDE/>
      <w:autoSpaceDN/>
      <w:adjustRightInd/>
      <w:spacing w:before="100" w:beforeAutospacing="1" w:after="100" w:afterAutospacing="1"/>
      <w:jc w:val="both"/>
      <w:textAlignment w:val="center"/>
    </w:pPr>
  </w:style>
  <w:style w:type="paragraph" w:customStyle="1" w:styleId="xl89">
    <w:name w:val="xl89"/>
    <w:basedOn w:val="a1"/>
    <w:qFormat/>
    <w:rsid w:val="008673C7"/>
    <w:pPr>
      <w:widowControl/>
      <w:shd w:val="clear" w:color="000000" w:fill="76933C"/>
      <w:autoSpaceDE/>
      <w:autoSpaceDN/>
      <w:adjustRightInd/>
      <w:spacing w:before="100" w:beforeAutospacing="1" w:after="100" w:afterAutospacing="1"/>
      <w:jc w:val="both"/>
      <w:textAlignment w:val="center"/>
    </w:pPr>
    <w:rPr>
      <w:b/>
      <w:bCs/>
    </w:rPr>
  </w:style>
  <w:style w:type="paragraph" w:customStyle="1" w:styleId="xl90">
    <w:name w:val="xl90"/>
    <w:basedOn w:val="a1"/>
    <w:qFormat/>
    <w:rsid w:val="008673C7"/>
    <w:pPr>
      <w:widowControl/>
      <w:pBdr>
        <w:top w:val="single" w:sz="4" w:space="0" w:color="auto"/>
        <w:left w:val="single" w:sz="4" w:space="0" w:color="auto"/>
        <w:bottom w:val="single" w:sz="4" w:space="0" w:color="auto"/>
        <w:right w:val="single" w:sz="4" w:space="0" w:color="auto"/>
      </w:pBdr>
      <w:shd w:val="clear" w:color="000000" w:fill="76933C"/>
      <w:autoSpaceDE/>
      <w:autoSpaceDN/>
      <w:adjustRightInd/>
      <w:spacing w:before="100" w:beforeAutospacing="1" w:after="100" w:afterAutospacing="1"/>
      <w:jc w:val="both"/>
      <w:textAlignment w:val="center"/>
    </w:pPr>
    <w:rPr>
      <w:b/>
      <w:bCs/>
    </w:rPr>
  </w:style>
  <w:style w:type="paragraph" w:customStyle="1" w:styleId="xl91">
    <w:name w:val="xl91"/>
    <w:basedOn w:val="a1"/>
    <w:qFormat/>
    <w:rsid w:val="008673C7"/>
    <w:pPr>
      <w:widowControl/>
      <w:pBdr>
        <w:top w:val="single" w:sz="4" w:space="0" w:color="auto"/>
        <w:left w:val="single" w:sz="4" w:space="0" w:color="auto"/>
        <w:bottom w:val="single" w:sz="4" w:space="0" w:color="auto"/>
        <w:right w:val="single" w:sz="4" w:space="0" w:color="auto"/>
      </w:pBdr>
      <w:shd w:val="clear" w:color="000000" w:fill="76933C"/>
      <w:autoSpaceDE/>
      <w:autoSpaceDN/>
      <w:adjustRightInd/>
      <w:spacing w:before="100" w:beforeAutospacing="1" w:after="100" w:afterAutospacing="1"/>
      <w:jc w:val="both"/>
      <w:textAlignment w:val="center"/>
    </w:pPr>
    <w:rPr>
      <w:rFonts w:ascii="Arial" w:hAnsi="Arial" w:cs="Arial"/>
      <w:b/>
      <w:bCs/>
      <w:sz w:val="20"/>
      <w:szCs w:val="20"/>
    </w:rPr>
  </w:style>
  <w:style w:type="paragraph" w:customStyle="1" w:styleId="xl92">
    <w:name w:val="xl92"/>
    <w:basedOn w:val="a1"/>
    <w:qFormat/>
    <w:rsid w:val="008673C7"/>
    <w:pPr>
      <w:widowControl/>
      <w:pBdr>
        <w:top w:val="single" w:sz="4" w:space="0" w:color="auto"/>
        <w:left w:val="single" w:sz="4" w:space="0" w:color="auto"/>
        <w:bottom w:val="single" w:sz="4" w:space="0" w:color="auto"/>
        <w:right w:val="single" w:sz="4" w:space="0" w:color="auto"/>
      </w:pBdr>
      <w:shd w:val="clear" w:color="000000" w:fill="EBF1DE"/>
      <w:autoSpaceDE/>
      <w:autoSpaceDN/>
      <w:adjustRightInd/>
      <w:spacing w:before="100" w:beforeAutospacing="1" w:after="100" w:afterAutospacing="1"/>
      <w:jc w:val="both"/>
      <w:textAlignment w:val="center"/>
    </w:pPr>
  </w:style>
  <w:style w:type="paragraph" w:customStyle="1" w:styleId="xl93">
    <w:name w:val="xl93"/>
    <w:basedOn w:val="a1"/>
    <w:qFormat/>
    <w:rsid w:val="008673C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both"/>
      <w:textAlignment w:val="center"/>
    </w:pPr>
    <w:rPr>
      <w:b/>
      <w:bCs/>
    </w:rPr>
  </w:style>
  <w:style w:type="paragraph" w:customStyle="1" w:styleId="xl94">
    <w:name w:val="xl94"/>
    <w:basedOn w:val="a1"/>
    <w:qFormat/>
    <w:rsid w:val="008673C7"/>
    <w:pPr>
      <w:widowControl/>
      <w:pBdr>
        <w:top w:val="single" w:sz="4" w:space="0" w:color="auto"/>
        <w:left w:val="single" w:sz="4" w:space="0" w:color="auto"/>
        <w:bottom w:val="single" w:sz="4" w:space="0" w:color="auto"/>
        <w:right w:val="single" w:sz="4" w:space="0" w:color="auto"/>
      </w:pBdr>
      <w:shd w:val="clear" w:color="000000" w:fill="F2DCDB"/>
      <w:autoSpaceDE/>
      <w:autoSpaceDN/>
      <w:adjustRightInd/>
      <w:spacing w:before="100" w:beforeAutospacing="1" w:after="100" w:afterAutospacing="1"/>
      <w:jc w:val="center"/>
      <w:textAlignment w:val="center"/>
    </w:pPr>
  </w:style>
  <w:style w:type="paragraph" w:customStyle="1" w:styleId="xl95">
    <w:name w:val="xl95"/>
    <w:basedOn w:val="a1"/>
    <w:qFormat/>
    <w:rsid w:val="008673C7"/>
    <w:pPr>
      <w:widowControl/>
      <w:pBdr>
        <w:top w:val="single" w:sz="4" w:space="0" w:color="auto"/>
        <w:left w:val="single" w:sz="4" w:space="0" w:color="auto"/>
        <w:bottom w:val="single" w:sz="4" w:space="0" w:color="auto"/>
        <w:right w:val="single" w:sz="4" w:space="0" w:color="auto"/>
      </w:pBdr>
      <w:shd w:val="clear" w:color="000000" w:fill="95B3D7"/>
      <w:autoSpaceDE/>
      <w:autoSpaceDN/>
      <w:adjustRightInd/>
      <w:spacing w:before="100" w:beforeAutospacing="1" w:after="100" w:afterAutospacing="1"/>
      <w:jc w:val="center"/>
      <w:textAlignment w:val="center"/>
    </w:pPr>
    <w:rPr>
      <w:b/>
      <w:bCs/>
    </w:rPr>
  </w:style>
  <w:style w:type="paragraph" w:customStyle="1" w:styleId="xl96">
    <w:name w:val="xl96"/>
    <w:basedOn w:val="a1"/>
    <w:qFormat/>
    <w:rsid w:val="008673C7"/>
    <w:pPr>
      <w:widowControl/>
      <w:pBdr>
        <w:top w:val="single" w:sz="4" w:space="0" w:color="auto"/>
        <w:left w:val="single" w:sz="4" w:space="0" w:color="auto"/>
        <w:bottom w:val="single" w:sz="4" w:space="0" w:color="auto"/>
        <w:right w:val="single" w:sz="4" w:space="0" w:color="auto"/>
      </w:pBdr>
      <w:shd w:val="clear" w:color="000000" w:fill="EBF1DE"/>
      <w:autoSpaceDE/>
      <w:autoSpaceDN/>
      <w:adjustRightInd/>
      <w:spacing w:before="100" w:beforeAutospacing="1" w:after="100" w:afterAutospacing="1"/>
      <w:jc w:val="center"/>
      <w:textAlignment w:val="center"/>
    </w:pPr>
    <w:rPr>
      <w:b/>
      <w:bCs/>
    </w:rPr>
  </w:style>
  <w:style w:type="paragraph" w:customStyle="1" w:styleId="xl97">
    <w:name w:val="xl97"/>
    <w:basedOn w:val="a1"/>
    <w:qFormat/>
    <w:rsid w:val="008673C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rPr>
  </w:style>
  <w:style w:type="paragraph" w:customStyle="1" w:styleId="xl98">
    <w:name w:val="xl98"/>
    <w:basedOn w:val="a1"/>
    <w:qFormat/>
    <w:rsid w:val="008673C7"/>
    <w:pPr>
      <w:widowControl/>
      <w:pBdr>
        <w:top w:val="single" w:sz="4" w:space="0" w:color="auto"/>
        <w:left w:val="single" w:sz="4" w:space="0" w:color="auto"/>
        <w:bottom w:val="single" w:sz="4" w:space="0" w:color="auto"/>
        <w:right w:val="single" w:sz="4" w:space="0" w:color="auto"/>
      </w:pBdr>
      <w:shd w:val="clear" w:color="000000" w:fill="F2DCDB"/>
      <w:autoSpaceDE/>
      <w:autoSpaceDN/>
      <w:adjustRightInd/>
      <w:spacing w:before="100" w:beforeAutospacing="1" w:after="100" w:afterAutospacing="1"/>
      <w:jc w:val="center"/>
      <w:textAlignment w:val="center"/>
    </w:pPr>
    <w:rPr>
      <w:b/>
      <w:bCs/>
    </w:rPr>
  </w:style>
  <w:style w:type="paragraph" w:customStyle="1" w:styleId="xl99">
    <w:name w:val="xl99"/>
    <w:basedOn w:val="a1"/>
    <w:qFormat/>
    <w:rsid w:val="008673C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style>
  <w:style w:type="paragraph" w:customStyle="1" w:styleId="xl100">
    <w:name w:val="xl100"/>
    <w:basedOn w:val="a1"/>
    <w:qFormat/>
    <w:rsid w:val="008673C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style>
  <w:style w:type="paragraph" w:customStyle="1" w:styleId="xl101">
    <w:name w:val="xl101"/>
    <w:basedOn w:val="a1"/>
    <w:qFormat/>
    <w:rsid w:val="008673C7"/>
    <w:pPr>
      <w:widowControl/>
      <w:pBdr>
        <w:top w:val="single" w:sz="4" w:space="0" w:color="auto"/>
        <w:left w:val="single" w:sz="4" w:space="0" w:color="auto"/>
        <w:bottom w:val="single" w:sz="4" w:space="0" w:color="auto"/>
        <w:right w:val="single" w:sz="4" w:space="0" w:color="auto"/>
      </w:pBdr>
      <w:shd w:val="clear" w:color="000000" w:fill="F2DCDB"/>
      <w:autoSpaceDE/>
      <w:autoSpaceDN/>
      <w:adjustRightInd/>
      <w:spacing w:before="100" w:beforeAutospacing="1" w:after="100" w:afterAutospacing="1"/>
      <w:textAlignment w:val="center"/>
    </w:pPr>
  </w:style>
  <w:style w:type="paragraph" w:customStyle="1" w:styleId="xl102">
    <w:name w:val="xl102"/>
    <w:basedOn w:val="a1"/>
    <w:qFormat/>
    <w:rsid w:val="008673C7"/>
    <w:pPr>
      <w:widowControl/>
      <w:pBdr>
        <w:top w:val="single" w:sz="4" w:space="0" w:color="auto"/>
        <w:left w:val="single" w:sz="4" w:space="0" w:color="auto"/>
        <w:bottom w:val="single" w:sz="4" w:space="0" w:color="auto"/>
        <w:right w:val="single" w:sz="4" w:space="0" w:color="auto"/>
      </w:pBdr>
      <w:shd w:val="clear" w:color="000000" w:fill="FFFF00"/>
      <w:autoSpaceDE/>
      <w:autoSpaceDN/>
      <w:adjustRightInd/>
      <w:spacing w:before="100" w:beforeAutospacing="1" w:after="100" w:afterAutospacing="1"/>
      <w:jc w:val="center"/>
      <w:textAlignment w:val="center"/>
    </w:pPr>
    <w:rPr>
      <w:b/>
      <w:bCs/>
    </w:rPr>
  </w:style>
  <w:style w:type="paragraph" w:customStyle="1" w:styleId="xl103">
    <w:name w:val="xl103"/>
    <w:basedOn w:val="a1"/>
    <w:qFormat/>
    <w:rsid w:val="008673C7"/>
    <w:pPr>
      <w:widowControl/>
      <w:pBdr>
        <w:top w:val="single" w:sz="4" w:space="0" w:color="auto"/>
        <w:left w:val="single" w:sz="4" w:space="0" w:color="auto"/>
        <w:bottom w:val="single" w:sz="4" w:space="0" w:color="auto"/>
        <w:right w:val="single" w:sz="4" w:space="0" w:color="auto"/>
      </w:pBdr>
      <w:shd w:val="clear" w:color="000000" w:fill="F2DCDB"/>
      <w:autoSpaceDE/>
      <w:autoSpaceDN/>
      <w:adjustRightInd/>
      <w:spacing w:before="100" w:beforeAutospacing="1" w:after="100" w:afterAutospacing="1"/>
      <w:jc w:val="center"/>
      <w:textAlignment w:val="center"/>
    </w:pPr>
    <w:rPr>
      <w:b/>
      <w:bCs/>
    </w:rPr>
  </w:style>
  <w:style w:type="paragraph" w:customStyle="1" w:styleId="xl104">
    <w:name w:val="xl104"/>
    <w:basedOn w:val="a1"/>
    <w:qFormat/>
    <w:rsid w:val="008673C7"/>
    <w:pPr>
      <w:widowControl/>
      <w:pBdr>
        <w:top w:val="single" w:sz="4" w:space="0" w:color="auto"/>
        <w:left w:val="single" w:sz="4" w:space="0" w:color="auto"/>
        <w:bottom w:val="single" w:sz="4" w:space="0" w:color="auto"/>
        <w:right w:val="single" w:sz="4" w:space="0" w:color="auto"/>
      </w:pBdr>
      <w:shd w:val="clear" w:color="000000" w:fill="00B0F0"/>
      <w:autoSpaceDE/>
      <w:autoSpaceDN/>
      <w:adjustRightInd/>
      <w:spacing w:before="100" w:beforeAutospacing="1" w:after="100" w:afterAutospacing="1"/>
      <w:jc w:val="both"/>
      <w:textAlignment w:val="center"/>
    </w:pPr>
  </w:style>
  <w:style w:type="paragraph" w:customStyle="1" w:styleId="xl105">
    <w:name w:val="xl105"/>
    <w:basedOn w:val="a1"/>
    <w:qFormat/>
    <w:rsid w:val="008673C7"/>
    <w:pPr>
      <w:widowControl/>
      <w:pBdr>
        <w:top w:val="single" w:sz="4" w:space="0" w:color="auto"/>
        <w:left w:val="single" w:sz="4" w:space="0" w:color="auto"/>
        <w:bottom w:val="single" w:sz="4" w:space="0" w:color="auto"/>
        <w:right w:val="single" w:sz="4" w:space="0" w:color="auto"/>
      </w:pBdr>
      <w:shd w:val="clear" w:color="000000" w:fill="00B0F0"/>
      <w:autoSpaceDE/>
      <w:autoSpaceDN/>
      <w:adjustRightInd/>
      <w:spacing w:before="100" w:beforeAutospacing="1" w:after="100" w:afterAutospacing="1"/>
      <w:jc w:val="center"/>
      <w:textAlignment w:val="center"/>
    </w:pPr>
  </w:style>
  <w:style w:type="paragraph" w:customStyle="1" w:styleId="xl106">
    <w:name w:val="xl106"/>
    <w:basedOn w:val="a1"/>
    <w:qFormat/>
    <w:rsid w:val="008673C7"/>
    <w:pPr>
      <w:widowControl/>
      <w:autoSpaceDE/>
      <w:autoSpaceDN/>
      <w:adjustRightInd/>
      <w:spacing w:before="100" w:beforeAutospacing="1" w:after="100" w:afterAutospacing="1"/>
      <w:jc w:val="both"/>
      <w:textAlignment w:val="center"/>
    </w:pPr>
    <w:rPr>
      <w:b/>
      <w:bCs/>
    </w:rPr>
  </w:style>
  <w:style w:type="paragraph" w:customStyle="1" w:styleId="xl107">
    <w:name w:val="xl107"/>
    <w:basedOn w:val="a1"/>
    <w:qFormat/>
    <w:rsid w:val="008673C7"/>
    <w:pPr>
      <w:widowControl/>
      <w:pBdr>
        <w:left w:val="single" w:sz="4" w:space="0" w:color="auto"/>
        <w:bottom w:val="single" w:sz="4" w:space="0" w:color="auto"/>
      </w:pBdr>
      <w:autoSpaceDE/>
      <w:autoSpaceDN/>
      <w:adjustRightInd/>
      <w:spacing w:before="100" w:beforeAutospacing="1" w:after="100" w:afterAutospacing="1"/>
      <w:jc w:val="center"/>
      <w:textAlignment w:val="center"/>
    </w:pPr>
  </w:style>
  <w:style w:type="paragraph" w:customStyle="1" w:styleId="xl108">
    <w:name w:val="xl108"/>
    <w:basedOn w:val="a1"/>
    <w:qFormat/>
    <w:rsid w:val="008673C7"/>
    <w:pPr>
      <w:widowControl/>
      <w:pBdr>
        <w:bottom w:val="single" w:sz="4" w:space="0" w:color="auto"/>
      </w:pBdr>
      <w:autoSpaceDE/>
      <w:autoSpaceDN/>
      <w:adjustRightInd/>
      <w:spacing w:before="100" w:beforeAutospacing="1" w:after="100" w:afterAutospacing="1"/>
      <w:jc w:val="center"/>
      <w:textAlignment w:val="center"/>
    </w:pPr>
  </w:style>
  <w:style w:type="paragraph" w:customStyle="1" w:styleId="xl109">
    <w:name w:val="xl109"/>
    <w:basedOn w:val="a1"/>
    <w:qFormat/>
    <w:rsid w:val="008673C7"/>
    <w:pPr>
      <w:widowControl/>
      <w:pBdr>
        <w:bottom w:val="single" w:sz="4" w:space="0" w:color="auto"/>
      </w:pBdr>
      <w:autoSpaceDE/>
      <w:autoSpaceDN/>
      <w:adjustRightInd/>
      <w:spacing w:before="100" w:beforeAutospacing="1" w:after="100" w:afterAutospacing="1"/>
    </w:pPr>
  </w:style>
  <w:style w:type="paragraph" w:customStyle="1" w:styleId="xl110">
    <w:name w:val="xl110"/>
    <w:basedOn w:val="a1"/>
    <w:qFormat/>
    <w:rsid w:val="008673C7"/>
    <w:pPr>
      <w:widowControl/>
      <w:pBdr>
        <w:top w:val="single" w:sz="4" w:space="0" w:color="auto"/>
        <w:left w:val="single" w:sz="4" w:space="0" w:color="auto"/>
        <w:bottom w:val="single" w:sz="4" w:space="0" w:color="auto"/>
        <w:right w:val="single" w:sz="4" w:space="0" w:color="auto"/>
      </w:pBdr>
      <w:shd w:val="clear" w:color="000000" w:fill="F2DCDB"/>
      <w:autoSpaceDE/>
      <w:autoSpaceDN/>
      <w:adjustRightInd/>
      <w:spacing w:before="100" w:beforeAutospacing="1" w:after="100" w:afterAutospacing="1"/>
      <w:jc w:val="center"/>
      <w:textAlignment w:val="center"/>
    </w:pPr>
    <w:rPr>
      <w:b/>
      <w:bCs/>
    </w:rPr>
  </w:style>
  <w:style w:type="paragraph" w:customStyle="1" w:styleId="xl111">
    <w:name w:val="xl111"/>
    <w:basedOn w:val="a1"/>
    <w:qFormat/>
    <w:rsid w:val="008673C7"/>
    <w:pPr>
      <w:widowControl/>
      <w:pBdr>
        <w:top w:val="single" w:sz="4" w:space="0" w:color="auto"/>
        <w:left w:val="single" w:sz="4" w:space="0" w:color="auto"/>
        <w:bottom w:val="single" w:sz="4" w:space="0" w:color="auto"/>
        <w:right w:val="single" w:sz="4" w:space="0" w:color="auto"/>
      </w:pBdr>
      <w:shd w:val="clear" w:color="000000" w:fill="00B0F0"/>
      <w:autoSpaceDE/>
      <w:autoSpaceDN/>
      <w:adjustRightInd/>
      <w:spacing w:before="100" w:beforeAutospacing="1" w:after="100" w:afterAutospacing="1"/>
      <w:jc w:val="both"/>
      <w:textAlignment w:val="center"/>
    </w:pPr>
  </w:style>
  <w:style w:type="paragraph" w:customStyle="1" w:styleId="xl112">
    <w:name w:val="xl112"/>
    <w:basedOn w:val="a1"/>
    <w:qFormat/>
    <w:rsid w:val="008673C7"/>
    <w:pPr>
      <w:widowControl/>
      <w:pBdr>
        <w:top w:val="single" w:sz="4" w:space="0" w:color="auto"/>
        <w:left w:val="single" w:sz="4" w:space="0" w:color="auto"/>
        <w:bottom w:val="single" w:sz="4" w:space="0" w:color="auto"/>
        <w:right w:val="single" w:sz="4" w:space="0" w:color="auto"/>
      </w:pBdr>
      <w:shd w:val="clear" w:color="000000" w:fill="00B0F0"/>
      <w:autoSpaceDE/>
      <w:autoSpaceDN/>
      <w:adjustRightInd/>
      <w:spacing w:before="100" w:beforeAutospacing="1" w:after="100" w:afterAutospacing="1"/>
      <w:jc w:val="center"/>
      <w:textAlignment w:val="center"/>
    </w:pPr>
  </w:style>
  <w:style w:type="paragraph" w:customStyle="1" w:styleId="xl113">
    <w:name w:val="xl113"/>
    <w:basedOn w:val="a1"/>
    <w:qFormat/>
    <w:rsid w:val="008673C7"/>
    <w:pPr>
      <w:widowControl/>
      <w:autoSpaceDE/>
      <w:autoSpaceDN/>
      <w:adjustRightInd/>
      <w:spacing w:before="100" w:beforeAutospacing="1" w:after="100" w:afterAutospacing="1"/>
      <w:jc w:val="both"/>
      <w:textAlignment w:val="center"/>
    </w:pPr>
    <w:rPr>
      <w:b/>
      <w:bCs/>
    </w:rPr>
  </w:style>
  <w:style w:type="paragraph" w:customStyle="1" w:styleId="xl114">
    <w:name w:val="xl114"/>
    <w:basedOn w:val="a1"/>
    <w:qFormat/>
    <w:rsid w:val="008673C7"/>
    <w:pPr>
      <w:widowControl/>
      <w:pBdr>
        <w:left w:val="single" w:sz="4" w:space="0" w:color="auto"/>
        <w:bottom w:val="single" w:sz="4" w:space="0" w:color="auto"/>
      </w:pBdr>
      <w:autoSpaceDE/>
      <w:autoSpaceDN/>
      <w:adjustRightInd/>
      <w:spacing w:before="100" w:beforeAutospacing="1" w:after="100" w:afterAutospacing="1"/>
      <w:jc w:val="center"/>
      <w:textAlignment w:val="center"/>
    </w:pPr>
  </w:style>
  <w:style w:type="paragraph" w:customStyle="1" w:styleId="xl115">
    <w:name w:val="xl115"/>
    <w:basedOn w:val="a1"/>
    <w:qFormat/>
    <w:rsid w:val="008673C7"/>
    <w:pPr>
      <w:widowControl/>
      <w:pBdr>
        <w:bottom w:val="single" w:sz="4" w:space="0" w:color="auto"/>
      </w:pBdr>
      <w:autoSpaceDE/>
      <w:autoSpaceDN/>
      <w:adjustRightInd/>
      <w:spacing w:before="100" w:beforeAutospacing="1" w:after="100" w:afterAutospacing="1"/>
      <w:jc w:val="center"/>
      <w:textAlignment w:val="center"/>
    </w:pPr>
  </w:style>
  <w:style w:type="paragraph" w:customStyle="1" w:styleId="xl116">
    <w:name w:val="xl116"/>
    <w:basedOn w:val="a1"/>
    <w:qFormat/>
    <w:rsid w:val="008673C7"/>
    <w:pPr>
      <w:widowControl/>
      <w:pBdr>
        <w:bottom w:val="single" w:sz="4" w:space="0" w:color="auto"/>
      </w:pBdr>
      <w:autoSpaceDE/>
      <w:autoSpaceDN/>
      <w:adjustRightInd/>
      <w:spacing w:before="100" w:beforeAutospacing="1" w:after="100" w:afterAutospacing="1"/>
    </w:pPr>
  </w:style>
  <w:style w:type="paragraph" w:customStyle="1" w:styleId="39">
    <w:name w:val="Обычный3"/>
    <w:basedOn w:val="a1"/>
    <w:uiPriority w:val="99"/>
    <w:qFormat/>
    <w:rsid w:val="008673C7"/>
    <w:pPr>
      <w:widowControl/>
      <w:autoSpaceDE/>
      <w:autoSpaceDN/>
      <w:adjustRightInd/>
      <w:spacing w:line="300" w:lineRule="auto"/>
      <w:ind w:firstLine="709"/>
      <w:jc w:val="both"/>
    </w:pPr>
    <w:rPr>
      <w:sz w:val="28"/>
      <w:szCs w:val="20"/>
    </w:rPr>
  </w:style>
  <w:style w:type="character" w:customStyle="1" w:styleId="WW8Num2z6">
    <w:name w:val="WW8Num2z6"/>
    <w:qFormat/>
    <w:rsid w:val="008673C7"/>
  </w:style>
  <w:style w:type="paragraph" w:customStyle="1" w:styleId="affffc">
    <w:name w:val="Содержимое таблицы"/>
    <w:basedOn w:val="a1"/>
    <w:uiPriority w:val="99"/>
    <w:qFormat/>
    <w:rsid w:val="008673C7"/>
    <w:pPr>
      <w:widowControl/>
      <w:suppressLineNumbers/>
      <w:autoSpaceDE/>
      <w:autoSpaceDN/>
      <w:adjustRightInd/>
      <w:spacing w:after="160" w:line="259" w:lineRule="auto"/>
    </w:pPr>
    <w:rPr>
      <w:rFonts w:ascii="Calibri" w:eastAsia="Calibri" w:hAnsi="Calibri"/>
      <w:sz w:val="22"/>
      <w:szCs w:val="22"/>
      <w:lang w:eastAsia="en-US"/>
    </w:rPr>
  </w:style>
  <w:style w:type="character" w:customStyle="1" w:styleId="currenttext">
    <w:name w:val="current_text"/>
    <w:rsid w:val="008673C7"/>
    <w:rPr>
      <w:rFonts w:cs="Times New Roman"/>
    </w:rPr>
  </w:style>
  <w:style w:type="paragraph" w:customStyle="1" w:styleId="ConsPlusDocList">
    <w:name w:val="ConsPlusDocList"/>
    <w:uiPriority w:val="99"/>
    <w:qFormat/>
    <w:rsid w:val="008673C7"/>
    <w:pPr>
      <w:widowControl w:val="0"/>
      <w:autoSpaceDE w:val="0"/>
      <w:autoSpaceDN w:val="0"/>
      <w:spacing w:after="0" w:line="240" w:lineRule="auto"/>
    </w:pPr>
    <w:rPr>
      <w:rFonts w:ascii="Times New Roman" w:eastAsia="Times New Roman" w:hAnsi="Times New Roman" w:cs="Times New Roman"/>
      <w:sz w:val="24"/>
      <w:szCs w:val="20"/>
      <w:lang w:eastAsia="ru-RU"/>
    </w:rPr>
  </w:style>
  <w:style w:type="paragraph" w:customStyle="1" w:styleId="ConsPlusJurTerm">
    <w:name w:val="ConsPlusJurTerm"/>
    <w:uiPriority w:val="99"/>
    <w:qFormat/>
    <w:rsid w:val="008673C7"/>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uiPriority w:val="99"/>
    <w:qFormat/>
    <w:rsid w:val="008673C7"/>
    <w:pPr>
      <w:widowControl w:val="0"/>
      <w:autoSpaceDE w:val="0"/>
      <w:autoSpaceDN w:val="0"/>
      <w:spacing w:after="0" w:line="240" w:lineRule="auto"/>
    </w:pPr>
    <w:rPr>
      <w:rFonts w:ascii="Arial" w:eastAsia="Times New Roman" w:hAnsi="Arial" w:cs="Arial"/>
      <w:sz w:val="20"/>
      <w:szCs w:val="20"/>
      <w:lang w:eastAsia="ru-RU"/>
    </w:rPr>
  </w:style>
  <w:style w:type="character" w:customStyle="1" w:styleId="2f0">
    <w:name w:val="Название Знак2"/>
    <w:uiPriority w:val="10"/>
    <w:rsid w:val="008673C7"/>
    <w:rPr>
      <w:rFonts w:ascii="Cambria" w:eastAsia="Times New Roman" w:hAnsi="Cambria" w:cs="Times New Roman"/>
      <w:color w:val="17365D"/>
      <w:spacing w:val="5"/>
      <w:kern w:val="28"/>
      <w:sz w:val="52"/>
      <w:szCs w:val="52"/>
    </w:rPr>
  </w:style>
  <w:style w:type="numbering" w:customStyle="1" w:styleId="2f1">
    <w:name w:val="Нет списка2"/>
    <w:next w:val="a4"/>
    <w:uiPriority w:val="99"/>
    <w:semiHidden/>
    <w:unhideWhenUsed/>
    <w:rsid w:val="008673C7"/>
  </w:style>
  <w:style w:type="table" w:customStyle="1" w:styleId="TableNormal1">
    <w:name w:val="Table Normal1"/>
    <w:rsid w:val="008673C7"/>
    <w:pPr>
      <w:spacing w:after="0" w:line="276" w:lineRule="auto"/>
    </w:pPr>
    <w:rPr>
      <w:rFonts w:ascii="Arial" w:eastAsia="Arial" w:hAnsi="Arial" w:cs="Arial"/>
      <w:lang w:eastAsia="ru-RU"/>
    </w:rPr>
    <w:tblPr>
      <w:tblCellMar>
        <w:top w:w="0" w:type="dxa"/>
        <w:left w:w="0" w:type="dxa"/>
        <w:bottom w:w="0" w:type="dxa"/>
        <w:right w:w="0" w:type="dxa"/>
      </w:tblCellMar>
    </w:tblPr>
  </w:style>
  <w:style w:type="character" w:customStyle="1" w:styleId="311">
    <w:name w:val="Основной текст 3 Знак1"/>
    <w:uiPriority w:val="99"/>
    <w:semiHidden/>
    <w:rsid w:val="008673C7"/>
    <w:rPr>
      <w:rFonts w:ascii="Times New Roman" w:eastAsia="Cambria" w:hAnsi="Times New Roman" w:cs="Times New Roman"/>
      <w:sz w:val="16"/>
      <w:szCs w:val="16"/>
    </w:rPr>
  </w:style>
  <w:style w:type="paragraph" w:customStyle="1" w:styleId="TableParagraph">
    <w:name w:val="Table Paragraph"/>
    <w:basedOn w:val="a1"/>
    <w:uiPriority w:val="99"/>
    <w:qFormat/>
    <w:rsid w:val="008673C7"/>
    <w:pPr>
      <w:adjustRightInd/>
    </w:pPr>
    <w:rPr>
      <w:sz w:val="22"/>
      <w:szCs w:val="22"/>
      <w:lang w:val="kk-KZ" w:eastAsia="en-US"/>
    </w:rPr>
  </w:style>
  <w:style w:type="character" w:customStyle="1" w:styleId="afa">
    <w:name w:val="Абзац списка Знак"/>
    <w:aliases w:val="ПАРАГРАФ Знак,Абзац списка основной Знак,Bullet List Знак,FooterText Знак,numbered Знак,список 1 Знак,ТАБЛИЦА: текст Знак"/>
    <w:link w:val="af9"/>
    <w:uiPriority w:val="34"/>
    <w:locked/>
    <w:rsid w:val="008673C7"/>
    <w:rPr>
      <w:rFonts w:ascii="Times New Roman" w:eastAsia="Times New Roman" w:hAnsi="Times New Roman" w:cs="Times New Roman"/>
      <w:sz w:val="24"/>
      <w:szCs w:val="24"/>
      <w:lang w:val="x-none" w:eastAsia="ru-RU"/>
    </w:rPr>
  </w:style>
  <w:style w:type="table" w:customStyle="1" w:styleId="3a">
    <w:name w:val="Сетка таблицы3"/>
    <w:basedOn w:val="a3"/>
    <w:next w:val="af1"/>
    <w:uiPriority w:val="59"/>
    <w:rsid w:val="008673C7"/>
    <w:pPr>
      <w:spacing w:after="0" w:line="240" w:lineRule="auto"/>
    </w:pPr>
    <w:rPr>
      <w:rFonts w:ascii="Cambria" w:eastAsia="Cambria" w:hAnsi="Cambria"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4"/>
    <w:uiPriority w:val="99"/>
    <w:semiHidden/>
    <w:unhideWhenUsed/>
    <w:rsid w:val="008673C7"/>
  </w:style>
  <w:style w:type="table" w:customStyle="1" w:styleId="121">
    <w:name w:val="Сетка таблицы12"/>
    <w:basedOn w:val="a3"/>
    <w:next w:val="af1"/>
    <w:uiPriority w:val="39"/>
    <w:rsid w:val="008673C7"/>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
    <w:name w:val="Нет списка112"/>
    <w:next w:val="a4"/>
    <w:uiPriority w:val="99"/>
    <w:semiHidden/>
    <w:unhideWhenUsed/>
    <w:rsid w:val="008673C7"/>
  </w:style>
  <w:style w:type="table" w:customStyle="1" w:styleId="220">
    <w:name w:val="Сетка таблицы22"/>
    <w:basedOn w:val="a3"/>
    <w:next w:val="af1"/>
    <w:uiPriority w:val="59"/>
    <w:rsid w:val="008673C7"/>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
    <w:basedOn w:val="a3"/>
    <w:next w:val="af1"/>
    <w:uiPriority w:val="59"/>
    <w:rsid w:val="008673C7"/>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
    <w:name w:val="Нет списка11111"/>
    <w:next w:val="a4"/>
    <w:semiHidden/>
    <w:rsid w:val="008673C7"/>
  </w:style>
  <w:style w:type="table" w:customStyle="1" w:styleId="2110">
    <w:name w:val="Сетка таблицы211"/>
    <w:basedOn w:val="a3"/>
    <w:next w:val="af1"/>
    <w:rsid w:val="008673C7"/>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3b">
    <w:name w:val="Название Знак3"/>
    <w:uiPriority w:val="99"/>
    <w:rsid w:val="008673C7"/>
    <w:rPr>
      <w:sz w:val="52"/>
      <w:szCs w:val="52"/>
    </w:rPr>
  </w:style>
  <w:style w:type="table" w:customStyle="1" w:styleId="1210">
    <w:name w:val="Сетка таблицы121"/>
    <w:basedOn w:val="a3"/>
    <w:next w:val="af1"/>
    <w:uiPriority w:val="39"/>
    <w:rsid w:val="008673C7"/>
    <w:pPr>
      <w:spacing w:after="0" w:line="240" w:lineRule="auto"/>
    </w:pPr>
    <w:rPr>
      <w:rFonts w:ascii="Cambria" w:eastAsia="Cambria" w:hAnsi="Cambria"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3"/>
    <w:next w:val="af1"/>
    <w:uiPriority w:val="39"/>
    <w:rsid w:val="008673C7"/>
    <w:pPr>
      <w:spacing w:after="0" w:line="240" w:lineRule="auto"/>
    </w:pPr>
    <w:rPr>
      <w:rFonts w:ascii="Cambria" w:eastAsia="Cambria" w:hAnsi="Cambria"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3"/>
    <w:next w:val="af1"/>
    <w:uiPriority w:val="39"/>
    <w:rsid w:val="008673C7"/>
    <w:pPr>
      <w:spacing w:after="0" w:line="240" w:lineRule="auto"/>
    </w:pPr>
    <w:rPr>
      <w:rFonts w:ascii="Cambria" w:eastAsia="Cambria" w:hAnsi="Cambria"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17">
    <w:name w:val="xl117"/>
    <w:basedOn w:val="a1"/>
    <w:qFormat/>
    <w:rsid w:val="008673C7"/>
    <w:pPr>
      <w:widowControl/>
      <w:autoSpaceDE/>
      <w:autoSpaceDN/>
      <w:adjustRightInd/>
      <w:spacing w:before="100" w:beforeAutospacing="1" w:after="100" w:afterAutospacing="1"/>
      <w:jc w:val="center"/>
      <w:textAlignment w:val="top"/>
    </w:pPr>
    <w:rPr>
      <w:sz w:val="20"/>
      <w:szCs w:val="20"/>
    </w:rPr>
  </w:style>
  <w:style w:type="paragraph" w:customStyle="1" w:styleId="xl118">
    <w:name w:val="xl118"/>
    <w:basedOn w:val="a1"/>
    <w:qFormat/>
    <w:rsid w:val="008673C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119">
    <w:name w:val="xl119"/>
    <w:basedOn w:val="a1"/>
    <w:qFormat/>
    <w:rsid w:val="008673C7"/>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top"/>
    </w:pPr>
    <w:rPr>
      <w:color w:val="000000"/>
      <w:sz w:val="20"/>
      <w:szCs w:val="20"/>
    </w:rPr>
  </w:style>
  <w:style w:type="paragraph" w:customStyle="1" w:styleId="xl120">
    <w:name w:val="xl120"/>
    <w:basedOn w:val="a1"/>
    <w:qFormat/>
    <w:rsid w:val="008673C7"/>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top"/>
    </w:pPr>
  </w:style>
  <w:style w:type="paragraph" w:customStyle="1" w:styleId="xl121">
    <w:name w:val="xl121"/>
    <w:basedOn w:val="a1"/>
    <w:qFormat/>
    <w:rsid w:val="008673C7"/>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center"/>
    </w:pPr>
    <w:rPr>
      <w:color w:val="000000"/>
      <w:sz w:val="20"/>
      <w:szCs w:val="20"/>
    </w:rPr>
  </w:style>
  <w:style w:type="paragraph" w:customStyle="1" w:styleId="xl122">
    <w:name w:val="xl122"/>
    <w:basedOn w:val="a1"/>
    <w:qFormat/>
    <w:rsid w:val="008673C7"/>
    <w:pPr>
      <w:widowControl/>
      <w:pBdr>
        <w:top w:val="single" w:sz="4" w:space="0" w:color="auto"/>
        <w:right w:val="single" w:sz="4" w:space="0" w:color="auto"/>
      </w:pBdr>
      <w:autoSpaceDE/>
      <w:autoSpaceDN/>
      <w:adjustRightInd/>
      <w:spacing w:before="100" w:beforeAutospacing="1" w:after="100" w:afterAutospacing="1"/>
      <w:jc w:val="center"/>
      <w:textAlignment w:val="center"/>
    </w:pPr>
    <w:rPr>
      <w:color w:val="000000"/>
      <w:sz w:val="20"/>
      <w:szCs w:val="20"/>
    </w:rPr>
  </w:style>
  <w:style w:type="paragraph" w:customStyle="1" w:styleId="xl123">
    <w:name w:val="xl123"/>
    <w:basedOn w:val="a1"/>
    <w:qFormat/>
    <w:rsid w:val="008673C7"/>
    <w:pPr>
      <w:widowControl/>
      <w:pBdr>
        <w:top w:val="single" w:sz="4" w:space="0" w:color="auto"/>
        <w:left w:val="single" w:sz="4" w:space="0" w:color="auto"/>
        <w:right w:val="single" w:sz="4" w:space="0" w:color="auto"/>
      </w:pBdr>
      <w:autoSpaceDE/>
      <w:autoSpaceDN/>
      <w:adjustRightInd/>
      <w:spacing w:before="100" w:beforeAutospacing="1" w:after="100" w:afterAutospacing="1"/>
      <w:textAlignment w:val="center"/>
    </w:pPr>
  </w:style>
  <w:style w:type="paragraph" w:customStyle="1" w:styleId="xl124">
    <w:name w:val="xl124"/>
    <w:basedOn w:val="a1"/>
    <w:qFormat/>
    <w:rsid w:val="008673C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20"/>
      <w:szCs w:val="20"/>
    </w:rPr>
  </w:style>
  <w:style w:type="paragraph" w:customStyle="1" w:styleId="xl125">
    <w:name w:val="xl125"/>
    <w:basedOn w:val="a1"/>
    <w:qFormat/>
    <w:rsid w:val="008673C7"/>
    <w:pPr>
      <w:widowControl/>
      <w:autoSpaceDE/>
      <w:autoSpaceDN/>
      <w:adjustRightInd/>
      <w:spacing w:before="100" w:beforeAutospacing="1" w:after="100" w:afterAutospacing="1"/>
      <w:jc w:val="center"/>
      <w:textAlignment w:val="top"/>
    </w:pPr>
    <w:rPr>
      <w:sz w:val="20"/>
      <w:szCs w:val="20"/>
    </w:rPr>
  </w:style>
  <w:style w:type="paragraph" w:customStyle="1" w:styleId="xl126">
    <w:name w:val="xl126"/>
    <w:basedOn w:val="a1"/>
    <w:qFormat/>
    <w:rsid w:val="008673C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20"/>
      <w:szCs w:val="20"/>
    </w:rPr>
  </w:style>
  <w:style w:type="paragraph" w:customStyle="1" w:styleId="xl127">
    <w:name w:val="xl127"/>
    <w:basedOn w:val="a1"/>
    <w:qFormat/>
    <w:rsid w:val="008673C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128">
    <w:name w:val="xl128"/>
    <w:basedOn w:val="a1"/>
    <w:qFormat/>
    <w:rsid w:val="008673C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style>
  <w:style w:type="paragraph" w:customStyle="1" w:styleId="dt-p">
    <w:name w:val="dt-p"/>
    <w:basedOn w:val="a1"/>
    <w:uiPriority w:val="99"/>
    <w:qFormat/>
    <w:rsid w:val="008673C7"/>
    <w:pPr>
      <w:widowControl/>
      <w:autoSpaceDE/>
      <w:autoSpaceDN/>
      <w:adjustRightInd/>
      <w:spacing w:before="100" w:beforeAutospacing="1" w:after="100" w:afterAutospacing="1"/>
    </w:pPr>
  </w:style>
  <w:style w:type="character" w:customStyle="1" w:styleId="dt-m">
    <w:name w:val="dt-m"/>
    <w:rsid w:val="008673C7"/>
  </w:style>
  <w:style w:type="character" w:customStyle="1" w:styleId="layout">
    <w:name w:val="layout"/>
    <w:rsid w:val="008673C7"/>
  </w:style>
  <w:style w:type="numbering" w:customStyle="1" w:styleId="3c">
    <w:name w:val="Нет списка3"/>
    <w:next w:val="a4"/>
    <w:uiPriority w:val="99"/>
    <w:semiHidden/>
    <w:unhideWhenUsed/>
    <w:rsid w:val="008673C7"/>
  </w:style>
  <w:style w:type="table" w:customStyle="1" w:styleId="TableNormal2">
    <w:name w:val="Table Normal2"/>
    <w:rsid w:val="008673C7"/>
    <w:pPr>
      <w:spacing w:after="0" w:line="276" w:lineRule="auto"/>
    </w:pPr>
    <w:rPr>
      <w:rFonts w:ascii="Arial" w:eastAsia="Arial" w:hAnsi="Arial" w:cs="Arial"/>
      <w:lang w:eastAsia="ru-RU"/>
    </w:rPr>
    <w:tblPr>
      <w:tblCellMar>
        <w:top w:w="0" w:type="dxa"/>
        <w:left w:w="0" w:type="dxa"/>
        <w:bottom w:w="0" w:type="dxa"/>
        <w:right w:w="0" w:type="dxa"/>
      </w:tblCellMar>
    </w:tblPr>
  </w:style>
  <w:style w:type="table" w:customStyle="1" w:styleId="45">
    <w:name w:val="Сетка таблицы4"/>
    <w:basedOn w:val="a3"/>
    <w:next w:val="af1"/>
    <w:uiPriority w:val="59"/>
    <w:rsid w:val="008673C7"/>
    <w:pPr>
      <w:spacing w:after="0" w:line="240" w:lineRule="auto"/>
    </w:pPr>
    <w:rPr>
      <w:rFonts w:ascii="Cambria" w:eastAsia="Cambria" w:hAnsi="Cambria"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
    <w:name w:val="Нет списка13"/>
    <w:next w:val="a4"/>
    <w:uiPriority w:val="99"/>
    <w:semiHidden/>
    <w:unhideWhenUsed/>
    <w:rsid w:val="008673C7"/>
  </w:style>
  <w:style w:type="table" w:customStyle="1" w:styleId="151">
    <w:name w:val="Сетка таблицы15"/>
    <w:basedOn w:val="a3"/>
    <w:next w:val="af1"/>
    <w:uiPriority w:val="39"/>
    <w:rsid w:val="008673C7"/>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
    <w:name w:val="Нет списка113"/>
    <w:next w:val="a4"/>
    <w:uiPriority w:val="99"/>
    <w:semiHidden/>
    <w:unhideWhenUsed/>
    <w:rsid w:val="008673C7"/>
  </w:style>
  <w:style w:type="table" w:customStyle="1" w:styleId="230">
    <w:name w:val="Сетка таблицы23"/>
    <w:basedOn w:val="a3"/>
    <w:next w:val="af1"/>
    <w:uiPriority w:val="59"/>
    <w:rsid w:val="008673C7"/>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Сетка таблицы112"/>
    <w:basedOn w:val="a3"/>
    <w:next w:val="af1"/>
    <w:uiPriority w:val="59"/>
    <w:rsid w:val="008673C7"/>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0">
    <w:name w:val="Нет списка1112"/>
    <w:next w:val="a4"/>
    <w:semiHidden/>
    <w:rsid w:val="008673C7"/>
  </w:style>
  <w:style w:type="table" w:customStyle="1" w:styleId="2120">
    <w:name w:val="Сетка таблицы212"/>
    <w:basedOn w:val="a3"/>
    <w:next w:val="af1"/>
    <w:rsid w:val="008673C7"/>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
    <w:name w:val="Сетка таблицы122"/>
    <w:basedOn w:val="a3"/>
    <w:next w:val="af1"/>
    <w:uiPriority w:val="39"/>
    <w:rsid w:val="008673C7"/>
    <w:pPr>
      <w:spacing w:after="0" w:line="240" w:lineRule="auto"/>
    </w:pPr>
    <w:rPr>
      <w:rFonts w:ascii="Cambria" w:eastAsia="Cambria" w:hAnsi="Cambria"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Сетка таблицы131"/>
    <w:basedOn w:val="a3"/>
    <w:next w:val="af1"/>
    <w:uiPriority w:val="39"/>
    <w:rsid w:val="008673C7"/>
    <w:pPr>
      <w:spacing w:after="0" w:line="240" w:lineRule="auto"/>
    </w:pPr>
    <w:rPr>
      <w:rFonts w:ascii="Cambria" w:eastAsia="Cambria" w:hAnsi="Cambria"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Сетка таблицы141"/>
    <w:basedOn w:val="a3"/>
    <w:next w:val="af1"/>
    <w:uiPriority w:val="39"/>
    <w:rsid w:val="008673C7"/>
    <w:pPr>
      <w:spacing w:after="0" w:line="240" w:lineRule="auto"/>
    </w:pPr>
    <w:rPr>
      <w:rFonts w:ascii="Cambria" w:eastAsia="Cambria" w:hAnsi="Cambria"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6">
    <w:name w:val="font6"/>
    <w:basedOn w:val="a1"/>
    <w:uiPriority w:val="99"/>
    <w:qFormat/>
    <w:rsid w:val="008673C7"/>
    <w:pPr>
      <w:widowControl/>
      <w:autoSpaceDE/>
      <w:autoSpaceDN/>
      <w:adjustRightInd/>
      <w:spacing w:before="100" w:beforeAutospacing="1" w:after="100" w:afterAutospacing="1"/>
    </w:pPr>
    <w:rPr>
      <w:color w:val="000000"/>
      <w:sz w:val="22"/>
      <w:szCs w:val="22"/>
    </w:rPr>
  </w:style>
  <w:style w:type="paragraph" w:customStyle="1" w:styleId="font7">
    <w:name w:val="font7"/>
    <w:basedOn w:val="a1"/>
    <w:uiPriority w:val="99"/>
    <w:qFormat/>
    <w:rsid w:val="008673C7"/>
    <w:pPr>
      <w:widowControl/>
      <w:autoSpaceDE/>
      <w:autoSpaceDN/>
      <w:adjustRightInd/>
      <w:spacing w:before="100" w:beforeAutospacing="1" w:after="100" w:afterAutospacing="1"/>
    </w:pPr>
    <w:rPr>
      <w:sz w:val="22"/>
      <w:szCs w:val="22"/>
    </w:rPr>
  </w:style>
  <w:style w:type="paragraph" w:customStyle="1" w:styleId="font8">
    <w:name w:val="font8"/>
    <w:basedOn w:val="a1"/>
    <w:uiPriority w:val="99"/>
    <w:qFormat/>
    <w:rsid w:val="008673C7"/>
    <w:pPr>
      <w:widowControl/>
      <w:autoSpaceDE/>
      <w:autoSpaceDN/>
      <w:adjustRightInd/>
      <w:spacing w:before="100" w:beforeAutospacing="1" w:after="100" w:afterAutospacing="1"/>
    </w:pPr>
    <w:rPr>
      <w:b/>
      <w:bCs/>
      <w:sz w:val="22"/>
      <w:szCs w:val="22"/>
    </w:rPr>
  </w:style>
  <w:style w:type="paragraph" w:customStyle="1" w:styleId="font9">
    <w:name w:val="font9"/>
    <w:basedOn w:val="a1"/>
    <w:uiPriority w:val="99"/>
    <w:qFormat/>
    <w:rsid w:val="008673C7"/>
    <w:pPr>
      <w:widowControl/>
      <w:autoSpaceDE/>
      <w:autoSpaceDN/>
      <w:adjustRightInd/>
      <w:spacing w:before="100" w:beforeAutospacing="1" w:after="100" w:afterAutospacing="1"/>
    </w:pPr>
    <w:rPr>
      <w:color w:val="FF0000"/>
      <w:sz w:val="22"/>
      <w:szCs w:val="22"/>
    </w:rPr>
  </w:style>
  <w:style w:type="paragraph" w:customStyle="1" w:styleId="font10">
    <w:name w:val="font10"/>
    <w:basedOn w:val="a1"/>
    <w:uiPriority w:val="99"/>
    <w:qFormat/>
    <w:rsid w:val="008673C7"/>
    <w:pPr>
      <w:widowControl/>
      <w:autoSpaceDE/>
      <w:autoSpaceDN/>
      <w:adjustRightInd/>
      <w:spacing w:before="100" w:beforeAutospacing="1" w:after="100" w:afterAutospacing="1"/>
    </w:pPr>
    <w:rPr>
      <w:color w:val="C00000"/>
      <w:sz w:val="22"/>
      <w:szCs w:val="22"/>
    </w:rPr>
  </w:style>
  <w:style w:type="paragraph" w:customStyle="1" w:styleId="font11">
    <w:name w:val="font11"/>
    <w:basedOn w:val="a1"/>
    <w:uiPriority w:val="99"/>
    <w:qFormat/>
    <w:rsid w:val="008673C7"/>
    <w:pPr>
      <w:widowControl/>
      <w:autoSpaceDE/>
      <w:autoSpaceDN/>
      <w:adjustRightInd/>
      <w:spacing w:before="100" w:beforeAutospacing="1" w:after="100" w:afterAutospacing="1"/>
    </w:pPr>
    <w:rPr>
      <w:color w:val="000000"/>
      <w:sz w:val="22"/>
      <w:szCs w:val="22"/>
      <w:u w:val="single"/>
    </w:rPr>
  </w:style>
  <w:style w:type="paragraph" w:customStyle="1" w:styleId="font12">
    <w:name w:val="font12"/>
    <w:basedOn w:val="a1"/>
    <w:uiPriority w:val="99"/>
    <w:qFormat/>
    <w:rsid w:val="008673C7"/>
    <w:pPr>
      <w:widowControl/>
      <w:autoSpaceDE/>
      <w:autoSpaceDN/>
      <w:adjustRightInd/>
      <w:spacing w:before="100" w:beforeAutospacing="1" w:after="100" w:afterAutospacing="1"/>
    </w:pPr>
    <w:rPr>
      <w:sz w:val="22"/>
      <w:szCs w:val="22"/>
      <w:u w:val="single"/>
    </w:rPr>
  </w:style>
  <w:style w:type="character" w:customStyle="1" w:styleId="114">
    <w:name w:val="Заголовок 1 Знак1"/>
    <w:aliases w:val="H1 Знак1,H11 Знак1,H12 Знак1"/>
    <w:uiPriority w:val="99"/>
    <w:rsid w:val="008673C7"/>
    <w:rPr>
      <w:rFonts w:ascii="Cambria" w:eastAsia="Times New Roman" w:hAnsi="Cambria" w:cs="Times New Roman"/>
      <w:b/>
      <w:bCs/>
      <w:color w:val="365F91"/>
      <w:sz w:val="28"/>
      <w:szCs w:val="28"/>
    </w:rPr>
  </w:style>
  <w:style w:type="character" w:customStyle="1" w:styleId="312">
    <w:name w:val="Заголовок 3 Знак1"/>
    <w:aliases w:val="H3 Знак1,H31 Знак1,H32 Знак1"/>
    <w:semiHidden/>
    <w:rsid w:val="008673C7"/>
    <w:rPr>
      <w:rFonts w:ascii="Cambria" w:eastAsia="Times New Roman" w:hAnsi="Cambria" w:cs="Times New Roman"/>
      <w:b/>
      <w:bCs/>
      <w:color w:val="4F81BD"/>
      <w:sz w:val="24"/>
      <w:szCs w:val="24"/>
    </w:rPr>
  </w:style>
  <w:style w:type="character" w:customStyle="1" w:styleId="412">
    <w:name w:val="Заголовок 4 Знак1"/>
    <w:aliases w:val="H4 Знак1,H41 Знак1,H42 Знак1,H43 Знак1,H411 Знак1,H421 Знак1"/>
    <w:semiHidden/>
    <w:rsid w:val="008673C7"/>
    <w:rPr>
      <w:rFonts w:ascii="Cambria" w:eastAsia="Times New Roman" w:hAnsi="Cambria" w:cs="Times New Roman"/>
      <w:b/>
      <w:bCs/>
      <w:i/>
      <w:iCs/>
      <w:color w:val="4F81BD"/>
      <w:sz w:val="24"/>
      <w:szCs w:val="24"/>
    </w:rPr>
  </w:style>
  <w:style w:type="character" w:customStyle="1" w:styleId="710">
    <w:name w:val="Заголовок 7 Знак1"/>
    <w:semiHidden/>
    <w:rsid w:val="008673C7"/>
    <w:rPr>
      <w:rFonts w:ascii="Cambria" w:eastAsia="Times New Roman" w:hAnsi="Cambria" w:cs="Times New Roman"/>
      <w:i/>
      <w:iCs/>
      <w:color w:val="404040"/>
      <w:sz w:val="24"/>
      <w:szCs w:val="24"/>
    </w:rPr>
  </w:style>
  <w:style w:type="character" w:customStyle="1" w:styleId="810">
    <w:name w:val="Заголовок 8 Знак1"/>
    <w:semiHidden/>
    <w:rsid w:val="008673C7"/>
    <w:rPr>
      <w:rFonts w:ascii="Cambria" w:eastAsia="Times New Roman" w:hAnsi="Cambria" w:cs="Times New Roman"/>
      <w:color w:val="404040"/>
    </w:rPr>
  </w:style>
  <w:style w:type="character" w:customStyle="1" w:styleId="212pt0">
    <w:name w:val="Основной текст (2) + 12 pt"/>
    <w:aliases w:val="Курсив"/>
    <w:rsid w:val="008673C7"/>
    <w:rPr>
      <w:rFonts w:ascii="Times New Roman" w:eastAsia="Times New Roman" w:hAnsi="Times New Roman" w:cs="Times New Roman" w:hint="default"/>
      <w:b w:val="0"/>
      <w:bCs w:val="0"/>
      <w:i/>
      <w:iCs/>
      <w:color w:val="000000"/>
      <w:spacing w:val="0"/>
      <w:w w:val="100"/>
      <w:position w:val="0"/>
      <w:sz w:val="24"/>
      <w:szCs w:val="24"/>
      <w:shd w:val="clear" w:color="auto" w:fill="FFFFFF"/>
      <w:lang w:val="ru-RU" w:eastAsia="ru-RU" w:bidi="ru-RU"/>
    </w:rPr>
  </w:style>
  <w:style w:type="numbering" w:customStyle="1" w:styleId="46">
    <w:name w:val="Нет списка4"/>
    <w:next w:val="a4"/>
    <w:uiPriority w:val="99"/>
    <w:semiHidden/>
    <w:unhideWhenUsed/>
    <w:rsid w:val="008673C7"/>
  </w:style>
  <w:style w:type="numbering" w:customStyle="1" w:styleId="142">
    <w:name w:val="Нет списка14"/>
    <w:next w:val="a4"/>
    <w:uiPriority w:val="99"/>
    <w:semiHidden/>
    <w:unhideWhenUsed/>
    <w:rsid w:val="008673C7"/>
  </w:style>
  <w:style w:type="table" w:customStyle="1" w:styleId="160">
    <w:name w:val="Сетка таблицы16"/>
    <w:basedOn w:val="a3"/>
    <w:next w:val="af1"/>
    <w:uiPriority w:val="39"/>
    <w:rsid w:val="008673C7"/>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0">
    <w:name w:val="Нет списка114"/>
    <w:next w:val="a4"/>
    <w:uiPriority w:val="99"/>
    <w:semiHidden/>
    <w:unhideWhenUsed/>
    <w:rsid w:val="008673C7"/>
  </w:style>
  <w:style w:type="table" w:customStyle="1" w:styleId="1131">
    <w:name w:val="Сетка таблицы113"/>
    <w:basedOn w:val="a3"/>
    <w:next w:val="af1"/>
    <w:uiPriority w:val="59"/>
    <w:rsid w:val="008673C7"/>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
    <w:name w:val="Нет списка1113"/>
    <w:next w:val="a4"/>
    <w:semiHidden/>
    <w:rsid w:val="008673C7"/>
  </w:style>
  <w:style w:type="numbering" w:customStyle="1" w:styleId="216">
    <w:name w:val="Нет списка21"/>
    <w:next w:val="a4"/>
    <w:uiPriority w:val="99"/>
    <w:semiHidden/>
    <w:unhideWhenUsed/>
    <w:rsid w:val="008673C7"/>
  </w:style>
  <w:style w:type="table" w:customStyle="1" w:styleId="221">
    <w:name w:val="Сетка таблицы221"/>
    <w:basedOn w:val="a3"/>
    <w:next w:val="af1"/>
    <w:uiPriority w:val="39"/>
    <w:rsid w:val="008673C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Сетка таблицы31"/>
    <w:basedOn w:val="a3"/>
    <w:next w:val="af1"/>
    <w:uiPriority w:val="59"/>
    <w:rsid w:val="008673C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Сетка таблицы41"/>
    <w:basedOn w:val="a3"/>
    <w:next w:val="af1"/>
    <w:uiPriority w:val="59"/>
    <w:rsid w:val="008673C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50">
    <w:name w:val="Font Style50"/>
    <w:rsid w:val="008673C7"/>
    <w:rPr>
      <w:rFonts w:ascii="Times New Roman" w:hAnsi="Times New Roman" w:cs="Times New Roman"/>
      <w:sz w:val="28"/>
      <w:szCs w:val="28"/>
    </w:rPr>
  </w:style>
  <w:style w:type="numbering" w:customStyle="1" w:styleId="53">
    <w:name w:val="Нет списка5"/>
    <w:next w:val="a4"/>
    <w:uiPriority w:val="99"/>
    <w:semiHidden/>
    <w:unhideWhenUsed/>
    <w:rsid w:val="008673C7"/>
  </w:style>
  <w:style w:type="numbering" w:customStyle="1" w:styleId="152">
    <w:name w:val="Нет списка15"/>
    <w:next w:val="a4"/>
    <w:uiPriority w:val="99"/>
    <w:semiHidden/>
    <w:unhideWhenUsed/>
    <w:rsid w:val="008673C7"/>
  </w:style>
  <w:style w:type="paragraph" w:customStyle="1" w:styleId="12">
    <w:name w:val="Заголовок1"/>
    <w:basedOn w:val="a1"/>
    <w:link w:val="ae"/>
    <w:uiPriority w:val="99"/>
    <w:qFormat/>
    <w:rsid w:val="008673C7"/>
    <w:pPr>
      <w:widowControl/>
      <w:autoSpaceDE/>
      <w:autoSpaceDN/>
      <w:adjustRightInd/>
      <w:jc w:val="center"/>
    </w:pPr>
    <w:rPr>
      <w:rFonts w:asciiTheme="majorHAnsi" w:eastAsiaTheme="majorEastAsia" w:hAnsiTheme="majorHAnsi" w:cstheme="majorBidi"/>
      <w:spacing w:val="-10"/>
      <w:kern w:val="28"/>
      <w:sz w:val="56"/>
      <w:szCs w:val="56"/>
    </w:rPr>
  </w:style>
  <w:style w:type="table" w:customStyle="1" w:styleId="170">
    <w:name w:val="Сетка таблицы17"/>
    <w:basedOn w:val="a3"/>
    <w:next w:val="af1"/>
    <w:uiPriority w:val="39"/>
    <w:rsid w:val="008673C7"/>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
    <w:name w:val="Нет списка115"/>
    <w:next w:val="a4"/>
    <w:uiPriority w:val="99"/>
    <w:semiHidden/>
    <w:unhideWhenUsed/>
    <w:rsid w:val="008673C7"/>
  </w:style>
  <w:style w:type="table" w:customStyle="1" w:styleId="1141">
    <w:name w:val="Сетка таблицы114"/>
    <w:basedOn w:val="a3"/>
    <w:next w:val="af1"/>
    <w:uiPriority w:val="59"/>
    <w:rsid w:val="008673C7"/>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
    <w:name w:val="Нет списка1114"/>
    <w:next w:val="a4"/>
    <w:semiHidden/>
    <w:rsid w:val="008673C7"/>
  </w:style>
  <w:style w:type="numbering" w:customStyle="1" w:styleId="222">
    <w:name w:val="Нет списка22"/>
    <w:next w:val="a4"/>
    <w:uiPriority w:val="99"/>
    <w:semiHidden/>
    <w:unhideWhenUsed/>
    <w:rsid w:val="008673C7"/>
  </w:style>
  <w:style w:type="table" w:customStyle="1" w:styleId="320">
    <w:name w:val="Сетка таблицы32"/>
    <w:basedOn w:val="a3"/>
    <w:next w:val="af1"/>
    <w:uiPriority w:val="39"/>
    <w:rsid w:val="008673C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d">
    <w:name w:val="Акцент основного текста абзаца"/>
    <w:basedOn w:val="a1"/>
    <w:link w:val="affffe"/>
    <w:uiPriority w:val="6"/>
    <w:qFormat/>
    <w:rsid w:val="008673C7"/>
    <w:pPr>
      <w:widowControl/>
      <w:autoSpaceDE/>
      <w:autoSpaceDN/>
      <w:adjustRightInd/>
      <w:spacing w:after="100" w:line="276" w:lineRule="auto"/>
    </w:pPr>
    <w:rPr>
      <w:rFonts w:ascii="Montserrat Medium" w:eastAsia="Calibri" w:hAnsi="Montserrat Medium"/>
      <w:color w:val="006766"/>
      <w:sz w:val="16"/>
      <w:szCs w:val="16"/>
      <w:lang w:val="x-none" w:eastAsia="en-US"/>
    </w:rPr>
  </w:style>
  <w:style w:type="character" w:customStyle="1" w:styleId="affffe">
    <w:name w:val="Акцент основного текста абзаца Знак"/>
    <w:link w:val="affffd"/>
    <w:uiPriority w:val="6"/>
    <w:rsid w:val="008673C7"/>
    <w:rPr>
      <w:rFonts w:ascii="Montserrat Medium" w:eastAsia="Calibri" w:hAnsi="Montserrat Medium" w:cs="Times New Roman"/>
      <w:color w:val="006766"/>
      <w:sz w:val="16"/>
      <w:szCs w:val="16"/>
      <w:lang w:val="x-none"/>
    </w:rPr>
  </w:style>
  <w:style w:type="paragraph" w:customStyle="1" w:styleId="1fe">
    <w:name w:val="Заголовок 1 уровня"/>
    <w:basedOn w:val="a1"/>
    <w:link w:val="1ff"/>
    <w:uiPriority w:val="2"/>
    <w:qFormat/>
    <w:rsid w:val="008673C7"/>
    <w:pPr>
      <w:widowControl/>
      <w:autoSpaceDE/>
      <w:autoSpaceDN/>
      <w:adjustRightInd/>
      <w:spacing w:after="400" w:line="192" w:lineRule="auto"/>
    </w:pPr>
    <w:rPr>
      <w:rFonts w:ascii="Montserrat" w:eastAsia="Calibri" w:hAnsi="Montserrat"/>
      <w:b/>
      <w:color w:val="006766"/>
      <w:sz w:val="44"/>
      <w:szCs w:val="44"/>
      <w:lang w:val="x-none" w:eastAsia="en-US"/>
    </w:rPr>
  </w:style>
  <w:style w:type="character" w:customStyle="1" w:styleId="1ff">
    <w:name w:val="Заголовок 1 уровня Знак"/>
    <w:link w:val="1fe"/>
    <w:uiPriority w:val="2"/>
    <w:rsid w:val="008673C7"/>
    <w:rPr>
      <w:rFonts w:ascii="Montserrat" w:eastAsia="Calibri" w:hAnsi="Montserrat" w:cs="Times New Roman"/>
      <w:b/>
      <w:color w:val="006766"/>
      <w:sz w:val="44"/>
      <w:szCs w:val="44"/>
      <w:lang w:val="x-none"/>
    </w:rPr>
  </w:style>
  <w:style w:type="table" w:customStyle="1" w:styleId="420">
    <w:name w:val="Сетка таблицы42"/>
    <w:basedOn w:val="a3"/>
    <w:next w:val="af1"/>
    <w:uiPriority w:val="39"/>
    <w:rsid w:val="008673C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3">
    <w:name w:val="Основной текст (6)_"/>
    <w:link w:val="64"/>
    <w:rsid w:val="008673C7"/>
    <w:rPr>
      <w:rFonts w:eastAsia="Times New Roman"/>
      <w:b/>
      <w:bCs/>
      <w:sz w:val="26"/>
      <w:szCs w:val="26"/>
      <w:shd w:val="clear" w:color="auto" w:fill="FFFFFF"/>
    </w:rPr>
  </w:style>
  <w:style w:type="paragraph" w:customStyle="1" w:styleId="64">
    <w:name w:val="Основной текст (6)"/>
    <w:basedOn w:val="a1"/>
    <w:link w:val="63"/>
    <w:qFormat/>
    <w:rsid w:val="008673C7"/>
    <w:pPr>
      <w:shd w:val="clear" w:color="auto" w:fill="FFFFFF"/>
      <w:autoSpaceDE/>
      <w:autoSpaceDN/>
      <w:adjustRightInd/>
      <w:spacing w:after="300" w:line="317" w:lineRule="exact"/>
      <w:jc w:val="center"/>
    </w:pPr>
    <w:rPr>
      <w:rFonts w:asciiTheme="minorHAnsi" w:hAnsiTheme="minorHAnsi" w:cstheme="minorBidi"/>
      <w:b/>
      <w:bCs/>
      <w:sz w:val="26"/>
      <w:szCs w:val="26"/>
      <w:lang w:eastAsia="en-US"/>
    </w:rPr>
  </w:style>
  <w:style w:type="paragraph" w:customStyle="1" w:styleId="3d">
    <w:name w:val="Основной текст3"/>
    <w:basedOn w:val="a1"/>
    <w:uiPriority w:val="99"/>
    <w:qFormat/>
    <w:rsid w:val="008673C7"/>
    <w:pPr>
      <w:shd w:val="clear" w:color="auto" w:fill="FFFFFF"/>
      <w:autoSpaceDE/>
      <w:autoSpaceDN/>
      <w:adjustRightInd/>
      <w:spacing w:line="322" w:lineRule="exact"/>
      <w:ind w:hanging="380"/>
    </w:pPr>
    <w:rPr>
      <w:rFonts w:ascii="Calibri" w:hAnsi="Calibri"/>
      <w:sz w:val="26"/>
      <w:szCs w:val="26"/>
      <w:lang w:eastAsia="en-US"/>
    </w:rPr>
  </w:style>
  <w:style w:type="character" w:customStyle="1" w:styleId="Heading1Char">
    <w:name w:val="Heading 1 Char"/>
    <w:uiPriority w:val="99"/>
    <w:locked/>
    <w:rsid w:val="008673C7"/>
    <w:rPr>
      <w:rFonts w:ascii="Cambria" w:hAnsi="Cambria" w:cs="Cambria"/>
      <w:b/>
      <w:bCs/>
      <w:kern w:val="32"/>
      <w:sz w:val="32"/>
      <w:szCs w:val="32"/>
      <w:lang w:eastAsia="zh-CN"/>
    </w:rPr>
  </w:style>
  <w:style w:type="character" w:customStyle="1" w:styleId="BodyTextChar">
    <w:name w:val="Body Text Char"/>
    <w:uiPriority w:val="99"/>
    <w:semiHidden/>
    <w:locked/>
    <w:rsid w:val="008673C7"/>
    <w:rPr>
      <w:rFonts w:ascii="Calibri" w:hAnsi="Calibri" w:cs="Calibri"/>
      <w:lang w:eastAsia="en-US"/>
    </w:rPr>
  </w:style>
  <w:style w:type="character" w:customStyle="1" w:styleId="BodyTextIndentChar">
    <w:name w:val="Body Text Indent Char"/>
    <w:uiPriority w:val="99"/>
    <w:semiHidden/>
    <w:locked/>
    <w:rsid w:val="008673C7"/>
    <w:rPr>
      <w:rFonts w:ascii="Calibri" w:hAnsi="Calibri" w:cs="Calibri"/>
      <w:lang w:eastAsia="en-US"/>
    </w:rPr>
  </w:style>
  <w:style w:type="character" w:customStyle="1" w:styleId="WW8Num1z0">
    <w:name w:val="WW8Num1z0"/>
    <w:uiPriority w:val="99"/>
    <w:rsid w:val="008673C7"/>
  </w:style>
  <w:style w:type="character" w:customStyle="1" w:styleId="WW8Num1z3">
    <w:name w:val="WW8Num1z3"/>
    <w:uiPriority w:val="99"/>
    <w:rsid w:val="008673C7"/>
  </w:style>
  <w:style w:type="character" w:customStyle="1" w:styleId="WW8Num1z4">
    <w:name w:val="WW8Num1z4"/>
    <w:uiPriority w:val="99"/>
    <w:rsid w:val="008673C7"/>
  </w:style>
  <w:style w:type="character" w:customStyle="1" w:styleId="WW8Num1z5">
    <w:name w:val="WW8Num1z5"/>
    <w:uiPriority w:val="99"/>
    <w:rsid w:val="008673C7"/>
  </w:style>
  <w:style w:type="character" w:customStyle="1" w:styleId="WW8Num1z6">
    <w:name w:val="WW8Num1z6"/>
    <w:uiPriority w:val="99"/>
    <w:rsid w:val="008673C7"/>
  </w:style>
  <w:style w:type="character" w:customStyle="1" w:styleId="WW8Num1z7">
    <w:name w:val="WW8Num1z7"/>
    <w:uiPriority w:val="99"/>
    <w:rsid w:val="008673C7"/>
  </w:style>
  <w:style w:type="character" w:customStyle="1" w:styleId="WW8Num1z8">
    <w:name w:val="WW8Num1z8"/>
    <w:uiPriority w:val="99"/>
    <w:rsid w:val="008673C7"/>
  </w:style>
  <w:style w:type="character" w:customStyle="1" w:styleId="WW8Num2z0">
    <w:name w:val="WW8Num2z0"/>
    <w:uiPriority w:val="99"/>
    <w:rsid w:val="008673C7"/>
    <w:rPr>
      <w:rFonts w:ascii="Wingdings" w:hAnsi="Wingdings" w:cs="Wingdings"/>
      <w:sz w:val="24"/>
      <w:szCs w:val="24"/>
      <w:lang w:eastAsia="en-US"/>
    </w:rPr>
  </w:style>
  <w:style w:type="character" w:customStyle="1" w:styleId="WW8Num3z0">
    <w:name w:val="WW8Num3z0"/>
    <w:uiPriority w:val="99"/>
    <w:rsid w:val="008673C7"/>
    <w:rPr>
      <w:rFonts w:ascii="Wingdings" w:hAnsi="Wingdings" w:cs="Wingdings"/>
      <w:sz w:val="24"/>
      <w:szCs w:val="24"/>
      <w:lang w:eastAsia="en-US"/>
    </w:rPr>
  </w:style>
  <w:style w:type="character" w:customStyle="1" w:styleId="WW8Num4z0">
    <w:name w:val="WW8Num4z0"/>
    <w:uiPriority w:val="99"/>
    <w:rsid w:val="008673C7"/>
    <w:rPr>
      <w:rFonts w:ascii="Symbol" w:hAnsi="Symbol" w:cs="Symbol"/>
    </w:rPr>
  </w:style>
  <w:style w:type="character" w:customStyle="1" w:styleId="WW8Num4z1">
    <w:name w:val="WW8Num4z1"/>
    <w:uiPriority w:val="99"/>
    <w:rsid w:val="008673C7"/>
    <w:rPr>
      <w:rFonts w:ascii="Courier New" w:hAnsi="Courier New" w:cs="Courier New"/>
    </w:rPr>
  </w:style>
  <w:style w:type="character" w:customStyle="1" w:styleId="WW8Num4z2">
    <w:name w:val="WW8Num4z2"/>
    <w:uiPriority w:val="99"/>
    <w:rsid w:val="008673C7"/>
    <w:rPr>
      <w:rFonts w:ascii="Wingdings" w:hAnsi="Wingdings" w:cs="Wingdings"/>
    </w:rPr>
  </w:style>
  <w:style w:type="character" w:customStyle="1" w:styleId="WW8Num4z3">
    <w:name w:val="WW8Num4z3"/>
    <w:uiPriority w:val="99"/>
    <w:rsid w:val="008673C7"/>
    <w:rPr>
      <w:rFonts w:ascii="Symbol" w:hAnsi="Symbol" w:cs="Symbol"/>
    </w:rPr>
  </w:style>
  <w:style w:type="character" w:customStyle="1" w:styleId="3e">
    <w:name w:val="Основной шрифт абзаца3"/>
    <w:uiPriority w:val="99"/>
    <w:rsid w:val="008673C7"/>
  </w:style>
  <w:style w:type="character" w:customStyle="1" w:styleId="WW8Num2z1">
    <w:name w:val="WW8Num2z1"/>
    <w:uiPriority w:val="99"/>
    <w:rsid w:val="008673C7"/>
    <w:rPr>
      <w:rFonts w:ascii="Courier New" w:hAnsi="Courier New" w:cs="Courier New"/>
    </w:rPr>
  </w:style>
  <w:style w:type="character" w:customStyle="1" w:styleId="WW8Num2z3">
    <w:name w:val="WW8Num2z3"/>
    <w:uiPriority w:val="99"/>
    <w:rsid w:val="008673C7"/>
    <w:rPr>
      <w:rFonts w:ascii="Symbol" w:hAnsi="Symbol" w:cs="Symbol"/>
    </w:rPr>
  </w:style>
  <w:style w:type="character" w:customStyle="1" w:styleId="WW8Num3z1">
    <w:name w:val="WW8Num3z1"/>
    <w:uiPriority w:val="99"/>
    <w:rsid w:val="008673C7"/>
    <w:rPr>
      <w:rFonts w:ascii="Courier New" w:hAnsi="Courier New" w:cs="Courier New"/>
    </w:rPr>
  </w:style>
  <w:style w:type="character" w:customStyle="1" w:styleId="WW8Num3z3">
    <w:name w:val="WW8Num3z3"/>
    <w:uiPriority w:val="99"/>
    <w:rsid w:val="008673C7"/>
    <w:rPr>
      <w:rFonts w:ascii="Symbol" w:hAnsi="Symbol" w:cs="Symbol"/>
    </w:rPr>
  </w:style>
  <w:style w:type="character" w:customStyle="1" w:styleId="2f2">
    <w:name w:val="Основной шрифт абзаца2"/>
    <w:uiPriority w:val="99"/>
    <w:rsid w:val="008673C7"/>
  </w:style>
  <w:style w:type="character" w:customStyle="1" w:styleId="1ff0">
    <w:name w:val="Основной шрифт абзаца1"/>
    <w:uiPriority w:val="99"/>
    <w:rsid w:val="008673C7"/>
  </w:style>
  <w:style w:type="character" w:customStyle="1" w:styleId="1ff1">
    <w:name w:val="Знак сноски1"/>
    <w:uiPriority w:val="99"/>
    <w:rsid w:val="008673C7"/>
    <w:rPr>
      <w:vertAlign w:val="superscript"/>
    </w:rPr>
  </w:style>
  <w:style w:type="character" w:customStyle="1" w:styleId="1ff2">
    <w:name w:val="Знак примечания1"/>
    <w:uiPriority w:val="99"/>
    <w:rsid w:val="008673C7"/>
    <w:rPr>
      <w:sz w:val="16"/>
      <w:szCs w:val="16"/>
    </w:rPr>
  </w:style>
  <w:style w:type="character" w:customStyle="1" w:styleId="2f3">
    <w:name w:val="Знак примечания2"/>
    <w:uiPriority w:val="99"/>
    <w:rsid w:val="008673C7"/>
    <w:rPr>
      <w:sz w:val="16"/>
      <w:szCs w:val="16"/>
    </w:rPr>
  </w:style>
  <w:style w:type="paragraph" w:customStyle="1" w:styleId="116">
    <w:name w:val="Заголовок11"/>
    <w:basedOn w:val="a1"/>
    <w:next w:val="af6"/>
    <w:uiPriority w:val="99"/>
    <w:qFormat/>
    <w:rsid w:val="008673C7"/>
    <w:pPr>
      <w:keepNext/>
      <w:widowControl/>
      <w:suppressAutoHyphens/>
      <w:autoSpaceDE/>
      <w:autoSpaceDN/>
      <w:adjustRightInd/>
      <w:spacing w:before="240" w:after="120" w:line="360" w:lineRule="atLeast"/>
    </w:pPr>
    <w:rPr>
      <w:rFonts w:ascii="Liberation Sans" w:eastAsia="Microsoft YaHei" w:hAnsi="Liberation Sans" w:cs="Liberation Sans"/>
      <w:sz w:val="28"/>
      <w:szCs w:val="28"/>
      <w:lang w:eastAsia="zh-CN"/>
    </w:rPr>
  </w:style>
  <w:style w:type="paragraph" w:styleId="afffff">
    <w:name w:val="List"/>
    <w:basedOn w:val="af6"/>
    <w:uiPriority w:val="99"/>
    <w:rsid w:val="008673C7"/>
    <w:pPr>
      <w:widowControl/>
      <w:suppressAutoHyphens/>
      <w:autoSpaceDE/>
      <w:autoSpaceDN/>
      <w:adjustRightInd/>
      <w:spacing w:after="140" w:line="288" w:lineRule="auto"/>
      <w:jc w:val="both"/>
    </w:pPr>
    <w:rPr>
      <w:sz w:val="28"/>
      <w:szCs w:val="28"/>
      <w:lang w:eastAsia="zh-CN"/>
    </w:rPr>
  </w:style>
  <w:style w:type="paragraph" w:customStyle="1" w:styleId="2f4">
    <w:name w:val="Указатель2"/>
    <w:basedOn w:val="a1"/>
    <w:uiPriority w:val="99"/>
    <w:qFormat/>
    <w:rsid w:val="008673C7"/>
    <w:pPr>
      <w:widowControl/>
      <w:suppressLineNumbers/>
      <w:suppressAutoHyphens/>
      <w:autoSpaceDE/>
      <w:autoSpaceDN/>
      <w:adjustRightInd/>
      <w:spacing w:line="360" w:lineRule="atLeast"/>
    </w:pPr>
    <w:rPr>
      <w:rFonts w:ascii="Calibri" w:hAnsi="Calibri" w:cs="Calibri"/>
      <w:sz w:val="28"/>
      <w:szCs w:val="28"/>
      <w:lang w:eastAsia="zh-CN"/>
    </w:rPr>
  </w:style>
  <w:style w:type="paragraph" w:customStyle="1" w:styleId="1ff3">
    <w:name w:val="Название объекта1"/>
    <w:basedOn w:val="a1"/>
    <w:uiPriority w:val="99"/>
    <w:qFormat/>
    <w:rsid w:val="008673C7"/>
    <w:pPr>
      <w:widowControl/>
      <w:suppressLineNumbers/>
      <w:suppressAutoHyphens/>
      <w:autoSpaceDE/>
      <w:autoSpaceDN/>
      <w:adjustRightInd/>
      <w:spacing w:before="120" w:after="120" w:line="360" w:lineRule="atLeast"/>
    </w:pPr>
    <w:rPr>
      <w:rFonts w:ascii="Calibri" w:hAnsi="Calibri" w:cs="Calibri"/>
      <w:i/>
      <w:iCs/>
      <w:lang w:eastAsia="zh-CN"/>
    </w:rPr>
  </w:style>
  <w:style w:type="paragraph" w:customStyle="1" w:styleId="1ff4">
    <w:name w:val="Указатель1"/>
    <w:basedOn w:val="a1"/>
    <w:uiPriority w:val="99"/>
    <w:qFormat/>
    <w:rsid w:val="008673C7"/>
    <w:pPr>
      <w:widowControl/>
      <w:suppressLineNumbers/>
      <w:suppressAutoHyphens/>
      <w:autoSpaceDE/>
      <w:autoSpaceDN/>
      <w:adjustRightInd/>
      <w:spacing w:line="360" w:lineRule="atLeast"/>
    </w:pPr>
    <w:rPr>
      <w:rFonts w:ascii="Calibri" w:hAnsi="Calibri" w:cs="Calibri"/>
      <w:sz w:val="28"/>
      <w:szCs w:val="28"/>
      <w:lang w:eastAsia="zh-CN"/>
    </w:rPr>
  </w:style>
  <w:style w:type="character" w:customStyle="1" w:styleId="HeaderChar">
    <w:name w:val="Header Char"/>
    <w:uiPriority w:val="99"/>
    <w:semiHidden/>
    <w:locked/>
    <w:rsid w:val="008673C7"/>
    <w:rPr>
      <w:rFonts w:ascii="Calibri" w:hAnsi="Calibri" w:cs="Calibri"/>
      <w:lang w:eastAsia="en-US"/>
    </w:rPr>
  </w:style>
  <w:style w:type="character" w:customStyle="1" w:styleId="BalloonTextChar">
    <w:name w:val="Balloon Text Char"/>
    <w:uiPriority w:val="99"/>
    <w:semiHidden/>
    <w:locked/>
    <w:rsid w:val="008673C7"/>
    <w:rPr>
      <w:sz w:val="2"/>
      <w:szCs w:val="2"/>
      <w:lang w:eastAsia="en-US"/>
    </w:rPr>
  </w:style>
  <w:style w:type="paragraph" w:customStyle="1" w:styleId="afffff0">
    <w:name w:val="Заголовок таблицы"/>
    <w:basedOn w:val="affffc"/>
    <w:uiPriority w:val="99"/>
    <w:qFormat/>
    <w:rsid w:val="008673C7"/>
    <w:pPr>
      <w:suppressAutoHyphens/>
      <w:spacing w:after="0" w:line="360" w:lineRule="atLeast"/>
      <w:jc w:val="center"/>
    </w:pPr>
    <w:rPr>
      <w:rFonts w:eastAsia="Times New Roman" w:cs="Calibri"/>
      <w:b/>
      <w:bCs/>
      <w:sz w:val="28"/>
      <w:szCs w:val="28"/>
      <w:lang w:eastAsia="zh-CN"/>
    </w:rPr>
  </w:style>
  <w:style w:type="paragraph" w:customStyle="1" w:styleId="afffff1">
    <w:name w:val="Блочная цитата"/>
    <w:basedOn w:val="a1"/>
    <w:uiPriority w:val="99"/>
    <w:qFormat/>
    <w:rsid w:val="008673C7"/>
    <w:pPr>
      <w:widowControl/>
      <w:suppressAutoHyphens/>
      <w:autoSpaceDE/>
      <w:autoSpaceDN/>
      <w:adjustRightInd/>
      <w:spacing w:after="283" w:line="360" w:lineRule="atLeast"/>
      <w:ind w:left="567" w:right="567"/>
    </w:pPr>
    <w:rPr>
      <w:rFonts w:ascii="Calibri" w:hAnsi="Calibri" w:cs="Calibri"/>
      <w:sz w:val="28"/>
      <w:szCs w:val="28"/>
      <w:lang w:eastAsia="zh-CN"/>
    </w:rPr>
  </w:style>
  <w:style w:type="paragraph" w:customStyle="1" w:styleId="1ff5">
    <w:name w:val="Текст примечания1"/>
    <w:basedOn w:val="a1"/>
    <w:uiPriority w:val="99"/>
    <w:qFormat/>
    <w:rsid w:val="008673C7"/>
    <w:pPr>
      <w:widowControl/>
      <w:suppressAutoHyphens/>
      <w:autoSpaceDE/>
      <w:autoSpaceDN/>
      <w:adjustRightInd/>
      <w:spacing w:line="360" w:lineRule="atLeast"/>
    </w:pPr>
    <w:rPr>
      <w:rFonts w:ascii="Calibri" w:hAnsi="Calibri" w:cs="Calibri"/>
      <w:sz w:val="20"/>
      <w:szCs w:val="20"/>
      <w:lang w:eastAsia="zh-CN"/>
    </w:rPr>
  </w:style>
  <w:style w:type="character" w:customStyle="1" w:styleId="CommentTextChar">
    <w:name w:val="Comment Text Char"/>
    <w:uiPriority w:val="99"/>
    <w:semiHidden/>
    <w:locked/>
    <w:rsid w:val="008673C7"/>
    <w:rPr>
      <w:rFonts w:ascii="Calibri" w:hAnsi="Calibri" w:cs="Calibri"/>
      <w:sz w:val="20"/>
      <w:szCs w:val="20"/>
      <w:lang w:eastAsia="en-US"/>
    </w:rPr>
  </w:style>
  <w:style w:type="character" w:customStyle="1" w:styleId="CommentSubjectChar">
    <w:name w:val="Comment Subject Char"/>
    <w:uiPriority w:val="99"/>
    <w:semiHidden/>
    <w:locked/>
    <w:rsid w:val="008673C7"/>
    <w:rPr>
      <w:rFonts w:ascii="Calibri" w:hAnsi="Calibri" w:cs="Calibri"/>
      <w:b/>
      <w:bCs/>
      <w:sz w:val="20"/>
      <w:szCs w:val="20"/>
      <w:lang w:val="ru-RU" w:eastAsia="en-US"/>
    </w:rPr>
  </w:style>
  <w:style w:type="character" w:customStyle="1" w:styleId="54">
    <w:name w:val="Основной текст (5)_"/>
    <w:link w:val="55"/>
    <w:uiPriority w:val="99"/>
    <w:locked/>
    <w:rsid w:val="008673C7"/>
    <w:rPr>
      <w:b/>
      <w:bCs/>
      <w:i/>
      <w:iCs/>
      <w:shd w:val="clear" w:color="auto" w:fill="FFFFFF"/>
    </w:rPr>
  </w:style>
  <w:style w:type="paragraph" w:customStyle="1" w:styleId="55">
    <w:name w:val="Основной текст (5)"/>
    <w:basedOn w:val="a1"/>
    <w:link w:val="54"/>
    <w:uiPriority w:val="99"/>
    <w:qFormat/>
    <w:rsid w:val="008673C7"/>
    <w:pPr>
      <w:shd w:val="clear" w:color="auto" w:fill="FFFFFF"/>
      <w:autoSpaceDE/>
      <w:autoSpaceDN/>
      <w:adjustRightInd/>
      <w:spacing w:after="420" w:line="240" w:lineRule="atLeast"/>
      <w:jc w:val="right"/>
    </w:pPr>
    <w:rPr>
      <w:rFonts w:asciiTheme="minorHAnsi" w:eastAsiaTheme="minorHAnsi" w:hAnsiTheme="minorHAnsi" w:cstheme="minorBidi"/>
      <w:b/>
      <w:bCs/>
      <w:i/>
      <w:iCs/>
      <w:sz w:val="22"/>
      <w:szCs w:val="22"/>
      <w:shd w:val="clear" w:color="auto" w:fill="FFFFFF"/>
      <w:lang w:eastAsia="en-US"/>
    </w:rPr>
  </w:style>
  <w:style w:type="character" w:customStyle="1" w:styleId="afffff2">
    <w:name w:val="Подпись к таблице_"/>
    <w:link w:val="afffff3"/>
    <w:uiPriority w:val="99"/>
    <w:locked/>
    <w:rsid w:val="008673C7"/>
    <w:rPr>
      <w:sz w:val="27"/>
      <w:szCs w:val="27"/>
      <w:shd w:val="clear" w:color="auto" w:fill="FFFFFF"/>
    </w:rPr>
  </w:style>
  <w:style w:type="paragraph" w:customStyle="1" w:styleId="afffff3">
    <w:name w:val="Подпись к таблице"/>
    <w:basedOn w:val="a1"/>
    <w:link w:val="afffff2"/>
    <w:uiPriority w:val="99"/>
    <w:qFormat/>
    <w:rsid w:val="008673C7"/>
    <w:pPr>
      <w:shd w:val="clear" w:color="auto" w:fill="FFFFFF"/>
      <w:autoSpaceDE/>
      <w:autoSpaceDN/>
      <w:adjustRightInd/>
      <w:spacing w:line="269" w:lineRule="exact"/>
      <w:ind w:hanging="240"/>
    </w:pPr>
    <w:rPr>
      <w:rFonts w:asciiTheme="minorHAnsi" w:eastAsiaTheme="minorHAnsi" w:hAnsiTheme="minorHAnsi" w:cstheme="minorBidi"/>
      <w:sz w:val="27"/>
      <w:szCs w:val="27"/>
      <w:shd w:val="clear" w:color="auto" w:fill="FFFFFF"/>
      <w:lang w:eastAsia="en-US"/>
    </w:rPr>
  </w:style>
  <w:style w:type="character" w:customStyle="1" w:styleId="56">
    <w:name w:val="Основной текст (5) + Не курсив"/>
    <w:uiPriority w:val="99"/>
    <w:rsid w:val="008673C7"/>
    <w:rPr>
      <w:rFonts w:ascii="Times New Roman" w:hAnsi="Times New Roman" w:cs="Times New Roman"/>
      <w:b/>
      <w:bCs/>
      <w:i/>
      <w:iCs/>
      <w:color w:val="000000"/>
      <w:spacing w:val="0"/>
      <w:w w:val="100"/>
      <w:position w:val="0"/>
      <w:shd w:val="clear" w:color="auto" w:fill="FFFFFF"/>
      <w:lang w:val="ru-RU"/>
    </w:rPr>
  </w:style>
  <w:style w:type="character" w:customStyle="1" w:styleId="10pt">
    <w:name w:val="Основной текст + 10 pt"/>
    <w:uiPriority w:val="99"/>
    <w:rsid w:val="008673C7"/>
    <w:rPr>
      <w:rFonts w:ascii="Times New Roman" w:hAnsi="Times New Roman" w:cs="Times New Roman"/>
      <w:color w:val="000000"/>
      <w:spacing w:val="0"/>
      <w:w w:val="100"/>
      <w:position w:val="0"/>
      <w:sz w:val="20"/>
      <w:szCs w:val="20"/>
      <w:shd w:val="clear" w:color="auto" w:fill="FFFFFF"/>
      <w:lang w:val="ru-RU"/>
    </w:rPr>
  </w:style>
  <w:style w:type="character" w:customStyle="1" w:styleId="117">
    <w:name w:val="Основной текст + 11"/>
    <w:aliases w:val="5 pt5,Полужирный4,Интервал 0 pt1"/>
    <w:uiPriority w:val="99"/>
    <w:rsid w:val="008673C7"/>
    <w:rPr>
      <w:rFonts w:ascii="Times New Roman" w:hAnsi="Times New Roman" w:cs="Times New Roman"/>
      <w:b/>
      <w:bCs/>
      <w:color w:val="000000"/>
      <w:spacing w:val="-10"/>
      <w:w w:val="100"/>
      <w:position w:val="0"/>
      <w:sz w:val="23"/>
      <w:szCs w:val="23"/>
      <w:u w:val="none"/>
      <w:shd w:val="clear" w:color="auto" w:fill="FFFFFF"/>
      <w:lang w:val="ru-RU"/>
    </w:rPr>
  </w:style>
  <w:style w:type="character" w:customStyle="1" w:styleId="9pt">
    <w:name w:val="Основной текст + 9 pt"/>
    <w:aliases w:val="Полужирный3"/>
    <w:uiPriority w:val="99"/>
    <w:rsid w:val="008673C7"/>
    <w:rPr>
      <w:rFonts w:ascii="Times New Roman" w:hAnsi="Times New Roman" w:cs="Times New Roman"/>
      <w:b/>
      <w:bCs/>
      <w:color w:val="000000"/>
      <w:spacing w:val="0"/>
      <w:w w:val="100"/>
      <w:position w:val="0"/>
      <w:sz w:val="18"/>
      <w:szCs w:val="18"/>
      <w:u w:val="none"/>
      <w:shd w:val="clear" w:color="auto" w:fill="FFFFFF"/>
    </w:rPr>
  </w:style>
  <w:style w:type="character" w:customStyle="1" w:styleId="72">
    <w:name w:val="Основной текст (7)_"/>
    <w:link w:val="73"/>
    <w:uiPriority w:val="99"/>
    <w:locked/>
    <w:rsid w:val="008673C7"/>
    <w:rPr>
      <w:b/>
      <w:bCs/>
      <w:i/>
      <w:iCs/>
      <w:sz w:val="28"/>
      <w:szCs w:val="28"/>
      <w:shd w:val="clear" w:color="auto" w:fill="FFFFFF"/>
    </w:rPr>
  </w:style>
  <w:style w:type="paragraph" w:customStyle="1" w:styleId="73">
    <w:name w:val="Основной текст (7)"/>
    <w:basedOn w:val="a1"/>
    <w:link w:val="72"/>
    <w:uiPriority w:val="99"/>
    <w:qFormat/>
    <w:rsid w:val="008673C7"/>
    <w:pPr>
      <w:shd w:val="clear" w:color="auto" w:fill="FFFFFF"/>
      <w:autoSpaceDE/>
      <w:autoSpaceDN/>
      <w:adjustRightInd/>
      <w:spacing w:after="300" w:line="317" w:lineRule="exact"/>
    </w:pPr>
    <w:rPr>
      <w:rFonts w:asciiTheme="minorHAnsi" w:eastAsiaTheme="minorHAnsi" w:hAnsiTheme="minorHAnsi" w:cstheme="minorBidi"/>
      <w:b/>
      <w:bCs/>
      <w:i/>
      <w:iCs/>
      <w:sz w:val="28"/>
      <w:szCs w:val="28"/>
      <w:shd w:val="clear" w:color="auto" w:fill="FFFFFF"/>
      <w:lang w:eastAsia="en-US"/>
    </w:rPr>
  </w:style>
  <w:style w:type="character" w:customStyle="1" w:styleId="EndnoteTextChar">
    <w:name w:val="Endnote Text Char"/>
    <w:uiPriority w:val="99"/>
    <w:semiHidden/>
    <w:locked/>
    <w:rsid w:val="008673C7"/>
    <w:rPr>
      <w:rFonts w:ascii="Calibri" w:hAnsi="Calibri" w:cs="Calibri"/>
      <w:sz w:val="20"/>
      <w:szCs w:val="20"/>
      <w:lang w:eastAsia="en-US"/>
    </w:rPr>
  </w:style>
  <w:style w:type="character" w:customStyle="1" w:styleId="Batang">
    <w:name w:val="Основной текст + Batang"/>
    <w:aliases w:val="11 pt"/>
    <w:uiPriority w:val="99"/>
    <w:rsid w:val="008673C7"/>
    <w:rPr>
      <w:rFonts w:ascii="Batang" w:eastAsia="Batang" w:hAnsi="Batang" w:cs="Batang"/>
      <w:color w:val="000000"/>
      <w:spacing w:val="0"/>
      <w:w w:val="100"/>
      <w:position w:val="0"/>
      <w:sz w:val="22"/>
      <w:szCs w:val="22"/>
      <w:u w:val="none"/>
      <w:shd w:val="clear" w:color="auto" w:fill="FFFFFF"/>
    </w:rPr>
  </w:style>
  <w:style w:type="character" w:customStyle="1" w:styleId="FranklinGothicMedium">
    <w:name w:val="Основной текст + Franklin Gothic Medium"/>
    <w:aliases w:val="7 pt"/>
    <w:uiPriority w:val="99"/>
    <w:rsid w:val="008673C7"/>
    <w:rPr>
      <w:rFonts w:ascii="Franklin Gothic Medium" w:hAnsi="Franklin Gothic Medium" w:cs="Franklin Gothic Medium"/>
      <w:color w:val="000000"/>
      <w:spacing w:val="0"/>
      <w:w w:val="100"/>
      <w:position w:val="0"/>
      <w:sz w:val="14"/>
      <w:szCs w:val="14"/>
      <w:u w:val="none"/>
      <w:shd w:val="clear" w:color="auto" w:fill="FFFFFF"/>
    </w:rPr>
  </w:style>
  <w:style w:type="character" w:customStyle="1" w:styleId="afffff4">
    <w:name w:val="Колонтитул"/>
    <w:uiPriority w:val="99"/>
    <w:rsid w:val="008673C7"/>
    <w:rPr>
      <w:rFonts w:ascii="Times New Roman" w:hAnsi="Times New Roman" w:cs="Times New Roman"/>
      <w:color w:val="000000"/>
      <w:spacing w:val="-10"/>
      <w:w w:val="100"/>
      <w:position w:val="0"/>
      <w:sz w:val="28"/>
      <w:szCs w:val="28"/>
      <w:u w:val="none"/>
      <w:lang w:val="ru-RU"/>
    </w:rPr>
  </w:style>
  <w:style w:type="character" w:customStyle="1" w:styleId="Georgia">
    <w:name w:val="Основной текст + Georgia"/>
    <w:aliases w:val="4 pt"/>
    <w:uiPriority w:val="99"/>
    <w:rsid w:val="008673C7"/>
    <w:rPr>
      <w:rFonts w:ascii="Georgia" w:hAnsi="Georgia" w:cs="Georgia"/>
      <w:color w:val="000000"/>
      <w:spacing w:val="0"/>
      <w:w w:val="100"/>
      <w:position w:val="0"/>
      <w:sz w:val="8"/>
      <w:szCs w:val="8"/>
      <w:u w:val="none"/>
      <w:shd w:val="clear" w:color="auto" w:fill="FFFFFF"/>
    </w:rPr>
  </w:style>
  <w:style w:type="character" w:customStyle="1" w:styleId="afffff5">
    <w:name w:val="Колонтитул_"/>
    <w:uiPriority w:val="99"/>
    <w:rsid w:val="008673C7"/>
    <w:rPr>
      <w:rFonts w:ascii="Times New Roman" w:hAnsi="Times New Roman" w:cs="Times New Roman"/>
      <w:spacing w:val="-10"/>
      <w:sz w:val="28"/>
      <w:szCs w:val="28"/>
      <w:u w:val="none"/>
    </w:rPr>
  </w:style>
  <w:style w:type="character" w:customStyle="1" w:styleId="2f5">
    <w:name w:val="Подпись к таблице (2)_"/>
    <w:link w:val="2f6"/>
    <w:uiPriority w:val="99"/>
    <w:locked/>
    <w:rsid w:val="008673C7"/>
    <w:rPr>
      <w:b/>
      <w:bCs/>
      <w:sz w:val="18"/>
      <w:szCs w:val="18"/>
      <w:shd w:val="clear" w:color="auto" w:fill="FFFFFF"/>
    </w:rPr>
  </w:style>
  <w:style w:type="paragraph" w:customStyle="1" w:styleId="2f6">
    <w:name w:val="Подпись к таблице (2)"/>
    <w:basedOn w:val="a1"/>
    <w:link w:val="2f5"/>
    <w:uiPriority w:val="99"/>
    <w:qFormat/>
    <w:rsid w:val="008673C7"/>
    <w:pPr>
      <w:shd w:val="clear" w:color="auto" w:fill="FFFFFF"/>
      <w:autoSpaceDE/>
      <w:autoSpaceDN/>
      <w:adjustRightInd/>
      <w:spacing w:line="240" w:lineRule="atLeast"/>
    </w:pPr>
    <w:rPr>
      <w:rFonts w:asciiTheme="minorHAnsi" w:eastAsiaTheme="minorHAnsi" w:hAnsiTheme="minorHAnsi" w:cstheme="minorBidi"/>
      <w:b/>
      <w:bCs/>
      <w:sz w:val="18"/>
      <w:szCs w:val="18"/>
      <w:shd w:val="clear" w:color="auto" w:fill="FFFFFF"/>
      <w:lang w:eastAsia="en-US"/>
    </w:rPr>
  </w:style>
  <w:style w:type="character" w:customStyle="1" w:styleId="47">
    <w:name w:val="Основной текст + 4"/>
    <w:aliases w:val="5 pt4"/>
    <w:uiPriority w:val="99"/>
    <w:rsid w:val="008673C7"/>
    <w:rPr>
      <w:rFonts w:ascii="Times New Roman" w:hAnsi="Times New Roman" w:cs="Times New Roman"/>
      <w:color w:val="000000"/>
      <w:spacing w:val="0"/>
      <w:w w:val="100"/>
      <w:position w:val="0"/>
      <w:sz w:val="9"/>
      <w:szCs w:val="9"/>
      <w:u w:val="none"/>
      <w:shd w:val="clear" w:color="auto" w:fill="FFFFFF"/>
    </w:rPr>
  </w:style>
  <w:style w:type="character" w:customStyle="1" w:styleId="12pt">
    <w:name w:val="Основной текст + 12 pt"/>
    <w:aliases w:val="Полужирный2"/>
    <w:uiPriority w:val="99"/>
    <w:rsid w:val="008673C7"/>
    <w:rPr>
      <w:rFonts w:ascii="Times New Roman" w:hAnsi="Times New Roman" w:cs="Times New Roman"/>
      <w:b/>
      <w:bCs/>
      <w:color w:val="000000"/>
      <w:spacing w:val="0"/>
      <w:w w:val="100"/>
      <w:position w:val="0"/>
      <w:sz w:val="24"/>
      <w:szCs w:val="24"/>
      <w:u w:val="none"/>
      <w:shd w:val="clear" w:color="auto" w:fill="FFFFFF"/>
    </w:rPr>
  </w:style>
  <w:style w:type="character" w:customStyle="1" w:styleId="FranklinGothicMedium1">
    <w:name w:val="Основной текст + Franklin Gothic Medium1"/>
    <w:aliases w:val="5 pt3"/>
    <w:uiPriority w:val="99"/>
    <w:rsid w:val="008673C7"/>
    <w:rPr>
      <w:rFonts w:ascii="Franklin Gothic Medium" w:hAnsi="Franklin Gothic Medium" w:cs="Franklin Gothic Medium"/>
      <w:color w:val="000000"/>
      <w:spacing w:val="0"/>
      <w:w w:val="100"/>
      <w:position w:val="0"/>
      <w:sz w:val="10"/>
      <w:szCs w:val="10"/>
      <w:u w:val="none"/>
      <w:shd w:val="clear" w:color="auto" w:fill="FFFFFF"/>
    </w:rPr>
  </w:style>
  <w:style w:type="character" w:customStyle="1" w:styleId="Georgia2">
    <w:name w:val="Основной текст + Georgia2"/>
    <w:aliases w:val="5 pt2"/>
    <w:uiPriority w:val="99"/>
    <w:rsid w:val="008673C7"/>
    <w:rPr>
      <w:rFonts w:ascii="Georgia" w:hAnsi="Georgia" w:cs="Georgia"/>
      <w:color w:val="000000"/>
      <w:spacing w:val="0"/>
      <w:w w:val="100"/>
      <w:position w:val="0"/>
      <w:sz w:val="10"/>
      <w:szCs w:val="10"/>
      <w:u w:val="none"/>
      <w:shd w:val="clear" w:color="auto" w:fill="FFFFFF"/>
    </w:rPr>
  </w:style>
  <w:style w:type="character" w:customStyle="1" w:styleId="afffff6">
    <w:name w:val="Сноска_"/>
    <w:link w:val="afffff7"/>
    <w:uiPriority w:val="99"/>
    <w:locked/>
    <w:rsid w:val="008673C7"/>
    <w:rPr>
      <w:b/>
      <w:bCs/>
      <w:sz w:val="18"/>
      <w:szCs w:val="18"/>
      <w:shd w:val="clear" w:color="auto" w:fill="FFFFFF"/>
    </w:rPr>
  </w:style>
  <w:style w:type="paragraph" w:customStyle="1" w:styleId="afffff7">
    <w:name w:val="Сноска"/>
    <w:basedOn w:val="a1"/>
    <w:link w:val="afffff6"/>
    <w:uiPriority w:val="99"/>
    <w:qFormat/>
    <w:rsid w:val="008673C7"/>
    <w:pPr>
      <w:shd w:val="clear" w:color="auto" w:fill="FFFFFF"/>
      <w:autoSpaceDE/>
      <w:autoSpaceDN/>
      <w:adjustRightInd/>
      <w:spacing w:line="240" w:lineRule="atLeast"/>
    </w:pPr>
    <w:rPr>
      <w:rFonts w:asciiTheme="minorHAnsi" w:eastAsiaTheme="minorHAnsi" w:hAnsiTheme="minorHAnsi" w:cstheme="minorBidi"/>
      <w:b/>
      <w:bCs/>
      <w:sz w:val="18"/>
      <w:szCs w:val="18"/>
      <w:shd w:val="clear" w:color="auto" w:fill="FFFFFF"/>
      <w:lang w:eastAsia="en-US"/>
    </w:rPr>
  </w:style>
  <w:style w:type="character" w:customStyle="1" w:styleId="Georgia1">
    <w:name w:val="Основной текст + Georgia1"/>
    <w:aliases w:val="10,5 pt1,Полужирный1,Курсив1,Интервал -1 pt"/>
    <w:uiPriority w:val="99"/>
    <w:rsid w:val="008673C7"/>
    <w:rPr>
      <w:rFonts w:ascii="Georgia" w:hAnsi="Georgia" w:cs="Georgia"/>
      <w:b/>
      <w:bCs/>
      <w:i/>
      <w:iCs/>
      <w:color w:val="000000"/>
      <w:spacing w:val="-30"/>
      <w:w w:val="100"/>
      <w:position w:val="0"/>
      <w:sz w:val="21"/>
      <w:szCs w:val="21"/>
      <w:u w:val="none"/>
      <w:shd w:val="clear" w:color="auto" w:fill="FFFFFF"/>
      <w:lang w:val="ru-RU"/>
    </w:rPr>
  </w:style>
  <w:style w:type="character" w:customStyle="1" w:styleId="3f">
    <w:name w:val="Подпись к таблице (3)_"/>
    <w:uiPriority w:val="99"/>
    <w:rsid w:val="008673C7"/>
    <w:rPr>
      <w:rFonts w:ascii="Times New Roman" w:hAnsi="Times New Roman" w:cs="Times New Roman"/>
      <w:b/>
      <w:bCs/>
      <w:i/>
      <w:iCs/>
      <w:sz w:val="28"/>
      <w:szCs w:val="28"/>
      <w:u w:val="none"/>
    </w:rPr>
  </w:style>
  <w:style w:type="character" w:customStyle="1" w:styleId="3f0">
    <w:name w:val="Подпись к таблице (3)"/>
    <w:uiPriority w:val="99"/>
    <w:rsid w:val="008673C7"/>
    <w:rPr>
      <w:rFonts w:ascii="Times New Roman" w:hAnsi="Times New Roman" w:cs="Times New Roman"/>
      <w:b/>
      <w:bCs/>
      <w:i/>
      <w:iCs/>
      <w:color w:val="000000"/>
      <w:spacing w:val="0"/>
      <w:w w:val="100"/>
      <w:position w:val="0"/>
      <w:sz w:val="28"/>
      <w:szCs w:val="28"/>
      <w:u w:val="single"/>
      <w:lang w:val="ru-RU"/>
    </w:rPr>
  </w:style>
  <w:style w:type="character" w:customStyle="1" w:styleId="afffff8">
    <w:name w:val="Символ сноски"/>
    <w:uiPriority w:val="99"/>
    <w:rsid w:val="008673C7"/>
    <w:rPr>
      <w:vertAlign w:val="superscript"/>
    </w:rPr>
  </w:style>
  <w:style w:type="character" w:customStyle="1" w:styleId="afffff9">
    <w:name w:val="Символ нумерации"/>
    <w:uiPriority w:val="99"/>
    <w:rsid w:val="008673C7"/>
  </w:style>
  <w:style w:type="paragraph" w:customStyle="1" w:styleId="1ff6">
    <w:name w:val="Название1"/>
    <w:basedOn w:val="a1"/>
    <w:uiPriority w:val="99"/>
    <w:qFormat/>
    <w:rsid w:val="008673C7"/>
    <w:pPr>
      <w:widowControl/>
      <w:suppressLineNumbers/>
      <w:suppressAutoHyphens/>
      <w:autoSpaceDE/>
      <w:autoSpaceDN/>
      <w:adjustRightInd/>
      <w:spacing w:before="120" w:after="120" w:line="360" w:lineRule="atLeast"/>
    </w:pPr>
    <w:rPr>
      <w:rFonts w:ascii="Calibri" w:hAnsi="Calibri" w:cs="Calibri"/>
      <w:i/>
      <w:iCs/>
      <w:lang w:eastAsia="ar-SA"/>
    </w:rPr>
  </w:style>
  <w:style w:type="character" w:customStyle="1" w:styleId="Web0">
    <w:name w:val="Обычный (Web) Знак"/>
    <w:aliases w:val="Обычный (веб) Знак Знак"/>
    <w:uiPriority w:val="99"/>
    <w:locked/>
    <w:rsid w:val="008673C7"/>
    <w:rPr>
      <w:sz w:val="24"/>
      <w:szCs w:val="24"/>
      <w:lang w:val="x-none"/>
    </w:rPr>
  </w:style>
  <w:style w:type="character" w:customStyle="1" w:styleId="BodyTextIndent2Char">
    <w:name w:val="Body Text Indent 2 Char"/>
    <w:uiPriority w:val="99"/>
    <w:semiHidden/>
    <w:rsid w:val="008673C7"/>
    <w:rPr>
      <w:rFonts w:ascii="Calibri" w:hAnsi="Calibri" w:cs="Calibri"/>
      <w:lang w:eastAsia="en-US"/>
    </w:rPr>
  </w:style>
  <w:style w:type="paragraph" w:styleId="afffffa">
    <w:name w:val="Block Text"/>
    <w:basedOn w:val="a1"/>
    <w:uiPriority w:val="99"/>
    <w:rsid w:val="008673C7"/>
    <w:pPr>
      <w:widowControl/>
      <w:tabs>
        <w:tab w:val="left" w:pos="884"/>
      </w:tabs>
      <w:autoSpaceDE/>
      <w:autoSpaceDN/>
      <w:adjustRightInd/>
      <w:ind w:left="-57" w:right="-57" w:firstLine="885"/>
    </w:pPr>
    <w:rPr>
      <w:rFonts w:ascii="Calibri" w:hAnsi="Calibri" w:cs="Calibri"/>
      <w:sz w:val="28"/>
      <w:szCs w:val="28"/>
    </w:rPr>
  </w:style>
  <w:style w:type="paragraph" w:customStyle="1" w:styleId="1ff7">
    <w:name w:val="Знак1"/>
    <w:basedOn w:val="a1"/>
    <w:uiPriority w:val="99"/>
    <w:qFormat/>
    <w:rsid w:val="008673C7"/>
    <w:pPr>
      <w:widowControl/>
      <w:autoSpaceDE/>
      <w:autoSpaceDN/>
      <w:adjustRightInd/>
      <w:spacing w:before="100" w:beforeAutospacing="1" w:after="100" w:afterAutospacing="1"/>
    </w:pPr>
    <w:rPr>
      <w:rFonts w:ascii="Tahoma" w:hAnsi="Tahoma" w:cs="Tahoma"/>
      <w:sz w:val="20"/>
      <w:szCs w:val="20"/>
      <w:lang w:val="en-US" w:eastAsia="en-US"/>
    </w:rPr>
  </w:style>
  <w:style w:type="paragraph" w:customStyle="1" w:styleId="s7">
    <w:name w:val="s7"/>
    <w:basedOn w:val="a1"/>
    <w:uiPriority w:val="99"/>
    <w:qFormat/>
    <w:rsid w:val="008673C7"/>
    <w:pPr>
      <w:widowControl/>
      <w:autoSpaceDE/>
      <w:autoSpaceDN/>
      <w:adjustRightInd/>
      <w:spacing w:before="100" w:beforeAutospacing="1" w:after="100" w:afterAutospacing="1"/>
    </w:pPr>
    <w:rPr>
      <w:rFonts w:ascii="Calibri" w:hAnsi="Calibri" w:cs="Calibri"/>
      <w:sz w:val="22"/>
      <w:szCs w:val="22"/>
      <w:lang w:eastAsia="en-US"/>
    </w:rPr>
  </w:style>
  <w:style w:type="character" w:styleId="afffffb">
    <w:name w:val="Placeholder Text"/>
    <w:uiPriority w:val="99"/>
    <w:semiHidden/>
    <w:rsid w:val="008673C7"/>
    <w:rPr>
      <w:color w:val="808080"/>
    </w:rPr>
  </w:style>
  <w:style w:type="paragraph" w:customStyle="1" w:styleId="CharChar">
    <w:name w:val="Char Char Знак Знак Знак Знак Знак Знак Знак Знак Знак Знак"/>
    <w:basedOn w:val="a1"/>
    <w:uiPriority w:val="99"/>
    <w:qFormat/>
    <w:rsid w:val="008673C7"/>
    <w:pPr>
      <w:widowControl/>
      <w:autoSpaceDE/>
      <w:autoSpaceDN/>
      <w:adjustRightInd/>
      <w:spacing w:after="160" w:line="240" w:lineRule="exact"/>
    </w:pPr>
    <w:rPr>
      <w:rFonts w:ascii="Verdana" w:hAnsi="Verdana"/>
      <w:sz w:val="20"/>
      <w:szCs w:val="20"/>
      <w:lang w:val="en-US" w:eastAsia="en-US"/>
    </w:rPr>
  </w:style>
  <w:style w:type="paragraph" w:customStyle="1" w:styleId="msonormal0">
    <w:name w:val="msonormal"/>
    <w:basedOn w:val="a1"/>
    <w:uiPriority w:val="99"/>
    <w:qFormat/>
    <w:rsid w:val="008673C7"/>
    <w:pPr>
      <w:widowControl/>
      <w:autoSpaceDE/>
      <w:autoSpaceDN/>
      <w:adjustRightInd/>
      <w:spacing w:before="100" w:beforeAutospacing="1" w:after="100" w:afterAutospacing="1"/>
    </w:pPr>
  </w:style>
  <w:style w:type="table" w:customStyle="1" w:styleId="57">
    <w:name w:val="Сетка таблицы5"/>
    <w:basedOn w:val="a3"/>
    <w:next w:val="af1"/>
    <w:uiPriority w:val="99"/>
    <w:rsid w:val="008673C7"/>
    <w:pPr>
      <w:spacing w:after="0" w:line="240" w:lineRule="auto"/>
    </w:pPr>
    <w:rPr>
      <w:rFonts w:ascii="Calibri" w:eastAsia="Calibri"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sh041e0431044b0447043d044b0439">
    <w:name w:val="dash041e_0431_044b_0447_043d_044b_0439"/>
    <w:basedOn w:val="a1"/>
    <w:uiPriority w:val="99"/>
    <w:qFormat/>
    <w:rsid w:val="008673C7"/>
    <w:pPr>
      <w:widowControl/>
      <w:autoSpaceDE/>
      <w:autoSpaceDN/>
      <w:adjustRightInd/>
      <w:spacing w:before="100" w:beforeAutospacing="1" w:after="100" w:afterAutospacing="1"/>
    </w:pPr>
  </w:style>
  <w:style w:type="character" w:customStyle="1" w:styleId="dash041e0431044b0447043d044b0439char">
    <w:name w:val="dash041e_0431_044b_0447_043d_044b_0439__char"/>
    <w:rsid w:val="008673C7"/>
  </w:style>
  <w:style w:type="numbering" w:customStyle="1" w:styleId="314">
    <w:name w:val="Нет списка31"/>
    <w:next w:val="a4"/>
    <w:uiPriority w:val="99"/>
    <w:semiHidden/>
    <w:unhideWhenUsed/>
    <w:rsid w:val="008673C7"/>
  </w:style>
  <w:style w:type="paragraph" w:styleId="2f7">
    <w:name w:val="Quote"/>
    <w:basedOn w:val="a1"/>
    <w:next w:val="a1"/>
    <w:link w:val="2f8"/>
    <w:uiPriority w:val="29"/>
    <w:qFormat/>
    <w:rsid w:val="008673C7"/>
    <w:pPr>
      <w:widowControl/>
      <w:autoSpaceDE/>
      <w:autoSpaceDN/>
      <w:adjustRightInd/>
      <w:spacing w:after="160" w:line="259" w:lineRule="auto"/>
    </w:pPr>
    <w:rPr>
      <w:rFonts w:ascii="Calibri" w:eastAsia="Calibri" w:hAnsi="Calibri"/>
      <w:i/>
      <w:iCs/>
      <w:sz w:val="22"/>
      <w:szCs w:val="22"/>
      <w:lang w:val="x-none" w:eastAsia="en-US"/>
    </w:rPr>
  </w:style>
  <w:style w:type="character" w:customStyle="1" w:styleId="2f8">
    <w:name w:val="Цитата 2 Знак"/>
    <w:basedOn w:val="a2"/>
    <w:link w:val="2f7"/>
    <w:uiPriority w:val="29"/>
    <w:rsid w:val="008673C7"/>
    <w:rPr>
      <w:rFonts w:ascii="Calibri" w:eastAsia="Calibri" w:hAnsi="Calibri" w:cs="Times New Roman"/>
      <w:i/>
      <w:iCs/>
      <w:lang w:val="x-none"/>
    </w:rPr>
  </w:style>
  <w:style w:type="paragraph" w:styleId="afffffc">
    <w:name w:val="Intense Quote"/>
    <w:basedOn w:val="a1"/>
    <w:next w:val="a1"/>
    <w:link w:val="afffffd"/>
    <w:uiPriority w:val="30"/>
    <w:qFormat/>
    <w:rsid w:val="008673C7"/>
    <w:pPr>
      <w:widowControl/>
      <w:pBdr>
        <w:top w:val="single" w:sz="4" w:space="10" w:color="auto"/>
        <w:bottom w:val="single" w:sz="4" w:space="10" w:color="auto"/>
      </w:pBdr>
      <w:autoSpaceDE/>
      <w:autoSpaceDN/>
      <w:adjustRightInd/>
      <w:spacing w:before="240" w:after="240" w:line="300" w:lineRule="auto"/>
      <w:ind w:left="1152" w:right="1152"/>
    </w:pPr>
    <w:rPr>
      <w:rFonts w:ascii="Calibri" w:eastAsia="Calibri" w:hAnsi="Calibri"/>
      <w:i/>
      <w:iCs/>
      <w:sz w:val="22"/>
      <w:szCs w:val="22"/>
      <w:lang w:val="x-none" w:eastAsia="en-US"/>
    </w:rPr>
  </w:style>
  <w:style w:type="character" w:customStyle="1" w:styleId="afffffd">
    <w:name w:val="Выделенная цитата Знак"/>
    <w:basedOn w:val="a2"/>
    <w:link w:val="afffffc"/>
    <w:uiPriority w:val="30"/>
    <w:rsid w:val="008673C7"/>
    <w:rPr>
      <w:rFonts w:ascii="Calibri" w:eastAsia="Calibri" w:hAnsi="Calibri" w:cs="Times New Roman"/>
      <w:i/>
      <w:iCs/>
      <w:lang w:val="x-none"/>
    </w:rPr>
  </w:style>
  <w:style w:type="character" w:styleId="afffffe">
    <w:name w:val="Subtle Emphasis"/>
    <w:uiPriority w:val="19"/>
    <w:qFormat/>
    <w:rsid w:val="008673C7"/>
    <w:rPr>
      <w:i/>
      <w:iCs/>
    </w:rPr>
  </w:style>
  <w:style w:type="character" w:styleId="affffff">
    <w:name w:val="Intense Emphasis"/>
    <w:uiPriority w:val="21"/>
    <w:qFormat/>
    <w:rsid w:val="008673C7"/>
    <w:rPr>
      <w:b/>
      <w:bCs/>
      <w:i/>
      <w:iCs/>
    </w:rPr>
  </w:style>
  <w:style w:type="character" w:styleId="affffff0">
    <w:name w:val="Subtle Reference"/>
    <w:uiPriority w:val="31"/>
    <w:qFormat/>
    <w:rsid w:val="008673C7"/>
    <w:rPr>
      <w:smallCaps/>
    </w:rPr>
  </w:style>
  <w:style w:type="character" w:styleId="affffff1">
    <w:name w:val="Intense Reference"/>
    <w:uiPriority w:val="32"/>
    <w:qFormat/>
    <w:rsid w:val="008673C7"/>
    <w:rPr>
      <w:b/>
      <w:bCs/>
      <w:smallCaps/>
    </w:rPr>
  </w:style>
  <w:style w:type="character" w:styleId="affffff2">
    <w:name w:val="Book Title"/>
    <w:uiPriority w:val="33"/>
    <w:qFormat/>
    <w:rsid w:val="008673C7"/>
    <w:rPr>
      <w:i/>
      <w:iCs/>
      <w:smallCaps/>
      <w:spacing w:val="5"/>
    </w:rPr>
  </w:style>
  <w:style w:type="character" w:customStyle="1" w:styleId="affffff3">
    <w:name w:val="Основной текст + Полужирный"/>
    <w:rsid w:val="008673C7"/>
    <w:rPr>
      <w:rFonts w:ascii="Times New Roman" w:eastAsia="Times New Roman" w:hAnsi="Times New Roman" w:cs="Times New Roman" w:hint="default"/>
      <w:b/>
      <w:bCs/>
      <w:i w:val="0"/>
      <w:iCs w:val="0"/>
      <w:smallCaps w:val="0"/>
      <w:strike w:val="0"/>
      <w:dstrike w:val="0"/>
      <w:color w:val="000000"/>
      <w:spacing w:val="0"/>
      <w:w w:val="100"/>
      <w:position w:val="0"/>
      <w:sz w:val="26"/>
      <w:szCs w:val="26"/>
      <w:u w:val="none"/>
      <w:effect w:val="none"/>
      <w:lang w:val="ru-RU" w:eastAsia="ru-RU" w:bidi="ru-RU"/>
    </w:rPr>
  </w:style>
  <w:style w:type="character" w:customStyle="1" w:styleId="910">
    <w:name w:val="Заголовок 9 Знак1"/>
    <w:uiPriority w:val="9"/>
    <w:semiHidden/>
    <w:rsid w:val="008673C7"/>
    <w:rPr>
      <w:rFonts w:ascii="Cambria" w:eastAsia="Times New Roman" w:hAnsi="Cambria" w:cs="Times New Roman"/>
      <w:i/>
      <w:iCs/>
      <w:color w:val="404040"/>
    </w:rPr>
  </w:style>
  <w:style w:type="character" w:customStyle="1" w:styleId="217">
    <w:name w:val="Цитата 2 Знак1"/>
    <w:uiPriority w:val="29"/>
    <w:rsid w:val="008673C7"/>
    <w:rPr>
      <w:i/>
      <w:iCs/>
      <w:color w:val="000000"/>
      <w:sz w:val="28"/>
      <w:lang w:eastAsia="en-US"/>
    </w:rPr>
  </w:style>
  <w:style w:type="character" w:customStyle="1" w:styleId="1ff8">
    <w:name w:val="Выделенная цитата Знак1"/>
    <w:uiPriority w:val="30"/>
    <w:rsid w:val="008673C7"/>
    <w:rPr>
      <w:b/>
      <w:bCs/>
      <w:i/>
      <w:iCs/>
      <w:color w:val="4F81BD"/>
      <w:sz w:val="28"/>
      <w:lang w:eastAsia="en-US"/>
    </w:rPr>
  </w:style>
  <w:style w:type="numbering" w:customStyle="1" w:styleId="414">
    <w:name w:val="Нет списка41"/>
    <w:next w:val="a4"/>
    <w:uiPriority w:val="99"/>
    <w:semiHidden/>
    <w:unhideWhenUsed/>
    <w:rsid w:val="008673C7"/>
  </w:style>
  <w:style w:type="character" w:customStyle="1" w:styleId="cut2visible">
    <w:name w:val="cut2__visible"/>
    <w:rsid w:val="008673C7"/>
  </w:style>
  <w:style w:type="character" w:customStyle="1" w:styleId="js-phone-number">
    <w:name w:val="js-phone-number"/>
    <w:rsid w:val="008673C7"/>
  </w:style>
  <w:style w:type="table" w:customStyle="1" w:styleId="65">
    <w:name w:val="Сетка таблицы6"/>
    <w:basedOn w:val="a3"/>
    <w:next w:val="af1"/>
    <w:uiPriority w:val="59"/>
    <w:rsid w:val="008673C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29">
    <w:name w:val="xl129"/>
    <w:basedOn w:val="a1"/>
    <w:rsid w:val="008673C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style>
  <w:style w:type="paragraph" w:customStyle="1" w:styleId="xl130">
    <w:name w:val="xl130"/>
    <w:basedOn w:val="a1"/>
    <w:rsid w:val="008673C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style>
  <w:style w:type="paragraph" w:customStyle="1" w:styleId="xl131">
    <w:name w:val="xl131"/>
    <w:basedOn w:val="a1"/>
    <w:rsid w:val="008673C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style>
  <w:style w:type="paragraph" w:customStyle="1" w:styleId="xl132">
    <w:name w:val="xl132"/>
    <w:basedOn w:val="a1"/>
    <w:rsid w:val="008673C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style>
  <w:style w:type="paragraph" w:customStyle="1" w:styleId="xl133">
    <w:name w:val="xl133"/>
    <w:basedOn w:val="a1"/>
    <w:rsid w:val="008673C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style>
  <w:style w:type="paragraph" w:customStyle="1" w:styleId="xl134">
    <w:name w:val="xl134"/>
    <w:basedOn w:val="a1"/>
    <w:rsid w:val="008673C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style>
  <w:style w:type="paragraph" w:customStyle="1" w:styleId="xl135">
    <w:name w:val="xl135"/>
    <w:basedOn w:val="a1"/>
    <w:rsid w:val="008673C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style>
  <w:style w:type="paragraph" w:customStyle="1" w:styleId="xl136">
    <w:name w:val="xl136"/>
    <w:basedOn w:val="a1"/>
    <w:rsid w:val="008673C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bCs/>
    </w:rPr>
  </w:style>
  <w:style w:type="paragraph" w:customStyle="1" w:styleId="xl137">
    <w:name w:val="xl137"/>
    <w:basedOn w:val="a1"/>
    <w:rsid w:val="008673C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style>
  <w:style w:type="paragraph" w:customStyle="1" w:styleId="xl138">
    <w:name w:val="xl138"/>
    <w:basedOn w:val="a1"/>
    <w:rsid w:val="008673C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style>
  <w:style w:type="paragraph" w:customStyle="1" w:styleId="xl139">
    <w:name w:val="xl139"/>
    <w:basedOn w:val="a1"/>
    <w:rsid w:val="008673C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style>
  <w:style w:type="paragraph" w:customStyle="1" w:styleId="xl140">
    <w:name w:val="xl140"/>
    <w:basedOn w:val="a1"/>
    <w:rsid w:val="008673C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style>
  <w:style w:type="paragraph" w:customStyle="1" w:styleId="xl141">
    <w:name w:val="xl141"/>
    <w:basedOn w:val="a1"/>
    <w:rsid w:val="008673C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style>
  <w:style w:type="paragraph" w:customStyle="1" w:styleId="xl142">
    <w:name w:val="xl142"/>
    <w:basedOn w:val="a1"/>
    <w:rsid w:val="008673C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style>
  <w:style w:type="paragraph" w:customStyle="1" w:styleId="xl143">
    <w:name w:val="xl143"/>
    <w:basedOn w:val="a1"/>
    <w:rsid w:val="008673C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color w:val="000000"/>
    </w:rPr>
  </w:style>
  <w:style w:type="paragraph" w:customStyle="1" w:styleId="xl144">
    <w:name w:val="xl144"/>
    <w:basedOn w:val="a1"/>
    <w:rsid w:val="008673C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color w:val="000000"/>
    </w:rPr>
  </w:style>
  <w:style w:type="paragraph" w:customStyle="1" w:styleId="xl145">
    <w:name w:val="xl145"/>
    <w:basedOn w:val="a1"/>
    <w:rsid w:val="008673C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color w:val="000000"/>
    </w:rPr>
  </w:style>
  <w:style w:type="paragraph" w:customStyle="1" w:styleId="xl146">
    <w:name w:val="xl146"/>
    <w:basedOn w:val="a1"/>
    <w:rsid w:val="008673C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color w:val="000000"/>
    </w:rPr>
  </w:style>
  <w:style w:type="paragraph" w:customStyle="1" w:styleId="xl147">
    <w:name w:val="xl147"/>
    <w:basedOn w:val="a1"/>
    <w:rsid w:val="008673C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style>
  <w:style w:type="paragraph" w:customStyle="1" w:styleId="xl148">
    <w:name w:val="xl148"/>
    <w:basedOn w:val="a1"/>
    <w:rsid w:val="008673C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color w:val="000000"/>
    </w:rPr>
  </w:style>
  <w:style w:type="paragraph" w:customStyle="1" w:styleId="xl149">
    <w:name w:val="xl149"/>
    <w:basedOn w:val="a1"/>
    <w:rsid w:val="008673C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style>
  <w:style w:type="paragraph" w:customStyle="1" w:styleId="xl150">
    <w:name w:val="xl150"/>
    <w:basedOn w:val="a1"/>
    <w:rsid w:val="008673C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style>
  <w:style w:type="paragraph" w:customStyle="1" w:styleId="xl151">
    <w:name w:val="xl151"/>
    <w:basedOn w:val="a1"/>
    <w:rsid w:val="008673C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style>
  <w:style w:type="paragraph" w:customStyle="1" w:styleId="xl152">
    <w:name w:val="xl152"/>
    <w:basedOn w:val="a1"/>
    <w:rsid w:val="008673C7"/>
    <w:pPr>
      <w:widowControl/>
      <w:pBdr>
        <w:top w:val="single" w:sz="4" w:space="0" w:color="auto"/>
        <w:left w:val="single" w:sz="4" w:space="0" w:color="auto"/>
        <w:bottom w:val="single" w:sz="4" w:space="0" w:color="auto"/>
        <w:right w:val="single" w:sz="4" w:space="0" w:color="auto"/>
      </w:pBdr>
      <w:shd w:val="clear" w:color="auto" w:fill="FFC000"/>
      <w:autoSpaceDE/>
      <w:autoSpaceDN/>
      <w:adjustRightInd/>
      <w:spacing w:before="100" w:beforeAutospacing="1" w:after="100" w:afterAutospacing="1"/>
      <w:jc w:val="center"/>
    </w:pPr>
    <w:rPr>
      <w:b/>
      <w:bCs/>
      <w:sz w:val="32"/>
      <w:szCs w:val="32"/>
    </w:rPr>
  </w:style>
  <w:style w:type="paragraph" w:customStyle="1" w:styleId="xl153">
    <w:name w:val="xl153"/>
    <w:basedOn w:val="a1"/>
    <w:rsid w:val="008673C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style>
  <w:style w:type="paragraph" w:customStyle="1" w:styleId="xl154">
    <w:name w:val="xl154"/>
    <w:basedOn w:val="a1"/>
    <w:rsid w:val="008673C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style>
  <w:style w:type="paragraph" w:customStyle="1" w:styleId="xl155">
    <w:name w:val="xl155"/>
    <w:basedOn w:val="a1"/>
    <w:rsid w:val="008673C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style>
  <w:style w:type="paragraph" w:customStyle="1" w:styleId="xl156">
    <w:name w:val="xl156"/>
    <w:basedOn w:val="a1"/>
    <w:uiPriority w:val="99"/>
    <w:semiHidden/>
    <w:rsid w:val="008673C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style>
  <w:style w:type="paragraph" w:customStyle="1" w:styleId="xl157">
    <w:name w:val="xl157"/>
    <w:basedOn w:val="a1"/>
    <w:uiPriority w:val="99"/>
    <w:semiHidden/>
    <w:rsid w:val="008673C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color w:val="000000"/>
    </w:rPr>
  </w:style>
  <w:style w:type="paragraph" w:customStyle="1" w:styleId="xl158">
    <w:name w:val="xl158"/>
    <w:basedOn w:val="a1"/>
    <w:uiPriority w:val="99"/>
    <w:semiHidden/>
    <w:rsid w:val="008673C7"/>
    <w:pPr>
      <w:widowControl/>
      <w:pBdr>
        <w:top w:val="single" w:sz="4" w:space="0" w:color="auto"/>
        <w:left w:val="single" w:sz="4" w:space="0" w:color="auto"/>
        <w:right w:val="single" w:sz="4" w:space="0" w:color="auto"/>
      </w:pBdr>
      <w:autoSpaceDE/>
      <w:autoSpaceDN/>
      <w:adjustRightInd/>
      <w:spacing w:before="100" w:beforeAutospacing="1" w:after="100" w:afterAutospacing="1"/>
    </w:pPr>
  </w:style>
  <w:style w:type="paragraph" w:customStyle="1" w:styleId="xl159">
    <w:name w:val="xl159"/>
    <w:basedOn w:val="a1"/>
    <w:uiPriority w:val="99"/>
    <w:semiHidden/>
    <w:rsid w:val="008673C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color w:val="000000"/>
      <w:sz w:val="28"/>
      <w:szCs w:val="28"/>
    </w:rPr>
  </w:style>
  <w:style w:type="paragraph" w:customStyle="1" w:styleId="xl160">
    <w:name w:val="xl160"/>
    <w:basedOn w:val="a1"/>
    <w:uiPriority w:val="99"/>
    <w:semiHidden/>
    <w:rsid w:val="008673C7"/>
    <w:pPr>
      <w:widowControl/>
      <w:pBdr>
        <w:top w:val="single" w:sz="4" w:space="0" w:color="auto"/>
        <w:left w:val="single" w:sz="4" w:space="0" w:color="auto"/>
        <w:bottom w:val="single" w:sz="4" w:space="0" w:color="auto"/>
        <w:right w:val="single" w:sz="4" w:space="0" w:color="auto"/>
      </w:pBdr>
      <w:shd w:val="clear" w:color="auto" w:fill="FFC000"/>
      <w:autoSpaceDE/>
      <w:autoSpaceDN/>
      <w:adjustRightInd/>
      <w:spacing w:before="100" w:beforeAutospacing="1" w:after="100" w:afterAutospacing="1"/>
      <w:jc w:val="center"/>
    </w:pPr>
    <w:rPr>
      <w:b/>
      <w:bCs/>
      <w:sz w:val="32"/>
      <w:szCs w:val="32"/>
    </w:rPr>
  </w:style>
  <w:style w:type="paragraph" w:customStyle="1" w:styleId="xl161">
    <w:name w:val="xl161"/>
    <w:basedOn w:val="a1"/>
    <w:uiPriority w:val="99"/>
    <w:semiHidden/>
    <w:rsid w:val="008673C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style>
  <w:style w:type="paragraph" w:customStyle="1" w:styleId="xl162">
    <w:name w:val="xl162"/>
    <w:basedOn w:val="a1"/>
    <w:uiPriority w:val="99"/>
    <w:semiHidden/>
    <w:rsid w:val="008673C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style>
  <w:style w:type="paragraph" w:customStyle="1" w:styleId="xl163">
    <w:name w:val="xl163"/>
    <w:basedOn w:val="a1"/>
    <w:uiPriority w:val="99"/>
    <w:semiHidden/>
    <w:rsid w:val="008673C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style>
  <w:style w:type="paragraph" w:customStyle="1" w:styleId="xl164">
    <w:name w:val="xl164"/>
    <w:basedOn w:val="a1"/>
    <w:uiPriority w:val="99"/>
    <w:semiHidden/>
    <w:rsid w:val="008673C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b/>
      <w:bCs/>
    </w:rPr>
  </w:style>
  <w:style w:type="paragraph" w:customStyle="1" w:styleId="xl165">
    <w:name w:val="xl165"/>
    <w:basedOn w:val="a1"/>
    <w:uiPriority w:val="99"/>
    <w:semiHidden/>
    <w:rsid w:val="008673C7"/>
    <w:pPr>
      <w:widowControl/>
      <w:pBdr>
        <w:top w:val="single" w:sz="4" w:space="0" w:color="auto"/>
        <w:left w:val="single" w:sz="4" w:space="0" w:color="auto"/>
        <w:bottom w:val="single" w:sz="4" w:space="0" w:color="auto"/>
        <w:right w:val="single" w:sz="4" w:space="0" w:color="auto"/>
      </w:pBdr>
      <w:shd w:val="clear" w:color="auto" w:fill="FFC000"/>
      <w:autoSpaceDE/>
      <w:autoSpaceDN/>
      <w:adjustRightInd/>
      <w:spacing w:before="100" w:beforeAutospacing="1" w:after="100" w:afterAutospacing="1"/>
      <w:jc w:val="center"/>
    </w:pPr>
    <w:rPr>
      <w:b/>
      <w:bCs/>
      <w:sz w:val="32"/>
      <w:szCs w:val="32"/>
    </w:rPr>
  </w:style>
  <w:style w:type="paragraph" w:customStyle="1" w:styleId="xl166">
    <w:name w:val="xl166"/>
    <w:basedOn w:val="a1"/>
    <w:uiPriority w:val="99"/>
    <w:semiHidden/>
    <w:rsid w:val="008673C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style>
  <w:style w:type="paragraph" w:customStyle="1" w:styleId="xl167">
    <w:name w:val="xl167"/>
    <w:basedOn w:val="a1"/>
    <w:uiPriority w:val="99"/>
    <w:semiHidden/>
    <w:rsid w:val="008673C7"/>
    <w:pPr>
      <w:widowControl/>
      <w:pBdr>
        <w:top w:val="single" w:sz="4" w:space="0" w:color="auto"/>
        <w:left w:val="single" w:sz="4" w:space="0" w:color="auto"/>
        <w:right w:val="single" w:sz="4" w:space="0" w:color="auto"/>
      </w:pBdr>
      <w:autoSpaceDE/>
      <w:autoSpaceDN/>
      <w:adjustRightInd/>
      <w:spacing w:before="100" w:beforeAutospacing="1" w:after="100" w:afterAutospacing="1"/>
    </w:pPr>
  </w:style>
  <w:style w:type="paragraph" w:customStyle="1" w:styleId="xl168">
    <w:name w:val="xl168"/>
    <w:basedOn w:val="a1"/>
    <w:uiPriority w:val="99"/>
    <w:semiHidden/>
    <w:rsid w:val="008673C7"/>
    <w:pPr>
      <w:widowControl/>
      <w:pBdr>
        <w:top w:val="single" w:sz="4" w:space="0" w:color="auto"/>
        <w:left w:val="single" w:sz="4" w:space="0" w:color="auto"/>
        <w:bottom w:val="single" w:sz="4" w:space="0" w:color="auto"/>
        <w:right w:val="single" w:sz="4" w:space="0" w:color="auto"/>
      </w:pBdr>
      <w:shd w:val="clear" w:color="auto" w:fill="FFC000"/>
      <w:autoSpaceDE/>
      <w:autoSpaceDN/>
      <w:adjustRightInd/>
      <w:spacing w:before="100" w:beforeAutospacing="1" w:after="100" w:afterAutospacing="1"/>
      <w:jc w:val="center"/>
    </w:pPr>
    <w:rPr>
      <w:b/>
      <w:bCs/>
      <w:sz w:val="32"/>
      <w:szCs w:val="32"/>
    </w:rPr>
  </w:style>
  <w:style w:type="paragraph" w:customStyle="1" w:styleId="xl169">
    <w:name w:val="xl169"/>
    <w:basedOn w:val="a1"/>
    <w:uiPriority w:val="99"/>
    <w:semiHidden/>
    <w:rsid w:val="008673C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b/>
      <w:bCs/>
    </w:rPr>
  </w:style>
  <w:style w:type="paragraph" w:customStyle="1" w:styleId="xl170">
    <w:name w:val="xl170"/>
    <w:basedOn w:val="a1"/>
    <w:uiPriority w:val="99"/>
    <w:semiHidden/>
    <w:rsid w:val="008673C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b/>
      <w:bCs/>
    </w:rPr>
  </w:style>
  <w:style w:type="paragraph" w:customStyle="1" w:styleId="xl171">
    <w:name w:val="xl171"/>
    <w:basedOn w:val="a1"/>
    <w:uiPriority w:val="99"/>
    <w:semiHidden/>
    <w:rsid w:val="008673C7"/>
    <w:pPr>
      <w:widowControl/>
      <w:pBdr>
        <w:top w:val="single" w:sz="4" w:space="0" w:color="auto"/>
        <w:left w:val="single" w:sz="4" w:space="0" w:color="auto"/>
        <w:bottom w:val="single" w:sz="4" w:space="0" w:color="auto"/>
        <w:right w:val="single" w:sz="4" w:space="0" w:color="auto"/>
      </w:pBdr>
      <w:shd w:val="clear" w:color="auto" w:fill="FFFF00"/>
      <w:autoSpaceDE/>
      <w:autoSpaceDN/>
      <w:adjustRightInd/>
      <w:spacing w:before="100" w:beforeAutospacing="1" w:after="100" w:afterAutospacing="1"/>
      <w:jc w:val="center"/>
    </w:pPr>
    <w:rPr>
      <w:b/>
      <w:bCs/>
      <w:sz w:val="32"/>
      <w:szCs w:val="32"/>
    </w:rPr>
  </w:style>
  <w:style w:type="paragraph" w:customStyle="1" w:styleId="xl172">
    <w:name w:val="xl172"/>
    <w:basedOn w:val="a1"/>
    <w:uiPriority w:val="99"/>
    <w:semiHidden/>
    <w:rsid w:val="008673C7"/>
    <w:pPr>
      <w:widowControl/>
      <w:pBdr>
        <w:top w:val="single" w:sz="4" w:space="0" w:color="auto"/>
        <w:left w:val="single" w:sz="4" w:space="0" w:color="auto"/>
        <w:right w:val="single" w:sz="4" w:space="0" w:color="auto"/>
      </w:pBdr>
      <w:autoSpaceDE/>
      <w:autoSpaceDN/>
      <w:adjustRightInd/>
      <w:spacing w:before="100" w:beforeAutospacing="1" w:after="100" w:afterAutospacing="1"/>
    </w:pPr>
  </w:style>
  <w:style w:type="paragraph" w:customStyle="1" w:styleId="xl173">
    <w:name w:val="xl173"/>
    <w:basedOn w:val="a1"/>
    <w:uiPriority w:val="99"/>
    <w:semiHidden/>
    <w:rsid w:val="008673C7"/>
    <w:pPr>
      <w:widowControl/>
      <w:pBdr>
        <w:left w:val="single" w:sz="4" w:space="0" w:color="auto"/>
        <w:bottom w:val="single" w:sz="4" w:space="0" w:color="auto"/>
        <w:right w:val="single" w:sz="4" w:space="0" w:color="auto"/>
      </w:pBdr>
      <w:autoSpaceDE/>
      <w:autoSpaceDN/>
      <w:adjustRightInd/>
      <w:spacing w:before="100" w:beforeAutospacing="1" w:after="100" w:afterAutospacing="1"/>
    </w:pPr>
  </w:style>
  <w:style w:type="paragraph" w:customStyle="1" w:styleId="xl174">
    <w:name w:val="xl174"/>
    <w:basedOn w:val="a1"/>
    <w:uiPriority w:val="99"/>
    <w:semiHidden/>
    <w:rsid w:val="008673C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style>
  <w:style w:type="paragraph" w:customStyle="1" w:styleId="xl175">
    <w:name w:val="xl175"/>
    <w:basedOn w:val="a1"/>
    <w:uiPriority w:val="99"/>
    <w:semiHidden/>
    <w:rsid w:val="008673C7"/>
    <w:pPr>
      <w:widowControl/>
      <w:pBdr>
        <w:left w:val="single" w:sz="4" w:space="0" w:color="auto"/>
        <w:right w:val="single" w:sz="4" w:space="0" w:color="auto"/>
      </w:pBdr>
      <w:autoSpaceDE/>
      <w:autoSpaceDN/>
      <w:adjustRightInd/>
      <w:spacing w:before="100" w:beforeAutospacing="1" w:after="100" w:afterAutospacing="1"/>
    </w:pPr>
  </w:style>
  <w:style w:type="paragraph" w:customStyle="1" w:styleId="xl176">
    <w:name w:val="xl176"/>
    <w:basedOn w:val="a1"/>
    <w:uiPriority w:val="99"/>
    <w:semiHidden/>
    <w:rsid w:val="008673C7"/>
    <w:pPr>
      <w:widowControl/>
      <w:pBdr>
        <w:left w:val="single" w:sz="4" w:space="0" w:color="auto"/>
        <w:bottom w:val="single" w:sz="4" w:space="0" w:color="auto"/>
        <w:right w:val="single" w:sz="4" w:space="0" w:color="auto"/>
      </w:pBdr>
      <w:autoSpaceDE/>
      <w:autoSpaceDN/>
      <w:adjustRightInd/>
      <w:spacing w:before="100" w:beforeAutospacing="1" w:after="100" w:afterAutospacing="1"/>
    </w:pPr>
  </w:style>
  <w:style w:type="paragraph" w:customStyle="1" w:styleId="xl177">
    <w:name w:val="xl177"/>
    <w:basedOn w:val="a1"/>
    <w:uiPriority w:val="99"/>
    <w:semiHidden/>
    <w:rsid w:val="008673C7"/>
    <w:pPr>
      <w:widowControl/>
      <w:pBdr>
        <w:top w:val="single" w:sz="4" w:space="0" w:color="auto"/>
        <w:left w:val="single" w:sz="4" w:space="0" w:color="auto"/>
        <w:bottom w:val="single" w:sz="4" w:space="0" w:color="auto"/>
        <w:right w:val="single" w:sz="4" w:space="0" w:color="auto"/>
      </w:pBdr>
      <w:shd w:val="clear" w:color="auto" w:fill="92CDDC"/>
      <w:autoSpaceDE/>
      <w:autoSpaceDN/>
      <w:adjustRightInd/>
      <w:spacing w:before="100" w:beforeAutospacing="1" w:after="100" w:afterAutospacing="1"/>
      <w:jc w:val="center"/>
    </w:pPr>
    <w:rPr>
      <w:b/>
      <w:bCs/>
      <w:sz w:val="32"/>
      <w:szCs w:val="32"/>
    </w:rPr>
  </w:style>
  <w:style w:type="paragraph" w:customStyle="1" w:styleId="xl178">
    <w:name w:val="xl178"/>
    <w:basedOn w:val="a1"/>
    <w:uiPriority w:val="99"/>
    <w:semiHidden/>
    <w:rsid w:val="008673C7"/>
    <w:pPr>
      <w:widowControl/>
      <w:autoSpaceDE/>
      <w:autoSpaceDN/>
      <w:adjustRightInd/>
      <w:spacing w:before="100" w:beforeAutospacing="1" w:after="100" w:afterAutospacing="1"/>
      <w:jc w:val="center"/>
    </w:pPr>
    <w:rPr>
      <w:b/>
      <w:bCs/>
      <w:sz w:val="40"/>
      <w:szCs w:val="40"/>
    </w:rPr>
  </w:style>
  <w:style w:type="paragraph" w:customStyle="1" w:styleId="xl179">
    <w:name w:val="xl179"/>
    <w:basedOn w:val="a1"/>
    <w:uiPriority w:val="99"/>
    <w:semiHidden/>
    <w:rsid w:val="008673C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bCs/>
    </w:rPr>
  </w:style>
  <w:style w:type="paragraph" w:customStyle="1" w:styleId="xl180">
    <w:name w:val="xl180"/>
    <w:basedOn w:val="a1"/>
    <w:uiPriority w:val="99"/>
    <w:semiHidden/>
    <w:rsid w:val="008673C7"/>
    <w:pPr>
      <w:widowControl/>
      <w:pBdr>
        <w:left w:val="single" w:sz="4" w:space="0" w:color="auto"/>
        <w:right w:val="single" w:sz="4" w:space="0" w:color="auto"/>
      </w:pBdr>
      <w:autoSpaceDE/>
      <w:autoSpaceDN/>
      <w:adjustRightInd/>
      <w:spacing w:before="100" w:beforeAutospacing="1" w:after="100" w:afterAutospacing="1"/>
    </w:pPr>
  </w:style>
  <w:style w:type="numbering" w:customStyle="1" w:styleId="510">
    <w:name w:val="Нет списка51"/>
    <w:next w:val="a4"/>
    <w:uiPriority w:val="99"/>
    <w:semiHidden/>
    <w:unhideWhenUsed/>
    <w:rsid w:val="008673C7"/>
  </w:style>
  <w:style w:type="table" w:customStyle="1" w:styleId="74">
    <w:name w:val="Сетка таблицы7"/>
    <w:basedOn w:val="a3"/>
    <w:next w:val="af1"/>
    <w:uiPriority w:val="59"/>
    <w:rsid w:val="008673C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xtendedtext-full">
    <w:name w:val="extendedtext-full"/>
    <w:rsid w:val="008673C7"/>
  </w:style>
  <w:style w:type="paragraph" w:customStyle="1" w:styleId="affffff4">
    <w:name w:val="Подпись таблицы"/>
    <w:basedOn w:val="a1"/>
    <w:link w:val="affffff5"/>
    <w:qFormat/>
    <w:rsid w:val="00975B0E"/>
    <w:pPr>
      <w:widowControl/>
      <w:tabs>
        <w:tab w:val="left" w:pos="851"/>
      </w:tabs>
      <w:autoSpaceDE/>
      <w:autoSpaceDN/>
      <w:adjustRightInd/>
      <w:spacing w:before="120" w:after="120"/>
      <w:contextualSpacing/>
      <w:jc w:val="center"/>
    </w:pPr>
    <w:rPr>
      <w:rFonts w:eastAsiaTheme="minorHAnsi"/>
      <w:sz w:val="22"/>
      <w:lang w:eastAsia="en-US"/>
    </w:rPr>
  </w:style>
  <w:style w:type="character" w:customStyle="1" w:styleId="affffff5">
    <w:name w:val="Подпись таблицы Знак"/>
    <w:basedOn w:val="a2"/>
    <w:link w:val="affffff4"/>
    <w:rsid w:val="00975B0E"/>
    <w:rPr>
      <w:rFonts w:ascii="Times New Roman" w:hAnsi="Times New Roman" w:cs="Times New Roman"/>
      <w:szCs w:val="24"/>
    </w:rPr>
  </w:style>
  <w:style w:type="paragraph" w:customStyle="1" w:styleId="a">
    <w:name w:val="Нумерация таблицы"/>
    <w:basedOn w:val="a1"/>
    <w:next w:val="affffff4"/>
    <w:link w:val="affffff6"/>
    <w:qFormat/>
    <w:rsid w:val="00050566"/>
    <w:pPr>
      <w:widowControl/>
      <w:numPr>
        <w:numId w:val="2"/>
      </w:numPr>
      <w:autoSpaceDE/>
      <w:autoSpaceDN/>
      <w:adjustRightInd/>
      <w:spacing w:before="120" w:after="120"/>
      <w:jc w:val="right"/>
    </w:pPr>
    <w:rPr>
      <w:rFonts w:eastAsiaTheme="minorHAnsi"/>
      <w:sz w:val="22"/>
      <w:lang w:eastAsia="en-US"/>
    </w:rPr>
  </w:style>
  <w:style w:type="character" w:customStyle="1" w:styleId="affffff6">
    <w:name w:val="Нумерация таблицы Знак"/>
    <w:basedOn w:val="affffff5"/>
    <w:link w:val="a"/>
    <w:rsid w:val="00050566"/>
    <w:rPr>
      <w:rFonts w:ascii="Times New Roman" w:hAnsi="Times New Roman" w:cs="Times New Roman"/>
      <w:szCs w:val="24"/>
    </w:rPr>
  </w:style>
  <w:style w:type="paragraph" w:customStyle="1" w:styleId="affffff7">
    <w:name w:val="Подпись рисунка"/>
    <w:basedOn w:val="affffff8"/>
    <w:next w:val="af6"/>
    <w:link w:val="affffff9"/>
    <w:qFormat/>
    <w:rsid w:val="00E33576"/>
    <w:pPr>
      <w:widowControl/>
      <w:tabs>
        <w:tab w:val="left" w:pos="851"/>
      </w:tabs>
      <w:autoSpaceDE/>
      <w:autoSpaceDN/>
      <w:adjustRightInd/>
      <w:spacing w:before="120" w:after="120"/>
      <w:jc w:val="center"/>
    </w:pPr>
    <w:rPr>
      <w:rFonts w:eastAsiaTheme="minorHAnsi"/>
      <w:sz w:val="22"/>
      <w:lang w:eastAsia="en-US"/>
    </w:rPr>
  </w:style>
  <w:style w:type="character" w:customStyle="1" w:styleId="affffff9">
    <w:name w:val="Подпись рисунка Знак"/>
    <w:basedOn w:val="a2"/>
    <w:link w:val="affffff7"/>
    <w:rsid w:val="00E33576"/>
    <w:rPr>
      <w:rFonts w:ascii="Times New Roman" w:hAnsi="Times New Roman" w:cs="Times New Roman"/>
      <w:szCs w:val="24"/>
    </w:rPr>
  </w:style>
  <w:style w:type="paragraph" w:styleId="affffff8">
    <w:name w:val="List Number"/>
    <w:basedOn w:val="a1"/>
    <w:uiPriority w:val="99"/>
    <w:semiHidden/>
    <w:unhideWhenUsed/>
    <w:rsid w:val="00E33576"/>
    <w:pPr>
      <w:tabs>
        <w:tab w:val="num" w:pos="624"/>
      </w:tabs>
      <w:contextualSpacing/>
    </w:pPr>
  </w:style>
  <w:style w:type="paragraph" w:customStyle="1" w:styleId="2f9">
    <w:name w:val="2"/>
    <w:basedOn w:val="a1"/>
    <w:next w:val="ad"/>
    <w:uiPriority w:val="99"/>
    <w:qFormat/>
    <w:rsid w:val="001A3F7E"/>
    <w:pPr>
      <w:widowControl/>
      <w:autoSpaceDE/>
      <w:autoSpaceDN/>
      <w:adjustRightInd/>
      <w:jc w:val="center"/>
    </w:pPr>
    <w:rPr>
      <w:b/>
      <w:sz w:val="26"/>
      <w:szCs w:val="20"/>
      <w:lang w:val="x-none"/>
    </w:rPr>
  </w:style>
  <w:style w:type="paragraph" w:customStyle="1" w:styleId="Textbody">
    <w:name w:val="Text body"/>
    <w:basedOn w:val="a1"/>
    <w:rsid w:val="00576FBB"/>
    <w:pPr>
      <w:suppressAutoHyphens/>
      <w:autoSpaceDE/>
      <w:adjustRightInd/>
      <w:spacing w:after="120"/>
      <w:textAlignment w:val="baseline"/>
    </w:pPr>
    <w:rPr>
      <w:rFonts w:eastAsia="Andale Sans UI" w:cs="Tahoma"/>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648795">
      <w:bodyDiv w:val="1"/>
      <w:marLeft w:val="0"/>
      <w:marRight w:val="0"/>
      <w:marTop w:val="0"/>
      <w:marBottom w:val="0"/>
      <w:divBdr>
        <w:top w:val="none" w:sz="0" w:space="0" w:color="auto"/>
        <w:left w:val="none" w:sz="0" w:space="0" w:color="auto"/>
        <w:bottom w:val="none" w:sz="0" w:space="0" w:color="auto"/>
        <w:right w:val="none" w:sz="0" w:space="0" w:color="auto"/>
      </w:divBdr>
    </w:div>
    <w:div w:id="44915506">
      <w:bodyDiv w:val="1"/>
      <w:marLeft w:val="0"/>
      <w:marRight w:val="0"/>
      <w:marTop w:val="0"/>
      <w:marBottom w:val="0"/>
      <w:divBdr>
        <w:top w:val="none" w:sz="0" w:space="0" w:color="auto"/>
        <w:left w:val="none" w:sz="0" w:space="0" w:color="auto"/>
        <w:bottom w:val="none" w:sz="0" w:space="0" w:color="auto"/>
        <w:right w:val="none" w:sz="0" w:space="0" w:color="auto"/>
      </w:divBdr>
    </w:div>
    <w:div w:id="45493757">
      <w:bodyDiv w:val="1"/>
      <w:marLeft w:val="0"/>
      <w:marRight w:val="0"/>
      <w:marTop w:val="0"/>
      <w:marBottom w:val="0"/>
      <w:divBdr>
        <w:top w:val="none" w:sz="0" w:space="0" w:color="auto"/>
        <w:left w:val="none" w:sz="0" w:space="0" w:color="auto"/>
        <w:bottom w:val="none" w:sz="0" w:space="0" w:color="auto"/>
        <w:right w:val="none" w:sz="0" w:space="0" w:color="auto"/>
      </w:divBdr>
    </w:div>
    <w:div w:id="48193672">
      <w:bodyDiv w:val="1"/>
      <w:marLeft w:val="0"/>
      <w:marRight w:val="0"/>
      <w:marTop w:val="0"/>
      <w:marBottom w:val="0"/>
      <w:divBdr>
        <w:top w:val="none" w:sz="0" w:space="0" w:color="auto"/>
        <w:left w:val="none" w:sz="0" w:space="0" w:color="auto"/>
        <w:bottom w:val="none" w:sz="0" w:space="0" w:color="auto"/>
        <w:right w:val="none" w:sz="0" w:space="0" w:color="auto"/>
      </w:divBdr>
    </w:div>
    <w:div w:id="71125110">
      <w:bodyDiv w:val="1"/>
      <w:marLeft w:val="0"/>
      <w:marRight w:val="0"/>
      <w:marTop w:val="0"/>
      <w:marBottom w:val="0"/>
      <w:divBdr>
        <w:top w:val="none" w:sz="0" w:space="0" w:color="auto"/>
        <w:left w:val="none" w:sz="0" w:space="0" w:color="auto"/>
        <w:bottom w:val="none" w:sz="0" w:space="0" w:color="auto"/>
        <w:right w:val="none" w:sz="0" w:space="0" w:color="auto"/>
      </w:divBdr>
    </w:div>
    <w:div w:id="75324821">
      <w:bodyDiv w:val="1"/>
      <w:marLeft w:val="0"/>
      <w:marRight w:val="0"/>
      <w:marTop w:val="0"/>
      <w:marBottom w:val="0"/>
      <w:divBdr>
        <w:top w:val="none" w:sz="0" w:space="0" w:color="auto"/>
        <w:left w:val="none" w:sz="0" w:space="0" w:color="auto"/>
        <w:bottom w:val="none" w:sz="0" w:space="0" w:color="auto"/>
        <w:right w:val="none" w:sz="0" w:space="0" w:color="auto"/>
      </w:divBdr>
    </w:div>
    <w:div w:id="83959646">
      <w:bodyDiv w:val="1"/>
      <w:marLeft w:val="0"/>
      <w:marRight w:val="0"/>
      <w:marTop w:val="0"/>
      <w:marBottom w:val="0"/>
      <w:divBdr>
        <w:top w:val="none" w:sz="0" w:space="0" w:color="auto"/>
        <w:left w:val="none" w:sz="0" w:space="0" w:color="auto"/>
        <w:bottom w:val="none" w:sz="0" w:space="0" w:color="auto"/>
        <w:right w:val="none" w:sz="0" w:space="0" w:color="auto"/>
      </w:divBdr>
    </w:div>
    <w:div w:id="90972303">
      <w:bodyDiv w:val="1"/>
      <w:marLeft w:val="0"/>
      <w:marRight w:val="0"/>
      <w:marTop w:val="0"/>
      <w:marBottom w:val="0"/>
      <w:divBdr>
        <w:top w:val="none" w:sz="0" w:space="0" w:color="auto"/>
        <w:left w:val="none" w:sz="0" w:space="0" w:color="auto"/>
        <w:bottom w:val="none" w:sz="0" w:space="0" w:color="auto"/>
        <w:right w:val="none" w:sz="0" w:space="0" w:color="auto"/>
      </w:divBdr>
    </w:div>
    <w:div w:id="117724404">
      <w:bodyDiv w:val="1"/>
      <w:marLeft w:val="0"/>
      <w:marRight w:val="0"/>
      <w:marTop w:val="0"/>
      <w:marBottom w:val="0"/>
      <w:divBdr>
        <w:top w:val="none" w:sz="0" w:space="0" w:color="auto"/>
        <w:left w:val="none" w:sz="0" w:space="0" w:color="auto"/>
        <w:bottom w:val="none" w:sz="0" w:space="0" w:color="auto"/>
        <w:right w:val="none" w:sz="0" w:space="0" w:color="auto"/>
      </w:divBdr>
    </w:div>
    <w:div w:id="119148116">
      <w:bodyDiv w:val="1"/>
      <w:marLeft w:val="0"/>
      <w:marRight w:val="0"/>
      <w:marTop w:val="0"/>
      <w:marBottom w:val="0"/>
      <w:divBdr>
        <w:top w:val="none" w:sz="0" w:space="0" w:color="auto"/>
        <w:left w:val="none" w:sz="0" w:space="0" w:color="auto"/>
        <w:bottom w:val="none" w:sz="0" w:space="0" w:color="auto"/>
        <w:right w:val="none" w:sz="0" w:space="0" w:color="auto"/>
      </w:divBdr>
    </w:div>
    <w:div w:id="142746297">
      <w:bodyDiv w:val="1"/>
      <w:marLeft w:val="0"/>
      <w:marRight w:val="0"/>
      <w:marTop w:val="0"/>
      <w:marBottom w:val="0"/>
      <w:divBdr>
        <w:top w:val="none" w:sz="0" w:space="0" w:color="auto"/>
        <w:left w:val="none" w:sz="0" w:space="0" w:color="auto"/>
        <w:bottom w:val="none" w:sz="0" w:space="0" w:color="auto"/>
        <w:right w:val="none" w:sz="0" w:space="0" w:color="auto"/>
      </w:divBdr>
    </w:div>
    <w:div w:id="155924853">
      <w:bodyDiv w:val="1"/>
      <w:marLeft w:val="0"/>
      <w:marRight w:val="0"/>
      <w:marTop w:val="0"/>
      <w:marBottom w:val="0"/>
      <w:divBdr>
        <w:top w:val="none" w:sz="0" w:space="0" w:color="auto"/>
        <w:left w:val="none" w:sz="0" w:space="0" w:color="auto"/>
        <w:bottom w:val="none" w:sz="0" w:space="0" w:color="auto"/>
        <w:right w:val="none" w:sz="0" w:space="0" w:color="auto"/>
      </w:divBdr>
    </w:div>
    <w:div w:id="171725665">
      <w:bodyDiv w:val="1"/>
      <w:marLeft w:val="0"/>
      <w:marRight w:val="0"/>
      <w:marTop w:val="0"/>
      <w:marBottom w:val="0"/>
      <w:divBdr>
        <w:top w:val="none" w:sz="0" w:space="0" w:color="auto"/>
        <w:left w:val="none" w:sz="0" w:space="0" w:color="auto"/>
        <w:bottom w:val="none" w:sz="0" w:space="0" w:color="auto"/>
        <w:right w:val="none" w:sz="0" w:space="0" w:color="auto"/>
      </w:divBdr>
    </w:div>
    <w:div w:id="191115906">
      <w:bodyDiv w:val="1"/>
      <w:marLeft w:val="0"/>
      <w:marRight w:val="0"/>
      <w:marTop w:val="0"/>
      <w:marBottom w:val="0"/>
      <w:divBdr>
        <w:top w:val="none" w:sz="0" w:space="0" w:color="auto"/>
        <w:left w:val="none" w:sz="0" w:space="0" w:color="auto"/>
        <w:bottom w:val="none" w:sz="0" w:space="0" w:color="auto"/>
        <w:right w:val="none" w:sz="0" w:space="0" w:color="auto"/>
      </w:divBdr>
    </w:div>
    <w:div w:id="193621749">
      <w:bodyDiv w:val="1"/>
      <w:marLeft w:val="0"/>
      <w:marRight w:val="0"/>
      <w:marTop w:val="0"/>
      <w:marBottom w:val="0"/>
      <w:divBdr>
        <w:top w:val="none" w:sz="0" w:space="0" w:color="auto"/>
        <w:left w:val="none" w:sz="0" w:space="0" w:color="auto"/>
        <w:bottom w:val="none" w:sz="0" w:space="0" w:color="auto"/>
        <w:right w:val="none" w:sz="0" w:space="0" w:color="auto"/>
      </w:divBdr>
    </w:div>
    <w:div w:id="205795635">
      <w:bodyDiv w:val="1"/>
      <w:marLeft w:val="0"/>
      <w:marRight w:val="0"/>
      <w:marTop w:val="0"/>
      <w:marBottom w:val="0"/>
      <w:divBdr>
        <w:top w:val="none" w:sz="0" w:space="0" w:color="auto"/>
        <w:left w:val="none" w:sz="0" w:space="0" w:color="auto"/>
        <w:bottom w:val="none" w:sz="0" w:space="0" w:color="auto"/>
        <w:right w:val="none" w:sz="0" w:space="0" w:color="auto"/>
      </w:divBdr>
    </w:div>
    <w:div w:id="206333560">
      <w:bodyDiv w:val="1"/>
      <w:marLeft w:val="0"/>
      <w:marRight w:val="0"/>
      <w:marTop w:val="0"/>
      <w:marBottom w:val="0"/>
      <w:divBdr>
        <w:top w:val="none" w:sz="0" w:space="0" w:color="auto"/>
        <w:left w:val="none" w:sz="0" w:space="0" w:color="auto"/>
        <w:bottom w:val="none" w:sz="0" w:space="0" w:color="auto"/>
        <w:right w:val="none" w:sz="0" w:space="0" w:color="auto"/>
      </w:divBdr>
    </w:div>
    <w:div w:id="219637967">
      <w:bodyDiv w:val="1"/>
      <w:marLeft w:val="0"/>
      <w:marRight w:val="0"/>
      <w:marTop w:val="0"/>
      <w:marBottom w:val="0"/>
      <w:divBdr>
        <w:top w:val="none" w:sz="0" w:space="0" w:color="auto"/>
        <w:left w:val="none" w:sz="0" w:space="0" w:color="auto"/>
        <w:bottom w:val="none" w:sz="0" w:space="0" w:color="auto"/>
        <w:right w:val="none" w:sz="0" w:space="0" w:color="auto"/>
      </w:divBdr>
    </w:div>
    <w:div w:id="228418016">
      <w:bodyDiv w:val="1"/>
      <w:marLeft w:val="0"/>
      <w:marRight w:val="0"/>
      <w:marTop w:val="0"/>
      <w:marBottom w:val="0"/>
      <w:divBdr>
        <w:top w:val="none" w:sz="0" w:space="0" w:color="auto"/>
        <w:left w:val="none" w:sz="0" w:space="0" w:color="auto"/>
        <w:bottom w:val="none" w:sz="0" w:space="0" w:color="auto"/>
        <w:right w:val="none" w:sz="0" w:space="0" w:color="auto"/>
      </w:divBdr>
    </w:div>
    <w:div w:id="230433331">
      <w:bodyDiv w:val="1"/>
      <w:marLeft w:val="0"/>
      <w:marRight w:val="0"/>
      <w:marTop w:val="0"/>
      <w:marBottom w:val="0"/>
      <w:divBdr>
        <w:top w:val="none" w:sz="0" w:space="0" w:color="auto"/>
        <w:left w:val="none" w:sz="0" w:space="0" w:color="auto"/>
        <w:bottom w:val="none" w:sz="0" w:space="0" w:color="auto"/>
        <w:right w:val="none" w:sz="0" w:space="0" w:color="auto"/>
      </w:divBdr>
    </w:div>
    <w:div w:id="242883916">
      <w:bodyDiv w:val="1"/>
      <w:marLeft w:val="0"/>
      <w:marRight w:val="0"/>
      <w:marTop w:val="0"/>
      <w:marBottom w:val="0"/>
      <w:divBdr>
        <w:top w:val="none" w:sz="0" w:space="0" w:color="auto"/>
        <w:left w:val="none" w:sz="0" w:space="0" w:color="auto"/>
        <w:bottom w:val="none" w:sz="0" w:space="0" w:color="auto"/>
        <w:right w:val="none" w:sz="0" w:space="0" w:color="auto"/>
      </w:divBdr>
    </w:div>
    <w:div w:id="286549925">
      <w:bodyDiv w:val="1"/>
      <w:marLeft w:val="0"/>
      <w:marRight w:val="0"/>
      <w:marTop w:val="0"/>
      <w:marBottom w:val="0"/>
      <w:divBdr>
        <w:top w:val="none" w:sz="0" w:space="0" w:color="auto"/>
        <w:left w:val="none" w:sz="0" w:space="0" w:color="auto"/>
        <w:bottom w:val="none" w:sz="0" w:space="0" w:color="auto"/>
        <w:right w:val="none" w:sz="0" w:space="0" w:color="auto"/>
      </w:divBdr>
    </w:div>
    <w:div w:id="290408604">
      <w:bodyDiv w:val="1"/>
      <w:marLeft w:val="0"/>
      <w:marRight w:val="0"/>
      <w:marTop w:val="0"/>
      <w:marBottom w:val="0"/>
      <w:divBdr>
        <w:top w:val="none" w:sz="0" w:space="0" w:color="auto"/>
        <w:left w:val="none" w:sz="0" w:space="0" w:color="auto"/>
        <w:bottom w:val="none" w:sz="0" w:space="0" w:color="auto"/>
        <w:right w:val="none" w:sz="0" w:space="0" w:color="auto"/>
      </w:divBdr>
    </w:div>
    <w:div w:id="308167561">
      <w:bodyDiv w:val="1"/>
      <w:marLeft w:val="0"/>
      <w:marRight w:val="0"/>
      <w:marTop w:val="0"/>
      <w:marBottom w:val="0"/>
      <w:divBdr>
        <w:top w:val="none" w:sz="0" w:space="0" w:color="auto"/>
        <w:left w:val="none" w:sz="0" w:space="0" w:color="auto"/>
        <w:bottom w:val="none" w:sz="0" w:space="0" w:color="auto"/>
        <w:right w:val="none" w:sz="0" w:space="0" w:color="auto"/>
      </w:divBdr>
    </w:div>
    <w:div w:id="310863698">
      <w:bodyDiv w:val="1"/>
      <w:marLeft w:val="0"/>
      <w:marRight w:val="0"/>
      <w:marTop w:val="0"/>
      <w:marBottom w:val="0"/>
      <w:divBdr>
        <w:top w:val="none" w:sz="0" w:space="0" w:color="auto"/>
        <w:left w:val="none" w:sz="0" w:space="0" w:color="auto"/>
        <w:bottom w:val="none" w:sz="0" w:space="0" w:color="auto"/>
        <w:right w:val="none" w:sz="0" w:space="0" w:color="auto"/>
      </w:divBdr>
    </w:div>
    <w:div w:id="325016039">
      <w:bodyDiv w:val="1"/>
      <w:marLeft w:val="0"/>
      <w:marRight w:val="0"/>
      <w:marTop w:val="0"/>
      <w:marBottom w:val="0"/>
      <w:divBdr>
        <w:top w:val="none" w:sz="0" w:space="0" w:color="auto"/>
        <w:left w:val="none" w:sz="0" w:space="0" w:color="auto"/>
        <w:bottom w:val="none" w:sz="0" w:space="0" w:color="auto"/>
        <w:right w:val="none" w:sz="0" w:space="0" w:color="auto"/>
      </w:divBdr>
    </w:div>
    <w:div w:id="326396991">
      <w:bodyDiv w:val="1"/>
      <w:marLeft w:val="0"/>
      <w:marRight w:val="0"/>
      <w:marTop w:val="0"/>
      <w:marBottom w:val="0"/>
      <w:divBdr>
        <w:top w:val="none" w:sz="0" w:space="0" w:color="auto"/>
        <w:left w:val="none" w:sz="0" w:space="0" w:color="auto"/>
        <w:bottom w:val="none" w:sz="0" w:space="0" w:color="auto"/>
        <w:right w:val="none" w:sz="0" w:space="0" w:color="auto"/>
      </w:divBdr>
    </w:div>
    <w:div w:id="341246550">
      <w:bodyDiv w:val="1"/>
      <w:marLeft w:val="0"/>
      <w:marRight w:val="0"/>
      <w:marTop w:val="0"/>
      <w:marBottom w:val="0"/>
      <w:divBdr>
        <w:top w:val="none" w:sz="0" w:space="0" w:color="auto"/>
        <w:left w:val="none" w:sz="0" w:space="0" w:color="auto"/>
        <w:bottom w:val="none" w:sz="0" w:space="0" w:color="auto"/>
        <w:right w:val="none" w:sz="0" w:space="0" w:color="auto"/>
      </w:divBdr>
    </w:div>
    <w:div w:id="358511588">
      <w:bodyDiv w:val="1"/>
      <w:marLeft w:val="0"/>
      <w:marRight w:val="0"/>
      <w:marTop w:val="0"/>
      <w:marBottom w:val="0"/>
      <w:divBdr>
        <w:top w:val="none" w:sz="0" w:space="0" w:color="auto"/>
        <w:left w:val="none" w:sz="0" w:space="0" w:color="auto"/>
        <w:bottom w:val="none" w:sz="0" w:space="0" w:color="auto"/>
        <w:right w:val="none" w:sz="0" w:space="0" w:color="auto"/>
      </w:divBdr>
    </w:div>
    <w:div w:id="380517270">
      <w:bodyDiv w:val="1"/>
      <w:marLeft w:val="0"/>
      <w:marRight w:val="0"/>
      <w:marTop w:val="0"/>
      <w:marBottom w:val="0"/>
      <w:divBdr>
        <w:top w:val="none" w:sz="0" w:space="0" w:color="auto"/>
        <w:left w:val="none" w:sz="0" w:space="0" w:color="auto"/>
        <w:bottom w:val="none" w:sz="0" w:space="0" w:color="auto"/>
        <w:right w:val="none" w:sz="0" w:space="0" w:color="auto"/>
      </w:divBdr>
    </w:div>
    <w:div w:id="384909493">
      <w:bodyDiv w:val="1"/>
      <w:marLeft w:val="0"/>
      <w:marRight w:val="0"/>
      <w:marTop w:val="0"/>
      <w:marBottom w:val="0"/>
      <w:divBdr>
        <w:top w:val="none" w:sz="0" w:space="0" w:color="auto"/>
        <w:left w:val="none" w:sz="0" w:space="0" w:color="auto"/>
        <w:bottom w:val="none" w:sz="0" w:space="0" w:color="auto"/>
        <w:right w:val="none" w:sz="0" w:space="0" w:color="auto"/>
      </w:divBdr>
    </w:div>
    <w:div w:id="385877500">
      <w:bodyDiv w:val="1"/>
      <w:marLeft w:val="0"/>
      <w:marRight w:val="0"/>
      <w:marTop w:val="0"/>
      <w:marBottom w:val="0"/>
      <w:divBdr>
        <w:top w:val="none" w:sz="0" w:space="0" w:color="auto"/>
        <w:left w:val="none" w:sz="0" w:space="0" w:color="auto"/>
        <w:bottom w:val="none" w:sz="0" w:space="0" w:color="auto"/>
        <w:right w:val="none" w:sz="0" w:space="0" w:color="auto"/>
      </w:divBdr>
    </w:div>
    <w:div w:id="387413784">
      <w:bodyDiv w:val="1"/>
      <w:marLeft w:val="0"/>
      <w:marRight w:val="0"/>
      <w:marTop w:val="0"/>
      <w:marBottom w:val="0"/>
      <w:divBdr>
        <w:top w:val="none" w:sz="0" w:space="0" w:color="auto"/>
        <w:left w:val="none" w:sz="0" w:space="0" w:color="auto"/>
        <w:bottom w:val="none" w:sz="0" w:space="0" w:color="auto"/>
        <w:right w:val="none" w:sz="0" w:space="0" w:color="auto"/>
      </w:divBdr>
    </w:div>
    <w:div w:id="405613408">
      <w:bodyDiv w:val="1"/>
      <w:marLeft w:val="0"/>
      <w:marRight w:val="0"/>
      <w:marTop w:val="0"/>
      <w:marBottom w:val="0"/>
      <w:divBdr>
        <w:top w:val="none" w:sz="0" w:space="0" w:color="auto"/>
        <w:left w:val="none" w:sz="0" w:space="0" w:color="auto"/>
        <w:bottom w:val="none" w:sz="0" w:space="0" w:color="auto"/>
        <w:right w:val="none" w:sz="0" w:space="0" w:color="auto"/>
      </w:divBdr>
    </w:div>
    <w:div w:id="430972787">
      <w:bodyDiv w:val="1"/>
      <w:marLeft w:val="0"/>
      <w:marRight w:val="0"/>
      <w:marTop w:val="0"/>
      <w:marBottom w:val="0"/>
      <w:divBdr>
        <w:top w:val="none" w:sz="0" w:space="0" w:color="auto"/>
        <w:left w:val="none" w:sz="0" w:space="0" w:color="auto"/>
        <w:bottom w:val="none" w:sz="0" w:space="0" w:color="auto"/>
        <w:right w:val="none" w:sz="0" w:space="0" w:color="auto"/>
      </w:divBdr>
    </w:div>
    <w:div w:id="433552080">
      <w:bodyDiv w:val="1"/>
      <w:marLeft w:val="0"/>
      <w:marRight w:val="0"/>
      <w:marTop w:val="0"/>
      <w:marBottom w:val="0"/>
      <w:divBdr>
        <w:top w:val="none" w:sz="0" w:space="0" w:color="auto"/>
        <w:left w:val="none" w:sz="0" w:space="0" w:color="auto"/>
        <w:bottom w:val="none" w:sz="0" w:space="0" w:color="auto"/>
        <w:right w:val="none" w:sz="0" w:space="0" w:color="auto"/>
      </w:divBdr>
    </w:div>
    <w:div w:id="440803072">
      <w:bodyDiv w:val="1"/>
      <w:marLeft w:val="0"/>
      <w:marRight w:val="0"/>
      <w:marTop w:val="0"/>
      <w:marBottom w:val="0"/>
      <w:divBdr>
        <w:top w:val="none" w:sz="0" w:space="0" w:color="auto"/>
        <w:left w:val="none" w:sz="0" w:space="0" w:color="auto"/>
        <w:bottom w:val="none" w:sz="0" w:space="0" w:color="auto"/>
        <w:right w:val="none" w:sz="0" w:space="0" w:color="auto"/>
      </w:divBdr>
    </w:div>
    <w:div w:id="452748293">
      <w:bodyDiv w:val="1"/>
      <w:marLeft w:val="0"/>
      <w:marRight w:val="0"/>
      <w:marTop w:val="0"/>
      <w:marBottom w:val="0"/>
      <w:divBdr>
        <w:top w:val="none" w:sz="0" w:space="0" w:color="auto"/>
        <w:left w:val="none" w:sz="0" w:space="0" w:color="auto"/>
        <w:bottom w:val="none" w:sz="0" w:space="0" w:color="auto"/>
        <w:right w:val="none" w:sz="0" w:space="0" w:color="auto"/>
      </w:divBdr>
    </w:div>
    <w:div w:id="452751086">
      <w:bodyDiv w:val="1"/>
      <w:marLeft w:val="0"/>
      <w:marRight w:val="0"/>
      <w:marTop w:val="0"/>
      <w:marBottom w:val="0"/>
      <w:divBdr>
        <w:top w:val="none" w:sz="0" w:space="0" w:color="auto"/>
        <w:left w:val="none" w:sz="0" w:space="0" w:color="auto"/>
        <w:bottom w:val="none" w:sz="0" w:space="0" w:color="auto"/>
        <w:right w:val="none" w:sz="0" w:space="0" w:color="auto"/>
      </w:divBdr>
    </w:div>
    <w:div w:id="461655694">
      <w:bodyDiv w:val="1"/>
      <w:marLeft w:val="0"/>
      <w:marRight w:val="0"/>
      <w:marTop w:val="0"/>
      <w:marBottom w:val="0"/>
      <w:divBdr>
        <w:top w:val="none" w:sz="0" w:space="0" w:color="auto"/>
        <w:left w:val="none" w:sz="0" w:space="0" w:color="auto"/>
        <w:bottom w:val="none" w:sz="0" w:space="0" w:color="auto"/>
        <w:right w:val="none" w:sz="0" w:space="0" w:color="auto"/>
      </w:divBdr>
    </w:div>
    <w:div w:id="461849026">
      <w:bodyDiv w:val="1"/>
      <w:marLeft w:val="0"/>
      <w:marRight w:val="0"/>
      <w:marTop w:val="0"/>
      <w:marBottom w:val="0"/>
      <w:divBdr>
        <w:top w:val="none" w:sz="0" w:space="0" w:color="auto"/>
        <w:left w:val="none" w:sz="0" w:space="0" w:color="auto"/>
        <w:bottom w:val="none" w:sz="0" w:space="0" w:color="auto"/>
        <w:right w:val="none" w:sz="0" w:space="0" w:color="auto"/>
      </w:divBdr>
    </w:div>
    <w:div w:id="463623567">
      <w:bodyDiv w:val="1"/>
      <w:marLeft w:val="0"/>
      <w:marRight w:val="0"/>
      <w:marTop w:val="0"/>
      <w:marBottom w:val="0"/>
      <w:divBdr>
        <w:top w:val="none" w:sz="0" w:space="0" w:color="auto"/>
        <w:left w:val="none" w:sz="0" w:space="0" w:color="auto"/>
        <w:bottom w:val="none" w:sz="0" w:space="0" w:color="auto"/>
        <w:right w:val="none" w:sz="0" w:space="0" w:color="auto"/>
      </w:divBdr>
    </w:div>
    <w:div w:id="487140285">
      <w:bodyDiv w:val="1"/>
      <w:marLeft w:val="0"/>
      <w:marRight w:val="0"/>
      <w:marTop w:val="0"/>
      <w:marBottom w:val="0"/>
      <w:divBdr>
        <w:top w:val="none" w:sz="0" w:space="0" w:color="auto"/>
        <w:left w:val="none" w:sz="0" w:space="0" w:color="auto"/>
        <w:bottom w:val="none" w:sz="0" w:space="0" w:color="auto"/>
        <w:right w:val="none" w:sz="0" w:space="0" w:color="auto"/>
      </w:divBdr>
    </w:div>
    <w:div w:id="491263527">
      <w:bodyDiv w:val="1"/>
      <w:marLeft w:val="0"/>
      <w:marRight w:val="0"/>
      <w:marTop w:val="0"/>
      <w:marBottom w:val="0"/>
      <w:divBdr>
        <w:top w:val="none" w:sz="0" w:space="0" w:color="auto"/>
        <w:left w:val="none" w:sz="0" w:space="0" w:color="auto"/>
        <w:bottom w:val="none" w:sz="0" w:space="0" w:color="auto"/>
        <w:right w:val="none" w:sz="0" w:space="0" w:color="auto"/>
      </w:divBdr>
    </w:div>
    <w:div w:id="513544023">
      <w:bodyDiv w:val="1"/>
      <w:marLeft w:val="0"/>
      <w:marRight w:val="0"/>
      <w:marTop w:val="0"/>
      <w:marBottom w:val="0"/>
      <w:divBdr>
        <w:top w:val="none" w:sz="0" w:space="0" w:color="auto"/>
        <w:left w:val="none" w:sz="0" w:space="0" w:color="auto"/>
        <w:bottom w:val="none" w:sz="0" w:space="0" w:color="auto"/>
        <w:right w:val="none" w:sz="0" w:space="0" w:color="auto"/>
      </w:divBdr>
    </w:div>
    <w:div w:id="522862732">
      <w:bodyDiv w:val="1"/>
      <w:marLeft w:val="0"/>
      <w:marRight w:val="0"/>
      <w:marTop w:val="0"/>
      <w:marBottom w:val="0"/>
      <w:divBdr>
        <w:top w:val="none" w:sz="0" w:space="0" w:color="auto"/>
        <w:left w:val="none" w:sz="0" w:space="0" w:color="auto"/>
        <w:bottom w:val="none" w:sz="0" w:space="0" w:color="auto"/>
        <w:right w:val="none" w:sz="0" w:space="0" w:color="auto"/>
      </w:divBdr>
    </w:div>
    <w:div w:id="526404192">
      <w:bodyDiv w:val="1"/>
      <w:marLeft w:val="0"/>
      <w:marRight w:val="0"/>
      <w:marTop w:val="0"/>
      <w:marBottom w:val="0"/>
      <w:divBdr>
        <w:top w:val="none" w:sz="0" w:space="0" w:color="auto"/>
        <w:left w:val="none" w:sz="0" w:space="0" w:color="auto"/>
        <w:bottom w:val="none" w:sz="0" w:space="0" w:color="auto"/>
        <w:right w:val="none" w:sz="0" w:space="0" w:color="auto"/>
      </w:divBdr>
    </w:div>
    <w:div w:id="549416814">
      <w:bodyDiv w:val="1"/>
      <w:marLeft w:val="0"/>
      <w:marRight w:val="0"/>
      <w:marTop w:val="0"/>
      <w:marBottom w:val="0"/>
      <w:divBdr>
        <w:top w:val="none" w:sz="0" w:space="0" w:color="auto"/>
        <w:left w:val="none" w:sz="0" w:space="0" w:color="auto"/>
        <w:bottom w:val="none" w:sz="0" w:space="0" w:color="auto"/>
        <w:right w:val="none" w:sz="0" w:space="0" w:color="auto"/>
      </w:divBdr>
    </w:div>
    <w:div w:id="556665085">
      <w:bodyDiv w:val="1"/>
      <w:marLeft w:val="0"/>
      <w:marRight w:val="0"/>
      <w:marTop w:val="0"/>
      <w:marBottom w:val="0"/>
      <w:divBdr>
        <w:top w:val="none" w:sz="0" w:space="0" w:color="auto"/>
        <w:left w:val="none" w:sz="0" w:space="0" w:color="auto"/>
        <w:bottom w:val="none" w:sz="0" w:space="0" w:color="auto"/>
        <w:right w:val="none" w:sz="0" w:space="0" w:color="auto"/>
      </w:divBdr>
    </w:div>
    <w:div w:id="558444333">
      <w:bodyDiv w:val="1"/>
      <w:marLeft w:val="0"/>
      <w:marRight w:val="0"/>
      <w:marTop w:val="0"/>
      <w:marBottom w:val="0"/>
      <w:divBdr>
        <w:top w:val="none" w:sz="0" w:space="0" w:color="auto"/>
        <w:left w:val="none" w:sz="0" w:space="0" w:color="auto"/>
        <w:bottom w:val="none" w:sz="0" w:space="0" w:color="auto"/>
        <w:right w:val="none" w:sz="0" w:space="0" w:color="auto"/>
      </w:divBdr>
    </w:div>
    <w:div w:id="572937293">
      <w:bodyDiv w:val="1"/>
      <w:marLeft w:val="0"/>
      <w:marRight w:val="0"/>
      <w:marTop w:val="0"/>
      <w:marBottom w:val="0"/>
      <w:divBdr>
        <w:top w:val="none" w:sz="0" w:space="0" w:color="auto"/>
        <w:left w:val="none" w:sz="0" w:space="0" w:color="auto"/>
        <w:bottom w:val="none" w:sz="0" w:space="0" w:color="auto"/>
        <w:right w:val="none" w:sz="0" w:space="0" w:color="auto"/>
      </w:divBdr>
    </w:div>
    <w:div w:id="635840027">
      <w:bodyDiv w:val="1"/>
      <w:marLeft w:val="0"/>
      <w:marRight w:val="0"/>
      <w:marTop w:val="0"/>
      <w:marBottom w:val="0"/>
      <w:divBdr>
        <w:top w:val="none" w:sz="0" w:space="0" w:color="auto"/>
        <w:left w:val="none" w:sz="0" w:space="0" w:color="auto"/>
        <w:bottom w:val="none" w:sz="0" w:space="0" w:color="auto"/>
        <w:right w:val="none" w:sz="0" w:space="0" w:color="auto"/>
      </w:divBdr>
    </w:div>
    <w:div w:id="652296486">
      <w:bodyDiv w:val="1"/>
      <w:marLeft w:val="0"/>
      <w:marRight w:val="0"/>
      <w:marTop w:val="0"/>
      <w:marBottom w:val="0"/>
      <w:divBdr>
        <w:top w:val="none" w:sz="0" w:space="0" w:color="auto"/>
        <w:left w:val="none" w:sz="0" w:space="0" w:color="auto"/>
        <w:bottom w:val="none" w:sz="0" w:space="0" w:color="auto"/>
        <w:right w:val="none" w:sz="0" w:space="0" w:color="auto"/>
      </w:divBdr>
    </w:div>
    <w:div w:id="660960581">
      <w:bodyDiv w:val="1"/>
      <w:marLeft w:val="0"/>
      <w:marRight w:val="0"/>
      <w:marTop w:val="0"/>
      <w:marBottom w:val="0"/>
      <w:divBdr>
        <w:top w:val="none" w:sz="0" w:space="0" w:color="auto"/>
        <w:left w:val="none" w:sz="0" w:space="0" w:color="auto"/>
        <w:bottom w:val="none" w:sz="0" w:space="0" w:color="auto"/>
        <w:right w:val="none" w:sz="0" w:space="0" w:color="auto"/>
      </w:divBdr>
    </w:div>
    <w:div w:id="666861114">
      <w:bodyDiv w:val="1"/>
      <w:marLeft w:val="0"/>
      <w:marRight w:val="0"/>
      <w:marTop w:val="0"/>
      <w:marBottom w:val="0"/>
      <w:divBdr>
        <w:top w:val="none" w:sz="0" w:space="0" w:color="auto"/>
        <w:left w:val="none" w:sz="0" w:space="0" w:color="auto"/>
        <w:bottom w:val="none" w:sz="0" w:space="0" w:color="auto"/>
        <w:right w:val="none" w:sz="0" w:space="0" w:color="auto"/>
      </w:divBdr>
    </w:div>
    <w:div w:id="677074200">
      <w:bodyDiv w:val="1"/>
      <w:marLeft w:val="0"/>
      <w:marRight w:val="0"/>
      <w:marTop w:val="0"/>
      <w:marBottom w:val="0"/>
      <w:divBdr>
        <w:top w:val="none" w:sz="0" w:space="0" w:color="auto"/>
        <w:left w:val="none" w:sz="0" w:space="0" w:color="auto"/>
        <w:bottom w:val="none" w:sz="0" w:space="0" w:color="auto"/>
        <w:right w:val="none" w:sz="0" w:space="0" w:color="auto"/>
      </w:divBdr>
    </w:div>
    <w:div w:id="679701973">
      <w:bodyDiv w:val="1"/>
      <w:marLeft w:val="0"/>
      <w:marRight w:val="0"/>
      <w:marTop w:val="0"/>
      <w:marBottom w:val="0"/>
      <w:divBdr>
        <w:top w:val="none" w:sz="0" w:space="0" w:color="auto"/>
        <w:left w:val="none" w:sz="0" w:space="0" w:color="auto"/>
        <w:bottom w:val="none" w:sz="0" w:space="0" w:color="auto"/>
        <w:right w:val="none" w:sz="0" w:space="0" w:color="auto"/>
      </w:divBdr>
    </w:div>
    <w:div w:id="685864473">
      <w:bodyDiv w:val="1"/>
      <w:marLeft w:val="0"/>
      <w:marRight w:val="0"/>
      <w:marTop w:val="0"/>
      <w:marBottom w:val="0"/>
      <w:divBdr>
        <w:top w:val="none" w:sz="0" w:space="0" w:color="auto"/>
        <w:left w:val="none" w:sz="0" w:space="0" w:color="auto"/>
        <w:bottom w:val="none" w:sz="0" w:space="0" w:color="auto"/>
        <w:right w:val="none" w:sz="0" w:space="0" w:color="auto"/>
      </w:divBdr>
    </w:div>
    <w:div w:id="726729322">
      <w:bodyDiv w:val="1"/>
      <w:marLeft w:val="0"/>
      <w:marRight w:val="0"/>
      <w:marTop w:val="0"/>
      <w:marBottom w:val="0"/>
      <w:divBdr>
        <w:top w:val="none" w:sz="0" w:space="0" w:color="auto"/>
        <w:left w:val="none" w:sz="0" w:space="0" w:color="auto"/>
        <w:bottom w:val="none" w:sz="0" w:space="0" w:color="auto"/>
        <w:right w:val="none" w:sz="0" w:space="0" w:color="auto"/>
      </w:divBdr>
    </w:div>
    <w:div w:id="785084538">
      <w:bodyDiv w:val="1"/>
      <w:marLeft w:val="0"/>
      <w:marRight w:val="0"/>
      <w:marTop w:val="0"/>
      <w:marBottom w:val="0"/>
      <w:divBdr>
        <w:top w:val="none" w:sz="0" w:space="0" w:color="auto"/>
        <w:left w:val="none" w:sz="0" w:space="0" w:color="auto"/>
        <w:bottom w:val="none" w:sz="0" w:space="0" w:color="auto"/>
        <w:right w:val="none" w:sz="0" w:space="0" w:color="auto"/>
      </w:divBdr>
    </w:div>
    <w:div w:id="791021916">
      <w:bodyDiv w:val="1"/>
      <w:marLeft w:val="0"/>
      <w:marRight w:val="0"/>
      <w:marTop w:val="0"/>
      <w:marBottom w:val="0"/>
      <w:divBdr>
        <w:top w:val="none" w:sz="0" w:space="0" w:color="auto"/>
        <w:left w:val="none" w:sz="0" w:space="0" w:color="auto"/>
        <w:bottom w:val="none" w:sz="0" w:space="0" w:color="auto"/>
        <w:right w:val="none" w:sz="0" w:space="0" w:color="auto"/>
      </w:divBdr>
    </w:div>
    <w:div w:id="819736937">
      <w:bodyDiv w:val="1"/>
      <w:marLeft w:val="0"/>
      <w:marRight w:val="0"/>
      <w:marTop w:val="0"/>
      <w:marBottom w:val="0"/>
      <w:divBdr>
        <w:top w:val="none" w:sz="0" w:space="0" w:color="auto"/>
        <w:left w:val="none" w:sz="0" w:space="0" w:color="auto"/>
        <w:bottom w:val="none" w:sz="0" w:space="0" w:color="auto"/>
        <w:right w:val="none" w:sz="0" w:space="0" w:color="auto"/>
      </w:divBdr>
    </w:div>
    <w:div w:id="822820283">
      <w:bodyDiv w:val="1"/>
      <w:marLeft w:val="0"/>
      <w:marRight w:val="0"/>
      <w:marTop w:val="0"/>
      <w:marBottom w:val="0"/>
      <w:divBdr>
        <w:top w:val="none" w:sz="0" w:space="0" w:color="auto"/>
        <w:left w:val="none" w:sz="0" w:space="0" w:color="auto"/>
        <w:bottom w:val="none" w:sz="0" w:space="0" w:color="auto"/>
        <w:right w:val="none" w:sz="0" w:space="0" w:color="auto"/>
      </w:divBdr>
    </w:div>
    <w:div w:id="834304680">
      <w:bodyDiv w:val="1"/>
      <w:marLeft w:val="0"/>
      <w:marRight w:val="0"/>
      <w:marTop w:val="0"/>
      <w:marBottom w:val="0"/>
      <w:divBdr>
        <w:top w:val="none" w:sz="0" w:space="0" w:color="auto"/>
        <w:left w:val="none" w:sz="0" w:space="0" w:color="auto"/>
        <w:bottom w:val="none" w:sz="0" w:space="0" w:color="auto"/>
        <w:right w:val="none" w:sz="0" w:space="0" w:color="auto"/>
      </w:divBdr>
    </w:div>
    <w:div w:id="835388530">
      <w:bodyDiv w:val="1"/>
      <w:marLeft w:val="0"/>
      <w:marRight w:val="0"/>
      <w:marTop w:val="0"/>
      <w:marBottom w:val="0"/>
      <w:divBdr>
        <w:top w:val="none" w:sz="0" w:space="0" w:color="auto"/>
        <w:left w:val="none" w:sz="0" w:space="0" w:color="auto"/>
        <w:bottom w:val="none" w:sz="0" w:space="0" w:color="auto"/>
        <w:right w:val="none" w:sz="0" w:space="0" w:color="auto"/>
      </w:divBdr>
    </w:div>
    <w:div w:id="889002181">
      <w:bodyDiv w:val="1"/>
      <w:marLeft w:val="0"/>
      <w:marRight w:val="0"/>
      <w:marTop w:val="0"/>
      <w:marBottom w:val="0"/>
      <w:divBdr>
        <w:top w:val="none" w:sz="0" w:space="0" w:color="auto"/>
        <w:left w:val="none" w:sz="0" w:space="0" w:color="auto"/>
        <w:bottom w:val="none" w:sz="0" w:space="0" w:color="auto"/>
        <w:right w:val="none" w:sz="0" w:space="0" w:color="auto"/>
      </w:divBdr>
    </w:div>
    <w:div w:id="889465355">
      <w:bodyDiv w:val="1"/>
      <w:marLeft w:val="0"/>
      <w:marRight w:val="0"/>
      <w:marTop w:val="0"/>
      <w:marBottom w:val="0"/>
      <w:divBdr>
        <w:top w:val="none" w:sz="0" w:space="0" w:color="auto"/>
        <w:left w:val="none" w:sz="0" w:space="0" w:color="auto"/>
        <w:bottom w:val="none" w:sz="0" w:space="0" w:color="auto"/>
        <w:right w:val="none" w:sz="0" w:space="0" w:color="auto"/>
      </w:divBdr>
    </w:div>
    <w:div w:id="892470677">
      <w:bodyDiv w:val="1"/>
      <w:marLeft w:val="0"/>
      <w:marRight w:val="0"/>
      <w:marTop w:val="0"/>
      <w:marBottom w:val="0"/>
      <w:divBdr>
        <w:top w:val="none" w:sz="0" w:space="0" w:color="auto"/>
        <w:left w:val="none" w:sz="0" w:space="0" w:color="auto"/>
        <w:bottom w:val="none" w:sz="0" w:space="0" w:color="auto"/>
        <w:right w:val="none" w:sz="0" w:space="0" w:color="auto"/>
      </w:divBdr>
    </w:div>
    <w:div w:id="905529561">
      <w:bodyDiv w:val="1"/>
      <w:marLeft w:val="0"/>
      <w:marRight w:val="0"/>
      <w:marTop w:val="0"/>
      <w:marBottom w:val="0"/>
      <w:divBdr>
        <w:top w:val="none" w:sz="0" w:space="0" w:color="auto"/>
        <w:left w:val="none" w:sz="0" w:space="0" w:color="auto"/>
        <w:bottom w:val="none" w:sz="0" w:space="0" w:color="auto"/>
        <w:right w:val="none" w:sz="0" w:space="0" w:color="auto"/>
      </w:divBdr>
    </w:div>
    <w:div w:id="924845991">
      <w:bodyDiv w:val="1"/>
      <w:marLeft w:val="0"/>
      <w:marRight w:val="0"/>
      <w:marTop w:val="0"/>
      <w:marBottom w:val="0"/>
      <w:divBdr>
        <w:top w:val="none" w:sz="0" w:space="0" w:color="auto"/>
        <w:left w:val="none" w:sz="0" w:space="0" w:color="auto"/>
        <w:bottom w:val="none" w:sz="0" w:space="0" w:color="auto"/>
        <w:right w:val="none" w:sz="0" w:space="0" w:color="auto"/>
      </w:divBdr>
    </w:div>
    <w:div w:id="939411995">
      <w:bodyDiv w:val="1"/>
      <w:marLeft w:val="0"/>
      <w:marRight w:val="0"/>
      <w:marTop w:val="0"/>
      <w:marBottom w:val="0"/>
      <w:divBdr>
        <w:top w:val="none" w:sz="0" w:space="0" w:color="auto"/>
        <w:left w:val="none" w:sz="0" w:space="0" w:color="auto"/>
        <w:bottom w:val="none" w:sz="0" w:space="0" w:color="auto"/>
        <w:right w:val="none" w:sz="0" w:space="0" w:color="auto"/>
      </w:divBdr>
    </w:div>
    <w:div w:id="965887335">
      <w:bodyDiv w:val="1"/>
      <w:marLeft w:val="0"/>
      <w:marRight w:val="0"/>
      <w:marTop w:val="0"/>
      <w:marBottom w:val="0"/>
      <w:divBdr>
        <w:top w:val="none" w:sz="0" w:space="0" w:color="auto"/>
        <w:left w:val="none" w:sz="0" w:space="0" w:color="auto"/>
        <w:bottom w:val="none" w:sz="0" w:space="0" w:color="auto"/>
        <w:right w:val="none" w:sz="0" w:space="0" w:color="auto"/>
      </w:divBdr>
    </w:div>
    <w:div w:id="973288040">
      <w:bodyDiv w:val="1"/>
      <w:marLeft w:val="0"/>
      <w:marRight w:val="0"/>
      <w:marTop w:val="0"/>
      <w:marBottom w:val="0"/>
      <w:divBdr>
        <w:top w:val="none" w:sz="0" w:space="0" w:color="auto"/>
        <w:left w:val="none" w:sz="0" w:space="0" w:color="auto"/>
        <w:bottom w:val="none" w:sz="0" w:space="0" w:color="auto"/>
        <w:right w:val="none" w:sz="0" w:space="0" w:color="auto"/>
      </w:divBdr>
    </w:div>
    <w:div w:id="993341081">
      <w:bodyDiv w:val="1"/>
      <w:marLeft w:val="0"/>
      <w:marRight w:val="0"/>
      <w:marTop w:val="0"/>
      <w:marBottom w:val="0"/>
      <w:divBdr>
        <w:top w:val="none" w:sz="0" w:space="0" w:color="auto"/>
        <w:left w:val="none" w:sz="0" w:space="0" w:color="auto"/>
        <w:bottom w:val="none" w:sz="0" w:space="0" w:color="auto"/>
        <w:right w:val="none" w:sz="0" w:space="0" w:color="auto"/>
      </w:divBdr>
    </w:div>
    <w:div w:id="1011033724">
      <w:bodyDiv w:val="1"/>
      <w:marLeft w:val="0"/>
      <w:marRight w:val="0"/>
      <w:marTop w:val="0"/>
      <w:marBottom w:val="0"/>
      <w:divBdr>
        <w:top w:val="none" w:sz="0" w:space="0" w:color="auto"/>
        <w:left w:val="none" w:sz="0" w:space="0" w:color="auto"/>
        <w:bottom w:val="none" w:sz="0" w:space="0" w:color="auto"/>
        <w:right w:val="none" w:sz="0" w:space="0" w:color="auto"/>
      </w:divBdr>
    </w:div>
    <w:div w:id="1011950817">
      <w:bodyDiv w:val="1"/>
      <w:marLeft w:val="0"/>
      <w:marRight w:val="0"/>
      <w:marTop w:val="0"/>
      <w:marBottom w:val="0"/>
      <w:divBdr>
        <w:top w:val="none" w:sz="0" w:space="0" w:color="auto"/>
        <w:left w:val="none" w:sz="0" w:space="0" w:color="auto"/>
        <w:bottom w:val="none" w:sz="0" w:space="0" w:color="auto"/>
        <w:right w:val="none" w:sz="0" w:space="0" w:color="auto"/>
      </w:divBdr>
    </w:div>
    <w:div w:id="1015349894">
      <w:bodyDiv w:val="1"/>
      <w:marLeft w:val="0"/>
      <w:marRight w:val="0"/>
      <w:marTop w:val="0"/>
      <w:marBottom w:val="0"/>
      <w:divBdr>
        <w:top w:val="none" w:sz="0" w:space="0" w:color="auto"/>
        <w:left w:val="none" w:sz="0" w:space="0" w:color="auto"/>
        <w:bottom w:val="none" w:sz="0" w:space="0" w:color="auto"/>
        <w:right w:val="none" w:sz="0" w:space="0" w:color="auto"/>
      </w:divBdr>
    </w:div>
    <w:div w:id="1033578698">
      <w:bodyDiv w:val="1"/>
      <w:marLeft w:val="0"/>
      <w:marRight w:val="0"/>
      <w:marTop w:val="0"/>
      <w:marBottom w:val="0"/>
      <w:divBdr>
        <w:top w:val="none" w:sz="0" w:space="0" w:color="auto"/>
        <w:left w:val="none" w:sz="0" w:space="0" w:color="auto"/>
        <w:bottom w:val="none" w:sz="0" w:space="0" w:color="auto"/>
        <w:right w:val="none" w:sz="0" w:space="0" w:color="auto"/>
      </w:divBdr>
    </w:div>
    <w:div w:id="1067410954">
      <w:bodyDiv w:val="1"/>
      <w:marLeft w:val="0"/>
      <w:marRight w:val="0"/>
      <w:marTop w:val="0"/>
      <w:marBottom w:val="0"/>
      <w:divBdr>
        <w:top w:val="none" w:sz="0" w:space="0" w:color="auto"/>
        <w:left w:val="none" w:sz="0" w:space="0" w:color="auto"/>
        <w:bottom w:val="none" w:sz="0" w:space="0" w:color="auto"/>
        <w:right w:val="none" w:sz="0" w:space="0" w:color="auto"/>
      </w:divBdr>
    </w:div>
    <w:div w:id="1089960970">
      <w:bodyDiv w:val="1"/>
      <w:marLeft w:val="0"/>
      <w:marRight w:val="0"/>
      <w:marTop w:val="0"/>
      <w:marBottom w:val="0"/>
      <w:divBdr>
        <w:top w:val="none" w:sz="0" w:space="0" w:color="auto"/>
        <w:left w:val="none" w:sz="0" w:space="0" w:color="auto"/>
        <w:bottom w:val="none" w:sz="0" w:space="0" w:color="auto"/>
        <w:right w:val="none" w:sz="0" w:space="0" w:color="auto"/>
      </w:divBdr>
    </w:div>
    <w:div w:id="1109348582">
      <w:bodyDiv w:val="1"/>
      <w:marLeft w:val="0"/>
      <w:marRight w:val="0"/>
      <w:marTop w:val="0"/>
      <w:marBottom w:val="0"/>
      <w:divBdr>
        <w:top w:val="none" w:sz="0" w:space="0" w:color="auto"/>
        <w:left w:val="none" w:sz="0" w:space="0" w:color="auto"/>
        <w:bottom w:val="none" w:sz="0" w:space="0" w:color="auto"/>
        <w:right w:val="none" w:sz="0" w:space="0" w:color="auto"/>
      </w:divBdr>
    </w:div>
    <w:div w:id="1128668194">
      <w:bodyDiv w:val="1"/>
      <w:marLeft w:val="0"/>
      <w:marRight w:val="0"/>
      <w:marTop w:val="0"/>
      <w:marBottom w:val="0"/>
      <w:divBdr>
        <w:top w:val="none" w:sz="0" w:space="0" w:color="auto"/>
        <w:left w:val="none" w:sz="0" w:space="0" w:color="auto"/>
        <w:bottom w:val="none" w:sz="0" w:space="0" w:color="auto"/>
        <w:right w:val="none" w:sz="0" w:space="0" w:color="auto"/>
      </w:divBdr>
    </w:div>
    <w:div w:id="1140272434">
      <w:bodyDiv w:val="1"/>
      <w:marLeft w:val="0"/>
      <w:marRight w:val="0"/>
      <w:marTop w:val="0"/>
      <w:marBottom w:val="0"/>
      <w:divBdr>
        <w:top w:val="none" w:sz="0" w:space="0" w:color="auto"/>
        <w:left w:val="none" w:sz="0" w:space="0" w:color="auto"/>
        <w:bottom w:val="none" w:sz="0" w:space="0" w:color="auto"/>
        <w:right w:val="none" w:sz="0" w:space="0" w:color="auto"/>
      </w:divBdr>
    </w:div>
    <w:div w:id="1141267853">
      <w:bodyDiv w:val="1"/>
      <w:marLeft w:val="0"/>
      <w:marRight w:val="0"/>
      <w:marTop w:val="0"/>
      <w:marBottom w:val="0"/>
      <w:divBdr>
        <w:top w:val="none" w:sz="0" w:space="0" w:color="auto"/>
        <w:left w:val="none" w:sz="0" w:space="0" w:color="auto"/>
        <w:bottom w:val="none" w:sz="0" w:space="0" w:color="auto"/>
        <w:right w:val="none" w:sz="0" w:space="0" w:color="auto"/>
      </w:divBdr>
    </w:div>
    <w:div w:id="1143277255">
      <w:bodyDiv w:val="1"/>
      <w:marLeft w:val="0"/>
      <w:marRight w:val="0"/>
      <w:marTop w:val="0"/>
      <w:marBottom w:val="0"/>
      <w:divBdr>
        <w:top w:val="none" w:sz="0" w:space="0" w:color="auto"/>
        <w:left w:val="none" w:sz="0" w:space="0" w:color="auto"/>
        <w:bottom w:val="none" w:sz="0" w:space="0" w:color="auto"/>
        <w:right w:val="none" w:sz="0" w:space="0" w:color="auto"/>
      </w:divBdr>
    </w:div>
    <w:div w:id="1146357816">
      <w:bodyDiv w:val="1"/>
      <w:marLeft w:val="0"/>
      <w:marRight w:val="0"/>
      <w:marTop w:val="0"/>
      <w:marBottom w:val="0"/>
      <w:divBdr>
        <w:top w:val="none" w:sz="0" w:space="0" w:color="auto"/>
        <w:left w:val="none" w:sz="0" w:space="0" w:color="auto"/>
        <w:bottom w:val="none" w:sz="0" w:space="0" w:color="auto"/>
        <w:right w:val="none" w:sz="0" w:space="0" w:color="auto"/>
      </w:divBdr>
    </w:div>
    <w:div w:id="1147237880">
      <w:bodyDiv w:val="1"/>
      <w:marLeft w:val="0"/>
      <w:marRight w:val="0"/>
      <w:marTop w:val="0"/>
      <w:marBottom w:val="0"/>
      <w:divBdr>
        <w:top w:val="none" w:sz="0" w:space="0" w:color="auto"/>
        <w:left w:val="none" w:sz="0" w:space="0" w:color="auto"/>
        <w:bottom w:val="none" w:sz="0" w:space="0" w:color="auto"/>
        <w:right w:val="none" w:sz="0" w:space="0" w:color="auto"/>
      </w:divBdr>
    </w:div>
    <w:div w:id="1164322887">
      <w:bodyDiv w:val="1"/>
      <w:marLeft w:val="0"/>
      <w:marRight w:val="0"/>
      <w:marTop w:val="0"/>
      <w:marBottom w:val="0"/>
      <w:divBdr>
        <w:top w:val="none" w:sz="0" w:space="0" w:color="auto"/>
        <w:left w:val="none" w:sz="0" w:space="0" w:color="auto"/>
        <w:bottom w:val="none" w:sz="0" w:space="0" w:color="auto"/>
        <w:right w:val="none" w:sz="0" w:space="0" w:color="auto"/>
      </w:divBdr>
    </w:div>
    <w:div w:id="1183325407">
      <w:bodyDiv w:val="1"/>
      <w:marLeft w:val="0"/>
      <w:marRight w:val="0"/>
      <w:marTop w:val="0"/>
      <w:marBottom w:val="0"/>
      <w:divBdr>
        <w:top w:val="none" w:sz="0" w:space="0" w:color="auto"/>
        <w:left w:val="none" w:sz="0" w:space="0" w:color="auto"/>
        <w:bottom w:val="none" w:sz="0" w:space="0" w:color="auto"/>
        <w:right w:val="none" w:sz="0" w:space="0" w:color="auto"/>
      </w:divBdr>
    </w:div>
    <w:div w:id="1185972199">
      <w:bodyDiv w:val="1"/>
      <w:marLeft w:val="0"/>
      <w:marRight w:val="0"/>
      <w:marTop w:val="0"/>
      <w:marBottom w:val="0"/>
      <w:divBdr>
        <w:top w:val="none" w:sz="0" w:space="0" w:color="auto"/>
        <w:left w:val="none" w:sz="0" w:space="0" w:color="auto"/>
        <w:bottom w:val="none" w:sz="0" w:space="0" w:color="auto"/>
        <w:right w:val="none" w:sz="0" w:space="0" w:color="auto"/>
      </w:divBdr>
    </w:div>
    <w:div w:id="1221331631">
      <w:bodyDiv w:val="1"/>
      <w:marLeft w:val="0"/>
      <w:marRight w:val="0"/>
      <w:marTop w:val="0"/>
      <w:marBottom w:val="0"/>
      <w:divBdr>
        <w:top w:val="none" w:sz="0" w:space="0" w:color="auto"/>
        <w:left w:val="none" w:sz="0" w:space="0" w:color="auto"/>
        <w:bottom w:val="none" w:sz="0" w:space="0" w:color="auto"/>
        <w:right w:val="none" w:sz="0" w:space="0" w:color="auto"/>
      </w:divBdr>
    </w:div>
    <w:div w:id="1260408023">
      <w:bodyDiv w:val="1"/>
      <w:marLeft w:val="0"/>
      <w:marRight w:val="0"/>
      <w:marTop w:val="0"/>
      <w:marBottom w:val="0"/>
      <w:divBdr>
        <w:top w:val="none" w:sz="0" w:space="0" w:color="auto"/>
        <w:left w:val="none" w:sz="0" w:space="0" w:color="auto"/>
        <w:bottom w:val="none" w:sz="0" w:space="0" w:color="auto"/>
        <w:right w:val="none" w:sz="0" w:space="0" w:color="auto"/>
      </w:divBdr>
    </w:div>
    <w:div w:id="1262688156">
      <w:bodyDiv w:val="1"/>
      <w:marLeft w:val="0"/>
      <w:marRight w:val="0"/>
      <w:marTop w:val="0"/>
      <w:marBottom w:val="0"/>
      <w:divBdr>
        <w:top w:val="none" w:sz="0" w:space="0" w:color="auto"/>
        <w:left w:val="none" w:sz="0" w:space="0" w:color="auto"/>
        <w:bottom w:val="none" w:sz="0" w:space="0" w:color="auto"/>
        <w:right w:val="none" w:sz="0" w:space="0" w:color="auto"/>
      </w:divBdr>
    </w:div>
    <w:div w:id="1266383331">
      <w:bodyDiv w:val="1"/>
      <w:marLeft w:val="0"/>
      <w:marRight w:val="0"/>
      <w:marTop w:val="0"/>
      <w:marBottom w:val="0"/>
      <w:divBdr>
        <w:top w:val="none" w:sz="0" w:space="0" w:color="auto"/>
        <w:left w:val="none" w:sz="0" w:space="0" w:color="auto"/>
        <w:bottom w:val="none" w:sz="0" w:space="0" w:color="auto"/>
        <w:right w:val="none" w:sz="0" w:space="0" w:color="auto"/>
      </w:divBdr>
    </w:div>
    <w:div w:id="1277370778">
      <w:bodyDiv w:val="1"/>
      <w:marLeft w:val="0"/>
      <w:marRight w:val="0"/>
      <w:marTop w:val="0"/>
      <w:marBottom w:val="0"/>
      <w:divBdr>
        <w:top w:val="none" w:sz="0" w:space="0" w:color="auto"/>
        <w:left w:val="none" w:sz="0" w:space="0" w:color="auto"/>
        <w:bottom w:val="none" w:sz="0" w:space="0" w:color="auto"/>
        <w:right w:val="none" w:sz="0" w:space="0" w:color="auto"/>
      </w:divBdr>
    </w:div>
    <w:div w:id="1310131595">
      <w:bodyDiv w:val="1"/>
      <w:marLeft w:val="0"/>
      <w:marRight w:val="0"/>
      <w:marTop w:val="0"/>
      <w:marBottom w:val="0"/>
      <w:divBdr>
        <w:top w:val="none" w:sz="0" w:space="0" w:color="auto"/>
        <w:left w:val="none" w:sz="0" w:space="0" w:color="auto"/>
        <w:bottom w:val="none" w:sz="0" w:space="0" w:color="auto"/>
        <w:right w:val="none" w:sz="0" w:space="0" w:color="auto"/>
      </w:divBdr>
    </w:div>
    <w:div w:id="1323924227">
      <w:bodyDiv w:val="1"/>
      <w:marLeft w:val="0"/>
      <w:marRight w:val="0"/>
      <w:marTop w:val="0"/>
      <w:marBottom w:val="0"/>
      <w:divBdr>
        <w:top w:val="none" w:sz="0" w:space="0" w:color="auto"/>
        <w:left w:val="none" w:sz="0" w:space="0" w:color="auto"/>
        <w:bottom w:val="none" w:sz="0" w:space="0" w:color="auto"/>
        <w:right w:val="none" w:sz="0" w:space="0" w:color="auto"/>
      </w:divBdr>
    </w:div>
    <w:div w:id="1339649849">
      <w:bodyDiv w:val="1"/>
      <w:marLeft w:val="0"/>
      <w:marRight w:val="0"/>
      <w:marTop w:val="0"/>
      <w:marBottom w:val="0"/>
      <w:divBdr>
        <w:top w:val="none" w:sz="0" w:space="0" w:color="auto"/>
        <w:left w:val="none" w:sz="0" w:space="0" w:color="auto"/>
        <w:bottom w:val="none" w:sz="0" w:space="0" w:color="auto"/>
        <w:right w:val="none" w:sz="0" w:space="0" w:color="auto"/>
      </w:divBdr>
    </w:div>
    <w:div w:id="1341664609">
      <w:bodyDiv w:val="1"/>
      <w:marLeft w:val="0"/>
      <w:marRight w:val="0"/>
      <w:marTop w:val="0"/>
      <w:marBottom w:val="0"/>
      <w:divBdr>
        <w:top w:val="none" w:sz="0" w:space="0" w:color="auto"/>
        <w:left w:val="none" w:sz="0" w:space="0" w:color="auto"/>
        <w:bottom w:val="none" w:sz="0" w:space="0" w:color="auto"/>
        <w:right w:val="none" w:sz="0" w:space="0" w:color="auto"/>
      </w:divBdr>
    </w:div>
    <w:div w:id="1343707868">
      <w:bodyDiv w:val="1"/>
      <w:marLeft w:val="0"/>
      <w:marRight w:val="0"/>
      <w:marTop w:val="0"/>
      <w:marBottom w:val="0"/>
      <w:divBdr>
        <w:top w:val="none" w:sz="0" w:space="0" w:color="auto"/>
        <w:left w:val="none" w:sz="0" w:space="0" w:color="auto"/>
        <w:bottom w:val="none" w:sz="0" w:space="0" w:color="auto"/>
        <w:right w:val="none" w:sz="0" w:space="0" w:color="auto"/>
      </w:divBdr>
    </w:div>
    <w:div w:id="1361856959">
      <w:bodyDiv w:val="1"/>
      <w:marLeft w:val="0"/>
      <w:marRight w:val="0"/>
      <w:marTop w:val="0"/>
      <w:marBottom w:val="0"/>
      <w:divBdr>
        <w:top w:val="none" w:sz="0" w:space="0" w:color="auto"/>
        <w:left w:val="none" w:sz="0" w:space="0" w:color="auto"/>
        <w:bottom w:val="none" w:sz="0" w:space="0" w:color="auto"/>
        <w:right w:val="none" w:sz="0" w:space="0" w:color="auto"/>
      </w:divBdr>
    </w:div>
    <w:div w:id="1370953237">
      <w:bodyDiv w:val="1"/>
      <w:marLeft w:val="0"/>
      <w:marRight w:val="0"/>
      <w:marTop w:val="0"/>
      <w:marBottom w:val="0"/>
      <w:divBdr>
        <w:top w:val="none" w:sz="0" w:space="0" w:color="auto"/>
        <w:left w:val="none" w:sz="0" w:space="0" w:color="auto"/>
        <w:bottom w:val="none" w:sz="0" w:space="0" w:color="auto"/>
        <w:right w:val="none" w:sz="0" w:space="0" w:color="auto"/>
      </w:divBdr>
    </w:div>
    <w:div w:id="1381321401">
      <w:bodyDiv w:val="1"/>
      <w:marLeft w:val="0"/>
      <w:marRight w:val="0"/>
      <w:marTop w:val="0"/>
      <w:marBottom w:val="0"/>
      <w:divBdr>
        <w:top w:val="none" w:sz="0" w:space="0" w:color="auto"/>
        <w:left w:val="none" w:sz="0" w:space="0" w:color="auto"/>
        <w:bottom w:val="none" w:sz="0" w:space="0" w:color="auto"/>
        <w:right w:val="none" w:sz="0" w:space="0" w:color="auto"/>
      </w:divBdr>
    </w:div>
    <w:div w:id="1416240647">
      <w:bodyDiv w:val="1"/>
      <w:marLeft w:val="0"/>
      <w:marRight w:val="0"/>
      <w:marTop w:val="0"/>
      <w:marBottom w:val="0"/>
      <w:divBdr>
        <w:top w:val="none" w:sz="0" w:space="0" w:color="auto"/>
        <w:left w:val="none" w:sz="0" w:space="0" w:color="auto"/>
        <w:bottom w:val="none" w:sz="0" w:space="0" w:color="auto"/>
        <w:right w:val="none" w:sz="0" w:space="0" w:color="auto"/>
      </w:divBdr>
    </w:div>
    <w:div w:id="1423376949">
      <w:bodyDiv w:val="1"/>
      <w:marLeft w:val="0"/>
      <w:marRight w:val="0"/>
      <w:marTop w:val="0"/>
      <w:marBottom w:val="0"/>
      <w:divBdr>
        <w:top w:val="none" w:sz="0" w:space="0" w:color="auto"/>
        <w:left w:val="none" w:sz="0" w:space="0" w:color="auto"/>
        <w:bottom w:val="none" w:sz="0" w:space="0" w:color="auto"/>
        <w:right w:val="none" w:sz="0" w:space="0" w:color="auto"/>
      </w:divBdr>
    </w:div>
    <w:div w:id="1431776311">
      <w:bodyDiv w:val="1"/>
      <w:marLeft w:val="0"/>
      <w:marRight w:val="0"/>
      <w:marTop w:val="0"/>
      <w:marBottom w:val="0"/>
      <w:divBdr>
        <w:top w:val="none" w:sz="0" w:space="0" w:color="auto"/>
        <w:left w:val="none" w:sz="0" w:space="0" w:color="auto"/>
        <w:bottom w:val="none" w:sz="0" w:space="0" w:color="auto"/>
        <w:right w:val="none" w:sz="0" w:space="0" w:color="auto"/>
      </w:divBdr>
    </w:div>
    <w:div w:id="1456634375">
      <w:bodyDiv w:val="1"/>
      <w:marLeft w:val="0"/>
      <w:marRight w:val="0"/>
      <w:marTop w:val="0"/>
      <w:marBottom w:val="0"/>
      <w:divBdr>
        <w:top w:val="none" w:sz="0" w:space="0" w:color="auto"/>
        <w:left w:val="none" w:sz="0" w:space="0" w:color="auto"/>
        <w:bottom w:val="none" w:sz="0" w:space="0" w:color="auto"/>
        <w:right w:val="none" w:sz="0" w:space="0" w:color="auto"/>
      </w:divBdr>
    </w:div>
    <w:div w:id="1458378099">
      <w:bodyDiv w:val="1"/>
      <w:marLeft w:val="0"/>
      <w:marRight w:val="0"/>
      <w:marTop w:val="0"/>
      <w:marBottom w:val="0"/>
      <w:divBdr>
        <w:top w:val="none" w:sz="0" w:space="0" w:color="auto"/>
        <w:left w:val="none" w:sz="0" w:space="0" w:color="auto"/>
        <w:bottom w:val="none" w:sz="0" w:space="0" w:color="auto"/>
        <w:right w:val="none" w:sz="0" w:space="0" w:color="auto"/>
      </w:divBdr>
    </w:div>
    <w:div w:id="1474911402">
      <w:bodyDiv w:val="1"/>
      <w:marLeft w:val="0"/>
      <w:marRight w:val="0"/>
      <w:marTop w:val="0"/>
      <w:marBottom w:val="0"/>
      <w:divBdr>
        <w:top w:val="none" w:sz="0" w:space="0" w:color="auto"/>
        <w:left w:val="none" w:sz="0" w:space="0" w:color="auto"/>
        <w:bottom w:val="none" w:sz="0" w:space="0" w:color="auto"/>
        <w:right w:val="none" w:sz="0" w:space="0" w:color="auto"/>
      </w:divBdr>
    </w:div>
    <w:div w:id="1486555735">
      <w:bodyDiv w:val="1"/>
      <w:marLeft w:val="0"/>
      <w:marRight w:val="0"/>
      <w:marTop w:val="0"/>
      <w:marBottom w:val="0"/>
      <w:divBdr>
        <w:top w:val="none" w:sz="0" w:space="0" w:color="auto"/>
        <w:left w:val="none" w:sz="0" w:space="0" w:color="auto"/>
        <w:bottom w:val="none" w:sz="0" w:space="0" w:color="auto"/>
        <w:right w:val="none" w:sz="0" w:space="0" w:color="auto"/>
      </w:divBdr>
    </w:div>
    <w:div w:id="1494495139">
      <w:bodyDiv w:val="1"/>
      <w:marLeft w:val="0"/>
      <w:marRight w:val="0"/>
      <w:marTop w:val="0"/>
      <w:marBottom w:val="0"/>
      <w:divBdr>
        <w:top w:val="none" w:sz="0" w:space="0" w:color="auto"/>
        <w:left w:val="none" w:sz="0" w:space="0" w:color="auto"/>
        <w:bottom w:val="none" w:sz="0" w:space="0" w:color="auto"/>
        <w:right w:val="none" w:sz="0" w:space="0" w:color="auto"/>
      </w:divBdr>
    </w:div>
    <w:div w:id="1511338415">
      <w:bodyDiv w:val="1"/>
      <w:marLeft w:val="0"/>
      <w:marRight w:val="0"/>
      <w:marTop w:val="0"/>
      <w:marBottom w:val="0"/>
      <w:divBdr>
        <w:top w:val="none" w:sz="0" w:space="0" w:color="auto"/>
        <w:left w:val="none" w:sz="0" w:space="0" w:color="auto"/>
        <w:bottom w:val="none" w:sz="0" w:space="0" w:color="auto"/>
        <w:right w:val="none" w:sz="0" w:space="0" w:color="auto"/>
      </w:divBdr>
    </w:div>
    <w:div w:id="1531843294">
      <w:bodyDiv w:val="1"/>
      <w:marLeft w:val="0"/>
      <w:marRight w:val="0"/>
      <w:marTop w:val="0"/>
      <w:marBottom w:val="0"/>
      <w:divBdr>
        <w:top w:val="none" w:sz="0" w:space="0" w:color="auto"/>
        <w:left w:val="none" w:sz="0" w:space="0" w:color="auto"/>
        <w:bottom w:val="none" w:sz="0" w:space="0" w:color="auto"/>
        <w:right w:val="none" w:sz="0" w:space="0" w:color="auto"/>
      </w:divBdr>
    </w:div>
    <w:div w:id="1531988168">
      <w:bodyDiv w:val="1"/>
      <w:marLeft w:val="0"/>
      <w:marRight w:val="0"/>
      <w:marTop w:val="0"/>
      <w:marBottom w:val="0"/>
      <w:divBdr>
        <w:top w:val="none" w:sz="0" w:space="0" w:color="auto"/>
        <w:left w:val="none" w:sz="0" w:space="0" w:color="auto"/>
        <w:bottom w:val="none" w:sz="0" w:space="0" w:color="auto"/>
        <w:right w:val="none" w:sz="0" w:space="0" w:color="auto"/>
      </w:divBdr>
    </w:div>
    <w:div w:id="1555045945">
      <w:bodyDiv w:val="1"/>
      <w:marLeft w:val="0"/>
      <w:marRight w:val="0"/>
      <w:marTop w:val="0"/>
      <w:marBottom w:val="0"/>
      <w:divBdr>
        <w:top w:val="none" w:sz="0" w:space="0" w:color="auto"/>
        <w:left w:val="none" w:sz="0" w:space="0" w:color="auto"/>
        <w:bottom w:val="none" w:sz="0" w:space="0" w:color="auto"/>
        <w:right w:val="none" w:sz="0" w:space="0" w:color="auto"/>
      </w:divBdr>
    </w:div>
    <w:div w:id="1558084511">
      <w:bodyDiv w:val="1"/>
      <w:marLeft w:val="0"/>
      <w:marRight w:val="0"/>
      <w:marTop w:val="0"/>
      <w:marBottom w:val="0"/>
      <w:divBdr>
        <w:top w:val="none" w:sz="0" w:space="0" w:color="auto"/>
        <w:left w:val="none" w:sz="0" w:space="0" w:color="auto"/>
        <w:bottom w:val="none" w:sz="0" w:space="0" w:color="auto"/>
        <w:right w:val="none" w:sz="0" w:space="0" w:color="auto"/>
      </w:divBdr>
    </w:div>
    <w:div w:id="1567566906">
      <w:bodyDiv w:val="1"/>
      <w:marLeft w:val="0"/>
      <w:marRight w:val="0"/>
      <w:marTop w:val="0"/>
      <w:marBottom w:val="0"/>
      <w:divBdr>
        <w:top w:val="none" w:sz="0" w:space="0" w:color="auto"/>
        <w:left w:val="none" w:sz="0" w:space="0" w:color="auto"/>
        <w:bottom w:val="none" w:sz="0" w:space="0" w:color="auto"/>
        <w:right w:val="none" w:sz="0" w:space="0" w:color="auto"/>
      </w:divBdr>
    </w:div>
    <w:div w:id="1578979671">
      <w:bodyDiv w:val="1"/>
      <w:marLeft w:val="0"/>
      <w:marRight w:val="0"/>
      <w:marTop w:val="0"/>
      <w:marBottom w:val="0"/>
      <w:divBdr>
        <w:top w:val="none" w:sz="0" w:space="0" w:color="auto"/>
        <w:left w:val="none" w:sz="0" w:space="0" w:color="auto"/>
        <w:bottom w:val="none" w:sz="0" w:space="0" w:color="auto"/>
        <w:right w:val="none" w:sz="0" w:space="0" w:color="auto"/>
      </w:divBdr>
    </w:div>
    <w:div w:id="1593659369">
      <w:bodyDiv w:val="1"/>
      <w:marLeft w:val="0"/>
      <w:marRight w:val="0"/>
      <w:marTop w:val="0"/>
      <w:marBottom w:val="0"/>
      <w:divBdr>
        <w:top w:val="none" w:sz="0" w:space="0" w:color="auto"/>
        <w:left w:val="none" w:sz="0" w:space="0" w:color="auto"/>
        <w:bottom w:val="none" w:sz="0" w:space="0" w:color="auto"/>
        <w:right w:val="none" w:sz="0" w:space="0" w:color="auto"/>
      </w:divBdr>
    </w:div>
    <w:div w:id="1597245931">
      <w:bodyDiv w:val="1"/>
      <w:marLeft w:val="0"/>
      <w:marRight w:val="0"/>
      <w:marTop w:val="0"/>
      <w:marBottom w:val="0"/>
      <w:divBdr>
        <w:top w:val="none" w:sz="0" w:space="0" w:color="auto"/>
        <w:left w:val="none" w:sz="0" w:space="0" w:color="auto"/>
        <w:bottom w:val="none" w:sz="0" w:space="0" w:color="auto"/>
        <w:right w:val="none" w:sz="0" w:space="0" w:color="auto"/>
      </w:divBdr>
    </w:div>
    <w:div w:id="1604533426">
      <w:bodyDiv w:val="1"/>
      <w:marLeft w:val="0"/>
      <w:marRight w:val="0"/>
      <w:marTop w:val="0"/>
      <w:marBottom w:val="0"/>
      <w:divBdr>
        <w:top w:val="none" w:sz="0" w:space="0" w:color="auto"/>
        <w:left w:val="none" w:sz="0" w:space="0" w:color="auto"/>
        <w:bottom w:val="none" w:sz="0" w:space="0" w:color="auto"/>
        <w:right w:val="none" w:sz="0" w:space="0" w:color="auto"/>
      </w:divBdr>
    </w:div>
    <w:div w:id="1608270114">
      <w:bodyDiv w:val="1"/>
      <w:marLeft w:val="0"/>
      <w:marRight w:val="0"/>
      <w:marTop w:val="0"/>
      <w:marBottom w:val="0"/>
      <w:divBdr>
        <w:top w:val="none" w:sz="0" w:space="0" w:color="auto"/>
        <w:left w:val="none" w:sz="0" w:space="0" w:color="auto"/>
        <w:bottom w:val="none" w:sz="0" w:space="0" w:color="auto"/>
        <w:right w:val="none" w:sz="0" w:space="0" w:color="auto"/>
      </w:divBdr>
    </w:div>
    <w:div w:id="1617371585">
      <w:bodyDiv w:val="1"/>
      <w:marLeft w:val="0"/>
      <w:marRight w:val="0"/>
      <w:marTop w:val="0"/>
      <w:marBottom w:val="0"/>
      <w:divBdr>
        <w:top w:val="none" w:sz="0" w:space="0" w:color="auto"/>
        <w:left w:val="none" w:sz="0" w:space="0" w:color="auto"/>
        <w:bottom w:val="none" w:sz="0" w:space="0" w:color="auto"/>
        <w:right w:val="none" w:sz="0" w:space="0" w:color="auto"/>
      </w:divBdr>
    </w:div>
    <w:div w:id="1674138368">
      <w:bodyDiv w:val="1"/>
      <w:marLeft w:val="0"/>
      <w:marRight w:val="0"/>
      <w:marTop w:val="0"/>
      <w:marBottom w:val="0"/>
      <w:divBdr>
        <w:top w:val="none" w:sz="0" w:space="0" w:color="auto"/>
        <w:left w:val="none" w:sz="0" w:space="0" w:color="auto"/>
        <w:bottom w:val="none" w:sz="0" w:space="0" w:color="auto"/>
        <w:right w:val="none" w:sz="0" w:space="0" w:color="auto"/>
      </w:divBdr>
    </w:div>
    <w:div w:id="1685015101">
      <w:bodyDiv w:val="1"/>
      <w:marLeft w:val="0"/>
      <w:marRight w:val="0"/>
      <w:marTop w:val="0"/>
      <w:marBottom w:val="0"/>
      <w:divBdr>
        <w:top w:val="none" w:sz="0" w:space="0" w:color="auto"/>
        <w:left w:val="none" w:sz="0" w:space="0" w:color="auto"/>
        <w:bottom w:val="none" w:sz="0" w:space="0" w:color="auto"/>
        <w:right w:val="none" w:sz="0" w:space="0" w:color="auto"/>
      </w:divBdr>
    </w:div>
    <w:div w:id="1691564453">
      <w:bodyDiv w:val="1"/>
      <w:marLeft w:val="0"/>
      <w:marRight w:val="0"/>
      <w:marTop w:val="0"/>
      <w:marBottom w:val="0"/>
      <w:divBdr>
        <w:top w:val="none" w:sz="0" w:space="0" w:color="auto"/>
        <w:left w:val="none" w:sz="0" w:space="0" w:color="auto"/>
        <w:bottom w:val="none" w:sz="0" w:space="0" w:color="auto"/>
        <w:right w:val="none" w:sz="0" w:space="0" w:color="auto"/>
      </w:divBdr>
    </w:div>
    <w:div w:id="1693455746">
      <w:bodyDiv w:val="1"/>
      <w:marLeft w:val="0"/>
      <w:marRight w:val="0"/>
      <w:marTop w:val="0"/>
      <w:marBottom w:val="0"/>
      <w:divBdr>
        <w:top w:val="none" w:sz="0" w:space="0" w:color="auto"/>
        <w:left w:val="none" w:sz="0" w:space="0" w:color="auto"/>
        <w:bottom w:val="none" w:sz="0" w:space="0" w:color="auto"/>
        <w:right w:val="none" w:sz="0" w:space="0" w:color="auto"/>
      </w:divBdr>
    </w:div>
    <w:div w:id="1707216766">
      <w:bodyDiv w:val="1"/>
      <w:marLeft w:val="0"/>
      <w:marRight w:val="0"/>
      <w:marTop w:val="0"/>
      <w:marBottom w:val="0"/>
      <w:divBdr>
        <w:top w:val="none" w:sz="0" w:space="0" w:color="auto"/>
        <w:left w:val="none" w:sz="0" w:space="0" w:color="auto"/>
        <w:bottom w:val="none" w:sz="0" w:space="0" w:color="auto"/>
        <w:right w:val="none" w:sz="0" w:space="0" w:color="auto"/>
      </w:divBdr>
    </w:div>
    <w:div w:id="1747874021">
      <w:bodyDiv w:val="1"/>
      <w:marLeft w:val="0"/>
      <w:marRight w:val="0"/>
      <w:marTop w:val="0"/>
      <w:marBottom w:val="0"/>
      <w:divBdr>
        <w:top w:val="none" w:sz="0" w:space="0" w:color="auto"/>
        <w:left w:val="none" w:sz="0" w:space="0" w:color="auto"/>
        <w:bottom w:val="none" w:sz="0" w:space="0" w:color="auto"/>
        <w:right w:val="none" w:sz="0" w:space="0" w:color="auto"/>
      </w:divBdr>
    </w:div>
    <w:div w:id="1752313709">
      <w:bodyDiv w:val="1"/>
      <w:marLeft w:val="0"/>
      <w:marRight w:val="0"/>
      <w:marTop w:val="0"/>
      <w:marBottom w:val="0"/>
      <w:divBdr>
        <w:top w:val="none" w:sz="0" w:space="0" w:color="auto"/>
        <w:left w:val="none" w:sz="0" w:space="0" w:color="auto"/>
        <w:bottom w:val="none" w:sz="0" w:space="0" w:color="auto"/>
        <w:right w:val="none" w:sz="0" w:space="0" w:color="auto"/>
      </w:divBdr>
    </w:div>
    <w:div w:id="1753240670">
      <w:bodyDiv w:val="1"/>
      <w:marLeft w:val="0"/>
      <w:marRight w:val="0"/>
      <w:marTop w:val="0"/>
      <w:marBottom w:val="0"/>
      <w:divBdr>
        <w:top w:val="none" w:sz="0" w:space="0" w:color="auto"/>
        <w:left w:val="none" w:sz="0" w:space="0" w:color="auto"/>
        <w:bottom w:val="none" w:sz="0" w:space="0" w:color="auto"/>
        <w:right w:val="none" w:sz="0" w:space="0" w:color="auto"/>
      </w:divBdr>
    </w:div>
    <w:div w:id="1753745169">
      <w:bodyDiv w:val="1"/>
      <w:marLeft w:val="0"/>
      <w:marRight w:val="0"/>
      <w:marTop w:val="0"/>
      <w:marBottom w:val="0"/>
      <w:divBdr>
        <w:top w:val="none" w:sz="0" w:space="0" w:color="auto"/>
        <w:left w:val="none" w:sz="0" w:space="0" w:color="auto"/>
        <w:bottom w:val="none" w:sz="0" w:space="0" w:color="auto"/>
        <w:right w:val="none" w:sz="0" w:space="0" w:color="auto"/>
      </w:divBdr>
    </w:div>
    <w:div w:id="1778017369">
      <w:bodyDiv w:val="1"/>
      <w:marLeft w:val="0"/>
      <w:marRight w:val="0"/>
      <w:marTop w:val="0"/>
      <w:marBottom w:val="0"/>
      <w:divBdr>
        <w:top w:val="none" w:sz="0" w:space="0" w:color="auto"/>
        <w:left w:val="none" w:sz="0" w:space="0" w:color="auto"/>
        <w:bottom w:val="none" w:sz="0" w:space="0" w:color="auto"/>
        <w:right w:val="none" w:sz="0" w:space="0" w:color="auto"/>
      </w:divBdr>
    </w:div>
    <w:div w:id="1793942322">
      <w:bodyDiv w:val="1"/>
      <w:marLeft w:val="0"/>
      <w:marRight w:val="0"/>
      <w:marTop w:val="0"/>
      <w:marBottom w:val="0"/>
      <w:divBdr>
        <w:top w:val="none" w:sz="0" w:space="0" w:color="auto"/>
        <w:left w:val="none" w:sz="0" w:space="0" w:color="auto"/>
        <w:bottom w:val="none" w:sz="0" w:space="0" w:color="auto"/>
        <w:right w:val="none" w:sz="0" w:space="0" w:color="auto"/>
      </w:divBdr>
    </w:div>
    <w:div w:id="1813716803">
      <w:bodyDiv w:val="1"/>
      <w:marLeft w:val="0"/>
      <w:marRight w:val="0"/>
      <w:marTop w:val="0"/>
      <w:marBottom w:val="0"/>
      <w:divBdr>
        <w:top w:val="none" w:sz="0" w:space="0" w:color="auto"/>
        <w:left w:val="none" w:sz="0" w:space="0" w:color="auto"/>
        <w:bottom w:val="none" w:sz="0" w:space="0" w:color="auto"/>
        <w:right w:val="none" w:sz="0" w:space="0" w:color="auto"/>
      </w:divBdr>
    </w:div>
    <w:div w:id="1817260567">
      <w:bodyDiv w:val="1"/>
      <w:marLeft w:val="0"/>
      <w:marRight w:val="0"/>
      <w:marTop w:val="0"/>
      <w:marBottom w:val="0"/>
      <w:divBdr>
        <w:top w:val="none" w:sz="0" w:space="0" w:color="auto"/>
        <w:left w:val="none" w:sz="0" w:space="0" w:color="auto"/>
        <w:bottom w:val="none" w:sz="0" w:space="0" w:color="auto"/>
        <w:right w:val="none" w:sz="0" w:space="0" w:color="auto"/>
      </w:divBdr>
    </w:div>
    <w:div w:id="1825661974">
      <w:bodyDiv w:val="1"/>
      <w:marLeft w:val="0"/>
      <w:marRight w:val="0"/>
      <w:marTop w:val="0"/>
      <w:marBottom w:val="0"/>
      <w:divBdr>
        <w:top w:val="none" w:sz="0" w:space="0" w:color="auto"/>
        <w:left w:val="none" w:sz="0" w:space="0" w:color="auto"/>
        <w:bottom w:val="none" w:sz="0" w:space="0" w:color="auto"/>
        <w:right w:val="none" w:sz="0" w:space="0" w:color="auto"/>
      </w:divBdr>
    </w:div>
    <w:div w:id="1838038932">
      <w:bodyDiv w:val="1"/>
      <w:marLeft w:val="0"/>
      <w:marRight w:val="0"/>
      <w:marTop w:val="0"/>
      <w:marBottom w:val="0"/>
      <w:divBdr>
        <w:top w:val="none" w:sz="0" w:space="0" w:color="auto"/>
        <w:left w:val="none" w:sz="0" w:space="0" w:color="auto"/>
        <w:bottom w:val="none" w:sz="0" w:space="0" w:color="auto"/>
        <w:right w:val="none" w:sz="0" w:space="0" w:color="auto"/>
      </w:divBdr>
    </w:div>
    <w:div w:id="1843232244">
      <w:bodyDiv w:val="1"/>
      <w:marLeft w:val="0"/>
      <w:marRight w:val="0"/>
      <w:marTop w:val="0"/>
      <w:marBottom w:val="0"/>
      <w:divBdr>
        <w:top w:val="none" w:sz="0" w:space="0" w:color="auto"/>
        <w:left w:val="none" w:sz="0" w:space="0" w:color="auto"/>
        <w:bottom w:val="none" w:sz="0" w:space="0" w:color="auto"/>
        <w:right w:val="none" w:sz="0" w:space="0" w:color="auto"/>
      </w:divBdr>
    </w:div>
    <w:div w:id="1875652422">
      <w:bodyDiv w:val="1"/>
      <w:marLeft w:val="0"/>
      <w:marRight w:val="0"/>
      <w:marTop w:val="0"/>
      <w:marBottom w:val="0"/>
      <w:divBdr>
        <w:top w:val="none" w:sz="0" w:space="0" w:color="auto"/>
        <w:left w:val="none" w:sz="0" w:space="0" w:color="auto"/>
        <w:bottom w:val="none" w:sz="0" w:space="0" w:color="auto"/>
        <w:right w:val="none" w:sz="0" w:space="0" w:color="auto"/>
      </w:divBdr>
    </w:div>
    <w:div w:id="1883516080">
      <w:bodyDiv w:val="1"/>
      <w:marLeft w:val="0"/>
      <w:marRight w:val="0"/>
      <w:marTop w:val="0"/>
      <w:marBottom w:val="0"/>
      <w:divBdr>
        <w:top w:val="none" w:sz="0" w:space="0" w:color="auto"/>
        <w:left w:val="none" w:sz="0" w:space="0" w:color="auto"/>
        <w:bottom w:val="none" w:sz="0" w:space="0" w:color="auto"/>
        <w:right w:val="none" w:sz="0" w:space="0" w:color="auto"/>
      </w:divBdr>
    </w:div>
    <w:div w:id="1884168420">
      <w:bodyDiv w:val="1"/>
      <w:marLeft w:val="0"/>
      <w:marRight w:val="0"/>
      <w:marTop w:val="0"/>
      <w:marBottom w:val="0"/>
      <w:divBdr>
        <w:top w:val="none" w:sz="0" w:space="0" w:color="auto"/>
        <w:left w:val="none" w:sz="0" w:space="0" w:color="auto"/>
        <w:bottom w:val="none" w:sz="0" w:space="0" w:color="auto"/>
        <w:right w:val="none" w:sz="0" w:space="0" w:color="auto"/>
      </w:divBdr>
    </w:div>
    <w:div w:id="1891378775">
      <w:bodyDiv w:val="1"/>
      <w:marLeft w:val="0"/>
      <w:marRight w:val="0"/>
      <w:marTop w:val="0"/>
      <w:marBottom w:val="0"/>
      <w:divBdr>
        <w:top w:val="none" w:sz="0" w:space="0" w:color="auto"/>
        <w:left w:val="none" w:sz="0" w:space="0" w:color="auto"/>
        <w:bottom w:val="none" w:sz="0" w:space="0" w:color="auto"/>
        <w:right w:val="none" w:sz="0" w:space="0" w:color="auto"/>
      </w:divBdr>
    </w:div>
    <w:div w:id="1901557805">
      <w:bodyDiv w:val="1"/>
      <w:marLeft w:val="0"/>
      <w:marRight w:val="0"/>
      <w:marTop w:val="0"/>
      <w:marBottom w:val="0"/>
      <w:divBdr>
        <w:top w:val="none" w:sz="0" w:space="0" w:color="auto"/>
        <w:left w:val="none" w:sz="0" w:space="0" w:color="auto"/>
        <w:bottom w:val="none" w:sz="0" w:space="0" w:color="auto"/>
        <w:right w:val="none" w:sz="0" w:space="0" w:color="auto"/>
      </w:divBdr>
    </w:div>
    <w:div w:id="1904291575">
      <w:bodyDiv w:val="1"/>
      <w:marLeft w:val="0"/>
      <w:marRight w:val="0"/>
      <w:marTop w:val="0"/>
      <w:marBottom w:val="0"/>
      <w:divBdr>
        <w:top w:val="none" w:sz="0" w:space="0" w:color="auto"/>
        <w:left w:val="none" w:sz="0" w:space="0" w:color="auto"/>
        <w:bottom w:val="none" w:sz="0" w:space="0" w:color="auto"/>
        <w:right w:val="none" w:sz="0" w:space="0" w:color="auto"/>
      </w:divBdr>
    </w:div>
    <w:div w:id="1920014841">
      <w:bodyDiv w:val="1"/>
      <w:marLeft w:val="0"/>
      <w:marRight w:val="0"/>
      <w:marTop w:val="0"/>
      <w:marBottom w:val="0"/>
      <w:divBdr>
        <w:top w:val="none" w:sz="0" w:space="0" w:color="auto"/>
        <w:left w:val="none" w:sz="0" w:space="0" w:color="auto"/>
        <w:bottom w:val="none" w:sz="0" w:space="0" w:color="auto"/>
        <w:right w:val="none" w:sz="0" w:space="0" w:color="auto"/>
      </w:divBdr>
    </w:div>
    <w:div w:id="1929388630">
      <w:bodyDiv w:val="1"/>
      <w:marLeft w:val="0"/>
      <w:marRight w:val="0"/>
      <w:marTop w:val="0"/>
      <w:marBottom w:val="0"/>
      <w:divBdr>
        <w:top w:val="none" w:sz="0" w:space="0" w:color="auto"/>
        <w:left w:val="none" w:sz="0" w:space="0" w:color="auto"/>
        <w:bottom w:val="none" w:sz="0" w:space="0" w:color="auto"/>
        <w:right w:val="none" w:sz="0" w:space="0" w:color="auto"/>
      </w:divBdr>
    </w:div>
    <w:div w:id="1929849758">
      <w:bodyDiv w:val="1"/>
      <w:marLeft w:val="0"/>
      <w:marRight w:val="0"/>
      <w:marTop w:val="0"/>
      <w:marBottom w:val="0"/>
      <w:divBdr>
        <w:top w:val="none" w:sz="0" w:space="0" w:color="auto"/>
        <w:left w:val="none" w:sz="0" w:space="0" w:color="auto"/>
        <w:bottom w:val="none" w:sz="0" w:space="0" w:color="auto"/>
        <w:right w:val="none" w:sz="0" w:space="0" w:color="auto"/>
      </w:divBdr>
    </w:div>
    <w:div w:id="1933666300">
      <w:bodyDiv w:val="1"/>
      <w:marLeft w:val="0"/>
      <w:marRight w:val="0"/>
      <w:marTop w:val="0"/>
      <w:marBottom w:val="0"/>
      <w:divBdr>
        <w:top w:val="none" w:sz="0" w:space="0" w:color="auto"/>
        <w:left w:val="none" w:sz="0" w:space="0" w:color="auto"/>
        <w:bottom w:val="none" w:sz="0" w:space="0" w:color="auto"/>
        <w:right w:val="none" w:sz="0" w:space="0" w:color="auto"/>
      </w:divBdr>
    </w:div>
    <w:div w:id="1940484227">
      <w:bodyDiv w:val="1"/>
      <w:marLeft w:val="0"/>
      <w:marRight w:val="0"/>
      <w:marTop w:val="0"/>
      <w:marBottom w:val="0"/>
      <w:divBdr>
        <w:top w:val="none" w:sz="0" w:space="0" w:color="auto"/>
        <w:left w:val="none" w:sz="0" w:space="0" w:color="auto"/>
        <w:bottom w:val="none" w:sz="0" w:space="0" w:color="auto"/>
        <w:right w:val="none" w:sz="0" w:space="0" w:color="auto"/>
      </w:divBdr>
    </w:div>
    <w:div w:id="1953592976">
      <w:bodyDiv w:val="1"/>
      <w:marLeft w:val="0"/>
      <w:marRight w:val="0"/>
      <w:marTop w:val="0"/>
      <w:marBottom w:val="0"/>
      <w:divBdr>
        <w:top w:val="none" w:sz="0" w:space="0" w:color="auto"/>
        <w:left w:val="none" w:sz="0" w:space="0" w:color="auto"/>
        <w:bottom w:val="none" w:sz="0" w:space="0" w:color="auto"/>
        <w:right w:val="none" w:sz="0" w:space="0" w:color="auto"/>
      </w:divBdr>
    </w:div>
    <w:div w:id="1970353312">
      <w:bodyDiv w:val="1"/>
      <w:marLeft w:val="0"/>
      <w:marRight w:val="0"/>
      <w:marTop w:val="0"/>
      <w:marBottom w:val="0"/>
      <w:divBdr>
        <w:top w:val="none" w:sz="0" w:space="0" w:color="auto"/>
        <w:left w:val="none" w:sz="0" w:space="0" w:color="auto"/>
        <w:bottom w:val="none" w:sz="0" w:space="0" w:color="auto"/>
        <w:right w:val="none" w:sz="0" w:space="0" w:color="auto"/>
      </w:divBdr>
    </w:div>
    <w:div w:id="1992326606">
      <w:bodyDiv w:val="1"/>
      <w:marLeft w:val="0"/>
      <w:marRight w:val="0"/>
      <w:marTop w:val="0"/>
      <w:marBottom w:val="0"/>
      <w:divBdr>
        <w:top w:val="none" w:sz="0" w:space="0" w:color="auto"/>
        <w:left w:val="none" w:sz="0" w:space="0" w:color="auto"/>
        <w:bottom w:val="none" w:sz="0" w:space="0" w:color="auto"/>
        <w:right w:val="none" w:sz="0" w:space="0" w:color="auto"/>
      </w:divBdr>
    </w:div>
    <w:div w:id="1998605920">
      <w:bodyDiv w:val="1"/>
      <w:marLeft w:val="0"/>
      <w:marRight w:val="0"/>
      <w:marTop w:val="0"/>
      <w:marBottom w:val="0"/>
      <w:divBdr>
        <w:top w:val="none" w:sz="0" w:space="0" w:color="auto"/>
        <w:left w:val="none" w:sz="0" w:space="0" w:color="auto"/>
        <w:bottom w:val="none" w:sz="0" w:space="0" w:color="auto"/>
        <w:right w:val="none" w:sz="0" w:space="0" w:color="auto"/>
      </w:divBdr>
    </w:div>
    <w:div w:id="2001083466">
      <w:bodyDiv w:val="1"/>
      <w:marLeft w:val="0"/>
      <w:marRight w:val="0"/>
      <w:marTop w:val="0"/>
      <w:marBottom w:val="0"/>
      <w:divBdr>
        <w:top w:val="none" w:sz="0" w:space="0" w:color="auto"/>
        <w:left w:val="none" w:sz="0" w:space="0" w:color="auto"/>
        <w:bottom w:val="none" w:sz="0" w:space="0" w:color="auto"/>
        <w:right w:val="none" w:sz="0" w:space="0" w:color="auto"/>
      </w:divBdr>
    </w:div>
    <w:div w:id="2014456758">
      <w:bodyDiv w:val="1"/>
      <w:marLeft w:val="0"/>
      <w:marRight w:val="0"/>
      <w:marTop w:val="0"/>
      <w:marBottom w:val="0"/>
      <w:divBdr>
        <w:top w:val="none" w:sz="0" w:space="0" w:color="auto"/>
        <w:left w:val="none" w:sz="0" w:space="0" w:color="auto"/>
        <w:bottom w:val="none" w:sz="0" w:space="0" w:color="auto"/>
        <w:right w:val="none" w:sz="0" w:space="0" w:color="auto"/>
      </w:divBdr>
    </w:div>
    <w:div w:id="2021664994">
      <w:bodyDiv w:val="1"/>
      <w:marLeft w:val="0"/>
      <w:marRight w:val="0"/>
      <w:marTop w:val="0"/>
      <w:marBottom w:val="0"/>
      <w:divBdr>
        <w:top w:val="none" w:sz="0" w:space="0" w:color="auto"/>
        <w:left w:val="none" w:sz="0" w:space="0" w:color="auto"/>
        <w:bottom w:val="none" w:sz="0" w:space="0" w:color="auto"/>
        <w:right w:val="none" w:sz="0" w:space="0" w:color="auto"/>
      </w:divBdr>
    </w:div>
    <w:div w:id="2023781674">
      <w:bodyDiv w:val="1"/>
      <w:marLeft w:val="0"/>
      <w:marRight w:val="0"/>
      <w:marTop w:val="0"/>
      <w:marBottom w:val="0"/>
      <w:divBdr>
        <w:top w:val="none" w:sz="0" w:space="0" w:color="auto"/>
        <w:left w:val="none" w:sz="0" w:space="0" w:color="auto"/>
        <w:bottom w:val="none" w:sz="0" w:space="0" w:color="auto"/>
        <w:right w:val="none" w:sz="0" w:space="0" w:color="auto"/>
      </w:divBdr>
    </w:div>
    <w:div w:id="2033459832">
      <w:bodyDiv w:val="1"/>
      <w:marLeft w:val="0"/>
      <w:marRight w:val="0"/>
      <w:marTop w:val="0"/>
      <w:marBottom w:val="0"/>
      <w:divBdr>
        <w:top w:val="none" w:sz="0" w:space="0" w:color="auto"/>
        <w:left w:val="none" w:sz="0" w:space="0" w:color="auto"/>
        <w:bottom w:val="none" w:sz="0" w:space="0" w:color="auto"/>
        <w:right w:val="none" w:sz="0" w:space="0" w:color="auto"/>
      </w:divBdr>
    </w:div>
    <w:div w:id="2051613877">
      <w:bodyDiv w:val="1"/>
      <w:marLeft w:val="0"/>
      <w:marRight w:val="0"/>
      <w:marTop w:val="0"/>
      <w:marBottom w:val="0"/>
      <w:divBdr>
        <w:top w:val="none" w:sz="0" w:space="0" w:color="auto"/>
        <w:left w:val="none" w:sz="0" w:space="0" w:color="auto"/>
        <w:bottom w:val="none" w:sz="0" w:space="0" w:color="auto"/>
        <w:right w:val="none" w:sz="0" w:space="0" w:color="auto"/>
      </w:divBdr>
    </w:div>
    <w:div w:id="2084137695">
      <w:bodyDiv w:val="1"/>
      <w:marLeft w:val="0"/>
      <w:marRight w:val="0"/>
      <w:marTop w:val="0"/>
      <w:marBottom w:val="0"/>
      <w:divBdr>
        <w:top w:val="none" w:sz="0" w:space="0" w:color="auto"/>
        <w:left w:val="none" w:sz="0" w:space="0" w:color="auto"/>
        <w:bottom w:val="none" w:sz="0" w:space="0" w:color="auto"/>
        <w:right w:val="none" w:sz="0" w:space="0" w:color="auto"/>
      </w:divBdr>
    </w:div>
    <w:div w:id="2112436437">
      <w:bodyDiv w:val="1"/>
      <w:marLeft w:val="0"/>
      <w:marRight w:val="0"/>
      <w:marTop w:val="0"/>
      <w:marBottom w:val="0"/>
      <w:divBdr>
        <w:top w:val="none" w:sz="0" w:space="0" w:color="auto"/>
        <w:left w:val="none" w:sz="0" w:space="0" w:color="auto"/>
        <w:bottom w:val="none" w:sz="0" w:space="0" w:color="auto"/>
        <w:right w:val="none" w:sz="0" w:space="0" w:color="auto"/>
      </w:divBdr>
    </w:div>
    <w:div w:id="2117284691">
      <w:bodyDiv w:val="1"/>
      <w:marLeft w:val="0"/>
      <w:marRight w:val="0"/>
      <w:marTop w:val="0"/>
      <w:marBottom w:val="0"/>
      <w:divBdr>
        <w:top w:val="none" w:sz="0" w:space="0" w:color="auto"/>
        <w:left w:val="none" w:sz="0" w:space="0" w:color="auto"/>
        <w:bottom w:val="none" w:sz="0" w:space="0" w:color="auto"/>
        <w:right w:val="none" w:sz="0" w:space="0" w:color="auto"/>
      </w:divBdr>
    </w:div>
    <w:div w:id="2121676695">
      <w:bodyDiv w:val="1"/>
      <w:marLeft w:val="0"/>
      <w:marRight w:val="0"/>
      <w:marTop w:val="0"/>
      <w:marBottom w:val="0"/>
      <w:divBdr>
        <w:top w:val="none" w:sz="0" w:space="0" w:color="auto"/>
        <w:left w:val="none" w:sz="0" w:space="0" w:color="auto"/>
        <w:bottom w:val="none" w:sz="0" w:space="0" w:color="auto"/>
        <w:right w:val="none" w:sz="0" w:space="0" w:color="auto"/>
      </w:divBdr>
    </w:div>
    <w:div w:id="2129353298">
      <w:bodyDiv w:val="1"/>
      <w:marLeft w:val="0"/>
      <w:marRight w:val="0"/>
      <w:marTop w:val="0"/>
      <w:marBottom w:val="0"/>
      <w:divBdr>
        <w:top w:val="none" w:sz="0" w:space="0" w:color="auto"/>
        <w:left w:val="none" w:sz="0" w:space="0" w:color="auto"/>
        <w:bottom w:val="none" w:sz="0" w:space="0" w:color="auto"/>
        <w:right w:val="none" w:sz="0" w:space="0" w:color="auto"/>
      </w:divBdr>
    </w:div>
    <w:div w:id="2129855134">
      <w:bodyDiv w:val="1"/>
      <w:marLeft w:val="0"/>
      <w:marRight w:val="0"/>
      <w:marTop w:val="0"/>
      <w:marBottom w:val="0"/>
      <w:divBdr>
        <w:top w:val="none" w:sz="0" w:space="0" w:color="auto"/>
        <w:left w:val="none" w:sz="0" w:space="0" w:color="auto"/>
        <w:bottom w:val="none" w:sz="0" w:space="0" w:color="auto"/>
        <w:right w:val="none" w:sz="0" w:space="0" w:color="auto"/>
      </w:divBdr>
    </w:div>
    <w:div w:id="2133548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kb-10.com/index.php?pid=1657" TargetMode="External"/><Relationship Id="rId18" Type="http://schemas.openxmlformats.org/officeDocument/2006/relationships/hyperlink" Target="https://www.vidal.ru/drugs/nosology/d22" TargetMode="External"/><Relationship Id="rId26" Type="http://schemas.openxmlformats.org/officeDocument/2006/relationships/hyperlink" Target="https://mkb-10.com/index.php?pid=1777" TargetMode="External"/><Relationship Id="rId39" Type="http://schemas.openxmlformats.org/officeDocument/2006/relationships/hyperlink" Target="https://mkb-10.com/index.php?pid=1841" TargetMode="External"/><Relationship Id="rId21" Type="http://schemas.openxmlformats.org/officeDocument/2006/relationships/hyperlink" Target="https://mkb-10.com/index.php?pid=1731" TargetMode="External"/><Relationship Id="rId34" Type="http://schemas.openxmlformats.org/officeDocument/2006/relationships/hyperlink" Target="https://mkb-10.com/index.php?pid=1865" TargetMode="External"/><Relationship Id="rId42" Type="http://schemas.openxmlformats.org/officeDocument/2006/relationships/header" Target="header5.xml"/><Relationship Id="rId47" Type="http://schemas.openxmlformats.org/officeDocument/2006/relationships/header" Target="header9.xml"/><Relationship Id="rId50" Type="http://schemas.openxmlformats.org/officeDocument/2006/relationships/hyperlink" Target="http://mobileonline.garant.ru/document/redirect/4100000/10037" TargetMode="External"/><Relationship Id="rId55" Type="http://schemas.openxmlformats.org/officeDocument/2006/relationships/hyperlink" Target="http://mobileonline.garant.ru/document/redirect/4100000/1091"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mkb-10.com/index.php?pid=1690" TargetMode="External"/><Relationship Id="rId29" Type="http://schemas.openxmlformats.org/officeDocument/2006/relationships/hyperlink" Target="https://mkb-10.com/index.php?pid=1814" TargetMode="External"/><Relationship Id="rId11" Type="http://schemas.openxmlformats.org/officeDocument/2006/relationships/hyperlink" Target="https://mkb-10.com/index.php?pid=1636" TargetMode="External"/><Relationship Id="rId24" Type="http://schemas.openxmlformats.org/officeDocument/2006/relationships/hyperlink" Target="https://mkb-10.com/index.php?pid=1773" TargetMode="External"/><Relationship Id="rId32" Type="http://schemas.openxmlformats.org/officeDocument/2006/relationships/hyperlink" Target="https://mkb-10.com/index.php?pid=1841" TargetMode="External"/><Relationship Id="rId37" Type="http://schemas.openxmlformats.org/officeDocument/2006/relationships/hyperlink" Target="https://mkb-10.com/index.php?pid=1773" TargetMode="External"/><Relationship Id="rId40" Type="http://schemas.openxmlformats.org/officeDocument/2006/relationships/header" Target="header3.xml"/><Relationship Id="rId45" Type="http://schemas.openxmlformats.org/officeDocument/2006/relationships/header" Target="header7.xml"/><Relationship Id="rId53" Type="http://schemas.openxmlformats.org/officeDocument/2006/relationships/hyperlink" Target="http://mobileonline.garant.ru/document/redirect/4100000/9945" TargetMode="External"/><Relationship Id="rId58" Type="http://schemas.openxmlformats.org/officeDocument/2006/relationships/fontTable" Target="fontTable.xml"/><Relationship Id="rId5" Type="http://schemas.openxmlformats.org/officeDocument/2006/relationships/webSettings" Target="webSettings.xml"/><Relationship Id="rId19" Type="http://schemas.openxmlformats.org/officeDocument/2006/relationships/hyperlink" Target="https://www.vidal.ru/drugs/nosology/d23"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mkb-10.com/index.php?pid=1669" TargetMode="External"/><Relationship Id="rId22" Type="http://schemas.openxmlformats.org/officeDocument/2006/relationships/hyperlink" Target="https://mkb-10.com/index.php?pid=1736" TargetMode="External"/><Relationship Id="rId27" Type="http://schemas.openxmlformats.org/officeDocument/2006/relationships/hyperlink" Target="https://mkb-10.com/index.php?pid=1786" TargetMode="External"/><Relationship Id="rId30" Type="http://schemas.openxmlformats.org/officeDocument/2006/relationships/hyperlink" Target="https://mkb-10.com/index.php?pid=1833" TargetMode="External"/><Relationship Id="rId35" Type="http://schemas.openxmlformats.org/officeDocument/2006/relationships/hyperlink" Target="https://mkb-10.com/index.php?pid=1873" TargetMode="External"/><Relationship Id="rId43" Type="http://schemas.openxmlformats.org/officeDocument/2006/relationships/header" Target="header6.xml"/><Relationship Id="rId48" Type="http://schemas.openxmlformats.org/officeDocument/2006/relationships/header" Target="header10.xml"/><Relationship Id="rId56" Type="http://schemas.openxmlformats.org/officeDocument/2006/relationships/hyperlink" Target="http://mobileonline.garant.ru/document/redirect/4100000/10062" TargetMode="External"/><Relationship Id="rId8" Type="http://schemas.openxmlformats.org/officeDocument/2006/relationships/header" Target="header1.xml"/><Relationship Id="rId51" Type="http://schemas.openxmlformats.org/officeDocument/2006/relationships/hyperlink" Target="http://mobileonline.garant.ru/document/redirect/4100000/1038" TargetMode="External"/><Relationship Id="rId3" Type="http://schemas.openxmlformats.org/officeDocument/2006/relationships/styles" Target="styles.xml"/><Relationship Id="rId12" Type="http://schemas.openxmlformats.org/officeDocument/2006/relationships/hyperlink" Target="https://mkb-10.com/index.php?pid=1647" TargetMode="External"/><Relationship Id="rId17" Type="http://schemas.openxmlformats.org/officeDocument/2006/relationships/hyperlink" Target="https://mkb-10.com/index.php?pid=1693" TargetMode="External"/><Relationship Id="rId25" Type="http://schemas.openxmlformats.org/officeDocument/2006/relationships/hyperlink" Target="https://mkb-10.com/index.php?pid=1773" TargetMode="External"/><Relationship Id="rId33" Type="http://schemas.openxmlformats.org/officeDocument/2006/relationships/hyperlink" Target="https://mkb-10.com/index.php?pid=1845" TargetMode="External"/><Relationship Id="rId38" Type="http://schemas.openxmlformats.org/officeDocument/2006/relationships/hyperlink" Target="https://mkb-10.com/index.php?pid=1777" TargetMode="External"/><Relationship Id="rId46" Type="http://schemas.openxmlformats.org/officeDocument/2006/relationships/header" Target="header8.xml"/><Relationship Id="rId59" Type="http://schemas.openxmlformats.org/officeDocument/2006/relationships/theme" Target="theme/theme1.xml"/><Relationship Id="rId20" Type="http://schemas.openxmlformats.org/officeDocument/2006/relationships/hyperlink" Target="https://www.vidal.ru/drugs/nosology/d24" TargetMode="External"/><Relationship Id="rId41" Type="http://schemas.openxmlformats.org/officeDocument/2006/relationships/header" Target="header4.xml"/><Relationship Id="rId54" Type="http://schemas.openxmlformats.org/officeDocument/2006/relationships/hyperlink" Target="http://mobileonline.garant.ru/document/redirect/4100000/958"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mkb-10.com/index.php?pid=1680" TargetMode="External"/><Relationship Id="rId23" Type="http://schemas.openxmlformats.org/officeDocument/2006/relationships/hyperlink" Target="https://mkb-10.com/index.php?pid=1736" TargetMode="External"/><Relationship Id="rId28" Type="http://schemas.openxmlformats.org/officeDocument/2006/relationships/hyperlink" Target="https://mkb-10.com/index.php?pid=1804" TargetMode="External"/><Relationship Id="rId36" Type="http://schemas.openxmlformats.org/officeDocument/2006/relationships/hyperlink" Target="https://mkb-10.com/index.php?pid=1880" TargetMode="External"/><Relationship Id="rId49" Type="http://schemas.openxmlformats.org/officeDocument/2006/relationships/header" Target="header11.xml"/><Relationship Id="rId57" Type="http://schemas.openxmlformats.org/officeDocument/2006/relationships/hyperlink" Target="http://mobileonline.garant.ru/document/redirect/4100000/971" TargetMode="External"/><Relationship Id="rId10" Type="http://schemas.openxmlformats.org/officeDocument/2006/relationships/hyperlink" Target="https://mkb-10.com/index.php?pid=1636" TargetMode="External"/><Relationship Id="rId31" Type="http://schemas.openxmlformats.org/officeDocument/2006/relationships/hyperlink" Target="https://mkb-10.com/index.php?pid=1841" TargetMode="External"/><Relationship Id="rId44" Type="http://schemas.openxmlformats.org/officeDocument/2006/relationships/image" Target="media/image1.png"/><Relationship Id="rId52" Type="http://schemas.openxmlformats.org/officeDocument/2006/relationships/hyperlink" Target="http://mobileonline.garant.ru/document/redirect/4100000/104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9EF92E-D133-4A49-BCB6-FC1CF34EA0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1976</TotalTime>
  <Pages>35</Pages>
  <Words>65407</Words>
  <Characters>372821</Characters>
  <Application>Microsoft Office Word</Application>
  <DocSecurity>0</DocSecurity>
  <Lines>3106</Lines>
  <Paragraphs>874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437354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ОМО</dc:creator>
  <cp:keywords/>
  <dc:description/>
  <cp:lastModifiedBy>Лейсан Г. Газизова</cp:lastModifiedBy>
  <cp:revision>84</cp:revision>
  <cp:lastPrinted>2026-03-13T12:41:00Z</cp:lastPrinted>
  <dcterms:created xsi:type="dcterms:W3CDTF">2026-03-24T11:15:00Z</dcterms:created>
  <dcterms:modified xsi:type="dcterms:W3CDTF">2026-04-07T09:04:00Z</dcterms:modified>
</cp:coreProperties>
</file>